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png" ContentType="image/png"/>
  <Override PartName="/word/header1.xml" ContentType="application/vnd.openxmlformats-officedocument.wordprocessingml.header+xml"/>
  <Override PartName="/word/header2.xml" ContentType="application/vnd.openxmlformats-officedocument.wordprocessingml.header+xml"/>
  <Default Extension="jpeg" ContentType="image/jpeg"/>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spacing w:line="250" w:lineRule="exact" w:before="66"/>
        <w:ind w:left="2146" w:right="0" w:firstLine="0"/>
        <w:jc w:val="left"/>
        <w:rPr>
          <w:rFonts w:ascii="Times New Roman"/>
          <w:sz w:val="25"/>
        </w:rPr>
      </w:pPr>
      <w:r>
        <w:rPr/>
        <w:drawing>
          <wp:anchor distT="0" distB="0" distL="0" distR="0" allowOverlap="1" layoutInCell="1" locked="0" behindDoc="0" simplePos="0" relativeHeight="15728640">
            <wp:simplePos x="0" y="0"/>
            <wp:positionH relativeFrom="page">
              <wp:posOffset>659777</wp:posOffset>
            </wp:positionH>
            <wp:positionV relativeFrom="paragraph">
              <wp:posOffset>82931</wp:posOffset>
            </wp:positionV>
            <wp:extent cx="620337" cy="704264"/>
            <wp:effectExtent l="0" t="0" r="0" b="0"/>
            <wp:wrapNone/>
            <wp:docPr id="1" name="Image 1"/>
            <wp:cNvGraphicFramePr>
              <a:graphicFrameLocks/>
            </wp:cNvGraphicFramePr>
            <a:graphic>
              <a:graphicData uri="http://schemas.openxmlformats.org/drawingml/2006/picture">
                <pic:pic>
                  <pic:nvPicPr>
                    <pic:cNvPr id="1" name="Image 1"/>
                    <pic:cNvPicPr/>
                  </pic:nvPicPr>
                  <pic:blipFill>
                    <a:blip r:embed="rId6" cstate="print"/>
                    <a:stretch>
                      <a:fillRect/>
                    </a:stretch>
                  </pic:blipFill>
                  <pic:spPr>
                    <a:xfrm>
                      <a:off x="0" y="0"/>
                      <a:ext cx="620337" cy="704264"/>
                    </a:xfrm>
                    <a:prstGeom prst="rect">
                      <a:avLst/>
                    </a:prstGeom>
                  </pic:spPr>
                </pic:pic>
              </a:graphicData>
            </a:graphic>
          </wp:anchor>
        </w:drawing>
      </w:r>
      <w:r>
        <w:rPr>
          <w:rFonts w:ascii="Times New Roman"/>
          <w:color w:val="213F9A"/>
          <w:w w:val="90"/>
          <w:sz w:val="25"/>
        </w:rPr>
        <w:t>THE</w:t>
      </w:r>
      <w:r>
        <w:rPr>
          <w:rFonts w:ascii="Times New Roman"/>
          <w:color w:val="213F9A"/>
          <w:spacing w:val="39"/>
          <w:sz w:val="25"/>
        </w:rPr>
        <w:t> </w:t>
      </w:r>
      <w:r>
        <w:rPr>
          <w:rFonts w:ascii="Times New Roman"/>
          <w:color w:val="213F9A"/>
          <w:w w:val="90"/>
          <w:sz w:val="25"/>
        </w:rPr>
        <w:t>UNIVERSITY</w:t>
      </w:r>
      <w:r>
        <w:rPr>
          <w:rFonts w:ascii="Times New Roman"/>
          <w:color w:val="213F9A"/>
          <w:spacing w:val="27"/>
          <w:sz w:val="25"/>
        </w:rPr>
        <w:t> </w:t>
      </w:r>
      <w:r>
        <w:rPr>
          <w:rFonts w:ascii="Times New Roman"/>
          <w:color w:val="213F9A"/>
          <w:spacing w:val="-5"/>
          <w:w w:val="90"/>
          <w:sz w:val="25"/>
        </w:rPr>
        <w:t>OF</w:t>
      </w:r>
    </w:p>
    <w:p>
      <w:pPr>
        <w:spacing w:line="488" w:lineRule="exact" w:before="0"/>
        <w:ind w:left="2152" w:right="0" w:firstLine="0"/>
        <w:jc w:val="left"/>
        <w:rPr>
          <w:b/>
          <w:sz w:val="51"/>
        </w:rPr>
      </w:pPr>
      <w:r>
        <w:rPr>
          <w:b/>
          <w:color w:val="213F9A"/>
          <w:spacing w:val="-19"/>
          <w:sz w:val="51"/>
        </w:rPr>
        <w:t>WESTERN</w:t>
      </w:r>
    </w:p>
    <w:p>
      <w:pPr>
        <w:spacing w:line="445" w:lineRule="exact" w:before="0"/>
        <w:ind w:left="2154" w:right="0" w:firstLine="0"/>
        <w:jc w:val="left"/>
        <w:rPr>
          <w:b/>
          <w:sz w:val="44"/>
        </w:rPr>
      </w:pPr>
      <w:r>
        <w:rPr>
          <w:b/>
          <w:color w:val="213F9A"/>
          <w:spacing w:val="-4"/>
          <w:w w:val="95"/>
          <w:sz w:val="44"/>
        </w:rPr>
        <w:t>AUSTRALIA</w:t>
      </w:r>
    </w:p>
    <w:p>
      <w:pPr>
        <w:spacing w:line="240" w:lineRule="auto" w:before="0"/>
        <w:rPr>
          <w:b/>
          <w:sz w:val="114"/>
        </w:rPr>
      </w:pPr>
    </w:p>
    <w:p>
      <w:pPr>
        <w:spacing w:line="240" w:lineRule="auto" w:before="0"/>
        <w:rPr>
          <w:b/>
          <w:sz w:val="114"/>
        </w:rPr>
      </w:pPr>
    </w:p>
    <w:p>
      <w:pPr>
        <w:spacing w:line="240" w:lineRule="auto" w:before="0"/>
        <w:rPr>
          <w:b/>
          <w:sz w:val="114"/>
        </w:rPr>
      </w:pPr>
    </w:p>
    <w:p>
      <w:pPr>
        <w:spacing w:line="240" w:lineRule="auto" w:before="0"/>
        <w:rPr>
          <w:b/>
          <w:sz w:val="114"/>
        </w:rPr>
      </w:pPr>
    </w:p>
    <w:p>
      <w:pPr>
        <w:spacing w:line="240" w:lineRule="auto" w:before="0"/>
        <w:rPr>
          <w:b/>
          <w:sz w:val="114"/>
        </w:rPr>
      </w:pPr>
    </w:p>
    <w:p>
      <w:pPr>
        <w:spacing w:line="240" w:lineRule="auto" w:before="0"/>
        <w:rPr>
          <w:b/>
          <w:sz w:val="114"/>
        </w:rPr>
      </w:pPr>
    </w:p>
    <w:p>
      <w:pPr>
        <w:spacing w:line="240" w:lineRule="auto" w:before="433"/>
        <w:rPr>
          <w:b/>
          <w:sz w:val="114"/>
        </w:rPr>
      </w:pPr>
    </w:p>
    <w:p>
      <w:pPr>
        <w:spacing w:line="1297" w:lineRule="exact" w:before="0"/>
        <w:ind w:left="730" w:right="0" w:firstLine="0"/>
        <w:jc w:val="center"/>
        <w:rPr>
          <w:rFonts w:ascii="TT Norms Pro"/>
          <w:sz w:val="114"/>
        </w:rPr>
      </w:pPr>
      <w:r>
        <w:rPr/>
        <mc:AlternateContent>
          <mc:Choice Requires="wps">
            <w:drawing>
              <wp:anchor distT="0" distB="0" distL="0" distR="0" allowOverlap="1" layoutInCell="1" locked="0" behindDoc="1" simplePos="0" relativeHeight="472582656">
                <wp:simplePos x="0" y="0"/>
                <wp:positionH relativeFrom="page">
                  <wp:posOffset>719502</wp:posOffset>
                </wp:positionH>
                <wp:positionV relativeFrom="paragraph">
                  <wp:posOffset>-5331207</wp:posOffset>
                </wp:positionV>
                <wp:extent cx="6840855" cy="6605905"/>
                <wp:effectExtent l="0" t="0" r="0" b="0"/>
                <wp:wrapNone/>
                <wp:docPr id="2" name="Group 2"/>
                <wp:cNvGraphicFramePr>
                  <a:graphicFrameLocks/>
                </wp:cNvGraphicFramePr>
                <a:graphic>
                  <a:graphicData uri="http://schemas.microsoft.com/office/word/2010/wordprocessingGroup">
                    <wpg:wgp>
                      <wpg:cNvPr id="2" name="Group 2"/>
                      <wpg:cNvGrpSpPr/>
                      <wpg:grpSpPr>
                        <a:xfrm>
                          <a:off x="0" y="0"/>
                          <a:ext cx="6840855" cy="6605905"/>
                          <a:chExt cx="6840855" cy="6605905"/>
                        </a:xfrm>
                      </wpg:grpSpPr>
                      <pic:pic>
                        <pic:nvPicPr>
                          <pic:cNvPr id="3" name="Image 3"/>
                          <pic:cNvPicPr/>
                        </pic:nvPicPr>
                        <pic:blipFill>
                          <a:blip r:embed="rId7" cstate="print"/>
                          <a:stretch>
                            <a:fillRect/>
                          </a:stretch>
                        </pic:blipFill>
                        <pic:spPr>
                          <a:xfrm>
                            <a:off x="499" y="397281"/>
                            <a:ext cx="2892679" cy="5288800"/>
                          </a:xfrm>
                          <a:prstGeom prst="rect">
                            <a:avLst/>
                          </a:prstGeom>
                        </pic:spPr>
                      </pic:pic>
                      <pic:pic>
                        <pic:nvPicPr>
                          <pic:cNvPr id="4" name="Image 4"/>
                          <pic:cNvPicPr/>
                        </pic:nvPicPr>
                        <pic:blipFill>
                          <a:blip r:embed="rId8" cstate="print"/>
                          <a:stretch>
                            <a:fillRect/>
                          </a:stretch>
                        </pic:blipFill>
                        <pic:spPr>
                          <a:xfrm>
                            <a:off x="1561176" y="0"/>
                            <a:ext cx="4551908" cy="5192864"/>
                          </a:xfrm>
                          <a:prstGeom prst="rect">
                            <a:avLst/>
                          </a:prstGeom>
                        </pic:spPr>
                      </pic:pic>
                      <wps:wsp>
                        <wps:cNvPr id="5" name="Graphic 5"/>
                        <wps:cNvSpPr/>
                        <wps:spPr>
                          <a:xfrm>
                            <a:off x="-8" y="384695"/>
                            <a:ext cx="6113145" cy="4807585"/>
                          </a:xfrm>
                          <a:custGeom>
                            <a:avLst/>
                            <a:gdLst/>
                            <a:ahLst/>
                            <a:cxnLst/>
                            <a:rect l="l" t="t" r="r" b="b"/>
                            <a:pathLst>
                              <a:path w="6113145" h="4807585">
                                <a:moveTo>
                                  <a:pt x="1253998" y="0"/>
                                </a:moveTo>
                                <a:lnTo>
                                  <a:pt x="0" y="0"/>
                                </a:lnTo>
                                <a:lnTo>
                                  <a:pt x="0" y="215900"/>
                                </a:lnTo>
                                <a:lnTo>
                                  <a:pt x="0" y="1332230"/>
                                </a:lnTo>
                                <a:lnTo>
                                  <a:pt x="216001" y="1332230"/>
                                </a:lnTo>
                                <a:lnTo>
                                  <a:pt x="216001" y="215900"/>
                                </a:lnTo>
                                <a:lnTo>
                                  <a:pt x="1253998" y="215900"/>
                                </a:lnTo>
                                <a:lnTo>
                                  <a:pt x="1253998" y="0"/>
                                </a:lnTo>
                                <a:close/>
                              </a:path>
                              <a:path w="6113145" h="4807585">
                                <a:moveTo>
                                  <a:pt x="6113081" y="3288665"/>
                                </a:moveTo>
                                <a:lnTo>
                                  <a:pt x="5897080" y="3288665"/>
                                </a:lnTo>
                                <a:lnTo>
                                  <a:pt x="5897080" y="4561205"/>
                                </a:lnTo>
                                <a:lnTo>
                                  <a:pt x="3817188" y="4561205"/>
                                </a:lnTo>
                                <a:lnTo>
                                  <a:pt x="3817188" y="4807585"/>
                                </a:lnTo>
                                <a:lnTo>
                                  <a:pt x="6113081" y="4807585"/>
                                </a:lnTo>
                                <a:lnTo>
                                  <a:pt x="6113081" y="4561205"/>
                                </a:lnTo>
                                <a:lnTo>
                                  <a:pt x="6113081" y="3288665"/>
                                </a:lnTo>
                                <a:close/>
                              </a:path>
                            </a:pathLst>
                          </a:custGeom>
                          <a:solidFill>
                            <a:srgbClr val="21409A"/>
                          </a:solidFill>
                        </wps:spPr>
                        <wps:bodyPr wrap="square" lIns="0" tIns="0" rIns="0" bIns="0" rtlCol="0">
                          <a:prstTxWarp prst="textNoShape">
                            <a:avLst/>
                          </a:prstTxWarp>
                          <a:noAutofit/>
                        </wps:bodyPr>
                      </wps:wsp>
                      <wps:wsp>
                        <wps:cNvPr id="6" name="Graphic 6"/>
                        <wps:cNvSpPr/>
                        <wps:spPr>
                          <a:xfrm>
                            <a:off x="774500" y="5192864"/>
                            <a:ext cx="6066155" cy="1412875"/>
                          </a:xfrm>
                          <a:custGeom>
                            <a:avLst/>
                            <a:gdLst/>
                            <a:ahLst/>
                            <a:cxnLst/>
                            <a:rect l="l" t="t" r="r" b="b"/>
                            <a:pathLst>
                              <a:path w="6066155" h="1412875">
                                <a:moveTo>
                                  <a:pt x="6065989" y="0"/>
                                </a:moveTo>
                                <a:lnTo>
                                  <a:pt x="0" y="0"/>
                                </a:lnTo>
                                <a:lnTo>
                                  <a:pt x="0" y="1412811"/>
                                </a:lnTo>
                                <a:lnTo>
                                  <a:pt x="6065989" y="1412811"/>
                                </a:lnTo>
                                <a:lnTo>
                                  <a:pt x="6065989"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56.653702pt;margin-top:-419.780151pt;width:538.65pt;height:520.15pt;mso-position-horizontal-relative:page;mso-position-vertical-relative:paragraph;z-index:-30733824" id="docshapegroup1" coordorigin="1133,-8396" coordsize="10773,10403">
                <v:shape style="position:absolute;left:1133;top:-7770;width:4556;height:8329" type="#_x0000_t75" id="docshape2" stroked="false">
                  <v:imagedata r:id="rId7" o:title=""/>
                </v:shape>
                <v:shape style="position:absolute;left:3591;top:-8396;width:7169;height:8178" type="#_x0000_t75" id="docshape3" stroked="false">
                  <v:imagedata r:id="rId8" o:title=""/>
                </v:shape>
                <v:shape style="position:absolute;left:1133;top:-7790;width:9627;height:7571" id="docshape4" coordorigin="1133,-7790" coordsize="9627,7571" path="m3108,-7790l1133,-7790,1133,-7450,1133,-5692,1473,-5692,1473,-7450,3108,-7450,3108,-7790xm10760,-2611l10420,-2611,10420,-607,7144,-607,7144,-219,10760,-219,10760,-607,10760,-2611xe" filled="true" fillcolor="#21409a" stroked="false">
                  <v:path arrowok="t"/>
                  <v:fill type="solid"/>
                </v:shape>
                <v:rect style="position:absolute;left:2352;top:-218;width:9553;height:2225" id="docshape5" filled="true" fillcolor="#ffffff" stroked="false">
                  <v:fill type="solid"/>
                </v:rect>
                <w10:wrap type="none"/>
              </v:group>
            </w:pict>
          </mc:Fallback>
        </mc:AlternateContent>
      </w:r>
      <w:r>
        <w:rPr>
          <w:rFonts w:ascii="TT Norms Pro"/>
          <w:spacing w:val="-21"/>
          <w:sz w:val="114"/>
        </w:rPr>
        <w:t>Annual</w:t>
      </w:r>
      <w:r>
        <w:rPr>
          <w:rFonts w:ascii="TT Norms Pro"/>
          <w:spacing w:val="-34"/>
          <w:sz w:val="114"/>
        </w:rPr>
        <w:t> </w:t>
      </w:r>
      <w:r>
        <w:rPr>
          <w:rFonts w:ascii="TT Norms Pro"/>
          <w:spacing w:val="-2"/>
          <w:sz w:val="114"/>
        </w:rPr>
        <w:t>Report</w:t>
      </w:r>
    </w:p>
    <w:p>
      <w:pPr>
        <w:pStyle w:val="Title"/>
      </w:pPr>
      <w:r>
        <w:rPr>
          <w:spacing w:val="-44"/>
        </w:rPr>
        <w:t>2020</w:t>
      </w:r>
    </w:p>
    <w:p>
      <w:pPr>
        <w:pStyle w:val="BodyText"/>
        <w:spacing w:before="408"/>
        <w:rPr>
          <w:rFonts w:ascii="TT Norms Pro Medium"/>
          <w:b/>
          <w:sz w:val="40"/>
        </w:rPr>
      </w:pPr>
    </w:p>
    <w:p>
      <w:pPr>
        <w:spacing w:before="0"/>
        <w:ind w:left="0" w:right="1194" w:firstLine="0"/>
        <w:jc w:val="right"/>
        <w:rPr>
          <w:rFonts w:ascii="Times New Roman"/>
          <w:sz w:val="40"/>
        </w:rPr>
      </w:pPr>
      <w:r>
        <w:rPr>
          <w:b/>
          <w:color w:val="213F9A"/>
          <w:spacing w:val="-2"/>
          <w:w w:val="105"/>
          <w:sz w:val="34"/>
        </w:rPr>
        <w:t>Seek</w:t>
      </w:r>
      <w:r>
        <w:rPr>
          <w:rFonts w:ascii="Times New Roman"/>
          <w:color w:val="213F9A"/>
          <w:spacing w:val="-2"/>
          <w:w w:val="105"/>
          <w:sz w:val="40"/>
        </w:rPr>
        <w:t>Wisdom</w:t>
      </w:r>
    </w:p>
    <w:p>
      <w:pPr>
        <w:spacing w:after="0"/>
        <w:jc w:val="right"/>
        <w:rPr>
          <w:rFonts w:ascii="Times New Roman"/>
          <w:sz w:val="40"/>
        </w:rPr>
        <w:sectPr>
          <w:footerReference w:type="default" r:id="rId5"/>
          <w:type w:val="continuous"/>
          <w:pgSz w:w="11910" w:h="16840"/>
          <w:pgMar w:header="0" w:footer="0" w:top="980" w:bottom="280" w:left="0" w:right="0"/>
          <w:pgNumType w:start="1"/>
        </w:sectPr>
      </w:pPr>
    </w:p>
    <w:p>
      <w:pPr>
        <w:pStyle w:val="BodyText"/>
        <w:rPr>
          <w:rFonts w:ascii="Times New Roman"/>
          <w:sz w:val="27"/>
        </w:rPr>
      </w:pPr>
    </w:p>
    <w:p>
      <w:pPr>
        <w:pStyle w:val="BodyText"/>
        <w:rPr>
          <w:rFonts w:ascii="Times New Roman"/>
          <w:sz w:val="27"/>
        </w:rPr>
      </w:pPr>
    </w:p>
    <w:p>
      <w:pPr>
        <w:pStyle w:val="BodyText"/>
        <w:rPr>
          <w:rFonts w:ascii="Times New Roman"/>
          <w:sz w:val="27"/>
        </w:rPr>
      </w:pPr>
    </w:p>
    <w:p>
      <w:pPr>
        <w:pStyle w:val="BodyText"/>
        <w:rPr>
          <w:rFonts w:ascii="Times New Roman"/>
          <w:sz w:val="27"/>
        </w:rPr>
      </w:pPr>
    </w:p>
    <w:p>
      <w:pPr>
        <w:pStyle w:val="BodyText"/>
        <w:spacing w:before="192"/>
        <w:rPr>
          <w:rFonts w:ascii="Times New Roman"/>
          <w:sz w:val="27"/>
        </w:rPr>
      </w:pPr>
    </w:p>
    <w:p>
      <w:pPr>
        <w:spacing w:before="0"/>
        <w:ind w:left="1216" w:right="0" w:firstLine="0"/>
        <w:jc w:val="left"/>
        <w:rPr>
          <w:b/>
          <w:sz w:val="27"/>
        </w:rPr>
      </w:pPr>
      <w:r>
        <w:rPr>
          <w:b/>
          <w:color w:val="262626"/>
          <w:w w:val="80"/>
          <w:sz w:val="27"/>
        </w:rPr>
        <w:t>STATEMENT</w:t>
      </w:r>
      <w:r>
        <w:rPr>
          <w:b/>
          <w:color w:val="262626"/>
          <w:spacing w:val="42"/>
          <w:w w:val="150"/>
          <w:sz w:val="27"/>
        </w:rPr>
        <w:t> </w:t>
      </w:r>
      <w:r>
        <w:rPr>
          <w:b/>
          <w:color w:val="262626"/>
          <w:w w:val="80"/>
          <w:sz w:val="27"/>
        </w:rPr>
        <w:t>OF</w:t>
      </w:r>
      <w:r>
        <w:rPr>
          <w:b/>
          <w:color w:val="262626"/>
          <w:spacing w:val="29"/>
          <w:sz w:val="27"/>
        </w:rPr>
        <w:t> </w:t>
      </w:r>
      <w:r>
        <w:rPr>
          <w:b/>
          <w:color w:val="262626"/>
          <w:spacing w:val="-2"/>
          <w:w w:val="80"/>
          <w:sz w:val="27"/>
        </w:rPr>
        <w:t>COMPLIANCE</w:t>
      </w:r>
    </w:p>
    <w:p>
      <w:pPr>
        <w:spacing w:line="240" w:lineRule="auto" w:before="16"/>
        <w:rPr>
          <w:b/>
          <w:sz w:val="27"/>
        </w:rPr>
      </w:pPr>
    </w:p>
    <w:p>
      <w:pPr>
        <w:spacing w:before="0"/>
        <w:ind w:left="1211" w:right="0" w:firstLine="0"/>
        <w:jc w:val="left"/>
        <w:rPr>
          <w:sz w:val="19"/>
        </w:rPr>
      </w:pPr>
      <w:r>
        <w:rPr>
          <w:color w:val="262626"/>
          <w:sz w:val="19"/>
        </w:rPr>
        <w:t>Minister</w:t>
      </w:r>
      <w:r>
        <w:rPr>
          <w:color w:val="262626"/>
          <w:spacing w:val="14"/>
          <w:sz w:val="19"/>
        </w:rPr>
        <w:t> </w:t>
      </w:r>
      <w:r>
        <w:rPr>
          <w:color w:val="262626"/>
          <w:sz w:val="19"/>
        </w:rPr>
        <w:t>for</w:t>
      </w:r>
      <w:r>
        <w:rPr>
          <w:color w:val="262626"/>
          <w:spacing w:val="-6"/>
          <w:sz w:val="19"/>
        </w:rPr>
        <w:t> </w:t>
      </w:r>
      <w:r>
        <w:rPr>
          <w:color w:val="262626"/>
          <w:spacing w:val="-2"/>
          <w:sz w:val="19"/>
        </w:rPr>
        <w:t>Education</w:t>
      </w:r>
    </w:p>
    <w:p>
      <w:pPr>
        <w:spacing w:line="240" w:lineRule="auto" w:before="82"/>
        <w:rPr>
          <w:sz w:val="19"/>
        </w:rPr>
      </w:pPr>
    </w:p>
    <w:p>
      <w:pPr>
        <w:spacing w:line="285" w:lineRule="auto" w:before="0"/>
        <w:ind w:left="1203" w:right="1677" w:firstLine="4"/>
        <w:jc w:val="left"/>
        <w:rPr>
          <w:sz w:val="19"/>
        </w:rPr>
      </w:pPr>
      <w:r>
        <w:rPr>
          <w:color w:val="262626"/>
          <w:w w:val="105"/>
          <w:sz w:val="19"/>
        </w:rPr>
        <w:t>In accordance with</w:t>
      </w:r>
      <w:r>
        <w:rPr>
          <w:color w:val="262626"/>
          <w:spacing w:val="-6"/>
          <w:w w:val="105"/>
          <w:sz w:val="19"/>
        </w:rPr>
        <w:t> </w:t>
      </w:r>
      <w:r>
        <w:rPr>
          <w:color w:val="262626"/>
          <w:w w:val="105"/>
          <w:sz w:val="19"/>
        </w:rPr>
        <w:t>Section 63 of the </w:t>
      </w:r>
      <w:r>
        <w:rPr>
          <w:i/>
          <w:color w:val="262626"/>
          <w:w w:val="105"/>
          <w:sz w:val="19"/>
        </w:rPr>
        <w:t>Financial Management</w:t>
      </w:r>
      <w:r>
        <w:rPr>
          <w:i/>
          <w:color w:val="262626"/>
          <w:spacing w:val="40"/>
          <w:w w:val="105"/>
          <w:sz w:val="19"/>
        </w:rPr>
        <w:t> </w:t>
      </w:r>
      <w:r>
        <w:rPr>
          <w:i/>
          <w:color w:val="262626"/>
          <w:w w:val="105"/>
          <w:sz w:val="19"/>
        </w:rPr>
        <w:t>Act </w:t>
      </w:r>
      <w:r>
        <w:rPr>
          <w:color w:val="262626"/>
          <w:w w:val="105"/>
          <w:sz w:val="19"/>
        </w:rPr>
        <w:t>2006, we</w:t>
      </w:r>
      <w:r>
        <w:rPr>
          <w:color w:val="262626"/>
          <w:spacing w:val="40"/>
          <w:w w:val="105"/>
          <w:sz w:val="19"/>
        </w:rPr>
        <w:t> </w:t>
      </w:r>
      <w:r>
        <w:rPr>
          <w:color w:val="262626"/>
          <w:w w:val="105"/>
          <w:sz w:val="19"/>
        </w:rPr>
        <w:t>hereby submit for your information</w:t>
      </w:r>
      <w:r>
        <w:rPr>
          <w:color w:val="262626"/>
          <w:spacing w:val="-10"/>
          <w:w w:val="105"/>
          <w:sz w:val="19"/>
        </w:rPr>
        <w:t> </w:t>
      </w:r>
      <w:r>
        <w:rPr>
          <w:color w:val="262626"/>
          <w:w w:val="105"/>
          <w:sz w:val="19"/>
        </w:rPr>
        <w:t>and</w:t>
      </w:r>
      <w:r>
        <w:rPr>
          <w:color w:val="262626"/>
          <w:w w:val="105"/>
          <w:sz w:val="19"/>
        </w:rPr>
        <w:t> presentation</w:t>
      </w:r>
      <w:r>
        <w:rPr>
          <w:color w:val="262626"/>
          <w:spacing w:val="-1"/>
          <w:w w:val="105"/>
          <w:sz w:val="19"/>
        </w:rPr>
        <w:t> </w:t>
      </w:r>
      <w:r>
        <w:rPr>
          <w:color w:val="262626"/>
          <w:w w:val="105"/>
          <w:sz w:val="19"/>
        </w:rPr>
        <w:t>to</w:t>
      </w:r>
      <w:r>
        <w:rPr>
          <w:color w:val="262626"/>
          <w:spacing w:val="-3"/>
          <w:w w:val="105"/>
          <w:sz w:val="19"/>
        </w:rPr>
        <w:t> </w:t>
      </w:r>
      <w:r>
        <w:rPr>
          <w:color w:val="262626"/>
          <w:w w:val="105"/>
          <w:sz w:val="19"/>
        </w:rPr>
        <w:t>Parliament,</w:t>
      </w:r>
      <w:r>
        <w:rPr>
          <w:color w:val="262626"/>
          <w:spacing w:val="-3"/>
          <w:w w:val="105"/>
          <w:sz w:val="19"/>
        </w:rPr>
        <w:t> </w:t>
      </w:r>
      <w:r>
        <w:rPr>
          <w:color w:val="262626"/>
          <w:w w:val="105"/>
          <w:sz w:val="19"/>
        </w:rPr>
        <w:t>the</w:t>
      </w:r>
      <w:r>
        <w:rPr>
          <w:color w:val="262626"/>
          <w:spacing w:val="-4"/>
          <w:w w:val="105"/>
          <w:sz w:val="19"/>
        </w:rPr>
        <w:t> </w:t>
      </w:r>
      <w:r>
        <w:rPr>
          <w:color w:val="262626"/>
          <w:w w:val="105"/>
          <w:sz w:val="19"/>
        </w:rPr>
        <w:t>Annual</w:t>
      </w:r>
      <w:r>
        <w:rPr>
          <w:color w:val="262626"/>
          <w:spacing w:val="-12"/>
          <w:w w:val="105"/>
          <w:sz w:val="19"/>
        </w:rPr>
        <w:t> </w:t>
      </w:r>
      <w:r>
        <w:rPr>
          <w:color w:val="262626"/>
          <w:w w:val="105"/>
          <w:sz w:val="19"/>
        </w:rPr>
        <w:t>Report</w:t>
      </w:r>
      <w:r>
        <w:rPr>
          <w:color w:val="262626"/>
          <w:spacing w:val="-7"/>
          <w:w w:val="105"/>
          <w:sz w:val="19"/>
        </w:rPr>
        <w:t> </w:t>
      </w:r>
      <w:r>
        <w:rPr>
          <w:color w:val="262626"/>
          <w:w w:val="105"/>
          <w:sz w:val="19"/>
        </w:rPr>
        <w:t>of</w:t>
      </w:r>
      <w:r>
        <w:rPr>
          <w:color w:val="262626"/>
          <w:spacing w:val="-12"/>
          <w:w w:val="105"/>
          <w:sz w:val="19"/>
        </w:rPr>
        <w:t> </w:t>
      </w:r>
      <w:r>
        <w:rPr>
          <w:color w:val="262626"/>
          <w:w w:val="105"/>
          <w:sz w:val="19"/>
        </w:rPr>
        <w:t>The</w:t>
      </w:r>
      <w:r>
        <w:rPr>
          <w:color w:val="262626"/>
          <w:spacing w:val="-10"/>
          <w:w w:val="105"/>
          <w:sz w:val="19"/>
        </w:rPr>
        <w:t> </w:t>
      </w:r>
      <w:r>
        <w:rPr>
          <w:color w:val="262626"/>
          <w:w w:val="105"/>
          <w:sz w:val="19"/>
        </w:rPr>
        <w:t>University</w:t>
      </w:r>
      <w:r>
        <w:rPr>
          <w:color w:val="262626"/>
          <w:spacing w:val="-1"/>
          <w:w w:val="105"/>
          <w:sz w:val="19"/>
        </w:rPr>
        <w:t> </w:t>
      </w:r>
      <w:r>
        <w:rPr>
          <w:color w:val="262626"/>
          <w:w w:val="105"/>
          <w:sz w:val="19"/>
        </w:rPr>
        <w:t>of</w:t>
      </w:r>
      <w:r>
        <w:rPr>
          <w:color w:val="262626"/>
          <w:spacing w:val="-3"/>
          <w:w w:val="105"/>
          <w:sz w:val="19"/>
        </w:rPr>
        <w:t> </w:t>
      </w:r>
      <w:r>
        <w:rPr>
          <w:color w:val="262626"/>
          <w:w w:val="105"/>
          <w:sz w:val="19"/>
        </w:rPr>
        <w:t>Western Australia for the financial year ended 31 December 2020.</w:t>
      </w:r>
    </w:p>
    <w:p>
      <w:pPr>
        <w:spacing w:line="240" w:lineRule="auto" w:before="39"/>
        <w:rPr>
          <w:sz w:val="19"/>
        </w:rPr>
      </w:pPr>
    </w:p>
    <w:p>
      <w:pPr>
        <w:spacing w:line="290" w:lineRule="auto" w:before="1"/>
        <w:ind w:left="1192" w:right="1677" w:firstLine="10"/>
        <w:jc w:val="left"/>
        <w:rPr>
          <w:sz w:val="19"/>
        </w:rPr>
      </w:pPr>
      <w:r>
        <w:rPr>
          <w:color w:val="262626"/>
          <w:w w:val="110"/>
          <w:sz w:val="19"/>
        </w:rPr>
        <w:t>The</w:t>
      </w:r>
      <w:r>
        <w:rPr>
          <w:color w:val="262626"/>
          <w:spacing w:val="-15"/>
          <w:w w:val="110"/>
          <w:sz w:val="19"/>
        </w:rPr>
        <w:t> </w:t>
      </w:r>
      <w:r>
        <w:rPr>
          <w:color w:val="262626"/>
          <w:w w:val="110"/>
          <w:sz w:val="19"/>
        </w:rPr>
        <w:t>Annual</w:t>
      </w:r>
      <w:r>
        <w:rPr>
          <w:color w:val="262626"/>
          <w:spacing w:val="-13"/>
          <w:w w:val="110"/>
          <w:sz w:val="19"/>
        </w:rPr>
        <w:t> </w:t>
      </w:r>
      <w:r>
        <w:rPr>
          <w:color w:val="262626"/>
          <w:w w:val="110"/>
          <w:sz w:val="19"/>
        </w:rPr>
        <w:t>Report</w:t>
      </w:r>
      <w:r>
        <w:rPr>
          <w:color w:val="262626"/>
          <w:spacing w:val="-8"/>
          <w:w w:val="110"/>
          <w:sz w:val="19"/>
        </w:rPr>
        <w:t> </w:t>
      </w:r>
      <w:r>
        <w:rPr>
          <w:color w:val="262626"/>
          <w:w w:val="110"/>
          <w:sz w:val="19"/>
        </w:rPr>
        <w:t>has</w:t>
      </w:r>
      <w:r>
        <w:rPr>
          <w:color w:val="262626"/>
          <w:spacing w:val="-9"/>
          <w:w w:val="110"/>
          <w:sz w:val="19"/>
        </w:rPr>
        <w:t> </w:t>
      </w:r>
      <w:r>
        <w:rPr>
          <w:color w:val="262626"/>
          <w:w w:val="110"/>
          <w:sz w:val="19"/>
        </w:rPr>
        <w:t>been</w:t>
      </w:r>
      <w:r>
        <w:rPr>
          <w:color w:val="262626"/>
          <w:spacing w:val="-15"/>
          <w:w w:val="110"/>
          <w:sz w:val="19"/>
        </w:rPr>
        <w:t> </w:t>
      </w:r>
      <w:r>
        <w:rPr>
          <w:color w:val="262626"/>
          <w:w w:val="110"/>
          <w:sz w:val="19"/>
        </w:rPr>
        <w:t>prepared</w:t>
      </w:r>
      <w:r>
        <w:rPr>
          <w:color w:val="262626"/>
          <w:spacing w:val="-15"/>
          <w:w w:val="110"/>
          <w:sz w:val="19"/>
        </w:rPr>
        <w:t> </w:t>
      </w:r>
      <w:r>
        <w:rPr>
          <w:color w:val="262626"/>
          <w:w w:val="110"/>
          <w:sz w:val="19"/>
        </w:rPr>
        <w:t>in</w:t>
      </w:r>
      <w:r>
        <w:rPr>
          <w:color w:val="262626"/>
          <w:spacing w:val="-21"/>
          <w:w w:val="110"/>
          <w:sz w:val="19"/>
        </w:rPr>
        <w:t> </w:t>
      </w:r>
      <w:r>
        <w:rPr>
          <w:color w:val="262626"/>
          <w:w w:val="110"/>
          <w:sz w:val="19"/>
        </w:rPr>
        <w:t>accordance</w:t>
      </w:r>
      <w:r>
        <w:rPr>
          <w:color w:val="262626"/>
          <w:spacing w:val="-8"/>
          <w:w w:val="110"/>
          <w:sz w:val="19"/>
        </w:rPr>
        <w:t> </w:t>
      </w:r>
      <w:r>
        <w:rPr>
          <w:color w:val="262626"/>
          <w:w w:val="110"/>
          <w:sz w:val="19"/>
        </w:rPr>
        <w:t>with</w:t>
      </w:r>
      <w:r>
        <w:rPr>
          <w:color w:val="262626"/>
          <w:spacing w:val="-9"/>
          <w:w w:val="110"/>
          <w:sz w:val="19"/>
        </w:rPr>
        <w:t> </w:t>
      </w:r>
      <w:r>
        <w:rPr>
          <w:color w:val="262626"/>
          <w:w w:val="110"/>
          <w:sz w:val="19"/>
        </w:rPr>
        <w:t>the</w:t>
      </w:r>
      <w:r>
        <w:rPr>
          <w:color w:val="262626"/>
          <w:spacing w:val="-15"/>
          <w:w w:val="110"/>
          <w:sz w:val="19"/>
        </w:rPr>
        <w:t> </w:t>
      </w:r>
      <w:r>
        <w:rPr>
          <w:color w:val="262626"/>
          <w:w w:val="110"/>
          <w:sz w:val="19"/>
        </w:rPr>
        <w:t>provisions</w:t>
      </w:r>
      <w:r>
        <w:rPr>
          <w:color w:val="262626"/>
          <w:spacing w:val="-4"/>
          <w:w w:val="110"/>
          <w:sz w:val="19"/>
        </w:rPr>
        <w:t> </w:t>
      </w:r>
      <w:r>
        <w:rPr>
          <w:color w:val="262626"/>
          <w:w w:val="110"/>
          <w:sz w:val="19"/>
        </w:rPr>
        <w:t>of</w:t>
      </w:r>
      <w:r>
        <w:rPr>
          <w:color w:val="262626"/>
          <w:spacing w:val="-2"/>
          <w:w w:val="110"/>
          <w:sz w:val="19"/>
        </w:rPr>
        <w:t> </w:t>
      </w:r>
      <w:r>
        <w:rPr>
          <w:color w:val="262626"/>
          <w:w w:val="110"/>
          <w:sz w:val="19"/>
        </w:rPr>
        <w:t>the</w:t>
      </w:r>
      <w:r>
        <w:rPr>
          <w:color w:val="262626"/>
          <w:spacing w:val="-15"/>
          <w:w w:val="110"/>
          <w:sz w:val="19"/>
        </w:rPr>
        <w:t> </w:t>
      </w:r>
      <w:r>
        <w:rPr>
          <w:i/>
          <w:color w:val="262626"/>
          <w:w w:val="110"/>
          <w:sz w:val="19"/>
        </w:rPr>
        <w:t>Financial</w:t>
      </w:r>
      <w:r>
        <w:rPr>
          <w:i/>
          <w:color w:val="262626"/>
          <w:w w:val="110"/>
          <w:sz w:val="19"/>
        </w:rPr>
        <w:t> </w:t>
      </w:r>
      <w:r>
        <w:rPr>
          <w:i/>
          <w:color w:val="262626"/>
          <w:spacing w:val="-2"/>
          <w:w w:val="110"/>
          <w:sz w:val="19"/>
        </w:rPr>
        <w:t>Management</w:t>
      </w:r>
      <w:r>
        <w:rPr>
          <w:i/>
          <w:color w:val="262626"/>
          <w:spacing w:val="-11"/>
          <w:w w:val="110"/>
          <w:sz w:val="19"/>
        </w:rPr>
        <w:t> </w:t>
      </w:r>
      <w:r>
        <w:rPr>
          <w:i/>
          <w:color w:val="262626"/>
          <w:spacing w:val="-2"/>
          <w:w w:val="110"/>
          <w:sz w:val="19"/>
        </w:rPr>
        <w:t>Act</w:t>
      </w:r>
      <w:r>
        <w:rPr>
          <w:i/>
          <w:color w:val="262626"/>
          <w:spacing w:val="-12"/>
          <w:w w:val="110"/>
          <w:sz w:val="19"/>
        </w:rPr>
        <w:t> </w:t>
      </w:r>
      <w:r>
        <w:rPr>
          <w:color w:val="262626"/>
          <w:spacing w:val="-2"/>
          <w:w w:val="110"/>
          <w:sz w:val="19"/>
        </w:rPr>
        <w:t>2006</w:t>
      </w:r>
      <w:r>
        <w:rPr>
          <w:color w:val="262626"/>
          <w:spacing w:val="-12"/>
          <w:w w:val="110"/>
          <w:sz w:val="19"/>
        </w:rPr>
        <w:t> </w:t>
      </w:r>
      <w:r>
        <w:rPr>
          <w:color w:val="262626"/>
          <w:spacing w:val="-2"/>
          <w:w w:val="110"/>
          <w:sz w:val="19"/>
        </w:rPr>
        <w:t>and</w:t>
      </w:r>
      <w:r>
        <w:rPr>
          <w:color w:val="262626"/>
          <w:spacing w:val="26"/>
          <w:w w:val="110"/>
          <w:sz w:val="19"/>
        </w:rPr>
        <w:t> </w:t>
      </w:r>
      <w:r>
        <w:rPr>
          <w:color w:val="262626"/>
          <w:spacing w:val="-2"/>
          <w:w w:val="110"/>
          <w:sz w:val="19"/>
        </w:rPr>
        <w:t>is</w:t>
      </w:r>
      <w:r>
        <w:rPr>
          <w:color w:val="262626"/>
          <w:spacing w:val="-17"/>
          <w:w w:val="110"/>
          <w:sz w:val="19"/>
        </w:rPr>
        <w:t> </w:t>
      </w:r>
      <w:r>
        <w:rPr>
          <w:color w:val="262626"/>
          <w:spacing w:val="-2"/>
          <w:w w:val="110"/>
          <w:sz w:val="19"/>
        </w:rPr>
        <w:t>made</w:t>
      </w:r>
      <w:r>
        <w:rPr>
          <w:color w:val="262626"/>
          <w:spacing w:val="-12"/>
          <w:w w:val="110"/>
          <w:sz w:val="19"/>
        </w:rPr>
        <w:t> </w:t>
      </w:r>
      <w:r>
        <w:rPr>
          <w:color w:val="262626"/>
          <w:spacing w:val="-2"/>
          <w:w w:val="110"/>
          <w:sz w:val="19"/>
        </w:rPr>
        <w:t>in</w:t>
      </w:r>
      <w:r>
        <w:rPr>
          <w:color w:val="262626"/>
          <w:spacing w:val="-13"/>
          <w:w w:val="110"/>
          <w:sz w:val="19"/>
        </w:rPr>
        <w:t> </w:t>
      </w:r>
      <w:r>
        <w:rPr>
          <w:color w:val="262626"/>
          <w:spacing w:val="-2"/>
          <w:w w:val="110"/>
          <w:sz w:val="19"/>
        </w:rPr>
        <w:t>accordance</w:t>
      </w:r>
      <w:r>
        <w:rPr>
          <w:color w:val="262626"/>
          <w:spacing w:val="-4"/>
          <w:w w:val="110"/>
          <w:sz w:val="19"/>
        </w:rPr>
        <w:t> </w:t>
      </w:r>
      <w:r>
        <w:rPr>
          <w:color w:val="262626"/>
          <w:spacing w:val="-2"/>
          <w:w w:val="110"/>
          <w:sz w:val="19"/>
        </w:rPr>
        <w:t>with</w:t>
      </w:r>
      <w:r>
        <w:rPr>
          <w:color w:val="262626"/>
          <w:spacing w:val="-13"/>
          <w:w w:val="110"/>
          <w:sz w:val="19"/>
        </w:rPr>
        <w:t> </w:t>
      </w:r>
      <w:r>
        <w:rPr>
          <w:color w:val="262626"/>
          <w:spacing w:val="-2"/>
          <w:w w:val="110"/>
          <w:sz w:val="19"/>
        </w:rPr>
        <w:t>a</w:t>
      </w:r>
      <w:r>
        <w:rPr>
          <w:color w:val="262626"/>
          <w:spacing w:val="-10"/>
          <w:w w:val="110"/>
          <w:sz w:val="19"/>
        </w:rPr>
        <w:t> </w:t>
      </w:r>
      <w:r>
        <w:rPr>
          <w:color w:val="262626"/>
          <w:spacing w:val="-2"/>
          <w:w w:val="110"/>
          <w:sz w:val="19"/>
        </w:rPr>
        <w:t>resolution</w:t>
      </w:r>
      <w:r>
        <w:rPr>
          <w:color w:val="262626"/>
          <w:spacing w:val="-6"/>
          <w:w w:val="110"/>
          <w:sz w:val="19"/>
        </w:rPr>
        <w:t> </w:t>
      </w:r>
      <w:r>
        <w:rPr>
          <w:color w:val="262626"/>
          <w:spacing w:val="-2"/>
          <w:w w:val="110"/>
          <w:sz w:val="19"/>
        </w:rPr>
        <w:t>of</w:t>
      </w:r>
      <w:r>
        <w:rPr>
          <w:color w:val="262626"/>
          <w:spacing w:val="-3"/>
          <w:w w:val="110"/>
          <w:sz w:val="19"/>
        </w:rPr>
        <w:t> </w:t>
      </w:r>
      <w:r>
        <w:rPr>
          <w:color w:val="262626"/>
          <w:spacing w:val="-2"/>
          <w:w w:val="110"/>
          <w:sz w:val="19"/>
        </w:rPr>
        <w:t>the</w:t>
      </w:r>
      <w:r>
        <w:rPr>
          <w:color w:val="262626"/>
          <w:spacing w:val="-13"/>
          <w:w w:val="110"/>
          <w:sz w:val="19"/>
        </w:rPr>
        <w:t> </w:t>
      </w:r>
      <w:r>
        <w:rPr>
          <w:color w:val="262626"/>
          <w:spacing w:val="-2"/>
          <w:w w:val="110"/>
          <w:sz w:val="19"/>
        </w:rPr>
        <w:t>University's</w:t>
      </w:r>
      <w:r>
        <w:rPr>
          <w:color w:val="262626"/>
          <w:spacing w:val="-7"/>
          <w:w w:val="110"/>
          <w:sz w:val="19"/>
        </w:rPr>
        <w:t> </w:t>
      </w:r>
      <w:r>
        <w:rPr>
          <w:color w:val="262626"/>
          <w:spacing w:val="-2"/>
          <w:w w:val="110"/>
          <w:sz w:val="19"/>
        </w:rPr>
        <w:t>Senate.</w:t>
      </w:r>
    </w:p>
    <w:p>
      <w:pPr>
        <w:spacing w:line="240" w:lineRule="auto" w:before="5" w:after="0"/>
        <w:rPr>
          <w:sz w:val="15"/>
        </w:rPr>
      </w:pPr>
    </w:p>
    <w:p>
      <w:pPr>
        <w:tabs>
          <w:tab w:pos="6770" w:val="left" w:leader="none"/>
        </w:tabs>
        <w:spacing w:line="240" w:lineRule="auto"/>
        <w:ind w:left="1365" w:right="0" w:firstLine="0"/>
        <w:rPr>
          <w:sz w:val="20"/>
        </w:rPr>
      </w:pPr>
      <w:r>
        <w:rPr>
          <w:sz w:val="20"/>
        </w:rPr>
        <w:drawing>
          <wp:inline distT="0" distB="0" distL="0" distR="0">
            <wp:extent cx="451390" cy="609600"/>
            <wp:effectExtent l="0" t="0" r="0" b="0"/>
            <wp:docPr id="9" name="Image 9"/>
            <wp:cNvGraphicFramePr>
              <a:graphicFrameLocks/>
            </wp:cNvGraphicFramePr>
            <a:graphic>
              <a:graphicData uri="http://schemas.openxmlformats.org/drawingml/2006/picture">
                <pic:pic>
                  <pic:nvPicPr>
                    <pic:cNvPr id="9" name="Image 9"/>
                    <pic:cNvPicPr/>
                  </pic:nvPicPr>
                  <pic:blipFill>
                    <a:blip r:embed="rId11" cstate="print"/>
                    <a:stretch>
                      <a:fillRect/>
                    </a:stretch>
                  </pic:blipFill>
                  <pic:spPr>
                    <a:xfrm>
                      <a:off x="0" y="0"/>
                      <a:ext cx="451390" cy="609600"/>
                    </a:xfrm>
                    <a:prstGeom prst="rect">
                      <a:avLst/>
                    </a:prstGeom>
                  </pic:spPr>
                </pic:pic>
              </a:graphicData>
            </a:graphic>
          </wp:inline>
        </w:drawing>
      </w:r>
      <w:r>
        <w:rPr>
          <w:sz w:val="20"/>
        </w:rPr>
      </w:r>
      <w:r>
        <w:rPr>
          <w:sz w:val="20"/>
        </w:rPr>
        <w:tab/>
      </w:r>
      <w:r>
        <w:rPr>
          <w:sz w:val="20"/>
        </w:rPr>
        <w:drawing>
          <wp:inline distT="0" distB="0" distL="0" distR="0">
            <wp:extent cx="1561567" cy="682751"/>
            <wp:effectExtent l="0" t="0" r="0" b="0"/>
            <wp:docPr id="10" name="Image 10"/>
            <wp:cNvGraphicFramePr>
              <a:graphicFrameLocks/>
            </wp:cNvGraphicFramePr>
            <a:graphic>
              <a:graphicData uri="http://schemas.openxmlformats.org/drawingml/2006/picture">
                <pic:pic>
                  <pic:nvPicPr>
                    <pic:cNvPr id="10" name="Image 10"/>
                    <pic:cNvPicPr/>
                  </pic:nvPicPr>
                  <pic:blipFill>
                    <a:blip r:embed="rId12" cstate="print"/>
                    <a:stretch>
                      <a:fillRect/>
                    </a:stretch>
                  </pic:blipFill>
                  <pic:spPr>
                    <a:xfrm>
                      <a:off x="0" y="0"/>
                      <a:ext cx="1561567" cy="682751"/>
                    </a:xfrm>
                    <a:prstGeom prst="rect">
                      <a:avLst/>
                    </a:prstGeom>
                  </pic:spPr>
                </pic:pic>
              </a:graphicData>
            </a:graphic>
          </wp:inline>
        </w:drawing>
      </w:r>
      <w:r>
        <w:rPr>
          <w:sz w:val="20"/>
        </w:rPr>
      </w:r>
    </w:p>
    <w:p>
      <w:pPr>
        <w:spacing w:after="0" w:line="240" w:lineRule="auto"/>
        <w:rPr>
          <w:sz w:val="20"/>
        </w:rPr>
        <w:sectPr>
          <w:headerReference w:type="even" r:id="rId9"/>
          <w:headerReference w:type="default" r:id="rId10"/>
          <w:pgSz w:w="11910" w:h="16840"/>
          <w:pgMar w:header="490" w:footer="0" w:top="780" w:bottom="0" w:left="0" w:right="0"/>
          <w:pgNumType w:start="0"/>
        </w:sectPr>
      </w:pPr>
    </w:p>
    <w:p>
      <w:pPr>
        <w:spacing w:before="33"/>
        <w:ind w:left="1193" w:right="0" w:firstLine="0"/>
        <w:jc w:val="left"/>
        <w:rPr>
          <w:b/>
          <w:sz w:val="19"/>
        </w:rPr>
      </w:pPr>
      <w:r>
        <w:rPr/>
        <w:drawing>
          <wp:anchor distT="0" distB="0" distL="0" distR="0" allowOverlap="1" layoutInCell="1" locked="0" behindDoc="1" simplePos="0" relativeHeight="472583168">
            <wp:simplePos x="0" y="0"/>
            <wp:positionH relativeFrom="page">
              <wp:posOffset>1624359</wp:posOffset>
            </wp:positionH>
            <wp:positionV relativeFrom="paragraph">
              <wp:posOffset>-338456</wp:posOffset>
            </wp:positionV>
            <wp:extent cx="268690" cy="411934"/>
            <wp:effectExtent l="0" t="0" r="0" b="0"/>
            <wp:wrapNone/>
            <wp:docPr id="11" name="Image 11"/>
            <wp:cNvGraphicFramePr>
              <a:graphicFrameLocks/>
            </wp:cNvGraphicFramePr>
            <a:graphic>
              <a:graphicData uri="http://schemas.openxmlformats.org/drawingml/2006/picture">
                <pic:pic>
                  <pic:nvPicPr>
                    <pic:cNvPr id="11" name="Image 11"/>
                    <pic:cNvPicPr/>
                  </pic:nvPicPr>
                  <pic:blipFill>
                    <a:blip r:embed="rId13" cstate="print"/>
                    <a:stretch>
                      <a:fillRect/>
                    </a:stretch>
                  </pic:blipFill>
                  <pic:spPr>
                    <a:xfrm>
                      <a:off x="0" y="0"/>
                      <a:ext cx="268690" cy="411934"/>
                    </a:xfrm>
                    <a:prstGeom prst="rect">
                      <a:avLst/>
                    </a:prstGeom>
                  </pic:spPr>
                </pic:pic>
              </a:graphicData>
            </a:graphic>
          </wp:anchor>
        </w:drawing>
      </w:r>
      <w:r>
        <w:rPr>
          <w:b/>
          <w:color w:val="262626"/>
          <w:spacing w:val="-8"/>
          <w:sz w:val="19"/>
        </w:rPr>
        <w:t>Robert</w:t>
      </w:r>
      <w:r>
        <w:rPr>
          <w:b/>
          <w:color w:val="262626"/>
          <w:spacing w:val="-1"/>
          <w:sz w:val="19"/>
        </w:rPr>
        <w:t> </w:t>
      </w:r>
      <w:r>
        <w:rPr>
          <w:b/>
          <w:color w:val="262626"/>
          <w:spacing w:val="-8"/>
          <w:sz w:val="19"/>
        </w:rPr>
        <w:t>S</w:t>
      </w:r>
      <w:r>
        <w:rPr>
          <w:b/>
          <w:color w:val="262626"/>
          <w:spacing w:val="-6"/>
          <w:sz w:val="19"/>
        </w:rPr>
        <w:t> </w:t>
      </w:r>
      <w:r>
        <w:rPr>
          <w:b/>
          <w:color w:val="262626"/>
          <w:spacing w:val="-8"/>
          <w:sz w:val="19"/>
        </w:rPr>
        <w:t>French</w:t>
      </w:r>
    </w:p>
    <w:p>
      <w:pPr>
        <w:spacing w:before="41"/>
        <w:ind w:left="1192" w:right="0" w:firstLine="0"/>
        <w:jc w:val="left"/>
        <w:rPr>
          <w:sz w:val="19"/>
        </w:rPr>
      </w:pPr>
      <w:r>
        <w:rPr>
          <w:color w:val="262626"/>
          <w:spacing w:val="-2"/>
          <w:w w:val="110"/>
          <w:sz w:val="19"/>
        </w:rPr>
        <w:t>Chancellor</w:t>
      </w:r>
    </w:p>
    <w:p>
      <w:pPr>
        <w:spacing w:before="33"/>
        <w:ind w:left="1264" w:right="0" w:firstLine="0"/>
        <w:jc w:val="left"/>
        <w:rPr>
          <w:b/>
          <w:sz w:val="19"/>
        </w:rPr>
      </w:pPr>
      <w:r>
        <w:rPr/>
        <w:br w:type="column"/>
      </w:r>
      <w:r>
        <w:rPr>
          <w:b/>
          <w:color w:val="262626"/>
          <w:spacing w:val="-2"/>
          <w:w w:val="105"/>
          <w:sz w:val="19"/>
        </w:rPr>
        <w:t>AmitChakma</w:t>
      </w:r>
    </w:p>
    <w:p>
      <w:pPr>
        <w:spacing w:before="37"/>
        <w:ind w:left="1268" w:right="0" w:firstLine="0"/>
        <w:jc w:val="left"/>
        <w:rPr>
          <w:sz w:val="19"/>
        </w:rPr>
      </w:pPr>
      <w:r>
        <w:rPr>
          <w:color w:val="262626"/>
          <w:w w:val="105"/>
          <w:sz w:val="19"/>
        </w:rPr>
        <w:t>Vice-</w:t>
      </w:r>
      <w:r>
        <w:rPr>
          <w:color w:val="262626"/>
          <w:spacing w:val="-2"/>
          <w:w w:val="110"/>
          <w:sz w:val="19"/>
        </w:rPr>
        <w:t>Chancellor</w:t>
      </w:r>
    </w:p>
    <w:p>
      <w:pPr>
        <w:spacing w:after="0"/>
        <w:jc w:val="left"/>
        <w:rPr>
          <w:sz w:val="19"/>
        </w:rPr>
        <w:sectPr>
          <w:type w:val="continuous"/>
          <w:pgSz w:w="11910" w:h="16840"/>
          <w:pgMar w:header="490" w:footer="0" w:top="980" w:bottom="280" w:left="0" w:right="0"/>
          <w:cols w:num="2" w:equalWidth="0">
            <w:col w:w="3022" w:space="2556"/>
            <w:col w:w="6332"/>
          </w:cols>
        </w:sectPr>
      </w:pPr>
    </w:p>
    <w:p>
      <w:pPr>
        <w:spacing w:line="240" w:lineRule="auto" w:before="111"/>
        <w:rPr>
          <w:sz w:val="19"/>
        </w:rPr>
      </w:pPr>
    </w:p>
    <w:p>
      <w:pPr>
        <w:spacing w:before="0"/>
        <w:ind w:left="1187" w:right="0" w:firstLine="0"/>
        <w:jc w:val="left"/>
        <w:rPr>
          <w:sz w:val="19"/>
        </w:rPr>
      </w:pPr>
      <w:r>
        <w:rPr/>
        <mc:AlternateContent>
          <mc:Choice Requires="wps">
            <w:drawing>
              <wp:anchor distT="0" distB="0" distL="0" distR="0" allowOverlap="1" layoutInCell="1" locked="0" behindDoc="0" simplePos="0" relativeHeight="15730176">
                <wp:simplePos x="0" y="0"/>
                <wp:positionH relativeFrom="page">
                  <wp:posOffset>0</wp:posOffset>
                </wp:positionH>
                <wp:positionV relativeFrom="paragraph">
                  <wp:posOffset>1004452</wp:posOffset>
                </wp:positionV>
                <wp:extent cx="7560309" cy="5008880"/>
                <wp:effectExtent l="0" t="0" r="0" b="0"/>
                <wp:wrapNone/>
                <wp:docPr id="12" name="Group 12"/>
                <wp:cNvGraphicFramePr>
                  <a:graphicFrameLocks/>
                </wp:cNvGraphicFramePr>
                <a:graphic>
                  <a:graphicData uri="http://schemas.microsoft.com/office/word/2010/wordprocessingGroup">
                    <wpg:wgp>
                      <wpg:cNvPr id="12" name="Group 12"/>
                      <wpg:cNvGrpSpPr/>
                      <wpg:grpSpPr>
                        <a:xfrm>
                          <a:off x="0" y="0"/>
                          <a:ext cx="7560309" cy="5008880"/>
                          <a:chExt cx="7560309" cy="5008880"/>
                        </a:xfrm>
                      </wpg:grpSpPr>
                      <pic:pic>
                        <pic:nvPicPr>
                          <pic:cNvPr id="13" name="Image 13"/>
                          <pic:cNvPicPr/>
                        </pic:nvPicPr>
                        <pic:blipFill>
                          <a:blip r:embed="rId14" cstate="print"/>
                          <a:stretch>
                            <a:fillRect/>
                          </a:stretch>
                        </pic:blipFill>
                        <pic:spPr>
                          <a:xfrm>
                            <a:off x="0" y="0"/>
                            <a:ext cx="7559986" cy="5004241"/>
                          </a:xfrm>
                          <a:prstGeom prst="rect">
                            <a:avLst/>
                          </a:prstGeom>
                        </pic:spPr>
                      </pic:pic>
                      <wps:wsp>
                        <wps:cNvPr id="14" name="Graphic 14"/>
                        <wps:cNvSpPr/>
                        <wps:spPr>
                          <a:xfrm>
                            <a:off x="7550827" y="1904054"/>
                            <a:ext cx="1270" cy="574040"/>
                          </a:xfrm>
                          <a:custGeom>
                            <a:avLst/>
                            <a:gdLst/>
                            <a:ahLst/>
                            <a:cxnLst/>
                            <a:rect l="l" t="t" r="r" b="b"/>
                            <a:pathLst>
                              <a:path w="0" h="574040">
                                <a:moveTo>
                                  <a:pt x="0" y="573657"/>
                                </a:moveTo>
                                <a:lnTo>
                                  <a:pt x="0" y="0"/>
                                </a:lnTo>
                              </a:path>
                            </a:pathLst>
                          </a:custGeom>
                          <a:ln w="18319">
                            <a:solidFill>
                              <a:srgbClr val="000000"/>
                            </a:solidFill>
                            <a:prstDash val="solid"/>
                          </a:ln>
                        </wps:spPr>
                        <wps:bodyPr wrap="square" lIns="0" tIns="0" rIns="0" bIns="0" rtlCol="0">
                          <a:prstTxWarp prst="textNoShape">
                            <a:avLst/>
                          </a:prstTxWarp>
                          <a:noAutofit/>
                        </wps:bodyPr>
                      </wps:wsp>
                      <wps:wsp>
                        <wps:cNvPr id="15" name="Graphic 15"/>
                        <wps:cNvSpPr/>
                        <wps:spPr>
                          <a:xfrm>
                            <a:off x="6900473" y="4998142"/>
                            <a:ext cx="537845" cy="1270"/>
                          </a:xfrm>
                          <a:custGeom>
                            <a:avLst/>
                            <a:gdLst/>
                            <a:ahLst/>
                            <a:cxnLst/>
                            <a:rect l="l" t="t" r="r" b="b"/>
                            <a:pathLst>
                              <a:path w="537845" h="0">
                                <a:moveTo>
                                  <a:pt x="0" y="0"/>
                                </a:moveTo>
                                <a:lnTo>
                                  <a:pt x="537381" y="0"/>
                                </a:lnTo>
                              </a:path>
                            </a:pathLst>
                          </a:custGeom>
                          <a:ln w="21359">
                            <a:solidFill>
                              <a:srgbClr val="000000"/>
                            </a:solidFill>
                            <a:prstDash val="solid"/>
                          </a:ln>
                        </wps:spPr>
                        <wps:bodyPr wrap="square" lIns="0" tIns="0" rIns="0" bIns="0" rtlCol="0">
                          <a:prstTxWarp prst="textNoShape">
                            <a:avLst/>
                          </a:prstTxWarp>
                          <a:noAutofit/>
                        </wps:bodyPr>
                      </wps:wsp>
                      <wps:wsp>
                        <wps:cNvPr id="16" name="Graphic 16"/>
                        <wps:cNvSpPr/>
                        <wps:spPr>
                          <a:xfrm>
                            <a:off x="1807557" y="4998142"/>
                            <a:ext cx="537845" cy="1270"/>
                          </a:xfrm>
                          <a:custGeom>
                            <a:avLst/>
                            <a:gdLst/>
                            <a:ahLst/>
                            <a:cxnLst/>
                            <a:rect l="l" t="t" r="r" b="b"/>
                            <a:pathLst>
                              <a:path w="537845" h="0">
                                <a:moveTo>
                                  <a:pt x="0" y="0"/>
                                </a:moveTo>
                                <a:lnTo>
                                  <a:pt x="537381" y="0"/>
                                </a:lnTo>
                              </a:path>
                            </a:pathLst>
                          </a:custGeom>
                          <a:ln w="18308">
                            <a:solidFill>
                              <a:srgbClr val="000000"/>
                            </a:solidFill>
                            <a:prstDash val="solid"/>
                          </a:ln>
                        </wps:spPr>
                        <wps:bodyPr wrap="square" lIns="0" tIns="0" rIns="0" bIns="0" rtlCol="0">
                          <a:prstTxWarp prst="textNoShape">
                            <a:avLst/>
                          </a:prstTxWarp>
                          <a:noAutofit/>
                        </wps:bodyPr>
                      </wps:wsp>
                      <wps:wsp>
                        <wps:cNvPr id="17" name="Textbox 17"/>
                        <wps:cNvSpPr txBox="1"/>
                        <wps:spPr>
                          <a:xfrm>
                            <a:off x="0" y="0"/>
                            <a:ext cx="7560309" cy="5008880"/>
                          </a:xfrm>
                          <a:prstGeom prst="rect">
                            <a:avLst/>
                          </a:prstGeom>
                        </wps:spPr>
                        <wps:txbx>
                          <w:txbxContent>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28"/>
                                <w:rPr>
                                  <w:sz w:val="16"/>
                                </w:rPr>
                              </w:pPr>
                            </w:p>
                            <w:p>
                              <w:pPr>
                                <w:spacing w:line="307" w:lineRule="auto" w:before="1"/>
                                <w:ind w:left="6125" w:right="1576" w:firstLine="0"/>
                                <w:jc w:val="left"/>
                                <w:rPr>
                                  <w:rFonts w:ascii="TT Norms Pro Light"/>
                                  <w:b w:val="0"/>
                                  <w:sz w:val="16"/>
                                </w:rPr>
                              </w:pPr>
                              <w:r>
                                <w:rPr>
                                  <w:rFonts w:ascii="TT Norms Pro Light"/>
                                  <w:b w:val="0"/>
                                  <w:sz w:val="16"/>
                                </w:rPr>
                                <w:t>The University of Western Australia acknowledges that its</w:t>
                              </w:r>
                              <w:r>
                                <w:rPr>
                                  <w:rFonts w:ascii="TT Norms Pro Light"/>
                                  <w:b w:val="0"/>
                                  <w:spacing w:val="40"/>
                                  <w:sz w:val="16"/>
                                </w:rPr>
                                <w:t> </w:t>
                              </w:r>
                              <w:r>
                                <w:rPr>
                                  <w:rFonts w:ascii="TT Norms Pro Light"/>
                                  <w:b w:val="0"/>
                                  <w:sz w:val="16"/>
                                </w:rPr>
                                <w:t>campuses are situated on Noongar land, and that Noongar</w:t>
                              </w:r>
                              <w:r>
                                <w:rPr>
                                  <w:rFonts w:ascii="TT Norms Pro Light"/>
                                  <w:b w:val="0"/>
                                  <w:spacing w:val="40"/>
                                  <w:sz w:val="16"/>
                                </w:rPr>
                                <w:t> </w:t>
                              </w:r>
                              <w:r>
                                <w:rPr>
                                  <w:rFonts w:ascii="TT Norms Pro Light"/>
                                  <w:b w:val="0"/>
                                  <w:sz w:val="16"/>
                                </w:rPr>
                                <w:t>people remain the spiritual and cultural custodians of their</w:t>
                              </w:r>
                              <w:r>
                                <w:rPr>
                                  <w:rFonts w:ascii="TT Norms Pro Light"/>
                                  <w:b w:val="0"/>
                                  <w:spacing w:val="40"/>
                                  <w:sz w:val="16"/>
                                </w:rPr>
                                <w:t> </w:t>
                              </w:r>
                              <w:r>
                                <w:rPr>
                                  <w:rFonts w:ascii="TT Norms Pro Light"/>
                                  <w:b w:val="0"/>
                                  <w:sz w:val="16"/>
                                </w:rPr>
                                <w:t>land,</w:t>
                              </w:r>
                              <w:r>
                                <w:rPr>
                                  <w:rFonts w:ascii="TT Norms Pro Light"/>
                                  <w:b w:val="0"/>
                                  <w:spacing w:val="-8"/>
                                  <w:sz w:val="16"/>
                                </w:rPr>
                                <w:t> </w:t>
                              </w:r>
                              <w:r>
                                <w:rPr>
                                  <w:rFonts w:ascii="TT Norms Pro Light"/>
                                  <w:b w:val="0"/>
                                  <w:sz w:val="16"/>
                                </w:rPr>
                                <w:t>and</w:t>
                              </w:r>
                              <w:r>
                                <w:rPr>
                                  <w:rFonts w:ascii="TT Norms Pro Light"/>
                                  <w:b w:val="0"/>
                                  <w:spacing w:val="-6"/>
                                  <w:sz w:val="16"/>
                                </w:rPr>
                                <w:t> </w:t>
                              </w:r>
                              <w:r>
                                <w:rPr>
                                  <w:rFonts w:ascii="TT Norms Pro Light"/>
                                  <w:b w:val="0"/>
                                  <w:sz w:val="16"/>
                                </w:rPr>
                                <w:t>continue</w:t>
                              </w:r>
                              <w:r>
                                <w:rPr>
                                  <w:rFonts w:ascii="TT Norms Pro Light"/>
                                  <w:b w:val="0"/>
                                  <w:spacing w:val="-6"/>
                                  <w:sz w:val="16"/>
                                </w:rPr>
                                <w:t> </w:t>
                              </w:r>
                              <w:r>
                                <w:rPr>
                                  <w:rFonts w:ascii="TT Norms Pro Light"/>
                                  <w:b w:val="0"/>
                                  <w:sz w:val="16"/>
                                </w:rPr>
                                <w:t>to</w:t>
                              </w:r>
                              <w:r>
                                <w:rPr>
                                  <w:rFonts w:ascii="TT Norms Pro Light"/>
                                  <w:b w:val="0"/>
                                  <w:spacing w:val="-6"/>
                                  <w:sz w:val="16"/>
                                </w:rPr>
                                <w:t> </w:t>
                              </w:r>
                              <w:r>
                                <w:rPr>
                                  <w:rFonts w:ascii="TT Norms Pro Light"/>
                                  <w:b w:val="0"/>
                                  <w:sz w:val="16"/>
                                </w:rPr>
                                <w:t>practise</w:t>
                              </w:r>
                              <w:r>
                                <w:rPr>
                                  <w:rFonts w:ascii="TT Norms Pro Light"/>
                                  <w:b w:val="0"/>
                                  <w:spacing w:val="-6"/>
                                  <w:sz w:val="16"/>
                                </w:rPr>
                                <w:t> </w:t>
                              </w:r>
                              <w:r>
                                <w:rPr>
                                  <w:rFonts w:ascii="TT Norms Pro Light"/>
                                  <w:b w:val="0"/>
                                  <w:sz w:val="16"/>
                                </w:rPr>
                                <w:t>their</w:t>
                              </w:r>
                              <w:r>
                                <w:rPr>
                                  <w:rFonts w:ascii="TT Norms Pro Light"/>
                                  <w:b w:val="0"/>
                                  <w:spacing w:val="-8"/>
                                  <w:sz w:val="16"/>
                                </w:rPr>
                                <w:t> </w:t>
                              </w:r>
                              <w:r>
                                <w:rPr>
                                  <w:rFonts w:ascii="TT Norms Pro Light"/>
                                  <w:b w:val="0"/>
                                  <w:sz w:val="16"/>
                                </w:rPr>
                                <w:t>values,</w:t>
                              </w:r>
                              <w:r>
                                <w:rPr>
                                  <w:rFonts w:ascii="TT Norms Pro Light"/>
                                  <w:b w:val="0"/>
                                  <w:spacing w:val="-6"/>
                                  <w:sz w:val="16"/>
                                </w:rPr>
                                <w:t> </w:t>
                              </w:r>
                              <w:r>
                                <w:rPr>
                                  <w:rFonts w:ascii="TT Norms Pro Light"/>
                                  <w:b w:val="0"/>
                                  <w:sz w:val="16"/>
                                </w:rPr>
                                <w:t>languages,</w:t>
                              </w:r>
                              <w:r>
                                <w:rPr>
                                  <w:rFonts w:ascii="TT Norms Pro Light"/>
                                  <w:b w:val="0"/>
                                  <w:spacing w:val="-6"/>
                                  <w:sz w:val="16"/>
                                </w:rPr>
                                <w:t> </w:t>
                              </w:r>
                              <w:r>
                                <w:rPr>
                                  <w:rFonts w:ascii="TT Norms Pro Light"/>
                                  <w:b w:val="0"/>
                                  <w:sz w:val="16"/>
                                </w:rPr>
                                <w:t>beliefs</w:t>
                              </w:r>
                              <w:r>
                                <w:rPr>
                                  <w:rFonts w:ascii="TT Norms Pro Light"/>
                                  <w:b w:val="0"/>
                                  <w:spacing w:val="40"/>
                                  <w:sz w:val="16"/>
                                </w:rPr>
                                <w:t> </w:t>
                              </w:r>
                              <w:r>
                                <w:rPr>
                                  <w:rFonts w:ascii="TT Norms Pro Light"/>
                                  <w:b w:val="0"/>
                                  <w:sz w:val="16"/>
                                </w:rPr>
                                <w:t>and</w:t>
                              </w:r>
                              <w:r>
                                <w:rPr>
                                  <w:rFonts w:ascii="TT Norms Pro Light"/>
                                  <w:b w:val="0"/>
                                  <w:spacing w:val="-8"/>
                                  <w:sz w:val="16"/>
                                </w:rPr>
                                <w:t> </w:t>
                              </w:r>
                              <w:r>
                                <w:rPr>
                                  <w:rFonts w:ascii="TT Norms Pro Light"/>
                                  <w:b w:val="0"/>
                                  <w:sz w:val="16"/>
                                </w:rPr>
                                <w:t>knowledge.</w:t>
                              </w:r>
                            </w:p>
                          </w:txbxContent>
                        </wps:txbx>
                        <wps:bodyPr wrap="square" lIns="0" tIns="0" rIns="0" bIns="0" rtlCol="0">
                          <a:noAutofit/>
                        </wps:bodyPr>
                      </wps:wsp>
                    </wpg:wgp>
                  </a:graphicData>
                </a:graphic>
              </wp:anchor>
            </w:drawing>
          </mc:Choice>
          <mc:Fallback>
            <w:pict>
              <v:group style="position:absolute;margin-left:0pt;margin-top:79.090782pt;width:595.3pt;height:394.4pt;mso-position-horizontal-relative:page;mso-position-vertical-relative:paragraph;z-index:15730176" id="docshapegroup8" coordorigin="0,1582" coordsize="11906,7888">
                <v:shape style="position:absolute;left:0;top:1581;width:11906;height:7881" type="#_x0000_t75" id="docshape9" stroked="false">
                  <v:imagedata r:id="rId14" o:title=""/>
                </v:shape>
                <v:line style="position:absolute" from="11891,5484" to="11891,4580" stroked="true" strokeweight="1.442507pt" strokecolor="#000000">
                  <v:stroke dashstyle="solid"/>
                </v:line>
                <v:line style="position:absolute" from="10867,9453" to="11713,9453" stroked="true" strokeweight="1.681856pt" strokecolor="#000000">
                  <v:stroke dashstyle="solid"/>
                </v:line>
                <v:line style="position:absolute" from="2847,9453" to="3693,9453" stroked="true" strokeweight="1.441591pt" strokecolor="#000000">
                  <v:stroke dashstyle="solid"/>
                </v:line>
                <v:shape style="position:absolute;left:0;top:1581;width:11906;height:7888" type="#_x0000_t202" id="docshape10" filled="false" stroked="false">
                  <v:textbox inset="0,0,0,0">
                    <w:txbxContent>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28"/>
                          <w:rPr>
                            <w:sz w:val="16"/>
                          </w:rPr>
                        </w:pPr>
                      </w:p>
                      <w:p>
                        <w:pPr>
                          <w:spacing w:line="307" w:lineRule="auto" w:before="1"/>
                          <w:ind w:left="6125" w:right="1576" w:firstLine="0"/>
                          <w:jc w:val="left"/>
                          <w:rPr>
                            <w:rFonts w:ascii="TT Norms Pro Light"/>
                            <w:b w:val="0"/>
                            <w:sz w:val="16"/>
                          </w:rPr>
                        </w:pPr>
                        <w:r>
                          <w:rPr>
                            <w:rFonts w:ascii="TT Norms Pro Light"/>
                            <w:b w:val="0"/>
                            <w:sz w:val="16"/>
                          </w:rPr>
                          <w:t>The University of Western Australia acknowledges that its</w:t>
                        </w:r>
                        <w:r>
                          <w:rPr>
                            <w:rFonts w:ascii="TT Norms Pro Light"/>
                            <w:b w:val="0"/>
                            <w:spacing w:val="40"/>
                            <w:sz w:val="16"/>
                          </w:rPr>
                          <w:t> </w:t>
                        </w:r>
                        <w:r>
                          <w:rPr>
                            <w:rFonts w:ascii="TT Norms Pro Light"/>
                            <w:b w:val="0"/>
                            <w:sz w:val="16"/>
                          </w:rPr>
                          <w:t>campuses are situated on Noongar land, and that Noongar</w:t>
                        </w:r>
                        <w:r>
                          <w:rPr>
                            <w:rFonts w:ascii="TT Norms Pro Light"/>
                            <w:b w:val="0"/>
                            <w:spacing w:val="40"/>
                            <w:sz w:val="16"/>
                          </w:rPr>
                          <w:t> </w:t>
                        </w:r>
                        <w:r>
                          <w:rPr>
                            <w:rFonts w:ascii="TT Norms Pro Light"/>
                            <w:b w:val="0"/>
                            <w:sz w:val="16"/>
                          </w:rPr>
                          <w:t>people remain the spiritual and cultural custodians of their</w:t>
                        </w:r>
                        <w:r>
                          <w:rPr>
                            <w:rFonts w:ascii="TT Norms Pro Light"/>
                            <w:b w:val="0"/>
                            <w:spacing w:val="40"/>
                            <w:sz w:val="16"/>
                          </w:rPr>
                          <w:t> </w:t>
                        </w:r>
                        <w:r>
                          <w:rPr>
                            <w:rFonts w:ascii="TT Norms Pro Light"/>
                            <w:b w:val="0"/>
                            <w:sz w:val="16"/>
                          </w:rPr>
                          <w:t>land,</w:t>
                        </w:r>
                        <w:r>
                          <w:rPr>
                            <w:rFonts w:ascii="TT Norms Pro Light"/>
                            <w:b w:val="0"/>
                            <w:spacing w:val="-8"/>
                            <w:sz w:val="16"/>
                          </w:rPr>
                          <w:t> </w:t>
                        </w:r>
                        <w:r>
                          <w:rPr>
                            <w:rFonts w:ascii="TT Norms Pro Light"/>
                            <w:b w:val="0"/>
                            <w:sz w:val="16"/>
                          </w:rPr>
                          <w:t>and</w:t>
                        </w:r>
                        <w:r>
                          <w:rPr>
                            <w:rFonts w:ascii="TT Norms Pro Light"/>
                            <w:b w:val="0"/>
                            <w:spacing w:val="-6"/>
                            <w:sz w:val="16"/>
                          </w:rPr>
                          <w:t> </w:t>
                        </w:r>
                        <w:r>
                          <w:rPr>
                            <w:rFonts w:ascii="TT Norms Pro Light"/>
                            <w:b w:val="0"/>
                            <w:sz w:val="16"/>
                          </w:rPr>
                          <w:t>continue</w:t>
                        </w:r>
                        <w:r>
                          <w:rPr>
                            <w:rFonts w:ascii="TT Norms Pro Light"/>
                            <w:b w:val="0"/>
                            <w:spacing w:val="-6"/>
                            <w:sz w:val="16"/>
                          </w:rPr>
                          <w:t> </w:t>
                        </w:r>
                        <w:r>
                          <w:rPr>
                            <w:rFonts w:ascii="TT Norms Pro Light"/>
                            <w:b w:val="0"/>
                            <w:sz w:val="16"/>
                          </w:rPr>
                          <w:t>to</w:t>
                        </w:r>
                        <w:r>
                          <w:rPr>
                            <w:rFonts w:ascii="TT Norms Pro Light"/>
                            <w:b w:val="0"/>
                            <w:spacing w:val="-6"/>
                            <w:sz w:val="16"/>
                          </w:rPr>
                          <w:t> </w:t>
                        </w:r>
                        <w:r>
                          <w:rPr>
                            <w:rFonts w:ascii="TT Norms Pro Light"/>
                            <w:b w:val="0"/>
                            <w:sz w:val="16"/>
                          </w:rPr>
                          <w:t>practise</w:t>
                        </w:r>
                        <w:r>
                          <w:rPr>
                            <w:rFonts w:ascii="TT Norms Pro Light"/>
                            <w:b w:val="0"/>
                            <w:spacing w:val="-6"/>
                            <w:sz w:val="16"/>
                          </w:rPr>
                          <w:t> </w:t>
                        </w:r>
                        <w:r>
                          <w:rPr>
                            <w:rFonts w:ascii="TT Norms Pro Light"/>
                            <w:b w:val="0"/>
                            <w:sz w:val="16"/>
                          </w:rPr>
                          <w:t>their</w:t>
                        </w:r>
                        <w:r>
                          <w:rPr>
                            <w:rFonts w:ascii="TT Norms Pro Light"/>
                            <w:b w:val="0"/>
                            <w:spacing w:val="-8"/>
                            <w:sz w:val="16"/>
                          </w:rPr>
                          <w:t> </w:t>
                        </w:r>
                        <w:r>
                          <w:rPr>
                            <w:rFonts w:ascii="TT Norms Pro Light"/>
                            <w:b w:val="0"/>
                            <w:sz w:val="16"/>
                          </w:rPr>
                          <w:t>values,</w:t>
                        </w:r>
                        <w:r>
                          <w:rPr>
                            <w:rFonts w:ascii="TT Norms Pro Light"/>
                            <w:b w:val="0"/>
                            <w:spacing w:val="-6"/>
                            <w:sz w:val="16"/>
                          </w:rPr>
                          <w:t> </w:t>
                        </w:r>
                        <w:r>
                          <w:rPr>
                            <w:rFonts w:ascii="TT Norms Pro Light"/>
                            <w:b w:val="0"/>
                            <w:sz w:val="16"/>
                          </w:rPr>
                          <w:t>languages,</w:t>
                        </w:r>
                        <w:r>
                          <w:rPr>
                            <w:rFonts w:ascii="TT Norms Pro Light"/>
                            <w:b w:val="0"/>
                            <w:spacing w:val="-6"/>
                            <w:sz w:val="16"/>
                          </w:rPr>
                          <w:t> </w:t>
                        </w:r>
                        <w:r>
                          <w:rPr>
                            <w:rFonts w:ascii="TT Norms Pro Light"/>
                            <w:b w:val="0"/>
                            <w:sz w:val="16"/>
                          </w:rPr>
                          <w:t>beliefs</w:t>
                        </w:r>
                        <w:r>
                          <w:rPr>
                            <w:rFonts w:ascii="TT Norms Pro Light"/>
                            <w:b w:val="0"/>
                            <w:spacing w:val="40"/>
                            <w:sz w:val="16"/>
                          </w:rPr>
                          <w:t> </w:t>
                        </w:r>
                        <w:r>
                          <w:rPr>
                            <w:rFonts w:ascii="TT Norms Pro Light"/>
                            <w:b w:val="0"/>
                            <w:sz w:val="16"/>
                          </w:rPr>
                          <w:t>and</w:t>
                        </w:r>
                        <w:r>
                          <w:rPr>
                            <w:rFonts w:ascii="TT Norms Pro Light"/>
                            <w:b w:val="0"/>
                            <w:spacing w:val="-8"/>
                            <w:sz w:val="16"/>
                          </w:rPr>
                          <w:t> </w:t>
                        </w:r>
                        <w:r>
                          <w:rPr>
                            <w:rFonts w:ascii="TT Norms Pro Light"/>
                            <w:b w:val="0"/>
                            <w:sz w:val="16"/>
                          </w:rPr>
                          <w:t>knowledge.</w:t>
                        </w:r>
                      </w:p>
                    </w:txbxContent>
                  </v:textbox>
                  <w10:wrap type="none"/>
                </v:shape>
                <w10:wrap type="none"/>
              </v:group>
            </w:pict>
          </mc:Fallback>
        </mc:AlternateContent>
      </w:r>
      <w:r>
        <w:rPr>
          <w:color w:val="262626"/>
          <w:w w:val="105"/>
          <w:sz w:val="19"/>
        </w:rPr>
        <w:t>Dated:</w:t>
      </w:r>
      <w:r>
        <w:rPr>
          <w:color w:val="262626"/>
          <w:spacing w:val="15"/>
          <w:w w:val="105"/>
          <w:sz w:val="19"/>
        </w:rPr>
        <w:t> </w:t>
      </w:r>
      <w:r>
        <w:rPr>
          <w:color w:val="262626"/>
          <w:w w:val="105"/>
          <w:sz w:val="19"/>
        </w:rPr>
        <w:t>5</w:t>
      </w:r>
      <w:r>
        <w:rPr>
          <w:color w:val="262626"/>
          <w:spacing w:val="9"/>
          <w:w w:val="105"/>
          <w:sz w:val="19"/>
        </w:rPr>
        <w:t> </w:t>
      </w:r>
      <w:r>
        <w:rPr>
          <w:color w:val="262626"/>
          <w:w w:val="105"/>
          <w:sz w:val="19"/>
        </w:rPr>
        <w:t>March</w:t>
      </w:r>
      <w:r>
        <w:rPr>
          <w:color w:val="262626"/>
          <w:spacing w:val="21"/>
          <w:w w:val="105"/>
          <w:sz w:val="19"/>
        </w:rPr>
        <w:t> </w:t>
      </w:r>
      <w:r>
        <w:rPr>
          <w:color w:val="262626"/>
          <w:spacing w:val="-4"/>
          <w:w w:val="105"/>
          <w:sz w:val="19"/>
        </w:rPr>
        <w:t>2021</w:t>
      </w:r>
    </w:p>
    <w:p>
      <w:pPr>
        <w:spacing w:after="0"/>
        <w:jc w:val="left"/>
        <w:rPr>
          <w:sz w:val="19"/>
        </w:rPr>
        <w:sectPr>
          <w:type w:val="continuous"/>
          <w:pgSz w:w="11910" w:h="16840"/>
          <w:pgMar w:header="490" w:footer="0" w:top="980" w:bottom="280" w:left="0" w:right="0"/>
        </w:sectPr>
      </w:pPr>
    </w:p>
    <w:p>
      <w:pPr>
        <w:pStyle w:val="Heading1"/>
        <w:spacing w:before="117"/>
      </w:pPr>
      <w:r>
        <w:rPr>
          <w:spacing w:val="-2"/>
          <w:w w:val="110"/>
        </w:rPr>
        <w:t>Contents</w:t>
      </w: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spacing w:before="185"/>
        <w:rPr>
          <w:rFonts w:ascii="Palatino Linotype"/>
          <w:sz w:val="20"/>
        </w:rPr>
      </w:pPr>
    </w:p>
    <w:p>
      <w:pPr>
        <w:spacing w:after="0"/>
        <w:rPr>
          <w:rFonts w:ascii="Palatino Linotype"/>
          <w:sz w:val="20"/>
        </w:rPr>
        <w:sectPr>
          <w:pgSz w:w="11910" w:h="16840"/>
          <w:pgMar w:header="468" w:footer="0" w:top="780" w:bottom="0" w:left="0" w:right="0"/>
        </w:sectPr>
      </w:pPr>
    </w:p>
    <w:p>
      <w:pPr>
        <w:spacing w:before="126"/>
        <w:ind w:left="2409" w:right="0" w:firstLine="0"/>
        <w:jc w:val="left"/>
        <w:rPr>
          <w:rFonts w:ascii="TT Norms Pro"/>
          <w:b/>
          <w:sz w:val="18"/>
        </w:rPr>
      </w:pPr>
      <w:r>
        <w:rPr>
          <w:rFonts w:ascii="TT Norms Pro"/>
          <w:b/>
          <w:sz w:val="18"/>
        </w:rPr>
        <w:t>OUR</w:t>
      </w:r>
      <w:r>
        <w:rPr>
          <w:rFonts w:ascii="TT Norms Pro"/>
          <w:b/>
          <w:spacing w:val="4"/>
          <w:sz w:val="18"/>
        </w:rPr>
        <w:t> </w:t>
      </w:r>
      <w:r>
        <w:rPr>
          <w:rFonts w:ascii="TT Norms Pro"/>
          <w:b/>
          <w:spacing w:val="-2"/>
          <w:sz w:val="18"/>
        </w:rPr>
        <w:t>UNIVERSITY</w:t>
      </w:r>
    </w:p>
    <w:p>
      <w:pPr>
        <w:pStyle w:val="BodyText"/>
        <w:tabs>
          <w:tab w:pos="6091" w:val="right" w:leader="none"/>
        </w:tabs>
        <w:spacing w:before="186"/>
        <w:ind w:left="2409"/>
        <w:rPr>
          <w:rFonts w:ascii="TT Norms Pro" w:hAnsi="TT Norms Pro"/>
        </w:rPr>
      </w:pPr>
      <w:r>
        <w:rPr>
          <w:rFonts w:ascii="TT Norms Pro" w:hAnsi="TT Norms Pro"/>
        </w:rPr>
        <w:t>Chancellor’s</w:t>
      </w:r>
      <w:r>
        <w:rPr>
          <w:rFonts w:ascii="TT Norms Pro" w:hAnsi="TT Norms Pro"/>
          <w:spacing w:val="5"/>
        </w:rPr>
        <w:t> </w:t>
      </w:r>
      <w:r>
        <w:rPr>
          <w:rFonts w:ascii="TT Norms Pro" w:hAnsi="TT Norms Pro"/>
          <w:spacing w:val="-2"/>
        </w:rPr>
        <w:t>report</w:t>
      </w:r>
      <w:r>
        <w:rPr>
          <w:rFonts w:ascii="TT Norms Pro" w:hAnsi="TT Norms Pro"/>
        </w:rPr>
        <w:tab/>
      </w:r>
      <w:r>
        <w:rPr>
          <w:rFonts w:ascii="TT Norms Pro" w:hAnsi="TT Norms Pro"/>
          <w:spacing w:val="-10"/>
        </w:rPr>
        <w:t>2</w:t>
      </w:r>
    </w:p>
    <w:p>
      <w:pPr>
        <w:pStyle w:val="BodyText"/>
        <w:tabs>
          <w:tab w:pos="6091" w:val="right" w:leader="none"/>
        </w:tabs>
        <w:spacing w:before="186"/>
        <w:ind w:left="2409"/>
        <w:rPr>
          <w:rFonts w:ascii="TT Norms Pro"/>
        </w:rPr>
      </w:pPr>
      <w:r>
        <w:rPr>
          <w:rFonts w:ascii="TT Norms Pro"/>
        </w:rPr>
        <w:t>Vice-Chancellor's</w:t>
      </w:r>
      <w:r>
        <w:rPr>
          <w:rFonts w:ascii="TT Norms Pro"/>
          <w:spacing w:val="58"/>
        </w:rPr>
        <w:t> </w:t>
      </w:r>
      <w:r>
        <w:rPr>
          <w:rFonts w:ascii="TT Norms Pro"/>
          <w:spacing w:val="-2"/>
        </w:rPr>
        <w:t>report</w:t>
      </w:r>
      <w:r>
        <w:rPr>
          <w:rFonts w:ascii="TT Norms Pro"/>
        </w:rPr>
        <w:tab/>
      </w:r>
      <w:r>
        <w:rPr>
          <w:rFonts w:ascii="TT Norms Pro"/>
          <w:spacing w:val="-10"/>
        </w:rPr>
        <w:t>4</w:t>
      </w:r>
    </w:p>
    <w:p>
      <w:pPr>
        <w:pStyle w:val="BodyText"/>
        <w:tabs>
          <w:tab w:pos="6091" w:val="right" w:leader="none"/>
        </w:tabs>
        <w:spacing w:before="187"/>
        <w:ind w:left="2409"/>
        <w:rPr>
          <w:rFonts w:ascii="TT Norms Pro"/>
        </w:rPr>
      </w:pPr>
      <w:r>
        <w:rPr>
          <w:rFonts w:ascii="TT Norms Pro"/>
        </w:rPr>
        <w:t>About</w:t>
      </w:r>
      <w:r>
        <w:rPr>
          <w:rFonts w:ascii="TT Norms Pro"/>
          <w:spacing w:val="4"/>
        </w:rPr>
        <w:t> </w:t>
      </w:r>
      <w:r>
        <w:rPr>
          <w:rFonts w:ascii="TT Norms Pro"/>
          <w:spacing w:val="-5"/>
        </w:rPr>
        <w:t>UWA</w:t>
      </w:r>
      <w:r>
        <w:rPr>
          <w:rFonts w:ascii="TT Norms Pro"/>
        </w:rPr>
        <w:tab/>
      </w:r>
      <w:r>
        <w:rPr>
          <w:rFonts w:ascii="TT Norms Pro"/>
          <w:spacing w:val="-10"/>
        </w:rPr>
        <w:t>6</w:t>
      </w:r>
    </w:p>
    <w:p>
      <w:pPr>
        <w:pStyle w:val="BodyText"/>
        <w:tabs>
          <w:tab w:pos="6091" w:val="right" w:leader="none"/>
        </w:tabs>
        <w:spacing w:before="186"/>
        <w:ind w:left="2409"/>
        <w:rPr>
          <w:rFonts w:ascii="TT Norms Pro"/>
        </w:rPr>
      </w:pPr>
      <w:r>
        <w:rPr>
          <w:rFonts w:ascii="TT Norms Pro"/>
        </w:rPr>
        <w:t>University</w:t>
      </w:r>
      <w:r>
        <w:rPr>
          <w:rFonts w:ascii="TT Norms Pro"/>
          <w:spacing w:val="8"/>
        </w:rPr>
        <w:t> </w:t>
      </w:r>
      <w:r>
        <w:rPr>
          <w:rFonts w:ascii="TT Norms Pro"/>
          <w:spacing w:val="-2"/>
        </w:rPr>
        <w:t>governance</w:t>
      </w:r>
      <w:r>
        <w:rPr>
          <w:rFonts w:ascii="TT Norms Pro"/>
        </w:rPr>
        <w:tab/>
      </w:r>
      <w:r>
        <w:rPr>
          <w:rFonts w:ascii="TT Norms Pro"/>
          <w:spacing w:val="-10"/>
        </w:rPr>
        <w:t>8</w:t>
      </w:r>
    </w:p>
    <w:p>
      <w:pPr>
        <w:pStyle w:val="BodyText"/>
        <w:tabs>
          <w:tab w:pos="6097" w:val="right" w:leader="none"/>
        </w:tabs>
        <w:spacing w:before="186"/>
        <w:ind w:left="2409"/>
        <w:rPr>
          <w:rFonts w:ascii="TT Norms Pro"/>
        </w:rPr>
      </w:pPr>
      <w:r>
        <w:rPr>
          <w:rFonts w:ascii="TT Norms Pro"/>
        </w:rPr>
        <w:t>Management</w:t>
      </w:r>
      <w:r>
        <w:rPr>
          <w:rFonts w:ascii="TT Norms Pro"/>
          <w:spacing w:val="5"/>
        </w:rPr>
        <w:t> </w:t>
      </w:r>
      <w:r>
        <w:rPr>
          <w:rFonts w:ascii="TT Norms Pro"/>
          <w:spacing w:val="-2"/>
        </w:rPr>
        <w:t>structure</w:t>
      </w:r>
      <w:r>
        <w:rPr>
          <w:rFonts w:ascii="TT Norms Pro"/>
        </w:rPr>
        <w:tab/>
      </w:r>
      <w:r>
        <w:rPr>
          <w:rFonts w:ascii="TT Norms Pro"/>
          <w:spacing w:val="-7"/>
        </w:rPr>
        <w:t>10</w:t>
      </w:r>
    </w:p>
    <w:p>
      <w:pPr>
        <w:tabs>
          <w:tab w:pos="4237" w:val="right" w:leader="none"/>
        </w:tabs>
        <w:spacing w:before="126"/>
        <w:ind w:left="555" w:right="0" w:firstLine="0"/>
        <w:jc w:val="left"/>
        <w:rPr>
          <w:rFonts w:ascii="TT Norms Pro"/>
          <w:sz w:val="18"/>
        </w:rPr>
      </w:pPr>
      <w:r>
        <w:rPr/>
        <w:br w:type="column"/>
      </w:r>
      <w:r>
        <w:rPr>
          <w:rFonts w:ascii="TT Norms Pro"/>
          <w:b/>
          <w:sz w:val="18"/>
        </w:rPr>
        <w:t>AWARDS</w:t>
      </w:r>
      <w:r>
        <w:rPr>
          <w:rFonts w:ascii="TT Norms Pro"/>
          <w:b/>
          <w:spacing w:val="-4"/>
          <w:sz w:val="18"/>
        </w:rPr>
        <w:t> </w:t>
      </w:r>
      <w:r>
        <w:rPr>
          <w:rFonts w:ascii="TT Norms Pro"/>
          <w:b/>
          <w:sz w:val="18"/>
        </w:rPr>
        <w:t>AND</w:t>
      </w:r>
      <w:r>
        <w:rPr>
          <w:rFonts w:ascii="TT Norms Pro"/>
          <w:b/>
          <w:spacing w:val="-1"/>
          <w:sz w:val="18"/>
        </w:rPr>
        <w:t> </w:t>
      </w:r>
      <w:r>
        <w:rPr>
          <w:rFonts w:ascii="TT Norms Pro"/>
          <w:b/>
          <w:spacing w:val="-2"/>
          <w:sz w:val="18"/>
        </w:rPr>
        <w:t>ACHIEVEMENTS</w:t>
      </w:r>
      <w:r>
        <w:rPr>
          <w:rFonts w:ascii="TT Norms Pro"/>
          <w:b/>
          <w:sz w:val="18"/>
        </w:rPr>
        <w:tab/>
      </w:r>
      <w:r>
        <w:rPr>
          <w:rFonts w:ascii="TT Norms Pro"/>
          <w:spacing w:val="-5"/>
          <w:sz w:val="18"/>
        </w:rPr>
        <w:t>30</w:t>
      </w:r>
    </w:p>
    <w:p>
      <w:pPr>
        <w:spacing w:before="186"/>
        <w:ind w:left="555" w:right="0" w:firstLine="0"/>
        <w:jc w:val="left"/>
        <w:rPr>
          <w:rFonts w:ascii="TT Norms Pro"/>
          <w:b/>
          <w:sz w:val="18"/>
        </w:rPr>
      </w:pPr>
      <w:r>
        <w:rPr>
          <w:rFonts w:ascii="TT Norms Pro"/>
          <w:b/>
          <w:spacing w:val="-2"/>
          <w:sz w:val="18"/>
        </w:rPr>
        <w:t>GOVERNANCE</w:t>
      </w:r>
    </w:p>
    <w:p>
      <w:pPr>
        <w:pStyle w:val="BodyText"/>
        <w:tabs>
          <w:tab w:pos="4242" w:val="right" w:leader="none"/>
        </w:tabs>
        <w:spacing w:before="186"/>
        <w:ind w:left="555"/>
        <w:rPr>
          <w:rFonts w:ascii="TT Norms Pro"/>
        </w:rPr>
      </w:pPr>
      <w:r>
        <w:rPr>
          <w:rFonts w:ascii="TT Norms Pro"/>
        </w:rPr>
        <w:t>Members</w:t>
      </w:r>
      <w:r>
        <w:rPr>
          <w:rFonts w:ascii="TT Norms Pro"/>
          <w:spacing w:val="2"/>
        </w:rPr>
        <w:t> </w:t>
      </w:r>
      <w:r>
        <w:rPr>
          <w:rFonts w:ascii="TT Norms Pro"/>
        </w:rPr>
        <w:t>of</w:t>
      </w:r>
      <w:r>
        <w:rPr>
          <w:rFonts w:ascii="TT Norms Pro"/>
          <w:spacing w:val="4"/>
        </w:rPr>
        <w:t> </w:t>
      </w:r>
      <w:r>
        <w:rPr>
          <w:rFonts w:ascii="TT Norms Pro"/>
          <w:spacing w:val="-2"/>
        </w:rPr>
        <w:t>senate</w:t>
      </w:r>
      <w:r>
        <w:rPr>
          <w:rFonts w:ascii="TT Norms Pro"/>
        </w:rPr>
        <w:tab/>
      </w:r>
      <w:r>
        <w:rPr>
          <w:rFonts w:ascii="TT Norms Pro"/>
          <w:spacing w:val="-5"/>
        </w:rPr>
        <w:t>34</w:t>
      </w:r>
    </w:p>
    <w:p>
      <w:pPr>
        <w:pStyle w:val="BodyText"/>
        <w:tabs>
          <w:tab w:pos="4240" w:val="right" w:leader="none"/>
        </w:tabs>
        <w:spacing w:before="187"/>
        <w:ind w:left="555"/>
        <w:rPr>
          <w:rFonts w:ascii="TT Norms Pro"/>
        </w:rPr>
      </w:pPr>
      <w:r>
        <w:rPr>
          <w:rFonts w:ascii="TT Norms Pro"/>
        </w:rPr>
        <w:t>Risk</w:t>
      </w:r>
      <w:r>
        <w:rPr>
          <w:rFonts w:ascii="TT Norms Pro"/>
          <w:spacing w:val="3"/>
        </w:rPr>
        <w:t> </w:t>
      </w:r>
      <w:r>
        <w:rPr>
          <w:rFonts w:ascii="TT Norms Pro"/>
          <w:spacing w:val="-2"/>
        </w:rPr>
        <w:t>management</w:t>
      </w:r>
      <w:r>
        <w:rPr>
          <w:rFonts w:ascii="TT Norms Pro"/>
        </w:rPr>
        <w:tab/>
      </w:r>
      <w:r>
        <w:rPr>
          <w:rFonts w:ascii="TT Norms Pro"/>
          <w:spacing w:val="-5"/>
        </w:rPr>
        <w:t>36</w:t>
      </w:r>
    </w:p>
    <w:p>
      <w:pPr>
        <w:pStyle w:val="BodyText"/>
        <w:tabs>
          <w:tab w:pos="4240" w:val="right" w:leader="none"/>
        </w:tabs>
        <w:spacing w:before="186"/>
        <w:ind w:left="555"/>
        <w:rPr>
          <w:rFonts w:ascii="TT Norms Pro"/>
        </w:rPr>
      </w:pPr>
      <w:r>
        <w:rPr>
          <w:rFonts w:ascii="TT Norms Pro"/>
        </w:rPr>
        <w:t>Statistical</w:t>
      </w:r>
      <w:r>
        <w:rPr>
          <w:rFonts w:ascii="TT Norms Pro"/>
          <w:spacing w:val="4"/>
        </w:rPr>
        <w:t> </w:t>
      </w:r>
      <w:r>
        <w:rPr>
          <w:rFonts w:ascii="TT Norms Pro"/>
          <w:spacing w:val="-2"/>
        </w:rPr>
        <w:t>profile</w:t>
      </w:r>
      <w:r>
        <w:rPr>
          <w:rFonts w:ascii="TT Norms Pro"/>
        </w:rPr>
        <w:tab/>
      </w:r>
      <w:r>
        <w:rPr>
          <w:rFonts w:ascii="TT Norms Pro"/>
          <w:spacing w:val="-5"/>
        </w:rPr>
        <w:t>38</w:t>
      </w:r>
    </w:p>
    <w:p>
      <w:pPr>
        <w:spacing w:line="199" w:lineRule="exact" w:before="356"/>
        <w:ind w:left="555" w:right="0" w:firstLine="0"/>
        <w:jc w:val="left"/>
        <w:rPr>
          <w:rFonts w:ascii="TT Norms Pro"/>
          <w:b/>
          <w:sz w:val="18"/>
        </w:rPr>
      </w:pPr>
      <w:r>
        <w:rPr>
          <w:rFonts w:ascii="TT Norms Pro"/>
          <w:b/>
          <w:sz w:val="18"/>
        </w:rPr>
        <w:t>KEY</w:t>
      </w:r>
      <w:r>
        <w:rPr>
          <w:rFonts w:ascii="TT Norms Pro"/>
          <w:b/>
          <w:spacing w:val="10"/>
          <w:sz w:val="18"/>
        </w:rPr>
        <w:t> </w:t>
      </w:r>
      <w:r>
        <w:rPr>
          <w:rFonts w:ascii="TT Norms Pro"/>
          <w:b/>
          <w:sz w:val="18"/>
        </w:rPr>
        <w:t>PERFORMANCE</w:t>
      </w:r>
      <w:r>
        <w:rPr>
          <w:rFonts w:ascii="TT Norms Pro"/>
          <w:b/>
          <w:spacing w:val="10"/>
          <w:sz w:val="18"/>
        </w:rPr>
        <w:t> </w:t>
      </w:r>
      <w:r>
        <w:rPr>
          <w:rFonts w:ascii="TT Norms Pro"/>
          <w:b/>
          <w:spacing w:val="-2"/>
          <w:sz w:val="18"/>
        </w:rPr>
        <w:t>INDICATORS</w:t>
      </w:r>
    </w:p>
    <w:p>
      <w:pPr>
        <w:spacing w:after="0" w:line="199" w:lineRule="exact"/>
        <w:jc w:val="left"/>
        <w:rPr>
          <w:rFonts w:ascii="TT Norms Pro"/>
          <w:sz w:val="18"/>
        </w:rPr>
        <w:sectPr>
          <w:type w:val="continuous"/>
          <w:pgSz w:w="11910" w:h="16840"/>
          <w:pgMar w:header="468" w:footer="0" w:top="980" w:bottom="280" w:left="0" w:right="0"/>
          <w:cols w:num="2" w:equalWidth="0">
            <w:col w:w="6099" w:space="40"/>
            <w:col w:w="5771"/>
          </w:cols>
        </w:sectPr>
      </w:pPr>
    </w:p>
    <w:p>
      <w:pPr>
        <w:pStyle w:val="BodyText"/>
        <w:spacing w:line="249" w:lineRule="auto" w:before="23"/>
        <w:ind w:left="2409"/>
        <w:rPr>
          <w:rFonts w:ascii="TT Norms Pro"/>
        </w:rPr>
      </w:pPr>
      <w:r>
        <w:rPr>
          <w:rFonts w:ascii="TT Norms Pro"/>
        </w:rPr>
        <w:t>Operational</w:t>
      </w:r>
      <w:r>
        <w:rPr>
          <w:rFonts w:ascii="TT Norms Pro"/>
          <w:spacing w:val="-3"/>
        </w:rPr>
        <w:t> </w:t>
      </w:r>
      <w:r>
        <w:rPr>
          <w:rFonts w:ascii="TT Norms Pro"/>
        </w:rPr>
        <w:t>structure:</w:t>
      </w:r>
      <w:r>
        <w:rPr>
          <w:rFonts w:ascii="TT Norms Pro"/>
          <w:spacing w:val="40"/>
        </w:rPr>
        <w:t> </w:t>
      </w:r>
      <w:r>
        <w:rPr>
          <w:rFonts w:ascii="TT Norms Pro"/>
        </w:rPr>
        <w:t>governance</w:t>
      </w:r>
      <w:r>
        <w:rPr>
          <w:rFonts w:ascii="TT Norms Pro"/>
          <w:spacing w:val="-10"/>
        </w:rPr>
        <w:t> </w:t>
      </w:r>
      <w:r>
        <w:rPr>
          <w:rFonts w:ascii="TT Norms Pro"/>
        </w:rPr>
        <w:t>and</w:t>
      </w:r>
      <w:r>
        <w:rPr>
          <w:rFonts w:ascii="TT Norms Pro"/>
          <w:spacing w:val="-9"/>
        </w:rPr>
        <w:t> </w:t>
      </w:r>
      <w:r>
        <w:rPr>
          <w:rFonts w:ascii="TT Norms Pro"/>
        </w:rPr>
        <w:t>management</w:t>
      </w:r>
    </w:p>
    <w:p>
      <w:pPr>
        <w:spacing w:before="361"/>
        <w:ind w:left="2409" w:right="0" w:firstLine="0"/>
        <w:jc w:val="left"/>
        <w:rPr>
          <w:rFonts w:ascii="TT Norms Pro"/>
          <w:b/>
          <w:sz w:val="18"/>
        </w:rPr>
      </w:pPr>
      <w:r>
        <w:rPr>
          <w:rFonts w:ascii="TT Norms Pro"/>
          <w:b/>
          <w:sz w:val="18"/>
        </w:rPr>
        <w:t>YEAR</w:t>
      </w:r>
      <w:r>
        <w:rPr>
          <w:rFonts w:ascii="TT Norms Pro"/>
          <w:b/>
          <w:spacing w:val="2"/>
          <w:sz w:val="18"/>
        </w:rPr>
        <w:t> </w:t>
      </w:r>
      <w:r>
        <w:rPr>
          <w:rFonts w:ascii="TT Norms Pro"/>
          <w:b/>
          <w:sz w:val="18"/>
        </w:rPr>
        <w:t>IN</w:t>
      </w:r>
      <w:r>
        <w:rPr>
          <w:rFonts w:ascii="TT Norms Pro"/>
          <w:b/>
          <w:spacing w:val="5"/>
          <w:sz w:val="18"/>
        </w:rPr>
        <w:t> </w:t>
      </w:r>
      <w:r>
        <w:rPr>
          <w:rFonts w:ascii="TT Norms Pro"/>
          <w:b/>
          <w:spacing w:val="-2"/>
          <w:sz w:val="18"/>
        </w:rPr>
        <w:t>REVIEW</w:t>
      </w:r>
    </w:p>
    <w:p>
      <w:pPr>
        <w:pStyle w:val="BodyText"/>
        <w:tabs>
          <w:tab w:pos="1809" w:val="left" w:leader="none"/>
        </w:tabs>
        <w:spacing w:line="249" w:lineRule="auto" w:before="133"/>
        <w:ind w:left="1809" w:right="3314" w:hanging="766"/>
        <w:rPr>
          <w:rFonts w:ascii="TT Norms Pro"/>
        </w:rPr>
      </w:pPr>
      <w:r>
        <w:rPr/>
        <w:br w:type="column"/>
      </w:r>
      <w:r>
        <w:rPr>
          <w:rFonts w:ascii="TT Norms Pro"/>
          <w:spacing w:val="-6"/>
          <w:position w:val="6"/>
        </w:rPr>
        <w:t>12</w:t>
      </w:r>
      <w:r>
        <w:rPr>
          <w:rFonts w:ascii="TT Norms Pro"/>
          <w:position w:val="6"/>
        </w:rPr>
        <w:tab/>
      </w:r>
      <w:r>
        <w:rPr>
          <w:rFonts w:ascii="TT Norms Pro"/>
        </w:rPr>
        <w:t>Certification of key</w:t>
      </w:r>
      <w:r>
        <w:rPr>
          <w:rFonts w:ascii="TT Norms Pro"/>
          <w:spacing w:val="40"/>
        </w:rPr>
        <w:t> </w:t>
      </w:r>
      <w:r>
        <w:rPr>
          <w:rFonts w:ascii="TT Norms Pro"/>
        </w:rPr>
        <w:t>performance</w:t>
      </w:r>
      <w:r>
        <w:rPr>
          <w:rFonts w:ascii="TT Norms Pro"/>
          <w:spacing w:val="-6"/>
        </w:rPr>
        <w:t> </w:t>
      </w:r>
      <w:r>
        <w:rPr>
          <w:rFonts w:ascii="TT Norms Pro"/>
        </w:rPr>
        <w:t>indicators</w:t>
      </w:r>
    </w:p>
    <w:p>
      <w:pPr>
        <w:pStyle w:val="BodyText"/>
        <w:tabs>
          <w:tab w:pos="5272" w:val="left" w:leader="none"/>
        </w:tabs>
        <w:spacing w:before="191"/>
        <w:ind w:left="1809"/>
        <w:rPr>
          <w:rFonts w:ascii="TT Norms Pro"/>
        </w:rPr>
      </w:pPr>
      <w:r>
        <w:rPr/>
        <mc:AlternateContent>
          <mc:Choice Requires="wps">
            <w:drawing>
              <wp:anchor distT="0" distB="0" distL="0" distR="0" allowOverlap="1" layoutInCell="1" locked="0" behindDoc="0" simplePos="0" relativeHeight="15731712">
                <wp:simplePos x="0" y="0"/>
                <wp:positionH relativeFrom="page">
                  <wp:posOffset>6450032</wp:posOffset>
                </wp:positionH>
                <wp:positionV relativeFrom="paragraph">
                  <wp:posOffset>-222487</wp:posOffset>
                </wp:positionV>
                <wp:extent cx="138430" cy="148590"/>
                <wp:effectExtent l="0" t="0" r="0" b="0"/>
                <wp:wrapNone/>
                <wp:docPr id="18" name="Textbox 18"/>
                <wp:cNvGraphicFramePr>
                  <a:graphicFrameLocks/>
                </wp:cNvGraphicFramePr>
                <a:graphic>
                  <a:graphicData uri="http://schemas.microsoft.com/office/word/2010/wordprocessingShape">
                    <wps:wsp>
                      <wps:cNvPr id="18" name="Textbox 18"/>
                      <wps:cNvSpPr txBox="1"/>
                      <wps:spPr>
                        <a:xfrm>
                          <a:off x="0" y="0"/>
                          <a:ext cx="138430" cy="148590"/>
                        </a:xfrm>
                        <a:prstGeom prst="rect">
                          <a:avLst/>
                        </a:prstGeom>
                      </wps:spPr>
                      <wps:txbx>
                        <w:txbxContent>
                          <w:p>
                            <w:pPr>
                              <w:pStyle w:val="BodyText"/>
                              <w:spacing w:before="22"/>
                              <w:rPr>
                                <w:rFonts w:ascii="TT Norms Pro"/>
                              </w:rPr>
                            </w:pPr>
                            <w:r>
                              <w:rPr>
                                <w:rFonts w:ascii="TT Norms Pro"/>
                                <w:spacing w:val="-5"/>
                              </w:rPr>
                              <w:t>44</w:t>
                            </w:r>
                          </w:p>
                        </w:txbxContent>
                      </wps:txbx>
                      <wps:bodyPr wrap="square" lIns="0" tIns="0" rIns="0" bIns="0" rtlCol="0">
                        <a:noAutofit/>
                      </wps:bodyPr>
                    </wps:wsp>
                  </a:graphicData>
                </a:graphic>
              </wp:anchor>
            </w:drawing>
          </mc:Choice>
          <mc:Fallback>
            <w:pict>
              <v:shape style="position:absolute;margin-left:507.876587pt;margin-top:-17.518717pt;width:10.9pt;height:11.7pt;mso-position-horizontal-relative:page;mso-position-vertical-relative:paragraph;z-index:15731712" type="#_x0000_t202" id="docshape11" filled="false" stroked="false">
                <v:textbox inset="0,0,0,0">
                  <w:txbxContent>
                    <w:p>
                      <w:pPr>
                        <w:pStyle w:val="BodyText"/>
                        <w:spacing w:before="22"/>
                        <w:rPr>
                          <w:rFonts w:ascii="TT Norms Pro"/>
                        </w:rPr>
                      </w:pPr>
                      <w:r>
                        <w:rPr>
                          <w:rFonts w:ascii="TT Norms Pro"/>
                          <w:spacing w:val="-5"/>
                        </w:rPr>
                        <w:t>44</w:t>
                      </w:r>
                    </w:p>
                  </w:txbxContent>
                </v:textbox>
                <w10:wrap type="none"/>
              </v:shape>
            </w:pict>
          </mc:Fallback>
        </mc:AlternateContent>
      </w:r>
      <w:r>
        <w:rPr>
          <w:rFonts w:ascii="TT Norms Pro"/>
        </w:rPr>
        <w:t>Capital</w:t>
      </w:r>
      <w:r>
        <w:rPr>
          <w:rFonts w:ascii="TT Norms Pro"/>
          <w:spacing w:val="8"/>
        </w:rPr>
        <w:t> </w:t>
      </w:r>
      <w:r>
        <w:rPr>
          <w:rFonts w:ascii="TT Norms Pro"/>
          <w:spacing w:val="-2"/>
        </w:rPr>
        <w:t>projects</w:t>
      </w:r>
      <w:r>
        <w:rPr>
          <w:rFonts w:ascii="TT Norms Pro"/>
        </w:rPr>
        <w:tab/>
      </w:r>
      <w:r>
        <w:rPr>
          <w:rFonts w:ascii="TT Norms Pro"/>
          <w:spacing w:val="-7"/>
        </w:rPr>
        <w:t>54</w:t>
      </w:r>
    </w:p>
    <w:p>
      <w:pPr>
        <w:spacing w:after="0"/>
        <w:rPr>
          <w:rFonts w:ascii="TT Norms Pro"/>
        </w:rPr>
        <w:sectPr>
          <w:type w:val="continuous"/>
          <w:pgSz w:w="11910" w:h="16840"/>
          <w:pgMar w:header="468" w:footer="0" w:top="980" w:bottom="280" w:left="0" w:right="0"/>
          <w:cols w:num="2" w:equalWidth="0">
            <w:col w:w="4844" w:space="40"/>
            <w:col w:w="7026"/>
          </w:cols>
        </w:sectPr>
      </w:pPr>
    </w:p>
    <w:p>
      <w:pPr>
        <w:pStyle w:val="BodyText"/>
        <w:tabs>
          <w:tab w:pos="5922" w:val="left" w:leader="none"/>
        </w:tabs>
        <w:spacing w:before="186"/>
        <w:ind w:left="2409"/>
        <w:rPr>
          <w:rFonts w:ascii="TT Norms Pro"/>
        </w:rPr>
      </w:pPr>
      <w:r>
        <w:rPr>
          <w:rFonts w:ascii="TT Norms Pro"/>
        </w:rPr>
        <w:t>At</w:t>
      </w:r>
      <w:r>
        <w:rPr>
          <w:rFonts w:ascii="TT Norms Pro"/>
          <w:spacing w:val="-3"/>
        </w:rPr>
        <w:t> </w:t>
      </w:r>
      <w:r>
        <w:rPr>
          <w:rFonts w:ascii="TT Norms Pro"/>
        </w:rPr>
        <w:t>a</w:t>
      </w:r>
      <w:r>
        <w:rPr>
          <w:rFonts w:ascii="TT Norms Pro"/>
          <w:spacing w:val="-1"/>
        </w:rPr>
        <w:t> </w:t>
      </w:r>
      <w:r>
        <w:rPr>
          <w:rFonts w:ascii="TT Norms Pro"/>
          <w:spacing w:val="-2"/>
        </w:rPr>
        <w:t>glance</w:t>
      </w:r>
      <w:r>
        <w:rPr>
          <w:rFonts w:ascii="TT Norms Pro"/>
        </w:rPr>
        <w:tab/>
      </w:r>
      <w:r>
        <w:rPr>
          <w:rFonts w:ascii="TT Norms Pro"/>
          <w:spacing w:val="-5"/>
        </w:rPr>
        <w:t>14</w:t>
      </w:r>
    </w:p>
    <w:p>
      <w:pPr>
        <w:pStyle w:val="BodyText"/>
        <w:tabs>
          <w:tab w:pos="5921" w:val="left" w:leader="none"/>
        </w:tabs>
        <w:spacing w:before="186"/>
        <w:ind w:left="2409"/>
        <w:rPr>
          <w:rFonts w:ascii="TT Norms Pro"/>
        </w:rPr>
      </w:pPr>
      <w:r>
        <w:rPr>
          <w:rFonts w:ascii="TT Norms Pro"/>
        </w:rPr>
        <w:t>Key</w:t>
      </w:r>
      <w:r>
        <w:rPr>
          <w:rFonts w:ascii="TT Norms Pro"/>
          <w:spacing w:val="2"/>
        </w:rPr>
        <w:t> </w:t>
      </w:r>
      <w:r>
        <w:rPr>
          <w:rFonts w:ascii="TT Norms Pro"/>
        </w:rPr>
        <w:t>statistics</w:t>
      </w:r>
      <w:r>
        <w:rPr>
          <w:rFonts w:ascii="TT Norms Pro"/>
          <w:spacing w:val="3"/>
        </w:rPr>
        <w:t> </w:t>
      </w:r>
      <w:r>
        <w:rPr>
          <w:rFonts w:ascii="TT Norms Pro"/>
          <w:spacing w:val="-4"/>
        </w:rPr>
        <w:t>2020</w:t>
      </w:r>
      <w:r>
        <w:rPr>
          <w:rFonts w:ascii="TT Norms Pro"/>
        </w:rPr>
        <w:tab/>
      </w:r>
      <w:r>
        <w:rPr>
          <w:rFonts w:ascii="TT Norms Pro"/>
          <w:spacing w:val="-5"/>
        </w:rPr>
        <w:t>16</w:t>
      </w:r>
    </w:p>
    <w:p>
      <w:pPr>
        <w:pStyle w:val="BodyText"/>
        <w:tabs>
          <w:tab w:pos="5919" w:val="left" w:leader="none"/>
        </w:tabs>
        <w:spacing w:before="186"/>
        <w:ind w:left="2409"/>
        <w:rPr>
          <w:rFonts w:ascii="TT Norms Pro"/>
        </w:rPr>
      </w:pPr>
      <w:r>
        <w:rPr>
          <w:rFonts w:ascii="TT Norms Pro"/>
        </w:rPr>
        <w:t>Significant</w:t>
      </w:r>
      <w:r>
        <w:rPr>
          <w:rFonts w:ascii="TT Norms Pro"/>
          <w:spacing w:val="5"/>
        </w:rPr>
        <w:t> </w:t>
      </w:r>
      <w:r>
        <w:rPr>
          <w:rFonts w:ascii="TT Norms Pro"/>
        </w:rPr>
        <w:t>issues</w:t>
      </w:r>
      <w:r>
        <w:rPr>
          <w:rFonts w:ascii="TT Norms Pro"/>
          <w:spacing w:val="5"/>
        </w:rPr>
        <w:t> </w:t>
      </w:r>
      <w:r>
        <w:rPr>
          <w:rFonts w:ascii="TT Norms Pro"/>
        </w:rPr>
        <w:t>and</w:t>
      </w:r>
      <w:r>
        <w:rPr>
          <w:rFonts w:ascii="TT Norms Pro"/>
          <w:spacing w:val="6"/>
        </w:rPr>
        <w:t> </w:t>
      </w:r>
      <w:r>
        <w:rPr>
          <w:rFonts w:ascii="TT Norms Pro"/>
          <w:spacing w:val="-2"/>
        </w:rPr>
        <w:t>trends</w:t>
      </w:r>
      <w:r>
        <w:rPr>
          <w:rFonts w:ascii="TT Norms Pro"/>
        </w:rPr>
        <w:tab/>
      </w:r>
      <w:r>
        <w:rPr>
          <w:rFonts w:ascii="TT Norms Pro"/>
          <w:spacing w:val="-5"/>
        </w:rPr>
        <w:t>18</w:t>
      </w:r>
    </w:p>
    <w:p>
      <w:pPr>
        <w:pStyle w:val="BodyText"/>
        <w:spacing w:before="113"/>
        <w:rPr>
          <w:rFonts w:ascii="TT Norms Pro"/>
        </w:rPr>
      </w:pPr>
    </w:p>
    <w:p>
      <w:pPr>
        <w:spacing w:line="295" w:lineRule="auto" w:before="0"/>
        <w:ind w:left="2409" w:right="542" w:firstLine="0"/>
        <w:jc w:val="left"/>
        <w:rPr>
          <w:rFonts w:ascii="TT Norms Pro"/>
          <w:b/>
          <w:sz w:val="18"/>
        </w:rPr>
      </w:pPr>
      <w:r>
        <w:rPr>
          <w:rFonts w:ascii="TT Norms Pro"/>
          <w:b/>
          <w:sz w:val="18"/>
        </w:rPr>
        <w:t>REPORT</w:t>
      </w:r>
      <w:r>
        <w:rPr>
          <w:rFonts w:ascii="TT Norms Pro"/>
          <w:b/>
          <w:spacing w:val="-6"/>
          <w:sz w:val="18"/>
        </w:rPr>
        <w:t> </w:t>
      </w:r>
      <w:r>
        <w:rPr>
          <w:rFonts w:ascii="TT Norms Pro"/>
          <w:b/>
          <w:sz w:val="18"/>
        </w:rPr>
        <w:t>ON</w:t>
      </w:r>
      <w:r>
        <w:rPr>
          <w:rFonts w:ascii="TT Norms Pro"/>
          <w:b/>
          <w:spacing w:val="-6"/>
          <w:sz w:val="18"/>
        </w:rPr>
        <w:t> </w:t>
      </w:r>
      <w:r>
        <w:rPr>
          <w:rFonts w:ascii="TT Norms Pro"/>
          <w:b/>
          <w:sz w:val="18"/>
        </w:rPr>
        <w:t>STRATEGIC</w:t>
      </w:r>
      <w:r>
        <w:rPr>
          <w:rFonts w:ascii="TT Norms Pro"/>
          <w:b/>
          <w:spacing w:val="40"/>
          <w:sz w:val="18"/>
        </w:rPr>
        <w:t> </w:t>
      </w:r>
      <w:r>
        <w:rPr>
          <w:rFonts w:ascii="TT Norms Pro"/>
          <w:b/>
          <w:spacing w:val="-2"/>
          <w:sz w:val="18"/>
        </w:rPr>
        <w:t>PRIORITIES</w:t>
      </w:r>
    </w:p>
    <w:p>
      <w:pPr>
        <w:pStyle w:val="BodyText"/>
        <w:tabs>
          <w:tab w:pos="5879" w:val="left" w:leader="none"/>
        </w:tabs>
        <w:spacing w:before="139"/>
        <w:ind w:left="2409"/>
        <w:rPr>
          <w:rFonts w:ascii="TT Norms Pro"/>
        </w:rPr>
      </w:pPr>
      <w:r>
        <w:rPr>
          <w:rFonts w:ascii="TT Norms Pro"/>
          <w:spacing w:val="-2"/>
        </w:rPr>
        <w:t>Education</w:t>
      </w:r>
      <w:r>
        <w:rPr>
          <w:rFonts w:ascii="TT Norms Pro"/>
        </w:rPr>
        <w:tab/>
      </w:r>
      <w:r>
        <w:rPr>
          <w:rFonts w:ascii="TT Norms Pro"/>
          <w:spacing w:val="-8"/>
        </w:rPr>
        <w:t>20</w:t>
      </w:r>
    </w:p>
    <w:p>
      <w:pPr>
        <w:pStyle w:val="BodyText"/>
        <w:tabs>
          <w:tab w:pos="5889" w:val="left" w:leader="none"/>
        </w:tabs>
        <w:spacing w:before="186"/>
        <w:ind w:left="2409"/>
        <w:rPr>
          <w:rFonts w:ascii="TT Norms Pro"/>
        </w:rPr>
      </w:pPr>
      <w:r>
        <w:rPr/>
        <mc:AlternateContent>
          <mc:Choice Requires="wps">
            <w:drawing>
              <wp:anchor distT="0" distB="0" distL="0" distR="0" allowOverlap="1" layoutInCell="1" locked="0" behindDoc="1" simplePos="0" relativeHeight="472584192">
                <wp:simplePos x="0" y="0"/>
                <wp:positionH relativeFrom="page">
                  <wp:posOffset>1187996</wp:posOffset>
                </wp:positionH>
                <wp:positionV relativeFrom="paragraph">
                  <wp:posOffset>205064</wp:posOffset>
                </wp:positionV>
                <wp:extent cx="6372225" cy="4342130"/>
                <wp:effectExtent l="0" t="0" r="0" b="0"/>
                <wp:wrapNone/>
                <wp:docPr id="19" name="Group 19"/>
                <wp:cNvGraphicFramePr>
                  <a:graphicFrameLocks/>
                </wp:cNvGraphicFramePr>
                <a:graphic>
                  <a:graphicData uri="http://schemas.microsoft.com/office/word/2010/wordprocessingGroup">
                    <wpg:wgp>
                      <wpg:cNvPr id="19" name="Group 19"/>
                      <wpg:cNvGrpSpPr/>
                      <wpg:grpSpPr>
                        <a:xfrm>
                          <a:off x="0" y="0"/>
                          <a:ext cx="6372225" cy="4342130"/>
                          <a:chExt cx="6372225" cy="4342130"/>
                        </a:xfrm>
                      </wpg:grpSpPr>
                      <pic:pic>
                        <pic:nvPicPr>
                          <pic:cNvPr id="20" name="Image 20"/>
                          <pic:cNvPicPr/>
                        </pic:nvPicPr>
                        <pic:blipFill>
                          <a:blip r:embed="rId15" cstate="print"/>
                          <a:stretch>
                            <a:fillRect/>
                          </a:stretch>
                        </pic:blipFill>
                        <pic:spPr>
                          <a:xfrm>
                            <a:off x="0" y="1484998"/>
                            <a:ext cx="6063627" cy="2856598"/>
                          </a:xfrm>
                          <a:prstGeom prst="rect">
                            <a:avLst/>
                          </a:prstGeom>
                        </pic:spPr>
                      </pic:pic>
                      <wps:wsp>
                        <wps:cNvPr id="21" name="Graphic 21"/>
                        <wps:cNvSpPr/>
                        <wps:spPr>
                          <a:xfrm>
                            <a:off x="3062097" y="0"/>
                            <a:ext cx="3310254" cy="4342130"/>
                          </a:xfrm>
                          <a:custGeom>
                            <a:avLst/>
                            <a:gdLst/>
                            <a:ahLst/>
                            <a:cxnLst/>
                            <a:rect l="l" t="t" r="r" b="b"/>
                            <a:pathLst>
                              <a:path w="3310254" h="4342130">
                                <a:moveTo>
                                  <a:pt x="3309899" y="0"/>
                                </a:moveTo>
                                <a:lnTo>
                                  <a:pt x="2589898" y="0"/>
                                </a:lnTo>
                                <a:lnTo>
                                  <a:pt x="2589898" y="886714"/>
                                </a:lnTo>
                                <a:lnTo>
                                  <a:pt x="0" y="886714"/>
                                </a:lnTo>
                                <a:lnTo>
                                  <a:pt x="0" y="1803755"/>
                                </a:lnTo>
                                <a:lnTo>
                                  <a:pt x="2589898" y="1803755"/>
                                </a:lnTo>
                                <a:lnTo>
                                  <a:pt x="2589898" y="4341596"/>
                                </a:lnTo>
                                <a:lnTo>
                                  <a:pt x="3309899" y="4341596"/>
                                </a:lnTo>
                                <a:lnTo>
                                  <a:pt x="3309899" y="1803755"/>
                                </a:lnTo>
                                <a:lnTo>
                                  <a:pt x="3309899" y="886714"/>
                                </a:lnTo>
                                <a:lnTo>
                                  <a:pt x="3309899"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93.542999pt;margin-top:16.146784pt;width:501.75pt;height:341.9pt;mso-position-horizontal-relative:page;mso-position-vertical-relative:paragraph;z-index:-30732288" id="docshapegroup12" coordorigin="1871,323" coordsize="10035,6838">
                <v:shape style="position:absolute;left:1870;top:2661;width:9550;height:4499" type="#_x0000_t75" id="docshape13" stroked="false">
                  <v:imagedata r:id="rId15" o:title=""/>
                </v:shape>
                <v:shape style="position:absolute;left:6693;top:322;width:5213;height:6838" id="docshape14" coordorigin="6693,323" coordsize="5213,6838" path="m11906,323l10772,323,10772,1719,6693,1719,6693,3163,10772,3163,10772,7160,11906,7160,11906,3163,11906,1719,11906,323xe" filled="true" fillcolor="#ffffff" stroked="false">
                  <v:path arrowok="t"/>
                  <v:fill type="solid"/>
                </v:shape>
                <w10:wrap type="none"/>
              </v:group>
            </w:pict>
          </mc:Fallback>
        </mc:AlternateContent>
      </w:r>
      <w:r>
        <w:rPr>
          <w:rFonts w:ascii="TT Norms Pro"/>
        </w:rPr>
        <w:t>Research</w:t>
      </w:r>
      <w:r>
        <w:rPr>
          <w:rFonts w:ascii="TT Norms Pro"/>
          <w:spacing w:val="3"/>
        </w:rPr>
        <w:t> </w:t>
      </w:r>
      <w:r>
        <w:rPr>
          <w:rFonts w:ascii="TT Norms Pro"/>
        </w:rPr>
        <w:t>and</w:t>
      </w:r>
      <w:r>
        <w:rPr>
          <w:rFonts w:ascii="TT Norms Pro"/>
          <w:spacing w:val="3"/>
        </w:rPr>
        <w:t> </w:t>
      </w:r>
      <w:r>
        <w:rPr>
          <w:rFonts w:ascii="TT Norms Pro"/>
          <w:spacing w:val="-2"/>
        </w:rPr>
        <w:t>Innovation</w:t>
      </w:r>
      <w:r>
        <w:rPr>
          <w:rFonts w:ascii="TT Norms Pro"/>
        </w:rPr>
        <w:tab/>
      </w:r>
      <w:r>
        <w:rPr>
          <w:rFonts w:ascii="TT Norms Pro"/>
          <w:spacing w:val="-5"/>
        </w:rPr>
        <w:t>22</w:t>
      </w:r>
    </w:p>
    <w:p>
      <w:pPr>
        <w:pStyle w:val="BodyText"/>
        <w:tabs>
          <w:tab w:pos="5887" w:val="left" w:leader="none"/>
        </w:tabs>
        <w:spacing w:before="186"/>
        <w:ind w:left="2409"/>
        <w:rPr>
          <w:rFonts w:ascii="TT Norms Pro"/>
        </w:rPr>
      </w:pPr>
      <w:r>
        <w:rPr>
          <w:rFonts w:ascii="TT Norms Pro"/>
        </w:rPr>
        <w:t>Global</w:t>
      </w:r>
      <w:r>
        <w:rPr>
          <w:rFonts w:ascii="TT Norms Pro"/>
          <w:spacing w:val="5"/>
        </w:rPr>
        <w:t> </w:t>
      </w:r>
      <w:r>
        <w:rPr>
          <w:rFonts w:ascii="TT Norms Pro"/>
          <w:spacing w:val="-2"/>
        </w:rPr>
        <w:t>Partnerships</w:t>
      </w:r>
      <w:r>
        <w:rPr>
          <w:rFonts w:ascii="TT Norms Pro"/>
        </w:rPr>
        <w:tab/>
      </w:r>
      <w:r>
        <w:rPr>
          <w:rFonts w:ascii="TT Norms Pro"/>
          <w:spacing w:val="-5"/>
        </w:rPr>
        <w:t>24</w:t>
      </w:r>
    </w:p>
    <w:p>
      <w:pPr>
        <w:pStyle w:val="BodyText"/>
        <w:tabs>
          <w:tab w:pos="5886" w:val="left" w:leader="none"/>
        </w:tabs>
        <w:spacing w:before="187"/>
        <w:ind w:left="2409"/>
        <w:rPr>
          <w:rFonts w:ascii="TT Norms Pro"/>
        </w:rPr>
      </w:pPr>
      <w:r>
        <w:rPr>
          <w:rFonts w:ascii="TT Norms Pro"/>
        </w:rPr>
        <w:t>Sustainable</w:t>
      </w:r>
      <w:r>
        <w:rPr>
          <w:rFonts w:ascii="TT Norms Pro"/>
          <w:spacing w:val="8"/>
        </w:rPr>
        <w:t> </w:t>
      </w:r>
      <w:r>
        <w:rPr>
          <w:rFonts w:ascii="TT Norms Pro"/>
          <w:spacing w:val="-2"/>
        </w:rPr>
        <w:t>Environments</w:t>
      </w:r>
      <w:r>
        <w:rPr>
          <w:rFonts w:ascii="TT Norms Pro"/>
        </w:rPr>
        <w:tab/>
      </w:r>
      <w:r>
        <w:rPr>
          <w:rFonts w:ascii="TT Norms Pro"/>
          <w:spacing w:val="-5"/>
        </w:rPr>
        <w:t>26</w:t>
      </w:r>
    </w:p>
    <w:p>
      <w:pPr>
        <w:pStyle w:val="BodyText"/>
        <w:tabs>
          <w:tab w:pos="5886" w:val="left" w:leader="none"/>
        </w:tabs>
        <w:spacing w:before="186"/>
        <w:ind w:left="2409"/>
        <w:rPr>
          <w:rFonts w:ascii="TT Norms Pro"/>
        </w:rPr>
      </w:pPr>
      <w:r>
        <w:rPr>
          <w:rFonts w:ascii="TT Norms Pro"/>
        </w:rPr>
        <w:t>People</w:t>
      </w:r>
      <w:r>
        <w:rPr>
          <w:rFonts w:ascii="TT Norms Pro"/>
          <w:spacing w:val="2"/>
        </w:rPr>
        <w:t> </w:t>
      </w:r>
      <w:r>
        <w:rPr>
          <w:rFonts w:ascii="TT Norms Pro"/>
        </w:rPr>
        <w:t>and</w:t>
      </w:r>
      <w:r>
        <w:rPr>
          <w:rFonts w:ascii="TT Norms Pro"/>
          <w:spacing w:val="3"/>
        </w:rPr>
        <w:t> </w:t>
      </w:r>
      <w:r>
        <w:rPr>
          <w:rFonts w:ascii="TT Norms Pro"/>
          <w:spacing w:val="-2"/>
        </w:rPr>
        <w:t>Culture</w:t>
      </w:r>
      <w:r>
        <w:rPr>
          <w:rFonts w:ascii="TT Norms Pro"/>
        </w:rPr>
        <w:tab/>
      </w:r>
      <w:r>
        <w:rPr>
          <w:rFonts w:ascii="TT Norms Pro"/>
          <w:spacing w:val="-5"/>
        </w:rPr>
        <w:t>28</w:t>
      </w:r>
    </w:p>
    <w:sdt>
      <w:sdtPr>
        <w:docPartObj>
          <w:docPartGallery w:val="Table of Contents"/>
          <w:docPartUnique/>
        </w:docPartObj>
      </w:sdtPr>
      <w:sdtEndPr/>
      <w:sdtContent>
        <w:p>
          <w:pPr>
            <w:pStyle w:val="TOC2"/>
            <w:tabs>
              <w:tab w:pos="4241" w:val="right" w:leader="none"/>
            </w:tabs>
          </w:pPr>
          <w:hyperlink w:history="true" w:anchor="_TOC_250003">
            <w:r>
              <w:rPr/>
              <w:br w:type="column"/>
            </w:r>
            <w:r>
              <w:rPr/>
              <w:t>Workforce</w:t>
            </w:r>
            <w:r>
              <w:rPr>
                <w:spacing w:val="-1"/>
              </w:rPr>
              <w:t> </w:t>
            </w:r>
            <w:r>
              <w:rPr>
                <w:spacing w:val="-2"/>
              </w:rPr>
              <w:t>disclosures</w:t>
            </w:r>
            <w:r>
              <w:rPr/>
              <w:tab/>
            </w:r>
            <w:r>
              <w:rPr>
                <w:spacing w:val="-5"/>
              </w:rPr>
              <w:t>56</w:t>
            </w:r>
          </w:hyperlink>
        </w:p>
        <w:p>
          <w:pPr>
            <w:pStyle w:val="TOC2"/>
            <w:tabs>
              <w:tab w:pos="4241" w:val="right" w:leader="none"/>
            </w:tabs>
          </w:pPr>
          <w:hyperlink w:history="true" w:anchor="_TOC_250002">
            <w:r>
              <w:rPr/>
              <w:t>Governance</w:t>
            </w:r>
            <w:r>
              <w:rPr>
                <w:spacing w:val="3"/>
              </w:rPr>
              <w:t> </w:t>
            </w:r>
            <w:r>
              <w:rPr>
                <w:spacing w:val="-2"/>
              </w:rPr>
              <w:t>disclosures</w:t>
            </w:r>
            <w:r>
              <w:rPr/>
              <w:tab/>
            </w:r>
            <w:r>
              <w:rPr>
                <w:spacing w:val="-5"/>
              </w:rPr>
              <w:t>58</w:t>
            </w:r>
          </w:hyperlink>
        </w:p>
        <w:p>
          <w:pPr>
            <w:pStyle w:val="TOC2"/>
            <w:tabs>
              <w:tab w:pos="4241" w:val="right" w:leader="none"/>
            </w:tabs>
          </w:pPr>
          <w:hyperlink w:history="true" w:anchor="_TOC_250001">
            <w:r>
              <w:rPr/>
              <w:t>Other</w:t>
            </w:r>
            <w:r>
              <w:rPr>
                <w:spacing w:val="4"/>
              </w:rPr>
              <w:t> </w:t>
            </w:r>
            <w:r>
              <w:rPr/>
              <w:t>legal</w:t>
            </w:r>
            <w:r>
              <w:rPr>
                <w:spacing w:val="4"/>
              </w:rPr>
              <w:t> </w:t>
            </w:r>
            <w:r>
              <w:rPr>
                <w:spacing w:val="-2"/>
              </w:rPr>
              <w:t>requirements</w:t>
            </w:r>
            <w:r>
              <w:rPr/>
              <w:tab/>
            </w:r>
            <w:r>
              <w:rPr>
                <w:spacing w:val="-5"/>
              </w:rPr>
              <w:t>58</w:t>
            </w:r>
          </w:hyperlink>
        </w:p>
        <w:p>
          <w:pPr>
            <w:pStyle w:val="TOC2"/>
            <w:spacing w:line="249" w:lineRule="auto" w:before="182"/>
            <w:ind w:right="1366"/>
          </w:pPr>
          <w:r>
            <w:rPr/>
            <mc:AlternateContent>
              <mc:Choice Requires="wps">
                <w:drawing>
                  <wp:anchor distT="0" distB="0" distL="0" distR="0" allowOverlap="1" layoutInCell="1" locked="0" behindDoc="0" simplePos="0" relativeHeight="15732224">
                    <wp:simplePos x="0" y="0"/>
                    <wp:positionH relativeFrom="page">
                      <wp:posOffset>6453461</wp:posOffset>
                    </wp:positionH>
                    <wp:positionV relativeFrom="paragraph">
                      <wp:posOffset>171034</wp:posOffset>
                    </wp:positionV>
                    <wp:extent cx="133350" cy="148590"/>
                    <wp:effectExtent l="0" t="0" r="0" b="0"/>
                    <wp:wrapNone/>
                    <wp:docPr id="22" name="Textbox 22"/>
                    <wp:cNvGraphicFramePr>
                      <a:graphicFrameLocks/>
                    </wp:cNvGraphicFramePr>
                    <a:graphic>
                      <a:graphicData uri="http://schemas.microsoft.com/office/word/2010/wordprocessingShape">
                        <wps:wsp>
                          <wps:cNvPr id="22" name="Textbox 22"/>
                          <wps:cNvSpPr txBox="1"/>
                          <wps:spPr>
                            <a:xfrm>
                              <a:off x="0" y="0"/>
                              <a:ext cx="133350" cy="148590"/>
                            </a:xfrm>
                            <a:prstGeom prst="rect">
                              <a:avLst/>
                            </a:prstGeom>
                          </wps:spPr>
                          <wps:txbx>
                            <w:txbxContent>
                              <w:p>
                                <w:pPr>
                                  <w:pStyle w:val="BodyText"/>
                                  <w:spacing w:before="22"/>
                                  <w:rPr>
                                    <w:rFonts w:ascii="TT Norms Pro"/>
                                  </w:rPr>
                                </w:pPr>
                                <w:r>
                                  <w:rPr>
                                    <w:rFonts w:ascii="TT Norms Pro"/>
                                    <w:spacing w:val="-9"/>
                                  </w:rPr>
                                  <w:t>59</w:t>
                                </w:r>
                              </w:p>
                            </w:txbxContent>
                          </wps:txbx>
                          <wps:bodyPr wrap="square" lIns="0" tIns="0" rIns="0" bIns="0" rtlCol="0">
                            <a:noAutofit/>
                          </wps:bodyPr>
                        </wps:wsp>
                      </a:graphicData>
                    </a:graphic>
                  </wp:anchor>
                </w:drawing>
              </mc:Choice>
              <mc:Fallback>
                <w:pict>
                  <v:shape style="position:absolute;margin-left:508.146606pt;margin-top:13.467283pt;width:10.5pt;height:11.7pt;mso-position-horizontal-relative:page;mso-position-vertical-relative:paragraph;z-index:15732224" type="#_x0000_t202" id="docshape15" filled="false" stroked="false">
                    <v:textbox inset="0,0,0,0">
                      <w:txbxContent>
                        <w:p>
                          <w:pPr>
                            <w:pStyle w:val="BodyText"/>
                            <w:spacing w:before="22"/>
                            <w:rPr>
                              <w:rFonts w:ascii="TT Norms Pro"/>
                            </w:rPr>
                          </w:pPr>
                          <w:r>
                            <w:rPr>
                              <w:rFonts w:ascii="TT Norms Pro"/>
                              <w:spacing w:val="-9"/>
                            </w:rPr>
                            <w:t>59</w:t>
                          </w:r>
                        </w:p>
                      </w:txbxContent>
                    </v:textbox>
                    <w10:wrap type="none"/>
                  </v:shape>
                </w:pict>
              </mc:Fallback>
            </mc:AlternateContent>
          </w:r>
          <w:r>
            <w:rPr/>
            <w:t>Statement</w:t>
          </w:r>
          <w:r>
            <w:rPr>
              <w:spacing w:val="-5"/>
            </w:rPr>
            <w:t> </w:t>
          </w:r>
          <w:r>
            <w:rPr/>
            <w:t>of</w:t>
          </w:r>
          <w:r>
            <w:rPr>
              <w:spacing w:val="-5"/>
            </w:rPr>
            <w:t> </w:t>
          </w:r>
          <w:r>
            <w:rPr/>
            <w:t>compliance</w:t>
          </w:r>
          <w:r>
            <w:rPr>
              <w:spacing w:val="-5"/>
            </w:rPr>
            <w:t> </w:t>
          </w:r>
          <w:r>
            <w:rPr/>
            <w:t>with</w:t>
          </w:r>
          <w:r>
            <w:rPr>
              <w:spacing w:val="-5"/>
            </w:rPr>
            <w:t> </w:t>
          </w:r>
          <w:r>
            <w:rPr/>
            <w:t>the</w:t>
          </w:r>
          <w:r>
            <w:rPr>
              <w:spacing w:val="40"/>
            </w:rPr>
            <w:t> </w:t>
          </w:r>
          <w:r>
            <w:rPr/>
            <w:t>recordkeeping</w:t>
          </w:r>
          <w:r>
            <w:rPr>
              <w:spacing w:val="-5"/>
            </w:rPr>
            <w:t> </w:t>
          </w:r>
          <w:r>
            <w:rPr/>
            <w:t>plan</w:t>
          </w:r>
        </w:p>
        <w:p>
          <w:pPr>
            <w:pStyle w:val="TOC2"/>
            <w:tabs>
              <w:tab w:pos="4238" w:val="right" w:leader="none"/>
            </w:tabs>
            <w:spacing w:before="190"/>
          </w:pPr>
          <w:hyperlink w:history="true" w:anchor="_TOC_250000">
            <w:r>
              <w:rPr/>
              <w:t>Media</w:t>
            </w:r>
            <w:r>
              <w:rPr>
                <w:spacing w:val="6"/>
              </w:rPr>
              <w:t> </w:t>
            </w:r>
            <w:r>
              <w:rPr/>
              <w:t>and</w:t>
            </w:r>
            <w:r>
              <w:rPr>
                <w:spacing w:val="6"/>
              </w:rPr>
              <w:t> </w:t>
            </w:r>
            <w:r>
              <w:rPr/>
              <w:t>advertising</w:t>
            </w:r>
            <w:r>
              <w:rPr>
                <w:spacing w:val="6"/>
              </w:rPr>
              <w:t> </w:t>
            </w:r>
            <w:r>
              <w:rPr>
                <w:spacing w:val="-2"/>
              </w:rPr>
              <w:t>expenditure</w:t>
            </w:r>
            <w:r>
              <w:rPr/>
              <w:tab/>
            </w:r>
            <w:r>
              <w:rPr>
                <w:spacing w:val="-5"/>
              </w:rPr>
              <w:t>60</w:t>
            </w:r>
          </w:hyperlink>
        </w:p>
        <w:p>
          <w:pPr>
            <w:pStyle w:val="TOC1"/>
          </w:pPr>
          <w:r>
            <w:rPr/>
            <w:t>FINANCIAL</w:t>
          </w:r>
          <w:r>
            <w:rPr>
              <w:spacing w:val="7"/>
            </w:rPr>
            <w:t> </w:t>
          </w:r>
          <w:r>
            <w:rPr>
              <w:spacing w:val="-2"/>
            </w:rPr>
            <w:t>REPORT</w:t>
          </w:r>
        </w:p>
        <w:p>
          <w:pPr>
            <w:pStyle w:val="TOC2"/>
            <w:tabs>
              <w:tab w:pos="4239" w:val="right" w:leader="none"/>
            </w:tabs>
          </w:pPr>
          <w:r>
            <w:rPr/>
            <w:t>Financial</w:t>
          </w:r>
          <w:r>
            <w:rPr>
              <w:spacing w:val="6"/>
            </w:rPr>
            <w:t> </w:t>
          </w:r>
          <w:r>
            <w:rPr>
              <w:spacing w:val="-2"/>
            </w:rPr>
            <w:t>overview</w:t>
          </w:r>
          <w:r>
            <w:rPr/>
            <w:tab/>
          </w:r>
          <w:r>
            <w:rPr>
              <w:spacing w:val="-5"/>
            </w:rPr>
            <w:t>62</w:t>
          </w:r>
        </w:p>
        <w:p>
          <w:pPr>
            <w:pStyle w:val="TOC2"/>
            <w:tabs>
              <w:tab w:pos="4244" w:val="right" w:leader="none"/>
            </w:tabs>
          </w:pPr>
          <w:r>
            <w:rPr/>
            <w:t>Auditor</w:t>
          </w:r>
          <w:r>
            <w:rPr>
              <w:spacing w:val="2"/>
            </w:rPr>
            <w:t> </w:t>
          </w:r>
          <w:r>
            <w:rPr/>
            <w:t>General</w:t>
          </w:r>
          <w:r>
            <w:rPr>
              <w:spacing w:val="4"/>
            </w:rPr>
            <w:t> </w:t>
          </w:r>
          <w:r>
            <w:rPr/>
            <w:t>Report</w:t>
          </w:r>
          <w:r>
            <w:rPr>
              <w:spacing w:val="4"/>
            </w:rPr>
            <w:t> </w:t>
          </w:r>
          <w:r>
            <w:rPr/>
            <w:t>to</w:t>
          </w:r>
          <w:r>
            <w:rPr>
              <w:spacing w:val="4"/>
            </w:rPr>
            <w:t> </w:t>
          </w:r>
          <w:r>
            <w:rPr>
              <w:spacing w:val="-2"/>
            </w:rPr>
            <w:t>Parliament</w:t>
          </w:r>
          <w:r>
            <w:rPr/>
            <w:tab/>
          </w:r>
          <w:r>
            <w:rPr>
              <w:spacing w:val="-5"/>
            </w:rPr>
            <w:t>64</w:t>
          </w:r>
        </w:p>
        <w:p>
          <w:pPr>
            <w:pStyle w:val="TOC2"/>
            <w:tabs>
              <w:tab w:pos="4241" w:val="right" w:leader="none"/>
            </w:tabs>
            <w:spacing w:before="187"/>
          </w:pPr>
          <w:r>
            <w:rPr/>
            <w:t>Certification</w:t>
          </w:r>
          <w:r>
            <w:rPr>
              <w:spacing w:val="5"/>
            </w:rPr>
            <w:t> </w:t>
          </w:r>
          <w:r>
            <w:rPr/>
            <w:t>of</w:t>
          </w:r>
          <w:r>
            <w:rPr>
              <w:spacing w:val="6"/>
            </w:rPr>
            <w:t> </w:t>
          </w:r>
          <w:r>
            <w:rPr/>
            <w:t>financial</w:t>
          </w:r>
          <w:r>
            <w:rPr>
              <w:spacing w:val="6"/>
            </w:rPr>
            <w:t> </w:t>
          </w:r>
          <w:r>
            <w:rPr>
              <w:spacing w:val="-2"/>
            </w:rPr>
            <w:t>statements</w:t>
          </w:r>
          <w:r>
            <w:rPr/>
            <w:tab/>
          </w:r>
          <w:r>
            <w:rPr>
              <w:spacing w:val="-5"/>
            </w:rPr>
            <w:t>68</w:t>
          </w:r>
        </w:p>
        <w:p>
          <w:pPr>
            <w:pStyle w:val="TOC2"/>
            <w:tabs>
              <w:tab w:pos="4236" w:val="right" w:leader="none"/>
            </w:tabs>
          </w:pPr>
          <w:r>
            <w:rPr/>
            <mc:AlternateContent>
              <mc:Choice Requires="wps">
                <w:drawing>
                  <wp:anchor distT="0" distB="0" distL="0" distR="0" allowOverlap="1" layoutInCell="1" locked="0" behindDoc="0" simplePos="0" relativeHeight="15731200">
                    <wp:simplePos x="0" y="0"/>
                    <wp:positionH relativeFrom="page">
                      <wp:posOffset>7111289</wp:posOffset>
                    </wp:positionH>
                    <wp:positionV relativeFrom="paragraph">
                      <wp:posOffset>983247</wp:posOffset>
                    </wp:positionV>
                    <wp:extent cx="177800" cy="1848485"/>
                    <wp:effectExtent l="0" t="0" r="0" b="0"/>
                    <wp:wrapNone/>
                    <wp:docPr id="23" name="Textbox 23"/>
                    <wp:cNvGraphicFramePr>
                      <a:graphicFrameLocks/>
                    </wp:cNvGraphicFramePr>
                    <a:graphic>
                      <a:graphicData uri="http://schemas.microsoft.com/office/word/2010/wordprocessingShape">
                        <wps:wsp>
                          <wps:cNvPr id="23" name="Textbox 23"/>
                          <wps:cNvSpPr txBox="1"/>
                          <wps:spPr>
                            <a:xfrm>
                              <a:off x="0" y="0"/>
                              <a:ext cx="177800" cy="184848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77.421082pt;width:14pt;height:145.550pt;mso-position-horizontal-relative:page;mso-position-vertical-relative:paragraph;z-index:15731200" type="#_x0000_t202" id="docshape16"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v:textbox>
                    <w10:wrap type="none"/>
                  </v:shape>
                </w:pict>
              </mc:Fallback>
            </mc:AlternateContent>
          </w:r>
          <w:r>
            <w:rPr/>
            <w:t>Financial</w:t>
          </w:r>
          <w:r>
            <w:rPr>
              <w:spacing w:val="6"/>
            </w:rPr>
            <w:t> </w:t>
          </w:r>
          <w:r>
            <w:rPr>
              <w:spacing w:val="-2"/>
            </w:rPr>
            <w:t>statements</w:t>
          </w:r>
          <w:r>
            <w:rPr/>
            <w:tab/>
          </w:r>
          <w:r>
            <w:rPr>
              <w:spacing w:val="-5"/>
            </w:rPr>
            <w:t>69</w:t>
          </w:r>
        </w:p>
      </w:sdtContent>
    </w:sdt>
    <w:p>
      <w:pPr>
        <w:spacing w:after="0"/>
        <w:sectPr>
          <w:type w:val="continuous"/>
          <w:pgSz w:w="11910" w:h="16840"/>
          <w:pgMar w:header="468" w:footer="0" w:top="980" w:bottom="280" w:left="0" w:right="0"/>
          <w:cols w:num="2" w:equalWidth="0">
            <w:col w:w="6097" w:space="40"/>
            <w:col w:w="5773"/>
          </w:cols>
        </w:sectPr>
      </w:pPr>
    </w:p>
    <w:p>
      <w:pPr>
        <w:pStyle w:val="Heading1"/>
        <w:spacing w:line="1020" w:lineRule="exact" w:before="151"/>
      </w:pPr>
      <w:r>
        <w:rPr>
          <w:spacing w:val="-2"/>
          <w:w w:val="105"/>
        </w:rPr>
        <w:t>Chancellor’s</w:t>
      </w:r>
    </w:p>
    <w:p>
      <w:pPr>
        <w:spacing w:line="876" w:lineRule="exact" w:before="0"/>
        <w:ind w:left="1541" w:right="0" w:firstLine="0"/>
        <w:jc w:val="left"/>
        <w:rPr>
          <w:rFonts w:ascii="TT Norms Pro"/>
          <w:b/>
          <w:sz w:val="80"/>
        </w:rPr>
      </w:pPr>
      <w:r>
        <w:rPr>
          <w:rFonts w:ascii="TT Norms Pro"/>
          <w:b/>
          <w:spacing w:val="-2"/>
          <w:sz w:val="80"/>
        </w:rPr>
        <w:t>report</w:t>
      </w:r>
    </w:p>
    <w:p>
      <w:pPr>
        <w:pStyle w:val="BodyText"/>
        <w:rPr>
          <w:rFonts w:ascii="TT Norms Pro"/>
          <w:b/>
          <w:sz w:val="20"/>
        </w:rPr>
      </w:pPr>
    </w:p>
    <w:p>
      <w:pPr>
        <w:pStyle w:val="BodyText"/>
        <w:rPr>
          <w:rFonts w:ascii="TT Norms Pro"/>
          <w:b/>
          <w:sz w:val="20"/>
        </w:rPr>
      </w:pPr>
    </w:p>
    <w:p>
      <w:pPr>
        <w:pStyle w:val="BodyText"/>
        <w:rPr>
          <w:rFonts w:ascii="TT Norms Pro"/>
          <w:b/>
          <w:sz w:val="20"/>
        </w:rPr>
      </w:pPr>
    </w:p>
    <w:p>
      <w:pPr>
        <w:pStyle w:val="BodyText"/>
        <w:spacing w:before="214"/>
        <w:rPr>
          <w:rFonts w:ascii="TT Norms Pro"/>
          <w:b/>
          <w:sz w:val="20"/>
        </w:rPr>
      </w:pPr>
    </w:p>
    <w:p>
      <w:pPr>
        <w:spacing w:after="0"/>
        <w:rPr>
          <w:rFonts w:ascii="TT Norms Pro"/>
          <w:sz w:val="20"/>
        </w:rPr>
        <w:sectPr>
          <w:headerReference w:type="even" r:id="rId16"/>
          <w:headerReference w:type="default" r:id="rId17"/>
          <w:pgSz w:w="11910" w:h="16840"/>
          <w:pgMar w:header="468" w:footer="0" w:top="780" w:bottom="280" w:left="0" w:right="0"/>
          <w:pgNumType w:start="2"/>
        </w:sectPr>
      </w:pPr>
    </w:p>
    <w:p>
      <w:pPr>
        <w:pStyle w:val="BodyText"/>
        <w:spacing w:line="295" w:lineRule="auto" w:before="125"/>
        <w:ind w:left="1133" w:right="142"/>
        <w:rPr>
          <w:b w:val="0"/>
        </w:rPr>
      </w:pPr>
      <w:r>
        <w:rPr>
          <w:b w:val="0"/>
        </w:rPr>
        <w:t>The year 2020 was a year of radical discontinuity for</w:t>
      </w:r>
      <w:r>
        <w:rPr>
          <w:b w:val="0"/>
          <w:spacing w:val="40"/>
        </w:rPr>
        <w:t> </w:t>
      </w:r>
      <w:r>
        <w:rPr>
          <w:b w:val="0"/>
        </w:rPr>
        <w:t>Australian and global societies, for their people, their</w:t>
      </w:r>
      <w:r>
        <w:rPr>
          <w:b w:val="0"/>
          <w:spacing w:val="40"/>
        </w:rPr>
        <w:t> </w:t>
      </w:r>
      <w:r>
        <w:rPr>
          <w:b w:val="0"/>
        </w:rPr>
        <w:t>governments, their institutions and their economies.</w:t>
      </w:r>
      <w:r>
        <w:rPr>
          <w:b w:val="0"/>
          <w:spacing w:val="80"/>
        </w:rPr>
        <w:t> </w:t>
      </w:r>
      <w:r>
        <w:rPr>
          <w:b w:val="0"/>
        </w:rPr>
        <w:t>That discontinuity was effected by the COVID-19</w:t>
      </w:r>
      <w:r>
        <w:rPr>
          <w:b w:val="0"/>
          <w:spacing w:val="40"/>
        </w:rPr>
        <w:t> </w:t>
      </w:r>
      <w:r>
        <w:rPr>
          <w:b w:val="0"/>
        </w:rPr>
        <w:t>pandemic and by historic geo-political changes. It is a</w:t>
      </w:r>
      <w:r>
        <w:rPr>
          <w:b w:val="0"/>
          <w:spacing w:val="40"/>
        </w:rPr>
        <w:t> </w:t>
      </w:r>
      <w:r>
        <w:rPr>
          <w:b w:val="0"/>
        </w:rPr>
        <w:t>discontinuity which has impacted upon The University of</w:t>
      </w:r>
      <w:r>
        <w:rPr>
          <w:b w:val="0"/>
          <w:spacing w:val="40"/>
        </w:rPr>
        <w:t> </w:t>
      </w:r>
      <w:r>
        <w:rPr>
          <w:b w:val="0"/>
        </w:rPr>
        <w:t>Western Australia which, even without those external</w:t>
      </w:r>
      <w:r>
        <w:rPr>
          <w:b w:val="0"/>
          <w:spacing w:val="40"/>
        </w:rPr>
        <w:t> </w:t>
      </w:r>
      <w:r>
        <w:rPr>
          <w:b w:val="0"/>
        </w:rPr>
        <w:t>circumstances, was entering an important period of</w:t>
      </w:r>
      <w:r>
        <w:rPr>
          <w:b w:val="0"/>
          <w:spacing w:val="40"/>
        </w:rPr>
        <w:t> </w:t>
      </w:r>
      <w:r>
        <w:rPr>
          <w:b w:val="0"/>
        </w:rPr>
        <w:t>change in its history.</w:t>
      </w:r>
    </w:p>
    <w:p>
      <w:pPr>
        <w:pStyle w:val="BodyText"/>
        <w:spacing w:before="52"/>
        <w:rPr>
          <w:b w:val="0"/>
        </w:rPr>
      </w:pPr>
    </w:p>
    <w:p>
      <w:pPr>
        <w:pStyle w:val="BodyText"/>
        <w:spacing w:line="295" w:lineRule="auto"/>
        <w:ind w:left="1133" w:right="20"/>
        <w:rPr>
          <w:b w:val="0"/>
        </w:rPr>
      </w:pPr>
      <w:r>
        <w:rPr>
          <w:b w:val="0"/>
        </w:rPr>
        <w:t>In March 2020, the Vice-Chancellor, Professor Dawn</w:t>
      </w:r>
      <w:r>
        <w:rPr>
          <w:b w:val="0"/>
          <w:spacing w:val="40"/>
        </w:rPr>
        <w:t> </w:t>
      </w:r>
      <w:r>
        <w:rPr>
          <w:b w:val="0"/>
        </w:rPr>
        <w:t>Freshwater, left to take up the post of Vice-Chancellor of</w:t>
      </w:r>
      <w:r>
        <w:rPr>
          <w:b w:val="0"/>
          <w:spacing w:val="40"/>
        </w:rPr>
        <w:t> </w:t>
      </w:r>
      <w:r>
        <w:rPr>
          <w:b w:val="0"/>
        </w:rPr>
        <w:t>The University of Auckland. Professor Jane den Hollander,</w:t>
      </w:r>
      <w:r>
        <w:rPr>
          <w:b w:val="0"/>
          <w:spacing w:val="40"/>
        </w:rPr>
        <w:t> </w:t>
      </w:r>
      <w:r>
        <w:rPr>
          <w:b w:val="0"/>
        </w:rPr>
        <w:t>former Vice-Chancellor of Deakin University, accepted</w:t>
      </w:r>
      <w:r>
        <w:rPr>
          <w:b w:val="0"/>
          <w:spacing w:val="40"/>
        </w:rPr>
        <w:t> </w:t>
      </w:r>
      <w:r>
        <w:rPr>
          <w:b w:val="0"/>
        </w:rPr>
        <w:t>appointment as Strategic Change Director in the last few</w:t>
      </w:r>
      <w:r>
        <w:rPr>
          <w:b w:val="0"/>
          <w:spacing w:val="40"/>
        </w:rPr>
        <w:t> </w:t>
      </w:r>
      <w:r>
        <w:rPr>
          <w:b w:val="0"/>
        </w:rPr>
        <w:t>weeks of Professor Freshwater’s term and then as Interim</w:t>
      </w:r>
      <w:r>
        <w:rPr>
          <w:b w:val="0"/>
          <w:spacing w:val="40"/>
        </w:rPr>
        <w:t> </w:t>
      </w:r>
      <w:r>
        <w:rPr>
          <w:b w:val="0"/>
        </w:rPr>
        <w:t>Vice-Chancellor until the arrival in July of the new</w:t>
      </w:r>
    </w:p>
    <w:p>
      <w:pPr>
        <w:pStyle w:val="BodyText"/>
        <w:spacing w:before="6"/>
        <w:ind w:left="1133"/>
        <w:rPr>
          <w:b w:val="0"/>
        </w:rPr>
      </w:pPr>
      <w:r>
        <w:rPr>
          <w:b w:val="0"/>
        </w:rPr>
        <w:t>Vice-Chancellor,</w:t>
      </w:r>
      <w:r>
        <w:rPr>
          <w:b w:val="0"/>
          <w:spacing w:val="1"/>
        </w:rPr>
        <w:t> </w:t>
      </w:r>
      <w:r>
        <w:rPr>
          <w:b w:val="0"/>
        </w:rPr>
        <w:t>Professor</w:t>
      </w:r>
      <w:r>
        <w:rPr>
          <w:b w:val="0"/>
          <w:spacing w:val="3"/>
        </w:rPr>
        <w:t> </w:t>
      </w:r>
      <w:r>
        <w:rPr>
          <w:b w:val="0"/>
        </w:rPr>
        <w:t>Amit</w:t>
      </w:r>
      <w:r>
        <w:rPr>
          <w:b w:val="0"/>
          <w:spacing w:val="4"/>
        </w:rPr>
        <w:t> </w:t>
      </w:r>
      <w:r>
        <w:rPr>
          <w:b w:val="0"/>
          <w:spacing w:val="-2"/>
        </w:rPr>
        <w:t>Chakma.</w:t>
      </w:r>
    </w:p>
    <w:p>
      <w:pPr>
        <w:pStyle w:val="BodyText"/>
        <w:spacing w:before="94"/>
        <w:rPr>
          <w:b w:val="0"/>
        </w:rPr>
      </w:pPr>
    </w:p>
    <w:p>
      <w:pPr>
        <w:pStyle w:val="BodyText"/>
        <w:spacing w:line="295" w:lineRule="auto"/>
        <w:ind w:left="1133"/>
        <w:rPr>
          <w:b w:val="0"/>
        </w:rPr>
      </w:pPr>
      <w:r>
        <w:rPr>
          <w:b w:val="0"/>
        </w:rPr>
        <w:t>The University is immensely grateful to Professor den</w:t>
      </w:r>
      <w:r>
        <w:rPr>
          <w:b w:val="0"/>
          <w:spacing w:val="40"/>
        </w:rPr>
        <w:t> </w:t>
      </w:r>
      <w:r>
        <w:rPr>
          <w:b w:val="0"/>
        </w:rPr>
        <w:t>Hollander for the leadership she provided in responding</w:t>
      </w:r>
      <w:r>
        <w:rPr>
          <w:b w:val="0"/>
          <w:spacing w:val="80"/>
        </w:rPr>
        <w:t> </w:t>
      </w:r>
      <w:r>
        <w:rPr>
          <w:b w:val="0"/>
        </w:rPr>
        <w:t>to the impact of the COVID-19 pandemic. She set a tone</w:t>
      </w:r>
      <w:r>
        <w:rPr>
          <w:b w:val="0"/>
          <w:spacing w:val="80"/>
        </w:rPr>
        <w:t> </w:t>
      </w:r>
      <w:r>
        <w:rPr>
          <w:b w:val="0"/>
        </w:rPr>
        <w:t>of frank engagement with academic and professional staff</w:t>
      </w:r>
      <w:r>
        <w:rPr>
          <w:b w:val="0"/>
          <w:spacing w:val="40"/>
        </w:rPr>
        <w:t> </w:t>
      </w:r>
      <w:r>
        <w:rPr>
          <w:b w:val="0"/>
        </w:rPr>
        <w:t>about the problems which had to be addressed in terms of</w:t>
      </w:r>
      <w:r>
        <w:rPr>
          <w:b w:val="0"/>
          <w:spacing w:val="40"/>
        </w:rPr>
        <w:t> </w:t>
      </w:r>
      <w:r>
        <w:rPr>
          <w:b w:val="0"/>
        </w:rPr>
        <w:t>delivery of our courses and meeting the budgetary</w:t>
      </w:r>
      <w:r>
        <w:rPr>
          <w:b w:val="0"/>
          <w:spacing w:val="40"/>
        </w:rPr>
        <w:t> </w:t>
      </w:r>
      <w:r>
        <w:rPr>
          <w:b w:val="0"/>
        </w:rPr>
        <w:t>challenge. The staff response was heartening and</w:t>
      </w:r>
      <w:r>
        <w:rPr>
          <w:b w:val="0"/>
          <w:spacing w:val="40"/>
        </w:rPr>
        <w:t> </w:t>
      </w:r>
      <w:r>
        <w:rPr>
          <w:b w:val="0"/>
        </w:rPr>
        <w:t>generous. It demonstrated the value and power of our</w:t>
      </w:r>
      <w:r>
        <w:rPr>
          <w:b w:val="0"/>
          <w:spacing w:val="40"/>
        </w:rPr>
        <w:t> </w:t>
      </w:r>
      <w:r>
        <w:rPr>
          <w:b w:val="0"/>
        </w:rPr>
        <w:t>people. In addition to accepting the burdens of moving</w:t>
      </w:r>
      <w:r>
        <w:rPr>
          <w:b w:val="0"/>
          <w:spacing w:val="40"/>
        </w:rPr>
        <w:t> </w:t>
      </w:r>
      <w:r>
        <w:rPr>
          <w:b w:val="0"/>
        </w:rPr>
        <w:t>quickly to online course delivery and living with the</w:t>
      </w:r>
      <w:r>
        <w:rPr>
          <w:b w:val="0"/>
          <w:spacing w:val="40"/>
        </w:rPr>
        <w:t> </w:t>
      </w:r>
      <w:r>
        <w:rPr>
          <w:b w:val="0"/>
        </w:rPr>
        <w:t>constraints imposed by the pandemic, they voted to vary</w:t>
      </w:r>
      <w:r>
        <w:rPr>
          <w:b w:val="0"/>
          <w:spacing w:val="40"/>
        </w:rPr>
        <w:t> </w:t>
      </w:r>
      <w:r>
        <w:rPr>
          <w:b w:val="0"/>
        </w:rPr>
        <w:t>their Enterprise Agreements to assist the University in</w:t>
      </w:r>
      <w:r>
        <w:rPr>
          <w:b w:val="0"/>
          <w:spacing w:val="40"/>
        </w:rPr>
        <w:t> </w:t>
      </w:r>
      <w:r>
        <w:rPr>
          <w:b w:val="0"/>
        </w:rPr>
        <w:t>meeting its financial challenge. Happily, their contribution</w:t>
      </w:r>
      <w:r>
        <w:rPr>
          <w:b w:val="0"/>
          <w:spacing w:val="40"/>
        </w:rPr>
        <w:t> </w:t>
      </w:r>
      <w:r>
        <w:rPr>
          <w:b w:val="0"/>
        </w:rPr>
        <w:t>and other measures meant that the variation of the</w:t>
      </w:r>
      <w:r>
        <w:rPr>
          <w:b w:val="0"/>
          <w:spacing w:val="40"/>
        </w:rPr>
        <w:t> </w:t>
      </w:r>
      <w:r>
        <w:rPr>
          <w:b w:val="0"/>
        </w:rPr>
        <w:t>Enterprise Agreement was able to be lifted well in</w:t>
      </w:r>
      <w:r>
        <w:rPr>
          <w:b w:val="0"/>
          <w:spacing w:val="80"/>
        </w:rPr>
        <w:t> </w:t>
      </w:r>
      <w:r>
        <w:rPr>
          <w:b w:val="0"/>
        </w:rPr>
        <w:t>advance of its allotted span.</w:t>
      </w:r>
    </w:p>
    <w:p>
      <w:pPr>
        <w:pStyle w:val="BodyText"/>
        <w:spacing w:before="59"/>
        <w:rPr>
          <w:b w:val="0"/>
        </w:rPr>
      </w:pPr>
    </w:p>
    <w:p>
      <w:pPr>
        <w:pStyle w:val="BodyText"/>
        <w:spacing w:line="295" w:lineRule="auto"/>
        <w:ind w:left="1133" w:right="20"/>
        <w:rPr>
          <w:b w:val="0"/>
        </w:rPr>
      </w:pPr>
      <w:r>
        <w:rPr>
          <w:b w:val="0"/>
        </w:rPr>
        <w:t>Under the new Vice-Chancellor, Professor Chakma,</w:t>
      </w:r>
      <w:r>
        <w:rPr>
          <w:b w:val="0"/>
          <w:spacing w:val="40"/>
        </w:rPr>
        <w:t> </w:t>
      </w:r>
      <w:r>
        <w:rPr>
          <w:b w:val="0"/>
        </w:rPr>
        <w:t>important steps have been taken to place the University’s</w:t>
      </w:r>
      <w:r>
        <w:rPr>
          <w:b w:val="0"/>
          <w:spacing w:val="40"/>
        </w:rPr>
        <w:t> </w:t>
      </w:r>
      <w:r>
        <w:rPr>
          <w:b w:val="0"/>
        </w:rPr>
        <w:t>operating finances on a more sustainable footing</w:t>
      </w:r>
      <w:r>
        <w:rPr>
          <w:b w:val="0"/>
          <w:spacing w:val="40"/>
        </w:rPr>
        <w:t> </w:t>
      </w:r>
      <w:r>
        <w:rPr>
          <w:b w:val="0"/>
        </w:rPr>
        <w:t>addressing underlying issues unrelated to COVID-19.</w:t>
      </w:r>
    </w:p>
    <w:p>
      <w:pPr>
        <w:pStyle w:val="BodyText"/>
        <w:spacing w:line="295" w:lineRule="auto" w:before="4"/>
        <w:ind w:left="1133" w:right="20"/>
        <w:rPr>
          <w:b w:val="0"/>
        </w:rPr>
      </w:pPr>
      <w:r>
        <w:rPr>
          <w:b w:val="0"/>
        </w:rPr>
        <w:t>That objective has necessarily been linked to structural</w:t>
      </w:r>
      <w:r>
        <w:rPr>
          <w:b w:val="0"/>
          <w:spacing w:val="40"/>
        </w:rPr>
        <w:t> </w:t>
      </w:r>
      <w:r>
        <w:rPr>
          <w:b w:val="0"/>
        </w:rPr>
        <w:t>change including the abolition of the faculties as</w:t>
      </w:r>
      <w:r>
        <w:rPr>
          <w:b w:val="0"/>
          <w:spacing w:val="40"/>
        </w:rPr>
        <w:t> </w:t>
      </w:r>
      <w:r>
        <w:rPr>
          <w:b w:val="0"/>
        </w:rPr>
        <w:t>administrative units. Administrative and financial</w:t>
      </w:r>
      <w:r>
        <w:rPr>
          <w:b w:val="0"/>
          <w:spacing w:val="40"/>
        </w:rPr>
        <w:t> </w:t>
      </w:r>
      <w:r>
        <w:rPr>
          <w:b w:val="0"/>
        </w:rPr>
        <w:t>accountability will devolve to newly empowered schools</w:t>
      </w:r>
      <w:r>
        <w:rPr>
          <w:b w:val="0"/>
          <w:spacing w:val="40"/>
        </w:rPr>
        <w:t> </w:t>
      </w:r>
      <w:r>
        <w:rPr>
          <w:b w:val="0"/>
        </w:rPr>
        <w:t>which will also enjoy greater flexibility in course and unit</w:t>
      </w:r>
      <w:r>
        <w:rPr>
          <w:b w:val="0"/>
          <w:spacing w:val="40"/>
        </w:rPr>
        <w:t> </w:t>
      </w:r>
      <w:r>
        <w:rPr>
          <w:b w:val="0"/>
          <w:spacing w:val="-2"/>
        </w:rPr>
        <w:t>arrangements.</w:t>
      </w:r>
    </w:p>
    <w:p>
      <w:pPr>
        <w:pStyle w:val="BodyText"/>
        <w:spacing w:line="295" w:lineRule="auto" w:before="122"/>
        <w:ind w:left="367" w:right="1084"/>
        <w:rPr>
          <w:b w:val="0"/>
        </w:rPr>
      </w:pPr>
      <w:r>
        <w:rPr/>
        <w:br w:type="column"/>
      </w:r>
      <w:r>
        <w:rPr>
          <w:b w:val="0"/>
        </w:rPr>
        <w:t>Although 2020 has been dominated by intense</w:t>
      </w:r>
      <w:r>
        <w:rPr>
          <w:b w:val="0"/>
          <w:spacing w:val="40"/>
        </w:rPr>
        <w:t> </w:t>
      </w:r>
      <w:r>
        <w:rPr>
          <w:b w:val="0"/>
        </w:rPr>
        <w:t>engagement with financial and administrative issues,</w:t>
      </w:r>
    </w:p>
    <w:p>
      <w:pPr>
        <w:pStyle w:val="BodyText"/>
        <w:spacing w:line="295" w:lineRule="auto" w:before="1"/>
        <w:ind w:left="367" w:right="1165"/>
        <w:rPr>
          <w:b w:val="0"/>
        </w:rPr>
      </w:pPr>
      <w:r>
        <w:rPr>
          <w:b w:val="0"/>
        </w:rPr>
        <w:t>it has also been a year of signal achievement. In last year’s</w:t>
      </w:r>
      <w:r>
        <w:rPr>
          <w:b w:val="0"/>
          <w:spacing w:val="40"/>
        </w:rPr>
        <w:t> </w:t>
      </w:r>
      <w:r>
        <w:rPr>
          <w:b w:val="0"/>
        </w:rPr>
        <w:t>report, I mentioned some of the highlights of staff</w:t>
      </w:r>
      <w:r>
        <w:rPr>
          <w:b w:val="0"/>
          <w:spacing w:val="40"/>
        </w:rPr>
        <w:t> </w:t>
      </w:r>
      <w:r>
        <w:rPr>
          <w:b w:val="0"/>
        </w:rPr>
        <w:t>achievement in 2019. They included the national</w:t>
      </w:r>
      <w:r>
        <w:rPr>
          <w:b w:val="0"/>
          <w:spacing w:val="40"/>
        </w:rPr>
        <w:t> </w:t>
      </w:r>
      <w:r>
        <w:rPr>
          <w:b w:val="0"/>
        </w:rPr>
        <w:t>recognition of Emeritus Professor Cheryl Praeger, who</w:t>
      </w:r>
      <w:r>
        <w:rPr>
          <w:b w:val="0"/>
          <w:spacing w:val="40"/>
        </w:rPr>
        <w:t> </w:t>
      </w:r>
      <w:r>
        <w:rPr>
          <w:b w:val="0"/>
        </w:rPr>
        <w:t>received the Prime Minister’s Prize for Science. In 2020,</w:t>
      </w:r>
      <w:r>
        <w:rPr>
          <w:b w:val="0"/>
          <w:spacing w:val="40"/>
        </w:rPr>
        <w:t> </w:t>
      </w:r>
      <w:r>
        <w:rPr>
          <w:b w:val="0"/>
        </w:rPr>
        <w:t>another of our outstanding academic staff, Professor</w:t>
      </w:r>
      <w:r>
        <w:rPr>
          <w:b w:val="0"/>
          <w:spacing w:val="40"/>
        </w:rPr>
        <w:t> </w:t>
      </w:r>
      <w:r>
        <w:rPr>
          <w:b w:val="0"/>
        </w:rPr>
        <w:t>David Blair, shared the Prime Minister’s Prize for Science</w:t>
      </w:r>
      <w:r>
        <w:rPr>
          <w:b w:val="0"/>
          <w:spacing w:val="40"/>
        </w:rPr>
        <w:t> </w:t>
      </w:r>
      <w:r>
        <w:rPr>
          <w:b w:val="0"/>
        </w:rPr>
        <w:t>for his contribution to the development of technology for</w:t>
      </w:r>
      <w:r>
        <w:rPr>
          <w:b w:val="0"/>
          <w:spacing w:val="40"/>
        </w:rPr>
        <w:t> </w:t>
      </w:r>
      <w:r>
        <w:rPr>
          <w:b w:val="0"/>
        </w:rPr>
        <w:t>the detection of gravitational waves, with three other</w:t>
      </w:r>
      <w:r>
        <w:rPr>
          <w:b w:val="0"/>
          <w:spacing w:val="40"/>
        </w:rPr>
        <w:t> </w:t>
      </w:r>
      <w:r>
        <w:rPr>
          <w:b w:val="0"/>
        </w:rPr>
        <w:t>physicists, two from the Australian National University and</w:t>
      </w:r>
      <w:r>
        <w:rPr>
          <w:b w:val="0"/>
          <w:spacing w:val="40"/>
        </w:rPr>
        <w:t> </w:t>
      </w:r>
      <w:r>
        <w:rPr>
          <w:b w:val="0"/>
        </w:rPr>
        <w:t>one from The University of Adelaide. Professor Ryan Lister</w:t>
      </w:r>
      <w:r>
        <w:rPr>
          <w:b w:val="0"/>
          <w:spacing w:val="40"/>
        </w:rPr>
        <w:t> </w:t>
      </w:r>
      <w:r>
        <w:rPr>
          <w:b w:val="0"/>
        </w:rPr>
        <w:t>was named Joint Scientist of the Year in the 2020</w:t>
      </w:r>
      <w:r>
        <w:rPr>
          <w:b w:val="0"/>
          <w:spacing w:val="40"/>
        </w:rPr>
        <w:t> </w:t>
      </w:r>
      <w:r>
        <w:rPr>
          <w:b w:val="0"/>
        </w:rPr>
        <w:t>Premier’s Science Awards. Professor Helen Milroy,</w:t>
      </w:r>
    </w:p>
    <w:p>
      <w:pPr>
        <w:pStyle w:val="BodyText"/>
        <w:spacing w:line="295" w:lineRule="auto" w:before="12"/>
        <w:ind w:left="367" w:right="1150"/>
        <w:rPr>
          <w:b w:val="0"/>
        </w:rPr>
      </w:pPr>
      <w:r>
        <w:rPr>
          <w:b w:val="0"/>
        </w:rPr>
        <w:t>UWA’s</w:t>
      </w:r>
      <w:r>
        <w:rPr>
          <w:b w:val="0"/>
          <w:spacing w:val="-1"/>
        </w:rPr>
        <w:t> </w:t>
      </w:r>
      <w:r>
        <w:rPr>
          <w:b w:val="0"/>
        </w:rPr>
        <w:t>first</w:t>
      </w:r>
      <w:r>
        <w:rPr>
          <w:b w:val="0"/>
          <w:spacing w:val="-1"/>
        </w:rPr>
        <w:t> </w:t>
      </w:r>
      <w:r>
        <w:rPr>
          <w:b w:val="0"/>
        </w:rPr>
        <w:t>Indigenous</w:t>
      </w:r>
      <w:r>
        <w:rPr>
          <w:b w:val="0"/>
          <w:spacing w:val="-1"/>
        </w:rPr>
        <w:t> </w:t>
      </w:r>
      <w:r>
        <w:rPr>
          <w:b w:val="0"/>
        </w:rPr>
        <w:t>medical</w:t>
      </w:r>
      <w:r>
        <w:rPr>
          <w:b w:val="0"/>
          <w:spacing w:val="-1"/>
        </w:rPr>
        <w:t> </w:t>
      </w:r>
      <w:r>
        <w:rPr>
          <w:b w:val="0"/>
        </w:rPr>
        <w:t>graduate,</w:t>
      </w:r>
      <w:r>
        <w:rPr>
          <w:b w:val="0"/>
          <w:spacing w:val="-1"/>
        </w:rPr>
        <w:t> </w:t>
      </w:r>
      <w:r>
        <w:rPr>
          <w:b w:val="0"/>
        </w:rPr>
        <w:t>was</w:t>
      </w:r>
      <w:r>
        <w:rPr>
          <w:b w:val="0"/>
          <w:spacing w:val="-1"/>
        </w:rPr>
        <w:t> </w:t>
      </w:r>
      <w:r>
        <w:rPr>
          <w:b w:val="0"/>
        </w:rPr>
        <w:t>named</w:t>
      </w:r>
      <w:r>
        <w:rPr>
          <w:b w:val="0"/>
          <w:spacing w:val="-1"/>
        </w:rPr>
        <w:t> </w:t>
      </w:r>
      <w:r>
        <w:rPr>
          <w:b w:val="0"/>
        </w:rPr>
        <w:t>joint</w:t>
      </w:r>
      <w:r>
        <w:rPr>
          <w:b w:val="0"/>
          <w:spacing w:val="40"/>
        </w:rPr>
        <w:t> </w:t>
      </w:r>
      <w:r>
        <w:rPr>
          <w:b w:val="0"/>
        </w:rPr>
        <w:t>winner of the 2020 Australian Mental Health Prize and as</w:t>
      </w:r>
      <w:r>
        <w:rPr>
          <w:b w:val="0"/>
          <w:spacing w:val="40"/>
        </w:rPr>
        <w:t> </w:t>
      </w:r>
      <w:r>
        <w:rPr>
          <w:b w:val="0"/>
        </w:rPr>
        <w:t>Western Australia’s 2021 Australian of the Year.</w:t>
      </w:r>
    </w:p>
    <w:p>
      <w:pPr>
        <w:pStyle w:val="BodyText"/>
        <w:spacing w:before="47"/>
        <w:rPr>
          <w:b w:val="0"/>
        </w:rPr>
      </w:pPr>
    </w:p>
    <w:p>
      <w:pPr>
        <w:pStyle w:val="BodyText"/>
        <w:spacing w:line="295" w:lineRule="auto"/>
        <w:ind w:left="367" w:right="1150"/>
        <w:rPr>
          <w:b w:val="0"/>
        </w:rPr>
      </w:pPr>
      <w:r>
        <w:rPr>
          <w:b w:val="0"/>
        </w:rPr>
        <w:t>There were many other achievements and milestones in</w:t>
      </w:r>
      <w:r>
        <w:rPr>
          <w:b w:val="0"/>
          <w:spacing w:val="40"/>
        </w:rPr>
        <w:t> </w:t>
      </w:r>
      <w:r>
        <w:rPr>
          <w:b w:val="0"/>
        </w:rPr>
        <w:t>the journey of the University through the year that has</w:t>
      </w:r>
      <w:r>
        <w:rPr>
          <w:b w:val="0"/>
          <w:spacing w:val="40"/>
        </w:rPr>
        <w:t> </w:t>
      </w:r>
      <w:r>
        <w:rPr>
          <w:b w:val="0"/>
        </w:rPr>
        <w:t>been. They are set out in the pages of this Annual Report.</w:t>
      </w:r>
    </w:p>
    <w:p>
      <w:pPr>
        <w:pStyle w:val="BodyText"/>
        <w:spacing w:before="47"/>
        <w:rPr>
          <w:b w:val="0"/>
        </w:rPr>
      </w:pPr>
    </w:p>
    <w:p>
      <w:pPr>
        <w:pStyle w:val="BodyText"/>
        <w:spacing w:line="297" w:lineRule="auto"/>
        <w:ind w:left="367" w:right="1084"/>
        <w:rPr>
          <w:b w:val="0"/>
        </w:rPr>
      </w:pPr>
      <w:r>
        <w:rPr>
          <w:b w:val="0"/>
        </w:rPr>
        <w:t>At the governance level, the Senate has been greatly</w:t>
      </w:r>
      <w:r>
        <w:rPr>
          <w:b w:val="0"/>
          <w:spacing w:val="40"/>
        </w:rPr>
        <w:t> </w:t>
      </w:r>
      <w:r>
        <w:rPr>
          <w:b w:val="0"/>
        </w:rPr>
        <w:t>encouraged by the approach being taken by Professor</w:t>
      </w:r>
      <w:r>
        <w:rPr>
          <w:b w:val="0"/>
          <w:spacing w:val="40"/>
        </w:rPr>
        <w:t> </w:t>
      </w:r>
      <w:r>
        <w:rPr>
          <w:b w:val="0"/>
        </w:rPr>
        <w:t>Chakma in clearly defining his priorities and setting out his</w:t>
      </w:r>
      <w:r>
        <w:rPr>
          <w:b w:val="0"/>
          <w:spacing w:val="40"/>
        </w:rPr>
        <w:t> </w:t>
      </w:r>
      <w:r>
        <w:rPr>
          <w:b w:val="0"/>
        </w:rPr>
        <w:t>plans and doing so in a strategic way while engaging with</w:t>
      </w:r>
      <w:r>
        <w:rPr>
          <w:b w:val="0"/>
          <w:spacing w:val="40"/>
        </w:rPr>
        <w:t> </w:t>
      </w:r>
      <w:r>
        <w:rPr>
          <w:b w:val="0"/>
          <w:spacing w:val="-2"/>
        </w:rPr>
        <w:t>the</w:t>
      </w:r>
      <w:r>
        <w:rPr>
          <w:b w:val="0"/>
          <w:spacing w:val="-6"/>
        </w:rPr>
        <w:t> </w:t>
      </w:r>
      <w:r>
        <w:rPr>
          <w:b w:val="0"/>
          <w:spacing w:val="-2"/>
        </w:rPr>
        <w:t>urgent</w:t>
      </w:r>
      <w:r>
        <w:rPr>
          <w:b w:val="0"/>
          <w:spacing w:val="-6"/>
        </w:rPr>
        <w:t> </w:t>
      </w:r>
      <w:r>
        <w:rPr>
          <w:b w:val="0"/>
          <w:spacing w:val="-2"/>
        </w:rPr>
        <w:t>issues</w:t>
      </w:r>
      <w:r>
        <w:rPr>
          <w:b w:val="0"/>
          <w:spacing w:val="-6"/>
        </w:rPr>
        <w:t> </w:t>
      </w:r>
      <w:r>
        <w:rPr>
          <w:b w:val="0"/>
          <w:spacing w:val="-2"/>
        </w:rPr>
        <w:t>that</w:t>
      </w:r>
      <w:r>
        <w:rPr>
          <w:b w:val="0"/>
          <w:spacing w:val="-6"/>
        </w:rPr>
        <w:t> </w:t>
      </w:r>
      <w:r>
        <w:rPr>
          <w:b w:val="0"/>
          <w:spacing w:val="-2"/>
        </w:rPr>
        <w:t>confronted</w:t>
      </w:r>
      <w:r>
        <w:rPr>
          <w:b w:val="0"/>
          <w:spacing w:val="-6"/>
        </w:rPr>
        <w:t> </w:t>
      </w:r>
      <w:r>
        <w:rPr>
          <w:b w:val="0"/>
          <w:spacing w:val="-2"/>
        </w:rPr>
        <w:t>the</w:t>
      </w:r>
      <w:r>
        <w:rPr>
          <w:b w:val="0"/>
          <w:spacing w:val="-6"/>
        </w:rPr>
        <w:t> </w:t>
      </w:r>
      <w:r>
        <w:rPr>
          <w:b w:val="0"/>
          <w:spacing w:val="-2"/>
        </w:rPr>
        <w:t>University</w:t>
      </w:r>
      <w:r>
        <w:rPr>
          <w:b w:val="0"/>
          <w:spacing w:val="-6"/>
        </w:rPr>
        <w:t> </w:t>
      </w:r>
      <w:r>
        <w:rPr>
          <w:b w:val="0"/>
          <w:spacing w:val="-2"/>
        </w:rPr>
        <w:t>throughout</w:t>
      </w:r>
      <w:r>
        <w:rPr>
          <w:b w:val="0"/>
          <w:spacing w:val="40"/>
        </w:rPr>
        <w:t> </w:t>
      </w:r>
      <w:r>
        <w:rPr>
          <w:b w:val="0"/>
        </w:rPr>
        <w:t>the</w:t>
      </w:r>
      <w:r>
        <w:rPr>
          <w:b w:val="0"/>
          <w:spacing w:val="-2"/>
        </w:rPr>
        <w:t> </w:t>
      </w:r>
      <w:r>
        <w:rPr>
          <w:b w:val="0"/>
        </w:rPr>
        <w:t>year.</w:t>
      </w:r>
      <w:r>
        <w:rPr>
          <w:b w:val="0"/>
          <w:spacing w:val="-2"/>
        </w:rPr>
        <w:t> </w:t>
      </w:r>
      <w:r>
        <w:rPr>
          <w:b w:val="0"/>
        </w:rPr>
        <w:t>For</w:t>
      </w:r>
      <w:r>
        <w:rPr>
          <w:b w:val="0"/>
          <w:spacing w:val="-2"/>
        </w:rPr>
        <w:t> </w:t>
      </w:r>
      <w:r>
        <w:rPr>
          <w:b w:val="0"/>
        </w:rPr>
        <w:t>him</w:t>
      </w:r>
      <w:r>
        <w:rPr>
          <w:b w:val="0"/>
          <w:spacing w:val="-2"/>
        </w:rPr>
        <w:t> </w:t>
      </w:r>
      <w:r>
        <w:rPr>
          <w:b w:val="0"/>
        </w:rPr>
        <w:t>it</w:t>
      </w:r>
      <w:r>
        <w:rPr>
          <w:b w:val="0"/>
          <w:spacing w:val="-2"/>
        </w:rPr>
        <w:t> </w:t>
      </w:r>
      <w:r>
        <w:rPr>
          <w:b w:val="0"/>
        </w:rPr>
        <w:t>has</w:t>
      </w:r>
      <w:r>
        <w:rPr>
          <w:b w:val="0"/>
          <w:spacing w:val="-2"/>
        </w:rPr>
        <w:t> </w:t>
      </w:r>
      <w:r>
        <w:rPr>
          <w:b w:val="0"/>
        </w:rPr>
        <w:t>been</w:t>
      </w:r>
      <w:r>
        <w:rPr>
          <w:b w:val="0"/>
          <w:spacing w:val="-2"/>
        </w:rPr>
        <w:t> </w:t>
      </w:r>
      <w:r>
        <w:rPr>
          <w:b w:val="0"/>
        </w:rPr>
        <w:t>something</w:t>
      </w:r>
      <w:r>
        <w:rPr>
          <w:b w:val="0"/>
          <w:spacing w:val="-2"/>
        </w:rPr>
        <w:t> </w:t>
      </w:r>
      <w:r>
        <w:rPr>
          <w:b w:val="0"/>
        </w:rPr>
        <w:t>of</w:t>
      </w:r>
      <w:r>
        <w:rPr>
          <w:b w:val="0"/>
          <w:spacing w:val="-2"/>
        </w:rPr>
        <w:t> </w:t>
      </w:r>
      <w:r>
        <w:rPr>
          <w:b w:val="0"/>
        </w:rPr>
        <w:t>a</w:t>
      </w:r>
      <w:r>
        <w:rPr>
          <w:b w:val="0"/>
          <w:spacing w:val="-2"/>
        </w:rPr>
        <w:t> </w:t>
      </w:r>
      <w:r>
        <w:rPr>
          <w:b w:val="0"/>
        </w:rPr>
        <w:t>baptism</w:t>
      </w:r>
      <w:r>
        <w:rPr>
          <w:b w:val="0"/>
          <w:spacing w:val="-2"/>
        </w:rPr>
        <w:t> </w:t>
      </w:r>
      <w:r>
        <w:rPr>
          <w:b w:val="0"/>
        </w:rPr>
        <w:t>of</w:t>
      </w:r>
      <w:r>
        <w:rPr>
          <w:b w:val="0"/>
          <w:spacing w:val="-2"/>
        </w:rPr>
        <w:t> </w:t>
      </w:r>
      <w:r>
        <w:rPr>
          <w:b w:val="0"/>
        </w:rPr>
        <w:t>fire</w:t>
      </w:r>
      <w:r>
        <w:rPr>
          <w:b w:val="0"/>
          <w:spacing w:val="40"/>
        </w:rPr>
        <w:t> </w:t>
      </w:r>
      <w:r>
        <w:rPr>
          <w:b w:val="0"/>
        </w:rPr>
        <w:t>and his response to the demands of his new role, in a new</w:t>
      </w:r>
      <w:r>
        <w:rPr>
          <w:b w:val="0"/>
          <w:spacing w:val="40"/>
        </w:rPr>
        <w:t> </w:t>
      </w:r>
      <w:r>
        <w:rPr>
          <w:b w:val="0"/>
        </w:rPr>
        <w:t>country, has been exemplary.</w:t>
      </w:r>
    </w:p>
    <w:p>
      <w:pPr>
        <w:pStyle w:val="BodyText"/>
        <w:spacing w:before="40"/>
        <w:rPr>
          <w:b w:val="0"/>
        </w:rPr>
      </w:pPr>
    </w:p>
    <w:p>
      <w:pPr>
        <w:pStyle w:val="BodyText"/>
        <w:spacing w:line="295" w:lineRule="auto"/>
        <w:ind w:left="367" w:right="1132"/>
        <w:rPr>
          <w:b w:val="0"/>
        </w:rPr>
      </w:pPr>
      <w:r>
        <w:rPr>
          <w:b w:val="0"/>
        </w:rPr>
        <w:t>The Senate has embarked upon a process of self-</w:t>
      </w:r>
      <w:r>
        <w:rPr>
          <w:b w:val="0"/>
          <w:spacing w:val="40"/>
        </w:rPr>
        <w:t> </w:t>
      </w:r>
      <w:r>
        <w:rPr>
          <w:b w:val="0"/>
        </w:rPr>
        <w:t>examination — commissioning an independent review of</w:t>
      </w:r>
      <w:r>
        <w:rPr>
          <w:b w:val="0"/>
          <w:spacing w:val="80"/>
        </w:rPr>
        <w:t> </w:t>
      </w:r>
      <w:r>
        <w:rPr>
          <w:b w:val="0"/>
        </w:rPr>
        <w:t>its governance to ensure that it meets the requirements of</w:t>
      </w:r>
      <w:r>
        <w:rPr>
          <w:b w:val="0"/>
          <w:spacing w:val="40"/>
        </w:rPr>
        <w:t> </w:t>
      </w:r>
      <w:r>
        <w:rPr>
          <w:b w:val="0"/>
        </w:rPr>
        <w:t>the Higher Education Standards. It has also established a</w:t>
      </w:r>
      <w:r>
        <w:rPr>
          <w:b w:val="0"/>
          <w:spacing w:val="40"/>
        </w:rPr>
        <w:t> </w:t>
      </w:r>
      <w:r>
        <w:rPr>
          <w:b w:val="0"/>
        </w:rPr>
        <w:t>Working Group, comprising Senate Members Robert</w:t>
      </w:r>
      <w:r>
        <w:rPr>
          <w:b w:val="0"/>
          <w:spacing w:val="40"/>
        </w:rPr>
        <w:t> </w:t>
      </w:r>
      <w:r>
        <w:rPr>
          <w:b w:val="0"/>
        </w:rPr>
        <w:t>Olivier, Joanne Farrell and Susan Murphy to make</w:t>
      </w:r>
      <w:r>
        <w:rPr>
          <w:b w:val="0"/>
          <w:spacing w:val="40"/>
        </w:rPr>
        <w:t> </w:t>
      </w:r>
      <w:r>
        <w:rPr>
          <w:b w:val="0"/>
        </w:rPr>
        <w:t>recommendations for the more effective presentation of</w:t>
      </w:r>
      <w:r>
        <w:rPr>
          <w:b w:val="0"/>
          <w:spacing w:val="40"/>
        </w:rPr>
        <w:t> </w:t>
      </w:r>
      <w:r>
        <w:rPr>
          <w:b w:val="0"/>
        </w:rPr>
        <w:t>information</w:t>
      </w:r>
      <w:r>
        <w:rPr>
          <w:b w:val="0"/>
          <w:spacing w:val="-1"/>
        </w:rPr>
        <w:t> </w:t>
      </w:r>
      <w:r>
        <w:rPr>
          <w:b w:val="0"/>
        </w:rPr>
        <w:t>to</w:t>
      </w:r>
      <w:r>
        <w:rPr>
          <w:b w:val="0"/>
          <w:spacing w:val="-1"/>
        </w:rPr>
        <w:t> </w:t>
      </w:r>
      <w:r>
        <w:rPr>
          <w:b w:val="0"/>
        </w:rPr>
        <w:t>the</w:t>
      </w:r>
      <w:r>
        <w:rPr>
          <w:b w:val="0"/>
          <w:spacing w:val="-1"/>
        </w:rPr>
        <w:t> </w:t>
      </w:r>
      <w:r>
        <w:rPr>
          <w:b w:val="0"/>
        </w:rPr>
        <w:t>Senate</w:t>
      </w:r>
      <w:r>
        <w:rPr>
          <w:b w:val="0"/>
          <w:spacing w:val="-1"/>
        </w:rPr>
        <w:t> </w:t>
      </w:r>
      <w:r>
        <w:rPr>
          <w:b w:val="0"/>
        </w:rPr>
        <w:t>and</w:t>
      </w:r>
      <w:r>
        <w:rPr>
          <w:b w:val="0"/>
          <w:spacing w:val="-1"/>
        </w:rPr>
        <w:t> </w:t>
      </w:r>
      <w:r>
        <w:rPr>
          <w:b w:val="0"/>
        </w:rPr>
        <w:t>its</w:t>
      </w:r>
      <w:r>
        <w:rPr>
          <w:b w:val="0"/>
          <w:spacing w:val="-1"/>
        </w:rPr>
        <w:t> </w:t>
      </w:r>
      <w:r>
        <w:rPr>
          <w:b w:val="0"/>
        </w:rPr>
        <w:t>more</w:t>
      </w:r>
      <w:r>
        <w:rPr>
          <w:b w:val="0"/>
          <w:spacing w:val="-1"/>
        </w:rPr>
        <w:t> </w:t>
      </w:r>
      <w:r>
        <w:rPr>
          <w:b w:val="0"/>
        </w:rPr>
        <w:t>effective</w:t>
      </w:r>
      <w:r>
        <w:rPr>
          <w:b w:val="0"/>
          <w:spacing w:val="-1"/>
        </w:rPr>
        <w:t> </w:t>
      </w:r>
      <w:r>
        <w:rPr>
          <w:b w:val="0"/>
        </w:rPr>
        <w:t>operation.</w:t>
      </w:r>
    </w:p>
    <w:p>
      <w:pPr>
        <w:spacing w:after="0" w:line="295" w:lineRule="auto"/>
        <w:sectPr>
          <w:type w:val="continuous"/>
          <w:pgSz w:w="11910" w:h="16840"/>
          <w:pgMar w:header="468" w:footer="0" w:top="980" w:bottom="280" w:left="0" w:right="0"/>
          <w:cols w:num="2" w:equalWidth="0">
            <w:col w:w="5744" w:space="40"/>
            <w:col w:w="6126"/>
          </w:cols>
        </w:sectPr>
      </w:pPr>
    </w:p>
    <w:p>
      <w:pPr>
        <w:pStyle w:val="BodyText"/>
        <w:spacing w:before="115"/>
        <w:rPr>
          <w:b w:val="0"/>
          <w:sz w:val="20"/>
        </w:rPr>
      </w:pPr>
    </w:p>
    <w:p>
      <w:pPr>
        <w:pStyle w:val="BodyText"/>
        <w:ind w:left="992"/>
        <w:rPr>
          <w:sz w:val="20"/>
        </w:rPr>
      </w:pPr>
      <w:r>
        <w:rPr>
          <w:sz w:val="20"/>
        </w:rPr>
        <mc:AlternateContent>
          <mc:Choice Requires="wps">
            <w:drawing>
              <wp:inline distT="0" distB="0" distL="0" distR="0">
                <wp:extent cx="6210300" cy="3661410"/>
                <wp:effectExtent l="0" t="0" r="0" b="5714"/>
                <wp:docPr id="27" name="Group 27"/>
                <wp:cNvGraphicFramePr>
                  <a:graphicFrameLocks/>
                </wp:cNvGraphicFramePr>
                <a:graphic>
                  <a:graphicData uri="http://schemas.microsoft.com/office/word/2010/wordprocessingGroup">
                    <wpg:wgp>
                      <wpg:cNvPr id="27" name="Group 27"/>
                      <wpg:cNvGrpSpPr/>
                      <wpg:grpSpPr>
                        <a:xfrm>
                          <a:off x="0" y="0"/>
                          <a:ext cx="6210300" cy="3661410"/>
                          <a:chExt cx="6210300" cy="3661410"/>
                        </a:xfrm>
                      </wpg:grpSpPr>
                      <pic:pic>
                        <pic:nvPicPr>
                          <pic:cNvPr id="28" name="Image 28"/>
                          <pic:cNvPicPr/>
                        </pic:nvPicPr>
                        <pic:blipFill>
                          <a:blip r:embed="rId18" cstate="print"/>
                          <a:stretch>
                            <a:fillRect/>
                          </a:stretch>
                        </pic:blipFill>
                        <pic:spPr>
                          <a:xfrm>
                            <a:off x="90004" y="0"/>
                            <a:ext cx="6120003" cy="3556000"/>
                          </a:xfrm>
                          <a:prstGeom prst="rect">
                            <a:avLst/>
                          </a:prstGeom>
                        </pic:spPr>
                      </pic:pic>
                      <wps:wsp>
                        <wps:cNvPr id="29" name="Graphic 29"/>
                        <wps:cNvSpPr/>
                        <wps:spPr>
                          <a:xfrm>
                            <a:off x="0" y="3200412"/>
                            <a:ext cx="3024505" cy="461009"/>
                          </a:xfrm>
                          <a:custGeom>
                            <a:avLst/>
                            <a:gdLst/>
                            <a:ahLst/>
                            <a:cxnLst/>
                            <a:rect l="l" t="t" r="r" b="b"/>
                            <a:pathLst>
                              <a:path w="3024505" h="461009">
                                <a:moveTo>
                                  <a:pt x="3023997" y="0"/>
                                </a:moveTo>
                                <a:lnTo>
                                  <a:pt x="0" y="0"/>
                                </a:lnTo>
                                <a:lnTo>
                                  <a:pt x="0" y="460794"/>
                                </a:lnTo>
                                <a:lnTo>
                                  <a:pt x="3023997" y="460794"/>
                                </a:lnTo>
                                <a:lnTo>
                                  <a:pt x="3023997" y="0"/>
                                </a:lnTo>
                                <a:close/>
                              </a:path>
                            </a:pathLst>
                          </a:custGeom>
                          <a:solidFill>
                            <a:srgbClr val="FFFFFF"/>
                          </a:solidFill>
                        </wps:spPr>
                        <wps:bodyPr wrap="square" lIns="0" tIns="0" rIns="0" bIns="0" rtlCol="0">
                          <a:prstTxWarp prst="textNoShape">
                            <a:avLst/>
                          </a:prstTxWarp>
                          <a:noAutofit/>
                        </wps:bodyPr>
                      </wps:wsp>
                      <wps:wsp>
                        <wps:cNvPr id="30" name="Textbox 30"/>
                        <wps:cNvSpPr txBox="1"/>
                        <wps:spPr>
                          <a:xfrm>
                            <a:off x="90003" y="3314989"/>
                            <a:ext cx="1596390" cy="271145"/>
                          </a:xfrm>
                          <a:prstGeom prst="rect">
                            <a:avLst/>
                          </a:prstGeom>
                        </wps:spPr>
                        <wps:txbx>
                          <w:txbxContent>
                            <w:p>
                              <w:pPr>
                                <w:spacing w:before="19"/>
                                <w:ind w:left="0" w:right="0" w:firstLine="0"/>
                                <w:jc w:val="left"/>
                                <w:rPr>
                                  <w:rFonts w:ascii="TT Norms Pro Light"/>
                                  <w:b w:val="0"/>
                                  <w:sz w:val="16"/>
                                </w:rPr>
                              </w:pPr>
                              <w:r>
                                <w:rPr>
                                  <w:rFonts w:ascii="TT Norms Pro Light"/>
                                  <w:b w:val="0"/>
                                  <w:sz w:val="16"/>
                                </w:rPr>
                                <w:t>The Hon.</w:t>
                              </w:r>
                              <w:r>
                                <w:rPr>
                                  <w:rFonts w:ascii="TT Norms Pro Light"/>
                                  <w:b w:val="0"/>
                                  <w:spacing w:val="5"/>
                                  <w:sz w:val="16"/>
                                </w:rPr>
                                <w:t> </w:t>
                              </w:r>
                              <w:r>
                                <w:rPr>
                                  <w:rFonts w:ascii="TT Norms Pro Light"/>
                                  <w:b w:val="0"/>
                                  <w:sz w:val="16"/>
                                </w:rPr>
                                <w:t>Robert</w:t>
                              </w:r>
                              <w:r>
                                <w:rPr>
                                  <w:rFonts w:ascii="TT Norms Pro Light"/>
                                  <w:b w:val="0"/>
                                  <w:spacing w:val="4"/>
                                  <w:sz w:val="16"/>
                                </w:rPr>
                                <w:t> </w:t>
                              </w:r>
                              <w:r>
                                <w:rPr>
                                  <w:rFonts w:ascii="TT Norms Pro Light"/>
                                  <w:b w:val="0"/>
                                  <w:sz w:val="16"/>
                                </w:rPr>
                                <w:t>French</w:t>
                              </w:r>
                              <w:r>
                                <w:rPr>
                                  <w:rFonts w:ascii="TT Norms Pro Light"/>
                                  <w:b w:val="0"/>
                                  <w:spacing w:val="5"/>
                                  <w:sz w:val="16"/>
                                </w:rPr>
                                <w:t> </w:t>
                              </w:r>
                              <w:r>
                                <w:rPr>
                                  <w:rFonts w:ascii="TT Norms Pro Light"/>
                                  <w:b w:val="0"/>
                                  <w:sz w:val="16"/>
                                </w:rPr>
                                <w:t>AC</w:t>
                              </w:r>
                              <w:r>
                                <w:rPr>
                                  <w:rFonts w:ascii="TT Norms Pro Light"/>
                                  <w:b w:val="0"/>
                                  <w:spacing w:val="5"/>
                                  <w:sz w:val="16"/>
                                </w:rPr>
                                <w:t> </w:t>
                              </w:r>
                              <w:r>
                                <w:rPr>
                                  <w:rFonts w:ascii="TT Norms Pro Light"/>
                                  <w:b w:val="0"/>
                                  <w:spacing w:val="-4"/>
                                  <w:sz w:val="16"/>
                                </w:rPr>
                                <w:t>CitWA</w:t>
                              </w:r>
                            </w:p>
                            <w:p>
                              <w:pPr>
                                <w:spacing w:before="33"/>
                                <w:ind w:left="0" w:right="0" w:firstLine="0"/>
                                <w:jc w:val="left"/>
                                <w:rPr>
                                  <w:rFonts w:ascii="TT Norms Pro Light"/>
                                  <w:b w:val="0"/>
                                  <w:sz w:val="16"/>
                                </w:rPr>
                              </w:pPr>
                              <w:r>
                                <w:rPr>
                                  <w:rFonts w:ascii="TT Norms Pro Light"/>
                                  <w:b w:val="0"/>
                                  <w:spacing w:val="-2"/>
                                  <w:sz w:val="16"/>
                                </w:rPr>
                                <w:t>Chancellor</w:t>
                              </w:r>
                            </w:p>
                          </w:txbxContent>
                        </wps:txbx>
                        <wps:bodyPr wrap="square" lIns="0" tIns="0" rIns="0" bIns="0" rtlCol="0">
                          <a:noAutofit/>
                        </wps:bodyPr>
                      </wps:wsp>
                    </wpg:wgp>
                  </a:graphicData>
                </a:graphic>
              </wp:inline>
            </w:drawing>
          </mc:Choice>
          <mc:Fallback>
            <w:pict>
              <v:group style="width:489pt;height:288.3pt;mso-position-horizontal-relative:char;mso-position-vertical-relative:line" id="docshapegroup20" coordorigin="0,0" coordsize="9780,5766">
                <v:shape style="position:absolute;left:141;top:0;width:9638;height:5600" type="#_x0000_t75" id="docshape21" stroked="false">
                  <v:imagedata r:id="rId18" o:title=""/>
                </v:shape>
                <v:rect style="position:absolute;left:0;top:5040;width:4763;height:726" id="docshape22" filled="true" fillcolor="#ffffff" stroked="false">
                  <v:fill type="solid"/>
                </v:rect>
                <v:shape style="position:absolute;left:141;top:5220;width:2514;height:427" type="#_x0000_t202" id="docshape23" filled="false" stroked="false">
                  <v:textbox inset="0,0,0,0">
                    <w:txbxContent>
                      <w:p>
                        <w:pPr>
                          <w:spacing w:before="19"/>
                          <w:ind w:left="0" w:right="0" w:firstLine="0"/>
                          <w:jc w:val="left"/>
                          <w:rPr>
                            <w:rFonts w:ascii="TT Norms Pro Light"/>
                            <w:b w:val="0"/>
                            <w:sz w:val="16"/>
                          </w:rPr>
                        </w:pPr>
                        <w:r>
                          <w:rPr>
                            <w:rFonts w:ascii="TT Norms Pro Light"/>
                            <w:b w:val="0"/>
                            <w:sz w:val="16"/>
                          </w:rPr>
                          <w:t>The Hon.</w:t>
                        </w:r>
                        <w:r>
                          <w:rPr>
                            <w:rFonts w:ascii="TT Norms Pro Light"/>
                            <w:b w:val="0"/>
                            <w:spacing w:val="5"/>
                            <w:sz w:val="16"/>
                          </w:rPr>
                          <w:t> </w:t>
                        </w:r>
                        <w:r>
                          <w:rPr>
                            <w:rFonts w:ascii="TT Norms Pro Light"/>
                            <w:b w:val="0"/>
                            <w:sz w:val="16"/>
                          </w:rPr>
                          <w:t>Robert</w:t>
                        </w:r>
                        <w:r>
                          <w:rPr>
                            <w:rFonts w:ascii="TT Norms Pro Light"/>
                            <w:b w:val="0"/>
                            <w:spacing w:val="4"/>
                            <w:sz w:val="16"/>
                          </w:rPr>
                          <w:t> </w:t>
                        </w:r>
                        <w:r>
                          <w:rPr>
                            <w:rFonts w:ascii="TT Norms Pro Light"/>
                            <w:b w:val="0"/>
                            <w:sz w:val="16"/>
                          </w:rPr>
                          <w:t>French</w:t>
                        </w:r>
                        <w:r>
                          <w:rPr>
                            <w:rFonts w:ascii="TT Norms Pro Light"/>
                            <w:b w:val="0"/>
                            <w:spacing w:val="5"/>
                            <w:sz w:val="16"/>
                          </w:rPr>
                          <w:t> </w:t>
                        </w:r>
                        <w:r>
                          <w:rPr>
                            <w:rFonts w:ascii="TT Norms Pro Light"/>
                            <w:b w:val="0"/>
                            <w:sz w:val="16"/>
                          </w:rPr>
                          <w:t>AC</w:t>
                        </w:r>
                        <w:r>
                          <w:rPr>
                            <w:rFonts w:ascii="TT Norms Pro Light"/>
                            <w:b w:val="0"/>
                            <w:spacing w:val="5"/>
                            <w:sz w:val="16"/>
                          </w:rPr>
                          <w:t> </w:t>
                        </w:r>
                        <w:r>
                          <w:rPr>
                            <w:rFonts w:ascii="TT Norms Pro Light"/>
                            <w:b w:val="0"/>
                            <w:spacing w:val="-4"/>
                            <w:sz w:val="16"/>
                          </w:rPr>
                          <w:t>CitWA</w:t>
                        </w:r>
                      </w:p>
                      <w:p>
                        <w:pPr>
                          <w:spacing w:before="33"/>
                          <w:ind w:left="0" w:right="0" w:firstLine="0"/>
                          <w:jc w:val="left"/>
                          <w:rPr>
                            <w:rFonts w:ascii="TT Norms Pro Light"/>
                            <w:b w:val="0"/>
                            <w:sz w:val="16"/>
                          </w:rPr>
                        </w:pPr>
                        <w:r>
                          <w:rPr>
                            <w:rFonts w:ascii="TT Norms Pro Light"/>
                            <w:b w:val="0"/>
                            <w:spacing w:val="-2"/>
                            <w:sz w:val="16"/>
                          </w:rPr>
                          <w:t>Chancellor</w:t>
                        </w:r>
                      </w:p>
                    </w:txbxContent>
                  </v:textbox>
                  <w10:wrap type="none"/>
                </v:shape>
              </v:group>
            </w:pict>
          </mc:Fallback>
        </mc:AlternateContent>
      </w:r>
      <w:r>
        <w:rPr>
          <w:sz w:val="20"/>
        </w:rPr>
      </w:r>
    </w:p>
    <w:p>
      <w:pPr>
        <w:pStyle w:val="BodyText"/>
        <w:spacing w:before="8"/>
        <w:rPr>
          <w:b w:val="0"/>
          <w:sz w:val="15"/>
        </w:rPr>
      </w:pPr>
    </w:p>
    <w:p>
      <w:pPr>
        <w:spacing w:after="0"/>
        <w:rPr>
          <w:sz w:val="15"/>
        </w:rPr>
        <w:sectPr>
          <w:pgSz w:w="11910" w:h="16840"/>
          <w:pgMar w:header="468" w:footer="0" w:top="780" w:bottom="280" w:left="0" w:right="0"/>
        </w:sectPr>
      </w:pPr>
    </w:p>
    <w:p>
      <w:pPr>
        <w:pStyle w:val="BodyText"/>
        <w:spacing w:line="295" w:lineRule="auto" w:before="122"/>
        <w:ind w:left="1133" w:right="85"/>
        <w:rPr>
          <w:b w:val="0"/>
        </w:rPr>
      </w:pPr>
      <w:r>
        <w:rPr>
          <w:b w:val="0"/>
        </w:rPr>
        <w:t>I am grateful to all members of the Senate and to those</w:t>
      </w:r>
      <w:r>
        <w:rPr>
          <w:b w:val="0"/>
          <w:spacing w:val="40"/>
        </w:rPr>
        <w:t> </w:t>
      </w:r>
      <w:r>
        <w:rPr>
          <w:b w:val="0"/>
        </w:rPr>
        <w:t>not on the Senate who serve on its committees and make</w:t>
      </w:r>
      <w:r>
        <w:rPr>
          <w:b w:val="0"/>
          <w:spacing w:val="40"/>
        </w:rPr>
        <w:t> </w:t>
      </w:r>
      <w:r>
        <w:rPr>
          <w:b w:val="0"/>
        </w:rPr>
        <w:t>their expertise and experience available to the University.</w:t>
      </w:r>
      <w:r>
        <w:rPr>
          <w:b w:val="0"/>
          <w:spacing w:val="40"/>
        </w:rPr>
        <w:t> </w:t>
      </w:r>
      <w:r>
        <w:rPr>
          <w:b w:val="0"/>
        </w:rPr>
        <w:t>I particularly express my thanks to those members of the</w:t>
      </w:r>
      <w:r>
        <w:rPr>
          <w:b w:val="0"/>
          <w:spacing w:val="40"/>
        </w:rPr>
        <w:t> </w:t>
      </w:r>
      <w:r>
        <w:rPr>
          <w:b w:val="0"/>
        </w:rPr>
        <w:t>Senate who left us in 2020: Lynton Hayes, who served for</w:t>
      </w:r>
      <w:r>
        <w:rPr>
          <w:b w:val="0"/>
          <w:spacing w:val="40"/>
        </w:rPr>
        <w:t> </w:t>
      </w:r>
      <w:r>
        <w:rPr>
          <w:b w:val="0"/>
        </w:rPr>
        <w:t>12 years and Michele Dolin who served for nine years on</w:t>
      </w:r>
      <w:r>
        <w:rPr>
          <w:b w:val="0"/>
          <w:spacing w:val="40"/>
        </w:rPr>
        <w:t> </w:t>
      </w:r>
      <w:r>
        <w:rPr>
          <w:b w:val="0"/>
        </w:rPr>
        <w:t>Senate and as Chair of the Audit and Risk Committee.</w:t>
      </w:r>
    </w:p>
    <w:p>
      <w:pPr>
        <w:pStyle w:val="BodyText"/>
        <w:spacing w:before="51"/>
        <w:rPr>
          <w:b w:val="0"/>
        </w:rPr>
      </w:pPr>
    </w:p>
    <w:p>
      <w:pPr>
        <w:pStyle w:val="BodyText"/>
        <w:spacing w:line="295" w:lineRule="auto"/>
        <w:ind w:left="1133" w:right="19"/>
        <w:rPr>
          <w:b w:val="0"/>
        </w:rPr>
      </w:pPr>
      <w:r>
        <w:rPr>
          <w:b w:val="0"/>
        </w:rPr>
        <w:t>The</w:t>
      </w:r>
      <w:r>
        <w:rPr>
          <w:b w:val="0"/>
          <w:spacing w:val="-2"/>
        </w:rPr>
        <w:t> </w:t>
      </w:r>
      <w:r>
        <w:rPr>
          <w:b w:val="0"/>
        </w:rPr>
        <w:t>staff-elected</w:t>
      </w:r>
      <w:r>
        <w:rPr>
          <w:b w:val="0"/>
          <w:spacing w:val="-2"/>
        </w:rPr>
        <w:t> </w:t>
      </w:r>
      <w:r>
        <w:rPr>
          <w:b w:val="0"/>
        </w:rPr>
        <w:t>members</w:t>
      </w:r>
      <w:r>
        <w:rPr>
          <w:b w:val="0"/>
          <w:spacing w:val="-2"/>
        </w:rPr>
        <w:t> </w:t>
      </w:r>
      <w:r>
        <w:rPr>
          <w:b w:val="0"/>
        </w:rPr>
        <w:t>who</w:t>
      </w:r>
      <w:r>
        <w:rPr>
          <w:b w:val="0"/>
          <w:spacing w:val="-2"/>
        </w:rPr>
        <w:t> </w:t>
      </w:r>
      <w:r>
        <w:rPr>
          <w:b w:val="0"/>
        </w:rPr>
        <w:t>joined</w:t>
      </w:r>
      <w:r>
        <w:rPr>
          <w:b w:val="0"/>
          <w:spacing w:val="-2"/>
        </w:rPr>
        <w:t> </w:t>
      </w:r>
      <w:r>
        <w:rPr>
          <w:b w:val="0"/>
        </w:rPr>
        <w:t>the</w:t>
      </w:r>
      <w:r>
        <w:rPr>
          <w:b w:val="0"/>
          <w:spacing w:val="-2"/>
        </w:rPr>
        <w:t> </w:t>
      </w:r>
      <w:r>
        <w:rPr>
          <w:b w:val="0"/>
        </w:rPr>
        <w:t>Senate</w:t>
      </w:r>
      <w:r>
        <w:rPr>
          <w:b w:val="0"/>
          <w:spacing w:val="-2"/>
        </w:rPr>
        <w:t> </w:t>
      </w:r>
      <w:r>
        <w:rPr>
          <w:b w:val="0"/>
        </w:rPr>
        <w:t>in</w:t>
      </w:r>
      <w:r>
        <w:rPr>
          <w:b w:val="0"/>
          <w:spacing w:val="-2"/>
        </w:rPr>
        <w:t> </w:t>
      </w:r>
      <w:r>
        <w:rPr>
          <w:b w:val="0"/>
        </w:rPr>
        <w:t>2020</w:t>
      </w:r>
      <w:r>
        <w:rPr>
          <w:b w:val="0"/>
          <w:spacing w:val="40"/>
        </w:rPr>
        <w:t> </w:t>
      </w:r>
      <w:r>
        <w:rPr>
          <w:b w:val="0"/>
        </w:rPr>
        <w:t>were Nin Kirkham, elected by Academic Staff and Jill</w:t>
      </w:r>
      <w:r>
        <w:rPr>
          <w:b w:val="0"/>
          <w:spacing w:val="80"/>
        </w:rPr>
        <w:t> </w:t>
      </w:r>
      <w:r>
        <w:rPr>
          <w:b w:val="0"/>
        </w:rPr>
        <w:t>Benn, elected by General Staff. Professor Ray da Silva</w:t>
      </w:r>
      <w:r>
        <w:rPr>
          <w:b w:val="0"/>
          <w:spacing w:val="40"/>
        </w:rPr>
        <w:t> </w:t>
      </w:r>
      <w:r>
        <w:rPr>
          <w:b w:val="0"/>
        </w:rPr>
        <w:t>Rosa, President of the Academic Board, continued on</w:t>
      </w:r>
      <w:r>
        <w:rPr>
          <w:b w:val="0"/>
          <w:spacing w:val="40"/>
        </w:rPr>
        <w:t> </w:t>
      </w:r>
      <w:r>
        <w:rPr>
          <w:b w:val="0"/>
        </w:rPr>
        <w:t>Senate, elected by the Academic Board.</w:t>
      </w:r>
      <w:r>
        <w:rPr>
          <w:b w:val="0"/>
          <w:spacing w:val="40"/>
        </w:rPr>
        <w:t> </w:t>
      </w:r>
      <w:r>
        <w:rPr>
          <w:b w:val="0"/>
        </w:rPr>
        <w:t>The two student</w:t>
      </w:r>
      <w:r>
        <w:rPr>
          <w:b w:val="0"/>
          <w:spacing w:val="40"/>
        </w:rPr>
        <w:t> </w:t>
      </w:r>
      <w:r>
        <w:rPr>
          <w:b w:val="0"/>
        </w:rPr>
        <w:t>representatives who served through 2020, Bre Shanahan</w:t>
      </w:r>
      <w:r>
        <w:rPr>
          <w:b w:val="0"/>
          <w:spacing w:val="40"/>
        </w:rPr>
        <w:t> </w:t>
      </w:r>
      <w:r>
        <w:rPr>
          <w:b w:val="0"/>
        </w:rPr>
        <w:t>and Rahul Kumar completed their terms at the end of the</w:t>
      </w:r>
      <w:r>
        <w:rPr>
          <w:b w:val="0"/>
          <w:spacing w:val="40"/>
        </w:rPr>
        <w:t> </w:t>
      </w:r>
      <w:r>
        <w:rPr>
          <w:b w:val="0"/>
        </w:rPr>
        <w:t>year. Both made substantial contributions to our work and</w:t>
      </w:r>
      <w:r>
        <w:rPr>
          <w:b w:val="0"/>
          <w:spacing w:val="40"/>
        </w:rPr>
        <w:t> </w:t>
      </w:r>
      <w:r>
        <w:rPr>
          <w:b w:val="0"/>
        </w:rPr>
        <w:t>we wish them well in their future careers. We also</w:t>
      </w:r>
      <w:r>
        <w:rPr>
          <w:b w:val="0"/>
          <w:spacing w:val="40"/>
        </w:rPr>
        <w:t> </w:t>
      </w:r>
      <w:r>
        <w:rPr>
          <w:b w:val="0"/>
        </w:rPr>
        <w:t>welcomed two new student elected members: Emma</w:t>
      </w:r>
      <w:r>
        <w:rPr>
          <w:b w:val="0"/>
          <w:spacing w:val="40"/>
        </w:rPr>
        <w:t> </w:t>
      </w:r>
      <w:r>
        <w:rPr>
          <w:b w:val="0"/>
        </w:rPr>
        <w:t>Mezger, Guild President for 2021 and Joseph Chan, the</w:t>
      </w:r>
      <w:r>
        <w:rPr>
          <w:b w:val="0"/>
          <w:spacing w:val="40"/>
        </w:rPr>
        <w:t> </w:t>
      </w:r>
      <w:r>
        <w:rPr>
          <w:b w:val="0"/>
        </w:rPr>
        <w:t>newly elected President of the Postgraduate Students’</w:t>
      </w:r>
      <w:r>
        <w:rPr>
          <w:b w:val="0"/>
          <w:spacing w:val="40"/>
        </w:rPr>
        <w:t> </w:t>
      </w:r>
      <w:r>
        <w:rPr>
          <w:b w:val="0"/>
          <w:spacing w:val="-2"/>
        </w:rPr>
        <w:t>Association.</w:t>
      </w:r>
    </w:p>
    <w:p>
      <w:pPr>
        <w:pStyle w:val="BodyText"/>
        <w:spacing w:before="57"/>
        <w:rPr>
          <w:b w:val="0"/>
        </w:rPr>
      </w:pPr>
    </w:p>
    <w:p>
      <w:pPr>
        <w:pStyle w:val="BodyText"/>
        <w:ind w:left="1133"/>
        <w:rPr>
          <w:b w:val="0"/>
        </w:rPr>
      </w:pPr>
      <w:r>
        <w:rPr>
          <w:b w:val="0"/>
        </w:rPr>
        <w:t>2020</w:t>
      </w:r>
      <w:r>
        <w:rPr>
          <w:b w:val="0"/>
          <w:spacing w:val="-1"/>
        </w:rPr>
        <w:t> </w:t>
      </w:r>
      <w:r>
        <w:rPr>
          <w:b w:val="0"/>
        </w:rPr>
        <w:t>saw an important</w:t>
      </w:r>
      <w:r>
        <w:rPr>
          <w:b w:val="0"/>
          <w:spacing w:val="-1"/>
        </w:rPr>
        <w:t> </w:t>
      </w:r>
      <w:r>
        <w:rPr>
          <w:b w:val="0"/>
        </w:rPr>
        <w:t>development in </w:t>
      </w:r>
      <w:r>
        <w:rPr>
          <w:b w:val="0"/>
          <w:spacing w:val="-2"/>
        </w:rPr>
        <w:t>governance</w:t>
      </w:r>
    </w:p>
    <w:p>
      <w:pPr>
        <w:pStyle w:val="BodyText"/>
        <w:spacing w:line="295" w:lineRule="auto" w:before="50"/>
        <w:ind w:left="1133" w:right="20"/>
        <w:rPr>
          <w:b w:val="0"/>
        </w:rPr>
      </w:pPr>
      <w:r>
        <w:rPr>
          <w:b w:val="0"/>
        </w:rPr>
        <w:t>—</w:t>
      </w:r>
      <w:r>
        <w:rPr>
          <w:b w:val="0"/>
          <w:spacing w:val="-2"/>
        </w:rPr>
        <w:t> </w:t>
      </w:r>
      <w:r>
        <w:rPr>
          <w:b w:val="0"/>
        </w:rPr>
        <w:t>the</w:t>
      </w:r>
      <w:r>
        <w:rPr>
          <w:b w:val="0"/>
          <w:spacing w:val="-2"/>
        </w:rPr>
        <w:t> </w:t>
      </w:r>
      <w:r>
        <w:rPr>
          <w:b w:val="0"/>
        </w:rPr>
        <w:t>adoption</w:t>
      </w:r>
      <w:r>
        <w:rPr>
          <w:b w:val="0"/>
          <w:spacing w:val="-2"/>
        </w:rPr>
        <w:t> </w:t>
      </w:r>
      <w:r>
        <w:rPr>
          <w:b w:val="0"/>
        </w:rPr>
        <w:t>by</w:t>
      </w:r>
      <w:r>
        <w:rPr>
          <w:b w:val="0"/>
          <w:spacing w:val="-2"/>
        </w:rPr>
        <w:t> </w:t>
      </w:r>
      <w:r>
        <w:rPr>
          <w:b w:val="0"/>
        </w:rPr>
        <w:t>the</w:t>
      </w:r>
      <w:r>
        <w:rPr>
          <w:b w:val="0"/>
          <w:spacing w:val="-2"/>
        </w:rPr>
        <w:t> </w:t>
      </w:r>
      <w:r>
        <w:rPr>
          <w:b w:val="0"/>
        </w:rPr>
        <w:t>Senate</w:t>
      </w:r>
      <w:r>
        <w:rPr>
          <w:b w:val="0"/>
          <w:spacing w:val="-2"/>
        </w:rPr>
        <w:t> </w:t>
      </w:r>
      <w:r>
        <w:rPr>
          <w:b w:val="0"/>
        </w:rPr>
        <w:t>of</w:t>
      </w:r>
      <w:r>
        <w:rPr>
          <w:b w:val="0"/>
          <w:spacing w:val="-2"/>
        </w:rPr>
        <w:t> </w:t>
      </w:r>
      <w:r>
        <w:rPr>
          <w:b w:val="0"/>
        </w:rPr>
        <w:t>a</w:t>
      </w:r>
      <w:r>
        <w:rPr>
          <w:b w:val="0"/>
          <w:spacing w:val="-2"/>
        </w:rPr>
        <w:t> </w:t>
      </w:r>
      <w:r>
        <w:rPr>
          <w:b w:val="0"/>
        </w:rPr>
        <w:t>simplified</w:t>
      </w:r>
      <w:r>
        <w:rPr>
          <w:b w:val="0"/>
          <w:spacing w:val="-2"/>
        </w:rPr>
        <w:t> </w:t>
      </w:r>
      <w:r>
        <w:rPr>
          <w:b w:val="0"/>
        </w:rPr>
        <w:t>single</w:t>
      </w:r>
      <w:r>
        <w:rPr>
          <w:b w:val="0"/>
          <w:spacing w:val="-2"/>
        </w:rPr>
        <w:t> </w:t>
      </w:r>
      <w:r>
        <w:rPr>
          <w:b w:val="0"/>
        </w:rPr>
        <w:t>Statute</w:t>
      </w:r>
      <w:r>
        <w:rPr>
          <w:b w:val="0"/>
          <w:spacing w:val="40"/>
        </w:rPr>
        <w:t> </w:t>
      </w:r>
      <w:r>
        <w:rPr>
          <w:b w:val="0"/>
        </w:rPr>
        <w:t>for the University. Many people contributed to the task of</w:t>
      </w:r>
      <w:r>
        <w:rPr>
          <w:b w:val="0"/>
          <w:spacing w:val="40"/>
        </w:rPr>
        <w:t> </w:t>
      </w:r>
      <w:r>
        <w:rPr>
          <w:b w:val="0"/>
        </w:rPr>
        <w:t>bringing that Statute to fruition. An important early</w:t>
      </w:r>
      <w:r>
        <w:rPr>
          <w:b w:val="0"/>
          <w:spacing w:val="40"/>
        </w:rPr>
        <w:t> </w:t>
      </w:r>
      <w:r>
        <w:rPr>
          <w:b w:val="0"/>
        </w:rPr>
        <w:t>impetus came from the work of former University</w:t>
      </w:r>
      <w:r>
        <w:rPr>
          <w:b w:val="0"/>
          <w:spacing w:val="40"/>
        </w:rPr>
        <w:t> </w:t>
      </w:r>
      <w:r>
        <w:rPr>
          <w:b w:val="0"/>
        </w:rPr>
        <w:t>Secretary, Deidre de Souza, followed by her successor,</w:t>
      </w:r>
      <w:r>
        <w:rPr>
          <w:b w:val="0"/>
          <w:spacing w:val="40"/>
        </w:rPr>
        <w:t> </w:t>
      </w:r>
      <w:r>
        <w:rPr>
          <w:b w:val="0"/>
        </w:rPr>
        <w:t>Acting Secretary, Kabilan Krishnasamy and by Sue Moore</w:t>
      </w:r>
      <w:r>
        <w:rPr>
          <w:b w:val="0"/>
          <w:spacing w:val="40"/>
        </w:rPr>
        <w:t> </w:t>
      </w:r>
      <w:r>
        <w:rPr>
          <w:b w:val="0"/>
        </w:rPr>
        <w:t>who was appointed as Secretary in January 2020.</w:t>
      </w:r>
    </w:p>
    <w:p>
      <w:pPr>
        <w:pStyle w:val="BodyText"/>
        <w:spacing w:line="295" w:lineRule="auto" w:before="121"/>
        <w:ind w:left="367" w:right="1159"/>
        <w:rPr>
          <w:b w:val="0"/>
        </w:rPr>
      </w:pPr>
      <w:r>
        <w:rPr/>
        <w:br w:type="column"/>
      </w:r>
      <w:r>
        <w:rPr>
          <w:b w:val="0"/>
        </w:rPr>
        <w:t>The number of people who contributed to the work of</w:t>
      </w:r>
      <w:r>
        <w:rPr>
          <w:b w:val="0"/>
          <w:spacing w:val="40"/>
        </w:rPr>
        <w:t> </w:t>
      </w:r>
      <w:r>
        <w:rPr>
          <w:b w:val="0"/>
        </w:rPr>
        <w:t>forming,</w:t>
      </w:r>
      <w:r>
        <w:rPr>
          <w:b w:val="0"/>
          <w:spacing w:val="-7"/>
        </w:rPr>
        <w:t> </w:t>
      </w:r>
      <w:r>
        <w:rPr>
          <w:b w:val="0"/>
        </w:rPr>
        <w:t>drafting</w:t>
      </w:r>
      <w:r>
        <w:rPr>
          <w:b w:val="0"/>
          <w:spacing w:val="-7"/>
        </w:rPr>
        <w:t> </w:t>
      </w:r>
      <w:r>
        <w:rPr>
          <w:b w:val="0"/>
        </w:rPr>
        <w:t>and</w:t>
      </w:r>
      <w:r>
        <w:rPr>
          <w:b w:val="0"/>
          <w:spacing w:val="-7"/>
        </w:rPr>
        <w:t> </w:t>
      </w:r>
      <w:r>
        <w:rPr>
          <w:b w:val="0"/>
        </w:rPr>
        <w:t>finalising</w:t>
      </w:r>
      <w:r>
        <w:rPr>
          <w:b w:val="0"/>
          <w:spacing w:val="-7"/>
        </w:rPr>
        <w:t> </w:t>
      </w:r>
      <w:r>
        <w:rPr>
          <w:b w:val="0"/>
        </w:rPr>
        <w:t>the</w:t>
      </w:r>
      <w:r>
        <w:rPr>
          <w:b w:val="0"/>
          <w:spacing w:val="-7"/>
        </w:rPr>
        <w:t> </w:t>
      </w:r>
      <w:r>
        <w:rPr>
          <w:b w:val="0"/>
        </w:rPr>
        <w:t>Statute</w:t>
      </w:r>
      <w:r>
        <w:rPr>
          <w:b w:val="0"/>
          <w:spacing w:val="-7"/>
        </w:rPr>
        <w:t> </w:t>
      </w:r>
      <w:r>
        <w:rPr>
          <w:b w:val="0"/>
        </w:rPr>
        <w:t>is</w:t>
      </w:r>
      <w:r>
        <w:rPr>
          <w:b w:val="0"/>
          <w:spacing w:val="-7"/>
        </w:rPr>
        <w:t> </w:t>
      </w:r>
      <w:r>
        <w:rPr>
          <w:b w:val="0"/>
        </w:rPr>
        <w:t>too</w:t>
      </w:r>
      <w:r>
        <w:rPr>
          <w:b w:val="0"/>
          <w:spacing w:val="-7"/>
        </w:rPr>
        <w:t> </w:t>
      </w:r>
      <w:r>
        <w:rPr>
          <w:b w:val="0"/>
        </w:rPr>
        <w:t>numerous</w:t>
      </w:r>
      <w:r>
        <w:rPr>
          <w:b w:val="0"/>
          <w:spacing w:val="40"/>
        </w:rPr>
        <w:t> </w:t>
      </w:r>
      <w:r>
        <w:rPr>
          <w:b w:val="0"/>
        </w:rPr>
        <w:t>to mention them by name. However, I would express my</w:t>
      </w:r>
      <w:r>
        <w:rPr>
          <w:b w:val="0"/>
          <w:spacing w:val="40"/>
        </w:rPr>
        <w:t> </w:t>
      </w:r>
      <w:r>
        <w:rPr>
          <w:b w:val="0"/>
        </w:rPr>
        <w:t>thanks to Convocation for facilitating the timely passage</w:t>
      </w:r>
      <w:r>
        <w:rPr>
          <w:b w:val="0"/>
          <w:spacing w:val="40"/>
        </w:rPr>
        <w:t> </w:t>
      </w:r>
      <w:r>
        <w:rPr>
          <w:b w:val="0"/>
        </w:rPr>
        <w:t>of the Statute in accordance with its responsibilities under</w:t>
      </w:r>
      <w:r>
        <w:rPr>
          <w:b w:val="0"/>
          <w:spacing w:val="40"/>
        </w:rPr>
        <w:t> </w:t>
      </w:r>
      <w:r>
        <w:rPr>
          <w:b w:val="0"/>
        </w:rPr>
        <w:t>the </w:t>
      </w:r>
      <w:r>
        <w:rPr>
          <w:b w:val="0"/>
          <w:i/>
        </w:rPr>
        <w:t>University of Western Australia Act</w:t>
      </w:r>
      <w:r>
        <w:rPr>
          <w:b w:val="0"/>
        </w:rPr>
        <w:t>. I also take the</w:t>
      </w:r>
      <w:r>
        <w:rPr>
          <w:b w:val="0"/>
          <w:spacing w:val="40"/>
        </w:rPr>
        <w:t> </w:t>
      </w:r>
      <w:r>
        <w:rPr>
          <w:b w:val="0"/>
        </w:rPr>
        <w:t>opportunity to thank the new Warden of Convocation,</w:t>
      </w:r>
      <w:r>
        <w:rPr>
          <w:b w:val="0"/>
          <w:spacing w:val="40"/>
        </w:rPr>
        <w:t> </w:t>
      </w:r>
      <w:r>
        <w:rPr>
          <w:b w:val="0"/>
        </w:rPr>
        <w:t>Clinical Professor Lesley Cala and the Council of</w:t>
      </w:r>
      <w:r>
        <w:rPr>
          <w:b w:val="0"/>
          <w:spacing w:val="40"/>
        </w:rPr>
        <w:t> </w:t>
      </w:r>
      <w:r>
        <w:rPr>
          <w:b w:val="0"/>
        </w:rPr>
        <w:t>Convocation for their support for the University. A Joint</w:t>
      </w:r>
      <w:r>
        <w:rPr>
          <w:b w:val="0"/>
          <w:spacing w:val="40"/>
        </w:rPr>
        <w:t> </w:t>
      </w:r>
      <w:r>
        <w:rPr>
          <w:b w:val="0"/>
        </w:rPr>
        <w:t>Committee established in 2020 between Convocation</w:t>
      </w:r>
      <w:r>
        <w:rPr>
          <w:b w:val="0"/>
          <w:spacing w:val="40"/>
        </w:rPr>
        <w:t> </w:t>
      </w:r>
      <w:r>
        <w:rPr>
          <w:b w:val="0"/>
        </w:rPr>
        <w:t>and Development and Alumni Relations (DAR), chaired by</w:t>
      </w:r>
      <w:r>
        <w:rPr>
          <w:b w:val="0"/>
          <w:spacing w:val="40"/>
        </w:rPr>
        <w:t> </w:t>
      </w:r>
      <w:r>
        <w:rPr>
          <w:b w:val="0"/>
        </w:rPr>
        <w:t>Convocation-elected Senate Member, Adjunct Professor</w:t>
      </w:r>
      <w:r>
        <w:rPr>
          <w:b w:val="0"/>
          <w:spacing w:val="40"/>
        </w:rPr>
        <w:t> </w:t>
      </w:r>
      <w:r>
        <w:rPr>
          <w:b w:val="0"/>
        </w:rPr>
        <w:t>Warren Kerr AM, should provide for closer cooperation</w:t>
      </w:r>
      <w:r>
        <w:rPr>
          <w:b w:val="0"/>
          <w:spacing w:val="40"/>
        </w:rPr>
        <w:t> </w:t>
      </w:r>
      <w:r>
        <w:rPr>
          <w:b w:val="0"/>
        </w:rPr>
        <w:t>between Convocation and DAR in the important work of</w:t>
      </w:r>
      <w:r>
        <w:rPr>
          <w:b w:val="0"/>
          <w:spacing w:val="40"/>
        </w:rPr>
        <w:t> </w:t>
      </w:r>
      <w:r>
        <w:rPr>
          <w:b w:val="0"/>
        </w:rPr>
        <w:t>maintaining and enhancing relations with our alumni.</w:t>
      </w:r>
    </w:p>
    <w:p>
      <w:pPr>
        <w:pStyle w:val="BodyText"/>
        <w:spacing w:before="60"/>
        <w:rPr>
          <w:b w:val="0"/>
        </w:rPr>
      </w:pPr>
    </w:p>
    <w:p>
      <w:pPr>
        <w:pStyle w:val="BodyText"/>
        <w:spacing w:line="295" w:lineRule="auto"/>
        <w:ind w:left="367" w:right="1150"/>
        <w:rPr>
          <w:b w:val="0"/>
        </w:rPr>
      </w:pPr>
      <w:r>
        <w:rPr/>
        <mc:AlternateContent>
          <mc:Choice Requires="wps">
            <w:drawing>
              <wp:anchor distT="0" distB="0" distL="0" distR="0" allowOverlap="1" layoutInCell="1" locked="0" behindDoc="0" simplePos="0" relativeHeight="15733760">
                <wp:simplePos x="0" y="0"/>
                <wp:positionH relativeFrom="page">
                  <wp:posOffset>7111289</wp:posOffset>
                </wp:positionH>
                <wp:positionV relativeFrom="paragraph">
                  <wp:posOffset>901298</wp:posOffset>
                </wp:positionV>
                <wp:extent cx="177800" cy="1848485"/>
                <wp:effectExtent l="0" t="0" r="0" b="0"/>
                <wp:wrapNone/>
                <wp:docPr id="31" name="Textbox 31"/>
                <wp:cNvGraphicFramePr>
                  <a:graphicFrameLocks/>
                </wp:cNvGraphicFramePr>
                <a:graphic>
                  <a:graphicData uri="http://schemas.microsoft.com/office/word/2010/wordprocessingShape">
                    <wps:wsp>
                      <wps:cNvPr id="31" name="Textbox 31"/>
                      <wps:cNvSpPr txBox="1"/>
                      <wps:spPr>
                        <a:xfrm>
                          <a:off x="0" y="0"/>
                          <a:ext cx="177800" cy="184848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70.968399pt;width:14pt;height:145.550pt;mso-position-horizontal-relative:page;mso-position-vertical-relative:paragraph;z-index:15733760" type="#_x0000_t202" id="docshape24"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v:textbox>
                <w10:wrap type="none"/>
              </v:shape>
            </w:pict>
          </mc:Fallback>
        </mc:AlternateContent>
      </w:r>
      <w:r>
        <w:rPr>
          <w:b w:val="0"/>
        </w:rPr>
        <w:t>The</w:t>
      </w:r>
      <w:r>
        <w:rPr>
          <w:b w:val="0"/>
          <w:spacing w:val="-2"/>
        </w:rPr>
        <w:t> </w:t>
      </w:r>
      <w:r>
        <w:rPr>
          <w:b w:val="0"/>
        </w:rPr>
        <w:t>Senate</w:t>
      </w:r>
      <w:r>
        <w:rPr>
          <w:b w:val="0"/>
          <w:spacing w:val="-2"/>
        </w:rPr>
        <w:t> </w:t>
      </w:r>
      <w:r>
        <w:rPr>
          <w:b w:val="0"/>
        </w:rPr>
        <w:t>at</w:t>
      </w:r>
      <w:r>
        <w:rPr>
          <w:b w:val="0"/>
          <w:spacing w:val="-2"/>
        </w:rPr>
        <w:t> </w:t>
      </w:r>
      <w:r>
        <w:rPr>
          <w:b w:val="0"/>
        </w:rPr>
        <w:t>its</w:t>
      </w:r>
      <w:r>
        <w:rPr>
          <w:b w:val="0"/>
          <w:spacing w:val="-2"/>
        </w:rPr>
        <w:t> </w:t>
      </w:r>
      <w:r>
        <w:rPr>
          <w:b w:val="0"/>
        </w:rPr>
        <w:t>last</w:t>
      </w:r>
      <w:r>
        <w:rPr>
          <w:b w:val="0"/>
          <w:spacing w:val="-2"/>
        </w:rPr>
        <w:t> </w:t>
      </w:r>
      <w:r>
        <w:rPr>
          <w:b w:val="0"/>
        </w:rPr>
        <w:t>meeting</w:t>
      </w:r>
      <w:r>
        <w:rPr>
          <w:b w:val="0"/>
          <w:spacing w:val="-2"/>
        </w:rPr>
        <w:t> </w:t>
      </w:r>
      <w:r>
        <w:rPr>
          <w:b w:val="0"/>
        </w:rPr>
        <w:t>in</w:t>
      </w:r>
      <w:r>
        <w:rPr>
          <w:b w:val="0"/>
          <w:spacing w:val="-2"/>
        </w:rPr>
        <w:t> </w:t>
      </w:r>
      <w:r>
        <w:rPr>
          <w:b w:val="0"/>
        </w:rPr>
        <w:t>December</w:t>
      </w:r>
      <w:r>
        <w:rPr>
          <w:b w:val="0"/>
          <w:spacing w:val="-2"/>
        </w:rPr>
        <w:t> </w:t>
      </w:r>
      <w:r>
        <w:rPr>
          <w:b w:val="0"/>
        </w:rPr>
        <w:t>2020</w:t>
      </w:r>
      <w:r>
        <w:rPr>
          <w:b w:val="0"/>
          <w:spacing w:val="-2"/>
        </w:rPr>
        <w:t> </w:t>
      </w:r>
      <w:r>
        <w:rPr>
          <w:b w:val="0"/>
        </w:rPr>
        <w:t>adopted</w:t>
      </w:r>
      <w:r>
        <w:rPr>
          <w:b w:val="0"/>
          <w:spacing w:val="40"/>
        </w:rPr>
        <w:t> </w:t>
      </w:r>
      <w:r>
        <w:rPr>
          <w:b w:val="0"/>
        </w:rPr>
        <w:t>a UWA Code on Freedom of Speech and Academic</w:t>
      </w:r>
      <w:r>
        <w:rPr>
          <w:b w:val="0"/>
          <w:spacing w:val="40"/>
        </w:rPr>
        <w:t> </w:t>
      </w:r>
      <w:r>
        <w:rPr>
          <w:b w:val="0"/>
        </w:rPr>
        <w:t>Freedom. It resolved that UWA policies and codes should</w:t>
      </w:r>
      <w:r>
        <w:rPr>
          <w:b w:val="0"/>
          <w:spacing w:val="40"/>
        </w:rPr>
        <w:t> </w:t>
      </w:r>
      <w:r>
        <w:rPr>
          <w:b w:val="0"/>
        </w:rPr>
        <w:t>be reviewed to ensure consistency with the Code on</w:t>
      </w:r>
      <w:r>
        <w:rPr>
          <w:b w:val="0"/>
          <w:spacing w:val="40"/>
        </w:rPr>
        <w:t> </w:t>
      </w:r>
      <w:r>
        <w:rPr>
          <w:b w:val="0"/>
        </w:rPr>
        <w:t>Freedom of Speech and Academic Freedom.</w:t>
      </w:r>
    </w:p>
    <w:p>
      <w:pPr>
        <w:pStyle w:val="BodyText"/>
        <w:spacing w:before="49"/>
        <w:rPr>
          <w:b w:val="0"/>
        </w:rPr>
      </w:pPr>
    </w:p>
    <w:p>
      <w:pPr>
        <w:pStyle w:val="BodyText"/>
        <w:spacing w:line="295" w:lineRule="auto"/>
        <w:ind w:left="367" w:right="1084"/>
        <w:rPr>
          <w:b w:val="0"/>
        </w:rPr>
      </w:pPr>
      <w:r>
        <w:rPr>
          <w:b w:val="0"/>
        </w:rPr>
        <w:t>There are considerable tasks facing the University as a</w:t>
      </w:r>
      <w:r>
        <w:rPr>
          <w:b w:val="0"/>
          <w:spacing w:val="40"/>
        </w:rPr>
        <w:t> </w:t>
      </w:r>
      <w:r>
        <w:rPr>
          <w:b w:val="0"/>
        </w:rPr>
        <w:t>whole</w:t>
      </w:r>
      <w:r>
        <w:rPr>
          <w:b w:val="0"/>
          <w:spacing w:val="-1"/>
        </w:rPr>
        <w:t> </w:t>
      </w:r>
      <w:r>
        <w:rPr>
          <w:b w:val="0"/>
        </w:rPr>
        <w:t>but</w:t>
      </w:r>
      <w:r>
        <w:rPr>
          <w:b w:val="0"/>
          <w:spacing w:val="-1"/>
        </w:rPr>
        <w:t> </w:t>
      </w:r>
      <w:r>
        <w:rPr>
          <w:b w:val="0"/>
        </w:rPr>
        <w:t>they</w:t>
      </w:r>
      <w:r>
        <w:rPr>
          <w:b w:val="0"/>
          <w:spacing w:val="-1"/>
        </w:rPr>
        <w:t> </w:t>
      </w:r>
      <w:r>
        <w:rPr>
          <w:b w:val="0"/>
        </w:rPr>
        <w:t>are</w:t>
      </w:r>
      <w:r>
        <w:rPr>
          <w:b w:val="0"/>
          <w:spacing w:val="-1"/>
        </w:rPr>
        <w:t> </w:t>
      </w:r>
      <w:r>
        <w:rPr>
          <w:b w:val="0"/>
        </w:rPr>
        <w:t>able</w:t>
      </w:r>
      <w:r>
        <w:rPr>
          <w:b w:val="0"/>
          <w:spacing w:val="-1"/>
        </w:rPr>
        <w:t> </w:t>
      </w:r>
      <w:r>
        <w:rPr>
          <w:b w:val="0"/>
        </w:rPr>
        <w:t>to</w:t>
      </w:r>
      <w:r>
        <w:rPr>
          <w:b w:val="0"/>
          <w:spacing w:val="-1"/>
        </w:rPr>
        <w:t> </w:t>
      </w:r>
      <w:r>
        <w:rPr>
          <w:b w:val="0"/>
        </w:rPr>
        <w:t>be</w:t>
      </w:r>
      <w:r>
        <w:rPr>
          <w:b w:val="0"/>
          <w:spacing w:val="-1"/>
        </w:rPr>
        <w:t> </w:t>
      </w:r>
      <w:r>
        <w:rPr>
          <w:b w:val="0"/>
        </w:rPr>
        <w:t>faced</w:t>
      </w:r>
      <w:r>
        <w:rPr>
          <w:b w:val="0"/>
          <w:spacing w:val="-1"/>
        </w:rPr>
        <w:t> </w:t>
      </w:r>
      <w:r>
        <w:rPr>
          <w:b w:val="0"/>
        </w:rPr>
        <w:t>with</w:t>
      </w:r>
      <w:r>
        <w:rPr>
          <w:b w:val="0"/>
          <w:spacing w:val="-1"/>
        </w:rPr>
        <w:t> </w:t>
      </w:r>
      <w:r>
        <w:rPr>
          <w:b w:val="0"/>
        </w:rPr>
        <w:t>a</w:t>
      </w:r>
      <w:r>
        <w:rPr>
          <w:b w:val="0"/>
          <w:spacing w:val="-1"/>
        </w:rPr>
        <w:t> </w:t>
      </w:r>
      <w:r>
        <w:rPr>
          <w:b w:val="0"/>
        </w:rPr>
        <w:t>new</w:t>
      </w:r>
      <w:r>
        <w:rPr>
          <w:b w:val="0"/>
          <w:spacing w:val="-1"/>
        </w:rPr>
        <w:t> </w:t>
      </w:r>
      <w:r>
        <w:rPr>
          <w:b w:val="0"/>
        </w:rPr>
        <w:t>sense</w:t>
      </w:r>
      <w:r>
        <w:rPr>
          <w:b w:val="0"/>
          <w:spacing w:val="-1"/>
        </w:rPr>
        <w:t> </w:t>
      </w:r>
      <w:r>
        <w:rPr>
          <w:b w:val="0"/>
        </w:rPr>
        <w:t>of</w:t>
      </w:r>
      <w:r>
        <w:rPr>
          <w:b w:val="0"/>
          <w:spacing w:val="40"/>
        </w:rPr>
        <w:t> </w:t>
      </w:r>
      <w:r>
        <w:rPr>
          <w:b w:val="0"/>
        </w:rPr>
        <w:t>optimism. I look forward to the coming year.</w:t>
      </w:r>
    </w:p>
    <w:p>
      <w:pPr>
        <w:pStyle w:val="BodyText"/>
        <w:spacing w:before="2"/>
        <w:rPr>
          <w:b w:val="0"/>
          <w:sz w:val="13"/>
        </w:rPr>
      </w:pPr>
      <w:r>
        <w:rPr/>
        <w:drawing>
          <wp:anchor distT="0" distB="0" distL="0" distR="0" allowOverlap="1" layoutInCell="1" locked="0" behindDoc="1" simplePos="0" relativeHeight="487592448">
            <wp:simplePos x="0" y="0"/>
            <wp:positionH relativeFrom="page">
              <wp:posOffset>3849420</wp:posOffset>
            </wp:positionH>
            <wp:positionV relativeFrom="paragraph">
              <wp:posOffset>113237</wp:posOffset>
            </wp:positionV>
            <wp:extent cx="919430" cy="760094"/>
            <wp:effectExtent l="0" t="0" r="0" b="0"/>
            <wp:wrapTopAndBottom/>
            <wp:docPr id="32" name="Image 32"/>
            <wp:cNvGraphicFramePr>
              <a:graphicFrameLocks/>
            </wp:cNvGraphicFramePr>
            <a:graphic>
              <a:graphicData uri="http://schemas.openxmlformats.org/drawingml/2006/picture">
                <pic:pic>
                  <pic:nvPicPr>
                    <pic:cNvPr id="32" name="Image 32"/>
                    <pic:cNvPicPr/>
                  </pic:nvPicPr>
                  <pic:blipFill>
                    <a:blip r:embed="rId19" cstate="print"/>
                    <a:stretch>
                      <a:fillRect/>
                    </a:stretch>
                  </pic:blipFill>
                  <pic:spPr>
                    <a:xfrm>
                      <a:off x="0" y="0"/>
                      <a:ext cx="919430" cy="760094"/>
                    </a:xfrm>
                    <a:prstGeom prst="rect">
                      <a:avLst/>
                    </a:prstGeom>
                  </pic:spPr>
                </pic:pic>
              </a:graphicData>
            </a:graphic>
          </wp:anchor>
        </w:drawing>
      </w:r>
    </w:p>
    <w:p>
      <w:pPr>
        <w:pStyle w:val="BodyText"/>
        <w:spacing w:line="295" w:lineRule="auto"/>
        <w:ind w:left="367" w:right="2176"/>
        <w:rPr>
          <w:b w:val="0"/>
        </w:rPr>
      </w:pPr>
      <w:r>
        <w:rPr>
          <w:b w:val="0"/>
        </w:rPr>
        <w:t>The</w:t>
      </w:r>
      <w:r>
        <w:rPr>
          <w:b w:val="0"/>
          <w:spacing w:val="-4"/>
        </w:rPr>
        <w:t> </w:t>
      </w:r>
      <w:r>
        <w:rPr>
          <w:b w:val="0"/>
        </w:rPr>
        <w:t>Hon.</w:t>
      </w:r>
      <w:r>
        <w:rPr>
          <w:b w:val="0"/>
          <w:spacing w:val="-4"/>
        </w:rPr>
        <w:t> </w:t>
      </w:r>
      <w:r>
        <w:rPr>
          <w:b w:val="0"/>
        </w:rPr>
        <w:t>Robert</w:t>
      </w:r>
      <w:r>
        <w:rPr>
          <w:b w:val="0"/>
          <w:spacing w:val="-4"/>
        </w:rPr>
        <w:t> </w:t>
      </w:r>
      <w:r>
        <w:rPr>
          <w:b w:val="0"/>
        </w:rPr>
        <w:t>French</w:t>
      </w:r>
      <w:r>
        <w:rPr>
          <w:b w:val="0"/>
          <w:spacing w:val="-4"/>
        </w:rPr>
        <w:t> </w:t>
      </w:r>
      <w:r>
        <w:rPr>
          <w:b w:val="0"/>
        </w:rPr>
        <w:t>AC</w:t>
      </w:r>
      <w:r>
        <w:rPr>
          <w:b w:val="0"/>
          <w:spacing w:val="-4"/>
        </w:rPr>
        <w:t> </w:t>
      </w:r>
      <w:r>
        <w:rPr>
          <w:b w:val="0"/>
        </w:rPr>
        <w:t>CitWA</w:t>
      </w:r>
      <w:r>
        <w:rPr>
          <w:b w:val="0"/>
          <w:spacing w:val="40"/>
        </w:rPr>
        <w:t> </w:t>
      </w:r>
      <w:r>
        <w:rPr>
          <w:b w:val="0"/>
          <w:spacing w:val="-2"/>
        </w:rPr>
        <w:t>Chancellor</w:t>
      </w:r>
    </w:p>
    <w:p>
      <w:pPr>
        <w:spacing w:after="0" w:line="295" w:lineRule="auto"/>
        <w:sectPr>
          <w:type w:val="continuous"/>
          <w:pgSz w:w="11910" w:h="16840"/>
          <w:pgMar w:header="468" w:footer="0" w:top="980" w:bottom="280" w:left="0" w:right="0"/>
          <w:cols w:num="2" w:equalWidth="0">
            <w:col w:w="5744" w:space="40"/>
            <w:col w:w="6126"/>
          </w:cols>
        </w:sectPr>
      </w:pPr>
    </w:p>
    <w:p>
      <w:pPr>
        <w:pStyle w:val="Heading1"/>
        <w:spacing w:line="1020" w:lineRule="exact" w:before="117"/>
      </w:pPr>
      <w:r>
        <w:rPr>
          <w:spacing w:val="-2"/>
          <w:w w:val="105"/>
        </w:rPr>
        <w:t>Vice-Chancellor's</w:t>
      </w:r>
    </w:p>
    <w:p>
      <w:pPr>
        <w:spacing w:line="876" w:lineRule="exact" w:before="0"/>
        <w:ind w:left="1541" w:right="0" w:firstLine="0"/>
        <w:jc w:val="left"/>
        <w:rPr>
          <w:rFonts w:ascii="TT Norms Pro"/>
          <w:b/>
          <w:sz w:val="80"/>
        </w:rPr>
      </w:pPr>
      <w:r>
        <w:rPr>
          <w:rFonts w:ascii="TT Norms Pro"/>
          <w:b/>
          <w:spacing w:val="-2"/>
          <w:sz w:val="80"/>
        </w:rPr>
        <w:t>report</w:t>
      </w:r>
    </w:p>
    <w:p>
      <w:pPr>
        <w:pStyle w:val="BodyText"/>
        <w:rPr>
          <w:rFonts w:ascii="TT Norms Pro"/>
          <w:b/>
        </w:rPr>
      </w:pPr>
    </w:p>
    <w:p>
      <w:pPr>
        <w:pStyle w:val="BodyText"/>
        <w:rPr>
          <w:rFonts w:ascii="TT Norms Pro"/>
          <w:b/>
        </w:rPr>
      </w:pPr>
    </w:p>
    <w:p>
      <w:pPr>
        <w:pStyle w:val="BodyText"/>
        <w:spacing w:before="206"/>
        <w:rPr>
          <w:rFonts w:ascii="TT Norms Pro"/>
          <w:b/>
        </w:rPr>
      </w:pPr>
    </w:p>
    <w:p>
      <w:pPr>
        <w:pStyle w:val="BodyText"/>
        <w:spacing w:line="295" w:lineRule="auto"/>
        <w:ind w:left="1133" w:right="6193"/>
        <w:rPr>
          <w:b w:val="0"/>
        </w:rPr>
      </w:pPr>
      <w:r>
        <w:rPr/>
        <mc:AlternateContent>
          <mc:Choice Requires="wps">
            <w:drawing>
              <wp:anchor distT="0" distB="0" distL="0" distR="0" allowOverlap="1" layoutInCell="1" locked="0" behindDoc="0" simplePos="0" relativeHeight="15734784">
                <wp:simplePos x="0" y="0"/>
                <wp:positionH relativeFrom="page">
                  <wp:posOffset>3815994</wp:posOffset>
                </wp:positionH>
                <wp:positionV relativeFrom="paragraph">
                  <wp:posOffset>11784</wp:posOffset>
                </wp:positionV>
                <wp:extent cx="3024505" cy="2765425"/>
                <wp:effectExtent l="0" t="0" r="0" b="0"/>
                <wp:wrapNone/>
                <wp:docPr id="33" name="Group 33"/>
                <wp:cNvGraphicFramePr>
                  <a:graphicFrameLocks/>
                </wp:cNvGraphicFramePr>
                <a:graphic>
                  <a:graphicData uri="http://schemas.microsoft.com/office/word/2010/wordprocessingGroup">
                    <wpg:wgp>
                      <wpg:cNvPr id="33" name="Group 33"/>
                      <wpg:cNvGrpSpPr/>
                      <wpg:grpSpPr>
                        <a:xfrm>
                          <a:off x="0" y="0"/>
                          <a:ext cx="3024505" cy="2765425"/>
                          <a:chExt cx="3024505" cy="2765425"/>
                        </a:xfrm>
                      </wpg:grpSpPr>
                      <pic:pic>
                        <pic:nvPicPr>
                          <pic:cNvPr id="34" name="Image 34"/>
                          <pic:cNvPicPr/>
                        </pic:nvPicPr>
                        <pic:blipFill>
                          <a:blip r:embed="rId20" cstate="print"/>
                          <a:stretch>
                            <a:fillRect/>
                          </a:stretch>
                        </pic:blipFill>
                        <pic:spPr>
                          <a:xfrm>
                            <a:off x="98094" y="0"/>
                            <a:ext cx="2925914" cy="2667000"/>
                          </a:xfrm>
                          <a:prstGeom prst="rect">
                            <a:avLst/>
                          </a:prstGeom>
                        </pic:spPr>
                      </pic:pic>
                      <wps:wsp>
                        <wps:cNvPr id="35" name="Graphic 35"/>
                        <wps:cNvSpPr/>
                        <wps:spPr>
                          <a:xfrm>
                            <a:off x="0" y="2359799"/>
                            <a:ext cx="1955800" cy="405130"/>
                          </a:xfrm>
                          <a:custGeom>
                            <a:avLst/>
                            <a:gdLst/>
                            <a:ahLst/>
                            <a:cxnLst/>
                            <a:rect l="l" t="t" r="r" b="b"/>
                            <a:pathLst>
                              <a:path w="1955800" h="405130">
                                <a:moveTo>
                                  <a:pt x="1955647" y="0"/>
                                </a:moveTo>
                                <a:lnTo>
                                  <a:pt x="0" y="0"/>
                                </a:lnTo>
                                <a:lnTo>
                                  <a:pt x="0" y="405002"/>
                                </a:lnTo>
                                <a:lnTo>
                                  <a:pt x="1955647" y="405002"/>
                                </a:lnTo>
                                <a:lnTo>
                                  <a:pt x="1955647" y="0"/>
                                </a:lnTo>
                                <a:close/>
                              </a:path>
                            </a:pathLst>
                          </a:custGeom>
                          <a:solidFill>
                            <a:srgbClr val="FFFFFF"/>
                          </a:solidFill>
                        </wps:spPr>
                        <wps:bodyPr wrap="square" lIns="0" tIns="0" rIns="0" bIns="0" rtlCol="0">
                          <a:prstTxWarp prst="textNoShape">
                            <a:avLst/>
                          </a:prstTxWarp>
                          <a:noAutofit/>
                        </wps:bodyPr>
                      </wps:wsp>
                      <wps:wsp>
                        <wps:cNvPr id="36" name="Textbox 36"/>
                        <wps:cNvSpPr txBox="1"/>
                        <wps:spPr>
                          <a:xfrm>
                            <a:off x="0" y="0"/>
                            <a:ext cx="3024505" cy="2765425"/>
                          </a:xfrm>
                          <a:prstGeom prst="rect">
                            <a:avLst/>
                          </a:prstGeom>
                        </wps:spPr>
                        <wps:txbx>
                          <w:txbxContent>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84"/>
                                <w:rPr>
                                  <w:rFonts w:ascii="TT Norms Pro Light"/>
                                  <w:b w:val="0"/>
                                  <w:sz w:val="16"/>
                                </w:rPr>
                              </w:pPr>
                            </w:p>
                            <w:p>
                              <w:pPr>
                                <w:spacing w:line="283" w:lineRule="auto" w:before="0"/>
                                <w:ind w:left="141" w:right="2931" w:firstLine="0"/>
                                <w:jc w:val="left"/>
                                <w:rPr>
                                  <w:rFonts w:ascii="TT Norms Pro Light"/>
                                  <w:b w:val="0"/>
                                  <w:sz w:val="16"/>
                                </w:rPr>
                              </w:pPr>
                              <w:r>
                                <w:rPr>
                                  <w:rFonts w:ascii="TT Norms Pro Light"/>
                                  <w:b w:val="0"/>
                                  <w:sz w:val="16"/>
                                </w:rPr>
                                <w:t>Professor</w:t>
                              </w:r>
                              <w:r>
                                <w:rPr>
                                  <w:rFonts w:ascii="TT Norms Pro Light"/>
                                  <w:b w:val="0"/>
                                  <w:spacing w:val="-5"/>
                                  <w:sz w:val="16"/>
                                </w:rPr>
                                <w:t> </w:t>
                              </w:r>
                              <w:r>
                                <w:rPr>
                                  <w:rFonts w:ascii="TT Norms Pro Light"/>
                                  <w:b w:val="0"/>
                                  <w:sz w:val="16"/>
                                </w:rPr>
                                <w:t>Amit</w:t>
                              </w:r>
                              <w:r>
                                <w:rPr>
                                  <w:rFonts w:ascii="TT Norms Pro Light"/>
                                  <w:b w:val="0"/>
                                  <w:spacing w:val="-5"/>
                                  <w:sz w:val="16"/>
                                </w:rPr>
                                <w:t> </w:t>
                              </w:r>
                              <w:r>
                                <w:rPr>
                                  <w:rFonts w:ascii="TT Norms Pro Light"/>
                                  <w:b w:val="0"/>
                                  <w:sz w:val="16"/>
                                </w:rPr>
                                <w:t>Chakma</w:t>
                              </w:r>
                              <w:r>
                                <w:rPr>
                                  <w:rFonts w:ascii="TT Norms Pro Light"/>
                                  <w:b w:val="0"/>
                                  <w:spacing w:val="40"/>
                                  <w:sz w:val="16"/>
                                </w:rPr>
                                <w:t> </w:t>
                              </w:r>
                              <w:r>
                                <w:rPr>
                                  <w:rFonts w:ascii="TT Norms Pro Light"/>
                                  <w:b w:val="0"/>
                                  <w:spacing w:val="-2"/>
                                  <w:sz w:val="16"/>
                                </w:rPr>
                                <w:t>Vice-Chancellor</w:t>
                              </w:r>
                            </w:p>
                          </w:txbxContent>
                        </wps:txbx>
                        <wps:bodyPr wrap="square" lIns="0" tIns="0" rIns="0" bIns="0" rtlCol="0">
                          <a:noAutofit/>
                        </wps:bodyPr>
                      </wps:wsp>
                    </wpg:wgp>
                  </a:graphicData>
                </a:graphic>
              </wp:anchor>
            </w:drawing>
          </mc:Choice>
          <mc:Fallback>
            <w:pict>
              <v:group style="position:absolute;margin-left:300.471985pt;margin-top:.927912pt;width:238.15pt;height:217.75pt;mso-position-horizontal-relative:page;mso-position-vertical-relative:paragraph;z-index:15734784" id="docshapegroup25" coordorigin="6009,19" coordsize="4763,4355">
                <v:shape style="position:absolute;left:6163;top:18;width:4608;height:4200" type="#_x0000_t75" id="docshape26" stroked="false">
                  <v:imagedata r:id="rId20" o:title=""/>
                </v:shape>
                <v:rect style="position:absolute;left:6009;top:3734;width:3080;height:638" id="docshape27" filled="true" fillcolor="#ffffff" stroked="false">
                  <v:fill type="solid"/>
                </v:rect>
                <v:shape style="position:absolute;left:6009;top:18;width:4763;height:4355" type="#_x0000_t202" id="docshape28" filled="false" stroked="false">
                  <v:textbox inset="0,0,0,0">
                    <w:txbxContent>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0"/>
                          <w:rPr>
                            <w:rFonts w:ascii="TT Norms Pro Light"/>
                            <w:b w:val="0"/>
                            <w:sz w:val="16"/>
                          </w:rPr>
                        </w:pPr>
                      </w:p>
                      <w:p>
                        <w:pPr>
                          <w:spacing w:line="240" w:lineRule="auto" w:before="84"/>
                          <w:rPr>
                            <w:rFonts w:ascii="TT Norms Pro Light"/>
                            <w:b w:val="0"/>
                            <w:sz w:val="16"/>
                          </w:rPr>
                        </w:pPr>
                      </w:p>
                      <w:p>
                        <w:pPr>
                          <w:spacing w:line="283" w:lineRule="auto" w:before="0"/>
                          <w:ind w:left="141" w:right="2931" w:firstLine="0"/>
                          <w:jc w:val="left"/>
                          <w:rPr>
                            <w:rFonts w:ascii="TT Norms Pro Light"/>
                            <w:b w:val="0"/>
                            <w:sz w:val="16"/>
                          </w:rPr>
                        </w:pPr>
                        <w:r>
                          <w:rPr>
                            <w:rFonts w:ascii="TT Norms Pro Light"/>
                            <w:b w:val="0"/>
                            <w:sz w:val="16"/>
                          </w:rPr>
                          <w:t>Professor</w:t>
                        </w:r>
                        <w:r>
                          <w:rPr>
                            <w:rFonts w:ascii="TT Norms Pro Light"/>
                            <w:b w:val="0"/>
                            <w:spacing w:val="-5"/>
                            <w:sz w:val="16"/>
                          </w:rPr>
                          <w:t> </w:t>
                        </w:r>
                        <w:r>
                          <w:rPr>
                            <w:rFonts w:ascii="TT Norms Pro Light"/>
                            <w:b w:val="0"/>
                            <w:sz w:val="16"/>
                          </w:rPr>
                          <w:t>Amit</w:t>
                        </w:r>
                        <w:r>
                          <w:rPr>
                            <w:rFonts w:ascii="TT Norms Pro Light"/>
                            <w:b w:val="0"/>
                            <w:spacing w:val="-5"/>
                            <w:sz w:val="16"/>
                          </w:rPr>
                          <w:t> </w:t>
                        </w:r>
                        <w:r>
                          <w:rPr>
                            <w:rFonts w:ascii="TT Norms Pro Light"/>
                            <w:b w:val="0"/>
                            <w:sz w:val="16"/>
                          </w:rPr>
                          <w:t>Chakma</w:t>
                        </w:r>
                        <w:r>
                          <w:rPr>
                            <w:rFonts w:ascii="TT Norms Pro Light"/>
                            <w:b w:val="0"/>
                            <w:spacing w:val="40"/>
                            <w:sz w:val="16"/>
                          </w:rPr>
                          <w:t> </w:t>
                        </w:r>
                        <w:r>
                          <w:rPr>
                            <w:rFonts w:ascii="TT Norms Pro Light"/>
                            <w:b w:val="0"/>
                            <w:spacing w:val="-2"/>
                            <w:sz w:val="16"/>
                          </w:rPr>
                          <w:t>Vice-Chancellor</w:t>
                        </w:r>
                      </w:p>
                    </w:txbxContent>
                  </v:textbox>
                  <w10:wrap type="none"/>
                </v:shape>
                <w10:wrap type="none"/>
              </v:group>
            </w:pict>
          </mc:Fallback>
        </mc:AlternateContent>
      </w:r>
      <w:r>
        <w:rPr>
          <w:b w:val="0"/>
        </w:rPr>
        <w:t>The University of Western Australia had much to be proud</w:t>
      </w:r>
      <w:r>
        <w:rPr>
          <w:b w:val="0"/>
          <w:spacing w:val="40"/>
        </w:rPr>
        <w:t> </w:t>
      </w:r>
      <w:r>
        <w:rPr>
          <w:b w:val="0"/>
        </w:rPr>
        <w:t>of in 2020. We have been tested and challenged in ways</w:t>
      </w:r>
      <w:r>
        <w:rPr>
          <w:b w:val="0"/>
          <w:spacing w:val="40"/>
        </w:rPr>
        <w:t> </w:t>
      </w:r>
      <w:r>
        <w:rPr>
          <w:b w:val="0"/>
        </w:rPr>
        <w:t>many of us have never encountered before. Under three</w:t>
      </w:r>
      <w:r>
        <w:rPr>
          <w:b w:val="0"/>
          <w:spacing w:val="40"/>
        </w:rPr>
        <w:t> </w:t>
      </w:r>
      <w:r>
        <w:rPr>
          <w:b w:val="0"/>
        </w:rPr>
        <w:t>different Vice-Chancellors, our University has fought for</w:t>
      </w:r>
      <w:r>
        <w:rPr>
          <w:b w:val="0"/>
          <w:spacing w:val="80"/>
        </w:rPr>
        <w:t> </w:t>
      </w:r>
      <w:r>
        <w:rPr>
          <w:b w:val="0"/>
        </w:rPr>
        <w:t>its future. I am very proud to have joined the University in</w:t>
      </w:r>
      <w:r>
        <w:rPr>
          <w:b w:val="0"/>
          <w:spacing w:val="40"/>
        </w:rPr>
        <w:t> </w:t>
      </w:r>
      <w:r>
        <w:rPr>
          <w:b w:val="0"/>
        </w:rPr>
        <w:t>2020 and of what we have collectively achieved</w:t>
      </w:r>
      <w:r>
        <w:rPr>
          <w:b w:val="0"/>
          <w:spacing w:val="40"/>
        </w:rPr>
        <w:t> </w:t>
      </w:r>
      <w:r>
        <w:rPr>
          <w:b w:val="0"/>
        </w:rPr>
        <w:t>throughout the year.</w:t>
      </w:r>
    </w:p>
    <w:p>
      <w:pPr>
        <w:pStyle w:val="BodyText"/>
        <w:spacing w:before="51"/>
        <w:rPr>
          <w:b w:val="0"/>
        </w:rPr>
      </w:pPr>
    </w:p>
    <w:p>
      <w:pPr>
        <w:pStyle w:val="BodyText"/>
        <w:spacing w:line="295" w:lineRule="auto"/>
        <w:ind w:left="1133" w:right="6003"/>
        <w:rPr>
          <w:b w:val="0"/>
        </w:rPr>
      </w:pPr>
      <w:r>
        <w:rPr>
          <w:b w:val="0"/>
        </w:rPr>
        <w:t>Thanks to the extraordinary and heroic efforts of staff,</w:t>
      </w:r>
      <w:r>
        <w:rPr>
          <w:b w:val="0"/>
          <w:spacing w:val="40"/>
        </w:rPr>
        <w:t> </w:t>
      </w:r>
      <w:r>
        <w:rPr>
          <w:b w:val="0"/>
        </w:rPr>
        <w:t>courses were put online under immense pressure and with</w:t>
      </w:r>
      <w:r>
        <w:rPr>
          <w:b w:val="0"/>
          <w:spacing w:val="40"/>
        </w:rPr>
        <w:t> </w:t>
      </w:r>
      <w:r>
        <w:rPr>
          <w:b w:val="0"/>
        </w:rPr>
        <w:t>remarkable care and alacrity so that our students could</w:t>
      </w:r>
      <w:r>
        <w:rPr>
          <w:b w:val="0"/>
          <w:spacing w:val="40"/>
        </w:rPr>
        <w:t> </w:t>
      </w:r>
      <w:r>
        <w:rPr>
          <w:b w:val="0"/>
        </w:rPr>
        <w:t>continue with their studies.</w:t>
      </w:r>
    </w:p>
    <w:p>
      <w:pPr>
        <w:pStyle w:val="BodyText"/>
        <w:spacing w:before="8"/>
        <w:rPr>
          <w:b w:val="0"/>
          <w:sz w:val="11"/>
        </w:rPr>
      </w:pPr>
    </w:p>
    <w:p>
      <w:pPr>
        <w:spacing w:after="0"/>
        <w:rPr>
          <w:sz w:val="11"/>
        </w:rPr>
        <w:sectPr>
          <w:pgSz w:w="11910" w:h="16840"/>
          <w:pgMar w:header="468" w:footer="0" w:top="780" w:bottom="280" w:left="0" w:right="0"/>
        </w:sectPr>
      </w:pPr>
    </w:p>
    <w:p>
      <w:pPr>
        <w:pStyle w:val="BodyText"/>
        <w:spacing w:line="295" w:lineRule="auto" w:before="122"/>
        <w:ind w:left="1133" w:right="46"/>
        <w:rPr>
          <w:b w:val="0"/>
        </w:rPr>
      </w:pPr>
      <w:r>
        <w:rPr>
          <w:b w:val="0"/>
        </w:rPr>
        <w:t>Vice-Chancellors, staff union representatives and</w:t>
      </w:r>
      <w:r>
        <w:rPr>
          <w:b w:val="0"/>
          <w:spacing w:val="40"/>
        </w:rPr>
        <w:t> </w:t>
      </w:r>
      <w:r>
        <w:rPr>
          <w:b w:val="0"/>
        </w:rPr>
        <w:t>students agreed to work together for the future</w:t>
      </w:r>
      <w:r>
        <w:rPr>
          <w:b w:val="0"/>
          <w:spacing w:val="40"/>
        </w:rPr>
        <w:t> </w:t>
      </w:r>
      <w:r>
        <w:rPr>
          <w:b w:val="0"/>
        </w:rPr>
        <w:t>sustainability of the University. Admirably, academic and</w:t>
      </w:r>
      <w:r>
        <w:rPr>
          <w:b w:val="0"/>
          <w:spacing w:val="40"/>
        </w:rPr>
        <w:t> </w:t>
      </w:r>
      <w:r>
        <w:rPr>
          <w:b w:val="0"/>
        </w:rPr>
        <w:t>general staff voted overwhelmingly to receive less pay in</w:t>
      </w:r>
      <w:r>
        <w:rPr>
          <w:b w:val="0"/>
          <w:spacing w:val="40"/>
        </w:rPr>
        <w:t> </w:t>
      </w:r>
      <w:r>
        <w:rPr>
          <w:b w:val="0"/>
        </w:rPr>
        <w:t>order to help UWA cope with the COVID-19 crisis.</w:t>
      </w:r>
    </w:p>
    <w:p>
      <w:pPr>
        <w:pStyle w:val="BodyText"/>
        <w:spacing w:before="49"/>
        <w:rPr>
          <w:b w:val="0"/>
        </w:rPr>
      </w:pPr>
    </w:p>
    <w:p>
      <w:pPr>
        <w:pStyle w:val="BodyText"/>
        <w:spacing w:line="295" w:lineRule="auto"/>
        <w:ind w:left="1133"/>
        <w:rPr>
          <w:b w:val="0"/>
        </w:rPr>
      </w:pPr>
      <w:r>
        <w:rPr>
          <w:b w:val="0"/>
        </w:rPr>
        <w:t>On its foundation more than a century ago, The University</w:t>
      </w:r>
      <w:r>
        <w:rPr>
          <w:b w:val="0"/>
          <w:spacing w:val="40"/>
        </w:rPr>
        <w:t> </w:t>
      </w:r>
      <w:r>
        <w:rPr>
          <w:b w:val="0"/>
        </w:rPr>
        <w:t>of Western Australia was given a mission: “to advance the</w:t>
      </w:r>
      <w:r>
        <w:rPr>
          <w:b w:val="0"/>
          <w:spacing w:val="40"/>
        </w:rPr>
        <w:t> </w:t>
      </w:r>
      <w:r>
        <w:rPr>
          <w:b w:val="0"/>
        </w:rPr>
        <w:t>prosperity and welfare of the people” of a state larger than</w:t>
      </w:r>
      <w:r>
        <w:rPr>
          <w:b w:val="0"/>
          <w:spacing w:val="40"/>
        </w:rPr>
        <w:t> </w:t>
      </w:r>
      <w:r>
        <w:rPr>
          <w:b w:val="0"/>
        </w:rPr>
        <w:t>most</w:t>
      </w:r>
      <w:r>
        <w:rPr>
          <w:b w:val="0"/>
          <w:spacing w:val="-5"/>
        </w:rPr>
        <w:t> </w:t>
      </w:r>
      <w:r>
        <w:rPr>
          <w:b w:val="0"/>
        </w:rPr>
        <w:t>nations.</w:t>
      </w:r>
    </w:p>
    <w:p>
      <w:pPr>
        <w:pStyle w:val="BodyText"/>
        <w:spacing w:before="48"/>
        <w:rPr>
          <w:b w:val="0"/>
        </w:rPr>
      </w:pPr>
    </w:p>
    <w:p>
      <w:pPr>
        <w:pStyle w:val="BodyText"/>
        <w:spacing w:line="295" w:lineRule="auto"/>
        <w:ind w:left="1133"/>
        <w:rPr>
          <w:b w:val="0"/>
        </w:rPr>
      </w:pPr>
      <w:r>
        <w:rPr>
          <w:b w:val="0"/>
        </w:rPr>
        <w:t>As we face the challenges ahead, we are guided by our</w:t>
      </w:r>
      <w:r>
        <w:rPr>
          <w:b w:val="0"/>
          <w:spacing w:val="40"/>
        </w:rPr>
        <w:t> </w:t>
      </w:r>
      <w:r>
        <w:rPr>
          <w:b w:val="0"/>
        </w:rPr>
        <w:t>commitment to the community we serve. We are fortified</w:t>
      </w:r>
      <w:r>
        <w:rPr>
          <w:b w:val="0"/>
          <w:spacing w:val="40"/>
        </w:rPr>
        <w:t> </w:t>
      </w:r>
      <w:r>
        <w:rPr>
          <w:b w:val="0"/>
        </w:rPr>
        <w:t>by</w:t>
      </w:r>
      <w:r>
        <w:rPr>
          <w:b w:val="0"/>
          <w:spacing w:val="-2"/>
        </w:rPr>
        <w:t> </w:t>
      </w:r>
      <w:r>
        <w:rPr>
          <w:b w:val="0"/>
        </w:rPr>
        <w:t>our</w:t>
      </w:r>
      <w:r>
        <w:rPr>
          <w:b w:val="0"/>
          <w:spacing w:val="-2"/>
        </w:rPr>
        <w:t> </w:t>
      </w:r>
      <w:r>
        <w:rPr>
          <w:b w:val="0"/>
        </w:rPr>
        <w:t>determination</w:t>
      </w:r>
      <w:r>
        <w:rPr>
          <w:b w:val="0"/>
          <w:spacing w:val="-2"/>
        </w:rPr>
        <w:t> </w:t>
      </w:r>
      <w:r>
        <w:rPr>
          <w:b w:val="0"/>
        </w:rPr>
        <w:t>to</w:t>
      </w:r>
      <w:r>
        <w:rPr>
          <w:b w:val="0"/>
          <w:spacing w:val="-2"/>
        </w:rPr>
        <w:t> </w:t>
      </w:r>
      <w:r>
        <w:rPr>
          <w:b w:val="0"/>
        </w:rPr>
        <w:t>pursue</w:t>
      </w:r>
      <w:r>
        <w:rPr>
          <w:b w:val="0"/>
          <w:spacing w:val="-2"/>
        </w:rPr>
        <w:t> </w:t>
      </w:r>
      <w:r>
        <w:rPr>
          <w:b w:val="0"/>
        </w:rPr>
        <w:t>excellence</w:t>
      </w:r>
      <w:r>
        <w:rPr>
          <w:b w:val="0"/>
          <w:spacing w:val="-2"/>
        </w:rPr>
        <w:t> </w:t>
      </w:r>
      <w:r>
        <w:rPr>
          <w:b w:val="0"/>
        </w:rPr>
        <w:t>as</w:t>
      </w:r>
      <w:r>
        <w:rPr>
          <w:b w:val="0"/>
          <w:spacing w:val="-2"/>
        </w:rPr>
        <w:t> </w:t>
      </w:r>
      <w:r>
        <w:rPr>
          <w:b w:val="0"/>
        </w:rPr>
        <w:t>we</w:t>
      </w:r>
      <w:r>
        <w:rPr>
          <w:b w:val="0"/>
          <w:spacing w:val="-2"/>
        </w:rPr>
        <w:t> </w:t>
      </w:r>
      <w:r>
        <w:rPr>
          <w:b w:val="0"/>
        </w:rPr>
        <w:t>continue</w:t>
      </w:r>
      <w:r>
        <w:rPr>
          <w:b w:val="0"/>
          <w:spacing w:val="40"/>
        </w:rPr>
        <w:t> </w:t>
      </w:r>
      <w:r>
        <w:rPr>
          <w:b w:val="0"/>
        </w:rPr>
        <w:t>to Seek Wisdom.</w:t>
      </w:r>
    </w:p>
    <w:p>
      <w:pPr>
        <w:pStyle w:val="BodyText"/>
        <w:spacing w:before="48"/>
        <w:rPr>
          <w:b w:val="0"/>
        </w:rPr>
      </w:pPr>
    </w:p>
    <w:p>
      <w:pPr>
        <w:pStyle w:val="BodyText"/>
        <w:spacing w:line="295" w:lineRule="auto" w:before="1"/>
        <w:ind w:left="1133" w:right="84"/>
        <w:rPr>
          <w:b w:val="0"/>
        </w:rPr>
      </w:pPr>
      <w:r>
        <w:rPr>
          <w:b w:val="0"/>
        </w:rPr>
        <w:t>In the most recent of university global rankings, issued by</w:t>
      </w:r>
      <w:r>
        <w:rPr>
          <w:b w:val="0"/>
          <w:spacing w:val="40"/>
        </w:rPr>
        <w:t> </w:t>
      </w:r>
      <w:r>
        <w:rPr>
          <w:b w:val="0"/>
        </w:rPr>
        <w:t>US News and World Report, UWA was rated in the top</w:t>
      </w:r>
      <w:r>
        <w:rPr>
          <w:b w:val="0"/>
          <w:spacing w:val="80"/>
        </w:rPr>
        <w:t> </w:t>
      </w:r>
      <w:r>
        <w:rPr>
          <w:b w:val="0"/>
        </w:rPr>
        <w:t>80 universities in the world.</w:t>
      </w:r>
    </w:p>
    <w:p>
      <w:pPr>
        <w:pStyle w:val="BodyText"/>
        <w:spacing w:before="47"/>
        <w:rPr>
          <w:b w:val="0"/>
        </w:rPr>
      </w:pPr>
    </w:p>
    <w:p>
      <w:pPr>
        <w:pStyle w:val="BodyText"/>
        <w:spacing w:line="295" w:lineRule="auto"/>
        <w:ind w:left="1133" w:right="46"/>
        <w:rPr>
          <w:b w:val="0"/>
        </w:rPr>
      </w:pPr>
      <w:r>
        <w:rPr>
          <w:b w:val="0"/>
        </w:rPr>
        <w:t>Our position amongst the world’s leading universities has</w:t>
      </w:r>
      <w:r>
        <w:rPr>
          <w:b w:val="0"/>
          <w:spacing w:val="40"/>
        </w:rPr>
        <w:t> </w:t>
      </w:r>
      <w:r>
        <w:rPr>
          <w:b w:val="0"/>
        </w:rPr>
        <w:t>been won by researchers who continue to make</w:t>
      </w:r>
      <w:r>
        <w:rPr>
          <w:b w:val="0"/>
          <w:spacing w:val="40"/>
        </w:rPr>
        <w:t> </w:t>
      </w:r>
      <w:r>
        <w:rPr>
          <w:b w:val="0"/>
        </w:rPr>
        <w:t>discoveries of global significance, including: exploring</w:t>
      </w:r>
      <w:r>
        <w:rPr>
          <w:b w:val="0"/>
          <w:spacing w:val="40"/>
        </w:rPr>
        <w:t> </w:t>
      </w:r>
      <w:r>
        <w:rPr>
          <w:b w:val="0"/>
        </w:rPr>
        <w:t>gravitational waves and the nature of the universe, the</w:t>
      </w:r>
      <w:r>
        <w:rPr>
          <w:b w:val="0"/>
          <w:spacing w:val="40"/>
        </w:rPr>
        <w:t> </w:t>
      </w:r>
      <w:r>
        <w:rPr>
          <w:b w:val="0"/>
        </w:rPr>
        <w:t>effects of bee venom on cancer cells, improving crop</w:t>
      </w:r>
      <w:r>
        <w:rPr>
          <w:b w:val="0"/>
          <w:spacing w:val="40"/>
        </w:rPr>
        <w:t> </w:t>
      </w:r>
      <w:r>
        <w:rPr>
          <w:b w:val="0"/>
        </w:rPr>
        <w:t>resilience, and finding new and better means of</w:t>
      </w:r>
      <w:r>
        <w:rPr>
          <w:b w:val="0"/>
          <w:spacing w:val="40"/>
        </w:rPr>
        <w:t> </w:t>
      </w:r>
      <w:r>
        <w:rPr>
          <w:b w:val="0"/>
        </w:rPr>
        <w:t>safeguarding the mental health of vulnerable people.</w:t>
      </w:r>
    </w:p>
    <w:p>
      <w:pPr>
        <w:pStyle w:val="BodyText"/>
        <w:spacing w:before="50"/>
        <w:rPr>
          <w:b w:val="0"/>
        </w:rPr>
      </w:pPr>
    </w:p>
    <w:p>
      <w:pPr>
        <w:pStyle w:val="BodyText"/>
        <w:spacing w:line="295" w:lineRule="auto" w:before="1"/>
        <w:ind w:left="1133" w:right="46"/>
        <w:rPr>
          <w:b w:val="0"/>
        </w:rPr>
      </w:pPr>
      <w:r>
        <w:rPr>
          <w:b w:val="0"/>
        </w:rPr>
        <w:t>As</w:t>
      </w:r>
      <w:r>
        <w:rPr>
          <w:b w:val="0"/>
          <w:spacing w:val="-4"/>
        </w:rPr>
        <w:t> </w:t>
      </w:r>
      <w:r>
        <w:rPr>
          <w:b w:val="0"/>
        </w:rPr>
        <w:t>we</w:t>
      </w:r>
      <w:r>
        <w:rPr>
          <w:b w:val="0"/>
          <w:spacing w:val="-4"/>
        </w:rPr>
        <w:t> </w:t>
      </w:r>
      <w:r>
        <w:rPr>
          <w:b w:val="0"/>
        </w:rPr>
        <w:t>look</w:t>
      </w:r>
      <w:r>
        <w:rPr>
          <w:b w:val="0"/>
          <w:spacing w:val="-4"/>
        </w:rPr>
        <w:t> </w:t>
      </w:r>
      <w:r>
        <w:rPr>
          <w:b w:val="0"/>
        </w:rPr>
        <w:t>back</w:t>
      </w:r>
      <w:r>
        <w:rPr>
          <w:b w:val="0"/>
          <w:spacing w:val="-4"/>
        </w:rPr>
        <w:t> </w:t>
      </w:r>
      <w:r>
        <w:rPr>
          <w:b w:val="0"/>
        </w:rPr>
        <w:t>on</w:t>
      </w:r>
      <w:r>
        <w:rPr>
          <w:b w:val="0"/>
          <w:spacing w:val="-4"/>
        </w:rPr>
        <w:t> </w:t>
      </w:r>
      <w:r>
        <w:rPr>
          <w:b w:val="0"/>
        </w:rPr>
        <w:t>2020,</w:t>
      </w:r>
      <w:r>
        <w:rPr>
          <w:b w:val="0"/>
          <w:spacing w:val="-4"/>
        </w:rPr>
        <w:t> </w:t>
      </w:r>
      <w:r>
        <w:rPr>
          <w:b w:val="0"/>
        </w:rPr>
        <w:t>we</w:t>
      </w:r>
      <w:r>
        <w:rPr>
          <w:b w:val="0"/>
          <w:spacing w:val="-4"/>
        </w:rPr>
        <w:t> </w:t>
      </w:r>
      <w:r>
        <w:rPr>
          <w:b w:val="0"/>
        </w:rPr>
        <w:t>have</w:t>
      </w:r>
      <w:r>
        <w:rPr>
          <w:b w:val="0"/>
          <w:spacing w:val="-4"/>
        </w:rPr>
        <w:t> </w:t>
      </w:r>
      <w:r>
        <w:rPr>
          <w:b w:val="0"/>
        </w:rPr>
        <w:t>discovered</w:t>
      </w:r>
      <w:r>
        <w:rPr>
          <w:b w:val="0"/>
          <w:spacing w:val="-4"/>
        </w:rPr>
        <w:t> </w:t>
      </w:r>
      <w:r>
        <w:rPr>
          <w:b w:val="0"/>
        </w:rPr>
        <w:t>that</w:t>
      </w:r>
      <w:r>
        <w:rPr>
          <w:b w:val="0"/>
          <w:spacing w:val="-4"/>
        </w:rPr>
        <w:t> </w:t>
      </w:r>
      <w:r>
        <w:rPr>
          <w:b w:val="0"/>
        </w:rPr>
        <w:t>we</w:t>
      </w:r>
      <w:r>
        <w:rPr>
          <w:b w:val="0"/>
          <w:spacing w:val="-4"/>
        </w:rPr>
        <w:t> </w:t>
      </w:r>
      <w:r>
        <w:rPr>
          <w:b w:val="0"/>
        </w:rPr>
        <w:t>are</w:t>
      </w:r>
      <w:r>
        <w:rPr>
          <w:b w:val="0"/>
          <w:spacing w:val="40"/>
        </w:rPr>
        <w:t> </w:t>
      </w:r>
      <w:r>
        <w:rPr>
          <w:b w:val="0"/>
        </w:rPr>
        <w:t>resilient and flexible. As we look ahead to 2021, we do so</w:t>
      </w:r>
      <w:r>
        <w:rPr>
          <w:b w:val="0"/>
          <w:spacing w:val="40"/>
        </w:rPr>
        <w:t> </w:t>
      </w:r>
      <w:r>
        <w:rPr>
          <w:b w:val="0"/>
        </w:rPr>
        <w:t>optimistically; we must live within our means while</w:t>
      </w:r>
      <w:r>
        <w:rPr>
          <w:b w:val="0"/>
          <w:spacing w:val="40"/>
        </w:rPr>
        <w:t> </w:t>
      </w:r>
      <w:r>
        <w:rPr>
          <w:b w:val="0"/>
        </w:rPr>
        <w:t>endeavouring to increase and strengthen those means.</w:t>
      </w:r>
    </w:p>
    <w:p>
      <w:pPr>
        <w:spacing w:line="240" w:lineRule="auto" w:before="0"/>
        <w:rPr>
          <w:rFonts w:ascii="TT Norms Pro Light"/>
          <w:b w:val="0"/>
          <w:sz w:val="18"/>
        </w:rPr>
      </w:pPr>
      <w:r>
        <w:rPr/>
        <w:br w:type="column"/>
      </w:r>
      <w:r>
        <w:rPr>
          <w:rFonts w:ascii="TT Norms Pro Light"/>
          <w:b w:val="0"/>
          <w:sz w:val="18"/>
        </w:rPr>
      </w:r>
    </w:p>
    <w:p>
      <w:pPr>
        <w:pStyle w:val="BodyText"/>
        <w:rPr>
          <w:b w:val="0"/>
        </w:rPr>
      </w:pPr>
    </w:p>
    <w:p>
      <w:pPr>
        <w:pStyle w:val="BodyText"/>
        <w:rPr>
          <w:b w:val="0"/>
        </w:rPr>
      </w:pPr>
    </w:p>
    <w:p>
      <w:pPr>
        <w:pStyle w:val="BodyText"/>
        <w:rPr>
          <w:b w:val="0"/>
        </w:rPr>
      </w:pPr>
    </w:p>
    <w:p>
      <w:pPr>
        <w:pStyle w:val="BodyText"/>
        <w:rPr>
          <w:b w:val="0"/>
        </w:rPr>
      </w:pPr>
    </w:p>
    <w:p>
      <w:pPr>
        <w:pStyle w:val="BodyText"/>
        <w:spacing w:before="169"/>
        <w:rPr>
          <w:b w:val="0"/>
        </w:rPr>
      </w:pPr>
    </w:p>
    <w:p>
      <w:pPr>
        <w:pStyle w:val="BodyText"/>
        <w:spacing w:line="295" w:lineRule="auto"/>
        <w:ind w:left="394" w:right="1697"/>
        <w:rPr>
          <w:b w:val="0"/>
        </w:rPr>
      </w:pPr>
      <w:r>
        <w:rPr>
          <w:b w:val="0"/>
        </w:rPr>
        <w:t>We must also ensure that we remain resolute and</w:t>
      </w:r>
      <w:r>
        <w:rPr>
          <w:b w:val="0"/>
          <w:spacing w:val="40"/>
        </w:rPr>
        <w:t> </w:t>
      </w:r>
      <w:r>
        <w:rPr>
          <w:b w:val="0"/>
        </w:rPr>
        <w:t>determined, for the sake of us all: the University</w:t>
      </w:r>
      <w:r>
        <w:rPr>
          <w:b w:val="0"/>
          <w:spacing w:val="40"/>
        </w:rPr>
        <w:t> </w:t>
      </w:r>
      <w:r>
        <w:rPr>
          <w:b w:val="0"/>
        </w:rPr>
        <w:t>community,</w:t>
      </w:r>
      <w:r>
        <w:rPr>
          <w:b w:val="0"/>
          <w:spacing w:val="-2"/>
        </w:rPr>
        <w:t> </w:t>
      </w:r>
      <w:r>
        <w:rPr>
          <w:b w:val="0"/>
        </w:rPr>
        <w:t>the</w:t>
      </w:r>
      <w:r>
        <w:rPr>
          <w:b w:val="0"/>
          <w:spacing w:val="-2"/>
        </w:rPr>
        <w:t> </w:t>
      </w:r>
      <w:r>
        <w:rPr>
          <w:b w:val="0"/>
        </w:rPr>
        <w:t>State</w:t>
      </w:r>
      <w:r>
        <w:rPr>
          <w:b w:val="0"/>
          <w:spacing w:val="-2"/>
        </w:rPr>
        <w:t> </w:t>
      </w:r>
      <w:r>
        <w:rPr>
          <w:b w:val="0"/>
        </w:rPr>
        <w:t>and</w:t>
      </w:r>
      <w:r>
        <w:rPr>
          <w:b w:val="0"/>
          <w:spacing w:val="-2"/>
        </w:rPr>
        <w:t> </w:t>
      </w:r>
      <w:r>
        <w:rPr>
          <w:b w:val="0"/>
        </w:rPr>
        <w:t>national</w:t>
      </w:r>
      <w:r>
        <w:rPr>
          <w:b w:val="0"/>
          <w:spacing w:val="-2"/>
        </w:rPr>
        <w:t> </w:t>
      </w:r>
      <w:r>
        <w:rPr>
          <w:b w:val="0"/>
        </w:rPr>
        <w:t>community,</w:t>
      </w:r>
      <w:r>
        <w:rPr>
          <w:b w:val="0"/>
          <w:spacing w:val="-2"/>
        </w:rPr>
        <w:t> </w:t>
      </w:r>
      <w:r>
        <w:rPr>
          <w:b w:val="0"/>
        </w:rPr>
        <w:t>and</w:t>
      </w:r>
      <w:r>
        <w:rPr>
          <w:b w:val="0"/>
          <w:spacing w:val="40"/>
        </w:rPr>
        <w:t> </w:t>
      </w:r>
      <w:r>
        <w:rPr>
          <w:b w:val="0"/>
        </w:rPr>
        <w:t>a world we have enhanced through our research</w:t>
      </w:r>
      <w:r>
        <w:rPr>
          <w:b w:val="0"/>
          <w:spacing w:val="40"/>
        </w:rPr>
        <w:t> </w:t>
      </w:r>
      <w:r>
        <w:rPr>
          <w:b w:val="0"/>
        </w:rPr>
        <w:t>and our teaching.</w:t>
      </w:r>
    </w:p>
    <w:p>
      <w:pPr>
        <w:pStyle w:val="BodyText"/>
        <w:spacing w:before="49"/>
        <w:rPr>
          <w:b w:val="0"/>
        </w:rPr>
      </w:pPr>
    </w:p>
    <w:p>
      <w:pPr>
        <w:pStyle w:val="BodyText"/>
        <w:spacing w:line="295" w:lineRule="auto"/>
        <w:ind w:left="394" w:right="1644"/>
        <w:rPr>
          <w:b w:val="0"/>
        </w:rPr>
      </w:pPr>
      <w:r>
        <w:rPr>
          <w:b w:val="0"/>
        </w:rPr>
        <w:t>We are custodians of this great University. We have</w:t>
      </w:r>
      <w:r>
        <w:rPr>
          <w:b w:val="0"/>
          <w:spacing w:val="40"/>
        </w:rPr>
        <w:t> </w:t>
      </w:r>
      <w:r>
        <w:rPr>
          <w:b w:val="0"/>
        </w:rPr>
        <w:t>a future and generations of future students to serve.</w:t>
      </w:r>
    </w:p>
    <w:p>
      <w:pPr>
        <w:pStyle w:val="BodyText"/>
        <w:spacing w:before="2"/>
        <w:ind w:left="394"/>
        <w:rPr>
          <w:b w:val="0"/>
        </w:rPr>
      </w:pPr>
      <w:r>
        <w:rPr>
          <w:b w:val="0"/>
        </w:rPr>
        <w:t>The</w:t>
      </w:r>
      <w:r>
        <w:rPr>
          <w:b w:val="0"/>
          <w:spacing w:val="2"/>
        </w:rPr>
        <w:t> </w:t>
      </w:r>
      <w:r>
        <w:rPr>
          <w:b w:val="0"/>
        </w:rPr>
        <w:t>University</w:t>
      </w:r>
      <w:r>
        <w:rPr>
          <w:b w:val="0"/>
          <w:spacing w:val="2"/>
        </w:rPr>
        <w:t> </w:t>
      </w:r>
      <w:r>
        <w:rPr>
          <w:b w:val="0"/>
        </w:rPr>
        <w:t>has</w:t>
      </w:r>
      <w:r>
        <w:rPr>
          <w:b w:val="0"/>
          <w:spacing w:val="2"/>
        </w:rPr>
        <w:t> </w:t>
      </w:r>
      <w:r>
        <w:rPr>
          <w:b w:val="0"/>
        </w:rPr>
        <w:t>already</w:t>
      </w:r>
      <w:r>
        <w:rPr>
          <w:b w:val="0"/>
          <w:spacing w:val="3"/>
        </w:rPr>
        <w:t> </w:t>
      </w:r>
      <w:r>
        <w:rPr>
          <w:b w:val="0"/>
        </w:rPr>
        <w:t>taken</w:t>
      </w:r>
      <w:r>
        <w:rPr>
          <w:b w:val="0"/>
          <w:spacing w:val="2"/>
        </w:rPr>
        <w:t> </w:t>
      </w:r>
      <w:r>
        <w:rPr>
          <w:b w:val="0"/>
        </w:rPr>
        <w:t>steps</w:t>
      </w:r>
      <w:r>
        <w:rPr>
          <w:b w:val="0"/>
          <w:spacing w:val="2"/>
        </w:rPr>
        <w:t> </w:t>
      </w:r>
      <w:r>
        <w:rPr>
          <w:b w:val="0"/>
        </w:rPr>
        <w:t>to</w:t>
      </w:r>
      <w:r>
        <w:rPr>
          <w:b w:val="0"/>
          <w:spacing w:val="3"/>
        </w:rPr>
        <w:t> </w:t>
      </w:r>
      <w:r>
        <w:rPr>
          <w:b w:val="0"/>
          <w:spacing w:val="-2"/>
        </w:rPr>
        <w:t>strengthen</w:t>
      </w:r>
    </w:p>
    <w:p>
      <w:pPr>
        <w:pStyle w:val="BodyText"/>
        <w:spacing w:before="49"/>
        <w:ind w:left="394"/>
        <w:rPr>
          <w:b w:val="0"/>
        </w:rPr>
      </w:pPr>
      <w:r>
        <w:rPr>
          <w:b w:val="0"/>
        </w:rPr>
        <w:t>our</w:t>
      </w:r>
      <w:r>
        <w:rPr>
          <w:b w:val="0"/>
          <w:spacing w:val="3"/>
        </w:rPr>
        <w:t> </w:t>
      </w:r>
      <w:r>
        <w:rPr>
          <w:b w:val="0"/>
        </w:rPr>
        <w:t>core</w:t>
      </w:r>
      <w:r>
        <w:rPr>
          <w:b w:val="0"/>
          <w:spacing w:val="4"/>
        </w:rPr>
        <w:t> </w:t>
      </w:r>
      <w:r>
        <w:rPr>
          <w:b w:val="0"/>
        </w:rPr>
        <w:t>and</w:t>
      </w:r>
      <w:r>
        <w:rPr>
          <w:b w:val="0"/>
          <w:spacing w:val="4"/>
        </w:rPr>
        <w:t> </w:t>
      </w:r>
      <w:r>
        <w:rPr>
          <w:b w:val="0"/>
        </w:rPr>
        <w:t>protect</w:t>
      </w:r>
      <w:r>
        <w:rPr>
          <w:b w:val="0"/>
          <w:spacing w:val="4"/>
        </w:rPr>
        <w:t> </w:t>
      </w:r>
      <w:r>
        <w:rPr>
          <w:b w:val="0"/>
        </w:rPr>
        <w:t>and</w:t>
      </w:r>
      <w:r>
        <w:rPr>
          <w:b w:val="0"/>
          <w:spacing w:val="3"/>
        </w:rPr>
        <w:t> </w:t>
      </w:r>
      <w:r>
        <w:rPr>
          <w:b w:val="0"/>
        </w:rPr>
        <w:t>preserve</w:t>
      </w:r>
      <w:r>
        <w:rPr>
          <w:b w:val="0"/>
          <w:spacing w:val="4"/>
        </w:rPr>
        <w:t> </w:t>
      </w:r>
      <w:r>
        <w:rPr>
          <w:b w:val="0"/>
        </w:rPr>
        <w:t>our</w:t>
      </w:r>
      <w:r>
        <w:rPr>
          <w:b w:val="0"/>
          <w:spacing w:val="4"/>
        </w:rPr>
        <w:t> </w:t>
      </w:r>
      <w:r>
        <w:rPr>
          <w:b w:val="0"/>
        </w:rPr>
        <w:t>primary</w:t>
      </w:r>
      <w:r>
        <w:rPr>
          <w:b w:val="0"/>
          <w:spacing w:val="4"/>
        </w:rPr>
        <w:t> </w:t>
      </w:r>
      <w:r>
        <w:rPr>
          <w:b w:val="0"/>
          <w:spacing w:val="-2"/>
        </w:rPr>
        <w:t>functions.</w:t>
      </w:r>
    </w:p>
    <w:p>
      <w:pPr>
        <w:pStyle w:val="BodyText"/>
        <w:spacing w:before="94"/>
        <w:rPr>
          <w:b w:val="0"/>
        </w:rPr>
      </w:pPr>
    </w:p>
    <w:p>
      <w:pPr>
        <w:pStyle w:val="BodyText"/>
        <w:spacing w:line="295" w:lineRule="auto"/>
        <w:ind w:left="394" w:right="1177"/>
        <w:rPr>
          <w:b w:val="0"/>
        </w:rPr>
      </w:pPr>
      <w:r>
        <w:rPr>
          <w:b w:val="0"/>
        </w:rPr>
        <w:t>There will be many challenges ahead. We will face them</w:t>
      </w:r>
      <w:r>
        <w:rPr>
          <w:b w:val="0"/>
          <w:spacing w:val="40"/>
        </w:rPr>
        <w:t> </w:t>
      </w:r>
      <w:r>
        <w:rPr>
          <w:b w:val="0"/>
        </w:rPr>
        <w:t>with determination, confidence in each other’s abilities</w:t>
      </w:r>
      <w:r>
        <w:rPr>
          <w:b w:val="0"/>
          <w:spacing w:val="40"/>
        </w:rPr>
        <w:t> </w:t>
      </w:r>
      <w:r>
        <w:rPr>
          <w:b w:val="0"/>
        </w:rPr>
        <w:t>and resilience, and respect for each other’s achievements.</w:t>
      </w:r>
      <w:r>
        <w:rPr>
          <w:b w:val="0"/>
          <w:spacing w:val="40"/>
        </w:rPr>
        <w:t> </w:t>
      </w:r>
      <w:r>
        <w:rPr>
          <w:b w:val="0"/>
        </w:rPr>
        <w:t>Together, we will ensure that The University of Western</w:t>
      </w:r>
      <w:r>
        <w:rPr>
          <w:b w:val="0"/>
          <w:spacing w:val="40"/>
        </w:rPr>
        <w:t> </w:t>
      </w:r>
      <w:r>
        <w:rPr>
          <w:b w:val="0"/>
        </w:rPr>
        <w:t>Australia remains an outstanding contributor to the</w:t>
      </w:r>
      <w:r>
        <w:rPr>
          <w:b w:val="0"/>
          <w:spacing w:val="40"/>
        </w:rPr>
        <w:t> </w:t>
      </w:r>
      <w:r>
        <w:rPr>
          <w:b w:val="0"/>
        </w:rPr>
        <w:t>prosperity and welfare of the people of Western Australia.</w:t>
      </w:r>
    </w:p>
    <w:p>
      <w:pPr>
        <w:pStyle w:val="BodyText"/>
        <w:spacing w:before="52"/>
        <w:rPr>
          <w:b w:val="0"/>
          <w:sz w:val="20"/>
        </w:rPr>
      </w:pPr>
      <w:r>
        <w:rPr/>
        <mc:AlternateContent>
          <mc:Choice Requires="wps">
            <w:drawing>
              <wp:anchor distT="0" distB="0" distL="0" distR="0" allowOverlap="1" layoutInCell="1" locked="0" behindDoc="1" simplePos="0" relativeHeight="487593472">
                <wp:simplePos x="0" y="0"/>
                <wp:positionH relativeFrom="page">
                  <wp:posOffset>3877246</wp:posOffset>
                </wp:positionH>
                <wp:positionV relativeFrom="paragraph">
                  <wp:posOffset>197184</wp:posOffset>
                </wp:positionV>
                <wp:extent cx="1348105" cy="421640"/>
                <wp:effectExtent l="0" t="0" r="0" b="0"/>
                <wp:wrapTopAndBottom/>
                <wp:docPr id="37" name="Graphic 37"/>
                <wp:cNvGraphicFramePr>
                  <a:graphicFrameLocks/>
                </wp:cNvGraphicFramePr>
                <a:graphic>
                  <a:graphicData uri="http://schemas.microsoft.com/office/word/2010/wordprocessingShape">
                    <wps:wsp>
                      <wps:cNvPr id="37" name="Graphic 37"/>
                      <wps:cNvSpPr/>
                      <wps:spPr>
                        <a:xfrm>
                          <a:off x="0" y="0"/>
                          <a:ext cx="1348105" cy="421640"/>
                        </a:xfrm>
                        <a:custGeom>
                          <a:avLst/>
                          <a:gdLst/>
                          <a:ahLst/>
                          <a:cxnLst/>
                          <a:rect l="l" t="t" r="r" b="b"/>
                          <a:pathLst>
                            <a:path w="1348105" h="421640">
                              <a:moveTo>
                                <a:pt x="882421" y="319849"/>
                              </a:moveTo>
                              <a:lnTo>
                                <a:pt x="821626" y="316636"/>
                              </a:lnTo>
                              <a:lnTo>
                                <a:pt x="803160" y="316052"/>
                              </a:lnTo>
                              <a:lnTo>
                                <a:pt x="788416" y="314629"/>
                              </a:lnTo>
                              <a:lnTo>
                                <a:pt x="778713" y="310172"/>
                              </a:lnTo>
                              <a:lnTo>
                                <a:pt x="773188" y="301320"/>
                              </a:lnTo>
                              <a:lnTo>
                                <a:pt x="770978" y="286778"/>
                              </a:lnTo>
                              <a:lnTo>
                                <a:pt x="770902" y="271614"/>
                              </a:lnTo>
                              <a:lnTo>
                                <a:pt x="772502" y="241211"/>
                              </a:lnTo>
                              <a:lnTo>
                                <a:pt x="772871" y="226009"/>
                              </a:lnTo>
                              <a:lnTo>
                                <a:pt x="772820" y="219608"/>
                              </a:lnTo>
                              <a:lnTo>
                                <a:pt x="768248" y="213245"/>
                              </a:lnTo>
                              <a:lnTo>
                                <a:pt x="765746" y="206870"/>
                              </a:lnTo>
                              <a:lnTo>
                                <a:pt x="763320" y="212940"/>
                              </a:lnTo>
                              <a:lnTo>
                                <a:pt x="758952" y="218960"/>
                              </a:lnTo>
                              <a:lnTo>
                                <a:pt x="758444" y="247319"/>
                              </a:lnTo>
                              <a:lnTo>
                                <a:pt x="758469" y="315633"/>
                              </a:lnTo>
                              <a:lnTo>
                                <a:pt x="485165" y="325120"/>
                              </a:lnTo>
                              <a:lnTo>
                                <a:pt x="484085" y="321487"/>
                              </a:lnTo>
                              <a:lnTo>
                                <a:pt x="492099" y="318998"/>
                              </a:lnTo>
                              <a:lnTo>
                                <a:pt x="499948" y="315620"/>
                              </a:lnTo>
                              <a:lnTo>
                                <a:pt x="508139" y="314185"/>
                              </a:lnTo>
                              <a:lnTo>
                                <a:pt x="552831" y="307632"/>
                              </a:lnTo>
                              <a:lnTo>
                                <a:pt x="567575" y="304825"/>
                              </a:lnTo>
                              <a:lnTo>
                                <a:pt x="573328" y="303542"/>
                              </a:lnTo>
                              <a:lnTo>
                                <a:pt x="577634" y="295643"/>
                              </a:lnTo>
                              <a:lnTo>
                                <a:pt x="582587" y="290791"/>
                              </a:lnTo>
                              <a:lnTo>
                                <a:pt x="576935" y="288188"/>
                              </a:lnTo>
                              <a:lnTo>
                                <a:pt x="571322" y="283425"/>
                              </a:lnTo>
                              <a:lnTo>
                                <a:pt x="496150" y="282816"/>
                              </a:lnTo>
                              <a:lnTo>
                                <a:pt x="426656" y="283146"/>
                              </a:lnTo>
                              <a:lnTo>
                                <a:pt x="388988" y="283768"/>
                              </a:lnTo>
                              <a:lnTo>
                                <a:pt x="92925" y="290677"/>
                              </a:lnTo>
                              <a:lnTo>
                                <a:pt x="84277" y="289979"/>
                              </a:lnTo>
                              <a:lnTo>
                                <a:pt x="66382" y="235381"/>
                              </a:lnTo>
                              <a:lnTo>
                                <a:pt x="64592" y="197472"/>
                              </a:lnTo>
                              <a:lnTo>
                                <a:pt x="65430" y="155079"/>
                              </a:lnTo>
                              <a:lnTo>
                                <a:pt x="68173" y="70294"/>
                              </a:lnTo>
                              <a:lnTo>
                                <a:pt x="69278" y="27901"/>
                              </a:lnTo>
                              <a:lnTo>
                                <a:pt x="68605" y="20942"/>
                              </a:lnTo>
                              <a:lnTo>
                                <a:pt x="66776" y="13970"/>
                              </a:lnTo>
                              <a:lnTo>
                                <a:pt x="62306" y="0"/>
                              </a:lnTo>
                              <a:lnTo>
                                <a:pt x="54089" y="1181"/>
                              </a:lnTo>
                              <a:lnTo>
                                <a:pt x="48107" y="67894"/>
                              </a:lnTo>
                              <a:lnTo>
                                <a:pt x="44411" y="101104"/>
                              </a:lnTo>
                              <a:lnTo>
                                <a:pt x="38874" y="133921"/>
                              </a:lnTo>
                              <a:lnTo>
                                <a:pt x="30937" y="165328"/>
                              </a:lnTo>
                              <a:lnTo>
                                <a:pt x="21107" y="196329"/>
                              </a:lnTo>
                              <a:lnTo>
                                <a:pt x="0" y="258038"/>
                              </a:lnTo>
                              <a:lnTo>
                                <a:pt x="8953" y="261289"/>
                              </a:lnTo>
                              <a:lnTo>
                                <a:pt x="49047" y="156273"/>
                              </a:lnTo>
                              <a:lnTo>
                                <a:pt x="56159" y="289801"/>
                              </a:lnTo>
                              <a:lnTo>
                                <a:pt x="39700" y="287045"/>
                              </a:lnTo>
                              <a:lnTo>
                                <a:pt x="31813" y="285991"/>
                              </a:lnTo>
                              <a:lnTo>
                                <a:pt x="24028" y="285597"/>
                              </a:lnTo>
                              <a:lnTo>
                                <a:pt x="19062" y="285635"/>
                              </a:lnTo>
                              <a:lnTo>
                                <a:pt x="14147" y="290830"/>
                              </a:lnTo>
                              <a:lnTo>
                                <a:pt x="9207" y="293674"/>
                              </a:lnTo>
                              <a:lnTo>
                                <a:pt x="13538" y="297624"/>
                              </a:lnTo>
                              <a:lnTo>
                                <a:pt x="17335" y="303847"/>
                              </a:lnTo>
                              <a:lnTo>
                                <a:pt x="30124" y="306819"/>
                              </a:lnTo>
                              <a:lnTo>
                                <a:pt x="56743" y="303885"/>
                              </a:lnTo>
                              <a:lnTo>
                                <a:pt x="61976" y="305904"/>
                              </a:lnTo>
                              <a:lnTo>
                                <a:pt x="66865" y="336537"/>
                              </a:lnTo>
                              <a:lnTo>
                                <a:pt x="70446" y="355841"/>
                              </a:lnTo>
                              <a:lnTo>
                                <a:pt x="79248" y="398614"/>
                              </a:lnTo>
                              <a:lnTo>
                                <a:pt x="83807" y="402158"/>
                              </a:lnTo>
                              <a:lnTo>
                                <a:pt x="86690" y="406057"/>
                              </a:lnTo>
                              <a:lnTo>
                                <a:pt x="88976" y="402170"/>
                              </a:lnTo>
                              <a:lnTo>
                                <a:pt x="93408" y="398145"/>
                              </a:lnTo>
                              <a:lnTo>
                                <a:pt x="92329" y="384556"/>
                              </a:lnTo>
                              <a:lnTo>
                                <a:pt x="91122" y="374713"/>
                              </a:lnTo>
                              <a:lnTo>
                                <a:pt x="89662" y="364896"/>
                              </a:lnTo>
                              <a:lnTo>
                                <a:pt x="85864" y="343268"/>
                              </a:lnTo>
                              <a:lnTo>
                                <a:pt x="78613" y="306806"/>
                              </a:lnTo>
                              <a:lnTo>
                                <a:pt x="495325" y="294627"/>
                              </a:lnTo>
                              <a:lnTo>
                                <a:pt x="496404" y="300050"/>
                              </a:lnTo>
                              <a:lnTo>
                                <a:pt x="488988" y="301980"/>
                              </a:lnTo>
                              <a:lnTo>
                                <a:pt x="481672" y="304596"/>
                              </a:lnTo>
                              <a:lnTo>
                                <a:pt x="392582" y="317614"/>
                              </a:lnTo>
                              <a:lnTo>
                                <a:pt x="360553" y="322859"/>
                              </a:lnTo>
                              <a:lnTo>
                                <a:pt x="356895" y="331165"/>
                              </a:lnTo>
                              <a:lnTo>
                                <a:pt x="352666" y="336016"/>
                              </a:lnTo>
                              <a:lnTo>
                                <a:pt x="357124" y="339280"/>
                              </a:lnTo>
                              <a:lnTo>
                                <a:pt x="361149" y="343890"/>
                              </a:lnTo>
                              <a:lnTo>
                                <a:pt x="372008" y="347306"/>
                              </a:lnTo>
                              <a:lnTo>
                                <a:pt x="378752" y="347192"/>
                              </a:lnTo>
                              <a:lnTo>
                                <a:pt x="481888" y="339534"/>
                              </a:lnTo>
                              <a:lnTo>
                                <a:pt x="514197" y="337858"/>
                              </a:lnTo>
                              <a:lnTo>
                                <a:pt x="562216" y="336169"/>
                              </a:lnTo>
                              <a:lnTo>
                                <a:pt x="658279" y="333489"/>
                              </a:lnTo>
                              <a:lnTo>
                                <a:pt x="754354" y="331597"/>
                              </a:lnTo>
                              <a:lnTo>
                                <a:pt x="763397" y="332270"/>
                              </a:lnTo>
                              <a:lnTo>
                                <a:pt x="772477" y="334276"/>
                              </a:lnTo>
                              <a:lnTo>
                                <a:pt x="781494" y="337108"/>
                              </a:lnTo>
                              <a:lnTo>
                                <a:pt x="790295" y="340271"/>
                              </a:lnTo>
                              <a:lnTo>
                                <a:pt x="798728" y="343598"/>
                              </a:lnTo>
                              <a:lnTo>
                                <a:pt x="806640" y="345579"/>
                              </a:lnTo>
                              <a:lnTo>
                                <a:pt x="813904" y="343611"/>
                              </a:lnTo>
                              <a:lnTo>
                                <a:pt x="820420" y="335140"/>
                              </a:lnTo>
                              <a:lnTo>
                                <a:pt x="821867" y="332168"/>
                              </a:lnTo>
                              <a:lnTo>
                                <a:pt x="829119" y="331165"/>
                              </a:lnTo>
                              <a:lnTo>
                                <a:pt x="841908" y="330428"/>
                              </a:lnTo>
                              <a:lnTo>
                                <a:pt x="858139" y="330136"/>
                              </a:lnTo>
                              <a:lnTo>
                                <a:pt x="870623" y="328968"/>
                              </a:lnTo>
                              <a:lnTo>
                                <a:pt x="874598" y="324675"/>
                              </a:lnTo>
                              <a:lnTo>
                                <a:pt x="882421" y="319849"/>
                              </a:lnTo>
                              <a:close/>
                            </a:path>
                            <a:path w="1348105" h="421640">
                              <a:moveTo>
                                <a:pt x="1347939" y="420458"/>
                              </a:moveTo>
                              <a:lnTo>
                                <a:pt x="1294536" y="405917"/>
                              </a:lnTo>
                              <a:lnTo>
                                <a:pt x="1241183" y="401091"/>
                              </a:lnTo>
                              <a:lnTo>
                                <a:pt x="1187691" y="398424"/>
                              </a:lnTo>
                              <a:lnTo>
                                <a:pt x="1134059" y="397598"/>
                              </a:lnTo>
                              <a:lnTo>
                                <a:pt x="1080287" y="398310"/>
                              </a:lnTo>
                              <a:lnTo>
                                <a:pt x="1026388" y="400240"/>
                              </a:lnTo>
                              <a:lnTo>
                                <a:pt x="1035304" y="395058"/>
                              </a:lnTo>
                              <a:lnTo>
                                <a:pt x="1074407" y="373684"/>
                              </a:lnTo>
                              <a:lnTo>
                                <a:pt x="1106678" y="343903"/>
                              </a:lnTo>
                              <a:lnTo>
                                <a:pt x="1110564" y="325056"/>
                              </a:lnTo>
                              <a:lnTo>
                                <a:pt x="1103972" y="307098"/>
                              </a:lnTo>
                              <a:lnTo>
                                <a:pt x="1067930" y="284353"/>
                              </a:lnTo>
                              <a:lnTo>
                                <a:pt x="1014806" y="275539"/>
                              </a:lnTo>
                              <a:lnTo>
                                <a:pt x="961377" y="268808"/>
                              </a:lnTo>
                              <a:lnTo>
                                <a:pt x="929043" y="267487"/>
                              </a:lnTo>
                              <a:lnTo>
                                <a:pt x="912799" y="267982"/>
                              </a:lnTo>
                              <a:lnTo>
                                <a:pt x="890917" y="269290"/>
                              </a:lnTo>
                              <a:lnTo>
                                <a:pt x="885723" y="276872"/>
                              </a:lnTo>
                              <a:lnTo>
                                <a:pt x="880313" y="281152"/>
                              </a:lnTo>
                              <a:lnTo>
                                <a:pt x="884694" y="283946"/>
                              </a:lnTo>
                              <a:lnTo>
                                <a:pt x="889025" y="289077"/>
                              </a:lnTo>
                              <a:lnTo>
                                <a:pt x="924839" y="289433"/>
                              </a:lnTo>
                              <a:lnTo>
                                <a:pt x="987552" y="289737"/>
                              </a:lnTo>
                              <a:lnTo>
                                <a:pt x="1035824" y="294919"/>
                              </a:lnTo>
                              <a:lnTo>
                                <a:pt x="1085545" y="315315"/>
                              </a:lnTo>
                              <a:lnTo>
                                <a:pt x="1095400" y="328218"/>
                              </a:lnTo>
                              <a:lnTo>
                                <a:pt x="1093698" y="336143"/>
                              </a:lnTo>
                              <a:lnTo>
                                <a:pt x="1062469" y="362432"/>
                              </a:lnTo>
                              <a:lnTo>
                                <a:pt x="1012215" y="381330"/>
                              </a:lnTo>
                              <a:lnTo>
                                <a:pt x="970788" y="394703"/>
                              </a:lnTo>
                              <a:lnTo>
                                <a:pt x="964298" y="396570"/>
                              </a:lnTo>
                              <a:lnTo>
                                <a:pt x="958075" y="398970"/>
                              </a:lnTo>
                              <a:lnTo>
                                <a:pt x="954151" y="403174"/>
                              </a:lnTo>
                              <a:lnTo>
                                <a:pt x="954582" y="410387"/>
                              </a:lnTo>
                              <a:lnTo>
                                <a:pt x="956449" y="415632"/>
                              </a:lnTo>
                              <a:lnTo>
                                <a:pt x="967727" y="420611"/>
                              </a:lnTo>
                              <a:lnTo>
                                <a:pt x="1014133" y="419303"/>
                              </a:lnTo>
                              <a:lnTo>
                                <a:pt x="1093152" y="416255"/>
                              </a:lnTo>
                              <a:lnTo>
                                <a:pt x="1132662" y="415747"/>
                              </a:lnTo>
                              <a:lnTo>
                                <a:pt x="1181696" y="416483"/>
                              </a:lnTo>
                              <a:lnTo>
                                <a:pt x="1230744" y="417957"/>
                              </a:lnTo>
                              <a:lnTo>
                                <a:pt x="1335176" y="421589"/>
                              </a:lnTo>
                              <a:lnTo>
                                <a:pt x="1341564" y="420789"/>
                              </a:lnTo>
                              <a:lnTo>
                                <a:pt x="1347939" y="420458"/>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305.295013pt;margin-top:15.526303pt;width:106.15pt;height:33.2pt;mso-position-horizontal-relative:page;mso-position-vertical-relative:paragraph;z-index:-15723008;mso-wrap-distance-left:0;mso-wrap-distance-right:0" id="docshape29" coordorigin="6106,311" coordsize="2123,664" path="m7496,814l7400,809,7371,808,7348,806,7332,799,7324,785,7320,762,7320,738,7322,690,7323,666,7323,656,7316,646,7312,636,7308,646,7301,655,7300,700,7300,808,6870,823,6868,817,6881,813,6893,808,6906,805,6977,795,7000,791,7009,789,7016,776,7023,768,7014,764,7006,757,6887,756,6778,756,6718,757,6252,768,6239,767,6228,763,6220,754,6216,741,6210,681,6208,651,6208,622,6209,555,6213,421,6215,354,6214,344,6211,333,6204,311,6191,312,6182,417,6176,470,6167,521,6155,571,6139,620,6106,717,6120,722,6183,557,6194,767,6168,763,6156,761,6144,760,6136,760,6128,769,6120,773,6127,779,6133,789,6153,794,6195,789,6204,792,6211,841,6217,871,6231,938,6238,944,6242,950,6246,944,6253,938,6251,916,6249,901,6247,885,6241,851,6230,794,6886,775,6888,783,6876,786,6864,790,6724,811,6674,819,6668,832,6661,840,6668,845,6675,852,6692,857,6702,857,6865,845,6916,843,6991,840,7143,836,7294,833,7308,834,7322,837,7337,841,7350,846,7364,852,7376,855,7388,852,7398,838,7400,834,7412,832,7432,831,7457,830,7477,829,7483,822,7496,814xm8229,973l8228,961,8145,950,8061,942,7976,938,7892,937,7807,938,7722,941,7736,933,7765,920,7778,912,7798,899,7818,885,7836,870,7849,852,7855,822,7844,794,7821,771,7788,758,7746,751,7704,744,7662,739,7620,734,7595,732,7569,732,7543,733,7509,735,7501,747,7492,753,7499,758,7506,766,7562,766,7612,766,7661,767,7710,770,7737,775,7764,784,7790,795,7815,807,7827,816,7831,827,7828,840,7819,852,7806,862,7793,872,7779,881,7765,888,7732,900,7700,911,7635,932,7624,935,7615,939,7609,945,7609,957,7612,965,7630,973,7703,971,7827,966,7890,965,7967,966,8044,969,8209,974,8219,973,8229,973xe" filled="true" fillcolor="#000000" stroked="false">
                <v:path arrowok="t"/>
                <v:fill type="solid"/>
                <w10:wrap type="topAndBottom"/>
              </v:shape>
            </w:pict>
          </mc:Fallback>
        </mc:AlternateContent>
      </w:r>
    </w:p>
    <w:p>
      <w:pPr>
        <w:pStyle w:val="BodyText"/>
        <w:spacing w:before="115"/>
        <w:rPr>
          <w:b w:val="0"/>
        </w:rPr>
      </w:pPr>
    </w:p>
    <w:p>
      <w:pPr>
        <w:pStyle w:val="BodyText"/>
        <w:spacing w:line="295" w:lineRule="auto" w:before="1"/>
        <w:ind w:left="394" w:right="3868"/>
        <w:rPr>
          <w:b w:val="0"/>
        </w:rPr>
      </w:pPr>
      <w:r>
        <w:rPr>
          <w:b w:val="0"/>
        </w:rPr>
        <w:t>Professor</w:t>
      </w:r>
      <w:r>
        <w:rPr>
          <w:b w:val="0"/>
          <w:spacing w:val="-9"/>
        </w:rPr>
        <w:t> </w:t>
      </w:r>
      <w:r>
        <w:rPr>
          <w:b w:val="0"/>
        </w:rPr>
        <w:t>Amit</w:t>
      </w:r>
      <w:r>
        <w:rPr>
          <w:b w:val="0"/>
          <w:spacing w:val="-9"/>
        </w:rPr>
        <w:t> </w:t>
      </w:r>
      <w:r>
        <w:rPr>
          <w:b w:val="0"/>
        </w:rPr>
        <w:t>Chakma</w:t>
      </w:r>
      <w:r>
        <w:rPr>
          <w:b w:val="0"/>
          <w:spacing w:val="40"/>
        </w:rPr>
        <w:t> </w:t>
      </w:r>
      <w:r>
        <w:rPr>
          <w:b w:val="0"/>
          <w:spacing w:val="-2"/>
        </w:rPr>
        <w:t>Vice-Chancellor</w:t>
      </w:r>
    </w:p>
    <w:p>
      <w:pPr>
        <w:spacing w:after="0" w:line="295" w:lineRule="auto"/>
        <w:sectPr>
          <w:type w:val="continuous"/>
          <w:pgSz w:w="11910" w:h="16840"/>
          <w:pgMar w:header="468" w:footer="0" w:top="980" w:bottom="280" w:left="0" w:right="0"/>
          <w:cols w:num="2" w:equalWidth="0">
            <w:col w:w="5717" w:space="40"/>
            <w:col w:w="6153"/>
          </w:cols>
        </w:sectPr>
      </w:pPr>
    </w:p>
    <w:p>
      <w:pPr>
        <w:spacing w:before="107"/>
        <w:ind w:left="0" w:right="111" w:firstLine="0"/>
        <w:jc w:val="right"/>
        <w:rPr>
          <w:rFonts w:ascii="TT Norms Pro"/>
          <w:b/>
          <w:sz w:val="18"/>
        </w:rPr>
      </w:pPr>
      <w:r>
        <w:rPr/>
        <mc:AlternateContent>
          <mc:Choice Requires="wps">
            <w:drawing>
              <wp:anchor distT="0" distB="0" distL="0" distR="0" allowOverlap="1" layoutInCell="1" locked="0" behindDoc="1" simplePos="0" relativeHeight="472588800">
                <wp:simplePos x="0" y="0"/>
                <wp:positionH relativeFrom="page">
                  <wp:posOffset>1413802</wp:posOffset>
                </wp:positionH>
                <wp:positionV relativeFrom="page">
                  <wp:posOffset>12</wp:posOffset>
                </wp:positionV>
                <wp:extent cx="9278620" cy="7560309"/>
                <wp:effectExtent l="0" t="0" r="0" b="0"/>
                <wp:wrapNone/>
                <wp:docPr id="38" name="Group 38"/>
                <wp:cNvGraphicFramePr>
                  <a:graphicFrameLocks/>
                </wp:cNvGraphicFramePr>
                <a:graphic>
                  <a:graphicData uri="http://schemas.microsoft.com/office/word/2010/wordprocessingGroup">
                    <wpg:wgp>
                      <wpg:cNvPr id="38" name="Group 38"/>
                      <wpg:cNvGrpSpPr/>
                      <wpg:grpSpPr>
                        <a:xfrm>
                          <a:off x="0" y="0"/>
                          <a:ext cx="9278620" cy="7560309"/>
                          <a:chExt cx="9278620" cy="7560309"/>
                        </a:xfrm>
                      </wpg:grpSpPr>
                      <pic:pic>
                        <pic:nvPicPr>
                          <pic:cNvPr id="39" name="Image 39"/>
                          <pic:cNvPicPr/>
                        </pic:nvPicPr>
                        <pic:blipFill>
                          <a:blip r:embed="rId22" cstate="print"/>
                          <a:stretch>
                            <a:fillRect/>
                          </a:stretch>
                        </pic:blipFill>
                        <pic:spPr>
                          <a:xfrm>
                            <a:off x="17400" y="0"/>
                            <a:ext cx="9260800" cy="7559992"/>
                          </a:xfrm>
                          <a:prstGeom prst="rect">
                            <a:avLst/>
                          </a:prstGeom>
                        </pic:spPr>
                      </pic:pic>
                      <wps:wsp>
                        <wps:cNvPr id="40" name="Graphic 40"/>
                        <wps:cNvSpPr/>
                        <wps:spPr>
                          <a:xfrm>
                            <a:off x="0" y="0"/>
                            <a:ext cx="9278620" cy="7560309"/>
                          </a:xfrm>
                          <a:custGeom>
                            <a:avLst/>
                            <a:gdLst/>
                            <a:ahLst/>
                            <a:cxnLst/>
                            <a:rect l="l" t="t" r="r" b="b"/>
                            <a:pathLst>
                              <a:path w="9278620" h="7560309">
                                <a:moveTo>
                                  <a:pt x="906399" y="4967986"/>
                                </a:moveTo>
                                <a:lnTo>
                                  <a:pt x="0" y="4967986"/>
                                </a:lnTo>
                                <a:lnTo>
                                  <a:pt x="0" y="7559992"/>
                                </a:lnTo>
                                <a:lnTo>
                                  <a:pt x="906399" y="7559992"/>
                                </a:lnTo>
                                <a:lnTo>
                                  <a:pt x="906399" y="4967986"/>
                                </a:lnTo>
                                <a:close/>
                              </a:path>
                              <a:path w="9278620" h="7560309">
                                <a:moveTo>
                                  <a:pt x="9278201" y="0"/>
                                </a:moveTo>
                                <a:lnTo>
                                  <a:pt x="5495556" y="0"/>
                                </a:lnTo>
                                <a:lnTo>
                                  <a:pt x="5495556" y="720001"/>
                                </a:lnTo>
                                <a:lnTo>
                                  <a:pt x="9278201" y="720001"/>
                                </a:lnTo>
                                <a:lnTo>
                                  <a:pt x="9278201"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111.323013pt;margin-top:.001001pt;width:730.6pt;height:595.3pt;mso-position-horizontal-relative:page;mso-position-vertical-relative:page;z-index:-30727680" id="docshapegroup30" coordorigin="2226,0" coordsize="14612,11906">
                <v:shape style="position:absolute;left:2253;top:0;width:14584;height:11906" type="#_x0000_t75" id="docshape31" stroked="false">
                  <v:imagedata r:id="rId22" o:title=""/>
                </v:shape>
                <v:shape style="position:absolute;left:2226;top:0;width:14612;height:11906" id="docshape32" coordorigin="2226,0" coordsize="14612,11906" path="m3654,7824l2226,7824,2226,11906,3654,11906,3654,7824xm16838,0l10881,0,10881,1134,16838,1134,16838,0xe" filled="true" fillcolor="#ffffff"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735808">
                <wp:simplePos x="0" y="0"/>
                <wp:positionH relativeFrom="page">
                  <wp:posOffset>284448</wp:posOffset>
                </wp:positionH>
                <wp:positionV relativeFrom="page">
                  <wp:posOffset>308886</wp:posOffset>
                </wp:positionV>
                <wp:extent cx="194310" cy="102235"/>
                <wp:effectExtent l="0" t="0" r="0" b="0"/>
                <wp:wrapNone/>
                <wp:docPr id="41" name="Textbox 41"/>
                <wp:cNvGraphicFramePr>
                  <a:graphicFrameLocks/>
                </wp:cNvGraphicFramePr>
                <a:graphic>
                  <a:graphicData uri="http://schemas.microsoft.com/office/word/2010/wordprocessingShape">
                    <wps:wsp>
                      <wps:cNvPr id="41" name="Textbox 41"/>
                      <wps:cNvSpPr txBox="1"/>
                      <wps:spPr>
                        <a:xfrm>
                          <a:off x="0" y="0"/>
                          <a:ext cx="194310" cy="102235"/>
                        </a:xfrm>
                        <a:prstGeom prst="rect">
                          <a:avLst/>
                        </a:prstGeom>
                      </wps:spPr>
                      <wps:txbx>
                        <w:txbxContent>
                          <w:p>
                            <w:pPr>
                              <w:spacing w:before="48"/>
                              <w:ind w:left="20" w:right="0" w:firstLine="0"/>
                              <w:jc w:val="left"/>
                              <w:rPr>
                                <w:rFonts w:ascii="TT Norms Pro"/>
                                <w:b/>
                                <w:sz w:val="20"/>
                              </w:rPr>
                            </w:pPr>
                            <w:r>
                              <w:rPr>
                                <w:rFonts w:ascii="TT Norms Pro"/>
                                <w:b/>
                                <w:spacing w:val="-10"/>
                                <w:sz w:val="20"/>
                              </w:rPr>
                              <w:t>5</w:t>
                            </w:r>
                          </w:p>
                        </w:txbxContent>
                      </wps:txbx>
                      <wps:bodyPr wrap="square" lIns="0" tIns="0" rIns="0" bIns="0" rtlCol="0" vert="vert270">
                        <a:noAutofit/>
                      </wps:bodyPr>
                    </wps:wsp>
                  </a:graphicData>
                </a:graphic>
              </wp:anchor>
            </w:drawing>
          </mc:Choice>
          <mc:Fallback>
            <w:pict>
              <v:shape style="position:absolute;margin-left:22.397514pt;margin-top:24.3218pt;width:15.3pt;height:8.0500pt;mso-position-horizontal-relative:page;mso-position-vertical-relative:page;z-index:15735808" type="#_x0000_t202" id="docshape33" filled="false" stroked="false">
                <v:textbox inset="0,0,0,0" style="layout-flow:vertical;mso-layout-flow-alt:bottom-to-top">
                  <w:txbxContent>
                    <w:p>
                      <w:pPr>
                        <w:spacing w:before="48"/>
                        <w:ind w:left="20" w:right="0" w:firstLine="0"/>
                        <w:jc w:val="left"/>
                        <w:rPr>
                          <w:rFonts w:ascii="TT Norms Pro"/>
                          <w:b/>
                          <w:sz w:val="20"/>
                        </w:rPr>
                      </w:pPr>
                      <w:r>
                        <w:rPr>
                          <w:rFonts w:ascii="TT Norms Pro"/>
                          <w:b/>
                          <w:spacing w:val="-10"/>
                          <w:sz w:val="20"/>
                        </w:rPr>
                        <w:t>5</w:t>
                      </w:r>
                    </w:p>
                  </w:txbxContent>
                </v:textbox>
                <w10:wrap type="none"/>
              </v:shape>
            </w:pict>
          </mc:Fallback>
        </mc:AlternateContent>
      </w:r>
      <w:r>
        <w:rPr>
          <w:rFonts w:ascii="TT Norms Pro"/>
          <w:sz w:val="18"/>
        </w:rPr>
        <w:t>2020</w:t>
      </w:r>
      <w:r>
        <w:rPr>
          <w:rFonts w:ascii="TT Norms Pro"/>
          <w:spacing w:val="-7"/>
          <w:sz w:val="18"/>
        </w:rPr>
        <w:t> </w:t>
      </w:r>
      <w:r>
        <w:rPr>
          <w:rFonts w:ascii="TT Norms Pro"/>
          <w:sz w:val="18"/>
        </w:rPr>
        <w:t>Annual</w:t>
      </w:r>
      <w:r>
        <w:rPr>
          <w:rFonts w:ascii="TT Norms Pro"/>
          <w:spacing w:val="-1"/>
          <w:sz w:val="18"/>
        </w:rPr>
        <w:t> </w:t>
      </w:r>
      <w:r>
        <w:rPr>
          <w:rFonts w:ascii="TT Norms Pro"/>
          <w:sz w:val="18"/>
        </w:rPr>
        <w:t>Report </w:t>
      </w:r>
      <w:r>
        <w:rPr>
          <w:rFonts w:ascii="TT Norms Pro Light"/>
          <w:b w:val="0"/>
          <w:spacing w:val="-2"/>
          <w:sz w:val="18"/>
        </w:rPr>
        <w:t>|</w:t>
      </w:r>
      <w:r>
        <w:rPr>
          <w:rFonts w:ascii="TT Norms Pro"/>
          <w:b/>
          <w:spacing w:val="-2"/>
          <w:sz w:val="18"/>
        </w:rPr>
        <w:t>uwa.edu.au</w:t>
      </w:r>
    </w:p>
    <w:p>
      <w:pPr>
        <w:spacing w:after="0"/>
        <w:jc w:val="right"/>
        <w:rPr>
          <w:rFonts w:ascii="TT Norms Pro"/>
          <w:sz w:val="18"/>
        </w:rPr>
        <w:sectPr>
          <w:headerReference w:type="default" r:id="rId21"/>
          <w:pgSz w:w="16840" w:h="11910" w:orient="landscape"/>
          <w:pgMar w:header="0" w:footer="0" w:top="360" w:bottom="280" w:left="2420" w:right="1200"/>
        </w:sectPr>
      </w:pPr>
    </w:p>
    <w:p>
      <w:pPr>
        <w:pStyle w:val="BodyText"/>
        <w:rPr>
          <w:rFonts w:ascii="TT Norms Pro"/>
          <w:b/>
          <w:sz w:val="20"/>
        </w:rPr>
      </w:pPr>
    </w:p>
    <w:p>
      <w:pPr>
        <w:pStyle w:val="BodyText"/>
        <w:rPr>
          <w:rFonts w:ascii="TT Norms Pro"/>
          <w:b/>
          <w:sz w:val="20"/>
        </w:rPr>
      </w:pPr>
    </w:p>
    <w:p>
      <w:pPr>
        <w:pStyle w:val="BodyText"/>
        <w:rPr>
          <w:rFonts w:ascii="TT Norms Pro"/>
          <w:b/>
          <w:sz w:val="20"/>
        </w:rPr>
      </w:pPr>
    </w:p>
    <w:p>
      <w:pPr>
        <w:pStyle w:val="BodyText"/>
        <w:rPr>
          <w:rFonts w:ascii="TT Norms Pro"/>
          <w:b/>
          <w:sz w:val="20"/>
        </w:rPr>
      </w:pPr>
    </w:p>
    <w:p>
      <w:pPr>
        <w:pStyle w:val="BodyText"/>
        <w:rPr>
          <w:rFonts w:ascii="TT Norms Pro"/>
          <w:b/>
          <w:sz w:val="20"/>
        </w:rPr>
      </w:pPr>
    </w:p>
    <w:p>
      <w:pPr>
        <w:pStyle w:val="BodyText"/>
        <w:rPr>
          <w:rFonts w:ascii="TT Norms Pro"/>
          <w:b/>
          <w:sz w:val="20"/>
        </w:rPr>
      </w:pPr>
    </w:p>
    <w:p>
      <w:pPr>
        <w:pStyle w:val="BodyText"/>
        <w:rPr>
          <w:rFonts w:ascii="TT Norms Pro"/>
          <w:b/>
          <w:sz w:val="20"/>
        </w:rPr>
      </w:pPr>
    </w:p>
    <w:p>
      <w:pPr>
        <w:pStyle w:val="BodyText"/>
        <w:rPr>
          <w:rFonts w:ascii="TT Norms Pro"/>
          <w:b/>
          <w:sz w:val="20"/>
        </w:rPr>
      </w:pPr>
    </w:p>
    <w:p>
      <w:pPr>
        <w:pStyle w:val="BodyText"/>
        <w:rPr>
          <w:rFonts w:ascii="TT Norms Pro"/>
          <w:b/>
          <w:sz w:val="20"/>
        </w:rPr>
      </w:pPr>
    </w:p>
    <w:p>
      <w:pPr>
        <w:pStyle w:val="BodyText"/>
        <w:rPr>
          <w:rFonts w:ascii="TT Norms Pro"/>
          <w:b/>
          <w:sz w:val="20"/>
        </w:rPr>
      </w:pPr>
    </w:p>
    <w:p>
      <w:pPr>
        <w:pStyle w:val="BodyText"/>
        <w:rPr>
          <w:rFonts w:ascii="TT Norms Pro"/>
          <w:b/>
          <w:sz w:val="20"/>
        </w:rPr>
      </w:pPr>
    </w:p>
    <w:p>
      <w:pPr>
        <w:pStyle w:val="BodyText"/>
        <w:rPr>
          <w:rFonts w:ascii="TT Norms Pro"/>
          <w:b/>
          <w:sz w:val="20"/>
        </w:rPr>
      </w:pPr>
    </w:p>
    <w:p>
      <w:pPr>
        <w:pStyle w:val="BodyText"/>
        <w:rPr>
          <w:rFonts w:ascii="TT Norms Pro"/>
          <w:b/>
          <w:sz w:val="20"/>
        </w:rPr>
      </w:pPr>
    </w:p>
    <w:p>
      <w:pPr>
        <w:pStyle w:val="BodyText"/>
        <w:rPr>
          <w:rFonts w:ascii="TT Norms Pro"/>
          <w:b/>
          <w:sz w:val="20"/>
        </w:rPr>
      </w:pPr>
    </w:p>
    <w:p>
      <w:pPr>
        <w:pStyle w:val="BodyText"/>
        <w:rPr>
          <w:rFonts w:ascii="TT Norms Pro"/>
          <w:b/>
          <w:sz w:val="20"/>
        </w:rPr>
      </w:pPr>
    </w:p>
    <w:p>
      <w:pPr>
        <w:pStyle w:val="BodyText"/>
        <w:rPr>
          <w:rFonts w:ascii="TT Norms Pro"/>
          <w:b/>
          <w:sz w:val="20"/>
        </w:rPr>
      </w:pPr>
    </w:p>
    <w:p>
      <w:pPr>
        <w:pStyle w:val="BodyText"/>
        <w:rPr>
          <w:rFonts w:ascii="TT Norms Pro"/>
          <w:b/>
          <w:sz w:val="20"/>
        </w:rPr>
      </w:pPr>
    </w:p>
    <w:p>
      <w:pPr>
        <w:pStyle w:val="BodyText"/>
        <w:rPr>
          <w:rFonts w:ascii="TT Norms Pro"/>
          <w:b/>
          <w:sz w:val="20"/>
        </w:rPr>
      </w:pPr>
    </w:p>
    <w:p>
      <w:pPr>
        <w:pStyle w:val="BodyText"/>
        <w:rPr>
          <w:rFonts w:ascii="TT Norms Pro"/>
          <w:b/>
          <w:sz w:val="20"/>
        </w:rPr>
      </w:pPr>
    </w:p>
    <w:p>
      <w:pPr>
        <w:pStyle w:val="BodyText"/>
        <w:rPr>
          <w:rFonts w:ascii="TT Norms Pro"/>
          <w:b/>
          <w:sz w:val="20"/>
        </w:rPr>
      </w:pPr>
    </w:p>
    <w:p>
      <w:pPr>
        <w:pStyle w:val="BodyText"/>
        <w:rPr>
          <w:rFonts w:ascii="TT Norms Pro"/>
          <w:b/>
          <w:sz w:val="20"/>
        </w:rPr>
      </w:pPr>
    </w:p>
    <w:p>
      <w:pPr>
        <w:pStyle w:val="BodyText"/>
        <w:rPr>
          <w:rFonts w:ascii="TT Norms Pro"/>
          <w:b/>
          <w:sz w:val="20"/>
        </w:rPr>
      </w:pPr>
    </w:p>
    <w:p>
      <w:pPr>
        <w:pStyle w:val="BodyText"/>
        <w:rPr>
          <w:rFonts w:ascii="TT Norms Pro"/>
          <w:b/>
          <w:sz w:val="20"/>
        </w:rPr>
      </w:pPr>
    </w:p>
    <w:p>
      <w:pPr>
        <w:pStyle w:val="BodyText"/>
        <w:rPr>
          <w:rFonts w:ascii="TT Norms Pro"/>
          <w:b/>
          <w:sz w:val="20"/>
        </w:rPr>
      </w:pPr>
    </w:p>
    <w:p>
      <w:pPr>
        <w:pStyle w:val="BodyText"/>
        <w:spacing w:before="7"/>
        <w:rPr>
          <w:rFonts w:ascii="TT Norms Pro"/>
          <w:b/>
          <w:sz w:val="20"/>
        </w:rPr>
      </w:pPr>
    </w:p>
    <w:p>
      <w:pPr>
        <w:spacing w:after="0"/>
        <w:rPr>
          <w:rFonts w:ascii="TT Norms Pro"/>
          <w:sz w:val="20"/>
        </w:rPr>
        <w:sectPr>
          <w:headerReference w:type="even" r:id="rId23"/>
          <w:headerReference w:type="default" r:id="rId24"/>
          <w:pgSz w:w="11910" w:h="16840"/>
          <w:pgMar w:header="468" w:footer="0" w:top="720" w:bottom="280" w:left="940" w:right="0"/>
          <w:pgNumType w:start="6"/>
        </w:sectPr>
      </w:pPr>
    </w:p>
    <w:p>
      <w:pPr>
        <w:pStyle w:val="Heading9"/>
        <w:spacing w:before="131"/>
        <w:ind w:left="1866"/>
        <w:rPr>
          <w:rFonts w:ascii="TT Norms Pro"/>
        </w:rPr>
      </w:pPr>
      <w:r>
        <w:rPr/>
        <mc:AlternateContent>
          <mc:Choice Requires="wps">
            <w:drawing>
              <wp:anchor distT="0" distB="0" distL="0" distR="0" allowOverlap="1" layoutInCell="1" locked="0" behindDoc="1" simplePos="0" relativeHeight="472589824">
                <wp:simplePos x="0" y="0"/>
                <wp:positionH relativeFrom="page">
                  <wp:posOffset>0</wp:posOffset>
                </wp:positionH>
                <wp:positionV relativeFrom="page">
                  <wp:posOffset>707790</wp:posOffset>
                </wp:positionV>
                <wp:extent cx="4383405" cy="9420225"/>
                <wp:effectExtent l="0" t="0" r="0" b="0"/>
                <wp:wrapNone/>
                <wp:docPr id="45" name="Group 45"/>
                <wp:cNvGraphicFramePr>
                  <a:graphicFrameLocks/>
                </wp:cNvGraphicFramePr>
                <a:graphic>
                  <a:graphicData uri="http://schemas.microsoft.com/office/word/2010/wordprocessingGroup">
                    <wpg:wgp>
                      <wpg:cNvPr id="45" name="Group 45"/>
                      <wpg:cNvGrpSpPr/>
                      <wpg:grpSpPr>
                        <a:xfrm>
                          <a:off x="0" y="0"/>
                          <a:ext cx="4383405" cy="9420225"/>
                          <a:chExt cx="4383405" cy="9420225"/>
                        </a:xfrm>
                      </wpg:grpSpPr>
                      <pic:pic>
                        <pic:nvPicPr>
                          <pic:cNvPr id="46" name="Image 46"/>
                          <pic:cNvPicPr/>
                        </pic:nvPicPr>
                        <pic:blipFill>
                          <a:blip r:embed="rId25" cstate="print"/>
                          <a:stretch>
                            <a:fillRect/>
                          </a:stretch>
                        </pic:blipFill>
                        <pic:spPr>
                          <a:xfrm>
                            <a:off x="0" y="1195076"/>
                            <a:ext cx="4298302" cy="3065137"/>
                          </a:xfrm>
                          <a:prstGeom prst="rect">
                            <a:avLst/>
                          </a:prstGeom>
                        </pic:spPr>
                      </pic:pic>
                      <pic:pic>
                        <pic:nvPicPr>
                          <pic:cNvPr id="47" name="Image 47"/>
                          <pic:cNvPicPr/>
                        </pic:nvPicPr>
                        <pic:blipFill>
                          <a:blip r:embed="rId26" cstate="print"/>
                          <a:stretch>
                            <a:fillRect/>
                          </a:stretch>
                        </pic:blipFill>
                        <pic:spPr>
                          <a:xfrm>
                            <a:off x="0" y="12211"/>
                            <a:ext cx="2773603" cy="1584007"/>
                          </a:xfrm>
                          <a:prstGeom prst="rect">
                            <a:avLst/>
                          </a:prstGeom>
                        </pic:spPr>
                      </pic:pic>
                      <wps:wsp>
                        <wps:cNvPr id="48" name="Graphic 48"/>
                        <wps:cNvSpPr/>
                        <wps:spPr>
                          <a:xfrm>
                            <a:off x="1542694" y="3390423"/>
                            <a:ext cx="2840355" cy="6029960"/>
                          </a:xfrm>
                          <a:custGeom>
                            <a:avLst/>
                            <a:gdLst/>
                            <a:ahLst/>
                            <a:cxnLst/>
                            <a:rect l="l" t="t" r="r" b="b"/>
                            <a:pathLst>
                              <a:path w="2840355" h="6029960">
                                <a:moveTo>
                                  <a:pt x="2840101" y="0"/>
                                </a:moveTo>
                                <a:lnTo>
                                  <a:pt x="0" y="0"/>
                                </a:lnTo>
                                <a:lnTo>
                                  <a:pt x="0" y="6029794"/>
                                </a:lnTo>
                                <a:lnTo>
                                  <a:pt x="2840101" y="6029794"/>
                                </a:lnTo>
                                <a:lnTo>
                                  <a:pt x="2840101" y="0"/>
                                </a:lnTo>
                                <a:close/>
                              </a:path>
                            </a:pathLst>
                          </a:custGeom>
                          <a:solidFill>
                            <a:srgbClr val="FFFFFF"/>
                          </a:solidFill>
                        </wps:spPr>
                        <wps:bodyPr wrap="square" lIns="0" tIns="0" rIns="0" bIns="0" rtlCol="0">
                          <a:prstTxWarp prst="textNoShape">
                            <a:avLst/>
                          </a:prstTxWarp>
                          <a:noAutofit/>
                        </wps:bodyPr>
                      </wps:wsp>
                      <wps:wsp>
                        <wps:cNvPr id="49" name="Graphic 49"/>
                        <wps:cNvSpPr/>
                        <wps:spPr>
                          <a:xfrm>
                            <a:off x="2570289" y="5"/>
                            <a:ext cx="804545" cy="1398270"/>
                          </a:xfrm>
                          <a:custGeom>
                            <a:avLst/>
                            <a:gdLst/>
                            <a:ahLst/>
                            <a:cxnLst/>
                            <a:rect l="l" t="t" r="r" b="b"/>
                            <a:pathLst>
                              <a:path w="804545" h="1398270">
                                <a:moveTo>
                                  <a:pt x="803998" y="1182370"/>
                                </a:moveTo>
                                <a:lnTo>
                                  <a:pt x="216001" y="1182370"/>
                                </a:lnTo>
                                <a:lnTo>
                                  <a:pt x="216001" y="0"/>
                                </a:lnTo>
                                <a:lnTo>
                                  <a:pt x="0" y="0"/>
                                </a:lnTo>
                                <a:lnTo>
                                  <a:pt x="0" y="1182370"/>
                                </a:lnTo>
                                <a:lnTo>
                                  <a:pt x="0" y="1398270"/>
                                </a:lnTo>
                                <a:lnTo>
                                  <a:pt x="803998" y="1398270"/>
                                </a:lnTo>
                                <a:lnTo>
                                  <a:pt x="803998" y="1182370"/>
                                </a:lnTo>
                                <a:close/>
                              </a:path>
                            </a:pathLst>
                          </a:custGeom>
                          <a:solidFill>
                            <a:srgbClr val="B68B2D"/>
                          </a:solidFill>
                        </wps:spPr>
                        <wps:bodyPr wrap="square" lIns="0" tIns="0" rIns="0" bIns="0" rtlCol="0">
                          <a:prstTxWarp prst="textNoShape">
                            <a:avLst/>
                          </a:prstTxWarp>
                          <a:noAutofit/>
                        </wps:bodyPr>
                      </wps:wsp>
                    </wpg:wgp>
                  </a:graphicData>
                </a:graphic>
              </wp:anchor>
            </w:drawing>
          </mc:Choice>
          <mc:Fallback>
            <w:pict>
              <v:group style="position:absolute;margin-left:0pt;margin-top:55.731514pt;width:345.15pt;height:741.75pt;mso-position-horizontal-relative:page;mso-position-vertical-relative:page;z-index:-30726656" id="docshapegroup37" coordorigin="0,1115" coordsize="6903,14835">
                <v:shape style="position:absolute;left:0;top:2996;width:6769;height:4827" type="#_x0000_t75" id="docshape38" stroked="false">
                  <v:imagedata r:id="rId25" o:title=""/>
                </v:shape>
                <v:shape style="position:absolute;left:0;top:1133;width:4368;height:2495" type="#_x0000_t75" id="docshape39" stroked="false">
                  <v:imagedata r:id="rId26" o:title=""/>
                </v:shape>
                <v:rect style="position:absolute;left:2429;top:6453;width:4473;height:9496" id="docshape40" filled="true" fillcolor="#ffffff" stroked="false">
                  <v:fill type="solid"/>
                </v:rect>
                <v:shape style="position:absolute;left:4047;top:1114;width:1267;height:2202" id="docshape41" coordorigin="4048,1115" coordsize="1267,2202" path="m5314,2977l4388,2977,4388,1115,4048,1115,4048,2977,4048,3317,5314,3317,5314,2977xe" filled="true" fillcolor="#b68b2d" stroked="false">
                  <v:path arrowok="t"/>
                  <v:fill type="solid"/>
                </v:shape>
                <w10:wrap type="none"/>
              </v:group>
            </w:pict>
          </mc:Fallback>
        </mc:AlternateContent>
      </w:r>
      <w:r>
        <w:rPr/>
        <w:t>ABOUT</w:t>
      </w:r>
      <w:r>
        <w:rPr>
          <w:spacing w:val="15"/>
        </w:rPr>
        <w:t> </w:t>
      </w:r>
      <w:r>
        <w:rPr>
          <w:rFonts w:ascii="TT Norms Pro"/>
          <w:spacing w:val="-5"/>
        </w:rPr>
        <w:t>UWA</w:t>
      </w:r>
    </w:p>
    <w:p>
      <w:pPr>
        <w:spacing w:line="307" w:lineRule="auto" w:before="153"/>
        <w:ind w:left="1866" w:right="0" w:firstLine="0"/>
        <w:jc w:val="left"/>
        <w:rPr>
          <w:rFonts w:ascii="TT Norms Pro Light"/>
          <w:b w:val="0"/>
          <w:sz w:val="16"/>
        </w:rPr>
      </w:pPr>
      <w:r>
        <w:rPr>
          <w:rFonts w:ascii="TT Norms Pro Light"/>
          <w:b w:val="0"/>
          <w:sz w:val="16"/>
        </w:rPr>
        <w:t>Established in 1911 as the State's first university,</w:t>
      </w:r>
      <w:r>
        <w:rPr>
          <w:rFonts w:ascii="TT Norms Pro Light"/>
          <w:b w:val="0"/>
          <w:spacing w:val="40"/>
          <w:sz w:val="16"/>
        </w:rPr>
        <w:t> </w:t>
      </w:r>
      <w:r>
        <w:rPr>
          <w:rFonts w:ascii="TT Norms Pro Light"/>
          <w:b w:val="0"/>
          <w:sz w:val="16"/>
        </w:rPr>
        <w:t>The University of Western Australia (UWA) was</w:t>
      </w:r>
      <w:r>
        <w:rPr>
          <w:rFonts w:ascii="TT Norms Pro Light"/>
          <w:b w:val="0"/>
          <w:spacing w:val="40"/>
          <w:sz w:val="16"/>
        </w:rPr>
        <w:t> </w:t>
      </w:r>
      <w:r>
        <w:rPr>
          <w:rFonts w:ascii="TT Norms Pro Light"/>
          <w:b w:val="0"/>
          <w:sz w:val="16"/>
        </w:rPr>
        <w:t>also</w:t>
      </w:r>
      <w:r>
        <w:rPr>
          <w:rFonts w:ascii="TT Norms Pro Light"/>
          <w:b w:val="0"/>
          <w:spacing w:val="-7"/>
          <w:sz w:val="16"/>
        </w:rPr>
        <w:t> </w:t>
      </w:r>
      <w:r>
        <w:rPr>
          <w:rFonts w:ascii="TT Norms Pro Light"/>
          <w:b w:val="0"/>
          <w:sz w:val="16"/>
        </w:rPr>
        <w:t>the</w:t>
      </w:r>
      <w:r>
        <w:rPr>
          <w:rFonts w:ascii="TT Norms Pro Light"/>
          <w:b w:val="0"/>
          <w:spacing w:val="-7"/>
          <w:sz w:val="16"/>
        </w:rPr>
        <w:t> </w:t>
      </w:r>
      <w:r>
        <w:rPr>
          <w:rFonts w:ascii="TT Norms Pro Light"/>
          <w:b w:val="0"/>
          <w:sz w:val="16"/>
        </w:rPr>
        <w:t>first</w:t>
      </w:r>
      <w:r>
        <w:rPr>
          <w:rFonts w:ascii="TT Norms Pro Light"/>
          <w:b w:val="0"/>
          <w:spacing w:val="-7"/>
          <w:sz w:val="16"/>
        </w:rPr>
        <w:t> </w:t>
      </w:r>
      <w:r>
        <w:rPr>
          <w:rFonts w:ascii="TT Norms Pro Light"/>
          <w:b w:val="0"/>
          <w:sz w:val="16"/>
        </w:rPr>
        <w:t>free</w:t>
      </w:r>
      <w:r>
        <w:rPr>
          <w:rFonts w:ascii="TT Norms Pro Light"/>
          <w:b w:val="0"/>
          <w:spacing w:val="-7"/>
          <w:sz w:val="16"/>
        </w:rPr>
        <w:t> </w:t>
      </w:r>
      <w:r>
        <w:rPr>
          <w:rFonts w:ascii="TT Norms Pro Light"/>
          <w:b w:val="0"/>
          <w:sz w:val="16"/>
        </w:rPr>
        <w:t>university</w:t>
      </w:r>
      <w:r>
        <w:rPr>
          <w:rFonts w:ascii="TT Norms Pro Light"/>
          <w:b w:val="0"/>
          <w:spacing w:val="-7"/>
          <w:sz w:val="16"/>
        </w:rPr>
        <w:t> </w:t>
      </w:r>
      <w:r>
        <w:rPr>
          <w:rFonts w:ascii="TT Norms Pro Light"/>
          <w:b w:val="0"/>
          <w:sz w:val="16"/>
        </w:rPr>
        <w:t>in</w:t>
      </w:r>
      <w:r>
        <w:rPr>
          <w:rFonts w:ascii="TT Norms Pro Light"/>
          <w:b w:val="0"/>
          <w:spacing w:val="-7"/>
          <w:sz w:val="16"/>
        </w:rPr>
        <w:t> </w:t>
      </w:r>
      <w:r>
        <w:rPr>
          <w:rFonts w:ascii="TT Norms Pro Light"/>
          <w:b w:val="0"/>
          <w:sz w:val="16"/>
        </w:rPr>
        <w:t>the</w:t>
      </w:r>
      <w:r>
        <w:rPr>
          <w:rFonts w:ascii="TT Norms Pro Light"/>
          <w:b w:val="0"/>
          <w:spacing w:val="-7"/>
          <w:sz w:val="16"/>
        </w:rPr>
        <w:t> </w:t>
      </w:r>
      <w:r>
        <w:rPr>
          <w:rFonts w:ascii="TT Norms Pro Light"/>
          <w:b w:val="0"/>
          <w:sz w:val="16"/>
        </w:rPr>
        <w:t>British</w:t>
      </w:r>
      <w:r>
        <w:rPr>
          <w:rFonts w:ascii="TT Norms Pro Light"/>
          <w:b w:val="0"/>
          <w:spacing w:val="-7"/>
          <w:sz w:val="16"/>
        </w:rPr>
        <w:t> </w:t>
      </w:r>
      <w:r>
        <w:rPr>
          <w:rFonts w:ascii="TT Norms Pro Light"/>
          <w:b w:val="0"/>
          <w:sz w:val="16"/>
        </w:rPr>
        <w:t>Empire,</w:t>
      </w:r>
      <w:r>
        <w:rPr>
          <w:rFonts w:ascii="TT Norms Pro Light"/>
          <w:b w:val="0"/>
          <w:spacing w:val="40"/>
          <w:sz w:val="16"/>
        </w:rPr>
        <w:t> </w:t>
      </w:r>
      <w:r>
        <w:rPr>
          <w:rFonts w:ascii="TT Norms Pro Light"/>
          <w:b w:val="0"/>
          <w:sz w:val="16"/>
        </w:rPr>
        <w:t>actively promoting equal access to tertiary</w:t>
      </w:r>
      <w:r>
        <w:rPr>
          <w:rFonts w:ascii="TT Norms Pro Light"/>
          <w:b w:val="0"/>
          <w:spacing w:val="40"/>
          <w:sz w:val="16"/>
        </w:rPr>
        <w:t> </w:t>
      </w:r>
      <w:r>
        <w:rPr>
          <w:rFonts w:ascii="TT Norms Pro Light"/>
          <w:b w:val="0"/>
          <w:sz w:val="16"/>
        </w:rPr>
        <w:t>education for all social classes. Today UWA is</w:t>
      </w:r>
      <w:r>
        <w:rPr>
          <w:rFonts w:ascii="TT Norms Pro Light"/>
          <w:b w:val="0"/>
          <w:spacing w:val="40"/>
          <w:sz w:val="16"/>
        </w:rPr>
        <w:t> </w:t>
      </w:r>
      <w:r>
        <w:rPr>
          <w:rFonts w:ascii="TT Norms Pro Light"/>
          <w:b w:val="0"/>
          <w:sz w:val="16"/>
        </w:rPr>
        <w:t>ranked in the world's top 100 universities and</w:t>
      </w:r>
      <w:r>
        <w:rPr>
          <w:rFonts w:ascii="TT Norms Pro Light"/>
          <w:b w:val="0"/>
          <w:spacing w:val="40"/>
          <w:sz w:val="16"/>
        </w:rPr>
        <w:t> </w:t>
      </w:r>
      <w:r>
        <w:rPr>
          <w:rFonts w:ascii="TT Norms Pro Light"/>
          <w:b w:val="0"/>
          <w:sz w:val="16"/>
        </w:rPr>
        <w:t>number one in Western Australia.</w:t>
      </w:r>
    </w:p>
    <w:p>
      <w:pPr>
        <w:pStyle w:val="BodyText"/>
        <w:spacing w:before="55"/>
        <w:rPr>
          <w:b w:val="0"/>
          <w:sz w:val="16"/>
        </w:rPr>
      </w:pPr>
    </w:p>
    <w:p>
      <w:pPr>
        <w:spacing w:line="307" w:lineRule="auto" w:before="0"/>
        <w:ind w:left="1866" w:right="0" w:firstLine="0"/>
        <w:jc w:val="left"/>
        <w:rPr>
          <w:rFonts w:ascii="TT Norms Pro Light"/>
          <w:b w:val="0"/>
          <w:sz w:val="16"/>
        </w:rPr>
      </w:pPr>
      <w:r>
        <w:rPr>
          <w:rFonts w:ascii="TT Norms Pro Light"/>
          <w:b w:val="0"/>
          <w:sz w:val="16"/>
        </w:rPr>
        <w:t>UWA has an international reputation for</w:t>
      </w:r>
      <w:r>
        <w:rPr>
          <w:rFonts w:ascii="TT Norms Pro Light"/>
          <w:b w:val="0"/>
          <w:spacing w:val="40"/>
          <w:sz w:val="16"/>
        </w:rPr>
        <w:t> </w:t>
      </w:r>
      <w:r>
        <w:rPr>
          <w:rFonts w:ascii="TT Norms Pro Light"/>
          <w:b w:val="0"/>
          <w:sz w:val="16"/>
        </w:rPr>
        <w:t>remarkable and life-changing contributions</w:t>
      </w:r>
      <w:r>
        <w:rPr>
          <w:rFonts w:ascii="TT Norms Pro Light"/>
          <w:b w:val="0"/>
          <w:spacing w:val="40"/>
          <w:sz w:val="16"/>
        </w:rPr>
        <w:t> </w:t>
      </w:r>
      <w:r>
        <w:rPr>
          <w:rFonts w:ascii="TT Norms Pro Light"/>
          <w:b w:val="0"/>
          <w:sz w:val="16"/>
        </w:rPr>
        <w:t>across research, learning and teaching.</w:t>
      </w:r>
    </w:p>
    <w:p>
      <w:pPr>
        <w:spacing w:before="2"/>
        <w:ind w:left="1866" w:right="0" w:firstLine="0"/>
        <w:jc w:val="left"/>
        <w:rPr>
          <w:rFonts w:ascii="TT Norms Pro Light"/>
          <w:b w:val="0"/>
          <w:sz w:val="16"/>
        </w:rPr>
      </w:pPr>
      <w:r>
        <w:rPr>
          <w:rFonts w:ascii="TT Norms Pro Light"/>
          <w:b w:val="0"/>
          <w:sz w:val="16"/>
        </w:rPr>
        <w:t>In</w:t>
      </w:r>
      <w:r>
        <w:rPr>
          <w:rFonts w:ascii="TT Norms Pro Light"/>
          <w:b w:val="0"/>
          <w:spacing w:val="-1"/>
          <w:sz w:val="16"/>
        </w:rPr>
        <w:t> </w:t>
      </w:r>
      <w:r>
        <w:rPr>
          <w:rFonts w:ascii="TT Norms Pro Light"/>
          <w:b w:val="0"/>
          <w:sz w:val="16"/>
        </w:rPr>
        <w:t>2020,</w:t>
      </w:r>
      <w:r>
        <w:rPr>
          <w:rFonts w:ascii="TT Norms Pro Light"/>
          <w:b w:val="0"/>
          <w:spacing w:val="-1"/>
          <w:sz w:val="16"/>
        </w:rPr>
        <w:t> </w:t>
      </w:r>
      <w:r>
        <w:rPr>
          <w:rFonts w:ascii="TT Norms Pro Light"/>
          <w:b w:val="0"/>
          <w:sz w:val="16"/>
        </w:rPr>
        <w:t>UWA</w:t>
      </w:r>
      <w:r>
        <w:rPr>
          <w:rFonts w:ascii="TT Norms Pro Light"/>
          <w:b w:val="0"/>
          <w:spacing w:val="-1"/>
          <w:sz w:val="16"/>
        </w:rPr>
        <w:t> </w:t>
      </w:r>
      <w:r>
        <w:rPr>
          <w:rFonts w:ascii="TT Norms Pro Light"/>
          <w:b w:val="0"/>
          <w:sz w:val="16"/>
        </w:rPr>
        <w:t>educated</w:t>
      </w:r>
      <w:r>
        <w:rPr>
          <w:rFonts w:ascii="TT Norms Pro Light"/>
          <w:b w:val="0"/>
          <w:spacing w:val="-1"/>
          <w:sz w:val="16"/>
        </w:rPr>
        <w:t> </w:t>
      </w:r>
      <w:r>
        <w:rPr>
          <w:rFonts w:ascii="TT Norms Pro Light"/>
          <w:b w:val="0"/>
          <w:sz w:val="16"/>
        </w:rPr>
        <w:t>more</w:t>
      </w:r>
      <w:r>
        <w:rPr>
          <w:rFonts w:ascii="TT Norms Pro Light"/>
          <w:b w:val="0"/>
          <w:spacing w:val="-1"/>
          <w:sz w:val="16"/>
        </w:rPr>
        <w:t> </w:t>
      </w:r>
      <w:r>
        <w:rPr>
          <w:rFonts w:ascii="TT Norms Pro Light"/>
          <w:b w:val="0"/>
          <w:sz w:val="16"/>
        </w:rPr>
        <w:t>than</w:t>
      </w:r>
      <w:r>
        <w:rPr>
          <w:rFonts w:ascii="TT Norms Pro Light"/>
          <w:b w:val="0"/>
          <w:spacing w:val="-1"/>
          <w:sz w:val="16"/>
        </w:rPr>
        <w:t> </w:t>
      </w:r>
      <w:r>
        <w:rPr>
          <w:rFonts w:ascii="TT Norms Pro Light"/>
          <w:b w:val="0"/>
          <w:spacing w:val="-2"/>
          <w:sz w:val="16"/>
        </w:rPr>
        <w:t>25,000</w:t>
      </w:r>
    </w:p>
    <w:p>
      <w:pPr>
        <w:spacing w:before="52"/>
        <w:ind w:left="1866" w:right="0" w:firstLine="0"/>
        <w:jc w:val="left"/>
        <w:rPr>
          <w:rFonts w:ascii="TT Norms Pro Light"/>
          <w:b w:val="0"/>
          <w:sz w:val="16"/>
        </w:rPr>
      </w:pPr>
      <w:r>
        <w:rPr>
          <w:rFonts w:ascii="TT Norms Pro Light"/>
          <w:b w:val="0"/>
          <w:sz w:val="16"/>
        </w:rPr>
        <w:t>students from across 100 </w:t>
      </w:r>
      <w:r>
        <w:rPr>
          <w:rFonts w:ascii="TT Norms Pro Light"/>
          <w:b w:val="0"/>
          <w:spacing w:val="-2"/>
          <w:sz w:val="16"/>
        </w:rPr>
        <w:t>countries.</w:t>
      </w:r>
    </w:p>
    <w:p>
      <w:pPr>
        <w:pStyle w:val="BodyText"/>
        <w:spacing w:before="106"/>
        <w:rPr>
          <w:b w:val="0"/>
          <w:sz w:val="16"/>
        </w:rPr>
      </w:pPr>
    </w:p>
    <w:p>
      <w:pPr>
        <w:spacing w:line="307" w:lineRule="auto" w:before="0"/>
        <w:ind w:left="1866" w:right="0" w:firstLine="0"/>
        <w:jc w:val="left"/>
        <w:rPr>
          <w:rFonts w:ascii="TT Norms Pro Light" w:hAnsi="TT Norms Pro Light"/>
          <w:b w:val="0"/>
          <w:sz w:val="16"/>
        </w:rPr>
      </w:pPr>
      <w:r>
        <w:rPr>
          <w:rFonts w:ascii="TT Norms Pro Light" w:hAnsi="TT Norms Pro Light"/>
          <w:b w:val="0"/>
          <w:sz w:val="16"/>
        </w:rPr>
        <w:t>As one of Australia’s leading research-intensive</w:t>
      </w:r>
      <w:r>
        <w:rPr>
          <w:rFonts w:ascii="TT Norms Pro Light" w:hAnsi="TT Norms Pro Light"/>
          <w:b w:val="0"/>
          <w:spacing w:val="40"/>
          <w:sz w:val="16"/>
        </w:rPr>
        <w:t> </w:t>
      </w:r>
      <w:r>
        <w:rPr>
          <w:rFonts w:ascii="TT Norms Pro Light" w:hAnsi="TT Norms Pro Light"/>
          <w:b w:val="0"/>
          <w:sz w:val="16"/>
        </w:rPr>
        <w:t>universities UWA operates more than 40</w:t>
      </w:r>
      <w:r>
        <w:rPr>
          <w:rFonts w:ascii="TT Norms Pro Light" w:hAnsi="TT Norms Pro Light"/>
          <w:b w:val="0"/>
          <w:spacing w:val="40"/>
          <w:sz w:val="16"/>
        </w:rPr>
        <w:t> </w:t>
      </w:r>
      <w:r>
        <w:rPr>
          <w:rFonts w:ascii="TT Norms Pro Light" w:hAnsi="TT Norms Pro Light"/>
          <w:b w:val="0"/>
          <w:sz w:val="16"/>
        </w:rPr>
        <w:t>intensive research centres and 22 schools,</w:t>
      </w:r>
    </w:p>
    <w:p>
      <w:pPr>
        <w:spacing w:line="307" w:lineRule="auto" w:before="1"/>
        <w:ind w:left="1866" w:right="24" w:firstLine="0"/>
        <w:jc w:val="left"/>
        <w:rPr>
          <w:rFonts w:ascii="TT Norms Pro Light"/>
          <w:b w:val="0"/>
          <w:sz w:val="16"/>
        </w:rPr>
      </w:pPr>
      <w:r>
        <w:rPr>
          <w:rFonts w:ascii="TT Norms Pro Light"/>
          <w:b w:val="0"/>
          <w:sz w:val="16"/>
        </w:rPr>
        <w:t>in addition to having a broad range of</w:t>
      </w:r>
      <w:r>
        <w:rPr>
          <w:rFonts w:ascii="TT Norms Pro Light"/>
          <w:b w:val="0"/>
          <w:spacing w:val="40"/>
          <w:sz w:val="16"/>
        </w:rPr>
        <w:t> </w:t>
      </w:r>
      <w:r>
        <w:rPr>
          <w:rFonts w:ascii="TT Norms Pro Light"/>
          <w:b w:val="0"/>
          <w:sz w:val="16"/>
        </w:rPr>
        <w:t>successful industry partnerships.</w:t>
      </w:r>
    </w:p>
    <w:p>
      <w:pPr>
        <w:pStyle w:val="BodyText"/>
        <w:spacing w:before="54"/>
        <w:rPr>
          <w:b w:val="0"/>
          <w:sz w:val="16"/>
        </w:rPr>
      </w:pPr>
    </w:p>
    <w:p>
      <w:pPr>
        <w:spacing w:line="307" w:lineRule="auto" w:before="0"/>
        <w:ind w:left="1866" w:right="24" w:firstLine="0"/>
        <w:jc w:val="left"/>
        <w:rPr>
          <w:rFonts w:ascii="TT Norms Pro Light"/>
          <w:b w:val="0"/>
          <w:sz w:val="16"/>
        </w:rPr>
      </w:pPr>
      <w:r>
        <w:rPr>
          <w:rFonts w:ascii="TT Norms Pro Light"/>
          <w:b w:val="0"/>
          <w:sz w:val="16"/>
        </w:rPr>
        <w:t>The University is a member of the</w:t>
      </w:r>
      <w:r>
        <w:rPr>
          <w:rFonts w:ascii="TT Norms Pro Light"/>
          <w:b w:val="0"/>
          <w:spacing w:val="40"/>
          <w:sz w:val="16"/>
        </w:rPr>
        <w:t> </w:t>
      </w:r>
      <w:r>
        <w:rPr>
          <w:rFonts w:ascii="TT Norms Pro Light"/>
          <w:b w:val="0"/>
          <w:sz w:val="16"/>
        </w:rPr>
        <w:t>internationally recognised Australian Group of</w:t>
      </w:r>
      <w:r>
        <w:rPr>
          <w:rFonts w:ascii="TT Norms Pro Light"/>
          <w:b w:val="0"/>
          <w:spacing w:val="40"/>
          <w:sz w:val="16"/>
        </w:rPr>
        <w:t> </w:t>
      </w:r>
      <w:r>
        <w:rPr>
          <w:rFonts w:ascii="TT Norms Pro Light"/>
          <w:b w:val="0"/>
          <w:sz w:val="16"/>
        </w:rPr>
        <w:t>Eight universities and a foundation member of</w:t>
      </w:r>
      <w:r>
        <w:rPr>
          <w:rFonts w:ascii="TT Norms Pro Light"/>
          <w:b w:val="0"/>
          <w:spacing w:val="40"/>
          <w:sz w:val="16"/>
        </w:rPr>
        <w:t> </w:t>
      </w:r>
      <w:r>
        <w:rPr>
          <w:rFonts w:ascii="TT Norms Pro Light"/>
          <w:b w:val="0"/>
          <w:sz w:val="16"/>
        </w:rPr>
        <w:t>the Matariki Network of high-quality, research-</w:t>
      </w:r>
      <w:r>
        <w:rPr>
          <w:rFonts w:ascii="TT Norms Pro Light"/>
          <w:b w:val="0"/>
          <w:spacing w:val="40"/>
          <w:sz w:val="16"/>
        </w:rPr>
        <w:t> </w:t>
      </w:r>
      <w:r>
        <w:rPr>
          <w:rFonts w:ascii="TT Norms Pro Light"/>
          <w:b w:val="0"/>
          <w:sz w:val="16"/>
        </w:rPr>
        <w:t>intensive universities with a particular focus on</w:t>
      </w:r>
      <w:r>
        <w:rPr>
          <w:rFonts w:ascii="TT Norms Pro Light"/>
          <w:b w:val="0"/>
          <w:spacing w:val="40"/>
          <w:sz w:val="16"/>
        </w:rPr>
        <w:t> </w:t>
      </w:r>
      <w:r>
        <w:rPr>
          <w:rFonts w:ascii="TT Norms Pro Light"/>
          <w:b w:val="0"/>
          <w:sz w:val="16"/>
        </w:rPr>
        <w:t>student</w:t>
      </w:r>
      <w:r>
        <w:rPr>
          <w:rFonts w:ascii="TT Norms Pro Light"/>
          <w:b w:val="0"/>
          <w:spacing w:val="-8"/>
          <w:sz w:val="16"/>
        </w:rPr>
        <w:t> </w:t>
      </w:r>
      <w:r>
        <w:rPr>
          <w:rFonts w:ascii="TT Norms Pro Light"/>
          <w:b w:val="0"/>
          <w:sz w:val="16"/>
        </w:rPr>
        <w:t>experience.</w:t>
      </w:r>
    </w:p>
    <w:p>
      <w:pPr>
        <w:pStyle w:val="BodyText"/>
        <w:spacing w:before="55"/>
        <w:rPr>
          <w:b w:val="0"/>
          <w:sz w:val="16"/>
        </w:rPr>
      </w:pPr>
    </w:p>
    <w:p>
      <w:pPr>
        <w:spacing w:line="307" w:lineRule="auto" w:before="0"/>
        <w:ind w:left="1866" w:right="71" w:firstLine="0"/>
        <w:jc w:val="left"/>
        <w:rPr>
          <w:rFonts w:ascii="TT Norms Pro Light" w:hAnsi="TT Norms Pro Light"/>
          <w:b w:val="0"/>
          <w:sz w:val="16"/>
        </w:rPr>
      </w:pPr>
      <w:r>
        <w:rPr>
          <w:rFonts w:ascii="TT Norms Pro Light" w:hAnsi="TT Norms Pro Light"/>
          <w:b w:val="0"/>
          <w:sz w:val="16"/>
        </w:rPr>
        <w:t>UWA has a strong connection to industry and</w:t>
      </w:r>
      <w:r>
        <w:rPr>
          <w:rFonts w:ascii="TT Norms Pro Light" w:hAnsi="TT Norms Pro Light"/>
          <w:b w:val="0"/>
          <w:spacing w:val="40"/>
          <w:sz w:val="16"/>
        </w:rPr>
        <w:t> </w:t>
      </w:r>
      <w:r>
        <w:rPr>
          <w:rFonts w:ascii="TT Norms Pro Light" w:hAnsi="TT Norms Pro Light"/>
          <w:b w:val="0"/>
          <w:sz w:val="16"/>
        </w:rPr>
        <w:t>government, supports communities both</w:t>
      </w:r>
      <w:r>
        <w:rPr>
          <w:rFonts w:ascii="TT Norms Pro Light" w:hAnsi="TT Norms Pro Light"/>
          <w:b w:val="0"/>
          <w:spacing w:val="40"/>
          <w:sz w:val="16"/>
        </w:rPr>
        <w:t> </w:t>
      </w:r>
      <w:r>
        <w:rPr>
          <w:rFonts w:ascii="TT Norms Pro Light" w:hAnsi="TT Norms Pro Light"/>
          <w:b w:val="0"/>
          <w:sz w:val="16"/>
        </w:rPr>
        <w:t>locally and internationally, and is driven to</w:t>
      </w:r>
      <w:r>
        <w:rPr>
          <w:rFonts w:ascii="TT Norms Pro Light" w:hAnsi="TT Norms Pro Light"/>
          <w:b w:val="0"/>
          <w:spacing w:val="40"/>
          <w:sz w:val="16"/>
        </w:rPr>
        <w:t> </w:t>
      </w:r>
      <w:r>
        <w:rPr>
          <w:rFonts w:ascii="TT Norms Pro Light" w:hAnsi="TT Norms Pro Light"/>
          <w:b w:val="0"/>
          <w:sz w:val="16"/>
        </w:rPr>
        <w:t>make the most of its collective potential and</w:t>
      </w:r>
      <w:r>
        <w:rPr>
          <w:rFonts w:ascii="TT Norms Pro Light" w:hAnsi="TT Norms Pro Light"/>
          <w:b w:val="0"/>
          <w:spacing w:val="40"/>
          <w:sz w:val="16"/>
        </w:rPr>
        <w:t> </w:t>
      </w:r>
      <w:r>
        <w:rPr>
          <w:rFonts w:ascii="TT Norms Pro Light" w:hAnsi="TT Norms Pro Light"/>
          <w:b w:val="0"/>
          <w:sz w:val="16"/>
        </w:rPr>
        <w:t>contribute to the world’s advancement.</w:t>
      </w:r>
    </w:p>
    <w:p>
      <w:pPr>
        <w:pStyle w:val="Heading9"/>
        <w:spacing w:before="131"/>
        <w:ind w:left="922"/>
        <w:rPr>
          <w:rFonts w:ascii="TT Norms Pro"/>
        </w:rPr>
      </w:pPr>
      <w:r>
        <w:rPr>
          <w:b w:val="0"/>
        </w:rPr>
        <w:br w:type="column"/>
      </w:r>
      <w:r>
        <w:rPr/>
        <w:t>OUR</w:t>
      </w:r>
      <w:r>
        <w:rPr>
          <w:spacing w:val="9"/>
        </w:rPr>
        <w:t> </w:t>
      </w:r>
      <w:r>
        <w:rPr>
          <w:rFonts w:ascii="TT Norms Pro"/>
          <w:spacing w:val="-2"/>
        </w:rPr>
        <w:t>CAMPUSES</w:t>
      </w:r>
    </w:p>
    <w:p>
      <w:pPr>
        <w:spacing w:before="96"/>
        <w:ind w:left="922" w:right="0" w:firstLine="0"/>
        <w:jc w:val="left"/>
        <w:rPr>
          <w:rFonts w:ascii="TT Norms Pro Medium"/>
          <w:b/>
          <w:sz w:val="22"/>
        </w:rPr>
      </w:pPr>
      <w:r>
        <w:rPr>
          <w:rFonts w:ascii="TT Norms Pro Medium"/>
          <w:b/>
          <w:sz w:val="22"/>
        </w:rPr>
        <w:t>PERTH/CRAWLEY</w:t>
      </w:r>
      <w:r>
        <w:rPr>
          <w:rFonts w:ascii="TT Norms Pro Medium"/>
          <w:b/>
          <w:spacing w:val="27"/>
          <w:sz w:val="22"/>
        </w:rPr>
        <w:t> </w:t>
      </w:r>
      <w:r>
        <w:rPr>
          <w:rFonts w:ascii="TT Norms Pro Medium"/>
          <w:b/>
          <w:spacing w:val="-2"/>
          <w:sz w:val="22"/>
        </w:rPr>
        <w:t>CAMPUS</w:t>
      </w:r>
    </w:p>
    <w:p>
      <w:pPr>
        <w:spacing w:line="307" w:lineRule="auto" w:before="153"/>
        <w:ind w:left="922" w:right="1507" w:firstLine="0"/>
        <w:jc w:val="left"/>
        <w:rPr>
          <w:rFonts w:ascii="TT Norms Pro Light" w:hAnsi="TT Norms Pro Light"/>
          <w:b w:val="0"/>
          <w:sz w:val="16"/>
        </w:rPr>
      </w:pPr>
      <w:r>
        <w:rPr>
          <w:rFonts w:ascii="TT Norms Pro Light" w:hAnsi="TT Norms Pro Light"/>
          <w:b w:val="0"/>
          <w:sz w:val="16"/>
        </w:rPr>
        <w:t>Set on 65-hectares, UWA’s historic main</w:t>
      </w:r>
      <w:r>
        <w:rPr>
          <w:rFonts w:ascii="TT Norms Pro Light" w:hAnsi="TT Norms Pro Light"/>
          <w:b w:val="0"/>
          <w:spacing w:val="40"/>
          <w:sz w:val="16"/>
        </w:rPr>
        <w:t> </w:t>
      </w:r>
      <w:r>
        <w:rPr>
          <w:rFonts w:ascii="TT Norms Pro Light" w:hAnsi="TT Norms Pro Light"/>
          <w:b w:val="0"/>
          <w:sz w:val="16"/>
        </w:rPr>
        <w:t>campus sits on the banks of the Swan River,</w:t>
      </w:r>
      <w:r>
        <w:rPr>
          <w:rFonts w:ascii="TT Norms Pro Light" w:hAnsi="TT Norms Pro Light"/>
          <w:b w:val="0"/>
          <w:spacing w:val="40"/>
          <w:sz w:val="16"/>
        </w:rPr>
        <w:t> </w:t>
      </w:r>
      <w:r>
        <w:rPr>
          <w:rFonts w:ascii="TT Norms Pro Light" w:hAnsi="TT Norms Pro Light"/>
          <w:b w:val="0"/>
          <w:sz w:val="16"/>
        </w:rPr>
        <w:t>next to Kings Park and just minutes from</w:t>
      </w:r>
      <w:r>
        <w:rPr>
          <w:rFonts w:ascii="TT Norms Pro Light" w:hAnsi="TT Norms Pro Light"/>
          <w:b w:val="0"/>
          <w:spacing w:val="80"/>
          <w:sz w:val="16"/>
        </w:rPr>
        <w:t> </w:t>
      </w:r>
      <w:r>
        <w:rPr>
          <w:rFonts w:ascii="TT Norms Pro Light" w:hAnsi="TT Norms Pro Light"/>
          <w:b w:val="0"/>
          <w:sz w:val="16"/>
        </w:rPr>
        <w:t>Perth’s central business district, with additional</w:t>
      </w:r>
      <w:r>
        <w:rPr>
          <w:rFonts w:ascii="TT Norms Pro Light" w:hAnsi="TT Norms Pro Light"/>
          <w:b w:val="0"/>
          <w:spacing w:val="40"/>
          <w:sz w:val="16"/>
        </w:rPr>
        <w:t> </w:t>
      </w:r>
      <w:r>
        <w:rPr>
          <w:rFonts w:ascii="TT Norms Pro Light" w:hAnsi="TT Norms Pro Light"/>
          <w:b w:val="0"/>
          <w:sz w:val="16"/>
        </w:rPr>
        <w:t>facilities in Claremont and Nedlands.</w:t>
      </w:r>
    </w:p>
    <w:p>
      <w:pPr>
        <w:pStyle w:val="BodyText"/>
        <w:spacing w:before="38"/>
        <w:rPr>
          <w:b w:val="0"/>
          <w:sz w:val="16"/>
        </w:rPr>
      </w:pPr>
    </w:p>
    <w:p>
      <w:pPr>
        <w:pStyle w:val="Heading9"/>
        <w:ind w:left="922"/>
        <w:rPr>
          <w:rFonts w:ascii="TT Norms Pro"/>
        </w:rPr>
      </w:pPr>
      <w:r>
        <w:rPr/>
        <w:t>UWA</w:t>
      </w:r>
      <w:r>
        <w:rPr>
          <w:spacing w:val="22"/>
        </w:rPr>
        <w:t> </w:t>
      </w:r>
      <w:r>
        <w:rPr>
          <w:rFonts w:ascii="TT Norms Pro"/>
        </w:rPr>
        <w:t>HEALTH</w:t>
      </w:r>
      <w:r>
        <w:rPr>
          <w:rFonts w:ascii="TT Norms Pro"/>
          <w:spacing w:val="28"/>
        </w:rPr>
        <w:t> </w:t>
      </w:r>
      <w:r>
        <w:rPr>
          <w:rFonts w:ascii="TT Norms Pro"/>
          <w:spacing w:val="-2"/>
        </w:rPr>
        <w:t>CAMPUS</w:t>
      </w:r>
    </w:p>
    <w:p>
      <w:pPr>
        <w:spacing w:line="307" w:lineRule="auto" w:before="153"/>
        <w:ind w:left="922" w:right="1530" w:firstLine="0"/>
        <w:jc w:val="left"/>
        <w:rPr>
          <w:rFonts w:ascii="TT Norms Pro Light"/>
          <w:b w:val="0"/>
          <w:sz w:val="16"/>
        </w:rPr>
      </w:pPr>
      <w:r>
        <w:rPr>
          <w:rFonts w:ascii="TT Norms Pro Light"/>
          <w:b w:val="0"/>
          <w:sz w:val="16"/>
        </w:rPr>
        <w:t>Located at the Queen Elizabeth II Medical</w:t>
      </w:r>
      <w:r>
        <w:rPr>
          <w:rFonts w:ascii="TT Norms Pro Light"/>
          <w:b w:val="0"/>
          <w:spacing w:val="40"/>
          <w:sz w:val="16"/>
        </w:rPr>
        <w:t> </w:t>
      </w:r>
      <w:r>
        <w:rPr>
          <w:rFonts w:ascii="TT Norms Pro Light"/>
          <w:b w:val="0"/>
          <w:sz w:val="16"/>
        </w:rPr>
        <w:t>Centre grounds in Nedlands, the UWA Health</w:t>
      </w:r>
      <w:r>
        <w:rPr>
          <w:rFonts w:ascii="TT Norms Pro Light"/>
          <w:b w:val="0"/>
          <w:spacing w:val="40"/>
          <w:sz w:val="16"/>
        </w:rPr>
        <w:t> </w:t>
      </w:r>
      <w:r>
        <w:rPr>
          <w:rFonts w:ascii="TT Norms Pro Light"/>
          <w:b w:val="0"/>
          <w:sz w:val="16"/>
        </w:rPr>
        <w:t>Campus connects students and researchers</w:t>
      </w:r>
      <w:r>
        <w:rPr>
          <w:rFonts w:ascii="TT Norms Pro Light"/>
          <w:b w:val="0"/>
          <w:spacing w:val="40"/>
          <w:sz w:val="16"/>
        </w:rPr>
        <w:t> </w:t>
      </w:r>
      <w:r>
        <w:rPr>
          <w:rFonts w:ascii="TT Norms Pro Light"/>
          <w:b w:val="0"/>
          <w:sz w:val="16"/>
        </w:rPr>
        <w:t>with hospitals, institutes and healthcare</w:t>
      </w:r>
      <w:r>
        <w:rPr>
          <w:rFonts w:ascii="TT Norms Pro Light"/>
          <w:b w:val="0"/>
          <w:spacing w:val="40"/>
          <w:sz w:val="16"/>
        </w:rPr>
        <w:t> </w:t>
      </w:r>
      <w:r>
        <w:rPr>
          <w:rFonts w:ascii="TT Norms Pro Light"/>
          <w:b w:val="0"/>
          <w:spacing w:val="-2"/>
          <w:sz w:val="16"/>
        </w:rPr>
        <w:t>providers.</w:t>
      </w:r>
    </w:p>
    <w:p>
      <w:pPr>
        <w:pStyle w:val="BodyText"/>
        <w:spacing w:before="37"/>
        <w:rPr>
          <w:b w:val="0"/>
          <w:sz w:val="16"/>
        </w:rPr>
      </w:pPr>
    </w:p>
    <w:p>
      <w:pPr>
        <w:pStyle w:val="Heading9"/>
        <w:ind w:left="922"/>
        <w:rPr>
          <w:rFonts w:ascii="TT Norms Pro"/>
        </w:rPr>
      </w:pPr>
      <w:r>
        <w:rPr/>
        <w:t>UWA</w:t>
      </w:r>
      <w:r>
        <w:rPr>
          <w:spacing w:val="27"/>
        </w:rPr>
        <w:t> </w:t>
      </w:r>
      <w:r>
        <w:rPr>
          <w:rFonts w:ascii="TT Norms Pro"/>
        </w:rPr>
        <w:t>ALBANY</w:t>
      </w:r>
      <w:r>
        <w:rPr>
          <w:rFonts w:ascii="TT Norms Pro"/>
          <w:spacing w:val="34"/>
        </w:rPr>
        <w:t> </w:t>
      </w:r>
      <w:r>
        <w:rPr>
          <w:rFonts w:ascii="TT Norms Pro"/>
          <w:spacing w:val="-2"/>
        </w:rPr>
        <w:t>CENTRE</w:t>
      </w:r>
    </w:p>
    <w:p>
      <w:pPr>
        <w:spacing w:before="153"/>
        <w:ind w:left="922" w:right="0" w:firstLine="0"/>
        <w:jc w:val="left"/>
        <w:rPr>
          <w:rFonts w:ascii="TT Norms Pro Light" w:hAnsi="TT Norms Pro Light"/>
          <w:b w:val="0"/>
          <w:sz w:val="16"/>
        </w:rPr>
      </w:pPr>
      <w:r>
        <w:rPr>
          <w:rFonts w:ascii="TT Norms Pro Light" w:hAnsi="TT Norms Pro Light"/>
          <w:b w:val="0"/>
          <w:sz w:val="16"/>
        </w:rPr>
        <w:t>Based</w:t>
      </w:r>
      <w:r>
        <w:rPr>
          <w:rFonts w:ascii="TT Norms Pro Light" w:hAnsi="TT Norms Pro Light"/>
          <w:b w:val="0"/>
          <w:spacing w:val="3"/>
          <w:sz w:val="16"/>
        </w:rPr>
        <w:t> </w:t>
      </w:r>
      <w:r>
        <w:rPr>
          <w:rFonts w:ascii="TT Norms Pro Light" w:hAnsi="TT Norms Pro Light"/>
          <w:b w:val="0"/>
          <w:sz w:val="16"/>
        </w:rPr>
        <w:t>in</w:t>
      </w:r>
      <w:r>
        <w:rPr>
          <w:rFonts w:ascii="TT Norms Pro Light" w:hAnsi="TT Norms Pro Light"/>
          <w:b w:val="0"/>
          <w:spacing w:val="4"/>
          <w:sz w:val="16"/>
        </w:rPr>
        <w:t> </w:t>
      </w:r>
      <w:r>
        <w:rPr>
          <w:rFonts w:ascii="TT Norms Pro Light" w:hAnsi="TT Norms Pro Light"/>
          <w:b w:val="0"/>
          <w:sz w:val="16"/>
        </w:rPr>
        <w:t>the</w:t>
      </w:r>
      <w:r>
        <w:rPr>
          <w:rFonts w:ascii="TT Norms Pro Light" w:hAnsi="TT Norms Pro Light"/>
          <w:b w:val="0"/>
          <w:spacing w:val="3"/>
          <w:sz w:val="16"/>
        </w:rPr>
        <w:t> </w:t>
      </w:r>
      <w:r>
        <w:rPr>
          <w:rFonts w:ascii="TT Norms Pro Light" w:hAnsi="TT Norms Pro Light"/>
          <w:b w:val="0"/>
          <w:sz w:val="16"/>
        </w:rPr>
        <w:t>state’s</w:t>
      </w:r>
      <w:r>
        <w:rPr>
          <w:rFonts w:ascii="TT Norms Pro Light" w:hAnsi="TT Norms Pro Light"/>
          <w:b w:val="0"/>
          <w:spacing w:val="4"/>
          <w:sz w:val="16"/>
        </w:rPr>
        <w:t> </w:t>
      </w:r>
      <w:r>
        <w:rPr>
          <w:rFonts w:ascii="TT Norms Pro Light" w:hAnsi="TT Norms Pro Light"/>
          <w:b w:val="0"/>
          <w:sz w:val="16"/>
        </w:rPr>
        <w:t>Great</w:t>
      </w:r>
      <w:r>
        <w:rPr>
          <w:rFonts w:ascii="TT Norms Pro Light" w:hAnsi="TT Norms Pro Light"/>
          <w:b w:val="0"/>
          <w:spacing w:val="3"/>
          <w:sz w:val="16"/>
        </w:rPr>
        <w:t> </w:t>
      </w:r>
      <w:r>
        <w:rPr>
          <w:rFonts w:ascii="TT Norms Pro Light" w:hAnsi="TT Norms Pro Light"/>
          <w:b w:val="0"/>
          <w:sz w:val="16"/>
        </w:rPr>
        <w:t>Southern</w:t>
      </w:r>
      <w:r>
        <w:rPr>
          <w:rFonts w:ascii="TT Norms Pro Light" w:hAnsi="TT Norms Pro Light"/>
          <w:b w:val="0"/>
          <w:spacing w:val="4"/>
          <w:sz w:val="16"/>
        </w:rPr>
        <w:t> </w:t>
      </w:r>
      <w:r>
        <w:rPr>
          <w:rFonts w:ascii="TT Norms Pro Light" w:hAnsi="TT Norms Pro Light"/>
          <w:b w:val="0"/>
          <w:spacing w:val="-2"/>
          <w:sz w:val="16"/>
        </w:rPr>
        <w:t>region</w:t>
      </w:r>
    </w:p>
    <w:p>
      <w:pPr>
        <w:spacing w:line="307" w:lineRule="auto" w:before="53"/>
        <w:ind w:left="922" w:right="1498" w:firstLine="0"/>
        <w:jc w:val="left"/>
        <w:rPr>
          <w:rFonts w:ascii="TT Norms Pro Light"/>
          <w:b w:val="0"/>
          <w:sz w:val="16"/>
        </w:rPr>
      </w:pPr>
      <w:r>
        <w:rPr>
          <w:rFonts w:ascii="TT Norms Pro Light"/>
          <w:b w:val="0"/>
          <w:sz w:val="16"/>
        </w:rPr>
        <w:t>and situated in a biodiversity hotspot, the UWA</w:t>
      </w:r>
      <w:r>
        <w:rPr>
          <w:rFonts w:ascii="TT Norms Pro Light"/>
          <w:b w:val="0"/>
          <w:spacing w:val="40"/>
          <w:sz w:val="16"/>
        </w:rPr>
        <w:t> </w:t>
      </w:r>
      <w:r>
        <w:rPr>
          <w:rFonts w:ascii="TT Norms Pro Light"/>
          <w:b w:val="0"/>
          <w:sz w:val="16"/>
        </w:rPr>
        <w:t>Albany Centre allows students to experience</w:t>
      </w:r>
      <w:r>
        <w:rPr>
          <w:rFonts w:ascii="TT Norms Pro Light"/>
          <w:b w:val="0"/>
          <w:spacing w:val="80"/>
          <w:w w:val="150"/>
          <w:sz w:val="16"/>
        </w:rPr>
        <w:t> </w:t>
      </w:r>
      <w:r>
        <w:rPr>
          <w:rFonts w:ascii="TT Norms Pro Light"/>
          <w:b w:val="0"/>
          <w:sz w:val="16"/>
        </w:rPr>
        <w:t>all that regional WA has to offer.</w:t>
      </w:r>
      <w:r>
        <w:rPr>
          <w:rFonts w:ascii="TT Norms Pro Light"/>
          <w:b w:val="0"/>
          <w:spacing w:val="40"/>
          <w:sz w:val="16"/>
        </w:rPr>
        <w:t> </w:t>
      </w:r>
      <w:r>
        <w:rPr>
          <w:rFonts w:ascii="TT Norms Pro Light"/>
          <w:b w:val="0"/>
          <w:sz w:val="16"/>
        </w:rPr>
        <w:t>In addition</w:t>
      </w:r>
    </w:p>
    <w:p>
      <w:pPr>
        <w:spacing w:line="307" w:lineRule="auto" w:before="1"/>
        <w:ind w:left="922" w:right="1530" w:firstLine="0"/>
        <w:jc w:val="left"/>
        <w:rPr>
          <w:rFonts w:ascii="TT Norms Pro Light"/>
          <w:b w:val="0"/>
          <w:sz w:val="16"/>
        </w:rPr>
      </w:pPr>
      <w:r>
        <w:rPr>
          <w:rFonts w:ascii="TT Norms Pro Light"/>
          <w:b w:val="0"/>
          <w:sz w:val="16"/>
        </w:rPr>
        <w:t>to being able to complete an undergraduate</w:t>
      </w:r>
      <w:r>
        <w:rPr>
          <w:rFonts w:ascii="TT Norms Pro Light"/>
          <w:b w:val="0"/>
          <w:spacing w:val="40"/>
          <w:sz w:val="16"/>
        </w:rPr>
        <w:t> </w:t>
      </w:r>
      <w:r>
        <w:rPr>
          <w:rFonts w:ascii="TT Norms Pro Light"/>
          <w:b w:val="0"/>
          <w:sz w:val="16"/>
        </w:rPr>
        <w:t>degree in the region, there are opportunities</w:t>
      </w:r>
      <w:r>
        <w:rPr>
          <w:rFonts w:ascii="TT Norms Pro Light"/>
          <w:b w:val="0"/>
          <w:spacing w:val="40"/>
          <w:sz w:val="16"/>
        </w:rPr>
        <w:t> </w:t>
      </w:r>
      <w:r>
        <w:rPr>
          <w:rFonts w:ascii="TT Norms Pro Light"/>
          <w:b w:val="0"/>
          <w:sz w:val="16"/>
        </w:rPr>
        <w:t>for students to participate in research projects</w:t>
      </w:r>
      <w:r>
        <w:rPr>
          <w:rFonts w:ascii="TT Norms Pro Light"/>
          <w:b w:val="0"/>
          <w:spacing w:val="40"/>
          <w:sz w:val="16"/>
        </w:rPr>
        <w:t> </w:t>
      </w:r>
      <w:r>
        <w:rPr>
          <w:rFonts w:ascii="TT Norms Pro Light"/>
          <w:b w:val="0"/>
          <w:sz w:val="16"/>
        </w:rPr>
        <w:t>in the fields of environmental research and</w:t>
      </w:r>
      <w:r>
        <w:rPr>
          <w:rFonts w:ascii="TT Norms Pro Light"/>
          <w:b w:val="0"/>
          <w:spacing w:val="40"/>
          <w:sz w:val="16"/>
        </w:rPr>
        <w:t> </w:t>
      </w:r>
      <w:r>
        <w:rPr>
          <w:rFonts w:ascii="TT Norms Pro Light"/>
          <w:b w:val="0"/>
          <w:sz w:val="16"/>
        </w:rPr>
        <w:t>wave</w:t>
      </w:r>
      <w:r>
        <w:rPr>
          <w:rFonts w:ascii="TT Norms Pro Light"/>
          <w:b w:val="0"/>
          <w:spacing w:val="-8"/>
          <w:sz w:val="16"/>
        </w:rPr>
        <w:t> </w:t>
      </w:r>
      <w:r>
        <w:rPr>
          <w:rFonts w:ascii="TT Norms Pro Light"/>
          <w:b w:val="0"/>
          <w:sz w:val="16"/>
        </w:rPr>
        <w:t>energy.</w:t>
      </w:r>
    </w:p>
    <w:p>
      <w:pPr>
        <w:spacing w:after="0" w:line="307" w:lineRule="auto"/>
        <w:jc w:val="left"/>
        <w:rPr>
          <w:rFonts w:ascii="TT Norms Pro Light"/>
          <w:sz w:val="16"/>
        </w:rPr>
        <w:sectPr>
          <w:type w:val="continuous"/>
          <w:pgSz w:w="11910" w:h="16840"/>
          <w:pgMar w:header="468" w:footer="0" w:top="980" w:bottom="280" w:left="940" w:right="0"/>
          <w:cols w:num="2" w:equalWidth="0">
            <w:col w:w="5198" w:space="40"/>
            <w:col w:w="5732"/>
          </w:cols>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14"/>
        <w:rPr>
          <w:b w:val="0"/>
          <w:sz w:val="20"/>
        </w:rPr>
      </w:pPr>
    </w:p>
    <w:p>
      <w:pPr>
        <w:spacing w:after="0"/>
        <w:rPr>
          <w:sz w:val="20"/>
        </w:rPr>
        <w:sectPr>
          <w:pgSz w:w="11910" w:h="16840"/>
          <w:pgMar w:header="468" w:footer="0" w:top="720" w:bottom="280" w:left="940" w:right="0"/>
        </w:sectPr>
      </w:pPr>
    </w:p>
    <w:p>
      <w:pPr>
        <w:pStyle w:val="BodyText"/>
        <w:rPr>
          <w:b w:val="0"/>
          <w:sz w:val="22"/>
        </w:rPr>
      </w:pPr>
      <w:r>
        <w:rPr/>
        <mc:AlternateContent>
          <mc:Choice Requires="wps">
            <w:drawing>
              <wp:anchor distT="0" distB="0" distL="0" distR="0" allowOverlap="1" layoutInCell="1" locked="0" behindDoc="1" simplePos="0" relativeHeight="472590336">
                <wp:simplePos x="0" y="0"/>
                <wp:positionH relativeFrom="page">
                  <wp:posOffset>0</wp:posOffset>
                </wp:positionH>
                <wp:positionV relativeFrom="page">
                  <wp:posOffset>543903</wp:posOffset>
                </wp:positionV>
                <wp:extent cx="7560309" cy="10148570"/>
                <wp:effectExtent l="0" t="0" r="0" b="0"/>
                <wp:wrapNone/>
                <wp:docPr id="50" name="Group 50"/>
                <wp:cNvGraphicFramePr>
                  <a:graphicFrameLocks/>
                </wp:cNvGraphicFramePr>
                <a:graphic>
                  <a:graphicData uri="http://schemas.microsoft.com/office/word/2010/wordprocessingGroup">
                    <wpg:wgp>
                      <wpg:cNvPr id="50" name="Group 50"/>
                      <wpg:cNvGrpSpPr/>
                      <wpg:grpSpPr>
                        <a:xfrm>
                          <a:off x="0" y="0"/>
                          <a:ext cx="7560309" cy="10148570"/>
                          <a:chExt cx="7560309" cy="10148570"/>
                        </a:xfrm>
                      </wpg:grpSpPr>
                      <pic:pic>
                        <pic:nvPicPr>
                          <pic:cNvPr id="51" name="Image 51"/>
                          <pic:cNvPicPr/>
                        </pic:nvPicPr>
                        <pic:blipFill>
                          <a:blip r:embed="rId27" cstate="print"/>
                          <a:stretch>
                            <a:fillRect/>
                          </a:stretch>
                        </pic:blipFill>
                        <pic:spPr>
                          <a:xfrm>
                            <a:off x="0" y="0"/>
                            <a:ext cx="3653993" cy="2637434"/>
                          </a:xfrm>
                          <a:prstGeom prst="rect">
                            <a:avLst/>
                          </a:prstGeom>
                        </pic:spPr>
                      </pic:pic>
                      <pic:pic>
                        <pic:nvPicPr>
                          <pic:cNvPr id="52" name="Image 52"/>
                          <pic:cNvPicPr/>
                        </pic:nvPicPr>
                        <pic:blipFill>
                          <a:blip r:embed="rId28" cstate="print"/>
                          <a:stretch>
                            <a:fillRect/>
                          </a:stretch>
                        </pic:blipFill>
                        <pic:spPr>
                          <a:xfrm>
                            <a:off x="1529994" y="4424108"/>
                            <a:ext cx="6029998" cy="5723991"/>
                          </a:xfrm>
                          <a:prstGeom prst="rect">
                            <a:avLst/>
                          </a:prstGeom>
                        </pic:spPr>
                      </pic:pic>
                      <wps:wsp>
                        <wps:cNvPr id="53" name="Graphic 53"/>
                        <wps:cNvSpPr/>
                        <wps:spPr>
                          <a:xfrm>
                            <a:off x="408000" y="2220798"/>
                            <a:ext cx="3408045" cy="4889500"/>
                          </a:xfrm>
                          <a:custGeom>
                            <a:avLst/>
                            <a:gdLst/>
                            <a:ahLst/>
                            <a:cxnLst/>
                            <a:rect l="l" t="t" r="r" b="b"/>
                            <a:pathLst>
                              <a:path w="3408045" h="4889500">
                                <a:moveTo>
                                  <a:pt x="3407994" y="0"/>
                                </a:moveTo>
                                <a:lnTo>
                                  <a:pt x="0" y="0"/>
                                </a:lnTo>
                                <a:lnTo>
                                  <a:pt x="0" y="4889500"/>
                                </a:lnTo>
                                <a:lnTo>
                                  <a:pt x="3407994" y="4889500"/>
                                </a:lnTo>
                                <a:lnTo>
                                  <a:pt x="340799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42.827015pt;width:595.3pt;height:799.1pt;mso-position-horizontal-relative:page;mso-position-vertical-relative:page;z-index:-30726144" id="docshapegroup42" coordorigin="0,857" coordsize="11906,15982">
                <v:shape style="position:absolute;left:0;top:856;width:5755;height:4154" type="#_x0000_t75" id="docshape43" stroked="false">
                  <v:imagedata r:id="rId27" o:title=""/>
                </v:shape>
                <v:shape style="position:absolute;left:2409;top:7823;width:9497;height:9015" type="#_x0000_t75" id="docshape44" stroked="false">
                  <v:imagedata r:id="rId28" o:title=""/>
                </v:shape>
                <v:rect style="position:absolute;left:642;top:4353;width:5367;height:7700" id="docshape45" filled="true" fillcolor="#ffffff" stroked="false">
                  <v:fill type="solid"/>
                </v:rect>
                <w10:wrap type="none"/>
              </v:group>
            </w:pict>
          </mc:Fallback>
        </mc:AlternateContent>
      </w:r>
    </w:p>
    <w:p>
      <w:pPr>
        <w:pStyle w:val="BodyText"/>
        <w:rPr>
          <w:b w:val="0"/>
          <w:sz w:val="22"/>
        </w:rPr>
      </w:pPr>
    </w:p>
    <w:p>
      <w:pPr>
        <w:pStyle w:val="BodyText"/>
        <w:rPr>
          <w:b w:val="0"/>
          <w:sz w:val="22"/>
        </w:rPr>
      </w:pPr>
    </w:p>
    <w:p>
      <w:pPr>
        <w:pStyle w:val="BodyText"/>
        <w:rPr>
          <w:b w:val="0"/>
          <w:sz w:val="22"/>
        </w:rPr>
      </w:pPr>
    </w:p>
    <w:p>
      <w:pPr>
        <w:pStyle w:val="BodyText"/>
        <w:rPr>
          <w:b w:val="0"/>
          <w:sz w:val="22"/>
        </w:rPr>
      </w:pPr>
    </w:p>
    <w:p>
      <w:pPr>
        <w:pStyle w:val="BodyText"/>
        <w:rPr>
          <w:b w:val="0"/>
          <w:sz w:val="22"/>
        </w:rPr>
      </w:pPr>
    </w:p>
    <w:p>
      <w:pPr>
        <w:pStyle w:val="BodyText"/>
        <w:rPr>
          <w:b w:val="0"/>
          <w:sz w:val="22"/>
        </w:rPr>
      </w:pPr>
    </w:p>
    <w:p>
      <w:pPr>
        <w:pStyle w:val="BodyText"/>
        <w:rPr>
          <w:b w:val="0"/>
          <w:sz w:val="22"/>
        </w:rPr>
      </w:pPr>
    </w:p>
    <w:p>
      <w:pPr>
        <w:pStyle w:val="BodyText"/>
        <w:rPr>
          <w:b w:val="0"/>
          <w:sz w:val="22"/>
        </w:rPr>
      </w:pPr>
    </w:p>
    <w:p>
      <w:pPr>
        <w:pStyle w:val="BodyText"/>
        <w:rPr>
          <w:b w:val="0"/>
          <w:sz w:val="22"/>
        </w:rPr>
      </w:pPr>
    </w:p>
    <w:p>
      <w:pPr>
        <w:pStyle w:val="BodyText"/>
        <w:spacing w:before="2"/>
        <w:rPr>
          <w:b w:val="0"/>
          <w:sz w:val="22"/>
        </w:rPr>
      </w:pPr>
    </w:p>
    <w:p>
      <w:pPr>
        <w:pStyle w:val="Heading9"/>
        <w:rPr>
          <w:rFonts w:ascii="TT Norms Pro"/>
        </w:rPr>
      </w:pPr>
      <w:r>
        <w:rPr>
          <w:rFonts w:ascii="TT Norms Pro"/>
          <w:spacing w:val="-2"/>
        </w:rPr>
        <w:t>MISSION</w:t>
      </w:r>
    </w:p>
    <w:p>
      <w:pPr>
        <w:spacing w:line="307" w:lineRule="auto" w:before="153"/>
        <w:ind w:left="193" w:right="38" w:firstLine="0"/>
        <w:jc w:val="left"/>
        <w:rPr>
          <w:rFonts w:ascii="TT Norms Pro Light"/>
          <w:b w:val="0"/>
          <w:sz w:val="16"/>
        </w:rPr>
      </w:pPr>
      <w:r>
        <w:rPr>
          <w:rFonts w:ascii="TT Norms Pro Light"/>
          <w:b w:val="0"/>
          <w:sz w:val="16"/>
        </w:rPr>
        <w:t>To provide world-class education, research and community</w:t>
      </w:r>
      <w:r>
        <w:rPr>
          <w:rFonts w:ascii="TT Norms Pro Light"/>
          <w:b w:val="0"/>
          <w:spacing w:val="40"/>
          <w:sz w:val="16"/>
        </w:rPr>
        <w:t> </w:t>
      </w:r>
      <w:r>
        <w:rPr>
          <w:rFonts w:ascii="TT Norms Pro Light"/>
          <w:b w:val="0"/>
          <w:sz w:val="16"/>
        </w:rPr>
        <w:t>engagement for the advancement of the prosperity and welfare</w:t>
      </w:r>
      <w:r>
        <w:rPr>
          <w:rFonts w:ascii="TT Norms Pro Light"/>
          <w:b w:val="0"/>
          <w:spacing w:val="40"/>
          <w:sz w:val="16"/>
        </w:rPr>
        <w:t> </w:t>
      </w:r>
      <w:r>
        <w:rPr>
          <w:rFonts w:ascii="TT Norms Pro Light"/>
          <w:b w:val="0"/>
          <w:sz w:val="16"/>
        </w:rPr>
        <w:t>of our communities.</w:t>
      </w:r>
    </w:p>
    <w:p>
      <w:pPr>
        <w:pStyle w:val="BodyText"/>
        <w:spacing w:before="37"/>
        <w:rPr>
          <w:b w:val="0"/>
          <w:sz w:val="16"/>
        </w:rPr>
      </w:pPr>
    </w:p>
    <w:p>
      <w:pPr>
        <w:pStyle w:val="Heading9"/>
        <w:rPr>
          <w:rFonts w:ascii="TT Norms Pro"/>
        </w:rPr>
      </w:pPr>
      <w:r>
        <w:rPr>
          <w:rFonts w:ascii="TT Norms Pro"/>
          <w:spacing w:val="-2"/>
        </w:rPr>
        <w:t>VISION</w:t>
      </w:r>
    </w:p>
    <w:p>
      <w:pPr>
        <w:spacing w:line="307" w:lineRule="auto" w:before="153"/>
        <w:ind w:left="193" w:right="412" w:firstLine="0"/>
        <w:jc w:val="left"/>
        <w:rPr>
          <w:rFonts w:ascii="TT Norms Pro Light"/>
          <w:b w:val="0"/>
          <w:sz w:val="16"/>
        </w:rPr>
      </w:pPr>
      <w:r>
        <w:rPr>
          <w:rFonts w:ascii="TT Norms Pro Light"/>
          <w:b w:val="0"/>
          <w:sz w:val="16"/>
        </w:rPr>
        <w:t>Creating the next generation of global leaders through</w:t>
      </w:r>
      <w:r>
        <w:rPr>
          <w:rFonts w:ascii="TT Norms Pro Light"/>
          <w:b w:val="0"/>
          <w:spacing w:val="40"/>
          <w:sz w:val="16"/>
        </w:rPr>
        <w:t> </w:t>
      </w:r>
      <w:r>
        <w:rPr>
          <w:rFonts w:ascii="TT Norms Pro Light"/>
          <w:b w:val="0"/>
          <w:sz w:val="16"/>
        </w:rPr>
        <w:t>experience-rich education and world-leading, trustworthy</w:t>
      </w:r>
      <w:r>
        <w:rPr>
          <w:rFonts w:ascii="TT Norms Pro Light"/>
          <w:b w:val="0"/>
          <w:spacing w:val="40"/>
          <w:sz w:val="16"/>
        </w:rPr>
        <w:t> </w:t>
      </w:r>
      <w:r>
        <w:rPr>
          <w:rFonts w:ascii="TT Norms Pro Light"/>
          <w:b w:val="0"/>
          <w:spacing w:val="-2"/>
          <w:sz w:val="16"/>
        </w:rPr>
        <w:t>research.</w:t>
      </w:r>
    </w:p>
    <w:p>
      <w:pPr>
        <w:pStyle w:val="BodyText"/>
        <w:spacing w:before="37"/>
        <w:rPr>
          <w:b w:val="0"/>
          <w:sz w:val="16"/>
        </w:rPr>
      </w:pPr>
    </w:p>
    <w:p>
      <w:pPr>
        <w:pStyle w:val="Heading9"/>
        <w:rPr>
          <w:rFonts w:ascii="TT Norms Pro"/>
        </w:rPr>
      </w:pPr>
      <w:r>
        <w:rPr>
          <w:rFonts w:ascii="TT Norms Pro"/>
          <w:spacing w:val="-4"/>
        </w:rPr>
        <w:t>MOTTO</w:t>
      </w:r>
    </w:p>
    <w:p>
      <w:pPr>
        <w:spacing w:before="153"/>
        <w:ind w:left="193" w:right="0" w:firstLine="0"/>
        <w:jc w:val="left"/>
        <w:rPr>
          <w:rFonts w:ascii="TT Norms Pro Light"/>
          <w:b w:val="0"/>
          <w:sz w:val="16"/>
        </w:rPr>
      </w:pPr>
      <w:r>
        <w:rPr>
          <w:rFonts w:ascii="TT Norms Pro Light"/>
          <w:b w:val="0"/>
          <w:sz w:val="16"/>
        </w:rPr>
        <w:t>Seek</w:t>
      </w:r>
      <w:r>
        <w:rPr>
          <w:rFonts w:ascii="TT Norms Pro Light"/>
          <w:b w:val="0"/>
          <w:spacing w:val="7"/>
          <w:sz w:val="16"/>
        </w:rPr>
        <w:t> </w:t>
      </w:r>
      <w:r>
        <w:rPr>
          <w:rFonts w:ascii="TT Norms Pro Light"/>
          <w:b w:val="0"/>
          <w:spacing w:val="-2"/>
          <w:sz w:val="16"/>
        </w:rPr>
        <w:t>Wisdom</w:t>
      </w:r>
    </w:p>
    <w:p>
      <w:pPr>
        <w:pStyle w:val="BodyText"/>
        <w:spacing w:before="88"/>
        <w:rPr>
          <w:b w:val="0"/>
          <w:sz w:val="16"/>
        </w:rPr>
      </w:pPr>
    </w:p>
    <w:p>
      <w:pPr>
        <w:pStyle w:val="Heading9"/>
        <w:spacing w:before="1"/>
        <w:rPr>
          <w:rFonts w:ascii="TT Norms Pro"/>
        </w:rPr>
      </w:pPr>
      <w:r>
        <w:rPr/>
        <w:t>OUR</w:t>
      </w:r>
      <w:r>
        <w:rPr>
          <w:spacing w:val="9"/>
        </w:rPr>
        <w:t> </w:t>
      </w:r>
      <w:r>
        <w:rPr>
          <w:rFonts w:ascii="TT Norms Pro"/>
          <w:spacing w:val="-2"/>
        </w:rPr>
        <w:t>PROMISE</w:t>
      </w:r>
    </w:p>
    <w:p>
      <w:pPr>
        <w:spacing w:before="153"/>
        <w:ind w:left="193" w:right="0" w:firstLine="0"/>
        <w:jc w:val="left"/>
        <w:rPr>
          <w:rFonts w:ascii="TT Norms Pro Light"/>
          <w:b w:val="0"/>
          <w:sz w:val="16"/>
        </w:rPr>
      </w:pPr>
      <w:r>
        <w:rPr>
          <w:rFonts w:ascii="TT Norms Pro Light"/>
          <w:b w:val="0"/>
          <w:sz w:val="16"/>
        </w:rPr>
        <w:t>As</w:t>
      </w:r>
      <w:r>
        <w:rPr>
          <w:rFonts w:ascii="TT Norms Pro Light"/>
          <w:b w:val="0"/>
          <w:spacing w:val="5"/>
          <w:sz w:val="16"/>
        </w:rPr>
        <w:t> </w:t>
      </w:r>
      <w:r>
        <w:rPr>
          <w:rFonts w:ascii="TT Norms Pro Light"/>
          <w:b w:val="0"/>
          <w:sz w:val="16"/>
        </w:rPr>
        <w:t>a</w:t>
      </w:r>
      <w:r>
        <w:rPr>
          <w:rFonts w:ascii="TT Norms Pro Light"/>
          <w:b w:val="0"/>
          <w:spacing w:val="5"/>
          <w:sz w:val="16"/>
        </w:rPr>
        <w:t> </w:t>
      </w:r>
      <w:r>
        <w:rPr>
          <w:rFonts w:ascii="TT Norms Pro Light"/>
          <w:b w:val="0"/>
          <w:sz w:val="16"/>
        </w:rPr>
        <w:t>university</w:t>
      </w:r>
      <w:r>
        <w:rPr>
          <w:rFonts w:ascii="TT Norms Pro Light"/>
          <w:b w:val="0"/>
          <w:spacing w:val="5"/>
          <w:sz w:val="16"/>
        </w:rPr>
        <w:t> </w:t>
      </w:r>
      <w:r>
        <w:rPr>
          <w:rFonts w:ascii="TT Norms Pro Light"/>
          <w:b w:val="0"/>
          <w:sz w:val="16"/>
        </w:rPr>
        <w:t>we</w:t>
      </w:r>
      <w:r>
        <w:rPr>
          <w:rFonts w:ascii="TT Norms Pro Light"/>
          <w:b w:val="0"/>
          <w:spacing w:val="5"/>
          <w:sz w:val="16"/>
        </w:rPr>
        <w:t> </w:t>
      </w:r>
      <w:r>
        <w:rPr>
          <w:rFonts w:ascii="TT Norms Pro Light"/>
          <w:b w:val="0"/>
          <w:spacing w:val="-2"/>
          <w:sz w:val="16"/>
        </w:rPr>
        <w:t>will:</w:t>
      </w:r>
    </w:p>
    <w:p>
      <w:pPr>
        <w:pStyle w:val="ListParagraph"/>
        <w:numPr>
          <w:ilvl w:val="0"/>
          <w:numId w:val="1"/>
        </w:numPr>
        <w:tabs>
          <w:tab w:pos="420" w:val="left" w:leader="none"/>
        </w:tabs>
        <w:spacing w:line="314" w:lineRule="auto" w:before="115" w:after="0"/>
        <w:ind w:left="420" w:right="918" w:hanging="227"/>
        <w:jc w:val="left"/>
        <w:rPr>
          <w:rFonts w:ascii="TT Norms Pro Light" w:hAnsi="TT Norms Pro Light"/>
          <w:b w:val="0"/>
          <w:sz w:val="16"/>
        </w:rPr>
      </w:pPr>
      <w:r>
        <w:rPr>
          <w:rFonts w:ascii="TT Norms Pro Light" w:hAnsi="TT Norms Pro Light"/>
          <w:b w:val="0"/>
          <w:sz w:val="16"/>
        </w:rPr>
        <w:t>prepare our students to be globally relevant and</w:t>
      </w:r>
      <w:r>
        <w:rPr>
          <w:rFonts w:ascii="TT Norms Pro Light" w:hAnsi="TT Norms Pro Light"/>
          <w:b w:val="0"/>
          <w:spacing w:val="40"/>
          <w:sz w:val="16"/>
        </w:rPr>
        <w:t> </w:t>
      </w:r>
      <w:r>
        <w:rPr>
          <w:rFonts w:ascii="TT Norms Pro Light" w:hAnsi="TT Norms Pro Light"/>
          <w:b w:val="0"/>
          <w:sz w:val="16"/>
        </w:rPr>
        <w:t>responsible</w:t>
      </w:r>
      <w:r>
        <w:rPr>
          <w:rFonts w:ascii="TT Norms Pro Light" w:hAnsi="TT Norms Pro Light"/>
          <w:b w:val="0"/>
          <w:spacing w:val="-8"/>
          <w:sz w:val="16"/>
        </w:rPr>
        <w:t> </w:t>
      </w:r>
      <w:r>
        <w:rPr>
          <w:rFonts w:ascii="TT Norms Pro Light" w:hAnsi="TT Norms Pro Light"/>
          <w:b w:val="0"/>
          <w:sz w:val="16"/>
        </w:rPr>
        <w:t>leaders</w:t>
      </w:r>
    </w:p>
    <w:p>
      <w:pPr>
        <w:pStyle w:val="ListParagraph"/>
        <w:numPr>
          <w:ilvl w:val="0"/>
          <w:numId w:val="1"/>
        </w:numPr>
        <w:tabs>
          <w:tab w:pos="419" w:val="left" w:leader="none"/>
        </w:tabs>
        <w:spacing w:line="235" w:lineRule="exact" w:before="0" w:after="0"/>
        <w:ind w:left="419" w:right="0" w:hanging="226"/>
        <w:jc w:val="left"/>
        <w:rPr>
          <w:rFonts w:ascii="TT Norms Pro Light" w:hAnsi="TT Norms Pro Light"/>
          <w:b w:val="0"/>
          <w:sz w:val="16"/>
        </w:rPr>
      </w:pPr>
      <w:r>
        <w:rPr>
          <w:rFonts w:ascii="TT Norms Pro Light" w:hAnsi="TT Norms Pro Light"/>
          <w:b w:val="0"/>
          <w:sz w:val="16"/>
        </w:rPr>
        <w:t>enable</w:t>
      </w:r>
      <w:r>
        <w:rPr>
          <w:rFonts w:ascii="TT Norms Pro Light" w:hAnsi="TT Norms Pro Light"/>
          <w:b w:val="0"/>
          <w:spacing w:val="7"/>
          <w:sz w:val="16"/>
        </w:rPr>
        <w:t> </w:t>
      </w:r>
      <w:r>
        <w:rPr>
          <w:rFonts w:ascii="TT Norms Pro Light" w:hAnsi="TT Norms Pro Light"/>
          <w:b w:val="0"/>
          <w:sz w:val="16"/>
        </w:rPr>
        <w:t>and</w:t>
      </w:r>
      <w:r>
        <w:rPr>
          <w:rFonts w:ascii="TT Norms Pro Light" w:hAnsi="TT Norms Pro Light"/>
          <w:b w:val="0"/>
          <w:spacing w:val="8"/>
          <w:sz w:val="16"/>
        </w:rPr>
        <w:t> </w:t>
      </w:r>
      <w:r>
        <w:rPr>
          <w:rFonts w:ascii="TT Norms Pro Light" w:hAnsi="TT Norms Pro Light"/>
          <w:b w:val="0"/>
          <w:sz w:val="16"/>
        </w:rPr>
        <w:t>promote</w:t>
      </w:r>
      <w:r>
        <w:rPr>
          <w:rFonts w:ascii="TT Norms Pro Light" w:hAnsi="TT Norms Pro Light"/>
          <w:b w:val="0"/>
          <w:spacing w:val="8"/>
          <w:sz w:val="16"/>
        </w:rPr>
        <w:t> </w:t>
      </w:r>
      <w:r>
        <w:rPr>
          <w:rFonts w:ascii="TT Norms Pro Light" w:hAnsi="TT Norms Pro Light"/>
          <w:b w:val="0"/>
          <w:sz w:val="16"/>
        </w:rPr>
        <w:t>trustworthy</w:t>
      </w:r>
      <w:r>
        <w:rPr>
          <w:rFonts w:ascii="TT Norms Pro Light" w:hAnsi="TT Norms Pro Light"/>
          <w:b w:val="0"/>
          <w:spacing w:val="8"/>
          <w:sz w:val="16"/>
        </w:rPr>
        <w:t> </w:t>
      </w:r>
      <w:r>
        <w:rPr>
          <w:rFonts w:ascii="TT Norms Pro Light" w:hAnsi="TT Norms Pro Light"/>
          <w:b w:val="0"/>
          <w:sz w:val="16"/>
        </w:rPr>
        <w:t>and</w:t>
      </w:r>
      <w:r>
        <w:rPr>
          <w:rFonts w:ascii="TT Norms Pro Light" w:hAnsi="TT Norms Pro Light"/>
          <w:b w:val="0"/>
          <w:spacing w:val="8"/>
          <w:sz w:val="16"/>
        </w:rPr>
        <w:t> </w:t>
      </w:r>
      <w:r>
        <w:rPr>
          <w:rFonts w:ascii="TT Norms Pro Light" w:hAnsi="TT Norms Pro Light"/>
          <w:b w:val="0"/>
          <w:sz w:val="16"/>
        </w:rPr>
        <w:t>influential</w:t>
      </w:r>
      <w:r>
        <w:rPr>
          <w:rFonts w:ascii="TT Norms Pro Light" w:hAnsi="TT Norms Pro Light"/>
          <w:b w:val="0"/>
          <w:spacing w:val="8"/>
          <w:sz w:val="16"/>
        </w:rPr>
        <w:t> </w:t>
      </w:r>
      <w:r>
        <w:rPr>
          <w:rFonts w:ascii="TT Norms Pro Light" w:hAnsi="TT Norms Pro Light"/>
          <w:b w:val="0"/>
          <w:spacing w:val="-2"/>
          <w:sz w:val="16"/>
        </w:rPr>
        <w:t>research</w:t>
      </w:r>
    </w:p>
    <w:p>
      <w:pPr>
        <w:pStyle w:val="ListParagraph"/>
        <w:numPr>
          <w:ilvl w:val="0"/>
          <w:numId w:val="1"/>
        </w:numPr>
        <w:tabs>
          <w:tab w:pos="419" w:val="left" w:leader="none"/>
        </w:tabs>
        <w:spacing w:line="240" w:lineRule="auto" w:before="23" w:after="0"/>
        <w:ind w:left="419" w:right="0" w:hanging="226"/>
        <w:jc w:val="left"/>
        <w:rPr>
          <w:rFonts w:ascii="TT Norms Pro Light" w:hAnsi="TT Norms Pro Light"/>
          <w:b w:val="0"/>
          <w:sz w:val="16"/>
        </w:rPr>
      </w:pPr>
      <w:r>
        <w:rPr>
          <w:rFonts w:ascii="TT Norms Pro Light" w:hAnsi="TT Norms Pro Light"/>
          <w:b w:val="0"/>
          <w:sz w:val="16"/>
        </w:rPr>
        <w:t>build</w:t>
      </w:r>
      <w:r>
        <w:rPr>
          <w:rFonts w:ascii="TT Norms Pro Light" w:hAnsi="TT Norms Pro Light"/>
          <w:b w:val="0"/>
          <w:spacing w:val="6"/>
          <w:sz w:val="16"/>
        </w:rPr>
        <w:t> </w:t>
      </w:r>
      <w:r>
        <w:rPr>
          <w:rFonts w:ascii="TT Norms Pro Light" w:hAnsi="TT Norms Pro Light"/>
          <w:b w:val="0"/>
          <w:sz w:val="16"/>
        </w:rPr>
        <w:t>just</w:t>
      </w:r>
      <w:r>
        <w:rPr>
          <w:rFonts w:ascii="TT Norms Pro Light" w:hAnsi="TT Norms Pro Light"/>
          <w:b w:val="0"/>
          <w:spacing w:val="6"/>
          <w:sz w:val="16"/>
        </w:rPr>
        <w:t> </w:t>
      </w:r>
      <w:r>
        <w:rPr>
          <w:rFonts w:ascii="TT Norms Pro Light" w:hAnsi="TT Norms Pro Light"/>
          <w:b w:val="0"/>
          <w:sz w:val="16"/>
        </w:rPr>
        <w:t>and</w:t>
      </w:r>
      <w:r>
        <w:rPr>
          <w:rFonts w:ascii="TT Norms Pro Light" w:hAnsi="TT Norms Pro Light"/>
          <w:b w:val="0"/>
          <w:spacing w:val="7"/>
          <w:sz w:val="16"/>
        </w:rPr>
        <w:t> </w:t>
      </w:r>
      <w:r>
        <w:rPr>
          <w:rFonts w:ascii="TT Norms Pro Light" w:hAnsi="TT Norms Pro Light"/>
          <w:b w:val="0"/>
          <w:sz w:val="16"/>
        </w:rPr>
        <w:t>equitable</w:t>
      </w:r>
      <w:r>
        <w:rPr>
          <w:rFonts w:ascii="TT Norms Pro Light" w:hAnsi="TT Norms Pro Light"/>
          <w:b w:val="0"/>
          <w:spacing w:val="6"/>
          <w:sz w:val="16"/>
        </w:rPr>
        <w:t> </w:t>
      </w:r>
      <w:r>
        <w:rPr>
          <w:rFonts w:ascii="TT Norms Pro Light" w:hAnsi="TT Norms Pro Light"/>
          <w:b w:val="0"/>
          <w:spacing w:val="-2"/>
          <w:sz w:val="16"/>
        </w:rPr>
        <w:t>societies</w:t>
      </w:r>
    </w:p>
    <w:p>
      <w:pPr>
        <w:pStyle w:val="ListParagraph"/>
        <w:numPr>
          <w:ilvl w:val="0"/>
          <w:numId w:val="1"/>
        </w:numPr>
        <w:tabs>
          <w:tab w:pos="420" w:val="left" w:leader="none"/>
        </w:tabs>
        <w:spacing w:line="314" w:lineRule="auto" w:before="22" w:after="0"/>
        <w:ind w:left="420" w:right="1079" w:hanging="227"/>
        <w:jc w:val="left"/>
        <w:rPr>
          <w:rFonts w:ascii="TT Norms Pro Light" w:hAnsi="TT Norms Pro Light"/>
          <w:b w:val="0"/>
          <w:sz w:val="16"/>
        </w:rPr>
      </w:pPr>
      <w:r>
        <w:rPr>
          <w:rFonts w:ascii="TT Norms Pro Light" w:hAnsi="TT Norms Pro Light"/>
          <w:b w:val="0"/>
          <w:sz w:val="16"/>
        </w:rPr>
        <w:t>work closely with our communities to improve</w:t>
      </w:r>
      <w:r>
        <w:rPr>
          <w:rFonts w:ascii="TT Norms Pro Light" w:hAnsi="TT Norms Pro Light"/>
          <w:b w:val="0"/>
          <w:spacing w:val="40"/>
          <w:sz w:val="16"/>
        </w:rPr>
        <w:t> </w:t>
      </w:r>
      <w:r>
        <w:rPr>
          <w:rFonts w:ascii="TT Norms Pro Light" w:hAnsi="TT Norms Pro Light"/>
          <w:b w:val="0"/>
          <w:sz w:val="16"/>
        </w:rPr>
        <w:t>our</w:t>
      </w:r>
      <w:r>
        <w:rPr>
          <w:rFonts w:ascii="TT Norms Pro Light" w:hAnsi="TT Norms Pro Light"/>
          <w:b w:val="0"/>
          <w:spacing w:val="-8"/>
          <w:sz w:val="16"/>
        </w:rPr>
        <w:t> </w:t>
      </w:r>
      <w:r>
        <w:rPr>
          <w:rFonts w:ascii="TT Norms Pro Light" w:hAnsi="TT Norms Pro Light"/>
          <w:b w:val="0"/>
          <w:sz w:val="16"/>
        </w:rPr>
        <w:t>environment</w:t>
      </w:r>
    </w:p>
    <w:p>
      <w:pPr>
        <w:pStyle w:val="ListParagraph"/>
        <w:numPr>
          <w:ilvl w:val="0"/>
          <w:numId w:val="1"/>
        </w:numPr>
        <w:tabs>
          <w:tab w:pos="419" w:val="left" w:leader="none"/>
        </w:tabs>
        <w:spacing w:line="235" w:lineRule="exact" w:before="0" w:after="0"/>
        <w:ind w:left="419" w:right="0" w:hanging="226"/>
        <w:jc w:val="left"/>
        <w:rPr>
          <w:rFonts w:ascii="TT Norms Pro Light" w:hAnsi="TT Norms Pro Light"/>
          <w:b w:val="0"/>
          <w:sz w:val="16"/>
        </w:rPr>
      </w:pPr>
      <w:r>
        <w:rPr>
          <w:rFonts w:ascii="TT Norms Pro Light" w:hAnsi="TT Norms Pro Light"/>
          <w:b w:val="0"/>
          <w:sz w:val="16"/>
        </w:rPr>
        <w:t>recognise</w:t>
      </w:r>
      <w:r>
        <w:rPr>
          <w:rFonts w:ascii="TT Norms Pro Light" w:hAnsi="TT Norms Pro Light"/>
          <w:b w:val="0"/>
          <w:spacing w:val="8"/>
          <w:sz w:val="16"/>
        </w:rPr>
        <w:t> </w:t>
      </w:r>
      <w:r>
        <w:rPr>
          <w:rFonts w:ascii="TT Norms Pro Light" w:hAnsi="TT Norms Pro Light"/>
          <w:b w:val="0"/>
          <w:sz w:val="16"/>
        </w:rPr>
        <w:t>and</w:t>
      </w:r>
      <w:r>
        <w:rPr>
          <w:rFonts w:ascii="TT Norms Pro Light" w:hAnsi="TT Norms Pro Light"/>
          <w:b w:val="0"/>
          <w:spacing w:val="9"/>
          <w:sz w:val="16"/>
        </w:rPr>
        <w:t> </w:t>
      </w:r>
      <w:r>
        <w:rPr>
          <w:rFonts w:ascii="TT Norms Pro Light" w:hAnsi="TT Norms Pro Light"/>
          <w:b w:val="0"/>
          <w:sz w:val="16"/>
        </w:rPr>
        <w:t>value</w:t>
      </w:r>
      <w:r>
        <w:rPr>
          <w:rFonts w:ascii="TT Norms Pro Light" w:hAnsi="TT Norms Pro Light"/>
          <w:b w:val="0"/>
          <w:spacing w:val="8"/>
          <w:sz w:val="16"/>
        </w:rPr>
        <w:t> </w:t>
      </w:r>
      <w:r>
        <w:rPr>
          <w:rFonts w:ascii="TT Norms Pro Light" w:hAnsi="TT Norms Pro Light"/>
          <w:b w:val="0"/>
          <w:sz w:val="16"/>
        </w:rPr>
        <w:t>Indigenous</w:t>
      </w:r>
      <w:r>
        <w:rPr>
          <w:rFonts w:ascii="TT Norms Pro Light" w:hAnsi="TT Norms Pro Light"/>
          <w:b w:val="0"/>
          <w:spacing w:val="9"/>
          <w:sz w:val="16"/>
        </w:rPr>
        <w:t> </w:t>
      </w:r>
      <w:r>
        <w:rPr>
          <w:rFonts w:ascii="TT Norms Pro Light" w:hAnsi="TT Norms Pro Light"/>
          <w:b w:val="0"/>
          <w:sz w:val="16"/>
        </w:rPr>
        <w:t>peoples’</w:t>
      </w:r>
      <w:r>
        <w:rPr>
          <w:rFonts w:ascii="TT Norms Pro Light" w:hAnsi="TT Norms Pro Light"/>
          <w:b w:val="0"/>
          <w:spacing w:val="9"/>
          <w:sz w:val="16"/>
        </w:rPr>
        <w:t> </w:t>
      </w:r>
      <w:r>
        <w:rPr>
          <w:rFonts w:ascii="TT Norms Pro Light" w:hAnsi="TT Norms Pro Light"/>
          <w:b w:val="0"/>
          <w:spacing w:val="-2"/>
          <w:sz w:val="16"/>
        </w:rPr>
        <w:t>rights,</w:t>
      </w:r>
    </w:p>
    <w:p>
      <w:pPr>
        <w:spacing w:before="80"/>
        <w:ind w:left="420" w:right="0" w:firstLine="0"/>
        <w:jc w:val="left"/>
        <w:rPr>
          <w:rFonts w:ascii="TT Norms Pro Light"/>
          <w:b w:val="0"/>
          <w:sz w:val="16"/>
        </w:rPr>
      </w:pPr>
      <w:r>
        <w:rPr/>
        <mc:AlternateContent>
          <mc:Choice Requires="wps">
            <w:drawing>
              <wp:anchor distT="0" distB="0" distL="0" distR="0" allowOverlap="1" layoutInCell="1" locked="0" behindDoc="0" simplePos="0" relativeHeight="15737344">
                <wp:simplePos x="0" y="0"/>
                <wp:positionH relativeFrom="page">
                  <wp:posOffset>7111289</wp:posOffset>
                </wp:positionH>
                <wp:positionV relativeFrom="paragraph">
                  <wp:posOffset>1163353</wp:posOffset>
                </wp:positionV>
                <wp:extent cx="177800" cy="1848485"/>
                <wp:effectExtent l="0" t="0" r="0" b="0"/>
                <wp:wrapNone/>
                <wp:docPr id="54" name="Textbox 54"/>
                <wp:cNvGraphicFramePr>
                  <a:graphicFrameLocks/>
                </wp:cNvGraphicFramePr>
                <a:graphic>
                  <a:graphicData uri="http://schemas.microsoft.com/office/word/2010/wordprocessingShape">
                    <wps:wsp>
                      <wps:cNvPr id="54" name="Textbox 54"/>
                      <wps:cNvSpPr txBox="1"/>
                      <wps:spPr>
                        <a:xfrm>
                          <a:off x="0" y="0"/>
                          <a:ext cx="177800" cy="184848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91.6026pt;width:14pt;height:145.550pt;mso-position-horizontal-relative:page;mso-position-vertical-relative:paragraph;z-index:15737344" type="#_x0000_t202" id="docshape46"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v:textbox>
                <w10:wrap type="none"/>
              </v:shape>
            </w:pict>
          </mc:Fallback>
        </mc:AlternateContent>
      </w:r>
      <w:r>
        <w:rPr>
          <w:rFonts w:ascii="TT Norms Pro Light"/>
          <w:b w:val="0"/>
          <w:sz w:val="16"/>
        </w:rPr>
        <w:t>knowledge,</w:t>
      </w:r>
      <w:r>
        <w:rPr>
          <w:rFonts w:ascii="TT Norms Pro Light"/>
          <w:b w:val="0"/>
          <w:spacing w:val="5"/>
          <w:sz w:val="16"/>
        </w:rPr>
        <w:t> </w:t>
      </w:r>
      <w:r>
        <w:rPr>
          <w:rFonts w:ascii="TT Norms Pro Light"/>
          <w:b w:val="0"/>
          <w:sz w:val="16"/>
        </w:rPr>
        <w:t>culture</w:t>
      </w:r>
      <w:r>
        <w:rPr>
          <w:rFonts w:ascii="TT Norms Pro Light"/>
          <w:b w:val="0"/>
          <w:spacing w:val="8"/>
          <w:sz w:val="16"/>
        </w:rPr>
        <w:t> </w:t>
      </w:r>
      <w:r>
        <w:rPr>
          <w:rFonts w:ascii="TT Norms Pro Light"/>
          <w:b w:val="0"/>
          <w:sz w:val="16"/>
        </w:rPr>
        <w:t>and</w:t>
      </w:r>
      <w:r>
        <w:rPr>
          <w:rFonts w:ascii="TT Norms Pro Light"/>
          <w:b w:val="0"/>
          <w:spacing w:val="8"/>
          <w:sz w:val="16"/>
        </w:rPr>
        <w:t> </w:t>
      </w:r>
      <w:r>
        <w:rPr>
          <w:rFonts w:ascii="TT Norms Pro Light"/>
          <w:b w:val="0"/>
          <w:spacing w:val="-2"/>
          <w:sz w:val="16"/>
        </w:rPr>
        <w:t>values.</w:t>
      </w:r>
    </w:p>
    <w:p>
      <w:pPr>
        <w:pStyle w:val="Heading9"/>
        <w:spacing w:before="131"/>
        <w:rPr>
          <w:rFonts w:ascii="TT Norms Pro"/>
        </w:rPr>
      </w:pPr>
      <w:r>
        <w:rPr>
          <w:b w:val="0"/>
        </w:rPr>
        <w:br w:type="column"/>
      </w:r>
      <w:r>
        <w:rPr>
          <w:rFonts w:ascii="TT Norms Pro"/>
          <w:spacing w:val="-2"/>
        </w:rPr>
        <w:t>VALUES</w:t>
      </w:r>
    </w:p>
    <w:p>
      <w:pPr>
        <w:spacing w:before="96"/>
        <w:ind w:left="193" w:right="0" w:firstLine="0"/>
        <w:jc w:val="left"/>
        <w:rPr>
          <w:rFonts w:ascii="TT Norms Pro Medium"/>
          <w:b/>
          <w:sz w:val="22"/>
        </w:rPr>
      </w:pPr>
      <w:r>
        <w:rPr>
          <w:rFonts w:ascii="TT Norms Pro Medium"/>
          <w:b/>
          <w:spacing w:val="-2"/>
          <w:sz w:val="22"/>
        </w:rPr>
        <w:t>EXCELLENCE</w:t>
      </w:r>
    </w:p>
    <w:p>
      <w:pPr>
        <w:spacing w:line="307" w:lineRule="auto" w:before="153"/>
        <w:ind w:left="193" w:right="1147" w:firstLine="0"/>
        <w:jc w:val="left"/>
        <w:rPr>
          <w:rFonts w:ascii="TT Norms Pro Light"/>
          <w:b w:val="0"/>
          <w:sz w:val="16"/>
        </w:rPr>
      </w:pPr>
      <w:r>
        <w:rPr>
          <w:rFonts w:ascii="TT Norms Pro Light"/>
          <w:b w:val="0"/>
          <w:sz w:val="16"/>
        </w:rPr>
        <w:t>We consistently pursue the highest levels of achievement,</w:t>
      </w:r>
      <w:r>
        <w:rPr>
          <w:rFonts w:ascii="TT Norms Pro Light"/>
          <w:b w:val="0"/>
          <w:spacing w:val="40"/>
          <w:sz w:val="16"/>
        </w:rPr>
        <w:t> </w:t>
      </w:r>
      <w:r>
        <w:rPr>
          <w:rFonts w:ascii="TT Norms Pro Light"/>
          <w:b w:val="0"/>
          <w:sz w:val="16"/>
        </w:rPr>
        <w:t>creating the best outcomes possible.</w:t>
      </w:r>
    </w:p>
    <w:p>
      <w:pPr>
        <w:pStyle w:val="BodyText"/>
        <w:spacing w:before="36"/>
        <w:rPr>
          <w:b w:val="0"/>
          <w:sz w:val="16"/>
        </w:rPr>
      </w:pPr>
    </w:p>
    <w:p>
      <w:pPr>
        <w:pStyle w:val="Heading9"/>
      </w:pPr>
      <w:r>
        <w:rPr>
          <w:spacing w:val="-2"/>
        </w:rPr>
        <w:t>INTEGRITY</w:t>
      </w:r>
    </w:p>
    <w:p>
      <w:pPr>
        <w:spacing w:line="307" w:lineRule="auto" w:before="153"/>
        <w:ind w:left="193" w:right="1147" w:firstLine="0"/>
        <w:jc w:val="left"/>
        <w:rPr>
          <w:rFonts w:ascii="TT Norms Pro Light" w:hAnsi="TT Norms Pro Light"/>
          <w:b w:val="0"/>
          <w:sz w:val="16"/>
        </w:rPr>
      </w:pPr>
      <w:r>
        <w:rPr>
          <w:rFonts w:ascii="TT Norms Pro Light" w:hAnsi="TT Norms Pro Light"/>
          <w:b w:val="0"/>
          <w:sz w:val="16"/>
        </w:rPr>
        <w:t>We are honest and ethical and show respect for, and appreciate,</w:t>
      </w:r>
      <w:r>
        <w:rPr>
          <w:rFonts w:ascii="TT Norms Pro Light" w:hAnsi="TT Norms Pro Light"/>
          <w:b w:val="0"/>
          <w:spacing w:val="40"/>
          <w:sz w:val="16"/>
        </w:rPr>
        <w:t> </w:t>
      </w:r>
      <w:r>
        <w:rPr>
          <w:rFonts w:ascii="TT Norms Pro Light" w:hAnsi="TT Norms Pro Light"/>
          <w:b w:val="0"/>
          <w:sz w:val="16"/>
        </w:rPr>
        <w:t>each other, our partners and our communities — valuing our</w:t>
      </w:r>
      <w:r>
        <w:rPr>
          <w:rFonts w:ascii="TT Norms Pro Light" w:hAnsi="TT Norms Pro Light"/>
          <w:b w:val="0"/>
          <w:spacing w:val="40"/>
          <w:sz w:val="16"/>
        </w:rPr>
        <w:t> </w:t>
      </w:r>
      <w:r>
        <w:rPr>
          <w:rFonts w:ascii="TT Norms Pro Light" w:hAnsi="TT Norms Pro Light"/>
          <w:b w:val="0"/>
          <w:spacing w:val="-2"/>
          <w:sz w:val="16"/>
        </w:rPr>
        <w:t>differences.</w:t>
      </w:r>
    </w:p>
    <w:p>
      <w:pPr>
        <w:pStyle w:val="BodyText"/>
        <w:spacing w:before="37"/>
        <w:rPr>
          <w:b w:val="0"/>
          <w:sz w:val="16"/>
        </w:rPr>
      </w:pPr>
    </w:p>
    <w:p>
      <w:pPr>
        <w:pStyle w:val="Heading9"/>
      </w:pPr>
      <w:r>
        <w:rPr>
          <w:spacing w:val="-2"/>
        </w:rPr>
        <w:t>INNOVATION</w:t>
      </w:r>
    </w:p>
    <w:p>
      <w:pPr>
        <w:spacing w:before="153"/>
        <w:ind w:left="193" w:right="0" w:firstLine="0"/>
        <w:jc w:val="left"/>
        <w:rPr>
          <w:rFonts w:ascii="TT Norms Pro Light"/>
          <w:b w:val="0"/>
          <w:sz w:val="16"/>
        </w:rPr>
      </w:pPr>
      <w:r>
        <w:rPr>
          <w:rFonts w:ascii="TT Norms Pro Light"/>
          <w:b w:val="0"/>
          <w:sz w:val="16"/>
        </w:rPr>
        <w:t>We</w:t>
      </w:r>
      <w:r>
        <w:rPr>
          <w:rFonts w:ascii="TT Norms Pro Light"/>
          <w:b w:val="0"/>
          <w:spacing w:val="1"/>
          <w:sz w:val="16"/>
        </w:rPr>
        <w:t> </w:t>
      </w:r>
      <w:r>
        <w:rPr>
          <w:rFonts w:ascii="TT Norms Pro Light"/>
          <w:b w:val="0"/>
          <w:sz w:val="16"/>
        </w:rPr>
        <w:t>are</w:t>
      </w:r>
      <w:r>
        <w:rPr>
          <w:rFonts w:ascii="TT Norms Pro Light"/>
          <w:b w:val="0"/>
          <w:spacing w:val="3"/>
          <w:sz w:val="16"/>
        </w:rPr>
        <w:t> </w:t>
      </w:r>
      <w:r>
        <w:rPr>
          <w:rFonts w:ascii="TT Norms Pro Light"/>
          <w:b w:val="0"/>
          <w:sz w:val="16"/>
        </w:rPr>
        <w:t>constantly,</w:t>
      </w:r>
      <w:r>
        <w:rPr>
          <w:rFonts w:ascii="TT Norms Pro Light"/>
          <w:b w:val="0"/>
          <w:spacing w:val="3"/>
          <w:sz w:val="16"/>
        </w:rPr>
        <w:t> </w:t>
      </w:r>
      <w:r>
        <w:rPr>
          <w:rFonts w:ascii="TT Norms Pro Light"/>
          <w:b w:val="0"/>
          <w:sz w:val="16"/>
        </w:rPr>
        <w:t>and</w:t>
      </w:r>
      <w:r>
        <w:rPr>
          <w:rFonts w:ascii="TT Norms Pro Light"/>
          <w:b w:val="0"/>
          <w:spacing w:val="3"/>
          <w:sz w:val="16"/>
        </w:rPr>
        <w:t> </w:t>
      </w:r>
      <w:r>
        <w:rPr>
          <w:rFonts w:ascii="TT Norms Pro Light"/>
          <w:b w:val="0"/>
          <w:sz w:val="16"/>
        </w:rPr>
        <w:t>creatively,</w:t>
      </w:r>
      <w:r>
        <w:rPr>
          <w:rFonts w:ascii="TT Norms Pro Light"/>
          <w:b w:val="0"/>
          <w:spacing w:val="3"/>
          <w:sz w:val="16"/>
        </w:rPr>
        <w:t> </w:t>
      </w:r>
      <w:r>
        <w:rPr>
          <w:rFonts w:ascii="TT Norms Pro Light"/>
          <w:b w:val="0"/>
          <w:sz w:val="16"/>
        </w:rPr>
        <w:t>improving</w:t>
      </w:r>
      <w:r>
        <w:rPr>
          <w:rFonts w:ascii="TT Norms Pro Light"/>
          <w:b w:val="0"/>
          <w:spacing w:val="3"/>
          <w:sz w:val="16"/>
        </w:rPr>
        <w:t> </w:t>
      </w:r>
      <w:r>
        <w:rPr>
          <w:rFonts w:ascii="TT Norms Pro Light"/>
          <w:b w:val="0"/>
          <w:sz w:val="16"/>
        </w:rPr>
        <w:t>and</w:t>
      </w:r>
      <w:r>
        <w:rPr>
          <w:rFonts w:ascii="TT Norms Pro Light"/>
          <w:b w:val="0"/>
          <w:spacing w:val="4"/>
          <w:sz w:val="16"/>
        </w:rPr>
        <w:t> </w:t>
      </w:r>
      <w:r>
        <w:rPr>
          <w:rFonts w:ascii="TT Norms Pro Light"/>
          <w:b w:val="0"/>
          <w:spacing w:val="-2"/>
          <w:sz w:val="16"/>
        </w:rPr>
        <w:t>adapting.</w:t>
      </w:r>
    </w:p>
    <w:p>
      <w:pPr>
        <w:pStyle w:val="BodyText"/>
        <w:spacing w:before="88"/>
        <w:rPr>
          <w:b w:val="0"/>
          <w:sz w:val="16"/>
        </w:rPr>
      </w:pPr>
    </w:p>
    <w:p>
      <w:pPr>
        <w:pStyle w:val="Heading9"/>
        <w:spacing w:before="1"/>
      </w:pPr>
      <w:r>
        <w:rPr>
          <w:spacing w:val="-2"/>
        </w:rPr>
        <w:t>COLLABORATION</w:t>
      </w:r>
    </w:p>
    <w:p>
      <w:pPr>
        <w:spacing w:before="153"/>
        <w:ind w:left="193" w:right="0" w:firstLine="0"/>
        <w:jc w:val="left"/>
        <w:rPr>
          <w:rFonts w:ascii="TT Norms Pro Light"/>
          <w:b w:val="0"/>
          <w:sz w:val="16"/>
        </w:rPr>
      </w:pPr>
      <w:r>
        <w:rPr>
          <w:rFonts w:ascii="TT Norms Pro Light"/>
          <w:b w:val="0"/>
          <w:sz w:val="16"/>
        </w:rPr>
        <w:t>We</w:t>
      </w:r>
      <w:r>
        <w:rPr>
          <w:rFonts w:ascii="TT Norms Pro Light"/>
          <w:b w:val="0"/>
          <w:spacing w:val="4"/>
          <w:sz w:val="16"/>
        </w:rPr>
        <w:t> </w:t>
      </w:r>
      <w:r>
        <w:rPr>
          <w:rFonts w:ascii="TT Norms Pro Light"/>
          <w:b w:val="0"/>
          <w:sz w:val="16"/>
        </w:rPr>
        <w:t>share</w:t>
      </w:r>
      <w:r>
        <w:rPr>
          <w:rFonts w:ascii="TT Norms Pro Light"/>
          <w:b w:val="0"/>
          <w:spacing w:val="4"/>
          <w:sz w:val="16"/>
        </w:rPr>
        <w:t> </w:t>
      </w:r>
      <w:r>
        <w:rPr>
          <w:rFonts w:ascii="TT Norms Pro Light"/>
          <w:b w:val="0"/>
          <w:sz w:val="16"/>
        </w:rPr>
        <w:t>our</w:t>
      </w:r>
      <w:r>
        <w:rPr>
          <w:rFonts w:ascii="TT Norms Pro Light"/>
          <w:b w:val="0"/>
          <w:spacing w:val="4"/>
          <w:sz w:val="16"/>
        </w:rPr>
        <w:t> </w:t>
      </w:r>
      <w:r>
        <w:rPr>
          <w:rFonts w:ascii="TT Norms Pro Light"/>
          <w:b w:val="0"/>
          <w:sz w:val="16"/>
        </w:rPr>
        <w:t>collective</w:t>
      </w:r>
      <w:r>
        <w:rPr>
          <w:rFonts w:ascii="TT Norms Pro Light"/>
          <w:b w:val="0"/>
          <w:spacing w:val="4"/>
          <w:sz w:val="16"/>
        </w:rPr>
        <w:t> </w:t>
      </w:r>
      <w:r>
        <w:rPr>
          <w:rFonts w:ascii="TT Norms Pro Light"/>
          <w:b w:val="0"/>
          <w:sz w:val="16"/>
        </w:rPr>
        <w:t>intelligence</w:t>
      </w:r>
      <w:r>
        <w:rPr>
          <w:rFonts w:ascii="TT Norms Pro Light"/>
          <w:b w:val="0"/>
          <w:spacing w:val="4"/>
          <w:sz w:val="16"/>
        </w:rPr>
        <w:t> </w:t>
      </w:r>
      <w:r>
        <w:rPr>
          <w:rFonts w:ascii="TT Norms Pro Light"/>
          <w:b w:val="0"/>
          <w:sz w:val="16"/>
        </w:rPr>
        <w:t>to</w:t>
      </w:r>
      <w:r>
        <w:rPr>
          <w:rFonts w:ascii="TT Norms Pro Light"/>
          <w:b w:val="0"/>
          <w:spacing w:val="4"/>
          <w:sz w:val="16"/>
        </w:rPr>
        <w:t> </w:t>
      </w:r>
      <w:r>
        <w:rPr>
          <w:rFonts w:ascii="TT Norms Pro Light"/>
          <w:b w:val="0"/>
          <w:sz w:val="16"/>
        </w:rPr>
        <w:t>achieve</w:t>
      </w:r>
      <w:r>
        <w:rPr>
          <w:rFonts w:ascii="TT Norms Pro Light"/>
          <w:b w:val="0"/>
          <w:spacing w:val="5"/>
          <w:sz w:val="16"/>
        </w:rPr>
        <w:t> </w:t>
      </w:r>
      <w:r>
        <w:rPr>
          <w:rFonts w:ascii="TT Norms Pro Light"/>
          <w:b w:val="0"/>
          <w:spacing w:val="-2"/>
          <w:sz w:val="16"/>
        </w:rPr>
        <w:t>more.</w:t>
      </w:r>
    </w:p>
    <w:p>
      <w:pPr>
        <w:pStyle w:val="BodyText"/>
        <w:spacing w:before="88"/>
        <w:rPr>
          <w:b w:val="0"/>
          <w:sz w:val="16"/>
        </w:rPr>
      </w:pPr>
    </w:p>
    <w:p>
      <w:pPr>
        <w:pStyle w:val="Heading9"/>
      </w:pPr>
      <w:r>
        <w:rPr>
          <w:spacing w:val="-2"/>
        </w:rPr>
        <w:t>EQUITY</w:t>
      </w:r>
    </w:p>
    <w:p>
      <w:pPr>
        <w:spacing w:line="307" w:lineRule="auto" w:before="153"/>
        <w:ind w:left="193" w:right="1147" w:firstLine="0"/>
        <w:jc w:val="left"/>
        <w:rPr>
          <w:rFonts w:ascii="TT Norms Pro Light"/>
          <w:b w:val="0"/>
          <w:sz w:val="16"/>
        </w:rPr>
      </w:pPr>
      <w:r>
        <w:rPr>
          <w:rFonts w:ascii="TT Norms Pro Light"/>
          <w:b w:val="0"/>
          <w:sz w:val="16"/>
        </w:rPr>
        <w:t>We are committed to providing everyone at UWA equality of</w:t>
      </w:r>
      <w:r>
        <w:rPr>
          <w:rFonts w:ascii="TT Norms Pro Light"/>
          <w:b w:val="0"/>
          <w:spacing w:val="40"/>
          <w:sz w:val="16"/>
        </w:rPr>
        <w:t> </w:t>
      </w:r>
      <w:r>
        <w:rPr>
          <w:rFonts w:ascii="TT Norms Pro Light"/>
          <w:b w:val="0"/>
          <w:sz w:val="16"/>
        </w:rPr>
        <w:t>opportunity, experience and access.</w:t>
      </w:r>
    </w:p>
    <w:p>
      <w:pPr>
        <w:spacing w:after="0" w:line="307" w:lineRule="auto"/>
        <w:jc w:val="left"/>
        <w:rPr>
          <w:rFonts w:ascii="TT Norms Pro Light"/>
          <w:sz w:val="16"/>
        </w:rPr>
        <w:sectPr>
          <w:type w:val="continuous"/>
          <w:pgSz w:w="11910" w:h="16840"/>
          <w:pgMar w:header="468" w:footer="0" w:top="980" w:bottom="280" w:left="940" w:right="0"/>
          <w:cols w:num="2" w:equalWidth="0">
            <w:col w:w="4743" w:space="275"/>
            <w:col w:w="5952"/>
          </w:cols>
        </w:sectPr>
      </w:pPr>
    </w:p>
    <w:p>
      <w:pPr>
        <w:spacing w:line="868" w:lineRule="exact" w:before="242"/>
        <w:ind w:left="186" w:right="0" w:firstLine="0"/>
        <w:jc w:val="left"/>
        <w:rPr>
          <w:rFonts w:ascii="TT Norms Pro Medium"/>
          <w:b/>
          <w:sz w:val="80"/>
        </w:rPr>
      </w:pPr>
      <w:r>
        <w:rPr/>
        <mc:AlternateContent>
          <mc:Choice Requires="wps">
            <w:drawing>
              <wp:anchor distT="0" distB="0" distL="0" distR="0" allowOverlap="1" layoutInCell="1" locked="0" behindDoc="1" simplePos="0" relativeHeight="472593408">
                <wp:simplePos x="0" y="0"/>
                <wp:positionH relativeFrom="page">
                  <wp:posOffset>2657649</wp:posOffset>
                </wp:positionH>
                <wp:positionV relativeFrom="page">
                  <wp:posOffset>12</wp:posOffset>
                </wp:positionV>
                <wp:extent cx="4909185" cy="8875395"/>
                <wp:effectExtent l="0" t="0" r="0" b="0"/>
                <wp:wrapNone/>
                <wp:docPr id="55" name="Group 55"/>
                <wp:cNvGraphicFramePr>
                  <a:graphicFrameLocks/>
                </wp:cNvGraphicFramePr>
                <a:graphic>
                  <a:graphicData uri="http://schemas.microsoft.com/office/word/2010/wordprocessingGroup">
                    <wpg:wgp>
                      <wpg:cNvPr id="55" name="Group 55"/>
                      <wpg:cNvGrpSpPr/>
                      <wpg:grpSpPr>
                        <a:xfrm>
                          <a:off x="0" y="0"/>
                          <a:ext cx="4909185" cy="8875395"/>
                          <a:chExt cx="4909185" cy="8875395"/>
                        </a:xfrm>
                      </wpg:grpSpPr>
                      <pic:pic>
                        <pic:nvPicPr>
                          <pic:cNvPr id="56" name="Image 56"/>
                          <pic:cNvPicPr/>
                        </pic:nvPicPr>
                        <pic:blipFill>
                          <a:blip r:embed="rId29" cstate="print"/>
                          <a:stretch>
                            <a:fillRect/>
                          </a:stretch>
                        </pic:blipFill>
                        <pic:spPr>
                          <a:xfrm>
                            <a:off x="3813356" y="0"/>
                            <a:ext cx="1088986" cy="4533557"/>
                          </a:xfrm>
                          <a:prstGeom prst="rect">
                            <a:avLst/>
                          </a:prstGeom>
                        </pic:spPr>
                      </pic:pic>
                      <wps:wsp>
                        <wps:cNvPr id="57" name="Graphic 57"/>
                        <wps:cNvSpPr/>
                        <wps:spPr>
                          <a:xfrm>
                            <a:off x="3372349" y="4070286"/>
                            <a:ext cx="1530350" cy="721360"/>
                          </a:xfrm>
                          <a:custGeom>
                            <a:avLst/>
                            <a:gdLst/>
                            <a:ahLst/>
                            <a:cxnLst/>
                            <a:rect l="l" t="t" r="r" b="b"/>
                            <a:pathLst>
                              <a:path w="1530350" h="721360">
                                <a:moveTo>
                                  <a:pt x="1529994" y="0"/>
                                </a:moveTo>
                                <a:lnTo>
                                  <a:pt x="0" y="0"/>
                                </a:lnTo>
                                <a:lnTo>
                                  <a:pt x="0" y="721131"/>
                                </a:lnTo>
                                <a:lnTo>
                                  <a:pt x="1529994" y="721131"/>
                                </a:lnTo>
                                <a:lnTo>
                                  <a:pt x="1529994" y="0"/>
                                </a:lnTo>
                                <a:close/>
                              </a:path>
                            </a:pathLst>
                          </a:custGeom>
                          <a:solidFill>
                            <a:srgbClr val="FFFFFF"/>
                          </a:solidFill>
                        </wps:spPr>
                        <wps:bodyPr wrap="square" lIns="0" tIns="0" rIns="0" bIns="0" rtlCol="0">
                          <a:prstTxWarp prst="textNoShape">
                            <a:avLst/>
                          </a:prstTxWarp>
                          <a:noAutofit/>
                        </wps:bodyPr>
                      </wps:wsp>
                      <wps:wsp>
                        <wps:cNvPr id="58" name="Graphic 58"/>
                        <wps:cNvSpPr/>
                        <wps:spPr>
                          <a:xfrm>
                            <a:off x="360942" y="4534750"/>
                            <a:ext cx="4541520" cy="2649855"/>
                          </a:xfrm>
                          <a:custGeom>
                            <a:avLst/>
                            <a:gdLst/>
                            <a:ahLst/>
                            <a:cxnLst/>
                            <a:rect l="l" t="t" r="r" b="b"/>
                            <a:pathLst>
                              <a:path w="4541520" h="2649855">
                                <a:moveTo>
                                  <a:pt x="0" y="2649534"/>
                                </a:moveTo>
                                <a:lnTo>
                                  <a:pt x="584" y="13496"/>
                                </a:lnTo>
                                <a:lnTo>
                                  <a:pt x="4541413" y="0"/>
                                </a:lnTo>
                              </a:path>
                            </a:pathLst>
                          </a:custGeom>
                          <a:ln w="12700">
                            <a:solidFill>
                              <a:srgbClr val="000000"/>
                            </a:solidFill>
                            <a:prstDash val="solid"/>
                          </a:ln>
                        </wps:spPr>
                        <wps:bodyPr wrap="square" lIns="0" tIns="0" rIns="0" bIns="0" rtlCol="0">
                          <a:prstTxWarp prst="textNoShape">
                            <a:avLst/>
                          </a:prstTxWarp>
                          <a:noAutofit/>
                        </wps:bodyPr>
                      </wps:wsp>
                      <wps:wsp>
                        <wps:cNvPr id="59" name="Graphic 59"/>
                        <wps:cNvSpPr/>
                        <wps:spPr>
                          <a:xfrm>
                            <a:off x="721897" y="4264482"/>
                            <a:ext cx="1885314" cy="520700"/>
                          </a:xfrm>
                          <a:custGeom>
                            <a:avLst/>
                            <a:gdLst/>
                            <a:ahLst/>
                            <a:cxnLst/>
                            <a:rect l="l" t="t" r="r" b="b"/>
                            <a:pathLst>
                              <a:path w="1885314" h="520700">
                                <a:moveTo>
                                  <a:pt x="1884781" y="0"/>
                                </a:moveTo>
                                <a:lnTo>
                                  <a:pt x="0" y="0"/>
                                </a:lnTo>
                                <a:lnTo>
                                  <a:pt x="0" y="520700"/>
                                </a:lnTo>
                                <a:lnTo>
                                  <a:pt x="1884781" y="520700"/>
                                </a:lnTo>
                                <a:lnTo>
                                  <a:pt x="1884781" y="0"/>
                                </a:lnTo>
                                <a:close/>
                              </a:path>
                            </a:pathLst>
                          </a:custGeom>
                          <a:solidFill>
                            <a:srgbClr val="FFFFFF"/>
                          </a:solidFill>
                        </wps:spPr>
                        <wps:bodyPr wrap="square" lIns="0" tIns="0" rIns="0" bIns="0" rtlCol="0">
                          <a:prstTxWarp prst="textNoShape">
                            <a:avLst/>
                          </a:prstTxWarp>
                          <a:noAutofit/>
                        </wps:bodyPr>
                      </wps:wsp>
                      <wps:wsp>
                        <wps:cNvPr id="60" name="Graphic 60"/>
                        <wps:cNvSpPr/>
                        <wps:spPr>
                          <a:xfrm>
                            <a:off x="4199665" y="1955228"/>
                            <a:ext cx="485140" cy="481965"/>
                          </a:xfrm>
                          <a:custGeom>
                            <a:avLst/>
                            <a:gdLst/>
                            <a:ahLst/>
                            <a:cxnLst/>
                            <a:rect l="l" t="t" r="r" b="b"/>
                            <a:pathLst>
                              <a:path w="485140" h="481965">
                                <a:moveTo>
                                  <a:pt x="2209" y="474941"/>
                                </a:moveTo>
                                <a:lnTo>
                                  <a:pt x="1244" y="477151"/>
                                </a:lnTo>
                                <a:lnTo>
                                  <a:pt x="482" y="479425"/>
                                </a:lnTo>
                                <a:lnTo>
                                  <a:pt x="0" y="481850"/>
                                </a:lnTo>
                                <a:lnTo>
                                  <a:pt x="685" y="479564"/>
                                </a:lnTo>
                                <a:lnTo>
                                  <a:pt x="1447" y="477215"/>
                                </a:lnTo>
                                <a:lnTo>
                                  <a:pt x="2209" y="474941"/>
                                </a:lnTo>
                                <a:close/>
                              </a:path>
                              <a:path w="485140" h="481965">
                                <a:moveTo>
                                  <a:pt x="485000" y="63"/>
                                </a:moveTo>
                                <a:lnTo>
                                  <a:pt x="484174" y="0"/>
                                </a:lnTo>
                                <a:lnTo>
                                  <a:pt x="480987" y="0"/>
                                </a:lnTo>
                                <a:lnTo>
                                  <a:pt x="480161" y="63"/>
                                </a:lnTo>
                                <a:lnTo>
                                  <a:pt x="480466" y="127"/>
                                </a:lnTo>
                                <a:lnTo>
                                  <a:pt x="480237" y="165"/>
                                </a:lnTo>
                                <a:lnTo>
                                  <a:pt x="480707" y="165"/>
                                </a:lnTo>
                                <a:lnTo>
                                  <a:pt x="480923" y="203"/>
                                </a:lnTo>
                                <a:lnTo>
                                  <a:pt x="484238" y="203"/>
                                </a:lnTo>
                                <a:lnTo>
                                  <a:pt x="484441" y="165"/>
                                </a:lnTo>
                                <a:lnTo>
                                  <a:pt x="484936" y="165"/>
                                </a:lnTo>
                                <a:lnTo>
                                  <a:pt x="484682" y="127"/>
                                </a:lnTo>
                                <a:lnTo>
                                  <a:pt x="485000" y="63"/>
                                </a:lnTo>
                                <a:close/>
                              </a:path>
                            </a:pathLst>
                          </a:custGeom>
                          <a:solidFill>
                            <a:srgbClr val="0C3B60"/>
                          </a:solidFill>
                        </wps:spPr>
                        <wps:bodyPr wrap="square" lIns="0" tIns="0" rIns="0" bIns="0" rtlCol="0">
                          <a:prstTxWarp prst="textNoShape">
                            <a:avLst/>
                          </a:prstTxWarp>
                          <a:noAutofit/>
                        </wps:bodyPr>
                      </wps:wsp>
                      <wps:wsp>
                        <wps:cNvPr id="61" name="Graphic 61"/>
                        <wps:cNvSpPr/>
                        <wps:spPr>
                          <a:xfrm>
                            <a:off x="711142" y="4789850"/>
                            <a:ext cx="1889760" cy="1270"/>
                          </a:xfrm>
                          <a:custGeom>
                            <a:avLst/>
                            <a:gdLst/>
                            <a:ahLst/>
                            <a:cxnLst/>
                            <a:rect l="l" t="t" r="r" b="b"/>
                            <a:pathLst>
                              <a:path w="1889760" h="0">
                                <a:moveTo>
                                  <a:pt x="0" y="0"/>
                                </a:moveTo>
                                <a:lnTo>
                                  <a:pt x="1889328" y="0"/>
                                </a:lnTo>
                              </a:path>
                            </a:pathLst>
                          </a:custGeom>
                          <a:ln w="3175">
                            <a:solidFill>
                              <a:srgbClr val="000000"/>
                            </a:solidFill>
                            <a:prstDash val="solid"/>
                          </a:ln>
                        </wps:spPr>
                        <wps:bodyPr wrap="square" lIns="0" tIns="0" rIns="0" bIns="0" rtlCol="0">
                          <a:prstTxWarp prst="textNoShape">
                            <a:avLst/>
                          </a:prstTxWarp>
                          <a:noAutofit/>
                        </wps:bodyPr>
                      </wps:wsp>
                      <wps:wsp>
                        <wps:cNvPr id="62" name="Graphic 62"/>
                        <wps:cNvSpPr/>
                        <wps:spPr>
                          <a:xfrm>
                            <a:off x="360944" y="7184290"/>
                            <a:ext cx="4541520" cy="1684655"/>
                          </a:xfrm>
                          <a:custGeom>
                            <a:avLst/>
                            <a:gdLst/>
                            <a:ahLst/>
                            <a:cxnLst/>
                            <a:rect l="l" t="t" r="r" b="b"/>
                            <a:pathLst>
                              <a:path w="4541520" h="1684655">
                                <a:moveTo>
                                  <a:pt x="0" y="0"/>
                                </a:moveTo>
                                <a:lnTo>
                                  <a:pt x="0" y="1684515"/>
                                </a:lnTo>
                                <a:lnTo>
                                  <a:pt x="4541412" y="1683187"/>
                                </a:lnTo>
                              </a:path>
                            </a:pathLst>
                          </a:custGeom>
                          <a:ln w="12700">
                            <a:solidFill>
                              <a:srgbClr val="000000"/>
                            </a:solidFill>
                            <a:prstDash val="solid"/>
                          </a:ln>
                        </wps:spPr>
                        <wps:bodyPr wrap="square" lIns="0" tIns="0" rIns="0" bIns="0" rtlCol="0">
                          <a:prstTxWarp prst="textNoShape">
                            <a:avLst/>
                          </a:prstTxWarp>
                          <a:noAutofit/>
                        </wps:bodyPr>
                      </wps:wsp>
                      <wps:wsp>
                        <wps:cNvPr id="63" name="Graphic 63"/>
                        <wps:cNvSpPr/>
                        <wps:spPr>
                          <a:xfrm>
                            <a:off x="0" y="7181083"/>
                            <a:ext cx="4909185" cy="1270"/>
                          </a:xfrm>
                          <a:custGeom>
                            <a:avLst/>
                            <a:gdLst/>
                            <a:ahLst/>
                            <a:cxnLst/>
                            <a:rect l="l" t="t" r="r" b="b"/>
                            <a:pathLst>
                              <a:path w="4909185" h="0">
                                <a:moveTo>
                                  <a:pt x="0" y="0"/>
                                </a:moveTo>
                                <a:lnTo>
                                  <a:pt x="715547" y="0"/>
                                </a:lnTo>
                              </a:path>
                              <a:path w="4909185" h="0">
                                <a:moveTo>
                                  <a:pt x="2596061" y="0"/>
                                </a:moveTo>
                                <a:lnTo>
                                  <a:pt x="4908706" y="0"/>
                                </a:lnTo>
                              </a:path>
                            </a:pathLst>
                          </a:custGeom>
                          <a:ln w="17689">
                            <a:solidFill>
                              <a:srgbClr val="000000"/>
                            </a:solidFill>
                            <a:prstDash val="solid"/>
                          </a:ln>
                        </wps:spPr>
                        <wps:bodyPr wrap="square" lIns="0" tIns="0" rIns="0" bIns="0" rtlCol="0">
                          <a:prstTxWarp prst="textNoShape">
                            <a:avLst/>
                          </a:prstTxWarp>
                          <a:noAutofit/>
                        </wps:bodyPr>
                      </wps:wsp>
                      <wps:wsp>
                        <wps:cNvPr id="64" name="Graphic 64"/>
                        <wps:cNvSpPr/>
                        <wps:spPr>
                          <a:xfrm>
                            <a:off x="719803" y="6938767"/>
                            <a:ext cx="1893570" cy="1270"/>
                          </a:xfrm>
                          <a:custGeom>
                            <a:avLst/>
                            <a:gdLst/>
                            <a:ahLst/>
                            <a:cxnLst/>
                            <a:rect l="l" t="t" r="r" b="b"/>
                            <a:pathLst>
                              <a:path w="1893570" h="0">
                                <a:moveTo>
                                  <a:pt x="0" y="0"/>
                                </a:moveTo>
                                <a:lnTo>
                                  <a:pt x="1893214" y="0"/>
                                </a:lnTo>
                              </a:path>
                            </a:pathLst>
                          </a:custGeom>
                          <a:ln w="12700">
                            <a:solidFill>
                              <a:srgbClr val="000000"/>
                            </a:solidFill>
                            <a:prstDash val="solid"/>
                          </a:ln>
                        </wps:spPr>
                        <wps:bodyPr wrap="square" lIns="0" tIns="0" rIns="0" bIns="0" rtlCol="0">
                          <a:prstTxWarp prst="textNoShape">
                            <a:avLst/>
                          </a:prstTxWarp>
                          <a:noAutofit/>
                        </wps:bodyPr>
                      </wps:wsp>
                      <wps:wsp>
                        <wps:cNvPr id="65" name="Graphic 65"/>
                        <wps:cNvSpPr/>
                        <wps:spPr>
                          <a:xfrm>
                            <a:off x="715547" y="6945121"/>
                            <a:ext cx="1880870" cy="511809"/>
                          </a:xfrm>
                          <a:custGeom>
                            <a:avLst/>
                            <a:gdLst/>
                            <a:ahLst/>
                            <a:cxnLst/>
                            <a:rect l="l" t="t" r="r" b="b"/>
                            <a:pathLst>
                              <a:path w="1880870" h="511809">
                                <a:moveTo>
                                  <a:pt x="1880514" y="0"/>
                                </a:moveTo>
                                <a:lnTo>
                                  <a:pt x="0" y="0"/>
                                </a:lnTo>
                                <a:lnTo>
                                  <a:pt x="0" y="511467"/>
                                </a:lnTo>
                                <a:lnTo>
                                  <a:pt x="1880514" y="511467"/>
                                </a:lnTo>
                                <a:lnTo>
                                  <a:pt x="1880514" y="0"/>
                                </a:lnTo>
                                <a:close/>
                              </a:path>
                            </a:pathLst>
                          </a:custGeom>
                          <a:solidFill>
                            <a:srgbClr val="FFFFFF"/>
                          </a:solidFill>
                        </wps:spPr>
                        <wps:bodyPr wrap="square" lIns="0" tIns="0" rIns="0" bIns="0" rtlCol="0">
                          <a:prstTxWarp prst="textNoShape">
                            <a:avLst/>
                          </a:prstTxWarp>
                          <a:noAutofit/>
                        </wps:bodyPr>
                      </wps:wsp>
                      <wps:wsp>
                        <wps:cNvPr id="66" name="Graphic 66"/>
                        <wps:cNvSpPr/>
                        <wps:spPr>
                          <a:xfrm>
                            <a:off x="719804" y="7495056"/>
                            <a:ext cx="1889760" cy="1270"/>
                          </a:xfrm>
                          <a:custGeom>
                            <a:avLst/>
                            <a:gdLst/>
                            <a:ahLst/>
                            <a:cxnLst/>
                            <a:rect l="l" t="t" r="r" b="b"/>
                            <a:pathLst>
                              <a:path w="1889760" h="0">
                                <a:moveTo>
                                  <a:pt x="0" y="0"/>
                                </a:moveTo>
                                <a:lnTo>
                                  <a:pt x="1889328" y="0"/>
                                </a:lnTo>
                              </a:path>
                            </a:pathLst>
                          </a:custGeom>
                          <a:ln w="3175">
                            <a:solidFill>
                              <a:srgbClr val="000000"/>
                            </a:solidFill>
                            <a:prstDash val="solid"/>
                          </a:ln>
                        </wps:spPr>
                        <wps:bodyPr wrap="square" lIns="0" tIns="0" rIns="0" bIns="0" rtlCol="0">
                          <a:prstTxWarp prst="textNoShape">
                            <a:avLst/>
                          </a:prstTxWarp>
                          <a:noAutofit/>
                        </wps:bodyPr>
                      </wps:wsp>
                      <wps:wsp>
                        <wps:cNvPr id="67" name="Graphic 67"/>
                        <wps:cNvSpPr/>
                        <wps:spPr>
                          <a:xfrm>
                            <a:off x="3372349" y="0"/>
                            <a:ext cx="1530350" cy="387350"/>
                          </a:xfrm>
                          <a:custGeom>
                            <a:avLst/>
                            <a:gdLst/>
                            <a:ahLst/>
                            <a:cxnLst/>
                            <a:rect l="l" t="t" r="r" b="b"/>
                            <a:pathLst>
                              <a:path w="1530350" h="387350">
                                <a:moveTo>
                                  <a:pt x="1529994" y="0"/>
                                </a:moveTo>
                                <a:lnTo>
                                  <a:pt x="0" y="0"/>
                                </a:lnTo>
                                <a:lnTo>
                                  <a:pt x="0" y="386994"/>
                                </a:lnTo>
                                <a:lnTo>
                                  <a:pt x="1529994" y="386994"/>
                                </a:lnTo>
                                <a:lnTo>
                                  <a:pt x="1529994" y="0"/>
                                </a:lnTo>
                                <a:close/>
                              </a:path>
                            </a:pathLst>
                          </a:custGeom>
                          <a:solidFill>
                            <a:srgbClr val="FFFFFF"/>
                          </a:solidFill>
                        </wps:spPr>
                        <wps:bodyPr wrap="square" lIns="0" tIns="0" rIns="0" bIns="0" rtlCol="0">
                          <a:prstTxWarp prst="textNoShape">
                            <a:avLst/>
                          </a:prstTxWarp>
                          <a:noAutofit/>
                        </wps:bodyPr>
                      </wps:wsp>
                      <wps:wsp>
                        <wps:cNvPr id="68" name="Graphic 68"/>
                        <wps:cNvSpPr/>
                        <wps:spPr>
                          <a:xfrm>
                            <a:off x="2596062" y="7241478"/>
                            <a:ext cx="2306320" cy="912494"/>
                          </a:xfrm>
                          <a:custGeom>
                            <a:avLst/>
                            <a:gdLst/>
                            <a:ahLst/>
                            <a:cxnLst/>
                            <a:rect l="l" t="t" r="r" b="b"/>
                            <a:pathLst>
                              <a:path w="2306320" h="912494">
                                <a:moveTo>
                                  <a:pt x="0" y="11379"/>
                                </a:moveTo>
                                <a:lnTo>
                                  <a:pt x="1586293" y="0"/>
                                </a:lnTo>
                                <a:lnTo>
                                  <a:pt x="1586293" y="912012"/>
                                </a:lnTo>
                                <a:lnTo>
                                  <a:pt x="2306293" y="912012"/>
                                </a:lnTo>
                              </a:path>
                            </a:pathLst>
                          </a:custGeom>
                          <a:ln w="12700">
                            <a:solidFill>
                              <a:srgbClr val="000000"/>
                            </a:solidFill>
                            <a:prstDash val="solid"/>
                          </a:ln>
                        </wps:spPr>
                        <wps:bodyPr wrap="square" lIns="0" tIns="0" rIns="0" bIns="0" rtlCol="0">
                          <a:prstTxWarp prst="textNoShape">
                            <a:avLst/>
                          </a:prstTxWarp>
                          <a:noAutofit/>
                        </wps:bodyPr>
                      </wps:wsp>
                      <wps:wsp>
                        <wps:cNvPr id="69" name="Graphic 69"/>
                        <wps:cNvSpPr/>
                        <wps:spPr>
                          <a:xfrm>
                            <a:off x="706741" y="4264488"/>
                            <a:ext cx="1893570" cy="1270"/>
                          </a:xfrm>
                          <a:custGeom>
                            <a:avLst/>
                            <a:gdLst/>
                            <a:ahLst/>
                            <a:cxnLst/>
                            <a:rect l="l" t="t" r="r" b="b"/>
                            <a:pathLst>
                              <a:path w="1893570" h="0">
                                <a:moveTo>
                                  <a:pt x="0" y="0"/>
                                </a:moveTo>
                                <a:lnTo>
                                  <a:pt x="1893214" y="0"/>
                                </a:lnTo>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09.263702pt;margin-top:.001015pt;width:386.55pt;height:698.85pt;mso-position-horizontal-relative:page;mso-position-vertical-relative:page;z-index:-30723072" id="docshapegroup47" coordorigin="4185,0" coordsize="7731,13977">
                <v:shape style="position:absolute;left:10190;top:0;width:1715;height:7140" type="#_x0000_t75" id="docshape48" stroked="false">
                  <v:imagedata r:id="rId29" o:title=""/>
                </v:shape>
                <v:rect style="position:absolute;left:9496;top:6409;width:2410;height:1136" id="docshape49" filled="true" fillcolor="#ffffff" stroked="false">
                  <v:fill type="solid"/>
                </v:rect>
                <v:shape style="position:absolute;left:4753;top:7141;width:7152;height:4173" id="docshape50" coordorigin="4754,7141" coordsize="7152,4173" path="m4754,11314l4755,7163,11906,7141e" filled="false" stroked="true" strokeweight="1pt" strokecolor="#000000">
                  <v:path arrowok="t"/>
                  <v:stroke dashstyle="solid"/>
                </v:shape>
                <v:rect style="position:absolute;left:5322;top:6715;width:2969;height:820" id="docshape51" filled="true" fillcolor="#ffffff" stroked="false">
                  <v:fill type="solid"/>
                </v:rect>
                <v:shape style="position:absolute;left:10798;top:3079;width:764;height:759" id="docshape52" coordorigin="10799,3079" coordsize="764,759" path="m10802,3827l10801,3831,10800,3834,10799,3838,10800,3834,10801,3831,10802,3827xm11563,3079l11561,3079,11556,3079,11555,3079,11556,3079,11555,3079,11556,3079,11556,3079,11562,3079,11562,3079,11563,3079,11562,3079,11563,3079xe" filled="true" fillcolor="#0c3b60" stroked="false">
                  <v:path arrowok="t"/>
                  <v:fill type="solid"/>
                </v:shape>
                <v:line style="position:absolute" from="5305,7543" to="8281,7543" stroked="true" strokeweight=".25pt" strokecolor="#000000">
                  <v:stroke dashstyle="solid"/>
                </v:line>
                <v:shape style="position:absolute;left:4753;top:11313;width:7152;height:2653" id="docshape53" coordorigin="4754,11314" coordsize="7152,2653" path="m4754,11314l4754,13967,11906,13965e" filled="false" stroked="true" strokeweight="1pt" strokecolor="#000000">
                  <v:path arrowok="t"/>
                  <v:stroke dashstyle="solid"/>
                </v:shape>
                <v:shape style="position:absolute;left:4185;top:11308;width:7731;height:2" id="docshape54" coordorigin="4185,11309" coordsize="7731,0" path="m4185,11309l5312,11309m8274,11309l11916,11309e" filled="false" stroked="true" strokeweight="1.392884pt" strokecolor="#000000">
                  <v:path arrowok="t"/>
                  <v:stroke dashstyle="solid"/>
                </v:shape>
                <v:line style="position:absolute" from="5319,10927" to="8300,10927" stroked="true" strokeweight="1pt" strokecolor="#000000">
                  <v:stroke dashstyle="solid"/>
                </v:line>
                <v:rect style="position:absolute;left:5312;top:10937;width:2962;height:806" id="docshape55" filled="true" fillcolor="#ffffff" stroked="false">
                  <v:fill type="solid"/>
                </v:rect>
                <v:line style="position:absolute" from="5319,11803" to="8294,11803" stroked="true" strokeweight=".25pt" strokecolor="#000000">
                  <v:stroke dashstyle="solid"/>
                </v:line>
                <v:rect style="position:absolute;left:9496;top:0;width:2410;height:610" id="docshape56" filled="true" fillcolor="#ffffff" stroked="false">
                  <v:fill type="solid"/>
                </v:rect>
                <v:shape style="position:absolute;left:8273;top:11403;width:3632;height:1437" id="docshape57" coordorigin="8274,11404" coordsize="3632,1437" path="m8274,11422l10772,11404,10772,12840,11906,12840e" filled="false" stroked="true" strokeweight="1pt" strokecolor="#000000">
                  <v:path arrowok="t"/>
                  <v:stroke dashstyle="solid"/>
                </v:shape>
                <v:line style="position:absolute" from="5298,6716" to="8280,6716" stroked="true" strokeweight="1pt" strokecolor="#000000">
                  <v:stroke dashstyle="solid"/>
                </v:line>
                <w10:wrap type="none"/>
              </v:group>
            </w:pict>
          </mc:Fallback>
        </mc:AlternateContent>
      </w:r>
      <w:r>
        <w:rPr>
          <w:rFonts w:ascii="TT Norms Pro Medium"/>
          <w:b/>
          <w:spacing w:val="-5"/>
          <w:sz w:val="80"/>
        </w:rPr>
        <w:t>University</w:t>
      </w:r>
    </w:p>
    <w:p>
      <w:pPr>
        <w:pStyle w:val="Heading1"/>
        <w:spacing w:line="1011" w:lineRule="exact"/>
        <w:ind w:left="767" w:right="1678"/>
        <w:jc w:val="center"/>
      </w:pPr>
      <w:r>
        <w:rPr>
          <w:spacing w:val="20"/>
        </w:rPr>
        <w:t>Governance</w:t>
      </w:r>
      <w:r>
        <w:rPr>
          <w:spacing w:val="74"/>
        </w:rPr>
        <w:t> </w:t>
      </w:r>
      <w:r>
        <w:rPr>
          <w:spacing w:val="-4"/>
        </w:rPr>
        <w:t>2021</w:t>
      </w: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190"/>
        <w:rPr>
          <w:rFonts w:ascii="Palatino Linotype"/>
        </w:rPr>
      </w:pPr>
    </w:p>
    <w:p>
      <w:pPr>
        <w:pStyle w:val="BodyText"/>
        <w:spacing w:line="205" w:lineRule="exact"/>
        <w:ind w:left="740"/>
        <w:jc w:val="center"/>
        <w:rPr>
          <w:b w:val="0"/>
        </w:rPr>
      </w:pPr>
      <w:r>
        <w:rPr>
          <w:b w:val="0"/>
        </w:rPr>
        <w:t>VICE-</w:t>
      </w:r>
      <w:r>
        <w:rPr>
          <w:b w:val="0"/>
          <w:spacing w:val="-2"/>
        </w:rPr>
        <w:t>CHANCELLOR</w:t>
      </w:r>
    </w:p>
    <w:p>
      <w:pPr>
        <w:spacing w:line="205" w:lineRule="exact" w:before="0"/>
        <w:ind w:left="740" w:right="0" w:firstLine="0"/>
        <w:jc w:val="center"/>
        <w:rPr>
          <w:rFonts w:ascii="TT Norms Pro Light"/>
          <w:b w:val="0"/>
          <w:i/>
          <w:sz w:val="18"/>
        </w:rPr>
      </w:pPr>
      <w:r>
        <w:rPr>
          <w:rFonts w:ascii="TT Norms Pro Light"/>
          <w:b w:val="0"/>
          <w:i/>
          <w:sz w:val="18"/>
        </w:rPr>
        <w:t>UWA</w:t>
      </w:r>
      <w:r>
        <w:rPr>
          <w:rFonts w:ascii="TT Norms Pro Light"/>
          <w:b w:val="0"/>
          <w:i/>
          <w:spacing w:val="-6"/>
          <w:sz w:val="18"/>
        </w:rPr>
        <w:t> </w:t>
      </w:r>
      <w:r>
        <w:rPr>
          <w:rFonts w:ascii="TT Norms Pro Light"/>
          <w:b w:val="0"/>
          <w:i/>
          <w:sz w:val="18"/>
        </w:rPr>
        <w:t>Statute</w:t>
      </w:r>
      <w:r>
        <w:rPr>
          <w:rFonts w:ascii="TT Norms Pro Light"/>
          <w:b w:val="0"/>
          <w:i/>
          <w:spacing w:val="-6"/>
          <w:sz w:val="18"/>
        </w:rPr>
        <w:t> </w:t>
      </w:r>
      <w:r>
        <w:rPr>
          <w:rFonts w:ascii="TT Norms Pro Light"/>
          <w:b w:val="0"/>
          <w:i/>
          <w:sz w:val="18"/>
        </w:rPr>
        <w:t>Chapter</w:t>
      </w:r>
      <w:r>
        <w:rPr>
          <w:rFonts w:ascii="TT Norms Pro Light"/>
          <w:b w:val="0"/>
          <w:i/>
          <w:spacing w:val="-6"/>
          <w:sz w:val="18"/>
        </w:rPr>
        <w:t> </w:t>
      </w:r>
      <w:r>
        <w:rPr>
          <w:rFonts w:ascii="TT Norms Pro Light"/>
          <w:b w:val="0"/>
          <w:i/>
          <w:spacing w:val="-10"/>
          <w:sz w:val="18"/>
        </w:rPr>
        <w:t>3</w:t>
      </w: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spacing w:before="217"/>
        <w:rPr>
          <w:b w:val="0"/>
          <w:i/>
          <w:sz w:val="20"/>
        </w:rPr>
      </w:pPr>
      <w:r>
        <w:rPr/>
        <mc:AlternateContent>
          <mc:Choice Requires="wps">
            <w:drawing>
              <wp:anchor distT="0" distB="0" distL="0" distR="0" allowOverlap="1" layoutInCell="1" locked="0" behindDoc="1" simplePos="0" relativeHeight="487597056">
                <wp:simplePos x="0" y="0"/>
                <wp:positionH relativeFrom="page">
                  <wp:posOffset>719190</wp:posOffset>
                </wp:positionH>
                <wp:positionV relativeFrom="paragraph">
                  <wp:posOffset>302109</wp:posOffset>
                </wp:positionV>
                <wp:extent cx="1869439" cy="1270"/>
                <wp:effectExtent l="0" t="0" r="0" b="0"/>
                <wp:wrapTopAndBottom/>
                <wp:docPr id="70" name="Graphic 70"/>
                <wp:cNvGraphicFramePr>
                  <a:graphicFrameLocks/>
                </wp:cNvGraphicFramePr>
                <a:graphic>
                  <a:graphicData uri="http://schemas.microsoft.com/office/word/2010/wordprocessingShape">
                    <wps:wsp>
                      <wps:cNvPr id="70" name="Graphic 70"/>
                      <wps:cNvSpPr/>
                      <wps:spPr>
                        <a:xfrm>
                          <a:off x="0" y="0"/>
                          <a:ext cx="1869439" cy="1270"/>
                        </a:xfrm>
                        <a:custGeom>
                          <a:avLst/>
                          <a:gdLst/>
                          <a:ahLst/>
                          <a:cxnLst/>
                          <a:rect l="l" t="t" r="r" b="b"/>
                          <a:pathLst>
                            <a:path w="1869439" h="0">
                              <a:moveTo>
                                <a:pt x="0" y="0"/>
                              </a:moveTo>
                              <a:lnTo>
                                <a:pt x="1869414"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6.6292pt;margin-top:23.788113pt;width:147.2pt;height:.1pt;mso-position-horizontal-relative:page;mso-position-vertical-relative:paragraph;z-index:-15719424;mso-wrap-distance-left:0;mso-wrap-distance-right:0" id="docshape58" coordorigin="1133,476" coordsize="2944,0" path="m1133,476l4077,476e" filled="false" stroked="true" strokeweight="1pt" strokecolor="#000000">
                <v:path arrowok="t"/>
                <v:stroke dashstyle="solid"/>
                <w10:wrap type="topAndBottom"/>
              </v:shape>
            </w:pict>
          </mc:Fallback>
        </mc:AlternateContent>
      </w:r>
    </w:p>
    <w:p>
      <w:pPr>
        <w:pStyle w:val="BodyText"/>
        <w:spacing w:line="205" w:lineRule="exact" w:before="141"/>
        <w:ind w:right="7634"/>
        <w:jc w:val="center"/>
        <w:rPr>
          <w:b w:val="0"/>
        </w:rPr>
      </w:pPr>
      <w:r>
        <w:rPr>
          <w:b w:val="0"/>
          <w:spacing w:val="-2"/>
        </w:rPr>
        <w:t>CONVOCATION</w:t>
      </w:r>
    </w:p>
    <w:p>
      <w:pPr>
        <w:spacing w:line="200" w:lineRule="exact" w:before="0"/>
        <w:ind w:left="0" w:right="7634" w:firstLine="0"/>
        <w:jc w:val="center"/>
        <w:rPr>
          <w:rFonts w:ascii="TT Norms Pro Light"/>
          <w:b w:val="0"/>
          <w:i/>
          <w:sz w:val="18"/>
        </w:rPr>
      </w:pPr>
      <w:r>
        <w:rPr>
          <w:rFonts w:ascii="TT Norms Pro Light"/>
          <w:b w:val="0"/>
          <w:i/>
          <w:sz w:val="18"/>
        </w:rPr>
        <w:t>UWA</w:t>
      </w:r>
      <w:r>
        <w:rPr>
          <w:rFonts w:ascii="TT Norms Pro Light"/>
          <w:b w:val="0"/>
          <w:i/>
          <w:spacing w:val="-2"/>
          <w:sz w:val="18"/>
        </w:rPr>
        <w:t> </w:t>
      </w:r>
      <w:r>
        <w:rPr>
          <w:rFonts w:ascii="TT Norms Pro Light"/>
          <w:b w:val="0"/>
          <w:i/>
          <w:sz w:val="18"/>
        </w:rPr>
        <w:t>Act, </w:t>
      </w:r>
      <w:r>
        <w:rPr>
          <w:rFonts w:ascii="TT Norms Pro Light"/>
          <w:b w:val="0"/>
          <w:i/>
          <w:spacing w:val="-4"/>
          <w:sz w:val="18"/>
        </w:rPr>
        <w:t>1911</w:t>
      </w:r>
    </w:p>
    <w:p>
      <w:pPr>
        <w:spacing w:line="205" w:lineRule="exact" w:before="0"/>
        <w:ind w:left="0" w:right="7634" w:firstLine="0"/>
        <w:jc w:val="center"/>
        <w:rPr>
          <w:rFonts w:ascii="TT Norms Pro Light"/>
          <w:b w:val="0"/>
          <w:i/>
          <w:sz w:val="18"/>
        </w:rPr>
      </w:pPr>
      <w:r>
        <w:rPr>
          <w:rFonts w:ascii="TT Norms Pro Light"/>
          <w:b w:val="0"/>
          <w:i/>
          <w:sz w:val="18"/>
        </w:rPr>
        <w:t>UWA</w:t>
      </w:r>
      <w:r>
        <w:rPr>
          <w:rFonts w:ascii="TT Norms Pro Light"/>
          <w:b w:val="0"/>
          <w:i/>
          <w:spacing w:val="-6"/>
          <w:sz w:val="18"/>
        </w:rPr>
        <w:t> </w:t>
      </w:r>
      <w:r>
        <w:rPr>
          <w:rFonts w:ascii="TT Norms Pro Light"/>
          <w:b w:val="0"/>
          <w:i/>
          <w:sz w:val="18"/>
        </w:rPr>
        <w:t>Statute</w:t>
      </w:r>
      <w:r>
        <w:rPr>
          <w:rFonts w:ascii="TT Norms Pro Light"/>
          <w:b w:val="0"/>
          <w:i/>
          <w:spacing w:val="-6"/>
          <w:sz w:val="18"/>
        </w:rPr>
        <w:t> </w:t>
      </w:r>
      <w:r>
        <w:rPr>
          <w:rFonts w:ascii="TT Norms Pro Light"/>
          <w:b w:val="0"/>
          <w:i/>
          <w:sz w:val="18"/>
        </w:rPr>
        <w:t>Chapter</w:t>
      </w:r>
      <w:r>
        <w:rPr>
          <w:rFonts w:ascii="TT Norms Pro Light"/>
          <w:b w:val="0"/>
          <w:i/>
          <w:spacing w:val="-6"/>
          <w:sz w:val="18"/>
        </w:rPr>
        <w:t> </w:t>
      </w:r>
      <w:r>
        <w:rPr>
          <w:rFonts w:ascii="TT Norms Pro Light"/>
          <w:b w:val="0"/>
          <w:i/>
          <w:spacing w:val="-10"/>
          <w:sz w:val="18"/>
        </w:rPr>
        <w:t>4</w:t>
      </w:r>
    </w:p>
    <w:p>
      <w:pPr>
        <w:pStyle w:val="BodyText"/>
        <w:spacing w:before="5"/>
        <w:rPr>
          <w:b w:val="0"/>
          <w:i/>
          <w:sz w:val="8"/>
        </w:rPr>
      </w:pPr>
      <w:r>
        <w:rPr/>
        <mc:AlternateContent>
          <mc:Choice Requires="wps">
            <w:drawing>
              <wp:anchor distT="0" distB="0" distL="0" distR="0" allowOverlap="1" layoutInCell="1" locked="0" behindDoc="1" simplePos="0" relativeHeight="487597568">
                <wp:simplePos x="0" y="0"/>
                <wp:positionH relativeFrom="page">
                  <wp:posOffset>719190</wp:posOffset>
                </wp:positionH>
                <wp:positionV relativeFrom="paragraph">
                  <wp:posOffset>78595</wp:posOffset>
                </wp:positionV>
                <wp:extent cx="1869439" cy="346710"/>
                <wp:effectExtent l="0" t="0" r="0" b="0"/>
                <wp:wrapTopAndBottom/>
                <wp:docPr id="71" name="Group 71"/>
                <wp:cNvGraphicFramePr>
                  <a:graphicFrameLocks/>
                </wp:cNvGraphicFramePr>
                <a:graphic>
                  <a:graphicData uri="http://schemas.microsoft.com/office/word/2010/wordprocessingGroup">
                    <wpg:wgp>
                      <wpg:cNvPr id="71" name="Group 71"/>
                      <wpg:cNvGrpSpPr/>
                      <wpg:grpSpPr>
                        <a:xfrm>
                          <a:off x="0" y="0"/>
                          <a:ext cx="1869439" cy="346710"/>
                          <a:chExt cx="1869439" cy="346710"/>
                        </a:xfrm>
                      </wpg:grpSpPr>
                      <wps:wsp>
                        <wps:cNvPr id="72" name="Graphic 72"/>
                        <wps:cNvSpPr/>
                        <wps:spPr>
                          <a:xfrm>
                            <a:off x="0" y="1587"/>
                            <a:ext cx="1869439" cy="1270"/>
                          </a:xfrm>
                          <a:custGeom>
                            <a:avLst/>
                            <a:gdLst/>
                            <a:ahLst/>
                            <a:cxnLst/>
                            <a:rect l="l" t="t" r="r" b="b"/>
                            <a:pathLst>
                              <a:path w="1869439" h="0">
                                <a:moveTo>
                                  <a:pt x="0" y="0"/>
                                </a:moveTo>
                                <a:lnTo>
                                  <a:pt x="1869414" y="0"/>
                                </a:lnTo>
                              </a:path>
                            </a:pathLst>
                          </a:custGeom>
                          <a:ln w="3175">
                            <a:solidFill>
                              <a:srgbClr val="000000"/>
                            </a:solidFill>
                            <a:prstDash val="solid"/>
                          </a:ln>
                        </wps:spPr>
                        <wps:bodyPr wrap="square" lIns="0" tIns="0" rIns="0" bIns="0" rtlCol="0">
                          <a:prstTxWarp prst="textNoShape">
                            <a:avLst/>
                          </a:prstTxWarp>
                          <a:noAutofit/>
                        </wps:bodyPr>
                      </wps:wsp>
                      <wps:wsp>
                        <wps:cNvPr id="73" name="Graphic 73"/>
                        <wps:cNvSpPr/>
                        <wps:spPr>
                          <a:xfrm>
                            <a:off x="918725" y="11168"/>
                            <a:ext cx="1270" cy="335280"/>
                          </a:xfrm>
                          <a:custGeom>
                            <a:avLst/>
                            <a:gdLst/>
                            <a:ahLst/>
                            <a:cxnLst/>
                            <a:rect l="l" t="t" r="r" b="b"/>
                            <a:pathLst>
                              <a:path w="0" h="335280">
                                <a:moveTo>
                                  <a:pt x="0" y="0"/>
                                </a:moveTo>
                                <a:lnTo>
                                  <a:pt x="0" y="335064"/>
                                </a:lnTo>
                              </a:path>
                            </a:pathLst>
                          </a:custGeom>
                          <a:ln w="12700">
                            <a:solidFill>
                              <a:srgbClr val="21409A"/>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6292pt;margin-top:6.188614pt;width:147.2pt;height:27.3pt;mso-position-horizontal-relative:page;mso-position-vertical-relative:paragraph;z-index:-15718912;mso-wrap-distance-left:0;mso-wrap-distance-right:0" id="docshapegroup59" coordorigin="1133,124" coordsize="2944,546">
                <v:line style="position:absolute" from="1133,126" to="4077,126" stroked="true" strokeweight=".25pt" strokecolor="#000000">
                  <v:stroke dashstyle="solid"/>
                </v:line>
                <v:line style="position:absolute" from="2579,141" to="2579,669" stroked="true" strokeweight="1pt" strokecolor="#21409a">
                  <v:stroke dashstyle="solid"/>
                </v:line>
                <w10:wrap type="topAndBottom"/>
              </v:group>
            </w:pict>
          </mc:Fallback>
        </mc:AlternateContent>
      </w:r>
    </w:p>
    <w:p>
      <w:pPr>
        <w:pStyle w:val="BodyText"/>
        <w:rPr>
          <w:b w:val="0"/>
          <w:i/>
        </w:rPr>
      </w:pPr>
    </w:p>
    <w:p>
      <w:pPr>
        <w:pStyle w:val="BodyText"/>
        <w:rPr>
          <w:b w:val="0"/>
          <w:i/>
        </w:rPr>
      </w:pPr>
    </w:p>
    <w:p>
      <w:pPr>
        <w:pStyle w:val="BodyText"/>
        <w:spacing w:before="103"/>
        <w:rPr>
          <w:b w:val="0"/>
          <w:i/>
        </w:rPr>
      </w:pPr>
    </w:p>
    <w:p>
      <w:pPr>
        <w:pStyle w:val="BodyText"/>
        <w:spacing w:line="205" w:lineRule="exact"/>
        <w:ind w:left="767"/>
        <w:jc w:val="center"/>
        <w:rPr>
          <w:b w:val="0"/>
        </w:rPr>
      </w:pPr>
      <w:r>
        <w:rPr/>
        <mc:AlternateContent>
          <mc:Choice Requires="wps">
            <w:drawing>
              <wp:anchor distT="0" distB="0" distL="0" distR="0" allowOverlap="1" layoutInCell="1" locked="0" behindDoc="0" simplePos="0" relativeHeight="15740416">
                <wp:simplePos x="0" y="0"/>
                <wp:positionH relativeFrom="page">
                  <wp:posOffset>721779</wp:posOffset>
                </wp:positionH>
                <wp:positionV relativeFrom="paragraph">
                  <wp:posOffset>-400274</wp:posOffset>
                </wp:positionV>
                <wp:extent cx="1869439" cy="1002665"/>
                <wp:effectExtent l="0" t="0" r="0" b="0"/>
                <wp:wrapNone/>
                <wp:docPr id="74" name="Textbox 74"/>
                <wp:cNvGraphicFramePr>
                  <a:graphicFrameLocks/>
                </wp:cNvGraphicFramePr>
                <a:graphic>
                  <a:graphicData uri="http://schemas.microsoft.com/office/word/2010/wordprocessingShape">
                    <wps:wsp>
                      <wps:cNvPr id="74" name="Textbox 74"/>
                      <wps:cNvSpPr txBox="1"/>
                      <wps:spPr>
                        <a:xfrm>
                          <a:off x="0" y="0"/>
                          <a:ext cx="1869439" cy="1002665"/>
                        </a:xfrm>
                        <a:prstGeom prst="rect">
                          <a:avLst/>
                        </a:prstGeom>
                        <a:solidFill>
                          <a:srgbClr val="000000"/>
                        </a:solidFill>
                      </wps:spPr>
                      <wps:txbx>
                        <w:txbxContent>
                          <w:p>
                            <w:pPr>
                              <w:pStyle w:val="BodyText"/>
                              <w:spacing w:before="248"/>
                              <w:rPr>
                                <w:b w:val="0"/>
                                <w:i/>
                                <w:color w:val="000000"/>
                                <w:sz w:val="24"/>
                              </w:rPr>
                            </w:pPr>
                          </w:p>
                          <w:p>
                            <w:pPr>
                              <w:spacing w:line="275" w:lineRule="exact" w:before="0"/>
                              <w:ind w:left="0" w:right="0" w:firstLine="0"/>
                              <w:jc w:val="center"/>
                              <w:rPr>
                                <w:rFonts w:ascii="TT Norms Pro Medium"/>
                                <w:b/>
                                <w:color w:val="000000"/>
                                <w:sz w:val="24"/>
                              </w:rPr>
                            </w:pPr>
                            <w:r>
                              <w:rPr>
                                <w:rFonts w:ascii="TT Norms Pro Medium"/>
                                <w:b/>
                                <w:color w:val="FFFFFF"/>
                                <w:spacing w:val="-2"/>
                                <w:sz w:val="24"/>
                              </w:rPr>
                              <w:t>SENATE</w:t>
                            </w:r>
                          </w:p>
                          <w:p>
                            <w:pPr>
                              <w:spacing w:line="275" w:lineRule="exact" w:before="0"/>
                              <w:ind w:left="0" w:right="0" w:firstLine="0"/>
                              <w:jc w:val="center"/>
                              <w:rPr>
                                <w:rFonts w:ascii="TT Norms Pro Medium"/>
                                <w:b/>
                                <w:i/>
                                <w:color w:val="000000"/>
                                <w:sz w:val="24"/>
                              </w:rPr>
                            </w:pPr>
                            <w:r>
                              <w:rPr>
                                <w:rFonts w:ascii="TT Norms Pro Medium"/>
                                <w:b/>
                                <w:i/>
                                <w:color w:val="FFFFFF"/>
                                <w:spacing w:val="-10"/>
                                <w:sz w:val="24"/>
                              </w:rPr>
                              <w:t>UWA</w:t>
                            </w:r>
                            <w:r>
                              <w:rPr>
                                <w:rFonts w:ascii="TT Norms Pro Medium"/>
                                <w:b/>
                                <w:i/>
                                <w:color w:val="FFFFFF"/>
                                <w:spacing w:val="-5"/>
                                <w:sz w:val="24"/>
                              </w:rPr>
                              <w:t> </w:t>
                            </w:r>
                            <w:r>
                              <w:rPr>
                                <w:rFonts w:ascii="TT Norms Pro Medium"/>
                                <w:b/>
                                <w:i/>
                                <w:color w:val="FFFFFF"/>
                                <w:spacing w:val="-10"/>
                                <w:sz w:val="24"/>
                              </w:rPr>
                              <w:t>ACT,</w:t>
                            </w:r>
                            <w:r>
                              <w:rPr>
                                <w:rFonts w:ascii="TT Norms Pro Medium"/>
                                <w:b/>
                                <w:i/>
                                <w:color w:val="FFFFFF"/>
                                <w:spacing w:val="-4"/>
                                <w:sz w:val="24"/>
                              </w:rPr>
                              <w:t> </w:t>
                            </w:r>
                            <w:r>
                              <w:rPr>
                                <w:rFonts w:ascii="TT Norms Pro Medium"/>
                                <w:b/>
                                <w:i/>
                                <w:color w:val="FFFFFF"/>
                                <w:spacing w:val="-10"/>
                                <w:sz w:val="24"/>
                              </w:rPr>
                              <w:t>1911</w:t>
                            </w:r>
                          </w:p>
                        </w:txbxContent>
                      </wps:txbx>
                      <wps:bodyPr wrap="square" lIns="0" tIns="0" rIns="0" bIns="0" rtlCol="0">
                        <a:noAutofit/>
                      </wps:bodyPr>
                    </wps:wsp>
                  </a:graphicData>
                </a:graphic>
              </wp:anchor>
            </w:drawing>
          </mc:Choice>
          <mc:Fallback>
            <w:pict>
              <v:shape style="position:absolute;margin-left:56.833pt;margin-top:-31.5177pt;width:147.2pt;height:78.95pt;mso-position-horizontal-relative:page;mso-position-vertical-relative:paragraph;z-index:15740416" type="#_x0000_t202" id="docshape60" filled="true" fillcolor="#000000" stroked="false">
                <v:textbox inset="0,0,0,0">
                  <w:txbxContent>
                    <w:p>
                      <w:pPr>
                        <w:pStyle w:val="BodyText"/>
                        <w:spacing w:before="248"/>
                        <w:rPr>
                          <w:b w:val="0"/>
                          <w:i/>
                          <w:color w:val="000000"/>
                          <w:sz w:val="24"/>
                        </w:rPr>
                      </w:pPr>
                    </w:p>
                    <w:p>
                      <w:pPr>
                        <w:spacing w:line="275" w:lineRule="exact" w:before="0"/>
                        <w:ind w:left="0" w:right="0" w:firstLine="0"/>
                        <w:jc w:val="center"/>
                        <w:rPr>
                          <w:rFonts w:ascii="TT Norms Pro Medium"/>
                          <w:b/>
                          <w:color w:val="000000"/>
                          <w:sz w:val="24"/>
                        </w:rPr>
                      </w:pPr>
                      <w:r>
                        <w:rPr>
                          <w:rFonts w:ascii="TT Norms Pro Medium"/>
                          <w:b/>
                          <w:color w:val="FFFFFF"/>
                          <w:spacing w:val="-2"/>
                          <w:sz w:val="24"/>
                        </w:rPr>
                        <w:t>SENATE</w:t>
                      </w:r>
                    </w:p>
                    <w:p>
                      <w:pPr>
                        <w:spacing w:line="275" w:lineRule="exact" w:before="0"/>
                        <w:ind w:left="0" w:right="0" w:firstLine="0"/>
                        <w:jc w:val="center"/>
                        <w:rPr>
                          <w:rFonts w:ascii="TT Norms Pro Medium"/>
                          <w:b/>
                          <w:i/>
                          <w:color w:val="000000"/>
                          <w:sz w:val="24"/>
                        </w:rPr>
                      </w:pPr>
                      <w:r>
                        <w:rPr>
                          <w:rFonts w:ascii="TT Norms Pro Medium"/>
                          <w:b/>
                          <w:i/>
                          <w:color w:val="FFFFFF"/>
                          <w:spacing w:val="-10"/>
                          <w:sz w:val="24"/>
                        </w:rPr>
                        <w:t>UWA</w:t>
                      </w:r>
                      <w:r>
                        <w:rPr>
                          <w:rFonts w:ascii="TT Norms Pro Medium"/>
                          <w:b/>
                          <w:i/>
                          <w:color w:val="FFFFFF"/>
                          <w:spacing w:val="-5"/>
                          <w:sz w:val="24"/>
                        </w:rPr>
                        <w:t> </w:t>
                      </w:r>
                      <w:r>
                        <w:rPr>
                          <w:rFonts w:ascii="TT Norms Pro Medium"/>
                          <w:b/>
                          <w:i/>
                          <w:color w:val="FFFFFF"/>
                          <w:spacing w:val="-10"/>
                          <w:sz w:val="24"/>
                        </w:rPr>
                        <w:t>ACT,</w:t>
                      </w:r>
                      <w:r>
                        <w:rPr>
                          <w:rFonts w:ascii="TT Norms Pro Medium"/>
                          <w:b/>
                          <w:i/>
                          <w:color w:val="FFFFFF"/>
                          <w:spacing w:val="-4"/>
                          <w:sz w:val="24"/>
                        </w:rPr>
                        <w:t> </w:t>
                      </w:r>
                      <w:r>
                        <w:rPr>
                          <w:rFonts w:ascii="TT Norms Pro Medium"/>
                          <w:b/>
                          <w:i/>
                          <w:color w:val="FFFFFF"/>
                          <w:spacing w:val="-10"/>
                          <w:sz w:val="24"/>
                        </w:rPr>
                        <w:t>1911</w:t>
                      </w:r>
                    </w:p>
                  </w:txbxContent>
                </v:textbox>
                <v:fill type="solid"/>
                <w10:wrap type="none"/>
              </v:shape>
            </w:pict>
          </mc:Fallback>
        </mc:AlternateContent>
      </w:r>
      <w:r>
        <w:rPr>
          <w:b w:val="0"/>
        </w:rPr>
        <w:t>ACADEMIC</w:t>
      </w:r>
      <w:r>
        <w:rPr>
          <w:b w:val="0"/>
          <w:spacing w:val="1"/>
        </w:rPr>
        <w:t> </w:t>
      </w:r>
      <w:r>
        <w:rPr>
          <w:b w:val="0"/>
          <w:spacing w:val="-4"/>
        </w:rPr>
        <w:t>BOARD</w:t>
      </w:r>
    </w:p>
    <w:p>
      <w:pPr>
        <w:spacing w:line="205" w:lineRule="exact" w:before="0"/>
        <w:ind w:left="767" w:right="0" w:firstLine="0"/>
        <w:jc w:val="center"/>
        <w:rPr>
          <w:rFonts w:ascii="TT Norms Pro Light"/>
          <w:b w:val="0"/>
          <w:i/>
          <w:sz w:val="18"/>
        </w:rPr>
      </w:pPr>
      <w:r>
        <w:rPr>
          <w:rFonts w:ascii="TT Norms Pro Light"/>
          <w:b w:val="0"/>
          <w:i/>
          <w:sz w:val="18"/>
        </w:rPr>
        <w:t>UWA</w:t>
      </w:r>
      <w:r>
        <w:rPr>
          <w:rFonts w:ascii="TT Norms Pro Light"/>
          <w:b w:val="0"/>
          <w:i/>
          <w:spacing w:val="-6"/>
          <w:sz w:val="18"/>
        </w:rPr>
        <w:t> </w:t>
      </w:r>
      <w:r>
        <w:rPr>
          <w:rFonts w:ascii="TT Norms Pro Light"/>
          <w:b w:val="0"/>
          <w:i/>
          <w:sz w:val="18"/>
        </w:rPr>
        <w:t>Statute</w:t>
      </w:r>
      <w:r>
        <w:rPr>
          <w:rFonts w:ascii="TT Norms Pro Light"/>
          <w:b w:val="0"/>
          <w:i/>
          <w:spacing w:val="-6"/>
          <w:sz w:val="18"/>
        </w:rPr>
        <w:t> </w:t>
      </w:r>
      <w:r>
        <w:rPr>
          <w:rFonts w:ascii="TT Norms Pro Light"/>
          <w:b w:val="0"/>
          <w:i/>
          <w:sz w:val="18"/>
        </w:rPr>
        <w:t>Chapter</w:t>
      </w:r>
      <w:r>
        <w:rPr>
          <w:rFonts w:ascii="TT Norms Pro Light"/>
          <w:b w:val="0"/>
          <w:i/>
          <w:spacing w:val="-6"/>
          <w:sz w:val="18"/>
        </w:rPr>
        <w:t> </w:t>
      </w:r>
      <w:r>
        <w:rPr>
          <w:rFonts w:ascii="TT Norms Pro Light"/>
          <w:b w:val="0"/>
          <w:i/>
          <w:spacing w:val="-10"/>
          <w:sz w:val="18"/>
        </w:rPr>
        <w:t>6</w:t>
      </w:r>
    </w:p>
    <w:p>
      <w:pPr>
        <w:pStyle w:val="BodyText"/>
        <w:rPr>
          <w:b w:val="0"/>
          <w:i/>
          <w:sz w:val="20"/>
        </w:rPr>
      </w:pPr>
    </w:p>
    <w:p>
      <w:pPr>
        <w:pStyle w:val="BodyText"/>
        <w:spacing w:before="158"/>
        <w:rPr>
          <w:b w:val="0"/>
          <w:i/>
          <w:sz w:val="20"/>
        </w:rPr>
      </w:pPr>
      <w:r>
        <w:rPr/>
        <mc:AlternateContent>
          <mc:Choice Requires="wps">
            <w:drawing>
              <wp:anchor distT="0" distB="0" distL="0" distR="0" allowOverlap="1" layoutInCell="1" locked="0" behindDoc="1" simplePos="0" relativeHeight="487598080">
                <wp:simplePos x="0" y="0"/>
                <wp:positionH relativeFrom="page">
                  <wp:posOffset>719190</wp:posOffset>
                </wp:positionH>
                <wp:positionV relativeFrom="paragraph">
                  <wp:posOffset>270650</wp:posOffset>
                </wp:positionV>
                <wp:extent cx="1866900" cy="329565"/>
                <wp:effectExtent l="0" t="0" r="0" b="0"/>
                <wp:wrapTopAndBottom/>
                <wp:docPr id="75" name="Group 75"/>
                <wp:cNvGraphicFramePr>
                  <a:graphicFrameLocks/>
                </wp:cNvGraphicFramePr>
                <a:graphic>
                  <a:graphicData uri="http://schemas.microsoft.com/office/word/2010/wordprocessingGroup">
                    <wpg:wgp>
                      <wpg:cNvPr id="75" name="Group 75"/>
                      <wpg:cNvGrpSpPr/>
                      <wpg:grpSpPr>
                        <a:xfrm>
                          <a:off x="0" y="0"/>
                          <a:ext cx="1866900" cy="329565"/>
                          <a:chExt cx="1866900" cy="329565"/>
                        </a:xfrm>
                      </wpg:grpSpPr>
                      <wps:wsp>
                        <wps:cNvPr id="76" name="Graphic 76"/>
                        <wps:cNvSpPr/>
                        <wps:spPr>
                          <a:xfrm>
                            <a:off x="0" y="322925"/>
                            <a:ext cx="1866900" cy="1270"/>
                          </a:xfrm>
                          <a:custGeom>
                            <a:avLst/>
                            <a:gdLst/>
                            <a:ahLst/>
                            <a:cxnLst/>
                            <a:rect l="l" t="t" r="r" b="b"/>
                            <a:pathLst>
                              <a:path w="1866900" h="0">
                                <a:moveTo>
                                  <a:pt x="0" y="0"/>
                                </a:moveTo>
                                <a:lnTo>
                                  <a:pt x="1866823" y="0"/>
                                </a:lnTo>
                              </a:path>
                            </a:pathLst>
                          </a:custGeom>
                          <a:ln w="12700">
                            <a:solidFill>
                              <a:srgbClr val="000000"/>
                            </a:solidFill>
                            <a:prstDash val="solid"/>
                          </a:ln>
                        </wps:spPr>
                        <wps:bodyPr wrap="square" lIns="0" tIns="0" rIns="0" bIns="0" rtlCol="0">
                          <a:prstTxWarp prst="textNoShape">
                            <a:avLst/>
                          </a:prstTxWarp>
                          <a:noAutofit/>
                        </wps:bodyPr>
                      </wps:wsp>
                      <wps:wsp>
                        <wps:cNvPr id="77" name="Graphic 77"/>
                        <wps:cNvSpPr/>
                        <wps:spPr>
                          <a:xfrm>
                            <a:off x="918725" y="0"/>
                            <a:ext cx="1270" cy="301625"/>
                          </a:xfrm>
                          <a:custGeom>
                            <a:avLst/>
                            <a:gdLst/>
                            <a:ahLst/>
                            <a:cxnLst/>
                            <a:rect l="l" t="t" r="r" b="b"/>
                            <a:pathLst>
                              <a:path w="0" h="301625">
                                <a:moveTo>
                                  <a:pt x="0" y="0"/>
                                </a:moveTo>
                                <a:lnTo>
                                  <a:pt x="0" y="301015"/>
                                </a:lnTo>
                              </a:path>
                            </a:pathLst>
                          </a:custGeom>
                          <a:ln w="12700">
                            <a:solidFill>
                              <a:srgbClr val="21409A"/>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6292pt;margin-top:21.311077pt;width:147pt;height:25.95pt;mso-position-horizontal-relative:page;mso-position-vertical-relative:paragraph;z-index:-15718400;mso-wrap-distance-left:0;mso-wrap-distance-right:0" id="docshapegroup61" coordorigin="1133,426" coordsize="2940,519">
                <v:line style="position:absolute" from="1133,935" to="4072,935" stroked="true" strokeweight="1pt" strokecolor="#000000">
                  <v:stroke dashstyle="solid"/>
                </v:line>
                <v:line style="position:absolute" from="2579,426" to="2579,900" stroked="true" strokeweight="1pt" strokecolor="#21409a">
                  <v:stroke dashstyle="solid"/>
                </v:line>
                <w10:wrap type="topAndBottom"/>
              </v:group>
            </w:pict>
          </mc:Fallback>
        </mc:AlternateContent>
      </w:r>
    </w:p>
    <w:p>
      <w:pPr>
        <w:pStyle w:val="BodyText"/>
        <w:spacing w:before="26"/>
        <w:rPr>
          <w:b w:val="0"/>
          <w:i/>
        </w:rPr>
      </w:pPr>
    </w:p>
    <w:p>
      <w:pPr>
        <w:pStyle w:val="BodyText"/>
        <w:spacing w:line="205" w:lineRule="exact" w:before="1"/>
        <w:ind w:left="4" w:right="7634"/>
        <w:jc w:val="center"/>
        <w:rPr>
          <w:b w:val="0"/>
        </w:rPr>
      </w:pPr>
      <w:r>
        <w:rPr>
          <w:b w:val="0"/>
        </w:rPr>
        <w:t>GUILD</w:t>
      </w:r>
      <w:r>
        <w:rPr>
          <w:b w:val="0"/>
          <w:spacing w:val="2"/>
        </w:rPr>
        <w:t> </w:t>
      </w:r>
      <w:r>
        <w:rPr>
          <w:b w:val="0"/>
        </w:rPr>
        <w:t>OF</w:t>
      </w:r>
      <w:r>
        <w:rPr>
          <w:b w:val="0"/>
          <w:spacing w:val="2"/>
        </w:rPr>
        <w:t> </w:t>
      </w:r>
      <w:r>
        <w:rPr>
          <w:b w:val="0"/>
          <w:spacing w:val="-2"/>
        </w:rPr>
        <w:t>UNDERGRADUATES</w:t>
      </w:r>
    </w:p>
    <w:p>
      <w:pPr>
        <w:spacing w:line="200" w:lineRule="exact" w:before="0"/>
        <w:ind w:left="0" w:right="7630" w:firstLine="0"/>
        <w:jc w:val="center"/>
        <w:rPr>
          <w:rFonts w:ascii="TT Norms Pro Light"/>
          <w:b w:val="0"/>
          <w:i/>
          <w:sz w:val="18"/>
        </w:rPr>
      </w:pPr>
      <w:r>
        <w:rPr>
          <w:rFonts w:ascii="TT Norms Pro Light"/>
          <w:b w:val="0"/>
          <w:i/>
          <w:sz w:val="18"/>
        </w:rPr>
        <w:t>UWA</w:t>
      </w:r>
      <w:r>
        <w:rPr>
          <w:rFonts w:ascii="TT Norms Pro Light"/>
          <w:b w:val="0"/>
          <w:i/>
          <w:spacing w:val="-2"/>
          <w:sz w:val="18"/>
        </w:rPr>
        <w:t> </w:t>
      </w:r>
      <w:r>
        <w:rPr>
          <w:rFonts w:ascii="TT Norms Pro Light"/>
          <w:b w:val="0"/>
          <w:i/>
          <w:sz w:val="18"/>
        </w:rPr>
        <w:t>Act, </w:t>
      </w:r>
      <w:r>
        <w:rPr>
          <w:rFonts w:ascii="TT Norms Pro Light"/>
          <w:b w:val="0"/>
          <w:i/>
          <w:spacing w:val="-4"/>
          <w:sz w:val="18"/>
        </w:rPr>
        <w:t>1911</w:t>
      </w:r>
    </w:p>
    <w:p>
      <w:pPr>
        <w:spacing w:line="205" w:lineRule="exact" w:before="0"/>
        <w:ind w:left="4" w:right="7634" w:firstLine="0"/>
        <w:jc w:val="center"/>
        <w:rPr>
          <w:rFonts w:ascii="TT Norms Pro Light"/>
          <w:b w:val="0"/>
          <w:i/>
          <w:sz w:val="18"/>
        </w:rPr>
      </w:pPr>
      <w:r>
        <w:rPr>
          <w:rFonts w:ascii="TT Norms Pro Light"/>
          <w:b w:val="0"/>
          <w:i/>
          <w:sz w:val="18"/>
        </w:rPr>
        <w:t>UWA</w:t>
      </w:r>
      <w:r>
        <w:rPr>
          <w:rFonts w:ascii="TT Norms Pro Light"/>
          <w:b w:val="0"/>
          <w:i/>
          <w:spacing w:val="-6"/>
          <w:sz w:val="18"/>
        </w:rPr>
        <w:t> </w:t>
      </w:r>
      <w:r>
        <w:rPr>
          <w:rFonts w:ascii="TT Norms Pro Light"/>
          <w:b w:val="0"/>
          <w:i/>
          <w:sz w:val="18"/>
        </w:rPr>
        <w:t>Statute</w:t>
      </w:r>
      <w:r>
        <w:rPr>
          <w:rFonts w:ascii="TT Norms Pro Light"/>
          <w:b w:val="0"/>
          <w:i/>
          <w:spacing w:val="-6"/>
          <w:sz w:val="18"/>
        </w:rPr>
        <w:t> </w:t>
      </w:r>
      <w:r>
        <w:rPr>
          <w:rFonts w:ascii="TT Norms Pro Light"/>
          <w:b w:val="0"/>
          <w:i/>
          <w:sz w:val="18"/>
        </w:rPr>
        <w:t>Chapter</w:t>
      </w:r>
      <w:r>
        <w:rPr>
          <w:rFonts w:ascii="TT Norms Pro Light"/>
          <w:b w:val="0"/>
          <w:i/>
          <w:spacing w:val="-6"/>
          <w:sz w:val="18"/>
        </w:rPr>
        <w:t> </w:t>
      </w:r>
      <w:r>
        <w:rPr>
          <w:rFonts w:ascii="TT Norms Pro Light"/>
          <w:b w:val="0"/>
          <w:i/>
          <w:spacing w:val="-10"/>
          <w:sz w:val="18"/>
        </w:rPr>
        <w:t>5</w:t>
      </w:r>
    </w:p>
    <w:p>
      <w:pPr>
        <w:pStyle w:val="BodyText"/>
        <w:spacing w:before="3"/>
        <w:rPr>
          <w:b w:val="0"/>
          <w:i/>
          <w:sz w:val="13"/>
        </w:rPr>
      </w:pPr>
      <w:r>
        <w:rPr/>
        <mc:AlternateContent>
          <mc:Choice Requires="wps">
            <w:drawing>
              <wp:anchor distT="0" distB="0" distL="0" distR="0" allowOverlap="1" layoutInCell="1" locked="0" behindDoc="1" simplePos="0" relativeHeight="487598592">
                <wp:simplePos x="0" y="0"/>
                <wp:positionH relativeFrom="page">
                  <wp:posOffset>721782</wp:posOffset>
                </wp:positionH>
                <wp:positionV relativeFrom="paragraph">
                  <wp:posOffset>113781</wp:posOffset>
                </wp:positionV>
                <wp:extent cx="1869439" cy="1270"/>
                <wp:effectExtent l="0" t="0" r="0" b="0"/>
                <wp:wrapTopAndBottom/>
                <wp:docPr id="78" name="Graphic 78"/>
                <wp:cNvGraphicFramePr>
                  <a:graphicFrameLocks/>
                </wp:cNvGraphicFramePr>
                <a:graphic>
                  <a:graphicData uri="http://schemas.microsoft.com/office/word/2010/wordprocessingShape">
                    <wps:wsp>
                      <wps:cNvPr id="78" name="Graphic 78"/>
                      <wps:cNvSpPr/>
                      <wps:spPr>
                        <a:xfrm>
                          <a:off x="0" y="0"/>
                          <a:ext cx="1869439" cy="1270"/>
                        </a:xfrm>
                        <a:custGeom>
                          <a:avLst/>
                          <a:gdLst/>
                          <a:ahLst/>
                          <a:cxnLst/>
                          <a:rect l="l" t="t" r="r" b="b"/>
                          <a:pathLst>
                            <a:path w="1869439" h="0">
                              <a:moveTo>
                                <a:pt x="0" y="0"/>
                              </a:moveTo>
                              <a:lnTo>
                                <a:pt x="1869414"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6.833302pt;margin-top:8.959199pt;width:147.2pt;height:.1pt;mso-position-horizontal-relative:page;mso-position-vertical-relative:paragraph;z-index:-15717888;mso-wrap-distance-left:0;mso-wrap-distance-right:0" id="docshape62" coordorigin="1137,179" coordsize="2944,0" path="m1137,179l4081,179e" filled="false" stroked="true" strokeweight=".25pt" strokecolor="#000000">
                <v:path arrowok="t"/>
                <v:stroke dashstyle="solid"/>
                <w10:wrap type="topAndBottom"/>
              </v:shape>
            </w:pict>
          </mc:Fallback>
        </mc:AlternateContent>
      </w:r>
    </w:p>
    <w:p>
      <w:pPr>
        <w:spacing w:after="0"/>
        <w:rPr>
          <w:sz w:val="13"/>
        </w:rPr>
        <w:sectPr>
          <w:pgSz w:w="11910" w:h="16840"/>
          <w:pgMar w:header="468" w:footer="0" w:top="720" w:bottom="280" w:left="940" w:right="0"/>
        </w:sect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spacing w:before="205"/>
        <w:rPr>
          <w:b w:val="0"/>
          <w:i/>
          <w:sz w:val="20"/>
        </w:rPr>
      </w:pPr>
    </w:p>
    <w:p>
      <w:pPr>
        <w:spacing w:after="0"/>
        <w:rPr>
          <w:sz w:val="20"/>
        </w:rPr>
        <w:sectPr>
          <w:pgSz w:w="11910" w:h="16840"/>
          <w:pgMar w:header="468" w:footer="0" w:top="720" w:bottom="280" w:left="940" w:right="0"/>
        </w:sectPr>
      </w:pPr>
    </w:p>
    <w:p>
      <w:pPr>
        <w:spacing w:before="120"/>
        <w:ind w:left="891" w:right="0" w:firstLine="0"/>
        <w:jc w:val="left"/>
        <w:rPr>
          <w:rFonts w:ascii="TT Norms Pro"/>
          <w:sz w:val="16"/>
        </w:rPr>
      </w:pPr>
      <w:r>
        <w:rPr>
          <w:rFonts w:ascii="TT Norms Pro"/>
          <w:spacing w:val="-2"/>
          <w:sz w:val="16"/>
        </w:rPr>
        <w:t>EXECUTIVE</w:t>
      </w:r>
    </w:p>
    <w:p>
      <w:pPr>
        <w:spacing w:line="256" w:lineRule="auto" w:before="120"/>
        <w:ind w:left="891" w:right="0" w:firstLine="116"/>
        <w:jc w:val="left"/>
        <w:rPr>
          <w:rFonts w:ascii="TT Norms Pro" w:hAnsi="TT Norms Pro"/>
          <w:sz w:val="16"/>
        </w:rPr>
      </w:pPr>
      <w:r>
        <w:rPr/>
        <w:br w:type="column"/>
      </w:r>
      <w:r>
        <w:rPr>
          <w:rFonts w:ascii="TT Norms Pro" w:hAnsi="TT Norms Pro"/>
          <w:spacing w:val="-2"/>
          <w:sz w:val="16"/>
        </w:rPr>
        <w:t>VICE-CHANCELLOR’S</w:t>
      </w:r>
      <w:r>
        <w:rPr>
          <w:rFonts w:ascii="TT Norms Pro" w:hAnsi="TT Norms Pro"/>
          <w:spacing w:val="40"/>
          <w:sz w:val="16"/>
        </w:rPr>
        <w:t> </w:t>
      </w:r>
      <w:r>
        <w:rPr>
          <w:rFonts w:ascii="TT Norms Pro" w:hAnsi="TT Norms Pro"/>
          <w:sz w:val="16"/>
        </w:rPr>
        <w:t>ADVISORY</w:t>
      </w:r>
      <w:r>
        <w:rPr>
          <w:rFonts w:ascii="TT Norms Pro" w:hAnsi="TT Norms Pro"/>
          <w:spacing w:val="-9"/>
          <w:sz w:val="16"/>
        </w:rPr>
        <w:t> </w:t>
      </w:r>
      <w:r>
        <w:rPr>
          <w:rFonts w:ascii="TT Norms Pro" w:hAnsi="TT Norms Pro"/>
          <w:sz w:val="16"/>
        </w:rPr>
        <w:t>COMMITTEES</w:t>
      </w:r>
    </w:p>
    <w:p>
      <w:pPr>
        <w:spacing w:line="256" w:lineRule="auto" w:before="120"/>
        <w:ind w:left="655" w:right="3959" w:firstLine="141"/>
        <w:jc w:val="left"/>
        <w:rPr>
          <w:rFonts w:ascii="TT Norms Pro"/>
          <w:sz w:val="16"/>
        </w:rPr>
      </w:pPr>
      <w:r>
        <w:rPr/>
        <w:br w:type="column"/>
      </w:r>
      <w:r>
        <w:rPr>
          <w:rFonts w:ascii="TT Norms Pro"/>
          <w:sz w:val="16"/>
        </w:rPr>
        <w:t>SENIOR</w:t>
      </w:r>
      <w:r>
        <w:rPr>
          <w:rFonts w:ascii="TT Norms Pro"/>
          <w:spacing w:val="-9"/>
          <w:sz w:val="16"/>
        </w:rPr>
        <w:t> </w:t>
      </w:r>
      <w:r>
        <w:rPr>
          <w:rFonts w:ascii="TT Norms Pro"/>
          <w:sz w:val="16"/>
        </w:rPr>
        <w:t>DEPUTY</w:t>
      </w:r>
      <w:r>
        <w:rPr>
          <w:rFonts w:ascii="TT Norms Pro"/>
          <w:spacing w:val="40"/>
          <w:sz w:val="16"/>
        </w:rPr>
        <w:t> </w:t>
      </w:r>
      <w:r>
        <w:rPr>
          <w:rFonts w:ascii="TT Norms Pro"/>
          <w:spacing w:val="-2"/>
          <w:sz w:val="16"/>
        </w:rPr>
        <w:t>VICE-CHANCELLOR</w:t>
      </w:r>
    </w:p>
    <w:p>
      <w:pPr>
        <w:spacing w:after="0" w:line="256" w:lineRule="auto"/>
        <w:jc w:val="left"/>
        <w:rPr>
          <w:rFonts w:ascii="TT Norms Pro"/>
          <w:sz w:val="16"/>
        </w:rPr>
        <w:sectPr>
          <w:type w:val="continuous"/>
          <w:pgSz w:w="11910" w:h="16840"/>
          <w:pgMar w:header="468" w:footer="0" w:top="980" w:bottom="280" w:left="940" w:right="0"/>
          <w:cols w:num="3" w:equalWidth="0">
            <w:col w:w="1807" w:space="61"/>
            <w:col w:w="2850" w:space="39"/>
            <w:col w:w="6213"/>
          </w:cols>
        </w:sectPr>
      </w:pPr>
    </w:p>
    <w:p>
      <w:pPr>
        <w:pStyle w:val="BodyText"/>
        <w:spacing w:before="6" w:after="1"/>
        <w:rPr>
          <w:rFonts w:ascii="TT Norms Pro"/>
          <w:sz w:val="12"/>
        </w:rPr>
      </w:pPr>
      <w:r>
        <w:rPr/>
        <mc:AlternateContent>
          <mc:Choice Requires="wps">
            <w:drawing>
              <wp:anchor distT="0" distB="0" distL="0" distR="0" allowOverlap="1" layoutInCell="1" locked="0" behindDoc="0" simplePos="0" relativeHeight="15745024">
                <wp:simplePos x="0" y="0"/>
                <wp:positionH relativeFrom="page">
                  <wp:posOffset>-6350</wp:posOffset>
                </wp:positionH>
                <wp:positionV relativeFrom="page">
                  <wp:posOffset>12</wp:posOffset>
                </wp:positionV>
                <wp:extent cx="6882765" cy="4791710"/>
                <wp:effectExtent l="0" t="0" r="0" b="0"/>
                <wp:wrapNone/>
                <wp:docPr id="79" name="Group 79"/>
                <wp:cNvGraphicFramePr>
                  <a:graphicFrameLocks/>
                </wp:cNvGraphicFramePr>
                <a:graphic>
                  <a:graphicData uri="http://schemas.microsoft.com/office/word/2010/wordprocessingGroup">
                    <wpg:wgp>
                      <wpg:cNvPr id="79" name="Group 79"/>
                      <wpg:cNvGrpSpPr/>
                      <wpg:grpSpPr>
                        <a:xfrm>
                          <a:off x="0" y="0"/>
                          <a:ext cx="6882765" cy="4791710"/>
                          <a:chExt cx="6882765" cy="4791710"/>
                        </a:xfrm>
                      </wpg:grpSpPr>
                      <pic:pic>
                        <pic:nvPicPr>
                          <pic:cNvPr id="80" name="Image 80"/>
                          <pic:cNvPicPr/>
                        </pic:nvPicPr>
                        <pic:blipFill>
                          <a:blip r:embed="rId30" cstate="print"/>
                          <a:stretch>
                            <a:fillRect/>
                          </a:stretch>
                        </pic:blipFill>
                        <pic:spPr>
                          <a:xfrm>
                            <a:off x="6350" y="0"/>
                            <a:ext cx="6875995" cy="4533557"/>
                          </a:xfrm>
                          <a:prstGeom prst="rect">
                            <a:avLst/>
                          </a:prstGeom>
                        </pic:spPr>
                      </pic:pic>
                      <wps:wsp>
                        <wps:cNvPr id="81" name="Graphic 81"/>
                        <wps:cNvSpPr/>
                        <wps:spPr>
                          <a:xfrm>
                            <a:off x="6350" y="4070286"/>
                            <a:ext cx="5580380" cy="721360"/>
                          </a:xfrm>
                          <a:custGeom>
                            <a:avLst/>
                            <a:gdLst/>
                            <a:ahLst/>
                            <a:cxnLst/>
                            <a:rect l="l" t="t" r="r" b="b"/>
                            <a:pathLst>
                              <a:path w="5580380" h="721360">
                                <a:moveTo>
                                  <a:pt x="5579999" y="0"/>
                                </a:moveTo>
                                <a:lnTo>
                                  <a:pt x="0" y="0"/>
                                </a:lnTo>
                                <a:lnTo>
                                  <a:pt x="0" y="721131"/>
                                </a:lnTo>
                                <a:lnTo>
                                  <a:pt x="5579999" y="721131"/>
                                </a:lnTo>
                                <a:lnTo>
                                  <a:pt x="5579999" y="0"/>
                                </a:lnTo>
                                <a:close/>
                              </a:path>
                            </a:pathLst>
                          </a:custGeom>
                          <a:solidFill>
                            <a:srgbClr val="FFFFFF"/>
                          </a:solidFill>
                        </wps:spPr>
                        <wps:bodyPr wrap="square" lIns="0" tIns="0" rIns="0" bIns="0" rtlCol="0">
                          <a:prstTxWarp prst="textNoShape">
                            <a:avLst/>
                          </a:prstTxWarp>
                          <a:noAutofit/>
                        </wps:bodyPr>
                      </wps:wsp>
                      <wps:wsp>
                        <wps:cNvPr id="82" name="Graphic 82"/>
                        <wps:cNvSpPr/>
                        <wps:spPr>
                          <a:xfrm>
                            <a:off x="6350" y="4521310"/>
                            <a:ext cx="4522470" cy="128270"/>
                          </a:xfrm>
                          <a:custGeom>
                            <a:avLst/>
                            <a:gdLst/>
                            <a:ahLst/>
                            <a:cxnLst/>
                            <a:rect l="l" t="t" r="r" b="b"/>
                            <a:pathLst>
                              <a:path w="4522470" h="128270">
                                <a:moveTo>
                                  <a:pt x="0" y="13439"/>
                                </a:moveTo>
                                <a:lnTo>
                                  <a:pt x="4521643" y="0"/>
                                </a:lnTo>
                                <a:lnTo>
                                  <a:pt x="4522036" y="127647"/>
                                </a:lnTo>
                              </a:path>
                            </a:pathLst>
                          </a:custGeom>
                          <a:ln w="12699">
                            <a:solidFill>
                              <a:srgbClr val="000000"/>
                            </a:solidFill>
                            <a:prstDash val="solid"/>
                          </a:ln>
                        </wps:spPr>
                        <wps:bodyPr wrap="square" lIns="0" tIns="0" rIns="0" bIns="0" rtlCol="0">
                          <a:prstTxWarp prst="textNoShape">
                            <a:avLst/>
                          </a:prstTxWarp>
                          <a:noAutofit/>
                        </wps:bodyPr>
                      </wps:wsp>
                      <wps:wsp>
                        <wps:cNvPr id="83" name="Graphic 83"/>
                        <wps:cNvSpPr/>
                        <wps:spPr>
                          <a:xfrm>
                            <a:off x="789233" y="4766256"/>
                            <a:ext cx="1341120" cy="1270"/>
                          </a:xfrm>
                          <a:custGeom>
                            <a:avLst/>
                            <a:gdLst/>
                            <a:ahLst/>
                            <a:cxnLst/>
                            <a:rect l="l" t="t" r="r" b="b"/>
                            <a:pathLst>
                              <a:path w="1341120" h="0">
                                <a:moveTo>
                                  <a:pt x="0" y="0"/>
                                </a:moveTo>
                                <a:lnTo>
                                  <a:pt x="1341120" y="0"/>
                                </a:lnTo>
                              </a:path>
                            </a:pathLst>
                          </a:custGeom>
                          <a:ln w="3175">
                            <a:solidFill>
                              <a:srgbClr val="000000"/>
                            </a:solidFill>
                            <a:prstDash val="solid"/>
                          </a:ln>
                        </wps:spPr>
                        <wps:bodyPr wrap="square" lIns="0" tIns="0" rIns="0" bIns="0" rtlCol="0">
                          <a:prstTxWarp prst="textNoShape">
                            <a:avLst/>
                          </a:prstTxWarp>
                          <a:noAutofit/>
                        </wps:bodyPr>
                      </wps:wsp>
                      <wps:wsp>
                        <wps:cNvPr id="84" name="Graphic 84"/>
                        <wps:cNvSpPr/>
                        <wps:spPr>
                          <a:xfrm>
                            <a:off x="2275333" y="4766256"/>
                            <a:ext cx="1404620" cy="1270"/>
                          </a:xfrm>
                          <a:custGeom>
                            <a:avLst/>
                            <a:gdLst/>
                            <a:ahLst/>
                            <a:cxnLst/>
                            <a:rect l="l" t="t" r="r" b="b"/>
                            <a:pathLst>
                              <a:path w="1404620" h="0">
                                <a:moveTo>
                                  <a:pt x="0" y="0"/>
                                </a:moveTo>
                                <a:lnTo>
                                  <a:pt x="1403997" y="0"/>
                                </a:lnTo>
                              </a:path>
                            </a:pathLst>
                          </a:custGeom>
                          <a:ln w="3175">
                            <a:solidFill>
                              <a:srgbClr val="000000"/>
                            </a:solidFill>
                            <a:prstDash val="solid"/>
                          </a:ln>
                        </wps:spPr>
                        <wps:bodyPr wrap="square" lIns="0" tIns="0" rIns="0" bIns="0" rtlCol="0">
                          <a:prstTxWarp prst="textNoShape">
                            <a:avLst/>
                          </a:prstTxWarp>
                          <a:noAutofit/>
                        </wps:bodyPr>
                      </wps:wsp>
                      <wps:wsp>
                        <wps:cNvPr id="85" name="Graphic 85"/>
                        <wps:cNvSpPr/>
                        <wps:spPr>
                          <a:xfrm>
                            <a:off x="3842875" y="4766256"/>
                            <a:ext cx="1404620" cy="1270"/>
                          </a:xfrm>
                          <a:custGeom>
                            <a:avLst/>
                            <a:gdLst/>
                            <a:ahLst/>
                            <a:cxnLst/>
                            <a:rect l="l" t="t" r="r" b="b"/>
                            <a:pathLst>
                              <a:path w="1404620" h="0">
                                <a:moveTo>
                                  <a:pt x="0" y="0"/>
                                </a:moveTo>
                                <a:lnTo>
                                  <a:pt x="1403997" y="0"/>
                                </a:lnTo>
                              </a:path>
                            </a:pathLst>
                          </a:custGeom>
                          <a:ln w="3175">
                            <a:solidFill>
                              <a:srgbClr val="000000"/>
                            </a:solidFill>
                            <a:prstDash val="solid"/>
                          </a:ln>
                        </wps:spPr>
                        <wps:bodyPr wrap="square" lIns="0" tIns="0" rIns="0" bIns="0" rtlCol="0">
                          <a:prstTxWarp prst="textNoShape">
                            <a:avLst/>
                          </a:prstTxWarp>
                          <a:noAutofit/>
                        </wps:bodyPr>
                      </wps:wsp>
                      <wps:wsp>
                        <wps:cNvPr id="86" name="Graphic 86"/>
                        <wps:cNvSpPr/>
                        <wps:spPr>
                          <a:xfrm>
                            <a:off x="1482148" y="4533554"/>
                            <a:ext cx="1270" cy="141605"/>
                          </a:xfrm>
                          <a:custGeom>
                            <a:avLst/>
                            <a:gdLst/>
                            <a:ahLst/>
                            <a:cxnLst/>
                            <a:rect l="l" t="t" r="r" b="b"/>
                            <a:pathLst>
                              <a:path w="0" h="141605">
                                <a:moveTo>
                                  <a:pt x="0" y="141198"/>
                                </a:moveTo>
                                <a:lnTo>
                                  <a:pt x="0" y="0"/>
                                </a:lnTo>
                              </a:path>
                            </a:pathLst>
                          </a:custGeom>
                          <a:ln w="12700">
                            <a:solidFill>
                              <a:srgbClr val="000000"/>
                            </a:solidFill>
                            <a:prstDash val="solid"/>
                          </a:ln>
                        </wps:spPr>
                        <wps:bodyPr wrap="square" lIns="0" tIns="0" rIns="0" bIns="0" rtlCol="0">
                          <a:prstTxWarp prst="textNoShape">
                            <a:avLst/>
                          </a:prstTxWarp>
                          <a:noAutofit/>
                        </wps:bodyPr>
                      </wps:wsp>
                      <wps:wsp>
                        <wps:cNvPr id="87" name="Graphic 87"/>
                        <wps:cNvSpPr/>
                        <wps:spPr>
                          <a:xfrm>
                            <a:off x="2985076" y="4533554"/>
                            <a:ext cx="1270" cy="141605"/>
                          </a:xfrm>
                          <a:custGeom>
                            <a:avLst/>
                            <a:gdLst/>
                            <a:ahLst/>
                            <a:cxnLst/>
                            <a:rect l="l" t="t" r="r" b="b"/>
                            <a:pathLst>
                              <a:path w="0" h="141605">
                                <a:moveTo>
                                  <a:pt x="0" y="141198"/>
                                </a:moveTo>
                                <a:lnTo>
                                  <a:pt x="0" y="0"/>
                                </a:lnTo>
                              </a:path>
                            </a:pathLst>
                          </a:custGeom>
                          <a:ln w="12700">
                            <a:solidFill>
                              <a:srgbClr val="000000"/>
                            </a:solidFill>
                            <a:prstDash val="solid"/>
                          </a:ln>
                        </wps:spPr>
                        <wps:bodyPr wrap="square" lIns="0" tIns="0" rIns="0" bIns="0" rtlCol="0">
                          <a:prstTxWarp prst="textNoShape">
                            <a:avLst/>
                          </a:prstTxWarp>
                          <a:noAutofit/>
                        </wps:bodyPr>
                      </wps:wsp>
                      <wps:wsp>
                        <wps:cNvPr id="88" name="Graphic 88"/>
                        <wps:cNvSpPr/>
                        <wps:spPr>
                          <a:xfrm>
                            <a:off x="6350" y="0"/>
                            <a:ext cx="3222625" cy="387350"/>
                          </a:xfrm>
                          <a:custGeom>
                            <a:avLst/>
                            <a:gdLst/>
                            <a:ahLst/>
                            <a:cxnLst/>
                            <a:rect l="l" t="t" r="r" b="b"/>
                            <a:pathLst>
                              <a:path w="3222625" h="387350">
                                <a:moveTo>
                                  <a:pt x="3222002" y="0"/>
                                </a:moveTo>
                                <a:lnTo>
                                  <a:pt x="0" y="0"/>
                                </a:lnTo>
                                <a:lnTo>
                                  <a:pt x="0" y="386994"/>
                                </a:lnTo>
                                <a:lnTo>
                                  <a:pt x="3222002" y="386994"/>
                                </a:lnTo>
                                <a:lnTo>
                                  <a:pt x="322200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500005pt;margin-top:.001015pt;width:541.950pt;height:377.3pt;mso-position-horizontal-relative:page;mso-position-vertical-relative:page;z-index:15745024" id="docshapegroup63" coordorigin="-10,0" coordsize="10839,7546">
                <v:shape style="position:absolute;left:0;top:0;width:10829;height:7140" type="#_x0000_t75" id="docshape64" stroked="false">
                  <v:imagedata r:id="rId30" o:title=""/>
                </v:shape>
                <v:rect style="position:absolute;left:0;top:6409;width:8788;height:1136" id="docshape65" filled="true" fillcolor="#ffffff" stroked="false">
                  <v:fill type="solid"/>
                </v:rect>
                <v:shape style="position:absolute;left:0;top:7120;width:7122;height:202" id="docshape66" coordorigin="0,7120" coordsize="7122,202" path="m0,7141l7121,7120,7121,7321e" filled="false" stroked="true" strokeweight="1.0pt" strokecolor="#000000">
                  <v:path arrowok="t"/>
                  <v:stroke dashstyle="solid"/>
                </v:shape>
                <v:line style="position:absolute" from="1233,7506" to="3345,7506" stroked="true" strokeweight=".25pt" strokecolor="#000000">
                  <v:stroke dashstyle="solid"/>
                </v:line>
                <v:line style="position:absolute" from="3573,7506" to="5784,7506" stroked="true" strokeweight=".25pt" strokecolor="#000000">
                  <v:stroke dashstyle="solid"/>
                </v:line>
                <v:line style="position:absolute" from="6042,7506" to="8253,7506" stroked="true" strokeweight=".25pt" strokecolor="#000000">
                  <v:stroke dashstyle="solid"/>
                </v:line>
                <v:line style="position:absolute" from="2324,7362" to="2324,7139" stroked="true" strokeweight="1pt" strokecolor="#000000">
                  <v:stroke dashstyle="solid"/>
                </v:line>
                <v:line style="position:absolute" from="4691,7362" to="4691,7139" stroked="true" strokeweight="1pt" strokecolor="#000000">
                  <v:stroke dashstyle="solid"/>
                </v:line>
                <v:rect style="position:absolute;left:0;top:0;width:5075;height:610" id="docshape67" filled="true" fillcolor="#ffffff" stroked="false">
                  <v:fill type="solid"/>
                </v:rect>
                <w10:wrap type="none"/>
              </v:group>
            </w:pict>
          </mc:Fallback>
        </mc:AlternateContent>
      </w:r>
      <w:r>
        <w:rPr/>
        <mc:AlternateContent>
          <mc:Choice Requires="wps">
            <w:drawing>
              <wp:anchor distT="0" distB="0" distL="0" distR="0" allowOverlap="1" layoutInCell="1" locked="0" behindDoc="0" simplePos="0" relativeHeight="15745536">
                <wp:simplePos x="0" y="0"/>
                <wp:positionH relativeFrom="page">
                  <wp:posOffset>774839</wp:posOffset>
                </wp:positionH>
                <wp:positionV relativeFrom="page">
                  <wp:posOffset>5159794</wp:posOffset>
                </wp:positionV>
                <wp:extent cx="1405890" cy="1522095"/>
                <wp:effectExtent l="0" t="0" r="0" b="0"/>
                <wp:wrapNone/>
                <wp:docPr id="89" name="Group 89"/>
                <wp:cNvGraphicFramePr>
                  <a:graphicFrameLocks/>
                </wp:cNvGraphicFramePr>
                <a:graphic>
                  <a:graphicData uri="http://schemas.microsoft.com/office/word/2010/wordprocessingGroup">
                    <wpg:wgp>
                      <wpg:cNvPr id="89" name="Group 89"/>
                      <wpg:cNvGrpSpPr/>
                      <wpg:grpSpPr>
                        <a:xfrm>
                          <a:off x="0" y="0"/>
                          <a:ext cx="1405890" cy="1522095"/>
                          <a:chExt cx="1405890" cy="1522095"/>
                        </a:xfrm>
                      </wpg:grpSpPr>
                      <wps:wsp>
                        <wps:cNvPr id="90" name="Graphic 90"/>
                        <wps:cNvSpPr/>
                        <wps:spPr>
                          <a:xfrm>
                            <a:off x="0" y="0"/>
                            <a:ext cx="1405890" cy="1522095"/>
                          </a:xfrm>
                          <a:custGeom>
                            <a:avLst/>
                            <a:gdLst/>
                            <a:ahLst/>
                            <a:cxnLst/>
                            <a:rect l="l" t="t" r="r" b="b"/>
                            <a:pathLst>
                              <a:path w="1405890" h="1522095">
                                <a:moveTo>
                                  <a:pt x="1405801" y="0"/>
                                </a:moveTo>
                                <a:lnTo>
                                  <a:pt x="0" y="0"/>
                                </a:lnTo>
                                <a:lnTo>
                                  <a:pt x="0" y="1521828"/>
                                </a:lnTo>
                                <a:lnTo>
                                  <a:pt x="1405801" y="1521828"/>
                                </a:lnTo>
                                <a:lnTo>
                                  <a:pt x="1405801" y="0"/>
                                </a:lnTo>
                                <a:close/>
                              </a:path>
                            </a:pathLst>
                          </a:custGeom>
                          <a:solidFill>
                            <a:srgbClr val="B1B4B6"/>
                          </a:solidFill>
                        </wps:spPr>
                        <wps:bodyPr wrap="square" lIns="0" tIns="0" rIns="0" bIns="0" rtlCol="0">
                          <a:prstTxWarp prst="textNoShape">
                            <a:avLst/>
                          </a:prstTxWarp>
                          <a:noAutofit/>
                        </wps:bodyPr>
                      </wps:wsp>
                      <wps:wsp>
                        <wps:cNvPr id="91" name="Graphic 91"/>
                        <wps:cNvSpPr/>
                        <wps:spPr>
                          <a:xfrm>
                            <a:off x="308695" y="384077"/>
                            <a:ext cx="772160" cy="1270"/>
                          </a:xfrm>
                          <a:custGeom>
                            <a:avLst/>
                            <a:gdLst/>
                            <a:ahLst/>
                            <a:cxnLst/>
                            <a:rect l="l" t="t" r="r" b="b"/>
                            <a:pathLst>
                              <a:path w="772160" h="0">
                                <a:moveTo>
                                  <a:pt x="0" y="0"/>
                                </a:moveTo>
                                <a:lnTo>
                                  <a:pt x="771829" y="0"/>
                                </a:lnTo>
                              </a:path>
                            </a:pathLst>
                          </a:custGeom>
                          <a:ln w="6350">
                            <a:solidFill>
                              <a:srgbClr val="FFFFFF"/>
                            </a:solidFill>
                            <a:prstDash val="solid"/>
                          </a:ln>
                        </wps:spPr>
                        <wps:bodyPr wrap="square" lIns="0" tIns="0" rIns="0" bIns="0" rtlCol="0">
                          <a:prstTxWarp prst="textNoShape">
                            <a:avLst/>
                          </a:prstTxWarp>
                          <a:noAutofit/>
                        </wps:bodyPr>
                      </wps:wsp>
                      <wps:wsp>
                        <wps:cNvPr id="92" name="Graphic 92"/>
                        <wps:cNvSpPr/>
                        <wps:spPr>
                          <a:xfrm>
                            <a:off x="308695" y="1142956"/>
                            <a:ext cx="772160" cy="1270"/>
                          </a:xfrm>
                          <a:custGeom>
                            <a:avLst/>
                            <a:gdLst/>
                            <a:ahLst/>
                            <a:cxnLst/>
                            <a:rect l="l" t="t" r="r" b="b"/>
                            <a:pathLst>
                              <a:path w="772160" h="0">
                                <a:moveTo>
                                  <a:pt x="0" y="0"/>
                                </a:moveTo>
                                <a:lnTo>
                                  <a:pt x="771829" y="0"/>
                                </a:lnTo>
                              </a:path>
                            </a:pathLst>
                          </a:custGeom>
                          <a:ln w="6350">
                            <a:solidFill>
                              <a:srgbClr val="FFFFFF"/>
                            </a:solidFill>
                            <a:prstDash val="solid"/>
                          </a:ln>
                        </wps:spPr>
                        <wps:bodyPr wrap="square" lIns="0" tIns="0" rIns="0" bIns="0" rtlCol="0">
                          <a:prstTxWarp prst="textNoShape">
                            <a:avLst/>
                          </a:prstTxWarp>
                          <a:noAutofit/>
                        </wps:bodyPr>
                      </wps:wsp>
                      <wps:wsp>
                        <wps:cNvPr id="93" name="Graphic 93"/>
                        <wps:cNvSpPr/>
                        <wps:spPr>
                          <a:xfrm>
                            <a:off x="308695" y="754565"/>
                            <a:ext cx="772160" cy="1270"/>
                          </a:xfrm>
                          <a:custGeom>
                            <a:avLst/>
                            <a:gdLst/>
                            <a:ahLst/>
                            <a:cxnLst/>
                            <a:rect l="l" t="t" r="r" b="b"/>
                            <a:pathLst>
                              <a:path w="772160" h="0">
                                <a:moveTo>
                                  <a:pt x="0" y="0"/>
                                </a:moveTo>
                                <a:lnTo>
                                  <a:pt x="771829" y="0"/>
                                </a:lnTo>
                              </a:path>
                            </a:pathLst>
                          </a:custGeom>
                          <a:ln w="6350">
                            <a:solidFill>
                              <a:srgbClr val="FFFFFF"/>
                            </a:solidFill>
                            <a:prstDash val="solid"/>
                          </a:ln>
                        </wps:spPr>
                        <wps:bodyPr wrap="square" lIns="0" tIns="0" rIns="0" bIns="0" rtlCol="0">
                          <a:prstTxWarp prst="textNoShape">
                            <a:avLst/>
                          </a:prstTxWarp>
                          <a:noAutofit/>
                        </wps:bodyPr>
                      </wps:wsp>
                      <wps:wsp>
                        <wps:cNvPr id="94" name="Textbox 94"/>
                        <wps:cNvSpPr txBox="1"/>
                        <wps:spPr>
                          <a:xfrm>
                            <a:off x="0" y="0"/>
                            <a:ext cx="1405890" cy="1522095"/>
                          </a:xfrm>
                          <a:prstGeom prst="rect">
                            <a:avLst/>
                          </a:prstGeom>
                        </wps:spPr>
                        <wps:txbx>
                          <w:txbxContent>
                            <w:p>
                              <w:pPr>
                                <w:spacing w:line="256" w:lineRule="auto" w:before="107"/>
                                <w:ind w:left="507" w:right="506" w:firstLine="0"/>
                                <w:jc w:val="center"/>
                                <w:rPr>
                                  <w:rFonts w:ascii="TT Norms Pro"/>
                                  <w:sz w:val="16"/>
                                </w:rPr>
                              </w:pPr>
                              <w:r>
                                <w:rPr>
                                  <w:rFonts w:ascii="TT Norms Pro"/>
                                  <w:sz w:val="16"/>
                                </w:rPr>
                                <w:t>Senior</w:t>
                              </w:r>
                              <w:r>
                                <w:rPr>
                                  <w:rFonts w:ascii="TT Norms Pro"/>
                                  <w:spacing w:val="-7"/>
                                  <w:sz w:val="16"/>
                                </w:rPr>
                                <w:t> </w:t>
                              </w:r>
                              <w:r>
                                <w:rPr>
                                  <w:rFonts w:ascii="TT Norms Pro"/>
                                  <w:sz w:val="16"/>
                                </w:rPr>
                                <w:t>Deputy</w:t>
                              </w:r>
                              <w:r>
                                <w:rPr>
                                  <w:rFonts w:ascii="TT Norms Pro"/>
                                  <w:spacing w:val="40"/>
                                  <w:sz w:val="16"/>
                                </w:rPr>
                                <w:t> </w:t>
                              </w:r>
                              <w:r>
                                <w:rPr>
                                  <w:rFonts w:ascii="TT Norms Pro"/>
                                  <w:spacing w:val="-2"/>
                                  <w:sz w:val="16"/>
                                </w:rPr>
                                <w:t>Vice-Chancellor</w:t>
                              </w:r>
                            </w:p>
                            <w:p>
                              <w:pPr>
                                <w:spacing w:line="240" w:lineRule="auto" w:before="13"/>
                                <w:rPr>
                                  <w:rFonts w:ascii="TT Norms Pro"/>
                                  <w:sz w:val="16"/>
                                </w:rPr>
                              </w:pPr>
                            </w:p>
                            <w:p>
                              <w:pPr>
                                <w:spacing w:line="256" w:lineRule="auto" w:before="0"/>
                                <w:ind w:left="46" w:right="32" w:firstLine="0"/>
                                <w:jc w:val="center"/>
                                <w:rPr>
                                  <w:rFonts w:ascii="TT Norms Pro"/>
                                  <w:sz w:val="16"/>
                                </w:rPr>
                              </w:pPr>
                              <w:r>
                                <w:rPr>
                                  <w:rFonts w:ascii="TT Norms Pro"/>
                                  <w:sz w:val="16"/>
                                </w:rPr>
                                <w:t>Deputy</w:t>
                              </w:r>
                              <w:r>
                                <w:rPr>
                                  <w:rFonts w:ascii="TT Norms Pro"/>
                                  <w:spacing w:val="-9"/>
                                  <w:sz w:val="16"/>
                                </w:rPr>
                                <w:t> </w:t>
                              </w:r>
                              <w:r>
                                <w:rPr>
                                  <w:rFonts w:ascii="TT Norms Pro"/>
                                  <w:sz w:val="16"/>
                                </w:rPr>
                                <w:t>Vice-Chancellor</w:t>
                              </w:r>
                              <w:r>
                                <w:rPr>
                                  <w:rFonts w:ascii="TT Norms Pro"/>
                                  <w:spacing w:val="40"/>
                                  <w:sz w:val="16"/>
                                </w:rPr>
                                <w:t> </w:t>
                              </w:r>
                              <w:r>
                                <w:rPr>
                                  <w:rFonts w:ascii="TT Norms Pro"/>
                                  <w:spacing w:val="-2"/>
                                  <w:sz w:val="16"/>
                                </w:rPr>
                                <w:t>(Education)</w:t>
                              </w:r>
                            </w:p>
                            <w:p>
                              <w:pPr>
                                <w:spacing w:line="240" w:lineRule="auto" w:before="14"/>
                                <w:rPr>
                                  <w:rFonts w:ascii="TT Norms Pro"/>
                                  <w:sz w:val="16"/>
                                </w:rPr>
                              </w:pPr>
                            </w:p>
                            <w:p>
                              <w:pPr>
                                <w:spacing w:line="256" w:lineRule="auto" w:before="0"/>
                                <w:ind w:left="46" w:right="32" w:firstLine="0"/>
                                <w:jc w:val="center"/>
                                <w:rPr>
                                  <w:rFonts w:ascii="TT Norms Pro"/>
                                  <w:sz w:val="16"/>
                                </w:rPr>
                              </w:pPr>
                              <w:r>
                                <w:rPr>
                                  <w:rFonts w:ascii="TT Norms Pro"/>
                                  <w:sz w:val="16"/>
                                </w:rPr>
                                <w:t>Deputy</w:t>
                              </w:r>
                              <w:r>
                                <w:rPr>
                                  <w:rFonts w:ascii="TT Norms Pro"/>
                                  <w:spacing w:val="-9"/>
                                  <w:sz w:val="16"/>
                                </w:rPr>
                                <w:t> </w:t>
                              </w:r>
                              <w:r>
                                <w:rPr>
                                  <w:rFonts w:ascii="TT Norms Pro"/>
                                  <w:sz w:val="16"/>
                                </w:rPr>
                                <w:t>Vice-Chancellor</w:t>
                              </w:r>
                              <w:r>
                                <w:rPr>
                                  <w:rFonts w:ascii="TT Norms Pro"/>
                                  <w:spacing w:val="40"/>
                                  <w:sz w:val="16"/>
                                </w:rPr>
                                <w:t> </w:t>
                              </w:r>
                              <w:r>
                                <w:rPr>
                                  <w:rFonts w:ascii="TT Norms Pro"/>
                                  <w:spacing w:val="-2"/>
                                  <w:sz w:val="16"/>
                                </w:rPr>
                                <w:t>(Research)</w:t>
                              </w:r>
                            </w:p>
                            <w:p>
                              <w:pPr>
                                <w:spacing w:line="240" w:lineRule="auto" w:before="114"/>
                                <w:rPr>
                                  <w:rFonts w:ascii="TT Norms Pro"/>
                                  <w:sz w:val="16"/>
                                </w:rPr>
                              </w:pPr>
                            </w:p>
                            <w:p>
                              <w:pPr>
                                <w:spacing w:before="0"/>
                                <w:ind w:left="46" w:right="0" w:firstLine="0"/>
                                <w:jc w:val="center"/>
                                <w:rPr>
                                  <w:rFonts w:ascii="TT Norms Pro"/>
                                  <w:sz w:val="16"/>
                                </w:rPr>
                              </w:pPr>
                              <w:r>
                                <w:rPr>
                                  <w:rFonts w:ascii="TT Norms Pro"/>
                                  <w:sz w:val="16"/>
                                </w:rPr>
                                <w:t>Chief</w:t>
                              </w:r>
                              <w:r>
                                <w:rPr>
                                  <w:rFonts w:ascii="TT Norms Pro"/>
                                  <w:spacing w:val="4"/>
                                  <w:sz w:val="16"/>
                                </w:rPr>
                                <w:t> </w:t>
                              </w:r>
                              <w:r>
                                <w:rPr>
                                  <w:rFonts w:ascii="TT Norms Pro"/>
                                  <w:sz w:val="16"/>
                                </w:rPr>
                                <w:t>Financial</w:t>
                              </w:r>
                              <w:r>
                                <w:rPr>
                                  <w:rFonts w:ascii="TT Norms Pro"/>
                                  <w:spacing w:val="8"/>
                                  <w:sz w:val="16"/>
                                </w:rPr>
                                <w:t> </w:t>
                              </w:r>
                              <w:r>
                                <w:rPr>
                                  <w:rFonts w:ascii="TT Norms Pro"/>
                                  <w:spacing w:val="-2"/>
                                  <w:sz w:val="16"/>
                                </w:rPr>
                                <w:t>Officer</w:t>
                              </w:r>
                            </w:p>
                          </w:txbxContent>
                        </wps:txbx>
                        <wps:bodyPr wrap="square" lIns="0" tIns="0" rIns="0" bIns="0" rtlCol="0">
                          <a:noAutofit/>
                        </wps:bodyPr>
                      </wps:wsp>
                    </wpg:wgp>
                  </a:graphicData>
                </a:graphic>
              </wp:anchor>
            </w:drawing>
          </mc:Choice>
          <mc:Fallback>
            <w:pict>
              <v:group style="position:absolute;margin-left:61.011002pt;margin-top:406.28302pt;width:110.7pt;height:119.85pt;mso-position-horizontal-relative:page;mso-position-vertical-relative:page;z-index:15745536" id="docshapegroup68" coordorigin="1220,8126" coordsize="2214,2397">
                <v:rect style="position:absolute;left:1220;top:8125;width:2214;height:2397" id="docshape69" filled="true" fillcolor="#b1b4b6" stroked="false">
                  <v:fill type="solid"/>
                </v:rect>
                <v:line style="position:absolute" from="1706,8731" to="2922,8731" stroked="true" strokeweight=".5pt" strokecolor="#ffffff">
                  <v:stroke dashstyle="solid"/>
                </v:line>
                <v:line style="position:absolute" from="1706,9926" to="2922,9926" stroked="true" strokeweight=".5pt" strokecolor="#ffffff">
                  <v:stroke dashstyle="solid"/>
                </v:line>
                <v:line style="position:absolute" from="1706,9314" to="2922,9314" stroked="true" strokeweight=".5pt" strokecolor="#ffffff">
                  <v:stroke dashstyle="solid"/>
                </v:line>
                <v:shape style="position:absolute;left:1220;top:8125;width:2214;height:2397" type="#_x0000_t202" id="docshape70" filled="false" stroked="false">
                  <v:textbox inset="0,0,0,0">
                    <w:txbxContent>
                      <w:p>
                        <w:pPr>
                          <w:spacing w:line="256" w:lineRule="auto" w:before="107"/>
                          <w:ind w:left="507" w:right="506" w:firstLine="0"/>
                          <w:jc w:val="center"/>
                          <w:rPr>
                            <w:rFonts w:ascii="TT Norms Pro"/>
                            <w:sz w:val="16"/>
                          </w:rPr>
                        </w:pPr>
                        <w:r>
                          <w:rPr>
                            <w:rFonts w:ascii="TT Norms Pro"/>
                            <w:sz w:val="16"/>
                          </w:rPr>
                          <w:t>Senior</w:t>
                        </w:r>
                        <w:r>
                          <w:rPr>
                            <w:rFonts w:ascii="TT Norms Pro"/>
                            <w:spacing w:val="-7"/>
                            <w:sz w:val="16"/>
                          </w:rPr>
                          <w:t> </w:t>
                        </w:r>
                        <w:r>
                          <w:rPr>
                            <w:rFonts w:ascii="TT Norms Pro"/>
                            <w:sz w:val="16"/>
                          </w:rPr>
                          <w:t>Deputy</w:t>
                        </w:r>
                        <w:r>
                          <w:rPr>
                            <w:rFonts w:ascii="TT Norms Pro"/>
                            <w:spacing w:val="40"/>
                            <w:sz w:val="16"/>
                          </w:rPr>
                          <w:t> </w:t>
                        </w:r>
                        <w:r>
                          <w:rPr>
                            <w:rFonts w:ascii="TT Norms Pro"/>
                            <w:spacing w:val="-2"/>
                            <w:sz w:val="16"/>
                          </w:rPr>
                          <w:t>Vice-Chancellor</w:t>
                        </w:r>
                      </w:p>
                      <w:p>
                        <w:pPr>
                          <w:spacing w:line="240" w:lineRule="auto" w:before="13"/>
                          <w:rPr>
                            <w:rFonts w:ascii="TT Norms Pro"/>
                            <w:sz w:val="16"/>
                          </w:rPr>
                        </w:pPr>
                      </w:p>
                      <w:p>
                        <w:pPr>
                          <w:spacing w:line="256" w:lineRule="auto" w:before="0"/>
                          <w:ind w:left="46" w:right="32" w:firstLine="0"/>
                          <w:jc w:val="center"/>
                          <w:rPr>
                            <w:rFonts w:ascii="TT Norms Pro"/>
                            <w:sz w:val="16"/>
                          </w:rPr>
                        </w:pPr>
                        <w:r>
                          <w:rPr>
                            <w:rFonts w:ascii="TT Norms Pro"/>
                            <w:sz w:val="16"/>
                          </w:rPr>
                          <w:t>Deputy</w:t>
                        </w:r>
                        <w:r>
                          <w:rPr>
                            <w:rFonts w:ascii="TT Norms Pro"/>
                            <w:spacing w:val="-9"/>
                            <w:sz w:val="16"/>
                          </w:rPr>
                          <w:t> </w:t>
                        </w:r>
                        <w:r>
                          <w:rPr>
                            <w:rFonts w:ascii="TT Norms Pro"/>
                            <w:sz w:val="16"/>
                          </w:rPr>
                          <w:t>Vice-Chancellor</w:t>
                        </w:r>
                        <w:r>
                          <w:rPr>
                            <w:rFonts w:ascii="TT Norms Pro"/>
                            <w:spacing w:val="40"/>
                            <w:sz w:val="16"/>
                          </w:rPr>
                          <w:t> </w:t>
                        </w:r>
                        <w:r>
                          <w:rPr>
                            <w:rFonts w:ascii="TT Norms Pro"/>
                            <w:spacing w:val="-2"/>
                            <w:sz w:val="16"/>
                          </w:rPr>
                          <w:t>(Education)</w:t>
                        </w:r>
                      </w:p>
                      <w:p>
                        <w:pPr>
                          <w:spacing w:line="240" w:lineRule="auto" w:before="14"/>
                          <w:rPr>
                            <w:rFonts w:ascii="TT Norms Pro"/>
                            <w:sz w:val="16"/>
                          </w:rPr>
                        </w:pPr>
                      </w:p>
                      <w:p>
                        <w:pPr>
                          <w:spacing w:line="256" w:lineRule="auto" w:before="0"/>
                          <w:ind w:left="46" w:right="32" w:firstLine="0"/>
                          <w:jc w:val="center"/>
                          <w:rPr>
                            <w:rFonts w:ascii="TT Norms Pro"/>
                            <w:sz w:val="16"/>
                          </w:rPr>
                        </w:pPr>
                        <w:r>
                          <w:rPr>
                            <w:rFonts w:ascii="TT Norms Pro"/>
                            <w:sz w:val="16"/>
                          </w:rPr>
                          <w:t>Deputy</w:t>
                        </w:r>
                        <w:r>
                          <w:rPr>
                            <w:rFonts w:ascii="TT Norms Pro"/>
                            <w:spacing w:val="-9"/>
                            <w:sz w:val="16"/>
                          </w:rPr>
                          <w:t> </w:t>
                        </w:r>
                        <w:r>
                          <w:rPr>
                            <w:rFonts w:ascii="TT Norms Pro"/>
                            <w:sz w:val="16"/>
                          </w:rPr>
                          <w:t>Vice-Chancellor</w:t>
                        </w:r>
                        <w:r>
                          <w:rPr>
                            <w:rFonts w:ascii="TT Norms Pro"/>
                            <w:spacing w:val="40"/>
                            <w:sz w:val="16"/>
                          </w:rPr>
                          <w:t> </w:t>
                        </w:r>
                        <w:r>
                          <w:rPr>
                            <w:rFonts w:ascii="TT Norms Pro"/>
                            <w:spacing w:val="-2"/>
                            <w:sz w:val="16"/>
                          </w:rPr>
                          <w:t>(Research)</w:t>
                        </w:r>
                      </w:p>
                      <w:p>
                        <w:pPr>
                          <w:spacing w:line="240" w:lineRule="auto" w:before="114"/>
                          <w:rPr>
                            <w:rFonts w:ascii="TT Norms Pro"/>
                            <w:sz w:val="16"/>
                          </w:rPr>
                        </w:pPr>
                      </w:p>
                      <w:p>
                        <w:pPr>
                          <w:spacing w:before="0"/>
                          <w:ind w:left="46" w:right="0" w:firstLine="0"/>
                          <w:jc w:val="center"/>
                          <w:rPr>
                            <w:rFonts w:ascii="TT Norms Pro"/>
                            <w:sz w:val="16"/>
                          </w:rPr>
                        </w:pPr>
                        <w:r>
                          <w:rPr>
                            <w:rFonts w:ascii="TT Norms Pro"/>
                            <w:sz w:val="16"/>
                          </w:rPr>
                          <w:t>Chief</w:t>
                        </w:r>
                        <w:r>
                          <w:rPr>
                            <w:rFonts w:ascii="TT Norms Pro"/>
                            <w:spacing w:val="4"/>
                            <w:sz w:val="16"/>
                          </w:rPr>
                          <w:t> </w:t>
                        </w:r>
                        <w:r>
                          <w:rPr>
                            <w:rFonts w:ascii="TT Norms Pro"/>
                            <w:sz w:val="16"/>
                          </w:rPr>
                          <w:t>Financial</w:t>
                        </w:r>
                        <w:r>
                          <w:rPr>
                            <w:rFonts w:ascii="TT Norms Pro"/>
                            <w:spacing w:val="8"/>
                            <w:sz w:val="16"/>
                          </w:rPr>
                          <w:t> </w:t>
                        </w:r>
                        <w:r>
                          <w:rPr>
                            <w:rFonts w:ascii="TT Norms Pro"/>
                            <w:spacing w:val="-2"/>
                            <w:sz w:val="16"/>
                          </w:rPr>
                          <w:t>Officer</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46048">
                <wp:simplePos x="0" y="0"/>
                <wp:positionH relativeFrom="page">
                  <wp:posOffset>-6350</wp:posOffset>
                </wp:positionH>
                <wp:positionV relativeFrom="page">
                  <wp:posOffset>8859383</wp:posOffset>
                </wp:positionV>
                <wp:extent cx="6030595" cy="160655"/>
                <wp:effectExtent l="0" t="0" r="0" b="0"/>
                <wp:wrapNone/>
                <wp:docPr id="95" name="Group 95"/>
                <wp:cNvGraphicFramePr>
                  <a:graphicFrameLocks/>
                </wp:cNvGraphicFramePr>
                <a:graphic>
                  <a:graphicData uri="http://schemas.microsoft.com/office/word/2010/wordprocessingGroup">
                    <wpg:wgp>
                      <wpg:cNvPr id="95" name="Group 95"/>
                      <wpg:cNvGrpSpPr/>
                      <wpg:grpSpPr>
                        <a:xfrm>
                          <a:off x="0" y="0"/>
                          <a:ext cx="6030595" cy="160655"/>
                          <a:chExt cx="6030595" cy="160655"/>
                        </a:xfrm>
                      </wpg:grpSpPr>
                      <wps:wsp>
                        <wps:cNvPr id="96" name="Graphic 96"/>
                        <wps:cNvSpPr/>
                        <wps:spPr>
                          <a:xfrm>
                            <a:off x="6350" y="6350"/>
                            <a:ext cx="6017895" cy="147955"/>
                          </a:xfrm>
                          <a:custGeom>
                            <a:avLst/>
                            <a:gdLst/>
                            <a:ahLst/>
                            <a:cxnLst/>
                            <a:rect l="l" t="t" r="r" b="b"/>
                            <a:pathLst>
                              <a:path w="6017895" h="147955">
                                <a:moveTo>
                                  <a:pt x="0" y="1758"/>
                                </a:moveTo>
                                <a:lnTo>
                                  <a:pt x="6017779" y="0"/>
                                </a:lnTo>
                                <a:lnTo>
                                  <a:pt x="6017779" y="147370"/>
                                </a:lnTo>
                              </a:path>
                            </a:pathLst>
                          </a:custGeom>
                          <a:ln w="12700">
                            <a:solidFill>
                              <a:srgbClr val="000000"/>
                            </a:solidFill>
                            <a:prstDash val="solid"/>
                          </a:ln>
                        </wps:spPr>
                        <wps:bodyPr wrap="square" lIns="0" tIns="0" rIns="0" bIns="0" rtlCol="0">
                          <a:prstTxWarp prst="textNoShape">
                            <a:avLst/>
                          </a:prstTxWarp>
                          <a:noAutofit/>
                        </wps:bodyPr>
                      </wps:wsp>
                      <wps:wsp>
                        <wps:cNvPr id="97" name="Graphic 97"/>
                        <wps:cNvSpPr/>
                        <wps:spPr>
                          <a:xfrm>
                            <a:off x="2997776" y="12522"/>
                            <a:ext cx="1270" cy="141605"/>
                          </a:xfrm>
                          <a:custGeom>
                            <a:avLst/>
                            <a:gdLst/>
                            <a:ahLst/>
                            <a:cxnLst/>
                            <a:rect l="l" t="t" r="r" b="b"/>
                            <a:pathLst>
                              <a:path w="0" h="141605">
                                <a:moveTo>
                                  <a:pt x="0" y="141198"/>
                                </a:moveTo>
                                <a:lnTo>
                                  <a:pt x="0" y="0"/>
                                </a:lnTo>
                              </a:path>
                            </a:pathLst>
                          </a:custGeom>
                          <a:ln w="12700">
                            <a:solidFill>
                              <a:srgbClr val="000000"/>
                            </a:solidFill>
                            <a:prstDash val="solid"/>
                          </a:ln>
                        </wps:spPr>
                        <wps:bodyPr wrap="square" lIns="0" tIns="0" rIns="0" bIns="0" rtlCol="0">
                          <a:prstTxWarp prst="textNoShape">
                            <a:avLst/>
                          </a:prstTxWarp>
                          <a:noAutofit/>
                        </wps:bodyPr>
                      </wps:wsp>
                      <wps:wsp>
                        <wps:cNvPr id="98" name="Graphic 98"/>
                        <wps:cNvSpPr/>
                        <wps:spPr>
                          <a:xfrm>
                            <a:off x="4504501" y="12522"/>
                            <a:ext cx="1270" cy="141605"/>
                          </a:xfrm>
                          <a:custGeom>
                            <a:avLst/>
                            <a:gdLst/>
                            <a:ahLst/>
                            <a:cxnLst/>
                            <a:rect l="l" t="t" r="r" b="b"/>
                            <a:pathLst>
                              <a:path w="0" h="141605">
                                <a:moveTo>
                                  <a:pt x="0" y="141198"/>
                                </a:moveTo>
                                <a:lnTo>
                                  <a:pt x="0" y="0"/>
                                </a:lnTo>
                              </a:path>
                            </a:pathLst>
                          </a:custGeom>
                          <a:ln w="12700">
                            <a:solidFill>
                              <a:srgbClr val="000000"/>
                            </a:solidFill>
                            <a:prstDash val="solid"/>
                          </a:ln>
                        </wps:spPr>
                        <wps:bodyPr wrap="square" lIns="0" tIns="0" rIns="0" bIns="0" rtlCol="0">
                          <a:prstTxWarp prst="textNoShape">
                            <a:avLst/>
                          </a:prstTxWarp>
                          <a:noAutofit/>
                        </wps:bodyPr>
                      </wps:wsp>
                      <wps:wsp>
                        <wps:cNvPr id="99" name="Graphic 99"/>
                        <wps:cNvSpPr/>
                        <wps:spPr>
                          <a:xfrm>
                            <a:off x="1488498" y="12522"/>
                            <a:ext cx="1270" cy="141605"/>
                          </a:xfrm>
                          <a:custGeom>
                            <a:avLst/>
                            <a:gdLst/>
                            <a:ahLst/>
                            <a:cxnLst/>
                            <a:rect l="l" t="t" r="r" b="b"/>
                            <a:pathLst>
                              <a:path w="0" h="141605">
                                <a:moveTo>
                                  <a:pt x="0" y="141198"/>
                                </a:moveTo>
                                <a:lnTo>
                                  <a:pt x="0" y="0"/>
                                </a:lnTo>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00005pt;margin-top:697.589233pt;width:474.85pt;height:12.65pt;mso-position-horizontal-relative:page;mso-position-vertical-relative:page;z-index:15746048" id="docshapegroup71" coordorigin="-10,13952" coordsize="9497,253">
                <v:shape style="position:absolute;left:0;top:13961;width:9477;height:233" id="docshape72" coordorigin="0,13962" coordsize="9477,233" path="m0,13965l9477,13962,9477,14194e" filled="false" stroked="true" strokeweight="1pt" strokecolor="#000000">
                  <v:path arrowok="t"/>
                  <v:stroke dashstyle="solid"/>
                </v:shape>
                <v:line style="position:absolute" from="4711,14194" to="4711,13972" stroked="true" strokeweight="1pt" strokecolor="#000000">
                  <v:stroke dashstyle="solid"/>
                </v:line>
                <v:line style="position:absolute" from="7084,14194" to="7084,13972" stroked="true" strokeweight="1pt" strokecolor="#000000">
                  <v:stroke dashstyle="solid"/>
                </v:line>
                <v:line style="position:absolute" from="2334,14194" to="2334,13972" stroked="true" strokeweight="1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746560">
                <wp:simplePos x="0" y="0"/>
                <wp:positionH relativeFrom="page">
                  <wp:posOffset>-6349</wp:posOffset>
                </wp:positionH>
                <wp:positionV relativeFrom="page">
                  <wp:posOffset>7170777</wp:posOffset>
                </wp:positionV>
                <wp:extent cx="2991485" cy="170815"/>
                <wp:effectExtent l="0" t="0" r="0" b="0"/>
                <wp:wrapNone/>
                <wp:docPr id="100" name="Group 100"/>
                <wp:cNvGraphicFramePr>
                  <a:graphicFrameLocks/>
                </wp:cNvGraphicFramePr>
                <a:graphic>
                  <a:graphicData uri="http://schemas.microsoft.com/office/word/2010/wordprocessingGroup">
                    <wpg:wgp>
                      <wpg:cNvPr id="100" name="Group 100"/>
                      <wpg:cNvGrpSpPr/>
                      <wpg:grpSpPr>
                        <a:xfrm>
                          <a:off x="0" y="0"/>
                          <a:ext cx="2991485" cy="170815"/>
                          <a:chExt cx="2991485" cy="170815"/>
                        </a:xfrm>
                      </wpg:grpSpPr>
                      <wps:wsp>
                        <wps:cNvPr id="101" name="Graphic 101"/>
                        <wps:cNvSpPr/>
                        <wps:spPr>
                          <a:xfrm>
                            <a:off x="6350" y="6350"/>
                            <a:ext cx="1447165" cy="158115"/>
                          </a:xfrm>
                          <a:custGeom>
                            <a:avLst/>
                            <a:gdLst/>
                            <a:ahLst/>
                            <a:cxnLst/>
                            <a:rect l="l" t="t" r="r" b="b"/>
                            <a:pathLst>
                              <a:path w="1447165" h="158115">
                                <a:moveTo>
                                  <a:pt x="0" y="1474"/>
                                </a:moveTo>
                                <a:lnTo>
                                  <a:pt x="1447002" y="0"/>
                                </a:lnTo>
                                <a:lnTo>
                                  <a:pt x="1447002" y="157835"/>
                                </a:lnTo>
                              </a:path>
                            </a:pathLst>
                          </a:custGeom>
                          <a:ln w="12700">
                            <a:solidFill>
                              <a:srgbClr val="000000"/>
                            </a:solidFill>
                            <a:prstDash val="solid"/>
                          </a:ln>
                        </wps:spPr>
                        <wps:bodyPr wrap="square" lIns="0" tIns="0" rIns="0" bIns="0" rtlCol="0">
                          <a:prstTxWarp prst="textNoShape">
                            <a:avLst/>
                          </a:prstTxWarp>
                          <a:noAutofit/>
                        </wps:bodyPr>
                      </wps:wsp>
                      <wps:wsp>
                        <wps:cNvPr id="102" name="Graphic 102"/>
                        <wps:cNvSpPr/>
                        <wps:spPr>
                          <a:xfrm>
                            <a:off x="1452110" y="6424"/>
                            <a:ext cx="1539875" cy="1270"/>
                          </a:xfrm>
                          <a:custGeom>
                            <a:avLst/>
                            <a:gdLst/>
                            <a:ahLst/>
                            <a:cxnLst/>
                            <a:rect l="l" t="t" r="r" b="b"/>
                            <a:pathLst>
                              <a:path w="1539875" h="0">
                                <a:moveTo>
                                  <a:pt x="1539316" y="0"/>
                                </a:moveTo>
                                <a:lnTo>
                                  <a:pt x="0" y="0"/>
                                </a:lnTo>
                              </a:path>
                            </a:pathLst>
                          </a:custGeom>
                          <a:ln w="12700">
                            <a:solidFill>
                              <a:srgbClr val="000000"/>
                            </a:solidFill>
                            <a:prstDash val="solid"/>
                          </a:ln>
                        </wps:spPr>
                        <wps:bodyPr wrap="square" lIns="0" tIns="0" rIns="0" bIns="0" rtlCol="0">
                          <a:prstTxWarp prst="textNoShape">
                            <a:avLst/>
                          </a:prstTxWarp>
                          <a:noAutofit/>
                        </wps:bodyPr>
                      </wps:wsp>
                      <wps:wsp>
                        <wps:cNvPr id="103" name="Graphic 103"/>
                        <wps:cNvSpPr/>
                        <wps:spPr>
                          <a:xfrm>
                            <a:off x="2983680" y="125"/>
                            <a:ext cx="1270" cy="141605"/>
                          </a:xfrm>
                          <a:custGeom>
                            <a:avLst/>
                            <a:gdLst/>
                            <a:ahLst/>
                            <a:cxnLst/>
                            <a:rect l="l" t="t" r="r" b="b"/>
                            <a:pathLst>
                              <a:path w="0" h="141605">
                                <a:moveTo>
                                  <a:pt x="0" y="141198"/>
                                </a:moveTo>
                                <a:lnTo>
                                  <a:pt x="0" y="0"/>
                                </a:lnTo>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9999pt;margin-top:564.628113pt;width:235.55pt;height:13.45pt;mso-position-horizontal-relative:page;mso-position-vertical-relative:page;z-index:15746560" id="docshapegroup73" coordorigin="-10,11293" coordsize="4711,269">
                <v:shape style="position:absolute;left:0;top:11302;width:2279;height:249" id="docshape74" coordorigin="0,11303" coordsize="2279,249" path="m0,11305l2279,11303,2279,11551e" filled="false" stroked="true" strokeweight="1pt" strokecolor="#000000">
                  <v:path arrowok="t"/>
                  <v:stroke dashstyle="solid"/>
                </v:shape>
                <v:line style="position:absolute" from="4701,11303" to="2277,11303" stroked="true" strokeweight="1pt" strokecolor="#000000">
                  <v:stroke dashstyle="solid"/>
                </v:line>
                <v:line style="position:absolute" from="4689,11515" to="4689,11293" stroked="true" strokeweight="1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748608">
                <wp:simplePos x="0" y="0"/>
                <wp:positionH relativeFrom="page">
                  <wp:posOffset>0</wp:posOffset>
                </wp:positionH>
                <wp:positionV relativeFrom="page">
                  <wp:posOffset>8153503</wp:posOffset>
                </wp:positionV>
                <wp:extent cx="720090" cy="1270"/>
                <wp:effectExtent l="0" t="0" r="0" b="0"/>
                <wp:wrapNone/>
                <wp:docPr id="104" name="Graphic 104"/>
                <wp:cNvGraphicFramePr>
                  <a:graphicFrameLocks/>
                </wp:cNvGraphicFramePr>
                <a:graphic>
                  <a:graphicData uri="http://schemas.microsoft.com/office/word/2010/wordprocessingShape">
                    <wps:wsp>
                      <wps:cNvPr id="104" name="Graphic 104"/>
                      <wps:cNvSpPr/>
                      <wps:spPr>
                        <a:xfrm>
                          <a:off x="0" y="0"/>
                          <a:ext cx="720090" cy="1270"/>
                        </a:xfrm>
                        <a:custGeom>
                          <a:avLst/>
                          <a:gdLst/>
                          <a:ahLst/>
                          <a:cxnLst/>
                          <a:rect l="l" t="t" r="r" b="b"/>
                          <a:pathLst>
                            <a:path w="720090" h="0">
                              <a:moveTo>
                                <a:pt x="0" y="0"/>
                              </a:moveTo>
                              <a:lnTo>
                                <a:pt x="719996"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48608" from="-.000003pt,642.008118pt" to="56.692597pt,642.008118pt" stroked="true" strokeweight="1pt" strokecolor="#000000">
                <v:stroke dashstyle="solid"/>
                <w10:wrap type="none"/>
              </v:line>
            </w:pict>
          </mc:Fallback>
        </mc:AlternateContent>
      </w:r>
      <w:r>
        <w:rPr/>
        <mc:AlternateContent>
          <mc:Choice Requires="wps">
            <w:drawing>
              <wp:anchor distT="0" distB="0" distL="0" distR="0" allowOverlap="1" layoutInCell="1" locked="0" behindDoc="0" simplePos="0" relativeHeight="15749120">
                <wp:simplePos x="0" y="0"/>
                <wp:positionH relativeFrom="page">
                  <wp:posOffset>2306789</wp:posOffset>
                </wp:positionH>
                <wp:positionV relativeFrom="page">
                  <wp:posOffset>7932356</wp:posOffset>
                </wp:positionV>
                <wp:extent cx="1440180" cy="442595"/>
                <wp:effectExtent l="0" t="0" r="0" b="0"/>
                <wp:wrapNone/>
                <wp:docPr id="105" name="Textbox 105"/>
                <wp:cNvGraphicFramePr>
                  <a:graphicFrameLocks/>
                </wp:cNvGraphicFramePr>
                <a:graphic>
                  <a:graphicData uri="http://schemas.microsoft.com/office/word/2010/wordprocessingShape">
                    <wps:wsp>
                      <wps:cNvPr id="105" name="Textbox 105"/>
                      <wps:cNvSpPr txBox="1"/>
                      <wps:spPr>
                        <a:xfrm>
                          <a:off x="0" y="0"/>
                          <a:ext cx="1440180" cy="442595"/>
                        </a:xfrm>
                        <a:prstGeom prst="rect">
                          <a:avLst/>
                        </a:prstGeom>
                        <a:solidFill>
                          <a:srgbClr val="F1F1F2"/>
                        </a:solidFill>
                      </wps:spPr>
                      <wps:txbx>
                        <w:txbxContent>
                          <w:p>
                            <w:pPr>
                              <w:pStyle w:val="BodyText"/>
                              <w:spacing w:before="77"/>
                              <w:rPr>
                                <w:b w:val="0"/>
                                <w:color w:val="000000"/>
                                <w:sz w:val="16"/>
                              </w:rPr>
                            </w:pPr>
                          </w:p>
                          <w:p>
                            <w:pPr>
                              <w:spacing w:before="0"/>
                              <w:ind w:left="400" w:right="0" w:firstLine="0"/>
                              <w:jc w:val="left"/>
                              <w:rPr>
                                <w:rFonts w:ascii="TT Norms Pro"/>
                                <w:color w:val="000000"/>
                                <w:sz w:val="16"/>
                              </w:rPr>
                            </w:pPr>
                            <w:r>
                              <w:rPr>
                                <w:rFonts w:ascii="TT Norms Pro"/>
                                <w:color w:val="000000"/>
                                <w:sz w:val="16"/>
                              </w:rPr>
                              <w:t>School</w:t>
                            </w:r>
                            <w:r>
                              <w:rPr>
                                <w:rFonts w:ascii="TT Norms Pro"/>
                                <w:color w:val="000000"/>
                                <w:spacing w:val="8"/>
                                <w:sz w:val="16"/>
                              </w:rPr>
                              <w:t> </w:t>
                            </w:r>
                            <w:r>
                              <w:rPr>
                                <w:rFonts w:ascii="TT Norms Pro"/>
                                <w:color w:val="000000"/>
                                <w:spacing w:val="-2"/>
                                <w:sz w:val="16"/>
                              </w:rPr>
                              <w:t>committees*</w:t>
                            </w:r>
                          </w:p>
                        </w:txbxContent>
                      </wps:txbx>
                      <wps:bodyPr wrap="square" lIns="0" tIns="0" rIns="0" bIns="0" rtlCol="0">
                        <a:noAutofit/>
                      </wps:bodyPr>
                    </wps:wsp>
                  </a:graphicData>
                </a:graphic>
              </wp:anchor>
            </w:drawing>
          </mc:Choice>
          <mc:Fallback>
            <w:pict>
              <v:shape style="position:absolute;margin-left:181.636993pt;margin-top:624.595032pt;width:113.4pt;height:34.85pt;mso-position-horizontal-relative:page;mso-position-vertical-relative:page;z-index:15749120" type="#_x0000_t202" id="docshape75" filled="true" fillcolor="#f1f1f2" stroked="false">
                <v:textbox inset="0,0,0,0">
                  <w:txbxContent>
                    <w:p>
                      <w:pPr>
                        <w:pStyle w:val="BodyText"/>
                        <w:spacing w:before="77"/>
                        <w:rPr>
                          <w:b w:val="0"/>
                          <w:color w:val="000000"/>
                          <w:sz w:val="16"/>
                        </w:rPr>
                      </w:pPr>
                    </w:p>
                    <w:p>
                      <w:pPr>
                        <w:spacing w:before="0"/>
                        <w:ind w:left="400" w:right="0" w:firstLine="0"/>
                        <w:jc w:val="left"/>
                        <w:rPr>
                          <w:rFonts w:ascii="TT Norms Pro"/>
                          <w:color w:val="000000"/>
                          <w:sz w:val="16"/>
                        </w:rPr>
                      </w:pPr>
                      <w:r>
                        <w:rPr>
                          <w:rFonts w:ascii="TT Norms Pro"/>
                          <w:color w:val="000000"/>
                          <w:sz w:val="16"/>
                        </w:rPr>
                        <w:t>School</w:t>
                      </w:r>
                      <w:r>
                        <w:rPr>
                          <w:rFonts w:ascii="TT Norms Pro"/>
                          <w:color w:val="000000"/>
                          <w:spacing w:val="8"/>
                          <w:sz w:val="16"/>
                        </w:rPr>
                        <w:t> </w:t>
                      </w:r>
                      <w:r>
                        <w:rPr>
                          <w:rFonts w:ascii="TT Norms Pro"/>
                          <w:color w:val="000000"/>
                          <w:spacing w:val="-2"/>
                          <w:sz w:val="16"/>
                        </w:rPr>
                        <w:t>committees*</w:t>
                      </w:r>
                    </w:p>
                  </w:txbxContent>
                </v:textbox>
                <v:fill type="solid"/>
                <w10:wrap type="none"/>
              </v:shape>
            </w:pict>
          </mc:Fallback>
        </mc:AlternateContent>
      </w:r>
      <w:r>
        <w:rPr/>
        <mc:AlternateContent>
          <mc:Choice Requires="wps">
            <w:drawing>
              <wp:anchor distT="0" distB="0" distL="0" distR="0" allowOverlap="1" layoutInCell="1" locked="0" behindDoc="0" simplePos="0" relativeHeight="15749632">
                <wp:simplePos x="0" y="0"/>
                <wp:positionH relativeFrom="page">
                  <wp:posOffset>2306789</wp:posOffset>
                </wp:positionH>
                <wp:positionV relativeFrom="page">
                  <wp:posOffset>7402030</wp:posOffset>
                </wp:positionV>
                <wp:extent cx="1440180" cy="442595"/>
                <wp:effectExtent l="0" t="0" r="0" b="0"/>
                <wp:wrapNone/>
                <wp:docPr id="106" name="Textbox 106"/>
                <wp:cNvGraphicFramePr>
                  <a:graphicFrameLocks/>
                </wp:cNvGraphicFramePr>
                <a:graphic>
                  <a:graphicData uri="http://schemas.microsoft.com/office/word/2010/wordprocessingShape">
                    <wps:wsp>
                      <wps:cNvPr id="106" name="Textbox 106"/>
                      <wps:cNvSpPr txBox="1"/>
                      <wps:spPr>
                        <a:xfrm>
                          <a:off x="0" y="0"/>
                          <a:ext cx="1440180" cy="442595"/>
                        </a:xfrm>
                        <a:prstGeom prst="rect">
                          <a:avLst/>
                        </a:prstGeom>
                        <a:solidFill>
                          <a:srgbClr val="F1F1F2"/>
                        </a:solidFill>
                      </wps:spPr>
                      <wps:txbx>
                        <w:txbxContent>
                          <w:p>
                            <w:pPr>
                              <w:pStyle w:val="BodyText"/>
                              <w:spacing w:before="77"/>
                              <w:rPr>
                                <w:b w:val="0"/>
                                <w:color w:val="000000"/>
                                <w:sz w:val="16"/>
                              </w:rPr>
                            </w:pPr>
                          </w:p>
                          <w:p>
                            <w:pPr>
                              <w:spacing w:before="0"/>
                              <w:ind w:left="583" w:right="0" w:firstLine="0"/>
                              <w:jc w:val="left"/>
                              <w:rPr>
                                <w:rFonts w:ascii="TT Norms Pro"/>
                                <w:color w:val="000000"/>
                                <w:sz w:val="16"/>
                              </w:rPr>
                            </w:pPr>
                            <w:r>
                              <w:rPr>
                                <w:rFonts w:ascii="TT Norms Pro"/>
                                <w:color w:val="000000"/>
                                <w:sz w:val="16"/>
                              </w:rPr>
                              <w:t>School</w:t>
                            </w:r>
                            <w:r>
                              <w:rPr>
                                <w:rFonts w:ascii="TT Norms Pro"/>
                                <w:color w:val="000000"/>
                                <w:spacing w:val="9"/>
                                <w:sz w:val="16"/>
                              </w:rPr>
                              <w:t> </w:t>
                            </w:r>
                            <w:r>
                              <w:rPr>
                                <w:rFonts w:ascii="TT Norms Pro"/>
                                <w:color w:val="000000"/>
                                <w:spacing w:val="-2"/>
                                <w:sz w:val="16"/>
                              </w:rPr>
                              <w:t>boards*</w:t>
                            </w:r>
                          </w:p>
                        </w:txbxContent>
                      </wps:txbx>
                      <wps:bodyPr wrap="square" lIns="0" tIns="0" rIns="0" bIns="0" rtlCol="0">
                        <a:noAutofit/>
                      </wps:bodyPr>
                    </wps:wsp>
                  </a:graphicData>
                </a:graphic>
              </wp:anchor>
            </w:drawing>
          </mc:Choice>
          <mc:Fallback>
            <w:pict>
              <v:shape style="position:absolute;margin-left:181.636993pt;margin-top:582.837036pt;width:113.4pt;height:34.85pt;mso-position-horizontal-relative:page;mso-position-vertical-relative:page;z-index:15749632" type="#_x0000_t202" id="docshape76" filled="true" fillcolor="#f1f1f2" stroked="false">
                <v:textbox inset="0,0,0,0">
                  <w:txbxContent>
                    <w:p>
                      <w:pPr>
                        <w:pStyle w:val="BodyText"/>
                        <w:spacing w:before="77"/>
                        <w:rPr>
                          <w:b w:val="0"/>
                          <w:color w:val="000000"/>
                          <w:sz w:val="16"/>
                        </w:rPr>
                      </w:pPr>
                    </w:p>
                    <w:p>
                      <w:pPr>
                        <w:spacing w:before="0"/>
                        <w:ind w:left="583" w:right="0" w:firstLine="0"/>
                        <w:jc w:val="left"/>
                        <w:rPr>
                          <w:rFonts w:ascii="TT Norms Pro"/>
                          <w:color w:val="000000"/>
                          <w:sz w:val="16"/>
                        </w:rPr>
                      </w:pPr>
                      <w:r>
                        <w:rPr>
                          <w:rFonts w:ascii="TT Norms Pro"/>
                          <w:color w:val="000000"/>
                          <w:sz w:val="16"/>
                        </w:rPr>
                        <w:t>School</w:t>
                      </w:r>
                      <w:r>
                        <w:rPr>
                          <w:rFonts w:ascii="TT Norms Pro"/>
                          <w:color w:val="000000"/>
                          <w:spacing w:val="9"/>
                          <w:sz w:val="16"/>
                        </w:rPr>
                        <w:t> </w:t>
                      </w:r>
                      <w:r>
                        <w:rPr>
                          <w:rFonts w:ascii="TT Norms Pro"/>
                          <w:color w:val="000000"/>
                          <w:spacing w:val="-2"/>
                          <w:sz w:val="16"/>
                        </w:rPr>
                        <w:t>boards*</w:t>
                      </w:r>
                    </w:p>
                  </w:txbxContent>
                </v:textbox>
                <v:fill type="solid"/>
                <w10:wrap type="none"/>
              </v:shape>
            </w:pict>
          </mc:Fallback>
        </mc:AlternateContent>
      </w:r>
      <w:r>
        <w:rPr/>
        <mc:AlternateContent>
          <mc:Choice Requires="wps">
            <w:drawing>
              <wp:anchor distT="0" distB="0" distL="0" distR="0" allowOverlap="1" layoutInCell="1" locked="0" behindDoc="0" simplePos="0" relativeHeight="15750144">
                <wp:simplePos x="0" y="0"/>
                <wp:positionH relativeFrom="page">
                  <wp:posOffset>7111289</wp:posOffset>
                </wp:positionH>
                <wp:positionV relativeFrom="page">
                  <wp:posOffset>8136825</wp:posOffset>
                </wp:positionV>
                <wp:extent cx="177800" cy="1848485"/>
                <wp:effectExtent l="0" t="0" r="0" b="0"/>
                <wp:wrapNone/>
                <wp:docPr id="107" name="Textbox 107"/>
                <wp:cNvGraphicFramePr>
                  <a:graphicFrameLocks/>
                </wp:cNvGraphicFramePr>
                <a:graphic>
                  <a:graphicData uri="http://schemas.microsoft.com/office/word/2010/wordprocessingShape">
                    <wps:wsp>
                      <wps:cNvPr id="107" name="Textbox 107"/>
                      <wps:cNvSpPr txBox="1"/>
                      <wps:spPr>
                        <a:xfrm>
                          <a:off x="0" y="0"/>
                          <a:ext cx="177800" cy="184848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640.694885pt;width:14pt;height:145.550pt;mso-position-horizontal-relative:page;mso-position-vertical-relative:page;z-index:15750144" type="#_x0000_t202" id="docshape77"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v:textbox>
                <w10:wrap type="none"/>
              </v:shape>
            </w:pict>
          </mc:Fallback>
        </mc:AlternateContent>
      </w:r>
    </w:p>
    <w:p>
      <w:pPr>
        <w:pStyle w:val="BodyText"/>
        <w:spacing w:line="222" w:lineRule="exact"/>
        <w:ind w:left="6200"/>
        <w:rPr>
          <w:rFonts w:ascii="TT Norms Pro"/>
          <w:sz w:val="20"/>
        </w:rPr>
      </w:pPr>
      <w:r>
        <w:rPr>
          <w:rFonts w:ascii="TT Norms Pro"/>
          <w:position w:val="-3"/>
          <w:sz w:val="20"/>
        </w:rPr>
        <mc:AlternateContent>
          <mc:Choice Requires="wps">
            <w:drawing>
              <wp:inline distT="0" distB="0" distL="0" distR="0">
                <wp:extent cx="12700" cy="141605"/>
                <wp:effectExtent l="0" t="0" r="0" b="10794"/>
                <wp:docPr id="108" name="Group 108"/>
                <wp:cNvGraphicFramePr>
                  <a:graphicFrameLocks/>
                </wp:cNvGraphicFramePr>
                <a:graphic>
                  <a:graphicData uri="http://schemas.microsoft.com/office/word/2010/wordprocessingGroup">
                    <wpg:wgp>
                      <wpg:cNvPr id="108" name="Group 108"/>
                      <wpg:cNvGrpSpPr/>
                      <wpg:grpSpPr>
                        <a:xfrm>
                          <a:off x="0" y="0"/>
                          <a:ext cx="12700" cy="141605"/>
                          <a:chExt cx="12700" cy="141605"/>
                        </a:xfrm>
                      </wpg:grpSpPr>
                      <wps:wsp>
                        <wps:cNvPr id="109" name="Graphic 109"/>
                        <wps:cNvSpPr/>
                        <wps:spPr>
                          <a:xfrm>
                            <a:off x="6350" y="0"/>
                            <a:ext cx="1270" cy="141605"/>
                          </a:xfrm>
                          <a:custGeom>
                            <a:avLst/>
                            <a:gdLst/>
                            <a:ahLst/>
                            <a:cxnLst/>
                            <a:rect l="l" t="t" r="r" b="b"/>
                            <a:pathLst>
                              <a:path w="0" h="141605">
                                <a:moveTo>
                                  <a:pt x="0" y="141198"/>
                                </a:moveTo>
                                <a:lnTo>
                                  <a:pt x="0" y="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pt;height:11.15pt;mso-position-horizontal-relative:char;mso-position-vertical-relative:line" id="docshapegroup78" coordorigin="0,0" coordsize="20,223">
                <v:line style="position:absolute" from="10,222" to="10,0" stroked="true" strokeweight="1pt" strokecolor="#000000">
                  <v:stroke dashstyle="solid"/>
                </v:line>
              </v:group>
            </w:pict>
          </mc:Fallback>
        </mc:AlternateContent>
      </w:r>
      <w:r>
        <w:rPr>
          <w:rFonts w:ascii="TT Norms Pro"/>
          <w:position w:val="-3"/>
          <w:sz w:val="20"/>
        </w:rPr>
      </w:r>
    </w:p>
    <w:p>
      <w:pPr>
        <w:pStyle w:val="BodyText"/>
        <w:spacing w:before="5"/>
        <w:rPr>
          <w:rFonts w:ascii="TT Norms Pro"/>
          <w:sz w:val="4"/>
        </w:rPr>
      </w:pPr>
      <w:r>
        <w:rPr/>
        <mc:AlternateContent>
          <mc:Choice Requires="wps">
            <w:drawing>
              <wp:anchor distT="0" distB="0" distL="0" distR="0" allowOverlap="1" layoutInCell="1" locked="0" behindDoc="1" simplePos="0" relativeHeight="487600640">
                <wp:simplePos x="0" y="0"/>
                <wp:positionH relativeFrom="page">
                  <wp:posOffset>3836525</wp:posOffset>
                </wp:positionH>
                <wp:positionV relativeFrom="paragraph">
                  <wp:posOffset>48131</wp:posOffset>
                </wp:positionV>
                <wp:extent cx="1404620" cy="1270"/>
                <wp:effectExtent l="0" t="0" r="0" b="0"/>
                <wp:wrapTopAndBottom/>
                <wp:docPr id="110" name="Graphic 110"/>
                <wp:cNvGraphicFramePr>
                  <a:graphicFrameLocks/>
                </wp:cNvGraphicFramePr>
                <a:graphic>
                  <a:graphicData uri="http://schemas.microsoft.com/office/word/2010/wordprocessingShape">
                    <wps:wsp>
                      <wps:cNvPr id="110" name="Graphic 110"/>
                      <wps:cNvSpPr/>
                      <wps:spPr>
                        <a:xfrm>
                          <a:off x="0" y="0"/>
                          <a:ext cx="1404620" cy="1270"/>
                        </a:xfrm>
                        <a:custGeom>
                          <a:avLst/>
                          <a:gdLst/>
                          <a:ahLst/>
                          <a:cxnLst/>
                          <a:rect l="l" t="t" r="r" b="b"/>
                          <a:pathLst>
                            <a:path w="1404620" h="0">
                              <a:moveTo>
                                <a:pt x="0" y="0"/>
                              </a:moveTo>
                              <a:lnTo>
                                <a:pt x="1403997"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02.088593pt;margin-top:3.7899pt;width:110.6pt;height:.1pt;mso-position-horizontal-relative:page;mso-position-vertical-relative:paragraph;z-index:-15715840;mso-wrap-distance-left:0;mso-wrap-distance-right:0" id="docshape79" coordorigin="6042,76" coordsize="2212,0" path="m6042,76l8253,76e" filled="false" stroked="true" strokeweight=".25pt" strokecolor="#000000">
                <v:path arrowok="t"/>
                <v:stroke dashstyle="solid"/>
                <w10:wrap type="topAndBottom"/>
              </v:shape>
            </w:pict>
          </mc:Fallback>
        </mc:AlternateContent>
      </w:r>
    </w:p>
    <w:p>
      <w:pPr>
        <w:spacing w:before="103"/>
        <w:ind w:left="2789" w:right="1338" w:firstLine="0"/>
        <w:jc w:val="center"/>
        <w:rPr>
          <w:rFonts w:ascii="TT Norms Pro"/>
          <w:sz w:val="16"/>
        </w:rPr>
      </w:pPr>
      <w:r>
        <w:rPr>
          <w:rFonts w:ascii="TT Norms Pro"/>
          <w:sz w:val="16"/>
        </w:rPr>
        <w:t>HEADS</w:t>
      </w:r>
      <w:r>
        <w:rPr>
          <w:rFonts w:ascii="TT Norms Pro"/>
          <w:spacing w:val="5"/>
          <w:sz w:val="16"/>
        </w:rPr>
        <w:t> </w:t>
      </w:r>
      <w:r>
        <w:rPr>
          <w:rFonts w:ascii="TT Norms Pro"/>
          <w:sz w:val="16"/>
        </w:rPr>
        <w:t>OF</w:t>
      </w:r>
      <w:r>
        <w:rPr>
          <w:rFonts w:ascii="TT Norms Pro"/>
          <w:spacing w:val="7"/>
          <w:sz w:val="16"/>
        </w:rPr>
        <w:t> </w:t>
      </w:r>
      <w:r>
        <w:rPr>
          <w:rFonts w:ascii="TT Norms Pro"/>
          <w:spacing w:val="-2"/>
          <w:sz w:val="16"/>
        </w:rPr>
        <w:t>SCHOOL</w:t>
      </w:r>
    </w:p>
    <w:p>
      <w:pPr>
        <w:pStyle w:val="BodyText"/>
        <w:rPr>
          <w:rFonts w:ascii="TT Norms Pro"/>
          <w:sz w:val="20"/>
        </w:rPr>
      </w:pPr>
    </w:p>
    <w:p>
      <w:pPr>
        <w:pStyle w:val="BodyText"/>
        <w:rPr>
          <w:rFonts w:ascii="TT Norms Pro"/>
          <w:sz w:val="20"/>
        </w:rPr>
      </w:pPr>
    </w:p>
    <w:p>
      <w:pPr>
        <w:pStyle w:val="BodyText"/>
        <w:rPr>
          <w:rFonts w:ascii="TT Norms Pro"/>
          <w:sz w:val="20"/>
        </w:rPr>
      </w:pPr>
    </w:p>
    <w:p>
      <w:pPr>
        <w:pStyle w:val="BodyText"/>
        <w:rPr>
          <w:rFonts w:ascii="TT Norms Pro"/>
          <w:sz w:val="20"/>
        </w:rPr>
      </w:pPr>
    </w:p>
    <w:p>
      <w:pPr>
        <w:pStyle w:val="BodyText"/>
        <w:rPr>
          <w:rFonts w:ascii="TT Norms Pro"/>
          <w:sz w:val="20"/>
        </w:rPr>
      </w:pPr>
    </w:p>
    <w:p>
      <w:pPr>
        <w:pStyle w:val="BodyText"/>
        <w:rPr>
          <w:rFonts w:ascii="TT Norms Pro"/>
          <w:sz w:val="20"/>
        </w:rPr>
      </w:pPr>
    </w:p>
    <w:p>
      <w:pPr>
        <w:pStyle w:val="BodyText"/>
        <w:rPr>
          <w:rFonts w:ascii="TT Norms Pro"/>
          <w:sz w:val="20"/>
        </w:rPr>
      </w:pPr>
    </w:p>
    <w:p>
      <w:pPr>
        <w:pStyle w:val="BodyText"/>
        <w:rPr>
          <w:rFonts w:ascii="TT Norms Pro"/>
          <w:sz w:val="20"/>
        </w:rPr>
      </w:pPr>
    </w:p>
    <w:p>
      <w:pPr>
        <w:pStyle w:val="BodyText"/>
        <w:rPr>
          <w:rFonts w:ascii="TT Norms Pro"/>
          <w:sz w:val="20"/>
        </w:rPr>
      </w:pPr>
    </w:p>
    <w:p>
      <w:pPr>
        <w:pStyle w:val="BodyText"/>
        <w:rPr>
          <w:rFonts w:ascii="TT Norms Pro"/>
          <w:sz w:val="20"/>
        </w:rPr>
      </w:pPr>
    </w:p>
    <w:p>
      <w:pPr>
        <w:pStyle w:val="BodyText"/>
        <w:rPr>
          <w:rFonts w:ascii="TT Norms Pro"/>
          <w:sz w:val="20"/>
        </w:rPr>
      </w:pPr>
    </w:p>
    <w:p>
      <w:pPr>
        <w:pStyle w:val="BodyText"/>
        <w:spacing w:before="107"/>
        <w:rPr>
          <w:rFonts w:ascii="TT Norms Pro"/>
          <w:sz w:val="20"/>
        </w:rPr>
      </w:pPr>
      <w:r>
        <w:rPr/>
        <mc:AlternateContent>
          <mc:Choice Requires="wps">
            <w:drawing>
              <wp:anchor distT="0" distB="0" distL="0" distR="0" allowOverlap="1" layoutInCell="1" locked="0" behindDoc="1" simplePos="0" relativeHeight="487601152">
                <wp:simplePos x="0" y="0"/>
                <wp:positionH relativeFrom="page">
                  <wp:posOffset>743760</wp:posOffset>
                </wp:positionH>
                <wp:positionV relativeFrom="paragraph">
                  <wp:posOffset>232296</wp:posOffset>
                </wp:positionV>
                <wp:extent cx="1404620" cy="1270"/>
                <wp:effectExtent l="0" t="0" r="0" b="0"/>
                <wp:wrapTopAndBottom/>
                <wp:docPr id="111" name="Graphic 111"/>
                <wp:cNvGraphicFramePr>
                  <a:graphicFrameLocks/>
                </wp:cNvGraphicFramePr>
                <a:graphic>
                  <a:graphicData uri="http://schemas.microsoft.com/office/word/2010/wordprocessingShape">
                    <wps:wsp>
                      <wps:cNvPr id="111" name="Graphic 111"/>
                      <wps:cNvSpPr/>
                      <wps:spPr>
                        <a:xfrm>
                          <a:off x="0" y="0"/>
                          <a:ext cx="1404620" cy="1270"/>
                        </a:xfrm>
                        <a:custGeom>
                          <a:avLst/>
                          <a:gdLst/>
                          <a:ahLst/>
                          <a:cxnLst/>
                          <a:rect l="l" t="t" r="r" b="b"/>
                          <a:pathLst>
                            <a:path w="1404620" h="0">
                              <a:moveTo>
                                <a:pt x="0" y="0"/>
                              </a:moveTo>
                              <a:lnTo>
                                <a:pt x="1403997"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8.563801pt;margin-top:18.2911pt;width:110.6pt;height:.1pt;mso-position-horizontal-relative:page;mso-position-vertical-relative:paragraph;z-index:-15715328;mso-wrap-distance-left:0;mso-wrap-distance-right:0" id="docshape80" coordorigin="1171,366" coordsize="2212,0" path="m1171,366l3382,366e" filled="false" stroked="true" strokeweight=".25pt" strokecolor="#000000">
                <v:path arrowok="t"/>
                <v:stroke dashstyle="solid"/>
                <w10:wrap type="topAndBottom"/>
              </v:shape>
            </w:pict>
          </mc:Fallback>
        </mc:AlternateContent>
      </w:r>
    </w:p>
    <w:p>
      <w:pPr>
        <w:spacing w:before="103"/>
        <w:ind w:left="490" w:right="0" w:firstLine="0"/>
        <w:jc w:val="left"/>
        <w:rPr>
          <w:rFonts w:ascii="TT Norms Pro"/>
          <w:sz w:val="16"/>
        </w:rPr>
      </w:pPr>
      <w:r>
        <w:rPr>
          <w:rFonts w:ascii="TT Norms Pro"/>
          <w:sz w:val="16"/>
        </w:rPr>
        <w:t>ACADEMIC</w:t>
      </w:r>
      <w:r>
        <w:rPr>
          <w:rFonts w:ascii="TT Norms Pro"/>
          <w:spacing w:val="7"/>
          <w:sz w:val="16"/>
        </w:rPr>
        <w:t> </w:t>
      </w:r>
      <w:r>
        <w:rPr>
          <w:rFonts w:ascii="TT Norms Pro"/>
          <w:spacing w:val="-2"/>
          <w:sz w:val="16"/>
        </w:rPr>
        <w:t>COUNCIL</w:t>
      </w:r>
    </w:p>
    <w:p>
      <w:pPr>
        <w:pStyle w:val="BodyText"/>
        <w:rPr>
          <w:rFonts w:ascii="TT Norms Pro"/>
          <w:sz w:val="20"/>
        </w:rPr>
      </w:pPr>
    </w:p>
    <w:p>
      <w:pPr>
        <w:pStyle w:val="BodyText"/>
        <w:spacing w:before="16"/>
        <w:rPr>
          <w:rFonts w:ascii="TT Norms Pro"/>
          <w:sz w:val="20"/>
        </w:rPr>
      </w:pPr>
      <w:r>
        <w:rPr/>
        <mc:AlternateContent>
          <mc:Choice Requires="wps">
            <w:drawing>
              <wp:anchor distT="0" distB="0" distL="0" distR="0" allowOverlap="1" layoutInCell="1" locked="0" behindDoc="1" simplePos="0" relativeHeight="487601664">
                <wp:simplePos x="0" y="0"/>
                <wp:positionH relativeFrom="page">
                  <wp:posOffset>743760</wp:posOffset>
                </wp:positionH>
                <wp:positionV relativeFrom="paragraph">
                  <wp:posOffset>174458</wp:posOffset>
                </wp:positionV>
                <wp:extent cx="1404620" cy="1270"/>
                <wp:effectExtent l="0" t="0" r="0" b="0"/>
                <wp:wrapTopAndBottom/>
                <wp:docPr id="112" name="Graphic 112"/>
                <wp:cNvGraphicFramePr>
                  <a:graphicFrameLocks/>
                </wp:cNvGraphicFramePr>
                <a:graphic>
                  <a:graphicData uri="http://schemas.microsoft.com/office/word/2010/wordprocessingShape">
                    <wps:wsp>
                      <wps:cNvPr id="112" name="Graphic 112"/>
                      <wps:cNvSpPr/>
                      <wps:spPr>
                        <a:xfrm>
                          <a:off x="0" y="0"/>
                          <a:ext cx="1404620" cy="1270"/>
                        </a:xfrm>
                        <a:custGeom>
                          <a:avLst/>
                          <a:gdLst/>
                          <a:ahLst/>
                          <a:cxnLst/>
                          <a:rect l="l" t="t" r="r" b="b"/>
                          <a:pathLst>
                            <a:path w="1404620" h="0">
                              <a:moveTo>
                                <a:pt x="0" y="0"/>
                              </a:moveTo>
                              <a:lnTo>
                                <a:pt x="1403997"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8.563801pt;margin-top:13.7369pt;width:110.6pt;height:.1pt;mso-position-horizontal-relative:page;mso-position-vertical-relative:paragraph;z-index:-15714816;mso-wrap-distance-left:0;mso-wrap-distance-right:0" id="docshape81" coordorigin="1171,275" coordsize="2212,0" path="m1171,275l3382,275e" filled="false" stroked="true" strokeweight=".25pt" strokecolor="#000000">
                <v:path arrowok="t"/>
                <v:stroke dashstyle="solid"/>
                <w10:wrap type="topAndBottom"/>
              </v:shape>
            </w:pict>
          </mc:Fallback>
        </mc:AlternateContent>
      </w:r>
    </w:p>
    <w:p>
      <w:pPr>
        <w:spacing w:line="256" w:lineRule="auto" w:before="103"/>
        <w:ind w:left="479" w:right="8236" w:hanging="22"/>
        <w:jc w:val="left"/>
        <w:rPr>
          <w:rFonts w:ascii="TT Norms Pro"/>
          <w:sz w:val="16"/>
        </w:rPr>
      </w:pPr>
      <w:r>
        <w:rPr>
          <w:rFonts w:ascii="TT Norms Pro"/>
          <w:sz w:val="16"/>
        </w:rPr>
        <w:t>ACADEMIC</w:t>
      </w:r>
      <w:r>
        <w:rPr>
          <w:rFonts w:ascii="TT Norms Pro"/>
          <w:spacing w:val="-7"/>
          <w:sz w:val="16"/>
        </w:rPr>
        <w:t> </w:t>
      </w:r>
      <w:r>
        <w:rPr>
          <w:rFonts w:ascii="TT Norms Pro"/>
          <w:sz w:val="16"/>
        </w:rPr>
        <w:t>COUNCIL/</w:t>
      </w:r>
      <w:r>
        <w:rPr>
          <w:rFonts w:ascii="TT Norms Pro"/>
          <w:spacing w:val="40"/>
          <w:sz w:val="16"/>
        </w:rPr>
        <w:t> </w:t>
      </w:r>
      <w:r>
        <w:rPr>
          <w:rFonts w:ascii="TT Norms Pro"/>
          <w:sz w:val="16"/>
        </w:rPr>
        <w:t>BOARD</w:t>
      </w:r>
      <w:r>
        <w:rPr>
          <w:rFonts w:ascii="TT Norms Pro"/>
          <w:spacing w:val="4"/>
          <w:sz w:val="16"/>
        </w:rPr>
        <w:t> </w:t>
      </w:r>
      <w:r>
        <w:rPr>
          <w:rFonts w:ascii="TT Norms Pro"/>
          <w:spacing w:val="-2"/>
          <w:sz w:val="16"/>
        </w:rPr>
        <w:t>COMMITTEES</w:t>
      </w:r>
    </w:p>
    <w:p>
      <w:pPr>
        <w:pStyle w:val="BodyText"/>
        <w:rPr>
          <w:rFonts w:ascii="TT Norms Pro"/>
          <w:sz w:val="20"/>
        </w:rPr>
      </w:pPr>
    </w:p>
    <w:p>
      <w:pPr>
        <w:pStyle w:val="BodyText"/>
        <w:rPr>
          <w:rFonts w:ascii="TT Norms Pro"/>
          <w:sz w:val="20"/>
        </w:rPr>
      </w:pPr>
    </w:p>
    <w:p>
      <w:pPr>
        <w:pStyle w:val="BodyText"/>
        <w:rPr>
          <w:rFonts w:ascii="TT Norms Pro"/>
          <w:sz w:val="20"/>
        </w:rPr>
      </w:pPr>
    </w:p>
    <w:p>
      <w:pPr>
        <w:pStyle w:val="BodyText"/>
        <w:rPr>
          <w:rFonts w:ascii="TT Norms Pro"/>
          <w:sz w:val="20"/>
        </w:rPr>
      </w:pPr>
    </w:p>
    <w:p>
      <w:pPr>
        <w:pStyle w:val="BodyText"/>
        <w:spacing w:before="154"/>
        <w:rPr>
          <w:rFonts w:ascii="TT Norms Pro"/>
          <w:sz w:val="20"/>
        </w:rPr>
      </w:pPr>
      <w:r>
        <w:rPr/>
        <mc:AlternateContent>
          <mc:Choice Requires="wps">
            <w:drawing>
              <wp:anchor distT="0" distB="0" distL="0" distR="0" allowOverlap="1" layoutInCell="1" locked="0" behindDoc="1" simplePos="0" relativeHeight="487602176">
                <wp:simplePos x="0" y="0"/>
                <wp:positionH relativeFrom="page">
                  <wp:posOffset>768489</wp:posOffset>
                </wp:positionH>
                <wp:positionV relativeFrom="paragraph">
                  <wp:posOffset>262164</wp:posOffset>
                </wp:positionV>
                <wp:extent cx="1419225" cy="442595"/>
                <wp:effectExtent l="0" t="0" r="0" b="0"/>
                <wp:wrapTopAndBottom/>
                <wp:docPr id="113" name="Group 113"/>
                <wp:cNvGraphicFramePr>
                  <a:graphicFrameLocks/>
                </wp:cNvGraphicFramePr>
                <a:graphic>
                  <a:graphicData uri="http://schemas.microsoft.com/office/word/2010/wordprocessingGroup">
                    <wpg:wgp>
                      <wpg:cNvPr id="113" name="Group 113"/>
                      <wpg:cNvGrpSpPr/>
                      <wpg:grpSpPr>
                        <a:xfrm>
                          <a:off x="0" y="0"/>
                          <a:ext cx="1419225" cy="442595"/>
                          <a:chExt cx="1419225" cy="442595"/>
                        </a:xfrm>
                      </wpg:grpSpPr>
                      <wps:wsp>
                        <wps:cNvPr id="114" name="Graphic 114"/>
                        <wps:cNvSpPr/>
                        <wps:spPr>
                          <a:xfrm>
                            <a:off x="0" y="0"/>
                            <a:ext cx="1419225" cy="442595"/>
                          </a:xfrm>
                          <a:custGeom>
                            <a:avLst/>
                            <a:gdLst/>
                            <a:ahLst/>
                            <a:cxnLst/>
                            <a:rect l="l" t="t" r="r" b="b"/>
                            <a:pathLst>
                              <a:path w="1419225" h="442595">
                                <a:moveTo>
                                  <a:pt x="1418894" y="0"/>
                                </a:moveTo>
                                <a:lnTo>
                                  <a:pt x="0" y="0"/>
                                </a:lnTo>
                                <a:lnTo>
                                  <a:pt x="0" y="442277"/>
                                </a:lnTo>
                                <a:lnTo>
                                  <a:pt x="1418894" y="442277"/>
                                </a:lnTo>
                                <a:lnTo>
                                  <a:pt x="1418894" y="0"/>
                                </a:lnTo>
                                <a:close/>
                              </a:path>
                            </a:pathLst>
                          </a:custGeom>
                          <a:solidFill>
                            <a:srgbClr val="DCDDDE"/>
                          </a:solidFill>
                        </wps:spPr>
                        <wps:bodyPr wrap="square" lIns="0" tIns="0" rIns="0" bIns="0" rtlCol="0">
                          <a:prstTxWarp prst="textNoShape">
                            <a:avLst/>
                          </a:prstTxWarp>
                          <a:noAutofit/>
                        </wps:bodyPr>
                      </wps:wsp>
                      <wps:wsp>
                        <wps:cNvPr id="115" name="Textbox 115"/>
                        <wps:cNvSpPr txBox="1"/>
                        <wps:spPr>
                          <a:xfrm>
                            <a:off x="0" y="0"/>
                            <a:ext cx="1419225" cy="442595"/>
                          </a:xfrm>
                          <a:prstGeom prst="rect">
                            <a:avLst/>
                          </a:prstGeom>
                        </wps:spPr>
                        <wps:txbx>
                          <w:txbxContent>
                            <w:p>
                              <w:pPr>
                                <w:spacing w:line="256" w:lineRule="auto" w:before="164"/>
                                <w:ind w:left="699" w:right="0" w:hanging="36"/>
                                <w:jc w:val="left"/>
                                <w:rPr>
                                  <w:rFonts w:ascii="TT Norms Pro" w:hAnsi="TT Norms Pro"/>
                                  <w:sz w:val="16"/>
                                </w:rPr>
                              </w:pPr>
                              <w:r>
                                <w:rPr>
                                  <w:rFonts w:ascii="TT Norms Pro" w:hAnsi="TT Norms Pro"/>
                                  <w:spacing w:val="-2"/>
                                  <w:sz w:val="16"/>
                                </w:rPr>
                                <w:t>Chancellor’s</w:t>
                              </w:r>
                              <w:r>
                                <w:rPr>
                                  <w:rFonts w:ascii="TT Norms Pro" w:hAnsi="TT Norms Pro"/>
                                  <w:spacing w:val="40"/>
                                  <w:sz w:val="16"/>
                                </w:rPr>
                                <w:t> </w:t>
                              </w:r>
                              <w:r>
                                <w:rPr>
                                  <w:rFonts w:ascii="TT Norms Pro" w:hAnsi="TT Norms Pro"/>
                                  <w:spacing w:val="-2"/>
                                  <w:sz w:val="16"/>
                                </w:rPr>
                                <w:t>Committee</w:t>
                              </w:r>
                            </w:p>
                          </w:txbxContent>
                        </wps:txbx>
                        <wps:bodyPr wrap="square" lIns="0" tIns="0" rIns="0" bIns="0" rtlCol="0">
                          <a:noAutofit/>
                        </wps:bodyPr>
                      </wps:wsp>
                    </wpg:wgp>
                  </a:graphicData>
                </a:graphic>
              </wp:anchor>
            </w:drawing>
          </mc:Choice>
          <mc:Fallback>
            <w:pict>
              <v:group style="position:absolute;margin-left:60.511002pt;margin-top:20.6429pt;width:111.75pt;height:34.85pt;mso-position-horizontal-relative:page;mso-position-vertical-relative:paragraph;z-index:-15714304;mso-wrap-distance-left:0;mso-wrap-distance-right:0" id="docshapegroup82" coordorigin="1210,413" coordsize="2235,697">
                <v:rect style="position:absolute;left:1210;top:412;width:2235;height:697" id="docshape83" filled="true" fillcolor="#dcddde" stroked="false">
                  <v:fill type="solid"/>
                </v:rect>
                <v:shape style="position:absolute;left:1210;top:412;width:2235;height:697" type="#_x0000_t202" id="docshape84" filled="false" stroked="false">
                  <v:textbox inset="0,0,0,0">
                    <w:txbxContent>
                      <w:p>
                        <w:pPr>
                          <w:spacing w:line="256" w:lineRule="auto" w:before="164"/>
                          <w:ind w:left="699" w:right="0" w:hanging="36"/>
                          <w:jc w:val="left"/>
                          <w:rPr>
                            <w:rFonts w:ascii="TT Norms Pro" w:hAnsi="TT Norms Pro"/>
                            <w:sz w:val="16"/>
                          </w:rPr>
                        </w:pPr>
                        <w:r>
                          <w:rPr>
                            <w:rFonts w:ascii="TT Norms Pro" w:hAnsi="TT Norms Pro"/>
                            <w:spacing w:val="-2"/>
                            <w:sz w:val="16"/>
                          </w:rPr>
                          <w:t>Chancellor’s</w:t>
                        </w:r>
                        <w:r>
                          <w:rPr>
                            <w:rFonts w:ascii="TT Norms Pro" w:hAnsi="TT Norms Pro"/>
                            <w:spacing w:val="40"/>
                            <w:sz w:val="16"/>
                          </w:rPr>
                          <w:t> </w:t>
                        </w:r>
                        <w:r>
                          <w:rPr>
                            <w:rFonts w:ascii="TT Norms Pro" w:hAnsi="TT Norms Pro"/>
                            <w:spacing w:val="-2"/>
                            <w:sz w:val="16"/>
                          </w:rPr>
                          <w:t>Committee</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02688">
                <wp:simplePos x="0" y="0"/>
                <wp:positionH relativeFrom="page">
                  <wp:posOffset>2266988</wp:posOffset>
                </wp:positionH>
                <wp:positionV relativeFrom="paragraph">
                  <wp:posOffset>262164</wp:posOffset>
                </wp:positionV>
                <wp:extent cx="1440180" cy="442595"/>
                <wp:effectExtent l="0" t="0" r="0" b="0"/>
                <wp:wrapTopAndBottom/>
                <wp:docPr id="116" name="Group 116"/>
                <wp:cNvGraphicFramePr>
                  <a:graphicFrameLocks/>
                </wp:cNvGraphicFramePr>
                <a:graphic>
                  <a:graphicData uri="http://schemas.microsoft.com/office/word/2010/wordprocessingGroup">
                    <wpg:wgp>
                      <wpg:cNvPr id="116" name="Group 116"/>
                      <wpg:cNvGrpSpPr/>
                      <wpg:grpSpPr>
                        <a:xfrm>
                          <a:off x="0" y="0"/>
                          <a:ext cx="1440180" cy="442595"/>
                          <a:chExt cx="1440180" cy="442595"/>
                        </a:xfrm>
                      </wpg:grpSpPr>
                      <wps:wsp>
                        <wps:cNvPr id="117" name="Graphic 117"/>
                        <wps:cNvSpPr/>
                        <wps:spPr>
                          <a:xfrm>
                            <a:off x="0" y="0"/>
                            <a:ext cx="1440180" cy="442595"/>
                          </a:xfrm>
                          <a:custGeom>
                            <a:avLst/>
                            <a:gdLst/>
                            <a:ahLst/>
                            <a:cxnLst/>
                            <a:rect l="l" t="t" r="r" b="b"/>
                            <a:pathLst>
                              <a:path w="1440180" h="442595">
                                <a:moveTo>
                                  <a:pt x="1440002" y="0"/>
                                </a:moveTo>
                                <a:lnTo>
                                  <a:pt x="0" y="0"/>
                                </a:lnTo>
                                <a:lnTo>
                                  <a:pt x="0" y="442277"/>
                                </a:lnTo>
                                <a:lnTo>
                                  <a:pt x="1440002" y="442277"/>
                                </a:lnTo>
                                <a:lnTo>
                                  <a:pt x="1440002" y="0"/>
                                </a:lnTo>
                                <a:close/>
                              </a:path>
                            </a:pathLst>
                          </a:custGeom>
                          <a:solidFill>
                            <a:srgbClr val="DCDDDE"/>
                          </a:solidFill>
                        </wps:spPr>
                        <wps:bodyPr wrap="square" lIns="0" tIns="0" rIns="0" bIns="0" rtlCol="0">
                          <a:prstTxWarp prst="textNoShape">
                            <a:avLst/>
                          </a:prstTxWarp>
                          <a:noAutofit/>
                        </wps:bodyPr>
                      </wps:wsp>
                      <wps:wsp>
                        <wps:cNvPr id="118" name="Textbox 118"/>
                        <wps:cNvSpPr txBox="1"/>
                        <wps:spPr>
                          <a:xfrm>
                            <a:off x="0" y="0"/>
                            <a:ext cx="1440180" cy="442595"/>
                          </a:xfrm>
                          <a:prstGeom prst="rect">
                            <a:avLst/>
                          </a:prstGeom>
                        </wps:spPr>
                        <wps:txbx>
                          <w:txbxContent>
                            <w:p>
                              <w:pPr>
                                <w:spacing w:line="256" w:lineRule="auto" w:before="164"/>
                                <w:ind w:left="716" w:right="0" w:hanging="104"/>
                                <w:jc w:val="left"/>
                                <w:rPr>
                                  <w:rFonts w:ascii="TT Norms Pro"/>
                                  <w:sz w:val="16"/>
                                </w:rPr>
                              </w:pPr>
                              <w:r>
                                <w:rPr>
                                  <w:rFonts w:ascii="TT Norms Pro"/>
                                  <w:sz w:val="16"/>
                                </w:rPr>
                                <w:t>Audit</w:t>
                              </w:r>
                              <w:r>
                                <w:rPr>
                                  <w:rFonts w:ascii="TT Norms Pro"/>
                                  <w:spacing w:val="-9"/>
                                  <w:sz w:val="16"/>
                                </w:rPr>
                                <w:t> </w:t>
                              </w:r>
                              <w:r>
                                <w:rPr>
                                  <w:rFonts w:ascii="TT Norms Pro"/>
                                  <w:sz w:val="16"/>
                                </w:rPr>
                                <w:t>and</w:t>
                              </w:r>
                              <w:r>
                                <w:rPr>
                                  <w:rFonts w:ascii="TT Norms Pro"/>
                                  <w:spacing w:val="-8"/>
                                  <w:sz w:val="16"/>
                                </w:rPr>
                                <w:t> </w:t>
                              </w:r>
                              <w:r>
                                <w:rPr>
                                  <w:rFonts w:ascii="TT Norms Pro"/>
                                  <w:sz w:val="16"/>
                                </w:rPr>
                                <w:t>Risk</w:t>
                              </w:r>
                              <w:r>
                                <w:rPr>
                                  <w:rFonts w:ascii="TT Norms Pro"/>
                                  <w:spacing w:val="40"/>
                                  <w:sz w:val="16"/>
                                </w:rPr>
                                <w:t> </w:t>
                              </w:r>
                              <w:r>
                                <w:rPr>
                                  <w:rFonts w:ascii="TT Norms Pro"/>
                                  <w:spacing w:val="-2"/>
                                  <w:sz w:val="16"/>
                                </w:rPr>
                                <w:t>Committee</w:t>
                              </w:r>
                            </w:p>
                          </w:txbxContent>
                        </wps:txbx>
                        <wps:bodyPr wrap="square" lIns="0" tIns="0" rIns="0" bIns="0" rtlCol="0">
                          <a:noAutofit/>
                        </wps:bodyPr>
                      </wps:wsp>
                    </wpg:wgp>
                  </a:graphicData>
                </a:graphic>
              </wp:anchor>
            </w:drawing>
          </mc:Choice>
          <mc:Fallback>
            <w:pict>
              <v:group style="position:absolute;margin-left:178.503006pt;margin-top:20.6429pt;width:113.4pt;height:34.85pt;mso-position-horizontal-relative:page;mso-position-vertical-relative:paragraph;z-index:-15713792;mso-wrap-distance-left:0;mso-wrap-distance-right:0" id="docshapegroup85" coordorigin="3570,413" coordsize="2268,697">
                <v:rect style="position:absolute;left:3570;top:412;width:2268;height:697" id="docshape86" filled="true" fillcolor="#dcddde" stroked="false">
                  <v:fill type="solid"/>
                </v:rect>
                <v:shape style="position:absolute;left:3570;top:412;width:2268;height:697" type="#_x0000_t202" id="docshape87" filled="false" stroked="false">
                  <v:textbox inset="0,0,0,0">
                    <w:txbxContent>
                      <w:p>
                        <w:pPr>
                          <w:spacing w:line="256" w:lineRule="auto" w:before="164"/>
                          <w:ind w:left="716" w:right="0" w:hanging="104"/>
                          <w:jc w:val="left"/>
                          <w:rPr>
                            <w:rFonts w:ascii="TT Norms Pro"/>
                            <w:sz w:val="16"/>
                          </w:rPr>
                        </w:pPr>
                        <w:r>
                          <w:rPr>
                            <w:rFonts w:ascii="TT Norms Pro"/>
                            <w:sz w:val="16"/>
                          </w:rPr>
                          <w:t>Audit</w:t>
                        </w:r>
                        <w:r>
                          <w:rPr>
                            <w:rFonts w:ascii="TT Norms Pro"/>
                            <w:spacing w:val="-9"/>
                            <w:sz w:val="16"/>
                          </w:rPr>
                          <w:t> </w:t>
                        </w:r>
                        <w:r>
                          <w:rPr>
                            <w:rFonts w:ascii="TT Norms Pro"/>
                            <w:sz w:val="16"/>
                          </w:rPr>
                          <w:t>and</w:t>
                        </w:r>
                        <w:r>
                          <w:rPr>
                            <w:rFonts w:ascii="TT Norms Pro"/>
                            <w:spacing w:val="-8"/>
                            <w:sz w:val="16"/>
                          </w:rPr>
                          <w:t> </w:t>
                        </w:r>
                        <w:r>
                          <w:rPr>
                            <w:rFonts w:ascii="TT Norms Pro"/>
                            <w:sz w:val="16"/>
                          </w:rPr>
                          <w:t>Risk</w:t>
                        </w:r>
                        <w:r>
                          <w:rPr>
                            <w:rFonts w:ascii="TT Norms Pro"/>
                            <w:spacing w:val="40"/>
                            <w:sz w:val="16"/>
                          </w:rPr>
                          <w:t> </w:t>
                        </w:r>
                        <w:r>
                          <w:rPr>
                            <w:rFonts w:ascii="TT Norms Pro"/>
                            <w:spacing w:val="-2"/>
                            <w:sz w:val="16"/>
                          </w:rPr>
                          <w:t>Committee</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03200">
                <wp:simplePos x="0" y="0"/>
                <wp:positionH relativeFrom="page">
                  <wp:posOffset>3776040</wp:posOffset>
                </wp:positionH>
                <wp:positionV relativeFrom="paragraph">
                  <wp:posOffset>262164</wp:posOffset>
                </wp:positionV>
                <wp:extent cx="1440180" cy="442595"/>
                <wp:effectExtent l="0" t="0" r="0" b="0"/>
                <wp:wrapTopAndBottom/>
                <wp:docPr id="119" name="Group 119"/>
                <wp:cNvGraphicFramePr>
                  <a:graphicFrameLocks/>
                </wp:cNvGraphicFramePr>
                <a:graphic>
                  <a:graphicData uri="http://schemas.microsoft.com/office/word/2010/wordprocessingGroup">
                    <wpg:wgp>
                      <wpg:cNvPr id="119" name="Group 119"/>
                      <wpg:cNvGrpSpPr/>
                      <wpg:grpSpPr>
                        <a:xfrm>
                          <a:off x="0" y="0"/>
                          <a:ext cx="1440180" cy="442595"/>
                          <a:chExt cx="1440180" cy="442595"/>
                        </a:xfrm>
                      </wpg:grpSpPr>
                      <wps:wsp>
                        <wps:cNvPr id="120" name="Graphic 120"/>
                        <wps:cNvSpPr/>
                        <wps:spPr>
                          <a:xfrm>
                            <a:off x="0" y="0"/>
                            <a:ext cx="1440180" cy="442595"/>
                          </a:xfrm>
                          <a:custGeom>
                            <a:avLst/>
                            <a:gdLst/>
                            <a:ahLst/>
                            <a:cxnLst/>
                            <a:rect l="l" t="t" r="r" b="b"/>
                            <a:pathLst>
                              <a:path w="1440180" h="442595">
                                <a:moveTo>
                                  <a:pt x="1440002" y="0"/>
                                </a:moveTo>
                                <a:lnTo>
                                  <a:pt x="0" y="0"/>
                                </a:lnTo>
                                <a:lnTo>
                                  <a:pt x="0" y="442277"/>
                                </a:lnTo>
                                <a:lnTo>
                                  <a:pt x="1440002" y="442277"/>
                                </a:lnTo>
                                <a:lnTo>
                                  <a:pt x="1440002" y="0"/>
                                </a:lnTo>
                                <a:close/>
                              </a:path>
                            </a:pathLst>
                          </a:custGeom>
                          <a:solidFill>
                            <a:srgbClr val="DCDDDE"/>
                          </a:solidFill>
                        </wps:spPr>
                        <wps:bodyPr wrap="square" lIns="0" tIns="0" rIns="0" bIns="0" rtlCol="0">
                          <a:prstTxWarp prst="textNoShape">
                            <a:avLst/>
                          </a:prstTxWarp>
                          <a:noAutofit/>
                        </wps:bodyPr>
                      </wps:wsp>
                      <wps:wsp>
                        <wps:cNvPr id="121" name="Textbox 121"/>
                        <wps:cNvSpPr txBox="1"/>
                        <wps:spPr>
                          <a:xfrm>
                            <a:off x="0" y="0"/>
                            <a:ext cx="1440180" cy="442595"/>
                          </a:xfrm>
                          <a:prstGeom prst="rect">
                            <a:avLst/>
                          </a:prstGeom>
                        </wps:spPr>
                        <wps:txbx>
                          <w:txbxContent>
                            <w:p>
                              <w:pPr>
                                <w:spacing w:line="256" w:lineRule="auto" w:before="164"/>
                                <w:ind w:left="716" w:right="0" w:hanging="306"/>
                                <w:jc w:val="left"/>
                                <w:rPr>
                                  <w:rFonts w:ascii="TT Norms Pro"/>
                                  <w:sz w:val="16"/>
                                </w:rPr>
                              </w:pPr>
                              <w:r>
                                <w:rPr>
                                  <w:rFonts w:ascii="TT Norms Pro"/>
                                  <w:sz w:val="16"/>
                                </w:rPr>
                                <w:t>Strategic</w:t>
                              </w:r>
                              <w:r>
                                <w:rPr>
                                  <w:rFonts w:ascii="TT Norms Pro"/>
                                  <w:spacing w:val="-9"/>
                                  <w:sz w:val="16"/>
                                </w:rPr>
                                <w:t> </w:t>
                              </w:r>
                              <w:r>
                                <w:rPr>
                                  <w:rFonts w:ascii="TT Norms Pro"/>
                                  <w:sz w:val="16"/>
                                </w:rPr>
                                <w:t>Resources</w:t>
                              </w:r>
                              <w:r>
                                <w:rPr>
                                  <w:rFonts w:ascii="TT Norms Pro"/>
                                  <w:spacing w:val="40"/>
                                  <w:sz w:val="16"/>
                                </w:rPr>
                                <w:t> </w:t>
                              </w:r>
                              <w:r>
                                <w:rPr>
                                  <w:rFonts w:ascii="TT Norms Pro"/>
                                  <w:spacing w:val="-2"/>
                                  <w:sz w:val="16"/>
                                </w:rPr>
                                <w:t>Committee</w:t>
                              </w:r>
                            </w:p>
                          </w:txbxContent>
                        </wps:txbx>
                        <wps:bodyPr wrap="square" lIns="0" tIns="0" rIns="0" bIns="0" rtlCol="0">
                          <a:noAutofit/>
                        </wps:bodyPr>
                      </wps:wsp>
                    </wpg:wgp>
                  </a:graphicData>
                </a:graphic>
              </wp:anchor>
            </w:drawing>
          </mc:Choice>
          <mc:Fallback>
            <w:pict>
              <v:group style="position:absolute;margin-left:297.325989pt;margin-top:20.6429pt;width:113.4pt;height:34.85pt;mso-position-horizontal-relative:page;mso-position-vertical-relative:paragraph;z-index:-15713280;mso-wrap-distance-left:0;mso-wrap-distance-right:0" id="docshapegroup88" coordorigin="5947,413" coordsize="2268,697">
                <v:rect style="position:absolute;left:5946;top:412;width:2268;height:697" id="docshape89" filled="true" fillcolor="#dcddde" stroked="false">
                  <v:fill type="solid"/>
                </v:rect>
                <v:shape style="position:absolute;left:5946;top:412;width:2268;height:697" type="#_x0000_t202" id="docshape90" filled="false" stroked="false">
                  <v:textbox inset="0,0,0,0">
                    <w:txbxContent>
                      <w:p>
                        <w:pPr>
                          <w:spacing w:line="256" w:lineRule="auto" w:before="164"/>
                          <w:ind w:left="716" w:right="0" w:hanging="306"/>
                          <w:jc w:val="left"/>
                          <w:rPr>
                            <w:rFonts w:ascii="TT Norms Pro"/>
                            <w:sz w:val="16"/>
                          </w:rPr>
                        </w:pPr>
                        <w:r>
                          <w:rPr>
                            <w:rFonts w:ascii="TT Norms Pro"/>
                            <w:sz w:val="16"/>
                          </w:rPr>
                          <w:t>Strategic</w:t>
                        </w:r>
                        <w:r>
                          <w:rPr>
                            <w:rFonts w:ascii="TT Norms Pro"/>
                            <w:spacing w:val="-9"/>
                            <w:sz w:val="16"/>
                          </w:rPr>
                          <w:t> </w:t>
                        </w:r>
                        <w:r>
                          <w:rPr>
                            <w:rFonts w:ascii="TT Norms Pro"/>
                            <w:sz w:val="16"/>
                          </w:rPr>
                          <w:t>Resources</w:t>
                        </w:r>
                        <w:r>
                          <w:rPr>
                            <w:rFonts w:ascii="TT Norms Pro"/>
                            <w:spacing w:val="40"/>
                            <w:sz w:val="16"/>
                          </w:rPr>
                          <w:t> </w:t>
                        </w:r>
                        <w:r>
                          <w:rPr>
                            <w:rFonts w:ascii="TT Norms Pro"/>
                            <w:spacing w:val="-2"/>
                            <w:sz w:val="16"/>
                          </w:rPr>
                          <w:t>Committee</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03712">
                <wp:simplePos x="0" y="0"/>
                <wp:positionH relativeFrom="page">
                  <wp:posOffset>5285079</wp:posOffset>
                </wp:positionH>
                <wp:positionV relativeFrom="paragraph">
                  <wp:posOffset>262164</wp:posOffset>
                </wp:positionV>
                <wp:extent cx="1440180" cy="442595"/>
                <wp:effectExtent l="0" t="0" r="0" b="0"/>
                <wp:wrapTopAndBottom/>
                <wp:docPr id="122" name="Group 122"/>
                <wp:cNvGraphicFramePr>
                  <a:graphicFrameLocks/>
                </wp:cNvGraphicFramePr>
                <a:graphic>
                  <a:graphicData uri="http://schemas.microsoft.com/office/word/2010/wordprocessingGroup">
                    <wpg:wgp>
                      <wpg:cNvPr id="122" name="Group 122"/>
                      <wpg:cNvGrpSpPr/>
                      <wpg:grpSpPr>
                        <a:xfrm>
                          <a:off x="0" y="0"/>
                          <a:ext cx="1440180" cy="442595"/>
                          <a:chExt cx="1440180" cy="442595"/>
                        </a:xfrm>
                      </wpg:grpSpPr>
                      <wps:wsp>
                        <wps:cNvPr id="123" name="Graphic 123"/>
                        <wps:cNvSpPr/>
                        <wps:spPr>
                          <a:xfrm>
                            <a:off x="0" y="0"/>
                            <a:ext cx="1440180" cy="442595"/>
                          </a:xfrm>
                          <a:custGeom>
                            <a:avLst/>
                            <a:gdLst/>
                            <a:ahLst/>
                            <a:cxnLst/>
                            <a:rect l="l" t="t" r="r" b="b"/>
                            <a:pathLst>
                              <a:path w="1440180" h="442595">
                                <a:moveTo>
                                  <a:pt x="1440002" y="0"/>
                                </a:moveTo>
                                <a:lnTo>
                                  <a:pt x="0" y="0"/>
                                </a:lnTo>
                                <a:lnTo>
                                  <a:pt x="0" y="442277"/>
                                </a:lnTo>
                                <a:lnTo>
                                  <a:pt x="1440002" y="442277"/>
                                </a:lnTo>
                                <a:lnTo>
                                  <a:pt x="1440002" y="0"/>
                                </a:lnTo>
                                <a:close/>
                              </a:path>
                            </a:pathLst>
                          </a:custGeom>
                          <a:solidFill>
                            <a:srgbClr val="DCDDDE"/>
                          </a:solidFill>
                        </wps:spPr>
                        <wps:bodyPr wrap="square" lIns="0" tIns="0" rIns="0" bIns="0" rtlCol="0">
                          <a:prstTxWarp prst="textNoShape">
                            <a:avLst/>
                          </a:prstTxWarp>
                          <a:noAutofit/>
                        </wps:bodyPr>
                      </wps:wsp>
                      <wps:wsp>
                        <wps:cNvPr id="124" name="Textbox 124"/>
                        <wps:cNvSpPr txBox="1"/>
                        <wps:spPr>
                          <a:xfrm>
                            <a:off x="0" y="0"/>
                            <a:ext cx="1440180" cy="442595"/>
                          </a:xfrm>
                          <a:prstGeom prst="rect">
                            <a:avLst/>
                          </a:prstGeom>
                        </wps:spPr>
                        <wps:txbx>
                          <w:txbxContent>
                            <w:p>
                              <w:pPr>
                                <w:spacing w:line="256" w:lineRule="auto" w:before="164"/>
                                <w:ind w:left="716" w:right="0" w:hanging="253"/>
                                <w:jc w:val="left"/>
                                <w:rPr>
                                  <w:rFonts w:ascii="TT Norms Pro"/>
                                  <w:sz w:val="16"/>
                                </w:rPr>
                              </w:pPr>
                              <w:r>
                                <w:rPr>
                                  <w:rFonts w:ascii="TT Norms Pro"/>
                                  <w:sz w:val="16"/>
                                </w:rPr>
                                <w:t>Honorary</w:t>
                              </w:r>
                              <w:r>
                                <w:rPr>
                                  <w:rFonts w:ascii="TT Norms Pro"/>
                                  <w:spacing w:val="-7"/>
                                  <w:sz w:val="16"/>
                                </w:rPr>
                                <w:t> </w:t>
                              </w:r>
                              <w:r>
                                <w:rPr>
                                  <w:rFonts w:ascii="TT Norms Pro"/>
                                  <w:sz w:val="16"/>
                                </w:rPr>
                                <w:t>Degrees</w:t>
                              </w:r>
                              <w:r>
                                <w:rPr>
                                  <w:rFonts w:ascii="TT Norms Pro"/>
                                  <w:spacing w:val="40"/>
                                  <w:sz w:val="16"/>
                                </w:rPr>
                                <w:t> </w:t>
                              </w:r>
                              <w:r>
                                <w:rPr>
                                  <w:rFonts w:ascii="TT Norms Pro"/>
                                  <w:spacing w:val="-2"/>
                                  <w:sz w:val="16"/>
                                </w:rPr>
                                <w:t>Committee</w:t>
                              </w:r>
                            </w:p>
                          </w:txbxContent>
                        </wps:txbx>
                        <wps:bodyPr wrap="square" lIns="0" tIns="0" rIns="0" bIns="0" rtlCol="0">
                          <a:noAutofit/>
                        </wps:bodyPr>
                      </wps:wsp>
                    </wpg:wgp>
                  </a:graphicData>
                </a:graphic>
              </wp:anchor>
            </w:drawing>
          </mc:Choice>
          <mc:Fallback>
            <w:pict>
              <v:group style="position:absolute;margin-left:416.14801pt;margin-top:20.6429pt;width:113.4pt;height:34.85pt;mso-position-horizontal-relative:page;mso-position-vertical-relative:paragraph;z-index:-15712768;mso-wrap-distance-left:0;mso-wrap-distance-right:0" id="docshapegroup91" coordorigin="8323,413" coordsize="2268,697">
                <v:rect style="position:absolute;left:8322;top:412;width:2268;height:697" id="docshape92" filled="true" fillcolor="#dcddde" stroked="false">
                  <v:fill type="solid"/>
                </v:rect>
                <v:shape style="position:absolute;left:8322;top:412;width:2268;height:697" type="#_x0000_t202" id="docshape93" filled="false" stroked="false">
                  <v:textbox inset="0,0,0,0">
                    <w:txbxContent>
                      <w:p>
                        <w:pPr>
                          <w:spacing w:line="256" w:lineRule="auto" w:before="164"/>
                          <w:ind w:left="716" w:right="0" w:hanging="253"/>
                          <w:jc w:val="left"/>
                          <w:rPr>
                            <w:rFonts w:ascii="TT Norms Pro"/>
                            <w:sz w:val="16"/>
                          </w:rPr>
                        </w:pPr>
                        <w:r>
                          <w:rPr>
                            <w:rFonts w:ascii="TT Norms Pro"/>
                            <w:sz w:val="16"/>
                          </w:rPr>
                          <w:t>Honorary</w:t>
                        </w:r>
                        <w:r>
                          <w:rPr>
                            <w:rFonts w:ascii="TT Norms Pro"/>
                            <w:spacing w:val="-7"/>
                            <w:sz w:val="16"/>
                          </w:rPr>
                          <w:t> </w:t>
                        </w:r>
                        <w:r>
                          <w:rPr>
                            <w:rFonts w:ascii="TT Norms Pro"/>
                            <w:sz w:val="16"/>
                          </w:rPr>
                          <w:t>Degrees</w:t>
                        </w:r>
                        <w:r>
                          <w:rPr>
                            <w:rFonts w:ascii="TT Norms Pro"/>
                            <w:spacing w:val="40"/>
                            <w:sz w:val="16"/>
                          </w:rPr>
                          <w:t> </w:t>
                        </w:r>
                        <w:r>
                          <w:rPr>
                            <w:rFonts w:ascii="TT Norms Pro"/>
                            <w:spacing w:val="-2"/>
                            <w:sz w:val="16"/>
                          </w:rPr>
                          <w:t>Committee</w:t>
                        </w:r>
                      </w:p>
                    </w:txbxContent>
                  </v:textbox>
                  <w10:wrap type="none"/>
                </v:shape>
                <w10:wrap type="topAndBottom"/>
              </v:group>
            </w:pict>
          </mc:Fallback>
        </mc:AlternateContent>
      </w:r>
    </w:p>
    <w:p>
      <w:pPr>
        <w:pStyle w:val="BodyText"/>
        <w:rPr>
          <w:rFonts w:ascii="TT Norms Pro"/>
          <w:sz w:val="12"/>
        </w:rPr>
      </w:pPr>
    </w:p>
    <w:p>
      <w:pPr>
        <w:pStyle w:val="BodyText"/>
        <w:spacing w:before="35"/>
        <w:rPr>
          <w:rFonts w:ascii="TT Norms Pro"/>
          <w:sz w:val="12"/>
        </w:rPr>
      </w:pPr>
    </w:p>
    <w:p>
      <w:pPr>
        <w:tabs>
          <w:tab w:pos="3373" w:val="left" w:leader="none"/>
          <w:tab w:pos="5080" w:val="left" w:leader="none"/>
        </w:tabs>
        <w:spacing w:before="0"/>
        <w:ind w:left="964" w:right="0" w:firstLine="0"/>
        <w:jc w:val="left"/>
        <w:rPr>
          <w:rFonts w:ascii="TT Norms Pro Light"/>
          <w:b w:val="0"/>
          <w:sz w:val="12"/>
        </w:rPr>
      </w:pPr>
      <w:r>
        <w:rPr/>
        <mc:AlternateContent>
          <mc:Choice Requires="wps">
            <w:drawing>
              <wp:anchor distT="0" distB="0" distL="0" distR="0" allowOverlap="1" layoutInCell="1" locked="0" behindDoc="0" simplePos="0" relativeHeight="15747072">
                <wp:simplePos x="0" y="0"/>
                <wp:positionH relativeFrom="page">
                  <wp:posOffset>782878</wp:posOffset>
                </wp:positionH>
                <wp:positionV relativeFrom="paragraph">
                  <wp:posOffset>-49923</wp:posOffset>
                </wp:positionV>
                <wp:extent cx="313690" cy="142875"/>
                <wp:effectExtent l="0" t="0" r="0" b="0"/>
                <wp:wrapNone/>
                <wp:docPr id="125" name="Graphic 125"/>
                <wp:cNvGraphicFramePr>
                  <a:graphicFrameLocks/>
                </wp:cNvGraphicFramePr>
                <a:graphic>
                  <a:graphicData uri="http://schemas.microsoft.com/office/word/2010/wordprocessingShape">
                    <wps:wsp>
                      <wps:cNvPr id="125" name="Graphic 125"/>
                      <wps:cNvSpPr/>
                      <wps:spPr>
                        <a:xfrm>
                          <a:off x="0" y="0"/>
                          <a:ext cx="313690" cy="142875"/>
                        </a:xfrm>
                        <a:custGeom>
                          <a:avLst/>
                          <a:gdLst/>
                          <a:ahLst/>
                          <a:cxnLst/>
                          <a:rect l="l" t="t" r="r" b="b"/>
                          <a:pathLst>
                            <a:path w="313690" h="142875">
                              <a:moveTo>
                                <a:pt x="313245" y="0"/>
                              </a:moveTo>
                              <a:lnTo>
                                <a:pt x="0" y="0"/>
                              </a:lnTo>
                              <a:lnTo>
                                <a:pt x="0" y="142646"/>
                              </a:lnTo>
                              <a:lnTo>
                                <a:pt x="313245" y="142646"/>
                              </a:lnTo>
                              <a:lnTo>
                                <a:pt x="313245" y="0"/>
                              </a:lnTo>
                              <a:close/>
                            </a:path>
                          </a:pathLst>
                        </a:custGeom>
                        <a:solidFill>
                          <a:srgbClr val="DCDDDE"/>
                        </a:solidFill>
                      </wps:spPr>
                      <wps:bodyPr wrap="square" lIns="0" tIns="0" rIns="0" bIns="0" rtlCol="0">
                        <a:prstTxWarp prst="textNoShape">
                          <a:avLst/>
                        </a:prstTxWarp>
                        <a:noAutofit/>
                      </wps:bodyPr>
                    </wps:wsp>
                  </a:graphicData>
                </a:graphic>
              </wp:anchor>
            </w:drawing>
          </mc:Choice>
          <mc:Fallback>
            <w:pict>
              <v:rect style="position:absolute;margin-left:61.644001pt;margin-top:-3.931pt;width:24.665pt;height:11.232pt;mso-position-horizontal-relative:page;mso-position-vertical-relative:paragraph;z-index:15747072" id="docshape94" filled="true" fillcolor="#dcddde" stroked="false">
                <v:fill type="solid"/>
                <w10:wrap type="none"/>
              </v:rect>
            </w:pict>
          </mc:Fallback>
        </mc:AlternateContent>
      </w:r>
      <w:r>
        <w:rPr/>
        <mc:AlternateContent>
          <mc:Choice Requires="wps">
            <w:drawing>
              <wp:anchor distT="0" distB="0" distL="0" distR="0" allowOverlap="1" layoutInCell="1" locked="0" behindDoc="1" simplePos="0" relativeHeight="472601088">
                <wp:simplePos x="0" y="0"/>
                <wp:positionH relativeFrom="page">
                  <wp:posOffset>2312784</wp:posOffset>
                </wp:positionH>
                <wp:positionV relativeFrom="paragraph">
                  <wp:posOffset>-43624</wp:posOffset>
                </wp:positionV>
                <wp:extent cx="313690" cy="142875"/>
                <wp:effectExtent l="0" t="0" r="0" b="0"/>
                <wp:wrapNone/>
                <wp:docPr id="126" name="Graphic 126"/>
                <wp:cNvGraphicFramePr>
                  <a:graphicFrameLocks/>
                </wp:cNvGraphicFramePr>
                <a:graphic>
                  <a:graphicData uri="http://schemas.microsoft.com/office/word/2010/wordprocessingShape">
                    <wps:wsp>
                      <wps:cNvPr id="126" name="Graphic 126"/>
                      <wps:cNvSpPr/>
                      <wps:spPr>
                        <a:xfrm>
                          <a:off x="0" y="0"/>
                          <a:ext cx="313690" cy="142875"/>
                        </a:xfrm>
                        <a:custGeom>
                          <a:avLst/>
                          <a:gdLst/>
                          <a:ahLst/>
                          <a:cxnLst/>
                          <a:rect l="l" t="t" r="r" b="b"/>
                          <a:pathLst>
                            <a:path w="313690" h="142875">
                              <a:moveTo>
                                <a:pt x="313245" y="0"/>
                              </a:moveTo>
                              <a:lnTo>
                                <a:pt x="0" y="0"/>
                              </a:lnTo>
                              <a:lnTo>
                                <a:pt x="0" y="142646"/>
                              </a:lnTo>
                              <a:lnTo>
                                <a:pt x="313245" y="142646"/>
                              </a:lnTo>
                              <a:lnTo>
                                <a:pt x="313245" y="0"/>
                              </a:lnTo>
                              <a:close/>
                            </a:path>
                          </a:pathLst>
                        </a:custGeom>
                        <a:solidFill>
                          <a:srgbClr val="B1B4B6"/>
                        </a:solidFill>
                      </wps:spPr>
                      <wps:bodyPr wrap="square" lIns="0" tIns="0" rIns="0" bIns="0" rtlCol="0">
                        <a:prstTxWarp prst="textNoShape">
                          <a:avLst/>
                        </a:prstTxWarp>
                        <a:noAutofit/>
                      </wps:bodyPr>
                    </wps:wsp>
                  </a:graphicData>
                </a:graphic>
              </wp:anchor>
            </w:drawing>
          </mc:Choice>
          <mc:Fallback>
            <w:pict>
              <v:rect style="position:absolute;margin-left:182.108994pt;margin-top:-3.435pt;width:24.665pt;height:11.232pt;mso-position-horizontal-relative:page;mso-position-vertical-relative:paragraph;z-index:-30715392" id="docshape95" filled="true" fillcolor="#b1b4b6" stroked="false">
                <v:fill type="solid"/>
                <w10:wrap type="none"/>
              </v:rect>
            </w:pict>
          </mc:Fallback>
        </mc:AlternateContent>
      </w:r>
      <w:r>
        <w:rPr/>
        <mc:AlternateContent>
          <mc:Choice Requires="wps">
            <w:drawing>
              <wp:anchor distT="0" distB="0" distL="0" distR="0" allowOverlap="1" layoutInCell="1" locked="0" behindDoc="1" simplePos="0" relativeHeight="472601600">
                <wp:simplePos x="0" y="0"/>
                <wp:positionH relativeFrom="page">
                  <wp:posOffset>3380524</wp:posOffset>
                </wp:positionH>
                <wp:positionV relativeFrom="paragraph">
                  <wp:posOffset>-37223</wp:posOffset>
                </wp:positionV>
                <wp:extent cx="313690" cy="142875"/>
                <wp:effectExtent l="0" t="0" r="0" b="0"/>
                <wp:wrapNone/>
                <wp:docPr id="127" name="Graphic 127"/>
                <wp:cNvGraphicFramePr>
                  <a:graphicFrameLocks/>
                </wp:cNvGraphicFramePr>
                <a:graphic>
                  <a:graphicData uri="http://schemas.microsoft.com/office/word/2010/wordprocessingShape">
                    <wps:wsp>
                      <wps:cNvPr id="127" name="Graphic 127"/>
                      <wps:cNvSpPr/>
                      <wps:spPr>
                        <a:xfrm>
                          <a:off x="0" y="0"/>
                          <a:ext cx="313690" cy="142875"/>
                        </a:xfrm>
                        <a:custGeom>
                          <a:avLst/>
                          <a:gdLst/>
                          <a:ahLst/>
                          <a:cxnLst/>
                          <a:rect l="l" t="t" r="r" b="b"/>
                          <a:pathLst>
                            <a:path w="313690" h="142875">
                              <a:moveTo>
                                <a:pt x="313245" y="0"/>
                              </a:moveTo>
                              <a:lnTo>
                                <a:pt x="0" y="0"/>
                              </a:lnTo>
                              <a:lnTo>
                                <a:pt x="0" y="142646"/>
                              </a:lnTo>
                              <a:lnTo>
                                <a:pt x="313245" y="142646"/>
                              </a:lnTo>
                              <a:lnTo>
                                <a:pt x="313245" y="0"/>
                              </a:lnTo>
                              <a:close/>
                            </a:path>
                          </a:pathLst>
                        </a:custGeom>
                        <a:solidFill>
                          <a:srgbClr val="F1F1F2"/>
                        </a:solidFill>
                      </wps:spPr>
                      <wps:bodyPr wrap="square" lIns="0" tIns="0" rIns="0" bIns="0" rtlCol="0">
                        <a:prstTxWarp prst="textNoShape">
                          <a:avLst/>
                        </a:prstTxWarp>
                        <a:noAutofit/>
                      </wps:bodyPr>
                    </wps:wsp>
                  </a:graphicData>
                </a:graphic>
              </wp:anchor>
            </w:drawing>
          </mc:Choice>
          <mc:Fallback>
            <w:pict>
              <v:rect style="position:absolute;margin-left:266.183014pt;margin-top:-2.931pt;width:24.665pt;height:11.232pt;mso-position-horizontal-relative:page;mso-position-vertical-relative:paragraph;z-index:-30714880" id="docshape96" filled="true" fillcolor="#f1f1f2" stroked="false">
                <v:fill type="solid"/>
                <w10:wrap type="none"/>
              </v:rect>
            </w:pict>
          </mc:Fallback>
        </mc:AlternateContent>
      </w:r>
      <w:r>
        <w:rPr>
          <w:rFonts w:ascii="TT Norms Pro Light"/>
          <w:b w:val="0"/>
          <w:position w:val="1"/>
          <w:sz w:val="12"/>
        </w:rPr>
        <w:t>Committees</w:t>
      </w:r>
      <w:r>
        <w:rPr>
          <w:rFonts w:ascii="TT Norms Pro Light"/>
          <w:b w:val="0"/>
          <w:spacing w:val="10"/>
          <w:position w:val="1"/>
          <w:sz w:val="12"/>
        </w:rPr>
        <w:t> </w:t>
      </w:r>
      <w:r>
        <w:rPr>
          <w:rFonts w:ascii="TT Norms Pro Light"/>
          <w:b w:val="0"/>
          <w:position w:val="1"/>
          <w:sz w:val="12"/>
        </w:rPr>
        <w:t>of</w:t>
      </w:r>
      <w:r>
        <w:rPr>
          <w:rFonts w:ascii="TT Norms Pro Light"/>
          <w:b w:val="0"/>
          <w:spacing w:val="11"/>
          <w:position w:val="1"/>
          <w:sz w:val="12"/>
        </w:rPr>
        <w:t> </w:t>
      </w:r>
      <w:r>
        <w:rPr>
          <w:rFonts w:ascii="TT Norms Pro Light"/>
          <w:b w:val="0"/>
          <w:spacing w:val="-2"/>
          <w:position w:val="1"/>
          <w:sz w:val="12"/>
        </w:rPr>
        <w:t>Senate</w:t>
      </w:r>
      <w:r>
        <w:rPr>
          <w:rFonts w:ascii="TT Norms Pro Light"/>
          <w:b w:val="0"/>
          <w:position w:val="1"/>
          <w:sz w:val="12"/>
        </w:rPr>
        <w:tab/>
      </w:r>
      <w:r>
        <w:rPr>
          <w:rFonts w:ascii="TT Norms Pro Light"/>
          <w:b w:val="0"/>
          <w:spacing w:val="-2"/>
          <w:sz w:val="12"/>
        </w:rPr>
        <w:t>Executive</w:t>
      </w:r>
      <w:r>
        <w:rPr>
          <w:rFonts w:ascii="TT Norms Pro Light"/>
          <w:b w:val="0"/>
          <w:sz w:val="12"/>
        </w:rPr>
        <w:tab/>
        <w:t>*Proposed.</w:t>
      </w:r>
      <w:r>
        <w:rPr>
          <w:rFonts w:ascii="TT Norms Pro Light"/>
          <w:b w:val="0"/>
          <w:spacing w:val="14"/>
          <w:sz w:val="12"/>
        </w:rPr>
        <w:t> </w:t>
      </w:r>
      <w:r>
        <w:rPr>
          <w:rFonts w:ascii="TT Norms Pro Light"/>
          <w:b w:val="0"/>
          <w:sz w:val="12"/>
        </w:rPr>
        <w:t>School</w:t>
      </w:r>
      <w:r>
        <w:rPr>
          <w:rFonts w:ascii="TT Norms Pro Light"/>
          <w:b w:val="0"/>
          <w:spacing w:val="16"/>
          <w:sz w:val="12"/>
        </w:rPr>
        <w:t> </w:t>
      </w:r>
      <w:r>
        <w:rPr>
          <w:rFonts w:ascii="TT Norms Pro Light"/>
          <w:b w:val="0"/>
          <w:sz w:val="12"/>
        </w:rPr>
        <w:t>academic</w:t>
      </w:r>
      <w:r>
        <w:rPr>
          <w:rFonts w:ascii="TT Norms Pro Light"/>
          <w:b w:val="0"/>
          <w:spacing w:val="16"/>
          <w:sz w:val="12"/>
        </w:rPr>
        <w:t> </w:t>
      </w:r>
      <w:r>
        <w:rPr>
          <w:rFonts w:ascii="TT Norms Pro Light"/>
          <w:b w:val="0"/>
          <w:sz w:val="12"/>
        </w:rPr>
        <w:t>governance</w:t>
      </w:r>
      <w:r>
        <w:rPr>
          <w:rFonts w:ascii="TT Norms Pro Light"/>
          <w:b w:val="0"/>
          <w:spacing w:val="16"/>
          <w:sz w:val="12"/>
        </w:rPr>
        <w:t> </w:t>
      </w:r>
      <w:r>
        <w:rPr>
          <w:rFonts w:ascii="TT Norms Pro Light"/>
          <w:b w:val="0"/>
          <w:sz w:val="12"/>
        </w:rPr>
        <w:t>structure</w:t>
      </w:r>
      <w:r>
        <w:rPr>
          <w:rFonts w:ascii="TT Norms Pro Light"/>
          <w:b w:val="0"/>
          <w:spacing w:val="16"/>
          <w:sz w:val="12"/>
        </w:rPr>
        <w:t> </w:t>
      </w:r>
      <w:r>
        <w:rPr>
          <w:rFonts w:ascii="TT Norms Pro Light"/>
          <w:b w:val="0"/>
          <w:sz w:val="12"/>
        </w:rPr>
        <w:t>under</w:t>
      </w:r>
      <w:r>
        <w:rPr>
          <w:rFonts w:ascii="TT Norms Pro Light"/>
          <w:b w:val="0"/>
          <w:spacing w:val="17"/>
          <w:sz w:val="12"/>
        </w:rPr>
        <w:t> </w:t>
      </w:r>
      <w:r>
        <w:rPr>
          <w:rFonts w:ascii="TT Norms Pro Light"/>
          <w:b w:val="0"/>
          <w:spacing w:val="-2"/>
          <w:sz w:val="12"/>
        </w:rPr>
        <w:t>development.</w:t>
      </w:r>
    </w:p>
    <w:p>
      <w:pPr>
        <w:spacing w:after="0"/>
        <w:jc w:val="left"/>
        <w:rPr>
          <w:rFonts w:ascii="TT Norms Pro Light"/>
          <w:sz w:val="12"/>
        </w:rPr>
        <w:sectPr>
          <w:type w:val="continuous"/>
          <w:pgSz w:w="11910" w:h="16840"/>
          <w:pgMar w:header="468" w:footer="0" w:top="980" w:bottom="280" w:left="940" w:right="0"/>
        </w:sectPr>
      </w:pPr>
    </w:p>
    <w:p>
      <w:pPr>
        <w:spacing w:line="844" w:lineRule="exact" w:before="212"/>
        <w:ind w:left="113" w:right="0" w:firstLine="0"/>
        <w:jc w:val="left"/>
        <w:rPr>
          <w:rFonts w:ascii="TT Norms Pro Medium"/>
          <w:b/>
          <w:sz w:val="80"/>
        </w:rPr>
      </w:pPr>
      <w:r>
        <w:rPr>
          <w:rFonts w:ascii="TT Norms Pro Medium"/>
          <w:b/>
          <w:spacing w:val="-42"/>
          <w:sz w:val="80"/>
        </w:rPr>
        <w:t>UWA</w:t>
      </w:r>
      <w:r>
        <w:rPr>
          <w:rFonts w:ascii="TT Norms Pro Medium"/>
          <w:b/>
          <w:spacing w:val="-43"/>
          <w:sz w:val="80"/>
        </w:rPr>
        <w:t> </w:t>
      </w:r>
      <w:r>
        <w:rPr>
          <w:rFonts w:ascii="TT Norms Pro Medium"/>
          <w:b/>
          <w:spacing w:val="-4"/>
          <w:sz w:val="80"/>
        </w:rPr>
        <w:t>Management</w:t>
      </w:r>
    </w:p>
    <w:p>
      <w:pPr>
        <w:pStyle w:val="Heading1"/>
        <w:spacing w:line="987" w:lineRule="exact"/>
        <w:ind w:left="4404"/>
      </w:pPr>
      <w:r>
        <w:rPr>
          <w:w w:val="105"/>
        </w:rPr>
        <w:t>Structure</w:t>
      </w:r>
      <w:r>
        <w:rPr>
          <w:spacing w:val="47"/>
          <w:w w:val="110"/>
        </w:rPr>
        <w:t> </w:t>
      </w:r>
      <w:r>
        <w:rPr>
          <w:spacing w:val="-4"/>
          <w:w w:val="110"/>
        </w:rPr>
        <w:t>2021</w:t>
      </w:r>
    </w:p>
    <w:p>
      <w:pPr>
        <w:pStyle w:val="BodyText"/>
        <w:spacing w:before="1"/>
        <w:rPr>
          <w:rFonts w:ascii="Palatino Linotype"/>
          <w:sz w:val="16"/>
        </w:rPr>
      </w:pPr>
      <w:r>
        <w:rPr/>
        <mc:AlternateContent>
          <mc:Choice Requires="wps">
            <w:drawing>
              <wp:anchor distT="0" distB="0" distL="0" distR="0" allowOverlap="1" layoutInCell="1" locked="0" behindDoc="1" simplePos="0" relativeHeight="487609856">
                <wp:simplePos x="0" y="0"/>
                <wp:positionH relativeFrom="page">
                  <wp:posOffset>718832</wp:posOffset>
                </wp:positionH>
                <wp:positionV relativeFrom="paragraph">
                  <wp:posOffset>153346</wp:posOffset>
                </wp:positionV>
                <wp:extent cx="1440180" cy="442595"/>
                <wp:effectExtent l="0" t="0" r="0" b="0"/>
                <wp:wrapTopAndBottom/>
                <wp:docPr id="128" name="Textbox 128"/>
                <wp:cNvGraphicFramePr>
                  <a:graphicFrameLocks/>
                </wp:cNvGraphicFramePr>
                <a:graphic>
                  <a:graphicData uri="http://schemas.microsoft.com/office/word/2010/wordprocessingShape">
                    <wps:wsp>
                      <wps:cNvPr id="128" name="Textbox 128"/>
                      <wps:cNvSpPr txBox="1"/>
                      <wps:spPr>
                        <a:xfrm>
                          <a:off x="0" y="0"/>
                          <a:ext cx="1440180" cy="442595"/>
                        </a:xfrm>
                        <a:prstGeom prst="rect">
                          <a:avLst/>
                        </a:prstGeom>
                        <a:solidFill>
                          <a:srgbClr val="000000"/>
                        </a:solidFill>
                      </wps:spPr>
                      <wps:txbx>
                        <w:txbxContent>
                          <w:p>
                            <w:pPr>
                              <w:pStyle w:val="BodyText"/>
                              <w:spacing w:before="10"/>
                              <w:rPr>
                                <w:rFonts w:ascii="Palatino Linotype"/>
                                <w:color w:val="000000"/>
                              </w:rPr>
                            </w:pPr>
                          </w:p>
                          <w:p>
                            <w:pPr>
                              <w:spacing w:before="1"/>
                              <w:ind w:left="228" w:right="0" w:firstLine="0"/>
                              <w:jc w:val="left"/>
                              <w:rPr>
                                <w:rFonts w:ascii="TT Norms Pro Medium"/>
                                <w:b/>
                                <w:color w:val="000000"/>
                                <w:sz w:val="18"/>
                              </w:rPr>
                            </w:pPr>
                            <w:r>
                              <w:rPr>
                                <w:rFonts w:ascii="TT Norms Pro Medium"/>
                                <w:b/>
                                <w:color w:val="FFFFFF"/>
                                <w:spacing w:val="-4"/>
                                <w:sz w:val="18"/>
                              </w:rPr>
                              <w:t>VICE-</w:t>
                            </w:r>
                            <w:r>
                              <w:rPr>
                                <w:rFonts w:ascii="TT Norms Pro Medium"/>
                                <w:b/>
                                <w:color w:val="FFFFFF"/>
                                <w:spacing w:val="-2"/>
                                <w:sz w:val="18"/>
                              </w:rPr>
                              <w:t>CHANCELLOR</w:t>
                            </w:r>
                          </w:p>
                        </w:txbxContent>
                      </wps:txbx>
                      <wps:bodyPr wrap="square" lIns="0" tIns="0" rIns="0" bIns="0" rtlCol="0">
                        <a:noAutofit/>
                      </wps:bodyPr>
                    </wps:wsp>
                  </a:graphicData>
                </a:graphic>
              </wp:anchor>
            </w:drawing>
          </mc:Choice>
          <mc:Fallback>
            <w:pict>
              <v:shape style="position:absolute;margin-left:56.601002pt;margin-top:12.074502pt;width:113.4pt;height:34.85pt;mso-position-horizontal-relative:page;mso-position-vertical-relative:paragraph;z-index:-15706624;mso-wrap-distance-left:0;mso-wrap-distance-right:0" type="#_x0000_t202" id="docshape97" filled="true" fillcolor="#000000" stroked="false">
                <v:textbox inset="0,0,0,0">
                  <w:txbxContent>
                    <w:p>
                      <w:pPr>
                        <w:pStyle w:val="BodyText"/>
                        <w:spacing w:before="10"/>
                        <w:rPr>
                          <w:rFonts w:ascii="Palatino Linotype"/>
                          <w:color w:val="000000"/>
                        </w:rPr>
                      </w:pPr>
                    </w:p>
                    <w:p>
                      <w:pPr>
                        <w:spacing w:before="1"/>
                        <w:ind w:left="228" w:right="0" w:firstLine="0"/>
                        <w:jc w:val="left"/>
                        <w:rPr>
                          <w:rFonts w:ascii="TT Norms Pro Medium"/>
                          <w:b/>
                          <w:color w:val="000000"/>
                          <w:sz w:val="18"/>
                        </w:rPr>
                      </w:pPr>
                      <w:r>
                        <w:rPr>
                          <w:rFonts w:ascii="TT Norms Pro Medium"/>
                          <w:b/>
                          <w:color w:val="FFFFFF"/>
                          <w:spacing w:val="-4"/>
                          <w:sz w:val="18"/>
                        </w:rPr>
                        <w:t>VICE-</w:t>
                      </w:r>
                      <w:r>
                        <w:rPr>
                          <w:rFonts w:ascii="TT Norms Pro Medium"/>
                          <w:b/>
                          <w:color w:val="FFFFFF"/>
                          <w:spacing w:val="-2"/>
                          <w:sz w:val="18"/>
                        </w:rPr>
                        <w:t>CHANCELLOR</w:t>
                      </w:r>
                    </w:p>
                  </w:txbxContent>
                </v:textbox>
                <v:fill type="solid"/>
                <w10:wrap type="topAndBottom"/>
              </v:shape>
            </w:pict>
          </mc:Fallback>
        </mc:AlternateContent>
      </w:r>
    </w:p>
    <w:p>
      <w:pPr>
        <w:pStyle w:val="BodyText"/>
        <w:rPr>
          <w:rFonts w:ascii="Palatino Linotype"/>
        </w:rPr>
      </w:pPr>
    </w:p>
    <w:p>
      <w:pPr>
        <w:pStyle w:val="BodyText"/>
        <w:spacing w:before="149"/>
        <w:rPr>
          <w:rFonts w:ascii="Palatino Linotype"/>
        </w:rPr>
      </w:pPr>
    </w:p>
    <w:p>
      <w:pPr>
        <w:pStyle w:val="BodyText"/>
        <w:spacing w:line="228" w:lineRule="auto"/>
        <w:ind w:left="589" w:right="9064" w:firstLine="78"/>
        <w:rPr>
          <w:b w:val="0"/>
        </w:rPr>
      </w:pPr>
      <w:r>
        <w:rPr/>
        <mc:AlternateContent>
          <mc:Choice Requires="wps">
            <w:drawing>
              <wp:anchor distT="0" distB="0" distL="0" distR="0" allowOverlap="1" layoutInCell="1" locked="0" behindDoc="1" simplePos="0" relativeHeight="472612352">
                <wp:simplePos x="0" y="0"/>
                <wp:positionH relativeFrom="page">
                  <wp:posOffset>592683</wp:posOffset>
                </wp:positionH>
                <wp:positionV relativeFrom="paragraph">
                  <wp:posOffset>-624228</wp:posOffset>
                </wp:positionV>
                <wp:extent cx="6974205" cy="6573520"/>
                <wp:effectExtent l="0" t="0" r="0" b="0"/>
                <wp:wrapNone/>
                <wp:docPr id="129" name="Group 129"/>
                <wp:cNvGraphicFramePr>
                  <a:graphicFrameLocks/>
                </wp:cNvGraphicFramePr>
                <a:graphic>
                  <a:graphicData uri="http://schemas.microsoft.com/office/word/2010/wordprocessingGroup">
                    <wpg:wgp>
                      <wpg:cNvPr id="129" name="Group 129"/>
                      <wpg:cNvGrpSpPr/>
                      <wpg:grpSpPr>
                        <a:xfrm>
                          <a:off x="0" y="0"/>
                          <a:ext cx="6974205" cy="6573520"/>
                          <a:chExt cx="6974205" cy="6573520"/>
                        </a:xfrm>
                      </wpg:grpSpPr>
                      <wps:wsp>
                        <wps:cNvPr id="130" name="Graphic 130"/>
                        <wps:cNvSpPr/>
                        <wps:spPr>
                          <a:xfrm>
                            <a:off x="24897" y="475842"/>
                            <a:ext cx="1539240" cy="1270"/>
                          </a:xfrm>
                          <a:custGeom>
                            <a:avLst/>
                            <a:gdLst/>
                            <a:ahLst/>
                            <a:cxnLst/>
                            <a:rect l="l" t="t" r="r" b="b"/>
                            <a:pathLst>
                              <a:path w="1539240" h="0">
                                <a:moveTo>
                                  <a:pt x="0" y="0"/>
                                </a:moveTo>
                                <a:lnTo>
                                  <a:pt x="1539125" y="0"/>
                                </a:lnTo>
                              </a:path>
                            </a:pathLst>
                          </a:custGeom>
                          <a:ln w="12700">
                            <a:solidFill>
                              <a:srgbClr val="000000"/>
                            </a:solidFill>
                            <a:prstDash val="solid"/>
                          </a:ln>
                        </wps:spPr>
                        <wps:bodyPr wrap="square" lIns="0" tIns="0" rIns="0" bIns="0" rtlCol="0">
                          <a:prstTxWarp prst="textNoShape">
                            <a:avLst/>
                          </a:prstTxWarp>
                          <a:noAutofit/>
                        </wps:bodyPr>
                      </wps:wsp>
                      <wps:wsp>
                        <wps:cNvPr id="131" name="Graphic 131"/>
                        <wps:cNvSpPr/>
                        <wps:spPr>
                          <a:xfrm>
                            <a:off x="24897" y="1007562"/>
                            <a:ext cx="1539240" cy="1270"/>
                          </a:xfrm>
                          <a:custGeom>
                            <a:avLst/>
                            <a:gdLst/>
                            <a:ahLst/>
                            <a:cxnLst/>
                            <a:rect l="l" t="t" r="r" b="b"/>
                            <a:pathLst>
                              <a:path w="1539240" h="0">
                                <a:moveTo>
                                  <a:pt x="0" y="0"/>
                                </a:moveTo>
                                <a:lnTo>
                                  <a:pt x="1539125" y="0"/>
                                </a:lnTo>
                              </a:path>
                            </a:pathLst>
                          </a:custGeom>
                          <a:ln w="3175">
                            <a:solidFill>
                              <a:srgbClr val="21409A"/>
                            </a:solidFill>
                            <a:prstDash val="solid"/>
                          </a:ln>
                        </wps:spPr>
                        <wps:bodyPr wrap="square" lIns="0" tIns="0" rIns="0" bIns="0" rtlCol="0">
                          <a:prstTxWarp prst="textNoShape">
                            <a:avLst/>
                          </a:prstTxWarp>
                          <a:noAutofit/>
                        </wps:bodyPr>
                      </wps:wsp>
                      <wps:wsp>
                        <wps:cNvPr id="132" name="Graphic 132"/>
                        <wps:cNvSpPr/>
                        <wps:spPr>
                          <a:xfrm>
                            <a:off x="14930" y="2964670"/>
                            <a:ext cx="1579880" cy="1270"/>
                          </a:xfrm>
                          <a:custGeom>
                            <a:avLst/>
                            <a:gdLst/>
                            <a:ahLst/>
                            <a:cxnLst/>
                            <a:rect l="l" t="t" r="r" b="b"/>
                            <a:pathLst>
                              <a:path w="1579880" h="0">
                                <a:moveTo>
                                  <a:pt x="0" y="0"/>
                                </a:moveTo>
                                <a:lnTo>
                                  <a:pt x="1579384" y="0"/>
                                </a:lnTo>
                              </a:path>
                            </a:pathLst>
                          </a:custGeom>
                          <a:ln w="12700">
                            <a:solidFill>
                              <a:srgbClr val="000000"/>
                            </a:solidFill>
                            <a:prstDash val="solid"/>
                          </a:ln>
                        </wps:spPr>
                        <wps:bodyPr wrap="square" lIns="0" tIns="0" rIns="0" bIns="0" rtlCol="0">
                          <a:prstTxWarp prst="textNoShape">
                            <a:avLst/>
                          </a:prstTxWarp>
                          <a:noAutofit/>
                        </wps:bodyPr>
                      </wps:wsp>
                      <wps:wsp>
                        <wps:cNvPr id="133" name="Graphic 133"/>
                        <wps:cNvSpPr/>
                        <wps:spPr>
                          <a:xfrm>
                            <a:off x="14930" y="3496383"/>
                            <a:ext cx="1579880" cy="1270"/>
                          </a:xfrm>
                          <a:custGeom>
                            <a:avLst/>
                            <a:gdLst/>
                            <a:ahLst/>
                            <a:cxnLst/>
                            <a:rect l="l" t="t" r="r" b="b"/>
                            <a:pathLst>
                              <a:path w="1579880" h="0">
                                <a:moveTo>
                                  <a:pt x="0" y="0"/>
                                </a:moveTo>
                                <a:lnTo>
                                  <a:pt x="1579384" y="0"/>
                                </a:lnTo>
                              </a:path>
                            </a:pathLst>
                          </a:custGeom>
                          <a:ln w="3175">
                            <a:solidFill>
                              <a:srgbClr val="21409A"/>
                            </a:solidFill>
                            <a:prstDash val="solid"/>
                          </a:ln>
                        </wps:spPr>
                        <wps:bodyPr wrap="square" lIns="0" tIns="0" rIns="0" bIns="0" rtlCol="0">
                          <a:prstTxWarp prst="textNoShape">
                            <a:avLst/>
                          </a:prstTxWarp>
                          <a:noAutofit/>
                        </wps:bodyPr>
                      </wps:wsp>
                      <wps:wsp>
                        <wps:cNvPr id="134" name="Graphic 134"/>
                        <wps:cNvSpPr/>
                        <wps:spPr>
                          <a:xfrm>
                            <a:off x="14930" y="4614733"/>
                            <a:ext cx="1579880" cy="1270"/>
                          </a:xfrm>
                          <a:custGeom>
                            <a:avLst/>
                            <a:gdLst/>
                            <a:ahLst/>
                            <a:cxnLst/>
                            <a:rect l="l" t="t" r="r" b="b"/>
                            <a:pathLst>
                              <a:path w="1579880" h="0">
                                <a:moveTo>
                                  <a:pt x="0" y="0"/>
                                </a:moveTo>
                                <a:lnTo>
                                  <a:pt x="1579384" y="0"/>
                                </a:lnTo>
                              </a:path>
                            </a:pathLst>
                          </a:custGeom>
                          <a:ln w="12700">
                            <a:solidFill>
                              <a:srgbClr val="000000"/>
                            </a:solidFill>
                            <a:prstDash val="solid"/>
                          </a:ln>
                        </wps:spPr>
                        <wps:bodyPr wrap="square" lIns="0" tIns="0" rIns="0" bIns="0" rtlCol="0">
                          <a:prstTxWarp prst="textNoShape">
                            <a:avLst/>
                          </a:prstTxWarp>
                          <a:noAutofit/>
                        </wps:bodyPr>
                      </wps:wsp>
                      <wps:wsp>
                        <wps:cNvPr id="135" name="Graphic 135"/>
                        <wps:cNvSpPr/>
                        <wps:spPr>
                          <a:xfrm>
                            <a:off x="14930" y="5146452"/>
                            <a:ext cx="1579880" cy="1270"/>
                          </a:xfrm>
                          <a:custGeom>
                            <a:avLst/>
                            <a:gdLst/>
                            <a:ahLst/>
                            <a:cxnLst/>
                            <a:rect l="l" t="t" r="r" b="b"/>
                            <a:pathLst>
                              <a:path w="1579880" h="0">
                                <a:moveTo>
                                  <a:pt x="0" y="0"/>
                                </a:moveTo>
                                <a:lnTo>
                                  <a:pt x="1579384" y="0"/>
                                </a:lnTo>
                              </a:path>
                            </a:pathLst>
                          </a:custGeom>
                          <a:ln w="3175">
                            <a:solidFill>
                              <a:srgbClr val="21409A"/>
                            </a:solidFill>
                            <a:prstDash val="solid"/>
                          </a:ln>
                        </wps:spPr>
                        <wps:bodyPr wrap="square" lIns="0" tIns="0" rIns="0" bIns="0" rtlCol="0">
                          <a:prstTxWarp prst="textNoShape">
                            <a:avLst/>
                          </a:prstTxWarp>
                          <a:noAutofit/>
                        </wps:bodyPr>
                      </wps:wsp>
                      <wps:wsp>
                        <wps:cNvPr id="136" name="Graphic 136"/>
                        <wps:cNvSpPr/>
                        <wps:spPr>
                          <a:xfrm>
                            <a:off x="14930" y="5552456"/>
                            <a:ext cx="1579880" cy="1270"/>
                          </a:xfrm>
                          <a:custGeom>
                            <a:avLst/>
                            <a:gdLst/>
                            <a:ahLst/>
                            <a:cxnLst/>
                            <a:rect l="l" t="t" r="r" b="b"/>
                            <a:pathLst>
                              <a:path w="1579880" h="0">
                                <a:moveTo>
                                  <a:pt x="0" y="0"/>
                                </a:moveTo>
                                <a:lnTo>
                                  <a:pt x="1579384" y="0"/>
                                </a:lnTo>
                              </a:path>
                            </a:pathLst>
                          </a:custGeom>
                          <a:ln w="12700">
                            <a:solidFill>
                              <a:srgbClr val="000000"/>
                            </a:solidFill>
                            <a:prstDash val="solid"/>
                          </a:ln>
                        </wps:spPr>
                        <wps:bodyPr wrap="square" lIns="0" tIns="0" rIns="0" bIns="0" rtlCol="0">
                          <a:prstTxWarp prst="textNoShape">
                            <a:avLst/>
                          </a:prstTxWarp>
                          <a:noAutofit/>
                        </wps:bodyPr>
                      </wps:wsp>
                      <wps:wsp>
                        <wps:cNvPr id="137" name="Graphic 137"/>
                        <wps:cNvSpPr/>
                        <wps:spPr>
                          <a:xfrm>
                            <a:off x="14930" y="6084176"/>
                            <a:ext cx="1579880" cy="1270"/>
                          </a:xfrm>
                          <a:custGeom>
                            <a:avLst/>
                            <a:gdLst/>
                            <a:ahLst/>
                            <a:cxnLst/>
                            <a:rect l="l" t="t" r="r" b="b"/>
                            <a:pathLst>
                              <a:path w="1579880" h="0">
                                <a:moveTo>
                                  <a:pt x="0" y="0"/>
                                </a:moveTo>
                                <a:lnTo>
                                  <a:pt x="1579384" y="0"/>
                                </a:lnTo>
                              </a:path>
                            </a:pathLst>
                          </a:custGeom>
                          <a:ln w="3175">
                            <a:solidFill>
                              <a:srgbClr val="21409A"/>
                            </a:solidFill>
                            <a:prstDash val="solid"/>
                          </a:ln>
                        </wps:spPr>
                        <wps:bodyPr wrap="square" lIns="0" tIns="0" rIns="0" bIns="0" rtlCol="0">
                          <a:prstTxWarp prst="textNoShape">
                            <a:avLst/>
                          </a:prstTxWarp>
                          <a:noAutofit/>
                        </wps:bodyPr>
                      </wps:wsp>
                      <wps:wsp>
                        <wps:cNvPr id="138" name="Graphic 138"/>
                        <wps:cNvSpPr/>
                        <wps:spPr>
                          <a:xfrm>
                            <a:off x="2384461" y="2968650"/>
                            <a:ext cx="1270" cy="141605"/>
                          </a:xfrm>
                          <a:custGeom>
                            <a:avLst/>
                            <a:gdLst/>
                            <a:ahLst/>
                            <a:cxnLst/>
                            <a:rect l="l" t="t" r="r" b="b"/>
                            <a:pathLst>
                              <a:path w="0" h="141605">
                                <a:moveTo>
                                  <a:pt x="0" y="141198"/>
                                </a:moveTo>
                                <a:lnTo>
                                  <a:pt x="0" y="0"/>
                                </a:lnTo>
                              </a:path>
                            </a:pathLst>
                          </a:custGeom>
                          <a:ln w="12700">
                            <a:solidFill>
                              <a:srgbClr val="000000"/>
                            </a:solidFill>
                            <a:prstDash val="solid"/>
                          </a:ln>
                        </wps:spPr>
                        <wps:bodyPr wrap="square" lIns="0" tIns="0" rIns="0" bIns="0" rtlCol="0">
                          <a:prstTxWarp prst="textNoShape">
                            <a:avLst/>
                          </a:prstTxWarp>
                          <a:noAutofit/>
                        </wps:bodyPr>
                      </wps:wsp>
                      <wps:wsp>
                        <wps:cNvPr id="139" name="Graphic 139"/>
                        <wps:cNvSpPr/>
                        <wps:spPr>
                          <a:xfrm>
                            <a:off x="2384461" y="6432112"/>
                            <a:ext cx="1270" cy="141605"/>
                          </a:xfrm>
                          <a:custGeom>
                            <a:avLst/>
                            <a:gdLst/>
                            <a:ahLst/>
                            <a:cxnLst/>
                            <a:rect l="l" t="t" r="r" b="b"/>
                            <a:pathLst>
                              <a:path w="0" h="141605">
                                <a:moveTo>
                                  <a:pt x="0" y="141198"/>
                                </a:moveTo>
                                <a:lnTo>
                                  <a:pt x="0" y="0"/>
                                </a:lnTo>
                              </a:path>
                            </a:pathLst>
                          </a:custGeom>
                          <a:ln w="12700">
                            <a:solidFill>
                              <a:srgbClr val="000000"/>
                            </a:solidFill>
                            <a:prstDash val="solid"/>
                          </a:ln>
                        </wps:spPr>
                        <wps:bodyPr wrap="square" lIns="0" tIns="0" rIns="0" bIns="0" rtlCol="0">
                          <a:prstTxWarp prst="textNoShape">
                            <a:avLst/>
                          </a:prstTxWarp>
                          <a:noAutofit/>
                        </wps:bodyPr>
                      </wps:wsp>
                      <wps:wsp>
                        <wps:cNvPr id="140" name="Graphic 140"/>
                        <wps:cNvSpPr/>
                        <wps:spPr>
                          <a:xfrm>
                            <a:off x="3952055" y="2968650"/>
                            <a:ext cx="1270" cy="141605"/>
                          </a:xfrm>
                          <a:custGeom>
                            <a:avLst/>
                            <a:gdLst/>
                            <a:ahLst/>
                            <a:cxnLst/>
                            <a:rect l="l" t="t" r="r" b="b"/>
                            <a:pathLst>
                              <a:path w="0" h="141605">
                                <a:moveTo>
                                  <a:pt x="0" y="141198"/>
                                </a:moveTo>
                                <a:lnTo>
                                  <a:pt x="0" y="0"/>
                                </a:lnTo>
                              </a:path>
                            </a:pathLst>
                          </a:custGeom>
                          <a:ln w="12700">
                            <a:solidFill>
                              <a:srgbClr val="000000"/>
                            </a:solidFill>
                            <a:prstDash val="solid"/>
                          </a:ln>
                        </wps:spPr>
                        <wps:bodyPr wrap="square" lIns="0" tIns="0" rIns="0" bIns="0" rtlCol="0">
                          <a:prstTxWarp prst="textNoShape">
                            <a:avLst/>
                          </a:prstTxWarp>
                          <a:noAutofit/>
                        </wps:bodyPr>
                      </wps:wsp>
                      <wps:wsp>
                        <wps:cNvPr id="141" name="Graphic 141"/>
                        <wps:cNvSpPr/>
                        <wps:spPr>
                          <a:xfrm>
                            <a:off x="3952055" y="6432112"/>
                            <a:ext cx="1270" cy="141605"/>
                          </a:xfrm>
                          <a:custGeom>
                            <a:avLst/>
                            <a:gdLst/>
                            <a:ahLst/>
                            <a:cxnLst/>
                            <a:rect l="l" t="t" r="r" b="b"/>
                            <a:pathLst>
                              <a:path w="0" h="141605">
                                <a:moveTo>
                                  <a:pt x="0" y="141198"/>
                                </a:moveTo>
                                <a:lnTo>
                                  <a:pt x="0" y="0"/>
                                </a:lnTo>
                              </a:path>
                            </a:pathLst>
                          </a:custGeom>
                          <a:ln w="12700">
                            <a:solidFill>
                              <a:srgbClr val="000000"/>
                            </a:solidFill>
                            <a:prstDash val="solid"/>
                          </a:ln>
                        </wps:spPr>
                        <wps:bodyPr wrap="square" lIns="0" tIns="0" rIns="0" bIns="0" rtlCol="0">
                          <a:prstTxWarp prst="textNoShape">
                            <a:avLst/>
                          </a:prstTxWarp>
                          <a:noAutofit/>
                        </wps:bodyPr>
                      </wps:wsp>
                      <wps:wsp>
                        <wps:cNvPr id="142" name="Graphic 142"/>
                        <wps:cNvSpPr/>
                        <wps:spPr>
                          <a:xfrm>
                            <a:off x="5502342" y="2984341"/>
                            <a:ext cx="1270" cy="141605"/>
                          </a:xfrm>
                          <a:custGeom>
                            <a:avLst/>
                            <a:gdLst/>
                            <a:ahLst/>
                            <a:cxnLst/>
                            <a:rect l="l" t="t" r="r" b="b"/>
                            <a:pathLst>
                              <a:path w="0" h="141605">
                                <a:moveTo>
                                  <a:pt x="0" y="141198"/>
                                </a:moveTo>
                                <a:lnTo>
                                  <a:pt x="0" y="0"/>
                                </a:lnTo>
                              </a:path>
                            </a:pathLst>
                          </a:custGeom>
                          <a:ln w="12700">
                            <a:solidFill>
                              <a:srgbClr val="000000"/>
                            </a:solidFill>
                            <a:prstDash val="solid"/>
                          </a:ln>
                        </wps:spPr>
                        <wps:bodyPr wrap="square" lIns="0" tIns="0" rIns="0" bIns="0" rtlCol="0">
                          <a:prstTxWarp prst="textNoShape">
                            <a:avLst/>
                          </a:prstTxWarp>
                          <a:noAutofit/>
                        </wps:bodyPr>
                      </wps:wsp>
                      <wps:wsp>
                        <wps:cNvPr id="143" name="Graphic 143"/>
                        <wps:cNvSpPr/>
                        <wps:spPr>
                          <a:xfrm>
                            <a:off x="5502342" y="6432112"/>
                            <a:ext cx="1270" cy="141605"/>
                          </a:xfrm>
                          <a:custGeom>
                            <a:avLst/>
                            <a:gdLst/>
                            <a:ahLst/>
                            <a:cxnLst/>
                            <a:rect l="l" t="t" r="r" b="b"/>
                            <a:pathLst>
                              <a:path w="0" h="141605">
                                <a:moveTo>
                                  <a:pt x="0" y="141198"/>
                                </a:moveTo>
                                <a:lnTo>
                                  <a:pt x="0" y="0"/>
                                </a:lnTo>
                              </a:path>
                            </a:pathLst>
                          </a:custGeom>
                          <a:ln w="12700">
                            <a:solidFill>
                              <a:srgbClr val="000000"/>
                            </a:solidFill>
                            <a:prstDash val="solid"/>
                          </a:ln>
                        </wps:spPr>
                        <wps:bodyPr wrap="square" lIns="0" tIns="0" rIns="0" bIns="0" rtlCol="0">
                          <a:prstTxWarp prst="textNoShape">
                            <a:avLst/>
                          </a:prstTxWarp>
                          <a:noAutofit/>
                        </wps:bodyPr>
                      </wps:wsp>
                      <wps:wsp>
                        <wps:cNvPr id="144" name="Graphic 144"/>
                        <wps:cNvSpPr/>
                        <wps:spPr>
                          <a:xfrm>
                            <a:off x="3180965" y="2968655"/>
                            <a:ext cx="1270" cy="746125"/>
                          </a:xfrm>
                          <a:custGeom>
                            <a:avLst/>
                            <a:gdLst/>
                            <a:ahLst/>
                            <a:cxnLst/>
                            <a:rect l="l" t="t" r="r" b="b"/>
                            <a:pathLst>
                              <a:path w="0" h="746125">
                                <a:moveTo>
                                  <a:pt x="0" y="745794"/>
                                </a:moveTo>
                                <a:lnTo>
                                  <a:pt x="0" y="0"/>
                                </a:lnTo>
                              </a:path>
                            </a:pathLst>
                          </a:custGeom>
                          <a:ln w="12700">
                            <a:solidFill>
                              <a:srgbClr val="000000"/>
                            </a:solidFill>
                            <a:prstDash val="solid"/>
                          </a:ln>
                        </wps:spPr>
                        <wps:bodyPr wrap="square" lIns="0" tIns="0" rIns="0" bIns="0" rtlCol="0">
                          <a:prstTxWarp prst="textNoShape">
                            <a:avLst/>
                          </a:prstTxWarp>
                          <a:noAutofit/>
                        </wps:bodyPr>
                      </wps:wsp>
                      <wps:wsp>
                        <wps:cNvPr id="145" name="Graphic 145"/>
                        <wps:cNvSpPr/>
                        <wps:spPr>
                          <a:xfrm>
                            <a:off x="4742178" y="2968655"/>
                            <a:ext cx="1270" cy="746125"/>
                          </a:xfrm>
                          <a:custGeom>
                            <a:avLst/>
                            <a:gdLst/>
                            <a:ahLst/>
                            <a:cxnLst/>
                            <a:rect l="l" t="t" r="r" b="b"/>
                            <a:pathLst>
                              <a:path w="0" h="746125">
                                <a:moveTo>
                                  <a:pt x="0" y="745794"/>
                                </a:moveTo>
                                <a:lnTo>
                                  <a:pt x="0" y="0"/>
                                </a:lnTo>
                              </a:path>
                            </a:pathLst>
                          </a:custGeom>
                          <a:ln w="12700">
                            <a:solidFill>
                              <a:srgbClr val="000000"/>
                            </a:solidFill>
                            <a:prstDash val="solid"/>
                          </a:ln>
                        </wps:spPr>
                        <wps:bodyPr wrap="square" lIns="0" tIns="0" rIns="0" bIns="0" rtlCol="0">
                          <a:prstTxWarp prst="textNoShape">
                            <a:avLst/>
                          </a:prstTxWarp>
                          <a:noAutofit/>
                        </wps:bodyPr>
                      </wps:wsp>
                      <wps:wsp>
                        <wps:cNvPr id="146" name="Graphic 146"/>
                        <wps:cNvSpPr/>
                        <wps:spPr>
                          <a:xfrm>
                            <a:off x="14947" y="6420354"/>
                            <a:ext cx="6952615" cy="17145"/>
                          </a:xfrm>
                          <a:custGeom>
                            <a:avLst/>
                            <a:gdLst/>
                            <a:ahLst/>
                            <a:cxnLst/>
                            <a:rect l="l" t="t" r="r" b="b"/>
                            <a:pathLst>
                              <a:path w="6952615" h="17145">
                                <a:moveTo>
                                  <a:pt x="0" y="16791"/>
                                </a:moveTo>
                                <a:lnTo>
                                  <a:pt x="6952373" y="0"/>
                                </a:lnTo>
                              </a:path>
                            </a:pathLst>
                          </a:custGeom>
                          <a:ln w="12700">
                            <a:solidFill>
                              <a:srgbClr val="000000"/>
                            </a:solidFill>
                            <a:prstDash val="solid"/>
                          </a:ln>
                        </wps:spPr>
                        <wps:bodyPr wrap="square" lIns="0" tIns="0" rIns="0" bIns="0" rtlCol="0">
                          <a:prstTxWarp prst="textNoShape">
                            <a:avLst/>
                          </a:prstTxWarp>
                          <a:noAutofit/>
                        </wps:bodyPr>
                      </wps:wsp>
                      <wps:wsp>
                        <wps:cNvPr id="147" name="Graphic 147"/>
                        <wps:cNvSpPr/>
                        <wps:spPr>
                          <a:xfrm>
                            <a:off x="6350" y="6350"/>
                            <a:ext cx="100330" cy="6426200"/>
                          </a:xfrm>
                          <a:custGeom>
                            <a:avLst/>
                            <a:gdLst/>
                            <a:ahLst/>
                            <a:cxnLst/>
                            <a:rect l="l" t="t" r="r" b="b"/>
                            <a:pathLst>
                              <a:path w="100330" h="6426200">
                                <a:moveTo>
                                  <a:pt x="17437" y="6425742"/>
                                </a:moveTo>
                                <a:lnTo>
                                  <a:pt x="0" y="228"/>
                                </a:lnTo>
                                <a:lnTo>
                                  <a:pt x="99707" y="0"/>
                                </a:lnTo>
                              </a:path>
                            </a:pathLst>
                          </a:custGeom>
                          <a:ln w="12700">
                            <a:solidFill>
                              <a:srgbClr val="000000"/>
                            </a:solidFill>
                            <a:prstDash val="solid"/>
                          </a:ln>
                        </wps:spPr>
                        <wps:bodyPr wrap="square" lIns="0" tIns="0" rIns="0" bIns="0" rtlCol="0">
                          <a:prstTxWarp prst="textNoShape">
                            <a:avLst/>
                          </a:prstTxWarp>
                          <a:noAutofit/>
                        </wps:bodyPr>
                      </wps:wsp>
                      <wps:wsp>
                        <wps:cNvPr id="148" name="Graphic 148"/>
                        <wps:cNvSpPr/>
                        <wps:spPr>
                          <a:xfrm>
                            <a:off x="1695002" y="481571"/>
                            <a:ext cx="5272405" cy="12065"/>
                          </a:xfrm>
                          <a:custGeom>
                            <a:avLst/>
                            <a:gdLst/>
                            <a:ahLst/>
                            <a:cxnLst/>
                            <a:rect l="l" t="t" r="r" b="b"/>
                            <a:pathLst>
                              <a:path w="5272405" h="12065">
                                <a:moveTo>
                                  <a:pt x="0" y="0"/>
                                </a:moveTo>
                                <a:lnTo>
                                  <a:pt x="5272318" y="11502"/>
                                </a:lnTo>
                              </a:path>
                            </a:pathLst>
                          </a:custGeom>
                          <a:ln w="12700">
                            <a:solidFill>
                              <a:srgbClr val="000000"/>
                            </a:solidFill>
                            <a:prstDash val="solid"/>
                          </a:ln>
                        </wps:spPr>
                        <wps:bodyPr wrap="square" lIns="0" tIns="0" rIns="0" bIns="0" rtlCol="0">
                          <a:prstTxWarp prst="textNoShape">
                            <a:avLst/>
                          </a:prstTxWarp>
                          <a:noAutofit/>
                        </wps:bodyPr>
                      </wps:wsp>
                      <wps:wsp>
                        <wps:cNvPr id="149" name="Graphic 149"/>
                        <wps:cNvSpPr/>
                        <wps:spPr>
                          <a:xfrm>
                            <a:off x="1695002" y="2964670"/>
                            <a:ext cx="5272405" cy="12700"/>
                          </a:xfrm>
                          <a:custGeom>
                            <a:avLst/>
                            <a:gdLst/>
                            <a:ahLst/>
                            <a:cxnLst/>
                            <a:rect l="l" t="t" r="r" b="b"/>
                            <a:pathLst>
                              <a:path w="5272405" h="12700">
                                <a:moveTo>
                                  <a:pt x="0" y="0"/>
                                </a:moveTo>
                                <a:lnTo>
                                  <a:pt x="5272318" y="12296"/>
                                </a:lnTo>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6.667999pt;margin-top:-49.151878pt;width:549.15pt;height:517.6pt;mso-position-horizontal-relative:page;mso-position-vertical-relative:paragraph;z-index:-30704128" id="docshapegroup98" coordorigin="933,-983" coordsize="10983,10352">
                <v:line style="position:absolute" from="973,-234" to="3396,-234" stroked="true" strokeweight="1pt" strokecolor="#000000">
                  <v:stroke dashstyle="solid"/>
                </v:line>
                <v:line style="position:absolute" from="973,604" to="3396,604" stroked="true" strokeweight=".25pt" strokecolor="#21409a">
                  <v:stroke dashstyle="solid"/>
                </v:line>
                <v:line style="position:absolute" from="957,3686" to="3444,3686" stroked="true" strokeweight="1pt" strokecolor="#000000">
                  <v:stroke dashstyle="solid"/>
                </v:line>
                <v:line style="position:absolute" from="957,4523" to="3444,4523" stroked="true" strokeweight=".25pt" strokecolor="#21409a">
                  <v:stroke dashstyle="solid"/>
                </v:line>
                <v:line style="position:absolute" from="957,6284" to="3444,6284" stroked="true" strokeweight="1pt" strokecolor="#000000">
                  <v:stroke dashstyle="solid"/>
                </v:line>
                <v:line style="position:absolute" from="957,7122" to="3444,7122" stroked="true" strokeweight=".25pt" strokecolor="#21409a">
                  <v:stroke dashstyle="solid"/>
                </v:line>
                <v:line style="position:absolute" from="957,7761" to="3444,7761" stroked="true" strokeweight="1pt" strokecolor="#000000">
                  <v:stroke dashstyle="solid"/>
                </v:line>
                <v:line style="position:absolute" from="957,8598" to="3444,8598" stroked="true" strokeweight=".25pt" strokecolor="#21409a">
                  <v:stroke dashstyle="solid"/>
                </v:line>
                <v:line style="position:absolute" from="4688,3914" to="4688,3692" stroked="true" strokeweight="1pt" strokecolor="#000000">
                  <v:stroke dashstyle="solid"/>
                </v:line>
                <v:line style="position:absolute" from="4688,9369" to="4688,9146" stroked="true" strokeweight="1pt" strokecolor="#000000">
                  <v:stroke dashstyle="solid"/>
                </v:line>
                <v:line style="position:absolute" from="7157,3914" to="7157,3692" stroked="true" strokeweight="1pt" strokecolor="#000000">
                  <v:stroke dashstyle="solid"/>
                </v:line>
                <v:line style="position:absolute" from="7157,9369" to="7157,9146" stroked="true" strokeweight="1pt" strokecolor="#000000">
                  <v:stroke dashstyle="solid"/>
                </v:line>
                <v:line style="position:absolute" from="9598,3939" to="9598,3717" stroked="true" strokeweight="1pt" strokecolor="#000000">
                  <v:stroke dashstyle="solid"/>
                </v:line>
                <v:line style="position:absolute" from="9598,9369" to="9598,9146" stroked="true" strokeweight="1pt" strokecolor="#000000">
                  <v:stroke dashstyle="solid"/>
                </v:line>
                <v:line style="position:absolute" from="5943,4866" to="5943,3692" stroked="true" strokeweight="1pt" strokecolor="#000000">
                  <v:stroke dashstyle="solid"/>
                </v:line>
                <v:line style="position:absolute" from="8401,4866" to="8401,3692" stroked="true" strokeweight="1pt" strokecolor="#000000">
                  <v:stroke dashstyle="solid"/>
                </v:line>
                <v:line style="position:absolute" from="957,9154" to="11906,9128" stroked="true" strokeweight="1pt" strokecolor="#000000">
                  <v:stroke dashstyle="solid"/>
                </v:line>
                <v:shape style="position:absolute;left:943;top:-974;width:158;height:10120" id="docshape99" coordorigin="943,-973" coordsize="158,10120" path="m971,9146l943,-973,1100,-973e" filled="false" stroked="true" strokeweight="1pt" strokecolor="#000000">
                  <v:path arrowok="t"/>
                  <v:stroke dashstyle="solid"/>
                </v:shape>
                <v:line style="position:absolute" from="3603,-225" to="11906,-207" stroked="true" strokeweight="1pt" strokecolor="#000000">
                  <v:stroke dashstyle="solid"/>
                </v:line>
                <v:line style="position:absolute" from="3603,3686" to="11906,3705" stroked="true" strokeweight="1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761408">
                <wp:simplePos x="0" y="0"/>
                <wp:positionH relativeFrom="page">
                  <wp:posOffset>5341340</wp:posOffset>
                </wp:positionH>
                <wp:positionV relativeFrom="paragraph">
                  <wp:posOffset>41094</wp:posOffset>
                </wp:positionV>
                <wp:extent cx="1440180" cy="442595"/>
                <wp:effectExtent l="0" t="0" r="0" b="0"/>
                <wp:wrapNone/>
                <wp:docPr id="150" name="Textbox 150"/>
                <wp:cNvGraphicFramePr>
                  <a:graphicFrameLocks/>
                </wp:cNvGraphicFramePr>
                <a:graphic>
                  <a:graphicData uri="http://schemas.microsoft.com/office/word/2010/wordprocessingShape">
                    <wps:wsp>
                      <wps:cNvPr id="150" name="Textbox 150"/>
                      <wps:cNvSpPr txBox="1"/>
                      <wps:spPr>
                        <a:xfrm>
                          <a:off x="0" y="0"/>
                          <a:ext cx="1440180" cy="442595"/>
                        </a:xfrm>
                        <a:prstGeom prst="rect">
                          <a:avLst/>
                        </a:prstGeom>
                        <a:solidFill>
                          <a:srgbClr val="EBEBEC"/>
                        </a:solidFill>
                      </wps:spPr>
                      <wps:txbx>
                        <w:txbxContent>
                          <w:p>
                            <w:pPr>
                              <w:spacing w:line="256" w:lineRule="auto" w:before="164"/>
                              <w:ind w:left="592" w:right="243" w:hanging="13"/>
                              <w:jc w:val="left"/>
                              <w:rPr>
                                <w:rFonts w:ascii="TT Norms Pro"/>
                                <w:color w:val="000000"/>
                                <w:sz w:val="16"/>
                              </w:rPr>
                            </w:pPr>
                            <w:r>
                              <w:rPr>
                                <w:rFonts w:ascii="TT Norms Pro"/>
                                <w:color w:val="000000"/>
                                <w:sz w:val="16"/>
                              </w:rPr>
                              <w:t>Head</w:t>
                            </w:r>
                            <w:r>
                              <w:rPr>
                                <w:rFonts w:ascii="TT Norms Pro"/>
                                <w:color w:val="000000"/>
                                <w:spacing w:val="-8"/>
                                <w:sz w:val="16"/>
                              </w:rPr>
                              <w:t> </w:t>
                            </w:r>
                            <w:r>
                              <w:rPr>
                                <w:rFonts w:ascii="TT Norms Pro"/>
                                <w:color w:val="000000"/>
                                <w:sz w:val="16"/>
                              </w:rPr>
                              <w:t>of</w:t>
                            </w:r>
                            <w:r>
                              <w:rPr>
                                <w:rFonts w:ascii="TT Norms Pro"/>
                                <w:color w:val="000000"/>
                                <w:spacing w:val="-8"/>
                                <w:sz w:val="16"/>
                              </w:rPr>
                              <w:t> </w:t>
                            </w:r>
                            <w:r>
                              <w:rPr>
                                <w:rFonts w:ascii="TT Norms Pro"/>
                                <w:color w:val="000000"/>
                                <w:sz w:val="16"/>
                              </w:rPr>
                              <w:t>School</w:t>
                            </w:r>
                            <w:r>
                              <w:rPr>
                                <w:rFonts w:ascii="TT Norms Pro"/>
                                <w:color w:val="000000"/>
                                <w:spacing w:val="40"/>
                                <w:sz w:val="16"/>
                              </w:rPr>
                              <w:t> </w:t>
                            </w:r>
                            <w:r>
                              <w:rPr>
                                <w:rFonts w:ascii="TT Norms Pro"/>
                                <w:color w:val="000000"/>
                                <w:sz w:val="16"/>
                              </w:rPr>
                              <w:t>Earth</w:t>
                            </w:r>
                            <w:r>
                              <w:rPr>
                                <w:rFonts w:ascii="TT Norms Pro"/>
                                <w:color w:val="000000"/>
                                <w:spacing w:val="7"/>
                                <w:sz w:val="16"/>
                              </w:rPr>
                              <w:t> </w:t>
                            </w:r>
                            <w:r>
                              <w:rPr>
                                <w:rFonts w:ascii="TT Norms Pro"/>
                                <w:color w:val="000000"/>
                                <w:spacing w:val="-2"/>
                                <w:sz w:val="16"/>
                              </w:rPr>
                              <w:t>Sciences</w:t>
                            </w:r>
                          </w:p>
                        </w:txbxContent>
                      </wps:txbx>
                      <wps:bodyPr wrap="square" lIns="0" tIns="0" rIns="0" bIns="0" rtlCol="0">
                        <a:noAutofit/>
                      </wps:bodyPr>
                    </wps:wsp>
                  </a:graphicData>
                </a:graphic>
              </wp:anchor>
            </w:drawing>
          </mc:Choice>
          <mc:Fallback>
            <w:pict>
              <v:shape style="position:absolute;margin-left:420.578003pt;margin-top:3.23582pt;width:113.4pt;height:34.85pt;mso-position-horizontal-relative:page;mso-position-vertical-relative:paragraph;z-index:15761408" type="#_x0000_t202" id="docshape100" filled="true" fillcolor="#ebebec" stroked="false">
                <v:textbox inset="0,0,0,0">
                  <w:txbxContent>
                    <w:p>
                      <w:pPr>
                        <w:spacing w:line="256" w:lineRule="auto" w:before="164"/>
                        <w:ind w:left="592" w:right="243" w:hanging="13"/>
                        <w:jc w:val="left"/>
                        <w:rPr>
                          <w:rFonts w:ascii="TT Norms Pro"/>
                          <w:color w:val="000000"/>
                          <w:sz w:val="16"/>
                        </w:rPr>
                      </w:pPr>
                      <w:r>
                        <w:rPr>
                          <w:rFonts w:ascii="TT Norms Pro"/>
                          <w:color w:val="000000"/>
                          <w:sz w:val="16"/>
                        </w:rPr>
                        <w:t>Head</w:t>
                      </w:r>
                      <w:r>
                        <w:rPr>
                          <w:rFonts w:ascii="TT Norms Pro"/>
                          <w:color w:val="000000"/>
                          <w:spacing w:val="-8"/>
                          <w:sz w:val="16"/>
                        </w:rPr>
                        <w:t> </w:t>
                      </w:r>
                      <w:r>
                        <w:rPr>
                          <w:rFonts w:ascii="TT Norms Pro"/>
                          <w:color w:val="000000"/>
                          <w:sz w:val="16"/>
                        </w:rPr>
                        <w:t>of</w:t>
                      </w:r>
                      <w:r>
                        <w:rPr>
                          <w:rFonts w:ascii="TT Norms Pro"/>
                          <w:color w:val="000000"/>
                          <w:spacing w:val="-8"/>
                          <w:sz w:val="16"/>
                        </w:rPr>
                        <w:t> </w:t>
                      </w:r>
                      <w:r>
                        <w:rPr>
                          <w:rFonts w:ascii="TT Norms Pro"/>
                          <w:color w:val="000000"/>
                          <w:sz w:val="16"/>
                        </w:rPr>
                        <w:t>School</w:t>
                      </w:r>
                      <w:r>
                        <w:rPr>
                          <w:rFonts w:ascii="TT Norms Pro"/>
                          <w:color w:val="000000"/>
                          <w:spacing w:val="40"/>
                          <w:sz w:val="16"/>
                        </w:rPr>
                        <w:t> </w:t>
                      </w:r>
                      <w:r>
                        <w:rPr>
                          <w:rFonts w:ascii="TT Norms Pro"/>
                          <w:color w:val="000000"/>
                          <w:sz w:val="16"/>
                        </w:rPr>
                        <w:t>Earth</w:t>
                      </w:r>
                      <w:r>
                        <w:rPr>
                          <w:rFonts w:ascii="TT Norms Pro"/>
                          <w:color w:val="000000"/>
                          <w:spacing w:val="7"/>
                          <w:sz w:val="16"/>
                        </w:rPr>
                        <w:t> </w:t>
                      </w:r>
                      <w:r>
                        <w:rPr>
                          <w:rFonts w:ascii="TT Norms Pro"/>
                          <w:color w:val="000000"/>
                          <w:spacing w:val="-2"/>
                          <w:sz w:val="16"/>
                        </w:rPr>
                        <w:t>Sciences</w:t>
                      </w:r>
                    </w:p>
                  </w:txbxContent>
                </v:textbox>
                <v:fill type="solid"/>
                <w10:wrap type="none"/>
              </v:shape>
            </w:pict>
          </mc:Fallback>
        </mc:AlternateContent>
      </w:r>
      <w:r>
        <w:rPr/>
        <mc:AlternateContent>
          <mc:Choice Requires="wps">
            <w:drawing>
              <wp:anchor distT="0" distB="0" distL="0" distR="0" allowOverlap="1" layoutInCell="1" locked="0" behindDoc="0" simplePos="0" relativeHeight="15761920">
                <wp:simplePos x="0" y="0"/>
                <wp:positionH relativeFrom="page">
                  <wp:posOffset>3829342</wp:posOffset>
                </wp:positionH>
                <wp:positionV relativeFrom="paragraph">
                  <wp:posOffset>41094</wp:posOffset>
                </wp:positionV>
                <wp:extent cx="1404620" cy="442595"/>
                <wp:effectExtent l="0" t="0" r="0" b="0"/>
                <wp:wrapNone/>
                <wp:docPr id="151" name="Textbox 151"/>
                <wp:cNvGraphicFramePr>
                  <a:graphicFrameLocks/>
                </wp:cNvGraphicFramePr>
                <a:graphic>
                  <a:graphicData uri="http://schemas.microsoft.com/office/word/2010/wordprocessingShape">
                    <wps:wsp>
                      <wps:cNvPr id="151" name="Textbox 151"/>
                      <wps:cNvSpPr txBox="1"/>
                      <wps:spPr>
                        <a:xfrm>
                          <a:off x="0" y="0"/>
                          <a:ext cx="1404620" cy="442595"/>
                        </a:xfrm>
                        <a:prstGeom prst="rect">
                          <a:avLst/>
                        </a:prstGeom>
                        <a:solidFill>
                          <a:srgbClr val="EBEBEC"/>
                        </a:solidFill>
                      </wps:spPr>
                      <wps:txbx>
                        <w:txbxContent>
                          <w:p>
                            <w:pPr>
                              <w:spacing w:line="256" w:lineRule="auto" w:before="164"/>
                              <w:ind w:left="785" w:right="182" w:hanging="602"/>
                              <w:jc w:val="left"/>
                              <w:rPr>
                                <w:rFonts w:ascii="TT Norms Pro"/>
                                <w:color w:val="000000"/>
                                <w:sz w:val="16"/>
                              </w:rPr>
                            </w:pPr>
                            <w:r>
                              <w:rPr>
                                <w:rFonts w:ascii="TT Norms Pro"/>
                                <w:color w:val="000000"/>
                                <w:sz w:val="16"/>
                              </w:rPr>
                              <w:t>Dean</w:t>
                            </w:r>
                            <w:r>
                              <w:rPr>
                                <w:rFonts w:ascii="TT Norms Pro"/>
                                <w:color w:val="000000"/>
                                <w:spacing w:val="-2"/>
                                <w:sz w:val="16"/>
                              </w:rPr>
                              <w:t> </w:t>
                            </w:r>
                            <w:r>
                              <w:rPr>
                                <w:rFonts w:ascii="TT Norms Pro"/>
                                <w:color w:val="000000"/>
                                <w:sz w:val="16"/>
                              </w:rPr>
                              <w:t>and</w:t>
                            </w:r>
                            <w:r>
                              <w:rPr>
                                <w:rFonts w:ascii="TT Norms Pro"/>
                                <w:color w:val="000000"/>
                                <w:spacing w:val="-2"/>
                                <w:sz w:val="16"/>
                              </w:rPr>
                              <w:t> </w:t>
                            </w:r>
                            <w:r>
                              <w:rPr>
                                <w:rFonts w:ascii="TT Norms Pro"/>
                                <w:color w:val="000000"/>
                                <w:sz w:val="16"/>
                              </w:rPr>
                              <w:t>Head</w:t>
                            </w:r>
                            <w:r>
                              <w:rPr>
                                <w:rFonts w:ascii="TT Norms Pro"/>
                                <w:color w:val="000000"/>
                                <w:spacing w:val="-2"/>
                                <w:sz w:val="16"/>
                              </w:rPr>
                              <w:t> </w:t>
                            </w:r>
                            <w:r>
                              <w:rPr>
                                <w:rFonts w:ascii="TT Norms Pro"/>
                                <w:color w:val="000000"/>
                                <w:sz w:val="16"/>
                              </w:rPr>
                              <w:t>of</w:t>
                            </w:r>
                            <w:r>
                              <w:rPr>
                                <w:rFonts w:ascii="TT Norms Pro"/>
                                <w:color w:val="000000"/>
                                <w:spacing w:val="-2"/>
                                <w:sz w:val="16"/>
                              </w:rPr>
                              <w:t> </w:t>
                            </w:r>
                            <w:r>
                              <w:rPr>
                                <w:rFonts w:ascii="TT Norms Pro"/>
                                <w:color w:val="000000"/>
                                <w:sz w:val="16"/>
                              </w:rPr>
                              <w:t>School</w:t>
                            </w:r>
                            <w:r>
                              <w:rPr>
                                <w:rFonts w:ascii="TT Norms Pro"/>
                                <w:color w:val="000000"/>
                                <w:spacing w:val="40"/>
                                <w:sz w:val="16"/>
                              </w:rPr>
                              <w:t> </w:t>
                            </w:r>
                            <w:r>
                              <w:rPr>
                                <w:rFonts w:ascii="TT Norms Pro"/>
                                <w:color w:val="000000"/>
                                <w:spacing w:val="-2"/>
                                <w:sz w:val="16"/>
                              </w:rPr>
                              <w:t>Business</w:t>
                            </w:r>
                          </w:p>
                        </w:txbxContent>
                      </wps:txbx>
                      <wps:bodyPr wrap="square" lIns="0" tIns="0" rIns="0" bIns="0" rtlCol="0">
                        <a:noAutofit/>
                      </wps:bodyPr>
                    </wps:wsp>
                  </a:graphicData>
                </a:graphic>
              </wp:anchor>
            </w:drawing>
          </mc:Choice>
          <mc:Fallback>
            <w:pict>
              <v:shape style="position:absolute;margin-left:301.52301pt;margin-top:3.23582pt;width:110.6pt;height:34.85pt;mso-position-horizontal-relative:page;mso-position-vertical-relative:paragraph;z-index:15761920" type="#_x0000_t202" id="docshape101" filled="true" fillcolor="#ebebec" stroked="false">
                <v:textbox inset="0,0,0,0">
                  <w:txbxContent>
                    <w:p>
                      <w:pPr>
                        <w:spacing w:line="256" w:lineRule="auto" w:before="164"/>
                        <w:ind w:left="785" w:right="182" w:hanging="602"/>
                        <w:jc w:val="left"/>
                        <w:rPr>
                          <w:rFonts w:ascii="TT Norms Pro"/>
                          <w:color w:val="000000"/>
                          <w:sz w:val="16"/>
                        </w:rPr>
                      </w:pPr>
                      <w:r>
                        <w:rPr>
                          <w:rFonts w:ascii="TT Norms Pro"/>
                          <w:color w:val="000000"/>
                          <w:sz w:val="16"/>
                        </w:rPr>
                        <w:t>Dean</w:t>
                      </w:r>
                      <w:r>
                        <w:rPr>
                          <w:rFonts w:ascii="TT Norms Pro"/>
                          <w:color w:val="000000"/>
                          <w:spacing w:val="-2"/>
                          <w:sz w:val="16"/>
                        </w:rPr>
                        <w:t> </w:t>
                      </w:r>
                      <w:r>
                        <w:rPr>
                          <w:rFonts w:ascii="TT Norms Pro"/>
                          <w:color w:val="000000"/>
                          <w:sz w:val="16"/>
                        </w:rPr>
                        <w:t>and</w:t>
                      </w:r>
                      <w:r>
                        <w:rPr>
                          <w:rFonts w:ascii="TT Norms Pro"/>
                          <w:color w:val="000000"/>
                          <w:spacing w:val="-2"/>
                          <w:sz w:val="16"/>
                        </w:rPr>
                        <w:t> </w:t>
                      </w:r>
                      <w:r>
                        <w:rPr>
                          <w:rFonts w:ascii="TT Norms Pro"/>
                          <w:color w:val="000000"/>
                          <w:sz w:val="16"/>
                        </w:rPr>
                        <w:t>Head</w:t>
                      </w:r>
                      <w:r>
                        <w:rPr>
                          <w:rFonts w:ascii="TT Norms Pro"/>
                          <w:color w:val="000000"/>
                          <w:spacing w:val="-2"/>
                          <w:sz w:val="16"/>
                        </w:rPr>
                        <w:t> </w:t>
                      </w:r>
                      <w:r>
                        <w:rPr>
                          <w:rFonts w:ascii="TT Norms Pro"/>
                          <w:color w:val="000000"/>
                          <w:sz w:val="16"/>
                        </w:rPr>
                        <w:t>of</w:t>
                      </w:r>
                      <w:r>
                        <w:rPr>
                          <w:rFonts w:ascii="TT Norms Pro"/>
                          <w:color w:val="000000"/>
                          <w:spacing w:val="-2"/>
                          <w:sz w:val="16"/>
                        </w:rPr>
                        <w:t> </w:t>
                      </w:r>
                      <w:r>
                        <w:rPr>
                          <w:rFonts w:ascii="TT Norms Pro"/>
                          <w:color w:val="000000"/>
                          <w:sz w:val="16"/>
                        </w:rPr>
                        <w:t>School</w:t>
                      </w:r>
                      <w:r>
                        <w:rPr>
                          <w:rFonts w:ascii="TT Norms Pro"/>
                          <w:color w:val="000000"/>
                          <w:spacing w:val="40"/>
                          <w:sz w:val="16"/>
                        </w:rPr>
                        <w:t> </w:t>
                      </w:r>
                      <w:r>
                        <w:rPr>
                          <w:rFonts w:ascii="TT Norms Pro"/>
                          <w:color w:val="000000"/>
                          <w:spacing w:val="-2"/>
                          <w:sz w:val="16"/>
                        </w:rPr>
                        <w:t>Business</w:t>
                      </w:r>
                    </w:p>
                  </w:txbxContent>
                </v:textbox>
                <v:fill type="solid"/>
                <w10:wrap type="none"/>
              </v:shape>
            </w:pict>
          </mc:Fallback>
        </mc:AlternateContent>
      </w:r>
      <w:r>
        <w:rPr/>
        <mc:AlternateContent>
          <mc:Choice Requires="wps">
            <w:drawing>
              <wp:anchor distT="0" distB="0" distL="0" distR="0" allowOverlap="1" layoutInCell="1" locked="0" behindDoc="0" simplePos="0" relativeHeight="15762432">
                <wp:simplePos x="0" y="0"/>
                <wp:positionH relativeFrom="page">
                  <wp:posOffset>2281339</wp:posOffset>
                </wp:positionH>
                <wp:positionV relativeFrom="paragraph">
                  <wp:posOffset>41094</wp:posOffset>
                </wp:positionV>
                <wp:extent cx="1440180" cy="442595"/>
                <wp:effectExtent l="0" t="0" r="0" b="0"/>
                <wp:wrapNone/>
                <wp:docPr id="152" name="Textbox 152"/>
                <wp:cNvGraphicFramePr>
                  <a:graphicFrameLocks/>
                </wp:cNvGraphicFramePr>
                <a:graphic>
                  <a:graphicData uri="http://schemas.microsoft.com/office/word/2010/wordprocessingShape">
                    <wps:wsp>
                      <wps:cNvPr id="152" name="Textbox 152"/>
                      <wps:cNvSpPr txBox="1"/>
                      <wps:spPr>
                        <a:xfrm>
                          <a:off x="0" y="0"/>
                          <a:ext cx="1440180" cy="442595"/>
                        </a:xfrm>
                        <a:prstGeom prst="rect">
                          <a:avLst/>
                        </a:prstGeom>
                        <a:solidFill>
                          <a:srgbClr val="EBEBEC"/>
                        </a:solidFill>
                      </wps:spPr>
                      <wps:txbx>
                        <w:txbxContent>
                          <w:p>
                            <w:pPr>
                              <w:spacing w:line="256" w:lineRule="auto" w:before="164"/>
                              <w:ind w:left="83" w:right="0" w:firstLine="496"/>
                              <w:jc w:val="left"/>
                              <w:rPr>
                                <w:rFonts w:ascii="TT Norms Pro"/>
                                <w:color w:val="000000"/>
                                <w:sz w:val="16"/>
                              </w:rPr>
                            </w:pPr>
                            <w:r>
                              <w:rPr>
                                <w:rFonts w:ascii="TT Norms Pro"/>
                                <w:color w:val="000000"/>
                                <w:sz w:val="16"/>
                              </w:rPr>
                              <w:t>Head of School</w:t>
                            </w:r>
                            <w:r>
                              <w:rPr>
                                <w:rFonts w:ascii="TT Norms Pro"/>
                                <w:color w:val="000000"/>
                                <w:spacing w:val="40"/>
                                <w:sz w:val="16"/>
                              </w:rPr>
                              <w:t> </w:t>
                            </w:r>
                            <w:r>
                              <w:rPr>
                                <w:rFonts w:ascii="TT Norms Pro"/>
                                <w:color w:val="000000"/>
                                <w:sz w:val="16"/>
                              </w:rPr>
                              <w:t>Agriculture</w:t>
                            </w:r>
                            <w:r>
                              <w:rPr>
                                <w:rFonts w:ascii="TT Norms Pro"/>
                                <w:color w:val="000000"/>
                                <w:spacing w:val="-5"/>
                                <w:sz w:val="16"/>
                              </w:rPr>
                              <w:t> </w:t>
                            </w:r>
                            <w:r>
                              <w:rPr>
                                <w:rFonts w:ascii="TT Norms Pro"/>
                                <w:color w:val="000000"/>
                                <w:sz w:val="16"/>
                              </w:rPr>
                              <w:t>and</w:t>
                            </w:r>
                            <w:r>
                              <w:rPr>
                                <w:rFonts w:ascii="TT Norms Pro"/>
                                <w:color w:val="000000"/>
                                <w:spacing w:val="-5"/>
                                <w:sz w:val="16"/>
                              </w:rPr>
                              <w:t> </w:t>
                            </w:r>
                            <w:r>
                              <w:rPr>
                                <w:rFonts w:ascii="TT Norms Pro"/>
                                <w:color w:val="000000"/>
                                <w:sz w:val="16"/>
                              </w:rPr>
                              <w:t>Environment</w:t>
                            </w:r>
                          </w:p>
                        </w:txbxContent>
                      </wps:txbx>
                      <wps:bodyPr wrap="square" lIns="0" tIns="0" rIns="0" bIns="0" rtlCol="0">
                        <a:noAutofit/>
                      </wps:bodyPr>
                    </wps:wsp>
                  </a:graphicData>
                </a:graphic>
              </wp:anchor>
            </w:drawing>
          </mc:Choice>
          <mc:Fallback>
            <w:pict>
              <v:shape style="position:absolute;margin-left:179.632996pt;margin-top:3.23582pt;width:113.4pt;height:34.85pt;mso-position-horizontal-relative:page;mso-position-vertical-relative:paragraph;z-index:15762432" type="#_x0000_t202" id="docshape102" filled="true" fillcolor="#ebebec" stroked="false">
                <v:textbox inset="0,0,0,0">
                  <w:txbxContent>
                    <w:p>
                      <w:pPr>
                        <w:spacing w:line="256" w:lineRule="auto" w:before="164"/>
                        <w:ind w:left="83" w:right="0" w:firstLine="496"/>
                        <w:jc w:val="left"/>
                        <w:rPr>
                          <w:rFonts w:ascii="TT Norms Pro"/>
                          <w:color w:val="000000"/>
                          <w:sz w:val="16"/>
                        </w:rPr>
                      </w:pPr>
                      <w:r>
                        <w:rPr>
                          <w:rFonts w:ascii="TT Norms Pro"/>
                          <w:color w:val="000000"/>
                          <w:sz w:val="16"/>
                        </w:rPr>
                        <w:t>Head of School</w:t>
                      </w:r>
                      <w:r>
                        <w:rPr>
                          <w:rFonts w:ascii="TT Norms Pro"/>
                          <w:color w:val="000000"/>
                          <w:spacing w:val="40"/>
                          <w:sz w:val="16"/>
                        </w:rPr>
                        <w:t> </w:t>
                      </w:r>
                      <w:r>
                        <w:rPr>
                          <w:rFonts w:ascii="TT Norms Pro"/>
                          <w:color w:val="000000"/>
                          <w:sz w:val="16"/>
                        </w:rPr>
                        <w:t>Agriculture</w:t>
                      </w:r>
                      <w:r>
                        <w:rPr>
                          <w:rFonts w:ascii="TT Norms Pro"/>
                          <w:color w:val="000000"/>
                          <w:spacing w:val="-5"/>
                          <w:sz w:val="16"/>
                        </w:rPr>
                        <w:t> </w:t>
                      </w:r>
                      <w:r>
                        <w:rPr>
                          <w:rFonts w:ascii="TT Norms Pro"/>
                          <w:color w:val="000000"/>
                          <w:sz w:val="16"/>
                        </w:rPr>
                        <w:t>and</w:t>
                      </w:r>
                      <w:r>
                        <w:rPr>
                          <w:rFonts w:ascii="TT Norms Pro"/>
                          <w:color w:val="000000"/>
                          <w:spacing w:val="-5"/>
                          <w:sz w:val="16"/>
                        </w:rPr>
                        <w:t> </w:t>
                      </w:r>
                      <w:r>
                        <w:rPr>
                          <w:rFonts w:ascii="TT Norms Pro"/>
                          <w:color w:val="000000"/>
                          <w:sz w:val="16"/>
                        </w:rPr>
                        <w:t>Environment</w:t>
                      </w:r>
                    </w:p>
                  </w:txbxContent>
                </v:textbox>
                <v:fill type="solid"/>
                <w10:wrap type="none"/>
              </v:shape>
            </w:pict>
          </mc:Fallback>
        </mc:AlternateContent>
      </w:r>
      <w:r>
        <w:rPr>
          <w:b w:val="0"/>
        </w:rPr>
        <w:t>Senior</w:t>
      </w:r>
      <w:r>
        <w:rPr>
          <w:b w:val="0"/>
          <w:spacing w:val="-5"/>
        </w:rPr>
        <w:t> </w:t>
      </w:r>
      <w:r>
        <w:rPr>
          <w:b w:val="0"/>
        </w:rPr>
        <w:t>Deputy</w:t>
      </w:r>
      <w:r>
        <w:rPr>
          <w:b w:val="0"/>
          <w:spacing w:val="40"/>
        </w:rPr>
        <w:t> </w:t>
      </w:r>
      <w:r>
        <w:rPr>
          <w:b w:val="0"/>
          <w:spacing w:val="-2"/>
        </w:rPr>
        <w:t>Vice-Chancellor</w:t>
      </w:r>
    </w:p>
    <w:p>
      <w:pPr>
        <w:pStyle w:val="BodyText"/>
        <w:spacing w:before="186"/>
        <w:rPr>
          <w:b w:val="0"/>
          <w:sz w:val="20"/>
        </w:rPr>
      </w:pPr>
      <w:r>
        <w:rPr/>
        <mc:AlternateContent>
          <mc:Choice Requires="wps">
            <w:drawing>
              <wp:anchor distT="0" distB="0" distL="0" distR="0" allowOverlap="1" layoutInCell="1" locked="0" behindDoc="1" simplePos="0" relativeHeight="487610368">
                <wp:simplePos x="0" y="0"/>
                <wp:positionH relativeFrom="page">
                  <wp:posOffset>2281339</wp:posOffset>
                </wp:positionH>
                <wp:positionV relativeFrom="paragraph">
                  <wp:posOffset>284249</wp:posOffset>
                </wp:positionV>
                <wp:extent cx="1440180" cy="442595"/>
                <wp:effectExtent l="0" t="0" r="0" b="0"/>
                <wp:wrapTopAndBottom/>
                <wp:docPr id="153" name="Textbox 153"/>
                <wp:cNvGraphicFramePr>
                  <a:graphicFrameLocks/>
                </wp:cNvGraphicFramePr>
                <a:graphic>
                  <a:graphicData uri="http://schemas.microsoft.com/office/word/2010/wordprocessingShape">
                    <wps:wsp>
                      <wps:cNvPr id="153" name="Textbox 153"/>
                      <wps:cNvSpPr txBox="1"/>
                      <wps:spPr>
                        <a:xfrm>
                          <a:off x="0" y="0"/>
                          <a:ext cx="1440180" cy="442595"/>
                        </a:xfrm>
                        <a:prstGeom prst="rect">
                          <a:avLst/>
                        </a:prstGeom>
                        <a:solidFill>
                          <a:srgbClr val="EBEBEC"/>
                        </a:solidFill>
                      </wps:spPr>
                      <wps:txbx>
                        <w:txbxContent>
                          <w:p>
                            <w:pPr>
                              <w:spacing w:line="256" w:lineRule="auto" w:before="164"/>
                              <w:ind w:left="663" w:right="243" w:hanging="85"/>
                              <w:jc w:val="left"/>
                              <w:rPr>
                                <w:rFonts w:ascii="TT Norms Pro"/>
                                <w:color w:val="000000"/>
                                <w:sz w:val="16"/>
                              </w:rPr>
                            </w:pPr>
                            <w:r>
                              <w:rPr>
                                <w:rFonts w:ascii="TT Norms Pro"/>
                                <w:color w:val="000000"/>
                                <w:sz w:val="16"/>
                              </w:rPr>
                              <w:t>Head</w:t>
                            </w:r>
                            <w:r>
                              <w:rPr>
                                <w:rFonts w:ascii="TT Norms Pro"/>
                                <w:color w:val="000000"/>
                                <w:spacing w:val="-8"/>
                                <w:sz w:val="16"/>
                              </w:rPr>
                              <w:t> </w:t>
                            </w:r>
                            <w:r>
                              <w:rPr>
                                <w:rFonts w:ascii="TT Norms Pro"/>
                                <w:color w:val="000000"/>
                                <w:sz w:val="16"/>
                              </w:rPr>
                              <w:t>of</w:t>
                            </w:r>
                            <w:r>
                              <w:rPr>
                                <w:rFonts w:ascii="TT Norms Pro"/>
                                <w:color w:val="000000"/>
                                <w:spacing w:val="-8"/>
                                <w:sz w:val="16"/>
                              </w:rPr>
                              <w:t> </w:t>
                            </w:r>
                            <w:r>
                              <w:rPr>
                                <w:rFonts w:ascii="TT Norms Pro"/>
                                <w:color w:val="000000"/>
                                <w:sz w:val="16"/>
                              </w:rPr>
                              <w:t>School</w:t>
                            </w:r>
                            <w:r>
                              <w:rPr>
                                <w:rFonts w:ascii="TT Norms Pro"/>
                                <w:color w:val="000000"/>
                                <w:spacing w:val="40"/>
                                <w:sz w:val="16"/>
                              </w:rPr>
                              <w:t> </w:t>
                            </w:r>
                            <w:r>
                              <w:rPr>
                                <w:rFonts w:ascii="TT Norms Pro"/>
                                <w:color w:val="000000"/>
                                <w:sz w:val="16"/>
                              </w:rPr>
                              <w:t>Allied</w:t>
                            </w:r>
                            <w:r>
                              <w:rPr>
                                <w:rFonts w:ascii="TT Norms Pro"/>
                                <w:color w:val="000000"/>
                                <w:spacing w:val="-7"/>
                                <w:sz w:val="16"/>
                              </w:rPr>
                              <w:t> </w:t>
                            </w:r>
                            <w:r>
                              <w:rPr>
                                <w:rFonts w:ascii="TT Norms Pro"/>
                                <w:color w:val="000000"/>
                                <w:sz w:val="16"/>
                              </w:rPr>
                              <w:t>Health</w:t>
                            </w:r>
                          </w:p>
                        </w:txbxContent>
                      </wps:txbx>
                      <wps:bodyPr wrap="square" lIns="0" tIns="0" rIns="0" bIns="0" rtlCol="0">
                        <a:noAutofit/>
                      </wps:bodyPr>
                    </wps:wsp>
                  </a:graphicData>
                </a:graphic>
              </wp:anchor>
            </w:drawing>
          </mc:Choice>
          <mc:Fallback>
            <w:pict>
              <v:shape style="position:absolute;margin-left:179.632996pt;margin-top:22.381821pt;width:113.4pt;height:34.85pt;mso-position-horizontal-relative:page;mso-position-vertical-relative:paragraph;z-index:-15706112;mso-wrap-distance-left:0;mso-wrap-distance-right:0" type="#_x0000_t202" id="docshape103" filled="true" fillcolor="#ebebec" stroked="false">
                <v:textbox inset="0,0,0,0">
                  <w:txbxContent>
                    <w:p>
                      <w:pPr>
                        <w:spacing w:line="256" w:lineRule="auto" w:before="164"/>
                        <w:ind w:left="663" w:right="243" w:hanging="85"/>
                        <w:jc w:val="left"/>
                        <w:rPr>
                          <w:rFonts w:ascii="TT Norms Pro"/>
                          <w:color w:val="000000"/>
                          <w:sz w:val="16"/>
                        </w:rPr>
                      </w:pPr>
                      <w:r>
                        <w:rPr>
                          <w:rFonts w:ascii="TT Norms Pro"/>
                          <w:color w:val="000000"/>
                          <w:sz w:val="16"/>
                        </w:rPr>
                        <w:t>Head</w:t>
                      </w:r>
                      <w:r>
                        <w:rPr>
                          <w:rFonts w:ascii="TT Norms Pro"/>
                          <w:color w:val="000000"/>
                          <w:spacing w:val="-8"/>
                          <w:sz w:val="16"/>
                        </w:rPr>
                        <w:t> </w:t>
                      </w:r>
                      <w:r>
                        <w:rPr>
                          <w:rFonts w:ascii="TT Norms Pro"/>
                          <w:color w:val="000000"/>
                          <w:sz w:val="16"/>
                        </w:rPr>
                        <w:t>of</w:t>
                      </w:r>
                      <w:r>
                        <w:rPr>
                          <w:rFonts w:ascii="TT Norms Pro"/>
                          <w:color w:val="000000"/>
                          <w:spacing w:val="-8"/>
                          <w:sz w:val="16"/>
                        </w:rPr>
                        <w:t> </w:t>
                      </w:r>
                      <w:r>
                        <w:rPr>
                          <w:rFonts w:ascii="TT Norms Pro"/>
                          <w:color w:val="000000"/>
                          <w:sz w:val="16"/>
                        </w:rPr>
                        <w:t>School</w:t>
                      </w:r>
                      <w:r>
                        <w:rPr>
                          <w:rFonts w:ascii="TT Norms Pro"/>
                          <w:color w:val="000000"/>
                          <w:spacing w:val="40"/>
                          <w:sz w:val="16"/>
                        </w:rPr>
                        <w:t> </w:t>
                      </w:r>
                      <w:r>
                        <w:rPr>
                          <w:rFonts w:ascii="TT Norms Pro"/>
                          <w:color w:val="000000"/>
                          <w:sz w:val="16"/>
                        </w:rPr>
                        <w:t>Allied</w:t>
                      </w:r>
                      <w:r>
                        <w:rPr>
                          <w:rFonts w:ascii="TT Norms Pro"/>
                          <w:color w:val="000000"/>
                          <w:spacing w:val="-7"/>
                          <w:sz w:val="16"/>
                        </w:rPr>
                        <w:t> </w:t>
                      </w:r>
                      <w:r>
                        <w:rPr>
                          <w:rFonts w:ascii="TT Norms Pro"/>
                          <w:color w:val="000000"/>
                          <w:sz w:val="16"/>
                        </w:rPr>
                        <w:t>Health</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610880">
                <wp:simplePos x="0" y="0"/>
                <wp:positionH relativeFrom="page">
                  <wp:posOffset>3829342</wp:posOffset>
                </wp:positionH>
                <wp:positionV relativeFrom="paragraph">
                  <wp:posOffset>282941</wp:posOffset>
                </wp:positionV>
                <wp:extent cx="1404620" cy="442595"/>
                <wp:effectExtent l="0" t="0" r="0" b="0"/>
                <wp:wrapTopAndBottom/>
                <wp:docPr id="154" name="Textbox 154"/>
                <wp:cNvGraphicFramePr>
                  <a:graphicFrameLocks/>
                </wp:cNvGraphicFramePr>
                <a:graphic>
                  <a:graphicData uri="http://schemas.microsoft.com/office/word/2010/wordprocessingShape">
                    <wps:wsp>
                      <wps:cNvPr id="154" name="Textbox 154"/>
                      <wps:cNvSpPr txBox="1"/>
                      <wps:spPr>
                        <a:xfrm>
                          <a:off x="0" y="0"/>
                          <a:ext cx="1404620" cy="442595"/>
                        </a:xfrm>
                        <a:prstGeom prst="rect">
                          <a:avLst/>
                        </a:prstGeom>
                        <a:solidFill>
                          <a:srgbClr val="EBEBEC"/>
                        </a:solidFill>
                      </wps:spPr>
                      <wps:txbx>
                        <w:txbxContent>
                          <w:p>
                            <w:pPr>
                              <w:spacing w:line="256" w:lineRule="auto" w:before="164"/>
                              <w:ind w:left="190" w:right="182" w:firstLine="360"/>
                              <w:jc w:val="left"/>
                              <w:rPr>
                                <w:rFonts w:ascii="TT Norms Pro"/>
                                <w:color w:val="000000"/>
                                <w:sz w:val="16"/>
                              </w:rPr>
                            </w:pPr>
                            <w:r>
                              <w:rPr>
                                <w:rFonts w:ascii="TT Norms Pro"/>
                                <w:color w:val="000000"/>
                                <w:sz w:val="16"/>
                              </w:rPr>
                              <w:t>Head of School</w:t>
                            </w:r>
                            <w:r>
                              <w:rPr>
                                <w:rFonts w:ascii="TT Norms Pro"/>
                                <w:color w:val="000000"/>
                                <w:spacing w:val="40"/>
                                <w:sz w:val="16"/>
                              </w:rPr>
                              <w:t> </w:t>
                            </w:r>
                            <w:r>
                              <w:rPr>
                                <w:rFonts w:ascii="TT Norms Pro"/>
                                <w:color w:val="000000"/>
                                <w:sz w:val="16"/>
                              </w:rPr>
                              <w:t>Conservatorium</w:t>
                            </w:r>
                            <w:r>
                              <w:rPr>
                                <w:rFonts w:ascii="TT Norms Pro"/>
                                <w:color w:val="000000"/>
                                <w:spacing w:val="-1"/>
                                <w:sz w:val="16"/>
                              </w:rPr>
                              <w:t> </w:t>
                            </w:r>
                            <w:r>
                              <w:rPr>
                                <w:rFonts w:ascii="TT Norms Pro"/>
                                <w:color w:val="000000"/>
                                <w:sz w:val="16"/>
                              </w:rPr>
                              <w:t>of</w:t>
                            </w:r>
                            <w:r>
                              <w:rPr>
                                <w:rFonts w:ascii="TT Norms Pro"/>
                                <w:color w:val="000000"/>
                                <w:spacing w:val="-2"/>
                                <w:sz w:val="16"/>
                              </w:rPr>
                              <w:t> </w:t>
                            </w:r>
                            <w:r>
                              <w:rPr>
                                <w:rFonts w:ascii="TT Norms Pro"/>
                                <w:color w:val="000000"/>
                                <w:sz w:val="16"/>
                              </w:rPr>
                              <w:t>Music</w:t>
                            </w:r>
                          </w:p>
                        </w:txbxContent>
                      </wps:txbx>
                      <wps:bodyPr wrap="square" lIns="0" tIns="0" rIns="0" bIns="0" rtlCol="0">
                        <a:noAutofit/>
                      </wps:bodyPr>
                    </wps:wsp>
                  </a:graphicData>
                </a:graphic>
              </wp:anchor>
            </w:drawing>
          </mc:Choice>
          <mc:Fallback>
            <w:pict>
              <v:shape style="position:absolute;margin-left:301.52301pt;margin-top:22.27882pt;width:110.6pt;height:34.85pt;mso-position-horizontal-relative:page;mso-position-vertical-relative:paragraph;z-index:-15705600;mso-wrap-distance-left:0;mso-wrap-distance-right:0" type="#_x0000_t202" id="docshape104" filled="true" fillcolor="#ebebec" stroked="false">
                <v:textbox inset="0,0,0,0">
                  <w:txbxContent>
                    <w:p>
                      <w:pPr>
                        <w:spacing w:line="256" w:lineRule="auto" w:before="164"/>
                        <w:ind w:left="190" w:right="182" w:firstLine="360"/>
                        <w:jc w:val="left"/>
                        <w:rPr>
                          <w:rFonts w:ascii="TT Norms Pro"/>
                          <w:color w:val="000000"/>
                          <w:sz w:val="16"/>
                        </w:rPr>
                      </w:pPr>
                      <w:r>
                        <w:rPr>
                          <w:rFonts w:ascii="TT Norms Pro"/>
                          <w:color w:val="000000"/>
                          <w:sz w:val="16"/>
                        </w:rPr>
                        <w:t>Head of School</w:t>
                      </w:r>
                      <w:r>
                        <w:rPr>
                          <w:rFonts w:ascii="TT Norms Pro"/>
                          <w:color w:val="000000"/>
                          <w:spacing w:val="40"/>
                          <w:sz w:val="16"/>
                        </w:rPr>
                        <w:t> </w:t>
                      </w:r>
                      <w:r>
                        <w:rPr>
                          <w:rFonts w:ascii="TT Norms Pro"/>
                          <w:color w:val="000000"/>
                          <w:sz w:val="16"/>
                        </w:rPr>
                        <w:t>Conservatorium</w:t>
                      </w:r>
                      <w:r>
                        <w:rPr>
                          <w:rFonts w:ascii="TT Norms Pro"/>
                          <w:color w:val="000000"/>
                          <w:spacing w:val="-1"/>
                          <w:sz w:val="16"/>
                        </w:rPr>
                        <w:t> </w:t>
                      </w:r>
                      <w:r>
                        <w:rPr>
                          <w:rFonts w:ascii="TT Norms Pro"/>
                          <w:color w:val="000000"/>
                          <w:sz w:val="16"/>
                        </w:rPr>
                        <w:t>of</w:t>
                      </w:r>
                      <w:r>
                        <w:rPr>
                          <w:rFonts w:ascii="TT Norms Pro"/>
                          <w:color w:val="000000"/>
                          <w:spacing w:val="-2"/>
                          <w:sz w:val="16"/>
                        </w:rPr>
                        <w:t> </w:t>
                      </w:r>
                      <w:r>
                        <w:rPr>
                          <w:rFonts w:ascii="TT Norms Pro"/>
                          <w:color w:val="000000"/>
                          <w:sz w:val="16"/>
                        </w:rPr>
                        <w:t>Music</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611392">
                <wp:simplePos x="0" y="0"/>
                <wp:positionH relativeFrom="page">
                  <wp:posOffset>5341340</wp:posOffset>
                </wp:positionH>
                <wp:positionV relativeFrom="paragraph">
                  <wp:posOffset>282331</wp:posOffset>
                </wp:positionV>
                <wp:extent cx="1440180" cy="442595"/>
                <wp:effectExtent l="0" t="0" r="0" b="0"/>
                <wp:wrapTopAndBottom/>
                <wp:docPr id="155" name="Textbox 155"/>
                <wp:cNvGraphicFramePr>
                  <a:graphicFrameLocks/>
                </wp:cNvGraphicFramePr>
                <a:graphic>
                  <a:graphicData uri="http://schemas.microsoft.com/office/word/2010/wordprocessingShape">
                    <wps:wsp>
                      <wps:cNvPr id="155" name="Textbox 155"/>
                      <wps:cNvSpPr txBox="1"/>
                      <wps:spPr>
                        <a:xfrm>
                          <a:off x="0" y="0"/>
                          <a:ext cx="1440180" cy="442595"/>
                        </a:xfrm>
                        <a:prstGeom prst="rect">
                          <a:avLst/>
                        </a:prstGeom>
                        <a:solidFill>
                          <a:srgbClr val="EBEBEC"/>
                        </a:solidFill>
                      </wps:spPr>
                      <wps:txbx>
                        <w:txbxContent>
                          <w:p>
                            <w:pPr>
                              <w:spacing w:line="256" w:lineRule="auto" w:before="164"/>
                              <w:ind w:left="687" w:right="0" w:hanging="475"/>
                              <w:jc w:val="left"/>
                              <w:rPr>
                                <w:rFonts w:ascii="TT Norms Pro"/>
                                <w:color w:val="000000"/>
                                <w:sz w:val="16"/>
                              </w:rPr>
                            </w:pPr>
                            <w:r>
                              <w:rPr>
                                <w:rFonts w:ascii="TT Norms Pro"/>
                                <w:color w:val="000000"/>
                                <w:sz w:val="16"/>
                              </w:rPr>
                              <w:t>Dean</w:t>
                            </w:r>
                            <w:r>
                              <w:rPr>
                                <w:rFonts w:ascii="TT Norms Pro"/>
                                <w:color w:val="000000"/>
                                <w:spacing w:val="-2"/>
                                <w:sz w:val="16"/>
                              </w:rPr>
                              <w:t> </w:t>
                            </w:r>
                            <w:r>
                              <w:rPr>
                                <w:rFonts w:ascii="TT Norms Pro"/>
                                <w:color w:val="000000"/>
                                <w:sz w:val="16"/>
                              </w:rPr>
                              <w:t>and</w:t>
                            </w:r>
                            <w:r>
                              <w:rPr>
                                <w:rFonts w:ascii="TT Norms Pro"/>
                                <w:color w:val="000000"/>
                                <w:spacing w:val="-2"/>
                                <w:sz w:val="16"/>
                              </w:rPr>
                              <w:t> </w:t>
                            </w:r>
                            <w:r>
                              <w:rPr>
                                <w:rFonts w:ascii="TT Norms Pro"/>
                                <w:color w:val="000000"/>
                                <w:sz w:val="16"/>
                              </w:rPr>
                              <w:t>Head</w:t>
                            </w:r>
                            <w:r>
                              <w:rPr>
                                <w:rFonts w:ascii="TT Norms Pro"/>
                                <w:color w:val="000000"/>
                                <w:spacing w:val="-2"/>
                                <w:sz w:val="16"/>
                              </w:rPr>
                              <w:t> </w:t>
                            </w:r>
                            <w:r>
                              <w:rPr>
                                <w:rFonts w:ascii="TT Norms Pro"/>
                                <w:color w:val="000000"/>
                                <w:sz w:val="16"/>
                              </w:rPr>
                              <w:t>of</w:t>
                            </w:r>
                            <w:r>
                              <w:rPr>
                                <w:rFonts w:ascii="TT Norms Pro"/>
                                <w:color w:val="000000"/>
                                <w:spacing w:val="-2"/>
                                <w:sz w:val="16"/>
                              </w:rPr>
                              <w:t> </w:t>
                            </w:r>
                            <w:r>
                              <w:rPr>
                                <w:rFonts w:ascii="TT Norms Pro"/>
                                <w:color w:val="000000"/>
                                <w:sz w:val="16"/>
                              </w:rPr>
                              <w:t>School</w:t>
                            </w:r>
                            <w:r>
                              <w:rPr>
                                <w:rFonts w:ascii="TT Norms Pro"/>
                                <w:color w:val="000000"/>
                                <w:spacing w:val="40"/>
                                <w:sz w:val="16"/>
                              </w:rPr>
                              <w:t> </w:t>
                            </w:r>
                            <w:r>
                              <w:rPr>
                                <w:rFonts w:ascii="TT Norms Pro"/>
                                <w:color w:val="000000"/>
                                <w:spacing w:val="-2"/>
                                <w:sz w:val="16"/>
                              </w:rPr>
                              <w:t>Engineering</w:t>
                            </w:r>
                          </w:p>
                        </w:txbxContent>
                      </wps:txbx>
                      <wps:bodyPr wrap="square" lIns="0" tIns="0" rIns="0" bIns="0" rtlCol="0">
                        <a:noAutofit/>
                      </wps:bodyPr>
                    </wps:wsp>
                  </a:graphicData>
                </a:graphic>
              </wp:anchor>
            </w:drawing>
          </mc:Choice>
          <mc:Fallback>
            <w:pict>
              <v:shape style="position:absolute;margin-left:420.578003pt;margin-top:22.23082pt;width:113.4pt;height:34.85pt;mso-position-horizontal-relative:page;mso-position-vertical-relative:paragraph;z-index:-15705088;mso-wrap-distance-left:0;mso-wrap-distance-right:0" type="#_x0000_t202" id="docshape105" filled="true" fillcolor="#ebebec" stroked="false">
                <v:textbox inset="0,0,0,0">
                  <w:txbxContent>
                    <w:p>
                      <w:pPr>
                        <w:spacing w:line="256" w:lineRule="auto" w:before="164"/>
                        <w:ind w:left="687" w:right="0" w:hanging="475"/>
                        <w:jc w:val="left"/>
                        <w:rPr>
                          <w:rFonts w:ascii="TT Norms Pro"/>
                          <w:color w:val="000000"/>
                          <w:sz w:val="16"/>
                        </w:rPr>
                      </w:pPr>
                      <w:r>
                        <w:rPr>
                          <w:rFonts w:ascii="TT Norms Pro"/>
                          <w:color w:val="000000"/>
                          <w:sz w:val="16"/>
                        </w:rPr>
                        <w:t>Dean</w:t>
                      </w:r>
                      <w:r>
                        <w:rPr>
                          <w:rFonts w:ascii="TT Norms Pro"/>
                          <w:color w:val="000000"/>
                          <w:spacing w:val="-2"/>
                          <w:sz w:val="16"/>
                        </w:rPr>
                        <w:t> </w:t>
                      </w:r>
                      <w:r>
                        <w:rPr>
                          <w:rFonts w:ascii="TT Norms Pro"/>
                          <w:color w:val="000000"/>
                          <w:sz w:val="16"/>
                        </w:rPr>
                        <w:t>and</w:t>
                      </w:r>
                      <w:r>
                        <w:rPr>
                          <w:rFonts w:ascii="TT Norms Pro"/>
                          <w:color w:val="000000"/>
                          <w:spacing w:val="-2"/>
                          <w:sz w:val="16"/>
                        </w:rPr>
                        <w:t> </w:t>
                      </w:r>
                      <w:r>
                        <w:rPr>
                          <w:rFonts w:ascii="TT Norms Pro"/>
                          <w:color w:val="000000"/>
                          <w:sz w:val="16"/>
                        </w:rPr>
                        <w:t>Head</w:t>
                      </w:r>
                      <w:r>
                        <w:rPr>
                          <w:rFonts w:ascii="TT Norms Pro"/>
                          <w:color w:val="000000"/>
                          <w:spacing w:val="-2"/>
                          <w:sz w:val="16"/>
                        </w:rPr>
                        <w:t> </w:t>
                      </w:r>
                      <w:r>
                        <w:rPr>
                          <w:rFonts w:ascii="TT Norms Pro"/>
                          <w:color w:val="000000"/>
                          <w:sz w:val="16"/>
                        </w:rPr>
                        <w:t>of</w:t>
                      </w:r>
                      <w:r>
                        <w:rPr>
                          <w:rFonts w:ascii="TT Norms Pro"/>
                          <w:color w:val="000000"/>
                          <w:spacing w:val="-2"/>
                          <w:sz w:val="16"/>
                        </w:rPr>
                        <w:t> </w:t>
                      </w:r>
                      <w:r>
                        <w:rPr>
                          <w:rFonts w:ascii="TT Norms Pro"/>
                          <w:color w:val="000000"/>
                          <w:sz w:val="16"/>
                        </w:rPr>
                        <w:t>School</w:t>
                      </w:r>
                      <w:r>
                        <w:rPr>
                          <w:rFonts w:ascii="TT Norms Pro"/>
                          <w:color w:val="000000"/>
                          <w:spacing w:val="40"/>
                          <w:sz w:val="16"/>
                        </w:rPr>
                        <w:t> </w:t>
                      </w:r>
                      <w:r>
                        <w:rPr>
                          <w:rFonts w:ascii="TT Norms Pro"/>
                          <w:color w:val="000000"/>
                          <w:spacing w:val="-2"/>
                          <w:sz w:val="16"/>
                        </w:rPr>
                        <w:t>Engineering</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611904">
                <wp:simplePos x="0" y="0"/>
                <wp:positionH relativeFrom="page">
                  <wp:posOffset>2281339</wp:posOffset>
                </wp:positionH>
                <wp:positionV relativeFrom="paragraph">
                  <wp:posOffset>781504</wp:posOffset>
                </wp:positionV>
                <wp:extent cx="1440180" cy="442595"/>
                <wp:effectExtent l="0" t="0" r="0" b="0"/>
                <wp:wrapTopAndBottom/>
                <wp:docPr id="156" name="Textbox 156"/>
                <wp:cNvGraphicFramePr>
                  <a:graphicFrameLocks/>
                </wp:cNvGraphicFramePr>
                <a:graphic>
                  <a:graphicData uri="http://schemas.microsoft.com/office/word/2010/wordprocessingShape">
                    <wps:wsp>
                      <wps:cNvPr id="156" name="Textbox 156"/>
                      <wps:cNvSpPr txBox="1"/>
                      <wps:spPr>
                        <a:xfrm>
                          <a:off x="0" y="0"/>
                          <a:ext cx="1440180" cy="442595"/>
                        </a:xfrm>
                        <a:prstGeom prst="rect">
                          <a:avLst/>
                        </a:prstGeom>
                        <a:solidFill>
                          <a:srgbClr val="EBEBEC"/>
                        </a:solidFill>
                      </wps:spPr>
                      <wps:txbx>
                        <w:txbxContent>
                          <w:p>
                            <w:pPr>
                              <w:spacing w:line="256" w:lineRule="auto" w:before="164"/>
                              <w:ind w:left="432" w:right="0" w:firstLine="146"/>
                              <w:jc w:val="left"/>
                              <w:rPr>
                                <w:rFonts w:ascii="TT Norms Pro"/>
                                <w:color w:val="000000"/>
                                <w:sz w:val="16"/>
                              </w:rPr>
                            </w:pPr>
                            <w:r>
                              <w:rPr>
                                <w:rFonts w:ascii="TT Norms Pro"/>
                                <w:color w:val="000000"/>
                                <w:sz w:val="16"/>
                              </w:rPr>
                              <w:t>Head of School</w:t>
                            </w:r>
                            <w:r>
                              <w:rPr>
                                <w:rFonts w:ascii="TT Norms Pro"/>
                                <w:color w:val="000000"/>
                                <w:spacing w:val="40"/>
                                <w:sz w:val="16"/>
                              </w:rPr>
                              <w:t> </w:t>
                            </w:r>
                            <w:r>
                              <w:rPr>
                                <w:rFonts w:ascii="TT Norms Pro"/>
                                <w:color w:val="000000"/>
                                <w:sz w:val="16"/>
                              </w:rPr>
                              <w:t>Biological</w:t>
                            </w:r>
                            <w:r>
                              <w:rPr>
                                <w:rFonts w:ascii="TT Norms Pro"/>
                                <w:color w:val="000000"/>
                                <w:spacing w:val="-7"/>
                                <w:sz w:val="16"/>
                              </w:rPr>
                              <w:t> </w:t>
                            </w:r>
                            <w:r>
                              <w:rPr>
                                <w:rFonts w:ascii="TT Norms Pro"/>
                                <w:color w:val="000000"/>
                                <w:sz w:val="16"/>
                              </w:rPr>
                              <w:t>Sciences</w:t>
                            </w:r>
                          </w:p>
                        </w:txbxContent>
                      </wps:txbx>
                      <wps:bodyPr wrap="square" lIns="0" tIns="0" rIns="0" bIns="0" rtlCol="0">
                        <a:noAutofit/>
                      </wps:bodyPr>
                    </wps:wsp>
                  </a:graphicData>
                </a:graphic>
              </wp:anchor>
            </w:drawing>
          </mc:Choice>
          <mc:Fallback>
            <w:pict>
              <v:shape style="position:absolute;margin-left:179.632996pt;margin-top:61.53582pt;width:113.4pt;height:34.85pt;mso-position-horizontal-relative:page;mso-position-vertical-relative:paragraph;z-index:-15704576;mso-wrap-distance-left:0;mso-wrap-distance-right:0" type="#_x0000_t202" id="docshape106" filled="true" fillcolor="#ebebec" stroked="false">
                <v:textbox inset="0,0,0,0">
                  <w:txbxContent>
                    <w:p>
                      <w:pPr>
                        <w:spacing w:line="256" w:lineRule="auto" w:before="164"/>
                        <w:ind w:left="432" w:right="0" w:firstLine="146"/>
                        <w:jc w:val="left"/>
                        <w:rPr>
                          <w:rFonts w:ascii="TT Norms Pro"/>
                          <w:color w:val="000000"/>
                          <w:sz w:val="16"/>
                        </w:rPr>
                      </w:pPr>
                      <w:r>
                        <w:rPr>
                          <w:rFonts w:ascii="TT Norms Pro"/>
                          <w:color w:val="000000"/>
                          <w:sz w:val="16"/>
                        </w:rPr>
                        <w:t>Head of School</w:t>
                      </w:r>
                      <w:r>
                        <w:rPr>
                          <w:rFonts w:ascii="TT Norms Pro"/>
                          <w:color w:val="000000"/>
                          <w:spacing w:val="40"/>
                          <w:sz w:val="16"/>
                        </w:rPr>
                        <w:t> </w:t>
                      </w:r>
                      <w:r>
                        <w:rPr>
                          <w:rFonts w:ascii="TT Norms Pro"/>
                          <w:color w:val="000000"/>
                          <w:sz w:val="16"/>
                        </w:rPr>
                        <w:t>Biological</w:t>
                      </w:r>
                      <w:r>
                        <w:rPr>
                          <w:rFonts w:ascii="TT Norms Pro"/>
                          <w:color w:val="000000"/>
                          <w:spacing w:val="-7"/>
                          <w:sz w:val="16"/>
                        </w:rPr>
                        <w:t> </w:t>
                      </w:r>
                      <w:r>
                        <w:rPr>
                          <w:rFonts w:ascii="TT Norms Pro"/>
                          <w:color w:val="000000"/>
                          <w:sz w:val="16"/>
                        </w:rPr>
                        <w:t>Sciences</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612416">
                <wp:simplePos x="0" y="0"/>
                <wp:positionH relativeFrom="page">
                  <wp:posOffset>3829342</wp:posOffset>
                </wp:positionH>
                <wp:positionV relativeFrom="paragraph">
                  <wp:posOffset>778888</wp:posOffset>
                </wp:positionV>
                <wp:extent cx="1404620" cy="442595"/>
                <wp:effectExtent l="0" t="0" r="0" b="0"/>
                <wp:wrapTopAndBottom/>
                <wp:docPr id="157" name="Textbox 157"/>
                <wp:cNvGraphicFramePr>
                  <a:graphicFrameLocks/>
                </wp:cNvGraphicFramePr>
                <a:graphic>
                  <a:graphicData uri="http://schemas.microsoft.com/office/word/2010/wordprocessingShape">
                    <wps:wsp>
                      <wps:cNvPr id="157" name="Textbox 157"/>
                      <wps:cNvSpPr txBox="1"/>
                      <wps:spPr>
                        <a:xfrm>
                          <a:off x="0" y="0"/>
                          <a:ext cx="1404620" cy="442595"/>
                        </a:xfrm>
                        <a:prstGeom prst="rect">
                          <a:avLst/>
                        </a:prstGeom>
                        <a:solidFill>
                          <a:srgbClr val="EBEBEC"/>
                        </a:solidFill>
                      </wps:spPr>
                      <wps:txbx>
                        <w:txbxContent>
                          <w:p>
                            <w:pPr>
                              <w:spacing w:line="256" w:lineRule="auto" w:before="164"/>
                              <w:ind w:left="768" w:right="182" w:hanging="585"/>
                              <w:jc w:val="left"/>
                              <w:rPr>
                                <w:rFonts w:ascii="TT Norms Pro"/>
                                <w:color w:val="000000"/>
                                <w:sz w:val="16"/>
                              </w:rPr>
                            </w:pPr>
                            <w:r>
                              <w:rPr>
                                <w:rFonts w:ascii="TT Norms Pro"/>
                                <w:color w:val="000000"/>
                                <w:sz w:val="16"/>
                              </w:rPr>
                              <w:t>Dean</w:t>
                            </w:r>
                            <w:r>
                              <w:rPr>
                                <w:rFonts w:ascii="TT Norms Pro"/>
                                <w:color w:val="000000"/>
                                <w:spacing w:val="-2"/>
                                <w:sz w:val="16"/>
                              </w:rPr>
                              <w:t> </w:t>
                            </w:r>
                            <w:r>
                              <w:rPr>
                                <w:rFonts w:ascii="TT Norms Pro"/>
                                <w:color w:val="000000"/>
                                <w:sz w:val="16"/>
                              </w:rPr>
                              <w:t>and</w:t>
                            </w:r>
                            <w:r>
                              <w:rPr>
                                <w:rFonts w:ascii="TT Norms Pro"/>
                                <w:color w:val="000000"/>
                                <w:spacing w:val="-2"/>
                                <w:sz w:val="16"/>
                              </w:rPr>
                              <w:t> </w:t>
                            </w:r>
                            <w:r>
                              <w:rPr>
                                <w:rFonts w:ascii="TT Norms Pro"/>
                                <w:color w:val="000000"/>
                                <w:sz w:val="16"/>
                              </w:rPr>
                              <w:t>Head</w:t>
                            </w:r>
                            <w:r>
                              <w:rPr>
                                <w:rFonts w:ascii="TT Norms Pro"/>
                                <w:color w:val="000000"/>
                                <w:spacing w:val="-2"/>
                                <w:sz w:val="16"/>
                              </w:rPr>
                              <w:t> </w:t>
                            </w:r>
                            <w:r>
                              <w:rPr>
                                <w:rFonts w:ascii="TT Norms Pro"/>
                                <w:color w:val="000000"/>
                                <w:sz w:val="16"/>
                              </w:rPr>
                              <w:t>of</w:t>
                            </w:r>
                            <w:r>
                              <w:rPr>
                                <w:rFonts w:ascii="TT Norms Pro"/>
                                <w:color w:val="000000"/>
                                <w:spacing w:val="-2"/>
                                <w:sz w:val="16"/>
                              </w:rPr>
                              <w:t> </w:t>
                            </w:r>
                            <w:r>
                              <w:rPr>
                                <w:rFonts w:ascii="TT Norms Pro"/>
                                <w:color w:val="000000"/>
                                <w:sz w:val="16"/>
                              </w:rPr>
                              <w:t>School</w:t>
                            </w:r>
                            <w:r>
                              <w:rPr>
                                <w:rFonts w:ascii="TT Norms Pro"/>
                                <w:color w:val="000000"/>
                                <w:spacing w:val="40"/>
                                <w:sz w:val="16"/>
                              </w:rPr>
                              <w:t> </w:t>
                            </w:r>
                            <w:r>
                              <w:rPr>
                                <w:rFonts w:ascii="TT Norms Pro"/>
                                <w:color w:val="000000"/>
                                <w:spacing w:val="-2"/>
                                <w:sz w:val="16"/>
                              </w:rPr>
                              <w:t>Dentistry</w:t>
                            </w:r>
                          </w:p>
                        </w:txbxContent>
                      </wps:txbx>
                      <wps:bodyPr wrap="square" lIns="0" tIns="0" rIns="0" bIns="0" rtlCol="0">
                        <a:noAutofit/>
                      </wps:bodyPr>
                    </wps:wsp>
                  </a:graphicData>
                </a:graphic>
              </wp:anchor>
            </w:drawing>
          </mc:Choice>
          <mc:Fallback>
            <w:pict>
              <v:shape style="position:absolute;margin-left:301.52301pt;margin-top:61.329819pt;width:110.6pt;height:34.85pt;mso-position-horizontal-relative:page;mso-position-vertical-relative:paragraph;z-index:-15704064;mso-wrap-distance-left:0;mso-wrap-distance-right:0" type="#_x0000_t202" id="docshape107" filled="true" fillcolor="#ebebec" stroked="false">
                <v:textbox inset="0,0,0,0">
                  <w:txbxContent>
                    <w:p>
                      <w:pPr>
                        <w:spacing w:line="256" w:lineRule="auto" w:before="164"/>
                        <w:ind w:left="768" w:right="182" w:hanging="585"/>
                        <w:jc w:val="left"/>
                        <w:rPr>
                          <w:rFonts w:ascii="TT Norms Pro"/>
                          <w:color w:val="000000"/>
                          <w:sz w:val="16"/>
                        </w:rPr>
                      </w:pPr>
                      <w:r>
                        <w:rPr>
                          <w:rFonts w:ascii="TT Norms Pro"/>
                          <w:color w:val="000000"/>
                          <w:sz w:val="16"/>
                        </w:rPr>
                        <w:t>Dean</w:t>
                      </w:r>
                      <w:r>
                        <w:rPr>
                          <w:rFonts w:ascii="TT Norms Pro"/>
                          <w:color w:val="000000"/>
                          <w:spacing w:val="-2"/>
                          <w:sz w:val="16"/>
                        </w:rPr>
                        <w:t> </w:t>
                      </w:r>
                      <w:r>
                        <w:rPr>
                          <w:rFonts w:ascii="TT Norms Pro"/>
                          <w:color w:val="000000"/>
                          <w:sz w:val="16"/>
                        </w:rPr>
                        <w:t>and</w:t>
                      </w:r>
                      <w:r>
                        <w:rPr>
                          <w:rFonts w:ascii="TT Norms Pro"/>
                          <w:color w:val="000000"/>
                          <w:spacing w:val="-2"/>
                          <w:sz w:val="16"/>
                        </w:rPr>
                        <w:t> </w:t>
                      </w:r>
                      <w:r>
                        <w:rPr>
                          <w:rFonts w:ascii="TT Norms Pro"/>
                          <w:color w:val="000000"/>
                          <w:sz w:val="16"/>
                        </w:rPr>
                        <w:t>Head</w:t>
                      </w:r>
                      <w:r>
                        <w:rPr>
                          <w:rFonts w:ascii="TT Norms Pro"/>
                          <w:color w:val="000000"/>
                          <w:spacing w:val="-2"/>
                          <w:sz w:val="16"/>
                        </w:rPr>
                        <w:t> </w:t>
                      </w:r>
                      <w:r>
                        <w:rPr>
                          <w:rFonts w:ascii="TT Norms Pro"/>
                          <w:color w:val="000000"/>
                          <w:sz w:val="16"/>
                        </w:rPr>
                        <w:t>of</w:t>
                      </w:r>
                      <w:r>
                        <w:rPr>
                          <w:rFonts w:ascii="TT Norms Pro"/>
                          <w:color w:val="000000"/>
                          <w:spacing w:val="-2"/>
                          <w:sz w:val="16"/>
                        </w:rPr>
                        <w:t> </w:t>
                      </w:r>
                      <w:r>
                        <w:rPr>
                          <w:rFonts w:ascii="TT Norms Pro"/>
                          <w:color w:val="000000"/>
                          <w:sz w:val="16"/>
                        </w:rPr>
                        <w:t>School</w:t>
                      </w:r>
                      <w:r>
                        <w:rPr>
                          <w:rFonts w:ascii="TT Norms Pro"/>
                          <w:color w:val="000000"/>
                          <w:spacing w:val="40"/>
                          <w:sz w:val="16"/>
                        </w:rPr>
                        <w:t> </w:t>
                      </w:r>
                      <w:r>
                        <w:rPr>
                          <w:rFonts w:ascii="TT Norms Pro"/>
                          <w:color w:val="000000"/>
                          <w:spacing w:val="-2"/>
                          <w:sz w:val="16"/>
                        </w:rPr>
                        <w:t>Dentistry</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612928">
                <wp:simplePos x="0" y="0"/>
                <wp:positionH relativeFrom="page">
                  <wp:posOffset>5341340</wp:posOffset>
                </wp:positionH>
                <wp:positionV relativeFrom="paragraph">
                  <wp:posOffset>777644</wp:posOffset>
                </wp:positionV>
                <wp:extent cx="1440180" cy="442595"/>
                <wp:effectExtent l="0" t="0" r="0" b="0"/>
                <wp:wrapTopAndBottom/>
                <wp:docPr id="158" name="Textbox 158"/>
                <wp:cNvGraphicFramePr>
                  <a:graphicFrameLocks/>
                </wp:cNvGraphicFramePr>
                <a:graphic>
                  <a:graphicData uri="http://schemas.microsoft.com/office/word/2010/wordprocessingShape">
                    <wps:wsp>
                      <wps:cNvPr id="158" name="Textbox 158"/>
                      <wps:cNvSpPr txBox="1"/>
                      <wps:spPr>
                        <a:xfrm>
                          <a:off x="0" y="0"/>
                          <a:ext cx="1440180" cy="442595"/>
                        </a:xfrm>
                        <a:prstGeom prst="rect">
                          <a:avLst/>
                        </a:prstGeom>
                        <a:solidFill>
                          <a:srgbClr val="EBEBEC"/>
                        </a:solidFill>
                      </wps:spPr>
                      <wps:txbx>
                        <w:txbxContent>
                          <w:p>
                            <w:pPr>
                              <w:spacing w:line="256" w:lineRule="auto" w:before="164"/>
                              <w:ind w:left="181" w:right="0" w:firstLine="30"/>
                              <w:jc w:val="left"/>
                              <w:rPr>
                                <w:rFonts w:ascii="TT Norms Pro"/>
                                <w:color w:val="000000"/>
                                <w:sz w:val="16"/>
                              </w:rPr>
                            </w:pPr>
                            <w:r>
                              <w:rPr>
                                <w:rFonts w:ascii="TT Norms Pro"/>
                                <w:color w:val="000000"/>
                                <w:sz w:val="16"/>
                              </w:rPr>
                              <w:t>Dean and Head of School</w:t>
                            </w:r>
                            <w:r>
                              <w:rPr>
                                <w:rFonts w:ascii="TT Norms Pro"/>
                                <w:color w:val="000000"/>
                                <w:spacing w:val="40"/>
                                <w:sz w:val="16"/>
                              </w:rPr>
                              <w:t> </w:t>
                            </w:r>
                            <w:r>
                              <w:rPr>
                                <w:rFonts w:ascii="TT Norms Pro"/>
                                <w:color w:val="000000"/>
                                <w:sz w:val="16"/>
                              </w:rPr>
                              <w:t>Grad.</w:t>
                            </w:r>
                            <w:r>
                              <w:rPr>
                                <w:rFonts w:ascii="TT Norms Pro"/>
                                <w:color w:val="000000"/>
                                <w:spacing w:val="3"/>
                                <w:sz w:val="16"/>
                              </w:rPr>
                              <w:t> </w:t>
                            </w:r>
                            <w:r>
                              <w:rPr>
                                <w:rFonts w:ascii="TT Norms Pro"/>
                                <w:color w:val="000000"/>
                                <w:sz w:val="16"/>
                              </w:rPr>
                              <w:t>School</w:t>
                            </w:r>
                            <w:r>
                              <w:rPr>
                                <w:rFonts w:ascii="TT Norms Pro"/>
                                <w:color w:val="000000"/>
                                <w:spacing w:val="7"/>
                                <w:sz w:val="16"/>
                              </w:rPr>
                              <w:t> </w:t>
                            </w:r>
                            <w:r>
                              <w:rPr>
                                <w:rFonts w:ascii="TT Norms Pro"/>
                                <w:color w:val="000000"/>
                                <w:sz w:val="16"/>
                              </w:rPr>
                              <w:t>of</w:t>
                            </w:r>
                            <w:r>
                              <w:rPr>
                                <w:rFonts w:ascii="TT Norms Pro"/>
                                <w:color w:val="000000"/>
                                <w:spacing w:val="8"/>
                                <w:sz w:val="16"/>
                              </w:rPr>
                              <w:t> </w:t>
                            </w:r>
                            <w:r>
                              <w:rPr>
                                <w:rFonts w:ascii="TT Norms Pro"/>
                                <w:color w:val="000000"/>
                                <w:spacing w:val="-2"/>
                                <w:sz w:val="16"/>
                              </w:rPr>
                              <w:t>Education</w:t>
                            </w:r>
                          </w:p>
                        </w:txbxContent>
                      </wps:txbx>
                      <wps:bodyPr wrap="square" lIns="0" tIns="0" rIns="0" bIns="0" rtlCol="0">
                        <a:noAutofit/>
                      </wps:bodyPr>
                    </wps:wsp>
                  </a:graphicData>
                </a:graphic>
              </wp:anchor>
            </w:drawing>
          </mc:Choice>
          <mc:Fallback>
            <w:pict>
              <v:shape style="position:absolute;margin-left:420.578003pt;margin-top:61.231819pt;width:113.4pt;height:34.85pt;mso-position-horizontal-relative:page;mso-position-vertical-relative:paragraph;z-index:-15703552;mso-wrap-distance-left:0;mso-wrap-distance-right:0" type="#_x0000_t202" id="docshape108" filled="true" fillcolor="#ebebec" stroked="false">
                <v:textbox inset="0,0,0,0">
                  <w:txbxContent>
                    <w:p>
                      <w:pPr>
                        <w:spacing w:line="256" w:lineRule="auto" w:before="164"/>
                        <w:ind w:left="181" w:right="0" w:firstLine="30"/>
                        <w:jc w:val="left"/>
                        <w:rPr>
                          <w:rFonts w:ascii="TT Norms Pro"/>
                          <w:color w:val="000000"/>
                          <w:sz w:val="16"/>
                        </w:rPr>
                      </w:pPr>
                      <w:r>
                        <w:rPr>
                          <w:rFonts w:ascii="TT Norms Pro"/>
                          <w:color w:val="000000"/>
                          <w:sz w:val="16"/>
                        </w:rPr>
                        <w:t>Dean and Head of School</w:t>
                      </w:r>
                      <w:r>
                        <w:rPr>
                          <w:rFonts w:ascii="TT Norms Pro"/>
                          <w:color w:val="000000"/>
                          <w:spacing w:val="40"/>
                          <w:sz w:val="16"/>
                        </w:rPr>
                        <w:t> </w:t>
                      </w:r>
                      <w:r>
                        <w:rPr>
                          <w:rFonts w:ascii="TT Norms Pro"/>
                          <w:color w:val="000000"/>
                          <w:sz w:val="16"/>
                        </w:rPr>
                        <w:t>Grad.</w:t>
                      </w:r>
                      <w:r>
                        <w:rPr>
                          <w:rFonts w:ascii="TT Norms Pro"/>
                          <w:color w:val="000000"/>
                          <w:spacing w:val="3"/>
                          <w:sz w:val="16"/>
                        </w:rPr>
                        <w:t> </w:t>
                      </w:r>
                      <w:r>
                        <w:rPr>
                          <w:rFonts w:ascii="TT Norms Pro"/>
                          <w:color w:val="000000"/>
                          <w:sz w:val="16"/>
                        </w:rPr>
                        <w:t>School</w:t>
                      </w:r>
                      <w:r>
                        <w:rPr>
                          <w:rFonts w:ascii="TT Norms Pro"/>
                          <w:color w:val="000000"/>
                          <w:spacing w:val="7"/>
                          <w:sz w:val="16"/>
                        </w:rPr>
                        <w:t> </w:t>
                      </w:r>
                      <w:r>
                        <w:rPr>
                          <w:rFonts w:ascii="TT Norms Pro"/>
                          <w:color w:val="000000"/>
                          <w:sz w:val="16"/>
                        </w:rPr>
                        <w:t>of</w:t>
                      </w:r>
                      <w:r>
                        <w:rPr>
                          <w:rFonts w:ascii="TT Norms Pro"/>
                          <w:color w:val="000000"/>
                          <w:spacing w:val="8"/>
                          <w:sz w:val="16"/>
                        </w:rPr>
                        <w:t> </w:t>
                      </w:r>
                      <w:r>
                        <w:rPr>
                          <w:rFonts w:ascii="TT Norms Pro"/>
                          <w:color w:val="000000"/>
                          <w:spacing w:val="-2"/>
                          <w:sz w:val="16"/>
                        </w:rPr>
                        <w:t>Education</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613440">
                <wp:simplePos x="0" y="0"/>
                <wp:positionH relativeFrom="page">
                  <wp:posOffset>2281339</wp:posOffset>
                </wp:positionH>
                <wp:positionV relativeFrom="paragraph">
                  <wp:posOffset>1278760</wp:posOffset>
                </wp:positionV>
                <wp:extent cx="1440180" cy="442595"/>
                <wp:effectExtent l="0" t="0" r="0" b="0"/>
                <wp:wrapTopAndBottom/>
                <wp:docPr id="159" name="Textbox 159"/>
                <wp:cNvGraphicFramePr>
                  <a:graphicFrameLocks/>
                </wp:cNvGraphicFramePr>
                <a:graphic>
                  <a:graphicData uri="http://schemas.microsoft.com/office/word/2010/wordprocessingShape">
                    <wps:wsp>
                      <wps:cNvPr id="159" name="Textbox 159"/>
                      <wps:cNvSpPr txBox="1"/>
                      <wps:spPr>
                        <a:xfrm>
                          <a:off x="0" y="0"/>
                          <a:ext cx="1440180" cy="442595"/>
                        </a:xfrm>
                        <a:prstGeom prst="rect">
                          <a:avLst/>
                        </a:prstGeom>
                        <a:solidFill>
                          <a:srgbClr val="EBEBEC"/>
                        </a:solidFill>
                      </wps:spPr>
                      <wps:txbx>
                        <w:txbxContent>
                          <w:p>
                            <w:pPr>
                              <w:spacing w:line="256" w:lineRule="auto" w:before="164"/>
                              <w:ind w:left="382" w:right="0" w:firstLine="196"/>
                              <w:jc w:val="left"/>
                              <w:rPr>
                                <w:rFonts w:ascii="TT Norms Pro"/>
                                <w:color w:val="000000"/>
                                <w:sz w:val="16"/>
                              </w:rPr>
                            </w:pPr>
                            <w:r>
                              <w:rPr>
                                <w:rFonts w:ascii="TT Norms Pro"/>
                                <w:color w:val="000000"/>
                                <w:sz w:val="16"/>
                              </w:rPr>
                              <w:t>Head of School</w:t>
                            </w:r>
                            <w:r>
                              <w:rPr>
                                <w:rFonts w:ascii="TT Norms Pro"/>
                                <w:color w:val="000000"/>
                                <w:spacing w:val="40"/>
                                <w:sz w:val="16"/>
                              </w:rPr>
                              <w:t> </w:t>
                            </w:r>
                            <w:r>
                              <w:rPr>
                                <w:rFonts w:ascii="TT Norms Pro"/>
                                <w:color w:val="000000"/>
                                <w:sz w:val="16"/>
                              </w:rPr>
                              <w:t>Biomedical</w:t>
                            </w:r>
                            <w:r>
                              <w:rPr>
                                <w:rFonts w:ascii="TT Norms Pro"/>
                                <w:color w:val="000000"/>
                                <w:spacing w:val="-7"/>
                                <w:sz w:val="16"/>
                              </w:rPr>
                              <w:t> </w:t>
                            </w:r>
                            <w:r>
                              <w:rPr>
                                <w:rFonts w:ascii="TT Norms Pro"/>
                                <w:color w:val="000000"/>
                                <w:sz w:val="16"/>
                              </w:rPr>
                              <w:t>Sciences</w:t>
                            </w:r>
                          </w:p>
                        </w:txbxContent>
                      </wps:txbx>
                      <wps:bodyPr wrap="square" lIns="0" tIns="0" rIns="0" bIns="0" rtlCol="0">
                        <a:noAutofit/>
                      </wps:bodyPr>
                    </wps:wsp>
                  </a:graphicData>
                </a:graphic>
              </wp:anchor>
            </w:drawing>
          </mc:Choice>
          <mc:Fallback>
            <w:pict>
              <v:shape style="position:absolute;margin-left:179.632996pt;margin-top:100.689819pt;width:113.4pt;height:34.85pt;mso-position-horizontal-relative:page;mso-position-vertical-relative:paragraph;z-index:-15703040;mso-wrap-distance-left:0;mso-wrap-distance-right:0" type="#_x0000_t202" id="docshape109" filled="true" fillcolor="#ebebec" stroked="false">
                <v:textbox inset="0,0,0,0">
                  <w:txbxContent>
                    <w:p>
                      <w:pPr>
                        <w:spacing w:line="256" w:lineRule="auto" w:before="164"/>
                        <w:ind w:left="382" w:right="0" w:firstLine="196"/>
                        <w:jc w:val="left"/>
                        <w:rPr>
                          <w:rFonts w:ascii="TT Norms Pro"/>
                          <w:color w:val="000000"/>
                          <w:sz w:val="16"/>
                        </w:rPr>
                      </w:pPr>
                      <w:r>
                        <w:rPr>
                          <w:rFonts w:ascii="TT Norms Pro"/>
                          <w:color w:val="000000"/>
                          <w:sz w:val="16"/>
                        </w:rPr>
                        <w:t>Head of School</w:t>
                      </w:r>
                      <w:r>
                        <w:rPr>
                          <w:rFonts w:ascii="TT Norms Pro"/>
                          <w:color w:val="000000"/>
                          <w:spacing w:val="40"/>
                          <w:sz w:val="16"/>
                        </w:rPr>
                        <w:t> </w:t>
                      </w:r>
                      <w:r>
                        <w:rPr>
                          <w:rFonts w:ascii="TT Norms Pro"/>
                          <w:color w:val="000000"/>
                          <w:sz w:val="16"/>
                        </w:rPr>
                        <w:t>Biomedical</w:t>
                      </w:r>
                      <w:r>
                        <w:rPr>
                          <w:rFonts w:ascii="TT Norms Pro"/>
                          <w:color w:val="000000"/>
                          <w:spacing w:val="-7"/>
                          <w:sz w:val="16"/>
                        </w:rPr>
                        <w:t> </w:t>
                      </w:r>
                      <w:r>
                        <w:rPr>
                          <w:rFonts w:ascii="TT Norms Pro"/>
                          <w:color w:val="000000"/>
                          <w:sz w:val="16"/>
                        </w:rPr>
                        <w:t>Sciences</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613952">
                <wp:simplePos x="0" y="0"/>
                <wp:positionH relativeFrom="page">
                  <wp:posOffset>3829342</wp:posOffset>
                </wp:positionH>
                <wp:positionV relativeFrom="paragraph">
                  <wp:posOffset>1274823</wp:posOffset>
                </wp:positionV>
                <wp:extent cx="1404620" cy="442595"/>
                <wp:effectExtent l="0" t="0" r="0" b="0"/>
                <wp:wrapTopAndBottom/>
                <wp:docPr id="160" name="Textbox 160"/>
                <wp:cNvGraphicFramePr>
                  <a:graphicFrameLocks/>
                </wp:cNvGraphicFramePr>
                <a:graphic>
                  <a:graphicData uri="http://schemas.microsoft.com/office/word/2010/wordprocessingShape">
                    <wps:wsp>
                      <wps:cNvPr id="160" name="Textbox 160"/>
                      <wps:cNvSpPr txBox="1"/>
                      <wps:spPr>
                        <a:xfrm>
                          <a:off x="0" y="0"/>
                          <a:ext cx="1404620" cy="442595"/>
                        </a:xfrm>
                        <a:prstGeom prst="rect">
                          <a:avLst/>
                        </a:prstGeom>
                        <a:solidFill>
                          <a:srgbClr val="EBEBEC"/>
                        </a:solidFill>
                      </wps:spPr>
                      <wps:txbx>
                        <w:txbxContent>
                          <w:p>
                            <w:pPr>
                              <w:spacing w:line="256" w:lineRule="auto" w:before="164"/>
                              <w:ind w:left="850" w:right="182" w:hanging="300"/>
                              <w:jc w:val="left"/>
                              <w:rPr>
                                <w:rFonts w:ascii="TT Norms Pro"/>
                                <w:color w:val="000000"/>
                                <w:sz w:val="16"/>
                              </w:rPr>
                            </w:pPr>
                            <w:r>
                              <w:rPr>
                                <w:rFonts w:ascii="TT Norms Pro"/>
                                <w:color w:val="000000"/>
                                <w:sz w:val="16"/>
                              </w:rPr>
                              <w:t>Head</w:t>
                            </w:r>
                            <w:r>
                              <w:rPr>
                                <w:rFonts w:ascii="TT Norms Pro"/>
                                <w:color w:val="000000"/>
                                <w:spacing w:val="-8"/>
                                <w:sz w:val="16"/>
                              </w:rPr>
                              <w:t> </w:t>
                            </w:r>
                            <w:r>
                              <w:rPr>
                                <w:rFonts w:ascii="TT Norms Pro"/>
                                <w:color w:val="000000"/>
                                <w:sz w:val="16"/>
                              </w:rPr>
                              <w:t>of</w:t>
                            </w:r>
                            <w:r>
                              <w:rPr>
                                <w:rFonts w:ascii="TT Norms Pro"/>
                                <w:color w:val="000000"/>
                                <w:spacing w:val="-8"/>
                                <w:sz w:val="16"/>
                              </w:rPr>
                              <w:t> </w:t>
                            </w:r>
                            <w:r>
                              <w:rPr>
                                <w:rFonts w:ascii="TT Norms Pro"/>
                                <w:color w:val="000000"/>
                                <w:sz w:val="16"/>
                              </w:rPr>
                              <w:t>School</w:t>
                            </w:r>
                            <w:r>
                              <w:rPr>
                                <w:rFonts w:ascii="TT Norms Pro"/>
                                <w:color w:val="000000"/>
                                <w:spacing w:val="40"/>
                                <w:sz w:val="16"/>
                              </w:rPr>
                              <w:t> </w:t>
                            </w:r>
                            <w:r>
                              <w:rPr>
                                <w:rFonts w:ascii="TT Norms Pro"/>
                                <w:color w:val="000000"/>
                                <w:spacing w:val="-2"/>
                                <w:sz w:val="16"/>
                              </w:rPr>
                              <w:t>Design</w:t>
                            </w:r>
                          </w:p>
                        </w:txbxContent>
                      </wps:txbx>
                      <wps:bodyPr wrap="square" lIns="0" tIns="0" rIns="0" bIns="0" rtlCol="0">
                        <a:noAutofit/>
                      </wps:bodyPr>
                    </wps:wsp>
                  </a:graphicData>
                </a:graphic>
              </wp:anchor>
            </w:drawing>
          </mc:Choice>
          <mc:Fallback>
            <w:pict>
              <v:shape style="position:absolute;margin-left:301.52301pt;margin-top:100.379822pt;width:110.6pt;height:34.85pt;mso-position-horizontal-relative:page;mso-position-vertical-relative:paragraph;z-index:-15702528;mso-wrap-distance-left:0;mso-wrap-distance-right:0" type="#_x0000_t202" id="docshape110" filled="true" fillcolor="#ebebec" stroked="false">
                <v:textbox inset="0,0,0,0">
                  <w:txbxContent>
                    <w:p>
                      <w:pPr>
                        <w:spacing w:line="256" w:lineRule="auto" w:before="164"/>
                        <w:ind w:left="850" w:right="182" w:hanging="300"/>
                        <w:jc w:val="left"/>
                        <w:rPr>
                          <w:rFonts w:ascii="TT Norms Pro"/>
                          <w:color w:val="000000"/>
                          <w:sz w:val="16"/>
                        </w:rPr>
                      </w:pPr>
                      <w:r>
                        <w:rPr>
                          <w:rFonts w:ascii="TT Norms Pro"/>
                          <w:color w:val="000000"/>
                          <w:sz w:val="16"/>
                        </w:rPr>
                        <w:t>Head</w:t>
                      </w:r>
                      <w:r>
                        <w:rPr>
                          <w:rFonts w:ascii="TT Norms Pro"/>
                          <w:color w:val="000000"/>
                          <w:spacing w:val="-8"/>
                          <w:sz w:val="16"/>
                        </w:rPr>
                        <w:t> </w:t>
                      </w:r>
                      <w:r>
                        <w:rPr>
                          <w:rFonts w:ascii="TT Norms Pro"/>
                          <w:color w:val="000000"/>
                          <w:sz w:val="16"/>
                        </w:rPr>
                        <w:t>of</w:t>
                      </w:r>
                      <w:r>
                        <w:rPr>
                          <w:rFonts w:ascii="TT Norms Pro"/>
                          <w:color w:val="000000"/>
                          <w:spacing w:val="-8"/>
                          <w:sz w:val="16"/>
                        </w:rPr>
                        <w:t> </w:t>
                      </w:r>
                      <w:r>
                        <w:rPr>
                          <w:rFonts w:ascii="TT Norms Pro"/>
                          <w:color w:val="000000"/>
                          <w:sz w:val="16"/>
                        </w:rPr>
                        <w:t>School</w:t>
                      </w:r>
                      <w:r>
                        <w:rPr>
                          <w:rFonts w:ascii="TT Norms Pro"/>
                          <w:color w:val="000000"/>
                          <w:spacing w:val="40"/>
                          <w:sz w:val="16"/>
                        </w:rPr>
                        <w:t> </w:t>
                      </w:r>
                      <w:r>
                        <w:rPr>
                          <w:rFonts w:ascii="TT Norms Pro"/>
                          <w:color w:val="000000"/>
                          <w:spacing w:val="-2"/>
                          <w:sz w:val="16"/>
                        </w:rPr>
                        <w:t>Design</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614464">
                <wp:simplePos x="0" y="0"/>
                <wp:positionH relativeFrom="page">
                  <wp:posOffset>5341340</wp:posOffset>
                </wp:positionH>
                <wp:positionV relativeFrom="paragraph">
                  <wp:posOffset>1278760</wp:posOffset>
                </wp:positionV>
                <wp:extent cx="1440180" cy="442595"/>
                <wp:effectExtent l="0" t="0" r="0" b="0"/>
                <wp:wrapTopAndBottom/>
                <wp:docPr id="161" name="Textbox 161"/>
                <wp:cNvGraphicFramePr>
                  <a:graphicFrameLocks/>
                </wp:cNvGraphicFramePr>
                <a:graphic>
                  <a:graphicData uri="http://schemas.microsoft.com/office/word/2010/wordprocessingShape">
                    <wps:wsp>
                      <wps:cNvPr id="161" name="Textbox 161"/>
                      <wps:cNvSpPr txBox="1"/>
                      <wps:spPr>
                        <a:xfrm>
                          <a:off x="0" y="0"/>
                          <a:ext cx="1440180" cy="442595"/>
                        </a:xfrm>
                        <a:prstGeom prst="rect">
                          <a:avLst/>
                        </a:prstGeom>
                        <a:solidFill>
                          <a:srgbClr val="EBEBEC"/>
                        </a:solidFill>
                      </wps:spPr>
                      <wps:txbx>
                        <w:txbxContent>
                          <w:p>
                            <w:pPr>
                              <w:spacing w:line="256" w:lineRule="auto" w:before="164"/>
                              <w:ind w:left="718" w:right="577" w:hanging="139"/>
                              <w:jc w:val="left"/>
                              <w:rPr>
                                <w:rFonts w:ascii="TT Norms Pro"/>
                                <w:color w:val="000000"/>
                                <w:sz w:val="16"/>
                              </w:rPr>
                            </w:pPr>
                            <w:r>
                              <w:rPr>
                                <w:rFonts w:ascii="TT Norms Pro"/>
                                <w:color w:val="000000"/>
                                <w:sz w:val="16"/>
                              </w:rPr>
                              <w:t>Head</w:t>
                            </w:r>
                            <w:r>
                              <w:rPr>
                                <w:rFonts w:ascii="TT Norms Pro"/>
                                <w:color w:val="000000"/>
                                <w:spacing w:val="-9"/>
                                <w:sz w:val="16"/>
                              </w:rPr>
                              <w:t> </w:t>
                            </w:r>
                            <w:r>
                              <w:rPr>
                                <w:rFonts w:ascii="TT Norms Pro"/>
                                <w:color w:val="000000"/>
                                <w:sz w:val="16"/>
                              </w:rPr>
                              <w:t>of</w:t>
                            </w:r>
                            <w:r>
                              <w:rPr>
                                <w:rFonts w:ascii="TT Norms Pro"/>
                                <w:color w:val="000000"/>
                                <w:spacing w:val="-8"/>
                                <w:sz w:val="16"/>
                              </w:rPr>
                              <w:t> </w:t>
                            </w:r>
                            <w:r>
                              <w:rPr>
                                <w:rFonts w:ascii="TT Norms Pro"/>
                                <w:color w:val="000000"/>
                                <w:sz w:val="16"/>
                              </w:rPr>
                              <w:t>School</w:t>
                            </w:r>
                            <w:r>
                              <w:rPr>
                                <w:rFonts w:ascii="TT Norms Pro"/>
                                <w:color w:val="000000"/>
                                <w:spacing w:val="40"/>
                                <w:sz w:val="16"/>
                              </w:rPr>
                              <w:t> </w:t>
                            </w:r>
                            <w:r>
                              <w:rPr>
                                <w:rFonts w:ascii="TT Norms Pro"/>
                                <w:color w:val="000000"/>
                                <w:spacing w:val="-2"/>
                                <w:sz w:val="16"/>
                              </w:rPr>
                              <w:t>Humanities</w:t>
                            </w:r>
                          </w:p>
                        </w:txbxContent>
                      </wps:txbx>
                      <wps:bodyPr wrap="square" lIns="0" tIns="0" rIns="0" bIns="0" rtlCol="0">
                        <a:noAutofit/>
                      </wps:bodyPr>
                    </wps:wsp>
                  </a:graphicData>
                </a:graphic>
              </wp:anchor>
            </w:drawing>
          </mc:Choice>
          <mc:Fallback>
            <w:pict>
              <v:shape style="position:absolute;margin-left:420.578003pt;margin-top:100.689819pt;width:113.4pt;height:34.85pt;mso-position-horizontal-relative:page;mso-position-vertical-relative:paragraph;z-index:-15702016;mso-wrap-distance-left:0;mso-wrap-distance-right:0" type="#_x0000_t202" id="docshape111" filled="true" fillcolor="#ebebec" stroked="false">
                <v:textbox inset="0,0,0,0">
                  <w:txbxContent>
                    <w:p>
                      <w:pPr>
                        <w:spacing w:line="256" w:lineRule="auto" w:before="164"/>
                        <w:ind w:left="718" w:right="577" w:hanging="139"/>
                        <w:jc w:val="left"/>
                        <w:rPr>
                          <w:rFonts w:ascii="TT Norms Pro"/>
                          <w:color w:val="000000"/>
                          <w:sz w:val="16"/>
                        </w:rPr>
                      </w:pPr>
                      <w:r>
                        <w:rPr>
                          <w:rFonts w:ascii="TT Norms Pro"/>
                          <w:color w:val="000000"/>
                          <w:sz w:val="16"/>
                        </w:rPr>
                        <w:t>Head</w:t>
                      </w:r>
                      <w:r>
                        <w:rPr>
                          <w:rFonts w:ascii="TT Norms Pro"/>
                          <w:color w:val="000000"/>
                          <w:spacing w:val="-9"/>
                          <w:sz w:val="16"/>
                        </w:rPr>
                        <w:t> </w:t>
                      </w:r>
                      <w:r>
                        <w:rPr>
                          <w:rFonts w:ascii="TT Norms Pro"/>
                          <w:color w:val="000000"/>
                          <w:sz w:val="16"/>
                        </w:rPr>
                        <w:t>of</w:t>
                      </w:r>
                      <w:r>
                        <w:rPr>
                          <w:rFonts w:ascii="TT Norms Pro"/>
                          <w:color w:val="000000"/>
                          <w:spacing w:val="-8"/>
                          <w:sz w:val="16"/>
                        </w:rPr>
                        <w:t> </w:t>
                      </w:r>
                      <w:r>
                        <w:rPr>
                          <w:rFonts w:ascii="TT Norms Pro"/>
                          <w:color w:val="000000"/>
                          <w:sz w:val="16"/>
                        </w:rPr>
                        <w:t>School</w:t>
                      </w:r>
                      <w:r>
                        <w:rPr>
                          <w:rFonts w:ascii="TT Norms Pro"/>
                          <w:color w:val="000000"/>
                          <w:spacing w:val="40"/>
                          <w:sz w:val="16"/>
                        </w:rPr>
                        <w:t> </w:t>
                      </w:r>
                      <w:r>
                        <w:rPr>
                          <w:rFonts w:ascii="TT Norms Pro"/>
                          <w:color w:val="000000"/>
                          <w:spacing w:val="-2"/>
                          <w:sz w:val="16"/>
                        </w:rPr>
                        <w:t>Humanities</w:t>
                      </w:r>
                    </w:p>
                  </w:txbxContent>
                </v:textbox>
                <v:fill type="solid"/>
                <w10:wrap type="topAndBottom"/>
              </v:shape>
            </w:pict>
          </mc:Fallback>
        </mc:AlternateContent>
      </w:r>
    </w:p>
    <w:p>
      <w:pPr>
        <w:pStyle w:val="BodyText"/>
        <w:spacing w:before="9"/>
        <w:rPr>
          <w:b w:val="0"/>
          <w:sz w:val="4"/>
        </w:rPr>
      </w:pPr>
    </w:p>
    <w:p>
      <w:pPr>
        <w:pStyle w:val="BodyText"/>
        <w:spacing w:before="9"/>
        <w:rPr>
          <w:b w:val="0"/>
          <w:sz w:val="4"/>
        </w:rPr>
      </w:pPr>
    </w:p>
    <w:p>
      <w:pPr>
        <w:pStyle w:val="BodyText"/>
        <w:rPr>
          <w:b w:val="0"/>
        </w:rPr>
      </w:pPr>
    </w:p>
    <w:p>
      <w:pPr>
        <w:pStyle w:val="BodyText"/>
        <w:rPr>
          <w:b w:val="0"/>
        </w:rPr>
      </w:pPr>
    </w:p>
    <w:p>
      <w:pPr>
        <w:pStyle w:val="BodyText"/>
        <w:spacing w:before="169"/>
        <w:rPr>
          <w:b w:val="0"/>
        </w:rPr>
      </w:pPr>
    </w:p>
    <w:p>
      <w:pPr>
        <w:pStyle w:val="BodyText"/>
        <w:tabs>
          <w:tab w:pos="2659" w:val="left" w:leader="none"/>
          <w:tab w:pos="4870" w:val="left" w:leader="none"/>
        </w:tabs>
        <w:spacing w:line="178" w:lineRule="exact"/>
        <w:ind w:left="286"/>
        <w:rPr>
          <w:b w:val="0"/>
        </w:rPr>
      </w:pPr>
      <w:r>
        <w:rPr/>
        <mc:AlternateContent>
          <mc:Choice Requires="wps">
            <w:drawing>
              <wp:anchor distT="0" distB="0" distL="0" distR="0" allowOverlap="1" layoutInCell="1" locked="0" behindDoc="0" simplePos="0" relativeHeight="15759360">
                <wp:simplePos x="0" y="0"/>
                <wp:positionH relativeFrom="page">
                  <wp:posOffset>3849095</wp:posOffset>
                </wp:positionH>
                <wp:positionV relativeFrom="paragraph">
                  <wp:posOffset>93488</wp:posOffset>
                </wp:positionV>
                <wp:extent cx="1404620" cy="1270"/>
                <wp:effectExtent l="0" t="0" r="0" b="0"/>
                <wp:wrapNone/>
                <wp:docPr id="162" name="Graphic 162"/>
                <wp:cNvGraphicFramePr>
                  <a:graphicFrameLocks/>
                </wp:cNvGraphicFramePr>
                <a:graphic>
                  <a:graphicData uri="http://schemas.microsoft.com/office/word/2010/wordprocessingShape">
                    <wps:wsp>
                      <wps:cNvPr id="162" name="Graphic 162"/>
                      <wps:cNvSpPr/>
                      <wps:spPr>
                        <a:xfrm>
                          <a:off x="0" y="0"/>
                          <a:ext cx="1404620" cy="1270"/>
                        </a:xfrm>
                        <a:custGeom>
                          <a:avLst/>
                          <a:gdLst/>
                          <a:ahLst/>
                          <a:cxnLst/>
                          <a:rect l="l" t="t" r="r" b="b"/>
                          <a:pathLst>
                            <a:path w="1404620" h="0">
                              <a:moveTo>
                                <a:pt x="0" y="0"/>
                              </a:moveTo>
                              <a:lnTo>
                                <a:pt x="1403997"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9360" from="303.0784pt,7.3613pt" to="413.62940pt,7.3613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759872">
                <wp:simplePos x="0" y="0"/>
                <wp:positionH relativeFrom="page">
                  <wp:posOffset>5416637</wp:posOffset>
                </wp:positionH>
                <wp:positionV relativeFrom="paragraph">
                  <wp:posOffset>93488</wp:posOffset>
                </wp:positionV>
                <wp:extent cx="1404620" cy="1270"/>
                <wp:effectExtent l="0" t="0" r="0" b="0"/>
                <wp:wrapNone/>
                <wp:docPr id="163" name="Graphic 163"/>
                <wp:cNvGraphicFramePr>
                  <a:graphicFrameLocks/>
                </wp:cNvGraphicFramePr>
                <a:graphic>
                  <a:graphicData uri="http://schemas.microsoft.com/office/word/2010/wordprocessingShape">
                    <wps:wsp>
                      <wps:cNvPr id="163" name="Graphic 163"/>
                      <wps:cNvSpPr/>
                      <wps:spPr>
                        <a:xfrm>
                          <a:off x="0" y="0"/>
                          <a:ext cx="1404620" cy="1270"/>
                        </a:xfrm>
                        <a:custGeom>
                          <a:avLst/>
                          <a:gdLst/>
                          <a:ahLst/>
                          <a:cxnLst/>
                          <a:rect l="l" t="t" r="r" b="b"/>
                          <a:pathLst>
                            <a:path w="1404620" h="0">
                              <a:moveTo>
                                <a:pt x="0" y="0"/>
                              </a:moveTo>
                              <a:lnTo>
                                <a:pt x="1403997"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9872" from="426.506897pt,7.3613pt" to="537.057897pt,7.3613pt" stroked="true" strokeweight=".25pt" strokecolor="#000000">
                <v:stroke dashstyle="solid"/>
                <w10:wrap type="none"/>
              </v:line>
            </w:pict>
          </mc:Fallback>
        </mc:AlternateContent>
      </w:r>
      <w:r>
        <w:rPr>
          <w:b w:val="0"/>
        </w:rPr>
        <w:t>Deputy</w:t>
      </w:r>
      <w:r>
        <w:rPr>
          <w:b w:val="0"/>
          <w:spacing w:val="15"/>
        </w:rPr>
        <w:t> </w:t>
      </w:r>
      <w:r>
        <w:rPr>
          <w:b w:val="0"/>
        </w:rPr>
        <w:t>Vice-</w:t>
      </w:r>
      <w:r>
        <w:rPr>
          <w:b w:val="0"/>
          <w:spacing w:val="-2"/>
        </w:rPr>
        <w:t>Chancellor</w:t>
      </w:r>
      <w:r>
        <w:rPr>
          <w:b w:val="0"/>
        </w:rPr>
        <w:tab/>
      </w:r>
      <w:r>
        <w:rPr>
          <w:b w:val="0"/>
          <w:u w:val="single"/>
        </w:rPr>
        <w:tab/>
      </w:r>
    </w:p>
    <w:p>
      <w:pPr>
        <w:spacing w:after="0" w:line="178" w:lineRule="exact"/>
        <w:sectPr>
          <w:pgSz w:w="11910" w:h="16840"/>
          <w:pgMar w:header="468" w:footer="0" w:top="720" w:bottom="280" w:left="940" w:right="0"/>
        </w:sectPr>
      </w:pPr>
    </w:p>
    <w:p>
      <w:pPr>
        <w:pStyle w:val="BodyText"/>
        <w:spacing w:before="21"/>
        <w:ind w:left="887"/>
        <w:rPr>
          <w:b w:val="0"/>
        </w:rPr>
      </w:pPr>
      <w:r>
        <w:rPr>
          <w:b w:val="0"/>
          <w:spacing w:val="-2"/>
        </w:rPr>
        <w:t>Research</w:t>
      </w:r>
    </w:p>
    <w:p>
      <w:pPr>
        <w:spacing w:line="256" w:lineRule="auto" w:before="74"/>
        <w:ind w:left="1290" w:right="38" w:hanging="403"/>
        <w:jc w:val="left"/>
        <w:rPr>
          <w:rFonts w:ascii="TT Norms Pro"/>
          <w:sz w:val="16"/>
        </w:rPr>
      </w:pPr>
      <w:r>
        <w:rPr/>
        <w:br w:type="column"/>
      </w:r>
      <w:r>
        <w:rPr>
          <w:rFonts w:ascii="TT Norms Pro"/>
          <w:sz w:val="16"/>
        </w:rPr>
        <w:t>Pro</w:t>
      </w:r>
      <w:r>
        <w:rPr>
          <w:rFonts w:ascii="TT Norms Pro"/>
          <w:spacing w:val="-7"/>
          <w:sz w:val="16"/>
        </w:rPr>
        <w:t> </w:t>
      </w:r>
      <w:r>
        <w:rPr>
          <w:rFonts w:ascii="TT Norms Pro"/>
          <w:sz w:val="16"/>
        </w:rPr>
        <w:t>Vice-Chancellor</w:t>
      </w:r>
      <w:r>
        <w:rPr>
          <w:rFonts w:ascii="TT Norms Pro"/>
          <w:spacing w:val="40"/>
          <w:sz w:val="16"/>
        </w:rPr>
        <w:t> </w:t>
      </w:r>
      <w:r>
        <w:rPr>
          <w:rFonts w:ascii="TT Norms Pro"/>
          <w:spacing w:val="-2"/>
          <w:sz w:val="16"/>
        </w:rPr>
        <w:t>Research</w:t>
      </w:r>
    </w:p>
    <w:p>
      <w:pPr>
        <w:spacing w:line="256" w:lineRule="auto" w:before="74"/>
        <w:ind w:left="1156" w:right="38" w:hanging="269"/>
        <w:jc w:val="left"/>
        <w:rPr>
          <w:rFonts w:ascii="TT Norms Pro"/>
          <w:sz w:val="16"/>
        </w:rPr>
      </w:pPr>
      <w:r>
        <w:rPr/>
        <w:br w:type="column"/>
      </w:r>
      <w:r>
        <w:rPr>
          <w:rFonts w:ascii="TT Norms Pro"/>
          <w:sz w:val="16"/>
        </w:rPr>
        <w:t>Pro</w:t>
      </w:r>
      <w:r>
        <w:rPr>
          <w:rFonts w:ascii="TT Norms Pro"/>
          <w:spacing w:val="-7"/>
          <w:sz w:val="16"/>
        </w:rPr>
        <w:t> </w:t>
      </w:r>
      <w:r>
        <w:rPr>
          <w:rFonts w:ascii="TT Norms Pro"/>
          <w:sz w:val="16"/>
        </w:rPr>
        <w:t>Vice-Chancellor</w:t>
      </w:r>
      <w:r>
        <w:rPr>
          <w:rFonts w:ascii="TT Norms Pro"/>
          <w:spacing w:val="40"/>
          <w:sz w:val="16"/>
        </w:rPr>
        <w:t> </w:t>
      </w:r>
      <w:r>
        <w:rPr>
          <w:rFonts w:ascii="TT Norms Pro"/>
          <w:spacing w:val="-2"/>
          <w:sz w:val="16"/>
        </w:rPr>
        <w:t>Engagement</w:t>
      </w:r>
    </w:p>
    <w:p>
      <w:pPr>
        <w:spacing w:line="256" w:lineRule="auto" w:before="74"/>
        <w:ind w:left="887" w:right="1525" w:firstLine="0"/>
        <w:jc w:val="center"/>
        <w:rPr>
          <w:rFonts w:ascii="TT Norms Pro"/>
          <w:sz w:val="16"/>
        </w:rPr>
      </w:pPr>
      <w:r>
        <w:rPr/>
        <w:br w:type="column"/>
      </w:r>
      <w:r>
        <w:rPr>
          <w:rFonts w:ascii="TT Norms Pro"/>
          <w:sz w:val="16"/>
        </w:rPr>
        <w:t>Pro</w:t>
      </w:r>
      <w:r>
        <w:rPr>
          <w:rFonts w:ascii="TT Norms Pro"/>
          <w:spacing w:val="-7"/>
          <w:sz w:val="16"/>
        </w:rPr>
        <w:t> </w:t>
      </w:r>
      <w:r>
        <w:rPr>
          <w:rFonts w:ascii="TT Norms Pro"/>
          <w:sz w:val="16"/>
        </w:rPr>
        <w:t>Vice-Chancellor</w:t>
      </w:r>
      <w:r>
        <w:rPr>
          <w:rFonts w:ascii="TT Norms Pro"/>
          <w:spacing w:val="40"/>
          <w:sz w:val="16"/>
        </w:rPr>
        <w:t> </w:t>
      </w:r>
      <w:r>
        <w:rPr>
          <w:rFonts w:ascii="TT Norms Pro"/>
          <w:sz w:val="16"/>
        </w:rPr>
        <w:t>Health and Medical</w:t>
      </w:r>
      <w:r>
        <w:rPr>
          <w:rFonts w:ascii="TT Norms Pro"/>
          <w:spacing w:val="40"/>
          <w:sz w:val="16"/>
        </w:rPr>
        <w:t> </w:t>
      </w:r>
      <w:r>
        <w:rPr>
          <w:rFonts w:ascii="TT Norms Pro"/>
          <w:spacing w:val="-2"/>
          <w:sz w:val="16"/>
        </w:rPr>
        <w:t>Research</w:t>
      </w:r>
    </w:p>
    <w:p>
      <w:pPr>
        <w:spacing w:after="0" w:line="256" w:lineRule="auto"/>
        <w:jc w:val="center"/>
        <w:rPr>
          <w:rFonts w:ascii="TT Norms Pro"/>
          <w:sz w:val="16"/>
        </w:rPr>
        <w:sectPr>
          <w:type w:val="continuous"/>
          <w:pgSz w:w="11910" w:h="16840"/>
          <w:pgMar w:header="468" w:footer="0" w:top="980" w:bottom="280" w:left="940" w:right="0"/>
          <w:cols w:num="4" w:equalWidth="0">
            <w:col w:w="1674" w:space="462"/>
            <w:col w:w="2413" w:space="48"/>
            <w:col w:w="2413" w:space="56"/>
            <w:col w:w="3904"/>
          </w:cols>
        </w:sectPr>
      </w:pPr>
    </w:p>
    <w:p>
      <w:pPr>
        <w:pStyle w:val="BodyText"/>
        <w:spacing w:before="50"/>
        <w:rPr>
          <w:rFonts w:ascii="TT Norms Pro"/>
          <w:sz w:val="20"/>
        </w:rPr>
      </w:pPr>
    </w:p>
    <w:p>
      <w:pPr>
        <w:tabs>
          <w:tab w:pos="6355" w:val="left" w:leader="none"/>
        </w:tabs>
        <w:spacing w:line="20" w:lineRule="exact"/>
        <w:ind w:left="3897" w:right="0" w:firstLine="0"/>
        <w:rPr>
          <w:rFonts w:ascii="TT Norms Pro"/>
          <w:sz w:val="2"/>
        </w:rPr>
      </w:pPr>
      <w:r>
        <w:rPr>
          <w:rFonts w:ascii="TT Norms Pro"/>
          <w:sz w:val="2"/>
        </w:rPr>
        <mc:AlternateContent>
          <mc:Choice Requires="wps">
            <w:drawing>
              <wp:inline distT="0" distB="0" distL="0" distR="0">
                <wp:extent cx="1404620" cy="3175"/>
                <wp:effectExtent l="9525" t="0" r="0" b="6350"/>
                <wp:docPr id="164" name="Group 164"/>
                <wp:cNvGraphicFramePr>
                  <a:graphicFrameLocks/>
                </wp:cNvGraphicFramePr>
                <a:graphic>
                  <a:graphicData uri="http://schemas.microsoft.com/office/word/2010/wordprocessingGroup">
                    <wpg:wgp>
                      <wpg:cNvPr id="164" name="Group 164"/>
                      <wpg:cNvGrpSpPr/>
                      <wpg:grpSpPr>
                        <a:xfrm>
                          <a:off x="0" y="0"/>
                          <a:ext cx="1404620" cy="3175"/>
                          <a:chExt cx="1404620" cy="3175"/>
                        </a:xfrm>
                      </wpg:grpSpPr>
                      <wps:wsp>
                        <wps:cNvPr id="165" name="Graphic 165"/>
                        <wps:cNvSpPr/>
                        <wps:spPr>
                          <a:xfrm>
                            <a:off x="0" y="1587"/>
                            <a:ext cx="1404620" cy="1270"/>
                          </a:xfrm>
                          <a:custGeom>
                            <a:avLst/>
                            <a:gdLst/>
                            <a:ahLst/>
                            <a:cxnLst/>
                            <a:rect l="l" t="t" r="r" b="b"/>
                            <a:pathLst>
                              <a:path w="1404620" h="0">
                                <a:moveTo>
                                  <a:pt x="0" y="0"/>
                                </a:moveTo>
                                <a:lnTo>
                                  <a:pt x="1403997" y="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10.6pt;height:.25pt;mso-position-horizontal-relative:char;mso-position-vertical-relative:line" id="docshapegroup112" coordorigin="0,0" coordsize="2212,5">
                <v:line style="position:absolute" from="0,3" to="2211,3" stroked="true" strokeweight=".25pt" strokecolor="#000000">
                  <v:stroke dashstyle="solid"/>
                </v:line>
              </v:group>
            </w:pict>
          </mc:Fallback>
        </mc:AlternateContent>
      </w:r>
      <w:r>
        <w:rPr>
          <w:rFonts w:ascii="TT Norms Pro"/>
          <w:sz w:val="2"/>
        </w:rPr>
      </w:r>
      <w:r>
        <w:rPr>
          <w:rFonts w:ascii="TT Norms Pro"/>
          <w:sz w:val="2"/>
        </w:rPr>
        <w:tab/>
      </w:r>
      <w:r>
        <w:rPr>
          <w:rFonts w:ascii="TT Norms Pro"/>
          <w:sz w:val="2"/>
        </w:rPr>
        <mc:AlternateContent>
          <mc:Choice Requires="wps">
            <w:drawing>
              <wp:inline distT="0" distB="0" distL="0" distR="0">
                <wp:extent cx="1404620" cy="3175"/>
                <wp:effectExtent l="9525" t="0" r="0" b="6350"/>
                <wp:docPr id="166" name="Group 166"/>
                <wp:cNvGraphicFramePr>
                  <a:graphicFrameLocks/>
                </wp:cNvGraphicFramePr>
                <a:graphic>
                  <a:graphicData uri="http://schemas.microsoft.com/office/word/2010/wordprocessingGroup">
                    <wpg:wgp>
                      <wpg:cNvPr id="166" name="Group 166"/>
                      <wpg:cNvGrpSpPr/>
                      <wpg:grpSpPr>
                        <a:xfrm>
                          <a:off x="0" y="0"/>
                          <a:ext cx="1404620" cy="3175"/>
                          <a:chExt cx="1404620" cy="3175"/>
                        </a:xfrm>
                      </wpg:grpSpPr>
                      <wps:wsp>
                        <wps:cNvPr id="167" name="Graphic 167"/>
                        <wps:cNvSpPr/>
                        <wps:spPr>
                          <a:xfrm>
                            <a:off x="0" y="1587"/>
                            <a:ext cx="1404620" cy="1270"/>
                          </a:xfrm>
                          <a:custGeom>
                            <a:avLst/>
                            <a:gdLst/>
                            <a:ahLst/>
                            <a:cxnLst/>
                            <a:rect l="l" t="t" r="r" b="b"/>
                            <a:pathLst>
                              <a:path w="1404620" h="0">
                                <a:moveTo>
                                  <a:pt x="0" y="0"/>
                                </a:moveTo>
                                <a:lnTo>
                                  <a:pt x="1403997" y="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10.6pt;height:.25pt;mso-position-horizontal-relative:char;mso-position-vertical-relative:line" id="docshapegroup113" coordorigin="0,0" coordsize="2212,5">
                <v:line style="position:absolute" from="0,3" to="2211,3" stroked="true" strokeweight=".25pt" strokecolor="#000000">
                  <v:stroke dashstyle="solid"/>
                </v:line>
              </v:group>
            </w:pict>
          </mc:Fallback>
        </mc:AlternateContent>
      </w:r>
      <w:r>
        <w:rPr>
          <w:rFonts w:ascii="TT Norms Pro"/>
          <w:sz w:val="2"/>
        </w:rPr>
      </w:r>
    </w:p>
    <w:p>
      <w:pPr>
        <w:spacing w:after="0" w:line="20" w:lineRule="exact"/>
        <w:rPr>
          <w:rFonts w:ascii="TT Norms Pro"/>
          <w:sz w:val="2"/>
        </w:rPr>
        <w:sectPr>
          <w:type w:val="continuous"/>
          <w:pgSz w:w="11910" w:h="16840"/>
          <w:pgMar w:header="468" w:footer="0" w:top="980" w:bottom="280" w:left="940" w:right="0"/>
        </w:sectPr>
      </w:pPr>
    </w:p>
    <w:p>
      <w:pPr>
        <w:spacing w:line="256" w:lineRule="auto" w:before="85"/>
        <w:ind w:left="4185" w:right="0" w:firstLine="515"/>
        <w:jc w:val="left"/>
        <w:rPr>
          <w:rFonts w:ascii="TT Norms Pro"/>
          <w:sz w:val="16"/>
        </w:rPr>
      </w:pPr>
      <w:r>
        <w:rPr>
          <w:rFonts w:ascii="TT Norms Pro"/>
          <w:spacing w:val="-2"/>
          <w:sz w:val="16"/>
        </w:rPr>
        <w:t>Director</w:t>
      </w:r>
      <w:r>
        <w:rPr>
          <w:rFonts w:ascii="TT Norms Pro"/>
          <w:spacing w:val="40"/>
          <w:sz w:val="16"/>
        </w:rPr>
        <w:t> </w:t>
      </w:r>
      <w:r>
        <w:rPr>
          <w:rFonts w:ascii="TT Norms Pro"/>
          <w:sz w:val="16"/>
        </w:rPr>
        <w:t>Institute</w:t>
      </w:r>
      <w:r>
        <w:rPr>
          <w:rFonts w:ascii="TT Norms Pro"/>
          <w:spacing w:val="-9"/>
          <w:sz w:val="16"/>
        </w:rPr>
        <w:t> </w:t>
      </w:r>
      <w:r>
        <w:rPr>
          <w:rFonts w:ascii="TT Norms Pro"/>
          <w:sz w:val="16"/>
        </w:rPr>
        <w:t>of</w:t>
      </w:r>
      <w:r>
        <w:rPr>
          <w:rFonts w:ascii="TT Norms Pro"/>
          <w:spacing w:val="-8"/>
          <w:sz w:val="16"/>
        </w:rPr>
        <w:t> </w:t>
      </w:r>
      <w:r>
        <w:rPr>
          <w:rFonts w:ascii="TT Norms Pro"/>
          <w:sz w:val="16"/>
        </w:rPr>
        <w:t>Agriculture</w:t>
      </w:r>
    </w:p>
    <w:p>
      <w:pPr>
        <w:spacing w:line="256" w:lineRule="auto" w:before="85"/>
        <w:ind w:left="854" w:right="2756" w:firstLine="0"/>
        <w:jc w:val="center"/>
        <w:rPr>
          <w:rFonts w:ascii="TT Norms Pro"/>
          <w:sz w:val="16"/>
        </w:rPr>
      </w:pPr>
      <w:r>
        <w:rPr/>
        <w:br w:type="column"/>
      </w:r>
      <w:r>
        <w:rPr>
          <w:rFonts w:ascii="TT Norms Pro"/>
          <w:sz w:val="16"/>
        </w:rPr>
        <w:t>Executive</w:t>
      </w:r>
      <w:r>
        <w:rPr>
          <w:rFonts w:ascii="TT Norms Pro"/>
          <w:spacing w:val="-7"/>
          <w:sz w:val="16"/>
        </w:rPr>
        <w:t> </w:t>
      </w:r>
      <w:r>
        <w:rPr>
          <w:rFonts w:ascii="TT Norms Pro"/>
          <w:sz w:val="16"/>
        </w:rPr>
        <w:t>Director</w:t>
      </w:r>
      <w:r>
        <w:rPr>
          <w:rFonts w:ascii="TT Norms Pro"/>
          <w:spacing w:val="40"/>
          <w:sz w:val="16"/>
        </w:rPr>
        <w:t> </w:t>
      </w:r>
      <w:r>
        <w:rPr>
          <w:rFonts w:ascii="TT Norms Pro"/>
          <w:sz w:val="16"/>
        </w:rPr>
        <w:t>International</w:t>
      </w:r>
      <w:r>
        <w:rPr>
          <w:rFonts w:ascii="TT Norms Pro"/>
          <w:spacing w:val="-7"/>
          <w:sz w:val="16"/>
        </w:rPr>
        <w:t> </w:t>
      </w:r>
      <w:r>
        <w:rPr>
          <w:rFonts w:ascii="TT Norms Pro"/>
          <w:sz w:val="16"/>
        </w:rPr>
        <w:t>Centre</w:t>
      </w:r>
      <w:r>
        <w:rPr>
          <w:rFonts w:ascii="TT Norms Pro"/>
          <w:spacing w:val="40"/>
          <w:sz w:val="16"/>
        </w:rPr>
        <w:t> </w:t>
      </w:r>
      <w:r>
        <w:rPr>
          <w:rFonts w:ascii="TT Norms Pro"/>
          <w:sz w:val="16"/>
        </w:rPr>
        <w:t>for</w:t>
      </w:r>
      <w:r>
        <w:rPr>
          <w:rFonts w:ascii="TT Norms Pro"/>
          <w:spacing w:val="-7"/>
          <w:sz w:val="16"/>
        </w:rPr>
        <w:t> </w:t>
      </w:r>
      <w:r>
        <w:rPr>
          <w:rFonts w:ascii="TT Norms Pro"/>
          <w:sz w:val="16"/>
        </w:rPr>
        <w:t>Radio</w:t>
      </w:r>
      <w:r>
        <w:rPr>
          <w:rFonts w:ascii="TT Norms Pro"/>
          <w:spacing w:val="-7"/>
          <w:sz w:val="16"/>
        </w:rPr>
        <w:t> </w:t>
      </w:r>
      <w:r>
        <w:rPr>
          <w:rFonts w:ascii="TT Norms Pro"/>
          <w:sz w:val="16"/>
        </w:rPr>
        <w:t>Astronomy</w:t>
      </w:r>
      <w:r>
        <w:rPr>
          <w:rFonts w:ascii="TT Norms Pro"/>
          <w:spacing w:val="40"/>
          <w:sz w:val="16"/>
        </w:rPr>
        <w:t> </w:t>
      </w:r>
      <w:r>
        <w:rPr>
          <w:rFonts w:ascii="TT Norms Pro"/>
          <w:spacing w:val="-2"/>
          <w:sz w:val="16"/>
        </w:rPr>
        <w:t>Research</w:t>
      </w:r>
    </w:p>
    <w:p>
      <w:pPr>
        <w:spacing w:after="0" w:line="256" w:lineRule="auto"/>
        <w:jc w:val="center"/>
        <w:rPr>
          <w:rFonts w:ascii="TT Norms Pro"/>
          <w:sz w:val="16"/>
        </w:rPr>
        <w:sectPr>
          <w:type w:val="continuous"/>
          <w:pgSz w:w="11910" w:h="16840"/>
          <w:pgMar w:header="468" w:footer="0" w:top="980" w:bottom="280" w:left="940" w:right="0"/>
          <w:cols w:num="2" w:equalWidth="0">
            <w:col w:w="5821" w:space="40"/>
            <w:col w:w="5109"/>
          </w:cols>
        </w:sectPr>
      </w:pPr>
    </w:p>
    <w:p>
      <w:pPr>
        <w:pStyle w:val="BodyText"/>
        <w:rPr>
          <w:rFonts w:ascii="TT Norms Pro"/>
        </w:rPr>
      </w:pPr>
    </w:p>
    <w:p>
      <w:pPr>
        <w:pStyle w:val="BodyText"/>
        <w:spacing w:before="133"/>
        <w:rPr>
          <w:rFonts w:ascii="TT Norms Pro"/>
        </w:rPr>
      </w:pPr>
    </w:p>
    <w:p>
      <w:pPr>
        <w:pStyle w:val="BodyText"/>
        <w:tabs>
          <w:tab w:pos="2659" w:val="left" w:leader="none"/>
          <w:tab w:pos="4870" w:val="left" w:leader="none"/>
          <w:tab w:pos="5121" w:val="left" w:leader="none"/>
          <w:tab w:pos="7332" w:val="left" w:leader="none"/>
          <w:tab w:pos="7590" w:val="left" w:leader="none"/>
          <w:tab w:pos="9801" w:val="left" w:leader="none"/>
        </w:tabs>
        <w:spacing w:line="178" w:lineRule="exact"/>
        <w:ind w:left="286"/>
        <w:rPr>
          <w:b w:val="0"/>
        </w:rPr>
      </w:pPr>
      <w:r>
        <w:rPr/>
        <mc:AlternateContent>
          <mc:Choice Requires="wps">
            <w:drawing>
              <wp:anchor distT="0" distB="0" distL="0" distR="0" allowOverlap="1" layoutInCell="1" locked="0" behindDoc="0" simplePos="0" relativeHeight="15760384">
                <wp:simplePos x="0" y="0"/>
                <wp:positionH relativeFrom="page">
                  <wp:posOffset>2281336</wp:posOffset>
                </wp:positionH>
                <wp:positionV relativeFrom="paragraph">
                  <wp:posOffset>-152901</wp:posOffset>
                </wp:positionV>
                <wp:extent cx="5285105" cy="155575"/>
                <wp:effectExtent l="0" t="0" r="0" b="0"/>
                <wp:wrapNone/>
                <wp:docPr id="168" name="Group 168"/>
                <wp:cNvGraphicFramePr>
                  <a:graphicFrameLocks/>
                </wp:cNvGraphicFramePr>
                <a:graphic>
                  <a:graphicData uri="http://schemas.microsoft.com/office/word/2010/wordprocessingGroup">
                    <wpg:wgp>
                      <wpg:cNvPr id="168" name="Group 168"/>
                      <wpg:cNvGrpSpPr/>
                      <wpg:grpSpPr>
                        <a:xfrm>
                          <a:off x="0" y="0"/>
                          <a:ext cx="5285105" cy="155575"/>
                          <a:chExt cx="5285105" cy="155575"/>
                        </a:xfrm>
                      </wpg:grpSpPr>
                      <wps:wsp>
                        <wps:cNvPr id="169" name="Graphic 169"/>
                        <wps:cNvSpPr/>
                        <wps:spPr>
                          <a:xfrm>
                            <a:off x="6350" y="6350"/>
                            <a:ext cx="5272405" cy="3810"/>
                          </a:xfrm>
                          <a:custGeom>
                            <a:avLst/>
                            <a:gdLst/>
                            <a:ahLst/>
                            <a:cxnLst/>
                            <a:rect l="l" t="t" r="r" b="b"/>
                            <a:pathLst>
                              <a:path w="5272405" h="3810">
                                <a:moveTo>
                                  <a:pt x="0" y="3435"/>
                                </a:moveTo>
                                <a:lnTo>
                                  <a:pt x="5272318" y="0"/>
                                </a:lnTo>
                              </a:path>
                            </a:pathLst>
                          </a:custGeom>
                          <a:ln w="12700">
                            <a:solidFill>
                              <a:srgbClr val="000000"/>
                            </a:solidFill>
                            <a:prstDash val="solid"/>
                          </a:ln>
                        </wps:spPr>
                        <wps:bodyPr wrap="square" lIns="0" tIns="0" rIns="0" bIns="0" rtlCol="0">
                          <a:prstTxWarp prst="textNoShape">
                            <a:avLst/>
                          </a:prstTxWarp>
                          <a:noAutofit/>
                        </wps:bodyPr>
                      </wps:wsp>
                      <wps:wsp>
                        <wps:cNvPr id="170" name="Graphic 170"/>
                        <wps:cNvSpPr/>
                        <wps:spPr>
                          <a:xfrm>
                            <a:off x="695808" y="13767"/>
                            <a:ext cx="1270" cy="141605"/>
                          </a:xfrm>
                          <a:custGeom>
                            <a:avLst/>
                            <a:gdLst/>
                            <a:ahLst/>
                            <a:cxnLst/>
                            <a:rect l="l" t="t" r="r" b="b"/>
                            <a:pathLst>
                              <a:path w="0" h="141605">
                                <a:moveTo>
                                  <a:pt x="0" y="141198"/>
                                </a:moveTo>
                                <a:lnTo>
                                  <a:pt x="0" y="0"/>
                                </a:lnTo>
                              </a:path>
                            </a:pathLst>
                          </a:custGeom>
                          <a:ln w="12700">
                            <a:solidFill>
                              <a:srgbClr val="000000"/>
                            </a:solidFill>
                            <a:prstDash val="solid"/>
                          </a:ln>
                        </wps:spPr>
                        <wps:bodyPr wrap="square" lIns="0" tIns="0" rIns="0" bIns="0" rtlCol="0">
                          <a:prstTxWarp prst="textNoShape">
                            <a:avLst/>
                          </a:prstTxWarp>
                          <a:noAutofit/>
                        </wps:bodyPr>
                      </wps:wsp>
                      <wps:wsp>
                        <wps:cNvPr id="171" name="Graphic 171"/>
                        <wps:cNvSpPr/>
                        <wps:spPr>
                          <a:xfrm>
                            <a:off x="2263402" y="13767"/>
                            <a:ext cx="1270" cy="141605"/>
                          </a:xfrm>
                          <a:custGeom>
                            <a:avLst/>
                            <a:gdLst/>
                            <a:ahLst/>
                            <a:cxnLst/>
                            <a:rect l="l" t="t" r="r" b="b"/>
                            <a:pathLst>
                              <a:path w="0" h="141605">
                                <a:moveTo>
                                  <a:pt x="0" y="141198"/>
                                </a:moveTo>
                                <a:lnTo>
                                  <a:pt x="0" y="0"/>
                                </a:lnTo>
                              </a:path>
                            </a:pathLst>
                          </a:custGeom>
                          <a:ln w="12700">
                            <a:solidFill>
                              <a:srgbClr val="000000"/>
                            </a:solidFill>
                            <a:prstDash val="solid"/>
                          </a:ln>
                        </wps:spPr>
                        <wps:bodyPr wrap="square" lIns="0" tIns="0" rIns="0" bIns="0" rtlCol="0">
                          <a:prstTxWarp prst="textNoShape">
                            <a:avLst/>
                          </a:prstTxWarp>
                          <a:noAutofit/>
                        </wps:bodyPr>
                      </wps:wsp>
                      <wps:wsp>
                        <wps:cNvPr id="172" name="Graphic 172"/>
                        <wps:cNvSpPr/>
                        <wps:spPr>
                          <a:xfrm>
                            <a:off x="3813689" y="13767"/>
                            <a:ext cx="1270" cy="141605"/>
                          </a:xfrm>
                          <a:custGeom>
                            <a:avLst/>
                            <a:gdLst/>
                            <a:ahLst/>
                            <a:cxnLst/>
                            <a:rect l="l" t="t" r="r" b="b"/>
                            <a:pathLst>
                              <a:path w="0" h="141605">
                                <a:moveTo>
                                  <a:pt x="0" y="141198"/>
                                </a:moveTo>
                                <a:lnTo>
                                  <a:pt x="0" y="0"/>
                                </a:lnTo>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79.632797pt;margin-top:-12.039493pt;width:416.15pt;height:12.25pt;mso-position-horizontal-relative:page;mso-position-vertical-relative:paragraph;z-index:15760384" id="docshapegroup114" coordorigin="3593,-241" coordsize="8323,245">
                <v:line style="position:absolute" from="3603,-225" to="11906,-231" stroked="true" strokeweight="1pt" strokecolor="#000000">
                  <v:stroke dashstyle="solid"/>
                </v:line>
                <v:line style="position:absolute" from="4688,3" to="4688,-219" stroked="true" strokeweight="1pt" strokecolor="#000000">
                  <v:stroke dashstyle="solid"/>
                </v:line>
                <v:line style="position:absolute" from="7157,3" to="7157,-219" stroked="true" strokeweight="1pt" strokecolor="#000000">
                  <v:stroke dashstyle="solid"/>
                </v:line>
                <v:line style="position:absolute" from="9598,3" to="9598,-219" stroked="true" strokeweight="1pt" strokecolor="#000000">
                  <v:stroke dashstyle="solid"/>
                </v:line>
                <w10:wrap type="none"/>
              </v:group>
            </w:pict>
          </mc:Fallback>
        </mc:AlternateContent>
      </w:r>
      <w:r>
        <w:rPr>
          <w:b w:val="0"/>
        </w:rPr>
        <w:t>Deputy</w:t>
      </w:r>
      <w:r>
        <w:rPr>
          <w:b w:val="0"/>
          <w:spacing w:val="15"/>
        </w:rPr>
        <w:t> </w:t>
      </w:r>
      <w:r>
        <w:rPr>
          <w:b w:val="0"/>
        </w:rPr>
        <w:t>Vice-</w:t>
      </w:r>
      <w:r>
        <w:rPr>
          <w:b w:val="0"/>
          <w:spacing w:val="-2"/>
        </w:rPr>
        <w:t>Chancellor</w:t>
      </w:r>
      <w:r>
        <w:rPr>
          <w:b w:val="0"/>
        </w:rPr>
        <w:tab/>
      </w:r>
      <w:r>
        <w:rPr>
          <w:b w:val="0"/>
          <w:u w:val="single"/>
        </w:rPr>
        <w:tab/>
      </w:r>
      <w:r>
        <w:rPr>
          <w:b w:val="0"/>
          <w:u w:val="none"/>
        </w:rPr>
        <w:tab/>
      </w:r>
      <w:r>
        <w:rPr>
          <w:b w:val="0"/>
          <w:u w:val="single"/>
        </w:rPr>
        <w:tab/>
      </w:r>
      <w:r>
        <w:rPr>
          <w:b w:val="0"/>
          <w:u w:val="none"/>
        </w:rPr>
        <w:tab/>
      </w:r>
      <w:r>
        <w:rPr>
          <w:b w:val="0"/>
          <w:u w:val="single"/>
        </w:rPr>
        <w:tab/>
      </w:r>
    </w:p>
    <w:p>
      <w:pPr>
        <w:spacing w:after="0" w:line="178" w:lineRule="exact"/>
        <w:sectPr>
          <w:type w:val="continuous"/>
          <w:pgSz w:w="11910" w:h="16840"/>
          <w:pgMar w:header="468" w:footer="0" w:top="980" w:bottom="280" w:left="940" w:right="0"/>
        </w:sectPr>
      </w:pPr>
    </w:p>
    <w:p>
      <w:pPr>
        <w:pStyle w:val="BodyText"/>
        <w:spacing w:before="21"/>
        <w:ind w:left="848"/>
        <w:rPr>
          <w:b w:val="0"/>
        </w:rPr>
      </w:pPr>
      <w:r>
        <w:rPr>
          <w:b w:val="0"/>
          <w:spacing w:val="-2"/>
        </w:rPr>
        <w:t>Education</w:t>
      </w:r>
    </w:p>
    <w:p>
      <w:pPr>
        <w:spacing w:line="256" w:lineRule="auto" w:before="78"/>
        <w:ind w:left="1222" w:right="38" w:hanging="375"/>
        <w:jc w:val="left"/>
        <w:rPr>
          <w:rFonts w:ascii="TT Norms Pro"/>
          <w:sz w:val="16"/>
        </w:rPr>
      </w:pPr>
      <w:r>
        <w:rPr/>
        <w:br w:type="column"/>
      </w:r>
      <w:r>
        <w:rPr>
          <w:rFonts w:ascii="TT Norms Pro"/>
          <w:sz w:val="16"/>
        </w:rPr>
        <w:t>Pro</w:t>
      </w:r>
      <w:r>
        <w:rPr>
          <w:rFonts w:ascii="TT Norms Pro"/>
          <w:spacing w:val="-7"/>
          <w:sz w:val="16"/>
        </w:rPr>
        <w:t> </w:t>
      </w:r>
      <w:r>
        <w:rPr>
          <w:rFonts w:ascii="TT Norms Pro"/>
          <w:sz w:val="16"/>
        </w:rPr>
        <w:t>Vice-Chancellor</w:t>
      </w:r>
      <w:r>
        <w:rPr>
          <w:rFonts w:ascii="TT Norms Pro"/>
          <w:spacing w:val="40"/>
          <w:sz w:val="16"/>
        </w:rPr>
        <w:t> </w:t>
      </w:r>
      <w:r>
        <w:rPr>
          <w:rFonts w:ascii="TT Norms Pro"/>
          <w:spacing w:val="-2"/>
          <w:sz w:val="16"/>
        </w:rPr>
        <w:t>Academic</w:t>
      </w:r>
    </w:p>
    <w:p>
      <w:pPr>
        <w:spacing w:line="256" w:lineRule="auto" w:before="78"/>
        <w:ind w:left="848" w:right="38" w:hanging="1"/>
        <w:jc w:val="center"/>
        <w:rPr>
          <w:rFonts w:ascii="TT Norms Pro"/>
          <w:sz w:val="16"/>
        </w:rPr>
      </w:pPr>
      <w:r>
        <w:rPr/>
        <w:br w:type="column"/>
      </w:r>
      <w:r>
        <w:rPr>
          <w:rFonts w:ascii="TT Norms Pro"/>
          <w:spacing w:val="-2"/>
          <w:sz w:val="16"/>
        </w:rPr>
        <w:t>Director</w:t>
      </w:r>
      <w:r>
        <w:rPr>
          <w:rFonts w:ascii="TT Norms Pro"/>
          <w:spacing w:val="40"/>
          <w:sz w:val="16"/>
        </w:rPr>
        <w:t> </w:t>
      </w:r>
      <w:r>
        <w:rPr>
          <w:rFonts w:ascii="TT Norms Pro"/>
          <w:sz w:val="16"/>
        </w:rPr>
        <w:t>McCusker</w:t>
      </w:r>
      <w:r>
        <w:rPr>
          <w:rFonts w:ascii="TT Norms Pro"/>
          <w:spacing w:val="-9"/>
          <w:sz w:val="16"/>
        </w:rPr>
        <w:t> </w:t>
      </w:r>
      <w:r>
        <w:rPr>
          <w:rFonts w:ascii="TT Norms Pro"/>
          <w:sz w:val="16"/>
        </w:rPr>
        <w:t>Centre</w:t>
      </w:r>
      <w:r>
        <w:rPr>
          <w:rFonts w:ascii="TT Norms Pro"/>
          <w:spacing w:val="40"/>
          <w:sz w:val="16"/>
        </w:rPr>
        <w:t> </w:t>
      </w:r>
      <w:r>
        <w:rPr>
          <w:rFonts w:ascii="TT Norms Pro"/>
          <w:sz w:val="16"/>
        </w:rPr>
        <w:t>for</w:t>
      </w:r>
      <w:r>
        <w:rPr>
          <w:rFonts w:ascii="TT Norms Pro"/>
          <w:spacing w:val="-9"/>
          <w:sz w:val="16"/>
        </w:rPr>
        <w:t> </w:t>
      </w:r>
      <w:r>
        <w:rPr>
          <w:rFonts w:ascii="TT Norms Pro"/>
          <w:sz w:val="16"/>
        </w:rPr>
        <w:t>Citizenship</w:t>
      </w:r>
    </w:p>
    <w:p>
      <w:pPr>
        <w:spacing w:line="256" w:lineRule="auto" w:before="78"/>
        <w:ind w:left="848" w:right="1742" w:firstLine="222"/>
        <w:jc w:val="left"/>
        <w:rPr>
          <w:rFonts w:ascii="TT Norms Pro"/>
          <w:sz w:val="16"/>
        </w:rPr>
      </w:pPr>
      <w:r>
        <w:rPr/>
        <w:br w:type="column"/>
      </w:r>
      <w:r>
        <w:rPr>
          <w:rFonts w:ascii="TT Norms Pro"/>
          <w:spacing w:val="-2"/>
          <w:sz w:val="16"/>
        </w:rPr>
        <w:t>Director</w:t>
      </w:r>
      <w:r>
        <w:rPr>
          <w:rFonts w:ascii="TT Norms Pro"/>
          <w:spacing w:val="40"/>
          <w:sz w:val="16"/>
        </w:rPr>
        <w:t> </w:t>
      </w:r>
      <w:r>
        <w:rPr>
          <w:rFonts w:ascii="TT Norms Pro"/>
          <w:sz w:val="16"/>
        </w:rPr>
        <w:t>Albany</w:t>
      </w:r>
      <w:r>
        <w:rPr>
          <w:rFonts w:ascii="TT Norms Pro"/>
          <w:spacing w:val="-9"/>
          <w:sz w:val="16"/>
        </w:rPr>
        <w:t> </w:t>
      </w:r>
      <w:r>
        <w:rPr>
          <w:rFonts w:ascii="TT Norms Pro"/>
          <w:sz w:val="16"/>
        </w:rPr>
        <w:t>Centre</w:t>
      </w:r>
    </w:p>
    <w:p>
      <w:pPr>
        <w:spacing w:after="0" w:line="256" w:lineRule="auto"/>
        <w:jc w:val="left"/>
        <w:rPr>
          <w:rFonts w:ascii="TT Norms Pro"/>
          <w:sz w:val="16"/>
        </w:rPr>
        <w:sectPr>
          <w:type w:val="continuous"/>
          <w:pgSz w:w="11910" w:h="16840"/>
          <w:pgMar w:header="468" w:footer="0" w:top="980" w:bottom="280" w:left="940" w:right="0"/>
          <w:cols w:num="4" w:equalWidth="0">
            <w:col w:w="1714" w:space="462"/>
            <w:col w:w="2373" w:space="183"/>
            <w:col w:w="2182" w:space="409"/>
            <w:col w:w="3647"/>
          </w:cols>
        </w:sectPr>
      </w:pPr>
    </w:p>
    <w:p>
      <w:pPr>
        <w:pStyle w:val="BodyText"/>
        <w:rPr>
          <w:rFonts w:ascii="TT Norms Pro"/>
          <w:sz w:val="20"/>
        </w:rPr>
      </w:pPr>
    </w:p>
    <w:p>
      <w:pPr>
        <w:pStyle w:val="BodyText"/>
        <w:spacing w:before="29"/>
        <w:rPr>
          <w:rFonts w:ascii="TT Norms Pro"/>
          <w:sz w:val="20"/>
        </w:rPr>
      </w:pPr>
    </w:p>
    <w:p>
      <w:pPr>
        <w:spacing w:after="0"/>
        <w:rPr>
          <w:rFonts w:ascii="TT Norms Pro"/>
          <w:sz w:val="20"/>
        </w:rPr>
        <w:sectPr>
          <w:type w:val="continuous"/>
          <w:pgSz w:w="11910" w:h="16840"/>
          <w:pgMar w:header="468" w:footer="0" w:top="980" w:bottom="280" w:left="940" w:right="0"/>
        </w:sectPr>
      </w:pPr>
    </w:p>
    <w:p>
      <w:pPr>
        <w:pStyle w:val="BodyText"/>
        <w:spacing w:line="228" w:lineRule="auto" w:before="131"/>
        <w:ind w:left="984" w:right="38" w:hanging="320"/>
        <w:rPr>
          <w:b w:val="0"/>
        </w:rPr>
      </w:pPr>
      <w:r>
        <w:rPr>
          <w:b w:val="0"/>
        </w:rPr>
        <w:t>Chief</w:t>
      </w:r>
      <w:r>
        <w:rPr>
          <w:b w:val="0"/>
          <w:spacing w:val="-9"/>
        </w:rPr>
        <w:t> </w:t>
      </w:r>
      <w:r>
        <w:rPr>
          <w:b w:val="0"/>
        </w:rPr>
        <w:t>Financial</w:t>
      </w:r>
      <w:r>
        <w:rPr>
          <w:b w:val="0"/>
          <w:spacing w:val="40"/>
        </w:rPr>
        <w:t> </w:t>
      </w:r>
      <w:r>
        <w:rPr>
          <w:b w:val="0"/>
          <w:spacing w:val="-2"/>
        </w:rPr>
        <w:t>Officer</w:t>
      </w:r>
    </w:p>
    <w:p>
      <w:pPr>
        <w:spacing w:line="240" w:lineRule="auto" w:before="4" w:after="24"/>
        <w:rPr>
          <w:rFonts w:ascii="TT Norms Pro Light"/>
          <w:b w:val="0"/>
          <w:sz w:val="20"/>
        </w:rPr>
      </w:pPr>
      <w:r>
        <w:rPr/>
        <w:br w:type="column"/>
      </w:r>
      <w:r>
        <w:rPr>
          <w:rFonts w:ascii="TT Norms Pro Light"/>
          <w:b w:val="0"/>
          <w:sz w:val="20"/>
        </w:rPr>
      </w:r>
    </w:p>
    <w:p>
      <w:pPr>
        <w:pStyle w:val="BodyText"/>
        <w:spacing w:line="20" w:lineRule="exact"/>
        <w:ind w:left="339"/>
        <w:rPr>
          <w:sz w:val="2"/>
        </w:rPr>
      </w:pPr>
      <w:r>
        <w:rPr>
          <w:sz w:val="2"/>
        </w:rPr>
        <mc:AlternateContent>
          <mc:Choice Requires="wps">
            <w:drawing>
              <wp:inline distT="0" distB="0" distL="0" distR="0">
                <wp:extent cx="1404620" cy="3175"/>
                <wp:effectExtent l="9525" t="0" r="0" b="6350"/>
                <wp:docPr id="173" name="Group 173"/>
                <wp:cNvGraphicFramePr>
                  <a:graphicFrameLocks/>
                </wp:cNvGraphicFramePr>
                <a:graphic>
                  <a:graphicData uri="http://schemas.microsoft.com/office/word/2010/wordprocessingGroup">
                    <wpg:wgp>
                      <wpg:cNvPr id="173" name="Group 173"/>
                      <wpg:cNvGrpSpPr/>
                      <wpg:grpSpPr>
                        <a:xfrm>
                          <a:off x="0" y="0"/>
                          <a:ext cx="1404620" cy="3175"/>
                          <a:chExt cx="1404620" cy="3175"/>
                        </a:xfrm>
                      </wpg:grpSpPr>
                      <wps:wsp>
                        <wps:cNvPr id="174" name="Graphic 174"/>
                        <wps:cNvSpPr/>
                        <wps:spPr>
                          <a:xfrm>
                            <a:off x="0" y="1587"/>
                            <a:ext cx="1404620" cy="1270"/>
                          </a:xfrm>
                          <a:custGeom>
                            <a:avLst/>
                            <a:gdLst/>
                            <a:ahLst/>
                            <a:cxnLst/>
                            <a:rect l="l" t="t" r="r" b="b"/>
                            <a:pathLst>
                              <a:path w="1404620" h="0">
                                <a:moveTo>
                                  <a:pt x="0" y="0"/>
                                </a:moveTo>
                                <a:lnTo>
                                  <a:pt x="1403997" y="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10.6pt;height:.25pt;mso-position-horizontal-relative:char;mso-position-vertical-relative:line" id="docshapegroup115" coordorigin="0,0" coordsize="2212,5">
                <v:line style="position:absolute" from="0,2" to="2211,2" stroked="true" strokeweight=".25pt" strokecolor="#000000">
                  <v:stroke dashstyle="solid"/>
                </v:line>
              </v:group>
            </w:pict>
          </mc:Fallback>
        </mc:AlternateContent>
      </w:r>
      <w:r>
        <w:rPr>
          <w:sz w:val="2"/>
        </w:rPr>
      </w:r>
    </w:p>
    <w:p>
      <w:pPr>
        <w:spacing w:line="256" w:lineRule="auto" w:before="85"/>
        <w:ind w:left="664" w:right="6417" w:firstLine="478"/>
        <w:jc w:val="left"/>
        <w:rPr>
          <w:rFonts w:ascii="TT Norms Pro"/>
          <w:sz w:val="16"/>
        </w:rPr>
      </w:pPr>
      <w:r>
        <w:rPr/>
        <mc:AlternateContent>
          <mc:Choice Requires="wps">
            <w:drawing>
              <wp:anchor distT="0" distB="0" distL="0" distR="0" allowOverlap="1" layoutInCell="1" locked="0" behindDoc="0" simplePos="0" relativeHeight="15760896">
                <wp:simplePos x="0" y="0"/>
                <wp:positionH relativeFrom="page">
                  <wp:posOffset>2287686</wp:posOffset>
                </wp:positionH>
                <wp:positionV relativeFrom="paragraph">
                  <wp:posOffset>-245483</wp:posOffset>
                </wp:positionV>
                <wp:extent cx="677545" cy="158115"/>
                <wp:effectExtent l="0" t="0" r="0" b="0"/>
                <wp:wrapNone/>
                <wp:docPr id="175" name="Graphic 175"/>
                <wp:cNvGraphicFramePr>
                  <a:graphicFrameLocks/>
                </wp:cNvGraphicFramePr>
                <a:graphic>
                  <a:graphicData uri="http://schemas.microsoft.com/office/word/2010/wordprocessingShape">
                    <wps:wsp>
                      <wps:cNvPr id="175" name="Graphic 175"/>
                      <wps:cNvSpPr/>
                      <wps:spPr>
                        <a:xfrm>
                          <a:off x="0" y="0"/>
                          <a:ext cx="677545" cy="158115"/>
                        </a:xfrm>
                        <a:custGeom>
                          <a:avLst/>
                          <a:gdLst/>
                          <a:ahLst/>
                          <a:cxnLst/>
                          <a:rect l="l" t="t" r="r" b="b"/>
                          <a:pathLst>
                            <a:path w="677545" h="158115">
                              <a:moveTo>
                                <a:pt x="0" y="1752"/>
                              </a:moveTo>
                              <a:lnTo>
                                <a:pt x="677532" y="0"/>
                              </a:lnTo>
                              <a:lnTo>
                                <a:pt x="677214" y="157873"/>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80.132797pt;margin-top:-19.329399pt;width:53.35pt;height:12.45pt;mso-position-horizontal-relative:page;mso-position-vertical-relative:paragraph;z-index:15760896" id="docshape116" coordorigin="3603,-387" coordsize="1067,249" path="m3603,-384l4670,-387,4669,-138e" filled="false" stroked="true" strokeweight="1pt" strokecolor="#000000">
                <v:path arrowok="t"/>
                <v:stroke dashstyle="solid"/>
                <w10:wrap type="none"/>
              </v:shape>
            </w:pict>
          </mc:Fallback>
        </mc:AlternateContent>
      </w:r>
      <w:r>
        <w:rPr>
          <w:rFonts w:ascii="TT Norms Pro"/>
          <w:spacing w:val="-2"/>
          <w:sz w:val="16"/>
        </w:rPr>
        <w:t>Director</w:t>
      </w:r>
      <w:r>
        <w:rPr>
          <w:rFonts w:ascii="TT Norms Pro"/>
          <w:spacing w:val="40"/>
          <w:sz w:val="16"/>
        </w:rPr>
        <w:t> </w:t>
      </w:r>
      <w:r>
        <w:rPr>
          <w:rFonts w:ascii="TT Norms Pro"/>
          <w:sz w:val="16"/>
        </w:rPr>
        <w:t>Venues</w:t>
      </w:r>
      <w:r>
        <w:rPr>
          <w:rFonts w:ascii="TT Norms Pro"/>
          <w:spacing w:val="-9"/>
          <w:sz w:val="16"/>
        </w:rPr>
        <w:t> </w:t>
      </w:r>
      <w:r>
        <w:rPr>
          <w:rFonts w:ascii="TT Norms Pro"/>
          <w:sz w:val="16"/>
        </w:rPr>
        <w:t>Management</w:t>
      </w:r>
    </w:p>
    <w:p>
      <w:pPr>
        <w:spacing w:after="0" w:line="256" w:lineRule="auto"/>
        <w:jc w:val="left"/>
        <w:rPr>
          <w:rFonts w:ascii="TT Norms Pro"/>
          <w:sz w:val="16"/>
        </w:rPr>
        <w:sectPr>
          <w:type w:val="continuous"/>
          <w:pgSz w:w="11910" w:h="16840"/>
          <w:pgMar w:header="468" w:footer="0" w:top="980" w:bottom="280" w:left="940" w:right="0"/>
          <w:cols w:num="2" w:equalWidth="0">
            <w:col w:w="1897" w:space="424"/>
            <w:col w:w="8649"/>
          </w:cols>
        </w:sectPr>
      </w:pPr>
    </w:p>
    <w:p>
      <w:pPr>
        <w:pStyle w:val="BodyText"/>
        <w:rPr>
          <w:rFonts w:ascii="TT Norms Pro"/>
          <w:sz w:val="20"/>
        </w:rPr>
      </w:pPr>
    </w:p>
    <w:p>
      <w:pPr>
        <w:pStyle w:val="BodyText"/>
        <w:rPr>
          <w:rFonts w:ascii="TT Norms Pro"/>
          <w:sz w:val="20"/>
        </w:rPr>
      </w:pPr>
    </w:p>
    <w:p>
      <w:pPr>
        <w:pStyle w:val="BodyText"/>
        <w:spacing w:before="198"/>
        <w:rPr>
          <w:rFonts w:ascii="TT Norms Pro"/>
          <w:sz w:val="20"/>
        </w:rPr>
      </w:pPr>
    </w:p>
    <w:p>
      <w:pPr>
        <w:tabs>
          <w:tab w:pos="5121" w:val="left" w:leader="none"/>
        </w:tabs>
        <w:spacing w:line="20" w:lineRule="exact"/>
        <w:ind w:left="2660" w:right="0" w:firstLine="0"/>
        <w:jc w:val="left"/>
        <w:rPr>
          <w:rFonts w:ascii="TT Norms Pro"/>
          <w:sz w:val="2"/>
        </w:rPr>
      </w:pPr>
      <w:r>
        <w:rPr>
          <w:rFonts w:ascii="TT Norms Pro"/>
          <w:sz w:val="2"/>
        </w:rPr>
        <mc:AlternateContent>
          <mc:Choice Requires="wps">
            <w:drawing>
              <wp:inline distT="0" distB="0" distL="0" distR="0">
                <wp:extent cx="1404620" cy="3175"/>
                <wp:effectExtent l="9525" t="0" r="0" b="6350"/>
                <wp:docPr id="176" name="Group 176"/>
                <wp:cNvGraphicFramePr>
                  <a:graphicFrameLocks/>
                </wp:cNvGraphicFramePr>
                <a:graphic>
                  <a:graphicData uri="http://schemas.microsoft.com/office/word/2010/wordprocessingGroup">
                    <wpg:wgp>
                      <wpg:cNvPr id="176" name="Group 176"/>
                      <wpg:cNvGrpSpPr/>
                      <wpg:grpSpPr>
                        <a:xfrm>
                          <a:off x="0" y="0"/>
                          <a:ext cx="1404620" cy="3175"/>
                          <a:chExt cx="1404620" cy="3175"/>
                        </a:xfrm>
                      </wpg:grpSpPr>
                      <wps:wsp>
                        <wps:cNvPr id="177" name="Graphic 177"/>
                        <wps:cNvSpPr/>
                        <wps:spPr>
                          <a:xfrm>
                            <a:off x="0" y="1587"/>
                            <a:ext cx="1404620" cy="1270"/>
                          </a:xfrm>
                          <a:custGeom>
                            <a:avLst/>
                            <a:gdLst/>
                            <a:ahLst/>
                            <a:cxnLst/>
                            <a:rect l="l" t="t" r="r" b="b"/>
                            <a:pathLst>
                              <a:path w="1404620" h="0">
                                <a:moveTo>
                                  <a:pt x="0" y="0"/>
                                </a:moveTo>
                                <a:lnTo>
                                  <a:pt x="1403997" y="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10.6pt;height:.25pt;mso-position-horizontal-relative:char;mso-position-vertical-relative:line" id="docshapegroup117" coordorigin="0,0" coordsize="2212,5">
                <v:line style="position:absolute" from="0,3" to="2211,3" stroked="true" strokeweight=".25pt" strokecolor="#000000">
                  <v:stroke dashstyle="solid"/>
                </v:line>
              </v:group>
            </w:pict>
          </mc:Fallback>
        </mc:AlternateContent>
      </w:r>
      <w:r>
        <w:rPr>
          <w:rFonts w:ascii="TT Norms Pro"/>
          <w:sz w:val="2"/>
        </w:rPr>
      </w:r>
      <w:r>
        <w:rPr>
          <w:rFonts w:ascii="TT Norms Pro"/>
          <w:sz w:val="2"/>
        </w:rPr>
        <w:tab/>
      </w:r>
      <w:r>
        <w:rPr>
          <w:rFonts w:ascii="TT Norms Pro"/>
          <w:sz w:val="2"/>
        </w:rPr>
        <mc:AlternateContent>
          <mc:Choice Requires="wps">
            <w:drawing>
              <wp:inline distT="0" distB="0" distL="0" distR="0">
                <wp:extent cx="1404620" cy="3175"/>
                <wp:effectExtent l="9525" t="0" r="0" b="6350"/>
                <wp:docPr id="178" name="Group 178"/>
                <wp:cNvGraphicFramePr>
                  <a:graphicFrameLocks/>
                </wp:cNvGraphicFramePr>
                <a:graphic>
                  <a:graphicData uri="http://schemas.microsoft.com/office/word/2010/wordprocessingGroup">
                    <wpg:wgp>
                      <wpg:cNvPr id="178" name="Group 178"/>
                      <wpg:cNvGrpSpPr/>
                      <wpg:grpSpPr>
                        <a:xfrm>
                          <a:off x="0" y="0"/>
                          <a:ext cx="1404620" cy="3175"/>
                          <a:chExt cx="1404620" cy="3175"/>
                        </a:xfrm>
                      </wpg:grpSpPr>
                      <wps:wsp>
                        <wps:cNvPr id="179" name="Graphic 179"/>
                        <wps:cNvSpPr/>
                        <wps:spPr>
                          <a:xfrm>
                            <a:off x="0" y="1587"/>
                            <a:ext cx="1404620" cy="1270"/>
                          </a:xfrm>
                          <a:custGeom>
                            <a:avLst/>
                            <a:gdLst/>
                            <a:ahLst/>
                            <a:cxnLst/>
                            <a:rect l="l" t="t" r="r" b="b"/>
                            <a:pathLst>
                              <a:path w="1404620" h="0">
                                <a:moveTo>
                                  <a:pt x="0" y="0"/>
                                </a:moveTo>
                                <a:lnTo>
                                  <a:pt x="1403997" y="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10.6pt;height:.25pt;mso-position-horizontal-relative:char;mso-position-vertical-relative:line" id="docshapegroup118" coordorigin="0,0" coordsize="2212,5">
                <v:line style="position:absolute" from="0,3" to="2211,3" stroked="true" strokeweight=".25pt" strokecolor="#000000">
                  <v:stroke dashstyle="solid"/>
                </v:line>
              </v:group>
            </w:pict>
          </mc:Fallback>
        </mc:AlternateContent>
      </w:r>
      <w:r>
        <w:rPr>
          <w:rFonts w:ascii="TT Norms Pro"/>
          <w:sz w:val="2"/>
        </w:rPr>
      </w:r>
      <w:r>
        <w:rPr>
          <w:rFonts w:ascii="Times New Roman"/>
          <w:spacing w:val="196"/>
          <w:sz w:val="2"/>
        </w:rPr>
        <w:t> </w:t>
      </w:r>
      <w:r>
        <w:rPr>
          <w:rFonts w:ascii="TT Norms Pro"/>
          <w:spacing w:val="196"/>
          <w:sz w:val="2"/>
        </w:rPr>
        <mc:AlternateContent>
          <mc:Choice Requires="wps">
            <w:drawing>
              <wp:inline distT="0" distB="0" distL="0" distR="0">
                <wp:extent cx="1404620" cy="3175"/>
                <wp:effectExtent l="9525" t="0" r="0" b="6350"/>
                <wp:docPr id="180" name="Group 180"/>
                <wp:cNvGraphicFramePr>
                  <a:graphicFrameLocks/>
                </wp:cNvGraphicFramePr>
                <a:graphic>
                  <a:graphicData uri="http://schemas.microsoft.com/office/word/2010/wordprocessingGroup">
                    <wpg:wgp>
                      <wpg:cNvPr id="180" name="Group 180"/>
                      <wpg:cNvGrpSpPr/>
                      <wpg:grpSpPr>
                        <a:xfrm>
                          <a:off x="0" y="0"/>
                          <a:ext cx="1404620" cy="3175"/>
                          <a:chExt cx="1404620" cy="3175"/>
                        </a:xfrm>
                      </wpg:grpSpPr>
                      <wps:wsp>
                        <wps:cNvPr id="181" name="Graphic 181"/>
                        <wps:cNvSpPr/>
                        <wps:spPr>
                          <a:xfrm>
                            <a:off x="0" y="1587"/>
                            <a:ext cx="1404620" cy="1270"/>
                          </a:xfrm>
                          <a:custGeom>
                            <a:avLst/>
                            <a:gdLst/>
                            <a:ahLst/>
                            <a:cxnLst/>
                            <a:rect l="l" t="t" r="r" b="b"/>
                            <a:pathLst>
                              <a:path w="1404620" h="0">
                                <a:moveTo>
                                  <a:pt x="0" y="0"/>
                                </a:moveTo>
                                <a:lnTo>
                                  <a:pt x="1403997" y="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10.6pt;height:.25pt;mso-position-horizontal-relative:char;mso-position-vertical-relative:line" id="docshapegroup119" coordorigin="0,0" coordsize="2212,5">
                <v:line style="position:absolute" from="0,3" to="2211,3" stroked="true" strokeweight=".25pt" strokecolor="#000000">
                  <v:stroke dashstyle="solid"/>
                </v:line>
              </v:group>
            </w:pict>
          </mc:Fallback>
        </mc:AlternateContent>
      </w:r>
      <w:r>
        <w:rPr>
          <w:rFonts w:ascii="TT Norms Pro"/>
          <w:spacing w:val="196"/>
          <w:sz w:val="2"/>
        </w:rPr>
      </w:r>
    </w:p>
    <w:p>
      <w:pPr>
        <w:spacing w:after="0" w:line="20" w:lineRule="exact"/>
        <w:jc w:val="left"/>
        <w:rPr>
          <w:rFonts w:ascii="TT Norms Pro"/>
          <w:sz w:val="2"/>
        </w:rPr>
        <w:sectPr>
          <w:type w:val="continuous"/>
          <w:pgSz w:w="11910" w:h="16840"/>
          <w:pgMar w:header="468" w:footer="0" w:top="980" w:bottom="280" w:left="940" w:right="0"/>
        </w:sectPr>
      </w:pPr>
    </w:p>
    <w:p>
      <w:pPr>
        <w:spacing w:before="85"/>
        <w:ind w:left="0" w:right="0" w:firstLine="0"/>
        <w:jc w:val="right"/>
        <w:rPr>
          <w:rFonts w:ascii="TT Norms Pro"/>
          <w:sz w:val="16"/>
        </w:rPr>
      </w:pPr>
      <w:r>
        <w:rPr>
          <w:rFonts w:ascii="TT Norms Pro"/>
          <w:sz w:val="16"/>
        </w:rPr>
        <w:t>Chief</w:t>
      </w:r>
      <w:r>
        <w:rPr>
          <w:rFonts w:ascii="TT Norms Pro"/>
          <w:spacing w:val="7"/>
          <w:sz w:val="16"/>
        </w:rPr>
        <w:t> </w:t>
      </w:r>
      <w:r>
        <w:rPr>
          <w:rFonts w:ascii="TT Norms Pro"/>
          <w:sz w:val="16"/>
        </w:rPr>
        <w:t>Digital</w:t>
      </w:r>
      <w:r>
        <w:rPr>
          <w:rFonts w:ascii="TT Norms Pro"/>
          <w:spacing w:val="7"/>
          <w:sz w:val="16"/>
        </w:rPr>
        <w:t> </w:t>
      </w:r>
      <w:r>
        <w:rPr>
          <w:rFonts w:ascii="TT Norms Pro"/>
          <w:spacing w:val="-2"/>
          <w:sz w:val="16"/>
        </w:rPr>
        <w:t>Officer</w:t>
      </w:r>
    </w:p>
    <w:p>
      <w:pPr>
        <w:spacing w:line="256" w:lineRule="auto" w:before="85"/>
        <w:ind w:left="976" w:right="0" w:hanging="167"/>
        <w:jc w:val="left"/>
        <w:rPr>
          <w:rFonts w:ascii="TT Norms Pro"/>
          <w:sz w:val="16"/>
        </w:rPr>
      </w:pPr>
      <w:r>
        <w:rPr/>
        <w:br w:type="column"/>
      </w:r>
      <w:r>
        <w:rPr>
          <w:rFonts w:ascii="TT Norms Pro"/>
          <w:sz w:val="16"/>
        </w:rPr>
        <w:t>Deputy</w:t>
      </w:r>
      <w:r>
        <w:rPr>
          <w:rFonts w:ascii="TT Norms Pro"/>
          <w:spacing w:val="-9"/>
          <w:sz w:val="16"/>
        </w:rPr>
        <w:t> </w:t>
      </w:r>
      <w:r>
        <w:rPr>
          <w:rFonts w:ascii="TT Norms Pro"/>
          <w:sz w:val="16"/>
        </w:rPr>
        <w:t>Vice-Chancellor</w:t>
      </w:r>
      <w:r>
        <w:rPr>
          <w:rFonts w:ascii="TT Norms Pro"/>
          <w:spacing w:val="40"/>
          <w:sz w:val="16"/>
        </w:rPr>
        <w:t> </w:t>
      </w:r>
      <w:r>
        <w:rPr>
          <w:rFonts w:ascii="TT Norms Pro"/>
          <w:sz w:val="16"/>
        </w:rPr>
        <w:t>Global</w:t>
      </w:r>
      <w:r>
        <w:rPr>
          <w:rFonts w:ascii="TT Norms Pro"/>
          <w:spacing w:val="-7"/>
          <w:sz w:val="16"/>
        </w:rPr>
        <w:t> </w:t>
      </w:r>
      <w:r>
        <w:rPr>
          <w:rFonts w:ascii="TT Norms Pro"/>
          <w:sz w:val="16"/>
        </w:rPr>
        <w:t>Partnerships</w:t>
      </w:r>
    </w:p>
    <w:p>
      <w:pPr>
        <w:spacing w:line="256" w:lineRule="auto" w:before="85"/>
        <w:ind w:left="701" w:right="1503" w:firstLine="58"/>
        <w:jc w:val="left"/>
        <w:rPr>
          <w:rFonts w:ascii="TT Norms Pro"/>
          <w:sz w:val="16"/>
        </w:rPr>
      </w:pPr>
      <w:r>
        <w:rPr/>
        <w:br w:type="column"/>
      </w:r>
      <w:r>
        <w:rPr>
          <w:rFonts w:ascii="TT Norms Pro"/>
          <w:sz w:val="16"/>
        </w:rPr>
        <w:t>Pro</w:t>
      </w:r>
      <w:r>
        <w:rPr>
          <w:rFonts w:ascii="TT Norms Pro"/>
          <w:spacing w:val="-7"/>
          <w:sz w:val="16"/>
        </w:rPr>
        <w:t> </w:t>
      </w:r>
      <w:r>
        <w:rPr>
          <w:rFonts w:ascii="TT Norms Pro"/>
          <w:sz w:val="16"/>
        </w:rPr>
        <w:t>Vice-Chancellor</w:t>
      </w:r>
      <w:r>
        <w:rPr>
          <w:rFonts w:ascii="TT Norms Pro"/>
          <w:spacing w:val="40"/>
          <w:sz w:val="16"/>
        </w:rPr>
        <w:t> </w:t>
      </w:r>
      <w:r>
        <w:rPr>
          <w:rFonts w:ascii="TT Norms Pro"/>
          <w:sz w:val="16"/>
        </w:rPr>
        <w:t>Indigenous</w:t>
      </w:r>
      <w:r>
        <w:rPr>
          <w:rFonts w:ascii="TT Norms Pro"/>
          <w:spacing w:val="-7"/>
          <w:sz w:val="16"/>
        </w:rPr>
        <w:t> </w:t>
      </w:r>
      <w:r>
        <w:rPr>
          <w:rFonts w:ascii="TT Norms Pro"/>
          <w:sz w:val="16"/>
        </w:rPr>
        <w:t>Education</w:t>
      </w:r>
    </w:p>
    <w:p>
      <w:pPr>
        <w:spacing w:after="0" w:line="256" w:lineRule="auto"/>
        <w:jc w:val="left"/>
        <w:rPr>
          <w:rFonts w:ascii="TT Norms Pro"/>
          <w:sz w:val="16"/>
        </w:rPr>
        <w:sectPr>
          <w:type w:val="continuous"/>
          <w:pgSz w:w="11910" w:h="16840"/>
          <w:pgMar w:header="468" w:footer="0" w:top="980" w:bottom="280" w:left="940" w:right="0"/>
          <w:cols w:num="3" w:equalWidth="0">
            <w:col w:w="4489" w:space="40"/>
            <w:col w:w="2587" w:space="39"/>
            <w:col w:w="3815"/>
          </w:cols>
        </w:sectPr>
      </w:pPr>
    </w:p>
    <w:p>
      <w:pPr>
        <w:pStyle w:val="BodyText"/>
        <w:rPr>
          <w:rFonts w:ascii="TT Norms Pro"/>
          <w:sz w:val="20"/>
        </w:rPr>
      </w:pPr>
    </w:p>
    <w:p>
      <w:pPr>
        <w:pStyle w:val="BodyText"/>
        <w:rPr>
          <w:rFonts w:ascii="TT Norms Pro"/>
          <w:sz w:val="20"/>
        </w:rPr>
      </w:pPr>
    </w:p>
    <w:p>
      <w:pPr>
        <w:pStyle w:val="BodyText"/>
        <w:rPr>
          <w:rFonts w:ascii="TT Norms Pro"/>
          <w:sz w:val="20"/>
        </w:rPr>
      </w:pPr>
    </w:p>
    <w:p>
      <w:pPr>
        <w:pStyle w:val="BodyText"/>
        <w:rPr>
          <w:rFonts w:ascii="TT Norms Pro"/>
          <w:sz w:val="20"/>
        </w:rPr>
      </w:pPr>
    </w:p>
    <w:p>
      <w:pPr>
        <w:pStyle w:val="BodyText"/>
        <w:rPr>
          <w:rFonts w:ascii="TT Norms Pro"/>
          <w:sz w:val="20"/>
        </w:rPr>
      </w:pPr>
    </w:p>
    <w:p>
      <w:pPr>
        <w:pStyle w:val="BodyText"/>
        <w:rPr>
          <w:rFonts w:ascii="TT Norms Pro"/>
          <w:sz w:val="20"/>
        </w:rPr>
      </w:pPr>
    </w:p>
    <w:p>
      <w:pPr>
        <w:pStyle w:val="BodyText"/>
        <w:rPr>
          <w:rFonts w:ascii="TT Norms Pro"/>
          <w:sz w:val="20"/>
        </w:rPr>
      </w:pPr>
    </w:p>
    <w:p>
      <w:pPr>
        <w:pStyle w:val="BodyText"/>
        <w:rPr>
          <w:rFonts w:ascii="TT Norms Pro"/>
          <w:sz w:val="20"/>
        </w:rPr>
      </w:pPr>
    </w:p>
    <w:p>
      <w:pPr>
        <w:pStyle w:val="BodyText"/>
        <w:rPr>
          <w:rFonts w:ascii="TT Norms Pro"/>
          <w:sz w:val="20"/>
        </w:rPr>
      </w:pPr>
    </w:p>
    <w:p>
      <w:pPr>
        <w:pStyle w:val="BodyText"/>
        <w:rPr>
          <w:rFonts w:ascii="TT Norms Pro"/>
          <w:sz w:val="20"/>
        </w:rPr>
      </w:pPr>
    </w:p>
    <w:p>
      <w:pPr>
        <w:pStyle w:val="BodyText"/>
        <w:rPr>
          <w:rFonts w:ascii="TT Norms Pro"/>
          <w:sz w:val="20"/>
        </w:rPr>
      </w:pPr>
    </w:p>
    <w:p>
      <w:pPr>
        <w:pStyle w:val="BodyText"/>
        <w:rPr>
          <w:rFonts w:ascii="TT Norms Pro"/>
          <w:sz w:val="20"/>
        </w:rPr>
      </w:pPr>
    </w:p>
    <w:p>
      <w:pPr>
        <w:pStyle w:val="BodyText"/>
        <w:rPr>
          <w:rFonts w:ascii="TT Norms Pro"/>
          <w:sz w:val="20"/>
        </w:rPr>
      </w:pPr>
    </w:p>
    <w:p>
      <w:pPr>
        <w:pStyle w:val="BodyText"/>
        <w:rPr>
          <w:rFonts w:ascii="TT Norms Pro"/>
          <w:sz w:val="20"/>
        </w:rPr>
      </w:pPr>
    </w:p>
    <w:p>
      <w:pPr>
        <w:pStyle w:val="BodyText"/>
        <w:spacing w:before="148"/>
        <w:rPr>
          <w:rFonts w:ascii="TT Norms Pro"/>
          <w:sz w:val="20"/>
        </w:rPr>
      </w:pPr>
    </w:p>
    <w:p>
      <w:pPr>
        <w:spacing w:after="0"/>
        <w:rPr>
          <w:rFonts w:ascii="TT Norms Pro"/>
          <w:sz w:val="20"/>
        </w:rPr>
        <w:sectPr>
          <w:pgSz w:w="11910" w:h="16840"/>
          <w:pgMar w:header="468" w:footer="0" w:top="720" w:bottom="280" w:left="940" w:right="0"/>
        </w:sectPr>
      </w:pPr>
    </w:p>
    <w:p>
      <w:pPr>
        <w:pStyle w:val="BodyText"/>
        <w:rPr>
          <w:rFonts w:ascii="TT Norms Pro"/>
          <w:sz w:val="16"/>
        </w:rPr>
      </w:pPr>
    </w:p>
    <w:p>
      <w:pPr>
        <w:pStyle w:val="BodyText"/>
        <w:rPr>
          <w:rFonts w:ascii="TT Norms Pro"/>
          <w:sz w:val="16"/>
        </w:rPr>
      </w:pPr>
    </w:p>
    <w:p>
      <w:pPr>
        <w:pStyle w:val="BodyText"/>
        <w:rPr>
          <w:rFonts w:ascii="TT Norms Pro"/>
          <w:sz w:val="16"/>
        </w:rPr>
      </w:pPr>
    </w:p>
    <w:p>
      <w:pPr>
        <w:pStyle w:val="BodyText"/>
        <w:rPr>
          <w:rFonts w:ascii="TT Norms Pro"/>
          <w:sz w:val="16"/>
        </w:rPr>
      </w:pPr>
    </w:p>
    <w:p>
      <w:pPr>
        <w:pStyle w:val="BodyText"/>
        <w:rPr>
          <w:rFonts w:ascii="TT Norms Pro"/>
          <w:sz w:val="16"/>
        </w:rPr>
      </w:pPr>
    </w:p>
    <w:p>
      <w:pPr>
        <w:pStyle w:val="BodyText"/>
        <w:rPr>
          <w:rFonts w:ascii="TT Norms Pro"/>
          <w:sz w:val="16"/>
        </w:rPr>
      </w:pPr>
    </w:p>
    <w:p>
      <w:pPr>
        <w:pStyle w:val="BodyText"/>
        <w:rPr>
          <w:rFonts w:ascii="TT Norms Pro"/>
          <w:sz w:val="16"/>
        </w:rPr>
      </w:pPr>
    </w:p>
    <w:p>
      <w:pPr>
        <w:pStyle w:val="BodyText"/>
        <w:rPr>
          <w:rFonts w:ascii="TT Norms Pro"/>
          <w:sz w:val="16"/>
        </w:rPr>
      </w:pPr>
    </w:p>
    <w:p>
      <w:pPr>
        <w:pStyle w:val="BodyText"/>
        <w:rPr>
          <w:rFonts w:ascii="TT Norms Pro"/>
          <w:sz w:val="16"/>
        </w:rPr>
      </w:pPr>
    </w:p>
    <w:p>
      <w:pPr>
        <w:pStyle w:val="BodyText"/>
        <w:rPr>
          <w:rFonts w:ascii="TT Norms Pro"/>
          <w:sz w:val="16"/>
        </w:rPr>
      </w:pPr>
    </w:p>
    <w:p>
      <w:pPr>
        <w:pStyle w:val="BodyText"/>
        <w:rPr>
          <w:rFonts w:ascii="TT Norms Pro"/>
          <w:sz w:val="16"/>
        </w:rPr>
      </w:pPr>
    </w:p>
    <w:p>
      <w:pPr>
        <w:pStyle w:val="BodyText"/>
        <w:rPr>
          <w:rFonts w:ascii="TT Norms Pro"/>
          <w:sz w:val="16"/>
        </w:rPr>
      </w:pPr>
    </w:p>
    <w:p>
      <w:pPr>
        <w:pStyle w:val="BodyText"/>
        <w:spacing w:before="102"/>
        <w:rPr>
          <w:rFonts w:ascii="TT Norms Pro"/>
          <w:sz w:val="16"/>
        </w:rPr>
      </w:pPr>
    </w:p>
    <w:p>
      <w:pPr>
        <w:spacing w:line="256" w:lineRule="auto" w:before="0"/>
        <w:ind w:left="933" w:right="38" w:hanging="580"/>
        <w:jc w:val="left"/>
        <w:rPr>
          <w:rFonts w:ascii="TT Norms Pro"/>
          <w:sz w:val="16"/>
        </w:rPr>
      </w:pPr>
      <w:r>
        <w:rPr/>
        <mc:AlternateContent>
          <mc:Choice Requires="wps">
            <w:drawing>
              <wp:anchor distT="0" distB="0" distL="0" distR="0" allowOverlap="1" layoutInCell="1" locked="0" behindDoc="0" simplePos="0" relativeHeight="15773696">
                <wp:simplePos x="0" y="0"/>
                <wp:positionH relativeFrom="page">
                  <wp:posOffset>686981</wp:posOffset>
                </wp:positionH>
                <wp:positionV relativeFrom="paragraph">
                  <wp:posOffset>-604958</wp:posOffset>
                </wp:positionV>
                <wp:extent cx="1440180" cy="442595"/>
                <wp:effectExtent l="0" t="0" r="0" b="0"/>
                <wp:wrapNone/>
                <wp:docPr id="182" name="Textbox 182"/>
                <wp:cNvGraphicFramePr>
                  <a:graphicFrameLocks/>
                </wp:cNvGraphicFramePr>
                <a:graphic>
                  <a:graphicData uri="http://schemas.microsoft.com/office/word/2010/wordprocessingShape">
                    <wps:wsp>
                      <wps:cNvPr id="182" name="Textbox 182"/>
                      <wps:cNvSpPr txBox="1"/>
                      <wps:spPr>
                        <a:xfrm>
                          <a:off x="0" y="0"/>
                          <a:ext cx="1440180" cy="442595"/>
                        </a:xfrm>
                        <a:prstGeom prst="rect">
                          <a:avLst/>
                        </a:prstGeom>
                        <a:solidFill>
                          <a:srgbClr val="EBEBEC"/>
                        </a:solidFill>
                      </wps:spPr>
                      <wps:txbx>
                        <w:txbxContent>
                          <w:p>
                            <w:pPr>
                              <w:spacing w:line="256" w:lineRule="auto" w:before="164"/>
                              <w:ind w:left="986" w:right="0" w:hanging="774"/>
                              <w:jc w:val="left"/>
                              <w:rPr>
                                <w:rFonts w:ascii="TT Norms Pro"/>
                                <w:color w:val="000000"/>
                                <w:sz w:val="16"/>
                              </w:rPr>
                            </w:pPr>
                            <w:r>
                              <w:rPr>
                                <w:rFonts w:ascii="TT Norms Pro"/>
                                <w:color w:val="000000"/>
                                <w:sz w:val="16"/>
                              </w:rPr>
                              <w:t>Dean</w:t>
                            </w:r>
                            <w:r>
                              <w:rPr>
                                <w:rFonts w:ascii="TT Norms Pro"/>
                                <w:color w:val="000000"/>
                                <w:spacing w:val="-2"/>
                                <w:sz w:val="16"/>
                              </w:rPr>
                              <w:t> </w:t>
                            </w:r>
                            <w:r>
                              <w:rPr>
                                <w:rFonts w:ascii="TT Norms Pro"/>
                                <w:color w:val="000000"/>
                                <w:sz w:val="16"/>
                              </w:rPr>
                              <w:t>and</w:t>
                            </w:r>
                            <w:r>
                              <w:rPr>
                                <w:rFonts w:ascii="TT Norms Pro"/>
                                <w:color w:val="000000"/>
                                <w:spacing w:val="-2"/>
                                <w:sz w:val="16"/>
                              </w:rPr>
                              <w:t> </w:t>
                            </w:r>
                            <w:r>
                              <w:rPr>
                                <w:rFonts w:ascii="TT Norms Pro"/>
                                <w:color w:val="000000"/>
                                <w:sz w:val="16"/>
                              </w:rPr>
                              <w:t>Head</w:t>
                            </w:r>
                            <w:r>
                              <w:rPr>
                                <w:rFonts w:ascii="TT Norms Pro"/>
                                <w:color w:val="000000"/>
                                <w:spacing w:val="-2"/>
                                <w:sz w:val="16"/>
                              </w:rPr>
                              <w:t> </w:t>
                            </w:r>
                            <w:r>
                              <w:rPr>
                                <w:rFonts w:ascii="TT Norms Pro"/>
                                <w:color w:val="000000"/>
                                <w:sz w:val="16"/>
                              </w:rPr>
                              <w:t>of</w:t>
                            </w:r>
                            <w:r>
                              <w:rPr>
                                <w:rFonts w:ascii="TT Norms Pro"/>
                                <w:color w:val="000000"/>
                                <w:spacing w:val="-2"/>
                                <w:sz w:val="16"/>
                              </w:rPr>
                              <w:t> </w:t>
                            </w:r>
                            <w:r>
                              <w:rPr>
                                <w:rFonts w:ascii="TT Norms Pro"/>
                                <w:color w:val="000000"/>
                                <w:sz w:val="16"/>
                              </w:rPr>
                              <w:t>School</w:t>
                            </w:r>
                            <w:r>
                              <w:rPr>
                                <w:rFonts w:ascii="TT Norms Pro"/>
                                <w:color w:val="000000"/>
                                <w:spacing w:val="40"/>
                                <w:sz w:val="16"/>
                              </w:rPr>
                              <w:t> </w:t>
                            </w:r>
                            <w:r>
                              <w:rPr>
                                <w:rFonts w:ascii="TT Norms Pro"/>
                                <w:color w:val="000000"/>
                                <w:spacing w:val="-4"/>
                                <w:sz w:val="16"/>
                              </w:rPr>
                              <w:t>Law</w:t>
                            </w:r>
                          </w:p>
                        </w:txbxContent>
                      </wps:txbx>
                      <wps:bodyPr wrap="square" lIns="0" tIns="0" rIns="0" bIns="0" rtlCol="0">
                        <a:noAutofit/>
                      </wps:bodyPr>
                    </wps:wsp>
                  </a:graphicData>
                </a:graphic>
              </wp:anchor>
            </w:drawing>
          </mc:Choice>
          <mc:Fallback>
            <w:pict>
              <v:shape style="position:absolute;margin-left:54.092999pt;margin-top:-47.634499pt;width:113.4pt;height:34.85pt;mso-position-horizontal-relative:page;mso-position-vertical-relative:paragraph;z-index:15773696" type="#_x0000_t202" id="docshape120" filled="true" fillcolor="#ebebec" stroked="false">
                <v:textbox inset="0,0,0,0">
                  <w:txbxContent>
                    <w:p>
                      <w:pPr>
                        <w:spacing w:line="256" w:lineRule="auto" w:before="164"/>
                        <w:ind w:left="986" w:right="0" w:hanging="774"/>
                        <w:jc w:val="left"/>
                        <w:rPr>
                          <w:rFonts w:ascii="TT Norms Pro"/>
                          <w:color w:val="000000"/>
                          <w:sz w:val="16"/>
                        </w:rPr>
                      </w:pPr>
                      <w:r>
                        <w:rPr>
                          <w:rFonts w:ascii="TT Norms Pro"/>
                          <w:color w:val="000000"/>
                          <w:sz w:val="16"/>
                        </w:rPr>
                        <w:t>Dean</w:t>
                      </w:r>
                      <w:r>
                        <w:rPr>
                          <w:rFonts w:ascii="TT Norms Pro"/>
                          <w:color w:val="000000"/>
                          <w:spacing w:val="-2"/>
                          <w:sz w:val="16"/>
                        </w:rPr>
                        <w:t> </w:t>
                      </w:r>
                      <w:r>
                        <w:rPr>
                          <w:rFonts w:ascii="TT Norms Pro"/>
                          <w:color w:val="000000"/>
                          <w:sz w:val="16"/>
                        </w:rPr>
                        <w:t>and</w:t>
                      </w:r>
                      <w:r>
                        <w:rPr>
                          <w:rFonts w:ascii="TT Norms Pro"/>
                          <w:color w:val="000000"/>
                          <w:spacing w:val="-2"/>
                          <w:sz w:val="16"/>
                        </w:rPr>
                        <w:t> </w:t>
                      </w:r>
                      <w:r>
                        <w:rPr>
                          <w:rFonts w:ascii="TT Norms Pro"/>
                          <w:color w:val="000000"/>
                          <w:sz w:val="16"/>
                        </w:rPr>
                        <w:t>Head</w:t>
                      </w:r>
                      <w:r>
                        <w:rPr>
                          <w:rFonts w:ascii="TT Norms Pro"/>
                          <w:color w:val="000000"/>
                          <w:spacing w:val="-2"/>
                          <w:sz w:val="16"/>
                        </w:rPr>
                        <w:t> </w:t>
                      </w:r>
                      <w:r>
                        <w:rPr>
                          <w:rFonts w:ascii="TT Norms Pro"/>
                          <w:color w:val="000000"/>
                          <w:sz w:val="16"/>
                        </w:rPr>
                        <w:t>of</w:t>
                      </w:r>
                      <w:r>
                        <w:rPr>
                          <w:rFonts w:ascii="TT Norms Pro"/>
                          <w:color w:val="000000"/>
                          <w:spacing w:val="-2"/>
                          <w:sz w:val="16"/>
                        </w:rPr>
                        <w:t> </w:t>
                      </w:r>
                      <w:r>
                        <w:rPr>
                          <w:rFonts w:ascii="TT Norms Pro"/>
                          <w:color w:val="000000"/>
                          <w:sz w:val="16"/>
                        </w:rPr>
                        <w:t>School</w:t>
                      </w:r>
                      <w:r>
                        <w:rPr>
                          <w:rFonts w:ascii="TT Norms Pro"/>
                          <w:color w:val="000000"/>
                          <w:spacing w:val="40"/>
                          <w:sz w:val="16"/>
                        </w:rPr>
                        <w:t> </w:t>
                      </w:r>
                      <w:r>
                        <w:rPr>
                          <w:rFonts w:ascii="TT Norms Pro"/>
                          <w:color w:val="000000"/>
                          <w:spacing w:val="-4"/>
                          <w:sz w:val="16"/>
                        </w:rPr>
                        <w:t>Law</w:t>
                      </w:r>
                    </w:p>
                  </w:txbxContent>
                </v:textbox>
                <v:fill type="solid"/>
                <w10:wrap type="none"/>
              </v:shape>
            </w:pict>
          </mc:Fallback>
        </mc:AlternateContent>
      </w:r>
      <w:r>
        <w:rPr/>
        <mc:AlternateContent>
          <mc:Choice Requires="wps">
            <w:drawing>
              <wp:anchor distT="0" distB="0" distL="0" distR="0" allowOverlap="1" layoutInCell="1" locked="0" behindDoc="0" simplePos="0" relativeHeight="15774720">
                <wp:simplePos x="0" y="0"/>
                <wp:positionH relativeFrom="page">
                  <wp:posOffset>686981</wp:posOffset>
                </wp:positionH>
                <wp:positionV relativeFrom="paragraph">
                  <wp:posOffset>-1100270</wp:posOffset>
                </wp:positionV>
                <wp:extent cx="1440180" cy="442595"/>
                <wp:effectExtent l="0" t="0" r="0" b="0"/>
                <wp:wrapNone/>
                <wp:docPr id="183" name="Textbox 183"/>
                <wp:cNvGraphicFramePr>
                  <a:graphicFrameLocks/>
                </wp:cNvGraphicFramePr>
                <a:graphic>
                  <a:graphicData uri="http://schemas.microsoft.com/office/word/2010/wordprocessingShape">
                    <wps:wsp>
                      <wps:cNvPr id="183" name="Textbox 183"/>
                      <wps:cNvSpPr txBox="1"/>
                      <wps:spPr>
                        <a:xfrm>
                          <a:off x="0" y="0"/>
                          <a:ext cx="1440180" cy="442595"/>
                        </a:xfrm>
                        <a:prstGeom prst="rect">
                          <a:avLst/>
                        </a:prstGeom>
                        <a:solidFill>
                          <a:srgbClr val="EBEBEC"/>
                        </a:solidFill>
                      </wps:spPr>
                      <wps:txbx>
                        <w:txbxContent>
                          <w:p>
                            <w:pPr>
                              <w:spacing w:line="256" w:lineRule="auto" w:before="164"/>
                              <w:ind w:left="80" w:right="90" w:firstLine="498"/>
                              <w:jc w:val="left"/>
                              <w:rPr>
                                <w:rFonts w:ascii="TT Norms Pro"/>
                                <w:color w:val="000000"/>
                                <w:sz w:val="16"/>
                              </w:rPr>
                            </w:pPr>
                            <w:r>
                              <w:rPr>
                                <w:rFonts w:ascii="TT Norms Pro"/>
                                <w:color w:val="000000"/>
                                <w:sz w:val="16"/>
                              </w:rPr>
                              <w:t>Head of School</w:t>
                            </w:r>
                            <w:r>
                              <w:rPr>
                                <w:rFonts w:ascii="TT Norms Pro"/>
                                <w:color w:val="000000"/>
                                <w:spacing w:val="40"/>
                                <w:sz w:val="16"/>
                              </w:rPr>
                              <w:t> </w:t>
                            </w:r>
                            <w:r>
                              <w:rPr>
                                <w:rFonts w:ascii="TT Norms Pro"/>
                                <w:color w:val="000000"/>
                                <w:sz w:val="16"/>
                              </w:rPr>
                              <w:t>School</w:t>
                            </w:r>
                            <w:r>
                              <w:rPr>
                                <w:rFonts w:ascii="TT Norms Pro"/>
                                <w:color w:val="000000"/>
                                <w:spacing w:val="-1"/>
                                <w:sz w:val="16"/>
                              </w:rPr>
                              <w:t> </w:t>
                            </w:r>
                            <w:r>
                              <w:rPr>
                                <w:rFonts w:ascii="TT Norms Pro"/>
                                <w:color w:val="000000"/>
                                <w:sz w:val="16"/>
                              </w:rPr>
                              <w:t>of Indigenous Studies</w:t>
                            </w:r>
                          </w:p>
                        </w:txbxContent>
                      </wps:txbx>
                      <wps:bodyPr wrap="square" lIns="0" tIns="0" rIns="0" bIns="0" rtlCol="0">
                        <a:noAutofit/>
                      </wps:bodyPr>
                    </wps:wsp>
                  </a:graphicData>
                </a:graphic>
              </wp:anchor>
            </w:drawing>
          </mc:Choice>
          <mc:Fallback>
            <w:pict>
              <v:shape style="position:absolute;margin-left:54.092999pt;margin-top:-86.635498pt;width:113.4pt;height:34.85pt;mso-position-horizontal-relative:page;mso-position-vertical-relative:paragraph;z-index:15774720" type="#_x0000_t202" id="docshape121" filled="true" fillcolor="#ebebec" stroked="false">
                <v:textbox inset="0,0,0,0">
                  <w:txbxContent>
                    <w:p>
                      <w:pPr>
                        <w:spacing w:line="256" w:lineRule="auto" w:before="164"/>
                        <w:ind w:left="80" w:right="90" w:firstLine="498"/>
                        <w:jc w:val="left"/>
                        <w:rPr>
                          <w:rFonts w:ascii="TT Norms Pro"/>
                          <w:color w:val="000000"/>
                          <w:sz w:val="16"/>
                        </w:rPr>
                      </w:pPr>
                      <w:r>
                        <w:rPr>
                          <w:rFonts w:ascii="TT Norms Pro"/>
                          <w:color w:val="000000"/>
                          <w:sz w:val="16"/>
                        </w:rPr>
                        <w:t>Head of School</w:t>
                      </w:r>
                      <w:r>
                        <w:rPr>
                          <w:rFonts w:ascii="TT Norms Pro"/>
                          <w:color w:val="000000"/>
                          <w:spacing w:val="40"/>
                          <w:sz w:val="16"/>
                        </w:rPr>
                        <w:t> </w:t>
                      </w:r>
                      <w:r>
                        <w:rPr>
                          <w:rFonts w:ascii="TT Norms Pro"/>
                          <w:color w:val="000000"/>
                          <w:sz w:val="16"/>
                        </w:rPr>
                        <w:t>School</w:t>
                      </w:r>
                      <w:r>
                        <w:rPr>
                          <w:rFonts w:ascii="TT Norms Pro"/>
                          <w:color w:val="000000"/>
                          <w:spacing w:val="-1"/>
                          <w:sz w:val="16"/>
                        </w:rPr>
                        <w:t> </w:t>
                      </w:r>
                      <w:r>
                        <w:rPr>
                          <w:rFonts w:ascii="TT Norms Pro"/>
                          <w:color w:val="000000"/>
                          <w:sz w:val="16"/>
                        </w:rPr>
                        <w:t>of Indigenous Studies</w:t>
                      </w:r>
                    </w:p>
                  </w:txbxContent>
                </v:textbox>
                <v:fill type="solid"/>
                <w10:wrap type="none"/>
              </v:shape>
            </w:pict>
          </mc:Fallback>
        </mc:AlternateContent>
      </w:r>
      <w:r>
        <w:rPr/>
        <mc:AlternateContent>
          <mc:Choice Requires="wps">
            <w:drawing>
              <wp:anchor distT="0" distB="0" distL="0" distR="0" allowOverlap="1" layoutInCell="1" locked="0" behindDoc="0" simplePos="0" relativeHeight="15775744">
                <wp:simplePos x="0" y="0"/>
                <wp:positionH relativeFrom="page">
                  <wp:posOffset>686981</wp:posOffset>
                </wp:positionH>
                <wp:positionV relativeFrom="paragraph">
                  <wp:posOffset>-1595596</wp:posOffset>
                </wp:positionV>
                <wp:extent cx="1440180" cy="442595"/>
                <wp:effectExtent l="0" t="0" r="0" b="0"/>
                <wp:wrapNone/>
                <wp:docPr id="184" name="Textbox 184"/>
                <wp:cNvGraphicFramePr>
                  <a:graphicFrameLocks/>
                </wp:cNvGraphicFramePr>
                <a:graphic>
                  <a:graphicData uri="http://schemas.microsoft.com/office/word/2010/wordprocessingShape">
                    <wps:wsp>
                      <wps:cNvPr id="184" name="Textbox 184"/>
                      <wps:cNvSpPr txBox="1"/>
                      <wps:spPr>
                        <a:xfrm>
                          <a:off x="0" y="0"/>
                          <a:ext cx="1440180" cy="442595"/>
                        </a:xfrm>
                        <a:prstGeom prst="rect">
                          <a:avLst/>
                        </a:prstGeom>
                        <a:solidFill>
                          <a:srgbClr val="EBEBEC"/>
                        </a:solidFill>
                      </wps:spPr>
                      <wps:txbx>
                        <w:txbxContent>
                          <w:p>
                            <w:pPr>
                              <w:spacing w:line="256" w:lineRule="auto" w:before="164"/>
                              <w:ind w:left="525" w:right="243" w:firstLine="53"/>
                              <w:jc w:val="left"/>
                              <w:rPr>
                                <w:rFonts w:ascii="TT Norms Pro"/>
                                <w:color w:val="000000"/>
                                <w:sz w:val="16"/>
                              </w:rPr>
                            </w:pPr>
                            <w:r>
                              <w:rPr>
                                <w:rFonts w:ascii="TT Norms Pro"/>
                                <w:color w:val="000000"/>
                                <w:sz w:val="16"/>
                              </w:rPr>
                              <w:t>Head of School</w:t>
                            </w:r>
                            <w:r>
                              <w:rPr>
                                <w:rFonts w:ascii="TT Norms Pro"/>
                                <w:color w:val="000000"/>
                                <w:spacing w:val="40"/>
                                <w:sz w:val="16"/>
                              </w:rPr>
                              <w:t> </w:t>
                            </w:r>
                            <w:r>
                              <w:rPr>
                                <w:rFonts w:ascii="TT Norms Pro"/>
                                <w:color w:val="000000"/>
                                <w:sz w:val="16"/>
                              </w:rPr>
                              <w:t>Human</w:t>
                            </w:r>
                            <w:r>
                              <w:rPr>
                                <w:rFonts w:ascii="TT Norms Pro"/>
                                <w:color w:val="000000"/>
                                <w:spacing w:val="5"/>
                                <w:sz w:val="16"/>
                              </w:rPr>
                              <w:t> </w:t>
                            </w:r>
                            <w:r>
                              <w:rPr>
                                <w:rFonts w:ascii="TT Norms Pro"/>
                                <w:color w:val="000000"/>
                                <w:spacing w:val="-2"/>
                                <w:sz w:val="16"/>
                              </w:rPr>
                              <w:t>Sciences</w:t>
                            </w:r>
                          </w:p>
                        </w:txbxContent>
                      </wps:txbx>
                      <wps:bodyPr wrap="square" lIns="0" tIns="0" rIns="0" bIns="0" rtlCol="0">
                        <a:noAutofit/>
                      </wps:bodyPr>
                    </wps:wsp>
                  </a:graphicData>
                </a:graphic>
              </wp:anchor>
            </w:drawing>
          </mc:Choice>
          <mc:Fallback>
            <w:pict>
              <v:shape style="position:absolute;margin-left:54.092999pt;margin-top:-125.637497pt;width:113.4pt;height:34.85pt;mso-position-horizontal-relative:page;mso-position-vertical-relative:paragraph;z-index:15775744" type="#_x0000_t202" id="docshape122" filled="true" fillcolor="#ebebec" stroked="false">
                <v:textbox inset="0,0,0,0">
                  <w:txbxContent>
                    <w:p>
                      <w:pPr>
                        <w:spacing w:line="256" w:lineRule="auto" w:before="164"/>
                        <w:ind w:left="525" w:right="243" w:firstLine="53"/>
                        <w:jc w:val="left"/>
                        <w:rPr>
                          <w:rFonts w:ascii="TT Norms Pro"/>
                          <w:color w:val="000000"/>
                          <w:sz w:val="16"/>
                        </w:rPr>
                      </w:pPr>
                      <w:r>
                        <w:rPr>
                          <w:rFonts w:ascii="TT Norms Pro"/>
                          <w:color w:val="000000"/>
                          <w:sz w:val="16"/>
                        </w:rPr>
                        <w:t>Head of School</w:t>
                      </w:r>
                      <w:r>
                        <w:rPr>
                          <w:rFonts w:ascii="TT Norms Pro"/>
                          <w:color w:val="000000"/>
                          <w:spacing w:val="40"/>
                          <w:sz w:val="16"/>
                        </w:rPr>
                        <w:t> </w:t>
                      </w:r>
                      <w:r>
                        <w:rPr>
                          <w:rFonts w:ascii="TT Norms Pro"/>
                          <w:color w:val="000000"/>
                          <w:sz w:val="16"/>
                        </w:rPr>
                        <w:t>Human</w:t>
                      </w:r>
                      <w:r>
                        <w:rPr>
                          <w:rFonts w:ascii="TT Norms Pro"/>
                          <w:color w:val="000000"/>
                          <w:spacing w:val="5"/>
                          <w:sz w:val="16"/>
                        </w:rPr>
                        <w:t> </w:t>
                      </w:r>
                      <w:r>
                        <w:rPr>
                          <w:rFonts w:ascii="TT Norms Pro"/>
                          <w:color w:val="000000"/>
                          <w:spacing w:val="-2"/>
                          <w:sz w:val="16"/>
                        </w:rPr>
                        <w:t>Sciences</w:t>
                      </w:r>
                    </w:p>
                  </w:txbxContent>
                </v:textbox>
                <v:fill type="solid"/>
                <w10:wrap type="none"/>
              </v:shape>
            </w:pict>
          </mc:Fallback>
        </mc:AlternateContent>
      </w:r>
      <w:r>
        <w:rPr>
          <w:rFonts w:ascii="TT Norms Pro"/>
          <w:sz w:val="16"/>
        </w:rPr>
        <w:t>Dean</w:t>
      </w:r>
      <w:r>
        <w:rPr>
          <w:rFonts w:ascii="TT Norms Pro"/>
          <w:spacing w:val="-2"/>
          <w:sz w:val="16"/>
        </w:rPr>
        <w:t> </w:t>
      </w:r>
      <w:r>
        <w:rPr>
          <w:rFonts w:ascii="TT Norms Pro"/>
          <w:sz w:val="16"/>
        </w:rPr>
        <w:t>and</w:t>
      </w:r>
      <w:r>
        <w:rPr>
          <w:rFonts w:ascii="TT Norms Pro"/>
          <w:spacing w:val="-2"/>
          <w:sz w:val="16"/>
        </w:rPr>
        <w:t> </w:t>
      </w:r>
      <w:r>
        <w:rPr>
          <w:rFonts w:ascii="TT Norms Pro"/>
          <w:sz w:val="16"/>
        </w:rPr>
        <w:t>Head</w:t>
      </w:r>
      <w:r>
        <w:rPr>
          <w:rFonts w:ascii="TT Norms Pro"/>
          <w:spacing w:val="-2"/>
          <w:sz w:val="16"/>
        </w:rPr>
        <w:t> </w:t>
      </w:r>
      <w:r>
        <w:rPr>
          <w:rFonts w:ascii="TT Norms Pro"/>
          <w:sz w:val="16"/>
        </w:rPr>
        <w:t>of</w:t>
      </w:r>
      <w:r>
        <w:rPr>
          <w:rFonts w:ascii="TT Norms Pro"/>
          <w:spacing w:val="-2"/>
          <w:sz w:val="16"/>
        </w:rPr>
        <w:t> </w:t>
      </w:r>
      <w:r>
        <w:rPr>
          <w:rFonts w:ascii="TT Norms Pro"/>
          <w:sz w:val="16"/>
        </w:rPr>
        <w:t>School</w:t>
      </w:r>
      <w:r>
        <w:rPr>
          <w:rFonts w:ascii="TT Norms Pro"/>
          <w:spacing w:val="40"/>
          <w:sz w:val="16"/>
        </w:rPr>
        <w:t> </w:t>
      </w:r>
      <w:r>
        <w:rPr>
          <w:rFonts w:ascii="TT Norms Pro"/>
          <w:spacing w:val="-2"/>
          <w:sz w:val="16"/>
        </w:rPr>
        <w:t>Medicine</w:t>
      </w:r>
    </w:p>
    <w:p>
      <w:pPr>
        <w:spacing w:line="240" w:lineRule="auto"/>
        <w:ind w:left="295" w:right="-72" w:firstLine="0"/>
        <w:rPr>
          <w:rFonts w:ascii="TT Norms Pro"/>
          <w:sz w:val="20"/>
        </w:rPr>
      </w:pPr>
      <w:r>
        <w:rPr/>
        <w:br w:type="column"/>
      </w:r>
      <w:r>
        <w:rPr>
          <w:rFonts w:ascii="TT Norms Pro"/>
          <w:sz w:val="20"/>
        </w:rPr>
        <mc:AlternateContent>
          <mc:Choice Requires="wps">
            <w:drawing>
              <wp:inline distT="0" distB="0" distL="0" distR="0">
                <wp:extent cx="1440180" cy="442595"/>
                <wp:effectExtent l="0" t="0" r="0" b="0"/>
                <wp:docPr id="185" name="Textbox 185"/>
                <wp:cNvGraphicFramePr>
                  <a:graphicFrameLocks/>
                </wp:cNvGraphicFramePr>
                <a:graphic>
                  <a:graphicData uri="http://schemas.microsoft.com/office/word/2010/wordprocessingShape">
                    <wps:wsp>
                      <wps:cNvPr id="185" name="Textbox 185"/>
                      <wps:cNvSpPr txBox="1"/>
                      <wps:spPr>
                        <a:xfrm>
                          <a:off x="0" y="0"/>
                          <a:ext cx="1440180" cy="442595"/>
                        </a:xfrm>
                        <a:prstGeom prst="rect">
                          <a:avLst/>
                        </a:prstGeom>
                        <a:solidFill>
                          <a:srgbClr val="EBEBEC"/>
                        </a:solidFill>
                      </wps:spPr>
                      <wps:txbx>
                        <w:txbxContent>
                          <w:p>
                            <w:pPr>
                              <w:spacing w:line="256" w:lineRule="auto" w:before="164"/>
                              <w:ind w:left="426" w:right="0" w:firstLine="152"/>
                              <w:jc w:val="left"/>
                              <w:rPr>
                                <w:rFonts w:ascii="TT Norms Pro"/>
                                <w:color w:val="000000"/>
                                <w:sz w:val="16"/>
                              </w:rPr>
                            </w:pPr>
                            <w:r>
                              <w:rPr>
                                <w:rFonts w:ascii="TT Norms Pro"/>
                                <w:color w:val="000000"/>
                                <w:sz w:val="16"/>
                              </w:rPr>
                              <w:t>Head of School</w:t>
                            </w:r>
                            <w:r>
                              <w:rPr>
                                <w:rFonts w:ascii="TT Norms Pro"/>
                                <w:color w:val="000000"/>
                                <w:spacing w:val="40"/>
                                <w:sz w:val="16"/>
                              </w:rPr>
                              <w:t> </w:t>
                            </w:r>
                            <w:r>
                              <w:rPr>
                                <w:rFonts w:ascii="TT Norms Pro"/>
                                <w:color w:val="000000"/>
                                <w:sz w:val="16"/>
                              </w:rPr>
                              <w:t>Molecular</w:t>
                            </w:r>
                            <w:r>
                              <w:rPr>
                                <w:rFonts w:ascii="TT Norms Pro"/>
                                <w:color w:val="000000"/>
                                <w:spacing w:val="-9"/>
                                <w:sz w:val="16"/>
                              </w:rPr>
                              <w:t> </w:t>
                            </w:r>
                            <w:r>
                              <w:rPr>
                                <w:rFonts w:ascii="TT Norms Pro"/>
                                <w:color w:val="000000"/>
                                <w:sz w:val="16"/>
                              </w:rPr>
                              <w:t>Sciences</w:t>
                            </w:r>
                          </w:p>
                        </w:txbxContent>
                      </wps:txbx>
                      <wps:bodyPr wrap="square" lIns="0" tIns="0" rIns="0" bIns="0" rtlCol="0">
                        <a:noAutofit/>
                      </wps:bodyPr>
                    </wps:wsp>
                  </a:graphicData>
                </a:graphic>
              </wp:inline>
            </w:drawing>
          </mc:Choice>
          <mc:Fallback>
            <w:pict>
              <v:shape style="width:113.4pt;height:34.85pt;mso-position-horizontal-relative:char;mso-position-vertical-relative:line" type="#_x0000_t202" id="docshape123" filled="true" fillcolor="#ebebec" stroked="false">
                <w10:anchorlock/>
                <v:textbox inset="0,0,0,0">
                  <w:txbxContent>
                    <w:p>
                      <w:pPr>
                        <w:spacing w:line="256" w:lineRule="auto" w:before="164"/>
                        <w:ind w:left="426" w:right="0" w:firstLine="152"/>
                        <w:jc w:val="left"/>
                        <w:rPr>
                          <w:rFonts w:ascii="TT Norms Pro"/>
                          <w:color w:val="000000"/>
                          <w:sz w:val="16"/>
                        </w:rPr>
                      </w:pPr>
                      <w:r>
                        <w:rPr>
                          <w:rFonts w:ascii="TT Norms Pro"/>
                          <w:color w:val="000000"/>
                          <w:sz w:val="16"/>
                        </w:rPr>
                        <w:t>Head of School</w:t>
                      </w:r>
                      <w:r>
                        <w:rPr>
                          <w:rFonts w:ascii="TT Norms Pro"/>
                          <w:color w:val="000000"/>
                          <w:spacing w:val="40"/>
                          <w:sz w:val="16"/>
                        </w:rPr>
                        <w:t> </w:t>
                      </w:r>
                      <w:r>
                        <w:rPr>
                          <w:rFonts w:ascii="TT Norms Pro"/>
                          <w:color w:val="000000"/>
                          <w:sz w:val="16"/>
                        </w:rPr>
                        <w:t>Molecular</w:t>
                      </w:r>
                      <w:r>
                        <w:rPr>
                          <w:rFonts w:ascii="TT Norms Pro"/>
                          <w:color w:val="000000"/>
                          <w:spacing w:val="-9"/>
                          <w:sz w:val="16"/>
                        </w:rPr>
                        <w:t> </w:t>
                      </w:r>
                      <w:r>
                        <w:rPr>
                          <w:rFonts w:ascii="TT Norms Pro"/>
                          <w:color w:val="000000"/>
                          <w:sz w:val="16"/>
                        </w:rPr>
                        <w:t>Sciences</w:t>
                      </w:r>
                    </w:p>
                  </w:txbxContent>
                </v:textbox>
                <v:fill type="solid"/>
              </v:shape>
            </w:pict>
          </mc:Fallback>
        </mc:AlternateContent>
      </w:r>
      <w:r>
        <w:rPr>
          <w:rFonts w:ascii="TT Norms Pro"/>
          <w:sz w:val="20"/>
        </w:rPr>
      </w:r>
    </w:p>
    <w:p>
      <w:pPr>
        <w:pStyle w:val="BodyText"/>
        <w:rPr>
          <w:rFonts w:ascii="TT Norms Pro"/>
          <w:sz w:val="7"/>
        </w:rPr>
      </w:pPr>
    </w:p>
    <w:p>
      <w:pPr>
        <w:pStyle w:val="BodyText"/>
        <w:ind w:left="295" w:right="-72"/>
        <w:rPr>
          <w:rFonts w:ascii="TT Norms Pro"/>
          <w:sz w:val="20"/>
        </w:rPr>
      </w:pPr>
      <w:r>
        <w:rPr>
          <w:rFonts w:ascii="TT Norms Pro"/>
          <w:sz w:val="20"/>
        </w:rPr>
        <mc:AlternateContent>
          <mc:Choice Requires="wps">
            <w:drawing>
              <wp:inline distT="0" distB="0" distL="0" distR="0">
                <wp:extent cx="1440180" cy="442595"/>
                <wp:effectExtent l="0" t="0" r="0" b="0"/>
                <wp:docPr id="186" name="Textbox 186"/>
                <wp:cNvGraphicFramePr>
                  <a:graphicFrameLocks/>
                </wp:cNvGraphicFramePr>
                <a:graphic>
                  <a:graphicData uri="http://schemas.microsoft.com/office/word/2010/wordprocessingShape">
                    <wps:wsp>
                      <wps:cNvPr id="186" name="Textbox 186"/>
                      <wps:cNvSpPr txBox="1"/>
                      <wps:spPr>
                        <a:xfrm>
                          <a:off x="0" y="0"/>
                          <a:ext cx="1440180" cy="442595"/>
                        </a:xfrm>
                        <a:prstGeom prst="rect">
                          <a:avLst/>
                        </a:prstGeom>
                        <a:solidFill>
                          <a:srgbClr val="EBEBEC"/>
                        </a:solidFill>
                      </wps:spPr>
                      <wps:txbx>
                        <w:txbxContent>
                          <w:p>
                            <w:pPr>
                              <w:spacing w:line="256" w:lineRule="auto" w:before="164"/>
                              <w:ind w:left="221" w:right="70" w:firstLine="357"/>
                              <w:jc w:val="left"/>
                              <w:rPr>
                                <w:rFonts w:ascii="TT Norms Pro"/>
                                <w:color w:val="000000"/>
                                <w:sz w:val="16"/>
                              </w:rPr>
                            </w:pPr>
                            <w:r>
                              <w:rPr>
                                <w:rFonts w:ascii="TT Norms Pro"/>
                                <w:color w:val="000000"/>
                                <w:sz w:val="16"/>
                              </w:rPr>
                              <w:t>Head of School</w:t>
                            </w:r>
                            <w:r>
                              <w:rPr>
                                <w:rFonts w:ascii="TT Norms Pro"/>
                                <w:color w:val="000000"/>
                                <w:spacing w:val="40"/>
                                <w:sz w:val="16"/>
                              </w:rPr>
                              <w:t> </w:t>
                            </w:r>
                            <w:r>
                              <w:rPr>
                                <w:rFonts w:ascii="TT Norms Pro"/>
                                <w:color w:val="000000"/>
                                <w:sz w:val="16"/>
                              </w:rPr>
                              <w:t>Oceans</w:t>
                            </w:r>
                            <w:r>
                              <w:rPr>
                                <w:rFonts w:ascii="TT Norms Pro"/>
                                <w:color w:val="000000"/>
                                <w:spacing w:val="-3"/>
                                <w:sz w:val="16"/>
                              </w:rPr>
                              <w:t> </w:t>
                            </w:r>
                            <w:r>
                              <w:rPr>
                                <w:rFonts w:ascii="TT Norms Pro"/>
                                <w:color w:val="000000"/>
                                <w:sz w:val="16"/>
                              </w:rPr>
                              <w:t>Graduate</w:t>
                            </w:r>
                            <w:r>
                              <w:rPr>
                                <w:rFonts w:ascii="TT Norms Pro"/>
                                <w:color w:val="000000"/>
                                <w:spacing w:val="-3"/>
                                <w:sz w:val="16"/>
                              </w:rPr>
                              <w:t> </w:t>
                            </w:r>
                            <w:r>
                              <w:rPr>
                                <w:rFonts w:ascii="TT Norms Pro"/>
                                <w:color w:val="000000"/>
                                <w:sz w:val="16"/>
                              </w:rPr>
                              <w:t>School</w:t>
                            </w:r>
                          </w:p>
                        </w:txbxContent>
                      </wps:txbx>
                      <wps:bodyPr wrap="square" lIns="0" tIns="0" rIns="0" bIns="0" rtlCol="0">
                        <a:noAutofit/>
                      </wps:bodyPr>
                    </wps:wsp>
                  </a:graphicData>
                </a:graphic>
              </wp:inline>
            </w:drawing>
          </mc:Choice>
          <mc:Fallback>
            <w:pict>
              <v:shape style="width:113.4pt;height:34.85pt;mso-position-horizontal-relative:char;mso-position-vertical-relative:line" type="#_x0000_t202" id="docshape124" filled="true" fillcolor="#ebebec" stroked="false">
                <w10:anchorlock/>
                <v:textbox inset="0,0,0,0">
                  <w:txbxContent>
                    <w:p>
                      <w:pPr>
                        <w:spacing w:line="256" w:lineRule="auto" w:before="164"/>
                        <w:ind w:left="221" w:right="70" w:firstLine="357"/>
                        <w:jc w:val="left"/>
                        <w:rPr>
                          <w:rFonts w:ascii="TT Norms Pro"/>
                          <w:color w:val="000000"/>
                          <w:sz w:val="16"/>
                        </w:rPr>
                      </w:pPr>
                      <w:r>
                        <w:rPr>
                          <w:rFonts w:ascii="TT Norms Pro"/>
                          <w:color w:val="000000"/>
                          <w:sz w:val="16"/>
                        </w:rPr>
                        <w:t>Head of School</w:t>
                      </w:r>
                      <w:r>
                        <w:rPr>
                          <w:rFonts w:ascii="TT Norms Pro"/>
                          <w:color w:val="000000"/>
                          <w:spacing w:val="40"/>
                          <w:sz w:val="16"/>
                        </w:rPr>
                        <w:t> </w:t>
                      </w:r>
                      <w:r>
                        <w:rPr>
                          <w:rFonts w:ascii="TT Norms Pro"/>
                          <w:color w:val="000000"/>
                          <w:sz w:val="16"/>
                        </w:rPr>
                        <w:t>Oceans</w:t>
                      </w:r>
                      <w:r>
                        <w:rPr>
                          <w:rFonts w:ascii="TT Norms Pro"/>
                          <w:color w:val="000000"/>
                          <w:spacing w:val="-3"/>
                          <w:sz w:val="16"/>
                        </w:rPr>
                        <w:t> </w:t>
                      </w:r>
                      <w:r>
                        <w:rPr>
                          <w:rFonts w:ascii="TT Norms Pro"/>
                          <w:color w:val="000000"/>
                          <w:sz w:val="16"/>
                        </w:rPr>
                        <w:t>Graduate</w:t>
                      </w:r>
                      <w:r>
                        <w:rPr>
                          <w:rFonts w:ascii="TT Norms Pro"/>
                          <w:color w:val="000000"/>
                          <w:spacing w:val="-3"/>
                          <w:sz w:val="16"/>
                        </w:rPr>
                        <w:t> </w:t>
                      </w:r>
                      <w:r>
                        <w:rPr>
                          <w:rFonts w:ascii="TT Norms Pro"/>
                          <w:color w:val="000000"/>
                          <w:sz w:val="16"/>
                        </w:rPr>
                        <w:t>School</w:t>
                      </w:r>
                    </w:p>
                  </w:txbxContent>
                </v:textbox>
                <v:fill type="solid"/>
              </v:shape>
            </w:pict>
          </mc:Fallback>
        </mc:AlternateContent>
      </w:r>
      <w:r>
        <w:rPr>
          <w:rFonts w:ascii="TT Norms Pro"/>
          <w:sz w:val="20"/>
        </w:rPr>
      </w:r>
    </w:p>
    <w:p>
      <w:pPr>
        <w:pStyle w:val="BodyText"/>
        <w:spacing w:before="2"/>
        <w:rPr>
          <w:rFonts w:ascii="TT Norms Pro"/>
          <w:sz w:val="5"/>
        </w:rPr>
      </w:pPr>
    </w:p>
    <w:p>
      <w:pPr>
        <w:pStyle w:val="BodyText"/>
        <w:ind w:left="295" w:right="-72"/>
        <w:rPr>
          <w:rFonts w:ascii="TT Norms Pro"/>
          <w:sz w:val="20"/>
        </w:rPr>
      </w:pPr>
      <w:r>
        <w:rPr>
          <w:rFonts w:ascii="TT Norms Pro"/>
          <w:sz w:val="20"/>
        </w:rPr>
        <mc:AlternateContent>
          <mc:Choice Requires="wps">
            <w:drawing>
              <wp:inline distT="0" distB="0" distL="0" distR="0">
                <wp:extent cx="1440180" cy="442595"/>
                <wp:effectExtent l="0" t="0" r="0" b="0"/>
                <wp:docPr id="187" name="Textbox 187"/>
                <wp:cNvGraphicFramePr>
                  <a:graphicFrameLocks/>
                </wp:cNvGraphicFramePr>
                <a:graphic>
                  <a:graphicData uri="http://schemas.microsoft.com/office/word/2010/wordprocessingShape">
                    <wps:wsp>
                      <wps:cNvPr id="187" name="Textbox 187"/>
                      <wps:cNvSpPr txBox="1"/>
                      <wps:spPr>
                        <a:xfrm>
                          <a:off x="0" y="0"/>
                          <a:ext cx="1440180" cy="442595"/>
                        </a:xfrm>
                        <a:prstGeom prst="rect">
                          <a:avLst/>
                        </a:prstGeom>
                        <a:solidFill>
                          <a:srgbClr val="EBEBEC"/>
                        </a:solidFill>
                      </wps:spPr>
                      <wps:txbx>
                        <w:txbxContent>
                          <w:p>
                            <w:pPr>
                              <w:spacing w:line="256" w:lineRule="auto" w:before="164"/>
                              <w:ind w:left="53" w:right="50" w:firstLine="525"/>
                              <w:jc w:val="left"/>
                              <w:rPr>
                                <w:rFonts w:ascii="TT Norms Pro"/>
                                <w:color w:val="000000"/>
                                <w:sz w:val="16"/>
                              </w:rPr>
                            </w:pPr>
                            <w:r>
                              <w:rPr>
                                <w:rFonts w:ascii="TT Norms Pro"/>
                                <w:color w:val="000000"/>
                                <w:sz w:val="16"/>
                              </w:rPr>
                              <w:t>Head of School</w:t>
                            </w:r>
                            <w:r>
                              <w:rPr>
                                <w:rFonts w:ascii="TT Norms Pro"/>
                                <w:color w:val="000000"/>
                                <w:spacing w:val="40"/>
                                <w:sz w:val="16"/>
                              </w:rPr>
                              <w:t> </w:t>
                            </w:r>
                            <w:r>
                              <w:rPr>
                                <w:rFonts w:ascii="TT Norms Pro"/>
                                <w:color w:val="000000"/>
                                <w:spacing w:val="-2"/>
                                <w:sz w:val="16"/>
                              </w:rPr>
                              <w:t>Physics,</w:t>
                            </w:r>
                            <w:r>
                              <w:rPr>
                                <w:rFonts w:ascii="TT Norms Pro"/>
                                <w:color w:val="000000"/>
                                <w:spacing w:val="-7"/>
                                <w:sz w:val="16"/>
                              </w:rPr>
                              <w:t> </w:t>
                            </w:r>
                            <w:r>
                              <w:rPr>
                                <w:rFonts w:ascii="TT Norms Pro"/>
                                <w:color w:val="000000"/>
                                <w:spacing w:val="-2"/>
                                <w:sz w:val="16"/>
                              </w:rPr>
                              <w:t>Maths</w:t>
                            </w:r>
                            <w:r>
                              <w:rPr>
                                <w:rFonts w:ascii="TT Norms Pro"/>
                                <w:color w:val="000000"/>
                                <w:spacing w:val="-7"/>
                                <w:sz w:val="16"/>
                              </w:rPr>
                              <w:t> </w:t>
                            </w:r>
                            <w:r>
                              <w:rPr>
                                <w:rFonts w:ascii="TT Norms Pro"/>
                                <w:color w:val="000000"/>
                                <w:spacing w:val="-2"/>
                                <w:sz w:val="16"/>
                              </w:rPr>
                              <w:t>and</w:t>
                            </w:r>
                            <w:r>
                              <w:rPr>
                                <w:rFonts w:ascii="TT Norms Pro"/>
                                <w:color w:val="000000"/>
                                <w:spacing w:val="-7"/>
                                <w:sz w:val="16"/>
                              </w:rPr>
                              <w:t> </w:t>
                            </w:r>
                            <w:r>
                              <w:rPr>
                                <w:rFonts w:ascii="TT Norms Pro"/>
                                <w:color w:val="000000"/>
                                <w:spacing w:val="-2"/>
                                <w:sz w:val="16"/>
                              </w:rPr>
                              <w:t>Computing</w:t>
                            </w:r>
                          </w:p>
                        </w:txbxContent>
                      </wps:txbx>
                      <wps:bodyPr wrap="square" lIns="0" tIns="0" rIns="0" bIns="0" rtlCol="0">
                        <a:noAutofit/>
                      </wps:bodyPr>
                    </wps:wsp>
                  </a:graphicData>
                </a:graphic>
              </wp:inline>
            </w:drawing>
          </mc:Choice>
          <mc:Fallback>
            <w:pict>
              <v:shape style="width:113.4pt;height:34.85pt;mso-position-horizontal-relative:char;mso-position-vertical-relative:line" type="#_x0000_t202" id="docshape125" filled="true" fillcolor="#ebebec" stroked="false">
                <w10:anchorlock/>
                <v:textbox inset="0,0,0,0">
                  <w:txbxContent>
                    <w:p>
                      <w:pPr>
                        <w:spacing w:line="256" w:lineRule="auto" w:before="164"/>
                        <w:ind w:left="53" w:right="50" w:firstLine="525"/>
                        <w:jc w:val="left"/>
                        <w:rPr>
                          <w:rFonts w:ascii="TT Norms Pro"/>
                          <w:color w:val="000000"/>
                          <w:sz w:val="16"/>
                        </w:rPr>
                      </w:pPr>
                      <w:r>
                        <w:rPr>
                          <w:rFonts w:ascii="TT Norms Pro"/>
                          <w:color w:val="000000"/>
                          <w:sz w:val="16"/>
                        </w:rPr>
                        <w:t>Head of School</w:t>
                      </w:r>
                      <w:r>
                        <w:rPr>
                          <w:rFonts w:ascii="TT Norms Pro"/>
                          <w:color w:val="000000"/>
                          <w:spacing w:val="40"/>
                          <w:sz w:val="16"/>
                        </w:rPr>
                        <w:t> </w:t>
                      </w:r>
                      <w:r>
                        <w:rPr>
                          <w:rFonts w:ascii="TT Norms Pro"/>
                          <w:color w:val="000000"/>
                          <w:spacing w:val="-2"/>
                          <w:sz w:val="16"/>
                        </w:rPr>
                        <w:t>Physics,</w:t>
                      </w:r>
                      <w:r>
                        <w:rPr>
                          <w:rFonts w:ascii="TT Norms Pro"/>
                          <w:color w:val="000000"/>
                          <w:spacing w:val="-7"/>
                          <w:sz w:val="16"/>
                        </w:rPr>
                        <w:t> </w:t>
                      </w:r>
                      <w:r>
                        <w:rPr>
                          <w:rFonts w:ascii="TT Norms Pro"/>
                          <w:color w:val="000000"/>
                          <w:spacing w:val="-2"/>
                          <w:sz w:val="16"/>
                        </w:rPr>
                        <w:t>Maths</w:t>
                      </w:r>
                      <w:r>
                        <w:rPr>
                          <w:rFonts w:ascii="TT Norms Pro"/>
                          <w:color w:val="000000"/>
                          <w:spacing w:val="-7"/>
                          <w:sz w:val="16"/>
                        </w:rPr>
                        <w:t> </w:t>
                      </w:r>
                      <w:r>
                        <w:rPr>
                          <w:rFonts w:ascii="TT Norms Pro"/>
                          <w:color w:val="000000"/>
                          <w:spacing w:val="-2"/>
                          <w:sz w:val="16"/>
                        </w:rPr>
                        <w:t>and</w:t>
                      </w:r>
                      <w:r>
                        <w:rPr>
                          <w:rFonts w:ascii="TT Norms Pro"/>
                          <w:color w:val="000000"/>
                          <w:spacing w:val="-7"/>
                          <w:sz w:val="16"/>
                        </w:rPr>
                        <w:t> </w:t>
                      </w:r>
                      <w:r>
                        <w:rPr>
                          <w:rFonts w:ascii="TT Norms Pro"/>
                          <w:color w:val="000000"/>
                          <w:spacing w:val="-2"/>
                          <w:sz w:val="16"/>
                        </w:rPr>
                        <w:t>Computing</w:t>
                      </w:r>
                    </w:p>
                  </w:txbxContent>
                </v:textbox>
                <v:fill type="solid"/>
              </v:shape>
            </w:pict>
          </mc:Fallback>
        </mc:AlternateContent>
      </w:r>
      <w:r>
        <w:rPr>
          <w:rFonts w:ascii="TT Norms Pro"/>
          <w:sz w:val="20"/>
        </w:rPr>
      </w:r>
    </w:p>
    <w:p>
      <w:pPr>
        <w:pStyle w:val="BodyText"/>
        <w:spacing w:before="46"/>
        <w:rPr>
          <w:rFonts w:ascii="TT Norms Pro"/>
          <w:sz w:val="16"/>
        </w:rPr>
      </w:pPr>
    </w:p>
    <w:p>
      <w:pPr>
        <w:spacing w:line="256" w:lineRule="auto" w:before="0"/>
        <w:ind w:left="354" w:right="38" w:firstLine="520"/>
        <w:jc w:val="left"/>
        <w:rPr>
          <w:rFonts w:ascii="TT Norms Pro"/>
          <w:sz w:val="16"/>
        </w:rPr>
      </w:pPr>
      <w:r>
        <w:rPr>
          <w:rFonts w:ascii="TT Norms Pro"/>
          <w:sz w:val="16"/>
        </w:rPr>
        <w:t>Head of School</w:t>
      </w:r>
      <w:r>
        <w:rPr>
          <w:rFonts w:ascii="TT Norms Pro"/>
          <w:spacing w:val="40"/>
          <w:sz w:val="16"/>
        </w:rPr>
        <w:t> </w:t>
      </w:r>
      <w:r>
        <w:rPr>
          <w:rFonts w:ascii="TT Norms Pro"/>
          <w:sz w:val="16"/>
        </w:rPr>
        <w:t>Population</w:t>
      </w:r>
      <w:r>
        <w:rPr>
          <w:rFonts w:ascii="TT Norms Pro"/>
          <w:spacing w:val="-2"/>
          <w:sz w:val="16"/>
        </w:rPr>
        <w:t> </w:t>
      </w:r>
      <w:r>
        <w:rPr>
          <w:rFonts w:ascii="TT Norms Pro"/>
          <w:sz w:val="16"/>
        </w:rPr>
        <w:t>and</w:t>
      </w:r>
      <w:r>
        <w:rPr>
          <w:rFonts w:ascii="TT Norms Pro"/>
          <w:spacing w:val="-2"/>
          <w:sz w:val="16"/>
        </w:rPr>
        <w:t> </w:t>
      </w:r>
      <w:r>
        <w:rPr>
          <w:rFonts w:ascii="TT Norms Pro"/>
          <w:sz w:val="16"/>
        </w:rPr>
        <w:t>Global</w:t>
      </w:r>
      <w:r>
        <w:rPr>
          <w:rFonts w:ascii="TT Norms Pro"/>
          <w:spacing w:val="-2"/>
          <w:sz w:val="16"/>
        </w:rPr>
        <w:t> </w:t>
      </w:r>
      <w:r>
        <w:rPr>
          <w:rFonts w:ascii="TT Norms Pro"/>
          <w:sz w:val="16"/>
        </w:rPr>
        <w:t>Health</w:t>
      </w:r>
    </w:p>
    <w:p>
      <w:pPr>
        <w:spacing w:line="256" w:lineRule="auto" w:before="120"/>
        <w:ind w:left="458" w:right="1637" w:firstLine="512"/>
        <w:jc w:val="left"/>
        <w:rPr>
          <w:rFonts w:ascii="TT Norms Pro"/>
          <w:sz w:val="16"/>
        </w:rPr>
      </w:pPr>
      <w:r>
        <w:rPr/>
        <w:br w:type="column"/>
      </w:r>
      <w:r>
        <w:rPr>
          <w:rFonts w:ascii="TT Norms Pro"/>
          <w:spacing w:val="-2"/>
          <w:sz w:val="16"/>
        </w:rPr>
        <w:t>Director</w:t>
      </w:r>
      <w:r>
        <w:rPr>
          <w:rFonts w:ascii="TT Norms Pro"/>
          <w:spacing w:val="40"/>
          <w:sz w:val="16"/>
        </w:rPr>
        <w:t> </w:t>
      </w:r>
      <w:r>
        <w:rPr>
          <w:rFonts w:ascii="TT Norms Pro"/>
          <w:sz w:val="16"/>
        </w:rPr>
        <w:t>Campus</w:t>
      </w:r>
      <w:r>
        <w:rPr>
          <w:rFonts w:ascii="TT Norms Pro"/>
          <w:spacing w:val="-9"/>
          <w:sz w:val="16"/>
        </w:rPr>
        <w:t> </w:t>
      </w:r>
      <w:r>
        <w:rPr>
          <w:rFonts w:ascii="TT Norms Pro"/>
          <w:sz w:val="16"/>
        </w:rPr>
        <w:t>Management</w:t>
      </w:r>
    </w:p>
    <w:p>
      <w:pPr>
        <w:pStyle w:val="BodyText"/>
        <w:spacing w:before="131"/>
        <w:rPr>
          <w:rFonts w:ascii="TT Norms Pro"/>
          <w:sz w:val="16"/>
        </w:rPr>
      </w:pPr>
    </w:p>
    <w:p>
      <w:pPr>
        <w:spacing w:before="1"/>
        <w:ind w:left="970" w:right="0" w:firstLine="0"/>
        <w:jc w:val="left"/>
        <w:rPr>
          <w:rFonts w:ascii="TT Norms Pro"/>
          <w:sz w:val="16"/>
        </w:rPr>
      </w:pPr>
      <w:r>
        <w:rPr/>
        <mc:AlternateContent>
          <mc:Choice Requires="wps">
            <w:drawing>
              <wp:anchor distT="0" distB="0" distL="0" distR="0" allowOverlap="1" layoutInCell="1" locked="0" behindDoc="0" simplePos="0" relativeHeight="15774208">
                <wp:simplePos x="0" y="0"/>
                <wp:positionH relativeFrom="page">
                  <wp:posOffset>3782974</wp:posOffset>
                </wp:positionH>
                <wp:positionV relativeFrom="paragraph">
                  <wp:posOffset>-21207</wp:posOffset>
                </wp:positionV>
                <wp:extent cx="1404620" cy="442595"/>
                <wp:effectExtent l="0" t="0" r="0" b="0"/>
                <wp:wrapNone/>
                <wp:docPr id="188" name="Textbox 188"/>
                <wp:cNvGraphicFramePr>
                  <a:graphicFrameLocks/>
                </wp:cNvGraphicFramePr>
                <a:graphic>
                  <a:graphicData uri="http://schemas.microsoft.com/office/word/2010/wordprocessingShape">
                    <wps:wsp>
                      <wps:cNvPr id="188" name="Textbox 188"/>
                      <wps:cNvSpPr txBox="1"/>
                      <wps:spPr>
                        <a:xfrm>
                          <a:off x="0" y="0"/>
                          <a:ext cx="1404620" cy="442595"/>
                        </a:xfrm>
                        <a:prstGeom prst="rect">
                          <a:avLst/>
                        </a:prstGeom>
                        <a:solidFill>
                          <a:srgbClr val="EBEBEC"/>
                        </a:solidFill>
                      </wps:spPr>
                      <wps:txbx>
                        <w:txbxContent>
                          <w:p>
                            <w:pPr>
                              <w:spacing w:line="256" w:lineRule="auto" w:before="164"/>
                              <w:ind w:left="547" w:right="182" w:firstLine="3"/>
                              <w:jc w:val="left"/>
                              <w:rPr>
                                <w:rFonts w:ascii="TT Norms Pro"/>
                                <w:color w:val="000000"/>
                                <w:sz w:val="16"/>
                              </w:rPr>
                            </w:pPr>
                            <w:r>
                              <w:rPr>
                                <w:rFonts w:ascii="TT Norms Pro"/>
                                <w:color w:val="000000"/>
                                <w:sz w:val="16"/>
                              </w:rPr>
                              <w:t>Head</w:t>
                            </w:r>
                            <w:r>
                              <w:rPr>
                                <w:rFonts w:ascii="TT Norms Pro"/>
                                <w:color w:val="000000"/>
                                <w:spacing w:val="-7"/>
                                <w:sz w:val="16"/>
                              </w:rPr>
                              <w:t> </w:t>
                            </w:r>
                            <w:r>
                              <w:rPr>
                                <w:rFonts w:ascii="TT Norms Pro"/>
                                <w:color w:val="000000"/>
                                <w:sz w:val="16"/>
                              </w:rPr>
                              <w:t>of</w:t>
                            </w:r>
                            <w:r>
                              <w:rPr>
                                <w:rFonts w:ascii="TT Norms Pro"/>
                                <w:color w:val="000000"/>
                                <w:spacing w:val="-7"/>
                                <w:sz w:val="16"/>
                              </w:rPr>
                              <w:t> </w:t>
                            </w:r>
                            <w:r>
                              <w:rPr>
                                <w:rFonts w:ascii="TT Norms Pro"/>
                                <w:color w:val="000000"/>
                                <w:sz w:val="16"/>
                              </w:rPr>
                              <w:t>School</w:t>
                            </w:r>
                            <w:r>
                              <w:rPr>
                                <w:rFonts w:ascii="TT Norms Pro"/>
                                <w:color w:val="000000"/>
                                <w:spacing w:val="40"/>
                                <w:sz w:val="16"/>
                              </w:rPr>
                              <w:t> </w:t>
                            </w:r>
                            <w:r>
                              <w:rPr>
                                <w:rFonts w:ascii="TT Norms Pro"/>
                                <w:color w:val="000000"/>
                                <w:sz w:val="16"/>
                              </w:rPr>
                              <w:t>Social</w:t>
                            </w:r>
                            <w:r>
                              <w:rPr>
                                <w:rFonts w:ascii="TT Norms Pro"/>
                                <w:color w:val="000000"/>
                                <w:spacing w:val="6"/>
                                <w:sz w:val="16"/>
                              </w:rPr>
                              <w:t> </w:t>
                            </w:r>
                            <w:r>
                              <w:rPr>
                                <w:rFonts w:ascii="TT Norms Pro"/>
                                <w:color w:val="000000"/>
                                <w:spacing w:val="-2"/>
                                <w:sz w:val="16"/>
                              </w:rPr>
                              <w:t>Sciences</w:t>
                            </w:r>
                          </w:p>
                        </w:txbxContent>
                      </wps:txbx>
                      <wps:bodyPr wrap="square" lIns="0" tIns="0" rIns="0" bIns="0" rtlCol="0">
                        <a:noAutofit/>
                      </wps:bodyPr>
                    </wps:wsp>
                  </a:graphicData>
                </a:graphic>
              </wp:anchor>
            </w:drawing>
          </mc:Choice>
          <mc:Fallback>
            <w:pict>
              <v:shape style="position:absolute;margin-left:297.872009pt;margin-top:-1.6699pt;width:110.6pt;height:34.85pt;mso-position-horizontal-relative:page;mso-position-vertical-relative:paragraph;z-index:15774208" type="#_x0000_t202" id="docshape126" filled="true" fillcolor="#ebebec" stroked="false">
                <v:textbox inset="0,0,0,0">
                  <w:txbxContent>
                    <w:p>
                      <w:pPr>
                        <w:spacing w:line="256" w:lineRule="auto" w:before="164"/>
                        <w:ind w:left="547" w:right="182" w:firstLine="3"/>
                        <w:jc w:val="left"/>
                        <w:rPr>
                          <w:rFonts w:ascii="TT Norms Pro"/>
                          <w:color w:val="000000"/>
                          <w:sz w:val="16"/>
                        </w:rPr>
                      </w:pPr>
                      <w:r>
                        <w:rPr>
                          <w:rFonts w:ascii="TT Norms Pro"/>
                          <w:color w:val="000000"/>
                          <w:sz w:val="16"/>
                        </w:rPr>
                        <w:t>Head</w:t>
                      </w:r>
                      <w:r>
                        <w:rPr>
                          <w:rFonts w:ascii="TT Norms Pro"/>
                          <w:color w:val="000000"/>
                          <w:spacing w:val="-7"/>
                          <w:sz w:val="16"/>
                        </w:rPr>
                        <w:t> </w:t>
                      </w:r>
                      <w:r>
                        <w:rPr>
                          <w:rFonts w:ascii="TT Norms Pro"/>
                          <w:color w:val="000000"/>
                          <w:sz w:val="16"/>
                        </w:rPr>
                        <w:t>of</w:t>
                      </w:r>
                      <w:r>
                        <w:rPr>
                          <w:rFonts w:ascii="TT Norms Pro"/>
                          <w:color w:val="000000"/>
                          <w:spacing w:val="-7"/>
                          <w:sz w:val="16"/>
                        </w:rPr>
                        <w:t> </w:t>
                      </w:r>
                      <w:r>
                        <w:rPr>
                          <w:rFonts w:ascii="TT Norms Pro"/>
                          <w:color w:val="000000"/>
                          <w:sz w:val="16"/>
                        </w:rPr>
                        <w:t>School</w:t>
                      </w:r>
                      <w:r>
                        <w:rPr>
                          <w:rFonts w:ascii="TT Norms Pro"/>
                          <w:color w:val="000000"/>
                          <w:spacing w:val="40"/>
                          <w:sz w:val="16"/>
                        </w:rPr>
                        <w:t> </w:t>
                      </w:r>
                      <w:r>
                        <w:rPr>
                          <w:rFonts w:ascii="TT Norms Pro"/>
                          <w:color w:val="000000"/>
                          <w:sz w:val="16"/>
                        </w:rPr>
                        <w:t>Social</w:t>
                      </w:r>
                      <w:r>
                        <w:rPr>
                          <w:rFonts w:ascii="TT Norms Pro"/>
                          <w:color w:val="000000"/>
                          <w:spacing w:val="6"/>
                          <w:sz w:val="16"/>
                        </w:rPr>
                        <w:t> </w:t>
                      </w:r>
                      <w:r>
                        <w:rPr>
                          <w:rFonts w:ascii="TT Norms Pro"/>
                          <w:color w:val="000000"/>
                          <w:spacing w:val="-2"/>
                          <w:sz w:val="16"/>
                        </w:rPr>
                        <w:t>Sciences</w:t>
                      </w:r>
                    </w:p>
                  </w:txbxContent>
                </v:textbox>
                <v:fill type="solid"/>
                <w10:wrap type="none"/>
              </v:shape>
            </w:pict>
          </mc:Fallback>
        </mc:AlternateContent>
      </w:r>
      <w:r>
        <w:rPr/>
        <mc:AlternateContent>
          <mc:Choice Requires="wps">
            <w:drawing>
              <wp:anchor distT="0" distB="0" distL="0" distR="0" allowOverlap="1" layoutInCell="1" locked="0" behindDoc="0" simplePos="0" relativeHeight="15775232">
                <wp:simplePos x="0" y="0"/>
                <wp:positionH relativeFrom="page">
                  <wp:posOffset>3782974</wp:posOffset>
                </wp:positionH>
                <wp:positionV relativeFrom="paragraph">
                  <wp:posOffset>-518133</wp:posOffset>
                </wp:positionV>
                <wp:extent cx="1404620" cy="435609"/>
                <wp:effectExtent l="0" t="0" r="0" b="0"/>
                <wp:wrapNone/>
                <wp:docPr id="189" name="Textbox 189"/>
                <wp:cNvGraphicFramePr>
                  <a:graphicFrameLocks/>
                </wp:cNvGraphicFramePr>
                <a:graphic>
                  <a:graphicData uri="http://schemas.microsoft.com/office/word/2010/wordprocessingShape">
                    <wps:wsp>
                      <wps:cNvPr id="189" name="Textbox 189"/>
                      <wps:cNvSpPr txBox="1"/>
                      <wps:spPr>
                        <a:xfrm>
                          <a:off x="0" y="0"/>
                          <a:ext cx="1404620" cy="435609"/>
                        </a:xfrm>
                        <a:prstGeom prst="rect">
                          <a:avLst/>
                        </a:prstGeom>
                        <a:solidFill>
                          <a:srgbClr val="EBEBEC"/>
                        </a:solidFill>
                      </wps:spPr>
                      <wps:txbx>
                        <w:txbxContent>
                          <w:p>
                            <w:pPr>
                              <w:spacing w:line="256" w:lineRule="auto" w:before="159"/>
                              <w:ind w:left="261" w:right="182" w:firstLine="289"/>
                              <w:jc w:val="left"/>
                              <w:rPr>
                                <w:rFonts w:ascii="TT Norms Pro"/>
                                <w:color w:val="000000"/>
                                <w:sz w:val="16"/>
                              </w:rPr>
                            </w:pPr>
                            <w:r>
                              <w:rPr>
                                <w:rFonts w:ascii="TT Norms Pro"/>
                                <w:color w:val="000000"/>
                                <w:sz w:val="16"/>
                              </w:rPr>
                              <w:t>Head of School</w:t>
                            </w:r>
                            <w:r>
                              <w:rPr>
                                <w:rFonts w:ascii="TT Norms Pro"/>
                                <w:color w:val="000000"/>
                                <w:spacing w:val="40"/>
                                <w:sz w:val="16"/>
                              </w:rPr>
                              <w:t> </w:t>
                            </w:r>
                            <w:r>
                              <w:rPr>
                                <w:rFonts w:ascii="TT Norms Pro"/>
                                <w:color w:val="000000"/>
                                <w:sz w:val="16"/>
                              </w:rPr>
                              <w:t>Psychological</w:t>
                            </w:r>
                            <w:r>
                              <w:rPr>
                                <w:rFonts w:ascii="TT Norms Pro"/>
                                <w:color w:val="000000"/>
                                <w:spacing w:val="-7"/>
                                <w:sz w:val="16"/>
                              </w:rPr>
                              <w:t> </w:t>
                            </w:r>
                            <w:r>
                              <w:rPr>
                                <w:rFonts w:ascii="TT Norms Pro"/>
                                <w:color w:val="000000"/>
                                <w:sz w:val="16"/>
                              </w:rPr>
                              <w:t>Sciences</w:t>
                            </w:r>
                          </w:p>
                        </w:txbxContent>
                      </wps:txbx>
                      <wps:bodyPr wrap="square" lIns="0" tIns="0" rIns="0" bIns="0" rtlCol="0">
                        <a:noAutofit/>
                      </wps:bodyPr>
                    </wps:wsp>
                  </a:graphicData>
                </a:graphic>
              </wp:anchor>
            </w:drawing>
          </mc:Choice>
          <mc:Fallback>
            <w:pict>
              <v:shape style="position:absolute;margin-left:297.872009pt;margin-top:-40.797901pt;width:110.6pt;height:34.3pt;mso-position-horizontal-relative:page;mso-position-vertical-relative:paragraph;z-index:15775232" type="#_x0000_t202" id="docshape127" filled="true" fillcolor="#ebebec" stroked="false">
                <v:textbox inset="0,0,0,0">
                  <w:txbxContent>
                    <w:p>
                      <w:pPr>
                        <w:spacing w:line="256" w:lineRule="auto" w:before="159"/>
                        <w:ind w:left="261" w:right="182" w:firstLine="289"/>
                        <w:jc w:val="left"/>
                        <w:rPr>
                          <w:rFonts w:ascii="TT Norms Pro"/>
                          <w:color w:val="000000"/>
                          <w:sz w:val="16"/>
                        </w:rPr>
                      </w:pPr>
                      <w:r>
                        <w:rPr>
                          <w:rFonts w:ascii="TT Norms Pro"/>
                          <w:color w:val="000000"/>
                          <w:sz w:val="16"/>
                        </w:rPr>
                        <w:t>Head of School</w:t>
                      </w:r>
                      <w:r>
                        <w:rPr>
                          <w:rFonts w:ascii="TT Norms Pro"/>
                          <w:color w:val="000000"/>
                          <w:spacing w:val="40"/>
                          <w:sz w:val="16"/>
                        </w:rPr>
                        <w:t> </w:t>
                      </w:r>
                      <w:r>
                        <w:rPr>
                          <w:rFonts w:ascii="TT Norms Pro"/>
                          <w:color w:val="000000"/>
                          <w:sz w:val="16"/>
                        </w:rPr>
                        <w:t>Psychological</w:t>
                      </w:r>
                      <w:r>
                        <w:rPr>
                          <w:rFonts w:ascii="TT Norms Pro"/>
                          <w:color w:val="000000"/>
                          <w:spacing w:val="-7"/>
                          <w:sz w:val="16"/>
                        </w:rPr>
                        <w:t> </w:t>
                      </w:r>
                      <w:r>
                        <w:rPr>
                          <w:rFonts w:ascii="TT Norms Pro"/>
                          <w:color w:val="000000"/>
                          <w:sz w:val="16"/>
                        </w:rPr>
                        <w:t>Sciences</w:t>
                      </w:r>
                    </w:p>
                  </w:txbxContent>
                </v:textbox>
                <v:fill type="solid"/>
                <w10:wrap type="none"/>
              </v:shape>
            </w:pict>
          </mc:Fallback>
        </mc:AlternateContent>
      </w:r>
      <w:r>
        <w:rPr>
          <w:rFonts w:ascii="TT Norms Pro"/>
          <w:spacing w:val="-2"/>
          <w:sz w:val="16"/>
        </w:rPr>
        <w:t>Director</w:t>
      </w:r>
    </w:p>
    <w:p>
      <w:pPr>
        <w:tabs>
          <w:tab w:pos="2428" w:val="left" w:leader="none"/>
          <w:tab w:pos="2763" w:val="left" w:leader="none"/>
        </w:tabs>
        <w:spacing w:line="256" w:lineRule="auto" w:before="12"/>
        <w:ind w:left="796" w:right="990" w:hanging="340"/>
        <w:jc w:val="left"/>
        <w:rPr>
          <w:rFonts w:ascii="TT Norms Pro"/>
          <w:sz w:val="16"/>
        </w:rPr>
      </w:pPr>
      <w:r>
        <w:rPr>
          <w:rFonts w:ascii="TT Norms Pro"/>
          <w:sz w:val="16"/>
        </w:rPr>
        <w:t>Strategy, Planning and</w:t>
        <w:tab/>
      </w:r>
      <w:r>
        <w:rPr>
          <w:rFonts w:ascii="TT Norms Pro"/>
          <w:sz w:val="16"/>
          <w:u w:val="single"/>
        </w:rPr>
        <w:tab/>
      </w:r>
      <w:r>
        <w:rPr>
          <w:rFonts w:ascii="TT Norms Pro"/>
          <w:spacing w:val="40"/>
          <w:sz w:val="16"/>
          <w:u w:val="none"/>
        </w:rPr>
        <w:t> </w:t>
      </w:r>
      <w:r>
        <w:rPr>
          <w:rFonts w:ascii="TT Norms Pro"/>
          <w:spacing w:val="-2"/>
          <w:sz w:val="16"/>
          <w:u w:val="none"/>
        </w:rPr>
        <w:t>Performance</w:t>
      </w:r>
    </w:p>
    <w:p>
      <w:pPr>
        <w:pStyle w:val="BodyText"/>
        <w:spacing w:before="59"/>
        <w:rPr>
          <w:rFonts w:ascii="TT Norms Pro"/>
          <w:sz w:val="16"/>
        </w:rPr>
      </w:pPr>
    </w:p>
    <w:p>
      <w:pPr>
        <w:spacing w:before="1"/>
        <w:ind w:left="0" w:right="1208" w:firstLine="0"/>
        <w:jc w:val="center"/>
        <w:rPr>
          <w:rFonts w:ascii="TT Norms Pro"/>
          <w:sz w:val="16"/>
        </w:rPr>
      </w:pPr>
      <w:r>
        <w:rPr>
          <w:rFonts w:ascii="TT Norms Pro"/>
          <w:spacing w:val="-2"/>
          <w:sz w:val="16"/>
        </w:rPr>
        <w:t>Director</w:t>
      </w:r>
    </w:p>
    <w:p>
      <w:pPr>
        <w:spacing w:before="12"/>
        <w:ind w:left="0" w:right="1208" w:firstLine="0"/>
        <w:jc w:val="center"/>
        <w:rPr>
          <w:rFonts w:ascii="TT Norms Pro"/>
          <w:sz w:val="16"/>
        </w:rPr>
      </w:pPr>
      <w:r>
        <w:rPr>
          <w:rFonts w:ascii="TT Norms Pro"/>
          <w:sz w:val="16"/>
        </w:rPr>
        <w:t>Office</w:t>
      </w:r>
      <w:r>
        <w:rPr>
          <w:rFonts w:ascii="TT Norms Pro"/>
          <w:spacing w:val="6"/>
          <w:sz w:val="16"/>
        </w:rPr>
        <w:t> </w:t>
      </w:r>
      <w:r>
        <w:rPr>
          <w:rFonts w:ascii="TT Norms Pro"/>
          <w:sz w:val="16"/>
        </w:rPr>
        <w:t>of</w:t>
      </w:r>
      <w:r>
        <w:rPr>
          <w:rFonts w:ascii="TT Norms Pro"/>
          <w:spacing w:val="6"/>
          <w:sz w:val="16"/>
        </w:rPr>
        <w:t> </w:t>
      </w:r>
      <w:r>
        <w:rPr>
          <w:rFonts w:ascii="TT Norms Pro"/>
          <w:sz w:val="16"/>
        </w:rPr>
        <w:t>Service</w:t>
      </w:r>
      <w:r>
        <w:rPr>
          <w:rFonts w:ascii="TT Norms Pro"/>
          <w:spacing w:val="6"/>
          <w:sz w:val="16"/>
        </w:rPr>
        <w:t> </w:t>
      </w:r>
      <w:r>
        <w:rPr>
          <w:rFonts w:ascii="TT Norms Pro"/>
          <w:spacing w:val="-2"/>
          <w:sz w:val="16"/>
        </w:rPr>
        <w:t>Delivery</w:t>
      </w:r>
    </w:p>
    <w:p>
      <w:pPr>
        <w:pStyle w:val="BodyText"/>
        <w:spacing w:before="95"/>
        <w:rPr>
          <w:rFonts w:ascii="TT Norms Pro"/>
          <w:sz w:val="16"/>
        </w:rPr>
      </w:pPr>
    </w:p>
    <w:p>
      <w:pPr>
        <w:spacing w:line="256" w:lineRule="auto" w:before="0"/>
        <w:ind w:left="599" w:right="1637" w:firstLine="391"/>
        <w:jc w:val="left"/>
        <w:rPr>
          <w:rFonts w:ascii="TT Norms Pro"/>
          <w:sz w:val="16"/>
        </w:rPr>
      </w:pPr>
      <w:r>
        <w:rPr>
          <w:rFonts w:ascii="TT Norms Pro"/>
          <w:spacing w:val="-2"/>
          <w:sz w:val="16"/>
        </w:rPr>
        <w:t>Director</w:t>
      </w:r>
      <w:r>
        <w:rPr>
          <w:rFonts w:ascii="TT Norms Pro"/>
          <w:spacing w:val="40"/>
          <w:sz w:val="16"/>
        </w:rPr>
        <w:t> </w:t>
      </w:r>
      <w:r>
        <w:rPr>
          <w:rFonts w:ascii="TT Norms Pro"/>
          <w:sz w:val="16"/>
        </w:rPr>
        <w:t>Confucius</w:t>
      </w:r>
      <w:r>
        <w:rPr>
          <w:rFonts w:ascii="TT Norms Pro"/>
          <w:spacing w:val="-9"/>
          <w:sz w:val="16"/>
        </w:rPr>
        <w:t> </w:t>
      </w:r>
      <w:r>
        <w:rPr>
          <w:rFonts w:ascii="TT Norms Pro"/>
          <w:sz w:val="16"/>
        </w:rPr>
        <w:t>Institute</w:t>
      </w:r>
    </w:p>
    <w:p>
      <w:pPr>
        <w:spacing w:after="0" w:line="256" w:lineRule="auto"/>
        <w:jc w:val="left"/>
        <w:rPr>
          <w:rFonts w:ascii="TT Norms Pro"/>
          <w:sz w:val="16"/>
        </w:rPr>
        <w:sectPr>
          <w:type w:val="continuous"/>
          <w:pgSz w:w="11910" w:h="16840"/>
          <w:pgMar w:header="468" w:footer="0" w:top="980" w:bottom="280" w:left="940" w:right="0"/>
          <w:cols w:num="3" w:equalWidth="0">
            <w:col w:w="2238" w:space="47"/>
            <w:col w:w="2544" w:space="2381"/>
            <w:col w:w="3760"/>
          </w:cols>
        </w:sectPr>
      </w:pPr>
    </w:p>
    <w:p>
      <w:pPr>
        <w:pStyle w:val="BodyText"/>
        <w:rPr>
          <w:rFonts w:ascii="TT Norms Pro"/>
          <w:sz w:val="20"/>
        </w:rPr>
      </w:pPr>
    </w:p>
    <w:p>
      <w:pPr>
        <w:pStyle w:val="BodyText"/>
        <w:rPr>
          <w:rFonts w:ascii="TT Norms Pro"/>
          <w:sz w:val="20"/>
        </w:rPr>
      </w:pPr>
    </w:p>
    <w:p>
      <w:pPr>
        <w:pStyle w:val="BodyText"/>
        <w:rPr>
          <w:rFonts w:ascii="TT Norms Pro"/>
          <w:sz w:val="20"/>
        </w:rPr>
      </w:pPr>
    </w:p>
    <w:p>
      <w:pPr>
        <w:pStyle w:val="BodyText"/>
        <w:spacing w:before="144"/>
        <w:rPr>
          <w:rFonts w:ascii="TT Norms Pro"/>
          <w:sz w:val="20"/>
        </w:rPr>
      </w:pPr>
    </w:p>
    <w:p>
      <w:pPr>
        <w:tabs>
          <w:tab w:pos="5045" w:val="left" w:leader="none"/>
          <w:tab w:pos="7597" w:val="left" w:leader="none"/>
        </w:tabs>
        <w:spacing w:line="20" w:lineRule="exact"/>
        <w:ind w:left="198" w:right="0" w:firstLine="0"/>
        <w:jc w:val="left"/>
        <w:rPr>
          <w:rFonts w:ascii="TT Norms Pro"/>
          <w:sz w:val="2"/>
        </w:rPr>
      </w:pPr>
      <w:r>
        <w:rPr>
          <w:rFonts w:ascii="TT Norms Pro"/>
          <w:sz w:val="2"/>
        </w:rPr>
        <mc:AlternateContent>
          <mc:Choice Requires="wps">
            <w:drawing>
              <wp:inline distT="0" distB="0" distL="0" distR="0">
                <wp:extent cx="1404620" cy="3175"/>
                <wp:effectExtent l="9525" t="0" r="0" b="6350"/>
                <wp:docPr id="190" name="Group 190"/>
                <wp:cNvGraphicFramePr>
                  <a:graphicFrameLocks/>
                </wp:cNvGraphicFramePr>
                <a:graphic>
                  <a:graphicData uri="http://schemas.microsoft.com/office/word/2010/wordprocessingGroup">
                    <wpg:wgp>
                      <wpg:cNvPr id="190" name="Group 190"/>
                      <wpg:cNvGrpSpPr/>
                      <wpg:grpSpPr>
                        <a:xfrm>
                          <a:off x="0" y="0"/>
                          <a:ext cx="1404620" cy="3175"/>
                          <a:chExt cx="1404620" cy="3175"/>
                        </a:xfrm>
                      </wpg:grpSpPr>
                      <wps:wsp>
                        <wps:cNvPr id="191" name="Graphic 191"/>
                        <wps:cNvSpPr/>
                        <wps:spPr>
                          <a:xfrm>
                            <a:off x="0" y="1587"/>
                            <a:ext cx="1404620" cy="1270"/>
                          </a:xfrm>
                          <a:custGeom>
                            <a:avLst/>
                            <a:gdLst/>
                            <a:ahLst/>
                            <a:cxnLst/>
                            <a:rect l="l" t="t" r="r" b="b"/>
                            <a:pathLst>
                              <a:path w="1404620" h="0">
                                <a:moveTo>
                                  <a:pt x="0" y="0"/>
                                </a:moveTo>
                                <a:lnTo>
                                  <a:pt x="1403997" y="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10.6pt;height:.25pt;mso-position-horizontal-relative:char;mso-position-vertical-relative:line" id="docshapegroup128" coordorigin="0,0" coordsize="2212,5">
                <v:line style="position:absolute" from="0,3" to="2211,3" stroked="true" strokeweight=".25pt" strokecolor="#000000">
                  <v:stroke dashstyle="solid"/>
                </v:line>
              </v:group>
            </w:pict>
          </mc:Fallback>
        </mc:AlternateContent>
      </w:r>
      <w:r>
        <w:rPr>
          <w:rFonts w:ascii="TT Norms Pro"/>
          <w:sz w:val="2"/>
        </w:rPr>
      </w:r>
      <w:r>
        <w:rPr>
          <w:rFonts w:ascii="Times New Roman"/>
          <w:spacing w:val="161"/>
          <w:sz w:val="2"/>
        </w:rPr>
        <w:t> </w:t>
      </w:r>
      <w:r>
        <w:rPr>
          <w:rFonts w:ascii="TT Norms Pro"/>
          <w:spacing w:val="161"/>
          <w:sz w:val="2"/>
        </w:rPr>
        <mc:AlternateContent>
          <mc:Choice Requires="wps">
            <w:drawing>
              <wp:inline distT="0" distB="0" distL="0" distR="0">
                <wp:extent cx="1404620" cy="3175"/>
                <wp:effectExtent l="9525" t="0" r="0" b="6350"/>
                <wp:docPr id="192" name="Group 192"/>
                <wp:cNvGraphicFramePr>
                  <a:graphicFrameLocks/>
                </wp:cNvGraphicFramePr>
                <a:graphic>
                  <a:graphicData uri="http://schemas.microsoft.com/office/word/2010/wordprocessingGroup">
                    <wpg:wgp>
                      <wpg:cNvPr id="192" name="Group 192"/>
                      <wpg:cNvGrpSpPr/>
                      <wpg:grpSpPr>
                        <a:xfrm>
                          <a:off x="0" y="0"/>
                          <a:ext cx="1404620" cy="3175"/>
                          <a:chExt cx="1404620" cy="3175"/>
                        </a:xfrm>
                      </wpg:grpSpPr>
                      <wps:wsp>
                        <wps:cNvPr id="193" name="Graphic 193"/>
                        <wps:cNvSpPr/>
                        <wps:spPr>
                          <a:xfrm>
                            <a:off x="0" y="1587"/>
                            <a:ext cx="1404620" cy="1270"/>
                          </a:xfrm>
                          <a:custGeom>
                            <a:avLst/>
                            <a:gdLst/>
                            <a:ahLst/>
                            <a:cxnLst/>
                            <a:rect l="l" t="t" r="r" b="b"/>
                            <a:pathLst>
                              <a:path w="1404620" h="0">
                                <a:moveTo>
                                  <a:pt x="0" y="0"/>
                                </a:moveTo>
                                <a:lnTo>
                                  <a:pt x="1403997" y="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10.6pt;height:.25pt;mso-position-horizontal-relative:char;mso-position-vertical-relative:line" id="docshapegroup129" coordorigin="0,0" coordsize="2212,5">
                <v:line style="position:absolute" from="0,3" to="2211,3" stroked="true" strokeweight=".25pt" strokecolor="#000000">
                  <v:stroke dashstyle="solid"/>
                </v:line>
              </v:group>
            </w:pict>
          </mc:Fallback>
        </mc:AlternateContent>
      </w:r>
      <w:r>
        <w:rPr>
          <w:rFonts w:ascii="TT Norms Pro"/>
          <w:spacing w:val="161"/>
          <w:sz w:val="2"/>
        </w:rPr>
      </w:r>
      <w:r>
        <w:rPr>
          <w:rFonts w:ascii="TT Norms Pro"/>
          <w:spacing w:val="161"/>
          <w:sz w:val="2"/>
        </w:rPr>
        <w:tab/>
      </w:r>
      <w:r>
        <w:rPr>
          <w:rFonts w:ascii="TT Norms Pro"/>
          <w:spacing w:val="161"/>
          <w:sz w:val="2"/>
        </w:rPr>
        <mc:AlternateContent>
          <mc:Choice Requires="wps">
            <w:drawing>
              <wp:inline distT="0" distB="0" distL="0" distR="0">
                <wp:extent cx="1404620" cy="3175"/>
                <wp:effectExtent l="9525" t="0" r="0" b="6350"/>
                <wp:docPr id="194" name="Group 194"/>
                <wp:cNvGraphicFramePr>
                  <a:graphicFrameLocks/>
                </wp:cNvGraphicFramePr>
                <a:graphic>
                  <a:graphicData uri="http://schemas.microsoft.com/office/word/2010/wordprocessingGroup">
                    <wpg:wgp>
                      <wpg:cNvPr id="194" name="Group 194"/>
                      <wpg:cNvGrpSpPr/>
                      <wpg:grpSpPr>
                        <a:xfrm>
                          <a:off x="0" y="0"/>
                          <a:ext cx="1404620" cy="3175"/>
                          <a:chExt cx="1404620" cy="3175"/>
                        </a:xfrm>
                      </wpg:grpSpPr>
                      <wps:wsp>
                        <wps:cNvPr id="195" name="Graphic 195"/>
                        <wps:cNvSpPr/>
                        <wps:spPr>
                          <a:xfrm>
                            <a:off x="0" y="1587"/>
                            <a:ext cx="1404620" cy="1270"/>
                          </a:xfrm>
                          <a:custGeom>
                            <a:avLst/>
                            <a:gdLst/>
                            <a:ahLst/>
                            <a:cxnLst/>
                            <a:rect l="l" t="t" r="r" b="b"/>
                            <a:pathLst>
                              <a:path w="1404620" h="0">
                                <a:moveTo>
                                  <a:pt x="0" y="0"/>
                                </a:moveTo>
                                <a:lnTo>
                                  <a:pt x="1403997" y="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10.6pt;height:.25pt;mso-position-horizontal-relative:char;mso-position-vertical-relative:line" id="docshapegroup130" coordorigin="0,0" coordsize="2212,5">
                <v:line style="position:absolute" from="0,3" to="2211,3" stroked="true" strokeweight=".25pt" strokecolor="#000000">
                  <v:stroke dashstyle="solid"/>
                </v:line>
              </v:group>
            </w:pict>
          </mc:Fallback>
        </mc:AlternateContent>
      </w:r>
      <w:r>
        <w:rPr>
          <w:rFonts w:ascii="TT Norms Pro"/>
          <w:spacing w:val="161"/>
          <w:sz w:val="2"/>
        </w:rPr>
      </w:r>
      <w:r>
        <w:rPr>
          <w:rFonts w:ascii="TT Norms Pro"/>
          <w:spacing w:val="161"/>
          <w:sz w:val="2"/>
        </w:rPr>
        <w:tab/>
      </w:r>
      <w:r>
        <w:rPr>
          <w:rFonts w:ascii="TT Norms Pro"/>
          <w:spacing w:val="161"/>
          <w:sz w:val="2"/>
        </w:rPr>
        <mc:AlternateContent>
          <mc:Choice Requires="wps">
            <w:drawing>
              <wp:inline distT="0" distB="0" distL="0" distR="0">
                <wp:extent cx="1404620" cy="3175"/>
                <wp:effectExtent l="9525" t="0" r="0" b="6350"/>
                <wp:docPr id="196" name="Group 196"/>
                <wp:cNvGraphicFramePr>
                  <a:graphicFrameLocks/>
                </wp:cNvGraphicFramePr>
                <a:graphic>
                  <a:graphicData uri="http://schemas.microsoft.com/office/word/2010/wordprocessingGroup">
                    <wpg:wgp>
                      <wpg:cNvPr id="196" name="Group 196"/>
                      <wpg:cNvGrpSpPr/>
                      <wpg:grpSpPr>
                        <a:xfrm>
                          <a:off x="0" y="0"/>
                          <a:ext cx="1404620" cy="3175"/>
                          <a:chExt cx="1404620" cy="3175"/>
                        </a:xfrm>
                      </wpg:grpSpPr>
                      <wps:wsp>
                        <wps:cNvPr id="197" name="Graphic 197"/>
                        <wps:cNvSpPr/>
                        <wps:spPr>
                          <a:xfrm>
                            <a:off x="0" y="1587"/>
                            <a:ext cx="1404620" cy="1270"/>
                          </a:xfrm>
                          <a:custGeom>
                            <a:avLst/>
                            <a:gdLst/>
                            <a:ahLst/>
                            <a:cxnLst/>
                            <a:rect l="l" t="t" r="r" b="b"/>
                            <a:pathLst>
                              <a:path w="1404620" h="0">
                                <a:moveTo>
                                  <a:pt x="0" y="0"/>
                                </a:moveTo>
                                <a:lnTo>
                                  <a:pt x="1403997" y="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10.6pt;height:.25pt;mso-position-horizontal-relative:char;mso-position-vertical-relative:line" id="docshapegroup131" coordorigin="0,0" coordsize="2212,5">
                <v:line style="position:absolute" from="0,3" to="2211,3" stroked="true" strokeweight=".25pt" strokecolor="#000000">
                  <v:stroke dashstyle="solid"/>
                </v:line>
              </v:group>
            </w:pict>
          </mc:Fallback>
        </mc:AlternateContent>
      </w:r>
      <w:r>
        <w:rPr>
          <w:rFonts w:ascii="TT Norms Pro"/>
          <w:spacing w:val="161"/>
          <w:sz w:val="2"/>
        </w:rPr>
      </w:r>
    </w:p>
    <w:p>
      <w:pPr>
        <w:spacing w:after="0" w:line="20" w:lineRule="exact"/>
        <w:jc w:val="left"/>
        <w:rPr>
          <w:rFonts w:ascii="TT Norms Pro"/>
          <w:sz w:val="2"/>
        </w:rPr>
        <w:sectPr>
          <w:type w:val="continuous"/>
          <w:pgSz w:w="11910" w:h="16840"/>
          <w:pgMar w:header="468" w:footer="0" w:top="980" w:bottom="280" w:left="940" w:right="0"/>
        </w:sectPr>
      </w:pPr>
    </w:p>
    <w:p>
      <w:pPr>
        <w:spacing w:before="85"/>
        <w:ind w:left="292" w:right="2" w:firstLine="0"/>
        <w:jc w:val="center"/>
        <w:rPr>
          <w:rFonts w:ascii="TT Norms Pro"/>
          <w:sz w:val="16"/>
        </w:rPr>
      </w:pPr>
      <w:r>
        <w:rPr>
          <w:rFonts w:ascii="TT Norms Pro"/>
          <w:spacing w:val="-4"/>
          <w:sz w:val="16"/>
        </w:rPr>
        <w:t>Dean</w:t>
      </w:r>
    </w:p>
    <w:p>
      <w:pPr>
        <w:spacing w:before="13"/>
        <w:ind w:left="292" w:right="0" w:firstLine="0"/>
        <w:jc w:val="center"/>
        <w:rPr>
          <w:rFonts w:ascii="TT Norms Pro"/>
          <w:sz w:val="16"/>
        </w:rPr>
      </w:pPr>
      <w:r>
        <w:rPr>
          <w:rFonts w:ascii="TT Norms Pro"/>
          <w:sz w:val="16"/>
        </w:rPr>
        <w:t>Graduate</w:t>
      </w:r>
      <w:r>
        <w:rPr>
          <w:rFonts w:ascii="TT Norms Pro"/>
          <w:spacing w:val="6"/>
          <w:sz w:val="16"/>
        </w:rPr>
        <w:t> </w:t>
      </w:r>
      <w:r>
        <w:rPr>
          <w:rFonts w:ascii="TT Norms Pro"/>
          <w:sz w:val="16"/>
        </w:rPr>
        <w:t>Research</w:t>
      </w:r>
      <w:r>
        <w:rPr>
          <w:rFonts w:ascii="TT Norms Pro"/>
          <w:spacing w:val="7"/>
          <w:sz w:val="16"/>
        </w:rPr>
        <w:t> </w:t>
      </w:r>
      <w:r>
        <w:rPr>
          <w:rFonts w:ascii="TT Norms Pro"/>
          <w:spacing w:val="-2"/>
          <w:sz w:val="16"/>
        </w:rPr>
        <w:t>School</w:t>
      </w:r>
    </w:p>
    <w:p>
      <w:pPr>
        <w:spacing w:line="256" w:lineRule="auto" w:before="85"/>
        <w:ind w:left="332" w:right="38" w:firstLine="368"/>
        <w:jc w:val="left"/>
        <w:rPr>
          <w:rFonts w:ascii="TT Norms Pro"/>
          <w:sz w:val="16"/>
        </w:rPr>
      </w:pPr>
      <w:r>
        <w:rPr/>
        <w:br w:type="column"/>
      </w:r>
      <w:r>
        <w:rPr>
          <w:rFonts w:ascii="TT Norms Pro"/>
          <w:spacing w:val="-2"/>
          <w:sz w:val="16"/>
        </w:rPr>
        <w:t>Director</w:t>
      </w:r>
      <w:r>
        <w:rPr>
          <w:rFonts w:ascii="TT Norms Pro"/>
          <w:spacing w:val="40"/>
          <w:sz w:val="16"/>
        </w:rPr>
        <w:t> </w:t>
      </w:r>
      <w:r>
        <w:rPr>
          <w:rFonts w:ascii="TT Norms Pro"/>
          <w:sz w:val="16"/>
        </w:rPr>
        <w:t>Office</w:t>
      </w:r>
      <w:r>
        <w:rPr>
          <w:rFonts w:ascii="TT Norms Pro"/>
          <w:spacing w:val="-9"/>
          <w:sz w:val="16"/>
        </w:rPr>
        <w:t> </w:t>
      </w:r>
      <w:r>
        <w:rPr>
          <w:rFonts w:ascii="TT Norms Pro"/>
          <w:sz w:val="16"/>
        </w:rPr>
        <w:t>of</w:t>
      </w:r>
      <w:r>
        <w:rPr>
          <w:rFonts w:ascii="TT Norms Pro"/>
          <w:spacing w:val="-8"/>
          <w:sz w:val="16"/>
        </w:rPr>
        <w:t> </w:t>
      </w:r>
      <w:r>
        <w:rPr>
          <w:rFonts w:ascii="TT Norms Pro"/>
          <w:sz w:val="16"/>
        </w:rPr>
        <w:t>Research</w:t>
      </w:r>
    </w:p>
    <w:p>
      <w:pPr>
        <w:spacing w:before="85"/>
        <w:ind w:left="332" w:right="0" w:firstLine="0"/>
        <w:jc w:val="left"/>
        <w:rPr>
          <w:rFonts w:ascii="TT Norms Pro"/>
          <w:sz w:val="16"/>
        </w:rPr>
      </w:pPr>
      <w:r>
        <w:rPr/>
        <w:br w:type="column"/>
      </w:r>
      <w:r>
        <w:rPr>
          <w:rFonts w:ascii="TT Norms Pro"/>
          <w:sz w:val="16"/>
        </w:rPr>
        <w:t>University</w:t>
      </w:r>
      <w:r>
        <w:rPr>
          <w:rFonts w:ascii="TT Norms Pro"/>
          <w:spacing w:val="14"/>
          <w:sz w:val="16"/>
        </w:rPr>
        <w:t> </w:t>
      </w:r>
      <w:r>
        <w:rPr>
          <w:rFonts w:ascii="TT Norms Pro"/>
          <w:spacing w:val="-2"/>
          <w:sz w:val="16"/>
        </w:rPr>
        <w:t>Librarian</w:t>
      </w:r>
    </w:p>
    <w:p>
      <w:pPr>
        <w:spacing w:before="85"/>
        <w:ind w:left="0" w:right="861" w:firstLine="0"/>
        <w:jc w:val="center"/>
        <w:rPr>
          <w:rFonts w:ascii="TT Norms Pro"/>
          <w:sz w:val="16"/>
        </w:rPr>
      </w:pPr>
      <w:r>
        <w:rPr/>
        <w:br w:type="column"/>
      </w:r>
      <w:r>
        <w:rPr>
          <w:rFonts w:ascii="TT Norms Pro"/>
          <w:spacing w:val="-2"/>
          <w:sz w:val="16"/>
        </w:rPr>
        <w:t>Director</w:t>
      </w:r>
    </w:p>
    <w:p>
      <w:pPr>
        <w:spacing w:before="13"/>
        <w:ind w:left="0" w:right="861" w:firstLine="0"/>
        <w:jc w:val="center"/>
        <w:rPr>
          <w:rFonts w:ascii="TT Norms Pro"/>
          <w:sz w:val="16"/>
        </w:rPr>
      </w:pPr>
      <w:r>
        <w:rPr>
          <w:rFonts w:ascii="TT Norms Pro"/>
          <w:sz w:val="16"/>
        </w:rPr>
        <w:t>Institute</w:t>
      </w:r>
      <w:r>
        <w:rPr>
          <w:rFonts w:ascii="TT Norms Pro"/>
          <w:spacing w:val="5"/>
          <w:sz w:val="16"/>
        </w:rPr>
        <w:t> </w:t>
      </w:r>
      <w:r>
        <w:rPr>
          <w:rFonts w:ascii="TT Norms Pro"/>
          <w:sz w:val="16"/>
        </w:rPr>
        <w:t>of</w:t>
      </w:r>
      <w:r>
        <w:rPr>
          <w:rFonts w:ascii="TT Norms Pro"/>
          <w:spacing w:val="5"/>
          <w:sz w:val="16"/>
        </w:rPr>
        <w:t> </w:t>
      </w:r>
      <w:r>
        <w:rPr>
          <w:rFonts w:ascii="TT Norms Pro"/>
          <w:sz w:val="16"/>
        </w:rPr>
        <w:t>Advanced</w:t>
      </w:r>
      <w:r>
        <w:rPr>
          <w:rFonts w:ascii="TT Norms Pro"/>
          <w:spacing w:val="5"/>
          <w:sz w:val="16"/>
        </w:rPr>
        <w:t> </w:t>
      </w:r>
      <w:r>
        <w:rPr>
          <w:rFonts w:ascii="TT Norms Pro"/>
          <w:spacing w:val="-2"/>
          <w:sz w:val="16"/>
        </w:rPr>
        <w:t>Studies</w:t>
      </w:r>
    </w:p>
    <w:p>
      <w:pPr>
        <w:spacing w:after="0"/>
        <w:jc w:val="center"/>
        <w:rPr>
          <w:rFonts w:ascii="TT Norms Pro"/>
          <w:sz w:val="16"/>
        </w:rPr>
        <w:sectPr>
          <w:type w:val="continuous"/>
          <w:pgSz w:w="11910" w:h="16840"/>
          <w:pgMar w:header="468" w:footer="0" w:top="980" w:bottom="280" w:left="940" w:right="0"/>
          <w:cols w:num="4" w:equalWidth="0">
            <w:col w:w="2319" w:space="380"/>
            <w:col w:w="1712" w:space="701"/>
            <w:col w:w="1787" w:space="406"/>
            <w:col w:w="3665"/>
          </w:cols>
        </w:sectPr>
      </w:pPr>
    </w:p>
    <w:p>
      <w:pPr>
        <w:pStyle w:val="BodyText"/>
        <w:rPr>
          <w:rFonts w:ascii="TT Norms Pro"/>
          <w:sz w:val="20"/>
        </w:rPr>
      </w:pPr>
    </w:p>
    <w:p>
      <w:pPr>
        <w:pStyle w:val="BodyText"/>
        <w:spacing w:before="17"/>
        <w:rPr>
          <w:rFonts w:ascii="TT Norms Pro"/>
          <w:sz w:val="20"/>
        </w:rPr>
      </w:pPr>
    </w:p>
    <w:p>
      <w:pPr>
        <w:tabs>
          <w:tab w:pos="6291" w:val="left" w:leader="none"/>
        </w:tabs>
        <w:spacing w:line="20" w:lineRule="exact"/>
        <w:ind w:left="1432" w:right="0" w:firstLine="0"/>
        <w:jc w:val="left"/>
        <w:rPr>
          <w:rFonts w:ascii="TT Norms Pro"/>
          <w:sz w:val="2"/>
        </w:rPr>
      </w:pPr>
      <w:r>
        <w:rPr>
          <w:rFonts w:ascii="TT Norms Pro"/>
          <w:sz w:val="2"/>
        </w:rPr>
        <mc:AlternateContent>
          <mc:Choice Requires="wps">
            <w:drawing>
              <wp:inline distT="0" distB="0" distL="0" distR="0">
                <wp:extent cx="1404620" cy="3175"/>
                <wp:effectExtent l="9525" t="0" r="0" b="6350"/>
                <wp:docPr id="198" name="Group 198"/>
                <wp:cNvGraphicFramePr>
                  <a:graphicFrameLocks/>
                </wp:cNvGraphicFramePr>
                <a:graphic>
                  <a:graphicData uri="http://schemas.microsoft.com/office/word/2010/wordprocessingGroup">
                    <wpg:wgp>
                      <wpg:cNvPr id="198" name="Group 198"/>
                      <wpg:cNvGrpSpPr/>
                      <wpg:grpSpPr>
                        <a:xfrm>
                          <a:off x="0" y="0"/>
                          <a:ext cx="1404620" cy="3175"/>
                          <a:chExt cx="1404620" cy="3175"/>
                        </a:xfrm>
                      </wpg:grpSpPr>
                      <wps:wsp>
                        <wps:cNvPr id="199" name="Graphic 199"/>
                        <wps:cNvSpPr/>
                        <wps:spPr>
                          <a:xfrm>
                            <a:off x="0" y="1587"/>
                            <a:ext cx="1404620" cy="1270"/>
                          </a:xfrm>
                          <a:custGeom>
                            <a:avLst/>
                            <a:gdLst/>
                            <a:ahLst/>
                            <a:cxnLst/>
                            <a:rect l="l" t="t" r="r" b="b"/>
                            <a:pathLst>
                              <a:path w="1404620" h="0">
                                <a:moveTo>
                                  <a:pt x="0" y="0"/>
                                </a:moveTo>
                                <a:lnTo>
                                  <a:pt x="1403997" y="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10.6pt;height:.25pt;mso-position-horizontal-relative:char;mso-position-vertical-relative:line" id="docshapegroup132" coordorigin="0,0" coordsize="2212,5">
                <v:line style="position:absolute" from="0,3" to="2211,3" stroked="true" strokeweight=".25pt" strokecolor="#000000">
                  <v:stroke dashstyle="solid"/>
                </v:line>
              </v:group>
            </w:pict>
          </mc:Fallback>
        </mc:AlternateContent>
      </w:r>
      <w:r>
        <w:rPr>
          <w:rFonts w:ascii="TT Norms Pro"/>
          <w:sz w:val="2"/>
        </w:rPr>
      </w:r>
      <w:r>
        <w:rPr>
          <w:rFonts w:ascii="Times New Roman"/>
          <w:spacing w:val="179"/>
          <w:sz w:val="2"/>
        </w:rPr>
        <w:t> </w:t>
      </w:r>
      <w:r>
        <w:rPr>
          <w:rFonts w:ascii="TT Norms Pro"/>
          <w:spacing w:val="179"/>
          <w:sz w:val="2"/>
        </w:rPr>
        <mc:AlternateContent>
          <mc:Choice Requires="wps">
            <w:drawing>
              <wp:inline distT="0" distB="0" distL="0" distR="0">
                <wp:extent cx="1404620" cy="3175"/>
                <wp:effectExtent l="9525" t="0" r="0" b="6350"/>
                <wp:docPr id="200" name="Group 200"/>
                <wp:cNvGraphicFramePr>
                  <a:graphicFrameLocks/>
                </wp:cNvGraphicFramePr>
                <a:graphic>
                  <a:graphicData uri="http://schemas.microsoft.com/office/word/2010/wordprocessingGroup">
                    <wpg:wgp>
                      <wpg:cNvPr id="200" name="Group 200"/>
                      <wpg:cNvGrpSpPr/>
                      <wpg:grpSpPr>
                        <a:xfrm>
                          <a:off x="0" y="0"/>
                          <a:ext cx="1404620" cy="3175"/>
                          <a:chExt cx="1404620" cy="3175"/>
                        </a:xfrm>
                      </wpg:grpSpPr>
                      <wps:wsp>
                        <wps:cNvPr id="201" name="Graphic 201"/>
                        <wps:cNvSpPr/>
                        <wps:spPr>
                          <a:xfrm>
                            <a:off x="0" y="1587"/>
                            <a:ext cx="1404620" cy="1270"/>
                          </a:xfrm>
                          <a:custGeom>
                            <a:avLst/>
                            <a:gdLst/>
                            <a:ahLst/>
                            <a:cxnLst/>
                            <a:rect l="l" t="t" r="r" b="b"/>
                            <a:pathLst>
                              <a:path w="1404620" h="0">
                                <a:moveTo>
                                  <a:pt x="0" y="0"/>
                                </a:moveTo>
                                <a:lnTo>
                                  <a:pt x="1403997" y="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10.6pt;height:.25pt;mso-position-horizontal-relative:char;mso-position-vertical-relative:line" id="docshapegroup133" coordorigin="0,0" coordsize="2212,5">
                <v:line style="position:absolute" from="0,3" to="2211,3" stroked="true" strokeweight=".25pt" strokecolor="#000000">
                  <v:stroke dashstyle="solid"/>
                </v:line>
              </v:group>
            </w:pict>
          </mc:Fallback>
        </mc:AlternateContent>
      </w:r>
      <w:r>
        <w:rPr>
          <w:rFonts w:ascii="TT Norms Pro"/>
          <w:spacing w:val="179"/>
          <w:sz w:val="2"/>
        </w:rPr>
      </w:r>
      <w:r>
        <w:rPr>
          <w:rFonts w:ascii="TT Norms Pro"/>
          <w:spacing w:val="179"/>
          <w:sz w:val="2"/>
        </w:rPr>
        <w:tab/>
      </w:r>
      <w:r>
        <w:rPr>
          <w:rFonts w:ascii="TT Norms Pro"/>
          <w:spacing w:val="179"/>
          <w:sz w:val="2"/>
        </w:rPr>
        <mc:AlternateContent>
          <mc:Choice Requires="wps">
            <w:drawing>
              <wp:inline distT="0" distB="0" distL="0" distR="0">
                <wp:extent cx="1404620" cy="3175"/>
                <wp:effectExtent l="9525" t="0" r="0" b="6350"/>
                <wp:docPr id="202" name="Group 202"/>
                <wp:cNvGraphicFramePr>
                  <a:graphicFrameLocks/>
                </wp:cNvGraphicFramePr>
                <a:graphic>
                  <a:graphicData uri="http://schemas.microsoft.com/office/word/2010/wordprocessingGroup">
                    <wpg:wgp>
                      <wpg:cNvPr id="202" name="Group 202"/>
                      <wpg:cNvGrpSpPr/>
                      <wpg:grpSpPr>
                        <a:xfrm>
                          <a:off x="0" y="0"/>
                          <a:ext cx="1404620" cy="3175"/>
                          <a:chExt cx="1404620" cy="3175"/>
                        </a:xfrm>
                      </wpg:grpSpPr>
                      <wps:wsp>
                        <wps:cNvPr id="203" name="Graphic 203"/>
                        <wps:cNvSpPr/>
                        <wps:spPr>
                          <a:xfrm>
                            <a:off x="0" y="1587"/>
                            <a:ext cx="1404620" cy="1270"/>
                          </a:xfrm>
                          <a:custGeom>
                            <a:avLst/>
                            <a:gdLst/>
                            <a:ahLst/>
                            <a:cxnLst/>
                            <a:rect l="l" t="t" r="r" b="b"/>
                            <a:pathLst>
                              <a:path w="1404620" h="0">
                                <a:moveTo>
                                  <a:pt x="0" y="0"/>
                                </a:moveTo>
                                <a:lnTo>
                                  <a:pt x="1403997" y="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10.6pt;height:.25pt;mso-position-horizontal-relative:char;mso-position-vertical-relative:line" id="docshapegroup134" coordorigin="0,0" coordsize="2212,5">
                <v:line style="position:absolute" from="0,3" to="2211,3" stroked="true" strokeweight=".25pt" strokecolor="#000000">
                  <v:stroke dashstyle="solid"/>
                </v:line>
              </v:group>
            </w:pict>
          </mc:Fallback>
        </mc:AlternateContent>
      </w:r>
      <w:r>
        <w:rPr>
          <w:rFonts w:ascii="TT Norms Pro"/>
          <w:spacing w:val="179"/>
          <w:sz w:val="2"/>
        </w:rPr>
      </w:r>
    </w:p>
    <w:p>
      <w:pPr>
        <w:spacing w:after="0" w:line="20" w:lineRule="exact"/>
        <w:jc w:val="left"/>
        <w:rPr>
          <w:rFonts w:ascii="TT Norms Pro"/>
          <w:sz w:val="2"/>
        </w:rPr>
        <w:sectPr>
          <w:type w:val="continuous"/>
          <w:pgSz w:w="11910" w:h="16840"/>
          <w:pgMar w:header="468" w:footer="0" w:top="980" w:bottom="280" w:left="940" w:right="0"/>
        </w:sectPr>
      </w:pPr>
    </w:p>
    <w:p>
      <w:pPr>
        <w:spacing w:line="256" w:lineRule="auto" w:before="85"/>
        <w:ind w:left="1937" w:right="0" w:firstLine="298"/>
        <w:jc w:val="left"/>
        <w:rPr>
          <w:rFonts w:ascii="TT Norms Pro"/>
          <w:sz w:val="16"/>
        </w:rPr>
      </w:pPr>
      <w:r>
        <w:rPr>
          <w:rFonts w:ascii="TT Norms Pro"/>
          <w:spacing w:val="-2"/>
          <w:sz w:val="16"/>
        </w:rPr>
        <w:t>Director</w:t>
      </w:r>
      <w:r>
        <w:rPr>
          <w:rFonts w:ascii="TT Norms Pro"/>
          <w:spacing w:val="40"/>
          <w:sz w:val="16"/>
        </w:rPr>
        <w:t> </w:t>
      </w:r>
      <w:r>
        <w:rPr>
          <w:rFonts w:ascii="TT Norms Pro"/>
          <w:sz w:val="16"/>
        </w:rPr>
        <w:t>Oceans</w:t>
      </w:r>
      <w:r>
        <w:rPr>
          <w:rFonts w:ascii="TT Norms Pro"/>
          <w:spacing w:val="-9"/>
          <w:sz w:val="16"/>
        </w:rPr>
        <w:t> </w:t>
      </w:r>
      <w:r>
        <w:rPr>
          <w:rFonts w:ascii="TT Norms Pro"/>
          <w:sz w:val="16"/>
        </w:rPr>
        <w:t>Institute</w:t>
      </w:r>
    </w:p>
    <w:p>
      <w:pPr>
        <w:spacing w:line="256" w:lineRule="auto" w:before="85"/>
        <w:ind w:left="917" w:right="0" w:firstLine="519"/>
        <w:jc w:val="left"/>
        <w:rPr>
          <w:rFonts w:ascii="TT Norms Pro"/>
          <w:sz w:val="16"/>
        </w:rPr>
      </w:pPr>
      <w:r>
        <w:rPr/>
        <w:br w:type="column"/>
      </w:r>
      <w:r>
        <w:rPr>
          <w:rFonts w:ascii="TT Norms Pro"/>
          <w:spacing w:val="-2"/>
          <w:sz w:val="16"/>
        </w:rPr>
        <w:t>Directors</w:t>
      </w:r>
      <w:r>
        <w:rPr>
          <w:rFonts w:ascii="TT Norms Pro"/>
          <w:spacing w:val="40"/>
          <w:sz w:val="16"/>
        </w:rPr>
        <w:t> </w:t>
      </w:r>
      <w:r>
        <w:rPr>
          <w:rFonts w:ascii="TT Norms Pro"/>
          <w:sz w:val="16"/>
        </w:rPr>
        <w:t>Research</w:t>
      </w:r>
      <w:r>
        <w:rPr>
          <w:rFonts w:ascii="TT Norms Pro"/>
          <w:spacing w:val="-9"/>
          <w:sz w:val="16"/>
        </w:rPr>
        <w:t> </w:t>
      </w:r>
      <w:r>
        <w:rPr>
          <w:rFonts w:ascii="TT Norms Pro"/>
          <w:sz w:val="16"/>
        </w:rPr>
        <w:t>Infrastructure</w:t>
      </w:r>
    </w:p>
    <w:p>
      <w:pPr>
        <w:spacing w:line="187" w:lineRule="exact" w:before="0"/>
        <w:ind w:left="1484" w:right="0" w:firstLine="0"/>
        <w:jc w:val="left"/>
        <w:rPr>
          <w:rFonts w:ascii="TT Norms Pro"/>
          <w:sz w:val="16"/>
        </w:rPr>
      </w:pPr>
      <w:r>
        <w:rPr>
          <w:rFonts w:ascii="TT Norms Pro"/>
          <w:spacing w:val="-2"/>
          <w:sz w:val="16"/>
        </w:rPr>
        <w:t>Centres</w:t>
      </w:r>
    </w:p>
    <w:p>
      <w:pPr>
        <w:spacing w:line="256" w:lineRule="auto" w:before="85"/>
        <w:ind w:left="760" w:right="2779" w:firstLine="485"/>
        <w:jc w:val="left"/>
        <w:rPr>
          <w:rFonts w:ascii="TT Norms Pro"/>
          <w:sz w:val="16"/>
        </w:rPr>
      </w:pPr>
      <w:r>
        <w:rPr/>
        <w:br w:type="column"/>
      </w:r>
      <w:r>
        <w:rPr>
          <w:rFonts w:ascii="TT Norms Pro"/>
          <w:spacing w:val="-2"/>
          <w:sz w:val="16"/>
        </w:rPr>
        <w:t>Director</w:t>
      </w:r>
      <w:r>
        <w:rPr>
          <w:rFonts w:ascii="TT Norms Pro"/>
          <w:spacing w:val="80"/>
          <w:sz w:val="16"/>
        </w:rPr>
        <w:t> </w:t>
      </w:r>
      <w:r>
        <w:rPr>
          <w:rFonts w:ascii="TT Norms Pro"/>
          <w:sz w:val="16"/>
        </w:rPr>
        <w:t>Public</w:t>
      </w:r>
      <w:r>
        <w:rPr>
          <w:rFonts w:ascii="TT Norms Pro"/>
          <w:spacing w:val="-5"/>
          <w:sz w:val="16"/>
        </w:rPr>
        <w:t> </w:t>
      </w:r>
      <w:r>
        <w:rPr>
          <w:rFonts w:ascii="TT Norms Pro"/>
          <w:sz w:val="16"/>
        </w:rPr>
        <w:t>Policy</w:t>
      </w:r>
      <w:r>
        <w:rPr>
          <w:rFonts w:ascii="TT Norms Pro"/>
          <w:spacing w:val="-5"/>
          <w:sz w:val="16"/>
        </w:rPr>
        <w:t> </w:t>
      </w:r>
      <w:r>
        <w:rPr>
          <w:rFonts w:ascii="TT Norms Pro"/>
          <w:sz w:val="16"/>
        </w:rPr>
        <w:t>Institute</w:t>
      </w:r>
    </w:p>
    <w:p>
      <w:pPr>
        <w:spacing w:after="0" w:line="256" w:lineRule="auto"/>
        <w:jc w:val="left"/>
        <w:rPr>
          <w:rFonts w:ascii="TT Norms Pro"/>
          <w:sz w:val="16"/>
        </w:rPr>
        <w:sectPr>
          <w:type w:val="continuous"/>
          <w:pgSz w:w="11910" w:h="16840"/>
          <w:pgMar w:header="468" w:footer="0" w:top="980" w:bottom="280" w:left="940" w:right="0"/>
          <w:cols w:num="3" w:equalWidth="0">
            <w:col w:w="3138" w:space="40"/>
            <w:col w:w="2632" w:space="39"/>
            <w:col w:w="5121"/>
          </w:cols>
        </w:sectPr>
      </w:pPr>
    </w:p>
    <w:p>
      <w:pPr>
        <w:pStyle w:val="BodyText"/>
        <w:rPr>
          <w:rFonts w:ascii="TT Norms Pro"/>
          <w:sz w:val="20"/>
        </w:rPr>
      </w:pPr>
    </w:p>
    <w:p>
      <w:pPr>
        <w:pStyle w:val="BodyText"/>
        <w:rPr>
          <w:rFonts w:ascii="TT Norms Pro"/>
          <w:sz w:val="20"/>
        </w:rPr>
      </w:pPr>
    </w:p>
    <w:p>
      <w:pPr>
        <w:pStyle w:val="BodyText"/>
        <w:spacing w:before="217"/>
        <w:rPr>
          <w:rFonts w:ascii="TT Norms Pro"/>
          <w:sz w:val="20"/>
        </w:rPr>
      </w:pPr>
    </w:p>
    <w:p>
      <w:pPr>
        <w:tabs>
          <w:tab w:pos="5045" w:val="left" w:leader="none"/>
        </w:tabs>
        <w:spacing w:line="20" w:lineRule="exact"/>
        <w:ind w:left="220" w:right="0" w:firstLine="0"/>
        <w:jc w:val="left"/>
        <w:rPr>
          <w:rFonts w:ascii="TT Norms Pro"/>
          <w:sz w:val="2"/>
        </w:rPr>
      </w:pPr>
      <w:r>
        <w:rPr>
          <w:rFonts w:ascii="TT Norms Pro"/>
          <w:sz w:val="2"/>
        </w:rPr>
        <mc:AlternateContent>
          <mc:Choice Requires="wps">
            <w:drawing>
              <wp:inline distT="0" distB="0" distL="0" distR="0">
                <wp:extent cx="1404620" cy="3175"/>
                <wp:effectExtent l="9525" t="0" r="0" b="6350"/>
                <wp:docPr id="204" name="Group 204"/>
                <wp:cNvGraphicFramePr>
                  <a:graphicFrameLocks/>
                </wp:cNvGraphicFramePr>
                <a:graphic>
                  <a:graphicData uri="http://schemas.microsoft.com/office/word/2010/wordprocessingGroup">
                    <wpg:wgp>
                      <wpg:cNvPr id="204" name="Group 204"/>
                      <wpg:cNvGrpSpPr/>
                      <wpg:grpSpPr>
                        <a:xfrm>
                          <a:off x="0" y="0"/>
                          <a:ext cx="1404620" cy="3175"/>
                          <a:chExt cx="1404620" cy="3175"/>
                        </a:xfrm>
                      </wpg:grpSpPr>
                      <wps:wsp>
                        <wps:cNvPr id="205" name="Graphic 205"/>
                        <wps:cNvSpPr/>
                        <wps:spPr>
                          <a:xfrm>
                            <a:off x="0" y="1587"/>
                            <a:ext cx="1404620" cy="1270"/>
                          </a:xfrm>
                          <a:custGeom>
                            <a:avLst/>
                            <a:gdLst/>
                            <a:ahLst/>
                            <a:cxnLst/>
                            <a:rect l="l" t="t" r="r" b="b"/>
                            <a:pathLst>
                              <a:path w="1404620" h="0">
                                <a:moveTo>
                                  <a:pt x="0" y="0"/>
                                </a:moveTo>
                                <a:lnTo>
                                  <a:pt x="1403997" y="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10.6pt;height:.25pt;mso-position-horizontal-relative:char;mso-position-vertical-relative:line" id="docshapegroup135" coordorigin="0,0" coordsize="2212,5">
                <v:line style="position:absolute" from="0,3" to="2211,3" stroked="true" strokeweight=".25pt" strokecolor="#000000">
                  <v:stroke dashstyle="solid"/>
                </v:line>
              </v:group>
            </w:pict>
          </mc:Fallback>
        </mc:AlternateContent>
      </w:r>
      <w:r>
        <w:rPr>
          <w:rFonts w:ascii="TT Norms Pro"/>
          <w:sz w:val="2"/>
        </w:rPr>
      </w:r>
      <w:r>
        <w:rPr>
          <w:rFonts w:ascii="Times New Roman"/>
          <w:spacing w:val="139"/>
          <w:sz w:val="2"/>
        </w:rPr>
        <w:t> </w:t>
      </w:r>
      <w:r>
        <w:rPr>
          <w:rFonts w:ascii="TT Norms Pro"/>
          <w:spacing w:val="139"/>
          <w:sz w:val="2"/>
        </w:rPr>
        <mc:AlternateContent>
          <mc:Choice Requires="wps">
            <w:drawing>
              <wp:inline distT="0" distB="0" distL="0" distR="0">
                <wp:extent cx="1404620" cy="3175"/>
                <wp:effectExtent l="9525" t="0" r="0" b="6350"/>
                <wp:docPr id="206" name="Group 206"/>
                <wp:cNvGraphicFramePr>
                  <a:graphicFrameLocks/>
                </wp:cNvGraphicFramePr>
                <a:graphic>
                  <a:graphicData uri="http://schemas.microsoft.com/office/word/2010/wordprocessingGroup">
                    <wpg:wgp>
                      <wpg:cNvPr id="206" name="Group 206"/>
                      <wpg:cNvGrpSpPr/>
                      <wpg:grpSpPr>
                        <a:xfrm>
                          <a:off x="0" y="0"/>
                          <a:ext cx="1404620" cy="3175"/>
                          <a:chExt cx="1404620" cy="3175"/>
                        </a:xfrm>
                      </wpg:grpSpPr>
                      <wps:wsp>
                        <wps:cNvPr id="207" name="Graphic 207"/>
                        <wps:cNvSpPr/>
                        <wps:spPr>
                          <a:xfrm>
                            <a:off x="0" y="1587"/>
                            <a:ext cx="1404620" cy="1270"/>
                          </a:xfrm>
                          <a:custGeom>
                            <a:avLst/>
                            <a:gdLst/>
                            <a:ahLst/>
                            <a:cxnLst/>
                            <a:rect l="l" t="t" r="r" b="b"/>
                            <a:pathLst>
                              <a:path w="1404620" h="0">
                                <a:moveTo>
                                  <a:pt x="0" y="0"/>
                                </a:moveTo>
                                <a:lnTo>
                                  <a:pt x="1403997" y="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10.6pt;height:.25pt;mso-position-horizontal-relative:char;mso-position-vertical-relative:line" id="docshapegroup136" coordorigin="0,0" coordsize="2212,5">
                <v:line style="position:absolute" from="0,3" to="2211,3" stroked="true" strokeweight=".25pt" strokecolor="#000000">
                  <v:stroke dashstyle="solid"/>
                </v:line>
              </v:group>
            </w:pict>
          </mc:Fallback>
        </mc:AlternateContent>
      </w:r>
      <w:r>
        <w:rPr>
          <w:rFonts w:ascii="TT Norms Pro"/>
          <w:spacing w:val="139"/>
          <w:sz w:val="2"/>
        </w:rPr>
      </w:r>
      <w:r>
        <w:rPr>
          <w:rFonts w:ascii="TT Norms Pro"/>
          <w:spacing w:val="139"/>
          <w:sz w:val="2"/>
        </w:rPr>
        <w:tab/>
      </w:r>
      <w:r>
        <w:rPr>
          <w:rFonts w:ascii="TT Norms Pro"/>
          <w:spacing w:val="139"/>
          <w:sz w:val="2"/>
        </w:rPr>
        <mc:AlternateContent>
          <mc:Choice Requires="wps">
            <w:drawing>
              <wp:inline distT="0" distB="0" distL="0" distR="0">
                <wp:extent cx="1404620" cy="3175"/>
                <wp:effectExtent l="9525" t="0" r="0" b="6350"/>
                <wp:docPr id="208" name="Group 208"/>
                <wp:cNvGraphicFramePr>
                  <a:graphicFrameLocks/>
                </wp:cNvGraphicFramePr>
                <a:graphic>
                  <a:graphicData uri="http://schemas.microsoft.com/office/word/2010/wordprocessingGroup">
                    <wpg:wgp>
                      <wpg:cNvPr id="208" name="Group 208"/>
                      <wpg:cNvGrpSpPr/>
                      <wpg:grpSpPr>
                        <a:xfrm>
                          <a:off x="0" y="0"/>
                          <a:ext cx="1404620" cy="3175"/>
                          <a:chExt cx="1404620" cy="3175"/>
                        </a:xfrm>
                      </wpg:grpSpPr>
                      <wps:wsp>
                        <wps:cNvPr id="209" name="Graphic 209"/>
                        <wps:cNvSpPr/>
                        <wps:spPr>
                          <a:xfrm>
                            <a:off x="0" y="1587"/>
                            <a:ext cx="1404620" cy="1270"/>
                          </a:xfrm>
                          <a:custGeom>
                            <a:avLst/>
                            <a:gdLst/>
                            <a:ahLst/>
                            <a:cxnLst/>
                            <a:rect l="l" t="t" r="r" b="b"/>
                            <a:pathLst>
                              <a:path w="1404620" h="0">
                                <a:moveTo>
                                  <a:pt x="0" y="0"/>
                                </a:moveTo>
                                <a:lnTo>
                                  <a:pt x="1403997" y="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10.6pt;height:.25pt;mso-position-horizontal-relative:char;mso-position-vertical-relative:line" id="docshapegroup137" coordorigin="0,0" coordsize="2212,5">
                <v:line style="position:absolute" from="0,3" to="2211,3" stroked="true" strokeweight=".25pt" strokecolor="#000000">
                  <v:stroke dashstyle="solid"/>
                </v:line>
              </v:group>
            </w:pict>
          </mc:Fallback>
        </mc:AlternateContent>
      </w:r>
      <w:r>
        <w:rPr>
          <w:rFonts w:ascii="TT Norms Pro"/>
          <w:spacing w:val="139"/>
          <w:sz w:val="2"/>
        </w:rPr>
      </w:r>
    </w:p>
    <w:p>
      <w:pPr>
        <w:spacing w:after="0" w:line="20" w:lineRule="exact"/>
        <w:jc w:val="left"/>
        <w:rPr>
          <w:rFonts w:ascii="TT Norms Pro"/>
          <w:sz w:val="2"/>
        </w:rPr>
        <w:sectPr>
          <w:type w:val="continuous"/>
          <w:pgSz w:w="11910" w:h="16840"/>
          <w:pgMar w:header="468" w:footer="0" w:top="980" w:bottom="280" w:left="940" w:right="0"/>
        </w:sectPr>
      </w:pPr>
    </w:p>
    <w:p>
      <w:pPr>
        <w:spacing w:line="256" w:lineRule="auto" w:before="85"/>
        <w:ind w:left="882" w:right="38" w:firstLine="141"/>
        <w:jc w:val="left"/>
        <w:rPr>
          <w:rFonts w:ascii="TT Norms Pro"/>
          <w:sz w:val="16"/>
        </w:rPr>
      </w:pPr>
      <w:r>
        <w:rPr/>
        <mc:AlternateContent>
          <mc:Choice Requires="wps">
            <w:drawing>
              <wp:anchor distT="0" distB="0" distL="0" distR="0" allowOverlap="1" layoutInCell="1" locked="0" behindDoc="0" simplePos="0" relativeHeight="15776256">
                <wp:simplePos x="0" y="0"/>
                <wp:positionH relativeFrom="page">
                  <wp:posOffset>7111289</wp:posOffset>
                </wp:positionH>
                <wp:positionV relativeFrom="paragraph">
                  <wp:posOffset>1132221</wp:posOffset>
                </wp:positionV>
                <wp:extent cx="177800" cy="1848485"/>
                <wp:effectExtent l="0" t="0" r="0" b="0"/>
                <wp:wrapNone/>
                <wp:docPr id="210" name="Textbox 210"/>
                <wp:cNvGraphicFramePr>
                  <a:graphicFrameLocks/>
                </wp:cNvGraphicFramePr>
                <a:graphic>
                  <a:graphicData uri="http://schemas.microsoft.com/office/word/2010/wordprocessingShape">
                    <wps:wsp>
                      <wps:cNvPr id="210" name="Textbox 210"/>
                      <wps:cNvSpPr txBox="1"/>
                      <wps:spPr>
                        <a:xfrm>
                          <a:off x="0" y="0"/>
                          <a:ext cx="177800" cy="184848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89.151299pt;width:14pt;height:145.550pt;mso-position-horizontal-relative:page;mso-position-vertical-relative:paragraph;z-index:15776256" type="#_x0000_t202" id="docshape138"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v:textbox>
                <w10:wrap type="none"/>
              </v:shape>
            </w:pict>
          </mc:Fallback>
        </mc:AlternateContent>
      </w:r>
      <w:r>
        <w:rPr>
          <w:rFonts w:ascii="TT Norms Pro"/>
          <w:spacing w:val="-2"/>
          <w:sz w:val="16"/>
        </w:rPr>
        <w:t>Director</w:t>
      </w:r>
      <w:r>
        <w:rPr>
          <w:rFonts w:ascii="TT Norms Pro"/>
          <w:spacing w:val="40"/>
          <w:sz w:val="16"/>
        </w:rPr>
        <w:t> </w:t>
      </w:r>
      <w:r>
        <w:rPr>
          <w:rFonts w:ascii="TT Norms Pro"/>
          <w:sz w:val="16"/>
        </w:rPr>
        <w:t>Student</w:t>
      </w:r>
      <w:r>
        <w:rPr>
          <w:rFonts w:ascii="TT Norms Pro"/>
          <w:spacing w:val="-9"/>
          <w:sz w:val="16"/>
        </w:rPr>
        <w:t> </w:t>
      </w:r>
      <w:r>
        <w:rPr>
          <w:rFonts w:ascii="TT Norms Pro"/>
          <w:sz w:val="16"/>
        </w:rPr>
        <w:t>Life</w:t>
      </w:r>
    </w:p>
    <w:p>
      <w:pPr>
        <w:spacing w:before="85"/>
        <w:ind w:left="882" w:right="0" w:firstLine="0"/>
        <w:jc w:val="left"/>
        <w:rPr>
          <w:rFonts w:ascii="TT Norms Pro"/>
          <w:sz w:val="16"/>
        </w:rPr>
      </w:pPr>
      <w:r>
        <w:rPr/>
        <w:br w:type="column"/>
      </w:r>
      <w:r>
        <w:rPr>
          <w:rFonts w:ascii="TT Norms Pro"/>
          <w:sz w:val="16"/>
        </w:rPr>
        <w:t>Chief</w:t>
      </w:r>
      <w:r>
        <w:rPr>
          <w:rFonts w:ascii="TT Norms Pro"/>
          <w:spacing w:val="5"/>
          <w:sz w:val="16"/>
        </w:rPr>
        <w:t> </w:t>
      </w:r>
      <w:r>
        <w:rPr>
          <w:rFonts w:ascii="TT Norms Pro"/>
          <w:sz w:val="16"/>
        </w:rPr>
        <w:t>Marketing</w:t>
      </w:r>
      <w:r>
        <w:rPr>
          <w:rFonts w:ascii="TT Norms Pro"/>
          <w:spacing w:val="6"/>
          <w:sz w:val="16"/>
        </w:rPr>
        <w:t> </w:t>
      </w:r>
      <w:r>
        <w:rPr>
          <w:rFonts w:ascii="TT Norms Pro"/>
          <w:spacing w:val="-2"/>
          <w:sz w:val="16"/>
        </w:rPr>
        <w:t>Officer</w:t>
      </w:r>
    </w:p>
    <w:p>
      <w:pPr>
        <w:spacing w:line="256" w:lineRule="auto" w:before="85"/>
        <w:ind w:left="514" w:right="3773" w:firstLine="737"/>
        <w:jc w:val="left"/>
        <w:rPr>
          <w:rFonts w:ascii="TT Norms Pro"/>
          <w:sz w:val="16"/>
        </w:rPr>
      </w:pPr>
      <w:r>
        <w:rPr/>
        <w:br w:type="column"/>
      </w:r>
      <w:r>
        <w:rPr>
          <w:rFonts w:ascii="TT Norms Pro"/>
          <w:spacing w:val="-2"/>
          <w:sz w:val="16"/>
        </w:rPr>
        <w:t>Director</w:t>
      </w:r>
      <w:r>
        <w:rPr>
          <w:rFonts w:ascii="TT Norms Pro"/>
          <w:spacing w:val="80"/>
          <w:w w:val="150"/>
          <w:sz w:val="16"/>
        </w:rPr>
        <w:t> </w:t>
      </w:r>
      <w:r>
        <w:rPr>
          <w:rFonts w:ascii="TT Norms Pro"/>
          <w:sz w:val="16"/>
        </w:rPr>
        <w:t>Lawrence Wilson Art Gallery</w:t>
      </w:r>
    </w:p>
    <w:p>
      <w:pPr>
        <w:spacing w:after="0" w:line="256" w:lineRule="auto"/>
        <w:jc w:val="left"/>
        <w:rPr>
          <w:rFonts w:ascii="TT Norms Pro"/>
          <w:sz w:val="16"/>
        </w:rPr>
        <w:sectPr>
          <w:type w:val="continuous"/>
          <w:pgSz w:w="11910" w:h="16840"/>
          <w:pgMar w:header="468" w:footer="0" w:top="980" w:bottom="280" w:left="940" w:right="0"/>
          <w:cols w:num="3" w:equalWidth="0">
            <w:col w:w="1809" w:space="151"/>
            <w:col w:w="2599" w:space="39"/>
            <w:col w:w="6372"/>
          </w:cols>
        </w:sectPr>
      </w:pPr>
    </w:p>
    <w:p>
      <w:pPr>
        <w:pStyle w:val="BodyText"/>
        <w:rPr>
          <w:rFonts w:ascii="TT Norms Pro"/>
          <w:sz w:val="20"/>
        </w:rPr>
      </w:pPr>
    </w:p>
    <w:p>
      <w:pPr>
        <w:pStyle w:val="BodyText"/>
        <w:rPr>
          <w:rFonts w:ascii="TT Norms Pro"/>
          <w:sz w:val="20"/>
        </w:rPr>
      </w:pPr>
    </w:p>
    <w:p>
      <w:pPr>
        <w:pStyle w:val="BodyText"/>
        <w:rPr>
          <w:rFonts w:ascii="TT Norms Pro"/>
          <w:sz w:val="20"/>
        </w:rPr>
      </w:pPr>
    </w:p>
    <w:p>
      <w:pPr>
        <w:pStyle w:val="BodyText"/>
        <w:rPr>
          <w:rFonts w:ascii="TT Norms Pro"/>
          <w:sz w:val="20"/>
        </w:rPr>
      </w:pPr>
    </w:p>
    <w:p>
      <w:pPr>
        <w:pStyle w:val="BodyText"/>
        <w:rPr>
          <w:rFonts w:ascii="TT Norms Pro"/>
          <w:sz w:val="20"/>
        </w:rPr>
      </w:pPr>
    </w:p>
    <w:p>
      <w:pPr>
        <w:pStyle w:val="BodyText"/>
        <w:rPr>
          <w:rFonts w:ascii="TT Norms Pro"/>
          <w:sz w:val="20"/>
        </w:rPr>
      </w:pPr>
    </w:p>
    <w:p>
      <w:pPr>
        <w:pStyle w:val="BodyText"/>
        <w:rPr>
          <w:rFonts w:ascii="TT Norms Pro"/>
          <w:sz w:val="20"/>
        </w:rPr>
      </w:pPr>
    </w:p>
    <w:p>
      <w:pPr>
        <w:pStyle w:val="BodyText"/>
        <w:rPr>
          <w:rFonts w:ascii="TT Norms Pro"/>
          <w:sz w:val="20"/>
        </w:rPr>
      </w:pPr>
    </w:p>
    <w:p>
      <w:pPr>
        <w:pStyle w:val="BodyText"/>
        <w:rPr>
          <w:rFonts w:ascii="TT Norms Pro"/>
          <w:sz w:val="20"/>
        </w:rPr>
      </w:pPr>
    </w:p>
    <w:p>
      <w:pPr>
        <w:pStyle w:val="BodyText"/>
        <w:spacing w:before="25"/>
        <w:rPr>
          <w:rFonts w:ascii="TT Norms Pro"/>
          <w:sz w:val="20"/>
        </w:rPr>
      </w:pPr>
    </w:p>
    <w:p>
      <w:pPr>
        <w:spacing w:line="20" w:lineRule="exact"/>
        <w:ind w:left="220" w:right="0" w:firstLine="0"/>
        <w:jc w:val="left"/>
        <w:rPr>
          <w:rFonts w:ascii="TT Norms Pro"/>
          <w:sz w:val="2"/>
        </w:rPr>
      </w:pPr>
      <w:r>
        <w:rPr>
          <w:rFonts w:ascii="TT Norms Pro"/>
          <w:sz w:val="2"/>
        </w:rPr>
        <mc:AlternateContent>
          <mc:Choice Requires="wps">
            <w:drawing>
              <wp:inline distT="0" distB="0" distL="0" distR="0">
                <wp:extent cx="1404620" cy="3175"/>
                <wp:effectExtent l="9525" t="0" r="0" b="6350"/>
                <wp:docPr id="211" name="Group 211"/>
                <wp:cNvGraphicFramePr>
                  <a:graphicFrameLocks/>
                </wp:cNvGraphicFramePr>
                <a:graphic>
                  <a:graphicData uri="http://schemas.microsoft.com/office/word/2010/wordprocessingGroup">
                    <wpg:wgp>
                      <wpg:cNvPr id="211" name="Group 211"/>
                      <wpg:cNvGrpSpPr/>
                      <wpg:grpSpPr>
                        <a:xfrm>
                          <a:off x="0" y="0"/>
                          <a:ext cx="1404620" cy="3175"/>
                          <a:chExt cx="1404620" cy="3175"/>
                        </a:xfrm>
                      </wpg:grpSpPr>
                      <wps:wsp>
                        <wps:cNvPr id="212" name="Graphic 212"/>
                        <wps:cNvSpPr/>
                        <wps:spPr>
                          <a:xfrm>
                            <a:off x="0" y="1587"/>
                            <a:ext cx="1404620" cy="1270"/>
                          </a:xfrm>
                          <a:custGeom>
                            <a:avLst/>
                            <a:gdLst/>
                            <a:ahLst/>
                            <a:cxnLst/>
                            <a:rect l="l" t="t" r="r" b="b"/>
                            <a:pathLst>
                              <a:path w="1404620" h="0">
                                <a:moveTo>
                                  <a:pt x="0" y="0"/>
                                </a:moveTo>
                                <a:lnTo>
                                  <a:pt x="1403997" y="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10.6pt;height:.25pt;mso-position-horizontal-relative:char;mso-position-vertical-relative:line" id="docshapegroup139" coordorigin="0,0" coordsize="2212,5">
                <v:line style="position:absolute" from="0,3" to="2211,3" stroked="true" strokeweight=".25pt" strokecolor="#000000">
                  <v:stroke dashstyle="solid"/>
                </v:line>
              </v:group>
            </w:pict>
          </mc:Fallback>
        </mc:AlternateContent>
      </w:r>
      <w:r>
        <w:rPr>
          <w:rFonts w:ascii="TT Norms Pro"/>
          <w:sz w:val="2"/>
        </w:rPr>
      </w:r>
      <w:r>
        <w:rPr>
          <w:rFonts w:ascii="Times New Roman"/>
          <w:spacing w:val="130"/>
          <w:sz w:val="2"/>
        </w:rPr>
        <w:t> </w:t>
      </w:r>
      <w:r>
        <w:rPr>
          <w:rFonts w:ascii="TT Norms Pro"/>
          <w:spacing w:val="130"/>
          <w:sz w:val="2"/>
        </w:rPr>
        <mc:AlternateContent>
          <mc:Choice Requires="wps">
            <w:drawing>
              <wp:inline distT="0" distB="0" distL="0" distR="0">
                <wp:extent cx="1404620" cy="3175"/>
                <wp:effectExtent l="9525" t="0" r="0" b="6350"/>
                <wp:docPr id="213" name="Group 213"/>
                <wp:cNvGraphicFramePr>
                  <a:graphicFrameLocks/>
                </wp:cNvGraphicFramePr>
                <a:graphic>
                  <a:graphicData uri="http://schemas.microsoft.com/office/word/2010/wordprocessingGroup">
                    <wpg:wgp>
                      <wpg:cNvPr id="213" name="Group 213"/>
                      <wpg:cNvGrpSpPr/>
                      <wpg:grpSpPr>
                        <a:xfrm>
                          <a:off x="0" y="0"/>
                          <a:ext cx="1404620" cy="3175"/>
                          <a:chExt cx="1404620" cy="3175"/>
                        </a:xfrm>
                      </wpg:grpSpPr>
                      <wps:wsp>
                        <wps:cNvPr id="214" name="Graphic 214"/>
                        <wps:cNvSpPr/>
                        <wps:spPr>
                          <a:xfrm>
                            <a:off x="0" y="1587"/>
                            <a:ext cx="1404620" cy="1270"/>
                          </a:xfrm>
                          <a:custGeom>
                            <a:avLst/>
                            <a:gdLst/>
                            <a:ahLst/>
                            <a:cxnLst/>
                            <a:rect l="l" t="t" r="r" b="b"/>
                            <a:pathLst>
                              <a:path w="1404620" h="0">
                                <a:moveTo>
                                  <a:pt x="0" y="0"/>
                                </a:moveTo>
                                <a:lnTo>
                                  <a:pt x="1403997" y="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10.6pt;height:.25pt;mso-position-horizontal-relative:char;mso-position-vertical-relative:line" id="docshapegroup140" coordorigin="0,0" coordsize="2212,5">
                <v:line style="position:absolute" from="0,3" to="2211,3" stroked="true" strokeweight=".25pt" strokecolor="#000000">
                  <v:stroke dashstyle="solid"/>
                </v:line>
              </v:group>
            </w:pict>
          </mc:Fallback>
        </mc:AlternateContent>
      </w:r>
      <w:r>
        <w:rPr>
          <w:rFonts w:ascii="TT Norms Pro"/>
          <w:spacing w:val="130"/>
          <w:sz w:val="2"/>
        </w:rPr>
      </w:r>
      <w:r>
        <w:rPr>
          <w:rFonts w:ascii="Times New Roman"/>
          <w:spacing w:val="144"/>
          <w:sz w:val="2"/>
        </w:rPr>
        <w:t> </w:t>
      </w:r>
      <w:r>
        <w:rPr>
          <w:rFonts w:ascii="TT Norms Pro"/>
          <w:spacing w:val="144"/>
          <w:sz w:val="2"/>
        </w:rPr>
        <mc:AlternateContent>
          <mc:Choice Requires="wps">
            <w:drawing>
              <wp:inline distT="0" distB="0" distL="0" distR="0">
                <wp:extent cx="1404620" cy="3175"/>
                <wp:effectExtent l="9525" t="0" r="0" b="6350"/>
                <wp:docPr id="215" name="Group 215"/>
                <wp:cNvGraphicFramePr>
                  <a:graphicFrameLocks/>
                </wp:cNvGraphicFramePr>
                <a:graphic>
                  <a:graphicData uri="http://schemas.microsoft.com/office/word/2010/wordprocessingGroup">
                    <wpg:wgp>
                      <wpg:cNvPr id="215" name="Group 215"/>
                      <wpg:cNvGrpSpPr/>
                      <wpg:grpSpPr>
                        <a:xfrm>
                          <a:off x="0" y="0"/>
                          <a:ext cx="1404620" cy="3175"/>
                          <a:chExt cx="1404620" cy="3175"/>
                        </a:xfrm>
                      </wpg:grpSpPr>
                      <wps:wsp>
                        <wps:cNvPr id="216" name="Graphic 216"/>
                        <wps:cNvSpPr/>
                        <wps:spPr>
                          <a:xfrm>
                            <a:off x="0" y="1587"/>
                            <a:ext cx="1404620" cy="1270"/>
                          </a:xfrm>
                          <a:custGeom>
                            <a:avLst/>
                            <a:gdLst/>
                            <a:ahLst/>
                            <a:cxnLst/>
                            <a:rect l="l" t="t" r="r" b="b"/>
                            <a:pathLst>
                              <a:path w="1404620" h="0">
                                <a:moveTo>
                                  <a:pt x="0" y="0"/>
                                </a:moveTo>
                                <a:lnTo>
                                  <a:pt x="1403997" y="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10.6pt;height:.25pt;mso-position-horizontal-relative:char;mso-position-vertical-relative:line" id="docshapegroup141" coordorigin="0,0" coordsize="2212,5">
                <v:line style="position:absolute" from="0,3" to="2211,3" stroked="true" strokeweight=".25pt" strokecolor="#000000">
                  <v:stroke dashstyle="solid"/>
                </v:line>
              </v:group>
            </w:pict>
          </mc:Fallback>
        </mc:AlternateContent>
      </w:r>
      <w:r>
        <w:rPr>
          <w:rFonts w:ascii="TT Norms Pro"/>
          <w:spacing w:val="144"/>
          <w:sz w:val="2"/>
        </w:rPr>
      </w:r>
    </w:p>
    <w:p>
      <w:pPr>
        <w:spacing w:after="0" w:line="20" w:lineRule="exact"/>
        <w:jc w:val="left"/>
        <w:rPr>
          <w:rFonts w:ascii="TT Norms Pro"/>
          <w:sz w:val="2"/>
        </w:rPr>
        <w:sectPr>
          <w:type w:val="continuous"/>
          <w:pgSz w:w="11910" w:h="16840"/>
          <w:pgMar w:header="468" w:footer="0" w:top="980" w:bottom="280" w:left="940" w:right="0"/>
        </w:sectPr>
      </w:pPr>
    </w:p>
    <w:p>
      <w:pPr>
        <w:spacing w:line="256" w:lineRule="auto" w:before="85"/>
        <w:ind w:left="672" w:right="38" w:hanging="346"/>
        <w:jc w:val="left"/>
        <w:rPr>
          <w:rFonts w:ascii="TT Norms Pro"/>
          <w:sz w:val="16"/>
        </w:rPr>
      </w:pPr>
      <w:r>
        <w:rPr>
          <w:rFonts w:ascii="TT Norms Pro"/>
          <w:sz w:val="16"/>
        </w:rPr>
        <w:t>Chief</w:t>
      </w:r>
      <w:r>
        <w:rPr>
          <w:rFonts w:ascii="TT Norms Pro"/>
          <w:spacing w:val="-5"/>
          <w:sz w:val="16"/>
        </w:rPr>
        <w:t> </w:t>
      </w:r>
      <w:r>
        <w:rPr>
          <w:rFonts w:ascii="TT Norms Pro"/>
          <w:sz w:val="16"/>
        </w:rPr>
        <w:t>Advancement</w:t>
      </w:r>
      <w:r>
        <w:rPr>
          <w:rFonts w:ascii="TT Norms Pro"/>
          <w:spacing w:val="-5"/>
          <w:sz w:val="16"/>
        </w:rPr>
        <w:t> </w:t>
      </w:r>
      <w:r>
        <w:rPr>
          <w:rFonts w:ascii="TT Norms Pro"/>
          <w:sz w:val="16"/>
        </w:rPr>
        <w:t>Officer</w:t>
      </w:r>
      <w:r>
        <w:rPr>
          <w:rFonts w:ascii="TT Norms Pro"/>
          <w:spacing w:val="40"/>
          <w:sz w:val="16"/>
        </w:rPr>
        <w:t> </w:t>
      </w:r>
      <w:r>
        <w:rPr>
          <w:rFonts w:ascii="TT Norms Pro"/>
          <w:sz w:val="16"/>
        </w:rPr>
        <w:t>Development</w:t>
      </w:r>
      <w:r>
        <w:rPr>
          <w:rFonts w:ascii="TT Norms Pro"/>
          <w:spacing w:val="-7"/>
          <w:sz w:val="16"/>
        </w:rPr>
        <w:t> </w:t>
      </w:r>
      <w:r>
        <w:rPr>
          <w:rFonts w:ascii="TT Norms Pro"/>
          <w:sz w:val="16"/>
        </w:rPr>
        <w:t>and</w:t>
      </w:r>
      <w:r>
        <w:rPr>
          <w:rFonts w:ascii="TT Norms Pro"/>
          <w:spacing w:val="40"/>
          <w:sz w:val="16"/>
        </w:rPr>
        <w:t> </w:t>
      </w:r>
      <w:r>
        <w:rPr>
          <w:rFonts w:ascii="TT Norms Pro"/>
          <w:sz w:val="16"/>
        </w:rPr>
        <w:t>Alumni</w:t>
      </w:r>
      <w:r>
        <w:rPr>
          <w:rFonts w:ascii="TT Norms Pro"/>
          <w:spacing w:val="-7"/>
          <w:sz w:val="16"/>
        </w:rPr>
        <w:t> </w:t>
      </w:r>
      <w:r>
        <w:rPr>
          <w:rFonts w:ascii="TT Norms Pro"/>
          <w:sz w:val="16"/>
        </w:rPr>
        <w:t>Relations</w:t>
      </w:r>
    </w:p>
    <w:p>
      <w:pPr>
        <w:spacing w:line="256" w:lineRule="auto" w:before="85"/>
        <w:ind w:left="327" w:right="38" w:hanging="1"/>
        <w:jc w:val="center"/>
        <w:rPr>
          <w:rFonts w:ascii="TT Norms Pro"/>
          <w:sz w:val="16"/>
        </w:rPr>
      </w:pPr>
      <w:r>
        <w:rPr/>
        <w:br w:type="column"/>
      </w:r>
      <w:r>
        <w:rPr>
          <w:rFonts w:ascii="TT Norms Pro"/>
          <w:spacing w:val="-2"/>
          <w:sz w:val="16"/>
        </w:rPr>
        <w:t>Director</w:t>
      </w:r>
      <w:r>
        <w:rPr>
          <w:rFonts w:ascii="TT Norms Pro"/>
          <w:spacing w:val="40"/>
          <w:sz w:val="16"/>
        </w:rPr>
        <w:t> </w:t>
      </w:r>
      <w:r>
        <w:rPr>
          <w:rFonts w:ascii="TT Norms Pro"/>
          <w:sz w:val="16"/>
        </w:rPr>
        <w:t>Governance</w:t>
      </w:r>
      <w:r>
        <w:rPr>
          <w:rFonts w:ascii="TT Norms Pro"/>
          <w:spacing w:val="-9"/>
          <w:sz w:val="16"/>
        </w:rPr>
        <w:t> </w:t>
      </w:r>
      <w:r>
        <w:rPr>
          <w:rFonts w:ascii="TT Norms Pro"/>
          <w:sz w:val="16"/>
        </w:rPr>
        <w:t>and</w:t>
      </w:r>
      <w:r>
        <w:rPr>
          <w:rFonts w:ascii="TT Norms Pro"/>
          <w:spacing w:val="40"/>
          <w:sz w:val="16"/>
        </w:rPr>
        <w:t> </w:t>
      </w:r>
      <w:r>
        <w:rPr>
          <w:rFonts w:ascii="TT Norms Pro"/>
          <w:sz w:val="16"/>
        </w:rPr>
        <w:t>Legal</w:t>
      </w:r>
      <w:r>
        <w:rPr>
          <w:rFonts w:ascii="TT Norms Pro"/>
          <w:spacing w:val="-7"/>
          <w:sz w:val="16"/>
        </w:rPr>
        <w:t> </w:t>
      </w:r>
      <w:r>
        <w:rPr>
          <w:rFonts w:ascii="TT Norms Pro"/>
          <w:sz w:val="16"/>
        </w:rPr>
        <w:t>Counsel</w:t>
      </w:r>
    </w:p>
    <w:p>
      <w:pPr>
        <w:spacing w:line="256" w:lineRule="auto" w:before="85"/>
        <w:ind w:left="327" w:right="4227" w:firstLine="362"/>
        <w:jc w:val="left"/>
        <w:rPr>
          <w:rFonts w:ascii="TT Norms Pro"/>
          <w:sz w:val="16"/>
        </w:rPr>
      </w:pPr>
      <w:r>
        <w:rPr/>
        <w:br w:type="column"/>
      </w:r>
      <w:r>
        <w:rPr>
          <w:rFonts w:ascii="TT Norms Pro"/>
          <w:spacing w:val="-2"/>
          <w:sz w:val="16"/>
        </w:rPr>
        <w:t>Director</w:t>
      </w:r>
      <w:r>
        <w:rPr>
          <w:rFonts w:ascii="TT Norms Pro"/>
          <w:spacing w:val="40"/>
          <w:sz w:val="16"/>
        </w:rPr>
        <w:t> </w:t>
      </w:r>
      <w:r>
        <w:rPr>
          <w:rFonts w:ascii="TT Norms Pro"/>
          <w:sz w:val="16"/>
        </w:rPr>
        <w:t>Human</w:t>
      </w:r>
      <w:r>
        <w:rPr>
          <w:rFonts w:ascii="TT Norms Pro"/>
          <w:spacing w:val="-9"/>
          <w:sz w:val="16"/>
        </w:rPr>
        <w:t> </w:t>
      </w:r>
      <w:r>
        <w:rPr>
          <w:rFonts w:ascii="TT Norms Pro"/>
          <w:sz w:val="16"/>
        </w:rPr>
        <w:t>Resources</w:t>
      </w:r>
    </w:p>
    <w:p>
      <w:pPr>
        <w:spacing w:after="0" w:line="256" w:lineRule="auto"/>
        <w:jc w:val="left"/>
        <w:rPr>
          <w:rFonts w:ascii="TT Norms Pro"/>
          <w:sz w:val="16"/>
        </w:rPr>
        <w:sectPr>
          <w:type w:val="continuous"/>
          <w:pgSz w:w="11910" w:h="16840"/>
          <w:pgMar w:header="468" w:footer="0" w:top="980" w:bottom="280" w:left="940" w:right="0"/>
          <w:cols w:num="3" w:equalWidth="0">
            <w:col w:w="2364" w:space="396"/>
            <w:col w:w="1574" w:space="745"/>
            <w:col w:w="5891"/>
          </w:cols>
        </w:sectPr>
      </w:pPr>
    </w:p>
    <w:p>
      <w:pPr>
        <w:pStyle w:val="BodyText"/>
        <w:rPr>
          <w:rFonts w:ascii="TT Norms Pro"/>
          <w:sz w:val="12"/>
        </w:rPr>
      </w:pPr>
      <w:r>
        <w:rPr/>
        <mc:AlternateContent>
          <mc:Choice Requires="wps">
            <w:drawing>
              <wp:anchor distT="0" distB="0" distL="0" distR="0" allowOverlap="1" layoutInCell="1" locked="0" behindDoc="0" simplePos="0" relativeHeight="15771136">
                <wp:simplePos x="0" y="0"/>
                <wp:positionH relativeFrom="page">
                  <wp:posOffset>-6350</wp:posOffset>
                </wp:positionH>
                <wp:positionV relativeFrom="page">
                  <wp:posOffset>6740107</wp:posOffset>
                </wp:positionV>
                <wp:extent cx="4486275" cy="170815"/>
                <wp:effectExtent l="0" t="0" r="0" b="0"/>
                <wp:wrapNone/>
                <wp:docPr id="217" name="Group 217"/>
                <wp:cNvGraphicFramePr>
                  <a:graphicFrameLocks/>
                </wp:cNvGraphicFramePr>
                <a:graphic>
                  <a:graphicData uri="http://schemas.microsoft.com/office/word/2010/wordprocessingGroup">
                    <wpg:wgp>
                      <wpg:cNvPr id="217" name="Group 217"/>
                      <wpg:cNvGrpSpPr/>
                      <wpg:grpSpPr>
                        <a:xfrm>
                          <a:off x="0" y="0"/>
                          <a:ext cx="4486275" cy="170815"/>
                          <a:chExt cx="4486275" cy="170815"/>
                        </a:xfrm>
                      </wpg:grpSpPr>
                      <wps:wsp>
                        <wps:cNvPr id="218" name="Graphic 218"/>
                        <wps:cNvSpPr/>
                        <wps:spPr>
                          <a:xfrm>
                            <a:off x="6350" y="6350"/>
                            <a:ext cx="4473575" cy="158115"/>
                          </a:xfrm>
                          <a:custGeom>
                            <a:avLst/>
                            <a:gdLst/>
                            <a:ahLst/>
                            <a:cxnLst/>
                            <a:rect l="l" t="t" r="r" b="b"/>
                            <a:pathLst>
                              <a:path w="4473575" h="158115">
                                <a:moveTo>
                                  <a:pt x="0" y="2914"/>
                                </a:moveTo>
                                <a:lnTo>
                                  <a:pt x="4472993" y="0"/>
                                </a:lnTo>
                                <a:lnTo>
                                  <a:pt x="4472993" y="157873"/>
                                </a:lnTo>
                              </a:path>
                            </a:pathLst>
                          </a:custGeom>
                          <a:ln w="12700">
                            <a:solidFill>
                              <a:srgbClr val="000000"/>
                            </a:solidFill>
                            <a:prstDash val="solid"/>
                          </a:ln>
                        </wps:spPr>
                        <wps:bodyPr wrap="square" lIns="0" tIns="0" rIns="0" bIns="0" rtlCol="0">
                          <a:prstTxWarp prst="textNoShape">
                            <a:avLst/>
                          </a:prstTxWarp>
                          <a:noAutofit/>
                        </wps:bodyPr>
                      </wps:wsp>
                      <wps:wsp>
                        <wps:cNvPr id="219" name="Graphic 219"/>
                        <wps:cNvSpPr/>
                        <wps:spPr>
                          <a:xfrm>
                            <a:off x="1474037" y="16682"/>
                            <a:ext cx="1270" cy="141605"/>
                          </a:xfrm>
                          <a:custGeom>
                            <a:avLst/>
                            <a:gdLst/>
                            <a:ahLst/>
                            <a:cxnLst/>
                            <a:rect l="l" t="t" r="r" b="b"/>
                            <a:pathLst>
                              <a:path w="0" h="141605">
                                <a:moveTo>
                                  <a:pt x="0" y="141198"/>
                                </a:moveTo>
                                <a:lnTo>
                                  <a:pt x="0" y="0"/>
                                </a:lnTo>
                              </a:path>
                            </a:pathLst>
                          </a:custGeom>
                          <a:ln w="12700">
                            <a:solidFill>
                              <a:srgbClr val="000000"/>
                            </a:solidFill>
                            <a:prstDash val="solid"/>
                          </a:ln>
                        </wps:spPr>
                        <wps:bodyPr wrap="square" lIns="0" tIns="0" rIns="0" bIns="0" rtlCol="0">
                          <a:prstTxWarp prst="textNoShape">
                            <a:avLst/>
                          </a:prstTxWarp>
                          <a:noAutofit/>
                        </wps:bodyPr>
                      </wps:wsp>
                      <wps:wsp>
                        <wps:cNvPr id="220" name="Graphic 220"/>
                        <wps:cNvSpPr/>
                        <wps:spPr>
                          <a:xfrm>
                            <a:off x="2952836" y="16682"/>
                            <a:ext cx="1270" cy="141605"/>
                          </a:xfrm>
                          <a:custGeom>
                            <a:avLst/>
                            <a:gdLst/>
                            <a:ahLst/>
                            <a:cxnLst/>
                            <a:rect l="l" t="t" r="r" b="b"/>
                            <a:pathLst>
                              <a:path w="0" h="141605">
                                <a:moveTo>
                                  <a:pt x="0" y="141198"/>
                                </a:moveTo>
                                <a:lnTo>
                                  <a:pt x="0" y="0"/>
                                </a:lnTo>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00008pt;margin-top:530.717102pt;width:353.25pt;height:13.45pt;mso-position-horizontal-relative:page;mso-position-vertical-relative:page;z-index:15771136" id="docshapegroup142" coordorigin="-10,10614" coordsize="7065,269">
                <v:shape style="position:absolute;left:0;top:10624;width:7045;height:249" id="docshape143" coordorigin="0,10624" coordsize="7045,249" path="m0,10629l7044,10624,7044,10873e" filled="false" stroked="true" strokeweight="1pt" strokecolor="#000000">
                  <v:path arrowok="t"/>
                  <v:stroke dashstyle="solid"/>
                </v:shape>
                <v:line style="position:absolute" from="2311,10863" to="2311,10641" stroked="true" strokeweight="1pt" strokecolor="#000000">
                  <v:stroke dashstyle="solid"/>
                </v:line>
                <v:line style="position:absolute" from="4640,10863" to="4640,10641" stroked="true" strokeweight="1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771648">
                <wp:simplePos x="0" y="0"/>
                <wp:positionH relativeFrom="page">
                  <wp:posOffset>-6349</wp:posOffset>
                </wp:positionH>
                <wp:positionV relativeFrom="page">
                  <wp:posOffset>8541260</wp:posOffset>
                </wp:positionV>
                <wp:extent cx="4492625" cy="170815"/>
                <wp:effectExtent l="0" t="0" r="0" b="0"/>
                <wp:wrapNone/>
                <wp:docPr id="221" name="Group 221"/>
                <wp:cNvGraphicFramePr>
                  <a:graphicFrameLocks/>
                </wp:cNvGraphicFramePr>
                <a:graphic>
                  <a:graphicData uri="http://schemas.microsoft.com/office/word/2010/wordprocessingGroup">
                    <wpg:wgp>
                      <wpg:cNvPr id="221" name="Group 221"/>
                      <wpg:cNvGrpSpPr/>
                      <wpg:grpSpPr>
                        <a:xfrm>
                          <a:off x="0" y="0"/>
                          <a:ext cx="4492625" cy="170815"/>
                          <a:chExt cx="4492625" cy="170815"/>
                        </a:xfrm>
                      </wpg:grpSpPr>
                      <wps:wsp>
                        <wps:cNvPr id="222" name="Graphic 222"/>
                        <wps:cNvSpPr/>
                        <wps:spPr>
                          <a:xfrm>
                            <a:off x="1474036" y="19544"/>
                            <a:ext cx="1270" cy="141605"/>
                          </a:xfrm>
                          <a:custGeom>
                            <a:avLst/>
                            <a:gdLst/>
                            <a:ahLst/>
                            <a:cxnLst/>
                            <a:rect l="l" t="t" r="r" b="b"/>
                            <a:pathLst>
                              <a:path w="0" h="141605">
                                <a:moveTo>
                                  <a:pt x="0" y="141198"/>
                                </a:moveTo>
                                <a:lnTo>
                                  <a:pt x="0" y="0"/>
                                </a:lnTo>
                              </a:path>
                            </a:pathLst>
                          </a:custGeom>
                          <a:ln w="12700">
                            <a:solidFill>
                              <a:srgbClr val="000000"/>
                            </a:solidFill>
                            <a:prstDash val="solid"/>
                          </a:ln>
                        </wps:spPr>
                        <wps:bodyPr wrap="square" lIns="0" tIns="0" rIns="0" bIns="0" rtlCol="0">
                          <a:prstTxWarp prst="textNoShape">
                            <a:avLst/>
                          </a:prstTxWarp>
                          <a:noAutofit/>
                        </wps:bodyPr>
                      </wps:wsp>
                      <wps:wsp>
                        <wps:cNvPr id="223" name="Graphic 223"/>
                        <wps:cNvSpPr/>
                        <wps:spPr>
                          <a:xfrm>
                            <a:off x="6350" y="6350"/>
                            <a:ext cx="4479925" cy="158115"/>
                          </a:xfrm>
                          <a:custGeom>
                            <a:avLst/>
                            <a:gdLst/>
                            <a:ahLst/>
                            <a:cxnLst/>
                            <a:rect l="l" t="t" r="r" b="b"/>
                            <a:pathLst>
                              <a:path w="4479925" h="158115">
                                <a:moveTo>
                                  <a:pt x="0" y="10817"/>
                                </a:moveTo>
                                <a:lnTo>
                                  <a:pt x="4479002" y="0"/>
                                </a:lnTo>
                                <a:lnTo>
                                  <a:pt x="4479345" y="157873"/>
                                </a:lnTo>
                              </a:path>
                            </a:pathLst>
                          </a:custGeom>
                          <a:ln w="12700">
                            <a:solidFill>
                              <a:srgbClr val="000000"/>
                            </a:solidFill>
                            <a:prstDash val="solid"/>
                          </a:ln>
                        </wps:spPr>
                        <wps:bodyPr wrap="square" lIns="0" tIns="0" rIns="0" bIns="0" rtlCol="0">
                          <a:prstTxWarp prst="textNoShape">
                            <a:avLst/>
                          </a:prstTxWarp>
                          <a:noAutofit/>
                        </wps:bodyPr>
                      </wps:wsp>
                      <wps:wsp>
                        <wps:cNvPr id="224" name="Graphic 224"/>
                        <wps:cNvSpPr/>
                        <wps:spPr>
                          <a:xfrm>
                            <a:off x="2952836" y="19544"/>
                            <a:ext cx="1270" cy="141605"/>
                          </a:xfrm>
                          <a:custGeom>
                            <a:avLst/>
                            <a:gdLst/>
                            <a:ahLst/>
                            <a:cxnLst/>
                            <a:rect l="l" t="t" r="r" b="b"/>
                            <a:pathLst>
                              <a:path w="0" h="141605">
                                <a:moveTo>
                                  <a:pt x="0" y="141198"/>
                                </a:moveTo>
                                <a:lnTo>
                                  <a:pt x="0" y="0"/>
                                </a:lnTo>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99997pt;margin-top:672.540222pt;width:353.75pt;height:13.45pt;mso-position-horizontal-relative:page;mso-position-vertical-relative:page;z-index:15771648" id="docshapegroup144" coordorigin="-10,13451" coordsize="7075,269">
                <v:line style="position:absolute" from="2311,13704" to="2311,13482" stroked="true" strokeweight="1pt" strokecolor="#000000">
                  <v:stroke dashstyle="solid"/>
                </v:line>
                <v:shape style="position:absolute;left:0;top:13460;width:7055;height:249" id="docshape145" coordorigin="0,13461" coordsize="7055,249" path="m0,13478l7054,13461,7054,13709e" filled="false" stroked="true" strokeweight="1pt" strokecolor="#000000">
                  <v:path arrowok="t"/>
                  <v:stroke dashstyle="solid"/>
                </v:shape>
                <v:line style="position:absolute" from="4640,13704" to="4640,13482" stroked="true" strokeweight="1pt" strokecolor="#000000">
                  <v:stroke dashstyle="solid"/>
                </v:line>
                <w10:wrap type="none"/>
              </v:group>
            </w:pict>
          </mc:Fallback>
        </mc:AlternateContent>
      </w:r>
      <w:r>
        <w:rPr/>
        <mc:AlternateContent>
          <mc:Choice Requires="wps">
            <w:drawing>
              <wp:anchor distT="0" distB="0" distL="0" distR="0" allowOverlap="1" layoutInCell="1" locked="0" behindDoc="1" simplePos="0" relativeHeight="472625664">
                <wp:simplePos x="0" y="0"/>
                <wp:positionH relativeFrom="page">
                  <wp:posOffset>-6350</wp:posOffset>
                </wp:positionH>
                <wp:positionV relativeFrom="page">
                  <wp:posOffset>2624798</wp:posOffset>
                </wp:positionV>
                <wp:extent cx="6953884" cy="2112645"/>
                <wp:effectExtent l="0" t="0" r="0" b="0"/>
                <wp:wrapNone/>
                <wp:docPr id="225" name="Group 225"/>
                <wp:cNvGraphicFramePr>
                  <a:graphicFrameLocks/>
                </wp:cNvGraphicFramePr>
                <a:graphic>
                  <a:graphicData uri="http://schemas.microsoft.com/office/word/2010/wordprocessingGroup">
                    <wpg:wgp>
                      <wpg:cNvPr id="225" name="Group 225"/>
                      <wpg:cNvGrpSpPr/>
                      <wpg:grpSpPr>
                        <a:xfrm>
                          <a:off x="0" y="0"/>
                          <a:ext cx="6953884" cy="2112645"/>
                          <a:chExt cx="6953884" cy="2112645"/>
                        </a:xfrm>
                      </wpg:grpSpPr>
                      <wps:wsp>
                        <wps:cNvPr id="226" name="Graphic 226"/>
                        <wps:cNvSpPr/>
                        <wps:spPr>
                          <a:xfrm>
                            <a:off x="693331" y="1670367"/>
                            <a:ext cx="2988310" cy="442595"/>
                          </a:xfrm>
                          <a:custGeom>
                            <a:avLst/>
                            <a:gdLst/>
                            <a:ahLst/>
                            <a:cxnLst/>
                            <a:rect l="l" t="t" r="r" b="b"/>
                            <a:pathLst>
                              <a:path w="2988310" h="442595">
                                <a:moveTo>
                                  <a:pt x="1439989" y="0"/>
                                </a:moveTo>
                                <a:lnTo>
                                  <a:pt x="0" y="0"/>
                                </a:lnTo>
                                <a:lnTo>
                                  <a:pt x="0" y="442264"/>
                                </a:lnTo>
                                <a:lnTo>
                                  <a:pt x="1439989" y="442264"/>
                                </a:lnTo>
                                <a:lnTo>
                                  <a:pt x="1439989" y="0"/>
                                </a:lnTo>
                                <a:close/>
                              </a:path>
                              <a:path w="2988310" h="442595">
                                <a:moveTo>
                                  <a:pt x="2987992" y="0"/>
                                </a:moveTo>
                                <a:lnTo>
                                  <a:pt x="1547990" y="0"/>
                                </a:lnTo>
                                <a:lnTo>
                                  <a:pt x="1547990" y="442264"/>
                                </a:lnTo>
                                <a:lnTo>
                                  <a:pt x="2987992" y="442264"/>
                                </a:lnTo>
                                <a:lnTo>
                                  <a:pt x="2987992" y="0"/>
                                </a:lnTo>
                                <a:close/>
                              </a:path>
                            </a:pathLst>
                          </a:custGeom>
                          <a:solidFill>
                            <a:srgbClr val="EBEBEC"/>
                          </a:solidFill>
                        </wps:spPr>
                        <wps:bodyPr wrap="square" lIns="0" tIns="0" rIns="0" bIns="0" rtlCol="0">
                          <a:prstTxWarp prst="textNoShape">
                            <a:avLst/>
                          </a:prstTxWarp>
                          <a:noAutofit/>
                        </wps:bodyPr>
                      </wps:wsp>
                      <wps:wsp>
                        <wps:cNvPr id="227" name="Graphic 227"/>
                        <wps:cNvSpPr/>
                        <wps:spPr>
                          <a:xfrm>
                            <a:off x="5287566" y="173366"/>
                            <a:ext cx="1404620" cy="1270"/>
                          </a:xfrm>
                          <a:custGeom>
                            <a:avLst/>
                            <a:gdLst/>
                            <a:ahLst/>
                            <a:cxnLst/>
                            <a:rect l="l" t="t" r="r" b="b"/>
                            <a:pathLst>
                              <a:path w="1404620" h="0">
                                <a:moveTo>
                                  <a:pt x="0" y="0"/>
                                </a:moveTo>
                                <a:lnTo>
                                  <a:pt x="1403997" y="0"/>
                                </a:lnTo>
                              </a:path>
                            </a:pathLst>
                          </a:custGeom>
                          <a:ln w="3175">
                            <a:solidFill>
                              <a:srgbClr val="000000"/>
                            </a:solidFill>
                            <a:prstDash val="solid"/>
                          </a:ln>
                        </wps:spPr>
                        <wps:bodyPr wrap="square" lIns="0" tIns="0" rIns="0" bIns="0" rtlCol="0">
                          <a:prstTxWarp prst="textNoShape">
                            <a:avLst/>
                          </a:prstTxWarp>
                          <a:noAutofit/>
                        </wps:bodyPr>
                      </wps:wsp>
                      <wps:wsp>
                        <wps:cNvPr id="228" name="Graphic 228"/>
                        <wps:cNvSpPr/>
                        <wps:spPr>
                          <a:xfrm>
                            <a:off x="5287566" y="630176"/>
                            <a:ext cx="1404620" cy="1270"/>
                          </a:xfrm>
                          <a:custGeom>
                            <a:avLst/>
                            <a:gdLst/>
                            <a:ahLst/>
                            <a:cxnLst/>
                            <a:rect l="l" t="t" r="r" b="b"/>
                            <a:pathLst>
                              <a:path w="1404620" h="0">
                                <a:moveTo>
                                  <a:pt x="0" y="0"/>
                                </a:moveTo>
                                <a:lnTo>
                                  <a:pt x="1403997" y="0"/>
                                </a:lnTo>
                              </a:path>
                            </a:pathLst>
                          </a:custGeom>
                          <a:ln w="3175">
                            <a:solidFill>
                              <a:srgbClr val="000000"/>
                            </a:solidFill>
                            <a:prstDash val="solid"/>
                          </a:ln>
                        </wps:spPr>
                        <wps:bodyPr wrap="square" lIns="0" tIns="0" rIns="0" bIns="0" rtlCol="0">
                          <a:prstTxWarp prst="textNoShape">
                            <a:avLst/>
                          </a:prstTxWarp>
                          <a:noAutofit/>
                        </wps:bodyPr>
                      </wps:wsp>
                      <wps:wsp>
                        <wps:cNvPr id="229" name="Graphic 229"/>
                        <wps:cNvSpPr/>
                        <wps:spPr>
                          <a:xfrm>
                            <a:off x="5287566" y="1168034"/>
                            <a:ext cx="1404620" cy="1270"/>
                          </a:xfrm>
                          <a:custGeom>
                            <a:avLst/>
                            <a:gdLst/>
                            <a:ahLst/>
                            <a:cxnLst/>
                            <a:rect l="l" t="t" r="r" b="b"/>
                            <a:pathLst>
                              <a:path w="1404620" h="0">
                                <a:moveTo>
                                  <a:pt x="0" y="0"/>
                                </a:moveTo>
                                <a:lnTo>
                                  <a:pt x="1403997" y="0"/>
                                </a:lnTo>
                              </a:path>
                            </a:pathLst>
                          </a:custGeom>
                          <a:ln w="3175">
                            <a:solidFill>
                              <a:srgbClr val="000000"/>
                            </a:solidFill>
                            <a:prstDash val="solid"/>
                          </a:ln>
                        </wps:spPr>
                        <wps:bodyPr wrap="square" lIns="0" tIns="0" rIns="0" bIns="0" rtlCol="0">
                          <a:prstTxWarp prst="textNoShape">
                            <a:avLst/>
                          </a:prstTxWarp>
                          <a:noAutofit/>
                        </wps:bodyPr>
                      </wps:wsp>
                      <wps:wsp>
                        <wps:cNvPr id="230" name="Graphic 230"/>
                        <wps:cNvSpPr/>
                        <wps:spPr>
                          <a:xfrm>
                            <a:off x="6350" y="6350"/>
                            <a:ext cx="6941184" cy="1769745"/>
                          </a:xfrm>
                          <a:custGeom>
                            <a:avLst/>
                            <a:gdLst/>
                            <a:ahLst/>
                            <a:cxnLst/>
                            <a:rect l="l" t="t" r="r" b="b"/>
                            <a:pathLst>
                              <a:path w="6941184" h="1769745">
                                <a:moveTo>
                                  <a:pt x="0" y="0"/>
                                </a:moveTo>
                                <a:lnTo>
                                  <a:pt x="6940641" y="15142"/>
                                </a:lnTo>
                                <a:lnTo>
                                  <a:pt x="6936920" y="1769215"/>
                                </a:lnTo>
                                <a:lnTo>
                                  <a:pt x="6717604" y="1768808"/>
                                </a:lnTo>
                              </a:path>
                            </a:pathLst>
                          </a:custGeom>
                          <a:ln w="12700">
                            <a:solidFill>
                              <a:srgbClr val="000000"/>
                            </a:solidFill>
                            <a:prstDash val="solid"/>
                          </a:ln>
                        </wps:spPr>
                        <wps:bodyPr wrap="square" lIns="0" tIns="0" rIns="0" bIns="0" rtlCol="0">
                          <a:prstTxWarp prst="textNoShape">
                            <a:avLst/>
                          </a:prstTxWarp>
                          <a:noAutofit/>
                        </wps:bodyPr>
                      </wps:wsp>
                      <wps:wsp>
                        <wps:cNvPr id="231" name="Graphic 231"/>
                        <wps:cNvSpPr/>
                        <wps:spPr>
                          <a:xfrm>
                            <a:off x="6723955" y="419969"/>
                            <a:ext cx="212725" cy="1270"/>
                          </a:xfrm>
                          <a:custGeom>
                            <a:avLst/>
                            <a:gdLst/>
                            <a:ahLst/>
                            <a:cxnLst/>
                            <a:rect l="l" t="t" r="r" b="b"/>
                            <a:pathLst>
                              <a:path w="212725" h="0">
                                <a:moveTo>
                                  <a:pt x="212394" y="0"/>
                                </a:moveTo>
                                <a:lnTo>
                                  <a:pt x="0" y="0"/>
                                </a:lnTo>
                              </a:path>
                            </a:pathLst>
                          </a:custGeom>
                          <a:ln w="12700">
                            <a:solidFill>
                              <a:srgbClr val="000000"/>
                            </a:solidFill>
                            <a:prstDash val="solid"/>
                          </a:ln>
                        </wps:spPr>
                        <wps:bodyPr wrap="square" lIns="0" tIns="0" rIns="0" bIns="0" rtlCol="0">
                          <a:prstTxWarp prst="textNoShape">
                            <a:avLst/>
                          </a:prstTxWarp>
                          <a:noAutofit/>
                        </wps:bodyPr>
                      </wps:wsp>
                      <wps:wsp>
                        <wps:cNvPr id="232" name="Graphic 232"/>
                        <wps:cNvSpPr/>
                        <wps:spPr>
                          <a:xfrm>
                            <a:off x="5300266" y="1593118"/>
                            <a:ext cx="1404620" cy="1270"/>
                          </a:xfrm>
                          <a:custGeom>
                            <a:avLst/>
                            <a:gdLst/>
                            <a:ahLst/>
                            <a:cxnLst/>
                            <a:rect l="l" t="t" r="r" b="b"/>
                            <a:pathLst>
                              <a:path w="1404620" h="0">
                                <a:moveTo>
                                  <a:pt x="0" y="0"/>
                                </a:moveTo>
                                <a:lnTo>
                                  <a:pt x="1403997" y="0"/>
                                </a:lnTo>
                              </a:path>
                            </a:pathLst>
                          </a:custGeom>
                          <a:ln w="3175">
                            <a:solidFill>
                              <a:srgbClr val="000000"/>
                            </a:solidFill>
                            <a:prstDash val="solid"/>
                          </a:ln>
                        </wps:spPr>
                        <wps:bodyPr wrap="square" lIns="0" tIns="0" rIns="0" bIns="0" rtlCol="0">
                          <a:prstTxWarp prst="textNoShape">
                            <a:avLst/>
                          </a:prstTxWarp>
                          <a:noAutofit/>
                        </wps:bodyPr>
                      </wps:wsp>
                      <wps:wsp>
                        <wps:cNvPr id="233" name="Graphic 233"/>
                        <wps:cNvSpPr/>
                        <wps:spPr>
                          <a:xfrm>
                            <a:off x="6723955" y="1339212"/>
                            <a:ext cx="212725" cy="1270"/>
                          </a:xfrm>
                          <a:custGeom>
                            <a:avLst/>
                            <a:gdLst/>
                            <a:ahLst/>
                            <a:cxnLst/>
                            <a:rect l="l" t="t" r="r" b="b"/>
                            <a:pathLst>
                              <a:path w="212725" h="0">
                                <a:moveTo>
                                  <a:pt x="212394" y="0"/>
                                </a:moveTo>
                                <a:lnTo>
                                  <a:pt x="0" y="0"/>
                                </a:lnTo>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00008pt;margin-top:206.677032pt;width:547.550pt;height:166.35pt;mso-position-horizontal-relative:page;mso-position-vertical-relative:page;z-index:-30690816" id="docshapegroup146" coordorigin="-10,4134" coordsize="10951,3327">
                <v:shape style="position:absolute;left:1081;top:6764;width:4706;height:697" id="docshape147" coordorigin="1082,6764" coordsize="4706,697" path="m3350,6764l1082,6764,1082,7461,3350,7461,3350,6764xm5787,6764l3520,6764,3520,7461,5787,7461,5787,6764xe" filled="true" fillcolor="#ebebec" stroked="false">
                  <v:path arrowok="t"/>
                  <v:fill type="solid"/>
                </v:shape>
                <v:line style="position:absolute" from="8317,4407" to="10528,4407" stroked="true" strokeweight=".25pt" strokecolor="#000000">
                  <v:stroke dashstyle="solid"/>
                </v:line>
                <v:line style="position:absolute" from="8317,5126" to="10528,5126" stroked="true" strokeweight=".25pt" strokecolor="#000000">
                  <v:stroke dashstyle="solid"/>
                </v:line>
                <v:line style="position:absolute" from="8317,5973" to="10528,5973" stroked="true" strokeweight=".25pt" strokecolor="#000000">
                  <v:stroke dashstyle="solid"/>
                </v:line>
                <v:shape style="position:absolute;left:0;top:4143;width:10931;height:2787" id="docshape148" coordorigin="0,4144" coordsize="10931,2787" path="m0,4144l10930,4167,10924,6930,10579,6929e" filled="false" stroked="true" strokeweight="1pt" strokecolor="#000000">
                  <v:path arrowok="t"/>
                  <v:stroke dashstyle="solid"/>
                </v:shape>
                <v:line style="position:absolute" from="10913,4795" to="10579,4795" stroked="true" strokeweight="1pt" strokecolor="#000000">
                  <v:stroke dashstyle="solid"/>
                </v:line>
                <v:line style="position:absolute" from="8337,6642" to="10548,6642" stroked="true" strokeweight=".25pt" strokecolor="#000000">
                  <v:stroke dashstyle="solid"/>
                </v:line>
                <v:line style="position:absolute" from="10913,6243" to="10579,6243" stroked="true" strokeweight="1pt" strokecolor="#000000">
                  <v:stroke dashstyle="solid"/>
                </v:line>
                <w10:wrap type="none"/>
              </v:group>
            </w:pict>
          </mc:Fallback>
        </mc:AlternateContent>
      </w:r>
      <w:r>
        <w:rPr/>
        <mc:AlternateContent>
          <mc:Choice Requires="wps">
            <w:drawing>
              <wp:anchor distT="0" distB="0" distL="0" distR="0" allowOverlap="1" layoutInCell="1" locked="0" behindDoc="1" simplePos="0" relativeHeight="472626176">
                <wp:simplePos x="0" y="0"/>
                <wp:positionH relativeFrom="page">
                  <wp:posOffset>-6350</wp:posOffset>
                </wp:positionH>
                <wp:positionV relativeFrom="page">
                  <wp:posOffset>5108691</wp:posOffset>
                </wp:positionV>
                <wp:extent cx="6164580" cy="760095"/>
                <wp:effectExtent l="0" t="0" r="0" b="0"/>
                <wp:wrapNone/>
                <wp:docPr id="234" name="Group 234"/>
                <wp:cNvGraphicFramePr>
                  <a:graphicFrameLocks/>
                </wp:cNvGraphicFramePr>
                <a:graphic>
                  <a:graphicData uri="http://schemas.microsoft.com/office/word/2010/wordprocessingGroup">
                    <wpg:wgp>
                      <wpg:cNvPr id="234" name="Group 234"/>
                      <wpg:cNvGrpSpPr/>
                      <wpg:grpSpPr>
                        <a:xfrm>
                          <a:off x="0" y="0"/>
                          <a:ext cx="6164580" cy="760095"/>
                          <a:chExt cx="6164580" cy="760095"/>
                        </a:xfrm>
                      </wpg:grpSpPr>
                      <wps:wsp>
                        <wps:cNvPr id="235" name="Graphic 235"/>
                        <wps:cNvSpPr/>
                        <wps:spPr>
                          <a:xfrm>
                            <a:off x="6350" y="6350"/>
                            <a:ext cx="6151880" cy="154940"/>
                          </a:xfrm>
                          <a:custGeom>
                            <a:avLst/>
                            <a:gdLst/>
                            <a:ahLst/>
                            <a:cxnLst/>
                            <a:rect l="l" t="t" r="r" b="b"/>
                            <a:pathLst>
                              <a:path w="6151880" h="154940">
                                <a:moveTo>
                                  <a:pt x="0" y="0"/>
                                </a:moveTo>
                                <a:lnTo>
                                  <a:pt x="6151679" y="14347"/>
                                </a:lnTo>
                                <a:lnTo>
                                  <a:pt x="6151679" y="154924"/>
                                </a:lnTo>
                              </a:path>
                            </a:pathLst>
                          </a:custGeom>
                          <a:ln w="12699">
                            <a:solidFill>
                              <a:srgbClr val="000000"/>
                            </a:solidFill>
                            <a:prstDash val="solid"/>
                          </a:ln>
                        </wps:spPr>
                        <wps:bodyPr wrap="square" lIns="0" tIns="0" rIns="0" bIns="0" rtlCol="0">
                          <a:prstTxWarp prst="textNoShape">
                            <a:avLst/>
                          </a:prstTxWarp>
                          <a:noAutofit/>
                        </wps:bodyPr>
                      </wps:wsp>
                      <wps:wsp>
                        <wps:cNvPr id="236" name="Graphic 236"/>
                        <wps:cNvSpPr/>
                        <wps:spPr>
                          <a:xfrm>
                            <a:off x="1445003" y="13724"/>
                            <a:ext cx="1270" cy="141605"/>
                          </a:xfrm>
                          <a:custGeom>
                            <a:avLst/>
                            <a:gdLst/>
                            <a:ahLst/>
                            <a:cxnLst/>
                            <a:rect l="l" t="t" r="r" b="b"/>
                            <a:pathLst>
                              <a:path w="0" h="141605">
                                <a:moveTo>
                                  <a:pt x="0" y="141198"/>
                                </a:moveTo>
                                <a:lnTo>
                                  <a:pt x="0" y="0"/>
                                </a:lnTo>
                              </a:path>
                            </a:pathLst>
                          </a:custGeom>
                          <a:ln w="12700">
                            <a:solidFill>
                              <a:srgbClr val="000000"/>
                            </a:solidFill>
                            <a:prstDash val="solid"/>
                          </a:ln>
                        </wps:spPr>
                        <wps:bodyPr wrap="square" lIns="0" tIns="0" rIns="0" bIns="0" rtlCol="0">
                          <a:prstTxWarp prst="textNoShape">
                            <a:avLst/>
                          </a:prstTxWarp>
                          <a:noAutofit/>
                        </wps:bodyPr>
                      </wps:wsp>
                      <wps:wsp>
                        <wps:cNvPr id="237" name="Graphic 237"/>
                        <wps:cNvSpPr/>
                        <wps:spPr>
                          <a:xfrm>
                            <a:off x="2946486" y="13724"/>
                            <a:ext cx="1270" cy="141605"/>
                          </a:xfrm>
                          <a:custGeom>
                            <a:avLst/>
                            <a:gdLst/>
                            <a:ahLst/>
                            <a:cxnLst/>
                            <a:rect l="l" t="t" r="r" b="b"/>
                            <a:pathLst>
                              <a:path w="0" h="141605">
                                <a:moveTo>
                                  <a:pt x="0" y="141198"/>
                                </a:moveTo>
                                <a:lnTo>
                                  <a:pt x="0" y="0"/>
                                </a:lnTo>
                              </a:path>
                            </a:pathLst>
                          </a:custGeom>
                          <a:ln w="12700">
                            <a:solidFill>
                              <a:srgbClr val="000000"/>
                            </a:solidFill>
                            <a:prstDash val="solid"/>
                          </a:ln>
                        </wps:spPr>
                        <wps:bodyPr wrap="square" lIns="0" tIns="0" rIns="0" bIns="0" rtlCol="0">
                          <a:prstTxWarp prst="textNoShape">
                            <a:avLst/>
                          </a:prstTxWarp>
                          <a:noAutofit/>
                        </wps:bodyPr>
                      </wps:wsp>
                      <wps:wsp>
                        <wps:cNvPr id="238" name="Graphic 238"/>
                        <wps:cNvSpPr/>
                        <wps:spPr>
                          <a:xfrm>
                            <a:off x="4522800" y="13724"/>
                            <a:ext cx="1270" cy="141605"/>
                          </a:xfrm>
                          <a:custGeom>
                            <a:avLst/>
                            <a:gdLst/>
                            <a:ahLst/>
                            <a:cxnLst/>
                            <a:rect l="l" t="t" r="r" b="b"/>
                            <a:pathLst>
                              <a:path w="0" h="141605">
                                <a:moveTo>
                                  <a:pt x="0" y="141198"/>
                                </a:moveTo>
                                <a:lnTo>
                                  <a:pt x="0" y="0"/>
                                </a:lnTo>
                              </a:path>
                            </a:pathLst>
                          </a:custGeom>
                          <a:ln w="12700">
                            <a:solidFill>
                              <a:srgbClr val="000000"/>
                            </a:solidFill>
                            <a:prstDash val="solid"/>
                          </a:ln>
                        </wps:spPr>
                        <wps:bodyPr wrap="square" lIns="0" tIns="0" rIns="0" bIns="0" rtlCol="0">
                          <a:prstTxWarp prst="textNoShape">
                            <a:avLst/>
                          </a:prstTxWarp>
                          <a:noAutofit/>
                        </wps:bodyPr>
                      </wps:wsp>
                      <wps:wsp>
                        <wps:cNvPr id="239" name="Graphic 239"/>
                        <wps:cNvSpPr/>
                        <wps:spPr>
                          <a:xfrm>
                            <a:off x="2193348" y="13728"/>
                            <a:ext cx="1270" cy="746125"/>
                          </a:xfrm>
                          <a:custGeom>
                            <a:avLst/>
                            <a:gdLst/>
                            <a:ahLst/>
                            <a:cxnLst/>
                            <a:rect l="l" t="t" r="r" b="b"/>
                            <a:pathLst>
                              <a:path w="0" h="746125">
                                <a:moveTo>
                                  <a:pt x="0" y="745794"/>
                                </a:moveTo>
                                <a:lnTo>
                                  <a:pt x="0" y="0"/>
                                </a:lnTo>
                              </a:path>
                            </a:pathLst>
                          </a:custGeom>
                          <a:ln w="12700">
                            <a:solidFill>
                              <a:srgbClr val="000000"/>
                            </a:solidFill>
                            <a:prstDash val="solid"/>
                          </a:ln>
                        </wps:spPr>
                        <wps:bodyPr wrap="square" lIns="0" tIns="0" rIns="0" bIns="0" rtlCol="0">
                          <a:prstTxWarp prst="textNoShape">
                            <a:avLst/>
                          </a:prstTxWarp>
                          <a:noAutofit/>
                        </wps:bodyPr>
                      </wps:wsp>
                      <wps:wsp>
                        <wps:cNvPr id="240" name="Graphic 240"/>
                        <wps:cNvSpPr/>
                        <wps:spPr>
                          <a:xfrm>
                            <a:off x="3741483" y="13728"/>
                            <a:ext cx="1270" cy="746125"/>
                          </a:xfrm>
                          <a:custGeom>
                            <a:avLst/>
                            <a:gdLst/>
                            <a:ahLst/>
                            <a:cxnLst/>
                            <a:rect l="l" t="t" r="r" b="b"/>
                            <a:pathLst>
                              <a:path w="0" h="746125">
                                <a:moveTo>
                                  <a:pt x="0" y="745794"/>
                                </a:moveTo>
                                <a:lnTo>
                                  <a:pt x="0" y="0"/>
                                </a:lnTo>
                              </a:path>
                            </a:pathLst>
                          </a:custGeom>
                          <a:ln w="12700">
                            <a:solidFill>
                              <a:srgbClr val="000000"/>
                            </a:solidFill>
                            <a:prstDash val="solid"/>
                          </a:ln>
                        </wps:spPr>
                        <wps:bodyPr wrap="square" lIns="0" tIns="0" rIns="0" bIns="0" rtlCol="0">
                          <a:prstTxWarp prst="textNoShape">
                            <a:avLst/>
                          </a:prstTxWarp>
                          <a:noAutofit/>
                        </wps:bodyPr>
                      </wps:wsp>
                      <wps:wsp>
                        <wps:cNvPr id="241" name="Graphic 241"/>
                        <wps:cNvSpPr/>
                        <wps:spPr>
                          <a:xfrm>
                            <a:off x="5319489" y="13728"/>
                            <a:ext cx="1270" cy="746125"/>
                          </a:xfrm>
                          <a:custGeom>
                            <a:avLst/>
                            <a:gdLst/>
                            <a:ahLst/>
                            <a:cxnLst/>
                            <a:rect l="l" t="t" r="r" b="b"/>
                            <a:pathLst>
                              <a:path w="0" h="746125">
                                <a:moveTo>
                                  <a:pt x="0" y="745794"/>
                                </a:moveTo>
                                <a:lnTo>
                                  <a:pt x="0" y="0"/>
                                </a:lnTo>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00008pt;margin-top:402.259155pt;width:485.4pt;height:59.85pt;mso-position-horizontal-relative:page;mso-position-vertical-relative:page;z-index:-30690304" id="docshapegroup149" coordorigin="-10,8045" coordsize="9708,1197">
                <v:shape style="position:absolute;left:0;top:8055;width:9688;height:244" id="docshape150" coordorigin="0,8055" coordsize="9688,244" path="m0,8055l9688,8078,9688,8299e" filled="false" stroked="true" strokeweight="1.0pt" strokecolor="#000000">
                  <v:path arrowok="t"/>
                  <v:stroke dashstyle="solid"/>
                </v:shape>
                <v:line style="position:absolute" from="2266,8289" to="2266,8067" stroked="true" strokeweight="1pt" strokecolor="#000000">
                  <v:stroke dashstyle="solid"/>
                </v:line>
                <v:line style="position:absolute" from="4630,8289" to="4630,8067" stroked="true" strokeweight="1pt" strokecolor="#000000">
                  <v:stroke dashstyle="solid"/>
                </v:line>
                <v:line style="position:absolute" from="7113,8289" to="7113,8067" stroked="true" strokeweight="1pt" strokecolor="#000000">
                  <v:stroke dashstyle="solid"/>
                </v:line>
                <v:line style="position:absolute" from="3444,9241" to="3444,8067" stroked="true" strokeweight="1pt" strokecolor="#000000">
                  <v:stroke dashstyle="solid"/>
                </v:line>
                <v:line style="position:absolute" from="5882,9241" to="5882,8067" stroked="true" strokeweight="1pt" strokecolor="#000000">
                  <v:stroke dashstyle="solid"/>
                </v:line>
                <v:line style="position:absolute" from="8367,9241" to="8367,8067" stroked="true" strokeweight="1pt" strokecolor="#000000">
                  <v:stroke dashstyle="solid"/>
                </v:line>
                <w10:wrap type="none"/>
              </v:group>
            </w:pict>
          </mc:Fallback>
        </mc:AlternateContent>
      </w:r>
    </w:p>
    <w:p>
      <w:pPr>
        <w:pStyle w:val="BodyText"/>
        <w:rPr>
          <w:rFonts w:ascii="TT Norms Pro"/>
          <w:sz w:val="12"/>
        </w:rPr>
      </w:pPr>
    </w:p>
    <w:p>
      <w:pPr>
        <w:pStyle w:val="BodyText"/>
        <w:rPr>
          <w:rFonts w:ascii="TT Norms Pro"/>
          <w:sz w:val="12"/>
        </w:rPr>
      </w:pPr>
    </w:p>
    <w:p>
      <w:pPr>
        <w:pStyle w:val="BodyText"/>
        <w:rPr>
          <w:rFonts w:ascii="TT Norms Pro"/>
          <w:sz w:val="12"/>
        </w:rPr>
      </w:pPr>
    </w:p>
    <w:p>
      <w:pPr>
        <w:pStyle w:val="BodyText"/>
        <w:rPr>
          <w:rFonts w:ascii="TT Norms Pro"/>
          <w:sz w:val="12"/>
        </w:rPr>
      </w:pPr>
    </w:p>
    <w:p>
      <w:pPr>
        <w:pStyle w:val="BodyText"/>
        <w:spacing w:before="98"/>
        <w:rPr>
          <w:rFonts w:ascii="TT Norms Pro"/>
          <w:sz w:val="12"/>
        </w:rPr>
      </w:pPr>
    </w:p>
    <w:p>
      <w:pPr>
        <w:spacing w:before="0"/>
        <w:ind w:left="2668" w:right="1338" w:firstLine="0"/>
        <w:jc w:val="center"/>
        <w:rPr>
          <w:rFonts w:ascii="TT Norms Pro Light"/>
          <w:b w:val="0"/>
          <w:sz w:val="12"/>
        </w:rPr>
      </w:pPr>
      <w:r>
        <w:rPr/>
        <mc:AlternateContent>
          <mc:Choice Requires="wps">
            <w:drawing>
              <wp:anchor distT="0" distB="0" distL="0" distR="0" allowOverlap="1" layoutInCell="1" locked="0" behindDoc="0" simplePos="0" relativeHeight="15773184">
                <wp:simplePos x="0" y="0"/>
                <wp:positionH relativeFrom="page">
                  <wp:posOffset>3750157</wp:posOffset>
                </wp:positionH>
                <wp:positionV relativeFrom="paragraph">
                  <wp:posOffset>-31118</wp:posOffset>
                </wp:positionV>
                <wp:extent cx="313690" cy="142875"/>
                <wp:effectExtent l="0" t="0" r="0" b="0"/>
                <wp:wrapNone/>
                <wp:docPr id="242" name="Graphic 242"/>
                <wp:cNvGraphicFramePr>
                  <a:graphicFrameLocks/>
                </wp:cNvGraphicFramePr>
                <a:graphic>
                  <a:graphicData uri="http://schemas.microsoft.com/office/word/2010/wordprocessingShape">
                    <wps:wsp>
                      <wps:cNvPr id="242" name="Graphic 242"/>
                      <wps:cNvSpPr/>
                      <wps:spPr>
                        <a:xfrm>
                          <a:off x="0" y="0"/>
                          <a:ext cx="313690" cy="142875"/>
                        </a:xfrm>
                        <a:custGeom>
                          <a:avLst/>
                          <a:gdLst/>
                          <a:ahLst/>
                          <a:cxnLst/>
                          <a:rect l="l" t="t" r="r" b="b"/>
                          <a:pathLst>
                            <a:path w="313690" h="142875">
                              <a:moveTo>
                                <a:pt x="313245" y="0"/>
                              </a:moveTo>
                              <a:lnTo>
                                <a:pt x="0" y="0"/>
                              </a:lnTo>
                              <a:lnTo>
                                <a:pt x="0" y="142646"/>
                              </a:lnTo>
                              <a:lnTo>
                                <a:pt x="313245" y="142646"/>
                              </a:lnTo>
                              <a:lnTo>
                                <a:pt x="313245" y="0"/>
                              </a:lnTo>
                              <a:close/>
                            </a:path>
                          </a:pathLst>
                        </a:custGeom>
                        <a:solidFill>
                          <a:srgbClr val="EBEBEC"/>
                        </a:solidFill>
                      </wps:spPr>
                      <wps:bodyPr wrap="square" lIns="0" tIns="0" rIns="0" bIns="0" rtlCol="0">
                        <a:prstTxWarp prst="textNoShape">
                          <a:avLst/>
                        </a:prstTxWarp>
                        <a:noAutofit/>
                      </wps:bodyPr>
                    </wps:wsp>
                  </a:graphicData>
                </a:graphic>
              </wp:anchor>
            </w:drawing>
          </mc:Choice>
          <mc:Fallback>
            <w:pict>
              <v:rect style="position:absolute;margin-left:295.287994pt;margin-top:-2.4503pt;width:24.665pt;height:11.232pt;mso-position-horizontal-relative:page;mso-position-vertical-relative:paragraph;z-index:15773184" id="docshape151" filled="true" fillcolor="#ebebec" stroked="false">
                <v:fill type="solid"/>
                <w10:wrap type="none"/>
              </v:rect>
            </w:pict>
          </mc:Fallback>
        </mc:AlternateContent>
      </w:r>
      <w:r>
        <w:rPr>
          <w:rFonts w:ascii="TT Norms Pro Light"/>
          <w:b w:val="0"/>
          <w:sz w:val="12"/>
        </w:rPr>
        <w:t>College</w:t>
      </w:r>
      <w:r>
        <w:rPr>
          <w:rFonts w:ascii="TT Norms Pro Light"/>
          <w:b w:val="0"/>
          <w:spacing w:val="5"/>
          <w:sz w:val="12"/>
        </w:rPr>
        <w:t> </w:t>
      </w:r>
      <w:r>
        <w:rPr>
          <w:rFonts w:ascii="TT Norms Pro Light"/>
          <w:b w:val="0"/>
          <w:sz w:val="12"/>
        </w:rPr>
        <w:t>of</w:t>
      </w:r>
      <w:r>
        <w:rPr>
          <w:rFonts w:ascii="TT Norms Pro Light"/>
          <w:b w:val="0"/>
          <w:spacing w:val="8"/>
          <w:sz w:val="12"/>
        </w:rPr>
        <w:t> </w:t>
      </w:r>
      <w:r>
        <w:rPr>
          <w:rFonts w:ascii="TT Norms Pro Light"/>
          <w:b w:val="0"/>
          <w:spacing w:val="-2"/>
          <w:sz w:val="12"/>
        </w:rPr>
        <w:t>Schools</w:t>
      </w:r>
    </w:p>
    <w:p>
      <w:pPr>
        <w:spacing w:after="0"/>
        <w:jc w:val="center"/>
        <w:rPr>
          <w:rFonts w:ascii="TT Norms Pro Light"/>
          <w:sz w:val="12"/>
        </w:rPr>
        <w:sectPr>
          <w:type w:val="continuous"/>
          <w:pgSz w:w="11910" w:h="16840"/>
          <w:pgMar w:header="468" w:footer="0" w:top="980" w:bottom="280" w:left="940" w:right="0"/>
        </w:sectPr>
      </w:pPr>
    </w:p>
    <w:p>
      <w:pPr>
        <w:spacing w:line="201" w:lineRule="auto" w:before="441"/>
        <w:ind w:left="730" w:right="0" w:hanging="544"/>
        <w:jc w:val="left"/>
        <w:rPr>
          <w:rFonts w:ascii="Palatino Linotype"/>
          <w:sz w:val="80"/>
        </w:rPr>
      </w:pPr>
      <w:r>
        <w:rPr>
          <w:rFonts w:ascii="TT Norms Pro Medium"/>
          <w:b/>
          <w:spacing w:val="-24"/>
          <w:sz w:val="80"/>
        </w:rPr>
        <w:t>Operational </w:t>
      </w:r>
      <w:r>
        <w:rPr>
          <w:rFonts w:ascii="TT Norms Pro Medium"/>
          <w:b/>
          <w:spacing w:val="-24"/>
          <w:sz w:val="80"/>
        </w:rPr>
        <w:t>Structure: </w:t>
      </w:r>
      <w:r>
        <w:rPr>
          <w:rFonts w:ascii="Palatino Linotype"/>
          <w:w w:val="105"/>
          <w:sz w:val="80"/>
        </w:rPr>
        <w:t>governance and </w:t>
      </w:r>
      <w:r>
        <w:rPr>
          <w:rFonts w:ascii="Palatino Linotype"/>
          <w:spacing w:val="-2"/>
          <w:w w:val="105"/>
          <w:sz w:val="80"/>
        </w:rPr>
        <w:t>management</w:t>
      </w:r>
    </w:p>
    <w:p>
      <w:pPr>
        <w:pStyle w:val="BodyText"/>
        <w:rPr>
          <w:rFonts w:ascii="Palatino Linotype"/>
          <w:sz w:val="20"/>
        </w:rPr>
      </w:pPr>
    </w:p>
    <w:p>
      <w:pPr>
        <w:pStyle w:val="BodyText"/>
        <w:spacing w:before="29"/>
        <w:rPr>
          <w:rFonts w:ascii="Palatino Linotype"/>
          <w:sz w:val="20"/>
        </w:rPr>
      </w:pPr>
    </w:p>
    <w:p>
      <w:pPr>
        <w:spacing w:after="0"/>
        <w:rPr>
          <w:rFonts w:ascii="Palatino Linotype"/>
          <w:sz w:val="20"/>
        </w:rPr>
        <w:sectPr>
          <w:pgSz w:w="11910" w:h="16840"/>
          <w:pgMar w:header="468" w:footer="0" w:top="720" w:bottom="0" w:left="940" w:right="0"/>
        </w:sectPr>
      </w:pPr>
    </w:p>
    <w:p>
      <w:pPr>
        <w:pStyle w:val="Heading9"/>
        <w:spacing w:before="129"/>
        <w:ind w:left="186"/>
      </w:pPr>
      <w:r>
        <w:rPr>
          <w:spacing w:val="-2"/>
        </w:rPr>
        <w:t>SENATE</w:t>
      </w:r>
    </w:p>
    <w:p>
      <w:pPr>
        <w:pStyle w:val="BodyText"/>
        <w:spacing w:line="295" w:lineRule="auto" w:before="153"/>
        <w:ind w:left="186" w:right="150"/>
        <w:rPr>
          <w:b w:val="0"/>
        </w:rPr>
      </w:pPr>
      <w:r>
        <w:rPr>
          <w:b w:val="0"/>
        </w:rPr>
        <w:t>The governing body of the University is the Senate, as</w:t>
      </w:r>
      <w:r>
        <w:rPr>
          <w:b w:val="0"/>
          <w:spacing w:val="40"/>
        </w:rPr>
        <w:t> </w:t>
      </w:r>
      <w:r>
        <w:rPr>
          <w:b w:val="0"/>
        </w:rPr>
        <w:t>constituted by the </w:t>
      </w:r>
      <w:r>
        <w:rPr>
          <w:b w:val="0"/>
          <w:i/>
        </w:rPr>
        <w:t>University of Western Australia Act</w:t>
      </w:r>
      <w:r>
        <w:rPr>
          <w:b w:val="0"/>
          <w:i/>
          <w:spacing w:val="40"/>
        </w:rPr>
        <w:t> </w:t>
      </w:r>
      <w:r>
        <w:rPr>
          <w:b w:val="0"/>
          <w:i/>
        </w:rPr>
        <w:t>1911</w:t>
      </w:r>
      <w:r>
        <w:rPr>
          <w:b w:val="0"/>
        </w:rPr>
        <w:t>. Senate oversees all major decisions concerning the</w:t>
      </w:r>
      <w:r>
        <w:rPr>
          <w:b w:val="0"/>
          <w:spacing w:val="40"/>
        </w:rPr>
        <w:t> </w:t>
      </w:r>
      <w:r>
        <w:rPr>
          <w:b w:val="0"/>
        </w:rPr>
        <w:t>conduct of the University through the making of statutes,</w:t>
      </w:r>
      <w:r>
        <w:rPr>
          <w:b w:val="0"/>
          <w:spacing w:val="40"/>
        </w:rPr>
        <w:t> </w:t>
      </w:r>
      <w:r>
        <w:rPr>
          <w:b w:val="0"/>
        </w:rPr>
        <w:t>regulations and by-laws, and through the management</w:t>
      </w:r>
      <w:r>
        <w:rPr>
          <w:b w:val="0"/>
          <w:spacing w:val="80"/>
        </w:rPr>
        <w:t> </w:t>
      </w:r>
      <w:r>
        <w:rPr>
          <w:b w:val="0"/>
        </w:rPr>
        <w:t>of income and expenditure.</w:t>
      </w:r>
    </w:p>
    <w:p>
      <w:pPr>
        <w:pStyle w:val="BodyText"/>
        <w:spacing w:before="50"/>
        <w:rPr>
          <w:b w:val="0"/>
        </w:rPr>
      </w:pPr>
    </w:p>
    <w:p>
      <w:pPr>
        <w:spacing w:line="295" w:lineRule="auto" w:before="0"/>
        <w:ind w:left="186" w:right="448" w:firstLine="0"/>
        <w:jc w:val="left"/>
        <w:rPr>
          <w:rFonts w:ascii="TT Norms Pro Light"/>
          <w:b w:val="0"/>
          <w:i/>
          <w:sz w:val="18"/>
        </w:rPr>
      </w:pPr>
      <w:r>
        <w:rPr>
          <w:rFonts w:ascii="TT Norms Pro Light"/>
          <w:b w:val="0"/>
          <w:sz w:val="18"/>
        </w:rPr>
        <w:t>In October 2020 following a major legislative review,</w:t>
      </w:r>
      <w:r>
        <w:rPr>
          <w:rFonts w:ascii="TT Norms Pro Light"/>
          <w:b w:val="0"/>
          <w:spacing w:val="40"/>
          <w:sz w:val="18"/>
        </w:rPr>
        <w:t> </w:t>
      </w:r>
      <w:r>
        <w:rPr>
          <w:rFonts w:ascii="TT Norms Pro Light"/>
          <w:b w:val="0"/>
          <w:sz w:val="18"/>
        </w:rPr>
        <w:t>the</w:t>
      </w:r>
      <w:r>
        <w:rPr>
          <w:rFonts w:ascii="TT Norms Pro Light"/>
          <w:b w:val="0"/>
          <w:spacing w:val="-3"/>
          <w:sz w:val="18"/>
        </w:rPr>
        <w:t> </w:t>
      </w:r>
      <w:r>
        <w:rPr>
          <w:rFonts w:ascii="TT Norms Pro Light"/>
          <w:b w:val="0"/>
          <w:sz w:val="18"/>
        </w:rPr>
        <w:t>new</w:t>
      </w:r>
      <w:r>
        <w:rPr>
          <w:rFonts w:ascii="TT Norms Pro Light"/>
          <w:b w:val="0"/>
          <w:spacing w:val="-3"/>
          <w:sz w:val="18"/>
        </w:rPr>
        <w:t> </w:t>
      </w:r>
      <w:r>
        <w:rPr>
          <w:rFonts w:ascii="TT Norms Pro Light"/>
          <w:b w:val="0"/>
          <w:i/>
          <w:sz w:val="18"/>
        </w:rPr>
        <w:t>University</w:t>
      </w:r>
      <w:r>
        <w:rPr>
          <w:rFonts w:ascii="TT Norms Pro Light"/>
          <w:b w:val="0"/>
          <w:i/>
          <w:spacing w:val="-3"/>
          <w:sz w:val="18"/>
        </w:rPr>
        <w:t> </w:t>
      </w:r>
      <w:r>
        <w:rPr>
          <w:rFonts w:ascii="TT Norms Pro Light"/>
          <w:b w:val="0"/>
          <w:i/>
          <w:sz w:val="18"/>
        </w:rPr>
        <w:t>of</w:t>
      </w:r>
      <w:r>
        <w:rPr>
          <w:rFonts w:ascii="TT Norms Pro Light"/>
          <w:b w:val="0"/>
          <w:i/>
          <w:spacing w:val="-3"/>
          <w:sz w:val="18"/>
        </w:rPr>
        <w:t> </w:t>
      </w:r>
      <w:r>
        <w:rPr>
          <w:rFonts w:ascii="TT Norms Pro Light"/>
          <w:b w:val="0"/>
          <w:i/>
          <w:sz w:val="18"/>
        </w:rPr>
        <w:t>Western</w:t>
      </w:r>
      <w:r>
        <w:rPr>
          <w:rFonts w:ascii="TT Norms Pro Light"/>
          <w:b w:val="0"/>
          <w:i/>
          <w:spacing w:val="-3"/>
          <w:sz w:val="18"/>
        </w:rPr>
        <w:t> </w:t>
      </w:r>
      <w:r>
        <w:rPr>
          <w:rFonts w:ascii="TT Norms Pro Light"/>
          <w:b w:val="0"/>
          <w:i/>
          <w:sz w:val="18"/>
        </w:rPr>
        <w:t>Australia</w:t>
      </w:r>
      <w:r>
        <w:rPr>
          <w:rFonts w:ascii="TT Norms Pro Light"/>
          <w:b w:val="0"/>
          <w:i/>
          <w:spacing w:val="-3"/>
          <w:sz w:val="18"/>
        </w:rPr>
        <w:t> </w:t>
      </w:r>
      <w:r>
        <w:rPr>
          <w:rFonts w:ascii="TT Norms Pro Light"/>
          <w:b w:val="0"/>
          <w:i/>
          <w:sz w:val="18"/>
        </w:rPr>
        <w:t>Statute</w:t>
      </w:r>
      <w:r>
        <w:rPr>
          <w:rFonts w:ascii="TT Norms Pro Light"/>
          <w:b w:val="0"/>
          <w:i/>
          <w:spacing w:val="-3"/>
          <w:sz w:val="18"/>
        </w:rPr>
        <w:t> </w:t>
      </w:r>
      <w:r>
        <w:rPr>
          <w:rFonts w:ascii="TT Norms Pro Light"/>
          <w:b w:val="0"/>
          <w:sz w:val="18"/>
        </w:rPr>
        <w:t>came</w:t>
      </w:r>
      <w:r>
        <w:rPr>
          <w:rFonts w:ascii="TT Norms Pro Light"/>
          <w:b w:val="0"/>
          <w:spacing w:val="40"/>
          <w:sz w:val="18"/>
        </w:rPr>
        <w:t> </w:t>
      </w:r>
      <w:r>
        <w:rPr>
          <w:rFonts w:ascii="TT Norms Pro Light"/>
          <w:b w:val="0"/>
          <w:sz w:val="18"/>
        </w:rPr>
        <w:t>into force. This consolidates 24 statutes into a single</w:t>
      </w:r>
      <w:r>
        <w:rPr>
          <w:rFonts w:ascii="TT Norms Pro Light"/>
          <w:b w:val="0"/>
          <w:spacing w:val="40"/>
          <w:sz w:val="18"/>
        </w:rPr>
        <w:t> </w:t>
      </w:r>
      <w:r>
        <w:rPr>
          <w:rFonts w:ascii="TT Norms Pro Light"/>
          <w:b w:val="0"/>
          <w:i/>
          <w:sz w:val="18"/>
        </w:rPr>
        <w:t>UWA</w:t>
      </w:r>
      <w:r>
        <w:rPr>
          <w:rFonts w:ascii="TT Norms Pro Light"/>
          <w:b w:val="0"/>
          <w:i/>
          <w:spacing w:val="-5"/>
          <w:sz w:val="18"/>
        </w:rPr>
        <w:t> </w:t>
      </w:r>
      <w:r>
        <w:rPr>
          <w:rFonts w:ascii="TT Norms Pro Light"/>
          <w:b w:val="0"/>
          <w:i/>
          <w:sz w:val="18"/>
        </w:rPr>
        <w:t>Statute.</w:t>
      </w:r>
    </w:p>
    <w:p>
      <w:pPr>
        <w:pStyle w:val="BodyText"/>
        <w:spacing w:before="48"/>
        <w:rPr>
          <w:b w:val="0"/>
          <w:i/>
        </w:rPr>
      </w:pPr>
    </w:p>
    <w:p>
      <w:pPr>
        <w:pStyle w:val="BodyText"/>
        <w:spacing w:line="295" w:lineRule="auto" w:before="1"/>
        <w:ind w:left="186"/>
        <w:rPr>
          <w:b w:val="0"/>
        </w:rPr>
      </w:pPr>
      <w:r>
        <w:rPr>
          <w:b w:val="0"/>
        </w:rPr>
        <w:t>The University also complies with the corporate and</w:t>
      </w:r>
      <w:r>
        <w:rPr>
          <w:b w:val="0"/>
          <w:spacing w:val="40"/>
        </w:rPr>
        <w:t> </w:t>
      </w:r>
      <w:r>
        <w:rPr>
          <w:b w:val="0"/>
        </w:rPr>
        <w:t>academic governance requirements of:</w:t>
      </w:r>
    </w:p>
    <w:p>
      <w:pPr>
        <w:pStyle w:val="ListParagraph"/>
        <w:numPr>
          <w:ilvl w:val="0"/>
          <w:numId w:val="2"/>
        </w:numPr>
        <w:tabs>
          <w:tab w:pos="412" w:val="left" w:leader="none"/>
        </w:tabs>
        <w:spacing w:line="240" w:lineRule="auto" w:before="95" w:after="0"/>
        <w:ind w:left="412" w:right="0" w:hanging="226"/>
        <w:jc w:val="left"/>
        <w:rPr>
          <w:rFonts w:ascii="TT Norms Pro Light" w:hAnsi="TT Norms Pro Light"/>
          <w:b w:val="0"/>
          <w:i/>
          <w:sz w:val="18"/>
        </w:rPr>
      </w:pPr>
      <w:r>
        <w:rPr>
          <w:rFonts w:ascii="TT Norms Pro Light" w:hAnsi="TT Norms Pro Light"/>
          <w:b w:val="0"/>
          <w:i/>
          <w:sz w:val="18"/>
        </w:rPr>
        <w:t>University</w:t>
      </w:r>
      <w:r>
        <w:rPr>
          <w:rFonts w:ascii="TT Norms Pro Light" w:hAnsi="TT Norms Pro Light"/>
          <w:b w:val="0"/>
          <w:i/>
          <w:spacing w:val="-6"/>
          <w:sz w:val="18"/>
        </w:rPr>
        <w:t> </w:t>
      </w:r>
      <w:r>
        <w:rPr>
          <w:rFonts w:ascii="TT Norms Pro Light" w:hAnsi="TT Norms Pro Light"/>
          <w:b w:val="0"/>
          <w:i/>
          <w:sz w:val="18"/>
        </w:rPr>
        <w:t>Colleges</w:t>
      </w:r>
      <w:r>
        <w:rPr>
          <w:rFonts w:ascii="TT Norms Pro Light" w:hAnsi="TT Norms Pro Light"/>
          <w:b w:val="0"/>
          <w:i/>
          <w:spacing w:val="-7"/>
          <w:sz w:val="18"/>
        </w:rPr>
        <w:t> </w:t>
      </w:r>
      <w:r>
        <w:rPr>
          <w:rFonts w:ascii="TT Norms Pro Light" w:hAnsi="TT Norms Pro Light"/>
          <w:b w:val="0"/>
          <w:i/>
          <w:sz w:val="18"/>
        </w:rPr>
        <w:t>Act</w:t>
      </w:r>
      <w:r>
        <w:rPr>
          <w:rFonts w:ascii="TT Norms Pro Light" w:hAnsi="TT Norms Pro Light"/>
          <w:b w:val="0"/>
          <w:i/>
          <w:spacing w:val="-1"/>
          <w:sz w:val="18"/>
        </w:rPr>
        <w:t> </w:t>
      </w:r>
      <w:r>
        <w:rPr>
          <w:rFonts w:ascii="TT Norms Pro Light" w:hAnsi="TT Norms Pro Light"/>
          <w:b w:val="0"/>
          <w:i/>
          <w:spacing w:val="-4"/>
          <w:sz w:val="18"/>
        </w:rPr>
        <w:t>1926</w:t>
      </w:r>
    </w:p>
    <w:p>
      <w:pPr>
        <w:pStyle w:val="ListParagraph"/>
        <w:numPr>
          <w:ilvl w:val="0"/>
          <w:numId w:val="2"/>
        </w:numPr>
        <w:tabs>
          <w:tab w:pos="412" w:val="left" w:leader="none"/>
        </w:tabs>
        <w:spacing w:line="240" w:lineRule="auto" w:before="86" w:after="0"/>
        <w:ind w:left="412" w:right="0" w:hanging="226"/>
        <w:jc w:val="left"/>
        <w:rPr>
          <w:rFonts w:ascii="TT Norms Pro Light" w:hAnsi="TT Norms Pro Light"/>
          <w:b w:val="0"/>
          <w:i/>
          <w:sz w:val="18"/>
        </w:rPr>
      </w:pPr>
      <w:r>
        <w:rPr>
          <w:rFonts w:ascii="TT Norms Pro Light" w:hAnsi="TT Norms Pro Light"/>
          <w:b w:val="0"/>
          <w:i/>
          <w:sz w:val="18"/>
        </w:rPr>
        <w:t>University</w:t>
      </w:r>
      <w:r>
        <w:rPr>
          <w:rFonts w:ascii="TT Norms Pro Light" w:hAnsi="TT Norms Pro Light"/>
          <w:b w:val="0"/>
          <w:i/>
          <w:spacing w:val="-7"/>
          <w:sz w:val="18"/>
        </w:rPr>
        <w:t> </w:t>
      </w:r>
      <w:r>
        <w:rPr>
          <w:rFonts w:ascii="TT Norms Pro Light" w:hAnsi="TT Norms Pro Light"/>
          <w:b w:val="0"/>
          <w:i/>
          <w:sz w:val="18"/>
        </w:rPr>
        <w:t>Medical</w:t>
      </w:r>
      <w:r>
        <w:rPr>
          <w:rFonts w:ascii="TT Norms Pro Light" w:hAnsi="TT Norms Pro Light"/>
          <w:b w:val="0"/>
          <w:i/>
          <w:spacing w:val="-3"/>
          <w:sz w:val="18"/>
        </w:rPr>
        <w:t> </w:t>
      </w:r>
      <w:r>
        <w:rPr>
          <w:rFonts w:ascii="TT Norms Pro Light" w:hAnsi="TT Norms Pro Light"/>
          <w:b w:val="0"/>
          <w:i/>
          <w:sz w:val="18"/>
        </w:rPr>
        <w:t>School</w:t>
      </w:r>
      <w:r>
        <w:rPr>
          <w:rFonts w:ascii="TT Norms Pro Light" w:hAnsi="TT Norms Pro Light"/>
          <w:b w:val="0"/>
          <w:i/>
          <w:spacing w:val="-8"/>
          <w:sz w:val="18"/>
        </w:rPr>
        <w:t> </w:t>
      </w:r>
      <w:r>
        <w:rPr>
          <w:rFonts w:ascii="TT Norms Pro Light" w:hAnsi="TT Norms Pro Light"/>
          <w:b w:val="0"/>
          <w:i/>
          <w:sz w:val="18"/>
        </w:rPr>
        <w:t>Teaching</w:t>
      </w:r>
      <w:r>
        <w:rPr>
          <w:rFonts w:ascii="TT Norms Pro Light" w:hAnsi="TT Norms Pro Light"/>
          <w:b w:val="0"/>
          <w:i/>
          <w:spacing w:val="-3"/>
          <w:sz w:val="18"/>
        </w:rPr>
        <w:t> </w:t>
      </w:r>
      <w:r>
        <w:rPr>
          <w:rFonts w:ascii="TT Norms Pro Light" w:hAnsi="TT Norms Pro Light"/>
          <w:b w:val="0"/>
          <w:i/>
          <w:sz w:val="18"/>
        </w:rPr>
        <w:t>Hospitals</w:t>
      </w:r>
      <w:r>
        <w:rPr>
          <w:rFonts w:ascii="TT Norms Pro Light" w:hAnsi="TT Norms Pro Light"/>
          <w:b w:val="0"/>
          <w:i/>
          <w:spacing w:val="-8"/>
          <w:sz w:val="18"/>
        </w:rPr>
        <w:t> </w:t>
      </w:r>
      <w:r>
        <w:rPr>
          <w:rFonts w:ascii="TT Norms Pro Light" w:hAnsi="TT Norms Pro Light"/>
          <w:b w:val="0"/>
          <w:i/>
          <w:sz w:val="18"/>
        </w:rPr>
        <w:t>Act</w:t>
      </w:r>
      <w:r>
        <w:rPr>
          <w:rFonts w:ascii="TT Norms Pro Light" w:hAnsi="TT Norms Pro Light"/>
          <w:b w:val="0"/>
          <w:i/>
          <w:spacing w:val="-2"/>
          <w:sz w:val="18"/>
        </w:rPr>
        <w:t> </w:t>
      </w:r>
      <w:r>
        <w:rPr>
          <w:rFonts w:ascii="TT Norms Pro Light" w:hAnsi="TT Norms Pro Light"/>
          <w:b w:val="0"/>
          <w:i/>
          <w:spacing w:val="-4"/>
          <w:sz w:val="18"/>
        </w:rPr>
        <w:t>1955</w:t>
      </w:r>
    </w:p>
    <w:p>
      <w:pPr>
        <w:pStyle w:val="ListParagraph"/>
        <w:numPr>
          <w:ilvl w:val="0"/>
          <w:numId w:val="2"/>
        </w:numPr>
        <w:tabs>
          <w:tab w:pos="385" w:val="left" w:leader="none"/>
        </w:tabs>
        <w:spacing w:line="240" w:lineRule="auto" w:before="106" w:after="0"/>
        <w:ind w:left="385" w:right="0" w:hanging="199"/>
        <w:jc w:val="left"/>
        <w:rPr>
          <w:rFonts w:ascii="TT Norms Pro Light" w:hAnsi="TT Norms Pro Light"/>
          <w:b w:val="0"/>
          <w:i/>
          <w:sz w:val="18"/>
        </w:rPr>
      </w:pPr>
      <w:r>
        <w:rPr>
          <w:rFonts w:ascii="TT Norms Pro Light" w:hAnsi="TT Norms Pro Light"/>
          <w:b w:val="0"/>
          <w:i/>
          <w:sz w:val="18"/>
        </w:rPr>
        <w:t>QEII</w:t>
      </w:r>
      <w:r>
        <w:rPr>
          <w:rFonts w:ascii="TT Norms Pro Light" w:hAnsi="TT Norms Pro Light"/>
          <w:b w:val="0"/>
          <w:i/>
          <w:spacing w:val="-4"/>
          <w:sz w:val="18"/>
        </w:rPr>
        <w:t> </w:t>
      </w:r>
      <w:r>
        <w:rPr>
          <w:rFonts w:ascii="TT Norms Pro Light" w:hAnsi="TT Norms Pro Light"/>
          <w:b w:val="0"/>
          <w:i/>
          <w:sz w:val="18"/>
        </w:rPr>
        <w:t>Medical</w:t>
      </w:r>
      <w:r>
        <w:rPr>
          <w:rFonts w:ascii="TT Norms Pro Light" w:hAnsi="TT Norms Pro Light"/>
          <w:b w:val="0"/>
          <w:i/>
          <w:spacing w:val="-2"/>
          <w:sz w:val="18"/>
        </w:rPr>
        <w:t> </w:t>
      </w:r>
      <w:r>
        <w:rPr>
          <w:rFonts w:ascii="TT Norms Pro Light" w:hAnsi="TT Norms Pro Light"/>
          <w:b w:val="0"/>
          <w:i/>
          <w:sz w:val="18"/>
        </w:rPr>
        <w:t>Centre</w:t>
      </w:r>
      <w:r>
        <w:rPr>
          <w:rFonts w:ascii="TT Norms Pro Light" w:hAnsi="TT Norms Pro Light"/>
          <w:b w:val="0"/>
          <w:i/>
          <w:spacing w:val="-7"/>
          <w:sz w:val="18"/>
        </w:rPr>
        <w:t> </w:t>
      </w:r>
      <w:r>
        <w:rPr>
          <w:rFonts w:ascii="TT Norms Pro Light" w:hAnsi="TT Norms Pro Light"/>
          <w:b w:val="0"/>
          <w:i/>
          <w:sz w:val="18"/>
        </w:rPr>
        <w:t>Act</w:t>
      </w:r>
      <w:r>
        <w:rPr>
          <w:rFonts w:ascii="TT Norms Pro Light" w:hAnsi="TT Norms Pro Light"/>
          <w:b w:val="0"/>
          <w:i/>
          <w:spacing w:val="-1"/>
          <w:sz w:val="18"/>
        </w:rPr>
        <w:t> </w:t>
      </w:r>
      <w:r>
        <w:rPr>
          <w:rFonts w:ascii="TT Norms Pro Light" w:hAnsi="TT Norms Pro Light"/>
          <w:b w:val="0"/>
          <w:i/>
          <w:spacing w:val="-4"/>
          <w:sz w:val="18"/>
        </w:rPr>
        <w:t>1966.</w:t>
      </w:r>
    </w:p>
    <w:p>
      <w:pPr>
        <w:pStyle w:val="BodyText"/>
        <w:spacing w:before="65"/>
        <w:rPr>
          <w:b w:val="0"/>
          <w:i/>
        </w:rPr>
      </w:pPr>
    </w:p>
    <w:p>
      <w:pPr>
        <w:pStyle w:val="BodyText"/>
        <w:ind w:left="186"/>
        <w:rPr>
          <w:b w:val="0"/>
        </w:rPr>
      </w:pPr>
      <w:r>
        <w:rPr>
          <w:b w:val="0"/>
        </w:rPr>
        <w:t>And</w:t>
      </w:r>
      <w:r>
        <w:rPr>
          <w:b w:val="0"/>
          <w:spacing w:val="-1"/>
        </w:rPr>
        <w:t> </w:t>
      </w:r>
      <w:r>
        <w:rPr>
          <w:b w:val="0"/>
        </w:rPr>
        <w:t>at</w:t>
      </w:r>
      <w:r>
        <w:rPr>
          <w:b w:val="0"/>
          <w:spacing w:val="1"/>
        </w:rPr>
        <w:t> </w:t>
      </w:r>
      <w:r>
        <w:rPr>
          <w:b w:val="0"/>
        </w:rPr>
        <w:t>a</w:t>
      </w:r>
      <w:r>
        <w:rPr>
          <w:b w:val="0"/>
          <w:spacing w:val="1"/>
        </w:rPr>
        <w:t> </w:t>
      </w:r>
      <w:r>
        <w:rPr>
          <w:b w:val="0"/>
        </w:rPr>
        <w:t>Federal</w:t>
      </w:r>
      <w:r>
        <w:rPr>
          <w:b w:val="0"/>
          <w:spacing w:val="2"/>
        </w:rPr>
        <w:t> </w:t>
      </w:r>
      <w:r>
        <w:rPr>
          <w:b w:val="0"/>
          <w:spacing w:val="-2"/>
        </w:rPr>
        <w:t>level:</w:t>
      </w:r>
    </w:p>
    <w:p>
      <w:pPr>
        <w:pStyle w:val="ListParagraph"/>
        <w:numPr>
          <w:ilvl w:val="0"/>
          <w:numId w:val="2"/>
        </w:numPr>
        <w:tabs>
          <w:tab w:pos="413" w:val="left" w:leader="none"/>
        </w:tabs>
        <w:spacing w:line="273" w:lineRule="auto" w:before="143" w:after="0"/>
        <w:ind w:left="413" w:right="562" w:hanging="227"/>
        <w:jc w:val="both"/>
        <w:rPr>
          <w:rFonts w:ascii="TT Norms Pro Light" w:hAnsi="TT Norms Pro Light"/>
          <w:b w:val="0"/>
          <w:i/>
          <w:sz w:val="18"/>
        </w:rPr>
      </w:pPr>
      <w:r>
        <w:rPr>
          <w:rFonts w:ascii="TT Norms Pro Light" w:hAnsi="TT Norms Pro Light"/>
          <w:b w:val="0"/>
          <w:i/>
          <w:sz w:val="18"/>
        </w:rPr>
        <w:t>Tertiary</w:t>
      </w:r>
      <w:r>
        <w:rPr>
          <w:rFonts w:ascii="TT Norms Pro Light" w:hAnsi="TT Norms Pro Light"/>
          <w:b w:val="0"/>
          <w:i/>
          <w:spacing w:val="-9"/>
          <w:sz w:val="18"/>
        </w:rPr>
        <w:t> </w:t>
      </w:r>
      <w:r>
        <w:rPr>
          <w:rFonts w:ascii="TT Norms Pro Light" w:hAnsi="TT Norms Pro Light"/>
          <w:b w:val="0"/>
          <w:i/>
          <w:sz w:val="18"/>
        </w:rPr>
        <w:t>Education</w:t>
      </w:r>
      <w:r>
        <w:rPr>
          <w:rFonts w:ascii="TT Norms Pro Light" w:hAnsi="TT Norms Pro Light"/>
          <w:b w:val="0"/>
          <w:i/>
          <w:spacing w:val="-9"/>
          <w:sz w:val="18"/>
        </w:rPr>
        <w:t> </w:t>
      </w:r>
      <w:r>
        <w:rPr>
          <w:rFonts w:ascii="TT Norms Pro Light" w:hAnsi="TT Norms Pro Light"/>
          <w:b w:val="0"/>
          <w:i/>
          <w:sz w:val="18"/>
        </w:rPr>
        <w:t>Quality</w:t>
      </w:r>
      <w:r>
        <w:rPr>
          <w:rFonts w:ascii="TT Norms Pro Light" w:hAnsi="TT Norms Pro Light"/>
          <w:b w:val="0"/>
          <w:i/>
          <w:spacing w:val="-9"/>
          <w:sz w:val="18"/>
        </w:rPr>
        <w:t> </w:t>
      </w:r>
      <w:r>
        <w:rPr>
          <w:rFonts w:ascii="TT Norms Pro Light" w:hAnsi="TT Norms Pro Light"/>
          <w:b w:val="0"/>
          <w:i/>
          <w:sz w:val="18"/>
        </w:rPr>
        <w:t>and</w:t>
      </w:r>
      <w:r>
        <w:rPr>
          <w:rFonts w:ascii="TT Norms Pro Light" w:hAnsi="TT Norms Pro Light"/>
          <w:b w:val="0"/>
          <w:i/>
          <w:spacing w:val="-9"/>
          <w:sz w:val="18"/>
        </w:rPr>
        <w:t> </w:t>
      </w:r>
      <w:r>
        <w:rPr>
          <w:rFonts w:ascii="TT Norms Pro Light" w:hAnsi="TT Norms Pro Light"/>
          <w:b w:val="0"/>
          <w:i/>
          <w:sz w:val="18"/>
        </w:rPr>
        <w:t>Standards</w:t>
      </w:r>
      <w:r>
        <w:rPr>
          <w:rFonts w:ascii="TT Norms Pro Light" w:hAnsi="TT Norms Pro Light"/>
          <w:b w:val="0"/>
          <w:i/>
          <w:spacing w:val="-9"/>
          <w:sz w:val="18"/>
        </w:rPr>
        <w:t> </w:t>
      </w:r>
      <w:r>
        <w:rPr>
          <w:rFonts w:ascii="TT Norms Pro Light" w:hAnsi="TT Norms Pro Light"/>
          <w:b w:val="0"/>
          <w:i/>
          <w:sz w:val="18"/>
        </w:rPr>
        <w:t>Agency</w:t>
      </w:r>
      <w:r>
        <w:rPr>
          <w:rFonts w:ascii="TT Norms Pro Light" w:hAnsi="TT Norms Pro Light"/>
          <w:b w:val="0"/>
          <w:i/>
          <w:spacing w:val="40"/>
          <w:sz w:val="18"/>
        </w:rPr>
        <w:t> </w:t>
      </w:r>
      <w:r>
        <w:rPr>
          <w:rFonts w:ascii="TT Norms Pro Light" w:hAnsi="TT Norms Pro Light"/>
          <w:b w:val="0"/>
          <w:i/>
          <w:sz w:val="18"/>
        </w:rPr>
        <w:t>Act</w:t>
      </w:r>
      <w:r>
        <w:rPr>
          <w:rFonts w:ascii="TT Norms Pro Light" w:hAnsi="TT Norms Pro Light"/>
          <w:b w:val="0"/>
          <w:i/>
          <w:spacing w:val="-11"/>
          <w:sz w:val="18"/>
        </w:rPr>
        <w:t> </w:t>
      </w:r>
      <w:r>
        <w:rPr>
          <w:rFonts w:ascii="TT Norms Pro Light" w:hAnsi="TT Norms Pro Light"/>
          <w:b w:val="0"/>
          <w:i/>
          <w:sz w:val="18"/>
        </w:rPr>
        <w:t>2011,</w:t>
      </w:r>
      <w:r>
        <w:rPr>
          <w:rFonts w:ascii="TT Norms Pro Light" w:hAnsi="TT Norms Pro Light"/>
          <w:b w:val="0"/>
          <w:i/>
          <w:spacing w:val="-9"/>
          <w:sz w:val="18"/>
        </w:rPr>
        <w:t> </w:t>
      </w:r>
      <w:r>
        <w:rPr>
          <w:rFonts w:ascii="TT Norms Pro Light" w:hAnsi="TT Norms Pro Light"/>
          <w:b w:val="0"/>
          <w:sz w:val="18"/>
        </w:rPr>
        <w:t>Higher</w:t>
      </w:r>
      <w:r>
        <w:rPr>
          <w:rFonts w:ascii="TT Norms Pro Light" w:hAnsi="TT Norms Pro Light"/>
          <w:b w:val="0"/>
          <w:spacing w:val="-9"/>
          <w:sz w:val="18"/>
        </w:rPr>
        <w:t> </w:t>
      </w:r>
      <w:r>
        <w:rPr>
          <w:rFonts w:ascii="TT Norms Pro Light" w:hAnsi="TT Norms Pro Light"/>
          <w:b w:val="0"/>
          <w:sz w:val="18"/>
        </w:rPr>
        <w:t>Education</w:t>
      </w:r>
      <w:r>
        <w:rPr>
          <w:rFonts w:ascii="TT Norms Pro Light" w:hAnsi="TT Norms Pro Light"/>
          <w:b w:val="0"/>
          <w:spacing w:val="-9"/>
          <w:sz w:val="18"/>
        </w:rPr>
        <w:t> </w:t>
      </w:r>
      <w:r>
        <w:rPr>
          <w:rFonts w:ascii="TT Norms Pro Light" w:hAnsi="TT Norms Pro Light"/>
          <w:b w:val="0"/>
          <w:sz w:val="18"/>
        </w:rPr>
        <w:t>Standards</w:t>
      </w:r>
      <w:r>
        <w:rPr>
          <w:rFonts w:ascii="TT Norms Pro Light" w:hAnsi="TT Norms Pro Light"/>
          <w:b w:val="0"/>
          <w:spacing w:val="-9"/>
          <w:sz w:val="18"/>
        </w:rPr>
        <w:t> </w:t>
      </w:r>
      <w:r>
        <w:rPr>
          <w:rFonts w:ascii="TT Norms Pro Light" w:hAnsi="TT Norms Pro Light"/>
          <w:b w:val="0"/>
          <w:sz w:val="18"/>
        </w:rPr>
        <w:t>Framework</w:t>
      </w:r>
      <w:r>
        <w:rPr>
          <w:rFonts w:ascii="TT Norms Pro Light" w:hAnsi="TT Norms Pro Light"/>
          <w:b w:val="0"/>
          <w:spacing w:val="40"/>
          <w:sz w:val="18"/>
        </w:rPr>
        <w:t> </w:t>
      </w:r>
      <w:r>
        <w:rPr>
          <w:rFonts w:ascii="TT Norms Pro Light" w:hAnsi="TT Norms Pro Light"/>
          <w:b w:val="0"/>
          <w:sz w:val="18"/>
        </w:rPr>
        <w:t>(Threshold Standards) 2015</w:t>
      </w:r>
    </w:p>
    <w:p>
      <w:pPr>
        <w:pStyle w:val="ListParagraph"/>
        <w:numPr>
          <w:ilvl w:val="0"/>
          <w:numId w:val="2"/>
        </w:numPr>
        <w:tabs>
          <w:tab w:pos="385" w:val="left" w:leader="none"/>
        </w:tabs>
        <w:spacing w:line="240" w:lineRule="auto" w:before="76" w:after="0"/>
        <w:ind w:left="385" w:right="0" w:hanging="199"/>
        <w:jc w:val="both"/>
        <w:rPr>
          <w:rFonts w:ascii="TT Norms Pro Light" w:hAnsi="TT Norms Pro Light"/>
          <w:b w:val="0"/>
          <w:i/>
          <w:sz w:val="18"/>
        </w:rPr>
      </w:pPr>
      <w:r>
        <w:rPr>
          <w:rFonts w:ascii="TT Norms Pro Light" w:hAnsi="TT Norms Pro Light"/>
          <w:b w:val="0"/>
          <w:i/>
          <w:sz w:val="18"/>
        </w:rPr>
        <w:t>Education</w:t>
      </w:r>
      <w:r>
        <w:rPr>
          <w:rFonts w:ascii="TT Norms Pro Light" w:hAnsi="TT Norms Pro Light"/>
          <w:b w:val="0"/>
          <w:i/>
          <w:spacing w:val="-2"/>
          <w:sz w:val="18"/>
        </w:rPr>
        <w:t> </w:t>
      </w:r>
      <w:r>
        <w:rPr>
          <w:rFonts w:ascii="TT Norms Pro Light" w:hAnsi="TT Norms Pro Light"/>
          <w:b w:val="0"/>
          <w:i/>
          <w:sz w:val="18"/>
        </w:rPr>
        <w:t>Services</w:t>
      </w:r>
      <w:r>
        <w:rPr>
          <w:rFonts w:ascii="TT Norms Pro Light" w:hAnsi="TT Norms Pro Light"/>
          <w:b w:val="0"/>
          <w:i/>
          <w:spacing w:val="-1"/>
          <w:sz w:val="18"/>
        </w:rPr>
        <w:t> </w:t>
      </w:r>
      <w:r>
        <w:rPr>
          <w:rFonts w:ascii="TT Norms Pro Light" w:hAnsi="TT Norms Pro Light"/>
          <w:b w:val="0"/>
          <w:i/>
          <w:sz w:val="18"/>
        </w:rPr>
        <w:t>for</w:t>
      </w:r>
      <w:r>
        <w:rPr>
          <w:rFonts w:ascii="TT Norms Pro Light" w:hAnsi="TT Norms Pro Light"/>
          <w:b w:val="0"/>
          <w:i/>
          <w:spacing w:val="-5"/>
          <w:sz w:val="18"/>
        </w:rPr>
        <w:t> </w:t>
      </w:r>
      <w:r>
        <w:rPr>
          <w:rFonts w:ascii="TT Norms Pro Light" w:hAnsi="TT Norms Pro Light"/>
          <w:b w:val="0"/>
          <w:i/>
          <w:sz w:val="18"/>
        </w:rPr>
        <w:t>Overseas</w:t>
      </w:r>
      <w:r>
        <w:rPr>
          <w:rFonts w:ascii="TT Norms Pro Light" w:hAnsi="TT Norms Pro Light"/>
          <w:b w:val="0"/>
          <w:i/>
          <w:spacing w:val="-1"/>
          <w:sz w:val="18"/>
        </w:rPr>
        <w:t> </w:t>
      </w:r>
      <w:r>
        <w:rPr>
          <w:rFonts w:ascii="TT Norms Pro Light" w:hAnsi="TT Norms Pro Light"/>
          <w:b w:val="0"/>
          <w:i/>
          <w:sz w:val="18"/>
        </w:rPr>
        <w:t>Students</w:t>
      </w:r>
      <w:r>
        <w:rPr>
          <w:rFonts w:ascii="TT Norms Pro Light" w:hAnsi="TT Norms Pro Light"/>
          <w:b w:val="0"/>
          <w:i/>
          <w:spacing w:val="-7"/>
          <w:sz w:val="18"/>
        </w:rPr>
        <w:t> </w:t>
      </w:r>
      <w:r>
        <w:rPr>
          <w:rFonts w:ascii="TT Norms Pro Light" w:hAnsi="TT Norms Pro Light"/>
          <w:b w:val="0"/>
          <w:i/>
          <w:sz w:val="18"/>
        </w:rPr>
        <w:t>Act</w:t>
      </w:r>
      <w:r>
        <w:rPr>
          <w:rFonts w:ascii="TT Norms Pro Light" w:hAnsi="TT Norms Pro Light"/>
          <w:b w:val="0"/>
          <w:i/>
          <w:spacing w:val="-1"/>
          <w:sz w:val="18"/>
        </w:rPr>
        <w:t> </w:t>
      </w:r>
      <w:r>
        <w:rPr>
          <w:rFonts w:ascii="TT Norms Pro Light" w:hAnsi="TT Norms Pro Light"/>
          <w:b w:val="0"/>
          <w:i/>
          <w:spacing w:val="-2"/>
          <w:sz w:val="18"/>
        </w:rPr>
        <w:t>2000.</w:t>
      </w:r>
    </w:p>
    <w:p>
      <w:pPr>
        <w:pStyle w:val="BodyText"/>
        <w:spacing w:before="66"/>
        <w:rPr>
          <w:b w:val="0"/>
          <w:i/>
        </w:rPr>
      </w:pPr>
    </w:p>
    <w:p>
      <w:pPr>
        <w:pStyle w:val="BodyText"/>
        <w:spacing w:line="295" w:lineRule="auto"/>
        <w:ind w:left="186" w:right="67"/>
        <w:rPr>
          <w:b w:val="0"/>
        </w:rPr>
      </w:pPr>
      <w:r>
        <w:rPr>
          <w:b w:val="0"/>
        </w:rPr>
        <w:t>The University is responsible to the State Minister for</w:t>
      </w:r>
      <w:r>
        <w:rPr>
          <w:b w:val="0"/>
          <w:spacing w:val="40"/>
        </w:rPr>
        <w:t> </w:t>
      </w:r>
      <w:r>
        <w:rPr>
          <w:b w:val="0"/>
        </w:rPr>
        <w:t>Education for the proper conduct of its business, under</w:t>
      </w:r>
      <w:r>
        <w:rPr>
          <w:b w:val="0"/>
          <w:spacing w:val="40"/>
        </w:rPr>
        <w:t> </w:t>
      </w:r>
      <w:r>
        <w:rPr>
          <w:b w:val="0"/>
        </w:rPr>
        <w:t>the State legislation. However, the majority of its funding</w:t>
      </w:r>
      <w:r>
        <w:rPr>
          <w:b w:val="0"/>
          <w:spacing w:val="80"/>
        </w:rPr>
        <w:t> </w:t>
      </w:r>
      <w:r>
        <w:rPr>
          <w:b w:val="0"/>
        </w:rPr>
        <w:t>is invested by the Commonwealth and it is therefore</w:t>
      </w:r>
      <w:r>
        <w:rPr>
          <w:b w:val="0"/>
          <w:spacing w:val="40"/>
        </w:rPr>
        <w:t> </w:t>
      </w:r>
      <w:r>
        <w:rPr>
          <w:b w:val="0"/>
        </w:rPr>
        <w:t>responsible to the Commonwealth Minister for Education</w:t>
      </w:r>
      <w:r>
        <w:rPr>
          <w:b w:val="0"/>
          <w:spacing w:val="40"/>
        </w:rPr>
        <w:t> </w:t>
      </w:r>
      <w:r>
        <w:rPr>
          <w:b w:val="0"/>
        </w:rPr>
        <w:t>for the delivery of its teaching and research programs, and</w:t>
      </w:r>
      <w:r>
        <w:rPr>
          <w:b w:val="0"/>
          <w:spacing w:val="40"/>
        </w:rPr>
        <w:t> </w:t>
      </w:r>
      <w:r>
        <w:rPr>
          <w:b w:val="0"/>
        </w:rPr>
        <w:t>for the provision of adequate infrastructure to support</w:t>
      </w:r>
      <w:r>
        <w:rPr>
          <w:b w:val="0"/>
          <w:spacing w:val="40"/>
        </w:rPr>
        <w:t> </w:t>
      </w:r>
      <w:r>
        <w:rPr>
          <w:b w:val="0"/>
        </w:rPr>
        <w:t>those</w:t>
      </w:r>
      <w:r>
        <w:rPr>
          <w:b w:val="0"/>
          <w:spacing w:val="-5"/>
        </w:rPr>
        <w:t> </w:t>
      </w:r>
      <w:r>
        <w:rPr>
          <w:b w:val="0"/>
        </w:rPr>
        <w:t>programs.</w:t>
      </w:r>
    </w:p>
    <w:p>
      <w:pPr>
        <w:pStyle w:val="BodyText"/>
        <w:spacing w:before="51"/>
        <w:rPr>
          <w:b w:val="0"/>
        </w:rPr>
      </w:pPr>
    </w:p>
    <w:p>
      <w:pPr>
        <w:pStyle w:val="BodyText"/>
        <w:spacing w:before="1"/>
        <w:ind w:left="186"/>
        <w:rPr>
          <w:b w:val="0"/>
        </w:rPr>
      </w:pPr>
      <w:r>
        <w:rPr>
          <w:b w:val="0"/>
        </w:rPr>
        <w:t>Senate’s</w:t>
      </w:r>
      <w:r>
        <w:rPr>
          <w:b w:val="0"/>
          <w:spacing w:val="-1"/>
        </w:rPr>
        <w:t> </w:t>
      </w:r>
      <w:r>
        <w:rPr>
          <w:b w:val="0"/>
        </w:rPr>
        <w:t>key</w:t>
      </w:r>
      <w:r>
        <w:rPr>
          <w:b w:val="0"/>
          <w:spacing w:val="-1"/>
        </w:rPr>
        <w:t> </w:t>
      </w:r>
      <w:r>
        <w:rPr>
          <w:b w:val="0"/>
        </w:rPr>
        <w:t>activities</w:t>
      </w:r>
      <w:r>
        <w:rPr>
          <w:b w:val="0"/>
          <w:spacing w:val="-1"/>
        </w:rPr>
        <w:t> </w:t>
      </w:r>
      <w:r>
        <w:rPr>
          <w:b w:val="0"/>
          <w:spacing w:val="-4"/>
        </w:rPr>
        <w:t>are:</w:t>
      </w:r>
    </w:p>
    <w:p>
      <w:pPr>
        <w:pStyle w:val="ListParagraph"/>
        <w:numPr>
          <w:ilvl w:val="0"/>
          <w:numId w:val="2"/>
        </w:numPr>
        <w:tabs>
          <w:tab w:pos="412" w:val="left" w:leader="none"/>
        </w:tabs>
        <w:spacing w:line="240" w:lineRule="auto" w:before="162" w:after="0"/>
        <w:ind w:left="412" w:right="0" w:hanging="226"/>
        <w:jc w:val="left"/>
        <w:rPr>
          <w:rFonts w:ascii="TT Norms Pro Light" w:hAnsi="TT Norms Pro Light"/>
          <w:b w:val="0"/>
          <w:sz w:val="18"/>
        </w:rPr>
      </w:pPr>
      <w:r>
        <w:rPr>
          <w:rFonts w:ascii="TT Norms Pro Light" w:hAnsi="TT Norms Pro Light"/>
          <w:b w:val="0"/>
          <w:sz w:val="18"/>
        </w:rPr>
        <w:t>setting</w:t>
      </w:r>
      <w:r>
        <w:rPr>
          <w:rFonts w:ascii="TT Norms Pro Light" w:hAnsi="TT Norms Pro Light"/>
          <w:b w:val="0"/>
          <w:spacing w:val="-2"/>
          <w:sz w:val="18"/>
        </w:rPr>
        <w:t> </w:t>
      </w:r>
      <w:r>
        <w:rPr>
          <w:rFonts w:ascii="TT Norms Pro Light" w:hAnsi="TT Norms Pro Light"/>
          <w:b w:val="0"/>
          <w:sz w:val="18"/>
        </w:rPr>
        <w:t>strategic</w:t>
      </w:r>
      <w:r>
        <w:rPr>
          <w:rFonts w:ascii="TT Norms Pro Light" w:hAnsi="TT Norms Pro Light"/>
          <w:b w:val="0"/>
          <w:spacing w:val="-2"/>
          <w:sz w:val="18"/>
        </w:rPr>
        <w:t> directions</w:t>
      </w:r>
    </w:p>
    <w:p>
      <w:pPr>
        <w:pStyle w:val="ListParagraph"/>
        <w:numPr>
          <w:ilvl w:val="0"/>
          <w:numId w:val="2"/>
        </w:numPr>
        <w:tabs>
          <w:tab w:pos="413" w:val="left" w:leader="none"/>
        </w:tabs>
        <w:spacing w:line="273" w:lineRule="auto" w:before="86" w:after="0"/>
        <w:ind w:left="413" w:right="38" w:hanging="227"/>
        <w:jc w:val="left"/>
        <w:rPr>
          <w:rFonts w:ascii="TT Norms Pro Light" w:hAnsi="TT Norms Pro Light"/>
          <w:b w:val="0"/>
          <w:sz w:val="18"/>
        </w:rPr>
      </w:pPr>
      <w:r>
        <w:rPr>
          <w:rFonts w:ascii="TT Norms Pro Light" w:hAnsi="TT Norms Pro Light"/>
          <w:b w:val="0"/>
          <w:sz w:val="18"/>
        </w:rPr>
        <w:t>the</w:t>
      </w:r>
      <w:r>
        <w:rPr>
          <w:rFonts w:ascii="TT Norms Pro Light" w:hAnsi="TT Norms Pro Light"/>
          <w:b w:val="0"/>
          <w:spacing w:val="-8"/>
          <w:sz w:val="18"/>
        </w:rPr>
        <w:t> </w:t>
      </w:r>
      <w:r>
        <w:rPr>
          <w:rFonts w:ascii="TT Norms Pro Light" w:hAnsi="TT Norms Pro Light"/>
          <w:b w:val="0"/>
          <w:sz w:val="18"/>
        </w:rPr>
        <w:t>oversight,</w:t>
      </w:r>
      <w:r>
        <w:rPr>
          <w:rFonts w:ascii="TT Norms Pro Light" w:hAnsi="TT Norms Pro Light"/>
          <w:b w:val="0"/>
          <w:spacing w:val="-7"/>
          <w:sz w:val="18"/>
        </w:rPr>
        <w:t> </w:t>
      </w:r>
      <w:r>
        <w:rPr>
          <w:rFonts w:ascii="TT Norms Pro Light" w:hAnsi="TT Norms Pro Light"/>
          <w:b w:val="0"/>
          <w:sz w:val="18"/>
        </w:rPr>
        <w:t>audit</w:t>
      </w:r>
      <w:r>
        <w:rPr>
          <w:rFonts w:ascii="TT Norms Pro Light" w:hAnsi="TT Norms Pro Light"/>
          <w:b w:val="0"/>
          <w:spacing w:val="-7"/>
          <w:sz w:val="18"/>
        </w:rPr>
        <w:t> </w:t>
      </w:r>
      <w:r>
        <w:rPr>
          <w:rFonts w:ascii="TT Norms Pro Light" w:hAnsi="TT Norms Pro Light"/>
          <w:b w:val="0"/>
          <w:sz w:val="18"/>
        </w:rPr>
        <w:t>and</w:t>
      </w:r>
      <w:r>
        <w:rPr>
          <w:rFonts w:ascii="TT Norms Pro Light" w:hAnsi="TT Norms Pro Light"/>
          <w:b w:val="0"/>
          <w:spacing w:val="-7"/>
          <w:sz w:val="18"/>
        </w:rPr>
        <w:t> </w:t>
      </w:r>
      <w:r>
        <w:rPr>
          <w:rFonts w:ascii="TT Norms Pro Light" w:hAnsi="TT Norms Pro Light"/>
          <w:b w:val="0"/>
          <w:sz w:val="18"/>
        </w:rPr>
        <w:t>review</w:t>
      </w:r>
      <w:r>
        <w:rPr>
          <w:rFonts w:ascii="TT Norms Pro Light" w:hAnsi="TT Norms Pro Light"/>
          <w:b w:val="0"/>
          <w:spacing w:val="-9"/>
          <w:sz w:val="18"/>
        </w:rPr>
        <w:t> </w:t>
      </w:r>
      <w:r>
        <w:rPr>
          <w:rFonts w:ascii="TT Norms Pro Light" w:hAnsi="TT Norms Pro Light"/>
          <w:b w:val="0"/>
          <w:sz w:val="18"/>
        </w:rPr>
        <w:t>of</w:t>
      </w:r>
      <w:r>
        <w:rPr>
          <w:rFonts w:ascii="TT Norms Pro Light" w:hAnsi="TT Norms Pro Light"/>
          <w:b w:val="0"/>
          <w:spacing w:val="-7"/>
          <w:sz w:val="18"/>
        </w:rPr>
        <w:t> </w:t>
      </w:r>
      <w:r>
        <w:rPr>
          <w:rFonts w:ascii="TT Norms Pro Light" w:hAnsi="TT Norms Pro Light"/>
          <w:b w:val="0"/>
          <w:sz w:val="18"/>
        </w:rPr>
        <w:t>governance</w:t>
      </w:r>
      <w:r>
        <w:rPr>
          <w:rFonts w:ascii="TT Norms Pro Light" w:hAnsi="TT Norms Pro Light"/>
          <w:b w:val="0"/>
          <w:spacing w:val="-7"/>
          <w:sz w:val="18"/>
        </w:rPr>
        <w:t> </w:t>
      </w:r>
      <w:r>
        <w:rPr>
          <w:rFonts w:ascii="TT Norms Pro Light" w:hAnsi="TT Norms Pro Light"/>
          <w:b w:val="0"/>
          <w:sz w:val="18"/>
        </w:rPr>
        <w:t>processes</w:t>
      </w:r>
      <w:r>
        <w:rPr>
          <w:rFonts w:ascii="TT Norms Pro Light" w:hAnsi="TT Norms Pro Light"/>
          <w:b w:val="0"/>
          <w:spacing w:val="40"/>
          <w:sz w:val="18"/>
        </w:rPr>
        <w:t> </w:t>
      </w:r>
      <w:r>
        <w:rPr>
          <w:rFonts w:ascii="TT Norms Pro Light" w:hAnsi="TT Norms Pro Light"/>
          <w:b w:val="0"/>
          <w:sz w:val="18"/>
        </w:rPr>
        <w:t>to ensure proper systems of control, accountability and</w:t>
      </w:r>
      <w:r>
        <w:rPr>
          <w:rFonts w:ascii="TT Norms Pro Light" w:hAnsi="TT Norms Pro Light"/>
          <w:b w:val="0"/>
          <w:spacing w:val="40"/>
          <w:sz w:val="18"/>
        </w:rPr>
        <w:t> </w:t>
      </w:r>
      <w:r>
        <w:rPr>
          <w:rFonts w:ascii="TT Norms Pro Light" w:hAnsi="TT Norms Pro Light"/>
          <w:b w:val="0"/>
          <w:sz w:val="18"/>
        </w:rPr>
        <w:t>risk</w:t>
      </w:r>
      <w:r>
        <w:rPr>
          <w:rFonts w:ascii="TT Norms Pro Light" w:hAnsi="TT Norms Pro Light"/>
          <w:b w:val="0"/>
          <w:spacing w:val="-9"/>
          <w:sz w:val="18"/>
        </w:rPr>
        <w:t> </w:t>
      </w:r>
      <w:r>
        <w:rPr>
          <w:rFonts w:ascii="TT Norms Pro Light" w:hAnsi="TT Norms Pro Light"/>
          <w:b w:val="0"/>
          <w:sz w:val="18"/>
        </w:rPr>
        <w:t>management</w:t>
      </w:r>
    </w:p>
    <w:p>
      <w:pPr>
        <w:pStyle w:val="ListParagraph"/>
        <w:numPr>
          <w:ilvl w:val="0"/>
          <w:numId w:val="2"/>
        </w:numPr>
        <w:tabs>
          <w:tab w:pos="413" w:val="left" w:leader="none"/>
        </w:tabs>
        <w:spacing w:line="273" w:lineRule="auto" w:before="57" w:after="0"/>
        <w:ind w:left="413" w:right="104" w:hanging="227"/>
        <w:jc w:val="left"/>
        <w:rPr>
          <w:rFonts w:ascii="TT Norms Pro Light" w:hAnsi="TT Norms Pro Light"/>
          <w:b w:val="0"/>
          <w:sz w:val="18"/>
        </w:rPr>
      </w:pPr>
      <w:r>
        <w:rPr>
          <w:rFonts w:ascii="TT Norms Pro Light" w:hAnsi="TT Norms Pro Light"/>
          <w:b w:val="0"/>
          <w:sz w:val="18"/>
        </w:rPr>
        <w:t>the</w:t>
      </w:r>
      <w:r>
        <w:rPr>
          <w:rFonts w:ascii="TT Norms Pro Light" w:hAnsi="TT Norms Pro Light"/>
          <w:b w:val="0"/>
          <w:spacing w:val="-7"/>
          <w:sz w:val="18"/>
        </w:rPr>
        <w:t> </w:t>
      </w:r>
      <w:r>
        <w:rPr>
          <w:rFonts w:ascii="TT Norms Pro Light" w:hAnsi="TT Norms Pro Light"/>
          <w:b w:val="0"/>
          <w:sz w:val="18"/>
        </w:rPr>
        <w:t>assessment</w:t>
      </w:r>
      <w:r>
        <w:rPr>
          <w:rFonts w:ascii="TT Norms Pro Light" w:hAnsi="TT Norms Pro Light"/>
          <w:b w:val="0"/>
          <w:spacing w:val="-7"/>
          <w:sz w:val="18"/>
        </w:rPr>
        <w:t> </w:t>
      </w:r>
      <w:r>
        <w:rPr>
          <w:rFonts w:ascii="TT Norms Pro Light" w:hAnsi="TT Norms Pro Light"/>
          <w:b w:val="0"/>
          <w:sz w:val="18"/>
        </w:rPr>
        <w:t>and</w:t>
      </w:r>
      <w:r>
        <w:rPr>
          <w:rFonts w:ascii="TT Norms Pro Light" w:hAnsi="TT Norms Pro Light"/>
          <w:b w:val="0"/>
          <w:spacing w:val="-7"/>
          <w:sz w:val="18"/>
        </w:rPr>
        <w:t> </w:t>
      </w:r>
      <w:r>
        <w:rPr>
          <w:rFonts w:ascii="TT Norms Pro Light" w:hAnsi="TT Norms Pro Light"/>
          <w:b w:val="0"/>
          <w:sz w:val="18"/>
        </w:rPr>
        <w:t>monitoring</w:t>
      </w:r>
      <w:r>
        <w:rPr>
          <w:rFonts w:ascii="TT Norms Pro Light" w:hAnsi="TT Norms Pro Light"/>
          <w:b w:val="0"/>
          <w:spacing w:val="-7"/>
          <w:sz w:val="18"/>
        </w:rPr>
        <w:t> </w:t>
      </w:r>
      <w:r>
        <w:rPr>
          <w:rFonts w:ascii="TT Norms Pro Light" w:hAnsi="TT Norms Pro Light"/>
          <w:b w:val="0"/>
          <w:sz w:val="18"/>
        </w:rPr>
        <w:t>of</w:t>
      </w:r>
      <w:r>
        <w:rPr>
          <w:rFonts w:ascii="TT Norms Pro Light" w:hAnsi="TT Norms Pro Light"/>
          <w:b w:val="0"/>
          <w:spacing w:val="-7"/>
          <w:sz w:val="18"/>
        </w:rPr>
        <w:t> </w:t>
      </w:r>
      <w:r>
        <w:rPr>
          <w:rFonts w:ascii="TT Norms Pro Light" w:hAnsi="TT Norms Pro Light"/>
          <w:b w:val="0"/>
          <w:sz w:val="18"/>
        </w:rPr>
        <w:t>performance</w:t>
      </w:r>
      <w:r>
        <w:rPr>
          <w:rFonts w:ascii="TT Norms Pro Light" w:hAnsi="TT Norms Pro Light"/>
          <w:b w:val="0"/>
          <w:spacing w:val="-7"/>
          <w:sz w:val="18"/>
        </w:rPr>
        <w:t> </w:t>
      </w:r>
      <w:r>
        <w:rPr>
          <w:rFonts w:ascii="TT Norms Pro Light" w:hAnsi="TT Norms Pro Light"/>
          <w:b w:val="0"/>
          <w:sz w:val="18"/>
        </w:rPr>
        <w:t>against</w:t>
      </w:r>
      <w:r>
        <w:rPr>
          <w:rFonts w:ascii="TT Norms Pro Light" w:hAnsi="TT Norms Pro Light"/>
          <w:b w:val="0"/>
          <w:spacing w:val="40"/>
          <w:sz w:val="18"/>
        </w:rPr>
        <w:t> </w:t>
      </w:r>
      <w:r>
        <w:rPr>
          <w:rFonts w:ascii="TT Norms Pro Light" w:hAnsi="TT Norms Pro Light"/>
          <w:b w:val="0"/>
          <w:sz w:val="18"/>
        </w:rPr>
        <w:t>agreed targets and benchmarks, including financial</w:t>
      </w:r>
      <w:r>
        <w:rPr>
          <w:rFonts w:ascii="TT Norms Pro Light" w:hAnsi="TT Norms Pro Light"/>
          <w:b w:val="0"/>
          <w:spacing w:val="40"/>
          <w:sz w:val="18"/>
        </w:rPr>
        <w:t> </w:t>
      </w:r>
      <w:r>
        <w:rPr>
          <w:rFonts w:ascii="TT Norms Pro Light" w:hAnsi="TT Norms Pro Light"/>
          <w:b w:val="0"/>
          <w:spacing w:val="-2"/>
          <w:sz w:val="18"/>
        </w:rPr>
        <w:t>performance</w:t>
      </w:r>
    </w:p>
    <w:p>
      <w:pPr>
        <w:pStyle w:val="ListParagraph"/>
        <w:numPr>
          <w:ilvl w:val="0"/>
          <w:numId w:val="2"/>
        </w:numPr>
        <w:tabs>
          <w:tab w:pos="412" w:val="left" w:leader="none"/>
        </w:tabs>
        <w:spacing w:line="240" w:lineRule="auto" w:before="76" w:after="0"/>
        <w:ind w:left="412" w:right="0" w:hanging="226"/>
        <w:jc w:val="left"/>
        <w:rPr>
          <w:rFonts w:ascii="TT Norms Pro Light" w:hAnsi="TT Norms Pro Light"/>
          <w:b w:val="0"/>
          <w:sz w:val="18"/>
        </w:rPr>
      </w:pPr>
      <w:r>
        <w:rPr>
          <w:rFonts w:ascii="TT Norms Pro Light" w:hAnsi="TT Norms Pro Light"/>
          <w:b w:val="0"/>
          <w:sz w:val="18"/>
        </w:rPr>
        <w:t>making</w:t>
      </w:r>
      <w:r>
        <w:rPr>
          <w:rFonts w:ascii="TT Norms Pro Light" w:hAnsi="TT Norms Pro Light"/>
          <w:b w:val="0"/>
          <w:spacing w:val="-1"/>
          <w:sz w:val="18"/>
        </w:rPr>
        <w:t> </w:t>
      </w:r>
      <w:r>
        <w:rPr>
          <w:rFonts w:ascii="TT Norms Pro Light" w:hAnsi="TT Norms Pro Light"/>
          <w:b w:val="0"/>
          <w:sz w:val="18"/>
        </w:rPr>
        <w:t>and amending</w:t>
      </w:r>
      <w:r>
        <w:rPr>
          <w:rFonts w:ascii="TT Norms Pro Light" w:hAnsi="TT Norms Pro Light"/>
          <w:b w:val="0"/>
          <w:spacing w:val="-1"/>
          <w:sz w:val="18"/>
        </w:rPr>
        <w:t> </w:t>
      </w:r>
      <w:r>
        <w:rPr>
          <w:rFonts w:ascii="TT Norms Pro Light" w:hAnsi="TT Norms Pro Light"/>
          <w:b w:val="0"/>
          <w:sz w:val="18"/>
        </w:rPr>
        <w:t>of University</w:t>
      </w:r>
      <w:r>
        <w:rPr>
          <w:rFonts w:ascii="TT Norms Pro Light" w:hAnsi="TT Norms Pro Light"/>
          <w:b w:val="0"/>
          <w:spacing w:val="-4"/>
          <w:sz w:val="18"/>
        </w:rPr>
        <w:t> </w:t>
      </w:r>
      <w:r>
        <w:rPr>
          <w:rFonts w:ascii="TT Norms Pro Light" w:hAnsi="TT Norms Pro Light"/>
          <w:b w:val="0"/>
          <w:spacing w:val="-2"/>
          <w:sz w:val="18"/>
        </w:rPr>
        <w:t>legislation.</w:t>
      </w:r>
    </w:p>
    <w:p>
      <w:pPr>
        <w:pStyle w:val="BodyText"/>
        <w:spacing w:before="130"/>
        <w:ind w:left="186" w:hanging="1"/>
        <w:rPr>
          <w:b w:val="0"/>
        </w:rPr>
      </w:pPr>
      <w:r>
        <w:rPr/>
        <w:br w:type="column"/>
      </w:r>
      <w:r>
        <w:rPr>
          <w:b w:val="0"/>
        </w:rPr>
        <w:t>Standing</w:t>
      </w:r>
      <w:r>
        <w:rPr>
          <w:b w:val="0"/>
          <w:spacing w:val="1"/>
        </w:rPr>
        <w:t> </w:t>
      </w:r>
      <w:r>
        <w:rPr>
          <w:b w:val="0"/>
        </w:rPr>
        <w:t>Committees</w:t>
      </w:r>
      <w:r>
        <w:rPr>
          <w:b w:val="0"/>
          <w:spacing w:val="1"/>
        </w:rPr>
        <w:t> </w:t>
      </w:r>
      <w:r>
        <w:rPr>
          <w:b w:val="0"/>
        </w:rPr>
        <w:t>of</w:t>
      </w:r>
      <w:r>
        <w:rPr>
          <w:b w:val="0"/>
          <w:spacing w:val="2"/>
        </w:rPr>
        <w:t> </w:t>
      </w:r>
      <w:r>
        <w:rPr>
          <w:b w:val="0"/>
        </w:rPr>
        <w:t>the</w:t>
      </w:r>
      <w:r>
        <w:rPr>
          <w:b w:val="0"/>
          <w:spacing w:val="1"/>
        </w:rPr>
        <w:t> </w:t>
      </w:r>
      <w:r>
        <w:rPr>
          <w:b w:val="0"/>
        </w:rPr>
        <w:t>Senate</w:t>
      </w:r>
      <w:r>
        <w:rPr>
          <w:b w:val="0"/>
          <w:spacing w:val="2"/>
        </w:rPr>
        <w:t> </w:t>
      </w:r>
      <w:r>
        <w:rPr>
          <w:b w:val="0"/>
        </w:rPr>
        <w:t>are</w:t>
      </w:r>
      <w:r>
        <w:rPr>
          <w:b w:val="0"/>
          <w:spacing w:val="1"/>
        </w:rPr>
        <w:t> </w:t>
      </w:r>
      <w:r>
        <w:rPr>
          <w:b w:val="0"/>
        </w:rPr>
        <w:t>as</w:t>
      </w:r>
      <w:r>
        <w:rPr>
          <w:b w:val="0"/>
          <w:spacing w:val="2"/>
        </w:rPr>
        <w:t> </w:t>
      </w:r>
      <w:r>
        <w:rPr>
          <w:b w:val="0"/>
          <w:spacing w:val="-2"/>
        </w:rPr>
        <w:t>follows:</w:t>
      </w:r>
    </w:p>
    <w:p>
      <w:pPr>
        <w:pStyle w:val="BodyText"/>
        <w:spacing w:line="295" w:lineRule="auto" w:before="165"/>
        <w:ind w:left="186" w:right="1162"/>
        <w:rPr>
          <w:b w:val="0"/>
        </w:rPr>
      </w:pPr>
      <w:r>
        <w:rPr>
          <w:rFonts w:ascii="TT Norms Pro Medium" w:hAnsi="TT Norms Pro Medium"/>
          <w:b/>
        </w:rPr>
        <w:t>Audit</w:t>
      </w:r>
      <w:r>
        <w:rPr>
          <w:rFonts w:ascii="TT Norms Pro Medium" w:hAnsi="TT Norms Pro Medium"/>
          <w:b/>
          <w:spacing w:val="-7"/>
        </w:rPr>
        <w:t> </w:t>
      </w:r>
      <w:r>
        <w:rPr>
          <w:rFonts w:ascii="TT Norms Pro Medium" w:hAnsi="TT Norms Pro Medium"/>
          <w:b/>
        </w:rPr>
        <w:t>and</w:t>
      </w:r>
      <w:r>
        <w:rPr>
          <w:rFonts w:ascii="TT Norms Pro Medium" w:hAnsi="TT Norms Pro Medium"/>
          <w:b/>
          <w:spacing w:val="-7"/>
        </w:rPr>
        <w:t> </w:t>
      </w:r>
      <w:r>
        <w:rPr>
          <w:rFonts w:ascii="TT Norms Pro Medium" w:hAnsi="TT Norms Pro Medium"/>
          <w:b/>
        </w:rPr>
        <w:t>Risk</w:t>
      </w:r>
      <w:r>
        <w:rPr>
          <w:rFonts w:ascii="TT Norms Pro Medium" w:hAnsi="TT Norms Pro Medium"/>
          <w:b/>
          <w:spacing w:val="-7"/>
        </w:rPr>
        <w:t> </w:t>
      </w:r>
      <w:r>
        <w:rPr>
          <w:rFonts w:ascii="TT Norms Pro Medium" w:hAnsi="TT Norms Pro Medium"/>
          <w:b/>
        </w:rPr>
        <w:t>Committee</w:t>
      </w:r>
      <w:r>
        <w:rPr>
          <w:rFonts w:ascii="TT Norms Pro Medium" w:hAnsi="TT Norms Pro Medium"/>
          <w:b/>
          <w:spacing w:val="-8"/>
        </w:rPr>
        <w:t> </w:t>
      </w:r>
      <w:r>
        <w:rPr>
          <w:b w:val="0"/>
        </w:rPr>
        <w:t>reviews</w:t>
      </w:r>
      <w:r>
        <w:rPr>
          <w:b w:val="0"/>
          <w:spacing w:val="-2"/>
        </w:rPr>
        <w:t> </w:t>
      </w:r>
      <w:r>
        <w:rPr>
          <w:b w:val="0"/>
        </w:rPr>
        <w:t>the</w:t>
      </w:r>
      <w:r>
        <w:rPr>
          <w:b w:val="0"/>
          <w:spacing w:val="-2"/>
        </w:rPr>
        <w:t> </w:t>
      </w:r>
      <w:r>
        <w:rPr>
          <w:b w:val="0"/>
        </w:rPr>
        <w:t>University’s</w:t>
      </w:r>
      <w:r>
        <w:rPr>
          <w:b w:val="0"/>
          <w:spacing w:val="40"/>
        </w:rPr>
        <w:t> </w:t>
      </w:r>
      <w:r>
        <w:rPr>
          <w:b w:val="0"/>
        </w:rPr>
        <w:t>financial</w:t>
      </w:r>
      <w:r>
        <w:rPr>
          <w:b w:val="0"/>
          <w:spacing w:val="-1"/>
        </w:rPr>
        <w:t> </w:t>
      </w:r>
      <w:r>
        <w:rPr>
          <w:b w:val="0"/>
        </w:rPr>
        <w:t>reporting, the effectiveness</w:t>
      </w:r>
      <w:r>
        <w:rPr>
          <w:b w:val="0"/>
          <w:spacing w:val="-1"/>
        </w:rPr>
        <w:t> </w:t>
      </w:r>
      <w:r>
        <w:rPr>
          <w:b w:val="0"/>
        </w:rPr>
        <w:t>of systems</w:t>
      </w:r>
      <w:r>
        <w:rPr>
          <w:b w:val="0"/>
          <w:spacing w:val="-1"/>
        </w:rPr>
        <w:t> </w:t>
      </w:r>
      <w:r>
        <w:rPr>
          <w:b w:val="0"/>
        </w:rPr>
        <w:t>of internal</w:t>
      </w:r>
      <w:r>
        <w:rPr>
          <w:b w:val="0"/>
          <w:spacing w:val="40"/>
        </w:rPr>
        <w:t> </w:t>
      </w:r>
      <w:r>
        <w:rPr>
          <w:b w:val="0"/>
        </w:rPr>
        <w:t>control and the risk management framework, reviews and</w:t>
      </w:r>
      <w:r>
        <w:rPr>
          <w:b w:val="0"/>
          <w:spacing w:val="40"/>
        </w:rPr>
        <w:t> </w:t>
      </w:r>
      <w:r>
        <w:rPr>
          <w:b w:val="0"/>
        </w:rPr>
        <w:t>assesses the University’s compliance with relevant</w:t>
      </w:r>
      <w:r>
        <w:rPr>
          <w:b w:val="0"/>
          <w:spacing w:val="40"/>
        </w:rPr>
        <w:t> </w:t>
      </w:r>
      <w:r>
        <w:rPr>
          <w:b w:val="0"/>
        </w:rPr>
        <w:t>regulatory and legal requirements and the fulfilment of its</w:t>
      </w:r>
      <w:r>
        <w:rPr>
          <w:b w:val="0"/>
          <w:spacing w:val="40"/>
        </w:rPr>
        <w:t> </w:t>
      </w:r>
      <w:r>
        <w:rPr>
          <w:b w:val="0"/>
        </w:rPr>
        <w:t>contractual</w:t>
      </w:r>
      <w:r>
        <w:rPr>
          <w:b w:val="0"/>
          <w:spacing w:val="-5"/>
        </w:rPr>
        <w:t> </w:t>
      </w:r>
      <w:r>
        <w:rPr>
          <w:b w:val="0"/>
        </w:rPr>
        <w:t>obligations.</w:t>
      </w:r>
    </w:p>
    <w:p>
      <w:pPr>
        <w:pStyle w:val="BodyText"/>
        <w:spacing w:before="50"/>
        <w:rPr>
          <w:b w:val="0"/>
        </w:rPr>
      </w:pPr>
    </w:p>
    <w:p>
      <w:pPr>
        <w:pStyle w:val="BodyText"/>
        <w:spacing w:line="295" w:lineRule="auto" w:before="1"/>
        <w:ind w:left="186" w:right="1210" w:hanging="1"/>
        <w:rPr>
          <w:b w:val="0"/>
        </w:rPr>
      </w:pPr>
      <w:r>
        <w:rPr>
          <w:rFonts w:ascii="TT Norms Pro Medium" w:hAnsi="TT Norms Pro Medium"/>
          <w:b/>
        </w:rPr>
        <w:t>Chancellor’s</w:t>
      </w:r>
      <w:r>
        <w:rPr>
          <w:rFonts w:ascii="TT Norms Pro Medium" w:hAnsi="TT Norms Pro Medium"/>
          <w:b/>
          <w:spacing w:val="-1"/>
        </w:rPr>
        <w:t> </w:t>
      </w:r>
      <w:r>
        <w:rPr>
          <w:rFonts w:ascii="TT Norms Pro Medium" w:hAnsi="TT Norms Pro Medium"/>
          <w:b/>
        </w:rPr>
        <w:t>Committee</w:t>
      </w:r>
      <w:r>
        <w:rPr>
          <w:rFonts w:ascii="TT Norms Pro Medium" w:hAnsi="TT Norms Pro Medium"/>
          <w:b/>
          <w:spacing w:val="-1"/>
        </w:rPr>
        <w:t> </w:t>
      </w:r>
      <w:r>
        <w:rPr>
          <w:b w:val="0"/>
        </w:rPr>
        <w:t>coordinates planning for the</w:t>
      </w:r>
      <w:r>
        <w:rPr>
          <w:b w:val="0"/>
          <w:spacing w:val="40"/>
        </w:rPr>
        <w:t> </w:t>
      </w:r>
      <w:r>
        <w:rPr>
          <w:b w:val="0"/>
        </w:rPr>
        <w:t>programs of the Senate and its key committees. It advises</w:t>
      </w:r>
      <w:r>
        <w:rPr>
          <w:b w:val="0"/>
          <w:spacing w:val="40"/>
        </w:rPr>
        <w:t> </w:t>
      </w:r>
      <w:r>
        <w:rPr>
          <w:b w:val="0"/>
        </w:rPr>
        <w:t>Senate on matters related to the Vice-Chancellor and the</w:t>
      </w:r>
      <w:r>
        <w:rPr>
          <w:b w:val="0"/>
          <w:spacing w:val="40"/>
        </w:rPr>
        <w:t> </w:t>
      </w:r>
      <w:r>
        <w:rPr>
          <w:b w:val="0"/>
        </w:rPr>
        <w:t>Vice-Chancellor on matters related to the University</w:t>
      </w:r>
      <w:r>
        <w:rPr>
          <w:b w:val="0"/>
          <w:spacing w:val="40"/>
        </w:rPr>
        <w:t> </w:t>
      </w:r>
      <w:r>
        <w:rPr>
          <w:b w:val="0"/>
        </w:rPr>
        <w:t>Executives. It provides advice and recommendations on</w:t>
      </w:r>
      <w:r>
        <w:rPr>
          <w:b w:val="0"/>
          <w:spacing w:val="40"/>
        </w:rPr>
        <w:t> </w:t>
      </w:r>
      <w:r>
        <w:rPr>
          <w:b w:val="0"/>
        </w:rPr>
        <w:t>appointments and co-options to the Senate and its</w:t>
      </w:r>
      <w:r>
        <w:rPr>
          <w:b w:val="0"/>
          <w:spacing w:val="40"/>
        </w:rPr>
        <w:t> </w:t>
      </w:r>
      <w:r>
        <w:rPr>
          <w:b w:val="0"/>
        </w:rPr>
        <w:t>Standing Committees, and reviews the induction and</w:t>
      </w:r>
      <w:r>
        <w:rPr>
          <w:b w:val="0"/>
          <w:spacing w:val="40"/>
        </w:rPr>
        <w:t> </w:t>
      </w:r>
      <w:r>
        <w:rPr>
          <w:b w:val="0"/>
        </w:rPr>
        <w:t>professional</w:t>
      </w:r>
      <w:r>
        <w:rPr>
          <w:b w:val="0"/>
          <w:spacing w:val="2"/>
        </w:rPr>
        <w:t> </w:t>
      </w:r>
      <w:r>
        <w:rPr>
          <w:b w:val="0"/>
        </w:rPr>
        <w:t>development</w:t>
      </w:r>
      <w:r>
        <w:rPr>
          <w:b w:val="0"/>
          <w:spacing w:val="2"/>
        </w:rPr>
        <w:t> </w:t>
      </w:r>
      <w:r>
        <w:rPr>
          <w:b w:val="0"/>
        </w:rPr>
        <w:t>programs</w:t>
      </w:r>
      <w:r>
        <w:rPr>
          <w:b w:val="0"/>
          <w:spacing w:val="2"/>
        </w:rPr>
        <w:t> </w:t>
      </w:r>
      <w:r>
        <w:rPr>
          <w:b w:val="0"/>
        </w:rPr>
        <w:t>of</w:t>
      </w:r>
      <w:r>
        <w:rPr>
          <w:b w:val="0"/>
          <w:spacing w:val="2"/>
        </w:rPr>
        <w:t> </w:t>
      </w:r>
      <w:r>
        <w:rPr>
          <w:b w:val="0"/>
        </w:rPr>
        <w:t>Senate</w:t>
      </w:r>
      <w:r>
        <w:rPr>
          <w:b w:val="0"/>
          <w:spacing w:val="3"/>
        </w:rPr>
        <w:t> </w:t>
      </w:r>
      <w:r>
        <w:rPr>
          <w:b w:val="0"/>
          <w:spacing w:val="-2"/>
        </w:rPr>
        <w:t>members.</w:t>
      </w:r>
    </w:p>
    <w:p>
      <w:pPr>
        <w:pStyle w:val="BodyText"/>
        <w:spacing w:before="52"/>
        <w:rPr>
          <w:b w:val="0"/>
        </w:rPr>
      </w:pPr>
    </w:p>
    <w:p>
      <w:pPr>
        <w:spacing w:line="295" w:lineRule="auto" w:before="0"/>
        <w:ind w:left="186" w:right="1162" w:firstLine="0"/>
        <w:jc w:val="left"/>
        <w:rPr>
          <w:rFonts w:ascii="TT Norms Pro Light" w:hAnsi="TT Norms Pro Light"/>
          <w:b w:val="0"/>
          <w:sz w:val="18"/>
        </w:rPr>
      </w:pPr>
      <w:r>
        <w:rPr>
          <w:rFonts w:ascii="TT Norms Pro Medium" w:hAnsi="TT Norms Pro Medium"/>
          <w:b/>
          <w:spacing w:val="-4"/>
          <w:sz w:val="18"/>
        </w:rPr>
        <w:t>Honorary Degrees Committee </w:t>
      </w:r>
      <w:r>
        <w:rPr>
          <w:rFonts w:ascii="TT Norms Pro Light" w:hAnsi="TT Norms Pro Light"/>
          <w:b w:val="0"/>
          <w:spacing w:val="-4"/>
          <w:sz w:val="18"/>
        </w:rPr>
        <w:t>makes</w:t>
      </w:r>
      <w:r>
        <w:rPr>
          <w:rFonts w:ascii="TT Norms Pro Light" w:hAnsi="TT Norms Pro Light"/>
          <w:b w:val="0"/>
          <w:sz w:val="18"/>
        </w:rPr>
        <w:t> </w:t>
      </w:r>
      <w:r>
        <w:rPr>
          <w:rFonts w:ascii="TT Norms Pro Light" w:hAnsi="TT Norms Pro Light"/>
          <w:b w:val="0"/>
          <w:spacing w:val="-4"/>
          <w:sz w:val="18"/>
        </w:rPr>
        <w:t>recommendations</w:t>
      </w:r>
      <w:r>
        <w:rPr>
          <w:rFonts w:ascii="TT Norms Pro Light" w:hAnsi="TT Norms Pro Light"/>
          <w:b w:val="0"/>
          <w:spacing w:val="40"/>
          <w:sz w:val="18"/>
        </w:rPr>
        <w:t> </w:t>
      </w:r>
      <w:r>
        <w:rPr>
          <w:rFonts w:ascii="TT Norms Pro Light" w:hAnsi="TT Norms Pro Light"/>
          <w:b w:val="0"/>
          <w:sz w:val="18"/>
        </w:rPr>
        <w:t>to the Senate on the awarding of honorary degrees and</w:t>
      </w:r>
      <w:r>
        <w:rPr>
          <w:rFonts w:ascii="TT Norms Pro Light" w:hAnsi="TT Norms Pro Light"/>
          <w:b w:val="0"/>
          <w:spacing w:val="40"/>
          <w:sz w:val="18"/>
        </w:rPr>
        <w:t> </w:t>
      </w:r>
      <w:r>
        <w:rPr>
          <w:rFonts w:ascii="TT Norms Pro Light" w:hAnsi="TT Norms Pro Light"/>
          <w:b w:val="0"/>
          <w:sz w:val="18"/>
        </w:rPr>
        <w:t>Chancellor’s</w:t>
      </w:r>
      <w:r>
        <w:rPr>
          <w:rFonts w:ascii="TT Norms Pro Light" w:hAnsi="TT Norms Pro Light"/>
          <w:b w:val="0"/>
          <w:spacing w:val="-5"/>
          <w:sz w:val="18"/>
        </w:rPr>
        <w:t> </w:t>
      </w:r>
      <w:r>
        <w:rPr>
          <w:rFonts w:ascii="TT Norms Pro Light" w:hAnsi="TT Norms Pro Light"/>
          <w:b w:val="0"/>
          <w:sz w:val="18"/>
        </w:rPr>
        <w:t>medals.</w:t>
      </w:r>
    </w:p>
    <w:p>
      <w:pPr>
        <w:pStyle w:val="BodyText"/>
        <w:spacing w:before="47"/>
        <w:rPr>
          <w:b w:val="0"/>
        </w:rPr>
      </w:pPr>
    </w:p>
    <w:p>
      <w:pPr>
        <w:spacing w:line="295" w:lineRule="auto" w:before="0"/>
        <w:ind w:left="186" w:right="1672" w:hanging="1"/>
        <w:jc w:val="left"/>
        <w:rPr>
          <w:rFonts w:ascii="TT Norms Pro Light"/>
          <w:b w:val="0"/>
          <w:sz w:val="18"/>
        </w:rPr>
      </w:pPr>
      <w:r>
        <w:rPr/>
        <mc:AlternateContent>
          <mc:Choice Requires="wps">
            <w:drawing>
              <wp:anchor distT="0" distB="0" distL="0" distR="0" allowOverlap="1" layoutInCell="1" locked="0" behindDoc="0" simplePos="0" relativeHeight="15776768">
                <wp:simplePos x="0" y="0"/>
                <wp:positionH relativeFrom="page">
                  <wp:posOffset>3780002</wp:posOffset>
                </wp:positionH>
                <wp:positionV relativeFrom="paragraph">
                  <wp:posOffset>316699</wp:posOffset>
                </wp:positionV>
                <wp:extent cx="3780154" cy="4003675"/>
                <wp:effectExtent l="0" t="0" r="0" b="0"/>
                <wp:wrapNone/>
                <wp:docPr id="243" name="Group 243"/>
                <wp:cNvGraphicFramePr>
                  <a:graphicFrameLocks/>
                </wp:cNvGraphicFramePr>
                <a:graphic>
                  <a:graphicData uri="http://schemas.microsoft.com/office/word/2010/wordprocessingGroup">
                    <wpg:wgp>
                      <wpg:cNvPr id="243" name="Group 243"/>
                      <wpg:cNvGrpSpPr/>
                      <wpg:grpSpPr>
                        <a:xfrm>
                          <a:off x="0" y="0"/>
                          <a:ext cx="3780154" cy="4003675"/>
                          <a:chExt cx="3780154" cy="4003675"/>
                        </a:xfrm>
                      </wpg:grpSpPr>
                      <pic:pic>
                        <pic:nvPicPr>
                          <pic:cNvPr id="244" name="Image 244"/>
                          <pic:cNvPicPr/>
                        </pic:nvPicPr>
                        <pic:blipFill>
                          <a:blip r:embed="rId31" cstate="print"/>
                          <a:stretch>
                            <a:fillRect/>
                          </a:stretch>
                        </pic:blipFill>
                        <pic:spPr>
                          <a:xfrm>
                            <a:off x="125996" y="1499246"/>
                            <a:ext cx="3653993" cy="2504401"/>
                          </a:xfrm>
                          <a:prstGeom prst="rect">
                            <a:avLst/>
                          </a:prstGeom>
                        </pic:spPr>
                      </pic:pic>
                      <wps:wsp>
                        <wps:cNvPr id="245" name="Graphic 245"/>
                        <wps:cNvSpPr/>
                        <wps:spPr>
                          <a:xfrm>
                            <a:off x="0" y="76859"/>
                            <a:ext cx="3780154" cy="1778000"/>
                          </a:xfrm>
                          <a:custGeom>
                            <a:avLst/>
                            <a:gdLst/>
                            <a:ahLst/>
                            <a:cxnLst/>
                            <a:rect l="l" t="t" r="r" b="b"/>
                            <a:pathLst>
                              <a:path w="3780154" h="1778000">
                                <a:moveTo>
                                  <a:pt x="3779989" y="0"/>
                                </a:moveTo>
                                <a:lnTo>
                                  <a:pt x="0" y="0"/>
                                </a:lnTo>
                                <a:lnTo>
                                  <a:pt x="0" y="1778000"/>
                                </a:lnTo>
                                <a:lnTo>
                                  <a:pt x="3779989" y="1778000"/>
                                </a:lnTo>
                                <a:lnTo>
                                  <a:pt x="3779989" y="0"/>
                                </a:lnTo>
                                <a:close/>
                              </a:path>
                            </a:pathLst>
                          </a:custGeom>
                          <a:solidFill>
                            <a:srgbClr val="FFFFFF"/>
                          </a:solidFill>
                        </wps:spPr>
                        <wps:bodyPr wrap="square" lIns="0" tIns="0" rIns="0" bIns="0" rtlCol="0">
                          <a:prstTxWarp prst="textNoShape">
                            <a:avLst/>
                          </a:prstTxWarp>
                          <a:noAutofit/>
                        </wps:bodyPr>
                      </wps:wsp>
                      <wps:wsp>
                        <wps:cNvPr id="246" name="Textbox 246"/>
                        <wps:cNvSpPr txBox="1"/>
                        <wps:spPr>
                          <a:xfrm>
                            <a:off x="0" y="0"/>
                            <a:ext cx="3780154" cy="4003675"/>
                          </a:xfrm>
                          <a:prstGeom prst="rect">
                            <a:avLst/>
                          </a:prstGeom>
                        </wps:spPr>
                        <wps:txbx>
                          <w:txbxContent>
                            <w:p>
                              <w:pPr>
                                <w:spacing w:line="295" w:lineRule="auto" w:before="21"/>
                                <w:ind w:left="198" w:right="1013" w:firstLine="0"/>
                                <w:jc w:val="left"/>
                                <w:rPr>
                                  <w:rFonts w:ascii="TT Norms Pro Light"/>
                                  <w:b w:val="0"/>
                                  <w:sz w:val="18"/>
                                </w:rPr>
                              </w:pPr>
                              <w:r>
                                <w:rPr>
                                  <w:rFonts w:ascii="TT Norms Pro Light"/>
                                  <w:b w:val="0"/>
                                  <w:sz w:val="18"/>
                                </w:rPr>
                                <w:t>financial welfare of the University (including University</w:t>
                              </w:r>
                              <w:r>
                                <w:rPr>
                                  <w:rFonts w:ascii="TT Norms Pro Light"/>
                                  <w:b w:val="0"/>
                                  <w:spacing w:val="40"/>
                                  <w:sz w:val="18"/>
                                </w:rPr>
                                <w:t> </w:t>
                              </w:r>
                              <w:r>
                                <w:rPr>
                                  <w:rFonts w:ascii="TT Norms Pro Light"/>
                                  <w:b w:val="0"/>
                                  <w:sz w:val="18"/>
                                </w:rPr>
                                <w:t>investments, campus planning initiatives and major</w:t>
                              </w:r>
                              <w:r>
                                <w:rPr>
                                  <w:rFonts w:ascii="TT Norms Pro Light"/>
                                  <w:b w:val="0"/>
                                  <w:spacing w:val="40"/>
                                  <w:sz w:val="18"/>
                                </w:rPr>
                                <w:t> </w:t>
                              </w:r>
                              <w:r>
                                <w:rPr>
                                  <w:rFonts w:ascii="TT Norms Pro Light"/>
                                  <w:b w:val="0"/>
                                  <w:sz w:val="18"/>
                                </w:rPr>
                                <w:t>infrastructure developments), and monitors policy</w:t>
                              </w:r>
                            </w:p>
                            <w:p>
                              <w:pPr>
                                <w:spacing w:before="3"/>
                                <w:ind w:left="198" w:right="0" w:firstLine="0"/>
                                <w:jc w:val="left"/>
                                <w:rPr>
                                  <w:rFonts w:ascii="TT Norms Pro Light"/>
                                  <w:b w:val="0"/>
                                  <w:sz w:val="18"/>
                                </w:rPr>
                              </w:pPr>
                              <w:r>
                                <w:rPr>
                                  <w:rFonts w:ascii="TT Norms Pro Light"/>
                                  <w:b w:val="0"/>
                                  <w:sz w:val="18"/>
                                </w:rPr>
                                <w:t>of staffing</w:t>
                              </w:r>
                              <w:r>
                                <w:rPr>
                                  <w:rFonts w:ascii="TT Norms Pro Light"/>
                                  <w:b w:val="0"/>
                                  <w:spacing w:val="-1"/>
                                  <w:sz w:val="18"/>
                                </w:rPr>
                                <w:t> </w:t>
                              </w:r>
                              <w:r>
                                <w:rPr>
                                  <w:rFonts w:ascii="TT Norms Pro Light"/>
                                  <w:b w:val="0"/>
                                  <w:spacing w:val="-2"/>
                                  <w:sz w:val="18"/>
                                </w:rPr>
                                <w:t>resources.</w:t>
                              </w:r>
                            </w:p>
                            <w:p>
                              <w:pPr>
                                <w:spacing w:line="240" w:lineRule="auto" w:before="94"/>
                                <w:rPr>
                                  <w:rFonts w:ascii="TT Norms Pro Light"/>
                                  <w:b w:val="0"/>
                                  <w:sz w:val="18"/>
                                </w:rPr>
                              </w:pPr>
                            </w:p>
                            <w:p>
                              <w:pPr>
                                <w:spacing w:line="295" w:lineRule="auto" w:before="0"/>
                                <w:ind w:left="198" w:right="1013" w:hanging="1"/>
                                <w:jc w:val="left"/>
                                <w:rPr>
                                  <w:rFonts w:ascii="TT Norms Pro Light" w:hAnsi="TT Norms Pro Light"/>
                                  <w:b w:val="0"/>
                                  <w:sz w:val="18"/>
                                </w:rPr>
                              </w:pPr>
                              <w:r>
                                <w:rPr>
                                  <w:rFonts w:ascii="TT Norms Pro Medium" w:hAnsi="TT Norms Pro Medium"/>
                                  <w:b/>
                                  <w:sz w:val="18"/>
                                </w:rPr>
                                <w:t>Academic Board </w:t>
                              </w:r>
                              <w:r>
                                <w:rPr>
                                  <w:rFonts w:ascii="TT Norms Pro Light" w:hAnsi="TT Norms Pro Light"/>
                                  <w:b w:val="0"/>
                                  <w:sz w:val="18"/>
                                </w:rPr>
                                <w:t>is the University’s peak academic body.</w:t>
                              </w:r>
                              <w:r>
                                <w:rPr>
                                  <w:rFonts w:ascii="TT Norms Pro Light" w:hAnsi="TT Norms Pro Light"/>
                                  <w:b w:val="0"/>
                                  <w:spacing w:val="40"/>
                                  <w:sz w:val="18"/>
                                </w:rPr>
                                <w:t> </w:t>
                              </w:r>
                              <w:r>
                                <w:rPr>
                                  <w:rFonts w:ascii="TT Norms Pro Light" w:hAnsi="TT Norms Pro Light"/>
                                  <w:b w:val="0"/>
                                  <w:sz w:val="18"/>
                                </w:rPr>
                                <w:t>Established by the Senate under the </w:t>
                              </w:r>
                              <w:r>
                                <w:rPr>
                                  <w:rFonts w:ascii="TT Norms Pro Light" w:hAnsi="TT Norms Pro Light"/>
                                  <w:b w:val="0"/>
                                  <w:i/>
                                  <w:sz w:val="18"/>
                                </w:rPr>
                                <w:t>UWA Statute</w:t>
                              </w:r>
                              <w:r>
                                <w:rPr>
                                  <w:rFonts w:ascii="TT Norms Pro Light" w:hAnsi="TT Norms Pro Light"/>
                                  <w:b w:val="0"/>
                                  <w:sz w:val="18"/>
                                </w:rPr>
                                <w:t>, the</w:t>
                              </w:r>
                              <w:r>
                                <w:rPr>
                                  <w:rFonts w:ascii="TT Norms Pro Light" w:hAnsi="TT Norms Pro Light"/>
                                  <w:b w:val="0"/>
                                  <w:spacing w:val="40"/>
                                  <w:sz w:val="18"/>
                                </w:rPr>
                                <w:t> </w:t>
                              </w:r>
                              <w:r>
                                <w:rPr>
                                  <w:rFonts w:ascii="TT Norms Pro Light" w:hAnsi="TT Norms Pro Light"/>
                                  <w:b w:val="0"/>
                                  <w:sz w:val="18"/>
                                </w:rPr>
                                <w:t>Board</w:t>
                              </w:r>
                              <w:r>
                                <w:rPr>
                                  <w:rFonts w:ascii="TT Norms Pro Light" w:hAnsi="TT Norms Pro Light"/>
                                  <w:b w:val="0"/>
                                  <w:spacing w:val="-6"/>
                                  <w:sz w:val="18"/>
                                </w:rPr>
                                <w:t> </w:t>
                              </w:r>
                              <w:r>
                                <w:rPr>
                                  <w:rFonts w:ascii="TT Norms Pro Light" w:hAnsi="TT Norms Pro Light"/>
                                  <w:b w:val="0"/>
                                  <w:sz w:val="18"/>
                                </w:rPr>
                                <w:t>is</w:t>
                              </w:r>
                              <w:r>
                                <w:rPr>
                                  <w:rFonts w:ascii="TT Norms Pro Light" w:hAnsi="TT Norms Pro Light"/>
                                  <w:b w:val="0"/>
                                  <w:spacing w:val="-6"/>
                                  <w:sz w:val="18"/>
                                </w:rPr>
                                <w:t> </w:t>
                              </w:r>
                              <w:r>
                                <w:rPr>
                                  <w:rFonts w:ascii="TT Norms Pro Light" w:hAnsi="TT Norms Pro Light"/>
                                  <w:b w:val="0"/>
                                  <w:sz w:val="18"/>
                                </w:rPr>
                                <w:t>chaired</w:t>
                              </w:r>
                              <w:r>
                                <w:rPr>
                                  <w:rFonts w:ascii="TT Norms Pro Light" w:hAnsi="TT Norms Pro Light"/>
                                  <w:b w:val="0"/>
                                  <w:spacing w:val="-6"/>
                                  <w:sz w:val="18"/>
                                </w:rPr>
                                <w:t> </w:t>
                              </w:r>
                              <w:r>
                                <w:rPr>
                                  <w:rFonts w:ascii="TT Norms Pro Light" w:hAnsi="TT Norms Pro Light"/>
                                  <w:b w:val="0"/>
                                  <w:sz w:val="18"/>
                                </w:rPr>
                                <w:t>by</w:t>
                              </w:r>
                              <w:r>
                                <w:rPr>
                                  <w:rFonts w:ascii="TT Norms Pro Light" w:hAnsi="TT Norms Pro Light"/>
                                  <w:b w:val="0"/>
                                  <w:spacing w:val="-6"/>
                                  <w:sz w:val="18"/>
                                </w:rPr>
                                <w:t> </w:t>
                              </w:r>
                              <w:r>
                                <w:rPr>
                                  <w:rFonts w:ascii="TT Norms Pro Light" w:hAnsi="TT Norms Pro Light"/>
                                  <w:b w:val="0"/>
                                  <w:sz w:val="18"/>
                                </w:rPr>
                                <w:t>a</w:t>
                              </w:r>
                              <w:r>
                                <w:rPr>
                                  <w:rFonts w:ascii="TT Norms Pro Light" w:hAnsi="TT Norms Pro Light"/>
                                  <w:b w:val="0"/>
                                  <w:spacing w:val="-6"/>
                                  <w:sz w:val="18"/>
                                </w:rPr>
                                <w:t> </w:t>
                              </w:r>
                              <w:r>
                                <w:rPr>
                                  <w:rFonts w:ascii="TT Norms Pro Light" w:hAnsi="TT Norms Pro Light"/>
                                  <w:b w:val="0"/>
                                  <w:sz w:val="18"/>
                                </w:rPr>
                                <w:t>member</w:t>
                              </w:r>
                              <w:r>
                                <w:rPr>
                                  <w:rFonts w:ascii="TT Norms Pro Light" w:hAnsi="TT Norms Pro Light"/>
                                  <w:b w:val="0"/>
                                  <w:spacing w:val="-6"/>
                                  <w:sz w:val="18"/>
                                </w:rPr>
                                <w:t> </w:t>
                              </w:r>
                              <w:r>
                                <w:rPr>
                                  <w:rFonts w:ascii="TT Norms Pro Light" w:hAnsi="TT Norms Pro Light"/>
                                  <w:b w:val="0"/>
                                  <w:sz w:val="18"/>
                                </w:rPr>
                                <w:t>of</w:t>
                              </w:r>
                              <w:r>
                                <w:rPr>
                                  <w:rFonts w:ascii="TT Norms Pro Light" w:hAnsi="TT Norms Pro Light"/>
                                  <w:b w:val="0"/>
                                  <w:spacing w:val="-6"/>
                                  <w:sz w:val="18"/>
                                </w:rPr>
                                <w:t> </w:t>
                              </w:r>
                              <w:r>
                                <w:rPr>
                                  <w:rFonts w:ascii="TT Norms Pro Light" w:hAnsi="TT Norms Pro Light"/>
                                  <w:b w:val="0"/>
                                  <w:sz w:val="18"/>
                                </w:rPr>
                                <w:t>the</w:t>
                              </w:r>
                              <w:r>
                                <w:rPr>
                                  <w:rFonts w:ascii="TT Norms Pro Light" w:hAnsi="TT Norms Pro Light"/>
                                  <w:b w:val="0"/>
                                  <w:spacing w:val="-6"/>
                                  <w:sz w:val="18"/>
                                </w:rPr>
                                <w:t> </w:t>
                              </w:r>
                              <w:r>
                                <w:rPr>
                                  <w:rFonts w:ascii="TT Norms Pro Light" w:hAnsi="TT Norms Pro Light"/>
                                  <w:b w:val="0"/>
                                  <w:sz w:val="18"/>
                                </w:rPr>
                                <w:t>academic</w:t>
                              </w:r>
                              <w:r>
                                <w:rPr>
                                  <w:rFonts w:ascii="TT Norms Pro Light" w:hAnsi="TT Norms Pro Light"/>
                                  <w:b w:val="0"/>
                                  <w:spacing w:val="-6"/>
                                  <w:sz w:val="18"/>
                                </w:rPr>
                                <w:t> </w:t>
                              </w:r>
                              <w:r>
                                <w:rPr>
                                  <w:rFonts w:ascii="TT Norms Pro Light" w:hAnsi="TT Norms Pro Light"/>
                                  <w:b w:val="0"/>
                                  <w:sz w:val="18"/>
                                </w:rPr>
                                <w:t>community.</w:t>
                              </w:r>
                            </w:p>
                          </w:txbxContent>
                        </wps:txbx>
                        <wps:bodyPr wrap="square" lIns="0" tIns="0" rIns="0" bIns="0" rtlCol="0">
                          <a:noAutofit/>
                        </wps:bodyPr>
                      </wps:wsp>
                    </wpg:wgp>
                  </a:graphicData>
                </a:graphic>
              </wp:anchor>
            </w:drawing>
          </mc:Choice>
          <mc:Fallback>
            <w:pict>
              <v:group style="position:absolute;margin-left:297.638pt;margin-top:24.936941pt;width:297.650pt;height:315.25pt;mso-position-horizontal-relative:page;mso-position-vertical-relative:paragraph;z-index:15776768" id="docshapegroup152" coordorigin="5953,499" coordsize="5953,6305">
                <v:shape style="position:absolute;left:6151;top:2859;width:5755;height:3944" type="#_x0000_t75" id="docshape153" stroked="false">
                  <v:imagedata r:id="rId31" o:title=""/>
                </v:shape>
                <v:rect style="position:absolute;left:5952;top:619;width:5953;height:2800" id="docshape154" filled="true" fillcolor="#ffffff" stroked="false">
                  <v:fill type="solid"/>
                </v:rect>
                <v:shape style="position:absolute;left:5952;top:498;width:5953;height:6305" type="#_x0000_t202" id="docshape155" filled="false" stroked="false">
                  <v:textbox inset="0,0,0,0">
                    <w:txbxContent>
                      <w:p>
                        <w:pPr>
                          <w:spacing w:line="295" w:lineRule="auto" w:before="21"/>
                          <w:ind w:left="198" w:right="1013" w:firstLine="0"/>
                          <w:jc w:val="left"/>
                          <w:rPr>
                            <w:rFonts w:ascii="TT Norms Pro Light"/>
                            <w:b w:val="0"/>
                            <w:sz w:val="18"/>
                          </w:rPr>
                        </w:pPr>
                        <w:r>
                          <w:rPr>
                            <w:rFonts w:ascii="TT Norms Pro Light"/>
                            <w:b w:val="0"/>
                            <w:sz w:val="18"/>
                          </w:rPr>
                          <w:t>financial welfare of the University (including University</w:t>
                        </w:r>
                        <w:r>
                          <w:rPr>
                            <w:rFonts w:ascii="TT Norms Pro Light"/>
                            <w:b w:val="0"/>
                            <w:spacing w:val="40"/>
                            <w:sz w:val="18"/>
                          </w:rPr>
                          <w:t> </w:t>
                        </w:r>
                        <w:r>
                          <w:rPr>
                            <w:rFonts w:ascii="TT Norms Pro Light"/>
                            <w:b w:val="0"/>
                            <w:sz w:val="18"/>
                          </w:rPr>
                          <w:t>investments, campus planning initiatives and major</w:t>
                        </w:r>
                        <w:r>
                          <w:rPr>
                            <w:rFonts w:ascii="TT Norms Pro Light"/>
                            <w:b w:val="0"/>
                            <w:spacing w:val="40"/>
                            <w:sz w:val="18"/>
                          </w:rPr>
                          <w:t> </w:t>
                        </w:r>
                        <w:r>
                          <w:rPr>
                            <w:rFonts w:ascii="TT Norms Pro Light"/>
                            <w:b w:val="0"/>
                            <w:sz w:val="18"/>
                          </w:rPr>
                          <w:t>infrastructure developments), and monitors policy</w:t>
                        </w:r>
                      </w:p>
                      <w:p>
                        <w:pPr>
                          <w:spacing w:before="3"/>
                          <w:ind w:left="198" w:right="0" w:firstLine="0"/>
                          <w:jc w:val="left"/>
                          <w:rPr>
                            <w:rFonts w:ascii="TT Norms Pro Light"/>
                            <w:b w:val="0"/>
                            <w:sz w:val="18"/>
                          </w:rPr>
                        </w:pPr>
                        <w:r>
                          <w:rPr>
                            <w:rFonts w:ascii="TT Norms Pro Light"/>
                            <w:b w:val="0"/>
                            <w:sz w:val="18"/>
                          </w:rPr>
                          <w:t>of staffing</w:t>
                        </w:r>
                        <w:r>
                          <w:rPr>
                            <w:rFonts w:ascii="TT Norms Pro Light"/>
                            <w:b w:val="0"/>
                            <w:spacing w:val="-1"/>
                            <w:sz w:val="18"/>
                          </w:rPr>
                          <w:t> </w:t>
                        </w:r>
                        <w:r>
                          <w:rPr>
                            <w:rFonts w:ascii="TT Norms Pro Light"/>
                            <w:b w:val="0"/>
                            <w:spacing w:val="-2"/>
                            <w:sz w:val="18"/>
                          </w:rPr>
                          <w:t>resources.</w:t>
                        </w:r>
                      </w:p>
                      <w:p>
                        <w:pPr>
                          <w:spacing w:line="240" w:lineRule="auto" w:before="94"/>
                          <w:rPr>
                            <w:rFonts w:ascii="TT Norms Pro Light"/>
                            <w:b w:val="0"/>
                            <w:sz w:val="18"/>
                          </w:rPr>
                        </w:pPr>
                      </w:p>
                      <w:p>
                        <w:pPr>
                          <w:spacing w:line="295" w:lineRule="auto" w:before="0"/>
                          <w:ind w:left="198" w:right="1013" w:hanging="1"/>
                          <w:jc w:val="left"/>
                          <w:rPr>
                            <w:rFonts w:ascii="TT Norms Pro Light" w:hAnsi="TT Norms Pro Light"/>
                            <w:b w:val="0"/>
                            <w:sz w:val="18"/>
                          </w:rPr>
                        </w:pPr>
                        <w:r>
                          <w:rPr>
                            <w:rFonts w:ascii="TT Norms Pro Medium" w:hAnsi="TT Norms Pro Medium"/>
                            <w:b/>
                            <w:sz w:val="18"/>
                          </w:rPr>
                          <w:t>Academic Board </w:t>
                        </w:r>
                        <w:r>
                          <w:rPr>
                            <w:rFonts w:ascii="TT Norms Pro Light" w:hAnsi="TT Norms Pro Light"/>
                            <w:b w:val="0"/>
                            <w:sz w:val="18"/>
                          </w:rPr>
                          <w:t>is the University’s peak academic body.</w:t>
                        </w:r>
                        <w:r>
                          <w:rPr>
                            <w:rFonts w:ascii="TT Norms Pro Light" w:hAnsi="TT Norms Pro Light"/>
                            <w:b w:val="0"/>
                            <w:spacing w:val="40"/>
                            <w:sz w:val="18"/>
                          </w:rPr>
                          <w:t> </w:t>
                        </w:r>
                        <w:r>
                          <w:rPr>
                            <w:rFonts w:ascii="TT Norms Pro Light" w:hAnsi="TT Norms Pro Light"/>
                            <w:b w:val="0"/>
                            <w:sz w:val="18"/>
                          </w:rPr>
                          <w:t>Established by the Senate under the </w:t>
                        </w:r>
                        <w:r>
                          <w:rPr>
                            <w:rFonts w:ascii="TT Norms Pro Light" w:hAnsi="TT Norms Pro Light"/>
                            <w:b w:val="0"/>
                            <w:i/>
                            <w:sz w:val="18"/>
                          </w:rPr>
                          <w:t>UWA Statute</w:t>
                        </w:r>
                        <w:r>
                          <w:rPr>
                            <w:rFonts w:ascii="TT Norms Pro Light" w:hAnsi="TT Norms Pro Light"/>
                            <w:b w:val="0"/>
                            <w:sz w:val="18"/>
                          </w:rPr>
                          <w:t>, the</w:t>
                        </w:r>
                        <w:r>
                          <w:rPr>
                            <w:rFonts w:ascii="TT Norms Pro Light" w:hAnsi="TT Norms Pro Light"/>
                            <w:b w:val="0"/>
                            <w:spacing w:val="40"/>
                            <w:sz w:val="18"/>
                          </w:rPr>
                          <w:t> </w:t>
                        </w:r>
                        <w:r>
                          <w:rPr>
                            <w:rFonts w:ascii="TT Norms Pro Light" w:hAnsi="TT Norms Pro Light"/>
                            <w:b w:val="0"/>
                            <w:sz w:val="18"/>
                          </w:rPr>
                          <w:t>Board</w:t>
                        </w:r>
                        <w:r>
                          <w:rPr>
                            <w:rFonts w:ascii="TT Norms Pro Light" w:hAnsi="TT Norms Pro Light"/>
                            <w:b w:val="0"/>
                            <w:spacing w:val="-6"/>
                            <w:sz w:val="18"/>
                          </w:rPr>
                          <w:t> </w:t>
                        </w:r>
                        <w:r>
                          <w:rPr>
                            <w:rFonts w:ascii="TT Norms Pro Light" w:hAnsi="TT Norms Pro Light"/>
                            <w:b w:val="0"/>
                            <w:sz w:val="18"/>
                          </w:rPr>
                          <w:t>is</w:t>
                        </w:r>
                        <w:r>
                          <w:rPr>
                            <w:rFonts w:ascii="TT Norms Pro Light" w:hAnsi="TT Norms Pro Light"/>
                            <w:b w:val="0"/>
                            <w:spacing w:val="-6"/>
                            <w:sz w:val="18"/>
                          </w:rPr>
                          <w:t> </w:t>
                        </w:r>
                        <w:r>
                          <w:rPr>
                            <w:rFonts w:ascii="TT Norms Pro Light" w:hAnsi="TT Norms Pro Light"/>
                            <w:b w:val="0"/>
                            <w:sz w:val="18"/>
                          </w:rPr>
                          <w:t>chaired</w:t>
                        </w:r>
                        <w:r>
                          <w:rPr>
                            <w:rFonts w:ascii="TT Norms Pro Light" w:hAnsi="TT Norms Pro Light"/>
                            <w:b w:val="0"/>
                            <w:spacing w:val="-6"/>
                            <w:sz w:val="18"/>
                          </w:rPr>
                          <w:t> </w:t>
                        </w:r>
                        <w:r>
                          <w:rPr>
                            <w:rFonts w:ascii="TT Norms Pro Light" w:hAnsi="TT Norms Pro Light"/>
                            <w:b w:val="0"/>
                            <w:sz w:val="18"/>
                          </w:rPr>
                          <w:t>by</w:t>
                        </w:r>
                        <w:r>
                          <w:rPr>
                            <w:rFonts w:ascii="TT Norms Pro Light" w:hAnsi="TT Norms Pro Light"/>
                            <w:b w:val="0"/>
                            <w:spacing w:val="-6"/>
                            <w:sz w:val="18"/>
                          </w:rPr>
                          <w:t> </w:t>
                        </w:r>
                        <w:r>
                          <w:rPr>
                            <w:rFonts w:ascii="TT Norms Pro Light" w:hAnsi="TT Norms Pro Light"/>
                            <w:b w:val="0"/>
                            <w:sz w:val="18"/>
                          </w:rPr>
                          <w:t>a</w:t>
                        </w:r>
                        <w:r>
                          <w:rPr>
                            <w:rFonts w:ascii="TT Norms Pro Light" w:hAnsi="TT Norms Pro Light"/>
                            <w:b w:val="0"/>
                            <w:spacing w:val="-6"/>
                            <w:sz w:val="18"/>
                          </w:rPr>
                          <w:t> </w:t>
                        </w:r>
                        <w:r>
                          <w:rPr>
                            <w:rFonts w:ascii="TT Norms Pro Light" w:hAnsi="TT Norms Pro Light"/>
                            <w:b w:val="0"/>
                            <w:sz w:val="18"/>
                          </w:rPr>
                          <w:t>member</w:t>
                        </w:r>
                        <w:r>
                          <w:rPr>
                            <w:rFonts w:ascii="TT Norms Pro Light" w:hAnsi="TT Norms Pro Light"/>
                            <w:b w:val="0"/>
                            <w:spacing w:val="-6"/>
                            <w:sz w:val="18"/>
                          </w:rPr>
                          <w:t> </w:t>
                        </w:r>
                        <w:r>
                          <w:rPr>
                            <w:rFonts w:ascii="TT Norms Pro Light" w:hAnsi="TT Norms Pro Light"/>
                            <w:b w:val="0"/>
                            <w:sz w:val="18"/>
                          </w:rPr>
                          <w:t>of</w:t>
                        </w:r>
                        <w:r>
                          <w:rPr>
                            <w:rFonts w:ascii="TT Norms Pro Light" w:hAnsi="TT Norms Pro Light"/>
                            <w:b w:val="0"/>
                            <w:spacing w:val="-6"/>
                            <w:sz w:val="18"/>
                          </w:rPr>
                          <w:t> </w:t>
                        </w:r>
                        <w:r>
                          <w:rPr>
                            <w:rFonts w:ascii="TT Norms Pro Light" w:hAnsi="TT Norms Pro Light"/>
                            <w:b w:val="0"/>
                            <w:sz w:val="18"/>
                          </w:rPr>
                          <w:t>the</w:t>
                        </w:r>
                        <w:r>
                          <w:rPr>
                            <w:rFonts w:ascii="TT Norms Pro Light" w:hAnsi="TT Norms Pro Light"/>
                            <w:b w:val="0"/>
                            <w:spacing w:val="-6"/>
                            <w:sz w:val="18"/>
                          </w:rPr>
                          <w:t> </w:t>
                        </w:r>
                        <w:r>
                          <w:rPr>
                            <w:rFonts w:ascii="TT Norms Pro Light" w:hAnsi="TT Norms Pro Light"/>
                            <w:b w:val="0"/>
                            <w:sz w:val="18"/>
                          </w:rPr>
                          <w:t>academic</w:t>
                        </w:r>
                        <w:r>
                          <w:rPr>
                            <w:rFonts w:ascii="TT Norms Pro Light" w:hAnsi="TT Norms Pro Light"/>
                            <w:b w:val="0"/>
                            <w:spacing w:val="-6"/>
                            <w:sz w:val="18"/>
                          </w:rPr>
                          <w:t> </w:t>
                        </w:r>
                        <w:r>
                          <w:rPr>
                            <w:rFonts w:ascii="TT Norms Pro Light" w:hAnsi="TT Norms Pro Light"/>
                            <w:b w:val="0"/>
                            <w:sz w:val="18"/>
                          </w:rPr>
                          <w:t>community.</w:t>
                        </w:r>
                      </w:p>
                    </w:txbxContent>
                  </v:textbox>
                  <w10:wrap type="none"/>
                </v:shape>
                <w10:wrap type="none"/>
              </v:group>
            </w:pict>
          </mc:Fallback>
        </mc:AlternateContent>
      </w:r>
      <w:r>
        <w:rPr>
          <w:rFonts w:ascii="TT Norms Pro Medium"/>
          <w:b/>
          <w:sz w:val="18"/>
        </w:rPr>
        <w:t>Strategic</w:t>
      </w:r>
      <w:r>
        <w:rPr>
          <w:rFonts w:ascii="TT Norms Pro Medium"/>
          <w:b/>
          <w:spacing w:val="-11"/>
          <w:sz w:val="18"/>
        </w:rPr>
        <w:t> </w:t>
      </w:r>
      <w:r>
        <w:rPr>
          <w:rFonts w:ascii="TT Norms Pro Medium"/>
          <w:b/>
          <w:sz w:val="18"/>
        </w:rPr>
        <w:t>Resources</w:t>
      </w:r>
      <w:r>
        <w:rPr>
          <w:rFonts w:ascii="TT Norms Pro Medium"/>
          <w:b/>
          <w:spacing w:val="-11"/>
          <w:sz w:val="18"/>
        </w:rPr>
        <w:t> </w:t>
      </w:r>
      <w:r>
        <w:rPr>
          <w:rFonts w:ascii="TT Norms Pro Medium"/>
          <w:b/>
          <w:sz w:val="18"/>
        </w:rPr>
        <w:t>Committee</w:t>
      </w:r>
      <w:r>
        <w:rPr>
          <w:rFonts w:ascii="TT Norms Pro Medium"/>
          <w:b/>
          <w:spacing w:val="-10"/>
          <w:sz w:val="18"/>
        </w:rPr>
        <w:t> </w:t>
      </w:r>
      <w:r>
        <w:rPr>
          <w:rFonts w:ascii="TT Norms Pro Light"/>
          <w:b w:val="0"/>
          <w:sz w:val="18"/>
        </w:rPr>
        <w:t>monitors,</w:t>
      </w:r>
      <w:r>
        <w:rPr>
          <w:rFonts w:ascii="TT Norms Pro Light"/>
          <w:b w:val="0"/>
          <w:spacing w:val="-7"/>
          <w:sz w:val="18"/>
        </w:rPr>
        <w:t> </w:t>
      </w:r>
      <w:r>
        <w:rPr>
          <w:rFonts w:ascii="TT Norms Pro Light"/>
          <w:b w:val="0"/>
          <w:sz w:val="18"/>
        </w:rPr>
        <w:t>makes</w:t>
      </w:r>
      <w:r>
        <w:rPr>
          <w:rFonts w:ascii="TT Norms Pro Light"/>
          <w:b w:val="0"/>
          <w:spacing w:val="40"/>
          <w:sz w:val="18"/>
        </w:rPr>
        <w:t> </w:t>
      </w:r>
      <w:r>
        <w:rPr>
          <w:rFonts w:ascii="TT Norms Pro Light"/>
          <w:b w:val="0"/>
          <w:sz w:val="18"/>
        </w:rPr>
        <w:t>recommendations and reports to the Senate on the</w:t>
      </w:r>
    </w:p>
    <w:p>
      <w:pPr>
        <w:spacing w:after="0" w:line="295" w:lineRule="auto"/>
        <w:jc w:val="left"/>
        <w:rPr>
          <w:rFonts w:ascii="TT Norms Pro Light"/>
          <w:sz w:val="18"/>
        </w:rPr>
        <w:sectPr>
          <w:type w:val="continuous"/>
          <w:pgSz w:w="11910" w:h="16840"/>
          <w:pgMar w:header="468" w:footer="0" w:top="980" w:bottom="280" w:left="940" w:right="0"/>
          <w:cols w:num="2" w:equalWidth="0">
            <w:col w:w="4848" w:space="177"/>
            <w:col w:w="5945"/>
          </w:cols>
        </w:sectPr>
      </w:pPr>
    </w:p>
    <w:p>
      <w:pPr>
        <w:pStyle w:val="BodyText"/>
        <w:spacing w:before="22"/>
        <w:rPr>
          <w:b w:val="0"/>
          <w:sz w:val="20"/>
        </w:rPr>
      </w:pPr>
    </w:p>
    <w:p>
      <w:pPr>
        <w:spacing w:after="0"/>
        <w:rPr>
          <w:sz w:val="20"/>
        </w:rPr>
        <w:sectPr>
          <w:pgSz w:w="11910" w:h="16840"/>
          <w:pgMar w:header="468" w:footer="0" w:top="720" w:bottom="0" w:left="940" w:right="0"/>
        </w:sectPr>
      </w:pPr>
    </w:p>
    <w:p>
      <w:pPr>
        <w:spacing w:before="126"/>
        <w:ind w:left="193" w:right="0" w:firstLine="0"/>
        <w:jc w:val="left"/>
        <w:rPr>
          <w:rFonts w:ascii="TT Norms Pro"/>
          <w:b/>
          <w:sz w:val="18"/>
        </w:rPr>
      </w:pPr>
      <w:r>
        <w:rPr/>
        <w:drawing>
          <wp:anchor distT="0" distB="0" distL="0" distR="0" allowOverlap="1" layoutInCell="1" locked="0" behindDoc="0" simplePos="0" relativeHeight="15777280">
            <wp:simplePos x="0" y="0"/>
            <wp:positionH relativeFrom="page">
              <wp:posOffset>0</wp:posOffset>
            </wp:positionH>
            <wp:positionV relativeFrom="page">
              <wp:posOffset>8187601</wp:posOffset>
            </wp:positionV>
            <wp:extent cx="6839991" cy="2504401"/>
            <wp:effectExtent l="0" t="0" r="0" b="0"/>
            <wp:wrapNone/>
            <wp:docPr id="247" name="Image 247"/>
            <wp:cNvGraphicFramePr>
              <a:graphicFrameLocks/>
            </wp:cNvGraphicFramePr>
            <a:graphic>
              <a:graphicData uri="http://schemas.openxmlformats.org/drawingml/2006/picture">
                <pic:pic>
                  <pic:nvPicPr>
                    <pic:cNvPr id="247" name="Image 247"/>
                    <pic:cNvPicPr/>
                  </pic:nvPicPr>
                  <pic:blipFill>
                    <a:blip r:embed="rId32" cstate="print"/>
                    <a:stretch>
                      <a:fillRect/>
                    </a:stretch>
                  </pic:blipFill>
                  <pic:spPr>
                    <a:xfrm>
                      <a:off x="0" y="0"/>
                      <a:ext cx="6839991" cy="2504401"/>
                    </a:xfrm>
                    <a:prstGeom prst="rect">
                      <a:avLst/>
                    </a:prstGeom>
                  </pic:spPr>
                </pic:pic>
              </a:graphicData>
            </a:graphic>
          </wp:anchor>
        </w:drawing>
      </w:r>
      <w:r>
        <w:rPr>
          <w:rFonts w:ascii="TT Norms Pro"/>
          <w:b/>
          <w:sz w:val="18"/>
        </w:rPr>
        <w:t>Convocation</w:t>
      </w:r>
      <w:r>
        <w:rPr>
          <w:rFonts w:ascii="TT Norms Pro"/>
          <w:b/>
          <w:spacing w:val="1"/>
          <w:sz w:val="18"/>
        </w:rPr>
        <w:t> </w:t>
      </w:r>
      <w:r>
        <w:rPr>
          <w:rFonts w:ascii="TT Norms Pro"/>
          <w:b/>
          <w:sz w:val="18"/>
        </w:rPr>
        <w:t>of</w:t>
      </w:r>
      <w:r>
        <w:rPr>
          <w:rFonts w:ascii="TT Norms Pro"/>
          <w:b/>
          <w:spacing w:val="3"/>
          <w:sz w:val="18"/>
        </w:rPr>
        <w:t> </w:t>
      </w:r>
      <w:r>
        <w:rPr>
          <w:rFonts w:ascii="TT Norms Pro"/>
          <w:b/>
          <w:sz w:val="18"/>
        </w:rPr>
        <w:t>UWA</w:t>
      </w:r>
      <w:r>
        <w:rPr>
          <w:rFonts w:ascii="TT Norms Pro"/>
          <w:b/>
          <w:spacing w:val="3"/>
          <w:sz w:val="18"/>
        </w:rPr>
        <w:t> </w:t>
      </w:r>
      <w:r>
        <w:rPr>
          <w:rFonts w:ascii="TT Norms Pro"/>
          <w:b/>
          <w:spacing w:val="-2"/>
          <w:sz w:val="18"/>
        </w:rPr>
        <w:t>Graduates</w:t>
      </w:r>
    </w:p>
    <w:p>
      <w:pPr>
        <w:pStyle w:val="BodyText"/>
        <w:spacing w:line="295" w:lineRule="auto" w:before="49"/>
        <w:ind w:left="193" w:right="55"/>
        <w:rPr>
          <w:b w:val="0"/>
        </w:rPr>
      </w:pPr>
      <w:r>
        <w:rPr>
          <w:b w:val="0"/>
        </w:rPr>
        <w:t>All graduates of the University are life-long members of</w:t>
      </w:r>
      <w:r>
        <w:rPr>
          <w:b w:val="0"/>
          <w:spacing w:val="40"/>
        </w:rPr>
        <w:t> </w:t>
      </w:r>
      <w:r>
        <w:rPr>
          <w:b w:val="0"/>
        </w:rPr>
        <w:t>the Convocation of UWA Graduates. The </w:t>
      </w:r>
      <w:r>
        <w:rPr>
          <w:b w:val="0"/>
          <w:i/>
        </w:rPr>
        <w:t>UWA Act </w:t>
      </w:r>
      <w:r>
        <w:rPr>
          <w:b w:val="0"/>
        </w:rPr>
        <w:t>and</w:t>
      </w:r>
      <w:r>
        <w:rPr>
          <w:b w:val="0"/>
          <w:spacing w:val="40"/>
        </w:rPr>
        <w:t> </w:t>
      </w:r>
      <w:r>
        <w:rPr>
          <w:b w:val="0"/>
          <w:i/>
        </w:rPr>
        <w:t>UWA Statute </w:t>
      </w:r>
      <w:r>
        <w:rPr>
          <w:b w:val="0"/>
        </w:rPr>
        <w:t>assign the roles of: representative,</w:t>
      </w:r>
      <w:r>
        <w:rPr>
          <w:b w:val="0"/>
          <w:spacing w:val="40"/>
        </w:rPr>
        <w:t> </w:t>
      </w:r>
      <w:r>
        <w:rPr>
          <w:b w:val="0"/>
        </w:rPr>
        <w:t>governance, contribution, engagement, and promotion to</w:t>
      </w:r>
      <w:r>
        <w:rPr>
          <w:b w:val="0"/>
          <w:spacing w:val="40"/>
        </w:rPr>
        <w:t> </w:t>
      </w:r>
      <w:r>
        <w:rPr>
          <w:b w:val="0"/>
        </w:rPr>
        <w:t>Convocation. In a governance capacity, elected members</w:t>
      </w:r>
      <w:r>
        <w:rPr>
          <w:b w:val="0"/>
          <w:spacing w:val="40"/>
        </w:rPr>
        <w:t> </w:t>
      </w:r>
      <w:r>
        <w:rPr>
          <w:b w:val="0"/>
        </w:rPr>
        <w:t>of Convocation are represented on the University Senate.</w:t>
      </w:r>
    </w:p>
    <w:p>
      <w:pPr>
        <w:pStyle w:val="BodyText"/>
        <w:spacing w:before="50"/>
        <w:rPr>
          <w:b w:val="0"/>
        </w:rPr>
      </w:pPr>
    </w:p>
    <w:p>
      <w:pPr>
        <w:spacing w:before="0"/>
        <w:ind w:left="193" w:right="0" w:firstLine="0"/>
        <w:jc w:val="left"/>
        <w:rPr>
          <w:rFonts w:ascii="TT Norms Pro"/>
          <w:b/>
          <w:sz w:val="18"/>
        </w:rPr>
      </w:pPr>
      <w:r>
        <w:rPr>
          <w:rFonts w:ascii="TT Norms Pro"/>
          <w:b/>
          <w:sz w:val="18"/>
        </w:rPr>
        <w:t>UWA</w:t>
      </w:r>
      <w:r>
        <w:rPr>
          <w:rFonts w:ascii="TT Norms Pro"/>
          <w:b/>
          <w:spacing w:val="1"/>
          <w:sz w:val="18"/>
        </w:rPr>
        <w:t> </w:t>
      </w:r>
      <w:r>
        <w:rPr>
          <w:rFonts w:ascii="TT Norms Pro"/>
          <w:b/>
          <w:sz w:val="18"/>
        </w:rPr>
        <w:t>Student</w:t>
      </w:r>
      <w:r>
        <w:rPr>
          <w:rFonts w:ascii="TT Norms Pro"/>
          <w:b/>
          <w:spacing w:val="2"/>
          <w:sz w:val="18"/>
        </w:rPr>
        <w:t> </w:t>
      </w:r>
      <w:r>
        <w:rPr>
          <w:rFonts w:ascii="TT Norms Pro"/>
          <w:b/>
          <w:spacing w:val="-2"/>
          <w:sz w:val="18"/>
        </w:rPr>
        <w:t>Guild</w:t>
      </w:r>
    </w:p>
    <w:p>
      <w:pPr>
        <w:pStyle w:val="BodyText"/>
        <w:spacing w:line="295" w:lineRule="auto" w:before="49"/>
        <w:ind w:left="193" w:right="55"/>
        <w:rPr>
          <w:b w:val="0"/>
        </w:rPr>
      </w:pPr>
      <w:r>
        <w:rPr>
          <w:b w:val="0"/>
        </w:rPr>
        <w:t>The UWA Student Guild was founded by students, for</w:t>
      </w:r>
      <w:r>
        <w:rPr>
          <w:b w:val="0"/>
          <w:spacing w:val="40"/>
        </w:rPr>
        <w:t> </w:t>
      </w:r>
      <w:r>
        <w:rPr>
          <w:b w:val="0"/>
        </w:rPr>
        <w:t>students, in 1913. It is the peak student representative</w:t>
      </w:r>
      <w:r>
        <w:rPr>
          <w:b w:val="0"/>
          <w:spacing w:val="40"/>
        </w:rPr>
        <w:t> </w:t>
      </w:r>
      <w:r>
        <w:rPr>
          <w:b w:val="0"/>
        </w:rPr>
        <w:t>body, elected by the student body. The University Guild</w:t>
      </w:r>
      <w:r>
        <w:rPr>
          <w:b w:val="0"/>
          <w:spacing w:val="40"/>
        </w:rPr>
        <w:t> </w:t>
      </w:r>
      <w:r>
        <w:rPr>
          <w:b w:val="0"/>
          <w:spacing w:val="-4"/>
        </w:rPr>
        <w:t>Council leads the Guild and provides student representation</w:t>
      </w:r>
      <w:r>
        <w:rPr>
          <w:b w:val="0"/>
          <w:spacing w:val="40"/>
        </w:rPr>
        <w:t> </w:t>
      </w:r>
      <w:r>
        <w:rPr>
          <w:b w:val="0"/>
        </w:rPr>
        <w:t>on the University Senate and a number of University</w:t>
      </w:r>
      <w:r>
        <w:rPr>
          <w:b w:val="0"/>
          <w:spacing w:val="40"/>
        </w:rPr>
        <w:t> </w:t>
      </w:r>
      <w:r>
        <w:rPr>
          <w:b w:val="0"/>
        </w:rPr>
        <w:t>boards and committees.</w:t>
      </w:r>
    </w:p>
    <w:p>
      <w:pPr>
        <w:pStyle w:val="BodyText"/>
        <w:rPr>
          <w:b w:val="0"/>
        </w:rPr>
      </w:pPr>
    </w:p>
    <w:p>
      <w:pPr>
        <w:pStyle w:val="BodyText"/>
        <w:spacing w:before="134"/>
        <w:rPr>
          <w:b w:val="0"/>
        </w:rPr>
      </w:pPr>
    </w:p>
    <w:p>
      <w:pPr>
        <w:pStyle w:val="Heading9"/>
      </w:pPr>
      <w:r>
        <w:rPr/>
        <w:t>EXECUTIVE</w:t>
      </w:r>
      <w:r>
        <w:rPr>
          <w:spacing w:val="23"/>
        </w:rPr>
        <w:t> </w:t>
      </w:r>
      <w:r>
        <w:rPr>
          <w:spacing w:val="-4"/>
        </w:rPr>
        <w:t>2020</w:t>
      </w:r>
    </w:p>
    <w:p>
      <w:pPr>
        <w:pStyle w:val="BodyText"/>
        <w:spacing w:line="295" w:lineRule="auto" w:before="154"/>
        <w:ind w:left="193" w:right="78"/>
        <w:rPr>
          <w:b w:val="0"/>
        </w:rPr>
      </w:pPr>
      <w:r>
        <w:rPr>
          <w:b w:val="0"/>
        </w:rPr>
        <w:t>In March 2020, Vice-Chancellor, Professor Dawn</w:t>
      </w:r>
      <w:r>
        <w:rPr>
          <w:b w:val="0"/>
          <w:spacing w:val="40"/>
        </w:rPr>
        <w:t> </w:t>
      </w:r>
      <w:r>
        <w:rPr>
          <w:b w:val="0"/>
        </w:rPr>
        <w:t>Freshwater left the University. Professor Jane den</w:t>
      </w:r>
      <w:r>
        <w:rPr>
          <w:b w:val="0"/>
          <w:spacing w:val="40"/>
        </w:rPr>
        <w:t> </w:t>
      </w:r>
      <w:r>
        <w:rPr>
          <w:b w:val="0"/>
        </w:rPr>
        <w:t>Hollander took up the position as interim Vice-Chancellor</w:t>
      </w:r>
      <w:r>
        <w:rPr>
          <w:b w:val="0"/>
          <w:spacing w:val="40"/>
        </w:rPr>
        <w:t> </w:t>
      </w:r>
      <w:r>
        <w:rPr>
          <w:b w:val="0"/>
        </w:rPr>
        <w:t>until the arrival of the new Vice-Chancellor, Professor</w:t>
      </w:r>
      <w:r>
        <w:rPr>
          <w:b w:val="0"/>
          <w:spacing w:val="40"/>
        </w:rPr>
        <w:t> </w:t>
      </w:r>
      <w:r>
        <w:rPr>
          <w:b w:val="0"/>
        </w:rPr>
        <w:t>Amit Chakma in July.</w:t>
      </w:r>
    </w:p>
    <w:p>
      <w:pPr>
        <w:pStyle w:val="BodyText"/>
        <w:spacing w:before="49"/>
        <w:rPr>
          <w:b w:val="0"/>
        </w:rPr>
      </w:pPr>
    </w:p>
    <w:p>
      <w:pPr>
        <w:pStyle w:val="BodyText"/>
        <w:spacing w:line="295" w:lineRule="auto"/>
        <w:ind w:left="193"/>
        <w:rPr>
          <w:b w:val="0"/>
        </w:rPr>
      </w:pPr>
      <w:r>
        <w:rPr>
          <w:b w:val="0"/>
        </w:rPr>
        <w:t>During</w:t>
      </w:r>
      <w:r>
        <w:rPr>
          <w:b w:val="0"/>
          <w:spacing w:val="-1"/>
        </w:rPr>
        <w:t> </w:t>
      </w:r>
      <w:r>
        <w:rPr>
          <w:b w:val="0"/>
        </w:rPr>
        <w:t>2020</w:t>
      </w:r>
      <w:r>
        <w:rPr>
          <w:b w:val="0"/>
          <w:spacing w:val="-1"/>
        </w:rPr>
        <w:t> </w:t>
      </w:r>
      <w:r>
        <w:rPr>
          <w:b w:val="0"/>
        </w:rPr>
        <w:t>the</w:t>
      </w:r>
      <w:r>
        <w:rPr>
          <w:b w:val="0"/>
          <w:spacing w:val="-1"/>
        </w:rPr>
        <w:t> </w:t>
      </w:r>
      <w:r>
        <w:rPr>
          <w:b w:val="0"/>
        </w:rPr>
        <w:t>University</w:t>
      </w:r>
      <w:r>
        <w:rPr>
          <w:b w:val="0"/>
          <w:spacing w:val="-1"/>
        </w:rPr>
        <w:t> </w:t>
      </w:r>
      <w:r>
        <w:rPr>
          <w:b w:val="0"/>
        </w:rPr>
        <w:t>Executive</w:t>
      </w:r>
      <w:r>
        <w:rPr>
          <w:b w:val="0"/>
          <w:spacing w:val="-1"/>
        </w:rPr>
        <w:t> </w:t>
      </w:r>
      <w:r>
        <w:rPr>
          <w:b w:val="0"/>
        </w:rPr>
        <w:t>also</w:t>
      </w:r>
      <w:r>
        <w:rPr>
          <w:b w:val="0"/>
          <w:spacing w:val="-1"/>
        </w:rPr>
        <w:t> </w:t>
      </w:r>
      <w:r>
        <w:rPr>
          <w:b w:val="0"/>
        </w:rPr>
        <w:t>comprised</w:t>
      </w:r>
      <w:r>
        <w:rPr>
          <w:b w:val="0"/>
          <w:spacing w:val="-1"/>
        </w:rPr>
        <w:t> </w:t>
      </w:r>
      <w:r>
        <w:rPr>
          <w:b w:val="0"/>
        </w:rPr>
        <w:t>of</w:t>
      </w:r>
      <w:r>
        <w:rPr>
          <w:b w:val="0"/>
          <w:spacing w:val="-1"/>
        </w:rPr>
        <w:t> </w:t>
      </w:r>
      <w:r>
        <w:rPr>
          <w:b w:val="0"/>
        </w:rPr>
        <w:t>a</w:t>
      </w:r>
      <w:r>
        <w:rPr>
          <w:b w:val="0"/>
          <w:spacing w:val="40"/>
        </w:rPr>
        <w:t> </w:t>
      </w:r>
      <w:r>
        <w:rPr>
          <w:b w:val="0"/>
        </w:rPr>
        <w:t>number of other key roles, including the Chief Operating</w:t>
      </w:r>
      <w:r>
        <w:rPr>
          <w:b w:val="0"/>
          <w:spacing w:val="40"/>
        </w:rPr>
        <w:t> </w:t>
      </w:r>
      <w:r>
        <w:rPr>
          <w:b w:val="0"/>
        </w:rPr>
        <w:t>Officer and Executive Deans. The Vice-Chancellor</w:t>
      </w:r>
      <w:r>
        <w:rPr>
          <w:b w:val="0"/>
          <w:spacing w:val="40"/>
        </w:rPr>
        <w:t> </w:t>
      </w:r>
      <w:r>
        <w:rPr>
          <w:b w:val="0"/>
        </w:rPr>
        <w:t>reformed the Executive in October 2020.</w:t>
      </w:r>
    </w:p>
    <w:p>
      <w:pPr>
        <w:pStyle w:val="BodyText"/>
        <w:rPr>
          <w:b w:val="0"/>
        </w:rPr>
      </w:pPr>
    </w:p>
    <w:p>
      <w:pPr>
        <w:pStyle w:val="BodyText"/>
        <w:spacing w:before="132"/>
        <w:rPr>
          <w:b w:val="0"/>
        </w:rPr>
      </w:pPr>
    </w:p>
    <w:p>
      <w:pPr>
        <w:pStyle w:val="Heading9"/>
      </w:pPr>
      <w:r>
        <w:rPr/>
        <w:t>EXECUTIVE</w:t>
      </w:r>
      <w:r>
        <w:rPr>
          <w:spacing w:val="23"/>
        </w:rPr>
        <w:t> </w:t>
      </w:r>
      <w:r>
        <w:rPr>
          <w:spacing w:val="-4"/>
        </w:rPr>
        <w:t>2021</w:t>
      </w:r>
    </w:p>
    <w:p>
      <w:pPr>
        <w:pStyle w:val="BodyText"/>
        <w:spacing w:line="295" w:lineRule="auto" w:before="154"/>
        <w:ind w:left="193" w:right="95"/>
        <w:rPr>
          <w:b w:val="0"/>
        </w:rPr>
      </w:pPr>
      <w:r>
        <w:rPr>
          <w:b w:val="0"/>
        </w:rPr>
        <w:t>The Senate appoints the Vice-Chancellor and works in</w:t>
      </w:r>
      <w:r>
        <w:rPr>
          <w:b w:val="0"/>
          <w:spacing w:val="40"/>
        </w:rPr>
        <w:t> </w:t>
      </w:r>
      <w:r>
        <w:rPr>
          <w:b w:val="0"/>
        </w:rPr>
        <w:t>partnership with the incumbent in this role to maximise</w:t>
      </w:r>
      <w:r>
        <w:rPr>
          <w:b w:val="0"/>
          <w:spacing w:val="40"/>
        </w:rPr>
        <w:t> </w:t>
      </w:r>
      <w:r>
        <w:rPr>
          <w:b w:val="0"/>
        </w:rPr>
        <w:t>the University’s capacity and performance, and to ensure</w:t>
      </w:r>
      <w:r>
        <w:rPr>
          <w:b w:val="0"/>
          <w:spacing w:val="40"/>
        </w:rPr>
        <w:t> </w:t>
      </w:r>
      <w:r>
        <w:rPr>
          <w:b w:val="0"/>
        </w:rPr>
        <w:t>its fiscal viability.</w:t>
      </w:r>
    </w:p>
    <w:p>
      <w:pPr>
        <w:pStyle w:val="BodyText"/>
        <w:spacing w:before="48"/>
        <w:rPr>
          <w:b w:val="0"/>
        </w:rPr>
      </w:pPr>
    </w:p>
    <w:p>
      <w:pPr>
        <w:spacing w:before="0"/>
        <w:ind w:left="193" w:right="0" w:firstLine="0"/>
        <w:jc w:val="left"/>
        <w:rPr>
          <w:rFonts w:ascii="TT Norms Pro Medium"/>
          <w:b/>
          <w:sz w:val="18"/>
        </w:rPr>
      </w:pPr>
      <w:r>
        <w:rPr>
          <w:rFonts w:ascii="TT Norms Pro Medium"/>
          <w:b/>
          <w:w w:val="90"/>
          <w:sz w:val="18"/>
        </w:rPr>
        <w:t>Vice-</w:t>
      </w:r>
      <w:r>
        <w:rPr>
          <w:rFonts w:ascii="TT Norms Pro Medium"/>
          <w:b/>
          <w:spacing w:val="-2"/>
          <w:sz w:val="18"/>
        </w:rPr>
        <w:t>Chancellor</w:t>
      </w:r>
    </w:p>
    <w:p>
      <w:pPr>
        <w:pStyle w:val="ListParagraph"/>
        <w:numPr>
          <w:ilvl w:val="0"/>
          <w:numId w:val="3"/>
        </w:numPr>
        <w:tabs>
          <w:tab w:pos="357" w:val="left" w:leader="none"/>
        </w:tabs>
        <w:spacing w:line="240" w:lineRule="auto" w:before="50" w:after="0"/>
        <w:ind w:left="357" w:right="0" w:hanging="164"/>
        <w:jc w:val="left"/>
        <w:rPr>
          <w:rFonts w:ascii="TT Norms Pro Medium" w:hAnsi="TT Norms Pro Medium"/>
          <w:b/>
          <w:sz w:val="18"/>
        </w:rPr>
      </w:pPr>
      <w:r>
        <w:rPr>
          <w:rFonts w:ascii="TT Norms Pro Medium" w:hAnsi="TT Norms Pro Medium"/>
          <w:b/>
          <w:w w:val="90"/>
          <w:sz w:val="18"/>
        </w:rPr>
        <w:t>Professor</w:t>
      </w:r>
      <w:r>
        <w:rPr>
          <w:rFonts w:ascii="TT Norms Pro Medium" w:hAnsi="TT Norms Pro Medium"/>
          <w:b/>
          <w:spacing w:val="16"/>
          <w:sz w:val="18"/>
        </w:rPr>
        <w:t> </w:t>
      </w:r>
      <w:r>
        <w:rPr>
          <w:rFonts w:ascii="TT Norms Pro Medium" w:hAnsi="TT Norms Pro Medium"/>
          <w:b/>
          <w:w w:val="90"/>
          <w:sz w:val="18"/>
        </w:rPr>
        <w:t>Amit</w:t>
      </w:r>
      <w:r>
        <w:rPr>
          <w:rFonts w:ascii="TT Norms Pro Medium" w:hAnsi="TT Norms Pro Medium"/>
          <w:b/>
          <w:spacing w:val="16"/>
          <w:sz w:val="18"/>
        </w:rPr>
        <w:t> </w:t>
      </w:r>
      <w:r>
        <w:rPr>
          <w:rFonts w:ascii="TT Norms Pro Medium" w:hAnsi="TT Norms Pro Medium"/>
          <w:b/>
          <w:spacing w:val="-2"/>
          <w:w w:val="90"/>
          <w:sz w:val="18"/>
        </w:rPr>
        <w:t>Chakma</w:t>
      </w:r>
    </w:p>
    <w:p>
      <w:pPr>
        <w:pStyle w:val="BodyText"/>
        <w:spacing w:line="295" w:lineRule="auto" w:before="49"/>
        <w:ind w:left="193"/>
        <w:rPr>
          <w:b w:val="0"/>
        </w:rPr>
      </w:pPr>
      <w:r>
        <w:rPr/>
        <mc:AlternateContent>
          <mc:Choice Requires="wps">
            <w:drawing>
              <wp:anchor distT="0" distB="0" distL="0" distR="0" allowOverlap="1" layoutInCell="1" locked="0" behindDoc="0" simplePos="0" relativeHeight="15777792">
                <wp:simplePos x="0" y="0"/>
                <wp:positionH relativeFrom="page">
                  <wp:posOffset>7111289</wp:posOffset>
                </wp:positionH>
                <wp:positionV relativeFrom="paragraph">
                  <wp:posOffset>966214</wp:posOffset>
                </wp:positionV>
                <wp:extent cx="177800" cy="1848485"/>
                <wp:effectExtent l="0" t="0" r="0" b="0"/>
                <wp:wrapNone/>
                <wp:docPr id="248" name="Textbox 248"/>
                <wp:cNvGraphicFramePr>
                  <a:graphicFrameLocks/>
                </wp:cNvGraphicFramePr>
                <a:graphic>
                  <a:graphicData uri="http://schemas.microsoft.com/office/word/2010/wordprocessingShape">
                    <wps:wsp>
                      <wps:cNvPr id="248" name="Textbox 248"/>
                      <wps:cNvSpPr txBox="1"/>
                      <wps:spPr>
                        <a:xfrm>
                          <a:off x="0" y="0"/>
                          <a:ext cx="177800" cy="184848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76.079903pt;width:14pt;height:145.550pt;mso-position-horizontal-relative:page;mso-position-vertical-relative:paragraph;z-index:15777792" type="#_x0000_t202" id="docshape156"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v:textbox>
                <w10:wrap type="none"/>
              </v:shape>
            </w:pict>
          </mc:Fallback>
        </mc:AlternateContent>
      </w:r>
      <w:r>
        <w:rPr>
          <w:b w:val="0"/>
        </w:rPr>
        <w:t>Appointed as the Chief Executive Officer and is delegated</w:t>
      </w:r>
      <w:r>
        <w:rPr>
          <w:b w:val="0"/>
          <w:spacing w:val="40"/>
        </w:rPr>
        <w:t> </w:t>
      </w:r>
      <w:r>
        <w:rPr>
          <w:b w:val="0"/>
        </w:rPr>
        <w:t>operational responsibility of the University. The Vice-</w:t>
      </w:r>
      <w:r>
        <w:rPr>
          <w:b w:val="0"/>
          <w:spacing w:val="40"/>
        </w:rPr>
        <w:t> </w:t>
      </w:r>
      <w:r>
        <w:rPr>
          <w:b w:val="0"/>
        </w:rPr>
        <w:t>Chancellor appoints an executive group to assist with</w:t>
      </w:r>
      <w:r>
        <w:rPr>
          <w:b w:val="0"/>
          <w:spacing w:val="40"/>
        </w:rPr>
        <w:t> </w:t>
      </w:r>
      <w:r>
        <w:rPr>
          <w:b w:val="0"/>
        </w:rPr>
        <w:t>responsibilities for the academic, financial, administrative</w:t>
      </w:r>
      <w:r>
        <w:rPr>
          <w:b w:val="0"/>
          <w:spacing w:val="40"/>
        </w:rPr>
        <w:t> </w:t>
      </w:r>
      <w:r>
        <w:rPr>
          <w:b w:val="0"/>
        </w:rPr>
        <w:t>and other business of the University.</w:t>
      </w:r>
    </w:p>
    <w:p>
      <w:pPr>
        <w:spacing w:before="126"/>
        <w:ind w:left="193" w:right="0" w:firstLine="0"/>
        <w:jc w:val="left"/>
        <w:rPr>
          <w:rFonts w:ascii="TT Norms Pro Medium"/>
          <w:b/>
          <w:sz w:val="18"/>
        </w:rPr>
      </w:pPr>
      <w:r>
        <w:rPr/>
        <w:br w:type="column"/>
      </w:r>
      <w:r>
        <w:rPr>
          <w:rFonts w:ascii="TT Norms Pro Medium"/>
          <w:b/>
          <w:w w:val="90"/>
          <w:sz w:val="18"/>
        </w:rPr>
        <w:t>Senior</w:t>
      </w:r>
      <w:r>
        <w:rPr>
          <w:rFonts w:ascii="TT Norms Pro Medium"/>
          <w:b/>
          <w:spacing w:val="29"/>
          <w:sz w:val="18"/>
        </w:rPr>
        <w:t> </w:t>
      </w:r>
      <w:r>
        <w:rPr>
          <w:rFonts w:ascii="TT Norms Pro Medium"/>
          <w:b/>
          <w:w w:val="90"/>
          <w:sz w:val="18"/>
        </w:rPr>
        <w:t>Deputy</w:t>
      </w:r>
      <w:r>
        <w:rPr>
          <w:rFonts w:ascii="TT Norms Pro Medium"/>
          <w:b/>
          <w:spacing w:val="30"/>
          <w:sz w:val="18"/>
        </w:rPr>
        <w:t> </w:t>
      </w:r>
      <w:r>
        <w:rPr>
          <w:rFonts w:ascii="TT Norms Pro Medium"/>
          <w:b/>
          <w:w w:val="90"/>
          <w:sz w:val="18"/>
        </w:rPr>
        <w:t>Vice-</w:t>
      </w:r>
      <w:r>
        <w:rPr>
          <w:rFonts w:ascii="TT Norms Pro Medium"/>
          <w:b/>
          <w:spacing w:val="-2"/>
          <w:w w:val="90"/>
          <w:sz w:val="18"/>
        </w:rPr>
        <w:t>Chancellor</w:t>
      </w:r>
    </w:p>
    <w:p>
      <w:pPr>
        <w:pStyle w:val="ListParagraph"/>
        <w:numPr>
          <w:ilvl w:val="0"/>
          <w:numId w:val="3"/>
        </w:numPr>
        <w:tabs>
          <w:tab w:pos="357" w:val="left" w:leader="none"/>
        </w:tabs>
        <w:spacing w:line="240" w:lineRule="auto" w:before="49" w:after="0"/>
        <w:ind w:left="357" w:right="0" w:hanging="164"/>
        <w:jc w:val="left"/>
        <w:rPr>
          <w:rFonts w:ascii="TT Norms Pro Medium" w:hAnsi="TT Norms Pro Medium"/>
          <w:b/>
          <w:sz w:val="18"/>
        </w:rPr>
      </w:pPr>
      <w:r>
        <w:rPr>
          <w:rFonts w:ascii="TT Norms Pro Medium" w:hAnsi="TT Norms Pro Medium"/>
          <w:b/>
          <w:w w:val="90"/>
          <w:sz w:val="18"/>
        </w:rPr>
        <w:t>Professor</w:t>
      </w:r>
      <w:r>
        <w:rPr>
          <w:rFonts w:ascii="TT Norms Pro Medium" w:hAnsi="TT Norms Pro Medium"/>
          <w:b/>
          <w:spacing w:val="20"/>
          <w:sz w:val="18"/>
        </w:rPr>
        <w:t> </w:t>
      </w:r>
      <w:r>
        <w:rPr>
          <w:rFonts w:ascii="TT Norms Pro Medium" w:hAnsi="TT Norms Pro Medium"/>
          <w:b/>
          <w:w w:val="90"/>
          <w:sz w:val="18"/>
        </w:rPr>
        <w:t>Simon</w:t>
      </w:r>
      <w:r>
        <w:rPr>
          <w:rFonts w:ascii="TT Norms Pro Medium" w:hAnsi="TT Norms Pro Medium"/>
          <w:b/>
          <w:spacing w:val="20"/>
          <w:sz w:val="18"/>
        </w:rPr>
        <w:t> </w:t>
      </w:r>
      <w:r>
        <w:rPr>
          <w:rFonts w:ascii="TT Norms Pro Medium" w:hAnsi="TT Norms Pro Medium"/>
          <w:b/>
          <w:spacing w:val="-2"/>
          <w:w w:val="90"/>
          <w:sz w:val="18"/>
        </w:rPr>
        <w:t>Biggs</w:t>
      </w:r>
    </w:p>
    <w:p>
      <w:pPr>
        <w:pStyle w:val="BodyText"/>
        <w:spacing w:line="295" w:lineRule="auto" w:before="49"/>
        <w:ind w:left="193" w:right="1013"/>
        <w:rPr>
          <w:b w:val="0"/>
        </w:rPr>
      </w:pPr>
      <w:r>
        <w:rPr>
          <w:b w:val="0"/>
        </w:rPr>
        <w:t>Responsible for broad line management of the Heads of</w:t>
      </w:r>
      <w:r>
        <w:rPr>
          <w:b w:val="0"/>
          <w:spacing w:val="40"/>
        </w:rPr>
        <w:t> </w:t>
      </w:r>
      <w:r>
        <w:rPr>
          <w:b w:val="0"/>
        </w:rPr>
        <w:t>School, academic performance, staffing policy, and</w:t>
      </w:r>
      <w:r>
        <w:rPr>
          <w:b w:val="0"/>
          <w:spacing w:val="40"/>
        </w:rPr>
        <w:t> </w:t>
      </w:r>
      <w:r>
        <w:rPr>
          <w:b w:val="0"/>
        </w:rPr>
        <w:t>deputising for the Vice-Chancellor in his absence.</w:t>
      </w:r>
    </w:p>
    <w:p>
      <w:pPr>
        <w:pStyle w:val="BodyText"/>
        <w:spacing w:before="48"/>
        <w:rPr>
          <w:b w:val="0"/>
        </w:rPr>
      </w:pPr>
    </w:p>
    <w:p>
      <w:pPr>
        <w:spacing w:before="0"/>
        <w:ind w:left="193" w:right="0" w:firstLine="0"/>
        <w:jc w:val="left"/>
        <w:rPr>
          <w:rFonts w:ascii="TT Norms Pro Medium"/>
          <w:b/>
          <w:sz w:val="18"/>
        </w:rPr>
      </w:pPr>
      <w:r>
        <w:rPr>
          <w:rFonts w:ascii="TT Norms Pro Medium"/>
          <w:b/>
          <w:spacing w:val="2"/>
          <w:w w:val="90"/>
          <w:sz w:val="18"/>
        </w:rPr>
        <w:t>Deputy</w:t>
      </w:r>
      <w:r>
        <w:rPr>
          <w:rFonts w:ascii="TT Norms Pro Medium"/>
          <w:b/>
          <w:spacing w:val="14"/>
          <w:sz w:val="18"/>
        </w:rPr>
        <w:t> </w:t>
      </w:r>
      <w:r>
        <w:rPr>
          <w:rFonts w:ascii="TT Norms Pro Medium"/>
          <w:b/>
          <w:spacing w:val="2"/>
          <w:w w:val="90"/>
          <w:sz w:val="18"/>
        </w:rPr>
        <w:t>Vice-Chancellor</w:t>
      </w:r>
      <w:r>
        <w:rPr>
          <w:rFonts w:ascii="TT Norms Pro Medium"/>
          <w:b/>
          <w:spacing w:val="14"/>
          <w:sz w:val="18"/>
        </w:rPr>
        <w:t> </w:t>
      </w:r>
      <w:r>
        <w:rPr>
          <w:rFonts w:ascii="TT Norms Pro Medium"/>
          <w:b/>
          <w:spacing w:val="-2"/>
          <w:w w:val="90"/>
          <w:sz w:val="18"/>
        </w:rPr>
        <w:t>(Education)</w:t>
      </w:r>
    </w:p>
    <w:p>
      <w:pPr>
        <w:pStyle w:val="ListParagraph"/>
        <w:numPr>
          <w:ilvl w:val="0"/>
          <w:numId w:val="3"/>
        </w:numPr>
        <w:tabs>
          <w:tab w:pos="357" w:val="left" w:leader="none"/>
        </w:tabs>
        <w:spacing w:line="240" w:lineRule="auto" w:before="49" w:after="0"/>
        <w:ind w:left="357" w:right="0" w:hanging="164"/>
        <w:jc w:val="left"/>
        <w:rPr>
          <w:rFonts w:ascii="TT Norms Pro Medium" w:hAnsi="TT Norms Pro Medium"/>
          <w:b/>
          <w:sz w:val="18"/>
        </w:rPr>
      </w:pPr>
      <w:r>
        <w:rPr>
          <w:rFonts w:ascii="TT Norms Pro Medium" w:hAnsi="TT Norms Pro Medium"/>
          <w:b/>
          <w:w w:val="90"/>
          <w:sz w:val="18"/>
        </w:rPr>
        <w:t>Professor</w:t>
      </w:r>
      <w:r>
        <w:rPr>
          <w:rFonts w:ascii="TT Norms Pro Medium" w:hAnsi="TT Norms Pro Medium"/>
          <w:b/>
          <w:spacing w:val="15"/>
          <w:sz w:val="18"/>
        </w:rPr>
        <w:t> </w:t>
      </w:r>
      <w:r>
        <w:rPr>
          <w:rFonts w:ascii="TT Norms Pro Medium" w:hAnsi="TT Norms Pro Medium"/>
          <w:b/>
          <w:w w:val="90"/>
          <w:sz w:val="18"/>
        </w:rPr>
        <w:t>David</w:t>
      </w:r>
      <w:r>
        <w:rPr>
          <w:rFonts w:ascii="TT Norms Pro Medium" w:hAnsi="TT Norms Pro Medium"/>
          <w:b/>
          <w:spacing w:val="15"/>
          <w:sz w:val="18"/>
        </w:rPr>
        <w:t> </w:t>
      </w:r>
      <w:r>
        <w:rPr>
          <w:rFonts w:ascii="TT Norms Pro Medium" w:hAnsi="TT Norms Pro Medium"/>
          <w:b/>
          <w:spacing w:val="-2"/>
          <w:w w:val="90"/>
          <w:sz w:val="18"/>
        </w:rPr>
        <w:t>Sadler</w:t>
      </w:r>
    </w:p>
    <w:p>
      <w:pPr>
        <w:pStyle w:val="BodyText"/>
        <w:spacing w:line="295" w:lineRule="auto" w:before="50"/>
        <w:ind w:left="193" w:right="1013"/>
        <w:rPr>
          <w:b w:val="0"/>
        </w:rPr>
      </w:pPr>
      <w:r>
        <w:rPr>
          <w:b w:val="0"/>
        </w:rPr>
        <w:t>Responsible for undergraduate and postgraduate</w:t>
      </w:r>
      <w:r>
        <w:rPr>
          <w:b w:val="0"/>
          <w:spacing w:val="40"/>
        </w:rPr>
        <w:t> </w:t>
      </w:r>
      <w:r>
        <w:rPr>
          <w:b w:val="0"/>
        </w:rPr>
        <w:t>coursework education, education policy, and the UWA</w:t>
      </w:r>
      <w:r>
        <w:rPr>
          <w:b w:val="0"/>
          <w:spacing w:val="40"/>
        </w:rPr>
        <w:t> </w:t>
      </w:r>
      <w:r>
        <w:rPr>
          <w:b w:val="0"/>
        </w:rPr>
        <w:t>student</w:t>
      </w:r>
      <w:r>
        <w:rPr>
          <w:b w:val="0"/>
          <w:spacing w:val="-5"/>
        </w:rPr>
        <w:t> </w:t>
      </w:r>
      <w:r>
        <w:rPr>
          <w:b w:val="0"/>
        </w:rPr>
        <w:t>experience.</w:t>
      </w:r>
    </w:p>
    <w:p>
      <w:pPr>
        <w:pStyle w:val="BodyText"/>
        <w:spacing w:before="47"/>
        <w:rPr>
          <w:b w:val="0"/>
        </w:rPr>
      </w:pPr>
    </w:p>
    <w:p>
      <w:pPr>
        <w:spacing w:before="0"/>
        <w:ind w:left="193" w:right="0" w:firstLine="0"/>
        <w:jc w:val="left"/>
        <w:rPr>
          <w:rFonts w:ascii="TT Norms Pro Medium"/>
          <w:b/>
          <w:sz w:val="18"/>
        </w:rPr>
      </w:pPr>
      <w:r>
        <w:rPr>
          <w:rFonts w:ascii="TT Norms Pro Medium"/>
          <w:b/>
          <w:spacing w:val="2"/>
          <w:w w:val="90"/>
          <w:sz w:val="18"/>
        </w:rPr>
        <w:t>Deputy</w:t>
      </w:r>
      <w:r>
        <w:rPr>
          <w:rFonts w:ascii="TT Norms Pro Medium"/>
          <w:b/>
          <w:spacing w:val="14"/>
          <w:sz w:val="18"/>
        </w:rPr>
        <w:t> </w:t>
      </w:r>
      <w:r>
        <w:rPr>
          <w:rFonts w:ascii="TT Norms Pro Medium"/>
          <w:b/>
          <w:spacing w:val="2"/>
          <w:w w:val="90"/>
          <w:sz w:val="18"/>
        </w:rPr>
        <w:t>Vice-Chancellor</w:t>
      </w:r>
      <w:r>
        <w:rPr>
          <w:rFonts w:ascii="TT Norms Pro Medium"/>
          <w:b/>
          <w:spacing w:val="14"/>
          <w:sz w:val="18"/>
        </w:rPr>
        <w:t> </w:t>
      </w:r>
      <w:r>
        <w:rPr>
          <w:rFonts w:ascii="TT Norms Pro Medium"/>
          <w:b/>
          <w:spacing w:val="-2"/>
          <w:w w:val="90"/>
          <w:sz w:val="18"/>
        </w:rPr>
        <w:t>(Research)</w:t>
      </w:r>
    </w:p>
    <w:p>
      <w:pPr>
        <w:pStyle w:val="ListParagraph"/>
        <w:numPr>
          <w:ilvl w:val="0"/>
          <w:numId w:val="3"/>
        </w:numPr>
        <w:tabs>
          <w:tab w:pos="357" w:val="left" w:leader="none"/>
        </w:tabs>
        <w:spacing w:line="240" w:lineRule="auto" w:before="49" w:after="0"/>
        <w:ind w:left="357" w:right="0" w:hanging="164"/>
        <w:jc w:val="left"/>
        <w:rPr>
          <w:rFonts w:ascii="TT Norms Pro Medium" w:hAnsi="TT Norms Pro Medium"/>
          <w:b/>
          <w:sz w:val="18"/>
        </w:rPr>
      </w:pPr>
      <w:r>
        <w:rPr>
          <w:rFonts w:ascii="TT Norms Pro Medium" w:hAnsi="TT Norms Pro Medium"/>
          <w:b/>
          <w:w w:val="90"/>
          <w:sz w:val="18"/>
        </w:rPr>
        <w:t>Professor</w:t>
      </w:r>
      <w:r>
        <w:rPr>
          <w:rFonts w:ascii="TT Norms Pro Medium" w:hAnsi="TT Norms Pro Medium"/>
          <w:b/>
          <w:spacing w:val="14"/>
          <w:sz w:val="18"/>
        </w:rPr>
        <w:t> </w:t>
      </w:r>
      <w:r>
        <w:rPr>
          <w:rFonts w:ascii="TT Norms Pro Medium" w:hAnsi="TT Norms Pro Medium"/>
          <w:b/>
          <w:w w:val="90"/>
          <w:sz w:val="18"/>
        </w:rPr>
        <w:t>Tim</w:t>
      </w:r>
      <w:r>
        <w:rPr>
          <w:rFonts w:ascii="TT Norms Pro Medium" w:hAnsi="TT Norms Pro Medium"/>
          <w:b/>
          <w:spacing w:val="15"/>
          <w:sz w:val="18"/>
        </w:rPr>
        <w:t> </w:t>
      </w:r>
      <w:r>
        <w:rPr>
          <w:rFonts w:ascii="TT Norms Pro Medium" w:hAnsi="TT Norms Pro Medium"/>
          <w:b/>
          <w:spacing w:val="-2"/>
          <w:w w:val="90"/>
          <w:sz w:val="18"/>
        </w:rPr>
        <w:t>Colmer</w:t>
      </w:r>
    </w:p>
    <w:p>
      <w:pPr>
        <w:pStyle w:val="BodyText"/>
        <w:spacing w:line="295" w:lineRule="auto" w:before="50"/>
        <w:ind w:left="193" w:right="1221"/>
        <w:rPr>
          <w:b w:val="0"/>
        </w:rPr>
      </w:pPr>
      <w:r>
        <w:rPr>
          <w:b w:val="0"/>
        </w:rPr>
        <w:t>Responsible for research and research training, research</w:t>
      </w:r>
      <w:r>
        <w:rPr>
          <w:b w:val="0"/>
          <w:spacing w:val="40"/>
        </w:rPr>
        <w:t> </w:t>
      </w:r>
      <w:r>
        <w:rPr>
          <w:b w:val="0"/>
        </w:rPr>
        <w:t>policy, research translation and commercialisation, and</w:t>
      </w:r>
      <w:r>
        <w:rPr>
          <w:b w:val="0"/>
          <w:spacing w:val="40"/>
        </w:rPr>
        <w:t> </w:t>
      </w:r>
      <w:r>
        <w:rPr>
          <w:b w:val="0"/>
        </w:rPr>
        <w:t>the University Library.</w:t>
      </w:r>
    </w:p>
    <w:p>
      <w:pPr>
        <w:pStyle w:val="BodyText"/>
        <w:spacing w:before="47"/>
        <w:rPr>
          <w:b w:val="0"/>
        </w:rPr>
      </w:pPr>
    </w:p>
    <w:p>
      <w:pPr>
        <w:pStyle w:val="BodyText"/>
        <w:spacing w:line="295" w:lineRule="auto"/>
        <w:ind w:left="193" w:right="1391"/>
        <w:rPr>
          <w:b w:val="0"/>
        </w:rPr>
      </w:pPr>
      <w:r>
        <w:rPr>
          <w:rFonts w:ascii="TT Norms Pro Medium" w:hAnsi="TT Norms Pro Medium"/>
          <w:b/>
          <w:spacing w:val="-2"/>
        </w:rPr>
        <w:t>Chief</w:t>
      </w:r>
      <w:r>
        <w:rPr>
          <w:rFonts w:ascii="TT Norms Pro Medium" w:hAnsi="TT Norms Pro Medium"/>
          <w:b/>
          <w:spacing w:val="-5"/>
        </w:rPr>
        <w:t> </w:t>
      </w:r>
      <w:r>
        <w:rPr>
          <w:rFonts w:ascii="TT Norms Pro Medium" w:hAnsi="TT Norms Pro Medium"/>
          <w:b/>
          <w:spacing w:val="-2"/>
        </w:rPr>
        <w:t>Financial</w:t>
      </w:r>
      <w:r>
        <w:rPr>
          <w:rFonts w:ascii="TT Norms Pro Medium" w:hAnsi="TT Norms Pro Medium"/>
          <w:b/>
          <w:spacing w:val="-5"/>
        </w:rPr>
        <w:t> </w:t>
      </w:r>
      <w:r>
        <w:rPr>
          <w:rFonts w:ascii="TT Norms Pro Medium" w:hAnsi="TT Norms Pro Medium"/>
          <w:b/>
          <w:spacing w:val="-2"/>
        </w:rPr>
        <w:t>Officer</w:t>
      </w:r>
      <w:r>
        <w:rPr>
          <w:rFonts w:ascii="TT Norms Pro Medium" w:hAnsi="TT Norms Pro Medium"/>
          <w:b/>
          <w:spacing w:val="-5"/>
        </w:rPr>
        <w:t> </w:t>
      </w:r>
      <w:r>
        <w:rPr>
          <w:rFonts w:ascii="TT Norms Pro Medium" w:hAnsi="TT Norms Pro Medium"/>
          <w:b/>
          <w:spacing w:val="-2"/>
        </w:rPr>
        <w:t>—</w:t>
      </w:r>
      <w:r>
        <w:rPr>
          <w:rFonts w:ascii="TT Norms Pro Medium" w:hAnsi="TT Norms Pro Medium"/>
          <w:b/>
          <w:spacing w:val="-5"/>
        </w:rPr>
        <w:t> </w:t>
      </w:r>
      <w:r>
        <w:rPr>
          <w:rFonts w:ascii="TT Norms Pro Medium" w:hAnsi="TT Norms Pro Medium"/>
          <w:b/>
          <w:spacing w:val="-2"/>
        </w:rPr>
        <w:t>Ms</w:t>
      </w:r>
      <w:r>
        <w:rPr>
          <w:rFonts w:ascii="TT Norms Pro Medium" w:hAnsi="TT Norms Pro Medium"/>
          <w:b/>
          <w:spacing w:val="-5"/>
        </w:rPr>
        <w:t> </w:t>
      </w:r>
      <w:r>
        <w:rPr>
          <w:rFonts w:ascii="TT Norms Pro Medium" w:hAnsi="TT Norms Pro Medium"/>
          <w:b/>
          <w:spacing w:val="-2"/>
        </w:rPr>
        <w:t>Leona</w:t>
      </w:r>
      <w:r>
        <w:rPr>
          <w:rFonts w:ascii="TT Norms Pro Medium" w:hAnsi="TT Norms Pro Medium"/>
          <w:b/>
          <w:spacing w:val="-5"/>
        </w:rPr>
        <w:t> </w:t>
      </w:r>
      <w:r>
        <w:rPr>
          <w:rFonts w:ascii="TT Norms Pro Medium" w:hAnsi="TT Norms Pro Medium"/>
          <w:b/>
          <w:spacing w:val="-2"/>
        </w:rPr>
        <w:t>Marquand </w:t>
      </w:r>
      <w:r>
        <w:rPr>
          <w:b w:val="0"/>
        </w:rPr>
        <w:t>Responsible for the University’s financial strategy,</w:t>
      </w:r>
      <w:r>
        <w:rPr>
          <w:b w:val="0"/>
          <w:spacing w:val="80"/>
        </w:rPr>
        <w:t> </w:t>
      </w:r>
      <w:r>
        <w:rPr>
          <w:b w:val="0"/>
        </w:rPr>
        <w:t>policy and compliance, including financial planning and</w:t>
      </w:r>
      <w:r>
        <w:rPr>
          <w:b w:val="0"/>
          <w:spacing w:val="40"/>
        </w:rPr>
        <w:t> </w:t>
      </w:r>
      <w:r>
        <w:rPr>
          <w:b w:val="0"/>
        </w:rPr>
        <w:t>budget, financial administration, financial management</w:t>
      </w:r>
      <w:r>
        <w:rPr>
          <w:b w:val="0"/>
          <w:spacing w:val="40"/>
        </w:rPr>
        <w:t> </w:t>
      </w:r>
      <w:r>
        <w:rPr>
          <w:b w:val="0"/>
        </w:rPr>
        <w:t>and reporting, procurement, and investment and</w:t>
      </w:r>
    </w:p>
    <w:p>
      <w:pPr>
        <w:pStyle w:val="BodyText"/>
        <w:spacing w:before="5"/>
        <w:ind w:left="193"/>
        <w:rPr>
          <w:b w:val="0"/>
        </w:rPr>
      </w:pPr>
      <w:r>
        <w:rPr>
          <w:b w:val="0"/>
        </w:rPr>
        <w:t>debt </w:t>
      </w:r>
      <w:r>
        <w:rPr>
          <w:b w:val="0"/>
          <w:spacing w:val="-2"/>
        </w:rPr>
        <w:t>portfolios.</w:t>
      </w:r>
    </w:p>
    <w:p>
      <w:pPr>
        <w:pStyle w:val="BodyText"/>
        <w:spacing w:before="93"/>
        <w:rPr>
          <w:b w:val="0"/>
        </w:rPr>
      </w:pPr>
    </w:p>
    <w:p>
      <w:pPr>
        <w:pStyle w:val="BodyText"/>
        <w:spacing w:line="295" w:lineRule="auto" w:before="1"/>
        <w:ind w:left="193" w:right="1013"/>
        <w:rPr>
          <w:b w:val="0"/>
        </w:rPr>
      </w:pPr>
      <w:r>
        <w:rPr>
          <w:b w:val="0"/>
        </w:rPr>
        <w:t>The Vice-Chancellor may also appoint other roles whose</w:t>
      </w:r>
      <w:r>
        <w:rPr>
          <w:b w:val="0"/>
          <w:spacing w:val="40"/>
        </w:rPr>
        <w:t> </w:t>
      </w:r>
      <w:r>
        <w:rPr>
          <w:b w:val="0"/>
        </w:rPr>
        <w:t>responsibilities extend across the University.</w:t>
      </w:r>
    </w:p>
    <w:p>
      <w:pPr>
        <w:pStyle w:val="BodyText"/>
        <w:spacing w:before="46"/>
        <w:rPr>
          <w:b w:val="0"/>
        </w:rPr>
      </w:pPr>
    </w:p>
    <w:p>
      <w:pPr>
        <w:pStyle w:val="BodyText"/>
        <w:spacing w:line="295" w:lineRule="auto"/>
        <w:ind w:left="193" w:right="2070"/>
        <w:rPr>
          <w:b w:val="0"/>
        </w:rPr>
      </w:pPr>
      <w:r>
        <w:rPr>
          <w:b w:val="0"/>
        </w:rPr>
        <w:t>Deputy Vice-Chancellor (Global Partnerships)</w:t>
      </w:r>
      <w:r>
        <w:rPr>
          <w:b w:val="0"/>
          <w:spacing w:val="40"/>
        </w:rPr>
        <w:t> </w:t>
      </w:r>
      <w:r>
        <w:rPr>
          <w:b w:val="0"/>
        </w:rPr>
        <w:t>– Mr Tayyeb Shah</w:t>
      </w:r>
    </w:p>
    <w:p>
      <w:pPr>
        <w:pStyle w:val="BodyText"/>
        <w:spacing w:line="295" w:lineRule="auto" w:before="115"/>
        <w:ind w:left="193" w:right="3149"/>
        <w:rPr>
          <w:b w:val="0"/>
        </w:rPr>
      </w:pPr>
      <w:r>
        <w:rPr>
          <w:b w:val="0"/>
        </w:rPr>
        <w:t>Pro</w:t>
      </w:r>
      <w:r>
        <w:rPr>
          <w:b w:val="0"/>
          <w:spacing w:val="-4"/>
        </w:rPr>
        <w:t> </w:t>
      </w:r>
      <w:r>
        <w:rPr>
          <w:b w:val="0"/>
        </w:rPr>
        <w:t>Vice-Chancellor</w:t>
      </w:r>
      <w:r>
        <w:rPr>
          <w:b w:val="0"/>
          <w:spacing w:val="-4"/>
        </w:rPr>
        <w:t> </w:t>
      </w:r>
      <w:r>
        <w:rPr>
          <w:b w:val="0"/>
        </w:rPr>
        <w:t>(Academic)</w:t>
      </w:r>
      <w:r>
        <w:rPr>
          <w:b w:val="0"/>
          <w:spacing w:val="40"/>
        </w:rPr>
        <w:t> </w:t>
      </w:r>
      <w:r>
        <w:rPr>
          <w:b w:val="0"/>
        </w:rPr>
        <w:t>– Professor Graham Brown</w:t>
      </w:r>
    </w:p>
    <w:p>
      <w:pPr>
        <w:pStyle w:val="BodyText"/>
        <w:spacing w:line="295" w:lineRule="auto" w:before="115"/>
        <w:ind w:left="193" w:right="2909"/>
        <w:rPr>
          <w:b w:val="0"/>
        </w:rPr>
      </w:pPr>
      <w:r>
        <w:rPr>
          <w:b w:val="0"/>
        </w:rPr>
        <w:t>Pro</w:t>
      </w:r>
      <w:r>
        <w:rPr>
          <w:b w:val="0"/>
          <w:spacing w:val="-2"/>
        </w:rPr>
        <w:t> </w:t>
      </w:r>
      <w:r>
        <w:rPr>
          <w:b w:val="0"/>
        </w:rPr>
        <w:t>Vice-Chancellor</w:t>
      </w:r>
      <w:r>
        <w:rPr>
          <w:b w:val="0"/>
          <w:spacing w:val="-2"/>
        </w:rPr>
        <w:t> </w:t>
      </w:r>
      <w:r>
        <w:rPr>
          <w:b w:val="0"/>
        </w:rPr>
        <w:t>(Engagement)</w:t>
      </w:r>
      <w:r>
        <w:rPr>
          <w:b w:val="0"/>
          <w:spacing w:val="40"/>
        </w:rPr>
        <w:t> </w:t>
      </w:r>
      <w:r>
        <w:rPr>
          <w:b w:val="0"/>
        </w:rPr>
        <w:t>– Ms Samantha Tough</w:t>
      </w:r>
    </w:p>
    <w:p>
      <w:pPr>
        <w:pStyle w:val="BodyText"/>
        <w:spacing w:line="295" w:lineRule="auto" w:before="116"/>
        <w:ind w:left="193" w:right="2195"/>
        <w:rPr>
          <w:b w:val="0"/>
        </w:rPr>
      </w:pPr>
      <w:r>
        <w:rPr>
          <w:b w:val="0"/>
        </w:rPr>
        <w:t>Pro Vice-Chancellor (Indigenous Education)</w:t>
      </w:r>
      <w:r>
        <w:rPr>
          <w:b w:val="0"/>
          <w:spacing w:val="40"/>
        </w:rPr>
        <w:t> </w:t>
      </w:r>
      <w:r>
        <w:rPr>
          <w:b w:val="0"/>
        </w:rPr>
        <w:t>– Professor Jill Milroy AM</w:t>
      </w:r>
    </w:p>
    <w:p>
      <w:pPr>
        <w:pStyle w:val="BodyText"/>
        <w:spacing w:line="295" w:lineRule="auto" w:before="115"/>
        <w:ind w:left="193" w:right="3213"/>
        <w:rPr>
          <w:b w:val="0"/>
        </w:rPr>
      </w:pPr>
      <w:r>
        <w:rPr>
          <w:b w:val="0"/>
        </w:rPr>
        <w:t>Pro</w:t>
      </w:r>
      <w:r>
        <w:rPr>
          <w:b w:val="0"/>
          <w:spacing w:val="-8"/>
        </w:rPr>
        <w:t> </w:t>
      </w:r>
      <w:r>
        <w:rPr>
          <w:b w:val="0"/>
        </w:rPr>
        <w:t>Vice-Chancellor</w:t>
      </w:r>
      <w:r>
        <w:rPr>
          <w:b w:val="0"/>
          <w:spacing w:val="-8"/>
        </w:rPr>
        <w:t> </w:t>
      </w:r>
      <w:r>
        <w:rPr>
          <w:b w:val="0"/>
        </w:rPr>
        <w:t>(Research)</w:t>
      </w:r>
      <w:r>
        <w:rPr>
          <w:b w:val="0"/>
          <w:spacing w:val="40"/>
        </w:rPr>
        <w:t> </w:t>
      </w:r>
      <w:r>
        <w:rPr>
          <w:b w:val="0"/>
        </w:rPr>
        <w:t>– Professor Andrew Page</w:t>
      </w:r>
    </w:p>
    <w:p>
      <w:pPr>
        <w:spacing w:after="0" w:line="295" w:lineRule="auto"/>
        <w:sectPr>
          <w:type w:val="continuous"/>
          <w:pgSz w:w="11910" w:h="16840"/>
          <w:pgMar w:header="468" w:footer="0" w:top="980" w:bottom="280" w:left="940" w:right="0"/>
          <w:cols w:num="2" w:equalWidth="0">
            <w:col w:w="4834" w:space="183"/>
            <w:col w:w="5953"/>
          </w:cols>
        </w:sectPr>
      </w:pPr>
    </w:p>
    <w:p>
      <w:pPr>
        <w:spacing w:line="875" w:lineRule="exact" w:before="197"/>
        <w:ind w:left="193" w:right="0" w:firstLine="0"/>
        <w:jc w:val="left"/>
        <w:rPr>
          <w:rFonts w:ascii="Palatino Linotype"/>
          <w:sz w:val="70"/>
        </w:rPr>
      </w:pPr>
      <w:r>
        <w:rPr>
          <w:rFonts w:ascii="Palatino Linotype"/>
          <w:w w:val="110"/>
          <w:sz w:val="70"/>
        </w:rPr>
        <w:t>2020</w:t>
      </w:r>
      <w:r>
        <w:rPr>
          <w:rFonts w:ascii="Palatino Linotype"/>
          <w:spacing w:val="-46"/>
          <w:w w:val="110"/>
          <w:sz w:val="70"/>
        </w:rPr>
        <w:t> </w:t>
      </w:r>
      <w:r>
        <w:rPr>
          <w:rFonts w:ascii="Palatino Linotype"/>
          <w:spacing w:val="-5"/>
          <w:w w:val="110"/>
          <w:sz w:val="70"/>
        </w:rPr>
        <w:t>at</w:t>
      </w:r>
    </w:p>
    <w:p>
      <w:pPr>
        <w:spacing w:line="750" w:lineRule="exact" w:before="0"/>
        <w:ind w:left="1634" w:right="0" w:firstLine="0"/>
        <w:jc w:val="left"/>
        <w:rPr>
          <w:rFonts w:ascii="TT Norms Pro"/>
          <w:sz w:val="70"/>
        </w:rPr>
      </w:pPr>
      <w:r>
        <w:rPr>
          <w:rFonts w:ascii="TT Norms Pro"/>
          <w:sz w:val="70"/>
        </w:rPr>
        <w:t>a </w:t>
      </w:r>
      <w:r>
        <w:rPr>
          <w:rFonts w:ascii="TT Norms Pro"/>
          <w:spacing w:val="-2"/>
          <w:sz w:val="70"/>
        </w:rPr>
        <w:t>glance</w:t>
      </w:r>
    </w:p>
    <w:p>
      <w:pPr>
        <w:spacing w:line="240" w:lineRule="auto" w:before="0"/>
        <w:rPr>
          <w:rFonts w:ascii="TT Norms Pro"/>
          <w:sz w:val="24"/>
        </w:rPr>
      </w:pPr>
      <w:r>
        <w:rPr/>
        <w:br w:type="column"/>
      </w:r>
      <w:r>
        <w:rPr>
          <w:rFonts w:ascii="TT Norms Pro"/>
          <w:sz w:val="24"/>
        </w:rPr>
      </w:r>
    </w:p>
    <w:p>
      <w:pPr>
        <w:pStyle w:val="BodyText"/>
        <w:spacing w:before="90"/>
        <w:rPr>
          <w:rFonts w:ascii="TT Norms Pro"/>
          <w:sz w:val="24"/>
        </w:rPr>
      </w:pPr>
    </w:p>
    <w:p>
      <w:pPr>
        <w:spacing w:before="0"/>
        <w:ind w:left="193" w:right="1066" w:firstLine="0"/>
        <w:jc w:val="left"/>
        <w:rPr>
          <w:rFonts w:ascii="TT Norms Pro"/>
          <w:sz w:val="24"/>
        </w:rPr>
      </w:pPr>
      <w:r>
        <w:rPr>
          <w:rFonts w:ascii="TT Norms Pro"/>
          <w:color w:val="21409A"/>
          <w:sz w:val="24"/>
        </w:rPr>
        <w:t>In 2020 we effectively responded to the rapidly</w:t>
      </w:r>
      <w:r>
        <w:rPr>
          <w:rFonts w:ascii="TT Norms Pro"/>
          <w:color w:val="21409A"/>
          <w:spacing w:val="-13"/>
          <w:sz w:val="24"/>
        </w:rPr>
        <w:t> </w:t>
      </w:r>
      <w:r>
        <w:rPr>
          <w:rFonts w:ascii="TT Norms Pro"/>
          <w:color w:val="21409A"/>
          <w:sz w:val="24"/>
        </w:rPr>
        <w:t>evolving</w:t>
      </w:r>
      <w:r>
        <w:rPr>
          <w:rFonts w:ascii="TT Norms Pro"/>
          <w:color w:val="21409A"/>
          <w:spacing w:val="-13"/>
          <w:sz w:val="24"/>
        </w:rPr>
        <w:t> </w:t>
      </w:r>
      <w:r>
        <w:rPr>
          <w:rFonts w:ascii="TT Norms Pro"/>
          <w:color w:val="21409A"/>
          <w:sz w:val="24"/>
        </w:rPr>
        <w:t>COVID-19</w:t>
      </w:r>
      <w:r>
        <w:rPr>
          <w:rFonts w:ascii="TT Norms Pro"/>
          <w:color w:val="21409A"/>
          <w:spacing w:val="-11"/>
          <w:sz w:val="24"/>
        </w:rPr>
        <w:t> </w:t>
      </w:r>
      <w:r>
        <w:rPr>
          <w:rFonts w:ascii="TT Norms Pro"/>
          <w:color w:val="21409A"/>
          <w:sz w:val="24"/>
        </w:rPr>
        <w:t>situation,</w:t>
      </w:r>
      <w:r>
        <w:rPr>
          <w:rFonts w:ascii="TT Norms Pro"/>
          <w:color w:val="21409A"/>
          <w:spacing w:val="-12"/>
          <w:sz w:val="24"/>
        </w:rPr>
        <w:t> </w:t>
      </w:r>
      <w:r>
        <w:rPr>
          <w:rFonts w:ascii="TT Norms Pro"/>
          <w:color w:val="21409A"/>
          <w:sz w:val="24"/>
        </w:rPr>
        <w:t>and</w:t>
      </w:r>
      <w:r>
        <w:rPr>
          <w:rFonts w:ascii="TT Norms Pro"/>
          <w:color w:val="21409A"/>
          <w:spacing w:val="-11"/>
          <w:sz w:val="24"/>
        </w:rPr>
        <w:t> </w:t>
      </w:r>
      <w:r>
        <w:rPr>
          <w:rFonts w:ascii="TT Norms Pro"/>
          <w:color w:val="21409A"/>
          <w:sz w:val="24"/>
        </w:rPr>
        <w:t>also celebrated many significant achievements and milestones across the University.</w:t>
      </w:r>
    </w:p>
    <w:p>
      <w:pPr>
        <w:spacing w:after="0"/>
        <w:jc w:val="left"/>
        <w:rPr>
          <w:rFonts w:ascii="TT Norms Pro"/>
          <w:sz w:val="24"/>
        </w:rPr>
        <w:sectPr>
          <w:pgSz w:w="11910" w:h="16840"/>
          <w:pgMar w:header="468" w:footer="0" w:top="720" w:bottom="280" w:left="940" w:right="0"/>
          <w:cols w:num="2" w:equalWidth="0">
            <w:col w:w="4272" w:space="653"/>
            <w:col w:w="6045"/>
          </w:cols>
        </w:sectPr>
      </w:pPr>
    </w:p>
    <w:p>
      <w:pPr>
        <w:pStyle w:val="BodyText"/>
        <w:rPr>
          <w:rFonts w:ascii="TT Norms Pro"/>
          <w:sz w:val="20"/>
        </w:rPr>
      </w:pPr>
    </w:p>
    <w:p>
      <w:pPr>
        <w:pStyle w:val="BodyText"/>
        <w:rPr>
          <w:rFonts w:ascii="TT Norms Pro"/>
          <w:sz w:val="20"/>
        </w:rPr>
      </w:pPr>
    </w:p>
    <w:p>
      <w:pPr>
        <w:pStyle w:val="BodyText"/>
        <w:spacing w:before="52"/>
        <w:rPr>
          <w:rFonts w:ascii="TT Norms Pro"/>
          <w:sz w:val="20"/>
        </w:rPr>
      </w:pPr>
    </w:p>
    <w:p>
      <w:pPr>
        <w:spacing w:after="0"/>
        <w:rPr>
          <w:rFonts w:ascii="TT Norms Pro"/>
          <w:sz w:val="20"/>
        </w:rPr>
        <w:sectPr>
          <w:type w:val="continuous"/>
          <w:pgSz w:w="11910" w:h="16840"/>
          <w:pgMar w:header="468" w:footer="0" w:top="980" w:bottom="280" w:left="940" w:right="0"/>
        </w:sectPr>
      </w:pPr>
    </w:p>
    <w:p>
      <w:pPr>
        <w:pStyle w:val="Heading9"/>
        <w:spacing w:before="129"/>
      </w:pPr>
      <w:r>
        <w:rPr/>
        <mc:AlternateContent>
          <mc:Choice Requires="wps">
            <w:drawing>
              <wp:anchor distT="0" distB="0" distL="0" distR="0" allowOverlap="1" layoutInCell="1" locked="0" behindDoc="0" simplePos="0" relativeHeight="15778304">
                <wp:simplePos x="0" y="0"/>
                <wp:positionH relativeFrom="page">
                  <wp:posOffset>3667499</wp:posOffset>
                </wp:positionH>
                <wp:positionV relativeFrom="paragraph">
                  <wp:posOffset>-1206278</wp:posOffset>
                </wp:positionV>
                <wp:extent cx="1270" cy="698500"/>
                <wp:effectExtent l="0" t="0" r="0" b="0"/>
                <wp:wrapNone/>
                <wp:docPr id="249" name="Graphic 249"/>
                <wp:cNvGraphicFramePr>
                  <a:graphicFrameLocks/>
                </wp:cNvGraphicFramePr>
                <a:graphic>
                  <a:graphicData uri="http://schemas.microsoft.com/office/word/2010/wordprocessingShape">
                    <wps:wsp>
                      <wps:cNvPr id="249" name="Graphic 249"/>
                      <wps:cNvSpPr/>
                      <wps:spPr>
                        <a:xfrm>
                          <a:off x="0" y="0"/>
                          <a:ext cx="1270" cy="698500"/>
                        </a:xfrm>
                        <a:custGeom>
                          <a:avLst/>
                          <a:gdLst/>
                          <a:ahLst/>
                          <a:cxnLst/>
                          <a:rect l="l" t="t" r="r" b="b"/>
                          <a:pathLst>
                            <a:path w="0" h="698500">
                              <a:moveTo>
                                <a:pt x="0" y="697992"/>
                              </a:moveTo>
                              <a:lnTo>
                                <a:pt x="0" y="0"/>
                              </a:lnTo>
                            </a:path>
                          </a:pathLst>
                        </a:custGeom>
                        <a:ln w="6350">
                          <a:solidFill>
                            <a:srgbClr val="21409A"/>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78304" from="288.77951pt,-40.022597pt" to="288.77951pt,-94.982597pt" stroked="true" strokeweight=".5pt" strokecolor="#21409a">
                <v:stroke dashstyle="solid"/>
                <w10:wrap type="none"/>
              </v:line>
            </w:pict>
          </mc:Fallback>
        </mc:AlternateContent>
      </w:r>
      <w:r>
        <w:rPr>
          <w:spacing w:val="-2"/>
        </w:rPr>
        <w:t>FEBRUARY</w:t>
      </w:r>
    </w:p>
    <w:p>
      <w:pPr>
        <w:spacing w:line="307" w:lineRule="auto" w:before="119"/>
        <w:ind w:left="193" w:right="60" w:firstLine="0"/>
        <w:jc w:val="left"/>
        <w:rPr>
          <w:rFonts w:ascii="TT Norms Pro"/>
          <w:sz w:val="16"/>
        </w:rPr>
      </w:pPr>
      <w:r>
        <w:rPr>
          <w:rFonts w:ascii="TT Norms Pro"/>
          <w:sz w:val="16"/>
        </w:rPr>
        <w:t>UWA is one of 11 organisations to</w:t>
      </w:r>
      <w:r>
        <w:rPr>
          <w:rFonts w:ascii="TT Norms Pro"/>
          <w:spacing w:val="80"/>
          <w:sz w:val="16"/>
        </w:rPr>
        <w:t> </w:t>
      </w:r>
      <w:r>
        <w:rPr>
          <w:rFonts w:ascii="TT Norms Pro"/>
          <w:sz w:val="16"/>
        </w:rPr>
        <w:t>receive an </w:t>
      </w:r>
      <w:r>
        <w:rPr>
          <w:rFonts w:ascii="TT Norms Pro"/>
          <w:b/>
          <w:sz w:val="16"/>
        </w:rPr>
        <w:t>internationally recognised</w:t>
      </w:r>
      <w:r>
        <w:rPr>
          <w:rFonts w:ascii="TT Norms Pro"/>
          <w:b/>
          <w:spacing w:val="40"/>
          <w:sz w:val="16"/>
        </w:rPr>
        <w:t> </w:t>
      </w:r>
      <w:r>
        <w:rPr>
          <w:rFonts w:ascii="TT Norms Pro"/>
          <w:b/>
          <w:sz w:val="16"/>
        </w:rPr>
        <w:t>Athena SWAN Bronze Award </w:t>
      </w:r>
      <w:r>
        <w:rPr>
          <w:rFonts w:ascii="TT Norms Pro"/>
          <w:sz w:val="16"/>
        </w:rPr>
        <w:t>for its</w:t>
      </w:r>
      <w:r>
        <w:rPr>
          <w:rFonts w:ascii="TT Norms Pro"/>
          <w:spacing w:val="40"/>
          <w:sz w:val="16"/>
        </w:rPr>
        <w:t> </w:t>
      </w:r>
      <w:r>
        <w:rPr>
          <w:rFonts w:ascii="TT Norms Pro"/>
          <w:sz w:val="16"/>
        </w:rPr>
        <w:t>commitment to gender diversity in the</w:t>
      </w:r>
      <w:r>
        <w:rPr>
          <w:rFonts w:ascii="TT Norms Pro"/>
          <w:spacing w:val="40"/>
          <w:sz w:val="16"/>
        </w:rPr>
        <w:t> </w:t>
      </w:r>
      <w:r>
        <w:rPr>
          <w:rFonts w:ascii="TT Norms Pro"/>
          <w:sz w:val="16"/>
        </w:rPr>
        <w:t>STEMM</w:t>
      </w:r>
      <w:r>
        <w:rPr>
          <w:rFonts w:ascii="TT Norms Pro"/>
          <w:spacing w:val="8"/>
          <w:sz w:val="16"/>
        </w:rPr>
        <w:t> </w:t>
      </w:r>
      <w:r>
        <w:rPr>
          <w:rFonts w:ascii="TT Norms Pro"/>
          <w:sz w:val="16"/>
        </w:rPr>
        <w:t>subjects</w:t>
      </w:r>
      <w:r>
        <w:rPr>
          <w:rFonts w:ascii="TT Norms Pro"/>
          <w:spacing w:val="9"/>
          <w:sz w:val="16"/>
        </w:rPr>
        <w:t> </w:t>
      </w:r>
      <w:r>
        <w:rPr>
          <w:rFonts w:ascii="TT Norms Pro"/>
          <w:sz w:val="16"/>
        </w:rPr>
        <w:t>of</w:t>
      </w:r>
      <w:r>
        <w:rPr>
          <w:rFonts w:ascii="TT Norms Pro"/>
          <w:spacing w:val="9"/>
          <w:sz w:val="16"/>
        </w:rPr>
        <w:t> </w:t>
      </w:r>
      <w:r>
        <w:rPr>
          <w:rFonts w:ascii="TT Norms Pro"/>
          <w:sz w:val="16"/>
        </w:rPr>
        <w:t>science,</w:t>
      </w:r>
      <w:r>
        <w:rPr>
          <w:rFonts w:ascii="TT Norms Pro"/>
          <w:spacing w:val="9"/>
          <w:sz w:val="16"/>
        </w:rPr>
        <w:t> </w:t>
      </w:r>
      <w:r>
        <w:rPr>
          <w:rFonts w:ascii="TT Norms Pro"/>
          <w:spacing w:val="-2"/>
          <w:sz w:val="16"/>
        </w:rPr>
        <w:t>technology,</w:t>
      </w:r>
    </w:p>
    <w:p>
      <w:pPr>
        <w:spacing w:before="2"/>
        <w:ind w:left="193" w:right="0" w:firstLine="0"/>
        <w:jc w:val="left"/>
        <w:rPr>
          <w:rFonts w:ascii="TT Norms Pro"/>
          <w:sz w:val="16"/>
        </w:rPr>
      </w:pPr>
      <w:r>
        <w:rPr>
          <w:rFonts w:ascii="TT Norms Pro"/>
          <w:sz w:val="16"/>
        </w:rPr>
        <w:t>engineering,</w:t>
      </w:r>
      <w:r>
        <w:rPr>
          <w:rFonts w:ascii="TT Norms Pro"/>
          <w:spacing w:val="9"/>
          <w:sz w:val="16"/>
        </w:rPr>
        <w:t> </w:t>
      </w:r>
      <w:r>
        <w:rPr>
          <w:rFonts w:ascii="TT Norms Pro"/>
          <w:sz w:val="16"/>
        </w:rPr>
        <w:t>mathematics</w:t>
      </w:r>
      <w:r>
        <w:rPr>
          <w:rFonts w:ascii="TT Norms Pro"/>
          <w:spacing w:val="9"/>
          <w:sz w:val="16"/>
        </w:rPr>
        <w:t> </w:t>
      </w:r>
      <w:r>
        <w:rPr>
          <w:rFonts w:ascii="TT Norms Pro"/>
          <w:sz w:val="16"/>
        </w:rPr>
        <w:t>and</w:t>
      </w:r>
      <w:r>
        <w:rPr>
          <w:rFonts w:ascii="TT Norms Pro"/>
          <w:spacing w:val="10"/>
          <w:sz w:val="16"/>
        </w:rPr>
        <w:t> </w:t>
      </w:r>
      <w:r>
        <w:rPr>
          <w:rFonts w:ascii="TT Norms Pro"/>
          <w:spacing w:val="-2"/>
          <w:sz w:val="16"/>
        </w:rPr>
        <w:t>medicine.</w:t>
      </w:r>
    </w:p>
    <w:p>
      <w:pPr>
        <w:pStyle w:val="BodyText"/>
        <w:spacing w:before="105"/>
        <w:rPr>
          <w:rFonts w:ascii="TT Norms Pro"/>
          <w:sz w:val="16"/>
        </w:rPr>
      </w:pPr>
    </w:p>
    <w:p>
      <w:pPr>
        <w:spacing w:line="307" w:lineRule="auto" w:before="1"/>
        <w:ind w:left="193" w:right="60" w:firstLine="0"/>
        <w:jc w:val="left"/>
        <w:rPr>
          <w:rFonts w:ascii="TT Norms Pro"/>
          <w:b/>
          <w:sz w:val="16"/>
        </w:rPr>
      </w:pPr>
      <w:r>
        <w:rPr>
          <w:rFonts w:ascii="TT Norms Pro"/>
          <w:sz w:val="16"/>
        </w:rPr>
        <w:t>Four academics receive awards to</w:t>
      </w:r>
      <w:r>
        <w:rPr>
          <w:rFonts w:ascii="TT Norms Pro"/>
          <w:spacing w:val="40"/>
          <w:sz w:val="16"/>
        </w:rPr>
        <w:t> </w:t>
      </w:r>
      <w:r>
        <w:rPr>
          <w:rFonts w:ascii="TT Norms Pro"/>
          <w:sz w:val="16"/>
        </w:rPr>
        <w:t>recognise their contributions to student</w:t>
      </w:r>
      <w:r>
        <w:rPr>
          <w:rFonts w:ascii="TT Norms Pro"/>
          <w:spacing w:val="40"/>
          <w:sz w:val="16"/>
        </w:rPr>
        <w:t> </w:t>
      </w:r>
      <w:r>
        <w:rPr>
          <w:rFonts w:ascii="TT Norms Pro"/>
          <w:sz w:val="16"/>
        </w:rPr>
        <w:t>education in the </w:t>
      </w:r>
      <w:r>
        <w:rPr>
          <w:rFonts w:ascii="TT Norms Pro"/>
          <w:b/>
          <w:sz w:val="16"/>
        </w:rPr>
        <w:t>2020 Australian</w:t>
      </w:r>
      <w:r>
        <w:rPr>
          <w:rFonts w:ascii="TT Norms Pro"/>
          <w:b/>
          <w:spacing w:val="40"/>
          <w:sz w:val="16"/>
        </w:rPr>
        <w:t> </w:t>
      </w:r>
      <w:r>
        <w:rPr>
          <w:rFonts w:ascii="TT Norms Pro"/>
          <w:b/>
          <w:sz w:val="16"/>
        </w:rPr>
        <w:t>Awards for University Teaching</w:t>
      </w:r>
    </w:p>
    <w:p>
      <w:pPr>
        <w:spacing w:line="307" w:lineRule="auto" w:before="1"/>
        <w:ind w:left="193" w:right="260" w:firstLine="0"/>
        <w:jc w:val="left"/>
        <w:rPr>
          <w:rFonts w:ascii="TT Norms Pro" w:hAnsi="TT Norms Pro"/>
          <w:sz w:val="16"/>
        </w:rPr>
      </w:pPr>
      <w:r>
        <w:rPr>
          <w:rFonts w:ascii="TT Norms Pro" w:hAnsi="TT Norms Pro"/>
          <w:sz w:val="16"/>
        </w:rPr>
        <w:t>– Associate Professor Christopher</w:t>
      </w:r>
      <w:r>
        <w:rPr>
          <w:rFonts w:ascii="TT Norms Pro" w:hAnsi="TT Norms Pro"/>
          <w:spacing w:val="40"/>
          <w:sz w:val="16"/>
        </w:rPr>
        <w:t> </w:t>
      </w:r>
      <w:r>
        <w:rPr>
          <w:rFonts w:ascii="TT Norms Pro" w:hAnsi="TT Norms Pro"/>
          <w:sz w:val="16"/>
        </w:rPr>
        <w:t>Etherton-Beer, Dr Demelza Ireland,</w:t>
      </w:r>
      <w:r>
        <w:rPr>
          <w:rFonts w:ascii="TT Norms Pro" w:hAnsi="TT Norms Pro"/>
          <w:spacing w:val="40"/>
          <w:sz w:val="16"/>
        </w:rPr>
        <w:t> </w:t>
      </w:r>
      <w:r>
        <w:rPr>
          <w:rFonts w:ascii="TT Norms Pro" w:hAnsi="TT Norms Pro"/>
          <w:sz w:val="16"/>
        </w:rPr>
        <w:t>Dr Zhangxin (Frank) Liu and Dr Nicola</w:t>
      </w:r>
      <w:r>
        <w:rPr>
          <w:rFonts w:ascii="TT Norms Pro" w:hAnsi="TT Norms Pro"/>
          <w:spacing w:val="40"/>
          <w:sz w:val="16"/>
        </w:rPr>
        <w:t> </w:t>
      </w:r>
      <w:r>
        <w:rPr>
          <w:rFonts w:ascii="TT Norms Pro" w:hAnsi="TT Norms Pro"/>
          <w:spacing w:val="-2"/>
          <w:sz w:val="16"/>
        </w:rPr>
        <w:t>Mitchell.</w:t>
      </w:r>
    </w:p>
    <w:p>
      <w:pPr>
        <w:pStyle w:val="BodyText"/>
        <w:spacing w:before="37"/>
        <w:rPr>
          <w:rFonts w:ascii="TT Norms Pro"/>
          <w:sz w:val="16"/>
        </w:rPr>
      </w:pPr>
    </w:p>
    <w:p>
      <w:pPr>
        <w:pStyle w:val="Heading9"/>
        <w:spacing w:before="1"/>
      </w:pPr>
      <w:r>
        <w:rPr>
          <w:spacing w:val="-2"/>
        </w:rPr>
        <w:t>MARCH</w:t>
      </w:r>
    </w:p>
    <w:p>
      <w:pPr>
        <w:spacing w:line="307" w:lineRule="auto" w:before="119"/>
        <w:ind w:left="193" w:right="60" w:firstLine="0"/>
        <w:jc w:val="left"/>
        <w:rPr>
          <w:rFonts w:ascii="TT Norms Pro"/>
          <w:sz w:val="16"/>
        </w:rPr>
      </w:pPr>
      <w:r>
        <w:rPr>
          <w:rFonts w:ascii="TT Norms Pro"/>
          <w:sz w:val="16"/>
        </w:rPr>
        <w:t>The University moves rapidly to online</w:t>
      </w:r>
      <w:r>
        <w:rPr>
          <w:rFonts w:ascii="TT Norms Pro"/>
          <w:spacing w:val="40"/>
          <w:sz w:val="16"/>
        </w:rPr>
        <w:t> </w:t>
      </w:r>
      <w:r>
        <w:rPr>
          <w:rFonts w:ascii="TT Norms Pro"/>
          <w:sz w:val="16"/>
        </w:rPr>
        <w:t>learning with more than </w:t>
      </w:r>
      <w:r>
        <w:rPr>
          <w:rFonts w:ascii="TT Norms Pro"/>
          <w:b/>
          <w:sz w:val="16"/>
        </w:rPr>
        <w:t>3,000 units</w:t>
      </w:r>
      <w:r>
        <w:rPr>
          <w:rFonts w:ascii="TT Norms Pro"/>
          <w:b/>
          <w:spacing w:val="40"/>
          <w:sz w:val="16"/>
        </w:rPr>
        <w:t> </w:t>
      </w:r>
      <w:r>
        <w:rPr>
          <w:rFonts w:ascii="TT Norms Pro"/>
          <w:b/>
          <w:sz w:val="16"/>
        </w:rPr>
        <w:t>moved online in just two weeks </w:t>
      </w:r>
      <w:r>
        <w:rPr>
          <w:rFonts w:ascii="TT Norms Pro"/>
          <w:sz w:val="16"/>
        </w:rPr>
        <w:t>to offer</w:t>
      </w:r>
      <w:r>
        <w:rPr>
          <w:rFonts w:ascii="TT Norms Pro"/>
          <w:spacing w:val="40"/>
          <w:sz w:val="16"/>
        </w:rPr>
        <w:t> </w:t>
      </w:r>
      <w:r>
        <w:rPr>
          <w:rFonts w:ascii="TT Norms Pro"/>
          <w:sz w:val="16"/>
        </w:rPr>
        <w:t>continuity and support for students</w:t>
      </w:r>
      <w:r>
        <w:rPr>
          <w:rFonts w:ascii="TT Norms Pro"/>
          <w:spacing w:val="40"/>
          <w:sz w:val="16"/>
        </w:rPr>
        <w:t> </w:t>
      </w:r>
      <w:r>
        <w:rPr>
          <w:rFonts w:ascii="TT Norms Pro"/>
          <w:sz w:val="16"/>
        </w:rPr>
        <w:t>during the COVID-19 pandemic.</w:t>
      </w:r>
    </w:p>
    <w:p>
      <w:pPr>
        <w:pStyle w:val="BodyText"/>
        <w:spacing w:before="38"/>
        <w:rPr>
          <w:rFonts w:ascii="TT Norms Pro"/>
          <w:sz w:val="16"/>
        </w:rPr>
      </w:pPr>
    </w:p>
    <w:p>
      <w:pPr>
        <w:pStyle w:val="Heading9"/>
      </w:pPr>
      <w:r>
        <w:rPr>
          <w:spacing w:val="-2"/>
        </w:rPr>
        <w:t>APRIL</w:t>
      </w:r>
    </w:p>
    <w:p>
      <w:pPr>
        <w:spacing w:line="307" w:lineRule="auto" w:before="119"/>
        <w:ind w:left="193" w:right="0" w:firstLine="0"/>
        <w:jc w:val="left"/>
        <w:rPr>
          <w:rFonts w:ascii="TT Norms Pro"/>
          <w:sz w:val="16"/>
        </w:rPr>
      </w:pPr>
      <w:r>
        <w:rPr>
          <w:rFonts w:ascii="TT Norms Pro"/>
          <w:sz w:val="16"/>
        </w:rPr>
        <w:t>University academics respond</w:t>
      </w:r>
      <w:r>
        <w:rPr>
          <w:rFonts w:ascii="TT Norms Pro"/>
          <w:spacing w:val="40"/>
          <w:sz w:val="16"/>
        </w:rPr>
        <w:t> </w:t>
      </w:r>
      <w:r>
        <w:rPr>
          <w:rFonts w:ascii="TT Norms Pro"/>
          <w:sz w:val="16"/>
        </w:rPr>
        <w:t>enthusiastically as the pandemic unfolds</w:t>
      </w:r>
    </w:p>
    <w:p>
      <w:pPr>
        <w:spacing w:line="307" w:lineRule="auto" w:before="1"/>
        <w:ind w:left="193" w:right="0" w:firstLine="0"/>
        <w:jc w:val="left"/>
        <w:rPr>
          <w:rFonts w:ascii="TT Norms Pro" w:hAnsi="TT Norms Pro"/>
          <w:sz w:val="16"/>
        </w:rPr>
      </w:pPr>
      <w:r>
        <w:rPr>
          <w:rFonts w:ascii="TT Norms Pro" w:hAnsi="TT Norms Pro"/>
          <w:sz w:val="16"/>
        </w:rPr>
        <w:t>– </w:t>
      </w:r>
      <w:r>
        <w:rPr>
          <w:rFonts w:ascii="TT Norms Pro" w:hAnsi="TT Norms Pro"/>
          <w:b/>
          <w:sz w:val="16"/>
        </w:rPr>
        <w:t>offering their expertise </w:t>
      </w:r>
      <w:r>
        <w:rPr>
          <w:rFonts w:ascii="TT Norms Pro" w:hAnsi="TT Norms Pro"/>
          <w:sz w:val="16"/>
        </w:rPr>
        <w:t>in the media</w:t>
      </w:r>
      <w:r>
        <w:rPr>
          <w:rFonts w:ascii="TT Norms Pro" w:hAnsi="TT Norms Pro"/>
          <w:spacing w:val="40"/>
          <w:sz w:val="16"/>
        </w:rPr>
        <w:t> </w:t>
      </w:r>
      <w:r>
        <w:rPr>
          <w:rFonts w:ascii="TT Norms Pro" w:hAnsi="TT Norms Pro"/>
          <w:sz w:val="16"/>
        </w:rPr>
        <w:t>and using their research and scientific</w:t>
      </w:r>
      <w:r>
        <w:rPr>
          <w:rFonts w:ascii="TT Norms Pro" w:hAnsi="TT Norms Pro"/>
          <w:spacing w:val="40"/>
          <w:sz w:val="16"/>
        </w:rPr>
        <w:t> </w:t>
      </w:r>
      <w:r>
        <w:rPr>
          <w:rFonts w:ascii="TT Norms Pro" w:hAnsi="TT Norms Pro"/>
          <w:sz w:val="16"/>
        </w:rPr>
        <w:t>experience to offer support to the</w:t>
      </w:r>
      <w:r>
        <w:rPr>
          <w:rFonts w:ascii="TT Norms Pro" w:hAnsi="TT Norms Pro"/>
          <w:spacing w:val="40"/>
          <w:sz w:val="16"/>
        </w:rPr>
        <w:t> </w:t>
      </w:r>
      <w:r>
        <w:rPr>
          <w:rFonts w:ascii="TT Norms Pro" w:hAnsi="TT Norms Pro"/>
          <w:sz w:val="16"/>
        </w:rPr>
        <w:t>community during the pandemic.</w:t>
      </w:r>
    </w:p>
    <w:p>
      <w:pPr>
        <w:pStyle w:val="BodyText"/>
        <w:spacing w:before="54"/>
        <w:rPr>
          <w:rFonts w:ascii="TT Norms Pro"/>
          <w:sz w:val="16"/>
        </w:rPr>
      </w:pPr>
    </w:p>
    <w:p>
      <w:pPr>
        <w:spacing w:line="307" w:lineRule="auto" w:before="1"/>
        <w:ind w:left="193" w:right="60" w:firstLine="0"/>
        <w:jc w:val="left"/>
        <w:rPr>
          <w:rFonts w:ascii="TT Norms Pro"/>
          <w:sz w:val="16"/>
        </w:rPr>
      </w:pPr>
      <w:r>
        <w:rPr/>
        <mc:AlternateContent>
          <mc:Choice Requires="wps">
            <w:drawing>
              <wp:anchor distT="0" distB="0" distL="0" distR="0" allowOverlap="1" layoutInCell="1" locked="0" behindDoc="0" simplePos="0" relativeHeight="15778816">
                <wp:simplePos x="0" y="0"/>
                <wp:positionH relativeFrom="page">
                  <wp:posOffset>2718003</wp:posOffset>
                </wp:positionH>
                <wp:positionV relativeFrom="paragraph">
                  <wp:posOffset>157671</wp:posOffset>
                </wp:positionV>
                <wp:extent cx="4122420" cy="2626360"/>
                <wp:effectExtent l="0" t="0" r="0" b="0"/>
                <wp:wrapNone/>
                <wp:docPr id="250" name="Group 250"/>
                <wp:cNvGraphicFramePr>
                  <a:graphicFrameLocks/>
                </wp:cNvGraphicFramePr>
                <a:graphic>
                  <a:graphicData uri="http://schemas.microsoft.com/office/word/2010/wordprocessingGroup">
                    <wpg:wgp>
                      <wpg:cNvPr id="250" name="Group 250"/>
                      <wpg:cNvGrpSpPr/>
                      <wpg:grpSpPr>
                        <a:xfrm>
                          <a:off x="0" y="0"/>
                          <a:ext cx="4122420" cy="2626360"/>
                          <a:chExt cx="4122420" cy="2626360"/>
                        </a:xfrm>
                      </wpg:grpSpPr>
                      <pic:pic>
                        <pic:nvPicPr>
                          <pic:cNvPr id="251" name="Image 251"/>
                          <pic:cNvPicPr/>
                        </pic:nvPicPr>
                        <pic:blipFill>
                          <a:blip r:embed="rId33" cstate="print"/>
                          <a:stretch>
                            <a:fillRect/>
                          </a:stretch>
                        </pic:blipFill>
                        <pic:spPr>
                          <a:xfrm>
                            <a:off x="125996" y="0"/>
                            <a:ext cx="3995991" cy="2513926"/>
                          </a:xfrm>
                          <a:prstGeom prst="rect">
                            <a:avLst/>
                          </a:prstGeom>
                        </pic:spPr>
                      </pic:pic>
                      <wps:wsp>
                        <wps:cNvPr id="252" name="Graphic 252"/>
                        <wps:cNvSpPr/>
                        <wps:spPr>
                          <a:xfrm>
                            <a:off x="0" y="2153526"/>
                            <a:ext cx="2430145" cy="473075"/>
                          </a:xfrm>
                          <a:custGeom>
                            <a:avLst/>
                            <a:gdLst/>
                            <a:ahLst/>
                            <a:cxnLst/>
                            <a:rect l="l" t="t" r="r" b="b"/>
                            <a:pathLst>
                              <a:path w="2430145" h="473075">
                                <a:moveTo>
                                  <a:pt x="2430005" y="0"/>
                                </a:moveTo>
                                <a:lnTo>
                                  <a:pt x="0" y="0"/>
                                </a:lnTo>
                                <a:lnTo>
                                  <a:pt x="0" y="472770"/>
                                </a:lnTo>
                                <a:lnTo>
                                  <a:pt x="2430005" y="472770"/>
                                </a:lnTo>
                                <a:lnTo>
                                  <a:pt x="2430005" y="0"/>
                                </a:lnTo>
                                <a:close/>
                              </a:path>
                            </a:pathLst>
                          </a:custGeom>
                          <a:solidFill>
                            <a:srgbClr val="FFFFFF"/>
                          </a:solidFill>
                        </wps:spPr>
                        <wps:bodyPr wrap="square" lIns="0" tIns="0" rIns="0" bIns="0" rtlCol="0">
                          <a:prstTxWarp prst="textNoShape">
                            <a:avLst/>
                          </a:prstTxWarp>
                          <a:noAutofit/>
                        </wps:bodyPr>
                      </wps:wsp>
                      <wps:wsp>
                        <wps:cNvPr id="253" name="Textbox 253"/>
                        <wps:cNvSpPr txBox="1"/>
                        <wps:spPr>
                          <a:xfrm>
                            <a:off x="0" y="0"/>
                            <a:ext cx="4122420" cy="2626360"/>
                          </a:xfrm>
                          <a:prstGeom prst="rect">
                            <a:avLst/>
                          </a:prstGeom>
                        </wps:spPr>
                        <wps:txbx>
                          <w:txbxContent>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15"/>
                                <w:rPr>
                                  <w:rFonts w:ascii="TT Norms Pro"/>
                                  <w:sz w:val="12"/>
                                </w:rPr>
                              </w:pPr>
                            </w:p>
                            <w:p>
                              <w:pPr>
                                <w:spacing w:line="273" w:lineRule="auto" w:before="0"/>
                                <w:ind w:left="250" w:right="2924" w:firstLine="0"/>
                                <w:jc w:val="left"/>
                                <w:rPr>
                                  <w:rFonts w:ascii="TT Norms Pro"/>
                                  <w:sz w:val="12"/>
                                </w:rPr>
                              </w:pPr>
                              <w:r>
                                <w:rPr>
                                  <w:rFonts w:ascii="TT Norms Pro"/>
                                  <w:sz w:val="12"/>
                                </w:rPr>
                                <w:t>UWA researchers and chief scientist Professor Peter Klinken</w:t>
                              </w:r>
                              <w:r>
                                <w:rPr>
                                  <w:rFonts w:ascii="TT Norms Pro"/>
                                  <w:spacing w:val="40"/>
                                  <w:sz w:val="12"/>
                                </w:rPr>
                                <w:t> </w:t>
                              </w:r>
                              <w:r>
                                <w:rPr>
                                  <w:rFonts w:ascii="TT Norms Pro"/>
                                  <w:sz w:val="12"/>
                                </w:rPr>
                                <w:t>and team manufacturing face masks to protect healthcare</w:t>
                              </w:r>
                              <w:r>
                                <w:rPr>
                                  <w:rFonts w:ascii="TT Norms Pro"/>
                                  <w:spacing w:val="40"/>
                                  <w:sz w:val="12"/>
                                </w:rPr>
                                <w:t> </w:t>
                              </w:r>
                              <w:r>
                                <w:rPr>
                                  <w:rFonts w:ascii="TT Norms Pro"/>
                                  <w:sz w:val="12"/>
                                </w:rPr>
                                <w:t>workers from COVID-19</w:t>
                              </w:r>
                            </w:p>
                          </w:txbxContent>
                        </wps:txbx>
                        <wps:bodyPr wrap="square" lIns="0" tIns="0" rIns="0" bIns="0" rtlCol="0">
                          <a:noAutofit/>
                        </wps:bodyPr>
                      </wps:wsp>
                    </wpg:wgp>
                  </a:graphicData>
                </a:graphic>
              </wp:anchor>
            </w:drawing>
          </mc:Choice>
          <mc:Fallback>
            <w:pict>
              <v:group style="position:absolute;margin-left:214.016006pt;margin-top:12.415102pt;width:324.6pt;height:206.8pt;mso-position-horizontal-relative:page;mso-position-vertical-relative:paragraph;z-index:15778816" id="docshapegroup157" coordorigin="4280,248" coordsize="6492,4136">
                <v:shape style="position:absolute;left:4478;top:248;width:6293;height:3959" type="#_x0000_t75" id="docshape158" stroked="false">
                  <v:imagedata r:id="rId33" o:title=""/>
                </v:shape>
                <v:rect style="position:absolute;left:4280;top:3639;width:3827;height:745" id="docshape159" filled="true" fillcolor="#ffffff" stroked="false">
                  <v:fill type="solid"/>
                </v:rect>
                <v:shape style="position:absolute;left:4280;top:248;width:6492;height:4136" type="#_x0000_t202" id="docshape160" filled="false" stroked="false">
                  <v:textbox inset="0,0,0,0">
                    <w:txbxContent>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15"/>
                          <w:rPr>
                            <w:rFonts w:ascii="TT Norms Pro"/>
                            <w:sz w:val="12"/>
                          </w:rPr>
                        </w:pPr>
                      </w:p>
                      <w:p>
                        <w:pPr>
                          <w:spacing w:line="273" w:lineRule="auto" w:before="0"/>
                          <w:ind w:left="250" w:right="2924" w:firstLine="0"/>
                          <w:jc w:val="left"/>
                          <w:rPr>
                            <w:rFonts w:ascii="TT Norms Pro"/>
                            <w:sz w:val="12"/>
                          </w:rPr>
                        </w:pPr>
                        <w:r>
                          <w:rPr>
                            <w:rFonts w:ascii="TT Norms Pro"/>
                            <w:sz w:val="12"/>
                          </w:rPr>
                          <w:t>UWA researchers and chief scientist Professor Peter Klinken</w:t>
                        </w:r>
                        <w:r>
                          <w:rPr>
                            <w:rFonts w:ascii="TT Norms Pro"/>
                            <w:spacing w:val="40"/>
                            <w:sz w:val="12"/>
                          </w:rPr>
                          <w:t> </w:t>
                        </w:r>
                        <w:r>
                          <w:rPr>
                            <w:rFonts w:ascii="TT Norms Pro"/>
                            <w:sz w:val="12"/>
                          </w:rPr>
                          <w:t>and team manufacturing face masks to protect healthcare</w:t>
                        </w:r>
                        <w:r>
                          <w:rPr>
                            <w:rFonts w:ascii="TT Norms Pro"/>
                            <w:spacing w:val="40"/>
                            <w:sz w:val="12"/>
                          </w:rPr>
                          <w:t> </w:t>
                        </w:r>
                        <w:r>
                          <w:rPr>
                            <w:rFonts w:ascii="TT Norms Pro"/>
                            <w:sz w:val="12"/>
                          </w:rPr>
                          <w:t>workers from COVID-19</w:t>
                        </w:r>
                      </w:p>
                    </w:txbxContent>
                  </v:textbox>
                  <w10:wrap type="none"/>
                </v:shape>
                <w10:wrap type="none"/>
              </v:group>
            </w:pict>
          </mc:Fallback>
        </mc:AlternateContent>
      </w:r>
      <w:r>
        <w:rPr>
          <w:rFonts w:ascii="TT Norms Pro"/>
          <w:b/>
          <w:sz w:val="16"/>
        </w:rPr>
        <w:t>Researchers from UWA join an expert</w:t>
      </w:r>
      <w:r>
        <w:rPr>
          <w:rFonts w:ascii="TT Norms Pro"/>
          <w:b/>
          <w:spacing w:val="40"/>
          <w:sz w:val="16"/>
        </w:rPr>
        <w:t> </w:t>
      </w:r>
      <w:r>
        <w:rPr>
          <w:rFonts w:ascii="TT Norms Pro"/>
          <w:b/>
          <w:sz w:val="16"/>
        </w:rPr>
        <w:t>taskforce </w:t>
      </w:r>
      <w:r>
        <w:rPr>
          <w:rFonts w:ascii="TT Norms Pro"/>
          <w:sz w:val="16"/>
        </w:rPr>
        <w:t>of more than 100 experts</w:t>
      </w:r>
      <w:r>
        <w:rPr>
          <w:rFonts w:ascii="TT Norms Pro"/>
          <w:spacing w:val="40"/>
          <w:sz w:val="16"/>
        </w:rPr>
        <w:t> </w:t>
      </w:r>
      <w:r>
        <w:rPr>
          <w:rFonts w:ascii="TT Norms Pro"/>
          <w:sz w:val="16"/>
        </w:rPr>
        <w:t>across the Group of Eight universities to</w:t>
      </w:r>
      <w:r>
        <w:rPr>
          <w:rFonts w:ascii="TT Norms Pro"/>
          <w:spacing w:val="40"/>
          <w:sz w:val="16"/>
        </w:rPr>
        <w:t> </w:t>
      </w:r>
      <w:r>
        <w:rPr>
          <w:rFonts w:ascii="TT Norms Pro"/>
          <w:sz w:val="16"/>
        </w:rPr>
        <w:t>help the Federal Government plot the</w:t>
      </w:r>
      <w:r>
        <w:rPr>
          <w:rFonts w:ascii="TT Norms Pro"/>
          <w:spacing w:val="40"/>
          <w:sz w:val="16"/>
        </w:rPr>
        <w:t> </w:t>
      </w:r>
      <w:r>
        <w:rPr>
          <w:rFonts w:ascii="TT Norms Pro"/>
          <w:sz w:val="16"/>
        </w:rPr>
        <w:t>best path through COVID-19.</w:t>
      </w:r>
    </w:p>
    <w:p>
      <w:pPr>
        <w:pStyle w:val="BodyText"/>
        <w:spacing w:before="54"/>
        <w:rPr>
          <w:rFonts w:ascii="TT Norms Pro"/>
          <w:sz w:val="16"/>
        </w:rPr>
      </w:pPr>
    </w:p>
    <w:p>
      <w:pPr>
        <w:spacing w:line="307" w:lineRule="auto" w:before="0"/>
        <w:ind w:left="193" w:right="60" w:firstLine="0"/>
        <w:jc w:val="left"/>
        <w:rPr>
          <w:rFonts w:ascii="TT Norms Pro"/>
          <w:sz w:val="16"/>
        </w:rPr>
      </w:pPr>
      <w:r>
        <w:rPr>
          <w:rFonts w:ascii="TT Norms Pro"/>
          <w:sz w:val="16"/>
        </w:rPr>
        <w:t>UWA introduces </w:t>
      </w:r>
      <w:r>
        <w:rPr>
          <w:rFonts w:ascii="TT Norms Pro"/>
          <w:b/>
          <w:sz w:val="16"/>
        </w:rPr>
        <w:t>new admissions</w:t>
      </w:r>
      <w:r>
        <w:rPr>
          <w:rFonts w:ascii="TT Norms Pro"/>
          <w:b/>
          <w:spacing w:val="40"/>
          <w:sz w:val="16"/>
        </w:rPr>
        <w:t> </w:t>
      </w:r>
      <w:r>
        <w:rPr>
          <w:rFonts w:ascii="TT Norms Pro"/>
          <w:b/>
          <w:sz w:val="16"/>
        </w:rPr>
        <w:t>pathways </w:t>
      </w:r>
      <w:r>
        <w:rPr>
          <w:rFonts w:ascii="TT Norms Pro"/>
          <w:sz w:val="16"/>
        </w:rPr>
        <w:t>to alleviate the concerns of</w:t>
      </w:r>
      <w:r>
        <w:rPr>
          <w:rFonts w:ascii="TT Norms Pro"/>
          <w:spacing w:val="40"/>
          <w:sz w:val="16"/>
        </w:rPr>
        <w:t> </w:t>
      </w:r>
      <w:r>
        <w:rPr>
          <w:rFonts w:ascii="TT Norms Pro"/>
          <w:sz w:val="16"/>
        </w:rPr>
        <w:t>Year 12 students, many of whom were</w:t>
      </w:r>
      <w:r>
        <w:rPr>
          <w:rFonts w:ascii="TT Norms Pro"/>
          <w:spacing w:val="40"/>
          <w:sz w:val="16"/>
        </w:rPr>
        <w:t> </w:t>
      </w:r>
      <w:r>
        <w:rPr>
          <w:rFonts w:ascii="TT Norms Pro"/>
          <w:sz w:val="16"/>
        </w:rPr>
        <w:t>anxious and unsure about what would</w:t>
      </w:r>
      <w:r>
        <w:rPr>
          <w:rFonts w:ascii="TT Norms Pro"/>
          <w:spacing w:val="40"/>
          <w:sz w:val="16"/>
        </w:rPr>
        <w:t> </w:t>
      </w:r>
      <w:r>
        <w:rPr>
          <w:rFonts w:ascii="TT Norms Pro"/>
          <w:sz w:val="16"/>
        </w:rPr>
        <w:t>happen with ATAR this year.</w:t>
      </w:r>
    </w:p>
    <w:p>
      <w:pPr>
        <w:pStyle w:val="BodyText"/>
        <w:spacing w:before="38"/>
        <w:rPr>
          <w:rFonts w:ascii="TT Norms Pro"/>
          <w:sz w:val="16"/>
        </w:rPr>
      </w:pPr>
    </w:p>
    <w:p>
      <w:pPr>
        <w:pStyle w:val="Heading9"/>
      </w:pPr>
      <w:r>
        <w:rPr>
          <w:spacing w:val="-5"/>
        </w:rPr>
        <w:t>MAY</w:t>
      </w:r>
    </w:p>
    <w:p>
      <w:pPr>
        <w:spacing w:line="307" w:lineRule="auto" w:before="120"/>
        <w:ind w:left="193" w:right="77" w:firstLine="0"/>
        <w:jc w:val="left"/>
        <w:rPr>
          <w:rFonts w:ascii="TT Norms Pro"/>
          <w:sz w:val="16"/>
        </w:rPr>
      </w:pPr>
      <w:r>
        <w:rPr>
          <w:rFonts w:ascii="TT Norms Pro"/>
          <w:sz w:val="16"/>
        </w:rPr>
        <w:t>UWA researchers are part of an</w:t>
      </w:r>
      <w:r>
        <w:rPr>
          <w:rFonts w:ascii="TT Norms Pro"/>
          <w:spacing w:val="40"/>
          <w:sz w:val="16"/>
        </w:rPr>
        <w:t> </w:t>
      </w:r>
      <w:r>
        <w:rPr>
          <w:rFonts w:ascii="TT Norms Pro"/>
          <w:sz w:val="16"/>
        </w:rPr>
        <w:t>interdisciplinary team that manufactures</w:t>
      </w:r>
      <w:r>
        <w:rPr>
          <w:rFonts w:ascii="TT Norms Pro"/>
          <w:spacing w:val="40"/>
          <w:sz w:val="16"/>
        </w:rPr>
        <w:t> </w:t>
      </w:r>
      <w:r>
        <w:rPr>
          <w:rFonts w:ascii="TT Norms Pro"/>
          <w:sz w:val="16"/>
        </w:rPr>
        <w:t>thousands of </w:t>
      </w:r>
      <w:r>
        <w:rPr>
          <w:rFonts w:ascii="TT Norms Pro"/>
          <w:b/>
          <w:sz w:val="16"/>
        </w:rPr>
        <w:t>face shields to support</w:t>
      </w:r>
      <w:r>
        <w:rPr>
          <w:rFonts w:ascii="TT Norms Pro"/>
          <w:b/>
          <w:spacing w:val="80"/>
          <w:sz w:val="16"/>
        </w:rPr>
        <w:t> </w:t>
      </w:r>
      <w:r>
        <w:rPr>
          <w:rFonts w:ascii="TT Norms Pro"/>
          <w:b/>
          <w:sz w:val="16"/>
        </w:rPr>
        <w:t>the WA health system </w:t>
      </w:r>
      <w:r>
        <w:rPr>
          <w:rFonts w:ascii="TT Norms Pro"/>
          <w:sz w:val="16"/>
        </w:rPr>
        <w:t>and protect</w:t>
      </w:r>
      <w:r>
        <w:rPr>
          <w:rFonts w:ascii="TT Norms Pro"/>
          <w:spacing w:val="40"/>
          <w:sz w:val="16"/>
        </w:rPr>
        <w:t> </w:t>
      </w:r>
      <w:r>
        <w:rPr>
          <w:rFonts w:ascii="TT Norms Pro"/>
          <w:sz w:val="16"/>
        </w:rPr>
        <w:t>frontline workers responding to</w:t>
      </w:r>
    </w:p>
    <w:p>
      <w:pPr>
        <w:spacing w:before="2"/>
        <w:ind w:left="193" w:right="0" w:firstLine="0"/>
        <w:jc w:val="left"/>
        <w:rPr>
          <w:rFonts w:ascii="TT Norms Pro"/>
          <w:sz w:val="16"/>
        </w:rPr>
      </w:pPr>
      <w:r>
        <w:rPr>
          <w:rFonts w:ascii="TT Norms Pro"/>
          <w:sz w:val="16"/>
        </w:rPr>
        <w:t>COVID-</w:t>
      </w:r>
      <w:r>
        <w:rPr>
          <w:rFonts w:ascii="TT Norms Pro"/>
          <w:spacing w:val="-5"/>
          <w:sz w:val="16"/>
        </w:rPr>
        <w:t>19.</w:t>
      </w:r>
    </w:p>
    <w:p>
      <w:pPr>
        <w:spacing w:line="240" w:lineRule="auto" w:before="7"/>
        <w:rPr>
          <w:rFonts w:ascii="TT Norms Pro"/>
          <w:sz w:val="16"/>
        </w:rPr>
      </w:pPr>
      <w:r>
        <w:rPr/>
        <w:br w:type="column"/>
      </w:r>
      <w:r>
        <w:rPr>
          <w:rFonts w:ascii="TT Norms Pro"/>
          <w:sz w:val="16"/>
        </w:rPr>
      </w:r>
    </w:p>
    <w:p>
      <w:pPr>
        <w:spacing w:line="307" w:lineRule="auto" w:before="0"/>
        <w:ind w:left="193" w:right="80" w:firstLine="0"/>
        <w:jc w:val="left"/>
        <w:rPr>
          <w:rFonts w:ascii="TT Norms Pro" w:hAnsi="TT Norms Pro"/>
          <w:sz w:val="16"/>
        </w:rPr>
      </w:pPr>
      <w:r>
        <w:rPr>
          <w:rFonts w:ascii="TT Norms Pro" w:hAnsi="TT Norms Pro"/>
          <w:sz w:val="16"/>
        </w:rPr>
        <w:t>Three science, technology, engineering</w:t>
      </w:r>
      <w:r>
        <w:rPr>
          <w:rFonts w:ascii="TT Norms Pro" w:hAnsi="TT Norms Pro"/>
          <w:spacing w:val="40"/>
          <w:sz w:val="16"/>
        </w:rPr>
        <w:t> </w:t>
      </w:r>
      <w:r>
        <w:rPr>
          <w:rFonts w:ascii="TT Norms Pro" w:hAnsi="TT Norms Pro"/>
          <w:sz w:val="16"/>
        </w:rPr>
        <w:t>and mathematics (STEM) researchers,</w:t>
      </w:r>
      <w:r>
        <w:rPr>
          <w:rFonts w:ascii="TT Norms Pro" w:hAnsi="TT Norms Pro"/>
          <w:spacing w:val="40"/>
          <w:sz w:val="16"/>
        </w:rPr>
        <w:t> </w:t>
      </w:r>
      <w:r>
        <w:rPr>
          <w:rFonts w:ascii="TT Norms Pro" w:hAnsi="TT Norms Pro"/>
          <w:sz w:val="16"/>
        </w:rPr>
        <w:t>Professor Robyn Owens, Professor</w:t>
      </w:r>
      <w:r>
        <w:rPr>
          <w:rFonts w:ascii="TT Norms Pro" w:hAnsi="TT Norms Pro"/>
          <w:spacing w:val="80"/>
          <w:sz w:val="16"/>
        </w:rPr>
        <w:t> </w:t>
      </w:r>
      <w:r>
        <w:rPr>
          <w:rFonts w:ascii="TT Norms Pro" w:hAnsi="TT Norms Pro"/>
          <w:sz w:val="16"/>
        </w:rPr>
        <w:t>Ryan Lister and Professor Harvey</w:t>
      </w:r>
      <w:r>
        <w:rPr>
          <w:rFonts w:ascii="TT Norms Pro" w:hAnsi="TT Norms Pro"/>
          <w:spacing w:val="80"/>
          <w:w w:val="150"/>
          <w:sz w:val="16"/>
        </w:rPr>
        <w:t> </w:t>
      </w:r>
      <w:r>
        <w:rPr>
          <w:rFonts w:ascii="TT Norms Pro" w:hAnsi="TT Norms Pro"/>
          <w:sz w:val="16"/>
        </w:rPr>
        <w:t>Millar, are elected as </w:t>
      </w:r>
      <w:r>
        <w:rPr>
          <w:rFonts w:ascii="TT Norms Pro" w:hAnsi="TT Norms Pro"/>
          <w:b/>
          <w:sz w:val="16"/>
        </w:rPr>
        <w:t>2020 Fellows of</w:t>
      </w:r>
      <w:r>
        <w:rPr>
          <w:rFonts w:ascii="TT Norms Pro" w:hAnsi="TT Norms Pro"/>
          <w:b/>
          <w:spacing w:val="40"/>
          <w:sz w:val="16"/>
        </w:rPr>
        <w:t> </w:t>
      </w:r>
      <w:r>
        <w:rPr>
          <w:rFonts w:ascii="TT Norms Pro" w:hAnsi="TT Norms Pro"/>
          <w:b/>
          <w:sz w:val="16"/>
        </w:rPr>
        <w:t>the Australian Academy of Science</w:t>
      </w:r>
      <w:r>
        <w:rPr>
          <w:rFonts w:ascii="TT Norms Pro" w:hAnsi="TT Norms Pro"/>
          <w:sz w:val="16"/>
        </w:rPr>
        <w:t>,</w:t>
      </w:r>
      <w:r>
        <w:rPr>
          <w:rFonts w:ascii="TT Norms Pro" w:hAnsi="TT Norms Pro"/>
          <w:spacing w:val="40"/>
          <w:sz w:val="16"/>
        </w:rPr>
        <w:t> </w:t>
      </w:r>
      <w:r>
        <w:rPr>
          <w:rFonts w:ascii="TT Norms Pro" w:hAnsi="TT Norms Pro"/>
          <w:sz w:val="16"/>
        </w:rPr>
        <w:t>which recognises the nation’s most</w:t>
      </w:r>
      <w:r>
        <w:rPr>
          <w:rFonts w:ascii="TT Norms Pro" w:hAnsi="TT Norms Pro"/>
          <w:spacing w:val="40"/>
          <w:sz w:val="16"/>
        </w:rPr>
        <w:t> </w:t>
      </w:r>
      <w:r>
        <w:rPr>
          <w:rFonts w:ascii="TT Norms Pro" w:hAnsi="TT Norms Pro"/>
          <w:sz w:val="16"/>
        </w:rPr>
        <w:t>distinguished</w:t>
      </w:r>
      <w:r>
        <w:rPr>
          <w:rFonts w:ascii="TT Norms Pro" w:hAnsi="TT Norms Pro"/>
          <w:spacing w:val="-7"/>
          <w:sz w:val="16"/>
        </w:rPr>
        <w:t> </w:t>
      </w:r>
      <w:r>
        <w:rPr>
          <w:rFonts w:ascii="TT Norms Pro" w:hAnsi="TT Norms Pro"/>
          <w:sz w:val="16"/>
        </w:rPr>
        <w:t>scientists.</w:t>
      </w:r>
    </w:p>
    <w:p>
      <w:pPr>
        <w:pStyle w:val="BodyText"/>
        <w:spacing w:before="56"/>
        <w:rPr>
          <w:rFonts w:ascii="TT Norms Pro"/>
          <w:sz w:val="16"/>
        </w:rPr>
      </w:pPr>
    </w:p>
    <w:p>
      <w:pPr>
        <w:spacing w:line="307" w:lineRule="auto" w:before="0"/>
        <w:ind w:left="193" w:right="85" w:firstLine="0"/>
        <w:jc w:val="left"/>
        <w:rPr>
          <w:rFonts w:ascii="TT Norms Pro"/>
          <w:sz w:val="16"/>
        </w:rPr>
      </w:pPr>
      <w:r>
        <w:rPr>
          <w:rFonts w:ascii="TT Norms Pro"/>
          <w:sz w:val="16"/>
        </w:rPr>
        <w:t>The</w:t>
      </w:r>
      <w:r>
        <w:rPr>
          <w:rFonts w:ascii="TT Norms Pro"/>
          <w:spacing w:val="-3"/>
          <w:sz w:val="16"/>
        </w:rPr>
        <w:t> </w:t>
      </w:r>
      <w:r>
        <w:rPr>
          <w:rFonts w:ascii="TT Norms Pro"/>
          <w:sz w:val="16"/>
        </w:rPr>
        <w:t>$80</w:t>
      </w:r>
      <w:r>
        <w:rPr>
          <w:rFonts w:ascii="TT Norms Pro"/>
          <w:spacing w:val="-3"/>
          <w:sz w:val="16"/>
        </w:rPr>
        <w:t> </w:t>
      </w:r>
      <w:r>
        <w:rPr>
          <w:rFonts w:ascii="TT Norms Pro"/>
          <w:sz w:val="16"/>
        </w:rPr>
        <w:t>million</w:t>
      </w:r>
      <w:r>
        <w:rPr>
          <w:rFonts w:ascii="TT Norms Pro"/>
          <w:spacing w:val="-3"/>
          <w:sz w:val="16"/>
        </w:rPr>
        <w:t> </w:t>
      </w:r>
      <w:r>
        <w:rPr>
          <w:rFonts w:ascii="TT Norms Pro"/>
          <w:sz w:val="16"/>
        </w:rPr>
        <w:t>EZONE</w:t>
      </w:r>
      <w:r>
        <w:rPr>
          <w:rFonts w:ascii="TT Norms Pro"/>
          <w:spacing w:val="-3"/>
          <w:sz w:val="16"/>
        </w:rPr>
        <w:t> </w:t>
      </w:r>
      <w:r>
        <w:rPr>
          <w:rFonts w:ascii="TT Norms Pro"/>
          <w:sz w:val="16"/>
        </w:rPr>
        <w:t>UWA</w:t>
      </w:r>
      <w:r>
        <w:rPr>
          <w:rFonts w:ascii="TT Norms Pro"/>
          <w:spacing w:val="-3"/>
          <w:sz w:val="16"/>
        </w:rPr>
        <w:t> </w:t>
      </w:r>
      <w:r>
        <w:rPr>
          <w:rFonts w:ascii="TT Norms Pro"/>
          <w:sz w:val="16"/>
        </w:rPr>
        <w:t>Student</w:t>
      </w:r>
      <w:r>
        <w:rPr>
          <w:rFonts w:ascii="TT Norms Pro"/>
          <w:spacing w:val="40"/>
          <w:sz w:val="16"/>
        </w:rPr>
        <w:t> </w:t>
      </w:r>
      <w:r>
        <w:rPr>
          <w:rFonts w:ascii="TT Norms Pro"/>
          <w:sz w:val="16"/>
        </w:rPr>
        <w:t>Hub is completed, delivering a </w:t>
      </w:r>
      <w:r>
        <w:rPr>
          <w:rFonts w:ascii="TT Norms Pro"/>
          <w:b/>
          <w:sz w:val="16"/>
        </w:rPr>
        <w:t>world-</w:t>
      </w:r>
      <w:r>
        <w:rPr>
          <w:rFonts w:ascii="TT Norms Pro"/>
          <w:b/>
          <w:spacing w:val="40"/>
          <w:sz w:val="16"/>
        </w:rPr>
        <w:t> </w:t>
      </w:r>
      <w:r>
        <w:rPr>
          <w:rFonts w:ascii="TT Norms Pro"/>
          <w:b/>
          <w:sz w:val="16"/>
        </w:rPr>
        <w:t>class learning space </w:t>
      </w:r>
      <w:r>
        <w:rPr>
          <w:rFonts w:ascii="TT Norms Pro"/>
          <w:sz w:val="16"/>
        </w:rPr>
        <w:t>for engineering</w:t>
      </w:r>
      <w:r>
        <w:rPr>
          <w:rFonts w:ascii="TT Norms Pro"/>
          <w:spacing w:val="40"/>
          <w:sz w:val="16"/>
        </w:rPr>
        <w:t> </w:t>
      </w:r>
      <w:r>
        <w:rPr>
          <w:rFonts w:ascii="TT Norms Pro"/>
          <w:sz w:val="16"/>
        </w:rPr>
        <w:t>and mathematical sciences students,</w:t>
      </w:r>
      <w:r>
        <w:rPr>
          <w:rFonts w:ascii="TT Norms Pro"/>
          <w:spacing w:val="40"/>
          <w:sz w:val="16"/>
        </w:rPr>
        <w:t> </w:t>
      </w:r>
      <w:r>
        <w:rPr>
          <w:rFonts w:ascii="TT Norms Pro"/>
          <w:sz w:val="16"/>
        </w:rPr>
        <w:t>researchers, and industry.</w:t>
      </w:r>
    </w:p>
    <w:p>
      <w:pPr>
        <w:pStyle w:val="BodyText"/>
        <w:spacing w:before="38"/>
        <w:rPr>
          <w:rFonts w:ascii="TT Norms Pro"/>
          <w:sz w:val="16"/>
        </w:rPr>
      </w:pPr>
    </w:p>
    <w:p>
      <w:pPr>
        <w:pStyle w:val="Heading9"/>
      </w:pPr>
      <w:r>
        <w:rPr>
          <w:spacing w:val="5"/>
        </w:rPr>
        <w:t>JUNE</w:t>
      </w:r>
    </w:p>
    <w:p>
      <w:pPr>
        <w:spacing w:line="307" w:lineRule="auto" w:before="120"/>
        <w:ind w:left="193" w:right="85" w:firstLine="0"/>
        <w:jc w:val="left"/>
        <w:rPr>
          <w:rFonts w:ascii="TT Norms Pro"/>
          <w:sz w:val="16"/>
        </w:rPr>
      </w:pPr>
      <w:r>
        <w:rPr>
          <w:rFonts w:ascii="TT Norms Pro"/>
          <w:sz w:val="16"/>
        </w:rPr>
        <w:t>UWA launches a </w:t>
      </w:r>
      <w:r>
        <w:rPr>
          <w:rFonts w:ascii="TT Norms Pro"/>
          <w:b/>
          <w:sz w:val="16"/>
        </w:rPr>
        <w:t>suite of new courses</w:t>
      </w:r>
      <w:r>
        <w:rPr>
          <w:rFonts w:ascii="TT Norms Pro"/>
          <w:sz w:val="16"/>
        </w:rPr>
        <w:t>,</w:t>
      </w:r>
      <w:r>
        <w:rPr>
          <w:rFonts w:ascii="TT Norms Pro"/>
          <w:spacing w:val="40"/>
          <w:sz w:val="16"/>
        </w:rPr>
        <w:t> </w:t>
      </w:r>
      <w:r>
        <w:rPr>
          <w:rFonts w:ascii="TT Norms Pro"/>
          <w:sz w:val="16"/>
        </w:rPr>
        <w:t>designed to respond to needs of the</w:t>
      </w:r>
      <w:r>
        <w:rPr>
          <w:rFonts w:ascii="TT Norms Pro"/>
          <w:spacing w:val="40"/>
          <w:sz w:val="16"/>
        </w:rPr>
        <w:t> </w:t>
      </w:r>
      <w:r>
        <w:rPr>
          <w:rFonts w:ascii="TT Norms Pro"/>
          <w:sz w:val="16"/>
        </w:rPr>
        <w:t>Western Australian economy, industry</w:t>
      </w:r>
      <w:r>
        <w:rPr>
          <w:rFonts w:ascii="TT Norms Pro"/>
          <w:spacing w:val="40"/>
          <w:sz w:val="16"/>
        </w:rPr>
        <w:t> </w:t>
      </w:r>
      <w:r>
        <w:rPr>
          <w:rFonts w:ascii="TT Norms Pro"/>
          <w:sz w:val="16"/>
        </w:rPr>
        <w:t>and society, and prepare students for</w:t>
      </w:r>
    </w:p>
    <w:p>
      <w:pPr>
        <w:spacing w:line="307" w:lineRule="auto" w:before="1"/>
        <w:ind w:left="193" w:right="3" w:firstLine="0"/>
        <w:jc w:val="left"/>
        <w:rPr>
          <w:rFonts w:ascii="TT Norms Pro"/>
          <w:sz w:val="16"/>
        </w:rPr>
      </w:pPr>
      <w:r>
        <w:rPr>
          <w:rFonts w:ascii="TT Norms Pro"/>
          <w:sz w:val="16"/>
        </w:rPr>
        <w:t>a rapidly changing world. Automation</w:t>
      </w:r>
      <w:r>
        <w:rPr>
          <w:rFonts w:ascii="TT Norms Pro"/>
          <w:spacing w:val="40"/>
          <w:sz w:val="16"/>
        </w:rPr>
        <w:t> </w:t>
      </w:r>
      <w:r>
        <w:rPr>
          <w:rFonts w:ascii="TT Norms Pro"/>
          <w:sz w:val="16"/>
        </w:rPr>
        <w:t>and robotics, AI and international</w:t>
      </w:r>
      <w:r>
        <w:rPr>
          <w:rFonts w:ascii="TT Norms Pro"/>
          <w:spacing w:val="40"/>
          <w:sz w:val="16"/>
        </w:rPr>
        <w:t> </w:t>
      </w:r>
      <w:r>
        <w:rPr>
          <w:rFonts w:ascii="TT Norms Pro"/>
          <w:sz w:val="16"/>
        </w:rPr>
        <w:t>cybersecurity are among the new</w:t>
      </w:r>
      <w:r>
        <w:rPr>
          <w:rFonts w:ascii="TT Norms Pro"/>
          <w:spacing w:val="40"/>
          <w:sz w:val="16"/>
        </w:rPr>
        <w:t> </w:t>
      </w:r>
      <w:r>
        <w:rPr>
          <w:rFonts w:ascii="TT Norms Pro"/>
          <w:sz w:val="16"/>
        </w:rPr>
        <w:t>courses available from 2021.</w:t>
      </w:r>
    </w:p>
    <w:p>
      <w:pPr>
        <w:pStyle w:val="BodyText"/>
        <w:spacing w:before="37"/>
        <w:rPr>
          <w:rFonts w:ascii="TT Norms Pro"/>
          <w:sz w:val="16"/>
        </w:rPr>
      </w:pPr>
    </w:p>
    <w:p>
      <w:pPr>
        <w:pStyle w:val="Heading9"/>
      </w:pPr>
      <w:r>
        <w:rPr>
          <w:spacing w:val="-4"/>
        </w:rPr>
        <w:t>JULY</w:t>
      </w:r>
    </w:p>
    <w:p>
      <w:pPr>
        <w:spacing w:line="307" w:lineRule="auto" w:before="120"/>
        <w:ind w:left="193" w:right="85" w:firstLine="0"/>
        <w:jc w:val="left"/>
        <w:rPr>
          <w:rFonts w:ascii="TT Norms Pro"/>
          <w:sz w:val="16"/>
        </w:rPr>
      </w:pPr>
      <w:r>
        <w:rPr>
          <w:rFonts w:ascii="TT Norms Pro"/>
          <w:sz w:val="16"/>
        </w:rPr>
        <w:t>New Vice-Chancellor Professor Amit</w:t>
      </w:r>
      <w:r>
        <w:rPr>
          <w:rFonts w:ascii="TT Norms Pro"/>
          <w:spacing w:val="40"/>
          <w:sz w:val="16"/>
        </w:rPr>
        <w:t> </w:t>
      </w:r>
      <w:r>
        <w:rPr>
          <w:rFonts w:ascii="TT Norms Pro"/>
          <w:sz w:val="16"/>
        </w:rPr>
        <w:t>Chakma joins UWA, bringing a wealth</w:t>
      </w:r>
      <w:r>
        <w:rPr>
          <w:rFonts w:ascii="TT Norms Pro"/>
          <w:spacing w:val="40"/>
          <w:sz w:val="16"/>
        </w:rPr>
        <w:t> </w:t>
      </w:r>
      <w:r>
        <w:rPr>
          <w:rFonts w:ascii="TT Norms Pro"/>
          <w:sz w:val="16"/>
        </w:rPr>
        <w:t>of experience and knowledge to</w:t>
      </w:r>
    </w:p>
    <w:p>
      <w:pPr>
        <w:spacing w:before="1"/>
        <w:ind w:left="193" w:right="0" w:firstLine="0"/>
        <w:jc w:val="left"/>
        <w:rPr>
          <w:rFonts w:ascii="TT Norms Pro Medium"/>
          <w:b/>
          <w:sz w:val="16"/>
        </w:rPr>
      </w:pPr>
      <w:r>
        <w:rPr>
          <w:rFonts w:ascii="TT Norms Pro"/>
          <w:b/>
          <w:sz w:val="16"/>
        </w:rPr>
        <w:t>lead</w:t>
      </w:r>
      <w:r>
        <w:rPr>
          <w:rFonts w:ascii="TT Norms Pro"/>
          <w:b/>
          <w:spacing w:val="4"/>
          <w:sz w:val="16"/>
        </w:rPr>
        <w:t> </w:t>
      </w:r>
      <w:r>
        <w:rPr>
          <w:rFonts w:ascii="TT Norms Pro"/>
          <w:b/>
          <w:sz w:val="16"/>
        </w:rPr>
        <w:t>the</w:t>
      </w:r>
      <w:r>
        <w:rPr>
          <w:rFonts w:ascii="TT Norms Pro"/>
          <w:b/>
          <w:spacing w:val="4"/>
          <w:sz w:val="16"/>
        </w:rPr>
        <w:t> </w:t>
      </w:r>
      <w:r>
        <w:rPr>
          <w:rFonts w:ascii="TT Norms Pro"/>
          <w:b/>
          <w:spacing w:val="-2"/>
          <w:sz w:val="16"/>
        </w:rPr>
        <w:t>University</w:t>
      </w:r>
      <w:r>
        <w:rPr>
          <w:rFonts w:ascii="TT Norms Pro Medium"/>
          <w:b/>
          <w:spacing w:val="-2"/>
          <w:sz w:val="16"/>
        </w:rPr>
        <w:t>.</w:t>
      </w:r>
    </w:p>
    <w:p>
      <w:pPr>
        <w:spacing w:line="304" w:lineRule="auto" w:before="135"/>
        <w:ind w:left="193" w:right="1195" w:firstLine="0"/>
        <w:jc w:val="left"/>
        <w:rPr>
          <w:rFonts w:ascii="Verdana"/>
          <w:i/>
          <w:sz w:val="16"/>
        </w:rPr>
      </w:pPr>
      <w:r>
        <w:rPr/>
        <w:br w:type="column"/>
      </w:r>
      <w:r>
        <w:rPr>
          <w:rFonts w:ascii="TT Norms Pro"/>
          <w:sz w:val="16"/>
        </w:rPr>
        <w:t>The Lawrence Wilson Art Gallery</w:t>
      </w:r>
      <w:r>
        <w:rPr>
          <w:rFonts w:ascii="TT Norms Pro"/>
          <w:spacing w:val="40"/>
          <w:sz w:val="16"/>
        </w:rPr>
        <w:t> </w:t>
      </w:r>
      <w:r>
        <w:rPr>
          <w:rFonts w:ascii="TT Norms Pro"/>
          <w:sz w:val="16"/>
        </w:rPr>
        <w:t>provides access to its collections in</w:t>
      </w:r>
      <w:r>
        <w:rPr>
          <w:rFonts w:ascii="TT Norms Pro"/>
          <w:spacing w:val="40"/>
          <w:sz w:val="16"/>
        </w:rPr>
        <w:t> </w:t>
      </w:r>
      <w:r>
        <w:rPr>
          <w:rFonts w:ascii="TT Norms Pro"/>
          <w:sz w:val="16"/>
        </w:rPr>
        <w:t>digital format, </w:t>
      </w:r>
      <w:r>
        <w:rPr>
          <w:rFonts w:ascii="TT Norms Pro"/>
          <w:b/>
          <w:sz w:val="16"/>
        </w:rPr>
        <w:t>launching an online</w:t>
      </w:r>
      <w:r>
        <w:rPr>
          <w:rFonts w:ascii="TT Norms Pro"/>
          <w:b/>
          <w:spacing w:val="40"/>
          <w:sz w:val="16"/>
        </w:rPr>
        <w:t> </w:t>
      </w:r>
      <w:r>
        <w:rPr>
          <w:rFonts w:ascii="TT Norms Pro"/>
          <w:b/>
          <w:sz w:val="16"/>
        </w:rPr>
        <w:t>database </w:t>
      </w:r>
      <w:r>
        <w:rPr>
          <w:rFonts w:ascii="TT Norms Pro"/>
          <w:sz w:val="16"/>
        </w:rPr>
        <w:t>for the Cruthers Collection of</w:t>
      </w:r>
      <w:r>
        <w:rPr>
          <w:rFonts w:ascii="TT Norms Pro"/>
          <w:spacing w:val="40"/>
          <w:sz w:val="16"/>
        </w:rPr>
        <w:t> </w:t>
      </w:r>
      <w:r>
        <w:rPr>
          <w:rFonts w:ascii="TT Norms Pro"/>
          <w:sz w:val="16"/>
        </w:rPr>
        <w:t>Women's Art, and an online exhibition</w:t>
      </w:r>
      <w:r>
        <w:rPr>
          <w:rFonts w:ascii="TT Norms Pro"/>
          <w:spacing w:val="40"/>
          <w:sz w:val="16"/>
        </w:rPr>
        <w:t> </w:t>
      </w:r>
      <w:r>
        <w:rPr>
          <w:rFonts w:ascii="TT Norms Pro"/>
          <w:sz w:val="16"/>
        </w:rPr>
        <w:t>from the Berndt Collection titled</w:t>
      </w:r>
      <w:r>
        <w:rPr>
          <w:rFonts w:ascii="TT Norms Pro"/>
          <w:spacing w:val="40"/>
          <w:sz w:val="16"/>
        </w:rPr>
        <w:t> </w:t>
      </w:r>
      <w:r>
        <w:rPr>
          <w:rFonts w:ascii="Verdana"/>
          <w:i/>
          <w:sz w:val="16"/>
        </w:rPr>
        <w:t>Expressions</w:t>
      </w:r>
      <w:r>
        <w:rPr>
          <w:rFonts w:ascii="Verdana"/>
          <w:i/>
          <w:spacing w:val="-23"/>
          <w:sz w:val="16"/>
        </w:rPr>
        <w:t> </w:t>
      </w:r>
      <w:r>
        <w:rPr>
          <w:rFonts w:ascii="Verdana"/>
          <w:i/>
          <w:sz w:val="16"/>
        </w:rPr>
        <w:t>of</w:t>
      </w:r>
      <w:r>
        <w:rPr>
          <w:rFonts w:ascii="Verdana"/>
          <w:i/>
          <w:spacing w:val="-23"/>
          <w:sz w:val="16"/>
        </w:rPr>
        <w:t> </w:t>
      </w:r>
      <w:r>
        <w:rPr>
          <w:rFonts w:ascii="Verdana"/>
          <w:i/>
          <w:sz w:val="16"/>
        </w:rPr>
        <w:t>India.</w:t>
      </w:r>
    </w:p>
    <w:p>
      <w:pPr>
        <w:pStyle w:val="BodyText"/>
        <w:spacing w:before="51"/>
        <w:rPr>
          <w:rFonts w:ascii="Verdana"/>
          <w:i/>
          <w:sz w:val="16"/>
        </w:rPr>
      </w:pPr>
    </w:p>
    <w:p>
      <w:pPr>
        <w:spacing w:before="1"/>
        <w:ind w:left="193" w:right="0" w:firstLine="0"/>
        <w:jc w:val="left"/>
        <w:rPr>
          <w:rFonts w:ascii="TT Norms Pro"/>
          <w:sz w:val="16"/>
        </w:rPr>
      </w:pPr>
      <w:r>
        <w:rPr>
          <w:rFonts w:ascii="TT Norms Pro"/>
          <w:sz w:val="16"/>
        </w:rPr>
        <w:t>UWA</w:t>
      </w:r>
      <w:r>
        <w:rPr>
          <w:rFonts w:ascii="TT Norms Pro"/>
          <w:spacing w:val="3"/>
          <w:sz w:val="16"/>
        </w:rPr>
        <w:t> </w:t>
      </w:r>
      <w:r>
        <w:rPr>
          <w:rFonts w:ascii="TT Norms Pro"/>
          <w:sz w:val="16"/>
        </w:rPr>
        <w:t>researchers</w:t>
      </w:r>
      <w:r>
        <w:rPr>
          <w:rFonts w:ascii="TT Norms Pro"/>
          <w:spacing w:val="4"/>
          <w:sz w:val="16"/>
        </w:rPr>
        <w:t> </w:t>
      </w:r>
      <w:r>
        <w:rPr>
          <w:rFonts w:ascii="TT Norms Pro"/>
          <w:sz w:val="16"/>
        </w:rPr>
        <w:t>are</w:t>
      </w:r>
      <w:r>
        <w:rPr>
          <w:rFonts w:ascii="TT Norms Pro"/>
          <w:spacing w:val="4"/>
          <w:sz w:val="16"/>
        </w:rPr>
        <w:t> </w:t>
      </w:r>
      <w:r>
        <w:rPr>
          <w:rFonts w:ascii="TT Norms Pro"/>
          <w:sz w:val="16"/>
        </w:rPr>
        <w:t>part</w:t>
      </w:r>
      <w:r>
        <w:rPr>
          <w:rFonts w:ascii="TT Norms Pro"/>
          <w:spacing w:val="3"/>
          <w:sz w:val="16"/>
        </w:rPr>
        <w:t> </w:t>
      </w:r>
      <w:r>
        <w:rPr>
          <w:rFonts w:ascii="TT Norms Pro"/>
          <w:sz w:val="16"/>
        </w:rPr>
        <w:t>of</w:t>
      </w:r>
      <w:r>
        <w:rPr>
          <w:rFonts w:ascii="TT Norms Pro"/>
          <w:spacing w:val="4"/>
          <w:sz w:val="16"/>
        </w:rPr>
        <w:t> </w:t>
      </w:r>
      <w:r>
        <w:rPr>
          <w:rFonts w:ascii="TT Norms Pro"/>
          <w:sz w:val="16"/>
        </w:rPr>
        <w:t>a</w:t>
      </w:r>
      <w:r>
        <w:rPr>
          <w:rFonts w:ascii="TT Norms Pro"/>
          <w:spacing w:val="4"/>
          <w:sz w:val="16"/>
        </w:rPr>
        <w:t> </w:t>
      </w:r>
      <w:r>
        <w:rPr>
          <w:rFonts w:ascii="TT Norms Pro"/>
          <w:spacing w:val="-5"/>
          <w:sz w:val="16"/>
        </w:rPr>
        <w:t>new</w:t>
      </w:r>
    </w:p>
    <w:p>
      <w:pPr>
        <w:spacing w:line="307" w:lineRule="auto" w:before="52"/>
        <w:ind w:left="193" w:right="1195" w:firstLine="0"/>
        <w:jc w:val="left"/>
        <w:rPr>
          <w:rFonts w:ascii="TT Norms Pro"/>
          <w:sz w:val="16"/>
        </w:rPr>
      </w:pPr>
      <w:r>
        <w:rPr>
          <w:rFonts w:ascii="TT Norms Pro"/>
          <w:sz w:val="16"/>
        </w:rPr>
        <w:t>$10.8 million liver research centre that</w:t>
      </w:r>
      <w:r>
        <w:rPr>
          <w:rFonts w:ascii="TT Norms Pro"/>
          <w:spacing w:val="40"/>
          <w:sz w:val="16"/>
        </w:rPr>
        <w:t> </w:t>
      </w:r>
      <w:r>
        <w:rPr>
          <w:rFonts w:ascii="TT Norms Pro"/>
          <w:sz w:val="16"/>
        </w:rPr>
        <w:t>will apply the </w:t>
      </w:r>
      <w:r>
        <w:rPr>
          <w:rFonts w:ascii="TT Norms Pro"/>
          <w:b/>
          <w:sz w:val="16"/>
        </w:rPr>
        <w:t>latest techniques to</w:t>
      </w:r>
      <w:r>
        <w:rPr>
          <w:rFonts w:ascii="TT Norms Pro"/>
          <w:b/>
          <w:spacing w:val="40"/>
          <w:sz w:val="16"/>
        </w:rPr>
        <w:t> </w:t>
      </w:r>
      <w:r>
        <w:rPr>
          <w:rFonts w:ascii="TT Norms Pro"/>
          <w:b/>
          <w:sz w:val="16"/>
        </w:rPr>
        <w:t>analyse patient tumours </w:t>
      </w:r>
      <w:r>
        <w:rPr>
          <w:rFonts w:ascii="TT Norms Pro"/>
          <w:sz w:val="16"/>
        </w:rPr>
        <w:t>and test new</w:t>
      </w:r>
      <w:r>
        <w:rPr>
          <w:rFonts w:ascii="TT Norms Pro"/>
          <w:spacing w:val="40"/>
          <w:sz w:val="16"/>
        </w:rPr>
        <w:t> </w:t>
      </w:r>
      <w:r>
        <w:rPr>
          <w:rFonts w:ascii="TT Norms Pro"/>
          <w:spacing w:val="-2"/>
          <w:sz w:val="16"/>
        </w:rPr>
        <w:t>treatments.</w:t>
      </w:r>
    </w:p>
    <w:p>
      <w:pPr>
        <w:pStyle w:val="BodyText"/>
        <w:spacing w:before="55"/>
        <w:rPr>
          <w:rFonts w:ascii="TT Norms Pro"/>
          <w:sz w:val="16"/>
        </w:rPr>
      </w:pPr>
    </w:p>
    <w:p>
      <w:pPr>
        <w:spacing w:line="307" w:lineRule="auto" w:before="0"/>
        <w:ind w:left="193" w:right="1195" w:firstLine="0"/>
        <w:jc w:val="left"/>
        <w:rPr>
          <w:rFonts w:ascii="TT Norms Pro"/>
          <w:sz w:val="16"/>
        </w:rPr>
      </w:pPr>
      <w:r>
        <w:rPr>
          <w:rFonts w:ascii="TT Norms Pro"/>
          <w:sz w:val="16"/>
        </w:rPr>
        <w:t>The McCusker Centre for Citizenship</w:t>
      </w:r>
      <w:r>
        <w:rPr>
          <w:rFonts w:ascii="TT Norms Pro"/>
          <w:spacing w:val="40"/>
          <w:sz w:val="16"/>
        </w:rPr>
        <w:t> </w:t>
      </w:r>
      <w:r>
        <w:rPr>
          <w:rFonts w:ascii="TT Norms Pro"/>
          <w:sz w:val="16"/>
        </w:rPr>
        <w:t>internship program at UWA, which</w:t>
      </w:r>
      <w:r>
        <w:rPr>
          <w:rFonts w:ascii="TT Norms Pro"/>
          <w:spacing w:val="40"/>
          <w:sz w:val="16"/>
        </w:rPr>
        <w:t> </w:t>
      </w:r>
      <w:r>
        <w:rPr>
          <w:rFonts w:ascii="TT Norms Pro"/>
          <w:sz w:val="16"/>
        </w:rPr>
        <w:t>provides students with the opportunity</w:t>
      </w:r>
      <w:r>
        <w:rPr>
          <w:rFonts w:ascii="TT Norms Pro"/>
          <w:spacing w:val="40"/>
          <w:sz w:val="16"/>
        </w:rPr>
        <w:t> </w:t>
      </w:r>
      <w:r>
        <w:rPr>
          <w:rFonts w:ascii="TT Norms Pro"/>
          <w:sz w:val="16"/>
        </w:rPr>
        <w:t>to volunteer in the community,</w:t>
      </w:r>
      <w:r>
        <w:rPr>
          <w:rFonts w:ascii="TT Norms Pro"/>
          <w:spacing w:val="40"/>
          <w:sz w:val="16"/>
        </w:rPr>
        <w:t> </w:t>
      </w:r>
      <w:r>
        <w:rPr>
          <w:rFonts w:ascii="TT Norms Pro"/>
          <w:b/>
          <w:sz w:val="16"/>
        </w:rPr>
        <w:t>surpasses a milestone </w:t>
      </w:r>
      <w:r>
        <w:rPr>
          <w:rFonts w:ascii="TT Norms Pro"/>
          <w:sz w:val="16"/>
        </w:rPr>
        <w:t>of more than</w:t>
      </w:r>
    </w:p>
    <w:p>
      <w:pPr>
        <w:spacing w:line="307" w:lineRule="auto" w:before="2"/>
        <w:ind w:left="193" w:right="707" w:firstLine="0"/>
        <w:jc w:val="left"/>
        <w:rPr>
          <w:rFonts w:ascii="TT Norms Pro"/>
          <w:sz w:val="16"/>
        </w:rPr>
      </w:pPr>
      <w:r>
        <w:rPr>
          <w:rFonts w:ascii="TT Norms Pro"/>
          <w:b/>
          <w:sz w:val="16"/>
        </w:rPr>
        <w:t>1,000</w:t>
      </w:r>
      <w:r>
        <w:rPr>
          <w:rFonts w:ascii="TT Norms Pro"/>
          <w:b/>
          <w:spacing w:val="-8"/>
          <w:sz w:val="16"/>
        </w:rPr>
        <w:t> </w:t>
      </w:r>
      <w:r>
        <w:rPr>
          <w:rFonts w:ascii="TT Norms Pro"/>
          <w:b/>
          <w:sz w:val="16"/>
        </w:rPr>
        <w:t>internships</w:t>
      </w:r>
      <w:r>
        <w:rPr>
          <w:rFonts w:ascii="TT Norms Pro"/>
          <w:b/>
          <w:spacing w:val="-8"/>
          <w:sz w:val="16"/>
        </w:rPr>
        <w:t> </w:t>
      </w:r>
      <w:r>
        <w:rPr>
          <w:rFonts w:ascii="TT Norms Pro"/>
          <w:b/>
          <w:sz w:val="16"/>
        </w:rPr>
        <w:t>and</w:t>
      </w:r>
      <w:r>
        <w:rPr>
          <w:rFonts w:ascii="TT Norms Pro"/>
          <w:b/>
          <w:spacing w:val="-8"/>
          <w:sz w:val="16"/>
        </w:rPr>
        <w:t> </w:t>
      </w:r>
      <w:r>
        <w:rPr>
          <w:rFonts w:ascii="TT Norms Pro"/>
          <w:b/>
          <w:sz w:val="16"/>
        </w:rPr>
        <w:t>100,000</w:t>
      </w:r>
      <w:r>
        <w:rPr>
          <w:rFonts w:ascii="TT Norms Pro"/>
          <w:b/>
          <w:spacing w:val="-8"/>
          <w:sz w:val="16"/>
        </w:rPr>
        <w:t> </w:t>
      </w:r>
      <w:r>
        <w:rPr>
          <w:rFonts w:ascii="TT Norms Pro"/>
          <w:b/>
          <w:sz w:val="16"/>
        </w:rPr>
        <w:t>hours</w:t>
      </w:r>
      <w:r>
        <w:rPr>
          <w:rFonts w:ascii="TT Norms Pro"/>
          <w:b/>
          <w:spacing w:val="-8"/>
          <w:sz w:val="16"/>
        </w:rPr>
        <w:t> </w:t>
      </w:r>
      <w:r>
        <w:rPr>
          <w:rFonts w:ascii="TT Norms Pro"/>
          <w:sz w:val="16"/>
        </w:rPr>
        <w:t>of</w:t>
      </w:r>
      <w:r>
        <w:rPr>
          <w:rFonts w:ascii="TT Norms Pro"/>
          <w:spacing w:val="40"/>
          <w:sz w:val="16"/>
        </w:rPr>
        <w:t> </w:t>
      </w:r>
      <w:r>
        <w:rPr>
          <w:rFonts w:ascii="TT Norms Pro"/>
          <w:sz w:val="16"/>
        </w:rPr>
        <w:t>service to the community.</w:t>
      </w:r>
    </w:p>
    <w:p>
      <w:pPr>
        <w:pStyle w:val="BodyText"/>
        <w:spacing w:before="53"/>
        <w:rPr>
          <w:rFonts w:ascii="TT Norms Pro"/>
          <w:sz w:val="16"/>
        </w:rPr>
      </w:pPr>
    </w:p>
    <w:p>
      <w:pPr>
        <w:spacing w:line="307" w:lineRule="auto" w:before="0"/>
        <w:ind w:left="193" w:right="1385" w:firstLine="0"/>
        <w:jc w:val="left"/>
        <w:rPr>
          <w:rFonts w:ascii="TT Norms Pro" w:hAnsi="TT Norms Pro"/>
          <w:sz w:val="16"/>
        </w:rPr>
      </w:pPr>
      <w:r>
        <w:rPr>
          <w:rFonts w:ascii="TT Norms Pro" w:hAnsi="TT Norms Pro"/>
          <w:sz w:val="16"/>
        </w:rPr>
        <w:t>Completion of Bilya Marlee – our new</w:t>
      </w:r>
      <w:r>
        <w:rPr>
          <w:rFonts w:ascii="TT Norms Pro" w:hAnsi="TT Norms Pro"/>
          <w:spacing w:val="40"/>
          <w:sz w:val="16"/>
        </w:rPr>
        <w:t> </w:t>
      </w:r>
      <w:r>
        <w:rPr>
          <w:rFonts w:ascii="TT Norms Pro" w:hAnsi="TT Norms Pro"/>
          <w:sz w:val="16"/>
        </w:rPr>
        <w:t>River of the Swan building – places</w:t>
      </w:r>
      <w:r>
        <w:rPr>
          <w:rFonts w:ascii="TT Norms Pro" w:hAnsi="TT Norms Pro"/>
          <w:spacing w:val="40"/>
          <w:sz w:val="16"/>
        </w:rPr>
        <w:t> </w:t>
      </w:r>
      <w:r>
        <w:rPr>
          <w:rFonts w:ascii="TT Norms Pro" w:hAnsi="TT Norms Pro"/>
          <w:b/>
          <w:sz w:val="16"/>
        </w:rPr>
        <w:t>Indigenous studies </w:t>
      </w:r>
      <w:r>
        <w:rPr>
          <w:rFonts w:ascii="TT Norms Pro" w:hAnsi="TT Norms Pro"/>
          <w:sz w:val="16"/>
        </w:rPr>
        <w:t>at the heart of</w:t>
      </w:r>
      <w:r>
        <w:rPr>
          <w:rFonts w:ascii="TT Norms Pro" w:hAnsi="TT Norms Pro"/>
          <w:spacing w:val="40"/>
          <w:sz w:val="16"/>
        </w:rPr>
        <w:t> </w:t>
      </w:r>
      <w:r>
        <w:rPr>
          <w:rFonts w:ascii="TT Norms Pro" w:hAnsi="TT Norms Pro"/>
          <w:sz w:val="16"/>
        </w:rPr>
        <w:t>our campus and embeds Indigenous</w:t>
      </w:r>
      <w:r>
        <w:rPr>
          <w:rFonts w:ascii="TT Norms Pro" w:hAnsi="TT Norms Pro"/>
          <w:spacing w:val="40"/>
          <w:sz w:val="16"/>
        </w:rPr>
        <w:t> </w:t>
      </w:r>
      <w:r>
        <w:rPr>
          <w:rFonts w:ascii="TT Norms Pro" w:hAnsi="TT Norms Pro"/>
          <w:sz w:val="16"/>
        </w:rPr>
        <w:t>wisdom across all we do.</w:t>
      </w:r>
    </w:p>
    <w:p>
      <w:pPr>
        <w:pStyle w:val="BodyText"/>
        <w:spacing w:before="55"/>
        <w:rPr>
          <w:rFonts w:ascii="TT Norms Pro"/>
          <w:sz w:val="16"/>
        </w:rPr>
      </w:pPr>
    </w:p>
    <w:p>
      <w:pPr>
        <w:spacing w:line="307" w:lineRule="auto" w:before="0"/>
        <w:ind w:left="193" w:right="1195" w:firstLine="0"/>
        <w:jc w:val="left"/>
        <w:rPr>
          <w:rFonts w:ascii="TT Norms Pro"/>
          <w:sz w:val="16"/>
        </w:rPr>
      </w:pPr>
      <w:r>
        <w:rPr>
          <w:rFonts w:ascii="TT Norms Pro"/>
          <w:sz w:val="16"/>
        </w:rPr>
        <w:t>Staff vote in favour of variations to</w:t>
      </w:r>
      <w:r>
        <w:rPr>
          <w:rFonts w:ascii="TT Norms Pro"/>
          <w:spacing w:val="40"/>
          <w:sz w:val="16"/>
        </w:rPr>
        <w:t> </w:t>
      </w:r>
      <w:r>
        <w:rPr>
          <w:rFonts w:ascii="TT Norms Pro"/>
          <w:b/>
          <w:sz w:val="16"/>
        </w:rPr>
        <w:t>Academic and Professional Enterprise</w:t>
      </w:r>
      <w:r>
        <w:rPr>
          <w:rFonts w:ascii="TT Norms Pro"/>
          <w:b/>
          <w:spacing w:val="40"/>
          <w:sz w:val="16"/>
        </w:rPr>
        <w:t> </w:t>
      </w:r>
      <w:r>
        <w:rPr>
          <w:rFonts w:ascii="TT Norms Pro"/>
          <w:b/>
          <w:sz w:val="16"/>
        </w:rPr>
        <w:t>Agreements</w:t>
      </w:r>
      <w:r>
        <w:rPr>
          <w:rFonts w:ascii="TT Norms Pro"/>
          <w:sz w:val="16"/>
        </w:rPr>
        <w:t>, ratified by the Fair Work</w:t>
      </w:r>
      <w:r>
        <w:rPr>
          <w:rFonts w:ascii="TT Norms Pro"/>
          <w:spacing w:val="40"/>
          <w:sz w:val="16"/>
        </w:rPr>
        <w:t> </w:t>
      </w:r>
      <w:r>
        <w:rPr>
          <w:rFonts w:ascii="TT Norms Pro"/>
          <w:sz w:val="16"/>
        </w:rPr>
        <w:t>Commission, to deliver</w:t>
      </w:r>
      <w:r>
        <w:rPr>
          <w:rFonts w:ascii="TT Norms Pro"/>
          <w:spacing w:val="40"/>
          <w:sz w:val="16"/>
        </w:rPr>
        <w:t> </w:t>
      </w:r>
      <w:r>
        <w:rPr>
          <w:rFonts w:ascii="TT Norms Pro"/>
          <w:sz w:val="16"/>
        </w:rPr>
        <w:t>cost-saving</w:t>
      </w:r>
      <w:r>
        <w:rPr>
          <w:rFonts w:ascii="TT Norms Pro"/>
          <w:spacing w:val="40"/>
          <w:sz w:val="16"/>
        </w:rPr>
        <w:t> </w:t>
      </w:r>
      <w:r>
        <w:rPr>
          <w:rFonts w:ascii="TT Norms Pro"/>
          <w:sz w:val="16"/>
        </w:rPr>
        <w:t>measures, while protecting jobs.</w:t>
      </w:r>
    </w:p>
    <w:p>
      <w:pPr>
        <w:spacing w:after="0" w:line="307" w:lineRule="auto"/>
        <w:jc w:val="left"/>
        <w:rPr>
          <w:rFonts w:ascii="TT Norms Pro"/>
          <w:sz w:val="16"/>
        </w:rPr>
        <w:sectPr>
          <w:type w:val="continuous"/>
          <w:pgSz w:w="11910" w:h="16840"/>
          <w:pgMar w:header="468" w:footer="0" w:top="980" w:bottom="280" w:left="940" w:right="0"/>
          <w:cols w:num="3" w:equalWidth="0">
            <w:col w:w="3182" w:space="163"/>
            <w:col w:w="3090" w:space="255"/>
            <w:col w:w="4280"/>
          </w:cols>
        </w:sectPr>
      </w:pPr>
    </w:p>
    <w:p>
      <w:pPr>
        <w:pStyle w:val="BodyText"/>
        <w:rPr>
          <w:rFonts w:ascii="TT Norms Pro"/>
          <w:sz w:val="20"/>
        </w:rPr>
      </w:pPr>
    </w:p>
    <w:p>
      <w:pPr>
        <w:pStyle w:val="BodyText"/>
        <w:rPr>
          <w:rFonts w:ascii="TT Norms Pro"/>
          <w:sz w:val="20"/>
        </w:rPr>
      </w:pPr>
    </w:p>
    <w:p>
      <w:pPr>
        <w:pStyle w:val="BodyText"/>
        <w:spacing w:before="211"/>
        <w:rPr>
          <w:rFonts w:ascii="TT Norms Pro"/>
          <w:sz w:val="20"/>
        </w:rPr>
      </w:pPr>
    </w:p>
    <w:p>
      <w:pPr>
        <w:spacing w:after="0"/>
        <w:rPr>
          <w:rFonts w:ascii="TT Norms Pro"/>
          <w:sz w:val="20"/>
        </w:rPr>
        <w:sectPr>
          <w:pgSz w:w="11910" w:h="16840"/>
          <w:pgMar w:header="468" w:footer="0" w:top="720" w:bottom="280" w:left="940" w:right="0"/>
        </w:sectPr>
      </w:pPr>
    </w:p>
    <w:p>
      <w:pPr>
        <w:pStyle w:val="Heading9"/>
        <w:spacing w:before="129"/>
      </w:pPr>
      <w:r>
        <w:rPr>
          <w:spacing w:val="7"/>
        </w:rPr>
        <w:t>SEPTEMBER</w:t>
      </w:r>
    </w:p>
    <w:p>
      <w:pPr>
        <w:spacing w:line="307" w:lineRule="auto" w:before="120"/>
        <w:ind w:left="193" w:right="456" w:firstLine="0"/>
        <w:jc w:val="left"/>
        <w:rPr>
          <w:rFonts w:ascii="TT Norms Pro" w:hAnsi="TT Norms Pro"/>
          <w:sz w:val="16"/>
        </w:rPr>
      </w:pPr>
      <w:r>
        <w:rPr>
          <w:rFonts w:ascii="TT Norms Pro" w:hAnsi="TT Norms Pro"/>
          <w:sz w:val="16"/>
        </w:rPr>
        <w:t>Professor Ryan Lister is awarded</w:t>
      </w:r>
      <w:r>
        <w:rPr>
          <w:rFonts w:ascii="TT Norms Pro" w:hAnsi="TT Norms Pro"/>
          <w:spacing w:val="40"/>
          <w:sz w:val="16"/>
        </w:rPr>
        <w:t> </w:t>
      </w:r>
      <w:r>
        <w:rPr>
          <w:rFonts w:ascii="TT Norms Pro" w:hAnsi="TT Norms Pro"/>
          <w:sz w:val="16"/>
        </w:rPr>
        <w:t>joint Scientist of the Year in the</w:t>
      </w:r>
      <w:r>
        <w:rPr>
          <w:rFonts w:ascii="TT Norms Pro" w:hAnsi="TT Norms Pro"/>
          <w:spacing w:val="40"/>
          <w:sz w:val="16"/>
        </w:rPr>
        <w:t> </w:t>
      </w:r>
      <w:r>
        <w:rPr>
          <w:rFonts w:ascii="TT Norms Pro" w:hAnsi="TT Norms Pro"/>
          <w:b/>
          <w:sz w:val="16"/>
        </w:rPr>
        <w:t>2020</w:t>
      </w:r>
      <w:r>
        <w:rPr>
          <w:rFonts w:ascii="TT Norms Pro" w:hAnsi="TT Norms Pro"/>
          <w:b/>
          <w:spacing w:val="-1"/>
          <w:sz w:val="16"/>
        </w:rPr>
        <w:t> </w:t>
      </w:r>
      <w:r>
        <w:rPr>
          <w:rFonts w:ascii="TT Norms Pro" w:hAnsi="TT Norms Pro"/>
          <w:b/>
          <w:sz w:val="16"/>
        </w:rPr>
        <w:t>Premier’s</w:t>
      </w:r>
      <w:r>
        <w:rPr>
          <w:rFonts w:ascii="TT Norms Pro" w:hAnsi="TT Norms Pro"/>
          <w:b/>
          <w:spacing w:val="-1"/>
          <w:sz w:val="16"/>
        </w:rPr>
        <w:t> </w:t>
      </w:r>
      <w:r>
        <w:rPr>
          <w:rFonts w:ascii="TT Norms Pro" w:hAnsi="TT Norms Pro"/>
          <w:b/>
          <w:sz w:val="16"/>
        </w:rPr>
        <w:t>Science</w:t>
      </w:r>
      <w:r>
        <w:rPr>
          <w:rFonts w:ascii="TT Norms Pro" w:hAnsi="TT Norms Pro"/>
          <w:b/>
          <w:spacing w:val="-1"/>
          <w:sz w:val="16"/>
        </w:rPr>
        <w:t> </w:t>
      </w:r>
      <w:r>
        <w:rPr>
          <w:rFonts w:ascii="TT Norms Pro" w:hAnsi="TT Norms Pro"/>
          <w:b/>
          <w:sz w:val="16"/>
        </w:rPr>
        <w:t>Awards</w:t>
      </w:r>
      <w:r>
        <w:rPr>
          <w:rFonts w:ascii="TT Norms Pro" w:hAnsi="TT Norms Pro"/>
          <w:b/>
          <w:spacing w:val="40"/>
          <w:sz w:val="16"/>
        </w:rPr>
        <w:t> </w:t>
      </w:r>
      <w:r>
        <w:rPr>
          <w:rFonts w:ascii="TT Norms Pro" w:hAnsi="TT Norms Pro"/>
          <w:sz w:val="16"/>
        </w:rPr>
        <w:t>for his contribution to advancing</w:t>
      </w:r>
      <w:r>
        <w:rPr>
          <w:rFonts w:ascii="TT Norms Pro" w:hAnsi="TT Norms Pro"/>
          <w:spacing w:val="40"/>
          <w:sz w:val="16"/>
        </w:rPr>
        <w:t> </w:t>
      </w:r>
      <w:r>
        <w:rPr>
          <w:rFonts w:ascii="TT Norms Pro" w:hAnsi="TT Norms Pro"/>
          <w:sz w:val="16"/>
        </w:rPr>
        <w:t>understanding of the molecular</w:t>
      </w:r>
    </w:p>
    <w:p>
      <w:pPr>
        <w:spacing w:line="307" w:lineRule="auto" w:before="1"/>
        <w:ind w:left="193" w:right="96" w:firstLine="0"/>
        <w:jc w:val="left"/>
        <w:rPr>
          <w:rFonts w:ascii="TT Norms Pro"/>
          <w:sz w:val="16"/>
        </w:rPr>
      </w:pPr>
      <w:r>
        <w:rPr>
          <w:rFonts w:ascii="TT Norms Pro"/>
          <w:sz w:val="16"/>
        </w:rPr>
        <w:t>programming in cells. Professor Mark</w:t>
      </w:r>
      <w:r>
        <w:rPr>
          <w:rFonts w:ascii="TT Norms Pro"/>
          <w:spacing w:val="40"/>
          <w:sz w:val="16"/>
        </w:rPr>
        <w:t> </w:t>
      </w:r>
      <w:r>
        <w:rPr>
          <w:rFonts w:ascii="TT Norms Pro"/>
          <w:sz w:val="16"/>
        </w:rPr>
        <w:t>Randolph is inducted into the Science</w:t>
      </w:r>
      <w:r>
        <w:rPr>
          <w:rFonts w:ascii="TT Norms Pro"/>
          <w:spacing w:val="40"/>
          <w:sz w:val="16"/>
        </w:rPr>
        <w:t> </w:t>
      </w:r>
      <w:r>
        <w:rPr>
          <w:rFonts w:ascii="TT Norms Pro"/>
          <w:sz w:val="16"/>
        </w:rPr>
        <w:t>Hall of Fame.</w:t>
      </w:r>
    </w:p>
    <w:p>
      <w:pPr>
        <w:pStyle w:val="BodyText"/>
        <w:spacing w:before="54"/>
        <w:rPr>
          <w:rFonts w:ascii="TT Norms Pro"/>
          <w:sz w:val="16"/>
        </w:rPr>
      </w:pPr>
    </w:p>
    <w:p>
      <w:pPr>
        <w:spacing w:line="307" w:lineRule="auto" w:before="0"/>
        <w:ind w:left="193" w:right="0" w:firstLine="0"/>
        <w:jc w:val="left"/>
        <w:rPr>
          <w:rFonts w:ascii="TT Norms Pro"/>
          <w:sz w:val="16"/>
        </w:rPr>
      </w:pPr>
      <w:r>
        <w:rPr>
          <w:rFonts w:ascii="TT Norms Pro"/>
          <w:sz w:val="16"/>
        </w:rPr>
        <w:t>UWA scientist Dr Ciara Duffy </w:t>
      </w:r>
      <w:r>
        <w:rPr>
          <w:rFonts w:ascii="TT Norms Pro"/>
          <w:b/>
          <w:sz w:val="16"/>
        </w:rPr>
        <w:t>discovers</w:t>
      </w:r>
      <w:r>
        <w:rPr>
          <w:rFonts w:ascii="TT Norms Pro"/>
          <w:b/>
          <w:spacing w:val="40"/>
          <w:sz w:val="16"/>
        </w:rPr>
        <w:t> </w:t>
      </w:r>
      <w:r>
        <w:rPr>
          <w:rFonts w:ascii="TT Norms Pro"/>
          <w:sz w:val="16"/>
        </w:rPr>
        <w:t>honeybee venom can induce cancer cell</w:t>
      </w:r>
      <w:r>
        <w:rPr>
          <w:rFonts w:ascii="TT Norms Pro"/>
          <w:spacing w:val="40"/>
          <w:sz w:val="16"/>
        </w:rPr>
        <w:t> </w:t>
      </w:r>
      <w:r>
        <w:rPr>
          <w:rFonts w:ascii="TT Norms Pro"/>
          <w:sz w:val="16"/>
        </w:rPr>
        <w:t>death in aggressive breast cancer.</w:t>
      </w:r>
    </w:p>
    <w:p>
      <w:pPr>
        <w:pStyle w:val="BodyText"/>
        <w:spacing w:before="37"/>
        <w:rPr>
          <w:rFonts w:ascii="TT Norms Pro"/>
          <w:sz w:val="16"/>
        </w:rPr>
      </w:pPr>
    </w:p>
    <w:p>
      <w:pPr>
        <w:pStyle w:val="Heading9"/>
      </w:pPr>
      <w:r>
        <w:rPr>
          <w:spacing w:val="-2"/>
        </w:rPr>
        <w:t>OCTOBER</w:t>
      </w:r>
    </w:p>
    <w:p>
      <w:pPr>
        <w:spacing w:line="307" w:lineRule="auto" w:before="120"/>
        <w:ind w:left="193" w:right="96" w:firstLine="0"/>
        <w:jc w:val="left"/>
        <w:rPr>
          <w:rFonts w:ascii="TT Norms Pro" w:hAnsi="TT Norms Pro"/>
          <w:sz w:val="16"/>
        </w:rPr>
      </w:pPr>
      <w:r>
        <w:rPr>
          <w:rFonts w:ascii="TT Norms Pro" w:hAnsi="TT Norms Pro"/>
          <w:sz w:val="16"/>
        </w:rPr>
        <w:t>Emeritus Professor David Blair is</w:t>
      </w:r>
      <w:r>
        <w:rPr>
          <w:rFonts w:ascii="TT Norms Pro" w:hAnsi="TT Norms Pro"/>
          <w:spacing w:val="40"/>
          <w:sz w:val="16"/>
        </w:rPr>
        <w:t> </w:t>
      </w:r>
      <w:r>
        <w:rPr>
          <w:rFonts w:ascii="TT Norms Pro" w:hAnsi="TT Norms Pro"/>
          <w:sz w:val="16"/>
        </w:rPr>
        <w:t>awarded the prestigious </w:t>
      </w:r>
      <w:r>
        <w:rPr>
          <w:rFonts w:ascii="TT Norms Pro" w:hAnsi="TT Norms Pro"/>
          <w:b/>
          <w:sz w:val="16"/>
        </w:rPr>
        <w:t>Prime</w:t>
      </w:r>
      <w:r>
        <w:rPr>
          <w:rFonts w:ascii="TT Norms Pro" w:hAnsi="TT Norms Pro"/>
          <w:b/>
          <w:spacing w:val="40"/>
          <w:sz w:val="16"/>
        </w:rPr>
        <w:t> </w:t>
      </w:r>
      <w:r>
        <w:rPr>
          <w:rFonts w:ascii="TT Norms Pro" w:hAnsi="TT Norms Pro"/>
          <w:b/>
          <w:sz w:val="16"/>
        </w:rPr>
        <w:t>Minister’s Prize for Science </w:t>
      </w:r>
      <w:r>
        <w:rPr>
          <w:rFonts w:ascii="TT Norms Pro" w:hAnsi="TT Norms Pro"/>
          <w:sz w:val="16"/>
        </w:rPr>
        <w:t>for his</w:t>
      </w:r>
      <w:r>
        <w:rPr>
          <w:rFonts w:ascii="TT Norms Pro" w:hAnsi="TT Norms Pro"/>
          <w:spacing w:val="40"/>
          <w:sz w:val="16"/>
        </w:rPr>
        <w:t> </w:t>
      </w:r>
      <w:r>
        <w:rPr>
          <w:rFonts w:ascii="TT Norms Pro" w:hAnsi="TT Norms Pro"/>
          <w:sz w:val="16"/>
        </w:rPr>
        <w:t>contribution to the first detection of</w:t>
      </w:r>
      <w:r>
        <w:rPr>
          <w:rFonts w:ascii="TT Norms Pro" w:hAnsi="TT Norms Pro"/>
          <w:spacing w:val="40"/>
          <w:sz w:val="16"/>
        </w:rPr>
        <w:t> </w:t>
      </w:r>
      <w:r>
        <w:rPr>
          <w:rFonts w:ascii="TT Norms Pro" w:hAnsi="TT Norms Pro"/>
          <w:sz w:val="16"/>
        </w:rPr>
        <w:t>gravitational</w:t>
      </w:r>
      <w:r>
        <w:rPr>
          <w:rFonts w:ascii="TT Norms Pro" w:hAnsi="TT Norms Pro"/>
          <w:spacing w:val="-7"/>
          <w:sz w:val="16"/>
        </w:rPr>
        <w:t> </w:t>
      </w:r>
      <w:r>
        <w:rPr>
          <w:rFonts w:ascii="TT Norms Pro" w:hAnsi="TT Norms Pro"/>
          <w:sz w:val="16"/>
        </w:rPr>
        <w:t>waves.</w:t>
      </w:r>
    </w:p>
    <w:p>
      <w:pPr>
        <w:pStyle w:val="BodyText"/>
        <w:spacing w:before="54"/>
        <w:rPr>
          <w:rFonts w:ascii="TT Norms Pro"/>
          <w:sz w:val="16"/>
        </w:rPr>
      </w:pPr>
    </w:p>
    <w:p>
      <w:pPr>
        <w:spacing w:line="307" w:lineRule="auto" w:before="1"/>
        <w:ind w:left="193" w:right="182" w:firstLine="0"/>
        <w:jc w:val="left"/>
        <w:rPr>
          <w:rFonts w:ascii="TT Norms Pro" w:hAnsi="TT Norms Pro"/>
          <w:sz w:val="16"/>
        </w:rPr>
      </w:pPr>
      <w:r>
        <w:rPr>
          <w:rFonts w:ascii="TT Norms Pro" w:hAnsi="TT Norms Pro"/>
          <w:sz w:val="16"/>
        </w:rPr>
        <w:t>Bachelor of Philosophy (Honours)</w:t>
      </w:r>
      <w:r>
        <w:rPr>
          <w:rFonts w:ascii="TT Norms Pro" w:hAnsi="TT Norms Pro"/>
          <w:spacing w:val="40"/>
          <w:sz w:val="16"/>
        </w:rPr>
        <w:t> </w:t>
      </w:r>
      <w:r>
        <w:rPr>
          <w:rFonts w:ascii="TT Norms Pro" w:hAnsi="TT Norms Pro"/>
          <w:sz w:val="16"/>
        </w:rPr>
        <w:t>student Max Anderson Loake is named</w:t>
      </w:r>
      <w:r>
        <w:rPr>
          <w:rFonts w:ascii="TT Norms Pro" w:hAnsi="TT Norms Pro"/>
          <w:spacing w:val="40"/>
          <w:sz w:val="16"/>
        </w:rPr>
        <w:t> </w:t>
      </w:r>
      <w:r>
        <w:rPr>
          <w:rFonts w:ascii="TT Norms Pro" w:hAnsi="TT Norms Pro"/>
          <w:sz w:val="16"/>
        </w:rPr>
        <w:t>Western Australia’s </w:t>
      </w:r>
      <w:r>
        <w:rPr>
          <w:rFonts w:ascii="TT Norms Pro" w:hAnsi="TT Norms Pro"/>
          <w:b/>
          <w:sz w:val="16"/>
        </w:rPr>
        <w:t>Rhodes Scholar</w:t>
      </w:r>
      <w:r>
        <w:rPr>
          <w:rFonts w:ascii="TT Norms Pro" w:hAnsi="TT Norms Pro"/>
          <w:b/>
          <w:spacing w:val="40"/>
          <w:sz w:val="16"/>
        </w:rPr>
        <w:t> </w:t>
      </w:r>
      <w:r>
        <w:rPr>
          <w:rFonts w:ascii="TT Norms Pro" w:hAnsi="TT Norms Pro"/>
          <w:b/>
          <w:sz w:val="16"/>
        </w:rPr>
        <w:t>for 2021, </w:t>
      </w:r>
      <w:r>
        <w:rPr>
          <w:rFonts w:ascii="TT Norms Pro" w:hAnsi="TT Norms Pro"/>
          <w:sz w:val="16"/>
        </w:rPr>
        <w:t>recognising his potential as a</w:t>
      </w:r>
      <w:r>
        <w:rPr>
          <w:rFonts w:ascii="TT Norms Pro" w:hAnsi="TT Norms Pro"/>
          <w:spacing w:val="40"/>
          <w:sz w:val="16"/>
        </w:rPr>
        <w:t> </w:t>
      </w:r>
      <w:r>
        <w:rPr>
          <w:rFonts w:ascii="TT Norms Pro" w:hAnsi="TT Norms Pro"/>
          <w:sz w:val="16"/>
        </w:rPr>
        <w:t>young global ambassador.</w:t>
      </w:r>
    </w:p>
    <w:p>
      <w:pPr>
        <w:pStyle w:val="BodyText"/>
        <w:spacing w:before="37"/>
        <w:rPr>
          <w:rFonts w:ascii="TT Norms Pro"/>
          <w:sz w:val="16"/>
        </w:rPr>
      </w:pPr>
    </w:p>
    <w:p>
      <w:pPr>
        <w:pStyle w:val="Heading9"/>
      </w:pPr>
      <w:r>
        <w:rPr>
          <w:spacing w:val="-2"/>
        </w:rPr>
        <w:t>NOVEMBER</w:t>
      </w:r>
    </w:p>
    <w:p>
      <w:pPr>
        <w:spacing w:line="307" w:lineRule="auto" w:before="120"/>
        <w:ind w:left="193" w:right="0" w:firstLine="0"/>
        <w:jc w:val="left"/>
        <w:rPr>
          <w:rFonts w:ascii="TT Norms Pro Medium" w:hAnsi="TT Norms Pro Medium"/>
          <w:b/>
          <w:sz w:val="16"/>
        </w:rPr>
      </w:pPr>
      <w:r>
        <w:rPr>
          <w:rFonts w:ascii="TT Norms Pro" w:hAnsi="TT Norms Pro"/>
          <w:sz w:val="16"/>
        </w:rPr>
        <w:t>Professor Helen Milroy, UWA’s first</w:t>
      </w:r>
      <w:r>
        <w:rPr>
          <w:rFonts w:ascii="TT Norms Pro" w:hAnsi="TT Norms Pro"/>
          <w:spacing w:val="40"/>
          <w:sz w:val="16"/>
        </w:rPr>
        <w:t> </w:t>
      </w:r>
      <w:r>
        <w:rPr>
          <w:rFonts w:ascii="TT Norms Pro" w:hAnsi="TT Norms Pro"/>
          <w:sz w:val="16"/>
        </w:rPr>
        <w:t>Indigenous medical graduate, is named</w:t>
      </w:r>
      <w:r>
        <w:rPr>
          <w:rFonts w:ascii="TT Norms Pro" w:hAnsi="TT Norms Pro"/>
          <w:spacing w:val="40"/>
          <w:sz w:val="16"/>
        </w:rPr>
        <w:t> </w:t>
      </w:r>
      <w:r>
        <w:rPr>
          <w:rFonts w:ascii="TT Norms Pro" w:hAnsi="TT Norms Pro"/>
          <w:sz w:val="16"/>
        </w:rPr>
        <w:t>joint winner of the </w:t>
      </w:r>
      <w:r>
        <w:rPr>
          <w:rFonts w:ascii="TT Norms Pro" w:hAnsi="TT Norms Pro"/>
          <w:b/>
          <w:sz w:val="16"/>
        </w:rPr>
        <w:t>2020 Australian</w:t>
      </w:r>
      <w:r>
        <w:rPr>
          <w:rFonts w:ascii="TT Norms Pro" w:hAnsi="TT Norms Pro"/>
          <w:b/>
          <w:spacing w:val="40"/>
          <w:sz w:val="16"/>
        </w:rPr>
        <w:t> </w:t>
      </w:r>
      <w:r>
        <w:rPr>
          <w:rFonts w:ascii="TT Norms Pro" w:hAnsi="TT Norms Pro"/>
          <w:b/>
          <w:sz w:val="16"/>
        </w:rPr>
        <w:t>Mental Health Prize </w:t>
      </w:r>
      <w:r>
        <w:rPr>
          <w:rFonts w:ascii="TT Norms Pro" w:hAnsi="TT Norms Pro"/>
          <w:sz w:val="16"/>
        </w:rPr>
        <w:t>and </w:t>
      </w:r>
      <w:r>
        <w:rPr>
          <w:rFonts w:ascii="TT Norms Pro" w:hAnsi="TT Norms Pro"/>
          <w:b/>
          <w:sz w:val="16"/>
        </w:rPr>
        <w:t>Western</w:t>
      </w:r>
      <w:r>
        <w:rPr>
          <w:rFonts w:ascii="TT Norms Pro" w:hAnsi="TT Norms Pro"/>
          <w:b/>
          <w:spacing w:val="40"/>
          <w:sz w:val="16"/>
        </w:rPr>
        <w:t> </w:t>
      </w:r>
      <w:r>
        <w:rPr>
          <w:rFonts w:ascii="TT Norms Pro" w:hAnsi="TT Norms Pro"/>
          <w:b/>
          <w:sz w:val="16"/>
        </w:rPr>
        <w:t>Australia’s</w:t>
      </w:r>
      <w:r>
        <w:rPr>
          <w:rFonts w:ascii="TT Norms Pro" w:hAnsi="TT Norms Pro"/>
          <w:b/>
          <w:spacing w:val="-2"/>
          <w:sz w:val="16"/>
        </w:rPr>
        <w:t> </w:t>
      </w:r>
      <w:r>
        <w:rPr>
          <w:rFonts w:ascii="TT Norms Pro" w:hAnsi="TT Norms Pro"/>
          <w:b/>
          <w:sz w:val="16"/>
        </w:rPr>
        <w:t>2021</w:t>
      </w:r>
      <w:r>
        <w:rPr>
          <w:rFonts w:ascii="TT Norms Pro" w:hAnsi="TT Norms Pro"/>
          <w:b/>
          <w:spacing w:val="-2"/>
          <w:sz w:val="16"/>
        </w:rPr>
        <w:t> </w:t>
      </w:r>
      <w:r>
        <w:rPr>
          <w:rFonts w:ascii="TT Norms Pro" w:hAnsi="TT Norms Pro"/>
          <w:b/>
          <w:sz w:val="16"/>
        </w:rPr>
        <w:t>Australian</w:t>
      </w:r>
      <w:r>
        <w:rPr>
          <w:rFonts w:ascii="TT Norms Pro" w:hAnsi="TT Norms Pro"/>
          <w:b/>
          <w:spacing w:val="-2"/>
          <w:sz w:val="16"/>
        </w:rPr>
        <w:t> </w:t>
      </w:r>
      <w:r>
        <w:rPr>
          <w:rFonts w:ascii="TT Norms Pro" w:hAnsi="TT Norms Pro"/>
          <w:b/>
          <w:sz w:val="16"/>
        </w:rPr>
        <w:t>of</w:t>
      </w:r>
      <w:r>
        <w:rPr>
          <w:rFonts w:ascii="TT Norms Pro" w:hAnsi="TT Norms Pro"/>
          <w:b/>
          <w:spacing w:val="-2"/>
          <w:sz w:val="16"/>
        </w:rPr>
        <w:t> </w:t>
      </w:r>
      <w:r>
        <w:rPr>
          <w:rFonts w:ascii="TT Norms Pro" w:hAnsi="TT Norms Pro"/>
          <w:b/>
          <w:sz w:val="16"/>
        </w:rPr>
        <w:t>the</w:t>
      </w:r>
      <w:r>
        <w:rPr>
          <w:rFonts w:ascii="TT Norms Pro" w:hAnsi="TT Norms Pro"/>
          <w:b/>
          <w:spacing w:val="-2"/>
          <w:sz w:val="16"/>
        </w:rPr>
        <w:t> </w:t>
      </w:r>
      <w:r>
        <w:rPr>
          <w:rFonts w:ascii="TT Norms Pro" w:hAnsi="TT Norms Pro"/>
          <w:b/>
          <w:sz w:val="16"/>
        </w:rPr>
        <w:t>Year</w:t>
      </w:r>
      <w:r>
        <w:rPr>
          <w:rFonts w:ascii="TT Norms Pro Medium" w:hAnsi="TT Norms Pro Medium"/>
          <w:b/>
          <w:sz w:val="16"/>
        </w:rPr>
        <w:t>.</w:t>
      </w:r>
    </w:p>
    <w:p>
      <w:pPr>
        <w:pStyle w:val="BodyText"/>
        <w:spacing w:before="55"/>
        <w:rPr>
          <w:rFonts w:ascii="TT Norms Pro Medium"/>
          <w:b/>
          <w:sz w:val="16"/>
        </w:rPr>
      </w:pPr>
    </w:p>
    <w:p>
      <w:pPr>
        <w:spacing w:line="307" w:lineRule="auto" w:before="0"/>
        <w:ind w:left="194" w:right="86" w:firstLine="0"/>
        <w:jc w:val="left"/>
        <w:rPr>
          <w:rFonts w:ascii="TT Norms Pro"/>
          <w:b/>
          <w:sz w:val="16"/>
        </w:rPr>
      </w:pPr>
      <w:r>
        <w:rPr>
          <w:rFonts w:ascii="TT Norms Pro"/>
          <w:sz w:val="16"/>
        </w:rPr>
        <w:t>Three academics, Dr Sarah Collins,</w:t>
      </w:r>
      <w:r>
        <w:rPr>
          <w:rFonts w:ascii="TT Norms Pro"/>
          <w:spacing w:val="40"/>
          <w:sz w:val="16"/>
        </w:rPr>
        <w:t> </w:t>
      </w:r>
      <w:r>
        <w:rPr>
          <w:rFonts w:ascii="TT Norms Pro"/>
          <w:sz w:val="16"/>
        </w:rPr>
        <w:t>Professor Jo McDonald and Professor</w:t>
      </w:r>
      <w:r>
        <w:rPr>
          <w:rFonts w:ascii="TT Norms Pro"/>
          <w:spacing w:val="40"/>
          <w:sz w:val="16"/>
        </w:rPr>
        <w:t> </w:t>
      </w:r>
      <w:r>
        <w:rPr>
          <w:rFonts w:ascii="TT Norms Pro"/>
          <w:sz w:val="16"/>
        </w:rPr>
        <w:t>Tim Winter, are elected as </w:t>
      </w:r>
      <w:r>
        <w:rPr>
          <w:rFonts w:ascii="TT Norms Pro"/>
          <w:b/>
          <w:sz w:val="16"/>
        </w:rPr>
        <w:t>fellows of</w:t>
      </w:r>
    </w:p>
    <w:p>
      <w:pPr>
        <w:spacing w:line="307" w:lineRule="auto" w:before="1"/>
        <w:ind w:left="194" w:right="38" w:firstLine="0"/>
        <w:jc w:val="left"/>
        <w:rPr>
          <w:rFonts w:ascii="TT Norms Pro"/>
          <w:sz w:val="16"/>
        </w:rPr>
      </w:pPr>
      <w:r>
        <w:rPr>
          <w:rFonts w:ascii="TT Norms Pro"/>
          <w:b/>
          <w:sz w:val="16"/>
        </w:rPr>
        <w:t>the Australian Academy of Humanities</w:t>
      </w:r>
      <w:r>
        <w:rPr>
          <w:rFonts w:ascii="TT Norms Pro"/>
          <w:sz w:val="16"/>
        </w:rPr>
        <w:t>,</w:t>
      </w:r>
      <w:r>
        <w:rPr>
          <w:rFonts w:ascii="TT Norms Pro"/>
          <w:spacing w:val="40"/>
          <w:sz w:val="16"/>
        </w:rPr>
        <w:t> </w:t>
      </w:r>
      <w:r>
        <w:rPr>
          <w:rFonts w:ascii="TT Norms Pro"/>
          <w:sz w:val="16"/>
        </w:rPr>
        <w:t>the highest honour for achievement in</w:t>
      </w:r>
      <w:r>
        <w:rPr>
          <w:rFonts w:ascii="TT Norms Pro"/>
          <w:spacing w:val="40"/>
          <w:sz w:val="16"/>
        </w:rPr>
        <w:t> </w:t>
      </w:r>
      <w:r>
        <w:rPr>
          <w:rFonts w:ascii="TT Norms Pro"/>
          <w:sz w:val="16"/>
        </w:rPr>
        <w:t>the humanities in Australia.</w:t>
      </w:r>
    </w:p>
    <w:p>
      <w:pPr>
        <w:pStyle w:val="BodyText"/>
        <w:spacing w:before="54"/>
        <w:rPr>
          <w:rFonts w:ascii="TT Norms Pro"/>
          <w:sz w:val="16"/>
        </w:rPr>
      </w:pPr>
    </w:p>
    <w:p>
      <w:pPr>
        <w:spacing w:line="307" w:lineRule="auto" w:before="0"/>
        <w:ind w:left="194" w:right="86" w:firstLine="0"/>
        <w:jc w:val="left"/>
        <w:rPr>
          <w:rFonts w:ascii="TT Norms Pro" w:hAnsi="TT Norms Pro"/>
          <w:sz w:val="16"/>
        </w:rPr>
      </w:pPr>
      <w:r>
        <w:rPr>
          <w:rFonts w:ascii="TT Norms Pro" w:hAnsi="TT Norms Pro"/>
          <w:sz w:val="16"/>
        </w:rPr>
        <w:t>World-renowned expert in fluid</w:t>
      </w:r>
      <w:r>
        <w:rPr>
          <w:rFonts w:ascii="TT Norms Pro" w:hAnsi="TT Norms Pro"/>
          <w:spacing w:val="40"/>
          <w:sz w:val="16"/>
        </w:rPr>
        <w:t> </w:t>
      </w:r>
      <w:r>
        <w:rPr>
          <w:rFonts w:ascii="TT Norms Pro" w:hAnsi="TT Norms Pro"/>
          <w:sz w:val="16"/>
        </w:rPr>
        <w:t>dynamics Professor Liang Cheng is</w:t>
      </w:r>
      <w:r>
        <w:rPr>
          <w:rFonts w:ascii="TT Norms Pro" w:hAnsi="TT Norms Pro"/>
          <w:spacing w:val="40"/>
          <w:sz w:val="16"/>
        </w:rPr>
        <w:t> </w:t>
      </w:r>
      <w:r>
        <w:rPr>
          <w:rFonts w:ascii="TT Norms Pro" w:hAnsi="TT Norms Pro"/>
          <w:sz w:val="16"/>
        </w:rPr>
        <w:t>elected a </w:t>
      </w:r>
      <w:r>
        <w:rPr>
          <w:rFonts w:ascii="TT Norms Pro" w:hAnsi="TT Norms Pro"/>
          <w:b/>
          <w:sz w:val="16"/>
        </w:rPr>
        <w:t>Fellow of the Australian</w:t>
      </w:r>
      <w:r>
        <w:rPr>
          <w:rFonts w:ascii="TT Norms Pro" w:hAnsi="TT Norms Pro"/>
          <w:b/>
          <w:spacing w:val="40"/>
          <w:sz w:val="16"/>
        </w:rPr>
        <w:t> </w:t>
      </w:r>
      <w:r>
        <w:rPr>
          <w:rFonts w:ascii="TT Norms Pro" w:hAnsi="TT Norms Pro"/>
          <w:b/>
          <w:sz w:val="16"/>
        </w:rPr>
        <w:t>Academy of Technology and</w:t>
      </w:r>
      <w:r>
        <w:rPr>
          <w:rFonts w:ascii="TT Norms Pro" w:hAnsi="TT Norms Pro"/>
          <w:b/>
          <w:spacing w:val="40"/>
          <w:sz w:val="16"/>
        </w:rPr>
        <w:t> </w:t>
      </w:r>
      <w:r>
        <w:rPr>
          <w:rFonts w:ascii="TT Norms Pro" w:hAnsi="TT Norms Pro"/>
          <w:b/>
          <w:sz w:val="16"/>
        </w:rPr>
        <w:t>Engineering</w:t>
      </w:r>
      <w:r>
        <w:rPr>
          <w:rFonts w:ascii="TT Norms Pro" w:hAnsi="TT Norms Pro"/>
          <w:sz w:val="16"/>
        </w:rPr>
        <w:t>, joining a league of the</w:t>
      </w:r>
      <w:r>
        <w:rPr>
          <w:rFonts w:ascii="TT Norms Pro" w:hAnsi="TT Norms Pro"/>
          <w:spacing w:val="40"/>
          <w:sz w:val="16"/>
        </w:rPr>
        <w:t> </w:t>
      </w:r>
      <w:r>
        <w:rPr>
          <w:rFonts w:ascii="TT Norms Pro" w:hAnsi="TT Norms Pro"/>
          <w:sz w:val="16"/>
        </w:rPr>
        <w:t>nation’s leading innovators.</w:t>
      </w:r>
    </w:p>
    <w:p>
      <w:pPr>
        <w:pStyle w:val="Heading9"/>
        <w:spacing w:before="129"/>
      </w:pPr>
      <w:r>
        <w:rPr>
          <w:b w:val="0"/>
        </w:rPr>
        <w:br w:type="column"/>
      </w:r>
      <w:r>
        <w:rPr>
          <w:spacing w:val="-2"/>
        </w:rPr>
        <w:t>DECEMBER</w:t>
      </w:r>
    </w:p>
    <w:p>
      <w:pPr>
        <w:spacing w:line="307" w:lineRule="auto" w:before="120"/>
        <w:ind w:left="193" w:right="165" w:firstLine="0"/>
        <w:jc w:val="left"/>
        <w:rPr>
          <w:rFonts w:ascii="TT Norms Pro" w:hAnsi="TT Norms Pro"/>
          <w:sz w:val="16"/>
        </w:rPr>
      </w:pPr>
      <w:r>
        <w:rPr>
          <w:rFonts w:ascii="TT Norms Pro" w:hAnsi="TT Norms Pro"/>
          <w:sz w:val="16"/>
        </w:rPr>
        <w:t>A new facility, the Coastal and Offshore</w:t>
      </w:r>
      <w:r>
        <w:rPr>
          <w:rFonts w:ascii="TT Norms Pro" w:hAnsi="TT Norms Pro"/>
          <w:spacing w:val="40"/>
          <w:sz w:val="16"/>
        </w:rPr>
        <w:t> </w:t>
      </w:r>
      <w:r>
        <w:rPr>
          <w:rFonts w:ascii="TT Norms Pro" w:hAnsi="TT Norms Pro"/>
          <w:sz w:val="16"/>
        </w:rPr>
        <w:t>Engineering Laboratory, opens at</w:t>
      </w:r>
      <w:r>
        <w:rPr>
          <w:rFonts w:ascii="TT Norms Pro" w:hAnsi="TT Norms Pro"/>
          <w:spacing w:val="80"/>
          <w:sz w:val="16"/>
        </w:rPr>
        <w:t> </w:t>
      </w:r>
      <w:r>
        <w:rPr>
          <w:rFonts w:ascii="TT Norms Pro" w:hAnsi="TT Norms Pro"/>
          <w:sz w:val="16"/>
        </w:rPr>
        <w:t>UWA. It will </w:t>
      </w:r>
      <w:r>
        <w:rPr>
          <w:rFonts w:ascii="TT Norms Pro" w:hAnsi="TT Norms Pro"/>
          <w:b/>
          <w:sz w:val="16"/>
        </w:rPr>
        <w:t>enable research and</w:t>
      </w:r>
      <w:r>
        <w:rPr>
          <w:rFonts w:ascii="TT Norms Pro" w:hAnsi="TT Norms Pro"/>
          <w:b/>
          <w:spacing w:val="40"/>
          <w:sz w:val="16"/>
        </w:rPr>
        <w:t> </w:t>
      </w:r>
      <w:r>
        <w:rPr>
          <w:rFonts w:ascii="TT Norms Pro" w:hAnsi="TT Norms Pro"/>
          <w:b/>
          <w:sz w:val="16"/>
        </w:rPr>
        <w:t>testing of solutions to some of WA’s</w:t>
      </w:r>
      <w:r>
        <w:rPr>
          <w:rFonts w:ascii="TT Norms Pro" w:hAnsi="TT Norms Pro"/>
          <w:b/>
          <w:spacing w:val="40"/>
          <w:sz w:val="16"/>
        </w:rPr>
        <w:t> </w:t>
      </w:r>
      <w:r>
        <w:rPr>
          <w:rFonts w:ascii="TT Norms Pro" w:hAnsi="TT Norms Pro"/>
          <w:b/>
          <w:sz w:val="16"/>
        </w:rPr>
        <w:t>most significant ocean engineering</w:t>
      </w:r>
      <w:r>
        <w:rPr>
          <w:rFonts w:ascii="TT Norms Pro" w:hAnsi="TT Norms Pro"/>
          <w:b/>
          <w:spacing w:val="40"/>
          <w:sz w:val="16"/>
        </w:rPr>
        <w:t> </w:t>
      </w:r>
      <w:r>
        <w:rPr>
          <w:rFonts w:ascii="TT Norms Pro" w:hAnsi="TT Norms Pro"/>
          <w:b/>
          <w:sz w:val="16"/>
        </w:rPr>
        <w:t>challenges</w:t>
      </w:r>
      <w:r>
        <w:rPr>
          <w:rFonts w:ascii="TT Norms Pro" w:hAnsi="TT Norms Pro"/>
          <w:sz w:val="16"/>
        </w:rPr>
        <w:t>, including protecting our</w:t>
      </w:r>
      <w:r>
        <w:rPr>
          <w:rFonts w:ascii="TT Norms Pro" w:hAnsi="TT Norms Pro"/>
          <w:spacing w:val="40"/>
          <w:sz w:val="16"/>
        </w:rPr>
        <w:t> </w:t>
      </w:r>
      <w:r>
        <w:rPr>
          <w:rFonts w:ascii="TT Norms Pro" w:hAnsi="TT Norms Pro"/>
          <w:sz w:val="16"/>
        </w:rPr>
        <w:t>coastline from flooding and erosion,</w:t>
      </w:r>
      <w:r>
        <w:rPr>
          <w:rFonts w:ascii="TT Norms Pro" w:hAnsi="TT Norms Pro"/>
          <w:spacing w:val="40"/>
          <w:sz w:val="16"/>
        </w:rPr>
        <w:t> </w:t>
      </w:r>
      <w:r>
        <w:rPr>
          <w:rFonts w:ascii="TT Norms Pro" w:hAnsi="TT Norms Pro"/>
          <w:sz w:val="16"/>
        </w:rPr>
        <w:t>finding new ways to harness renewable</w:t>
      </w:r>
      <w:r>
        <w:rPr>
          <w:rFonts w:ascii="TT Norms Pro" w:hAnsi="TT Norms Pro"/>
          <w:spacing w:val="40"/>
          <w:sz w:val="16"/>
        </w:rPr>
        <w:t> </w:t>
      </w:r>
      <w:r>
        <w:rPr>
          <w:rFonts w:ascii="TT Norms Pro" w:hAnsi="TT Norms Pro"/>
          <w:sz w:val="16"/>
        </w:rPr>
        <w:t>energy resources and gaining insights</w:t>
      </w:r>
      <w:r>
        <w:rPr>
          <w:rFonts w:ascii="TT Norms Pro" w:hAnsi="TT Norms Pro"/>
          <w:spacing w:val="40"/>
          <w:sz w:val="16"/>
        </w:rPr>
        <w:t> </w:t>
      </w:r>
      <w:r>
        <w:rPr>
          <w:rFonts w:ascii="TT Norms Pro" w:hAnsi="TT Norms Pro"/>
          <w:sz w:val="16"/>
        </w:rPr>
        <w:t>critical to protect and rehabilitate</w:t>
      </w:r>
    </w:p>
    <w:p>
      <w:pPr>
        <w:spacing w:before="3"/>
        <w:ind w:left="193" w:right="0" w:firstLine="0"/>
        <w:jc w:val="left"/>
        <w:rPr>
          <w:rFonts w:ascii="TT Norms Pro"/>
          <w:sz w:val="16"/>
        </w:rPr>
      </w:pPr>
      <w:r>
        <w:rPr>
          <w:rFonts w:ascii="TT Norms Pro"/>
          <w:sz w:val="16"/>
        </w:rPr>
        <w:t>coral</w:t>
      </w:r>
      <w:r>
        <w:rPr>
          <w:rFonts w:ascii="TT Norms Pro"/>
          <w:spacing w:val="3"/>
          <w:sz w:val="16"/>
        </w:rPr>
        <w:t> </w:t>
      </w:r>
      <w:r>
        <w:rPr>
          <w:rFonts w:ascii="TT Norms Pro"/>
          <w:spacing w:val="-2"/>
          <w:sz w:val="16"/>
        </w:rPr>
        <w:t>reefs.</w:t>
      </w:r>
    </w:p>
    <w:p>
      <w:pPr>
        <w:pStyle w:val="BodyText"/>
        <w:spacing w:before="103"/>
        <w:rPr>
          <w:rFonts w:ascii="TT Norms Pro"/>
          <w:sz w:val="20"/>
        </w:rPr>
      </w:pPr>
      <w:r>
        <w:rPr/>
        <w:drawing>
          <wp:anchor distT="0" distB="0" distL="0" distR="0" allowOverlap="1" layoutInCell="1" locked="0" behindDoc="1" simplePos="0" relativeHeight="487638528">
            <wp:simplePos x="0" y="0"/>
            <wp:positionH relativeFrom="page">
              <wp:posOffset>2843999</wp:posOffset>
            </wp:positionH>
            <wp:positionV relativeFrom="paragraph">
              <wp:posOffset>229787</wp:posOffset>
            </wp:positionV>
            <wp:extent cx="1862197" cy="1504188"/>
            <wp:effectExtent l="0" t="0" r="0" b="0"/>
            <wp:wrapTopAndBottom/>
            <wp:docPr id="254" name="Image 254"/>
            <wp:cNvGraphicFramePr>
              <a:graphicFrameLocks/>
            </wp:cNvGraphicFramePr>
            <a:graphic>
              <a:graphicData uri="http://schemas.openxmlformats.org/drawingml/2006/picture">
                <pic:pic>
                  <pic:nvPicPr>
                    <pic:cNvPr id="254" name="Image 254"/>
                    <pic:cNvPicPr/>
                  </pic:nvPicPr>
                  <pic:blipFill>
                    <a:blip r:embed="rId34" cstate="print"/>
                    <a:stretch>
                      <a:fillRect/>
                    </a:stretch>
                  </pic:blipFill>
                  <pic:spPr>
                    <a:xfrm>
                      <a:off x="0" y="0"/>
                      <a:ext cx="1862197" cy="1504188"/>
                    </a:xfrm>
                    <a:prstGeom prst="rect">
                      <a:avLst/>
                    </a:prstGeom>
                  </pic:spPr>
                </pic:pic>
              </a:graphicData>
            </a:graphic>
          </wp:anchor>
        </w:drawing>
      </w:r>
    </w:p>
    <w:p>
      <w:pPr>
        <w:spacing w:line="273" w:lineRule="auto" w:before="123"/>
        <w:ind w:left="193" w:right="610" w:firstLine="0"/>
        <w:jc w:val="left"/>
        <w:rPr>
          <w:rFonts w:ascii="TT Norms Pro"/>
          <w:sz w:val="12"/>
        </w:rPr>
      </w:pPr>
      <w:r>
        <w:rPr>
          <w:rFonts w:ascii="TT Norms Pro"/>
          <w:sz w:val="12"/>
        </w:rPr>
        <w:t>Rhodes Scholar 2021 recipient Max</w:t>
      </w:r>
      <w:r>
        <w:rPr>
          <w:rFonts w:ascii="TT Norms Pro"/>
          <w:spacing w:val="40"/>
          <w:sz w:val="12"/>
        </w:rPr>
        <w:t> </w:t>
      </w:r>
      <w:r>
        <w:rPr>
          <w:rFonts w:ascii="TT Norms Pro"/>
          <w:sz w:val="12"/>
        </w:rPr>
        <w:t>Anderson</w:t>
      </w:r>
      <w:r>
        <w:rPr>
          <w:rFonts w:ascii="TT Norms Pro"/>
          <w:spacing w:val="-7"/>
          <w:sz w:val="12"/>
        </w:rPr>
        <w:t> </w:t>
      </w:r>
      <w:r>
        <w:rPr>
          <w:rFonts w:ascii="TT Norms Pro"/>
          <w:sz w:val="12"/>
        </w:rPr>
        <w:t>Loake</w:t>
      </w:r>
    </w:p>
    <w:p>
      <w:pPr>
        <w:pStyle w:val="BodyText"/>
        <w:spacing w:before="7"/>
        <w:rPr>
          <w:rFonts w:ascii="TT Norms Pro"/>
          <w:sz w:val="15"/>
        </w:rPr>
      </w:pPr>
      <w:r>
        <w:rPr/>
        <w:drawing>
          <wp:anchor distT="0" distB="0" distL="0" distR="0" allowOverlap="1" layoutInCell="1" locked="0" behindDoc="1" simplePos="0" relativeHeight="487639040">
            <wp:simplePos x="0" y="0"/>
            <wp:positionH relativeFrom="page">
              <wp:posOffset>2843999</wp:posOffset>
            </wp:positionH>
            <wp:positionV relativeFrom="paragraph">
              <wp:posOffset>131323</wp:posOffset>
            </wp:positionV>
            <wp:extent cx="1862181" cy="1504188"/>
            <wp:effectExtent l="0" t="0" r="0" b="0"/>
            <wp:wrapTopAndBottom/>
            <wp:docPr id="255" name="Image 255"/>
            <wp:cNvGraphicFramePr>
              <a:graphicFrameLocks/>
            </wp:cNvGraphicFramePr>
            <a:graphic>
              <a:graphicData uri="http://schemas.openxmlformats.org/drawingml/2006/picture">
                <pic:pic>
                  <pic:nvPicPr>
                    <pic:cNvPr id="255" name="Image 255"/>
                    <pic:cNvPicPr/>
                  </pic:nvPicPr>
                  <pic:blipFill>
                    <a:blip r:embed="rId35" cstate="print"/>
                    <a:stretch>
                      <a:fillRect/>
                    </a:stretch>
                  </pic:blipFill>
                  <pic:spPr>
                    <a:xfrm>
                      <a:off x="0" y="0"/>
                      <a:ext cx="1862181" cy="1504188"/>
                    </a:xfrm>
                    <a:prstGeom prst="rect">
                      <a:avLst/>
                    </a:prstGeom>
                  </pic:spPr>
                </pic:pic>
              </a:graphicData>
            </a:graphic>
          </wp:anchor>
        </w:drawing>
      </w:r>
    </w:p>
    <w:p>
      <w:pPr>
        <w:spacing w:line="273" w:lineRule="auto" w:before="115"/>
        <w:ind w:left="193" w:right="412" w:firstLine="0"/>
        <w:jc w:val="left"/>
        <w:rPr>
          <w:rFonts w:ascii="TT Norms Pro"/>
          <w:sz w:val="12"/>
        </w:rPr>
      </w:pPr>
      <w:r>
        <w:rPr>
          <w:rFonts w:ascii="TT Norms Pro"/>
          <w:sz w:val="12"/>
        </w:rPr>
        <w:t>UWA 2020 Fellows of the Australian Academy</w:t>
      </w:r>
      <w:r>
        <w:rPr>
          <w:rFonts w:ascii="TT Norms Pro"/>
          <w:spacing w:val="40"/>
          <w:sz w:val="12"/>
        </w:rPr>
        <w:t> </w:t>
      </w:r>
      <w:r>
        <w:rPr>
          <w:rFonts w:ascii="TT Norms Pro"/>
          <w:sz w:val="12"/>
        </w:rPr>
        <w:t>of Science.</w:t>
      </w:r>
      <w:r>
        <w:rPr>
          <w:rFonts w:ascii="TT Norms Pro"/>
          <w:spacing w:val="40"/>
          <w:sz w:val="12"/>
        </w:rPr>
        <w:t> </w:t>
      </w:r>
      <w:r>
        <w:rPr>
          <w:rFonts w:ascii="TT Norms Pro"/>
          <w:sz w:val="12"/>
        </w:rPr>
        <w:t>L-R, Professor Harvey Millar,</w:t>
      </w:r>
    </w:p>
    <w:p>
      <w:pPr>
        <w:spacing w:before="0"/>
        <w:ind w:left="193" w:right="0" w:firstLine="0"/>
        <w:jc w:val="left"/>
        <w:rPr>
          <w:rFonts w:ascii="TT Norms Pro"/>
          <w:sz w:val="12"/>
        </w:rPr>
      </w:pPr>
      <w:r>
        <w:rPr/>
        <mc:AlternateContent>
          <mc:Choice Requires="wps">
            <w:drawing>
              <wp:anchor distT="0" distB="0" distL="0" distR="0" allowOverlap="1" layoutInCell="1" locked="0" behindDoc="0" simplePos="0" relativeHeight="15781376">
                <wp:simplePos x="0" y="0"/>
                <wp:positionH relativeFrom="page">
                  <wp:posOffset>2772003</wp:posOffset>
                </wp:positionH>
                <wp:positionV relativeFrom="paragraph">
                  <wp:posOffset>244162</wp:posOffset>
                </wp:positionV>
                <wp:extent cx="4068445" cy="2879090"/>
                <wp:effectExtent l="0" t="0" r="0" b="0"/>
                <wp:wrapNone/>
                <wp:docPr id="256" name="Group 256"/>
                <wp:cNvGraphicFramePr>
                  <a:graphicFrameLocks/>
                </wp:cNvGraphicFramePr>
                <a:graphic>
                  <a:graphicData uri="http://schemas.microsoft.com/office/word/2010/wordprocessingGroup">
                    <wpg:wgp>
                      <wpg:cNvPr id="256" name="Group 256"/>
                      <wpg:cNvGrpSpPr/>
                      <wpg:grpSpPr>
                        <a:xfrm>
                          <a:off x="0" y="0"/>
                          <a:ext cx="4068445" cy="2879090"/>
                          <a:chExt cx="4068445" cy="2879090"/>
                        </a:xfrm>
                      </wpg:grpSpPr>
                      <pic:pic>
                        <pic:nvPicPr>
                          <pic:cNvPr id="257" name="Image 257"/>
                          <pic:cNvPicPr/>
                        </pic:nvPicPr>
                        <pic:blipFill>
                          <a:blip r:embed="rId36" cstate="print"/>
                          <a:stretch>
                            <a:fillRect/>
                          </a:stretch>
                        </pic:blipFill>
                        <pic:spPr>
                          <a:xfrm>
                            <a:off x="71996" y="0"/>
                            <a:ext cx="3995991" cy="2793796"/>
                          </a:xfrm>
                          <a:prstGeom prst="rect">
                            <a:avLst/>
                          </a:prstGeom>
                        </pic:spPr>
                      </pic:pic>
                      <wps:wsp>
                        <wps:cNvPr id="258" name="Graphic 258"/>
                        <wps:cNvSpPr/>
                        <wps:spPr>
                          <a:xfrm>
                            <a:off x="0" y="2475039"/>
                            <a:ext cx="2376170" cy="403860"/>
                          </a:xfrm>
                          <a:custGeom>
                            <a:avLst/>
                            <a:gdLst/>
                            <a:ahLst/>
                            <a:cxnLst/>
                            <a:rect l="l" t="t" r="r" b="b"/>
                            <a:pathLst>
                              <a:path w="2376170" h="403860">
                                <a:moveTo>
                                  <a:pt x="2376004" y="0"/>
                                </a:moveTo>
                                <a:lnTo>
                                  <a:pt x="0" y="0"/>
                                </a:lnTo>
                                <a:lnTo>
                                  <a:pt x="0" y="403707"/>
                                </a:lnTo>
                                <a:lnTo>
                                  <a:pt x="2376004" y="403707"/>
                                </a:lnTo>
                                <a:lnTo>
                                  <a:pt x="2376004" y="0"/>
                                </a:lnTo>
                                <a:close/>
                              </a:path>
                            </a:pathLst>
                          </a:custGeom>
                          <a:solidFill>
                            <a:srgbClr val="FFFFFF"/>
                          </a:solidFill>
                        </wps:spPr>
                        <wps:bodyPr wrap="square" lIns="0" tIns="0" rIns="0" bIns="0" rtlCol="0">
                          <a:prstTxWarp prst="textNoShape">
                            <a:avLst/>
                          </a:prstTxWarp>
                          <a:noAutofit/>
                        </wps:bodyPr>
                      </wps:wsp>
                      <wps:wsp>
                        <wps:cNvPr id="259" name="Graphic 259"/>
                        <wps:cNvSpPr/>
                        <wps:spPr>
                          <a:xfrm>
                            <a:off x="3263989" y="114"/>
                            <a:ext cx="804545" cy="1398270"/>
                          </a:xfrm>
                          <a:custGeom>
                            <a:avLst/>
                            <a:gdLst/>
                            <a:ahLst/>
                            <a:cxnLst/>
                            <a:rect l="l" t="t" r="r" b="b"/>
                            <a:pathLst>
                              <a:path w="804545" h="1398270">
                                <a:moveTo>
                                  <a:pt x="803998" y="0"/>
                                </a:moveTo>
                                <a:lnTo>
                                  <a:pt x="0" y="0"/>
                                </a:lnTo>
                                <a:lnTo>
                                  <a:pt x="0" y="215900"/>
                                </a:lnTo>
                                <a:lnTo>
                                  <a:pt x="587997" y="215900"/>
                                </a:lnTo>
                                <a:lnTo>
                                  <a:pt x="587997" y="1398270"/>
                                </a:lnTo>
                                <a:lnTo>
                                  <a:pt x="803998" y="1398270"/>
                                </a:lnTo>
                                <a:lnTo>
                                  <a:pt x="803998" y="215900"/>
                                </a:lnTo>
                                <a:lnTo>
                                  <a:pt x="803998" y="0"/>
                                </a:lnTo>
                                <a:close/>
                              </a:path>
                            </a:pathLst>
                          </a:custGeom>
                          <a:solidFill>
                            <a:srgbClr val="B68B2D"/>
                          </a:solidFill>
                        </wps:spPr>
                        <wps:bodyPr wrap="square" lIns="0" tIns="0" rIns="0" bIns="0" rtlCol="0">
                          <a:prstTxWarp prst="textNoShape">
                            <a:avLst/>
                          </a:prstTxWarp>
                          <a:noAutofit/>
                        </wps:bodyPr>
                      </wps:wsp>
                      <wps:wsp>
                        <wps:cNvPr id="260" name="Textbox 260"/>
                        <wps:cNvSpPr txBox="1"/>
                        <wps:spPr>
                          <a:xfrm>
                            <a:off x="0" y="0"/>
                            <a:ext cx="4068445" cy="2879090"/>
                          </a:xfrm>
                          <a:prstGeom prst="rect">
                            <a:avLst/>
                          </a:prstGeom>
                        </wps:spPr>
                        <wps:txbx>
                          <w:txbxContent>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73" w:lineRule="auto" w:before="0"/>
                                <w:ind w:left="145" w:right="2797" w:firstLine="0"/>
                                <w:jc w:val="left"/>
                                <w:rPr>
                                  <w:rFonts w:ascii="TT Norms Pro" w:hAnsi="TT Norms Pro"/>
                                  <w:sz w:val="12"/>
                                </w:rPr>
                              </w:pPr>
                              <w:r>
                                <w:rPr>
                                  <w:rFonts w:ascii="TT Norms Pro" w:hAnsi="TT Norms Pro"/>
                                  <w:sz w:val="12"/>
                                </w:rPr>
                                <w:t>Professor</w:t>
                              </w:r>
                              <w:r>
                                <w:rPr>
                                  <w:rFonts w:ascii="TT Norms Pro" w:hAnsi="TT Norms Pro"/>
                                  <w:spacing w:val="20"/>
                                  <w:sz w:val="12"/>
                                </w:rPr>
                                <w:t> </w:t>
                              </w:r>
                              <w:r>
                                <w:rPr>
                                  <w:rFonts w:ascii="TT Norms Pro" w:hAnsi="TT Norms Pro"/>
                                  <w:sz w:val="12"/>
                                </w:rPr>
                                <w:t>Ryan</w:t>
                              </w:r>
                              <w:r>
                                <w:rPr>
                                  <w:rFonts w:ascii="TT Norms Pro" w:hAnsi="TT Norms Pro"/>
                                  <w:spacing w:val="20"/>
                                  <w:sz w:val="12"/>
                                </w:rPr>
                                <w:t> </w:t>
                              </w:r>
                              <w:r>
                                <w:rPr>
                                  <w:rFonts w:ascii="TT Norms Pro" w:hAnsi="TT Norms Pro"/>
                                  <w:sz w:val="12"/>
                                </w:rPr>
                                <w:t>Lister,</w:t>
                              </w:r>
                              <w:r>
                                <w:rPr>
                                  <w:rFonts w:ascii="TT Norms Pro" w:hAnsi="TT Norms Pro"/>
                                  <w:spacing w:val="20"/>
                                  <w:sz w:val="12"/>
                                </w:rPr>
                                <w:t> </w:t>
                              </w:r>
                              <w:r>
                                <w:rPr>
                                  <w:rFonts w:ascii="TT Norms Pro" w:hAnsi="TT Norms Pro"/>
                                  <w:sz w:val="12"/>
                                </w:rPr>
                                <w:t>a</w:t>
                              </w:r>
                              <w:r>
                                <w:rPr>
                                  <w:rFonts w:ascii="TT Norms Pro" w:hAnsi="TT Norms Pro"/>
                                  <w:spacing w:val="20"/>
                                  <w:sz w:val="12"/>
                                </w:rPr>
                                <w:t> </w:t>
                              </w:r>
                              <w:r>
                                <w:rPr>
                                  <w:rFonts w:ascii="TT Norms Pro" w:hAnsi="TT Norms Pro"/>
                                  <w:sz w:val="12"/>
                                </w:rPr>
                                <w:t>pioneer</w:t>
                              </w:r>
                              <w:r>
                                <w:rPr>
                                  <w:rFonts w:ascii="TT Norms Pro" w:hAnsi="TT Norms Pro"/>
                                  <w:spacing w:val="20"/>
                                  <w:sz w:val="12"/>
                                </w:rPr>
                                <w:t> </w:t>
                              </w:r>
                              <w:r>
                                <w:rPr>
                                  <w:rFonts w:ascii="TT Norms Pro" w:hAnsi="TT Norms Pro"/>
                                  <w:sz w:val="12"/>
                                </w:rPr>
                                <w:t>in</w:t>
                              </w:r>
                              <w:r>
                                <w:rPr>
                                  <w:rFonts w:ascii="TT Norms Pro" w:hAnsi="TT Norms Pro"/>
                                  <w:spacing w:val="20"/>
                                  <w:sz w:val="12"/>
                                </w:rPr>
                                <w:t> </w:t>
                              </w:r>
                              <w:r>
                                <w:rPr>
                                  <w:rFonts w:ascii="TT Norms Pro" w:hAnsi="TT Norms Pro"/>
                                  <w:sz w:val="12"/>
                                </w:rPr>
                                <w:t>epigenomics,</w:t>
                              </w:r>
                              <w:r>
                                <w:rPr>
                                  <w:rFonts w:ascii="TT Norms Pro" w:hAnsi="TT Norms Pro"/>
                                  <w:spacing w:val="20"/>
                                  <w:sz w:val="12"/>
                                </w:rPr>
                                <w:t> </w:t>
                              </w:r>
                              <w:r>
                                <w:rPr>
                                  <w:rFonts w:ascii="TT Norms Pro" w:hAnsi="TT Norms Pro"/>
                                  <w:sz w:val="12"/>
                                </w:rPr>
                                <w:t>is</w:t>
                              </w:r>
                              <w:r>
                                <w:rPr>
                                  <w:rFonts w:ascii="TT Norms Pro" w:hAnsi="TT Norms Pro"/>
                                  <w:spacing w:val="20"/>
                                  <w:sz w:val="12"/>
                                </w:rPr>
                                <w:t> </w:t>
                              </w:r>
                              <w:r>
                                <w:rPr>
                                  <w:rFonts w:ascii="TT Norms Pro" w:hAnsi="TT Norms Pro"/>
                                  <w:sz w:val="12"/>
                                </w:rPr>
                                <w:t>awarded</w:t>
                              </w:r>
                              <w:r>
                                <w:rPr>
                                  <w:rFonts w:ascii="TT Norms Pro" w:hAnsi="TT Norms Pro"/>
                                  <w:spacing w:val="40"/>
                                  <w:sz w:val="12"/>
                                </w:rPr>
                                <w:t> </w:t>
                              </w:r>
                              <w:r>
                                <w:rPr>
                                  <w:rFonts w:ascii="TT Norms Pro" w:hAnsi="TT Norms Pro"/>
                                  <w:sz w:val="12"/>
                                </w:rPr>
                                <w:t>joint Scientist of the Year in the 2020 Premier’s Science Awards</w:t>
                              </w:r>
                            </w:p>
                          </w:txbxContent>
                        </wps:txbx>
                        <wps:bodyPr wrap="square" lIns="0" tIns="0" rIns="0" bIns="0" rtlCol="0">
                          <a:noAutofit/>
                        </wps:bodyPr>
                      </wps:wsp>
                    </wpg:wgp>
                  </a:graphicData>
                </a:graphic>
              </wp:anchor>
            </w:drawing>
          </mc:Choice>
          <mc:Fallback>
            <w:pict>
              <v:group style="position:absolute;margin-left:218.268005pt;margin-top:19.225401pt;width:320.350pt;height:226.7pt;mso-position-horizontal-relative:page;mso-position-vertical-relative:paragraph;z-index:15781376" id="docshapegroup161" coordorigin="4365,385" coordsize="6407,4534">
                <v:shape style="position:absolute;left:4478;top:384;width:6293;height:4400" type="#_x0000_t75" id="docshape162" stroked="false">
                  <v:imagedata r:id="rId36" o:title=""/>
                </v:shape>
                <v:rect style="position:absolute;left:4365;top:4282;width:3742;height:636" id="docshape163" filled="true" fillcolor="#ffffff" stroked="false">
                  <v:fill type="solid"/>
                </v:rect>
                <v:shape style="position:absolute;left:9505;top:384;width:1267;height:2202" id="docshape164" coordorigin="9506,385" coordsize="1267,2202" path="m10772,385l9506,385,9506,725,10431,725,10431,2587,10772,2587,10772,725,10772,385xe" filled="true" fillcolor="#b68b2d" stroked="false">
                  <v:path arrowok="t"/>
                  <v:fill type="solid"/>
                </v:shape>
                <v:shape style="position:absolute;left:4365;top:384;width:6407;height:4534" type="#_x0000_t202" id="docshape165" filled="false" stroked="false">
                  <v:textbox inset="0,0,0,0">
                    <w:txbxContent>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40" w:lineRule="auto" w:before="0"/>
                          <w:rPr>
                            <w:rFonts w:ascii="TT Norms Pro"/>
                            <w:sz w:val="12"/>
                          </w:rPr>
                        </w:pPr>
                      </w:p>
                      <w:p>
                        <w:pPr>
                          <w:spacing w:line="273" w:lineRule="auto" w:before="0"/>
                          <w:ind w:left="145" w:right="2797" w:firstLine="0"/>
                          <w:jc w:val="left"/>
                          <w:rPr>
                            <w:rFonts w:ascii="TT Norms Pro" w:hAnsi="TT Norms Pro"/>
                            <w:sz w:val="12"/>
                          </w:rPr>
                        </w:pPr>
                        <w:r>
                          <w:rPr>
                            <w:rFonts w:ascii="TT Norms Pro" w:hAnsi="TT Norms Pro"/>
                            <w:sz w:val="12"/>
                          </w:rPr>
                          <w:t>Professor</w:t>
                        </w:r>
                        <w:r>
                          <w:rPr>
                            <w:rFonts w:ascii="TT Norms Pro" w:hAnsi="TT Norms Pro"/>
                            <w:spacing w:val="20"/>
                            <w:sz w:val="12"/>
                          </w:rPr>
                          <w:t> </w:t>
                        </w:r>
                        <w:r>
                          <w:rPr>
                            <w:rFonts w:ascii="TT Norms Pro" w:hAnsi="TT Norms Pro"/>
                            <w:sz w:val="12"/>
                          </w:rPr>
                          <w:t>Ryan</w:t>
                        </w:r>
                        <w:r>
                          <w:rPr>
                            <w:rFonts w:ascii="TT Norms Pro" w:hAnsi="TT Norms Pro"/>
                            <w:spacing w:val="20"/>
                            <w:sz w:val="12"/>
                          </w:rPr>
                          <w:t> </w:t>
                        </w:r>
                        <w:r>
                          <w:rPr>
                            <w:rFonts w:ascii="TT Norms Pro" w:hAnsi="TT Norms Pro"/>
                            <w:sz w:val="12"/>
                          </w:rPr>
                          <w:t>Lister,</w:t>
                        </w:r>
                        <w:r>
                          <w:rPr>
                            <w:rFonts w:ascii="TT Norms Pro" w:hAnsi="TT Norms Pro"/>
                            <w:spacing w:val="20"/>
                            <w:sz w:val="12"/>
                          </w:rPr>
                          <w:t> </w:t>
                        </w:r>
                        <w:r>
                          <w:rPr>
                            <w:rFonts w:ascii="TT Norms Pro" w:hAnsi="TT Norms Pro"/>
                            <w:sz w:val="12"/>
                          </w:rPr>
                          <w:t>a</w:t>
                        </w:r>
                        <w:r>
                          <w:rPr>
                            <w:rFonts w:ascii="TT Norms Pro" w:hAnsi="TT Norms Pro"/>
                            <w:spacing w:val="20"/>
                            <w:sz w:val="12"/>
                          </w:rPr>
                          <w:t> </w:t>
                        </w:r>
                        <w:r>
                          <w:rPr>
                            <w:rFonts w:ascii="TT Norms Pro" w:hAnsi="TT Norms Pro"/>
                            <w:sz w:val="12"/>
                          </w:rPr>
                          <w:t>pioneer</w:t>
                        </w:r>
                        <w:r>
                          <w:rPr>
                            <w:rFonts w:ascii="TT Norms Pro" w:hAnsi="TT Norms Pro"/>
                            <w:spacing w:val="20"/>
                            <w:sz w:val="12"/>
                          </w:rPr>
                          <w:t> </w:t>
                        </w:r>
                        <w:r>
                          <w:rPr>
                            <w:rFonts w:ascii="TT Norms Pro" w:hAnsi="TT Norms Pro"/>
                            <w:sz w:val="12"/>
                          </w:rPr>
                          <w:t>in</w:t>
                        </w:r>
                        <w:r>
                          <w:rPr>
                            <w:rFonts w:ascii="TT Norms Pro" w:hAnsi="TT Norms Pro"/>
                            <w:spacing w:val="20"/>
                            <w:sz w:val="12"/>
                          </w:rPr>
                          <w:t> </w:t>
                        </w:r>
                        <w:r>
                          <w:rPr>
                            <w:rFonts w:ascii="TT Norms Pro" w:hAnsi="TT Norms Pro"/>
                            <w:sz w:val="12"/>
                          </w:rPr>
                          <w:t>epigenomics,</w:t>
                        </w:r>
                        <w:r>
                          <w:rPr>
                            <w:rFonts w:ascii="TT Norms Pro" w:hAnsi="TT Norms Pro"/>
                            <w:spacing w:val="20"/>
                            <w:sz w:val="12"/>
                          </w:rPr>
                          <w:t> </w:t>
                        </w:r>
                        <w:r>
                          <w:rPr>
                            <w:rFonts w:ascii="TT Norms Pro" w:hAnsi="TT Norms Pro"/>
                            <w:sz w:val="12"/>
                          </w:rPr>
                          <w:t>is</w:t>
                        </w:r>
                        <w:r>
                          <w:rPr>
                            <w:rFonts w:ascii="TT Norms Pro" w:hAnsi="TT Norms Pro"/>
                            <w:spacing w:val="20"/>
                            <w:sz w:val="12"/>
                          </w:rPr>
                          <w:t> </w:t>
                        </w:r>
                        <w:r>
                          <w:rPr>
                            <w:rFonts w:ascii="TT Norms Pro" w:hAnsi="TT Norms Pro"/>
                            <w:sz w:val="12"/>
                          </w:rPr>
                          <w:t>awarded</w:t>
                        </w:r>
                        <w:r>
                          <w:rPr>
                            <w:rFonts w:ascii="TT Norms Pro" w:hAnsi="TT Norms Pro"/>
                            <w:spacing w:val="40"/>
                            <w:sz w:val="12"/>
                          </w:rPr>
                          <w:t> </w:t>
                        </w:r>
                        <w:r>
                          <w:rPr>
                            <w:rFonts w:ascii="TT Norms Pro" w:hAnsi="TT Norms Pro"/>
                            <w:sz w:val="12"/>
                          </w:rPr>
                          <w:t>joint Scientist of the Year in the 2020 Premier’s Science Awards</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81888">
                <wp:simplePos x="0" y="0"/>
                <wp:positionH relativeFrom="page">
                  <wp:posOffset>7111289</wp:posOffset>
                </wp:positionH>
                <wp:positionV relativeFrom="paragraph">
                  <wp:posOffset>1199950</wp:posOffset>
                </wp:positionV>
                <wp:extent cx="177800" cy="1848485"/>
                <wp:effectExtent l="0" t="0" r="0" b="0"/>
                <wp:wrapNone/>
                <wp:docPr id="261" name="Textbox 261"/>
                <wp:cNvGraphicFramePr>
                  <a:graphicFrameLocks/>
                </wp:cNvGraphicFramePr>
                <a:graphic>
                  <a:graphicData uri="http://schemas.microsoft.com/office/word/2010/wordprocessingShape">
                    <wps:wsp>
                      <wps:cNvPr id="261" name="Textbox 261"/>
                      <wps:cNvSpPr txBox="1"/>
                      <wps:spPr>
                        <a:xfrm>
                          <a:off x="0" y="0"/>
                          <a:ext cx="177800" cy="184848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94.484299pt;width:14pt;height:145.550pt;mso-position-horizontal-relative:page;mso-position-vertical-relative:paragraph;z-index:15781888" type="#_x0000_t202" id="docshape166"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v:textbox>
                <w10:wrap type="none"/>
              </v:shape>
            </w:pict>
          </mc:Fallback>
        </mc:AlternateContent>
      </w:r>
      <w:r>
        <w:rPr>
          <w:rFonts w:ascii="TT Norms Pro"/>
          <w:sz w:val="12"/>
        </w:rPr>
        <w:t>Professor</w:t>
      </w:r>
      <w:r>
        <w:rPr>
          <w:rFonts w:ascii="TT Norms Pro"/>
          <w:spacing w:val="9"/>
          <w:sz w:val="12"/>
        </w:rPr>
        <w:t> </w:t>
      </w:r>
      <w:r>
        <w:rPr>
          <w:rFonts w:ascii="TT Norms Pro"/>
          <w:sz w:val="12"/>
        </w:rPr>
        <w:t>Ryan</w:t>
      </w:r>
      <w:r>
        <w:rPr>
          <w:rFonts w:ascii="TT Norms Pro"/>
          <w:spacing w:val="9"/>
          <w:sz w:val="12"/>
        </w:rPr>
        <w:t> </w:t>
      </w:r>
      <w:r>
        <w:rPr>
          <w:rFonts w:ascii="TT Norms Pro"/>
          <w:sz w:val="12"/>
        </w:rPr>
        <w:t>Lister</w:t>
      </w:r>
      <w:r>
        <w:rPr>
          <w:rFonts w:ascii="TT Norms Pro"/>
          <w:spacing w:val="9"/>
          <w:sz w:val="12"/>
        </w:rPr>
        <w:t> </w:t>
      </w:r>
      <w:r>
        <w:rPr>
          <w:rFonts w:ascii="TT Norms Pro"/>
          <w:sz w:val="12"/>
        </w:rPr>
        <w:t>and</w:t>
      </w:r>
      <w:r>
        <w:rPr>
          <w:rFonts w:ascii="TT Norms Pro"/>
          <w:spacing w:val="9"/>
          <w:sz w:val="12"/>
        </w:rPr>
        <w:t> </w:t>
      </w:r>
      <w:r>
        <w:rPr>
          <w:rFonts w:ascii="TT Norms Pro"/>
          <w:sz w:val="12"/>
        </w:rPr>
        <w:t>Professor</w:t>
      </w:r>
      <w:r>
        <w:rPr>
          <w:rFonts w:ascii="TT Norms Pro"/>
          <w:spacing w:val="9"/>
          <w:sz w:val="12"/>
        </w:rPr>
        <w:t> </w:t>
      </w:r>
      <w:r>
        <w:rPr>
          <w:rFonts w:ascii="TT Norms Pro"/>
          <w:sz w:val="12"/>
        </w:rPr>
        <w:t>Robyn</w:t>
      </w:r>
      <w:r>
        <w:rPr>
          <w:rFonts w:ascii="TT Norms Pro"/>
          <w:spacing w:val="9"/>
          <w:sz w:val="12"/>
        </w:rPr>
        <w:t> </w:t>
      </w:r>
      <w:r>
        <w:rPr>
          <w:rFonts w:ascii="TT Norms Pro"/>
          <w:spacing w:val="-2"/>
          <w:sz w:val="12"/>
        </w:rPr>
        <w:t>Owens</w:t>
      </w:r>
    </w:p>
    <w:p>
      <w:pPr>
        <w:spacing w:line="240" w:lineRule="auto" w:before="10" w:after="24"/>
        <w:rPr>
          <w:rFonts w:ascii="TT Norms Pro"/>
          <w:sz w:val="10"/>
        </w:rPr>
      </w:pPr>
      <w:r>
        <w:rPr/>
        <w:br w:type="column"/>
      </w:r>
      <w:r>
        <w:rPr>
          <w:rFonts w:ascii="TT Norms Pro"/>
          <w:sz w:val="10"/>
        </w:rPr>
      </w:r>
    </w:p>
    <w:p>
      <w:pPr>
        <w:pStyle w:val="BodyText"/>
        <w:ind w:left="193"/>
        <w:rPr>
          <w:rFonts w:ascii="TT Norms Pro"/>
          <w:sz w:val="20"/>
        </w:rPr>
      </w:pPr>
      <w:r>
        <w:rPr>
          <w:rFonts w:ascii="TT Norms Pro"/>
          <w:sz w:val="20"/>
        </w:rPr>
        <w:drawing>
          <wp:inline distT="0" distB="0" distL="0" distR="0">
            <wp:extent cx="1876616" cy="1628775"/>
            <wp:effectExtent l="0" t="0" r="0" b="0"/>
            <wp:docPr id="262" name="Image 262"/>
            <wp:cNvGraphicFramePr>
              <a:graphicFrameLocks/>
            </wp:cNvGraphicFramePr>
            <a:graphic>
              <a:graphicData uri="http://schemas.openxmlformats.org/drawingml/2006/picture">
                <pic:pic>
                  <pic:nvPicPr>
                    <pic:cNvPr id="262" name="Image 262"/>
                    <pic:cNvPicPr/>
                  </pic:nvPicPr>
                  <pic:blipFill>
                    <a:blip r:embed="rId37" cstate="print"/>
                    <a:stretch>
                      <a:fillRect/>
                    </a:stretch>
                  </pic:blipFill>
                  <pic:spPr>
                    <a:xfrm>
                      <a:off x="0" y="0"/>
                      <a:ext cx="1876616" cy="1628775"/>
                    </a:xfrm>
                    <a:prstGeom prst="rect">
                      <a:avLst/>
                    </a:prstGeom>
                  </pic:spPr>
                </pic:pic>
              </a:graphicData>
            </a:graphic>
          </wp:inline>
        </w:drawing>
      </w:r>
      <w:r>
        <w:rPr>
          <w:rFonts w:ascii="TT Norms Pro"/>
          <w:sz w:val="20"/>
        </w:rPr>
      </w:r>
    </w:p>
    <w:p>
      <w:pPr>
        <w:spacing w:line="273" w:lineRule="auto" w:before="104"/>
        <w:ind w:left="193" w:right="1233" w:firstLine="0"/>
        <w:jc w:val="left"/>
        <w:rPr>
          <w:rFonts w:ascii="TT Norms Pro" w:hAnsi="TT Norms Pro"/>
          <w:sz w:val="12"/>
        </w:rPr>
      </w:pPr>
      <w:r>
        <w:rPr>
          <w:rFonts w:ascii="TT Norms Pro" w:hAnsi="TT Norms Pro"/>
          <w:sz w:val="12"/>
        </w:rPr>
        <w:t>2020 Australian Mental Health Prize winner and</w:t>
      </w:r>
      <w:r>
        <w:rPr>
          <w:rFonts w:ascii="TT Norms Pro" w:hAnsi="TT Norms Pro"/>
          <w:spacing w:val="40"/>
          <w:sz w:val="12"/>
        </w:rPr>
        <w:t> </w:t>
      </w:r>
      <w:r>
        <w:rPr>
          <w:rFonts w:ascii="TT Norms Pro" w:hAnsi="TT Norms Pro"/>
          <w:sz w:val="12"/>
        </w:rPr>
        <w:t>Western Australia’s 2021 Australian of the Year</w:t>
      </w:r>
      <w:r>
        <w:rPr>
          <w:rFonts w:ascii="TT Norms Pro" w:hAnsi="TT Norms Pro"/>
          <w:spacing w:val="40"/>
          <w:sz w:val="12"/>
        </w:rPr>
        <w:t> </w:t>
      </w:r>
      <w:r>
        <w:rPr>
          <w:rFonts w:ascii="TT Norms Pro" w:hAnsi="TT Norms Pro"/>
          <w:sz w:val="12"/>
        </w:rPr>
        <w:t>Professor Helen Milroy</w:t>
      </w:r>
    </w:p>
    <w:p>
      <w:pPr>
        <w:pStyle w:val="BodyText"/>
        <w:spacing w:before="1"/>
        <w:rPr>
          <w:rFonts w:ascii="TT Norms Pro"/>
          <w:sz w:val="11"/>
        </w:rPr>
      </w:pPr>
      <w:r>
        <w:rPr/>
        <w:drawing>
          <wp:anchor distT="0" distB="0" distL="0" distR="0" allowOverlap="1" layoutInCell="1" locked="0" behindDoc="1" simplePos="0" relativeHeight="487639552">
            <wp:simplePos x="0" y="0"/>
            <wp:positionH relativeFrom="page">
              <wp:posOffset>4967998</wp:posOffset>
            </wp:positionH>
            <wp:positionV relativeFrom="paragraph">
              <wp:posOffset>97937</wp:posOffset>
            </wp:positionV>
            <wp:extent cx="1862197" cy="1504188"/>
            <wp:effectExtent l="0" t="0" r="0" b="0"/>
            <wp:wrapTopAndBottom/>
            <wp:docPr id="263" name="Image 263"/>
            <wp:cNvGraphicFramePr>
              <a:graphicFrameLocks/>
            </wp:cNvGraphicFramePr>
            <a:graphic>
              <a:graphicData uri="http://schemas.openxmlformats.org/drawingml/2006/picture">
                <pic:pic>
                  <pic:nvPicPr>
                    <pic:cNvPr id="263" name="Image 263"/>
                    <pic:cNvPicPr/>
                  </pic:nvPicPr>
                  <pic:blipFill>
                    <a:blip r:embed="rId38" cstate="print"/>
                    <a:stretch>
                      <a:fillRect/>
                    </a:stretch>
                  </pic:blipFill>
                  <pic:spPr>
                    <a:xfrm>
                      <a:off x="0" y="0"/>
                      <a:ext cx="1862197" cy="1504188"/>
                    </a:xfrm>
                    <a:prstGeom prst="rect">
                      <a:avLst/>
                    </a:prstGeom>
                  </pic:spPr>
                </pic:pic>
              </a:graphicData>
            </a:graphic>
          </wp:anchor>
        </w:drawing>
      </w:r>
    </w:p>
    <w:p>
      <w:pPr>
        <w:spacing w:line="273" w:lineRule="auto" w:before="123"/>
        <w:ind w:left="193" w:right="1233" w:firstLine="0"/>
        <w:jc w:val="left"/>
        <w:rPr>
          <w:rFonts w:ascii="TT Norms Pro"/>
          <w:sz w:val="12"/>
        </w:rPr>
      </w:pPr>
      <w:r>
        <w:rPr>
          <w:rFonts w:ascii="TT Norms Pro"/>
          <w:sz w:val="12"/>
        </w:rPr>
        <w:t>Emeritus Professor David Blair, recipient of the 2020</w:t>
      </w:r>
      <w:r>
        <w:rPr>
          <w:rFonts w:ascii="TT Norms Pro"/>
          <w:spacing w:val="40"/>
          <w:sz w:val="12"/>
        </w:rPr>
        <w:t> </w:t>
      </w:r>
      <w:r>
        <w:rPr>
          <w:rFonts w:ascii="TT Norms Pro"/>
          <w:sz w:val="12"/>
        </w:rPr>
        <w:t>Prime Minister's Prize for Science</w:t>
      </w:r>
    </w:p>
    <w:p>
      <w:pPr>
        <w:pStyle w:val="BodyText"/>
        <w:spacing w:before="7"/>
        <w:rPr>
          <w:rFonts w:ascii="TT Norms Pro"/>
          <w:sz w:val="15"/>
        </w:rPr>
      </w:pPr>
      <w:r>
        <w:rPr/>
        <w:drawing>
          <wp:anchor distT="0" distB="0" distL="0" distR="0" allowOverlap="1" layoutInCell="1" locked="0" behindDoc="1" simplePos="0" relativeHeight="487640064">
            <wp:simplePos x="0" y="0"/>
            <wp:positionH relativeFrom="page">
              <wp:posOffset>4967998</wp:posOffset>
            </wp:positionH>
            <wp:positionV relativeFrom="paragraph">
              <wp:posOffset>131323</wp:posOffset>
            </wp:positionV>
            <wp:extent cx="1862181" cy="1504188"/>
            <wp:effectExtent l="0" t="0" r="0" b="0"/>
            <wp:wrapTopAndBottom/>
            <wp:docPr id="264" name="Image 264"/>
            <wp:cNvGraphicFramePr>
              <a:graphicFrameLocks/>
            </wp:cNvGraphicFramePr>
            <a:graphic>
              <a:graphicData uri="http://schemas.openxmlformats.org/drawingml/2006/picture">
                <pic:pic>
                  <pic:nvPicPr>
                    <pic:cNvPr id="264" name="Image 264"/>
                    <pic:cNvPicPr/>
                  </pic:nvPicPr>
                  <pic:blipFill>
                    <a:blip r:embed="rId39" cstate="print"/>
                    <a:stretch>
                      <a:fillRect/>
                    </a:stretch>
                  </pic:blipFill>
                  <pic:spPr>
                    <a:xfrm>
                      <a:off x="0" y="0"/>
                      <a:ext cx="1862181" cy="1504188"/>
                    </a:xfrm>
                    <a:prstGeom prst="rect">
                      <a:avLst/>
                    </a:prstGeom>
                  </pic:spPr>
                </pic:pic>
              </a:graphicData>
            </a:graphic>
          </wp:anchor>
        </w:drawing>
      </w:r>
    </w:p>
    <w:p>
      <w:pPr>
        <w:spacing w:line="273" w:lineRule="auto" w:before="115"/>
        <w:ind w:left="193" w:right="1233" w:firstLine="0"/>
        <w:jc w:val="left"/>
        <w:rPr>
          <w:rFonts w:ascii="TT Norms Pro"/>
          <w:sz w:val="12"/>
        </w:rPr>
      </w:pPr>
      <w:r>
        <w:rPr>
          <w:rFonts w:ascii="TT Norms Pro"/>
          <w:sz w:val="12"/>
        </w:rPr>
        <w:t>UWA scientists will run a new Coastal and Offshore</w:t>
      </w:r>
      <w:r>
        <w:rPr>
          <w:rFonts w:ascii="TT Norms Pro"/>
          <w:spacing w:val="40"/>
          <w:sz w:val="12"/>
        </w:rPr>
        <w:t> </w:t>
      </w:r>
      <w:r>
        <w:rPr>
          <w:rFonts w:ascii="TT Norms Pro"/>
          <w:sz w:val="12"/>
        </w:rPr>
        <w:t>Engineering Laboratory that will tackle complex</w:t>
      </w:r>
      <w:r>
        <w:rPr>
          <w:rFonts w:ascii="TT Norms Pro"/>
          <w:spacing w:val="40"/>
          <w:sz w:val="12"/>
        </w:rPr>
        <w:t> </w:t>
      </w:r>
      <w:r>
        <w:rPr>
          <w:rFonts w:ascii="TT Norms Pro"/>
          <w:sz w:val="12"/>
        </w:rPr>
        <w:t>ocean engineering challenges</w:t>
      </w:r>
    </w:p>
    <w:p>
      <w:pPr>
        <w:spacing w:after="0" w:line="273" w:lineRule="auto"/>
        <w:jc w:val="left"/>
        <w:rPr>
          <w:rFonts w:ascii="TT Norms Pro"/>
          <w:sz w:val="12"/>
        </w:rPr>
        <w:sectPr>
          <w:type w:val="continuous"/>
          <w:pgSz w:w="11910" w:h="16840"/>
          <w:pgMar w:header="468" w:footer="0" w:top="980" w:bottom="280" w:left="940" w:right="0"/>
          <w:cols w:num="3" w:equalWidth="0">
            <w:col w:w="3183" w:space="162"/>
            <w:col w:w="3182" w:space="162"/>
            <w:col w:w="4281"/>
          </w:cols>
        </w:sectPr>
      </w:pPr>
    </w:p>
    <w:p>
      <w:pPr>
        <w:spacing w:line="875" w:lineRule="exact" w:before="433"/>
        <w:ind w:left="206" w:right="0" w:firstLine="0"/>
        <w:jc w:val="left"/>
        <w:rPr>
          <w:rFonts w:ascii="Palatino Linotype"/>
          <w:sz w:val="70"/>
        </w:rPr>
      </w:pPr>
      <w:r>
        <w:rPr>
          <w:rFonts w:ascii="Palatino Linotype"/>
          <w:spacing w:val="-5"/>
          <w:w w:val="105"/>
          <w:sz w:val="70"/>
        </w:rPr>
        <w:t>UWA</w:t>
      </w:r>
    </w:p>
    <w:p>
      <w:pPr>
        <w:pStyle w:val="Heading2"/>
        <w:ind w:left="767" w:right="2105"/>
        <w:jc w:val="center"/>
      </w:pPr>
      <w:r>
        <w:rPr/>
        <w:t>Key</w:t>
      </w:r>
      <w:r>
        <w:rPr>
          <w:spacing w:val="-30"/>
        </w:rPr>
        <w:t> </w:t>
      </w:r>
      <w:r>
        <w:rPr/>
        <w:t>statistics</w:t>
      </w:r>
      <w:r>
        <w:rPr>
          <w:spacing w:val="-14"/>
        </w:rPr>
        <w:t> </w:t>
      </w:r>
      <w:r>
        <w:rPr>
          <w:spacing w:val="-4"/>
        </w:rPr>
        <w:t>2020</w:t>
      </w:r>
    </w:p>
    <w:p>
      <w:pPr>
        <w:pStyle w:val="BodyText"/>
        <w:rPr>
          <w:rFonts w:ascii="TT Norms Pro"/>
          <w:b/>
          <w:sz w:val="20"/>
        </w:rPr>
      </w:pPr>
    </w:p>
    <w:p>
      <w:pPr>
        <w:pStyle w:val="BodyText"/>
        <w:spacing w:before="36"/>
        <w:rPr>
          <w:rFonts w:ascii="TT Norms Pro"/>
          <w:b/>
          <w:sz w:val="20"/>
        </w:rPr>
      </w:pPr>
    </w:p>
    <w:p>
      <w:pPr>
        <w:spacing w:after="0"/>
        <w:rPr>
          <w:rFonts w:ascii="TT Norms Pro"/>
          <w:sz w:val="20"/>
        </w:rPr>
        <w:sectPr>
          <w:pgSz w:w="11910" w:h="16840"/>
          <w:pgMar w:header="468" w:footer="0" w:top="720" w:bottom="0" w:left="940" w:right="0"/>
        </w:sectPr>
      </w:pPr>
    </w:p>
    <w:p>
      <w:pPr>
        <w:spacing w:before="171"/>
        <w:ind w:left="299" w:right="25" w:firstLine="0"/>
        <w:jc w:val="center"/>
        <w:rPr>
          <w:rFonts w:ascii="TT Norms Pro"/>
          <w:b/>
          <w:sz w:val="24"/>
        </w:rPr>
      </w:pPr>
      <w:r>
        <w:rPr/>
        <mc:AlternateContent>
          <mc:Choice Requires="wps">
            <w:drawing>
              <wp:anchor distT="0" distB="0" distL="0" distR="0" allowOverlap="1" layoutInCell="1" locked="0" behindDoc="0" simplePos="0" relativeHeight="15783424">
                <wp:simplePos x="0" y="0"/>
                <wp:positionH relativeFrom="page">
                  <wp:posOffset>720575</wp:posOffset>
                </wp:positionH>
                <wp:positionV relativeFrom="paragraph">
                  <wp:posOffset>48978</wp:posOffset>
                </wp:positionV>
                <wp:extent cx="1270" cy="1182370"/>
                <wp:effectExtent l="0" t="0" r="0" b="0"/>
                <wp:wrapNone/>
                <wp:docPr id="265" name="Graphic 265"/>
                <wp:cNvGraphicFramePr>
                  <a:graphicFrameLocks/>
                </wp:cNvGraphicFramePr>
                <a:graphic>
                  <a:graphicData uri="http://schemas.microsoft.com/office/word/2010/wordprocessingShape">
                    <wps:wsp>
                      <wps:cNvPr id="265" name="Graphic 265"/>
                      <wps:cNvSpPr/>
                      <wps:spPr>
                        <a:xfrm>
                          <a:off x="0" y="0"/>
                          <a:ext cx="1270" cy="1182370"/>
                        </a:xfrm>
                        <a:custGeom>
                          <a:avLst/>
                          <a:gdLst/>
                          <a:ahLst/>
                          <a:cxnLst/>
                          <a:rect l="l" t="t" r="r" b="b"/>
                          <a:pathLst>
                            <a:path w="0" h="1182370">
                              <a:moveTo>
                                <a:pt x="0" y="0"/>
                              </a:moveTo>
                              <a:lnTo>
                                <a:pt x="0" y="1181874"/>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83424" from="56.738201pt,3.856563pt" to="56.738201pt,96.917563pt" stroked="true" strokeweight=".5pt" strokecolor="#000000">
                <v:stroke dashstyle="solid"/>
                <w10:wrap type="none"/>
              </v:line>
            </w:pict>
          </mc:Fallback>
        </mc:AlternateContent>
      </w:r>
      <w:r>
        <w:rPr>
          <w:rFonts w:ascii="TT Norms Pro"/>
          <w:b/>
          <w:spacing w:val="-4"/>
          <w:position w:val="-13"/>
          <w:sz w:val="42"/>
        </w:rPr>
        <w:t>85</w:t>
      </w:r>
      <w:r>
        <w:rPr>
          <w:rFonts w:ascii="TT Norms Pro"/>
          <w:b/>
          <w:spacing w:val="-4"/>
          <w:sz w:val="24"/>
        </w:rPr>
        <w:t>TH</w:t>
      </w:r>
    </w:p>
    <w:p>
      <w:pPr>
        <w:spacing w:before="47"/>
        <w:ind w:left="299" w:right="0" w:firstLine="0"/>
        <w:jc w:val="center"/>
        <w:rPr>
          <w:rFonts w:ascii="TT Norms Pro Light"/>
          <w:b w:val="0"/>
          <w:sz w:val="15"/>
        </w:rPr>
      </w:pPr>
      <w:r>
        <w:rPr>
          <w:rFonts w:ascii="TT Norms Pro Light"/>
          <w:b w:val="0"/>
          <w:sz w:val="15"/>
        </w:rPr>
        <w:t>IN</w:t>
      </w:r>
      <w:r>
        <w:rPr>
          <w:rFonts w:ascii="TT Norms Pro Light"/>
          <w:b w:val="0"/>
          <w:spacing w:val="2"/>
          <w:sz w:val="15"/>
        </w:rPr>
        <w:t> </w:t>
      </w:r>
      <w:r>
        <w:rPr>
          <w:rFonts w:ascii="TT Norms Pro Light"/>
          <w:b w:val="0"/>
          <w:sz w:val="15"/>
        </w:rPr>
        <w:t>THE</w:t>
      </w:r>
      <w:r>
        <w:rPr>
          <w:rFonts w:ascii="TT Norms Pro Light"/>
          <w:b w:val="0"/>
          <w:spacing w:val="3"/>
          <w:sz w:val="15"/>
        </w:rPr>
        <w:t> </w:t>
      </w:r>
      <w:r>
        <w:rPr>
          <w:rFonts w:ascii="TT Norms Pro Light"/>
          <w:b w:val="0"/>
          <w:spacing w:val="-4"/>
          <w:sz w:val="15"/>
        </w:rPr>
        <w:t>WORLD</w:t>
      </w:r>
    </w:p>
    <w:p>
      <w:pPr>
        <w:spacing w:line="247" w:lineRule="auto" w:before="118"/>
        <w:ind w:left="339" w:right="38" w:firstLine="2"/>
        <w:jc w:val="center"/>
        <w:rPr>
          <w:rFonts w:ascii="TT Norms Pro Light"/>
          <w:b w:val="0"/>
          <w:sz w:val="15"/>
        </w:rPr>
      </w:pPr>
      <w:r>
        <w:rPr>
          <w:rFonts w:ascii="TT Norms Pro Light"/>
          <w:b w:val="0"/>
          <w:sz w:val="15"/>
        </w:rPr>
        <w:t>2020</w:t>
      </w:r>
      <w:r>
        <w:rPr>
          <w:rFonts w:ascii="TT Norms Pro Light"/>
          <w:b w:val="0"/>
          <w:spacing w:val="-8"/>
          <w:sz w:val="15"/>
        </w:rPr>
        <w:t> </w:t>
      </w:r>
      <w:r>
        <w:rPr>
          <w:rFonts w:ascii="TT Norms Pro Light"/>
          <w:b w:val="0"/>
          <w:sz w:val="15"/>
        </w:rPr>
        <w:t>ACADEMIC</w:t>
      </w:r>
      <w:r>
        <w:rPr>
          <w:rFonts w:ascii="TT Norms Pro Light"/>
          <w:b w:val="0"/>
          <w:spacing w:val="40"/>
          <w:sz w:val="15"/>
        </w:rPr>
        <w:t> </w:t>
      </w:r>
      <w:r>
        <w:rPr>
          <w:rFonts w:ascii="TT Norms Pro Light"/>
          <w:b w:val="0"/>
          <w:sz w:val="15"/>
        </w:rPr>
        <w:t>RANKING OF WORLD</w:t>
      </w:r>
      <w:r>
        <w:rPr>
          <w:rFonts w:ascii="TT Norms Pro Light"/>
          <w:b w:val="0"/>
          <w:spacing w:val="40"/>
          <w:sz w:val="15"/>
        </w:rPr>
        <w:t> </w:t>
      </w:r>
      <w:r>
        <w:rPr>
          <w:rFonts w:ascii="TT Norms Pro Light"/>
          <w:b w:val="0"/>
          <w:sz w:val="15"/>
        </w:rPr>
        <w:t>UNIVERSITIES</w:t>
      </w:r>
      <w:r>
        <w:rPr>
          <w:rFonts w:ascii="TT Norms Pro Light"/>
          <w:b w:val="0"/>
          <w:spacing w:val="21"/>
          <w:sz w:val="15"/>
        </w:rPr>
        <w:t> </w:t>
      </w:r>
      <w:r>
        <w:rPr>
          <w:rFonts w:ascii="TT Norms Pro Light"/>
          <w:b w:val="0"/>
          <w:spacing w:val="-2"/>
          <w:sz w:val="15"/>
        </w:rPr>
        <w:t>(ARWU)</w:t>
      </w:r>
    </w:p>
    <w:p>
      <w:pPr>
        <w:spacing w:before="171"/>
        <w:ind w:left="295" w:right="23" w:firstLine="0"/>
        <w:jc w:val="center"/>
        <w:rPr>
          <w:rFonts w:ascii="TT Norms Pro"/>
          <w:b/>
          <w:sz w:val="24"/>
        </w:rPr>
      </w:pPr>
      <w:r>
        <w:rPr/>
        <w:br w:type="column"/>
      </w:r>
      <w:r>
        <w:rPr>
          <w:rFonts w:ascii="TT Norms Pro"/>
          <w:b/>
          <w:spacing w:val="-4"/>
          <w:position w:val="-13"/>
          <w:sz w:val="42"/>
        </w:rPr>
        <w:t>92</w:t>
      </w:r>
      <w:r>
        <w:rPr>
          <w:rFonts w:ascii="TT Norms Pro"/>
          <w:b/>
          <w:spacing w:val="-4"/>
          <w:sz w:val="24"/>
        </w:rPr>
        <w:t>ND</w:t>
      </w:r>
    </w:p>
    <w:p>
      <w:pPr>
        <w:spacing w:before="47"/>
        <w:ind w:left="295" w:right="0" w:firstLine="0"/>
        <w:jc w:val="center"/>
        <w:rPr>
          <w:rFonts w:ascii="TT Norms Pro Light"/>
          <w:b w:val="0"/>
          <w:sz w:val="15"/>
        </w:rPr>
      </w:pPr>
      <w:r>
        <w:rPr>
          <w:rFonts w:ascii="TT Norms Pro Light"/>
          <w:b w:val="0"/>
          <w:sz w:val="15"/>
        </w:rPr>
        <w:t>IN</w:t>
      </w:r>
      <w:r>
        <w:rPr>
          <w:rFonts w:ascii="TT Norms Pro Light"/>
          <w:b w:val="0"/>
          <w:spacing w:val="2"/>
          <w:sz w:val="15"/>
        </w:rPr>
        <w:t> </w:t>
      </w:r>
      <w:r>
        <w:rPr>
          <w:rFonts w:ascii="TT Norms Pro Light"/>
          <w:b w:val="0"/>
          <w:sz w:val="15"/>
        </w:rPr>
        <w:t>THE</w:t>
      </w:r>
      <w:r>
        <w:rPr>
          <w:rFonts w:ascii="TT Norms Pro Light"/>
          <w:b w:val="0"/>
          <w:spacing w:val="3"/>
          <w:sz w:val="15"/>
        </w:rPr>
        <w:t> </w:t>
      </w:r>
      <w:r>
        <w:rPr>
          <w:rFonts w:ascii="TT Norms Pro Light"/>
          <w:b w:val="0"/>
          <w:spacing w:val="-4"/>
          <w:sz w:val="15"/>
        </w:rPr>
        <w:t>WORLD</w:t>
      </w:r>
    </w:p>
    <w:p>
      <w:pPr>
        <w:spacing w:line="254" w:lineRule="auto" w:before="118"/>
        <w:ind w:left="339" w:right="38" w:hanging="5"/>
        <w:jc w:val="center"/>
        <w:rPr>
          <w:rFonts w:ascii="TT Norms Pro Light"/>
          <w:b w:val="0"/>
          <w:sz w:val="15"/>
        </w:rPr>
      </w:pPr>
      <w:r>
        <w:rPr>
          <w:rFonts w:ascii="TT Norms Pro Light"/>
          <w:b w:val="0"/>
          <w:sz w:val="15"/>
        </w:rPr>
        <w:t>QS</w:t>
      </w:r>
      <w:r>
        <w:rPr>
          <w:rFonts w:ascii="TT Norms Pro Light"/>
          <w:b w:val="0"/>
          <w:spacing w:val="40"/>
          <w:sz w:val="15"/>
        </w:rPr>
        <w:t> </w:t>
      </w:r>
      <w:r>
        <w:rPr>
          <w:rFonts w:ascii="TT Norms Pro Light"/>
          <w:b w:val="0"/>
          <w:sz w:val="15"/>
        </w:rPr>
        <w:t>WORLD</w:t>
      </w:r>
      <w:r>
        <w:rPr>
          <w:rFonts w:ascii="TT Norms Pro Light"/>
          <w:b w:val="0"/>
          <w:spacing w:val="40"/>
          <w:sz w:val="15"/>
        </w:rPr>
        <w:t> </w:t>
      </w:r>
      <w:r>
        <w:rPr>
          <w:rFonts w:ascii="TT Norms Pro Light"/>
          <w:b w:val="0"/>
          <w:spacing w:val="-2"/>
          <w:sz w:val="15"/>
        </w:rPr>
        <w:t>UNIVERSITY</w:t>
      </w:r>
      <w:r>
        <w:rPr>
          <w:rFonts w:ascii="TT Norms Pro Light"/>
          <w:b w:val="0"/>
          <w:spacing w:val="40"/>
          <w:sz w:val="15"/>
        </w:rPr>
        <w:t> </w:t>
      </w:r>
      <w:r>
        <w:rPr>
          <w:rFonts w:ascii="TT Norms Pro Light"/>
          <w:b w:val="0"/>
          <w:sz w:val="15"/>
        </w:rPr>
        <w:t>RANKINGS</w:t>
      </w:r>
      <w:r>
        <w:rPr>
          <w:rFonts w:ascii="TT Norms Pro Light"/>
          <w:b w:val="0"/>
          <w:spacing w:val="-8"/>
          <w:sz w:val="15"/>
        </w:rPr>
        <w:t> </w:t>
      </w:r>
      <w:r>
        <w:rPr>
          <w:rFonts w:ascii="TT Norms Pro Light"/>
          <w:b w:val="0"/>
          <w:sz w:val="15"/>
        </w:rPr>
        <w:t>2021</w:t>
      </w:r>
    </w:p>
    <w:p>
      <w:pPr>
        <w:spacing w:before="170"/>
        <w:ind w:left="314" w:right="0" w:firstLine="0"/>
        <w:jc w:val="center"/>
        <w:rPr>
          <w:rFonts w:ascii="TT Norms Pro"/>
          <w:b/>
          <w:sz w:val="24"/>
        </w:rPr>
      </w:pPr>
      <w:r>
        <w:rPr/>
        <w:br w:type="column"/>
      </w:r>
      <w:r>
        <w:rPr>
          <w:rFonts w:ascii="TT Norms Pro"/>
          <w:b/>
          <w:spacing w:val="-4"/>
          <w:sz w:val="42"/>
        </w:rPr>
        <w:t>139</w:t>
      </w:r>
      <w:r>
        <w:rPr>
          <w:rFonts w:ascii="TT Norms Pro"/>
          <w:b/>
          <w:spacing w:val="-4"/>
          <w:position w:val="14"/>
          <w:sz w:val="24"/>
        </w:rPr>
        <w:t>TH</w:t>
      </w:r>
    </w:p>
    <w:p>
      <w:pPr>
        <w:spacing w:before="48"/>
        <w:ind w:left="339" w:right="0" w:firstLine="0"/>
        <w:jc w:val="center"/>
        <w:rPr>
          <w:rFonts w:ascii="TT Norms Pro Light"/>
          <w:b w:val="0"/>
          <w:sz w:val="15"/>
        </w:rPr>
      </w:pPr>
      <w:r>
        <w:rPr/>
        <mc:AlternateContent>
          <mc:Choice Requires="wps">
            <w:drawing>
              <wp:anchor distT="0" distB="0" distL="0" distR="0" allowOverlap="1" layoutInCell="1" locked="0" behindDoc="0" simplePos="0" relativeHeight="15783936">
                <wp:simplePos x="0" y="0"/>
                <wp:positionH relativeFrom="page">
                  <wp:posOffset>3113874</wp:posOffset>
                </wp:positionH>
                <wp:positionV relativeFrom="paragraph">
                  <wp:posOffset>-371556</wp:posOffset>
                </wp:positionV>
                <wp:extent cx="1270" cy="1183005"/>
                <wp:effectExtent l="0" t="0" r="0" b="0"/>
                <wp:wrapNone/>
                <wp:docPr id="266" name="Graphic 266"/>
                <wp:cNvGraphicFramePr>
                  <a:graphicFrameLocks/>
                </wp:cNvGraphicFramePr>
                <a:graphic>
                  <a:graphicData uri="http://schemas.microsoft.com/office/word/2010/wordprocessingShape">
                    <wps:wsp>
                      <wps:cNvPr id="266" name="Graphic 266"/>
                      <wps:cNvSpPr/>
                      <wps:spPr>
                        <a:xfrm>
                          <a:off x="0" y="0"/>
                          <a:ext cx="1270" cy="1183005"/>
                        </a:xfrm>
                        <a:custGeom>
                          <a:avLst/>
                          <a:gdLst/>
                          <a:ahLst/>
                          <a:cxnLst/>
                          <a:rect l="l" t="t" r="r" b="b"/>
                          <a:pathLst>
                            <a:path w="0" h="1183005">
                              <a:moveTo>
                                <a:pt x="0" y="0"/>
                              </a:moveTo>
                              <a:lnTo>
                                <a:pt x="0" y="118242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83936" from="245.186996pt,-29.256437pt" to="245.186996pt,63.847563pt" stroked="true" strokeweight=".5pt" strokecolor="#000000">
                <v:stroke dashstyle="solid"/>
                <w10:wrap type="none"/>
              </v:line>
            </w:pict>
          </mc:Fallback>
        </mc:AlternateContent>
      </w:r>
      <w:r>
        <w:rPr>
          <w:rFonts w:ascii="TT Norms Pro Light"/>
          <w:b w:val="0"/>
          <w:sz w:val="15"/>
        </w:rPr>
        <w:t>IN</w:t>
      </w:r>
      <w:r>
        <w:rPr>
          <w:rFonts w:ascii="TT Norms Pro Light"/>
          <w:b w:val="0"/>
          <w:spacing w:val="2"/>
          <w:sz w:val="15"/>
        </w:rPr>
        <w:t> </w:t>
      </w:r>
      <w:r>
        <w:rPr>
          <w:rFonts w:ascii="TT Norms Pro Light"/>
          <w:b w:val="0"/>
          <w:sz w:val="15"/>
        </w:rPr>
        <w:t>THE</w:t>
      </w:r>
      <w:r>
        <w:rPr>
          <w:rFonts w:ascii="TT Norms Pro Light"/>
          <w:b w:val="0"/>
          <w:spacing w:val="3"/>
          <w:sz w:val="15"/>
        </w:rPr>
        <w:t> </w:t>
      </w:r>
      <w:r>
        <w:rPr>
          <w:rFonts w:ascii="TT Norms Pro Light"/>
          <w:b w:val="0"/>
          <w:spacing w:val="-4"/>
          <w:sz w:val="15"/>
        </w:rPr>
        <w:t>WORLD</w:t>
      </w:r>
    </w:p>
    <w:p>
      <w:pPr>
        <w:spacing w:line="252" w:lineRule="auto" w:before="118"/>
        <w:ind w:left="339" w:right="0" w:firstLine="0"/>
        <w:jc w:val="center"/>
        <w:rPr>
          <w:rFonts w:ascii="TT Norms Pro Light"/>
          <w:b w:val="0"/>
          <w:sz w:val="15"/>
        </w:rPr>
      </w:pPr>
      <w:r>
        <w:rPr>
          <w:rFonts w:ascii="TT Norms Pro Light"/>
          <w:b w:val="0"/>
          <w:sz w:val="15"/>
        </w:rPr>
        <w:t>TIMES</w:t>
      </w:r>
      <w:r>
        <w:rPr>
          <w:rFonts w:ascii="TT Norms Pro Light"/>
          <w:b w:val="0"/>
          <w:spacing w:val="-8"/>
          <w:sz w:val="15"/>
        </w:rPr>
        <w:t> </w:t>
      </w:r>
      <w:r>
        <w:rPr>
          <w:rFonts w:ascii="TT Norms Pro Light"/>
          <w:b w:val="0"/>
          <w:sz w:val="15"/>
        </w:rPr>
        <w:t>HIGHER</w:t>
      </w:r>
      <w:r>
        <w:rPr>
          <w:rFonts w:ascii="TT Norms Pro Light"/>
          <w:b w:val="0"/>
          <w:spacing w:val="40"/>
          <w:sz w:val="15"/>
        </w:rPr>
        <w:t> </w:t>
      </w:r>
      <w:r>
        <w:rPr>
          <w:rFonts w:ascii="TT Norms Pro Light"/>
          <w:b w:val="0"/>
          <w:sz w:val="15"/>
        </w:rPr>
        <w:t>EDUCATION</w:t>
      </w:r>
      <w:r>
        <w:rPr>
          <w:rFonts w:ascii="TT Norms Pro Light"/>
          <w:b w:val="0"/>
          <w:spacing w:val="-8"/>
          <w:sz w:val="15"/>
        </w:rPr>
        <w:t> </w:t>
      </w:r>
      <w:r>
        <w:rPr>
          <w:rFonts w:ascii="TT Norms Pro Light"/>
          <w:b w:val="0"/>
          <w:sz w:val="15"/>
        </w:rPr>
        <w:t>WORLD</w:t>
      </w:r>
      <w:r>
        <w:rPr>
          <w:rFonts w:ascii="TT Norms Pro Light"/>
          <w:b w:val="0"/>
          <w:spacing w:val="40"/>
          <w:sz w:val="15"/>
        </w:rPr>
        <w:t> </w:t>
      </w:r>
      <w:r>
        <w:rPr>
          <w:rFonts w:ascii="TT Norms Pro Light"/>
          <w:b w:val="0"/>
          <w:spacing w:val="-2"/>
          <w:sz w:val="15"/>
        </w:rPr>
        <w:t>UNIVERSITY</w:t>
      </w:r>
      <w:r>
        <w:rPr>
          <w:rFonts w:ascii="TT Norms Pro Light"/>
          <w:b w:val="0"/>
          <w:spacing w:val="40"/>
          <w:sz w:val="15"/>
        </w:rPr>
        <w:t> </w:t>
      </w:r>
      <w:r>
        <w:rPr>
          <w:rFonts w:ascii="TT Norms Pro Light"/>
          <w:b w:val="0"/>
          <w:sz w:val="15"/>
        </w:rPr>
        <w:t>RANKINGS IN 2021</w:t>
      </w:r>
    </w:p>
    <w:p>
      <w:pPr>
        <w:spacing w:before="159"/>
        <w:ind w:left="183" w:right="3276" w:firstLine="0"/>
        <w:jc w:val="center"/>
        <w:rPr>
          <w:rFonts w:ascii="TT Norms Pro"/>
          <w:b/>
          <w:sz w:val="42"/>
        </w:rPr>
      </w:pPr>
      <w:r>
        <w:rPr/>
        <w:br w:type="column"/>
      </w:r>
      <w:r>
        <w:rPr>
          <w:rFonts w:ascii="TT Norms Pro"/>
          <w:b/>
          <w:spacing w:val="-10"/>
          <w:sz w:val="42"/>
        </w:rPr>
        <w:t>5</w:t>
      </w:r>
    </w:p>
    <w:p>
      <w:pPr>
        <w:spacing w:before="58"/>
        <w:ind w:left="174" w:right="3276" w:firstLine="0"/>
        <w:jc w:val="center"/>
        <w:rPr>
          <w:rFonts w:ascii="TT Norms Pro Light"/>
          <w:b w:val="0"/>
          <w:sz w:val="15"/>
        </w:rPr>
      </w:pPr>
      <w:r>
        <w:rPr/>
        <mc:AlternateContent>
          <mc:Choice Requires="wps">
            <w:drawing>
              <wp:anchor distT="0" distB="0" distL="0" distR="0" allowOverlap="1" layoutInCell="1" locked="0" behindDoc="0" simplePos="0" relativeHeight="15784448">
                <wp:simplePos x="0" y="0"/>
                <wp:positionH relativeFrom="page">
                  <wp:posOffset>4309924</wp:posOffset>
                </wp:positionH>
                <wp:positionV relativeFrom="paragraph">
                  <wp:posOffset>-364571</wp:posOffset>
                </wp:positionV>
                <wp:extent cx="6985" cy="1183005"/>
                <wp:effectExtent l="0" t="0" r="0" b="0"/>
                <wp:wrapNone/>
                <wp:docPr id="267" name="Group 267"/>
                <wp:cNvGraphicFramePr>
                  <a:graphicFrameLocks/>
                </wp:cNvGraphicFramePr>
                <a:graphic>
                  <a:graphicData uri="http://schemas.microsoft.com/office/word/2010/wordprocessingGroup">
                    <wpg:wgp>
                      <wpg:cNvPr id="267" name="Group 267"/>
                      <wpg:cNvGrpSpPr/>
                      <wpg:grpSpPr>
                        <a:xfrm>
                          <a:off x="0" y="0"/>
                          <a:ext cx="6985" cy="1183005"/>
                          <a:chExt cx="6985" cy="1183005"/>
                        </a:xfrm>
                      </wpg:grpSpPr>
                      <wps:wsp>
                        <wps:cNvPr id="268" name="Graphic 268"/>
                        <wps:cNvSpPr/>
                        <wps:spPr>
                          <a:xfrm>
                            <a:off x="3175" y="0"/>
                            <a:ext cx="1270" cy="1183005"/>
                          </a:xfrm>
                          <a:custGeom>
                            <a:avLst/>
                            <a:gdLst/>
                            <a:ahLst/>
                            <a:cxnLst/>
                            <a:rect l="l" t="t" r="r" b="b"/>
                            <a:pathLst>
                              <a:path w="0" h="1183005">
                                <a:moveTo>
                                  <a:pt x="0" y="0"/>
                                </a:moveTo>
                                <a:lnTo>
                                  <a:pt x="0" y="1182420"/>
                                </a:lnTo>
                              </a:path>
                            </a:pathLst>
                          </a:custGeom>
                          <a:ln w="6350">
                            <a:solidFill>
                              <a:srgbClr val="21409A"/>
                            </a:solidFill>
                            <a:prstDash val="solid"/>
                          </a:ln>
                        </wps:spPr>
                        <wps:bodyPr wrap="square" lIns="0" tIns="0" rIns="0" bIns="0" rtlCol="0">
                          <a:prstTxWarp prst="textNoShape">
                            <a:avLst/>
                          </a:prstTxWarp>
                          <a:noAutofit/>
                        </wps:bodyPr>
                      </wps:wsp>
                      <wps:wsp>
                        <wps:cNvPr id="269" name="Graphic 269"/>
                        <wps:cNvSpPr/>
                        <wps:spPr>
                          <a:xfrm>
                            <a:off x="3675" y="546"/>
                            <a:ext cx="1270" cy="1182370"/>
                          </a:xfrm>
                          <a:custGeom>
                            <a:avLst/>
                            <a:gdLst/>
                            <a:ahLst/>
                            <a:cxnLst/>
                            <a:rect l="l" t="t" r="r" b="b"/>
                            <a:pathLst>
                              <a:path w="0" h="1182370">
                                <a:moveTo>
                                  <a:pt x="0" y="0"/>
                                </a:moveTo>
                                <a:lnTo>
                                  <a:pt x="0" y="1181874"/>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39.364105pt;margin-top:-28.706438pt;width:.550pt;height:93.15pt;mso-position-horizontal-relative:page;mso-position-vertical-relative:paragraph;z-index:15784448" id="docshapegroup167" coordorigin="6787,-574" coordsize="11,1863">
                <v:line style="position:absolute" from="6792,-574" to="6792,1288" stroked="true" strokeweight=".5pt" strokecolor="#21409a">
                  <v:stroke dashstyle="solid"/>
                </v:line>
                <v:line style="position:absolute" from="6793,-573" to="6793,1288" stroked="true" strokeweight=".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784960">
                <wp:simplePos x="0" y="0"/>
                <wp:positionH relativeFrom="page">
                  <wp:posOffset>5509998</wp:posOffset>
                </wp:positionH>
                <wp:positionV relativeFrom="paragraph">
                  <wp:posOffset>-364571</wp:posOffset>
                </wp:positionV>
                <wp:extent cx="1270" cy="1183005"/>
                <wp:effectExtent l="0" t="0" r="0" b="0"/>
                <wp:wrapNone/>
                <wp:docPr id="270" name="Graphic 270"/>
                <wp:cNvGraphicFramePr>
                  <a:graphicFrameLocks/>
                </wp:cNvGraphicFramePr>
                <a:graphic>
                  <a:graphicData uri="http://schemas.microsoft.com/office/word/2010/wordprocessingShape">
                    <wps:wsp>
                      <wps:cNvPr id="270" name="Graphic 270"/>
                      <wps:cNvSpPr/>
                      <wps:spPr>
                        <a:xfrm>
                          <a:off x="0" y="0"/>
                          <a:ext cx="1270" cy="1183005"/>
                        </a:xfrm>
                        <a:custGeom>
                          <a:avLst/>
                          <a:gdLst/>
                          <a:ahLst/>
                          <a:cxnLst/>
                          <a:rect l="l" t="t" r="r" b="b"/>
                          <a:pathLst>
                            <a:path w="0" h="1183005">
                              <a:moveTo>
                                <a:pt x="0" y="0"/>
                              </a:moveTo>
                              <a:lnTo>
                                <a:pt x="0" y="118242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84960" from="433.858185pt,-28.706438pt" to="433.858185pt,64.397562pt" stroked="true" strokeweight=".5pt" strokecolor="#000000">
                <v:stroke dashstyle="solid"/>
                <w10:wrap type="none"/>
              </v:line>
            </w:pict>
          </mc:Fallback>
        </mc:AlternateContent>
      </w:r>
      <w:r>
        <w:rPr>
          <w:rFonts w:ascii="TT Norms Pro Light"/>
          <w:b w:val="0"/>
          <w:spacing w:val="-4"/>
          <w:sz w:val="15"/>
        </w:rPr>
        <w:t>STARS</w:t>
      </w:r>
    </w:p>
    <w:p>
      <w:pPr>
        <w:spacing w:line="247" w:lineRule="auto" w:before="118"/>
        <w:ind w:left="173" w:right="3276" w:firstLine="0"/>
        <w:jc w:val="center"/>
        <w:rPr>
          <w:rFonts w:ascii="TT Norms Pro Light"/>
          <w:b w:val="0"/>
          <w:sz w:val="15"/>
        </w:rPr>
      </w:pPr>
      <w:r>
        <w:rPr>
          <w:rFonts w:ascii="TT Norms Pro Light"/>
          <w:b w:val="0"/>
          <w:spacing w:val="-2"/>
          <w:sz w:val="15"/>
        </w:rPr>
        <w:t>FOR</w:t>
      </w:r>
      <w:r>
        <w:rPr>
          <w:rFonts w:ascii="TT Norms Pro Light"/>
          <w:b w:val="0"/>
          <w:spacing w:val="-6"/>
          <w:sz w:val="15"/>
        </w:rPr>
        <w:t> </w:t>
      </w:r>
      <w:r>
        <w:rPr>
          <w:rFonts w:ascii="TT Norms Pro Light"/>
          <w:b w:val="0"/>
          <w:spacing w:val="-2"/>
          <w:sz w:val="15"/>
        </w:rPr>
        <w:t>STUDENT</w:t>
      </w:r>
      <w:r>
        <w:rPr>
          <w:rFonts w:ascii="TT Norms Pro Light"/>
          <w:b w:val="0"/>
          <w:spacing w:val="-5"/>
          <w:sz w:val="15"/>
        </w:rPr>
        <w:t> </w:t>
      </w:r>
      <w:r>
        <w:rPr>
          <w:rFonts w:ascii="TT Norms Pro Light"/>
          <w:b w:val="0"/>
          <w:spacing w:val="-2"/>
          <w:sz w:val="15"/>
        </w:rPr>
        <w:t>DEMAND,</w:t>
      </w:r>
      <w:r>
        <w:rPr>
          <w:rFonts w:ascii="TT Norms Pro Light"/>
          <w:b w:val="0"/>
          <w:spacing w:val="40"/>
          <w:sz w:val="15"/>
        </w:rPr>
        <w:t> </w:t>
      </w:r>
      <w:r>
        <w:rPr>
          <w:rFonts w:ascii="TT Norms Pro Light"/>
          <w:b w:val="0"/>
          <w:spacing w:val="-2"/>
          <w:sz w:val="15"/>
        </w:rPr>
        <w:t>STUDENT/TEACHER</w:t>
      </w:r>
      <w:r>
        <w:rPr>
          <w:rFonts w:ascii="TT Norms Pro Light"/>
          <w:b w:val="0"/>
          <w:spacing w:val="40"/>
          <w:sz w:val="15"/>
        </w:rPr>
        <w:t> </w:t>
      </w:r>
      <w:r>
        <w:rPr>
          <w:rFonts w:ascii="TT Norms Pro Light"/>
          <w:b w:val="0"/>
          <w:sz w:val="15"/>
        </w:rPr>
        <w:t>RATIO AND TEACHING</w:t>
      </w:r>
      <w:r>
        <w:rPr>
          <w:rFonts w:ascii="TT Norms Pro Light"/>
          <w:b w:val="0"/>
          <w:spacing w:val="40"/>
          <w:sz w:val="15"/>
        </w:rPr>
        <w:t> </w:t>
      </w:r>
      <w:r>
        <w:rPr>
          <w:rFonts w:ascii="TT Norms Pro Light"/>
          <w:b w:val="0"/>
          <w:spacing w:val="-2"/>
          <w:sz w:val="15"/>
        </w:rPr>
        <w:t>QUALITY</w:t>
      </w:r>
    </w:p>
    <w:p>
      <w:pPr>
        <w:spacing w:before="84"/>
        <w:ind w:left="0" w:right="3054" w:firstLine="0"/>
        <w:jc w:val="center"/>
        <w:rPr>
          <w:rFonts w:ascii="TT Norms Pro Light"/>
          <w:b w:val="0"/>
          <w:sz w:val="12"/>
        </w:rPr>
      </w:pPr>
      <w:r>
        <w:rPr>
          <w:rFonts w:ascii="TT Norms Pro Light"/>
          <w:b w:val="0"/>
          <w:spacing w:val="-2"/>
          <w:sz w:val="12"/>
        </w:rPr>
        <w:t>(GOOD</w:t>
      </w:r>
      <w:r>
        <w:rPr>
          <w:rFonts w:ascii="TT Norms Pro Light"/>
          <w:b w:val="0"/>
          <w:spacing w:val="8"/>
          <w:sz w:val="12"/>
        </w:rPr>
        <w:t> </w:t>
      </w:r>
      <w:r>
        <w:rPr>
          <w:rFonts w:ascii="TT Norms Pro Light"/>
          <w:b w:val="0"/>
          <w:spacing w:val="-2"/>
          <w:sz w:val="12"/>
        </w:rPr>
        <w:t>UNIVERSITIES</w:t>
      </w:r>
      <w:r>
        <w:rPr>
          <w:rFonts w:ascii="TT Norms Pro Light"/>
          <w:b w:val="0"/>
          <w:spacing w:val="8"/>
          <w:sz w:val="12"/>
        </w:rPr>
        <w:t> </w:t>
      </w:r>
      <w:r>
        <w:rPr>
          <w:rFonts w:ascii="TT Norms Pro Light"/>
          <w:b w:val="0"/>
          <w:spacing w:val="-2"/>
          <w:sz w:val="12"/>
        </w:rPr>
        <w:t>GUIDE)</w:t>
      </w:r>
    </w:p>
    <w:p>
      <w:pPr>
        <w:spacing w:after="0"/>
        <w:jc w:val="center"/>
        <w:rPr>
          <w:rFonts w:ascii="TT Norms Pro Light"/>
          <w:sz w:val="12"/>
        </w:rPr>
        <w:sectPr>
          <w:type w:val="continuous"/>
          <w:pgSz w:w="11910" w:h="16840"/>
          <w:pgMar w:header="468" w:footer="0" w:top="980" w:bottom="280" w:left="940" w:right="0"/>
          <w:cols w:num="4" w:equalWidth="0">
            <w:col w:w="1989" w:space="131"/>
            <w:col w:w="1523" w:space="180"/>
            <w:col w:w="1850" w:space="39"/>
            <w:col w:w="5258"/>
          </w:cols>
        </w:sectPr>
      </w:pPr>
    </w:p>
    <w:p>
      <w:pPr>
        <w:pStyle w:val="BodyText"/>
        <w:spacing w:before="16"/>
        <w:rPr>
          <w:b w:val="0"/>
          <w:sz w:val="12"/>
        </w:rPr>
      </w:pPr>
    </w:p>
    <w:p>
      <w:pPr>
        <w:spacing w:before="0"/>
        <w:ind w:left="464" w:right="0" w:firstLine="0"/>
        <w:jc w:val="left"/>
        <w:rPr>
          <w:rFonts w:ascii="TT Norms Pro Light"/>
          <w:b w:val="0"/>
          <w:sz w:val="12"/>
        </w:rPr>
      </w:pPr>
      <w:r>
        <w:rPr/>
        <mc:AlternateContent>
          <mc:Choice Requires="wps">
            <w:drawing>
              <wp:anchor distT="0" distB="0" distL="0" distR="0" allowOverlap="1" layoutInCell="1" locked="0" behindDoc="0" simplePos="0" relativeHeight="15782912">
                <wp:simplePos x="0" y="0"/>
                <wp:positionH relativeFrom="page">
                  <wp:posOffset>1913799</wp:posOffset>
                </wp:positionH>
                <wp:positionV relativeFrom="paragraph">
                  <wp:posOffset>-1288725</wp:posOffset>
                </wp:positionV>
                <wp:extent cx="6985" cy="1183005"/>
                <wp:effectExtent l="0" t="0" r="0" b="0"/>
                <wp:wrapNone/>
                <wp:docPr id="271" name="Group 271"/>
                <wp:cNvGraphicFramePr>
                  <a:graphicFrameLocks/>
                </wp:cNvGraphicFramePr>
                <a:graphic>
                  <a:graphicData uri="http://schemas.microsoft.com/office/word/2010/wordprocessingGroup">
                    <wpg:wgp>
                      <wpg:cNvPr id="271" name="Group 271"/>
                      <wpg:cNvGrpSpPr/>
                      <wpg:grpSpPr>
                        <a:xfrm>
                          <a:off x="0" y="0"/>
                          <a:ext cx="6985" cy="1183005"/>
                          <a:chExt cx="6985" cy="1183005"/>
                        </a:xfrm>
                      </wpg:grpSpPr>
                      <wps:wsp>
                        <wps:cNvPr id="272" name="Graphic 272"/>
                        <wps:cNvSpPr/>
                        <wps:spPr>
                          <a:xfrm>
                            <a:off x="3175" y="0"/>
                            <a:ext cx="1270" cy="1183005"/>
                          </a:xfrm>
                          <a:custGeom>
                            <a:avLst/>
                            <a:gdLst/>
                            <a:ahLst/>
                            <a:cxnLst/>
                            <a:rect l="l" t="t" r="r" b="b"/>
                            <a:pathLst>
                              <a:path w="0" h="1183005">
                                <a:moveTo>
                                  <a:pt x="0" y="0"/>
                                </a:moveTo>
                                <a:lnTo>
                                  <a:pt x="0" y="1182420"/>
                                </a:lnTo>
                              </a:path>
                            </a:pathLst>
                          </a:custGeom>
                          <a:ln w="6350">
                            <a:solidFill>
                              <a:srgbClr val="21409A"/>
                            </a:solidFill>
                            <a:prstDash val="solid"/>
                          </a:ln>
                        </wps:spPr>
                        <wps:bodyPr wrap="square" lIns="0" tIns="0" rIns="0" bIns="0" rtlCol="0">
                          <a:prstTxWarp prst="textNoShape">
                            <a:avLst/>
                          </a:prstTxWarp>
                          <a:noAutofit/>
                        </wps:bodyPr>
                      </wps:wsp>
                      <wps:wsp>
                        <wps:cNvPr id="273" name="Graphic 273"/>
                        <wps:cNvSpPr/>
                        <wps:spPr>
                          <a:xfrm>
                            <a:off x="3675" y="546"/>
                            <a:ext cx="1270" cy="1182370"/>
                          </a:xfrm>
                          <a:custGeom>
                            <a:avLst/>
                            <a:gdLst/>
                            <a:ahLst/>
                            <a:cxnLst/>
                            <a:rect l="l" t="t" r="r" b="b"/>
                            <a:pathLst>
                              <a:path w="0" h="1182370">
                                <a:moveTo>
                                  <a:pt x="0" y="0"/>
                                </a:moveTo>
                                <a:lnTo>
                                  <a:pt x="0" y="1181874"/>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50.692902pt;margin-top:-101.474434pt;width:.550pt;height:93.15pt;mso-position-horizontal-relative:page;mso-position-vertical-relative:paragraph;z-index:15782912" id="docshapegroup168" coordorigin="3014,-2029" coordsize="11,1863">
                <v:line style="position:absolute" from="3019,-2029" to="3019,-167" stroked="true" strokeweight=".5pt" strokecolor="#21409a">
                  <v:stroke dashstyle="solid"/>
                </v:line>
                <v:line style="position:absolute" from="3020,-2029" to="3020,-167" stroked="true" strokeweight=".5pt" strokecolor="#000000">
                  <v:stroke dashstyle="solid"/>
                </v:line>
                <w10:wrap type="none"/>
              </v:group>
            </w:pict>
          </mc:Fallback>
        </mc:AlternateContent>
      </w:r>
      <w:r>
        <w:rPr>
          <w:rFonts w:ascii="TT Norms Pro Light"/>
          <w:b w:val="0"/>
          <w:sz w:val="12"/>
        </w:rPr>
        <w:t>*IN</w:t>
      </w:r>
      <w:r>
        <w:rPr>
          <w:rFonts w:ascii="TT Norms Pro Light"/>
          <w:b w:val="0"/>
          <w:spacing w:val="7"/>
          <w:sz w:val="12"/>
        </w:rPr>
        <w:t> </w:t>
      </w:r>
      <w:r>
        <w:rPr>
          <w:rFonts w:ascii="TT Norms Pro Light"/>
          <w:b w:val="0"/>
          <w:sz w:val="12"/>
        </w:rPr>
        <w:t>2020</w:t>
      </w:r>
      <w:r>
        <w:rPr>
          <w:rFonts w:ascii="TT Norms Pro Light"/>
          <w:b w:val="0"/>
          <w:spacing w:val="7"/>
          <w:sz w:val="12"/>
        </w:rPr>
        <w:t> </w:t>
      </w:r>
      <w:r>
        <w:rPr>
          <w:rFonts w:ascii="TT Norms Pro Light"/>
          <w:b w:val="0"/>
          <w:sz w:val="12"/>
        </w:rPr>
        <w:t>QS,</w:t>
      </w:r>
      <w:r>
        <w:rPr>
          <w:rFonts w:ascii="TT Norms Pro Light"/>
          <w:b w:val="0"/>
          <w:spacing w:val="8"/>
          <w:sz w:val="12"/>
        </w:rPr>
        <w:t> </w:t>
      </w:r>
      <w:r>
        <w:rPr>
          <w:rFonts w:ascii="TT Norms Pro Light"/>
          <w:b w:val="0"/>
          <w:sz w:val="12"/>
        </w:rPr>
        <w:t>TIMES</w:t>
      </w:r>
      <w:r>
        <w:rPr>
          <w:rFonts w:ascii="TT Norms Pro Light"/>
          <w:b w:val="0"/>
          <w:spacing w:val="7"/>
          <w:sz w:val="12"/>
        </w:rPr>
        <w:t> </w:t>
      </w:r>
      <w:r>
        <w:rPr>
          <w:rFonts w:ascii="TT Norms Pro Light"/>
          <w:b w:val="0"/>
          <w:sz w:val="12"/>
        </w:rPr>
        <w:t>HIGHER</w:t>
      </w:r>
      <w:r>
        <w:rPr>
          <w:rFonts w:ascii="TT Norms Pro Light"/>
          <w:b w:val="0"/>
          <w:spacing w:val="7"/>
          <w:sz w:val="12"/>
        </w:rPr>
        <w:t> </w:t>
      </w:r>
      <w:r>
        <w:rPr>
          <w:rFonts w:ascii="TT Norms Pro Light"/>
          <w:b w:val="0"/>
          <w:sz w:val="12"/>
        </w:rPr>
        <w:t>EDUCATION</w:t>
      </w:r>
      <w:r>
        <w:rPr>
          <w:rFonts w:ascii="TT Norms Pro Light"/>
          <w:b w:val="0"/>
          <w:spacing w:val="8"/>
          <w:sz w:val="12"/>
        </w:rPr>
        <w:t> </w:t>
      </w:r>
      <w:r>
        <w:rPr>
          <w:rFonts w:ascii="TT Norms Pro Light"/>
          <w:b w:val="0"/>
          <w:sz w:val="12"/>
        </w:rPr>
        <w:t>AND</w:t>
      </w:r>
      <w:r>
        <w:rPr>
          <w:rFonts w:ascii="TT Norms Pro Light"/>
          <w:b w:val="0"/>
          <w:spacing w:val="7"/>
          <w:sz w:val="12"/>
        </w:rPr>
        <w:t> </w:t>
      </w:r>
      <w:r>
        <w:rPr>
          <w:rFonts w:ascii="TT Norms Pro Light"/>
          <w:b w:val="0"/>
          <w:sz w:val="12"/>
        </w:rPr>
        <w:t>GOOD</w:t>
      </w:r>
      <w:r>
        <w:rPr>
          <w:rFonts w:ascii="TT Norms Pro Light"/>
          <w:b w:val="0"/>
          <w:spacing w:val="7"/>
          <w:sz w:val="12"/>
        </w:rPr>
        <w:t> </w:t>
      </w:r>
      <w:r>
        <w:rPr>
          <w:rFonts w:ascii="TT Norms Pro Light"/>
          <w:b w:val="0"/>
          <w:sz w:val="12"/>
        </w:rPr>
        <w:t>UNIVERSITIES</w:t>
      </w:r>
      <w:r>
        <w:rPr>
          <w:rFonts w:ascii="TT Norms Pro Light"/>
          <w:b w:val="0"/>
          <w:spacing w:val="8"/>
          <w:sz w:val="12"/>
        </w:rPr>
        <w:t> </w:t>
      </w:r>
      <w:r>
        <w:rPr>
          <w:rFonts w:ascii="TT Norms Pro Light"/>
          <w:b w:val="0"/>
          <w:sz w:val="12"/>
        </w:rPr>
        <w:t>GUIDE</w:t>
      </w:r>
      <w:r>
        <w:rPr>
          <w:rFonts w:ascii="TT Norms Pro Light"/>
          <w:b w:val="0"/>
          <w:spacing w:val="7"/>
          <w:sz w:val="12"/>
        </w:rPr>
        <w:t> </w:t>
      </w:r>
      <w:r>
        <w:rPr>
          <w:rFonts w:ascii="TT Norms Pro Light"/>
          <w:b w:val="0"/>
          <w:sz w:val="12"/>
        </w:rPr>
        <w:t>ARE</w:t>
      </w:r>
      <w:r>
        <w:rPr>
          <w:rFonts w:ascii="TT Norms Pro Light"/>
          <w:b w:val="0"/>
          <w:spacing w:val="8"/>
          <w:sz w:val="12"/>
        </w:rPr>
        <w:t> </w:t>
      </w:r>
      <w:r>
        <w:rPr>
          <w:rFonts w:ascii="TT Norms Pro Light"/>
          <w:b w:val="0"/>
          <w:sz w:val="12"/>
        </w:rPr>
        <w:t>PUBLISHED</w:t>
      </w:r>
      <w:r>
        <w:rPr>
          <w:rFonts w:ascii="TT Norms Pro Light"/>
          <w:b w:val="0"/>
          <w:spacing w:val="7"/>
          <w:sz w:val="12"/>
        </w:rPr>
        <w:t> </w:t>
      </w:r>
      <w:r>
        <w:rPr>
          <w:rFonts w:ascii="TT Norms Pro Light"/>
          <w:b w:val="0"/>
          <w:sz w:val="12"/>
        </w:rPr>
        <w:t>AS</w:t>
      </w:r>
      <w:r>
        <w:rPr>
          <w:rFonts w:ascii="TT Norms Pro Light"/>
          <w:b w:val="0"/>
          <w:spacing w:val="7"/>
          <w:sz w:val="12"/>
        </w:rPr>
        <w:t> </w:t>
      </w:r>
      <w:r>
        <w:rPr>
          <w:rFonts w:ascii="TT Norms Pro Light"/>
          <w:b w:val="0"/>
          <w:sz w:val="12"/>
        </w:rPr>
        <w:t>2021</w:t>
      </w:r>
      <w:r>
        <w:rPr>
          <w:rFonts w:ascii="TT Norms Pro Light"/>
          <w:b w:val="0"/>
          <w:spacing w:val="8"/>
          <w:sz w:val="12"/>
        </w:rPr>
        <w:t> </w:t>
      </w:r>
      <w:r>
        <w:rPr>
          <w:rFonts w:ascii="TT Norms Pro Light"/>
          <w:b w:val="0"/>
          <w:spacing w:val="-2"/>
          <w:sz w:val="12"/>
        </w:rPr>
        <w:t>RANKINGS/RATINGS</w:t>
      </w:r>
    </w:p>
    <w:p>
      <w:pPr>
        <w:pStyle w:val="BodyText"/>
        <w:spacing w:before="5"/>
        <w:rPr>
          <w:b w:val="0"/>
          <w:sz w:val="10"/>
        </w:rPr>
      </w:pPr>
      <w:r>
        <w:rPr/>
        <mc:AlternateContent>
          <mc:Choice Requires="wps">
            <w:drawing>
              <wp:anchor distT="0" distB="0" distL="0" distR="0" allowOverlap="1" layoutInCell="1" locked="0" behindDoc="1" simplePos="0" relativeHeight="487641600">
                <wp:simplePos x="0" y="0"/>
                <wp:positionH relativeFrom="page">
                  <wp:posOffset>728313</wp:posOffset>
                </wp:positionH>
                <wp:positionV relativeFrom="paragraph">
                  <wp:posOffset>93231</wp:posOffset>
                </wp:positionV>
                <wp:extent cx="4794885" cy="1270"/>
                <wp:effectExtent l="0" t="0" r="0" b="0"/>
                <wp:wrapTopAndBottom/>
                <wp:docPr id="274" name="Graphic 274"/>
                <wp:cNvGraphicFramePr>
                  <a:graphicFrameLocks/>
                </wp:cNvGraphicFramePr>
                <a:graphic>
                  <a:graphicData uri="http://schemas.microsoft.com/office/word/2010/wordprocessingShape">
                    <wps:wsp>
                      <wps:cNvPr id="274" name="Graphic 274"/>
                      <wps:cNvSpPr/>
                      <wps:spPr>
                        <a:xfrm>
                          <a:off x="0" y="0"/>
                          <a:ext cx="4794885" cy="1270"/>
                        </a:xfrm>
                        <a:custGeom>
                          <a:avLst/>
                          <a:gdLst/>
                          <a:ahLst/>
                          <a:cxnLst/>
                          <a:rect l="l" t="t" r="r" b="b"/>
                          <a:pathLst>
                            <a:path w="4794885" h="0">
                              <a:moveTo>
                                <a:pt x="4794326" y="0"/>
                              </a:moveTo>
                              <a:lnTo>
                                <a:pt x="0"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7.3475pt;margin-top:7.341063pt;width:377.55pt;height:.1pt;mso-position-horizontal-relative:page;mso-position-vertical-relative:paragraph;z-index:-15674880;mso-wrap-distance-left:0;mso-wrap-distance-right:0" id="docshape169" coordorigin="1147,147" coordsize="7551,0" path="m8697,147l1147,147e" filled="false" stroked="true" strokeweight=".5pt" strokecolor="#000000">
                <v:path arrowok="t"/>
                <v:stroke dashstyle="solid"/>
                <w10:wrap type="topAndBottom"/>
              </v:shape>
            </w:pict>
          </mc:Fallback>
        </mc:AlternateContent>
      </w:r>
    </w:p>
    <w:p>
      <w:pPr>
        <w:pStyle w:val="BodyText"/>
        <w:spacing w:before="4"/>
        <w:rPr>
          <w:b w:val="0"/>
          <w:sz w:val="13"/>
        </w:rPr>
      </w:pPr>
    </w:p>
    <w:p>
      <w:pPr>
        <w:spacing w:after="0"/>
        <w:rPr>
          <w:sz w:val="13"/>
        </w:rPr>
        <w:sectPr>
          <w:type w:val="continuous"/>
          <w:pgSz w:w="11910" w:h="16840"/>
          <w:pgMar w:header="468" w:footer="0" w:top="980" w:bottom="280" w:left="940" w:right="0"/>
        </w:sectPr>
      </w:pPr>
    </w:p>
    <w:p>
      <w:pPr>
        <w:pStyle w:val="Heading5"/>
        <w:spacing w:before="170"/>
        <w:ind w:left="704" w:right="23"/>
      </w:pPr>
      <w:r>
        <w:rPr/>
        <mc:AlternateContent>
          <mc:Choice Requires="wps">
            <w:drawing>
              <wp:anchor distT="0" distB="0" distL="0" distR="0" allowOverlap="1" layoutInCell="1" locked="0" behindDoc="0" simplePos="0" relativeHeight="15786496">
                <wp:simplePos x="0" y="0"/>
                <wp:positionH relativeFrom="page">
                  <wp:posOffset>720175</wp:posOffset>
                </wp:positionH>
                <wp:positionV relativeFrom="paragraph">
                  <wp:posOffset>48841</wp:posOffset>
                </wp:positionV>
                <wp:extent cx="1270" cy="773430"/>
                <wp:effectExtent l="0" t="0" r="0" b="0"/>
                <wp:wrapNone/>
                <wp:docPr id="275" name="Graphic 275"/>
                <wp:cNvGraphicFramePr>
                  <a:graphicFrameLocks/>
                </wp:cNvGraphicFramePr>
                <a:graphic>
                  <a:graphicData uri="http://schemas.microsoft.com/office/word/2010/wordprocessingShape">
                    <wps:wsp>
                      <wps:cNvPr id="275" name="Graphic 275"/>
                      <wps:cNvSpPr/>
                      <wps:spPr>
                        <a:xfrm>
                          <a:off x="0" y="0"/>
                          <a:ext cx="1270" cy="773430"/>
                        </a:xfrm>
                        <a:custGeom>
                          <a:avLst/>
                          <a:gdLst/>
                          <a:ahLst/>
                          <a:cxnLst/>
                          <a:rect l="l" t="t" r="r" b="b"/>
                          <a:pathLst>
                            <a:path w="0" h="773430">
                              <a:moveTo>
                                <a:pt x="0" y="0"/>
                              </a:moveTo>
                              <a:lnTo>
                                <a:pt x="0" y="773404"/>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86496" from="56.706699pt,3.8458pt" to="56.706699pt,64.743800pt" stroked="true" strokeweight=".5pt" strokecolor="#000000">
                <v:stroke dashstyle="solid"/>
                <w10:wrap type="none"/>
              </v:line>
            </w:pict>
          </mc:Fallback>
        </mc:AlternateContent>
      </w:r>
      <w:r>
        <w:rPr>
          <w:spacing w:val="-10"/>
        </w:rPr>
        <w:t>4</w:t>
      </w:r>
    </w:p>
    <w:p>
      <w:pPr>
        <w:spacing w:before="48"/>
        <w:ind w:left="704" w:right="0" w:firstLine="0"/>
        <w:jc w:val="center"/>
        <w:rPr>
          <w:rFonts w:ascii="TT Norms Pro Light"/>
          <w:b w:val="0"/>
          <w:sz w:val="15"/>
        </w:rPr>
      </w:pPr>
      <w:r>
        <w:rPr>
          <w:rFonts w:ascii="TT Norms Pro Light"/>
          <w:b w:val="0"/>
          <w:spacing w:val="-2"/>
          <w:sz w:val="15"/>
        </w:rPr>
        <w:t>FACULTIES</w:t>
      </w:r>
    </w:p>
    <w:p>
      <w:pPr>
        <w:spacing w:before="170"/>
        <w:ind w:left="677" w:right="0" w:firstLine="0"/>
        <w:jc w:val="center"/>
        <w:rPr>
          <w:rFonts w:ascii="TT Norms Pro"/>
          <w:b/>
          <w:sz w:val="42"/>
        </w:rPr>
      </w:pPr>
      <w:r>
        <w:rPr/>
        <w:br w:type="column"/>
      </w:r>
      <w:r>
        <w:rPr>
          <w:rFonts w:ascii="TT Norms Pro"/>
          <w:b/>
          <w:spacing w:val="-5"/>
          <w:sz w:val="42"/>
        </w:rPr>
        <w:t>37</w:t>
      </w:r>
    </w:p>
    <w:p>
      <w:pPr>
        <w:spacing w:line="247" w:lineRule="auto" w:before="48"/>
        <w:ind w:left="744" w:right="38" w:firstLine="0"/>
        <w:jc w:val="center"/>
        <w:rPr>
          <w:rFonts w:ascii="TT Norms Pro Light"/>
          <w:b w:val="0"/>
          <w:sz w:val="15"/>
        </w:rPr>
      </w:pPr>
      <w:r>
        <w:rPr/>
        <mc:AlternateContent>
          <mc:Choice Requires="wps">
            <w:drawing>
              <wp:anchor distT="0" distB="0" distL="0" distR="0" allowOverlap="1" layoutInCell="1" locked="0" behindDoc="0" simplePos="0" relativeHeight="15785984">
                <wp:simplePos x="0" y="0"/>
                <wp:positionH relativeFrom="page">
                  <wp:posOffset>1913399</wp:posOffset>
                </wp:positionH>
                <wp:positionV relativeFrom="paragraph">
                  <wp:posOffset>-371494</wp:posOffset>
                </wp:positionV>
                <wp:extent cx="6985" cy="774065"/>
                <wp:effectExtent l="0" t="0" r="0" b="0"/>
                <wp:wrapNone/>
                <wp:docPr id="276" name="Group 276"/>
                <wp:cNvGraphicFramePr>
                  <a:graphicFrameLocks/>
                </wp:cNvGraphicFramePr>
                <a:graphic>
                  <a:graphicData uri="http://schemas.microsoft.com/office/word/2010/wordprocessingGroup">
                    <wpg:wgp>
                      <wpg:cNvPr id="276" name="Group 276"/>
                      <wpg:cNvGrpSpPr/>
                      <wpg:grpSpPr>
                        <a:xfrm>
                          <a:off x="0" y="0"/>
                          <a:ext cx="6985" cy="774065"/>
                          <a:chExt cx="6985" cy="774065"/>
                        </a:xfrm>
                      </wpg:grpSpPr>
                      <wps:wsp>
                        <wps:cNvPr id="277" name="Graphic 277"/>
                        <wps:cNvSpPr/>
                        <wps:spPr>
                          <a:xfrm>
                            <a:off x="3175" y="0"/>
                            <a:ext cx="1270" cy="774065"/>
                          </a:xfrm>
                          <a:custGeom>
                            <a:avLst/>
                            <a:gdLst/>
                            <a:ahLst/>
                            <a:cxnLst/>
                            <a:rect l="l" t="t" r="r" b="b"/>
                            <a:pathLst>
                              <a:path w="0" h="774065">
                                <a:moveTo>
                                  <a:pt x="0" y="0"/>
                                </a:moveTo>
                                <a:lnTo>
                                  <a:pt x="0" y="773760"/>
                                </a:lnTo>
                              </a:path>
                            </a:pathLst>
                          </a:custGeom>
                          <a:ln w="6350">
                            <a:solidFill>
                              <a:srgbClr val="21409A"/>
                            </a:solidFill>
                            <a:prstDash val="solid"/>
                          </a:ln>
                        </wps:spPr>
                        <wps:bodyPr wrap="square" lIns="0" tIns="0" rIns="0" bIns="0" rtlCol="0">
                          <a:prstTxWarp prst="textNoShape">
                            <a:avLst/>
                          </a:prstTxWarp>
                          <a:noAutofit/>
                        </wps:bodyPr>
                      </wps:wsp>
                      <wps:wsp>
                        <wps:cNvPr id="278" name="Graphic 278"/>
                        <wps:cNvSpPr/>
                        <wps:spPr>
                          <a:xfrm>
                            <a:off x="3675" y="346"/>
                            <a:ext cx="1270" cy="773430"/>
                          </a:xfrm>
                          <a:custGeom>
                            <a:avLst/>
                            <a:gdLst/>
                            <a:ahLst/>
                            <a:cxnLst/>
                            <a:rect l="l" t="t" r="r" b="b"/>
                            <a:pathLst>
                              <a:path w="0" h="773430">
                                <a:moveTo>
                                  <a:pt x="0" y="0"/>
                                </a:moveTo>
                                <a:lnTo>
                                  <a:pt x="0" y="773404"/>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50.661407pt;margin-top:-29.251499pt;width:.550pt;height:60.95pt;mso-position-horizontal-relative:page;mso-position-vertical-relative:paragraph;z-index:15785984" id="docshapegroup170" coordorigin="3013,-585" coordsize="11,1219">
                <v:line style="position:absolute" from="3018,-585" to="3018,633" stroked="true" strokeweight=".5pt" strokecolor="#21409a">
                  <v:stroke dashstyle="solid"/>
                </v:line>
                <v:line style="position:absolute" from="3019,-584" to="3019,633" stroked="true" strokeweight=".5pt" strokecolor="#000000">
                  <v:stroke dashstyle="solid"/>
                </v:line>
                <w10:wrap type="none"/>
              </v:group>
            </w:pict>
          </mc:Fallback>
        </mc:AlternateContent>
      </w:r>
      <w:r>
        <w:rPr>
          <w:rFonts w:ascii="TT Norms Pro Light"/>
          <w:b w:val="0"/>
          <w:spacing w:val="-2"/>
          <w:sz w:val="15"/>
        </w:rPr>
        <w:t>RESEARCH</w:t>
      </w:r>
      <w:r>
        <w:rPr>
          <w:rFonts w:ascii="TT Norms Pro Light"/>
          <w:b w:val="0"/>
          <w:spacing w:val="40"/>
          <w:sz w:val="15"/>
        </w:rPr>
        <w:t> </w:t>
      </w:r>
      <w:r>
        <w:rPr>
          <w:rFonts w:ascii="TT Norms Pro Light"/>
          <w:b w:val="0"/>
          <w:spacing w:val="-2"/>
          <w:sz w:val="15"/>
        </w:rPr>
        <w:t>CENTRES</w:t>
      </w:r>
    </w:p>
    <w:p>
      <w:pPr>
        <w:spacing w:before="170"/>
        <w:ind w:left="704" w:right="19" w:firstLine="0"/>
        <w:jc w:val="center"/>
        <w:rPr>
          <w:rFonts w:ascii="TT Norms Pro"/>
          <w:b/>
          <w:sz w:val="42"/>
        </w:rPr>
      </w:pPr>
      <w:r>
        <w:rPr/>
        <w:br w:type="column"/>
      </w:r>
      <w:r>
        <w:rPr>
          <w:rFonts w:ascii="TT Norms Pro"/>
          <w:b/>
          <w:spacing w:val="-5"/>
          <w:sz w:val="42"/>
        </w:rPr>
        <w:t>22</w:t>
      </w:r>
    </w:p>
    <w:p>
      <w:pPr>
        <w:spacing w:before="48"/>
        <w:ind w:left="704" w:right="0" w:firstLine="0"/>
        <w:jc w:val="center"/>
        <w:rPr>
          <w:rFonts w:ascii="TT Norms Pro Light"/>
          <w:b w:val="0"/>
          <w:sz w:val="15"/>
        </w:rPr>
      </w:pPr>
      <w:r>
        <w:rPr/>
        <mc:AlternateContent>
          <mc:Choice Requires="wps">
            <w:drawing>
              <wp:anchor distT="0" distB="0" distL="0" distR="0" allowOverlap="1" layoutInCell="1" locked="0" behindDoc="0" simplePos="0" relativeHeight="15787008">
                <wp:simplePos x="0" y="0"/>
                <wp:positionH relativeFrom="page">
                  <wp:posOffset>3113474</wp:posOffset>
                </wp:positionH>
                <wp:positionV relativeFrom="paragraph">
                  <wp:posOffset>-371494</wp:posOffset>
                </wp:positionV>
                <wp:extent cx="1270" cy="774065"/>
                <wp:effectExtent l="0" t="0" r="0" b="0"/>
                <wp:wrapNone/>
                <wp:docPr id="279" name="Graphic 279"/>
                <wp:cNvGraphicFramePr>
                  <a:graphicFrameLocks/>
                </wp:cNvGraphicFramePr>
                <a:graphic>
                  <a:graphicData uri="http://schemas.microsoft.com/office/word/2010/wordprocessingShape">
                    <wps:wsp>
                      <wps:cNvPr id="279" name="Graphic 279"/>
                      <wps:cNvSpPr/>
                      <wps:spPr>
                        <a:xfrm>
                          <a:off x="0" y="0"/>
                          <a:ext cx="1270" cy="774065"/>
                        </a:xfrm>
                        <a:custGeom>
                          <a:avLst/>
                          <a:gdLst/>
                          <a:ahLst/>
                          <a:cxnLst/>
                          <a:rect l="l" t="t" r="r" b="b"/>
                          <a:pathLst>
                            <a:path w="0" h="774065">
                              <a:moveTo>
                                <a:pt x="0" y="0"/>
                              </a:moveTo>
                              <a:lnTo>
                                <a:pt x="0" y="77376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87008" from="245.155502pt,-29.251499pt" to="245.155502pt,31.674501pt" stroked="true" strokeweight=".5pt" strokecolor="#000000">
                <v:stroke dashstyle="solid"/>
                <w10:wrap type="none"/>
              </v:line>
            </w:pict>
          </mc:Fallback>
        </mc:AlternateContent>
      </w:r>
      <w:r>
        <w:rPr>
          <w:rFonts w:ascii="TT Norms Pro Light"/>
          <w:b w:val="0"/>
          <w:spacing w:val="-2"/>
          <w:sz w:val="15"/>
        </w:rPr>
        <w:t>SCHOOLS</w:t>
      </w:r>
    </w:p>
    <w:p>
      <w:pPr>
        <w:spacing w:before="159"/>
        <w:ind w:left="0" w:right="3017" w:firstLine="0"/>
        <w:jc w:val="center"/>
        <w:rPr>
          <w:rFonts w:ascii="TT Norms Pro"/>
          <w:b/>
          <w:sz w:val="42"/>
        </w:rPr>
      </w:pPr>
      <w:r>
        <w:rPr/>
        <w:br w:type="column"/>
      </w:r>
      <w:r>
        <w:rPr>
          <w:rFonts w:ascii="TT Norms Pro"/>
          <w:b/>
          <w:spacing w:val="-10"/>
          <w:sz w:val="42"/>
        </w:rPr>
        <w:t>2</w:t>
      </w:r>
    </w:p>
    <w:p>
      <w:pPr>
        <w:spacing w:line="247" w:lineRule="auto" w:before="59"/>
        <w:ind w:left="744" w:right="3738" w:firstLine="2"/>
        <w:jc w:val="center"/>
        <w:rPr>
          <w:rFonts w:ascii="TT Norms Pro Light"/>
          <w:b w:val="0"/>
          <w:sz w:val="15"/>
        </w:rPr>
      </w:pPr>
      <w:r>
        <w:rPr/>
        <mc:AlternateContent>
          <mc:Choice Requires="wps">
            <w:drawing>
              <wp:anchor distT="0" distB="0" distL="0" distR="0" allowOverlap="1" layoutInCell="1" locked="0" behindDoc="0" simplePos="0" relativeHeight="15787520">
                <wp:simplePos x="0" y="0"/>
                <wp:positionH relativeFrom="page">
                  <wp:posOffset>4309524</wp:posOffset>
                </wp:positionH>
                <wp:positionV relativeFrom="paragraph">
                  <wp:posOffset>-364509</wp:posOffset>
                </wp:positionV>
                <wp:extent cx="6985" cy="774065"/>
                <wp:effectExtent l="0" t="0" r="0" b="0"/>
                <wp:wrapNone/>
                <wp:docPr id="280" name="Group 280"/>
                <wp:cNvGraphicFramePr>
                  <a:graphicFrameLocks/>
                </wp:cNvGraphicFramePr>
                <a:graphic>
                  <a:graphicData uri="http://schemas.microsoft.com/office/word/2010/wordprocessingGroup">
                    <wpg:wgp>
                      <wpg:cNvPr id="280" name="Group 280"/>
                      <wpg:cNvGrpSpPr/>
                      <wpg:grpSpPr>
                        <a:xfrm>
                          <a:off x="0" y="0"/>
                          <a:ext cx="6985" cy="774065"/>
                          <a:chExt cx="6985" cy="774065"/>
                        </a:xfrm>
                      </wpg:grpSpPr>
                      <wps:wsp>
                        <wps:cNvPr id="281" name="Graphic 281"/>
                        <wps:cNvSpPr/>
                        <wps:spPr>
                          <a:xfrm>
                            <a:off x="3175" y="0"/>
                            <a:ext cx="1270" cy="774065"/>
                          </a:xfrm>
                          <a:custGeom>
                            <a:avLst/>
                            <a:gdLst/>
                            <a:ahLst/>
                            <a:cxnLst/>
                            <a:rect l="l" t="t" r="r" b="b"/>
                            <a:pathLst>
                              <a:path w="0" h="774065">
                                <a:moveTo>
                                  <a:pt x="0" y="0"/>
                                </a:moveTo>
                                <a:lnTo>
                                  <a:pt x="0" y="773760"/>
                                </a:lnTo>
                              </a:path>
                            </a:pathLst>
                          </a:custGeom>
                          <a:ln w="6350">
                            <a:solidFill>
                              <a:srgbClr val="21409A"/>
                            </a:solidFill>
                            <a:prstDash val="solid"/>
                          </a:ln>
                        </wps:spPr>
                        <wps:bodyPr wrap="square" lIns="0" tIns="0" rIns="0" bIns="0" rtlCol="0">
                          <a:prstTxWarp prst="textNoShape">
                            <a:avLst/>
                          </a:prstTxWarp>
                          <a:noAutofit/>
                        </wps:bodyPr>
                      </wps:wsp>
                      <wps:wsp>
                        <wps:cNvPr id="282" name="Graphic 282"/>
                        <wps:cNvSpPr/>
                        <wps:spPr>
                          <a:xfrm>
                            <a:off x="3675" y="346"/>
                            <a:ext cx="1270" cy="773430"/>
                          </a:xfrm>
                          <a:custGeom>
                            <a:avLst/>
                            <a:gdLst/>
                            <a:ahLst/>
                            <a:cxnLst/>
                            <a:rect l="l" t="t" r="r" b="b"/>
                            <a:pathLst>
                              <a:path w="0" h="773430">
                                <a:moveTo>
                                  <a:pt x="0" y="0"/>
                                </a:moveTo>
                                <a:lnTo>
                                  <a:pt x="0" y="773404"/>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39.332611pt;margin-top:-28.7015pt;width:.550pt;height:60.95pt;mso-position-horizontal-relative:page;mso-position-vertical-relative:paragraph;z-index:15787520" id="docshapegroup171" coordorigin="6787,-574" coordsize="11,1219">
                <v:line style="position:absolute" from="6792,-574" to="6792,644" stroked="true" strokeweight=".5pt" strokecolor="#21409a">
                  <v:stroke dashstyle="solid"/>
                </v:line>
                <v:line style="position:absolute" from="6792,-573" to="6792,644" stroked="true" strokeweight=".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788032">
                <wp:simplePos x="0" y="0"/>
                <wp:positionH relativeFrom="page">
                  <wp:posOffset>5509600</wp:posOffset>
                </wp:positionH>
                <wp:positionV relativeFrom="paragraph">
                  <wp:posOffset>-364509</wp:posOffset>
                </wp:positionV>
                <wp:extent cx="1270" cy="774065"/>
                <wp:effectExtent l="0" t="0" r="0" b="0"/>
                <wp:wrapNone/>
                <wp:docPr id="283" name="Graphic 283"/>
                <wp:cNvGraphicFramePr>
                  <a:graphicFrameLocks/>
                </wp:cNvGraphicFramePr>
                <a:graphic>
                  <a:graphicData uri="http://schemas.microsoft.com/office/word/2010/wordprocessingShape">
                    <wps:wsp>
                      <wps:cNvPr id="283" name="Graphic 283"/>
                      <wps:cNvSpPr/>
                      <wps:spPr>
                        <a:xfrm>
                          <a:off x="0" y="0"/>
                          <a:ext cx="1270" cy="774065"/>
                        </a:xfrm>
                        <a:custGeom>
                          <a:avLst/>
                          <a:gdLst/>
                          <a:ahLst/>
                          <a:cxnLst/>
                          <a:rect l="l" t="t" r="r" b="b"/>
                          <a:pathLst>
                            <a:path w="0" h="774065">
                              <a:moveTo>
                                <a:pt x="0" y="0"/>
                              </a:moveTo>
                              <a:lnTo>
                                <a:pt x="0" y="77376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88032" from="433.826813pt,-28.7015pt" to="433.826813pt,32.2245pt" stroked="true" strokeweight=".5pt" strokecolor="#000000">
                <v:stroke dashstyle="solid"/>
                <w10:wrap type="none"/>
              </v:line>
            </w:pict>
          </mc:Fallback>
        </mc:AlternateContent>
      </w:r>
      <w:r>
        <w:rPr>
          <w:rFonts w:ascii="TT Norms Pro Light"/>
          <w:b w:val="0"/>
          <w:spacing w:val="-2"/>
          <w:sz w:val="15"/>
        </w:rPr>
        <w:t>RESEARCH</w:t>
      </w:r>
      <w:r>
        <w:rPr>
          <w:rFonts w:ascii="TT Norms Pro Light"/>
          <w:b w:val="0"/>
          <w:spacing w:val="40"/>
          <w:sz w:val="15"/>
        </w:rPr>
        <w:t> </w:t>
      </w:r>
      <w:r>
        <w:rPr>
          <w:rFonts w:ascii="TT Norms Pro Light"/>
          <w:b w:val="0"/>
          <w:spacing w:val="-2"/>
          <w:sz w:val="15"/>
        </w:rPr>
        <w:t>INSTITUTES</w:t>
      </w:r>
    </w:p>
    <w:p>
      <w:pPr>
        <w:spacing w:after="0" w:line="247" w:lineRule="auto"/>
        <w:jc w:val="center"/>
        <w:rPr>
          <w:rFonts w:ascii="TT Norms Pro Light"/>
          <w:sz w:val="15"/>
        </w:rPr>
        <w:sectPr>
          <w:type w:val="continuous"/>
          <w:pgSz w:w="11910" w:h="16840"/>
          <w:pgMar w:header="468" w:footer="0" w:top="980" w:bottom="280" w:left="940" w:right="0"/>
          <w:cols w:num="4" w:equalWidth="0">
            <w:col w:w="1583" w:space="292"/>
            <w:col w:w="1604" w:space="322"/>
            <w:col w:w="1527" w:space="306"/>
            <w:col w:w="5336"/>
          </w:cols>
        </w:sectPr>
      </w:pPr>
    </w:p>
    <w:p>
      <w:pPr>
        <w:pStyle w:val="BodyText"/>
        <w:spacing w:before="196"/>
        <w:rPr>
          <w:b w:val="0"/>
          <w:sz w:val="20"/>
        </w:rPr>
      </w:pPr>
    </w:p>
    <w:p>
      <w:pPr>
        <w:spacing w:after="0"/>
        <w:rPr>
          <w:sz w:val="20"/>
        </w:rPr>
        <w:sectPr>
          <w:type w:val="continuous"/>
          <w:pgSz w:w="11910" w:h="16840"/>
          <w:pgMar w:header="468" w:footer="0" w:top="980" w:bottom="280" w:left="940" w:right="0"/>
        </w:sectPr>
      </w:pPr>
    </w:p>
    <w:p>
      <w:pPr>
        <w:spacing w:before="131"/>
        <w:ind w:left="171" w:right="0" w:firstLine="0"/>
        <w:jc w:val="left"/>
        <w:rPr>
          <w:rFonts w:ascii="TT Norms Pro"/>
          <w:b/>
          <w:sz w:val="22"/>
        </w:rPr>
      </w:pPr>
      <w:r>
        <w:rPr>
          <w:rFonts w:ascii="TT Norms Pro"/>
          <w:b/>
          <w:spacing w:val="-2"/>
          <w:sz w:val="22"/>
        </w:rPr>
        <w:t>STUDENTS</w:t>
      </w:r>
    </w:p>
    <w:p>
      <w:pPr>
        <w:pStyle w:val="BodyText"/>
        <w:spacing w:before="74"/>
        <w:rPr>
          <w:rFonts w:ascii="TT Norms Pro"/>
          <w:b/>
          <w:sz w:val="22"/>
        </w:rPr>
      </w:pPr>
    </w:p>
    <w:p>
      <w:pPr>
        <w:pStyle w:val="Heading5"/>
        <w:ind w:left="315"/>
      </w:pPr>
      <w:r>
        <w:rPr/>
        <mc:AlternateContent>
          <mc:Choice Requires="wps">
            <w:drawing>
              <wp:anchor distT="0" distB="0" distL="0" distR="0" allowOverlap="1" layoutInCell="1" locked="0" behindDoc="0" simplePos="0" relativeHeight="15789568">
                <wp:simplePos x="0" y="0"/>
                <wp:positionH relativeFrom="page">
                  <wp:posOffset>720250</wp:posOffset>
                </wp:positionH>
                <wp:positionV relativeFrom="paragraph">
                  <wp:posOffset>-59496</wp:posOffset>
                </wp:positionV>
                <wp:extent cx="1270" cy="773430"/>
                <wp:effectExtent l="0" t="0" r="0" b="0"/>
                <wp:wrapNone/>
                <wp:docPr id="284" name="Graphic 284"/>
                <wp:cNvGraphicFramePr>
                  <a:graphicFrameLocks/>
                </wp:cNvGraphicFramePr>
                <a:graphic>
                  <a:graphicData uri="http://schemas.microsoft.com/office/word/2010/wordprocessingShape">
                    <wps:wsp>
                      <wps:cNvPr id="284" name="Graphic 284"/>
                      <wps:cNvSpPr/>
                      <wps:spPr>
                        <a:xfrm>
                          <a:off x="0" y="0"/>
                          <a:ext cx="1270" cy="773430"/>
                        </a:xfrm>
                        <a:custGeom>
                          <a:avLst/>
                          <a:gdLst/>
                          <a:ahLst/>
                          <a:cxnLst/>
                          <a:rect l="l" t="t" r="r" b="b"/>
                          <a:pathLst>
                            <a:path w="0" h="773430">
                              <a:moveTo>
                                <a:pt x="0" y="0"/>
                              </a:moveTo>
                              <a:lnTo>
                                <a:pt x="0" y="773404"/>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89568" from="56.712601pt,-4.6848pt" to="56.712601pt,56.2132pt" stroked="true" strokeweight=".5pt" strokecolor="#000000">
                <v:stroke dashstyle="solid"/>
                <w10:wrap type="none"/>
              </v:line>
            </w:pict>
          </mc:Fallback>
        </mc:AlternateContent>
      </w:r>
      <w:r>
        <w:rPr>
          <w:spacing w:val="-2"/>
        </w:rPr>
        <w:t>18,717</w:t>
      </w:r>
    </w:p>
    <w:p>
      <w:pPr>
        <w:spacing w:line="247" w:lineRule="auto" w:before="56"/>
        <w:ind w:left="372" w:right="0" w:firstLine="0"/>
        <w:jc w:val="center"/>
        <w:rPr>
          <w:rFonts w:ascii="TT Norms Pro Light"/>
          <w:b w:val="0"/>
          <w:sz w:val="15"/>
        </w:rPr>
      </w:pPr>
      <w:r>
        <w:rPr>
          <w:rFonts w:ascii="TT Norms Pro Light"/>
          <w:b w:val="0"/>
          <w:sz w:val="15"/>
        </w:rPr>
        <w:t>STUDENT</w:t>
      </w:r>
      <w:r>
        <w:rPr>
          <w:rFonts w:ascii="TT Norms Pro Light"/>
          <w:b w:val="0"/>
          <w:spacing w:val="-8"/>
          <w:sz w:val="15"/>
        </w:rPr>
        <w:t> </w:t>
      </w:r>
      <w:r>
        <w:rPr>
          <w:rFonts w:ascii="TT Norms Pro Light"/>
          <w:b w:val="0"/>
          <w:sz w:val="15"/>
        </w:rPr>
        <w:t>FULL-TIME</w:t>
      </w:r>
      <w:r>
        <w:rPr>
          <w:rFonts w:ascii="TT Norms Pro Light"/>
          <w:b w:val="0"/>
          <w:spacing w:val="40"/>
          <w:sz w:val="15"/>
        </w:rPr>
        <w:t> </w:t>
      </w:r>
      <w:r>
        <w:rPr>
          <w:rFonts w:ascii="TT Norms Pro Light"/>
          <w:b w:val="0"/>
          <w:sz w:val="15"/>
        </w:rPr>
        <w:t>STUDENT</w:t>
      </w:r>
      <w:r>
        <w:rPr>
          <w:rFonts w:ascii="TT Norms Pro Light"/>
          <w:b w:val="0"/>
          <w:spacing w:val="-8"/>
          <w:sz w:val="15"/>
        </w:rPr>
        <w:t> </w:t>
      </w:r>
      <w:r>
        <w:rPr>
          <w:rFonts w:ascii="TT Norms Pro Light"/>
          <w:b w:val="0"/>
          <w:sz w:val="15"/>
        </w:rPr>
        <w:t>LOAD</w:t>
      </w:r>
    </w:p>
    <w:p>
      <w:pPr>
        <w:spacing w:line="240" w:lineRule="auto" w:before="228"/>
        <w:rPr>
          <w:rFonts w:ascii="TT Norms Pro Light"/>
          <w:b w:val="0"/>
          <w:sz w:val="42"/>
        </w:rPr>
      </w:pPr>
      <w:r>
        <w:rPr/>
        <w:br w:type="column"/>
      </w:r>
      <w:r>
        <w:rPr>
          <w:rFonts w:ascii="TT Norms Pro Light"/>
          <w:b w:val="0"/>
          <w:sz w:val="42"/>
        </w:rPr>
      </w:r>
    </w:p>
    <w:p>
      <w:pPr>
        <w:pStyle w:val="Heading5"/>
        <w:ind w:left="84"/>
      </w:pPr>
      <w:r>
        <w:rPr>
          <w:spacing w:val="-2"/>
        </w:rPr>
        <w:t>5,473</w:t>
      </w:r>
    </w:p>
    <w:p>
      <w:pPr>
        <w:spacing w:line="247" w:lineRule="auto" w:before="48"/>
        <w:ind w:left="171" w:right="38" w:hanging="30"/>
        <w:jc w:val="center"/>
        <w:rPr>
          <w:rFonts w:ascii="TT Norms Pro Light"/>
          <w:b w:val="0"/>
          <w:sz w:val="15"/>
        </w:rPr>
      </w:pPr>
      <w:r>
        <w:rPr>
          <w:rFonts w:ascii="TT Norms Pro Light"/>
          <w:b w:val="0"/>
          <w:spacing w:val="-2"/>
          <w:sz w:val="15"/>
        </w:rPr>
        <w:t>POSTGRADUATES</w:t>
      </w:r>
      <w:r>
        <w:rPr>
          <w:rFonts w:ascii="TT Norms Pro Light"/>
          <w:b w:val="0"/>
          <w:spacing w:val="40"/>
          <w:sz w:val="15"/>
        </w:rPr>
        <w:t> </w:t>
      </w:r>
      <w:r>
        <w:rPr>
          <w:rFonts w:ascii="TT Norms Pro Light"/>
          <w:b w:val="0"/>
          <w:sz w:val="15"/>
        </w:rPr>
        <w:t>(BY</w:t>
      </w:r>
      <w:r>
        <w:rPr>
          <w:rFonts w:ascii="TT Norms Pro Light"/>
          <w:b w:val="0"/>
          <w:spacing w:val="-8"/>
          <w:sz w:val="15"/>
        </w:rPr>
        <w:t> </w:t>
      </w:r>
      <w:r>
        <w:rPr>
          <w:rFonts w:ascii="TT Norms Pro Light"/>
          <w:b w:val="0"/>
          <w:sz w:val="15"/>
        </w:rPr>
        <w:t>COURSEWORK)</w:t>
      </w:r>
    </w:p>
    <w:p>
      <w:pPr>
        <w:spacing w:line="240" w:lineRule="auto" w:before="228"/>
        <w:rPr>
          <w:rFonts w:ascii="TT Norms Pro Light"/>
          <w:b w:val="0"/>
          <w:sz w:val="42"/>
        </w:rPr>
      </w:pPr>
      <w:r>
        <w:rPr/>
        <w:br w:type="column"/>
      </w:r>
      <w:r>
        <w:rPr>
          <w:rFonts w:ascii="TT Norms Pro Light"/>
          <w:b w:val="0"/>
          <w:sz w:val="42"/>
        </w:rPr>
      </w:r>
    </w:p>
    <w:p>
      <w:pPr>
        <w:pStyle w:val="Heading5"/>
        <w:ind w:left="239"/>
        <w:jc w:val="left"/>
      </w:pPr>
      <w:r>
        <w:rPr>
          <w:spacing w:val="-2"/>
        </w:rPr>
        <w:t>1,536</w:t>
      </w:r>
    </w:p>
    <w:p>
      <w:pPr>
        <w:spacing w:line="247" w:lineRule="auto" w:before="48"/>
        <w:ind w:left="223" w:right="0" w:hanging="53"/>
        <w:jc w:val="left"/>
        <w:rPr>
          <w:rFonts w:ascii="TT Norms Pro Light"/>
          <w:b w:val="0"/>
          <w:sz w:val="15"/>
        </w:rPr>
      </w:pPr>
      <w:r>
        <w:rPr>
          <w:rFonts w:ascii="TT Norms Pro Light"/>
          <w:b w:val="0"/>
          <w:sz w:val="15"/>
        </w:rPr>
        <w:t>HIGHER</w:t>
      </w:r>
      <w:r>
        <w:rPr>
          <w:rFonts w:ascii="TT Norms Pro Light"/>
          <w:b w:val="0"/>
          <w:spacing w:val="-8"/>
          <w:sz w:val="15"/>
        </w:rPr>
        <w:t> </w:t>
      </w:r>
      <w:r>
        <w:rPr>
          <w:rFonts w:ascii="TT Norms Pro Light"/>
          <w:b w:val="0"/>
          <w:sz w:val="15"/>
        </w:rPr>
        <w:t>DEGREE</w:t>
      </w:r>
      <w:r>
        <w:rPr>
          <w:rFonts w:ascii="TT Norms Pro Light"/>
          <w:b w:val="0"/>
          <w:spacing w:val="40"/>
          <w:sz w:val="15"/>
        </w:rPr>
        <w:t> </w:t>
      </w:r>
      <w:r>
        <w:rPr>
          <w:rFonts w:ascii="TT Norms Pro Light"/>
          <w:b w:val="0"/>
          <w:sz w:val="15"/>
        </w:rPr>
        <w:t>(BY</w:t>
      </w:r>
      <w:r>
        <w:rPr>
          <w:rFonts w:ascii="TT Norms Pro Light"/>
          <w:b w:val="0"/>
          <w:spacing w:val="-8"/>
          <w:sz w:val="15"/>
        </w:rPr>
        <w:t> </w:t>
      </w:r>
      <w:r>
        <w:rPr>
          <w:rFonts w:ascii="TT Norms Pro Light"/>
          <w:b w:val="0"/>
          <w:sz w:val="15"/>
        </w:rPr>
        <w:t>RESEARCH)</w:t>
      </w:r>
    </w:p>
    <w:p>
      <w:pPr>
        <w:spacing w:line="240" w:lineRule="auto" w:before="217"/>
        <w:rPr>
          <w:rFonts w:ascii="TT Norms Pro Light"/>
          <w:b w:val="0"/>
          <w:sz w:val="42"/>
        </w:rPr>
      </w:pPr>
      <w:r>
        <w:rPr/>
        <w:br w:type="column"/>
      </w:r>
      <w:r>
        <w:rPr>
          <w:rFonts w:ascii="TT Norms Pro Light"/>
          <w:b w:val="0"/>
          <w:sz w:val="42"/>
        </w:rPr>
      </w:r>
    </w:p>
    <w:p>
      <w:pPr>
        <w:pStyle w:val="Heading5"/>
        <w:ind w:right="3283"/>
      </w:pPr>
      <w:r>
        <w:rPr>
          <w:spacing w:val="-2"/>
        </w:rPr>
        <w:t>11,708</w:t>
      </w:r>
    </w:p>
    <w:p>
      <w:pPr>
        <w:spacing w:before="59"/>
        <w:ind w:left="22" w:right="3283" w:firstLine="0"/>
        <w:jc w:val="center"/>
        <w:rPr>
          <w:rFonts w:ascii="TT Norms Pro Light"/>
          <w:b w:val="0"/>
          <w:sz w:val="15"/>
        </w:rPr>
      </w:pPr>
      <w:r>
        <w:rPr/>
        <mc:AlternateContent>
          <mc:Choice Requires="wps">
            <w:drawing>
              <wp:anchor distT="0" distB="0" distL="0" distR="0" allowOverlap="1" layoutInCell="1" locked="0" behindDoc="0" simplePos="0" relativeHeight="15792128">
                <wp:simplePos x="0" y="0"/>
                <wp:positionH relativeFrom="page">
                  <wp:posOffset>5502224</wp:posOffset>
                </wp:positionH>
                <wp:positionV relativeFrom="paragraph">
                  <wp:posOffset>-366306</wp:posOffset>
                </wp:positionV>
                <wp:extent cx="1270" cy="774065"/>
                <wp:effectExtent l="0" t="0" r="0" b="0"/>
                <wp:wrapNone/>
                <wp:docPr id="285" name="Graphic 285"/>
                <wp:cNvGraphicFramePr>
                  <a:graphicFrameLocks/>
                </wp:cNvGraphicFramePr>
                <a:graphic>
                  <a:graphicData uri="http://schemas.microsoft.com/office/word/2010/wordprocessingShape">
                    <wps:wsp>
                      <wps:cNvPr id="285" name="Graphic 285"/>
                      <wps:cNvSpPr/>
                      <wps:spPr>
                        <a:xfrm>
                          <a:off x="0" y="0"/>
                          <a:ext cx="1270" cy="774065"/>
                        </a:xfrm>
                        <a:custGeom>
                          <a:avLst/>
                          <a:gdLst/>
                          <a:ahLst/>
                          <a:cxnLst/>
                          <a:rect l="l" t="t" r="r" b="b"/>
                          <a:pathLst>
                            <a:path w="0" h="774065">
                              <a:moveTo>
                                <a:pt x="0" y="0"/>
                              </a:moveTo>
                              <a:lnTo>
                                <a:pt x="0" y="77376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2128" from="433.246002pt,-28.843pt" to="433.246002pt,32.083pt" stroked="true" strokeweight=".5pt" strokecolor="#000000">
                <v:stroke dashstyle="solid"/>
                <w10:wrap type="none"/>
              </v:line>
            </w:pict>
          </mc:Fallback>
        </mc:AlternateContent>
      </w:r>
      <w:r>
        <w:rPr>
          <w:rFonts w:ascii="TT Norms Pro Light"/>
          <w:b w:val="0"/>
          <w:spacing w:val="-2"/>
          <w:sz w:val="15"/>
        </w:rPr>
        <w:t>UNDERGRADUATES</w:t>
      </w:r>
    </w:p>
    <w:p>
      <w:pPr>
        <w:spacing w:after="0"/>
        <w:jc w:val="center"/>
        <w:rPr>
          <w:rFonts w:ascii="TT Norms Pro Light"/>
          <w:sz w:val="15"/>
        </w:rPr>
        <w:sectPr>
          <w:type w:val="continuous"/>
          <w:pgSz w:w="11910" w:h="16840"/>
          <w:pgMar w:header="468" w:footer="0" w:top="980" w:bottom="280" w:left="940" w:right="0"/>
          <w:cols w:num="4" w:equalWidth="0">
            <w:col w:w="1950" w:space="204"/>
            <w:col w:w="1649" w:space="347"/>
            <w:col w:w="1447" w:space="304"/>
            <w:col w:w="5069"/>
          </w:cols>
        </w:sectPr>
      </w:pPr>
    </w:p>
    <w:p>
      <w:pPr>
        <w:pStyle w:val="BodyText"/>
        <w:spacing w:before="5"/>
        <w:rPr>
          <w:b w:val="0"/>
          <w:sz w:val="19"/>
        </w:rPr>
      </w:pPr>
    </w:p>
    <w:p>
      <w:pPr>
        <w:spacing w:after="0"/>
        <w:rPr>
          <w:sz w:val="19"/>
        </w:rPr>
        <w:sectPr>
          <w:type w:val="continuous"/>
          <w:pgSz w:w="11910" w:h="16840"/>
          <w:pgMar w:header="468" w:footer="0" w:top="980" w:bottom="280" w:left="940" w:right="0"/>
        </w:sectPr>
      </w:pPr>
    </w:p>
    <w:p>
      <w:pPr>
        <w:spacing w:before="115"/>
        <w:ind w:left="180" w:right="0" w:firstLine="0"/>
        <w:jc w:val="left"/>
        <w:rPr>
          <w:rFonts w:ascii="TT Norms Pro Light"/>
          <w:b w:val="0"/>
          <w:sz w:val="12"/>
        </w:rPr>
      </w:pPr>
      <w:r>
        <w:rPr/>
        <mc:AlternateContent>
          <mc:Choice Requires="wps">
            <w:drawing>
              <wp:anchor distT="0" distB="0" distL="0" distR="0" allowOverlap="1" layoutInCell="1" locked="0" behindDoc="0" simplePos="0" relativeHeight="15785472">
                <wp:simplePos x="0" y="0"/>
                <wp:positionH relativeFrom="page">
                  <wp:posOffset>720003</wp:posOffset>
                </wp:positionH>
                <wp:positionV relativeFrom="paragraph">
                  <wp:posOffset>240516</wp:posOffset>
                </wp:positionV>
                <wp:extent cx="4794885" cy="1270"/>
                <wp:effectExtent l="0" t="0" r="0" b="0"/>
                <wp:wrapNone/>
                <wp:docPr id="286" name="Graphic 286"/>
                <wp:cNvGraphicFramePr>
                  <a:graphicFrameLocks/>
                </wp:cNvGraphicFramePr>
                <a:graphic>
                  <a:graphicData uri="http://schemas.microsoft.com/office/word/2010/wordprocessingShape">
                    <wps:wsp>
                      <wps:cNvPr id="286" name="Graphic 286"/>
                      <wps:cNvSpPr/>
                      <wps:spPr>
                        <a:xfrm>
                          <a:off x="0" y="0"/>
                          <a:ext cx="4794885" cy="1270"/>
                        </a:xfrm>
                        <a:custGeom>
                          <a:avLst/>
                          <a:gdLst/>
                          <a:ahLst/>
                          <a:cxnLst/>
                          <a:rect l="l" t="t" r="r" b="b"/>
                          <a:pathLst>
                            <a:path w="4794885" h="0">
                              <a:moveTo>
                                <a:pt x="4794326" y="0"/>
                              </a:moveTo>
                              <a:lnTo>
                                <a:pt x="0"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85472" from="434.199199pt,18.938299pt" to="56.693199pt,18.938299pt" stroked="true" strokeweight=".5pt" strokecolor="#000000">
                <v:stroke dashstyle="solid"/>
                <w10:wrap type="none"/>
              </v:line>
            </w:pict>
          </mc:Fallback>
        </mc:AlternateContent>
      </w:r>
      <w:r>
        <w:rPr/>
        <mc:AlternateContent>
          <mc:Choice Requires="wps">
            <w:drawing>
              <wp:anchor distT="0" distB="0" distL="0" distR="0" allowOverlap="1" layoutInCell="1" locked="0" behindDoc="0" simplePos="0" relativeHeight="15788544">
                <wp:simplePos x="0" y="0"/>
                <wp:positionH relativeFrom="page">
                  <wp:posOffset>1913474</wp:posOffset>
                </wp:positionH>
                <wp:positionV relativeFrom="paragraph">
                  <wp:posOffset>-781349</wp:posOffset>
                </wp:positionV>
                <wp:extent cx="6985" cy="774065"/>
                <wp:effectExtent l="0" t="0" r="0" b="0"/>
                <wp:wrapNone/>
                <wp:docPr id="287" name="Group 287"/>
                <wp:cNvGraphicFramePr>
                  <a:graphicFrameLocks/>
                </wp:cNvGraphicFramePr>
                <a:graphic>
                  <a:graphicData uri="http://schemas.microsoft.com/office/word/2010/wordprocessingGroup">
                    <wpg:wgp>
                      <wpg:cNvPr id="287" name="Group 287"/>
                      <wpg:cNvGrpSpPr/>
                      <wpg:grpSpPr>
                        <a:xfrm>
                          <a:off x="0" y="0"/>
                          <a:ext cx="6985" cy="774065"/>
                          <a:chExt cx="6985" cy="774065"/>
                        </a:xfrm>
                      </wpg:grpSpPr>
                      <wps:wsp>
                        <wps:cNvPr id="288" name="Graphic 288"/>
                        <wps:cNvSpPr/>
                        <wps:spPr>
                          <a:xfrm>
                            <a:off x="3175" y="0"/>
                            <a:ext cx="1270" cy="774065"/>
                          </a:xfrm>
                          <a:custGeom>
                            <a:avLst/>
                            <a:gdLst/>
                            <a:ahLst/>
                            <a:cxnLst/>
                            <a:rect l="l" t="t" r="r" b="b"/>
                            <a:pathLst>
                              <a:path w="0" h="774065">
                                <a:moveTo>
                                  <a:pt x="0" y="0"/>
                                </a:moveTo>
                                <a:lnTo>
                                  <a:pt x="0" y="773760"/>
                                </a:lnTo>
                              </a:path>
                            </a:pathLst>
                          </a:custGeom>
                          <a:ln w="6350">
                            <a:solidFill>
                              <a:srgbClr val="21409A"/>
                            </a:solidFill>
                            <a:prstDash val="solid"/>
                          </a:ln>
                        </wps:spPr>
                        <wps:bodyPr wrap="square" lIns="0" tIns="0" rIns="0" bIns="0" rtlCol="0">
                          <a:prstTxWarp prst="textNoShape">
                            <a:avLst/>
                          </a:prstTxWarp>
                          <a:noAutofit/>
                        </wps:bodyPr>
                      </wps:wsp>
                      <wps:wsp>
                        <wps:cNvPr id="289" name="Graphic 289"/>
                        <wps:cNvSpPr/>
                        <wps:spPr>
                          <a:xfrm>
                            <a:off x="3674" y="346"/>
                            <a:ext cx="1270" cy="773430"/>
                          </a:xfrm>
                          <a:custGeom>
                            <a:avLst/>
                            <a:gdLst/>
                            <a:ahLst/>
                            <a:cxnLst/>
                            <a:rect l="l" t="t" r="r" b="b"/>
                            <a:pathLst>
                              <a:path w="0" h="773430">
                                <a:moveTo>
                                  <a:pt x="0" y="0"/>
                                </a:moveTo>
                                <a:lnTo>
                                  <a:pt x="0" y="773404"/>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50.667297pt;margin-top:-61.523602pt;width:.550pt;height:60.95pt;mso-position-horizontal-relative:page;mso-position-vertical-relative:paragraph;z-index:15788544" id="docshapegroup172" coordorigin="3013,-1230" coordsize="11,1219">
                <v:line style="position:absolute" from="3018,-1230" to="3018,-12" stroked="true" strokeweight=".5pt" strokecolor="#21409a">
                  <v:stroke dashstyle="solid"/>
                </v:line>
                <v:line style="position:absolute" from="3019,-1230" to="3019,-12" stroked="true" strokeweight=".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790592">
                <wp:simplePos x="0" y="0"/>
                <wp:positionH relativeFrom="page">
                  <wp:posOffset>3113549</wp:posOffset>
                </wp:positionH>
                <wp:positionV relativeFrom="paragraph">
                  <wp:posOffset>-781349</wp:posOffset>
                </wp:positionV>
                <wp:extent cx="1270" cy="774065"/>
                <wp:effectExtent l="0" t="0" r="0" b="0"/>
                <wp:wrapNone/>
                <wp:docPr id="290" name="Graphic 290"/>
                <wp:cNvGraphicFramePr>
                  <a:graphicFrameLocks/>
                </wp:cNvGraphicFramePr>
                <a:graphic>
                  <a:graphicData uri="http://schemas.microsoft.com/office/word/2010/wordprocessingShape">
                    <wps:wsp>
                      <wps:cNvPr id="290" name="Graphic 290"/>
                      <wps:cNvSpPr/>
                      <wps:spPr>
                        <a:xfrm>
                          <a:off x="0" y="0"/>
                          <a:ext cx="1270" cy="774065"/>
                        </a:xfrm>
                        <a:custGeom>
                          <a:avLst/>
                          <a:gdLst/>
                          <a:ahLst/>
                          <a:cxnLst/>
                          <a:rect l="l" t="t" r="r" b="b"/>
                          <a:pathLst>
                            <a:path w="0" h="774065">
                              <a:moveTo>
                                <a:pt x="0" y="0"/>
                              </a:moveTo>
                              <a:lnTo>
                                <a:pt x="0" y="77376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0592" from="245.161407pt,-61.523602pt" to="245.161407pt,-.597602pt" stroked="true" strokeweight=".5pt" strokecolor="#000000">
                <v:stroke dashstyle="solid"/>
                <w10:wrap type="none"/>
              </v:line>
            </w:pict>
          </mc:Fallback>
        </mc:AlternateContent>
      </w:r>
      <w:r>
        <w:rPr/>
        <mc:AlternateContent>
          <mc:Choice Requires="wps">
            <w:drawing>
              <wp:anchor distT="0" distB="0" distL="0" distR="0" allowOverlap="1" layoutInCell="1" locked="0" behindDoc="0" simplePos="0" relativeHeight="15791104">
                <wp:simplePos x="0" y="0"/>
                <wp:positionH relativeFrom="page">
                  <wp:posOffset>4309600</wp:posOffset>
                </wp:positionH>
                <wp:positionV relativeFrom="paragraph">
                  <wp:posOffset>-781349</wp:posOffset>
                </wp:positionV>
                <wp:extent cx="6985" cy="774065"/>
                <wp:effectExtent l="0" t="0" r="0" b="0"/>
                <wp:wrapNone/>
                <wp:docPr id="291" name="Group 291"/>
                <wp:cNvGraphicFramePr>
                  <a:graphicFrameLocks/>
                </wp:cNvGraphicFramePr>
                <a:graphic>
                  <a:graphicData uri="http://schemas.microsoft.com/office/word/2010/wordprocessingGroup">
                    <wpg:wgp>
                      <wpg:cNvPr id="291" name="Group 291"/>
                      <wpg:cNvGrpSpPr/>
                      <wpg:grpSpPr>
                        <a:xfrm>
                          <a:off x="0" y="0"/>
                          <a:ext cx="6985" cy="774065"/>
                          <a:chExt cx="6985" cy="774065"/>
                        </a:xfrm>
                      </wpg:grpSpPr>
                      <wps:wsp>
                        <wps:cNvPr id="292" name="Graphic 292"/>
                        <wps:cNvSpPr/>
                        <wps:spPr>
                          <a:xfrm>
                            <a:off x="3175" y="0"/>
                            <a:ext cx="1270" cy="774065"/>
                          </a:xfrm>
                          <a:custGeom>
                            <a:avLst/>
                            <a:gdLst/>
                            <a:ahLst/>
                            <a:cxnLst/>
                            <a:rect l="l" t="t" r="r" b="b"/>
                            <a:pathLst>
                              <a:path w="0" h="774065">
                                <a:moveTo>
                                  <a:pt x="0" y="0"/>
                                </a:moveTo>
                                <a:lnTo>
                                  <a:pt x="0" y="773760"/>
                                </a:lnTo>
                              </a:path>
                            </a:pathLst>
                          </a:custGeom>
                          <a:ln w="6350">
                            <a:solidFill>
                              <a:srgbClr val="21409A"/>
                            </a:solidFill>
                            <a:prstDash val="solid"/>
                          </a:ln>
                        </wps:spPr>
                        <wps:bodyPr wrap="square" lIns="0" tIns="0" rIns="0" bIns="0" rtlCol="0">
                          <a:prstTxWarp prst="textNoShape">
                            <a:avLst/>
                          </a:prstTxWarp>
                          <a:noAutofit/>
                        </wps:bodyPr>
                      </wps:wsp>
                      <wps:wsp>
                        <wps:cNvPr id="293" name="Graphic 293"/>
                        <wps:cNvSpPr/>
                        <wps:spPr>
                          <a:xfrm>
                            <a:off x="3674" y="346"/>
                            <a:ext cx="1270" cy="773430"/>
                          </a:xfrm>
                          <a:custGeom>
                            <a:avLst/>
                            <a:gdLst/>
                            <a:ahLst/>
                            <a:cxnLst/>
                            <a:rect l="l" t="t" r="r" b="b"/>
                            <a:pathLst>
                              <a:path w="0" h="773430">
                                <a:moveTo>
                                  <a:pt x="0" y="0"/>
                                </a:moveTo>
                                <a:lnTo>
                                  <a:pt x="0" y="773404"/>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39.338593pt;margin-top:-61.523602pt;width:.550pt;height:60.95pt;mso-position-horizontal-relative:page;mso-position-vertical-relative:paragraph;z-index:15791104" id="docshapegroup173" coordorigin="6787,-1230" coordsize="11,1219">
                <v:line style="position:absolute" from="6792,-1230" to="6792,-12" stroked="true" strokeweight=".5pt" strokecolor="#21409a">
                  <v:stroke dashstyle="solid"/>
                </v:line>
                <v:line style="position:absolute" from="6793,-1230" to="6793,-12" stroked="true" strokeweight=".5pt" strokecolor="#000000">
                  <v:stroke dashstyle="solid"/>
                </v:line>
                <w10:wrap type="none"/>
              </v:group>
            </w:pict>
          </mc:Fallback>
        </mc:AlternateContent>
      </w:r>
      <w:r>
        <w:rPr>
          <w:rFonts w:ascii="TT Norms Pro Light"/>
          <w:b w:val="0"/>
          <w:sz w:val="12"/>
        </w:rPr>
        <w:t>*HEADCOUNT:</w:t>
      </w:r>
      <w:r>
        <w:rPr>
          <w:rFonts w:ascii="TT Norms Pro Light"/>
          <w:b w:val="0"/>
          <w:spacing w:val="20"/>
          <w:sz w:val="12"/>
        </w:rPr>
        <w:t> </w:t>
      </w:r>
      <w:r>
        <w:rPr>
          <w:rFonts w:ascii="TT Norms Pro Light"/>
          <w:b w:val="0"/>
          <w:spacing w:val="-2"/>
          <w:sz w:val="12"/>
        </w:rPr>
        <w:t>25,386</w:t>
      </w:r>
    </w:p>
    <w:p>
      <w:pPr>
        <w:pStyle w:val="BodyText"/>
        <w:rPr>
          <w:b w:val="0"/>
          <w:sz w:val="12"/>
        </w:rPr>
      </w:pPr>
    </w:p>
    <w:p>
      <w:pPr>
        <w:pStyle w:val="BodyText"/>
        <w:rPr>
          <w:b w:val="0"/>
          <w:sz w:val="12"/>
        </w:rPr>
      </w:pPr>
    </w:p>
    <w:p>
      <w:pPr>
        <w:pStyle w:val="BodyText"/>
        <w:spacing w:before="46"/>
        <w:rPr>
          <w:b w:val="0"/>
          <w:sz w:val="12"/>
        </w:rPr>
      </w:pPr>
    </w:p>
    <w:p>
      <w:pPr>
        <w:pStyle w:val="Heading5"/>
        <w:ind w:left="768"/>
        <w:jc w:val="left"/>
      </w:pPr>
      <w:r>
        <w:rPr/>
        <mc:AlternateContent>
          <mc:Choice Requires="wps">
            <w:drawing>
              <wp:anchor distT="0" distB="0" distL="0" distR="0" allowOverlap="1" layoutInCell="1" locked="0" behindDoc="0" simplePos="0" relativeHeight="15790080">
                <wp:simplePos x="0" y="0"/>
                <wp:positionH relativeFrom="page">
                  <wp:posOffset>720250</wp:posOffset>
                </wp:positionH>
                <wp:positionV relativeFrom="paragraph">
                  <wp:posOffset>-59472</wp:posOffset>
                </wp:positionV>
                <wp:extent cx="1270" cy="773430"/>
                <wp:effectExtent l="0" t="0" r="0" b="0"/>
                <wp:wrapNone/>
                <wp:docPr id="294" name="Graphic 294"/>
                <wp:cNvGraphicFramePr>
                  <a:graphicFrameLocks/>
                </wp:cNvGraphicFramePr>
                <a:graphic>
                  <a:graphicData uri="http://schemas.microsoft.com/office/word/2010/wordprocessingShape">
                    <wps:wsp>
                      <wps:cNvPr id="294" name="Graphic 294"/>
                      <wps:cNvSpPr/>
                      <wps:spPr>
                        <a:xfrm>
                          <a:off x="0" y="0"/>
                          <a:ext cx="1270" cy="773430"/>
                        </a:xfrm>
                        <a:custGeom>
                          <a:avLst/>
                          <a:gdLst/>
                          <a:ahLst/>
                          <a:cxnLst/>
                          <a:rect l="l" t="t" r="r" b="b"/>
                          <a:pathLst>
                            <a:path w="0" h="773430">
                              <a:moveTo>
                                <a:pt x="0" y="0"/>
                              </a:moveTo>
                              <a:lnTo>
                                <a:pt x="0" y="773404"/>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0080" from="56.712601pt,-4.6829pt" to="56.712601pt,56.2151pt" stroked="true" strokeweight=".5pt" strokecolor="#000000">
                <v:stroke dashstyle="solid"/>
                <w10:wrap type="none"/>
              </v:line>
            </w:pict>
          </mc:Fallback>
        </mc:AlternateContent>
      </w:r>
      <w:r>
        <w:rPr>
          <w:spacing w:val="-5"/>
        </w:rPr>
        <w:t>270</w:t>
      </w:r>
    </w:p>
    <w:p>
      <w:pPr>
        <w:spacing w:line="247" w:lineRule="auto" w:before="48"/>
        <w:ind w:left="580" w:right="38" w:firstLine="88"/>
        <w:jc w:val="both"/>
        <w:rPr>
          <w:rFonts w:ascii="TT Norms Pro Light"/>
          <w:b w:val="0"/>
          <w:sz w:val="15"/>
        </w:rPr>
      </w:pPr>
      <w:r>
        <w:rPr>
          <w:rFonts w:ascii="TT Norms Pro Light"/>
          <w:b w:val="0"/>
          <w:spacing w:val="-2"/>
          <w:sz w:val="15"/>
        </w:rPr>
        <w:t>INDIGENOUS</w:t>
      </w:r>
      <w:r>
        <w:rPr>
          <w:rFonts w:ascii="TT Norms Pro Light"/>
          <w:b w:val="0"/>
          <w:spacing w:val="40"/>
          <w:sz w:val="15"/>
        </w:rPr>
        <w:t> </w:t>
      </w:r>
      <w:r>
        <w:rPr>
          <w:rFonts w:ascii="TT Norms Pro Light"/>
          <w:b w:val="0"/>
          <w:spacing w:val="-2"/>
          <w:sz w:val="15"/>
        </w:rPr>
        <w:t>ENROLMENTS</w:t>
      </w:r>
      <w:r>
        <w:rPr>
          <w:rFonts w:ascii="TT Norms Pro Light"/>
          <w:b w:val="0"/>
          <w:spacing w:val="40"/>
          <w:sz w:val="15"/>
        </w:rPr>
        <w:t> </w:t>
      </w:r>
      <w:r>
        <w:rPr>
          <w:rFonts w:ascii="TT Norms Pro Light"/>
          <w:b w:val="0"/>
          <w:sz w:val="15"/>
        </w:rPr>
        <w:t>(ALL</w:t>
      </w:r>
      <w:r>
        <w:rPr>
          <w:rFonts w:ascii="TT Norms Pro Light"/>
          <w:b w:val="0"/>
          <w:spacing w:val="-8"/>
          <w:sz w:val="15"/>
        </w:rPr>
        <w:t> </w:t>
      </w:r>
      <w:r>
        <w:rPr>
          <w:rFonts w:ascii="TT Norms Pro Light"/>
          <w:b w:val="0"/>
          <w:sz w:val="15"/>
        </w:rPr>
        <w:t>COURSES)</w:t>
      </w:r>
    </w:p>
    <w:p>
      <w:pPr>
        <w:spacing w:line="240" w:lineRule="auto" w:before="214"/>
        <w:rPr>
          <w:rFonts w:ascii="TT Norms Pro Light"/>
          <w:b w:val="0"/>
          <w:sz w:val="42"/>
        </w:rPr>
      </w:pPr>
      <w:r>
        <w:rPr/>
        <w:br w:type="column"/>
      </w:r>
      <w:r>
        <w:rPr>
          <w:rFonts w:ascii="TT Norms Pro Light"/>
          <w:b w:val="0"/>
          <w:sz w:val="42"/>
        </w:rPr>
      </w:r>
    </w:p>
    <w:p>
      <w:pPr>
        <w:pStyle w:val="Heading5"/>
        <w:ind w:left="179"/>
      </w:pPr>
      <w:r>
        <w:rPr>
          <w:spacing w:val="-5"/>
        </w:rPr>
        <w:t>110</w:t>
      </w:r>
    </w:p>
    <w:p>
      <w:pPr>
        <w:spacing w:before="65"/>
        <w:ind w:left="179" w:right="39" w:firstLine="0"/>
        <w:jc w:val="center"/>
        <w:rPr>
          <w:rFonts w:ascii="TT Norms Pro Light"/>
          <w:b w:val="0"/>
          <w:sz w:val="15"/>
        </w:rPr>
      </w:pPr>
      <w:r>
        <w:rPr/>
        <mc:AlternateContent>
          <mc:Choice Requires="wps">
            <w:drawing>
              <wp:anchor distT="0" distB="0" distL="0" distR="0" allowOverlap="1" layoutInCell="1" locked="0" behindDoc="0" simplePos="0" relativeHeight="15789056">
                <wp:simplePos x="0" y="0"/>
                <wp:positionH relativeFrom="page">
                  <wp:posOffset>1875374</wp:posOffset>
                </wp:positionH>
                <wp:positionV relativeFrom="paragraph">
                  <wp:posOffset>-360937</wp:posOffset>
                </wp:positionV>
                <wp:extent cx="6985" cy="774065"/>
                <wp:effectExtent l="0" t="0" r="0" b="0"/>
                <wp:wrapNone/>
                <wp:docPr id="295" name="Group 295"/>
                <wp:cNvGraphicFramePr>
                  <a:graphicFrameLocks/>
                </wp:cNvGraphicFramePr>
                <a:graphic>
                  <a:graphicData uri="http://schemas.microsoft.com/office/word/2010/wordprocessingGroup">
                    <wpg:wgp>
                      <wpg:cNvPr id="295" name="Group 295"/>
                      <wpg:cNvGrpSpPr/>
                      <wpg:grpSpPr>
                        <a:xfrm>
                          <a:off x="0" y="0"/>
                          <a:ext cx="6985" cy="774065"/>
                          <a:chExt cx="6985" cy="774065"/>
                        </a:xfrm>
                      </wpg:grpSpPr>
                      <wps:wsp>
                        <wps:cNvPr id="296" name="Graphic 296"/>
                        <wps:cNvSpPr/>
                        <wps:spPr>
                          <a:xfrm>
                            <a:off x="3175" y="0"/>
                            <a:ext cx="1270" cy="774065"/>
                          </a:xfrm>
                          <a:custGeom>
                            <a:avLst/>
                            <a:gdLst/>
                            <a:ahLst/>
                            <a:cxnLst/>
                            <a:rect l="l" t="t" r="r" b="b"/>
                            <a:pathLst>
                              <a:path w="0" h="774065">
                                <a:moveTo>
                                  <a:pt x="0" y="0"/>
                                </a:moveTo>
                                <a:lnTo>
                                  <a:pt x="0" y="773760"/>
                                </a:lnTo>
                              </a:path>
                            </a:pathLst>
                          </a:custGeom>
                          <a:ln w="6350">
                            <a:solidFill>
                              <a:srgbClr val="21409A"/>
                            </a:solidFill>
                            <a:prstDash val="solid"/>
                          </a:ln>
                        </wps:spPr>
                        <wps:bodyPr wrap="square" lIns="0" tIns="0" rIns="0" bIns="0" rtlCol="0">
                          <a:prstTxWarp prst="textNoShape">
                            <a:avLst/>
                          </a:prstTxWarp>
                          <a:noAutofit/>
                        </wps:bodyPr>
                      </wps:wsp>
                      <wps:wsp>
                        <wps:cNvPr id="297" name="Graphic 297"/>
                        <wps:cNvSpPr/>
                        <wps:spPr>
                          <a:xfrm>
                            <a:off x="3675" y="347"/>
                            <a:ext cx="1270" cy="773430"/>
                          </a:xfrm>
                          <a:custGeom>
                            <a:avLst/>
                            <a:gdLst/>
                            <a:ahLst/>
                            <a:cxnLst/>
                            <a:rect l="l" t="t" r="r" b="b"/>
                            <a:pathLst>
                              <a:path w="0" h="773430">
                                <a:moveTo>
                                  <a:pt x="0" y="0"/>
                                </a:moveTo>
                                <a:lnTo>
                                  <a:pt x="0" y="773404"/>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7.667297pt;margin-top:-28.4203pt;width:.550pt;height:60.95pt;mso-position-horizontal-relative:page;mso-position-vertical-relative:paragraph;z-index:15789056" id="docshapegroup174" coordorigin="2953,-568" coordsize="11,1219">
                <v:line style="position:absolute" from="2958,-568" to="2958,650" stroked="true" strokeweight=".5pt" strokecolor="#21409a">
                  <v:stroke dashstyle="solid"/>
                </v:line>
                <v:line style="position:absolute" from="2959,-568" to="2959,650" stroked="true" strokeweight=".5pt" strokecolor="#000000">
                  <v:stroke dashstyle="solid"/>
                </v:line>
                <w10:wrap type="none"/>
              </v:group>
            </w:pict>
          </mc:Fallback>
        </mc:AlternateContent>
      </w:r>
      <w:r>
        <w:rPr>
          <w:rFonts w:ascii="TT Norms Pro Light"/>
          <w:b w:val="0"/>
          <w:sz w:val="15"/>
        </w:rPr>
        <w:t>INDIGENOUS</w:t>
      </w:r>
      <w:r>
        <w:rPr>
          <w:rFonts w:ascii="TT Norms Pro Light"/>
          <w:b w:val="0"/>
          <w:spacing w:val="9"/>
          <w:sz w:val="15"/>
        </w:rPr>
        <w:t> </w:t>
      </w:r>
      <w:r>
        <w:rPr>
          <w:rFonts w:ascii="TT Norms Pro Light"/>
          <w:b w:val="0"/>
          <w:sz w:val="15"/>
        </w:rPr>
        <w:t>STEM</w:t>
      </w:r>
      <w:r>
        <w:rPr>
          <w:rFonts w:ascii="TT Norms Pro Light"/>
          <w:b w:val="0"/>
          <w:spacing w:val="12"/>
          <w:sz w:val="15"/>
        </w:rPr>
        <w:t> </w:t>
      </w:r>
      <w:r>
        <w:rPr>
          <w:rFonts w:ascii="TT Norms Pro Light"/>
          <w:b w:val="0"/>
          <w:spacing w:val="-2"/>
          <w:sz w:val="15"/>
        </w:rPr>
        <w:t>ENROLMENTS</w:t>
      </w:r>
    </w:p>
    <w:p>
      <w:pPr>
        <w:spacing w:line="247" w:lineRule="auto" w:before="96"/>
        <w:ind w:left="180" w:right="38" w:hanging="1"/>
        <w:jc w:val="center"/>
        <w:rPr>
          <w:rFonts w:ascii="TT Norms Pro Light"/>
          <w:b w:val="0"/>
          <w:sz w:val="12"/>
        </w:rPr>
      </w:pPr>
      <w:r>
        <w:rPr>
          <w:rFonts w:ascii="TT Norms Pro Light"/>
          <w:b w:val="0"/>
          <w:sz w:val="12"/>
        </w:rPr>
        <w:t>(48% OF ALL INDIGENOUS POSTGRADUATE</w:t>
      </w:r>
      <w:r>
        <w:rPr>
          <w:rFonts w:ascii="TT Norms Pro Light"/>
          <w:b w:val="0"/>
          <w:spacing w:val="40"/>
          <w:sz w:val="12"/>
        </w:rPr>
        <w:t> </w:t>
      </w:r>
      <w:r>
        <w:rPr>
          <w:rFonts w:ascii="TT Norms Pro Light"/>
          <w:b w:val="0"/>
          <w:sz w:val="12"/>
        </w:rPr>
        <w:t>AND</w:t>
      </w:r>
      <w:r>
        <w:rPr>
          <w:rFonts w:ascii="TT Norms Pro Light"/>
          <w:b w:val="0"/>
          <w:spacing w:val="11"/>
          <w:sz w:val="12"/>
        </w:rPr>
        <w:t> </w:t>
      </w:r>
      <w:r>
        <w:rPr>
          <w:rFonts w:ascii="TT Norms Pro Light"/>
          <w:b w:val="0"/>
          <w:sz w:val="12"/>
        </w:rPr>
        <w:t>UNDERGRADUATE</w:t>
      </w:r>
      <w:r>
        <w:rPr>
          <w:rFonts w:ascii="TT Norms Pro Light"/>
          <w:b w:val="0"/>
          <w:spacing w:val="11"/>
          <w:sz w:val="12"/>
        </w:rPr>
        <w:t> </w:t>
      </w:r>
      <w:r>
        <w:rPr>
          <w:rFonts w:ascii="TT Norms Pro Light"/>
          <w:b w:val="0"/>
          <w:sz w:val="12"/>
        </w:rPr>
        <w:t>ENROLMENTS</w:t>
      </w:r>
      <w:r>
        <w:rPr>
          <w:rFonts w:ascii="TT Norms Pro Light"/>
          <w:b w:val="0"/>
          <w:spacing w:val="11"/>
          <w:sz w:val="12"/>
        </w:rPr>
        <w:t> </w:t>
      </w:r>
      <w:r>
        <w:rPr>
          <w:rFonts w:ascii="TT Norms Pro Light"/>
          <w:b w:val="0"/>
          <w:sz w:val="12"/>
        </w:rPr>
        <w:t>-</w:t>
      </w:r>
      <w:r>
        <w:rPr>
          <w:rFonts w:ascii="TT Norms Pro Light"/>
          <w:b w:val="0"/>
          <w:spacing w:val="10"/>
          <w:sz w:val="12"/>
        </w:rPr>
        <w:t> </w:t>
      </w:r>
      <w:r>
        <w:rPr>
          <w:rFonts w:ascii="TT Norms Pro Light"/>
          <w:b w:val="0"/>
          <w:spacing w:val="-4"/>
          <w:sz w:val="12"/>
        </w:rPr>
        <w:t>228)</w:t>
      </w:r>
    </w:p>
    <w:p>
      <w:pPr>
        <w:spacing w:line="240" w:lineRule="auto" w:before="231"/>
        <w:rPr>
          <w:rFonts w:ascii="TT Norms Pro Light"/>
          <w:b w:val="0"/>
          <w:sz w:val="42"/>
        </w:rPr>
      </w:pPr>
      <w:r>
        <w:rPr/>
        <w:br w:type="column"/>
      </w:r>
      <w:r>
        <w:rPr>
          <w:rFonts w:ascii="TT Norms Pro Light"/>
          <w:b w:val="0"/>
          <w:sz w:val="42"/>
        </w:rPr>
      </w:r>
    </w:p>
    <w:p>
      <w:pPr>
        <w:pStyle w:val="Heading5"/>
        <w:ind w:left="270" w:right="3520"/>
      </w:pPr>
      <w:r>
        <w:rPr>
          <w:spacing w:val="-2"/>
        </w:rPr>
        <w:t>3,924</w:t>
      </w:r>
    </w:p>
    <w:p>
      <w:pPr>
        <w:spacing w:line="247" w:lineRule="auto" w:before="48"/>
        <w:ind w:left="270" w:right="3520" w:firstLine="0"/>
        <w:jc w:val="center"/>
        <w:rPr>
          <w:rFonts w:ascii="TT Norms Pro Light"/>
          <w:b w:val="0"/>
          <w:sz w:val="15"/>
        </w:rPr>
      </w:pPr>
      <w:r>
        <w:rPr/>
        <mc:AlternateContent>
          <mc:Choice Requires="wps">
            <w:drawing>
              <wp:anchor distT="0" distB="0" distL="0" distR="0" allowOverlap="1" layoutInCell="1" locked="0" behindDoc="0" simplePos="0" relativeHeight="15791616">
                <wp:simplePos x="0" y="0"/>
                <wp:positionH relativeFrom="page">
                  <wp:posOffset>5495874</wp:posOffset>
                </wp:positionH>
                <wp:positionV relativeFrom="paragraph">
                  <wp:posOffset>-371384</wp:posOffset>
                </wp:positionV>
                <wp:extent cx="1270" cy="773430"/>
                <wp:effectExtent l="0" t="0" r="0" b="0"/>
                <wp:wrapNone/>
                <wp:docPr id="298" name="Graphic 298"/>
                <wp:cNvGraphicFramePr>
                  <a:graphicFrameLocks/>
                </wp:cNvGraphicFramePr>
                <a:graphic>
                  <a:graphicData uri="http://schemas.microsoft.com/office/word/2010/wordprocessingShape">
                    <wps:wsp>
                      <wps:cNvPr id="298" name="Graphic 298"/>
                      <wps:cNvSpPr/>
                      <wps:spPr>
                        <a:xfrm>
                          <a:off x="0" y="0"/>
                          <a:ext cx="1270" cy="773430"/>
                        </a:xfrm>
                        <a:custGeom>
                          <a:avLst/>
                          <a:gdLst/>
                          <a:ahLst/>
                          <a:cxnLst/>
                          <a:rect l="l" t="t" r="r" b="b"/>
                          <a:pathLst>
                            <a:path w="0" h="773430">
                              <a:moveTo>
                                <a:pt x="0" y="0"/>
                              </a:moveTo>
                              <a:lnTo>
                                <a:pt x="0" y="773404"/>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1616" from="432.746002pt,-29.242901pt" to="432.746002pt,31.655099pt" stroked="true" strokeweight=".5pt" strokecolor="#000000">
                <v:stroke dashstyle="solid"/>
                <w10:wrap type="none"/>
              </v:line>
            </w:pict>
          </mc:Fallback>
        </mc:AlternateContent>
      </w:r>
      <w:r>
        <w:rPr/>
        <mc:AlternateContent>
          <mc:Choice Requires="wps">
            <w:drawing>
              <wp:anchor distT="0" distB="0" distL="0" distR="0" allowOverlap="1" layoutInCell="1" locked="0" behindDoc="0" simplePos="0" relativeHeight="15796224">
                <wp:simplePos x="0" y="0"/>
                <wp:positionH relativeFrom="page">
                  <wp:posOffset>3823324</wp:posOffset>
                </wp:positionH>
                <wp:positionV relativeFrom="paragraph">
                  <wp:posOffset>-371732</wp:posOffset>
                </wp:positionV>
                <wp:extent cx="1270" cy="774065"/>
                <wp:effectExtent l="0" t="0" r="0" b="0"/>
                <wp:wrapNone/>
                <wp:docPr id="299" name="Graphic 299"/>
                <wp:cNvGraphicFramePr>
                  <a:graphicFrameLocks/>
                </wp:cNvGraphicFramePr>
                <a:graphic>
                  <a:graphicData uri="http://schemas.microsoft.com/office/word/2010/wordprocessingShape">
                    <wps:wsp>
                      <wps:cNvPr id="299" name="Graphic 299"/>
                      <wps:cNvSpPr/>
                      <wps:spPr>
                        <a:xfrm>
                          <a:off x="0" y="0"/>
                          <a:ext cx="1270" cy="774065"/>
                        </a:xfrm>
                        <a:custGeom>
                          <a:avLst/>
                          <a:gdLst/>
                          <a:ahLst/>
                          <a:cxnLst/>
                          <a:rect l="l" t="t" r="r" b="b"/>
                          <a:pathLst>
                            <a:path w="0" h="774065">
                              <a:moveTo>
                                <a:pt x="0" y="0"/>
                              </a:moveTo>
                              <a:lnTo>
                                <a:pt x="0" y="77376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6224" from="301.049194pt,-29.2703pt" to="301.049194pt,31.6557pt" stroked="true" strokeweight=".5pt" strokecolor="#000000">
                <v:stroke dashstyle="solid"/>
                <w10:wrap type="none"/>
              </v:line>
            </w:pict>
          </mc:Fallback>
        </mc:AlternateContent>
      </w:r>
      <w:r>
        <w:rPr>
          <w:rFonts w:ascii="TT Norms Pro Light"/>
          <w:b w:val="0"/>
          <w:sz w:val="15"/>
        </w:rPr>
        <w:t>STUDENTS ENROLLED IN</w:t>
      </w:r>
      <w:r>
        <w:rPr>
          <w:rFonts w:ascii="TT Norms Pro Light"/>
          <w:b w:val="0"/>
          <w:spacing w:val="40"/>
          <w:sz w:val="15"/>
        </w:rPr>
        <w:t> </w:t>
      </w:r>
      <w:r>
        <w:rPr>
          <w:rFonts w:ascii="TT Norms Pro Light"/>
          <w:b w:val="0"/>
          <w:sz w:val="15"/>
        </w:rPr>
        <w:t>THE INDIGENOUS STUDIES</w:t>
      </w:r>
    </w:p>
    <w:p>
      <w:pPr>
        <w:spacing w:line="174" w:lineRule="exact" w:before="0"/>
        <w:ind w:left="0" w:right="3250" w:firstLine="0"/>
        <w:jc w:val="center"/>
        <w:rPr>
          <w:rFonts w:ascii="TT Norms Pro Light"/>
          <w:b w:val="0"/>
          <w:sz w:val="15"/>
        </w:rPr>
      </w:pPr>
      <w:r>
        <w:rPr>
          <w:rFonts w:ascii="TT Norms Pro Light"/>
          <w:b w:val="0"/>
          <w:sz w:val="15"/>
        </w:rPr>
        <w:t>ESSENTIALS</w:t>
      </w:r>
      <w:r>
        <w:rPr>
          <w:rFonts w:ascii="TT Norms Pro Light"/>
          <w:b w:val="0"/>
          <w:spacing w:val="15"/>
          <w:sz w:val="15"/>
        </w:rPr>
        <w:t> </w:t>
      </w:r>
      <w:r>
        <w:rPr>
          <w:rFonts w:ascii="TT Norms Pro Light"/>
          <w:b w:val="0"/>
          <w:sz w:val="15"/>
        </w:rPr>
        <w:t>ONLINE</w:t>
      </w:r>
      <w:r>
        <w:rPr>
          <w:rFonts w:ascii="TT Norms Pro Light"/>
          <w:b w:val="0"/>
          <w:spacing w:val="16"/>
          <w:sz w:val="15"/>
        </w:rPr>
        <w:t> </w:t>
      </w:r>
      <w:r>
        <w:rPr>
          <w:rFonts w:ascii="TT Norms Pro Light"/>
          <w:b w:val="0"/>
          <w:spacing w:val="-2"/>
          <w:sz w:val="15"/>
        </w:rPr>
        <w:t>MODULE</w:t>
      </w:r>
    </w:p>
    <w:p>
      <w:pPr>
        <w:spacing w:after="0" w:line="174" w:lineRule="exact"/>
        <w:jc w:val="center"/>
        <w:rPr>
          <w:rFonts w:ascii="TT Norms Pro Light"/>
          <w:sz w:val="15"/>
        </w:rPr>
        <w:sectPr>
          <w:type w:val="continuous"/>
          <w:pgSz w:w="11910" w:h="16840"/>
          <w:pgMar w:header="468" w:footer="0" w:top="980" w:bottom="280" w:left="940" w:right="0"/>
          <w:cols w:num="3" w:equalWidth="0">
            <w:col w:w="1747" w:space="296"/>
            <w:col w:w="2834" w:space="263"/>
            <w:col w:w="5830"/>
          </w:cols>
        </w:sectPr>
      </w:pPr>
    </w:p>
    <w:p>
      <w:pPr>
        <w:pStyle w:val="BodyText"/>
        <w:spacing w:before="88"/>
        <w:rPr>
          <w:b w:val="0"/>
          <w:sz w:val="20"/>
        </w:rPr>
      </w:pPr>
    </w:p>
    <w:p>
      <w:pPr>
        <w:spacing w:after="0"/>
        <w:rPr>
          <w:sz w:val="20"/>
        </w:rPr>
        <w:sectPr>
          <w:type w:val="continuous"/>
          <w:pgSz w:w="11910" w:h="16840"/>
          <w:pgMar w:header="468" w:footer="0" w:top="980" w:bottom="280" w:left="940" w:right="0"/>
        </w:sectPr>
      </w:pPr>
    </w:p>
    <w:p>
      <w:pPr>
        <w:spacing w:before="131"/>
        <w:ind w:left="208" w:right="0" w:firstLine="0"/>
        <w:jc w:val="left"/>
        <w:rPr>
          <w:rFonts w:ascii="TT Norms Pro"/>
          <w:b/>
          <w:sz w:val="22"/>
        </w:rPr>
      </w:pPr>
      <w:r>
        <w:rPr>
          <w:rFonts w:ascii="TT Norms Pro"/>
          <w:b/>
          <w:spacing w:val="-4"/>
          <w:sz w:val="22"/>
        </w:rPr>
        <w:t>STAFF</w:t>
      </w:r>
    </w:p>
    <w:p>
      <w:pPr>
        <w:pStyle w:val="BodyText"/>
        <w:spacing w:before="89"/>
        <w:rPr>
          <w:rFonts w:ascii="TT Norms Pro"/>
          <w:b/>
          <w:sz w:val="22"/>
        </w:rPr>
      </w:pPr>
    </w:p>
    <w:p>
      <w:pPr>
        <w:pStyle w:val="Heading5"/>
        <w:ind w:left="357"/>
      </w:pPr>
      <w:r>
        <w:rPr/>
        <mc:AlternateContent>
          <mc:Choice Requires="wps">
            <w:drawing>
              <wp:anchor distT="0" distB="0" distL="0" distR="0" allowOverlap="1" layoutInCell="1" locked="0" behindDoc="0" simplePos="0" relativeHeight="15793152">
                <wp:simplePos x="0" y="0"/>
                <wp:positionH relativeFrom="page">
                  <wp:posOffset>723863</wp:posOffset>
                </wp:positionH>
                <wp:positionV relativeFrom="paragraph">
                  <wp:posOffset>-59575</wp:posOffset>
                </wp:positionV>
                <wp:extent cx="1270" cy="773430"/>
                <wp:effectExtent l="0" t="0" r="0" b="0"/>
                <wp:wrapNone/>
                <wp:docPr id="300" name="Graphic 300"/>
                <wp:cNvGraphicFramePr>
                  <a:graphicFrameLocks/>
                </wp:cNvGraphicFramePr>
                <a:graphic>
                  <a:graphicData uri="http://schemas.microsoft.com/office/word/2010/wordprocessingShape">
                    <wps:wsp>
                      <wps:cNvPr id="300" name="Graphic 300"/>
                      <wps:cNvSpPr/>
                      <wps:spPr>
                        <a:xfrm>
                          <a:off x="0" y="0"/>
                          <a:ext cx="1270" cy="773430"/>
                        </a:xfrm>
                        <a:custGeom>
                          <a:avLst/>
                          <a:gdLst/>
                          <a:ahLst/>
                          <a:cxnLst/>
                          <a:rect l="l" t="t" r="r" b="b"/>
                          <a:pathLst>
                            <a:path w="0" h="773430">
                              <a:moveTo>
                                <a:pt x="0" y="0"/>
                              </a:moveTo>
                              <a:lnTo>
                                <a:pt x="0" y="773404"/>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3152" from="56.997101pt,-4.691pt" to="56.997101pt,56.207pt" stroked="true" strokeweight=".5pt" strokecolor="#000000">
                <v:stroke dashstyle="solid"/>
                <w10:wrap type="none"/>
              </v:line>
            </w:pict>
          </mc:Fallback>
        </mc:AlternateContent>
      </w:r>
      <w:r>
        <w:rPr>
          <w:spacing w:val="-2"/>
        </w:rPr>
        <w:t>3,390.8</w:t>
      </w:r>
    </w:p>
    <w:p>
      <w:pPr>
        <w:spacing w:line="247" w:lineRule="auto" w:before="48"/>
        <w:ind w:left="446" w:right="40" w:hanging="30"/>
        <w:jc w:val="center"/>
        <w:rPr>
          <w:rFonts w:ascii="TT Norms Pro Light"/>
          <w:b w:val="0"/>
          <w:sz w:val="15"/>
        </w:rPr>
      </w:pPr>
      <w:r>
        <w:rPr>
          <w:rFonts w:ascii="TT Norms Pro Light"/>
          <w:b w:val="0"/>
          <w:spacing w:val="-2"/>
          <w:sz w:val="15"/>
        </w:rPr>
        <w:t>FULL-TIME</w:t>
      </w:r>
      <w:r>
        <w:rPr>
          <w:rFonts w:ascii="TT Norms Pro Light"/>
          <w:b w:val="0"/>
          <w:spacing w:val="40"/>
          <w:sz w:val="15"/>
        </w:rPr>
        <w:t> </w:t>
      </w:r>
      <w:r>
        <w:rPr>
          <w:rFonts w:ascii="TT Norms Pro Light"/>
          <w:b w:val="0"/>
          <w:sz w:val="15"/>
        </w:rPr>
        <w:t>EQUIVALENT</w:t>
      </w:r>
      <w:r>
        <w:rPr>
          <w:rFonts w:ascii="TT Norms Pro Light"/>
          <w:b w:val="0"/>
          <w:spacing w:val="-8"/>
          <w:sz w:val="15"/>
        </w:rPr>
        <w:t> </w:t>
      </w:r>
      <w:r>
        <w:rPr>
          <w:rFonts w:ascii="TT Norms Pro Light"/>
          <w:b w:val="0"/>
          <w:sz w:val="15"/>
        </w:rPr>
        <w:t>STAFF</w:t>
      </w:r>
    </w:p>
    <w:p>
      <w:pPr>
        <w:spacing w:line="240" w:lineRule="auto" w:before="243"/>
        <w:rPr>
          <w:rFonts w:ascii="TT Norms Pro Light"/>
          <w:b w:val="0"/>
          <w:sz w:val="42"/>
        </w:rPr>
      </w:pPr>
      <w:r>
        <w:rPr/>
        <w:br w:type="column"/>
      </w:r>
      <w:r>
        <w:rPr>
          <w:rFonts w:ascii="TT Norms Pro Light"/>
          <w:b w:val="0"/>
          <w:sz w:val="42"/>
        </w:rPr>
      </w:r>
    </w:p>
    <w:p>
      <w:pPr>
        <w:pStyle w:val="Heading5"/>
        <w:ind w:left="201" w:right="33"/>
      </w:pPr>
      <w:r>
        <w:rPr>
          <w:spacing w:val="-4"/>
        </w:rPr>
        <w:t>1,393</w:t>
      </w:r>
    </w:p>
    <w:p>
      <w:pPr>
        <w:spacing w:line="247" w:lineRule="auto" w:before="48"/>
        <w:ind w:left="201" w:right="0" w:firstLine="0"/>
        <w:jc w:val="center"/>
        <w:rPr>
          <w:rFonts w:ascii="TT Norms Pro Light"/>
          <w:b w:val="0"/>
          <w:sz w:val="15"/>
        </w:rPr>
      </w:pPr>
      <w:r>
        <w:rPr>
          <w:rFonts w:ascii="TT Norms Pro Light"/>
          <w:b w:val="0"/>
          <w:spacing w:val="-2"/>
          <w:sz w:val="15"/>
        </w:rPr>
        <w:t>ACADEMIC</w:t>
      </w:r>
      <w:r>
        <w:rPr>
          <w:rFonts w:ascii="TT Norms Pro Light"/>
          <w:b w:val="0"/>
          <w:spacing w:val="40"/>
          <w:sz w:val="15"/>
        </w:rPr>
        <w:t> </w:t>
      </w:r>
      <w:r>
        <w:rPr>
          <w:rFonts w:ascii="TT Norms Pro Light"/>
          <w:b w:val="0"/>
          <w:spacing w:val="-4"/>
          <w:sz w:val="15"/>
        </w:rPr>
        <w:t>STAFF</w:t>
      </w:r>
    </w:p>
    <w:p>
      <w:pPr>
        <w:spacing w:line="240" w:lineRule="auto" w:before="243"/>
        <w:rPr>
          <w:rFonts w:ascii="TT Norms Pro Light"/>
          <w:b w:val="0"/>
          <w:sz w:val="42"/>
        </w:rPr>
      </w:pPr>
      <w:r>
        <w:rPr/>
        <w:br w:type="column"/>
      </w:r>
      <w:r>
        <w:rPr>
          <w:rFonts w:ascii="TT Norms Pro Light"/>
          <w:b w:val="0"/>
          <w:sz w:val="42"/>
        </w:rPr>
      </w:r>
    </w:p>
    <w:p>
      <w:pPr>
        <w:pStyle w:val="Heading5"/>
        <w:ind w:left="43" w:right="5316"/>
      </w:pPr>
      <w:r>
        <w:rPr>
          <w:spacing w:val="-2"/>
        </w:rPr>
        <w:t>1,996</w:t>
      </w:r>
    </w:p>
    <w:p>
      <w:pPr>
        <w:spacing w:line="247" w:lineRule="auto" w:before="48"/>
        <w:ind w:left="43" w:right="5291" w:firstLine="0"/>
        <w:jc w:val="center"/>
        <w:rPr>
          <w:rFonts w:ascii="TT Norms Pro Light"/>
          <w:b w:val="0"/>
          <w:sz w:val="15"/>
        </w:rPr>
      </w:pPr>
      <w:r>
        <w:rPr/>
        <mc:AlternateContent>
          <mc:Choice Requires="wps">
            <w:drawing>
              <wp:anchor distT="0" distB="0" distL="0" distR="0" allowOverlap="1" layoutInCell="1" locked="0" behindDoc="0" simplePos="0" relativeHeight="15794176">
                <wp:simplePos x="0" y="0"/>
                <wp:positionH relativeFrom="page">
                  <wp:posOffset>4313211</wp:posOffset>
                </wp:positionH>
                <wp:positionV relativeFrom="paragraph">
                  <wp:posOffset>-371708</wp:posOffset>
                </wp:positionV>
                <wp:extent cx="6985" cy="774065"/>
                <wp:effectExtent l="0" t="0" r="0" b="0"/>
                <wp:wrapNone/>
                <wp:docPr id="301" name="Group 301"/>
                <wp:cNvGraphicFramePr>
                  <a:graphicFrameLocks/>
                </wp:cNvGraphicFramePr>
                <a:graphic>
                  <a:graphicData uri="http://schemas.microsoft.com/office/word/2010/wordprocessingGroup">
                    <wpg:wgp>
                      <wpg:cNvPr id="301" name="Group 301"/>
                      <wpg:cNvGrpSpPr/>
                      <wpg:grpSpPr>
                        <a:xfrm>
                          <a:off x="0" y="0"/>
                          <a:ext cx="6985" cy="774065"/>
                          <a:chExt cx="6985" cy="774065"/>
                        </a:xfrm>
                      </wpg:grpSpPr>
                      <wps:wsp>
                        <wps:cNvPr id="302" name="Graphic 302"/>
                        <wps:cNvSpPr/>
                        <wps:spPr>
                          <a:xfrm>
                            <a:off x="3175" y="0"/>
                            <a:ext cx="1270" cy="774065"/>
                          </a:xfrm>
                          <a:custGeom>
                            <a:avLst/>
                            <a:gdLst/>
                            <a:ahLst/>
                            <a:cxnLst/>
                            <a:rect l="l" t="t" r="r" b="b"/>
                            <a:pathLst>
                              <a:path w="0" h="774065">
                                <a:moveTo>
                                  <a:pt x="0" y="0"/>
                                </a:moveTo>
                                <a:lnTo>
                                  <a:pt x="0" y="773760"/>
                                </a:lnTo>
                              </a:path>
                            </a:pathLst>
                          </a:custGeom>
                          <a:ln w="6350">
                            <a:solidFill>
                              <a:srgbClr val="21409A"/>
                            </a:solidFill>
                            <a:prstDash val="solid"/>
                          </a:ln>
                        </wps:spPr>
                        <wps:bodyPr wrap="square" lIns="0" tIns="0" rIns="0" bIns="0" rtlCol="0">
                          <a:prstTxWarp prst="textNoShape">
                            <a:avLst/>
                          </a:prstTxWarp>
                          <a:noAutofit/>
                        </wps:bodyPr>
                      </wps:wsp>
                      <wps:wsp>
                        <wps:cNvPr id="303" name="Graphic 303"/>
                        <wps:cNvSpPr/>
                        <wps:spPr>
                          <a:xfrm>
                            <a:off x="3675" y="347"/>
                            <a:ext cx="1270" cy="773430"/>
                          </a:xfrm>
                          <a:custGeom>
                            <a:avLst/>
                            <a:gdLst/>
                            <a:ahLst/>
                            <a:cxnLst/>
                            <a:rect l="l" t="t" r="r" b="b"/>
                            <a:pathLst>
                              <a:path w="0" h="773430">
                                <a:moveTo>
                                  <a:pt x="0" y="0"/>
                                </a:moveTo>
                                <a:lnTo>
                                  <a:pt x="0" y="773404"/>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39.622986pt;margin-top:-29.2684pt;width:.550pt;height:60.95pt;mso-position-horizontal-relative:page;mso-position-vertical-relative:paragraph;z-index:15794176" id="docshapegroup175" coordorigin="6792,-585" coordsize="11,1219">
                <v:line style="position:absolute" from="6797,-585" to="6797,633" stroked="true" strokeweight=".5pt" strokecolor="#21409a">
                  <v:stroke dashstyle="solid"/>
                </v:line>
                <v:line style="position:absolute" from="6798,-585" to="6798,633" stroked="true" strokeweight=".5pt" strokecolor="#000000">
                  <v:stroke dashstyle="solid"/>
                </v:line>
                <w10:wrap type="none"/>
              </v:group>
            </w:pict>
          </mc:Fallback>
        </mc:AlternateContent>
      </w:r>
      <w:r>
        <w:rPr>
          <w:rFonts w:ascii="TT Norms Pro Light"/>
          <w:b w:val="0"/>
          <w:spacing w:val="-2"/>
          <w:sz w:val="15"/>
        </w:rPr>
        <w:t>PROFESSIONAL</w:t>
      </w:r>
      <w:r>
        <w:rPr>
          <w:rFonts w:ascii="TT Norms Pro Light"/>
          <w:b w:val="0"/>
          <w:spacing w:val="40"/>
          <w:sz w:val="15"/>
        </w:rPr>
        <w:t> </w:t>
      </w:r>
      <w:r>
        <w:rPr>
          <w:rFonts w:ascii="TT Norms Pro Light"/>
          <w:b w:val="0"/>
          <w:spacing w:val="-4"/>
          <w:sz w:val="15"/>
        </w:rPr>
        <w:t>STAFF</w:t>
      </w:r>
    </w:p>
    <w:p>
      <w:pPr>
        <w:spacing w:after="0" w:line="247" w:lineRule="auto"/>
        <w:jc w:val="center"/>
        <w:rPr>
          <w:rFonts w:ascii="TT Norms Pro Light"/>
          <w:sz w:val="15"/>
        </w:rPr>
        <w:sectPr>
          <w:type w:val="continuous"/>
          <w:pgSz w:w="11910" w:h="16840"/>
          <w:pgMar w:header="468" w:footer="0" w:top="980" w:bottom="280" w:left="940" w:right="0"/>
          <w:cols w:num="3" w:equalWidth="0">
            <w:col w:w="1925" w:space="383"/>
            <w:col w:w="1258" w:space="567"/>
            <w:col w:w="6837"/>
          </w:cols>
        </w:sectPr>
      </w:pPr>
    </w:p>
    <w:p>
      <w:pPr>
        <w:pStyle w:val="BodyText"/>
        <w:spacing w:before="54"/>
        <w:rPr>
          <w:b w:val="0"/>
          <w:sz w:val="20"/>
        </w:rPr>
      </w:pPr>
    </w:p>
    <w:p>
      <w:pPr>
        <w:spacing w:after="0"/>
        <w:rPr>
          <w:sz w:val="20"/>
        </w:rPr>
        <w:sectPr>
          <w:type w:val="continuous"/>
          <w:pgSz w:w="11910" w:h="16840"/>
          <w:pgMar w:header="468" w:footer="0" w:top="980" w:bottom="280" w:left="940" w:right="0"/>
        </w:sectPr>
      </w:pPr>
    </w:p>
    <w:p>
      <w:pPr>
        <w:spacing w:before="114"/>
        <w:ind w:left="172" w:right="5" w:firstLine="0"/>
        <w:jc w:val="center"/>
        <w:rPr>
          <w:rFonts w:ascii="TT Norms Pro Light"/>
          <w:b w:val="0"/>
          <w:sz w:val="12"/>
        </w:rPr>
      </w:pPr>
      <w:r>
        <w:rPr/>
        <mc:AlternateContent>
          <mc:Choice Requires="wps">
            <w:drawing>
              <wp:anchor distT="0" distB="0" distL="0" distR="0" allowOverlap="1" layoutInCell="1" locked="0" behindDoc="0" simplePos="0" relativeHeight="15792640">
                <wp:simplePos x="0" y="0"/>
                <wp:positionH relativeFrom="page">
                  <wp:posOffset>1917087</wp:posOffset>
                </wp:positionH>
                <wp:positionV relativeFrom="paragraph">
                  <wp:posOffset>-814894</wp:posOffset>
                </wp:positionV>
                <wp:extent cx="6985" cy="774065"/>
                <wp:effectExtent l="0" t="0" r="0" b="0"/>
                <wp:wrapNone/>
                <wp:docPr id="304" name="Group 304"/>
                <wp:cNvGraphicFramePr>
                  <a:graphicFrameLocks/>
                </wp:cNvGraphicFramePr>
                <a:graphic>
                  <a:graphicData uri="http://schemas.microsoft.com/office/word/2010/wordprocessingGroup">
                    <wpg:wgp>
                      <wpg:cNvPr id="304" name="Group 304"/>
                      <wpg:cNvGrpSpPr/>
                      <wpg:grpSpPr>
                        <a:xfrm>
                          <a:off x="0" y="0"/>
                          <a:ext cx="6985" cy="774065"/>
                          <a:chExt cx="6985" cy="774065"/>
                        </a:xfrm>
                      </wpg:grpSpPr>
                      <wps:wsp>
                        <wps:cNvPr id="305" name="Graphic 305"/>
                        <wps:cNvSpPr/>
                        <wps:spPr>
                          <a:xfrm>
                            <a:off x="3175" y="0"/>
                            <a:ext cx="1270" cy="774065"/>
                          </a:xfrm>
                          <a:custGeom>
                            <a:avLst/>
                            <a:gdLst/>
                            <a:ahLst/>
                            <a:cxnLst/>
                            <a:rect l="l" t="t" r="r" b="b"/>
                            <a:pathLst>
                              <a:path w="0" h="774065">
                                <a:moveTo>
                                  <a:pt x="0" y="0"/>
                                </a:moveTo>
                                <a:lnTo>
                                  <a:pt x="0" y="773760"/>
                                </a:lnTo>
                              </a:path>
                            </a:pathLst>
                          </a:custGeom>
                          <a:ln w="6350">
                            <a:solidFill>
                              <a:srgbClr val="21409A"/>
                            </a:solidFill>
                            <a:prstDash val="solid"/>
                          </a:ln>
                        </wps:spPr>
                        <wps:bodyPr wrap="square" lIns="0" tIns="0" rIns="0" bIns="0" rtlCol="0">
                          <a:prstTxWarp prst="textNoShape">
                            <a:avLst/>
                          </a:prstTxWarp>
                          <a:noAutofit/>
                        </wps:bodyPr>
                      </wps:wsp>
                      <wps:wsp>
                        <wps:cNvPr id="306" name="Graphic 306"/>
                        <wps:cNvSpPr/>
                        <wps:spPr>
                          <a:xfrm>
                            <a:off x="3674" y="347"/>
                            <a:ext cx="1270" cy="773430"/>
                          </a:xfrm>
                          <a:custGeom>
                            <a:avLst/>
                            <a:gdLst/>
                            <a:ahLst/>
                            <a:cxnLst/>
                            <a:rect l="l" t="t" r="r" b="b"/>
                            <a:pathLst>
                              <a:path w="0" h="773430">
                                <a:moveTo>
                                  <a:pt x="0" y="0"/>
                                </a:moveTo>
                                <a:lnTo>
                                  <a:pt x="0" y="773404"/>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50.951797pt;margin-top:-64.164902pt;width:.550pt;height:60.95pt;mso-position-horizontal-relative:page;mso-position-vertical-relative:paragraph;z-index:15792640" id="docshapegroup176" coordorigin="3019,-1283" coordsize="11,1219">
                <v:line style="position:absolute" from="3024,-1283" to="3024,-65" stroked="true" strokeweight=".5pt" strokecolor="#21409a">
                  <v:stroke dashstyle="solid"/>
                </v:line>
                <v:line style="position:absolute" from="3025,-1283" to="3025,-65" stroked="true" strokeweight=".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793664">
                <wp:simplePos x="0" y="0"/>
                <wp:positionH relativeFrom="page">
                  <wp:posOffset>3117163</wp:posOffset>
                </wp:positionH>
                <wp:positionV relativeFrom="paragraph">
                  <wp:posOffset>-814894</wp:posOffset>
                </wp:positionV>
                <wp:extent cx="1270" cy="774065"/>
                <wp:effectExtent l="0" t="0" r="0" b="0"/>
                <wp:wrapNone/>
                <wp:docPr id="307" name="Graphic 307"/>
                <wp:cNvGraphicFramePr>
                  <a:graphicFrameLocks/>
                </wp:cNvGraphicFramePr>
                <a:graphic>
                  <a:graphicData uri="http://schemas.microsoft.com/office/word/2010/wordprocessingShape">
                    <wps:wsp>
                      <wps:cNvPr id="307" name="Graphic 307"/>
                      <wps:cNvSpPr/>
                      <wps:spPr>
                        <a:xfrm>
                          <a:off x="0" y="0"/>
                          <a:ext cx="1270" cy="774065"/>
                        </a:xfrm>
                        <a:custGeom>
                          <a:avLst/>
                          <a:gdLst/>
                          <a:ahLst/>
                          <a:cxnLst/>
                          <a:rect l="l" t="t" r="r" b="b"/>
                          <a:pathLst>
                            <a:path w="0" h="774065">
                              <a:moveTo>
                                <a:pt x="0" y="0"/>
                              </a:moveTo>
                              <a:lnTo>
                                <a:pt x="0" y="77376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3664" from="245.445908pt,-64.164902pt" to="245.445908pt,-3.238902pt" stroked="true" strokeweight=".5pt" strokecolor="#000000">
                <v:stroke dashstyle="solid"/>
                <w10:wrap type="none"/>
              </v:line>
            </w:pict>
          </mc:Fallback>
        </mc:AlternateContent>
      </w:r>
      <w:r>
        <w:rPr>
          <w:rFonts w:ascii="TT Norms Pro Light"/>
          <w:b w:val="0"/>
          <w:sz w:val="12"/>
        </w:rPr>
        <w:t>*HEADCOUNT:</w:t>
      </w:r>
      <w:r>
        <w:rPr>
          <w:rFonts w:ascii="TT Norms Pro Light"/>
          <w:b w:val="0"/>
          <w:spacing w:val="13"/>
          <w:sz w:val="12"/>
        </w:rPr>
        <w:t> </w:t>
      </w:r>
      <w:r>
        <w:rPr>
          <w:rFonts w:ascii="TT Norms Pro Light"/>
          <w:b w:val="0"/>
          <w:sz w:val="12"/>
        </w:rPr>
        <w:t>3,915</w:t>
      </w:r>
      <w:r>
        <w:rPr>
          <w:rFonts w:ascii="TT Norms Pro Light"/>
          <w:b w:val="0"/>
          <w:spacing w:val="13"/>
          <w:sz w:val="12"/>
        </w:rPr>
        <w:t> </w:t>
      </w:r>
      <w:r>
        <w:rPr>
          <w:rFonts w:ascii="TT Norms Pro Light"/>
          <w:b w:val="0"/>
          <w:sz w:val="12"/>
        </w:rPr>
        <w:t>(1,651</w:t>
      </w:r>
      <w:r>
        <w:rPr>
          <w:rFonts w:ascii="TT Norms Pro Light"/>
          <w:b w:val="0"/>
          <w:spacing w:val="13"/>
          <w:sz w:val="12"/>
        </w:rPr>
        <w:t> </w:t>
      </w:r>
      <w:r>
        <w:rPr>
          <w:rFonts w:ascii="TT Norms Pro Light"/>
          <w:b w:val="0"/>
          <w:sz w:val="12"/>
        </w:rPr>
        <w:t>ACADEMIC,</w:t>
      </w:r>
      <w:r>
        <w:rPr>
          <w:rFonts w:ascii="TT Norms Pro Light"/>
          <w:b w:val="0"/>
          <w:spacing w:val="13"/>
          <w:sz w:val="12"/>
        </w:rPr>
        <w:t> </w:t>
      </w:r>
      <w:r>
        <w:rPr>
          <w:rFonts w:ascii="TT Norms Pro Light"/>
          <w:b w:val="0"/>
          <w:sz w:val="12"/>
        </w:rPr>
        <w:t>2,264</w:t>
      </w:r>
      <w:r>
        <w:rPr>
          <w:rFonts w:ascii="TT Norms Pro Light"/>
          <w:b w:val="0"/>
          <w:spacing w:val="14"/>
          <w:sz w:val="12"/>
        </w:rPr>
        <w:t> </w:t>
      </w:r>
      <w:r>
        <w:rPr>
          <w:rFonts w:ascii="TT Norms Pro Light"/>
          <w:b w:val="0"/>
          <w:spacing w:val="-2"/>
          <w:sz w:val="12"/>
        </w:rPr>
        <w:t>PROFESSIONAL)</w:t>
      </w:r>
    </w:p>
    <w:p>
      <w:pPr>
        <w:pStyle w:val="BodyText"/>
        <w:rPr>
          <w:b w:val="0"/>
          <w:sz w:val="12"/>
        </w:rPr>
      </w:pPr>
    </w:p>
    <w:p>
      <w:pPr>
        <w:pStyle w:val="BodyText"/>
        <w:spacing w:before="41"/>
        <w:rPr>
          <w:b w:val="0"/>
          <w:sz w:val="12"/>
        </w:rPr>
      </w:pPr>
    </w:p>
    <w:p>
      <w:pPr>
        <w:spacing w:before="1"/>
        <w:ind w:left="193" w:right="0" w:firstLine="0"/>
        <w:jc w:val="left"/>
        <w:rPr>
          <w:rFonts w:ascii="TT Norms Pro"/>
          <w:b/>
          <w:sz w:val="22"/>
        </w:rPr>
      </w:pPr>
      <w:r>
        <w:rPr>
          <w:rFonts w:ascii="TT Norms Pro"/>
          <w:b/>
          <w:spacing w:val="-2"/>
          <w:sz w:val="22"/>
        </w:rPr>
        <w:t>RESEARCH*</w:t>
      </w:r>
    </w:p>
    <w:p>
      <w:pPr>
        <w:pStyle w:val="BodyText"/>
        <w:spacing w:before="15"/>
        <w:rPr>
          <w:rFonts w:ascii="TT Norms Pro"/>
          <w:b/>
          <w:sz w:val="22"/>
        </w:rPr>
      </w:pPr>
    </w:p>
    <w:p>
      <w:pPr>
        <w:pStyle w:val="Heading5"/>
        <w:ind w:left="569"/>
        <w:jc w:val="left"/>
      </w:pPr>
      <w:r>
        <w:rPr/>
        <mc:AlternateContent>
          <mc:Choice Requires="wps">
            <w:drawing>
              <wp:anchor distT="0" distB="0" distL="0" distR="0" allowOverlap="1" layoutInCell="1" locked="0" behindDoc="0" simplePos="0" relativeHeight="15794688">
                <wp:simplePos x="0" y="0"/>
                <wp:positionH relativeFrom="page">
                  <wp:posOffset>2849500</wp:posOffset>
                </wp:positionH>
                <wp:positionV relativeFrom="paragraph">
                  <wp:posOffset>-59695</wp:posOffset>
                </wp:positionV>
                <wp:extent cx="6985" cy="774065"/>
                <wp:effectExtent l="0" t="0" r="0" b="0"/>
                <wp:wrapNone/>
                <wp:docPr id="308" name="Group 308"/>
                <wp:cNvGraphicFramePr>
                  <a:graphicFrameLocks/>
                </wp:cNvGraphicFramePr>
                <a:graphic>
                  <a:graphicData uri="http://schemas.microsoft.com/office/word/2010/wordprocessingGroup">
                    <wpg:wgp>
                      <wpg:cNvPr id="308" name="Group 308"/>
                      <wpg:cNvGrpSpPr/>
                      <wpg:grpSpPr>
                        <a:xfrm>
                          <a:off x="0" y="0"/>
                          <a:ext cx="6985" cy="774065"/>
                          <a:chExt cx="6985" cy="774065"/>
                        </a:xfrm>
                      </wpg:grpSpPr>
                      <wps:wsp>
                        <wps:cNvPr id="309" name="Graphic 309"/>
                        <wps:cNvSpPr/>
                        <wps:spPr>
                          <a:xfrm>
                            <a:off x="3175" y="0"/>
                            <a:ext cx="1270" cy="774065"/>
                          </a:xfrm>
                          <a:custGeom>
                            <a:avLst/>
                            <a:gdLst/>
                            <a:ahLst/>
                            <a:cxnLst/>
                            <a:rect l="l" t="t" r="r" b="b"/>
                            <a:pathLst>
                              <a:path w="0" h="774065">
                                <a:moveTo>
                                  <a:pt x="0" y="0"/>
                                </a:moveTo>
                                <a:lnTo>
                                  <a:pt x="0" y="773760"/>
                                </a:lnTo>
                              </a:path>
                            </a:pathLst>
                          </a:custGeom>
                          <a:ln w="6350">
                            <a:solidFill>
                              <a:srgbClr val="21409A"/>
                            </a:solidFill>
                            <a:prstDash val="solid"/>
                          </a:ln>
                        </wps:spPr>
                        <wps:bodyPr wrap="square" lIns="0" tIns="0" rIns="0" bIns="0" rtlCol="0">
                          <a:prstTxWarp prst="textNoShape">
                            <a:avLst/>
                          </a:prstTxWarp>
                          <a:noAutofit/>
                        </wps:bodyPr>
                      </wps:wsp>
                      <wps:wsp>
                        <wps:cNvPr id="310" name="Graphic 310"/>
                        <wps:cNvSpPr/>
                        <wps:spPr>
                          <a:xfrm>
                            <a:off x="3674" y="346"/>
                            <a:ext cx="1270" cy="773430"/>
                          </a:xfrm>
                          <a:custGeom>
                            <a:avLst/>
                            <a:gdLst/>
                            <a:ahLst/>
                            <a:cxnLst/>
                            <a:rect l="l" t="t" r="r" b="b"/>
                            <a:pathLst>
                              <a:path w="0" h="773430">
                                <a:moveTo>
                                  <a:pt x="0" y="0"/>
                                </a:moveTo>
                                <a:lnTo>
                                  <a:pt x="0" y="773404"/>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24.370102pt;margin-top:-4.7004pt;width:.550pt;height:60.95pt;mso-position-horizontal-relative:page;mso-position-vertical-relative:paragraph;z-index:15794688" id="docshapegroup177" coordorigin="4487,-94" coordsize="11,1219">
                <v:line style="position:absolute" from="4492,-94" to="4492,1125" stroked="true" strokeweight=".5pt" strokecolor="#21409a">
                  <v:stroke dashstyle="solid"/>
                </v:line>
                <v:line style="position:absolute" from="4493,-93" to="4493,1124" stroked="true" strokeweight=".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795200">
                <wp:simplePos x="0" y="0"/>
                <wp:positionH relativeFrom="page">
                  <wp:posOffset>724862</wp:posOffset>
                </wp:positionH>
                <wp:positionV relativeFrom="paragraph">
                  <wp:posOffset>-59348</wp:posOffset>
                </wp:positionV>
                <wp:extent cx="1270" cy="773430"/>
                <wp:effectExtent l="0" t="0" r="0" b="0"/>
                <wp:wrapNone/>
                <wp:docPr id="311" name="Graphic 311"/>
                <wp:cNvGraphicFramePr>
                  <a:graphicFrameLocks/>
                </wp:cNvGraphicFramePr>
                <a:graphic>
                  <a:graphicData uri="http://schemas.microsoft.com/office/word/2010/wordprocessingShape">
                    <wps:wsp>
                      <wps:cNvPr id="311" name="Graphic 311"/>
                      <wps:cNvSpPr/>
                      <wps:spPr>
                        <a:xfrm>
                          <a:off x="0" y="0"/>
                          <a:ext cx="1270" cy="773430"/>
                        </a:xfrm>
                        <a:custGeom>
                          <a:avLst/>
                          <a:gdLst/>
                          <a:ahLst/>
                          <a:cxnLst/>
                          <a:rect l="l" t="t" r="r" b="b"/>
                          <a:pathLst>
                            <a:path w="0" h="773430">
                              <a:moveTo>
                                <a:pt x="0" y="0"/>
                              </a:moveTo>
                              <a:lnTo>
                                <a:pt x="0" y="773404"/>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5200" from="57.075802pt,-4.6731pt" to="57.075802pt,56.2249pt" stroked="true" strokeweight=".5pt" strokecolor="#000000">
                <v:stroke dashstyle="solid"/>
                <w10:wrap type="none"/>
              </v:line>
            </w:pict>
          </mc:Fallback>
        </mc:AlternateContent>
      </w:r>
      <w:r>
        <w:rPr>
          <w:spacing w:val="-2"/>
        </w:rPr>
        <w:t>$213,975,609</w:t>
      </w:r>
    </w:p>
    <w:p>
      <w:pPr>
        <w:spacing w:before="48"/>
        <w:ind w:left="172" w:right="0" w:firstLine="0"/>
        <w:jc w:val="center"/>
        <w:rPr>
          <w:rFonts w:ascii="TT Norms Pro Light"/>
          <w:b w:val="0"/>
          <w:sz w:val="15"/>
        </w:rPr>
      </w:pPr>
      <w:r>
        <w:rPr>
          <w:rFonts w:ascii="TT Norms Pro Light"/>
          <w:b w:val="0"/>
          <w:sz w:val="15"/>
        </w:rPr>
        <w:t>RESEARCH</w:t>
      </w:r>
      <w:r>
        <w:rPr>
          <w:rFonts w:ascii="TT Norms Pro Light"/>
          <w:b w:val="0"/>
          <w:spacing w:val="45"/>
          <w:sz w:val="15"/>
        </w:rPr>
        <w:t> </w:t>
      </w:r>
      <w:r>
        <w:rPr>
          <w:rFonts w:ascii="TT Norms Pro Light"/>
          <w:b w:val="0"/>
          <w:spacing w:val="-2"/>
          <w:sz w:val="15"/>
        </w:rPr>
        <w:t>INCOME</w:t>
      </w:r>
    </w:p>
    <w:p>
      <w:pPr>
        <w:spacing w:before="53"/>
        <w:ind w:left="135" w:right="0" w:firstLine="0"/>
        <w:jc w:val="center"/>
        <w:rPr>
          <w:rFonts w:ascii="TT Norms Pro Light"/>
          <w:b w:val="0"/>
          <w:sz w:val="12"/>
        </w:rPr>
      </w:pPr>
      <w:r>
        <w:rPr>
          <w:rFonts w:ascii="TT Norms Pro Light"/>
          <w:b w:val="0"/>
          <w:sz w:val="12"/>
        </w:rPr>
        <w:t>(</w:t>
      </w:r>
      <w:r>
        <w:rPr>
          <w:rFonts w:ascii="TT Norms Pro Light"/>
          <w:b w:val="0"/>
          <w:spacing w:val="-2"/>
          <w:sz w:val="12"/>
        </w:rPr>
        <w:t> </w:t>
      </w:r>
      <w:r>
        <w:rPr>
          <w:rFonts w:ascii="TT Norms Pro Light"/>
          <w:b w:val="0"/>
          <w:sz w:val="12"/>
        </w:rPr>
        <w:t>2019</w:t>
      </w:r>
      <w:r>
        <w:rPr>
          <w:rFonts w:ascii="TT Norms Pro Light"/>
          <w:b w:val="0"/>
          <w:spacing w:val="-1"/>
          <w:sz w:val="12"/>
        </w:rPr>
        <w:t> </w:t>
      </w:r>
      <w:r>
        <w:rPr>
          <w:rFonts w:ascii="TT Norms Pro Light"/>
          <w:b w:val="0"/>
          <w:spacing w:val="-2"/>
          <w:sz w:val="12"/>
        </w:rPr>
        <w:t>DATA)</w:t>
      </w:r>
    </w:p>
    <w:p>
      <w:pPr>
        <w:spacing w:line="240" w:lineRule="auto" w:before="0"/>
        <w:rPr>
          <w:rFonts w:ascii="TT Norms Pro Light"/>
          <w:b w:val="0"/>
          <w:sz w:val="42"/>
        </w:rPr>
      </w:pPr>
      <w:r>
        <w:rPr/>
        <w:br w:type="column"/>
      </w:r>
      <w:r>
        <w:rPr>
          <w:rFonts w:ascii="TT Norms Pro Light"/>
          <w:b w:val="0"/>
          <w:sz w:val="42"/>
        </w:rPr>
      </w:r>
    </w:p>
    <w:p>
      <w:pPr>
        <w:pStyle w:val="BodyText"/>
        <w:spacing w:before="124"/>
        <w:rPr>
          <w:b w:val="0"/>
          <w:sz w:val="42"/>
        </w:rPr>
      </w:pPr>
    </w:p>
    <w:p>
      <w:pPr>
        <w:pStyle w:val="Heading5"/>
        <w:ind w:right="5761"/>
      </w:pPr>
      <w:r>
        <w:rPr>
          <w:spacing w:val="-4"/>
        </w:rPr>
        <w:t>5,901</w:t>
      </w:r>
    </w:p>
    <w:p>
      <w:pPr>
        <w:spacing w:line="247" w:lineRule="auto" w:before="48"/>
        <w:ind w:left="167" w:right="5903" w:hanging="1"/>
        <w:jc w:val="center"/>
        <w:rPr>
          <w:rFonts w:ascii="TT Norms Pro Light"/>
          <w:b w:val="0"/>
          <w:sz w:val="15"/>
        </w:rPr>
      </w:pPr>
      <w:r>
        <w:rPr/>
        <mc:AlternateContent>
          <mc:Choice Requires="wps">
            <w:drawing>
              <wp:anchor distT="0" distB="0" distL="0" distR="0" allowOverlap="1" layoutInCell="1" locked="0" behindDoc="0" simplePos="0" relativeHeight="15795712">
                <wp:simplePos x="0" y="0"/>
                <wp:positionH relativeFrom="page">
                  <wp:posOffset>4049574</wp:posOffset>
                </wp:positionH>
                <wp:positionV relativeFrom="paragraph">
                  <wp:posOffset>-371607</wp:posOffset>
                </wp:positionV>
                <wp:extent cx="1270" cy="774065"/>
                <wp:effectExtent l="0" t="0" r="0" b="0"/>
                <wp:wrapNone/>
                <wp:docPr id="312" name="Graphic 312"/>
                <wp:cNvGraphicFramePr>
                  <a:graphicFrameLocks/>
                </wp:cNvGraphicFramePr>
                <a:graphic>
                  <a:graphicData uri="http://schemas.microsoft.com/office/word/2010/wordprocessingShape">
                    <wps:wsp>
                      <wps:cNvPr id="312" name="Graphic 312"/>
                      <wps:cNvSpPr/>
                      <wps:spPr>
                        <a:xfrm>
                          <a:off x="0" y="0"/>
                          <a:ext cx="1270" cy="774065"/>
                        </a:xfrm>
                        <a:custGeom>
                          <a:avLst/>
                          <a:gdLst/>
                          <a:ahLst/>
                          <a:cxnLst/>
                          <a:rect l="l" t="t" r="r" b="b"/>
                          <a:pathLst>
                            <a:path w="0" h="774065">
                              <a:moveTo>
                                <a:pt x="0" y="0"/>
                              </a:moveTo>
                              <a:lnTo>
                                <a:pt x="0" y="77376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5712" from="318.864105pt,-29.260401pt" to="318.864105pt,31.665599pt" stroked="true" strokeweight=".5pt" strokecolor="#000000">
                <v:stroke dashstyle="solid"/>
                <w10:wrap type="none"/>
              </v:line>
            </w:pict>
          </mc:Fallback>
        </mc:AlternateContent>
      </w:r>
      <w:r>
        <w:rPr>
          <w:rFonts w:ascii="TT Norms Pro Light"/>
          <w:b w:val="0"/>
          <w:spacing w:val="-2"/>
          <w:sz w:val="15"/>
        </w:rPr>
        <w:t>RESEARCH</w:t>
      </w:r>
      <w:r>
        <w:rPr>
          <w:rFonts w:ascii="TT Norms Pro Light"/>
          <w:b w:val="0"/>
          <w:spacing w:val="40"/>
          <w:sz w:val="15"/>
        </w:rPr>
        <w:t> </w:t>
      </w:r>
      <w:r>
        <w:rPr>
          <w:rFonts w:ascii="TT Norms Pro Light"/>
          <w:b w:val="0"/>
          <w:spacing w:val="-2"/>
          <w:sz w:val="15"/>
        </w:rPr>
        <w:t>PUBLICATIONS</w:t>
      </w:r>
    </w:p>
    <w:p>
      <w:pPr>
        <w:spacing w:after="0" w:line="247" w:lineRule="auto"/>
        <w:jc w:val="center"/>
        <w:rPr>
          <w:rFonts w:ascii="TT Norms Pro Light"/>
          <w:sz w:val="15"/>
        </w:rPr>
        <w:sectPr>
          <w:type w:val="continuous"/>
          <w:pgSz w:w="11910" w:h="16840"/>
          <w:pgMar w:header="468" w:footer="0" w:top="980" w:bottom="280" w:left="940" w:right="0"/>
          <w:cols w:num="2" w:equalWidth="0">
            <w:col w:w="3706" w:space="74"/>
            <w:col w:w="7190"/>
          </w:cols>
        </w:sectPr>
      </w:pPr>
    </w:p>
    <w:p>
      <w:pPr>
        <w:pStyle w:val="BodyText"/>
        <w:rPr>
          <w:b w:val="0"/>
          <w:sz w:val="12"/>
        </w:rPr>
      </w:pPr>
      <w:r>
        <w:rPr/>
        <w:drawing>
          <wp:anchor distT="0" distB="0" distL="0" distR="0" allowOverlap="1" layoutInCell="1" locked="0" behindDoc="0" simplePos="0" relativeHeight="15796736">
            <wp:simplePos x="0" y="0"/>
            <wp:positionH relativeFrom="page">
              <wp:posOffset>6029998</wp:posOffset>
            </wp:positionH>
            <wp:positionV relativeFrom="page">
              <wp:posOffset>0</wp:posOffset>
            </wp:positionV>
            <wp:extent cx="1529994" cy="10692003"/>
            <wp:effectExtent l="0" t="0" r="0" b="0"/>
            <wp:wrapNone/>
            <wp:docPr id="313" name="Image 313"/>
            <wp:cNvGraphicFramePr>
              <a:graphicFrameLocks/>
            </wp:cNvGraphicFramePr>
            <a:graphic>
              <a:graphicData uri="http://schemas.openxmlformats.org/drawingml/2006/picture">
                <pic:pic>
                  <pic:nvPicPr>
                    <pic:cNvPr id="313" name="Image 313"/>
                    <pic:cNvPicPr/>
                  </pic:nvPicPr>
                  <pic:blipFill>
                    <a:blip r:embed="rId40" cstate="print"/>
                    <a:stretch>
                      <a:fillRect/>
                    </a:stretch>
                  </pic:blipFill>
                  <pic:spPr>
                    <a:xfrm>
                      <a:off x="0" y="0"/>
                      <a:ext cx="1529994" cy="10692003"/>
                    </a:xfrm>
                    <a:prstGeom prst="rect">
                      <a:avLst/>
                    </a:prstGeom>
                  </pic:spPr>
                </pic:pic>
              </a:graphicData>
            </a:graphic>
          </wp:anchor>
        </w:drawing>
      </w:r>
    </w:p>
    <w:p>
      <w:pPr>
        <w:pStyle w:val="BodyText"/>
        <w:rPr>
          <w:b w:val="0"/>
          <w:sz w:val="12"/>
        </w:rPr>
      </w:pPr>
    </w:p>
    <w:p>
      <w:pPr>
        <w:pStyle w:val="BodyText"/>
        <w:spacing w:before="108"/>
        <w:rPr>
          <w:b w:val="0"/>
          <w:sz w:val="12"/>
        </w:rPr>
      </w:pPr>
    </w:p>
    <w:p>
      <w:pPr>
        <w:spacing w:before="0"/>
        <w:ind w:left="167" w:right="0" w:firstLine="0"/>
        <w:jc w:val="left"/>
        <w:rPr>
          <w:rFonts w:ascii="TT Norms Pro Light"/>
          <w:b w:val="0"/>
          <w:sz w:val="12"/>
        </w:rPr>
      </w:pPr>
      <w:r>
        <w:rPr>
          <w:rFonts w:ascii="TT Norms Pro Light"/>
          <w:b w:val="0"/>
          <w:sz w:val="12"/>
        </w:rPr>
        <w:t>*SOURCE:</w:t>
      </w:r>
      <w:r>
        <w:rPr>
          <w:rFonts w:ascii="TT Norms Pro Light"/>
          <w:b w:val="0"/>
          <w:spacing w:val="11"/>
          <w:sz w:val="12"/>
        </w:rPr>
        <w:t> </w:t>
      </w:r>
      <w:r>
        <w:rPr>
          <w:rFonts w:ascii="TT Norms Pro Light"/>
          <w:b w:val="0"/>
          <w:sz w:val="12"/>
        </w:rPr>
        <w:t>HIGHER</w:t>
      </w:r>
      <w:r>
        <w:rPr>
          <w:rFonts w:ascii="TT Norms Pro Light"/>
          <w:b w:val="0"/>
          <w:spacing w:val="12"/>
          <w:sz w:val="12"/>
        </w:rPr>
        <w:t> </w:t>
      </w:r>
      <w:r>
        <w:rPr>
          <w:rFonts w:ascii="TT Norms Pro Light"/>
          <w:b w:val="0"/>
          <w:sz w:val="12"/>
        </w:rPr>
        <w:t>EDUCATION</w:t>
      </w:r>
      <w:r>
        <w:rPr>
          <w:rFonts w:ascii="TT Norms Pro Light"/>
          <w:b w:val="0"/>
          <w:spacing w:val="12"/>
          <w:sz w:val="12"/>
        </w:rPr>
        <w:t> </w:t>
      </w:r>
      <w:r>
        <w:rPr>
          <w:rFonts w:ascii="TT Norms Pro Light"/>
          <w:b w:val="0"/>
          <w:sz w:val="12"/>
        </w:rPr>
        <w:t>RESEARCH</w:t>
      </w:r>
      <w:r>
        <w:rPr>
          <w:rFonts w:ascii="TT Norms Pro Light"/>
          <w:b w:val="0"/>
          <w:spacing w:val="11"/>
          <w:sz w:val="12"/>
        </w:rPr>
        <w:t> </w:t>
      </w:r>
      <w:r>
        <w:rPr>
          <w:rFonts w:ascii="TT Norms Pro Light"/>
          <w:b w:val="0"/>
          <w:sz w:val="12"/>
        </w:rPr>
        <w:t>DATA</w:t>
      </w:r>
      <w:r>
        <w:rPr>
          <w:rFonts w:ascii="TT Norms Pro Light"/>
          <w:b w:val="0"/>
          <w:spacing w:val="12"/>
          <w:sz w:val="12"/>
        </w:rPr>
        <w:t> </w:t>
      </w:r>
      <w:r>
        <w:rPr>
          <w:rFonts w:ascii="TT Norms Pro Light"/>
          <w:b w:val="0"/>
          <w:sz w:val="12"/>
        </w:rPr>
        <w:t>COLLECTION</w:t>
      </w:r>
      <w:r>
        <w:rPr>
          <w:rFonts w:ascii="TT Norms Pro Light"/>
          <w:b w:val="0"/>
          <w:spacing w:val="12"/>
          <w:sz w:val="12"/>
        </w:rPr>
        <w:t> </w:t>
      </w:r>
      <w:r>
        <w:rPr>
          <w:rFonts w:ascii="TT Norms Pro Light"/>
          <w:b w:val="0"/>
          <w:spacing w:val="-2"/>
          <w:sz w:val="12"/>
        </w:rPr>
        <w:t>(HEDRC)</w:t>
      </w:r>
    </w:p>
    <w:p>
      <w:pPr>
        <w:spacing w:after="0"/>
        <w:jc w:val="left"/>
        <w:rPr>
          <w:rFonts w:ascii="TT Norms Pro Light"/>
          <w:sz w:val="12"/>
        </w:rPr>
        <w:sectPr>
          <w:type w:val="continuous"/>
          <w:pgSz w:w="11910" w:h="16840"/>
          <w:pgMar w:header="468" w:footer="0" w:top="980" w:bottom="280" w:left="940" w:right="0"/>
        </w:sectPr>
      </w:pPr>
    </w:p>
    <w:p>
      <w:pPr>
        <w:spacing w:before="107"/>
        <w:ind w:left="0" w:right="111" w:firstLine="0"/>
        <w:jc w:val="right"/>
        <w:rPr>
          <w:rFonts w:ascii="TT Norms Pro"/>
          <w:b/>
          <w:sz w:val="18"/>
        </w:rPr>
      </w:pPr>
      <w:r>
        <w:rPr/>
        <mc:AlternateContent>
          <mc:Choice Requires="wps">
            <w:drawing>
              <wp:anchor distT="0" distB="0" distL="0" distR="0" allowOverlap="1" layoutInCell="1" locked="0" behindDoc="0" simplePos="0" relativeHeight="15797248">
                <wp:simplePos x="0" y="0"/>
                <wp:positionH relativeFrom="page">
                  <wp:posOffset>284448</wp:posOffset>
                </wp:positionH>
                <wp:positionV relativeFrom="page">
                  <wp:posOffset>288046</wp:posOffset>
                </wp:positionV>
                <wp:extent cx="194310" cy="143510"/>
                <wp:effectExtent l="0" t="0" r="0" b="0"/>
                <wp:wrapNone/>
                <wp:docPr id="314" name="Textbox 314"/>
                <wp:cNvGraphicFramePr>
                  <a:graphicFrameLocks/>
                </wp:cNvGraphicFramePr>
                <a:graphic>
                  <a:graphicData uri="http://schemas.microsoft.com/office/word/2010/wordprocessingShape">
                    <wps:wsp>
                      <wps:cNvPr id="314" name="Textbox 314"/>
                      <wps:cNvSpPr txBox="1"/>
                      <wps:spPr>
                        <a:xfrm>
                          <a:off x="0" y="0"/>
                          <a:ext cx="194310" cy="143510"/>
                        </a:xfrm>
                        <a:prstGeom prst="rect">
                          <a:avLst/>
                        </a:prstGeom>
                      </wps:spPr>
                      <wps:txbx>
                        <w:txbxContent>
                          <w:p>
                            <w:pPr>
                              <w:spacing w:before="48"/>
                              <w:ind w:left="20" w:right="0" w:firstLine="0"/>
                              <w:jc w:val="left"/>
                              <w:rPr>
                                <w:rFonts w:ascii="TT Norms Pro"/>
                                <w:b/>
                                <w:sz w:val="20"/>
                              </w:rPr>
                            </w:pPr>
                            <w:r>
                              <w:rPr>
                                <w:rFonts w:ascii="TT Norms Pro"/>
                                <w:b/>
                                <w:spacing w:val="-5"/>
                                <w:sz w:val="20"/>
                              </w:rPr>
                              <w:t>17</w:t>
                            </w:r>
                          </w:p>
                        </w:txbxContent>
                      </wps:txbx>
                      <wps:bodyPr wrap="square" lIns="0" tIns="0" rIns="0" bIns="0" rtlCol="0" vert="vert270">
                        <a:noAutofit/>
                      </wps:bodyPr>
                    </wps:wsp>
                  </a:graphicData>
                </a:graphic>
              </wp:anchor>
            </w:drawing>
          </mc:Choice>
          <mc:Fallback>
            <w:pict>
              <v:shape style="position:absolute;margin-left:22.397514pt;margin-top:22.680801pt;width:15.3pt;height:11.3pt;mso-position-horizontal-relative:page;mso-position-vertical-relative:page;z-index:15797248" type="#_x0000_t202" id="docshape178" filled="false" stroked="false">
                <v:textbox inset="0,0,0,0" style="layout-flow:vertical;mso-layout-flow-alt:bottom-to-top">
                  <w:txbxContent>
                    <w:p>
                      <w:pPr>
                        <w:spacing w:before="48"/>
                        <w:ind w:left="20" w:right="0" w:firstLine="0"/>
                        <w:jc w:val="left"/>
                        <w:rPr>
                          <w:rFonts w:ascii="TT Norms Pro"/>
                          <w:b/>
                          <w:sz w:val="20"/>
                        </w:rPr>
                      </w:pPr>
                      <w:r>
                        <w:rPr>
                          <w:rFonts w:ascii="TT Norms Pro"/>
                          <w:b/>
                          <w:spacing w:val="-5"/>
                          <w:sz w:val="20"/>
                        </w:rPr>
                        <w:t>17</w:t>
                      </w:r>
                    </w:p>
                  </w:txbxContent>
                </v:textbox>
                <w10:wrap type="none"/>
              </v:shape>
            </w:pict>
          </mc:Fallback>
        </mc:AlternateContent>
      </w:r>
      <w:r>
        <w:rPr/>
        <w:drawing>
          <wp:anchor distT="0" distB="0" distL="0" distR="0" allowOverlap="1" layoutInCell="1" locked="0" behindDoc="0" simplePos="0" relativeHeight="15797760">
            <wp:simplePos x="0" y="0"/>
            <wp:positionH relativeFrom="page">
              <wp:posOffset>0</wp:posOffset>
            </wp:positionH>
            <wp:positionV relativeFrom="page">
              <wp:posOffset>12</wp:posOffset>
            </wp:positionV>
            <wp:extent cx="10692003" cy="7559992"/>
            <wp:effectExtent l="0" t="0" r="0" b="0"/>
            <wp:wrapNone/>
            <wp:docPr id="315" name="Image 315"/>
            <wp:cNvGraphicFramePr>
              <a:graphicFrameLocks/>
            </wp:cNvGraphicFramePr>
            <a:graphic>
              <a:graphicData uri="http://schemas.openxmlformats.org/drawingml/2006/picture">
                <pic:pic>
                  <pic:nvPicPr>
                    <pic:cNvPr id="315" name="Image 315"/>
                    <pic:cNvPicPr/>
                  </pic:nvPicPr>
                  <pic:blipFill>
                    <a:blip r:embed="rId42" cstate="print"/>
                    <a:stretch>
                      <a:fillRect/>
                    </a:stretch>
                  </pic:blipFill>
                  <pic:spPr>
                    <a:xfrm>
                      <a:off x="0" y="0"/>
                      <a:ext cx="10692003" cy="7559992"/>
                    </a:xfrm>
                    <a:prstGeom prst="rect">
                      <a:avLst/>
                    </a:prstGeom>
                  </pic:spPr>
                </pic:pic>
              </a:graphicData>
            </a:graphic>
          </wp:anchor>
        </w:drawing>
      </w: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p>
      <w:pPr>
        <w:spacing w:after="0"/>
        <w:jc w:val="right"/>
        <w:rPr>
          <w:rFonts w:ascii="TT Norms Pro"/>
          <w:sz w:val="18"/>
        </w:rPr>
        <w:sectPr>
          <w:headerReference w:type="default" r:id="rId41"/>
          <w:pgSz w:w="16840" w:h="11910" w:orient="landscape"/>
          <w:pgMar w:header="0" w:footer="0" w:top="360" w:bottom="280" w:left="2420" w:right="1020"/>
        </w:sectPr>
      </w:pPr>
    </w:p>
    <w:p>
      <w:pPr>
        <w:spacing w:line="875" w:lineRule="exact" w:before="433"/>
        <w:ind w:left="1146" w:right="0" w:firstLine="0"/>
        <w:jc w:val="left"/>
        <w:rPr>
          <w:rFonts w:ascii="Palatino Linotype"/>
          <w:sz w:val="70"/>
        </w:rPr>
      </w:pPr>
      <w:r>
        <w:rPr>
          <w:rFonts w:ascii="Palatino Linotype"/>
          <w:spacing w:val="-2"/>
          <w:w w:val="110"/>
          <w:sz w:val="70"/>
        </w:rPr>
        <w:t>Significant</w:t>
      </w:r>
    </w:p>
    <w:p>
      <w:pPr>
        <w:pStyle w:val="Heading2"/>
        <w:ind w:left="831" w:right="956"/>
        <w:jc w:val="center"/>
      </w:pPr>
      <w:r>
        <w:rPr/>
        <w:t>issues and </w:t>
      </w:r>
      <w:r>
        <w:rPr>
          <w:spacing w:val="-2"/>
        </w:rPr>
        <w:t>trends</w:t>
      </w:r>
    </w:p>
    <w:p>
      <w:pPr>
        <w:pStyle w:val="BodyText"/>
        <w:rPr>
          <w:rFonts w:ascii="TT Norms Pro"/>
          <w:b/>
          <w:sz w:val="19"/>
        </w:rPr>
      </w:pPr>
    </w:p>
    <w:p>
      <w:pPr>
        <w:spacing w:after="0"/>
        <w:rPr>
          <w:rFonts w:ascii="TT Norms Pro"/>
          <w:sz w:val="19"/>
        </w:rPr>
        <w:sectPr>
          <w:headerReference w:type="even" r:id="rId43"/>
          <w:headerReference w:type="default" r:id="rId44"/>
          <w:pgSz w:w="11910" w:h="16840"/>
          <w:pgMar w:header="468" w:footer="0" w:top="720" w:bottom="280" w:left="0" w:right="780"/>
          <w:pgNumType w:start="18"/>
        </w:sectPr>
      </w:pPr>
    </w:p>
    <w:p>
      <w:pPr>
        <w:pStyle w:val="Heading8"/>
        <w:spacing w:before="132"/>
        <w:ind w:left="1126"/>
      </w:pPr>
      <w:r>
        <w:rPr>
          <w:spacing w:val="-8"/>
        </w:rPr>
        <w:t>Market</w:t>
      </w:r>
      <w:r>
        <w:rPr>
          <w:spacing w:val="-6"/>
        </w:rPr>
        <w:t> </w:t>
      </w:r>
      <w:r>
        <w:rPr>
          <w:spacing w:val="-2"/>
        </w:rPr>
        <w:t>dynamics</w:t>
      </w:r>
    </w:p>
    <w:p>
      <w:pPr>
        <w:pStyle w:val="BodyText"/>
        <w:spacing w:line="295" w:lineRule="auto" w:before="36"/>
        <w:ind w:left="1126" w:right="103"/>
        <w:rPr>
          <w:b w:val="0"/>
        </w:rPr>
      </w:pPr>
      <w:r>
        <w:rPr>
          <w:b w:val="0"/>
        </w:rPr>
        <w:t>UWA</w:t>
      </w:r>
      <w:r>
        <w:rPr>
          <w:b w:val="0"/>
          <w:spacing w:val="-1"/>
        </w:rPr>
        <w:t> </w:t>
      </w:r>
      <w:r>
        <w:rPr>
          <w:b w:val="0"/>
        </w:rPr>
        <w:t>operates</w:t>
      </w:r>
      <w:r>
        <w:rPr>
          <w:b w:val="0"/>
          <w:spacing w:val="-1"/>
        </w:rPr>
        <w:t> </w:t>
      </w:r>
      <w:r>
        <w:rPr>
          <w:b w:val="0"/>
        </w:rPr>
        <w:t>in</w:t>
      </w:r>
      <w:r>
        <w:rPr>
          <w:b w:val="0"/>
          <w:spacing w:val="-1"/>
        </w:rPr>
        <w:t> </w:t>
      </w:r>
      <w:r>
        <w:rPr>
          <w:b w:val="0"/>
        </w:rPr>
        <w:t>a</w:t>
      </w:r>
      <w:r>
        <w:rPr>
          <w:b w:val="0"/>
          <w:spacing w:val="-1"/>
        </w:rPr>
        <w:t> </w:t>
      </w:r>
      <w:r>
        <w:rPr>
          <w:b w:val="0"/>
        </w:rPr>
        <w:t>growing</w:t>
      </w:r>
      <w:r>
        <w:rPr>
          <w:b w:val="0"/>
          <w:spacing w:val="-1"/>
        </w:rPr>
        <w:t> </w:t>
      </w:r>
      <w:r>
        <w:rPr>
          <w:b w:val="0"/>
        </w:rPr>
        <w:t>higher</w:t>
      </w:r>
      <w:r>
        <w:rPr>
          <w:b w:val="0"/>
          <w:spacing w:val="-1"/>
        </w:rPr>
        <w:t> </w:t>
      </w:r>
      <w:r>
        <w:rPr>
          <w:b w:val="0"/>
        </w:rPr>
        <w:t>education</w:t>
      </w:r>
      <w:r>
        <w:rPr>
          <w:b w:val="0"/>
          <w:spacing w:val="-1"/>
        </w:rPr>
        <w:t> </w:t>
      </w:r>
      <w:r>
        <w:rPr>
          <w:b w:val="0"/>
        </w:rPr>
        <w:t>market</w:t>
      </w:r>
      <w:r>
        <w:rPr>
          <w:b w:val="0"/>
          <w:spacing w:val="-1"/>
        </w:rPr>
        <w:t> </w:t>
      </w:r>
      <w:r>
        <w:rPr>
          <w:b w:val="0"/>
        </w:rPr>
        <w:t>that</w:t>
      </w:r>
      <w:r>
        <w:rPr>
          <w:b w:val="0"/>
          <w:spacing w:val="40"/>
        </w:rPr>
        <w:t> </w:t>
      </w:r>
      <w:r>
        <w:rPr>
          <w:b w:val="0"/>
        </w:rPr>
        <w:t>continues to see increased competition. In 2020, the</w:t>
      </w:r>
      <w:r>
        <w:rPr>
          <w:b w:val="0"/>
          <w:spacing w:val="40"/>
        </w:rPr>
        <w:t> </w:t>
      </w:r>
      <w:r>
        <w:rPr>
          <w:b w:val="0"/>
        </w:rPr>
        <w:t>University was focused on adapting to the impacts of</w:t>
      </w:r>
      <w:r>
        <w:rPr>
          <w:b w:val="0"/>
          <w:spacing w:val="40"/>
        </w:rPr>
        <w:t> </w:t>
      </w:r>
      <w:r>
        <w:rPr>
          <w:b w:val="0"/>
        </w:rPr>
        <w:t>COVID-19 on student mobility and course delivery.</w:t>
      </w:r>
    </w:p>
    <w:p>
      <w:pPr>
        <w:pStyle w:val="BodyText"/>
        <w:spacing w:before="53"/>
        <w:rPr>
          <w:b w:val="0"/>
        </w:rPr>
      </w:pPr>
    </w:p>
    <w:p>
      <w:pPr>
        <w:pStyle w:val="BodyText"/>
        <w:spacing w:line="295" w:lineRule="auto"/>
        <w:ind w:left="1126" w:right="440"/>
        <w:rPr>
          <w:b w:val="0"/>
        </w:rPr>
      </w:pPr>
      <w:r>
        <w:rPr>
          <w:b w:val="0"/>
        </w:rPr>
        <w:t>Nationally, the past five years saw strong growth in</w:t>
      </w:r>
      <w:r>
        <w:rPr>
          <w:b w:val="0"/>
          <w:spacing w:val="40"/>
        </w:rPr>
        <w:t> </w:t>
      </w:r>
      <w:r>
        <w:rPr>
          <w:b w:val="0"/>
        </w:rPr>
        <w:t>international students alongside low growth in</w:t>
      </w:r>
      <w:r>
        <w:rPr>
          <w:b w:val="0"/>
          <w:spacing w:val="40"/>
        </w:rPr>
        <w:t> </w:t>
      </w:r>
      <w:r>
        <w:rPr>
          <w:b w:val="0"/>
        </w:rPr>
        <w:t>domestic enrolments. In contrast, WA experienced</w:t>
      </w:r>
      <w:r>
        <w:rPr>
          <w:b w:val="0"/>
          <w:spacing w:val="40"/>
        </w:rPr>
        <w:t> </w:t>
      </w:r>
      <w:r>
        <w:rPr>
          <w:b w:val="0"/>
        </w:rPr>
        <w:t>flat domestic student enrolments and low growth in</w:t>
      </w:r>
      <w:r>
        <w:rPr>
          <w:b w:val="0"/>
          <w:spacing w:val="40"/>
        </w:rPr>
        <w:t> </w:t>
      </w:r>
      <w:r>
        <w:rPr>
          <w:b w:val="0"/>
        </w:rPr>
        <w:t>international</w:t>
      </w:r>
      <w:r>
        <w:rPr>
          <w:b w:val="0"/>
          <w:spacing w:val="-5"/>
        </w:rPr>
        <w:t> </w:t>
      </w:r>
      <w:r>
        <w:rPr>
          <w:b w:val="0"/>
        </w:rPr>
        <w:t>students.</w:t>
      </w:r>
    </w:p>
    <w:p>
      <w:pPr>
        <w:pStyle w:val="BodyText"/>
        <w:spacing w:before="54"/>
        <w:rPr>
          <w:b w:val="0"/>
        </w:rPr>
      </w:pPr>
    </w:p>
    <w:p>
      <w:pPr>
        <w:pStyle w:val="BodyText"/>
        <w:spacing w:line="295" w:lineRule="auto"/>
        <w:ind w:left="1126"/>
        <w:rPr>
          <w:b w:val="0"/>
        </w:rPr>
      </w:pPr>
      <w:r>
        <w:rPr>
          <w:b w:val="0"/>
        </w:rPr>
        <w:t>In</w:t>
      </w:r>
      <w:r>
        <w:rPr>
          <w:b w:val="0"/>
          <w:spacing w:val="-3"/>
        </w:rPr>
        <w:t> </w:t>
      </w:r>
      <w:r>
        <w:rPr>
          <w:b w:val="0"/>
        </w:rPr>
        <w:t>2019,</w:t>
      </w:r>
      <w:r>
        <w:rPr>
          <w:b w:val="0"/>
          <w:spacing w:val="-3"/>
        </w:rPr>
        <w:t> </w:t>
      </w:r>
      <w:r>
        <w:rPr>
          <w:b w:val="0"/>
        </w:rPr>
        <w:t>Perth</w:t>
      </w:r>
      <w:r>
        <w:rPr>
          <w:b w:val="0"/>
          <w:spacing w:val="-3"/>
        </w:rPr>
        <w:t> </w:t>
      </w:r>
      <w:r>
        <w:rPr>
          <w:b w:val="0"/>
        </w:rPr>
        <w:t>was</w:t>
      </w:r>
      <w:r>
        <w:rPr>
          <w:b w:val="0"/>
          <w:spacing w:val="-3"/>
        </w:rPr>
        <w:t> </w:t>
      </w:r>
      <w:r>
        <w:rPr>
          <w:b w:val="0"/>
        </w:rPr>
        <w:t>reinstated</w:t>
      </w:r>
      <w:r>
        <w:rPr>
          <w:b w:val="0"/>
          <w:spacing w:val="-3"/>
        </w:rPr>
        <w:t> </w:t>
      </w:r>
      <w:r>
        <w:rPr>
          <w:b w:val="0"/>
        </w:rPr>
        <w:t>to</w:t>
      </w:r>
      <w:r>
        <w:rPr>
          <w:b w:val="0"/>
          <w:spacing w:val="-3"/>
        </w:rPr>
        <w:t> </w:t>
      </w:r>
      <w:r>
        <w:rPr>
          <w:b w:val="0"/>
        </w:rPr>
        <w:t>the</w:t>
      </w:r>
      <w:r>
        <w:rPr>
          <w:b w:val="0"/>
          <w:spacing w:val="-3"/>
        </w:rPr>
        <w:t> </w:t>
      </w:r>
      <w:r>
        <w:rPr>
          <w:b w:val="0"/>
        </w:rPr>
        <w:t>regional</w:t>
      </w:r>
      <w:r>
        <w:rPr>
          <w:b w:val="0"/>
          <w:spacing w:val="-3"/>
        </w:rPr>
        <w:t> </w:t>
      </w:r>
      <w:r>
        <w:rPr>
          <w:b w:val="0"/>
        </w:rPr>
        <w:t>migration</w:t>
      </w:r>
      <w:r>
        <w:rPr>
          <w:b w:val="0"/>
          <w:spacing w:val="40"/>
        </w:rPr>
        <w:t> </w:t>
      </w:r>
      <w:r>
        <w:rPr>
          <w:b w:val="0"/>
        </w:rPr>
        <w:t>scheme, a policy expected to drive future demand.</w:t>
      </w:r>
    </w:p>
    <w:p>
      <w:pPr>
        <w:pStyle w:val="BodyText"/>
        <w:spacing w:line="295" w:lineRule="auto" w:before="2"/>
        <w:ind w:left="1126" w:right="52"/>
        <w:rPr>
          <w:b w:val="0"/>
        </w:rPr>
      </w:pPr>
      <w:r>
        <w:rPr>
          <w:b w:val="0"/>
        </w:rPr>
        <w:t>However, in 2020 border restrictions introduced to</w:t>
      </w:r>
      <w:r>
        <w:rPr>
          <w:b w:val="0"/>
          <w:spacing w:val="40"/>
        </w:rPr>
        <w:t> </w:t>
      </w:r>
      <w:r>
        <w:rPr>
          <w:b w:val="0"/>
        </w:rPr>
        <w:t>contain</w:t>
      </w:r>
      <w:r>
        <w:rPr>
          <w:b w:val="0"/>
          <w:spacing w:val="-2"/>
        </w:rPr>
        <w:t> </w:t>
      </w:r>
      <w:r>
        <w:rPr>
          <w:b w:val="0"/>
        </w:rPr>
        <w:t>COVID-19</w:t>
      </w:r>
      <w:r>
        <w:rPr>
          <w:b w:val="0"/>
          <w:spacing w:val="-2"/>
        </w:rPr>
        <w:t> </w:t>
      </w:r>
      <w:r>
        <w:rPr>
          <w:b w:val="0"/>
        </w:rPr>
        <w:t>led</w:t>
      </w:r>
      <w:r>
        <w:rPr>
          <w:b w:val="0"/>
          <w:spacing w:val="-2"/>
        </w:rPr>
        <w:t> </w:t>
      </w:r>
      <w:r>
        <w:rPr>
          <w:b w:val="0"/>
        </w:rPr>
        <w:t>to</w:t>
      </w:r>
      <w:r>
        <w:rPr>
          <w:b w:val="0"/>
          <w:spacing w:val="-2"/>
        </w:rPr>
        <w:t> </w:t>
      </w:r>
      <w:r>
        <w:rPr>
          <w:b w:val="0"/>
        </w:rPr>
        <w:t>a</w:t>
      </w:r>
      <w:r>
        <w:rPr>
          <w:b w:val="0"/>
          <w:spacing w:val="-2"/>
        </w:rPr>
        <w:t> </w:t>
      </w:r>
      <w:r>
        <w:rPr>
          <w:b w:val="0"/>
        </w:rPr>
        <w:t>decline</w:t>
      </w:r>
      <w:r>
        <w:rPr>
          <w:b w:val="0"/>
          <w:spacing w:val="-2"/>
        </w:rPr>
        <w:t> </w:t>
      </w:r>
      <w:r>
        <w:rPr>
          <w:b w:val="0"/>
        </w:rPr>
        <w:t>in</w:t>
      </w:r>
      <w:r>
        <w:rPr>
          <w:b w:val="0"/>
          <w:spacing w:val="-2"/>
        </w:rPr>
        <w:t> </w:t>
      </w:r>
      <w:r>
        <w:rPr>
          <w:b w:val="0"/>
        </w:rPr>
        <w:t>international</w:t>
      </w:r>
      <w:r>
        <w:rPr>
          <w:b w:val="0"/>
          <w:spacing w:val="-2"/>
        </w:rPr>
        <w:t> </w:t>
      </w:r>
      <w:r>
        <w:rPr>
          <w:b w:val="0"/>
        </w:rPr>
        <w:t>student</w:t>
      </w:r>
      <w:r>
        <w:rPr>
          <w:b w:val="0"/>
          <w:spacing w:val="40"/>
        </w:rPr>
        <w:t> </w:t>
      </w:r>
      <w:r>
        <w:rPr>
          <w:b w:val="0"/>
        </w:rPr>
        <w:t>enrolments nationwide. Strong demand for face-to-face</w:t>
      </w:r>
      <w:r>
        <w:rPr>
          <w:b w:val="0"/>
          <w:spacing w:val="40"/>
        </w:rPr>
        <w:t> </w:t>
      </w:r>
      <w:r>
        <w:rPr>
          <w:b w:val="0"/>
        </w:rPr>
        <w:t>learning is expected to drive some international students</w:t>
      </w:r>
      <w:r>
        <w:rPr>
          <w:b w:val="0"/>
          <w:spacing w:val="40"/>
        </w:rPr>
        <w:t> </w:t>
      </w:r>
      <w:r>
        <w:rPr>
          <w:b w:val="0"/>
        </w:rPr>
        <w:t>to reconsider their study destinations in the short term.</w:t>
      </w:r>
    </w:p>
    <w:p>
      <w:pPr>
        <w:pStyle w:val="BodyText"/>
        <w:spacing w:before="53"/>
        <w:rPr>
          <w:b w:val="0"/>
        </w:rPr>
      </w:pPr>
    </w:p>
    <w:p>
      <w:pPr>
        <w:pStyle w:val="BodyText"/>
        <w:spacing w:line="295" w:lineRule="auto" w:before="1"/>
        <w:ind w:left="1126"/>
        <w:rPr>
          <w:b w:val="0"/>
        </w:rPr>
      </w:pPr>
      <w:r>
        <w:rPr>
          <w:b w:val="0"/>
        </w:rPr>
        <w:t>Amongst increasing competition, Australia remains the</w:t>
      </w:r>
      <w:r>
        <w:rPr>
          <w:b w:val="0"/>
          <w:spacing w:val="40"/>
        </w:rPr>
        <w:t> </w:t>
      </w:r>
      <w:r>
        <w:rPr>
          <w:b w:val="0"/>
        </w:rPr>
        <w:t>world’s third most popular education destination.</w:t>
      </w:r>
    </w:p>
    <w:p>
      <w:pPr>
        <w:pStyle w:val="BodyText"/>
        <w:spacing w:line="295" w:lineRule="auto" w:before="1"/>
        <w:ind w:left="1126" w:right="64"/>
        <w:rPr>
          <w:b w:val="0"/>
        </w:rPr>
      </w:pPr>
      <w:r>
        <w:rPr>
          <w:b w:val="0"/>
        </w:rPr>
        <w:t>WA</w:t>
      </w:r>
      <w:r>
        <w:rPr>
          <w:b w:val="0"/>
          <w:spacing w:val="-2"/>
        </w:rPr>
        <w:t> </w:t>
      </w:r>
      <w:r>
        <w:rPr>
          <w:b w:val="0"/>
        </w:rPr>
        <w:t>and</w:t>
      </w:r>
      <w:r>
        <w:rPr>
          <w:b w:val="0"/>
          <w:spacing w:val="-2"/>
        </w:rPr>
        <w:t> </w:t>
      </w:r>
      <w:r>
        <w:rPr>
          <w:b w:val="0"/>
        </w:rPr>
        <w:t>UWA</w:t>
      </w:r>
      <w:r>
        <w:rPr>
          <w:b w:val="0"/>
          <w:spacing w:val="-2"/>
        </w:rPr>
        <w:t> </w:t>
      </w:r>
      <w:r>
        <w:rPr>
          <w:b w:val="0"/>
        </w:rPr>
        <w:t>hold</w:t>
      </w:r>
      <w:r>
        <w:rPr>
          <w:b w:val="0"/>
          <w:spacing w:val="-2"/>
        </w:rPr>
        <w:t> </w:t>
      </w:r>
      <w:r>
        <w:rPr>
          <w:b w:val="0"/>
        </w:rPr>
        <w:t>a</w:t>
      </w:r>
      <w:r>
        <w:rPr>
          <w:b w:val="0"/>
          <w:spacing w:val="-2"/>
        </w:rPr>
        <w:t> </w:t>
      </w:r>
      <w:r>
        <w:rPr>
          <w:b w:val="0"/>
        </w:rPr>
        <w:t>small</w:t>
      </w:r>
      <w:r>
        <w:rPr>
          <w:b w:val="0"/>
          <w:spacing w:val="-2"/>
        </w:rPr>
        <w:t> </w:t>
      </w:r>
      <w:r>
        <w:rPr>
          <w:b w:val="0"/>
        </w:rPr>
        <w:t>share</w:t>
      </w:r>
      <w:r>
        <w:rPr>
          <w:b w:val="0"/>
          <w:spacing w:val="-2"/>
        </w:rPr>
        <w:t> </w:t>
      </w:r>
      <w:r>
        <w:rPr>
          <w:b w:val="0"/>
        </w:rPr>
        <w:t>of</w:t>
      </w:r>
      <w:r>
        <w:rPr>
          <w:b w:val="0"/>
          <w:spacing w:val="-2"/>
        </w:rPr>
        <w:t> </w:t>
      </w:r>
      <w:r>
        <w:rPr>
          <w:b w:val="0"/>
        </w:rPr>
        <w:t>this</w:t>
      </w:r>
      <w:r>
        <w:rPr>
          <w:b w:val="0"/>
          <w:spacing w:val="-2"/>
        </w:rPr>
        <w:t> </w:t>
      </w:r>
      <w:r>
        <w:rPr>
          <w:b w:val="0"/>
        </w:rPr>
        <w:t>market</w:t>
      </w:r>
      <w:r>
        <w:rPr>
          <w:b w:val="0"/>
          <w:spacing w:val="-2"/>
        </w:rPr>
        <w:t> </w:t>
      </w:r>
      <w:r>
        <w:rPr>
          <w:b w:val="0"/>
        </w:rPr>
        <w:t>with</w:t>
      </w:r>
      <w:r>
        <w:rPr>
          <w:b w:val="0"/>
          <w:spacing w:val="-2"/>
        </w:rPr>
        <w:t> </w:t>
      </w:r>
      <w:r>
        <w:rPr>
          <w:b w:val="0"/>
        </w:rPr>
        <w:t>plenty</w:t>
      </w:r>
      <w:r>
        <w:rPr>
          <w:b w:val="0"/>
          <w:spacing w:val="40"/>
        </w:rPr>
        <w:t> </w:t>
      </w:r>
      <w:r>
        <w:rPr>
          <w:b w:val="0"/>
        </w:rPr>
        <w:t>of capacity for growth and WA universities, along with</w:t>
      </w:r>
      <w:r>
        <w:rPr>
          <w:b w:val="0"/>
          <w:spacing w:val="40"/>
        </w:rPr>
        <w:t> </w:t>
      </w:r>
      <w:r>
        <w:rPr>
          <w:b w:val="0"/>
        </w:rPr>
        <w:t>government agencies, continue work to raise awareness</w:t>
      </w:r>
      <w:r>
        <w:rPr>
          <w:b w:val="0"/>
          <w:spacing w:val="40"/>
        </w:rPr>
        <w:t> </w:t>
      </w:r>
      <w:r>
        <w:rPr>
          <w:b w:val="0"/>
        </w:rPr>
        <w:t>of Perth, and consequently UWA, as a study destination.</w:t>
      </w:r>
      <w:r>
        <w:rPr>
          <w:b w:val="0"/>
          <w:spacing w:val="40"/>
        </w:rPr>
        <w:t> </w:t>
      </w:r>
      <w:r>
        <w:rPr>
          <w:b w:val="0"/>
        </w:rPr>
        <w:t>As with all Australian universities, UWA aims to balance</w:t>
      </w:r>
      <w:r>
        <w:rPr>
          <w:b w:val="0"/>
          <w:spacing w:val="40"/>
        </w:rPr>
        <w:t> </w:t>
      </w:r>
      <w:r>
        <w:rPr>
          <w:b w:val="0"/>
        </w:rPr>
        <w:t>the profile of its international students to safeguard</w:t>
      </w:r>
      <w:r>
        <w:rPr>
          <w:b w:val="0"/>
          <w:spacing w:val="40"/>
        </w:rPr>
        <w:t> </w:t>
      </w:r>
      <w:r>
        <w:rPr>
          <w:b w:val="0"/>
        </w:rPr>
        <w:t>against market fluctuations.</w:t>
      </w:r>
    </w:p>
    <w:p>
      <w:pPr>
        <w:pStyle w:val="BodyText"/>
        <w:spacing w:before="56"/>
        <w:rPr>
          <w:b w:val="0"/>
        </w:rPr>
      </w:pPr>
    </w:p>
    <w:p>
      <w:pPr>
        <w:pStyle w:val="BodyText"/>
        <w:spacing w:line="295" w:lineRule="auto"/>
        <w:ind w:left="1126" w:right="26"/>
        <w:rPr>
          <w:b w:val="0"/>
        </w:rPr>
      </w:pPr>
      <w:r>
        <w:rPr>
          <w:b w:val="0"/>
        </w:rPr>
        <w:t>Domestically, over the past five years the WA population</w:t>
      </w:r>
      <w:r>
        <w:rPr>
          <w:b w:val="0"/>
          <w:spacing w:val="40"/>
        </w:rPr>
        <w:t> </w:t>
      </w:r>
      <w:r>
        <w:rPr>
          <w:b w:val="0"/>
        </w:rPr>
        <w:t>of 15 to 30 year olds remained flat, and a declining</w:t>
      </w:r>
      <w:r>
        <w:rPr>
          <w:b w:val="0"/>
          <w:spacing w:val="40"/>
        </w:rPr>
        <w:t> </w:t>
      </w:r>
      <w:r>
        <w:rPr>
          <w:b w:val="0"/>
        </w:rPr>
        <w:t>proportion</w:t>
      </w:r>
      <w:r>
        <w:rPr>
          <w:b w:val="0"/>
          <w:spacing w:val="-2"/>
        </w:rPr>
        <w:t> </w:t>
      </w:r>
      <w:r>
        <w:rPr>
          <w:b w:val="0"/>
        </w:rPr>
        <w:t>of</w:t>
      </w:r>
      <w:r>
        <w:rPr>
          <w:b w:val="0"/>
          <w:spacing w:val="-2"/>
        </w:rPr>
        <w:t> </w:t>
      </w:r>
      <w:r>
        <w:rPr>
          <w:b w:val="0"/>
        </w:rPr>
        <w:t>high</w:t>
      </w:r>
      <w:r>
        <w:rPr>
          <w:b w:val="0"/>
          <w:spacing w:val="-2"/>
        </w:rPr>
        <w:t> </w:t>
      </w:r>
      <w:r>
        <w:rPr>
          <w:b w:val="0"/>
        </w:rPr>
        <w:t>school</w:t>
      </w:r>
      <w:r>
        <w:rPr>
          <w:b w:val="0"/>
          <w:spacing w:val="-2"/>
        </w:rPr>
        <w:t> </w:t>
      </w:r>
      <w:r>
        <w:rPr>
          <w:b w:val="0"/>
        </w:rPr>
        <w:t>graduates</w:t>
      </w:r>
      <w:r>
        <w:rPr>
          <w:b w:val="0"/>
          <w:spacing w:val="-2"/>
        </w:rPr>
        <w:t> </w:t>
      </w:r>
      <w:r>
        <w:rPr>
          <w:b w:val="0"/>
        </w:rPr>
        <w:t>attained</w:t>
      </w:r>
      <w:r>
        <w:rPr>
          <w:b w:val="0"/>
          <w:spacing w:val="-2"/>
        </w:rPr>
        <w:t> </w:t>
      </w:r>
      <w:r>
        <w:rPr>
          <w:b w:val="0"/>
        </w:rPr>
        <w:t>an</w:t>
      </w:r>
      <w:r>
        <w:rPr>
          <w:b w:val="0"/>
          <w:spacing w:val="-2"/>
        </w:rPr>
        <w:t> </w:t>
      </w:r>
      <w:r>
        <w:rPr>
          <w:b w:val="0"/>
        </w:rPr>
        <w:t>ATAR</w:t>
      </w:r>
      <w:r>
        <w:rPr>
          <w:b w:val="0"/>
          <w:spacing w:val="-2"/>
        </w:rPr>
        <w:t> </w:t>
      </w:r>
      <w:r>
        <w:rPr>
          <w:b w:val="0"/>
        </w:rPr>
        <w:t>and</w:t>
      </w:r>
      <w:r>
        <w:rPr>
          <w:b w:val="0"/>
          <w:spacing w:val="40"/>
        </w:rPr>
        <w:t> </w:t>
      </w:r>
      <w:r>
        <w:rPr>
          <w:b w:val="0"/>
        </w:rPr>
        <w:t>progressed into traditional university entry pathways.</w:t>
      </w:r>
    </w:p>
    <w:p>
      <w:pPr>
        <w:pStyle w:val="BodyText"/>
        <w:spacing w:line="295" w:lineRule="auto" w:before="4"/>
        <w:ind w:left="1126" w:right="103"/>
        <w:rPr>
          <w:b w:val="0"/>
        </w:rPr>
      </w:pPr>
      <w:r>
        <w:rPr>
          <w:b w:val="0"/>
        </w:rPr>
        <w:t>University enabling programs and certain VET courses</w:t>
      </w:r>
      <w:r>
        <w:rPr>
          <w:b w:val="0"/>
          <w:spacing w:val="40"/>
        </w:rPr>
        <w:t> </w:t>
      </w:r>
      <w:r>
        <w:rPr>
          <w:b w:val="0"/>
        </w:rPr>
        <w:t>have grown. These dynamics increased competition.</w:t>
      </w:r>
      <w:r>
        <w:rPr>
          <w:b w:val="0"/>
          <w:spacing w:val="40"/>
        </w:rPr>
        <w:t> </w:t>
      </w:r>
      <w:r>
        <w:rPr>
          <w:b w:val="0"/>
        </w:rPr>
        <w:t>Positively,</w:t>
      </w:r>
      <w:r>
        <w:rPr>
          <w:b w:val="0"/>
          <w:spacing w:val="-1"/>
        </w:rPr>
        <w:t> </w:t>
      </w:r>
      <w:r>
        <w:rPr>
          <w:b w:val="0"/>
        </w:rPr>
        <w:t>there</w:t>
      </w:r>
      <w:r>
        <w:rPr>
          <w:b w:val="0"/>
          <w:spacing w:val="-1"/>
        </w:rPr>
        <w:t> </w:t>
      </w:r>
      <w:r>
        <w:rPr>
          <w:b w:val="0"/>
        </w:rPr>
        <w:t>is</w:t>
      </w:r>
      <w:r>
        <w:rPr>
          <w:b w:val="0"/>
          <w:spacing w:val="-1"/>
        </w:rPr>
        <w:t> </w:t>
      </w:r>
      <w:r>
        <w:rPr>
          <w:b w:val="0"/>
        </w:rPr>
        <w:t>strong</w:t>
      </w:r>
      <w:r>
        <w:rPr>
          <w:b w:val="0"/>
          <w:spacing w:val="-1"/>
        </w:rPr>
        <w:t> </w:t>
      </w:r>
      <w:r>
        <w:rPr>
          <w:b w:val="0"/>
        </w:rPr>
        <w:t>growth</w:t>
      </w:r>
      <w:r>
        <w:rPr>
          <w:b w:val="0"/>
          <w:spacing w:val="-1"/>
        </w:rPr>
        <w:t> </w:t>
      </w:r>
      <w:r>
        <w:rPr>
          <w:b w:val="0"/>
        </w:rPr>
        <w:t>forecast</w:t>
      </w:r>
      <w:r>
        <w:rPr>
          <w:b w:val="0"/>
          <w:spacing w:val="-1"/>
        </w:rPr>
        <w:t> </w:t>
      </w:r>
      <w:r>
        <w:rPr>
          <w:b w:val="0"/>
        </w:rPr>
        <w:t>for</w:t>
      </w:r>
      <w:r>
        <w:rPr>
          <w:b w:val="0"/>
          <w:spacing w:val="-1"/>
        </w:rPr>
        <w:t> </w:t>
      </w:r>
      <w:r>
        <w:rPr>
          <w:b w:val="0"/>
        </w:rPr>
        <w:t>the</w:t>
      </w:r>
      <w:r>
        <w:rPr>
          <w:b w:val="0"/>
          <w:spacing w:val="-1"/>
        </w:rPr>
        <w:t> </w:t>
      </w:r>
      <w:r>
        <w:rPr>
          <w:b w:val="0"/>
        </w:rPr>
        <w:t>school-</w:t>
      </w:r>
      <w:r>
        <w:rPr>
          <w:b w:val="0"/>
          <w:spacing w:val="40"/>
        </w:rPr>
        <w:t> </w:t>
      </w:r>
      <w:r>
        <w:rPr>
          <w:b w:val="0"/>
        </w:rPr>
        <w:t>age population over the five years to 2025.</w:t>
      </w:r>
    </w:p>
    <w:p>
      <w:pPr>
        <w:pStyle w:val="BodyText"/>
        <w:spacing w:before="52"/>
        <w:rPr>
          <w:b w:val="0"/>
        </w:rPr>
      </w:pPr>
    </w:p>
    <w:p>
      <w:pPr>
        <w:pStyle w:val="BodyText"/>
        <w:spacing w:line="295" w:lineRule="auto" w:before="1"/>
        <w:ind w:left="1126"/>
        <w:rPr>
          <w:b w:val="0"/>
        </w:rPr>
      </w:pPr>
      <w:r>
        <w:rPr>
          <w:b w:val="0"/>
        </w:rPr>
        <w:t>In response to these dynamics UWA is expanding its range</w:t>
      </w:r>
      <w:r>
        <w:rPr>
          <w:b w:val="0"/>
          <w:spacing w:val="40"/>
        </w:rPr>
        <w:t> </w:t>
      </w:r>
      <w:r>
        <w:rPr>
          <w:b w:val="0"/>
        </w:rPr>
        <w:t>of courses, increasing accessibility, and launching short</w:t>
      </w:r>
      <w:r>
        <w:rPr>
          <w:b w:val="0"/>
          <w:spacing w:val="40"/>
        </w:rPr>
        <w:t> </w:t>
      </w:r>
      <w:r>
        <w:rPr>
          <w:b w:val="0"/>
        </w:rPr>
        <w:t>courses. The University is also enhancing its online and</w:t>
      </w:r>
      <w:r>
        <w:rPr>
          <w:b w:val="0"/>
          <w:spacing w:val="40"/>
        </w:rPr>
        <w:t> </w:t>
      </w:r>
      <w:r>
        <w:rPr>
          <w:b w:val="0"/>
        </w:rPr>
        <w:t>blended learning delivery, and building an improved</w:t>
      </w:r>
      <w:r>
        <w:rPr>
          <w:b w:val="0"/>
          <w:spacing w:val="40"/>
        </w:rPr>
        <w:t> </w:t>
      </w:r>
      <w:r>
        <w:rPr>
          <w:b w:val="0"/>
        </w:rPr>
        <w:t>offering for regional students.</w:t>
      </w:r>
    </w:p>
    <w:p>
      <w:pPr>
        <w:pStyle w:val="Heading8"/>
        <w:spacing w:before="132"/>
        <w:ind w:left="356"/>
      </w:pPr>
      <w:r>
        <w:rPr>
          <w:b w:val="0"/>
        </w:rPr>
        <w:br w:type="column"/>
      </w:r>
      <w:r>
        <w:rPr>
          <w:spacing w:val="-8"/>
        </w:rPr>
        <w:t>Government</w:t>
      </w:r>
      <w:r>
        <w:rPr>
          <w:spacing w:val="-5"/>
        </w:rPr>
        <w:t> </w:t>
      </w:r>
      <w:r>
        <w:rPr>
          <w:spacing w:val="-8"/>
        </w:rPr>
        <w:t>and</w:t>
      </w:r>
      <w:r>
        <w:rPr>
          <w:spacing w:val="-5"/>
        </w:rPr>
        <w:t> </w:t>
      </w:r>
      <w:r>
        <w:rPr>
          <w:spacing w:val="-8"/>
        </w:rPr>
        <w:t>policy</w:t>
      </w:r>
    </w:p>
    <w:p>
      <w:pPr>
        <w:pStyle w:val="BodyText"/>
        <w:spacing w:line="295" w:lineRule="auto" w:before="36"/>
        <w:ind w:left="356" w:right="486"/>
        <w:rPr>
          <w:b w:val="0"/>
        </w:rPr>
      </w:pPr>
      <w:r>
        <w:rPr>
          <w:b w:val="0"/>
        </w:rPr>
        <w:t>The COVID-19 global pandemic dominated public policy</w:t>
      </w:r>
      <w:r>
        <w:rPr>
          <w:b w:val="0"/>
          <w:spacing w:val="40"/>
        </w:rPr>
        <w:t> </w:t>
      </w:r>
      <w:r>
        <w:rPr>
          <w:b w:val="0"/>
        </w:rPr>
        <w:t>decision-making at both the State and Federal levels.</w:t>
      </w:r>
    </w:p>
    <w:p>
      <w:pPr>
        <w:pStyle w:val="BodyText"/>
        <w:spacing w:line="295" w:lineRule="auto" w:before="2"/>
        <w:ind w:left="356" w:right="486"/>
        <w:rPr>
          <w:b w:val="0"/>
        </w:rPr>
      </w:pPr>
      <w:r>
        <w:rPr>
          <w:b w:val="0"/>
        </w:rPr>
        <w:t>In the early days of the pandemic, the Commonwealth</w:t>
      </w:r>
      <w:r>
        <w:rPr>
          <w:b w:val="0"/>
          <w:spacing w:val="40"/>
        </w:rPr>
        <w:t> </w:t>
      </w:r>
      <w:r>
        <w:rPr>
          <w:b w:val="0"/>
        </w:rPr>
        <w:t>closed the borders to travellers from China, and</w:t>
      </w:r>
      <w:r>
        <w:rPr>
          <w:b w:val="0"/>
          <w:spacing w:val="40"/>
        </w:rPr>
        <w:t> </w:t>
      </w:r>
      <w:r>
        <w:rPr>
          <w:b w:val="0"/>
        </w:rPr>
        <w:t>subsequently to all travellers, which left many of UWA’s</w:t>
      </w:r>
      <w:r>
        <w:rPr>
          <w:b w:val="0"/>
          <w:spacing w:val="40"/>
        </w:rPr>
        <w:t> </w:t>
      </w:r>
      <w:r>
        <w:rPr>
          <w:b w:val="0"/>
        </w:rPr>
        <w:t>international</w:t>
      </w:r>
      <w:r>
        <w:rPr>
          <w:b w:val="0"/>
          <w:spacing w:val="-1"/>
        </w:rPr>
        <w:t> </w:t>
      </w:r>
      <w:r>
        <w:rPr>
          <w:b w:val="0"/>
        </w:rPr>
        <w:t>students overseas for the commencement</w:t>
      </w:r>
      <w:r>
        <w:rPr>
          <w:b w:val="0"/>
          <w:spacing w:val="40"/>
        </w:rPr>
        <w:t> </w:t>
      </w:r>
      <w:r>
        <w:rPr>
          <w:b w:val="0"/>
        </w:rPr>
        <w:t>of Semester 1.</w:t>
      </w:r>
    </w:p>
    <w:p>
      <w:pPr>
        <w:pStyle w:val="BodyText"/>
        <w:spacing w:before="53"/>
        <w:rPr>
          <w:b w:val="0"/>
        </w:rPr>
      </w:pPr>
    </w:p>
    <w:p>
      <w:pPr>
        <w:pStyle w:val="BodyText"/>
        <w:spacing w:line="295" w:lineRule="auto" w:before="1"/>
        <w:ind w:left="356" w:right="486"/>
        <w:rPr>
          <w:b w:val="0"/>
        </w:rPr>
      </w:pPr>
      <w:r>
        <w:rPr>
          <w:b w:val="0"/>
        </w:rPr>
        <w:t>Universities were excluded from measures implemented</w:t>
      </w:r>
      <w:r>
        <w:rPr>
          <w:b w:val="0"/>
          <w:spacing w:val="40"/>
        </w:rPr>
        <w:t> </w:t>
      </w:r>
      <w:r>
        <w:rPr>
          <w:b w:val="0"/>
        </w:rPr>
        <w:t>by the WA and Commonwealth governments to support</w:t>
      </w:r>
      <w:r>
        <w:rPr>
          <w:b w:val="0"/>
          <w:spacing w:val="40"/>
        </w:rPr>
        <w:t> </w:t>
      </w:r>
      <w:r>
        <w:rPr>
          <w:b w:val="0"/>
        </w:rPr>
        <w:t>businesses impacted by the COVID-19 global pandemic,</w:t>
      </w:r>
      <w:r>
        <w:rPr>
          <w:b w:val="0"/>
          <w:spacing w:val="40"/>
        </w:rPr>
        <w:t> </w:t>
      </w:r>
      <w:r>
        <w:rPr>
          <w:b w:val="0"/>
        </w:rPr>
        <w:t>such as the JobKeeper scheme and payroll tax deferral.</w:t>
      </w:r>
      <w:r>
        <w:rPr>
          <w:b w:val="0"/>
          <w:spacing w:val="40"/>
        </w:rPr>
        <w:t> </w:t>
      </w:r>
      <w:r>
        <w:rPr>
          <w:b w:val="0"/>
        </w:rPr>
        <w:t>Governments also declined to provide financial support</w:t>
      </w:r>
      <w:r>
        <w:rPr>
          <w:b w:val="0"/>
          <w:spacing w:val="40"/>
        </w:rPr>
        <w:t> </w:t>
      </w:r>
      <w:r>
        <w:rPr>
          <w:b w:val="0"/>
        </w:rPr>
        <w:t>to UWA’s international students who had lost their</w:t>
      </w:r>
      <w:r>
        <w:rPr>
          <w:b w:val="0"/>
          <w:spacing w:val="40"/>
        </w:rPr>
        <w:t> </w:t>
      </w:r>
      <w:r>
        <w:rPr>
          <w:b w:val="0"/>
        </w:rPr>
        <w:t>employment due to the economic impacts of the</w:t>
      </w:r>
      <w:r>
        <w:rPr>
          <w:b w:val="0"/>
          <w:spacing w:val="40"/>
        </w:rPr>
        <w:t> </w:t>
      </w:r>
      <w:r>
        <w:rPr>
          <w:b w:val="0"/>
        </w:rPr>
        <w:t>pandemic. Despite work across the sector with</w:t>
      </w:r>
      <w:r>
        <w:rPr>
          <w:b w:val="0"/>
          <w:spacing w:val="40"/>
        </w:rPr>
        <w:t> </w:t>
      </w:r>
      <w:r>
        <w:rPr>
          <w:b w:val="0"/>
        </w:rPr>
        <w:t>Commonwealth and State governments on controlled</w:t>
      </w:r>
      <w:r>
        <w:rPr>
          <w:b w:val="0"/>
          <w:spacing w:val="40"/>
        </w:rPr>
        <w:t> </w:t>
      </w:r>
      <w:r>
        <w:rPr>
          <w:b w:val="0"/>
        </w:rPr>
        <w:t>entry programs, Australia’s borders remain closed to</w:t>
      </w:r>
      <w:r>
        <w:rPr>
          <w:b w:val="0"/>
          <w:spacing w:val="40"/>
        </w:rPr>
        <w:t> </w:t>
      </w:r>
      <w:r>
        <w:rPr>
          <w:b w:val="0"/>
        </w:rPr>
        <w:t>international</w:t>
      </w:r>
      <w:r>
        <w:rPr>
          <w:b w:val="0"/>
          <w:spacing w:val="-7"/>
        </w:rPr>
        <w:t> </w:t>
      </w:r>
      <w:r>
        <w:rPr>
          <w:b w:val="0"/>
        </w:rPr>
        <w:t>students.</w:t>
      </w:r>
    </w:p>
    <w:p>
      <w:pPr>
        <w:pStyle w:val="BodyText"/>
        <w:spacing w:before="59"/>
        <w:rPr>
          <w:b w:val="0"/>
        </w:rPr>
      </w:pPr>
    </w:p>
    <w:p>
      <w:pPr>
        <w:pStyle w:val="BodyText"/>
        <w:spacing w:line="295" w:lineRule="auto"/>
        <w:ind w:left="356" w:right="350"/>
        <w:rPr>
          <w:b w:val="0"/>
        </w:rPr>
      </w:pPr>
      <w:r>
        <w:rPr>
          <w:b w:val="0"/>
        </w:rPr>
        <w:t>In June, the Federal Education Minister announced the</w:t>
      </w:r>
      <w:r>
        <w:rPr>
          <w:b w:val="0"/>
          <w:spacing w:val="40"/>
        </w:rPr>
        <w:t> </w:t>
      </w:r>
      <w:r>
        <w:rPr>
          <w:b w:val="0"/>
        </w:rPr>
        <w:t>Job-ready Graduates Package, a comprehensive</w:t>
      </w:r>
      <w:r>
        <w:rPr>
          <w:b w:val="0"/>
          <w:spacing w:val="40"/>
        </w:rPr>
        <w:t> </w:t>
      </w:r>
      <w:r>
        <w:rPr>
          <w:b w:val="0"/>
        </w:rPr>
        <w:t>reorganisation of the funding model for Commonwealth</w:t>
      </w:r>
      <w:r>
        <w:rPr>
          <w:b w:val="0"/>
          <w:spacing w:val="40"/>
        </w:rPr>
        <w:t> </w:t>
      </w:r>
      <w:r>
        <w:rPr>
          <w:b w:val="0"/>
        </w:rPr>
        <w:t>supported students. The package creates additional</w:t>
      </w:r>
      <w:r>
        <w:rPr>
          <w:b w:val="0"/>
          <w:spacing w:val="40"/>
        </w:rPr>
        <w:t> </w:t>
      </w:r>
      <w:r>
        <w:rPr>
          <w:b w:val="0"/>
        </w:rPr>
        <w:t>student places over the coming decade to keep pace with</w:t>
      </w:r>
      <w:r>
        <w:rPr>
          <w:b w:val="0"/>
          <w:spacing w:val="40"/>
        </w:rPr>
        <w:t> </w:t>
      </w:r>
      <w:r>
        <w:rPr>
          <w:b w:val="0"/>
        </w:rPr>
        <w:t>the coming demographic bulge in university-aged young</w:t>
      </w:r>
      <w:r>
        <w:rPr>
          <w:b w:val="0"/>
          <w:spacing w:val="40"/>
        </w:rPr>
        <w:t> </w:t>
      </w:r>
      <w:r>
        <w:rPr>
          <w:b w:val="0"/>
        </w:rPr>
        <w:t>people. The additional places are funded by increasing the</w:t>
      </w:r>
      <w:r>
        <w:rPr>
          <w:b w:val="0"/>
          <w:spacing w:val="40"/>
        </w:rPr>
        <w:t> </w:t>
      </w:r>
      <w:r>
        <w:rPr>
          <w:b w:val="0"/>
        </w:rPr>
        <w:t>overall student contribution to university fees.</w:t>
      </w:r>
    </w:p>
    <w:p>
      <w:pPr>
        <w:pStyle w:val="BodyText"/>
        <w:spacing w:line="295" w:lineRule="auto" w:before="7"/>
        <w:ind w:left="356" w:right="350"/>
        <w:rPr>
          <w:b w:val="0"/>
        </w:rPr>
      </w:pPr>
      <w:r>
        <w:rPr>
          <w:b w:val="0"/>
        </w:rPr>
        <w:t>To encourage STEM students, the Government has</w:t>
      </w:r>
      <w:r>
        <w:rPr>
          <w:b w:val="0"/>
          <w:spacing w:val="40"/>
        </w:rPr>
        <w:t> </w:t>
      </w:r>
      <w:r>
        <w:rPr>
          <w:b w:val="0"/>
        </w:rPr>
        <w:t>reduced student contributions for STEM units, but</w:t>
      </w:r>
      <w:r>
        <w:rPr>
          <w:b w:val="0"/>
          <w:spacing w:val="40"/>
        </w:rPr>
        <w:t> </w:t>
      </w:r>
      <w:r>
        <w:rPr>
          <w:b w:val="0"/>
        </w:rPr>
        <w:t>significantly increased the student contributions</w:t>
      </w:r>
      <w:r>
        <w:rPr>
          <w:b w:val="0"/>
          <w:spacing w:val="-1"/>
        </w:rPr>
        <w:t> </w:t>
      </w:r>
      <w:r>
        <w:rPr>
          <w:b w:val="0"/>
        </w:rPr>
        <w:t>for many</w:t>
      </w:r>
      <w:r>
        <w:rPr>
          <w:b w:val="0"/>
          <w:spacing w:val="40"/>
        </w:rPr>
        <w:t> </w:t>
      </w:r>
      <w:r>
        <w:rPr>
          <w:b w:val="0"/>
        </w:rPr>
        <w:t>humanities units. Importantly for UWA, the package also</w:t>
      </w:r>
      <w:r>
        <w:rPr>
          <w:b w:val="0"/>
          <w:spacing w:val="40"/>
        </w:rPr>
        <w:t> </w:t>
      </w:r>
      <w:r>
        <w:rPr>
          <w:b w:val="0"/>
        </w:rPr>
        <w:t>gives universities more flexibility to transfer allocated</w:t>
      </w:r>
      <w:r>
        <w:rPr>
          <w:b w:val="0"/>
          <w:spacing w:val="40"/>
        </w:rPr>
        <w:t> </w:t>
      </w:r>
      <w:r>
        <w:rPr>
          <w:b w:val="0"/>
        </w:rPr>
        <w:t>Commonwealth places between postgraduate and</w:t>
      </w:r>
      <w:r>
        <w:rPr>
          <w:b w:val="0"/>
          <w:spacing w:val="40"/>
        </w:rPr>
        <w:t> </w:t>
      </w:r>
      <w:r>
        <w:rPr>
          <w:b w:val="0"/>
        </w:rPr>
        <w:t>undergraduate</w:t>
      </w:r>
      <w:r>
        <w:rPr>
          <w:b w:val="0"/>
          <w:spacing w:val="-5"/>
        </w:rPr>
        <w:t> </w:t>
      </w:r>
      <w:r>
        <w:rPr>
          <w:b w:val="0"/>
        </w:rPr>
        <w:t>courses.</w:t>
      </w:r>
    </w:p>
    <w:p>
      <w:pPr>
        <w:pStyle w:val="BodyText"/>
        <w:spacing w:before="55"/>
        <w:rPr>
          <w:b w:val="0"/>
        </w:rPr>
      </w:pPr>
    </w:p>
    <w:p>
      <w:pPr>
        <w:pStyle w:val="BodyText"/>
        <w:spacing w:line="295" w:lineRule="auto" w:before="1"/>
        <w:ind w:left="356" w:right="486"/>
        <w:rPr>
          <w:b w:val="0"/>
        </w:rPr>
      </w:pPr>
      <w:r>
        <w:rPr>
          <w:b w:val="0"/>
        </w:rPr>
        <w:t>In August, the Commonwealth commissioned Professor</w:t>
      </w:r>
      <w:r>
        <w:rPr>
          <w:b w:val="0"/>
          <w:spacing w:val="40"/>
        </w:rPr>
        <w:t> </w:t>
      </w:r>
      <w:r>
        <w:rPr>
          <w:b w:val="0"/>
        </w:rPr>
        <w:t>Sally Walker AM to review the implementation of the</w:t>
      </w:r>
      <w:r>
        <w:rPr>
          <w:b w:val="0"/>
          <w:spacing w:val="40"/>
        </w:rPr>
        <w:t> </w:t>
      </w:r>
      <w:r>
        <w:rPr>
          <w:b w:val="0"/>
        </w:rPr>
        <w:t>Model Code on Freedom of Speech created by the Hon.</w:t>
      </w:r>
      <w:r>
        <w:rPr>
          <w:b w:val="0"/>
          <w:spacing w:val="40"/>
        </w:rPr>
        <w:t> </w:t>
      </w:r>
      <w:r>
        <w:rPr>
          <w:b w:val="0"/>
        </w:rPr>
        <w:t>Robert French AC, UWA’s Chancellor, on behalf of the</w:t>
      </w:r>
      <w:r>
        <w:rPr>
          <w:b w:val="0"/>
          <w:spacing w:val="40"/>
        </w:rPr>
        <w:t> </w:t>
      </w:r>
      <w:r>
        <w:rPr>
          <w:b w:val="0"/>
        </w:rPr>
        <w:t>Government in 2019. Professor Walker’s report was</w:t>
      </w:r>
      <w:r>
        <w:rPr>
          <w:b w:val="0"/>
          <w:spacing w:val="40"/>
        </w:rPr>
        <w:t> </w:t>
      </w:r>
      <w:r>
        <w:rPr>
          <w:b w:val="0"/>
        </w:rPr>
        <w:t>released in December, and found UWA to be fully</w:t>
      </w:r>
      <w:r>
        <w:rPr>
          <w:b w:val="0"/>
          <w:spacing w:val="40"/>
        </w:rPr>
        <w:t> </w:t>
      </w:r>
      <w:r>
        <w:rPr>
          <w:b w:val="0"/>
        </w:rPr>
        <w:t>compliant with the French Model Code.</w:t>
      </w:r>
    </w:p>
    <w:p>
      <w:pPr>
        <w:spacing w:after="0" w:line="295" w:lineRule="auto"/>
        <w:sectPr>
          <w:type w:val="continuous"/>
          <w:pgSz w:w="11910" w:h="16840"/>
          <w:pgMar w:header="468" w:footer="0" w:top="980" w:bottom="280" w:left="0" w:right="780"/>
          <w:cols w:num="2" w:equalWidth="0">
            <w:col w:w="5755" w:space="40"/>
            <w:col w:w="5335"/>
          </w:cols>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160"/>
        <w:rPr>
          <w:b w:val="0"/>
          <w:sz w:val="20"/>
        </w:rPr>
      </w:pPr>
    </w:p>
    <w:p>
      <w:pPr>
        <w:spacing w:after="0"/>
        <w:rPr>
          <w:sz w:val="20"/>
        </w:rPr>
        <w:sectPr>
          <w:pgSz w:w="11910" w:h="16840"/>
          <w:pgMar w:header="468" w:footer="0" w:top="720" w:bottom="280" w:left="0" w:right="780"/>
        </w:sectPr>
      </w:pPr>
    </w:p>
    <w:p>
      <w:pPr>
        <w:spacing w:line="295" w:lineRule="auto" w:before="123"/>
        <w:ind w:left="1133" w:right="0" w:firstLine="0"/>
        <w:jc w:val="left"/>
        <w:rPr>
          <w:rFonts w:ascii="TT Norms Pro Light" w:hAnsi="TT Norms Pro Light"/>
          <w:b w:val="0"/>
          <w:sz w:val="18"/>
        </w:rPr>
      </w:pPr>
      <w:r>
        <w:rPr/>
        <mc:AlternateContent>
          <mc:Choice Requires="wps">
            <w:drawing>
              <wp:anchor distT="0" distB="0" distL="0" distR="0" allowOverlap="1" layoutInCell="1" locked="0" behindDoc="1" simplePos="0" relativeHeight="472651776">
                <wp:simplePos x="0" y="0"/>
                <wp:positionH relativeFrom="page">
                  <wp:posOffset>0</wp:posOffset>
                </wp:positionH>
                <wp:positionV relativeFrom="page">
                  <wp:posOffset>0</wp:posOffset>
                </wp:positionV>
                <wp:extent cx="7560309" cy="3661410"/>
                <wp:effectExtent l="0" t="0" r="0" b="0"/>
                <wp:wrapNone/>
                <wp:docPr id="319" name="Group 319"/>
                <wp:cNvGraphicFramePr>
                  <a:graphicFrameLocks/>
                </wp:cNvGraphicFramePr>
                <a:graphic>
                  <a:graphicData uri="http://schemas.microsoft.com/office/word/2010/wordprocessingGroup">
                    <wpg:wgp>
                      <wpg:cNvPr id="319" name="Group 319"/>
                      <wpg:cNvGrpSpPr/>
                      <wpg:grpSpPr>
                        <a:xfrm>
                          <a:off x="0" y="0"/>
                          <a:ext cx="7560309" cy="3661410"/>
                          <a:chExt cx="7560309" cy="3661410"/>
                        </a:xfrm>
                      </wpg:grpSpPr>
                      <pic:pic>
                        <pic:nvPicPr>
                          <pic:cNvPr id="320" name="Image 320"/>
                          <pic:cNvPicPr/>
                        </pic:nvPicPr>
                        <pic:blipFill>
                          <a:blip r:embed="rId45" cstate="print"/>
                          <a:stretch>
                            <a:fillRect/>
                          </a:stretch>
                        </pic:blipFill>
                        <pic:spPr>
                          <a:xfrm>
                            <a:off x="0" y="0"/>
                            <a:ext cx="6837100" cy="3564788"/>
                          </a:xfrm>
                          <a:prstGeom prst="rect">
                            <a:avLst/>
                          </a:prstGeom>
                        </pic:spPr>
                      </pic:pic>
                      <wps:wsp>
                        <wps:cNvPr id="321" name="Graphic 321"/>
                        <wps:cNvSpPr/>
                        <wps:spPr>
                          <a:xfrm>
                            <a:off x="6029998" y="2133003"/>
                            <a:ext cx="1530350" cy="1528445"/>
                          </a:xfrm>
                          <a:custGeom>
                            <a:avLst/>
                            <a:gdLst/>
                            <a:ahLst/>
                            <a:cxnLst/>
                            <a:rect l="l" t="t" r="r" b="b"/>
                            <a:pathLst>
                              <a:path w="1530350" h="1528445">
                                <a:moveTo>
                                  <a:pt x="1529994" y="0"/>
                                </a:moveTo>
                                <a:lnTo>
                                  <a:pt x="0" y="0"/>
                                </a:lnTo>
                                <a:lnTo>
                                  <a:pt x="0" y="1528203"/>
                                </a:lnTo>
                                <a:lnTo>
                                  <a:pt x="1529994" y="1528203"/>
                                </a:lnTo>
                                <a:lnTo>
                                  <a:pt x="152999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000015pt;width:595.3pt;height:288.3pt;mso-position-horizontal-relative:page;mso-position-vertical-relative:page;z-index:-30664704" id="docshapegroup182" coordorigin="0,0" coordsize="11906,5766">
                <v:shape style="position:absolute;left:0;top:0;width:10768;height:5614" type="#_x0000_t75" id="docshape183" stroked="false">
                  <v:imagedata r:id="rId45" o:title=""/>
                </v:shape>
                <v:rect style="position:absolute;left:9496;top:3359;width:2410;height:2407" id="docshape184" filled="true" fillcolor="#ffffff" stroked="false">
                  <v:fill type="solid"/>
                </v:rect>
                <w10:wrap type="none"/>
              </v:group>
            </w:pict>
          </mc:Fallback>
        </mc:AlternateContent>
      </w:r>
      <w:r>
        <w:rPr/>
        <mc:AlternateContent>
          <mc:Choice Requires="wps">
            <w:drawing>
              <wp:anchor distT="0" distB="0" distL="0" distR="0" allowOverlap="1" layoutInCell="1" locked="0" behindDoc="0" simplePos="0" relativeHeight="15798784">
                <wp:simplePos x="0" y="0"/>
                <wp:positionH relativeFrom="page">
                  <wp:posOffset>7111289</wp:posOffset>
                </wp:positionH>
                <wp:positionV relativeFrom="page">
                  <wp:posOffset>8136825</wp:posOffset>
                </wp:positionV>
                <wp:extent cx="177800" cy="1848485"/>
                <wp:effectExtent l="0" t="0" r="0" b="0"/>
                <wp:wrapNone/>
                <wp:docPr id="322" name="Textbox 322"/>
                <wp:cNvGraphicFramePr>
                  <a:graphicFrameLocks/>
                </wp:cNvGraphicFramePr>
                <a:graphic>
                  <a:graphicData uri="http://schemas.microsoft.com/office/word/2010/wordprocessingShape">
                    <wps:wsp>
                      <wps:cNvPr id="322" name="Textbox 322"/>
                      <wps:cNvSpPr txBox="1"/>
                      <wps:spPr>
                        <a:xfrm>
                          <a:off x="0" y="0"/>
                          <a:ext cx="177800" cy="184848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640.694885pt;width:14pt;height:145.550pt;mso-position-horizontal-relative:page;mso-position-vertical-relative:page;z-index:15798784" type="#_x0000_t202" id="docshape185"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v:textbox>
                <w10:wrap type="none"/>
              </v:shape>
            </w:pict>
          </mc:Fallback>
        </mc:AlternateContent>
      </w:r>
      <w:r>
        <w:rPr>
          <w:rFonts w:ascii="TT Norms Pro Light" w:hAnsi="TT Norms Pro Light"/>
          <w:b w:val="0"/>
          <w:sz w:val="18"/>
        </w:rPr>
        <w:t>Universities were included in the </w:t>
      </w:r>
      <w:r>
        <w:rPr>
          <w:rFonts w:ascii="TT Norms Pro Light" w:hAnsi="TT Norms Pro Light"/>
          <w:b w:val="0"/>
          <w:i/>
          <w:sz w:val="18"/>
        </w:rPr>
        <w:t>Australia’s Foreign</w:t>
      </w:r>
      <w:r>
        <w:rPr>
          <w:rFonts w:ascii="TT Norms Pro Light" w:hAnsi="TT Norms Pro Light"/>
          <w:b w:val="0"/>
          <w:i/>
          <w:spacing w:val="40"/>
          <w:sz w:val="18"/>
        </w:rPr>
        <w:t> </w:t>
      </w:r>
      <w:r>
        <w:rPr>
          <w:rFonts w:ascii="TT Norms Pro Light" w:hAnsi="TT Norms Pro Light"/>
          <w:b w:val="0"/>
          <w:i/>
          <w:sz w:val="18"/>
        </w:rPr>
        <w:t>Relations (State and Territory Arrangements) Act 2020</w:t>
      </w:r>
      <w:r>
        <w:rPr>
          <w:rFonts w:ascii="TT Norms Pro Light" w:hAnsi="TT Norms Pro Light"/>
          <w:b w:val="0"/>
          <w:sz w:val="18"/>
        </w:rPr>
        <w:t>,</w:t>
      </w:r>
      <w:r>
        <w:rPr>
          <w:rFonts w:ascii="TT Norms Pro Light" w:hAnsi="TT Norms Pro Light"/>
          <w:b w:val="0"/>
          <w:spacing w:val="40"/>
          <w:sz w:val="18"/>
        </w:rPr>
        <w:t> </w:t>
      </w:r>
      <w:r>
        <w:rPr>
          <w:rFonts w:ascii="TT Norms Pro Light" w:hAnsi="TT Norms Pro Light"/>
          <w:b w:val="0"/>
          <w:sz w:val="18"/>
        </w:rPr>
        <w:t>which</w:t>
      </w:r>
      <w:r>
        <w:rPr>
          <w:rFonts w:ascii="TT Norms Pro Light" w:hAnsi="TT Norms Pro Light"/>
          <w:b w:val="0"/>
          <w:spacing w:val="-1"/>
          <w:sz w:val="18"/>
        </w:rPr>
        <w:t> </w:t>
      </w:r>
      <w:r>
        <w:rPr>
          <w:rFonts w:ascii="TT Norms Pro Light" w:hAnsi="TT Norms Pro Light"/>
          <w:b w:val="0"/>
          <w:sz w:val="18"/>
        </w:rPr>
        <w:t>was</w:t>
      </w:r>
      <w:r>
        <w:rPr>
          <w:rFonts w:ascii="TT Norms Pro Light" w:hAnsi="TT Norms Pro Light"/>
          <w:b w:val="0"/>
          <w:spacing w:val="-1"/>
          <w:sz w:val="18"/>
        </w:rPr>
        <w:t> </w:t>
      </w:r>
      <w:r>
        <w:rPr>
          <w:rFonts w:ascii="TT Norms Pro Light" w:hAnsi="TT Norms Pro Light"/>
          <w:b w:val="0"/>
          <w:sz w:val="18"/>
        </w:rPr>
        <w:t>introduced</w:t>
      </w:r>
      <w:r>
        <w:rPr>
          <w:rFonts w:ascii="TT Norms Pro Light" w:hAnsi="TT Norms Pro Light"/>
          <w:b w:val="0"/>
          <w:spacing w:val="-1"/>
          <w:sz w:val="18"/>
        </w:rPr>
        <w:t> </w:t>
      </w:r>
      <w:r>
        <w:rPr>
          <w:rFonts w:ascii="TT Norms Pro Light" w:hAnsi="TT Norms Pro Light"/>
          <w:b w:val="0"/>
          <w:sz w:val="18"/>
        </w:rPr>
        <w:t>into</w:t>
      </w:r>
      <w:r>
        <w:rPr>
          <w:rFonts w:ascii="TT Norms Pro Light" w:hAnsi="TT Norms Pro Light"/>
          <w:b w:val="0"/>
          <w:spacing w:val="-1"/>
          <w:sz w:val="18"/>
        </w:rPr>
        <w:t> </w:t>
      </w:r>
      <w:r>
        <w:rPr>
          <w:rFonts w:ascii="TT Norms Pro Light" w:hAnsi="TT Norms Pro Light"/>
          <w:b w:val="0"/>
          <w:sz w:val="18"/>
        </w:rPr>
        <w:t>the</w:t>
      </w:r>
      <w:r>
        <w:rPr>
          <w:rFonts w:ascii="TT Norms Pro Light" w:hAnsi="TT Norms Pro Light"/>
          <w:b w:val="0"/>
          <w:spacing w:val="-1"/>
          <w:sz w:val="18"/>
        </w:rPr>
        <w:t> </w:t>
      </w:r>
      <w:r>
        <w:rPr>
          <w:rFonts w:ascii="TT Norms Pro Light" w:hAnsi="TT Norms Pro Light"/>
          <w:b w:val="0"/>
          <w:sz w:val="18"/>
        </w:rPr>
        <w:t>Commonwealth</w:t>
      </w:r>
      <w:r>
        <w:rPr>
          <w:rFonts w:ascii="TT Norms Pro Light" w:hAnsi="TT Norms Pro Light"/>
          <w:b w:val="0"/>
          <w:spacing w:val="-1"/>
          <w:sz w:val="18"/>
        </w:rPr>
        <w:t> </w:t>
      </w:r>
      <w:r>
        <w:rPr>
          <w:rFonts w:ascii="TT Norms Pro Light" w:hAnsi="TT Norms Pro Light"/>
          <w:b w:val="0"/>
          <w:sz w:val="18"/>
        </w:rPr>
        <w:t>Parliament</w:t>
      </w:r>
      <w:r>
        <w:rPr>
          <w:rFonts w:ascii="TT Norms Pro Light" w:hAnsi="TT Norms Pro Light"/>
          <w:b w:val="0"/>
          <w:spacing w:val="40"/>
          <w:sz w:val="18"/>
        </w:rPr>
        <w:t> </w:t>
      </w:r>
      <w:r>
        <w:rPr>
          <w:rFonts w:ascii="TT Norms Pro Light" w:hAnsi="TT Norms Pro Light"/>
          <w:b w:val="0"/>
          <w:sz w:val="18"/>
        </w:rPr>
        <w:t>in September and received Royal Assent in December.</w:t>
      </w:r>
    </w:p>
    <w:p>
      <w:pPr>
        <w:pStyle w:val="BodyText"/>
        <w:spacing w:line="295" w:lineRule="auto" w:before="3"/>
        <w:ind w:left="1133"/>
        <w:rPr>
          <w:b w:val="0"/>
        </w:rPr>
      </w:pPr>
      <w:r>
        <w:rPr>
          <w:b w:val="0"/>
        </w:rPr>
        <w:t>The Act requires universities to inform the Department of</w:t>
      </w:r>
      <w:r>
        <w:rPr>
          <w:b w:val="0"/>
          <w:spacing w:val="40"/>
        </w:rPr>
        <w:t> </w:t>
      </w:r>
      <w:r>
        <w:rPr>
          <w:b w:val="0"/>
        </w:rPr>
        <w:t>Foreign Affairs and Trade of any arrangement it has or is</w:t>
      </w:r>
      <w:r>
        <w:rPr>
          <w:b w:val="0"/>
          <w:spacing w:val="40"/>
        </w:rPr>
        <w:t> </w:t>
      </w:r>
      <w:r>
        <w:rPr>
          <w:b w:val="0"/>
        </w:rPr>
        <w:t>considering with any foreign government, or with a foreign</w:t>
      </w:r>
      <w:r>
        <w:rPr>
          <w:b w:val="0"/>
          <w:spacing w:val="40"/>
        </w:rPr>
        <w:t> </w:t>
      </w:r>
      <w:r>
        <w:rPr>
          <w:b w:val="0"/>
        </w:rPr>
        <w:t>university</w:t>
      </w:r>
      <w:r>
        <w:rPr>
          <w:b w:val="0"/>
          <w:spacing w:val="-1"/>
        </w:rPr>
        <w:t> </w:t>
      </w:r>
      <w:r>
        <w:rPr>
          <w:b w:val="0"/>
        </w:rPr>
        <w:t>that</w:t>
      </w:r>
      <w:r>
        <w:rPr>
          <w:b w:val="0"/>
          <w:spacing w:val="-1"/>
        </w:rPr>
        <w:t> </w:t>
      </w:r>
      <w:r>
        <w:rPr>
          <w:b w:val="0"/>
        </w:rPr>
        <w:t>lacks</w:t>
      </w:r>
      <w:r>
        <w:rPr>
          <w:b w:val="0"/>
          <w:spacing w:val="-1"/>
        </w:rPr>
        <w:t> </w:t>
      </w:r>
      <w:r>
        <w:rPr>
          <w:b w:val="0"/>
        </w:rPr>
        <w:t>institutional</w:t>
      </w:r>
      <w:r>
        <w:rPr>
          <w:b w:val="0"/>
          <w:spacing w:val="-1"/>
        </w:rPr>
        <w:t> </w:t>
      </w:r>
      <w:r>
        <w:rPr>
          <w:b w:val="0"/>
        </w:rPr>
        <w:t>autonomy.</w:t>
      </w:r>
      <w:r>
        <w:rPr>
          <w:b w:val="0"/>
          <w:spacing w:val="-1"/>
        </w:rPr>
        <w:t> </w:t>
      </w:r>
      <w:r>
        <w:rPr>
          <w:b w:val="0"/>
        </w:rPr>
        <w:t>Under</w:t>
      </w:r>
      <w:r>
        <w:rPr>
          <w:b w:val="0"/>
          <w:spacing w:val="-1"/>
        </w:rPr>
        <w:t> </w:t>
      </w:r>
      <w:r>
        <w:rPr>
          <w:b w:val="0"/>
        </w:rPr>
        <w:t>the</w:t>
      </w:r>
      <w:r>
        <w:rPr>
          <w:b w:val="0"/>
          <w:spacing w:val="-1"/>
        </w:rPr>
        <w:t> </w:t>
      </w:r>
      <w:r>
        <w:rPr>
          <w:b w:val="0"/>
        </w:rPr>
        <w:t>Act,</w:t>
      </w:r>
      <w:r>
        <w:rPr>
          <w:b w:val="0"/>
          <w:spacing w:val="40"/>
        </w:rPr>
        <w:t> </w:t>
      </w:r>
      <w:r>
        <w:rPr>
          <w:b w:val="0"/>
        </w:rPr>
        <w:t>the Minister for Foreign Affairs can unilaterally terminate</w:t>
      </w:r>
      <w:r>
        <w:rPr>
          <w:b w:val="0"/>
          <w:spacing w:val="40"/>
        </w:rPr>
        <w:t> </w:t>
      </w:r>
      <w:r>
        <w:rPr>
          <w:b w:val="0"/>
        </w:rPr>
        <w:t>any such arrangement entered into by a university.</w:t>
      </w:r>
    </w:p>
    <w:p>
      <w:pPr>
        <w:pStyle w:val="BodyText"/>
        <w:spacing w:before="55"/>
        <w:rPr>
          <w:b w:val="0"/>
        </w:rPr>
      </w:pPr>
    </w:p>
    <w:p>
      <w:pPr>
        <w:pStyle w:val="BodyText"/>
        <w:spacing w:line="295" w:lineRule="auto"/>
        <w:ind w:left="1133" w:right="52"/>
        <w:rPr>
          <w:b w:val="0"/>
        </w:rPr>
      </w:pPr>
      <w:r>
        <w:rPr>
          <w:b w:val="0"/>
        </w:rPr>
        <w:t>In</w:t>
      </w:r>
      <w:r>
        <w:rPr>
          <w:b w:val="0"/>
          <w:spacing w:val="-2"/>
        </w:rPr>
        <w:t> </w:t>
      </w:r>
      <w:r>
        <w:rPr>
          <w:b w:val="0"/>
        </w:rPr>
        <w:t>the</w:t>
      </w:r>
      <w:r>
        <w:rPr>
          <w:b w:val="0"/>
          <w:spacing w:val="-2"/>
        </w:rPr>
        <w:t> </w:t>
      </w:r>
      <w:r>
        <w:rPr>
          <w:b w:val="0"/>
        </w:rPr>
        <w:t>delayed</w:t>
      </w:r>
      <w:r>
        <w:rPr>
          <w:b w:val="0"/>
          <w:spacing w:val="-2"/>
        </w:rPr>
        <w:t> </w:t>
      </w:r>
      <w:r>
        <w:rPr>
          <w:b w:val="0"/>
        </w:rPr>
        <w:t>2020</w:t>
      </w:r>
      <w:r>
        <w:rPr>
          <w:b w:val="0"/>
          <w:spacing w:val="-2"/>
        </w:rPr>
        <w:t> </w:t>
      </w:r>
      <w:r>
        <w:rPr>
          <w:b w:val="0"/>
        </w:rPr>
        <w:t>Federal</w:t>
      </w:r>
      <w:r>
        <w:rPr>
          <w:b w:val="0"/>
          <w:spacing w:val="-2"/>
        </w:rPr>
        <w:t> </w:t>
      </w:r>
      <w:r>
        <w:rPr>
          <w:b w:val="0"/>
        </w:rPr>
        <w:t>Budget,</w:t>
      </w:r>
      <w:r>
        <w:rPr>
          <w:b w:val="0"/>
          <w:spacing w:val="-2"/>
        </w:rPr>
        <w:t> </w:t>
      </w:r>
      <w:r>
        <w:rPr>
          <w:b w:val="0"/>
        </w:rPr>
        <w:t>released</w:t>
      </w:r>
      <w:r>
        <w:rPr>
          <w:b w:val="0"/>
          <w:spacing w:val="-2"/>
        </w:rPr>
        <w:t> </w:t>
      </w:r>
      <w:r>
        <w:rPr>
          <w:b w:val="0"/>
        </w:rPr>
        <w:t>in</w:t>
      </w:r>
      <w:r>
        <w:rPr>
          <w:b w:val="0"/>
          <w:spacing w:val="-2"/>
        </w:rPr>
        <w:t> </w:t>
      </w:r>
      <w:r>
        <w:rPr>
          <w:b w:val="0"/>
        </w:rPr>
        <w:t>October,</w:t>
      </w:r>
      <w:r>
        <w:rPr>
          <w:b w:val="0"/>
          <w:spacing w:val="40"/>
        </w:rPr>
        <w:t> </w:t>
      </w:r>
      <w:r>
        <w:rPr>
          <w:b w:val="0"/>
        </w:rPr>
        <w:t>the Government announced $1 billion of additional</w:t>
      </w:r>
      <w:r>
        <w:rPr>
          <w:b w:val="0"/>
          <w:spacing w:val="40"/>
        </w:rPr>
        <w:t> </w:t>
      </w:r>
      <w:r>
        <w:rPr>
          <w:b w:val="0"/>
        </w:rPr>
        <w:t>university research funding. The funding has been</w:t>
      </w:r>
      <w:r>
        <w:rPr>
          <w:b w:val="0"/>
          <w:spacing w:val="40"/>
        </w:rPr>
        <w:t> </w:t>
      </w:r>
      <w:r>
        <w:rPr>
          <w:b w:val="0"/>
        </w:rPr>
        <w:t>allocated according to the normal Research Support</w:t>
      </w:r>
      <w:r>
        <w:rPr>
          <w:b w:val="0"/>
          <w:spacing w:val="40"/>
        </w:rPr>
        <w:t> </w:t>
      </w:r>
      <w:r>
        <w:rPr>
          <w:b w:val="0"/>
        </w:rPr>
        <w:t>Program</w:t>
      </w:r>
      <w:r>
        <w:rPr>
          <w:b w:val="0"/>
          <w:spacing w:val="-1"/>
        </w:rPr>
        <w:t> </w:t>
      </w:r>
      <w:r>
        <w:rPr>
          <w:b w:val="0"/>
        </w:rPr>
        <w:t>formula,</w:t>
      </w:r>
      <w:r>
        <w:rPr>
          <w:b w:val="0"/>
          <w:spacing w:val="-1"/>
        </w:rPr>
        <w:t> </w:t>
      </w:r>
      <w:r>
        <w:rPr>
          <w:b w:val="0"/>
        </w:rPr>
        <w:t>and</w:t>
      </w:r>
      <w:r>
        <w:rPr>
          <w:b w:val="0"/>
          <w:spacing w:val="-1"/>
        </w:rPr>
        <w:t> </w:t>
      </w:r>
      <w:r>
        <w:rPr>
          <w:b w:val="0"/>
        </w:rPr>
        <w:t>is</w:t>
      </w:r>
      <w:r>
        <w:rPr>
          <w:b w:val="0"/>
          <w:spacing w:val="-1"/>
        </w:rPr>
        <w:t> </w:t>
      </w:r>
      <w:r>
        <w:rPr>
          <w:b w:val="0"/>
        </w:rPr>
        <w:t>intended</w:t>
      </w:r>
      <w:r>
        <w:rPr>
          <w:b w:val="0"/>
          <w:spacing w:val="-1"/>
        </w:rPr>
        <w:t> </w:t>
      </w:r>
      <w:r>
        <w:rPr>
          <w:b w:val="0"/>
        </w:rPr>
        <w:t>to</w:t>
      </w:r>
      <w:r>
        <w:rPr>
          <w:b w:val="0"/>
          <w:spacing w:val="-1"/>
        </w:rPr>
        <w:t> </w:t>
      </w:r>
      <w:r>
        <w:rPr>
          <w:b w:val="0"/>
        </w:rPr>
        <w:t>enable</w:t>
      </w:r>
      <w:r>
        <w:rPr>
          <w:b w:val="0"/>
          <w:spacing w:val="-1"/>
        </w:rPr>
        <w:t> </w:t>
      </w:r>
      <w:r>
        <w:rPr>
          <w:b w:val="0"/>
        </w:rPr>
        <w:t>universities</w:t>
      </w:r>
      <w:r>
        <w:rPr>
          <w:b w:val="0"/>
          <w:spacing w:val="-1"/>
        </w:rPr>
        <w:t> </w:t>
      </w:r>
      <w:r>
        <w:rPr>
          <w:b w:val="0"/>
        </w:rPr>
        <w:t>to</w:t>
      </w:r>
      <w:r>
        <w:rPr>
          <w:b w:val="0"/>
          <w:spacing w:val="40"/>
        </w:rPr>
        <w:t> </w:t>
      </w:r>
      <w:r>
        <w:rPr>
          <w:b w:val="0"/>
        </w:rPr>
        <w:t>continue to fund research infrastructure and co-</w:t>
      </w:r>
      <w:r>
        <w:rPr>
          <w:b w:val="0"/>
          <w:spacing w:val="40"/>
        </w:rPr>
        <w:t> </w:t>
      </w:r>
      <w:r>
        <w:rPr>
          <w:b w:val="0"/>
        </w:rPr>
        <w:t>contribution commitments despite the loss of</w:t>
      </w:r>
      <w:r>
        <w:rPr>
          <w:b w:val="0"/>
          <w:spacing w:val="40"/>
        </w:rPr>
        <w:t> </w:t>
      </w:r>
      <w:r>
        <w:rPr>
          <w:b w:val="0"/>
        </w:rPr>
        <w:t>international student revenue.</w:t>
      </w:r>
    </w:p>
    <w:p>
      <w:pPr>
        <w:pStyle w:val="BodyText"/>
        <w:rPr>
          <w:b w:val="0"/>
        </w:rPr>
      </w:pPr>
    </w:p>
    <w:p>
      <w:pPr>
        <w:pStyle w:val="BodyText"/>
        <w:spacing w:before="28"/>
        <w:rPr>
          <w:b w:val="0"/>
        </w:rPr>
      </w:pPr>
    </w:p>
    <w:p>
      <w:pPr>
        <w:pStyle w:val="Heading8"/>
      </w:pPr>
      <w:r>
        <w:rPr>
          <w:spacing w:val="-8"/>
        </w:rPr>
        <w:t>Undue</w:t>
      </w:r>
      <w:r>
        <w:rPr>
          <w:spacing w:val="-6"/>
        </w:rPr>
        <w:t> </w:t>
      </w:r>
      <w:r>
        <w:rPr>
          <w:spacing w:val="-2"/>
        </w:rPr>
        <w:t>influence</w:t>
      </w:r>
    </w:p>
    <w:p>
      <w:pPr>
        <w:pStyle w:val="BodyText"/>
        <w:spacing w:line="295" w:lineRule="auto" w:before="36"/>
        <w:ind w:left="1133" w:right="181"/>
        <w:rPr>
          <w:b w:val="0"/>
        </w:rPr>
      </w:pPr>
      <w:r>
        <w:rPr>
          <w:b w:val="0"/>
        </w:rPr>
        <w:t>In November 2019 the Australian Government released</w:t>
      </w:r>
      <w:r>
        <w:rPr>
          <w:b w:val="0"/>
          <w:spacing w:val="40"/>
        </w:rPr>
        <w:t> </w:t>
      </w:r>
      <w:r>
        <w:rPr>
          <w:b w:val="0"/>
        </w:rPr>
        <w:t>its</w:t>
      </w:r>
      <w:r>
        <w:rPr>
          <w:b w:val="0"/>
          <w:spacing w:val="-1"/>
        </w:rPr>
        <w:t> </w:t>
      </w:r>
      <w:r>
        <w:rPr>
          <w:b w:val="0"/>
        </w:rPr>
        <w:t>University</w:t>
      </w:r>
      <w:r>
        <w:rPr>
          <w:b w:val="0"/>
          <w:spacing w:val="-1"/>
        </w:rPr>
        <w:t> </w:t>
      </w:r>
      <w:r>
        <w:rPr>
          <w:b w:val="0"/>
        </w:rPr>
        <w:t>Foreign</w:t>
      </w:r>
      <w:r>
        <w:rPr>
          <w:b w:val="0"/>
          <w:spacing w:val="-1"/>
        </w:rPr>
        <w:t> </w:t>
      </w:r>
      <w:r>
        <w:rPr>
          <w:b w:val="0"/>
        </w:rPr>
        <w:t>Interference</w:t>
      </w:r>
      <w:r>
        <w:rPr>
          <w:b w:val="0"/>
          <w:spacing w:val="-1"/>
        </w:rPr>
        <w:t> </w:t>
      </w:r>
      <w:r>
        <w:rPr>
          <w:b w:val="0"/>
        </w:rPr>
        <w:t>Taskforce</w:t>
      </w:r>
      <w:r>
        <w:rPr>
          <w:b w:val="0"/>
          <w:spacing w:val="-1"/>
        </w:rPr>
        <w:t> </w:t>
      </w:r>
      <w:r>
        <w:rPr>
          <w:b w:val="0"/>
        </w:rPr>
        <w:t>Guidelines</w:t>
      </w:r>
      <w:r>
        <w:rPr>
          <w:b w:val="0"/>
          <w:spacing w:val="40"/>
        </w:rPr>
        <w:t> </w:t>
      </w:r>
      <w:r>
        <w:rPr>
          <w:b w:val="0"/>
        </w:rPr>
        <w:t>(UFIT). These guidelines, which were developed in</w:t>
      </w:r>
      <w:r>
        <w:rPr>
          <w:b w:val="0"/>
          <w:spacing w:val="40"/>
        </w:rPr>
        <w:t> </w:t>
      </w:r>
      <w:r>
        <w:rPr>
          <w:b w:val="0"/>
        </w:rPr>
        <w:t>collaboration with the university sector, cover issues</w:t>
      </w:r>
      <w:r>
        <w:rPr>
          <w:b w:val="0"/>
          <w:spacing w:val="40"/>
        </w:rPr>
        <w:t> </w:t>
      </w:r>
      <w:r>
        <w:rPr>
          <w:b w:val="0"/>
        </w:rPr>
        <w:t>universities should consider in order to deal with threats</w:t>
      </w:r>
      <w:r>
        <w:rPr>
          <w:b w:val="0"/>
          <w:spacing w:val="40"/>
        </w:rPr>
        <w:t> </w:t>
      </w:r>
      <w:r>
        <w:rPr>
          <w:b w:val="0"/>
        </w:rPr>
        <w:t>to their teaching, research, engagement, operational,</w:t>
      </w:r>
      <w:r>
        <w:rPr>
          <w:b w:val="0"/>
          <w:spacing w:val="40"/>
        </w:rPr>
        <w:t> </w:t>
      </w:r>
      <w:r>
        <w:rPr>
          <w:b w:val="0"/>
        </w:rPr>
        <w:t>and other activities.</w:t>
      </w:r>
    </w:p>
    <w:p>
      <w:pPr>
        <w:pStyle w:val="BodyText"/>
        <w:spacing w:line="295" w:lineRule="auto" w:before="122"/>
        <w:ind w:left="357" w:right="369"/>
        <w:rPr>
          <w:b w:val="0"/>
        </w:rPr>
      </w:pPr>
      <w:r>
        <w:rPr/>
        <w:br w:type="column"/>
      </w:r>
      <w:r>
        <w:rPr>
          <w:b w:val="0"/>
        </w:rPr>
        <w:t>These are issues which the University takes very seriously,</w:t>
      </w:r>
      <w:r>
        <w:rPr>
          <w:b w:val="0"/>
          <w:spacing w:val="40"/>
        </w:rPr>
        <w:t> </w:t>
      </w:r>
      <w:r>
        <w:rPr>
          <w:b w:val="0"/>
        </w:rPr>
        <w:t>and following an internal review and consultation, the</w:t>
      </w:r>
      <w:r>
        <w:rPr>
          <w:b w:val="0"/>
          <w:spacing w:val="40"/>
        </w:rPr>
        <w:t> </w:t>
      </w:r>
      <w:r>
        <w:rPr>
          <w:b w:val="0"/>
        </w:rPr>
        <w:t>Executive has established a Foreign Interference Advisory</w:t>
      </w:r>
      <w:r>
        <w:rPr>
          <w:b w:val="0"/>
          <w:spacing w:val="40"/>
        </w:rPr>
        <w:t> </w:t>
      </w:r>
      <w:r>
        <w:rPr>
          <w:b w:val="0"/>
        </w:rPr>
        <w:t>Committee (FIAC). This committee includes the Senior</w:t>
      </w:r>
      <w:r>
        <w:rPr>
          <w:b w:val="0"/>
          <w:spacing w:val="40"/>
        </w:rPr>
        <w:t> </w:t>
      </w:r>
      <w:r>
        <w:rPr>
          <w:b w:val="0"/>
        </w:rPr>
        <w:t>Deputy Vice-Chancellor, Deputy Vice-Chancellor</w:t>
      </w:r>
      <w:r>
        <w:rPr>
          <w:b w:val="0"/>
          <w:spacing w:val="40"/>
        </w:rPr>
        <w:t> </w:t>
      </w:r>
      <w:r>
        <w:rPr>
          <w:b w:val="0"/>
        </w:rPr>
        <w:t>Research, Deputy Vice-Chancellor Education, Deputy</w:t>
      </w:r>
      <w:r>
        <w:rPr>
          <w:b w:val="0"/>
          <w:spacing w:val="40"/>
        </w:rPr>
        <w:t> </w:t>
      </w:r>
      <w:r>
        <w:rPr>
          <w:b w:val="0"/>
        </w:rPr>
        <w:t>Vice-Chancellor Global Partnerships, the Chief Digital</w:t>
      </w:r>
      <w:r>
        <w:rPr>
          <w:b w:val="0"/>
          <w:spacing w:val="40"/>
        </w:rPr>
        <w:t> </w:t>
      </w:r>
      <w:r>
        <w:rPr>
          <w:b w:val="0"/>
        </w:rPr>
        <w:t>Officer, and the Director, Governance and Legal Counsel.</w:t>
      </w:r>
    </w:p>
    <w:p>
      <w:pPr>
        <w:pStyle w:val="BodyText"/>
        <w:spacing w:before="56"/>
        <w:rPr>
          <w:b w:val="0"/>
        </w:rPr>
      </w:pPr>
    </w:p>
    <w:p>
      <w:pPr>
        <w:pStyle w:val="BodyText"/>
        <w:spacing w:line="295" w:lineRule="auto" w:before="1"/>
        <w:ind w:left="357" w:right="350"/>
        <w:rPr>
          <w:b w:val="0"/>
        </w:rPr>
      </w:pPr>
      <w:r>
        <w:rPr>
          <w:b w:val="0"/>
        </w:rPr>
        <w:t>FIAC will implement the University’s response to the UFIT</w:t>
      </w:r>
      <w:r>
        <w:rPr>
          <w:b w:val="0"/>
          <w:spacing w:val="40"/>
        </w:rPr>
        <w:t> </w:t>
      </w:r>
      <w:r>
        <w:rPr>
          <w:b w:val="0"/>
        </w:rPr>
        <w:t>guidelines, and will take responsibility for and coordinate</w:t>
      </w:r>
      <w:r>
        <w:rPr>
          <w:b w:val="0"/>
          <w:spacing w:val="40"/>
        </w:rPr>
        <w:t> </w:t>
      </w:r>
      <w:r>
        <w:rPr>
          <w:b w:val="0"/>
        </w:rPr>
        <w:t>the University’s ongoing actions to manage and mitigate</w:t>
      </w:r>
      <w:r>
        <w:rPr>
          <w:b w:val="0"/>
          <w:spacing w:val="40"/>
        </w:rPr>
        <w:t> </w:t>
      </w:r>
      <w:r>
        <w:rPr>
          <w:b w:val="0"/>
        </w:rPr>
        <w:t>foreign interference risks.</w:t>
      </w:r>
    </w:p>
    <w:p>
      <w:pPr>
        <w:pStyle w:val="BodyText"/>
        <w:spacing w:before="115"/>
        <w:rPr>
          <w:b w:val="0"/>
        </w:rPr>
      </w:pPr>
    </w:p>
    <w:p>
      <w:pPr>
        <w:pStyle w:val="Heading8"/>
        <w:ind w:left="357"/>
      </w:pPr>
      <w:r>
        <w:rPr>
          <w:spacing w:val="2"/>
          <w:w w:val="90"/>
        </w:rPr>
        <w:t>Information</w:t>
      </w:r>
      <w:r>
        <w:rPr>
          <w:spacing w:val="22"/>
        </w:rPr>
        <w:t> </w:t>
      </w:r>
      <w:r>
        <w:rPr>
          <w:spacing w:val="-2"/>
        </w:rPr>
        <w:t>security</w:t>
      </w:r>
    </w:p>
    <w:p>
      <w:pPr>
        <w:pStyle w:val="BodyText"/>
        <w:spacing w:line="295" w:lineRule="auto" w:before="36"/>
        <w:ind w:left="357" w:right="350"/>
        <w:rPr>
          <w:b w:val="0"/>
        </w:rPr>
      </w:pPr>
      <w:r>
        <w:rPr>
          <w:b w:val="0"/>
        </w:rPr>
        <w:t>As</w:t>
      </w:r>
      <w:r>
        <w:rPr>
          <w:b w:val="0"/>
          <w:spacing w:val="-1"/>
        </w:rPr>
        <w:t> </w:t>
      </w:r>
      <w:r>
        <w:rPr>
          <w:b w:val="0"/>
        </w:rPr>
        <w:t>2020</w:t>
      </w:r>
      <w:r>
        <w:rPr>
          <w:b w:val="0"/>
          <w:spacing w:val="-1"/>
        </w:rPr>
        <w:t> </w:t>
      </w:r>
      <w:r>
        <w:rPr>
          <w:b w:val="0"/>
        </w:rPr>
        <w:t>produced</w:t>
      </w:r>
      <w:r>
        <w:rPr>
          <w:b w:val="0"/>
          <w:spacing w:val="-1"/>
        </w:rPr>
        <w:t> </w:t>
      </w:r>
      <w:r>
        <w:rPr>
          <w:b w:val="0"/>
        </w:rPr>
        <w:t>a</w:t>
      </w:r>
      <w:r>
        <w:rPr>
          <w:b w:val="0"/>
          <w:spacing w:val="-1"/>
        </w:rPr>
        <w:t> </w:t>
      </w:r>
      <w:r>
        <w:rPr>
          <w:b w:val="0"/>
        </w:rPr>
        <w:t>number</w:t>
      </w:r>
      <w:r>
        <w:rPr>
          <w:b w:val="0"/>
          <w:spacing w:val="-1"/>
        </w:rPr>
        <w:t> </w:t>
      </w:r>
      <w:r>
        <w:rPr>
          <w:b w:val="0"/>
        </w:rPr>
        <w:t>of</w:t>
      </w:r>
      <w:r>
        <w:rPr>
          <w:b w:val="0"/>
          <w:spacing w:val="-1"/>
        </w:rPr>
        <w:t> </w:t>
      </w:r>
      <w:r>
        <w:rPr>
          <w:b w:val="0"/>
        </w:rPr>
        <w:t>high</w:t>
      </w:r>
      <w:r>
        <w:rPr>
          <w:b w:val="0"/>
          <w:spacing w:val="-1"/>
        </w:rPr>
        <w:t> </w:t>
      </w:r>
      <w:r>
        <w:rPr>
          <w:b w:val="0"/>
        </w:rPr>
        <w:t>profile</w:t>
      </w:r>
      <w:r>
        <w:rPr>
          <w:b w:val="0"/>
          <w:spacing w:val="-1"/>
        </w:rPr>
        <w:t> </w:t>
      </w:r>
      <w:r>
        <w:rPr>
          <w:b w:val="0"/>
        </w:rPr>
        <w:t>cyber</w:t>
      </w:r>
      <w:r>
        <w:rPr>
          <w:b w:val="0"/>
          <w:spacing w:val="-1"/>
        </w:rPr>
        <w:t> </w:t>
      </w:r>
      <w:r>
        <w:rPr>
          <w:b w:val="0"/>
        </w:rPr>
        <w:t>security</w:t>
      </w:r>
      <w:r>
        <w:rPr>
          <w:b w:val="0"/>
          <w:spacing w:val="40"/>
        </w:rPr>
        <w:t> </w:t>
      </w:r>
      <w:r>
        <w:rPr>
          <w:b w:val="0"/>
        </w:rPr>
        <w:t>breaches globally, the Australian higher education sector</w:t>
      </w:r>
      <w:r>
        <w:rPr>
          <w:b w:val="0"/>
          <w:spacing w:val="40"/>
        </w:rPr>
        <w:t> </w:t>
      </w:r>
      <w:r>
        <w:rPr>
          <w:b w:val="0"/>
        </w:rPr>
        <w:t>braced to manage the security implications of pandemic</w:t>
      </w:r>
      <w:r>
        <w:rPr>
          <w:b w:val="0"/>
          <w:spacing w:val="40"/>
        </w:rPr>
        <w:t> </w:t>
      </w:r>
      <w:r>
        <w:rPr>
          <w:b w:val="0"/>
        </w:rPr>
        <w:t>induced changes to its traditional operating model as well</w:t>
      </w:r>
      <w:r>
        <w:rPr>
          <w:b w:val="0"/>
          <w:spacing w:val="40"/>
        </w:rPr>
        <w:t> </w:t>
      </w:r>
      <w:r>
        <w:rPr>
          <w:b w:val="0"/>
        </w:rPr>
        <w:t>as those of the increased geopolitical tension.</w:t>
      </w:r>
    </w:p>
    <w:p>
      <w:pPr>
        <w:pStyle w:val="BodyText"/>
        <w:spacing w:before="54"/>
        <w:rPr>
          <w:b w:val="0"/>
        </w:rPr>
      </w:pPr>
    </w:p>
    <w:p>
      <w:pPr>
        <w:pStyle w:val="BodyText"/>
        <w:spacing w:line="295" w:lineRule="auto"/>
        <w:ind w:left="357" w:right="350"/>
        <w:rPr>
          <w:b w:val="0"/>
        </w:rPr>
      </w:pPr>
      <w:r>
        <w:rPr>
          <w:b w:val="0"/>
        </w:rPr>
        <w:t>Detected malicious cyber activity against UWA increased</w:t>
      </w:r>
      <w:r>
        <w:rPr>
          <w:b w:val="0"/>
          <w:spacing w:val="40"/>
        </w:rPr>
        <w:t> </w:t>
      </w:r>
      <w:r>
        <w:rPr>
          <w:b w:val="0"/>
        </w:rPr>
        <w:t>by 45 per cent compared to 2019. This increase was</w:t>
      </w:r>
      <w:r>
        <w:rPr>
          <w:b w:val="0"/>
          <w:spacing w:val="40"/>
        </w:rPr>
        <w:t> </w:t>
      </w:r>
      <w:r>
        <w:rPr>
          <w:b w:val="0"/>
        </w:rPr>
        <w:t>primarily driven by the shift to remote learning and</w:t>
      </w:r>
    </w:p>
    <w:p>
      <w:pPr>
        <w:pStyle w:val="BodyText"/>
        <w:spacing w:line="295" w:lineRule="auto" w:before="3"/>
        <w:ind w:left="357" w:right="486"/>
        <w:rPr>
          <w:b w:val="0"/>
        </w:rPr>
      </w:pPr>
      <w:r>
        <w:rPr>
          <w:b w:val="0"/>
        </w:rPr>
        <w:t>work-from-home arrangements, considerably expanding</w:t>
      </w:r>
      <w:r>
        <w:rPr>
          <w:b w:val="0"/>
          <w:spacing w:val="40"/>
        </w:rPr>
        <w:t> </w:t>
      </w:r>
      <w:r>
        <w:rPr>
          <w:b w:val="0"/>
        </w:rPr>
        <w:t>the University's digital footprint and attack surface.</w:t>
      </w:r>
    </w:p>
    <w:p>
      <w:pPr>
        <w:pStyle w:val="BodyText"/>
        <w:spacing w:line="295" w:lineRule="auto" w:before="1"/>
        <w:ind w:left="357" w:right="486"/>
        <w:rPr>
          <w:b w:val="0"/>
        </w:rPr>
      </w:pPr>
      <w:r>
        <w:rPr>
          <w:b w:val="0"/>
        </w:rPr>
        <w:t>Coupled with geopolitical tensions, heightened cyber</w:t>
      </w:r>
      <w:r>
        <w:rPr>
          <w:b w:val="0"/>
          <w:spacing w:val="40"/>
        </w:rPr>
        <w:t> </w:t>
      </w:r>
      <w:r>
        <w:rPr>
          <w:b w:val="0"/>
        </w:rPr>
        <w:t>activity has also generated welcome government and</w:t>
      </w:r>
      <w:r>
        <w:rPr>
          <w:b w:val="0"/>
          <w:spacing w:val="40"/>
        </w:rPr>
        <w:t> </w:t>
      </w:r>
      <w:r>
        <w:rPr>
          <w:b w:val="0"/>
        </w:rPr>
        <w:t>private sector interest in the University’s capability to</w:t>
      </w:r>
      <w:r>
        <w:rPr>
          <w:b w:val="0"/>
          <w:spacing w:val="40"/>
        </w:rPr>
        <w:t> </w:t>
      </w:r>
      <w:r>
        <w:rPr>
          <w:b w:val="0"/>
        </w:rPr>
        <w:t>navigate a different threat landscape.</w:t>
      </w:r>
    </w:p>
    <w:p>
      <w:pPr>
        <w:pStyle w:val="BodyText"/>
        <w:spacing w:before="53"/>
        <w:rPr>
          <w:b w:val="0"/>
        </w:rPr>
      </w:pPr>
    </w:p>
    <w:p>
      <w:pPr>
        <w:pStyle w:val="BodyText"/>
        <w:spacing w:line="295" w:lineRule="auto" w:before="1"/>
        <w:ind w:left="357" w:right="444"/>
        <w:rPr>
          <w:b w:val="0"/>
        </w:rPr>
      </w:pPr>
      <w:r>
        <w:rPr>
          <w:b w:val="0"/>
        </w:rPr>
        <w:t>Digital trust has now become a vital enabler of new</w:t>
      </w:r>
      <w:r>
        <w:rPr>
          <w:b w:val="0"/>
          <w:spacing w:val="40"/>
        </w:rPr>
        <w:t> </w:t>
      </w:r>
      <w:r>
        <w:rPr>
          <w:b w:val="0"/>
        </w:rPr>
        <w:t>research opportunities, and a safeguard for academic</w:t>
      </w:r>
      <w:r>
        <w:rPr>
          <w:b w:val="0"/>
          <w:spacing w:val="40"/>
        </w:rPr>
        <w:t> </w:t>
      </w:r>
      <w:r>
        <w:rPr>
          <w:b w:val="0"/>
        </w:rPr>
        <w:t>freedom</w:t>
      </w:r>
      <w:r>
        <w:rPr>
          <w:b w:val="0"/>
          <w:spacing w:val="-1"/>
        </w:rPr>
        <w:t> </w:t>
      </w:r>
      <w:r>
        <w:rPr>
          <w:b w:val="0"/>
        </w:rPr>
        <w:t>and</w:t>
      </w:r>
      <w:r>
        <w:rPr>
          <w:b w:val="0"/>
          <w:spacing w:val="-1"/>
        </w:rPr>
        <w:t> </w:t>
      </w:r>
      <w:r>
        <w:rPr>
          <w:b w:val="0"/>
        </w:rPr>
        <w:t>free</w:t>
      </w:r>
      <w:r>
        <w:rPr>
          <w:b w:val="0"/>
          <w:spacing w:val="-1"/>
        </w:rPr>
        <w:t> </w:t>
      </w:r>
      <w:r>
        <w:rPr>
          <w:b w:val="0"/>
        </w:rPr>
        <w:t>intellectual</w:t>
      </w:r>
      <w:r>
        <w:rPr>
          <w:b w:val="0"/>
          <w:spacing w:val="-1"/>
        </w:rPr>
        <w:t> </w:t>
      </w:r>
      <w:r>
        <w:rPr>
          <w:b w:val="0"/>
        </w:rPr>
        <w:t>enquiry.</w:t>
      </w:r>
      <w:r>
        <w:rPr>
          <w:b w:val="0"/>
          <w:spacing w:val="-1"/>
        </w:rPr>
        <w:t> </w:t>
      </w:r>
      <w:r>
        <w:rPr>
          <w:b w:val="0"/>
        </w:rPr>
        <w:t>UWA</w:t>
      </w:r>
      <w:r>
        <w:rPr>
          <w:b w:val="0"/>
          <w:spacing w:val="-1"/>
        </w:rPr>
        <w:t> </w:t>
      </w:r>
      <w:r>
        <w:rPr>
          <w:b w:val="0"/>
        </w:rPr>
        <w:t>continues</w:t>
      </w:r>
      <w:r>
        <w:rPr>
          <w:b w:val="0"/>
          <w:spacing w:val="-1"/>
        </w:rPr>
        <w:t> </w:t>
      </w:r>
      <w:r>
        <w:rPr>
          <w:b w:val="0"/>
        </w:rPr>
        <w:t>to</w:t>
      </w:r>
      <w:r>
        <w:rPr>
          <w:b w:val="0"/>
          <w:spacing w:val="40"/>
        </w:rPr>
        <w:t> </w:t>
      </w:r>
      <w:r>
        <w:rPr>
          <w:b w:val="0"/>
        </w:rPr>
        <w:t>foster this trust by preventing, detecting and responding</w:t>
      </w:r>
      <w:r>
        <w:rPr>
          <w:b w:val="0"/>
          <w:spacing w:val="40"/>
        </w:rPr>
        <w:t> </w:t>
      </w:r>
      <w:r>
        <w:rPr>
          <w:b w:val="0"/>
        </w:rPr>
        <w:t>to ever-changing cyber threats.</w:t>
      </w:r>
    </w:p>
    <w:p>
      <w:pPr>
        <w:spacing w:after="0" w:line="295" w:lineRule="auto"/>
        <w:sectPr>
          <w:type w:val="continuous"/>
          <w:pgSz w:w="11910" w:h="16840"/>
          <w:pgMar w:header="468" w:footer="0" w:top="980" w:bottom="280" w:left="0" w:right="780"/>
          <w:cols w:num="2" w:equalWidth="0">
            <w:col w:w="5755" w:space="40"/>
            <w:col w:w="5335"/>
          </w:cols>
        </w:sectPr>
      </w:pPr>
    </w:p>
    <w:p>
      <w:pPr>
        <w:pStyle w:val="Heading1"/>
        <w:spacing w:before="704"/>
        <w:ind w:left="1053"/>
      </w:pPr>
      <w:r>
        <w:rPr>
          <w:spacing w:val="-2"/>
          <w:w w:val="110"/>
        </w:rPr>
        <w:t>Education</w:t>
      </w:r>
    </w:p>
    <w:p>
      <w:pPr>
        <w:pStyle w:val="BodyText"/>
        <w:spacing w:before="304"/>
        <w:rPr>
          <w:rFonts w:ascii="Palatino Linotype"/>
          <w:sz w:val="24"/>
        </w:rPr>
      </w:pPr>
    </w:p>
    <w:p>
      <w:pPr>
        <w:pStyle w:val="Heading7"/>
        <w:spacing w:before="1"/>
      </w:pPr>
      <w:r>
        <w:rPr/>
        <mc:AlternateContent>
          <mc:Choice Requires="wps">
            <w:drawing>
              <wp:anchor distT="0" distB="0" distL="0" distR="0" allowOverlap="1" layoutInCell="1" locked="0" behindDoc="0" simplePos="0" relativeHeight="15799296">
                <wp:simplePos x="0" y="0"/>
                <wp:positionH relativeFrom="page">
                  <wp:posOffset>716499</wp:posOffset>
                </wp:positionH>
                <wp:positionV relativeFrom="paragraph">
                  <wp:posOffset>15772</wp:posOffset>
                </wp:positionV>
                <wp:extent cx="1270" cy="1449070"/>
                <wp:effectExtent l="0" t="0" r="0" b="0"/>
                <wp:wrapNone/>
                <wp:docPr id="323" name="Graphic 323"/>
                <wp:cNvGraphicFramePr>
                  <a:graphicFrameLocks/>
                </wp:cNvGraphicFramePr>
                <a:graphic>
                  <a:graphicData uri="http://schemas.microsoft.com/office/word/2010/wordprocessingShape">
                    <wps:wsp>
                      <wps:cNvPr id="323" name="Graphic 323"/>
                      <wps:cNvSpPr/>
                      <wps:spPr>
                        <a:xfrm>
                          <a:off x="0" y="0"/>
                          <a:ext cx="1270" cy="1449070"/>
                        </a:xfrm>
                        <a:custGeom>
                          <a:avLst/>
                          <a:gdLst/>
                          <a:ahLst/>
                          <a:cxnLst/>
                          <a:rect l="l" t="t" r="r" b="b"/>
                          <a:pathLst>
                            <a:path w="0" h="1449070">
                              <a:moveTo>
                                <a:pt x="0" y="1448663"/>
                              </a:moveTo>
                              <a:lnTo>
                                <a:pt x="0" y="0"/>
                              </a:lnTo>
                            </a:path>
                          </a:pathLst>
                        </a:custGeom>
                        <a:ln w="6350">
                          <a:solidFill>
                            <a:srgbClr val="21409A"/>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9296" from="56.417301pt,115.309903pt" to="56.417301pt,1.241903pt" stroked="true" strokeweight=".5pt" strokecolor="#21409a">
                <v:stroke dashstyle="solid"/>
                <w10:wrap type="none"/>
              </v:line>
            </w:pict>
          </mc:Fallback>
        </mc:AlternateContent>
      </w:r>
      <w:r>
        <w:rPr>
          <w:color w:val="21409A"/>
          <w:spacing w:val="-2"/>
        </w:rPr>
        <w:t>PRIORITIES</w:t>
      </w:r>
    </w:p>
    <w:p>
      <w:pPr>
        <w:pStyle w:val="ListParagraph"/>
        <w:numPr>
          <w:ilvl w:val="0"/>
          <w:numId w:val="4"/>
        </w:numPr>
        <w:tabs>
          <w:tab w:pos="1581" w:val="left" w:leader="none"/>
        </w:tabs>
        <w:spacing w:line="280" w:lineRule="auto" w:before="151" w:after="0"/>
        <w:ind w:left="1581" w:right="3534" w:hanging="227"/>
        <w:jc w:val="left"/>
        <w:rPr>
          <w:rFonts w:ascii="TT Norms Pro Light" w:hAnsi="TT Norms Pro Light"/>
          <w:b w:val="0"/>
          <w:sz w:val="22"/>
        </w:rPr>
      </w:pPr>
      <w:r>
        <w:rPr>
          <w:rFonts w:ascii="TT Norms Pro Light" w:hAnsi="TT Norms Pro Light"/>
          <w:b w:val="0"/>
          <w:color w:val="21409A"/>
          <w:sz w:val="22"/>
        </w:rPr>
        <w:t>Ceaselessly</w:t>
      </w:r>
      <w:r>
        <w:rPr>
          <w:rFonts w:ascii="TT Norms Pro Light" w:hAnsi="TT Norms Pro Light"/>
          <w:b w:val="0"/>
          <w:color w:val="21409A"/>
          <w:spacing w:val="-11"/>
          <w:sz w:val="22"/>
        </w:rPr>
        <w:t> </w:t>
      </w:r>
      <w:r>
        <w:rPr>
          <w:rFonts w:ascii="TT Norms Pro Light" w:hAnsi="TT Norms Pro Light"/>
          <w:b w:val="0"/>
          <w:color w:val="21409A"/>
          <w:sz w:val="22"/>
        </w:rPr>
        <w:t>drive</w:t>
      </w:r>
      <w:r>
        <w:rPr>
          <w:rFonts w:ascii="TT Norms Pro Light" w:hAnsi="TT Norms Pro Light"/>
          <w:b w:val="0"/>
          <w:color w:val="21409A"/>
          <w:spacing w:val="-6"/>
          <w:sz w:val="22"/>
        </w:rPr>
        <w:t> </w:t>
      </w:r>
      <w:r>
        <w:rPr>
          <w:rFonts w:ascii="TT Norms Pro Light" w:hAnsi="TT Norms Pro Light"/>
          <w:b w:val="0"/>
          <w:color w:val="21409A"/>
          <w:sz w:val="22"/>
        </w:rPr>
        <w:t>innovation</w:t>
      </w:r>
      <w:r>
        <w:rPr>
          <w:rFonts w:ascii="TT Norms Pro Light" w:hAnsi="TT Norms Pro Light"/>
          <w:b w:val="0"/>
          <w:color w:val="21409A"/>
          <w:spacing w:val="-6"/>
          <w:sz w:val="22"/>
        </w:rPr>
        <w:t> </w:t>
      </w:r>
      <w:r>
        <w:rPr>
          <w:rFonts w:ascii="TT Norms Pro Light" w:hAnsi="TT Norms Pro Light"/>
          <w:b w:val="0"/>
          <w:color w:val="21409A"/>
          <w:sz w:val="22"/>
        </w:rPr>
        <w:t>in</w:t>
      </w:r>
      <w:r>
        <w:rPr>
          <w:rFonts w:ascii="TT Norms Pro Light" w:hAnsi="TT Norms Pro Light"/>
          <w:b w:val="0"/>
          <w:color w:val="21409A"/>
          <w:spacing w:val="-6"/>
          <w:sz w:val="22"/>
        </w:rPr>
        <w:t> </w:t>
      </w:r>
      <w:r>
        <w:rPr>
          <w:rFonts w:ascii="TT Norms Pro Light" w:hAnsi="TT Norms Pro Light"/>
          <w:b w:val="0"/>
          <w:color w:val="21409A"/>
          <w:sz w:val="22"/>
        </w:rPr>
        <w:t>our</w:t>
      </w:r>
      <w:r>
        <w:rPr>
          <w:rFonts w:ascii="TT Norms Pro Light" w:hAnsi="TT Norms Pro Light"/>
          <w:b w:val="0"/>
          <w:color w:val="21409A"/>
          <w:spacing w:val="-11"/>
          <w:sz w:val="22"/>
        </w:rPr>
        <w:t> </w:t>
      </w:r>
      <w:r>
        <w:rPr>
          <w:rFonts w:ascii="TT Norms Pro Light" w:hAnsi="TT Norms Pro Light"/>
          <w:b w:val="0"/>
          <w:color w:val="21409A"/>
          <w:sz w:val="22"/>
        </w:rPr>
        <w:t>curriculum</w:t>
      </w:r>
      <w:r>
        <w:rPr>
          <w:rFonts w:ascii="TT Norms Pro Light" w:hAnsi="TT Norms Pro Light"/>
          <w:b w:val="0"/>
          <w:color w:val="21409A"/>
          <w:spacing w:val="-6"/>
          <w:sz w:val="22"/>
        </w:rPr>
        <w:t> </w:t>
      </w:r>
      <w:r>
        <w:rPr>
          <w:rFonts w:ascii="TT Norms Pro Light" w:hAnsi="TT Norms Pro Light"/>
          <w:b w:val="0"/>
          <w:color w:val="21409A"/>
          <w:sz w:val="22"/>
        </w:rPr>
        <w:t>to</w:t>
      </w:r>
      <w:r>
        <w:rPr>
          <w:rFonts w:ascii="TT Norms Pro Light" w:hAnsi="TT Norms Pro Light"/>
          <w:b w:val="0"/>
          <w:color w:val="21409A"/>
          <w:spacing w:val="-6"/>
          <w:sz w:val="22"/>
        </w:rPr>
        <w:t> </w:t>
      </w:r>
      <w:r>
        <w:rPr>
          <w:rFonts w:ascii="TT Norms Pro Light" w:hAnsi="TT Norms Pro Light"/>
          <w:b w:val="0"/>
          <w:color w:val="21409A"/>
          <w:sz w:val="22"/>
        </w:rPr>
        <w:t>create</w:t>
      </w:r>
      <w:r>
        <w:rPr>
          <w:rFonts w:ascii="TT Norms Pro Light" w:hAnsi="TT Norms Pro Light"/>
          <w:b w:val="0"/>
          <w:color w:val="21409A"/>
          <w:spacing w:val="-6"/>
          <w:sz w:val="22"/>
        </w:rPr>
        <w:t> </w:t>
      </w:r>
      <w:r>
        <w:rPr>
          <w:rFonts w:ascii="TT Norms Pro Light" w:hAnsi="TT Norms Pro Light"/>
          <w:b w:val="0"/>
          <w:color w:val="21409A"/>
          <w:sz w:val="22"/>
        </w:rPr>
        <w:t>unique and globally relevant educational experiences.</w:t>
      </w:r>
    </w:p>
    <w:p>
      <w:pPr>
        <w:pStyle w:val="ListParagraph"/>
        <w:numPr>
          <w:ilvl w:val="0"/>
          <w:numId w:val="4"/>
        </w:numPr>
        <w:tabs>
          <w:tab w:pos="1581" w:val="left" w:leader="none"/>
        </w:tabs>
        <w:spacing w:line="280" w:lineRule="auto" w:before="54" w:after="0"/>
        <w:ind w:left="1581" w:right="3380" w:hanging="227"/>
        <w:jc w:val="left"/>
        <w:rPr>
          <w:rFonts w:ascii="TT Norms Pro Light" w:hAnsi="TT Norms Pro Light"/>
          <w:b w:val="0"/>
          <w:sz w:val="22"/>
        </w:rPr>
      </w:pPr>
      <w:r>
        <w:rPr>
          <w:rFonts w:ascii="TT Norms Pro Light" w:hAnsi="TT Norms Pro Light"/>
          <w:b w:val="0"/>
          <w:color w:val="21409A"/>
          <w:sz w:val="22"/>
        </w:rPr>
        <w:t>Exploit</w:t>
      </w:r>
      <w:r>
        <w:rPr>
          <w:rFonts w:ascii="TT Norms Pro Light" w:hAnsi="TT Norms Pro Light"/>
          <w:b w:val="0"/>
          <w:color w:val="21409A"/>
          <w:spacing w:val="-6"/>
          <w:sz w:val="22"/>
        </w:rPr>
        <w:t> </w:t>
      </w:r>
      <w:r>
        <w:rPr>
          <w:rFonts w:ascii="TT Norms Pro Light" w:hAnsi="TT Norms Pro Light"/>
          <w:b w:val="0"/>
          <w:color w:val="21409A"/>
          <w:sz w:val="22"/>
        </w:rPr>
        <w:t>the</w:t>
      </w:r>
      <w:r>
        <w:rPr>
          <w:rFonts w:ascii="TT Norms Pro Light" w:hAnsi="TT Norms Pro Light"/>
          <w:b w:val="0"/>
          <w:color w:val="21409A"/>
          <w:spacing w:val="-6"/>
          <w:sz w:val="22"/>
        </w:rPr>
        <w:t> </w:t>
      </w:r>
      <w:r>
        <w:rPr>
          <w:rFonts w:ascii="TT Norms Pro Light" w:hAnsi="TT Norms Pro Light"/>
          <w:b w:val="0"/>
          <w:color w:val="21409A"/>
          <w:sz w:val="22"/>
        </w:rPr>
        <w:t>potential</w:t>
      </w:r>
      <w:r>
        <w:rPr>
          <w:rFonts w:ascii="TT Norms Pro Light" w:hAnsi="TT Norms Pro Light"/>
          <w:b w:val="0"/>
          <w:color w:val="21409A"/>
          <w:spacing w:val="-6"/>
          <w:sz w:val="22"/>
        </w:rPr>
        <w:t> </w:t>
      </w:r>
      <w:r>
        <w:rPr>
          <w:rFonts w:ascii="TT Norms Pro Light" w:hAnsi="TT Norms Pro Light"/>
          <w:b w:val="0"/>
          <w:color w:val="21409A"/>
          <w:sz w:val="22"/>
        </w:rPr>
        <w:t>of</w:t>
      </w:r>
      <w:r>
        <w:rPr>
          <w:rFonts w:ascii="TT Norms Pro Light" w:hAnsi="TT Norms Pro Light"/>
          <w:b w:val="0"/>
          <w:color w:val="21409A"/>
          <w:spacing w:val="-6"/>
          <w:sz w:val="22"/>
        </w:rPr>
        <w:t> </w:t>
      </w:r>
      <w:r>
        <w:rPr>
          <w:rFonts w:ascii="TT Norms Pro Light" w:hAnsi="TT Norms Pro Light"/>
          <w:b w:val="0"/>
          <w:color w:val="21409A"/>
          <w:sz w:val="22"/>
        </w:rPr>
        <w:t>disruptive</w:t>
      </w:r>
      <w:r>
        <w:rPr>
          <w:rFonts w:ascii="TT Norms Pro Light" w:hAnsi="TT Norms Pro Light"/>
          <w:b w:val="0"/>
          <w:color w:val="21409A"/>
          <w:spacing w:val="-6"/>
          <w:sz w:val="22"/>
        </w:rPr>
        <w:t> </w:t>
      </w:r>
      <w:r>
        <w:rPr>
          <w:rFonts w:ascii="TT Norms Pro Light" w:hAnsi="TT Norms Pro Light"/>
          <w:b w:val="0"/>
          <w:color w:val="21409A"/>
          <w:sz w:val="22"/>
        </w:rPr>
        <w:t>digital</w:t>
      </w:r>
      <w:r>
        <w:rPr>
          <w:rFonts w:ascii="TT Norms Pro Light" w:hAnsi="TT Norms Pro Light"/>
          <w:b w:val="0"/>
          <w:color w:val="21409A"/>
          <w:spacing w:val="-6"/>
          <w:sz w:val="22"/>
        </w:rPr>
        <w:t> </w:t>
      </w:r>
      <w:r>
        <w:rPr>
          <w:rFonts w:ascii="TT Norms Pro Light" w:hAnsi="TT Norms Pro Light"/>
          <w:b w:val="0"/>
          <w:color w:val="21409A"/>
          <w:sz w:val="22"/>
        </w:rPr>
        <w:t>technology</w:t>
      </w:r>
      <w:r>
        <w:rPr>
          <w:rFonts w:ascii="TT Norms Pro Light" w:hAnsi="TT Norms Pro Light"/>
          <w:b w:val="0"/>
          <w:color w:val="21409A"/>
          <w:spacing w:val="-10"/>
          <w:sz w:val="22"/>
        </w:rPr>
        <w:t> </w:t>
      </w:r>
      <w:r>
        <w:rPr>
          <w:rFonts w:ascii="TT Norms Pro Light" w:hAnsi="TT Norms Pro Light"/>
          <w:b w:val="0"/>
          <w:color w:val="21409A"/>
          <w:sz w:val="22"/>
        </w:rPr>
        <w:t>to</w:t>
      </w:r>
      <w:r>
        <w:rPr>
          <w:rFonts w:ascii="TT Norms Pro Light" w:hAnsi="TT Norms Pro Light"/>
          <w:b w:val="0"/>
          <w:color w:val="21409A"/>
          <w:spacing w:val="-6"/>
          <w:sz w:val="22"/>
        </w:rPr>
        <w:t> </w:t>
      </w:r>
      <w:r>
        <w:rPr>
          <w:rFonts w:ascii="TT Norms Pro Light" w:hAnsi="TT Norms Pro Light"/>
          <w:b w:val="0"/>
          <w:color w:val="21409A"/>
          <w:sz w:val="22"/>
        </w:rPr>
        <w:t>positively transform the student experience.</w:t>
      </w:r>
    </w:p>
    <w:p>
      <w:pPr>
        <w:pStyle w:val="ListParagraph"/>
        <w:numPr>
          <w:ilvl w:val="0"/>
          <w:numId w:val="4"/>
        </w:numPr>
        <w:tabs>
          <w:tab w:pos="1581" w:val="left" w:leader="none"/>
        </w:tabs>
        <w:spacing w:line="280" w:lineRule="auto" w:before="55" w:after="0"/>
        <w:ind w:left="1581" w:right="3963" w:hanging="227"/>
        <w:jc w:val="left"/>
        <w:rPr>
          <w:rFonts w:ascii="TT Norms Pro Light" w:hAnsi="TT Norms Pro Light"/>
          <w:b w:val="0"/>
          <w:sz w:val="22"/>
        </w:rPr>
      </w:pPr>
      <w:r>
        <w:rPr>
          <w:rFonts w:ascii="TT Norms Pro Light" w:hAnsi="TT Norms Pro Light"/>
          <w:b w:val="0"/>
          <w:color w:val="21409A"/>
          <w:sz w:val="22"/>
        </w:rPr>
        <w:t>Broaden</w:t>
      </w:r>
      <w:r>
        <w:rPr>
          <w:rFonts w:ascii="TT Norms Pro Light" w:hAnsi="TT Norms Pro Light"/>
          <w:b w:val="0"/>
          <w:color w:val="21409A"/>
          <w:spacing w:val="-5"/>
          <w:sz w:val="22"/>
        </w:rPr>
        <w:t> </w:t>
      </w:r>
      <w:r>
        <w:rPr>
          <w:rFonts w:ascii="TT Norms Pro Light" w:hAnsi="TT Norms Pro Light"/>
          <w:b w:val="0"/>
          <w:color w:val="21409A"/>
          <w:sz w:val="22"/>
        </w:rPr>
        <w:t>the</w:t>
      </w:r>
      <w:r>
        <w:rPr>
          <w:rFonts w:ascii="TT Norms Pro Light" w:hAnsi="TT Norms Pro Light"/>
          <w:b w:val="0"/>
          <w:color w:val="21409A"/>
          <w:spacing w:val="-10"/>
          <w:sz w:val="22"/>
        </w:rPr>
        <w:t> </w:t>
      </w:r>
      <w:r>
        <w:rPr>
          <w:rFonts w:ascii="TT Norms Pro Light" w:hAnsi="TT Norms Pro Light"/>
          <w:b w:val="0"/>
          <w:color w:val="21409A"/>
          <w:sz w:val="22"/>
        </w:rPr>
        <w:t>variety</w:t>
      </w:r>
      <w:r>
        <w:rPr>
          <w:rFonts w:ascii="TT Norms Pro Light" w:hAnsi="TT Norms Pro Light"/>
          <w:b w:val="0"/>
          <w:color w:val="21409A"/>
          <w:spacing w:val="-10"/>
          <w:sz w:val="22"/>
        </w:rPr>
        <w:t> </w:t>
      </w:r>
      <w:r>
        <w:rPr>
          <w:rFonts w:ascii="TT Norms Pro Light" w:hAnsi="TT Norms Pro Light"/>
          <w:b w:val="0"/>
          <w:color w:val="21409A"/>
          <w:sz w:val="22"/>
        </w:rPr>
        <w:t>of</w:t>
      </w:r>
      <w:r>
        <w:rPr>
          <w:rFonts w:ascii="TT Norms Pro Light" w:hAnsi="TT Norms Pro Light"/>
          <w:b w:val="0"/>
          <w:color w:val="21409A"/>
          <w:spacing w:val="-5"/>
          <w:sz w:val="22"/>
        </w:rPr>
        <w:t> </w:t>
      </w:r>
      <w:r>
        <w:rPr>
          <w:rFonts w:ascii="TT Norms Pro Light" w:hAnsi="TT Norms Pro Light"/>
          <w:b w:val="0"/>
          <w:color w:val="21409A"/>
          <w:sz w:val="22"/>
        </w:rPr>
        <w:t>courses</w:t>
      </w:r>
      <w:r>
        <w:rPr>
          <w:rFonts w:ascii="TT Norms Pro Light" w:hAnsi="TT Norms Pro Light"/>
          <w:b w:val="0"/>
          <w:color w:val="21409A"/>
          <w:spacing w:val="-10"/>
          <w:sz w:val="22"/>
        </w:rPr>
        <w:t> </w:t>
      </w:r>
      <w:r>
        <w:rPr>
          <w:rFonts w:ascii="TT Norms Pro Light" w:hAnsi="TT Norms Pro Light"/>
          <w:b w:val="0"/>
          <w:color w:val="21409A"/>
          <w:sz w:val="22"/>
        </w:rPr>
        <w:t>we</w:t>
      </w:r>
      <w:r>
        <w:rPr>
          <w:rFonts w:ascii="TT Norms Pro Light" w:hAnsi="TT Norms Pro Light"/>
          <w:b w:val="0"/>
          <w:color w:val="21409A"/>
          <w:spacing w:val="-5"/>
          <w:sz w:val="22"/>
        </w:rPr>
        <w:t> </w:t>
      </w:r>
      <w:r>
        <w:rPr>
          <w:rFonts w:ascii="TT Norms Pro Light" w:hAnsi="TT Norms Pro Light"/>
          <w:b w:val="0"/>
          <w:color w:val="21409A"/>
          <w:sz w:val="22"/>
        </w:rPr>
        <w:t>offer</w:t>
      </w:r>
      <w:r>
        <w:rPr>
          <w:rFonts w:ascii="TT Norms Pro Light" w:hAnsi="TT Norms Pro Light"/>
          <w:b w:val="0"/>
          <w:color w:val="21409A"/>
          <w:spacing w:val="-10"/>
          <w:sz w:val="22"/>
        </w:rPr>
        <w:t> </w:t>
      </w:r>
      <w:r>
        <w:rPr>
          <w:rFonts w:ascii="TT Norms Pro Light" w:hAnsi="TT Norms Pro Light"/>
          <w:b w:val="0"/>
          <w:color w:val="21409A"/>
          <w:sz w:val="22"/>
        </w:rPr>
        <w:t>and</w:t>
      </w:r>
      <w:r>
        <w:rPr>
          <w:rFonts w:ascii="TT Norms Pro Light" w:hAnsi="TT Norms Pro Light"/>
          <w:b w:val="0"/>
          <w:color w:val="21409A"/>
          <w:spacing w:val="-5"/>
          <w:sz w:val="22"/>
        </w:rPr>
        <w:t> </w:t>
      </w:r>
      <w:r>
        <w:rPr>
          <w:rFonts w:ascii="TT Norms Pro Light" w:hAnsi="TT Norms Pro Light"/>
          <w:b w:val="0"/>
          <w:color w:val="21409A"/>
          <w:sz w:val="22"/>
        </w:rPr>
        <w:t>the</w:t>
      </w:r>
      <w:r>
        <w:rPr>
          <w:rFonts w:ascii="TT Norms Pro Light" w:hAnsi="TT Norms Pro Light"/>
          <w:b w:val="0"/>
          <w:color w:val="21409A"/>
          <w:spacing w:val="-5"/>
          <w:sz w:val="22"/>
        </w:rPr>
        <w:t> </w:t>
      </w:r>
      <w:r>
        <w:rPr>
          <w:rFonts w:ascii="TT Norms Pro Light" w:hAnsi="TT Norms Pro Light"/>
          <w:b w:val="0"/>
          <w:color w:val="21409A"/>
          <w:sz w:val="22"/>
        </w:rPr>
        <w:t>diversity</w:t>
      </w:r>
      <w:r>
        <w:rPr>
          <w:rFonts w:ascii="TT Norms Pro Light" w:hAnsi="TT Norms Pro Light"/>
          <w:b w:val="0"/>
          <w:color w:val="21409A"/>
          <w:spacing w:val="-10"/>
          <w:sz w:val="22"/>
        </w:rPr>
        <w:t> </w:t>
      </w:r>
      <w:r>
        <w:rPr>
          <w:rFonts w:ascii="TT Norms Pro Light" w:hAnsi="TT Norms Pro Light"/>
          <w:b w:val="0"/>
          <w:color w:val="21409A"/>
          <w:sz w:val="22"/>
        </w:rPr>
        <w:t>of students we attract.</w:t>
      </w:r>
    </w:p>
    <w:p>
      <w:pPr>
        <w:pStyle w:val="BodyText"/>
        <w:spacing w:before="26"/>
        <w:rPr>
          <w:b w:val="0"/>
          <w:sz w:val="20"/>
        </w:rPr>
      </w:pPr>
    </w:p>
    <w:p>
      <w:pPr>
        <w:spacing w:after="0"/>
        <w:rPr>
          <w:sz w:val="20"/>
        </w:rPr>
        <w:sectPr>
          <w:pgSz w:w="11910" w:h="16840"/>
          <w:pgMar w:header="468" w:footer="0" w:top="720" w:bottom="0" w:left="0" w:right="780"/>
        </w:sectPr>
      </w:pPr>
    </w:p>
    <w:p>
      <w:pPr>
        <w:pStyle w:val="BodyText"/>
        <w:spacing w:line="295" w:lineRule="auto" w:before="122"/>
        <w:ind w:left="1126"/>
        <w:rPr>
          <w:b w:val="0"/>
        </w:rPr>
      </w:pPr>
      <w:r>
        <w:rPr/>
        <mc:AlternateContent>
          <mc:Choice Requires="wps">
            <w:drawing>
              <wp:anchor distT="0" distB="0" distL="0" distR="0" allowOverlap="1" layoutInCell="1" locked="0" behindDoc="1" simplePos="0" relativeHeight="472653312">
                <wp:simplePos x="0" y="0"/>
                <wp:positionH relativeFrom="page">
                  <wp:posOffset>0</wp:posOffset>
                </wp:positionH>
                <wp:positionV relativeFrom="page">
                  <wp:posOffset>6295415</wp:posOffset>
                </wp:positionV>
                <wp:extent cx="7560309" cy="4396740"/>
                <wp:effectExtent l="0" t="0" r="0" b="0"/>
                <wp:wrapNone/>
                <wp:docPr id="324" name="Group 324"/>
                <wp:cNvGraphicFramePr>
                  <a:graphicFrameLocks/>
                </wp:cNvGraphicFramePr>
                <a:graphic>
                  <a:graphicData uri="http://schemas.microsoft.com/office/word/2010/wordprocessingGroup">
                    <wpg:wgp>
                      <wpg:cNvPr id="324" name="Group 324"/>
                      <wpg:cNvGrpSpPr/>
                      <wpg:grpSpPr>
                        <a:xfrm>
                          <a:off x="0" y="0"/>
                          <a:ext cx="7560309" cy="4396740"/>
                          <a:chExt cx="7560309" cy="4396740"/>
                        </a:xfrm>
                      </wpg:grpSpPr>
                      <pic:pic>
                        <pic:nvPicPr>
                          <pic:cNvPr id="325" name="Image 325"/>
                          <pic:cNvPicPr/>
                        </pic:nvPicPr>
                        <pic:blipFill>
                          <a:blip r:embed="rId46" cstate="print"/>
                          <a:stretch>
                            <a:fillRect/>
                          </a:stretch>
                        </pic:blipFill>
                        <pic:spPr>
                          <a:xfrm>
                            <a:off x="0" y="114185"/>
                            <a:ext cx="3653993" cy="4282401"/>
                          </a:xfrm>
                          <a:prstGeom prst="rect">
                            <a:avLst/>
                          </a:prstGeom>
                        </pic:spPr>
                      </pic:pic>
                      <wps:wsp>
                        <wps:cNvPr id="326" name="Graphic 326"/>
                        <wps:cNvSpPr/>
                        <wps:spPr>
                          <a:xfrm>
                            <a:off x="1529994" y="0"/>
                            <a:ext cx="6030595" cy="647700"/>
                          </a:xfrm>
                          <a:custGeom>
                            <a:avLst/>
                            <a:gdLst/>
                            <a:ahLst/>
                            <a:cxnLst/>
                            <a:rect l="l" t="t" r="r" b="b"/>
                            <a:pathLst>
                              <a:path w="6030595" h="647700">
                                <a:moveTo>
                                  <a:pt x="6029998" y="0"/>
                                </a:moveTo>
                                <a:lnTo>
                                  <a:pt x="0" y="0"/>
                                </a:lnTo>
                                <a:lnTo>
                                  <a:pt x="0" y="647598"/>
                                </a:lnTo>
                                <a:lnTo>
                                  <a:pt x="6029998" y="647598"/>
                                </a:lnTo>
                                <a:lnTo>
                                  <a:pt x="6029998" y="0"/>
                                </a:lnTo>
                                <a:close/>
                              </a:path>
                            </a:pathLst>
                          </a:custGeom>
                          <a:solidFill>
                            <a:srgbClr val="FFFFFF"/>
                          </a:solidFill>
                        </wps:spPr>
                        <wps:bodyPr wrap="square" lIns="0" tIns="0" rIns="0" bIns="0" rtlCol="0">
                          <a:prstTxWarp prst="textNoShape">
                            <a:avLst/>
                          </a:prstTxWarp>
                          <a:noAutofit/>
                        </wps:bodyPr>
                      </wps:wsp>
                      <pic:pic>
                        <pic:nvPicPr>
                          <pic:cNvPr id="327" name="Image 327"/>
                          <pic:cNvPicPr/>
                        </pic:nvPicPr>
                        <pic:blipFill>
                          <a:blip r:embed="rId47" cstate="print"/>
                          <a:stretch>
                            <a:fillRect/>
                          </a:stretch>
                        </pic:blipFill>
                        <pic:spPr>
                          <a:xfrm>
                            <a:off x="1529994" y="114198"/>
                            <a:ext cx="178396" cy="533400"/>
                          </a:xfrm>
                          <a:prstGeom prst="rect">
                            <a:avLst/>
                          </a:prstGeom>
                        </pic:spPr>
                      </pic:pic>
                    </wpg:wgp>
                  </a:graphicData>
                </a:graphic>
              </wp:anchor>
            </w:drawing>
          </mc:Choice>
          <mc:Fallback>
            <w:pict>
              <v:group style="position:absolute;margin-left:0pt;margin-top:495.702026pt;width:595.3pt;height:346.2pt;mso-position-horizontal-relative:page;mso-position-vertical-relative:page;z-index:-30663168" id="docshapegroup186" coordorigin="0,9914" coordsize="11906,6924">
                <v:shape style="position:absolute;left:0;top:10093;width:5755;height:6744" type="#_x0000_t75" id="docshape187" stroked="false">
                  <v:imagedata r:id="rId46" o:title=""/>
                </v:shape>
                <v:rect style="position:absolute;left:2409;top:9914;width:9497;height:1020" id="docshape188" filled="true" fillcolor="#ffffff" stroked="false">
                  <v:fill type="solid"/>
                </v:rect>
                <v:shape style="position:absolute;left:2409;top:10093;width:281;height:840" type="#_x0000_t75" id="docshape189" stroked="false">
                  <v:imagedata r:id="rId47" o:title=""/>
                </v:shape>
                <w10:wrap type="none"/>
              </v:group>
            </w:pict>
          </mc:Fallback>
        </mc:AlternateContent>
      </w:r>
      <w:r>
        <w:rPr>
          <w:b w:val="0"/>
        </w:rPr>
        <w:t>In this remarkable and unpredictable year we remained</w:t>
      </w:r>
      <w:r>
        <w:rPr>
          <w:b w:val="0"/>
          <w:spacing w:val="40"/>
        </w:rPr>
        <w:t> </w:t>
      </w:r>
      <w:r>
        <w:rPr>
          <w:b w:val="0"/>
        </w:rPr>
        <w:t>focused on delivering a positive University experience for</w:t>
      </w:r>
      <w:r>
        <w:rPr>
          <w:b w:val="0"/>
          <w:spacing w:val="40"/>
        </w:rPr>
        <w:t> </w:t>
      </w:r>
      <w:r>
        <w:rPr>
          <w:b w:val="0"/>
        </w:rPr>
        <w:t>our</w:t>
      </w:r>
      <w:r>
        <w:rPr>
          <w:b w:val="0"/>
          <w:spacing w:val="-5"/>
        </w:rPr>
        <w:t> </w:t>
      </w:r>
      <w:r>
        <w:rPr>
          <w:b w:val="0"/>
        </w:rPr>
        <w:t>students.</w:t>
      </w:r>
    </w:p>
    <w:p>
      <w:pPr>
        <w:pStyle w:val="BodyText"/>
        <w:spacing w:before="52"/>
        <w:rPr>
          <w:b w:val="0"/>
        </w:rPr>
      </w:pPr>
    </w:p>
    <w:p>
      <w:pPr>
        <w:pStyle w:val="BodyText"/>
        <w:spacing w:line="295" w:lineRule="auto"/>
        <w:ind w:left="1126" w:right="31"/>
        <w:jc w:val="both"/>
        <w:rPr>
          <w:b w:val="0"/>
        </w:rPr>
      </w:pPr>
      <w:r>
        <w:rPr>
          <w:b w:val="0"/>
        </w:rPr>
        <w:t>Our teaching excellence was nationally recognised when</w:t>
      </w:r>
      <w:r>
        <w:rPr>
          <w:b w:val="0"/>
          <w:spacing w:val="40"/>
        </w:rPr>
        <w:t> </w:t>
      </w:r>
      <w:r>
        <w:rPr>
          <w:b w:val="0"/>
        </w:rPr>
        <w:t>The Good Universities Guide awarded UWA five stars for</w:t>
      </w:r>
      <w:r>
        <w:rPr>
          <w:b w:val="0"/>
          <w:spacing w:val="40"/>
        </w:rPr>
        <w:t> </w:t>
      </w:r>
      <w:r>
        <w:rPr>
          <w:b w:val="0"/>
        </w:rPr>
        <w:t>undergraduate teaching quality, placing us in the top</w:t>
      </w:r>
    </w:p>
    <w:p>
      <w:pPr>
        <w:pStyle w:val="BodyText"/>
        <w:spacing w:line="295" w:lineRule="auto" w:before="3"/>
        <w:ind w:left="1126" w:right="252"/>
        <w:rPr>
          <w:b w:val="0"/>
        </w:rPr>
      </w:pPr>
      <w:r>
        <w:rPr>
          <w:b w:val="0"/>
        </w:rPr>
        <w:t>20</w:t>
      </w:r>
      <w:r>
        <w:rPr>
          <w:b w:val="0"/>
          <w:spacing w:val="-3"/>
        </w:rPr>
        <w:t> </w:t>
      </w:r>
      <w:r>
        <w:rPr>
          <w:b w:val="0"/>
        </w:rPr>
        <w:t>per</w:t>
      </w:r>
      <w:r>
        <w:rPr>
          <w:b w:val="0"/>
          <w:spacing w:val="-3"/>
        </w:rPr>
        <w:t> </w:t>
      </w:r>
      <w:r>
        <w:rPr>
          <w:b w:val="0"/>
        </w:rPr>
        <w:t>cent</w:t>
      </w:r>
      <w:r>
        <w:rPr>
          <w:b w:val="0"/>
          <w:spacing w:val="-3"/>
        </w:rPr>
        <w:t> </w:t>
      </w:r>
      <w:r>
        <w:rPr>
          <w:b w:val="0"/>
        </w:rPr>
        <w:t>for</w:t>
      </w:r>
      <w:r>
        <w:rPr>
          <w:b w:val="0"/>
          <w:spacing w:val="-3"/>
        </w:rPr>
        <w:t> </w:t>
      </w:r>
      <w:r>
        <w:rPr>
          <w:b w:val="0"/>
        </w:rPr>
        <w:t>Australia;</w:t>
      </w:r>
      <w:r>
        <w:rPr>
          <w:b w:val="0"/>
          <w:spacing w:val="-3"/>
        </w:rPr>
        <w:t> </w:t>
      </w:r>
      <w:r>
        <w:rPr>
          <w:b w:val="0"/>
        </w:rPr>
        <w:t>a</w:t>
      </w:r>
      <w:r>
        <w:rPr>
          <w:b w:val="0"/>
          <w:spacing w:val="-3"/>
        </w:rPr>
        <w:t> </w:t>
      </w:r>
      <w:r>
        <w:rPr>
          <w:b w:val="0"/>
        </w:rPr>
        <w:t>significant</w:t>
      </w:r>
      <w:r>
        <w:rPr>
          <w:b w:val="0"/>
          <w:spacing w:val="-3"/>
        </w:rPr>
        <w:t> </w:t>
      </w:r>
      <w:r>
        <w:rPr>
          <w:b w:val="0"/>
        </w:rPr>
        <w:t>achievement</w:t>
      </w:r>
      <w:r>
        <w:rPr>
          <w:b w:val="0"/>
          <w:spacing w:val="-3"/>
        </w:rPr>
        <w:t> </w:t>
      </w:r>
      <w:r>
        <w:rPr>
          <w:b w:val="0"/>
        </w:rPr>
        <w:t>for</w:t>
      </w:r>
      <w:r>
        <w:rPr>
          <w:b w:val="0"/>
          <w:spacing w:val="40"/>
        </w:rPr>
        <w:t> </w:t>
      </w:r>
      <w:r>
        <w:rPr>
          <w:b w:val="0"/>
        </w:rPr>
        <w:t>a research-intensive university. Our commitment to</w:t>
      </w:r>
    </w:p>
    <w:p>
      <w:pPr>
        <w:pStyle w:val="BodyText"/>
        <w:spacing w:line="295" w:lineRule="auto" w:before="1"/>
        <w:ind w:left="1126"/>
        <w:rPr>
          <w:b w:val="0"/>
        </w:rPr>
      </w:pPr>
      <w:r>
        <w:rPr>
          <w:b w:val="0"/>
        </w:rPr>
        <w:t>high-quality teaching was demonstrated in the growing</w:t>
      </w:r>
      <w:r>
        <w:rPr>
          <w:b w:val="0"/>
          <w:spacing w:val="40"/>
        </w:rPr>
        <w:t> </w:t>
      </w:r>
      <w:r>
        <w:rPr>
          <w:b w:val="0"/>
        </w:rPr>
        <w:t>UWA Academy Fellowship Scheme, now comprising</w:t>
      </w:r>
    </w:p>
    <w:p>
      <w:pPr>
        <w:pStyle w:val="BodyText"/>
        <w:spacing w:line="295" w:lineRule="auto" w:before="2"/>
        <w:ind w:left="1126"/>
        <w:rPr>
          <w:b w:val="0"/>
        </w:rPr>
      </w:pPr>
      <w:r>
        <w:rPr>
          <w:b w:val="0"/>
        </w:rPr>
        <w:t>17 Associate Fellows, 27 Fellows, 43 Senior Fellows, and</w:t>
      </w:r>
      <w:r>
        <w:rPr>
          <w:b w:val="0"/>
          <w:spacing w:val="40"/>
        </w:rPr>
        <w:t> </w:t>
      </w:r>
      <w:r>
        <w:rPr>
          <w:b w:val="0"/>
        </w:rPr>
        <w:t>three Principal Fellows.</w:t>
      </w:r>
    </w:p>
    <w:p>
      <w:pPr>
        <w:pStyle w:val="BodyText"/>
        <w:spacing w:before="122"/>
        <w:ind w:left="460"/>
        <w:rPr>
          <w:b w:val="0"/>
        </w:rPr>
      </w:pPr>
      <w:r>
        <w:rPr/>
        <w:br w:type="column"/>
      </w:r>
      <w:r>
        <w:rPr>
          <w:b w:val="0"/>
        </w:rPr>
        <w:t>The</w:t>
      </w:r>
      <w:r>
        <w:rPr>
          <w:b w:val="0"/>
          <w:spacing w:val="2"/>
        </w:rPr>
        <w:t> </w:t>
      </w:r>
      <w:r>
        <w:rPr>
          <w:b w:val="0"/>
        </w:rPr>
        <w:t>pandemic</w:t>
      </w:r>
      <w:r>
        <w:rPr>
          <w:b w:val="0"/>
          <w:spacing w:val="2"/>
        </w:rPr>
        <w:t> </w:t>
      </w:r>
      <w:r>
        <w:rPr>
          <w:b w:val="0"/>
        </w:rPr>
        <w:t>brought</w:t>
      </w:r>
      <w:r>
        <w:rPr>
          <w:b w:val="0"/>
          <w:spacing w:val="2"/>
        </w:rPr>
        <w:t> </w:t>
      </w:r>
      <w:r>
        <w:rPr>
          <w:b w:val="0"/>
        </w:rPr>
        <w:t>forward</w:t>
      </w:r>
      <w:r>
        <w:rPr>
          <w:b w:val="0"/>
          <w:spacing w:val="2"/>
        </w:rPr>
        <w:t> </w:t>
      </w:r>
      <w:r>
        <w:rPr>
          <w:b w:val="0"/>
        </w:rPr>
        <w:t>new</w:t>
      </w:r>
      <w:r>
        <w:rPr>
          <w:b w:val="0"/>
          <w:spacing w:val="2"/>
        </w:rPr>
        <w:t> </w:t>
      </w:r>
      <w:r>
        <w:rPr>
          <w:b w:val="0"/>
        </w:rPr>
        <w:t>ways</w:t>
      </w:r>
      <w:r>
        <w:rPr>
          <w:b w:val="0"/>
          <w:spacing w:val="2"/>
        </w:rPr>
        <w:t> </w:t>
      </w:r>
      <w:r>
        <w:rPr>
          <w:b w:val="0"/>
        </w:rPr>
        <w:t>of</w:t>
      </w:r>
      <w:r>
        <w:rPr>
          <w:b w:val="0"/>
          <w:spacing w:val="2"/>
        </w:rPr>
        <w:t> </w:t>
      </w:r>
      <w:r>
        <w:rPr>
          <w:b w:val="0"/>
          <w:spacing w:val="-2"/>
        </w:rPr>
        <w:t>working.</w:t>
      </w:r>
    </w:p>
    <w:p>
      <w:pPr>
        <w:pStyle w:val="BodyText"/>
        <w:spacing w:line="295" w:lineRule="auto" w:before="49"/>
        <w:ind w:left="460" w:right="342" w:hanging="1"/>
        <w:rPr>
          <w:b w:val="0"/>
        </w:rPr>
      </w:pPr>
      <w:r>
        <w:rPr>
          <w:b w:val="0"/>
        </w:rPr>
        <w:t>The</w:t>
      </w:r>
      <w:r>
        <w:rPr>
          <w:b w:val="0"/>
          <w:spacing w:val="-9"/>
        </w:rPr>
        <w:t> </w:t>
      </w:r>
      <w:r>
        <w:rPr>
          <w:b w:val="0"/>
        </w:rPr>
        <w:t>Education</w:t>
      </w:r>
      <w:r>
        <w:rPr>
          <w:b w:val="0"/>
          <w:spacing w:val="-9"/>
        </w:rPr>
        <w:t> </w:t>
      </w:r>
      <w:r>
        <w:rPr>
          <w:b w:val="0"/>
        </w:rPr>
        <w:t>portfolio</w:t>
      </w:r>
      <w:r>
        <w:rPr>
          <w:b w:val="0"/>
          <w:spacing w:val="-9"/>
        </w:rPr>
        <w:t> </w:t>
      </w:r>
      <w:r>
        <w:rPr>
          <w:b w:val="0"/>
        </w:rPr>
        <w:t>was</w:t>
      </w:r>
      <w:r>
        <w:rPr>
          <w:b w:val="0"/>
          <w:spacing w:val="-9"/>
        </w:rPr>
        <w:t> </w:t>
      </w:r>
      <w:r>
        <w:rPr>
          <w:b w:val="0"/>
        </w:rPr>
        <w:t>at</w:t>
      </w:r>
      <w:r>
        <w:rPr>
          <w:b w:val="0"/>
          <w:spacing w:val="-9"/>
        </w:rPr>
        <w:t> </w:t>
      </w:r>
      <w:r>
        <w:rPr>
          <w:b w:val="0"/>
        </w:rPr>
        <w:t>the</w:t>
      </w:r>
      <w:r>
        <w:rPr>
          <w:b w:val="0"/>
          <w:spacing w:val="-9"/>
        </w:rPr>
        <w:t> </w:t>
      </w:r>
      <w:r>
        <w:rPr>
          <w:b w:val="0"/>
        </w:rPr>
        <w:t>forefront</w:t>
      </w:r>
      <w:r>
        <w:rPr>
          <w:b w:val="0"/>
          <w:spacing w:val="-9"/>
        </w:rPr>
        <w:t> </w:t>
      </w:r>
      <w:r>
        <w:rPr>
          <w:b w:val="0"/>
        </w:rPr>
        <w:t>of</w:t>
      </w:r>
      <w:r>
        <w:rPr>
          <w:b w:val="0"/>
          <w:spacing w:val="-9"/>
        </w:rPr>
        <w:t> </w:t>
      </w:r>
      <w:r>
        <w:rPr>
          <w:b w:val="0"/>
        </w:rPr>
        <w:t>transforming</w:t>
      </w:r>
      <w:r>
        <w:rPr>
          <w:b w:val="0"/>
          <w:spacing w:val="40"/>
        </w:rPr>
        <w:t> </w:t>
      </w:r>
      <w:r>
        <w:rPr>
          <w:b w:val="0"/>
        </w:rPr>
        <w:t>the University’s teaching and learning model to meet the</w:t>
      </w:r>
      <w:r>
        <w:rPr>
          <w:b w:val="0"/>
          <w:spacing w:val="40"/>
        </w:rPr>
        <w:t> </w:t>
      </w:r>
      <w:r>
        <w:rPr>
          <w:b w:val="0"/>
        </w:rPr>
        <w:t>curriculum challenges of 2020. This included moving</w:t>
      </w:r>
    </w:p>
    <w:p>
      <w:pPr>
        <w:pStyle w:val="BodyText"/>
        <w:spacing w:line="295" w:lineRule="auto" w:before="3"/>
        <w:ind w:left="460" w:right="683"/>
        <w:rPr>
          <w:b w:val="0"/>
        </w:rPr>
      </w:pPr>
      <w:r>
        <w:rPr>
          <w:b w:val="0"/>
        </w:rPr>
        <w:t>3,000 units online in a matter of weeks, moving exams</w:t>
      </w:r>
      <w:r>
        <w:rPr>
          <w:b w:val="0"/>
          <w:spacing w:val="40"/>
        </w:rPr>
        <w:t> </w:t>
      </w:r>
      <w:r>
        <w:rPr>
          <w:b w:val="0"/>
        </w:rPr>
        <w:t>predominantly online (more than 40,000 sittings</w:t>
      </w:r>
      <w:r>
        <w:rPr>
          <w:b w:val="0"/>
          <w:spacing w:val="40"/>
        </w:rPr>
        <w:t> </w:t>
      </w:r>
      <w:r>
        <w:rPr>
          <w:b w:val="0"/>
        </w:rPr>
        <w:t>scheduled for Semester 1), and transferring all student</w:t>
      </w:r>
      <w:r>
        <w:rPr>
          <w:b w:val="0"/>
          <w:spacing w:val="40"/>
        </w:rPr>
        <w:t> </w:t>
      </w:r>
      <w:r>
        <w:rPr>
          <w:b w:val="0"/>
        </w:rPr>
        <w:t>services to a fully online model while maintaining a</w:t>
      </w:r>
      <w:r>
        <w:rPr>
          <w:b w:val="0"/>
          <w:spacing w:val="40"/>
        </w:rPr>
        <w:t> </w:t>
      </w:r>
      <w:r>
        <w:rPr>
          <w:b w:val="0"/>
        </w:rPr>
        <w:t>high-level of service. Our staff, both academic and</w:t>
      </w:r>
      <w:r>
        <w:rPr>
          <w:b w:val="0"/>
          <w:spacing w:val="40"/>
        </w:rPr>
        <w:t> </w:t>
      </w:r>
      <w:r>
        <w:rPr>
          <w:b w:val="0"/>
        </w:rPr>
        <w:t>professional, dug deep and demonstrated exceptional</w:t>
      </w:r>
      <w:r>
        <w:rPr>
          <w:b w:val="0"/>
          <w:spacing w:val="40"/>
        </w:rPr>
        <w:t> </w:t>
      </w:r>
      <w:r>
        <w:rPr>
          <w:b w:val="0"/>
        </w:rPr>
        <w:t>pedagogic innovation, embraced educational</w:t>
      </w:r>
      <w:r>
        <w:rPr>
          <w:b w:val="0"/>
          <w:spacing w:val="40"/>
        </w:rPr>
        <w:t> </w:t>
      </w:r>
      <w:r>
        <w:rPr>
          <w:b w:val="0"/>
        </w:rPr>
        <w:t>technologies and overcame challenges to ensure</w:t>
      </w:r>
    </w:p>
    <w:p>
      <w:pPr>
        <w:pStyle w:val="BodyText"/>
        <w:spacing w:before="7"/>
        <w:ind w:left="460"/>
        <w:rPr>
          <w:b w:val="0"/>
        </w:rPr>
      </w:pPr>
      <w:r>
        <w:rPr>
          <w:b w:val="0"/>
        </w:rPr>
        <w:t>the</w:t>
      </w:r>
      <w:r>
        <w:rPr>
          <w:b w:val="0"/>
          <w:spacing w:val="5"/>
        </w:rPr>
        <w:t> </w:t>
      </w:r>
      <w:r>
        <w:rPr>
          <w:b w:val="0"/>
        </w:rPr>
        <w:t>high-quality</w:t>
      </w:r>
      <w:r>
        <w:rPr>
          <w:b w:val="0"/>
          <w:spacing w:val="5"/>
        </w:rPr>
        <w:t> </w:t>
      </w:r>
      <w:r>
        <w:rPr>
          <w:b w:val="0"/>
        </w:rPr>
        <w:t>delivery</w:t>
      </w:r>
      <w:r>
        <w:rPr>
          <w:b w:val="0"/>
          <w:spacing w:val="5"/>
        </w:rPr>
        <w:t> </w:t>
      </w:r>
      <w:r>
        <w:rPr>
          <w:b w:val="0"/>
        </w:rPr>
        <w:t>of</w:t>
      </w:r>
      <w:r>
        <w:rPr>
          <w:b w:val="0"/>
          <w:spacing w:val="5"/>
        </w:rPr>
        <w:t> </w:t>
      </w:r>
      <w:r>
        <w:rPr>
          <w:b w:val="0"/>
          <w:spacing w:val="-2"/>
        </w:rPr>
        <w:t>learning.</w:t>
      </w:r>
    </w:p>
    <w:p>
      <w:pPr>
        <w:pStyle w:val="BodyText"/>
        <w:spacing w:before="99"/>
        <w:rPr>
          <w:b w:val="0"/>
        </w:rPr>
      </w:pPr>
    </w:p>
    <w:p>
      <w:pPr>
        <w:pStyle w:val="BodyText"/>
        <w:spacing w:line="295" w:lineRule="auto"/>
        <w:ind w:left="460" w:right="342"/>
        <w:rPr>
          <w:b w:val="0"/>
        </w:rPr>
      </w:pPr>
      <w:r>
        <w:rPr>
          <w:b w:val="0"/>
        </w:rPr>
        <w:t>The University responded to changing environments by</w:t>
      </w:r>
      <w:r>
        <w:rPr>
          <w:b w:val="0"/>
          <w:spacing w:val="40"/>
        </w:rPr>
        <w:t> </w:t>
      </w:r>
      <w:r>
        <w:rPr>
          <w:b w:val="0"/>
        </w:rPr>
        <w:t>redesigning the curriculum, to better support our growth</w:t>
      </w:r>
      <w:r>
        <w:rPr>
          <w:b w:val="0"/>
          <w:spacing w:val="40"/>
        </w:rPr>
        <w:t> </w:t>
      </w:r>
      <w:r>
        <w:rPr>
          <w:b w:val="0"/>
        </w:rPr>
        <w:t>agenda and, to ensure alignment with the Federal</w:t>
      </w:r>
      <w:r>
        <w:rPr>
          <w:b w:val="0"/>
          <w:spacing w:val="40"/>
        </w:rPr>
        <w:t> </w:t>
      </w:r>
      <w:r>
        <w:rPr>
          <w:b w:val="0"/>
        </w:rPr>
        <w:t>Government’s Job-ready Graduate Program. Innovations</w:t>
      </w:r>
      <w:r>
        <w:rPr>
          <w:b w:val="0"/>
          <w:spacing w:val="40"/>
        </w:rPr>
        <w:t> </w:t>
      </w:r>
      <w:r>
        <w:rPr>
          <w:b w:val="0"/>
        </w:rPr>
        <w:t>included new specialised degrees – such as combined</w:t>
      </w:r>
      <w:r>
        <w:rPr>
          <w:b w:val="0"/>
          <w:spacing w:val="40"/>
        </w:rPr>
        <w:t> </w:t>
      </w:r>
      <w:r>
        <w:rPr>
          <w:b w:val="0"/>
        </w:rPr>
        <w:t>Bachelor/Masters,</w:t>
      </w:r>
      <w:r>
        <w:rPr>
          <w:b w:val="0"/>
          <w:spacing w:val="-6"/>
        </w:rPr>
        <w:t> </w:t>
      </w:r>
      <w:r>
        <w:rPr>
          <w:b w:val="0"/>
        </w:rPr>
        <w:t>new</w:t>
      </w:r>
      <w:r>
        <w:rPr>
          <w:b w:val="0"/>
          <w:spacing w:val="-6"/>
        </w:rPr>
        <w:t> </w:t>
      </w:r>
      <w:r>
        <w:rPr>
          <w:b w:val="0"/>
        </w:rPr>
        <w:t>short</w:t>
      </w:r>
      <w:r>
        <w:rPr>
          <w:b w:val="0"/>
          <w:spacing w:val="-6"/>
        </w:rPr>
        <w:t> </w:t>
      </w:r>
      <w:r>
        <w:rPr>
          <w:b w:val="0"/>
        </w:rPr>
        <w:t>courses</w:t>
      </w:r>
      <w:r>
        <w:rPr>
          <w:b w:val="0"/>
          <w:spacing w:val="-6"/>
        </w:rPr>
        <w:t> </w:t>
      </w:r>
      <w:r>
        <w:rPr>
          <w:b w:val="0"/>
        </w:rPr>
        <w:t>and</w:t>
      </w:r>
      <w:r>
        <w:rPr>
          <w:b w:val="0"/>
          <w:spacing w:val="-6"/>
        </w:rPr>
        <w:t> </w:t>
      </w:r>
      <w:r>
        <w:rPr>
          <w:b w:val="0"/>
        </w:rPr>
        <w:t>microcredentials</w:t>
      </w:r>
      <w:r>
        <w:rPr>
          <w:b w:val="0"/>
          <w:spacing w:val="40"/>
        </w:rPr>
        <w:t> </w:t>
      </w:r>
      <w:r>
        <w:rPr>
          <w:b w:val="0"/>
        </w:rPr>
        <w:t>– and the reform of undergraduate ‘broadening’</w:t>
      </w:r>
      <w:r>
        <w:rPr>
          <w:b w:val="0"/>
          <w:spacing w:val="40"/>
        </w:rPr>
        <w:t> </w:t>
      </w:r>
      <w:r>
        <w:rPr>
          <w:b w:val="0"/>
        </w:rPr>
        <w:t>requirements to increase flexibility for students.</w:t>
      </w:r>
    </w:p>
    <w:p>
      <w:pPr>
        <w:pStyle w:val="BodyText"/>
        <w:spacing w:before="56"/>
        <w:rPr>
          <w:b w:val="0"/>
        </w:rPr>
      </w:pPr>
    </w:p>
    <w:p>
      <w:pPr>
        <w:pStyle w:val="BodyText"/>
        <w:spacing w:line="295" w:lineRule="auto"/>
        <w:ind w:left="460" w:right="390"/>
        <w:rPr>
          <w:b w:val="0"/>
        </w:rPr>
      </w:pPr>
      <w:r>
        <w:rPr>
          <w:b w:val="0"/>
        </w:rPr>
        <w:t>Each of these innovations seeks to strengthen UWA’s</w:t>
      </w:r>
      <w:r>
        <w:rPr>
          <w:b w:val="0"/>
          <w:spacing w:val="40"/>
        </w:rPr>
        <w:t> </w:t>
      </w:r>
      <w:r>
        <w:rPr>
          <w:b w:val="0"/>
        </w:rPr>
        <w:t>competitive position in local and international markets,</w:t>
      </w:r>
      <w:r>
        <w:rPr>
          <w:b w:val="0"/>
          <w:spacing w:val="40"/>
        </w:rPr>
        <w:t> </w:t>
      </w:r>
      <w:r>
        <w:rPr>
          <w:b w:val="0"/>
        </w:rPr>
        <w:t>and despite the challenges presented by COVID-19, the</w:t>
      </w:r>
      <w:r>
        <w:rPr>
          <w:b w:val="0"/>
          <w:spacing w:val="40"/>
        </w:rPr>
        <w:t> </w:t>
      </w:r>
      <w:r>
        <w:rPr>
          <w:b w:val="0"/>
        </w:rPr>
        <w:t>University retained more enrolled students than expected</w:t>
      </w:r>
      <w:r>
        <w:rPr>
          <w:b w:val="0"/>
          <w:spacing w:val="40"/>
        </w:rPr>
        <w:t> </w:t>
      </w:r>
      <w:r>
        <w:rPr>
          <w:b w:val="0"/>
        </w:rPr>
        <w:t>(85.8%) – owing to an excellent suite of student support</w:t>
      </w:r>
      <w:r>
        <w:rPr>
          <w:b w:val="0"/>
          <w:spacing w:val="40"/>
        </w:rPr>
        <w:t> </w:t>
      </w:r>
      <w:r>
        <w:rPr>
          <w:b w:val="0"/>
        </w:rPr>
        <w:t>programs and rapid adaption to virtual delivery.</w:t>
      </w:r>
    </w:p>
    <w:p>
      <w:pPr>
        <w:pStyle w:val="BodyText"/>
        <w:spacing w:before="55"/>
        <w:rPr>
          <w:b w:val="0"/>
        </w:rPr>
      </w:pPr>
    </w:p>
    <w:p>
      <w:pPr>
        <w:pStyle w:val="BodyText"/>
        <w:spacing w:line="295" w:lineRule="auto"/>
        <w:ind w:left="460" w:right="475"/>
        <w:rPr>
          <w:b w:val="0"/>
        </w:rPr>
      </w:pPr>
      <w:r>
        <w:rPr>
          <w:b w:val="0"/>
        </w:rPr>
        <w:t>UWA</w:t>
      </w:r>
      <w:r>
        <w:rPr>
          <w:b w:val="0"/>
          <w:spacing w:val="-1"/>
        </w:rPr>
        <w:t> </w:t>
      </w:r>
      <w:r>
        <w:rPr>
          <w:b w:val="0"/>
        </w:rPr>
        <w:t>supported</w:t>
      </w:r>
      <w:r>
        <w:rPr>
          <w:b w:val="0"/>
          <w:spacing w:val="-1"/>
        </w:rPr>
        <w:t> </w:t>
      </w:r>
      <w:r>
        <w:rPr>
          <w:b w:val="0"/>
        </w:rPr>
        <w:t>our</w:t>
      </w:r>
      <w:r>
        <w:rPr>
          <w:b w:val="0"/>
          <w:spacing w:val="-1"/>
        </w:rPr>
        <w:t> </w:t>
      </w:r>
      <w:r>
        <w:rPr>
          <w:b w:val="0"/>
        </w:rPr>
        <w:t>students</w:t>
      </w:r>
      <w:r>
        <w:rPr>
          <w:b w:val="0"/>
          <w:spacing w:val="-1"/>
        </w:rPr>
        <w:t> </w:t>
      </w:r>
      <w:r>
        <w:rPr>
          <w:b w:val="0"/>
        </w:rPr>
        <w:t>through</w:t>
      </w:r>
      <w:r>
        <w:rPr>
          <w:b w:val="0"/>
          <w:spacing w:val="-1"/>
        </w:rPr>
        <w:t> </w:t>
      </w:r>
      <w:r>
        <w:rPr>
          <w:b w:val="0"/>
        </w:rPr>
        <w:t>this</w:t>
      </w:r>
      <w:r>
        <w:rPr>
          <w:b w:val="0"/>
          <w:spacing w:val="-1"/>
        </w:rPr>
        <w:t> </w:t>
      </w:r>
      <w:r>
        <w:rPr>
          <w:b w:val="0"/>
        </w:rPr>
        <w:t>difficult</w:t>
      </w:r>
      <w:r>
        <w:rPr>
          <w:b w:val="0"/>
          <w:spacing w:val="-1"/>
        </w:rPr>
        <w:t> </w:t>
      </w:r>
      <w:r>
        <w:rPr>
          <w:b w:val="0"/>
        </w:rPr>
        <w:t>year</w:t>
      </w:r>
      <w:r>
        <w:rPr>
          <w:b w:val="0"/>
          <w:spacing w:val="40"/>
        </w:rPr>
        <w:t> </w:t>
      </w:r>
      <w:r>
        <w:rPr>
          <w:b w:val="0"/>
        </w:rPr>
        <w:t>by establishing the UWA Hardship Scheme (estimated</w:t>
      </w:r>
    </w:p>
    <w:p>
      <w:pPr>
        <w:pStyle w:val="BodyText"/>
        <w:spacing w:line="295" w:lineRule="auto" w:before="2"/>
        <w:ind w:left="460" w:right="342"/>
        <w:rPr>
          <w:b w:val="0"/>
        </w:rPr>
      </w:pPr>
      <w:r>
        <w:rPr>
          <w:b w:val="0"/>
        </w:rPr>
        <w:t>$1.9 million) to respond to student welfare, providing</w:t>
      </w:r>
      <w:r>
        <w:rPr>
          <w:b w:val="0"/>
          <w:spacing w:val="40"/>
        </w:rPr>
        <w:t> </w:t>
      </w:r>
      <w:r>
        <w:rPr>
          <w:b w:val="0"/>
        </w:rPr>
        <w:t>Financial Hardships Grants (estimated $1.67 million) to</w:t>
      </w:r>
      <w:r>
        <w:rPr>
          <w:b w:val="0"/>
          <w:spacing w:val="40"/>
        </w:rPr>
        <w:t> </w:t>
      </w:r>
      <w:r>
        <w:rPr>
          <w:b w:val="0"/>
        </w:rPr>
        <w:t>more</w:t>
      </w:r>
      <w:r>
        <w:rPr>
          <w:b w:val="0"/>
          <w:spacing w:val="-3"/>
        </w:rPr>
        <w:t> </w:t>
      </w:r>
      <w:r>
        <w:rPr>
          <w:b w:val="0"/>
        </w:rPr>
        <w:t>than</w:t>
      </w:r>
      <w:r>
        <w:rPr>
          <w:b w:val="0"/>
          <w:spacing w:val="-3"/>
        </w:rPr>
        <w:t> </w:t>
      </w:r>
      <w:r>
        <w:rPr>
          <w:b w:val="0"/>
        </w:rPr>
        <w:t>1,400</w:t>
      </w:r>
      <w:r>
        <w:rPr>
          <w:b w:val="0"/>
          <w:spacing w:val="-3"/>
        </w:rPr>
        <w:t> </w:t>
      </w:r>
      <w:r>
        <w:rPr>
          <w:b w:val="0"/>
        </w:rPr>
        <w:t>students</w:t>
      </w:r>
      <w:r>
        <w:rPr>
          <w:b w:val="0"/>
          <w:spacing w:val="-3"/>
        </w:rPr>
        <w:t> </w:t>
      </w:r>
      <w:r>
        <w:rPr>
          <w:b w:val="0"/>
        </w:rPr>
        <w:t>in</w:t>
      </w:r>
      <w:r>
        <w:rPr>
          <w:b w:val="0"/>
          <w:spacing w:val="-3"/>
        </w:rPr>
        <w:t> </w:t>
      </w:r>
      <w:r>
        <w:rPr>
          <w:b w:val="0"/>
        </w:rPr>
        <w:t>need,</w:t>
      </w:r>
      <w:r>
        <w:rPr>
          <w:b w:val="0"/>
          <w:spacing w:val="-3"/>
        </w:rPr>
        <w:t> </w:t>
      </w:r>
      <w:r>
        <w:rPr>
          <w:b w:val="0"/>
        </w:rPr>
        <w:t>more</w:t>
      </w:r>
      <w:r>
        <w:rPr>
          <w:b w:val="0"/>
          <w:spacing w:val="-3"/>
        </w:rPr>
        <w:t> </w:t>
      </w:r>
      <w:r>
        <w:rPr>
          <w:b w:val="0"/>
        </w:rPr>
        <w:t>than</w:t>
      </w:r>
      <w:r>
        <w:rPr>
          <w:b w:val="0"/>
          <w:spacing w:val="-3"/>
        </w:rPr>
        <w:t> </w:t>
      </w:r>
      <w:r>
        <w:rPr>
          <w:b w:val="0"/>
        </w:rPr>
        <w:t>900</w:t>
      </w:r>
      <w:r>
        <w:rPr>
          <w:b w:val="0"/>
          <w:spacing w:val="-3"/>
        </w:rPr>
        <w:t> </w:t>
      </w:r>
      <w:r>
        <w:rPr>
          <w:b w:val="0"/>
        </w:rPr>
        <w:t>tailored</w:t>
      </w:r>
      <w:r>
        <w:rPr>
          <w:b w:val="0"/>
          <w:spacing w:val="40"/>
        </w:rPr>
        <w:t> </w:t>
      </w:r>
      <w:r>
        <w:rPr>
          <w:b w:val="0"/>
        </w:rPr>
        <w:t>welfare packs with food and provisions, rent support at</w:t>
      </w:r>
      <w:r>
        <w:rPr>
          <w:b w:val="0"/>
          <w:spacing w:val="40"/>
        </w:rPr>
        <w:t> </w:t>
      </w:r>
      <w:r>
        <w:rPr>
          <w:b w:val="0"/>
        </w:rPr>
        <w:t>UWA residential colleges, rent relief for Crawley Village</w:t>
      </w:r>
      <w:r>
        <w:rPr>
          <w:b w:val="0"/>
          <w:spacing w:val="40"/>
        </w:rPr>
        <w:t> </w:t>
      </w:r>
      <w:r>
        <w:rPr>
          <w:b w:val="0"/>
        </w:rPr>
        <w:t>tenants and loaning out more than 350 IT devices.</w:t>
      </w:r>
    </w:p>
    <w:p>
      <w:pPr>
        <w:spacing w:after="0" w:line="295" w:lineRule="auto"/>
        <w:sectPr>
          <w:type w:val="continuous"/>
          <w:pgSz w:w="11910" w:h="16840"/>
          <w:pgMar w:header="468" w:footer="0" w:top="980" w:bottom="280" w:left="0" w:right="780"/>
          <w:cols w:num="2" w:equalWidth="0">
            <w:col w:w="5651" w:space="40"/>
            <w:col w:w="5439"/>
          </w:cols>
        </w:sect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spacing w:before="117"/>
        <w:rPr>
          <w:b w:val="0"/>
          <w:sz w:val="14"/>
        </w:rPr>
      </w:pPr>
    </w:p>
    <w:p>
      <w:pPr>
        <w:spacing w:line="264" w:lineRule="auto" w:before="0"/>
        <w:ind w:left="6151" w:right="13" w:firstLine="0"/>
        <w:jc w:val="left"/>
        <w:rPr>
          <w:rFonts w:ascii="TT Norms Pro Light" w:hAnsi="TT Norms Pro Light"/>
          <w:b w:val="0"/>
          <w:sz w:val="14"/>
        </w:rPr>
      </w:pPr>
      <w:r>
        <w:rPr>
          <w:rFonts w:ascii="TT Norms Pro Light" w:hAnsi="TT Norms Pro Light"/>
          <w:b w:val="0"/>
          <w:sz w:val="14"/>
        </w:rPr>
        <w:t>Launch of The Living Room project – a space where students can access</w:t>
      </w:r>
      <w:r>
        <w:rPr>
          <w:rFonts w:ascii="TT Norms Pro Light" w:hAnsi="TT Norms Pro Light"/>
          <w:b w:val="0"/>
          <w:spacing w:val="40"/>
          <w:sz w:val="14"/>
        </w:rPr>
        <w:t> </w:t>
      </w:r>
      <w:r>
        <w:rPr>
          <w:rFonts w:ascii="TT Norms Pro Light" w:hAnsi="TT Norms Pro Light"/>
          <w:b w:val="0"/>
          <w:sz w:val="14"/>
        </w:rPr>
        <w:t>wellbeing initiatives to help reduce daily pressure</w:t>
      </w:r>
    </w:p>
    <w:p>
      <w:pPr>
        <w:pStyle w:val="BodyText"/>
        <w:spacing w:before="66"/>
        <w:rPr>
          <w:b w:val="0"/>
          <w:sz w:val="20"/>
        </w:rPr>
      </w:pPr>
    </w:p>
    <w:p>
      <w:pPr>
        <w:spacing w:after="0"/>
        <w:rPr>
          <w:sz w:val="20"/>
        </w:rPr>
        <w:sectPr>
          <w:pgSz w:w="11910" w:h="16840"/>
          <w:pgMar w:header="468" w:footer="0" w:top="720" w:bottom="280" w:left="0" w:right="780"/>
        </w:sectPr>
      </w:pPr>
    </w:p>
    <w:p>
      <w:pPr>
        <w:pStyle w:val="BodyText"/>
        <w:spacing w:line="295" w:lineRule="auto" w:before="122"/>
        <w:ind w:left="1133" w:right="407"/>
        <w:rPr>
          <w:b w:val="0"/>
        </w:rPr>
      </w:pPr>
      <w:r>
        <w:rPr/>
        <mc:AlternateContent>
          <mc:Choice Requires="wps">
            <w:drawing>
              <wp:anchor distT="0" distB="0" distL="0" distR="0" allowOverlap="1" layoutInCell="1" locked="0" behindDoc="1" simplePos="0" relativeHeight="472653824">
                <wp:simplePos x="0" y="0"/>
                <wp:positionH relativeFrom="page">
                  <wp:posOffset>720001</wp:posOffset>
                </wp:positionH>
                <wp:positionV relativeFrom="page">
                  <wp:posOffset>720001</wp:posOffset>
                </wp:positionV>
                <wp:extent cx="6840220" cy="4187825"/>
                <wp:effectExtent l="0" t="0" r="0" b="0"/>
                <wp:wrapNone/>
                <wp:docPr id="328" name="Group 328"/>
                <wp:cNvGraphicFramePr>
                  <a:graphicFrameLocks/>
                </wp:cNvGraphicFramePr>
                <a:graphic>
                  <a:graphicData uri="http://schemas.microsoft.com/office/word/2010/wordprocessingGroup">
                    <wpg:wgp>
                      <wpg:cNvPr id="328" name="Group 328"/>
                      <wpg:cNvGrpSpPr/>
                      <wpg:grpSpPr>
                        <a:xfrm>
                          <a:off x="0" y="0"/>
                          <a:ext cx="6840220" cy="4187825"/>
                          <a:chExt cx="6840220" cy="4187825"/>
                        </a:xfrm>
                      </wpg:grpSpPr>
                      <pic:pic>
                        <pic:nvPicPr>
                          <pic:cNvPr id="329" name="Image 329"/>
                          <pic:cNvPicPr/>
                        </pic:nvPicPr>
                        <pic:blipFill>
                          <a:blip r:embed="rId48" cstate="print"/>
                          <a:stretch>
                            <a:fillRect/>
                          </a:stretch>
                        </pic:blipFill>
                        <pic:spPr>
                          <a:xfrm>
                            <a:off x="0" y="0"/>
                            <a:ext cx="6120003" cy="3556000"/>
                          </a:xfrm>
                          <a:prstGeom prst="rect">
                            <a:avLst/>
                          </a:prstGeom>
                        </pic:spPr>
                      </pic:pic>
                      <wps:wsp>
                        <wps:cNvPr id="330" name="Graphic 330"/>
                        <wps:cNvSpPr/>
                        <wps:spPr>
                          <a:xfrm>
                            <a:off x="2933992" y="3200400"/>
                            <a:ext cx="3906520" cy="987425"/>
                          </a:xfrm>
                          <a:custGeom>
                            <a:avLst/>
                            <a:gdLst/>
                            <a:ahLst/>
                            <a:cxnLst/>
                            <a:rect l="l" t="t" r="r" b="b"/>
                            <a:pathLst>
                              <a:path w="3906520" h="987425">
                                <a:moveTo>
                                  <a:pt x="3905999" y="0"/>
                                </a:moveTo>
                                <a:lnTo>
                                  <a:pt x="0" y="0"/>
                                </a:lnTo>
                                <a:lnTo>
                                  <a:pt x="0" y="986904"/>
                                </a:lnTo>
                                <a:lnTo>
                                  <a:pt x="3905999" y="986904"/>
                                </a:lnTo>
                                <a:lnTo>
                                  <a:pt x="3905999"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56.693001pt;margin-top:56.693016pt;width:538.6pt;height:329.75pt;mso-position-horizontal-relative:page;mso-position-vertical-relative:page;z-index:-30662656" id="docshapegroup190" coordorigin="1134,1134" coordsize="10772,6595">
                <v:shape style="position:absolute;left:1133;top:1133;width:9638;height:5600" type="#_x0000_t75" id="docshape191" stroked="false">
                  <v:imagedata r:id="rId48" o:title=""/>
                </v:shape>
                <v:rect style="position:absolute;left:5754;top:6173;width:6152;height:1555" id="docshape192" filled="true" fillcolor="#ffffff" stroked="false">
                  <v:fill type="solid"/>
                </v:rect>
                <w10:wrap type="none"/>
              </v:group>
            </w:pict>
          </mc:Fallback>
        </mc:AlternateContent>
      </w:r>
      <w:r>
        <w:rPr/>
        <mc:AlternateContent>
          <mc:Choice Requires="wps">
            <w:drawing>
              <wp:anchor distT="0" distB="0" distL="0" distR="0" allowOverlap="1" layoutInCell="1" locked="0" behindDoc="0" simplePos="0" relativeHeight="15800832">
                <wp:simplePos x="0" y="0"/>
                <wp:positionH relativeFrom="page">
                  <wp:posOffset>7111289</wp:posOffset>
                </wp:positionH>
                <wp:positionV relativeFrom="page">
                  <wp:posOffset>8136825</wp:posOffset>
                </wp:positionV>
                <wp:extent cx="177800" cy="1848485"/>
                <wp:effectExtent l="0" t="0" r="0" b="0"/>
                <wp:wrapNone/>
                <wp:docPr id="331" name="Textbox 331"/>
                <wp:cNvGraphicFramePr>
                  <a:graphicFrameLocks/>
                </wp:cNvGraphicFramePr>
                <a:graphic>
                  <a:graphicData uri="http://schemas.microsoft.com/office/word/2010/wordprocessingShape">
                    <wps:wsp>
                      <wps:cNvPr id="331" name="Textbox 331"/>
                      <wps:cNvSpPr txBox="1"/>
                      <wps:spPr>
                        <a:xfrm>
                          <a:off x="0" y="0"/>
                          <a:ext cx="177800" cy="184848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640.694885pt;width:14pt;height:145.550pt;mso-position-horizontal-relative:page;mso-position-vertical-relative:page;z-index:15800832" type="#_x0000_t202" id="docshape193"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v:textbox>
                <w10:wrap type="none"/>
              </v:shape>
            </w:pict>
          </mc:Fallback>
        </mc:AlternateContent>
      </w:r>
      <w:r>
        <w:rPr>
          <w:b w:val="0"/>
        </w:rPr>
        <w:t>A remarkable effort was undertaken by our Student</w:t>
      </w:r>
      <w:r>
        <w:rPr>
          <w:b w:val="0"/>
          <w:spacing w:val="40"/>
        </w:rPr>
        <w:t> </w:t>
      </w:r>
      <w:r>
        <w:rPr>
          <w:b w:val="0"/>
        </w:rPr>
        <w:t>Life</w:t>
      </w:r>
      <w:r>
        <w:rPr>
          <w:b w:val="0"/>
          <w:spacing w:val="-2"/>
        </w:rPr>
        <w:t> </w:t>
      </w:r>
      <w:r>
        <w:rPr>
          <w:b w:val="0"/>
        </w:rPr>
        <w:t>team</w:t>
      </w:r>
      <w:r>
        <w:rPr>
          <w:b w:val="0"/>
          <w:spacing w:val="-2"/>
        </w:rPr>
        <w:t> </w:t>
      </w:r>
      <w:r>
        <w:rPr>
          <w:b w:val="0"/>
        </w:rPr>
        <w:t>working</w:t>
      </w:r>
      <w:r>
        <w:rPr>
          <w:b w:val="0"/>
          <w:spacing w:val="-2"/>
        </w:rPr>
        <w:t> </w:t>
      </w:r>
      <w:r>
        <w:rPr>
          <w:b w:val="0"/>
        </w:rPr>
        <w:t>on</w:t>
      </w:r>
      <w:r>
        <w:rPr>
          <w:b w:val="0"/>
          <w:spacing w:val="-2"/>
        </w:rPr>
        <w:t> </w:t>
      </w:r>
      <w:r>
        <w:rPr>
          <w:b w:val="0"/>
        </w:rPr>
        <w:t>the</w:t>
      </w:r>
      <w:r>
        <w:rPr>
          <w:b w:val="0"/>
          <w:spacing w:val="-2"/>
        </w:rPr>
        <w:t> </w:t>
      </w:r>
      <w:r>
        <w:rPr>
          <w:b w:val="0"/>
        </w:rPr>
        <w:t>front</w:t>
      </w:r>
      <w:r>
        <w:rPr>
          <w:b w:val="0"/>
          <w:spacing w:val="-2"/>
        </w:rPr>
        <w:t> </w:t>
      </w:r>
      <w:r>
        <w:rPr>
          <w:b w:val="0"/>
        </w:rPr>
        <w:t>line</w:t>
      </w:r>
      <w:r>
        <w:rPr>
          <w:b w:val="0"/>
          <w:spacing w:val="-2"/>
        </w:rPr>
        <w:t> </w:t>
      </w:r>
      <w:r>
        <w:rPr>
          <w:b w:val="0"/>
        </w:rPr>
        <w:t>to</w:t>
      </w:r>
      <w:r>
        <w:rPr>
          <w:b w:val="0"/>
          <w:spacing w:val="-2"/>
        </w:rPr>
        <w:t> </w:t>
      </w:r>
      <w:r>
        <w:rPr>
          <w:b w:val="0"/>
        </w:rPr>
        <w:t>provide</w:t>
      </w:r>
      <w:r>
        <w:rPr>
          <w:b w:val="0"/>
          <w:spacing w:val="-2"/>
        </w:rPr>
        <w:t> </w:t>
      </w:r>
      <w:r>
        <w:rPr>
          <w:b w:val="0"/>
        </w:rPr>
        <w:t>welfare</w:t>
      </w:r>
      <w:r>
        <w:rPr>
          <w:b w:val="0"/>
          <w:spacing w:val="40"/>
        </w:rPr>
        <w:t> </w:t>
      </w:r>
      <w:r>
        <w:rPr>
          <w:b w:val="0"/>
        </w:rPr>
        <w:t>and support to our students with the funds raised</w:t>
      </w:r>
      <w:r>
        <w:rPr>
          <w:b w:val="0"/>
          <w:spacing w:val="40"/>
        </w:rPr>
        <w:t> </w:t>
      </w:r>
      <w:r>
        <w:rPr>
          <w:b w:val="0"/>
        </w:rPr>
        <w:t>from the Support Our Students (SOS) COVID-19</w:t>
      </w:r>
      <w:r>
        <w:rPr>
          <w:b w:val="0"/>
          <w:spacing w:val="40"/>
        </w:rPr>
        <w:t> </w:t>
      </w:r>
      <w:r>
        <w:rPr>
          <w:b w:val="0"/>
        </w:rPr>
        <w:t>Emergency</w:t>
      </w:r>
      <w:r>
        <w:rPr>
          <w:b w:val="0"/>
          <w:spacing w:val="-5"/>
        </w:rPr>
        <w:t> </w:t>
      </w:r>
      <w:r>
        <w:rPr>
          <w:b w:val="0"/>
        </w:rPr>
        <w:t>Appeal.</w:t>
      </w:r>
    </w:p>
    <w:p>
      <w:pPr>
        <w:pStyle w:val="BodyText"/>
        <w:spacing w:before="54"/>
        <w:rPr>
          <w:b w:val="0"/>
        </w:rPr>
      </w:pPr>
    </w:p>
    <w:p>
      <w:pPr>
        <w:pStyle w:val="BodyText"/>
        <w:spacing w:line="295" w:lineRule="auto"/>
        <w:ind w:left="1133" w:right="180"/>
        <w:rPr>
          <w:b w:val="0"/>
        </w:rPr>
      </w:pPr>
      <w:r>
        <w:rPr>
          <w:b w:val="0"/>
        </w:rPr>
        <w:t>The launch of The Living Room in October – a project</w:t>
      </w:r>
      <w:r>
        <w:rPr>
          <w:b w:val="0"/>
          <w:spacing w:val="40"/>
        </w:rPr>
        <w:t> </w:t>
      </w:r>
      <w:r>
        <w:rPr>
          <w:b w:val="0"/>
        </w:rPr>
        <w:t>developed in partnership with the UWA Young Lives</w:t>
      </w:r>
      <w:r>
        <w:rPr>
          <w:b w:val="0"/>
          <w:spacing w:val="40"/>
        </w:rPr>
        <w:t> </w:t>
      </w:r>
      <w:r>
        <w:rPr>
          <w:b w:val="0"/>
        </w:rPr>
        <w:t>Matter Foundation – will provide students with access</w:t>
      </w:r>
      <w:r>
        <w:rPr>
          <w:b w:val="0"/>
          <w:spacing w:val="80"/>
        </w:rPr>
        <w:t> </w:t>
      </w:r>
      <w:r>
        <w:rPr>
          <w:b w:val="0"/>
        </w:rPr>
        <w:t>to mental health support and connection to appropriate</w:t>
      </w:r>
      <w:r>
        <w:rPr>
          <w:b w:val="0"/>
          <w:spacing w:val="40"/>
        </w:rPr>
        <w:t> </w:t>
      </w:r>
      <w:r>
        <w:rPr>
          <w:b w:val="0"/>
        </w:rPr>
        <w:t>services and activities on campus or in the community.</w:t>
      </w:r>
    </w:p>
    <w:p>
      <w:pPr>
        <w:pStyle w:val="BodyText"/>
        <w:spacing w:line="295" w:lineRule="auto" w:before="4"/>
        <w:ind w:left="1133"/>
        <w:rPr>
          <w:b w:val="0"/>
        </w:rPr>
      </w:pPr>
      <w:r>
        <w:rPr>
          <w:b w:val="0"/>
        </w:rPr>
        <w:t>Believed to be the first of its kind on a university campus in</w:t>
      </w:r>
      <w:r>
        <w:rPr>
          <w:b w:val="0"/>
          <w:spacing w:val="40"/>
        </w:rPr>
        <w:t> </w:t>
      </w:r>
      <w:r>
        <w:rPr>
          <w:b w:val="0"/>
        </w:rPr>
        <w:t>Australia, The Living Room will become a hub for student-</w:t>
      </w:r>
      <w:r>
        <w:rPr>
          <w:b w:val="0"/>
          <w:spacing w:val="40"/>
        </w:rPr>
        <w:t> </w:t>
      </w:r>
      <w:r>
        <w:rPr>
          <w:b w:val="0"/>
        </w:rPr>
        <w:t>focused health and wellbeing initiatives including</w:t>
      </w:r>
      <w:r>
        <w:rPr>
          <w:b w:val="0"/>
          <w:spacing w:val="40"/>
        </w:rPr>
        <w:t> </w:t>
      </w:r>
      <w:r>
        <w:rPr>
          <w:b w:val="0"/>
        </w:rPr>
        <w:t>mindfulness meditation sessions and yoga classes, as</w:t>
      </w:r>
    </w:p>
    <w:p>
      <w:pPr>
        <w:pStyle w:val="BodyText"/>
        <w:spacing w:before="4"/>
        <w:ind w:left="1133"/>
        <w:rPr>
          <w:b w:val="0"/>
        </w:rPr>
      </w:pPr>
      <w:r>
        <w:rPr>
          <w:b w:val="0"/>
        </w:rPr>
        <w:t>well</w:t>
      </w:r>
      <w:r>
        <w:rPr>
          <w:b w:val="0"/>
          <w:spacing w:val="3"/>
        </w:rPr>
        <w:t> </w:t>
      </w:r>
      <w:r>
        <w:rPr>
          <w:b w:val="0"/>
        </w:rPr>
        <w:t>as</w:t>
      </w:r>
      <w:r>
        <w:rPr>
          <w:b w:val="0"/>
          <w:spacing w:val="3"/>
        </w:rPr>
        <w:t> </w:t>
      </w:r>
      <w:r>
        <w:rPr>
          <w:b w:val="0"/>
        </w:rPr>
        <w:t>weekly</w:t>
      </w:r>
      <w:r>
        <w:rPr>
          <w:b w:val="0"/>
          <w:spacing w:val="3"/>
        </w:rPr>
        <w:t> </w:t>
      </w:r>
      <w:r>
        <w:rPr>
          <w:b w:val="0"/>
        </w:rPr>
        <w:t>visits</w:t>
      </w:r>
      <w:r>
        <w:rPr>
          <w:b w:val="0"/>
          <w:spacing w:val="3"/>
        </w:rPr>
        <w:t> </w:t>
      </w:r>
      <w:r>
        <w:rPr>
          <w:b w:val="0"/>
        </w:rPr>
        <w:t>from</w:t>
      </w:r>
      <w:r>
        <w:rPr>
          <w:b w:val="0"/>
          <w:spacing w:val="3"/>
        </w:rPr>
        <w:t> </w:t>
      </w:r>
      <w:r>
        <w:rPr>
          <w:b w:val="0"/>
        </w:rPr>
        <w:t>therapy</w:t>
      </w:r>
      <w:r>
        <w:rPr>
          <w:b w:val="0"/>
          <w:spacing w:val="3"/>
        </w:rPr>
        <w:t> </w:t>
      </w:r>
      <w:r>
        <w:rPr>
          <w:b w:val="0"/>
        </w:rPr>
        <w:t>and</w:t>
      </w:r>
      <w:r>
        <w:rPr>
          <w:b w:val="0"/>
          <w:spacing w:val="3"/>
        </w:rPr>
        <w:t> </w:t>
      </w:r>
      <w:r>
        <w:rPr>
          <w:b w:val="0"/>
        </w:rPr>
        <w:t>companion</w:t>
      </w:r>
      <w:r>
        <w:rPr>
          <w:b w:val="0"/>
          <w:spacing w:val="3"/>
        </w:rPr>
        <w:t> </w:t>
      </w:r>
      <w:r>
        <w:rPr>
          <w:b w:val="0"/>
          <w:spacing w:val="-2"/>
        </w:rPr>
        <w:t>dogs.</w:t>
      </w:r>
    </w:p>
    <w:p>
      <w:pPr>
        <w:pStyle w:val="BodyText"/>
        <w:spacing w:before="102"/>
        <w:rPr>
          <w:b w:val="0"/>
        </w:rPr>
      </w:pPr>
    </w:p>
    <w:p>
      <w:pPr>
        <w:pStyle w:val="BodyText"/>
        <w:spacing w:line="295" w:lineRule="auto"/>
        <w:ind w:left="1133"/>
        <w:rPr>
          <w:b w:val="0"/>
        </w:rPr>
      </w:pPr>
      <w:r>
        <w:rPr>
          <w:b w:val="0"/>
          <w:spacing w:val="-4"/>
        </w:rPr>
        <w:t>In response to the events of this year and the unprecedented</w:t>
      </w:r>
      <w:r>
        <w:rPr>
          <w:b w:val="0"/>
          <w:spacing w:val="40"/>
        </w:rPr>
        <w:t> </w:t>
      </w:r>
      <w:r>
        <w:rPr>
          <w:b w:val="0"/>
        </w:rPr>
        <w:t>disruption for high school leavers, UWA took the decision</w:t>
      </w:r>
      <w:r>
        <w:rPr>
          <w:b w:val="0"/>
          <w:spacing w:val="40"/>
        </w:rPr>
        <w:t> </w:t>
      </w:r>
      <w:r>
        <w:rPr>
          <w:b w:val="0"/>
        </w:rPr>
        <w:t>to accept students’ Year 11 predicted ATAR results as a</w:t>
      </w:r>
      <w:r>
        <w:rPr>
          <w:b w:val="0"/>
          <w:spacing w:val="40"/>
        </w:rPr>
        <w:t> </w:t>
      </w:r>
      <w:r>
        <w:rPr>
          <w:b w:val="0"/>
        </w:rPr>
        <w:t>basis for admission in 2021. Students were required to</w:t>
      </w:r>
      <w:r>
        <w:rPr>
          <w:b w:val="0"/>
          <w:spacing w:val="40"/>
        </w:rPr>
        <w:t> </w:t>
      </w:r>
      <w:r>
        <w:rPr>
          <w:b w:val="0"/>
        </w:rPr>
        <w:t>complete WACE, sit Year 12 ATAR exams, and choose to</w:t>
      </w:r>
      <w:r>
        <w:rPr>
          <w:b w:val="0"/>
          <w:spacing w:val="40"/>
        </w:rPr>
        <w:t> </w:t>
      </w:r>
      <w:r>
        <w:rPr>
          <w:b w:val="0"/>
        </w:rPr>
        <w:t>use their final ATAR as entry if the result was higher than</w:t>
      </w:r>
      <w:r>
        <w:rPr>
          <w:b w:val="0"/>
          <w:spacing w:val="40"/>
        </w:rPr>
        <w:t> </w:t>
      </w:r>
      <w:r>
        <w:rPr>
          <w:b w:val="0"/>
        </w:rPr>
        <w:t>the Year 11 predicted ATAR. The approach was developed</w:t>
      </w:r>
      <w:r>
        <w:rPr>
          <w:b w:val="0"/>
          <w:spacing w:val="40"/>
        </w:rPr>
        <w:t> </w:t>
      </w:r>
      <w:r>
        <w:rPr>
          <w:b w:val="0"/>
        </w:rPr>
        <w:t>in consultation with high schools and continues to be</w:t>
      </w:r>
      <w:r>
        <w:rPr>
          <w:b w:val="0"/>
          <w:spacing w:val="40"/>
        </w:rPr>
        <w:t> </w:t>
      </w:r>
      <w:r>
        <w:rPr>
          <w:b w:val="0"/>
        </w:rPr>
        <w:t>explored within our Schools Engagement program, with</w:t>
      </w:r>
      <w:r>
        <w:rPr>
          <w:b w:val="0"/>
          <w:spacing w:val="40"/>
        </w:rPr>
        <w:t> </w:t>
      </w:r>
      <w:r>
        <w:rPr>
          <w:b w:val="0"/>
        </w:rPr>
        <w:t>feedback overwhelmingly positive.</w:t>
      </w:r>
    </w:p>
    <w:p>
      <w:pPr>
        <w:pStyle w:val="BodyText"/>
        <w:spacing w:before="58"/>
        <w:rPr>
          <w:b w:val="0"/>
        </w:rPr>
      </w:pPr>
    </w:p>
    <w:p>
      <w:pPr>
        <w:pStyle w:val="BodyText"/>
        <w:spacing w:line="295" w:lineRule="auto"/>
        <w:ind w:left="1133" w:right="407"/>
        <w:rPr>
          <w:b w:val="0"/>
        </w:rPr>
      </w:pPr>
      <w:r>
        <w:rPr>
          <w:b w:val="0"/>
        </w:rPr>
        <w:t>For the first time, our annual Open Day event moved</w:t>
      </w:r>
      <w:r>
        <w:rPr>
          <w:b w:val="0"/>
          <w:spacing w:val="40"/>
        </w:rPr>
        <w:t> </w:t>
      </w:r>
      <w:r>
        <w:rPr>
          <w:b w:val="0"/>
        </w:rPr>
        <w:t>online, providing an engagement opportunity for</w:t>
      </w:r>
      <w:r>
        <w:rPr>
          <w:b w:val="0"/>
          <w:spacing w:val="40"/>
        </w:rPr>
        <w:t> </w:t>
      </w:r>
      <w:r>
        <w:rPr>
          <w:b w:val="0"/>
        </w:rPr>
        <w:t>thousands of prospective students, their families, and</w:t>
      </w:r>
      <w:r>
        <w:rPr>
          <w:b w:val="0"/>
          <w:spacing w:val="40"/>
        </w:rPr>
        <w:t> </w:t>
      </w:r>
      <w:r>
        <w:rPr>
          <w:b w:val="0"/>
        </w:rPr>
        <w:t>other influencers throughout Australia and overseas,</w:t>
      </w:r>
      <w:r>
        <w:rPr>
          <w:b w:val="0"/>
          <w:spacing w:val="40"/>
        </w:rPr>
        <w:t> </w:t>
      </w:r>
      <w:r>
        <w:rPr>
          <w:b w:val="0"/>
        </w:rPr>
        <w:t>with live and on-demand content.</w:t>
      </w:r>
    </w:p>
    <w:p>
      <w:pPr>
        <w:pStyle w:val="BodyText"/>
        <w:spacing w:line="295" w:lineRule="auto" w:before="124"/>
        <w:ind w:left="357" w:right="392"/>
        <w:rPr>
          <w:b w:val="0"/>
        </w:rPr>
      </w:pPr>
      <w:r>
        <w:rPr/>
        <w:br w:type="column"/>
      </w:r>
      <w:r>
        <w:rPr>
          <w:b w:val="0"/>
        </w:rPr>
        <w:t>In 2020 the portfolio led the development of the UWA</w:t>
      </w:r>
      <w:r>
        <w:rPr>
          <w:b w:val="0"/>
          <w:spacing w:val="40"/>
        </w:rPr>
        <w:t> </w:t>
      </w:r>
      <w:r>
        <w:rPr>
          <w:b w:val="0"/>
        </w:rPr>
        <w:t>Grand Challenges program to serve as a unifying narrative</w:t>
      </w:r>
      <w:r>
        <w:rPr>
          <w:b w:val="0"/>
          <w:spacing w:val="40"/>
        </w:rPr>
        <w:t> </w:t>
      </w:r>
      <w:r>
        <w:rPr>
          <w:b w:val="0"/>
        </w:rPr>
        <w:t>across the University bringing together significant</w:t>
      </w:r>
      <w:r>
        <w:rPr>
          <w:b w:val="0"/>
          <w:spacing w:val="40"/>
        </w:rPr>
        <w:t> </w:t>
      </w:r>
      <w:r>
        <w:rPr>
          <w:b w:val="0"/>
        </w:rPr>
        <w:t>initiatives, programs and research, and generating interest</w:t>
      </w:r>
      <w:r>
        <w:rPr>
          <w:b w:val="0"/>
          <w:spacing w:val="40"/>
        </w:rPr>
        <w:t> </w:t>
      </w:r>
      <w:r>
        <w:rPr>
          <w:b w:val="0"/>
        </w:rPr>
        <w:t>with current and future students, industry, and the</w:t>
      </w:r>
      <w:r>
        <w:rPr>
          <w:b w:val="0"/>
          <w:spacing w:val="40"/>
        </w:rPr>
        <w:t> </w:t>
      </w:r>
      <w:r>
        <w:rPr>
          <w:b w:val="0"/>
        </w:rPr>
        <w:t>community. Grand Challenges represent the most</w:t>
      </w:r>
      <w:r>
        <w:rPr>
          <w:b w:val="0"/>
          <w:spacing w:val="40"/>
        </w:rPr>
        <w:t> </w:t>
      </w:r>
      <w:r>
        <w:rPr>
          <w:b w:val="0"/>
        </w:rPr>
        <w:t>complex, multidisciplinary and important issues facing</w:t>
      </w:r>
      <w:r>
        <w:rPr>
          <w:b w:val="0"/>
          <w:spacing w:val="40"/>
        </w:rPr>
        <w:t> </w:t>
      </w:r>
      <w:r>
        <w:rPr>
          <w:b w:val="0"/>
        </w:rPr>
        <w:t>communities at local, regional and global levels.</w:t>
      </w:r>
    </w:p>
    <w:p>
      <w:pPr>
        <w:pStyle w:val="BodyText"/>
        <w:spacing w:line="295" w:lineRule="auto" w:before="7"/>
        <w:ind w:left="357" w:right="392"/>
        <w:rPr>
          <w:b w:val="0"/>
        </w:rPr>
      </w:pPr>
      <w:r>
        <w:rPr>
          <w:b w:val="0"/>
        </w:rPr>
        <w:t>They do not lend themselves to easy resolution, but are</w:t>
      </w:r>
      <w:r>
        <w:rPr>
          <w:b w:val="0"/>
          <w:spacing w:val="40"/>
        </w:rPr>
        <w:t> </w:t>
      </w:r>
      <w:r>
        <w:rPr>
          <w:b w:val="0"/>
        </w:rPr>
        <w:t>areas where fresh thinking is needed and the combination</w:t>
      </w:r>
      <w:r>
        <w:rPr>
          <w:b w:val="0"/>
          <w:spacing w:val="40"/>
        </w:rPr>
        <w:t> </w:t>
      </w:r>
      <w:r>
        <w:rPr>
          <w:b w:val="0"/>
        </w:rPr>
        <w:t>of research applications and ‘students as future leaders’</w:t>
      </w:r>
      <w:r>
        <w:rPr>
          <w:b w:val="0"/>
          <w:spacing w:val="40"/>
        </w:rPr>
        <w:t> </w:t>
      </w:r>
      <w:r>
        <w:rPr>
          <w:b w:val="0"/>
        </w:rPr>
        <w:t>will shape ever more effective responses. Two Grand</w:t>
      </w:r>
      <w:r>
        <w:rPr>
          <w:b w:val="0"/>
          <w:spacing w:val="40"/>
        </w:rPr>
        <w:t> </w:t>
      </w:r>
      <w:r>
        <w:rPr>
          <w:b w:val="0"/>
        </w:rPr>
        <w:t>Challenges focus topics have been selected, in</w:t>
      </w:r>
      <w:r>
        <w:rPr>
          <w:b w:val="0"/>
          <w:spacing w:val="40"/>
        </w:rPr>
        <w:t> </w:t>
      </w:r>
      <w:r>
        <w:rPr>
          <w:b w:val="0"/>
        </w:rPr>
        <w:t>partnership with the Guild: </w:t>
      </w:r>
      <w:r>
        <w:rPr>
          <w:b w:val="0"/>
          <w:i/>
        </w:rPr>
        <w:t>Climate change (2020-2023</w:t>
      </w:r>
      <w:r>
        <w:rPr>
          <w:b w:val="0"/>
        </w:rPr>
        <w:t>);</w:t>
      </w:r>
      <w:r>
        <w:rPr>
          <w:b w:val="0"/>
          <w:spacing w:val="40"/>
        </w:rPr>
        <w:t> </w:t>
      </w:r>
      <w:r>
        <w:rPr>
          <w:b w:val="0"/>
        </w:rPr>
        <w:t>and </w:t>
      </w:r>
      <w:r>
        <w:rPr>
          <w:b w:val="0"/>
          <w:i/>
        </w:rPr>
        <w:t>A more just and equitable world post COVID-19</w:t>
      </w:r>
      <w:r>
        <w:rPr>
          <w:b w:val="0"/>
          <w:i/>
          <w:spacing w:val="40"/>
        </w:rPr>
        <w:t> </w:t>
      </w:r>
      <w:r>
        <w:rPr>
          <w:b w:val="0"/>
        </w:rPr>
        <w:t>(2020-end of 2021).</w:t>
      </w:r>
    </w:p>
    <w:p>
      <w:pPr>
        <w:pStyle w:val="BodyText"/>
        <w:spacing w:before="57"/>
        <w:rPr>
          <w:b w:val="0"/>
        </w:rPr>
      </w:pPr>
    </w:p>
    <w:p>
      <w:pPr>
        <w:pStyle w:val="BodyText"/>
        <w:spacing w:line="295" w:lineRule="auto"/>
        <w:ind w:left="357" w:right="385"/>
        <w:rPr>
          <w:b w:val="0"/>
        </w:rPr>
      </w:pPr>
      <w:r>
        <w:rPr>
          <w:b w:val="0"/>
        </w:rPr>
        <w:t>The portfolio is steering UWA’s partnership with Edith</w:t>
      </w:r>
      <w:r>
        <w:rPr>
          <w:b w:val="0"/>
          <w:spacing w:val="40"/>
        </w:rPr>
        <w:t> </w:t>
      </w:r>
      <w:r>
        <w:rPr>
          <w:b w:val="0"/>
        </w:rPr>
        <w:t>Cowan University to deliver the Children’s University</w:t>
      </w:r>
      <w:r>
        <w:rPr>
          <w:b w:val="0"/>
          <w:spacing w:val="40"/>
        </w:rPr>
        <w:t> </w:t>
      </w:r>
      <w:r>
        <w:rPr>
          <w:b w:val="0"/>
        </w:rPr>
        <w:t>Australasia program. Launched this year, this program</w:t>
      </w:r>
      <w:r>
        <w:rPr>
          <w:b w:val="0"/>
          <w:spacing w:val="40"/>
        </w:rPr>
        <w:t> </w:t>
      </w:r>
      <w:r>
        <w:rPr>
          <w:b w:val="0"/>
        </w:rPr>
        <w:t>marks a significant way for UWA to inspire and support</w:t>
      </w:r>
      <w:r>
        <w:rPr>
          <w:b w:val="0"/>
          <w:spacing w:val="40"/>
        </w:rPr>
        <w:t> </w:t>
      </w:r>
      <w:r>
        <w:rPr>
          <w:b w:val="0"/>
        </w:rPr>
        <w:t>lifelong learning, and aspirations and engagement with</w:t>
      </w:r>
      <w:r>
        <w:rPr>
          <w:b w:val="0"/>
          <w:spacing w:val="40"/>
        </w:rPr>
        <w:t> </w:t>
      </w:r>
      <w:r>
        <w:rPr>
          <w:b w:val="0"/>
        </w:rPr>
        <w:t>children from a young age. The program was delivered to</w:t>
      </w:r>
      <w:r>
        <w:rPr>
          <w:b w:val="0"/>
          <w:spacing w:val="40"/>
        </w:rPr>
        <w:t> </w:t>
      </w:r>
      <w:r>
        <w:rPr>
          <w:b w:val="0"/>
        </w:rPr>
        <w:t>three pilot schools (in Peel and Perth), and will commence</w:t>
      </w:r>
      <w:r>
        <w:rPr>
          <w:b w:val="0"/>
          <w:spacing w:val="40"/>
        </w:rPr>
        <w:t> </w:t>
      </w:r>
      <w:r>
        <w:rPr>
          <w:b w:val="0"/>
        </w:rPr>
        <w:t>at three schools in Albany in 2021.</w:t>
      </w:r>
    </w:p>
    <w:p>
      <w:pPr>
        <w:pStyle w:val="BodyText"/>
        <w:spacing w:before="56"/>
        <w:rPr>
          <w:b w:val="0"/>
        </w:rPr>
      </w:pPr>
    </w:p>
    <w:p>
      <w:pPr>
        <w:pStyle w:val="BodyText"/>
        <w:spacing w:line="295" w:lineRule="auto"/>
        <w:ind w:left="357" w:right="385"/>
        <w:rPr>
          <w:b w:val="0"/>
        </w:rPr>
      </w:pPr>
      <w:r>
        <w:rPr>
          <w:b w:val="0"/>
        </w:rPr>
        <w:t>The development of the UWA Regional Strategy draws</w:t>
      </w:r>
      <w:r>
        <w:rPr>
          <w:b w:val="0"/>
          <w:spacing w:val="40"/>
        </w:rPr>
        <w:t> </w:t>
      </w:r>
      <w:r>
        <w:rPr>
          <w:b w:val="0"/>
        </w:rPr>
        <w:t>together and strengthens the University’s existing work</w:t>
      </w:r>
      <w:r>
        <w:rPr>
          <w:b w:val="0"/>
          <w:spacing w:val="40"/>
        </w:rPr>
        <w:t> </w:t>
      </w:r>
      <w:r>
        <w:rPr>
          <w:b w:val="0"/>
        </w:rPr>
        <w:t>and partnerships to develop an action-oriented approach</w:t>
      </w:r>
      <w:r>
        <w:rPr>
          <w:b w:val="0"/>
          <w:spacing w:val="40"/>
        </w:rPr>
        <w:t> </w:t>
      </w:r>
      <w:r>
        <w:rPr>
          <w:b w:val="0"/>
        </w:rPr>
        <w:t>to achieving outcomes that support stronger, sustainable</w:t>
      </w:r>
      <w:r>
        <w:rPr>
          <w:b w:val="0"/>
          <w:spacing w:val="40"/>
        </w:rPr>
        <w:t> </w:t>
      </w:r>
      <w:r>
        <w:rPr>
          <w:b w:val="0"/>
        </w:rPr>
        <w:t>communities across the State. The first phase of Strategy</w:t>
      </w:r>
      <w:r>
        <w:rPr>
          <w:b w:val="0"/>
          <w:spacing w:val="40"/>
        </w:rPr>
        <w:t> </w:t>
      </w:r>
      <w:r>
        <w:rPr>
          <w:b w:val="0"/>
        </w:rPr>
        <w:t>development is complete, with broader consultation on</w:t>
      </w:r>
      <w:r>
        <w:rPr>
          <w:b w:val="0"/>
          <w:spacing w:val="40"/>
        </w:rPr>
        <w:t> </w:t>
      </w:r>
      <w:r>
        <w:rPr>
          <w:b w:val="0"/>
        </w:rPr>
        <w:t>the Green Paper planned for early 2021.</w:t>
      </w:r>
    </w:p>
    <w:p>
      <w:pPr>
        <w:spacing w:after="0" w:line="295" w:lineRule="auto"/>
        <w:sectPr>
          <w:type w:val="continuous"/>
          <w:pgSz w:w="11910" w:h="16840"/>
          <w:pgMar w:header="468" w:footer="0" w:top="980" w:bottom="280" w:left="0" w:right="780"/>
          <w:cols w:num="2" w:equalWidth="0">
            <w:col w:w="5754" w:space="40"/>
            <w:col w:w="5336"/>
          </w:cols>
        </w:sectPr>
      </w:pPr>
    </w:p>
    <w:p>
      <w:pPr>
        <w:spacing w:line="906" w:lineRule="exact" w:before="757"/>
        <w:ind w:left="1133" w:right="0" w:firstLine="0"/>
        <w:jc w:val="left"/>
        <w:rPr>
          <w:rFonts w:ascii="Palatino Linotype"/>
          <w:sz w:val="70"/>
        </w:rPr>
      </w:pPr>
      <w:r>
        <w:rPr/>
        <mc:AlternateContent>
          <mc:Choice Requires="wps">
            <w:drawing>
              <wp:anchor distT="0" distB="0" distL="0" distR="0" allowOverlap="1" layoutInCell="1" locked="0" behindDoc="1" simplePos="0" relativeHeight="472654848">
                <wp:simplePos x="0" y="0"/>
                <wp:positionH relativeFrom="page">
                  <wp:posOffset>1078395</wp:posOffset>
                </wp:positionH>
                <wp:positionV relativeFrom="paragraph">
                  <wp:posOffset>967555</wp:posOffset>
                </wp:positionV>
                <wp:extent cx="3312160" cy="696595"/>
                <wp:effectExtent l="0" t="0" r="0" b="0"/>
                <wp:wrapNone/>
                <wp:docPr id="332" name="Graphic 332"/>
                <wp:cNvGraphicFramePr>
                  <a:graphicFrameLocks/>
                </wp:cNvGraphicFramePr>
                <a:graphic>
                  <a:graphicData uri="http://schemas.microsoft.com/office/word/2010/wordprocessingShape">
                    <wps:wsp>
                      <wps:cNvPr id="332" name="Graphic 332"/>
                      <wps:cNvSpPr/>
                      <wps:spPr>
                        <a:xfrm>
                          <a:off x="0" y="0"/>
                          <a:ext cx="3312160" cy="696595"/>
                        </a:xfrm>
                        <a:custGeom>
                          <a:avLst/>
                          <a:gdLst/>
                          <a:ahLst/>
                          <a:cxnLst/>
                          <a:rect l="l" t="t" r="r" b="b"/>
                          <a:pathLst>
                            <a:path w="3312160" h="696595">
                              <a:moveTo>
                                <a:pt x="3311893" y="0"/>
                              </a:moveTo>
                              <a:lnTo>
                                <a:pt x="0" y="0"/>
                              </a:lnTo>
                              <a:lnTo>
                                <a:pt x="0" y="696048"/>
                              </a:lnTo>
                              <a:lnTo>
                                <a:pt x="3311893" y="696048"/>
                              </a:lnTo>
                              <a:lnTo>
                                <a:pt x="3311893"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84.913002pt;margin-top:76.185501pt;width:260.779pt;height:54.807pt;mso-position-horizontal-relative:page;mso-position-vertical-relative:paragraph;z-index:-30661632" id="docshape194" filled="true" fillcolor="#ffffff" stroked="false">
                <v:fill type="solid"/>
                <w10:wrap type="none"/>
              </v:rect>
            </w:pict>
          </mc:Fallback>
        </mc:AlternateContent>
      </w:r>
      <w:r>
        <w:rPr>
          <w:rFonts w:ascii="Palatino Linotype"/>
          <w:spacing w:val="-2"/>
          <w:w w:val="110"/>
          <w:sz w:val="70"/>
        </w:rPr>
        <w:t>Research</w:t>
      </w:r>
    </w:p>
    <w:p>
      <w:pPr>
        <w:pStyle w:val="Heading2"/>
        <w:spacing w:line="780" w:lineRule="exact"/>
        <w:ind w:left="1868"/>
      </w:pPr>
      <w:r>
        <w:rPr/>
        <w:t>and </w:t>
      </w:r>
      <w:r>
        <w:rPr>
          <w:spacing w:val="-2"/>
        </w:rPr>
        <w:t>Innovation</w:t>
      </w:r>
    </w:p>
    <w:p>
      <w:pPr>
        <w:pStyle w:val="BodyText"/>
        <w:rPr>
          <w:rFonts w:ascii="TT Norms Pro"/>
          <w:b/>
          <w:sz w:val="24"/>
        </w:rPr>
      </w:pPr>
    </w:p>
    <w:p>
      <w:pPr>
        <w:pStyle w:val="BodyText"/>
        <w:spacing w:before="247"/>
        <w:rPr>
          <w:rFonts w:ascii="TT Norms Pro"/>
          <w:b/>
          <w:sz w:val="24"/>
        </w:rPr>
      </w:pPr>
    </w:p>
    <w:p>
      <w:pPr>
        <w:pStyle w:val="Heading7"/>
      </w:pPr>
      <w:r>
        <w:rPr/>
        <mc:AlternateContent>
          <mc:Choice Requires="wps">
            <w:drawing>
              <wp:anchor distT="0" distB="0" distL="0" distR="0" allowOverlap="1" layoutInCell="1" locked="0" behindDoc="0" simplePos="0" relativeHeight="15801856">
                <wp:simplePos x="0" y="0"/>
                <wp:positionH relativeFrom="page">
                  <wp:posOffset>716499</wp:posOffset>
                </wp:positionH>
                <wp:positionV relativeFrom="paragraph">
                  <wp:posOffset>15622</wp:posOffset>
                </wp:positionV>
                <wp:extent cx="1270" cy="1068070"/>
                <wp:effectExtent l="0" t="0" r="0" b="0"/>
                <wp:wrapNone/>
                <wp:docPr id="333" name="Graphic 333"/>
                <wp:cNvGraphicFramePr>
                  <a:graphicFrameLocks/>
                </wp:cNvGraphicFramePr>
                <a:graphic>
                  <a:graphicData uri="http://schemas.microsoft.com/office/word/2010/wordprocessingShape">
                    <wps:wsp>
                      <wps:cNvPr id="333" name="Graphic 333"/>
                      <wps:cNvSpPr/>
                      <wps:spPr>
                        <a:xfrm>
                          <a:off x="0" y="0"/>
                          <a:ext cx="1270" cy="1068070"/>
                        </a:xfrm>
                        <a:custGeom>
                          <a:avLst/>
                          <a:gdLst/>
                          <a:ahLst/>
                          <a:cxnLst/>
                          <a:rect l="l" t="t" r="r" b="b"/>
                          <a:pathLst>
                            <a:path w="0" h="1068070">
                              <a:moveTo>
                                <a:pt x="0" y="1067663"/>
                              </a:moveTo>
                              <a:lnTo>
                                <a:pt x="0" y="0"/>
                              </a:lnTo>
                            </a:path>
                          </a:pathLst>
                        </a:custGeom>
                        <a:ln w="6350">
                          <a:solidFill>
                            <a:srgbClr val="21409A"/>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01856" from="56.417301pt,85.29814pt" to="56.417301pt,1.23014pt" stroked="true" strokeweight=".5pt" strokecolor="#21409a">
                <v:stroke dashstyle="solid"/>
                <w10:wrap type="none"/>
              </v:line>
            </w:pict>
          </mc:Fallback>
        </mc:AlternateContent>
      </w:r>
      <w:r>
        <w:rPr>
          <w:color w:val="21409A"/>
          <w:spacing w:val="-2"/>
        </w:rPr>
        <w:t>PRIORITIES</w:t>
      </w:r>
    </w:p>
    <w:p>
      <w:pPr>
        <w:pStyle w:val="ListParagraph"/>
        <w:numPr>
          <w:ilvl w:val="0"/>
          <w:numId w:val="5"/>
        </w:numPr>
        <w:tabs>
          <w:tab w:pos="1581" w:val="left" w:leader="none"/>
        </w:tabs>
        <w:spacing w:line="280" w:lineRule="auto" w:before="152" w:after="0"/>
        <w:ind w:left="1581" w:right="3624" w:hanging="227"/>
        <w:jc w:val="left"/>
        <w:rPr>
          <w:rFonts w:ascii="TT Norms Pro Light" w:hAnsi="TT Norms Pro Light"/>
          <w:b w:val="0"/>
          <w:color w:val="21409A"/>
          <w:sz w:val="22"/>
        </w:rPr>
      </w:pPr>
      <w:r>
        <w:rPr>
          <w:rFonts w:ascii="TT Norms Pro Light" w:hAnsi="TT Norms Pro Light"/>
          <w:b w:val="0"/>
          <w:color w:val="21409A"/>
          <w:sz w:val="22"/>
        </w:rPr>
        <w:t>Focus</w:t>
      </w:r>
      <w:r>
        <w:rPr>
          <w:rFonts w:ascii="TT Norms Pro Light" w:hAnsi="TT Norms Pro Light"/>
          <w:b w:val="0"/>
          <w:color w:val="21409A"/>
          <w:spacing w:val="-7"/>
          <w:sz w:val="22"/>
        </w:rPr>
        <w:t> </w:t>
      </w:r>
      <w:r>
        <w:rPr>
          <w:rFonts w:ascii="TT Norms Pro Light" w:hAnsi="TT Norms Pro Light"/>
          <w:b w:val="0"/>
          <w:color w:val="21409A"/>
          <w:sz w:val="22"/>
        </w:rPr>
        <w:t>our</w:t>
      </w:r>
      <w:r>
        <w:rPr>
          <w:rFonts w:ascii="TT Norms Pro Light" w:hAnsi="TT Norms Pro Light"/>
          <w:b w:val="0"/>
          <w:color w:val="21409A"/>
          <w:spacing w:val="-11"/>
          <w:sz w:val="22"/>
        </w:rPr>
        <w:t> </w:t>
      </w:r>
      <w:r>
        <w:rPr>
          <w:rFonts w:ascii="TT Norms Pro Light" w:hAnsi="TT Norms Pro Light"/>
          <w:b w:val="0"/>
          <w:color w:val="21409A"/>
          <w:sz w:val="22"/>
        </w:rPr>
        <w:t>research</w:t>
      </w:r>
      <w:r>
        <w:rPr>
          <w:rFonts w:ascii="TT Norms Pro Light" w:hAnsi="TT Norms Pro Light"/>
          <w:b w:val="0"/>
          <w:color w:val="21409A"/>
          <w:spacing w:val="-7"/>
          <w:sz w:val="22"/>
        </w:rPr>
        <w:t> </w:t>
      </w:r>
      <w:r>
        <w:rPr>
          <w:rFonts w:ascii="TT Norms Pro Light" w:hAnsi="TT Norms Pro Light"/>
          <w:b w:val="0"/>
          <w:color w:val="21409A"/>
          <w:sz w:val="22"/>
        </w:rPr>
        <w:t>on</w:t>
      </w:r>
      <w:r>
        <w:rPr>
          <w:rFonts w:ascii="TT Norms Pro Light" w:hAnsi="TT Norms Pro Light"/>
          <w:b w:val="0"/>
          <w:color w:val="21409A"/>
          <w:spacing w:val="-7"/>
          <w:sz w:val="22"/>
        </w:rPr>
        <w:t> </w:t>
      </w:r>
      <w:r>
        <w:rPr>
          <w:rFonts w:ascii="TT Norms Pro Light" w:hAnsi="TT Norms Pro Light"/>
          <w:b w:val="0"/>
          <w:color w:val="21409A"/>
          <w:sz w:val="22"/>
        </w:rPr>
        <w:t>resolving</w:t>
      </w:r>
      <w:r>
        <w:rPr>
          <w:rFonts w:ascii="TT Norms Pro Light" w:hAnsi="TT Norms Pro Light"/>
          <w:b w:val="0"/>
          <w:color w:val="21409A"/>
          <w:spacing w:val="-7"/>
          <w:sz w:val="22"/>
        </w:rPr>
        <w:t> </w:t>
      </w:r>
      <w:r>
        <w:rPr>
          <w:rFonts w:ascii="TT Norms Pro Light" w:hAnsi="TT Norms Pro Light"/>
          <w:b w:val="0"/>
          <w:color w:val="21409A"/>
          <w:sz w:val="22"/>
        </w:rPr>
        <w:t>the</w:t>
      </w:r>
      <w:r>
        <w:rPr>
          <w:rFonts w:ascii="TT Norms Pro Light" w:hAnsi="TT Norms Pro Light"/>
          <w:b w:val="0"/>
          <w:color w:val="21409A"/>
          <w:spacing w:val="-11"/>
          <w:sz w:val="22"/>
        </w:rPr>
        <w:t> </w:t>
      </w:r>
      <w:r>
        <w:rPr>
          <w:rFonts w:ascii="TT Norms Pro Light" w:hAnsi="TT Norms Pro Light"/>
          <w:b w:val="0"/>
          <w:color w:val="21409A"/>
          <w:sz w:val="22"/>
        </w:rPr>
        <w:t>world’s</w:t>
      </w:r>
      <w:r>
        <w:rPr>
          <w:rFonts w:ascii="TT Norms Pro Light" w:hAnsi="TT Norms Pro Light"/>
          <w:b w:val="0"/>
          <w:color w:val="21409A"/>
          <w:spacing w:val="-7"/>
          <w:sz w:val="22"/>
        </w:rPr>
        <w:t> </w:t>
      </w:r>
      <w:r>
        <w:rPr>
          <w:rFonts w:ascii="TT Norms Pro Light" w:hAnsi="TT Norms Pro Light"/>
          <w:b w:val="0"/>
          <w:color w:val="21409A"/>
          <w:sz w:val="22"/>
        </w:rPr>
        <w:t>Grand</w:t>
      </w:r>
      <w:r>
        <w:rPr>
          <w:rFonts w:ascii="TT Norms Pro Light" w:hAnsi="TT Norms Pro Light"/>
          <w:b w:val="0"/>
          <w:color w:val="21409A"/>
          <w:spacing w:val="-7"/>
          <w:sz w:val="22"/>
        </w:rPr>
        <w:t> </w:t>
      </w:r>
      <w:r>
        <w:rPr>
          <w:rFonts w:ascii="TT Norms Pro Light" w:hAnsi="TT Norms Pro Light"/>
          <w:b w:val="0"/>
          <w:color w:val="21409A"/>
          <w:sz w:val="22"/>
        </w:rPr>
        <w:t>Challenges to improve lives and our environment.</w:t>
      </w:r>
    </w:p>
    <w:p>
      <w:pPr>
        <w:pStyle w:val="ListParagraph"/>
        <w:numPr>
          <w:ilvl w:val="0"/>
          <w:numId w:val="5"/>
        </w:numPr>
        <w:tabs>
          <w:tab w:pos="1581" w:val="left" w:leader="none"/>
        </w:tabs>
        <w:spacing w:line="240" w:lineRule="auto" w:before="54" w:after="0"/>
        <w:ind w:left="1581" w:right="0" w:hanging="226"/>
        <w:jc w:val="left"/>
        <w:rPr>
          <w:rFonts w:ascii="TT Norms Pro Light" w:hAnsi="TT Norms Pro Light"/>
          <w:b w:val="0"/>
          <w:color w:val="21409A"/>
          <w:sz w:val="22"/>
        </w:rPr>
      </w:pPr>
      <w:r>
        <w:rPr>
          <w:rFonts w:ascii="TT Norms Pro Light" w:hAnsi="TT Norms Pro Light"/>
          <w:b w:val="0"/>
          <w:color w:val="21409A"/>
          <w:sz w:val="22"/>
        </w:rPr>
        <w:t>Engage</w:t>
      </w:r>
      <w:r>
        <w:rPr>
          <w:rFonts w:ascii="TT Norms Pro Light" w:hAnsi="TT Norms Pro Light"/>
          <w:b w:val="0"/>
          <w:color w:val="21409A"/>
          <w:spacing w:val="-5"/>
          <w:sz w:val="22"/>
        </w:rPr>
        <w:t> </w:t>
      </w:r>
      <w:r>
        <w:rPr>
          <w:rFonts w:ascii="TT Norms Pro Light" w:hAnsi="TT Norms Pro Light"/>
          <w:b w:val="0"/>
          <w:color w:val="21409A"/>
          <w:sz w:val="22"/>
        </w:rPr>
        <w:t>in</w:t>
      </w:r>
      <w:r>
        <w:rPr>
          <w:rFonts w:ascii="TT Norms Pro Light" w:hAnsi="TT Norms Pro Light"/>
          <w:b w:val="0"/>
          <w:color w:val="21409A"/>
          <w:spacing w:val="-2"/>
          <w:sz w:val="22"/>
        </w:rPr>
        <w:t> </w:t>
      </w:r>
      <w:r>
        <w:rPr>
          <w:rFonts w:ascii="TT Norms Pro Light" w:hAnsi="TT Norms Pro Light"/>
          <w:b w:val="0"/>
          <w:color w:val="21409A"/>
          <w:sz w:val="22"/>
        </w:rPr>
        <w:t>research</w:t>
      </w:r>
      <w:r>
        <w:rPr>
          <w:rFonts w:ascii="TT Norms Pro Light" w:hAnsi="TT Norms Pro Light"/>
          <w:b w:val="0"/>
          <w:color w:val="21409A"/>
          <w:spacing w:val="-2"/>
          <w:sz w:val="22"/>
        </w:rPr>
        <w:t> </w:t>
      </w:r>
      <w:r>
        <w:rPr>
          <w:rFonts w:ascii="TT Norms Pro Light" w:hAnsi="TT Norms Pro Light"/>
          <w:b w:val="0"/>
          <w:color w:val="21409A"/>
          <w:sz w:val="22"/>
        </w:rPr>
        <w:t>that</w:t>
      </w:r>
      <w:r>
        <w:rPr>
          <w:rFonts w:ascii="TT Norms Pro Light" w:hAnsi="TT Norms Pro Light"/>
          <w:b w:val="0"/>
          <w:color w:val="21409A"/>
          <w:spacing w:val="-3"/>
          <w:sz w:val="22"/>
        </w:rPr>
        <w:t> </w:t>
      </w:r>
      <w:r>
        <w:rPr>
          <w:rFonts w:ascii="TT Norms Pro Light" w:hAnsi="TT Norms Pro Light"/>
          <w:b w:val="0"/>
          <w:color w:val="21409A"/>
          <w:sz w:val="22"/>
        </w:rPr>
        <w:t>is</w:t>
      </w:r>
      <w:r>
        <w:rPr>
          <w:rFonts w:ascii="TT Norms Pro Light" w:hAnsi="TT Norms Pro Light"/>
          <w:b w:val="0"/>
          <w:color w:val="21409A"/>
          <w:spacing w:val="-2"/>
          <w:sz w:val="22"/>
        </w:rPr>
        <w:t> </w:t>
      </w:r>
      <w:r>
        <w:rPr>
          <w:rFonts w:ascii="TT Norms Pro Light" w:hAnsi="TT Norms Pro Light"/>
          <w:b w:val="0"/>
          <w:color w:val="21409A"/>
          <w:sz w:val="22"/>
        </w:rPr>
        <w:t>digitally</w:t>
      </w:r>
      <w:r>
        <w:rPr>
          <w:rFonts w:ascii="TT Norms Pro Light" w:hAnsi="TT Norms Pro Light"/>
          <w:b w:val="0"/>
          <w:color w:val="21409A"/>
          <w:spacing w:val="-7"/>
          <w:sz w:val="22"/>
        </w:rPr>
        <w:t> </w:t>
      </w:r>
      <w:r>
        <w:rPr>
          <w:rFonts w:ascii="TT Norms Pro Light" w:hAnsi="TT Norms Pro Light"/>
          <w:b w:val="0"/>
          <w:color w:val="21409A"/>
          <w:sz w:val="22"/>
        </w:rPr>
        <w:t>driven</w:t>
      </w:r>
      <w:r>
        <w:rPr>
          <w:rFonts w:ascii="TT Norms Pro Light" w:hAnsi="TT Norms Pro Light"/>
          <w:b w:val="0"/>
          <w:color w:val="21409A"/>
          <w:spacing w:val="-2"/>
          <w:sz w:val="22"/>
        </w:rPr>
        <w:t> </w:t>
      </w:r>
      <w:r>
        <w:rPr>
          <w:rFonts w:ascii="TT Norms Pro Light" w:hAnsi="TT Norms Pro Light"/>
          <w:b w:val="0"/>
          <w:color w:val="21409A"/>
          <w:sz w:val="22"/>
        </w:rPr>
        <w:t>and</w:t>
      </w:r>
      <w:r>
        <w:rPr>
          <w:rFonts w:ascii="TT Norms Pro Light" w:hAnsi="TT Norms Pro Light"/>
          <w:b w:val="0"/>
          <w:color w:val="21409A"/>
          <w:spacing w:val="-2"/>
          <w:sz w:val="22"/>
        </w:rPr>
        <w:t> </w:t>
      </w:r>
      <w:r>
        <w:rPr>
          <w:rFonts w:ascii="TT Norms Pro Light" w:hAnsi="TT Norms Pro Light"/>
          <w:b w:val="0"/>
          <w:color w:val="21409A"/>
          <w:sz w:val="22"/>
        </w:rPr>
        <w:t>data-</w:t>
      </w:r>
      <w:r>
        <w:rPr>
          <w:rFonts w:ascii="TT Norms Pro Light" w:hAnsi="TT Norms Pro Light"/>
          <w:b w:val="0"/>
          <w:color w:val="21409A"/>
          <w:spacing w:val="-2"/>
          <w:sz w:val="22"/>
        </w:rPr>
        <w:t>intensive.</w:t>
      </w:r>
    </w:p>
    <w:p>
      <w:pPr>
        <w:pStyle w:val="ListParagraph"/>
        <w:numPr>
          <w:ilvl w:val="0"/>
          <w:numId w:val="5"/>
        </w:numPr>
        <w:tabs>
          <w:tab w:pos="1581" w:val="left" w:leader="none"/>
        </w:tabs>
        <w:spacing w:line="240" w:lineRule="auto" w:before="99" w:after="0"/>
        <w:ind w:left="1581" w:right="0" w:hanging="226"/>
        <w:jc w:val="left"/>
        <w:rPr>
          <w:rFonts w:ascii="TT Norms Pro Light" w:hAnsi="TT Norms Pro Light"/>
          <w:b w:val="0"/>
          <w:color w:val="21409A"/>
          <w:sz w:val="22"/>
        </w:rPr>
      </w:pPr>
      <w:r>
        <w:rPr>
          <w:rFonts w:ascii="TT Norms Pro Light" w:hAnsi="TT Norms Pro Light"/>
          <w:b w:val="0"/>
          <w:color w:val="21409A"/>
          <w:sz w:val="22"/>
        </w:rPr>
        <w:t>Be</w:t>
      </w:r>
      <w:r>
        <w:rPr>
          <w:rFonts w:ascii="TT Norms Pro Light" w:hAnsi="TT Norms Pro Light"/>
          <w:b w:val="0"/>
          <w:color w:val="21409A"/>
          <w:spacing w:val="-4"/>
          <w:sz w:val="22"/>
        </w:rPr>
        <w:t> </w:t>
      </w:r>
      <w:r>
        <w:rPr>
          <w:rFonts w:ascii="TT Norms Pro Light" w:hAnsi="TT Norms Pro Light"/>
          <w:b w:val="0"/>
          <w:color w:val="21409A"/>
          <w:sz w:val="22"/>
        </w:rPr>
        <w:t>the</w:t>
      </w:r>
      <w:r>
        <w:rPr>
          <w:rFonts w:ascii="TT Norms Pro Light" w:hAnsi="TT Norms Pro Light"/>
          <w:b w:val="0"/>
          <w:color w:val="21409A"/>
          <w:spacing w:val="-5"/>
          <w:sz w:val="22"/>
        </w:rPr>
        <w:t> </w:t>
      </w:r>
      <w:r>
        <w:rPr>
          <w:rFonts w:ascii="TT Norms Pro Light" w:hAnsi="TT Norms Pro Light"/>
          <w:b w:val="0"/>
          <w:color w:val="21409A"/>
          <w:sz w:val="22"/>
        </w:rPr>
        <w:t>world</w:t>
      </w:r>
      <w:r>
        <w:rPr>
          <w:rFonts w:ascii="TT Norms Pro Light" w:hAnsi="TT Norms Pro Light"/>
          <w:b w:val="0"/>
          <w:color w:val="21409A"/>
          <w:spacing w:val="-1"/>
          <w:sz w:val="22"/>
        </w:rPr>
        <w:t> </w:t>
      </w:r>
      <w:r>
        <w:rPr>
          <w:rFonts w:ascii="TT Norms Pro Light" w:hAnsi="TT Norms Pro Light"/>
          <w:b w:val="0"/>
          <w:color w:val="21409A"/>
          <w:sz w:val="22"/>
        </w:rPr>
        <w:t>leader</w:t>
      </w:r>
      <w:r>
        <w:rPr>
          <w:rFonts w:ascii="TT Norms Pro Light" w:hAnsi="TT Norms Pro Light"/>
          <w:b w:val="0"/>
          <w:color w:val="21409A"/>
          <w:spacing w:val="-6"/>
          <w:sz w:val="22"/>
        </w:rPr>
        <w:t> </w:t>
      </w:r>
      <w:r>
        <w:rPr>
          <w:rFonts w:ascii="TT Norms Pro Light" w:hAnsi="TT Norms Pro Light"/>
          <w:b w:val="0"/>
          <w:color w:val="21409A"/>
          <w:sz w:val="22"/>
        </w:rPr>
        <w:t>in</w:t>
      </w:r>
      <w:r>
        <w:rPr>
          <w:rFonts w:ascii="TT Norms Pro Light" w:hAnsi="TT Norms Pro Light"/>
          <w:b w:val="0"/>
          <w:color w:val="21409A"/>
          <w:spacing w:val="-1"/>
          <w:sz w:val="22"/>
        </w:rPr>
        <w:t> </w:t>
      </w:r>
      <w:r>
        <w:rPr>
          <w:rFonts w:ascii="TT Norms Pro Light" w:hAnsi="TT Norms Pro Light"/>
          <w:b w:val="0"/>
          <w:color w:val="21409A"/>
          <w:sz w:val="22"/>
        </w:rPr>
        <w:t>open,</w:t>
      </w:r>
      <w:r>
        <w:rPr>
          <w:rFonts w:ascii="TT Norms Pro Light" w:hAnsi="TT Norms Pro Light"/>
          <w:b w:val="0"/>
          <w:color w:val="21409A"/>
          <w:spacing w:val="-1"/>
          <w:sz w:val="22"/>
        </w:rPr>
        <w:t> </w:t>
      </w:r>
      <w:r>
        <w:rPr>
          <w:rFonts w:ascii="TT Norms Pro Light" w:hAnsi="TT Norms Pro Light"/>
          <w:b w:val="0"/>
          <w:color w:val="21409A"/>
          <w:sz w:val="22"/>
        </w:rPr>
        <w:t>accessible</w:t>
      </w:r>
      <w:r>
        <w:rPr>
          <w:rFonts w:ascii="TT Norms Pro Light" w:hAnsi="TT Norms Pro Light"/>
          <w:b w:val="0"/>
          <w:color w:val="21409A"/>
          <w:spacing w:val="-1"/>
          <w:sz w:val="22"/>
        </w:rPr>
        <w:t> </w:t>
      </w:r>
      <w:r>
        <w:rPr>
          <w:rFonts w:ascii="TT Norms Pro Light" w:hAnsi="TT Norms Pro Light"/>
          <w:b w:val="0"/>
          <w:color w:val="21409A"/>
          <w:sz w:val="22"/>
        </w:rPr>
        <w:t>and</w:t>
      </w:r>
      <w:r>
        <w:rPr>
          <w:rFonts w:ascii="TT Norms Pro Light" w:hAnsi="TT Norms Pro Light"/>
          <w:b w:val="0"/>
          <w:color w:val="21409A"/>
          <w:spacing w:val="-1"/>
          <w:sz w:val="22"/>
        </w:rPr>
        <w:t> </w:t>
      </w:r>
      <w:r>
        <w:rPr>
          <w:rFonts w:ascii="TT Norms Pro Light" w:hAnsi="TT Norms Pro Light"/>
          <w:b w:val="0"/>
          <w:color w:val="21409A"/>
          <w:sz w:val="22"/>
        </w:rPr>
        <w:t>trusted</w:t>
      </w:r>
      <w:r>
        <w:rPr>
          <w:rFonts w:ascii="TT Norms Pro Light" w:hAnsi="TT Norms Pro Light"/>
          <w:b w:val="0"/>
          <w:color w:val="21409A"/>
          <w:spacing w:val="-1"/>
          <w:sz w:val="22"/>
        </w:rPr>
        <w:t> </w:t>
      </w:r>
      <w:r>
        <w:rPr>
          <w:rFonts w:ascii="TT Norms Pro Light" w:hAnsi="TT Norms Pro Light"/>
          <w:b w:val="0"/>
          <w:color w:val="21409A"/>
          <w:spacing w:val="-2"/>
          <w:sz w:val="22"/>
        </w:rPr>
        <w:t>research.</w:t>
      </w:r>
    </w:p>
    <w:p>
      <w:pPr>
        <w:pStyle w:val="BodyText"/>
        <w:rPr>
          <w:b w:val="0"/>
          <w:sz w:val="20"/>
        </w:rPr>
      </w:pPr>
    </w:p>
    <w:p>
      <w:pPr>
        <w:pStyle w:val="BodyText"/>
        <w:spacing w:before="113"/>
        <w:rPr>
          <w:b w:val="0"/>
          <w:sz w:val="20"/>
        </w:rPr>
      </w:pPr>
    </w:p>
    <w:p>
      <w:pPr>
        <w:spacing w:after="0"/>
        <w:rPr>
          <w:sz w:val="20"/>
        </w:rPr>
        <w:sectPr>
          <w:pgSz w:w="11910" w:h="16840"/>
          <w:pgMar w:header="468" w:footer="0" w:top="720" w:bottom="0" w:left="0" w:right="780"/>
        </w:sectPr>
      </w:pPr>
    </w:p>
    <w:p>
      <w:pPr>
        <w:pStyle w:val="BodyText"/>
        <w:spacing w:line="295" w:lineRule="auto" w:before="124"/>
        <w:ind w:left="1133" w:right="20"/>
        <w:rPr>
          <w:b w:val="0"/>
        </w:rPr>
      </w:pPr>
      <w:r>
        <w:rPr/>
        <mc:AlternateContent>
          <mc:Choice Requires="wps">
            <w:drawing>
              <wp:anchor distT="0" distB="0" distL="0" distR="0" allowOverlap="1" layoutInCell="1" locked="0" behindDoc="0" simplePos="0" relativeHeight="15802368">
                <wp:simplePos x="0" y="0"/>
                <wp:positionH relativeFrom="page">
                  <wp:posOffset>6022606</wp:posOffset>
                </wp:positionH>
                <wp:positionV relativeFrom="page">
                  <wp:posOffset>8134439</wp:posOffset>
                </wp:positionV>
                <wp:extent cx="1537970" cy="2557780"/>
                <wp:effectExtent l="0" t="0" r="0" b="0"/>
                <wp:wrapNone/>
                <wp:docPr id="334" name="Group 334"/>
                <wp:cNvGraphicFramePr>
                  <a:graphicFrameLocks/>
                </wp:cNvGraphicFramePr>
                <a:graphic>
                  <a:graphicData uri="http://schemas.microsoft.com/office/word/2010/wordprocessingGroup">
                    <wpg:wgp>
                      <wpg:cNvPr id="334" name="Group 334"/>
                      <wpg:cNvGrpSpPr/>
                      <wpg:grpSpPr>
                        <a:xfrm>
                          <a:off x="0" y="0"/>
                          <a:ext cx="1537970" cy="2557780"/>
                          <a:chExt cx="1537970" cy="2557780"/>
                        </a:xfrm>
                      </wpg:grpSpPr>
                      <pic:pic>
                        <pic:nvPicPr>
                          <pic:cNvPr id="335" name="Image 335"/>
                          <pic:cNvPicPr/>
                        </pic:nvPicPr>
                        <pic:blipFill>
                          <a:blip r:embed="rId49" cstate="print"/>
                          <a:stretch>
                            <a:fillRect/>
                          </a:stretch>
                        </pic:blipFill>
                        <pic:spPr>
                          <a:xfrm>
                            <a:off x="0" y="15963"/>
                            <a:ext cx="178396" cy="2541600"/>
                          </a:xfrm>
                          <a:prstGeom prst="rect">
                            <a:avLst/>
                          </a:prstGeom>
                        </pic:spPr>
                      </pic:pic>
                      <pic:pic>
                        <pic:nvPicPr>
                          <pic:cNvPr id="336" name="Image 336"/>
                          <pic:cNvPicPr/>
                        </pic:nvPicPr>
                        <pic:blipFill>
                          <a:blip r:embed="rId50" cstate="print"/>
                          <a:stretch>
                            <a:fillRect/>
                          </a:stretch>
                        </pic:blipFill>
                        <pic:spPr>
                          <a:xfrm>
                            <a:off x="178396" y="0"/>
                            <a:ext cx="1358988" cy="2557564"/>
                          </a:xfrm>
                          <a:prstGeom prst="rect">
                            <a:avLst/>
                          </a:prstGeom>
                        </pic:spPr>
                      </pic:pic>
                    </wpg:wgp>
                  </a:graphicData>
                </a:graphic>
              </wp:anchor>
            </w:drawing>
          </mc:Choice>
          <mc:Fallback>
            <w:pict>
              <v:group style="position:absolute;margin-left:474.221008pt;margin-top:640.507019pt;width:121.1pt;height:201.4pt;mso-position-horizontal-relative:page;mso-position-vertical-relative:page;z-index:15802368" id="docshapegroup195" coordorigin="9484,12810" coordsize="2422,4028">
                <v:shape style="position:absolute;left:9484;top:12835;width:281;height:4003" type="#_x0000_t75" id="docshape196" stroked="false">
                  <v:imagedata r:id="rId49" o:title=""/>
                </v:shape>
                <v:shape style="position:absolute;left:9765;top:12810;width:2141;height:4028" type="#_x0000_t75" id="docshape197" stroked="false">
                  <v:imagedata r:id="rId50" o:title=""/>
                </v:shape>
                <w10:wrap type="none"/>
              </v:group>
            </w:pict>
          </mc:Fallback>
        </mc:AlternateContent>
      </w:r>
      <w:r>
        <w:rPr>
          <w:b w:val="0"/>
        </w:rPr>
        <w:t>The University achieved its highest-ever place among the</w:t>
      </w:r>
      <w:r>
        <w:rPr>
          <w:b w:val="0"/>
          <w:spacing w:val="40"/>
        </w:rPr>
        <w:t> </w:t>
      </w:r>
      <w:r>
        <w:rPr>
          <w:b w:val="0"/>
        </w:rPr>
        <w:t>world’s top universities in 2020, jumping from 99 to 85 in</w:t>
      </w:r>
      <w:r>
        <w:rPr>
          <w:b w:val="0"/>
          <w:spacing w:val="40"/>
        </w:rPr>
        <w:t> </w:t>
      </w:r>
      <w:r>
        <w:rPr>
          <w:b w:val="0"/>
        </w:rPr>
        <w:t>the Academic Ranking of World Universities, which</w:t>
      </w:r>
      <w:r>
        <w:rPr>
          <w:b w:val="0"/>
          <w:spacing w:val="40"/>
        </w:rPr>
        <w:t> </w:t>
      </w:r>
      <w:r>
        <w:rPr>
          <w:b w:val="0"/>
        </w:rPr>
        <w:t>reaffirmed UWA’s place among the top 100 universities</w:t>
      </w:r>
    </w:p>
    <w:p>
      <w:pPr>
        <w:pStyle w:val="BodyText"/>
        <w:spacing w:before="3"/>
        <w:ind w:left="1133"/>
        <w:rPr>
          <w:b w:val="0"/>
        </w:rPr>
      </w:pPr>
      <w:r>
        <w:rPr>
          <w:b w:val="0"/>
        </w:rPr>
        <w:t>in the</w:t>
      </w:r>
      <w:r>
        <w:rPr>
          <w:b w:val="0"/>
          <w:spacing w:val="1"/>
        </w:rPr>
        <w:t> </w:t>
      </w:r>
      <w:r>
        <w:rPr>
          <w:b w:val="0"/>
          <w:spacing w:val="-2"/>
        </w:rPr>
        <w:t>world.</w:t>
      </w:r>
    </w:p>
    <w:p>
      <w:pPr>
        <w:pStyle w:val="BodyText"/>
        <w:spacing w:before="99"/>
        <w:rPr>
          <w:b w:val="0"/>
        </w:rPr>
      </w:pPr>
    </w:p>
    <w:p>
      <w:pPr>
        <w:pStyle w:val="BodyText"/>
        <w:spacing w:line="295" w:lineRule="auto"/>
        <w:ind w:left="1133" w:right="100"/>
        <w:rPr>
          <w:b w:val="0"/>
        </w:rPr>
      </w:pPr>
      <w:r>
        <w:rPr>
          <w:b w:val="0"/>
        </w:rPr>
        <w:t>Our</w:t>
      </w:r>
      <w:r>
        <w:rPr>
          <w:b w:val="0"/>
          <w:spacing w:val="-1"/>
        </w:rPr>
        <w:t> </w:t>
      </w:r>
      <w:r>
        <w:rPr>
          <w:b w:val="0"/>
        </w:rPr>
        <w:t>research</w:t>
      </w:r>
      <w:r>
        <w:rPr>
          <w:b w:val="0"/>
          <w:spacing w:val="-1"/>
        </w:rPr>
        <w:t> </w:t>
      </w:r>
      <w:r>
        <w:rPr>
          <w:b w:val="0"/>
        </w:rPr>
        <w:t>not</w:t>
      </w:r>
      <w:r>
        <w:rPr>
          <w:b w:val="0"/>
          <w:spacing w:val="-1"/>
        </w:rPr>
        <w:t> </w:t>
      </w:r>
      <w:r>
        <w:rPr>
          <w:b w:val="0"/>
        </w:rPr>
        <w:t>only</w:t>
      </w:r>
      <w:r>
        <w:rPr>
          <w:b w:val="0"/>
          <w:spacing w:val="-1"/>
        </w:rPr>
        <w:t> </w:t>
      </w:r>
      <w:r>
        <w:rPr>
          <w:b w:val="0"/>
        </w:rPr>
        <w:t>ranks</w:t>
      </w:r>
      <w:r>
        <w:rPr>
          <w:b w:val="0"/>
          <w:spacing w:val="-1"/>
        </w:rPr>
        <w:t> </w:t>
      </w:r>
      <w:r>
        <w:rPr>
          <w:b w:val="0"/>
        </w:rPr>
        <w:t>highly</w:t>
      </w:r>
      <w:r>
        <w:rPr>
          <w:b w:val="0"/>
          <w:spacing w:val="-1"/>
        </w:rPr>
        <w:t> </w:t>
      </w:r>
      <w:r>
        <w:rPr>
          <w:b w:val="0"/>
        </w:rPr>
        <w:t>internationally,</w:t>
      </w:r>
      <w:r>
        <w:rPr>
          <w:b w:val="0"/>
          <w:spacing w:val="-1"/>
        </w:rPr>
        <w:t> </w:t>
      </w:r>
      <w:r>
        <w:rPr>
          <w:b w:val="0"/>
        </w:rPr>
        <w:t>but</w:t>
      </w:r>
      <w:r>
        <w:rPr>
          <w:b w:val="0"/>
          <w:spacing w:val="-1"/>
        </w:rPr>
        <w:t> </w:t>
      </w:r>
      <w:r>
        <w:rPr>
          <w:b w:val="0"/>
        </w:rPr>
        <w:t>our</w:t>
      </w:r>
      <w:r>
        <w:rPr>
          <w:b w:val="0"/>
          <w:spacing w:val="40"/>
        </w:rPr>
        <w:t> </w:t>
      </w:r>
      <w:r>
        <w:rPr>
          <w:b w:val="0"/>
        </w:rPr>
        <w:t>research results have also been recognised for delivering</w:t>
      </w:r>
      <w:r>
        <w:rPr>
          <w:b w:val="0"/>
          <w:spacing w:val="40"/>
        </w:rPr>
        <w:t> </w:t>
      </w:r>
      <w:r>
        <w:rPr>
          <w:b w:val="0"/>
        </w:rPr>
        <w:t>impacts that benefit our industry partners and wider</w:t>
      </w:r>
      <w:r>
        <w:rPr>
          <w:b w:val="0"/>
          <w:spacing w:val="40"/>
        </w:rPr>
        <w:t> </w:t>
      </w:r>
      <w:r>
        <w:rPr>
          <w:b w:val="0"/>
        </w:rPr>
        <w:t>communities. Many of our researchers received</w:t>
      </w:r>
      <w:r>
        <w:rPr>
          <w:b w:val="0"/>
          <w:spacing w:val="40"/>
        </w:rPr>
        <w:t> </w:t>
      </w:r>
      <w:r>
        <w:rPr>
          <w:b w:val="0"/>
        </w:rPr>
        <w:t>prestigious honours, awards or fellowships during 2020</w:t>
      </w:r>
      <w:r>
        <w:rPr>
          <w:b w:val="0"/>
          <w:spacing w:val="40"/>
        </w:rPr>
        <w:t> </w:t>
      </w:r>
      <w:r>
        <w:rPr>
          <w:b w:val="0"/>
        </w:rPr>
        <w:t>(</w:t>
      </w:r>
      <w:r>
        <w:rPr>
          <w:b w:val="0"/>
          <w:i/>
        </w:rPr>
        <w:t>see pages 30-33</w:t>
      </w:r>
      <w:r>
        <w:rPr>
          <w:b w:val="0"/>
        </w:rPr>
        <w:t>). Notable in terms of future research,</w:t>
      </w:r>
      <w:r>
        <w:rPr>
          <w:b w:val="0"/>
          <w:spacing w:val="80"/>
        </w:rPr>
        <w:t> </w:t>
      </w:r>
      <w:r>
        <w:rPr>
          <w:b w:val="0"/>
        </w:rPr>
        <w:t>on proteins in crops, is the awarding of an ARC Laureate</w:t>
      </w:r>
      <w:r>
        <w:rPr>
          <w:b w:val="0"/>
          <w:spacing w:val="40"/>
        </w:rPr>
        <w:t> </w:t>
      </w:r>
      <w:r>
        <w:rPr>
          <w:b w:val="0"/>
        </w:rPr>
        <w:t>Fellowship to Professor Harvey Millar.</w:t>
      </w:r>
    </w:p>
    <w:p>
      <w:pPr>
        <w:pStyle w:val="BodyText"/>
        <w:spacing w:before="56"/>
        <w:rPr>
          <w:b w:val="0"/>
        </w:rPr>
      </w:pPr>
    </w:p>
    <w:p>
      <w:pPr>
        <w:pStyle w:val="BodyText"/>
        <w:spacing w:line="295" w:lineRule="auto"/>
        <w:ind w:left="1133"/>
        <w:rPr>
          <w:b w:val="0"/>
        </w:rPr>
      </w:pPr>
      <w:r>
        <w:rPr>
          <w:b w:val="0"/>
        </w:rPr>
        <w:t>Strengthening world-leading collaborations is at the heart</w:t>
      </w:r>
      <w:r>
        <w:rPr>
          <w:b w:val="0"/>
          <w:spacing w:val="40"/>
        </w:rPr>
        <w:t> </w:t>
      </w:r>
      <w:r>
        <w:rPr>
          <w:b w:val="0"/>
        </w:rPr>
        <w:t>of the University’s research strategy, and in 2020 this</w:t>
      </w:r>
      <w:r>
        <w:rPr>
          <w:b w:val="0"/>
          <w:spacing w:val="40"/>
        </w:rPr>
        <w:t> </w:t>
      </w:r>
      <w:r>
        <w:rPr>
          <w:b w:val="0"/>
        </w:rPr>
        <w:t>resulted in UWA jointly leading with University of</w:t>
      </w:r>
      <w:r>
        <w:rPr>
          <w:b w:val="0"/>
          <w:spacing w:val="40"/>
        </w:rPr>
        <w:t> </w:t>
      </w:r>
      <w:r>
        <w:rPr>
          <w:b w:val="0"/>
        </w:rPr>
        <w:t>Queensland the establishment of the Cooperative</w:t>
      </w:r>
      <w:r>
        <w:rPr>
          <w:b w:val="0"/>
          <w:spacing w:val="40"/>
        </w:rPr>
        <w:t> </w:t>
      </w:r>
      <w:r>
        <w:rPr>
          <w:b w:val="0"/>
        </w:rPr>
        <w:t>Research</w:t>
      </w:r>
      <w:r>
        <w:rPr>
          <w:b w:val="0"/>
          <w:spacing w:val="-9"/>
        </w:rPr>
        <w:t> </w:t>
      </w:r>
      <w:r>
        <w:rPr>
          <w:b w:val="0"/>
        </w:rPr>
        <w:t>Centre</w:t>
      </w:r>
      <w:r>
        <w:rPr>
          <w:b w:val="0"/>
          <w:spacing w:val="-9"/>
        </w:rPr>
        <w:t> </w:t>
      </w:r>
      <w:r>
        <w:rPr>
          <w:b w:val="0"/>
        </w:rPr>
        <w:t>on</w:t>
      </w:r>
      <w:r>
        <w:rPr>
          <w:b w:val="0"/>
          <w:spacing w:val="-9"/>
        </w:rPr>
        <w:t> </w:t>
      </w:r>
      <w:r>
        <w:rPr>
          <w:b w:val="0"/>
        </w:rPr>
        <w:t>Transformations</w:t>
      </w:r>
      <w:r>
        <w:rPr>
          <w:b w:val="0"/>
          <w:spacing w:val="-9"/>
        </w:rPr>
        <w:t> </w:t>
      </w:r>
      <w:r>
        <w:rPr>
          <w:b w:val="0"/>
        </w:rPr>
        <w:t>in</w:t>
      </w:r>
      <w:r>
        <w:rPr>
          <w:b w:val="0"/>
          <w:spacing w:val="-9"/>
        </w:rPr>
        <w:t> </w:t>
      </w:r>
      <w:r>
        <w:rPr>
          <w:b w:val="0"/>
        </w:rPr>
        <w:t>Mining</w:t>
      </w:r>
      <w:r>
        <w:rPr>
          <w:b w:val="0"/>
          <w:spacing w:val="-9"/>
        </w:rPr>
        <w:t> </w:t>
      </w:r>
      <w:r>
        <w:rPr>
          <w:b w:val="0"/>
        </w:rPr>
        <w:t>Economies.</w:t>
      </w:r>
      <w:r>
        <w:rPr>
          <w:b w:val="0"/>
          <w:spacing w:val="40"/>
        </w:rPr>
        <w:t> </w:t>
      </w:r>
      <w:r>
        <w:rPr>
          <w:b w:val="0"/>
        </w:rPr>
        <w:t>Partners include BHP, Rio Tinto, Deswik, Decipher, the</w:t>
      </w:r>
      <w:r>
        <w:rPr>
          <w:b w:val="0"/>
          <w:spacing w:val="40"/>
        </w:rPr>
        <w:t> </w:t>
      </w:r>
      <w:r>
        <w:rPr>
          <w:b w:val="0"/>
        </w:rPr>
        <w:t>state governments of Western Australia and Queensland,</w:t>
      </w:r>
      <w:r>
        <w:rPr>
          <w:b w:val="0"/>
          <w:spacing w:val="40"/>
        </w:rPr>
        <w:t> </w:t>
      </w:r>
      <w:r>
        <w:rPr>
          <w:b w:val="0"/>
        </w:rPr>
        <w:t>and the Northern Territory, as well as researchers from</w:t>
      </w:r>
      <w:r>
        <w:rPr>
          <w:b w:val="0"/>
          <w:spacing w:val="40"/>
        </w:rPr>
        <w:t> </w:t>
      </w:r>
      <w:r>
        <w:rPr>
          <w:b w:val="0"/>
        </w:rPr>
        <w:t>eight Australian universities and the CSIRO. The UWA-led</w:t>
      </w:r>
      <w:r>
        <w:rPr>
          <w:b w:val="0"/>
          <w:spacing w:val="40"/>
        </w:rPr>
        <w:t> </w:t>
      </w:r>
      <w:r>
        <w:rPr>
          <w:b w:val="0"/>
        </w:rPr>
        <w:t>Future Energy Exports Cooperative Research Centre also</w:t>
      </w:r>
      <w:r>
        <w:rPr>
          <w:b w:val="0"/>
          <w:spacing w:val="40"/>
        </w:rPr>
        <w:t> </w:t>
      </w:r>
      <w:r>
        <w:rPr>
          <w:b w:val="0"/>
        </w:rPr>
        <w:t>commenced, involving 28 industry, government and</w:t>
      </w:r>
      <w:r>
        <w:rPr>
          <w:b w:val="0"/>
          <w:spacing w:val="40"/>
        </w:rPr>
        <w:t> </w:t>
      </w:r>
      <w:r>
        <w:rPr>
          <w:b w:val="0"/>
        </w:rPr>
        <w:t>research collaborators. UWA researchers were successful</w:t>
      </w:r>
      <w:r>
        <w:rPr>
          <w:b w:val="0"/>
          <w:spacing w:val="40"/>
        </w:rPr>
        <w:t> </w:t>
      </w:r>
      <w:r>
        <w:rPr>
          <w:b w:val="0"/>
        </w:rPr>
        <w:t>in many other grants, including two National Health and</w:t>
      </w:r>
      <w:r>
        <w:rPr>
          <w:b w:val="0"/>
          <w:spacing w:val="40"/>
        </w:rPr>
        <w:t> </w:t>
      </w:r>
      <w:r>
        <w:rPr>
          <w:b w:val="0"/>
        </w:rPr>
        <w:t>Medical Research Council Centres of Excellence, an ARC</w:t>
      </w:r>
      <w:r>
        <w:rPr>
          <w:b w:val="0"/>
          <w:spacing w:val="40"/>
        </w:rPr>
        <w:t> </w:t>
      </w:r>
      <w:r>
        <w:rPr>
          <w:b w:val="0"/>
        </w:rPr>
        <w:t>Industrial Transformation Research Hub, and as lead</w:t>
      </w:r>
      <w:r>
        <w:rPr>
          <w:b w:val="0"/>
          <w:spacing w:val="40"/>
        </w:rPr>
        <w:t> </w:t>
      </w:r>
      <w:r>
        <w:rPr>
          <w:b w:val="0"/>
        </w:rPr>
        <w:t>organisation for the ‘Resilient Landscapes Hub’ awarded</w:t>
      </w:r>
      <w:r>
        <w:rPr>
          <w:b w:val="0"/>
          <w:spacing w:val="40"/>
        </w:rPr>
        <w:t> </w:t>
      </w:r>
      <w:r>
        <w:rPr>
          <w:b w:val="0"/>
        </w:rPr>
        <w:t>by the National Environmental Science Program to UWA</w:t>
      </w:r>
      <w:r>
        <w:rPr>
          <w:b w:val="0"/>
          <w:spacing w:val="40"/>
        </w:rPr>
        <w:t> </w:t>
      </w:r>
      <w:r>
        <w:rPr>
          <w:b w:val="0"/>
        </w:rPr>
        <w:t>and a consortium of partners across Australia.</w:t>
      </w:r>
    </w:p>
    <w:p>
      <w:pPr>
        <w:pStyle w:val="BodyText"/>
        <w:spacing w:line="295" w:lineRule="auto" w:before="121"/>
        <w:ind w:left="367" w:right="643"/>
        <w:rPr>
          <w:b w:val="0"/>
        </w:rPr>
      </w:pPr>
      <w:r>
        <w:rPr/>
        <w:br w:type="column"/>
      </w:r>
      <w:r>
        <w:rPr>
          <w:b w:val="0"/>
        </w:rPr>
        <w:t>The University is engaged in research that is digitally</w:t>
      </w:r>
      <w:r>
        <w:rPr>
          <w:b w:val="0"/>
          <w:spacing w:val="40"/>
        </w:rPr>
        <w:t> </w:t>
      </w:r>
      <w:r>
        <w:rPr>
          <w:b w:val="0"/>
        </w:rPr>
        <w:t>driven</w:t>
      </w:r>
      <w:r>
        <w:rPr>
          <w:b w:val="0"/>
          <w:spacing w:val="-1"/>
        </w:rPr>
        <w:t> </w:t>
      </w:r>
      <w:r>
        <w:rPr>
          <w:b w:val="0"/>
        </w:rPr>
        <w:t>and</w:t>
      </w:r>
      <w:r>
        <w:rPr>
          <w:b w:val="0"/>
          <w:spacing w:val="-1"/>
        </w:rPr>
        <w:t> </w:t>
      </w:r>
      <w:r>
        <w:rPr>
          <w:b w:val="0"/>
        </w:rPr>
        <w:t>data-intensive.</w:t>
      </w:r>
      <w:r>
        <w:rPr>
          <w:b w:val="0"/>
          <w:spacing w:val="-1"/>
        </w:rPr>
        <w:t> </w:t>
      </w:r>
      <w:r>
        <w:rPr>
          <w:b w:val="0"/>
        </w:rPr>
        <w:t>The</w:t>
      </w:r>
      <w:r>
        <w:rPr>
          <w:b w:val="0"/>
          <w:spacing w:val="-1"/>
        </w:rPr>
        <w:t> </w:t>
      </w:r>
      <w:r>
        <w:rPr>
          <w:b w:val="0"/>
        </w:rPr>
        <w:t>International</w:t>
      </w:r>
      <w:r>
        <w:rPr>
          <w:b w:val="0"/>
          <w:spacing w:val="-2"/>
        </w:rPr>
        <w:t> </w:t>
      </w:r>
      <w:r>
        <w:rPr>
          <w:b w:val="0"/>
        </w:rPr>
        <w:t>Centre</w:t>
      </w:r>
      <w:r>
        <w:rPr>
          <w:b w:val="0"/>
          <w:spacing w:val="-1"/>
        </w:rPr>
        <w:t> </w:t>
      </w:r>
      <w:r>
        <w:rPr>
          <w:b w:val="0"/>
        </w:rPr>
        <w:t>for</w:t>
      </w:r>
      <w:r>
        <w:rPr>
          <w:b w:val="0"/>
          <w:spacing w:val="40"/>
        </w:rPr>
        <w:t> </w:t>
      </w:r>
      <w:r>
        <w:rPr>
          <w:b w:val="0"/>
        </w:rPr>
        <w:t>Radio Astronomy Research, a joint venture with Curtin</w:t>
      </w:r>
      <w:r>
        <w:rPr>
          <w:b w:val="0"/>
          <w:spacing w:val="40"/>
        </w:rPr>
        <w:t> </w:t>
      </w:r>
      <w:r>
        <w:rPr>
          <w:b w:val="0"/>
        </w:rPr>
        <w:t>University and supported by our State Government,</w:t>
      </w:r>
      <w:r>
        <w:rPr>
          <w:b w:val="0"/>
          <w:spacing w:val="40"/>
        </w:rPr>
        <w:t> </w:t>
      </w:r>
      <w:r>
        <w:rPr>
          <w:b w:val="0"/>
        </w:rPr>
        <w:t>continues to make key advancements in data science.</w:t>
      </w:r>
      <w:r>
        <w:rPr>
          <w:b w:val="0"/>
          <w:spacing w:val="40"/>
        </w:rPr>
        <w:t> </w:t>
      </w:r>
      <w:r>
        <w:rPr>
          <w:b w:val="0"/>
        </w:rPr>
        <w:t>In addition, a new consortium, the Australian Remote</w:t>
      </w:r>
      <w:r>
        <w:rPr>
          <w:b w:val="0"/>
          <w:spacing w:val="40"/>
        </w:rPr>
        <w:t> </w:t>
      </w:r>
      <w:r>
        <w:rPr>
          <w:b w:val="0"/>
        </w:rPr>
        <w:t>Operations for Space and Earth, supported by the WA</w:t>
      </w:r>
      <w:r>
        <w:rPr>
          <w:b w:val="0"/>
          <w:spacing w:val="40"/>
        </w:rPr>
        <w:t> </w:t>
      </w:r>
      <w:r>
        <w:rPr>
          <w:b w:val="0"/>
        </w:rPr>
        <w:t>State Government will position Perth as a centre for</w:t>
      </w:r>
      <w:r>
        <w:rPr>
          <w:b w:val="0"/>
          <w:spacing w:val="40"/>
        </w:rPr>
        <w:t> </w:t>
      </w:r>
      <w:r>
        <w:rPr>
          <w:b w:val="0"/>
        </w:rPr>
        <w:t>remote operations in space. UWA researchers will</w:t>
      </w:r>
    </w:p>
    <w:p>
      <w:pPr>
        <w:pStyle w:val="BodyText"/>
        <w:spacing w:line="300" w:lineRule="auto" w:before="8"/>
        <w:ind w:left="367" w:right="274"/>
        <w:rPr>
          <w:b w:val="0"/>
        </w:rPr>
      </w:pPr>
      <w:r>
        <w:rPr>
          <w:b w:val="0"/>
        </w:rPr>
        <w:t>contribute</w:t>
      </w:r>
      <w:r>
        <w:rPr>
          <w:b w:val="0"/>
          <w:spacing w:val="-2"/>
        </w:rPr>
        <w:t> </w:t>
      </w:r>
      <w:r>
        <w:rPr>
          <w:b w:val="0"/>
        </w:rPr>
        <w:t>expertise</w:t>
      </w:r>
      <w:r>
        <w:rPr>
          <w:b w:val="0"/>
          <w:spacing w:val="-2"/>
        </w:rPr>
        <w:t> </w:t>
      </w:r>
      <w:r>
        <w:rPr>
          <w:b w:val="0"/>
        </w:rPr>
        <w:t>and</w:t>
      </w:r>
      <w:r>
        <w:rPr>
          <w:b w:val="0"/>
          <w:spacing w:val="-2"/>
        </w:rPr>
        <w:t> </w:t>
      </w:r>
      <w:r>
        <w:rPr>
          <w:b w:val="0"/>
        </w:rPr>
        <w:t>facilities</w:t>
      </w:r>
      <w:r>
        <w:rPr>
          <w:b w:val="0"/>
          <w:spacing w:val="-2"/>
        </w:rPr>
        <w:t> </w:t>
      </w:r>
      <w:r>
        <w:rPr>
          <w:b w:val="0"/>
        </w:rPr>
        <w:t>in</w:t>
      </w:r>
      <w:r>
        <w:rPr>
          <w:b w:val="0"/>
          <w:spacing w:val="-2"/>
        </w:rPr>
        <w:t> </w:t>
      </w:r>
      <w:r>
        <w:rPr>
          <w:b w:val="0"/>
        </w:rPr>
        <w:t>areas</w:t>
      </w:r>
      <w:r>
        <w:rPr>
          <w:b w:val="0"/>
          <w:spacing w:val="-2"/>
        </w:rPr>
        <w:t> </w:t>
      </w:r>
      <w:r>
        <w:rPr>
          <w:b w:val="0"/>
        </w:rPr>
        <w:t>such</w:t>
      </w:r>
      <w:r>
        <w:rPr>
          <w:b w:val="0"/>
          <w:spacing w:val="-2"/>
        </w:rPr>
        <w:t> </w:t>
      </w:r>
      <w:r>
        <w:rPr>
          <w:b w:val="0"/>
        </w:rPr>
        <w:t>as</w:t>
      </w:r>
      <w:r>
        <w:rPr>
          <w:b w:val="0"/>
          <w:spacing w:val="-2"/>
        </w:rPr>
        <w:t> </w:t>
      </w:r>
      <w:r>
        <w:rPr>
          <w:b w:val="0"/>
        </w:rPr>
        <w:t>robotics,</w:t>
      </w:r>
      <w:r>
        <w:rPr>
          <w:b w:val="0"/>
          <w:spacing w:val="40"/>
        </w:rPr>
        <w:t> </w:t>
      </w:r>
      <w:r>
        <w:rPr>
          <w:b w:val="0"/>
          <w:spacing w:val="-4"/>
        </w:rPr>
        <w:t>automation,</w:t>
      </w:r>
      <w:r>
        <w:rPr>
          <w:b w:val="0"/>
          <w:spacing w:val="5"/>
        </w:rPr>
        <w:t> </w:t>
      </w:r>
      <w:r>
        <w:rPr>
          <w:b w:val="0"/>
          <w:spacing w:val="-4"/>
        </w:rPr>
        <w:t>communications,</w:t>
      </w:r>
      <w:r>
        <w:rPr>
          <w:b w:val="0"/>
          <w:spacing w:val="5"/>
        </w:rPr>
        <w:t> </w:t>
      </w:r>
      <w:r>
        <w:rPr>
          <w:b w:val="0"/>
          <w:spacing w:val="-4"/>
        </w:rPr>
        <w:t>energy</w:t>
      </w:r>
      <w:r>
        <w:rPr>
          <w:b w:val="0"/>
          <w:spacing w:val="6"/>
        </w:rPr>
        <w:t> </w:t>
      </w:r>
      <w:r>
        <w:rPr>
          <w:b w:val="0"/>
          <w:spacing w:val="-4"/>
        </w:rPr>
        <w:t>and</w:t>
      </w:r>
      <w:r>
        <w:rPr>
          <w:b w:val="0"/>
          <w:spacing w:val="5"/>
        </w:rPr>
        <w:t> </w:t>
      </w:r>
      <w:r>
        <w:rPr>
          <w:b w:val="0"/>
          <w:spacing w:val="-4"/>
        </w:rPr>
        <w:t>space</w:t>
      </w:r>
      <w:r>
        <w:rPr>
          <w:b w:val="0"/>
          <w:spacing w:val="6"/>
        </w:rPr>
        <w:t> </w:t>
      </w:r>
      <w:r>
        <w:rPr>
          <w:b w:val="0"/>
          <w:spacing w:val="-4"/>
        </w:rPr>
        <w:t>exploration.</w:t>
      </w:r>
    </w:p>
    <w:p>
      <w:pPr>
        <w:pStyle w:val="BodyText"/>
        <w:spacing w:before="46"/>
        <w:rPr>
          <w:b w:val="0"/>
        </w:rPr>
      </w:pPr>
    </w:p>
    <w:p>
      <w:pPr>
        <w:pStyle w:val="BodyText"/>
        <w:spacing w:line="295" w:lineRule="auto"/>
        <w:ind w:left="367" w:right="643"/>
        <w:rPr>
          <w:b w:val="0"/>
        </w:rPr>
      </w:pPr>
      <w:r>
        <w:rPr>
          <w:b w:val="0"/>
        </w:rPr>
        <w:t>The University is committed to digitising its cultural</w:t>
      </w:r>
      <w:r>
        <w:rPr>
          <w:b w:val="0"/>
          <w:spacing w:val="40"/>
        </w:rPr>
        <w:t> </w:t>
      </w:r>
      <w:r>
        <w:rPr>
          <w:b w:val="0"/>
        </w:rPr>
        <w:t>collections for the benefit of generations and this was</w:t>
      </w:r>
      <w:r>
        <w:rPr>
          <w:b w:val="0"/>
          <w:spacing w:val="40"/>
        </w:rPr>
        <w:t> </w:t>
      </w:r>
      <w:r>
        <w:rPr>
          <w:b w:val="0"/>
        </w:rPr>
        <w:t>fast-tracked in 2020 by an ARC Linkage Infrastructure,</w:t>
      </w:r>
      <w:r>
        <w:rPr>
          <w:b w:val="0"/>
          <w:spacing w:val="40"/>
        </w:rPr>
        <w:t> </w:t>
      </w:r>
      <w:r>
        <w:rPr>
          <w:b w:val="0"/>
        </w:rPr>
        <w:t>Equipment and Facilities grant. All five WA </w:t>
      </w:r>
      <w:r>
        <w:rPr>
          <w:b w:val="0"/>
          <w:spacing w:val="-2"/>
        </w:rPr>
        <w:t>universities,</w:t>
      </w:r>
    </w:p>
    <w:p>
      <w:pPr>
        <w:pStyle w:val="BodyText"/>
        <w:spacing w:line="295" w:lineRule="auto" w:before="4"/>
        <w:ind w:left="367" w:right="274"/>
        <w:rPr>
          <w:b w:val="0"/>
        </w:rPr>
      </w:pPr>
      <w:r>
        <w:rPr>
          <w:b w:val="0"/>
        </w:rPr>
        <w:t>the</w:t>
      </w:r>
      <w:r>
        <w:rPr>
          <w:b w:val="0"/>
          <w:spacing w:val="-1"/>
        </w:rPr>
        <w:t> </w:t>
      </w:r>
      <w:r>
        <w:rPr>
          <w:b w:val="0"/>
        </w:rPr>
        <w:t>WA</w:t>
      </w:r>
      <w:r>
        <w:rPr>
          <w:b w:val="0"/>
          <w:spacing w:val="-1"/>
        </w:rPr>
        <w:t> </w:t>
      </w:r>
      <w:r>
        <w:rPr>
          <w:b w:val="0"/>
        </w:rPr>
        <w:t>State</w:t>
      </w:r>
      <w:r>
        <w:rPr>
          <w:b w:val="0"/>
          <w:spacing w:val="-1"/>
        </w:rPr>
        <w:t> </w:t>
      </w:r>
      <w:r>
        <w:rPr>
          <w:b w:val="0"/>
        </w:rPr>
        <w:t>Library</w:t>
      </w:r>
      <w:r>
        <w:rPr>
          <w:b w:val="0"/>
          <w:spacing w:val="-1"/>
        </w:rPr>
        <w:t> </w:t>
      </w:r>
      <w:r>
        <w:rPr>
          <w:b w:val="0"/>
        </w:rPr>
        <w:t>and</w:t>
      </w:r>
      <w:r>
        <w:rPr>
          <w:b w:val="0"/>
          <w:spacing w:val="-1"/>
        </w:rPr>
        <w:t> </w:t>
      </w:r>
      <w:r>
        <w:rPr>
          <w:b w:val="0"/>
        </w:rPr>
        <w:t>the</w:t>
      </w:r>
      <w:r>
        <w:rPr>
          <w:b w:val="0"/>
          <w:spacing w:val="-1"/>
        </w:rPr>
        <w:t> </w:t>
      </w:r>
      <w:r>
        <w:rPr>
          <w:b w:val="0"/>
        </w:rPr>
        <w:t>WA</w:t>
      </w:r>
      <w:r>
        <w:rPr>
          <w:b w:val="0"/>
          <w:spacing w:val="-1"/>
        </w:rPr>
        <w:t> </w:t>
      </w:r>
      <w:r>
        <w:rPr>
          <w:b w:val="0"/>
        </w:rPr>
        <w:t>Museum</w:t>
      </w:r>
      <w:r>
        <w:rPr>
          <w:b w:val="0"/>
          <w:spacing w:val="-1"/>
        </w:rPr>
        <w:t> </w:t>
      </w:r>
      <w:r>
        <w:rPr>
          <w:b w:val="0"/>
        </w:rPr>
        <w:t>will</w:t>
      </w:r>
      <w:r>
        <w:rPr>
          <w:b w:val="0"/>
          <w:spacing w:val="-1"/>
        </w:rPr>
        <w:t> </w:t>
      </w:r>
      <w:r>
        <w:rPr>
          <w:b w:val="0"/>
        </w:rPr>
        <w:t>collaborate</w:t>
      </w:r>
      <w:r>
        <w:rPr>
          <w:b w:val="0"/>
          <w:spacing w:val="40"/>
        </w:rPr>
        <w:t> </w:t>
      </w:r>
      <w:r>
        <w:rPr>
          <w:b w:val="0"/>
        </w:rPr>
        <w:t>to establish a world-class archival Digitisation Centre.</w:t>
      </w:r>
    </w:p>
    <w:p>
      <w:pPr>
        <w:pStyle w:val="BodyText"/>
        <w:spacing w:line="295" w:lineRule="auto" w:before="1"/>
        <w:ind w:left="367" w:right="680"/>
        <w:rPr>
          <w:b w:val="0"/>
        </w:rPr>
      </w:pPr>
      <w:r>
        <w:rPr>
          <w:b w:val="0"/>
        </w:rPr>
        <w:t>The Centre will enable researchers to digitise a diverse</w:t>
      </w:r>
      <w:r>
        <w:rPr>
          <w:b w:val="0"/>
          <w:spacing w:val="40"/>
        </w:rPr>
        <w:t> </w:t>
      </w:r>
      <w:r>
        <w:rPr>
          <w:b w:val="0"/>
        </w:rPr>
        <w:t>range of cultural objects and thus support a wide</w:t>
      </w:r>
      <w:r>
        <w:rPr>
          <w:b w:val="0"/>
          <w:spacing w:val="40"/>
        </w:rPr>
        <w:t> </w:t>
      </w:r>
      <w:r>
        <w:rPr>
          <w:b w:val="0"/>
        </w:rPr>
        <w:t>spectrum of research needs.</w:t>
      </w:r>
    </w:p>
    <w:p>
      <w:pPr>
        <w:spacing w:after="0" w:line="295" w:lineRule="auto"/>
        <w:sectPr>
          <w:type w:val="continuous"/>
          <w:pgSz w:w="11910" w:h="16840"/>
          <w:pgMar w:header="468" w:footer="0" w:top="980" w:bottom="280" w:left="0" w:right="780"/>
          <w:cols w:num="2" w:equalWidth="0">
            <w:col w:w="5744" w:space="40"/>
            <w:col w:w="5346"/>
          </w:cols>
        </w:sectPr>
      </w:pPr>
    </w:p>
    <w:p>
      <w:pPr>
        <w:pStyle w:val="BodyText"/>
        <w:rPr>
          <w:b w:val="0"/>
          <w:sz w:val="20"/>
        </w:rPr>
      </w:pPr>
    </w:p>
    <w:p>
      <w:pPr>
        <w:pStyle w:val="BodyText"/>
        <w:rPr>
          <w:b w:val="0"/>
          <w:sz w:val="20"/>
        </w:rPr>
      </w:pPr>
    </w:p>
    <w:p>
      <w:pPr>
        <w:pStyle w:val="BodyText"/>
        <w:spacing w:before="118"/>
        <w:rPr>
          <w:b w:val="0"/>
          <w:sz w:val="20"/>
        </w:rPr>
      </w:pPr>
    </w:p>
    <w:p>
      <w:pPr>
        <w:spacing w:after="0"/>
        <w:rPr>
          <w:sz w:val="20"/>
        </w:rPr>
        <w:sectPr>
          <w:pgSz w:w="11910" w:h="16840"/>
          <w:pgMar w:header="468" w:footer="0" w:top="720" w:bottom="0" w:left="0" w:right="780"/>
        </w:sectPr>
      </w:pPr>
    </w:p>
    <w:p>
      <w:pPr>
        <w:pStyle w:val="BodyText"/>
        <w:spacing w:line="295" w:lineRule="auto" w:before="122"/>
        <w:ind w:left="1133" w:right="26"/>
        <w:rPr>
          <w:b w:val="0"/>
        </w:rPr>
      </w:pPr>
      <w:r>
        <w:rPr/>
        <w:drawing>
          <wp:anchor distT="0" distB="0" distL="0" distR="0" allowOverlap="1" layoutInCell="1" locked="0" behindDoc="0" simplePos="0" relativeHeight="15802880">
            <wp:simplePos x="0" y="0"/>
            <wp:positionH relativeFrom="page">
              <wp:posOffset>0</wp:posOffset>
            </wp:positionH>
            <wp:positionV relativeFrom="page">
              <wp:posOffset>5625071</wp:posOffset>
            </wp:positionV>
            <wp:extent cx="7559992" cy="5066931"/>
            <wp:effectExtent l="0" t="0" r="0" b="0"/>
            <wp:wrapNone/>
            <wp:docPr id="337" name="Image 337"/>
            <wp:cNvGraphicFramePr>
              <a:graphicFrameLocks/>
            </wp:cNvGraphicFramePr>
            <a:graphic>
              <a:graphicData uri="http://schemas.openxmlformats.org/drawingml/2006/picture">
                <pic:pic>
                  <pic:nvPicPr>
                    <pic:cNvPr id="337" name="Image 337"/>
                    <pic:cNvPicPr/>
                  </pic:nvPicPr>
                  <pic:blipFill>
                    <a:blip r:embed="rId51" cstate="print"/>
                    <a:stretch>
                      <a:fillRect/>
                    </a:stretch>
                  </pic:blipFill>
                  <pic:spPr>
                    <a:xfrm>
                      <a:off x="0" y="0"/>
                      <a:ext cx="7559992" cy="5066931"/>
                    </a:xfrm>
                    <a:prstGeom prst="rect">
                      <a:avLst/>
                    </a:prstGeom>
                  </pic:spPr>
                </pic:pic>
              </a:graphicData>
            </a:graphic>
          </wp:anchor>
        </w:drawing>
      </w:r>
      <w:r>
        <w:rPr/>
        <mc:AlternateContent>
          <mc:Choice Requires="wps">
            <w:drawing>
              <wp:anchor distT="0" distB="0" distL="0" distR="0" allowOverlap="1" layoutInCell="1" locked="0" behindDoc="0" simplePos="0" relativeHeight="15803392">
                <wp:simplePos x="0" y="0"/>
                <wp:positionH relativeFrom="page">
                  <wp:posOffset>7111289</wp:posOffset>
                </wp:positionH>
                <wp:positionV relativeFrom="page">
                  <wp:posOffset>8136825</wp:posOffset>
                </wp:positionV>
                <wp:extent cx="177800" cy="1848485"/>
                <wp:effectExtent l="0" t="0" r="0" b="0"/>
                <wp:wrapNone/>
                <wp:docPr id="338" name="Textbox 338"/>
                <wp:cNvGraphicFramePr>
                  <a:graphicFrameLocks/>
                </wp:cNvGraphicFramePr>
                <a:graphic>
                  <a:graphicData uri="http://schemas.microsoft.com/office/word/2010/wordprocessingShape">
                    <wps:wsp>
                      <wps:cNvPr id="338" name="Textbox 338"/>
                      <wps:cNvSpPr txBox="1"/>
                      <wps:spPr>
                        <a:xfrm>
                          <a:off x="0" y="0"/>
                          <a:ext cx="177800" cy="184848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640.694885pt;width:14pt;height:145.550pt;mso-position-horizontal-relative:page;mso-position-vertical-relative:page;z-index:15803392" type="#_x0000_t202" id="docshape198"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v:textbox>
                <w10:wrap type="none"/>
              </v:shape>
            </w:pict>
          </mc:Fallback>
        </mc:AlternateContent>
      </w:r>
      <w:r>
        <w:rPr>
          <w:b w:val="0"/>
        </w:rPr>
        <w:t>Access to cutting-edge infrastructure is essential for</w:t>
      </w:r>
      <w:r>
        <w:rPr>
          <w:b w:val="0"/>
          <w:spacing w:val="40"/>
        </w:rPr>
        <w:t> </w:t>
      </w:r>
      <w:r>
        <w:rPr>
          <w:b w:val="0"/>
        </w:rPr>
        <w:t>world-class research. The University is a key partner in</w:t>
      </w:r>
      <w:r>
        <w:rPr>
          <w:b w:val="0"/>
          <w:spacing w:val="40"/>
        </w:rPr>
        <w:t> </w:t>
      </w:r>
      <w:r>
        <w:rPr>
          <w:b w:val="0"/>
        </w:rPr>
        <w:t>several of the National Collaborative Research</w:t>
      </w:r>
      <w:r>
        <w:rPr>
          <w:b w:val="0"/>
          <w:spacing w:val="40"/>
        </w:rPr>
        <w:t> </w:t>
      </w:r>
      <w:r>
        <w:rPr>
          <w:b w:val="0"/>
        </w:rPr>
        <w:t>Infrastructure Scheme capabilities, supported by the</w:t>
      </w:r>
      <w:r>
        <w:rPr>
          <w:b w:val="0"/>
          <w:spacing w:val="40"/>
        </w:rPr>
        <w:t> </w:t>
      </w:r>
      <w:r>
        <w:rPr>
          <w:b w:val="0"/>
        </w:rPr>
        <w:t>federal and state governments and UWA together with a</w:t>
      </w:r>
      <w:r>
        <w:rPr>
          <w:b w:val="0"/>
          <w:spacing w:val="40"/>
        </w:rPr>
        <w:t> </w:t>
      </w:r>
      <w:r>
        <w:rPr>
          <w:b w:val="0"/>
        </w:rPr>
        <w:t>consortium of WA partners. New research infrastructure</w:t>
      </w:r>
      <w:r>
        <w:rPr>
          <w:b w:val="0"/>
          <w:spacing w:val="40"/>
        </w:rPr>
        <w:t> </w:t>
      </w:r>
      <w:r>
        <w:rPr>
          <w:b w:val="0"/>
        </w:rPr>
        <w:t>has been delivered such as the Cryo-Electron Microscopy</w:t>
      </w:r>
      <w:r>
        <w:rPr>
          <w:b w:val="0"/>
          <w:spacing w:val="40"/>
        </w:rPr>
        <w:t> </w:t>
      </w:r>
      <w:r>
        <w:rPr>
          <w:b w:val="0"/>
        </w:rPr>
        <w:t>suite (Microscopy Australia) or is planned for 2021 such as</w:t>
      </w:r>
      <w:r>
        <w:rPr>
          <w:b w:val="0"/>
          <w:spacing w:val="40"/>
        </w:rPr>
        <w:t> </w:t>
      </w:r>
      <w:r>
        <w:rPr>
          <w:b w:val="0"/>
        </w:rPr>
        <w:t>the significant expansion of the National Imaging Facility.</w:t>
      </w:r>
      <w:r>
        <w:rPr>
          <w:b w:val="0"/>
          <w:spacing w:val="40"/>
        </w:rPr>
        <w:t> </w:t>
      </w:r>
      <w:r>
        <w:rPr>
          <w:b w:val="0"/>
        </w:rPr>
        <w:t>The other new facilities range from nano-fabrication,</w:t>
      </w:r>
      <w:r>
        <w:rPr>
          <w:b w:val="0"/>
          <w:spacing w:val="40"/>
        </w:rPr>
        <w:t> </w:t>
      </w:r>
      <w:r>
        <w:rPr>
          <w:b w:val="0"/>
        </w:rPr>
        <w:t>complex biology and population health data, to ocean</w:t>
      </w:r>
      <w:r>
        <w:rPr>
          <w:b w:val="0"/>
          <w:spacing w:val="40"/>
        </w:rPr>
        <w:t> </w:t>
      </w:r>
      <w:r>
        <w:rPr>
          <w:b w:val="0"/>
        </w:rPr>
        <w:t>radar and wave buoys.</w:t>
      </w:r>
    </w:p>
    <w:p>
      <w:pPr>
        <w:pStyle w:val="BodyText"/>
        <w:spacing w:before="60"/>
        <w:rPr>
          <w:b w:val="0"/>
        </w:rPr>
      </w:pPr>
    </w:p>
    <w:p>
      <w:pPr>
        <w:pStyle w:val="BodyText"/>
        <w:spacing w:line="295" w:lineRule="auto"/>
        <w:ind w:left="1133" w:right="21"/>
        <w:rPr>
          <w:b w:val="0"/>
        </w:rPr>
      </w:pPr>
      <w:r>
        <w:rPr>
          <w:b w:val="0"/>
        </w:rPr>
        <w:t>UWA’s research strategy includes Indigenous knowledge</w:t>
      </w:r>
      <w:r>
        <w:rPr>
          <w:b w:val="0"/>
          <w:spacing w:val="40"/>
        </w:rPr>
        <w:t> </w:t>
      </w:r>
      <w:r>
        <w:rPr>
          <w:b w:val="0"/>
        </w:rPr>
        <w:t>and research as a priority area by supporting Aboriginal</w:t>
      </w:r>
      <w:r>
        <w:rPr>
          <w:b w:val="0"/>
          <w:spacing w:val="40"/>
        </w:rPr>
        <w:t> </w:t>
      </w:r>
      <w:r>
        <w:rPr>
          <w:b w:val="0"/>
        </w:rPr>
        <w:t>academic staff and students and collaborations with</w:t>
      </w:r>
      <w:r>
        <w:rPr>
          <w:b w:val="0"/>
          <w:spacing w:val="40"/>
        </w:rPr>
        <w:t> </w:t>
      </w:r>
      <w:r>
        <w:rPr>
          <w:b w:val="0"/>
        </w:rPr>
        <w:t>community research projects. The University received</w:t>
      </w:r>
      <w:r>
        <w:rPr>
          <w:b w:val="0"/>
          <w:spacing w:val="40"/>
        </w:rPr>
        <w:t> </w:t>
      </w:r>
      <w:r>
        <w:rPr>
          <w:b w:val="0"/>
        </w:rPr>
        <w:t>funding from the</w:t>
      </w:r>
      <w:r>
        <w:rPr>
          <w:b w:val="0"/>
          <w:spacing w:val="-1"/>
        </w:rPr>
        <w:t> </w:t>
      </w:r>
      <w:r>
        <w:rPr>
          <w:b w:val="0"/>
        </w:rPr>
        <w:t>Federal Government’s Medical Research</w:t>
      </w:r>
      <w:r>
        <w:rPr>
          <w:b w:val="0"/>
          <w:spacing w:val="40"/>
        </w:rPr>
        <w:t> </w:t>
      </w:r>
      <w:r>
        <w:rPr>
          <w:b w:val="0"/>
          <w:spacing w:val="-2"/>
        </w:rPr>
        <w:t>Future</w:t>
      </w:r>
      <w:r>
        <w:rPr>
          <w:b w:val="0"/>
          <w:spacing w:val="-3"/>
        </w:rPr>
        <w:t> </w:t>
      </w:r>
      <w:r>
        <w:rPr>
          <w:b w:val="0"/>
          <w:spacing w:val="-2"/>
        </w:rPr>
        <w:t>Fund</w:t>
      </w:r>
      <w:r>
        <w:rPr>
          <w:b w:val="0"/>
          <w:spacing w:val="-3"/>
        </w:rPr>
        <w:t> </w:t>
      </w:r>
      <w:r>
        <w:rPr>
          <w:b w:val="0"/>
          <w:spacing w:val="-2"/>
        </w:rPr>
        <w:t>Million</w:t>
      </w:r>
      <w:r>
        <w:rPr>
          <w:b w:val="0"/>
          <w:spacing w:val="-3"/>
        </w:rPr>
        <w:t> </w:t>
      </w:r>
      <w:r>
        <w:rPr>
          <w:b w:val="0"/>
          <w:spacing w:val="-2"/>
        </w:rPr>
        <w:t>Minds</w:t>
      </w:r>
      <w:r>
        <w:rPr>
          <w:b w:val="0"/>
          <w:spacing w:val="-3"/>
        </w:rPr>
        <w:t> </w:t>
      </w:r>
      <w:r>
        <w:rPr>
          <w:b w:val="0"/>
          <w:spacing w:val="-2"/>
        </w:rPr>
        <w:t>Mission.</w:t>
      </w:r>
      <w:r>
        <w:rPr>
          <w:b w:val="0"/>
          <w:spacing w:val="-3"/>
        </w:rPr>
        <w:t> </w:t>
      </w:r>
      <w:r>
        <w:rPr>
          <w:b w:val="0"/>
          <w:spacing w:val="-2"/>
        </w:rPr>
        <w:t>Professor</w:t>
      </w:r>
      <w:r>
        <w:rPr>
          <w:b w:val="0"/>
          <w:spacing w:val="-3"/>
        </w:rPr>
        <w:t> </w:t>
      </w:r>
      <w:r>
        <w:rPr>
          <w:b w:val="0"/>
          <w:spacing w:val="-2"/>
        </w:rPr>
        <w:t>Pat</w:t>
      </w:r>
      <w:r>
        <w:rPr>
          <w:b w:val="0"/>
          <w:spacing w:val="-3"/>
        </w:rPr>
        <w:t> </w:t>
      </w:r>
      <w:r>
        <w:rPr>
          <w:b w:val="0"/>
          <w:spacing w:val="-2"/>
        </w:rPr>
        <w:t>Dudgeon,</w:t>
      </w:r>
      <w:r>
        <w:rPr>
          <w:b w:val="0"/>
          <w:spacing w:val="40"/>
        </w:rPr>
        <w:t> </w:t>
      </w:r>
      <w:r>
        <w:rPr>
          <w:b w:val="0"/>
        </w:rPr>
        <w:t>a Bardi woman, is developing clinically and culturally</w:t>
      </w:r>
      <w:r>
        <w:rPr>
          <w:b w:val="0"/>
          <w:spacing w:val="40"/>
        </w:rPr>
        <w:t> </w:t>
      </w:r>
      <w:r>
        <w:rPr>
          <w:b w:val="0"/>
        </w:rPr>
        <w:t>capable mental health service models in collaboration</w:t>
      </w:r>
      <w:r>
        <w:rPr>
          <w:b w:val="0"/>
          <w:spacing w:val="80"/>
        </w:rPr>
        <w:t> </w:t>
      </w:r>
      <w:r>
        <w:rPr>
          <w:b w:val="0"/>
        </w:rPr>
        <w:t>with families and communities. In a different project, an</w:t>
      </w:r>
      <w:r>
        <w:rPr>
          <w:b w:val="0"/>
          <w:spacing w:val="40"/>
        </w:rPr>
        <w:t> </w:t>
      </w:r>
      <w:r>
        <w:rPr>
          <w:b w:val="0"/>
        </w:rPr>
        <w:t>international team including UWA researchers is working</w:t>
      </w:r>
      <w:r>
        <w:rPr>
          <w:b w:val="0"/>
          <w:spacing w:val="40"/>
        </w:rPr>
        <w:t> </w:t>
      </w:r>
      <w:r>
        <w:rPr>
          <w:b w:val="0"/>
        </w:rPr>
        <w:t>with Kimberley Traditional Owner groups on cultural</w:t>
      </w:r>
      <w:r>
        <w:rPr>
          <w:b w:val="0"/>
          <w:spacing w:val="40"/>
        </w:rPr>
        <w:t> </w:t>
      </w:r>
      <w:r>
        <w:rPr>
          <w:b w:val="0"/>
        </w:rPr>
        <w:t>objects from past German expeditions through Australia’s</w:t>
      </w:r>
      <w:r>
        <w:rPr>
          <w:b w:val="0"/>
          <w:spacing w:val="40"/>
        </w:rPr>
        <w:t> </w:t>
      </w:r>
      <w:r>
        <w:rPr>
          <w:b w:val="0"/>
        </w:rPr>
        <w:t>North West. A third example is a seagrass restoration</w:t>
      </w:r>
      <w:r>
        <w:rPr>
          <w:b w:val="0"/>
          <w:spacing w:val="40"/>
        </w:rPr>
        <w:t> </w:t>
      </w:r>
      <w:r>
        <w:rPr>
          <w:b w:val="0"/>
          <w:spacing w:val="-4"/>
        </w:rPr>
        <w:t>project with the Malgana rangers in Shark Bay (Gathaagudu).</w:t>
      </w:r>
    </w:p>
    <w:p>
      <w:pPr>
        <w:pStyle w:val="BodyText"/>
        <w:spacing w:line="295" w:lineRule="auto" w:before="122"/>
        <w:ind w:left="356" w:right="369"/>
        <w:rPr>
          <w:b w:val="0"/>
        </w:rPr>
      </w:pPr>
      <w:r>
        <w:rPr/>
        <w:br w:type="column"/>
      </w:r>
      <w:r>
        <w:rPr>
          <w:b w:val="0"/>
        </w:rPr>
        <w:t>Finally, in the uncertain times of COVID-19 the University</w:t>
      </w:r>
      <w:r>
        <w:rPr>
          <w:b w:val="0"/>
          <w:spacing w:val="40"/>
        </w:rPr>
        <w:t> </w:t>
      </w:r>
      <w:r>
        <w:rPr>
          <w:b w:val="0"/>
        </w:rPr>
        <w:t>continued to support its researchers, including Higher</w:t>
      </w:r>
      <w:r>
        <w:rPr>
          <w:b w:val="0"/>
          <w:spacing w:val="40"/>
        </w:rPr>
        <w:t> </w:t>
      </w:r>
      <w:r>
        <w:rPr>
          <w:b w:val="0"/>
        </w:rPr>
        <w:t>Degree by Research students, to deliver outcomes under</w:t>
      </w:r>
      <w:r>
        <w:rPr>
          <w:b w:val="0"/>
          <w:spacing w:val="40"/>
        </w:rPr>
        <w:t> </w:t>
      </w:r>
      <w:r>
        <w:rPr>
          <w:b w:val="0"/>
        </w:rPr>
        <w:t>contract with governments, business and industry.</w:t>
      </w:r>
    </w:p>
    <w:p>
      <w:pPr>
        <w:pStyle w:val="BodyText"/>
        <w:spacing w:line="295" w:lineRule="auto" w:before="3"/>
        <w:ind w:left="356" w:right="467"/>
        <w:rPr>
          <w:b w:val="0"/>
        </w:rPr>
      </w:pPr>
      <w:r>
        <w:rPr>
          <w:b w:val="0"/>
        </w:rPr>
        <w:t>Researchers adapted to the new work arrangements with</w:t>
      </w:r>
      <w:r>
        <w:rPr>
          <w:b w:val="0"/>
          <w:spacing w:val="40"/>
        </w:rPr>
        <w:t> </w:t>
      </w:r>
      <w:r>
        <w:rPr>
          <w:b w:val="0"/>
        </w:rPr>
        <w:t>physical distancing, assisted by support to students and</w:t>
      </w:r>
      <w:r>
        <w:rPr>
          <w:b w:val="0"/>
          <w:spacing w:val="40"/>
        </w:rPr>
        <w:t> </w:t>
      </w:r>
      <w:r>
        <w:rPr>
          <w:b w:val="0"/>
        </w:rPr>
        <w:t>researchers from the Library, Graduate Research School,</w:t>
      </w:r>
      <w:r>
        <w:rPr>
          <w:b w:val="0"/>
          <w:spacing w:val="40"/>
        </w:rPr>
        <w:t> </w:t>
      </w:r>
      <w:r>
        <w:rPr>
          <w:b w:val="0"/>
        </w:rPr>
        <w:t>Research Infrastructure Centres and Office of Research,</w:t>
      </w:r>
      <w:r>
        <w:rPr>
          <w:b w:val="0"/>
          <w:spacing w:val="40"/>
        </w:rPr>
        <w:t> </w:t>
      </w:r>
      <w:r>
        <w:rPr>
          <w:b w:val="0"/>
        </w:rPr>
        <w:t>as well as from areas outside the Research portfolio with</w:t>
      </w:r>
      <w:r>
        <w:rPr>
          <w:b w:val="0"/>
          <w:spacing w:val="40"/>
        </w:rPr>
        <w:t> </w:t>
      </w:r>
      <w:r>
        <w:rPr>
          <w:b w:val="0"/>
        </w:rPr>
        <w:t>coordination by the UWA Critical Incident Management</w:t>
      </w:r>
      <w:r>
        <w:rPr>
          <w:b w:val="0"/>
          <w:spacing w:val="40"/>
        </w:rPr>
        <w:t> </w:t>
      </w:r>
      <w:r>
        <w:rPr>
          <w:b w:val="0"/>
        </w:rPr>
        <w:t>Team and the COVID-19 Recovery Management Team.</w:t>
      </w:r>
      <w:r>
        <w:rPr>
          <w:b w:val="0"/>
          <w:spacing w:val="40"/>
        </w:rPr>
        <w:t> </w:t>
      </w:r>
      <w:r>
        <w:rPr>
          <w:b w:val="0"/>
        </w:rPr>
        <w:t>In addition, UWA researchers contributed to a Group of</w:t>
      </w:r>
      <w:r>
        <w:rPr>
          <w:b w:val="0"/>
          <w:spacing w:val="40"/>
        </w:rPr>
        <w:t> </w:t>
      </w:r>
      <w:r>
        <w:rPr>
          <w:b w:val="0"/>
        </w:rPr>
        <w:t>Eight Australian universities taskforce on options for a</w:t>
      </w:r>
    </w:p>
    <w:p>
      <w:pPr>
        <w:pStyle w:val="BodyText"/>
        <w:spacing w:line="295" w:lineRule="auto" w:before="8"/>
        <w:ind w:left="356" w:right="350"/>
        <w:rPr>
          <w:b w:val="0"/>
        </w:rPr>
      </w:pPr>
      <w:r>
        <w:rPr>
          <w:b w:val="0"/>
        </w:rPr>
        <w:t>recovery</w:t>
      </w:r>
      <w:r>
        <w:rPr>
          <w:b w:val="0"/>
          <w:spacing w:val="-1"/>
        </w:rPr>
        <w:t> </w:t>
      </w:r>
      <w:r>
        <w:rPr>
          <w:b w:val="0"/>
        </w:rPr>
        <w:t>roadmap,</w:t>
      </w:r>
      <w:r>
        <w:rPr>
          <w:b w:val="0"/>
          <w:spacing w:val="-1"/>
        </w:rPr>
        <w:t> </w:t>
      </w:r>
      <w:r>
        <w:rPr>
          <w:b w:val="0"/>
        </w:rPr>
        <w:t>as</w:t>
      </w:r>
      <w:r>
        <w:rPr>
          <w:b w:val="0"/>
          <w:spacing w:val="-1"/>
        </w:rPr>
        <w:t> </w:t>
      </w:r>
      <w:r>
        <w:rPr>
          <w:b w:val="0"/>
        </w:rPr>
        <w:t>well</w:t>
      </w:r>
      <w:r>
        <w:rPr>
          <w:b w:val="0"/>
          <w:spacing w:val="-1"/>
        </w:rPr>
        <w:t> </w:t>
      </w:r>
      <w:r>
        <w:rPr>
          <w:b w:val="0"/>
        </w:rPr>
        <w:t>as</w:t>
      </w:r>
      <w:r>
        <w:rPr>
          <w:b w:val="0"/>
          <w:spacing w:val="-1"/>
        </w:rPr>
        <w:t> </w:t>
      </w:r>
      <w:r>
        <w:rPr>
          <w:b w:val="0"/>
        </w:rPr>
        <w:t>to</w:t>
      </w:r>
      <w:r>
        <w:rPr>
          <w:b w:val="0"/>
          <w:spacing w:val="-1"/>
        </w:rPr>
        <w:t> </w:t>
      </w:r>
      <w:r>
        <w:rPr>
          <w:b w:val="0"/>
        </w:rPr>
        <w:t>the</w:t>
      </w:r>
      <w:r>
        <w:rPr>
          <w:b w:val="0"/>
          <w:spacing w:val="-1"/>
        </w:rPr>
        <w:t> </w:t>
      </w:r>
      <w:r>
        <w:rPr>
          <w:b w:val="0"/>
        </w:rPr>
        <w:t>WA</w:t>
      </w:r>
      <w:r>
        <w:rPr>
          <w:b w:val="0"/>
          <w:spacing w:val="-1"/>
        </w:rPr>
        <w:t> </w:t>
      </w:r>
      <w:r>
        <w:rPr>
          <w:b w:val="0"/>
        </w:rPr>
        <w:t>research</w:t>
      </w:r>
      <w:r>
        <w:rPr>
          <w:b w:val="0"/>
          <w:spacing w:val="-1"/>
        </w:rPr>
        <w:t> </w:t>
      </w:r>
      <w:r>
        <w:rPr>
          <w:b w:val="0"/>
        </w:rPr>
        <w:t>response</w:t>
      </w:r>
      <w:r>
        <w:rPr>
          <w:b w:val="0"/>
          <w:spacing w:val="40"/>
        </w:rPr>
        <w:t> </w:t>
      </w:r>
      <w:r>
        <w:rPr>
          <w:b w:val="0"/>
        </w:rPr>
        <w:t>to COVID-19 supported by the WA State Government,</w:t>
      </w:r>
    </w:p>
    <w:p>
      <w:pPr>
        <w:pStyle w:val="BodyText"/>
        <w:spacing w:line="295" w:lineRule="auto" w:before="2"/>
        <w:ind w:left="356" w:right="486"/>
        <w:rPr>
          <w:b w:val="0"/>
        </w:rPr>
      </w:pPr>
      <w:r>
        <w:rPr>
          <w:b w:val="0"/>
        </w:rPr>
        <w:t>so that expert knowledge was available to support the</w:t>
      </w:r>
      <w:r>
        <w:rPr>
          <w:b w:val="0"/>
          <w:spacing w:val="40"/>
        </w:rPr>
        <w:t> </w:t>
      </w:r>
      <w:r>
        <w:rPr>
          <w:b w:val="0"/>
        </w:rPr>
        <w:t>Australian</w:t>
      </w:r>
      <w:r>
        <w:rPr>
          <w:b w:val="0"/>
          <w:spacing w:val="-7"/>
        </w:rPr>
        <w:t> </w:t>
      </w:r>
      <w:r>
        <w:rPr>
          <w:b w:val="0"/>
        </w:rPr>
        <w:t>community.</w:t>
      </w: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spacing w:before="66"/>
        <w:rPr>
          <w:b w:val="0"/>
        </w:rPr>
      </w:pPr>
    </w:p>
    <w:p>
      <w:pPr>
        <w:spacing w:before="0"/>
        <w:ind w:left="356" w:right="0" w:firstLine="0"/>
        <w:jc w:val="left"/>
        <w:rPr>
          <w:rFonts w:ascii="TT Norms Pro Light"/>
          <w:b w:val="0"/>
          <w:sz w:val="14"/>
        </w:rPr>
      </w:pPr>
      <w:r>
        <w:rPr>
          <w:rFonts w:ascii="TT Norms Pro Light"/>
          <w:b w:val="0"/>
          <w:sz w:val="14"/>
        </w:rPr>
        <w:t>ARC</w:t>
      </w:r>
      <w:r>
        <w:rPr>
          <w:rFonts w:ascii="TT Norms Pro Light"/>
          <w:b w:val="0"/>
          <w:spacing w:val="11"/>
          <w:sz w:val="14"/>
        </w:rPr>
        <w:t> </w:t>
      </w:r>
      <w:r>
        <w:rPr>
          <w:rFonts w:ascii="TT Norms Pro Light"/>
          <w:b w:val="0"/>
          <w:sz w:val="14"/>
        </w:rPr>
        <w:t>Australian</w:t>
      </w:r>
      <w:r>
        <w:rPr>
          <w:rFonts w:ascii="TT Norms Pro Light"/>
          <w:b w:val="0"/>
          <w:spacing w:val="11"/>
          <w:sz w:val="14"/>
        </w:rPr>
        <w:t> </w:t>
      </w:r>
      <w:r>
        <w:rPr>
          <w:rFonts w:ascii="TT Norms Pro Light"/>
          <w:b w:val="0"/>
          <w:sz w:val="14"/>
        </w:rPr>
        <w:t>Laureate</w:t>
      </w:r>
      <w:r>
        <w:rPr>
          <w:rFonts w:ascii="TT Norms Pro Light"/>
          <w:b w:val="0"/>
          <w:spacing w:val="11"/>
          <w:sz w:val="14"/>
        </w:rPr>
        <w:t> </w:t>
      </w:r>
      <w:r>
        <w:rPr>
          <w:rFonts w:ascii="TT Norms Pro Light"/>
          <w:b w:val="0"/>
          <w:sz w:val="14"/>
        </w:rPr>
        <w:t>Fellowship</w:t>
      </w:r>
      <w:r>
        <w:rPr>
          <w:rFonts w:ascii="TT Norms Pro Light"/>
          <w:b w:val="0"/>
          <w:spacing w:val="11"/>
          <w:sz w:val="14"/>
        </w:rPr>
        <w:t> </w:t>
      </w:r>
      <w:r>
        <w:rPr>
          <w:rFonts w:ascii="TT Norms Pro Light"/>
          <w:b w:val="0"/>
          <w:sz w:val="14"/>
        </w:rPr>
        <w:t>recipient,</w:t>
      </w:r>
      <w:r>
        <w:rPr>
          <w:rFonts w:ascii="TT Norms Pro Light"/>
          <w:b w:val="0"/>
          <w:spacing w:val="11"/>
          <w:sz w:val="14"/>
        </w:rPr>
        <w:t> </w:t>
      </w:r>
      <w:r>
        <w:rPr>
          <w:rFonts w:ascii="TT Norms Pro Light"/>
          <w:b w:val="0"/>
          <w:sz w:val="14"/>
        </w:rPr>
        <w:t>Professor</w:t>
      </w:r>
      <w:r>
        <w:rPr>
          <w:rFonts w:ascii="TT Norms Pro Light"/>
          <w:b w:val="0"/>
          <w:spacing w:val="11"/>
          <w:sz w:val="14"/>
        </w:rPr>
        <w:t> </w:t>
      </w:r>
      <w:r>
        <w:rPr>
          <w:rFonts w:ascii="TT Norms Pro Light"/>
          <w:b w:val="0"/>
          <w:sz w:val="14"/>
        </w:rPr>
        <w:t>Harvey</w:t>
      </w:r>
      <w:r>
        <w:rPr>
          <w:rFonts w:ascii="TT Norms Pro Light"/>
          <w:b w:val="0"/>
          <w:spacing w:val="11"/>
          <w:sz w:val="14"/>
        </w:rPr>
        <w:t> </w:t>
      </w:r>
      <w:r>
        <w:rPr>
          <w:rFonts w:ascii="TT Norms Pro Light"/>
          <w:b w:val="0"/>
          <w:spacing w:val="-2"/>
          <w:sz w:val="14"/>
        </w:rPr>
        <w:t>Millar</w:t>
      </w:r>
    </w:p>
    <w:p>
      <w:pPr>
        <w:spacing w:after="0"/>
        <w:jc w:val="left"/>
        <w:rPr>
          <w:rFonts w:ascii="TT Norms Pro Light"/>
          <w:sz w:val="14"/>
        </w:rPr>
        <w:sectPr>
          <w:type w:val="continuous"/>
          <w:pgSz w:w="11910" w:h="16840"/>
          <w:pgMar w:header="468" w:footer="0" w:top="980" w:bottom="280" w:left="0" w:right="780"/>
          <w:cols w:num="2" w:equalWidth="0">
            <w:col w:w="5755" w:space="40"/>
            <w:col w:w="5335"/>
          </w:cols>
        </w:sectPr>
      </w:pPr>
    </w:p>
    <w:p>
      <w:pPr>
        <w:spacing w:line="906" w:lineRule="exact" w:before="686"/>
        <w:ind w:left="1093" w:right="0" w:firstLine="0"/>
        <w:jc w:val="left"/>
        <w:rPr>
          <w:rFonts w:ascii="Palatino Linotype"/>
          <w:sz w:val="70"/>
        </w:rPr>
      </w:pPr>
      <w:r>
        <w:rPr>
          <w:rFonts w:ascii="Palatino Linotype"/>
          <w:spacing w:val="-2"/>
          <w:w w:val="105"/>
          <w:sz w:val="70"/>
        </w:rPr>
        <w:t>Global</w:t>
      </w:r>
    </w:p>
    <w:p>
      <w:pPr>
        <w:pStyle w:val="Heading2"/>
        <w:spacing w:line="780" w:lineRule="exact"/>
      </w:pPr>
      <w:r>
        <w:rPr>
          <w:spacing w:val="-2"/>
        </w:rPr>
        <w:t>Partnerships</w:t>
      </w:r>
    </w:p>
    <w:p>
      <w:pPr>
        <w:pStyle w:val="BodyText"/>
        <w:rPr>
          <w:rFonts w:ascii="TT Norms Pro"/>
          <w:b/>
          <w:sz w:val="24"/>
        </w:rPr>
      </w:pPr>
    </w:p>
    <w:p>
      <w:pPr>
        <w:pStyle w:val="BodyText"/>
        <w:rPr>
          <w:rFonts w:ascii="TT Norms Pro"/>
          <w:b/>
          <w:sz w:val="24"/>
        </w:rPr>
      </w:pPr>
    </w:p>
    <w:p>
      <w:pPr>
        <w:pStyle w:val="BodyText"/>
        <w:spacing w:before="37"/>
        <w:rPr>
          <w:rFonts w:ascii="TT Norms Pro"/>
          <w:b/>
          <w:sz w:val="24"/>
        </w:rPr>
      </w:pPr>
    </w:p>
    <w:p>
      <w:pPr>
        <w:pStyle w:val="Heading7"/>
      </w:pPr>
      <w:r>
        <w:rPr/>
        <mc:AlternateContent>
          <mc:Choice Requires="wps">
            <w:drawing>
              <wp:anchor distT="0" distB="0" distL="0" distR="0" allowOverlap="1" layoutInCell="1" locked="0" behindDoc="0" simplePos="0" relativeHeight="15803904">
                <wp:simplePos x="0" y="0"/>
                <wp:positionH relativeFrom="page">
                  <wp:posOffset>716499</wp:posOffset>
                </wp:positionH>
                <wp:positionV relativeFrom="paragraph">
                  <wp:posOffset>15750</wp:posOffset>
                </wp:positionV>
                <wp:extent cx="1270" cy="1261110"/>
                <wp:effectExtent l="0" t="0" r="0" b="0"/>
                <wp:wrapNone/>
                <wp:docPr id="339" name="Graphic 339"/>
                <wp:cNvGraphicFramePr>
                  <a:graphicFrameLocks/>
                </wp:cNvGraphicFramePr>
                <a:graphic>
                  <a:graphicData uri="http://schemas.microsoft.com/office/word/2010/wordprocessingShape">
                    <wps:wsp>
                      <wps:cNvPr id="339" name="Graphic 339"/>
                      <wps:cNvSpPr/>
                      <wps:spPr>
                        <a:xfrm>
                          <a:off x="0" y="0"/>
                          <a:ext cx="1270" cy="1261110"/>
                        </a:xfrm>
                        <a:custGeom>
                          <a:avLst/>
                          <a:gdLst/>
                          <a:ahLst/>
                          <a:cxnLst/>
                          <a:rect l="l" t="t" r="r" b="b"/>
                          <a:pathLst>
                            <a:path w="0" h="1261110">
                              <a:moveTo>
                                <a:pt x="0" y="1261084"/>
                              </a:moveTo>
                              <a:lnTo>
                                <a:pt x="0" y="0"/>
                              </a:lnTo>
                            </a:path>
                          </a:pathLst>
                        </a:custGeom>
                        <a:ln w="6350">
                          <a:solidFill>
                            <a:srgbClr val="21409A"/>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03904" from="56.417301pt,100.538201pt" to="56.417301pt,1.240201pt" stroked="true" strokeweight=".5pt" strokecolor="#21409a">
                <v:stroke dashstyle="solid"/>
                <w10:wrap type="none"/>
              </v:line>
            </w:pict>
          </mc:Fallback>
        </mc:AlternateContent>
      </w:r>
      <w:r>
        <w:rPr>
          <w:color w:val="21409A"/>
          <w:spacing w:val="-2"/>
        </w:rPr>
        <w:t>PRIORITIES</w:t>
      </w:r>
    </w:p>
    <w:p>
      <w:pPr>
        <w:pStyle w:val="ListParagraph"/>
        <w:numPr>
          <w:ilvl w:val="0"/>
          <w:numId w:val="5"/>
        </w:numPr>
        <w:tabs>
          <w:tab w:pos="1581" w:val="left" w:leader="none"/>
        </w:tabs>
        <w:spacing w:line="240" w:lineRule="auto" w:before="133" w:after="0"/>
        <w:ind w:left="1581" w:right="0" w:hanging="226"/>
        <w:jc w:val="left"/>
        <w:rPr>
          <w:rFonts w:ascii="TT Norms Pro Light" w:hAnsi="TT Norms Pro Light"/>
          <w:b w:val="0"/>
          <w:color w:val="21409A"/>
          <w:sz w:val="24"/>
        </w:rPr>
      </w:pPr>
      <w:r>
        <w:rPr>
          <w:rFonts w:ascii="TT Norms Pro Light" w:hAnsi="TT Norms Pro Light"/>
          <w:b w:val="0"/>
          <w:color w:val="21409A"/>
          <w:sz w:val="24"/>
        </w:rPr>
        <w:t>Be</w:t>
      </w:r>
      <w:r>
        <w:rPr>
          <w:rFonts w:ascii="TT Norms Pro Light" w:hAnsi="TT Norms Pro Light"/>
          <w:b w:val="0"/>
          <w:color w:val="21409A"/>
          <w:spacing w:val="-4"/>
          <w:sz w:val="24"/>
        </w:rPr>
        <w:t> </w:t>
      </w:r>
      <w:r>
        <w:rPr>
          <w:rFonts w:ascii="TT Norms Pro Light" w:hAnsi="TT Norms Pro Light"/>
          <w:b w:val="0"/>
          <w:color w:val="21409A"/>
          <w:sz w:val="24"/>
        </w:rPr>
        <w:t>the</w:t>
      </w:r>
      <w:r>
        <w:rPr>
          <w:rFonts w:ascii="TT Norms Pro Light" w:hAnsi="TT Norms Pro Light"/>
          <w:b w:val="0"/>
          <w:color w:val="21409A"/>
          <w:spacing w:val="-1"/>
          <w:sz w:val="24"/>
        </w:rPr>
        <w:t> </w:t>
      </w:r>
      <w:r>
        <w:rPr>
          <w:rFonts w:ascii="TT Norms Pro Light" w:hAnsi="TT Norms Pro Light"/>
          <w:b w:val="0"/>
          <w:color w:val="21409A"/>
          <w:sz w:val="24"/>
        </w:rPr>
        <w:t>pre-eminent</w:t>
      </w:r>
      <w:r>
        <w:rPr>
          <w:rFonts w:ascii="TT Norms Pro Light" w:hAnsi="TT Norms Pro Light"/>
          <w:b w:val="0"/>
          <w:color w:val="21409A"/>
          <w:spacing w:val="-1"/>
          <w:sz w:val="24"/>
        </w:rPr>
        <w:t> </w:t>
      </w:r>
      <w:r>
        <w:rPr>
          <w:rFonts w:ascii="TT Norms Pro Light" w:hAnsi="TT Norms Pro Light"/>
          <w:b w:val="0"/>
          <w:color w:val="21409A"/>
          <w:sz w:val="24"/>
        </w:rPr>
        <w:t>academic</w:t>
      </w:r>
      <w:r>
        <w:rPr>
          <w:rFonts w:ascii="TT Norms Pro Light" w:hAnsi="TT Norms Pro Light"/>
          <w:b w:val="0"/>
          <w:color w:val="21409A"/>
          <w:spacing w:val="-1"/>
          <w:sz w:val="24"/>
        </w:rPr>
        <w:t> </w:t>
      </w:r>
      <w:r>
        <w:rPr>
          <w:rFonts w:ascii="TT Norms Pro Light" w:hAnsi="TT Norms Pro Light"/>
          <w:b w:val="0"/>
          <w:color w:val="21409A"/>
          <w:sz w:val="24"/>
        </w:rPr>
        <w:t>leader</w:t>
      </w:r>
      <w:r>
        <w:rPr>
          <w:rFonts w:ascii="TT Norms Pro Light" w:hAnsi="TT Norms Pro Light"/>
          <w:b w:val="0"/>
          <w:color w:val="21409A"/>
          <w:spacing w:val="-5"/>
          <w:sz w:val="24"/>
        </w:rPr>
        <w:t> </w:t>
      </w:r>
      <w:r>
        <w:rPr>
          <w:rFonts w:ascii="TT Norms Pro Light" w:hAnsi="TT Norms Pro Light"/>
          <w:b w:val="0"/>
          <w:color w:val="21409A"/>
          <w:sz w:val="24"/>
        </w:rPr>
        <w:t>in</w:t>
      </w:r>
      <w:r>
        <w:rPr>
          <w:rFonts w:ascii="TT Norms Pro Light" w:hAnsi="TT Norms Pro Light"/>
          <w:b w:val="0"/>
          <w:color w:val="21409A"/>
          <w:spacing w:val="-1"/>
          <w:sz w:val="24"/>
        </w:rPr>
        <w:t> </w:t>
      </w:r>
      <w:r>
        <w:rPr>
          <w:rFonts w:ascii="TT Norms Pro Light" w:hAnsi="TT Norms Pro Light"/>
          <w:b w:val="0"/>
          <w:color w:val="21409A"/>
          <w:sz w:val="24"/>
        </w:rPr>
        <w:t>the</w:t>
      </w:r>
      <w:r>
        <w:rPr>
          <w:rFonts w:ascii="TT Norms Pro Light" w:hAnsi="TT Norms Pro Light"/>
          <w:b w:val="0"/>
          <w:color w:val="21409A"/>
          <w:spacing w:val="-1"/>
          <w:sz w:val="24"/>
        </w:rPr>
        <w:t> </w:t>
      </w:r>
      <w:r>
        <w:rPr>
          <w:rFonts w:ascii="TT Norms Pro Light" w:hAnsi="TT Norms Pro Light"/>
          <w:b w:val="0"/>
          <w:color w:val="21409A"/>
          <w:sz w:val="24"/>
        </w:rPr>
        <w:t>Indian</w:t>
      </w:r>
      <w:r>
        <w:rPr>
          <w:rFonts w:ascii="TT Norms Pro Light" w:hAnsi="TT Norms Pro Light"/>
          <w:b w:val="0"/>
          <w:color w:val="21409A"/>
          <w:spacing w:val="-1"/>
          <w:sz w:val="24"/>
        </w:rPr>
        <w:t> </w:t>
      </w:r>
      <w:r>
        <w:rPr>
          <w:rFonts w:ascii="TT Norms Pro Light" w:hAnsi="TT Norms Pro Light"/>
          <w:b w:val="0"/>
          <w:color w:val="21409A"/>
          <w:sz w:val="24"/>
        </w:rPr>
        <w:t>Ocean</w:t>
      </w:r>
      <w:r>
        <w:rPr>
          <w:rFonts w:ascii="TT Norms Pro Light" w:hAnsi="TT Norms Pro Light"/>
          <w:b w:val="0"/>
          <w:color w:val="21409A"/>
          <w:spacing w:val="-1"/>
          <w:sz w:val="24"/>
        </w:rPr>
        <w:t> </w:t>
      </w:r>
      <w:r>
        <w:rPr>
          <w:rFonts w:ascii="TT Norms Pro Light" w:hAnsi="TT Norms Pro Light"/>
          <w:b w:val="0"/>
          <w:color w:val="21409A"/>
          <w:spacing w:val="-4"/>
          <w:sz w:val="24"/>
        </w:rPr>
        <w:t>Rim.</w:t>
      </w:r>
    </w:p>
    <w:p>
      <w:pPr>
        <w:pStyle w:val="ListParagraph"/>
        <w:numPr>
          <w:ilvl w:val="0"/>
          <w:numId w:val="5"/>
        </w:numPr>
        <w:tabs>
          <w:tab w:pos="1581" w:val="left" w:leader="none"/>
        </w:tabs>
        <w:spacing w:line="256" w:lineRule="auto" w:before="76" w:after="0"/>
        <w:ind w:left="1581" w:right="2611" w:hanging="227"/>
        <w:jc w:val="left"/>
        <w:rPr>
          <w:rFonts w:ascii="TT Norms Pro Light" w:hAnsi="TT Norms Pro Light"/>
          <w:b w:val="0"/>
          <w:color w:val="21409A"/>
          <w:sz w:val="24"/>
        </w:rPr>
      </w:pPr>
      <w:r>
        <w:rPr>
          <w:rFonts w:ascii="TT Norms Pro Light" w:hAnsi="TT Norms Pro Light"/>
          <w:b w:val="0"/>
          <w:color w:val="21409A"/>
          <w:sz w:val="24"/>
        </w:rPr>
        <w:t>Build</w:t>
      </w:r>
      <w:r>
        <w:rPr>
          <w:rFonts w:ascii="TT Norms Pro Light" w:hAnsi="TT Norms Pro Light"/>
          <w:b w:val="0"/>
          <w:color w:val="21409A"/>
          <w:spacing w:val="-7"/>
          <w:sz w:val="24"/>
        </w:rPr>
        <w:t> </w:t>
      </w:r>
      <w:r>
        <w:rPr>
          <w:rFonts w:ascii="TT Norms Pro Light" w:hAnsi="TT Norms Pro Light"/>
          <w:b w:val="0"/>
          <w:color w:val="21409A"/>
          <w:sz w:val="24"/>
        </w:rPr>
        <w:t>deeper</w:t>
      </w:r>
      <w:r>
        <w:rPr>
          <w:rFonts w:ascii="TT Norms Pro Light" w:hAnsi="TT Norms Pro Light"/>
          <w:b w:val="0"/>
          <w:color w:val="21409A"/>
          <w:spacing w:val="-11"/>
          <w:sz w:val="24"/>
        </w:rPr>
        <w:t> </w:t>
      </w:r>
      <w:r>
        <w:rPr>
          <w:rFonts w:ascii="TT Norms Pro Light" w:hAnsi="TT Norms Pro Light"/>
          <w:b w:val="0"/>
          <w:color w:val="21409A"/>
          <w:sz w:val="24"/>
        </w:rPr>
        <w:t>and</w:t>
      </w:r>
      <w:r>
        <w:rPr>
          <w:rFonts w:ascii="TT Norms Pro Light" w:hAnsi="TT Norms Pro Light"/>
          <w:b w:val="0"/>
          <w:color w:val="21409A"/>
          <w:spacing w:val="-7"/>
          <w:sz w:val="24"/>
        </w:rPr>
        <w:t> </w:t>
      </w:r>
      <w:r>
        <w:rPr>
          <w:rFonts w:ascii="TT Norms Pro Light" w:hAnsi="TT Norms Pro Light"/>
          <w:b w:val="0"/>
          <w:color w:val="21409A"/>
          <w:sz w:val="24"/>
        </w:rPr>
        <w:t>broader</w:t>
      </w:r>
      <w:r>
        <w:rPr>
          <w:rFonts w:ascii="TT Norms Pro Light" w:hAnsi="TT Norms Pro Light"/>
          <w:b w:val="0"/>
          <w:color w:val="21409A"/>
          <w:spacing w:val="-11"/>
          <w:sz w:val="24"/>
        </w:rPr>
        <w:t> </w:t>
      </w:r>
      <w:r>
        <w:rPr>
          <w:rFonts w:ascii="TT Norms Pro Light" w:hAnsi="TT Norms Pro Light"/>
          <w:b w:val="0"/>
          <w:color w:val="21409A"/>
          <w:sz w:val="24"/>
        </w:rPr>
        <w:t>partnerships</w:t>
      </w:r>
      <w:r>
        <w:rPr>
          <w:rFonts w:ascii="TT Norms Pro Light" w:hAnsi="TT Norms Pro Light"/>
          <w:b w:val="0"/>
          <w:color w:val="21409A"/>
          <w:spacing w:val="-11"/>
          <w:sz w:val="24"/>
        </w:rPr>
        <w:t> </w:t>
      </w:r>
      <w:r>
        <w:rPr>
          <w:rFonts w:ascii="TT Norms Pro Light" w:hAnsi="TT Norms Pro Light"/>
          <w:b w:val="0"/>
          <w:color w:val="21409A"/>
          <w:sz w:val="24"/>
        </w:rPr>
        <w:t>with</w:t>
      </w:r>
      <w:r>
        <w:rPr>
          <w:rFonts w:ascii="TT Norms Pro Light" w:hAnsi="TT Norms Pro Light"/>
          <w:b w:val="0"/>
          <w:color w:val="21409A"/>
          <w:spacing w:val="-7"/>
          <w:sz w:val="24"/>
        </w:rPr>
        <w:t> </w:t>
      </w:r>
      <w:r>
        <w:rPr>
          <w:rFonts w:ascii="TT Norms Pro Light" w:hAnsi="TT Norms Pro Light"/>
          <w:b w:val="0"/>
          <w:color w:val="21409A"/>
          <w:sz w:val="24"/>
        </w:rPr>
        <w:t>industry,</w:t>
      </w:r>
      <w:r>
        <w:rPr>
          <w:rFonts w:ascii="TT Norms Pro Light" w:hAnsi="TT Norms Pro Light"/>
          <w:b w:val="0"/>
          <w:color w:val="21409A"/>
          <w:spacing w:val="-7"/>
          <w:sz w:val="24"/>
        </w:rPr>
        <w:t> </w:t>
      </w:r>
      <w:r>
        <w:rPr>
          <w:rFonts w:ascii="TT Norms Pro Light" w:hAnsi="TT Norms Pro Light"/>
          <w:b w:val="0"/>
          <w:color w:val="21409A"/>
          <w:sz w:val="24"/>
        </w:rPr>
        <w:t>governments and not-for-profits to inform and translate our research.</w:t>
      </w:r>
    </w:p>
    <w:p>
      <w:pPr>
        <w:pStyle w:val="ListParagraph"/>
        <w:numPr>
          <w:ilvl w:val="0"/>
          <w:numId w:val="5"/>
        </w:numPr>
        <w:tabs>
          <w:tab w:pos="1581" w:val="left" w:leader="none"/>
        </w:tabs>
        <w:spacing w:line="256" w:lineRule="auto" w:before="56" w:after="0"/>
        <w:ind w:left="1581" w:right="3354" w:hanging="227"/>
        <w:jc w:val="left"/>
        <w:rPr>
          <w:rFonts w:ascii="TT Norms Pro Light" w:hAnsi="TT Norms Pro Light"/>
          <w:b w:val="0"/>
          <w:color w:val="21409A"/>
          <w:sz w:val="24"/>
        </w:rPr>
      </w:pPr>
      <w:r>
        <w:rPr>
          <w:rFonts w:ascii="TT Norms Pro Light" w:hAnsi="TT Norms Pro Light"/>
          <w:b w:val="0"/>
          <w:color w:val="21409A"/>
          <w:sz w:val="24"/>
        </w:rPr>
        <w:t>Engage</w:t>
      </w:r>
      <w:r>
        <w:rPr>
          <w:rFonts w:ascii="TT Norms Pro Light" w:hAnsi="TT Norms Pro Light"/>
          <w:b w:val="0"/>
          <w:color w:val="21409A"/>
          <w:spacing w:val="-6"/>
          <w:sz w:val="24"/>
        </w:rPr>
        <w:t> </w:t>
      </w:r>
      <w:r>
        <w:rPr>
          <w:rFonts w:ascii="TT Norms Pro Light" w:hAnsi="TT Norms Pro Light"/>
          <w:b w:val="0"/>
          <w:color w:val="21409A"/>
          <w:sz w:val="24"/>
        </w:rPr>
        <w:t>openly</w:t>
      </w:r>
      <w:r>
        <w:rPr>
          <w:rFonts w:ascii="TT Norms Pro Light" w:hAnsi="TT Norms Pro Light"/>
          <w:b w:val="0"/>
          <w:color w:val="21409A"/>
          <w:spacing w:val="-10"/>
          <w:sz w:val="24"/>
        </w:rPr>
        <w:t> </w:t>
      </w:r>
      <w:r>
        <w:rPr>
          <w:rFonts w:ascii="TT Norms Pro Light" w:hAnsi="TT Norms Pro Light"/>
          <w:b w:val="0"/>
          <w:color w:val="21409A"/>
          <w:sz w:val="24"/>
        </w:rPr>
        <w:t>and</w:t>
      </w:r>
      <w:r>
        <w:rPr>
          <w:rFonts w:ascii="TT Norms Pro Light" w:hAnsi="TT Norms Pro Light"/>
          <w:b w:val="0"/>
          <w:color w:val="21409A"/>
          <w:spacing w:val="-6"/>
          <w:sz w:val="24"/>
        </w:rPr>
        <w:t> </w:t>
      </w:r>
      <w:r>
        <w:rPr>
          <w:rFonts w:ascii="TT Norms Pro Light" w:hAnsi="TT Norms Pro Light"/>
          <w:b w:val="0"/>
          <w:color w:val="21409A"/>
          <w:sz w:val="24"/>
        </w:rPr>
        <w:t>ensure</w:t>
      </w:r>
      <w:r>
        <w:rPr>
          <w:rFonts w:ascii="TT Norms Pro Light" w:hAnsi="TT Norms Pro Light"/>
          <w:b w:val="0"/>
          <w:color w:val="21409A"/>
          <w:spacing w:val="-6"/>
          <w:sz w:val="24"/>
        </w:rPr>
        <w:t> </w:t>
      </w:r>
      <w:r>
        <w:rPr>
          <w:rFonts w:ascii="TT Norms Pro Light" w:hAnsi="TT Norms Pro Light"/>
          <w:b w:val="0"/>
          <w:color w:val="21409A"/>
          <w:sz w:val="24"/>
        </w:rPr>
        <w:t>our</w:t>
      </w:r>
      <w:r>
        <w:rPr>
          <w:rFonts w:ascii="TT Norms Pro Light" w:hAnsi="TT Norms Pro Light"/>
          <w:b w:val="0"/>
          <w:color w:val="21409A"/>
          <w:spacing w:val="-10"/>
          <w:sz w:val="24"/>
        </w:rPr>
        <w:t> </w:t>
      </w:r>
      <w:r>
        <w:rPr>
          <w:rFonts w:ascii="TT Norms Pro Light" w:hAnsi="TT Norms Pro Light"/>
          <w:b w:val="0"/>
          <w:color w:val="21409A"/>
          <w:sz w:val="24"/>
        </w:rPr>
        <w:t>research</w:t>
      </w:r>
      <w:r>
        <w:rPr>
          <w:rFonts w:ascii="TT Norms Pro Light" w:hAnsi="TT Norms Pro Light"/>
          <w:b w:val="0"/>
          <w:color w:val="21409A"/>
          <w:spacing w:val="-6"/>
          <w:sz w:val="24"/>
        </w:rPr>
        <w:t> </w:t>
      </w:r>
      <w:r>
        <w:rPr>
          <w:rFonts w:ascii="TT Norms Pro Light" w:hAnsi="TT Norms Pro Light"/>
          <w:b w:val="0"/>
          <w:color w:val="21409A"/>
          <w:sz w:val="24"/>
        </w:rPr>
        <w:t>benefits</w:t>
      </w:r>
      <w:r>
        <w:rPr>
          <w:rFonts w:ascii="TT Norms Pro Light" w:hAnsi="TT Norms Pro Light"/>
          <w:b w:val="0"/>
          <w:color w:val="21409A"/>
          <w:spacing w:val="-6"/>
          <w:sz w:val="24"/>
        </w:rPr>
        <w:t> </w:t>
      </w:r>
      <w:r>
        <w:rPr>
          <w:rFonts w:ascii="TT Norms Pro Light" w:hAnsi="TT Norms Pro Light"/>
          <w:b w:val="0"/>
          <w:color w:val="21409A"/>
          <w:sz w:val="24"/>
        </w:rPr>
        <w:t>the</w:t>
      </w:r>
      <w:r>
        <w:rPr>
          <w:rFonts w:ascii="TT Norms Pro Light" w:hAnsi="TT Norms Pro Light"/>
          <w:b w:val="0"/>
          <w:color w:val="21409A"/>
          <w:spacing w:val="-10"/>
          <w:sz w:val="24"/>
        </w:rPr>
        <w:t> </w:t>
      </w:r>
      <w:r>
        <w:rPr>
          <w:rFonts w:ascii="TT Norms Pro Light" w:hAnsi="TT Norms Pro Light"/>
          <w:b w:val="0"/>
          <w:color w:val="21409A"/>
          <w:sz w:val="24"/>
        </w:rPr>
        <w:t>widest possible range of communities.</w:t>
      </w:r>
    </w:p>
    <w:p>
      <w:pPr>
        <w:pStyle w:val="BodyText"/>
        <w:rPr>
          <w:b w:val="0"/>
          <w:sz w:val="20"/>
        </w:rPr>
      </w:pPr>
    </w:p>
    <w:p>
      <w:pPr>
        <w:pStyle w:val="BodyText"/>
        <w:spacing w:before="69"/>
        <w:rPr>
          <w:b w:val="0"/>
          <w:sz w:val="20"/>
        </w:rPr>
      </w:pPr>
    </w:p>
    <w:p>
      <w:pPr>
        <w:spacing w:after="0"/>
        <w:rPr>
          <w:sz w:val="20"/>
        </w:rPr>
        <w:sectPr>
          <w:pgSz w:w="11910" w:h="16840"/>
          <w:pgMar w:header="468" w:footer="0" w:top="720" w:bottom="280" w:left="0" w:right="780"/>
        </w:sectPr>
      </w:pPr>
    </w:p>
    <w:p>
      <w:pPr>
        <w:pStyle w:val="BodyText"/>
        <w:spacing w:line="295" w:lineRule="auto" w:before="122"/>
        <w:ind w:left="1133" w:right="159"/>
        <w:rPr>
          <w:b w:val="0"/>
        </w:rPr>
      </w:pPr>
      <w:r>
        <w:rPr/>
        <mc:AlternateContent>
          <mc:Choice Requires="wps">
            <w:drawing>
              <wp:anchor distT="0" distB="0" distL="0" distR="0" allowOverlap="1" layoutInCell="1" locked="0" behindDoc="1" simplePos="0" relativeHeight="472657920">
                <wp:simplePos x="0" y="0"/>
                <wp:positionH relativeFrom="page">
                  <wp:posOffset>1052995</wp:posOffset>
                </wp:positionH>
                <wp:positionV relativeFrom="page">
                  <wp:posOffset>0</wp:posOffset>
                </wp:positionV>
                <wp:extent cx="6507480" cy="2349500"/>
                <wp:effectExtent l="0" t="0" r="0" b="0"/>
                <wp:wrapNone/>
                <wp:docPr id="340" name="Group 340"/>
                <wp:cNvGraphicFramePr>
                  <a:graphicFrameLocks/>
                </wp:cNvGraphicFramePr>
                <a:graphic>
                  <a:graphicData uri="http://schemas.microsoft.com/office/word/2010/wordprocessingGroup">
                    <wpg:wgp>
                      <wpg:cNvPr id="340" name="Group 340"/>
                      <wpg:cNvGrpSpPr/>
                      <wpg:grpSpPr>
                        <a:xfrm>
                          <a:off x="0" y="0"/>
                          <a:ext cx="6507480" cy="2349500"/>
                          <a:chExt cx="6507480" cy="2349500"/>
                        </a:xfrm>
                      </wpg:grpSpPr>
                      <wps:wsp>
                        <wps:cNvPr id="341" name="Graphic 341"/>
                        <wps:cNvSpPr/>
                        <wps:spPr>
                          <a:xfrm>
                            <a:off x="0" y="1388973"/>
                            <a:ext cx="5983605" cy="696595"/>
                          </a:xfrm>
                          <a:custGeom>
                            <a:avLst/>
                            <a:gdLst/>
                            <a:ahLst/>
                            <a:cxnLst/>
                            <a:rect l="l" t="t" r="r" b="b"/>
                            <a:pathLst>
                              <a:path w="5983605" h="696595">
                                <a:moveTo>
                                  <a:pt x="5983084" y="0"/>
                                </a:moveTo>
                                <a:lnTo>
                                  <a:pt x="0" y="0"/>
                                </a:lnTo>
                                <a:lnTo>
                                  <a:pt x="0" y="696048"/>
                                </a:lnTo>
                                <a:lnTo>
                                  <a:pt x="5983084" y="696048"/>
                                </a:lnTo>
                                <a:lnTo>
                                  <a:pt x="5983084" y="0"/>
                                </a:lnTo>
                                <a:close/>
                              </a:path>
                            </a:pathLst>
                          </a:custGeom>
                          <a:solidFill>
                            <a:srgbClr val="FFFFFF"/>
                          </a:solidFill>
                        </wps:spPr>
                        <wps:bodyPr wrap="square" lIns="0" tIns="0" rIns="0" bIns="0" rtlCol="0">
                          <a:prstTxWarp prst="textNoShape">
                            <a:avLst/>
                          </a:prstTxWarp>
                          <a:noAutofit/>
                        </wps:bodyPr>
                      </wps:wsp>
                      <pic:pic>
                        <pic:nvPicPr>
                          <pic:cNvPr id="342" name="Image 342"/>
                          <pic:cNvPicPr/>
                        </pic:nvPicPr>
                        <pic:blipFill>
                          <a:blip r:embed="rId52" cstate="print"/>
                          <a:stretch>
                            <a:fillRect/>
                          </a:stretch>
                        </pic:blipFill>
                        <pic:spPr>
                          <a:xfrm>
                            <a:off x="3915003" y="0"/>
                            <a:ext cx="2592006" cy="2349004"/>
                          </a:xfrm>
                          <a:prstGeom prst="rect">
                            <a:avLst/>
                          </a:prstGeom>
                        </pic:spPr>
                      </pic:pic>
                    </wpg:wgp>
                  </a:graphicData>
                </a:graphic>
              </wp:anchor>
            </w:drawing>
          </mc:Choice>
          <mc:Fallback>
            <w:pict>
              <v:group style="position:absolute;margin-left:82.913002pt;margin-top:.000015pt;width:512.4pt;height:185pt;mso-position-horizontal-relative:page;mso-position-vertical-relative:page;z-index:-30658560" id="docshapegroup199" coordorigin="1658,0" coordsize="10248,3700">
                <v:rect style="position:absolute;left:1658;top:2187;width:9423;height:1097" id="docshape200" filled="true" fillcolor="#ffffff" stroked="false">
                  <v:fill type="solid"/>
                </v:rect>
                <v:shape style="position:absolute;left:7823;top:0;width:4082;height:3700" type="#_x0000_t75" id="docshape201" stroked="false">
                  <v:imagedata r:id="rId52" o:title=""/>
                </v:shape>
                <w10:wrap type="none"/>
              </v:group>
            </w:pict>
          </mc:Fallback>
        </mc:AlternateContent>
      </w:r>
      <w:r>
        <w:rPr>
          <w:b w:val="0"/>
        </w:rPr>
        <w:t>In an environment where Australia’s international</w:t>
      </w:r>
      <w:r>
        <w:rPr>
          <w:b w:val="0"/>
          <w:spacing w:val="80"/>
        </w:rPr>
        <w:t> </w:t>
      </w:r>
      <w:r>
        <w:rPr>
          <w:b w:val="0"/>
        </w:rPr>
        <w:t>borders were closed most of the year, the Global</w:t>
      </w:r>
      <w:r>
        <w:rPr>
          <w:b w:val="0"/>
          <w:spacing w:val="40"/>
        </w:rPr>
        <w:t> </w:t>
      </w:r>
      <w:r>
        <w:rPr>
          <w:b w:val="0"/>
        </w:rPr>
        <w:t>Partnerships portfolio maintained the vibrancy of UWA’s</w:t>
      </w:r>
      <w:r>
        <w:rPr>
          <w:b w:val="0"/>
          <w:spacing w:val="40"/>
        </w:rPr>
        <w:t> </w:t>
      </w:r>
      <w:r>
        <w:rPr>
          <w:b w:val="0"/>
        </w:rPr>
        <w:t>local, national and international connections and partner</w:t>
      </w:r>
      <w:r>
        <w:rPr>
          <w:b w:val="0"/>
          <w:spacing w:val="40"/>
        </w:rPr>
        <w:t> </w:t>
      </w:r>
      <w:r>
        <w:rPr>
          <w:b w:val="0"/>
        </w:rPr>
        <w:t>relationships through virtual means.</w:t>
      </w:r>
    </w:p>
    <w:p>
      <w:pPr>
        <w:pStyle w:val="BodyText"/>
        <w:spacing w:before="54"/>
        <w:rPr>
          <w:b w:val="0"/>
        </w:rPr>
      </w:pPr>
    </w:p>
    <w:p>
      <w:pPr>
        <w:pStyle w:val="BodyText"/>
        <w:spacing w:line="295" w:lineRule="auto"/>
        <w:ind w:left="1133"/>
        <w:rPr>
          <w:b w:val="0"/>
        </w:rPr>
      </w:pPr>
      <w:r>
        <w:rPr>
          <w:b w:val="0"/>
        </w:rPr>
        <w:t>The University was able to continue to support its largest</w:t>
      </w:r>
      <w:r>
        <w:rPr>
          <w:b w:val="0"/>
          <w:spacing w:val="40"/>
        </w:rPr>
        <w:t> </w:t>
      </w:r>
      <w:r>
        <w:rPr>
          <w:b w:val="0"/>
        </w:rPr>
        <w:t>offshore student cohort in China through the</w:t>
      </w:r>
      <w:r>
        <w:rPr>
          <w:b w:val="0"/>
          <w:spacing w:val="40"/>
        </w:rPr>
        <w:t> </w:t>
      </w:r>
      <w:r>
        <w:rPr>
          <w:b w:val="0"/>
        </w:rPr>
        <w:t>establishment of in-country Learning Centres to</w:t>
      </w:r>
      <w:r>
        <w:rPr>
          <w:b w:val="0"/>
          <w:spacing w:val="40"/>
        </w:rPr>
        <w:t> </w:t>
      </w:r>
      <w:r>
        <w:rPr>
          <w:b w:val="0"/>
        </w:rPr>
        <w:t>supplement online teaching and learning. The Summer</w:t>
      </w:r>
      <w:r>
        <w:rPr>
          <w:b w:val="0"/>
          <w:spacing w:val="40"/>
        </w:rPr>
        <w:t> </w:t>
      </w:r>
      <w:r>
        <w:rPr>
          <w:b w:val="0"/>
        </w:rPr>
        <w:t>Down Under Research Internship taster program was</w:t>
      </w:r>
      <w:r>
        <w:rPr>
          <w:b w:val="0"/>
          <w:spacing w:val="40"/>
        </w:rPr>
        <w:t> </w:t>
      </w:r>
      <w:r>
        <w:rPr>
          <w:b w:val="0"/>
        </w:rPr>
        <w:t>successfully provided in an online format, while the Centre</w:t>
      </w:r>
      <w:r>
        <w:rPr>
          <w:b w:val="0"/>
          <w:spacing w:val="40"/>
        </w:rPr>
        <w:t> </w:t>
      </w:r>
      <w:r>
        <w:rPr>
          <w:b w:val="0"/>
        </w:rPr>
        <w:t>for English Language Teaching facilitated online English</w:t>
      </w:r>
      <w:r>
        <w:rPr>
          <w:b w:val="0"/>
          <w:spacing w:val="40"/>
        </w:rPr>
        <w:t> </w:t>
      </w:r>
      <w:r>
        <w:rPr>
          <w:b w:val="0"/>
        </w:rPr>
        <w:t>language teaching and Study Tours for students from a</w:t>
      </w:r>
      <w:r>
        <w:rPr>
          <w:b w:val="0"/>
          <w:spacing w:val="40"/>
        </w:rPr>
        <w:t> </w:t>
      </w:r>
      <w:r>
        <w:rPr>
          <w:b w:val="0"/>
        </w:rPr>
        <w:t>number of countries. The pre-COVID-19 introduction of</w:t>
      </w:r>
      <w:r>
        <w:rPr>
          <w:b w:val="0"/>
          <w:spacing w:val="40"/>
        </w:rPr>
        <w:t> </w:t>
      </w:r>
      <w:r>
        <w:rPr>
          <w:b w:val="0"/>
        </w:rPr>
        <w:t>virtual student exchange or collaborative online</w:t>
      </w:r>
      <w:r>
        <w:rPr>
          <w:b w:val="0"/>
          <w:spacing w:val="40"/>
        </w:rPr>
        <w:t> </w:t>
      </w:r>
      <w:r>
        <w:rPr>
          <w:b w:val="0"/>
        </w:rPr>
        <w:t>international learning initiatives was given greater impetus</w:t>
      </w:r>
      <w:r>
        <w:rPr>
          <w:b w:val="0"/>
          <w:spacing w:val="40"/>
        </w:rPr>
        <w:t> </w:t>
      </w:r>
      <w:r>
        <w:rPr>
          <w:b w:val="0"/>
        </w:rPr>
        <w:t>and will continue to be rolled out throughout 2021.</w:t>
      </w:r>
    </w:p>
    <w:p>
      <w:pPr>
        <w:pStyle w:val="BodyText"/>
        <w:spacing w:line="295" w:lineRule="auto" w:before="11"/>
        <w:ind w:left="1133"/>
        <w:rPr>
          <w:b w:val="0"/>
        </w:rPr>
      </w:pPr>
      <w:r>
        <w:rPr>
          <w:b w:val="0"/>
        </w:rPr>
        <w:t>UWA also signed an innovative university-wide</w:t>
      </w:r>
      <w:r>
        <w:rPr>
          <w:b w:val="0"/>
          <w:spacing w:val="40"/>
        </w:rPr>
        <w:t> </w:t>
      </w:r>
      <w:r>
        <w:rPr>
          <w:b w:val="0"/>
        </w:rPr>
        <w:t>collaborative PhD</w:t>
      </w:r>
      <w:r>
        <w:rPr>
          <w:b w:val="0"/>
          <w:spacing w:val="-1"/>
        </w:rPr>
        <w:t> </w:t>
      </w:r>
      <w:r>
        <w:rPr>
          <w:b w:val="0"/>
        </w:rPr>
        <w:t>agreement with Soochow University.</w:t>
      </w:r>
    </w:p>
    <w:p>
      <w:pPr>
        <w:pStyle w:val="BodyText"/>
        <w:spacing w:before="51"/>
        <w:rPr>
          <w:b w:val="0"/>
        </w:rPr>
      </w:pPr>
    </w:p>
    <w:p>
      <w:pPr>
        <w:pStyle w:val="BodyText"/>
        <w:spacing w:line="295" w:lineRule="auto"/>
        <w:ind w:left="1133"/>
        <w:jc w:val="both"/>
        <w:rPr>
          <w:b w:val="0"/>
        </w:rPr>
      </w:pPr>
      <w:r>
        <w:rPr>
          <w:b w:val="0"/>
        </w:rPr>
        <w:t>The University participated in the Australia India Institute’s</w:t>
      </w:r>
      <w:r>
        <w:rPr>
          <w:b w:val="0"/>
          <w:spacing w:val="40"/>
        </w:rPr>
        <w:t> </w:t>
      </w:r>
      <w:r>
        <w:rPr>
          <w:b w:val="0"/>
        </w:rPr>
        <w:t>national</w:t>
      </w:r>
      <w:r>
        <w:rPr>
          <w:b w:val="0"/>
          <w:spacing w:val="-2"/>
        </w:rPr>
        <w:t> </w:t>
      </w:r>
      <w:r>
        <w:rPr>
          <w:b w:val="0"/>
        </w:rPr>
        <w:t>India</w:t>
      </w:r>
      <w:r>
        <w:rPr>
          <w:b w:val="0"/>
          <w:spacing w:val="-2"/>
        </w:rPr>
        <w:t> </w:t>
      </w:r>
      <w:r>
        <w:rPr>
          <w:b w:val="0"/>
        </w:rPr>
        <w:t>Week</w:t>
      </w:r>
      <w:r>
        <w:rPr>
          <w:b w:val="0"/>
          <w:spacing w:val="-2"/>
        </w:rPr>
        <w:t> </w:t>
      </w:r>
      <w:r>
        <w:rPr>
          <w:b w:val="0"/>
        </w:rPr>
        <w:t>celebrations</w:t>
      </w:r>
      <w:r>
        <w:rPr>
          <w:b w:val="0"/>
          <w:spacing w:val="-2"/>
        </w:rPr>
        <w:t> </w:t>
      </w:r>
      <w:r>
        <w:rPr>
          <w:b w:val="0"/>
        </w:rPr>
        <w:t>in</w:t>
      </w:r>
      <w:r>
        <w:rPr>
          <w:b w:val="0"/>
          <w:spacing w:val="-2"/>
        </w:rPr>
        <w:t> </w:t>
      </w:r>
      <w:r>
        <w:rPr>
          <w:b w:val="0"/>
        </w:rPr>
        <w:t>October.</w:t>
      </w:r>
      <w:r>
        <w:rPr>
          <w:b w:val="0"/>
          <w:spacing w:val="-2"/>
        </w:rPr>
        <w:t> </w:t>
      </w:r>
      <w:r>
        <w:rPr>
          <w:b w:val="0"/>
        </w:rPr>
        <w:t>This</w:t>
      </w:r>
      <w:r>
        <w:rPr>
          <w:b w:val="0"/>
          <w:spacing w:val="-2"/>
        </w:rPr>
        <w:t> </w:t>
      </w:r>
      <w:r>
        <w:rPr>
          <w:b w:val="0"/>
        </w:rPr>
        <w:t>included</w:t>
      </w:r>
      <w:r>
        <w:rPr>
          <w:b w:val="0"/>
          <w:spacing w:val="40"/>
        </w:rPr>
        <w:t> </w:t>
      </w:r>
      <w:r>
        <w:rPr>
          <w:b w:val="0"/>
        </w:rPr>
        <w:t>co-hosting an on campus formal event with the Consulate</w:t>
      </w:r>
      <w:r>
        <w:rPr>
          <w:b w:val="0"/>
          <w:spacing w:val="40"/>
        </w:rPr>
        <w:t> </w:t>
      </w:r>
      <w:r>
        <w:rPr>
          <w:b w:val="0"/>
        </w:rPr>
        <w:t>of India, Perth, to mark the end of a year of celebrations</w:t>
      </w:r>
    </w:p>
    <w:p>
      <w:pPr>
        <w:pStyle w:val="BodyText"/>
        <w:spacing w:line="295" w:lineRule="auto" w:before="4"/>
        <w:ind w:left="1133" w:right="440"/>
        <w:rPr>
          <w:b w:val="0"/>
        </w:rPr>
      </w:pPr>
      <w:r>
        <w:rPr>
          <w:b w:val="0"/>
        </w:rPr>
        <w:t>of the 150th birth anniversary of Mahatma Gandhi.</w:t>
      </w:r>
      <w:r>
        <w:rPr>
          <w:b w:val="0"/>
          <w:spacing w:val="40"/>
        </w:rPr>
        <w:t> </w:t>
      </w:r>
      <w:r>
        <w:rPr>
          <w:b w:val="0"/>
        </w:rPr>
        <w:t>The University also joined in celebrations to mark the</w:t>
      </w:r>
      <w:r>
        <w:rPr>
          <w:b w:val="0"/>
          <w:spacing w:val="40"/>
        </w:rPr>
        <w:t> </w:t>
      </w:r>
      <w:r>
        <w:rPr>
          <w:b w:val="0"/>
        </w:rPr>
        <w:t>ten-year anniversary of the Matariki Network of</w:t>
      </w:r>
    </w:p>
    <w:p>
      <w:pPr>
        <w:pStyle w:val="BodyText"/>
        <w:spacing w:line="295" w:lineRule="auto" w:before="2"/>
        <w:ind w:left="1133"/>
        <w:rPr>
          <w:b w:val="0"/>
        </w:rPr>
      </w:pPr>
      <w:r>
        <w:rPr>
          <w:b w:val="0"/>
        </w:rPr>
        <w:t>Universities,</w:t>
      </w:r>
      <w:r>
        <w:rPr>
          <w:b w:val="0"/>
          <w:spacing w:val="-1"/>
        </w:rPr>
        <w:t> </w:t>
      </w:r>
      <w:r>
        <w:rPr>
          <w:b w:val="0"/>
        </w:rPr>
        <w:t>an</w:t>
      </w:r>
      <w:r>
        <w:rPr>
          <w:b w:val="0"/>
          <w:spacing w:val="-1"/>
        </w:rPr>
        <w:t> </w:t>
      </w:r>
      <w:r>
        <w:rPr>
          <w:b w:val="0"/>
        </w:rPr>
        <w:t>international</w:t>
      </w:r>
      <w:r>
        <w:rPr>
          <w:b w:val="0"/>
          <w:spacing w:val="-1"/>
        </w:rPr>
        <w:t> </w:t>
      </w:r>
      <w:r>
        <w:rPr>
          <w:b w:val="0"/>
        </w:rPr>
        <w:t>group</w:t>
      </w:r>
      <w:r>
        <w:rPr>
          <w:b w:val="0"/>
          <w:spacing w:val="-1"/>
        </w:rPr>
        <w:t> </w:t>
      </w:r>
      <w:r>
        <w:rPr>
          <w:b w:val="0"/>
        </w:rPr>
        <w:t>of</w:t>
      </w:r>
      <w:r>
        <w:rPr>
          <w:b w:val="0"/>
          <w:spacing w:val="-1"/>
        </w:rPr>
        <w:t> </w:t>
      </w:r>
      <w:r>
        <w:rPr>
          <w:b w:val="0"/>
        </w:rPr>
        <w:t>seven</w:t>
      </w:r>
      <w:r>
        <w:rPr>
          <w:b w:val="0"/>
          <w:spacing w:val="-1"/>
        </w:rPr>
        <w:t> </w:t>
      </w:r>
      <w:r>
        <w:rPr>
          <w:b w:val="0"/>
        </w:rPr>
        <w:t>research-led</w:t>
      </w:r>
      <w:r>
        <w:rPr>
          <w:b w:val="0"/>
          <w:spacing w:val="40"/>
        </w:rPr>
        <w:t> </w:t>
      </w:r>
      <w:r>
        <w:rPr>
          <w:b w:val="0"/>
        </w:rPr>
        <w:t>universities of which UWA is a founding member.</w:t>
      </w:r>
    </w:p>
    <w:p>
      <w:pPr>
        <w:pStyle w:val="BodyText"/>
        <w:spacing w:line="295" w:lineRule="auto" w:before="136"/>
        <w:ind w:left="356" w:right="369"/>
        <w:rPr>
          <w:b w:val="0"/>
        </w:rPr>
      </w:pPr>
      <w:r>
        <w:rPr/>
        <w:br w:type="column"/>
      </w:r>
      <w:r>
        <w:rPr>
          <w:b w:val="0"/>
        </w:rPr>
        <w:t>The Innovation and Industry Engagement team delivered</w:t>
      </w:r>
      <w:r>
        <w:rPr>
          <w:b w:val="0"/>
          <w:spacing w:val="40"/>
        </w:rPr>
        <w:t> </w:t>
      </w:r>
      <w:r>
        <w:rPr>
          <w:b w:val="0"/>
        </w:rPr>
        <w:t>partnerships with industry to a value of $15 million and</w:t>
      </w:r>
      <w:r>
        <w:rPr>
          <w:b w:val="0"/>
          <w:spacing w:val="40"/>
        </w:rPr>
        <w:t> </w:t>
      </w:r>
      <w:r>
        <w:rPr>
          <w:b w:val="0"/>
        </w:rPr>
        <w:t>developed an ongoing pipeline of over $22 million in a</w:t>
      </w:r>
      <w:r>
        <w:rPr>
          <w:b w:val="0"/>
          <w:spacing w:val="40"/>
        </w:rPr>
        <w:t> </w:t>
      </w:r>
      <w:r>
        <w:rPr>
          <w:b w:val="0"/>
        </w:rPr>
        <w:t>variety of industry sectors. A number of inaugural strategic</w:t>
      </w:r>
      <w:r>
        <w:rPr>
          <w:b w:val="0"/>
          <w:spacing w:val="40"/>
        </w:rPr>
        <w:t> </w:t>
      </w:r>
      <w:r>
        <w:rPr>
          <w:b w:val="0"/>
        </w:rPr>
        <w:t>sessions were held with industry, helping to deepen</w:t>
      </w:r>
      <w:r>
        <w:rPr>
          <w:b w:val="0"/>
          <w:spacing w:val="40"/>
        </w:rPr>
        <w:t> </w:t>
      </w:r>
      <w:r>
        <w:rPr>
          <w:b w:val="0"/>
        </w:rPr>
        <w:t>partnerships and optimise the impact and translation from</w:t>
      </w:r>
      <w:r>
        <w:rPr>
          <w:b w:val="0"/>
          <w:spacing w:val="40"/>
        </w:rPr>
        <w:t> </w:t>
      </w:r>
      <w:r>
        <w:rPr>
          <w:b w:val="0"/>
        </w:rPr>
        <w:t>our research expertise.</w:t>
      </w:r>
    </w:p>
    <w:p>
      <w:pPr>
        <w:pStyle w:val="BodyText"/>
        <w:spacing w:before="55"/>
        <w:rPr>
          <w:b w:val="0"/>
        </w:rPr>
      </w:pPr>
    </w:p>
    <w:p>
      <w:pPr>
        <w:pStyle w:val="BodyText"/>
        <w:spacing w:line="295" w:lineRule="auto"/>
        <w:ind w:left="356" w:right="444"/>
        <w:rPr>
          <w:b w:val="0"/>
        </w:rPr>
      </w:pPr>
      <w:r>
        <w:rPr>
          <w:b w:val="0"/>
        </w:rPr>
        <w:t>In a challenging year, the philanthropic support from our</w:t>
      </w:r>
      <w:r>
        <w:rPr>
          <w:b w:val="0"/>
          <w:spacing w:val="40"/>
        </w:rPr>
        <w:t> </w:t>
      </w:r>
      <w:r>
        <w:rPr>
          <w:b w:val="0"/>
        </w:rPr>
        <w:t>community including Trusts and Foundations and</w:t>
      </w:r>
      <w:r>
        <w:rPr>
          <w:b w:val="0"/>
          <w:spacing w:val="40"/>
        </w:rPr>
        <w:t> </w:t>
      </w:r>
      <w:r>
        <w:rPr>
          <w:b w:val="0"/>
        </w:rPr>
        <w:t>bequests saw solid results in fundraising with over $18</w:t>
      </w:r>
      <w:r>
        <w:rPr>
          <w:b w:val="0"/>
          <w:spacing w:val="40"/>
        </w:rPr>
        <w:t> </w:t>
      </w:r>
      <w:r>
        <w:rPr>
          <w:b w:val="0"/>
        </w:rPr>
        <w:t>million raised by the end of October. Development and</w:t>
      </w:r>
      <w:r>
        <w:rPr>
          <w:b w:val="0"/>
          <w:spacing w:val="40"/>
        </w:rPr>
        <w:t> </w:t>
      </w:r>
      <w:r>
        <w:rPr>
          <w:b w:val="0"/>
        </w:rPr>
        <w:t>Alumni Relations in collaboration with Student Life, the</w:t>
      </w:r>
      <w:r>
        <w:rPr>
          <w:b w:val="0"/>
          <w:spacing w:val="40"/>
        </w:rPr>
        <w:t> </w:t>
      </w:r>
      <w:r>
        <w:rPr>
          <w:b w:val="0"/>
        </w:rPr>
        <w:t>Student Guild and UWA Convocation held the SOS</w:t>
      </w:r>
      <w:r>
        <w:rPr>
          <w:b w:val="0"/>
          <w:spacing w:val="40"/>
        </w:rPr>
        <w:t> </w:t>
      </w:r>
      <w:r>
        <w:rPr>
          <w:b w:val="0"/>
        </w:rPr>
        <w:t>COVID-19 Emergency Appeal to support students</w:t>
      </w:r>
      <w:r>
        <w:rPr>
          <w:b w:val="0"/>
          <w:spacing w:val="40"/>
        </w:rPr>
        <w:t> </w:t>
      </w:r>
      <w:r>
        <w:rPr>
          <w:b w:val="0"/>
        </w:rPr>
        <w:t>experiencing hardship</w:t>
      </w:r>
      <w:r>
        <w:rPr>
          <w:b w:val="0"/>
          <w:spacing w:val="2"/>
        </w:rPr>
        <w:t> </w:t>
      </w:r>
      <w:r>
        <w:rPr>
          <w:b w:val="0"/>
        </w:rPr>
        <w:t>as</w:t>
      </w:r>
      <w:r>
        <w:rPr>
          <w:b w:val="0"/>
          <w:spacing w:val="2"/>
        </w:rPr>
        <w:t> </w:t>
      </w:r>
      <w:r>
        <w:rPr>
          <w:b w:val="0"/>
        </w:rPr>
        <w:t>a</w:t>
      </w:r>
      <w:r>
        <w:rPr>
          <w:b w:val="0"/>
          <w:spacing w:val="3"/>
        </w:rPr>
        <w:t> </w:t>
      </w:r>
      <w:r>
        <w:rPr>
          <w:b w:val="0"/>
        </w:rPr>
        <w:t>result</w:t>
      </w:r>
      <w:r>
        <w:rPr>
          <w:b w:val="0"/>
          <w:spacing w:val="2"/>
        </w:rPr>
        <w:t> </w:t>
      </w:r>
      <w:r>
        <w:rPr>
          <w:b w:val="0"/>
        </w:rPr>
        <w:t>of</w:t>
      </w:r>
      <w:r>
        <w:rPr>
          <w:b w:val="0"/>
          <w:spacing w:val="2"/>
        </w:rPr>
        <w:t> </w:t>
      </w:r>
      <w:r>
        <w:rPr>
          <w:b w:val="0"/>
        </w:rPr>
        <w:t>the</w:t>
      </w:r>
      <w:r>
        <w:rPr>
          <w:b w:val="0"/>
          <w:spacing w:val="2"/>
        </w:rPr>
        <w:t> </w:t>
      </w:r>
      <w:r>
        <w:rPr>
          <w:b w:val="0"/>
        </w:rPr>
        <w:t>pandemic,</w:t>
      </w:r>
      <w:r>
        <w:rPr>
          <w:b w:val="0"/>
          <w:spacing w:val="2"/>
        </w:rPr>
        <w:t> </w:t>
      </w:r>
      <w:r>
        <w:rPr>
          <w:b w:val="0"/>
          <w:spacing w:val="-2"/>
        </w:rPr>
        <w:t>raising</w:t>
      </w:r>
    </w:p>
    <w:p>
      <w:pPr>
        <w:pStyle w:val="BodyText"/>
        <w:spacing w:line="295" w:lineRule="auto" w:before="7"/>
        <w:ind w:left="356" w:right="426"/>
        <w:rPr>
          <w:b w:val="0"/>
        </w:rPr>
      </w:pPr>
      <w:r>
        <w:rPr>
          <w:b w:val="0"/>
        </w:rPr>
        <w:t>$827,850</w:t>
      </w:r>
      <w:r>
        <w:rPr>
          <w:b w:val="0"/>
          <w:spacing w:val="-2"/>
        </w:rPr>
        <w:t> </w:t>
      </w:r>
      <w:r>
        <w:rPr>
          <w:b w:val="0"/>
        </w:rPr>
        <w:t>for</w:t>
      </w:r>
      <w:r>
        <w:rPr>
          <w:b w:val="0"/>
          <w:spacing w:val="-2"/>
        </w:rPr>
        <w:t> </w:t>
      </w:r>
      <w:r>
        <w:rPr>
          <w:b w:val="0"/>
        </w:rPr>
        <w:t>student</w:t>
      </w:r>
      <w:r>
        <w:rPr>
          <w:b w:val="0"/>
          <w:spacing w:val="-2"/>
        </w:rPr>
        <w:t> </w:t>
      </w:r>
      <w:r>
        <w:rPr>
          <w:b w:val="0"/>
        </w:rPr>
        <w:t>grants</w:t>
      </w:r>
      <w:r>
        <w:rPr>
          <w:b w:val="0"/>
          <w:spacing w:val="-2"/>
        </w:rPr>
        <w:t> </w:t>
      </w:r>
      <w:r>
        <w:rPr>
          <w:b w:val="0"/>
        </w:rPr>
        <w:t>and</w:t>
      </w:r>
      <w:r>
        <w:rPr>
          <w:b w:val="0"/>
          <w:spacing w:val="-2"/>
        </w:rPr>
        <w:t> </w:t>
      </w:r>
      <w:r>
        <w:rPr>
          <w:b w:val="0"/>
        </w:rPr>
        <w:t>welfare</w:t>
      </w:r>
      <w:r>
        <w:rPr>
          <w:b w:val="0"/>
          <w:spacing w:val="-2"/>
        </w:rPr>
        <w:t> </w:t>
      </w:r>
      <w:r>
        <w:rPr>
          <w:b w:val="0"/>
        </w:rPr>
        <w:t>packs.</w:t>
      </w:r>
      <w:r>
        <w:rPr>
          <w:b w:val="0"/>
          <w:spacing w:val="-2"/>
        </w:rPr>
        <w:t> </w:t>
      </w:r>
      <w:r>
        <w:rPr>
          <w:b w:val="0"/>
        </w:rPr>
        <w:t>Additional</w:t>
      </w:r>
      <w:r>
        <w:rPr>
          <w:b w:val="0"/>
          <w:spacing w:val="40"/>
        </w:rPr>
        <w:t> </w:t>
      </w:r>
      <w:r>
        <w:rPr>
          <w:b w:val="0"/>
        </w:rPr>
        <w:t>support provided by our alumni in the form of legal and</w:t>
      </w:r>
      <w:r>
        <w:rPr>
          <w:b w:val="0"/>
          <w:spacing w:val="40"/>
        </w:rPr>
        <w:t> </w:t>
      </w:r>
      <w:r>
        <w:rPr>
          <w:b w:val="0"/>
        </w:rPr>
        <w:t>financial advice was gratefully received by our students.</w:t>
      </w:r>
      <w:r>
        <w:rPr>
          <w:b w:val="0"/>
          <w:spacing w:val="40"/>
        </w:rPr>
        <w:t> </w:t>
      </w:r>
      <w:r>
        <w:rPr>
          <w:b w:val="0"/>
        </w:rPr>
        <w:t>The generosity of all our supporters has inspired the most</w:t>
      </w:r>
      <w:r>
        <w:rPr>
          <w:b w:val="0"/>
          <w:spacing w:val="40"/>
        </w:rPr>
        <w:t> </w:t>
      </w:r>
      <w:r>
        <w:rPr>
          <w:b w:val="0"/>
        </w:rPr>
        <w:t>heartfelt student messages and letters of thanks to pass</w:t>
      </w:r>
      <w:r>
        <w:rPr>
          <w:b w:val="0"/>
          <w:spacing w:val="40"/>
        </w:rPr>
        <w:t> </w:t>
      </w:r>
      <w:r>
        <w:rPr>
          <w:b w:val="0"/>
        </w:rPr>
        <w:t>on to the community.</w:t>
      </w:r>
    </w:p>
    <w:p>
      <w:pPr>
        <w:pStyle w:val="BodyText"/>
        <w:spacing w:before="55"/>
        <w:rPr>
          <w:b w:val="0"/>
        </w:rPr>
      </w:pPr>
    </w:p>
    <w:p>
      <w:pPr>
        <w:pStyle w:val="BodyText"/>
        <w:spacing w:line="295" w:lineRule="auto"/>
        <w:ind w:left="356" w:right="486"/>
        <w:rPr>
          <w:b w:val="0"/>
        </w:rPr>
      </w:pPr>
      <w:r>
        <w:rPr>
          <w:b w:val="0"/>
        </w:rPr>
        <w:t>Our Alumni Relations program continued to meet the</w:t>
      </w:r>
      <w:r>
        <w:rPr>
          <w:b w:val="0"/>
          <w:spacing w:val="40"/>
        </w:rPr>
        <w:t> </w:t>
      </w:r>
      <w:r>
        <w:rPr>
          <w:b w:val="0"/>
        </w:rPr>
        <w:t>demand from students and recent graduates for alumni</w:t>
      </w:r>
      <w:r>
        <w:rPr>
          <w:b w:val="0"/>
          <w:spacing w:val="40"/>
        </w:rPr>
        <w:t> </w:t>
      </w:r>
      <w:r>
        <w:rPr>
          <w:b w:val="0"/>
        </w:rPr>
        <w:t>career mentoring and advice programs delivering 22</w:t>
      </w:r>
      <w:r>
        <w:rPr>
          <w:b w:val="0"/>
          <w:spacing w:val="40"/>
        </w:rPr>
        <w:t> </w:t>
      </w:r>
      <w:r>
        <w:rPr>
          <w:b w:val="0"/>
        </w:rPr>
        <w:t>virtual career webinars 2020. The Global Ambassador</w:t>
      </w:r>
      <w:r>
        <w:rPr>
          <w:b w:val="0"/>
          <w:spacing w:val="40"/>
        </w:rPr>
        <w:t> </w:t>
      </w:r>
      <w:r>
        <w:rPr>
          <w:b w:val="0"/>
        </w:rPr>
        <w:t>program across an initial five national and international</w:t>
      </w:r>
      <w:r>
        <w:rPr>
          <w:b w:val="0"/>
          <w:spacing w:val="40"/>
        </w:rPr>
        <w:t> </w:t>
      </w:r>
      <w:r>
        <w:rPr>
          <w:b w:val="0"/>
        </w:rPr>
        <w:t>Alumni Networks was launched. This is designed to</w:t>
      </w:r>
      <w:r>
        <w:rPr>
          <w:b w:val="0"/>
          <w:spacing w:val="40"/>
        </w:rPr>
        <w:t> </w:t>
      </w:r>
      <w:r>
        <w:rPr>
          <w:b w:val="0"/>
        </w:rPr>
        <w:t>support our recent international graduates. In addition,</w:t>
      </w:r>
    </w:p>
    <w:p>
      <w:pPr>
        <w:pStyle w:val="BodyText"/>
        <w:spacing w:line="295" w:lineRule="auto" w:before="6"/>
        <w:ind w:left="356"/>
        <w:rPr>
          <w:b w:val="0"/>
        </w:rPr>
      </w:pPr>
      <w:r>
        <w:rPr>
          <w:b w:val="0"/>
        </w:rPr>
        <w:t>a move to digital engagement enabled many more of our</w:t>
      </w:r>
      <w:r>
        <w:rPr>
          <w:b w:val="0"/>
          <w:spacing w:val="40"/>
        </w:rPr>
        <w:t> </w:t>
      </w:r>
      <w:r>
        <w:rPr>
          <w:b w:val="0"/>
        </w:rPr>
        <w:t>graduates to connect to our research efforts.</w:t>
      </w:r>
    </w:p>
    <w:p>
      <w:pPr>
        <w:spacing w:after="0" w:line="295" w:lineRule="auto"/>
        <w:sectPr>
          <w:type w:val="continuous"/>
          <w:pgSz w:w="11910" w:h="16840"/>
          <w:pgMar w:header="468" w:footer="0" w:top="980" w:bottom="280" w:left="0" w:right="780"/>
          <w:cols w:num="2" w:equalWidth="0">
            <w:col w:w="5755" w:space="40"/>
            <w:col w:w="5335"/>
          </w:cols>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142"/>
        <w:rPr>
          <w:b w:val="0"/>
          <w:sz w:val="20"/>
        </w:rPr>
      </w:pPr>
    </w:p>
    <w:p>
      <w:pPr>
        <w:spacing w:after="0"/>
        <w:rPr>
          <w:sz w:val="20"/>
        </w:rPr>
        <w:sectPr>
          <w:pgSz w:w="11910" w:h="16840"/>
          <w:pgMar w:header="468" w:footer="0" w:top="720" w:bottom="280" w:left="0" w:right="780"/>
        </w:sectPr>
      </w:pPr>
    </w:p>
    <w:p>
      <w:pPr>
        <w:pStyle w:val="BodyText"/>
        <w:spacing w:line="295" w:lineRule="auto" w:before="124"/>
        <w:ind w:left="1133" w:right="64"/>
        <w:rPr>
          <w:b w:val="0"/>
        </w:rPr>
      </w:pPr>
      <w:r>
        <w:rPr/>
        <mc:AlternateContent>
          <mc:Choice Requires="wps">
            <w:drawing>
              <wp:anchor distT="0" distB="0" distL="0" distR="0" allowOverlap="1" layoutInCell="1" locked="0" behindDoc="0" simplePos="0" relativeHeight="15804928">
                <wp:simplePos x="0" y="0"/>
                <wp:positionH relativeFrom="page">
                  <wp:posOffset>0</wp:posOffset>
                </wp:positionH>
                <wp:positionV relativeFrom="page">
                  <wp:posOffset>0</wp:posOffset>
                </wp:positionV>
                <wp:extent cx="6912609" cy="5165090"/>
                <wp:effectExtent l="0" t="0" r="0" b="0"/>
                <wp:wrapNone/>
                <wp:docPr id="343" name="Group 343"/>
                <wp:cNvGraphicFramePr>
                  <a:graphicFrameLocks/>
                </wp:cNvGraphicFramePr>
                <a:graphic>
                  <a:graphicData uri="http://schemas.microsoft.com/office/word/2010/wordprocessingGroup">
                    <wpg:wgp>
                      <wpg:cNvPr id="343" name="Group 343"/>
                      <wpg:cNvGrpSpPr/>
                      <wpg:grpSpPr>
                        <a:xfrm>
                          <a:off x="0" y="0"/>
                          <a:ext cx="6912609" cy="5165090"/>
                          <a:chExt cx="6912609" cy="5165090"/>
                        </a:xfrm>
                      </wpg:grpSpPr>
                      <pic:pic>
                        <pic:nvPicPr>
                          <pic:cNvPr id="344" name="Image 344"/>
                          <pic:cNvPicPr/>
                        </pic:nvPicPr>
                        <pic:blipFill>
                          <a:blip r:embed="rId53" cstate="print"/>
                          <a:stretch>
                            <a:fillRect/>
                          </a:stretch>
                        </pic:blipFill>
                        <pic:spPr>
                          <a:xfrm>
                            <a:off x="0" y="0"/>
                            <a:ext cx="6839991" cy="4897196"/>
                          </a:xfrm>
                          <a:prstGeom prst="rect">
                            <a:avLst/>
                          </a:prstGeom>
                        </pic:spPr>
                      </pic:pic>
                      <wps:wsp>
                        <wps:cNvPr id="345" name="Graphic 345"/>
                        <wps:cNvSpPr/>
                        <wps:spPr>
                          <a:xfrm>
                            <a:off x="3905999" y="4692231"/>
                            <a:ext cx="3006090" cy="473075"/>
                          </a:xfrm>
                          <a:custGeom>
                            <a:avLst/>
                            <a:gdLst/>
                            <a:ahLst/>
                            <a:cxnLst/>
                            <a:rect l="l" t="t" r="r" b="b"/>
                            <a:pathLst>
                              <a:path w="3006090" h="473075">
                                <a:moveTo>
                                  <a:pt x="3006001" y="0"/>
                                </a:moveTo>
                                <a:lnTo>
                                  <a:pt x="0" y="0"/>
                                </a:lnTo>
                                <a:lnTo>
                                  <a:pt x="0" y="472770"/>
                                </a:lnTo>
                                <a:lnTo>
                                  <a:pt x="3006001" y="472770"/>
                                </a:lnTo>
                                <a:lnTo>
                                  <a:pt x="3006001" y="0"/>
                                </a:lnTo>
                                <a:close/>
                              </a:path>
                            </a:pathLst>
                          </a:custGeom>
                          <a:solidFill>
                            <a:srgbClr val="FFFFFF"/>
                          </a:solidFill>
                        </wps:spPr>
                        <wps:bodyPr wrap="square" lIns="0" tIns="0" rIns="0" bIns="0" rtlCol="0">
                          <a:prstTxWarp prst="textNoShape">
                            <a:avLst/>
                          </a:prstTxWarp>
                          <a:noAutofit/>
                        </wps:bodyPr>
                      </wps:wsp>
                      <pic:pic>
                        <pic:nvPicPr>
                          <pic:cNvPr id="346" name="Image 346"/>
                          <pic:cNvPicPr/>
                        </pic:nvPicPr>
                        <pic:blipFill>
                          <a:blip r:embed="rId54" cstate="print"/>
                          <a:stretch>
                            <a:fillRect/>
                          </a:stretch>
                        </pic:blipFill>
                        <pic:spPr>
                          <a:xfrm>
                            <a:off x="0" y="4897196"/>
                            <a:ext cx="3905999" cy="178396"/>
                          </a:xfrm>
                          <a:prstGeom prst="rect">
                            <a:avLst/>
                          </a:prstGeom>
                        </pic:spPr>
                      </pic:pic>
                    </wpg:wgp>
                  </a:graphicData>
                </a:graphic>
              </wp:anchor>
            </w:drawing>
          </mc:Choice>
          <mc:Fallback>
            <w:pict>
              <v:group style="position:absolute;margin-left:0pt;margin-top:.000015pt;width:544.3pt;height:406.7pt;mso-position-horizontal-relative:page;mso-position-vertical-relative:page;z-index:15804928" id="docshapegroup202" coordorigin="0,0" coordsize="10886,8134">
                <v:shape style="position:absolute;left:0;top:0;width:10772;height:7713" type="#_x0000_t75" id="docshape203" stroked="false">
                  <v:imagedata r:id="rId53" o:title=""/>
                </v:shape>
                <v:rect style="position:absolute;left:6151;top:7389;width:4734;height:745" id="docshape204" filled="true" fillcolor="#ffffff" stroked="false">
                  <v:fill type="solid"/>
                </v:rect>
                <v:shape style="position:absolute;left:0;top:7712;width:6152;height:281" type="#_x0000_t75" id="docshape205" stroked="false">
                  <v:imagedata r:id="rId54" o:title=""/>
                </v:shape>
                <w10:wrap type="none"/>
              </v:group>
            </w:pict>
          </mc:Fallback>
        </mc:AlternateContent>
      </w:r>
      <w:r>
        <w:rPr/>
        <mc:AlternateContent>
          <mc:Choice Requires="wps">
            <w:drawing>
              <wp:anchor distT="0" distB="0" distL="0" distR="0" allowOverlap="1" layoutInCell="1" locked="0" behindDoc="0" simplePos="0" relativeHeight="15805440">
                <wp:simplePos x="0" y="0"/>
                <wp:positionH relativeFrom="page">
                  <wp:posOffset>7111289</wp:posOffset>
                </wp:positionH>
                <wp:positionV relativeFrom="page">
                  <wp:posOffset>8136825</wp:posOffset>
                </wp:positionV>
                <wp:extent cx="177800" cy="1848485"/>
                <wp:effectExtent l="0" t="0" r="0" b="0"/>
                <wp:wrapNone/>
                <wp:docPr id="347" name="Textbox 347"/>
                <wp:cNvGraphicFramePr>
                  <a:graphicFrameLocks/>
                </wp:cNvGraphicFramePr>
                <a:graphic>
                  <a:graphicData uri="http://schemas.microsoft.com/office/word/2010/wordprocessingShape">
                    <wps:wsp>
                      <wps:cNvPr id="347" name="Textbox 347"/>
                      <wps:cNvSpPr txBox="1"/>
                      <wps:spPr>
                        <a:xfrm>
                          <a:off x="0" y="0"/>
                          <a:ext cx="177800" cy="184848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640.694885pt;width:14pt;height:145.550pt;mso-position-horizontal-relative:page;mso-position-vertical-relative:page;z-index:15805440" type="#_x0000_t202" id="docshape206"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v:textbox>
                <w10:wrap type="none"/>
              </v:shape>
            </w:pict>
          </mc:Fallback>
        </mc:AlternateContent>
      </w:r>
      <w:r>
        <w:rPr>
          <w:b w:val="0"/>
        </w:rPr>
        <w:t>UWA</w:t>
      </w:r>
      <w:r>
        <w:rPr>
          <w:b w:val="0"/>
          <w:spacing w:val="-1"/>
        </w:rPr>
        <w:t> </w:t>
      </w:r>
      <w:r>
        <w:rPr>
          <w:b w:val="0"/>
        </w:rPr>
        <w:t>Convocation</w:t>
      </w:r>
      <w:r>
        <w:rPr>
          <w:b w:val="0"/>
          <w:spacing w:val="-1"/>
        </w:rPr>
        <w:t> </w:t>
      </w:r>
      <w:r>
        <w:rPr>
          <w:b w:val="0"/>
        </w:rPr>
        <w:t>adapted</w:t>
      </w:r>
      <w:r>
        <w:rPr>
          <w:b w:val="0"/>
          <w:spacing w:val="-1"/>
        </w:rPr>
        <w:t> </w:t>
      </w:r>
      <w:r>
        <w:rPr>
          <w:b w:val="0"/>
        </w:rPr>
        <w:t>to</w:t>
      </w:r>
      <w:r>
        <w:rPr>
          <w:b w:val="0"/>
          <w:spacing w:val="-1"/>
        </w:rPr>
        <w:t> </w:t>
      </w:r>
      <w:r>
        <w:rPr>
          <w:b w:val="0"/>
        </w:rPr>
        <w:t>the</w:t>
      </w:r>
      <w:r>
        <w:rPr>
          <w:b w:val="0"/>
          <w:spacing w:val="-1"/>
        </w:rPr>
        <w:t> </w:t>
      </w:r>
      <w:r>
        <w:rPr>
          <w:b w:val="0"/>
        </w:rPr>
        <w:t>virtual</w:t>
      </w:r>
      <w:r>
        <w:rPr>
          <w:b w:val="0"/>
          <w:spacing w:val="-1"/>
        </w:rPr>
        <w:t> </w:t>
      </w:r>
      <w:r>
        <w:rPr>
          <w:b w:val="0"/>
        </w:rPr>
        <w:t>world</w:t>
      </w:r>
      <w:r>
        <w:rPr>
          <w:b w:val="0"/>
          <w:spacing w:val="-1"/>
        </w:rPr>
        <w:t> </w:t>
      </w:r>
      <w:r>
        <w:rPr>
          <w:b w:val="0"/>
        </w:rPr>
        <w:t>to</w:t>
      </w:r>
      <w:r>
        <w:rPr>
          <w:b w:val="0"/>
          <w:spacing w:val="-1"/>
        </w:rPr>
        <w:t> </w:t>
      </w:r>
      <w:r>
        <w:rPr>
          <w:b w:val="0"/>
        </w:rPr>
        <w:t>hold</w:t>
      </w:r>
      <w:r>
        <w:rPr>
          <w:b w:val="0"/>
          <w:spacing w:val="-1"/>
        </w:rPr>
        <w:t> </w:t>
      </w:r>
      <w:r>
        <w:rPr>
          <w:b w:val="0"/>
        </w:rPr>
        <w:t>its</w:t>
      </w:r>
      <w:r>
        <w:rPr>
          <w:b w:val="0"/>
          <w:spacing w:val="40"/>
        </w:rPr>
        <w:t> </w:t>
      </w:r>
      <w:r>
        <w:rPr>
          <w:b w:val="0"/>
        </w:rPr>
        <w:t>2020 Ordinary Meetings which were well received. In</w:t>
      </w:r>
      <w:r>
        <w:rPr>
          <w:b w:val="0"/>
          <w:spacing w:val="40"/>
        </w:rPr>
        <w:t> </w:t>
      </w:r>
      <w:r>
        <w:rPr>
          <w:b w:val="0"/>
        </w:rPr>
        <w:t>February, Convocation Day included a beautiful</w:t>
      </w:r>
      <w:r>
        <w:rPr>
          <w:b w:val="0"/>
          <w:spacing w:val="40"/>
        </w:rPr>
        <w:t> </w:t>
      </w:r>
      <w:r>
        <w:rPr>
          <w:b w:val="0"/>
        </w:rPr>
        <w:t>celebration of the 75th anniversary of the first</w:t>
      </w:r>
      <w:r>
        <w:rPr>
          <w:b w:val="0"/>
          <w:spacing w:val="40"/>
        </w:rPr>
        <w:t> </w:t>
      </w:r>
      <w:r>
        <w:rPr>
          <w:b w:val="0"/>
        </w:rPr>
        <w:t>performance in the Somerville Auditorium with over 170</w:t>
      </w:r>
      <w:r>
        <w:rPr>
          <w:b w:val="0"/>
          <w:spacing w:val="40"/>
        </w:rPr>
        <w:t> </w:t>
      </w:r>
      <w:r>
        <w:rPr>
          <w:b w:val="0"/>
        </w:rPr>
        <w:t>attendees. The 2020 Convocation 50th Reunion Lunch</w:t>
      </w:r>
      <w:r>
        <w:rPr>
          <w:b w:val="0"/>
          <w:spacing w:val="40"/>
        </w:rPr>
        <w:t> </w:t>
      </w:r>
      <w:r>
        <w:rPr>
          <w:b w:val="0"/>
        </w:rPr>
        <w:t>had strong support celebrating our 1970 graduates.</w:t>
      </w:r>
    </w:p>
    <w:p>
      <w:pPr>
        <w:pStyle w:val="BodyText"/>
        <w:spacing w:before="55"/>
        <w:rPr>
          <w:b w:val="0"/>
        </w:rPr>
      </w:pPr>
    </w:p>
    <w:p>
      <w:pPr>
        <w:pStyle w:val="BodyText"/>
        <w:spacing w:line="295" w:lineRule="auto"/>
        <w:ind w:left="1133" w:right="14"/>
        <w:rPr>
          <w:b w:val="0"/>
        </w:rPr>
      </w:pPr>
      <w:r>
        <w:rPr>
          <w:b w:val="0"/>
        </w:rPr>
        <w:t>UWA Publishing received multiple nominations for literary</w:t>
      </w:r>
      <w:r>
        <w:rPr>
          <w:b w:val="0"/>
          <w:spacing w:val="40"/>
        </w:rPr>
        <w:t> </w:t>
      </w:r>
      <w:r>
        <w:rPr>
          <w:b w:val="0"/>
        </w:rPr>
        <w:t>awards in 2020, with </w:t>
      </w:r>
      <w:r>
        <w:rPr>
          <w:b w:val="0"/>
          <w:i/>
        </w:rPr>
        <w:t>Hearing Maud </w:t>
      </w:r>
      <w:r>
        <w:rPr>
          <w:b w:val="0"/>
        </w:rPr>
        <w:t>by Jessica White</w:t>
      </w:r>
      <w:r>
        <w:rPr>
          <w:b w:val="0"/>
          <w:spacing w:val="40"/>
        </w:rPr>
        <w:t> </w:t>
      </w:r>
      <w:r>
        <w:rPr>
          <w:b w:val="0"/>
        </w:rPr>
        <w:t>winning the 2020 Michael Crouch Award for a Debut</w:t>
      </w:r>
      <w:r>
        <w:rPr>
          <w:b w:val="0"/>
          <w:spacing w:val="40"/>
        </w:rPr>
        <w:t> </w:t>
      </w:r>
      <w:r>
        <w:rPr>
          <w:b w:val="0"/>
        </w:rPr>
        <w:t>Work in the New South Wales Literary Awards, and the</w:t>
      </w:r>
      <w:r>
        <w:rPr>
          <w:b w:val="0"/>
          <w:spacing w:val="40"/>
        </w:rPr>
        <w:t> </w:t>
      </w:r>
      <w:r>
        <w:rPr>
          <w:b w:val="0"/>
        </w:rPr>
        <w:t>Courier-Mail People's Choice Queensland Book of the</w:t>
      </w:r>
      <w:r>
        <w:rPr>
          <w:b w:val="0"/>
          <w:spacing w:val="40"/>
        </w:rPr>
        <w:t> </w:t>
      </w:r>
      <w:r>
        <w:rPr>
          <w:b w:val="0"/>
        </w:rPr>
        <w:t>Year</w:t>
      </w:r>
      <w:r>
        <w:rPr>
          <w:b w:val="0"/>
          <w:spacing w:val="-7"/>
        </w:rPr>
        <w:t> </w:t>
      </w:r>
      <w:r>
        <w:rPr>
          <w:b w:val="0"/>
        </w:rPr>
        <w:t>Award.</w:t>
      </w:r>
    </w:p>
    <w:p>
      <w:pPr>
        <w:pStyle w:val="BodyText"/>
        <w:spacing w:before="55"/>
        <w:rPr>
          <w:b w:val="0"/>
        </w:rPr>
      </w:pPr>
    </w:p>
    <w:p>
      <w:pPr>
        <w:pStyle w:val="BodyText"/>
        <w:spacing w:line="295" w:lineRule="auto"/>
        <w:ind w:left="1133"/>
        <w:rPr>
          <w:b w:val="0"/>
        </w:rPr>
      </w:pPr>
      <w:r>
        <w:rPr>
          <w:b w:val="0"/>
        </w:rPr>
        <w:t>Perth</w:t>
      </w:r>
      <w:r>
        <w:rPr>
          <w:b w:val="0"/>
          <w:spacing w:val="-1"/>
        </w:rPr>
        <w:t> </w:t>
      </w:r>
      <w:r>
        <w:rPr>
          <w:b w:val="0"/>
        </w:rPr>
        <w:t>Festival’s</w:t>
      </w:r>
      <w:r>
        <w:rPr>
          <w:b w:val="0"/>
          <w:spacing w:val="-1"/>
        </w:rPr>
        <w:t> </w:t>
      </w:r>
      <w:r>
        <w:rPr>
          <w:b w:val="0"/>
        </w:rPr>
        <w:t>Highway</w:t>
      </w:r>
      <w:r>
        <w:rPr>
          <w:b w:val="0"/>
          <w:spacing w:val="-1"/>
        </w:rPr>
        <w:t> </w:t>
      </w:r>
      <w:r>
        <w:rPr>
          <w:b w:val="0"/>
        </w:rPr>
        <w:t>to</w:t>
      </w:r>
      <w:r>
        <w:rPr>
          <w:b w:val="0"/>
          <w:spacing w:val="-1"/>
        </w:rPr>
        <w:t> </w:t>
      </w:r>
      <w:r>
        <w:rPr>
          <w:b w:val="0"/>
        </w:rPr>
        <w:t>Hell</w:t>
      </w:r>
      <w:r>
        <w:rPr>
          <w:b w:val="0"/>
          <w:spacing w:val="-1"/>
        </w:rPr>
        <w:t> </w:t>
      </w:r>
      <w:r>
        <w:rPr>
          <w:b w:val="0"/>
        </w:rPr>
        <w:t>was</w:t>
      </w:r>
      <w:r>
        <w:rPr>
          <w:b w:val="0"/>
          <w:spacing w:val="-1"/>
        </w:rPr>
        <w:t> </w:t>
      </w:r>
      <w:r>
        <w:rPr>
          <w:b w:val="0"/>
        </w:rPr>
        <w:t>named</w:t>
      </w:r>
      <w:r>
        <w:rPr>
          <w:b w:val="0"/>
          <w:spacing w:val="-1"/>
        </w:rPr>
        <w:t> </w:t>
      </w:r>
      <w:r>
        <w:rPr>
          <w:b w:val="0"/>
        </w:rPr>
        <w:t>a</w:t>
      </w:r>
      <w:r>
        <w:rPr>
          <w:b w:val="0"/>
          <w:spacing w:val="-1"/>
        </w:rPr>
        <w:t> </w:t>
      </w:r>
      <w:r>
        <w:rPr>
          <w:b w:val="0"/>
        </w:rPr>
        <w:t>winner</w:t>
      </w:r>
      <w:r>
        <w:rPr>
          <w:b w:val="0"/>
          <w:spacing w:val="-1"/>
        </w:rPr>
        <w:t> </w:t>
      </w:r>
      <w:r>
        <w:rPr>
          <w:b w:val="0"/>
        </w:rPr>
        <w:t>at</w:t>
      </w:r>
      <w:r>
        <w:rPr>
          <w:b w:val="0"/>
          <w:spacing w:val="-1"/>
        </w:rPr>
        <w:t> </w:t>
      </w:r>
      <w:r>
        <w:rPr>
          <w:b w:val="0"/>
        </w:rPr>
        <w:t>the</w:t>
      </w:r>
      <w:r>
        <w:rPr>
          <w:b w:val="0"/>
          <w:spacing w:val="40"/>
        </w:rPr>
        <w:t> </w:t>
      </w:r>
      <w:r>
        <w:rPr>
          <w:b w:val="0"/>
        </w:rPr>
        <w:t>2020 Australian Event Awards. Celebrating the closing of</w:t>
      </w:r>
      <w:r>
        <w:rPr>
          <w:b w:val="0"/>
          <w:spacing w:val="40"/>
        </w:rPr>
        <w:t> </w:t>
      </w:r>
      <w:r>
        <w:rPr>
          <w:b w:val="0"/>
        </w:rPr>
        <w:t>the 2020 Perth Festival, the Highway to Hell marked the</w:t>
      </w:r>
      <w:r>
        <w:rPr>
          <w:b w:val="0"/>
          <w:spacing w:val="40"/>
        </w:rPr>
        <w:t> </w:t>
      </w:r>
      <w:r>
        <w:rPr>
          <w:b w:val="0"/>
        </w:rPr>
        <w:t>40th anniversary of the burial of Fremantle local and</w:t>
      </w:r>
      <w:r>
        <w:rPr>
          <w:b w:val="0"/>
          <w:spacing w:val="40"/>
        </w:rPr>
        <w:t> </w:t>
      </w:r>
      <w:r>
        <w:rPr>
          <w:b w:val="0"/>
        </w:rPr>
        <w:t>legendary AC/DC front man Bon Scott. More than</w:t>
      </w:r>
    </w:p>
    <w:p>
      <w:pPr>
        <w:pStyle w:val="BodyText"/>
        <w:spacing w:line="295" w:lineRule="auto" w:before="4"/>
        <w:ind w:left="1133" w:right="64"/>
        <w:rPr>
          <w:b w:val="0"/>
        </w:rPr>
      </w:pPr>
      <w:r>
        <w:rPr>
          <w:b w:val="0"/>
        </w:rPr>
        <w:t>144,000 people reclaimed 10 kilometres of Canning</w:t>
      </w:r>
      <w:r>
        <w:rPr>
          <w:b w:val="0"/>
          <w:spacing w:val="40"/>
        </w:rPr>
        <w:t> </w:t>
      </w:r>
      <w:r>
        <w:rPr>
          <w:b w:val="0"/>
        </w:rPr>
        <w:t>Highway as the world’s longest stage for an epic one-day</w:t>
      </w:r>
      <w:r>
        <w:rPr>
          <w:b w:val="0"/>
          <w:spacing w:val="40"/>
        </w:rPr>
        <w:t> </w:t>
      </w:r>
      <w:r>
        <w:rPr>
          <w:b w:val="0"/>
        </w:rPr>
        <w:t>carnival of music, art, and suburban mythmaking.</w:t>
      </w:r>
    </w:p>
    <w:p>
      <w:pPr>
        <w:pStyle w:val="BodyText"/>
        <w:spacing w:line="295" w:lineRule="auto" w:before="122"/>
        <w:ind w:left="359" w:right="408"/>
        <w:rPr>
          <w:b w:val="0"/>
        </w:rPr>
      </w:pPr>
      <w:r>
        <w:rPr/>
        <w:br w:type="column"/>
      </w:r>
      <w:r>
        <w:rPr>
          <w:b w:val="0"/>
        </w:rPr>
        <w:t>The event doubled trade for local businesses, had a direct</w:t>
      </w:r>
      <w:r>
        <w:rPr>
          <w:b w:val="0"/>
          <w:spacing w:val="40"/>
        </w:rPr>
        <w:t> </w:t>
      </w:r>
      <w:r>
        <w:rPr>
          <w:b w:val="0"/>
        </w:rPr>
        <w:t>economic impact of $6.1 million and a flow-on economic</w:t>
      </w:r>
      <w:r>
        <w:rPr>
          <w:b w:val="0"/>
          <w:spacing w:val="40"/>
        </w:rPr>
        <w:t> </w:t>
      </w:r>
      <w:r>
        <w:rPr>
          <w:b w:val="0"/>
        </w:rPr>
        <w:t>benefit of $17.2 million.</w:t>
      </w:r>
    </w:p>
    <w:p>
      <w:pPr>
        <w:pStyle w:val="BodyText"/>
        <w:spacing w:before="52"/>
        <w:rPr>
          <w:b w:val="0"/>
        </w:rPr>
      </w:pPr>
    </w:p>
    <w:p>
      <w:pPr>
        <w:pStyle w:val="BodyText"/>
        <w:spacing w:line="295" w:lineRule="auto"/>
        <w:ind w:left="359" w:right="351"/>
        <w:rPr>
          <w:b w:val="0"/>
        </w:rPr>
      </w:pPr>
      <w:r>
        <w:rPr>
          <w:b w:val="0"/>
        </w:rPr>
        <w:t>The Lawrence Wilson Art Gallery maintained a dynamic</w:t>
      </w:r>
      <w:r>
        <w:rPr>
          <w:b w:val="0"/>
          <w:spacing w:val="40"/>
        </w:rPr>
        <w:t> </w:t>
      </w:r>
      <w:r>
        <w:rPr>
          <w:b w:val="0"/>
        </w:rPr>
        <w:t>program of exhibitions including celebration of its 30th</w:t>
      </w:r>
      <w:r>
        <w:rPr>
          <w:b w:val="0"/>
          <w:spacing w:val="40"/>
        </w:rPr>
        <w:t> </w:t>
      </w:r>
      <w:r>
        <w:rPr>
          <w:b w:val="0"/>
        </w:rPr>
        <w:t>year since opening. The year commenced with great</w:t>
      </w:r>
      <w:r>
        <w:rPr>
          <w:b w:val="0"/>
          <w:spacing w:val="40"/>
        </w:rPr>
        <w:t> </w:t>
      </w:r>
      <w:r>
        <w:rPr>
          <w:b w:val="0"/>
        </w:rPr>
        <w:t>acclaim for the </w:t>
      </w:r>
      <w:r>
        <w:rPr>
          <w:b w:val="0"/>
          <w:i/>
        </w:rPr>
        <w:t>Long Kiss Goodby</w:t>
      </w:r>
      <w:r>
        <w:rPr>
          <w:b w:val="0"/>
        </w:rPr>
        <w:t>e exhibition, and with</w:t>
      </w:r>
      <w:r>
        <w:rPr>
          <w:b w:val="0"/>
          <w:spacing w:val="80"/>
        </w:rPr>
        <w:t> </w:t>
      </w:r>
      <w:r>
        <w:rPr>
          <w:b w:val="0"/>
        </w:rPr>
        <w:t>the Berndt Museum’s successful </w:t>
      </w:r>
      <w:r>
        <w:rPr>
          <w:b w:val="0"/>
          <w:i/>
        </w:rPr>
        <w:t>Boomerang: A National</w:t>
      </w:r>
      <w:r>
        <w:rPr>
          <w:b w:val="0"/>
          <w:i/>
          <w:spacing w:val="40"/>
        </w:rPr>
        <w:t> </w:t>
      </w:r>
      <w:r>
        <w:rPr>
          <w:b w:val="0"/>
          <w:i/>
        </w:rPr>
        <w:t>Symbol </w:t>
      </w:r>
      <w:r>
        <w:rPr>
          <w:b w:val="0"/>
        </w:rPr>
        <w:t>exhibition. A full program of exhibitions were</w:t>
      </w:r>
      <w:r>
        <w:rPr>
          <w:b w:val="0"/>
          <w:spacing w:val="40"/>
        </w:rPr>
        <w:t> </w:t>
      </w:r>
      <w:r>
        <w:rPr>
          <w:b w:val="0"/>
        </w:rPr>
        <w:t>opened</w:t>
      </w:r>
      <w:r>
        <w:rPr>
          <w:b w:val="0"/>
          <w:spacing w:val="-6"/>
        </w:rPr>
        <w:t> </w:t>
      </w:r>
      <w:r>
        <w:rPr>
          <w:b w:val="0"/>
        </w:rPr>
        <w:t>in</w:t>
      </w:r>
      <w:r>
        <w:rPr>
          <w:b w:val="0"/>
          <w:spacing w:val="-6"/>
        </w:rPr>
        <w:t> </w:t>
      </w:r>
      <w:r>
        <w:rPr>
          <w:b w:val="0"/>
        </w:rPr>
        <w:t>the</w:t>
      </w:r>
      <w:r>
        <w:rPr>
          <w:b w:val="0"/>
          <w:spacing w:val="-6"/>
        </w:rPr>
        <w:t> </w:t>
      </w:r>
      <w:r>
        <w:rPr>
          <w:b w:val="0"/>
        </w:rPr>
        <w:t>second</w:t>
      </w:r>
      <w:r>
        <w:rPr>
          <w:b w:val="0"/>
          <w:spacing w:val="-6"/>
        </w:rPr>
        <w:t> </w:t>
      </w:r>
      <w:r>
        <w:rPr>
          <w:b w:val="0"/>
        </w:rPr>
        <w:t>half</w:t>
      </w:r>
      <w:r>
        <w:rPr>
          <w:b w:val="0"/>
          <w:spacing w:val="-6"/>
        </w:rPr>
        <w:t> </w:t>
      </w:r>
      <w:r>
        <w:rPr>
          <w:b w:val="0"/>
        </w:rPr>
        <w:t>of</w:t>
      </w:r>
      <w:r>
        <w:rPr>
          <w:b w:val="0"/>
          <w:spacing w:val="-6"/>
        </w:rPr>
        <w:t> </w:t>
      </w:r>
      <w:r>
        <w:rPr>
          <w:b w:val="0"/>
        </w:rPr>
        <w:t>the</w:t>
      </w:r>
      <w:r>
        <w:rPr>
          <w:b w:val="0"/>
          <w:spacing w:val="-6"/>
        </w:rPr>
        <w:t> </w:t>
      </w:r>
      <w:r>
        <w:rPr>
          <w:b w:val="0"/>
        </w:rPr>
        <w:t>year</w:t>
      </w:r>
      <w:r>
        <w:rPr>
          <w:b w:val="0"/>
          <w:spacing w:val="-6"/>
        </w:rPr>
        <w:t> </w:t>
      </w:r>
      <w:r>
        <w:rPr>
          <w:b w:val="0"/>
        </w:rPr>
        <w:t>with</w:t>
      </w:r>
      <w:r>
        <w:rPr>
          <w:b w:val="0"/>
          <w:spacing w:val="-6"/>
        </w:rPr>
        <w:t> </w:t>
      </w:r>
      <w:r>
        <w:rPr>
          <w:b w:val="0"/>
          <w:i/>
        </w:rPr>
        <w:t>HERE&amp;NOW20</w:t>
      </w:r>
      <w:r>
        <w:rPr>
          <w:b w:val="0"/>
        </w:rPr>
        <w:t>,</w:t>
      </w:r>
      <w:r>
        <w:rPr>
          <w:b w:val="0"/>
          <w:spacing w:val="40"/>
        </w:rPr>
        <w:t> </w:t>
      </w:r>
      <w:r>
        <w:rPr>
          <w:b w:val="0"/>
          <w:i/>
        </w:rPr>
        <w:t>A Sorrowful Act</w:t>
      </w:r>
      <w:r>
        <w:rPr>
          <w:b w:val="0"/>
        </w:rPr>
        <w:t>, and </w:t>
      </w:r>
      <w:r>
        <w:rPr>
          <w:b w:val="0"/>
          <w:i/>
        </w:rPr>
        <w:t>(Un)ladylike Acts</w:t>
      </w:r>
      <w:r>
        <w:rPr>
          <w:b w:val="0"/>
        </w:rPr>
        <w:t>. The University’s</w:t>
      </w:r>
      <w:r>
        <w:rPr>
          <w:b w:val="0"/>
          <w:spacing w:val="40"/>
        </w:rPr>
        <w:t> </w:t>
      </w:r>
      <w:r>
        <w:rPr>
          <w:b w:val="0"/>
        </w:rPr>
        <w:t>collections were made available in digital format, including</w:t>
      </w:r>
      <w:r>
        <w:rPr>
          <w:b w:val="0"/>
          <w:spacing w:val="40"/>
        </w:rPr>
        <w:t> </w:t>
      </w:r>
      <w:r>
        <w:rPr>
          <w:b w:val="0"/>
        </w:rPr>
        <w:t>the launch of an online database for the Cruthers</w:t>
      </w:r>
      <w:r>
        <w:rPr>
          <w:b w:val="0"/>
          <w:spacing w:val="40"/>
        </w:rPr>
        <w:t> </w:t>
      </w:r>
      <w:r>
        <w:rPr>
          <w:b w:val="0"/>
        </w:rPr>
        <w:t>Collection of Women's Art, and an online exhibition from</w:t>
      </w:r>
      <w:r>
        <w:rPr>
          <w:b w:val="0"/>
          <w:spacing w:val="40"/>
        </w:rPr>
        <w:t> </w:t>
      </w:r>
      <w:r>
        <w:rPr>
          <w:b w:val="0"/>
        </w:rPr>
        <w:t>the Berndt Collection titled </w:t>
      </w:r>
      <w:r>
        <w:rPr>
          <w:b w:val="0"/>
          <w:i/>
        </w:rPr>
        <w:t>Expressions of India </w:t>
      </w:r>
      <w:r>
        <w:rPr>
          <w:b w:val="0"/>
        </w:rPr>
        <w:t>that</w:t>
      </w:r>
      <w:r>
        <w:rPr>
          <w:b w:val="0"/>
          <w:spacing w:val="40"/>
        </w:rPr>
        <w:t> </w:t>
      </w:r>
      <w:r>
        <w:rPr>
          <w:b w:val="0"/>
        </w:rPr>
        <w:t>featured in the India Week celebrations.</w:t>
      </w:r>
    </w:p>
    <w:p>
      <w:pPr>
        <w:spacing w:after="0" w:line="295" w:lineRule="auto"/>
        <w:sectPr>
          <w:type w:val="continuous"/>
          <w:pgSz w:w="11910" w:h="16840"/>
          <w:pgMar w:header="468" w:footer="0" w:top="980" w:bottom="280" w:left="0" w:right="780"/>
          <w:cols w:num="2" w:equalWidth="0">
            <w:col w:w="5752" w:space="40"/>
            <w:col w:w="5338"/>
          </w:cols>
        </w:sectPr>
      </w:pPr>
    </w:p>
    <w:p>
      <w:pPr>
        <w:spacing w:line="906" w:lineRule="exact" w:before="686"/>
        <w:ind w:left="1093" w:right="0" w:firstLine="0"/>
        <w:jc w:val="left"/>
        <w:rPr>
          <w:rFonts w:ascii="Palatino Linotype"/>
          <w:sz w:val="70"/>
        </w:rPr>
      </w:pPr>
      <w:r>
        <w:rPr/>
        <mc:AlternateContent>
          <mc:Choice Requires="wps">
            <w:drawing>
              <wp:anchor distT="0" distB="0" distL="0" distR="0" allowOverlap="1" layoutInCell="1" locked="0" behindDoc="1" simplePos="0" relativeHeight="472659456">
                <wp:simplePos x="0" y="0"/>
                <wp:positionH relativeFrom="page">
                  <wp:posOffset>1052995</wp:posOffset>
                </wp:positionH>
                <wp:positionV relativeFrom="paragraph">
                  <wp:posOffset>922915</wp:posOffset>
                </wp:positionV>
                <wp:extent cx="5983605" cy="696595"/>
                <wp:effectExtent l="0" t="0" r="0" b="0"/>
                <wp:wrapNone/>
                <wp:docPr id="348" name="Graphic 348"/>
                <wp:cNvGraphicFramePr>
                  <a:graphicFrameLocks/>
                </wp:cNvGraphicFramePr>
                <a:graphic>
                  <a:graphicData uri="http://schemas.microsoft.com/office/word/2010/wordprocessingShape">
                    <wps:wsp>
                      <wps:cNvPr id="348" name="Graphic 348"/>
                      <wps:cNvSpPr/>
                      <wps:spPr>
                        <a:xfrm>
                          <a:off x="0" y="0"/>
                          <a:ext cx="5983605" cy="696595"/>
                        </a:xfrm>
                        <a:custGeom>
                          <a:avLst/>
                          <a:gdLst/>
                          <a:ahLst/>
                          <a:cxnLst/>
                          <a:rect l="l" t="t" r="r" b="b"/>
                          <a:pathLst>
                            <a:path w="5983605" h="696595">
                              <a:moveTo>
                                <a:pt x="5983084" y="0"/>
                              </a:moveTo>
                              <a:lnTo>
                                <a:pt x="0" y="0"/>
                              </a:lnTo>
                              <a:lnTo>
                                <a:pt x="0" y="696048"/>
                              </a:lnTo>
                              <a:lnTo>
                                <a:pt x="5983084" y="696048"/>
                              </a:lnTo>
                              <a:lnTo>
                                <a:pt x="5983084"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82.913002pt;margin-top:72.670502pt;width:471.109pt;height:54.807pt;mso-position-horizontal-relative:page;mso-position-vertical-relative:paragraph;z-index:-30657024" id="docshape207" filled="true" fillcolor="#ffffff" stroked="false">
                <v:fill type="solid"/>
                <w10:wrap type="none"/>
              </v:rect>
            </w:pict>
          </mc:Fallback>
        </mc:AlternateContent>
      </w:r>
      <w:r>
        <w:rPr>
          <w:rFonts w:ascii="Palatino Linotype"/>
          <w:spacing w:val="-2"/>
          <w:w w:val="110"/>
          <w:sz w:val="70"/>
        </w:rPr>
        <w:t>Sustainable</w:t>
      </w:r>
    </w:p>
    <w:p>
      <w:pPr>
        <w:pStyle w:val="Heading2"/>
        <w:spacing w:line="780" w:lineRule="exact"/>
      </w:pPr>
      <w:r>
        <w:rPr>
          <w:spacing w:val="-2"/>
        </w:rPr>
        <w:t>Environments</w:t>
      </w:r>
    </w:p>
    <w:p>
      <w:pPr>
        <w:pStyle w:val="BodyText"/>
        <w:rPr>
          <w:rFonts w:ascii="TT Norms Pro"/>
          <w:b/>
          <w:sz w:val="24"/>
        </w:rPr>
      </w:pPr>
    </w:p>
    <w:p>
      <w:pPr>
        <w:pStyle w:val="BodyText"/>
        <w:rPr>
          <w:rFonts w:ascii="TT Norms Pro"/>
          <w:b/>
          <w:sz w:val="24"/>
        </w:rPr>
      </w:pPr>
    </w:p>
    <w:p>
      <w:pPr>
        <w:pStyle w:val="BodyText"/>
        <w:spacing w:before="37"/>
        <w:rPr>
          <w:rFonts w:ascii="TT Norms Pro"/>
          <w:b/>
          <w:sz w:val="24"/>
        </w:rPr>
      </w:pPr>
    </w:p>
    <w:p>
      <w:pPr>
        <w:pStyle w:val="Heading7"/>
      </w:pPr>
      <w:r>
        <w:rPr/>
        <mc:AlternateContent>
          <mc:Choice Requires="wps">
            <w:drawing>
              <wp:anchor distT="0" distB="0" distL="0" distR="0" allowOverlap="1" layoutInCell="1" locked="0" behindDoc="0" simplePos="0" relativeHeight="15806464">
                <wp:simplePos x="0" y="0"/>
                <wp:positionH relativeFrom="page">
                  <wp:posOffset>716499</wp:posOffset>
                </wp:positionH>
                <wp:positionV relativeFrom="paragraph">
                  <wp:posOffset>15750</wp:posOffset>
                </wp:positionV>
                <wp:extent cx="1270" cy="1451610"/>
                <wp:effectExtent l="0" t="0" r="0" b="0"/>
                <wp:wrapNone/>
                <wp:docPr id="349" name="Graphic 349"/>
                <wp:cNvGraphicFramePr>
                  <a:graphicFrameLocks/>
                </wp:cNvGraphicFramePr>
                <a:graphic>
                  <a:graphicData uri="http://schemas.microsoft.com/office/word/2010/wordprocessingShape">
                    <wps:wsp>
                      <wps:cNvPr id="349" name="Graphic 349"/>
                      <wps:cNvSpPr/>
                      <wps:spPr>
                        <a:xfrm>
                          <a:off x="0" y="0"/>
                          <a:ext cx="1270" cy="1451610"/>
                        </a:xfrm>
                        <a:custGeom>
                          <a:avLst/>
                          <a:gdLst/>
                          <a:ahLst/>
                          <a:cxnLst/>
                          <a:rect l="l" t="t" r="r" b="b"/>
                          <a:pathLst>
                            <a:path w="0" h="1451610">
                              <a:moveTo>
                                <a:pt x="0" y="1451584"/>
                              </a:moveTo>
                              <a:lnTo>
                                <a:pt x="0" y="0"/>
                              </a:lnTo>
                            </a:path>
                          </a:pathLst>
                        </a:custGeom>
                        <a:ln w="6350">
                          <a:solidFill>
                            <a:srgbClr val="21409A"/>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06464" from="56.417301pt,115.538201pt" to="56.417301pt,1.240201pt" stroked="true" strokeweight=".5pt" strokecolor="#21409a">
                <v:stroke dashstyle="solid"/>
                <w10:wrap type="none"/>
              </v:line>
            </w:pict>
          </mc:Fallback>
        </mc:AlternateContent>
      </w:r>
      <w:r>
        <w:rPr>
          <w:color w:val="21409A"/>
          <w:spacing w:val="-2"/>
        </w:rPr>
        <w:t>PRIORITIES</w:t>
      </w:r>
    </w:p>
    <w:p>
      <w:pPr>
        <w:pStyle w:val="ListParagraph"/>
        <w:numPr>
          <w:ilvl w:val="0"/>
          <w:numId w:val="5"/>
        </w:numPr>
        <w:tabs>
          <w:tab w:pos="1581" w:val="left" w:leader="none"/>
        </w:tabs>
        <w:spacing w:line="256" w:lineRule="auto" w:before="133" w:after="0"/>
        <w:ind w:left="1581" w:right="2033" w:hanging="227"/>
        <w:jc w:val="both"/>
        <w:rPr>
          <w:rFonts w:ascii="TT Norms Pro Light" w:hAnsi="TT Norms Pro Light"/>
          <w:b w:val="0"/>
          <w:color w:val="21409A"/>
          <w:sz w:val="24"/>
        </w:rPr>
      </w:pPr>
      <w:r>
        <w:rPr>
          <w:rFonts w:ascii="TT Norms Pro Light" w:hAnsi="TT Norms Pro Light"/>
          <w:b w:val="0"/>
          <w:color w:val="21409A"/>
          <w:sz w:val="24"/>
        </w:rPr>
        <w:t>Establish modern and fully</w:t>
      </w:r>
      <w:r>
        <w:rPr>
          <w:rFonts w:ascii="TT Norms Pro Light" w:hAnsi="TT Norms Pro Light"/>
          <w:b w:val="0"/>
          <w:color w:val="21409A"/>
          <w:spacing w:val="-5"/>
          <w:sz w:val="24"/>
        </w:rPr>
        <w:t> </w:t>
      </w:r>
      <w:r>
        <w:rPr>
          <w:rFonts w:ascii="TT Norms Pro Light" w:hAnsi="TT Norms Pro Light"/>
          <w:b w:val="0"/>
          <w:color w:val="21409A"/>
          <w:sz w:val="24"/>
        </w:rPr>
        <w:t>integrated physical and digital environments that</w:t>
      </w:r>
      <w:r>
        <w:rPr>
          <w:rFonts w:ascii="TT Norms Pro Light" w:hAnsi="TT Norms Pro Light"/>
          <w:b w:val="0"/>
          <w:color w:val="21409A"/>
          <w:spacing w:val="-9"/>
          <w:sz w:val="24"/>
        </w:rPr>
        <w:t> </w:t>
      </w:r>
      <w:r>
        <w:rPr>
          <w:rFonts w:ascii="TT Norms Pro Light" w:hAnsi="TT Norms Pro Light"/>
          <w:b w:val="0"/>
          <w:color w:val="21409A"/>
          <w:sz w:val="24"/>
        </w:rPr>
        <w:t>foster</w:t>
      </w:r>
      <w:r>
        <w:rPr>
          <w:rFonts w:ascii="TT Norms Pro Light" w:hAnsi="TT Norms Pro Light"/>
          <w:b w:val="0"/>
          <w:color w:val="21409A"/>
          <w:spacing w:val="-12"/>
          <w:sz w:val="24"/>
        </w:rPr>
        <w:t> </w:t>
      </w:r>
      <w:r>
        <w:rPr>
          <w:rFonts w:ascii="TT Norms Pro Light" w:hAnsi="TT Norms Pro Light"/>
          <w:b w:val="0"/>
          <w:color w:val="21409A"/>
          <w:sz w:val="24"/>
        </w:rPr>
        <w:t>world-leading</w:t>
      </w:r>
      <w:r>
        <w:rPr>
          <w:rFonts w:ascii="TT Norms Pro Light" w:hAnsi="TT Norms Pro Light"/>
          <w:b w:val="0"/>
          <w:color w:val="21409A"/>
          <w:spacing w:val="-6"/>
          <w:sz w:val="24"/>
        </w:rPr>
        <w:t> </w:t>
      </w:r>
      <w:r>
        <w:rPr>
          <w:rFonts w:ascii="TT Norms Pro Light" w:hAnsi="TT Norms Pro Light"/>
          <w:b w:val="0"/>
          <w:color w:val="21409A"/>
          <w:sz w:val="24"/>
        </w:rPr>
        <w:t>education</w:t>
      </w:r>
      <w:r>
        <w:rPr>
          <w:rFonts w:ascii="TT Norms Pro Light" w:hAnsi="TT Norms Pro Light"/>
          <w:b w:val="0"/>
          <w:color w:val="21409A"/>
          <w:spacing w:val="-6"/>
          <w:sz w:val="24"/>
        </w:rPr>
        <w:t> </w:t>
      </w:r>
      <w:r>
        <w:rPr>
          <w:rFonts w:ascii="TT Norms Pro Light" w:hAnsi="TT Norms Pro Light"/>
          <w:b w:val="0"/>
          <w:color w:val="21409A"/>
          <w:sz w:val="24"/>
        </w:rPr>
        <w:t>and</w:t>
      </w:r>
      <w:r>
        <w:rPr>
          <w:rFonts w:ascii="TT Norms Pro Light" w:hAnsi="TT Norms Pro Light"/>
          <w:b w:val="0"/>
          <w:color w:val="21409A"/>
          <w:spacing w:val="-6"/>
          <w:sz w:val="24"/>
        </w:rPr>
        <w:t> </w:t>
      </w:r>
      <w:r>
        <w:rPr>
          <w:rFonts w:ascii="TT Norms Pro Light" w:hAnsi="TT Norms Pro Light"/>
          <w:b w:val="0"/>
          <w:color w:val="21409A"/>
          <w:sz w:val="24"/>
        </w:rPr>
        <w:t>research</w:t>
      </w:r>
      <w:r>
        <w:rPr>
          <w:rFonts w:ascii="TT Norms Pro Light" w:hAnsi="TT Norms Pro Light"/>
          <w:b w:val="0"/>
          <w:color w:val="21409A"/>
          <w:spacing w:val="-6"/>
          <w:sz w:val="24"/>
        </w:rPr>
        <w:t> </w:t>
      </w:r>
      <w:r>
        <w:rPr>
          <w:rFonts w:ascii="TT Norms Pro Light" w:hAnsi="TT Norms Pro Light"/>
          <w:b w:val="0"/>
          <w:color w:val="21409A"/>
          <w:sz w:val="24"/>
        </w:rPr>
        <w:t>and</w:t>
      </w:r>
      <w:r>
        <w:rPr>
          <w:rFonts w:ascii="TT Norms Pro Light" w:hAnsi="TT Norms Pro Light"/>
          <w:b w:val="0"/>
          <w:color w:val="21409A"/>
          <w:spacing w:val="-6"/>
          <w:sz w:val="24"/>
        </w:rPr>
        <w:t> </w:t>
      </w:r>
      <w:r>
        <w:rPr>
          <w:rFonts w:ascii="TT Norms Pro Light" w:hAnsi="TT Norms Pro Light"/>
          <w:b w:val="0"/>
          <w:color w:val="21409A"/>
          <w:sz w:val="24"/>
        </w:rPr>
        <w:t>reflect</w:t>
      </w:r>
      <w:r>
        <w:rPr>
          <w:rFonts w:ascii="TT Norms Pro Light" w:hAnsi="TT Norms Pro Light"/>
          <w:b w:val="0"/>
          <w:color w:val="21409A"/>
          <w:spacing w:val="-6"/>
          <w:sz w:val="24"/>
        </w:rPr>
        <w:t> </w:t>
      </w:r>
      <w:r>
        <w:rPr>
          <w:rFonts w:ascii="TT Norms Pro Light" w:hAnsi="TT Norms Pro Light"/>
          <w:b w:val="0"/>
          <w:color w:val="21409A"/>
          <w:sz w:val="24"/>
        </w:rPr>
        <w:t>Indigenous place and our shared history.</w:t>
      </w:r>
    </w:p>
    <w:p>
      <w:pPr>
        <w:pStyle w:val="ListParagraph"/>
        <w:numPr>
          <w:ilvl w:val="0"/>
          <w:numId w:val="5"/>
        </w:numPr>
        <w:tabs>
          <w:tab w:pos="1581" w:val="left" w:leader="none"/>
        </w:tabs>
        <w:spacing w:line="256" w:lineRule="auto" w:before="55" w:after="0"/>
        <w:ind w:left="1581" w:right="2321" w:hanging="227"/>
        <w:jc w:val="left"/>
        <w:rPr>
          <w:rFonts w:ascii="TT Norms Pro Light" w:hAnsi="TT Norms Pro Light"/>
          <w:b w:val="0"/>
          <w:color w:val="21409A"/>
          <w:sz w:val="24"/>
        </w:rPr>
      </w:pPr>
      <w:r>
        <w:rPr>
          <w:rFonts w:ascii="TT Norms Pro Light" w:hAnsi="TT Norms Pro Light"/>
          <w:b w:val="0"/>
          <w:color w:val="21409A"/>
          <w:sz w:val="24"/>
        </w:rPr>
        <w:t>Embed</w:t>
      </w:r>
      <w:r>
        <w:rPr>
          <w:rFonts w:ascii="TT Norms Pro Light" w:hAnsi="TT Norms Pro Light"/>
          <w:b w:val="0"/>
          <w:color w:val="21409A"/>
          <w:spacing w:val="-7"/>
          <w:sz w:val="24"/>
        </w:rPr>
        <w:t> </w:t>
      </w:r>
      <w:r>
        <w:rPr>
          <w:rFonts w:ascii="TT Norms Pro Light" w:hAnsi="TT Norms Pro Light"/>
          <w:b w:val="0"/>
          <w:color w:val="21409A"/>
          <w:sz w:val="24"/>
        </w:rPr>
        <w:t>sustainability</w:t>
      </w:r>
      <w:r>
        <w:rPr>
          <w:rFonts w:ascii="TT Norms Pro Light" w:hAnsi="TT Norms Pro Light"/>
          <w:b w:val="0"/>
          <w:color w:val="21409A"/>
          <w:spacing w:val="-12"/>
          <w:sz w:val="24"/>
        </w:rPr>
        <w:t> </w:t>
      </w:r>
      <w:r>
        <w:rPr>
          <w:rFonts w:ascii="TT Norms Pro Light" w:hAnsi="TT Norms Pro Light"/>
          <w:b w:val="0"/>
          <w:color w:val="21409A"/>
          <w:sz w:val="24"/>
        </w:rPr>
        <w:t>and</w:t>
      </w:r>
      <w:r>
        <w:rPr>
          <w:rFonts w:ascii="TT Norms Pro Light" w:hAnsi="TT Norms Pro Light"/>
          <w:b w:val="0"/>
          <w:color w:val="21409A"/>
          <w:spacing w:val="-7"/>
          <w:sz w:val="24"/>
        </w:rPr>
        <w:t> </w:t>
      </w:r>
      <w:r>
        <w:rPr>
          <w:rFonts w:ascii="TT Norms Pro Light" w:hAnsi="TT Norms Pro Light"/>
          <w:b w:val="0"/>
          <w:color w:val="21409A"/>
          <w:sz w:val="24"/>
        </w:rPr>
        <w:t>fair-trade</w:t>
      </w:r>
      <w:r>
        <w:rPr>
          <w:rFonts w:ascii="TT Norms Pro Light" w:hAnsi="TT Norms Pro Light"/>
          <w:b w:val="0"/>
          <w:color w:val="21409A"/>
          <w:spacing w:val="-7"/>
          <w:sz w:val="24"/>
        </w:rPr>
        <w:t> </w:t>
      </w:r>
      <w:r>
        <w:rPr>
          <w:rFonts w:ascii="TT Norms Pro Light" w:hAnsi="TT Norms Pro Light"/>
          <w:b w:val="0"/>
          <w:color w:val="21409A"/>
          <w:sz w:val="24"/>
        </w:rPr>
        <w:t>principles</w:t>
      </w:r>
      <w:r>
        <w:rPr>
          <w:rFonts w:ascii="TT Norms Pro Light" w:hAnsi="TT Norms Pro Light"/>
          <w:b w:val="0"/>
          <w:color w:val="21409A"/>
          <w:spacing w:val="-7"/>
          <w:sz w:val="24"/>
        </w:rPr>
        <w:t> </w:t>
      </w:r>
      <w:r>
        <w:rPr>
          <w:rFonts w:ascii="TT Norms Pro Light" w:hAnsi="TT Norms Pro Light"/>
          <w:b w:val="0"/>
          <w:color w:val="21409A"/>
          <w:sz w:val="24"/>
        </w:rPr>
        <w:t>into</w:t>
      </w:r>
      <w:r>
        <w:rPr>
          <w:rFonts w:ascii="TT Norms Pro Light" w:hAnsi="TT Norms Pro Light"/>
          <w:b w:val="0"/>
          <w:color w:val="21409A"/>
          <w:spacing w:val="-7"/>
          <w:sz w:val="24"/>
        </w:rPr>
        <w:t> </w:t>
      </w:r>
      <w:r>
        <w:rPr>
          <w:rFonts w:ascii="TT Norms Pro Light" w:hAnsi="TT Norms Pro Light"/>
          <w:b w:val="0"/>
          <w:color w:val="21409A"/>
          <w:sz w:val="24"/>
        </w:rPr>
        <w:t>the</w:t>
      </w:r>
      <w:r>
        <w:rPr>
          <w:rFonts w:ascii="TT Norms Pro Light" w:hAnsi="TT Norms Pro Light"/>
          <w:b w:val="0"/>
          <w:color w:val="21409A"/>
          <w:spacing w:val="-7"/>
          <w:sz w:val="24"/>
        </w:rPr>
        <w:t> </w:t>
      </w:r>
      <w:r>
        <w:rPr>
          <w:rFonts w:ascii="TT Norms Pro Light" w:hAnsi="TT Norms Pro Light"/>
          <w:b w:val="0"/>
          <w:color w:val="21409A"/>
          <w:sz w:val="24"/>
        </w:rPr>
        <w:t>developmental and operational activities of the campus.</w:t>
      </w:r>
    </w:p>
    <w:p>
      <w:pPr>
        <w:pStyle w:val="ListParagraph"/>
        <w:numPr>
          <w:ilvl w:val="0"/>
          <w:numId w:val="5"/>
        </w:numPr>
        <w:tabs>
          <w:tab w:pos="1581" w:val="left" w:leader="none"/>
        </w:tabs>
        <w:spacing w:line="240" w:lineRule="auto" w:before="56" w:after="0"/>
        <w:ind w:left="1581" w:right="0" w:hanging="226"/>
        <w:jc w:val="left"/>
        <w:rPr>
          <w:rFonts w:ascii="TT Norms Pro Light" w:hAnsi="TT Norms Pro Light"/>
          <w:b w:val="0"/>
          <w:color w:val="21409A"/>
          <w:sz w:val="24"/>
        </w:rPr>
      </w:pPr>
      <w:r>
        <w:rPr>
          <w:rFonts w:ascii="TT Norms Pro Light" w:hAnsi="TT Norms Pro Light"/>
          <w:b w:val="0"/>
          <w:color w:val="21409A"/>
          <w:sz w:val="24"/>
        </w:rPr>
        <w:t>Create</w:t>
      </w:r>
      <w:r>
        <w:rPr>
          <w:rFonts w:ascii="TT Norms Pro Light" w:hAnsi="TT Norms Pro Light"/>
          <w:b w:val="0"/>
          <w:color w:val="21409A"/>
          <w:spacing w:val="-4"/>
          <w:sz w:val="24"/>
        </w:rPr>
        <w:t> </w:t>
      </w:r>
      <w:r>
        <w:rPr>
          <w:rFonts w:ascii="TT Norms Pro Light" w:hAnsi="TT Norms Pro Light"/>
          <w:b w:val="0"/>
          <w:color w:val="21409A"/>
          <w:sz w:val="24"/>
        </w:rPr>
        <w:t>new</w:t>
      </w:r>
      <w:r>
        <w:rPr>
          <w:rFonts w:ascii="TT Norms Pro Light" w:hAnsi="TT Norms Pro Light"/>
          <w:b w:val="0"/>
          <w:color w:val="21409A"/>
          <w:spacing w:val="-8"/>
          <w:sz w:val="24"/>
        </w:rPr>
        <w:t> </w:t>
      </w:r>
      <w:r>
        <w:rPr>
          <w:rFonts w:ascii="TT Norms Pro Light" w:hAnsi="TT Norms Pro Light"/>
          <w:b w:val="0"/>
          <w:color w:val="21409A"/>
          <w:sz w:val="24"/>
        </w:rPr>
        <w:t>opportunities</w:t>
      </w:r>
      <w:r>
        <w:rPr>
          <w:rFonts w:ascii="TT Norms Pro Light" w:hAnsi="TT Norms Pro Light"/>
          <w:b w:val="0"/>
          <w:color w:val="21409A"/>
          <w:spacing w:val="-4"/>
          <w:sz w:val="24"/>
        </w:rPr>
        <w:t> </w:t>
      </w:r>
      <w:r>
        <w:rPr>
          <w:rFonts w:ascii="TT Norms Pro Light" w:hAnsi="TT Norms Pro Light"/>
          <w:b w:val="0"/>
          <w:color w:val="21409A"/>
          <w:sz w:val="24"/>
        </w:rPr>
        <w:t>for</w:t>
      </w:r>
      <w:r>
        <w:rPr>
          <w:rFonts w:ascii="TT Norms Pro Light" w:hAnsi="TT Norms Pro Light"/>
          <w:b w:val="0"/>
          <w:color w:val="21409A"/>
          <w:spacing w:val="-8"/>
          <w:sz w:val="24"/>
        </w:rPr>
        <w:t> </w:t>
      </w:r>
      <w:r>
        <w:rPr>
          <w:rFonts w:ascii="TT Norms Pro Light" w:hAnsi="TT Norms Pro Light"/>
          <w:b w:val="0"/>
          <w:color w:val="21409A"/>
          <w:sz w:val="24"/>
        </w:rPr>
        <w:t>collaboration,</w:t>
      </w:r>
      <w:r>
        <w:rPr>
          <w:rFonts w:ascii="TT Norms Pro Light" w:hAnsi="TT Norms Pro Light"/>
          <w:b w:val="0"/>
          <w:color w:val="21409A"/>
          <w:spacing w:val="-3"/>
          <w:sz w:val="24"/>
        </w:rPr>
        <w:t> </w:t>
      </w:r>
      <w:r>
        <w:rPr>
          <w:rFonts w:ascii="TT Norms Pro Light" w:hAnsi="TT Norms Pro Light"/>
          <w:b w:val="0"/>
          <w:color w:val="21409A"/>
          <w:sz w:val="24"/>
        </w:rPr>
        <w:t>co-location</w:t>
      </w:r>
      <w:r>
        <w:rPr>
          <w:rFonts w:ascii="TT Norms Pro Light" w:hAnsi="TT Norms Pro Light"/>
          <w:b w:val="0"/>
          <w:color w:val="21409A"/>
          <w:spacing w:val="-4"/>
          <w:sz w:val="24"/>
        </w:rPr>
        <w:t> </w:t>
      </w:r>
      <w:r>
        <w:rPr>
          <w:rFonts w:ascii="TT Norms Pro Light" w:hAnsi="TT Norms Pro Light"/>
          <w:b w:val="0"/>
          <w:color w:val="21409A"/>
          <w:sz w:val="24"/>
        </w:rPr>
        <w:t>and</w:t>
      </w:r>
      <w:r>
        <w:rPr>
          <w:rFonts w:ascii="TT Norms Pro Light" w:hAnsi="TT Norms Pro Light"/>
          <w:b w:val="0"/>
          <w:color w:val="21409A"/>
          <w:spacing w:val="-3"/>
          <w:sz w:val="24"/>
        </w:rPr>
        <w:t> </w:t>
      </w:r>
      <w:r>
        <w:rPr>
          <w:rFonts w:ascii="TT Norms Pro Light" w:hAnsi="TT Norms Pro Light"/>
          <w:b w:val="0"/>
          <w:color w:val="21409A"/>
          <w:spacing w:val="-2"/>
          <w:sz w:val="24"/>
        </w:rPr>
        <w:t>connectivity.</w:t>
      </w:r>
    </w:p>
    <w:p>
      <w:pPr>
        <w:pStyle w:val="BodyText"/>
        <w:rPr>
          <w:b w:val="0"/>
          <w:sz w:val="20"/>
        </w:rPr>
      </w:pPr>
    </w:p>
    <w:p>
      <w:pPr>
        <w:pStyle w:val="BodyText"/>
        <w:rPr>
          <w:b w:val="0"/>
          <w:sz w:val="20"/>
        </w:rPr>
      </w:pPr>
    </w:p>
    <w:p>
      <w:pPr>
        <w:pStyle w:val="BodyText"/>
        <w:spacing w:before="158"/>
        <w:rPr>
          <w:b w:val="0"/>
          <w:sz w:val="20"/>
        </w:rPr>
      </w:pPr>
    </w:p>
    <w:p>
      <w:pPr>
        <w:spacing w:after="0"/>
        <w:rPr>
          <w:sz w:val="20"/>
        </w:rPr>
        <w:sectPr>
          <w:pgSz w:w="11910" w:h="16840"/>
          <w:pgMar w:header="468" w:footer="0" w:top="720" w:bottom="0" w:left="0" w:right="780"/>
        </w:sectPr>
      </w:pPr>
    </w:p>
    <w:p>
      <w:pPr>
        <w:pStyle w:val="BodyText"/>
        <w:spacing w:line="295" w:lineRule="auto" w:before="123"/>
        <w:ind w:left="1133"/>
        <w:rPr>
          <w:b w:val="0"/>
        </w:rPr>
      </w:pPr>
      <w:r>
        <w:rPr>
          <w:b w:val="0"/>
        </w:rPr>
        <w:t>The disruption of 2020 has had an impact on UWA’s</w:t>
      </w:r>
      <w:r>
        <w:rPr>
          <w:b w:val="0"/>
          <w:spacing w:val="40"/>
        </w:rPr>
        <w:t> </w:t>
      </w:r>
      <w:r>
        <w:rPr>
          <w:b w:val="0"/>
        </w:rPr>
        <w:t>campus environment, both in its use and plans for its</w:t>
      </w:r>
      <w:r>
        <w:rPr>
          <w:b w:val="0"/>
          <w:spacing w:val="40"/>
        </w:rPr>
        <w:t> </w:t>
      </w:r>
      <w:r>
        <w:rPr>
          <w:b w:val="0"/>
        </w:rPr>
        <w:t>enhancement. Following both State and Federal</w:t>
      </w:r>
      <w:r>
        <w:rPr>
          <w:b w:val="0"/>
          <w:spacing w:val="40"/>
        </w:rPr>
        <w:t> </w:t>
      </w:r>
      <w:r>
        <w:rPr>
          <w:b w:val="0"/>
        </w:rPr>
        <w:t>guidelines and other expert medical advice, demands on</w:t>
      </w:r>
      <w:r>
        <w:rPr>
          <w:b w:val="0"/>
          <w:spacing w:val="40"/>
        </w:rPr>
        <w:t> </w:t>
      </w:r>
      <w:r>
        <w:rPr>
          <w:b w:val="0"/>
        </w:rPr>
        <w:t>UWA’s campus and infrastructure shifted in the first</w:t>
      </w:r>
      <w:r>
        <w:rPr>
          <w:b w:val="0"/>
          <w:spacing w:val="40"/>
        </w:rPr>
        <w:t> </w:t>
      </w:r>
      <w:r>
        <w:rPr>
          <w:b w:val="0"/>
        </w:rPr>
        <w:t>quarter of 2020. Staff and students were moved toward</w:t>
      </w:r>
      <w:r>
        <w:rPr>
          <w:b w:val="0"/>
          <w:spacing w:val="40"/>
        </w:rPr>
        <w:t> </w:t>
      </w:r>
      <w:r>
        <w:rPr>
          <w:b w:val="0"/>
        </w:rPr>
        <w:t>significantly higher online engagements and activities in</w:t>
      </w:r>
      <w:r>
        <w:rPr>
          <w:b w:val="0"/>
          <w:spacing w:val="40"/>
        </w:rPr>
        <w:t> </w:t>
      </w:r>
      <w:r>
        <w:rPr>
          <w:b w:val="0"/>
        </w:rPr>
        <w:t>line with COVID-19 related advice to minimise potential</w:t>
      </w:r>
      <w:r>
        <w:rPr>
          <w:b w:val="0"/>
          <w:spacing w:val="40"/>
        </w:rPr>
        <w:t> </w:t>
      </w:r>
      <w:r>
        <w:rPr>
          <w:b w:val="0"/>
        </w:rPr>
        <w:t>risks. There was a greater return to campus starting in</w:t>
      </w:r>
      <w:r>
        <w:rPr>
          <w:b w:val="0"/>
          <w:spacing w:val="40"/>
        </w:rPr>
        <w:t> </w:t>
      </w:r>
      <w:r>
        <w:rPr>
          <w:b w:val="0"/>
        </w:rPr>
        <w:t>Semester 2, but ongoing planning continues in line with</w:t>
      </w:r>
      <w:r>
        <w:rPr>
          <w:b w:val="0"/>
          <w:spacing w:val="40"/>
        </w:rPr>
        <w:t> </w:t>
      </w:r>
      <w:r>
        <w:rPr>
          <w:b w:val="0"/>
        </w:rPr>
        <w:t>evolving health advice and shifts in institutional needs.</w:t>
      </w:r>
    </w:p>
    <w:p>
      <w:pPr>
        <w:pStyle w:val="BodyText"/>
        <w:spacing w:line="295" w:lineRule="auto" w:before="122"/>
        <w:ind w:left="487" w:right="354"/>
        <w:rPr>
          <w:b w:val="0"/>
        </w:rPr>
      </w:pPr>
      <w:r>
        <w:rPr/>
        <w:br w:type="column"/>
      </w:r>
      <w:r>
        <w:rPr>
          <w:b w:val="0"/>
        </w:rPr>
        <w:t>Despite this impact, there has been notable progression in</w:t>
      </w:r>
      <w:r>
        <w:rPr>
          <w:b w:val="0"/>
          <w:spacing w:val="40"/>
        </w:rPr>
        <w:t> </w:t>
      </w:r>
      <w:r>
        <w:rPr>
          <w:b w:val="0"/>
        </w:rPr>
        <w:t>UWA evolving its built environment in line with the </w:t>
      </w:r>
      <w:r>
        <w:rPr>
          <w:b w:val="0"/>
          <w:i/>
        </w:rPr>
        <w:t>UWA</w:t>
      </w:r>
      <w:r>
        <w:rPr>
          <w:b w:val="0"/>
          <w:i/>
          <w:spacing w:val="40"/>
        </w:rPr>
        <w:t> </w:t>
      </w:r>
      <w:r>
        <w:rPr>
          <w:b w:val="0"/>
          <w:i/>
        </w:rPr>
        <w:t>Strategic Plan 2020-25</w:t>
      </w:r>
      <w:r>
        <w:rPr>
          <w:b w:val="0"/>
        </w:rPr>
        <w:t>. The Bilya Marlee (River of the</w:t>
      </w:r>
      <w:r>
        <w:rPr>
          <w:b w:val="0"/>
          <w:spacing w:val="40"/>
        </w:rPr>
        <w:t> </w:t>
      </w:r>
      <w:r>
        <w:rPr>
          <w:b w:val="0"/>
        </w:rPr>
        <w:t>Swan) building was completed, providing a purpose-built</w:t>
      </w:r>
      <w:r>
        <w:rPr>
          <w:b w:val="0"/>
          <w:spacing w:val="40"/>
        </w:rPr>
        <w:t> </w:t>
      </w:r>
      <w:r>
        <w:rPr>
          <w:b w:val="0"/>
        </w:rPr>
        <w:t>facility integrated with the extension of Prescott Court</w:t>
      </w:r>
      <w:r>
        <w:rPr>
          <w:b w:val="0"/>
          <w:spacing w:val="40"/>
        </w:rPr>
        <w:t> </w:t>
      </w:r>
      <w:r>
        <w:rPr>
          <w:b w:val="0"/>
        </w:rPr>
        <w:t>through to Hackett Drive within the campus Village</w:t>
      </w:r>
      <w:r>
        <w:rPr>
          <w:b w:val="0"/>
          <w:spacing w:val="40"/>
        </w:rPr>
        <w:t> </w:t>
      </w:r>
      <w:r>
        <w:rPr>
          <w:b w:val="0"/>
        </w:rPr>
        <w:t>Quarter, greatly improving the student experience for the</w:t>
      </w:r>
      <w:r>
        <w:rPr>
          <w:b w:val="0"/>
          <w:spacing w:val="40"/>
        </w:rPr>
        <w:t> </w:t>
      </w:r>
      <w:r>
        <w:rPr>
          <w:b w:val="0"/>
        </w:rPr>
        <w:t>School of Indigenous Studies, the Centre for Aboriginal</w:t>
      </w:r>
      <w:r>
        <w:rPr>
          <w:b w:val="0"/>
          <w:spacing w:val="40"/>
        </w:rPr>
        <w:t> </w:t>
      </w:r>
      <w:r>
        <w:rPr>
          <w:b w:val="0"/>
        </w:rPr>
        <w:t>Medical and Dental Health and Poche Centre for</w:t>
      </w:r>
      <w:r>
        <w:rPr>
          <w:b w:val="0"/>
          <w:spacing w:val="40"/>
        </w:rPr>
        <w:t> </w:t>
      </w:r>
      <w:r>
        <w:rPr>
          <w:b w:val="0"/>
        </w:rPr>
        <w:t>Indigenous</w:t>
      </w:r>
      <w:r>
        <w:rPr>
          <w:b w:val="0"/>
          <w:spacing w:val="-5"/>
        </w:rPr>
        <w:t> </w:t>
      </w:r>
      <w:r>
        <w:rPr>
          <w:b w:val="0"/>
        </w:rPr>
        <w:t>Health.</w:t>
      </w:r>
    </w:p>
    <w:p>
      <w:pPr>
        <w:spacing w:after="0" w:line="295" w:lineRule="auto"/>
        <w:sectPr>
          <w:type w:val="continuous"/>
          <w:pgSz w:w="11910" w:h="16840"/>
          <w:pgMar w:header="468" w:footer="0" w:top="980" w:bottom="280" w:left="0" w:right="780"/>
          <w:cols w:num="2" w:equalWidth="0">
            <w:col w:w="5624" w:space="40"/>
            <w:col w:w="5466"/>
          </w:cols>
        </w:sectPr>
      </w:pPr>
    </w:p>
    <w:p>
      <w:pPr>
        <w:rPr>
          <w:sz w:val="2"/>
          <w:szCs w:val="2"/>
        </w:rPr>
      </w:pPr>
      <w:r>
        <w:rPr/>
        <mc:AlternateContent>
          <mc:Choice Requires="wps">
            <w:drawing>
              <wp:anchor distT="0" distB="0" distL="0" distR="0" allowOverlap="1" layoutInCell="1" locked="0" behindDoc="0" simplePos="0" relativeHeight="15806976">
                <wp:simplePos x="0" y="0"/>
                <wp:positionH relativeFrom="page">
                  <wp:posOffset>0</wp:posOffset>
                </wp:positionH>
                <wp:positionV relativeFrom="page">
                  <wp:posOffset>6854990</wp:posOffset>
                </wp:positionV>
                <wp:extent cx="6985634" cy="3837304"/>
                <wp:effectExtent l="0" t="0" r="0" b="0"/>
                <wp:wrapNone/>
                <wp:docPr id="350" name="Group 350"/>
                <wp:cNvGraphicFramePr>
                  <a:graphicFrameLocks/>
                </wp:cNvGraphicFramePr>
                <a:graphic>
                  <a:graphicData uri="http://schemas.microsoft.com/office/word/2010/wordprocessingGroup">
                    <wpg:wgp>
                      <wpg:cNvPr id="350" name="Group 350"/>
                      <wpg:cNvGrpSpPr/>
                      <wpg:grpSpPr>
                        <a:xfrm>
                          <a:off x="0" y="0"/>
                          <a:ext cx="6985634" cy="3837304"/>
                          <a:chExt cx="6985634" cy="3837304"/>
                        </a:xfrm>
                      </wpg:grpSpPr>
                      <pic:pic>
                        <pic:nvPicPr>
                          <pic:cNvPr id="351" name="Image 351"/>
                          <pic:cNvPicPr/>
                        </pic:nvPicPr>
                        <pic:blipFill>
                          <a:blip r:embed="rId55" cstate="print"/>
                          <a:stretch>
                            <a:fillRect/>
                          </a:stretch>
                        </pic:blipFill>
                        <pic:spPr>
                          <a:xfrm>
                            <a:off x="0" y="88010"/>
                            <a:ext cx="6839991" cy="3749001"/>
                          </a:xfrm>
                          <a:prstGeom prst="rect">
                            <a:avLst/>
                          </a:prstGeom>
                        </pic:spPr>
                      </pic:pic>
                      <wps:wsp>
                        <wps:cNvPr id="352" name="Graphic 352"/>
                        <wps:cNvSpPr/>
                        <wps:spPr>
                          <a:xfrm>
                            <a:off x="3654006" y="0"/>
                            <a:ext cx="3331210" cy="1155065"/>
                          </a:xfrm>
                          <a:custGeom>
                            <a:avLst/>
                            <a:gdLst/>
                            <a:ahLst/>
                            <a:cxnLst/>
                            <a:rect l="l" t="t" r="r" b="b"/>
                            <a:pathLst>
                              <a:path w="3331210" h="1155065">
                                <a:moveTo>
                                  <a:pt x="3331095" y="0"/>
                                </a:moveTo>
                                <a:lnTo>
                                  <a:pt x="0" y="0"/>
                                </a:lnTo>
                                <a:lnTo>
                                  <a:pt x="0" y="1154810"/>
                                </a:lnTo>
                                <a:lnTo>
                                  <a:pt x="3331095" y="1154810"/>
                                </a:lnTo>
                                <a:lnTo>
                                  <a:pt x="3331095" y="0"/>
                                </a:lnTo>
                                <a:close/>
                              </a:path>
                            </a:pathLst>
                          </a:custGeom>
                          <a:solidFill>
                            <a:srgbClr val="FFFFFF"/>
                          </a:solidFill>
                        </wps:spPr>
                        <wps:bodyPr wrap="square" lIns="0" tIns="0" rIns="0" bIns="0" rtlCol="0">
                          <a:prstTxWarp prst="textNoShape">
                            <a:avLst/>
                          </a:prstTxWarp>
                          <a:noAutofit/>
                        </wps:bodyPr>
                      </wps:wsp>
                      <pic:pic>
                        <pic:nvPicPr>
                          <pic:cNvPr id="353" name="Image 353"/>
                          <pic:cNvPicPr/>
                        </pic:nvPicPr>
                        <pic:blipFill>
                          <a:blip r:embed="rId56" cstate="print"/>
                          <a:stretch>
                            <a:fillRect/>
                          </a:stretch>
                        </pic:blipFill>
                        <pic:spPr>
                          <a:xfrm>
                            <a:off x="3653993" y="976414"/>
                            <a:ext cx="3185998" cy="178396"/>
                          </a:xfrm>
                          <a:prstGeom prst="rect">
                            <a:avLst/>
                          </a:prstGeom>
                        </pic:spPr>
                      </pic:pic>
                    </wpg:wgp>
                  </a:graphicData>
                </a:graphic>
              </wp:anchor>
            </w:drawing>
          </mc:Choice>
          <mc:Fallback>
            <w:pict>
              <v:group style="position:absolute;margin-left:0pt;margin-top:539.763pt;width:550.050pt;height:302.150pt;mso-position-horizontal-relative:page;mso-position-vertical-relative:page;z-index:15806976" id="docshapegroup208" coordorigin="0,10795" coordsize="11001,6043">
                <v:shape style="position:absolute;left:0;top:10933;width:10772;height:5904" type="#_x0000_t75" id="docshape209" stroked="false">
                  <v:imagedata r:id="rId55" o:title=""/>
                </v:shape>
                <v:rect style="position:absolute;left:5754;top:10795;width:5246;height:1819" id="docshape210" filled="true" fillcolor="#ffffff" stroked="false">
                  <v:fill type="solid"/>
                </v:rect>
                <v:shape style="position:absolute;left:5754;top:12332;width:5018;height:281" type="#_x0000_t75" id="docshape211" stroked="false">
                  <v:imagedata r:id="rId56" o:title=""/>
                </v:shape>
                <w10:wrap type="none"/>
              </v:group>
            </w:pict>
          </mc:Fallback>
        </mc:AlternateContent>
      </w:r>
    </w:p>
    <w:p>
      <w:pPr>
        <w:spacing w:after="0"/>
        <w:rPr>
          <w:sz w:val="2"/>
          <w:szCs w:val="2"/>
        </w:rPr>
        <w:sectPr>
          <w:type w:val="continuous"/>
          <w:pgSz w:w="11910" w:h="16840"/>
          <w:pgMar w:header="468" w:footer="0" w:top="980" w:bottom="280" w:left="0" w:right="780"/>
        </w:sectPr>
      </w:pPr>
    </w:p>
    <w:p>
      <w:pPr>
        <w:pStyle w:val="BodyText"/>
        <w:spacing w:before="165" w:after="1"/>
        <w:rPr>
          <w:b w:val="0"/>
          <w:sz w:val="20"/>
        </w:rPr>
      </w:pPr>
    </w:p>
    <w:p>
      <w:pPr>
        <w:pStyle w:val="BodyText"/>
        <w:rPr>
          <w:sz w:val="20"/>
        </w:rPr>
      </w:pPr>
      <w:r>
        <w:rPr>
          <w:sz w:val="20"/>
        </w:rPr>
        <mc:AlternateContent>
          <mc:Choice Requires="wps">
            <w:drawing>
              <wp:inline distT="0" distB="0" distL="0" distR="0">
                <wp:extent cx="6840220" cy="3556000"/>
                <wp:effectExtent l="0" t="0" r="0" b="6350"/>
                <wp:docPr id="354" name="Group 354"/>
                <wp:cNvGraphicFramePr>
                  <a:graphicFrameLocks/>
                </wp:cNvGraphicFramePr>
                <a:graphic>
                  <a:graphicData uri="http://schemas.microsoft.com/office/word/2010/wordprocessingGroup">
                    <wpg:wgp>
                      <wpg:cNvPr id="354" name="Group 354"/>
                      <wpg:cNvGrpSpPr/>
                      <wpg:grpSpPr>
                        <a:xfrm>
                          <a:off x="0" y="0"/>
                          <a:ext cx="6840220" cy="3556000"/>
                          <a:chExt cx="6840220" cy="3556000"/>
                        </a:xfrm>
                      </wpg:grpSpPr>
                      <pic:pic>
                        <pic:nvPicPr>
                          <pic:cNvPr id="355" name="Image 355"/>
                          <pic:cNvPicPr/>
                        </pic:nvPicPr>
                        <pic:blipFill>
                          <a:blip r:embed="rId57" cstate="print"/>
                          <a:stretch>
                            <a:fillRect/>
                          </a:stretch>
                        </pic:blipFill>
                        <pic:spPr>
                          <a:xfrm>
                            <a:off x="4967998" y="1778012"/>
                            <a:ext cx="1871992" cy="1777987"/>
                          </a:xfrm>
                          <a:prstGeom prst="rect">
                            <a:avLst/>
                          </a:prstGeom>
                        </pic:spPr>
                      </pic:pic>
                      <pic:pic>
                        <pic:nvPicPr>
                          <pic:cNvPr id="356" name="Image 356"/>
                          <pic:cNvPicPr/>
                        </pic:nvPicPr>
                        <pic:blipFill>
                          <a:blip r:embed="rId58" cstate="print"/>
                          <a:stretch>
                            <a:fillRect/>
                          </a:stretch>
                        </pic:blipFill>
                        <pic:spPr>
                          <a:xfrm>
                            <a:off x="0" y="0"/>
                            <a:ext cx="6660629" cy="3378200"/>
                          </a:xfrm>
                          <a:prstGeom prst="rect">
                            <a:avLst/>
                          </a:prstGeom>
                        </pic:spPr>
                      </pic:pic>
                    </wpg:wgp>
                  </a:graphicData>
                </a:graphic>
              </wp:inline>
            </w:drawing>
          </mc:Choice>
          <mc:Fallback>
            <w:pict>
              <v:group style="width:538.6pt;height:280pt;mso-position-horizontal-relative:char;mso-position-vertical-relative:line" id="docshapegroup212" coordorigin="0,0" coordsize="10772,5600">
                <v:shape style="position:absolute;left:7823;top:2800;width:2949;height:2800" type="#_x0000_t75" id="docshape213" stroked="false">
                  <v:imagedata r:id="rId57" o:title=""/>
                </v:shape>
                <v:shape style="position:absolute;left:0;top:0;width:10490;height:5320" type="#_x0000_t75" id="docshape214" stroked="false">
                  <v:imagedata r:id="rId58" o:title=""/>
                </v:shape>
              </v:group>
            </w:pict>
          </mc:Fallback>
        </mc:AlternateContent>
      </w:r>
      <w:r>
        <w:rPr>
          <w:sz w:val="20"/>
        </w:rPr>
      </w:r>
    </w:p>
    <w:p>
      <w:pPr>
        <w:pStyle w:val="BodyText"/>
        <w:spacing w:before="176"/>
        <w:rPr>
          <w:b w:val="0"/>
          <w:sz w:val="20"/>
        </w:rPr>
      </w:pPr>
    </w:p>
    <w:p>
      <w:pPr>
        <w:spacing w:after="0"/>
        <w:rPr>
          <w:sz w:val="20"/>
        </w:rPr>
        <w:sectPr>
          <w:pgSz w:w="11910" w:h="16840"/>
          <w:pgMar w:header="468" w:footer="0" w:top="720" w:bottom="280" w:left="0" w:right="780"/>
        </w:sectPr>
      </w:pPr>
    </w:p>
    <w:p>
      <w:pPr>
        <w:pStyle w:val="BodyText"/>
        <w:spacing w:line="295" w:lineRule="auto" w:before="122"/>
        <w:ind w:left="1133" w:right="65"/>
        <w:rPr>
          <w:b w:val="0"/>
        </w:rPr>
      </w:pPr>
      <w:r>
        <w:rPr/>
        <mc:AlternateContent>
          <mc:Choice Requires="wps">
            <w:drawing>
              <wp:anchor distT="0" distB="0" distL="0" distR="0" allowOverlap="1" layoutInCell="1" locked="0" behindDoc="0" simplePos="0" relativeHeight="15808000">
                <wp:simplePos x="0" y="0"/>
                <wp:positionH relativeFrom="page">
                  <wp:posOffset>7111289</wp:posOffset>
                </wp:positionH>
                <wp:positionV relativeFrom="page">
                  <wp:posOffset>8136825</wp:posOffset>
                </wp:positionV>
                <wp:extent cx="177800" cy="1848485"/>
                <wp:effectExtent l="0" t="0" r="0" b="0"/>
                <wp:wrapNone/>
                <wp:docPr id="357" name="Textbox 357"/>
                <wp:cNvGraphicFramePr>
                  <a:graphicFrameLocks/>
                </wp:cNvGraphicFramePr>
                <a:graphic>
                  <a:graphicData uri="http://schemas.microsoft.com/office/word/2010/wordprocessingShape">
                    <wps:wsp>
                      <wps:cNvPr id="357" name="Textbox 357"/>
                      <wps:cNvSpPr txBox="1"/>
                      <wps:spPr>
                        <a:xfrm>
                          <a:off x="0" y="0"/>
                          <a:ext cx="177800" cy="184848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640.694885pt;width:14pt;height:145.550pt;mso-position-horizontal-relative:page;mso-position-vertical-relative:page;z-index:15808000" type="#_x0000_t202" id="docshape215"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v:textbox>
                <w10:wrap type="none"/>
              </v:shape>
            </w:pict>
          </mc:Fallback>
        </mc:AlternateContent>
      </w:r>
      <w:r>
        <w:rPr>
          <w:b w:val="0"/>
        </w:rPr>
        <w:t>This year also saw the opening of EZONE Central, an</w:t>
      </w:r>
      <w:r>
        <w:rPr>
          <w:b w:val="0"/>
          <w:spacing w:val="40"/>
        </w:rPr>
        <w:t> </w:t>
      </w:r>
      <w:r>
        <w:rPr>
          <w:b w:val="0"/>
        </w:rPr>
        <w:t>exciting step forward in a major University project, the</w:t>
      </w:r>
      <w:r>
        <w:rPr>
          <w:b w:val="0"/>
          <w:spacing w:val="40"/>
        </w:rPr>
        <w:t> </w:t>
      </w:r>
      <w:r>
        <w:rPr>
          <w:b w:val="0"/>
        </w:rPr>
        <w:t>EZONE</w:t>
      </w:r>
      <w:r>
        <w:rPr>
          <w:b w:val="0"/>
          <w:spacing w:val="-3"/>
        </w:rPr>
        <w:t> </w:t>
      </w:r>
      <w:r>
        <w:rPr>
          <w:b w:val="0"/>
        </w:rPr>
        <w:t>UWA</w:t>
      </w:r>
      <w:r>
        <w:rPr>
          <w:b w:val="0"/>
          <w:spacing w:val="-3"/>
        </w:rPr>
        <w:t> </w:t>
      </w:r>
      <w:r>
        <w:rPr>
          <w:b w:val="0"/>
        </w:rPr>
        <w:t>Student</w:t>
      </w:r>
      <w:r>
        <w:rPr>
          <w:b w:val="0"/>
          <w:spacing w:val="-3"/>
        </w:rPr>
        <w:t> </w:t>
      </w:r>
      <w:r>
        <w:rPr>
          <w:b w:val="0"/>
        </w:rPr>
        <w:t>Hub.</w:t>
      </w:r>
      <w:r>
        <w:rPr>
          <w:b w:val="0"/>
          <w:spacing w:val="-3"/>
        </w:rPr>
        <w:t> </w:t>
      </w:r>
      <w:r>
        <w:rPr>
          <w:b w:val="0"/>
        </w:rPr>
        <w:t>EZONE</w:t>
      </w:r>
      <w:r>
        <w:rPr>
          <w:b w:val="0"/>
          <w:spacing w:val="-3"/>
        </w:rPr>
        <w:t> </w:t>
      </w:r>
      <w:r>
        <w:rPr>
          <w:b w:val="0"/>
        </w:rPr>
        <w:t>seeks</w:t>
      </w:r>
      <w:r>
        <w:rPr>
          <w:b w:val="0"/>
          <w:spacing w:val="-3"/>
        </w:rPr>
        <w:t> </w:t>
      </w:r>
      <w:r>
        <w:rPr>
          <w:b w:val="0"/>
        </w:rPr>
        <w:t>to</w:t>
      </w:r>
      <w:r>
        <w:rPr>
          <w:b w:val="0"/>
          <w:spacing w:val="-3"/>
        </w:rPr>
        <w:t> </w:t>
      </w:r>
      <w:r>
        <w:rPr>
          <w:b w:val="0"/>
        </w:rPr>
        <w:t>transform</w:t>
      </w:r>
      <w:r>
        <w:rPr>
          <w:b w:val="0"/>
          <w:spacing w:val="40"/>
        </w:rPr>
        <w:t> </w:t>
      </w:r>
      <w:r>
        <w:rPr>
          <w:b w:val="0"/>
        </w:rPr>
        <w:t>the way students learn, research and engage with</w:t>
      </w:r>
      <w:r>
        <w:rPr>
          <w:b w:val="0"/>
          <w:spacing w:val="40"/>
        </w:rPr>
        <w:t> </w:t>
      </w:r>
      <w:r>
        <w:rPr>
          <w:b w:val="0"/>
        </w:rPr>
        <w:t>community, industry and alumni. EZONE Central’s</w:t>
      </w:r>
      <w:r>
        <w:rPr>
          <w:b w:val="0"/>
          <w:spacing w:val="40"/>
        </w:rPr>
        <w:t> </w:t>
      </w:r>
      <w:r>
        <w:rPr>
          <w:b w:val="0"/>
        </w:rPr>
        <w:t>completion followed the opening of EZONE North in</w:t>
      </w:r>
      <w:r>
        <w:rPr>
          <w:b w:val="0"/>
          <w:spacing w:val="40"/>
        </w:rPr>
        <w:t> </w:t>
      </w:r>
      <w:r>
        <w:rPr>
          <w:b w:val="0"/>
        </w:rPr>
        <w:t>Semester 2, 2019.</w:t>
      </w:r>
    </w:p>
    <w:p>
      <w:pPr>
        <w:pStyle w:val="BodyText"/>
        <w:spacing w:before="55"/>
        <w:rPr>
          <w:b w:val="0"/>
        </w:rPr>
      </w:pPr>
    </w:p>
    <w:p>
      <w:pPr>
        <w:pStyle w:val="BodyText"/>
        <w:spacing w:line="297" w:lineRule="auto"/>
        <w:ind w:left="1133" w:right="-3"/>
        <w:rPr>
          <w:b w:val="0"/>
        </w:rPr>
      </w:pPr>
      <w:r>
        <w:rPr>
          <w:b w:val="0"/>
        </w:rPr>
        <w:t>The staged delivery of the fit-out supporting the</w:t>
      </w:r>
      <w:r>
        <w:rPr>
          <w:b w:val="0"/>
          <w:spacing w:val="40"/>
        </w:rPr>
        <w:t> </w:t>
      </w:r>
      <w:r>
        <w:rPr>
          <w:b w:val="0"/>
        </w:rPr>
        <w:t>establishment of the Doctor of Optometry commenced</w:t>
      </w:r>
      <w:r>
        <w:rPr>
          <w:b w:val="0"/>
          <w:spacing w:val="40"/>
        </w:rPr>
        <w:t> </w:t>
      </w:r>
      <w:r>
        <w:rPr>
          <w:b w:val="0"/>
        </w:rPr>
        <w:t>construction over the academic break in December 2020</w:t>
      </w:r>
      <w:r>
        <w:rPr>
          <w:b w:val="0"/>
          <w:spacing w:val="40"/>
        </w:rPr>
        <w:t> </w:t>
      </w:r>
      <w:r>
        <w:rPr>
          <w:b w:val="0"/>
        </w:rPr>
        <w:t>with</w:t>
      </w:r>
      <w:r>
        <w:rPr>
          <w:b w:val="0"/>
          <w:spacing w:val="-9"/>
        </w:rPr>
        <w:t> </w:t>
      </w:r>
      <w:r>
        <w:rPr>
          <w:b w:val="0"/>
        </w:rPr>
        <w:t>a</w:t>
      </w:r>
      <w:r>
        <w:rPr>
          <w:b w:val="0"/>
          <w:spacing w:val="-9"/>
        </w:rPr>
        <w:t> </w:t>
      </w:r>
      <w:r>
        <w:rPr>
          <w:b w:val="0"/>
        </w:rPr>
        <w:t>subsequent</w:t>
      </w:r>
      <w:r>
        <w:rPr>
          <w:b w:val="0"/>
          <w:spacing w:val="-9"/>
        </w:rPr>
        <w:t> </w:t>
      </w:r>
      <w:r>
        <w:rPr>
          <w:b w:val="0"/>
        </w:rPr>
        <w:t>stage</w:t>
      </w:r>
      <w:r>
        <w:rPr>
          <w:b w:val="0"/>
          <w:spacing w:val="-9"/>
        </w:rPr>
        <w:t> </w:t>
      </w:r>
      <w:r>
        <w:rPr>
          <w:b w:val="0"/>
        </w:rPr>
        <w:t>to</w:t>
      </w:r>
      <w:r>
        <w:rPr>
          <w:b w:val="0"/>
          <w:spacing w:val="-9"/>
        </w:rPr>
        <w:t> </w:t>
      </w:r>
      <w:r>
        <w:rPr>
          <w:b w:val="0"/>
        </w:rPr>
        <w:t>be</w:t>
      </w:r>
      <w:r>
        <w:rPr>
          <w:b w:val="0"/>
          <w:spacing w:val="-9"/>
        </w:rPr>
        <w:t> </w:t>
      </w:r>
      <w:r>
        <w:rPr>
          <w:b w:val="0"/>
        </w:rPr>
        <w:t>implemented</w:t>
      </w:r>
      <w:r>
        <w:rPr>
          <w:b w:val="0"/>
          <w:spacing w:val="-9"/>
        </w:rPr>
        <w:t> </w:t>
      </w:r>
      <w:r>
        <w:rPr>
          <w:b w:val="0"/>
        </w:rPr>
        <w:t>in</w:t>
      </w:r>
      <w:r>
        <w:rPr>
          <w:b w:val="0"/>
          <w:spacing w:val="-9"/>
        </w:rPr>
        <w:t> </w:t>
      </w:r>
      <w:r>
        <w:rPr>
          <w:b w:val="0"/>
        </w:rPr>
        <w:t>late</w:t>
      </w:r>
      <w:r>
        <w:rPr>
          <w:b w:val="0"/>
          <w:spacing w:val="-9"/>
        </w:rPr>
        <w:t> </w:t>
      </w:r>
      <w:r>
        <w:rPr>
          <w:b w:val="0"/>
        </w:rPr>
        <w:t>2021/22.</w:t>
      </w:r>
    </w:p>
    <w:p>
      <w:pPr>
        <w:pStyle w:val="BodyText"/>
        <w:spacing w:before="45"/>
        <w:rPr>
          <w:b w:val="0"/>
        </w:rPr>
      </w:pPr>
    </w:p>
    <w:p>
      <w:pPr>
        <w:pStyle w:val="BodyText"/>
        <w:spacing w:line="295" w:lineRule="auto" w:before="1"/>
        <w:ind w:left="1133" w:right="-3"/>
        <w:rPr>
          <w:b w:val="0"/>
        </w:rPr>
      </w:pPr>
      <w:r>
        <w:rPr>
          <w:b w:val="0"/>
        </w:rPr>
        <w:t>The completion of these significant buildings, along with</w:t>
      </w:r>
      <w:r>
        <w:rPr>
          <w:b w:val="0"/>
          <w:spacing w:val="40"/>
        </w:rPr>
        <w:t> </w:t>
      </w:r>
      <w:r>
        <w:rPr>
          <w:b w:val="0"/>
        </w:rPr>
        <w:t>other related activities, has progressed the University in its</w:t>
      </w:r>
      <w:r>
        <w:rPr>
          <w:b w:val="0"/>
          <w:spacing w:val="40"/>
        </w:rPr>
        <w:t> </w:t>
      </w:r>
      <w:r>
        <w:rPr>
          <w:b w:val="0"/>
        </w:rPr>
        <w:t>strategic aims of both preserving the existing distinct and</w:t>
      </w:r>
      <w:r>
        <w:rPr>
          <w:b w:val="0"/>
          <w:spacing w:val="40"/>
        </w:rPr>
        <w:t> </w:t>
      </w:r>
      <w:r>
        <w:rPr>
          <w:b w:val="0"/>
        </w:rPr>
        <w:t>vibrant campus identity while also improving campus</w:t>
      </w:r>
      <w:r>
        <w:rPr>
          <w:b w:val="0"/>
          <w:spacing w:val="40"/>
        </w:rPr>
        <w:t> </w:t>
      </w:r>
      <w:r>
        <w:rPr>
          <w:b w:val="0"/>
        </w:rPr>
        <w:t>connections. This has been embodied in the </w:t>
      </w:r>
      <w:r>
        <w:rPr>
          <w:b w:val="0"/>
          <w:i/>
        </w:rPr>
        <w:t>2020 UWA</w:t>
      </w:r>
      <w:r>
        <w:rPr>
          <w:b w:val="0"/>
          <w:i/>
          <w:spacing w:val="40"/>
        </w:rPr>
        <w:t> </w:t>
      </w:r>
      <w:r>
        <w:rPr>
          <w:b w:val="0"/>
          <w:i/>
        </w:rPr>
        <w:t>Crawley Campus Masterplan </w:t>
      </w:r>
      <w:r>
        <w:rPr>
          <w:b w:val="0"/>
        </w:rPr>
        <w:t>and supporting strategies,</w:t>
      </w:r>
      <w:r>
        <w:rPr>
          <w:b w:val="0"/>
          <w:spacing w:val="40"/>
        </w:rPr>
        <w:t> </w:t>
      </w:r>
      <w:r>
        <w:rPr>
          <w:b w:val="0"/>
        </w:rPr>
        <w:t>approved by Senate.</w:t>
      </w:r>
    </w:p>
    <w:p>
      <w:pPr>
        <w:pStyle w:val="BodyText"/>
        <w:spacing w:before="55"/>
        <w:rPr>
          <w:b w:val="0"/>
        </w:rPr>
      </w:pPr>
    </w:p>
    <w:p>
      <w:pPr>
        <w:pStyle w:val="BodyText"/>
        <w:spacing w:line="295" w:lineRule="auto"/>
        <w:ind w:left="1133" w:right="24"/>
        <w:rPr>
          <w:b w:val="0"/>
        </w:rPr>
      </w:pPr>
      <w:r>
        <w:rPr>
          <w:b w:val="0"/>
        </w:rPr>
        <w:t>There has also been progress towards the University's aim</w:t>
      </w:r>
      <w:r>
        <w:rPr>
          <w:b w:val="0"/>
          <w:spacing w:val="40"/>
        </w:rPr>
        <w:t> </w:t>
      </w:r>
      <w:r>
        <w:rPr>
          <w:b w:val="0"/>
        </w:rPr>
        <w:t>of creating a more clean, green and environmentally</w:t>
      </w:r>
      <w:r>
        <w:rPr>
          <w:b w:val="0"/>
          <w:spacing w:val="40"/>
        </w:rPr>
        <w:t> </w:t>
      </w:r>
      <w:r>
        <w:rPr>
          <w:b w:val="0"/>
        </w:rPr>
        <w:t>sustainable campus. A key goal in this space is achieving</w:t>
      </w:r>
      <w:r>
        <w:rPr>
          <w:b w:val="0"/>
          <w:spacing w:val="40"/>
        </w:rPr>
        <w:t> </w:t>
      </w:r>
      <w:r>
        <w:rPr>
          <w:b w:val="0"/>
        </w:rPr>
        <w:t>carbon neutrality by no later than 2030, which will involve</w:t>
      </w:r>
      <w:r>
        <w:rPr>
          <w:b w:val="0"/>
          <w:spacing w:val="40"/>
        </w:rPr>
        <w:t> </w:t>
      </w:r>
      <w:r>
        <w:rPr>
          <w:b w:val="0"/>
        </w:rPr>
        <w:t>a range of actions such as improving energy efficiency of</w:t>
      </w:r>
      <w:r>
        <w:rPr>
          <w:b w:val="0"/>
          <w:spacing w:val="40"/>
        </w:rPr>
        <w:t> </w:t>
      </w:r>
      <w:r>
        <w:rPr>
          <w:b w:val="0"/>
        </w:rPr>
        <w:t>existing facilities, installing greater solar photovoltaic</w:t>
      </w:r>
      <w:r>
        <w:rPr>
          <w:b w:val="0"/>
          <w:spacing w:val="40"/>
        </w:rPr>
        <w:t> </w:t>
      </w:r>
      <w:r>
        <w:rPr>
          <w:b w:val="0"/>
        </w:rPr>
        <w:t>generation capacity, increased real-time monitoring of</w:t>
      </w:r>
      <w:r>
        <w:rPr>
          <w:b w:val="0"/>
          <w:spacing w:val="40"/>
        </w:rPr>
        <w:t> </w:t>
      </w:r>
      <w:r>
        <w:rPr>
          <w:b w:val="0"/>
        </w:rPr>
        <w:t>energy usage, implementation of our Thermal Energy</w:t>
      </w:r>
      <w:r>
        <w:rPr>
          <w:b w:val="0"/>
          <w:spacing w:val="40"/>
        </w:rPr>
        <w:t> </w:t>
      </w:r>
      <w:r>
        <w:rPr>
          <w:b w:val="0"/>
        </w:rPr>
        <w:t>Strategy</w:t>
      </w:r>
      <w:r>
        <w:rPr>
          <w:b w:val="0"/>
          <w:spacing w:val="-9"/>
        </w:rPr>
        <w:t> </w:t>
      </w:r>
      <w:r>
        <w:rPr>
          <w:b w:val="0"/>
        </w:rPr>
        <w:t>and</w:t>
      </w:r>
      <w:r>
        <w:rPr>
          <w:b w:val="0"/>
          <w:spacing w:val="-9"/>
        </w:rPr>
        <w:t> </w:t>
      </w:r>
      <w:r>
        <w:rPr>
          <w:b w:val="0"/>
        </w:rPr>
        <w:t>improved</w:t>
      </w:r>
      <w:r>
        <w:rPr>
          <w:b w:val="0"/>
          <w:spacing w:val="-9"/>
        </w:rPr>
        <w:t> </w:t>
      </w:r>
      <w:r>
        <w:rPr>
          <w:b w:val="0"/>
        </w:rPr>
        <w:t>on-campus</w:t>
      </w:r>
      <w:r>
        <w:rPr>
          <w:b w:val="0"/>
          <w:spacing w:val="-9"/>
        </w:rPr>
        <w:t> </w:t>
      </w:r>
      <w:r>
        <w:rPr>
          <w:b w:val="0"/>
        </w:rPr>
        <w:t>energy</w:t>
      </w:r>
      <w:r>
        <w:rPr>
          <w:b w:val="0"/>
          <w:spacing w:val="-9"/>
        </w:rPr>
        <w:t> </w:t>
      </w:r>
      <w:r>
        <w:rPr>
          <w:b w:val="0"/>
        </w:rPr>
        <w:t>storage</w:t>
      </w:r>
      <w:r>
        <w:rPr>
          <w:b w:val="0"/>
          <w:spacing w:val="-9"/>
        </w:rPr>
        <w:t> </w:t>
      </w:r>
      <w:r>
        <w:rPr>
          <w:b w:val="0"/>
        </w:rPr>
        <w:t>options.</w:t>
      </w:r>
    </w:p>
    <w:p>
      <w:pPr>
        <w:pStyle w:val="BodyText"/>
        <w:spacing w:line="295" w:lineRule="auto" w:before="122"/>
        <w:ind w:left="366" w:right="394"/>
        <w:rPr>
          <w:b w:val="0"/>
        </w:rPr>
      </w:pPr>
      <w:r>
        <w:rPr/>
        <w:br w:type="column"/>
      </w:r>
      <w:r>
        <w:rPr>
          <w:b w:val="0"/>
        </w:rPr>
        <w:t>Recognising the challenges facing the arts and hospitality</w:t>
      </w:r>
      <w:r>
        <w:rPr>
          <w:b w:val="0"/>
          <w:spacing w:val="40"/>
        </w:rPr>
        <w:t> </w:t>
      </w:r>
      <w:r>
        <w:rPr>
          <w:b w:val="0"/>
        </w:rPr>
        <w:t>industries, Venues Management responded rapidly and</w:t>
      </w:r>
      <w:r>
        <w:rPr>
          <w:b w:val="0"/>
          <w:spacing w:val="40"/>
        </w:rPr>
        <w:t> </w:t>
      </w:r>
      <w:r>
        <w:rPr>
          <w:b w:val="0"/>
        </w:rPr>
        <w:t>strategically to mitigate the impacts of COVID-19 on</w:t>
      </w:r>
      <w:r>
        <w:rPr>
          <w:b w:val="0"/>
          <w:spacing w:val="40"/>
        </w:rPr>
        <w:t> </w:t>
      </w:r>
      <w:r>
        <w:rPr>
          <w:b w:val="0"/>
        </w:rPr>
        <w:t>University Venues and The University Club. These</w:t>
      </w:r>
      <w:r>
        <w:rPr>
          <w:b w:val="0"/>
          <w:spacing w:val="40"/>
        </w:rPr>
        <w:t> </w:t>
      </w:r>
      <w:r>
        <w:rPr>
          <w:b w:val="0"/>
        </w:rPr>
        <w:t>strategies included, diversification of The University Club</w:t>
      </w:r>
      <w:r>
        <w:rPr>
          <w:b w:val="0"/>
          <w:spacing w:val="40"/>
        </w:rPr>
        <w:t> </w:t>
      </w:r>
      <w:r>
        <w:rPr>
          <w:b w:val="0"/>
        </w:rPr>
        <w:t>membership to family and friends; introduction of</w:t>
      </w:r>
    </w:p>
    <w:p>
      <w:pPr>
        <w:pStyle w:val="BodyText"/>
        <w:spacing w:line="295" w:lineRule="auto" w:before="5"/>
        <w:ind w:left="366" w:right="385"/>
        <w:rPr>
          <w:b w:val="0"/>
        </w:rPr>
      </w:pPr>
      <w:r>
        <w:rPr>
          <w:b w:val="0"/>
        </w:rPr>
        <w:t>contact-free pick-up and delivery meal services and</w:t>
      </w:r>
      <w:r>
        <w:rPr>
          <w:b w:val="0"/>
          <w:spacing w:val="40"/>
        </w:rPr>
        <w:t> </w:t>
      </w:r>
      <w:r>
        <w:rPr>
          <w:b w:val="0"/>
        </w:rPr>
        <w:t>narrowing conference bookings into condensed periods.</w:t>
      </w:r>
    </w:p>
    <w:p>
      <w:pPr>
        <w:pStyle w:val="BodyText"/>
        <w:spacing w:before="51"/>
        <w:rPr>
          <w:b w:val="0"/>
        </w:rPr>
      </w:pPr>
    </w:p>
    <w:p>
      <w:pPr>
        <w:pStyle w:val="BodyText"/>
        <w:spacing w:line="295" w:lineRule="auto"/>
        <w:ind w:left="366" w:right="385"/>
        <w:rPr>
          <w:b w:val="0"/>
        </w:rPr>
      </w:pPr>
      <w:r>
        <w:rPr>
          <w:b w:val="0"/>
        </w:rPr>
        <w:t>Successfully navigating the challenging circumstances,</w:t>
      </w:r>
      <w:r>
        <w:rPr>
          <w:b w:val="0"/>
          <w:spacing w:val="40"/>
        </w:rPr>
        <w:t> </w:t>
      </w:r>
      <w:r>
        <w:rPr>
          <w:b w:val="0"/>
        </w:rPr>
        <w:t>The University Club commenced a measured approach to</w:t>
      </w:r>
      <w:r>
        <w:rPr>
          <w:b w:val="0"/>
          <w:spacing w:val="40"/>
        </w:rPr>
        <w:t> </w:t>
      </w:r>
      <w:r>
        <w:rPr>
          <w:b w:val="0"/>
        </w:rPr>
        <w:t>reopening, safely and enthusiastically welcoming back</w:t>
      </w:r>
      <w:r>
        <w:rPr>
          <w:b w:val="0"/>
          <w:spacing w:val="40"/>
        </w:rPr>
        <w:t> </w:t>
      </w:r>
      <w:r>
        <w:rPr>
          <w:b w:val="0"/>
        </w:rPr>
        <w:t>their supportive members and guests in late May 2020.</w:t>
      </w:r>
    </w:p>
    <w:p>
      <w:pPr>
        <w:pStyle w:val="BodyText"/>
        <w:spacing w:line="295" w:lineRule="auto" w:before="4"/>
        <w:ind w:left="366" w:right="437"/>
        <w:rPr>
          <w:b w:val="0"/>
        </w:rPr>
      </w:pPr>
      <w:r>
        <w:rPr>
          <w:b w:val="0"/>
        </w:rPr>
        <w:t>This was closely followed by University Venues, with the</w:t>
      </w:r>
      <w:r>
        <w:rPr>
          <w:b w:val="0"/>
          <w:spacing w:val="40"/>
        </w:rPr>
        <w:t> </w:t>
      </w:r>
      <w:r>
        <w:rPr>
          <w:b w:val="0"/>
        </w:rPr>
        <w:t>phased reopening of University Theatres and other</w:t>
      </w:r>
      <w:r>
        <w:rPr>
          <w:b w:val="0"/>
          <w:spacing w:val="40"/>
        </w:rPr>
        <w:t> </w:t>
      </w:r>
      <w:r>
        <w:rPr>
          <w:b w:val="0"/>
        </w:rPr>
        <w:t>venues</w:t>
      </w:r>
      <w:r>
        <w:rPr>
          <w:b w:val="0"/>
          <w:spacing w:val="-5"/>
        </w:rPr>
        <w:t> </w:t>
      </w:r>
      <w:r>
        <w:rPr>
          <w:b w:val="0"/>
        </w:rPr>
        <w:t>mid-year.</w:t>
      </w:r>
    </w:p>
    <w:p>
      <w:pPr>
        <w:pStyle w:val="BodyText"/>
        <w:spacing w:before="52"/>
        <w:rPr>
          <w:b w:val="0"/>
        </w:rPr>
      </w:pPr>
    </w:p>
    <w:p>
      <w:pPr>
        <w:pStyle w:val="BodyText"/>
        <w:spacing w:line="295" w:lineRule="auto"/>
        <w:ind w:left="366" w:right="385"/>
        <w:rPr>
          <w:b w:val="0"/>
        </w:rPr>
      </w:pPr>
      <w:r>
        <w:rPr>
          <w:b w:val="0"/>
        </w:rPr>
        <w:t>UWA’s digital environment was significantly tested in</w:t>
      </w:r>
      <w:r>
        <w:rPr>
          <w:b w:val="0"/>
          <w:spacing w:val="40"/>
        </w:rPr>
        <w:t> </w:t>
      </w:r>
      <w:r>
        <w:rPr>
          <w:b w:val="0"/>
        </w:rPr>
        <w:t>2020, with the rapid movement of students to online</w:t>
      </w:r>
      <w:r>
        <w:rPr>
          <w:b w:val="0"/>
          <w:spacing w:val="40"/>
        </w:rPr>
        <w:t> </w:t>
      </w:r>
      <w:r>
        <w:rPr>
          <w:b w:val="0"/>
        </w:rPr>
        <w:t>learning and staff to working from home situations.</w:t>
      </w:r>
    </w:p>
    <w:p>
      <w:pPr>
        <w:pStyle w:val="BodyText"/>
        <w:spacing w:line="295" w:lineRule="auto" w:before="3"/>
        <w:ind w:left="366" w:right="370"/>
        <w:rPr>
          <w:b w:val="0"/>
        </w:rPr>
      </w:pPr>
      <w:r>
        <w:rPr>
          <w:b w:val="0"/>
        </w:rPr>
        <w:t>The University was able to adapt to and accommodate</w:t>
      </w:r>
      <w:r>
        <w:rPr>
          <w:b w:val="0"/>
          <w:spacing w:val="80"/>
        </w:rPr>
        <w:t> </w:t>
      </w:r>
      <w:r>
        <w:rPr>
          <w:b w:val="0"/>
        </w:rPr>
        <w:t>this increased demand with minimal disruption. Looking</w:t>
      </w:r>
      <w:r>
        <w:rPr>
          <w:b w:val="0"/>
          <w:spacing w:val="40"/>
        </w:rPr>
        <w:t> </w:t>
      </w:r>
      <w:r>
        <w:rPr>
          <w:b w:val="0"/>
        </w:rPr>
        <w:t>forward, it is recognised that off-campus support of both</w:t>
      </w:r>
      <w:r>
        <w:rPr>
          <w:b w:val="0"/>
          <w:spacing w:val="40"/>
        </w:rPr>
        <w:t> </w:t>
      </w:r>
      <w:r>
        <w:rPr>
          <w:b w:val="0"/>
        </w:rPr>
        <w:t>students</w:t>
      </w:r>
      <w:r>
        <w:rPr>
          <w:b w:val="0"/>
          <w:spacing w:val="-1"/>
        </w:rPr>
        <w:t> </w:t>
      </w:r>
      <w:r>
        <w:rPr>
          <w:b w:val="0"/>
        </w:rPr>
        <w:t>and</w:t>
      </w:r>
      <w:r>
        <w:rPr>
          <w:b w:val="0"/>
          <w:spacing w:val="-1"/>
        </w:rPr>
        <w:t> </w:t>
      </w:r>
      <w:r>
        <w:rPr>
          <w:b w:val="0"/>
        </w:rPr>
        <w:t>staff</w:t>
      </w:r>
      <w:r>
        <w:rPr>
          <w:b w:val="0"/>
          <w:spacing w:val="-1"/>
        </w:rPr>
        <w:t> </w:t>
      </w:r>
      <w:r>
        <w:rPr>
          <w:b w:val="0"/>
        </w:rPr>
        <w:t>is</w:t>
      </w:r>
      <w:r>
        <w:rPr>
          <w:b w:val="0"/>
          <w:spacing w:val="-1"/>
        </w:rPr>
        <w:t> </w:t>
      </w:r>
      <w:r>
        <w:rPr>
          <w:b w:val="0"/>
        </w:rPr>
        <w:t>likely</w:t>
      </w:r>
      <w:r>
        <w:rPr>
          <w:b w:val="0"/>
          <w:spacing w:val="-1"/>
        </w:rPr>
        <w:t> </w:t>
      </w:r>
      <w:r>
        <w:rPr>
          <w:b w:val="0"/>
        </w:rPr>
        <w:t>to</w:t>
      </w:r>
      <w:r>
        <w:rPr>
          <w:b w:val="0"/>
          <w:spacing w:val="-1"/>
        </w:rPr>
        <w:t> </w:t>
      </w:r>
      <w:r>
        <w:rPr>
          <w:b w:val="0"/>
        </w:rPr>
        <w:t>require</w:t>
      </w:r>
      <w:r>
        <w:rPr>
          <w:b w:val="0"/>
          <w:spacing w:val="-1"/>
        </w:rPr>
        <w:t> </w:t>
      </w:r>
      <w:r>
        <w:rPr>
          <w:b w:val="0"/>
        </w:rPr>
        <w:t>increased</w:t>
      </w:r>
      <w:r>
        <w:rPr>
          <w:b w:val="0"/>
          <w:spacing w:val="-1"/>
        </w:rPr>
        <w:t> </w:t>
      </w:r>
      <w:r>
        <w:rPr>
          <w:b w:val="0"/>
        </w:rPr>
        <w:t>attention</w:t>
      </w:r>
      <w:r>
        <w:rPr>
          <w:b w:val="0"/>
          <w:spacing w:val="-1"/>
        </w:rPr>
        <w:t> </w:t>
      </w:r>
      <w:r>
        <w:rPr>
          <w:b w:val="0"/>
        </w:rPr>
        <w:t>as</w:t>
      </w:r>
      <w:r>
        <w:rPr>
          <w:b w:val="0"/>
          <w:spacing w:val="40"/>
        </w:rPr>
        <w:t> </w:t>
      </w:r>
      <w:r>
        <w:rPr>
          <w:b w:val="0"/>
        </w:rPr>
        <w:t>traditional</w:t>
      </w:r>
      <w:r>
        <w:rPr>
          <w:b w:val="0"/>
          <w:spacing w:val="-4"/>
        </w:rPr>
        <w:t> </w:t>
      </w:r>
      <w:r>
        <w:rPr>
          <w:b w:val="0"/>
        </w:rPr>
        <w:t>ways</w:t>
      </w:r>
      <w:r>
        <w:rPr>
          <w:b w:val="0"/>
          <w:spacing w:val="-4"/>
        </w:rPr>
        <w:t> </w:t>
      </w:r>
      <w:r>
        <w:rPr>
          <w:b w:val="0"/>
        </w:rPr>
        <w:t>of</w:t>
      </w:r>
      <w:r>
        <w:rPr>
          <w:b w:val="0"/>
          <w:spacing w:val="-4"/>
        </w:rPr>
        <w:t> </w:t>
      </w:r>
      <w:r>
        <w:rPr>
          <w:b w:val="0"/>
        </w:rPr>
        <w:t>working</w:t>
      </w:r>
      <w:r>
        <w:rPr>
          <w:b w:val="0"/>
          <w:spacing w:val="-4"/>
        </w:rPr>
        <w:t> </w:t>
      </w:r>
      <w:r>
        <w:rPr>
          <w:b w:val="0"/>
        </w:rPr>
        <w:t>have</w:t>
      </w:r>
      <w:r>
        <w:rPr>
          <w:b w:val="0"/>
          <w:spacing w:val="-4"/>
        </w:rPr>
        <w:t> </w:t>
      </w:r>
      <w:r>
        <w:rPr>
          <w:b w:val="0"/>
        </w:rPr>
        <w:t>been</w:t>
      </w:r>
      <w:r>
        <w:rPr>
          <w:b w:val="0"/>
          <w:spacing w:val="-4"/>
        </w:rPr>
        <w:t> </w:t>
      </w:r>
      <w:r>
        <w:rPr>
          <w:b w:val="0"/>
        </w:rPr>
        <w:t>disrupted.</w:t>
      </w:r>
      <w:r>
        <w:rPr>
          <w:b w:val="0"/>
          <w:spacing w:val="-4"/>
        </w:rPr>
        <w:t> </w:t>
      </w:r>
      <w:r>
        <w:rPr>
          <w:b w:val="0"/>
        </w:rPr>
        <w:t>Our</w:t>
      </w:r>
      <w:r>
        <w:rPr>
          <w:b w:val="0"/>
          <w:spacing w:val="-4"/>
        </w:rPr>
        <w:t> </w:t>
      </w:r>
      <w:r>
        <w:rPr>
          <w:b w:val="0"/>
        </w:rPr>
        <w:t>focus</w:t>
      </w:r>
      <w:r>
        <w:rPr>
          <w:b w:val="0"/>
          <w:spacing w:val="40"/>
        </w:rPr>
        <w:t> </w:t>
      </w:r>
      <w:r>
        <w:rPr>
          <w:b w:val="0"/>
        </w:rPr>
        <w:t>on information technology and complementary on</w:t>
      </w:r>
      <w:r>
        <w:rPr>
          <w:b w:val="0"/>
          <w:spacing w:val="40"/>
        </w:rPr>
        <w:t> </w:t>
      </w:r>
      <w:r>
        <w:rPr>
          <w:b w:val="0"/>
        </w:rPr>
        <w:t>campus learning and working requirements will be</w:t>
      </w:r>
      <w:r>
        <w:rPr>
          <w:b w:val="0"/>
          <w:spacing w:val="40"/>
        </w:rPr>
        <w:t> </w:t>
      </w:r>
      <w:r>
        <w:rPr>
          <w:b w:val="0"/>
        </w:rPr>
        <w:t>developed to support that evolution.</w:t>
      </w:r>
    </w:p>
    <w:p>
      <w:pPr>
        <w:spacing w:after="0" w:line="295" w:lineRule="auto"/>
        <w:sectPr>
          <w:type w:val="continuous"/>
          <w:pgSz w:w="11910" w:h="16840"/>
          <w:pgMar w:header="468" w:footer="0" w:top="980" w:bottom="280" w:left="0" w:right="780"/>
          <w:cols w:num="2" w:equalWidth="0">
            <w:col w:w="5746" w:space="40"/>
            <w:col w:w="5344"/>
          </w:cols>
        </w:sectPr>
      </w:pPr>
    </w:p>
    <w:p>
      <w:pPr>
        <w:spacing w:line="855" w:lineRule="exact" w:before="686"/>
        <w:ind w:left="1093" w:right="0" w:firstLine="0"/>
        <w:jc w:val="left"/>
        <w:rPr>
          <w:rFonts w:ascii="Palatino Linotype"/>
          <w:sz w:val="70"/>
        </w:rPr>
      </w:pPr>
      <w:r>
        <w:rPr>
          <w:rFonts w:ascii="Palatino Linotype"/>
          <w:spacing w:val="-2"/>
          <w:w w:val="110"/>
          <w:sz w:val="70"/>
        </w:rPr>
        <w:t>People</w:t>
      </w:r>
    </w:p>
    <w:p>
      <w:pPr>
        <w:pStyle w:val="Heading2"/>
        <w:spacing w:line="730" w:lineRule="exact"/>
        <w:ind w:left="1848"/>
      </w:pPr>
      <w:r>
        <w:rPr/>
        <w:t>and</w:t>
      </w:r>
      <w:r>
        <w:rPr>
          <w:spacing w:val="-2"/>
        </w:rPr>
        <w:t> Culture</w:t>
      </w:r>
    </w:p>
    <w:p>
      <w:pPr>
        <w:pStyle w:val="BodyText"/>
        <w:rPr>
          <w:rFonts w:ascii="TT Norms Pro"/>
          <w:b/>
          <w:sz w:val="24"/>
        </w:rPr>
      </w:pPr>
    </w:p>
    <w:p>
      <w:pPr>
        <w:pStyle w:val="BodyText"/>
        <w:spacing w:before="138"/>
        <w:rPr>
          <w:rFonts w:ascii="TT Norms Pro"/>
          <w:b/>
          <w:sz w:val="24"/>
        </w:rPr>
      </w:pPr>
    </w:p>
    <w:p>
      <w:pPr>
        <w:pStyle w:val="Heading7"/>
        <w:spacing w:before="1"/>
      </w:pPr>
      <w:r>
        <w:rPr/>
        <mc:AlternateContent>
          <mc:Choice Requires="wps">
            <w:drawing>
              <wp:anchor distT="0" distB="0" distL="0" distR="0" allowOverlap="1" layoutInCell="1" locked="0" behindDoc="0" simplePos="0" relativeHeight="15808512">
                <wp:simplePos x="0" y="0"/>
                <wp:positionH relativeFrom="page">
                  <wp:posOffset>716499</wp:posOffset>
                </wp:positionH>
                <wp:positionV relativeFrom="paragraph">
                  <wp:posOffset>15849</wp:posOffset>
                </wp:positionV>
                <wp:extent cx="1270" cy="1642110"/>
                <wp:effectExtent l="0" t="0" r="0" b="0"/>
                <wp:wrapNone/>
                <wp:docPr id="358" name="Graphic 358"/>
                <wp:cNvGraphicFramePr>
                  <a:graphicFrameLocks/>
                </wp:cNvGraphicFramePr>
                <a:graphic>
                  <a:graphicData uri="http://schemas.microsoft.com/office/word/2010/wordprocessingShape">
                    <wps:wsp>
                      <wps:cNvPr id="358" name="Graphic 358"/>
                      <wps:cNvSpPr/>
                      <wps:spPr>
                        <a:xfrm>
                          <a:off x="0" y="0"/>
                          <a:ext cx="1270" cy="1642110"/>
                        </a:xfrm>
                        <a:custGeom>
                          <a:avLst/>
                          <a:gdLst/>
                          <a:ahLst/>
                          <a:cxnLst/>
                          <a:rect l="l" t="t" r="r" b="b"/>
                          <a:pathLst>
                            <a:path w="0" h="1642110">
                              <a:moveTo>
                                <a:pt x="0" y="1642084"/>
                              </a:moveTo>
                              <a:lnTo>
                                <a:pt x="0" y="0"/>
                              </a:lnTo>
                            </a:path>
                          </a:pathLst>
                        </a:custGeom>
                        <a:ln w="6350">
                          <a:solidFill>
                            <a:srgbClr val="21409A"/>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08512" from="56.417301pt,130.546024pt" to="56.417301pt,1.248024pt" stroked="true" strokeweight=".5pt" strokecolor="#21409a">
                <v:stroke dashstyle="solid"/>
                <w10:wrap type="none"/>
              </v:line>
            </w:pict>
          </mc:Fallback>
        </mc:AlternateContent>
      </w:r>
      <w:r>
        <w:rPr>
          <w:color w:val="21409A"/>
          <w:spacing w:val="-2"/>
        </w:rPr>
        <w:t>PRIORITIES</w:t>
      </w:r>
    </w:p>
    <w:p>
      <w:pPr>
        <w:pStyle w:val="ListParagraph"/>
        <w:numPr>
          <w:ilvl w:val="0"/>
          <w:numId w:val="5"/>
        </w:numPr>
        <w:tabs>
          <w:tab w:pos="1581" w:val="left" w:leader="none"/>
        </w:tabs>
        <w:spacing w:line="256" w:lineRule="auto" w:before="132" w:after="0"/>
        <w:ind w:left="1581" w:right="3053" w:hanging="227"/>
        <w:jc w:val="both"/>
        <w:rPr>
          <w:rFonts w:ascii="TT Norms Pro Light" w:hAnsi="TT Norms Pro Light"/>
          <w:b w:val="0"/>
          <w:color w:val="21409A"/>
          <w:sz w:val="24"/>
        </w:rPr>
      </w:pPr>
      <w:r>
        <w:rPr>
          <w:rFonts w:ascii="TT Norms Pro Light" w:hAnsi="TT Norms Pro Light"/>
          <w:b w:val="0"/>
          <w:color w:val="21409A"/>
          <w:sz w:val="24"/>
        </w:rPr>
        <w:t>Build</w:t>
      </w:r>
      <w:r>
        <w:rPr>
          <w:rFonts w:ascii="TT Norms Pro Light" w:hAnsi="TT Norms Pro Light"/>
          <w:b w:val="0"/>
          <w:color w:val="21409A"/>
          <w:spacing w:val="-5"/>
          <w:sz w:val="24"/>
        </w:rPr>
        <w:t> </w:t>
      </w:r>
      <w:r>
        <w:rPr>
          <w:rFonts w:ascii="TT Norms Pro Light" w:hAnsi="TT Norms Pro Light"/>
          <w:b w:val="0"/>
          <w:color w:val="21409A"/>
          <w:sz w:val="24"/>
        </w:rPr>
        <w:t>a</w:t>
      </w:r>
      <w:r>
        <w:rPr>
          <w:rFonts w:ascii="TT Norms Pro Light" w:hAnsi="TT Norms Pro Light"/>
          <w:b w:val="0"/>
          <w:color w:val="21409A"/>
          <w:spacing w:val="-10"/>
          <w:sz w:val="24"/>
        </w:rPr>
        <w:t> </w:t>
      </w:r>
      <w:r>
        <w:rPr>
          <w:rFonts w:ascii="TT Norms Pro Light" w:hAnsi="TT Norms Pro Light"/>
          <w:b w:val="0"/>
          <w:color w:val="21409A"/>
          <w:sz w:val="24"/>
        </w:rPr>
        <w:t>workforce</w:t>
      </w:r>
      <w:r>
        <w:rPr>
          <w:rFonts w:ascii="TT Norms Pro Light" w:hAnsi="TT Norms Pro Light"/>
          <w:b w:val="0"/>
          <w:color w:val="21409A"/>
          <w:spacing w:val="-10"/>
          <w:sz w:val="24"/>
        </w:rPr>
        <w:t> </w:t>
      </w:r>
      <w:r>
        <w:rPr>
          <w:rFonts w:ascii="TT Norms Pro Light" w:hAnsi="TT Norms Pro Light"/>
          <w:b w:val="0"/>
          <w:color w:val="21409A"/>
          <w:sz w:val="24"/>
        </w:rPr>
        <w:t>with</w:t>
      </w:r>
      <w:r>
        <w:rPr>
          <w:rFonts w:ascii="TT Norms Pro Light" w:hAnsi="TT Norms Pro Light"/>
          <w:b w:val="0"/>
          <w:color w:val="21409A"/>
          <w:spacing w:val="-5"/>
          <w:sz w:val="24"/>
        </w:rPr>
        <w:t> </w:t>
      </w:r>
      <w:r>
        <w:rPr>
          <w:rFonts w:ascii="TT Norms Pro Light" w:hAnsi="TT Norms Pro Light"/>
          <w:b w:val="0"/>
          <w:color w:val="21409A"/>
          <w:sz w:val="24"/>
        </w:rPr>
        <w:t>the</w:t>
      </w:r>
      <w:r>
        <w:rPr>
          <w:rFonts w:ascii="TT Norms Pro Light" w:hAnsi="TT Norms Pro Light"/>
          <w:b w:val="0"/>
          <w:color w:val="21409A"/>
          <w:spacing w:val="-5"/>
          <w:sz w:val="24"/>
        </w:rPr>
        <w:t> </w:t>
      </w:r>
      <w:r>
        <w:rPr>
          <w:rFonts w:ascii="TT Norms Pro Light" w:hAnsi="TT Norms Pro Light"/>
          <w:b w:val="0"/>
          <w:color w:val="21409A"/>
          <w:sz w:val="24"/>
        </w:rPr>
        <w:t>capabilities</w:t>
      </w:r>
      <w:r>
        <w:rPr>
          <w:rFonts w:ascii="TT Norms Pro Light" w:hAnsi="TT Norms Pro Light"/>
          <w:b w:val="0"/>
          <w:color w:val="21409A"/>
          <w:spacing w:val="-5"/>
          <w:sz w:val="24"/>
        </w:rPr>
        <w:t> </w:t>
      </w:r>
      <w:r>
        <w:rPr>
          <w:rFonts w:ascii="TT Norms Pro Light" w:hAnsi="TT Norms Pro Light"/>
          <w:b w:val="0"/>
          <w:color w:val="21409A"/>
          <w:sz w:val="24"/>
        </w:rPr>
        <w:t>to</w:t>
      </w:r>
      <w:r>
        <w:rPr>
          <w:rFonts w:ascii="TT Norms Pro Light" w:hAnsi="TT Norms Pro Light"/>
          <w:b w:val="0"/>
          <w:color w:val="21409A"/>
          <w:spacing w:val="-5"/>
          <w:sz w:val="24"/>
        </w:rPr>
        <w:t> </w:t>
      </w:r>
      <w:r>
        <w:rPr>
          <w:rFonts w:ascii="TT Norms Pro Light" w:hAnsi="TT Norms Pro Light"/>
          <w:b w:val="0"/>
          <w:color w:val="21409A"/>
          <w:sz w:val="24"/>
        </w:rPr>
        <w:t>deliver</w:t>
      </w:r>
      <w:r>
        <w:rPr>
          <w:rFonts w:ascii="TT Norms Pro Light" w:hAnsi="TT Norms Pro Light"/>
          <w:b w:val="0"/>
          <w:color w:val="21409A"/>
          <w:spacing w:val="-10"/>
          <w:sz w:val="24"/>
        </w:rPr>
        <w:t> </w:t>
      </w:r>
      <w:r>
        <w:rPr>
          <w:rFonts w:ascii="TT Norms Pro Light" w:hAnsi="TT Norms Pro Light"/>
          <w:b w:val="0"/>
          <w:color w:val="21409A"/>
          <w:sz w:val="24"/>
        </w:rPr>
        <w:t>the</w:t>
      </w:r>
      <w:r>
        <w:rPr>
          <w:rFonts w:ascii="TT Norms Pro Light" w:hAnsi="TT Norms Pro Light"/>
          <w:b w:val="0"/>
          <w:color w:val="21409A"/>
          <w:spacing w:val="-5"/>
          <w:sz w:val="24"/>
        </w:rPr>
        <w:t> </w:t>
      </w:r>
      <w:r>
        <w:rPr>
          <w:rFonts w:ascii="TT Norms Pro Light" w:hAnsi="TT Norms Pro Light"/>
          <w:b w:val="0"/>
          <w:color w:val="21409A"/>
          <w:sz w:val="24"/>
        </w:rPr>
        <w:t>objectives of</w:t>
      </w:r>
      <w:r>
        <w:rPr>
          <w:rFonts w:ascii="TT Norms Pro Light" w:hAnsi="TT Norms Pro Light"/>
          <w:b w:val="0"/>
          <w:color w:val="21409A"/>
          <w:spacing w:val="-10"/>
          <w:sz w:val="24"/>
        </w:rPr>
        <w:t> </w:t>
      </w:r>
      <w:r>
        <w:rPr>
          <w:rFonts w:ascii="TT Norms Pro Light" w:hAnsi="TT Norms Pro Light"/>
          <w:b w:val="0"/>
          <w:color w:val="21409A"/>
          <w:sz w:val="24"/>
        </w:rPr>
        <w:t>UWA</w:t>
      </w:r>
      <w:r>
        <w:rPr>
          <w:rFonts w:ascii="TT Norms Pro Light" w:hAnsi="TT Norms Pro Light"/>
          <w:b w:val="0"/>
          <w:color w:val="21409A"/>
          <w:spacing w:val="-12"/>
          <w:sz w:val="24"/>
        </w:rPr>
        <w:t> </w:t>
      </w:r>
      <w:r>
        <w:rPr>
          <w:rFonts w:ascii="TT Norms Pro Light" w:hAnsi="TT Norms Pro Light"/>
          <w:b w:val="0"/>
          <w:color w:val="21409A"/>
          <w:sz w:val="24"/>
        </w:rPr>
        <w:t>2030</w:t>
      </w:r>
      <w:r>
        <w:rPr>
          <w:rFonts w:ascii="TT Norms Pro Light" w:hAnsi="TT Norms Pro Light"/>
          <w:b w:val="0"/>
          <w:color w:val="21409A"/>
          <w:spacing w:val="-8"/>
          <w:sz w:val="24"/>
        </w:rPr>
        <w:t> </w:t>
      </w:r>
      <w:r>
        <w:rPr>
          <w:rFonts w:ascii="TT Norms Pro Light" w:hAnsi="TT Norms Pro Light"/>
          <w:b w:val="0"/>
          <w:color w:val="21409A"/>
          <w:sz w:val="24"/>
        </w:rPr>
        <w:t>and</w:t>
      </w:r>
      <w:r>
        <w:rPr>
          <w:rFonts w:ascii="TT Norms Pro Light" w:hAnsi="TT Norms Pro Light"/>
          <w:b w:val="0"/>
          <w:color w:val="21409A"/>
          <w:spacing w:val="-8"/>
          <w:sz w:val="24"/>
        </w:rPr>
        <w:t> </w:t>
      </w:r>
      <w:r>
        <w:rPr>
          <w:rFonts w:ascii="TT Norms Pro Light" w:hAnsi="TT Norms Pro Light"/>
          <w:b w:val="0"/>
          <w:color w:val="21409A"/>
          <w:sz w:val="24"/>
        </w:rPr>
        <w:t>develop</w:t>
      </w:r>
      <w:r>
        <w:rPr>
          <w:rFonts w:ascii="TT Norms Pro Light" w:hAnsi="TT Norms Pro Light"/>
          <w:b w:val="0"/>
          <w:color w:val="21409A"/>
          <w:spacing w:val="-8"/>
          <w:sz w:val="24"/>
        </w:rPr>
        <w:t> </w:t>
      </w:r>
      <w:r>
        <w:rPr>
          <w:rFonts w:ascii="TT Norms Pro Light" w:hAnsi="TT Norms Pro Light"/>
          <w:b w:val="0"/>
          <w:color w:val="21409A"/>
          <w:sz w:val="24"/>
        </w:rPr>
        <w:t>leadership</w:t>
      </w:r>
      <w:r>
        <w:rPr>
          <w:rFonts w:ascii="TT Norms Pro Light" w:hAnsi="TT Norms Pro Light"/>
          <w:b w:val="0"/>
          <w:color w:val="21409A"/>
          <w:spacing w:val="-8"/>
          <w:sz w:val="24"/>
        </w:rPr>
        <w:t> </w:t>
      </w:r>
      <w:r>
        <w:rPr>
          <w:rFonts w:ascii="TT Norms Pro Light" w:hAnsi="TT Norms Pro Light"/>
          <w:b w:val="0"/>
          <w:color w:val="21409A"/>
          <w:sz w:val="24"/>
        </w:rPr>
        <w:t>to</w:t>
      </w:r>
      <w:r>
        <w:rPr>
          <w:rFonts w:ascii="TT Norms Pro Light" w:hAnsi="TT Norms Pro Light"/>
          <w:b w:val="0"/>
          <w:color w:val="21409A"/>
          <w:spacing w:val="-8"/>
          <w:sz w:val="24"/>
        </w:rPr>
        <w:t> </w:t>
      </w:r>
      <w:r>
        <w:rPr>
          <w:rFonts w:ascii="TT Norms Pro Light" w:hAnsi="TT Norms Pro Light"/>
          <w:b w:val="0"/>
          <w:color w:val="21409A"/>
          <w:sz w:val="24"/>
        </w:rPr>
        <w:t>motivate</w:t>
      </w:r>
      <w:r>
        <w:rPr>
          <w:rFonts w:ascii="TT Norms Pro Light" w:hAnsi="TT Norms Pro Light"/>
          <w:b w:val="0"/>
          <w:color w:val="21409A"/>
          <w:spacing w:val="-8"/>
          <w:sz w:val="24"/>
        </w:rPr>
        <w:t> </w:t>
      </w:r>
      <w:r>
        <w:rPr>
          <w:rFonts w:ascii="TT Norms Pro Light" w:hAnsi="TT Norms Pro Light"/>
          <w:b w:val="0"/>
          <w:color w:val="21409A"/>
          <w:sz w:val="24"/>
        </w:rPr>
        <w:t>and</w:t>
      </w:r>
      <w:r>
        <w:rPr>
          <w:rFonts w:ascii="TT Norms Pro Light" w:hAnsi="TT Norms Pro Light"/>
          <w:b w:val="0"/>
          <w:color w:val="21409A"/>
          <w:spacing w:val="-8"/>
          <w:sz w:val="24"/>
        </w:rPr>
        <w:t> </w:t>
      </w:r>
      <w:r>
        <w:rPr>
          <w:rFonts w:ascii="TT Norms Pro Light" w:hAnsi="TT Norms Pro Light"/>
          <w:b w:val="0"/>
          <w:color w:val="21409A"/>
          <w:sz w:val="24"/>
        </w:rPr>
        <w:t>engage colleagues to succeed.</w:t>
      </w:r>
    </w:p>
    <w:p>
      <w:pPr>
        <w:pStyle w:val="ListParagraph"/>
        <w:numPr>
          <w:ilvl w:val="0"/>
          <w:numId w:val="5"/>
        </w:numPr>
        <w:tabs>
          <w:tab w:pos="1581" w:val="left" w:leader="none"/>
        </w:tabs>
        <w:spacing w:line="256" w:lineRule="auto" w:before="55" w:after="0"/>
        <w:ind w:left="1581" w:right="2682" w:hanging="227"/>
        <w:jc w:val="left"/>
        <w:rPr>
          <w:rFonts w:ascii="TT Norms Pro Light" w:hAnsi="TT Norms Pro Light"/>
          <w:b w:val="0"/>
          <w:color w:val="21409A"/>
          <w:sz w:val="24"/>
        </w:rPr>
      </w:pPr>
      <w:r>
        <w:rPr>
          <w:rFonts w:ascii="TT Norms Pro Light" w:hAnsi="TT Norms Pro Light"/>
          <w:b w:val="0"/>
          <w:color w:val="21409A"/>
          <w:sz w:val="24"/>
        </w:rPr>
        <w:t>Foster</w:t>
      </w:r>
      <w:r>
        <w:rPr>
          <w:rFonts w:ascii="TT Norms Pro Light" w:hAnsi="TT Norms Pro Light"/>
          <w:b w:val="0"/>
          <w:color w:val="21409A"/>
          <w:spacing w:val="-12"/>
          <w:sz w:val="24"/>
        </w:rPr>
        <w:t> </w:t>
      </w:r>
      <w:r>
        <w:rPr>
          <w:rFonts w:ascii="TT Norms Pro Light" w:hAnsi="TT Norms Pro Light"/>
          <w:b w:val="0"/>
          <w:color w:val="21409A"/>
          <w:sz w:val="24"/>
        </w:rPr>
        <w:t>a</w:t>
      </w:r>
      <w:r>
        <w:rPr>
          <w:rFonts w:ascii="TT Norms Pro Light" w:hAnsi="TT Norms Pro Light"/>
          <w:b w:val="0"/>
          <w:color w:val="21409A"/>
          <w:spacing w:val="-11"/>
          <w:sz w:val="24"/>
        </w:rPr>
        <w:t> </w:t>
      </w:r>
      <w:r>
        <w:rPr>
          <w:rFonts w:ascii="TT Norms Pro Light" w:hAnsi="TT Norms Pro Light"/>
          <w:b w:val="0"/>
          <w:color w:val="21409A"/>
          <w:sz w:val="24"/>
        </w:rPr>
        <w:t>high-performance</w:t>
      </w:r>
      <w:r>
        <w:rPr>
          <w:rFonts w:ascii="TT Norms Pro Light" w:hAnsi="TT Norms Pro Light"/>
          <w:b w:val="0"/>
          <w:color w:val="21409A"/>
          <w:spacing w:val="-9"/>
          <w:sz w:val="24"/>
        </w:rPr>
        <w:t> </w:t>
      </w:r>
      <w:r>
        <w:rPr>
          <w:rFonts w:ascii="TT Norms Pro Light" w:hAnsi="TT Norms Pro Light"/>
          <w:b w:val="0"/>
          <w:color w:val="21409A"/>
          <w:sz w:val="24"/>
        </w:rPr>
        <w:t>culture</w:t>
      </w:r>
      <w:r>
        <w:rPr>
          <w:rFonts w:ascii="TT Norms Pro Light" w:hAnsi="TT Norms Pro Light"/>
          <w:b w:val="0"/>
          <w:color w:val="21409A"/>
          <w:spacing w:val="-9"/>
          <w:sz w:val="24"/>
        </w:rPr>
        <w:t> </w:t>
      </w:r>
      <w:r>
        <w:rPr>
          <w:rFonts w:ascii="TT Norms Pro Light" w:hAnsi="TT Norms Pro Light"/>
          <w:b w:val="0"/>
          <w:color w:val="21409A"/>
          <w:sz w:val="24"/>
        </w:rPr>
        <w:t>that</w:t>
      </w:r>
      <w:r>
        <w:rPr>
          <w:rFonts w:ascii="TT Norms Pro Light" w:hAnsi="TT Norms Pro Light"/>
          <w:b w:val="0"/>
          <w:color w:val="21409A"/>
          <w:spacing w:val="-9"/>
          <w:sz w:val="24"/>
        </w:rPr>
        <w:t> </w:t>
      </w:r>
      <w:r>
        <w:rPr>
          <w:rFonts w:ascii="TT Norms Pro Light" w:hAnsi="TT Norms Pro Light"/>
          <w:b w:val="0"/>
          <w:color w:val="21409A"/>
          <w:sz w:val="24"/>
        </w:rPr>
        <w:t>is</w:t>
      </w:r>
      <w:r>
        <w:rPr>
          <w:rFonts w:ascii="TT Norms Pro Light" w:hAnsi="TT Norms Pro Light"/>
          <w:b w:val="0"/>
          <w:color w:val="21409A"/>
          <w:spacing w:val="-12"/>
          <w:sz w:val="24"/>
        </w:rPr>
        <w:t> </w:t>
      </w:r>
      <w:r>
        <w:rPr>
          <w:rFonts w:ascii="TT Norms Pro Light" w:hAnsi="TT Norms Pro Light"/>
          <w:b w:val="0"/>
          <w:color w:val="21409A"/>
          <w:sz w:val="24"/>
        </w:rPr>
        <w:t>values-led,</w:t>
      </w:r>
      <w:r>
        <w:rPr>
          <w:rFonts w:ascii="TT Norms Pro Light" w:hAnsi="TT Norms Pro Light"/>
          <w:b w:val="0"/>
          <w:color w:val="21409A"/>
          <w:spacing w:val="-9"/>
          <w:sz w:val="24"/>
        </w:rPr>
        <w:t> </w:t>
      </w:r>
      <w:r>
        <w:rPr>
          <w:rFonts w:ascii="TT Norms Pro Light" w:hAnsi="TT Norms Pro Light"/>
          <w:b w:val="0"/>
          <w:color w:val="21409A"/>
          <w:sz w:val="24"/>
        </w:rPr>
        <w:t>collaborative and open, and that embraces diversity.</w:t>
      </w:r>
    </w:p>
    <w:p>
      <w:pPr>
        <w:pStyle w:val="ListParagraph"/>
        <w:numPr>
          <w:ilvl w:val="0"/>
          <w:numId w:val="5"/>
        </w:numPr>
        <w:tabs>
          <w:tab w:pos="1581" w:val="left" w:leader="none"/>
        </w:tabs>
        <w:spacing w:line="256" w:lineRule="auto" w:before="56" w:after="0"/>
        <w:ind w:left="1581" w:right="3091" w:hanging="227"/>
        <w:jc w:val="left"/>
        <w:rPr>
          <w:rFonts w:ascii="TT Norms Pro Light" w:hAnsi="TT Norms Pro Light"/>
          <w:b w:val="0"/>
          <w:color w:val="21409A"/>
          <w:sz w:val="24"/>
        </w:rPr>
      </w:pPr>
      <w:r>
        <w:rPr>
          <w:rFonts w:ascii="TT Norms Pro Light" w:hAnsi="TT Norms Pro Light"/>
          <w:b w:val="0"/>
          <w:color w:val="21409A"/>
          <w:sz w:val="24"/>
        </w:rPr>
        <w:t>Encourage</w:t>
      </w:r>
      <w:r>
        <w:rPr>
          <w:rFonts w:ascii="TT Norms Pro Light" w:hAnsi="TT Norms Pro Light"/>
          <w:b w:val="0"/>
          <w:color w:val="21409A"/>
          <w:spacing w:val="-9"/>
          <w:sz w:val="24"/>
        </w:rPr>
        <w:t> </w:t>
      </w:r>
      <w:r>
        <w:rPr>
          <w:rFonts w:ascii="TT Norms Pro Light" w:hAnsi="TT Norms Pro Light"/>
          <w:b w:val="0"/>
          <w:color w:val="21409A"/>
          <w:sz w:val="24"/>
        </w:rPr>
        <w:t>innovation</w:t>
      </w:r>
      <w:r>
        <w:rPr>
          <w:rFonts w:ascii="TT Norms Pro Light" w:hAnsi="TT Norms Pro Light"/>
          <w:b w:val="0"/>
          <w:color w:val="21409A"/>
          <w:spacing w:val="-9"/>
          <w:sz w:val="24"/>
        </w:rPr>
        <w:t> </w:t>
      </w:r>
      <w:r>
        <w:rPr>
          <w:rFonts w:ascii="TT Norms Pro Light" w:hAnsi="TT Norms Pro Light"/>
          <w:b w:val="0"/>
          <w:color w:val="21409A"/>
          <w:sz w:val="24"/>
        </w:rPr>
        <w:t>and</w:t>
      </w:r>
      <w:r>
        <w:rPr>
          <w:rFonts w:ascii="TT Norms Pro Light" w:hAnsi="TT Norms Pro Light"/>
          <w:b w:val="0"/>
          <w:color w:val="21409A"/>
          <w:spacing w:val="-9"/>
          <w:sz w:val="24"/>
        </w:rPr>
        <w:t> </w:t>
      </w:r>
      <w:r>
        <w:rPr>
          <w:rFonts w:ascii="TT Norms Pro Light" w:hAnsi="TT Norms Pro Light"/>
          <w:b w:val="0"/>
          <w:color w:val="21409A"/>
          <w:sz w:val="24"/>
        </w:rPr>
        <w:t>development</w:t>
      </w:r>
      <w:r>
        <w:rPr>
          <w:rFonts w:ascii="TT Norms Pro Light" w:hAnsi="TT Norms Pro Light"/>
          <w:b w:val="0"/>
          <w:color w:val="21409A"/>
          <w:spacing w:val="-9"/>
          <w:sz w:val="24"/>
        </w:rPr>
        <w:t> </w:t>
      </w:r>
      <w:r>
        <w:rPr>
          <w:rFonts w:ascii="TT Norms Pro Light" w:hAnsi="TT Norms Pro Light"/>
          <w:b w:val="0"/>
          <w:color w:val="21409A"/>
          <w:sz w:val="24"/>
        </w:rPr>
        <w:t>through</w:t>
      </w:r>
      <w:r>
        <w:rPr>
          <w:rFonts w:ascii="TT Norms Pro Light" w:hAnsi="TT Norms Pro Light"/>
          <w:b w:val="0"/>
          <w:color w:val="21409A"/>
          <w:spacing w:val="-9"/>
          <w:sz w:val="24"/>
        </w:rPr>
        <w:t> </w:t>
      </w:r>
      <w:r>
        <w:rPr>
          <w:rFonts w:ascii="TT Norms Pro Light" w:hAnsi="TT Norms Pro Light"/>
          <w:b w:val="0"/>
          <w:color w:val="21409A"/>
          <w:sz w:val="24"/>
        </w:rPr>
        <w:t>high-quality training, recognition and reward.</w:t>
      </w:r>
    </w:p>
    <w:p>
      <w:pPr>
        <w:pStyle w:val="BodyText"/>
        <w:spacing w:before="162"/>
        <w:rPr>
          <w:b w:val="0"/>
          <w:sz w:val="20"/>
        </w:rPr>
      </w:pPr>
    </w:p>
    <w:p>
      <w:pPr>
        <w:spacing w:after="0"/>
        <w:rPr>
          <w:sz w:val="20"/>
        </w:rPr>
        <w:sectPr>
          <w:pgSz w:w="11910" w:h="16840"/>
          <w:pgMar w:header="468" w:footer="0" w:top="720" w:bottom="280" w:left="0" w:right="780"/>
        </w:sectPr>
      </w:pPr>
    </w:p>
    <w:p>
      <w:pPr>
        <w:pStyle w:val="BodyText"/>
        <w:spacing w:line="295" w:lineRule="auto" w:before="123"/>
        <w:ind w:left="1133"/>
        <w:rPr>
          <w:b w:val="0"/>
          <w:i/>
        </w:rPr>
      </w:pPr>
      <w:r>
        <w:rPr>
          <w:b w:val="0"/>
        </w:rPr>
        <w:t>While our primary focus for 2020 was responding to and</w:t>
      </w:r>
      <w:r>
        <w:rPr>
          <w:b w:val="0"/>
          <w:spacing w:val="40"/>
        </w:rPr>
        <w:t> </w:t>
      </w:r>
      <w:r>
        <w:rPr>
          <w:b w:val="0"/>
        </w:rPr>
        <w:t>managing the impact of COVID-19 on the University’s</w:t>
      </w:r>
      <w:r>
        <w:rPr>
          <w:b w:val="0"/>
          <w:spacing w:val="40"/>
        </w:rPr>
        <w:t> </w:t>
      </w:r>
      <w:r>
        <w:rPr>
          <w:b w:val="0"/>
        </w:rPr>
        <w:t>workforce, we were able to progress aspects of the People</w:t>
      </w:r>
      <w:r>
        <w:rPr>
          <w:b w:val="0"/>
          <w:spacing w:val="40"/>
        </w:rPr>
        <w:t> </w:t>
      </w:r>
      <w:r>
        <w:rPr>
          <w:b w:val="0"/>
        </w:rPr>
        <w:t>and Culture Strategy from the </w:t>
      </w:r>
      <w:r>
        <w:rPr>
          <w:b w:val="0"/>
          <w:i/>
        </w:rPr>
        <w:t>UWA Strategic Plan</w:t>
      </w:r>
    </w:p>
    <w:p>
      <w:pPr>
        <w:spacing w:before="4"/>
        <w:ind w:left="1133" w:right="0" w:firstLine="0"/>
        <w:jc w:val="left"/>
        <w:rPr>
          <w:rFonts w:ascii="TT Norms Pro Light" w:hAnsi="TT Norms Pro Light"/>
          <w:b w:val="0"/>
          <w:sz w:val="18"/>
        </w:rPr>
      </w:pPr>
      <w:r>
        <w:rPr>
          <w:rFonts w:ascii="TT Norms Pro Light" w:hAnsi="TT Norms Pro Light"/>
          <w:b w:val="0"/>
          <w:i/>
          <w:spacing w:val="-2"/>
          <w:sz w:val="18"/>
        </w:rPr>
        <w:t>2020–25</w:t>
      </w:r>
      <w:r>
        <w:rPr>
          <w:rFonts w:ascii="TT Norms Pro Light" w:hAnsi="TT Norms Pro Light"/>
          <w:b w:val="0"/>
          <w:spacing w:val="-2"/>
          <w:sz w:val="18"/>
        </w:rPr>
        <w:t>.</w:t>
      </w:r>
    </w:p>
    <w:p>
      <w:pPr>
        <w:pStyle w:val="BodyText"/>
        <w:spacing w:before="99"/>
        <w:rPr>
          <w:b w:val="0"/>
        </w:rPr>
      </w:pPr>
    </w:p>
    <w:p>
      <w:pPr>
        <w:pStyle w:val="BodyText"/>
        <w:spacing w:line="295" w:lineRule="auto"/>
        <w:ind w:left="1133" w:right="361"/>
        <w:rPr>
          <w:b w:val="0"/>
        </w:rPr>
      </w:pPr>
      <w:r>
        <w:rPr>
          <w:b w:val="0"/>
        </w:rPr>
        <w:t>Our People and Culture Strategy was developed in</w:t>
      </w:r>
      <w:r>
        <w:rPr>
          <w:b w:val="0"/>
          <w:spacing w:val="40"/>
        </w:rPr>
        <w:t> </w:t>
      </w:r>
      <w:r>
        <w:rPr>
          <w:b w:val="0"/>
        </w:rPr>
        <w:t>consultation</w:t>
      </w:r>
      <w:r>
        <w:rPr>
          <w:b w:val="0"/>
          <w:spacing w:val="-1"/>
        </w:rPr>
        <w:t> </w:t>
      </w:r>
      <w:r>
        <w:rPr>
          <w:b w:val="0"/>
        </w:rPr>
        <w:t>with</w:t>
      </w:r>
      <w:r>
        <w:rPr>
          <w:b w:val="0"/>
          <w:spacing w:val="-1"/>
        </w:rPr>
        <w:t> </w:t>
      </w:r>
      <w:r>
        <w:rPr>
          <w:b w:val="0"/>
        </w:rPr>
        <w:t>staff</w:t>
      </w:r>
      <w:r>
        <w:rPr>
          <w:b w:val="0"/>
          <w:spacing w:val="-1"/>
        </w:rPr>
        <w:t> </w:t>
      </w:r>
      <w:r>
        <w:rPr>
          <w:b w:val="0"/>
        </w:rPr>
        <w:t>from</w:t>
      </w:r>
      <w:r>
        <w:rPr>
          <w:b w:val="0"/>
          <w:spacing w:val="-1"/>
        </w:rPr>
        <w:t> </w:t>
      </w:r>
      <w:r>
        <w:rPr>
          <w:b w:val="0"/>
        </w:rPr>
        <w:t>across</w:t>
      </w:r>
      <w:r>
        <w:rPr>
          <w:b w:val="0"/>
          <w:spacing w:val="-1"/>
        </w:rPr>
        <w:t> </w:t>
      </w:r>
      <w:r>
        <w:rPr>
          <w:b w:val="0"/>
        </w:rPr>
        <w:t>the</w:t>
      </w:r>
      <w:r>
        <w:rPr>
          <w:b w:val="0"/>
          <w:spacing w:val="-1"/>
        </w:rPr>
        <w:t> </w:t>
      </w:r>
      <w:r>
        <w:rPr>
          <w:b w:val="0"/>
        </w:rPr>
        <w:t>University</w:t>
      </w:r>
      <w:r>
        <w:rPr>
          <w:b w:val="0"/>
          <w:spacing w:val="-1"/>
        </w:rPr>
        <w:t> </w:t>
      </w:r>
      <w:r>
        <w:rPr>
          <w:b w:val="0"/>
        </w:rPr>
        <w:t>and</w:t>
      </w:r>
      <w:r>
        <w:rPr>
          <w:b w:val="0"/>
          <w:spacing w:val="40"/>
        </w:rPr>
        <w:t> </w:t>
      </w:r>
      <w:r>
        <w:rPr>
          <w:b w:val="0"/>
        </w:rPr>
        <w:t>is based on four objectives:</w:t>
      </w:r>
    </w:p>
    <w:p>
      <w:pPr>
        <w:pStyle w:val="ListParagraph"/>
        <w:numPr>
          <w:ilvl w:val="0"/>
          <w:numId w:val="6"/>
        </w:numPr>
        <w:tabs>
          <w:tab w:pos="1360" w:val="left" w:leader="none"/>
        </w:tabs>
        <w:spacing w:line="295" w:lineRule="auto" w:before="116" w:after="0"/>
        <w:ind w:left="1360" w:right="346" w:hanging="227"/>
        <w:jc w:val="left"/>
        <w:rPr>
          <w:rFonts w:ascii="TT Norms Pro Light" w:hAnsi="TT Norms Pro Light"/>
          <w:b w:val="0"/>
          <w:sz w:val="18"/>
        </w:rPr>
      </w:pPr>
      <w:r>
        <w:rPr>
          <w:rFonts w:ascii="TT Norms Pro Light" w:hAnsi="TT Norms Pro Light"/>
          <w:b w:val="0"/>
          <w:sz w:val="18"/>
        </w:rPr>
        <w:t>defining,</w:t>
      </w:r>
      <w:r>
        <w:rPr>
          <w:rFonts w:ascii="TT Norms Pro Light" w:hAnsi="TT Norms Pro Light"/>
          <w:b w:val="0"/>
          <w:spacing w:val="-7"/>
          <w:sz w:val="18"/>
        </w:rPr>
        <w:t> </w:t>
      </w:r>
      <w:r>
        <w:rPr>
          <w:rFonts w:ascii="TT Norms Pro Light" w:hAnsi="TT Norms Pro Light"/>
          <w:b w:val="0"/>
          <w:sz w:val="18"/>
        </w:rPr>
        <w:t>creating</w:t>
      </w:r>
      <w:r>
        <w:rPr>
          <w:rFonts w:ascii="TT Norms Pro Light" w:hAnsi="TT Norms Pro Light"/>
          <w:b w:val="0"/>
          <w:spacing w:val="-7"/>
          <w:sz w:val="18"/>
        </w:rPr>
        <w:t> </w:t>
      </w:r>
      <w:r>
        <w:rPr>
          <w:rFonts w:ascii="TT Norms Pro Light" w:hAnsi="TT Norms Pro Light"/>
          <w:b w:val="0"/>
          <w:sz w:val="18"/>
        </w:rPr>
        <w:t>and</w:t>
      </w:r>
      <w:r>
        <w:rPr>
          <w:rFonts w:ascii="TT Norms Pro Light" w:hAnsi="TT Norms Pro Light"/>
          <w:b w:val="0"/>
          <w:spacing w:val="-7"/>
          <w:sz w:val="18"/>
        </w:rPr>
        <w:t> </w:t>
      </w:r>
      <w:r>
        <w:rPr>
          <w:rFonts w:ascii="TT Norms Pro Light" w:hAnsi="TT Norms Pro Light"/>
          <w:b w:val="0"/>
          <w:sz w:val="18"/>
        </w:rPr>
        <w:t>supporting</w:t>
      </w:r>
      <w:r>
        <w:rPr>
          <w:rFonts w:ascii="TT Norms Pro Light" w:hAnsi="TT Norms Pro Light"/>
          <w:b w:val="0"/>
          <w:spacing w:val="-7"/>
          <w:sz w:val="18"/>
        </w:rPr>
        <w:t> </w:t>
      </w:r>
      <w:r>
        <w:rPr>
          <w:rFonts w:ascii="TT Norms Pro Light" w:hAnsi="TT Norms Pro Light"/>
          <w:b w:val="0"/>
          <w:sz w:val="18"/>
        </w:rPr>
        <w:t>the</w:t>
      </w:r>
      <w:r>
        <w:rPr>
          <w:rFonts w:ascii="TT Norms Pro Light" w:hAnsi="TT Norms Pro Light"/>
          <w:b w:val="0"/>
          <w:spacing w:val="-7"/>
          <w:sz w:val="18"/>
        </w:rPr>
        <w:t> </w:t>
      </w:r>
      <w:r>
        <w:rPr>
          <w:rFonts w:ascii="TT Norms Pro Light" w:hAnsi="TT Norms Pro Light"/>
          <w:b w:val="0"/>
          <w:sz w:val="18"/>
        </w:rPr>
        <w:t>careers</w:t>
      </w:r>
      <w:r>
        <w:rPr>
          <w:rFonts w:ascii="TT Norms Pro Light" w:hAnsi="TT Norms Pro Light"/>
          <w:b w:val="0"/>
          <w:spacing w:val="-7"/>
          <w:sz w:val="18"/>
        </w:rPr>
        <w:t> </w:t>
      </w:r>
      <w:r>
        <w:rPr>
          <w:rFonts w:ascii="TT Norms Pro Light" w:hAnsi="TT Norms Pro Light"/>
          <w:b w:val="0"/>
          <w:sz w:val="18"/>
        </w:rPr>
        <w:t>of</w:t>
      </w:r>
      <w:r>
        <w:rPr>
          <w:rFonts w:ascii="TT Norms Pro Light" w:hAnsi="TT Norms Pro Light"/>
          <w:b w:val="0"/>
          <w:spacing w:val="-7"/>
          <w:sz w:val="18"/>
        </w:rPr>
        <w:t> </w:t>
      </w:r>
      <w:r>
        <w:rPr>
          <w:rFonts w:ascii="TT Norms Pro Light" w:hAnsi="TT Norms Pro Light"/>
          <w:b w:val="0"/>
          <w:sz w:val="18"/>
        </w:rPr>
        <w:t>the</w:t>
      </w:r>
      <w:r>
        <w:rPr>
          <w:rFonts w:ascii="TT Norms Pro Light" w:hAnsi="TT Norms Pro Light"/>
          <w:b w:val="0"/>
          <w:spacing w:val="40"/>
          <w:sz w:val="18"/>
        </w:rPr>
        <w:t> </w:t>
      </w:r>
      <w:r>
        <w:rPr>
          <w:rFonts w:ascii="TT Norms Pro Light" w:hAnsi="TT Norms Pro Light"/>
          <w:b w:val="0"/>
          <w:sz w:val="18"/>
        </w:rPr>
        <w:t>future that will attract world-class people</w:t>
      </w:r>
    </w:p>
    <w:p>
      <w:pPr>
        <w:pStyle w:val="ListParagraph"/>
        <w:numPr>
          <w:ilvl w:val="0"/>
          <w:numId w:val="6"/>
        </w:numPr>
        <w:tabs>
          <w:tab w:pos="1360" w:val="left" w:leader="none"/>
        </w:tabs>
        <w:spacing w:line="295" w:lineRule="auto" w:before="58" w:after="0"/>
        <w:ind w:left="1360" w:right="413" w:hanging="227"/>
        <w:jc w:val="left"/>
        <w:rPr>
          <w:rFonts w:ascii="TT Norms Pro Light" w:hAnsi="TT Norms Pro Light"/>
          <w:b w:val="0"/>
          <w:sz w:val="18"/>
        </w:rPr>
      </w:pPr>
      <w:r>
        <w:rPr>
          <w:rFonts w:ascii="TT Norms Pro Light" w:hAnsi="TT Norms Pro Light"/>
          <w:b w:val="0"/>
          <w:sz w:val="18"/>
        </w:rPr>
        <w:t>developing</w:t>
      </w:r>
      <w:r>
        <w:rPr>
          <w:rFonts w:ascii="TT Norms Pro Light" w:hAnsi="TT Norms Pro Light"/>
          <w:b w:val="0"/>
          <w:spacing w:val="-9"/>
          <w:sz w:val="18"/>
        </w:rPr>
        <w:t> </w:t>
      </w:r>
      <w:r>
        <w:rPr>
          <w:rFonts w:ascii="TT Norms Pro Light" w:hAnsi="TT Norms Pro Light"/>
          <w:b w:val="0"/>
          <w:sz w:val="18"/>
        </w:rPr>
        <w:t>an</w:t>
      </w:r>
      <w:r>
        <w:rPr>
          <w:rFonts w:ascii="TT Norms Pro Light" w:hAnsi="TT Norms Pro Light"/>
          <w:b w:val="0"/>
          <w:spacing w:val="-7"/>
          <w:sz w:val="18"/>
        </w:rPr>
        <w:t> </w:t>
      </w:r>
      <w:r>
        <w:rPr>
          <w:rFonts w:ascii="TT Norms Pro Light" w:hAnsi="TT Norms Pro Light"/>
          <w:b w:val="0"/>
          <w:sz w:val="18"/>
        </w:rPr>
        <w:t>inclusive</w:t>
      </w:r>
      <w:r>
        <w:rPr>
          <w:rFonts w:ascii="TT Norms Pro Light" w:hAnsi="TT Norms Pro Light"/>
          <w:b w:val="0"/>
          <w:spacing w:val="-8"/>
          <w:sz w:val="18"/>
        </w:rPr>
        <w:t> </w:t>
      </w:r>
      <w:r>
        <w:rPr>
          <w:rFonts w:ascii="TT Norms Pro Light" w:hAnsi="TT Norms Pro Light"/>
          <w:b w:val="0"/>
          <w:sz w:val="18"/>
        </w:rPr>
        <w:t>and</w:t>
      </w:r>
      <w:r>
        <w:rPr>
          <w:rFonts w:ascii="TT Norms Pro Light" w:hAnsi="TT Norms Pro Light"/>
          <w:b w:val="0"/>
          <w:spacing w:val="-8"/>
          <w:sz w:val="18"/>
        </w:rPr>
        <w:t> </w:t>
      </w:r>
      <w:r>
        <w:rPr>
          <w:rFonts w:ascii="TT Norms Pro Light" w:hAnsi="TT Norms Pro Light"/>
          <w:b w:val="0"/>
          <w:sz w:val="18"/>
        </w:rPr>
        <w:t>diverse</w:t>
      </w:r>
      <w:r>
        <w:rPr>
          <w:rFonts w:ascii="TT Norms Pro Light" w:hAnsi="TT Norms Pro Light"/>
          <w:b w:val="0"/>
          <w:spacing w:val="-9"/>
          <w:sz w:val="18"/>
        </w:rPr>
        <w:t> </w:t>
      </w:r>
      <w:r>
        <w:rPr>
          <w:rFonts w:ascii="TT Norms Pro Light" w:hAnsi="TT Norms Pro Light"/>
          <w:b w:val="0"/>
          <w:sz w:val="18"/>
        </w:rPr>
        <w:t>workforce</w:t>
      </w:r>
      <w:r>
        <w:rPr>
          <w:rFonts w:ascii="TT Norms Pro Light" w:hAnsi="TT Norms Pro Light"/>
          <w:b w:val="0"/>
          <w:spacing w:val="-8"/>
          <w:sz w:val="18"/>
        </w:rPr>
        <w:t> </w:t>
      </w:r>
      <w:r>
        <w:rPr>
          <w:rFonts w:ascii="TT Norms Pro Light" w:hAnsi="TT Norms Pro Light"/>
          <w:b w:val="0"/>
          <w:sz w:val="18"/>
        </w:rPr>
        <w:t>that</w:t>
      </w:r>
      <w:r>
        <w:rPr>
          <w:rFonts w:ascii="TT Norms Pro Light" w:hAnsi="TT Norms Pro Light"/>
          <w:b w:val="0"/>
          <w:spacing w:val="40"/>
          <w:sz w:val="18"/>
        </w:rPr>
        <w:t> </w:t>
      </w:r>
      <w:r>
        <w:rPr>
          <w:rFonts w:ascii="TT Norms Pro Light" w:hAnsi="TT Norms Pro Light"/>
          <w:b w:val="0"/>
          <w:sz w:val="18"/>
        </w:rPr>
        <w:t>lives its values</w:t>
      </w:r>
    </w:p>
    <w:p>
      <w:pPr>
        <w:pStyle w:val="ListParagraph"/>
        <w:numPr>
          <w:ilvl w:val="0"/>
          <w:numId w:val="6"/>
        </w:numPr>
        <w:tabs>
          <w:tab w:pos="1360" w:val="left" w:leader="none"/>
        </w:tabs>
        <w:spacing w:line="295" w:lineRule="auto" w:before="59" w:after="0"/>
        <w:ind w:left="1360" w:right="407" w:hanging="227"/>
        <w:jc w:val="left"/>
        <w:rPr>
          <w:rFonts w:ascii="TT Norms Pro Light" w:hAnsi="TT Norms Pro Light"/>
          <w:b w:val="0"/>
          <w:sz w:val="18"/>
        </w:rPr>
      </w:pPr>
      <w:r>
        <w:rPr>
          <w:rFonts w:ascii="TT Norms Pro Light" w:hAnsi="TT Norms Pro Light"/>
          <w:b w:val="0"/>
          <w:sz w:val="18"/>
        </w:rPr>
        <w:t>driving</w:t>
      </w:r>
      <w:r>
        <w:rPr>
          <w:rFonts w:ascii="TT Norms Pro Light" w:hAnsi="TT Norms Pro Light"/>
          <w:b w:val="0"/>
          <w:spacing w:val="-9"/>
          <w:sz w:val="18"/>
        </w:rPr>
        <w:t> </w:t>
      </w:r>
      <w:r>
        <w:rPr>
          <w:rFonts w:ascii="TT Norms Pro Light" w:hAnsi="TT Norms Pro Light"/>
          <w:b w:val="0"/>
          <w:sz w:val="18"/>
        </w:rPr>
        <w:t>and</w:t>
      </w:r>
      <w:r>
        <w:rPr>
          <w:rFonts w:ascii="TT Norms Pro Light" w:hAnsi="TT Norms Pro Light"/>
          <w:b w:val="0"/>
          <w:spacing w:val="-8"/>
          <w:sz w:val="18"/>
        </w:rPr>
        <w:t> </w:t>
      </w:r>
      <w:r>
        <w:rPr>
          <w:rFonts w:ascii="TT Norms Pro Light" w:hAnsi="TT Norms Pro Light"/>
          <w:b w:val="0"/>
          <w:sz w:val="18"/>
        </w:rPr>
        <w:t>rewarding</w:t>
      </w:r>
      <w:r>
        <w:rPr>
          <w:rFonts w:ascii="TT Norms Pro Light" w:hAnsi="TT Norms Pro Light"/>
          <w:b w:val="0"/>
          <w:spacing w:val="-8"/>
          <w:sz w:val="18"/>
        </w:rPr>
        <w:t> </w:t>
      </w:r>
      <w:r>
        <w:rPr>
          <w:rFonts w:ascii="TT Norms Pro Light" w:hAnsi="TT Norms Pro Light"/>
          <w:b w:val="0"/>
          <w:sz w:val="18"/>
        </w:rPr>
        <w:t>a</w:t>
      </w:r>
      <w:r>
        <w:rPr>
          <w:rFonts w:ascii="TT Norms Pro Light" w:hAnsi="TT Norms Pro Light"/>
          <w:b w:val="0"/>
          <w:spacing w:val="-8"/>
          <w:sz w:val="18"/>
        </w:rPr>
        <w:t> </w:t>
      </w:r>
      <w:r>
        <w:rPr>
          <w:rFonts w:ascii="TT Norms Pro Light" w:hAnsi="TT Norms Pro Light"/>
          <w:b w:val="0"/>
          <w:sz w:val="18"/>
        </w:rPr>
        <w:t>high</w:t>
      </w:r>
      <w:r>
        <w:rPr>
          <w:rFonts w:ascii="TT Norms Pro Light" w:hAnsi="TT Norms Pro Light"/>
          <w:b w:val="0"/>
          <w:spacing w:val="-8"/>
          <w:sz w:val="18"/>
        </w:rPr>
        <w:t> </w:t>
      </w:r>
      <w:r>
        <w:rPr>
          <w:rFonts w:ascii="TT Norms Pro Light" w:hAnsi="TT Norms Pro Light"/>
          <w:b w:val="0"/>
          <w:sz w:val="18"/>
        </w:rPr>
        <w:t>performing</w:t>
      </w:r>
      <w:r>
        <w:rPr>
          <w:rFonts w:ascii="TT Norms Pro Light" w:hAnsi="TT Norms Pro Light"/>
          <w:b w:val="0"/>
          <w:spacing w:val="-9"/>
          <w:sz w:val="18"/>
        </w:rPr>
        <w:t> </w:t>
      </w:r>
      <w:r>
        <w:rPr>
          <w:rFonts w:ascii="TT Norms Pro Light" w:hAnsi="TT Norms Pro Light"/>
          <w:b w:val="0"/>
          <w:sz w:val="18"/>
        </w:rPr>
        <w:t>workforce</w:t>
      </w:r>
      <w:r>
        <w:rPr>
          <w:rFonts w:ascii="TT Norms Pro Light" w:hAnsi="TT Norms Pro Light"/>
          <w:b w:val="0"/>
          <w:spacing w:val="40"/>
          <w:sz w:val="18"/>
        </w:rPr>
        <w:t> </w:t>
      </w:r>
      <w:r>
        <w:rPr>
          <w:rFonts w:ascii="TT Norms Pro Light" w:hAnsi="TT Norms Pro Light"/>
          <w:b w:val="0"/>
          <w:sz w:val="18"/>
        </w:rPr>
        <w:t>capable of driving real change</w:t>
      </w:r>
    </w:p>
    <w:p>
      <w:pPr>
        <w:pStyle w:val="ListParagraph"/>
        <w:numPr>
          <w:ilvl w:val="0"/>
          <w:numId w:val="6"/>
        </w:numPr>
        <w:tabs>
          <w:tab w:pos="1360" w:val="left" w:leader="none"/>
        </w:tabs>
        <w:spacing w:line="295" w:lineRule="auto" w:before="58" w:after="0"/>
        <w:ind w:left="1360" w:right="661" w:hanging="227"/>
        <w:jc w:val="left"/>
        <w:rPr>
          <w:rFonts w:ascii="TT Norms Pro Light" w:hAnsi="TT Norms Pro Light"/>
          <w:b w:val="0"/>
          <w:sz w:val="18"/>
        </w:rPr>
      </w:pPr>
      <w:r>
        <w:rPr>
          <w:rFonts w:ascii="TT Norms Pro Light" w:hAnsi="TT Norms Pro Light"/>
          <w:b w:val="0"/>
          <w:sz w:val="18"/>
        </w:rPr>
        <w:t>building</w:t>
      </w:r>
      <w:r>
        <w:rPr>
          <w:rFonts w:ascii="TT Norms Pro Light" w:hAnsi="TT Norms Pro Light"/>
          <w:b w:val="0"/>
          <w:spacing w:val="-7"/>
          <w:sz w:val="18"/>
        </w:rPr>
        <w:t> </w:t>
      </w:r>
      <w:r>
        <w:rPr>
          <w:rFonts w:ascii="TT Norms Pro Light" w:hAnsi="TT Norms Pro Light"/>
          <w:b w:val="0"/>
          <w:sz w:val="18"/>
        </w:rPr>
        <w:t>engagement</w:t>
      </w:r>
      <w:r>
        <w:rPr>
          <w:rFonts w:ascii="TT Norms Pro Light" w:hAnsi="TT Norms Pro Light"/>
          <w:b w:val="0"/>
          <w:spacing w:val="-7"/>
          <w:sz w:val="18"/>
        </w:rPr>
        <w:t> </w:t>
      </w:r>
      <w:r>
        <w:rPr>
          <w:rFonts w:ascii="TT Norms Pro Light" w:hAnsi="TT Norms Pro Light"/>
          <w:b w:val="0"/>
          <w:sz w:val="18"/>
        </w:rPr>
        <w:t>and</w:t>
      </w:r>
      <w:r>
        <w:rPr>
          <w:rFonts w:ascii="TT Norms Pro Light" w:hAnsi="TT Norms Pro Light"/>
          <w:b w:val="0"/>
          <w:spacing w:val="-7"/>
          <w:sz w:val="18"/>
        </w:rPr>
        <w:t> </w:t>
      </w:r>
      <w:r>
        <w:rPr>
          <w:rFonts w:ascii="TT Norms Pro Light" w:hAnsi="TT Norms Pro Light"/>
          <w:b w:val="0"/>
          <w:sz w:val="18"/>
        </w:rPr>
        <w:t>motivation</w:t>
      </w:r>
      <w:r>
        <w:rPr>
          <w:rFonts w:ascii="TT Norms Pro Light" w:hAnsi="TT Norms Pro Light"/>
          <w:b w:val="0"/>
          <w:spacing w:val="-7"/>
          <w:sz w:val="18"/>
        </w:rPr>
        <w:t> </w:t>
      </w:r>
      <w:r>
        <w:rPr>
          <w:rFonts w:ascii="TT Norms Pro Light" w:hAnsi="TT Norms Pro Light"/>
          <w:b w:val="0"/>
          <w:sz w:val="18"/>
        </w:rPr>
        <w:t>of</w:t>
      </w:r>
      <w:r>
        <w:rPr>
          <w:rFonts w:ascii="TT Norms Pro Light" w:hAnsi="TT Norms Pro Light"/>
          <w:b w:val="0"/>
          <w:spacing w:val="-7"/>
          <w:sz w:val="18"/>
        </w:rPr>
        <w:t> </w:t>
      </w:r>
      <w:r>
        <w:rPr>
          <w:rFonts w:ascii="TT Norms Pro Light" w:hAnsi="TT Norms Pro Light"/>
          <w:b w:val="0"/>
          <w:sz w:val="18"/>
        </w:rPr>
        <w:t>and</w:t>
      </w:r>
      <w:r>
        <w:rPr>
          <w:rFonts w:ascii="TT Norms Pro Light" w:hAnsi="TT Norms Pro Light"/>
          <w:b w:val="0"/>
          <w:spacing w:val="-7"/>
          <w:sz w:val="18"/>
        </w:rPr>
        <w:t> </w:t>
      </w:r>
      <w:r>
        <w:rPr>
          <w:rFonts w:ascii="TT Norms Pro Light" w:hAnsi="TT Norms Pro Light"/>
          <w:b w:val="0"/>
          <w:sz w:val="18"/>
        </w:rPr>
        <w:t>for</w:t>
      </w:r>
      <w:r>
        <w:rPr>
          <w:rFonts w:ascii="TT Norms Pro Light" w:hAnsi="TT Norms Pro Light"/>
          <w:b w:val="0"/>
          <w:spacing w:val="40"/>
          <w:sz w:val="18"/>
        </w:rPr>
        <w:t> </w:t>
      </w:r>
      <w:r>
        <w:rPr>
          <w:rFonts w:ascii="TT Norms Pro Light" w:hAnsi="TT Norms Pro Light"/>
          <w:b w:val="0"/>
          <w:sz w:val="18"/>
        </w:rPr>
        <w:t>all</w:t>
      </w:r>
      <w:r>
        <w:rPr>
          <w:rFonts w:ascii="TT Norms Pro Light" w:hAnsi="TT Norms Pro Light"/>
          <w:b w:val="0"/>
          <w:spacing w:val="-5"/>
          <w:sz w:val="18"/>
        </w:rPr>
        <w:t> </w:t>
      </w:r>
      <w:r>
        <w:rPr>
          <w:rFonts w:ascii="TT Norms Pro Light" w:hAnsi="TT Norms Pro Light"/>
          <w:b w:val="0"/>
          <w:sz w:val="18"/>
        </w:rPr>
        <w:t>staff.</w:t>
      </w:r>
    </w:p>
    <w:p>
      <w:pPr>
        <w:pStyle w:val="BodyText"/>
        <w:spacing w:before="18"/>
        <w:rPr>
          <w:b w:val="0"/>
        </w:rPr>
      </w:pPr>
    </w:p>
    <w:p>
      <w:pPr>
        <w:pStyle w:val="BodyText"/>
        <w:spacing w:line="295" w:lineRule="auto"/>
        <w:ind w:left="1133" w:right="194"/>
        <w:rPr>
          <w:b w:val="0"/>
        </w:rPr>
      </w:pPr>
      <w:r>
        <w:rPr>
          <w:b w:val="0"/>
        </w:rPr>
        <w:t>These objectives underpin our priorities, and were the</w:t>
      </w:r>
      <w:r>
        <w:rPr>
          <w:b w:val="0"/>
          <w:spacing w:val="40"/>
        </w:rPr>
        <w:t> </w:t>
      </w:r>
      <w:r>
        <w:rPr>
          <w:b w:val="0"/>
        </w:rPr>
        <w:t>guide</w:t>
      </w:r>
      <w:r>
        <w:rPr>
          <w:b w:val="0"/>
          <w:spacing w:val="-1"/>
        </w:rPr>
        <w:t> </w:t>
      </w:r>
      <w:r>
        <w:rPr>
          <w:b w:val="0"/>
        </w:rPr>
        <w:t>for</w:t>
      </w:r>
      <w:r>
        <w:rPr>
          <w:b w:val="0"/>
          <w:spacing w:val="-1"/>
        </w:rPr>
        <w:t> </w:t>
      </w:r>
      <w:r>
        <w:rPr>
          <w:b w:val="0"/>
        </w:rPr>
        <w:t>how</w:t>
      </w:r>
      <w:r>
        <w:rPr>
          <w:b w:val="0"/>
          <w:spacing w:val="-1"/>
        </w:rPr>
        <w:t> </w:t>
      </w:r>
      <w:r>
        <w:rPr>
          <w:b w:val="0"/>
        </w:rPr>
        <w:t>we</w:t>
      </w:r>
      <w:r>
        <w:rPr>
          <w:b w:val="0"/>
          <w:spacing w:val="-1"/>
        </w:rPr>
        <w:t> </w:t>
      </w:r>
      <w:r>
        <w:rPr>
          <w:b w:val="0"/>
        </w:rPr>
        <w:t>redirected</w:t>
      </w:r>
      <w:r>
        <w:rPr>
          <w:b w:val="0"/>
          <w:spacing w:val="-1"/>
        </w:rPr>
        <w:t> </w:t>
      </w:r>
      <w:r>
        <w:rPr>
          <w:b w:val="0"/>
        </w:rPr>
        <w:t>our</w:t>
      </w:r>
      <w:r>
        <w:rPr>
          <w:b w:val="0"/>
          <w:spacing w:val="-1"/>
        </w:rPr>
        <w:t> </w:t>
      </w:r>
      <w:r>
        <w:rPr>
          <w:b w:val="0"/>
        </w:rPr>
        <w:t>workforce</w:t>
      </w:r>
      <w:r>
        <w:rPr>
          <w:b w:val="0"/>
          <w:spacing w:val="-1"/>
        </w:rPr>
        <w:t> </w:t>
      </w:r>
      <w:r>
        <w:rPr>
          <w:b w:val="0"/>
        </w:rPr>
        <w:t>to</w:t>
      </w:r>
      <w:r>
        <w:rPr>
          <w:b w:val="0"/>
          <w:spacing w:val="-1"/>
        </w:rPr>
        <w:t> </w:t>
      </w:r>
      <w:r>
        <w:rPr>
          <w:b w:val="0"/>
        </w:rPr>
        <w:t>work</w:t>
      </w:r>
      <w:r>
        <w:rPr>
          <w:b w:val="0"/>
          <w:spacing w:val="-1"/>
        </w:rPr>
        <w:t> </w:t>
      </w:r>
      <w:r>
        <w:rPr>
          <w:b w:val="0"/>
        </w:rPr>
        <w:t>from</w:t>
      </w:r>
      <w:r>
        <w:rPr>
          <w:b w:val="0"/>
          <w:spacing w:val="40"/>
        </w:rPr>
        <w:t> </w:t>
      </w:r>
      <w:r>
        <w:rPr>
          <w:b w:val="0"/>
        </w:rPr>
        <w:t>home during the pandemic. The rapid transition to</w:t>
      </w:r>
      <w:r>
        <w:rPr>
          <w:b w:val="0"/>
          <w:spacing w:val="40"/>
        </w:rPr>
        <w:t> </w:t>
      </w:r>
      <w:r>
        <w:rPr>
          <w:b w:val="0"/>
        </w:rPr>
        <w:t>home-based working enabled us to accelerate many</w:t>
      </w:r>
    </w:p>
    <w:p>
      <w:pPr>
        <w:pStyle w:val="BodyText"/>
        <w:spacing w:line="295" w:lineRule="auto" w:before="4"/>
        <w:ind w:left="1133" w:right="57"/>
        <w:rPr>
          <w:b w:val="0"/>
        </w:rPr>
      </w:pPr>
      <w:r>
        <w:rPr>
          <w:b w:val="0"/>
        </w:rPr>
        <w:t>changes that would have otherwise taken much longer to</w:t>
      </w:r>
      <w:r>
        <w:rPr>
          <w:b w:val="0"/>
          <w:spacing w:val="40"/>
        </w:rPr>
        <w:t> </w:t>
      </w:r>
      <w:r>
        <w:rPr>
          <w:b w:val="0"/>
        </w:rPr>
        <w:t>achieve. By necessity, our workforce became more</w:t>
      </w:r>
      <w:r>
        <w:rPr>
          <w:b w:val="0"/>
          <w:spacing w:val="40"/>
        </w:rPr>
        <w:t> </w:t>
      </w:r>
      <w:r>
        <w:rPr>
          <w:b w:val="0"/>
        </w:rPr>
        <w:t>flexible, resilient and outcomes-focused as staff adjusted</w:t>
      </w:r>
      <w:r>
        <w:rPr>
          <w:b w:val="0"/>
          <w:spacing w:val="40"/>
        </w:rPr>
        <w:t> </w:t>
      </w:r>
      <w:r>
        <w:rPr>
          <w:b w:val="0"/>
        </w:rPr>
        <w:t>to the realities of working remotely. Managers improved</w:t>
      </w:r>
      <w:r>
        <w:rPr>
          <w:b w:val="0"/>
          <w:spacing w:val="40"/>
        </w:rPr>
        <w:t> </w:t>
      </w:r>
      <w:r>
        <w:rPr>
          <w:b w:val="0"/>
        </w:rPr>
        <w:t>their change leadership capabilities and supported their</w:t>
      </w:r>
      <w:r>
        <w:rPr>
          <w:b w:val="0"/>
          <w:spacing w:val="40"/>
        </w:rPr>
        <w:t> </w:t>
      </w:r>
      <w:r>
        <w:rPr>
          <w:b w:val="0"/>
        </w:rPr>
        <w:t>teams in navigating new ways of working and</w:t>
      </w:r>
      <w:r>
        <w:rPr>
          <w:b w:val="0"/>
          <w:spacing w:val="40"/>
        </w:rPr>
        <w:t> </w:t>
      </w:r>
      <w:r>
        <w:rPr>
          <w:b w:val="0"/>
        </w:rPr>
        <w:t>communicating with one another.</w:t>
      </w:r>
    </w:p>
    <w:p>
      <w:pPr>
        <w:pStyle w:val="BodyText"/>
        <w:spacing w:line="295" w:lineRule="auto" w:before="121"/>
        <w:ind w:left="378" w:right="392"/>
        <w:rPr>
          <w:b w:val="0"/>
        </w:rPr>
      </w:pPr>
      <w:r>
        <w:rPr/>
        <w:br w:type="column"/>
      </w:r>
      <w:r>
        <w:rPr>
          <w:b w:val="0"/>
        </w:rPr>
        <w:t>Our workforce was supported through the provision of</w:t>
      </w:r>
      <w:r>
        <w:rPr>
          <w:b w:val="0"/>
          <w:spacing w:val="40"/>
        </w:rPr>
        <w:t> </w:t>
      </w:r>
      <w:r>
        <w:rPr>
          <w:b w:val="0"/>
        </w:rPr>
        <w:t>advice and support that was delivered and enabled</w:t>
      </w:r>
      <w:r>
        <w:rPr>
          <w:b w:val="0"/>
          <w:spacing w:val="40"/>
        </w:rPr>
        <w:t> </w:t>
      </w:r>
      <w:r>
        <w:rPr>
          <w:b w:val="0"/>
        </w:rPr>
        <w:t>through technology and remote, self-directed learning.</w:t>
      </w:r>
      <w:r>
        <w:rPr>
          <w:b w:val="0"/>
          <w:spacing w:val="40"/>
        </w:rPr>
        <w:t> </w:t>
      </w:r>
      <w:r>
        <w:rPr>
          <w:b w:val="0"/>
        </w:rPr>
        <w:t>We</w:t>
      </w:r>
      <w:r>
        <w:rPr>
          <w:b w:val="0"/>
          <w:spacing w:val="-2"/>
        </w:rPr>
        <w:t> </w:t>
      </w:r>
      <w:r>
        <w:rPr>
          <w:b w:val="0"/>
        </w:rPr>
        <w:t>developed</w:t>
      </w:r>
      <w:r>
        <w:rPr>
          <w:b w:val="0"/>
          <w:spacing w:val="-2"/>
        </w:rPr>
        <w:t> </w:t>
      </w:r>
      <w:r>
        <w:rPr>
          <w:b w:val="0"/>
        </w:rPr>
        <w:t>a</w:t>
      </w:r>
      <w:r>
        <w:rPr>
          <w:b w:val="0"/>
          <w:spacing w:val="-2"/>
        </w:rPr>
        <w:t> </w:t>
      </w:r>
      <w:r>
        <w:rPr>
          <w:b w:val="0"/>
        </w:rPr>
        <w:t>Job</w:t>
      </w:r>
      <w:r>
        <w:rPr>
          <w:b w:val="0"/>
          <w:spacing w:val="-2"/>
        </w:rPr>
        <w:t> </w:t>
      </w:r>
      <w:r>
        <w:rPr>
          <w:b w:val="0"/>
        </w:rPr>
        <w:t>Match</w:t>
      </w:r>
      <w:r>
        <w:rPr>
          <w:b w:val="0"/>
          <w:spacing w:val="-2"/>
        </w:rPr>
        <w:t> </w:t>
      </w:r>
      <w:r>
        <w:rPr>
          <w:b w:val="0"/>
        </w:rPr>
        <w:t>scheme</w:t>
      </w:r>
      <w:r>
        <w:rPr>
          <w:b w:val="0"/>
          <w:spacing w:val="-2"/>
        </w:rPr>
        <w:t> </w:t>
      </w:r>
      <w:r>
        <w:rPr>
          <w:b w:val="0"/>
        </w:rPr>
        <w:t>allowing</w:t>
      </w:r>
      <w:r>
        <w:rPr>
          <w:b w:val="0"/>
          <w:spacing w:val="-2"/>
        </w:rPr>
        <w:t> </w:t>
      </w:r>
      <w:r>
        <w:rPr>
          <w:b w:val="0"/>
        </w:rPr>
        <w:t>us</w:t>
      </w:r>
      <w:r>
        <w:rPr>
          <w:b w:val="0"/>
          <w:spacing w:val="-2"/>
        </w:rPr>
        <w:t> </w:t>
      </w:r>
      <w:r>
        <w:rPr>
          <w:b w:val="0"/>
        </w:rPr>
        <w:t>to</w:t>
      </w:r>
      <w:r>
        <w:rPr>
          <w:b w:val="0"/>
          <w:spacing w:val="-2"/>
        </w:rPr>
        <w:t> </w:t>
      </w:r>
      <w:r>
        <w:rPr>
          <w:b w:val="0"/>
        </w:rPr>
        <w:t>match</w:t>
      </w:r>
      <w:r>
        <w:rPr>
          <w:b w:val="0"/>
          <w:spacing w:val="40"/>
        </w:rPr>
        <w:t> </w:t>
      </w:r>
      <w:r>
        <w:rPr>
          <w:b w:val="0"/>
        </w:rPr>
        <w:t>talent that would otherwise have been stood-down</w:t>
      </w:r>
    </w:p>
    <w:p>
      <w:pPr>
        <w:pStyle w:val="BodyText"/>
        <w:spacing w:line="295" w:lineRule="auto" w:before="5"/>
        <w:ind w:left="378" w:right="782"/>
        <w:rPr>
          <w:b w:val="0"/>
        </w:rPr>
      </w:pPr>
      <w:r>
        <w:rPr>
          <w:b w:val="0"/>
        </w:rPr>
        <w:t>– due to the pandemic – with other available work.</w:t>
      </w:r>
      <w:r>
        <w:rPr>
          <w:b w:val="0"/>
          <w:spacing w:val="40"/>
        </w:rPr>
        <w:t> </w:t>
      </w:r>
      <w:r>
        <w:rPr>
          <w:b w:val="0"/>
        </w:rPr>
        <w:t>This supported staff to perform, develop and explore</w:t>
      </w:r>
      <w:r>
        <w:rPr>
          <w:b w:val="0"/>
          <w:spacing w:val="40"/>
        </w:rPr>
        <w:t> </w:t>
      </w:r>
      <w:r>
        <w:rPr>
          <w:b w:val="0"/>
        </w:rPr>
        <w:t>new career opportunities.</w:t>
      </w:r>
    </w:p>
    <w:p>
      <w:pPr>
        <w:pStyle w:val="BodyText"/>
        <w:spacing w:before="52"/>
        <w:rPr>
          <w:b w:val="0"/>
        </w:rPr>
      </w:pPr>
    </w:p>
    <w:p>
      <w:pPr>
        <w:pStyle w:val="BodyText"/>
        <w:spacing w:line="295" w:lineRule="auto"/>
        <w:ind w:left="378" w:right="392"/>
        <w:rPr>
          <w:b w:val="0"/>
        </w:rPr>
      </w:pPr>
      <w:r>
        <w:rPr>
          <w:b w:val="0"/>
        </w:rPr>
        <w:t>This year, the performance review process was simplified</w:t>
      </w:r>
      <w:r>
        <w:rPr>
          <w:b w:val="0"/>
          <w:spacing w:val="40"/>
        </w:rPr>
        <w:t> </w:t>
      </w:r>
      <w:r>
        <w:rPr>
          <w:b w:val="0"/>
        </w:rPr>
        <w:t>and streamlined to focus on outcomes and achievements.</w:t>
      </w:r>
      <w:r>
        <w:rPr>
          <w:b w:val="0"/>
          <w:spacing w:val="40"/>
        </w:rPr>
        <w:t> </w:t>
      </w:r>
      <w:r>
        <w:rPr>
          <w:b w:val="0"/>
        </w:rPr>
        <w:t>As we move into the new COVID-19 normal workplace, we</w:t>
      </w:r>
      <w:r>
        <w:rPr>
          <w:b w:val="0"/>
          <w:spacing w:val="40"/>
        </w:rPr>
        <w:t> </w:t>
      </w:r>
      <w:r>
        <w:rPr>
          <w:b w:val="0"/>
        </w:rPr>
        <w:t>will assess the benefits of these changes and refine them</w:t>
      </w:r>
      <w:r>
        <w:rPr>
          <w:b w:val="0"/>
          <w:spacing w:val="40"/>
        </w:rPr>
        <w:t> </w:t>
      </w:r>
      <w:r>
        <w:rPr>
          <w:b w:val="0"/>
        </w:rPr>
        <w:t>where</w:t>
      </w:r>
      <w:r>
        <w:rPr>
          <w:b w:val="0"/>
          <w:spacing w:val="-7"/>
        </w:rPr>
        <w:t> </w:t>
      </w:r>
      <w:r>
        <w:rPr>
          <w:b w:val="0"/>
        </w:rPr>
        <w:t>necessary.</w:t>
      </w:r>
    </w:p>
    <w:p>
      <w:pPr>
        <w:pStyle w:val="BodyText"/>
        <w:spacing w:before="54"/>
        <w:rPr>
          <w:b w:val="0"/>
        </w:rPr>
      </w:pPr>
    </w:p>
    <w:p>
      <w:pPr>
        <w:pStyle w:val="BodyText"/>
        <w:spacing w:line="295" w:lineRule="auto"/>
        <w:ind w:left="378" w:right="392"/>
        <w:rPr>
          <w:b w:val="0"/>
        </w:rPr>
      </w:pPr>
      <w:r>
        <w:rPr>
          <w:b w:val="0"/>
        </w:rPr>
        <w:t>We also developed a proposal for significant structural</w:t>
      </w:r>
      <w:r>
        <w:rPr>
          <w:b w:val="0"/>
          <w:spacing w:val="40"/>
        </w:rPr>
        <w:t> </w:t>
      </w:r>
      <w:r>
        <w:rPr>
          <w:b w:val="0"/>
        </w:rPr>
        <w:t>reform of the University, commencing with the Executive</w:t>
      </w:r>
      <w:r>
        <w:rPr>
          <w:b w:val="0"/>
          <w:spacing w:val="40"/>
        </w:rPr>
        <w:t> </w:t>
      </w:r>
      <w:r>
        <w:rPr>
          <w:b w:val="0"/>
        </w:rPr>
        <w:t>and its associated management structures. Through</w:t>
      </w:r>
      <w:r>
        <w:rPr>
          <w:b w:val="0"/>
          <w:spacing w:val="40"/>
        </w:rPr>
        <w:t> </w:t>
      </w:r>
      <w:r>
        <w:rPr>
          <w:b w:val="0"/>
        </w:rPr>
        <w:t>engagement and consultation with our workforce and</w:t>
      </w:r>
      <w:r>
        <w:rPr>
          <w:b w:val="0"/>
          <w:spacing w:val="40"/>
        </w:rPr>
        <w:t> </w:t>
      </w:r>
      <w:r>
        <w:rPr>
          <w:b w:val="0"/>
        </w:rPr>
        <w:t>other stakeholders, we finalised a new Executive structure</w:t>
      </w:r>
      <w:r>
        <w:rPr>
          <w:b w:val="0"/>
          <w:spacing w:val="40"/>
        </w:rPr>
        <w:t> </w:t>
      </w:r>
      <w:r>
        <w:rPr>
          <w:b w:val="0"/>
        </w:rPr>
        <w:t>that took effect in early January 2021.</w:t>
      </w:r>
    </w:p>
    <w:p>
      <w:pPr>
        <w:spacing w:after="0" w:line="295" w:lineRule="auto"/>
        <w:sectPr>
          <w:type w:val="continuous"/>
          <w:pgSz w:w="11910" w:h="16840"/>
          <w:pgMar w:header="468" w:footer="0" w:top="980" w:bottom="280" w:left="0" w:right="780"/>
          <w:cols w:num="2" w:equalWidth="0">
            <w:col w:w="5733" w:space="40"/>
            <w:col w:w="5357"/>
          </w:cols>
        </w:sect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spacing w:before="155"/>
        <w:rPr>
          <w:b w:val="0"/>
          <w:sz w:val="24"/>
        </w:rPr>
      </w:pPr>
    </w:p>
    <w:p>
      <w:pPr>
        <w:pStyle w:val="Heading8"/>
      </w:pPr>
      <w:r>
        <w:rPr>
          <w:spacing w:val="-10"/>
        </w:rPr>
        <w:t>Support</w:t>
      </w:r>
      <w:r>
        <w:rPr>
          <w:spacing w:val="12"/>
        </w:rPr>
        <w:t> </w:t>
      </w:r>
      <w:r>
        <w:rPr>
          <w:spacing w:val="-10"/>
        </w:rPr>
        <w:t>through</w:t>
      </w:r>
      <w:r>
        <w:rPr>
          <w:spacing w:val="13"/>
        </w:rPr>
        <w:t> </w:t>
      </w:r>
      <w:r>
        <w:rPr>
          <w:spacing w:val="-10"/>
        </w:rPr>
        <w:t>COVID-19</w:t>
      </w:r>
    </w:p>
    <w:p>
      <w:pPr>
        <w:pStyle w:val="BodyText"/>
        <w:spacing w:line="295" w:lineRule="auto" w:before="36"/>
        <w:ind w:left="1133" w:right="5578"/>
        <w:rPr>
          <w:b w:val="0"/>
        </w:rPr>
      </w:pPr>
      <w:r>
        <w:rPr>
          <w:b w:val="0"/>
        </w:rPr>
        <w:t>The Human Resources team provided direct support</w:t>
      </w:r>
      <w:r>
        <w:rPr>
          <w:b w:val="0"/>
          <w:spacing w:val="40"/>
        </w:rPr>
        <w:t> </w:t>
      </w:r>
      <w:r>
        <w:rPr>
          <w:b w:val="0"/>
        </w:rPr>
        <w:t>and advice to staff throughout the pandemic.</w:t>
      </w:r>
    </w:p>
    <w:p>
      <w:pPr>
        <w:pStyle w:val="BodyText"/>
        <w:rPr>
          <w:b w:val="0"/>
          <w:sz w:val="12"/>
        </w:rPr>
      </w:pPr>
    </w:p>
    <w:p>
      <w:pPr>
        <w:spacing w:after="0"/>
        <w:rPr>
          <w:sz w:val="12"/>
        </w:rPr>
        <w:sectPr>
          <w:pgSz w:w="11910" w:h="16840"/>
          <w:pgMar w:header="468" w:footer="0" w:top="720" w:bottom="280" w:left="0" w:right="780"/>
        </w:sectPr>
      </w:pPr>
    </w:p>
    <w:p>
      <w:pPr>
        <w:pStyle w:val="BodyText"/>
        <w:spacing w:line="295" w:lineRule="auto" w:before="121"/>
        <w:ind w:left="1133"/>
        <w:rPr>
          <w:b w:val="0"/>
        </w:rPr>
      </w:pPr>
      <w:r>
        <w:rPr/>
        <mc:AlternateContent>
          <mc:Choice Requires="wps">
            <w:drawing>
              <wp:anchor distT="0" distB="0" distL="0" distR="0" allowOverlap="1" layoutInCell="1" locked="0" behindDoc="1" simplePos="0" relativeHeight="472662528">
                <wp:simplePos x="0" y="0"/>
                <wp:positionH relativeFrom="page">
                  <wp:posOffset>1603590</wp:posOffset>
                </wp:positionH>
                <wp:positionV relativeFrom="page">
                  <wp:posOffset>0</wp:posOffset>
                </wp:positionV>
                <wp:extent cx="5236845" cy="4500245"/>
                <wp:effectExtent l="0" t="0" r="0" b="0"/>
                <wp:wrapNone/>
                <wp:docPr id="359" name="Group 359"/>
                <wp:cNvGraphicFramePr>
                  <a:graphicFrameLocks/>
                </wp:cNvGraphicFramePr>
                <a:graphic>
                  <a:graphicData uri="http://schemas.microsoft.com/office/word/2010/wordprocessingGroup">
                    <wpg:wgp>
                      <wpg:cNvPr id="359" name="Group 359"/>
                      <wpg:cNvGrpSpPr/>
                      <wpg:grpSpPr>
                        <a:xfrm>
                          <a:off x="0" y="0"/>
                          <a:ext cx="5236845" cy="4500245"/>
                          <a:chExt cx="5236845" cy="4500245"/>
                        </a:xfrm>
                      </wpg:grpSpPr>
                      <pic:pic>
                        <pic:nvPicPr>
                          <pic:cNvPr id="360" name="Image 360"/>
                          <pic:cNvPicPr/>
                        </pic:nvPicPr>
                        <pic:blipFill>
                          <a:blip r:embed="rId59" cstate="print"/>
                          <a:stretch>
                            <a:fillRect/>
                          </a:stretch>
                        </pic:blipFill>
                        <pic:spPr>
                          <a:xfrm>
                            <a:off x="178409" y="0"/>
                            <a:ext cx="5057990" cy="4500003"/>
                          </a:xfrm>
                          <a:prstGeom prst="rect">
                            <a:avLst/>
                          </a:prstGeom>
                        </pic:spPr>
                      </pic:pic>
                      <pic:pic>
                        <pic:nvPicPr>
                          <pic:cNvPr id="361" name="Image 361"/>
                          <pic:cNvPicPr/>
                        </pic:nvPicPr>
                        <pic:blipFill>
                          <a:blip r:embed="rId60" cstate="print"/>
                          <a:stretch>
                            <a:fillRect/>
                          </a:stretch>
                        </pic:blipFill>
                        <pic:spPr>
                          <a:xfrm>
                            <a:off x="0" y="0"/>
                            <a:ext cx="178409" cy="1619300"/>
                          </a:xfrm>
                          <a:prstGeom prst="rect">
                            <a:avLst/>
                          </a:prstGeom>
                        </pic:spPr>
                      </pic:pic>
                    </wpg:wgp>
                  </a:graphicData>
                </a:graphic>
              </wp:anchor>
            </w:drawing>
          </mc:Choice>
          <mc:Fallback>
            <w:pict>
              <v:group style="position:absolute;margin-left:126.266998pt;margin-top:.000015pt;width:412.35pt;height:354.35pt;mso-position-horizontal-relative:page;mso-position-vertical-relative:page;z-index:-30653952" id="docshapegroup216" coordorigin="2525,0" coordsize="8247,7087">
                <v:shape style="position:absolute;left:2806;top:0;width:7966;height:7087" type="#_x0000_t75" id="docshape217" stroked="false">
                  <v:imagedata r:id="rId59" o:title=""/>
                </v:shape>
                <v:shape style="position:absolute;left:2525;top:0;width:281;height:2551" type="#_x0000_t75" id="docshape218" stroked="false">
                  <v:imagedata r:id="rId60" o:title=""/>
                </v:shape>
                <w10:wrap type="none"/>
              </v:group>
            </w:pict>
          </mc:Fallback>
        </mc:AlternateContent>
      </w:r>
      <w:r>
        <w:rPr/>
        <mc:AlternateContent>
          <mc:Choice Requires="wps">
            <w:drawing>
              <wp:anchor distT="0" distB="0" distL="0" distR="0" allowOverlap="1" layoutInCell="1" locked="0" behindDoc="0" simplePos="0" relativeHeight="15809536">
                <wp:simplePos x="0" y="0"/>
                <wp:positionH relativeFrom="page">
                  <wp:posOffset>7111289</wp:posOffset>
                </wp:positionH>
                <wp:positionV relativeFrom="page">
                  <wp:posOffset>8136825</wp:posOffset>
                </wp:positionV>
                <wp:extent cx="177800" cy="1848485"/>
                <wp:effectExtent l="0" t="0" r="0" b="0"/>
                <wp:wrapNone/>
                <wp:docPr id="362" name="Textbox 362"/>
                <wp:cNvGraphicFramePr>
                  <a:graphicFrameLocks/>
                </wp:cNvGraphicFramePr>
                <a:graphic>
                  <a:graphicData uri="http://schemas.microsoft.com/office/word/2010/wordprocessingShape">
                    <wps:wsp>
                      <wps:cNvPr id="362" name="Textbox 362"/>
                      <wps:cNvSpPr txBox="1"/>
                      <wps:spPr>
                        <a:xfrm>
                          <a:off x="0" y="0"/>
                          <a:ext cx="177800" cy="184848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640.694885pt;width:14pt;height:145.550pt;mso-position-horizontal-relative:page;mso-position-vertical-relative:page;z-index:15809536" type="#_x0000_t202" id="docshape219"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v:textbox>
                <w10:wrap type="none"/>
              </v:shape>
            </w:pict>
          </mc:Fallback>
        </mc:AlternateContent>
      </w:r>
      <w:r>
        <w:rPr>
          <w:b w:val="0"/>
        </w:rPr>
        <w:t>Travel guidance and self-isolation recommendations for</w:t>
      </w:r>
      <w:r>
        <w:rPr>
          <w:b w:val="0"/>
          <w:spacing w:val="40"/>
        </w:rPr>
        <w:t> </w:t>
      </w:r>
      <w:r>
        <w:rPr>
          <w:b w:val="0"/>
        </w:rPr>
        <w:t>staff and students were updated as government</w:t>
      </w:r>
      <w:r>
        <w:rPr>
          <w:b w:val="0"/>
          <w:spacing w:val="40"/>
        </w:rPr>
        <w:t> </w:t>
      </w:r>
      <w:r>
        <w:rPr>
          <w:b w:val="0"/>
        </w:rPr>
        <w:t>regulations changed. Working with UWA’s healthcare and</w:t>
      </w:r>
      <w:r>
        <w:rPr>
          <w:b w:val="0"/>
          <w:spacing w:val="40"/>
        </w:rPr>
        <w:t> </w:t>
      </w:r>
      <w:r>
        <w:rPr>
          <w:b w:val="0"/>
        </w:rPr>
        <w:t>risk management provider Healix, the team ensured nearly</w:t>
      </w:r>
      <w:r>
        <w:rPr>
          <w:b w:val="0"/>
          <w:spacing w:val="40"/>
        </w:rPr>
        <w:t> </w:t>
      </w:r>
      <w:r>
        <w:rPr>
          <w:b w:val="0"/>
        </w:rPr>
        <w:t>170 staff and students who were stranded overseas were</w:t>
      </w:r>
      <w:r>
        <w:rPr>
          <w:b w:val="0"/>
          <w:spacing w:val="40"/>
        </w:rPr>
        <w:t> </w:t>
      </w:r>
      <w:r>
        <w:rPr>
          <w:b w:val="0"/>
        </w:rPr>
        <w:t>given assistance to return to their home countries.</w:t>
      </w:r>
    </w:p>
    <w:p>
      <w:pPr>
        <w:pStyle w:val="BodyText"/>
        <w:spacing w:before="55"/>
        <w:rPr>
          <w:b w:val="0"/>
        </w:rPr>
      </w:pPr>
    </w:p>
    <w:p>
      <w:pPr>
        <w:pStyle w:val="BodyText"/>
        <w:spacing w:line="295" w:lineRule="auto"/>
        <w:ind w:left="1133" w:right="44"/>
        <w:rPr>
          <w:b w:val="0"/>
        </w:rPr>
      </w:pPr>
      <w:r>
        <w:rPr>
          <w:b w:val="0"/>
        </w:rPr>
        <w:t>A Health and Wellbeing Management Plan for staff and</w:t>
      </w:r>
      <w:r>
        <w:rPr>
          <w:b w:val="0"/>
          <w:spacing w:val="40"/>
        </w:rPr>
        <w:t> </w:t>
      </w:r>
      <w:r>
        <w:rPr>
          <w:b w:val="0"/>
        </w:rPr>
        <w:t>students was created as we rapidly altered our ways of</w:t>
      </w:r>
      <w:r>
        <w:rPr>
          <w:b w:val="0"/>
          <w:spacing w:val="40"/>
        </w:rPr>
        <w:t> </w:t>
      </w:r>
      <w:r>
        <w:rPr>
          <w:b w:val="0"/>
        </w:rPr>
        <w:t>working.</w:t>
      </w:r>
      <w:r>
        <w:rPr>
          <w:b w:val="0"/>
          <w:spacing w:val="-4"/>
        </w:rPr>
        <w:t> </w:t>
      </w:r>
      <w:r>
        <w:rPr>
          <w:b w:val="0"/>
        </w:rPr>
        <w:t>The</w:t>
      </w:r>
      <w:r>
        <w:rPr>
          <w:b w:val="0"/>
          <w:spacing w:val="-4"/>
        </w:rPr>
        <w:t> </w:t>
      </w:r>
      <w:r>
        <w:rPr>
          <w:b w:val="0"/>
        </w:rPr>
        <w:t>plan</w:t>
      </w:r>
      <w:r>
        <w:rPr>
          <w:b w:val="0"/>
          <w:spacing w:val="-4"/>
        </w:rPr>
        <w:t> </w:t>
      </w:r>
      <w:r>
        <w:rPr>
          <w:b w:val="0"/>
        </w:rPr>
        <w:t>included</w:t>
      </w:r>
      <w:r>
        <w:rPr>
          <w:b w:val="0"/>
          <w:spacing w:val="-4"/>
        </w:rPr>
        <w:t> </w:t>
      </w:r>
      <w:r>
        <w:rPr>
          <w:b w:val="0"/>
        </w:rPr>
        <w:t>responses</w:t>
      </w:r>
      <w:r>
        <w:rPr>
          <w:b w:val="0"/>
          <w:spacing w:val="-4"/>
        </w:rPr>
        <w:t> </w:t>
      </w:r>
      <w:r>
        <w:rPr>
          <w:b w:val="0"/>
        </w:rPr>
        <w:t>for</w:t>
      </w:r>
      <w:r>
        <w:rPr>
          <w:b w:val="0"/>
          <w:spacing w:val="-4"/>
        </w:rPr>
        <w:t> </w:t>
      </w:r>
      <w:r>
        <w:rPr>
          <w:b w:val="0"/>
        </w:rPr>
        <w:t>various</w:t>
      </w:r>
      <w:r>
        <w:rPr>
          <w:b w:val="0"/>
          <w:spacing w:val="-4"/>
        </w:rPr>
        <w:t> </w:t>
      </w:r>
      <w:r>
        <w:rPr>
          <w:b w:val="0"/>
        </w:rPr>
        <w:t>scenarios</w:t>
      </w:r>
      <w:r>
        <w:rPr>
          <w:b w:val="0"/>
          <w:spacing w:val="40"/>
        </w:rPr>
        <w:t> </w:t>
      </w:r>
      <w:r>
        <w:rPr>
          <w:b w:val="0"/>
        </w:rPr>
        <w:t>along with triage, isolation and management processes</w:t>
      </w:r>
      <w:r>
        <w:rPr>
          <w:b w:val="0"/>
          <w:spacing w:val="80"/>
        </w:rPr>
        <w:t> </w:t>
      </w:r>
      <w:r>
        <w:rPr>
          <w:b w:val="0"/>
        </w:rPr>
        <w:t>for areas such as the University Medical Centre and</w:t>
      </w:r>
      <w:r>
        <w:rPr>
          <w:b w:val="0"/>
          <w:spacing w:val="40"/>
        </w:rPr>
        <w:t> </w:t>
      </w:r>
      <w:r>
        <w:rPr>
          <w:b w:val="0"/>
        </w:rPr>
        <w:t>student</w:t>
      </w:r>
      <w:r>
        <w:rPr>
          <w:b w:val="0"/>
          <w:spacing w:val="-5"/>
        </w:rPr>
        <w:t> </w:t>
      </w:r>
      <w:r>
        <w:rPr>
          <w:b w:val="0"/>
        </w:rPr>
        <w:t>residences.</w:t>
      </w:r>
    </w:p>
    <w:p>
      <w:pPr>
        <w:pStyle w:val="BodyText"/>
        <w:spacing w:before="55"/>
        <w:rPr>
          <w:b w:val="0"/>
        </w:rPr>
      </w:pPr>
    </w:p>
    <w:p>
      <w:pPr>
        <w:pStyle w:val="BodyText"/>
        <w:spacing w:line="295" w:lineRule="auto"/>
        <w:ind w:left="1133" w:right="64"/>
        <w:rPr>
          <w:b w:val="0"/>
        </w:rPr>
      </w:pPr>
      <w:r>
        <w:rPr>
          <w:b w:val="0"/>
        </w:rPr>
        <w:t>A</w:t>
      </w:r>
      <w:r>
        <w:rPr>
          <w:b w:val="0"/>
          <w:spacing w:val="-1"/>
        </w:rPr>
        <w:t> </w:t>
      </w:r>
      <w:r>
        <w:rPr>
          <w:b w:val="0"/>
        </w:rPr>
        <w:t>staff</w:t>
      </w:r>
      <w:r>
        <w:rPr>
          <w:b w:val="0"/>
          <w:spacing w:val="-1"/>
        </w:rPr>
        <w:t> </w:t>
      </w:r>
      <w:r>
        <w:rPr>
          <w:b w:val="0"/>
        </w:rPr>
        <w:t>guide</w:t>
      </w:r>
      <w:r>
        <w:rPr>
          <w:b w:val="0"/>
          <w:spacing w:val="-1"/>
        </w:rPr>
        <w:t> </w:t>
      </w:r>
      <w:r>
        <w:rPr>
          <w:b w:val="0"/>
        </w:rPr>
        <w:t>to</w:t>
      </w:r>
      <w:r>
        <w:rPr>
          <w:b w:val="0"/>
          <w:spacing w:val="-1"/>
        </w:rPr>
        <w:t> </w:t>
      </w:r>
      <w:r>
        <w:rPr>
          <w:b w:val="0"/>
        </w:rPr>
        <w:t>understanding</w:t>
      </w:r>
      <w:r>
        <w:rPr>
          <w:b w:val="0"/>
          <w:spacing w:val="-1"/>
        </w:rPr>
        <w:t> </w:t>
      </w:r>
      <w:r>
        <w:rPr>
          <w:b w:val="0"/>
        </w:rPr>
        <w:t>COVID-19</w:t>
      </w:r>
      <w:r>
        <w:rPr>
          <w:b w:val="0"/>
          <w:spacing w:val="-1"/>
        </w:rPr>
        <w:t> </w:t>
      </w:r>
      <w:r>
        <w:rPr>
          <w:b w:val="0"/>
        </w:rPr>
        <w:t>was</w:t>
      </w:r>
      <w:r>
        <w:rPr>
          <w:b w:val="0"/>
          <w:spacing w:val="-1"/>
        </w:rPr>
        <w:t> </w:t>
      </w:r>
      <w:r>
        <w:rPr>
          <w:b w:val="0"/>
        </w:rPr>
        <w:t>developed</w:t>
      </w:r>
      <w:r>
        <w:rPr>
          <w:b w:val="0"/>
          <w:spacing w:val="40"/>
        </w:rPr>
        <w:t> </w:t>
      </w:r>
      <w:r>
        <w:rPr>
          <w:b w:val="0"/>
        </w:rPr>
        <w:t>and updated regularly. During March, the guide was</w:t>
      </w:r>
      <w:r>
        <w:rPr>
          <w:b w:val="0"/>
          <w:spacing w:val="40"/>
        </w:rPr>
        <w:t> </w:t>
      </w:r>
      <w:r>
        <w:rPr>
          <w:b w:val="0"/>
        </w:rPr>
        <w:t>updated almost daily.</w:t>
      </w:r>
    </w:p>
    <w:p>
      <w:pPr>
        <w:pStyle w:val="BodyText"/>
        <w:spacing w:before="52"/>
        <w:rPr>
          <w:b w:val="0"/>
        </w:rPr>
      </w:pPr>
    </w:p>
    <w:p>
      <w:pPr>
        <w:pStyle w:val="BodyText"/>
        <w:spacing w:line="295" w:lineRule="auto"/>
        <w:ind w:left="1133" w:right="165"/>
        <w:rPr>
          <w:b w:val="0"/>
        </w:rPr>
      </w:pPr>
      <w:r>
        <w:rPr>
          <w:b w:val="0"/>
        </w:rPr>
        <w:t>Information sessions were conducted that reached</w:t>
      </w:r>
      <w:r>
        <w:rPr>
          <w:b w:val="0"/>
          <w:spacing w:val="40"/>
        </w:rPr>
        <w:t> </w:t>
      </w:r>
      <w:r>
        <w:rPr>
          <w:b w:val="0"/>
        </w:rPr>
        <w:t>nearly</w:t>
      </w:r>
      <w:r>
        <w:rPr>
          <w:b w:val="0"/>
          <w:spacing w:val="-4"/>
        </w:rPr>
        <w:t> </w:t>
      </w:r>
      <w:r>
        <w:rPr>
          <w:b w:val="0"/>
        </w:rPr>
        <w:t>2,000</w:t>
      </w:r>
      <w:r>
        <w:rPr>
          <w:b w:val="0"/>
          <w:spacing w:val="-4"/>
        </w:rPr>
        <w:t> </w:t>
      </w:r>
      <w:r>
        <w:rPr>
          <w:b w:val="0"/>
        </w:rPr>
        <w:t>staff</w:t>
      </w:r>
      <w:r>
        <w:rPr>
          <w:b w:val="0"/>
          <w:spacing w:val="-4"/>
        </w:rPr>
        <w:t> </w:t>
      </w:r>
      <w:r>
        <w:rPr>
          <w:b w:val="0"/>
        </w:rPr>
        <w:t>and</w:t>
      </w:r>
      <w:r>
        <w:rPr>
          <w:b w:val="0"/>
          <w:spacing w:val="-4"/>
        </w:rPr>
        <w:t> </w:t>
      </w:r>
      <w:r>
        <w:rPr>
          <w:b w:val="0"/>
        </w:rPr>
        <w:t>advised</w:t>
      </w:r>
      <w:r>
        <w:rPr>
          <w:b w:val="0"/>
          <w:spacing w:val="-4"/>
        </w:rPr>
        <w:t> </w:t>
      </w:r>
      <w:r>
        <w:rPr>
          <w:b w:val="0"/>
        </w:rPr>
        <w:t>on</w:t>
      </w:r>
      <w:r>
        <w:rPr>
          <w:b w:val="0"/>
          <w:spacing w:val="-4"/>
        </w:rPr>
        <w:t> </w:t>
      </w:r>
      <w:r>
        <w:rPr>
          <w:b w:val="0"/>
        </w:rPr>
        <w:t>best</w:t>
      </w:r>
      <w:r>
        <w:rPr>
          <w:b w:val="0"/>
          <w:spacing w:val="-4"/>
        </w:rPr>
        <w:t> </w:t>
      </w:r>
      <w:r>
        <w:rPr>
          <w:b w:val="0"/>
        </w:rPr>
        <w:t>practices</w:t>
      </w:r>
      <w:r>
        <w:rPr>
          <w:b w:val="0"/>
          <w:spacing w:val="-4"/>
        </w:rPr>
        <w:t> </w:t>
      </w:r>
      <w:r>
        <w:rPr>
          <w:b w:val="0"/>
        </w:rPr>
        <w:t>to</w:t>
      </w:r>
      <w:r>
        <w:rPr>
          <w:b w:val="0"/>
          <w:spacing w:val="-4"/>
        </w:rPr>
        <w:t> </w:t>
      </w:r>
      <w:r>
        <w:rPr>
          <w:b w:val="0"/>
        </w:rPr>
        <w:t>avoid</w:t>
      </w:r>
      <w:r>
        <w:rPr>
          <w:b w:val="0"/>
          <w:spacing w:val="40"/>
        </w:rPr>
        <w:t> </w:t>
      </w:r>
      <w:r>
        <w:rPr>
          <w:b w:val="0"/>
        </w:rPr>
        <w:t>the spread of COVID-19. A public health campaign was</w:t>
      </w:r>
      <w:r>
        <w:rPr>
          <w:b w:val="0"/>
          <w:spacing w:val="40"/>
        </w:rPr>
        <w:t> </w:t>
      </w:r>
      <w:r>
        <w:rPr>
          <w:b w:val="0"/>
        </w:rPr>
        <w:t>rolled out across campus to educate staff and students</w:t>
      </w:r>
      <w:r>
        <w:rPr>
          <w:b w:val="0"/>
          <w:spacing w:val="40"/>
        </w:rPr>
        <w:t> </w:t>
      </w:r>
      <w:r>
        <w:rPr>
          <w:b w:val="0"/>
        </w:rPr>
        <w:t>on the importance of proper hygiene and physical</w:t>
      </w:r>
      <w:r>
        <w:rPr>
          <w:b w:val="0"/>
          <w:spacing w:val="40"/>
        </w:rPr>
        <w:t> </w:t>
      </w:r>
      <w:r>
        <w:rPr>
          <w:b w:val="0"/>
        </w:rPr>
        <w:t>distancing</w:t>
      </w:r>
      <w:r>
        <w:rPr>
          <w:b w:val="0"/>
          <w:spacing w:val="-5"/>
        </w:rPr>
        <w:t> </w:t>
      </w:r>
      <w:r>
        <w:rPr>
          <w:b w:val="0"/>
        </w:rPr>
        <w:t>measures.</w:t>
      </w:r>
    </w:p>
    <w:p>
      <w:pPr>
        <w:pStyle w:val="BodyText"/>
        <w:spacing w:before="55"/>
        <w:rPr>
          <w:b w:val="0"/>
        </w:rPr>
      </w:pPr>
    </w:p>
    <w:p>
      <w:pPr>
        <w:pStyle w:val="BodyText"/>
        <w:spacing w:line="295" w:lineRule="auto"/>
        <w:ind w:left="1133" w:right="427"/>
        <w:rPr>
          <w:b w:val="0"/>
        </w:rPr>
      </w:pPr>
      <w:r>
        <w:rPr>
          <w:b w:val="0"/>
        </w:rPr>
        <w:t>The impact of COVID-19 wasn’t limited to physical</w:t>
      </w:r>
      <w:r>
        <w:rPr>
          <w:b w:val="0"/>
          <w:spacing w:val="40"/>
        </w:rPr>
        <w:t> </w:t>
      </w:r>
      <w:r>
        <w:rPr>
          <w:b w:val="0"/>
        </w:rPr>
        <w:t>wellbeing. Recognising sensitivities and the need to</w:t>
      </w:r>
      <w:r>
        <w:rPr>
          <w:b w:val="0"/>
          <w:spacing w:val="40"/>
        </w:rPr>
        <w:t> </w:t>
      </w:r>
      <w:r>
        <w:rPr>
          <w:b w:val="0"/>
        </w:rPr>
        <w:t>be inclusive, the team developed guides for acting</w:t>
      </w:r>
      <w:r>
        <w:rPr>
          <w:b w:val="0"/>
          <w:spacing w:val="40"/>
        </w:rPr>
        <w:t> </w:t>
      </w:r>
      <w:r>
        <w:rPr>
          <w:b w:val="0"/>
        </w:rPr>
        <w:t>respectfully and sensitively approaching students</w:t>
      </w:r>
      <w:r>
        <w:rPr>
          <w:b w:val="0"/>
          <w:spacing w:val="40"/>
        </w:rPr>
        <w:t> </w:t>
      </w:r>
      <w:r>
        <w:rPr>
          <w:b w:val="0"/>
        </w:rPr>
        <w:t>who might appear unwell.</w:t>
      </w:r>
    </w:p>
    <w:p>
      <w:pPr>
        <w:spacing w:line="240" w:lineRule="auto" w:before="0"/>
        <w:rPr>
          <w:rFonts w:ascii="TT Norms Pro Light"/>
          <w:b w:val="0"/>
          <w:sz w:val="18"/>
        </w:rPr>
      </w:pPr>
      <w:r>
        <w:rPr/>
        <w:br w:type="column"/>
      </w:r>
      <w:r>
        <w:rPr>
          <w:rFonts w:ascii="TT Norms Pro Light"/>
          <w:b w:val="0"/>
          <w:sz w:val="18"/>
        </w:rPr>
      </w:r>
    </w:p>
    <w:p>
      <w:pPr>
        <w:pStyle w:val="BodyText"/>
        <w:rPr>
          <w:b w:val="0"/>
        </w:rPr>
      </w:pPr>
    </w:p>
    <w:p>
      <w:pPr>
        <w:pStyle w:val="BodyText"/>
        <w:spacing w:before="8"/>
        <w:rPr>
          <w:b w:val="0"/>
        </w:rPr>
      </w:pPr>
    </w:p>
    <w:p>
      <w:pPr>
        <w:pStyle w:val="BodyText"/>
        <w:spacing w:line="295" w:lineRule="auto"/>
        <w:ind w:left="359" w:right="408"/>
        <w:rPr>
          <w:b w:val="0"/>
        </w:rPr>
      </w:pPr>
      <w:r>
        <w:rPr>
          <w:b w:val="0"/>
        </w:rPr>
        <w:t>At the same time, thousands of staff transitioned to</w:t>
      </w:r>
      <w:r>
        <w:rPr>
          <w:b w:val="0"/>
          <w:spacing w:val="40"/>
        </w:rPr>
        <w:t> </w:t>
      </w:r>
      <w:r>
        <w:rPr>
          <w:b w:val="0"/>
        </w:rPr>
        <w:t>working from home. The working from home process was</w:t>
      </w:r>
      <w:r>
        <w:rPr>
          <w:b w:val="0"/>
          <w:spacing w:val="40"/>
        </w:rPr>
        <w:t> </w:t>
      </w:r>
      <w:r>
        <w:rPr>
          <w:b w:val="0"/>
        </w:rPr>
        <w:t>streamlined, with advice provided for both managers and</w:t>
      </w:r>
      <w:r>
        <w:rPr>
          <w:b w:val="0"/>
          <w:spacing w:val="40"/>
        </w:rPr>
        <w:t> </w:t>
      </w:r>
      <w:r>
        <w:rPr>
          <w:b w:val="0"/>
        </w:rPr>
        <w:t>staff. Leave guidelines were also updated, and additional</w:t>
      </w:r>
      <w:r>
        <w:rPr>
          <w:b w:val="0"/>
          <w:spacing w:val="40"/>
        </w:rPr>
        <w:t> </w:t>
      </w:r>
      <w:r>
        <w:rPr>
          <w:b w:val="0"/>
        </w:rPr>
        <w:t>personal leave was introduced to support staff who were</w:t>
      </w:r>
      <w:r>
        <w:rPr>
          <w:b w:val="0"/>
          <w:spacing w:val="40"/>
        </w:rPr>
        <w:t> </w:t>
      </w:r>
      <w:r>
        <w:rPr>
          <w:b w:val="0"/>
        </w:rPr>
        <w:t>facing personal and family challenges.</w:t>
      </w:r>
    </w:p>
    <w:p>
      <w:pPr>
        <w:pStyle w:val="BodyText"/>
        <w:spacing w:before="55"/>
        <w:rPr>
          <w:b w:val="0"/>
        </w:rPr>
      </w:pPr>
    </w:p>
    <w:p>
      <w:pPr>
        <w:pStyle w:val="BodyText"/>
        <w:spacing w:line="295" w:lineRule="auto"/>
        <w:ind w:left="359" w:right="408"/>
        <w:rPr>
          <w:b w:val="0"/>
        </w:rPr>
      </w:pPr>
      <w:r>
        <w:rPr>
          <w:b w:val="0"/>
        </w:rPr>
        <w:t>Our Health and Wellbeing team offered ergonomic</w:t>
      </w:r>
      <w:r>
        <w:rPr>
          <w:b w:val="0"/>
          <w:spacing w:val="40"/>
        </w:rPr>
        <w:t> </w:t>
      </w:r>
      <w:r>
        <w:rPr>
          <w:b w:val="0"/>
        </w:rPr>
        <w:t>assessments via phone or Zoom, and worked with UWA’s</w:t>
      </w:r>
      <w:r>
        <w:rPr>
          <w:b w:val="0"/>
          <w:spacing w:val="40"/>
        </w:rPr>
        <w:t> </w:t>
      </w:r>
      <w:r>
        <w:rPr>
          <w:b w:val="0"/>
        </w:rPr>
        <w:t>Exercise and Performance Centre to offer staff free</w:t>
      </w:r>
      <w:r>
        <w:rPr>
          <w:b w:val="0"/>
          <w:spacing w:val="40"/>
        </w:rPr>
        <w:t> </w:t>
      </w:r>
      <w:r>
        <w:rPr>
          <w:b w:val="0"/>
        </w:rPr>
        <w:t>individual exercise physiology consultations and wellness</w:t>
      </w:r>
      <w:r>
        <w:rPr>
          <w:b w:val="0"/>
          <w:spacing w:val="40"/>
        </w:rPr>
        <w:t> </w:t>
      </w:r>
      <w:r>
        <w:rPr>
          <w:b w:val="0"/>
        </w:rPr>
        <w:t>group classes, run by Master of Clinical Exercise</w:t>
      </w:r>
      <w:r>
        <w:rPr>
          <w:b w:val="0"/>
          <w:spacing w:val="40"/>
        </w:rPr>
        <w:t> </w:t>
      </w:r>
      <w:r>
        <w:rPr>
          <w:b w:val="0"/>
        </w:rPr>
        <w:t>Physiology</w:t>
      </w:r>
      <w:r>
        <w:rPr>
          <w:b w:val="0"/>
          <w:spacing w:val="-5"/>
        </w:rPr>
        <w:t> </w:t>
      </w:r>
      <w:r>
        <w:rPr>
          <w:b w:val="0"/>
        </w:rPr>
        <w:t>students.</w:t>
      </w:r>
    </w:p>
    <w:p>
      <w:pPr>
        <w:pStyle w:val="BodyText"/>
        <w:spacing w:before="54"/>
        <w:rPr>
          <w:b w:val="0"/>
        </w:rPr>
      </w:pPr>
    </w:p>
    <w:p>
      <w:pPr>
        <w:pStyle w:val="BodyText"/>
        <w:spacing w:line="297" w:lineRule="auto" w:before="1"/>
        <w:ind w:left="359" w:right="378"/>
        <w:rPr>
          <w:b w:val="0"/>
        </w:rPr>
      </w:pPr>
      <w:r>
        <w:rPr>
          <w:b w:val="0"/>
        </w:rPr>
        <w:t>Adjustments were also made to our Employee Assistance</w:t>
      </w:r>
      <w:r>
        <w:rPr>
          <w:b w:val="0"/>
          <w:spacing w:val="40"/>
        </w:rPr>
        <w:t> </w:t>
      </w:r>
      <w:r>
        <w:rPr>
          <w:b w:val="0"/>
        </w:rPr>
        <w:t>Program to give staff access to a wider range of services,</w:t>
      </w:r>
      <w:r>
        <w:rPr>
          <w:b w:val="0"/>
          <w:spacing w:val="40"/>
        </w:rPr>
        <w:t> </w:t>
      </w:r>
      <w:r>
        <w:rPr>
          <w:b w:val="0"/>
        </w:rPr>
        <w:t>including mental wellbeing, financial counselling and</w:t>
      </w:r>
      <w:r>
        <w:rPr>
          <w:b w:val="0"/>
          <w:spacing w:val="40"/>
        </w:rPr>
        <w:t> </w:t>
      </w:r>
      <w:r>
        <w:rPr>
          <w:b w:val="0"/>
        </w:rPr>
        <w:t>nutrition services. Staff were offered webinars on work-life</w:t>
      </w:r>
      <w:r>
        <w:rPr>
          <w:b w:val="0"/>
          <w:spacing w:val="40"/>
        </w:rPr>
        <w:t> </w:t>
      </w:r>
      <w:r>
        <w:rPr>
          <w:b w:val="0"/>
        </w:rPr>
        <w:t>balance,</w:t>
      </w:r>
      <w:r>
        <w:rPr>
          <w:b w:val="0"/>
          <w:spacing w:val="-9"/>
        </w:rPr>
        <w:t> </w:t>
      </w:r>
      <w:r>
        <w:rPr>
          <w:b w:val="0"/>
        </w:rPr>
        <w:t>managing</w:t>
      </w:r>
      <w:r>
        <w:rPr>
          <w:b w:val="0"/>
          <w:spacing w:val="-9"/>
        </w:rPr>
        <w:t> </w:t>
      </w:r>
      <w:r>
        <w:rPr>
          <w:b w:val="0"/>
        </w:rPr>
        <w:t>technology</w:t>
      </w:r>
      <w:r>
        <w:rPr>
          <w:b w:val="0"/>
          <w:spacing w:val="-9"/>
        </w:rPr>
        <w:t> </w:t>
      </w:r>
      <w:r>
        <w:rPr>
          <w:b w:val="0"/>
        </w:rPr>
        <w:t>and</w:t>
      </w:r>
      <w:r>
        <w:rPr>
          <w:b w:val="0"/>
          <w:spacing w:val="-9"/>
        </w:rPr>
        <w:t> </w:t>
      </w:r>
      <w:r>
        <w:rPr>
          <w:b w:val="0"/>
        </w:rPr>
        <w:t>enhancing</w:t>
      </w:r>
      <w:r>
        <w:rPr>
          <w:b w:val="0"/>
          <w:spacing w:val="-9"/>
        </w:rPr>
        <w:t> </w:t>
      </w:r>
      <w:r>
        <w:rPr>
          <w:b w:val="0"/>
        </w:rPr>
        <w:t>productivity</w:t>
      </w:r>
      <w:r>
        <w:rPr>
          <w:b w:val="0"/>
          <w:spacing w:val="40"/>
        </w:rPr>
        <w:t> </w:t>
      </w:r>
      <w:r>
        <w:rPr>
          <w:b w:val="0"/>
        </w:rPr>
        <w:t>while working from home, and coping with change and</w:t>
      </w:r>
      <w:r>
        <w:rPr>
          <w:b w:val="0"/>
          <w:spacing w:val="40"/>
        </w:rPr>
        <w:t> </w:t>
      </w:r>
      <w:r>
        <w:rPr>
          <w:b w:val="0"/>
        </w:rPr>
        <w:t>uncertainty. More than 130 staff participated in these</w:t>
      </w:r>
      <w:r>
        <w:rPr>
          <w:b w:val="0"/>
          <w:spacing w:val="40"/>
        </w:rPr>
        <w:t> </w:t>
      </w:r>
      <w:r>
        <w:rPr>
          <w:b w:val="0"/>
        </w:rPr>
        <w:t>online</w:t>
      </w:r>
      <w:r>
        <w:rPr>
          <w:b w:val="0"/>
          <w:spacing w:val="-5"/>
        </w:rPr>
        <w:t> </w:t>
      </w:r>
      <w:r>
        <w:rPr>
          <w:b w:val="0"/>
        </w:rPr>
        <w:t>workshops.</w:t>
      </w:r>
    </w:p>
    <w:p>
      <w:pPr>
        <w:pStyle w:val="BodyText"/>
        <w:spacing w:before="42"/>
        <w:rPr>
          <w:b w:val="0"/>
        </w:rPr>
      </w:pPr>
    </w:p>
    <w:p>
      <w:pPr>
        <w:pStyle w:val="BodyText"/>
        <w:spacing w:line="295" w:lineRule="auto"/>
        <w:ind w:left="359" w:right="408"/>
        <w:rPr>
          <w:b w:val="0"/>
        </w:rPr>
      </w:pPr>
      <w:r>
        <w:rPr>
          <w:b w:val="0"/>
        </w:rPr>
        <w:t>HR’s Organisational Development team created a</w:t>
      </w:r>
      <w:r>
        <w:rPr>
          <w:b w:val="0"/>
          <w:spacing w:val="40"/>
        </w:rPr>
        <w:t> </w:t>
      </w:r>
      <w:r>
        <w:rPr>
          <w:b w:val="0"/>
        </w:rPr>
        <w:t>LinkedIn Learning package to help remote workers.</w:t>
      </w:r>
      <w:r>
        <w:rPr>
          <w:b w:val="0"/>
          <w:spacing w:val="40"/>
        </w:rPr>
        <w:t> </w:t>
      </w:r>
      <w:r>
        <w:rPr>
          <w:b w:val="0"/>
        </w:rPr>
        <w:t>Hundreds of staff completed courses including Learning</w:t>
      </w:r>
      <w:r>
        <w:rPr>
          <w:b w:val="0"/>
          <w:spacing w:val="40"/>
        </w:rPr>
        <w:t> </w:t>
      </w:r>
      <w:r>
        <w:rPr>
          <w:b w:val="0"/>
        </w:rPr>
        <w:t>Zoom, Microsoft Teams Essential Training and Being an</w:t>
      </w:r>
      <w:r>
        <w:rPr>
          <w:b w:val="0"/>
          <w:spacing w:val="40"/>
        </w:rPr>
        <w:t> </w:t>
      </w:r>
      <w:r>
        <w:rPr>
          <w:b w:val="0"/>
        </w:rPr>
        <w:t>Effective Team Member.</w:t>
      </w:r>
    </w:p>
    <w:p>
      <w:pPr>
        <w:spacing w:after="0" w:line="295" w:lineRule="auto"/>
        <w:sectPr>
          <w:type w:val="continuous"/>
          <w:pgSz w:w="11910" w:h="16840"/>
          <w:pgMar w:header="468" w:footer="0" w:top="980" w:bottom="280" w:left="0" w:right="780"/>
          <w:cols w:num="2" w:equalWidth="0">
            <w:col w:w="5752" w:space="40"/>
            <w:col w:w="5338"/>
          </w:cols>
        </w:sectPr>
      </w:pPr>
    </w:p>
    <w:p>
      <w:pPr>
        <w:pStyle w:val="BodyText"/>
        <w:spacing w:before="20" w:after="1"/>
        <w:rPr>
          <w:b w:val="0"/>
          <w:sz w:val="20"/>
        </w:rPr>
      </w:pPr>
    </w:p>
    <w:p>
      <w:pPr>
        <w:pStyle w:val="BodyText"/>
        <w:rPr>
          <w:sz w:val="20"/>
        </w:rPr>
      </w:pPr>
      <w:r>
        <w:rPr>
          <w:sz w:val="20"/>
        </w:rPr>
        <mc:AlternateContent>
          <mc:Choice Requires="wps">
            <w:drawing>
              <wp:inline distT="0" distB="0" distL="0" distR="0">
                <wp:extent cx="6996430" cy="1163955"/>
                <wp:effectExtent l="0" t="0" r="0" b="7619"/>
                <wp:docPr id="363" name="Group 363"/>
                <wp:cNvGraphicFramePr>
                  <a:graphicFrameLocks/>
                </wp:cNvGraphicFramePr>
                <a:graphic>
                  <a:graphicData uri="http://schemas.microsoft.com/office/word/2010/wordprocessingGroup">
                    <wpg:wgp>
                      <wpg:cNvPr id="363" name="Group 363"/>
                      <wpg:cNvGrpSpPr/>
                      <wpg:grpSpPr>
                        <a:xfrm>
                          <a:off x="0" y="0"/>
                          <a:ext cx="6996430" cy="1163955"/>
                          <a:chExt cx="6996430" cy="1163955"/>
                        </a:xfrm>
                      </wpg:grpSpPr>
                      <pic:pic>
                        <pic:nvPicPr>
                          <pic:cNvPr id="364" name="Image 364"/>
                          <pic:cNvPicPr/>
                        </pic:nvPicPr>
                        <pic:blipFill>
                          <a:blip r:embed="rId61" cstate="print"/>
                          <a:stretch>
                            <a:fillRect/>
                          </a:stretch>
                        </pic:blipFill>
                        <pic:spPr>
                          <a:xfrm>
                            <a:off x="0" y="92100"/>
                            <a:ext cx="1965261" cy="850900"/>
                          </a:xfrm>
                          <a:prstGeom prst="rect">
                            <a:avLst/>
                          </a:prstGeom>
                        </pic:spPr>
                      </pic:pic>
                      <wps:wsp>
                        <wps:cNvPr id="365" name="Graphic 365"/>
                        <wps:cNvSpPr/>
                        <wps:spPr>
                          <a:xfrm>
                            <a:off x="632523" y="0"/>
                            <a:ext cx="6363970" cy="1163955"/>
                          </a:xfrm>
                          <a:custGeom>
                            <a:avLst/>
                            <a:gdLst/>
                            <a:ahLst/>
                            <a:cxnLst/>
                            <a:rect l="l" t="t" r="r" b="b"/>
                            <a:pathLst>
                              <a:path w="6363970" h="1163955">
                                <a:moveTo>
                                  <a:pt x="6363487" y="0"/>
                                </a:moveTo>
                                <a:lnTo>
                                  <a:pt x="0" y="0"/>
                                </a:lnTo>
                                <a:lnTo>
                                  <a:pt x="0" y="1163408"/>
                                </a:lnTo>
                                <a:lnTo>
                                  <a:pt x="6363487" y="1163408"/>
                                </a:lnTo>
                                <a:lnTo>
                                  <a:pt x="6363487" y="0"/>
                                </a:lnTo>
                                <a:close/>
                              </a:path>
                            </a:pathLst>
                          </a:custGeom>
                          <a:solidFill>
                            <a:srgbClr val="FFFFFF"/>
                          </a:solidFill>
                        </wps:spPr>
                        <wps:bodyPr wrap="square" lIns="0" tIns="0" rIns="0" bIns="0" rtlCol="0">
                          <a:prstTxWarp prst="textNoShape">
                            <a:avLst/>
                          </a:prstTxWarp>
                          <a:noAutofit/>
                        </wps:bodyPr>
                      </wps:wsp>
                      <wps:wsp>
                        <wps:cNvPr id="366" name="Textbox 366"/>
                        <wps:cNvSpPr txBox="1"/>
                        <wps:spPr>
                          <a:xfrm>
                            <a:off x="0" y="0"/>
                            <a:ext cx="6996430" cy="1163955"/>
                          </a:xfrm>
                          <a:prstGeom prst="rect">
                            <a:avLst/>
                          </a:prstGeom>
                        </wps:spPr>
                        <wps:txbx>
                          <w:txbxContent>
                            <w:p>
                              <w:pPr>
                                <w:spacing w:line="875" w:lineRule="exact" w:before="30"/>
                                <w:ind w:left="1166" w:right="0" w:firstLine="0"/>
                                <w:jc w:val="left"/>
                                <w:rPr>
                                  <w:rFonts w:ascii="Palatino Linotype"/>
                                  <w:sz w:val="70"/>
                                </w:rPr>
                              </w:pPr>
                              <w:r>
                                <w:rPr>
                                  <w:rFonts w:ascii="Palatino Linotype"/>
                                  <w:spacing w:val="-5"/>
                                  <w:sz w:val="70"/>
                                </w:rPr>
                                <w:t>Awards</w:t>
                              </w:r>
                              <w:r>
                                <w:rPr>
                                  <w:rFonts w:ascii="Palatino Linotype"/>
                                  <w:spacing w:val="-48"/>
                                  <w:sz w:val="70"/>
                                </w:rPr>
                                <w:t> </w:t>
                              </w:r>
                              <w:r>
                                <w:rPr>
                                  <w:rFonts w:ascii="Palatino Linotype"/>
                                  <w:spacing w:val="-5"/>
                                  <w:sz w:val="70"/>
                                </w:rPr>
                                <w:t>and</w:t>
                              </w:r>
                            </w:p>
                            <w:p>
                              <w:pPr>
                                <w:spacing w:line="750" w:lineRule="exact" w:before="0"/>
                                <w:ind w:left="0" w:right="395" w:firstLine="0"/>
                                <w:jc w:val="center"/>
                                <w:rPr>
                                  <w:rFonts w:ascii="TT Norms Pro"/>
                                  <w:b/>
                                  <w:sz w:val="70"/>
                                </w:rPr>
                              </w:pPr>
                              <w:r>
                                <w:rPr>
                                  <w:rFonts w:ascii="TT Norms Pro"/>
                                  <w:b/>
                                  <w:sz w:val="70"/>
                                </w:rPr>
                                <w:t>achievements</w:t>
                              </w:r>
                              <w:r>
                                <w:rPr>
                                  <w:rFonts w:ascii="TT Norms Pro"/>
                                  <w:b/>
                                  <w:spacing w:val="-4"/>
                                  <w:sz w:val="70"/>
                                </w:rPr>
                                <w:t> </w:t>
                              </w:r>
                              <w:r>
                                <w:rPr>
                                  <w:rFonts w:ascii="TT Norms Pro"/>
                                  <w:b/>
                                  <w:sz w:val="70"/>
                                </w:rPr>
                                <w:t>in</w:t>
                              </w:r>
                              <w:r>
                                <w:rPr>
                                  <w:rFonts w:ascii="TT Norms Pro"/>
                                  <w:b/>
                                  <w:spacing w:val="-4"/>
                                  <w:sz w:val="70"/>
                                </w:rPr>
                                <w:t> 2020</w:t>
                              </w:r>
                            </w:p>
                          </w:txbxContent>
                        </wps:txbx>
                        <wps:bodyPr wrap="square" lIns="0" tIns="0" rIns="0" bIns="0" rtlCol="0">
                          <a:noAutofit/>
                        </wps:bodyPr>
                      </wps:wsp>
                    </wpg:wgp>
                  </a:graphicData>
                </a:graphic>
              </wp:inline>
            </w:drawing>
          </mc:Choice>
          <mc:Fallback>
            <w:pict>
              <v:group style="width:550.9pt;height:91.65pt;mso-position-horizontal-relative:char;mso-position-vertical-relative:line" id="docshapegroup220" coordorigin="0,0" coordsize="11018,1833">
                <v:shape style="position:absolute;left:0;top:145;width:3095;height:1340" type="#_x0000_t75" id="docshape221" stroked="false">
                  <v:imagedata r:id="rId61" o:title=""/>
                </v:shape>
                <v:rect style="position:absolute;left:996;top:0;width:10022;height:1833" id="docshape222" filled="true" fillcolor="#ffffff" stroked="false">
                  <v:fill type="solid"/>
                </v:rect>
                <v:shape style="position:absolute;left:0;top:0;width:11018;height:1833" type="#_x0000_t202" id="docshape223" filled="false" stroked="false">
                  <v:textbox inset="0,0,0,0">
                    <w:txbxContent>
                      <w:p>
                        <w:pPr>
                          <w:spacing w:line="875" w:lineRule="exact" w:before="30"/>
                          <w:ind w:left="1166" w:right="0" w:firstLine="0"/>
                          <w:jc w:val="left"/>
                          <w:rPr>
                            <w:rFonts w:ascii="Palatino Linotype"/>
                            <w:sz w:val="70"/>
                          </w:rPr>
                        </w:pPr>
                        <w:r>
                          <w:rPr>
                            <w:rFonts w:ascii="Palatino Linotype"/>
                            <w:spacing w:val="-5"/>
                            <w:sz w:val="70"/>
                          </w:rPr>
                          <w:t>Awards</w:t>
                        </w:r>
                        <w:r>
                          <w:rPr>
                            <w:rFonts w:ascii="Palatino Linotype"/>
                            <w:spacing w:val="-48"/>
                            <w:sz w:val="70"/>
                          </w:rPr>
                          <w:t> </w:t>
                        </w:r>
                        <w:r>
                          <w:rPr>
                            <w:rFonts w:ascii="Palatino Linotype"/>
                            <w:spacing w:val="-5"/>
                            <w:sz w:val="70"/>
                          </w:rPr>
                          <w:t>and</w:t>
                        </w:r>
                      </w:p>
                      <w:p>
                        <w:pPr>
                          <w:spacing w:line="750" w:lineRule="exact" w:before="0"/>
                          <w:ind w:left="0" w:right="395" w:firstLine="0"/>
                          <w:jc w:val="center"/>
                          <w:rPr>
                            <w:rFonts w:ascii="TT Norms Pro"/>
                            <w:b/>
                            <w:sz w:val="70"/>
                          </w:rPr>
                        </w:pPr>
                        <w:r>
                          <w:rPr>
                            <w:rFonts w:ascii="TT Norms Pro"/>
                            <w:b/>
                            <w:sz w:val="70"/>
                          </w:rPr>
                          <w:t>achievements</w:t>
                        </w:r>
                        <w:r>
                          <w:rPr>
                            <w:rFonts w:ascii="TT Norms Pro"/>
                            <w:b/>
                            <w:spacing w:val="-4"/>
                            <w:sz w:val="70"/>
                          </w:rPr>
                          <w:t> </w:t>
                        </w:r>
                        <w:r>
                          <w:rPr>
                            <w:rFonts w:ascii="TT Norms Pro"/>
                            <w:b/>
                            <w:sz w:val="70"/>
                          </w:rPr>
                          <w:t>in</w:t>
                        </w:r>
                        <w:r>
                          <w:rPr>
                            <w:rFonts w:ascii="TT Norms Pro"/>
                            <w:b/>
                            <w:spacing w:val="-4"/>
                            <w:sz w:val="70"/>
                          </w:rPr>
                          <w:t> 2020</w:t>
                        </w:r>
                      </w:p>
                    </w:txbxContent>
                  </v:textbox>
                  <w10:wrap type="none"/>
                </v:shape>
              </v:group>
            </w:pict>
          </mc:Fallback>
        </mc:AlternateContent>
      </w:r>
      <w:r>
        <w:rPr>
          <w:sz w:val="20"/>
        </w:rPr>
      </w:r>
    </w:p>
    <w:p>
      <w:pPr>
        <w:spacing w:after="0"/>
        <w:rPr>
          <w:sz w:val="20"/>
        </w:rPr>
        <w:sectPr>
          <w:pgSz w:w="11910" w:h="16840"/>
          <w:pgMar w:header="468" w:footer="0" w:top="720" w:bottom="280" w:left="0" w:right="780"/>
        </w:sectPr>
      </w:pPr>
    </w:p>
    <w:p>
      <w:pPr>
        <w:pStyle w:val="Heading9"/>
        <w:spacing w:before="82"/>
        <w:ind w:left="1133"/>
      </w:pPr>
      <w:r>
        <w:rPr/>
        <mc:AlternateContent>
          <mc:Choice Requires="wps">
            <w:drawing>
              <wp:anchor distT="0" distB="0" distL="0" distR="0" allowOverlap="1" layoutInCell="1" locked="0" behindDoc="0" simplePos="0" relativeHeight="15810560">
                <wp:simplePos x="0" y="0"/>
                <wp:positionH relativeFrom="page">
                  <wp:posOffset>4967998</wp:posOffset>
                </wp:positionH>
                <wp:positionV relativeFrom="page">
                  <wp:posOffset>5832005</wp:posOffset>
                </wp:positionV>
                <wp:extent cx="2592070" cy="4133850"/>
                <wp:effectExtent l="0" t="0" r="0" b="0"/>
                <wp:wrapNone/>
                <wp:docPr id="367" name="Group 367"/>
                <wp:cNvGraphicFramePr>
                  <a:graphicFrameLocks/>
                </wp:cNvGraphicFramePr>
                <a:graphic>
                  <a:graphicData uri="http://schemas.microsoft.com/office/word/2010/wordprocessingGroup">
                    <wpg:wgp>
                      <wpg:cNvPr id="367" name="Group 367"/>
                      <wpg:cNvGrpSpPr/>
                      <wpg:grpSpPr>
                        <a:xfrm>
                          <a:off x="0" y="0"/>
                          <a:ext cx="2592070" cy="4133850"/>
                          <a:chExt cx="2592070" cy="4133850"/>
                        </a:xfrm>
                      </wpg:grpSpPr>
                      <pic:pic>
                        <pic:nvPicPr>
                          <pic:cNvPr id="368" name="Image 368"/>
                          <pic:cNvPicPr/>
                        </pic:nvPicPr>
                        <pic:blipFill>
                          <a:blip r:embed="rId62" cstate="print"/>
                          <a:stretch>
                            <a:fillRect/>
                          </a:stretch>
                        </pic:blipFill>
                        <pic:spPr>
                          <a:xfrm>
                            <a:off x="0" y="0"/>
                            <a:ext cx="2591993" cy="4133596"/>
                          </a:xfrm>
                          <a:prstGeom prst="rect">
                            <a:avLst/>
                          </a:prstGeom>
                        </pic:spPr>
                      </pic:pic>
                      <pic:pic>
                        <pic:nvPicPr>
                          <pic:cNvPr id="369" name="Image 369"/>
                          <pic:cNvPicPr/>
                        </pic:nvPicPr>
                        <pic:blipFill>
                          <a:blip r:embed="rId63" cstate="print"/>
                          <a:stretch>
                            <a:fillRect/>
                          </a:stretch>
                        </pic:blipFill>
                        <pic:spPr>
                          <a:xfrm>
                            <a:off x="0" y="0"/>
                            <a:ext cx="2591993" cy="241731"/>
                          </a:xfrm>
                          <a:prstGeom prst="rect">
                            <a:avLst/>
                          </a:prstGeom>
                        </pic:spPr>
                      </pic:pic>
                    </wpg:wgp>
                  </a:graphicData>
                </a:graphic>
              </wp:anchor>
            </w:drawing>
          </mc:Choice>
          <mc:Fallback>
            <w:pict>
              <v:group style="position:absolute;margin-left:391.181pt;margin-top:459.213013pt;width:204.1pt;height:325.5pt;mso-position-horizontal-relative:page;mso-position-vertical-relative:page;z-index:15810560" id="docshapegroup224" coordorigin="7824,9184" coordsize="4082,6510">
                <v:shape style="position:absolute;left:7823;top:9184;width:4082;height:6510" type="#_x0000_t75" id="docshape225" stroked="false">
                  <v:imagedata r:id="rId62" o:title=""/>
                </v:shape>
                <v:shape style="position:absolute;left:7823;top:9184;width:4082;height:381" type="#_x0000_t75" id="docshape226" stroked="false">
                  <v:imagedata r:id="rId63" o:title=""/>
                </v:shape>
                <w10:wrap type="none"/>
              </v:group>
            </w:pict>
          </mc:Fallback>
        </mc:AlternateContent>
      </w:r>
      <w:r>
        <w:rPr>
          <w:spacing w:val="-2"/>
        </w:rPr>
        <w:t>FELLOWSHIPS</w:t>
      </w:r>
    </w:p>
    <w:p>
      <w:pPr>
        <w:spacing w:line="307" w:lineRule="auto" w:before="120"/>
        <w:ind w:left="1133" w:right="916" w:firstLine="0"/>
        <w:jc w:val="left"/>
        <w:rPr>
          <w:rFonts w:ascii="TT Norms Pro Medium"/>
          <w:b/>
          <w:sz w:val="16"/>
        </w:rPr>
      </w:pPr>
      <w:r>
        <w:rPr>
          <w:rFonts w:ascii="TT Norms Pro Medium"/>
          <w:b/>
          <w:spacing w:val="-2"/>
          <w:sz w:val="16"/>
        </w:rPr>
        <w:t>AUSTRALIAN</w:t>
      </w:r>
      <w:r>
        <w:rPr>
          <w:rFonts w:ascii="TT Norms Pro Medium"/>
          <w:b/>
          <w:spacing w:val="-8"/>
          <w:sz w:val="16"/>
        </w:rPr>
        <w:t> </w:t>
      </w:r>
      <w:r>
        <w:rPr>
          <w:rFonts w:ascii="TT Norms Pro Medium"/>
          <w:b/>
          <w:spacing w:val="-2"/>
          <w:sz w:val="16"/>
        </w:rPr>
        <w:t>LAUREATE</w:t>
      </w:r>
      <w:r>
        <w:rPr>
          <w:rFonts w:ascii="TT Norms Pro Medium"/>
          <w:b/>
          <w:spacing w:val="40"/>
          <w:sz w:val="16"/>
        </w:rPr>
        <w:t> </w:t>
      </w:r>
      <w:r>
        <w:rPr>
          <w:rFonts w:ascii="TT Norms Pro Medium"/>
          <w:b/>
          <w:spacing w:val="-2"/>
          <w:sz w:val="16"/>
        </w:rPr>
        <w:t>FELLOWSHIP</w:t>
      </w:r>
    </w:p>
    <w:p>
      <w:pPr>
        <w:pStyle w:val="BodyText"/>
        <w:spacing w:before="32"/>
        <w:rPr>
          <w:rFonts w:ascii="TT Norms Pro Medium"/>
          <w:b/>
          <w:sz w:val="16"/>
        </w:rPr>
      </w:pPr>
    </w:p>
    <w:p>
      <w:pPr>
        <w:spacing w:before="1"/>
        <w:ind w:left="1417" w:right="0" w:firstLine="0"/>
        <w:jc w:val="left"/>
        <w:rPr>
          <w:rFonts w:ascii="TT Norms Pro Medium"/>
          <w:b/>
          <w:sz w:val="14"/>
        </w:rPr>
      </w:pPr>
      <w:r>
        <w:rPr>
          <w:rFonts w:ascii="TT Norms Pro Medium"/>
          <w:b/>
          <w:spacing w:val="-4"/>
          <w:sz w:val="14"/>
        </w:rPr>
        <w:t>Professor</w:t>
      </w:r>
      <w:r>
        <w:rPr>
          <w:rFonts w:ascii="TT Norms Pro Medium"/>
          <w:b/>
          <w:spacing w:val="7"/>
          <w:sz w:val="14"/>
        </w:rPr>
        <w:t> </w:t>
      </w:r>
      <w:r>
        <w:rPr>
          <w:rFonts w:ascii="TT Norms Pro Medium"/>
          <w:b/>
          <w:spacing w:val="-4"/>
          <w:sz w:val="14"/>
        </w:rPr>
        <w:t>Harvey</w:t>
      </w:r>
      <w:r>
        <w:rPr>
          <w:rFonts w:ascii="TT Norms Pro Medium"/>
          <w:b/>
          <w:spacing w:val="8"/>
          <w:sz w:val="14"/>
        </w:rPr>
        <w:t> </w:t>
      </w:r>
      <w:r>
        <w:rPr>
          <w:rFonts w:ascii="TT Norms Pro Medium"/>
          <w:b/>
          <w:spacing w:val="-4"/>
          <w:sz w:val="14"/>
        </w:rPr>
        <w:t>Millar</w:t>
      </w:r>
    </w:p>
    <w:p>
      <w:pPr>
        <w:spacing w:line="292" w:lineRule="auto" w:before="36"/>
        <w:ind w:left="1417" w:right="20" w:firstLine="0"/>
        <w:jc w:val="left"/>
        <w:rPr>
          <w:rFonts w:ascii="TT Norms Pro Light"/>
          <w:b w:val="0"/>
          <w:sz w:val="14"/>
        </w:rPr>
      </w:pPr>
      <w:r>
        <w:rPr>
          <w:rFonts w:ascii="TT Norms Pro Light"/>
          <w:b w:val="0"/>
          <w:sz w:val="14"/>
        </w:rPr>
        <w:t>School of Molecular Sciences and</w:t>
      </w:r>
      <w:r>
        <w:rPr>
          <w:rFonts w:ascii="TT Norms Pro Light"/>
          <w:b w:val="0"/>
          <w:spacing w:val="40"/>
          <w:sz w:val="14"/>
        </w:rPr>
        <w:t> </w:t>
      </w:r>
      <w:r>
        <w:rPr>
          <w:rFonts w:ascii="TT Norms Pro Light"/>
          <w:b w:val="0"/>
          <w:sz w:val="14"/>
        </w:rPr>
        <w:t>Director of the ARC Centre of Excellence</w:t>
      </w:r>
      <w:r>
        <w:rPr>
          <w:rFonts w:ascii="TT Norms Pro Light"/>
          <w:b w:val="0"/>
          <w:spacing w:val="40"/>
          <w:sz w:val="14"/>
        </w:rPr>
        <w:t> </w:t>
      </w:r>
      <w:r>
        <w:rPr>
          <w:rFonts w:ascii="TT Norms Pro Light"/>
          <w:b w:val="0"/>
          <w:sz w:val="14"/>
        </w:rPr>
        <w:t>in Plant Energy Biology</w:t>
      </w:r>
    </w:p>
    <w:p>
      <w:pPr>
        <w:pStyle w:val="BodyText"/>
        <w:spacing w:before="37"/>
        <w:rPr>
          <w:b w:val="0"/>
          <w:sz w:val="14"/>
        </w:rPr>
      </w:pPr>
    </w:p>
    <w:p>
      <w:pPr>
        <w:spacing w:line="307" w:lineRule="auto" w:before="0"/>
        <w:ind w:left="1133" w:right="72" w:firstLine="0"/>
        <w:jc w:val="left"/>
        <w:rPr>
          <w:rFonts w:ascii="TT Norms Pro Medium"/>
          <w:b/>
          <w:sz w:val="16"/>
        </w:rPr>
      </w:pPr>
      <w:r>
        <w:rPr>
          <w:rFonts w:ascii="TT Norms Pro Medium"/>
          <w:b/>
          <w:sz w:val="16"/>
        </w:rPr>
        <w:t>NATIONAL</w:t>
      </w:r>
      <w:r>
        <w:rPr>
          <w:rFonts w:ascii="TT Norms Pro Medium"/>
          <w:b/>
          <w:spacing w:val="-10"/>
          <w:sz w:val="16"/>
        </w:rPr>
        <w:t> </w:t>
      </w:r>
      <w:r>
        <w:rPr>
          <w:rFonts w:ascii="TT Norms Pro Medium"/>
          <w:b/>
          <w:sz w:val="16"/>
        </w:rPr>
        <w:t>HEALTH</w:t>
      </w:r>
      <w:r>
        <w:rPr>
          <w:rFonts w:ascii="TT Norms Pro Medium"/>
          <w:b/>
          <w:spacing w:val="-9"/>
          <w:sz w:val="16"/>
        </w:rPr>
        <w:t> </w:t>
      </w:r>
      <w:r>
        <w:rPr>
          <w:rFonts w:ascii="TT Norms Pro Medium"/>
          <w:b/>
          <w:sz w:val="16"/>
        </w:rPr>
        <w:t>AND</w:t>
      </w:r>
      <w:r>
        <w:rPr>
          <w:rFonts w:ascii="TT Norms Pro Medium"/>
          <w:b/>
          <w:spacing w:val="-10"/>
          <w:sz w:val="16"/>
        </w:rPr>
        <w:t> </w:t>
      </w:r>
      <w:r>
        <w:rPr>
          <w:rFonts w:ascii="TT Norms Pro Medium"/>
          <w:b/>
          <w:sz w:val="16"/>
        </w:rPr>
        <w:t>MEDICAL</w:t>
      </w:r>
      <w:r>
        <w:rPr>
          <w:rFonts w:ascii="TT Norms Pro Medium"/>
          <w:b/>
          <w:spacing w:val="40"/>
          <w:sz w:val="16"/>
        </w:rPr>
        <w:t> </w:t>
      </w:r>
      <w:r>
        <w:rPr>
          <w:rFonts w:ascii="TT Norms Pro Medium"/>
          <w:b/>
          <w:spacing w:val="-2"/>
          <w:sz w:val="16"/>
        </w:rPr>
        <w:t>RESEARCH</w:t>
      </w:r>
      <w:r>
        <w:rPr>
          <w:rFonts w:ascii="TT Norms Pro Medium"/>
          <w:b/>
          <w:spacing w:val="-8"/>
          <w:sz w:val="16"/>
        </w:rPr>
        <w:t> </w:t>
      </w:r>
      <w:r>
        <w:rPr>
          <w:rFonts w:ascii="TT Norms Pro Medium"/>
          <w:b/>
          <w:spacing w:val="-2"/>
          <w:sz w:val="16"/>
        </w:rPr>
        <w:t>COUNCIL</w:t>
      </w:r>
      <w:r>
        <w:rPr>
          <w:rFonts w:ascii="TT Norms Pro Medium"/>
          <w:b/>
          <w:spacing w:val="-7"/>
          <w:sz w:val="16"/>
        </w:rPr>
        <w:t> </w:t>
      </w:r>
      <w:r>
        <w:rPr>
          <w:rFonts w:ascii="TT Norms Pro Medium"/>
          <w:b/>
          <w:spacing w:val="-2"/>
          <w:sz w:val="16"/>
        </w:rPr>
        <w:t>LEADERSHIP</w:t>
      </w:r>
      <w:r>
        <w:rPr>
          <w:rFonts w:ascii="TT Norms Pro Medium"/>
          <w:b/>
          <w:spacing w:val="40"/>
          <w:sz w:val="16"/>
        </w:rPr>
        <w:t> </w:t>
      </w:r>
      <w:r>
        <w:rPr>
          <w:rFonts w:ascii="TT Norms Pro Medium"/>
          <w:b/>
          <w:spacing w:val="-2"/>
          <w:sz w:val="16"/>
        </w:rPr>
        <w:t>FELLOW</w:t>
      </w:r>
    </w:p>
    <w:p>
      <w:pPr>
        <w:pStyle w:val="BodyText"/>
        <w:spacing w:before="33"/>
        <w:rPr>
          <w:rFonts w:ascii="TT Norms Pro Medium"/>
          <w:b/>
          <w:sz w:val="16"/>
        </w:rPr>
      </w:pPr>
    </w:p>
    <w:p>
      <w:pPr>
        <w:spacing w:before="0"/>
        <w:ind w:left="1417" w:right="0" w:firstLine="0"/>
        <w:jc w:val="left"/>
        <w:rPr>
          <w:rFonts w:ascii="TT Norms Pro Medium"/>
          <w:b/>
          <w:sz w:val="14"/>
        </w:rPr>
      </w:pPr>
      <w:r>
        <w:rPr>
          <w:rFonts w:ascii="TT Norms Pro Medium"/>
          <w:b/>
          <w:spacing w:val="-4"/>
          <w:sz w:val="14"/>
        </w:rPr>
        <w:t>Professor</w:t>
      </w:r>
      <w:r>
        <w:rPr>
          <w:rFonts w:ascii="TT Norms Pro Medium"/>
          <w:b/>
          <w:spacing w:val="6"/>
          <w:sz w:val="14"/>
        </w:rPr>
        <w:t> </w:t>
      </w:r>
      <w:r>
        <w:rPr>
          <w:rFonts w:ascii="TT Norms Pro Medium"/>
          <w:b/>
          <w:spacing w:val="-4"/>
          <w:sz w:val="14"/>
        </w:rPr>
        <w:t>Jane</w:t>
      </w:r>
      <w:r>
        <w:rPr>
          <w:rFonts w:ascii="TT Norms Pro Medium"/>
          <w:b/>
          <w:spacing w:val="6"/>
          <w:sz w:val="14"/>
        </w:rPr>
        <w:t> </w:t>
      </w:r>
      <w:r>
        <w:rPr>
          <w:rFonts w:ascii="TT Norms Pro Medium"/>
          <w:b/>
          <w:spacing w:val="-4"/>
          <w:sz w:val="14"/>
        </w:rPr>
        <w:t>Pillow</w:t>
      </w:r>
    </w:p>
    <w:p>
      <w:pPr>
        <w:spacing w:before="37"/>
        <w:ind w:left="1417" w:right="0" w:firstLine="0"/>
        <w:jc w:val="left"/>
        <w:rPr>
          <w:rFonts w:ascii="TT Norms Pro Light"/>
          <w:b w:val="0"/>
          <w:sz w:val="14"/>
        </w:rPr>
      </w:pPr>
      <w:r>
        <w:rPr>
          <w:rFonts w:ascii="TT Norms Pro Light"/>
          <w:b w:val="0"/>
          <w:sz w:val="14"/>
        </w:rPr>
        <w:t>School</w:t>
      </w:r>
      <w:r>
        <w:rPr>
          <w:rFonts w:ascii="TT Norms Pro Light"/>
          <w:b w:val="0"/>
          <w:spacing w:val="6"/>
          <w:sz w:val="14"/>
        </w:rPr>
        <w:t> </w:t>
      </w:r>
      <w:r>
        <w:rPr>
          <w:rFonts w:ascii="TT Norms Pro Light"/>
          <w:b w:val="0"/>
          <w:sz w:val="14"/>
        </w:rPr>
        <w:t>of</w:t>
      </w:r>
      <w:r>
        <w:rPr>
          <w:rFonts w:ascii="TT Norms Pro Light"/>
          <w:b w:val="0"/>
          <w:spacing w:val="7"/>
          <w:sz w:val="14"/>
        </w:rPr>
        <w:t> </w:t>
      </w:r>
      <w:r>
        <w:rPr>
          <w:rFonts w:ascii="TT Norms Pro Light"/>
          <w:b w:val="0"/>
          <w:sz w:val="14"/>
        </w:rPr>
        <w:t>Human</w:t>
      </w:r>
      <w:r>
        <w:rPr>
          <w:rFonts w:ascii="TT Norms Pro Light"/>
          <w:b w:val="0"/>
          <w:spacing w:val="7"/>
          <w:sz w:val="14"/>
        </w:rPr>
        <w:t> </w:t>
      </w:r>
      <w:r>
        <w:rPr>
          <w:rFonts w:ascii="TT Norms Pro Light"/>
          <w:b w:val="0"/>
          <w:spacing w:val="-2"/>
          <w:sz w:val="14"/>
        </w:rPr>
        <w:t>Sciences</w:t>
      </w:r>
    </w:p>
    <w:p>
      <w:pPr>
        <w:pStyle w:val="BodyText"/>
        <w:spacing w:before="73"/>
        <w:rPr>
          <w:b w:val="0"/>
          <w:sz w:val="14"/>
        </w:rPr>
      </w:pPr>
    </w:p>
    <w:p>
      <w:pPr>
        <w:spacing w:before="0"/>
        <w:ind w:left="1133" w:right="0" w:firstLine="0"/>
        <w:jc w:val="left"/>
        <w:rPr>
          <w:rFonts w:ascii="TT Norms Pro Medium"/>
          <w:b/>
          <w:sz w:val="16"/>
        </w:rPr>
      </w:pPr>
      <w:r>
        <w:rPr>
          <w:rFonts w:ascii="TT Norms Pro Medium"/>
          <w:b/>
          <w:spacing w:val="-4"/>
          <w:sz w:val="16"/>
        </w:rPr>
        <w:t>PEW</w:t>
      </w:r>
      <w:r>
        <w:rPr>
          <w:rFonts w:ascii="TT Norms Pro Medium"/>
          <w:b/>
          <w:spacing w:val="1"/>
          <w:sz w:val="16"/>
        </w:rPr>
        <w:t> </w:t>
      </w:r>
      <w:r>
        <w:rPr>
          <w:rFonts w:ascii="TT Norms Pro Medium"/>
          <w:b/>
          <w:spacing w:val="-4"/>
          <w:sz w:val="16"/>
        </w:rPr>
        <w:t>MARINE</w:t>
      </w:r>
      <w:r>
        <w:rPr>
          <w:rFonts w:ascii="TT Norms Pro Medium"/>
          <w:b/>
          <w:spacing w:val="1"/>
          <w:sz w:val="16"/>
        </w:rPr>
        <w:t> </w:t>
      </w:r>
      <w:r>
        <w:rPr>
          <w:rFonts w:ascii="TT Norms Pro Medium"/>
          <w:b/>
          <w:spacing w:val="-4"/>
          <w:sz w:val="16"/>
        </w:rPr>
        <w:t>FELLOWSHIP</w:t>
      </w:r>
    </w:p>
    <w:p>
      <w:pPr>
        <w:pStyle w:val="BodyText"/>
        <w:spacing w:before="84"/>
        <w:rPr>
          <w:rFonts w:ascii="TT Norms Pro Medium"/>
          <w:b/>
          <w:sz w:val="16"/>
        </w:rPr>
      </w:pPr>
    </w:p>
    <w:p>
      <w:pPr>
        <w:spacing w:before="1"/>
        <w:ind w:left="1417" w:right="0" w:firstLine="0"/>
        <w:jc w:val="left"/>
        <w:rPr>
          <w:rFonts w:ascii="TT Norms Pro Medium"/>
          <w:b/>
          <w:sz w:val="14"/>
        </w:rPr>
      </w:pPr>
      <w:r>
        <w:rPr>
          <w:rFonts w:ascii="TT Norms Pro Medium"/>
          <w:b/>
          <w:spacing w:val="-2"/>
          <w:sz w:val="14"/>
        </w:rPr>
        <w:t>Dr</w:t>
      </w:r>
      <w:r>
        <w:rPr>
          <w:rFonts w:ascii="TT Norms Pro Medium"/>
          <w:b/>
          <w:spacing w:val="-6"/>
          <w:sz w:val="14"/>
        </w:rPr>
        <w:t> </w:t>
      </w:r>
      <w:r>
        <w:rPr>
          <w:rFonts w:ascii="TT Norms Pro Medium"/>
          <w:b/>
          <w:spacing w:val="-2"/>
          <w:sz w:val="14"/>
        </w:rPr>
        <w:t>Ana</w:t>
      </w:r>
      <w:r>
        <w:rPr>
          <w:rFonts w:ascii="TT Norms Pro Medium"/>
          <w:b/>
          <w:spacing w:val="-5"/>
          <w:sz w:val="14"/>
        </w:rPr>
        <w:t> </w:t>
      </w:r>
      <w:r>
        <w:rPr>
          <w:rFonts w:ascii="TT Norms Pro Medium"/>
          <w:b/>
          <w:spacing w:val="-2"/>
          <w:sz w:val="14"/>
        </w:rPr>
        <w:t>Martins-Sequeira</w:t>
      </w:r>
    </w:p>
    <w:p>
      <w:pPr>
        <w:spacing w:line="292" w:lineRule="auto" w:before="36"/>
        <w:ind w:left="1417" w:right="0" w:firstLine="0"/>
        <w:jc w:val="left"/>
        <w:rPr>
          <w:rFonts w:ascii="TT Norms Pro Light"/>
          <w:b w:val="0"/>
          <w:sz w:val="14"/>
        </w:rPr>
      </w:pPr>
      <w:r>
        <w:rPr>
          <w:rFonts w:ascii="TT Norms Pro Light"/>
          <w:b w:val="0"/>
          <w:sz w:val="14"/>
        </w:rPr>
        <w:t>School of Biological Sciences and UWA</w:t>
      </w:r>
      <w:r>
        <w:rPr>
          <w:rFonts w:ascii="TT Norms Pro Light"/>
          <w:b w:val="0"/>
          <w:spacing w:val="40"/>
          <w:sz w:val="14"/>
        </w:rPr>
        <w:t> </w:t>
      </w:r>
      <w:r>
        <w:rPr>
          <w:rFonts w:ascii="TT Norms Pro Light"/>
          <w:b w:val="0"/>
          <w:sz w:val="14"/>
        </w:rPr>
        <w:t>Oceans</w:t>
      </w:r>
      <w:r>
        <w:rPr>
          <w:rFonts w:ascii="TT Norms Pro Light"/>
          <w:b w:val="0"/>
          <w:spacing w:val="-7"/>
          <w:sz w:val="14"/>
        </w:rPr>
        <w:t> </w:t>
      </w:r>
      <w:r>
        <w:rPr>
          <w:rFonts w:ascii="TT Norms Pro Light"/>
          <w:b w:val="0"/>
          <w:sz w:val="14"/>
        </w:rPr>
        <w:t>Institute</w:t>
      </w:r>
    </w:p>
    <w:p>
      <w:pPr>
        <w:pStyle w:val="BodyText"/>
        <w:spacing w:before="37"/>
        <w:rPr>
          <w:b w:val="0"/>
          <w:sz w:val="14"/>
        </w:rPr>
      </w:pPr>
    </w:p>
    <w:p>
      <w:pPr>
        <w:spacing w:line="307" w:lineRule="auto" w:before="0"/>
        <w:ind w:left="1133" w:right="129" w:firstLine="0"/>
        <w:jc w:val="left"/>
        <w:rPr>
          <w:rFonts w:ascii="TT Norms Pro Medium"/>
          <w:b/>
          <w:sz w:val="16"/>
        </w:rPr>
      </w:pPr>
      <w:r>
        <w:rPr>
          <w:rFonts w:ascii="TT Norms Pro Medium"/>
          <w:b/>
          <w:spacing w:val="-2"/>
          <w:sz w:val="16"/>
        </w:rPr>
        <w:t>AUSTRALIAN</w:t>
      </w:r>
      <w:r>
        <w:rPr>
          <w:rFonts w:ascii="TT Norms Pro Medium"/>
          <w:b/>
          <w:spacing w:val="-8"/>
          <w:sz w:val="16"/>
        </w:rPr>
        <w:t> </w:t>
      </w:r>
      <w:r>
        <w:rPr>
          <w:rFonts w:ascii="TT Norms Pro Medium"/>
          <w:b/>
          <w:spacing w:val="-2"/>
          <w:sz w:val="16"/>
        </w:rPr>
        <w:t>LEARNED</w:t>
      </w:r>
      <w:r>
        <w:rPr>
          <w:rFonts w:ascii="TT Norms Pro Medium"/>
          <w:b/>
          <w:spacing w:val="-7"/>
          <w:sz w:val="16"/>
        </w:rPr>
        <w:t> </w:t>
      </w:r>
      <w:r>
        <w:rPr>
          <w:rFonts w:ascii="TT Norms Pro Medium"/>
          <w:b/>
          <w:spacing w:val="-2"/>
          <w:sz w:val="16"/>
        </w:rPr>
        <w:t>ACADEMY</w:t>
      </w:r>
      <w:r>
        <w:rPr>
          <w:rFonts w:ascii="TT Norms Pro Medium"/>
          <w:b/>
          <w:spacing w:val="40"/>
          <w:sz w:val="16"/>
        </w:rPr>
        <w:t> </w:t>
      </w:r>
      <w:r>
        <w:rPr>
          <w:rFonts w:ascii="TT Norms Pro Medium"/>
          <w:b/>
          <w:spacing w:val="-2"/>
          <w:sz w:val="16"/>
        </w:rPr>
        <w:t>FELLOWS</w:t>
      </w:r>
    </w:p>
    <w:p>
      <w:pPr>
        <w:pStyle w:val="BodyText"/>
        <w:spacing w:before="54"/>
        <w:rPr>
          <w:rFonts w:ascii="TT Norms Pro Medium"/>
          <w:b/>
          <w:sz w:val="16"/>
        </w:rPr>
      </w:pPr>
    </w:p>
    <w:p>
      <w:pPr>
        <w:spacing w:line="307" w:lineRule="auto" w:before="0"/>
        <w:ind w:left="1133" w:right="0" w:firstLine="0"/>
        <w:jc w:val="left"/>
        <w:rPr>
          <w:rFonts w:ascii="TT Norms Pro Light"/>
          <w:b w:val="0"/>
          <w:sz w:val="16"/>
        </w:rPr>
      </w:pPr>
      <w:r>
        <w:rPr>
          <w:rFonts w:ascii="TT Norms Pro Light"/>
          <w:b w:val="0"/>
          <w:sz w:val="16"/>
        </w:rPr>
        <w:t>ACADEMY OF THE SOCIAL SCIENCES</w:t>
      </w:r>
      <w:r>
        <w:rPr>
          <w:rFonts w:ascii="TT Norms Pro Light"/>
          <w:b w:val="0"/>
          <w:spacing w:val="40"/>
          <w:sz w:val="16"/>
        </w:rPr>
        <w:t> </w:t>
      </w:r>
      <w:r>
        <w:rPr>
          <w:rFonts w:ascii="TT Norms Pro Light"/>
          <w:b w:val="0"/>
          <w:sz w:val="16"/>
        </w:rPr>
        <w:t>IN</w:t>
      </w:r>
      <w:r>
        <w:rPr>
          <w:rFonts w:ascii="TT Norms Pro Light"/>
          <w:b w:val="0"/>
          <w:spacing w:val="-8"/>
          <w:sz w:val="16"/>
        </w:rPr>
        <w:t> </w:t>
      </w:r>
      <w:r>
        <w:rPr>
          <w:rFonts w:ascii="TT Norms Pro Light"/>
          <w:b w:val="0"/>
          <w:sz w:val="16"/>
        </w:rPr>
        <w:t>AUSTRALIA</w:t>
      </w:r>
    </w:p>
    <w:p>
      <w:pPr>
        <w:spacing w:before="150"/>
        <w:ind w:left="1417" w:right="0" w:firstLine="0"/>
        <w:jc w:val="left"/>
        <w:rPr>
          <w:rFonts w:ascii="TT Norms Pro Medium"/>
          <w:b/>
          <w:sz w:val="14"/>
        </w:rPr>
      </w:pPr>
      <w:r>
        <w:rPr>
          <w:rFonts w:ascii="TT Norms Pro Medium"/>
          <w:b/>
          <w:spacing w:val="-4"/>
          <w:sz w:val="14"/>
        </w:rPr>
        <w:t>Professor</w:t>
      </w:r>
      <w:r>
        <w:rPr>
          <w:rFonts w:ascii="TT Norms Pro Medium"/>
          <w:b/>
          <w:spacing w:val="6"/>
          <w:sz w:val="14"/>
        </w:rPr>
        <w:t> </w:t>
      </w:r>
      <w:r>
        <w:rPr>
          <w:rFonts w:ascii="TT Norms Pro Medium"/>
          <w:b/>
          <w:spacing w:val="-4"/>
          <w:sz w:val="14"/>
        </w:rPr>
        <w:t>Matthew</w:t>
      </w:r>
      <w:r>
        <w:rPr>
          <w:rFonts w:ascii="TT Norms Pro Medium"/>
          <w:b/>
          <w:spacing w:val="6"/>
          <w:sz w:val="14"/>
        </w:rPr>
        <w:t> </w:t>
      </w:r>
      <w:r>
        <w:rPr>
          <w:rFonts w:ascii="TT Norms Pro Medium"/>
          <w:b/>
          <w:spacing w:val="-4"/>
          <w:sz w:val="14"/>
        </w:rPr>
        <w:t>Tonts</w:t>
      </w:r>
    </w:p>
    <w:p>
      <w:pPr>
        <w:spacing w:before="36"/>
        <w:ind w:left="1417" w:right="0" w:firstLine="0"/>
        <w:jc w:val="left"/>
        <w:rPr>
          <w:rFonts w:ascii="TT Norms Pro Light"/>
          <w:b w:val="0"/>
          <w:sz w:val="14"/>
        </w:rPr>
      </w:pPr>
      <w:r>
        <w:rPr>
          <w:rFonts w:ascii="TT Norms Pro Light"/>
          <w:b w:val="0"/>
          <w:sz w:val="14"/>
        </w:rPr>
        <w:t>School</w:t>
      </w:r>
      <w:r>
        <w:rPr>
          <w:rFonts w:ascii="TT Norms Pro Light"/>
          <w:b w:val="0"/>
          <w:spacing w:val="5"/>
          <w:sz w:val="14"/>
        </w:rPr>
        <w:t> </w:t>
      </w:r>
      <w:r>
        <w:rPr>
          <w:rFonts w:ascii="TT Norms Pro Light"/>
          <w:b w:val="0"/>
          <w:sz w:val="14"/>
        </w:rPr>
        <w:t>of</w:t>
      </w:r>
      <w:r>
        <w:rPr>
          <w:rFonts w:ascii="TT Norms Pro Light"/>
          <w:b w:val="0"/>
          <w:spacing w:val="7"/>
          <w:sz w:val="14"/>
        </w:rPr>
        <w:t> </w:t>
      </w:r>
      <w:r>
        <w:rPr>
          <w:rFonts w:ascii="TT Norms Pro Light"/>
          <w:b w:val="0"/>
          <w:sz w:val="14"/>
        </w:rPr>
        <w:t>Social</w:t>
      </w:r>
      <w:r>
        <w:rPr>
          <w:rFonts w:ascii="TT Norms Pro Light"/>
          <w:b w:val="0"/>
          <w:spacing w:val="8"/>
          <w:sz w:val="14"/>
        </w:rPr>
        <w:t> </w:t>
      </w:r>
      <w:r>
        <w:rPr>
          <w:rFonts w:ascii="TT Norms Pro Light"/>
          <w:b w:val="0"/>
          <w:spacing w:val="-2"/>
          <w:sz w:val="14"/>
        </w:rPr>
        <w:t>Sciences</w:t>
      </w:r>
    </w:p>
    <w:p>
      <w:pPr>
        <w:pStyle w:val="BodyText"/>
        <w:spacing w:before="72"/>
        <w:rPr>
          <w:b w:val="0"/>
          <w:sz w:val="14"/>
        </w:rPr>
      </w:pPr>
    </w:p>
    <w:p>
      <w:pPr>
        <w:spacing w:before="0"/>
        <w:ind w:left="1417" w:right="0" w:firstLine="0"/>
        <w:jc w:val="left"/>
        <w:rPr>
          <w:rFonts w:ascii="TT Norms Pro Medium"/>
          <w:b/>
          <w:sz w:val="14"/>
        </w:rPr>
      </w:pPr>
      <w:r>
        <w:rPr>
          <w:rFonts w:ascii="TT Norms Pro Medium"/>
          <w:b/>
          <w:spacing w:val="-4"/>
          <w:sz w:val="14"/>
        </w:rPr>
        <w:t>Professor</w:t>
      </w:r>
      <w:r>
        <w:rPr>
          <w:rFonts w:ascii="TT Norms Pro Medium"/>
          <w:b/>
          <w:spacing w:val="4"/>
          <w:sz w:val="14"/>
        </w:rPr>
        <w:t> </w:t>
      </w:r>
      <w:r>
        <w:rPr>
          <w:rFonts w:ascii="TT Norms Pro Medium"/>
          <w:b/>
          <w:spacing w:val="-4"/>
          <w:sz w:val="14"/>
        </w:rPr>
        <w:t>Rod</w:t>
      </w:r>
      <w:r>
        <w:rPr>
          <w:rFonts w:ascii="TT Norms Pro Medium"/>
          <w:b/>
          <w:spacing w:val="5"/>
          <w:sz w:val="14"/>
        </w:rPr>
        <w:t> </w:t>
      </w:r>
      <w:r>
        <w:rPr>
          <w:rFonts w:ascii="TT Norms Pro Medium"/>
          <w:b/>
          <w:spacing w:val="-4"/>
          <w:sz w:val="14"/>
        </w:rPr>
        <w:t>Tyers</w:t>
      </w:r>
    </w:p>
    <w:p>
      <w:pPr>
        <w:spacing w:before="37"/>
        <w:ind w:left="1417" w:right="0" w:firstLine="0"/>
        <w:jc w:val="left"/>
        <w:rPr>
          <w:rFonts w:ascii="TT Norms Pro Light"/>
          <w:b w:val="0"/>
          <w:sz w:val="14"/>
        </w:rPr>
      </w:pPr>
      <w:r>
        <w:rPr>
          <w:rFonts w:ascii="TT Norms Pro Light"/>
          <w:b w:val="0"/>
          <w:sz w:val="14"/>
        </w:rPr>
        <w:t>Business</w:t>
      </w:r>
      <w:r>
        <w:rPr>
          <w:rFonts w:ascii="TT Norms Pro Light"/>
          <w:b w:val="0"/>
          <w:spacing w:val="12"/>
          <w:sz w:val="14"/>
        </w:rPr>
        <w:t> </w:t>
      </w:r>
      <w:r>
        <w:rPr>
          <w:rFonts w:ascii="TT Norms Pro Light"/>
          <w:b w:val="0"/>
          <w:spacing w:val="-2"/>
          <w:sz w:val="14"/>
        </w:rPr>
        <w:t>School</w:t>
      </w:r>
    </w:p>
    <w:p>
      <w:pPr>
        <w:pStyle w:val="BodyText"/>
        <w:spacing w:before="73"/>
        <w:rPr>
          <w:b w:val="0"/>
          <w:sz w:val="14"/>
        </w:rPr>
      </w:pPr>
    </w:p>
    <w:p>
      <w:pPr>
        <w:spacing w:line="307" w:lineRule="auto" w:before="0"/>
        <w:ind w:left="1133" w:right="0" w:firstLine="0"/>
        <w:jc w:val="left"/>
        <w:rPr>
          <w:rFonts w:ascii="TT Norms Pro Light"/>
          <w:b w:val="0"/>
          <w:sz w:val="16"/>
        </w:rPr>
      </w:pPr>
      <w:r>
        <w:rPr>
          <w:rFonts w:ascii="TT Norms Pro Light"/>
          <w:b w:val="0"/>
          <w:sz w:val="16"/>
        </w:rPr>
        <w:t>AUSTRALIAN ACADEMY OF HEALTH</w:t>
      </w:r>
      <w:r>
        <w:rPr>
          <w:rFonts w:ascii="TT Norms Pro Light"/>
          <w:b w:val="0"/>
          <w:spacing w:val="40"/>
          <w:sz w:val="16"/>
        </w:rPr>
        <w:t> </w:t>
      </w:r>
      <w:r>
        <w:rPr>
          <w:rFonts w:ascii="TT Norms Pro Light"/>
          <w:b w:val="0"/>
          <w:sz w:val="16"/>
        </w:rPr>
        <w:t>AND MEDICAL SCIENCES</w:t>
      </w:r>
    </w:p>
    <w:p>
      <w:pPr>
        <w:spacing w:before="150"/>
        <w:ind w:left="1417" w:right="0" w:firstLine="0"/>
        <w:jc w:val="left"/>
        <w:rPr>
          <w:rFonts w:ascii="TT Norms Pro Medium"/>
          <w:b/>
          <w:sz w:val="14"/>
        </w:rPr>
      </w:pPr>
      <w:r>
        <w:rPr>
          <w:rFonts w:ascii="TT Norms Pro Medium"/>
          <w:b/>
          <w:spacing w:val="-4"/>
          <w:sz w:val="14"/>
        </w:rPr>
        <w:t>Professor</w:t>
      </w:r>
      <w:r>
        <w:rPr>
          <w:rFonts w:ascii="TT Norms Pro Medium"/>
          <w:b/>
          <w:spacing w:val="5"/>
          <w:sz w:val="14"/>
        </w:rPr>
        <w:t> </w:t>
      </w:r>
      <w:r>
        <w:rPr>
          <w:rFonts w:ascii="TT Norms Pro Medium"/>
          <w:b/>
          <w:spacing w:val="-4"/>
          <w:sz w:val="14"/>
        </w:rPr>
        <w:t>Ian</w:t>
      </w:r>
      <w:r>
        <w:rPr>
          <w:rFonts w:ascii="TT Norms Pro Medium"/>
          <w:b/>
          <w:spacing w:val="5"/>
          <w:sz w:val="14"/>
        </w:rPr>
        <w:t> </w:t>
      </w:r>
      <w:r>
        <w:rPr>
          <w:rFonts w:ascii="TT Norms Pro Medium"/>
          <w:b/>
          <w:spacing w:val="-4"/>
          <w:sz w:val="14"/>
        </w:rPr>
        <w:t>Constable</w:t>
      </w:r>
    </w:p>
    <w:p>
      <w:pPr>
        <w:spacing w:line="292" w:lineRule="auto" w:before="36"/>
        <w:ind w:left="1417" w:right="0" w:firstLine="0"/>
        <w:jc w:val="left"/>
        <w:rPr>
          <w:rFonts w:ascii="TT Norms Pro Light"/>
          <w:b w:val="0"/>
          <w:sz w:val="14"/>
        </w:rPr>
      </w:pPr>
      <w:r>
        <w:rPr>
          <w:rFonts w:ascii="TT Norms Pro Light"/>
          <w:b w:val="0"/>
          <w:sz w:val="14"/>
        </w:rPr>
        <w:t>Centre for Ophthalmology and Visual</w:t>
      </w:r>
      <w:r>
        <w:rPr>
          <w:rFonts w:ascii="TT Norms Pro Light"/>
          <w:b w:val="0"/>
          <w:spacing w:val="40"/>
          <w:sz w:val="14"/>
        </w:rPr>
        <w:t> </w:t>
      </w:r>
      <w:r>
        <w:rPr>
          <w:rFonts w:ascii="TT Norms Pro Light"/>
          <w:b w:val="0"/>
          <w:spacing w:val="-2"/>
          <w:sz w:val="14"/>
        </w:rPr>
        <w:t>Science</w:t>
      </w:r>
    </w:p>
    <w:p>
      <w:pPr>
        <w:pStyle w:val="BodyText"/>
        <w:spacing w:before="36"/>
        <w:rPr>
          <w:b w:val="0"/>
          <w:sz w:val="14"/>
        </w:rPr>
      </w:pPr>
    </w:p>
    <w:p>
      <w:pPr>
        <w:spacing w:before="1"/>
        <w:ind w:left="1417" w:right="0" w:firstLine="0"/>
        <w:jc w:val="left"/>
        <w:rPr>
          <w:rFonts w:ascii="TT Norms Pro Medium"/>
          <w:b/>
          <w:sz w:val="14"/>
        </w:rPr>
      </w:pPr>
      <w:r>
        <w:rPr>
          <w:rFonts w:ascii="TT Norms Pro Medium"/>
          <w:b/>
          <w:spacing w:val="2"/>
          <w:w w:val="90"/>
          <w:sz w:val="14"/>
        </w:rPr>
        <w:t>Professor</w:t>
      </w:r>
      <w:r>
        <w:rPr>
          <w:rFonts w:ascii="TT Norms Pro Medium"/>
          <w:b/>
          <w:spacing w:val="15"/>
          <w:sz w:val="14"/>
        </w:rPr>
        <w:t> </w:t>
      </w:r>
      <w:r>
        <w:rPr>
          <w:rFonts w:ascii="TT Norms Pro Medium"/>
          <w:b/>
          <w:spacing w:val="2"/>
          <w:w w:val="90"/>
          <w:sz w:val="14"/>
        </w:rPr>
        <w:t>Alistair</w:t>
      </w:r>
      <w:r>
        <w:rPr>
          <w:rFonts w:ascii="TT Norms Pro Medium"/>
          <w:b/>
          <w:spacing w:val="15"/>
          <w:sz w:val="14"/>
        </w:rPr>
        <w:t> </w:t>
      </w:r>
      <w:r>
        <w:rPr>
          <w:rFonts w:ascii="TT Norms Pro Medium"/>
          <w:b/>
          <w:spacing w:val="-2"/>
          <w:w w:val="90"/>
          <w:sz w:val="14"/>
        </w:rPr>
        <w:t>Forrest</w:t>
      </w:r>
    </w:p>
    <w:p>
      <w:pPr>
        <w:spacing w:before="36"/>
        <w:ind w:left="1417" w:right="0" w:firstLine="0"/>
        <w:jc w:val="left"/>
        <w:rPr>
          <w:rFonts w:ascii="TT Norms Pro Light"/>
          <w:b w:val="0"/>
          <w:sz w:val="14"/>
        </w:rPr>
      </w:pPr>
      <w:r>
        <w:rPr>
          <w:rFonts w:ascii="TT Norms Pro Light"/>
          <w:b w:val="0"/>
          <w:sz w:val="14"/>
        </w:rPr>
        <w:t>Centre</w:t>
      </w:r>
      <w:r>
        <w:rPr>
          <w:rFonts w:ascii="TT Norms Pro Light"/>
          <w:b w:val="0"/>
          <w:spacing w:val="7"/>
          <w:sz w:val="14"/>
        </w:rPr>
        <w:t> </w:t>
      </w:r>
      <w:r>
        <w:rPr>
          <w:rFonts w:ascii="TT Norms Pro Light"/>
          <w:b w:val="0"/>
          <w:sz w:val="14"/>
        </w:rPr>
        <w:t>for</w:t>
      </w:r>
      <w:r>
        <w:rPr>
          <w:rFonts w:ascii="TT Norms Pro Light"/>
          <w:b w:val="0"/>
          <w:spacing w:val="7"/>
          <w:sz w:val="14"/>
        </w:rPr>
        <w:t> </w:t>
      </w:r>
      <w:r>
        <w:rPr>
          <w:rFonts w:ascii="TT Norms Pro Light"/>
          <w:b w:val="0"/>
          <w:sz w:val="14"/>
        </w:rPr>
        <w:t>Medical</w:t>
      </w:r>
      <w:r>
        <w:rPr>
          <w:rFonts w:ascii="TT Norms Pro Light"/>
          <w:b w:val="0"/>
          <w:spacing w:val="8"/>
          <w:sz w:val="14"/>
        </w:rPr>
        <w:t> </w:t>
      </w:r>
      <w:r>
        <w:rPr>
          <w:rFonts w:ascii="TT Norms Pro Light"/>
          <w:b w:val="0"/>
          <w:spacing w:val="-2"/>
          <w:sz w:val="14"/>
        </w:rPr>
        <w:t>Research</w:t>
      </w:r>
    </w:p>
    <w:p>
      <w:pPr>
        <w:pStyle w:val="BodyText"/>
        <w:spacing w:before="73"/>
        <w:rPr>
          <w:b w:val="0"/>
          <w:sz w:val="14"/>
        </w:rPr>
      </w:pPr>
    </w:p>
    <w:p>
      <w:pPr>
        <w:spacing w:line="307" w:lineRule="auto" w:before="0"/>
        <w:ind w:left="1133" w:right="0" w:firstLine="0"/>
        <w:jc w:val="left"/>
        <w:rPr>
          <w:rFonts w:ascii="TT Norms Pro Light"/>
          <w:b w:val="0"/>
          <w:sz w:val="16"/>
        </w:rPr>
      </w:pPr>
      <w:r>
        <w:rPr>
          <w:rFonts w:ascii="TT Norms Pro Light"/>
          <w:b w:val="0"/>
          <w:sz w:val="16"/>
        </w:rPr>
        <w:t>AUSTRALIAN ACADEMY OF </w:t>
      </w:r>
      <w:r>
        <w:rPr>
          <w:rFonts w:ascii="TT Norms Pro Light"/>
          <w:b w:val="0"/>
          <w:sz w:val="16"/>
        </w:rPr>
        <w:t>THE</w:t>
      </w:r>
      <w:r>
        <w:rPr>
          <w:rFonts w:ascii="TT Norms Pro Light"/>
          <w:b w:val="0"/>
          <w:spacing w:val="40"/>
          <w:sz w:val="16"/>
        </w:rPr>
        <w:t> </w:t>
      </w:r>
      <w:r>
        <w:rPr>
          <w:rFonts w:ascii="TT Norms Pro Light"/>
          <w:b w:val="0"/>
          <w:spacing w:val="-2"/>
          <w:sz w:val="16"/>
        </w:rPr>
        <w:t>HUMANITIES</w:t>
      </w:r>
    </w:p>
    <w:p>
      <w:pPr>
        <w:spacing w:before="150"/>
        <w:ind w:left="1417" w:right="0" w:firstLine="0"/>
        <w:jc w:val="left"/>
        <w:rPr>
          <w:rFonts w:ascii="TT Norms Pro Medium"/>
          <w:b/>
          <w:sz w:val="14"/>
        </w:rPr>
      </w:pPr>
      <w:r>
        <w:rPr>
          <w:rFonts w:ascii="TT Norms Pro Medium"/>
          <w:b/>
          <w:spacing w:val="-2"/>
          <w:sz w:val="14"/>
        </w:rPr>
        <w:t>Dr</w:t>
      </w:r>
      <w:r>
        <w:rPr>
          <w:rFonts w:ascii="TT Norms Pro Medium"/>
          <w:b/>
          <w:spacing w:val="-5"/>
          <w:sz w:val="14"/>
        </w:rPr>
        <w:t> </w:t>
      </w:r>
      <w:r>
        <w:rPr>
          <w:rFonts w:ascii="TT Norms Pro Medium"/>
          <w:b/>
          <w:spacing w:val="-2"/>
          <w:sz w:val="14"/>
        </w:rPr>
        <w:t>Sarah</w:t>
      </w:r>
      <w:r>
        <w:rPr>
          <w:rFonts w:ascii="TT Norms Pro Medium"/>
          <w:b/>
          <w:spacing w:val="-5"/>
          <w:sz w:val="14"/>
        </w:rPr>
        <w:t> </w:t>
      </w:r>
      <w:r>
        <w:rPr>
          <w:rFonts w:ascii="TT Norms Pro Medium"/>
          <w:b/>
          <w:spacing w:val="-2"/>
          <w:sz w:val="14"/>
        </w:rPr>
        <w:t>Collins</w:t>
      </w:r>
    </w:p>
    <w:p>
      <w:pPr>
        <w:spacing w:before="36"/>
        <w:ind w:left="1417" w:right="0" w:firstLine="0"/>
        <w:jc w:val="left"/>
        <w:rPr>
          <w:rFonts w:ascii="TT Norms Pro Light"/>
          <w:b w:val="0"/>
          <w:sz w:val="14"/>
        </w:rPr>
      </w:pPr>
      <w:r>
        <w:rPr>
          <w:rFonts w:ascii="TT Norms Pro Light"/>
          <w:b w:val="0"/>
          <w:sz w:val="14"/>
        </w:rPr>
        <w:t>Conservatorium</w:t>
      </w:r>
      <w:r>
        <w:rPr>
          <w:rFonts w:ascii="TT Norms Pro Light"/>
          <w:b w:val="0"/>
          <w:spacing w:val="13"/>
          <w:sz w:val="14"/>
        </w:rPr>
        <w:t> </w:t>
      </w:r>
      <w:r>
        <w:rPr>
          <w:rFonts w:ascii="TT Norms Pro Light"/>
          <w:b w:val="0"/>
          <w:sz w:val="14"/>
        </w:rPr>
        <w:t>of</w:t>
      </w:r>
      <w:r>
        <w:rPr>
          <w:rFonts w:ascii="TT Norms Pro Light"/>
          <w:b w:val="0"/>
          <w:spacing w:val="13"/>
          <w:sz w:val="14"/>
        </w:rPr>
        <w:t> </w:t>
      </w:r>
      <w:r>
        <w:rPr>
          <w:rFonts w:ascii="TT Norms Pro Light"/>
          <w:b w:val="0"/>
          <w:spacing w:val="-2"/>
          <w:sz w:val="14"/>
        </w:rPr>
        <w:t>Music</w:t>
      </w:r>
    </w:p>
    <w:p>
      <w:pPr>
        <w:pStyle w:val="BodyText"/>
        <w:spacing w:before="72"/>
        <w:rPr>
          <w:b w:val="0"/>
          <w:sz w:val="14"/>
        </w:rPr>
      </w:pPr>
    </w:p>
    <w:p>
      <w:pPr>
        <w:spacing w:before="1"/>
        <w:ind w:left="1417" w:right="0" w:firstLine="0"/>
        <w:jc w:val="left"/>
        <w:rPr>
          <w:rFonts w:ascii="TT Norms Pro Medium"/>
          <w:b/>
          <w:sz w:val="14"/>
        </w:rPr>
      </w:pPr>
      <w:r>
        <w:rPr>
          <w:rFonts w:ascii="TT Norms Pro Medium"/>
          <w:b/>
          <w:spacing w:val="-4"/>
          <w:sz w:val="14"/>
        </w:rPr>
        <w:t>Professor</w:t>
      </w:r>
      <w:r>
        <w:rPr>
          <w:rFonts w:ascii="TT Norms Pro Medium"/>
          <w:b/>
          <w:spacing w:val="3"/>
          <w:sz w:val="14"/>
        </w:rPr>
        <w:t> </w:t>
      </w:r>
      <w:r>
        <w:rPr>
          <w:rFonts w:ascii="TT Norms Pro Medium"/>
          <w:b/>
          <w:spacing w:val="-4"/>
          <w:sz w:val="14"/>
        </w:rPr>
        <w:t>Jo</w:t>
      </w:r>
      <w:r>
        <w:rPr>
          <w:rFonts w:ascii="TT Norms Pro Medium"/>
          <w:b/>
          <w:spacing w:val="4"/>
          <w:sz w:val="14"/>
        </w:rPr>
        <w:t> </w:t>
      </w:r>
      <w:r>
        <w:rPr>
          <w:rFonts w:ascii="TT Norms Pro Medium"/>
          <w:b/>
          <w:spacing w:val="-4"/>
          <w:sz w:val="14"/>
        </w:rPr>
        <w:t>McDonald</w:t>
      </w:r>
    </w:p>
    <w:p>
      <w:pPr>
        <w:spacing w:before="36"/>
        <w:ind w:left="1417" w:right="0" w:firstLine="0"/>
        <w:jc w:val="left"/>
        <w:rPr>
          <w:rFonts w:ascii="TT Norms Pro Light"/>
          <w:b w:val="0"/>
          <w:sz w:val="14"/>
        </w:rPr>
      </w:pPr>
      <w:r>
        <w:rPr>
          <w:rFonts w:ascii="TT Norms Pro Light"/>
          <w:b w:val="0"/>
          <w:sz w:val="14"/>
        </w:rPr>
        <w:t>School</w:t>
      </w:r>
      <w:r>
        <w:rPr>
          <w:rFonts w:ascii="TT Norms Pro Light"/>
          <w:b w:val="0"/>
          <w:spacing w:val="5"/>
          <w:sz w:val="14"/>
        </w:rPr>
        <w:t> </w:t>
      </w:r>
      <w:r>
        <w:rPr>
          <w:rFonts w:ascii="TT Norms Pro Light"/>
          <w:b w:val="0"/>
          <w:sz w:val="14"/>
        </w:rPr>
        <w:t>of</w:t>
      </w:r>
      <w:r>
        <w:rPr>
          <w:rFonts w:ascii="TT Norms Pro Light"/>
          <w:b w:val="0"/>
          <w:spacing w:val="7"/>
          <w:sz w:val="14"/>
        </w:rPr>
        <w:t> </w:t>
      </w:r>
      <w:r>
        <w:rPr>
          <w:rFonts w:ascii="TT Norms Pro Light"/>
          <w:b w:val="0"/>
          <w:sz w:val="14"/>
        </w:rPr>
        <w:t>Social</w:t>
      </w:r>
      <w:r>
        <w:rPr>
          <w:rFonts w:ascii="TT Norms Pro Light"/>
          <w:b w:val="0"/>
          <w:spacing w:val="8"/>
          <w:sz w:val="14"/>
        </w:rPr>
        <w:t> </w:t>
      </w:r>
      <w:r>
        <w:rPr>
          <w:rFonts w:ascii="TT Norms Pro Light"/>
          <w:b w:val="0"/>
          <w:spacing w:val="-2"/>
          <w:sz w:val="14"/>
        </w:rPr>
        <w:t>Sciences</w:t>
      </w:r>
    </w:p>
    <w:p>
      <w:pPr>
        <w:pStyle w:val="BodyText"/>
        <w:spacing w:before="72"/>
        <w:rPr>
          <w:b w:val="0"/>
          <w:sz w:val="14"/>
        </w:rPr>
      </w:pPr>
    </w:p>
    <w:p>
      <w:pPr>
        <w:spacing w:before="0"/>
        <w:ind w:left="1417" w:right="0" w:firstLine="0"/>
        <w:jc w:val="left"/>
        <w:rPr>
          <w:rFonts w:ascii="TT Norms Pro Medium"/>
          <w:b/>
          <w:sz w:val="14"/>
        </w:rPr>
      </w:pPr>
      <w:r>
        <w:rPr>
          <w:rFonts w:ascii="TT Norms Pro Medium"/>
          <w:b/>
          <w:spacing w:val="-4"/>
          <w:sz w:val="14"/>
        </w:rPr>
        <w:t>Professor</w:t>
      </w:r>
      <w:r>
        <w:rPr>
          <w:rFonts w:ascii="TT Norms Pro Medium"/>
          <w:b/>
          <w:spacing w:val="4"/>
          <w:sz w:val="14"/>
        </w:rPr>
        <w:t> </w:t>
      </w:r>
      <w:r>
        <w:rPr>
          <w:rFonts w:ascii="TT Norms Pro Medium"/>
          <w:b/>
          <w:spacing w:val="-4"/>
          <w:sz w:val="14"/>
        </w:rPr>
        <w:t>Tim</w:t>
      </w:r>
      <w:r>
        <w:rPr>
          <w:rFonts w:ascii="TT Norms Pro Medium"/>
          <w:b/>
          <w:spacing w:val="5"/>
          <w:sz w:val="14"/>
        </w:rPr>
        <w:t> </w:t>
      </w:r>
      <w:r>
        <w:rPr>
          <w:rFonts w:ascii="TT Norms Pro Medium"/>
          <w:b/>
          <w:spacing w:val="-4"/>
          <w:sz w:val="14"/>
        </w:rPr>
        <w:t>Winter</w:t>
      </w:r>
    </w:p>
    <w:p>
      <w:pPr>
        <w:spacing w:before="37"/>
        <w:ind w:left="1417" w:right="0" w:firstLine="0"/>
        <w:jc w:val="left"/>
        <w:rPr>
          <w:rFonts w:ascii="TT Norms Pro Light"/>
          <w:b w:val="0"/>
          <w:sz w:val="14"/>
        </w:rPr>
      </w:pPr>
      <w:r>
        <w:rPr>
          <w:rFonts w:ascii="TT Norms Pro Light"/>
          <w:b w:val="0"/>
          <w:sz w:val="14"/>
        </w:rPr>
        <w:t>School</w:t>
      </w:r>
      <w:r>
        <w:rPr>
          <w:rFonts w:ascii="TT Norms Pro Light"/>
          <w:b w:val="0"/>
          <w:spacing w:val="5"/>
          <w:sz w:val="14"/>
        </w:rPr>
        <w:t> </w:t>
      </w:r>
      <w:r>
        <w:rPr>
          <w:rFonts w:ascii="TT Norms Pro Light"/>
          <w:b w:val="0"/>
          <w:sz w:val="14"/>
        </w:rPr>
        <w:t>of</w:t>
      </w:r>
      <w:r>
        <w:rPr>
          <w:rFonts w:ascii="TT Norms Pro Light"/>
          <w:b w:val="0"/>
          <w:spacing w:val="7"/>
          <w:sz w:val="14"/>
        </w:rPr>
        <w:t> </w:t>
      </w:r>
      <w:r>
        <w:rPr>
          <w:rFonts w:ascii="TT Norms Pro Light"/>
          <w:b w:val="0"/>
          <w:sz w:val="14"/>
        </w:rPr>
        <w:t>Social</w:t>
      </w:r>
      <w:r>
        <w:rPr>
          <w:rFonts w:ascii="TT Norms Pro Light"/>
          <w:b w:val="0"/>
          <w:spacing w:val="8"/>
          <w:sz w:val="14"/>
        </w:rPr>
        <w:t> </w:t>
      </w:r>
      <w:r>
        <w:rPr>
          <w:rFonts w:ascii="TT Norms Pro Light"/>
          <w:b w:val="0"/>
          <w:spacing w:val="-2"/>
          <w:sz w:val="14"/>
        </w:rPr>
        <w:t>Sciences</w:t>
      </w:r>
    </w:p>
    <w:p>
      <w:pPr>
        <w:spacing w:before="88"/>
        <w:ind w:left="430" w:right="0" w:firstLine="0"/>
        <w:jc w:val="left"/>
        <w:rPr>
          <w:rFonts w:ascii="TT Norms Pro Light"/>
          <w:b w:val="0"/>
          <w:sz w:val="16"/>
        </w:rPr>
      </w:pPr>
      <w:r>
        <w:rPr/>
        <w:br w:type="column"/>
      </w:r>
      <w:r>
        <w:rPr>
          <w:rFonts w:ascii="TT Norms Pro Light"/>
          <w:b w:val="0"/>
          <w:sz w:val="16"/>
        </w:rPr>
        <w:t>AUSTRALIAN</w:t>
      </w:r>
      <w:r>
        <w:rPr>
          <w:rFonts w:ascii="TT Norms Pro Light"/>
          <w:b w:val="0"/>
          <w:spacing w:val="7"/>
          <w:sz w:val="16"/>
        </w:rPr>
        <w:t> </w:t>
      </w:r>
      <w:r>
        <w:rPr>
          <w:rFonts w:ascii="TT Norms Pro Light"/>
          <w:b w:val="0"/>
          <w:sz w:val="16"/>
        </w:rPr>
        <w:t>ACADEMY</w:t>
      </w:r>
      <w:r>
        <w:rPr>
          <w:rFonts w:ascii="TT Norms Pro Light"/>
          <w:b w:val="0"/>
          <w:spacing w:val="9"/>
          <w:sz w:val="16"/>
        </w:rPr>
        <w:t> </w:t>
      </w:r>
      <w:r>
        <w:rPr>
          <w:rFonts w:ascii="TT Norms Pro Light"/>
          <w:b w:val="0"/>
          <w:sz w:val="16"/>
        </w:rPr>
        <w:t>OF</w:t>
      </w:r>
      <w:r>
        <w:rPr>
          <w:rFonts w:ascii="TT Norms Pro Light"/>
          <w:b w:val="0"/>
          <w:spacing w:val="10"/>
          <w:sz w:val="16"/>
        </w:rPr>
        <w:t> </w:t>
      </w:r>
      <w:r>
        <w:rPr>
          <w:rFonts w:ascii="TT Norms Pro Light"/>
          <w:b w:val="0"/>
          <w:spacing w:val="-2"/>
          <w:sz w:val="16"/>
        </w:rPr>
        <w:t>SCIENCE</w:t>
      </w:r>
    </w:p>
    <w:p>
      <w:pPr>
        <w:pStyle w:val="BodyText"/>
        <w:spacing w:before="15"/>
        <w:rPr>
          <w:b w:val="0"/>
          <w:sz w:val="16"/>
        </w:rPr>
      </w:pPr>
    </w:p>
    <w:p>
      <w:pPr>
        <w:spacing w:before="0"/>
        <w:ind w:left="714" w:right="0" w:firstLine="0"/>
        <w:jc w:val="left"/>
        <w:rPr>
          <w:rFonts w:ascii="TT Norms Pro Medium"/>
          <w:b/>
          <w:sz w:val="14"/>
        </w:rPr>
      </w:pPr>
      <w:r>
        <w:rPr>
          <w:rFonts w:ascii="TT Norms Pro Medium"/>
          <w:b/>
          <w:spacing w:val="-4"/>
          <w:sz w:val="14"/>
        </w:rPr>
        <w:t>Professor</w:t>
      </w:r>
      <w:r>
        <w:rPr>
          <w:rFonts w:ascii="TT Norms Pro Medium"/>
          <w:b/>
          <w:spacing w:val="6"/>
          <w:sz w:val="14"/>
        </w:rPr>
        <w:t> </w:t>
      </w:r>
      <w:r>
        <w:rPr>
          <w:rFonts w:ascii="TT Norms Pro Medium"/>
          <w:b/>
          <w:spacing w:val="-4"/>
          <w:sz w:val="14"/>
        </w:rPr>
        <w:t>Ryan</w:t>
      </w:r>
      <w:r>
        <w:rPr>
          <w:rFonts w:ascii="TT Norms Pro Medium"/>
          <w:b/>
          <w:spacing w:val="7"/>
          <w:sz w:val="14"/>
        </w:rPr>
        <w:t> </w:t>
      </w:r>
      <w:r>
        <w:rPr>
          <w:rFonts w:ascii="TT Norms Pro Medium"/>
          <w:b/>
          <w:spacing w:val="-4"/>
          <w:sz w:val="14"/>
        </w:rPr>
        <w:t>Lister</w:t>
      </w:r>
    </w:p>
    <w:p>
      <w:pPr>
        <w:spacing w:before="36"/>
        <w:ind w:left="714" w:right="0" w:firstLine="0"/>
        <w:jc w:val="left"/>
        <w:rPr>
          <w:rFonts w:ascii="TT Norms Pro Light"/>
          <w:b w:val="0"/>
          <w:sz w:val="14"/>
        </w:rPr>
      </w:pPr>
      <w:r>
        <w:rPr>
          <w:rFonts w:ascii="TT Norms Pro Light"/>
          <w:b w:val="0"/>
          <w:sz w:val="14"/>
        </w:rPr>
        <w:t>School</w:t>
      </w:r>
      <w:r>
        <w:rPr>
          <w:rFonts w:ascii="TT Norms Pro Light"/>
          <w:b w:val="0"/>
          <w:spacing w:val="7"/>
          <w:sz w:val="14"/>
        </w:rPr>
        <w:t> </w:t>
      </w:r>
      <w:r>
        <w:rPr>
          <w:rFonts w:ascii="TT Norms Pro Light"/>
          <w:b w:val="0"/>
          <w:sz w:val="14"/>
        </w:rPr>
        <w:t>of</w:t>
      </w:r>
      <w:r>
        <w:rPr>
          <w:rFonts w:ascii="TT Norms Pro Light"/>
          <w:b w:val="0"/>
          <w:spacing w:val="9"/>
          <w:sz w:val="14"/>
        </w:rPr>
        <w:t> </w:t>
      </w:r>
      <w:r>
        <w:rPr>
          <w:rFonts w:ascii="TT Norms Pro Light"/>
          <w:b w:val="0"/>
          <w:sz w:val="14"/>
        </w:rPr>
        <w:t>Molecular</w:t>
      </w:r>
      <w:r>
        <w:rPr>
          <w:rFonts w:ascii="TT Norms Pro Light"/>
          <w:b w:val="0"/>
          <w:spacing w:val="10"/>
          <w:sz w:val="14"/>
        </w:rPr>
        <w:t> </w:t>
      </w:r>
      <w:r>
        <w:rPr>
          <w:rFonts w:ascii="TT Norms Pro Light"/>
          <w:b w:val="0"/>
          <w:spacing w:val="-2"/>
          <w:sz w:val="14"/>
        </w:rPr>
        <w:t>Sciences</w:t>
      </w:r>
    </w:p>
    <w:p>
      <w:pPr>
        <w:pStyle w:val="BodyText"/>
        <w:spacing w:before="73"/>
        <w:rPr>
          <w:b w:val="0"/>
          <w:sz w:val="14"/>
        </w:rPr>
      </w:pPr>
    </w:p>
    <w:p>
      <w:pPr>
        <w:spacing w:before="0"/>
        <w:ind w:left="714" w:right="0" w:firstLine="0"/>
        <w:jc w:val="left"/>
        <w:rPr>
          <w:rFonts w:ascii="TT Norms Pro Medium"/>
          <w:b/>
          <w:sz w:val="14"/>
        </w:rPr>
      </w:pPr>
      <w:r>
        <w:rPr>
          <w:rFonts w:ascii="TT Norms Pro Medium"/>
          <w:b/>
          <w:spacing w:val="-4"/>
          <w:sz w:val="14"/>
        </w:rPr>
        <w:t>Professor</w:t>
      </w:r>
      <w:r>
        <w:rPr>
          <w:rFonts w:ascii="TT Norms Pro Medium"/>
          <w:b/>
          <w:spacing w:val="7"/>
          <w:sz w:val="14"/>
        </w:rPr>
        <w:t> </w:t>
      </w:r>
      <w:r>
        <w:rPr>
          <w:rFonts w:ascii="TT Norms Pro Medium"/>
          <w:b/>
          <w:spacing w:val="-4"/>
          <w:sz w:val="14"/>
        </w:rPr>
        <w:t>Harvey</w:t>
      </w:r>
      <w:r>
        <w:rPr>
          <w:rFonts w:ascii="TT Norms Pro Medium"/>
          <w:b/>
          <w:spacing w:val="8"/>
          <w:sz w:val="14"/>
        </w:rPr>
        <w:t> </w:t>
      </w:r>
      <w:r>
        <w:rPr>
          <w:rFonts w:ascii="TT Norms Pro Medium"/>
          <w:b/>
          <w:spacing w:val="-4"/>
          <w:sz w:val="14"/>
        </w:rPr>
        <w:t>Millar</w:t>
      </w:r>
    </w:p>
    <w:p>
      <w:pPr>
        <w:spacing w:line="292" w:lineRule="auto" w:before="36"/>
        <w:ind w:left="714" w:right="63" w:firstLine="0"/>
        <w:jc w:val="left"/>
        <w:rPr>
          <w:rFonts w:ascii="TT Norms Pro Light"/>
          <w:b w:val="0"/>
          <w:sz w:val="14"/>
        </w:rPr>
      </w:pPr>
      <w:r>
        <w:rPr>
          <w:rFonts w:ascii="TT Norms Pro Light"/>
          <w:b w:val="0"/>
          <w:sz w:val="14"/>
        </w:rPr>
        <w:t>School of Molecular Sciences and</w:t>
      </w:r>
      <w:r>
        <w:rPr>
          <w:rFonts w:ascii="TT Norms Pro Light"/>
          <w:b w:val="0"/>
          <w:spacing w:val="40"/>
          <w:sz w:val="14"/>
        </w:rPr>
        <w:t> </w:t>
      </w:r>
      <w:r>
        <w:rPr>
          <w:rFonts w:ascii="TT Norms Pro Light"/>
          <w:b w:val="0"/>
          <w:sz w:val="14"/>
        </w:rPr>
        <w:t>Director of the ARC Centre of Excellence</w:t>
      </w:r>
      <w:r>
        <w:rPr>
          <w:rFonts w:ascii="TT Norms Pro Light"/>
          <w:b w:val="0"/>
          <w:spacing w:val="40"/>
          <w:sz w:val="14"/>
        </w:rPr>
        <w:t> </w:t>
      </w:r>
      <w:r>
        <w:rPr>
          <w:rFonts w:ascii="TT Norms Pro Light"/>
          <w:b w:val="0"/>
          <w:sz w:val="14"/>
        </w:rPr>
        <w:t>in Plant Energy Biology</w:t>
      </w:r>
    </w:p>
    <w:p>
      <w:pPr>
        <w:pStyle w:val="BodyText"/>
        <w:spacing w:before="37"/>
        <w:rPr>
          <w:b w:val="0"/>
          <w:sz w:val="14"/>
        </w:rPr>
      </w:pPr>
    </w:p>
    <w:p>
      <w:pPr>
        <w:spacing w:line="264" w:lineRule="auto" w:before="0"/>
        <w:ind w:left="714" w:right="451" w:firstLine="0"/>
        <w:jc w:val="left"/>
        <w:rPr>
          <w:rFonts w:ascii="TT Norms Pro Light"/>
          <w:b w:val="0"/>
          <w:sz w:val="14"/>
        </w:rPr>
      </w:pPr>
      <w:r>
        <w:rPr>
          <w:rFonts w:ascii="TT Norms Pro Medium"/>
          <w:b/>
          <w:spacing w:val="-2"/>
          <w:sz w:val="14"/>
        </w:rPr>
        <w:t>Emeritus</w:t>
      </w:r>
      <w:r>
        <w:rPr>
          <w:rFonts w:ascii="TT Norms Pro Medium"/>
          <w:b/>
          <w:spacing w:val="-7"/>
          <w:sz w:val="14"/>
        </w:rPr>
        <w:t> </w:t>
      </w:r>
      <w:r>
        <w:rPr>
          <w:rFonts w:ascii="TT Norms Pro Medium"/>
          <w:b/>
          <w:spacing w:val="-2"/>
          <w:sz w:val="14"/>
        </w:rPr>
        <w:t>Professor</w:t>
      </w:r>
      <w:r>
        <w:rPr>
          <w:rFonts w:ascii="TT Norms Pro Medium"/>
          <w:b/>
          <w:spacing w:val="-6"/>
          <w:sz w:val="14"/>
        </w:rPr>
        <w:t> </w:t>
      </w:r>
      <w:r>
        <w:rPr>
          <w:rFonts w:ascii="TT Norms Pro Medium"/>
          <w:b/>
          <w:spacing w:val="-2"/>
          <w:sz w:val="14"/>
        </w:rPr>
        <w:t>Robyn</w:t>
      </w:r>
      <w:r>
        <w:rPr>
          <w:rFonts w:ascii="TT Norms Pro Medium"/>
          <w:b/>
          <w:spacing w:val="-6"/>
          <w:sz w:val="14"/>
        </w:rPr>
        <w:t> </w:t>
      </w:r>
      <w:r>
        <w:rPr>
          <w:rFonts w:ascii="TT Norms Pro Medium"/>
          <w:b/>
          <w:spacing w:val="-2"/>
          <w:sz w:val="14"/>
        </w:rPr>
        <w:t>Owens</w:t>
      </w:r>
      <w:r>
        <w:rPr>
          <w:rFonts w:ascii="TT Norms Pro Medium"/>
          <w:b/>
          <w:spacing w:val="40"/>
          <w:sz w:val="14"/>
        </w:rPr>
        <w:t> </w:t>
      </w:r>
      <w:r>
        <w:rPr>
          <w:rFonts w:ascii="TT Norms Pro Light"/>
          <w:b w:val="0"/>
          <w:sz w:val="14"/>
        </w:rPr>
        <w:t>School of Physics, Mathematics</w:t>
      </w:r>
      <w:r>
        <w:rPr>
          <w:rFonts w:ascii="TT Norms Pro Light"/>
          <w:b w:val="0"/>
          <w:spacing w:val="40"/>
          <w:sz w:val="14"/>
        </w:rPr>
        <w:t> </w:t>
      </w:r>
      <w:r>
        <w:rPr>
          <w:rFonts w:ascii="TT Norms Pro Light"/>
          <w:b w:val="0"/>
          <w:sz w:val="14"/>
        </w:rPr>
        <w:t>and</w:t>
      </w:r>
      <w:r>
        <w:rPr>
          <w:rFonts w:ascii="TT Norms Pro Light"/>
          <w:b w:val="0"/>
          <w:spacing w:val="-7"/>
          <w:sz w:val="14"/>
        </w:rPr>
        <w:t> </w:t>
      </w:r>
      <w:r>
        <w:rPr>
          <w:rFonts w:ascii="TT Norms Pro Light"/>
          <w:b w:val="0"/>
          <w:sz w:val="14"/>
        </w:rPr>
        <w:t>Computing</w:t>
      </w:r>
    </w:p>
    <w:p>
      <w:pPr>
        <w:pStyle w:val="BodyText"/>
        <w:spacing w:before="56"/>
        <w:rPr>
          <w:b w:val="0"/>
          <w:sz w:val="14"/>
        </w:rPr>
      </w:pPr>
    </w:p>
    <w:p>
      <w:pPr>
        <w:spacing w:line="307" w:lineRule="auto" w:before="0"/>
        <w:ind w:left="430" w:right="0" w:firstLine="0"/>
        <w:jc w:val="left"/>
        <w:rPr>
          <w:rFonts w:ascii="TT Norms Pro Light"/>
          <w:b w:val="0"/>
          <w:sz w:val="16"/>
        </w:rPr>
      </w:pPr>
      <w:r>
        <w:rPr>
          <w:rFonts w:ascii="TT Norms Pro Light"/>
          <w:b w:val="0"/>
          <w:sz w:val="16"/>
        </w:rPr>
        <w:t>AUSTRALIAN ACADEMY OF</w:t>
      </w:r>
      <w:r>
        <w:rPr>
          <w:rFonts w:ascii="TT Norms Pro Light"/>
          <w:b w:val="0"/>
          <w:spacing w:val="40"/>
          <w:sz w:val="16"/>
        </w:rPr>
        <w:t> </w:t>
      </w:r>
      <w:r>
        <w:rPr>
          <w:rFonts w:ascii="TT Norms Pro Light"/>
          <w:b w:val="0"/>
          <w:sz w:val="16"/>
        </w:rPr>
        <w:t>TECHNOLOGY</w:t>
      </w:r>
      <w:r>
        <w:rPr>
          <w:rFonts w:ascii="TT Norms Pro Light"/>
          <w:b w:val="0"/>
          <w:spacing w:val="-4"/>
          <w:sz w:val="16"/>
        </w:rPr>
        <w:t> </w:t>
      </w:r>
      <w:r>
        <w:rPr>
          <w:rFonts w:ascii="TT Norms Pro Light"/>
          <w:b w:val="0"/>
          <w:sz w:val="16"/>
        </w:rPr>
        <w:t>AND</w:t>
      </w:r>
      <w:r>
        <w:rPr>
          <w:rFonts w:ascii="TT Norms Pro Light"/>
          <w:b w:val="0"/>
          <w:spacing w:val="-3"/>
          <w:sz w:val="16"/>
        </w:rPr>
        <w:t> </w:t>
      </w:r>
      <w:r>
        <w:rPr>
          <w:rFonts w:ascii="TT Norms Pro Light"/>
          <w:b w:val="0"/>
          <w:sz w:val="16"/>
        </w:rPr>
        <w:t>ENGINEERING</w:t>
      </w:r>
    </w:p>
    <w:p>
      <w:pPr>
        <w:spacing w:before="150"/>
        <w:ind w:left="714" w:right="0" w:firstLine="0"/>
        <w:jc w:val="left"/>
        <w:rPr>
          <w:rFonts w:ascii="TT Norms Pro Medium"/>
          <w:b/>
          <w:sz w:val="14"/>
        </w:rPr>
      </w:pPr>
      <w:r>
        <w:rPr>
          <w:rFonts w:ascii="TT Norms Pro Medium"/>
          <w:b/>
          <w:spacing w:val="-4"/>
          <w:sz w:val="14"/>
        </w:rPr>
        <w:t>Professor</w:t>
      </w:r>
      <w:r>
        <w:rPr>
          <w:rFonts w:ascii="TT Norms Pro Medium"/>
          <w:b/>
          <w:spacing w:val="7"/>
          <w:sz w:val="14"/>
        </w:rPr>
        <w:t> </w:t>
      </w:r>
      <w:r>
        <w:rPr>
          <w:rFonts w:ascii="TT Norms Pro Medium"/>
          <w:b/>
          <w:spacing w:val="-4"/>
          <w:sz w:val="14"/>
        </w:rPr>
        <w:t>Liang</w:t>
      </w:r>
      <w:r>
        <w:rPr>
          <w:rFonts w:ascii="TT Norms Pro Medium"/>
          <w:b/>
          <w:spacing w:val="7"/>
          <w:sz w:val="14"/>
        </w:rPr>
        <w:t> </w:t>
      </w:r>
      <w:r>
        <w:rPr>
          <w:rFonts w:ascii="TT Norms Pro Medium"/>
          <w:b/>
          <w:spacing w:val="-4"/>
          <w:sz w:val="14"/>
        </w:rPr>
        <w:t>Cheng</w:t>
      </w:r>
    </w:p>
    <w:p>
      <w:pPr>
        <w:spacing w:before="36"/>
        <w:ind w:left="714" w:right="0" w:firstLine="0"/>
        <w:jc w:val="left"/>
        <w:rPr>
          <w:rFonts w:ascii="TT Norms Pro Light"/>
          <w:b w:val="0"/>
          <w:sz w:val="14"/>
        </w:rPr>
      </w:pPr>
      <w:r>
        <w:rPr>
          <w:rFonts w:ascii="TT Norms Pro Light"/>
          <w:b w:val="0"/>
          <w:sz w:val="14"/>
        </w:rPr>
        <w:t>School</w:t>
      </w:r>
      <w:r>
        <w:rPr>
          <w:rFonts w:ascii="TT Norms Pro Light"/>
          <w:b w:val="0"/>
          <w:spacing w:val="4"/>
          <w:sz w:val="14"/>
        </w:rPr>
        <w:t> </w:t>
      </w:r>
      <w:r>
        <w:rPr>
          <w:rFonts w:ascii="TT Norms Pro Light"/>
          <w:b w:val="0"/>
          <w:sz w:val="14"/>
        </w:rPr>
        <w:t>of</w:t>
      </w:r>
      <w:r>
        <w:rPr>
          <w:rFonts w:ascii="TT Norms Pro Light"/>
          <w:b w:val="0"/>
          <w:spacing w:val="6"/>
          <w:sz w:val="14"/>
        </w:rPr>
        <w:t> </w:t>
      </w:r>
      <w:r>
        <w:rPr>
          <w:rFonts w:ascii="TT Norms Pro Light"/>
          <w:b w:val="0"/>
          <w:spacing w:val="-2"/>
          <w:sz w:val="14"/>
        </w:rPr>
        <w:t>Engineering</w:t>
      </w:r>
    </w:p>
    <w:p>
      <w:pPr>
        <w:pStyle w:val="BodyText"/>
        <w:spacing w:before="74"/>
        <w:rPr>
          <w:b w:val="0"/>
          <w:sz w:val="14"/>
        </w:rPr>
      </w:pPr>
    </w:p>
    <w:p>
      <w:pPr>
        <w:spacing w:before="0"/>
        <w:ind w:left="430" w:right="0" w:firstLine="0"/>
        <w:jc w:val="left"/>
        <w:rPr>
          <w:rFonts w:ascii="TT Norms Pro Light"/>
          <w:b w:val="0"/>
          <w:sz w:val="16"/>
        </w:rPr>
      </w:pPr>
      <w:r>
        <w:rPr>
          <w:rFonts w:ascii="TT Norms Pro Light"/>
          <w:b w:val="0"/>
          <w:sz w:val="16"/>
        </w:rPr>
        <w:t>AMERICAN</w:t>
      </w:r>
      <w:r>
        <w:rPr>
          <w:rFonts w:ascii="TT Norms Pro Light"/>
          <w:b w:val="0"/>
          <w:spacing w:val="11"/>
          <w:sz w:val="16"/>
        </w:rPr>
        <w:t> </w:t>
      </w:r>
      <w:r>
        <w:rPr>
          <w:rFonts w:ascii="TT Norms Pro Light"/>
          <w:b w:val="0"/>
          <w:sz w:val="16"/>
        </w:rPr>
        <w:t>PHYSICAL</w:t>
      </w:r>
      <w:r>
        <w:rPr>
          <w:rFonts w:ascii="TT Norms Pro Light"/>
          <w:b w:val="0"/>
          <w:spacing w:val="11"/>
          <w:sz w:val="16"/>
        </w:rPr>
        <w:t> </w:t>
      </w:r>
      <w:r>
        <w:rPr>
          <w:rFonts w:ascii="TT Norms Pro Light"/>
          <w:b w:val="0"/>
          <w:spacing w:val="-2"/>
          <w:sz w:val="16"/>
        </w:rPr>
        <w:t>SOCIETY</w:t>
      </w:r>
    </w:p>
    <w:p>
      <w:pPr>
        <w:pStyle w:val="BodyText"/>
        <w:spacing w:before="14"/>
        <w:rPr>
          <w:b w:val="0"/>
          <w:sz w:val="16"/>
        </w:rPr>
      </w:pPr>
    </w:p>
    <w:p>
      <w:pPr>
        <w:spacing w:line="292" w:lineRule="auto" w:before="0"/>
        <w:ind w:left="714" w:right="489" w:firstLine="0"/>
        <w:jc w:val="left"/>
        <w:rPr>
          <w:rFonts w:ascii="TT Norms Pro Light"/>
          <w:b w:val="0"/>
          <w:sz w:val="14"/>
        </w:rPr>
      </w:pPr>
      <w:r>
        <w:rPr>
          <w:rFonts w:ascii="TT Norms Pro Medium"/>
          <w:b/>
          <w:sz w:val="14"/>
        </w:rPr>
        <w:t>Professor Snezhana Abarzhi</w:t>
      </w:r>
      <w:r>
        <w:rPr>
          <w:rFonts w:ascii="TT Norms Pro Medium"/>
          <w:b/>
          <w:spacing w:val="40"/>
          <w:sz w:val="14"/>
        </w:rPr>
        <w:t> </w:t>
      </w:r>
      <w:r>
        <w:rPr>
          <w:rFonts w:ascii="TT Norms Pro Light"/>
          <w:b w:val="0"/>
          <w:sz w:val="14"/>
        </w:rPr>
        <w:t>School of Physics, Mathematics</w:t>
      </w:r>
      <w:r>
        <w:rPr>
          <w:rFonts w:ascii="TT Norms Pro Light"/>
          <w:b w:val="0"/>
          <w:spacing w:val="40"/>
          <w:sz w:val="14"/>
        </w:rPr>
        <w:t> </w:t>
      </w:r>
      <w:r>
        <w:rPr>
          <w:rFonts w:ascii="TT Norms Pro Light"/>
          <w:b w:val="0"/>
          <w:sz w:val="14"/>
        </w:rPr>
        <w:t>and</w:t>
      </w:r>
      <w:r>
        <w:rPr>
          <w:rFonts w:ascii="TT Norms Pro Light"/>
          <w:b w:val="0"/>
          <w:spacing w:val="-7"/>
          <w:sz w:val="14"/>
        </w:rPr>
        <w:t> </w:t>
      </w:r>
      <w:r>
        <w:rPr>
          <w:rFonts w:ascii="TT Norms Pro Light"/>
          <w:b w:val="0"/>
          <w:sz w:val="14"/>
        </w:rPr>
        <w:t>Computing</w:t>
      </w:r>
    </w:p>
    <w:p>
      <w:pPr>
        <w:pStyle w:val="BodyText"/>
        <w:spacing w:before="38"/>
        <w:rPr>
          <w:b w:val="0"/>
          <w:sz w:val="14"/>
        </w:rPr>
      </w:pPr>
    </w:p>
    <w:p>
      <w:pPr>
        <w:spacing w:line="307" w:lineRule="auto" w:before="0"/>
        <w:ind w:left="430" w:right="0" w:firstLine="0"/>
        <w:jc w:val="left"/>
        <w:rPr>
          <w:rFonts w:ascii="TT Norms Pro Medium"/>
          <w:b/>
          <w:sz w:val="16"/>
        </w:rPr>
      </w:pPr>
      <w:r>
        <w:rPr>
          <w:rFonts w:ascii="TT Norms Pro Medium"/>
          <w:b/>
          <w:spacing w:val="-2"/>
          <w:sz w:val="16"/>
        </w:rPr>
        <w:t>AUSTRALIAN</w:t>
      </w:r>
      <w:r>
        <w:rPr>
          <w:rFonts w:ascii="TT Norms Pro Medium"/>
          <w:b/>
          <w:spacing w:val="-8"/>
          <w:sz w:val="16"/>
        </w:rPr>
        <w:t> </w:t>
      </w:r>
      <w:r>
        <w:rPr>
          <w:rFonts w:ascii="TT Norms Pro Medium"/>
          <w:b/>
          <w:spacing w:val="-2"/>
          <w:sz w:val="16"/>
        </w:rPr>
        <w:t>RESEARCH</w:t>
      </w:r>
      <w:r>
        <w:rPr>
          <w:rFonts w:ascii="TT Norms Pro Medium"/>
          <w:b/>
          <w:spacing w:val="-7"/>
          <w:sz w:val="16"/>
        </w:rPr>
        <w:t> </w:t>
      </w:r>
      <w:r>
        <w:rPr>
          <w:rFonts w:ascii="TT Norms Pro Medium"/>
          <w:b/>
          <w:spacing w:val="-2"/>
          <w:sz w:val="16"/>
        </w:rPr>
        <w:t>COUNCIL</w:t>
      </w:r>
      <w:r>
        <w:rPr>
          <w:rFonts w:ascii="TT Norms Pro Medium"/>
          <w:b/>
          <w:spacing w:val="40"/>
          <w:sz w:val="16"/>
        </w:rPr>
        <w:t> </w:t>
      </w:r>
      <w:r>
        <w:rPr>
          <w:rFonts w:ascii="TT Norms Pro Medium"/>
          <w:b/>
          <w:sz w:val="16"/>
        </w:rPr>
        <w:t>FUTURE</w:t>
      </w:r>
      <w:r>
        <w:rPr>
          <w:rFonts w:ascii="TT Norms Pro Medium"/>
          <w:b/>
          <w:spacing w:val="-10"/>
          <w:sz w:val="16"/>
        </w:rPr>
        <w:t> </w:t>
      </w:r>
      <w:r>
        <w:rPr>
          <w:rFonts w:ascii="TT Norms Pro Medium"/>
          <w:b/>
          <w:sz w:val="16"/>
        </w:rPr>
        <w:t>FELLOWSHIPS</w:t>
      </w:r>
    </w:p>
    <w:p>
      <w:pPr>
        <w:pStyle w:val="BodyText"/>
        <w:spacing w:before="32"/>
        <w:rPr>
          <w:rFonts w:ascii="TT Norms Pro Medium"/>
          <w:b/>
          <w:sz w:val="16"/>
        </w:rPr>
      </w:pPr>
    </w:p>
    <w:p>
      <w:pPr>
        <w:spacing w:before="1"/>
        <w:ind w:left="714" w:right="0" w:firstLine="0"/>
        <w:jc w:val="left"/>
        <w:rPr>
          <w:rFonts w:ascii="TT Norms Pro Medium"/>
          <w:b/>
          <w:sz w:val="14"/>
        </w:rPr>
      </w:pPr>
      <w:r>
        <w:rPr>
          <w:rFonts w:ascii="TT Norms Pro Medium"/>
          <w:b/>
          <w:spacing w:val="2"/>
          <w:w w:val="90"/>
          <w:sz w:val="14"/>
        </w:rPr>
        <w:t>Professor</w:t>
      </w:r>
      <w:r>
        <w:rPr>
          <w:rFonts w:ascii="TT Norms Pro Medium"/>
          <w:b/>
          <w:spacing w:val="12"/>
          <w:sz w:val="14"/>
        </w:rPr>
        <w:t> </w:t>
      </w:r>
      <w:r>
        <w:rPr>
          <w:rFonts w:ascii="TT Norms Pro Medium"/>
          <w:b/>
          <w:spacing w:val="2"/>
          <w:w w:val="90"/>
          <w:sz w:val="14"/>
        </w:rPr>
        <w:t>Elise</w:t>
      </w:r>
      <w:r>
        <w:rPr>
          <w:rFonts w:ascii="TT Norms Pro Medium"/>
          <w:b/>
          <w:spacing w:val="12"/>
          <w:sz w:val="14"/>
        </w:rPr>
        <w:t> </w:t>
      </w:r>
      <w:r>
        <w:rPr>
          <w:rFonts w:ascii="TT Norms Pro Medium"/>
          <w:b/>
          <w:spacing w:val="-4"/>
          <w:w w:val="90"/>
          <w:sz w:val="14"/>
        </w:rPr>
        <w:t>Bant</w:t>
      </w:r>
    </w:p>
    <w:p>
      <w:pPr>
        <w:spacing w:before="36"/>
        <w:ind w:left="714" w:right="0" w:firstLine="0"/>
        <w:jc w:val="left"/>
        <w:rPr>
          <w:rFonts w:ascii="TT Norms Pro Light"/>
          <w:b w:val="0"/>
          <w:sz w:val="14"/>
        </w:rPr>
      </w:pPr>
      <w:r>
        <w:rPr>
          <w:rFonts w:ascii="TT Norms Pro Light"/>
          <w:b w:val="0"/>
          <w:sz w:val="14"/>
        </w:rPr>
        <w:t>Law</w:t>
      </w:r>
      <w:r>
        <w:rPr>
          <w:rFonts w:ascii="TT Norms Pro Light"/>
          <w:b w:val="0"/>
          <w:spacing w:val="6"/>
          <w:sz w:val="14"/>
        </w:rPr>
        <w:t> </w:t>
      </w:r>
      <w:r>
        <w:rPr>
          <w:rFonts w:ascii="TT Norms Pro Light"/>
          <w:b w:val="0"/>
          <w:spacing w:val="-2"/>
          <w:sz w:val="14"/>
        </w:rPr>
        <w:t>School</w:t>
      </w:r>
    </w:p>
    <w:p>
      <w:pPr>
        <w:pStyle w:val="BodyText"/>
        <w:spacing w:before="72"/>
        <w:rPr>
          <w:b w:val="0"/>
          <w:sz w:val="14"/>
        </w:rPr>
      </w:pPr>
    </w:p>
    <w:p>
      <w:pPr>
        <w:spacing w:before="0"/>
        <w:ind w:left="714" w:right="0" w:firstLine="0"/>
        <w:jc w:val="left"/>
        <w:rPr>
          <w:rFonts w:ascii="TT Norms Pro Medium"/>
          <w:b/>
          <w:sz w:val="14"/>
        </w:rPr>
      </w:pPr>
      <w:r>
        <w:rPr>
          <w:rFonts w:ascii="TT Norms Pro Medium"/>
          <w:b/>
          <w:spacing w:val="-4"/>
          <w:sz w:val="14"/>
        </w:rPr>
        <w:t>Dr</w:t>
      </w:r>
      <w:r>
        <w:rPr>
          <w:rFonts w:ascii="TT Norms Pro Medium"/>
          <w:b/>
          <w:spacing w:val="-1"/>
          <w:sz w:val="14"/>
        </w:rPr>
        <w:t> </w:t>
      </w:r>
      <w:r>
        <w:rPr>
          <w:rFonts w:ascii="TT Norms Pro Medium"/>
          <w:b/>
          <w:spacing w:val="-4"/>
          <w:sz w:val="14"/>
        </w:rPr>
        <w:t>Luke</w:t>
      </w:r>
      <w:r>
        <w:rPr>
          <w:rFonts w:ascii="TT Norms Pro Medium"/>
          <w:b/>
          <w:spacing w:val="-1"/>
          <w:sz w:val="14"/>
        </w:rPr>
        <w:t> </w:t>
      </w:r>
      <w:r>
        <w:rPr>
          <w:rFonts w:ascii="TT Norms Pro Medium"/>
          <w:b/>
          <w:spacing w:val="-4"/>
          <w:sz w:val="14"/>
        </w:rPr>
        <w:t>Davies</w:t>
      </w:r>
    </w:p>
    <w:p>
      <w:pPr>
        <w:spacing w:line="292" w:lineRule="auto" w:before="37"/>
        <w:ind w:left="714" w:right="0" w:firstLine="0"/>
        <w:jc w:val="both"/>
        <w:rPr>
          <w:rFonts w:ascii="TT Norms Pro Light"/>
          <w:b w:val="0"/>
          <w:sz w:val="14"/>
        </w:rPr>
      </w:pPr>
      <w:r>
        <w:rPr>
          <w:rFonts w:ascii="TT Norms Pro Light"/>
          <w:b w:val="0"/>
          <w:sz w:val="14"/>
        </w:rPr>
        <w:t>International Centre for Radio Astronomy</w:t>
      </w:r>
      <w:r>
        <w:rPr>
          <w:rFonts w:ascii="TT Norms Pro Light"/>
          <w:b w:val="0"/>
          <w:spacing w:val="40"/>
          <w:sz w:val="14"/>
        </w:rPr>
        <w:t> </w:t>
      </w:r>
      <w:r>
        <w:rPr>
          <w:rFonts w:ascii="TT Norms Pro Light"/>
          <w:b w:val="0"/>
          <w:sz w:val="14"/>
        </w:rPr>
        <w:t>Research, School of Physics, Mathematics</w:t>
      </w:r>
      <w:r>
        <w:rPr>
          <w:rFonts w:ascii="TT Norms Pro Light"/>
          <w:b w:val="0"/>
          <w:spacing w:val="40"/>
          <w:sz w:val="14"/>
        </w:rPr>
        <w:t> </w:t>
      </w:r>
      <w:r>
        <w:rPr>
          <w:rFonts w:ascii="TT Norms Pro Light"/>
          <w:b w:val="0"/>
          <w:sz w:val="14"/>
        </w:rPr>
        <w:t>and</w:t>
      </w:r>
      <w:r>
        <w:rPr>
          <w:rFonts w:ascii="TT Norms Pro Light"/>
          <w:b w:val="0"/>
          <w:spacing w:val="-7"/>
          <w:sz w:val="14"/>
        </w:rPr>
        <w:t> </w:t>
      </w:r>
      <w:r>
        <w:rPr>
          <w:rFonts w:ascii="TT Norms Pro Light"/>
          <w:b w:val="0"/>
          <w:sz w:val="14"/>
        </w:rPr>
        <w:t>Computing</w:t>
      </w:r>
    </w:p>
    <w:p>
      <w:pPr>
        <w:pStyle w:val="BodyText"/>
        <w:spacing w:before="36"/>
        <w:rPr>
          <w:b w:val="0"/>
          <w:sz w:val="14"/>
        </w:rPr>
      </w:pPr>
    </w:p>
    <w:p>
      <w:pPr>
        <w:spacing w:before="0"/>
        <w:ind w:left="714" w:right="0" w:firstLine="0"/>
        <w:jc w:val="left"/>
        <w:rPr>
          <w:rFonts w:ascii="TT Norms Pro Medium"/>
          <w:b/>
          <w:sz w:val="14"/>
        </w:rPr>
      </w:pPr>
      <w:r>
        <w:rPr>
          <w:rFonts w:ascii="TT Norms Pro Medium"/>
          <w:b/>
          <w:spacing w:val="-2"/>
          <w:sz w:val="14"/>
        </w:rPr>
        <w:t>Associate</w:t>
      </w:r>
      <w:r>
        <w:rPr>
          <w:rFonts w:ascii="TT Norms Pro Medium"/>
          <w:b/>
          <w:spacing w:val="-7"/>
          <w:sz w:val="14"/>
        </w:rPr>
        <w:t> </w:t>
      </w:r>
      <w:r>
        <w:rPr>
          <w:rFonts w:ascii="TT Norms Pro Medium"/>
          <w:b/>
          <w:spacing w:val="-2"/>
          <w:sz w:val="14"/>
        </w:rPr>
        <w:t>Professor</w:t>
      </w:r>
      <w:r>
        <w:rPr>
          <w:rFonts w:ascii="TT Norms Pro Medium"/>
          <w:b/>
          <w:spacing w:val="-6"/>
          <w:sz w:val="14"/>
        </w:rPr>
        <w:t> </w:t>
      </w:r>
      <w:r>
        <w:rPr>
          <w:rFonts w:ascii="TT Norms Pro Medium"/>
          <w:b/>
          <w:spacing w:val="-2"/>
          <w:sz w:val="14"/>
        </w:rPr>
        <w:t>Andrea</w:t>
      </w:r>
      <w:r>
        <w:rPr>
          <w:rFonts w:ascii="TT Norms Pro Medium"/>
          <w:b/>
          <w:spacing w:val="-6"/>
          <w:sz w:val="14"/>
        </w:rPr>
        <w:t> </w:t>
      </w:r>
      <w:r>
        <w:rPr>
          <w:rFonts w:ascii="TT Norms Pro Medium"/>
          <w:b/>
          <w:spacing w:val="-2"/>
          <w:sz w:val="14"/>
        </w:rPr>
        <w:t>Gaynor</w:t>
      </w:r>
    </w:p>
    <w:p>
      <w:pPr>
        <w:spacing w:before="37"/>
        <w:ind w:left="714" w:right="0" w:firstLine="0"/>
        <w:jc w:val="left"/>
        <w:rPr>
          <w:rFonts w:ascii="TT Norms Pro Light"/>
          <w:b w:val="0"/>
          <w:sz w:val="14"/>
        </w:rPr>
      </w:pPr>
      <w:r>
        <w:rPr>
          <w:rFonts w:ascii="TT Norms Pro Light"/>
          <w:b w:val="0"/>
          <w:sz w:val="14"/>
        </w:rPr>
        <w:t>School</w:t>
      </w:r>
      <w:r>
        <w:rPr>
          <w:rFonts w:ascii="TT Norms Pro Light"/>
          <w:b w:val="0"/>
          <w:spacing w:val="6"/>
          <w:sz w:val="14"/>
        </w:rPr>
        <w:t> </w:t>
      </w:r>
      <w:r>
        <w:rPr>
          <w:rFonts w:ascii="TT Norms Pro Light"/>
          <w:b w:val="0"/>
          <w:sz w:val="14"/>
        </w:rPr>
        <w:t>of</w:t>
      </w:r>
      <w:r>
        <w:rPr>
          <w:rFonts w:ascii="TT Norms Pro Light"/>
          <w:b w:val="0"/>
          <w:spacing w:val="5"/>
          <w:sz w:val="14"/>
        </w:rPr>
        <w:t> </w:t>
      </w:r>
      <w:r>
        <w:rPr>
          <w:rFonts w:ascii="TT Norms Pro Light"/>
          <w:b w:val="0"/>
          <w:spacing w:val="-2"/>
          <w:sz w:val="14"/>
        </w:rPr>
        <w:t>Humanities</w:t>
      </w:r>
    </w:p>
    <w:p>
      <w:pPr>
        <w:pStyle w:val="BodyText"/>
        <w:spacing w:before="72"/>
        <w:rPr>
          <w:b w:val="0"/>
          <w:sz w:val="14"/>
        </w:rPr>
      </w:pPr>
    </w:p>
    <w:p>
      <w:pPr>
        <w:spacing w:before="0"/>
        <w:ind w:left="714" w:right="0" w:firstLine="0"/>
        <w:jc w:val="left"/>
        <w:rPr>
          <w:rFonts w:ascii="TT Norms Pro Medium"/>
          <w:b/>
          <w:sz w:val="14"/>
        </w:rPr>
      </w:pPr>
      <w:r>
        <w:rPr>
          <w:rFonts w:ascii="TT Norms Pro Medium"/>
          <w:b/>
          <w:spacing w:val="-4"/>
          <w:sz w:val="14"/>
        </w:rPr>
        <w:t>Associate</w:t>
      </w:r>
      <w:r>
        <w:rPr>
          <w:rFonts w:ascii="TT Norms Pro Medium"/>
          <w:b/>
          <w:spacing w:val="9"/>
          <w:sz w:val="14"/>
        </w:rPr>
        <w:t> </w:t>
      </w:r>
      <w:r>
        <w:rPr>
          <w:rFonts w:ascii="TT Norms Pro Medium"/>
          <w:b/>
          <w:spacing w:val="-4"/>
          <w:sz w:val="14"/>
        </w:rPr>
        <w:t>Professor</w:t>
      </w:r>
      <w:r>
        <w:rPr>
          <w:rFonts w:ascii="TT Norms Pro Medium"/>
          <w:b/>
          <w:spacing w:val="10"/>
          <w:sz w:val="14"/>
        </w:rPr>
        <w:t> </w:t>
      </w:r>
      <w:r>
        <w:rPr>
          <w:rFonts w:ascii="TT Norms Pro Medium"/>
          <w:b/>
          <w:spacing w:val="-4"/>
          <w:sz w:val="14"/>
        </w:rPr>
        <w:t>Stephen</w:t>
      </w:r>
      <w:r>
        <w:rPr>
          <w:rFonts w:ascii="TT Norms Pro Medium"/>
          <w:b/>
          <w:spacing w:val="9"/>
          <w:sz w:val="14"/>
        </w:rPr>
        <w:t> </w:t>
      </w:r>
      <w:r>
        <w:rPr>
          <w:rFonts w:ascii="TT Norms Pro Medium"/>
          <w:b/>
          <w:spacing w:val="-4"/>
          <w:sz w:val="14"/>
        </w:rPr>
        <w:t>Moggach</w:t>
      </w:r>
    </w:p>
    <w:p>
      <w:pPr>
        <w:spacing w:before="36"/>
        <w:ind w:left="714" w:right="0" w:firstLine="0"/>
        <w:jc w:val="left"/>
        <w:rPr>
          <w:rFonts w:ascii="TT Norms Pro Light"/>
          <w:b w:val="0"/>
          <w:sz w:val="14"/>
        </w:rPr>
      </w:pPr>
      <w:r>
        <w:rPr>
          <w:rFonts w:ascii="TT Norms Pro Light"/>
          <w:b w:val="0"/>
          <w:sz w:val="14"/>
        </w:rPr>
        <w:t>School</w:t>
      </w:r>
      <w:r>
        <w:rPr>
          <w:rFonts w:ascii="TT Norms Pro Light"/>
          <w:b w:val="0"/>
          <w:spacing w:val="7"/>
          <w:sz w:val="14"/>
        </w:rPr>
        <w:t> </w:t>
      </w:r>
      <w:r>
        <w:rPr>
          <w:rFonts w:ascii="TT Norms Pro Light"/>
          <w:b w:val="0"/>
          <w:sz w:val="14"/>
        </w:rPr>
        <w:t>of</w:t>
      </w:r>
      <w:r>
        <w:rPr>
          <w:rFonts w:ascii="TT Norms Pro Light"/>
          <w:b w:val="0"/>
          <w:spacing w:val="9"/>
          <w:sz w:val="14"/>
        </w:rPr>
        <w:t> </w:t>
      </w:r>
      <w:r>
        <w:rPr>
          <w:rFonts w:ascii="TT Norms Pro Light"/>
          <w:b w:val="0"/>
          <w:sz w:val="14"/>
        </w:rPr>
        <w:t>Molecular</w:t>
      </w:r>
      <w:r>
        <w:rPr>
          <w:rFonts w:ascii="TT Norms Pro Light"/>
          <w:b w:val="0"/>
          <w:spacing w:val="10"/>
          <w:sz w:val="14"/>
        </w:rPr>
        <w:t> </w:t>
      </w:r>
      <w:r>
        <w:rPr>
          <w:rFonts w:ascii="TT Norms Pro Light"/>
          <w:b w:val="0"/>
          <w:spacing w:val="-2"/>
          <w:sz w:val="14"/>
        </w:rPr>
        <w:t>Sciences</w:t>
      </w:r>
    </w:p>
    <w:p>
      <w:pPr>
        <w:pStyle w:val="BodyText"/>
        <w:spacing w:before="72"/>
        <w:rPr>
          <w:b w:val="0"/>
          <w:sz w:val="14"/>
        </w:rPr>
      </w:pPr>
    </w:p>
    <w:p>
      <w:pPr>
        <w:spacing w:before="1"/>
        <w:ind w:left="714" w:right="0" w:firstLine="0"/>
        <w:jc w:val="left"/>
        <w:rPr>
          <w:rFonts w:ascii="TT Norms Pro Medium"/>
          <w:b/>
          <w:sz w:val="14"/>
        </w:rPr>
      </w:pPr>
      <w:r>
        <w:rPr>
          <w:rFonts w:ascii="TT Norms Pro Medium"/>
          <w:b/>
          <w:spacing w:val="-2"/>
          <w:sz w:val="14"/>
        </w:rPr>
        <w:t>Dr</w:t>
      </w:r>
      <w:r>
        <w:rPr>
          <w:rFonts w:ascii="TT Norms Pro Medium"/>
          <w:b/>
          <w:spacing w:val="-5"/>
          <w:sz w:val="14"/>
        </w:rPr>
        <w:t> </w:t>
      </w:r>
      <w:r>
        <w:rPr>
          <w:rFonts w:ascii="TT Norms Pro Medium"/>
          <w:b/>
          <w:spacing w:val="-2"/>
          <w:sz w:val="14"/>
        </w:rPr>
        <w:t>Aaron</w:t>
      </w:r>
      <w:r>
        <w:rPr>
          <w:rFonts w:ascii="TT Norms Pro Medium"/>
          <w:b/>
          <w:spacing w:val="-5"/>
          <w:sz w:val="14"/>
        </w:rPr>
        <w:t> </w:t>
      </w:r>
      <w:r>
        <w:rPr>
          <w:rFonts w:ascii="TT Norms Pro Medium"/>
          <w:b/>
          <w:spacing w:val="-2"/>
          <w:sz w:val="14"/>
        </w:rPr>
        <w:t>Robotham</w:t>
      </w:r>
    </w:p>
    <w:p>
      <w:pPr>
        <w:spacing w:line="292" w:lineRule="auto" w:before="36"/>
        <w:ind w:left="714" w:right="0" w:firstLine="0"/>
        <w:jc w:val="both"/>
        <w:rPr>
          <w:rFonts w:ascii="TT Norms Pro Light"/>
          <w:b w:val="0"/>
          <w:sz w:val="14"/>
        </w:rPr>
      </w:pPr>
      <w:r>
        <w:rPr>
          <w:rFonts w:ascii="TT Norms Pro Light"/>
          <w:b w:val="0"/>
          <w:sz w:val="14"/>
        </w:rPr>
        <w:t>International Centre for Radio Astronomy</w:t>
      </w:r>
      <w:r>
        <w:rPr>
          <w:rFonts w:ascii="TT Norms Pro Light"/>
          <w:b w:val="0"/>
          <w:spacing w:val="40"/>
          <w:sz w:val="14"/>
        </w:rPr>
        <w:t> </w:t>
      </w:r>
      <w:r>
        <w:rPr>
          <w:rFonts w:ascii="TT Norms Pro Light"/>
          <w:b w:val="0"/>
          <w:sz w:val="14"/>
        </w:rPr>
        <w:t>Research, School of Physics, Mathematics</w:t>
      </w:r>
      <w:r>
        <w:rPr>
          <w:rFonts w:ascii="TT Norms Pro Light"/>
          <w:b w:val="0"/>
          <w:spacing w:val="40"/>
          <w:sz w:val="14"/>
        </w:rPr>
        <w:t> </w:t>
      </w:r>
      <w:r>
        <w:rPr>
          <w:rFonts w:ascii="TT Norms Pro Light"/>
          <w:b w:val="0"/>
          <w:sz w:val="14"/>
        </w:rPr>
        <w:t>and</w:t>
      </w:r>
      <w:r>
        <w:rPr>
          <w:rFonts w:ascii="TT Norms Pro Light"/>
          <w:b w:val="0"/>
          <w:spacing w:val="-7"/>
          <w:sz w:val="14"/>
        </w:rPr>
        <w:t> </w:t>
      </w:r>
      <w:r>
        <w:rPr>
          <w:rFonts w:ascii="TT Norms Pro Light"/>
          <w:b w:val="0"/>
          <w:sz w:val="14"/>
        </w:rPr>
        <w:t>Computing</w:t>
      </w:r>
    </w:p>
    <w:p>
      <w:pPr>
        <w:pStyle w:val="BodyText"/>
        <w:spacing w:before="37"/>
        <w:rPr>
          <w:b w:val="0"/>
          <w:sz w:val="14"/>
        </w:rPr>
      </w:pPr>
    </w:p>
    <w:p>
      <w:pPr>
        <w:spacing w:line="307" w:lineRule="auto" w:before="0"/>
        <w:ind w:left="430" w:right="0" w:firstLine="0"/>
        <w:jc w:val="left"/>
        <w:rPr>
          <w:rFonts w:ascii="TT Norms Pro Medium"/>
          <w:b/>
          <w:sz w:val="16"/>
        </w:rPr>
      </w:pPr>
      <w:r>
        <w:rPr>
          <w:rFonts w:ascii="TT Norms Pro Medium"/>
          <w:b/>
          <w:spacing w:val="-2"/>
          <w:sz w:val="16"/>
        </w:rPr>
        <w:t>AUSTRALIAN</w:t>
      </w:r>
      <w:r>
        <w:rPr>
          <w:rFonts w:ascii="TT Norms Pro Medium"/>
          <w:b/>
          <w:spacing w:val="-8"/>
          <w:sz w:val="16"/>
        </w:rPr>
        <w:t> </w:t>
      </w:r>
      <w:r>
        <w:rPr>
          <w:rFonts w:ascii="TT Norms Pro Medium"/>
          <w:b/>
          <w:spacing w:val="-2"/>
          <w:sz w:val="16"/>
        </w:rPr>
        <w:t>RESEARCH</w:t>
      </w:r>
      <w:r>
        <w:rPr>
          <w:rFonts w:ascii="TT Norms Pro Medium"/>
          <w:b/>
          <w:spacing w:val="-7"/>
          <w:sz w:val="16"/>
        </w:rPr>
        <w:t> </w:t>
      </w:r>
      <w:r>
        <w:rPr>
          <w:rFonts w:ascii="TT Norms Pro Medium"/>
          <w:b/>
          <w:spacing w:val="-2"/>
          <w:sz w:val="16"/>
        </w:rPr>
        <w:t>COUNCIL</w:t>
      </w:r>
      <w:r>
        <w:rPr>
          <w:rFonts w:ascii="TT Norms Pro Medium"/>
          <w:b/>
          <w:spacing w:val="40"/>
          <w:sz w:val="16"/>
        </w:rPr>
        <w:t> </w:t>
      </w:r>
      <w:r>
        <w:rPr>
          <w:rFonts w:ascii="TT Norms Pro Medium"/>
          <w:b/>
          <w:sz w:val="16"/>
        </w:rPr>
        <w:t>DISCOVERY EARLY CAREER</w:t>
      </w:r>
      <w:r>
        <w:rPr>
          <w:rFonts w:ascii="TT Norms Pro Medium"/>
          <w:b/>
          <w:spacing w:val="40"/>
          <w:sz w:val="16"/>
        </w:rPr>
        <w:t> </w:t>
      </w:r>
      <w:r>
        <w:rPr>
          <w:rFonts w:ascii="TT Norms Pro Medium"/>
          <w:b/>
          <w:sz w:val="16"/>
        </w:rPr>
        <w:t>RESEARCHER</w:t>
      </w:r>
      <w:r>
        <w:rPr>
          <w:rFonts w:ascii="TT Norms Pro Medium"/>
          <w:b/>
          <w:spacing w:val="-10"/>
          <w:sz w:val="16"/>
        </w:rPr>
        <w:t> </w:t>
      </w:r>
      <w:r>
        <w:rPr>
          <w:rFonts w:ascii="TT Norms Pro Medium"/>
          <w:b/>
          <w:sz w:val="16"/>
        </w:rPr>
        <w:t>AWARDS</w:t>
      </w:r>
    </w:p>
    <w:p>
      <w:pPr>
        <w:pStyle w:val="BodyText"/>
        <w:spacing w:before="33"/>
        <w:rPr>
          <w:rFonts w:ascii="TT Norms Pro Medium"/>
          <w:b/>
          <w:sz w:val="16"/>
        </w:rPr>
      </w:pPr>
    </w:p>
    <w:p>
      <w:pPr>
        <w:spacing w:before="0"/>
        <w:ind w:left="714" w:right="0" w:firstLine="0"/>
        <w:jc w:val="left"/>
        <w:rPr>
          <w:rFonts w:ascii="TT Norms Pro Medium"/>
          <w:b/>
          <w:sz w:val="14"/>
        </w:rPr>
      </w:pPr>
      <w:r>
        <w:rPr>
          <w:rFonts w:ascii="TT Norms Pro Medium"/>
          <w:b/>
          <w:spacing w:val="-2"/>
          <w:sz w:val="14"/>
        </w:rPr>
        <w:t>Dr</w:t>
      </w:r>
      <w:r>
        <w:rPr>
          <w:rFonts w:ascii="TT Norms Pro Medium"/>
          <w:b/>
          <w:spacing w:val="-6"/>
          <w:sz w:val="14"/>
        </w:rPr>
        <w:t> </w:t>
      </w:r>
      <w:r>
        <w:rPr>
          <w:rFonts w:ascii="TT Norms Pro Medium"/>
          <w:b/>
          <w:spacing w:val="-2"/>
          <w:sz w:val="14"/>
        </w:rPr>
        <w:t>Philipp</w:t>
      </w:r>
      <w:r>
        <w:rPr>
          <w:rFonts w:ascii="TT Norms Pro Medium"/>
          <w:b/>
          <w:spacing w:val="-6"/>
          <w:sz w:val="14"/>
        </w:rPr>
        <w:t> </w:t>
      </w:r>
      <w:r>
        <w:rPr>
          <w:rFonts w:ascii="TT Norms Pro Medium"/>
          <w:b/>
          <w:spacing w:val="-2"/>
          <w:sz w:val="14"/>
        </w:rPr>
        <w:t>Bayer</w:t>
      </w:r>
    </w:p>
    <w:p>
      <w:pPr>
        <w:spacing w:before="16"/>
        <w:ind w:left="714" w:right="0" w:firstLine="0"/>
        <w:jc w:val="left"/>
        <w:rPr>
          <w:rFonts w:ascii="TT Norms Pro Light"/>
          <w:b w:val="0"/>
          <w:sz w:val="14"/>
        </w:rPr>
      </w:pPr>
      <w:r>
        <w:rPr>
          <w:rFonts w:ascii="TT Norms Pro Light"/>
          <w:b w:val="0"/>
          <w:sz w:val="14"/>
        </w:rPr>
        <w:t>School</w:t>
      </w:r>
      <w:r>
        <w:rPr>
          <w:rFonts w:ascii="TT Norms Pro Light"/>
          <w:b w:val="0"/>
          <w:spacing w:val="9"/>
          <w:sz w:val="14"/>
        </w:rPr>
        <w:t> </w:t>
      </w:r>
      <w:r>
        <w:rPr>
          <w:rFonts w:ascii="TT Norms Pro Light"/>
          <w:b w:val="0"/>
          <w:sz w:val="14"/>
        </w:rPr>
        <w:t>of</w:t>
      </w:r>
      <w:r>
        <w:rPr>
          <w:rFonts w:ascii="TT Norms Pro Light"/>
          <w:b w:val="0"/>
          <w:spacing w:val="11"/>
          <w:sz w:val="14"/>
        </w:rPr>
        <w:t> </w:t>
      </w:r>
      <w:r>
        <w:rPr>
          <w:rFonts w:ascii="TT Norms Pro Light"/>
          <w:b w:val="0"/>
          <w:sz w:val="14"/>
        </w:rPr>
        <w:t>Biological</w:t>
      </w:r>
      <w:r>
        <w:rPr>
          <w:rFonts w:ascii="TT Norms Pro Light"/>
          <w:b w:val="0"/>
          <w:spacing w:val="11"/>
          <w:sz w:val="14"/>
        </w:rPr>
        <w:t> </w:t>
      </w:r>
      <w:r>
        <w:rPr>
          <w:rFonts w:ascii="TT Norms Pro Light"/>
          <w:b w:val="0"/>
          <w:spacing w:val="-2"/>
          <w:sz w:val="14"/>
        </w:rPr>
        <w:t>Sciences</w:t>
      </w:r>
    </w:p>
    <w:p>
      <w:pPr>
        <w:pStyle w:val="BodyText"/>
        <w:spacing w:before="53"/>
        <w:rPr>
          <w:b w:val="0"/>
          <w:sz w:val="14"/>
        </w:rPr>
      </w:pPr>
    </w:p>
    <w:p>
      <w:pPr>
        <w:spacing w:before="0"/>
        <w:ind w:left="714" w:right="0" w:firstLine="0"/>
        <w:jc w:val="left"/>
        <w:rPr>
          <w:rFonts w:ascii="TT Norms Pro Medium"/>
          <w:b/>
          <w:sz w:val="14"/>
        </w:rPr>
      </w:pPr>
      <w:r>
        <w:rPr>
          <w:rFonts w:ascii="TT Norms Pro Medium"/>
          <w:b/>
          <w:spacing w:val="-2"/>
          <w:sz w:val="14"/>
        </w:rPr>
        <w:t>Dr</w:t>
      </w:r>
      <w:r>
        <w:rPr>
          <w:rFonts w:ascii="TT Norms Pro Medium"/>
          <w:b/>
          <w:spacing w:val="-5"/>
          <w:sz w:val="14"/>
        </w:rPr>
        <w:t> </w:t>
      </w:r>
      <w:r>
        <w:rPr>
          <w:rFonts w:ascii="TT Norms Pro Medium"/>
          <w:b/>
          <w:spacing w:val="-2"/>
          <w:sz w:val="14"/>
        </w:rPr>
        <w:t>Sarah</w:t>
      </w:r>
      <w:r>
        <w:rPr>
          <w:rFonts w:ascii="TT Norms Pro Medium"/>
          <w:b/>
          <w:spacing w:val="-5"/>
          <w:sz w:val="14"/>
        </w:rPr>
        <w:t> </w:t>
      </w:r>
      <w:r>
        <w:rPr>
          <w:rFonts w:ascii="TT Norms Pro Medium"/>
          <w:b/>
          <w:spacing w:val="-2"/>
          <w:sz w:val="14"/>
        </w:rPr>
        <w:t>Clement</w:t>
      </w:r>
    </w:p>
    <w:p>
      <w:pPr>
        <w:spacing w:before="16"/>
        <w:ind w:left="714" w:right="0" w:firstLine="0"/>
        <w:jc w:val="left"/>
        <w:rPr>
          <w:rFonts w:ascii="TT Norms Pro Light"/>
          <w:b w:val="0"/>
          <w:sz w:val="14"/>
        </w:rPr>
      </w:pPr>
      <w:r>
        <w:rPr>
          <w:rFonts w:ascii="TT Norms Pro Light"/>
          <w:b w:val="0"/>
          <w:sz w:val="14"/>
        </w:rPr>
        <w:t>School</w:t>
      </w:r>
      <w:r>
        <w:rPr>
          <w:rFonts w:ascii="TT Norms Pro Light"/>
          <w:b w:val="0"/>
          <w:spacing w:val="5"/>
          <w:sz w:val="14"/>
        </w:rPr>
        <w:t> </w:t>
      </w:r>
      <w:r>
        <w:rPr>
          <w:rFonts w:ascii="TT Norms Pro Light"/>
          <w:b w:val="0"/>
          <w:sz w:val="14"/>
        </w:rPr>
        <w:t>of</w:t>
      </w:r>
      <w:r>
        <w:rPr>
          <w:rFonts w:ascii="TT Norms Pro Light"/>
          <w:b w:val="0"/>
          <w:spacing w:val="7"/>
          <w:sz w:val="14"/>
        </w:rPr>
        <w:t> </w:t>
      </w:r>
      <w:r>
        <w:rPr>
          <w:rFonts w:ascii="TT Norms Pro Light"/>
          <w:b w:val="0"/>
          <w:sz w:val="14"/>
        </w:rPr>
        <w:t>Social</w:t>
      </w:r>
      <w:r>
        <w:rPr>
          <w:rFonts w:ascii="TT Norms Pro Light"/>
          <w:b w:val="0"/>
          <w:spacing w:val="8"/>
          <w:sz w:val="14"/>
        </w:rPr>
        <w:t> </w:t>
      </w:r>
      <w:r>
        <w:rPr>
          <w:rFonts w:ascii="TT Norms Pro Light"/>
          <w:b w:val="0"/>
          <w:spacing w:val="-2"/>
          <w:sz w:val="14"/>
        </w:rPr>
        <w:t>Sciences</w:t>
      </w:r>
    </w:p>
    <w:p>
      <w:pPr>
        <w:pStyle w:val="BodyText"/>
        <w:spacing w:before="52"/>
        <w:rPr>
          <w:b w:val="0"/>
          <w:sz w:val="14"/>
        </w:rPr>
      </w:pPr>
    </w:p>
    <w:p>
      <w:pPr>
        <w:spacing w:before="0"/>
        <w:ind w:left="714" w:right="0" w:firstLine="0"/>
        <w:jc w:val="left"/>
        <w:rPr>
          <w:rFonts w:ascii="TT Norms Pro Medium"/>
          <w:b/>
          <w:sz w:val="14"/>
        </w:rPr>
      </w:pPr>
      <w:r>
        <w:rPr>
          <w:rFonts w:ascii="TT Norms Pro Medium"/>
          <w:b/>
          <w:spacing w:val="-4"/>
          <w:sz w:val="14"/>
        </w:rPr>
        <w:t>Dr</w:t>
      </w:r>
      <w:r>
        <w:rPr>
          <w:rFonts w:ascii="TT Norms Pro Medium"/>
          <w:b/>
          <w:spacing w:val="-1"/>
          <w:sz w:val="14"/>
        </w:rPr>
        <w:t> </w:t>
      </w:r>
      <w:r>
        <w:rPr>
          <w:rFonts w:ascii="TT Norms Pro Medium"/>
          <w:b/>
          <w:spacing w:val="-4"/>
          <w:sz w:val="14"/>
        </w:rPr>
        <w:t>David</w:t>
      </w:r>
      <w:r>
        <w:rPr>
          <w:rFonts w:ascii="TT Norms Pro Medium"/>
          <w:b/>
          <w:sz w:val="14"/>
        </w:rPr>
        <w:t> </w:t>
      </w:r>
      <w:r>
        <w:rPr>
          <w:rFonts w:ascii="TT Norms Pro Medium"/>
          <w:b/>
          <w:spacing w:val="-4"/>
          <w:sz w:val="14"/>
        </w:rPr>
        <w:t>Friesem</w:t>
      </w:r>
    </w:p>
    <w:p>
      <w:pPr>
        <w:spacing w:before="17"/>
        <w:ind w:left="714" w:right="0" w:firstLine="0"/>
        <w:jc w:val="left"/>
        <w:rPr>
          <w:rFonts w:ascii="TT Norms Pro Light"/>
          <w:b w:val="0"/>
          <w:sz w:val="14"/>
        </w:rPr>
      </w:pPr>
      <w:r>
        <w:rPr>
          <w:rFonts w:ascii="TT Norms Pro Light"/>
          <w:b w:val="0"/>
          <w:sz w:val="14"/>
        </w:rPr>
        <w:t>School</w:t>
      </w:r>
      <w:r>
        <w:rPr>
          <w:rFonts w:ascii="TT Norms Pro Light"/>
          <w:b w:val="0"/>
          <w:spacing w:val="5"/>
          <w:sz w:val="14"/>
        </w:rPr>
        <w:t> </w:t>
      </w:r>
      <w:r>
        <w:rPr>
          <w:rFonts w:ascii="TT Norms Pro Light"/>
          <w:b w:val="0"/>
          <w:sz w:val="14"/>
        </w:rPr>
        <w:t>of</w:t>
      </w:r>
      <w:r>
        <w:rPr>
          <w:rFonts w:ascii="TT Norms Pro Light"/>
          <w:b w:val="0"/>
          <w:spacing w:val="7"/>
          <w:sz w:val="14"/>
        </w:rPr>
        <w:t> </w:t>
      </w:r>
      <w:r>
        <w:rPr>
          <w:rFonts w:ascii="TT Norms Pro Light"/>
          <w:b w:val="0"/>
          <w:sz w:val="14"/>
        </w:rPr>
        <w:t>Social</w:t>
      </w:r>
      <w:r>
        <w:rPr>
          <w:rFonts w:ascii="TT Norms Pro Light"/>
          <w:b w:val="0"/>
          <w:spacing w:val="8"/>
          <w:sz w:val="14"/>
        </w:rPr>
        <w:t> </w:t>
      </w:r>
      <w:r>
        <w:rPr>
          <w:rFonts w:ascii="TT Norms Pro Light"/>
          <w:b w:val="0"/>
          <w:spacing w:val="-2"/>
          <w:sz w:val="14"/>
        </w:rPr>
        <w:t>Sciences</w:t>
      </w:r>
    </w:p>
    <w:p>
      <w:pPr>
        <w:pStyle w:val="BodyText"/>
        <w:spacing w:before="52"/>
        <w:rPr>
          <w:b w:val="0"/>
          <w:sz w:val="14"/>
        </w:rPr>
      </w:pPr>
    </w:p>
    <w:p>
      <w:pPr>
        <w:spacing w:before="0"/>
        <w:ind w:left="714" w:right="0" w:firstLine="0"/>
        <w:jc w:val="left"/>
        <w:rPr>
          <w:rFonts w:ascii="TT Norms Pro Medium"/>
          <w:b/>
          <w:sz w:val="14"/>
        </w:rPr>
      </w:pPr>
      <w:r>
        <w:rPr>
          <w:rFonts w:ascii="TT Norms Pro Medium"/>
          <w:b/>
          <w:spacing w:val="-2"/>
          <w:sz w:val="14"/>
        </w:rPr>
        <w:t>Dr</w:t>
      </w:r>
      <w:r>
        <w:rPr>
          <w:rFonts w:ascii="TT Norms Pro Medium"/>
          <w:b/>
          <w:spacing w:val="-6"/>
          <w:sz w:val="14"/>
        </w:rPr>
        <w:t> </w:t>
      </w:r>
      <w:r>
        <w:rPr>
          <w:rFonts w:ascii="TT Norms Pro Medium"/>
          <w:b/>
          <w:spacing w:val="-2"/>
          <w:sz w:val="14"/>
        </w:rPr>
        <w:t>Gina</w:t>
      </w:r>
      <w:r>
        <w:rPr>
          <w:rFonts w:ascii="TT Norms Pro Medium"/>
          <w:b/>
          <w:spacing w:val="-5"/>
          <w:sz w:val="14"/>
        </w:rPr>
        <w:t> </w:t>
      </w:r>
      <w:r>
        <w:rPr>
          <w:rFonts w:ascii="TT Norms Pro Medium"/>
          <w:b/>
          <w:spacing w:val="-2"/>
          <w:sz w:val="14"/>
        </w:rPr>
        <w:t>Trapp</w:t>
      </w:r>
    </w:p>
    <w:p>
      <w:pPr>
        <w:spacing w:before="16"/>
        <w:ind w:left="714" w:right="0" w:firstLine="0"/>
        <w:jc w:val="left"/>
        <w:rPr>
          <w:rFonts w:ascii="TT Norms Pro Light"/>
          <w:b w:val="0"/>
          <w:sz w:val="14"/>
        </w:rPr>
      </w:pPr>
      <w:r>
        <w:rPr>
          <w:rFonts w:ascii="TT Norms Pro Light"/>
          <w:b w:val="0"/>
          <w:sz w:val="14"/>
        </w:rPr>
        <w:t>School</w:t>
      </w:r>
      <w:r>
        <w:rPr>
          <w:rFonts w:ascii="TT Norms Pro Light"/>
          <w:b w:val="0"/>
          <w:spacing w:val="8"/>
          <w:sz w:val="14"/>
        </w:rPr>
        <w:t> </w:t>
      </w:r>
      <w:r>
        <w:rPr>
          <w:rFonts w:ascii="TT Norms Pro Light"/>
          <w:b w:val="0"/>
          <w:sz w:val="14"/>
        </w:rPr>
        <w:t>of</w:t>
      </w:r>
      <w:r>
        <w:rPr>
          <w:rFonts w:ascii="TT Norms Pro Light"/>
          <w:b w:val="0"/>
          <w:spacing w:val="8"/>
          <w:sz w:val="14"/>
        </w:rPr>
        <w:t> </w:t>
      </w:r>
      <w:r>
        <w:rPr>
          <w:rFonts w:ascii="TT Norms Pro Light"/>
          <w:b w:val="0"/>
          <w:sz w:val="14"/>
        </w:rPr>
        <w:t>Population</w:t>
      </w:r>
      <w:r>
        <w:rPr>
          <w:rFonts w:ascii="TT Norms Pro Light"/>
          <w:b w:val="0"/>
          <w:spacing w:val="8"/>
          <w:sz w:val="14"/>
        </w:rPr>
        <w:t> </w:t>
      </w:r>
      <w:r>
        <w:rPr>
          <w:rFonts w:ascii="TT Norms Pro Light"/>
          <w:b w:val="0"/>
          <w:sz w:val="14"/>
        </w:rPr>
        <w:t>and</w:t>
      </w:r>
      <w:r>
        <w:rPr>
          <w:rFonts w:ascii="TT Norms Pro Light"/>
          <w:b w:val="0"/>
          <w:spacing w:val="8"/>
          <w:sz w:val="14"/>
        </w:rPr>
        <w:t> </w:t>
      </w:r>
      <w:r>
        <w:rPr>
          <w:rFonts w:ascii="TT Norms Pro Light"/>
          <w:b w:val="0"/>
          <w:sz w:val="14"/>
        </w:rPr>
        <w:t>Global</w:t>
      </w:r>
      <w:r>
        <w:rPr>
          <w:rFonts w:ascii="TT Norms Pro Light"/>
          <w:b w:val="0"/>
          <w:spacing w:val="8"/>
          <w:sz w:val="14"/>
        </w:rPr>
        <w:t> </w:t>
      </w:r>
      <w:r>
        <w:rPr>
          <w:rFonts w:ascii="TT Norms Pro Light"/>
          <w:b w:val="0"/>
          <w:spacing w:val="-2"/>
          <w:sz w:val="14"/>
        </w:rPr>
        <w:t>Health</w:t>
      </w:r>
    </w:p>
    <w:p>
      <w:pPr>
        <w:spacing w:before="88"/>
        <w:ind w:left="386" w:right="0" w:firstLine="0"/>
        <w:jc w:val="left"/>
        <w:rPr>
          <w:rFonts w:ascii="TT Norms Pro Medium"/>
          <w:b/>
          <w:sz w:val="16"/>
        </w:rPr>
      </w:pPr>
      <w:r>
        <w:rPr/>
        <w:br w:type="column"/>
      </w:r>
      <w:r>
        <w:rPr>
          <w:rFonts w:ascii="TT Norms Pro Medium"/>
          <w:b/>
          <w:spacing w:val="-4"/>
          <w:sz w:val="16"/>
        </w:rPr>
        <w:t>FORREST</w:t>
      </w:r>
      <w:r>
        <w:rPr>
          <w:rFonts w:ascii="TT Norms Pro Medium"/>
          <w:b/>
          <w:spacing w:val="4"/>
          <w:sz w:val="16"/>
        </w:rPr>
        <w:t> </w:t>
      </w:r>
      <w:r>
        <w:rPr>
          <w:rFonts w:ascii="TT Norms Pro Medium"/>
          <w:b/>
          <w:spacing w:val="-2"/>
          <w:sz w:val="16"/>
        </w:rPr>
        <w:t>FELLOWSHIP</w:t>
      </w:r>
    </w:p>
    <w:p>
      <w:pPr>
        <w:pStyle w:val="BodyText"/>
        <w:spacing w:before="85"/>
        <w:rPr>
          <w:rFonts w:ascii="TT Norms Pro Medium"/>
          <w:b/>
          <w:sz w:val="16"/>
        </w:rPr>
      </w:pPr>
    </w:p>
    <w:p>
      <w:pPr>
        <w:spacing w:line="571" w:lineRule="auto" w:before="0"/>
        <w:ind w:left="670" w:right="1683" w:firstLine="0"/>
        <w:jc w:val="left"/>
        <w:rPr>
          <w:rFonts w:ascii="TT Norms Pro Medium"/>
          <w:b/>
          <w:sz w:val="14"/>
        </w:rPr>
      </w:pPr>
      <w:r>
        <w:rPr>
          <w:rFonts w:ascii="TT Norms Pro Medium"/>
          <w:b/>
          <w:sz w:val="14"/>
        </w:rPr>
        <w:t>Dr Matthew Dodd</w:t>
      </w:r>
      <w:r>
        <w:rPr>
          <w:rFonts w:ascii="TT Norms Pro Medium"/>
          <w:b/>
          <w:spacing w:val="40"/>
          <w:sz w:val="14"/>
        </w:rPr>
        <w:t> </w:t>
      </w:r>
      <w:r>
        <w:rPr>
          <w:rFonts w:ascii="TT Norms Pro Medium"/>
          <w:b/>
          <w:spacing w:val="-2"/>
          <w:sz w:val="14"/>
        </w:rPr>
        <w:t>Dr</w:t>
      </w:r>
      <w:r>
        <w:rPr>
          <w:rFonts w:ascii="TT Norms Pro Medium"/>
          <w:b/>
          <w:spacing w:val="-7"/>
          <w:sz w:val="14"/>
        </w:rPr>
        <w:t> </w:t>
      </w:r>
      <w:r>
        <w:rPr>
          <w:rFonts w:ascii="TT Norms Pro Medium"/>
          <w:b/>
          <w:spacing w:val="-2"/>
          <w:sz w:val="14"/>
        </w:rPr>
        <w:t>Jason</w:t>
      </w:r>
      <w:r>
        <w:rPr>
          <w:rFonts w:ascii="TT Norms Pro Medium"/>
          <w:b/>
          <w:spacing w:val="-6"/>
          <w:sz w:val="14"/>
        </w:rPr>
        <w:t> </w:t>
      </w:r>
      <w:r>
        <w:rPr>
          <w:rFonts w:ascii="TT Norms Pro Medium"/>
          <w:b/>
          <w:spacing w:val="-2"/>
          <w:sz w:val="14"/>
        </w:rPr>
        <w:t>Eshraghian</w:t>
      </w:r>
      <w:r>
        <w:rPr>
          <w:rFonts w:ascii="TT Norms Pro Medium"/>
          <w:b/>
          <w:spacing w:val="40"/>
          <w:sz w:val="14"/>
        </w:rPr>
        <w:t> </w:t>
      </w:r>
      <w:r>
        <w:rPr>
          <w:rFonts w:ascii="TT Norms Pro Medium"/>
          <w:b/>
          <w:sz w:val="14"/>
        </w:rPr>
        <w:t>Dr Mark Wong</w:t>
      </w:r>
    </w:p>
    <w:p>
      <w:pPr>
        <w:spacing w:before="11"/>
        <w:ind w:left="386" w:right="0" w:firstLine="0"/>
        <w:jc w:val="left"/>
        <w:rPr>
          <w:rFonts w:ascii="TT Norms Pro Light"/>
          <w:b w:val="0"/>
          <w:sz w:val="16"/>
        </w:rPr>
      </w:pPr>
      <w:r>
        <w:rPr>
          <w:rFonts w:ascii="TT Norms Pro Light"/>
          <w:b w:val="0"/>
          <w:sz w:val="16"/>
        </w:rPr>
        <w:t>FORREST</w:t>
      </w:r>
      <w:r>
        <w:rPr>
          <w:rFonts w:ascii="TT Norms Pro Light"/>
          <w:b w:val="0"/>
          <w:spacing w:val="6"/>
          <w:sz w:val="16"/>
        </w:rPr>
        <w:t> </w:t>
      </w:r>
      <w:r>
        <w:rPr>
          <w:rFonts w:ascii="TT Norms Pro Light"/>
          <w:b w:val="0"/>
          <w:sz w:val="16"/>
        </w:rPr>
        <w:t>PROSPECT</w:t>
      </w:r>
      <w:r>
        <w:rPr>
          <w:rFonts w:ascii="TT Norms Pro Light"/>
          <w:b w:val="0"/>
          <w:spacing w:val="7"/>
          <w:sz w:val="16"/>
        </w:rPr>
        <w:t> </w:t>
      </w:r>
      <w:r>
        <w:rPr>
          <w:rFonts w:ascii="TT Norms Pro Light"/>
          <w:b w:val="0"/>
          <w:spacing w:val="-2"/>
          <w:sz w:val="16"/>
        </w:rPr>
        <w:t>FELLOWSHIP</w:t>
      </w:r>
    </w:p>
    <w:p>
      <w:pPr>
        <w:pStyle w:val="BodyText"/>
        <w:spacing w:before="15"/>
        <w:rPr>
          <w:b w:val="0"/>
          <w:sz w:val="16"/>
        </w:rPr>
      </w:pPr>
    </w:p>
    <w:p>
      <w:pPr>
        <w:spacing w:before="0"/>
        <w:ind w:left="670" w:right="0" w:firstLine="0"/>
        <w:jc w:val="left"/>
        <w:rPr>
          <w:rFonts w:ascii="TT Norms Pro Medium"/>
          <w:b/>
          <w:sz w:val="14"/>
        </w:rPr>
      </w:pPr>
      <w:r>
        <w:rPr>
          <w:rFonts w:ascii="TT Norms Pro Medium"/>
          <w:b/>
          <w:spacing w:val="-2"/>
          <w:sz w:val="14"/>
        </w:rPr>
        <w:t>Dr</w:t>
      </w:r>
      <w:r>
        <w:rPr>
          <w:rFonts w:ascii="TT Norms Pro Medium"/>
          <w:b/>
          <w:spacing w:val="-6"/>
          <w:sz w:val="14"/>
        </w:rPr>
        <w:t> </w:t>
      </w:r>
      <w:r>
        <w:rPr>
          <w:rFonts w:ascii="TT Norms Pro Medium"/>
          <w:b/>
          <w:spacing w:val="-2"/>
          <w:sz w:val="14"/>
        </w:rPr>
        <w:t>Shannon</w:t>
      </w:r>
      <w:r>
        <w:rPr>
          <w:rFonts w:ascii="TT Norms Pro Medium"/>
          <w:b/>
          <w:spacing w:val="-5"/>
          <w:sz w:val="14"/>
        </w:rPr>
        <w:t> </w:t>
      </w:r>
      <w:r>
        <w:rPr>
          <w:rFonts w:ascii="TT Norms Pro Medium"/>
          <w:b/>
          <w:spacing w:val="-2"/>
          <w:sz w:val="14"/>
        </w:rPr>
        <w:t>Algar</w:t>
      </w:r>
    </w:p>
    <w:p>
      <w:pPr>
        <w:pStyle w:val="BodyText"/>
        <w:spacing w:before="42"/>
        <w:rPr>
          <w:rFonts w:ascii="TT Norms Pro Medium"/>
          <w:b/>
          <w:sz w:val="14"/>
        </w:rPr>
      </w:pPr>
    </w:p>
    <w:p>
      <w:pPr>
        <w:spacing w:line="542" w:lineRule="auto" w:before="1"/>
        <w:ind w:left="670" w:right="1521" w:firstLine="0"/>
        <w:jc w:val="left"/>
        <w:rPr>
          <w:rFonts w:ascii="TT Norms Pro Medium"/>
          <w:b/>
          <w:sz w:val="14"/>
        </w:rPr>
      </w:pPr>
      <w:r>
        <w:rPr>
          <w:rFonts w:ascii="TT Norms Pro Medium"/>
          <w:b/>
          <w:spacing w:val="-4"/>
          <w:sz w:val="14"/>
        </w:rPr>
        <w:t>Dr</w:t>
      </w:r>
      <w:r>
        <w:rPr>
          <w:rFonts w:ascii="TT Norms Pro Medium"/>
          <w:b/>
          <w:spacing w:val="-5"/>
          <w:sz w:val="14"/>
        </w:rPr>
        <w:t> </w:t>
      </w:r>
      <w:r>
        <w:rPr>
          <w:rFonts w:ascii="TT Norms Pro Medium"/>
          <w:b/>
          <w:spacing w:val="-4"/>
          <w:sz w:val="14"/>
        </w:rPr>
        <w:t>Francesco De Toni</w:t>
      </w:r>
      <w:r>
        <w:rPr>
          <w:rFonts w:ascii="TT Norms Pro Medium"/>
          <w:b/>
          <w:spacing w:val="40"/>
          <w:sz w:val="14"/>
        </w:rPr>
        <w:t> </w:t>
      </w:r>
      <w:r>
        <w:rPr>
          <w:rFonts w:ascii="TT Norms Pro Medium"/>
          <w:b/>
          <w:sz w:val="14"/>
        </w:rPr>
        <w:t>Dr Lucy Furfaro</w:t>
      </w:r>
    </w:p>
    <w:p>
      <w:pPr>
        <w:spacing w:line="585" w:lineRule="auto" w:before="29"/>
        <w:ind w:left="670" w:right="1679" w:firstLine="0"/>
        <w:jc w:val="left"/>
        <w:rPr>
          <w:rFonts w:ascii="TT Norms Pro Medium"/>
          <w:b/>
          <w:sz w:val="14"/>
        </w:rPr>
      </w:pPr>
      <w:r>
        <w:rPr>
          <w:rFonts w:ascii="TT Norms Pro Medium"/>
          <w:b/>
          <w:spacing w:val="-2"/>
          <w:sz w:val="14"/>
        </w:rPr>
        <w:t>Dr</w:t>
      </w:r>
      <w:r>
        <w:rPr>
          <w:rFonts w:ascii="TT Norms Pro Medium"/>
          <w:b/>
          <w:spacing w:val="-7"/>
          <w:sz w:val="14"/>
        </w:rPr>
        <w:t> </w:t>
      </w:r>
      <w:r>
        <w:rPr>
          <w:rFonts w:ascii="TT Norms Pro Medium"/>
          <w:b/>
          <w:spacing w:val="-2"/>
          <w:sz w:val="14"/>
        </w:rPr>
        <w:t>Samuel</w:t>
      </w:r>
      <w:r>
        <w:rPr>
          <w:rFonts w:ascii="TT Norms Pro Medium"/>
          <w:b/>
          <w:spacing w:val="-6"/>
          <w:sz w:val="14"/>
        </w:rPr>
        <w:t> </w:t>
      </w:r>
      <w:r>
        <w:rPr>
          <w:rFonts w:ascii="TT Norms Pro Medium"/>
          <w:b/>
          <w:spacing w:val="-2"/>
          <w:sz w:val="14"/>
        </w:rPr>
        <w:t>Lymberry</w:t>
      </w:r>
      <w:r>
        <w:rPr>
          <w:rFonts w:ascii="TT Norms Pro Medium"/>
          <w:b/>
          <w:spacing w:val="40"/>
          <w:sz w:val="14"/>
        </w:rPr>
        <w:t> </w:t>
      </w:r>
      <w:r>
        <w:rPr>
          <w:rFonts w:ascii="TT Norms Pro Medium"/>
          <w:b/>
          <w:sz w:val="14"/>
        </w:rPr>
        <w:t>Dr Ben McAllister</w:t>
      </w:r>
      <w:r>
        <w:rPr>
          <w:rFonts w:ascii="TT Norms Pro Medium"/>
          <w:b/>
          <w:spacing w:val="40"/>
          <w:sz w:val="14"/>
        </w:rPr>
        <w:t> </w:t>
      </w:r>
      <w:r>
        <w:rPr>
          <w:rFonts w:ascii="TT Norms Pro Medium"/>
          <w:b/>
          <w:sz w:val="14"/>
        </w:rPr>
        <w:t>Dr Andrea Rassell</w:t>
      </w:r>
      <w:r>
        <w:rPr>
          <w:rFonts w:ascii="TT Norms Pro Medium"/>
          <w:b/>
          <w:spacing w:val="40"/>
          <w:sz w:val="14"/>
        </w:rPr>
        <w:t> </w:t>
      </w:r>
      <w:r>
        <w:rPr>
          <w:rFonts w:ascii="TT Norms Pro Medium"/>
          <w:b/>
          <w:sz w:val="14"/>
        </w:rPr>
        <w:t>Dr</w:t>
      </w:r>
      <w:r>
        <w:rPr>
          <w:rFonts w:ascii="TT Norms Pro Medium"/>
          <w:b/>
          <w:spacing w:val="-1"/>
          <w:sz w:val="14"/>
        </w:rPr>
        <w:t> </w:t>
      </w:r>
      <w:r>
        <w:rPr>
          <w:rFonts w:ascii="TT Norms Pro Medium"/>
          <w:b/>
          <w:sz w:val="14"/>
        </w:rPr>
        <w:t>Arman</w:t>
      </w:r>
      <w:r>
        <w:rPr>
          <w:rFonts w:ascii="TT Norms Pro Medium"/>
          <w:b/>
          <w:spacing w:val="-1"/>
          <w:sz w:val="14"/>
        </w:rPr>
        <w:t> </w:t>
      </w:r>
      <w:r>
        <w:rPr>
          <w:rFonts w:ascii="TT Norms Pro Medium"/>
          <w:b/>
          <w:sz w:val="14"/>
        </w:rPr>
        <w:t>Siahvashi</w:t>
      </w:r>
      <w:r>
        <w:rPr>
          <w:rFonts w:ascii="TT Norms Pro Medium"/>
          <w:b/>
          <w:spacing w:val="40"/>
          <w:sz w:val="14"/>
        </w:rPr>
        <w:t> </w:t>
      </w:r>
      <w:r>
        <w:rPr>
          <w:rFonts w:ascii="TT Norms Pro Medium"/>
          <w:b/>
          <w:spacing w:val="-2"/>
          <w:sz w:val="14"/>
        </w:rPr>
        <w:t>Dr</w:t>
      </w:r>
      <w:r>
        <w:rPr>
          <w:rFonts w:ascii="TT Norms Pro Medium"/>
          <w:b/>
          <w:spacing w:val="-7"/>
          <w:sz w:val="14"/>
        </w:rPr>
        <w:t> </w:t>
      </w:r>
      <w:r>
        <w:rPr>
          <w:rFonts w:ascii="TT Norms Pro Medium"/>
          <w:b/>
          <w:spacing w:val="-2"/>
          <w:sz w:val="14"/>
        </w:rPr>
        <w:t>Catriona</w:t>
      </w:r>
      <w:r>
        <w:rPr>
          <w:rFonts w:ascii="TT Norms Pro Medium"/>
          <w:b/>
          <w:spacing w:val="-6"/>
          <w:sz w:val="14"/>
        </w:rPr>
        <w:t> </w:t>
      </w:r>
      <w:r>
        <w:rPr>
          <w:rFonts w:ascii="TT Norms Pro Medium"/>
          <w:b/>
          <w:spacing w:val="-2"/>
          <w:sz w:val="14"/>
        </w:rPr>
        <w:t>Stevens</w:t>
      </w:r>
      <w:r>
        <w:rPr>
          <w:rFonts w:ascii="TT Norms Pro Medium"/>
          <w:b/>
          <w:spacing w:val="40"/>
          <w:sz w:val="14"/>
        </w:rPr>
        <w:t> </w:t>
      </w:r>
      <w:r>
        <w:rPr>
          <w:rFonts w:ascii="TT Norms Pro Medium"/>
          <w:b/>
          <w:spacing w:val="-2"/>
          <w:sz w:val="14"/>
        </w:rPr>
        <w:t>Dr</w:t>
      </w:r>
      <w:r>
        <w:rPr>
          <w:rFonts w:ascii="TT Norms Pro Medium"/>
          <w:b/>
          <w:spacing w:val="-7"/>
          <w:sz w:val="14"/>
        </w:rPr>
        <w:t> </w:t>
      </w:r>
      <w:r>
        <w:rPr>
          <w:rFonts w:ascii="TT Norms Pro Medium"/>
          <w:b/>
          <w:spacing w:val="-2"/>
          <w:sz w:val="14"/>
        </w:rPr>
        <w:t>Samantha</w:t>
      </w:r>
      <w:r>
        <w:rPr>
          <w:rFonts w:ascii="TT Norms Pro Medium"/>
          <w:b/>
          <w:spacing w:val="-6"/>
          <w:sz w:val="14"/>
        </w:rPr>
        <w:t> </w:t>
      </w:r>
      <w:r>
        <w:rPr>
          <w:rFonts w:ascii="TT Norms Pro Medium"/>
          <w:b/>
          <w:spacing w:val="-2"/>
          <w:sz w:val="14"/>
        </w:rPr>
        <w:t>Winter</w:t>
      </w:r>
      <w:r>
        <w:rPr>
          <w:rFonts w:ascii="TT Norms Pro Medium"/>
          <w:b/>
          <w:spacing w:val="40"/>
          <w:sz w:val="14"/>
        </w:rPr>
        <w:t> </w:t>
      </w:r>
      <w:r>
        <w:rPr>
          <w:rFonts w:ascii="TT Norms Pro Medium"/>
          <w:b/>
          <w:sz w:val="14"/>
        </w:rPr>
        <w:t>Dr Rachael Zemek</w:t>
      </w:r>
    </w:p>
    <w:p>
      <w:pPr>
        <w:spacing w:after="0" w:line="585" w:lineRule="auto"/>
        <w:jc w:val="left"/>
        <w:rPr>
          <w:rFonts w:ascii="TT Norms Pro Medium"/>
          <w:sz w:val="14"/>
        </w:rPr>
        <w:sectPr>
          <w:type w:val="continuous"/>
          <w:pgSz w:w="11910" w:h="16840"/>
          <w:pgMar w:header="468" w:footer="0" w:top="980" w:bottom="280" w:left="0" w:right="780"/>
          <w:cols w:num="3" w:equalWidth="0">
            <w:col w:w="4009" w:space="40"/>
            <w:col w:w="3349" w:space="39"/>
            <w:col w:w="3693"/>
          </w:cols>
        </w:sectPr>
      </w:pPr>
    </w:p>
    <w:p>
      <w:pPr>
        <w:pStyle w:val="BodyText"/>
        <w:rPr>
          <w:rFonts w:ascii="TT Norms Pro Medium"/>
          <w:b/>
          <w:sz w:val="20"/>
        </w:rPr>
      </w:pPr>
    </w:p>
    <w:p>
      <w:pPr>
        <w:pStyle w:val="BodyText"/>
        <w:rPr>
          <w:rFonts w:ascii="TT Norms Pro Medium"/>
          <w:b/>
          <w:sz w:val="20"/>
        </w:rPr>
      </w:pPr>
    </w:p>
    <w:p>
      <w:pPr>
        <w:pStyle w:val="BodyText"/>
        <w:rPr>
          <w:rFonts w:ascii="TT Norms Pro Medium"/>
          <w:b/>
          <w:sz w:val="20"/>
        </w:rPr>
      </w:pPr>
    </w:p>
    <w:p>
      <w:pPr>
        <w:pStyle w:val="BodyText"/>
        <w:rPr>
          <w:rFonts w:ascii="TT Norms Pro Medium"/>
          <w:b/>
          <w:sz w:val="20"/>
        </w:rPr>
      </w:pPr>
    </w:p>
    <w:p>
      <w:pPr>
        <w:pStyle w:val="BodyText"/>
        <w:rPr>
          <w:rFonts w:ascii="TT Norms Pro Medium"/>
          <w:b/>
          <w:sz w:val="20"/>
        </w:rPr>
      </w:pPr>
    </w:p>
    <w:p>
      <w:pPr>
        <w:pStyle w:val="BodyText"/>
        <w:rPr>
          <w:rFonts w:ascii="TT Norms Pro Medium"/>
          <w:b/>
          <w:sz w:val="20"/>
        </w:rPr>
      </w:pPr>
    </w:p>
    <w:p>
      <w:pPr>
        <w:pStyle w:val="BodyText"/>
        <w:rPr>
          <w:rFonts w:ascii="TT Norms Pro Medium"/>
          <w:b/>
          <w:sz w:val="20"/>
        </w:rPr>
      </w:pPr>
    </w:p>
    <w:p>
      <w:pPr>
        <w:pStyle w:val="BodyText"/>
        <w:spacing w:before="207"/>
        <w:rPr>
          <w:rFonts w:ascii="TT Norms Pro Medium"/>
          <w:b/>
          <w:sz w:val="20"/>
        </w:rPr>
      </w:pPr>
    </w:p>
    <w:p>
      <w:pPr>
        <w:spacing w:after="0"/>
        <w:rPr>
          <w:rFonts w:ascii="TT Norms Pro Medium"/>
          <w:sz w:val="20"/>
        </w:rPr>
        <w:sectPr>
          <w:pgSz w:w="11910" w:h="16840"/>
          <w:pgMar w:header="468" w:footer="0" w:top="720" w:bottom="280" w:left="0" w:right="780"/>
        </w:sectPr>
      </w:pPr>
    </w:p>
    <w:p>
      <w:pPr>
        <w:pStyle w:val="Heading9"/>
        <w:spacing w:line="261" w:lineRule="auto" w:before="128"/>
        <w:ind w:left="1133" w:right="98"/>
      </w:pPr>
      <w:r>
        <w:rPr/>
        <mc:AlternateContent>
          <mc:Choice Requires="wps">
            <w:drawing>
              <wp:anchor distT="0" distB="0" distL="0" distR="0" allowOverlap="1" layoutInCell="1" locked="0" behindDoc="0" simplePos="0" relativeHeight="15811584">
                <wp:simplePos x="0" y="0"/>
                <wp:positionH relativeFrom="page">
                  <wp:posOffset>7111289</wp:posOffset>
                </wp:positionH>
                <wp:positionV relativeFrom="page">
                  <wp:posOffset>8136825</wp:posOffset>
                </wp:positionV>
                <wp:extent cx="177800" cy="1848485"/>
                <wp:effectExtent l="0" t="0" r="0" b="0"/>
                <wp:wrapNone/>
                <wp:docPr id="370" name="Textbox 370"/>
                <wp:cNvGraphicFramePr>
                  <a:graphicFrameLocks/>
                </wp:cNvGraphicFramePr>
                <a:graphic>
                  <a:graphicData uri="http://schemas.microsoft.com/office/word/2010/wordprocessingShape">
                    <wps:wsp>
                      <wps:cNvPr id="370" name="Textbox 370"/>
                      <wps:cNvSpPr txBox="1"/>
                      <wps:spPr>
                        <a:xfrm>
                          <a:off x="0" y="0"/>
                          <a:ext cx="177800" cy="184848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640.694885pt;width:14pt;height:145.550pt;mso-position-horizontal-relative:page;mso-position-vertical-relative:page;z-index:15811584" type="#_x0000_t202" id="docshape227"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v:textbox>
                <w10:wrap type="none"/>
              </v:shape>
            </w:pict>
          </mc:Fallback>
        </mc:AlternateContent>
      </w:r>
      <w:r>
        <w:rPr/>
        <w:t>STATE</w:t>
      </w:r>
      <w:r>
        <w:rPr>
          <w:spacing w:val="-7"/>
        </w:rPr>
        <w:t> </w:t>
      </w:r>
      <w:r>
        <w:rPr/>
        <w:t>AND</w:t>
      </w:r>
      <w:r>
        <w:rPr>
          <w:spacing w:val="-7"/>
        </w:rPr>
        <w:t> </w:t>
      </w:r>
      <w:r>
        <w:rPr/>
        <w:t>NATIONAL AWARDS AND PRIZES</w:t>
      </w:r>
    </w:p>
    <w:p>
      <w:pPr>
        <w:pStyle w:val="BodyText"/>
        <w:spacing w:before="19"/>
        <w:rPr>
          <w:rFonts w:ascii="TT Norms Pro Medium"/>
          <w:b/>
          <w:sz w:val="22"/>
        </w:rPr>
      </w:pPr>
    </w:p>
    <w:p>
      <w:pPr>
        <w:spacing w:line="307" w:lineRule="auto" w:before="0"/>
        <w:ind w:left="1133" w:right="811" w:firstLine="0"/>
        <w:jc w:val="left"/>
        <w:rPr>
          <w:rFonts w:ascii="TT Norms Pro Medium" w:hAnsi="TT Norms Pro Medium"/>
          <w:b/>
          <w:sz w:val="16"/>
        </w:rPr>
      </w:pPr>
      <w:r>
        <w:rPr>
          <w:rFonts w:ascii="TT Norms Pro Medium" w:hAnsi="TT Norms Pro Medium"/>
          <w:b/>
          <w:spacing w:val="-2"/>
          <w:sz w:val="16"/>
        </w:rPr>
        <w:t>PRIME</w:t>
      </w:r>
      <w:r>
        <w:rPr>
          <w:rFonts w:ascii="TT Norms Pro Medium" w:hAnsi="TT Norms Pro Medium"/>
          <w:b/>
          <w:spacing w:val="-8"/>
          <w:sz w:val="16"/>
        </w:rPr>
        <w:t> </w:t>
      </w:r>
      <w:r>
        <w:rPr>
          <w:rFonts w:ascii="TT Norms Pro Medium" w:hAnsi="TT Norms Pro Medium"/>
          <w:b/>
          <w:spacing w:val="-2"/>
          <w:sz w:val="16"/>
        </w:rPr>
        <w:t>MINISTER’S</w:t>
      </w:r>
      <w:r>
        <w:rPr>
          <w:rFonts w:ascii="TT Norms Pro Medium" w:hAnsi="TT Norms Pro Medium"/>
          <w:b/>
          <w:spacing w:val="-7"/>
          <w:sz w:val="16"/>
        </w:rPr>
        <w:t> </w:t>
      </w:r>
      <w:r>
        <w:rPr>
          <w:rFonts w:ascii="TT Norms Pro Medium" w:hAnsi="TT Norms Pro Medium"/>
          <w:b/>
          <w:spacing w:val="-2"/>
          <w:sz w:val="16"/>
        </w:rPr>
        <w:t>PRIZE</w:t>
      </w:r>
      <w:r>
        <w:rPr>
          <w:rFonts w:ascii="TT Norms Pro Medium" w:hAnsi="TT Norms Pro Medium"/>
          <w:b/>
          <w:spacing w:val="40"/>
          <w:sz w:val="16"/>
        </w:rPr>
        <w:t> </w:t>
      </w:r>
      <w:r>
        <w:rPr>
          <w:rFonts w:ascii="TT Norms Pro Medium" w:hAnsi="TT Norms Pro Medium"/>
          <w:b/>
          <w:sz w:val="16"/>
        </w:rPr>
        <w:t>FOR</w:t>
      </w:r>
      <w:r>
        <w:rPr>
          <w:rFonts w:ascii="TT Norms Pro Medium" w:hAnsi="TT Norms Pro Medium"/>
          <w:b/>
          <w:spacing w:val="-10"/>
          <w:sz w:val="16"/>
        </w:rPr>
        <w:t> </w:t>
      </w:r>
      <w:r>
        <w:rPr>
          <w:rFonts w:ascii="TT Norms Pro Medium" w:hAnsi="TT Norms Pro Medium"/>
          <w:b/>
          <w:sz w:val="16"/>
        </w:rPr>
        <w:t>SCIENCE</w:t>
      </w:r>
    </w:p>
    <w:p>
      <w:pPr>
        <w:pStyle w:val="BodyText"/>
        <w:spacing w:before="32"/>
        <w:rPr>
          <w:rFonts w:ascii="TT Norms Pro Medium"/>
          <w:b/>
          <w:sz w:val="16"/>
        </w:rPr>
      </w:pPr>
    </w:p>
    <w:p>
      <w:pPr>
        <w:spacing w:line="292" w:lineRule="auto" w:before="0"/>
        <w:ind w:left="1417" w:right="98" w:firstLine="0"/>
        <w:jc w:val="left"/>
        <w:rPr>
          <w:rFonts w:ascii="TT Norms Pro Light"/>
          <w:b w:val="0"/>
          <w:i/>
          <w:sz w:val="14"/>
        </w:rPr>
      </w:pPr>
      <w:r>
        <w:rPr>
          <w:rFonts w:ascii="TT Norms Pro Medium"/>
          <w:b/>
          <w:sz w:val="14"/>
        </w:rPr>
        <w:t>Emeritus Professor David Blair</w:t>
      </w:r>
      <w:r>
        <w:rPr>
          <w:rFonts w:ascii="TT Norms Pro Medium"/>
          <w:b/>
          <w:spacing w:val="40"/>
          <w:sz w:val="14"/>
        </w:rPr>
        <w:t> </w:t>
      </w:r>
      <w:r>
        <w:rPr>
          <w:rFonts w:ascii="TT Norms Pro Light"/>
          <w:b w:val="0"/>
          <w:sz w:val="14"/>
        </w:rPr>
        <w:t>School of Physics, Mathematics and</w:t>
      </w:r>
      <w:r>
        <w:rPr>
          <w:rFonts w:ascii="TT Norms Pro Light"/>
          <w:b w:val="0"/>
          <w:spacing w:val="40"/>
          <w:sz w:val="14"/>
        </w:rPr>
        <w:t> </w:t>
      </w:r>
      <w:r>
        <w:rPr>
          <w:rFonts w:ascii="TT Norms Pro Light"/>
          <w:b w:val="0"/>
          <w:sz w:val="14"/>
        </w:rPr>
        <w:t>Computing, </w:t>
      </w:r>
      <w:r>
        <w:rPr>
          <w:rFonts w:ascii="TT Norms Pro Light"/>
          <w:b w:val="0"/>
          <w:i/>
          <w:sz w:val="14"/>
        </w:rPr>
        <w:t>Joint Winner</w:t>
      </w:r>
    </w:p>
    <w:p>
      <w:pPr>
        <w:pStyle w:val="BodyText"/>
        <w:spacing w:before="38"/>
        <w:rPr>
          <w:b w:val="0"/>
          <w:i/>
          <w:sz w:val="14"/>
        </w:rPr>
      </w:pPr>
    </w:p>
    <w:p>
      <w:pPr>
        <w:spacing w:before="0"/>
        <w:ind w:left="1133" w:right="0" w:firstLine="0"/>
        <w:jc w:val="left"/>
        <w:rPr>
          <w:rFonts w:ascii="TT Norms Pro Medium"/>
          <w:b/>
          <w:sz w:val="16"/>
        </w:rPr>
      </w:pPr>
      <w:r>
        <w:rPr>
          <w:rFonts w:ascii="TT Norms Pro Medium"/>
          <w:b/>
          <w:spacing w:val="-4"/>
          <w:sz w:val="16"/>
        </w:rPr>
        <w:t>SENIOR</w:t>
      </w:r>
      <w:r>
        <w:rPr>
          <w:rFonts w:ascii="TT Norms Pro Medium"/>
          <w:b/>
          <w:spacing w:val="1"/>
          <w:sz w:val="16"/>
        </w:rPr>
        <w:t> </w:t>
      </w:r>
      <w:r>
        <w:rPr>
          <w:rFonts w:ascii="TT Norms Pro Medium"/>
          <w:b/>
          <w:spacing w:val="-4"/>
          <w:sz w:val="16"/>
        </w:rPr>
        <w:t>AUSTRALIAN</w:t>
      </w:r>
      <w:r>
        <w:rPr>
          <w:rFonts w:ascii="TT Norms Pro Medium"/>
          <w:b/>
          <w:spacing w:val="2"/>
          <w:sz w:val="16"/>
        </w:rPr>
        <w:t> </w:t>
      </w:r>
      <w:r>
        <w:rPr>
          <w:rFonts w:ascii="TT Norms Pro Medium"/>
          <w:b/>
          <w:spacing w:val="-4"/>
          <w:sz w:val="16"/>
        </w:rPr>
        <w:t>OF</w:t>
      </w:r>
      <w:r>
        <w:rPr>
          <w:rFonts w:ascii="TT Norms Pro Medium"/>
          <w:b/>
          <w:spacing w:val="1"/>
          <w:sz w:val="16"/>
        </w:rPr>
        <w:t> </w:t>
      </w:r>
      <w:r>
        <w:rPr>
          <w:rFonts w:ascii="TT Norms Pro Medium"/>
          <w:b/>
          <w:spacing w:val="-4"/>
          <w:sz w:val="16"/>
        </w:rPr>
        <w:t>THE</w:t>
      </w:r>
      <w:r>
        <w:rPr>
          <w:rFonts w:ascii="TT Norms Pro Medium"/>
          <w:b/>
          <w:spacing w:val="2"/>
          <w:sz w:val="16"/>
        </w:rPr>
        <w:t> </w:t>
      </w:r>
      <w:r>
        <w:rPr>
          <w:rFonts w:ascii="TT Norms Pro Medium"/>
          <w:b/>
          <w:spacing w:val="-4"/>
          <w:sz w:val="16"/>
        </w:rPr>
        <w:t>YEAR</w:t>
      </w:r>
    </w:p>
    <w:p>
      <w:pPr>
        <w:pStyle w:val="BodyText"/>
        <w:spacing w:before="71"/>
        <w:rPr>
          <w:rFonts w:ascii="TT Norms Pro Medium"/>
          <w:b/>
          <w:sz w:val="16"/>
        </w:rPr>
      </w:pPr>
    </w:p>
    <w:p>
      <w:pPr>
        <w:spacing w:before="0"/>
        <w:ind w:left="1417" w:right="0" w:firstLine="0"/>
        <w:jc w:val="left"/>
        <w:rPr>
          <w:rFonts w:ascii="TT Norms Pro Medium"/>
          <w:b/>
          <w:sz w:val="14"/>
        </w:rPr>
      </w:pPr>
      <w:r>
        <w:rPr>
          <w:rFonts w:ascii="TT Norms Pro Medium"/>
          <w:b/>
          <w:spacing w:val="-4"/>
          <w:sz w:val="14"/>
        </w:rPr>
        <w:t>Professor</w:t>
      </w:r>
      <w:r>
        <w:rPr>
          <w:rFonts w:ascii="TT Norms Pro Medium"/>
          <w:b/>
          <w:spacing w:val="6"/>
          <w:sz w:val="14"/>
        </w:rPr>
        <w:t> </w:t>
      </w:r>
      <w:r>
        <w:rPr>
          <w:rFonts w:ascii="TT Norms Pro Medium"/>
          <w:b/>
          <w:spacing w:val="-4"/>
          <w:sz w:val="14"/>
        </w:rPr>
        <w:t>John</w:t>
      </w:r>
      <w:r>
        <w:rPr>
          <w:rFonts w:ascii="TT Norms Pro Medium"/>
          <w:b/>
          <w:spacing w:val="6"/>
          <w:sz w:val="14"/>
        </w:rPr>
        <w:t> </w:t>
      </w:r>
      <w:r>
        <w:rPr>
          <w:rFonts w:ascii="TT Norms Pro Medium"/>
          <w:b/>
          <w:spacing w:val="-4"/>
          <w:sz w:val="14"/>
        </w:rPr>
        <w:t>Newnham</w:t>
      </w:r>
      <w:r>
        <w:rPr>
          <w:rFonts w:ascii="TT Norms Pro Medium"/>
          <w:b/>
          <w:spacing w:val="6"/>
          <w:sz w:val="14"/>
        </w:rPr>
        <w:t> </w:t>
      </w:r>
      <w:r>
        <w:rPr>
          <w:rFonts w:ascii="TT Norms Pro Medium"/>
          <w:b/>
          <w:spacing w:val="-5"/>
          <w:sz w:val="14"/>
        </w:rPr>
        <w:t>AM</w:t>
      </w:r>
    </w:p>
    <w:p>
      <w:pPr>
        <w:spacing w:before="37"/>
        <w:ind w:left="1417" w:right="0" w:firstLine="0"/>
        <w:jc w:val="left"/>
        <w:rPr>
          <w:rFonts w:ascii="TT Norms Pro Light"/>
          <w:b w:val="0"/>
          <w:sz w:val="14"/>
        </w:rPr>
      </w:pPr>
      <w:r>
        <w:rPr>
          <w:rFonts w:ascii="TT Norms Pro Light"/>
          <w:b w:val="0"/>
          <w:sz w:val="14"/>
        </w:rPr>
        <w:t>Medical</w:t>
      </w:r>
      <w:r>
        <w:rPr>
          <w:rFonts w:ascii="TT Norms Pro Light"/>
          <w:b w:val="0"/>
          <w:spacing w:val="15"/>
          <w:sz w:val="14"/>
        </w:rPr>
        <w:t> </w:t>
      </w:r>
      <w:r>
        <w:rPr>
          <w:rFonts w:ascii="TT Norms Pro Light"/>
          <w:b w:val="0"/>
          <w:spacing w:val="-2"/>
          <w:sz w:val="14"/>
        </w:rPr>
        <w:t>School</w:t>
      </w:r>
    </w:p>
    <w:p>
      <w:pPr>
        <w:pStyle w:val="BodyText"/>
        <w:spacing w:before="73"/>
        <w:rPr>
          <w:b w:val="0"/>
          <w:sz w:val="14"/>
        </w:rPr>
      </w:pPr>
    </w:p>
    <w:p>
      <w:pPr>
        <w:spacing w:before="0"/>
        <w:ind w:left="1133" w:right="0" w:firstLine="0"/>
        <w:jc w:val="left"/>
        <w:rPr>
          <w:rFonts w:ascii="TT Norms Pro Medium" w:hAnsi="TT Norms Pro Medium"/>
          <w:b/>
          <w:sz w:val="16"/>
        </w:rPr>
      </w:pPr>
      <w:r>
        <w:rPr>
          <w:rFonts w:ascii="TT Norms Pro Medium" w:hAnsi="TT Norms Pro Medium"/>
          <w:b/>
          <w:spacing w:val="-4"/>
          <w:sz w:val="16"/>
        </w:rPr>
        <w:t>PREMIER’S</w:t>
      </w:r>
      <w:r>
        <w:rPr>
          <w:rFonts w:ascii="TT Norms Pro Medium" w:hAnsi="TT Norms Pro Medium"/>
          <w:b/>
          <w:spacing w:val="7"/>
          <w:sz w:val="16"/>
        </w:rPr>
        <w:t> </w:t>
      </w:r>
      <w:r>
        <w:rPr>
          <w:rFonts w:ascii="TT Norms Pro Medium" w:hAnsi="TT Norms Pro Medium"/>
          <w:b/>
          <w:spacing w:val="-4"/>
          <w:sz w:val="16"/>
        </w:rPr>
        <w:t>SCIENCE</w:t>
      </w:r>
      <w:r>
        <w:rPr>
          <w:rFonts w:ascii="TT Norms Pro Medium" w:hAnsi="TT Norms Pro Medium"/>
          <w:b/>
          <w:spacing w:val="8"/>
          <w:sz w:val="16"/>
        </w:rPr>
        <w:t> </w:t>
      </w:r>
      <w:r>
        <w:rPr>
          <w:rFonts w:ascii="TT Norms Pro Medium" w:hAnsi="TT Norms Pro Medium"/>
          <w:b/>
          <w:spacing w:val="-4"/>
          <w:sz w:val="16"/>
        </w:rPr>
        <w:t>AWARDS</w:t>
      </w:r>
    </w:p>
    <w:p>
      <w:pPr>
        <w:pStyle w:val="BodyText"/>
        <w:spacing w:before="71"/>
        <w:rPr>
          <w:rFonts w:ascii="TT Norms Pro Medium"/>
          <w:b/>
          <w:sz w:val="16"/>
        </w:rPr>
      </w:pPr>
    </w:p>
    <w:p>
      <w:pPr>
        <w:spacing w:line="292" w:lineRule="auto" w:before="0"/>
        <w:ind w:left="1417" w:right="0" w:firstLine="0"/>
        <w:jc w:val="left"/>
        <w:rPr>
          <w:rFonts w:ascii="TT Norms Pro Light"/>
          <w:b w:val="0"/>
          <w:i/>
          <w:sz w:val="14"/>
        </w:rPr>
      </w:pPr>
      <w:r>
        <w:rPr>
          <w:rFonts w:ascii="TT Norms Pro Medium"/>
          <w:b/>
          <w:sz w:val="14"/>
        </w:rPr>
        <w:t>Emeritus Professor Mark Randolph</w:t>
      </w:r>
      <w:r>
        <w:rPr>
          <w:rFonts w:ascii="TT Norms Pro Medium"/>
          <w:b/>
          <w:spacing w:val="40"/>
          <w:sz w:val="14"/>
        </w:rPr>
        <w:t> </w:t>
      </w:r>
      <w:r>
        <w:rPr>
          <w:rFonts w:ascii="TT Norms Pro Light"/>
          <w:b w:val="0"/>
          <w:sz w:val="14"/>
        </w:rPr>
        <w:t>Oceans Graduate School, </w:t>
      </w:r>
      <w:r>
        <w:rPr>
          <w:rFonts w:ascii="TT Norms Pro Light"/>
          <w:b w:val="0"/>
          <w:i/>
          <w:sz w:val="14"/>
        </w:rPr>
        <w:t>inducted into</w:t>
      </w:r>
      <w:r>
        <w:rPr>
          <w:rFonts w:ascii="TT Norms Pro Light"/>
          <w:b w:val="0"/>
          <w:i/>
          <w:spacing w:val="40"/>
          <w:sz w:val="14"/>
        </w:rPr>
        <w:t> </w:t>
      </w:r>
      <w:r>
        <w:rPr>
          <w:rFonts w:ascii="TT Norms Pro Light"/>
          <w:b w:val="0"/>
          <w:i/>
          <w:sz w:val="14"/>
        </w:rPr>
        <w:t>WA Science Hall of Fame</w:t>
      </w:r>
    </w:p>
    <w:p>
      <w:pPr>
        <w:pStyle w:val="BodyText"/>
        <w:spacing w:before="38"/>
        <w:rPr>
          <w:b w:val="0"/>
          <w:i/>
          <w:sz w:val="14"/>
        </w:rPr>
      </w:pPr>
    </w:p>
    <w:p>
      <w:pPr>
        <w:spacing w:before="0"/>
        <w:ind w:left="1133" w:right="0" w:firstLine="0"/>
        <w:jc w:val="left"/>
        <w:rPr>
          <w:rFonts w:ascii="TT Norms Pro Light"/>
          <w:b w:val="0"/>
          <w:sz w:val="16"/>
        </w:rPr>
      </w:pPr>
      <w:r>
        <w:rPr>
          <w:rFonts w:ascii="TT Norms Pro Light"/>
          <w:b w:val="0"/>
          <w:sz w:val="16"/>
        </w:rPr>
        <w:t>SCIENTIST</w:t>
      </w:r>
      <w:r>
        <w:rPr>
          <w:rFonts w:ascii="TT Norms Pro Light"/>
          <w:b w:val="0"/>
          <w:spacing w:val="4"/>
          <w:sz w:val="16"/>
        </w:rPr>
        <w:t> </w:t>
      </w:r>
      <w:r>
        <w:rPr>
          <w:rFonts w:ascii="TT Norms Pro Light"/>
          <w:b w:val="0"/>
          <w:sz w:val="16"/>
        </w:rPr>
        <w:t>OF</w:t>
      </w:r>
      <w:r>
        <w:rPr>
          <w:rFonts w:ascii="TT Norms Pro Light"/>
          <w:b w:val="0"/>
          <w:spacing w:val="6"/>
          <w:sz w:val="16"/>
        </w:rPr>
        <w:t> </w:t>
      </w:r>
      <w:r>
        <w:rPr>
          <w:rFonts w:ascii="TT Norms Pro Light"/>
          <w:b w:val="0"/>
          <w:sz w:val="16"/>
        </w:rPr>
        <w:t>THE</w:t>
      </w:r>
      <w:r>
        <w:rPr>
          <w:rFonts w:ascii="TT Norms Pro Light"/>
          <w:b w:val="0"/>
          <w:spacing w:val="6"/>
          <w:sz w:val="16"/>
        </w:rPr>
        <w:t> </w:t>
      </w:r>
      <w:r>
        <w:rPr>
          <w:rFonts w:ascii="TT Norms Pro Light"/>
          <w:b w:val="0"/>
          <w:spacing w:val="-4"/>
          <w:sz w:val="16"/>
        </w:rPr>
        <w:t>YEAR</w:t>
      </w:r>
    </w:p>
    <w:p>
      <w:pPr>
        <w:pStyle w:val="BodyText"/>
        <w:spacing w:before="15"/>
        <w:rPr>
          <w:b w:val="0"/>
          <w:sz w:val="16"/>
        </w:rPr>
      </w:pPr>
    </w:p>
    <w:p>
      <w:pPr>
        <w:spacing w:before="0"/>
        <w:ind w:left="1417" w:right="0" w:firstLine="0"/>
        <w:jc w:val="left"/>
        <w:rPr>
          <w:rFonts w:ascii="TT Norms Pro Medium"/>
          <w:b/>
          <w:sz w:val="14"/>
        </w:rPr>
      </w:pPr>
      <w:r>
        <w:rPr>
          <w:rFonts w:ascii="TT Norms Pro Medium"/>
          <w:b/>
          <w:spacing w:val="-4"/>
          <w:sz w:val="14"/>
        </w:rPr>
        <w:t>Professor</w:t>
      </w:r>
      <w:r>
        <w:rPr>
          <w:rFonts w:ascii="TT Norms Pro Medium"/>
          <w:b/>
          <w:spacing w:val="6"/>
          <w:sz w:val="14"/>
        </w:rPr>
        <w:t> </w:t>
      </w:r>
      <w:r>
        <w:rPr>
          <w:rFonts w:ascii="TT Norms Pro Medium"/>
          <w:b/>
          <w:spacing w:val="-4"/>
          <w:sz w:val="14"/>
        </w:rPr>
        <w:t>Ryan</w:t>
      </w:r>
      <w:r>
        <w:rPr>
          <w:rFonts w:ascii="TT Norms Pro Medium"/>
          <w:b/>
          <w:spacing w:val="7"/>
          <w:sz w:val="14"/>
        </w:rPr>
        <w:t> </w:t>
      </w:r>
      <w:r>
        <w:rPr>
          <w:rFonts w:ascii="TT Norms Pro Medium"/>
          <w:b/>
          <w:spacing w:val="-4"/>
          <w:sz w:val="14"/>
        </w:rPr>
        <w:t>Lister</w:t>
      </w:r>
    </w:p>
    <w:p>
      <w:pPr>
        <w:spacing w:before="36"/>
        <w:ind w:left="1417" w:right="0" w:firstLine="0"/>
        <w:jc w:val="left"/>
        <w:rPr>
          <w:rFonts w:ascii="TT Norms Pro Light"/>
          <w:b w:val="0"/>
          <w:sz w:val="14"/>
        </w:rPr>
      </w:pPr>
      <w:r>
        <w:rPr>
          <w:rFonts w:ascii="TT Norms Pro Light"/>
          <w:b w:val="0"/>
          <w:sz w:val="14"/>
        </w:rPr>
        <w:t>School</w:t>
      </w:r>
      <w:r>
        <w:rPr>
          <w:rFonts w:ascii="TT Norms Pro Light"/>
          <w:b w:val="0"/>
          <w:spacing w:val="7"/>
          <w:sz w:val="14"/>
        </w:rPr>
        <w:t> </w:t>
      </w:r>
      <w:r>
        <w:rPr>
          <w:rFonts w:ascii="TT Norms Pro Light"/>
          <w:b w:val="0"/>
          <w:sz w:val="14"/>
        </w:rPr>
        <w:t>of</w:t>
      </w:r>
      <w:r>
        <w:rPr>
          <w:rFonts w:ascii="TT Norms Pro Light"/>
          <w:b w:val="0"/>
          <w:spacing w:val="9"/>
          <w:sz w:val="14"/>
        </w:rPr>
        <w:t> </w:t>
      </w:r>
      <w:r>
        <w:rPr>
          <w:rFonts w:ascii="TT Norms Pro Light"/>
          <w:b w:val="0"/>
          <w:sz w:val="14"/>
        </w:rPr>
        <w:t>Molecular</w:t>
      </w:r>
      <w:r>
        <w:rPr>
          <w:rFonts w:ascii="TT Norms Pro Light"/>
          <w:b w:val="0"/>
          <w:spacing w:val="10"/>
          <w:sz w:val="14"/>
        </w:rPr>
        <w:t> </w:t>
      </w:r>
      <w:r>
        <w:rPr>
          <w:rFonts w:ascii="TT Norms Pro Light"/>
          <w:b w:val="0"/>
          <w:spacing w:val="-2"/>
          <w:sz w:val="14"/>
        </w:rPr>
        <w:t>Sciences,</w:t>
      </w:r>
    </w:p>
    <w:p>
      <w:pPr>
        <w:spacing w:before="36"/>
        <w:ind w:left="1417" w:right="0" w:firstLine="0"/>
        <w:jc w:val="left"/>
        <w:rPr>
          <w:rFonts w:ascii="TT Norms Pro Light"/>
          <w:b w:val="0"/>
          <w:i/>
          <w:sz w:val="14"/>
        </w:rPr>
      </w:pPr>
      <w:r>
        <w:rPr/>
        <mc:AlternateContent>
          <mc:Choice Requires="wps">
            <w:drawing>
              <wp:anchor distT="0" distB="0" distL="0" distR="0" allowOverlap="1" layoutInCell="1" locked="0" behindDoc="1" simplePos="0" relativeHeight="472664576">
                <wp:simplePos x="0" y="0"/>
                <wp:positionH relativeFrom="page">
                  <wp:posOffset>0</wp:posOffset>
                </wp:positionH>
                <wp:positionV relativeFrom="paragraph">
                  <wp:posOffset>59797</wp:posOffset>
                </wp:positionV>
                <wp:extent cx="4770120" cy="4619625"/>
                <wp:effectExtent l="0" t="0" r="0" b="0"/>
                <wp:wrapNone/>
                <wp:docPr id="371" name="Group 371"/>
                <wp:cNvGraphicFramePr>
                  <a:graphicFrameLocks/>
                </wp:cNvGraphicFramePr>
                <a:graphic>
                  <a:graphicData uri="http://schemas.microsoft.com/office/word/2010/wordprocessingGroup">
                    <wpg:wgp>
                      <wpg:cNvPr id="371" name="Group 371"/>
                      <wpg:cNvGrpSpPr/>
                      <wpg:grpSpPr>
                        <a:xfrm>
                          <a:off x="0" y="0"/>
                          <a:ext cx="4770120" cy="4619625"/>
                          <a:chExt cx="4770120" cy="4619625"/>
                        </a:xfrm>
                      </wpg:grpSpPr>
                      <pic:pic>
                        <pic:nvPicPr>
                          <pic:cNvPr id="372" name="Image 372"/>
                          <pic:cNvPicPr/>
                        </pic:nvPicPr>
                        <pic:blipFill>
                          <a:blip r:embed="rId64" cstate="print"/>
                          <a:stretch>
                            <a:fillRect/>
                          </a:stretch>
                        </pic:blipFill>
                        <pic:spPr>
                          <a:xfrm>
                            <a:off x="0" y="486003"/>
                            <a:ext cx="2592006" cy="4133596"/>
                          </a:xfrm>
                          <a:prstGeom prst="rect">
                            <a:avLst/>
                          </a:prstGeom>
                        </pic:spPr>
                      </pic:pic>
                      <wps:wsp>
                        <wps:cNvPr id="373" name="Graphic 373"/>
                        <wps:cNvSpPr/>
                        <wps:spPr>
                          <a:xfrm>
                            <a:off x="0" y="0"/>
                            <a:ext cx="4770120" cy="1386205"/>
                          </a:xfrm>
                          <a:custGeom>
                            <a:avLst/>
                            <a:gdLst/>
                            <a:ahLst/>
                            <a:cxnLst/>
                            <a:rect l="l" t="t" r="r" b="b"/>
                            <a:pathLst>
                              <a:path w="4770120" h="1386205">
                                <a:moveTo>
                                  <a:pt x="4770005" y="0"/>
                                </a:moveTo>
                                <a:lnTo>
                                  <a:pt x="0" y="0"/>
                                </a:lnTo>
                                <a:lnTo>
                                  <a:pt x="0" y="1386001"/>
                                </a:lnTo>
                                <a:lnTo>
                                  <a:pt x="4770005" y="1386001"/>
                                </a:lnTo>
                                <a:lnTo>
                                  <a:pt x="477000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4.7085pt;width:375.6pt;height:363.75pt;mso-position-horizontal-relative:page;mso-position-vertical-relative:paragraph;z-index:-30651904" id="docshapegroup228" coordorigin="0,94" coordsize="7512,7275">
                <v:shape style="position:absolute;left:0;top:859;width:4082;height:6510" type="#_x0000_t75" id="docshape229" stroked="false">
                  <v:imagedata r:id="rId64" o:title=""/>
                </v:shape>
                <v:rect style="position:absolute;left:0;top:94;width:7512;height:2183" id="docshape230" filled="true" fillcolor="#ffffff" stroked="false">
                  <v:fill type="solid"/>
                </v:rect>
                <w10:wrap type="none"/>
              </v:group>
            </w:pict>
          </mc:Fallback>
        </mc:AlternateContent>
      </w:r>
      <w:r>
        <w:rPr>
          <w:rFonts w:ascii="TT Norms Pro Light"/>
          <w:b w:val="0"/>
          <w:i/>
          <w:sz w:val="14"/>
        </w:rPr>
        <w:t>Joint</w:t>
      </w:r>
      <w:r>
        <w:rPr>
          <w:rFonts w:ascii="TT Norms Pro Light"/>
          <w:b w:val="0"/>
          <w:i/>
          <w:spacing w:val="3"/>
          <w:sz w:val="14"/>
        </w:rPr>
        <w:t> </w:t>
      </w:r>
      <w:r>
        <w:rPr>
          <w:rFonts w:ascii="TT Norms Pro Light"/>
          <w:b w:val="0"/>
          <w:i/>
          <w:spacing w:val="-2"/>
          <w:sz w:val="14"/>
        </w:rPr>
        <w:t>Winner</w:t>
      </w:r>
    </w:p>
    <w:p>
      <w:pPr>
        <w:pStyle w:val="BodyText"/>
        <w:spacing w:before="72"/>
        <w:rPr>
          <w:b w:val="0"/>
          <w:i/>
          <w:sz w:val="14"/>
        </w:rPr>
      </w:pPr>
    </w:p>
    <w:p>
      <w:pPr>
        <w:spacing w:before="1"/>
        <w:ind w:left="1417" w:right="0" w:firstLine="0"/>
        <w:jc w:val="left"/>
        <w:rPr>
          <w:rFonts w:ascii="TT Norms Pro Medium"/>
          <w:b/>
          <w:sz w:val="14"/>
        </w:rPr>
      </w:pPr>
      <w:r>
        <w:rPr>
          <w:rFonts w:ascii="TT Norms Pro Medium"/>
          <w:b/>
          <w:spacing w:val="-4"/>
          <w:sz w:val="14"/>
        </w:rPr>
        <w:t>Professor</w:t>
      </w:r>
      <w:r>
        <w:rPr>
          <w:rFonts w:ascii="TT Norms Pro Medium"/>
          <w:b/>
          <w:spacing w:val="4"/>
          <w:sz w:val="14"/>
        </w:rPr>
        <w:t> </w:t>
      </w:r>
      <w:r>
        <w:rPr>
          <w:rFonts w:ascii="TT Norms Pro Medium"/>
          <w:b/>
          <w:spacing w:val="-4"/>
          <w:sz w:val="14"/>
        </w:rPr>
        <w:t>Wendy</w:t>
      </w:r>
      <w:r>
        <w:rPr>
          <w:rFonts w:ascii="TT Norms Pro Medium"/>
          <w:b/>
          <w:spacing w:val="4"/>
          <w:sz w:val="14"/>
        </w:rPr>
        <w:t> </w:t>
      </w:r>
      <w:r>
        <w:rPr>
          <w:rFonts w:ascii="TT Norms Pro Medium"/>
          <w:b/>
          <w:spacing w:val="-4"/>
          <w:sz w:val="14"/>
        </w:rPr>
        <w:t>Erber</w:t>
      </w:r>
    </w:p>
    <w:p>
      <w:pPr>
        <w:spacing w:before="36"/>
        <w:ind w:left="1417" w:right="0" w:firstLine="0"/>
        <w:jc w:val="left"/>
        <w:rPr>
          <w:rFonts w:ascii="TT Norms Pro Light"/>
          <w:b w:val="0"/>
          <w:i/>
          <w:sz w:val="14"/>
        </w:rPr>
      </w:pPr>
      <w:r>
        <w:rPr>
          <w:rFonts w:ascii="TT Norms Pro Light"/>
          <w:b w:val="0"/>
          <w:sz w:val="14"/>
        </w:rPr>
        <w:t>School</w:t>
      </w:r>
      <w:r>
        <w:rPr>
          <w:rFonts w:ascii="TT Norms Pro Light"/>
          <w:b w:val="0"/>
          <w:spacing w:val="12"/>
          <w:sz w:val="14"/>
        </w:rPr>
        <w:t> </w:t>
      </w:r>
      <w:r>
        <w:rPr>
          <w:rFonts w:ascii="TT Norms Pro Light"/>
          <w:b w:val="0"/>
          <w:sz w:val="14"/>
        </w:rPr>
        <w:t>of</w:t>
      </w:r>
      <w:r>
        <w:rPr>
          <w:rFonts w:ascii="TT Norms Pro Light"/>
          <w:b w:val="0"/>
          <w:spacing w:val="13"/>
          <w:sz w:val="14"/>
        </w:rPr>
        <w:t> </w:t>
      </w:r>
      <w:r>
        <w:rPr>
          <w:rFonts w:ascii="TT Norms Pro Light"/>
          <w:b w:val="0"/>
          <w:sz w:val="14"/>
        </w:rPr>
        <w:t>Biomedical</w:t>
      </w:r>
      <w:r>
        <w:rPr>
          <w:rFonts w:ascii="TT Norms Pro Light"/>
          <w:b w:val="0"/>
          <w:spacing w:val="12"/>
          <w:sz w:val="14"/>
        </w:rPr>
        <w:t> </w:t>
      </w:r>
      <w:r>
        <w:rPr>
          <w:rFonts w:ascii="TT Norms Pro Light"/>
          <w:b w:val="0"/>
          <w:sz w:val="14"/>
        </w:rPr>
        <w:t>Sciences,</w:t>
      </w:r>
      <w:r>
        <w:rPr>
          <w:rFonts w:ascii="TT Norms Pro Light"/>
          <w:b w:val="0"/>
          <w:spacing w:val="13"/>
          <w:sz w:val="14"/>
        </w:rPr>
        <w:t> </w:t>
      </w:r>
      <w:r>
        <w:rPr>
          <w:rFonts w:ascii="TT Norms Pro Light"/>
          <w:b w:val="0"/>
          <w:i/>
          <w:spacing w:val="-2"/>
          <w:sz w:val="14"/>
        </w:rPr>
        <w:t>Finalist</w:t>
      </w:r>
    </w:p>
    <w:p>
      <w:pPr>
        <w:pStyle w:val="BodyText"/>
        <w:spacing w:before="72"/>
        <w:rPr>
          <w:b w:val="0"/>
          <w:i/>
          <w:sz w:val="14"/>
        </w:rPr>
      </w:pPr>
    </w:p>
    <w:p>
      <w:pPr>
        <w:spacing w:before="0"/>
        <w:ind w:left="1417" w:right="0" w:firstLine="0"/>
        <w:jc w:val="left"/>
        <w:rPr>
          <w:rFonts w:ascii="TT Norms Pro Medium"/>
          <w:b/>
          <w:sz w:val="14"/>
        </w:rPr>
      </w:pPr>
      <w:r>
        <w:rPr>
          <w:rFonts w:ascii="TT Norms Pro Medium"/>
          <w:b/>
          <w:w w:val="90"/>
          <w:sz w:val="14"/>
        </w:rPr>
        <w:t>Professor</w:t>
      </w:r>
      <w:r>
        <w:rPr>
          <w:rFonts w:ascii="TT Norms Pro Medium"/>
          <w:b/>
          <w:spacing w:val="23"/>
          <w:sz w:val="14"/>
        </w:rPr>
        <w:t> </w:t>
      </w:r>
      <w:r>
        <w:rPr>
          <w:rFonts w:ascii="TT Norms Pro Medium"/>
          <w:b/>
          <w:w w:val="90"/>
          <w:sz w:val="14"/>
        </w:rPr>
        <w:t>Eric</w:t>
      </w:r>
      <w:r>
        <w:rPr>
          <w:rFonts w:ascii="TT Norms Pro Medium"/>
          <w:b/>
          <w:spacing w:val="24"/>
          <w:sz w:val="14"/>
        </w:rPr>
        <w:t> </w:t>
      </w:r>
      <w:r>
        <w:rPr>
          <w:rFonts w:ascii="TT Norms Pro Medium"/>
          <w:b/>
          <w:spacing w:val="-5"/>
          <w:w w:val="90"/>
          <w:sz w:val="14"/>
        </w:rPr>
        <w:t>May</w:t>
      </w:r>
    </w:p>
    <w:p>
      <w:pPr>
        <w:spacing w:before="37"/>
        <w:ind w:left="1417" w:right="0" w:firstLine="0"/>
        <w:jc w:val="left"/>
        <w:rPr>
          <w:rFonts w:ascii="TT Norms Pro Light"/>
          <w:b w:val="0"/>
          <w:i/>
          <w:sz w:val="14"/>
        </w:rPr>
      </w:pPr>
      <w:r>
        <w:rPr>
          <w:rFonts w:ascii="TT Norms Pro Light"/>
          <w:b w:val="0"/>
          <w:sz w:val="14"/>
        </w:rPr>
        <w:t>School</w:t>
      </w:r>
      <w:r>
        <w:rPr>
          <w:rFonts w:ascii="TT Norms Pro Light"/>
          <w:b w:val="0"/>
          <w:spacing w:val="12"/>
          <w:sz w:val="14"/>
        </w:rPr>
        <w:t> </w:t>
      </w:r>
      <w:r>
        <w:rPr>
          <w:rFonts w:ascii="TT Norms Pro Light"/>
          <w:b w:val="0"/>
          <w:sz w:val="14"/>
        </w:rPr>
        <w:t>of</w:t>
      </w:r>
      <w:r>
        <w:rPr>
          <w:rFonts w:ascii="TT Norms Pro Light"/>
          <w:b w:val="0"/>
          <w:spacing w:val="12"/>
          <w:sz w:val="14"/>
        </w:rPr>
        <w:t> </w:t>
      </w:r>
      <w:r>
        <w:rPr>
          <w:rFonts w:ascii="TT Norms Pro Light"/>
          <w:b w:val="0"/>
          <w:sz w:val="14"/>
        </w:rPr>
        <w:t>Engineering,</w:t>
      </w:r>
      <w:r>
        <w:rPr>
          <w:rFonts w:ascii="TT Norms Pro Light"/>
          <w:b w:val="0"/>
          <w:spacing w:val="13"/>
          <w:sz w:val="14"/>
        </w:rPr>
        <w:t> </w:t>
      </w:r>
      <w:r>
        <w:rPr>
          <w:rFonts w:ascii="TT Norms Pro Light"/>
          <w:b w:val="0"/>
          <w:i/>
          <w:spacing w:val="-2"/>
          <w:sz w:val="14"/>
        </w:rPr>
        <w:t>Finalist</w:t>
      </w:r>
    </w:p>
    <w:p>
      <w:pPr>
        <w:spacing w:line="307" w:lineRule="auto" w:before="134"/>
        <w:ind w:left="480" w:right="89" w:firstLine="0"/>
        <w:jc w:val="left"/>
        <w:rPr>
          <w:rFonts w:ascii="TT Norms Pro Light"/>
          <w:b w:val="0"/>
          <w:sz w:val="16"/>
        </w:rPr>
      </w:pPr>
      <w:r>
        <w:rPr/>
        <w:br w:type="column"/>
      </w:r>
      <w:r>
        <w:rPr>
          <w:rFonts w:ascii="TT Norms Pro Light"/>
          <w:b w:val="0"/>
          <w:sz w:val="16"/>
        </w:rPr>
        <w:t>WOODSIDE</w:t>
      </w:r>
      <w:r>
        <w:rPr>
          <w:rFonts w:ascii="TT Norms Pro Light"/>
          <w:b w:val="0"/>
          <w:spacing w:val="-7"/>
          <w:sz w:val="16"/>
        </w:rPr>
        <w:t> </w:t>
      </w:r>
      <w:r>
        <w:rPr>
          <w:rFonts w:ascii="TT Norms Pro Light"/>
          <w:b w:val="0"/>
          <w:sz w:val="16"/>
        </w:rPr>
        <w:t>EARLY</w:t>
      </w:r>
      <w:r>
        <w:rPr>
          <w:rFonts w:ascii="TT Norms Pro Light"/>
          <w:b w:val="0"/>
          <w:spacing w:val="-7"/>
          <w:sz w:val="16"/>
        </w:rPr>
        <w:t> </w:t>
      </w:r>
      <w:r>
        <w:rPr>
          <w:rFonts w:ascii="TT Norms Pro Light"/>
          <w:b w:val="0"/>
          <w:sz w:val="16"/>
        </w:rPr>
        <w:t>CAREER</w:t>
      </w:r>
      <w:r>
        <w:rPr>
          <w:rFonts w:ascii="TT Norms Pro Light"/>
          <w:b w:val="0"/>
          <w:spacing w:val="40"/>
          <w:sz w:val="16"/>
        </w:rPr>
        <w:t> </w:t>
      </w:r>
      <w:r>
        <w:rPr>
          <w:rFonts w:ascii="TT Norms Pro Light"/>
          <w:b w:val="0"/>
          <w:sz w:val="16"/>
        </w:rPr>
        <w:t>SCIENTIST OF THE YEAR</w:t>
      </w:r>
    </w:p>
    <w:p>
      <w:pPr>
        <w:spacing w:before="150"/>
        <w:ind w:left="763" w:right="0" w:firstLine="0"/>
        <w:jc w:val="left"/>
        <w:rPr>
          <w:rFonts w:ascii="TT Norms Pro Medium"/>
          <w:b/>
          <w:sz w:val="14"/>
        </w:rPr>
      </w:pPr>
      <w:r>
        <w:rPr>
          <w:rFonts w:ascii="TT Norms Pro Medium"/>
          <w:b/>
          <w:spacing w:val="-2"/>
          <w:sz w:val="14"/>
        </w:rPr>
        <w:t>Dr</w:t>
      </w:r>
      <w:r>
        <w:rPr>
          <w:rFonts w:ascii="TT Norms Pro Medium"/>
          <w:b/>
          <w:spacing w:val="-7"/>
          <w:sz w:val="14"/>
        </w:rPr>
        <w:t> </w:t>
      </w:r>
      <w:r>
        <w:rPr>
          <w:rFonts w:ascii="TT Norms Pro Medium"/>
          <w:b/>
          <w:spacing w:val="-2"/>
          <w:sz w:val="14"/>
        </w:rPr>
        <w:t>Chris</w:t>
      </w:r>
      <w:r>
        <w:rPr>
          <w:rFonts w:ascii="TT Norms Pro Medium"/>
          <w:b/>
          <w:spacing w:val="-6"/>
          <w:sz w:val="14"/>
        </w:rPr>
        <w:t> </w:t>
      </w:r>
      <w:r>
        <w:rPr>
          <w:rFonts w:ascii="TT Norms Pro Medium"/>
          <w:b/>
          <w:spacing w:val="-2"/>
          <w:sz w:val="14"/>
        </w:rPr>
        <w:t>Brennan-Jones</w:t>
      </w:r>
    </w:p>
    <w:p>
      <w:pPr>
        <w:spacing w:before="36"/>
        <w:ind w:left="763" w:right="0" w:firstLine="0"/>
        <w:jc w:val="left"/>
        <w:rPr>
          <w:rFonts w:ascii="TT Norms Pro Light"/>
          <w:b w:val="0"/>
          <w:i/>
          <w:sz w:val="14"/>
        </w:rPr>
      </w:pPr>
      <w:r>
        <w:rPr>
          <w:rFonts w:ascii="TT Norms Pro Light"/>
          <w:b w:val="0"/>
          <w:sz w:val="14"/>
        </w:rPr>
        <w:t>Medical</w:t>
      </w:r>
      <w:r>
        <w:rPr>
          <w:rFonts w:ascii="TT Norms Pro Light"/>
          <w:b w:val="0"/>
          <w:spacing w:val="14"/>
          <w:sz w:val="14"/>
        </w:rPr>
        <w:t> </w:t>
      </w:r>
      <w:r>
        <w:rPr>
          <w:rFonts w:ascii="TT Norms Pro Light"/>
          <w:b w:val="0"/>
          <w:sz w:val="14"/>
        </w:rPr>
        <w:t>School,</w:t>
      </w:r>
      <w:r>
        <w:rPr>
          <w:rFonts w:ascii="TT Norms Pro Light"/>
          <w:b w:val="0"/>
          <w:spacing w:val="14"/>
          <w:sz w:val="14"/>
        </w:rPr>
        <w:t> </w:t>
      </w:r>
      <w:r>
        <w:rPr>
          <w:rFonts w:ascii="TT Norms Pro Light"/>
          <w:b w:val="0"/>
          <w:i/>
          <w:spacing w:val="-2"/>
          <w:sz w:val="14"/>
        </w:rPr>
        <w:t>Winner</w:t>
      </w:r>
    </w:p>
    <w:p>
      <w:pPr>
        <w:pStyle w:val="BodyText"/>
        <w:spacing w:before="73"/>
        <w:rPr>
          <w:b w:val="0"/>
          <w:i/>
          <w:sz w:val="14"/>
        </w:rPr>
      </w:pPr>
    </w:p>
    <w:p>
      <w:pPr>
        <w:spacing w:before="0"/>
        <w:ind w:left="763" w:right="0" w:firstLine="0"/>
        <w:jc w:val="left"/>
        <w:rPr>
          <w:rFonts w:ascii="TT Norms Pro Medium"/>
          <w:b/>
          <w:sz w:val="14"/>
        </w:rPr>
      </w:pPr>
      <w:r>
        <w:rPr>
          <w:rFonts w:ascii="TT Norms Pro Medium"/>
          <w:b/>
          <w:spacing w:val="-2"/>
          <w:sz w:val="14"/>
        </w:rPr>
        <w:t>Dr</w:t>
      </w:r>
      <w:r>
        <w:rPr>
          <w:rFonts w:ascii="TT Norms Pro Medium"/>
          <w:b/>
          <w:spacing w:val="-6"/>
          <w:sz w:val="14"/>
        </w:rPr>
        <w:t> </w:t>
      </w:r>
      <w:r>
        <w:rPr>
          <w:rFonts w:ascii="TT Norms Pro Medium"/>
          <w:b/>
          <w:spacing w:val="-2"/>
          <w:sz w:val="14"/>
        </w:rPr>
        <w:t>Sam</w:t>
      </w:r>
      <w:r>
        <w:rPr>
          <w:rFonts w:ascii="TT Norms Pro Medium"/>
          <w:b/>
          <w:spacing w:val="-5"/>
          <w:sz w:val="14"/>
        </w:rPr>
        <w:t> </w:t>
      </w:r>
      <w:r>
        <w:rPr>
          <w:rFonts w:ascii="TT Norms Pro Medium"/>
          <w:b/>
          <w:spacing w:val="-2"/>
          <w:sz w:val="14"/>
        </w:rPr>
        <w:t>Buckberry</w:t>
      </w:r>
    </w:p>
    <w:p>
      <w:pPr>
        <w:spacing w:before="36"/>
        <w:ind w:left="763" w:right="0" w:firstLine="0"/>
        <w:jc w:val="left"/>
        <w:rPr>
          <w:rFonts w:ascii="TT Norms Pro Light"/>
          <w:b w:val="0"/>
          <w:i/>
          <w:sz w:val="14"/>
        </w:rPr>
      </w:pPr>
      <w:r>
        <w:rPr>
          <w:rFonts w:ascii="TT Norms Pro Light"/>
          <w:b w:val="0"/>
          <w:sz w:val="14"/>
        </w:rPr>
        <w:t>School</w:t>
      </w:r>
      <w:r>
        <w:rPr>
          <w:rFonts w:ascii="TT Norms Pro Light"/>
          <w:b w:val="0"/>
          <w:spacing w:val="11"/>
          <w:sz w:val="14"/>
        </w:rPr>
        <w:t> </w:t>
      </w:r>
      <w:r>
        <w:rPr>
          <w:rFonts w:ascii="TT Norms Pro Light"/>
          <w:b w:val="0"/>
          <w:sz w:val="14"/>
        </w:rPr>
        <w:t>of</w:t>
      </w:r>
      <w:r>
        <w:rPr>
          <w:rFonts w:ascii="TT Norms Pro Light"/>
          <w:b w:val="0"/>
          <w:spacing w:val="11"/>
          <w:sz w:val="14"/>
        </w:rPr>
        <w:t> </w:t>
      </w:r>
      <w:r>
        <w:rPr>
          <w:rFonts w:ascii="TT Norms Pro Light"/>
          <w:b w:val="0"/>
          <w:sz w:val="14"/>
        </w:rPr>
        <w:t>Molecular</w:t>
      </w:r>
      <w:r>
        <w:rPr>
          <w:rFonts w:ascii="TT Norms Pro Light"/>
          <w:b w:val="0"/>
          <w:spacing w:val="11"/>
          <w:sz w:val="14"/>
        </w:rPr>
        <w:t> </w:t>
      </w:r>
      <w:r>
        <w:rPr>
          <w:rFonts w:ascii="TT Norms Pro Light"/>
          <w:b w:val="0"/>
          <w:sz w:val="14"/>
        </w:rPr>
        <w:t>Sciences,</w:t>
      </w:r>
      <w:r>
        <w:rPr>
          <w:rFonts w:ascii="TT Norms Pro Light"/>
          <w:b w:val="0"/>
          <w:spacing w:val="12"/>
          <w:sz w:val="14"/>
        </w:rPr>
        <w:t> </w:t>
      </w:r>
      <w:r>
        <w:rPr>
          <w:rFonts w:ascii="TT Norms Pro Light"/>
          <w:b w:val="0"/>
          <w:i/>
          <w:spacing w:val="-2"/>
          <w:sz w:val="14"/>
        </w:rPr>
        <w:t>Finalist</w:t>
      </w:r>
    </w:p>
    <w:p>
      <w:pPr>
        <w:pStyle w:val="BodyText"/>
        <w:spacing w:before="72"/>
        <w:rPr>
          <w:b w:val="0"/>
          <w:i/>
          <w:sz w:val="14"/>
        </w:rPr>
      </w:pPr>
    </w:p>
    <w:p>
      <w:pPr>
        <w:spacing w:before="0"/>
        <w:ind w:left="763" w:right="0" w:firstLine="0"/>
        <w:jc w:val="left"/>
        <w:rPr>
          <w:rFonts w:ascii="TT Norms Pro Medium"/>
          <w:b/>
          <w:sz w:val="14"/>
        </w:rPr>
      </w:pPr>
      <w:r>
        <w:rPr>
          <w:rFonts w:ascii="TT Norms Pro Medium"/>
          <w:b/>
          <w:spacing w:val="-2"/>
          <w:sz w:val="14"/>
        </w:rPr>
        <w:t>Dr</w:t>
      </w:r>
      <w:r>
        <w:rPr>
          <w:rFonts w:ascii="TT Norms Pro Medium"/>
          <w:b/>
          <w:spacing w:val="-6"/>
          <w:sz w:val="14"/>
        </w:rPr>
        <w:t> </w:t>
      </w:r>
      <w:r>
        <w:rPr>
          <w:rFonts w:ascii="TT Norms Pro Medium"/>
          <w:b/>
          <w:spacing w:val="-2"/>
          <w:sz w:val="14"/>
        </w:rPr>
        <w:t>Arman</w:t>
      </w:r>
      <w:r>
        <w:rPr>
          <w:rFonts w:ascii="TT Norms Pro Medium"/>
          <w:b/>
          <w:spacing w:val="-5"/>
          <w:sz w:val="14"/>
        </w:rPr>
        <w:t> </w:t>
      </w:r>
      <w:r>
        <w:rPr>
          <w:rFonts w:ascii="TT Norms Pro Medium"/>
          <w:b/>
          <w:spacing w:val="-2"/>
          <w:sz w:val="14"/>
        </w:rPr>
        <w:t>Siahvashi</w:t>
      </w:r>
    </w:p>
    <w:p>
      <w:pPr>
        <w:spacing w:before="37"/>
        <w:ind w:left="763" w:right="0" w:firstLine="0"/>
        <w:jc w:val="left"/>
        <w:rPr>
          <w:rFonts w:ascii="TT Norms Pro Light"/>
          <w:b w:val="0"/>
          <w:i/>
          <w:sz w:val="14"/>
        </w:rPr>
      </w:pPr>
      <w:r>
        <w:rPr>
          <w:rFonts w:ascii="TT Norms Pro Light"/>
          <w:b w:val="0"/>
          <w:sz w:val="14"/>
        </w:rPr>
        <w:t>School</w:t>
      </w:r>
      <w:r>
        <w:rPr>
          <w:rFonts w:ascii="TT Norms Pro Light"/>
          <w:b w:val="0"/>
          <w:spacing w:val="12"/>
          <w:sz w:val="14"/>
        </w:rPr>
        <w:t> </w:t>
      </w:r>
      <w:r>
        <w:rPr>
          <w:rFonts w:ascii="TT Norms Pro Light"/>
          <w:b w:val="0"/>
          <w:sz w:val="14"/>
        </w:rPr>
        <w:t>of</w:t>
      </w:r>
      <w:r>
        <w:rPr>
          <w:rFonts w:ascii="TT Norms Pro Light"/>
          <w:b w:val="0"/>
          <w:spacing w:val="12"/>
          <w:sz w:val="14"/>
        </w:rPr>
        <w:t> </w:t>
      </w:r>
      <w:r>
        <w:rPr>
          <w:rFonts w:ascii="TT Norms Pro Light"/>
          <w:b w:val="0"/>
          <w:sz w:val="14"/>
        </w:rPr>
        <w:t>Engineering,</w:t>
      </w:r>
      <w:r>
        <w:rPr>
          <w:rFonts w:ascii="TT Norms Pro Light"/>
          <w:b w:val="0"/>
          <w:spacing w:val="13"/>
          <w:sz w:val="14"/>
        </w:rPr>
        <w:t> </w:t>
      </w:r>
      <w:r>
        <w:rPr>
          <w:rFonts w:ascii="TT Norms Pro Light"/>
          <w:b w:val="0"/>
          <w:i/>
          <w:spacing w:val="-2"/>
          <w:sz w:val="14"/>
        </w:rPr>
        <w:t>Finalist</w:t>
      </w:r>
    </w:p>
    <w:p>
      <w:pPr>
        <w:pStyle w:val="BodyText"/>
        <w:spacing w:before="93"/>
        <w:rPr>
          <w:b w:val="0"/>
          <w:i/>
          <w:sz w:val="14"/>
        </w:rPr>
      </w:pPr>
    </w:p>
    <w:p>
      <w:pPr>
        <w:spacing w:line="307" w:lineRule="auto" w:before="0"/>
        <w:ind w:left="480" w:right="89" w:firstLine="0"/>
        <w:jc w:val="left"/>
        <w:rPr>
          <w:rFonts w:ascii="TT Norms Pro Light"/>
          <w:b w:val="0"/>
          <w:sz w:val="16"/>
        </w:rPr>
      </w:pPr>
      <w:r>
        <w:rPr>
          <w:rFonts w:ascii="TT Norms Pro Light"/>
          <w:b w:val="0"/>
          <w:sz w:val="16"/>
        </w:rPr>
        <w:t>EXXONMOBIL STUDENT SCIENTIST</w:t>
      </w:r>
      <w:r>
        <w:rPr>
          <w:rFonts w:ascii="TT Norms Pro Light"/>
          <w:b w:val="0"/>
          <w:spacing w:val="40"/>
          <w:sz w:val="16"/>
        </w:rPr>
        <w:t> </w:t>
      </w:r>
      <w:r>
        <w:rPr>
          <w:rFonts w:ascii="TT Norms Pro Light"/>
          <w:b w:val="0"/>
          <w:sz w:val="16"/>
        </w:rPr>
        <w:t>OF THE YEAR</w:t>
      </w:r>
    </w:p>
    <w:p>
      <w:pPr>
        <w:spacing w:before="150"/>
        <w:ind w:left="763" w:right="0" w:firstLine="0"/>
        <w:jc w:val="left"/>
        <w:rPr>
          <w:rFonts w:ascii="TT Norms Pro Medium"/>
          <w:b/>
          <w:sz w:val="14"/>
        </w:rPr>
      </w:pPr>
      <w:r>
        <w:rPr>
          <w:rFonts w:ascii="TT Norms Pro Medium"/>
          <w:b/>
          <w:spacing w:val="-5"/>
          <w:sz w:val="14"/>
        </w:rPr>
        <w:t>Todd</w:t>
      </w:r>
      <w:r>
        <w:rPr>
          <w:rFonts w:ascii="TT Norms Pro Medium"/>
          <w:b/>
          <w:spacing w:val="-4"/>
          <w:sz w:val="14"/>
        </w:rPr>
        <w:t> Bond</w:t>
      </w:r>
    </w:p>
    <w:p>
      <w:pPr>
        <w:spacing w:before="36"/>
        <w:ind w:left="763" w:right="0" w:firstLine="0"/>
        <w:jc w:val="left"/>
        <w:rPr>
          <w:rFonts w:ascii="TT Norms Pro Light"/>
          <w:b w:val="0"/>
          <w:i/>
          <w:sz w:val="14"/>
        </w:rPr>
      </w:pPr>
      <w:r>
        <w:rPr>
          <w:rFonts w:ascii="TT Norms Pro Light"/>
          <w:b w:val="0"/>
          <w:sz w:val="14"/>
        </w:rPr>
        <w:t>School of Biological Sciences, </w:t>
      </w:r>
      <w:r>
        <w:rPr>
          <w:rFonts w:ascii="TT Norms Pro Light"/>
          <w:b w:val="0"/>
          <w:i/>
          <w:sz w:val="14"/>
        </w:rPr>
        <w:t>Joint</w:t>
      </w:r>
      <w:r>
        <w:rPr>
          <w:rFonts w:ascii="TT Norms Pro Light"/>
          <w:b w:val="0"/>
          <w:i/>
          <w:spacing w:val="1"/>
          <w:sz w:val="14"/>
        </w:rPr>
        <w:t> </w:t>
      </w:r>
      <w:r>
        <w:rPr>
          <w:rFonts w:ascii="TT Norms Pro Light"/>
          <w:b w:val="0"/>
          <w:i/>
          <w:spacing w:val="-2"/>
          <w:sz w:val="14"/>
        </w:rPr>
        <w:t>Winner</w:t>
      </w:r>
    </w:p>
    <w:p>
      <w:pPr>
        <w:pStyle w:val="BodyText"/>
        <w:spacing w:before="93"/>
        <w:rPr>
          <w:b w:val="0"/>
          <w:i/>
          <w:sz w:val="14"/>
        </w:rPr>
      </w:pPr>
    </w:p>
    <w:p>
      <w:pPr>
        <w:spacing w:line="307" w:lineRule="auto" w:before="0"/>
        <w:ind w:left="480" w:right="89" w:firstLine="0"/>
        <w:jc w:val="left"/>
        <w:rPr>
          <w:rFonts w:ascii="TT Norms Pro Light"/>
          <w:b w:val="0"/>
          <w:sz w:val="16"/>
        </w:rPr>
      </w:pPr>
      <w:r>
        <w:rPr>
          <w:rFonts w:ascii="TT Norms Pro Light"/>
          <w:b w:val="0"/>
          <w:sz w:val="16"/>
        </w:rPr>
        <w:t>SHELL</w:t>
      </w:r>
      <w:r>
        <w:rPr>
          <w:rFonts w:ascii="TT Norms Pro Light"/>
          <w:b w:val="0"/>
          <w:spacing w:val="-8"/>
          <w:sz w:val="16"/>
        </w:rPr>
        <w:t> </w:t>
      </w:r>
      <w:r>
        <w:rPr>
          <w:rFonts w:ascii="TT Norms Pro Light"/>
          <w:b w:val="0"/>
          <w:sz w:val="16"/>
        </w:rPr>
        <w:t>ABORIGINAL</w:t>
      </w:r>
      <w:r>
        <w:rPr>
          <w:rFonts w:ascii="TT Norms Pro Light"/>
          <w:b w:val="0"/>
          <w:spacing w:val="-8"/>
          <w:sz w:val="16"/>
        </w:rPr>
        <w:t> </w:t>
      </w:r>
      <w:r>
        <w:rPr>
          <w:rFonts w:ascii="TT Norms Pro Light"/>
          <w:b w:val="0"/>
          <w:sz w:val="16"/>
        </w:rPr>
        <w:t>STEM</w:t>
      </w:r>
      <w:r>
        <w:rPr>
          <w:rFonts w:ascii="TT Norms Pro Light"/>
          <w:b w:val="0"/>
          <w:spacing w:val="-8"/>
          <w:sz w:val="16"/>
        </w:rPr>
        <w:t> </w:t>
      </w:r>
      <w:r>
        <w:rPr>
          <w:rFonts w:ascii="TT Norms Pro Light"/>
          <w:b w:val="0"/>
          <w:sz w:val="16"/>
        </w:rPr>
        <w:t>STUDENT</w:t>
      </w:r>
      <w:r>
        <w:rPr>
          <w:rFonts w:ascii="TT Norms Pro Light"/>
          <w:b w:val="0"/>
          <w:spacing w:val="40"/>
          <w:sz w:val="16"/>
        </w:rPr>
        <w:t> </w:t>
      </w:r>
      <w:r>
        <w:rPr>
          <w:rFonts w:ascii="TT Norms Pro Light"/>
          <w:b w:val="0"/>
          <w:sz w:val="16"/>
        </w:rPr>
        <w:t>OF THE YEAR</w:t>
      </w:r>
    </w:p>
    <w:p>
      <w:pPr>
        <w:spacing w:before="150"/>
        <w:ind w:left="763" w:right="0" w:firstLine="0"/>
        <w:jc w:val="left"/>
        <w:rPr>
          <w:rFonts w:ascii="TT Norms Pro Medium"/>
          <w:b/>
          <w:sz w:val="14"/>
        </w:rPr>
      </w:pPr>
      <w:r>
        <w:rPr>
          <w:rFonts w:ascii="TT Norms Pro Medium"/>
          <w:b/>
          <w:spacing w:val="-4"/>
          <w:sz w:val="14"/>
        </w:rPr>
        <w:t>Simone</w:t>
      </w:r>
      <w:r>
        <w:rPr>
          <w:rFonts w:ascii="TT Norms Pro Medium"/>
          <w:b/>
          <w:spacing w:val="5"/>
          <w:sz w:val="14"/>
        </w:rPr>
        <w:t> </w:t>
      </w:r>
      <w:r>
        <w:rPr>
          <w:rFonts w:ascii="TT Norms Pro Medium"/>
          <w:b/>
          <w:spacing w:val="-2"/>
          <w:sz w:val="14"/>
        </w:rPr>
        <w:t>Harrington</w:t>
      </w:r>
    </w:p>
    <w:p>
      <w:pPr>
        <w:spacing w:before="37"/>
        <w:ind w:left="763" w:right="0" w:firstLine="0"/>
        <w:jc w:val="left"/>
        <w:rPr>
          <w:rFonts w:ascii="TT Norms Pro Light"/>
          <w:b w:val="0"/>
          <w:i/>
          <w:sz w:val="14"/>
        </w:rPr>
      </w:pPr>
      <w:r>
        <w:rPr>
          <w:rFonts w:ascii="TT Norms Pro Light"/>
          <w:b w:val="0"/>
          <w:sz w:val="14"/>
        </w:rPr>
        <w:t>School</w:t>
      </w:r>
      <w:r>
        <w:rPr>
          <w:rFonts w:ascii="TT Norms Pro Light"/>
          <w:b w:val="0"/>
          <w:spacing w:val="12"/>
          <w:sz w:val="14"/>
        </w:rPr>
        <w:t> </w:t>
      </w:r>
      <w:r>
        <w:rPr>
          <w:rFonts w:ascii="TT Norms Pro Light"/>
          <w:b w:val="0"/>
          <w:sz w:val="14"/>
        </w:rPr>
        <w:t>of</w:t>
      </w:r>
      <w:r>
        <w:rPr>
          <w:rFonts w:ascii="TT Norms Pro Light"/>
          <w:b w:val="0"/>
          <w:spacing w:val="12"/>
          <w:sz w:val="14"/>
        </w:rPr>
        <w:t> </w:t>
      </w:r>
      <w:r>
        <w:rPr>
          <w:rFonts w:ascii="TT Norms Pro Light"/>
          <w:b w:val="0"/>
          <w:sz w:val="14"/>
        </w:rPr>
        <w:t>Psychological</w:t>
      </w:r>
      <w:r>
        <w:rPr>
          <w:rFonts w:ascii="TT Norms Pro Light"/>
          <w:b w:val="0"/>
          <w:spacing w:val="12"/>
          <w:sz w:val="14"/>
        </w:rPr>
        <w:t> </w:t>
      </w:r>
      <w:r>
        <w:rPr>
          <w:rFonts w:ascii="TT Norms Pro Light"/>
          <w:b w:val="0"/>
          <w:sz w:val="14"/>
        </w:rPr>
        <w:t>Science,</w:t>
      </w:r>
      <w:r>
        <w:rPr>
          <w:rFonts w:ascii="TT Norms Pro Light"/>
          <w:b w:val="0"/>
          <w:spacing w:val="13"/>
          <w:sz w:val="14"/>
        </w:rPr>
        <w:t> </w:t>
      </w:r>
      <w:r>
        <w:rPr>
          <w:rFonts w:ascii="TT Norms Pro Light"/>
          <w:b w:val="0"/>
          <w:i/>
          <w:spacing w:val="-2"/>
          <w:sz w:val="14"/>
        </w:rPr>
        <w:t>Winner</w:t>
      </w:r>
    </w:p>
    <w:p>
      <w:pPr>
        <w:pStyle w:val="BodyText"/>
        <w:spacing w:before="72"/>
        <w:rPr>
          <w:b w:val="0"/>
          <w:i/>
          <w:sz w:val="14"/>
        </w:rPr>
      </w:pPr>
    </w:p>
    <w:p>
      <w:pPr>
        <w:spacing w:before="0"/>
        <w:ind w:left="763" w:right="0" w:firstLine="0"/>
        <w:jc w:val="left"/>
        <w:rPr>
          <w:rFonts w:ascii="TT Norms Pro Medium"/>
          <w:b/>
          <w:sz w:val="14"/>
        </w:rPr>
      </w:pPr>
      <w:r>
        <w:rPr>
          <w:rFonts w:ascii="TT Norms Pro Medium"/>
          <w:b/>
          <w:spacing w:val="-2"/>
          <w:sz w:val="14"/>
        </w:rPr>
        <w:t>Shondell</w:t>
      </w:r>
      <w:r>
        <w:rPr>
          <w:rFonts w:ascii="TT Norms Pro Medium"/>
          <w:b/>
          <w:spacing w:val="-6"/>
          <w:sz w:val="14"/>
        </w:rPr>
        <w:t> </w:t>
      </w:r>
      <w:r>
        <w:rPr>
          <w:rFonts w:ascii="TT Norms Pro Medium"/>
          <w:b/>
          <w:spacing w:val="-2"/>
          <w:sz w:val="14"/>
        </w:rPr>
        <w:t>Hayden</w:t>
      </w:r>
    </w:p>
    <w:p>
      <w:pPr>
        <w:spacing w:before="36"/>
        <w:ind w:left="763" w:right="0" w:firstLine="0"/>
        <w:jc w:val="left"/>
        <w:rPr>
          <w:rFonts w:ascii="TT Norms Pro Light"/>
          <w:b w:val="0"/>
          <w:i/>
          <w:sz w:val="14"/>
        </w:rPr>
      </w:pPr>
      <w:r>
        <w:rPr>
          <w:rFonts w:ascii="TT Norms Pro Light"/>
          <w:b w:val="0"/>
          <w:sz w:val="14"/>
        </w:rPr>
        <w:t>Medical</w:t>
      </w:r>
      <w:r>
        <w:rPr>
          <w:rFonts w:ascii="TT Norms Pro Light"/>
          <w:b w:val="0"/>
          <w:spacing w:val="12"/>
          <w:sz w:val="14"/>
        </w:rPr>
        <w:t> </w:t>
      </w:r>
      <w:r>
        <w:rPr>
          <w:rFonts w:ascii="TT Norms Pro Light"/>
          <w:b w:val="0"/>
          <w:sz w:val="14"/>
        </w:rPr>
        <w:t>School,</w:t>
      </w:r>
      <w:r>
        <w:rPr>
          <w:rFonts w:ascii="TT Norms Pro Light"/>
          <w:b w:val="0"/>
          <w:spacing w:val="14"/>
          <w:sz w:val="14"/>
        </w:rPr>
        <w:t> </w:t>
      </w:r>
      <w:r>
        <w:rPr>
          <w:rFonts w:ascii="TT Norms Pro Light"/>
          <w:b w:val="0"/>
          <w:i/>
          <w:spacing w:val="-2"/>
          <w:sz w:val="14"/>
        </w:rPr>
        <w:t>Finalist</w:t>
      </w:r>
    </w:p>
    <w:p>
      <w:pPr>
        <w:pStyle w:val="BodyText"/>
        <w:spacing w:before="93"/>
        <w:rPr>
          <w:b w:val="0"/>
          <w:i/>
          <w:sz w:val="14"/>
        </w:rPr>
      </w:pPr>
    </w:p>
    <w:p>
      <w:pPr>
        <w:spacing w:before="0"/>
        <w:ind w:left="0" w:right="1116" w:firstLine="0"/>
        <w:jc w:val="right"/>
        <w:rPr>
          <w:rFonts w:ascii="TT Norms Pro Medium"/>
          <w:b/>
          <w:sz w:val="16"/>
        </w:rPr>
      </w:pPr>
      <w:r>
        <w:rPr>
          <w:rFonts w:ascii="TT Norms Pro Medium"/>
          <w:b/>
          <w:spacing w:val="-4"/>
          <w:sz w:val="16"/>
        </w:rPr>
        <w:t>ORDER</w:t>
      </w:r>
      <w:r>
        <w:rPr>
          <w:rFonts w:ascii="TT Norms Pro Medium"/>
          <w:b/>
          <w:spacing w:val="-2"/>
          <w:sz w:val="16"/>
        </w:rPr>
        <w:t> </w:t>
      </w:r>
      <w:r>
        <w:rPr>
          <w:rFonts w:ascii="TT Norms Pro Medium"/>
          <w:b/>
          <w:spacing w:val="-4"/>
          <w:sz w:val="16"/>
        </w:rPr>
        <w:t>OF</w:t>
      </w:r>
      <w:r>
        <w:rPr>
          <w:rFonts w:ascii="TT Norms Pro Medium"/>
          <w:b/>
          <w:spacing w:val="-2"/>
          <w:sz w:val="16"/>
        </w:rPr>
        <w:t> </w:t>
      </w:r>
      <w:r>
        <w:rPr>
          <w:rFonts w:ascii="TT Norms Pro Medium"/>
          <w:b/>
          <w:spacing w:val="-4"/>
          <w:sz w:val="16"/>
        </w:rPr>
        <w:t>AUSTRALIA</w:t>
      </w:r>
    </w:p>
    <w:p>
      <w:pPr>
        <w:pStyle w:val="BodyText"/>
        <w:spacing w:before="36"/>
        <w:rPr>
          <w:rFonts w:ascii="TT Norms Pro Medium"/>
          <w:b/>
          <w:sz w:val="16"/>
        </w:rPr>
      </w:pPr>
    </w:p>
    <w:p>
      <w:pPr>
        <w:spacing w:before="0"/>
        <w:ind w:left="480" w:right="0" w:firstLine="0"/>
        <w:jc w:val="left"/>
        <w:rPr>
          <w:rFonts w:ascii="TT Norms Pro Light"/>
          <w:b w:val="0"/>
          <w:sz w:val="16"/>
        </w:rPr>
      </w:pPr>
      <w:r>
        <w:rPr>
          <w:rFonts w:ascii="TT Norms Pro Light"/>
          <w:b w:val="0"/>
          <w:sz w:val="16"/>
        </w:rPr>
        <w:t>AUSTRALIA</w:t>
      </w:r>
      <w:r>
        <w:rPr>
          <w:rFonts w:ascii="TT Norms Pro Light"/>
          <w:b w:val="0"/>
          <w:spacing w:val="-10"/>
          <w:sz w:val="16"/>
        </w:rPr>
        <w:t> </w:t>
      </w:r>
      <w:r>
        <w:rPr>
          <w:rFonts w:ascii="TT Norms Pro Light"/>
          <w:b w:val="0"/>
          <w:sz w:val="16"/>
        </w:rPr>
        <w:t>DAY</w:t>
      </w:r>
      <w:r>
        <w:rPr>
          <w:rFonts w:ascii="TT Norms Pro Light"/>
          <w:b w:val="0"/>
          <w:spacing w:val="-8"/>
          <w:sz w:val="16"/>
        </w:rPr>
        <w:t> </w:t>
      </w:r>
      <w:r>
        <w:rPr>
          <w:rFonts w:ascii="TT Norms Pro Light"/>
          <w:b w:val="0"/>
          <w:sz w:val="16"/>
        </w:rPr>
        <w:t>HONOURS</w:t>
      </w:r>
      <w:r>
        <w:rPr>
          <w:rFonts w:ascii="TT Norms Pro Light"/>
          <w:b w:val="0"/>
          <w:spacing w:val="-7"/>
          <w:sz w:val="16"/>
        </w:rPr>
        <w:t> </w:t>
      </w:r>
      <w:r>
        <w:rPr>
          <w:rFonts w:ascii="TT Norms Pro Light"/>
          <w:b w:val="0"/>
          <w:spacing w:val="-4"/>
          <w:sz w:val="16"/>
        </w:rPr>
        <w:t>LIST</w:t>
      </w:r>
    </w:p>
    <w:p>
      <w:pPr>
        <w:pStyle w:val="BodyText"/>
        <w:spacing w:before="15"/>
        <w:rPr>
          <w:b w:val="0"/>
          <w:sz w:val="16"/>
        </w:rPr>
      </w:pPr>
    </w:p>
    <w:p>
      <w:pPr>
        <w:spacing w:before="0"/>
        <w:ind w:left="763" w:right="0" w:firstLine="0"/>
        <w:jc w:val="left"/>
        <w:rPr>
          <w:rFonts w:ascii="TT Norms Pro Medium"/>
          <w:b/>
          <w:sz w:val="14"/>
        </w:rPr>
      </w:pPr>
      <w:r>
        <w:rPr>
          <w:rFonts w:ascii="TT Norms Pro Medium"/>
          <w:b/>
          <w:spacing w:val="-4"/>
          <w:sz w:val="14"/>
        </w:rPr>
        <w:t>Dr</w:t>
      </w:r>
      <w:r>
        <w:rPr>
          <w:rFonts w:ascii="TT Norms Pro Medium"/>
          <w:b/>
          <w:spacing w:val="1"/>
          <w:sz w:val="14"/>
        </w:rPr>
        <w:t> </w:t>
      </w:r>
      <w:r>
        <w:rPr>
          <w:rFonts w:ascii="TT Norms Pro Medium"/>
          <w:b/>
          <w:spacing w:val="-4"/>
          <w:sz w:val="14"/>
        </w:rPr>
        <w:t>Anthony</w:t>
      </w:r>
      <w:r>
        <w:rPr>
          <w:rFonts w:ascii="TT Norms Pro Medium"/>
          <w:b/>
          <w:spacing w:val="1"/>
          <w:sz w:val="14"/>
        </w:rPr>
        <w:t> </w:t>
      </w:r>
      <w:r>
        <w:rPr>
          <w:rFonts w:ascii="TT Norms Pro Medium"/>
          <w:b/>
          <w:spacing w:val="-4"/>
          <w:sz w:val="14"/>
        </w:rPr>
        <w:t>Mylius</w:t>
      </w:r>
    </w:p>
    <w:p>
      <w:pPr>
        <w:spacing w:before="36"/>
        <w:ind w:left="763" w:right="0" w:firstLine="0"/>
        <w:jc w:val="left"/>
        <w:rPr>
          <w:rFonts w:ascii="TT Norms Pro Light"/>
          <w:b w:val="0"/>
          <w:i/>
          <w:sz w:val="14"/>
        </w:rPr>
      </w:pPr>
      <w:r>
        <w:rPr>
          <w:rFonts w:ascii="TT Norms Pro Light"/>
          <w:b w:val="0"/>
          <w:sz w:val="14"/>
        </w:rPr>
        <w:t>Medical</w:t>
      </w:r>
      <w:r>
        <w:rPr>
          <w:rFonts w:ascii="TT Norms Pro Light"/>
          <w:b w:val="0"/>
          <w:spacing w:val="8"/>
          <w:sz w:val="14"/>
        </w:rPr>
        <w:t> </w:t>
      </w:r>
      <w:r>
        <w:rPr>
          <w:rFonts w:ascii="TT Norms Pro Light"/>
          <w:b w:val="0"/>
          <w:sz w:val="14"/>
        </w:rPr>
        <w:t>School,</w:t>
      </w:r>
      <w:r>
        <w:rPr>
          <w:rFonts w:ascii="TT Norms Pro Light"/>
          <w:b w:val="0"/>
          <w:spacing w:val="9"/>
          <w:sz w:val="14"/>
        </w:rPr>
        <w:t> </w:t>
      </w:r>
      <w:r>
        <w:rPr>
          <w:rFonts w:ascii="TT Norms Pro Light"/>
          <w:b w:val="0"/>
          <w:i/>
          <w:sz w:val="14"/>
        </w:rPr>
        <w:t>Appointed</w:t>
      </w:r>
      <w:r>
        <w:rPr>
          <w:rFonts w:ascii="TT Norms Pro Light"/>
          <w:b w:val="0"/>
          <w:i/>
          <w:spacing w:val="8"/>
          <w:sz w:val="14"/>
        </w:rPr>
        <w:t> </w:t>
      </w:r>
      <w:r>
        <w:rPr>
          <w:rFonts w:ascii="TT Norms Pro Light"/>
          <w:b w:val="0"/>
          <w:i/>
          <w:sz w:val="14"/>
        </w:rPr>
        <w:t>as</w:t>
      </w:r>
      <w:r>
        <w:rPr>
          <w:rFonts w:ascii="TT Norms Pro Light"/>
          <w:b w:val="0"/>
          <w:i/>
          <w:spacing w:val="9"/>
          <w:sz w:val="14"/>
        </w:rPr>
        <w:t> </w:t>
      </w:r>
      <w:r>
        <w:rPr>
          <w:rFonts w:ascii="TT Norms Pro Light"/>
          <w:b w:val="0"/>
          <w:i/>
          <w:sz w:val="14"/>
        </w:rPr>
        <w:t>a</w:t>
      </w:r>
      <w:r>
        <w:rPr>
          <w:rFonts w:ascii="TT Norms Pro Light"/>
          <w:b w:val="0"/>
          <w:i/>
          <w:spacing w:val="9"/>
          <w:sz w:val="14"/>
        </w:rPr>
        <w:t> </w:t>
      </w:r>
      <w:r>
        <w:rPr>
          <w:rFonts w:ascii="TT Norms Pro Light"/>
          <w:b w:val="0"/>
          <w:i/>
          <w:spacing w:val="-2"/>
          <w:sz w:val="14"/>
        </w:rPr>
        <w:t>Member</w:t>
      </w:r>
    </w:p>
    <w:p>
      <w:pPr>
        <w:pStyle w:val="BodyText"/>
        <w:spacing w:before="93"/>
        <w:rPr>
          <w:b w:val="0"/>
          <w:i/>
          <w:sz w:val="14"/>
        </w:rPr>
      </w:pPr>
    </w:p>
    <w:p>
      <w:pPr>
        <w:spacing w:line="307" w:lineRule="auto" w:before="0"/>
        <w:ind w:left="480" w:right="21" w:firstLine="0"/>
        <w:jc w:val="left"/>
        <w:rPr>
          <w:rFonts w:ascii="TT Norms Pro Medium" w:hAnsi="TT Norms Pro Medium"/>
          <w:b/>
          <w:sz w:val="16"/>
        </w:rPr>
      </w:pPr>
      <w:r>
        <w:rPr>
          <w:rFonts w:ascii="TT Norms Pro Medium" w:hAnsi="TT Norms Pro Medium"/>
          <w:b/>
          <w:sz w:val="16"/>
        </w:rPr>
        <w:t>WESTERN</w:t>
      </w:r>
      <w:r>
        <w:rPr>
          <w:rFonts w:ascii="TT Norms Pro Medium" w:hAnsi="TT Norms Pro Medium"/>
          <w:b/>
          <w:spacing w:val="-10"/>
          <w:sz w:val="16"/>
        </w:rPr>
        <w:t> </w:t>
      </w:r>
      <w:r>
        <w:rPr>
          <w:rFonts w:ascii="TT Norms Pro Medium" w:hAnsi="TT Norms Pro Medium"/>
          <w:b/>
          <w:sz w:val="16"/>
        </w:rPr>
        <w:t>AUSTRALIA’S</w:t>
      </w:r>
      <w:r>
        <w:rPr>
          <w:rFonts w:ascii="TT Norms Pro Medium" w:hAnsi="TT Norms Pro Medium"/>
          <w:b/>
          <w:spacing w:val="40"/>
          <w:sz w:val="16"/>
        </w:rPr>
        <w:t> </w:t>
      </w:r>
      <w:r>
        <w:rPr>
          <w:rFonts w:ascii="TT Norms Pro Medium" w:hAnsi="TT Norms Pro Medium"/>
          <w:b/>
          <w:spacing w:val="-2"/>
          <w:sz w:val="16"/>
        </w:rPr>
        <w:t>AUSTRALIAN</w:t>
      </w:r>
      <w:r>
        <w:rPr>
          <w:rFonts w:ascii="TT Norms Pro Medium" w:hAnsi="TT Norms Pro Medium"/>
          <w:b/>
          <w:spacing w:val="-8"/>
          <w:sz w:val="16"/>
        </w:rPr>
        <w:t> </w:t>
      </w:r>
      <w:r>
        <w:rPr>
          <w:rFonts w:ascii="TT Norms Pro Medium" w:hAnsi="TT Norms Pro Medium"/>
          <w:b/>
          <w:spacing w:val="-2"/>
          <w:sz w:val="16"/>
        </w:rPr>
        <w:t>OF</w:t>
      </w:r>
      <w:r>
        <w:rPr>
          <w:rFonts w:ascii="TT Norms Pro Medium" w:hAnsi="TT Norms Pro Medium"/>
          <w:b/>
          <w:spacing w:val="-7"/>
          <w:sz w:val="16"/>
        </w:rPr>
        <w:t> </w:t>
      </w:r>
      <w:r>
        <w:rPr>
          <w:rFonts w:ascii="TT Norms Pro Medium" w:hAnsi="TT Norms Pro Medium"/>
          <w:b/>
          <w:spacing w:val="-2"/>
          <w:sz w:val="16"/>
        </w:rPr>
        <w:t>THE</w:t>
      </w:r>
      <w:r>
        <w:rPr>
          <w:rFonts w:ascii="TT Norms Pro Medium" w:hAnsi="TT Norms Pro Medium"/>
          <w:b/>
          <w:spacing w:val="-8"/>
          <w:sz w:val="16"/>
        </w:rPr>
        <w:t> </w:t>
      </w:r>
      <w:r>
        <w:rPr>
          <w:rFonts w:ascii="TT Norms Pro Medium" w:hAnsi="TT Norms Pro Medium"/>
          <w:b/>
          <w:spacing w:val="-2"/>
          <w:sz w:val="16"/>
        </w:rPr>
        <w:t>YEAR</w:t>
      </w:r>
      <w:r>
        <w:rPr>
          <w:rFonts w:ascii="TT Norms Pro Medium" w:hAnsi="TT Norms Pro Medium"/>
          <w:b/>
          <w:spacing w:val="-7"/>
          <w:sz w:val="16"/>
        </w:rPr>
        <w:t> </w:t>
      </w:r>
      <w:r>
        <w:rPr>
          <w:rFonts w:ascii="TT Norms Pro Medium" w:hAnsi="TT Norms Pro Medium"/>
          <w:b/>
          <w:spacing w:val="-2"/>
          <w:sz w:val="16"/>
        </w:rPr>
        <w:t>AWARDS</w:t>
      </w:r>
    </w:p>
    <w:p>
      <w:pPr>
        <w:pStyle w:val="BodyText"/>
        <w:spacing w:before="41"/>
        <w:rPr>
          <w:rFonts w:ascii="TT Norms Pro Medium"/>
          <w:b/>
          <w:sz w:val="16"/>
        </w:rPr>
      </w:pPr>
    </w:p>
    <w:p>
      <w:pPr>
        <w:spacing w:before="0"/>
        <w:ind w:left="480" w:right="0" w:firstLine="0"/>
        <w:jc w:val="left"/>
        <w:rPr>
          <w:rFonts w:ascii="TT Norms Pro Light"/>
          <w:b w:val="0"/>
          <w:sz w:val="16"/>
        </w:rPr>
      </w:pPr>
      <w:r>
        <w:rPr>
          <w:rFonts w:ascii="TT Norms Pro Light"/>
          <w:b w:val="0"/>
          <w:sz w:val="16"/>
        </w:rPr>
        <w:t>WA</w:t>
      </w:r>
      <w:r>
        <w:rPr>
          <w:rFonts w:ascii="TT Norms Pro Light"/>
          <w:b w:val="0"/>
          <w:spacing w:val="5"/>
          <w:sz w:val="16"/>
        </w:rPr>
        <w:t> </w:t>
      </w:r>
      <w:r>
        <w:rPr>
          <w:rFonts w:ascii="TT Norms Pro Light"/>
          <w:b w:val="0"/>
          <w:sz w:val="16"/>
        </w:rPr>
        <w:t>AUSTRALIAN</w:t>
      </w:r>
      <w:r>
        <w:rPr>
          <w:rFonts w:ascii="TT Norms Pro Light"/>
          <w:b w:val="0"/>
          <w:spacing w:val="5"/>
          <w:sz w:val="16"/>
        </w:rPr>
        <w:t> </w:t>
      </w:r>
      <w:r>
        <w:rPr>
          <w:rFonts w:ascii="TT Norms Pro Light"/>
          <w:b w:val="0"/>
          <w:sz w:val="16"/>
        </w:rPr>
        <w:t>OF</w:t>
      </w:r>
      <w:r>
        <w:rPr>
          <w:rFonts w:ascii="TT Norms Pro Light"/>
          <w:b w:val="0"/>
          <w:spacing w:val="5"/>
          <w:sz w:val="16"/>
        </w:rPr>
        <w:t> </w:t>
      </w:r>
      <w:r>
        <w:rPr>
          <w:rFonts w:ascii="TT Norms Pro Light"/>
          <w:b w:val="0"/>
          <w:sz w:val="16"/>
        </w:rPr>
        <w:t>THE</w:t>
      </w:r>
      <w:r>
        <w:rPr>
          <w:rFonts w:ascii="TT Norms Pro Light"/>
          <w:b w:val="0"/>
          <w:spacing w:val="5"/>
          <w:sz w:val="16"/>
        </w:rPr>
        <w:t> </w:t>
      </w:r>
      <w:r>
        <w:rPr>
          <w:rFonts w:ascii="TT Norms Pro Light"/>
          <w:b w:val="0"/>
          <w:spacing w:val="-4"/>
          <w:sz w:val="16"/>
        </w:rPr>
        <w:t>YEAR</w:t>
      </w:r>
    </w:p>
    <w:p>
      <w:pPr>
        <w:pStyle w:val="BodyText"/>
        <w:spacing w:before="14"/>
        <w:rPr>
          <w:b w:val="0"/>
          <w:sz w:val="16"/>
        </w:rPr>
      </w:pPr>
    </w:p>
    <w:p>
      <w:pPr>
        <w:spacing w:before="0"/>
        <w:ind w:left="763" w:right="0" w:firstLine="0"/>
        <w:jc w:val="left"/>
        <w:rPr>
          <w:rFonts w:ascii="TT Norms Pro Medium"/>
          <w:b/>
          <w:sz w:val="14"/>
        </w:rPr>
      </w:pPr>
      <w:r>
        <w:rPr>
          <w:rFonts w:ascii="TT Norms Pro Medium"/>
          <w:b/>
          <w:spacing w:val="-4"/>
          <w:sz w:val="14"/>
        </w:rPr>
        <w:t>Professor</w:t>
      </w:r>
      <w:r>
        <w:rPr>
          <w:rFonts w:ascii="TT Norms Pro Medium"/>
          <w:b/>
          <w:spacing w:val="6"/>
          <w:sz w:val="14"/>
        </w:rPr>
        <w:t> </w:t>
      </w:r>
      <w:r>
        <w:rPr>
          <w:rFonts w:ascii="TT Norms Pro Medium"/>
          <w:b/>
          <w:spacing w:val="-4"/>
          <w:sz w:val="14"/>
        </w:rPr>
        <w:t>Helen</w:t>
      </w:r>
      <w:r>
        <w:rPr>
          <w:rFonts w:ascii="TT Norms Pro Medium"/>
          <w:b/>
          <w:spacing w:val="7"/>
          <w:sz w:val="14"/>
        </w:rPr>
        <w:t> </w:t>
      </w:r>
      <w:r>
        <w:rPr>
          <w:rFonts w:ascii="TT Norms Pro Medium"/>
          <w:b/>
          <w:spacing w:val="-4"/>
          <w:sz w:val="14"/>
        </w:rPr>
        <w:t>Milroy</w:t>
      </w:r>
    </w:p>
    <w:p>
      <w:pPr>
        <w:spacing w:before="37"/>
        <w:ind w:left="763" w:right="0" w:firstLine="0"/>
        <w:jc w:val="left"/>
        <w:rPr>
          <w:rFonts w:ascii="TT Norms Pro Light"/>
          <w:b w:val="0"/>
          <w:sz w:val="14"/>
        </w:rPr>
      </w:pPr>
      <w:r>
        <w:rPr>
          <w:rFonts w:ascii="TT Norms Pro Light"/>
          <w:b w:val="0"/>
          <w:sz w:val="14"/>
        </w:rPr>
        <w:t>Medical</w:t>
      </w:r>
      <w:r>
        <w:rPr>
          <w:rFonts w:ascii="TT Norms Pro Light"/>
          <w:b w:val="0"/>
          <w:spacing w:val="15"/>
          <w:sz w:val="14"/>
        </w:rPr>
        <w:t> </w:t>
      </w:r>
      <w:r>
        <w:rPr>
          <w:rFonts w:ascii="TT Norms Pro Light"/>
          <w:b w:val="0"/>
          <w:spacing w:val="-2"/>
          <w:sz w:val="14"/>
        </w:rPr>
        <w:t>School</w:t>
      </w:r>
    </w:p>
    <w:p>
      <w:pPr>
        <w:pStyle w:val="BodyText"/>
        <w:spacing w:before="93"/>
        <w:rPr>
          <w:b w:val="0"/>
          <w:sz w:val="14"/>
        </w:rPr>
      </w:pPr>
    </w:p>
    <w:p>
      <w:pPr>
        <w:spacing w:line="307" w:lineRule="auto" w:before="0"/>
        <w:ind w:left="480" w:right="492" w:firstLine="0"/>
        <w:jc w:val="left"/>
        <w:rPr>
          <w:rFonts w:ascii="TT Norms Pro Light"/>
          <w:b w:val="0"/>
          <w:sz w:val="16"/>
        </w:rPr>
      </w:pPr>
      <w:r>
        <w:rPr>
          <w:rFonts w:ascii="TT Norms Pro Light"/>
          <w:b w:val="0"/>
          <w:sz w:val="16"/>
        </w:rPr>
        <w:t>WA</w:t>
      </w:r>
      <w:r>
        <w:rPr>
          <w:rFonts w:ascii="TT Norms Pro Light"/>
          <w:b w:val="0"/>
          <w:spacing w:val="-3"/>
          <w:sz w:val="16"/>
        </w:rPr>
        <w:t> </w:t>
      </w:r>
      <w:r>
        <w:rPr>
          <w:rFonts w:ascii="TT Norms Pro Light"/>
          <w:b w:val="0"/>
          <w:sz w:val="16"/>
        </w:rPr>
        <w:t>SENIOR</w:t>
      </w:r>
      <w:r>
        <w:rPr>
          <w:rFonts w:ascii="TT Norms Pro Light"/>
          <w:b w:val="0"/>
          <w:spacing w:val="-3"/>
          <w:sz w:val="16"/>
        </w:rPr>
        <w:t> </w:t>
      </w:r>
      <w:r>
        <w:rPr>
          <w:rFonts w:ascii="TT Norms Pro Light"/>
          <w:b w:val="0"/>
          <w:sz w:val="16"/>
        </w:rPr>
        <w:t>AUSTRALIAN</w:t>
      </w:r>
      <w:r>
        <w:rPr>
          <w:rFonts w:ascii="TT Norms Pro Light"/>
          <w:b w:val="0"/>
          <w:spacing w:val="-4"/>
          <w:sz w:val="16"/>
        </w:rPr>
        <w:t> </w:t>
      </w:r>
      <w:r>
        <w:rPr>
          <w:rFonts w:ascii="TT Norms Pro Light"/>
          <w:b w:val="0"/>
          <w:sz w:val="16"/>
        </w:rPr>
        <w:t>OF</w:t>
      </w:r>
      <w:r>
        <w:rPr>
          <w:rFonts w:ascii="TT Norms Pro Light"/>
          <w:b w:val="0"/>
          <w:spacing w:val="40"/>
          <w:sz w:val="16"/>
        </w:rPr>
        <w:t> </w:t>
      </w:r>
      <w:r>
        <w:rPr>
          <w:rFonts w:ascii="TT Norms Pro Light"/>
          <w:b w:val="0"/>
          <w:sz w:val="16"/>
        </w:rPr>
        <w:t>THE</w:t>
      </w:r>
      <w:r>
        <w:rPr>
          <w:rFonts w:ascii="TT Norms Pro Light"/>
          <w:b w:val="0"/>
          <w:spacing w:val="-8"/>
          <w:sz w:val="16"/>
        </w:rPr>
        <w:t> </w:t>
      </w:r>
      <w:r>
        <w:rPr>
          <w:rFonts w:ascii="TT Norms Pro Light"/>
          <w:b w:val="0"/>
          <w:sz w:val="16"/>
        </w:rPr>
        <w:t>YEAR</w:t>
      </w:r>
    </w:p>
    <w:p>
      <w:pPr>
        <w:spacing w:before="150"/>
        <w:ind w:left="0" w:right="1099" w:firstLine="0"/>
        <w:jc w:val="right"/>
        <w:rPr>
          <w:rFonts w:ascii="TT Norms Pro Medium"/>
          <w:b/>
          <w:sz w:val="14"/>
        </w:rPr>
      </w:pPr>
      <w:r>
        <w:rPr>
          <w:rFonts w:ascii="TT Norms Pro Medium"/>
          <w:b/>
          <w:spacing w:val="-4"/>
          <w:sz w:val="14"/>
        </w:rPr>
        <w:t>Dr</w:t>
      </w:r>
      <w:r>
        <w:rPr>
          <w:rFonts w:ascii="TT Norms Pro Medium"/>
          <w:b/>
          <w:spacing w:val="2"/>
          <w:sz w:val="14"/>
        </w:rPr>
        <w:t> </w:t>
      </w:r>
      <w:r>
        <w:rPr>
          <w:rFonts w:ascii="TT Norms Pro Medium"/>
          <w:b/>
          <w:spacing w:val="-4"/>
          <w:sz w:val="14"/>
        </w:rPr>
        <w:t>Richard</w:t>
      </w:r>
      <w:r>
        <w:rPr>
          <w:rFonts w:ascii="TT Norms Pro Medium"/>
          <w:b/>
          <w:spacing w:val="2"/>
          <w:sz w:val="14"/>
        </w:rPr>
        <w:t> </w:t>
      </w:r>
      <w:r>
        <w:rPr>
          <w:rFonts w:ascii="TT Norms Pro Medium"/>
          <w:b/>
          <w:spacing w:val="-4"/>
          <w:sz w:val="14"/>
        </w:rPr>
        <w:t>Walley</w:t>
      </w:r>
      <w:r>
        <w:rPr>
          <w:rFonts w:ascii="TT Norms Pro Medium"/>
          <w:b/>
          <w:spacing w:val="2"/>
          <w:sz w:val="14"/>
        </w:rPr>
        <w:t> </w:t>
      </w:r>
      <w:r>
        <w:rPr>
          <w:rFonts w:ascii="TT Norms Pro Medium"/>
          <w:b/>
          <w:spacing w:val="-5"/>
          <w:sz w:val="14"/>
        </w:rPr>
        <w:t>OAM</w:t>
      </w:r>
    </w:p>
    <w:p>
      <w:pPr>
        <w:spacing w:before="36"/>
        <w:ind w:left="763" w:right="0" w:firstLine="0"/>
        <w:jc w:val="left"/>
        <w:rPr>
          <w:rFonts w:ascii="TT Norms Pro Light"/>
          <w:b w:val="0"/>
          <w:sz w:val="14"/>
        </w:rPr>
      </w:pPr>
      <w:r>
        <w:rPr>
          <w:rFonts w:ascii="TT Norms Pro Light"/>
          <w:b w:val="0"/>
          <w:sz w:val="14"/>
        </w:rPr>
        <w:t>School</w:t>
      </w:r>
      <w:r>
        <w:rPr>
          <w:rFonts w:ascii="TT Norms Pro Light"/>
          <w:b w:val="0"/>
          <w:spacing w:val="8"/>
          <w:sz w:val="14"/>
        </w:rPr>
        <w:t> </w:t>
      </w:r>
      <w:r>
        <w:rPr>
          <w:rFonts w:ascii="TT Norms Pro Light"/>
          <w:b w:val="0"/>
          <w:sz w:val="14"/>
        </w:rPr>
        <w:t>of</w:t>
      </w:r>
      <w:r>
        <w:rPr>
          <w:rFonts w:ascii="TT Norms Pro Light"/>
          <w:b w:val="0"/>
          <w:spacing w:val="10"/>
          <w:sz w:val="14"/>
        </w:rPr>
        <w:t> </w:t>
      </w:r>
      <w:r>
        <w:rPr>
          <w:rFonts w:ascii="TT Norms Pro Light"/>
          <w:b w:val="0"/>
          <w:sz w:val="14"/>
        </w:rPr>
        <w:t>Indigenous</w:t>
      </w:r>
      <w:r>
        <w:rPr>
          <w:rFonts w:ascii="TT Norms Pro Light"/>
          <w:b w:val="0"/>
          <w:spacing w:val="10"/>
          <w:sz w:val="14"/>
        </w:rPr>
        <w:t> </w:t>
      </w:r>
      <w:r>
        <w:rPr>
          <w:rFonts w:ascii="TT Norms Pro Light"/>
          <w:b w:val="0"/>
          <w:spacing w:val="-2"/>
          <w:sz w:val="14"/>
        </w:rPr>
        <w:t>Studies</w:t>
      </w:r>
    </w:p>
    <w:p>
      <w:pPr>
        <w:pStyle w:val="BodyText"/>
        <w:spacing w:before="93"/>
        <w:rPr>
          <w:b w:val="0"/>
          <w:sz w:val="14"/>
        </w:rPr>
      </w:pPr>
    </w:p>
    <w:p>
      <w:pPr>
        <w:spacing w:line="307" w:lineRule="auto" w:before="0"/>
        <w:ind w:left="480" w:right="372" w:firstLine="0"/>
        <w:jc w:val="left"/>
        <w:rPr>
          <w:rFonts w:ascii="TT Norms Pro Medium"/>
          <w:b/>
          <w:sz w:val="16"/>
        </w:rPr>
      </w:pPr>
      <w:r>
        <w:rPr>
          <w:rFonts w:ascii="TT Norms Pro Medium"/>
          <w:b/>
          <w:spacing w:val="-2"/>
          <w:sz w:val="16"/>
        </w:rPr>
        <w:t>WESTERN</w:t>
      </w:r>
      <w:r>
        <w:rPr>
          <w:rFonts w:ascii="TT Norms Pro Medium"/>
          <w:b/>
          <w:spacing w:val="-8"/>
          <w:sz w:val="16"/>
        </w:rPr>
        <w:t> </w:t>
      </w:r>
      <w:r>
        <w:rPr>
          <w:rFonts w:ascii="TT Norms Pro Medium"/>
          <w:b/>
          <w:spacing w:val="-2"/>
          <w:sz w:val="16"/>
        </w:rPr>
        <w:t>AUSTRALIAN</w:t>
      </w:r>
      <w:r>
        <w:rPr>
          <w:rFonts w:ascii="TT Norms Pro Medium"/>
          <w:b/>
          <w:spacing w:val="-7"/>
          <w:sz w:val="16"/>
        </w:rPr>
        <w:t> </w:t>
      </w:r>
      <w:r>
        <w:rPr>
          <w:rFonts w:ascii="TT Norms Pro Medium"/>
          <w:b/>
          <w:spacing w:val="-2"/>
          <w:sz w:val="16"/>
        </w:rPr>
        <w:t>YOUNG</w:t>
      </w:r>
      <w:r>
        <w:rPr>
          <w:rFonts w:ascii="TT Norms Pro Medium"/>
          <w:b/>
          <w:spacing w:val="40"/>
          <w:sz w:val="16"/>
        </w:rPr>
        <w:t> </w:t>
      </w:r>
      <w:r>
        <w:rPr>
          <w:rFonts w:ascii="TT Norms Pro Medium"/>
          <w:b/>
          <w:sz w:val="16"/>
        </w:rPr>
        <w:t>AUSTRALIAN OF THE YEAR</w:t>
      </w:r>
    </w:p>
    <w:p>
      <w:pPr>
        <w:pStyle w:val="BodyText"/>
        <w:spacing w:before="33"/>
        <w:rPr>
          <w:rFonts w:ascii="TT Norms Pro Medium"/>
          <w:b/>
          <w:sz w:val="16"/>
        </w:rPr>
      </w:pPr>
    </w:p>
    <w:p>
      <w:pPr>
        <w:spacing w:before="0"/>
        <w:ind w:left="763" w:right="0" w:firstLine="0"/>
        <w:jc w:val="left"/>
        <w:rPr>
          <w:rFonts w:ascii="TT Norms Pro Medium"/>
          <w:b/>
          <w:sz w:val="14"/>
        </w:rPr>
      </w:pPr>
      <w:r>
        <w:rPr>
          <w:rFonts w:ascii="TT Norms Pro Medium"/>
          <w:b/>
          <w:w w:val="90"/>
          <w:sz w:val="14"/>
        </w:rPr>
        <w:t>Yarlalu</w:t>
      </w:r>
      <w:r>
        <w:rPr>
          <w:rFonts w:ascii="TT Norms Pro Medium"/>
          <w:b/>
          <w:spacing w:val="17"/>
          <w:sz w:val="14"/>
        </w:rPr>
        <w:t> </w:t>
      </w:r>
      <w:r>
        <w:rPr>
          <w:rFonts w:ascii="TT Norms Pro Medium"/>
          <w:b/>
          <w:spacing w:val="-2"/>
          <w:sz w:val="14"/>
        </w:rPr>
        <w:t>Thomas</w:t>
      </w:r>
    </w:p>
    <w:p>
      <w:pPr>
        <w:spacing w:line="292" w:lineRule="auto" w:before="36"/>
        <w:ind w:left="763" w:right="89" w:firstLine="0"/>
        <w:jc w:val="left"/>
        <w:rPr>
          <w:rFonts w:ascii="TT Norms Pro Light"/>
          <w:b w:val="0"/>
          <w:sz w:val="14"/>
        </w:rPr>
      </w:pPr>
      <w:r>
        <w:rPr>
          <w:rFonts w:ascii="TT Norms Pro Light"/>
          <w:b w:val="0"/>
          <w:sz w:val="14"/>
        </w:rPr>
        <w:t>Precision Public Health Fellow in Genetic</w:t>
      </w:r>
      <w:r>
        <w:rPr>
          <w:rFonts w:ascii="TT Norms Pro Light"/>
          <w:b w:val="0"/>
          <w:spacing w:val="40"/>
          <w:sz w:val="14"/>
        </w:rPr>
        <w:t> </w:t>
      </w:r>
      <w:r>
        <w:rPr>
          <w:rFonts w:ascii="TT Norms Pro Light"/>
          <w:b w:val="0"/>
          <w:sz w:val="14"/>
        </w:rPr>
        <w:t>and Rare Diseases (Pilbara)</w:t>
      </w:r>
    </w:p>
    <w:p>
      <w:pPr>
        <w:pStyle w:val="BodyText"/>
        <w:spacing w:before="38"/>
        <w:rPr>
          <w:b w:val="0"/>
          <w:sz w:val="14"/>
        </w:rPr>
      </w:pPr>
    </w:p>
    <w:p>
      <w:pPr>
        <w:spacing w:line="307" w:lineRule="auto" w:before="0"/>
        <w:ind w:left="480" w:right="89" w:firstLine="0"/>
        <w:jc w:val="left"/>
        <w:rPr>
          <w:rFonts w:ascii="TT Norms Pro Medium"/>
          <w:b/>
          <w:sz w:val="16"/>
        </w:rPr>
      </w:pPr>
      <w:r>
        <w:rPr>
          <w:rFonts w:ascii="TT Norms Pro Medium"/>
          <w:b/>
          <w:spacing w:val="-4"/>
          <w:sz w:val="16"/>
        </w:rPr>
        <w:t>SOUTH AUSTRALIAN YOUNG</w:t>
      </w:r>
      <w:r>
        <w:rPr>
          <w:rFonts w:ascii="TT Norms Pro Medium"/>
          <w:b/>
          <w:spacing w:val="40"/>
          <w:sz w:val="16"/>
        </w:rPr>
        <w:t> </w:t>
      </w:r>
      <w:r>
        <w:rPr>
          <w:rFonts w:ascii="TT Norms Pro Medium"/>
          <w:b/>
          <w:sz w:val="16"/>
        </w:rPr>
        <w:t>AUSTRALIAN OF THE YEAR</w:t>
      </w:r>
    </w:p>
    <w:p>
      <w:pPr>
        <w:pStyle w:val="BodyText"/>
        <w:spacing w:before="19"/>
        <w:rPr>
          <w:rFonts w:ascii="TT Norms Pro Medium"/>
          <w:b/>
          <w:sz w:val="16"/>
        </w:rPr>
      </w:pPr>
    </w:p>
    <w:p>
      <w:pPr>
        <w:spacing w:before="0"/>
        <w:ind w:left="763" w:right="0" w:firstLine="0"/>
        <w:jc w:val="left"/>
        <w:rPr>
          <w:rFonts w:ascii="TT Norms Pro Medium"/>
          <w:b/>
          <w:sz w:val="14"/>
        </w:rPr>
      </w:pPr>
      <w:r>
        <w:rPr>
          <w:rFonts w:ascii="TT Norms Pro Medium"/>
          <w:b/>
          <w:spacing w:val="-4"/>
          <w:sz w:val="14"/>
        </w:rPr>
        <w:t>Zibeon</w:t>
      </w:r>
      <w:r>
        <w:rPr>
          <w:rFonts w:ascii="TT Norms Pro Medium"/>
          <w:b/>
          <w:spacing w:val="4"/>
          <w:sz w:val="14"/>
        </w:rPr>
        <w:t> </w:t>
      </w:r>
      <w:r>
        <w:rPr>
          <w:rFonts w:ascii="TT Norms Pro Medium"/>
          <w:b/>
          <w:spacing w:val="-2"/>
          <w:sz w:val="14"/>
        </w:rPr>
        <w:t>Fielding</w:t>
      </w:r>
    </w:p>
    <w:p>
      <w:pPr>
        <w:spacing w:line="292" w:lineRule="auto" w:before="36"/>
        <w:ind w:left="763" w:right="89" w:firstLine="0"/>
        <w:jc w:val="left"/>
        <w:rPr>
          <w:rFonts w:ascii="TT Norms Pro Light"/>
          <w:b w:val="0"/>
          <w:sz w:val="14"/>
        </w:rPr>
      </w:pPr>
      <w:r>
        <w:rPr>
          <w:rFonts w:ascii="TT Norms Pro Light"/>
          <w:b w:val="0"/>
          <w:sz w:val="14"/>
        </w:rPr>
        <w:t>(Mimili Community, Anangu Pitjantjatjara</w:t>
      </w:r>
      <w:r>
        <w:rPr>
          <w:rFonts w:ascii="TT Norms Pro Light"/>
          <w:b w:val="0"/>
          <w:spacing w:val="40"/>
          <w:sz w:val="14"/>
        </w:rPr>
        <w:t> </w:t>
      </w:r>
      <w:r>
        <w:rPr>
          <w:rFonts w:ascii="TT Norms Pro Light"/>
          <w:b w:val="0"/>
          <w:sz w:val="14"/>
        </w:rPr>
        <w:t>Yankunytjatjara Lands), School of</w:t>
      </w:r>
      <w:r>
        <w:rPr>
          <w:rFonts w:ascii="TT Norms Pro Light"/>
          <w:b w:val="0"/>
          <w:spacing w:val="40"/>
          <w:sz w:val="14"/>
        </w:rPr>
        <w:t> </w:t>
      </w:r>
      <w:r>
        <w:rPr>
          <w:rFonts w:ascii="TT Norms Pro Light"/>
          <w:b w:val="0"/>
          <w:sz w:val="14"/>
        </w:rPr>
        <w:t>Indigenous</w:t>
      </w:r>
      <w:r>
        <w:rPr>
          <w:rFonts w:ascii="TT Norms Pro Light"/>
          <w:b w:val="0"/>
          <w:spacing w:val="-7"/>
          <w:sz w:val="14"/>
        </w:rPr>
        <w:t> </w:t>
      </w:r>
      <w:r>
        <w:rPr>
          <w:rFonts w:ascii="TT Norms Pro Light"/>
          <w:b w:val="0"/>
          <w:sz w:val="14"/>
        </w:rPr>
        <w:t>Studies</w:t>
      </w:r>
    </w:p>
    <w:p>
      <w:pPr>
        <w:spacing w:line="307" w:lineRule="auto" w:before="134"/>
        <w:ind w:left="366" w:right="904" w:firstLine="0"/>
        <w:jc w:val="left"/>
        <w:rPr>
          <w:rFonts w:ascii="TT Norms Pro Medium"/>
          <w:b/>
          <w:sz w:val="16"/>
        </w:rPr>
      </w:pPr>
      <w:r>
        <w:rPr/>
        <w:br w:type="column"/>
      </w:r>
      <w:r>
        <w:rPr>
          <w:rFonts w:ascii="TT Norms Pro Medium"/>
          <w:b/>
          <w:spacing w:val="-2"/>
          <w:sz w:val="16"/>
        </w:rPr>
        <w:t>WESTPAC</w:t>
      </w:r>
      <w:r>
        <w:rPr>
          <w:rFonts w:ascii="TT Norms Pro Medium"/>
          <w:b/>
          <w:spacing w:val="-8"/>
          <w:sz w:val="16"/>
        </w:rPr>
        <w:t> </w:t>
      </w:r>
      <w:r>
        <w:rPr>
          <w:rFonts w:ascii="TT Norms Pro Medium"/>
          <w:b/>
          <w:spacing w:val="-2"/>
          <w:sz w:val="16"/>
        </w:rPr>
        <w:t>-</w:t>
      </w:r>
      <w:r>
        <w:rPr>
          <w:rFonts w:ascii="TT Norms Pro Medium"/>
          <w:b/>
          <w:spacing w:val="-7"/>
          <w:sz w:val="16"/>
        </w:rPr>
        <w:t> </w:t>
      </w:r>
      <w:r>
        <w:rPr>
          <w:rFonts w:ascii="TT Norms Pro Medium"/>
          <w:b/>
          <w:spacing w:val="-2"/>
          <w:sz w:val="16"/>
        </w:rPr>
        <w:t>FUTURE</w:t>
      </w:r>
      <w:r>
        <w:rPr>
          <w:rFonts w:ascii="TT Norms Pro Medium"/>
          <w:b/>
          <w:spacing w:val="-8"/>
          <w:sz w:val="16"/>
        </w:rPr>
        <w:t> </w:t>
      </w:r>
      <w:r>
        <w:rPr>
          <w:rFonts w:ascii="TT Norms Pro Medium"/>
          <w:b/>
          <w:spacing w:val="-2"/>
          <w:sz w:val="16"/>
        </w:rPr>
        <w:t>LEADERS</w:t>
      </w:r>
      <w:r>
        <w:rPr>
          <w:rFonts w:ascii="TT Norms Pro Medium"/>
          <w:b/>
          <w:spacing w:val="40"/>
          <w:sz w:val="16"/>
        </w:rPr>
        <w:t> </w:t>
      </w:r>
      <w:r>
        <w:rPr>
          <w:rFonts w:ascii="TT Norms Pro Medium"/>
          <w:b/>
          <w:spacing w:val="-2"/>
          <w:sz w:val="16"/>
        </w:rPr>
        <w:t>SCHOLARSHIP</w:t>
      </w:r>
    </w:p>
    <w:p>
      <w:pPr>
        <w:pStyle w:val="BodyText"/>
        <w:spacing w:before="33"/>
        <w:rPr>
          <w:rFonts w:ascii="TT Norms Pro Medium"/>
          <w:b/>
          <w:sz w:val="16"/>
        </w:rPr>
      </w:pPr>
    </w:p>
    <w:p>
      <w:pPr>
        <w:spacing w:line="585" w:lineRule="auto" w:before="0"/>
        <w:ind w:left="649" w:right="1904" w:firstLine="0"/>
        <w:jc w:val="left"/>
        <w:rPr>
          <w:rFonts w:ascii="TT Norms Pro Medium"/>
          <w:b/>
          <w:sz w:val="14"/>
        </w:rPr>
      </w:pPr>
      <w:r>
        <w:rPr>
          <w:rFonts w:ascii="TT Norms Pro Medium"/>
          <w:b/>
          <w:spacing w:val="-2"/>
          <w:sz w:val="14"/>
        </w:rPr>
        <w:t>Kelly</w:t>
      </w:r>
      <w:r>
        <w:rPr>
          <w:rFonts w:ascii="TT Norms Pro Medium"/>
          <w:b/>
          <w:spacing w:val="-7"/>
          <w:sz w:val="14"/>
        </w:rPr>
        <w:t> </w:t>
      </w:r>
      <w:r>
        <w:rPr>
          <w:rFonts w:ascii="TT Norms Pro Medium"/>
          <w:b/>
          <w:spacing w:val="-2"/>
          <w:sz w:val="14"/>
        </w:rPr>
        <w:t>MacKinnon</w:t>
      </w:r>
      <w:r>
        <w:rPr>
          <w:rFonts w:ascii="TT Norms Pro Medium"/>
          <w:b/>
          <w:spacing w:val="40"/>
          <w:sz w:val="14"/>
        </w:rPr>
        <w:t> </w:t>
      </w:r>
      <w:r>
        <w:rPr>
          <w:rFonts w:ascii="TT Norms Pro Medium"/>
          <w:b/>
          <w:spacing w:val="-2"/>
          <w:sz w:val="14"/>
        </w:rPr>
        <w:t>Somayra</w:t>
      </w:r>
      <w:r>
        <w:rPr>
          <w:rFonts w:ascii="TT Norms Pro Medium"/>
          <w:b/>
          <w:spacing w:val="-7"/>
          <w:sz w:val="14"/>
        </w:rPr>
        <w:t> </w:t>
      </w:r>
      <w:r>
        <w:rPr>
          <w:rFonts w:ascii="TT Norms Pro Medium"/>
          <w:b/>
          <w:spacing w:val="-2"/>
          <w:sz w:val="14"/>
        </w:rPr>
        <w:t>Mamsa</w:t>
      </w:r>
    </w:p>
    <w:p>
      <w:pPr>
        <w:spacing w:before="22"/>
        <w:ind w:left="366" w:right="0" w:firstLine="0"/>
        <w:jc w:val="left"/>
        <w:rPr>
          <w:rFonts w:ascii="TT Norms Pro Medium"/>
          <w:b/>
          <w:sz w:val="16"/>
        </w:rPr>
      </w:pPr>
      <w:r>
        <w:rPr>
          <w:rFonts w:ascii="TT Norms Pro Medium"/>
          <w:b/>
          <w:spacing w:val="-4"/>
          <w:sz w:val="16"/>
        </w:rPr>
        <w:t>FULBRIGHT</w:t>
      </w:r>
      <w:r>
        <w:rPr>
          <w:rFonts w:ascii="TT Norms Pro Medium"/>
          <w:b/>
          <w:spacing w:val="-2"/>
          <w:sz w:val="16"/>
        </w:rPr>
        <w:t> </w:t>
      </w:r>
      <w:r>
        <w:rPr>
          <w:rFonts w:ascii="TT Norms Pro Medium"/>
          <w:b/>
          <w:spacing w:val="-4"/>
          <w:sz w:val="16"/>
        </w:rPr>
        <w:t>FUTURE</w:t>
      </w:r>
      <w:r>
        <w:rPr>
          <w:rFonts w:ascii="TT Norms Pro Medium"/>
          <w:b/>
          <w:spacing w:val="-2"/>
          <w:sz w:val="16"/>
        </w:rPr>
        <w:t> </w:t>
      </w:r>
      <w:r>
        <w:rPr>
          <w:rFonts w:ascii="TT Norms Pro Medium"/>
          <w:b/>
          <w:spacing w:val="-4"/>
          <w:sz w:val="16"/>
        </w:rPr>
        <w:t>SCHOLARSHIPS</w:t>
      </w:r>
    </w:p>
    <w:p>
      <w:pPr>
        <w:pStyle w:val="BodyText"/>
        <w:spacing w:before="71"/>
        <w:rPr>
          <w:rFonts w:ascii="TT Norms Pro Medium"/>
          <w:b/>
          <w:sz w:val="16"/>
        </w:rPr>
      </w:pPr>
    </w:p>
    <w:p>
      <w:pPr>
        <w:spacing w:line="585" w:lineRule="auto" w:before="0"/>
        <w:ind w:left="649" w:right="1925" w:firstLine="0"/>
        <w:jc w:val="left"/>
        <w:rPr>
          <w:rFonts w:ascii="TT Norms Pro Medium"/>
          <w:b/>
          <w:sz w:val="14"/>
        </w:rPr>
      </w:pPr>
      <w:r>
        <w:rPr>
          <w:rFonts w:ascii="TT Norms Pro Medium"/>
          <w:b/>
          <w:sz w:val="14"/>
        </w:rPr>
        <w:t>Paul</w:t>
      </w:r>
      <w:r>
        <w:rPr>
          <w:rFonts w:ascii="TT Norms Pro Medium"/>
          <w:b/>
          <w:spacing w:val="-9"/>
          <w:sz w:val="14"/>
        </w:rPr>
        <w:t> </w:t>
      </w:r>
      <w:r>
        <w:rPr>
          <w:rFonts w:ascii="TT Norms Pro Medium"/>
          <w:b/>
          <w:sz w:val="14"/>
        </w:rPr>
        <w:t>Branson</w:t>
      </w:r>
      <w:r>
        <w:rPr>
          <w:rFonts w:ascii="TT Norms Pro Medium"/>
          <w:b/>
          <w:spacing w:val="40"/>
          <w:sz w:val="14"/>
        </w:rPr>
        <w:t> </w:t>
      </w:r>
      <w:r>
        <w:rPr>
          <w:rFonts w:ascii="TT Norms Pro Medium"/>
          <w:b/>
          <w:spacing w:val="-2"/>
          <w:sz w:val="14"/>
        </w:rPr>
        <w:t>Francesca</w:t>
      </w:r>
      <w:r>
        <w:rPr>
          <w:rFonts w:ascii="TT Norms Pro Medium"/>
          <w:b/>
          <w:spacing w:val="-7"/>
          <w:sz w:val="14"/>
        </w:rPr>
        <w:t> </w:t>
      </w:r>
      <w:r>
        <w:rPr>
          <w:rFonts w:ascii="TT Norms Pro Medium"/>
          <w:b/>
          <w:spacing w:val="-2"/>
          <w:sz w:val="14"/>
        </w:rPr>
        <w:t>Carey</w:t>
      </w:r>
      <w:r>
        <w:rPr>
          <w:rFonts w:ascii="TT Norms Pro Medium"/>
          <w:b/>
          <w:spacing w:val="40"/>
          <w:sz w:val="14"/>
        </w:rPr>
        <w:t> </w:t>
      </w:r>
      <w:r>
        <w:rPr>
          <w:rFonts w:ascii="TT Norms Pro Medium"/>
          <w:b/>
          <w:sz w:val="14"/>
        </w:rPr>
        <w:t>Dr</w:t>
      </w:r>
      <w:r>
        <w:rPr>
          <w:rFonts w:ascii="TT Norms Pro Medium"/>
          <w:b/>
          <w:spacing w:val="-3"/>
          <w:sz w:val="14"/>
        </w:rPr>
        <w:t> </w:t>
      </w:r>
      <w:r>
        <w:rPr>
          <w:rFonts w:ascii="TT Norms Pro Medium"/>
          <w:b/>
          <w:sz w:val="14"/>
        </w:rPr>
        <w:t>Martin</w:t>
      </w:r>
      <w:r>
        <w:rPr>
          <w:rFonts w:ascii="TT Norms Pro Medium"/>
          <w:b/>
          <w:spacing w:val="-3"/>
          <w:sz w:val="14"/>
        </w:rPr>
        <w:t> </w:t>
      </w:r>
      <w:r>
        <w:rPr>
          <w:rFonts w:ascii="TT Norms Pro Medium"/>
          <w:b/>
          <w:sz w:val="14"/>
        </w:rPr>
        <w:t>Ebert</w:t>
      </w:r>
    </w:p>
    <w:p>
      <w:pPr>
        <w:spacing w:line="585" w:lineRule="auto" w:before="1"/>
        <w:ind w:left="649" w:right="1749" w:firstLine="0"/>
        <w:jc w:val="left"/>
        <w:rPr>
          <w:rFonts w:ascii="TT Norms Pro Medium"/>
          <w:b/>
          <w:sz w:val="14"/>
        </w:rPr>
      </w:pPr>
      <w:r>
        <w:rPr>
          <w:rFonts w:ascii="TT Norms Pro Medium"/>
          <w:b/>
          <w:spacing w:val="-2"/>
          <w:sz w:val="14"/>
        </w:rPr>
        <w:t>Dr</w:t>
      </w:r>
      <w:r>
        <w:rPr>
          <w:rFonts w:ascii="TT Norms Pro Medium"/>
          <w:b/>
          <w:spacing w:val="-7"/>
          <w:sz w:val="14"/>
        </w:rPr>
        <w:t> </w:t>
      </w:r>
      <w:r>
        <w:rPr>
          <w:rFonts w:ascii="TT Norms Pro Medium"/>
          <w:b/>
          <w:spacing w:val="-2"/>
          <w:sz w:val="14"/>
        </w:rPr>
        <w:t>Arman</w:t>
      </w:r>
      <w:r>
        <w:rPr>
          <w:rFonts w:ascii="TT Norms Pro Medium"/>
          <w:b/>
          <w:spacing w:val="-6"/>
          <w:sz w:val="14"/>
        </w:rPr>
        <w:t> </w:t>
      </w:r>
      <w:r>
        <w:rPr>
          <w:rFonts w:ascii="TT Norms Pro Medium"/>
          <w:b/>
          <w:spacing w:val="-2"/>
          <w:sz w:val="14"/>
        </w:rPr>
        <w:t>Siahvashi</w:t>
      </w:r>
      <w:r>
        <w:rPr>
          <w:rFonts w:ascii="TT Norms Pro Medium"/>
          <w:b/>
          <w:spacing w:val="40"/>
          <w:sz w:val="14"/>
        </w:rPr>
        <w:t> </w:t>
      </w:r>
      <w:r>
        <w:rPr>
          <w:rFonts w:ascii="TT Norms Pro Medium"/>
          <w:b/>
          <w:sz w:val="14"/>
        </w:rPr>
        <w:t>Isaac</w:t>
      </w:r>
      <w:r>
        <w:rPr>
          <w:rFonts w:ascii="TT Norms Pro Medium"/>
          <w:b/>
          <w:spacing w:val="-9"/>
          <w:sz w:val="14"/>
        </w:rPr>
        <w:t> </w:t>
      </w:r>
      <w:r>
        <w:rPr>
          <w:rFonts w:ascii="TT Norms Pro Medium"/>
          <w:b/>
          <w:sz w:val="14"/>
        </w:rPr>
        <w:t>Ward</w:t>
      </w:r>
    </w:p>
    <w:p>
      <w:pPr>
        <w:spacing w:line="307" w:lineRule="auto" w:before="2"/>
        <w:ind w:left="366" w:right="506" w:firstLine="0"/>
        <w:jc w:val="left"/>
        <w:rPr>
          <w:rFonts w:ascii="TT Norms Pro Light"/>
          <w:b w:val="0"/>
          <w:sz w:val="16"/>
        </w:rPr>
      </w:pPr>
      <w:r>
        <w:rPr>
          <w:rFonts w:ascii="TT Norms Pro Light"/>
          <w:b w:val="0"/>
          <w:sz w:val="16"/>
        </w:rPr>
        <w:t>FULBRIGHT ANNE WEXLER</w:t>
      </w:r>
      <w:r>
        <w:rPr>
          <w:rFonts w:ascii="TT Norms Pro Light"/>
          <w:b w:val="0"/>
          <w:spacing w:val="40"/>
          <w:sz w:val="16"/>
        </w:rPr>
        <w:t> </w:t>
      </w:r>
      <w:r>
        <w:rPr>
          <w:rFonts w:ascii="TT Norms Pro Light"/>
          <w:b w:val="0"/>
          <w:sz w:val="16"/>
        </w:rPr>
        <w:t>SCHOLARSHIP IN PUBLIC POLICY</w:t>
      </w:r>
    </w:p>
    <w:p>
      <w:pPr>
        <w:spacing w:before="149"/>
        <w:ind w:left="649" w:right="0" w:firstLine="0"/>
        <w:jc w:val="left"/>
        <w:rPr>
          <w:rFonts w:ascii="TT Norms Pro Medium"/>
          <w:b/>
          <w:sz w:val="14"/>
        </w:rPr>
      </w:pPr>
      <w:r>
        <w:rPr>
          <w:rFonts w:ascii="TT Norms Pro Medium"/>
          <w:b/>
          <w:spacing w:val="-4"/>
          <w:sz w:val="14"/>
        </w:rPr>
        <w:t>Liam Tay Kearney</w:t>
      </w:r>
    </w:p>
    <w:p>
      <w:pPr>
        <w:pStyle w:val="BodyText"/>
        <w:spacing w:before="74"/>
        <w:rPr>
          <w:rFonts w:ascii="TT Norms Pro Medium"/>
          <w:b/>
          <w:sz w:val="14"/>
        </w:rPr>
      </w:pPr>
    </w:p>
    <w:p>
      <w:pPr>
        <w:spacing w:before="0"/>
        <w:ind w:left="366" w:right="0" w:firstLine="0"/>
        <w:jc w:val="left"/>
        <w:rPr>
          <w:rFonts w:ascii="TT Norms Pro Light"/>
          <w:b w:val="0"/>
          <w:sz w:val="16"/>
        </w:rPr>
      </w:pPr>
      <w:r>
        <w:rPr>
          <w:rFonts w:ascii="TT Norms Pro Light"/>
          <w:b w:val="0"/>
          <w:sz w:val="16"/>
        </w:rPr>
        <w:t>WA</w:t>
      </w:r>
      <w:r>
        <w:rPr>
          <w:rFonts w:ascii="TT Norms Pro Light"/>
          <w:b w:val="0"/>
          <w:spacing w:val="4"/>
          <w:sz w:val="16"/>
        </w:rPr>
        <w:t> </w:t>
      </w:r>
      <w:r>
        <w:rPr>
          <w:rFonts w:ascii="TT Norms Pro Light"/>
          <w:b w:val="0"/>
          <w:sz w:val="16"/>
        </w:rPr>
        <w:t>FULBRIGHT</w:t>
      </w:r>
      <w:r>
        <w:rPr>
          <w:rFonts w:ascii="TT Norms Pro Light"/>
          <w:b w:val="0"/>
          <w:spacing w:val="5"/>
          <w:sz w:val="16"/>
        </w:rPr>
        <w:t> </w:t>
      </w:r>
      <w:r>
        <w:rPr>
          <w:rFonts w:ascii="TT Norms Pro Light"/>
          <w:b w:val="0"/>
          <w:spacing w:val="-2"/>
          <w:sz w:val="16"/>
        </w:rPr>
        <w:t>SCHOLARSHIP</w:t>
      </w:r>
    </w:p>
    <w:p>
      <w:pPr>
        <w:pStyle w:val="BodyText"/>
        <w:spacing w:before="14"/>
        <w:rPr>
          <w:b w:val="0"/>
          <w:sz w:val="16"/>
        </w:rPr>
      </w:pPr>
    </w:p>
    <w:p>
      <w:pPr>
        <w:spacing w:before="0"/>
        <w:ind w:left="649" w:right="0" w:firstLine="0"/>
        <w:jc w:val="left"/>
        <w:rPr>
          <w:rFonts w:ascii="TT Norms Pro Medium"/>
          <w:b/>
          <w:sz w:val="14"/>
        </w:rPr>
      </w:pPr>
      <w:r>
        <w:rPr>
          <w:rFonts w:ascii="TT Norms Pro Medium"/>
          <w:b/>
          <w:spacing w:val="-2"/>
          <w:sz w:val="14"/>
        </w:rPr>
        <w:t>Michael</w:t>
      </w:r>
      <w:r>
        <w:rPr>
          <w:rFonts w:ascii="TT Norms Pro Medium"/>
          <w:b/>
          <w:spacing w:val="-7"/>
          <w:sz w:val="14"/>
        </w:rPr>
        <w:t> </w:t>
      </w:r>
      <w:r>
        <w:rPr>
          <w:rFonts w:ascii="TT Norms Pro Medium"/>
          <w:b/>
          <w:spacing w:val="-2"/>
          <w:sz w:val="14"/>
        </w:rPr>
        <w:t>Lukin</w:t>
      </w:r>
    </w:p>
    <w:p>
      <w:pPr>
        <w:pStyle w:val="BodyText"/>
        <w:spacing w:before="74"/>
        <w:rPr>
          <w:rFonts w:ascii="TT Norms Pro Medium"/>
          <w:b/>
          <w:sz w:val="14"/>
        </w:rPr>
      </w:pPr>
    </w:p>
    <w:p>
      <w:pPr>
        <w:spacing w:line="307" w:lineRule="auto" w:before="0"/>
        <w:ind w:left="366" w:right="1487" w:firstLine="0"/>
        <w:jc w:val="left"/>
        <w:rPr>
          <w:rFonts w:ascii="TT Norms Pro Medium"/>
          <w:b/>
          <w:sz w:val="16"/>
        </w:rPr>
      </w:pPr>
      <w:r>
        <w:rPr>
          <w:rFonts w:ascii="TT Norms Pro Medium"/>
          <w:b/>
          <w:spacing w:val="-2"/>
          <w:sz w:val="16"/>
        </w:rPr>
        <w:t>NEW</w:t>
      </w:r>
      <w:r>
        <w:rPr>
          <w:rFonts w:ascii="TT Norms Pro Medium"/>
          <w:b/>
          <w:spacing w:val="-8"/>
          <w:sz w:val="16"/>
        </w:rPr>
        <w:t> </w:t>
      </w:r>
      <w:r>
        <w:rPr>
          <w:rFonts w:ascii="TT Norms Pro Medium"/>
          <w:b/>
          <w:spacing w:val="-2"/>
          <w:sz w:val="16"/>
        </w:rPr>
        <w:t>COLOMBO</w:t>
      </w:r>
      <w:r>
        <w:rPr>
          <w:rFonts w:ascii="TT Norms Pro Medium"/>
          <w:b/>
          <w:spacing w:val="-7"/>
          <w:sz w:val="16"/>
        </w:rPr>
        <w:t> </w:t>
      </w:r>
      <w:r>
        <w:rPr>
          <w:rFonts w:ascii="TT Norms Pro Medium"/>
          <w:b/>
          <w:spacing w:val="-2"/>
          <w:sz w:val="16"/>
        </w:rPr>
        <w:t>PLAN</w:t>
      </w:r>
      <w:r>
        <w:rPr>
          <w:rFonts w:ascii="TT Norms Pro Medium"/>
          <w:b/>
          <w:spacing w:val="40"/>
          <w:sz w:val="16"/>
        </w:rPr>
        <w:t> </w:t>
      </w:r>
      <w:r>
        <w:rPr>
          <w:rFonts w:ascii="TT Norms Pro Medium"/>
          <w:b/>
          <w:spacing w:val="-2"/>
          <w:sz w:val="16"/>
        </w:rPr>
        <w:t>SCHOLARSHIP</w:t>
      </w:r>
    </w:p>
    <w:p>
      <w:pPr>
        <w:pStyle w:val="BodyText"/>
        <w:spacing w:before="19"/>
        <w:rPr>
          <w:rFonts w:ascii="TT Norms Pro Medium"/>
          <w:b/>
          <w:sz w:val="16"/>
        </w:rPr>
      </w:pPr>
    </w:p>
    <w:p>
      <w:pPr>
        <w:spacing w:before="0"/>
        <w:ind w:left="649" w:right="0" w:firstLine="0"/>
        <w:jc w:val="left"/>
        <w:rPr>
          <w:rFonts w:ascii="TT Norms Pro Medium"/>
          <w:b/>
          <w:sz w:val="14"/>
        </w:rPr>
      </w:pPr>
      <w:r>
        <w:rPr>
          <w:rFonts w:ascii="TT Norms Pro Medium"/>
          <w:b/>
          <w:spacing w:val="-4"/>
          <w:sz w:val="14"/>
        </w:rPr>
        <w:t>Rosanna</w:t>
      </w:r>
      <w:r>
        <w:rPr>
          <w:rFonts w:ascii="TT Norms Pro Medium"/>
          <w:b/>
          <w:spacing w:val="7"/>
          <w:sz w:val="14"/>
        </w:rPr>
        <w:t> </w:t>
      </w:r>
      <w:r>
        <w:rPr>
          <w:rFonts w:ascii="TT Norms Pro Medium"/>
          <w:b/>
          <w:spacing w:val="-2"/>
          <w:sz w:val="14"/>
        </w:rPr>
        <w:t>Radici</w:t>
      </w:r>
    </w:p>
    <w:p>
      <w:pPr>
        <w:pStyle w:val="BodyText"/>
        <w:spacing w:before="133"/>
        <w:rPr>
          <w:rFonts w:ascii="TT Norms Pro Medium"/>
          <w:b/>
          <w:sz w:val="14"/>
        </w:rPr>
      </w:pPr>
    </w:p>
    <w:p>
      <w:pPr>
        <w:spacing w:line="307" w:lineRule="auto" w:before="1"/>
        <w:ind w:left="366" w:right="1530" w:firstLine="0"/>
        <w:jc w:val="left"/>
        <w:rPr>
          <w:rFonts w:ascii="TT Norms Pro Medium"/>
          <w:b/>
          <w:sz w:val="16"/>
        </w:rPr>
      </w:pPr>
      <w:r>
        <w:rPr>
          <w:rFonts w:ascii="TT Norms Pro Medium"/>
          <w:b/>
          <w:sz w:val="16"/>
        </w:rPr>
        <w:t>RHODES</w:t>
      </w:r>
      <w:r>
        <w:rPr>
          <w:rFonts w:ascii="TT Norms Pro Medium"/>
          <w:b/>
          <w:spacing w:val="-10"/>
          <w:sz w:val="16"/>
        </w:rPr>
        <w:t> </w:t>
      </w:r>
      <w:r>
        <w:rPr>
          <w:rFonts w:ascii="TT Norms Pro Medium"/>
          <w:b/>
          <w:sz w:val="16"/>
        </w:rPr>
        <w:t>SCHOLAR</w:t>
      </w:r>
      <w:r>
        <w:rPr>
          <w:rFonts w:ascii="TT Norms Pro Medium"/>
          <w:b/>
          <w:spacing w:val="40"/>
          <w:sz w:val="16"/>
        </w:rPr>
        <w:t> </w:t>
      </w:r>
      <w:r>
        <w:rPr>
          <w:rFonts w:ascii="TT Norms Pro Medium"/>
          <w:b/>
          <w:spacing w:val="-2"/>
          <w:sz w:val="16"/>
        </w:rPr>
        <w:t>WESTERN</w:t>
      </w:r>
      <w:r>
        <w:rPr>
          <w:rFonts w:ascii="TT Norms Pro Medium"/>
          <w:b/>
          <w:spacing w:val="-8"/>
          <w:sz w:val="16"/>
        </w:rPr>
        <w:t> </w:t>
      </w:r>
      <w:r>
        <w:rPr>
          <w:rFonts w:ascii="TT Norms Pro Medium"/>
          <w:b/>
          <w:spacing w:val="-2"/>
          <w:sz w:val="16"/>
        </w:rPr>
        <w:t>AUSTRALIA</w:t>
      </w:r>
    </w:p>
    <w:p>
      <w:pPr>
        <w:pStyle w:val="BodyText"/>
        <w:spacing w:before="19"/>
        <w:rPr>
          <w:rFonts w:ascii="TT Norms Pro Medium"/>
          <w:b/>
          <w:sz w:val="16"/>
        </w:rPr>
      </w:pPr>
    </w:p>
    <w:p>
      <w:pPr>
        <w:spacing w:before="0"/>
        <w:ind w:left="649" w:right="0" w:firstLine="0"/>
        <w:jc w:val="left"/>
        <w:rPr>
          <w:rFonts w:ascii="TT Norms Pro Medium"/>
          <w:b/>
          <w:sz w:val="14"/>
        </w:rPr>
      </w:pPr>
      <w:r>
        <w:rPr>
          <w:rFonts w:ascii="TT Norms Pro Medium"/>
          <w:b/>
          <w:spacing w:val="-2"/>
          <w:sz w:val="14"/>
        </w:rPr>
        <w:t>Max</w:t>
      </w:r>
      <w:r>
        <w:rPr>
          <w:rFonts w:ascii="TT Norms Pro Medium"/>
          <w:b/>
          <w:spacing w:val="-5"/>
          <w:sz w:val="14"/>
        </w:rPr>
        <w:t> </w:t>
      </w:r>
      <w:r>
        <w:rPr>
          <w:rFonts w:ascii="TT Norms Pro Medium"/>
          <w:b/>
          <w:spacing w:val="-2"/>
          <w:sz w:val="14"/>
        </w:rPr>
        <w:t>Anderson</w:t>
      </w:r>
      <w:r>
        <w:rPr>
          <w:rFonts w:ascii="TT Norms Pro Medium"/>
          <w:b/>
          <w:spacing w:val="-4"/>
          <w:sz w:val="14"/>
        </w:rPr>
        <w:t> </w:t>
      </w:r>
      <w:r>
        <w:rPr>
          <w:rFonts w:ascii="TT Norms Pro Medium"/>
          <w:b/>
          <w:spacing w:val="-2"/>
          <w:sz w:val="14"/>
        </w:rPr>
        <w:t>Loake</w:t>
      </w:r>
    </w:p>
    <w:p>
      <w:pPr>
        <w:pStyle w:val="BodyText"/>
        <w:spacing w:before="93"/>
        <w:rPr>
          <w:rFonts w:ascii="TT Norms Pro Medium"/>
          <w:b/>
          <w:sz w:val="14"/>
        </w:rPr>
      </w:pPr>
    </w:p>
    <w:p>
      <w:pPr>
        <w:spacing w:line="307" w:lineRule="auto" w:before="0"/>
        <w:ind w:left="366" w:right="1104" w:firstLine="0"/>
        <w:jc w:val="left"/>
        <w:rPr>
          <w:rFonts w:ascii="TT Norms Pro Medium" w:hAnsi="TT Norms Pro Medium"/>
          <w:b/>
          <w:sz w:val="16"/>
        </w:rPr>
      </w:pPr>
      <w:r>
        <w:rPr>
          <w:rFonts w:ascii="TT Norms Pro Medium" w:hAnsi="TT Norms Pro Medium"/>
          <w:b/>
          <w:spacing w:val="-2"/>
          <w:sz w:val="16"/>
        </w:rPr>
        <w:t>AUSTRALIAN</w:t>
      </w:r>
      <w:r>
        <w:rPr>
          <w:rFonts w:ascii="TT Norms Pro Medium" w:hAnsi="TT Norms Pro Medium"/>
          <w:b/>
          <w:spacing w:val="-8"/>
          <w:sz w:val="16"/>
        </w:rPr>
        <w:t> </w:t>
      </w:r>
      <w:r>
        <w:rPr>
          <w:rFonts w:ascii="TT Norms Pro Medium" w:hAnsi="TT Norms Pro Medium"/>
          <w:b/>
          <w:spacing w:val="-2"/>
          <w:sz w:val="16"/>
        </w:rPr>
        <w:t>ACADEMY</w:t>
      </w:r>
      <w:r>
        <w:rPr>
          <w:rFonts w:ascii="TT Norms Pro Medium" w:hAnsi="TT Norms Pro Medium"/>
          <w:b/>
          <w:spacing w:val="-7"/>
          <w:sz w:val="16"/>
        </w:rPr>
        <w:t> </w:t>
      </w:r>
      <w:r>
        <w:rPr>
          <w:rFonts w:ascii="TT Norms Pro Medium" w:hAnsi="TT Norms Pro Medium"/>
          <w:b/>
          <w:spacing w:val="-2"/>
          <w:sz w:val="16"/>
        </w:rPr>
        <w:t>OF</w:t>
      </w:r>
      <w:r>
        <w:rPr>
          <w:rFonts w:ascii="TT Norms Pro Medium" w:hAnsi="TT Norms Pro Medium"/>
          <w:b/>
          <w:spacing w:val="40"/>
          <w:sz w:val="16"/>
        </w:rPr>
        <w:t> </w:t>
      </w:r>
      <w:r>
        <w:rPr>
          <w:rFonts w:ascii="TT Norms Pro Medium" w:hAnsi="TT Norms Pro Medium"/>
          <w:b/>
          <w:sz w:val="16"/>
        </w:rPr>
        <w:t>SCIENCE – JOHN BOOKER</w:t>
      </w:r>
      <w:r>
        <w:rPr>
          <w:rFonts w:ascii="TT Norms Pro Medium" w:hAnsi="TT Norms Pro Medium"/>
          <w:b/>
          <w:spacing w:val="40"/>
          <w:sz w:val="16"/>
        </w:rPr>
        <w:t> </w:t>
      </w:r>
      <w:r>
        <w:rPr>
          <w:rFonts w:ascii="TT Norms Pro Medium" w:hAnsi="TT Norms Pro Medium"/>
          <w:b/>
          <w:spacing w:val="-2"/>
          <w:sz w:val="16"/>
        </w:rPr>
        <w:t>MEDAL</w:t>
      </w:r>
    </w:p>
    <w:p>
      <w:pPr>
        <w:pStyle w:val="BodyText"/>
        <w:spacing w:before="20"/>
        <w:rPr>
          <w:rFonts w:ascii="TT Norms Pro Medium"/>
          <w:b/>
          <w:sz w:val="16"/>
        </w:rPr>
      </w:pPr>
    </w:p>
    <w:p>
      <w:pPr>
        <w:spacing w:before="0"/>
        <w:ind w:left="649" w:right="0" w:firstLine="0"/>
        <w:jc w:val="left"/>
        <w:rPr>
          <w:rFonts w:ascii="TT Norms Pro Medium"/>
          <w:b/>
          <w:sz w:val="14"/>
        </w:rPr>
      </w:pPr>
      <w:r>
        <w:rPr>
          <w:rFonts w:ascii="TT Norms Pro Medium"/>
          <w:b/>
          <w:spacing w:val="2"/>
          <w:w w:val="90"/>
          <w:sz w:val="14"/>
        </w:rPr>
        <w:t>Associate</w:t>
      </w:r>
      <w:r>
        <w:rPr>
          <w:rFonts w:ascii="TT Norms Pro Medium"/>
          <w:b/>
          <w:spacing w:val="16"/>
          <w:sz w:val="14"/>
        </w:rPr>
        <w:t> </w:t>
      </w:r>
      <w:r>
        <w:rPr>
          <w:rFonts w:ascii="TT Norms Pro Medium"/>
          <w:b/>
          <w:spacing w:val="2"/>
          <w:w w:val="90"/>
          <w:sz w:val="14"/>
        </w:rPr>
        <w:t>Professor</w:t>
      </w:r>
      <w:r>
        <w:rPr>
          <w:rFonts w:ascii="TT Norms Pro Medium"/>
          <w:b/>
          <w:spacing w:val="16"/>
          <w:sz w:val="14"/>
        </w:rPr>
        <w:t> </w:t>
      </w:r>
      <w:r>
        <w:rPr>
          <w:rFonts w:ascii="TT Norms Pro Medium"/>
          <w:b/>
          <w:spacing w:val="2"/>
          <w:w w:val="90"/>
          <w:sz w:val="14"/>
        </w:rPr>
        <w:t>Britta</w:t>
      </w:r>
      <w:r>
        <w:rPr>
          <w:rFonts w:ascii="TT Norms Pro Medium"/>
          <w:b/>
          <w:spacing w:val="16"/>
          <w:sz w:val="14"/>
        </w:rPr>
        <w:t> </w:t>
      </w:r>
      <w:r>
        <w:rPr>
          <w:rFonts w:ascii="TT Norms Pro Medium"/>
          <w:b/>
          <w:spacing w:val="-2"/>
          <w:w w:val="90"/>
          <w:sz w:val="14"/>
        </w:rPr>
        <w:t>Bienen</w:t>
      </w:r>
    </w:p>
    <w:p>
      <w:pPr>
        <w:spacing w:before="36"/>
        <w:ind w:left="649" w:right="0" w:firstLine="0"/>
        <w:jc w:val="left"/>
        <w:rPr>
          <w:rFonts w:ascii="TT Norms Pro Light"/>
          <w:b w:val="0"/>
          <w:sz w:val="14"/>
        </w:rPr>
      </w:pPr>
      <w:r>
        <w:rPr>
          <w:rFonts w:ascii="TT Norms Pro Light"/>
          <w:b w:val="0"/>
          <w:sz w:val="14"/>
        </w:rPr>
        <w:t>Oceans</w:t>
      </w:r>
      <w:r>
        <w:rPr>
          <w:rFonts w:ascii="TT Norms Pro Light"/>
          <w:b w:val="0"/>
          <w:spacing w:val="9"/>
          <w:sz w:val="14"/>
        </w:rPr>
        <w:t> </w:t>
      </w:r>
      <w:r>
        <w:rPr>
          <w:rFonts w:ascii="TT Norms Pro Light"/>
          <w:b w:val="0"/>
          <w:sz w:val="14"/>
        </w:rPr>
        <w:t>Graduate</w:t>
      </w:r>
      <w:r>
        <w:rPr>
          <w:rFonts w:ascii="TT Norms Pro Light"/>
          <w:b w:val="0"/>
          <w:spacing w:val="9"/>
          <w:sz w:val="14"/>
        </w:rPr>
        <w:t> </w:t>
      </w:r>
      <w:r>
        <w:rPr>
          <w:rFonts w:ascii="TT Norms Pro Light"/>
          <w:b w:val="0"/>
          <w:spacing w:val="-2"/>
          <w:sz w:val="14"/>
        </w:rPr>
        <w:t>School</w:t>
      </w:r>
    </w:p>
    <w:p>
      <w:pPr>
        <w:pStyle w:val="BodyText"/>
        <w:spacing w:before="93"/>
        <w:rPr>
          <w:b w:val="0"/>
          <w:sz w:val="14"/>
        </w:rPr>
      </w:pPr>
    </w:p>
    <w:p>
      <w:pPr>
        <w:spacing w:before="1"/>
        <w:ind w:left="366" w:right="0" w:firstLine="0"/>
        <w:jc w:val="left"/>
        <w:rPr>
          <w:rFonts w:ascii="TT Norms Pro Medium"/>
          <w:b/>
          <w:sz w:val="16"/>
        </w:rPr>
      </w:pPr>
      <w:r>
        <w:rPr>
          <w:rFonts w:ascii="TT Norms Pro Medium"/>
          <w:b/>
          <w:spacing w:val="-4"/>
          <w:sz w:val="16"/>
        </w:rPr>
        <w:t>AUSTRALIAN</w:t>
      </w:r>
      <w:r>
        <w:rPr>
          <w:rFonts w:ascii="TT Norms Pro Medium"/>
          <w:b/>
          <w:spacing w:val="3"/>
          <w:sz w:val="16"/>
        </w:rPr>
        <w:t> </w:t>
      </w:r>
      <w:r>
        <w:rPr>
          <w:rFonts w:ascii="TT Norms Pro Medium"/>
          <w:b/>
          <w:spacing w:val="-4"/>
          <w:sz w:val="16"/>
        </w:rPr>
        <w:t>ART</w:t>
      </w:r>
      <w:r>
        <w:rPr>
          <w:rFonts w:ascii="TT Norms Pro Medium"/>
          <w:b/>
          <w:spacing w:val="3"/>
          <w:sz w:val="16"/>
        </w:rPr>
        <w:t> </w:t>
      </w:r>
      <w:r>
        <w:rPr>
          <w:rFonts w:ascii="TT Norms Pro Medium"/>
          <w:b/>
          <w:spacing w:val="-4"/>
          <w:sz w:val="16"/>
        </w:rPr>
        <w:t>MUSIC</w:t>
      </w:r>
      <w:r>
        <w:rPr>
          <w:rFonts w:ascii="TT Norms Pro Medium"/>
          <w:b/>
          <w:spacing w:val="4"/>
          <w:sz w:val="16"/>
        </w:rPr>
        <w:t> </w:t>
      </w:r>
      <w:r>
        <w:rPr>
          <w:rFonts w:ascii="TT Norms Pro Medium"/>
          <w:b/>
          <w:spacing w:val="-4"/>
          <w:sz w:val="16"/>
        </w:rPr>
        <w:t>AWARD</w:t>
      </w:r>
    </w:p>
    <w:p>
      <w:pPr>
        <w:pStyle w:val="BodyText"/>
        <w:spacing w:before="84"/>
        <w:rPr>
          <w:rFonts w:ascii="TT Norms Pro Medium"/>
          <w:b/>
          <w:sz w:val="16"/>
        </w:rPr>
      </w:pPr>
    </w:p>
    <w:p>
      <w:pPr>
        <w:spacing w:before="0"/>
        <w:ind w:left="649" w:right="0" w:firstLine="0"/>
        <w:jc w:val="left"/>
        <w:rPr>
          <w:rFonts w:ascii="TT Norms Pro Medium"/>
          <w:b/>
          <w:sz w:val="14"/>
        </w:rPr>
      </w:pPr>
      <w:r>
        <w:rPr>
          <w:rFonts w:ascii="TT Norms Pro Medium"/>
          <w:b/>
          <w:spacing w:val="-4"/>
          <w:sz w:val="14"/>
        </w:rPr>
        <w:t>James</w:t>
      </w:r>
      <w:r>
        <w:rPr>
          <w:rFonts w:ascii="TT Norms Pro Medium"/>
          <w:b/>
          <w:spacing w:val="2"/>
          <w:sz w:val="14"/>
        </w:rPr>
        <w:t> </w:t>
      </w:r>
      <w:r>
        <w:rPr>
          <w:rFonts w:ascii="TT Norms Pro Medium"/>
          <w:b/>
          <w:spacing w:val="-2"/>
          <w:sz w:val="14"/>
        </w:rPr>
        <w:t>Ledger</w:t>
      </w:r>
    </w:p>
    <w:p>
      <w:pPr>
        <w:spacing w:line="292" w:lineRule="auto" w:before="37"/>
        <w:ind w:left="649" w:right="506" w:firstLine="0"/>
        <w:jc w:val="left"/>
        <w:rPr>
          <w:rFonts w:ascii="TT Norms Pro Light"/>
          <w:b w:val="0"/>
          <w:i/>
          <w:sz w:val="14"/>
        </w:rPr>
      </w:pPr>
      <w:r>
        <w:rPr>
          <w:rFonts w:ascii="TT Norms Pro Light"/>
          <w:b w:val="0"/>
          <w:sz w:val="14"/>
        </w:rPr>
        <w:t>Conservatorium of Music, </w:t>
      </w:r>
      <w:r>
        <w:rPr>
          <w:rFonts w:ascii="TT Norms Pro Light"/>
          <w:b w:val="0"/>
          <w:i/>
          <w:sz w:val="14"/>
        </w:rPr>
        <w:t>Work of the</w:t>
      </w:r>
      <w:r>
        <w:rPr>
          <w:rFonts w:ascii="TT Norms Pro Light"/>
          <w:b w:val="0"/>
          <w:i/>
          <w:spacing w:val="40"/>
          <w:sz w:val="14"/>
        </w:rPr>
        <w:t> </w:t>
      </w:r>
      <w:r>
        <w:rPr>
          <w:rFonts w:ascii="TT Norms Pro Light"/>
          <w:b w:val="0"/>
          <w:i/>
          <w:sz w:val="14"/>
        </w:rPr>
        <w:t>Year: Large Ensemble</w:t>
      </w:r>
    </w:p>
    <w:p>
      <w:pPr>
        <w:pStyle w:val="BodyText"/>
        <w:spacing w:before="36"/>
        <w:rPr>
          <w:b w:val="0"/>
          <w:i/>
          <w:sz w:val="14"/>
        </w:rPr>
      </w:pPr>
    </w:p>
    <w:p>
      <w:pPr>
        <w:spacing w:before="0"/>
        <w:ind w:left="649" w:right="0" w:firstLine="0"/>
        <w:jc w:val="left"/>
        <w:rPr>
          <w:rFonts w:ascii="TT Norms Pro Medium"/>
          <w:b/>
          <w:sz w:val="14"/>
        </w:rPr>
      </w:pPr>
      <w:r>
        <w:rPr>
          <w:rFonts w:ascii="TT Norms Pro Medium"/>
          <w:b/>
          <w:spacing w:val="-2"/>
          <w:sz w:val="14"/>
        </w:rPr>
        <w:t>Dr</w:t>
      </w:r>
      <w:r>
        <w:rPr>
          <w:rFonts w:ascii="TT Norms Pro Medium"/>
          <w:b/>
          <w:spacing w:val="-6"/>
          <w:sz w:val="14"/>
        </w:rPr>
        <w:t> </w:t>
      </w:r>
      <w:r>
        <w:rPr>
          <w:rFonts w:ascii="TT Norms Pro Medium"/>
          <w:b/>
          <w:spacing w:val="-2"/>
          <w:sz w:val="14"/>
        </w:rPr>
        <w:t>Louise</w:t>
      </w:r>
      <w:r>
        <w:rPr>
          <w:rFonts w:ascii="TT Norms Pro Medium"/>
          <w:b/>
          <w:spacing w:val="-6"/>
          <w:sz w:val="14"/>
        </w:rPr>
        <w:t> </w:t>
      </w:r>
      <w:r>
        <w:rPr>
          <w:rFonts w:ascii="TT Norms Pro Medium"/>
          <w:b/>
          <w:spacing w:val="-2"/>
          <w:sz w:val="14"/>
        </w:rPr>
        <w:t>Devenish</w:t>
      </w:r>
    </w:p>
    <w:p>
      <w:pPr>
        <w:spacing w:line="292" w:lineRule="auto" w:before="36"/>
        <w:ind w:left="649" w:right="506" w:firstLine="0"/>
        <w:jc w:val="left"/>
        <w:rPr>
          <w:rFonts w:ascii="TT Norms Pro Light"/>
          <w:b w:val="0"/>
          <w:i/>
          <w:sz w:val="14"/>
        </w:rPr>
      </w:pPr>
      <w:r>
        <w:rPr>
          <w:rFonts w:ascii="TT Norms Pro Light"/>
          <w:b w:val="0"/>
          <w:sz w:val="14"/>
        </w:rPr>
        <w:t>Conservatorium of Music, </w:t>
      </w:r>
      <w:r>
        <w:rPr>
          <w:rFonts w:ascii="TT Norms Pro Light"/>
          <w:b w:val="0"/>
          <w:i/>
          <w:sz w:val="14"/>
        </w:rPr>
        <w:t>Performance</w:t>
      </w:r>
      <w:r>
        <w:rPr>
          <w:rFonts w:ascii="TT Norms Pro Light"/>
          <w:b w:val="0"/>
          <w:i/>
          <w:spacing w:val="40"/>
          <w:sz w:val="14"/>
        </w:rPr>
        <w:t> </w:t>
      </w:r>
      <w:r>
        <w:rPr>
          <w:rFonts w:ascii="TT Norms Pro Light"/>
          <w:b w:val="0"/>
          <w:i/>
          <w:sz w:val="14"/>
        </w:rPr>
        <w:t>of the Year: Notated Composition</w:t>
      </w:r>
    </w:p>
    <w:p>
      <w:pPr>
        <w:spacing w:after="0" w:line="292" w:lineRule="auto"/>
        <w:jc w:val="left"/>
        <w:rPr>
          <w:rFonts w:ascii="TT Norms Pro Light"/>
          <w:sz w:val="14"/>
        </w:rPr>
        <w:sectPr>
          <w:type w:val="continuous"/>
          <w:pgSz w:w="11910" w:h="16840"/>
          <w:pgMar w:header="468" w:footer="0" w:top="980" w:bottom="280" w:left="0" w:right="780"/>
          <w:cols w:num="3" w:equalWidth="0">
            <w:col w:w="3959" w:space="40"/>
            <w:col w:w="3420" w:space="39"/>
            <w:col w:w="3672"/>
          </w:cols>
        </w:sectPr>
      </w:pPr>
    </w:p>
    <w:p>
      <w:pPr>
        <w:pStyle w:val="BodyText"/>
        <w:spacing w:before="29"/>
        <w:rPr>
          <w:b w:val="0"/>
          <w:i/>
          <w:sz w:val="20"/>
        </w:rPr>
      </w:pPr>
    </w:p>
    <w:p>
      <w:pPr>
        <w:spacing w:after="0"/>
        <w:rPr>
          <w:sz w:val="20"/>
        </w:rPr>
        <w:sectPr>
          <w:pgSz w:w="11910" w:h="16840"/>
          <w:pgMar w:header="468" w:footer="0" w:top="720" w:bottom="280" w:left="0" w:right="780"/>
        </w:sectPr>
      </w:pPr>
    </w:p>
    <w:p>
      <w:pPr>
        <w:spacing w:line="307" w:lineRule="auto" w:before="121"/>
        <w:ind w:left="1145" w:right="364" w:firstLine="0"/>
        <w:jc w:val="left"/>
        <w:rPr>
          <w:rFonts w:ascii="TT Norms Pro Medium"/>
          <w:b/>
          <w:sz w:val="16"/>
        </w:rPr>
      </w:pPr>
      <w:r>
        <w:rPr>
          <w:rFonts w:ascii="TT Norms Pro Medium"/>
          <w:b/>
          <w:sz w:val="16"/>
        </w:rPr>
        <w:t>CERTIFIED</w:t>
      </w:r>
      <w:r>
        <w:rPr>
          <w:rFonts w:ascii="TT Norms Pro Medium"/>
          <w:b/>
          <w:spacing w:val="-10"/>
          <w:sz w:val="16"/>
        </w:rPr>
        <w:t> </w:t>
      </w:r>
      <w:r>
        <w:rPr>
          <w:rFonts w:ascii="TT Norms Pro Medium"/>
          <w:b/>
          <w:sz w:val="16"/>
        </w:rPr>
        <w:t>PRACTICING</w:t>
      </w:r>
      <w:r>
        <w:rPr>
          <w:rFonts w:ascii="TT Norms Pro Medium"/>
          <w:b/>
          <w:spacing w:val="40"/>
          <w:sz w:val="16"/>
        </w:rPr>
        <w:t> </w:t>
      </w:r>
      <w:r>
        <w:rPr>
          <w:rFonts w:ascii="TT Norms Pro Medium"/>
          <w:b/>
          <w:sz w:val="16"/>
        </w:rPr>
        <w:t>ACCOUNTANT</w:t>
      </w:r>
      <w:r>
        <w:rPr>
          <w:rFonts w:ascii="TT Norms Pro Medium"/>
          <w:b/>
          <w:spacing w:val="-10"/>
          <w:sz w:val="16"/>
        </w:rPr>
        <w:t> </w:t>
      </w:r>
      <w:r>
        <w:rPr>
          <w:rFonts w:ascii="TT Norms Pro Medium"/>
          <w:b/>
          <w:sz w:val="16"/>
        </w:rPr>
        <w:t>(CPA)</w:t>
      </w:r>
      <w:r>
        <w:rPr>
          <w:rFonts w:ascii="TT Norms Pro Medium"/>
          <w:b/>
          <w:spacing w:val="40"/>
          <w:sz w:val="16"/>
        </w:rPr>
        <w:t> </w:t>
      </w:r>
      <w:r>
        <w:rPr>
          <w:rFonts w:ascii="TT Norms Pro Medium"/>
          <w:b/>
          <w:spacing w:val="-4"/>
          <w:sz w:val="16"/>
        </w:rPr>
        <w:t>AUSTRALIA</w:t>
      </w:r>
      <w:r>
        <w:rPr>
          <w:rFonts w:ascii="TT Norms Pro Medium"/>
          <w:b/>
          <w:spacing w:val="-5"/>
          <w:sz w:val="16"/>
        </w:rPr>
        <w:t> </w:t>
      </w:r>
      <w:r>
        <w:rPr>
          <w:rFonts w:ascii="TT Norms Pro Medium"/>
          <w:b/>
          <w:spacing w:val="-4"/>
          <w:sz w:val="16"/>
        </w:rPr>
        <w:t>WA</w:t>
      </w:r>
      <w:r>
        <w:rPr>
          <w:rFonts w:ascii="TT Norms Pro Medium"/>
          <w:b/>
          <w:spacing w:val="-5"/>
          <w:sz w:val="16"/>
        </w:rPr>
        <w:t> </w:t>
      </w:r>
      <w:r>
        <w:rPr>
          <w:rFonts w:ascii="TT Norms Pro Medium"/>
          <w:b/>
          <w:spacing w:val="-4"/>
          <w:sz w:val="16"/>
        </w:rPr>
        <w:t>DIVISION</w:t>
      </w:r>
    </w:p>
    <w:p>
      <w:pPr>
        <w:pStyle w:val="BodyText"/>
        <w:spacing w:before="32"/>
        <w:rPr>
          <w:rFonts w:ascii="TT Norms Pro Medium"/>
          <w:b/>
          <w:sz w:val="16"/>
        </w:rPr>
      </w:pPr>
    </w:p>
    <w:p>
      <w:pPr>
        <w:spacing w:before="1"/>
        <w:ind w:left="1428" w:right="0" w:firstLine="0"/>
        <w:jc w:val="left"/>
        <w:rPr>
          <w:rFonts w:ascii="TT Norms Pro Medium"/>
          <w:b/>
          <w:sz w:val="14"/>
        </w:rPr>
      </w:pPr>
      <w:r>
        <w:rPr>
          <w:rFonts w:ascii="TT Norms Pro Medium"/>
          <w:b/>
          <w:spacing w:val="-4"/>
          <w:sz w:val="14"/>
        </w:rPr>
        <w:t>Professor</w:t>
      </w:r>
      <w:r>
        <w:rPr>
          <w:rFonts w:ascii="TT Norms Pro Medium"/>
          <w:b/>
          <w:spacing w:val="4"/>
          <w:sz w:val="14"/>
        </w:rPr>
        <w:t> </w:t>
      </w:r>
      <w:r>
        <w:rPr>
          <w:rFonts w:ascii="TT Norms Pro Medium"/>
          <w:b/>
          <w:spacing w:val="-4"/>
          <w:sz w:val="14"/>
        </w:rPr>
        <w:t>Phil</w:t>
      </w:r>
      <w:r>
        <w:rPr>
          <w:rFonts w:ascii="TT Norms Pro Medium"/>
          <w:b/>
          <w:spacing w:val="5"/>
          <w:sz w:val="14"/>
        </w:rPr>
        <w:t> </w:t>
      </w:r>
      <w:r>
        <w:rPr>
          <w:rFonts w:ascii="TT Norms Pro Medium"/>
          <w:b/>
          <w:spacing w:val="-4"/>
          <w:sz w:val="14"/>
        </w:rPr>
        <w:t>Hancock</w:t>
      </w:r>
    </w:p>
    <w:p>
      <w:pPr>
        <w:spacing w:line="292" w:lineRule="auto" w:before="36"/>
        <w:ind w:left="1428" w:right="0" w:firstLine="0"/>
        <w:jc w:val="left"/>
        <w:rPr>
          <w:rFonts w:ascii="TT Norms Pro Light" w:hAnsi="TT Norms Pro Light"/>
          <w:b w:val="0"/>
          <w:sz w:val="14"/>
        </w:rPr>
      </w:pPr>
      <w:r>
        <w:rPr>
          <w:rFonts w:ascii="TT Norms Pro Light" w:hAnsi="TT Norms Pro Light"/>
          <w:b w:val="0"/>
          <w:sz w:val="14"/>
        </w:rPr>
        <w:t>Business School,</w:t>
      </w:r>
      <w:r>
        <w:rPr>
          <w:rFonts w:ascii="TT Norms Pro Light" w:hAnsi="TT Norms Pro Light"/>
          <w:b w:val="0"/>
          <w:spacing w:val="40"/>
          <w:sz w:val="14"/>
        </w:rPr>
        <w:t> </w:t>
      </w:r>
      <w:r>
        <w:rPr>
          <w:rFonts w:ascii="TT Norms Pro Light" w:hAnsi="TT Norms Pro Light"/>
          <w:b w:val="0"/>
          <w:sz w:val="14"/>
        </w:rPr>
        <w:t>Divisional President's</w:t>
      </w:r>
      <w:r>
        <w:rPr>
          <w:rFonts w:ascii="TT Norms Pro Light" w:hAnsi="TT Norms Pro Light"/>
          <w:b w:val="0"/>
          <w:spacing w:val="40"/>
          <w:sz w:val="14"/>
        </w:rPr>
        <w:t> </w:t>
      </w:r>
      <w:r>
        <w:rPr>
          <w:rFonts w:ascii="TT Norms Pro Light" w:hAnsi="TT Norms Pro Light"/>
          <w:b w:val="0"/>
          <w:sz w:val="14"/>
        </w:rPr>
        <w:t>Award for Excellence – Achievement</w:t>
      </w:r>
    </w:p>
    <w:p>
      <w:pPr>
        <w:spacing w:before="0"/>
        <w:ind w:left="1428" w:right="0" w:firstLine="0"/>
        <w:jc w:val="left"/>
        <w:rPr>
          <w:rFonts w:ascii="TT Norms Pro Light"/>
          <w:b w:val="0"/>
          <w:sz w:val="14"/>
        </w:rPr>
      </w:pPr>
      <w:r>
        <w:rPr>
          <w:rFonts w:ascii="TT Norms Pro Light"/>
          <w:b w:val="0"/>
          <w:sz w:val="14"/>
        </w:rPr>
        <w:t>in</w:t>
      </w:r>
      <w:r>
        <w:rPr>
          <w:rFonts w:ascii="TT Norms Pro Light"/>
          <w:b w:val="0"/>
          <w:spacing w:val="2"/>
          <w:sz w:val="14"/>
        </w:rPr>
        <w:t> </w:t>
      </w:r>
      <w:r>
        <w:rPr>
          <w:rFonts w:ascii="TT Norms Pro Light"/>
          <w:b w:val="0"/>
          <w:spacing w:val="-2"/>
          <w:sz w:val="14"/>
        </w:rPr>
        <w:t>Academia</w:t>
      </w:r>
    </w:p>
    <w:p>
      <w:pPr>
        <w:pStyle w:val="BodyText"/>
        <w:spacing w:before="93"/>
        <w:rPr>
          <w:b w:val="0"/>
          <w:sz w:val="14"/>
        </w:rPr>
      </w:pPr>
    </w:p>
    <w:p>
      <w:pPr>
        <w:spacing w:line="307" w:lineRule="auto" w:before="0"/>
        <w:ind w:left="1145" w:right="1272" w:firstLine="0"/>
        <w:jc w:val="left"/>
        <w:rPr>
          <w:rFonts w:ascii="TT Norms Pro Medium"/>
          <w:b/>
          <w:sz w:val="16"/>
        </w:rPr>
      </w:pPr>
      <w:r>
        <w:rPr>
          <w:rFonts w:ascii="TT Norms Pro Medium"/>
          <w:b/>
          <w:sz w:val="16"/>
        </w:rPr>
        <w:t>AUSTRALIAN</w:t>
      </w:r>
      <w:r>
        <w:rPr>
          <w:rFonts w:ascii="TT Norms Pro Medium"/>
          <w:b/>
          <w:spacing w:val="-10"/>
          <w:sz w:val="16"/>
        </w:rPr>
        <w:t> </w:t>
      </w:r>
      <w:r>
        <w:rPr>
          <w:rFonts w:ascii="TT Norms Pro Medium"/>
          <w:b/>
          <w:sz w:val="16"/>
        </w:rPr>
        <w:t>LEGAL</w:t>
      </w:r>
      <w:r>
        <w:rPr>
          <w:rFonts w:ascii="TT Norms Pro Medium"/>
          <w:b/>
          <w:spacing w:val="40"/>
          <w:sz w:val="16"/>
        </w:rPr>
        <w:t> </w:t>
      </w:r>
      <w:r>
        <w:rPr>
          <w:rFonts w:ascii="TT Norms Pro Medium"/>
          <w:b/>
          <w:spacing w:val="-2"/>
          <w:sz w:val="16"/>
        </w:rPr>
        <w:t>RESEARCH</w:t>
      </w:r>
      <w:r>
        <w:rPr>
          <w:rFonts w:ascii="TT Norms Pro Medium"/>
          <w:b/>
          <w:spacing w:val="-3"/>
          <w:sz w:val="16"/>
        </w:rPr>
        <w:t> </w:t>
      </w:r>
      <w:r>
        <w:rPr>
          <w:rFonts w:ascii="TT Norms Pro Medium"/>
          <w:b/>
          <w:spacing w:val="-5"/>
          <w:sz w:val="16"/>
        </w:rPr>
        <w:t>AWARDS</w:t>
      </w:r>
    </w:p>
    <w:p>
      <w:pPr>
        <w:pStyle w:val="BodyText"/>
        <w:spacing w:before="33"/>
        <w:rPr>
          <w:rFonts w:ascii="TT Norms Pro Medium"/>
          <w:b/>
          <w:sz w:val="16"/>
        </w:rPr>
      </w:pPr>
    </w:p>
    <w:p>
      <w:pPr>
        <w:spacing w:line="292" w:lineRule="auto" w:before="0"/>
        <w:ind w:left="1428" w:right="165" w:firstLine="0"/>
        <w:jc w:val="left"/>
        <w:rPr>
          <w:rFonts w:ascii="TT Norms Pro Light"/>
          <w:b w:val="0"/>
          <w:sz w:val="14"/>
        </w:rPr>
      </w:pPr>
      <w:r>
        <w:rPr>
          <w:rFonts w:ascii="TT Norms Pro Medium"/>
          <w:b/>
          <w:sz w:val="14"/>
        </w:rPr>
        <w:t>Associate Professor Stella Tarrant</w:t>
      </w:r>
      <w:r>
        <w:rPr>
          <w:rFonts w:ascii="TT Norms Pro Medium"/>
          <w:b/>
          <w:spacing w:val="40"/>
          <w:sz w:val="14"/>
        </w:rPr>
        <w:t> </w:t>
      </w:r>
      <w:r>
        <w:rPr>
          <w:rFonts w:ascii="TT Norms Pro Light"/>
          <w:b w:val="0"/>
          <w:sz w:val="14"/>
        </w:rPr>
        <w:t>Law School, Non-Traditional Research</w:t>
      </w:r>
      <w:r>
        <w:rPr>
          <w:rFonts w:ascii="TT Norms Pro Light"/>
          <w:b w:val="0"/>
          <w:spacing w:val="40"/>
          <w:sz w:val="14"/>
        </w:rPr>
        <w:t> </w:t>
      </w:r>
      <w:r>
        <w:rPr>
          <w:rFonts w:ascii="TT Norms Pro Light"/>
          <w:b w:val="0"/>
          <w:sz w:val="14"/>
        </w:rPr>
        <w:t>Output</w:t>
      </w:r>
      <w:r>
        <w:rPr>
          <w:rFonts w:ascii="TT Norms Pro Light"/>
          <w:b w:val="0"/>
          <w:spacing w:val="-7"/>
          <w:sz w:val="14"/>
        </w:rPr>
        <w:t> </w:t>
      </w:r>
      <w:r>
        <w:rPr>
          <w:rFonts w:ascii="TT Norms Pro Light"/>
          <w:b w:val="0"/>
          <w:sz w:val="14"/>
        </w:rPr>
        <w:t>Award</w:t>
      </w:r>
    </w:p>
    <w:p>
      <w:pPr>
        <w:pStyle w:val="BodyText"/>
        <w:spacing w:before="58"/>
        <w:rPr>
          <w:b w:val="0"/>
          <w:sz w:val="14"/>
        </w:rPr>
      </w:pPr>
    </w:p>
    <w:p>
      <w:pPr>
        <w:spacing w:line="307" w:lineRule="auto" w:before="0"/>
        <w:ind w:left="1145" w:right="364" w:firstLine="0"/>
        <w:jc w:val="left"/>
        <w:rPr>
          <w:rFonts w:ascii="TT Norms Pro Medium"/>
          <w:b/>
          <w:sz w:val="16"/>
        </w:rPr>
      </w:pPr>
      <w:r>
        <w:rPr>
          <w:rFonts w:ascii="TT Norms Pro Medium"/>
          <w:b/>
          <w:spacing w:val="-4"/>
          <w:sz w:val="16"/>
        </w:rPr>
        <w:t>CONCRETE</w:t>
      </w:r>
      <w:r>
        <w:rPr>
          <w:rFonts w:ascii="TT Norms Pro Medium"/>
          <w:b/>
          <w:spacing w:val="-6"/>
          <w:sz w:val="16"/>
        </w:rPr>
        <w:t> </w:t>
      </w:r>
      <w:r>
        <w:rPr>
          <w:rFonts w:ascii="TT Norms Pro Medium"/>
          <w:b/>
          <w:spacing w:val="-4"/>
          <w:sz w:val="16"/>
        </w:rPr>
        <w:t>RISING</w:t>
      </w:r>
      <w:r>
        <w:rPr>
          <w:rFonts w:ascii="TT Norms Pro Medium"/>
          <w:b/>
          <w:spacing w:val="-5"/>
          <w:sz w:val="16"/>
        </w:rPr>
        <w:t> </w:t>
      </w:r>
      <w:r>
        <w:rPr>
          <w:rFonts w:ascii="TT Norms Pro Medium"/>
          <w:b/>
          <w:spacing w:val="-4"/>
          <w:sz w:val="16"/>
        </w:rPr>
        <w:t>STARS</w:t>
      </w:r>
      <w:r>
        <w:rPr>
          <w:rFonts w:ascii="TT Norms Pro Medium"/>
          <w:b/>
          <w:spacing w:val="40"/>
          <w:sz w:val="16"/>
        </w:rPr>
        <w:t> </w:t>
      </w:r>
      <w:r>
        <w:rPr>
          <w:rFonts w:ascii="TT Norms Pro Medium"/>
          <w:b/>
          <w:spacing w:val="-2"/>
          <w:sz w:val="16"/>
        </w:rPr>
        <w:t>AWARD</w:t>
      </w:r>
    </w:p>
    <w:p>
      <w:pPr>
        <w:pStyle w:val="BodyText"/>
        <w:spacing w:before="32"/>
        <w:rPr>
          <w:rFonts w:ascii="TT Norms Pro Medium"/>
          <w:b/>
          <w:sz w:val="16"/>
        </w:rPr>
      </w:pPr>
    </w:p>
    <w:p>
      <w:pPr>
        <w:spacing w:before="0"/>
        <w:ind w:left="1428" w:right="0" w:firstLine="0"/>
        <w:jc w:val="left"/>
        <w:rPr>
          <w:rFonts w:ascii="TT Norms Pro Medium"/>
          <w:b/>
          <w:sz w:val="14"/>
        </w:rPr>
      </w:pPr>
      <w:r>
        <w:rPr>
          <w:rFonts w:ascii="TT Norms Pro Medium"/>
          <w:b/>
          <w:spacing w:val="-4"/>
          <w:sz w:val="14"/>
        </w:rPr>
        <w:t>Farhad</w:t>
      </w:r>
      <w:r>
        <w:rPr>
          <w:rFonts w:ascii="TT Norms Pro Medium"/>
          <w:b/>
          <w:spacing w:val="-1"/>
          <w:sz w:val="14"/>
        </w:rPr>
        <w:t> </w:t>
      </w:r>
      <w:r>
        <w:rPr>
          <w:rFonts w:ascii="TT Norms Pro Medium"/>
          <w:b/>
          <w:spacing w:val="-2"/>
          <w:sz w:val="14"/>
        </w:rPr>
        <w:t>Aslani</w:t>
      </w:r>
    </w:p>
    <w:p>
      <w:pPr>
        <w:spacing w:before="37"/>
        <w:ind w:left="1428" w:right="0" w:firstLine="0"/>
        <w:jc w:val="left"/>
        <w:rPr>
          <w:rFonts w:ascii="TT Norms Pro Light"/>
          <w:b w:val="0"/>
          <w:sz w:val="14"/>
        </w:rPr>
      </w:pPr>
      <w:r>
        <w:rPr>
          <w:rFonts w:ascii="TT Norms Pro Light"/>
          <w:b w:val="0"/>
          <w:sz w:val="14"/>
        </w:rPr>
        <w:t>School</w:t>
      </w:r>
      <w:r>
        <w:rPr>
          <w:rFonts w:ascii="TT Norms Pro Light"/>
          <w:b w:val="0"/>
          <w:spacing w:val="4"/>
          <w:sz w:val="14"/>
        </w:rPr>
        <w:t> </w:t>
      </w:r>
      <w:r>
        <w:rPr>
          <w:rFonts w:ascii="TT Norms Pro Light"/>
          <w:b w:val="0"/>
          <w:sz w:val="14"/>
        </w:rPr>
        <w:t>of</w:t>
      </w:r>
      <w:r>
        <w:rPr>
          <w:rFonts w:ascii="TT Norms Pro Light"/>
          <w:b w:val="0"/>
          <w:spacing w:val="6"/>
          <w:sz w:val="14"/>
        </w:rPr>
        <w:t> </w:t>
      </w:r>
      <w:r>
        <w:rPr>
          <w:rFonts w:ascii="TT Norms Pro Light"/>
          <w:b w:val="0"/>
          <w:spacing w:val="-2"/>
          <w:sz w:val="14"/>
        </w:rPr>
        <w:t>Engineering</w:t>
      </w:r>
    </w:p>
    <w:p>
      <w:pPr>
        <w:pStyle w:val="BodyText"/>
        <w:spacing w:before="72"/>
        <w:rPr>
          <w:b w:val="0"/>
          <w:sz w:val="14"/>
        </w:rPr>
      </w:pPr>
    </w:p>
    <w:p>
      <w:pPr>
        <w:spacing w:before="0"/>
        <w:ind w:left="1428" w:right="0" w:firstLine="0"/>
        <w:jc w:val="left"/>
        <w:rPr>
          <w:rFonts w:ascii="TT Norms Pro Medium"/>
          <w:b/>
          <w:sz w:val="14"/>
        </w:rPr>
      </w:pPr>
      <w:r>
        <w:rPr>
          <w:rFonts w:ascii="TT Norms Pro Medium"/>
          <w:b/>
          <w:spacing w:val="-4"/>
          <w:sz w:val="14"/>
        </w:rPr>
        <w:t>Jenny</w:t>
      </w:r>
      <w:r>
        <w:rPr>
          <w:rFonts w:ascii="TT Norms Pro Medium"/>
          <w:b/>
          <w:spacing w:val="2"/>
          <w:sz w:val="14"/>
        </w:rPr>
        <w:t> </w:t>
      </w:r>
      <w:r>
        <w:rPr>
          <w:rFonts w:ascii="TT Norms Pro Medium"/>
          <w:b/>
          <w:spacing w:val="-5"/>
          <w:sz w:val="14"/>
        </w:rPr>
        <w:t>Lu</w:t>
      </w:r>
    </w:p>
    <w:p>
      <w:pPr>
        <w:spacing w:before="36"/>
        <w:ind w:left="1428" w:right="0" w:firstLine="0"/>
        <w:jc w:val="left"/>
        <w:rPr>
          <w:rFonts w:ascii="TT Norms Pro Light"/>
          <w:b w:val="0"/>
          <w:sz w:val="14"/>
        </w:rPr>
      </w:pPr>
      <w:r>
        <w:rPr>
          <w:rFonts w:ascii="TT Norms Pro Light"/>
          <w:b w:val="0"/>
          <w:sz w:val="14"/>
        </w:rPr>
        <w:t>School</w:t>
      </w:r>
      <w:r>
        <w:rPr>
          <w:rFonts w:ascii="TT Norms Pro Light"/>
          <w:b w:val="0"/>
          <w:spacing w:val="4"/>
          <w:sz w:val="14"/>
        </w:rPr>
        <w:t> </w:t>
      </w:r>
      <w:r>
        <w:rPr>
          <w:rFonts w:ascii="TT Norms Pro Light"/>
          <w:b w:val="0"/>
          <w:sz w:val="14"/>
        </w:rPr>
        <w:t>of</w:t>
      </w:r>
      <w:r>
        <w:rPr>
          <w:rFonts w:ascii="TT Norms Pro Light"/>
          <w:b w:val="0"/>
          <w:spacing w:val="6"/>
          <w:sz w:val="14"/>
        </w:rPr>
        <w:t> </w:t>
      </w:r>
      <w:r>
        <w:rPr>
          <w:rFonts w:ascii="TT Norms Pro Light"/>
          <w:b w:val="0"/>
          <w:spacing w:val="-2"/>
          <w:sz w:val="14"/>
        </w:rPr>
        <w:t>Engineering</w:t>
      </w:r>
    </w:p>
    <w:p>
      <w:pPr>
        <w:pStyle w:val="BodyText"/>
        <w:spacing w:before="93"/>
        <w:rPr>
          <w:b w:val="0"/>
          <w:sz w:val="14"/>
        </w:rPr>
      </w:pPr>
    </w:p>
    <w:p>
      <w:pPr>
        <w:spacing w:before="1"/>
        <w:ind w:left="1145" w:right="0" w:firstLine="0"/>
        <w:jc w:val="left"/>
        <w:rPr>
          <w:rFonts w:ascii="TT Norms Pro Medium"/>
          <w:b/>
          <w:sz w:val="16"/>
        </w:rPr>
      </w:pPr>
      <w:r>
        <w:rPr>
          <w:rFonts w:ascii="TT Norms Pro Medium"/>
          <w:b/>
          <w:spacing w:val="4"/>
          <w:w w:val="90"/>
          <w:sz w:val="16"/>
        </w:rPr>
        <w:t>40UNDER40</w:t>
      </w:r>
      <w:r>
        <w:rPr>
          <w:rFonts w:ascii="TT Norms Pro Medium"/>
          <w:b/>
          <w:spacing w:val="24"/>
          <w:sz w:val="16"/>
        </w:rPr>
        <w:t> </w:t>
      </w:r>
      <w:r>
        <w:rPr>
          <w:rFonts w:ascii="TT Norms Pro Medium"/>
          <w:b/>
          <w:spacing w:val="-2"/>
          <w:sz w:val="16"/>
        </w:rPr>
        <w:t>AWARDS</w:t>
      </w:r>
    </w:p>
    <w:p>
      <w:pPr>
        <w:pStyle w:val="BodyText"/>
        <w:spacing w:before="84"/>
        <w:rPr>
          <w:rFonts w:ascii="TT Norms Pro Medium"/>
          <w:b/>
          <w:sz w:val="16"/>
        </w:rPr>
      </w:pPr>
    </w:p>
    <w:p>
      <w:pPr>
        <w:spacing w:line="292" w:lineRule="auto" w:before="0"/>
        <w:ind w:left="1428" w:right="364" w:firstLine="0"/>
        <w:jc w:val="left"/>
        <w:rPr>
          <w:rFonts w:ascii="TT Norms Pro Light"/>
          <w:b w:val="0"/>
          <w:sz w:val="14"/>
        </w:rPr>
      </w:pPr>
      <w:r>
        <w:rPr>
          <w:rFonts w:ascii="TT Norms Pro Medium"/>
          <w:b/>
          <w:sz w:val="14"/>
        </w:rPr>
        <w:t>Dr Christopher Brennan-Jones</w:t>
      </w:r>
      <w:r>
        <w:rPr>
          <w:rFonts w:ascii="TT Norms Pro Medium"/>
          <w:b/>
          <w:spacing w:val="40"/>
          <w:sz w:val="14"/>
        </w:rPr>
        <w:t> </w:t>
      </w:r>
      <w:r>
        <w:rPr>
          <w:rFonts w:ascii="TT Norms Pro Light"/>
          <w:b w:val="0"/>
          <w:sz w:val="14"/>
        </w:rPr>
        <w:t>Medical School, Woodside STEM</w:t>
      </w:r>
      <w:r>
        <w:rPr>
          <w:rFonts w:ascii="TT Norms Pro Light"/>
          <w:b w:val="0"/>
          <w:spacing w:val="40"/>
          <w:sz w:val="14"/>
        </w:rPr>
        <w:t> </w:t>
      </w:r>
      <w:r>
        <w:rPr>
          <w:rFonts w:ascii="TT Norms Pro Light"/>
          <w:b w:val="0"/>
          <w:sz w:val="14"/>
        </w:rPr>
        <w:t>Excellence</w:t>
      </w:r>
      <w:r>
        <w:rPr>
          <w:rFonts w:ascii="TT Norms Pro Light"/>
          <w:b w:val="0"/>
          <w:spacing w:val="-7"/>
          <w:sz w:val="14"/>
        </w:rPr>
        <w:t> </w:t>
      </w:r>
      <w:r>
        <w:rPr>
          <w:rFonts w:ascii="TT Norms Pro Light"/>
          <w:b w:val="0"/>
          <w:sz w:val="14"/>
        </w:rPr>
        <w:t>Award</w:t>
      </w:r>
    </w:p>
    <w:p>
      <w:pPr>
        <w:pStyle w:val="BodyText"/>
        <w:spacing w:before="58"/>
        <w:rPr>
          <w:b w:val="0"/>
          <w:sz w:val="14"/>
        </w:rPr>
      </w:pPr>
    </w:p>
    <w:p>
      <w:pPr>
        <w:spacing w:line="307" w:lineRule="auto" w:before="0"/>
        <w:ind w:left="1145" w:right="165" w:firstLine="0"/>
        <w:jc w:val="left"/>
        <w:rPr>
          <w:rFonts w:ascii="TT Norms Pro Medium"/>
          <w:b/>
          <w:sz w:val="16"/>
        </w:rPr>
      </w:pPr>
      <w:r>
        <w:rPr>
          <w:rFonts w:ascii="TT Norms Pro Medium"/>
          <w:b/>
          <w:sz w:val="16"/>
        </w:rPr>
        <w:t>INTELLIGENT</w:t>
      </w:r>
      <w:r>
        <w:rPr>
          <w:rFonts w:ascii="TT Norms Pro Medium"/>
          <w:b/>
          <w:spacing w:val="-10"/>
          <w:sz w:val="16"/>
        </w:rPr>
        <w:t> </w:t>
      </w:r>
      <w:r>
        <w:rPr>
          <w:rFonts w:ascii="TT Norms Pro Medium"/>
          <w:b/>
          <w:sz w:val="16"/>
        </w:rPr>
        <w:t>TRANSPORT</w:t>
      </w:r>
      <w:r>
        <w:rPr>
          <w:rFonts w:ascii="TT Norms Pro Medium"/>
          <w:b/>
          <w:spacing w:val="40"/>
          <w:sz w:val="16"/>
        </w:rPr>
        <w:t> </w:t>
      </w:r>
      <w:r>
        <w:rPr>
          <w:rFonts w:ascii="TT Norms Pro Medium"/>
          <w:b/>
          <w:spacing w:val="-4"/>
          <w:sz w:val="16"/>
        </w:rPr>
        <w:t>SYSTEMS AUSTRALIA NATIONAL</w:t>
      </w:r>
      <w:r>
        <w:rPr>
          <w:rFonts w:ascii="TT Norms Pro Medium"/>
          <w:b/>
          <w:spacing w:val="40"/>
          <w:sz w:val="16"/>
        </w:rPr>
        <w:t> </w:t>
      </w:r>
      <w:r>
        <w:rPr>
          <w:rFonts w:ascii="TT Norms Pro Medium"/>
          <w:b/>
          <w:spacing w:val="-2"/>
          <w:sz w:val="16"/>
        </w:rPr>
        <w:t>AWARDS</w:t>
      </w:r>
    </w:p>
    <w:p>
      <w:pPr>
        <w:pStyle w:val="BodyText"/>
        <w:spacing w:before="33"/>
        <w:rPr>
          <w:rFonts w:ascii="TT Norms Pro Medium"/>
          <w:b/>
          <w:sz w:val="16"/>
        </w:rPr>
      </w:pPr>
    </w:p>
    <w:p>
      <w:pPr>
        <w:spacing w:before="0"/>
        <w:ind w:left="1428" w:right="0" w:firstLine="0"/>
        <w:jc w:val="left"/>
        <w:rPr>
          <w:rFonts w:ascii="TT Norms Pro Medium"/>
          <w:b/>
          <w:sz w:val="14"/>
        </w:rPr>
      </w:pPr>
      <w:r>
        <w:rPr>
          <w:rFonts w:ascii="TT Norms Pro Medium"/>
          <w:b/>
          <w:spacing w:val="-2"/>
          <w:sz w:val="14"/>
        </w:rPr>
        <w:t>Dr</w:t>
      </w:r>
      <w:r>
        <w:rPr>
          <w:rFonts w:ascii="TT Norms Pro Medium"/>
          <w:b/>
          <w:spacing w:val="-5"/>
          <w:sz w:val="14"/>
        </w:rPr>
        <w:t> </w:t>
      </w:r>
      <w:r>
        <w:rPr>
          <w:rFonts w:ascii="TT Norms Pro Medium"/>
          <w:b/>
          <w:spacing w:val="-2"/>
          <w:sz w:val="14"/>
        </w:rPr>
        <w:t>Kai</w:t>
      </w:r>
      <w:r>
        <w:rPr>
          <w:rFonts w:ascii="TT Norms Pro Medium"/>
          <w:b/>
          <w:spacing w:val="-5"/>
          <w:sz w:val="14"/>
        </w:rPr>
        <w:t> </w:t>
      </w:r>
      <w:r>
        <w:rPr>
          <w:rFonts w:ascii="TT Norms Pro Medium"/>
          <w:b/>
          <w:spacing w:val="-2"/>
          <w:sz w:val="14"/>
        </w:rPr>
        <w:t>Li</w:t>
      </w:r>
      <w:r>
        <w:rPr>
          <w:rFonts w:ascii="TT Norms Pro Medium"/>
          <w:b/>
          <w:spacing w:val="-5"/>
          <w:sz w:val="14"/>
        </w:rPr>
        <w:t> Lim</w:t>
      </w:r>
    </w:p>
    <w:p>
      <w:pPr>
        <w:spacing w:line="292" w:lineRule="auto" w:before="36"/>
        <w:ind w:left="1428" w:right="0" w:firstLine="0"/>
        <w:jc w:val="left"/>
        <w:rPr>
          <w:rFonts w:ascii="TT Norms Pro Light"/>
          <w:b w:val="0"/>
          <w:i/>
          <w:sz w:val="14"/>
        </w:rPr>
      </w:pPr>
      <w:r>
        <w:rPr>
          <w:rFonts w:ascii="TT Norms Pro Light"/>
          <w:b w:val="0"/>
          <w:sz w:val="14"/>
        </w:rPr>
        <w:t>School of Engineering, Smart Transport</w:t>
      </w:r>
      <w:r>
        <w:rPr>
          <w:rFonts w:ascii="TT Norms Pro Light"/>
          <w:b w:val="0"/>
          <w:spacing w:val="40"/>
          <w:sz w:val="14"/>
        </w:rPr>
        <w:t> </w:t>
      </w:r>
      <w:r>
        <w:rPr>
          <w:rFonts w:ascii="TT Norms Pro Light"/>
          <w:b w:val="0"/>
          <w:sz w:val="14"/>
        </w:rPr>
        <w:t>Infrastructure Award , </w:t>
      </w:r>
      <w:r>
        <w:rPr>
          <w:rFonts w:ascii="TT Norms Pro Light"/>
          <w:b w:val="0"/>
          <w:i/>
          <w:sz w:val="14"/>
        </w:rPr>
        <w:t>Finalist</w:t>
      </w:r>
    </w:p>
    <w:p>
      <w:pPr>
        <w:pStyle w:val="BodyText"/>
        <w:spacing w:before="57"/>
        <w:rPr>
          <w:b w:val="0"/>
          <w:i/>
          <w:sz w:val="14"/>
        </w:rPr>
      </w:pPr>
    </w:p>
    <w:p>
      <w:pPr>
        <w:spacing w:line="307" w:lineRule="auto" w:before="0"/>
        <w:ind w:left="1145" w:right="968" w:firstLine="0"/>
        <w:jc w:val="left"/>
        <w:rPr>
          <w:rFonts w:ascii="TT Norms Pro Medium"/>
          <w:b/>
          <w:sz w:val="16"/>
        </w:rPr>
      </w:pPr>
      <w:r>
        <w:rPr>
          <w:rFonts w:ascii="TT Norms Pro Medium"/>
          <w:b/>
          <w:spacing w:val="-4"/>
          <w:sz w:val="16"/>
        </w:rPr>
        <w:t>WA</w:t>
      </w:r>
      <w:r>
        <w:rPr>
          <w:rFonts w:ascii="TT Norms Pro Medium"/>
          <w:b/>
          <w:spacing w:val="-6"/>
          <w:sz w:val="16"/>
        </w:rPr>
        <w:t> </w:t>
      </w:r>
      <w:r>
        <w:rPr>
          <w:rFonts w:ascii="TT Norms Pro Medium"/>
          <w:b/>
          <w:spacing w:val="-4"/>
          <w:sz w:val="16"/>
        </w:rPr>
        <w:t>YOUNG</w:t>
      </w:r>
      <w:r>
        <w:rPr>
          <w:rFonts w:ascii="TT Norms Pro Medium"/>
          <w:b/>
          <w:spacing w:val="-5"/>
          <w:sz w:val="16"/>
        </w:rPr>
        <w:t> </w:t>
      </w:r>
      <w:r>
        <w:rPr>
          <w:rFonts w:ascii="TT Norms Pro Medium"/>
          <w:b/>
          <w:spacing w:val="-4"/>
          <w:sz w:val="16"/>
        </w:rPr>
        <w:t>TALL</w:t>
      </w:r>
      <w:r>
        <w:rPr>
          <w:rFonts w:ascii="TT Norms Pro Medium"/>
          <w:b/>
          <w:spacing w:val="-6"/>
          <w:sz w:val="16"/>
        </w:rPr>
        <w:t> </w:t>
      </w:r>
      <w:r>
        <w:rPr>
          <w:rFonts w:ascii="TT Norms Pro Medium"/>
          <w:b/>
          <w:spacing w:val="-4"/>
          <w:sz w:val="16"/>
        </w:rPr>
        <w:t>POPPY</w:t>
      </w:r>
      <w:r>
        <w:rPr>
          <w:rFonts w:ascii="TT Norms Pro Medium"/>
          <w:b/>
          <w:spacing w:val="40"/>
          <w:sz w:val="16"/>
        </w:rPr>
        <w:t> </w:t>
      </w:r>
      <w:r>
        <w:rPr>
          <w:rFonts w:ascii="TT Norms Pro Medium"/>
          <w:b/>
          <w:sz w:val="16"/>
        </w:rPr>
        <w:t>SCIENCE</w:t>
      </w:r>
      <w:r>
        <w:rPr>
          <w:rFonts w:ascii="TT Norms Pro Medium"/>
          <w:b/>
          <w:spacing w:val="-10"/>
          <w:sz w:val="16"/>
        </w:rPr>
        <w:t> </w:t>
      </w:r>
      <w:r>
        <w:rPr>
          <w:rFonts w:ascii="TT Norms Pro Medium"/>
          <w:b/>
          <w:sz w:val="16"/>
        </w:rPr>
        <w:t>AWARD</w:t>
      </w:r>
    </w:p>
    <w:p>
      <w:pPr>
        <w:pStyle w:val="BodyText"/>
        <w:spacing w:before="33"/>
        <w:rPr>
          <w:rFonts w:ascii="TT Norms Pro Medium"/>
          <w:b/>
          <w:sz w:val="16"/>
        </w:rPr>
      </w:pPr>
    </w:p>
    <w:p>
      <w:pPr>
        <w:spacing w:before="0"/>
        <w:ind w:left="1428" w:right="0" w:firstLine="0"/>
        <w:jc w:val="left"/>
        <w:rPr>
          <w:rFonts w:ascii="TT Norms Pro Medium"/>
          <w:b/>
          <w:sz w:val="14"/>
        </w:rPr>
      </w:pPr>
      <w:r>
        <w:rPr>
          <w:rFonts w:ascii="TT Norms Pro Medium"/>
          <w:b/>
          <w:spacing w:val="-4"/>
          <w:sz w:val="14"/>
        </w:rPr>
        <w:t>Associate</w:t>
      </w:r>
      <w:r>
        <w:rPr>
          <w:rFonts w:ascii="TT Norms Pro Medium"/>
          <w:b/>
          <w:spacing w:val="8"/>
          <w:sz w:val="14"/>
        </w:rPr>
        <w:t> </w:t>
      </w:r>
      <w:r>
        <w:rPr>
          <w:rFonts w:ascii="TT Norms Pro Medium"/>
          <w:b/>
          <w:spacing w:val="-4"/>
          <w:sz w:val="14"/>
        </w:rPr>
        <w:t>Professor</w:t>
      </w:r>
      <w:r>
        <w:rPr>
          <w:rFonts w:ascii="TT Norms Pro Medium"/>
          <w:b/>
          <w:spacing w:val="8"/>
          <w:sz w:val="14"/>
        </w:rPr>
        <w:t> </w:t>
      </w:r>
      <w:r>
        <w:rPr>
          <w:rFonts w:ascii="TT Norms Pro Medium"/>
          <w:b/>
          <w:spacing w:val="-4"/>
          <w:sz w:val="14"/>
        </w:rPr>
        <w:t>Hayley</w:t>
      </w:r>
      <w:r>
        <w:rPr>
          <w:rFonts w:ascii="TT Norms Pro Medium"/>
          <w:b/>
          <w:spacing w:val="9"/>
          <w:sz w:val="14"/>
        </w:rPr>
        <w:t> </w:t>
      </w:r>
      <w:r>
        <w:rPr>
          <w:rFonts w:ascii="TT Norms Pro Medium"/>
          <w:b/>
          <w:spacing w:val="-4"/>
          <w:sz w:val="14"/>
        </w:rPr>
        <w:t>Christian</w:t>
      </w:r>
    </w:p>
    <w:p>
      <w:pPr>
        <w:spacing w:before="36"/>
        <w:ind w:left="1428" w:right="0" w:firstLine="0"/>
        <w:jc w:val="left"/>
        <w:rPr>
          <w:rFonts w:ascii="TT Norms Pro Light"/>
          <w:b w:val="0"/>
          <w:sz w:val="14"/>
        </w:rPr>
      </w:pPr>
      <w:r>
        <w:rPr>
          <w:rFonts w:ascii="TT Norms Pro Light"/>
          <w:b w:val="0"/>
          <w:sz w:val="14"/>
        </w:rPr>
        <w:t>School</w:t>
      </w:r>
      <w:r>
        <w:rPr>
          <w:rFonts w:ascii="TT Norms Pro Light"/>
          <w:b w:val="0"/>
          <w:spacing w:val="8"/>
          <w:sz w:val="14"/>
        </w:rPr>
        <w:t> </w:t>
      </w:r>
      <w:r>
        <w:rPr>
          <w:rFonts w:ascii="TT Norms Pro Light"/>
          <w:b w:val="0"/>
          <w:sz w:val="14"/>
        </w:rPr>
        <w:t>of</w:t>
      </w:r>
      <w:r>
        <w:rPr>
          <w:rFonts w:ascii="TT Norms Pro Light"/>
          <w:b w:val="0"/>
          <w:spacing w:val="8"/>
          <w:sz w:val="14"/>
        </w:rPr>
        <w:t> </w:t>
      </w:r>
      <w:r>
        <w:rPr>
          <w:rFonts w:ascii="TT Norms Pro Light"/>
          <w:b w:val="0"/>
          <w:sz w:val="14"/>
        </w:rPr>
        <w:t>Population</w:t>
      </w:r>
      <w:r>
        <w:rPr>
          <w:rFonts w:ascii="TT Norms Pro Light"/>
          <w:b w:val="0"/>
          <w:spacing w:val="8"/>
          <w:sz w:val="14"/>
        </w:rPr>
        <w:t> </w:t>
      </w:r>
      <w:r>
        <w:rPr>
          <w:rFonts w:ascii="TT Norms Pro Light"/>
          <w:b w:val="0"/>
          <w:sz w:val="14"/>
        </w:rPr>
        <w:t>and</w:t>
      </w:r>
      <w:r>
        <w:rPr>
          <w:rFonts w:ascii="TT Norms Pro Light"/>
          <w:b w:val="0"/>
          <w:spacing w:val="8"/>
          <w:sz w:val="14"/>
        </w:rPr>
        <w:t> </w:t>
      </w:r>
      <w:r>
        <w:rPr>
          <w:rFonts w:ascii="TT Norms Pro Light"/>
          <w:b w:val="0"/>
          <w:sz w:val="14"/>
        </w:rPr>
        <w:t>Global</w:t>
      </w:r>
      <w:r>
        <w:rPr>
          <w:rFonts w:ascii="TT Norms Pro Light"/>
          <w:b w:val="0"/>
          <w:spacing w:val="8"/>
          <w:sz w:val="14"/>
        </w:rPr>
        <w:t> </w:t>
      </w:r>
      <w:r>
        <w:rPr>
          <w:rFonts w:ascii="TT Norms Pro Light"/>
          <w:b w:val="0"/>
          <w:spacing w:val="-2"/>
          <w:sz w:val="14"/>
        </w:rPr>
        <w:t>Health</w:t>
      </w:r>
    </w:p>
    <w:p>
      <w:pPr>
        <w:pStyle w:val="BodyText"/>
        <w:spacing w:before="93"/>
        <w:rPr>
          <w:b w:val="0"/>
          <w:sz w:val="14"/>
        </w:rPr>
      </w:pPr>
    </w:p>
    <w:p>
      <w:pPr>
        <w:spacing w:line="307" w:lineRule="auto" w:before="1"/>
        <w:ind w:left="1145" w:right="115" w:firstLine="0"/>
        <w:jc w:val="left"/>
        <w:rPr>
          <w:rFonts w:ascii="TT Norms Pro Medium"/>
          <w:b/>
          <w:sz w:val="16"/>
        </w:rPr>
      </w:pPr>
      <w:r>
        <w:rPr>
          <w:rFonts w:ascii="TT Norms Pro Medium"/>
          <w:b/>
          <w:spacing w:val="-2"/>
          <w:sz w:val="16"/>
        </w:rPr>
        <w:t>3M</w:t>
      </w:r>
      <w:r>
        <w:rPr>
          <w:rFonts w:ascii="TT Norms Pro Medium"/>
          <w:b/>
          <w:spacing w:val="-8"/>
          <w:sz w:val="16"/>
        </w:rPr>
        <w:t> </w:t>
      </w:r>
      <w:r>
        <w:rPr>
          <w:rFonts w:ascii="TT Norms Pro Medium"/>
          <w:b/>
          <w:spacing w:val="-2"/>
          <w:sz w:val="16"/>
        </w:rPr>
        <w:t>EUREKA</w:t>
      </w:r>
      <w:r>
        <w:rPr>
          <w:rFonts w:ascii="TT Norms Pro Medium"/>
          <w:b/>
          <w:spacing w:val="-7"/>
          <w:sz w:val="16"/>
        </w:rPr>
        <w:t> </w:t>
      </w:r>
      <w:r>
        <w:rPr>
          <w:rFonts w:ascii="TT Norms Pro Medium"/>
          <w:b/>
          <w:spacing w:val="-2"/>
          <w:sz w:val="16"/>
        </w:rPr>
        <w:t>PRIZE</w:t>
      </w:r>
      <w:r>
        <w:rPr>
          <w:rFonts w:ascii="TT Norms Pro Medium"/>
          <w:b/>
          <w:spacing w:val="-8"/>
          <w:sz w:val="16"/>
        </w:rPr>
        <w:t> </w:t>
      </w:r>
      <w:r>
        <w:rPr>
          <w:rFonts w:ascii="TT Norms Pro Medium"/>
          <w:b/>
          <w:spacing w:val="-2"/>
          <w:sz w:val="16"/>
        </w:rPr>
        <w:t>FOR</w:t>
      </w:r>
      <w:r>
        <w:rPr>
          <w:rFonts w:ascii="TT Norms Pro Medium"/>
          <w:b/>
          <w:spacing w:val="-7"/>
          <w:sz w:val="16"/>
        </w:rPr>
        <w:t> </w:t>
      </w:r>
      <w:r>
        <w:rPr>
          <w:rFonts w:ascii="TT Norms Pro Medium"/>
          <w:b/>
          <w:spacing w:val="-2"/>
          <w:sz w:val="16"/>
        </w:rPr>
        <w:t>EMERGING</w:t>
      </w:r>
      <w:r>
        <w:rPr>
          <w:rFonts w:ascii="TT Norms Pro Medium"/>
          <w:b/>
          <w:spacing w:val="40"/>
          <w:sz w:val="16"/>
        </w:rPr>
        <w:t> </w:t>
      </w:r>
      <w:r>
        <w:rPr>
          <w:rFonts w:ascii="TT Norms Pro Medium"/>
          <w:b/>
          <w:sz w:val="16"/>
        </w:rPr>
        <w:t>LEADER IN SCIENCE</w:t>
      </w:r>
    </w:p>
    <w:p>
      <w:pPr>
        <w:pStyle w:val="BodyText"/>
        <w:spacing w:before="32"/>
        <w:rPr>
          <w:rFonts w:ascii="TT Norms Pro Medium"/>
          <w:b/>
          <w:sz w:val="16"/>
        </w:rPr>
      </w:pPr>
    </w:p>
    <w:p>
      <w:pPr>
        <w:spacing w:before="0"/>
        <w:ind w:left="1428" w:right="0" w:firstLine="0"/>
        <w:jc w:val="left"/>
        <w:rPr>
          <w:rFonts w:ascii="TT Norms Pro Medium"/>
          <w:b/>
          <w:sz w:val="14"/>
        </w:rPr>
      </w:pPr>
      <w:r>
        <w:rPr>
          <w:rFonts w:ascii="TT Norms Pro Medium"/>
          <w:b/>
          <w:spacing w:val="-2"/>
          <w:sz w:val="14"/>
        </w:rPr>
        <w:t>Associate</w:t>
      </w:r>
      <w:r>
        <w:rPr>
          <w:rFonts w:ascii="TT Norms Pro Medium"/>
          <w:b/>
          <w:spacing w:val="-8"/>
          <w:sz w:val="14"/>
        </w:rPr>
        <w:t> </w:t>
      </w:r>
      <w:r>
        <w:rPr>
          <w:rFonts w:ascii="TT Norms Pro Medium"/>
          <w:b/>
          <w:spacing w:val="-2"/>
          <w:sz w:val="14"/>
        </w:rPr>
        <w:t>Professor</w:t>
      </w:r>
      <w:r>
        <w:rPr>
          <w:rFonts w:ascii="TT Norms Pro Medium"/>
          <w:b/>
          <w:spacing w:val="-6"/>
          <w:sz w:val="14"/>
        </w:rPr>
        <w:t> </w:t>
      </w:r>
      <w:r>
        <w:rPr>
          <w:rFonts w:ascii="TT Norms Pro Medium"/>
          <w:b/>
          <w:spacing w:val="-2"/>
          <w:sz w:val="14"/>
        </w:rPr>
        <w:t>Asha</w:t>
      </w:r>
      <w:r>
        <w:rPr>
          <w:rFonts w:ascii="TT Norms Pro Medium"/>
          <w:b/>
          <w:spacing w:val="-5"/>
          <w:sz w:val="14"/>
        </w:rPr>
        <w:t> </w:t>
      </w:r>
      <w:r>
        <w:rPr>
          <w:rFonts w:ascii="TT Norms Pro Medium"/>
          <w:b/>
          <w:spacing w:val="-4"/>
          <w:sz w:val="14"/>
        </w:rPr>
        <w:t>Bowen</w:t>
      </w:r>
    </w:p>
    <w:p>
      <w:pPr>
        <w:spacing w:before="36"/>
        <w:ind w:left="1428" w:right="0" w:firstLine="0"/>
        <w:jc w:val="left"/>
        <w:rPr>
          <w:rFonts w:ascii="TT Norms Pro Light"/>
          <w:b w:val="0"/>
          <w:sz w:val="14"/>
        </w:rPr>
      </w:pPr>
      <w:r>
        <w:rPr>
          <w:rFonts w:ascii="TT Norms Pro Light"/>
          <w:b w:val="0"/>
          <w:sz w:val="14"/>
        </w:rPr>
        <w:t>Medical</w:t>
      </w:r>
      <w:r>
        <w:rPr>
          <w:rFonts w:ascii="TT Norms Pro Light"/>
          <w:b w:val="0"/>
          <w:spacing w:val="15"/>
          <w:sz w:val="14"/>
        </w:rPr>
        <w:t> </w:t>
      </w:r>
      <w:r>
        <w:rPr>
          <w:rFonts w:ascii="TT Norms Pro Light"/>
          <w:b w:val="0"/>
          <w:spacing w:val="-2"/>
          <w:sz w:val="14"/>
        </w:rPr>
        <w:t>School</w:t>
      </w:r>
    </w:p>
    <w:p>
      <w:pPr>
        <w:pStyle w:val="BodyText"/>
        <w:spacing w:before="94"/>
        <w:rPr>
          <w:b w:val="0"/>
          <w:sz w:val="14"/>
        </w:rPr>
      </w:pPr>
    </w:p>
    <w:p>
      <w:pPr>
        <w:spacing w:before="0"/>
        <w:ind w:left="1145" w:right="0" w:firstLine="0"/>
        <w:jc w:val="left"/>
        <w:rPr>
          <w:rFonts w:ascii="TT Norms Pro Medium"/>
          <w:b/>
          <w:sz w:val="16"/>
        </w:rPr>
      </w:pPr>
      <w:r>
        <w:rPr>
          <w:rFonts w:ascii="TT Norms Pro Medium"/>
          <w:b/>
          <w:spacing w:val="-4"/>
          <w:sz w:val="16"/>
        </w:rPr>
        <w:t>AUSTRALIAN</w:t>
      </w:r>
      <w:r>
        <w:rPr>
          <w:rFonts w:ascii="TT Norms Pro Medium"/>
          <w:b/>
          <w:spacing w:val="10"/>
          <w:sz w:val="16"/>
        </w:rPr>
        <w:t> </w:t>
      </w:r>
      <w:r>
        <w:rPr>
          <w:rFonts w:ascii="TT Norms Pro Medium"/>
          <w:b/>
          <w:spacing w:val="-2"/>
          <w:sz w:val="16"/>
        </w:rPr>
        <w:t>INSTITUTE</w:t>
      </w:r>
    </w:p>
    <w:p>
      <w:pPr>
        <w:spacing w:before="53"/>
        <w:ind w:left="1145" w:right="0" w:firstLine="0"/>
        <w:jc w:val="left"/>
        <w:rPr>
          <w:rFonts w:ascii="TT Norms Pro Medium"/>
          <w:b/>
          <w:sz w:val="16"/>
        </w:rPr>
      </w:pPr>
      <w:r>
        <w:rPr>
          <w:rFonts w:ascii="TT Norms Pro Medium"/>
          <w:b/>
          <w:spacing w:val="-2"/>
          <w:sz w:val="16"/>
        </w:rPr>
        <w:t>OF</w:t>
      </w:r>
      <w:r>
        <w:rPr>
          <w:rFonts w:ascii="TT Norms Pro Medium"/>
          <w:b/>
          <w:spacing w:val="-8"/>
          <w:sz w:val="16"/>
        </w:rPr>
        <w:t> </w:t>
      </w:r>
      <w:r>
        <w:rPr>
          <w:rFonts w:ascii="TT Norms Pro Medium"/>
          <w:b/>
          <w:spacing w:val="-2"/>
          <w:sz w:val="16"/>
        </w:rPr>
        <w:t>LANDSCAPE</w:t>
      </w:r>
      <w:r>
        <w:rPr>
          <w:rFonts w:ascii="TT Norms Pro Medium"/>
          <w:b/>
          <w:spacing w:val="-7"/>
          <w:sz w:val="16"/>
        </w:rPr>
        <w:t> </w:t>
      </w:r>
      <w:r>
        <w:rPr>
          <w:rFonts w:ascii="TT Norms Pro Medium"/>
          <w:b/>
          <w:spacing w:val="-2"/>
          <w:sz w:val="16"/>
        </w:rPr>
        <w:t>ARCHITECTS</w:t>
      </w:r>
    </w:p>
    <w:p>
      <w:pPr>
        <w:pStyle w:val="BodyText"/>
        <w:spacing w:before="71"/>
        <w:rPr>
          <w:rFonts w:ascii="TT Norms Pro Medium"/>
          <w:b/>
          <w:sz w:val="16"/>
        </w:rPr>
      </w:pPr>
    </w:p>
    <w:p>
      <w:pPr>
        <w:spacing w:line="292" w:lineRule="auto" w:before="0"/>
        <w:ind w:left="1428" w:right="339" w:firstLine="0"/>
        <w:jc w:val="both"/>
        <w:rPr>
          <w:rFonts w:ascii="TT Norms Pro Light" w:hAnsi="TT Norms Pro Light"/>
          <w:b w:val="0"/>
          <w:sz w:val="14"/>
        </w:rPr>
      </w:pPr>
      <w:r>
        <w:rPr>
          <w:rFonts w:ascii="TT Norms Pro Medium" w:hAnsi="TT Norms Pro Medium"/>
          <w:b/>
          <w:spacing w:val="-2"/>
          <w:sz w:val="14"/>
        </w:rPr>
        <w:t>School</w:t>
      </w:r>
      <w:r>
        <w:rPr>
          <w:rFonts w:ascii="TT Norms Pro Medium" w:hAnsi="TT Norms Pro Medium"/>
          <w:b/>
          <w:spacing w:val="-7"/>
          <w:sz w:val="14"/>
        </w:rPr>
        <w:t> </w:t>
      </w:r>
      <w:r>
        <w:rPr>
          <w:rFonts w:ascii="TT Norms Pro Medium" w:hAnsi="TT Norms Pro Medium"/>
          <w:b/>
          <w:spacing w:val="-2"/>
          <w:sz w:val="14"/>
        </w:rPr>
        <w:t>of</w:t>
      </w:r>
      <w:r>
        <w:rPr>
          <w:rFonts w:ascii="TT Norms Pro Medium" w:hAnsi="TT Norms Pro Medium"/>
          <w:b/>
          <w:spacing w:val="-6"/>
          <w:sz w:val="14"/>
        </w:rPr>
        <w:t> </w:t>
      </w:r>
      <w:r>
        <w:rPr>
          <w:rFonts w:ascii="TT Norms Pro Medium" w:hAnsi="TT Norms Pro Medium"/>
          <w:b/>
          <w:spacing w:val="-2"/>
          <w:sz w:val="14"/>
        </w:rPr>
        <w:t>Design</w:t>
      </w:r>
      <w:r>
        <w:rPr>
          <w:rFonts w:ascii="TT Norms Pro Medium" w:hAnsi="TT Norms Pro Medium"/>
          <w:b/>
          <w:spacing w:val="-6"/>
          <w:sz w:val="14"/>
        </w:rPr>
        <w:t> </w:t>
      </w:r>
      <w:r>
        <w:rPr>
          <w:rFonts w:ascii="TT Norms Pro Medium" w:hAnsi="TT Norms Pro Medium"/>
          <w:b/>
          <w:spacing w:val="-2"/>
          <w:sz w:val="14"/>
        </w:rPr>
        <w:t>staff</w:t>
      </w:r>
      <w:r>
        <w:rPr>
          <w:rFonts w:ascii="TT Norms Pro Medium" w:hAnsi="TT Norms Pro Medium"/>
          <w:b/>
          <w:spacing w:val="-7"/>
          <w:sz w:val="14"/>
        </w:rPr>
        <w:t> </w:t>
      </w:r>
      <w:r>
        <w:rPr>
          <w:rFonts w:ascii="TT Norms Pro Medium" w:hAnsi="TT Norms Pro Medium"/>
          <w:b/>
          <w:spacing w:val="-2"/>
          <w:sz w:val="14"/>
        </w:rPr>
        <w:t>and</w:t>
      </w:r>
      <w:r>
        <w:rPr>
          <w:rFonts w:ascii="TT Norms Pro Medium" w:hAnsi="TT Norms Pro Medium"/>
          <w:b/>
          <w:spacing w:val="-6"/>
          <w:sz w:val="14"/>
        </w:rPr>
        <w:t> </w:t>
      </w:r>
      <w:r>
        <w:rPr>
          <w:rFonts w:ascii="TT Norms Pro Medium" w:hAnsi="TT Norms Pro Medium"/>
          <w:b/>
          <w:spacing w:val="-2"/>
          <w:sz w:val="14"/>
        </w:rPr>
        <w:t>students</w:t>
      </w:r>
      <w:r>
        <w:rPr>
          <w:rFonts w:ascii="TT Norms Pro Medium" w:hAnsi="TT Norms Pro Medium"/>
          <w:b/>
          <w:spacing w:val="40"/>
          <w:sz w:val="14"/>
        </w:rPr>
        <w:t> </w:t>
      </w:r>
      <w:r>
        <w:rPr>
          <w:rFonts w:ascii="TT Norms Pro Light" w:hAnsi="TT Norms Pro Light"/>
          <w:b w:val="0"/>
          <w:sz w:val="14"/>
        </w:rPr>
        <w:t>WA Landscape Architecture Awards,</w:t>
      </w:r>
      <w:r>
        <w:rPr>
          <w:rFonts w:ascii="TT Norms Pro Light" w:hAnsi="TT Norms Pro Light"/>
          <w:b w:val="0"/>
          <w:spacing w:val="40"/>
          <w:sz w:val="14"/>
        </w:rPr>
        <w:t> </w:t>
      </w:r>
      <w:r>
        <w:rPr>
          <w:rFonts w:ascii="TT Norms Pro Light" w:hAnsi="TT Norms Pro Light"/>
          <w:b w:val="0"/>
          <w:sz w:val="14"/>
        </w:rPr>
        <w:t>Award of Excellence – Gardens</w:t>
      </w:r>
    </w:p>
    <w:p>
      <w:pPr>
        <w:pStyle w:val="BodyText"/>
        <w:spacing w:before="58"/>
        <w:rPr>
          <w:b w:val="0"/>
          <w:sz w:val="14"/>
        </w:rPr>
      </w:pPr>
    </w:p>
    <w:p>
      <w:pPr>
        <w:spacing w:before="0"/>
        <w:ind w:left="1145" w:right="0" w:firstLine="0"/>
        <w:jc w:val="left"/>
        <w:rPr>
          <w:rFonts w:ascii="TT Norms Pro Medium"/>
          <w:b/>
          <w:sz w:val="16"/>
        </w:rPr>
      </w:pPr>
      <w:r>
        <w:rPr>
          <w:rFonts w:ascii="TT Norms Pro Medium"/>
          <w:b/>
          <w:spacing w:val="-4"/>
          <w:sz w:val="16"/>
        </w:rPr>
        <w:t>NATIONAL</w:t>
      </w:r>
      <w:r>
        <w:rPr>
          <w:rFonts w:ascii="TT Norms Pro Medium"/>
          <w:b/>
          <w:spacing w:val="4"/>
          <w:sz w:val="16"/>
        </w:rPr>
        <w:t> </w:t>
      </w:r>
      <w:r>
        <w:rPr>
          <w:rFonts w:ascii="TT Norms Pro Medium"/>
          <w:b/>
          <w:spacing w:val="-4"/>
          <w:sz w:val="16"/>
        </w:rPr>
        <w:t>ARCHITECTURE</w:t>
      </w:r>
      <w:r>
        <w:rPr>
          <w:rFonts w:ascii="TT Norms Pro Medium"/>
          <w:b/>
          <w:spacing w:val="4"/>
          <w:sz w:val="16"/>
        </w:rPr>
        <w:t> </w:t>
      </w:r>
      <w:r>
        <w:rPr>
          <w:rFonts w:ascii="TT Norms Pro Medium"/>
          <w:b/>
          <w:spacing w:val="-4"/>
          <w:sz w:val="16"/>
        </w:rPr>
        <w:t>AWARDS</w:t>
      </w:r>
    </w:p>
    <w:p>
      <w:pPr>
        <w:pStyle w:val="BodyText"/>
        <w:spacing w:before="71"/>
        <w:rPr>
          <w:rFonts w:ascii="TT Norms Pro Medium"/>
          <w:b/>
          <w:sz w:val="16"/>
        </w:rPr>
      </w:pPr>
    </w:p>
    <w:p>
      <w:pPr>
        <w:spacing w:line="292" w:lineRule="auto" w:before="0"/>
        <w:ind w:left="1428" w:right="165" w:firstLine="0"/>
        <w:jc w:val="left"/>
        <w:rPr>
          <w:rFonts w:ascii="TT Norms Pro Light"/>
          <w:b w:val="0"/>
          <w:sz w:val="14"/>
        </w:rPr>
      </w:pPr>
      <w:r>
        <w:rPr>
          <w:rFonts w:ascii="TT Norms Pro Medium"/>
          <w:b/>
          <w:sz w:val="14"/>
        </w:rPr>
        <w:t>Adjunct Professor Patrick Beale</w:t>
      </w:r>
      <w:r>
        <w:rPr>
          <w:rFonts w:ascii="TT Norms Pro Medium"/>
          <w:b/>
          <w:spacing w:val="40"/>
          <w:sz w:val="14"/>
        </w:rPr>
        <w:t> </w:t>
      </w:r>
      <w:r>
        <w:rPr>
          <w:rFonts w:ascii="TT Norms Pro Light"/>
          <w:b w:val="0"/>
          <w:sz w:val="14"/>
        </w:rPr>
        <w:t>School of Design, Commendation for</w:t>
      </w:r>
      <w:r>
        <w:rPr>
          <w:rFonts w:ascii="TT Norms Pro Light"/>
          <w:b w:val="0"/>
          <w:spacing w:val="40"/>
          <w:sz w:val="14"/>
        </w:rPr>
        <w:t> </w:t>
      </w:r>
      <w:r>
        <w:rPr>
          <w:rFonts w:ascii="TT Norms Pro Light"/>
          <w:b w:val="0"/>
          <w:sz w:val="14"/>
        </w:rPr>
        <w:t>Sustainable</w:t>
      </w:r>
      <w:r>
        <w:rPr>
          <w:rFonts w:ascii="TT Norms Pro Light"/>
          <w:b w:val="0"/>
          <w:spacing w:val="-7"/>
          <w:sz w:val="14"/>
        </w:rPr>
        <w:t> </w:t>
      </w:r>
      <w:r>
        <w:rPr>
          <w:rFonts w:ascii="TT Norms Pro Light"/>
          <w:b w:val="0"/>
          <w:sz w:val="14"/>
        </w:rPr>
        <w:t>Architecture</w:t>
      </w:r>
    </w:p>
    <w:p>
      <w:pPr>
        <w:pStyle w:val="BodyText"/>
        <w:spacing w:before="58"/>
        <w:rPr>
          <w:b w:val="0"/>
          <w:sz w:val="14"/>
        </w:rPr>
      </w:pPr>
    </w:p>
    <w:p>
      <w:pPr>
        <w:spacing w:before="0"/>
        <w:ind w:left="1145" w:right="0" w:firstLine="0"/>
        <w:jc w:val="left"/>
        <w:rPr>
          <w:rFonts w:ascii="TT Norms Pro Medium"/>
          <w:b/>
          <w:sz w:val="16"/>
        </w:rPr>
      </w:pPr>
      <w:r>
        <w:rPr>
          <w:rFonts w:ascii="TT Norms Pro Medium"/>
          <w:b/>
          <w:spacing w:val="-6"/>
          <w:sz w:val="16"/>
        </w:rPr>
        <w:t>AUSTRALIAN</w:t>
      </w:r>
      <w:r>
        <w:rPr>
          <w:rFonts w:ascii="TT Norms Pro Medium"/>
          <w:b/>
          <w:spacing w:val="7"/>
          <w:sz w:val="16"/>
        </w:rPr>
        <w:t> </w:t>
      </w:r>
      <w:r>
        <w:rPr>
          <w:rFonts w:ascii="TT Norms Pro Medium"/>
          <w:b/>
          <w:spacing w:val="-6"/>
          <w:sz w:val="16"/>
        </w:rPr>
        <w:t>MENTAL</w:t>
      </w:r>
      <w:r>
        <w:rPr>
          <w:rFonts w:ascii="TT Norms Pro Medium"/>
          <w:b/>
          <w:spacing w:val="7"/>
          <w:sz w:val="16"/>
        </w:rPr>
        <w:t> </w:t>
      </w:r>
      <w:r>
        <w:rPr>
          <w:rFonts w:ascii="TT Norms Pro Medium"/>
          <w:b/>
          <w:spacing w:val="-6"/>
          <w:sz w:val="16"/>
        </w:rPr>
        <w:t>HEALTH</w:t>
      </w:r>
      <w:r>
        <w:rPr>
          <w:rFonts w:ascii="TT Norms Pro Medium"/>
          <w:b/>
          <w:spacing w:val="8"/>
          <w:sz w:val="16"/>
        </w:rPr>
        <w:t> </w:t>
      </w:r>
      <w:r>
        <w:rPr>
          <w:rFonts w:ascii="TT Norms Pro Medium"/>
          <w:b/>
          <w:spacing w:val="-6"/>
          <w:sz w:val="16"/>
        </w:rPr>
        <w:t>PRIZE</w:t>
      </w:r>
    </w:p>
    <w:p>
      <w:pPr>
        <w:pStyle w:val="BodyText"/>
        <w:spacing w:before="71"/>
        <w:rPr>
          <w:rFonts w:ascii="TT Norms Pro Medium"/>
          <w:b/>
          <w:sz w:val="16"/>
        </w:rPr>
      </w:pPr>
    </w:p>
    <w:p>
      <w:pPr>
        <w:spacing w:before="0"/>
        <w:ind w:left="1428" w:right="0" w:firstLine="0"/>
        <w:jc w:val="left"/>
        <w:rPr>
          <w:rFonts w:ascii="TT Norms Pro Medium"/>
          <w:b/>
          <w:sz w:val="14"/>
        </w:rPr>
      </w:pPr>
      <w:r>
        <w:rPr>
          <w:rFonts w:ascii="TT Norms Pro Medium"/>
          <w:b/>
          <w:spacing w:val="-4"/>
          <w:sz w:val="14"/>
        </w:rPr>
        <w:t>Professor</w:t>
      </w:r>
      <w:r>
        <w:rPr>
          <w:rFonts w:ascii="TT Norms Pro Medium"/>
          <w:b/>
          <w:spacing w:val="6"/>
          <w:sz w:val="14"/>
        </w:rPr>
        <w:t> </w:t>
      </w:r>
      <w:r>
        <w:rPr>
          <w:rFonts w:ascii="TT Norms Pro Medium"/>
          <w:b/>
          <w:spacing w:val="-4"/>
          <w:sz w:val="14"/>
        </w:rPr>
        <w:t>Helen</w:t>
      </w:r>
      <w:r>
        <w:rPr>
          <w:rFonts w:ascii="TT Norms Pro Medium"/>
          <w:b/>
          <w:spacing w:val="7"/>
          <w:sz w:val="14"/>
        </w:rPr>
        <w:t> </w:t>
      </w:r>
      <w:r>
        <w:rPr>
          <w:rFonts w:ascii="TT Norms Pro Medium"/>
          <w:b/>
          <w:spacing w:val="-4"/>
          <w:sz w:val="14"/>
        </w:rPr>
        <w:t>Milroy</w:t>
      </w:r>
    </w:p>
    <w:p>
      <w:pPr>
        <w:spacing w:before="36"/>
        <w:ind w:left="1428" w:right="0" w:firstLine="0"/>
        <w:jc w:val="left"/>
        <w:rPr>
          <w:rFonts w:ascii="TT Norms Pro Light"/>
          <w:b w:val="0"/>
          <w:i/>
          <w:sz w:val="14"/>
        </w:rPr>
      </w:pPr>
      <w:r>
        <w:rPr>
          <w:rFonts w:ascii="TT Norms Pro Light"/>
          <w:b w:val="0"/>
          <w:sz w:val="14"/>
        </w:rPr>
        <w:t>Medical</w:t>
      </w:r>
      <w:r>
        <w:rPr>
          <w:rFonts w:ascii="TT Norms Pro Light"/>
          <w:b w:val="0"/>
          <w:spacing w:val="11"/>
          <w:sz w:val="14"/>
        </w:rPr>
        <w:t> </w:t>
      </w:r>
      <w:r>
        <w:rPr>
          <w:rFonts w:ascii="TT Norms Pro Light"/>
          <w:b w:val="0"/>
          <w:sz w:val="14"/>
        </w:rPr>
        <w:t>School,</w:t>
      </w:r>
      <w:r>
        <w:rPr>
          <w:rFonts w:ascii="TT Norms Pro Light"/>
          <w:b w:val="0"/>
          <w:spacing w:val="11"/>
          <w:sz w:val="14"/>
        </w:rPr>
        <w:t> </w:t>
      </w:r>
      <w:r>
        <w:rPr>
          <w:rFonts w:ascii="TT Norms Pro Light"/>
          <w:b w:val="0"/>
          <w:i/>
          <w:sz w:val="14"/>
        </w:rPr>
        <w:t>Joint</w:t>
      </w:r>
      <w:r>
        <w:rPr>
          <w:rFonts w:ascii="TT Norms Pro Light"/>
          <w:b w:val="0"/>
          <w:i/>
          <w:spacing w:val="11"/>
          <w:sz w:val="14"/>
        </w:rPr>
        <w:t> </w:t>
      </w:r>
      <w:r>
        <w:rPr>
          <w:rFonts w:ascii="TT Norms Pro Light"/>
          <w:b w:val="0"/>
          <w:i/>
          <w:spacing w:val="-2"/>
          <w:sz w:val="14"/>
        </w:rPr>
        <w:t>Winner</w:t>
      </w:r>
    </w:p>
    <w:p>
      <w:pPr>
        <w:spacing w:line="307" w:lineRule="auto" w:before="121"/>
        <w:ind w:left="361" w:right="0" w:firstLine="0"/>
        <w:jc w:val="left"/>
        <w:rPr>
          <w:rFonts w:ascii="TT Norms Pro Medium"/>
          <w:b/>
          <w:sz w:val="16"/>
        </w:rPr>
      </w:pPr>
      <w:r>
        <w:rPr/>
        <w:br w:type="column"/>
      </w:r>
      <w:r>
        <w:rPr>
          <w:rFonts w:ascii="TT Norms Pro Medium"/>
          <w:b/>
          <w:spacing w:val="-4"/>
          <w:sz w:val="16"/>
        </w:rPr>
        <w:t>SOCIETY</w:t>
      </w:r>
      <w:r>
        <w:rPr>
          <w:rFonts w:ascii="TT Norms Pro Medium"/>
          <w:b/>
          <w:spacing w:val="-6"/>
          <w:sz w:val="16"/>
        </w:rPr>
        <w:t> </w:t>
      </w:r>
      <w:r>
        <w:rPr>
          <w:rFonts w:ascii="TT Norms Pro Medium"/>
          <w:b/>
          <w:spacing w:val="-4"/>
          <w:sz w:val="16"/>
        </w:rPr>
        <w:t>FOR</w:t>
      </w:r>
      <w:r>
        <w:rPr>
          <w:rFonts w:ascii="TT Norms Pro Medium"/>
          <w:b/>
          <w:spacing w:val="-5"/>
          <w:sz w:val="16"/>
        </w:rPr>
        <w:t> </w:t>
      </w:r>
      <w:r>
        <w:rPr>
          <w:rFonts w:ascii="TT Norms Pro Medium"/>
          <w:b/>
          <w:spacing w:val="-4"/>
          <w:sz w:val="16"/>
        </w:rPr>
        <w:t>MENTAL</w:t>
      </w:r>
      <w:r>
        <w:rPr>
          <w:rFonts w:ascii="TT Norms Pro Medium"/>
          <w:b/>
          <w:spacing w:val="-6"/>
          <w:sz w:val="16"/>
        </w:rPr>
        <w:t> </w:t>
      </w:r>
      <w:r>
        <w:rPr>
          <w:rFonts w:ascii="TT Norms Pro Medium"/>
          <w:b/>
          <w:spacing w:val="-4"/>
          <w:sz w:val="16"/>
        </w:rPr>
        <w:t>HEALTH</w:t>
      </w:r>
      <w:r>
        <w:rPr>
          <w:rFonts w:ascii="TT Norms Pro Medium"/>
          <w:b/>
          <w:spacing w:val="40"/>
          <w:sz w:val="16"/>
        </w:rPr>
        <w:t> </w:t>
      </w:r>
      <w:r>
        <w:rPr>
          <w:rFonts w:ascii="TT Norms Pro Medium"/>
          <w:b/>
          <w:spacing w:val="-4"/>
          <w:sz w:val="16"/>
        </w:rPr>
        <w:t>RESEARCH</w:t>
      </w:r>
      <w:r>
        <w:rPr>
          <w:rFonts w:ascii="TT Norms Pro Medium"/>
          <w:b/>
          <w:spacing w:val="7"/>
          <w:sz w:val="16"/>
        </w:rPr>
        <w:t> </w:t>
      </w:r>
      <w:r>
        <w:rPr>
          <w:rFonts w:ascii="TT Norms Pro Medium"/>
          <w:b/>
          <w:spacing w:val="-4"/>
          <w:sz w:val="16"/>
        </w:rPr>
        <w:t>FOUNDERS</w:t>
      </w:r>
      <w:r>
        <w:rPr>
          <w:rFonts w:ascii="TT Norms Pro Medium"/>
          <w:b/>
          <w:spacing w:val="7"/>
          <w:sz w:val="16"/>
        </w:rPr>
        <w:t> </w:t>
      </w:r>
      <w:r>
        <w:rPr>
          <w:rFonts w:ascii="TT Norms Pro Medium"/>
          <w:b/>
          <w:spacing w:val="-4"/>
          <w:sz w:val="16"/>
        </w:rPr>
        <w:t>MEDAL</w:t>
      </w:r>
    </w:p>
    <w:p>
      <w:pPr>
        <w:pStyle w:val="BodyText"/>
        <w:spacing w:before="32"/>
        <w:rPr>
          <w:rFonts w:ascii="TT Norms Pro Medium"/>
          <w:b/>
          <w:sz w:val="16"/>
        </w:rPr>
      </w:pPr>
    </w:p>
    <w:p>
      <w:pPr>
        <w:spacing w:before="0"/>
        <w:ind w:left="645" w:right="0" w:firstLine="0"/>
        <w:jc w:val="left"/>
        <w:rPr>
          <w:rFonts w:ascii="TT Norms Pro Medium"/>
          <w:b/>
          <w:sz w:val="14"/>
        </w:rPr>
      </w:pPr>
      <w:r>
        <w:rPr>
          <w:rFonts w:ascii="TT Norms Pro Medium"/>
          <w:b/>
          <w:spacing w:val="-4"/>
          <w:sz w:val="14"/>
        </w:rPr>
        <w:t>Professor</w:t>
      </w:r>
      <w:r>
        <w:rPr>
          <w:rFonts w:ascii="TT Norms Pro Medium"/>
          <w:b/>
          <w:spacing w:val="2"/>
          <w:sz w:val="14"/>
        </w:rPr>
        <w:t> </w:t>
      </w:r>
      <w:r>
        <w:rPr>
          <w:rFonts w:ascii="TT Norms Pro Medium"/>
          <w:b/>
          <w:spacing w:val="-4"/>
          <w:sz w:val="14"/>
        </w:rPr>
        <w:t>Vera</w:t>
      </w:r>
      <w:r>
        <w:rPr>
          <w:rFonts w:ascii="TT Norms Pro Medium"/>
          <w:b/>
          <w:spacing w:val="3"/>
          <w:sz w:val="14"/>
        </w:rPr>
        <w:t> </w:t>
      </w:r>
      <w:r>
        <w:rPr>
          <w:rFonts w:ascii="TT Norms Pro Medium"/>
          <w:b/>
          <w:spacing w:val="-4"/>
          <w:sz w:val="14"/>
        </w:rPr>
        <w:t>Morgan</w:t>
      </w:r>
    </w:p>
    <w:p>
      <w:pPr>
        <w:spacing w:before="36"/>
        <w:ind w:left="645" w:right="0" w:firstLine="0"/>
        <w:jc w:val="left"/>
        <w:rPr>
          <w:rFonts w:ascii="TT Norms Pro Light"/>
          <w:b w:val="0"/>
          <w:sz w:val="14"/>
        </w:rPr>
      </w:pPr>
      <w:r>
        <w:rPr>
          <w:rFonts w:ascii="TT Norms Pro Light"/>
          <w:b w:val="0"/>
          <w:sz w:val="14"/>
        </w:rPr>
        <w:t>School</w:t>
      </w:r>
      <w:r>
        <w:rPr>
          <w:rFonts w:ascii="TT Norms Pro Light"/>
          <w:b w:val="0"/>
          <w:spacing w:val="8"/>
          <w:sz w:val="14"/>
        </w:rPr>
        <w:t> </w:t>
      </w:r>
      <w:r>
        <w:rPr>
          <w:rFonts w:ascii="TT Norms Pro Light"/>
          <w:b w:val="0"/>
          <w:sz w:val="14"/>
        </w:rPr>
        <w:t>of</w:t>
      </w:r>
      <w:r>
        <w:rPr>
          <w:rFonts w:ascii="TT Norms Pro Light"/>
          <w:b w:val="0"/>
          <w:spacing w:val="8"/>
          <w:sz w:val="14"/>
        </w:rPr>
        <w:t> </w:t>
      </w:r>
      <w:r>
        <w:rPr>
          <w:rFonts w:ascii="TT Norms Pro Light"/>
          <w:b w:val="0"/>
          <w:sz w:val="14"/>
        </w:rPr>
        <w:t>Population</w:t>
      </w:r>
      <w:r>
        <w:rPr>
          <w:rFonts w:ascii="TT Norms Pro Light"/>
          <w:b w:val="0"/>
          <w:spacing w:val="8"/>
          <w:sz w:val="14"/>
        </w:rPr>
        <w:t> </w:t>
      </w:r>
      <w:r>
        <w:rPr>
          <w:rFonts w:ascii="TT Norms Pro Light"/>
          <w:b w:val="0"/>
          <w:sz w:val="14"/>
        </w:rPr>
        <w:t>and</w:t>
      </w:r>
      <w:r>
        <w:rPr>
          <w:rFonts w:ascii="TT Norms Pro Light"/>
          <w:b w:val="0"/>
          <w:spacing w:val="8"/>
          <w:sz w:val="14"/>
        </w:rPr>
        <w:t> </w:t>
      </w:r>
      <w:r>
        <w:rPr>
          <w:rFonts w:ascii="TT Norms Pro Light"/>
          <w:b w:val="0"/>
          <w:sz w:val="14"/>
        </w:rPr>
        <w:t>Global</w:t>
      </w:r>
      <w:r>
        <w:rPr>
          <w:rFonts w:ascii="TT Norms Pro Light"/>
          <w:b w:val="0"/>
          <w:spacing w:val="8"/>
          <w:sz w:val="14"/>
        </w:rPr>
        <w:t> </w:t>
      </w:r>
      <w:r>
        <w:rPr>
          <w:rFonts w:ascii="TT Norms Pro Light"/>
          <w:b w:val="0"/>
          <w:spacing w:val="-2"/>
          <w:sz w:val="14"/>
        </w:rPr>
        <w:t>Health</w:t>
      </w:r>
    </w:p>
    <w:p>
      <w:pPr>
        <w:pStyle w:val="BodyText"/>
        <w:spacing w:before="94"/>
        <w:rPr>
          <w:b w:val="0"/>
          <w:sz w:val="14"/>
        </w:rPr>
      </w:pPr>
    </w:p>
    <w:p>
      <w:pPr>
        <w:spacing w:line="307" w:lineRule="auto" w:before="0"/>
        <w:ind w:left="361" w:right="150" w:firstLine="0"/>
        <w:jc w:val="left"/>
        <w:rPr>
          <w:rFonts w:ascii="TT Norms Pro Medium"/>
          <w:b/>
          <w:sz w:val="16"/>
        </w:rPr>
      </w:pPr>
      <w:r>
        <w:rPr>
          <w:rFonts w:ascii="TT Norms Pro Medium"/>
          <w:b/>
          <w:spacing w:val="-2"/>
          <w:sz w:val="16"/>
        </w:rPr>
        <w:t>SUPERSTARS</w:t>
      </w:r>
      <w:r>
        <w:rPr>
          <w:rFonts w:ascii="TT Norms Pro Medium"/>
          <w:b/>
          <w:spacing w:val="-8"/>
          <w:sz w:val="16"/>
        </w:rPr>
        <w:t> </w:t>
      </w:r>
      <w:r>
        <w:rPr>
          <w:rFonts w:ascii="TT Norms Pro Medium"/>
          <w:b/>
          <w:spacing w:val="-2"/>
          <w:sz w:val="16"/>
        </w:rPr>
        <w:t>OF</w:t>
      </w:r>
      <w:r>
        <w:rPr>
          <w:rFonts w:ascii="TT Norms Pro Medium"/>
          <w:b/>
          <w:spacing w:val="-7"/>
          <w:sz w:val="16"/>
        </w:rPr>
        <w:t> </w:t>
      </w:r>
      <w:r>
        <w:rPr>
          <w:rFonts w:ascii="TT Norms Pro Medium"/>
          <w:b/>
          <w:spacing w:val="-2"/>
          <w:sz w:val="16"/>
        </w:rPr>
        <w:t>STEM,</w:t>
      </w:r>
      <w:r>
        <w:rPr>
          <w:rFonts w:ascii="TT Norms Pro Medium"/>
          <w:b/>
          <w:spacing w:val="-8"/>
          <w:sz w:val="16"/>
        </w:rPr>
        <w:t> </w:t>
      </w:r>
      <w:r>
        <w:rPr>
          <w:rFonts w:ascii="TT Norms Pro Medium"/>
          <w:b/>
          <w:spacing w:val="-2"/>
          <w:sz w:val="16"/>
        </w:rPr>
        <w:t>SCIENCE</w:t>
      </w:r>
      <w:r>
        <w:rPr>
          <w:rFonts w:ascii="TT Norms Pro Medium"/>
          <w:b/>
          <w:spacing w:val="40"/>
          <w:sz w:val="16"/>
        </w:rPr>
        <w:t> </w:t>
      </w:r>
      <w:r>
        <w:rPr>
          <w:rFonts w:ascii="TT Norms Pro Medium"/>
          <w:b/>
          <w:sz w:val="16"/>
        </w:rPr>
        <w:t>AND</w:t>
      </w:r>
      <w:r>
        <w:rPr>
          <w:rFonts w:ascii="TT Norms Pro Medium"/>
          <w:b/>
          <w:spacing w:val="-7"/>
          <w:sz w:val="16"/>
        </w:rPr>
        <w:t> </w:t>
      </w:r>
      <w:r>
        <w:rPr>
          <w:rFonts w:ascii="TT Norms Pro Medium"/>
          <w:b/>
          <w:sz w:val="16"/>
        </w:rPr>
        <w:t>TECHNOLOGY</w:t>
      </w:r>
      <w:r>
        <w:rPr>
          <w:rFonts w:ascii="TT Norms Pro Medium"/>
          <w:b/>
          <w:spacing w:val="-7"/>
          <w:sz w:val="16"/>
        </w:rPr>
        <w:t> </w:t>
      </w:r>
      <w:r>
        <w:rPr>
          <w:rFonts w:ascii="TT Norms Pro Medium"/>
          <w:b/>
          <w:sz w:val="16"/>
        </w:rPr>
        <w:t>AUSTRALIA</w:t>
      </w:r>
    </w:p>
    <w:p>
      <w:pPr>
        <w:pStyle w:val="BodyText"/>
        <w:spacing w:before="32"/>
        <w:rPr>
          <w:rFonts w:ascii="TT Norms Pro Medium"/>
          <w:b/>
          <w:sz w:val="16"/>
        </w:rPr>
      </w:pPr>
    </w:p>
    <w:p>
      <w:pPr>
        <w:spacing w:before="0"/>
        <w:ind w:left="645" w:right="0" w:firstLine="0"/>
        <w:jc w:val="left"/>
        <w:rPr>
          <w:rFonts w:ascii="TT Norms Pro Medium"/>
          <w:b/>
          <w:sz w:val="14"/>
        </w:rPr>
      </w:pPr>
      <w:r>
        <w:rPr>
          <w:rFonts w:ascii="TT Norms Pro Medium"/>
          <w:b/>
          <w:spacing w:val="-2"/>
          <w:sz w:val="14"/>
        </w:rPr>
        <w:t>Dr</w:t>
      </w:r>
      <w:r>
        <w:rPr>
          <w:rFonts w:ascii="TT Norms Pro Medium"/>
          <w:b/>
          <w:spacing w:val="-5"/>
          <w:sz w:val="14"/>
        </w:rPr>
        <w:t> </w:t>
      </w:r>
      <w:r>
        <w:rPr>
          <w:rFonts w:ascii="TT Norms Pro Medium"/>
          <w:b/>
          <w:spacing w:val="-2"/>
          <w:sz w:val="14"/>
        </w:rPr>
        <w:t>Sabine</w:t>
      </w:r>
      <w:r>
        <w:rPr>
          <w:rFonts w:ascii="TT Norms Pro Medium"/>
          <w:b/>
          <w:spacing w:val="-5"/>
          <w:sz w:val="14"/>
        </w:rPr>
        <w:t> </w:t>
      </w:r>
      <w:r>
        <w:rPr>
          <w:rFonts w:ascii="TT Norms Pro Medium"/>
          <w:b/>
          <w:spacing w:val="-2"/>
          <w:sz w:val="14"/>
        </w:rPr>
        <w:t>Bellstedt</w:t>
      </w:r>
    </w:p>
    <w:p>
      <w:pPr>
        <w:spacing w:line="292" w:lineRule="auto" w:before="37"/>
        <w:ind w:left="645" w:right="338" w:firstLine="0"/>
        <w:jc w:val="left"/>
        <w:rPr>
          <w:rFonts w:ascii="TT Norms Pro Light"/>
          <w:b w:val="0"/>
          <w:sz w:val="14"/>
        </w:rPr>
      </w:pPr>
      <w:r>
        <w:rPr>
          <w:rFonts w:ascii="TT Norms Pro Light"/>
          <w:b w:val="0"/>
          <w:sz w:val="14"/>
        </w:rPr>
        <w:t>School of Physics, Mathematics</w:t>
      </w:r>
      <w:r>
        <w:rPr>
          <w:rFonts w:ascii="TT Norms Pro Light"/>
          <w:b w:val="0"/>
          <w:spacing w:val="40"/>
          <w:sz w:val="14"/>
        </w:rPr>
        <w:t> </w:t>
      </w:r>
      <w:r>
        <w:rPr>
          <w:rFonts w:ascii="TT Norms Pro Light"/>
          <w:b w:val="0"/>
          <w:sz w:val="14"/>
        </w:rPr>
        <w:t>and</w:t>
      </w:r>
      <w:r>
        <w:rPr>
          <w:rFonts w:ascii="TT Norms Pro Light"/>
          <w:b w:val="0"/>
          <w:spacing w:val="-7"/>
          <w:sz w:val="14"/>
        </w:rPr>
        <w:t> </w:t>
      </w:r>
      <w:r>
        <w:rPr>
          <w:rFonts w:ascii="TT Norms Pro Light"/>
          <w:b w:val="0"/>
          <w:sz w:val="14"/>
        </w:rPr>
        <w:t>Computing</w:t>
      </w:r>
    </w:p>
    <w:p>
      <w:pPr>
        <w:pStyle w:val="BodyText"/>
        <w:spacing w:before="36"/>
        <w:rPr>
          <w:b w:val="0"/>
          <w:sz w:val="14"/>
        </w:rPr>
      </w:pPr>
    </w:p>
    <w:p>
      <w:pPr>
        <w:spacing w:before="0"/>
        <w:ind w:left="645" w:right="0" w:firstLine="0"/>
        <w:jc w:val="left"/>
        <w:rPr>
          <w:rFonts w:ascii="TT Norms Pro Medium"/>
          <w:b/>
          <w:sz w:val="14"/>
        </w:rPr>
      </w:pPr>
      <w:r>
        <w:rPr>
          <w:rFonts w:ascii="TT Norms Pro Medium"/>
          <w:b/>
          <w:spacing w:val="-2"/>
          <w:sz w:val="14"/>
        </w:rPr>
        <w:t>Dr</w:t>
      </w:r>
      <w:r>
        <w:rPr>
          <w:rFonts w:ascii="TT Norms Pro Medium"/>
          <w:b/>
          <w:spacing w:val="-6"/>
          <w:sz w:val="14"/>
        </w:rPr>
        <w:t> </w:t>
      </w:r>
      <w:r>
        <w:rPr>
          <w:rFonts w:ascii="TT Norms Pro Medium"/>
          <w:b/>
          <w:spacing w:val="-2"/>
          <w:sz w:val="14"/>
        </w:rPr>
        <w:t>Jessica</w:t>
      </w:r>
      <w:r>
        <w:rPr>
          <w:rFonts w:ascii="TT Norms Pro Medium"/>
          <w:b/>
          <w:spacing w:val="-3"/>
          <w:sz w:val="14"/>
        </w:rPr>
        <w:t> </w:t>
      </w:r>
      <w:r>
        <w:rPr>
          <w:rFonts w:ascii="TT Norms Pro Medium"/>
          <w:b/>
          <w:spacing w:val="-4"/>
          <w:sz w:val="14"/>
        </w:rPr>
        <w:t>Buck</w:t>
      </w:r>
    </w:p>
    <w:p>
      <w:pPr>
        <w:spacing w:before="36"/>
        <w:ind w:left="645" w:right="0" w:firstLine="0"/>
        <w:jc w:val="left"/>
        <w:rPr>
          <w:rFonts w:ascii="TT Norms Pro Light"/>
          <w:b w:val="0"/>
          <w:sz w:val="14"/>
        </w:rPr>
      </w:pPr>
      <w:r>
        <w:rPr>
          <w:rFonts w:ascii="TT Norms Pro Light"/>
          <w:b w:val="0"/>
          <w:sz w:val="14"/>
        </w:rPr>
        <w:t>Centre</w:t>
      </w:r>
      <w:r>
        <w:rPr>
          <w:rFonts w:ascii="TT Norms Pro Light"/>
          <w:b w:val="0"/>
          <w:spacing w:val="5"/>
          <w:sz w:val="14"/>
        </w:rPr>
        <w:t> </w:t>
      </w:r>
      <w:r>
        <w:rPr>
          <w:rFonts w:ascii="TT Norms Pro Light"/>
          <w:b w:val="0"/>
          <w:sz w:val="14"/>
        </w:rPr>
        <w:t>for</w:t>
      </w:r>
      <w:r>
        <w:rPr>
          <w:rFonts w:ascii="TT Norms Pro Light"/>
          <w:b w:val="0"/>
          <w:spacing w:val="5"/>
          <w:sz w:val="14"/>
        </w:rPr>
        <w:t> </w:t>
      </w:r>
      <w:r>
        <w:rPr>
          <w:rFonts w:ascii="TT Norms Pro Light"/>
          <w:b w:val="0"/>
          <w:sz w:val="14"/>
        </w:rPr>
        <w:t>Child</w:t>
      </w:r>
      <w:r>
        <w:rPr>
          <w:rFonts w:ascii="TT Norms Pro Light"/>
          <w:b w:val="0"/>
          <w:spacing w:val="5"/>
          <w:sz w:val="14"/>
        </w:rPr>
        <w:t> </w:t>
      </w:r>
      <w:r>
        <w:rPr>
          <w:rFonts w:ascii="TT Norms Pro Light"/>
          <w:b w:val="0"/>
          <w:sz w:val="14"/>
        </w:rPr>
        <w:t>Health</w:t>
      </w:r>
      <w:r>
        <w:rPr>
          <w:rFonts w:ascii="TT Norms Pro Light"/>
          <w:b w:val="0"/>
          <w:spacing w:val="6"/>
          <w:sz w:val="14"/>
        </w:rPr>
        <w:t> </w:t>
      </w:r>
      <w:r>
        <w:rPr>
          <w:rFonts w:ascii="TT Norms Pro Light"/>
          <w:b w:val="0"/>
          <w:spacing w:val="-2"/>
          <w:sz w:val="14"/>
        </w:rPr>
        <w:t>Research</w:t>
      </w:r>
    </w:p>
    <w:p>
      <w:pPr>
        <w:pStyle w:val="BodyText"/>
        <w:spacing w:before="73"/>
        <w:rPr>
          <w:b w:val="0"/>
          <w:sz w:val="14"/>
        </w:rPr>
      </w:pPr>
    </w:p>
    <w:p>
      <w:pPr>
        <w:spacing w:before="0"/>
        <w:ind w:left="645" w:right="0" w:firstLine="0"/>
        <w:jc w:val="left"/>
        <w:rPr>
          <w:rFonts w:ascii="TT Norms Pro Medium"/>
          <w:b/>
          <w:sz w:val="14"/>
        </w:rPr>
      </w:pPr>
      <w:r>
        <w:rPr>
          <w:rFonts w:ascii="TT Norms Pro Medium"/>
          <w:b/>
          <w:spacing w:val="-2"/>
          <w:sz w:val="14"/>
        </w:rPr>
        <w:t>Associate</w:t>
      </w:r>
      <w:r>
        <w:rPr>
          <w:rFonts w:ascii="TT Norms Pro Medium"/>
          <w:b/>
          <w:spacing w:val="-6"/>
          <w:sz w:val="14"/>
        </w:rPr>
        <w:t> </w:t>
      </w:r>
      <w:r>
        <w:rPr>
          <w:rFonts w:ascii="TT Norms Pro Medium"/>
          <w:b/>
          <w:spacing w:val="-2"/>
          <w:sz w:val="14"/>
        </w:rPr>
        <w:t>Professor</w:t>
      </w:r>
      <w:r>
        <w:rPr>
          <w:rFonts w:ascii="TT Norms Pro Medium"/>
          <w:b/>
          <w:spacing w:val="-6"/>
          <w:sz w:val="14"/>
        </w:rPr>
        <w:t> </w:t>
      </w:r>
      <w:r>
        <w:rPr>
          <w:rFonts w:ascii="TT Norms Pro Medium"/>
          <w:b/>
          <w:spacing w:val="-2"/>
          <w:sz w:val="14"/>
        </w:rPr>
        <w:t>Parwinder</w:t>
      </w:r>
      <w:r>
        <w:rPr>
          <w:rFonts w:ascii="TT Norms Pro Medium"/>
          <w:b/>
          <w:spacing w:val="-6"/>
          <w:sz w:val="14"/>
        </w:rPr>
        <w:t> </w:t>
      </w:r>
      <w:r>
        <w:rPr>
          <w:rFonts w:ascii="TT Norms Pro Medium"/>
          <w:b/>
          <w:spacing w:val="-4"/>
          <w:sz w:val="14"/>
        </w:rPr>
        <w:t>Kaur</w:t>
      </w:r>
    </w:p>
    <w:p>
      <w:pPr>
        <w:spacing w:before="36"/>
        <w:ind w:left="645" w:right="0" w:firstLine="0"/>
        <w:jc w:val="left"/>
        <w:rPr>
          <w:rFonts w:ascii="TT Norms Pro Light"/>
          <w:b w:val="0"/>
          <w:sz w:val="14"/>
        </w:rPr>
      </w:pPr>
      <w:r>
        <w:rPr>
          <w:rFonts w:ascii="TT Norms Pro Light"/>
          <w:b w:val="0"/>
          <w:sz w:val="14"/>
        </w:rPr>
        <w:t>School</w:t>
      </w:r>
      <w:r>
        <w:rPr>
          <w:rFonts w:ascii="TT Norms Pro Light"/>
          <w:b w:val="0"/>
          <w:spacing w:val="7"/>
          <w:sz w:val="14"/>
        </w:rPr>
        <w:t> </w:t>
      </w:r>
      <w:r>
        <w:rPr>
          <w:rFonts w:ascii="TT Norms Pro Light"/>
          <w:b w:val="0"/>
          <w:sz w:val="14"/>
        </w:rPr>
        <w:t>of</w:t>
      </w:r>
      <w:r>
        <w:rPr>
          <w:rFonts w:ascii="TT Norms Pro Light"/>
          <w:b w:val="0"/>
          <w:spacing w:val="7"/>
          <w:sz w:val="14"/>
        </w:rPr>
        <w:t> </w:t>
      </w:r>
      <w:r>
        <w:rPr>
          <w:rFonts w:ascii="TT Norms Pro Light"/>
          <w:b w:val="0"/>
          <w:sz w:val="14"/>
        </w:rPr>
        <w:t>Agriculture</w:t>
      </w:r>
      <w:r>
        <w:rPr>
          <w:rFonts w:ascii="TT Norms Pro Light"/>
          <w:b w:val="0"/>
          <w:spacing w:val="7"/>
          <w:sz w:val="14"/>
        </w:rPr>
        <w:t> </w:t>
      </w:r>
      <w:r>
        <w:rPr>
          <w:rFonts w:ascii="TT Norms Pro Light"/>
          <w:b w:val="0"/>
          <w:sz w:val="14"/>
        </w:rPr>
        <w:t>and</w:t>
      </w:r>
      <w:r>
        <w:rPr>
          <w:rFonts w:ascii="TT Norms Pro Light"/>
          <w:b w:val="0"/>
          <w:spacing w:val="8"/>
          <w:sz w:val="14"/>
        </w:rPr>
        <w:t> </w:t>
      </w:r>
      <w:r>
        <w:rPr>
          <w:rFonts w:ascii="TT Norms Pro Light"/>
          <w:b w:val="0"/>
          <w:spacing w:val="-2"/>
          <w:sz w:val="14"/>
        </w:rPr>
        <w:t>Environment</w:t>
      </w:r>
    </w:p>
    <w:p>
      <w:pPr>
        <w:pStyle w:val="BodyText"/>
        <w:spacing w:before="93"/>
        <w:rPr>
          <w:b w:val="0"/>
          <w:sz w:val="14"/>
        </w:rPr>
      </w:pPr>
    </w:p>
    <w:p>
      <w:pPr>
        <w:spacing w:line="307" w:lineRule="auto" w:before="0"/>
        <w:ind w:left="361" w:right="338" w:firstLine="0"/>
        <w:jc w:val="left"/>
        <w:rPr>
          <w:rFonts w:ascii="TT Norms Pro Medium"/>
          <w:b/>
          <w:sz w:val="16"/>
        </w:rPr>
      </w:pPr>
      <w:r>
        <w:rPr>
          <w:rFonts w:ascii="TT Norms Pro Medium"/>
          <w:b/>
          <w:spacing w:val="-4"/>
          <w:sz w:val="16"/>
        </w:rPr>
        <w:t>WOMEN</w:t>
      </w:r>
      <w:r>
        <w:rPr>
          <w:rFonts w:ascii="TT Norms Pro Medium"/>
          <w:b/>
          <w:spacing w:val="-6"/>
          <w:sz w:val="16"/>
        </w:rPr>
        <w:t> </w:t>
      </w:r>
      <w:r>
        <w:rPr>
          <w:rFonts w:ascii="TT Norms Pro Medium"/>
          <w:b/>
          <w:spacing w:val="-4"/>
          <w:sz w:val="16"/>
        </w:rPr>
        <w:t>IN</w:t>
      </w:r>
      <w:r>
        <w:rPr>
          <w:rFonts w:ascii="TT Norms Pro Medium"/>
          <w:b/>
          <w:spacing w:val="-5"/>
          <w:sz w:val="16"/>
        </w:rPr>
        <w:t> </w:t>
      </w:r>
      <w:r>
        <w:rPr>
          <w:rFonts w:ascii="TT Norms Pro Medium"/>
          <w:b/>
          <w:spacing w:val="-4"/>
          <w:sz w:val="16"/>
        </w:rPr>
        <w:t>TECHNOLOGY</w:t>
      </w:r>
      <w:r>
        <w:rPr>
          <w:rFonts w:ascii="TT Norms Pro Medium"/>
          <w:b/>
          <w:spacing w:val="-6"/>
          <w:sz w:val="16"/>
        </w:rPr>
        <w:t> </w:t>
      </w:r>
      <w:r>
        <w:rPr>
          <w:rFonts w:ascii="TT Norms Pro Medium"/>
          <w:b/>
          <w:spacing w:val="-4"/>
          <w:sz w:val="16"/>
        </w:rPr>
        <w:t>WA</w:t>
      </w:r>
      <w:r>
        <w:rPr>
          <w:rFonts w:ascii="TT Norms Pro Medium"/>
          <w:b/>
          <w:spacing w:val="40"/>
          <w:sz w:val="16"/>
        </w:rPr>
        <w:t> </w:t>
      </w:r>
      <w:r>
        <w:rPr>
          <w:rFonts w:ascii="TT Norms Pro Medium"/>
          <w:b/>
          <w:sz w:val="16"/>
        </w:rPr>
        <w:t>(WITWA) TECH AWARD</w:t>
      </w:r>
    </w:p>
    <w:p>
      <w:pPr>
        <w:pStyle w:val="BodyText"/>
        <w:spacing w:before="19"/>
        <w:rPr>
          <w:rFonts w:ascii="TT Norms Pro Medium"/>
          <w:b/>
          <w:sz w:val="16"/>
        </w:rPr>
      </w:pPr>
    </w:p>
    <w:p>
      <w:pPr>
        <w:spacing w:before="1"/>
        <w:ind w:left="645" w:right="0" w:firstLine="0"/>
        <w:jc w:val="left"/>
        <w:rPr>
          <w:rFonts w:ascii="TT Norms Pro Medium"/>
          <w:b/>
          <w:sz w:val="14"/>
        </w:rPr>
      </w:pPr>
      <w:r>
        <w:rPr>
          <w:rFonts w:ascii="TT Norms Pro Medium"/>
          <w:b/>
          <w:spacing w:val="-4"/>
          <w:sz w:val="14"/>
        </w:rPr>
        <w:t>Dr Yael</w:t>
      </w:r>
      <w:r>
        <w:rPr>
          <w:rFonts w:ascii="TT Norms Pro Medium"/>
          <w:b/>
          <w:spacing w:val="-3"/>
          <w:sz w:val="14"/>
        </w:rPr>
        <w:t> </w:t>
      </w:r>
      <w:r>
        <w:rPr>
          <w:rFonts w:ascii="TT Norms Pro Medium"/>
          <w:b/>
          <w:spacing w:val="-4"/>
          <w:sz w:val="14"/>
        </w:rPr>
        <w:t>Perry</w:t>
      </w:r>
    </w:p>
    <w:p>
      <w:pPr>
        <w:spacing w:before="36"/>
        <w:ind w:left="645" w:right="0" w:firstLine="0"/>
        <w:jc w:val="left"/>
        <w:rPr>
          <w:rFonts w:ascii="TT Norms Pro Light"/>
          <w:b w:val="0"/>
          <w:sz w:val="14"/>
        </w:rPr>
      </w:pPr>
      <w:r>
        <w:rPr>
          <w:rFonts w:ascii="TT Norms Pro Light"/>
          <w:b w:val="0"/>
          <w:sz w:val="14"/>
        </w:rPr>
        <w:t>Centre</w:t>
      </w:r>
      <w:r>
        <w:rPr>
          <w:rFonts w:ascii="TT Norms Pro Light"/>
          <w:b w:val="0"/>
          <w:spacing w:val="5"/>
          <w:sz w:val="14"/>
        </w:rPr>
        <w:t> </w:t>
      </w:r>
      <w:r>
        <w:rPr>
          <w:rFonts w:ascii="TT Norms Pro Light"/>
          <w:b w:val="0"/>
          <w:sz w:val="14"/>
        </w:rPr>
        <w:t>for</w:t>
      </w:r>
      <w:r>
        <w:rPr>
          <w:rFonts w:ascii="TT Norms Pro Light"/>
          <w:b w:val="0"/>
          <w:spacing w:val="5"/>
          <w:sz w:val="14"/>
        </w:rPr>
        <w:t> </w:t>
      </w:r>
      <w:r>
        <w:rPr>
          <w:rFonts w:ascii="TT Norms Pro Light"/>
          <w:b w:val="0"/>
          <w:sz w:val="14"/>
        </w:rPr>
        <w:t>Child</w:t>
      </w:r>
      <w:r>
        <w:rPr>
          <w:rFonts w:ascii="TT Norms Pro Light"/>
          <w:b w:val="0"/>
          <w:spacing w:val="5"/>
          <w:sz w:val="14"/>
        </w:rPr>
        <w:t> </w:t>
      </w:r>
      <w:r>
        <w:rPr>
          <w:rFonts w:ascii="TT Norms Pro Light"/>
          <w:b w:val="0"/>
          <w:sz w:val="14"/>
        </w:rPr>
        <w:t>Health</w:t>
      </w:r>
      <w:r>
        <w:rPr>
          <w:rFonts w:ascii="TT Norms Pro Light"/>
          <w:b w:val="0"/>
          <w:spacing w:val="6"/>
          <w:sz w:val="14"/>
        </w:rPr>
        <w:t> </w:t>
      </w:r>
      <w:r>
        <w:rPr>
          <w:rFonts w:ascii="TT Norms Pro Light"/>
          <w:b w:val="0"/>
          <w:spacing w:val="-2"/>
          <w:sz w:val="14"/>
        </w:rPr>
        <w:t>Research</w:t>
      </w:r>
    </w:p>
    <w:p>
      <w:pPr>
        <w:pStyle w:val="BodyText"/>
        <w:spacing w:before="72"/>
        <w:rPr>
          <w:b w:val="0"/>
          <w:sz w:val="14"/>
        </w:rPr>
      </w:pPr>
    </w:p>
    <w:p>
      <w:pPr>
        <w:spacing w:before="0"/>
        <w:ind w:left="645" w:right="0" w:firstLine="0"/>
        <w:jc w:val="left"/>
        <w:rPr>
          <w:rFonts w:ascii="TT Norms Pro Medium"/>
          <w:b/>
          <w:sz w:val="14"/>
        </w:rPr>
      </w:pPr>
      <w:r>
        <w:rPr>
          <w:rFonts w:ascii="TT Norms Pro Medium"/>
          <w:b/>
          <w:spacing w:val="-2"/>
          <w:sz w:val="14"/>
        </w:rPr>
        <w:t>Ms</w:t>
      </w:r>
      <w:r>
        <w:rPr>
          <w:rFonts w:ascii="TT Norms Pro Medium"/>
          <w:b/>
          <w:spacing w:val="-6"/>
          <w:sz w:val="14"/>
        </w:rPr>
        <w:t> </w:t>
      </w:r>
      <w:r>
        <w:rPr>
          <w:rFonts w:ascii="TT Norms Pro Medium"/>
          <w:b/>
          <w:spacing w:val="-2"/>
          <w:sz w:val="14"/>
        </w:rPr>
        <w:t>Karina</w:t>
      </w:r>
      <w:r>
        <w:rPr>
          <w:rFonts w:ascii="TT Norms Pro Medium"/>
          <w:b/>
          <w:spacing w:val="-5"/>
          <w:sz w:val="14"/>
        </w:rPr>
        <w:t> </w:t>
      </w:r>
      <w:r>
        <w:rPr>
          <w:rFonts w:ascii="TT Norms Pro Medium"/>
          <w:b/>
          <w:spacing w:val="-2"/>
          <w:sz w:val="14"/>
        </w:rPr>
        <w:t>Price</w:t>
      </w:r>
    </w:p>
    <w:p>
      <w:pPr>
        <w:spacing w:before="37"/>
        <w:ind w:left="645" w:right="0" w:firstLine="0"/>
        <w:jc w:val="left"/>
        <w:rPr>
          <w:rFonts w:ascii="TT Norms Pro Light"/>
          <w:b w:val="0"/>
          <w:sz w:val="14"/>
        </w:rPr>
      </w:pPr>
      <w:r>
        <w:rPr>
          <w:rFonts w:ascii="TT Norms Pro Light"/>
          <w:b w:val="0"/>
          <w:sz w:val="14"/>
        </w:rPr>
        <w:t>School</w:t>
      </w:r>
      <w:r>
        <w:rPr>
          <w:rFonts w:ascii="TT Norms Pro Light"/>
          <w:b w:val="0"/>
          <w:spacing w:val="7"/>
          <w:sz w:val="14"/>
        </w:rPr>
        <w:t> </w:t>
      </w:r>
      <w:r>
        <w:rPr>
          <w:rFonts w:ascii="TT Norms Pro Light"/>
          <w:b w:val="0"/>
          <w:sz w:val="14"/>
        </w:rPr>
        <w:t>of</w:t>
      </w:r>
      <w:r>
        <w:rPr>
          <w:rFonts w:ascii="TT Norms Pro Light"/>
          <w:b w:val="0"/>
          <w:spacing w:val="9"/>
          <w:sz w:val="14"/>
        </w:rPr>
        <w:t> </w:t>
      </w:r>
      <w:r>
        <w:rPr>
          <w:rFonts w:ascii="TT Norms Pro Light"/>
          <w:b w:val="0"/>
          <w:sz w:val="14"/>
        </w:rPr>
        <w:t>Molecular</w:t>
      </w:r>
      <w:r>
        <w:rPr>
          <w:rFonts w:ascii="TT Norms Pro Light"/>
          <w:b w:val="0"/>
          <w:spacing w:val="10"/>
          <w:sz w:val="14"/>
        </w:rPr>
        <w:t> </w:t>
      </w:r>
      <w:r>
        <w:rPr>
          <w:rFonts w:ascii="TT Norms Pro Light"/>
          <w:b w:val="0"/>
          <w:spacing w:val="-2"/>
          <w:sz w:val="14"/>
        </w:rPr>
        <w:t>Sciences</w:t>
      </w:r>
    </w:p>
    <w:p>
      <w:pPr>
        <w:pStyle w:val="BodyText"/>
        <w:spacing w:before="72"/>
        <w:rPr>
          <w:b w:val="0"/>
          <w:sz w:val="14"/>
        </w:rPr>
      </w:pPr>
    </w:p>
    <w:p>
      <w:pPr>
        <w:spacing w:before="0"/>
        <w:ind w:left="645" w:right="0" w:firstLine="0"/>
        <w:jc w:val="left"/>
        <w:rPr>
          <w:rFonts w:ascii="TT Norms Pro Medium"/>
          <w:b/>
          <w:sz w:val="14"/>
        </w:rPr>
      </w:pPr>
      <w:r>
        <w:rPr>
          <w:rFonts w:ascii="TT Norms Pro Medium"/>
          <w:b/>
          <w:spacing w:val="-4"/>
          <w:sz w:val="14"/>
        </w:rPr>
        <w:t>Adjunct</w:t>
      </w:r>
      <w:r>
        <w:rPr>
          <w:rFonts w:ascii="TT Norms Pro Medium"/>
          <w:b/>
          <w:spacing w:val="8"/>
          <w:sz w:val="14"/>
        </w:rPr>
        <w:t> </w:t>
      </w:r>
      <w:r>
        <w:rPr>
          <w:rFonts w:ascii="TT Norms Pro Medium"/>
          <w:b/>
          <w:spacing w:val="-4"/>
          <w:sz w:val="14"/>
        </w:rPr>
        <w:t>Professor</w:t>
      </w:r>
      <w:r>
        <w:rPr>
          <w:rFonts w:ascii="TT Norms Pro Medium"/>
          <w:b/>
          <w:spacing w:val="8"/>
          <w:sz w:val="14"/>
        </w:rPr>
        <w:t> </w:t>
      </w:r>
      <w:r>
        <w:rPr>
          <w:rFonts w:ascii="TT Norms Pro Medium"/>
          <w:b/>
          <w:spacing w:val="-4"/>
          <w:sz w:val="14"/>
        </w:rPr>
        <w:t>Nerida</w:t>
      </w:r>
      <w:r>
        <w:rPr>
          <w:rFonts w:ascii="TT Norms Pro Medium"/>
          <w:b/>
          <w:spacing w:val="8"/>
          <w:sz w:val="14"/>
        </w:rPr>
        <w:t> </w:t>
      </w:r>
      <w:r>
        <w:rPr>
          <w:rFonts w:ascii="TT Norms Pro Medium"/>
          <w:b/>
          <w:spacing w:val="-4"/>
          <w:sz w:val="14"/>
        </w:rPr>
        <w:t>Wilson</w:t>
      </w:r>
    </w:p>
    <w:p>
      <w:pPr>
        <w:spacing w:before="36"/>
        <w:ind w:left="645" w:right="0" w:firstLine="0"/>
        <w:jc w:val="left"/>
        <w:rPr>
          <w:rFonts w:ascii="TT Norms Pro Light"/>
          <w:b w:val="0"/>
          <w:sz w:val="14"/>
        </w:rPr>
      </w:pPr>
      <w:r>
        <w:rPr>
          <w:rFonts w:ascii="TT Norms Pro Light"/>
          <w:b w:val="0"/>
          <w:sz w:val="14"/>
        </w:rPr>
        <w:t>School</w:t>
      </w:r>
      <w:r>
        <w:rPr>
          <w:rFonts w:ascii="TT Norms Pro Light"/>
          <w:b w:val="0"/>
          <w:spacing w:val="9"/>
          <w:sz w:val="14"/>
        </w:rPr>
        <w:t> </w:t>
      </w:r>
      <w:r>
        <w:rPr>
          <w:rFonts w:ascii="TT Norms Pro Light"/>
          <w:b w:val="0"/>
          <w:sz w:val="14"/>
        </w:rPr>
        <w:t>of</w:t>
      </w:r>
      <w:r>
        <w:rPr>
          <w:rFonts w:ascii="TT Norms Pro Light"/>
          <w:b w:val="0"/>
          <w:spacing w:val="11"/>
          <w:sz w:val="14"/>
        </w:rPr>
        <w:t> </w:t>
      </w:r>
      <w:r>
        <w:rPr>
          <w:rFonts w:ascii="TT Norms Pro Light"/>
          <w:b w:val="0"/>
          <w:sz w:val="14"/>
        </w:rPr>
        <w:t>Biological</w:t>
      </w:r>
      <w:r>
        <w:rPr>
          <w:rFonts w:ascii="TT Norms Pro Light"/>
          <w:b w:val="0"/>
          <w:spacing w:val="11"/>
          <w:sz w:val="14"/>
        </w:rPr>
        <w:t> </w:t>
      </w:r>
      <w:r>
        <w:rPr>
          <w:rFonts w:ascii="TT Norms Pro Light"/>
          <w:b w:val="0"/>
          <w:spacing w:val="-2"/>
          <w:sz w:val="14"/>
        </w:rPr>
        <w:t>Sciences</w:t>
      </w:r>
    </w:p>
    <w:p>
      <w:pPr>
        <w:pStyle w:val="BodyText"/>
        <w:spacing w:before="93"/>
        <w:rPr>
          <w:b w:val="0"/>
          <w:sz w:val="14"/>
        </w:rPr>
      </w:pPr>
    </w:p>
    <w:p>
      <w:pPr>
        <w:spacing w:line="307" w:lineRule="auto" w:before="0"/>
        <w:ind w:left="361" w:right="0" w:firstLine="0"/>
        <w:jc w:val="left"/>
        <w:rPr>
          <w:rFonts w:ascii="TT Norms Pro Medium"/>
          <w:b/>
          <w:sz w:val="16"/>
        </w:rPr>
      </w:pPr>
      <w:r>
        <w:rPr>
          <w:rFonts w:ascii="TT Norms Pro Medium"/>
          <w:b/>
          <w:spacing w:val="-4"/>
          <w:sz w:val="16"/>
        </w:rPr>
        <w:t>DR</w:t>
      </w:r>
      <w:r>
        <w:rPr>
          <w:rFonts w:ascii="TT Norms Pro Medium"/>
          <w:b/>
          <w:spacing w:val="-6"/>
          <w:sz w:val="16"/>
        </w:rPr>
        <w:t> </w:t>
      </w:r>
      <w:r>
        <w:rPr>
          <w:rFonts w:ascii="TT Norms Pro Medium"/>
          <w:b/>
          <w:spacing w:val="-4"/>
          <w:sz w:val="16"/>
        </w:rPr>
        <w:t>HARRY</w:t>
      </w:r>
      <w:r>
        <w:rPr>
          <w:rFonts w:ascii="TT Norms Pro Medium"/>
          <w:b/>
          <w:spacing w:val="-5"/>
          <w:sz w:val="16"/>
        </w:rPr>
        <w:t> </w:t>
      </w:r>
      <w:r>
        <w:rPr>
          <w:rFonts w:ascii="TT Norms Pro Medium"/>
          <w:b/>
          <w:spacing w:val="-4"/>
          <w:sz w:val="16"/>
        </w:rPr>
        <w:t>BLACKMORE</w:t>
      </w:r>
      <w:r>
        <w:rPr>
          <w:rFonts w:ascii="TT Norms Pro Medium"/>
          <w:b/>
          <w:spacing w:val="-6"/>
          <w:sz w:val="16"/>
        </w:rPr>
        <w:t> </w:t>
      </w:r>
      <w:r>
        <w:rPr>
          <w:rFonts w:ascii="TT Norms Pro Medium"/>
          <w:b/>
          <w:spacing w:val="-4"/>
          <w:sz w:val="16"/>
        </w:rPr>
        <w:t>AWARD,</w:t>
      </w:r>
      <w:r>
        <w:rPr>
          <w:rFonts w:ascii="TT Norms Pro Medium"/>
          <w:b/>
          <w:spacing w:val="40"/>
          <w:sz w:val="16"/>
        </w:rPr>
        <w:t> </w:t>
      </w:r>
      <w:r>
        <w:rPr>
          <w:rFonts w:ascii="TT Norms Pro Medium"/>
          <w:b/>
          <w:sz w:val="16"/>
        </w:rPr>
        <w:t>DEAFNESS COUNCIL WA</w:t>
      </w:r>
    </w:p>
    <w:p>
      <w:pPr>
        <w:pStyle w:val="BodyText"/>
        <w:spacing w:before="20"/>
        <w:rPr>
          <w:rFonts w:ascii="TT Norms Pro Medium"/>
          <w:b/>
          <w:sz w:val="16"/>
        </w:rPr>
      </w:pPr>
    </w:p>
    <w:p>
      <w:pPr>
        <w:spacing w:before="0"/>
        <w:ind w:left="645" w:right="0" w:firstLine="0"/>
        <w:jc w:val="left"/>
        <w:rPr>
          <w:rFonts w:ascii="TT Norms Pro Medium"/>
          <w:b/>
          <w:sz w:val="14"/>
        </w:rPr>
      </w:pPr>
      <w:r>
        <w:rPr>
          <w:rFonts w:ascii="TT Norms Pro Medium"/>
          <w:b/>
          <w:spacing w:val="-2"/>
          <w:sz w:val="14"/>
        </w:rPr>
        <w:t>Dr</w:t>
      </w:r>
      <w:r>
        <w:rPr>
          <w:rFonts w:ascii="TT Norms Pro Medium"/>
          <w:b/>
          <w:spacing w:val="-6"/>
          <w:sz w:val="14"/>
        </w:rPr>
        <w:t> </w:t>
      </w:r>
      <w:r>
        <w:rPr>
          <w:rFonts w:ascii="TT Norms Pro Medium"/>
          <w:b/>
          <w:spacing w:val="-2"/>
          <w:sz w:val="14"/>
        </w:rPr>
        <w:t>Dona</w:t>
      </w:r>
      <w:r>
        <w:rPr>
          <w:rFonts w:ascii="TT Norms Pro Medium"/>
          <w:b/>
          <w:spacing w:val="-5"/>
          <w:sz w:val="14"/>
        </w:rPr>
        <w:t> </w:t>
      </w:r>
      <w:r>
        <w:rPr>
          <w:rFonts w:ascii="TT Norms Pro Medium"/>
          <w:b/>
          <w:spacing w:val="-2"/>
          <w:sz w:val="14"/>
        </w:rPr>
        <w:t>Jayakody</w:t>
      </w:r>
    </w:p>
    <w:p>
      <w:pPr>
        <w:spacing w:before="36"/>
        <w:ind w:left="645" w:right="0" w:firstLine="0"/>
        <w:jc w:val="left"/>
        <w:rPr>
          <w:rFonts w:ascii="TT Norms Pro Light"/>
          <w:b w:val="0"/>
          <w:sz w:val="14"/>
        </w:rPr>
      </w:pPr>
      <w:r>
        <w:rPr>
          <w:rFonts w:ascii="TT Norms Pro Light"/>
          <w:b w:val="0"/>
          <w:sz w:val="14"/>
        </w:rPr>
        <w:t>Medical</w:t>
      </w:r>
      <w:r>
        <w:rPr>
          <w:rFonts w:ascii="TT Norms Pro Light"/>
          <w:b w:val="0"/>
          <w:spacing w:val="15"/>
          <w:sz w:val="14"/>
        </w:rPr>
        <w:t> </w:t>
      </w:r>
      <w:r>
        <w:rPr>
          <w:rFonts w:ascii="TT Norms Pro Light"/>
          <w:b w:val="0"/>
          <w:spacing w:val="-2"/>
          <w:sz w:val="14"/>
        </w:rPr>
        <w:t>School</w:t>
      </w:r>
    </w:p>
    <w:p>
      <w:pPr>
        <w:pStyle w:val="BodyText"/>
        <w:spacing w:before="93"/>
        <w:rPr>
          <w:b w:val="0"/>
          <w:sz w:val="14"/>
        </w:rPr>
      </w:pPr>
    </w:p>
    <w:p>
      <w:pPr>
        <w:spacing w:line="307" w:lineRule="auto" w:before="0"/>
        <w:ind w:left="361" w:right="0" w:firstLine="0"/>
        <w:jc w:val="left"/>
        <w:rPr>
          <w:rFonts w:ascii="TT Norms Pro Medium"/>
          <w:b/>
          <w:sz w:val="16"/>
        </w:rPr>
      </w:pPr>
      <w:r>
        <w:rPr>
          <w:rFonts w:ascii="TT Norms Pro Medium"/>
          <w:b/>
          <w:spacing w:val="-4"/>
          <w:sz w:val="16"/>
        </w:rPr>
        <w:t>UWA</w:t>
      </w:r>
      <w:r>
        <w:rPr>
          <w:rFonts w:ascii="TT Norms Pro Medium"/>
          <w:b/>
          <w:spacing w:val="-6"/>
          <w:sz w:val="16"/>
        </w:rPr>
        <w:t> </w:t>
      </w:r>
      <w:r>
        <w:rPr>
          <w:rFonts w:ascii="TT Norms Pro Medium"/>
          <w:b/>
          <w:spacing w:val="-4"/>
          <w:sz w:val="16"/>
        </w:rPr>
        <w:t>FOGARTY</w:t>
      </w:r>
      <w:r>
        <w:rPr>
          <w:rFonts w:ascii="TT Norms Pro Medium"/>
          <w:b/>
          <w:spacing w:val="-5"/>
          <w:sz w:val="16"/>
        </w:rPr>
        <w:t> </w:t>
      </w:r>
      <w:r>
        <w:rPr>
          <w:rFonts w:ascii="TT Norms Pro Medium"/>
          <w:b/>
          <w:spacing w:val="-4"/>
          <w:sz w:val="16"/>
        </w:rPr>
        <w:t>FOUNDATION</w:t>
      </w:r>
      <w:r>
        <w:rPr>
          <w:rFonts w:ascii="TT Norms Pro Medium"/>
          <w:b/>
          <w:spacing w:val="40"/>
          <w:sz w:val="16"/>
        </w:rPr>
        <w:t> </w:t>
      </w:r>
      <w:r>
        <w:rPr>
          <w:rFonts w:ascii="TT Norms Pro Medium"/>
          <w:b/>
          <w:spacing w:val="-2"/>
          <w:sz w:val="16"/>
        </w:rPr>
        <w:t>SCHOLARSHIP</w:t>
      </w:r>
    </w:p>
    <w:p>
      <w:pPr>
        <w:pStyle w:val="BodyText"/>
        <w:spacing w:before="20"/>
        <w:rPr>
          <w:rFonts w:ascii="TT Norms Pro Medium"/>
          <w:b/>
          <w:sz w:val="16"/>
        </w:rPr>
      </w:pPr>
    </w:p>
    <w:p>
      <w:pPr>
        <w:spacing w:before="0"/>
        <w:ind w:left="645" w:right="0" w:firstLine="0"/>
        <w:jc w:val="left"/>
        <w:rPr>
          <w:rFonts w:ascii="TT Norms Pro Medium"/>
          <w:b/>
          <w:sz w:val="14"/>
        </w:rPr>
      </w:pPr>
      <w:r>
        <w:rPr>
          <w:rFonts w:ascii="TT Norms Pro Medium"/>
          <w:b/>
          <w:spacing w:val="-4"/>
          <w:sz w:val="14"/>
        </w:rPr>
        <w:t>James</w:t>
      </w:r>
      <w:r>
        <w:rPr>
          <w:rFonts w:ascii="TT Norms Pro Medium"/>
          <w:b/>
          <w:spacing w:val="2"/>
          <w:sz w:val="14"/>
        </w:rPr>
        <w:t> </w:t>
      </w:r>
      <w:r>
        <w:rPr>
          <w:rFonts w:ascii="TT Norms Pro Medium"/>
          <w:b/>
          <w:spacing w:val="-2"/>
          <w:sz w:val="14"/>
        </w:rPr>
        <w:t>Barton</w:t>
      </w:r>
    </w:p>
    <w:p>
      <w:pPr>
        <w:spacing w:before="36"/>
        <w:ind w:left="645" w:right="0" w:firstLine="0"/>
        <w:jc w:val="left"/>
        <w:rPr>
          <w:rFonts w:ascii="TT Norms Pro Light"/>
          <w:b w:val="0"/>
          <w:sz w:val="14"/>
        </w:rPr>
      </w:pPr>
      <w:r>
        <w:rPr>
          <w:rFonts w:ascii="TT Norms Pro Light"/>
          <w:b w:val="0"/>
          <w:sz w:val="14"/>
        </w:rPr>
        <w:t>Bachelor</w:t>
      </w:r>
      <w:r>
        <w:rPr>
          <w:rFonts w:ascii="TT Norms Pro Light"/>
          <w:b w:val="0"/>
          <w:spacing w:val="12"/>
          <w:sz w:val="14"/>
        </w:rPr>
        <w:t> </w:t>
      </w:r>
      <w:r>
        <w:rPr>
          <w:rFonts w:ascii="TT Norms Pro Light"/>
          <w:b w:val="0"/>
          <w:sz w:val="14"/>
        </w:rPr>
        <w:t>of</w:t>
      </w:r>
      <w:r>
        <w:rPr>
          <w:rFonts w:ascii="TT Norms Pro Light"/>
          <w:b w:val="0"/>
          <w:spacing w:val="12"/>
          <w:sz w:val="14"/>
        </w:rPr>
        <w:t> </w:t>
      </w:r>
      <w:r>
        <w:rPr>
          <w:rFonts w:ascii="TT Norms Pro Light"/>
          <w:b w:val="0"/>
          <w:sz w:val="14"/>
        </w:rPr>
        <w:t>Biomedical</w:t>
      </w:r>
      <w:r>
        <w:rPr>
          <w:rFonts w:ascii="TT Norms Pro Light"/>
          <w:b w:val="0"/>
          <w:spacing w:val="12"/>
          <w:sz w:val="14"/>
        </w:rPr>
        <w:t> </w:t>
      </w:r>
      <w:r>
        <w:rPr>
          <w:rFonts w:ascii="TT Norms Pro Light"/>
          <w:b w:val="0"/>
          <w:spacing w:val="-2"/>
          <w:sz w:val="14"/>
        </w:rPr>
        <w:t>Science</w:t>
      </w:r>
    </w:p>
    <w:p>
      <w:pPr>
        <w:pStyle w:val="BodyText"/>
        <w:spacing w:before="72"/>
        <w:rPr>
          <w:b w:val="0"/>
          <w:sz w:val="14"/>
        </w:rPr>
      </w:pPr>
    </w:p>
    <w:p>
      <w:pPr>
        <w:spacing w:before="0"/>
        <w:ind w:left="645" w:right="0" w:firstLine="0"/>
        <w:jc w:val="left"/>
        <w:rPr>
          <w:rFonts w:ascii="TT Norms Pro Medium"/>
          <w:b/>
          <w:sz w:val="14"/>
        </w:rPr>
      </w:pPr>
      <w:r>
        <w:rPr>
          <w:rFonts w:ascii="TT Norms Pro Medium"/>
          <w:b/>
          <w:spacing w:val="-4"/>
          <w:sz w:val="14"/>
        </w:rPr>
        <w:t>Emma</w:t>
      </w:r>
      <w:r>
        <w:rPr>
          <w:rFonts w:ascii="TT Norms Pro Medium"/>
          <w:b/>
          <w:spacing w:val="1"/>
          <w:sz w:val="14"/>
        </w:rPr>
        <w:t> </w:t>
      </w:r>
      <w:r>
        <w:rPr>
          <w:rFonts w:ascii="TT Norms Pro Medium"/>
          <w:b/>
          <w:spacing w:val="-4"/>
          <w:sz w:val="14"/>
        </w:rPr>
        <w:t>Bond</w:t>
      </w:r>
    </w:p>
    <w:p>
      <w:pPr>
        <w:spacing w:before="37"/>
        <w:ind w:left="645" w:right="0" w:firstLine="0"/>
        <w:jc w:val="left"/>
        <w:rPr>
          <w:rFonts w:ascii="TT Norms Pro Light"/>
          <w:b w:val="0"/>
          <w:sz w:val="14"/>
        </w:rPr>
      </w:pPr>
      <w:r>
        <w:rPr>
          <w:rFonts w:ascii="TT Norms Pro Light"/>
          <w:b w:val="0"/>
          <w:sz w:val="14"/>
        </w:rPr>
        <w:t>Bachelor</w:t>
      </w:r>
      <w:r>
        <w:rPr>
          <w:rFonts w:ascii="TT Norms Pro Light"/>
          <w:b w:val="0"/>
          <w:spacing w:val="7"/>
          <w:sz w:val="14"/>
        </w:rPr>
        <w:t> </w:t>
      </w:r>
      <w:r>
        <w:rPr>
          <w:rFonts w:ascii="TT Norms Pro Light"/>
          <w:b w:val="0"/>
          <w:sz w:val="14"/>
        </w:rPr>
        <w:t>of</w:t>
      </w:r>
      <w:r>
        <w:rPr>
          <w:rFonts w:ascii="TT Norms Pro Light"/>
          <w:b w:val="0"/>
          <w:spacing w:val="9"/>
          <w:sz w:val="14"/>
        </w:rPr>
        <w:t> </w:t>
      </w:r>
      <w:r>
        <w:rPr>
          <w:rFonts w:ascii="TT Norms Pro Light"/>
          <w:b w:val="0"/>
          <w:sz w:val="14"/>
        </w:rPr>
        <w:t>Philosophy</w:t>
      </w:r>
      <w:r>
        <w:rPr>
          <w:rFonts w:ascii="TT Norms Pro Light"/>
          <w:b w:val="0"/>
          <w:spacing w:val="10"/>
          <w:sz w:val="14"/>
        </w:rPr>
        <w:t> </w:t>
      </w:r>
      <w:r>
        <w:rPr>
          <w:rFonts w:ascii="TT Norms Pro Light"/>
          <w:b w:val="0"/>
          <w:spacing w:val="-2"/>
          <w:sz w:val="14"/>
        </w:rPr>
        <w:t>(Honours)</w:t>
      </w:r>
    </w:p>
    <w:p>
      <w:pPr>
        <w:pStyle w:val="BodyText"/>
        <w:spacing w:before="72"/>
        <w:rPr>
          <w:b w:val="0"/>
          <w:sz w:val="14"/>
        </w:rPr>
      </w:pPr>
    </w:p>
    <w:p>
      <w:pPr>
        <w:spacing w:before="0"/>
        <w:ind w:left="645" w:right="0" w:firstLine="0"/>
        <w:jc w:val="left"/>
        <w:rPr>
          <w:rFonts w:ascii="TT Norms Pro Medium"/>
          <w:b/>
          <w:sz w:val="14"/>
        </w:rPr>
      </w:pPr>
      <w:r>
        <w:rPr>
          <w:rFonts w:ascii="TT Norms Pro Medium"/>
          <w:b/>
          <w:spacing w:val="-2"/>
          <w:sz w:val="14"/>
        </w:rPr>
        <w:t>Hannah</w:t>
      </w:r>
      <w:r>
        <w:rPr>
          <w:rFonts w:ascii="TT Norms Pro Medium"/>
          <w:b/>
          <w:spacing w:val="-6"/>
          <w:sz w:val="14"/>
        </w:rPr>
        <w:t> </w:t>
      </w:r>
      <w:r>
        <w:rPr>
          <w:rFonts w:ascii="TT Norms Pro Medium"/>
          <w:b/>
          <w:spacing w:val="-2"/>
          <w:sz w:val="14"/>
        </w:rPr>
        <w:t>Bowden</w:t>
      </w:r>
    </w:p>
    <w:p>
      <w:pPr>
        <w:spacing w:before="36"/>
        <w:ind w:left="645" w:right="0" w:firstLine="0"/>
        <w:jc w:val="left"/>
        <w:rPr>
          <w:rFonts w:ascii="TT Norms Pro Light"/>
          <w:b w:val="0"/>
          <w:sz w:val="14"/>
        </w:rPr>
      </w:pPr>
      <w:r>
        <w:rPr>
          <w:rFonts w:ascii="TT Norms Pro Light"/>
          <w:b w:val="0"/>
          <w:sz w:val="14"/>
        </w:rPr>
        <w:t>Bachelor</w:t>
      </w:r>
      <w:r>
        <w:rPr>
          <w:rFonts w:ascii="TT Norms Pro Light"/>
          <w:b w:val="0"/>
          <w:spacing w:val="7"/>
          <w:sz w:val="14"/>
        </w:rPr>
        <w:t> </w:t>
      </w:r>
      <w:r>
        <w:rPr>
          <w:rFonts w:ascii="TT Norms Pro Light"/>
          <w:b w:val="0"/>
          <w:sz w:val="14"/>
        </w:rPr>
        <w:t>of</w:t>
      </w:r>
      <w:r>
        <w:rPr>
          <w:rFonts w:ascii="TT Norms Pro Light"/>
          <w:b w:val="0"/>
          <w:spacing w:val="9"/>
          <w:sz w:val="14"/>
        </w:rPr>
        <w:t> </w:t>
      </w:r>
      <w:r>
        <w:rPr>
          <w:rFonts w:ascii="TT Norms Pro Light"/>
          <w:b w:val="0"/>
          <w:sz w:val="14"/>
        </w:rPr>
        <w:t>Philosophy</w:t>
      </w:r>
      <w:r>
        <w:rPr>
          <w:rFonts w:ascii="TT Norms Pro Light"/>
          <w:b w:val="0"/>
          <w:spacing w:val="10"/>
          <w:sz w:val="14"/>
        </w:rPr>
        <w:t> </w:t>
      </w:r>
      <w:r>
        <w:rPr>
          <w:rFonts w:ascii="TT Norms Pro Light"/>
          <w:b w:val="0"/>
          <w:spacing w:val="-2"/>
          <w:sz w:val="14"/>
        </w:rPr>
        <w:t>(Honours)</w:t>
      </w:r>
    </w:p>
    <w:p>
      <w:pPr>
        <w:pStyle w:val="BodyText"/>
        <w:spacing w:before="72"/>
        <w:rPr>
          <w:b w:val="0"/>
          <w:sz w:val="14"/>
        </w:rPr>
      </w:pPr>
    </w:p>
    <w:p>
      <w:pPr>
        <w:spacing w:before="1"/>
        <w:ind w:left="645" w:right="0" w:firstLine="0"/>
        <w:jc w:val="left"/>
        <w:rPr>
          <w:rFonts w:ascii="TT Norms Pro Medium"/>
          <w:b/>
          <w:sz w:val="14"/>
        </w:rPr>
      </w:pPr>
      <w:r>
        <w:rPr>
          <w:rFonts w:ascii="TT Norms Pro Medium"/>
          <w:b/>
          <w:spacing w:val="-2"/>
          <w:sz w:val="14"/>
        </w:rPr>
        <w:t>Rana</w:t>
      </w:r>
      <w:r>
        <w:rPr>
          <w:rFonts w:ascii="TT Norms Pro Medium"/>
          <w:b/>
          <w:spacing w:val="-6"/>
          <w:sz w:val="14"/>
        </w:rPr>
        <w:t> </w:t>
      </w:r>
      <w:r>
        <w:rPr>
          <w:rFonts w:ascii="TT Norms Pro Medium"/>
          <w:b/>
          <w:spacing w:val="-2"/>
          <w:sz w:val="14"/>
        </w:rPr>
        <w:t>Ibrahim</w:t>
      </w:r>
    </w:p>
    <w:p>
      <w:pPr>
        <w:spacing w:before="36"/>
        <w:ind w:left="645" w:right="0" w:firstLine="0"/>
        <w:jc w:val="left"/>
        <w:rPr>
          <w:rFonts w:ascii="TT Norms Pro Light"/>
          <w:b w:val="0"/>
          <w:sz w:val="14"/>
        </w:rPr>
      </w:pPr>
      <w:r>
        <w:rPr>
          <w:rFonts w:ascii="TT Norms Pro Light"/>
          <w:b w:val="0"/>
          <w:sz w:val="14"/>
        </w:rPr>
        <w:t>Bachelor</w:t>
      </w:r>
      <w:r>
        <w:rPr>
          <w:rFonts w:ascii="TT Norms Pro Light"/>
          <w:b w:val="0"/>
          <w:spacing w:val="7"/>
          <w:sz w:val="14"/>
        </w:rPr>
        <w:t> </w:t>
      </w:r>
      <w:r>
        <w:rPr>
          <w:rFonts w:ascii="TT Norms Pro Light"/>
          <w:b w:val="0"/>
          <w:sz w:val="14"/>
        </w:rPr>
        <w:t>of</w:t>
      </w:r>
      <w:r>
        <w:rPr>
          <w:rFonts w:ascii="TT Norms Pro Light"/>
          <w:b w:val="0"/>
          <w:spacing w:val="9"/>
          <w:sz w:val="14"/>
        </w:rPr>
        <w:t> </w:t>
      </w:r>
      <w:r>
        <w:rPr>
          <w:rFonts w:ascii="TT Norms Pro Light"/>
          <w:b w:val="0"/>
          <w:sz w:val="14"/>
        </w:rPr>
        <w:t>Philosophy</w:t>
      </w:r>
      <w:r>
        <w:rPr>
          <w:rFonts w:ascii="TT Norms Pro Light"/>
          <w:b w:val="0"/>
          <w:spacing w:val="10"/>
          <w:sz w:val="14"/>
        </w:rPr>
        <w:t> </w:t>
      </w:r>
      <w:r>
        <w:rPr>
          <w:rFonts w:ascii="TT Norms Pro Light"/>
          <w:b w:val="0"/>
          <w:spacing w:val="-2"/>
          <w:sz w:val="14"/>
        </w:rPr>
        <w:t>(Honours)</w:t>
      </w:r>
    </w:p>
    <w:p>
      <w:pPr>
        <w:pStyle w:val="BodyText"/>
        <w:spacing w:before="72"/>
        <w:rPr>
          <w:b w:val="0"/>
          <w:sz w:val="14"/>
        </w:rPr>
      </w:pPr>
    </w:p>
    <w:p>
      <w:pPr>
        <w:spacing w:before="0"/>
        <w:ind w:left="645" w:right="0" w:firstLine="0"/>
        <w:jc w:val="left"/>
        <w:rPr>
          <w:rFonts w:ascii="TT Norms Pro Medium"/>
          <w:b/>
          <w:sz w:val="14"/>
        </w:rPr>
      </w:pPr>
      <w:r>
        <w:rPr>
          <w:rFonts w:ascii="TT Norms Pro Medium"/>
          <w:b/>
          <w:spacing w:val="-2"/>
          <w:sz w:val="14"/>
        </w:rPr>
        <w:t>Lachlan</w:t>
      </w:r>
      <w:r>
        <w:rPr>
          <w:rFonts w:ascii="TT Norms Pro Medium"/>
          <w:b/>
          <w:spacing w:val="-4"/>
          <w:sz w:val="14"/>
        </w:rPr>
        <w:t> </w:t>
      </w:r>
      <w:r>
        <w:rPr>
          <w:rFonts w:ascii="TT Norms Pro Medium"/>
          <w:b/>
          <w:spacing w:val="-2"/>
          <w:sz w:val="14"/>
        </w:rPr>
        <w:t>McDonald</w:t>
      </w:r>
    </w:p>
    <w:p>
      <w:pPr>
        <w:spacing w:before="37"/>
        <w:ind w:left="645" w:right="0" w:firstLine="0"/>
        <w:jc w:val="left"/>
        <w:rPr>
          <w:rFonts w:ascii="TT Norms Pro Light"/>
          <w:b w:val="0"/>
          <w:sz w:val="14"/>
        </w:rPr>
      </w:pPr>
      <w:r>
        <w:rPr>
          <w:rFonts w:ascii="TT Norms Pro Light"/>
          <w:b w:val="0"/>
          <w:sz w:val="14"/>
        </w:rPr>
        <w:t>Bachelor</w:t>
      </w:r>
      <w:r>
        <w:rPr>
          <w:rFonts w:ascii="TT Norms Pro Light"/>
          <w:b w:val="0"/>
          <w:spacing w:val="7"/>
          <w:sz w:val="14"/>
        </w:rPr>
        <w:t> </w:t>
      </w:r>
      <w:r>
        <w:rPr>
          <w:rFonts w:ascii="TT Norms Pro Light"/>
          <w:b w:val="0"/>
          <w:sz w:val="14"/>
        </w:rPr>
        <w:t>of</w:t>
      </w:r>
      <w:r>
        <w:rPr>
          <w:rFonts w:ascii="TT Norms Pro Light"/>
          <w:b w:val="0"/>
          <w:spacing w:val="9"/>
          <w:sz w:val="14"/>
        </w:rPr>
        <w:t> </w:t>
      </w:r>
      <w:r>
        <w:rPr>
          <w:rFonts w:ascii="TT Norms Pro Light"/>
          <w:b w:val="0"/>
          <w:sz w:val="14"/>
        </w:rPr>
        <w:t>Philosophy</w:t>
      </w:r>
      <w:r>
        <w:rPr>
          <w:rFonts w:ascii="TT Norms Pro Light"/>
          <w:b w:val="0"/>
          <w:spacing w:val="10"/>
          <w:sz w:val="14"/>
        </w:rPr>
        <w:t> </w:t>
      </w:r>
      <w:r>
        <w:rPr>
          <w:rFonts w:ascii="TT Norms Pro Light"/>
          <w:b w:val="0"/>
          <w:spacing w:val="-2"/>
          <w:sz w:val="14"/>
        </w:rPr>
        <w:t>(Honours)</w:t>
      </w:r>
    </w:p>
    <w:p>
      <w:pPr>
        <w:pStyle w:val="BodyText"/>
        <w:spacing w:before="72"/>
        <w:rPr>
          <w:b w:val="0"/>
          <w:sz w:val="14"/>
        </w:rPr>
      </w:pPr>
    </w:p>
    <w:p>
      <w:pPr>
        <w:spacing w:before="0"/>
        <w:ind w:left="645" w:right="0" w:firstLine="0"/>
        <w:jc w:val="left"/>
        <w:rPr>
          <w:rFonts w:ascii="TT Norms Pro Medium"/>
          <w:b/>
          <w:sz w:val="14"/>
        </w:rPr>
      </w:pPr>
      <w:r>
        <w:rPr>
          <w:rFonts w:ascii="TT Norms Pro Medium"/>
          <w:b/>
          <w:w w:val="90"/>
          <w:sz w:val="14"/>
        </w:rPr>
        <w:t>Patrick</w:t>
      </w:r>
      <w:r>
        <w:rPr>
          <w:rFonts w:ascii="TT Norms Pro Medium"/>
          <w:b/>
          <w:spacing w:val="21"/>
          <w:sz w:val="14"/>
        </w:rPr>
        <w:t> </w:t>
      </w:r>
      <w:r>
        <w:rPr>
          <w:rFonts w:ascii="TT Norms Pro Medium"/>
          <w:b/>
          <w:spacing w:val="-2"/>
          <w:w w:val="95"/>
          <w:sz w:val="14"/>
        </w:rPr>
        <w:t>Morton</w:t>
      </w:r>
    </w:p>
    <w:p>
      <w:pPr>
        <w:spacing w:before="36"/>
        <w:ind w:left="645" w:right="0" w:firstLine="0"/>
        <w:jc w:val="left"/>
        <w:rPr>
          <w:rFonts w:ascii="TT Norms Pro Light"/>
          <w:b w:val="0"/>
          <w:sz w:val="14"/>
        </w:rPr>
      </w:pPr>
      <w:r>
        <w:rPr>
          <w:rFonts w:ascii="TT Norms Pro Light"/>
          <w:b w:val="0"/>
          <w:sz w:val="14"/>
        </w:rPr>
        <w:t>Bachelor</w:t>
      </w:r>
      <w:r>
        <w:rPr>
          <w:rFonts w:ascii="TT Norms Pro Light"/>
          <w:b w:val="0"/>
          <w:spacing w:val="7"/>
          <w:sz w:val="14"/>
        </w:rPr>
        <w:t> </w:t>
      </w:r>
      <w:r>
        <w:rPr>
          <w:rFonts w:ascii="TT Norms Pro Light"/>
          <w:b w:val="0"/>
          <w:sz w:val="14"/>
        </w:rPr>
        <w:t>of</w:t>
      </w:r>
      <w:r>
        <w:rPr>
          <w:rFonts w:ascii="TT Norms Pro Light"/>
          <w:b w:val="0"/>
          <w:spacing w:val="9"/>
          <w:sz w:val="14"/>
        </w:rPr>
        <w:t> </w:t>
      </w:r>
      <w:r>
        <w:rPr>
          <w:rFonts w:ascii="TT Norms Pro Light"/>
          <w:b w:val="0"/>
          <w:sz w:val="14"/>
        </w:rPr>
        <w:t>Philosophy</w:t>
      </w:r>
      <w:r>
        <w:rPr>
          <w:rFonts w:ascii="TT Norms Pro Light"/>
          <w:b w:val="0"/>
          <w:spacing w:val="10"/>
          <w:sz w:val="14"/>
        </w:rPr>
        <w:t> </w:t>
      </w:r>
      <w:r>
        <w:rPr>
          <w:rFonts w:ascii="TT Norms Pro Light"/>
          <w:b w:val="0"/>
          <w:spacing w:val="-2"/>
          <w:sz w:val="14"/>
        </w:rPr>
        <w:t>(Honours)</w:t>
      </w:r>
    </w:p>
    <w:p>
      <w:pPr>
        <w:pStyle w:val="BodyText"/>
        <w:spacing w:before="72"/>
        <w:rPr>
          <w:b w:val="0"/>
          <w:sz w:val="14"/>
        </w:rPr>
      </w:pPr>
    </w:p>
    <w:p>
      <w:pPr>
        <w:spacing w:before="1"/>
        <w:ind w:left="645" w:right="0" w:firstLine="0"/>
        <w:jc w:val="left"/>
        <w:rPr>
          <w:rFonts w:ascii="TT Norms Pro Medium"/>
          <w:b/>
          <w:sz w:val="14"/>
        </w:rPr>
      </w:pPr>
      <w:r>
        <w:rPr>
          <w:rFonts w:ascii="TT Norms Pro Medium"/>
          <w:b/>
          <w:spacing w:val="-4"/>
          <w:sz w:val="14"/>
        </w:rPr>
        <w:t>Luke</w:t>
      </w:r>
      <w:r>
        <w:rPr>
          <w:rFonts w:ascii="TT Norms Pro Medium"/>
          <w:b/>
          <w:spacing w:val="-1"/>
          <w:sz w:val="14"/>
        </w:rPr>
        <w:t> </w:t>
      </w:r>
      <w:r>
        <w:rPr>
          <w:rFonts w:ascii="TT Norms Pro Medium"/>
          <w:b/>
          <w:spacing w:val="-2"/>
          <w:sz w:val="14"/>
        </w:rPr>
        <w:t>Osborne</w:t>
      </w:r>
    </w:p>
    <w:p>
      <w:pPr>
        <w:spacing w:before="36"/>
        <w:ind w:left="645" w:right="0" w:firstLine="0"/>
        <w:jc w:val="left"/>
        <w:rPr>
          <w:rFonts w:ascii="TT Norms Pro Light"/>
          <w:b w:val="0"/>
          <w:sz w:val="14"/>
        </w:rPr>
      </w:pPr>
      <w:r>
        <w:rPr>
          <w:rFonts w:ascii="TT Norms Pro Light"/>
          <w:b w:val="0"/>
          <w:sz w:val="14"/>
        </w:rPr>
        <w:t>Bachelor</w:t>
      </w:r>
      <w:r>
        <w:rPr>
          <w:rFonts w:ascii="TT Norms Pro Light"/>
          <w:b w:val="0"/>
          <w:spacing w:val="7"/>
          <w:sz w:val="14"/>
        </w:rPr>
        <w:t> </w:t>
      </w:r>
      <w:r>
        <w:rPr>
          <w:rFonts w:ascii="TT Norms Pro Light"/>
          <w:b w:val="0"/>
          <w:sz w:val="14"/>
        </w:rPr>
        <w:t>of</w:t>
      </w:r>
      <w:r>
        <w:rPr>
          <w:rFonts w:ascii="TT Norms Pro Light"/>
          <w:b w:val="0"/>
          <w:spacing w:val="9"/>
          <w:sz w:val="14"/>
        </w:rPr>
        <w:t> </w:t>
      </w:r>
      <w:r>
        <w:rPr>
          <w:rFonts w:ascii="TT Norms Pro Light"/>
          <w:b w:val="0"/>
          <w:sz w:val="14"/>
        </w:rPr>
        <w:t>Philosophy</w:t>
      </w:r>
      <w:r>
        <w:rPr>
          <w:rFonts w:ascii="TT Norms Pro Light"/>
          <w:b w:val="0"/>
          <w:spacing w:val="10"/>
          <w:sz w:val="14"/>
        </w:rPr>
        <w:t> </w:t>
      </w:r>
      <w:r>
        <w:rPr>
          <w:rFonts w:ascii="TT Norms Pro Light"/>
          <w:b w:val="0"/>
          <w:spacing w:val="-2"/>
          <w:sz w:val="14"/>
        </w:rPr>
        <w:t>(Honours)</w:t>
      </w:r>
    </w:p>
    <w:p>
      <w:pPr>
        <w:pStyle w:val="BodyText"/>
        <w:spacing w:before="72"/>
        <w:rPr>
          <w:b w:val="0"/>
          <w:sz w:val="14"/>
        </w:rPr>
      </w:pPr>
    </w:p>
    <w:p>
      <w:pPr>
        <w:spacing w:before="0"/>
        <w:ind w:left="645" w:right="0" w:firstLine="0"/>
        <w:jc w:val="left"/>
        <w:rPr>
          <w:rFonts w:ascii="TT Norms Pro Medium" w:hAnsi="TT Norms Pro Medium"/>
          <w:b/>
          <w:sz w:val="14"/>
        </w:rPr>
      </w:pPr>
      <w:r>
        <w:rPr>
          <w:rFonts w:ascii="TT Norms Pro Medium" w:hAnsi="TT Norms Pro Medium"/>
          <w:b/>
          <w:spacing w:val="-4"/>
          <w:sz w:val="14"/>
        </w:rPr>
        <w:t>Lucie</w:t>
      </w:r>
      <w:r>
        <w:rPr>
          <w:rFonts w:ascii="TT Norms Pro Medium" w:hAnsi="TT Norms Pro Medium"/>
          <w:b/>
          <w:spacing w:val="2"/>
          <w:sz w:val="14"/>
        </w:rPr>
        <w:t> </w:t>
      </w:r>
      <w:r>
        <w:rPr>
          <w:rFonts w:ascii="TT Norms Pro Medium" w:hAnsi="TT Norms Pro Medium"/>
          <w:b/>
          <w:spacing w:val="-2"/>
          <w:sz w:val="14"/>
        </w:rPr>
        <w:t>O’Sullivan</w:t>
      </w:r>
    </w:p>
    <w:p>
      <w:pPr>
        <w:spacing w:before="36"/>
        <w:ind w:left="645" w:right="0" w:firstLine="0"/>
        <w:jc w:val="left"/>
        <w:rPr>
          <w:rFonts w:ascii="TT Norms Pro Light"/>
          <w:b w:val="0"/>
          <w:sz w:val="14"/>
        </w:rPr>
      </w:pPr>
      <w:r>
        <w:rPr>
          <w:rFonts w:ascii="TT Norms Pro Light"/>
          <w:b w:val="0"/>
          <w:sz w:val="14"/>
        </w:rPr>
        <w:t>Bachelor</w:t>
      </w:r>
      <w:r>
        <w:rPr>
          <w:rFonts w:ascii="TT Norms Pro Light"/>
          <w:b w:val="0"/>
          <w:spacing w:val="7"/>
          <w:sz w:val="14"/>
        </w:rPr>
        <w:t> </w:t>
      </w:r>
      <w:r>
        <w:rPr>
          <w:rFonts w:ascii="TT Norms Pro Light"/>
          <w:b w:val="0"/>
          <w:sz w:val="14"/>
        </w:rPr>
        <w:t>of</w:t>
      </w:r>
      <w:r>
        <w:rPr>
          <w:rFonts w:ascii="TT Norms Pro Light"/>
          <w:b w:val="0"/>
          <w:spacing w:val="9"/>
          <w:sz w:val="14"/>
        </w:rPr>
        <w:t> </w:t>
      </w:r>
      <w:r>
        <w:rPr>
          <w:rFonts w:ascii="TT Norms Pro Light"/>
          <w:b w:val="0"/>
          <w:sz w:val="14"/>
        </w:rPr>
        <w:t>Philosophy</w:t>
      </w:r>
      <w:r>
        <w:rPr>
          <w:rFonts w:ascii="TT Norms Pro Light"/>
          <w:b w:val="0"/>
          <w:spacing w:val="10"/>
          <w:sz w:val="14"/>
        </w:rPr>
        <w:t> </w:t>
      </w:r>
      <w:r>
        <w:rPr>
          <w:rFonts w:ascii="TT Norms Pro Light"/>
          <w:b w:val="0"/>
          <w:spacing w:val="-2"/>
          <w:sz w:val="14"/>
        </w:rPr>
        <w:t>(Honours)</w:t>
      </w:r>
    </w:p>
    <w:p>
      <w:pPr>
        <w:pStyle w:val="BodyText"/>
        <w:spacing w:before="73"/>
        <w:rPr>
          <w:b w:val="0"/>
          <w:sz w:val="14"/>
        </w:rPr>
      </w:pPr>
    </w:p>
    <w:p>
      <w:pPr>
        <w:spacing w:before="0"/>
        <w:ind w:left="645" w:right="0" w:firstLine="0"/>
        <w:jc w:val="left"/>
        <w:rPr>
          <w:rFonts w:ascii="TT Norms Pro Medium"/>
          <w:b/>
          <w:sz w:val="14"/>
        </w:rPr>
      </w:pPr>
      <w:r>
        <w:rPr>
          <w:rFonts w:ascii="TT Norms Pro Medium"/>
          <w:b/>
          <w:w w:val="90"/>
          <w:sz w:val="14"/>
        </w:rPr>
        <w:t>Wini</w:t>
      </w:r>
      <w:r>
        <w:rPr>
          <w:rFonts w:ascii="TT Norms Pro Medium"/>
          <w:b/>
          <w:spacing w:val="34"/>
          <w:sz w:val="14"/>
        </w:rPr>
        <w:t> </w:t>
      </w:r>
      <w:r>
        <w:rPr>
          <w:rFonts w:ascii="TT Norms Pro Medium"/>
          <w:b/>
          <w:w w:val="90"/>
          <w:sz w:val="14"/>
        </w:rPr>
        <w:t>Taylor-</w:t>
      </w:r>
      <w:r>
        <w:rPr>
          <w:rFonts w:ascii="TT Norms Pro Medium"/>
          <w:b/>
          <w:spacing w:val="-2"/>
          <w:w w:val="90"/>
          <w:sz w:val="14"/>
        </w:rPr>
        <w:t>Williams</w:t>
      </w:r>
    </w:p>
    <w:p>
      <w:pPr>
        <w:spacing w:before="36"/>
        <w:ind w:left="645" w:right="0" w:firstLine="0"/>
        <w:jc w:val="left"/>
        <w:rPr>
          <w:rFonts w:ascii="TT Norms Pro Light"/>
          <w:b w:val="0"/>
          <w:sz w:val="14"/>
        </w:rPr>
      </w:pPr>
      <w:r>
        <w:rPr>
          <w:rFonts w:ascii="TT Norms Pro Light"/>
          <w:b w:val="0"/>
          <w:sz w:val="14"/>
        </w:rPr>
        <w:t>Bachelor</w:t>
      </w:r>
      <w:r>
        <w:rPr>
          <w:rFonts w:ascii="TT Norms Pro Light"/>
          <w:b w:val="0"/>
          <w:spacing w:val="12"/>
          <w:sz w:val="14"/>
        </w:rPr>
        <w:t> </w:t>
      </w:r>
      <w:r>
        <w:rPr>
          <w:rFonts w:ascii="TT Norms Pro Light"/>
          <w:b w:val="0"/>
          <w:sz w:val="14"/>
        </w:rPr>
        <w:t>of</w:t>
      </w:r>
      <w:r>
        <w:rPr>
          <w:rFonts w:ascii="TT Norms Pro Light"/>
          <w:b w:val="0"/>
          <w:spacing w:val="12"/>
          <w:sz w:val="14"/>
        </w:rPr>
        <w:t> </w:t>
      </w:r>
      <w:r>
        <w:rPr>
          <w:rFonts w:ascii="TT Norms Pro Light"/>
          <w:b w:val="0"/>
          <w:sz w:val="14"/>
        </w:rPr>
        <w:t>Biomedical</w:t>
      </w:r>
      <w:r>
        <w:rPr>
          <w:rFonts w:ascii="TT Norms Pro Light"/>
          <w:b w:val="0"/>
          <w:spacing w:val="12"/>
          <w:sz w:val="14"/>
        </w:rPr>
        <w:t> </w:t>
      </w:r>
      <w:r>
        <w:rPr>
          <w:rFonts w:ascii="TT Norms Pro Light"/>
          <w:b w:val="0"/>
          <w:spacing w:val="-2"/>
          <w:sz w:val="14"/>
        </w:rPr>
        <w:t>Science</w:t>
      </w:r>
    </w:p>
    <w:p>
      <w:pPr>
        <w:pStyle w:val="BodyText"/>
        <w:spacing w:before="72"/>
        <w:rPr>
          <w:b w:val="0"/>
          <w:sz w:val="14"/>
        </w:rPr>
      </w:pPr>
    </w:p>
    <w:p>
      <w:pPr>
        <w:spacing w:before="0"/>
        <w:ind w:left="645" w:right="0" w:firstLine="0"/>
        <w:jc w:val="left"/>
        <w:rPr>
          <w:rFonts w:ascii="TT Norms Pro Medium"/>
          <w:b/>
          <w:sz w:val="14"/>
        </w:rPr>
      </w:pPr>
      <w:r>
        <w:rPr>
          <w:rFonts w:ascii="TT Norms Pro Medium"/>
          <w:b/>
          <w:spacing w:val="-4"/>
          <w:sz w:val="14"/>
        </w:rPr>
        <w:t>Alexander</w:t>
      </w:r>
      <w:r>
        <w:rPr>
          <w:rFonts w:ascii="TT Norms Pro Medium"/>
          <w:b/>
          <w:spacing w:val="5"/>
          <w:sz w:val="14"/>
        </w:rPr>
        <w:t> </w:t>
      </w:r>
      <w:r>
        <w:rPr>
          <w:rFonts w:ascii="TT Norms Pro Medium"/>
          <w:b/>
          <w:spacing w:val="-4"/>
          <w:sz w:val="14"/>
        </w:rPr>
        <w:t>van</w:t>
      </w:r>
      <w:r>
        <w:rPr>
          <w:rFonts w:ascii="TT Norms Pro Medium"/>
          <w:b/>
          <w:spacing w:val="5"/>
          <w:sz w:val="14"/>
        </w:rPr>
        <w:t> </w:t>
      </w:r>
      <w:r>
        <w:rPr>
          <w:rFonts w:ascii="TT Norms Pro Medium"/>
          <w:b/>
          <w:spacing w:val="-4"/>
          <w:sz w:val="14"/>
        </w:rPr>
        <w:t>Hoek</w:t>
      </w:r>
    </w:p>
    <w:p>
      <w:pPr>
        <w:spacing w:before="37"/>
        <w:ind w:left="645" w:right="0" w:firstLine="0"/>
        <w:jc w:val="left"/>
        <w:rPr>
          <w:rFonts w:ascii="TT Norms Pro Light"/>
          <w:b w:val="0"/>
          <w:sz w:val="14"/>
        </w:rPr>
      </w:pPr>
      <w:r>
        <w:rPr>
          <w:rFonts w:ascii="TT Norms Pro Light"/>
          <w:b w:val="0"/>
          <w:sz w:val="14"/>
        </w:rPr>
        <w:t>Bachelor</w:t>
      </w:r>
      <w:r>
        <w:rPr>
          <w:rFonts w:ascii="TT Norms Pro Light"/>
          <w:b w:val="0"/>
          <w:spacing w:val="12"/>
          <w:sz w:val="14"/>
        </w:rPr>
        <w:t> </w:t>
      </w:r>
      <w:r>
        <w:rPr>
          <w:rFonts w:ascii="TT Norms Pro Light"/>
          <w:b w:val="0"/>
          <w:sz w:val="14"/>
        </w:rPr>
        <w:t>of</w:t>
      </w:r>
      <w:r>
        <w:rPr>
          <w:rFonts w:ascii="TT Norms Pro Light"/>
          <w:b w:val="0"/>
          <w:spacing w:val="12"/>
          <w:sz w:val="14"/>
        </w:rPr>
        <w:t> </w:t>
      </w:r>
      <w:r>
        <w:rPr>
          <w:rFonts w:ascii="TT Norms Pro Light"/>
          <w:b w:val="0"/>
          <w:sz w:val="14"/>
        </w:rPr>
        <w:t>Biomedical</w:t>
      </w:r>
      <w:r>
        <w:rPr>
          <w:rFonts w:ascii="TT Norms Pro Light"/>
          <w:b w:val="0"/>
          <w:spacing w:val="12"/>
          <w:sz w:val="14"/>
        </w:rPr>
        <w:t> </w:t>
      </w:r>
      <w:r>
        <w:rPr>
          <w:rFonts w:ascii="TT Norms Pro Light"/>
          <w:b w:val="0"/>
          <w:spacing w:val="-2"/>
          <w:sz w:val="14"/>
        </w:rPr>
        <w:t>Science</w:t>
      </w:r>
    </w:p>
    <w:p>
      <w:pPr>
        <w:spacing w:line="307" w:lineRule="auto" w:before="121"/>
        <w:ind w:left="538" w:right="1137" w:firstLine="0"/>
        <w:jc w:val="left"/>
        <w:rPr>
          <w:rFonts w:ascii="TT Norms Pro Medium"/>
          <w:b/>
          <w:sz w:val="16"/>
        </w:rPr>
      </w:pPr>
      <w:r>
        <w:rPr/>
        <w:br w:type="column"/>
      </w:r>
      <w:r>
        <w:rPr>
          <w:rFonts w:ascii="TT Norms Pro Medium"/>
          <w:b/>
          <w:spacing w:val="-2"/>
          <w:sz w:val="16"/>
        </w:rPr>
        <w:t>UWA</w:t>
      </w:r>
      <w:r>
        <w:rPr>
          <w:rFonts w:ascii="TT Norms Pro Medium"/>
          <w:b/>
          <w:spacing w:val="-8"/>
          <w:sz w:val="16"/>
        </w:rPr>
        <w:t> </w:t>
      </w:r>
      <w:r>
        <w:rPr>
          <w:rFonts w:ascii="TT Norms Pro Medium"/>
          <w:b/>
          <w:spacing w:val="-2"/>
          <w:sz w:val="16"/>
        </w:rPr>
        <w:t>WINTHROP</w:t>
      </w:r>
      <w:r>
        <w:rPr>
          <w:rFonts w:ascii="TT Norms Pro Medium"/>
          <w:b/>
          <w:spacing w:val="-7"/>
          <w:sz w:val="16"/>
        </w:rPr>
        <w:t> </w:t>
      </w:r>
      <w:r>
        <w:rPr>
          <w:rFonts w:ascii="TT Norms Pro Medium"/>
          <w:b/>
          <w:spacing w:val="-2"/>
          <w:sz w:val="16"/>
        </w:rPr>
        <w:t>LEADERS</w:t>
      </w:r>
      <w:r>
        <w:rPr>
          <w:rFonts w:ascii="TT Norms Pro Medium"/>
          <w:b/>
          <w:spacing w:val="40"/>
          <w:sz w:val="16"/>
        </w:rPr>
        <w:t> </w:t>
      </w:r>
      <w:r>
        <w:rPr>
          <w:rFonts w:ascii="TT Norms Pro Medium"/>
          <w:b/>
          <w:spacing w:val="-2"/>
          <w:sz w:val="16"/>
        </w:rPr>
        <w:t>SCHOLARSHIP</w:t>
      </w:r>
    </w:p>
    <w:p>
      <w:pPr>
        <w:pStyle w:val="BodyText"/>
        <w:spacing w:before="32"/>
        <w:rPr>
          <w:rFonts w:ascii="TT Norms Pro Medium"/>
          <w:b/>
          <w:sz w:val="16"/>
        </w:rPr>
      </w:pPr>
    </w:p>
    <w:p>
      <w:pPr>
        <w:spacing w:before="0"/>
        <w:ind w:left="822" w:right="0" w:firstLine="0"/>
        <w:jc w:val="left"/>
        <w:rPr>
          <w:rFonts w:ascii="TT Norms Pro Medium"/>
          <w:b/>
          <w:sz w:val="14"/>
        </w:rPr>
      </w:pPr>
      <w:r>
        <w:rPr>
          <w:rFonts w:ascii="TT Norms Pro Medium"/>
          <w:b/>
          <w:spacing w:val="-4"/>
          <w:sz w:val="14"/>
        </w:rPr>
        <w:t>Ellaby</w:t>
      </w:r>
      <w:r>
        <w:rPr>
          <w:rFonts w:ascii="TT Norms Pro Medium"/>
          <w:b/>
          <w:spacing w:val="3"/>
          <w:sz w:val="14"/>
        </w:rPr>
        <w:t> </w:t>
      </w:r>
      <w:r>
        <w:rPr>
          <w:rFonts w:ascii="TT Norms Pro Medium"/>
          <w:b/>
          <w:spacing w:val="-2"/>
          <w:sz w:val="14"/>
        </w:rPr>
        <w:t>Hansen</w:t>
      </w:r>
    </w:p>
    <w:p>
      <w:pPr>
        <w:spacing w:before="36"/>
        <w:ind w:left="822" w:right="0" w:firstLine="0"/>
        <w:jc w:val="left"/>
        <w:rPr>
          <w:rFonts w:ascii="TT Norms Pro Light"/>
          <w:b w:val="0"/>
          <w:sz w:val="14"/>
        </w:rPr>
      </w:pPr>
      <w:r>
        <w:rPr>
          <w:rFonts w:ascii="TT Norms Pro Light"/>
          <w:b w:val="0"/>
          <w:sz w:val="14"/>
        </w:rPr>
        <w:t>Bachelor</w:t>
      </w:r>
      <w:r>
        <w:rPr>
          <w:rFonts w:ascii="TT Norms Pro Light"/>
          <w:b w:val="0"/>
          <w:spacing w:val="7"/>
          <w:sz w:val="14"/>
        </w:rPr>
        <w:t> </w:t>
      </w:r>
      <w:r>
        <w:rPr>
          <w:rFonts w:ascii="TT Norms Pro Light"/>
          <w:b w:val="0"/>
          <w:sz w:val="14"/>
        </w:rPr>
        <w:t>of</w:t>
      </w:r>
      <w:r>
        <w:rPr>
          <w:rFonts w:ascii="TT Norms Pro Light"/>
          <w:b w:val="0"/>
          <w:spacing w:val="8"/>
          <w:sz w:val="14"/>
        </w:rPr>
        <w:t> </w:t>
      </w:r>
      <w:r>
        <w:rPr>
          <w:rFonts w:ascii="TT Norms Pro Light"/>
          <w:b w:val="0"/>
          <w:spacing w:val="-2"/>
          <w:sz w:val="14"/>
        </w:rPr>
        <w:t>Science</w:t>
      </w:r>
    </w:p>
    <w:p>
      <w:pPr>
        <w:pStyle w:val="BodyText"/>
        <w:spacing w:before="73"/>
        <w:rPr>
          <w:b w:val="0"/>
          <w:sz w:val="14"/>
        </w:rPr>
      </w:pPr>
    </w:p>
    <w:p>
      <w:pPr>
        <w:spacing w:before="0"/>
        <w:ind w:left="822" w:right="0" w:firstLine="0"/>
        <w:jc w:val="left"/>
        <w:rPr>
          <w:rFonts w:ascii="TT Norms Pro Medium"/>
          <w:b/>
          <w:sz w:val="14"/>
        </w:rPr>
      </w:pPr>
      <w:r>
        <w:rPr>
          <w:rFonts w:ascii="TT Norms Pro Medium"/>
          <w:b/>
          <w:spacing w:val="-4"/>
          <w:sz w:val="14"/>
        </w:rPr>
        <w:t>Alexander</w:t>
      </w:r>
      <w:r>
        <w:rPr>
          <w:rFonts w:ascii="TT Norms Pro Medium"/>
          <w:b/>
          <w:spacing w:val="11"/>
          <w:sz w:val="14"/>
        </w:rPr>
        <w:t> </w:t>
      </w:r>
      <w:r>
        <w:rPr>
          <w:rFonts w:ascii="TT Norms Pro Medium"/>
          <w:b/>
          <w:spacing w:val="-2"/>
          <w:sz w:val="14"/>
        </w:rPr>
        <w:t>Rippey</w:t>
      </w:r>
    </w:p>
    <w:p>
      <w:pPr>
        <w:spacing w:before="36"/>
        <w:ind w:left="822" w:right="0" w:firstLine="0"/>
        <w:jc w:val="left"/>
        <w:rPr>
          <w:rFonts w:ascii="TT Norms Pro Light"/>
          <w:b w:val="0"/>
          <w:sz w:val="14"/>
        </w:rPr>
      </w:pPr>
      <w:r>
        <w:rPr>
          <w:rFonts w:ascii="TT Norms Pro Light"/>
          <w:b w:val="0"/>
          <w:sz w:val="14"/>
        </w:rPr>
        <w:t>Bachelor</w:t>
      </w:r>
      <w:r>
        <w:rPr>
          <w:rFonts w:ascii="TT Norms Pro Light"/>
          <w:b w:val="0"/>
          <w:spacing w:val="7"/>
          <w:sz w:val="14"/>
        </w:rPr>
        <w:t> </w:t>
      </w:r>
      <w:r>
        <w:rPr>
          <w:rFonts w:ascii="TT Norms Pro Light"/>
          <w:b w:val="0"/>
          <w:sz w:val="14"/>
        </w:rPr>
        <w:t>of</w:t>
      </w:r>
      <w:r>
        <w:rPr>
          <w:rFonts w:ascii="TT Norms Pro Light"/>
          <w:b w:val="0"/>
          <w:spacing w:val="8"/>
          <w:sz w:val="14"/>
        </w:rPr>
        <w:t> </w:t>
      </w:r>
      <w:r>
        <w:rPr>
          <w:rFonts w:ascii="TT Norms Pro Light"/>
          <w:b w:val="0"/>
          <w:spacing w:val="-2"/>
          <w:sz w:val="14"/>
        </w:rPr>
        <w:t>Philosophy</w:t>
      </w:r>
    </w:p>
    <w:p>
      <w:pPr>
        <w:pStyle w:val="BodyText"/>
        <w:spacing w:before="72"/>
        <w:rPr>
          <w:b w:val="0"/>
          <w:sz w:val="14"/>
        </w:rPr>
      </w:pPr>
    </w:p>
    <w:p>
      <w:pPr>
        <w:spacing w:before="0"/>
        <w:ind w:left="822" w:right="0" w:firstLine="0"/>
        <w:jc w:val="left"/>
        <w:rPr>
          <w:rFonts w:ascii="TT Norms Pro Medium"/>
          <w:b/>
          <w:sz w:val="14"/>
        </w:rPr>
      </w:pPr>
      <w:r>
        <w:rPr>
          <w:rFonts w:ascii="TT Norms Pro Medium"/>
          <w:b/>
          <w:spacing w:val="-2"/>
          <w:sz w:val="14"/>
        </w:rPr>
        <w:t>Megha</w:t>
      </w:r>
      <w:r>
        <w:rPr>
          <w:rFonts w:ascii="TT Norms Pro Medium"/>
          <w:b/>
          <w:spacing w:val="-5"/>
          <w:sz w:val="14"/>
        </w:rPr>
        <w:t> </w:t>
      </w:r>
      <w:r>
        <w:rPr>
          <w:rFonts w:ascii="TT Norms Pro Medium"/>
          <w:b/>
          <w:spacing w:val="-2"/>
          <w:sz w:val="14"/>
        </w:rPr>
        <w:t>Sheth</w:t>
      </w:r>
    </w:p>
    <w:p>
      <w:pPr>
        <w:spacing w:before="37"/>
        <w:ind w:left="822" w:right="0" w:firstLine="0"/>
        <w:jc w:val="left"/>
        <w:rPr>
          <w:rFonts w:ascii="TT Norms Pro Light"/>
          <w:b w:val="0"/>
          <w:sz w:val="14"/>
        </w:rPr>
      </w:pPr>
      <w:r>
        <w:rPr>
          <w:rFonts w:ascii="TT Norms Pro Light"/>
          <w:b w:val="0"/>
          <w:sz w:val="14"/>
        </w:rPr>
        <w:t>Bachelor</w:t>
      </w:r>
      <w:r>
        <w:rPr>
          <w:rFonts w:ascii="TT Norms Pro Light"/>
          <w:b w:val="0"/>
          <w:spacing w:val="7"/>
          <w:sz w:val="14"/>
        </w:rPr>
        <w:t> </w:t>
      </w:r>
      <w:r>
        <w:rPr>
          <w:rFonts w:ascii="TT Norms Pro Light"/>
          <w:b w:val="0"/>
          <w:sz w:val="14"/>
        </w:rPr>
        <w:t>of</w:t>
      </w:r>
      <w:r>
        <w:rPr>
          <w:rFonts w:ascii="TT Norms Pro Light"/>
          <w:b w:val="0"/>
          <w:spacing w:val="8"/>
          <w:sz w:val="14"/>
        </w:rPr>
        <w:t> </w:t>
      </w:r>
      <w:r>
        <w:rPr>
          <w:rFonts w:ascii="TT Norms Pro Light"/>
          <w:b w:val="0"/>
          <w:spacing w:val="-4"/>
          <w:sz w:val="14"/>
        </w:rPr>
        <w:t>Arts</w:t>
      </w:r>
    </w:p>
    <w:p>
      <w:pPr>
        <w:pStyle w:val="BodyText"/>
        <w:spacing w:before="72"/>
        <w:rPr>
          <w:b w:val="0"/>
          <w:sz w:val="14"/>
        </w:rPr>
      </w:pPr>
    </w:p>
    <w:p>
      <w:pPr>
        <w:spacing w:before="0"/>
        <w:ind w:left="822" w:right="0" w:firstLine="0"/>
        <w:jc w:val="left"/>
        <w:rPr>
          <w:rFonts w:ascii="TT Norms Pro Medium"/>
          <w:b/>
          <w:sz w:val="14"/>
        </w:rPr>
      </w:pPr>
      <w:r>
        <w:rPr>
          <w:rFonts w:ascii="TT Norms Pro Medium"/>
          <w:b/>
          <w:spacing w:val="-4"/>
          <w:sz w:val="14"/>
        </w:rPr>
        <w:t>Nathan</w:t>
      </w:r>
      <w:r>
        <w:rPr>
          <w:rFonts w:ascii="TT Norms Pro Medium"/>
          <w:b/>
          <w:spacing w:val="4"/>
          <w:sz w:val="14"/>
        </w:rPr>
        <w:t> </w:t>
      </w:r>
      <w:r>
        <w:rPr>
          <w:rFonts w:ascii="TT Norms Pro Medium"/>
          <w:b/>
          <w:spacing w:val="-2"/>
          <w:sz w:val="14"/>
        </w:rPr>
        <w:t>Townshend</w:t>
      </w:r>
    </w:p>
    <w:p>
      <w:pPr>
        <w:spacing w:before="36"/>
        <w:ind w:left="822" w:right="0" w:firstLine="0"/>
        <w:jc w:val="left"/>
        <w:rPr>
          <w:rFonts w:ascii="TT Norms Pro Light"/>
          <w:b w:val="0"/>
          <w:sz w:val="14"/>
        </w:rPr>
      </w:pPr>
      <w:r>
        <w:rPr>
          <w:rFonts w:ascii="TT Norms Pro Light"/>
          <w:b w:val="0"/>
          <w:sz w:val="14"/>
        </w:rPr>
        <w:t>Bachelor</w:t>
      </w:r>
      <w:r>
        <w:rPr>
          <w:rFonts w:ascii="TT Norms Pro Light"/>
          <w:b w:val="0"/>
          <w:spacing w:val="7"/>
          <w:sz w:val="14"/>
        </w:rPr>
        <w:t> </w:t>
      </w:r>
      <w:r>
        <w:rPr>
          <w:rFonts w:ascii="TT Norms Pro Light"/>
          <w:b w:val="0"/>
          <w:sz w:val="14"/>
        </w:rPr>
        <w:t>of</w:t>
      </w:r>
      <w:r>
        <w:rPr>
          <w:rFonts w:ascii="TT Norms Pro Light"/>
          <w:b w:val="0"/>
          <w:spacing w:val="8"/>
          <w:sz w:val="14"/>
        </w:rPr>
        <w:t> </w:t>
      </w:r>
      <w:r>
        <w:rPr>
          <w:rFonts w:ascii="TT Norms Pro Light"/>
          <w:b w:val="0"/>
          <w:spacing w:val="-2"/>
          <w:sz w:val="14"/>
        </w:rPr>
        <w:t>Philosophy</w:t>
      </w:r>
    </w:p>
    <w:p>
      <w:pPr>
        <w:pStyle w:val="BodyText"/>
        <w:spacing w:before="73"/>
        <w:rPr>
          <w:b w:val="0"/>
          <w:sz w:val="14"/>
        </w:rPr>
      </w:pPr>
    </w:p>
    <w:p>
      <w:pPr>
        <w:spacing w:before="0"/>
        <w:ind w:left="822" w:right="0" w:firstLine="0"/>
        <w:jc w:val="left"/>
        <w:rPr>
          <w:rFonts w:ascii="TT Norms Pro Medium"/>
          <w:b/>
          <w:sz w:val="14"/>
        </w:rPr>
      </w:pPr>
      <w:r>
        <w:rPr>
          <w:rFonts w:ascii="TT Norms Pro Medium"/>
          <w:b/>
          <w:spacing w:val="-2"/>
          <w:sz w:val="14"/>
        </w:rPr>
        <w:t>Joshua</w:t>
      </w:r>
      <w:r>
        <w:rPr>
          <w:rFonts w:ascii="TT Norms Pro Medium"/>
          <w:b/>
          <w:spacing w:val="-5"/>
          <w:sz w:val="14"/>
        </w:rPr>
        <w:t> </w:t>
      </w:r>
      <w:r>
        <w:rPr>
          <w:rFonts w:ascii="TT Norms Pro Medium"/>
          <w:b/>
          <w:spacing w:val="-4"/>
          <w:sz w:val="14"/>
        </w:rPr>
        <w:t>Troy</w:t>
      </w:r>
    </w:p>
    <w:p>
      <w:pPr>
        <w:spacing w:before="36"/>
        <w:ind w:left="822" w:right="0" w:firstLine="0"/>
        <w:jc w:val="left"/>
        <w:rPr>
          <w:rFonts w:ascii="TT Norms Pro Light"/>
          <w:b w:val="0"/>
          <w:sz w:val="14"/>
        </w:rPr>
      </w:pPr>
      <w:r>
        <w:rPr>
          <w:rFonts w:ascii="TT Norms Pro Light"/>
          <w:b w:val="0"/>
          <w:sz w:val="14"/>
        </w:rPr>
        <w:t>Bachelor</w:t>
      </w:r>
      <w:r>
        <w:rPr>
          <w:rFonts w:ascii="TT Norms Pro Light"/>
          <w:b w:val="0"/>
          <w:spacing w:val="7"/>
          <w:sz w:val="14"/>
        </w:rPr>
        <w:t> </w:t>
      </w:r>
      <w:r>
        <w:rPr>
          <w:rFonts w:ascii="TT Norms Pro Light"/>
          <w:b w:val="0"/>
          <w:sz w:val="14"/>
        </w:rPr>
        <w:t>of</w:t>
      </w:r>
      <w:r>
        <w:rPr>
          <w:rFonts w:ascii="TT Norms Pro Light"/>
          <w:b w:val="0"/>
          <w:spacing w:val="8"/>
          <w:sz w:val="14"/>
        </w:rPr>
        <w:t> </w:t>
      </w:r>
      <w:r>
        <w:rPr>
          <w:rFonts w:ascii="TT Norms Pro Light"/>
          <w:b w:val="0"/>
          <w:spacing w:val="-2"/>
          <w:sz w:val="14"/>
        </w:rPr>
        <w:t>Philosophy</w:t>
      </w:r>
    </w:p>
    <w:p>
      <w:pPr>
        <w:pStyle w:val="BodyText"/>
        <w:spacing w:before="93"/>
        <w:rPr>
          <w:b w:val="0"/>
          <w:sz w:val="14"/>
        </w:rPr>
      </w:pPr>
    </w:p>
    <w:p>
      <w:pPr>
        <w:spacing w:before="0"/>
        <w:ind w:left="538" w:right="0" w:firstLine="0"/>
        <w:jc w:val="left"/>
        <w:rPr>
          <w:rFonts w:ascii="TT Norms Pro Light"/>
          <w:b w:val="0"/>
          <w:sz w:val="16"/>
        </w:rPr>
      </w:pPr>
      <w:r>
        <w:rPr>
          <w:rFonts w:ascii="TT Norms Pro Light"/>
          <w:b w:val="0"/>
          <w:sz w:val="16"/>
        </w:rPr>
        <w:t>UWA</w:t>
      </w:r>
      <w:r>
        <w:rPr>
          <w:rFonts w:ascii="TT Norms Pro Light"/>
          <w:b w:val="0"/>
          <w:spacing w:val="4"/>
          <w:sz w:val="16"/>
        </w:rPr>
        <w:t> </w:t>
      </w:r>
      <w:r>
        <w:rPr>
          <w:rFonts w:ascii="TT Norms Pro Light"/>
          <w:b w:val="0"/>
          <w:sz w:val="16"/>
        </w:rPr>
        <w:t>WINTHROP</w:t>
      </w:r>
      <w:r>
        <w:rPr>
          <w:rFonts w:ascii="TT Norms Pro Light"/>
          <w:b w:val="0"/>
          <w:spacing w:val="5"/>
          <w:sz w:val="16"/>
        </w:rPr>
        <w:t> </w:t>
      </w:r>
      <w:r>
        <w:rPr>
          <w:rFonts w:ascii="TT Norms Pro Light"/>
          <w:b w:val="0"/>
          <w:spacing w:val="-2"/>
          <w:sz w:val="16"/>
        </w:rPr>
        <w:t>SCHOLARSHIP</w:t>
      </w:r>
    </w:p>
    <w:p>
      <w:pPr>
        <w:pStyle w:val="BodyText"/>
        <w:spacing w:before="15"/>
        <w:rPr>
          <w:b w:val="0"/>
          <w:sz w:val="16"/>
        </w:rPr>
      </w:pPr>
    </w:p>
    <w:p>
      <w:pPr>
        <w:spacing w:before="0"/>
        <w:ind w:left="822" w:right="0" w:firstLine="0"/>
        <w:jc w:val="left"/>
        <w:rPr>
          <w:rFonts w:ascii="TT Norms Pro Medium"/>
          <w:b/>
          <w:sz w:val="14"/>
        </w:rPr>
      </w:pPr>
      <w:r>
        <w:rPr>
          <w:rFonts w:ascii="TT Norms Pro Medium"/>
          <w:b/>
          <w:spacing w:val="-4"/>
          <w:sz w:val="14"/>
        </w:rPr>
        <w:t>Amy</w:t>
      </w:r>
      <w:r>
        <w:rPr>
          <w:rFonts w:ascii="TT Norms Pro Medium"/>
          <w:b/>
          <w:spacing w:val="-2"/>
          <w:sz w:val="14"/>
        </w:rPr>
        <w:t> Ahearn</w:t>
      </w:r>
    </w:p>
    <w:p>
      <w:pPr>
        <w:spacing w:before="36"/>
        <w:ind w:left="822" w:right="0" w:firstLine="0"/>
        <w:jc w:val="left"/>
        <w:rPr>
          <w:rFonts w:ascii="TT Norms Pro Light"/>
          <w:b w:val="0"/>
          <w:sz w:val="14"/>
        </w:rPr>
      </w:pPr>
      <w:r>
        <w:rPr>
          <w:rFonts w:ascii="TT Norms Pro Light"/>
          <w:b w:val="0"/>
          <w:sz w:val="14"/>
        </w:rPr>
        <w:t>Bachelor</w:t>
      </w:r>
      <w:r>
        <w:rPr>
          <w:rFonts w:ascii="TT Norms Pro Light"/>
          <w:b w:val="0"/>
          <w:spacing w:val="12"/>
          <w:sz w:val="14"/>
        </w:rPr>
        <w:t> </w:t>
      </w:r>
      <w:r>
        <w:rPr>
          <w:rFonts w:ascii="TT Norms Pro Light"/>
          <w:b w:val="0"/>
          <w:sz w:val="14"/>
        </w:rPr>
        <w:t>of</w:t>
      </w:r>
      <w:r>
        <w:rPr>
          <w:rFonts w:ascii="TT Norms Pro Light"/>
          <w:b w:val="0"/>
          <w:spacing w:val="12"/>
          <w:sz w:val="14"/>
        </w:rPr>
        <w:t> </w:t>
      </w:r>
      <w:r>
        <w:rPr>
          <w:rFonts w:ascii="TT Norms Pro Light"/>
          <w:b w:val="0"/>
          <w:sz w:val="14"/>
        </w:rPr>
        <w:t>Biomedical</w:t>
      </w:r>
      <w:r>
        <w:rPr>
          <w:rFonts w:ascii="TT Norms Pro Light"/>
          <w:b w:val="0"/>
          <w:spacing w:val="12"/>
          <w:sz w:val="14"/>
        </w:rPr>
        <w:t> </w:t>
      </w:r>
      <w:r>
        <w:rPr>
          <w:rFonts w:ascii="TT Norms Pro Light"/>
          <w:b w:val="0"/>
          <w:spacing w:val="-2"/>
          <w:sz w:val="14"/>
        </w:rPr>
        <w:t>Science</w:t>
      </w:r>
    </w:p>
    <w:p>
      <w:pPr>
        <w:pStyle w:val="BodyText"/>
        <w:spacing w:before="72"/>
        <w:rPr>
          <w:b w:val="0"/>
          <w:sz w:val="14"/>
        </w:rPr>
      </w:pPr>
    </w:p>
    <w:p>
      <w:pPr>
        <w:spacing w:before="0"/>
        <w:ind w:left="822" w:right="0" w:firstLine="0"/>
        <w:jc w:val="left"/>
        <w:rPr>
          <w:rFonts w:ascii="TT Norms Pro Medium"/>
          <w:b/>
          <w:sz w:val="14"/>
        </w:rPr>
      </w:pPr>
      <w:r>
        <w:rPr>
          <w:rFonts w:ascii="TT Norms Pro Medium"/>
          <w:b/>
          <w:spacing w:val="-4"/>
          <w:sz w:val="14"/>
        </w:rPr>
        <w:t>Jahin</w:t>
      </w:r>
      <w:r>
        <w:rPr>
          <w:rFonts w:ascii="TT Norms Pro Medium"/>
          <w:b/>
          <w:spacing w:val="2"/>
          <w:sz w:val="14"/>
        </w:rPr>
        <w:t> </w:t>
      </w:r>
      <w:r>
        <w:rPr>
          <w:rFonts w:ascii="TT Norms Pro Medium"/>
          <w:b/>
          <w:spacing w:val="-2"/>
          <w:sz w:val="14"/>
        </w:rPr>
        <w:t>Anwar</w:t>
      </w:r>
    </w:p>
    <w:p>
      <w:pPr>
        <w:spacing w:before="37"/>
        <w:ind w:left="822" w:right="0" w:firstLine="0"/>
        <w:jc w:val="left"/>
        <w:rPr>
          <w:rFonts w:ascii="TT Norms Pro Light"/>
          <w:b w:val="0"/>
          <w:sz w:val="14"/>
        </w:rPr>
      </w:pPr>
      <w:r>
        <w:rPr>
          <w:rFonts w:ascii="TT Norms Pro Light"/>
          <w:b w:val="0"/>
          <w:sz w:val="14"/>
        </w:rPr>
        <w:t>Bachelor</w:t>
      </w:r>
      <w:r>
        <w:rPr>
          <w:rFonts w:ascii="TT Norms Pro Light"/>
          <w:b w:val="0"/>
          <w:spacing w:val="12"/>
          <w:sz w:val="14"/>
        </w:rPr>
        <w:t> </w:t>
      </w:r>
      <w:r>
        <w:rPr>
          <w:rFonts w:ascii="TT Norms Pro Light"/>
          <w:b w:val="0"/>
          <w:sz w:val="14"/>
        </w:rPr>
        <w:t>of</w:t>
      </w:r>
      <w:r>
        <w:rPr>
          <w:rFonts w:ascii="TT Norms Pro Light"/>
          <w:b w:val="0"/>
          <w:spacing w:val="12"/>
          <w:sz w:val="14"/>
        </w:rPr>
        <w:t> </w:t>
      </w:r>
      <w:r>
        <w:rPr>
          <w:rFonts w:ascii="TT Norms Pro Light"/>
          <w:b w:val="0"/>
          <w:sz w:val="14"/>
        </w:rPr>
        <w:t>Biomedical</w:t>
      </w:r>
      <w:r>
        <w:rPr>
          <w:rFonts w:ascii="TT Norms Pro Light"/>
          <w:b w:val="0"/>
          <w:spacing w:val="12"/>
          <w:sz w:val="14"/>
        </w:rPr>
        <w:t> </w:t>
      </w:r>
      <w:r>
        <w:rPr>
          <w:rFonts w:ascii="TT Norms Pro Light"/>
          <w:b w:val="0"/>
          <w:spacing w:val="-2"/>
          <w:sz w:val="14"/>
        </w:rPr>
        <w:t>Science</w:t>
      </w:r>
    </w:p>
    <w:p>
      <w:pPr>
        <w:pStyle w:val="BodyText"/>
        <w:spacing w:before="72"/>
        <w:rPr>
          <w:b w:val="0"/>
          <w:sz w:val="14"/>
        </w:rPr>
      </w:pPr>
    </w:p>
    <w:p>
      <w:pPr>
        <w:spacing w:before="0"/>
        <w:ind w:left="822" w:right="0" w:firstLine="0"/>
        <w:jc w:val="left"/>
        <w:rPr>
          <w:rFonts w:ascii="TT Norms Pro Medium"/>
          <w:b/>
          <w:sz w:val="14"/>
        </w:rPr>
      </w:pPr>
      <w:r>
        <w:rPr>
          <w:rFonts w:ascii="TT Norms Pro Medium"/>
          <w:b/>
          <w:spacing w:val="-4"/>
          <w:sz w:val="14"/>
        </w:rPr>
        <w:t>Nicole</w:t>
      </w:r>
      <w:r>
        <w:rPr>
          <w:rFonts w:ascii="TT Norms Pro Medium"/>
          <w:b/>
          <w:spacing w:val="3"/>
          <w:sz w:val="14"/>
        </w:rPr>
        <w:t> </w:t>
      </w:r>
      <w:r>
        <w:rPr>
          <w:rFonts w:ascii="TT Norms Pro Medium"/>
          <w:b/>
          <w:spacing w:val="-2"/>
          <w:sz w:val="14"/>
        </w:rPr>
        <w:t>Carter</w:t>
      </w:r>
    </w:p>
    <w:p>
      <w:pPr>
        <w:spacing w:before="36"/>
        <w:ind w:left="822" w:right="0" w:firstLine="0"/>
        <w:jc w:val="left"/>
        <w:rPr>
          <w:rFonts w:ascii="TT Norms Pro Light"/>
          <w:b w:val="0"/>
          <w:sz w:val="14"/>
        </w:rPr>
      </w:pPr>
      <w:r>
        <w:rPr>
          <w:rFonts w:ascii="TT Norms Pro Light"/>
          <w:b w:val="0"/>
          <w:sz w:val="14"/>
        </w:rPr>
        <w:t>Bachelor</w:t>
      </w:r>
      <w:r>
        <w:rPr>
          <w:rFonts w:ascii="TT Norms Pro Light"/>
          <w:b w:val="0"/>
          <w:spacing w:val="12"/>
          <w:sz w:val="14"/>
        </w:rPr>
        <w:t> </w:t>
      </w:r>
      <w:r>
        <w:rPr>
          <w:rFonts w:ascii="TT Norms Pro Light"/>
          <w:b w:val="0"/>
          <w:sz w:val="14"/>
        </w:rPr>
        <w:t>of</w:t>
      </w:r>
      <w:r>
        <w:rPr>
          <w:rFonts w:ascii="TT Norms Pro Light"/>
          <w:b w:val="0"/>
          <w:spacing w:val="12"/>
          <w:sz w:val="14"/>
        </w:rPr>
        <w:t> </w:t>
      </w:r>
      <w:r>
        <w:rPr>
          <w:rFonts w:ascii="TT Norms Pro Light"/>
          <w:b w:val="0"/>
          <w:sz w:val="14"/>
        </w:rPr>
        <w:t>Biomedical</w:t>
      </w:r>
      <w:r>
        <w:rPr>
          <w:rFonts w:ascii="TT Norms Pro Light"/>
          <w:b w:val="0"/>
          <w:spacing w:val="12"/>
          <w:sz w:val="14"/>
        </w:rPr>
        <w:t> </w:t>
      </w:r>
      <w:r>
        <w:rPr>
          <w:rFonts w:ascii="TT Norms Pro Light"/>
          <w:b w:val="0"/>
          <w:spacing w:val="-2"/>
          <w:sz w:val="14"/>
        </w:rPr>
        <w:t>Science</w:t>
      </w:r>
    </w:p>
    <w:p>
      <w:pPr>
        <w:pStyle w:val="BodyText"/>
        <w:spacing w:before="73"/>
        <w:rPr>
          <w:b w:val="0"/>
          <w:sz w:val="14"/>
        </w:rPr>
      </w:pPr>
    </w:p>
    <w:p>
      <w:pPr>
        <w:spacing w:before="0"/>
        <w:ind w:left="822" w:right="0" w:firstLine="0"/>
        <w:jc w:val="left"/>
        <w:rPr>
          <w:rFonts w:ascii="TT Norms Pro Medium"/>
          <w:b/>
          <w:sz w:val="14"/>
        </w:rPr>
      </w:pPr>
      <w:r>
        <w:rPr>
          <w:rFonts w:ascii="TT Norms Pro Medium"/>
          <w:b/>
          <w:spacing w:val="-4"/>
          <w:sz w:val="14"/>
        </w:rPr>
        <w:t>Shevanka</w:t>
      </w:r>
      <w:r>
        <w:rPr>
          <w:rFonts w:ascii="TT Norms Pro Medium"/>
          <w:b/>
          <w:spacing w:val="9"/>
          <w:sz w:val="14"/>
        </w:rPr>
        <w:t> </w:t>
      </w:r>
      <w:r>
        <w:rPr>
          <w:rFonts w:ascii="TT Norms Pro Medium"/>
          <w:b/>
          <w:spacing w:val="-4"/>
          <w:sz w:val="14"/>
        </w:rPr>
        <w:t>Dias</w:t>
      </w:r>
    </w:p>
    <w:p>
      <w:pPr>
        <w:spacing w:before="36"/>
        <w:ind w:left="822" w:right="0" w:firstLine="0"/>
        <w:jc w:val="left"/>
        <w:rPr>
          <w:rFonts w:ascii="TT Norms Pro Light"/>
          <w:b w:val="0"/>
          <w:sz w:val="14"/>
        </w:rPr>
      </w:pPr>
      <w:r>
        <w:rPr>
          <w:rFonts w:ascii="TT Norms Pro Light"/>
          <w:b w:val="0"/>
          <w:sz w:val="14"/>
        </w:rPr>
        <w:t>Bachelor</w:t>
      </w:r>
      <w:r>
        <w:rPr>
          <w:rFonts w:ascii="TT Norms Pro Light"/>
          <w:b w:val="0"/>
          <w:spacing w:val="12"/>
          <w:sz w:val="14"/>
        </w:rPr>
        <w:t> </w:t>
      </w:r>
      <w:r>
        <w:rPr>
          <w:rFonts w:ascii="TT Norms Pro Light"/>
          <w:b w:val="0"/>
          <w:sz w:val="14"/>
        </w:rPr>
        <w:t>of</w:t>
      </w:r>
      <w:r>
        <w:rPr>
          <w:rFonts w:ascii="TT Norms Pro Light"/>
          <w:b w:val="0"/>
          <w:spacing w:val="12"/>
          <w:sz w:val="14"/>
        </w:rPr>
        <w:t> </w:t>
      </w:r>
      <w:r>
        <w:rPr>
          <w:rFonts w:ascii="TT Norms Pro Light"/>
          <w:b w:val="0"/>
          <w:sz w:val="14"/>
        </w:rPr>
        <w:t>Biomedical</w:t>
      </w:r>
      <w:r>
        <w:rPr>
          <w:rFonts w:ascii="TT Norms Pro Light"/>
          <w:b w:val="0"/>
          <w:spacing w:val="12"/>
          <w:sz w:val="14"/>
        </w:rPr>
        <w:t> </w:t>
      </w:r>
      <w:r>
        <w:rPr>
          <w:rFonts w:ascii="TT Norms Pro Light"/>
          <w:b w:val="0"/>
          <w:spacing w:val="-2"/>
          <w:sz w:val="14"/>
        </w:rPr>
        <w:t>Science</w:t>
      </w:r>
    </w:p>
    <w:p>
      <w:pPr>
        <w:pStyle w:val="BodyText"/>
        <w:spacing w:before="72"/>
        <w:rPr>
          <w:b w:val="0"/>
          <w:sz w:val="14"/>
        </w:rPr>
      </w:pPr>
    </w:p>
    <w:p>
      <w:pPr>
        <w:spacing w:before="0"/>
        <w:ind w:left="822" w:right="0" w:firstLine="0"/>
        <w:jc w:val="left"/>
        <w:rPr>
          <w:rFonts w:ascii="TT Norms Pro Medium"/>
          <w:b/>
          <w:sz w:val="14"/>
        </w:rPr>
      </w:pPr>
      <w:r>
        <w:rPr>
          <w:rFonts w:ascii="TT Norms Pro Medium"/>
          <w:b/>
          <w:spacing w:val="-2"/>
          <w:sz w:val="14"/>
        </w:rPr>
        <w:t>Deepak</w:t>
      </w:r>
      <w:r>
        <w:rPr>
          <w:rFonts w:ascii="TT Norms Pro Medium"/>
          <w:b/>
          <w:spacing w:val="-5"/>
          <w:sz w:val="14"/>
        </w:rPr>
        <w:t> </w:t>
      </w:r>
      <w:r>
        <w:rPr>
          <w:rFonts w:ascii="TT Norms Pro Medium"/>
          <w:b/>
          <w:spacing w:val="-2"/>
          <w:sz w:val="14"/>
        </w:rPr>
        <w:t>Jeyarajan</w:t>
      </w:r>
    </w:p>
    <w:p>
      <w:pPr>
        <w:spacing w:before="37"/>
        <w:ind w:left="822" w:right="0" w:firstLine="0"/>
        <w:jc w:val="left"/>
        <w:rPr>
          <w:rFonts w:ascii="TT Norms Pro Light"/>
          <w:b w:val="0"/>
          <w:sz w:val="14"/>
        </w:rPr>
      </w:pPr>
      <w:r>
        <w:rPr>
          <w:rFonts w:ascii="TT Norms Pro Light"/>
          <w:b w:val="0"/>
          <w:sz w:val="14"/>
        </w:rPr>
        <w:t>Bachelor</w:t>
      </w:r>
      <w:r>
        <w:rPr>
          <w:rFonts w:ascii="TT Norms Pro Light"/>
          <w:b w:val="0"/>
          <w:spacing w:val="12"/>
          <w:sz w:val="14"/>
        </w:rPr>
        <w:t> </w:t>
      </w:r>
      <w:r>
        <w:rPr>
          <w:rFonts w:ascii="TT Norms Pro Light"/>
          <w:b w:val="0"/>
          <w:sz w:val="14"/>
        </w:rPr>
        <w:t>of</w:t>
      </w:r>
      <w:r>
        <w:rPr>
          <w:rFonts w:ascii="TT Norms Pro Light"/>
          <w:b w:val="0"/>
          <w:spacing w:val="12"/>
          <w:sz w:val="14"/>
        </w:rPr>
        <w:t> </w:t>
      </w:r>
      <w:r>
        <w:rPr>
          <w:rFonts w:ascii="TT Norms Pro Light"/>
          <w:b w:val="0"/>
          <w:sz w:val="14"/>
        </w:rPr>
        <w:t>Biomedical</w:t>
      </w:r>
      <w:r>
        <w:rPr>
          <w:rFonts w:ascii="TT Norms Pro Light"/>
          <w:b w:val="0"/>
          <w:spacing w:val="12"/>
          <w:sz w:val="14"/>
        </w:rPr>
        <w:t> </w:t>
      </w:r>
      <w:r>
        <w:rPr>
          <w:rFonts w:ascii="TT Norms Pro Light"/>
          <w:b w:val="0"/>
          <w:spacing w:val="-2"/>
          <w:sz w:val="14"/>
        </w:rPr>
        <w:t>Science</w:t>
      </w:r>
    </w:p>
    <w:p>
      <w:pPr>
        <w:pStyle w:val="BodyText"/>
        <w:spacing w:before="72"/>
        <w:rPr>
          <w:b w:val="0"/>
          <w:sz w:val="14"/>
        </w:rPr>
      </w:pPr>
    </w:p>
    <w:p>
      <w:pPr>
        <w:spacing w:before="0"/>
        <w:ind w:left="822" w:right="0" w:firstLine="0"/>
        <w:jc w:val="left"/>
        <w:rPr>
          <w:rFonts w:ascii="TT Norms Pro Medium"/>
          <w:b/>
          <w:sz w:val="14"/>
        </w:rPr>
      </w:pPr>
      <w:r>
        <w:rPr>
          <w:rFonts w:ascii="TT Norms Pro Medium"/>
          <w:b/>
          <w:sz w:val="14"/>
        </w:rPr>
        <w:t>Sineng</w:t>
      </w:r>
      <w:r>
        <w:rPr>
          <w:rFonts w:ascii="TT Norms Pro Medium"/>
          <w:b/>
          <w:spacing w:val="12"/>
          <w:sz w:val="14"/>
        </w:rPr>
        <w:t> </w:t>
      </w:r>
      <w:r>
        <w:rPr>
          <w:rFonts w:ascii="TT Norms Pro Medium"/>
          <w:b/>
          <w:spacing w:val="-4"/>
          <w:sz w:val="14"/>
        </w:rPr>
        <w:t>Jiang</w:t>
      </w:r>
    </w:p>
    <w:p>
      <w:pPr>
        <w:spacing w:before="36"/>
        <w:ind w:left="822" w:right="0" w:firstLine="0"/>
        <w:jc w:val="left"/>
        <w:rPr>
          <w:rFonts w:ascii="TT Norms Pro Light"/>
          <w:b w:val="0"/>
          <w:sz w:val="14"/>
        </w:rPr>
      </w:pPr>
      <w:r>
        <w:rPr>
          <w:rFonts w:ascii="TT Norms Pro Light"/>
          <w:b w:val="0"/>
          <w:sz w:val="14"/>
        </w:rPr>
        <w:t>Bachelor</w:t>
      </w:r>
      <w:r>
        <w:rPr>
          <w:rFonts w:ascii="TT Norms Pro Light"/>
          <w:b w:val="0"/>
          <w:spacing w:val="12"/>
          <w:sz w:val="14"/>
        </w:rPr>
        <w:t> </w:t>
      </w:r>
      <w:r>
        <w:rPr>
          <w:rFonts w:ascii="TT Norms Pro Light"/>
          <w:b w:val="0"/>
          <w:sz w:val="14"/>
        </w:rPr>
        <w:t>of</w:t>
      </w:r>
      <w:r>
        <w:rPr>
          <w:rFonts w:ascii="TT Norms Pro Light"/>
          <w:b w:val="0"/>
          <w:spacing w:val="12"/>
          <w:sz w:val="14"/>
        </w:rPr>
        <w:t> </w:t>
      </w:r>
      <w:r>
        <w:rPr>
          <w:rFonts w:ascii="TT Norms Pro Light"/>
          <w:b w:val="0"/>
          <w:sz w:val="14"/>
        </w:rPr>
        <w:t>Biomedical</w:t>
      </w:r>
      <w:r>
        <w:rPr>
          <w:rFonts w:ascii="TT Norms Pro Light"/>
          <w:b w:val="0"/>
          <w:spacing w:val="12"/>
          <w:sz w:val="14"/>
        </w:rPr>
        <w:t> </w:t>
      </w:r>
      <w:r>
        <w:rPr>
          <w:rFonts w:ascii="TT Norms Pro Light"/>
          <w:b w:val="0"/>
          <w:spacing w:val="-2"/>
          <w:sz w:val="14"/>
        </w:rPr>
        <w:t>Science</w:t>
      </w:r>
    </w:p>
    <w:p>
      <w:pPr>
        <w:pStyle w:val="BodyText"/>
        <w:spacing w:before="73"/>
        <w:rPr>
          <w:b w:val="0"/>
          <w:sz w:val="14"/>
        </w:rPr>
      </w:pPr>
    </w:p>
    <w:p>
      <w:pPr>
        <w:spacing w:before="0"/>
        <w:ind w:left="822" w:right="0" w:firstLine="0"/>
        <w:jc w:val="left"/>
        <w:rPr>
          <w:rFonts w:ascii="TT Norms Pro Medium"/>
          <w:b/>
          <w:sz w:val="14"/>
        </w:rPr>
      </w:pPr>
      <w:r>
        <w:rPr>
          <w:rFonts w:ascii="TT Norms Pro Medium"/>
          <w:b/>
          <w:w w:val="90"/>
          <w:sz w:val="14"/>
        </w:rPr>
        <w:t>Tristan</w:t>
      </w:r>
      <w:r>
        <w:rPr>
          <w:rFonts w:ascii="TT Norms Pro Medium"/>
          <w:b/>
          <w:spacing w:val="18"/>
          <w:sz w:val="14"/>
        </w:rPr>
        <w:t> </w:t>
      </w:r>
      <w:r>
        <w:rPr>
          <w:rFonts w:ascii="TT Norms Pro Medium"/>
          <w:b/>
          <w:spacing w:val="-5"/>
          <w:w w:val="95"/>
          <w:sz w:val="14"/>
        </w:rPr>
        <w:t>Le</w:t>
      </w:r>
    </w:p>
    <w:p>
      <w:pPr>
        <w:spacing w:before="36"/>
        <w:ind w:left="822" w:right="0" w:firstLine="0"/>
        <w:jc w:val="left"/>
        <w:rPr>
          <w:rFonts w:ascii="TT Norms Pro Light"/>
          <w:b w:val="0"/>
          <w:sz w:val="14"/>
        </w:rPr>
      </w:pPr>
      <w:r>
        <w:rPr>
          <w:rFonts w:ascii="TT Norms Pro Light"/>
          <w:b w:val="0"/>
          <w:sz w:val="14"/>
        </w:rPr>
        <w:t>Bachelor</w:t>
      </w:r>
      <w:r>
        <w:rPr>
          <w:rFonts w:ascii="TT Norms Pro Light"/>
          <w:b w:val="0"/>
          <w:spacing w:val="12"/>
          <w:sz w:val="14"/>
        </w:rPr>
        <w:t> </w:t>
      </w:r>
      <w:r>
        <w:rPr>
          <w:rFonts w:ascii="TT Norms Pro Light"/>
          <w:b w:val="0"/>
          <w:sz w:val="14"/>
        </w:rPr>
        <w:t>of</w:t>
      </w:r>
      <w:r>
        <w:rPr>
          <w:rFonts w:ascii="TT Norms Pro Light"/>
          <w:b w:val="0"/>
          <w:spacing w:val="12"/>
          <w:sz w:val="14"/>
        </w:rPr>
        <w:t> </w:t>
      </w:r>
      <w:r>
        <w:rPr>
          <w:rFonts w:ascii="TT Norms Pro Light"/>
          <w:b w:val="0"/>
          <w:sz w:val="14"/>
        </w:rPr>
        <w:t>Biomedical</w:t>
      </w:r>
      <w:r>
        <w:rPr>
          <w:rFonts w:ascii="TT Norms Pro Light"/>
          <w:b w:val="0"/>
          <w:spacing w:val="12"/>
          <w:sz w:val="14"/>
        </w:rPr>
        <w:t> </w:t>
      </w:r>
      <w:r>
        <w:rPr>
          <w:rFonts w:ascii="TT Norms Pro Light"/>
          <w:b w:val="0"/>
          <w:spacing w:val="-2"/>
          <w:sz w:val="14"/>
        </w:rPr>
        <w:t>Science</w:t>
      </w:r>
    </w:p>
    <w:p>
      <w:pPr>
        <w:pStyle w:val="BodyText"/>
        <w:spacing w:before="72"/>
        <w:rPr>
          <w:b w:val="0"/>
          <w:sz w:val="14"/>
        </w:rPr>
      </w:pPr>
    </w:p>
    <w:p>
      <w:pPr>
        <w:spacing w:before="0"/>
        <w:ind w:left="822" w:right="0" w:firstLine="0"/>
        <w:jc w:val="left"/>
        <w:rPr>
          <w:rFonts w:ascii="TT Norms Pro Medium"/>
          <w:b/>
          <w:sz w:val="14"/>
        </w:rPr>
      </w:pPr>
      <w:r>
        <w:rPr>
          <w:rFonts w:ascii="TT Norms Pro Medium"/>
          <w:b/>
          <w:spacing w:val="-5"/>
          <w:sz w:val="14"/>
        </w:rPr>
        <w:t>Tyler</w:t>
      </w:r>
      <w:r>
        <w:rPr>
          <w:rFonts w:ascii="TT Norms Pro Medium"/>
          <w:b/>
          <w:sz w:val="14"/>
        </w:rPr>
        <w:t> </w:t>
      </w:r>
      <w:r>
        <w:rPr>
          <w:rFonts w:ascii="TT Norms Pro Medium"/>
          <w:b/>
          <w:spacing w:val="-2"/>
          <w:sz w:val="14"/>
        </w:rPr>
        <w:t>Marlow</w:t>
      </w:r>
    </w:p>
    <w:p>
      <w:pPr>
        <w:spacing w:before="37"/>
        <w:ind w:left="822" w:right="0" w:firstLine="0"/>
        <w:jc w:val="left"/>
        <w:rPr>
          <w:rFonts w:ascii="TT Norms Pro Light"/>
          <w:b w:val="0"/>
          <w:sz w:val="14"/>
        </w:rPr>
      </w:pPr>
      <w:r>
        <w:rPr>
          <w:rFonts w:ascii="TT Norms Pro Light"/>
          <w:b w:val="0"/>
          <w:sz w:val="14"/>
        </w:rPr>
        <w:t>Bachelor</w:t>
      </w:r>
      <w:r>
        <w:rPr>
          <w:rFonts w:ascii="TT Norms Pro Light"/>
          <w:b w:val="0"/>
          <w:spacing w:val="12"/>
          <w:sz w:val="14"/>
        </w:rPr>
        <w:t> </w:t>
      </w:r>
      <w:r>
        <w:rPr>
          <w:rFonts w:ascii="TT Norms Pro Light"/>
          <w:b w:val="0"/>
          <w:sz w:val="14"/>
        </w:rPr>
        <w:t>of</w:t>
      </w:r>
      <w:r>
        <w:rPr>
          <w:rFonts w:ascii="TT Norms Pro Light"/>
          <w:b w:val="0"/>
          <w:spacing w:val="12"/>
          <w:sz w:val="14"/>
        </w:rPr>
        <w:t> </w:t>
      </w:r>
      <w:r>
        <w:rPr>
          <w:rFonts w:ascii="TT Norms Pro Light"/>
          <w:b w:val="0"/>
          <w:sz w:val="14"/>
        </w:rPr>
        <w:t>Biomedical</w:t>
      </w:r>
      <w:r>
        <w:rPr>
          <w:rFonts w:ascii="TT Norms Pro Light"/>
          <w:b w:val="0"/>
          <w:spacing w:val="12"/>
          <w:sz w:val="14"/>
        </w:rPr>
        <w:t> </w:t>
      </w:r>
      <w:r>
        <w:rPr>
          <w:rFonts w:ascii="TT Norms Pro Light"/>
          <w:b w:val="0"/>
          <w:spacing w:val="-2"/>
          <w:sz w:val="14"/>
        </w:rPr>
        <w:t>Science</w:t>
      </w:r>
    </w:p>
    <w:p>
      <w:pPr>
        <w:pStyle w:val="BodyText"/>
        <w:spacing w:before="72"/>
        <w:rPr>
          <w:b w:val="0"/>
          <w:sz w:val="14"/>
        </w:rPr>
      </w:pPr>
    </w:p>
    <w:p>
      <w:pPr>
        <w:spacing w:before="0"/>
        <w:ind w:left="822" w:right="0" w:firstLine="0"/>
        <w:jc w:val="left"/>
        <w:rPr>
          <w:rFonts w:ascii="TT Norms Pro Medium"/>
          <w:b/>
          <w:sz w:val="14"/>
        </w:rPr>
      </w:pPr>
      <w:r>
        <w:rPr>
          <w:rFonts w:ascii="TT Norms Pro Medium"/>
          <w:b/>
          <w:spacing w:val="-2"/>
          <w:sz w:val="14"/>
        </w:rPr>
        <w:t>Char</w:t>
      </w:r>
      <w:r>
        <w:rPr>
          <w:rFonts w:ascii="TT Norms Pro Medium"/>
          <w:b/>
          <w:spacing w:val="-7"/>
          <w:sz w:val="14"/>
        </w:rPr>
        <w:t> Ng</w:t>
      </w:r>
    </w:p>
    <w:p>
      <w:pPr>
        <w:spacing w:before="36"/>
        <w:ind w:left="822" w:right="0" w:firstLine="0"/>
        <w:jc w:val="left"/>
        <w:rPr>
          <w:rFonts w:ascii="TT Norms Pro Light"/>
          <w:b w:val="0"/>
          <w:sz w:val="14"/>
        </w:rPr>
      </w:pPr>
      <w:r>
        <w:rPr>
          <w:rFonts w:ascii="TT Norms Pro Light"/>
          <w:b w:val="0"/>
          <w:sz w:val="14"/>
        </w:rPr>
        <w:t>Bachelor</w:t>
      </w:r>
      <w:r>
        <w:rPr>
          <w:rFonts w:ascii="TT Norms Pro Light"/>
          <w:b w:val="0"/>
          <w:spacing w:val="12"/>
          <w:sz w:val="14"/>
        </w:rPr>
        <w:t> </w:t>
      </w:r>
      <w:r>
        <w:rPr>
          <w:rFonts w:ascii="TT Norms Pro Light"/>
          <w:b w:val="0"/>
          <w:sz w:val="14"/>
        </w:rPr>
        <w:t>of</w:t>
      </w:r>
      <w:r>
        <w:rPr>
          <w:rFonts w:ascii="TT Norms Pro Light"/>
          <w:b w:val="0"/>
          <w:spacing w:val="12"/>
          <w:sz w:val="14"/>
        </w:rPr>
        <w:t> </w:t>
      </w:r>
      <w:r>
        <w:rPr>
          <w:rFonts w:ascii="TT Norms Pro Light"/>
          <w:b w:val="0"/>
          <w:sz w:val="14"/>
        </w:rPr>
        <w:t>Biomedical</w:t>
      </w:r>
      <w:r>
        <w:rPr>
          <w:rFonts w:ascii="TT Norms Pro Light"/>
          <w:b w:val="0"/>
          <w:spacing w:val="12"/>
          <w:sz w:val="14"/>
        </w:rPr>
        <w:t> </w:t>
      </w:r>
      <w:r>
        <w:rPr>
          <w:rFonts w:ascii="TT Norms Pro Light"/>
          <w:b w:val="0"/>
          <w:spacing w:val="-2"/>
          <w:sz w:val="14"/>
        </w:rPr>
        <w:t>Science</w:t>
      </w:r>
    </w:p>
    <w:p>
      <w:pPr>
        <w:pStyle w:val="BodyText"/>
        <w:spacing w:before="72"/>
        <w:rPr>
          <w:b w:val="0"/>
          <w:sz w:val="14"/>
        </w:rPr>
      </w:pPr>
    </w:p>
    <w:p>
      <w:pPr>
        <w:spacing w:before="1"/>
        <w:ind w:left="822" w:right="0" w:firstLine="0"/>
        <w:jc w:val="left"/>
        <w:rPr>
          <w:rFonts w:ascii="TT Norms Pro Medium"/>
          <w:b/>
          <w:sz w:val="14"/>
        </w:rPr>
      </w:pPr>
      <w:r>
        <w:rPr>
          <w:rFonts w:ascii="TT Norms Pro Medium"/>
          <w:b/>
          <w:spacing w:val="-2"/>
          <w:sz w:val="14"/>
        </w:rPr>
        <w:t>Bertrand</w:t>
      </w:r>
      <w:r>
        <w:rPr>
          <w:rFonts w:ascii="TT Norms Pro Medium"/>
          <w:b/>
          <w:spacing w:val="-4"/>
          <w:sz w:val="14"/>
        </w:rPr>
        <w:t> Nheu</w:t>
      </w:r>
    </w:p>
    <w:p>
      <w:pPr>
        <w:spacing w:before="36"/>
        <w:ind w:left="822" w:right="0" w:firstLine="0"/>
        <w:jc w:val="left"/>
        <w:rPr>
          <w:rFonts w:ascii="TT Norms Pro Light"/>
          <w:b w:val="0"/>
          <w:sz w:val="14"/>
        </w:rPr>
      </w:pPr>
      <w:r>
        <w:rPr>
          <w:rFonts w:ascii="TT Norms Pro Light"/>
          <w:b w:val="0"/>
          <w:sz w:val="14"/>
        </w:rPr>
        <w:t>Bachelor</w:t>
      </w:r>
      <w:r>
        <w:rPr>
          <w:rFonts w:ascii="TT Norms Pro Light"/>
          <w:b w:val="0"/>
          <w:spacing w:val="12"/>
          <w:sz w:val="14"/>
        </w:rPr>
        <w:t> </w:t>
      </w:r>
      <w:r>
        <w:rPr>
          <w:rFonts w:ascii="TT Norms Pro Light"/>
          <w:b w:val="0"/>
          <w:sz w:val="14"/>
        </w:rPr>
        <w:t>of</w:t>
      </w:r>
      <w:r>
        <w:rPr>
          <w:rFonts w:ascii="TT Norms Pro Light"/>
          <w:b w:val="0"/>
          <w:spacing w:val="12"/>
          <w:sz w:val="14"/>
        </w:rPr>
        <w:t> </w:t>
      </w:r>
      <w:r>
        <w:rPr>
          <w:rFonts w:ascii="TT Norms Pro Light"/>
          <w:b w:val="0"/>
          <w:sz w:val="14"/>
        </w:rPr>
        <w:t>Biomedical</w:t>
      </w:r>
      <w:r>
        <w:rPr>
          <w:rFonts w:ascii="TT Norms Pro Light"/>
          <w:b w:val="0"/>
          <w:spacing w:val="12"/>
          <w:sz w:val="14"/>
        </w:rPr>
        <w:t> </w:t>
      </w:r>
      <w:r>
        <w:rPr>
          <w:rFonts w:ascii="TT Norms Pro Light"/>
          <w:b w:val="0"/>
          <w:spacing w:val="-2"/>
          <w:sz w:val="14"/>
        </w:rPr>
        <w:t>Science</w:t>
      </w:r>
    </w:p>
    <w:p>
      <w:pPr>
        <w:pStyle w:val="BodyText"/>
        <w:spacing w:before="72"/>
        <w:rPr>
          <w:b w:val="0"/>
          <w:sz w:val="14"/>
        </w:rPr>
      </w:pPr>
    </w:p>
    <w:p>
      <w:pPr>
        <w:spacing w:before="0"/>
        <w:ind w:left="822" w:right="0" w:firstLine="0"/>
        <w:jc w:val="left"/>
        <w:rPr>
          <w:rFonts w:ascii="TT Norms Pro Medium"/>
          <w:b/>
          <w:sz w:val="14"/>
        </w:rPr>
      </w:pPr>
      <w:r>
        <w:rPr>
          <w:rFonts w:ascii="TT Norms Pro Medium"/>
          <w:b/>
          <w:spacing w:val="-4"/>
          <w:sz w:val="14"/>
        </w:rPr>
        <w:t>Alex</w:t>
      </w:r>
      <w:r>
        <w:rPr>
          <w:rFonts w:ascii="TT Norms Pro Medium"/>
          <w:b/>
          <w:sz w:val="14"/>
        </w:rPr>
        <w:t> </w:t>
      </w:r>
      <w:r>
        <w:rPr>
          <w:rFonts w:ascii="TT Norms Pro Medium"/>
          <w:b/>
          <w:spacing w:val="-5"/>
          <w:sz w:val="14"/>
        </w:rPr>
        <w:t>Sng</w:t>
      </w:r>
    </w:p>
    <w:p>
      <w:pPr>
        <w:spacing w:before="37"/>
        <w:ind w:left="822" w:right="0" w:firstLine="0"/>
        <w:jc w:val="left"/>
        <w:rPr>
          <w:rFonts w:ascii="TT Norms Pro Light"/>
          <w:b w:val="0"/>
          <w:sz w:val="14"/>
        </w:rPr>
      </w:pPr>
      <w:r>
        <w:rPr>
          <w:rFonts w:ascii="TT Norms Pro Light"/>
          <w:b w:val="0"/>
          <w:sz w:val="14"/>
        </w:rPr>
        <w:t>Bachelor</w:t>
      </w:r>
      <w:r>
        <w:rPr>
          <w:rFonts w:ascii="TT Norms Pro Light"/>
          <w:b w:val="0"/>
          <w:spacing w:val="12"/>
          <w:sz w:val="14"/>
        </w:rPr>
        <w:t> </w:t>
      </w:r>
      <w:r>
        <w:rPr>
          <w:rFonts w:ascii="TT Norms Pro Light"/>
          <w:b w:val="0"/>
          <w:sz w:val="14"/>
        </w:rPr>
        <w:t>of</w:t>
      </w:r>
      <w:r>
        <w:rPr>
          <w:rFonts w:ascii="TT Norms Pro Light"/>
          <w:b w:val="0"/>
          <w:spacing w:val="12"/>
          <w:sz w:val="14"/>
        </w:rPr>
        <w:t> </w:t>
      </w:r>
      <w:r>
        <w:rPr>
          <w:rFonts w:ascii="TT Norms Pro Light"/>
          <w:b w:val="0"/>
          <w:sz w:val="14"/>
        </w:rPr>
        <w:t>Biomedical</w:t>
      </w:r>
      <w:r>
        <w:rPr>
          <w:rFonts w:ascii="TT Norms Pro Light"/>
          <w:b w:val="0"/>
          <w:spacing w:val="12"/>
          <w:sz w:val="14"/>
        </w:rPr>
        <w:t> </w:t>
      </w:r>
      <w:r>
        <w:rPr>
          <w:rFonts w:ascii="TT Norms Pro Light"/>
          <w:b w:val="0"/>
          <w:spacing w:val="-2"/>
          <w:sz w:val="14"/>
        </w:rPr>
        <w:t>Science</w:t>
      </w:r>
    </w:p>
    <w:p>
      <w:pPr>
        <w:pStyle w:val="BodyText"/>
        <w:spacing w:before="72"/>
        <w:rPr>
          <w:b w:val="0"/>
          <w:sz w:val="14"/>
        </w:rPr>
      </w:pPr>
    </w:p>
    <w:p>
      <w:pPr>
        <w:spacing w:before="0"/>
        <w:ind w:left="822" w:right="0" w:firstLine="0"/>
        <w:jc w:val="left"/>
        <w:rPr>
          <w:rFonts w:ascii="TT Norms Pro Medium"/>
          <w:b/>
          <w:sz w:val="14"/>
        </w:rPr>
      </w:pPr>
      <w:r>
        <w:rPr>
          <w:rFonts w:ascii="TT Norms Pro Medium"/>
          <w:b/>
          <w:spacing w:val="-4"/>
          <w:sz w:val="14"/>
        </w:rPr>
        <w:t>Bartholomew</w:t>
      </w:r>
      <w:r>
        <w:rPr>
          <w:rFonts w:ascii="TT Norms Pro Medium"/>
          <w:b/>
          <w:spacing w:val="14"/>
          <w:sz w:val="14"/>
        </w:rPr>
        <w:t> </w:t>
      </w:r>
      <w:r>
        <w:rPr>
          <w:rFonts w:ascii="TT Norms Pro Medium"/>
          <w:b/>
          <w:spacing w:val="-4"/>
          <w:sz w:val="14"/>
        </w:rPr>
        <w:t>Tang</w:t>
      </w:r>
    </w:p>
    <w:p>
      <w:pPr>
        <w:spacing w:before="36"/>
        <w:ind w:left="822" w:right="0" w:firstLine="0"/>
        <w:jc w:val="left"/>
        <w:rPr>
          <w:rFonts w:ascii="TT Norms Pro Light"/>
          <w:b w:val="0"/>
          <w:sz w:val="14"/>
        </w:rPr>
      </w:pPr>
      <w:r>
        <w:rPr>
          <w:rFonts w:ascii="TT Norms Pro Light"/>
          <w:b w:val="0"/>
          <w:sz w:val="14"/>
        </w:rPr>
        <w:t>Bachelor</w:t>
      </w:r>
      <w:r>
        <w:rPr>
          <w:rFonts w:ascii="TT Norms Pro Light"/>
          <w:b w:val="0"/>
          <w:spacing w:val="12"/>
          <w:sz w:val="14"/>
        </w:rPr>
        <w:t> </w:t>
      </w:r>
      <w:r>
        <w:rPr>
          <w:rFonts w:ascii="TT Norms Pro Light"/>
          <w:b w:val="0"/>
          <w:sz w:val="14"/>
        </w:rPr>
        <w:t>of</w:t>
      </w:r>
      <w:r>
        <w:rPr>
          <w:rFonts w:ascii="TT Norms Pro Light"/>
          <w:b w:val="0"/>
          <w:spacing w:val="12"/>
          <w:sz w:val="14"/>
        </w:rPr>
        <w:t> </w:t>
      </w:r>
      <w:r>
        <w:rPr>
          <w:rFonts w:ascii="TT Norms Pro Light"/>
          <w:b w:val="0"/>
          <w:sz w:val="14"/>
        </w:rPr>
        <w:t>Biomedical</w:t>
      </w:r>
      <w:r>
        <w:rPr>
          <w:rFonts w:ascii="TT Norms Pro Light"/>
          <w:b w:val="0"/>
          <w:spacing w:val="12"/>
          <w:sz w:val="14"/>
        </w:rPr>
        <w:t> </w:t>
      </w:r>
      <w:r>
        <w:rPr>
          <w:rFonts w:ascii="TT Norms Pro Light"/>
          <w:b w:val="0"/>
          <w:spacing w:val="-2"/>
          <w:sz w:val="14"/>
        </w:rPr>
        <w:t>Science</w:t>
      </w:r>
    </w:p>
    <w:p>
      <w:pPr>
        <w:pStyle w:val="BodyText"/>
        <w:spacing w:before="72"/>
        <w:rPr>
          <w:b w:val="0"/>
          <w:sz w:val="14"/>
        </w:rPr>
      </w:pPr>
    </w:p>
    <w:p>
      <w:pPr>
        <w:spacing w:before="1"/>
        <w:ind w:left="822" w:right="0" w:firstLine="0"/>
        <w:jc w:val="left"/>
        <w:rPr>
          <w:rFonts w:ascii="TT Norms Pro Medium"/>
          <w:b/>
          <w:sz w:val="14"/>
        </w:rPr>
      </w:pPr>
      <w:r>
        <w:rPr>
          <w:rFonts w:ascii="TT Norms Pro Medium"/>
          <w:b/>
          <w:spacing w:val="-2"/>
          <w:sz w:val="14"/>
        </w:rPr>
        <w:t>Briana</w:t>
      </w:r>
      <w:r>
        <w:rPr>
          <w:rFonts w:ascii="TT Norms Pro Medium"/>
          <w:b/>
          <w:spacing w:val="-5"/>
          <w:sz w:val="14"/>
        </w:rPr>
        <w:t> </w:t>
      </w:r>
      <w:r>
        <w:rPr>
          <w:rFonts w:ascii="TT Norms Pro Medium"/>
          <w:b/>
          <w:spacing w:val="-2"/>
          <w:sz w:val="14"/>
        </w:rPr>
        <w:t>Jansen</w:t>
      </w:r>
    </w:p>
    <w:p>
      <w:pPr>
        <w:spacing w:before="36"/>
        <w:ind w:left="822" w:right="0" w:firstLine="0"/>
        <w:jc w:val="left"/>
        <w:rPr>
          <w:rFonts w:ascii="TT Norms Pro Light"/>
          <w:b w:val="0"/>
          <w:sz w:val="14"/>
        </w:rPr>
      </w:pPr>
      <w:r>
        <w:rPr>
          <w:rFonts w:ascii="TT Norms Pro Light"/>
          <w:b w:val="0"/>
          <w:sz w:val="14"/>
        </w:rPr>
        <w:t>Bachelor</w:t>
      </w:r>
      <w:r>
        <w:rPr>
          <w:rFonts w:ascii="TT Norms Pro Light"/>
          <w:b w:val="0"/>
          <w:spacing w:val="12"/>
          <w:sz w:val="14"/>
        </w:rPr>
        <w:t> </w:t>
      </w:r>
      <w:r>
        <w:rPr>
          <w:rFonts w:ascii="TT Norms Pro Light"/>
          <w:b w:val="0"/>
          <w:sz w:val="14"/>
        </w:rPr>
        <w:t>of</w:t>
      </w:r>
      <w:r>
        <w:rPr>
          <w:rFonts w:ascii="TT Norms Pro Light"/>
          <w:b w:val="0"/>
          <w:spacing w:val="12"/>
          <w:sz w:val="14"/>
        </w:rPr>
        <w:t> </w:t>
      </w:r>
      <w:r>
        <w:rPr>
          <w:rFonts w:ascii="TT Norms Pro Light"/>
          <w:b w:val="0"/>
          <w:sz w:val="14"/>
        </w:rPr>
        <w:t>Biomedical</w:t>
      </w:r>
      <w:r>
        <w:rPr>
          <w:rFonts w:ascii="TT Norms Pro Light"/>
          <w:b w:val="0"/>
          <w:spacing w:val="12"/>
          <w:sz w:val="14"/>
        </w:rPr>
        <w:t> </w:t>
      </w:r>
      <w:r>
        <w:rPr>
          <w:rFonts w:ascii="TT Norms Pro Light"/>
          <w:b w:val="0"/>
          <w:spacing w:val="-2"/>
          <w:sz w:val="14"/>
        </w:rPr>
        <w:t>Science</w:t>
      </w:r>
    </w:p>
    <w:p>
      <w:pPr>
        <w:pStyle w:val="BodyText"/>
        <w:spacing w:before="72"/>
        <w:rPr>
          <w:b w:val="0"/>
          <w:sz w:val="14"/>
        </w:rPr>
      </w:pPr>
    </w:p>
    <w:p>
      <w:pPr>
        <w:spacing w:before="0"/>
        <w:ind w:left="822" w:right="0" w:firstLine="0"/>
        <w:jc w:val="left"/>
        <w:rPr>
          <w:rFonts w:ascii="TT Norms Pro Medium"/>
          <w:b/>
          <w:sz w:val="14"/>
        </w:rPr>
      </w:pPr>
      <w:r>
        <w:rPr>
          <w:rFonts w:ascii="TT Norms Pro Medium"/>
          <w:b/>
          <w:spacing w:val="-2"/>
          <w:sz w:val="14"/>
        </w:rPr>
        <w:t>Gary</w:t>
      </w:r>
      <w:r>
        <w:rPr>
          <w:rFonts w:ascii="TT Norms Pro Medium"/>
          <w:b/>
          <w:spacing w:val="-3"/>
          <w:sz w:val="14"/>
        </w:rPr>
        <w:t> </w:t>
      </w:r>
      <w:r>
        <w:rPr>
          <w:rFonts w:ascii="TT Norms Pro Medium"/>
          <w:b/>
          <w:spacing w:val="-2"/>
          <w:sz w:val="14"/>
        </w:rPr>
        <w:t>Zheng</w:t>
      </w:r>
    </w:p>
    <w:p>
      <w:pPr>
        <w:spacing w:before="37"/>
        <w:ind w:left="822" w:right="0" w:firstLine="0"/>
        <w:jc w:val="left"/>
        <w:rPr>
          <w:rFonts w:ascii="TT Norms Pro Light"/>
          <w:b w:val="0"/>
          <w:sz w:val="14"/>
        </w:rPr>
      </w:pPr>
      <w:r>
        <w:rPr>
          <w:rFonts w:ascii="TT Norms Pro Light"/>
          <w:b w:val="0"/>
          <w:sz w:val="14"/>
        </w:rPr>
        <w:t>Bachelor</w:t>
      </w:r>
      <w:r>
        <w:rPr>
          <w:rFonts w:ascii="TT Norms Pro Light"/>
          <w:b w:val="0"/>
          <w:spacing w:val="7"/>
          <w:sz w:val="14"/>
        </w:rPr>
        <w:t> </w:t>
      </w:r>
      <w:r>
        <w:rPr>
          <w:rFonts w:ascii="TT Norms Pro Light"/>
          <w:b w:val="0"/>
          <w:sz w:val="14"/>
        </w:rPr>
        <w:t>of</w:t>
      </w:r>
      <w:r>
        <w:rPr>
          <w:rFonts w:ascii="TT Norms Pro Light"/>
          <w:b w:val="0"/>
          <w:spacing w:val="8"/>
          <w:sz w:val="14"/>
        </w:rPr>
        <w:t> </w:t>
      </w:r>
      <w:r>
        <w:rPr>
          <w:rFonts w:ascii="TT Norms Pro Light"/>
          <w:b w:val="0"/>
          <w:spacing w:val="-2"/>
          <w:sz w:val="14"/>
        </w:rPr>
        <w:t>Philosophy</w:t>
      </w:r>
    </w:p>
    <w:p>
      <w:pPr>
        <w:spacing w:after="0"/>
        <w:jc w:val="left"/>
        <w:rPr>
          <w:rFonts w:ascii="TT Norms Pro Light"/>
          <w:sz w:val="14"/>
        </w:rPr>
        <w:sectPr>
          <w:type w:val="continuous"/>
          <w:pgSz w:w="11910" w:h="16840"/>
          <w:pgMar w:header="468" w:footer="0" w:top="980" w:bottom="280" w:left="0" w:right="780"/>
          <w:cols w:num="3" w:equalWidth="0">
            <w:col w:w="4077" w:space="40"/>
            <w:col w:w="3129" w:space="39"/>
            <w:col w:w="3845"/>
          </w:cols>
        </w:sectPr>
      </w:pPr>
    </w:p>
    <w:p>
      <w:pPr>
        <w:pStyle w:val="BodyText"/>
        <w:spacing w:before="15"/>
        <w:rPr>
          <w:b w:val="0"/>
          <w:sz w:val="20"/>
        </w:rPr>
      </w:pPr>
    </w:p>
    <w:p>
      <w:pPr>
        <w:spacing w:after="0"/>
        <w:rPr>
          <w:sz w:val="20"/>
        </w:rPr>
        <w:sectPr>
          <w:pgSz w:w="11910" w:h="16840"/>
          <w:pgMar w:header="468" w:footer="0" w:top="720" w:bottom="0" w:left="0" w:right="780"/>
        </w:sectPr>
      </w:pPr>
    </w:p>
    <w:p>
      <w:pPr>
        <w:spacing w:before="135"/>
        <w:ind w:left="1133" w:right="0" w:firstLine="0"/>
        <w:jc w:val="left"/>
        <w:rPr>
          <w:rFonts w:ascii="TT Norms Pro Medium"/>
          <w:b/>
          <w:sz w:val="16"/>
        </w:rPr>
      </w:pPr>
      <w:r>
        <w:rPr>
          <w:rFonts w:ascii="TT Norms Pro Medium"/>
          <w:b/>
          <w:spacing w:val="-4"/>
          <w:sz w:val="16"/>
        </w:rPr>
        <w:t>HIGHLY</w:t>
      </w:r>
      <w:r>
        <w:rPr>
          <w:rFonts w:ascii="TT Norms Pro Medium"/>
          <w:b/>
          <w:spacing w:val="-6"/>
          <w:sz w:val="16"/>
        </w:rPr>
        <w:t> </w:t>
      </w:r>
      <w:r>
        <w:rPr>
          <w:rFonts w:ascii="TT Norms Pro Medium"/>
          <w:b/>
          <w:spacing w:val="-4"/>
          <w:sz w:val="16"/>
        </w:rPr>
        <w:t>CITED</w:t>
      </w:r>
      <w:r>
        <w:rPr>
          <w:rFonts w:ascii="TT Norms Pro Medium"/>
          <w:b/>
          <w:spacing w:val="-5"/>
          <w:sz w:val="16"/>
        </w:rPr>
        <w:t> </w:t>
      </w:r>
      <w:r>
        <w:rPr>
          <w:rFonts w:ascii="TT Norms Pro Medium"/>
          <w:b/>
          <w:spacing w:val="-4"/>
          <w:sz w:val="16"/>
        </w:rPr>
        <w:t>RESEARCHERS</w:t>
      </w:r>
    </w:p>
    <w:p>
      <w:pPr>
        <w:pStyle w:val="BodyText"/>
        <w:spacing w:before="84"/>
        <w:rPr>
          <w:rFonts w:ascii="TT Norms Pro Medium"/>
          <w:b/>
          <w:sz w:val="16"/>
        </w:rPr>
      </w:pPr>
    </w:p>
    <w:p>
      <w:pPr>
        <w:spacing w:before="0"/>
        <w:ind w:left="1417" w:right="0" w:firstLine="0"/>
        <w:jc w:val="left"/>
        <w:rPr>
          <w:rFonts w:ascii="TT Norms Pro Medium"/>
          <w:b/>
          <w:sz w:val="14"/>
        </w:rPr>
      </w:pPr>
      <w:r>
        <w:rPr>
          <w:rFonts w:ascii="TT Norms Pro Medium"/>
          <w:b/>
          <w:spacing w:val="-4"/>
          <w:sz w:val="14"/>
        </w:rPr>
        <w:t>Professor</w:t>
      </w:r>
      <w:r>
        <w:rPr>
          <w:rFonts w:ascii="TT Norms Pro Medium"/>
          <w:b/>
          <w:spacing w:val="5"/>
          <w:sz w:val="14"/>
        </w:rPr>
        <w:t> </w:t>
      </w:r>
      <w:r>
        <w:rPr>
          <w:rFonts w:ascii="TT Norms Pro Medium"/>
          <w:b/>
          <w:spacing w:val="-4"/>
          <w:sz w:val="14"/>
        </w:rPr>
        <w:t>David</w:t>
      </w:r>
      <w:r>
        <w:rPr>
          <w:rFonts w:ascii="TT Norms Pro Medium"/>
          <w:b/>
          <w:spacing w:val="6"/>
          <w:sz w:val="14"/>
        </w:rPr>
        <w:t> </w:t>
      </w:r>
      <w:r>
        <w:rPr>
          <w:rFonts w:ascii="TT Norms Pro Medium"/>
          <w:b/>
          <w:spacing w:val="-4"/>
          <w:sz w:val="14"/>
        </w:rPr>
        <w:t>Edwards</w:t>
      </w:r>
    </w:p>
    <w:p>
      <w:pPr>
        <w:spacing w:before="36"/>
        <w:ind w:left="1417" w:right="0" w:firstLine="0"/>
        <w:jc w:val="left"/>
        <w:rPr>
          <w:rFonts w:ascii="TT Norms Pro Light"/>
          <w:b w:val="0"/>
          <w:sz w:val="14"/>
        </w:rPr>
      </w:pPr>
      <w:r>
        <w:rPr>
          <w:rFonts w:ascii="TT Norms Pro Light"/>
          <w:b w:val="0"/>
          <w:sz w:val="14"/>
        </w:rPr>
        <w:t>School</w:t>
      </w:r>
      <w:r>
        <w:rPr>
          <w:rFonts w:ascii="TT Norms Pro Light"/>
          <w:b w:val="0"/>
          <w:spacing w:val="9"/>
          <w:sz w:val="14"/>
        </w:rPr>
        <w:t> </w:t>
      </w:r>
      <w:r>
        <w:rPr>
          <w:rFonts w:ascii="TT Norms Pro Light"/>
          <w:b w:val="0"/>
          <w:sz w:val="14"/>
        </w:rPr>
        <w:t>of</w:t>
      </w:r>
      <w:r>
        <w:rPr>
          <w:rFonts w:ascii="TT Norms Pro Light"/>
          <w:b w:val="0"/>
          <w:spacing w:val="11"/>
          <w:sz w:val="14"/>
        </w:rPr>
        <w:t> </w:t>
      </w:r>
      <w:r>
        <w:rPr>
          <w:rFonts w:ascii="TT Norms Pro Light"/>
          <w:b w:val="0"/>
          <w:sz w:val="14"/>
        </w:rPr>
        <w:t>Biological</w:t>
      </w:r>
      <w:r>
        <w:rPr>
          <w:rFonts w:ascii="TT Norms Pro Light"/>
          <w:b w:val="0"/>
          <w:spacing w:val="11"/>
          <w:sz w:val="14"/>
        </w:rPr>
        <w:t> </w:t>
      </w:r>
      <w:r>
        <w:rPr>
          <w:rFonts w:ascii="TT Norms Pro Light"/>
          <w:b w:val="0"/>
          <w:spacing w:val="-2"/>
          <w:sz w:val="14"/>
        </w:rPr>
        <w:t>Sciences</w:t>
      </w:r>
    </w:p>
    <w:p>
      <w:pPr>
        <w:pStyle w:val="BodyText"/>
        <w:spacing w:before="73"/>
        <w:rPr>
          <w:b w:val="0"/>
          <w:sz w:val="14"/>
        </w:rPr>
      </w:pPr>
    </w:p>
    <w:p>
      <w:pPr>
        <w:spacing w:before="0"/>
        <w:ind w:left="1417" w:right="0" w:firstLine="0"/>
        <w:jc w:val="left"/>
        <w:rPr>
          <w:rFonts w:ascii="TT Norms Pro Medium"/>
          <w:b/>
          <w:sz w:val="14"/>
        </w:rPr>
      </w:pPr>
      <w:r>
        <w:rPr>
          <w:rFonts w:ascii="TT Norms Pro Medium"/>
          <w:b/>
          <w:spacing w:val="-4"/>
          <w:sz w:val="14"/>
        </w:rPr>
        <w:t>Professor</w:t>
      </w:r>
      <w:r>
        <w:rPr>
          <w:rFonts w:ascii="TT Norms Pro Medium"/>
          <w:b/>
          <w:spacing w:val="2"/>
          <w:sz w:val="14"/>
        </w:rPr>
        <w:t> </w:t>
      </w:r>
      <w:r>
        <w:rPr>
          <w:rFonts w:ascii="TT Norms Pro Medium"/>
          <w:b/>
          <w:spacing w:val="-4"/>
          <w:sz w:val="14"/>
        </w:rPr>
        <w:t>Davey</w:t>
      </w:r>
      <w:r>
        <w:rPr>
          <w:rFonts w:ascii="TT Norms Pro Medium"/>
          <w:b/>
          <w:spacing w:val="3"/>
          <w:sz w:val="14"/>
        </w:rPr>
        <w:t> </w:t>
      </w:r>
      <w:r>
        <w:rPr>
          <w:rFonts w:ascii="TT Norms Pro Medium"/>
          <w:b/>
          <w:spacing w:val="-4"/>
          <w:sz w:val="14"/>
        </w:rPr>
        <w:t>Jones</w:t>
      </w:r>
    </w:p>
    <w:p>
      <w:pPr>
        <w:spacing w:before="36"/>
        <w:ind w:left="1417" w:right="0" w:firstLine="0"/>
        <w:jc w:val="left"/>
        <w:rPr>
          <w:rFonts w:ascii="TT Norms Pro Light"/>
          <w:b w:val="0"/>
          <w:sz w:val="14"/>
        </w:rPr>
      </w:pPr>
      <w:r>
        <w:rPr>
          <w:rFonts w:ascii="TT Norms Pro Light"/>
          <w:b w:val="0"/>
          <w:sz w:val="14"/>
        </w:rPr>
        <w:t>School</w:t>
      </w:r>
      <w:r>
        <w:rPr>
          <w:rFonts w:ascii="TT Norms Pro Light"/>
          <w:b w:val="0"/>
          <w:spacing w:val="7"/>
          <w:sz w:val="14"/>
        </w:rPr>
        <w:t> </w:t>
      </w:r>
      <w:r>
        <w:rPr>
          <w:rFonts w:ascii="TT Norms Pro Light"/>
          <w:b w:val="0"/>
          <w:sz w:val="14"/>
        </w:rPr>
        <w:t>of</w:t>
      </w:r>
      <w:r>
        <w:rPr>
          <w:rFonts w:ascii="TT Norms Pro Light"/>
          <w:b w:val="0"/>
          <w:spacing w:val="7"/>
          <w:sz w:val="14"/>
        </w:rPr>
        <w:t> </w:t>
      </w:r>
      <w:r>
        <w:rPr>
          <w:rFonts w:ascii="TT Norms Pro Light"/>
          <w:b w:val="0"/>
          <w:sz w:val="14"/>
        </w:rPr>
        <w:t>Agriculture</w:t>
      </w:r>
      <w:r>
        <w:rPr>
          <w:rFonts w:ascii="TT Norms Pro Light"/>
          <w:b w:val="0"/>
          <w:spacing w:val="7"/>
          <w:sz w:val="14"/>
        </w:rPr>
        <w:t> </w:t>
      </w:r>
      <w:r>
        <w:rPr>
          <w:rFonts w:ascii="TT Norms Pro Light"/>
          <w:b w:val="0"/>
          <w:sz w:val="14"/>
        </w:rPr>
        <w:t>and</w:t>
      </w:r>
      <w:r>
        <w:rPr>
          <w:rFonts w:ascii="TT Norms Pro Light"/>
          <w:b w:val="0"/>
          <w:spacing w:val="8"/>
          <w:sz w:val="14"/>
        </w:rPr>
        <w:t> </w:t>
      </w:r>
      <w:r>
        <w:rPr>
          <w:rFonts w:ascii="TT Norms Pro Light"/>
          <w:b w:val="0"/>
          <w:spacing w:val="-2"/>
          <w:sz w:val="14"/>
        </w:rPr>
        <w:t>Environment</w:t>
      </w:r>
    </w:p>
    <w:p>
      <w:pPr>
        <w:pStyle w:val="BodyText"/>
        <w:spacing w:before="72"/>
        <w:rPr>
          <w:b w:val="0"/>
          <w:sz w:val="14"/>
        </w:rPr>
      </w:pPr>
    </w:p>
    <w:p>
      <w:pPr>
        <w:spacing w:before="0"/>
        <w:ind w:left="1417" w:right="0" w:firstLine="0"/>
        <w:jc w:val="left"/>
        <w:rPr>
          <w:rFonts w:ascii="TT Norms Pro Medium"/>
          <w:b/>
          <w:sz w:val="14"/>
        </w:rPr>
      </w:pPr>
      <w:r>
        <w:rPr>
          <w:rFonts w:ascii="TT Norms Pro Medium"/>
          <w:b/>
          <w:spacing w:val="-4"/>
          <w:sz w:val="14"/>
        </w:rPr>
        <w:t>Adjunct,</w:t>
      </w:r>
      <w:r>
        <w:rPr>
          <w:rFonts w:ascii="TT Norms Pro Medium"/>
          <w:b/>
          <w:spacing w:val="4"/>
          <w:sz w:val="14"/>
        </w:rPr>
        <w:t> </w:t>
      </w:r>
      <w:r>
        <w:rPr>
          <w:rFonts w:ascii="TT Norms Pro Medium"/>
          <w:b/>
          <w:spacing w:val="-4"/>
          <w:sz w:val="14"/>
        </w:rPr>
        <w:t>Dr</w:t>
      </w:r>
      <w:r>
        <w:rPr>
          <w:rFonts w:ascii="TT Norms Pro Medium"/>
          <w:b/>
          <w:spacing w:val="5"/>
          <w:sz w:val="14"/>
        </w:rPr>
        <w:t> </w:t>
      </w:r>
      <w:r>
        <w:rPr>
          <w:rFonts w:ascii="TT Norms Pro Medium"/>
          <w:b/>
          <w:spacing w:val="-4"/>
          <w:sz w:val="14"/>
        </w:rPr>
        <w:t>Etienne</w:t>
      </w:r>
      <w:r>
        <w:rPr>
          <w:rFonts w:ascii="TT Norms Pro Medium"/>
          <w:b/>
          <w:spacing w:val="5"/>
          <w:sz w:val="14"/>
        </w:rPr>
        <w:t> </w:t>
      </w:r>
      <w:r>
        <w:rPr>
          <w:rFonts w:ascii="TT Norms Pro Medium"/>
          <w:b/>
          <w:spacing w:val="-4"/>
          <w:sz w:val="14"/>
        </w:rPr>
        <w:t>Laliberte</w:t>
      </w:r>
    </w:p>
    <w:p>
      <w:pPr>
        <w:spacing w:before="37"/>
        <w:ind w:left="1417" w:right="0" w:firstLine="0"/>
        <w:jc w:val="left"/>
        <w:rPr>
          <w:rFonts w:ascii="TT Norms Pro Light"/>
          <w:b w:val="0"/>
          <w:sz w:val="14"/>
        </w:rPr>
      </w:pPr>
      <w:r>
        <w:rPr>
          <w:rFonts w:ascii="TT Norms Pro Light"/>
          <w:b w:val="0"/>
          <w:sz w:val="14"/>
        </w:rPr>
        <w:t>School</w:t>
      </w:r>
      <w:r>
        <w:rPr>
          <w:rFonts w:ascii="TT Norms Pro Light"/>
          <w:b w:val="0"/>
          <w:spacing w:val="9"/>
          <w:sz w:val="14"/>
        </w:rPr>
        <w:t> </w:t>
      </w:r>
      <w:r>
        <w:rPr>
          <w:rFonts w:ascii="TT Norms Pro Light"/>
          <w:b w:val="0"/>
          <w:sz w:val="14"/>
        </w:rPr>
        <w:t>of</w:t>
      </w:r>
      <w:r>
        <w:rPr>
          <w:rFonts w:ascii="TT Norms Pro Light"/>
          <w:b w:val="0"/>
          <w:spacing w:val="11"/>
          <w:sz w:val="14"/>
        </w:rPr>
        <w:t> </w:t>
      </w:r>
      <w:r>
        <w:rPr>
          <w:rFonts w:ascii="TT Norms Pro Light"/>
          <w:b w:val="0"/>
          <w:sz w:val="14"/>
        </w:rPr>
        <w:t>Biological</w:t>
      </w:r>
      <w:r>
        <w:rPr>
          <w:rFonts w:ascii="TT Norms Pro Light"/>
          <w:b w:val="0"/>
          <w:spacing w:val="11"/>
          <w:sz w:val="14"/>
        </w:rPr>
        <w:t> </w:t>
      </w:r>
      <w:r>
        <w:rPr>
          <w:rFonts w:ascii="TT Norms Pro Light"/>
          <w:b w:val="0"/>
          <w:spacing w:val="-2"/>
          <w:sz w:val="14"/>
        </w:rPr>
        <w:t>Sciences</w:t>
      </w:r>
    </w:p>
    <w:p>
      <w:pPr>
        <w:pStyle w:val="BodyText"/>
        <w:spacing w:before="72"/>
        <w:rPr>
          <w:b w:val="0"/>
          <w:sz w:val="14"/>
        </w:rPr>
      </w:pPr>
    </w:p>
    <w:p>
      <w:pPr>
        <w:spacing w:before="0"/>
        <w:ind w:left="1417" w:right="0" w:firstLine="0"/>
        <w:jc w:val="left"/>
        <w:rPr>
          <w:rFonts w:ascii="TT Norms Pro Medium"/>
          <w:b/>
          <w:sz w:val="14"/>
        </w:rPr>
      </w:pPr>
      <w:r>
        <w:rPr>
          <w:rFonts w:ascii="TT Norms Pro Medium"/>
          <w:b/>
          <w:spacing w:val="-4"/>
          <w:sz w:val="14"/>
        </w:rPr>
        <w:t>Professor</w:t>
      </w:r>
      <w:r>
        <w:rPr>
          <w:rFonts w:ascii="TT Norms Pro Medium"/>
          <w:b/>
          <w:spacing w:val="5"/>
          <w:sz w:val="14"/>
        </w:rPr>
        <w:t> </w:t>
      </w:r>
      <w:r>
        <w:rPr>
          <w:rFonts w:ascii="TT Norms Pro Medium"/>
          <w:b/>
          <w:spacing w:val="-4"/>
          <w:sz w:val="14"/>
        </w:rPr>
        <w:t>Hans</w:t>
      </w:r>
      <w:r>
        <w:rPr>
          <w:rFonts w:ascii="TT Norms Pro Medium"/>
          <w:b/>
          <w:spacing w:val="5"/>
          <w:sz w:val="14"/>
        </w:rPr>
        <w:t> </w:t>
      </w:r>
      <w:r>
        <w:rPr>
          <w:rFonts w:ascii="TT Norms Pro Medium"/>
          <w:b/>
          <w:spacing w:val="-4"/>
          <w:sz w:val="14"/>
        </w:rPr>
        <w:t>Lambers</w:t>
      </w:r>
    </w:p>
    <w:p>
      <w:pPr>
        <w:spacing w:before="36"/>
        <w:ind w:left="1417" w:right="0" w:firstLine="0"/>
        <w:jc w:val="left"/>
        <w:rPr>
          <w:rFonts w:ascii="TT Norms Pro Light"/>
          <w:b w:val="0"/>
          <w:sz w:val="14"/>
        </w:rPr>
      </w:pPr>
      <w:r>
        <w:rPr>
          <w:rFonts w:ascii="TT Norms Pro Light"/>
          <w:b w:val="0"/>
          <w:sz w:val="14"/>
        </w:rPr>
        <w:t>School</w:t>
      </w:r>
      <w:r>
        <w:rPr>
          <w:rFonts w:ascii="TT Norms Pro Light"/>
          <w:b w:val="0"/>
          <w:spacing w:val="9"/>
          <w:sz w:val="14"/>
        </w:rPr>
        <w:t> </w:t>
      </w:r>
      <w:r>
        <w:rPr>
          <w:rFonts w:ascii="TT Norms Pro Light"/>
          <w:b w:val="0"/>
          <w:sz w:val="14"/>
        </w:rPr>
        <w:t>of</w:t>
      </w:r>
      <w:r>
        <w:rPr>
          <w:rFonts w:ascii="TT Norms Pro Light"/>
          <w:b w:val="0"/>
          <w:spacing w:val="11"/>
          <w:sz w:val="14"/>
        </w:rPr>
        <w:t> </w:t>
      </w:r>
      <w:r>
        <w:rPr>
          <w:rFonts w:ascii="TT Norms Pro Light"/>
          <w:b w:val="0"/>
          <w:sz w:val="14"/>
        </w:rPr>
        <w:t>Biological</w:t>
      </w:r>
      <w:r>
        <w:rPr>
          <w:rFonts w:ascii="TT Norms Pro Light"/>
          <w:b w:val="0"/>
          <w:spacing w:val="11"/>
          <w:sz w:val="14"/>
        </w:rPr>
        <w:t> </w:t>
      </w:r>
      <w:r>
        <w:rPr>
          <w:rFonts w:ascii="TT Norms Pro Light"/>
          <w:b w:val="0"/>
          <w:spacing w:val="-2"/>
          <w:sz w:val="14"/>
        </w:rPr>
        <w:t>Sciences</w:t>
      </w:r>
    </w:p>
    <w:p>
      <w:pPr>
        <w:pStyle w:val="BodyText"/>
        <w:spacing w:before="73"/>
        <w:rPr>
          <w:b w:val="0"/>
          <w:sz w:val="14"/>
        </w:rPr>
      </w:pPr>
    </w:p>
    <w:p>
      <w:pPr>
        <w:spacing w:before="0"/>
        <w:ind w:left="1417" w:right="0" w:firstLine="0"/>
        <w:jc w:val="left"/>
        <w:rPr>
          <w:rFonts w:ascii="TT Norms Pro Medium"/>
          <w:b/>
          <w:sz w:val="14"/>
        </w:rPr>
      </w:pPr>
      <w:r>
        <w:rPr>
          <w:rFonts w:ascii="TT Norms Pro Medium"/>
          <w:b/>
          <w:spacing w:val="-4"/>
          <w:sz w:val="14"/>
        </w:rPr>
        <w:t>Professor</w:t>
      </w:r>
      <w:r>
        <w:rPr>
          <w:rFonts w:ascii="TT Norms Pro Medium"/>
          <w:b/>
          <w:spacing w:val="6"/>
          <w:sz w:val="14"/>
        </w:rPr>
        <w:t> </w:t>
      </w:r>
      <w:r>
        <w:rPr>
          <w:rFonts w:ascii="TT Norms Pro Medium"/>
          <w:b/>
          <w:spacing w:val="-4"/>
          <w:sz w:val="14"/>
        </w:rPr>
        <w:t>Ryan</w:t>
      </w:r>
      <w:r>
        <w:rPr>
          <w:rFonts w:ascii="TT Norms Pro Medium"/>
          <w:b/>
          <w:spacing w:val="7"/>
          <w:sz w:val="14"/>
        </w:rPr>
        <w:t> </w:t>
      </w:r>
      <w:r>
        <w:rPr>
          <w:rFonts w:ascii="TT Norms Pro Medium"/>
          <w:b/>
          <w:spacing w:val="-4"/>
          <w:sz w:val="14"/>
        </w:rPr>
        <w:t>Lister</w:t>
      </w:r>
    </w:p>
    <w:p>
      <w:pPr>
        <w:spacing w:before="36"/>
        <w:ind w:left="1417" w:right="0" w:firstLine="0"/>
        <w:jc w:val="left"/>
        <w:rPr>
          <w:rFonts w:ascii="TT Norms Pro Light"/>
          <w:b w:val="0"/>
          <w:sz w:val="14"/>
        </w:rPr>
      </w:pPr>
      <w:r>
        <w:rPr>
          <w:rFonts w:ascii="TT Norms Pro Light"/>
          <w:b w:val="0"/>
          <w:sz w:val="14"/>
        </w:rPr>
        <w:t>School</w:t>
      </w:r>
      <w:r>
        <w:rPr>
          <w:rFonts w:ascii="TT Norms Pro Light"/>
          <w:b w:val="0"/>
          <w:spacing w:val="7"/>
          <w:sz w:val="14"/>
        </w:rPr>
        <w:t> </w:t>
      </w:r>
      <w:r>
        <w:rPr>
          <w:rFonts w:ascii="TT Norms Pro Light"/>
          <w:b w:val="0"/>
          <w:sz w:val="14"/>
        </w:rPr>
        <w:t>of</w:t>
      </w:r>
      <w:r>
        <w:rPr>
          <w:rFonts w:ascii="TT Norms Pro Light"/>
          <w:b w:val="0"/>
          <w:spacing w:val="9"/>
          <w:sz w:val="14"/>
        </w:rPr>
        <w:t> </w:t>
      </w:r>
      <w:r>
        <w:rPr>
          <w:rFonts w:ascii="TT Norms Pro Light"/>
          <w:b w:val="0"/>
          <w:sz w:val="14"/>
        </w:rPr>
        <w:t>Molecular</w:t>
      </w:r>
      <w:r>
        <w:rPr>
          <w:rFonts w:ascii="TT Norms Pro Light"/>
          <w:b w:val="0"/>
          <w:spacing w:val="10"/>
          <w:sz w:val="14"/>
        </w:rPr>
        <w:t> </w:t>
      </w:r>
      <w:r>
        <w:rPr>
          <w:rFonts w:ascii="TT Norms Pro Light"/>
          <w:b w:val="0"/>
          <w:spacing w:val="-2"/>
          <w:sz w:val="14"/>
        </w:rPr>
        <w:t>Sciences</w:t>
      </w:r>
    </w:p>
    <w:p>
      <w:pPr>
        <w:pStyle w:val="BodyText"/>
        <w:spacing w:before="72"/>
        <w:rPr>
          <w:b w:val="0"/>
          <w:sz w:val="14"/>
        </w:rPr>
      </w:pPr>
    </w:p>
    <w:p>
      <w:pPr>
        <w:spacing w:before="0"/>
        <w:ind w:left="1417" w:right="0" w:firstLine="0"/>
        <w:jc w:val="left"/>
        <w:rPr>
          <w:rFonts w:ascii="TT Norms Pro Medium"/>
          <w:b/>
          <w:sz w:val="14"/>
        </w:rPr>
      </w:pPr>
      <w:r>
        <w:rPr>
          <w:rFonts w:ascii="TT Norms Pro Medium"/>
          <w:b/>
          <w:spacing w:val="-4"/>
          <w:sz w:val="14"/>
        </w:rPr>
        <w:t>Professor</w:t>
      </w:r>
      <w:r>
        <w:rPr>
          <w:rFonts w:ascii="TT Norms Pro Medium"/>
          <w:b/>
          <w:spacing w:val="7"/>
          <w:sz w:val="14"/>
        </w:rPr>
        <w:t> </w:t>
      </w:r>
      <w:r>
        <w:rPr>
          <w:rFonts w:ascii="TT Norms Pro Medium"/>
          <w:b/>
          <w:spacing w:val="-4"/>
          <w:sz w:val="14"/>
        </w:rPr>
        <w:t>Harvey</w:t>
      </w:r>
      <w:r>
        <w:rPr>
          <w:rFonts w:ascii="TT Norms Pro Medium"/>
          <w:b/>
          <w:spacing w:val="8"/>
          <w:sz w:val="14"/>
        </w:rPr>
        <w:t> </w:t>
      </w:r>
      <w:r>
        <w:rPr>
          <w:rFonts w:ascii="TT Norms Pro Medium"/>
          <w:b/>
          <w:spacing w:val="-4"/>
          <w:sz w:val="14"/>
        </w:rPr>
        <w:t>Millar</w:t>
      </w:r>
    </w:p>
    <w:p>
      <w:pPr>
        <w:spacing w:before="37"/>
        <w:ind w:left="1417" w:right="0" w:firstLine="0"/>
        <w:jc w:val="left"/>
        <w:rPr>
          <w:rFonts w:ascii="TT Norms Pro Light"/>
          <w:b w:val="0"/>
          <w:sz w:val="14"/>
        </w:rPr>
      </w:pPr>
      <w:r>
        <w:rPr>
          <w:rFonts w:ascii="TT Norms Pro Light"/>
          <w:b w:val="0"/>
          <w:sz w:val="14"/>
        </w:rPr>
        <w:t>School</w:t>
      </w:r>
      <w:r>
        <w:rPr>
          <w:rFonts w:ascii="TT Norms Pro Light"/>
          <w:b w:val="0"/>
          <w:spacing w:val="7"/>
          <w:sz w:val="14"/>
        </w:rPr>
        <w:t> </w:t>
      </w:r>
      <w:r>
        <w:rPr>
          <w:rFonts w:ascii="TT Norms Pro Light"/>
          <w:b w:val="0"/>
          <w:sz w:val="14"/>
        </w:rPr>
        <w:t>of</w:t>
      </w:r>
      <w:r>
        <w:rPr>
          <w:rFonts w:ascii="TT Norms Pro Light"/>
          <w:b w:val="0"/>
          <w:spacing w:val="9"/>
          <w:sz w:val="14"/>
        </w:rPr>
        <w:t> </w:t>
      </w:r>
      <w:r>
        <w:rPr>
          <w:rFonts w:ascii="TT Norms Pro Light"/>
          <w:b w:val="0"/>
          <w:sz w:val="14"/>
        </w:rPr>
        <w:t>Molecular</w:t>
      </w:r>
      <w:r>
        <w:rPr>
          <w:rFonts w:ascii="TT Norms Pro Light"/>
          <w:b w:val="0"/>
          <w:spacing w:val="10"/>
          <w:sz w:val="14"/>
        </w:rPr>
        <w:t> </w:t>
      </w:r>
      <w:r>
        <w:rPr>
          <w:rFonts w:ascii="TT Norms Pro Light"/>
          <w:b w:val="0"/>
          <w:spacing w:val="-2"/>
          <w:sz w:val="14"/>
        </w:rPr>
        <w:t>Sciences</w:t>
      </w:r>
    </w:p>
    <w:p>
      <w:pPr>
        <w:pStyle w:val="BodyText"/>
        <w:spacing w:before="72"/>
        <w:rPr>
          <w:b w:val="0"/>
          <w:sz w:val="14"/>
        </w:rPr>
      </w:pPr>
    </w:p>
    <w:p>
      <w:pPr>
        <w:spacing w:before="0"/>
        <w:ind w:left="1417" w:right="0" w:firstLine="0"/>
        <w:jc w:val="left"/>
        <w:rPr>
          <w:rFonts w:ascii="TT Norms Pro Medium"/>
          <w:b/>
          <w:sz w:val="14"/>
        </w:rPr>
      </w:pPr>
      <w:r>
        <w:rPr>
          <w:rFonts w:ascii="TT Norms Pro Medium"/>
          <w:b/>
          <w:spacing w:val="-4"/>
          <w:sz w:val="14"/>
        </w:rPr>
        <w:t>Professor</w:t>
      </w:r>
      <w:r>
        <w:rPr>
          <w:rFonts w:ascii="TT Norms Pro Medium"/>
          <w:b/>
          <w:spacing w:val="8"/>
          <w:sz w:val="14"/>
        </w:rPr>
        <w:t> </w:t>
      </w:r>
      <w:r>
        <w:rPr>
          <w:rFonts w:ascii="TT Norms Pro Medium"/>
          <w:b/>
          <w:spacing w:val="-4"/>
          <w:sz w:val="14"/>
        </w:rPr>
        <w:t>Kadambot</w:t>
      </w:r>
      <w:r>
        <w:rPr>
          <w:rFonts w:ascii="TT Norms Pro Medium"/>
          <w:b/>
          <w:spacing w:val="9"/>
          <w:sz w:val="14"/>
        </w:rPr>
        <w:t> </w:t>
      </w:r>
      <w:r>
        <w:rPr>
          <w:rFonts w:ascii="TT Norms Pro Medium"/>
          <w:b/>
          <w:spacing w:val="-4"/>
          <w:sz w:val="14"/>
        </w:rPr>
        <w:t>Siddique</w:t>
      </w:r>
    </w:p>
    <w:p>
      <w:pPr>
        <w:spacing w:before="36"/>
        <w:ind w:left="1417" w:right="0" w:firstLine="0"/>
        <w:jc w:val="left"/>
        <w:rPr>
          <w:rFonts w:ascii="TT Norms Pro Light"/>
          <w:b w:val="0"/>
          <w:sz w:val="14"/>
        </w:rPr>
      </w:pPr>
      <w:r>
        <w:rPr>
          <w:rFonts w:ascii="TT Norms Pro Light"/>
          <w:b w:val="0"/>
          <w:sz w:val="14"/>
        </w:rPr>
        <w:t>The</w:t>
      </w:r>
      <w:r>
        <w:rPr>
          <w:rFonts w:ascii="TT Norms Pro Light"/>
          <w:b w:val="0"/>
          <w:spacing w:val="1"/>
          <w:sz w:val="14"/>
        </w:rPr>
        <w:t> </w:t>
      </w:r>
      <w:r>
        <w:rPr>
          <w:rFonts w:ascii="TT Norms Pro Light"/>
          <w:b w:val="0"/>
          <w:sz w:val="14"/>
        </w:rPr>
        <w:t>UWA</w:t>
      </w:r>
      <w:r>
        <w:rPr>
          <w:rFonts w:ascii="TT Norms Pro Light"/>
          <w:b w:val="0"/>
          <w:spacing w:val="4"/>
          <w:sz w:val="14"/>
        </w:rPr>
        <w:t> </w:t>
      </w:r>
      <w:r>
        <w:rPr>
          <w:rFonts w:ascii="TT Norms Pro Light"/>
          <w:b w:val="0"/>
          <w:sz w:val="14"/>
        </w:rPr>
        <w:t>Institute</w:t>
      </w:r>
      <w:r>
        <w:rPr>
          <w:rFonts w:ascii="TT Norms Pro Light"/>
          <w:b w:val="0"/>
          <w:spacing w:val="3"/>
          <w:sz w:val="14"/>
        </w:rPr>
        <w:t> </w:t>
      </w:r>
      <w:r>
        <w:rPr>
          <w:rFonts w:ascii="TT Norms Pro Light"/>
          <w:b w:val="0"/>
          <w:sz w:val="14"/>
        </w:rPr>
        <w:t>of</w:t>
      </w:r>
      <w:r>
        <w:rPr>
          <w:rFonts w:ascii="TT Norms Pro Light"/>
          <w:b w:val="0"/>
          <w:spacing w:val="4"/>
          <w:sz w:val="14"/>
        </w:rPr>
        <w:t> </w:t>
      </w:r>
      <w:r>
        <w:rPr>
          <w:rFonts w:ascii="TT Norms Pro Light"/>
          <w:b w:val="0"/>
          <w:spacing w:val="-2"/>
          <w:sz w:val="14"/>
        </w:rPr>
        <w:t>Agriculture</w:t>
      </w:r>
    </w:p>
    <w:p>
      <w:pPr>
        <w:pStyle w:val="BodyText"/>
        <w:spacing w:before="73"/>
        <w:rPr>
          <w:b w:val="0"/>
          <w:sz w:val="14"/>
        </w:rPr>
      </w:pPr>
    </w:p>
    <w:p>
      <w:pPr>
        <w:spacing w:line="292" w:lineRule="auto" w:before="0"/>
        <w:ind w:left="1417" w:right="520" w:firstLine="0"/>
        <w:jc w:val="left"/>
        <w:rPr>
          <w:rFonts w:ascii="TT Norms Pro Light"/>
          <w:b w:val="0"/>
          <w:sz w:val="14"/>
        </w:rPr>
      </w:pPr>
      <w:r>
        <w:rPr>
          <w:rFonts w:ascii="TT Norms Pro Medium"/>
          <w:b/>
          <w:sz w:val="14"/>
        </w:rPr>
        <w:t>Professor Enrico Valdinoci</w:t>
      </w:r>
      <w:r>
        <w:rPr>
          <w:rFonts w:ascii="TT Norms Pro Medium"/>
          <w:b/>
          <w:spacing w:val="40"/>
          <w:sz w:val="14"/>
        </w:rPr>
        <w:t> </w:t>
      </w:r>
      <w:r>
        <w:rPr>
          <w:rFonts w:ascii="TT Norms Pro Light"/>
          <w:b w:val="0"/>
          <w:sz w:val="14"/>
        </w:rPr>
        <w:t>School of Physics, Mathematics</w:t>
      </w:r>
      <w:r>
        <w:rPr>
          <w:rFonts w:ascii="TT Norms Pro Light"/>
          <w:b w:val="0"/>
          <w:spacing w:val="40"/>
          <w:sz w:val="14"/>
        </w:rPr>
        <w:t> </w:t>
      </w:r>
      <w:r>
        <w:rPr>
          <w:rFonts w:ascii="TT Norms Pro Light"/>
          <w:b w:val="0"/>
          <w:sz w:val="14"/>
        </w:rPr>
        <w:t>and</w:t>
      </w:r>
      <w:r>
        <w:rPr>
          <w:rFonts w:ascii="TT Norms Pro Light"/>
          <w:b w:val="0"/>
          <w:spacing w:val="-7"/>
          <w:sz w:val="14"/>
        </w:rPr>
        <w:t> </w:t>
      </w:r>
      <w:r>
        <w:rPr>
          <w:rFonts w:ascii="TT Norms Pro Light"/>
          <w:b w:val="0"/>
          <w:sz w:val="14"/>
        </w:rPr>
        <w:t>Computing</w:t>
      </w:r>
    </w:p>
    <w:p>
      <w:pPr>
        <w:pStyle w:val="BodyText"/>
        <w:spacing w:before="36"/>
        <w:rPr>
          <w:b w:val="0"/>
          <w:sz w:val="14"/>
        </w:rPr>
      </w:pPr>
    </w:p>
    <w:p>
      <w:pPr>
        <w:spacing w:before="0"/>
        <w:ind w:left="1417" w:right="0" w:firstLine="0"/>
        <w:jc w:val="left"/>
        <w:rPr>
          <w:rFonts w:ascii="TT Norms Pro Medium"/>
          <w:b/>
          <w:sz w:val="14"/>
        </w:rPr>
      </w:pPr>
      <w:r>
        <w:rPr>
          <w:rFonts w:ascii="TT Norms Pro Medium"/>
          <w:b/>
          <w:spacing w:val="-4"/>
          <w:sz w:val="14"/>
        </w:rPr>
        <w:t>Adjunct</w:t>
      </w:r>
      <w:r>
        <w:rPr>
          <w:rFonts w:ascii="TT Norms Pro Medium"/>
          <w:b/>
          <w:spacing w:val="6"/>
          <w:sz w:val="14"/>
        </w:rPr>
        <w:t> </w:t>
      </w:r>
      <w:r>
        <w:rPr>
          <w:rFonts w:ascii="TT Norms Pro Medium"/>
          <w:b/>
          <w:spacing w:val="-4"/>
          <w:sz w:val="14"/>
        </w:rPr>
        <w:t>Professor</w:t>
      </w:r>
      <w:r>
        <w:rPr>
          <w:rFonts w:ascii="TT Norms Pro Medium"/>
          <w:b/>
          <w:spacing w:val="7"/>
          <w:sz w:val="14"/>
        </w:rPr>
        <w:t> </w:t>
      </w:r>
      <w:r>
        <w:rPr>
          <w:rFonts w:ascii="TT Norms Pro Medium"/>
          <w:b/>
          <w:spacing w:val="-4"/>
          <w:sz w:val="14"/>
        </w:rPr>
        <w:t>Rajeev</w:t>
      </w:r>
      <w:r>
        <w:rPr>
          <w:rFonts w:ascii="TT Norms Pro Medium"/>
          <w:b/>
          <w:spacing w:val="7"/>
          <w:sz w:val="14"/>
        </w:rPr>
        <w:t> </w:t>
      </w:r>
      <w:r>
        <w:rPr>
          <w:rFonts w:ascii="TT Norms Pro Medium"/>
          <w:b/>
          <w:spacing w:val="-4"/>
          <w:sz w:val="14"/>
        </w:rPr>
        <w:t>Varshney</w:t>
      </w:r>
    </w:p>
    <w:p>
      <w:pPr>
        <w:spacing w:before="37"/>
        <w:ind w:left="1417" w:right="0" w:firstLine="0"/>
        <w:jc w:val="left"/>
        <w:rPr>
          <w:rFonts w:ascii="TT Norms Pro Light"/>
          <w:b w:val="0"/>
          <w:sz w:val="14"/>
        </w:rPr>
      </w:pPr>
      <w:r>
        <w:rPr>
          <w:rFonts w:ascii="TT Norms Pro Light"/>
          <w:b w:val="0"/>
          <w:sz w:val="14"/>
        </w:rPr>
        <w:t>The</w:t>
      </w:r>
      <w:r>
        <w:rPr>
          <w:rFonts w:ascii="TT Norms Pro Light"/>
          <w:b w:val="0"/>
          <w:spacing w:val="1"/>
          <w:sz w:val="14"/>
        </w:rPr>
        <w:t> </w:t>
      </w:r>
      <w:r>
        <w:rPr>
          <w:rFonts w:ascii="TT Norms Pro Light"/>
          <w:b w:val="0"/>
          <w:sz w:val="14"/>
        </w:rPr>
        <w:t>UWA</w:t>
      </w:r>
      <w:r>
        <w:rPr>
          <w:rFonts w:ascii="TT Norms Pro Light"/>
          <w:b w:val="0"/>
          <w:spacing w:val="4"/>
          <w:sz w:val="14"/>
        </w:rPr>
        <w:t> </w:t>
      </w:r>
      <w:r>
        <w:rPr>
          <w:rFonts w:ascii="TT Norms Pro Light"/>
          <w:b w:val="0"/>
          <w:sz w:val="14"/>
        </w:rPr>
        <w:t>Institute</w:t>
      </w:r>
      <w:r>
        <w:rPr>
          <w:rFonts w:ascii="TT Norms Pro Light"/>
          <w:b w:val="0"/>
          <w:spacing w:val="3"/>
          <w:sz w:val="14"/>
        </w:rPr>
        <w:t> </w:t>
      </w:r>
      <w:r>
        <w:rPr>
          <w:rFonts w:ascii="TT Norms Pro Light"/>
          <w:b w:val="0"/>
          <w:sz w:val="14"/>
        </w:rPr>
        <w:t>of</w:t>
      </w:r>
      <w:r>
        <w:rPr>
          <w:rFonts w:ascii="TT Norms Pro Light"/>
          <w:b w:val="0"/>
          <w:spacing w:val="4"/>
          <w:sz w:val="14"/>
        </w:rPr>
        <w:t> </w:t>
      </w:r>
      <w:r>
        <w:rPr>
          <w:rFonts w:ascii="TT Norms Pro Light"/>
          <w:b w:val="0"/>
          <w:spacing w:val="-2"/>
          <w:sz w:val="14"/>
        </w:rPr>
        <w:t>Agriculture</w:t>
      </w:r>
    </w:p>
    <w:p>
      <w:pPr>
        <w:pStyle w:val="BodyText"/>
        <w:spacing w:before="72"/>
        <w:rPr>
          <w:b w:val="0"/>
          <w:sz w:val="14"/>
        </w:rPr>
      </w:pPr>
    </w:p>
    <w:p>
      <w:pPr>
        <w:spacing w:before="0"/>
        <w:ind w:left="1417" w:right="0" w:firstLine="0"/>
        <w:jc w:val="left"/>
        <w:rPr>
          <w:rFonts w:ascii="TT Norms Pro Medium"/>
          <w:b/>
          <w:sz w:val="14"/>
        </w:rPr>
      </w:pPr>
      <w:r>
        <w:rPr>
          <w:rFonts w:ascii="TT Norms Pro Medium"/>
          <w:b/>
          <w:spacing w:val="-4"/>
          <w:sz w:val="14"/>
        </w:rPr>
        <w:t>Professor</w:t>
      </w:r>
      <w:r>
        <w:rPr>
          <w:rFonts w:ascii="TT Norms Pro Medium"/>
          <w:b/>
          <w:spacing w:val="7"/>
          <w:sz w:val="14"/>
        </w:rPr>
        <w:t> </w:t>
      </w:r>
      <w:r>
        <w:rPr>
          <w:rFonts w:ascii="TT Norms Pro Medium"/>
          <w:b/>
          <w:spacing w:val="-4"/>
          <w:sz w:val="14"/>
        </w:rPr>
        <w:t>Gerald</w:t>
      </w:r>
      <w:r>
        <w:rPr>
          <w:rFonts w:ascii="TT Norms Pro Medium"/>
          <w:b/>
          <w:spacing w:val="8"/>
          <w:sz w:val="14"/>
        </w:rPr>
        <w:t> </w:t>
      </w:r>
      <w:r>
        <w:rPr>
          <w:rFonts w:ascii="TT Norms Pro Medium"/>
          <w:b/>
          <w:spacing w:val="-4"/>
          <w:sz w:val="14"/>
        </w:rPr>
        <w:t>Watts</w:t>
      </w:r>
    </w:p>
    <w:p>
      <w:pPr>
        <w:spacing w:before="36"/>
        <w:ind w:left="1417" w:right="0" w:firstLine="0"/>
        <w:jc w:val="left"/>
        <w:rPr>
          <w:rFonts w:ascii="TT Norms Pro Light"/>
          <w:b w:val="0"/>
          <w:sz w:val="14"/>
        </w:rPr>
      </w:pPr>
      <w:r>
        <w:rPr>
          <w:rFonts w:ascii="TT Norms Pro Light"/>
          <w:b w:val="0"/>
          <w:sz w:val="14"/>
        </w:rPr>
        <w:t>Medical</w:t>
      </w:r>
      <w:r>
        <w:rPr>
          <w:rFonts w:ascii="TT Norms Pro Light"/>
          <w:b w:val="0"/>
          <w:spacing w:val="15"/>
          <w:sz w:val="14"/>
        </w:rPr>
        <w:t> </w:t>
      </w:r>
      <w:r>
        <w:rPr>
          <w:rFonts w:ascii="TT Norms Pro Light"/>
          <w:b w:val="0"/>
          <w:spacing w:val="-2"/>
          <w:sz w:val="14"/>
        </w:rPr>
        <w:t>School</w:t>
      </w:r>
    </w:p>
    <w:p>
      <w:pPr>
        <w:pStyle w:val="BodyText"/>
        <w:spacing w:before="73"/>
        <w:rPr>
          <w:b w:val="0"/>
          <w:sz w:val="14"/>
        </w:rPr>
      </w:pPr>
    </w:p>
    <w:p>
      <w:pPr>
        <w:spacing w:before="0"/>
        <w:ind w:left="1417" w:right="0" w:firstLine="0"/>
        <w:jc w:val="left"/>
        <w:rPr>
          <w:rFonts w:ascii="TT Norms Pro Medium"/>
          <w:b/>
          <w:sz w:val="14"/>
        </w:rPr>
      </w:pPr>
      <w:r>
        <w:rPr>
          <w:rFonts w:ascii="TT Norms Pro Medium"/>
          <w:b/>
          <w:spacing w:val="-2"/>
          <w:sz w:val="14"/>
        </w:rPr>
        <w:t>Dr</w:t>
      </w:r>
      <w:r>
        <w:rPr>
          <w:rFonts w:ascii="TT Norms Pro Medium"/>
          <w:b/>
          <w:spacing w:val="-6"/>
          <w:sz w:val="14"/>
        </w:rPr>
        <w:t> </w:t>
      </w:r>
      <w:r>
        <w:rPr>
          <w:rFonts w:ascii="TT Norms Pro Medium"/>
          <w:b/>
          <w:spacing w:val="-2"/>
          <w:sz w:val="14"/>
        </w:rPr>
        <w:t>Thomas</w:t>
      </w:r>
      <w:r>
        <w:rPr>
          <w:rFonts w:ascii="TT Norms Pro Medium"/>
          <w:b/>
          <w:spacing w:val="-6"/>
          <w:sz w:val="14"/>
        </w:rPr>
        <w:t> </w:t>
      </w:r>
      <w:r>
        <w:rPr>
          <w:rFonts w:ascii="TT Norms Pro Medium"/>
          <w:b/>
          <w:spacing w:val="-2"/>
          <w:sz w:val="14"/>
        </w:rPr>
        <w:t>Wernberg</w:t>
      </w:r>
    </w:p>
    <w:p>
      <w:pPr>
        <w:spacing w:before="36"/>
        <w:ind w:left="1417" w:right="0" w:firstLine="0"/>
        <w:jc w:val="left"/>
        <w:rPr>
          <w:rFonts w:ascii="TT Norms Pro Light"/>
          <w:b w:val="0"/>
          <w:sz w:val="14"/>
        </w:rPr>
      </w:pPr>
      <w:r>
        <w:rPr>
          <w:rFonts w:ascii="TT Norms Pro Light"/>
          <w:b w:val="0"/>
          <w:sz w:val="14"/>
        </w:rPr>
        <w:t>School</w:t>
      </w:r>
      <w:r>
        <w:rPr>
          <w:rFonts w:ascii="TT Norms Pro Light"/>
          <w:b w:val="0"/>
          <w:spacing w:val="9"/>
          <w:sz w:val="14"/>
        </w:rPr>
        <w:t> </w:t>
      </w:r>
      <w:r>
        <w:rPr>
          <w:rFonts w:ascii="TT Norms Pro Light"/>
          <w:b w:val="0"/>
          <w:sz w:val="14"/>
        </w:rPr>
        <w:t>of</w:t>
      </w:r>
      <w:r>
        <w:rPr>
          <w:rFonts w:ascii="TT Norms Pro Light"/>
          <w:b w:val="0"/>
          <w:spacing w:val="11"/>
          <w:sz w:val="14"/>
        </w:rPr>
        <w:t> </w:t>
      </w:r>
      <w:r>
        <w:rPr>
          <w:rFonts w:ascii="TT Norms Pro Light"/>
          <w:b w:val="0"/>
          <w:sz w:val="14"/>
        </w:rPr>
        <w:t>Biological</w:t>
      </w:r>
      <w:r>
        <w:rPr>
          <w:rFonts w:ascii="TT Norms Pro Light"/>
          <w:b w:val="0"/>
          <w:spacing w:val="11"/>
          <w:sz w:val="14"/>
        </w:rPr>
        <w:t> </w:t>
      </w:r>
      <w:r>
        <w:rPr>
          <w:rFonts w:ascii="TT Norms Pro Light"/>
          <w:b w:val="0"/>
          <w:spacing w:val="-2"/>
          <w:sz w:val="14"/>
        </w:rPr>
        <w:t>Sciences</w:t>
      </w:r>
    </w:p>
    <w:p>
      <w:pPr>
        <w:pStyle w:val="BodyText"/>
        <w:spacing w:before="72"/>
        <w:rPr>
          <w:b w:val="0"/>
          <w:sz w:val="14"/>
        </w:rPr>
      </w:pPr>
    </w:p>
    <w:p>
      <w:pPr>
        <w:spacing w:before="0"/>
        <w:ind w:left="1417" w:right="0" w:firstLine="0"/>
        <w:jc w:val="left"/>
        <w:rPr>
          <w:rFonts w:ascii="TT Norms Pro Medium"/>
          <w:b/>
          <w:sz w:val="14"/>
        </w:rPr>
      </w:pPr>
      <w:r>
        <w:rPr>
          <w:rFonts w:ascii="TT Norms Pro Medium"/>
          <w:b/>
          <w:spacing w:val="-4"/>
          <w:sz w:val="14"/>
        </w:rPr>
        <w:t>Adjunct</w:t>
      </w:r>
      <w:r>
        <w:rPr>
          <w:rFonts w:ascii="TT Norms Pro Medium"/>
          <w:b/>
          <w:spacing w:val="7"/>
          <w:sz w:val="14"/>
        </w:rPr>
        <w:t> </w:t>
      </w:r>
      <w:r>
        <w:rPr>
          <w:rFonts w:ascii="TT Norms Pro Medium"/>
          <w:b/>
          <w:spacing w:val="-4"/>
          <w:sz w:val="14"/>
        </w:rPr>
        <w:t>Professor</w:t>
      </w:r>
      <w:r>
        <w:rPr>
          <w:rFonts w:ascii="TT Norms Pro Medium"/>
          <w:b/>
          <w:spacing w:val="8"/>
          <w:sz w:val="14"/>
        </w:rPr>
        <w:t> </w:t>
      </w:r>
      <w:r>
        <w:rPr>
          <w:rFonts w:ascii="TT Norms Pro Medium"/>
          <w:b/>
          <w:spacing w:val="-4"/>
          <w:sz w:val="14"/>
        </w:rPr>
        <w:t>Shaun</w:t>
      </w:r>
      <w:r>
        <w:rPr>
          <w:rFonts w:ascii="TT Norms Pro Medium"/>
          <w:b/>
          <w:spacing w:val="7"/>
          <w:sz w:val="14"/>
        </w:rPr>
        <w:t> </w:t>
      </w:r>
      <w:r>
        <w:rPr>
          <w:rFonts w:ascii="TT Norms Pro Medium"/>
          <w:b/>
          <w:spacing w:val="-4"/>
          <w:sz w:val="14"/>
        </w:rPr>
        <w:t>Wilson</w:t>
      </w:r>
    </w:p>
    <w:p>
      <w:pPr>
        <w:spacing w:before="37"/>
        <w:ind w:left="1417" w:right="0" w:firstLine="0"/>
        <w:jc w:val="left"/>
        <w:rPr>
          <w:rFonts w:ascii="TT Norms Pro Light"/>
          <w:b w:val="0"/>
          <w:sz w:val="14"/>
        </w:rPr>
      </w:pPr>
      <w:r>
        <w:rPr>
          <w:rFonts w:ascii="TT Norms Pro Light"/>
          <w:b w:val="0"/>
          <w:sz w:val="14"/>
        </w:rPr>
        <w:t>Oceans</w:t>
      </w:r>
      <w:r>
        <w:rPr>
          <w:rFonts w:ascii="TT Norms Pro Light"/>
          <w:b w:val="0"/>
          <w:spacing w:val="9"/>
          <w:sz w:val="14"/>
        </w:rPr>
        <w:t> </w:t>
      </w:r>
      <w:r>
        <w:rPr>
          <w:rFonts w:ascii="TT Norms Pro Light"/>
          <w:b w:val="0"/>
          <w:sz w:val="14"/>
        </w:rPr>
        <w:t>Graduate</w:t>
      </w:r>
      <w:r>
        <w:rPr>
          <w:rFonts w:ascii="TT Norms Pro Light"/>
          <w:b w:val="0"/>
          <w:spacing w:val="9"/>
          <w:sz w:val="14"/>
        </w:rPr>
        <w:t> </w:t>
      </w:r>
      <w:r>
        <w:rPr>
          <w:rFonts w:ascii="TT Norms Pro Light"/>
          <w:b w:val="0"/>
          <w:spacing w:val="-2"/>
          <w:sz w:val="14"/>
        </w:rPr>
        <w:t>School</w:t>
      </w:r>
    </w:p>
    <w:p>
      <w:pPr>
        <w:pStyle w:val="BodyText"/>
        <w:spacing w:before="119"/>
        <w:rPr>
          <w:b w:val="0"/>
          <w:sz w:val="14"/>
        </w:rPr>
      </w:pPr>
    </w:p>
    <w:p>
      <w:pPr>
        <w:spacing w:before="0"/>
        <w:ind w:left="1133" w:right="0" w:firstLine="0"/>
        <w:jc w:val="left"/>
        <w:rPr>
          <w:rFonts w:ascii="TT Norms Pro Medium"/>
          <w:b/>
          <w:sz w:val="16"/>
        </w:rPr>
      </w:pPr>
      <w:r>
        <w:rPr>
          <w:rFonts w:ascii="TT Norms Pro Medium"/>
          <w:b/>
          <w:spacing w:val="-4"/>
          <w:sz w:val="16"/>
        </w:rPr>
        <w:t>OTHER</w:t>
      </w:r>
    </w:p>
    <w:p>
      <w:pPr>
        <w:pStyle w:val="BodyText"/>
        <w:spacing w:before="85"/>
        <w:rPr>
          <w:rFonts w:ascii="TT Norms Pro Medium"/>
          <w:b/>
          <w:sz w:val="16"/>
        </w:rPr>
      </w:pPr>
    </w:p>
    <w:p>
      <w:pPr>
        <w:spacing w:before="0"/>
        <w:ind w:left="1417" w:right="0" w:firstLine="0"/>
        <w:jc w:val="left"/>
        <w:rPr>
          <w:rFonts w:ascii="TT Norms Pro Medium"/>
          <w:b/>
          <w:sz w:val="14"/>
        </w:rPr>
      </w:pPr>
      <w:r>
        <w:rPr>
          <w:rFonts w:ascii="TT Norms Pro Medium"/>
          <w:b/>
          <w:spacing w:val="-2"/>
          <w:sz w:val="14"/>
        </w:rPr>
        <w:t>Sophie</w:t>
      </w:r>
      <w:r>
        <w:rPr>
          <w:rFonts w:ascii="TT Norms Pro Medium"/>
          <w:b/>
          <w:spacing w:val="-6"/>
          <w:sz w:val="14"/>
        </w:rPr>
        <w:t> </w:t>
      </w:r>
      <w:r>
        <w:rPr>
          <w:rFonts w:ascii="TT Norms Pro Medium"/>
          <w:b/>
          <w:spacing w:val="-2"/>
          <w:sz w:val="14"/>
        </w:rPr>
        <w:t>Coffin</w:t>
      </w:r>
    </w:p>
    <w:p>
      <w:pPr>
        <w:spacing w:line="292" w:lineRule="auto" w:before="36"/>
        <w:ind w:left="1417" w:right="0" w:firstLine="0"/>
        <w:jc w:val="left"/>
        <w:rPr>
          <w:rFonts w:ascii="TT Norms Pro Light"/>
          <w:b w:val="0"/>
          <w:sz w:val="14"/>
        </w:rPr>
      </w:pPr>
      <w:r>
        <w:rPr>
          <w:rFonts w:ascii="TT Norms Pro Light"/>
          <w:b w:val="0"/>
          <w:sz w:val="14"/>
        </w:rPr>
        <w:t>John Koowarta Reconciliation Law</w:t>
      </w:r>
      <w:r>
        <w:rPr>
          <w:rFonts w:ascii="TT Norms Pro Light"/>
          <w:b w:val="0"/>
          <w:spacing w:val="40"/>
          <w:sz w:val="14"/>
        </w:rPr>
        <w:t> </w:t>
      </w:r>
      <w:r>
        <w:rPr>
          <w:rFonts w:ascii="TT Norms Pro Light"/>
          <w:b w:val="0"/>
          <w:sz w:val="14"/>
        </w:rPr>
        <w:t>Scholarship</w:t>
      </w:r>
      <w:r>
        <w:rPr>
          <w:rFonts w:ascii="TT Norms Pro Light"/>
          <w:b w:val="0"/>
          <w:spacing w:val="-7"/>
          <w:sz w:val="14"/>
        </w:rPr>
        <w:t> </w:t>
      </w:r>
      <w:r>
        <w:rPr>
          <w:rFonts w:ascii="TT Norms Pro Light"/>
          <w:b w:val="0"/>
          <w:sz w:val="14"/>
        </w:rPr>
        <w:t>2020</w:t>
      </w:r>
    </w:p>
    <w:p>
      <w:pPr>
        <w:pStyle w:val="BodyText"/>
        <w:spacing w:before="37"/>
        <w:rPr>
          <w:b w:val="0"/>
          <w:sz w:val="14"/>
        </w:rPr>
      </w:pPr>
    </w:p>
    <w:p>
      <w:pPr>
        <w:spacing w:before="0"/>
        <w:ind w:left="1417" w:right="0" w:firstLine="0"/>
        <w:jc w:val="left"/>
        <w:rPr>
          <w:rFonts w:ascii="TT Norms Pro Medium"/>
          <w:b/>
          <w:sz w:val="14"/>
        </w:rPr>
      </w:pPr>
      <w:r>
        <w:rPr>
          <w:rFonts w:ascii="TT Norms Pro Medium"/>
          <w:b/>
          <w:w w:val="90"/>
          <w:sz w:val="14"/>
        </w:rPr>
        <w:t>Kurtis</w:t>
      </w:r>
      <w:r>
        <w:rPr>
          <w:rFonts w:ascii="TT Norms Pro Medium"/>
          <w:b/>
          <w:spacing w:val="19"/>
          <w:sz w:val="14"/>
        </w:rPr>
        <w:t> </w:t>
      </w:r>
      <w:r>
        <w:rPr>
          <w:rFonts w:ascii="TT Norms Pro Medium"/>
          <w:b/>
          <w:spacing w:val="-4"/>
          <w:sz w:val="14"/>
        </w:rPr>
        <w:t>Gray</w:t>
      </w:r>
    </w:p>
    <w:p>
      <w:pPr>
        <w:spacing w:line="292" w:lineRule="auto" w:before="36"/>
        <w:ind w:left="1417" w:right="406" w:firstLine="0"/>
        <w:jc w:val="left"/>
        <w:rPr>
          <w:rFonts w:ascii="TT Norms Pro Light"/>
          <w:b w:val="0"/>
          <w:sz w:val="14"/>
        </w:rPr>
      </w:pPr>
      <w:r>
        <w:rPr>
          <w:rFonts w:ascii="TT Norms Pro Light"/>
          <w:b w:val="0"/>
          <w:sz w:val="14"/>
        </w:rPr>
        <w:t>2020 Australian Pharmacy Student</w:t>
      </w:r>
      <w:r>
        <w:rPr>
          <w:rFonts w:ascii="TT Norms Pro Light"/>
          <w:b w:val="0"/>
          <w:spacing w:val="40"/>
          <w:sz w:val="14"/>
        </w:rPr>
        <w:t> </w:t>
      </w:r>
      <w:r>
        <w:rPr>
          <w:rFonts w:ascii="TT Norms Pro Light"/>
          <w:b w:val="0"/>
          <w:sz w:val="14"/>
        </w:rPr>
        <w:t>of the Year</w:t>
      </w:r>
    </w:p>
    <w:p>
      <w:pPr>
        <w:pStyle w:val="BodyText"/>
        <w:spacing w:before="36"/>
        <w:rPr>
          <w:b w:val="0"/>
          <w:sz w:val="14"/>
        </w:rPr>
      </w:pPr>
    </w:p>
    <w:p>
      <w:pPr>
        <w:spacing w:before="1"/>
        <w:ind w:left="1417" w:right="0" w:firstLine="0"/>
        <w:jc w:val="left"/>
        <w:rPr>
          <w:rFonts w:ascii="TT Norms Pro Medium"/>
          <w:b/>
          <w:sz w:val="14"/>
        </w:rPr>
      </w:pPr>
      <w:r>
        <w:rPr>
          <w:rFonts w:ascii="TT Norms Pro Medium"/>
          <w:b/>
          <w:spacing w:val="-4"/>
          <w:sz w:val="14"/>
        </w:rPr>
        <w:t>Professor</w:t>
      </w:r>
      <w:r>
        <w:rPr>
          <w:rFonts w:ascii="TT Norms Pro Medium"/>
          <w:b/>
          <w:spacing w:val="6"/>
          <w:sz w:val="14"/>
        </w:rPr>
        <w:t> </w:t>
      </w:r>
      <w:r>
        <w:rPr>
          <w:rFonts w:ascii="TT Norms Pro Medium"/>
          <w:b/>
          <w:spacing w:val="-4"/>
          <w:sz w:val="14"/>
        </w:rPr>
        <w:t>Marit</w:t>
      </w:r>
      <w:r>
        <w:rPr>
          <w:rFonts w:ascii="TT Norms Pro Medium"/>
          <w:b/>
          <w:spacing w:val="6"/>
          <w:sz w:val="14"/>
        </w:rPr>
        <w:t> </w:t>
      </w:r>
      <w:r>
        <w:rPr>
          <w:rFonts w:ascii="TT Norms Pro Medium"/>
          <w:b/>
          <w:spacing w:val="-4"/>
          <w:sz w:val="14"/>
        </w:rPr>
        <w:t>Kragt</w:t>
      </w:r>
    </w:p>
    <w:p>
      <w:pPr>
        <w:spacing w:line="292" w:lineRule="auto" w:before="36"/>
        <w:ind w:left="1417" w:right="0" w:firstLine="0"/>
        <w:jc w:val="left"/>
        <w:rPr>
          <w:rFonts w:ascii="TT Norms Pro Light" w:hAnsi="TT Norms Pro Light"/>
          <w:b w:val="0"/>
          <w:sz w:val="14"/>
        </w:rPr>
      </w:pPr>
      <w:r>
        <w:rPr>
          <w:rFonts w:ascii="TT Norms Pro Light" w:hAnsi="TT Norms Pro Light"/>
          <w:b w:val="0"/>
          <w:sz w:val="14"/>
        </w:rPr>
        <w:t>School of Agriculture and Environment,</w:t>
      </w:r>
      <w:r>
        <w:rPr>
          <w:rFonts w:ascii="TT Norms Pro Light" w:hAnsi="TT Norms Pro Light"/>
          <w:b w:val="0"/>
          <w:spacing w:val="40"/>
          <w:sz w:val="14"/>
        </w:rPr>
        <w:t> </w:t>
      </w:r>
      <w:r>
        <w:rPr>
          <w:rFonts w:ascii="TT Norms Pro Light" w:hAnsi="TT Norms Pro Light"/>
          <w:b w:val="0"/>
          <w:sz w:val="14"/>
        </w:rPr>
        <w:t>Australian Academy of Science – Inaugural</w:t>
      </w:r>
      <w:r>
        <w:rPr>
          <w:rFonts w:ascii="TT Norms Pro Light" w:hAnsi="TT Norms Pro Light"/>
          <w:b w:val="0"/>
          <w:spacing w:val="40"/>
          <w:sz w:val="14"/>
        </w:rPr>
        <w:t> </w:t>
      </w:r>
      <w:r>
        <w:rPr>
          <w:rFonts w:ascii="TT Norms Pro Light" w:hAnsi="TT Norms Pro Light"/>
          <w:b w:val="0"/>
          <w:sz w:val="14"/>
        </w:rPr>
        <w:t>STEM Women Changemakers</w:t>
      </w:r>
    </w:p>
    <w:p>
      <w:pPr>
        <w:pStyle w:val="BodyText"/>
        <w:spacing w:before="36"/>
        <w:rPr>
          <w:b w:val="0"/>
          <w:sz w:val="14"/>
        </w:rPr>
      </w:pPr>
    </w:p>
    <w:p>
      <w:pPr>
        <w:spacing w:before="1"/>
        <w:ind w:left="1417" w:right="0" w:firstLine="0"/>
        <w:jc w:val="left"/>
        <w:rPr>
          <w:rFonts w:ascii="TT Norms Pro Medium"/>
          <w:b/>
          <w:sz w:val="14"/>
        </w:rPr>
      </w:pPr>
      <w:r>
        <w:rPr>
          <w:rFonts w:ascii="TT Norms Pro Medium"/>
          <w:b/>
          <w:spacing w:val="-6"/>
          <w:sz w:val="14"/>
        </w:rPr>
        <w:t>Wint</w:t>
      </w:r>
      <w:r>
        <w:rPr>
          <w:rFonts w:ascii="TT Norms Pro Medium"/>
          <w:b/>
          <w:sz w:val="14"/>
        </w:rPr>
        <w:t> </w:t>
      </w:r>
      <w:r>
        <w:rPr>
          <w:rFonts w:ascii="TT Norms Pro Medium"/>
          <w:b/>
          <w:spacing w:val="-6"/>
          <w:sz w:val="14"/>
        </w:rPr>
        <w:t>Ye</w:t>
      </w:r>
      <w:r>
        <w:rPr>
          <w:rFonts w:ascii="TT Norms Pro Medium"/>
          <w:b/>
          <w:spacing w:val="1"/>
          <w:sz w:val="14"/>
        </w:rPr>
        <w:t> </w:t>
      </w:r>
      <w:r>
        <w:rPr>
          <w:rFonts w:ascii="TT Norms Pro Medium"/>
          <w:b/>
          <w:spacing w:val="-6"/>
          <w:sz w:val="14"/>
        </w:rPr>
        <w:t>Phu</w:t>
      </w:r>
    </w:p>
    <w:p>
      <w:pPr>
        <w:spacing w:line="292" w:lineRule="auto" w:before="36"/>
        <w:ind w:left="1417" w:right="0" w:firstLine="0"/>
        <w:jc w:val="left"/>
        <w:rPr>
          <w:rFonts w:ascii="TT Norms Pro Light"/>
          <w:b w:val="0"/>
          <w:sz w:val="14"/>
        </w:rPr>
      </w:pPr>
      <w:r>
        <w:rPr>
          <w:rFonts w:ascii="TT Norms Pro Light"/>
          <w:b w:val="0"/>
          <w:sz w:val="14"/>
        </w:rPr>
        <w:t>2020 Pharmaceutical Society of Australia</w:t>
      </w:r>
      <w:r>
        <w:rPr>
          <w:rFonts w:ascii="TT Norms Pro Light"/>
          <w:b w:val="0"/>
          <w:spacing w:val="40"/>
          <w:sz w:val="14"/>
        </w:rPr>
        <w:t> </w:t>
      </w:r>
      <w:r>
        <w:rPr>
          <w:rFonts w:ascii="TT Norms Pro Light"/>
          <w:b w:val="0"/>
          <w:sz w:val="14"/>
        </w:rPr>
        <w:t>(PSA) Intern Pharmacist of the Year</w:t>
      </w:r>
    </w:p>
    <w:p>
      <w:pPr>
        <w:pStyle w:val="BodyText"/>
        <w:spacing w:before="36"/>
        <w:rPr>
          <w:b w:val="0"/>
          <w:sz w:val="14"/>
        </w:rPr>
      </w:pPr>
    </w:p>
    <w:p>
      <w:pPr>
        <w:spacing w:before="0"/>
        <w:ind w:left="1417" w:right="0" w:firstLine="0"/>
        <w:jc w:val="left"/>
        <w:rPr>
          <w:rFonts w:ascii="TT Norms Pro Medium"/>
          <w:b/>
          <w:sz w:val="14"/>
        </w:rPr>
      </w:pPr>
      <w:r>
        <w:rPr>
          <w:rFonts w:ascii="TT Norms Pro Medium"/>
          <w:b/>
          <w:spacing w:val="-4"/>
          <w:sz w:val="14"/>
        </w:rPr>
        <w:t>Professor</w:t>
      </w:r>
      <w:r>
        <w:rPr>
          <w:rFonts w:ascii="TT Norms Pro Medium"/>
          <w:b/>
          <w:spacing w:val="7"/>
          <w:sz w:val="14"/>
        </w:rPr>
        <w:t> </w:t>
      </w:r>
      <w:r>
        <w:rPr>
          <w:rFonts w:ascii="TT Norms Pro Medium"/>
          <w:b/>
          <w:spacing w:val="-4"/>
          <w:sz w:val="14"/>
        </w:rPr>
        <w:t>Stephen</w:t>
      </w:r>
      <w:r>
        <w:rPr>
          <w:rFonts w:ascii="TT Norms Pro Medium"/>
          <w:b/>
          <w:spacing w:val="7"/>
          <w:sz w:val="14"/>
        </w:rPr>
        <w:t> </w:t>
      </w:r>
      <w:r>
        <w:rPr>
          <w:rFonts w:ascii="TT Norms Pro Medium"/>
          <w:b/>
          <w:spacing w:val="-4"/>
          <w:sz w:val="14"/>
        </w:rPr>
        <w:t>Powles</w:t>
      </w:r>
    </w:p>
    <w:p>
      <w:pPr>
        <w:spacing w:line="292" w:lineRule="auto" w:before="37"/>
        <w:ind w:left="1417" w:right="0" w:firstLine="0"/>
        <w:jc w:val="left"/>
        <w:rPr>
          <w:rFonts w:ascii="TT Norms Pro Light"/>
          <w:b w:val="0"/>
          <w:sz w:val="14"/>
        </w:rPr>
      </w:pPr>
      <w:r>
        <w:rPr>
          <w:rFonts w:ascii="TT Norms Pro Light"/>
          <w:b w:val="0"/>
          <w:sz w:val="14"/>
        </w:rPr>
        <w:t>School of Agriculture and Environment,</w:t>
      </w:r>
      <w:r>
        <w:rPr>
          <w:rFonts w:ascii="TT Norms Pro Light"/>
          <w:b w:val="0"/>
          <w:spacing w:val="40"/>
          <w:sz w:val="14"/>
        </w:rPr>
        <w:t> </w:t>
      </w:r>
      <w:r>
        <w:rPr>
          <w:rFonts w:ascii="TT Norms Pro Light"/>
          <w:b w:val="0"/>
          <w:sz w:val="14"/>
        </w:rPr>
        <w:t>BASF Industry Recognition Award</w:t>
      </w:r>
    </w:p>
    <w:p>
      <w:pPr>
        <w:pStyle w:val="BodyText"/>
        <w:spacing w:before="36"/>
        <w:rPr>
          <w:b w:val="0"/>
          <w:sz w:val="14"/>
        </w:rPr>
      </w:pPr>
    </w:p>
    <w:p>
      <w:pPr>
        <w:spacing w:before="0"/>
        <w:ind w:left="1417" w:right="0" w:firstLine="0"/>
        <w:jc w:val="left"/>
        <w:rPr>
          <w:rFonts w:ascii="TT Norms Pro Medium"/>
          <w:b/>
          <w:sz w:val="14"/>
        </w:rPr>
      </w:pPr>
      <w:r>
        <w:rPr>
          <w:rFonts w:ascii="TT Norms Pro Medium"/>
          <w:b/>
          <w:spacing w:val="-4"/>
          <w:sz w:val="14"/>
        </w:rPr>
        <w:t>Professor</w:t>
      </w:r>
      <w:r>
        <w:rPr>
          <w:rFonts w:ascii="TT Norms Pro Medium"/>
          <w:b/>
          <w:spacing w:val="6"/>
          <w:sz w:val="14"/>
        </w:rPr>
        <w:t> </w:t>
      </w:r>
      <w:r>
        <w:rPr>
          <w:rFonts w:ascii="TT Norms Pro Medium"/>
          <w:b/>
          <w:spacing w:val="-4"/>
          <w:sz w:val="14"/>
        </w:rPr>
        <w:t>Leigh</w:t>
      </w:r>
      <w:r>
        <w:rPr>
          <w:rFonts w:ascii="TT Norms Pro Medium"/>
          <w:b/>
          <w:spacing w:val="7"/>
          <w:sz w:val="14"/>
        </w:rPr>
        <w:t> </w:t>
      </w:r>
      <w:r>
        <w:rPr>
          <w:rFonts w:ascii="TT Norms Pro Medium"/>
          <w:b/>
          <w:spacing w:val="-4"/>
          <w:sz w:val="14"/>
        </w:rPr>
        <w:t>Simmons</w:t>
      </w:r>
    </w:p>
    <w:p>
      <w:pPr>
        <w:spacing w:line="292" w:lineRule="auto" w:before="36"/>
        <w:ind w:left="1417" w:right="0" w:firstLine="0"/>
        <w:jc w:val="left"/>
        <w:rPr>
          <w:rFonts w:ascii="TT Norms Pro Light" w:hAnsi="TT Norms Pro Light"/>
          <w:b w:val="0"/>
          <w:sz w:val="14"/>
        </w:rPr>
      </w:pPr>
      <w:r>
        <w:rPr>
          <w:rFonts w:ascii="TT Norms Pro Light" w:hAnsi="TT Norms Pro Light"/>
          <w:b w:val="0"/>
          <w:sz w:val="14"/>
        </w:rPr>
        <w:t>School of Biological Sciences, The ASAB</w:t>
      </w:r>
      <w:r>
        <w:rPr>
          <w:rFonts w:ascii="TT Norms Pro Light" w:hAnsi="TT Norms Pro Light"/>
          <w:b w:val="0"/>
          <w:spacing w:val="40"/>
          <w:sz w:val="14"/>
        </w:rPr>
        <w:t> </w:t>
      </w:r>
      <w:r>
        <w:rPr>
          <w:rFonts w:ascii="TT Norms Pro Light" w:hAnsi="TT Norms Pro Light"/>
          <w:b w:val="0"/>
          <w:sz w:val="14"/>
        </w:rPr>
        <w:t>Medal 2020 – Association for the Study of</w:t>
      </w:r>
      <w:r>
        <w:rPr>
          <w:rFonts w:ascii="TT Norms Pro Light" w:hAnsi="TT Norms Pro Light"/>
          <w:b w:val="0"/>
          <w:spacing w:val="40"/>
          <w:sz w:val="14"/>
        </w:rPr>
        <w:t> </w:t>
      </w:r>
      <w:r>
        <w:rPr>
          <w:rFonts w:ascii="TT Norms Pro Light" w:hAnsi="TT Norms Pro Light"/>
          <w:b w:val="0"/>
          <w:sz w:val="14"/>
        </w:rPr>
        <w:t>Animal</w:t>
      </w:r>
      <w:r>
        <w:rPr>
          <w:rFonts w:ascii="TT Norms Pro Light" w:hAnsi="TT Norms Pro Light"/>
          <w:b w:val="0"/>
          <w:spacing w:val="-7"/>
          <w:sz w:val="14"/>
        </w:rPr>
        <w:t> </w:t>
      </w:r>
      <w:r>
        <w:rPr>
          <w:rFonts w:ascii="TT Norms Pro Light" w:hAnsi="TT Norms Pro Light"/>
          <w:b w:val="0"/>
          <w:sz w:val="14"/>
        </w:rPr>
        <w:t>Behaviour</w:t>
      </w:r>
    </w:p>
    <w:p>
      <w:pPr>
        <w:pStyle w:val="Heading9"/>
        <w:spacing w:before="129"/>
        <w:ind w:left="356"/>
        <w:jc w:val="both"/>
      </w:pPr>
      <w:r>
        <w:rPr>
          <w:b w:val="0"/>
        </w:rPr>
        <w:br w:type="column"/>
      </w:r>
      <w:r>
        <w:rPr/>
        <w:t>AWARDS</w:t>
      </w:r>
      <w:r>
        <w:rPr>
          <w:spacing w:val="1"/>
        </w:rPr>
        <w:t> </w:t>
      </w:r>
      <w:r>
        <w:rPr>
          <w:spacing w:val="-5"/>
        </w:rPr>
        <w:t>FOR</w:t>
      </w:r>
    </w:p>
    <w:p>
      <w:pPr>
        <w:spacing w:line="261" w:lineRule="auto" w:before="22"/>
        <w:ind w:left="356" w:right="1058" w:firstLine="0"/>
        <w:jc w:val="both"/>
        <w:rPr>
          <w:rFonts w:ascii="TT Norms Pro Medium"/>
          <w:b/>
          <w:sz w:val="22"/>
        </w:rPr>
      </w:pPr>
      <w:r>
        <w:rPr>
          <w:rFonts w:ascii="TT Norms Pro Medium"/>
          <w:b/>
          <w:sz w:val="22"/>
        </w:rPr>
        <w:t>EXCELLENCE</w:t>
      </w:r>
      <w:r>
        <w:rPr>
          <w:rFonts w:ascii="TT Norms Pro Medium"/>
          <w:b/>
          <w:spacing w:val="-2"/>
          <w:sz w:val="22"/>
        </w:rPr>
        <w:t> </w:t>
      </w:r>
      <w:r>
        <w:rPr>
          <w:rFonts w:ascii="TT Norms Pro Medium"/>
          <w:b/>
          <w:sz w:val="22"/>
        </w:rPr>
        <w:t>IN TEACHING AND </w:t>
      </w:r>
      <w:r>
        <w:rPr>
          <w:rFonts w:ascii="TT Norms Pro Medium"/>
          <w:b/>
          <w:spacing w:val="-2"/>
          <w:sz w:val="22"/>
        </w:rPr>
        <w:t>LEARNING</w:t>
      </w:r>
    </w:p>
    <w:p>
      <w:pPr>
        <w:pStyle w:val="BodyText"/>
        <w:spacing w:before="18"/>
        <w:rPr>
          <w:rFonts w:ascii="TT Norms Pro Medium"/>
          <w:b/>
          <w:sz w:val="22"/>
        </w:rPr>
      </w:pPr>
    </w:p>
    <w:p>
      <w:pPr>
        <w:spacing w:line="307" w:lineRule="auto" w:before="0"/>
        <w:ind w:left="356" w:right="0" w:firstLine="0"/>
        <w:jc w:val="left"/>
        <w:rPr>
          <w:rFonts w:ascii="TT Norms Pro Medium"/>
          <w:b/>
          <w:sz w:val="16"/>
        </w:rPr>
      </w:pPr>
      <w:r>
        <w:rPr>
          <w:rFonts w:ascii="TT Norms Pro Medium"/>
          <w:b/>
          <w:spacing w:val="-4"/>
          <w:sz w:val="16"/>
        </w:rPr>
        <w:t>AUSTRALIAN</w:t>
      </w:r>
      <w:r>
        <w:rPr>
          <w:rFonts w:ascii="TT Norms Pro Medium"/>
          <w:b/>
          <w:spacing w:val="-6"/>
          <w:sz w:val="16"/>
        </w:rPr>
        <w:t> </w:t>
      </w:r>
      <w:r>
        <w:rPr>
          <w:rFonts w:ascii="TT Norms Pro Medium"/>
          <w:b/>
          <w:spacing w:val="-4"/>
          <w:sz w:val="16"/>
        </w:rPr>
        <w:t>AWARDS</w:t>
      </w:r>
      <w:r>
        <w:rPr>
          <w:rFonts w:ascii="TT Norms Pro Medium"/>
          <w:b/>
          <w:spacing w:val="-5"/>
          <w:sz w:val="16"/>
        </w:rPr>
        <w:t> </w:t>
      </w:r>
      <w:r>
        <w:rPr>
          <w:rFonts w:ascii="TT Norms Pro Medium"/>
          <w:b/>
          <w:spacing w:val="-4"/>
          <w:sz w:val="16"/>
        </w:rPr>
        <w:t>FOR</w:t>
      </w:r>
      <w:r>
        <w:rPr>
          <w:rFonts w:ascii="TT Norms Pro Medium"/>
          <w:b/>
          <w:spacing w:val="40"/>
          <w:sz w:val="16"/>
        </w:rPr>
        <w:t> </w:t>
      </w:r>
      <w:r>
        <w:rPr>
          <w:rFonts w:ascii="TT Norms Pro Medium"/>
          <w:b/>
          <w:sz w:val="16"/>
        </w:rPr>
        <w:t>UNIVERSITY</w:t>
      </w:r>
      <w:r>
        <w:rPr>
          <w:rFonts w:ascii="TT Norms Pro Medium"/>
          <w:b/>
          <w:spacing w:val="-10"/>
          <w:sz w:val="16"/>
        </w:rPr>
        <w:t> </w:t>
      </w:r>
      <w:r>
        <w:rPr>
          <w:rFonts w:ascii="TT Norms Pro Medium"/>
          <w:b/>
          <w:sz w:val="16"/>
        </w:rPr>
        <w:t>TEACHING</w:t>
      </w:r>
    </w:p>
    <w:p>
      <w:pPr>
        <w:spacing w:line="307" w:lineRule="auto" w:before="1"/>
        <w:ind w:left="356" w:right="245" w:firstLine="0"/>
        <w:jc w:val="both"/>
        <w:rPr>
          <w:rFonts w:ascii="TT Norms Pro Medium"/>
          <w:b/>
          <w:sz w:val="16"/>
        </w:rPr>
      </w:pPr>
      <w:r>
        <w:rPr>
          <w:rFonts w:ascii="TT Norms Pro Medium"/>
          <w:b/>
          <w:spacing w:val="-4"/>
          <w:sz w:val="16"/>
        </w:rPr>
        <w:t>Rewarding outstanding learning and</w:t>
      </w:r>
      <w:r>
        <w:rPr>
          <w:rFonts w:ascii="TT Norms Pro Medium"/>
          <w:b/>
          <w:spacing w:val="40"/>
          <w:sz w:val="16"/>
        </w:rPr>
        <w:t> </w:t>
      </w:r>
      <w:r>
        <w:rPr>
          <w:rFonts w:ascii="TT Norms Pro Medium"/>
          <w:b/>
          <w:spacing w:val="-4"/>
          <w:sz w:val="16"/>
        </w:rPr>
        <w:t>teaching</w:t>
      </w:r>
      <w:r>
        <w:rPr>
          <w:rFonts w:ascii="TT Norms Pro Medium"/>
          <w:b/>
          <w:spacing w:val="-6"/>
          <w:sz w:val="16"/>
        </w:rPr>
        <w:t> </w:t>
      </w:r>
      <w:r>
        <w:rPr>
          <w:rFonts w:ascii="TT Norms Pro Medium"/>
          <w:b/>
          <w:spacing w:val="-4"/>
          <w:sz w:val="16"/>
        </w:rPr>
        <w:t>at</w:t>
      </w:r>
      <w:r>
        <w:rPr>
          <w:rFonts w:ascii="TT Norms Pro Medium"/>
          <w:b/>
          <w:spacing w:val="-5"/>
          <w:sz w:val="16"/>
        </w:rPr>
        <w:t> </w:t>
      </w:r>
      <w:r>
        <w:rPr>
          <w:rFonts w:ascii="TT Norms Pro Medium"/>
          <w:b/>
          <w:spacing w:val="-4"/>
          <w:sz w:val="16"/>
        </w:rPr>
        <w:t>a</w:t>
      </w:r>
      <w:r>
        <w:rPr>
          <w:rFonts w:ascii="TT Norms Pro Medium"/>
          <w:b/>
          <w:spacing w:val="-6"/>
          <w:sz w:val="16"/>
        </w:rPr>
        <w:t> </w:t>
      </w:r>
      <w:r>
        <w:rPr>
          <w:rFonts w:ascii="TT Norms Pro Medium"/>
          <w:b/>
          <w:spacing w:val="-4"/>
          <w:sz w:val="16"/>
        </w:rPr>
        <w:t>national</w:t>
      </w:r>
      <w:r>
        <w:rPr>
          <w:rFonts w:ascii="TT Norms Pro Medium"/>
          <w:b/>
          <w:spacing w:val="-5"/>
          <w:sz w:val="16"/>
        </w:rPr>
        <w:t> </w:t>
      </w:r>
      <w:r>
        <w:rPr>
          <w:rFonts w:ascii="TT Norms Pro Medium"/>
          <w:b/>
          <w:spacing w:val="-4"/>
          <w:sz w:val="16"/>
        </w:rPr>
        <w:t>level</w:t>
      </w:r>
      <w:r>
        <w:rPr>
          <w:rFonts w:ascii="TT Norms Pro Medium"/>
          <w:b/>
          <w:spacing w:val="-6"/>
          <w:sz w:val="16"/>
        </w:rPr>
        <w:t> </w:t>
      </w:r>
      <w:r>
        <w:rPr>
          <w:rFonts w:ascii="TT Norms Pro Medium"/>
          <w:b/>
          <w:spacing w:val="-4"/>
          <w:sz w:val="16"/>
        </w:rPr>
        <w:t>(awarded</w:t>
      </w:r>
      <w:r>
        <w:rPr>
          <w:rFonts w:ascii="TT Norms Pro Medium"/>
          <w:b/>
          <w:spacing w:val="40"/>
          <w:sz w:val="16"/>
        </w:rPr>
        <w:t> </w:t>
      </w:r>
      <w:r>
        <w:rPr>
          <w:rFonts w:ascii="TT Norms Pro Medium"/>
          <w:b/>
          <w:sz w:val="16"/>
        </w:rPr>
        <w:t>in 2020 from 2019 nominations)</w:t>
      </w:r>
    </w:p>
    <w:p>
      <w:pPr>
        <w:pStyle w:val="BodyText"/>
        <w:spacing w:before="54"/>
        <w:rPr>
          <w:rFonts w:ascii="TT Norms Pro Medium"/>
          <w:b/>
          <w:sz w:val="16"/>
        </w:rPr>
      </w:pPr>
    </w:p>
    <w:p>
      <w:pPr>
        <w:spacing w:before="0"/>
        <w:ind w:left="356" w:right="0" w:firstLine="0"/>
        <w:jc w:val="left"/>
        <w:rPr>
          <w:rFonts w:ascii="TT Norms Pro Light"/>
          <w:b w:val="0"/>
          <w:sz w:val="16"/>
        </w:rPr>
      </w:pPr>
      <w:r>
        <w:rPr>
          <w:rFonts w:ascii="TT Norms Pro Light"/>
          <w:b w:val="0"/>
          <w:sz w:val="16"/>
        </w:rPr>
        <w:t>AWARD</w:t>
      </w:r>
      <w:r>
        <w:rPr>
          <w:rFonts w:ascii="TT Norms Pro Light"/>
          <w:b w:val="0"/>
          <w:spacing w:val="3"/>
          <w:sz w:val="16"/>
        </w:rPr>
        <w:t> </w:t>
      </w:r>
      <w:r>
        <w:rPr>
          <w:rFonts w:ascii="TT Norms Pro Light"/>
          <w:b w:val="0"/>
          <w:sz w:val="16"/>
        </w:rPr>
        <w:t>FOR</w:t>
      </w:r>
      <w:r>
        <w:rPr>
          <w:rFonts w:ascii="TT Norms Pro Light"/>
          <w:b w:val="0"/>
          <w:spacing w:val="3"/>
          <w:sz w:val="16"/>
        </w:rPr>
        <w:t> </w:t>
      </w:r>
      <w:r>
        <w:rPr>
          <w:rFonts w:ascii="TT Norms Pro Light"/>
          <w:b w:val="0"/>
          <w:sz w:val="16"/>
        </w:rPr>
        <w:t>TEACHING</w:t>
      </w:r>
      <w:r>
        <w:rPr>
          <w:rFonts w:ascii="TT Norms Pro Light"/>
          <w:b w:val="0"/>
          <w:spacing w:val="3"/>
          <w:sz w:val="16"/>
        </w:rPr>
        <w:t> </w:t>
      </w:r>
      <w:r>
        <w:rPr>
          <w:rFonts w:ascii="TT Norms Pro Light"/>
          <w:b w:val="0"/>
          <w:spacing w:val="-2"/>
          <w:sz w:val="16"/>
        </w:rPr>
        <w:t>EXCELLENCE</w:t>
      </w:r>
    </w:p>
    <w:p>
      <w:pPr>
        <w:pStyle w:val="BodyText"/>
        <w:spacing w:before="14"/>
        <w:rPr>
          <w:b w:val="0"/>
          <w:sz w:val="16"/>
        </w:rPr>
      </w:pPr>
    </w:p>
    <w:p>
      <w:pPr>
        <w:spacing w:before="1"/>
        <w:ind w:left="640" w:right="0" w:firstLine="0"/>
        <w:jc w:val="left"/>
        <w:rPr>
          <w:rFonts w:ascii="TT Norms Pro Medium"/>
          <w:b/>
          <w:sz w:val="14"/>
        </w:rPr>
      </w:pPr>
      <w:r>
        <w:rPr>
          <w:rFonts w:ascii="TT Norms Pro Medium"/>
          <w:b/>
          <w:spacing w:val="-2"/>
          <w:sz w:val="14"/>
        </w:rPr>
        <w:t>Dr</w:t>
      </w:r>
      <w:r>
        <w:rPr>
          <w:rFonts w:ascii="TT Norms Pro Medium"/>
          <w:b/>
          <w:spacing w:val="-6"/>
          <w:sz w:val="14"/>
        </w:rPr>
        <w:t> </w:t>
      </w:r>
      <w:r>
        <w:rPr>
          <w:rFonts w:ascii="TT Norms Pro Medium"/>
          <w:b/>
          <w:spacing w:val="-2"/>
          <w:sz w:val="14"/>
        </w:rPr>
        <w:t>Demelza</w:t>
      </w:r>
      <w:r>
        <w:rPr>
          <w:rFonts w:ascii="TT Norms Pro Medium"/>
          <w:b/>
          <w:spacing w:val="-5"/>
          <w:sz w:val="14"/>
        </w:rPr>
        <w:t> </w:t>
      </w:r>
      <w:r>
        <w:rPr>
          <w:rFonts w:ascii="TT Norms Pro Medium"/>
          <w:b/>
          <w:spacing w:val="-2"/>
          <w:sz w:val="14"/>
        </w:rPr>
        <w:t>Ireland</w:t>
      </w:r>
    </w:p>
    <w:p>
      <w:pPr>
        <w:spacing w:line="292" w:lineRule="auto" w:before="36"/>
        <w:ind w:left="640" w:right="658" w:firstLine="0"/>
        <w:jc w:val="left"/>
        <w:rPr>
          <w:rFonts w:ascii="TT Norms Pro Light"/>
          <w:b w:val="0"/>
          <w:sz w:val="14"/>
        </w:rPr>
      </w:pPr>
      <w:r>
        <w:rPr>
          <w:rFonts w:ascii="TT Norms Pro Light"/>
          <w:b w:val="0"/>
          <w:sz w:val="14"/>
        </w:rPr>
        <w:t>School of Biomedical Sciences,</w:t>
      </w:r>
      <w:r>
        <w:rPr>
          <w:rFonts w:ascii="TT Norms Pro Light"/>
          <w:b w:val="0"/>
          <w:spacing w:val="40"/>
          <w:sz w:val="14"/>
        </w:rPr>
        <w:t> </w:t>
      </w:r>
      <w:r>
        <w:rPr>
          <w:rFonts w:ascii="TT Norms Pro Light"/>
          <w:b w:val="0"/>
          <w:sz w:val="14"/>
        </w:rPr>
        <w:t>in (Early Career)</w:t>
      </w:r>
    </w:p>
    <w:p>
      <w:pPr>
        <w:pStyle w:val="BodyText"/>
        <w:spacing w:before="57"/>
        <w:rPr>
          <w:b w:val="0"/>
          <w:sz w:val="14"/>
        </w:rPr>
      </w:pPr>
    </w:p>
    <w:p>
      <w:pPr>
        <w:spacing w:line="307" w:lineRule="auto" w:before="0"/>
        <w:ind w:left="356" w:right="519" w:firstLine="0"/>
        <w:jc w:val="both"/>
        <w:rPr>
          <w:rFonts w:ascii="TT Norms Pro Light"/>
          <w:b w:val="0"/>
          <w:sz w:val="16"/>
        </w:rPr>
      </w:pPr>
      <w:r>
        <w:rPr>
          <w:rFonts w:ascii="TT Norms Pro Light"/>
          <w:b w:val="0"/>
          <w:sz w:val="16"/>
        </w:rPr>
        <w:t>CITATIONS</w:t>
      </w:r>
      <w:r>
        <w:rPr>
          <w:rFonts w:ascii="TT Norms Pro Light"/>
          <w:b w:val="0"/>
          <w:spacing w:val="-8"/>
          <w:sz w:val="16"/>
        </w:rPr>
        <w:t> </w:t>
      </w:r>
      <w:r>
        <w:rPr>
          <w:rFonts w:ascii="TT Norms Pro Light"/>
          <w:b w:val="0"/>
          <w:sz w:val="16"/>
        </w:rPr>
        <w:t>FOR</w:t>
      </w:r>
      <w:r>
        <w:rPr>
          <w:rFonts w:ascii="TT Norms Pro Light"/>
          <w:b w:val="0"/>
          <w:spacing w:val="-8"/>
          <w:sz w:val="16"/>
        </w:rPr>
        <w:t> </w:t>
      </w:r>
      <w:r>
        <w:rPr>
          <w:rFonts w:ascii="TT Norms Pro Light"/>
          <w:b w:val="0"/>
          <w:sz w:val="16"/>
        </w:rPr>
        <w:t>OUTSTANDING</w:t>
      </w:r>
      <w:r>
        <w:rPr>
          <w:rFonts w:ascii="TT Norms Pro Light"/>
          <w:b w:val="0"/>
          <w:spacing w:val="40"/>
          <w:sz w:val="16"/>
        </w:rPr>
        <w:t> </w:t>
      </w:r>
      <w:r>
        <w:rPr>
          <w:rFonts w:ascii="TT Norms Pro Light"/>
          <w:b w:val="0"/>
          <w:sz w:val="16"/>
        </w:rPr>
        <w:t>CONTRIBUTIONS TO STUDENT</w:t>
      </w:r>
      <w:r>
        <w:rPr>
          <w:rFonts w:ascii="TT Norms Pro Light"/>
          <w:b w:val="0"/>
          <w:spacing w:val="40"/>
          <w:sz w:val="16"/>
        </w:rPr>
        <w:t> </w:t>
      </w:r>
      <w:r>
        <w:rPr>
          <w:rFonts w:ascii="TT Norms Pro Light"/>
          <w:b w:val="0"/>
          <w:spacing w:val="-2"/>
          <w:sz w:val="16"/>
        </w:rPr>
        <w:t>LEARNING</w:t>
      </w:r>
    </w:p>
    <w:p>
      <w:pPr>
        <w:spacing w:line="292" w:lineRule="auto" w:before="150"/>
        <w:ind w:left="640" w:right="540" w:firstLine="0"/>
        <w:jc w:val="left"/>
        <w:rPr>
          <w:rFonts w:ascii="TT Norms Pro Medium"/>
          <w:b/>
          <w:sz w:val="14"/>
        </w:rPr>
      </w:pPr>
      <w:r>
        <w:rPr>
          <w:rFonts w:ascii="TT Norms Pro Medium"/>
          <w:b/>
          <w:spacing w:val="-2"/>
          <w:sz w:val="14"/>
        </w:rPr>
        <w:t>Associate</w:t>
      </w:r>
      <w:r>
        <w:rPr>
          <w:rFonts w:ascii="TT Norms Pro Medium"/>
          <w:b/>
          <w:spacing w:val="-7"/>
          <w:sz w:val="14"/>
        </w:rPr>
        <w:t> </w:t>
      </w:r>
      <w:r>
        <w:rPr>
          <w:rFonts w:ascii="TT Norms Pro Medium"/>
          <w:b/>
          <w:spacing w:val="-2"/>
          <w:sz w:val="14"/>
        </w:rPr>
        <w:t>Professor</w:t>
      </w:r>
      <w:r>
        <w:rPr>
          <w:rFonts w:ascii="TT Norms Pro Medium"/>
          <w:b/>
          <w:spacing w:val="-6"/>
          <w:sz w:val="14"/>
        </w:rPr>
        <w:t> </w:t>
      </w:r>
      <w:r>
        <w:rPr>
          <w:rFonts w:ascii="TT Norms Pro Medium"/>
          <w:b/>
          <w:spacing w:val="-2"/>
          <w:sz w:val="14"/>
        </w:rPr>
        <w:t>Christopher</w:t>
      </w:r>
      <w:r>
        <w:rPr>
          <w:rFonts w:ascii="TT Norms Pro Medium"/>
          <w:b/>
          <w:spacing w:val="40"/>
          <w:sz w:val="14"/>
        </w:rPr>
        <w:t> </w:t>
      </w:r>
      <w:r>
        <w:rPr>
          <w:rFonts w:ascii="TT Norms Pro Medium"/>
          <w:b/>
          <w:spacing w:val="-2"/>
          <w:sz w:val="14"/>
        </w:rPr>
        <w:t>Etherton-Beer</w:t>
      </w:r>
    </w:p>
    <w:p>
      <w:pPr>
        <w:spacing w:before="1"/>
        <w:ind w:left="640" w:right="0" w:firstLine="0"/>
        <w:jc w:val="left"/>
        <w:rPr>
          <w:rFonts w:ascii="TT Norms Pro Light"/>
          <w:b w:val="0"/>
          <w:sz w:val="14"/>
        </w:rPr>
      </w:pPr>
      <w:r>
        <w:rPr>
          <w:rFonts w:ascii="TT Norms Pro Light"/>
          <w:b w:val="0"/>
          <w:sz w:val="14"/>
        </w:rPr>
        <w:t>Medical</w:t>
      </w:r>
      <w:r>
        <w:rPr>
          <w:rFonts w:ascii="TT Norms Pro Light"/>
          <w:b w:val="0"/>
          <w:spacing w:val="15"/>
          <w:sz w:val="14"/>
        </w:rPr>
        <w:t> </w:t>
      </w:r>
      <w:r>
        <w:rPr>
          <w:rFonts w:ascii="TT Norms Pro Light"/>
          <w:b w:val="0"/>
          <w:spacing w:val="-2"/>
          <w:sz w:val="14"/>
        </w:rPr>
        <w:t>School</w:t>
      </w:r>
    </w:p>
    <w:p>
      <w:pPr>
        <w:pStyle w:val="BodyText"/>
        <w:spacing w:before="72"/>
        <w:rPr>
          <w:b w:val="0"/>
          <w:sz w:val="14"/>
        </w:rPr>
      </w:pPr>
    </w:p>
    <w:p>
      <w:pPr>
        <w:spacing w:before="0"/>
        <w:ind w:left="640" w:right="0" w:firstLine="0"/>
        <w:jc w:val="left"/>
        <w:rPr>
          <w:rFonts w:ascii="TT Norms Pro Medium"/>
          <w:b/>
          <w:sz w:val="14"/>
        </w:rPr>
      </w:pPr>
      <w:r>
        <w:rPr>
          <w:rFonts w:ascii="TT Norms Pro Medium"/>
          <w:b/>
          <w:spacing w:val="-4"/>
          <w:sz w:val="14"/>
        </w:rPr>
        <w:t>Dr</w:t>
      </w:r>
      <w:r>
        <w:rPr>
          <w:rFonts w:ascii="TT Norms Pro Medium"/>
          <w:b/>
          <w:spacing w:val="2"/>
          <w:sz w:val="14"/>
        </w:rPr>
        <w:t> </w:t>
      </w:r>
      <w:r>
        <w:rPr>
          <w:rFonts w:ascii="TT Norms Pro Medium"/>
          <w:b/>
          <w:spacing w:val="-4"/>
          <w:sz w:val="14"/>
        </w:rPr>
        <w:t>Zhangxin</w:t>
      </w:r>
      <w:r>
        <w:rPr>
          <w:rFonts w:ascii="TT Norms Pro Medium"/>
          <w:b/>
          <w:spacing w:val="3"/>
          <w:sz w:val="14"/>
        </w:rPr>
        <w:t> </w:t>
      </w:r>
      <w:r>
        <w:rPr>
          <w:rFonts w:ascii="TT Norms Pro Medium"/>
          <w:b/>
          <w:spacing w:val="-4"/>
          <w:sz w:val="14"/>
        </w:rPr>
        <w:t>(Frank)</w:t>
      </w:r>
      <w:r>
        <w:rPr>
          <w:rFonts w:ascii="TT Norms Pro Medium"/>
          <w:b/>
          <w:spacing w:val="3"/>
          <w:sz w:val="14"/>
        </w:rPr>
        <w:t> </w:t>
      </w:r>
      <w:r>
        <w:rPr>
          <w:rFonts w:ascii="TT Norms Pro Medium"/>
          <w:b/>
          <w:spacing w:val="-5"/>
          <w:sz w:val="14"/>
        </w:rPr>
        <w:t>Liu</w:t>
      </w:r>
    </w:p>
    <w:p>
      <w:pPr>
        <w:spacing w:before="37"/>
        <w:ind w:left="640" w:right="0" w:firstLine="0"/>
        <w:jc w:val="left"/>
        <w:rPr>
          <w:rFonts w:ascii="TT Norms Pro Light"/>
          <w:b w:val="0"/>
          <w:sz w:val="14"/>
        </w:rPr>
      </w:pPr>
      <w:r>
        <w:rPr>
          <w:rFonts w:ascii="TT Norms Pro Light"/>
          <w:b w:val="0"/>
          <w:sz w:val="14"/>
        </w:rPr>
        <w:t>Business</w:t>
      </w:r>
      <w:r>
        <w:rPr>
          <w:rFonts w:ascii="TT Norms Pro Light"/>
          <w:b w:val="0"/>
          <w:spacing w:val="12"/>
          <w:sz w:val="14"/>
        </w:rPr>
        <w:t> </w:t>
      </w:r>
      <w:r>
        <w:rPr>
          <w:rFonts w:ascii="TT Norms Pro Light"/>
          <w:b w:val="0"/>
          <w:spacing w:val="-2"/>
          <w:sz w:val="14"/>
        </w:rPr>
        <w:t>School</w:t>
      </w:r>
    </w:p>
    <w:p>
      <w:pPr>
        <w:pStyle w:val="BodyText"/>
        <w:spacing w:before="72"/>
        <w:rPr>
          <w:b w:val="0"/>
          <w:sz w:val="14"/>
        </w:rPr>
      </w:pPr>
    </w:p>
    <w:p>
      <w:pPr>
        <w:spacing w:before="0"/>
        <w:ind w:left="640" w:right="0" w:firstLine="0"/>
        <w:jc w:val="left"/>
        <w:rPr>
          <w:rFonts w:ascii="TT Norms Pro Medium"/>
          <w:b/>
          <w:sz w:val="14"/>
        </w:rPr>
      </w:pPr>
      <w:r>
        <w:rPr>
          <w:rFonts w:ascii="TT Norms Pro Medium"/>
          <w:b/>
          <w:spacing w:val="-2"/>
          <w:sz w:val="14"/>
        </w:rPr>
        <w:t>Dr</w:t>
      </w:r>
      <w:r>
        <w:rPr>
          <w:rFonts w:ascii="TT Norms Pro Medium"/>
          <w:b/>
          <w:spacing w:val="-6"/>
          <w:sz w:val="14"/>
        </w:rPr>
        <w:t> </w:t>
      </w:r>
      <w:r>
        <w:rPr>
          <w:rFonts w:ascii="TT Norms Pro Medium"/>
          <w:b/>
          <w:spacing w:val="-2"/>
          <w:sz w:val="14"/>
        </w:rPr>
        <w:t>Nicola</w:t>
      </w:r>
      <w:r>
        <w:rPr>
          <w:rFonts w:ascii="TT Norms Pro Medium"/>
          <w:b/>
          <w:spacing w:val="-6"/>
          <w:sz w:val="14"/>
        </w:rPr>
        <w:t> </w:t>
      </w:r>
      <w:r>
        <w:rPr>
          <w:rFonts w:ascii="TT Norms Pro Medium"/>
          <w:b/>
          <w:spacing w:val="-2"/>
          <w:sz w:val="14"/>
        </w:rPr>
        <w:t>Mitchell</w:t>
      </w:r>
    </w:p>
    <w:p>
      <w:pPr>
        <w:spacing w:before="36"/>
        <w:ind w:left="640" w:right="0" w:firstLine="0"/>
        <w:jc w:val="left"/>
        <w:rPr>
          <w:rFonts w:ascii="TT Norms Pro Light"/>
          <w:b w:val="0"/>
          <w:sz w:val="14"/>
        </w:rPr>
      </w:pPr>
      <w:r>
        <w:rPr>
          <w:rFonts w:ascii="TT Norms Pro Light"/>
          <w:b w:val="0"/>
          <w:sz w:val="14"/>
        </w:rPr>
        <w:t>School</w:t>
      </w:r>
      <w:r>
        <w:rPr>
          <w:rFonts w:ascii="TT Norms Pro Light"/>
          <w:b w:val="0"/>
          <w:spacing w:val="9"/>
          <w:sz w:val="14"/>
        </w:rPr>
        <w:t> </w:t>
      </w:r>
      <w:r>
        <w:rPr>
          <w:rFonts w:ascii="TT Norms Pro Light"/>
          <w:b w:val="0"/>
          <w:sz w:val="14"/>
        </w:rPr>
        <w:t>of</w:t>
      </w:r>
      <w:r>
        <w:rPr>
          <w:rFonts w:ascii="TT Norms Pro Light"/>
          <w:b w:val="0"/>
          <w:spacing w:val="11"/>
          <w:sz w:val="14"/>
        </w:rPr>
        <w:t> </w:t>
      </w:r>
      <w:r>
        <w:rPr>
          <w:rFonts w:ascii="TT Norms Pro Light"/>
          <w:b w:val="0"/>
          <w:sz w:val="14"/>
        </w:rPr>
        <w:t>Biological</w:t>
      </w:r>
      <w:r>
        <w:rPr>
          <w:rFonts w:ascii="TT Norms Pro Light"/>
          <w:b w:val="0"/>
          <w:spacing w:val="11"/>
          <w:sz w:val="14"/>
        </w:rPr>
        <w:t> </w:t>
      </w:r>
      <w:r>
        <w:rPr>
          <w:rFonts w:ascii="TT Norms Pro Light"/>
          <w:b w:val="0"/>
          <w:spacing w:val="-2"/>
          <w:sz w:val="14"/>
        </w:rPr>
        <w:t>Sciences</w:t>
      </w:r>
    </w:p>
    <w:p>
      <w:pPr>
        <w:pStyle w:val="BodyText"/>
        <w:spacing w:before="133"/>
        <w:rPr>
          <w:b w:val="0"/>
          <w:sz w:val="14"/>
        </w:rPr>
      </w:pPr>
    </w:p>
    <w:p>
      <w:pPr>
        <w:spacing w:before="0"/>
        <w:ind w:left="356" w:right="0" w:firstLine="0"/>
        <w:jc w:val="both"/>
        <w:rPr>
          <w:rFonts w:ascii="TT Norms Pro Medium"/>
          <w:b/>
          <w:sz w:val="16"/>
        </w:rPr>
      </w:pPr>
      <w:r>
        <w:rPr>
          <w:rFonts w:ascii="TT Norms Pro Medium"/>
          <w:b/>
          <w:spacing w:val="-5"/>
          <w:sz w:val="16"/>
        </w:rPr>
        <w:t>UWA </w:t>
      </w:r>
      <w:r>
        <w:rPr>
          <w:rFonts w:ascii="TT Norms Pro Medium"/>
          <w:b/>
          <w:spacing w:val="-2"/>
          <w:sz w:val="16"/>
        </w:rPr>
        <w:t>AWARDS</w:t>
      </w:r>
    </w:p>
    <w:p>
      <w:pPr>
        <w:spacing w:line="307" w:lineRule="auto" w:before="53"/>
        <w:ind w:left="356" w:right="588" w:firstLine="0"/>
        <w:jc w:val="left"/>
        <w:rPr>
          <w:rFonts w:ascii="TT Norms Pro Medium"/>
          <w:b/>
          <w:sz w:val="16"/>
        </w:rPr>
      </w:pPr>
      <w:r>
        <w:rPr>
          <w:rFonts w:ascii="TT Norms Pro Medium"/>
          <w:b/>
          <w:spacing w:val="-4"/>
          <w:sz w:val="16"/>
        </w:rPr>
        <w:t>Acknowledging the University's</w:t>
      </w:r>
      <w:r>
        <w:rPr>
          <w:rFonts w:ascii="TT Norms Pro Medium"/>
          <w:b/>
          <w:spacing w:val="40"/>
          <w:sz w:val="16"/>
        </w:rPr>
        <w:t> </w:t>
      </w:r>
      <w:r>
        <w:rPr>
          <w:rFonts w:ascii="TT Norms Pro Medium"/>
          <w:b/>
          <w:sz w:val="16"/>
        </w:rPr>
        <w:t>outstanding teaching and</w:t>
      </w:r>
      <w:r>
        <w:rPr>
          <w:rFonts w:ascii="TT Norms Pro Medium"/>
          <w:b/>
          <w:spacing w:val="40"/>
          <w:sz w:val="16"/>
        </w:rPr>
        <w:t> </w:t>
      </w:r>
      <w:r>
        <w:rPr>
          <w:rFonts w:ascii="TT Norms Pro Medium"/>
          <w:b/>
          <w:sz w:val="16"/>
        </w:rPr>
        <w:t>support</w:t>
      </w:r>
      <w:r>
        <w:rPr>
          <w:rFonts w:ascii="TT Norms Pro Medium"/>
          <w:b/>
          <w:spacing w:val="-10"/>
          <w:sz w:val="16"/>
        </w:rPr>
        <w:t> </w:t>
      </w:r>
      <w:r>
        <w:rPr>
          <w:rFonts w:ascii="TT Norms Pro Medium"/>
          <w:b/>
          <w:sz w:val="16"/>
        </w:rPr>
        <w:t>staff</w:t>
      </w:r>
    </w:p>
    <w:p>
      <w:pPr>
        <w:pStyle w:val="BodyText"/>
        <w:spacing w:before="54"/>
        <w:rPr>
          <w:rFonts w:ascii="TT Norms Pro Medium"/>
          <w:b/>
          <w:sz w:val="16"/>
        </w:rPr>
      </w:pPr>
    </w:p>
    <w:p>
      <w:pPr>
        <w:spacing w:line="307" w:lineRule="auto" w:before="0"/>
        <w:ind w:left="356" w:right="762" w:firstLine="0"/>
        <w:jc w:val="left"/>
        <w:rPr>
          <w:rFonts w:ascii="TT Norms Pro Light"/>
          <w:b w:val="0"/>
          <w:sz w:val="16"/>
        </w:rPr>
      </w:pPr>
      <w:r>
        <w:rPr>
          <w:rFonts w:ascii="TT Norms Pro Light"/>
          <w:b w:val="0"/>
          <w:sz w:val="16"/>
        </w:rPr>
        <w:t>AWARD</w:t>
      </w:r>
      <w:r>
        <w:rPr>
          <w:rFonts w:ascii="TT Norms Pro Light"/>
          <w:b w:val="0"/>
          <w:spacing w:val="-8"/>
          <w:sz w:val="16"/>
        </w:rPr>
        <w:t> </w:t>
      </w:r>
      <w:r>
        <w:rPr>
          <w:rFonts w:ascii="TT Norms Pro Light"/>
          <w:b w:val="0"/>
          <w:sz w:val="16"/>
        </w:rPr>
        <w:t>FOR</w:t>
      </w:r>
      <w:r>
        <w:rPr>
          <w:rFonts w:ascii="TT Norms Pro Light"/>
          <w:b w:val="0"/>
          <w:spacing w:val="-8"/>
          <w:sz w:val="16"/>
        </w:rPr>
        <w:t> </w:t>
      </w:r>
      <w:r>
        <w:rPr>
          <w:rFonts w:ascii="TT Norms Pro Light"/>
          <w:b w:val="0"/>
          <w:sz w:val="16"/>
        </w:rPr>
        <w:t>EXCELLENCE</w:t>
      </w:r>
      <w:r>
        <w:rPr>
          <w:rFonts w:ascii="TT Norms Pro Light"/>
          <w:b w:val="0"/>
          <w:spacing w:val="40"/>
          <w:sz w:val="16"/>
        </w:rPr>
        <w:t> </w:t>
      </w:r>
      <w:r>
        <w:rPr>
          <w:rFonts w:ascii="TT Norms Pro Light"/>
          <w:b w:val="0"/>
          <w:sz w:val="16"/>
        </w:rPr>
        <w:t>IN</w:t>
      </w:r>
      <w:r>
        <w:rPr>
          <w:rFonts w:ascii="TT Norms Pro Light"/>
          <w:b w:val="0"/>
          <w:spacing w:val="-8"/>
          <w:sz w:val="16"/>
        </w:rPr>
        <w:t> </w:t>
      </w:r>
      <w:r>
        <w:rPr>
          <w:rFonts w:ascii="TT Norms Pro Light"/>
          <w:b w:val="0"/>
          <w:sz w:val="16"/>
        </w:rPr>
        <w:t>TEACHING</w:t>
      </w:r>
    </w:p>
    <w:p>
      <w:pPr>
        <w:spacing w:before="150"/>
        <w:ind w:left="640" w:right="0" w:firstLine="0"/>
        <w:jc w:val="left"/>
        <w:rPr>
          <w:rFonts w:ascii="TT Norms Pro Medium"/>
          <w:b/>
          <w:sz w:val="14"/>
        </w:rPr>
      </w:pPr>
      <w:r>
        <w:rPr>
          <w:rFonts w:ascii="TT Norms Pro Medium"/>
          <w:b/>
          <w:spacing w:val="-2"/>
          <w:sz w:val="14"/>
        </w:rPr>
        <w:t>Dr</w:t>
      </w:r>
      <w:r>
        <w:rPr>
          <w:rFonts w:ascii="TT Norms Pro Medium"/>
          <w:b/>
          <w:spacing w:val="-6"/>
          <w:sz w:val="14"/>
        </w:rPr>
        <w:t> </w:t>
      </w:r>
      <w:r>
        <w:rPr>
          <w:rFonts w:ascii="TT Norms Pro Medium"/>
          <w:b/>
          <w:spacing w:val="-2"/>
          <w:sz w:val="14"/>
        </w:rPr>
        <w:t>Joseph</w:t>
      </w:r>
      <w:r>
        <w:rPr>
          <w:rFonts w:ascii="TT Norms Pro Medium"/>
          <w:b/>
          <w:spacing w:val="-5"/>
          <w:sz w:val="14"/>
        </w:rPr>
        <w:t> </w:t>
      </w:r>
      <w:r>
        <w:rPr>
          <w:rFonts w:ascii="TT Norms Pro Medium"/>
          <w:b/>
          <w:spacing w:val="-2"/>
          <w:sz w:val="14"/>
        </w:rPr>
        <w:t>Carpini</w:t>
      </w:r>
    </w:p>
    <w:p>
      <w:pPr>
        <w:spacing w:before="36"/>
        <w:ind w:left="640" w:right="0" w:firstLine="0"/>
        <w:jc w:val="left"/>
        <w:rPr>
          <w:rFonts w:ascii="TT Norms Pro Light"/>
          <w:b w:val="0"/>
          <w:sz w:val="14"/>
        </w:rPr>
      </w:pPr>
      <w:r>
        <w:rPr>
          <w:rFonts w:ascii="TT Norms Pro Light"/>
          <w:b w:val="0"/>
          <w:sz w:val="14"/>
        </w:rPr>
        <w:t>Business</w:t>
      </w:r>
      <w:r>
        <w:rPr>
          <w:rFonts w:ascii="TT Norms Pro Light"/>
          <w:b w:val="0"/>
          <w:spacing w:val="12"/>
          <w:sz w:val="14"/>
        </w:rPr>
        <w:t> </w:t>
      </w:r>
      <w:r>
        <w:rPr>
          <w:rFonts w:ascii="TT Norms Pro Light"/>
          <w:b w:val="0"/>
          <w:spacing w:val="-2"/>
          <w:sz w:val="14"/>
        </w:rPr>
        <w:t>School</w:t>
      </w:r>
    </w:p>
    <w:p>
      <w:pPr>
        <w:pStyle w:val="BodyText"/>
        <w:spacing w:before="73"/>
        <w:rPr>
          <w:b w:val="0"/>
          <w:sz w:val="14"/>
        </w:rPr>
      </w:pPr>
    </w:p>
    <w:p>
      <w:pPr>
        <w:spacing w:before="0"/>
        <w:ind w:left="640" w:right="0" w:firstLine="0"/>
        <w:jc w:val="left"/>
        <w:rPr>
          <w:rFonts w:ascii="TT Norms Pro Medium"/>
          <w:b/>
          <w:sz w:val="14"/>
        </w:rPr>
      </w:pPr>
      <w:r>
        <w:rPr>
          <w:rFonts w:ascii="TT Norms Pro Medium"/>
          <w:b/>
          <w:spacing w:val="-2"/>
          <w:sz w:val="14"/>
        </w:rPr>
        <w:t>Dr</w:t>
      </w:r>
      <w:r>
        <w:rPr>
          <w:rFonts w:ascii="TT Norms Pro Medium"/>
          <w:b/>
          <w:spacing w:val="-6"/>
          <w:sz w:val="14"/>
        </w:rPr>
        <w:t> </w:t>
      </w:r>
      <w:r>
        <w:rPr>
          <w:rFonts w:ascii="TT Norms Pro Medium"/>
          <w:b/>
          <w:spacing w:val="-2"/>
          <w:sz w:val="14"/>
        </w:rPr>
        <w:t>Marco</w:t>
      </w:r>
      <w:r>
        <w:rPr>
          <w:rFonts w:ascii="TT Norms Pro Medium"/>
          <w:b/>
          <w:spacing w:val="-6"/>
          <w:sz w:val="14"/>
        </w:rPr>
        <w:t> </w:t>
      </w:r>
      <w:r>
        <w:rPr>
          <w:rFonts w:ascii="TT Norms Pro Medium"/>
          <w:b/>
          <w:spacing w:val="-2"/>
          <w:sz w:val="14"/>
        </w:rPr>
        <w:t>Ghisalberti</w:t>
      </w:r>
    </w:p>
    <w:p>
      <w:pPr>
        <w:spacing w:before="36"/>
        <w:ind w:left="640" w:right="0" w:firstLine="0"/>
        <w:jc w:val="left"/>
        <w:rPr>
          <w:rFonts w:ascii="TT Norms Pro Light"/>
          <w:b w:val="0"/>
          <w:sz w:val="14"/>
        </w:rPr>
      </w:pPr>
      <w:r>
        <w:rPr>
          <w:rFonts w:ascii="TT Norms Pro Light"/>
          <w:b w:val="0"/>
          <w:sz w:val="14"/>
        </w:rPr>
        <w:t>Oceans</w:t>
      </w:r>
      <w:r>
        <w:rPr>
          <w:rFonts w:ascii="TT Norms Pro Light"/>
          <w:b w:val="0"/>
          <w:spacing w:val="9"/>
          <w:sz w:val="14"/>
        </w:rPr>
        <w:t> </w:t>
      </w:r>
      <w:r>
        <w:rPr>
          <w:rFonts w:ascii="TT Norms Pro Light"/>
          <w:b w:val="0"/>
          <w:sz w:val="14"/>
        </w:rPr>
        <w:t>Graduate</w:t>
      </w:r>
      <w:r>
        <w:rPr>
          <w:rFonts w:ascii="TT Norms Pro Light"/>
          <w:b w:val="0"/>
          <w:spacing w:val="9"/>
          <w:sz w:val="14"/>
        </w:rPr>
        <w:t> </w:t>
      </w:r>
      <w:r>
        <w:rPr>
          <w:rFonts w:ascii="TT Norms Pro Light"/>
          <w:b w:val="0"/>
          <w:spacing w:val="-2"/>
          <w:sz w:val="14"/>
        </w:rPr>
        <w:t>School</w:t>
      </w:r>
    </w:p>
    <w:p>
      <w:pPr>
        <w:pStyle w:val="BodyText"/>
        <w:spacing w:before="72"/>
        <w:rPr>
          <w:b w:val="0"/>
          <w:sz w:val="14"/>
        </w:rPr>
      </w:pPr>
    </w:p>
    <w:p>
      <w:pPr>
        <w:spacing w:before="0"/>
        <w:ind w:left="640" w:right="0" w:firstLine="0"/>
        <w:jc w:val="left"/>
        <w:rPr>
          <w:rFonts w:ascii="TT Norms Pro Medium"/>
          <w:b/>
          <w:sz w:val="14"/>
        </w:rPr>
      </w:pPr>
      <w:r>
        <w:rPr>
          <w:rFonts w:ascii="TT Norms Pro Medium"/>
          <w:b/>
          <w:spacing w:val="-2"/>
          <w:sz w:val="14"/>
        </w:rPr>
        <w:t>Dr</w:t>
      </w:r>
      <w:r>
        <w:rPr>
          <w:rFonts w:ascii="TT Norms Pro Medium"/>
          <w:b/>
          <w:spacing w:val="-6"/>
          <w:sz w:val="14"/>
        </w:rPr>
        <w:t> </w:t>
      </w:r>
      <w:r>
        <w:rPr>
          <w:rFonts w:ascii="TT Norms Pro Medium"/>
          <w:b/>
          <w:spacing w:val="-2"/>
          <w:sz w:val="14"/>
        </w:rPr>
        <w:t>Fiona</w:t>
      </w:r>
      <w:r>
        <w:rPr>
          <w:rFonts w:ascii="TT Norms Pro Medium"/>
          <w:b/>
          <w:spacing w:val="-6"/>
          <w:sz w:val="14"/>
        </w:rPr>
        <w:t> </w:t>
      </w:r>
      <w:r>
        <w:rPr>
          <w:rFonts w:ascii="TT Norms Pro Medium"/>
          <w:b/>
          <w:spacing w:val="-2"/>
          <w:sz w:val="14"/>
        </w:rPr>
        <w:t>McGaughey</w:t>
      </w:r>
    </w:p>
    <w:p>
      <w:pPr>
        <w:spacing w:before="37"/>
        <w:ind w:left="640" w:right="0" w:firstLine="0"/>
        <w:jc w:val="left"/>
        <w:rPr>
          <w:rFonts w:ascii="TT Norms Pro Light"/>
          <w:b w:val="0"/>
          <w:sz w:val="14"/>
        </w:rPr>
      </w:pPr>
      <w:r>
        <w:rPr>
          <w:rFonts w:ascii="TT Norms Pro Light"/>
          <w:b w:val="0"/>
          <w:sz w:val="14"/>
        </w:rPr>
        <w:t>Law</w:t>
      </w:r>
      <w:r>
        <w:rPr>
          <w:rFonts w:ascii="TT Norms Pro Light"/>
          <w:b w:val="0"/>
          <w:spacing w:val="6"/>
          <w:sz w:val="14"/>
        </w:rPr>
        <w:t> </w:t>
      </w:r>
      <w:r>
        <w:rPr>
          <w:rFonts w:ascii="TT Norms Pro Light"/>
          <w:b w:val="0"/>
          <w:spacing w:val="-2"/>
          <w:sz w:val="14"/>
        </w:rPr>
        <w:t>School</w:t>
      </w:r>
    </w:p>
    <w:p>
      <w:pPr>
        <w:pStyle w:val="BodyText"/>
        <w:spacing w:before="72"/>
        <w:rPr>
          <w:b w:val="0"/>
          <w:sz w:val="14"/>
        </w:rPr>
      </w:pPr>
    </w:p>
    <w:p>
      <w:pPr>
        <w:spacing w:before="0"/>
        <w:ind w:left="640" w:right="0" w:firstLine="0"/>
        <w:jc w:val="left"/>
        <w:rPr>
          <w:rFonts w:ascii="TT Norms Pro Medium"/>
          <w:b/>
          <w:sz w:val="14"/>
        </w:rPr>
      </w:pPr>
      <w:r>
        <w:rPr>
          <w:rFonts w:ascii="TT Norms Pro Medium"/>
          <w:b/>
          <w:spacing w:val="-2"/>
          <w:sz w:val="14"/>
        </w:rPr>
        <w:t>Dr</w:t>
      </w:r>
      <w:r>
        <w:rPr>
          <w:rFonts w:ascii="TT Norms Pro Medium"/>
          <w:b/>
          <w:spacing w:val="-6"/>
          <w:sz w:val="14"/>
        </w:rPr>
        <w:t> </w:t>
      </w:r>
      <w:r>
        <w:rPr>
          <w:rFonts w:ascii="TT Norms Pro Medium"/>
          <w:b/>
          <w:spacing w:val="-2"/>
          <w:sz w:val="14"/>
        </w:rPr>
        <w:t>Gemma</w:t>
      </w:r>
      <w:r>
        <w:rPr>
          <w:rFonts w:ascii="TT Norms Pro Medium"/>
          <w:b/>
          <w:spacing w:val="-6"/>
          <w:sz w:val="14"/>
        </w:rPr>
        <w:t> </w:t>
      </w:r>
      <w:r>
        <w:rPr>
          <w:rFonts w:ascii="TT Norms Pro Medium"/>
          <w:b/>
          <w:spacing w:val="-2"/>
          <w:sz w:val="14"/>
        </w:rPr>
        <w:t>Scarparolo</w:t>
      </w:r>
    </w:p>
    <w:p>
      <w:pPr>
        <w:spacing w:before="36"/>
        <w:ind w:left="640" w:right="0" w:firstLine="0"/>
        <w:jc w:val="left"/>
        <w:rPr>
          <w:rFonts w:ascii="TT Norms Pro Light"/>
          <w:b w:val="0"/>
          <w:sz w:val="14"/>
        </w:rPr>
      </w:pPr>
      <w:r>
        <w:rPr>
          <w:rFonts w:ascii="TT Norms Pro Light"/>
          <w:b w:val="0"/>
          <w:sz w:val="14"/>
        </w:rPr>
        <w:t>Graduate</w:t>
      </w:r>
      <w:r>
        <w:rPr>
          <w:rFonts w:ascii="TT Norms Pro Light"/>
          <w:b w:val="0"/>
          <w:spacing w:val="5"/>
          <w:sz w:val="14"/>
        </w:rPr>
        <w:t> </w:t>
      </w:r>
      <w:r>
        <w:rPr>
          <w:rFonts w:ascii="TT Norms Pro Light"/>
          <w:b w:val="0"/>
          <w:sz w:val="14"/>
        </w:rPr>
        <w:t>School</w:t>
      </w:r>
      <w:r>
        <w:rPr>
          <w:rFonts w:ascii="TT Norms Pro Light"/>
          <w:b w:val="0"/>
          <w:spacing w:val="7"/>
          <w:sz w:val="14"/>
        </w:rPr>
        <w:t> </w:t>
      </w:r>
      <w:r>
        <w:rPr>
          <w:rFonts w:ascii="TT Norms Pro Light"/>
          <w:b w:val="0"/>
          <w:sz w:val="14"/>
        </w:rPr>
        <w:t>of</w:t>
      </w:r>
      <w:r>
        <w:rPr>
          <w:rFonts w:ascii="TT Norms Pro Light"/>
          <w:b w:val="0"/>
          <w:spacing w:val="8"/>
          <w:sz w:val="14"/>
        </w:rPr>
        <w:t> </w:t>
      </w:r>
      <w:r>
        <w:rPr>
          <w:rFonts w:ascii="TT Norms Pro Light"/>
          <w:b w:val="0"/>
          <w:spacing w:val="-2"/>
          <w:sz w:val="14"/>
        </w:rPr>
        <w:t>Education</w:t>
      </w:r>
    </w:p>
    <w:p>
      <w:pPr>
        <w:pStyle w:val="BodyText"/>
        <w:spacing w:before="93"/>
        <w:rPr>
          <w:b w:val="0"/>
          <w:sz w:val="14"/>
        </w:rPr>
      </w:pPr>
    </w:p>
    <w:p>
      <w:pPr>
        <w:spacing w:line="307" w:lineRule="auto" w:before="0"/>
        <w:ind w:left="356" w:right="519" w:firstLine="0"/>
        <w:jc w:val="both"/>
        <w:rPr>
          <w:rFonts w:ascii="TT Norms Pro Light"/>
          <w:b w:val="0"/>
          <w:sz w:val="16"/>
        </w:rPr>
      </w:pPr>
      <w:r>
        <w:rPr>
          <w:rFonts w:ascii="TT Norms Pro Light"/>
          <w:b w:val="0"/>
          <w:sz w:val="16"/>
        </w:rPr>
        <w:t>CITATIONS</w:t>
      </w:r>
      <w:r>
        <w:rPr>
          <w:rFonts w:ascii="TT Norms Pro Light"/>
          <w:b w:val="0"/>
          <w:spacing w:val="-8"/>
          <w:sz w:val="16"/>
        </w:rPr>
        <w:t> </w:t>
      </w:r>
      <w:r>
        <w:rPr>
          <w:rFonts w:ascii="TT Norms Pro Light"/>
          <w:b w:val="0"/>
          <w:sz w:val="16"/>
        </w:rPr>
        <w:t>FOR</w:t>
      </w:r>
      <w:r>
        <w:rPr>
          <w:rFonts w:ascii="TT Norms Pro Light"/>
          <w:b w:val="0"/>
          <w:spacing w:val="-8"/>
          <w:sz w:val="16"/>
        </w:rPr>
        <w:t> </w:t>
      </w:r>
      <w:r>
        <w:rPr>
          <w:rFonts w:ascii="TT Norms Pro Light"/>
          <w:b w:val="0"/>
          <w:sz w:val="16"/>
        </w:rPr>
        <w:t>OUTSTANDING</w:t>
      </w:r>
      <w:r>
        <w:rPr>
          <w:rFonts w:ascii="TT Norms Pro Light"/>
          <w:b w:val="0"/>
          <w:spacing w:val="40"/>
          <w:sz w:val="16"/>
        </w:rPr>
        <w:t> </w:t>
      </w:r>
      <w:r>
        <w:rPr>
          <w:rFonts w:ascii="TT Norms Pro Light"/>
          <w:b w:val="0"/>
          <w:sz w:val="16"/>
        </w:rPr>
        <w:t>CONTRIBUTIONS TO STUDENT</w:t>
      </w:r>
      <w:r>
        <w:rPr>
          <w:rFonts w:ascii="TT Norms Pro Light"/>
          <w:b w:val="0"/>
          <w:spacing w:val="40"/>
          <w:sz w:val="16"/>
        </w:rPr>
        <w:t> </w:t>
      </w:r>
      <w:r>
        <w:rPr>
          <w:rFonts w:ascii="TT Norms Pro Light"/>
          <w:b w:val="0"/>
          <w:spacing w:val="-2"/>
          <w:sz w:val="16"/>
        </w:rPr>
        <w:t>LEARNING</w:t>
      </w:r>
    </w:p>
    <w:p>
      <w:pPr>
        <w:spacing w:before="151"/>
        <w:ind w:left="640" w:right="0" w:firstLine="0"/>
        <w:jc w:val="left"/>
        <w:rPr>
          <w:rFonts w:ascii="TT Norms Pro Medium"/>
          <w:b/>
          <w:sz w:val="14"/>
        </w:rPr>
      </w:pPr>
      <w:r>
        <w:rPr>
          <w:rFonts w:ascii="TT Norms Pro Medium"/>
          <w:b/>
          <w:spacing w:val="-2"/>
          <w:sz w:val="14"/>
        </w:rPr>
        <w:t>Dr</w:t>
      </w:r>
      <w:r>
        <w:rPr>
          <w:rFonts w:ascii="TT Norms Pro Medium"/>
          <w:b/>
          <w:spacing w:val="-6"/>
          <w:sz w:val="14"/>
        </w:rPr>
        <w:t> </w:t>
      </w:r>
      <w:r>
        <w:rPr>
          <w:rFonts w:ascii="TT Norms Pro Medium"/>
          <w:b/>
          <w:spacing w:val="-2"/>
          <w:sz w:val="14"/>
        </w:rPr>
        <w:t>Andrzej</w:t>
      </w:r>
      <w:r>
        <w:rPr>
          <w:rFonts w:ascii="TT Norms Pro Medium"/>
          <w:b/>
          <w:spacing w:val="-5"/>
          <w:sz w:val="14"/>
        </w:rPr>
        <w:t> </w:t>
      </w:r>
      <w:r>
        <w:rPr>
          <w:rFonts w:ascii="TT Norms Pro Medium"/>
          <w:b/>
          <w:spacing w:val="-2"/>
          <w:sz w:val="14"/>
        </w:rPr>
        <w:t>Gwizdalski</w:t>
      </w:r>
    </w:p>
    <w:p>
      <w:pPr>
        <w:spacing w:before="36"/>
        <w:ind w:left="640" w:right="0" w:firstLine="0"/>
        <w:jc w:val="left"/>
        <w:rPr>
          <w:rFonts w:ascii="TT Norms Pro Light"/>
          <w:b w:val="0"/>
          <w:sz w:val="14"/>
        </w:rPr>
      </w:pPr>
      <w:r>
        <w:rPr>
          <w:rFonts w:ascii="TT Norms Pro Light"/>
          <w:b w:val="0"/>
          <w:sz w:val="14"/>
        </w:rPr>
        <w:t>Business</w:t>
      </w:r>
      <w:r>
        <w:rPr>
          <w:rFonts w:ascii="TT Norms Pro Light"/>
          <w:b w:val="0"/>
          <w:spacing w:val="12"/>
          <w:sz w:val="14"/>
        </w:rPr>
        <w:t> </w:t>
      </w:r>
      <w:r>
        <w:rPr>
          <w:rFonts w:ascii="TT Norms Pro Light"/>
          <w:b w:val="0"/>
          <w:spacing w:val="-2"/>
          <w:sz w:val="14"/>
        </w:rPr>
        <w:t>School</w:t>
      </w:r>
    </w:p>
    <w:p>
      <w:pPr>
        <w:pStyle w:val="BodyText"/>
        <w:spacing w:before="72"/>
        <w:rPr>
          <w:b w:val="0"/>
          <w:sz w:val="14"/>
        </w:rPr>
      </w:pPr>
    </w:p>
    <w:p>
      <w:pPr>
        <w:spacing w:before="0"/>
        <w:ind w:left="640" w:right="0" w:firstLine="0"/>
        <w:jc w:val="left"/>
        <w:rPr>
          <w:rFonts w:ascii="TT Norms Pro Medium"/>
          <w:b/>
          <w:sz w:val="14"/>
        </w:rPr>
      </w:pPr>
      <w:r>
        <w:rPr>
          <w:rFonts w:ascii="TT Norms Pro Medium"/>
          <w:b/>
          <w:spacing w:val="-2"/>
          <w:sz w:val="14"/>
        </w:rPr>
        <w:t>Mr</w:t>
      </w:r>
      <w:r>
        <w:rPr>
          <w:rFonts w:ascii="TT Norms Pro Medium"/>
          <w:b/>
          <w:spacing w:val="-6"/>
          <w:sz w:val="14"/>
        </w:rPr>
        <w:t> </w:t>
      </w:r>
      <w:r>
        <w:rPr>
          <w:rFonts w:ascii="TT Norms Pro Medium"/>
          <w:b/>
          <w:spacing w:val="-2"/>
          <w:sz w:val="14"/>
        </w:rPr>
        <w:t>Craig</w:t>
      </w:r>
      <w:r>
        <w:rPr>
          <w:rFonts w:ascii="TT Norms Pro Medium"/>
          <w:b/>
          <w:spacing w:val="-5"/>
          <w:sz w:val="14"/>
        </w:rPr>
        <w:t> </w:t>
      </w:r>
      <w:r>
        <w:rPr>
          <w:rFonts w:ascii="TT Norms Pro Medium"/>
          <w:b/>
          <w:spacing w:val="-2"/>
          <w:sz w:val="14"/>
        </w:rPr>
        <w:t>McCormack</w:t>
      </w:r>
    </w:p>
    <w:p>
      <w:pPr>
        <w:spacing w:before="37"/>
        <w:ind w:left="640" w:right="0" w:firstLine="0"/>
        <w:jc w:val="left"/>
        <w:rPr>
          <w:rFonts w:ascii="TT Norms Pro Light"/>
          <w:b w:val="0"/>
          <w:sz w:val="14"/>
        </w:rPr>
      </w:pPr>
      <w:r>
        <w:rPr>
          <w:rFonts w:ascii="TT Norms Pro Light"/>
          <w:b w:val="0"/>
          <w:sz w:val="14"/>
        </w:rPr>
        <w:t>School</w:t>
      </w:r>
      <w:r>
        <w:rPr>
          <w:rFonts w:ascii="TT Norms Pro Light"/>
          <w:b w:val="0"/>
          <w:spacing w:val="6"/>
          <w:sz w:val="14"/>
        </w:rPr>
        <w:t> </w:t>
      </w:r>
      <w:r>
        <w:rPr>
          <w:rFonts w:ascii="TT Norms Pro Light"/>
          <w:b w:val="0"/>
          <w:sz w:val="14"/>
        </w:rPr>
        <w:t>of</w:t>
      </w:r>
      <w:r>
        <w:rPr>
          <w:rFonts w:ascii="TT Norms Pro Light"/>
          <w:b w:val="0"/>
          <w:spacing w:val="6"/>
          <w:sz w:val="14"/>
        </w:rPr>
        <w:t> </w:t>
      </w:r>
      <w:r>
        <w:rPr>
          <w:rFonts w:ascii="TT Norms Pro Light"/>
          <w:b w:val="0"/>
          <w:spacing w:val="-2"/>
          <w:sz w:val="14"/>
        </w:rPr>
        <w:t>Design</w:t>
      </w:r>
    </w:p>
    <w:p>
      <w:pPr>
        <w:spacing w:line="292" w:lineRule="auto" w:before="137"/>
        <w:ind w:left="655" w:right="1351" w:firstLine="0"/>
        <w:jc w:val="both"/>
        <w:rPr>
          <w:rFonts w:ascii="TT Norms Pro Light"/>
          <w:b w:val="0"/>
          <w:sz w:val="14"/>
        </w:rPr>
      </w:pPr>
      <w:r>
        <w:rPr/>
        <w:br w:type="column"/>
      </w:r>
      <w:r>
        <w:rPr>
          <w:rFonts w:ascii="TT Norms Pro Medium"/>
          <w:b/>
          <w:spacing w:val="-2"/>
          <w:sz w:val="14"/>
        </w:rPr>
        <w:t>Professor</w:t>
      </w:r>
      <w:r>
        <w:rPr>
          <w:rFonts w:ascii="TT Norms Pro Medium"/>
          <w:b/>
          <w:spacing w:val="-7"/>
          <w:sz w:val="14"/>
        </w:rPr>
        <w:t> </w:t>
      </w:r>
      <w:r>
        <w:rPr>
          <w:rFonts w:ascii="TT Norms Pro Medium"/>
          <w:b/>
          <w:spacing w:val="-2"/>
          <w:sz w:val="14"/>
        </w:rPr>
        <w:t>Elizabeth</w:t>
      </w:r>
      <w:r>
        <w:rPr>
          <w:rFonts w:ascii="TT Norms Pro Medium"/>
          <w:b/>
          <w:spacing w:val="-6"/>
          <w:sz w:val="14"/>
        </w:rPr>
        <w:t> </w:t>
      </w:r>
      <w:r>
        <w:rPr>
          <w:rFonts w:ascii="TT Norms Pro Medium"/>
          <w:b/>
          <w:spacing w:val="-2"/>
          <w:sz w:val="14"/>
        </w:rPr>
        <w:t>Quail</w:t>
      </w:r>
      <w:r>
        <w:rPr>
          <w:rFonts w:ascii="TT Norms Pro Medium"/>
          <w:b/>
          <w:spacing w:val="40"/>
          <w:sz w:val="14"/>
        </w:rPr>
        <w:t> </w:t>
      </w:r>
      <w:r>
        <w:rPr>
          <w:rFonts w:ascii="TT Norms Pro Light"/>
          <w:b w:val="0"/>
          <w:sz w:val="14"/>
        </w:rPr>
        <w:t>Schools of Biomedical and</w:t>
      </w:r>
      <w:r>
        <w:rPr>
          <w:rFonts w:ascii="TT Norms Pro Light"/>
          <w:b w:val="0"/>
          <w:spacing w:val="40"/>
          <w:sz w:val="14"/>
        </w:rPr>
        <w:t> </w:t>
      </w:r>
      <w:r>
        <w:rPr>
          <w:rFonts w:ascii="TT Norms Pro Light"/>
          <w:b w:val="0"/>
          <w:sz w:val="14"/>
        </w:rPr>
        <w:t>Molecular</w:t>
      </w:r>
      <w:r>
        <w:rPr>
          <w:rFonts w:ascii="TT Norms Pro Light"/>
          <w:b w:val="0"/>
          <w:spacing w:val="-7"/>
          <w:sz w:val="14"/>
        </w:rPr>
        <w:t> </w:t>
      </w:r>
      <w:r>
        <w:rPr>
          <w:rFonts w:ascii="TT Norms Pro Light"/>
          <w:b w:val="0"/>
          <w:sz w:val="14"/>
        </w:rPr>
        <w:t>Sciences</w:t>
      </w:r>
    </w:p>
    <w:p>
      <w:pPr>
        <w:pStyle w:val="BodyText"/>
        <w:spacing w:before="36"/>
        <w:rPr>
          <w:b w:val="0"/>
          <w:sz w:val="14"/>
        </w:rPr>
      </w:pPr>
    </w:p>
    <w:p>
      <w:pPr>
        <w:spacing w:before="1"/>
        <w:ind w:left="655" w:right="0" w:firstLine="0"/>
        <w:jc w:val="left"/>
        <w:rPr>
          <w:rFonts w:ascii="TT Norms Pro Medium"/>
          <w:b/>
          <w:sz w:val="14"/>
        </w:rPr>
      </w:pPr>
      <w:r>
        <w:rPr>
          <w:rFonts w:ascii="TT Norms Pro Medium"/>
          <w:b/>
          <w:spacing w:val="-4"/>
          <w:sz w:val="14"/>
        </w:rPr>
        <w:t>Mr</w:t>
      </w:r>
      <w:r>
        <w:rPr>
          <w:rFonts w:ascii="TT Norms Pro Medium"/>
          <w:b/>
          <w:sz w:val="14"/>
        </w:rPr>
        <w:t> </w:t>
      </w:r>
      <w:r>
        <w:rPr>
          <w:rFonts w:ascii="TT Norms Pro Medium"/>
          <w:b/>
          <w:spacing w:val="-4"/>
          <w:sz w:val="14"/>
        </w:rPr>
        <w:t>David</w:t>
      </w:r>
      <w:r>
        <w:rPr>
          <w:rFonts w:ascii="TT Norms Pro Medium"/>
          <w:b/>
          <w:sz w:val="14"/>
        </w:rPr>
        <w:t> </w:t>
      </w:r>
      <w:r>
        <w:rPr>
          <w:rFonts w:ascii="TT Norms Pro Medium"/>
          <w:b/>
          <w:spacing w:val="-4"/>
          <w:sz w:val="14"/>
        </w:rPr>
        <w:t>Tulley</w:t>
      </w:r>
    </w:p>
    <w:p>
      <w:pPr>
        <w:spacing w:before="36"/>
        <w:ind w:left="655" w:right="0" w:firstLine="0"/>
        <w:jc w:val="left"/>
        <w:rPr>
          <w:rFonts w:ascii="TT Norms Pro Light"/>
          <w:b w:val="0"/>
          <w:sz w:val="14"/>
        </w:rPr>
      </w:pPr>
      <w:r>
        <w:rPr>
          <w:rFonts w:ascii="TT Norms Pro Light"/>
          <w:b w:val="0"/>
          <w:sz w:val="14"/>
        </w:rPr>
        <w:t>School</w:t>
      </w:r>
      <w:r>
        <w:rPr>
          <w:rFonts w:ascii="TT Norms Pro Light"/>
          <w:b w:val="0"/>
          <w:spacing w:val="9"/>
          <w:sz w:val="14"/>
        </w:rPr>
        <w:t> </w:t>
      </w:r>
      <w:r>
        <w:rPr>
          <w:rFonts w:ascii="TT Norms Pro Light"/>
          <w:b w:val="0"/>
          <w:sz w:val="14"/>
        </w:rPr>
        <w:t>of</w:t>
      </w:r>
      <w:r>
        <w:rPr>
          <w:rFonts w:ascii="TT Norms Pro Light"/>
          <w:b w:val="0"/>
          <w:spacing w:val="10"/>
          <w:sz w:val="14"/>
        </w:rPr>
        <w:t> </w:t>
      </w:r>
      <w:r>
        <w:rPr>
          <w:rFonts w:ascii="TT Norms Pro Light"/>
          <w:b w:val="0"/>
          <w:sz w:val="14"/>
        </w:rPr>
        <w:t>Humanities</w:t>
      </w:r>
      <w:r>
        <w:rPr>
          <w:rFonts w:ascii="TT Norms Pro Light"/>
          <w:b w:val="0"/>
          <w:spacing w:val="10"/>
          <w:sz w:val="14"/>
        </w:rPr>
        <w:t> </w:t>
      </w:r>
      <w:r>
        <w:rPr>
          <w:rFonts w:ascii="TT Norms Pro Light"/>
          <w:b w:val="0"/>
          <w:sz w:val="14"/>
        </w:rPr>
        <w:t>(Early</w:t>
      </w:r>
      <w:r>
        <w:rPr>
          <w:rFonts w:ascii="TT Norms Pro Light"/>
          <w:b w:val="0"/>
          <w:spacing w:val="10"/>
          <w:sz w:val="14"/>
        </w:rPr>
        <w:t> </w:t>
      </w:r>
      <w:r>
        <w:rPr>
          <w:rFonts w:ascii="TT Norms Pro Light"/>
          <w:b w:val="0"/>
          <w:spacing w:val="-2"/>
          <w:sz w:val="14"/>
        </w:rPr>
        <w:t>Career)</w:t>
      </w:r>
    </w:p>
    <w:p>
      <w:pPr>
        <w:pStyle w:val="BodyText"/>
        <w:spacing w:before="72"/>
        <w:rPr>
          <w:b w:val="0"/>
          <w:sz w:val="14"/>
        </w:rPr>
      </w:pPr>
    </w:p>
    <w:p>
      <w:pPr>
        <w:spacing w:line="292" w:lineRule="auto" w:before="0"/>
        <w:ind w:left="655" w:right="347" w:firstLine="0"/>
        <w:jc w:val="left"/>
        <w:rPr>
          <w:rFonts w:ascii="TT Norms Pro Medium"/>
          <w:b/>
          <w:sz w:val="14"/>
        </w:rPr>
      </w:pPr>
      <w:r>
        <w:rPr>
          <w:rFonts w:ascii="TT Norms Pro Medium"/>
          <w:b/>
          <w:spacing w:val="-2"/>
          <w:sz w:val="14"/>
        </w:rPr>
        <w:t>TEAM</w:t>
      </w:r>
      <w:r>
        <w:rPr>
          <w:rFonts w:ascii="TT Norms Pro Medium"/>
          <w:b/>
          <w:spacing w:val="-7"/>
          <w:sz w:val="14"/>
        </w:rPr>
        <w:t> </w:t>
      </w:r>
      <w:r>
        <w:rPr>
          <w:rFonts w:ascii="TT Norms Pro Medium"/>
          <w:b/>
          <w:spacing w:val="-2"/>
          <w:sz w:val="14"/>
        </w:rPr>
        <w:t>Dr</w:t>
      </w:r>
      <w:r>
        <w:rPr>
          <w:rFonts w:ascii="TT Norms Pro Medium"/>
          <w:b/>
          <w:spacing w:val="-6"/>
          <w:sz w:val="14"/>
        </w:rPr>
        <w:t> </w:t>
      </w:r>
      <w:r>
        <w:rPr>
          <w:rFonts w:ascii="TT Norms Pro Medium"/>
          <w:b/>
          <w:spacing w:val="-2"/>
          <w:sz w:val="14"/>
        </w:rPr>
        <w:t>Amber</w:t>
      </w:r>
      <w:r>
        <w:rPr>
          <w:rFonts w:ascii="TT Norms Pro Medium"/>
          <w:b/>
          <w:spacing w:val="-6"/>
          <w:sz w:val="14"/>
        </w:rPr>
        <w:t> </w:t>
      </w:r>
      <w:r>
        <w:rPr>
          <w:rFonts w:ascii="TT Norms Pro Medium"/>
          <w:b/>
          <w:spacing w:val="-2"/>
          <w:sz w:val="14"/>
        </w:rPr>
        <w:t>Boyatzis,</w:t>
      </w:r>
      <w:r>
        <w:rPr>
          <w:rFonts w:ascii="TT Norms Pro Medium"/>
          <w:b/>
          <w:spacing w:val="-7"/>
          <w:sz w:val="14"/>
        </w:rPr>
        <w:t> </w:t>
      </w:r>
      <w:r>
        <w:rPr>
          <w:rFonts w:ascii="TT Norms Pro Medium"/>
          <w:b/>
          <w:spacing w:val="-2"/>
          <w:sz w:val="14"/>
        </w:rPr>
        <w:t>Dr</w:t>
      </w:r>
      <w:r>
        <w:rPr>
          <w:rFonts w:ascii="TT Norms Pro Medium"/>
          <w:b/>
          <w:spacing w:val="-6"/>
          <w:sz w:val="14"/>
        </w:rPr>
        <w:t> </w:t>
      </w:r>
      <w:r>
        <w:rPr>
          <w:rFonts w:ascii="TT Norms Pro Medium"/>
          <w:b/>
          <w:spacing w:val="-2"/>
          <w:sz w:val="14"/>
        </w:rPr>
        <w:t>Rob</w:t>
      </w:r>
      <w:r>
        <w:rPr>
          <w:rFonts w:ascii="TT Norms Pro Medium"/>
          <w:b/>
          <w:spacing w:val="-6"/>
          <w:sz w:val="14"/>
        </w:rPr>
        <w:t> </w:t>
      </w:r>
      <w:r>
        <w:rPr>
          <w:rFonts w:ascii="TT Norms Pro Medium"/>
          <w:b/>
          <w:spacing w:val="-2"/>
          <w:sz w:val="14"/>
        </w:rPr>
        <w:t>White,</w:t>
      </w:r>
      <w:r>
        <w:rPr>
          <w:rFonts w:ascii="TT Norms Pro Medium"/>
          <w:b/>
          <w:spacing w:val="40"/>
          <w:sz w:val="14"/>
        </w:rPr>
        <w:t> </w:t>
      </w:r>
      <w:r>
        <w:rPr>
          <w:rFonts w:ascii="TT Norms Pro Medium"/>
          <w:b/>
          <w:sz w:val="14"/>
        </w:rPr>
        <w:t>Professor</w:t>
      </w:r>
      <w:r>
        <w:rPr>
          <w:rFonts w:ascii="TT Norms Pro Medium"/>
          <w:b/>
          <w:spacing w:val="-9"/>
          <w:sz w:val="14"/>
        </w:rPr>
        <w:t> </w:t>
      </w:r>
      <w:r>
        <w:rPr>
          <w:rFonts w:ascii="TT Norms Pro Medium"/>
          <w:b/>
          <w:sz w:val="14"/>
        </w:rPr>
        <w:t>Elizabeth</w:t>
      </w:r>
      <w:r>
        <w:rPr>
          <w:rFonts w:ascii="TT Norms Pro Medium"/>
          <w:b/>
          <w:spacing w:val="-8"/>
          <w:sz w:val="14"/>
        </w:rPr>
        <w:t> </w:t>
      </w:r>
      <w:r>
        <w:rPr>
          <w:rFonts w:ascii="TT Norms Pro Medium"/>
          <w:b/>
          <w:sz w:val="14"/>
        </w:rPr>
        <w:t>Quail</w:t>
      </w:r>
      <w:r>
        <w:rPr>
          <w:rFonts w:ascii="TT Norms Pro Medium"/>
          <w:b/>
          <w:spacing w:val="-8"/>
          <w:sz w:val="14"/>
        </w:rPr>
        <w:t> </w:t>
      </w:r>
      <w:r>
        <w:rPr>
          <w:rFonts w:ascii="TT Norms Pro Medium"/>
          <w:b/>
          <w:sz w:val="14"/>
        </w:rPr>
        <w:t>and</w:t>
      </w:r>
      <w:r>
        <w:rPr>
          <w:rFonts w:ascii="TT Norms Pro Medium"/>
          <w:b/>
          <w:spacing w:val="-9"/>
          <w:sz w:val="14"/>
        </w:rPr>
        <w:t> </w:t>
      </w:r>
      <w:r>
        <w:rPr>
          <w:rFonts w:ascii="TT Norms Pro Medium"/>
          <w:b/>
          <w:sz w:val="14"/>
        </w:rPr>
        <w:t>Associate</w:t>
      </w:r>
      <w:r>
        <w:rPr>
          <w:rFonts w:ascii="TT Norms Pro Medium"/>
          <w:b/>
          <w:spacing w:val="40"/>
          <w:sz w:val="14"/>
        </w:rPr>
        <w:t> </w:t>
      </w:r>
      <w:r>
        <w:rPr>
          <w:rFonts w:ascii="TT Norms Pro Medium"/>
          <w:b/>
          <w:sz w:val="14"/>
        </w:rPr>
        <w:t>Professor Daniela Ulgiati</w:t>
      </w:r>
    </w:p>
    <w:p>
      <w:pPr>
        <w:spacing w:before="1"/>
        <w:ind w:left="655" w:right="0" w:firstLine="0"/>
        <w:jc w:val="left"/>
        <w:rPr>
          <w:rFonts w:ascii="TT Norms Pro Light"/>
          <w:b w:val="0"/>
          <w:sz w:val="14"/>
        </w:rPr>
      </w:pPr>
      <w:r>
        <w:rPr>
          <w:rFonts w:ascii="TT Norms Pro Light"/>
          <w:b w:val="0"/>
          <w:sz w:val="14"/>
        </w:rPr>
        <w:t>School</w:t>
      </w:r>
      <w:r>
        <w:rPr>
          <w:rFonts w:ascii="TT Norms Pro Light"/>
          <w:b w:val="0"/>
          <w:spacing w:val="7"/>
          <w:sz w:val="14"/>
        </w:rPr>
        <w:t> </w:t>
      </w:r>
      <w:r>
        <w:rPr>
          <w:rFonts w:ascii="TT Norms Pro Light"/>
          <w:b w:val="0"/>
          <w:sz w:val="14"/>
        </w:rPr>
        <w:t>of</w:t>
      </w:r>
      <w:r>
        <w:rPr>
          <w:rFonts w:ascii="TT Norms Pro Light"/>
          <w:b w:val="0"/>
          <w:spacing w:val="9"/>
          <w:sz w:val="14"/>
        </w:rPr>
        <w:t> </w:t>
      </w:r>
      <w:r>
        <w:rPr>
          <w:rFonts w:ascii="TT Norms Pro Light"/>
          <w:b w:val="0"/>
          <w:sz w:val="14"/>
        </w:rPr>
        <w:t>Molecular</w:t>
      </w:r>
      <w:r>
        <w:rPr>
          <w:rFonts w:ascii="TT Norms Pro Light"/>
          <w:b w:val="0"/>
          <w:spacing w:val="10"/>
          <w:sz w:val="14"/>
        </w:rPr>
        <w:t> </w:t>
      </w:r>
      <w:r>
        <w:rPr>
          <w:rFonts w:ascii="TT Norms Pro Light"/>
          <w:b w:val="0"/>
          <w:spacing w:val="-2"/>
          <w:sz w:val="14"/>
        </w:rPr>
        <w:t>Sciences</w:t>
      </w:r>
    </w:p>
    <w:p>
      <w:pPr>
        <w:pStyle w:val="BodyText"/>
        <w:spacing w:before="93"/>
        <w:rPr>
          <w:b w:val="0"/>
          <w:sz w:val="14"/>
        </w:rPr>
      </w:pPr>
    </w:p>
    <w:p>
      <w:pPr>
        <w:spacing w:line="307" w:lineRule="auto" w:before="0"/>
        <w:ind w:left="371" w:right="347" w:firstLine="0"/>
        <w:jc w:val="left"/>
        <w:rPr>
          <w:rFonts w:ascii="TT Norms Pro Light"/>
          <w:b w:val="0"/>
          <w:sz w:val="16"/>
        </w:rPr>
      </w:pPr>
      <w:r>
        <w:rPr>
          <w:rFonts w:ascii="TT Norms Pro Light"/>
          <w:b w:val="0"/>
          <w:sz w:val="16"/>
        </w:rPr>
        <w:t>PROFESSIONAL</w:t>
      </w:r>
      <w:r>
        <w:rPr>
          <w:rFonts w:ascii="TT Norms Pro Light"/>
          <w:b w:val="0"/>
          <w:spacing w:val="-1"/>
          <w:sz w:val="16"/>
        </w:rPr>
        <w:t> </w:t>
      </w:r>
      <w:r>
        <w:rPr>
          <w:rFonts w:ascii="TT Norms Pro Light"/>
          <w:b w:val="0"/>
          <w:sz w:val="16"/>
        </w:rPr>
        <w:t>AWARD</w:t>
      </w:r>
      <w:r>
        <w:rPr>
          <w:rFonts w:ascii="TT Norms Pro Light"/>
          <w:b w:val="0"/>
          <w:spacing w:val="-1"/>
          <w:sz w:val="16"/>
        </w:rPr>
        <w:t> </w:t>
      </w:r>
      <w:r>
        <w:rPr>
          <w:rFonts w:ascii="TT Norms Pro Light"/>
          <w:b w:val="0"/>
          <w:sz w:val="16"/>
        </w:rPr>
        <w:t>FOR</w:t>
      </w:r>
      <w:r>
        <w:rPr>
          <w:rFonts w:ascii="TT Norms Pro Light"/>
          <w:b w:val="0"/>
          <w:spacing w:val="-1"/>
          <w:sz w:val="16"/>
        </w:rPr>
        <w:t> </w:t>
      </w:r>
      <w:r>
        <w:rPr>
          <w:rFonts w:ascii="TT Norms Pro Light"/>
          <w:b w:val="0"/>
          <w:sz w:val="16"/>
        </w:rPr>
        <w:t>SERVICE</w:t>
      </w:r>
      <w:r>
        <w:rPr>
          <w:rFonts w:ascii="TT Norms Pro Light"/>
          <w:b w:val="0"/>
          <w:spacing w:val="40"/>
          <w:sz w:val="16"/>
        </w:rPr>
        <w:t> </w:t>
      </w:r>
      <w:r>
        <w:rPr>
          <w:rFonts w:ascii="TT Norms Pro Light"/>
          <w:b w:val="0"/>
          <w:sz w:val="16"/>
        </w:rPr>
        <w:t>AND</w:t>
      </w:r>
      <w:r>
        <w:rPr>
          <w:rFonts w:ascii="TT Norms Pro Light"/>
          <w:b w:val="0"/>
          <w:spacing w:val="-8"/>
          <w:sz w:val="16"/>
        </w:rPr>
        <w:t> </w:t>
      </w:r>
      <w:r>
        <w:rPr>
          <w:rFonts w:ascii="TT Norms Pro Light"/>
          <w:b w:val="0"/>
          <w:sz w:val="16"/>
        </w:rPr>
        <w:t>SUPPORT</w:t>
      </w:r>
    </w:p>
    <w:p>
      <w:pPr>
        <w:spacing w:before="150"/>
        <w:ind w:left="655" w:right="0" w:firstLine="0"/>
        <w:jc w:val="left"/>
        <w:rPr>
          <w:rFonts w:ascii="TT Norms Pro Medium"/>
          <w:b/>
          <w:sz w:val="14"/>
        </w:rPr>
      </w:pPr>
      <w:r>
        <w:rPr>
          <w:rFonts w:ascii="TT Norms Pro Medium"/>
          <w:b/>
          <w:spacing w:val="-2"/>
          <w:sz w:val="14"/>
        </w:rPr>
        <w:t>Dr</w:t>
      </w:r>
      <w:r>
        <w:rPr>
          <w:rFonts w:ascii="TT Norms Pro Medium"/>
          <w:b/>
          <w:spacing w:val="-6"/>
          <w:sz w:val="14"/>
        </w:rPr>
        <w:t> </w:t>
      </w:r>
      <w:r>
        <w:rPr>
          <w:rFonts w:ascii="TT Norms Pro Medium"/>
          <w:b/>
          <w:spacing w:val="-2"/>
          <w:sz w:val="14"/>
        </w:rPr>
        <w:t>Mary</w:t>
      </w:r>
      <w:r>
        <w:rPr>
          <w:rFonts w:ascii="TT Norms Pro Medium"/>
          <w:b/>
          <w:spacing w:val="-6"/>
          <w:sz w:val="14"/>
        </w:rPr>
        <w:t> </w:t>
      </w:r>
      <w:r>
        <w:rPr>
          <w:rFonts w:ascii="TT Norms Pro Medium"/>
          <w:b/>
          <w:spacing w:val="-2"/>
          <w:sz w:val="14"/>
        </w:rPr>
        <w:t>Lynn</w:t>
      </w:r>
      <w:r>
        <w:rPr>
          <w:rFonts w:ascii="TT Norms Pro Medium"/>
          <w:b/>
          <w:spacing w:val="-6"/>
          <w:sz w:val="14"/>
        </w:rPr>
        <w:t> </w:t>
      </w:r>
      <w:r>
        <w:rPr>
          <w:rFonts w:ascii="TT Norms Pro Medium"/>
          <w:b/>
          <w:spacing w:val="-2"/>
          <w:sz w:val="14"/>
        </w:rPr>
        <w:t>De</w:t>
      </w:r>
      <w:r>
        <w:rPr>
          <w:rFonts w:ascii="TT Norms Pro Medium"/>
          <w:b/>
          <w:spacing w:val="-6"/>
          <w:sz w:val="14"/>
        </w:rPr>
        <w:t> </w:t>
      </w:r>
      <w:r>
        <w:rPr>
          <w:rFonts w:ascii="TT Norms Pro Medium"/>
          <w:b/>
          <w:spacing w:val="-2"/>
          <w:sz w:val="14"/>
        </w:rPr>
        <w:t>Silva</w:t>
      </w:r>
    </w:p>
    <w:p>
      <w:pPr>
        <w:spacing w:line="292" w:lineRule="auto" w:before="36"/>
        <w:ind w:left="655" w:right="352" w:firstLine="0"/>
        <w:jc w:val="left"/>
        <w:rPr>
          <w:rFonts w:ascii="TT Norms Pro Light"/>
          <w:b w:val="0"/>
          <w:sz w:val="14"/>
        </w:rPr>
      </w:pPr>
      <w:r>
        <w:rPr>
          <w:rFonts w:ascii="TT Norms Pro Light"/>
          <w:b w:val="0"/>
          <w:sz w:val="14"/>
        </w:rPr>
        <w:t>Educational Enhancement Unit, Office of</w:t>
      </w:r>
      <w:r>
        <w:rPr>
          <w:rFonts w:ascii="TT Norms Pro Light"/>
          <w:b w:val="0"/>
          <w:spacing w:val="40"/>
          <w:sz w:val="14"/>
        </w:rPr>
        <w:t> </w:t>
      </w:r>
      <w:r>
        <w:rPr>
          <w:rFonts w:ascii="TT Norms Pro Light"/>
          <w:b w:val="0"/>
          <w:sz w:val="14"/>
        </w:rPr>
        <w:t>the</w:t>
      </w:r>
      <w:r>
        <w:rPr>
          <w:rFonts w:ascii="TT Norms Pro Light"/>
          <w:b w:val="0"/>
          <w:spacing w:val="12"/>
          <w:sz w:val="14"/>
        </w:rPr>
        <w:t> </w:t>
      </w:r>
      <w:r>
        <w:rPr>
          <w:rFonts w:ascii="TT Norms Pro Light"/>
          <w:b w:val="0"/>
          <w:sz w:val="14"/>
        </w:rPr>
        <w:t>Deputy</w:t>
      </w:r>
      <w:r>
        <w:rPr>
          <w:rFonts w:ascii="TT Norms Pro Light"/>
          <w:b w:val="0"/>
          <w:spacing w:val="14"/>
          <w:sz w:val="14"/>
        </w:rPr>
        <w:t> </w:t>
      </w:r>
      <w:r>
        <w:rPr>
          <w:rFonts w:ascii="TT Norms Pro Light"/>
          <w:b w:val="0"/>
          <w:sz w:val="14"/>
        </w:rPr>
        <w:t>Vice-Chancellor</w:t>
      </w:r>
      <w:r>
        <w:rPr>
          <w:rFonts w:ascii="TT Norms Pro Light"/>
          <w:b w:val="0"/>
          <w:spacing w:val="15"/>
          <w:sz w:val="14"/>
        </w:rPr>
        <w:t> </w:t>
      </w:r>
      <w:r>
        <w:rPr>
          <w:rFonts w:ascii="TT Norms Pro Light"/>
          <w:b w:val="0"/>
          <w:spacing w:val="-2"/>
          <w:sz w:val="14"/>
        </w:rPr>
        <w:t>(Education)</w:t>
      </w:r>
    </w:p>
    <w:p>
      <w:pPr>
        <w:pStyle w:val="BodyText"/>
        <w:spacing w:before="36"/>
        <w:rPr>
          <w:b w:val="0"/>
          <w:sz w:val="14"/>
        </w:rPr>
      </w:pPr>
    </w:p>
    <w:p>
      <w:pPr>
        <w:spacing w:before="0"/>
        <w:ind w:left="655" w:right="0" w:firstLine="0"/>
        <w:jc w:val="left"/>
        <w:rPr>
          <w:rFonts w:ascii="TT Norms Pro Medium"/>
          <w:b/>
          <w:sz w:val="14"/>
        </w:rPr>
      </w:pPr>
      <w:r>
        <w:rPr>
          <w:rFonts w:ascii="TT Norms Pro Medium"/>
          <w:b/>
          <w:spacing w:val="-2"/>
          <w:sz w:val="14"/>
        </w:rPr>
        <w:t>Ms</w:t>
      </w:r>
      <w:r>
        <w:rPr>
          <w:rFonts w:ascii="TT Norms Pro Medium"/>
          <w:b/>
          <w:spacing w:val="-6"/>
          <w:sz w:val="14"/>
        </w:rPr>
        <w:t> </w:t>
      </w:r>
      <w:r>
        <w:rPr>
          <w:rFonts w:ascii="TT Norms Pro Medium"/>
          <w:b/>
          <w:spacing w:val="-2"/>
          <w:sz w:val="14"/>
        </w:rPr>
        <w:t>Michelle</w:t>
      </w:r>
      <w:r>
        <w:rPr>
          <w:rFonts w:ascii="TT Norms Pro Medium"/>
          <w:b/>
          <w:spacing w:val="-6"/>
          <w:sz w:val="14"/>
        </w:rPr>
        <w:t> </w:t>
      </w:r>
      <w:r>
        <w:rPr>
          <w:rFonts w:ascii="TT Norms Pro Medium"/>
          <w:b/>
          <w:spacing w:val="-2"/>
          <w:sz w:val="14"/>
        </w:rPr>
        <w:t>Fisher</w:t>
      </w:r>
    </w:p>
    <w:p>
      <w:pPr>
        <w:spacing w:before="37"/>
        <w:ind w:left="655" w:right="0" w:firstLine="0"/>
        <w:jc w:val="left"/>
        <w:rPr>
          <w:rFonts w:ascii="TT Norms Pro Light"/>
          <w:b w:val="0"/>
          <w:sz w:val="14"/>
        </w:rPr>
      </w:pPr>
      <w:r>
        <w:rPr>
          <w:rFonts w:ascii="TT Norms Pro Light"/>
          <w:b w:val="0"/>
          <w:sz w:val="14"/>
        </w:rPr>
        <w:t>Service</w:t>
      </w:r>
      <w:r>
        <w:rPr>
          <w:rFonts w:ascii="TT Norms Pro Light"/>
          <w:b w:val="0"/>
          <w:spacing w:val="17"/>
          <w:sz w:val="14"/>
        </w:rPr>
        <w:t> </w:t>
      </w:r>
      <w:r>
        <w:rPr>
          <w:rFonts w:ascii="TT Norms Pro Light"/>
          <w:b w:val="0"/>
          <w:sz w:val="14"/>
        </w:rPr>
        <w:t>Delivery</w:t>
      </w:r>
      <w:r>
        <w:rPr>
          <w:rFonts w:ascii="TT Norms Pro Light"/>
          <w:b w:val="0"/>
          <w:spacing w:val="17"/>
          <w:sz w:val="14"/>
        </w:rPr>
        <w:t> </w:t>
      </w:r>
      <w:r>
        <w:rPr>
          <w:rFonts w:ascii="TT Norms Pro Light"/>
          <w:b w:val="0"/>
          <w:spacing w:val="-2"/>
          <w:sz w:val="14"/>
        </w:rPr>
        <w:t>Centre</w:t>
      </w:r>
    </w:p>
    <w:p>
      <w:pPr>
        <w:pStyle w:val="BodyText"/>
        <w:spacing w:before="72"/>
        <w:rPr>
          <w:b w:val="0"/>
          <w:sz w:val="14"/>
        </w:rPr>
      </w:pPr>
    </w:p>
    <w:p>
      <w:pPr>
        <w:spacing w:line="292" w:lineRule="auto" w:before="0"/>
        <w:ind w:left="655" w:right="347" w:firstLine="0"/>
        <w:jc w:val="left"/>
        <w:rPr>
          <w:rFonts w:ascii="TT Norms Pro Medium"/>
          <w:b/>
          <w:sz w:val="14"/>
        </w:rPr>
      </w:pPr>
      <w:r>
        <w:rPr>
          <w:rFonts w:ascii="TT Norms Pro Medium"/>
          <w:b/>
          <w:sz w:val="14"/>
        </w:rPr>
        <w:t>TEAM</w:t>
      </w:r>
      <w:r>
        <w:rPr>
          <w:rFonts w:ascii="TT Norms Pro Medium"/>
          <w:b/>
          <w:spacing w:val="-4"/>
          <w:sz w:val="14"/>
        </w:rPr>
        <w:t> </w:t>
      </w:r>
      <w:r>
        <w:rPr>
          <w:rFonts w:ascii="TT Norms Pro Medium"/>
          <w:b/>
          <w:sz w:val="14"/>
        </w:rPr>
        <w:t>Careers</w:t>
      </w:r>
      <w:r>
        <w:rPr>
          <w:rFonts w:ascii="TT Norms Pro Medium"/>
          <w:b/>
          <w:spacing w:val="-4"/>
          <w:sz w:val="14"/>
        </w:rPr>
        <w:t> </w:t>
      </w:r>
      <w:r>
        <w:rPr>
          <w:rFonts w:ascii="TT Norms Pro Medium"/>
          <w:b/>
          <w:sz w:val="14"/>
        </w:rPr>
        <w:t>and</w:t>
      </w:r>
      <w:r>
        <w:rPr>
          <w:rFonts w:ascii="TT Norms Pro Medium"/>
          <w:b/>
          <w:spacing w:val="-4"/>
          <w:sz w:val="14"/>
        </w:rPr>
        <w:t> </w:t>
      </w:r>
      <w:r>
        <w:rPr>
          <w:rFonts w:ascii="TT Norms Pro Medium"/>
          <w:b/>
          <w:sz w:val="14"/>
        </w:rPr>
        <w:t>Employability</w:t>
      </w:r>
      <w:r>
        <w:rPr>
          <w:rFonts w:ascii="TT Norms Pro Medium"/>
          <w:b/>
          <w:spacing w:val="-4"/>
          <w:sz w:val="14"/>
        </w:rPr>
        <w:t> </w:t>
      </w:r>
      <w:r>
        <w:rPr>
          <w:rFonts w:ascii="TT Norms Pro Medium"/>
          <w:b/>
          <w:sz w:val="14"/>
        </w:rPr>
        <w:t>Team:</w:t>
      </w:r>
      <w:r>
        <w:rPr>
          <w:rFonts w:ascii="TT Norms Pro Medium"/>
          <w:b/>
          <w:spacing w:val="40"/>
          <w:sz w:val="14"/>
        </w:rPr>
        <w:t> </w:t>
      </w:r>
      <w:r>
        <w:rPr>
          <w:rFonts w:ascii="TT Norms Pro Medium"/>
          <w:b/>
          <w:sz w:val="14"/>
        </w:rPr>
        <w:t>Mrs Karen Abbott, Ms Jacqueline</w:t>
      </w:r>
      <w:r>
        <w:rPr>
          <w:rFonts w:ascii="TT Norms Pro Medium"/>
          <w:b/>
          <w:spacing w:val="40"/>
          <w:sz w:val="14"/>
        </w:rPr>
        <w:t> </w:t>
      </w:r>
      <w:r>
        <w:rPr>
          <w:rFonts w:ascii="TT Norms Pro Medium"/>
          <w:b/>
          <w:spacing w:val="-2"/>
          <w:sz w:val="14"/>
        </w:rPr>
        <w:t>Gower,</w:t>
      </w:r>
      <w:r>
        <w:rPr>
          <w:rFonts w:ascii="TT Norms Pro Medium"/>
          <w:b/>
          <w:spacing w:val="-7"/>
          <w:sz w:val="14"/>
        </w:rPr>
        <w:t> </w:t>
      </w:r>
      <w:r>
        <w:rPr>
          <w:rFonts w:ascii="TT Norms Pro Medium"/>
          <w:b/>
          <w:spacing w:val="-2"/>
          <w:sz w:val="14"/>
        </w:rPr>
        <w:t>Ms</w:t>
      </w:r>
      <w:r>
        <w:rPr>
          <w:rFonts w:ascii="TT Norms Pro Medium"/>
          <w:b/>
          <w:spacing w:val="-6"/>
          <w:sz w:val="14"/>
        </w:rPr>
        <w:t> </w:t>
      </w:r>
      <w:r>
        <w:rPr>
          <w:rFonts w:ascii="TT Norms Pro Medium"/>
          <w:b/>
          <w:spacing w:val="-2"/>
          <w:sz w:val="14"/>
        </w:rPr>
        <w:t>Diane</w:t>
      </w:r>
      <w:r>
        <w:rPr>
          <w:rFonts w:ascii="TT Norms Pro Medium"/>
          <w:b/>
          <w:spacing w:val="-6"/>
          <w:sz w:val="14"/>
        </w:rPr>
        <w:t> </w:t>
      </w:r>
      <w:r>
        <w:rPr>
          <w:rFonts w:ascii="TT Norms Pro Medium"/>
          <w:b/>
          <w:spacing w:val="-2"/>
          <w:sz w:val="14"/>
        </w:rPr>
        <w:t>McLaren,</w:t>
      </w:r>
      <w:r>
        <w:rPr>
          <w:rFonts w:ascii="TT Norms Pro Medium"/>
          <w:b/>
          <w:spacing w:val="-7"/>
          <w:sz w:val="14"/>
        </w:rPr>
        <w:t> </w:t>
      </w:r>
      <w:r>
        <w:rPr>
          <w:rFonts w:ascii="TT Norms Pro Medium"/>
          <w:b/>
          <w:spacing w:val="-2"/>
          <w:sz w:val="14"/>
        </w:rPr>
        <w:t>Ms</w:t>
      </w:r>
      <w:r>
        <w:rPr>
          <w:rFonts w:ascii="TT Norms Pro Medium"/>
          <w:b/>
          <w:spacing w:val="-6"/>
          <w:sz w:val="14"/>
        </w:rPr>
        <w:t> </w:t>
      </w:r>
      <w:r>
        <w:rPr>
          <w:rFonts w:ascii="TT Norms Pro Medium"/>
          <w:b/>
          <w:spacing w:val="-2"/>
          <w:sz w:val="14"/>
        </w:rPr>
        <w:t>Catherine</w:t>
      </w:r>
      <w:r>
        <w:rPr>
          <w:rFonts w:ascii="TT Norms Pro Medium"/>
          <w:b/>
          <w:spacing w:val="40"/>
          <w:sz w:val="14"/>
        </w:rPr>
        <w:t> </w:t>
      </w:r>
      <w:r>
        <w:rPr>
          <w:rFonts w:ascii="TT Norms Pro Medium"/>
          <w:b/>
          <w:spacing w:val="-2"/>
          <w:sz w:val="14"/>
        </w:rPr>
        <w:t>Lightfoot,</w:t>
      </w:r>
      <w:r>
        <w:rPr>
          <w:rFonts w:ascii="TT Norms Pro Medium"/>
          <w:b/>
          <w:spacing w:val="-5"/>
          <w:sz w:val="14"/>
        </w:rPr>
        <w:t> </w:t>
      </w:r>
      <w:r>
        <w:rPr>
          <w:rFonts w:ascii="TT Norms Pro Medium"/>
          <w:b/>
          <w:spacing w:val="-2"/>
          <w:sz w:val="14"/>
        </w:rPr>
        <w:t>Mr</w:t>
      </w:r>
      <w:r>
        <w:rPr>
          <w:rFonts w:ascii="TT Norms Pro Medium"/>
          <w:b/>
          <w:spacing w:val="-5"/>
          <w:sz w:val="14"/>
        </w:rPr>
        <w:t> </w:t>
      </w:r>
      <w:r>
        <w:rPr>
          <w:rFonts w:ascii="TT Norms Pro Medium"/>
          <w:b/>
          <w:spacing w:val="-2"/>
          <w:sz w:val="14"/>
        </w:rPr>
        <w:t>Ryan</w:t>
      </w:r>
      <w:r>
        <w:rPr>
          <w:rFonts w:ascii="TT Norms Pro Medium"/>
          <w:b/>
          <w:spacing w:val="-5"/>
          <w:sz w:val="14"/>
        </w:rPr>
        <w:t> </w:t>
      </w:r>
      <w:r>
        <w:rPr>
          <w:rFonts w:ascii="TT Norms Pro Medium"/>
          <w:b/>
          <w:spacing w:val="-2"/>
          <w:sz w:val="14"/>
        </w:rPr>
        <w:t>Whiddett,</w:t>
      </w:r>
      <w:r>
        <w:rPr>
          <w:rFonts w:ascii="TT Norms Pro Medium"/>
          <w:b/>
          <w:spacing w:val="-5"/>
          <w:sz w:val="14"/>
        </w:rPr>
        <w:t> </w:t>
      </w:r>
      <w:r>
        <w:rPr>
          <w:rFonts w:ascii="TT Norms Pro Medium"/>
          <w:b/>
          <w:spacing w:val="-2"/>
          <w:sz w:val="14"/>
        </w:rPr>
        <w:t>Ms</w:t>
      </w:r>
      <w:r>
        <w:rPr>
          <w:rFonts w:ascii="TT Norms Pro Medium"/>
          <w:b/>
          <w:spacing w:val="-5"/>
          <w:sz w:val="14"/>
        </w:rPr>
        <w:t> </w:t>
      </w:r>
      <w:r>
        <w:rPr>
          <w:rFonts w:ascii="TT Norms Pro Medium"/>
          <w:b/>
          <w:spacing w:val="-2"/>
          <w:sz w:val="14"/>
        </w:rPr>
        <w:t>Eve</w:t>
      </w:r>
      <w:r>
        <w:rPr>
          <w:rFonts w:ascii="TT Norms Pro Medium"/>
          <w:b/>
          <w:spacing w:val="-5"/>
          <w:sz w:val="14"/>
        </w:rPr>
        <w:t> </w:t>
      </w:r>
      <w:r>
        <w:rPr>
          <w:rFonts w:ascii="TT Norms Pro Medium"/>
          <w:b/>
          <w:spacing w:val="-2"/>
          <w:sz w:val="14"/>
        </w:rPr>
        <w:t>Ha</w:t>
      </w:r>
      <w:r>
        <w:rPr>
          <w:rFonts w:ascii="TT Norms Pro Medium"/>
          <w:b/>
          <w:spacing w:val="40"/>
          <w:sz w:val="14"/>
        </w:rPr>
        <w:t> </w:t>
      </w:r>
      <w:r>
        <w:rPr>
          <w:rFonts w:ascii="TT Norms Pro Medium"/>
          <w:b/>
          <w:sz w:val="14"/>
        </w:rPr>
        <w:t>and Ms Sherri Russell</w:t>
      </w:r>
    </w:p>
    <w:p>
      <w:pPr>
        <w:spacing w:line="292" w:lineRule="auto" w:before="1"/>
        <w:ind w:left="655" w:right="910" w:firstLine="0"/>
        <w:jc w:val="left"/>
        <w:rPr>
          <w:rFonts w:ascii="TT Norms Pro Light"/>
          <w:b w:val="0"/>
          <w:sz w:val="14"/>
        </w:rPr>
      </w:pPr>
      <w:r>
        <w:rPr>
          <w:rFonts w:ascii="TT Norms Pro Light"/>
          <w:b w:val="0"/>
          <w:sz w:val="14"/>
        </w:rPr>
        <w:t>Student Life, Office of the Deputy</w:t>
      </w:r>
      <w:r>
        <w:rPr>
          <w:rFonts w:ascii="TT Norms Pro Light"/>
          <w:b w:val="0"/>
          <w:spacing w:val="40"/>
          <w:sz w:val="14"/>
        </w:rPr>
        <w:t> </w:t>
      </w:r>
      <w:r>
        <w:rPr>
          <w:rFonts w:ascii="TT Norms Pro Light"/>
          <w:b w:val="0"/>
          <w:sz w:val="14"/>
        </w:rPr>
        <w:t>Vice-Chancellor</w:t>
      </w:r>
      <w:r>
        <w:rPr>
          <w:rFonts w:ascii="TT Norms Pro Light"/>
          <w:b w:val="0"/>
          <w:spacing w:val="-7"/>
          <w:sz w:val="14"/>
        </w:rPr>
        <w:t> </w:t>
      </w:r>
      <w:r>
        <w:rPr>
          <w:rFonts w:ascii="TT Norms Pro Light"/>
          <w:b w:val="0"/>
          <w:sz w:val="14"/>
        </w:rPr>
        <w:t>(Education)</w:t>
      </w:r>
    </w:p>
    <w:p>
      <w:pPr>
        <w:pStyle w:val="BodyText"/>
        <w:spacing w:before="37"/>
        <w:rPr>
          <w:b w:val="0"/>
          <w:sz w:val="14"/>
        </w:rPr>
      </w:pPr>
    </w:p>
    <w:p>
      <w:pPr>
        <w:spacing w:line="292" w:lineRule="auto" w:before="0"/>
        <w:ind w:left="655" w:right="605" w:firstLine="0"/>
        <w:jc w:val="both"/>
        <w:rPr>
          <w:rFonts w:ascii="TT Norms Pro Medium"/>
          <w:b/>
          <w:sz w:val="14"/>
        </w:rPr>
      </w:pPr>
      <w:r>
        <w:rPr>
          <w:rFonts w:ascii="TT Norms Pro Medium"/>
          <w:b/>
          <w:sz w:val="14"/>
        </w:rPr>
        <w:t>TEAM</w:t>
      </w:r>
      <w:r>
        <w:rPr>
          <w:rFonts w:ascii="TT Norms Pro Medium"/>
          <w:b/>
          <w:spacing w:val="-9"/>
          <w:sz w:val="14"/>
        </w:rPr>
        <w:t> </w:t>
      </w:r>
      <w:r>
        <w:rPr>
          <w:rFonts w:ascii="TT Norms Pro Medium"/>
          <w:b/>
          <w:sz w:val="14"/>
        </w:rPr>
        <w:t>University</w:t>
      </w:r>
      <w:r>
        <w:rPr>
          <w:rFonts w:ascii="TT Norms Pro Medium"/>
          <w:b/>
          <w:spacing w:val="-8"/>
          <w:sz w:val="14"/>
        </w:rPr>
        <w:t> </w:t>
      </w:r>
      <w:r>
        <w:rPr>
          <w:rFonts w:ascii="TT Norms Pro Medium"/>
          <w:b/>
          <w:sz w:val="14"/>
        </w:rPr>
        <w:t>Library</w:t>
      </w:r>
      <w:r>
        <w:rPr>
          <w:rFonts w:ascii="TT Norms Pro Medium"/>
          <w:b/>
          <w:spacing w:val="-8"/>
          <w:sz w:val="14"/>
        </w:rPr>
        <w:t> </w:t>
      </w:r>
      <w:r>
        <w:rPr>
          <w:rFonts w:ascii="TT Norms Pro Medium"/>
          <w:b/>
          <w:sz w:val="14"/>
        </w:rPr>
        <w:t>Experience</w:t>
      </w:r>
      <w:r>
        <w:rPr>
          <w:rFonts w:ascii="TT Norms Pro Medium"/>
          <w:b/>
          <w:spacing w:val="40"/>
          <w:sz w:val="14"/>
        </w:rPr>
        <w:t> </w:t>
      </w:r>
      <w:r>
        <w:rPr>
          <w:rFonts w:ascii="TT Norms Pro Medium"/>
          <w:b/>
          <w:spacing w:val="-2"/>
          <w:sz w:val="14"/>
        </w:rPr>
        <w:t>Team:</w:t>
      </w:r>
      <w:r>
        <w:rPr>
          <w:rFonts w:ascii="TT Norms Pro Medium"/>
          <w:b/>
          <w:spacing w:val="-7"/>
          <w:sz w:val="14"/>
        </w:rPr>
        <w:t> </w:t>
      </w:r>
      <w:r>
        <w:rPr>
          <w:rFonts w:ascii="TT Norms Pro Medium"/>
          <w:b/>
          <w:spacing w:val="-2"/>
          <w:sz w:val="14"/>
        </w:rPr>
        <w:t>Ms</w:t>
      </w:r>
      <w:r>
        <w:rPr>
          <w:rFonts w:ascii="TT Norms Pro Medium"/>
          <w:b/>
          <w:spacing w:val="-6"/>
          <w:sz w:val="14"/>
        </w:rPr>
        <w:t> </w:t>
      </w:r>
      <w:r>
        <w:rPr>
          <w:rFonts w:ascii="TT Norms Pro Medium"/>
          <w:b/>
          <w:spacing w:val="-2"/>
          <w:sz w:val="14"/>
        </w:rPr>
        <w:t>Fiona</w:t>
      </w:r>
      <w:r>
        <w:rPr>
          <w:rFonts w:ascii="TT Norms Pro Medium"/>
          <w:b/>
          <w:spacing w:val="-6"/>
          <w:sz w:val="14"/>
        </w:rPr>
        <w:t> </w:t>
      </w:r>
      <w:r>
        <w:rPr>
          <w:rFonts w:ascii="TT Norms Pro Medium"/>
          <w:b/>
          <w:spacing w:val="-2"/>
          <w:sz w:val="14"/>
        </w:rPr>
        <w:t>Alexander,</w:t>
      </w:r>
      <w:r>
        <w:rPr>
          <w:rFonts w:ascii="TT Norms Pro Medium"/>
          <w:b/>
          <w:spacing w:val="-7"/>
          <w:sz w:val="14"/>
        </w:rPr>
        <w:t> </w:t>
      </w:r>
      <w:r>
        <w:rPr>
          <w:rFonts w:ascii="TT Norms Pro Medium"/>
          <w:b/>
          <w:spacing w:val="-2"/>
          <w:sz w:val="14"/>
        </w:rPr>
        <w:t>Ms</w:t>
      </w:r>
      <w:r>
        <w:rPr>
          <w:rFonts w:ascii="TT Norms Pro Medium"/>
          <w:b/>
          <w:spacing w:val="-6"/>
          <w:sz w:val="14"/>
        </w:rPr>
        <w:t> </w:t>
      </w:r>
      <w:r>
        <w:rPr>
          <w:rFonts w:ascii="TT Norms Pro Medium"/>
          <w:b/>
          <w:spacing w:val="-2"/>
          <w:sz w:val="14"/>
        </w:rPr>
        <w:t>Karlee</w:t>
      </w:r>
      <w:r>
        <w:rPr>
          <w:rFonts w:ascii="TT Norms Pro Medium"/>
          <w:b/>
          <w:spacing w:val="40"/>
          <w:sz w:val="14"/>
        </w:rPr>
        <w:t> </w:t>
      </w:r>
      <w:r>
        <w:rPr>
          <w:rFonts w:ascii="TT Norms Pro Medium"/>
          <w:b/>
          <w:sz w:val="14"/>
        </w:rPr>
        <w:t>Calderwood, Mr Andrew Card,</w:t>
      </w:r>
    </w:p>
    <w:p>
      <w:pPr>
        <w:spacing w:line="292" w:lineRule="auto" w:before="0"/>
        <w:ind w:left="655" w:right="570" w:firstLine="0"/>
        <w:jc w:val="left"/>
        <w:rPr>
          <w:rFonts w:ascii="TT Norms Pro Medium"/>
          <w:b/>
          <w:sz w:val="14"/>
        </w:rPr>
      </w:pPr>
      <w:r>
        <w:rPr>
          <w:rFonts w:ascii="TT Norms Pro Medium"/>
          <w:b/>
          <w:sz w:val="14"/>
        </w:rPr>
        <w:t>Mr Daniel Chan, Ms Diana Clapham,</w:t>
      </w:r>
      <w:r>
        <w:rPr>
          <w:rFonts w:ascii="TT Norms Pro Medium"/>
          <w:b/>
          <w:spacing w:val="40"/>
          <w:sz w:val="14"/>
        </w:rPr>
        <w:t> </w:t>
      </w:r>
      <w:r>
        <w:rPr>
          <w:rFonts w:ascii="TT Norms Pro Medium"/>
          <w:b/>
          <w:sz w:val="14"/>
        </w:rPr>
        <w:t>Ms Michelle Coles, Ms Sara Drake,</w:t>
      </w:r>
      <w:r>
        <w:rPr>
          <w:rFonts w:ascii="TT Norms Pro Medium"/>
          <w:b/>
          <w:spacing w:val="40"/>
          <w:sz w:val="14"/>
        </w:rPr>
        <w:t> </w:t>
      </w:r>
      <w:r>
        <w:rPr>
          <w:rFonts w:ascii="TT Norms Pro Medium"/>
          <w:b/>
          <w:spacing w:val="-2"/>
          <w:sz w:val="14"/>
        </w:rPr>
        <w:t>Ms</w:t>
      </w:r>
      <w:r>
        <w:rPr>
          <w:rFonts w:ascii="TT Norms Pro Medium"/>
          <w:b/>
          <w:spacing w:val="-7"/>
          <w:sz w:val="14"/>
        </w:rPr>
        <w:t> </w:t>
      </w:r>
      <w:r>
        <w:rPr>
          <w:rFonts w:ascii="TT Norms Pro Medium"/>
          <w:b/>
          <w:spacing w:val="-2"/>
          <w:sz w:val="14"/>
        </w:rPr>
        <w:t>Julianne</w:t>
      </w:r>
      <w:r>
        <w:rPr>
          <w:rFonts w:ascii="TT Norms Pro Medium"/>
          <w:b/>
          <w:spacing w:val="-6"/>
          <w:sz w:val="14"/>
        </w:rPr>
        <w:t> </w:t>
      </w:r>
      <w:r>
        <w:rPr>
          <w:rFonts w:ascii="TT Norms Pro Medium"/>
          <w:b/>
          <w:spacing w:val="-2"/>
          <w:sz w:val="14"/>
        </w:rPr>
        <w:t>Filardi,</w:t>
      </w:r>
      <w:r>
        <w:rPr>
          <w:rFonts w:ascii="TT Norms Pro Medium"/>
          <w:b/>
          <w:spacing w:val="-6"/>
          <w:sz w:val="14"/>
        </w:rPr>
        <w:t> </w:t>
      </w:r>
      <w:r>
        <w:rPr>
          <w:rFonts w:ascii="TT Norms Pro Medium"/>
          <w:b/>
          <w:spacing w:val="-2"/>
          <w:sz w:val="14"/>
        </w:rPr>
        <w:t>Ms</w:t>
      </w:r>
      <w:r>
        <w:rPr>
          <w:rFonts w:ascii="TT Norms Pro Medium"/>
          <w:b/>
          <w:spacing w:val="-7"/>
          <w:sz w:val="14"/>
        </w:rPr>
        <w:t> </w:t>
      </w:r>
      <w:r>
        <w:rPr>
          <w:rFonts w:ascii="TT Norms Pro Medium"/>
          <w:b/>
          <w:spacing w:val="-2"/>
          <w:sz w:val="14"/>
        </w:rPr>
        <w:t>Emma</w:t>
      </w:r>
      <w:r>
        <w:rPr>
          <w:rFonts w:ascii="TT Norms Pro Medium"/>
          <w:b/>
          <w:spacing w:val="-6"/>
          <w:sz w:val="14"/>
        </w:rPr>
        <w:t> </w:t>
      </w:r>
      <w:r>
        <w:rPr>
          <w:rFonts w:ascii="TT Norms Pro Medium"/>
          <w:b/>
          <w:spacing w:val="-2"/>
          <w:sz w:val="14"/>
        </w:rPr>
        <w:t>Helsby,</w:t>
      </w:r>
      <w:r>
        <w:rPr>
          <w:rFonts w:ascii="TT Norms Pro Medium"/>
          <w:b/>
          <w:spacing w:val="40"/>
          <w:sz w:val="14"/>
        </w:rPr>
        <w:t> </w:t>
      </w:r>
      <w:r>
        <w:rPr>
          <w:rFonts w:ascii="TT Norms Pro Medium"/>
          <w:b/>
          <w:sz w:val="14"/>
        </w:rPr>
        <w:t>Ms Sylvia Kalitsis, Mr Paul Marion,</w:t>
      </w:r>
    </w:p>
    <w:p>
      <w:pPr>
        <w:spacing w:line="292" w:lineRule="auto" w:before="1"/>
        <w:ind w:left="655" w:right="762" w:firstLine="0"/>
        <w:jc w:val="left"/>
        <w:rPr>
          <w:rFonts w:ascii="TT Norms Pro Medium"/>
          <w:b/>
          <w:sz w:val="14"/>
        </w:rPr>
      </w:pPr>
      <w:r>
        <w:rPr>
          <w:rFonts w:ascii="TT Norms Pro Medium"/>
          <w:b/>
          <w:spacing w:val="-2"/>
          <w:sz w:val="14"/>
        </w:rPr>
        <w:t>Ms</w:t>
      </w:r>
      <w:r>
        <w:rPr>
          <w:rFonts w:ascii="TT Norms Pro Medium"/>
          <w:b/>
          <w:spacing w:val="-7"/>
          <w:sz w:val="14"/>
        </w:rPr>
        <w:t> </w:t>
      </w:r>
      <w:r>
        <w:rPr>
          <w:rFonts w:ascii="TT Norms Pro Medium"/>
          <w:b/>
          <w:spacing w:val="-2"/>
          <w:sz w:val="14"/>
        </w:rPr>
        <w:t>Sandy</w:t>
      </w:r>
      <w:r>
        <w:rPr>
          <w:rFonts w:ascii="TT Norms Pro Medium"/>
          <w:b/>
          <w:spacing w:val="-6"/>
          <w:sz w:val="14"/>
        </w:rPr>
        <w:t> </w:t>
      </w:r>
      <w:r>
        <w:rPr>
          <w:rFonts w:ascii="TT Norms Pro Medium"/>
          <w:b/>
          <w:spacing w:val="-2"/>
          <w:sz w:val="14"/>
        </w:rPr>
        <w:t>Norman,</w:t>
      </w:r>
      <w:r>
        <w:rPr>
          <w:rFonts w:ascii="TT Norms Pro Medium"/>
          <w:b/>
          <w:spacing w:val="-6"/>
          <w:sz w:val="14"/>
        </w:rPr>
        <w:t> </w:t>
      </w:r>
      <w:r>
        <w:rPr>
          <w:rFonts w:ascii="TT Norms Pro Medium"/>
          <w:b/>
          <w:spacing w:val="-2"/>
          <w:sz w:val="14"/>
        </w:rPr>
        <w:t>Mr</w:t>
      </w:r>
      <w:r>
        <w:rPr>
          <w:rFonts w:ascii="TT Norms Pro Medium"/>
          <w:b/>
          <w:spacing w:val="-7"/>
          <w:sz w:val="14"/>
        </w:rPr>
        <w:t> </w:t>
      </w:r>
      <w:r>
        <w:rPr>
          <w:rFonts w:ascii="TT Norms Pro Medium"/>
          <w:b/>
          <w:spacing w:val="-2"/>
          <w:sz w:val="14"/>
        </w:rPr>
        <w:t>Philip</w:t>
      </w:r>
      <w:r>
        <w:rPr>
          <w:rFonts w:ascii="TT Norms Pro Medium"/>
          <w:b/>
          <w:spacing w:val="-6"/>
          <w:sz w:val="14"/>
        </w:rPr>
        <w:t> </w:t>
      </w:r>
      <w:r>
        <w:rPr>
          <w:rFonts w:ascii="TT Norms Pro Medium"/>
          <w:b/>
          <w:spacing w:val="-2"/>
          <w:sz w:val="14"/>
        </w:rPr>
        <w:t>Pegg,</w:t>
      </w:r>
      <w:r>
        <w:rPr>
          <w:rFonts w:ascii="TT Norms Pro Medium"/>
          <w:b/>
          <w:spacing w:val="40"/>
          <w:sz w:val="14"/>
        </w:rPr>
        <w:t> </w:t>
      </w:r>
      <w:r>
        <w:rPr>
          <w:rFonts w:ascii="TT Norms Pro Medium"/>
          <w:b/>
          <w:sz w:val="14"/>
        </w:rPr>
        <w:t>Ms</w:t>
      </w:r>
      <w:r>
        <w:rPr>
          <w:rFonts w:ascii="TT Norms Pro Medium"/>
          <w:b/>
          <w:spacing w:val="-9"/>
          <w:sz w:val="14"/>
        </w:rPr>
        <w:t> </w:t>
      </w:r>
      <w:r>
        <w:rPr>
          <w:rFonts w:ascii="TT Norms Pro Medium"/>
          <w:b/>
          <w:sz w:val="14"/>
        </w:rPr>
        <w:t>Tatjana</w:t>
      </w:r>
      <w:r>
        <w:rPr>
          <w:rFonts w:ascii="TT Norms Pro Medium"/>
          <w:b/>
          <w:spacing w:val="-8"/>
          <w:sz w:val="14"/>
        </w:rPr>
        <w:t> </w:t>
      </w:r>
      <w:r>
        <w:rPr>
          <w:rFonts w:ascii="TT Norms Pro Medium"/>
          <w:b/>
          <w:sz w:val="14"/>
        </w:rPr>
        <w:t>Petrovic,</w:t>
      </w:r>
      <w:r>
        <w:rPr>
          <w:rFonts w:ascii="TT Norms Pro Medium"/>
          <w:b/>
          <w:spacing w:val="-8"/>
          <w:sz w:val="14"/>
        </w:rPr>
        <w:t> </w:t>
      </w:r>
      <w:r>
        <w:rPr>
          <w:rFonts w:ascii="TT Norms Pro Medium"/>
          <w:b/>
          <w:sz w:val="14"/>
        </w:rPr>
        <w:t>Mr</w:t>
      </w:r>
      <w:r>
        <w:rPr>
          <w:rFonts w:ascii="TT Norms Pro Medium"/>
          <w:b/>
          <w:spacing w:val="-9"/>
          <w:sz w:val="14"/>
        </w:rPr>
        <w:t> </w:t>
      </w:r>
      <w:r>
        <w:rPr>
          <w:rFonts w:ascii="TT Norms Pro Medium"/>
          <w:b/>
          <w:sz w:val="14"/>
        </w:rPr>
        <w:t>Jay</w:t>
      </w:r>
      <w:r>
        <w:rPr>
          <w:rFonts w:ascii="TT Norms Pro Medium"/>
          <w:b/>
          <w:spacing w:val="-8"/>
          <w:sz w:val="14"/>
        </w:rPr>
        <w:t> </w:t>
      </w:r>
      <w:r>
        <w:rPr>
          <w:rFonts w:ascii="TT Norms Pro Medium"/>
          <w:b/>
          <w:sz w:val="14"/>
        </w:rPr>
        <w:t>Ratta,</w:t>
      </w:r>
      <w:r>
        <w:rPr>
          <w:rFonts w:ascii="TT Norms Pro Medium"/>
          <w:b/>
          <w:spacing w:val="40"/>
          <w:sz w:val="14"/>
        </w:rPr>
        <w:t> </w:t>
      </w:r>
      <w:r>
        <w:rPr>
          <w:rFonts w:ascii="TT Norms Pro Medium"/>
          <w:b/>
          <w:sz w:val="14"/>
        </w:rPr>
        <w:t>Ms Alissa Sputore, Mr Suresh</w:t>
      </w:r>
    </w:p>
    <w:p>
      <w:pPr>
        <w:spacing w:before="1"/>
        <w:ind w:left="655" w:right="0" w:firstLine="0"/>
        <w:jc w:val="left"/>
        <w:rPr>
          <w:rFonts w:ascii="TT Norms Pro Medium"/>
          <w:b/>
          <w:sz w:val="14"/>
        </w:rPr>
      </w:pPr>
      <w:r>
        <w:rPr>
          <w:rFonts w:ascii="TT Norms Pro Medium"/>
          <w:b/>
          <w:spacing w:val="-2"/>
          <w:sz w:val="14"/>
        </w:rPr>
        <w:t>Subramaniam,</w:t>
      </w:r>
      <w:r>
        <w:rPr>
          <w:rFonts w:ascii="TT Norms Pro Medium"/>
          <w:b/>
          <w:spacing w:val="-4"/>
          <w:sz w:val="14"/>
        </w:rPr>
        <w:t> </w:t>
      </w:r>
      <w:r>
        <w:rPr>
          <w:rFonts w:ascii="TT Norms Pro Medium"/>
          <w:b/>
          <w:spacing w:val="-2"/>
          <w:sz w:val="14"/>
        </w:rPr>
        <w:t>Ms</w:t>
      </w:r>
      <w:r>
        <w:rPr>
          <w:rFonts w:ascii="TT Norms Pro Medium"/>
          <w:b/>
          <w:spacing w:val="-4"/>
          <w:sz w:val="14"/>
        </w:rPr>
        <w:t> </w:t>
      </w:r>
      <w:r>
        <w:rPr>
          <w:rFonts w:ascii="TT Norms Pro Medium"/>
          <w:b/>
          <w:spacing w:val="-2"/>
          <w:sz w:val="14"/>
        </w:rPr>
        <w:t>Megan</w:t>
      </w:r>
      <w:r>
        <w:rPr>
          <w:rFonts w:ascii="TT Norms Pro Medium"/>
          <w:b/>
          <w:spacing w:val="-3"/>
          <w:sz w:val="14"/>
        </w:rPr>
        <w:t> </w:t>
      </w:r>
      <w:r>
        <w:rPr>
          <w:rFonts w:ascii="TT Norms Pro Medium"/>
          <w:b/>
          <w:spacing w:val="-2"/>
          <w:sz w:val="14"/>
        </w:rPr>
        <w:t>Sutherland,</w:t>
      </w:r>
    </w:p>
    <w:p>
      <w:pPr>
        <w:spacing w:line="292" w:lineRule="auto" w:before="36"/>
        <w:ind w:left="655" w:right="762" w:firstLine="0"/>
        <w:jc w:val="left"/>
        <w:rPr>
          <w:rFonts w:ascii="TT Norms Pro Medium"/>
          <w:b/>
          <w:sz w:val="14"/>
        </w:rPr>
      </w:pPr>
      <w:r>
        <w:rPr>
          <w:rFonts w:ascii="TT Norms Pro Medium"/>
          <w:b/>
          <w:spacing w:val="-2"/>
          <w:sz w:val="14"/>
        </w:rPr>
        <w:t>Ms</w:t>
      </w:r>
      <w:r>
        <w:rPr>
          <w:rFonts w:ascii="TT Norms Pro Medium"/>
          <w:b/>
          <w:spacing w:val="-7"/>
          <w:sz w:val="14"/>
        </w:rPr>
        <w:t> </w:t>
      </w:r>
      <w:r>
        <w:rPr>
          <w:rFonts w:ascii="TT Norms Pro Medium"/>
          <w:b/>
          <w:spacing w:val="-2"/>
          <w:sz w:val="14"/>
        </w:rPr>
        <w:t>Susie</w:t>
      </w:r>
      <w:r>
        <w:rPr>
          <w:rFonts w:ascii="TT Norms Pro Medium"/>
          <w:b/>
          <w:spacing w:val="-6"/>
          <w:sz w:val="14"/>
        </w:rPr>
        <w:t> </w:t>
      </w:r>
      <w:r>
        <w:rPr>
          <w:rFonts w:ascii="TT Norms Pro Medium"/>
          <w:b/>
          <w:spacing w:val="-2"/>
          <w:sz w:val="14"/>
        </w:rPr>
        <w:t>Vacca,</w:t>
      </w:r>
      <w:r>
        <w:rPr>
          <w:rFonts w:ascii="TT Norms Pro Medium"/>
          <w:b/>
          <w:spacing w:val="-6"/>
          <w:sz w:val="14"/>
        </w:rPr>
        <w:t> </w:t>
      </w:r>
      <w:r>
        <w:rPr>
          <w:rFonts w:ascii="TT Norms Pro Medium"/>
          <w:b/>
          <w:spacing w:val="-2"/>
          <w:sz w:val="14"/>
        </w:rPr>
        <w:t>Mr</w:t>
      </w:r>
      <w:r>
        <w:rPr>
          <w:rFonts w:ascii="TT Norms Pro Medium"/>
          <w:b/>
          <w:spacing w:val="-7"/>
          <w:sz w:val="14"/>
        </w:rPr>
        <w:t> </w:t>
      </w:r>
      <w:r>
        <w:rPr>
          <w:rFonts w:ascii="TT Norms Pro Medium"/>
          <w:b/>
          <w:spacing w:val="-2"/>
          <w:sz w:val="14"/>
        </w:rPr>
        <w:t>Nick</w:t>
      </w:r>
      <w:r>
        <w:rPr>
          <w:rFonts w:ascii="TT Norms Pro Medium"/>
          <w:b/>
          <w:spacing w:val="-6"/>
          <w:sz w:val="14"/>
        </w:rPr>
        <w:t> </w:t>
      </w:r>
      <w:r>
        <w:rPr>
          <w:rFonts w:ascii="TT Norms Pro Medium"/>
          <w:b/>
          <w:spacing w:val="-2"/>
          <w:sz w:val="14"/>
        </w:rPr>
        <w:t>Vincent</w:t>
      </w:r>
      <w:r>
        <w:rPr>
          <w:rFonts w:ascii="TT Norms Pro Medium"/>
          <w:b/>
          <w:spacing w:val="40"/>
          <w:sz w:val="14"/>
        </w:rPr>
        <w:t> </w:t>
      </w:r>
      <w:r>
        <w:rPr>
          <w:rFonts w:ascii="TT Norms Pro Medium"/>
          <w:b/>
          <w:sz w:val="14"/>
        </w:rPr>
        <w:t>and Ms Valerie Zimdahl</w:t>
      </w:r>
    </w:p>
    <w:p>
      <w:pPr>
        <w:spacing w:line="292" w:lineRule="auto" w:before="1"/>
        <w:ind w:left="655" w:right="573" w:firstLine="0"/>
        <w:jc w:val="left"/>
        <w:rPr>
          <w:rFonts w:ascii="TT Norms Pro Light"/>
          <w:b w:val="0"/>
          <w:sz w:val="14"/>
        </w:rPr>
      </w:pPr>
      <w:r>
        <w:rPr>
          <w:rFonts w:ascii="TT Norms Pro Light"/>
          <w:b w:val="0"/>
          <w:sz w:val="14"/>
        </w:rPr>
        <w:t>University Library, Office of the Deputy</w:t>
      </w:r>
      <w:r>
        <w:rPr>
          <w:rFonts w:ascii="TT Norms Pro Light"/>
          <w:b w:val="0"/>
          <w:spacing w:val="40"/>
          <w:sz w:val="14"/>
        </w:rPr>
        <w:t> </w:t>
      </w:r>
      <w:r>
        <w:rPr>
          <w:rFonts w:ascii="TT Norms Pro Light"/>
          <w:b w:val="0"/>
          <w:sz w:val="14"/>
        </w:rPr>
        <w:t>Vice-Chancellor</w:t>
      </w:r>
      <w:r>
        <w:rPr>
          <w:rFonts w:ascii="TT Norms Pro Light"/>
          <w:b w:val="0"/>
          <w:spacing w:val="-7"/>
          <w:sz w:val="14"/>
        </w:rPr>
        <w:t> </w:t>
      </w:r>
      <w:r>
        <w:rPr>
          <w:rFonts w:ascii="TT Norms Pro Light"/>
          <w:b w:val="0"/>
          <w:sz w:val="14"/>
        </w:rPr>
        <w:t>(Research)</w:t>
      </w:r>
    </w:p>
    <w:p>
      <w:pPr>
        <w:pStyle w:val="BodyText"/>
        <w:spacing w:before="56"/>
        <w:rPr>
          <w:b w:val="0"/>
          <w:sz w:val="14"/>
        </w:rPr>
      </w:pPr>
    </w:p>
    <w:p>
      <w:pPr>
        <w:spacing w:before="0"/>
        <w:ind w:left="371" w:right="0" w:firstLine="0"/>
        <w:jc w:val="left"/>
        <w:rPr>
          <w:rFonts w:ascii="TT Norms Pro Light"/>
          <w:b w:val="0"/>
          <w:sz w:val="16"/>
        </w:rPr>
      </w:pPr>
      <w:r>
        <w:rPr>
          <w:rFonts w:ascii="TT Norms Pro Light"/>
          <w:b w:val="0"/>
          <w:sz w:val="16"/>
        </w:rPr>
        <w:t>UWA</w:t>
      </w:r>
      <w:r>
        <w:rPr>
          <w:rFonts w:ascii="TT Norms Pro Light"/>
          <w:b w:val="0"/>
          <w:spacing w:val="3"/>
          <w:sz w:val="16"/>
        </w:rPr>
        <w:t> </w:t>
      </w:r>
      <w:r>
        <w:rPr>
          <w:rFonts w:ascii="TT Norms Pro Light"/>
          <w:b w:val="0"/>
          <w:sz w:val="16"/>
        </w:rPr>
        <w:t>STUDENT</w:t>
      </w:r>
      <w:r>
        <w:rPr>
          <w:rFonts w:ascii="TT Norms Pro Light"/>
          <w:b w:val="0"/>
          <w:spacing w:val="5"/>
          <w:sz w:val="16"/>
        </w:rPr>
        <w:t> </w:t>
      </w:r>
      <w:r>
        <w:rPr>
          <w:rFonts w:ascii="TT Norms Pro Light"/>
          <w:b w:val="0"/>
          <w:sz w:val="16"/>
        </w:rPr>
        <w:t>GUILD</w:t>
      </w:r>
      <w:r>
        <w:rPr>
          <w:rFonts w:ascii="TT Norms Pro Light"/>
          <w:b w:val="0"/>
          <w:spacing w:val="6"/>
          <w:sz w:val="16"/>
        </w:rPr>
        <w:t> </w:t>
      </w:r>
      <w:r>
        <w:rPr>
          <w:rFonts w:ascii="TT Norms Pro Light"/>
          <w:b w:val="0"/>
          <w:spacing w:val="-2"/>
          <w:sz w:val="16"/>
        </w:rPr>
        <w:t>AWARD</w:t>
      </w:r>
    </w:p>
    <w:p>
      <w:pPr>
        <w:pStyle w:val="BodyText"/>
        <w:spacing w:before="15"/>
        <w:rPr>
          <w:b w:val="0"/>
          <w:sz w:val="16"/>
        </w:rPr>
      </w:pPr>
    </w:p>
    <w:p>
      <w:pPr>
        <w:spacing w:before="0"/>
        <w:ind w:left="655" w:right="0" w:firstLine="0"/>
        <w:jc w:val="left"/>
        <w:rPr>
          <w:rFonts w:ascii="TT Norms Pro Medium"/>
          <w:b/>
          <w:sz w:val="14"/>
        </w:rPr>
      </w:pPr>
      <w:r>
        <w:rPr>
          <w:rFonts w:ascii="TT Norms Pro Medium"/>
          <w:b/>
          <w:spacing w:val="-2"/>
          <w:sz w:val="14"/>
        </w:rPr>
        <w:t>Associate</w:t>
      </w:r>
      <w:r>
        <w:rPr>
          <w:rFonts w:ascii="TT Norms Pro Medium"/>
          <w:b/>
          <w:spacing w:val="-6"/>
          <w:sz w:val="14"/>
        </w:rPr>
        <w:t> </w:t>
      </w:r>
      <w:r>
        <w:rPr>
          <w:rFonts w:ascii="TT Norms Pro Medium"/>
          <w:b/>
          <w:spacing w:val="-2"/>
          <w:sz w:val="14"/>
        </w:rPr>
        <w:t>Professor</w:t>
      </w:r>
      <w:r>
        <w:rPr>
          <w:rFonts w:ascii="TT Norms Pro Medium"/>
          <w:b/>
          <w:spacing w:val="-6"/>
          <w:sz w:val="14"/>
        </w:rPr>
        <w:t> </w:t>
      </w:r>
      <w:r>
        <w:rPr>
          <w:rFonts w:ascii="TT Norms Pro Medium"/>
          <w:b/>
          <w:spacing w:val="-2"/>
          <w:sz w:val="14"/>
        </w:rPr>
        <w:t>Lisa</w:t>
      </w:r>
      <w:r>
        <w:rPr>
          <w:rFonts w:ascii="TT Norms Pro Medium"/>
          <w:b/>
          <w:spacing w:val="-6"/>
          <w:sz w:val="14"/>
        </w:rPr>
        <w:t> </w:t>
      </w:r>
      <w:r>
        <w:rPr>
          <w:rFonts w:ascii="TT Norms Pro Medium"/>
          <w:b/>
          <w:spacing w:val="-4"/>
          <w:sz w:val="14"/>
        </w:rPr>
        <w:t>Wood</w:t>
      </w:r>
    </w:p>
    <w:p>
      <w:pPr>
        <w:spacing w:before="36"/>
        <w:ind w:left="655" w:right="0" w:firstLine="0"/>
        <w:jc w:val="left"/>
        <w:rPr>
          <w:rFonts w:ascii="TT Norms Pro Light"/>
          <w:b w:val="0"/>
          <w:sz w:val="14"/>
        </w:rPr>
      </w:pPr>
      <w:r>
        <w:rPr>
          <w:rFonts w:ascii="TT Norms Pro Light"/>
          <w:b w:val="0"/>
          <w:sz w:val="14"/>
        </w:rPr>
        <w:t>School</w:t>
      </w:r>
      <w:r>
        <w:rPr>
          <w:rFonts w:ascii="TT Norms Pro Light"/>
          <w:b w:val="0"/>
          <w:spacing w:val="8"/>
          <w:sz w:val="14"/>
        </w:rPr>
        <w:t> </w:t>
      </w:r>
      <w:r>
        <w:rPr>
          <w:rFonts w:ascii="TT Norms Pro Light"/>
          <w:b w:val="0"/>
          <w:sz w:val="14"/>
        </w:rPr>
        <w:t>of</w:t>
      </w:r>
      <w:r>
        <w:rPr>
          <w:rFonts w:ascii="TT Norms Pro Light"/>
          <w:b w:val="0"/>
          <w:spacing w:val="8"/>
          <w:sz w:val="14"/>
        </w:rPr>
        <w:t> </w:t>
      </w:r>
      <w:r>
        <w:rPr>
          <w:rFonts w:ascii="TT Norms Pro Light"/>
          <w:b w:val="0"/>
          <w:sz w:val="14"/>
        </w:rPr>
        <w:t>Population</w:t>
      </w:r>
      <w:r>
        <w:rPr>
          <w:rFonts w:ascii="TT Norms Pro Light"/>
          <w:b w:val="0"/>
          <w:spacing w:val="8"/>
          <w:sz w:val="14"/>
        </w:rPr>
        <w:t> </w:t>
      </w:r>
      <w:r>
        <w:rPr>
          <w:rFonts w:ascii="TT Norms Pro Light"/>
          <w:b w:val="0"/>
          <w:sz w:val="14"/>
        </w:rPr>
        <w:t>and</w:t>
      </w:r>
      <w:r>
        <w:rPr>
          <w:rFonts w:ascii="TT Norms Pro Light"/>
          <w:b w:val="0"/>
          <w:spacing w:val="8"/>
          <w:sz w:val="14"/>
        </w:rPr>
        <w:t> </w:t>
      </w:r>
      <w:r>
        <w:rPr>
          <w:rFonts w:ascii="TT Norms Pro Light"/>
          <w:b w:val="0"/>
          <w:sz w:val="14"/>
        </w:rPr>
        <w:t>Global</w:t>
      </w:r>
      <w:r>
        <w:rPr>
          <w:rFonts w:ascii="TT Norms Pro Light"/>
          <w:b w:val="0"/>
          <w:spacing w:val="8"/>
          <w:sz w:val="14"/>
        </w:rPr>
        <w:t> </w:t>
      </w:r>
      <w:r>
        <w:rPr>
          <w:rFonts w:ascii="TT Norms Pro Light"/>
          <w:b w:val="0"/>
          <w:spacing w:val="-2"/>
          <w:sz w:val="14"/>
        </w:rPr>
        <w:t>Health,</w:t>
      </w:r>
    </w:p>
    <w:p>
      <w:pPr>
        <w:spacing w:before="36"/>
        <w:ind w:left="655" w:right="0" w:firstLine="0"/>
        <w:jc w:val="left"/>
        <w:rPr>
          <w:rFonts w:ascii="TT Norms Pro Light" w:hAnsi="TT Norms Pro Light"/>
          <w:b w:val="0"/>
          <w:i/>
          <w:sz w:val="14"/>
        </w:rPr>
      </w:pPr>
      <w:r>
        <w:rPr>
          <w:rFonts w:ascii="TT Norms Pro Light" w:hAnsi="TT Norms Pro Light"/>
          <w:b w:val="0"/>
          <w:i/>
          <w:sz w:val="14"/>
        </w:rPr>
        <w:t>Students’</w:t>
      </w:r>
      <w:r>
        <w:rPr>
          <w:rFonts w:ascii="TT Norms Pro Light" w:hAnsi="TT Norms Pro Light"/>
          <w:b w:val="0"/>
          <w:i/>
          <w:spacing w:val="3"/>
          <w:sz w:val="14"/>
        </w:rPr>
        <w:t> </w:t>
      </w:r>
      <w:r>
        <w:rPr>
          <w:rFonts w:ascii="TT Norms Pro Light" w:hAnsi="TT Norms Pro Light"/>
          <w:b w:val="0"/>
          <w:i/>
          <w:sz w:val="14"/>
        </w:rPr>
        <w:t>Choice</w:t>
      </w:r>
      <w:r>
        <w:rPr>
          <w:rFonts w:ascii="TT Norms Pro Light" w:hAnsi="TT Norms Pro Light"/>
          <w:b w:val="0"/>
          <w:i/>
          <w:spacing w:val="6"/>
          <w:sz w:val="14"/>
        </w:rPr>
        <w:t> </w:t>
      </w:r>
      <w:r>
        <w:rPr>
          <w:rFonts w:ascii="TT Norms Pro Light" w:hAnsi="TT Norms Pro Light"/>
          <w:b w:val="0"/>
          <w:i/>
          <w:spacing w:val="-2"/>
          <w:sz w:val="14"/>
        </w:rPr>
        <w:t>Award</w:t>
      </w:r>
    </w:p>
    <w:p>
      <w:pPr>
        <w:pStyle w:val="BodyText"/>
        <w:spacing w:before="93"/>
        <w:rPr>
          <w:b w:val="0"/>
          <w:i/>
          <w:sz w:val="14"/>
        </w:rPr>
      </w:pPr>
    </w:p>
    <w:p>
      <w:pPr>
        <w:spacing w:line="307" w:lineRule="auto" w:before="0"/>
        <w:ind w:left="371" w:right="352" w:firstLine="0"/>
        <w:jc w:val="left"/>
        <w:rPr>
          <w:rFonts w:ascii="TT Norms Pro Light" w:hAnsi="TT Norms Pro Light"/>
          <w:b w:val="0"/>
          <w:sz w:val="16"/>
        </w:rPr>
      </w:pPr>
      <w:r>
        <w:rPr>
          <w:rFonts w:ascii="TT Norms Pro Light" w:hAnsi="TT Norms Pro Light"/>
          <w:b w:val="0"/>
          <w:sz w:val="16"/>
        </w:rPr>
        <w:t>MATARIKI</w:t>
      </w:r>
      <w:r>
        <w:rPr>
          <w:rFonts w:ascii="TT Norms Pro Light" w:hAnsi="TT Norms Pro Light"/>
          <w:b w:val="0"/>
          <w:spacing w:val="-8"/>
          <w:sz w:val="16"/>
        </w:rPr>
        <w:t> </w:t>
      </w:r>
      <w:r>
        <w:rPr>
          <w:rFonts w:ascii="TT Norms Pro Light" w:hAnsi="TT Norms Pro Light"/>
          <w:b w:val="0"/>
          <w:sz w:val="16"/>
        </w:rPr>
        <w:t>NETWORK</w:t>
      </w:r>
      <w:r>
        <w:rPr>
          <w:rFonts w:ascii="TT Norms Pro Light" w:hAnsi="TT Norms Pro Light"/>
          <w:b w:val="0"/>
          <w:spacing w:val="-8"/>
          <w:sz w:val="16"/>
        </w:rPr>
        <w:t> </w:t>
      </w:r>
      <w:r>
        <w:rPr>
          <w:rFonts w:ascii="TT Norms Pro Light" w:hAnsi="TT Norms Pro Light"/>
          <w:b w:val="0"/>
          <w:sz w:val="16"/>
        </w:rPr>
        <w:t>OF</w:t>
      </w:r>
      <w:r>
        <w:rPr>
          <w:rFonts w:ascii="TT Norms Pro Light" w:hAnsi="TT Norms Pro Light"/>
          <w:b w:val="0"/>
          <w:spacing w:val="-8"/>
          <w:sz w:val="16"/>
        </w:rPr>
        <w:t> </w:t>
      </w:r>
      <w:r>
        <w:rPr>
          <w:rFonts w:ascii="TT Norms Pro Light" w:hAnsi="TT Norms Pro Light"/>
          <w:b w:val="0"/>
          <w:sz w:val="16"/>
        </w:rPr>
        <w:t>UNIVERSITIES’</w:t>
      </w:r>
      <w:r>
        <w:rPr>
          <w:rFonts w:ascii="TT Norms Pro Light" w:hAnsi="TT Norms Pro Light"/>
          <w:b w:val="0"/>
          <w:spacing w:val="40"/>
          <w:sz w:val="16"/>
        </w:rPr>
        <w:t> </w:t>
      </w:r>
      <w:r>
        <w:rPr>
          <w:rFonts w:ascii="TT Norms Pro Light" w:hAnsi="TT Norms Pro Light"/>
          <w:b w:val="0"/>
          <w:sz w:val="16"/>
        </w:rPr>
        <w:t>THREE-MINUTE</w:t>
      </w:r>
      <w:r>
        <w:rPr>
          <w:rFonts w:ascii="TT Norms Pro Light" w:hAnsi="TT Norms Pro Light"/>
          <w:b w:val="0"/>
          <w:spacing w:val="-8"/>
          <w:sz w:val="16"/>
        </w:rPr>
        <w:t> </w:t>
      </w:r>
      <w:r>
        <w:rPr>
          <w:rFonts w:ascii="TT Norms Pro Light" w:hAnsi="TT Norms Pro Light"/>
          <w:b w:val="0"/>
          <w:sz w:val="16"/>
        </w:rPr>
        <w:t>THESIS</w:t>
      </w:r>
    </w:p>
    <w:p>
      <w:pPr>
        <w:spacing w:before="150"/>
        <w:ind w:left="655" w:right="0" w:firstLine="0"/>
        <w:jc w:val="left"/>
        <w:rPr>
          <w:rFonts w:ascii="TT Norms Pro Medium"/>
          <w:b/>
          <w:sz w:val="14"/>
        </w:rPr>
      </w:pPr>
      <w:r>
        <w:rPr>
          <w:rFonts w:ascii="TT Norms Pro Medium"/>
          <w:b/>
          <w:w w:val="90"/>
          <w:sz w:val="14"/>
        </w:rPr>
        <w:t>Olivia</w:t>
      </w:r>
      <w:r>
        <w:rPr>
          <w:rFonts w:ascii="TT Norms Pro Medium"/>
          <w:b/>
          <w:spacing w:val="22"/>
          <w:sz w:val="14"/>
        </w:rPr>
        <w:t> </w:t>
      </w:r>
      <w:r>
        <w:rPr>
          <w:rFonts w:ascii="TT Norms Pro Medium"/>
          <w:b/>
          <w:spacing w:val="-2"/>
          <w:sz w:val="14"/>
        </w:rPr>
        <w:t>Johnston</w:t>
      </w:r>
    </w:p>
    <w:p>
      <w:pPr>
        <w:spacing w:before="37"/>
        <w:ind w:left="655" w:right="0" w:firstLine="0"/>
        <w:jc w:val="left"/>
        <w:rPr>
          <w:rFonts w:ascii="TT Norms Pro Light"/>
          <w:b w:val="0"/>
          <w:i/>
          <w:sz w:val="14"/>
        </w:rPr>
      </w:pPr>
      <w:r>
        <w:rPr>
          <w:rFonts w:ascii="TT Norms Pro Light"/>
          <w:b w:val="0"/>
          <w:sz w:val="14"/>
        </w:rPr>
        <w:t>Graduate</w:t>
      </w:r>
      <w:r>
        <w:rPr>
          <w:rFonts w:ascii="TT Norms Pro Light"/>
          <w:b w:val="0"/>
          <w:spacing w:val="9"/>
          <w:sz w:val="14"/>
        </w:rPr>
        <w:t> </w:t>
      </w:r>
      <w:r>
        <w:rPr>
          <w:rFonts w:ascii="TT Norms Pro Light"/>
          <w:b w:val="0"/>
          <w:sz w:val="14"/>
        </w:rPr>
        <w:t>School</w:t>
      </w:r>
      <w:r>
        <w:rPr>
          <w:rFonts w:ascii="TT Norms Pro Light"/>
          <w:b w:val="0"/>
          <w:spacing w:val="9"/>
          <w:sz w:val="14"/>
        </w:rPr>
        <w:t> </w:t>
      </w:r>
      <w:r>
        <w:rPr>
          <w:rFonts w:ascii="TT Norms Pro Light"/>
          <w:b w:val="0"/>
          <w:sz w:val="14"/>
        </w:rPr>
        <w:t>of</w:t>
      </w:r>
      <w:r>
        <w:rPr>
          <w:rFonts w:ascii="TT Norms Pro Light"/>
          <w:b w:val="0"/>
          <w:spacing w:val="10"/>
          <w:sz w:val="14"/>
        </w:rPr>
        <w:t> </w:t>
      </w:r>
      <w:r>
        <w:rPr>
          <w:rFonts w:ascii="TT Norms Pro Light"/>
          <w:b w:val="0"/>
          <w:sz w:val="14"/>
        </w:rPr>
        <w:t>Education,</w:t>
      </w:r>
      <w:r>
        <w:rPr>
          <w:rFonts w:ascii="TT Norms Pro Light"/>
          <w:b w:val="0"/>
          <w:spacing w:val="9"/>
          <w:sz w:val="14"/>
        </w:rPr>
        <w:t> </w:t>
      </w:r>
      <w:r>
        <w:rPr>
          <w:rFonts w:ascii="TT Norms Pro Light"/>
          <w:b w:val="0"/>
          <w:i/>
          <w:sz w:val="14"/>
        </w:rPr>
        <w:t>Runner</w:t>
      </w:r>
      <w:r>
        <w:rPr>
          <w:rFonts w:ascii="TT Norms Pro Light"/>
          <w:b w:val="0"/>
          <w:i/>
          <w:spacing w:val="10"/>
          <w:sz w:val="14"/>
        </w:rPr>
        <w:t> </w:t>
      </w:r>
      <w:r>
        <w:rPr>
          <w:rFonts w:ascii="TT Norms Pro Light"/>
          <w:b w:val="0"/>
          <w:i/>
          <w:spacing w:val="-7"/>
          <w:sz w:val="14"/>
        </w:rPr>
        <w:t>up</w:t>
      </w:r>
    </w:p>
    <w:p>
      <w:pPr>
        <w:pStyle w:val="BodyText"/>
        <w:spacing w:before="93"/>
        <w:rPr>
          <w:b w:val="0"/>
          <w:i/>
          <w:sz w:val="14"/>
        </w:rPr>
      </w:pPr>
    </w:p>
    <w:p>
      <w:pPr>
        <w:spacing w:before="0"/>
        <w:ind w:left="371" w:right="0" w:firstLine="0"/>
        <w:jc w:val="left"/>
        <w:rPr>
          <w:rFonts w:ascii="TT Norms Pro Light"/>
          <w:b w:val="0"/>
          <w:sz w:val="16"/>
        </w:rPr>
      </w:pPr>
      <w:r>
        <w:rPr>
          <w:rFonts w:ascii="TT Norms Pro Light"/>
          <w:b w:val="0"/>
          <w:sz w:val="16"/>
        </w:rPr>
        <w:t>THREE-MINUTE</w:t>
      </w:r>
      <w:r>
        <w:rPr>
          <w:rFonts w:ascii="TT Norms Pro Light"/>
          <w:b w:val="0"/>
          <w:spacing w:val="12"/>
          <w:sz w:val="16"/>
        </w:rPr>
        <w:t> </w:t>
      </w:r>
      <w:r>
        <w:rPr>
          <w:rFonts w:ascii="TT Norms Pro Light"/>
          <w:b w:val="0"/>
          <w:spacing w:val="-2"/>
          <w:sz w:val="16"/>
        </w:rPr>
        <w:t>THESIS</w:t>
      </w:r>
    </w:p>
    <w:p>
      <w:pPr>
        <w:pStyle w:val="BodyText"/>
        <w:spacing w:before="14"/>
        <w:rPr>
          <w:b w:val="0"/>
          <w:sz w:val="16"/>
        </w:rPr>
      </w:pPr>
    </w:p>
    <w:p>
      <w:pPr>
        <w:spacing w:before="1"/>
        <w:ind w:left="655" w:right="0" w:firstLine="0"/>
        <w:jc w:val="left"/>
        <w:rPr>
          <w:rFonts w:ascii="TT Norms Pro Medium"/>
          <w:b/>
          <w:sz w:val="14"/>
        </w:rPr>
      </w:pPr>
      <w:r>
        <w:rPr>
          <w:rFonts w:ascii="TT Norms Pro Medium"/>
          <w:b/>
          <w:spacing w:val="-4"/>
          <w:sz w:val="14"/>
        </w:rPr>
        <w:t>Chayan</w:t>
      </w:r>
      <w:r>
        <w:rPr>
          <w:rFonts w:ascii="TT Norms Pro Medium"/>
          <w:b/>
          <w:spacing w:val="2"/>
          <w:sz w:val="14"/>
        </w:rPr>
        <w:t> </w:t>
      </w:r>
      <w:r>
        <w:rPr>
          <w:rFonts w:ascii="TT Norms Pro Medium"/>
          <w:b/>
          <w:spacing w:val="-2"/>
          <w:sz w:val="14"/>
        </w:rPr>
        <w:t>Chatterjee</w:t>
      </w:r>
    </w:p>
    <w:p>
      <w:pPr>
        <w:spacing w:line="292" w:lineRule="auto" w:before="36"/>
        <w:ind w:left="655" w:right="570" w:firstLine="0"/>
        <w:jc w:val="left"/>
        <w:rPr>
          <w:rFonts w:ascii="TT Norms Pro Light"/>
          <w:b w:val="0"/>
          <w:i/>
          <w:sz w:val="14"/>
        </w:rPr>
      </w:pPr>
      <w:r>
        <w:rPr>
          <w:rFonts w:ascii="TT Norms Pro Light"/>
          <w:b w:val="0"/>
          <w:sz w:val="14"/>
        </w:rPr>
        <w:t>School of Physics, Mathematics and</w:t>
      </w:r>
      <w:r>
        <w:rPr>
          <w:rFonts w:ascii="TT Norms Pro Light"/>
          <w:b w:val="0"/>
          <w:spacing w:val="40"/>
          <w:sz w:val="14"/>
        </w:rPr>
        <w:t> </w:t>
      </w:r>
      <w:r>
        <w:rPr>
          <w:rFonts w:ascii="TT Norms Pro Light"/>
          <w:b w:val="0"/>
          <w:sz w:val="14"/>
        </w:rPr>
        <w:t>Computing, </w:t>
      </w:r>
      <w:r>
        <w:rPr>
          <w:rFonts w:ascii="TT Norms Pro Light"/>
          <w:b w:val="0"/>
          <w:i/>
          <w:sz w:val="14"/>
        </w:rPr>
        <w:t>Winner and People's</w:t>
      </w:r>
      <w:r>
        <w:rPr>
          <w:rFonts w:ascii="TT Norms Pro Light"/>
          <w:b w:val="0"/>
          <w:i/>
          <w:spacing w:val="40"/>
          <w:sz w:val="14"/>
        </w:rPr>
        <w:t> </w:t>
      </w:r>
      <w:r>
        <w:rPr>
          <w:rFonts w:ascii="TT Norms Pro Light"/>
          <w:b w:val="0"/>
          <w:i/>
          <w:sz w:val="14"/>
        </w:rPr>
        <w:t>Choice</w:t>
      </w:r>
      <w:r>
        <w:rPr>
          <w:rFonts w:ascii="TT Norms Pro Light"/>
          <w:b w:val="0"/>
          <w:i/>
          <w:spacing w:val="-7"/>
          <w:sz w:val="14"/>
        </w:rPr>
        <w:t> </w:t>
      </w:r>
      <w:r>
        <w:rPr>
          <w:rFonts w:ascii="TT Norms Pro Light"/>
          <w:b w:val="0"/>
          <w:i/>
          <w:sz w:val="14"/>
        </w:rPr>
        <w:t>Award</w:t>
      </w:r>
    </w:p>
    <w:p>
      <w:pPr>
        <w:spacing w:after="0" w:line="292" w:lineRule="auto"/>
        <w:jc w:val="left"/>
        <w:rPr>
          <w:rFonts w:ascii="TT Norms Pro Light"/>
          <w:sz w:val="14"/>
        </w:rPr>
        <w:sectPr>
          <w:type w:val="continuous"/>
          <w:pgSz w:w="11910" w:h="16840"/>
          <w:pgMar w:header="468" w:footer="0" w:top="980" w:bottom="280" w:left="0" w:right="780"/>
          <w:cols w:num="3" w:equalWidth="0">
            <w:col w:w="4083" w:space="40"/>
            <w:col w:w="3290" w:space="39"/>
            <w:col w:w="3678"/>
          </w:cols>
        </w:sectPr>
      </w:pPr>
    </w:p>
    <w:p>
      <w:pPr>
        <w:pStyle w:val="BodyText"/>
        <w:rPr>
          <w:b w:val="0"/>
          <w:i/>
          <w:sz w:val="14"/>
        </w:rPr>
      </w:pPr>
      <w:r>
        <w:rPr/>
        <mc:AlternateContent>
          <mc:Choice Requires="wps">
            <w:drawing>
              <wp:anchor distT="0" distB="0" distL="0" distR="0" allowOverlap="1" layoutInCell="1" locked="0" behindDoc="1" simplePos="0" relativeHeight="472665600">
                <wp:simplePos x="0" y="0"/>
                <wp:positionH relativeFrom="page">
                  <wp:posOffset>7123989</wp:posOffset>
                </wp:positionH>
                <wp:positionV relativeFrom="page">
                  <wp:posOffset>8149525</wp:posOffset>
                </wp:positionV>
                <wp:extent cx="152400" cy="1823085"/>
                <wp:effectExtent l="0" t="0" r="0" b="0"/>
                <wp:wrapNone/>
                <wp:docPr id="374" name="Textbox 374"/>
                <wp:cNvGraphicFramePr>
                  <a:graphicFrameLocks/>
                </wp:cNvGraphicFramePr>
                <a:graphic>
                  <a:graphicData uri="http://schemas.microsoft.com/office/word/2010/wordprocessingShape">
                    <wps:wsp>
                      <wps:cNvPr id="374" name="Textbox 374"/>
                      <wps:cNvSpPr txBox="1"/>
                      <wps:spPr>
                        <a:xfrm>
                          <a:off x="0" y="0"/>
                          <a:ext cx="152400" cy="1823085"/>
                        </a:xfrm>
                        <a:prstGeom prst="rect">
                          <a:avLst/>
                        </a:prstGeom>
                      </wps:spPr>
                      <wps:txbx>
                        <w:txbxContent>
                          <w:p>
                            <w:pPr>
                              <w:spacing w:before="25"/>
                              <w:ind w:left="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60.944092pt;margin-top:641.694885pt;width:12pt;height:143.550pt;mso-position-horizontal-relative:page;mso-position-vertical-relative:page;z-index:-30650880" type="#_x0000_t202" id="docshape231" filled="false" stroked="false">
                <v:textbox inset="0,0,0,0" style="layout-flow:vertical">
                  <w:txbxContent>
                    <w:p>
                      <w:pPr>
                        <w:spacing w:before="25"/>
                        <w:ind w:left="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v:textbox>
                <w10:wrap type="none"/>
              </v:shape>
            </w:pict>
          </mc:Fallback>
        </mc:AlternateContent>
      </w:r>
      <w:r>
        <w:rPr/>
        <mc:AlternateContent>
          <mc:Choice Requires="wps">
            <w:drawing>
              <wp:anchor distT="0" distB="0" distL="0" distR="0" allowOverlap="1" layoutInCell="1" locked="0" behindDoc="0" simplePos="0" relativeHeight="15812608">
                <wp:simplePos x="0" y="0"/>
                <wp:positionH relativeFrom="page">
                  <wp:posOffset>6846354</wp:posOffset>
                </wp:positionH>
                <wp:positionV relativeFrom="page">
                  <wp:posOffset>7872348</wp:posOffset>
                </wp:positionV>
                <wp:extent cx="713740" cy="2820035"/>
                <wp:effectExtent l="0" t="0" r="0" b="0"/>
                <wp:wrapNone/>
                <wp:docPr id="375" name="Graphic 375"/>
                <wp:cNvGraphicFramePr>
                  <a:graphicFrameLocks/>
                </wp:cNvGraphicFramePr>
                <a:graphic>
                  <a:graphicData uri="http://schemas.microsoft.com/office/word/2010/wordprocessingShape">
                    <wps:wsp>
                      <wps:cNvPr id="375" name="Graphic 375"/>
                      <wps:cNvSpPr/>
                      <wps:spPr>
                        <a:xfrm>
                          <a:off x="0" y="0"/>
                          <a:ext cx="713740" cy="2820035"/>
                        </a:xfrm>
                        <a:custGeom>
                          <a:avLst/>
                          <a:gdLst/>
                          <a:ahLst/>
                          <a:cxnLst/>
                          <a:rect l="l" t="t" r="r" b="b"/>
                          <a:pathLst>
                            <a:path w="713740" h="2820035">
                              <a:moveTo>
                                <a:pt x="713638" y="0"/>
                              </a:moveTo>
                              <a:lnTo>
                                <a:pt x="0" y="0"/>
                              </a:lnTo>
                              <a:lnTo>
                                <a:pt x="0" y="2819654"/>
                              </a:lnTo>
                              <a:lnTo>
                                <a:pt x="713638" y="2819654"/>
                              </a:lnTo>
                              <a:lnTo>
                                <a:pt x="713638"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539.083008pt;margin-top:619.869995pt;width:56.192pt;height:222.02pt;mso-position-horizontal-relative:page;mso-position-vertical-relative:page;z-index:15812608" id="docshape232" filled="true" fillcolor="#ffffff" stroked="false">
                <v:fill type="solid"/>
                <w10:wrap type="none"/>
              </v:rect>
            </w:pict>
          </mc:Fallback>
        </mc:AlternateContent>
      </w:r>
      <w:r>
        <w:rPr/>
        <mc:AlternateContent>
          <mc:Choice Requires="wps">
            <w:drawing>
              <wp:anchor distT="0" distB="0" distL="0" distR="0" allowOverlap="1" layoutInCell="1" locked="0" behindDoc="0" simplePos="0" relativeHeight="15813120">
                <wp:simplePos x="0" y="0"/>
                <wp:positionH relativeFrom="page">
                  <wp:posOffset>7111289</wp:posOffset>
                </wp:positionH>
                <wp:positionV relativeFrom="page">
                  <wp:posOffset>8155113</wp:posOffset>
                </wp:positionV>
                <wp:extent cx="177800" cy="1830070"/>
                <wp:effectExtent l="0" t="0" r="0" b="0"/>
                <wp:wrapNone/>
                <wp:docPr id="376" name="Textbox 376"/>
                <wp:cNvGraphicFramePr>
                  <a:graphicFrameLocks/>
                </wp:cNvGraphicFramePr>
                <a:graphic>
                  <a:graphicData uri="http://schemas.microsoft.com/office/word/2010/wordprocessingShape">
                    <wps:wsp>
                      <wps:cNvPr id="376" name="Textbox 376"/>
                      <wps:cNvSpPr txBox="1"/>
                      <wps:spPr>
                        <a:xfrm>
                          <a:off x="0" y="0"/>
                          <a:ext cx="177800" cy="1830070"/>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10"/>
                                <w:sz w:val="18"/>
                              </w:rPr>
                              <w:t> </w:t>
                            </w:r>
                            <w:r>
                              <w:rPr>
                                <w:rFonts w:ascii="TT Norms Pro"/>
                                <w:sz w:val="18"/>
                              </w:rPr>
                              <w:t>Annual</w:t>
                            </w:r>
                            <w:r>
                              <w:rPr>
                                <w:rFonts w:ascii="TT Norms Pro"/>
                                <w:spacing w:val="-5"/>
                                <w:sz w:val="18"/>
                              </w:rPr>
                              <w:t> </w:t>
                            </w:r>
                            <w:r>
                              <w:rPr>
                                <w:rFonts w:ascii="TT Norms Pro"/>
                                <w:sz w:val="18"/>
                              </w:rPr>
                              <w:t>Report</w:t>
                            </w:r>
                            <w:r>
                              <w:rPr>
                                <w:rFonts w:ascii="TT Norms Pro"/>
                                <w:spacing w:val="74"/>
                                <w:sz w:val="18"/>
                              </w:rPr>
                              <w:t> </w:t>
                            </w:r>
                            <w:r>
                              <w:rPr>
                                <w:rFonts w:ascii="TT Norms Pro Light"/>
                                <w:b w:val="0"/>
                                <w:sz w:val="18"/>
                              </w:rPr>
                              <w:t>|</w:t>
                            </w:r>
                            <w:r>
                              <w:rPr>
                                <w:rFonts w:ascii="TT Norms Pro Light"/>
                                <w:b w:val="0"/>
                                <w:spacing w:val="44"/>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642.134888pt;width:14pt;height:144.1pt;mso-position-horizontal-relative:page;mso-position-vertical-relative:page;z-index:15813120" type="#_x0000_t202" id="docshape233"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10"/>
                          <w:sz w:val="18"/>
                        </w:rPr>
                        <w:t> </w:t>
                      </w:r>
                      <w:r>
                        <w:rPr>
                          <w:rFonts w:ascii="TT Norms Pro"/>
                          <w:sz w:val="18"/>
                        </w:rPr>
                        <w:t>Annual</w:t>
                      </w:r>
                      <w:r>
                        <w:rPr>
                          <w:rFonts w:ascii="TT Norms Pro"/>
                          <w:spacing w:val="-5"/>
                          <w:sz w:val="18"/>
                        </w:rPr>
                        <w:t> </w:t>
                      </w:r>
                      <w:r>
                        <w:rPr>
                          <w:rFonts w:ascii="TT Norms Pro"/>
                          <w:sz w:val="18"/>
                        </w:rPr>
                        <w:t>Report</w:t>
                      </w:r>
                      <w:r>
                        <w:rPr>
                          <w:rFonts w:ascii="TT Norms Pro"/>
                          <w:spacing w:val="74"/>
                          <w:sz w:val="18"/>
                        </w:rPr>
                        <w:t> </w:t>
                      </w:r>
                      <w:r>
                        <w:rPr>
                          <w:rFonts w:ascii="TT Norms Pro Light"/>
                          <w:b w:val="0"/>
                          <w:sz w:val="18"/>
                        </w:rPr>
                        <w:t>|</w:t>
                      </w:r>
                      <w:r>
                        <w:rPr>
                          <w:rFonts w:ascii="TT Norms Pro Light"/>
                          <w:b w:val="0"/>
                          <w:spacing w:val="44"/>
                          <w:sz w:val="18"/>
                        </w:rPr>
                        <w:t> </w:t>
                      </w:r>
                      <w:r>
                        <w:rPr>
                          <w:rFonts w:ascii="TT Norms Pro"/>
                          <w:b/>
                          <w:spacing w:val="-2"/>
                          <w:sz w:val="18"/>
                        </w:rPr>
                        <w:t>uwa.edu.au</w:t>
                      </w:r>
                    </w:p>
                  </w:txbxContent>
                </v:textbox>
                <w10:wrap type="none"/>
              </v:shape>
            </w:pict>
          </mc:Fallback>
        </mc:AlternateContent>
      </w:r>
    </w:p>
    <w:p>
      <w:pPr>
        <w:pStyle w:val="BodyText"/>
        <w:rPr>
          <w:b w:val="0"/>
          <w:i/>
          <w:sz w:val="14"/>
        </w:rPr>
      </w:pPr>
    </w:p>
    <w:p>
      <w:pPr>
        <w:pStyle w:val="BodyText"/>
        <w:rPr>
          <w:b w:val="0"/>
          <w:i/>
          <w:sz w:val="14"/>
        </w:rPr>
      </w:pPr>
    </w:p>
    <w:p>
      <w:pPr>
        <w:pStyle w:val="BodyText"/>
        <w:rPr>
          <w:b w:val="0"/>
          <w:i/>
          <w:sz w:val="14"/>
        </w:rPr>
      </w:pPr>
    </w:p>
    <w:p>
      <w:pPr>
        <w:pStyle w:val="BodyText"/>
        <w:rPr>
          <w:b w:val="0"/>
          <w:i/>
          <w:sz w:val="14"/>
        </w:rPr>
      </w:pPr>
    </w:p>
    <w:p>
      <w:pPr>
        <w:pStyle w:val="BodyText"/>
        <w:spacing w:before="95"/>
        <w:rPr>
          <w:b w:val="0"/>
          <w:i/>
          <w:sz w:val="14"/>
        </w:rPr>
      </w:pPr>
    </w:p>
    <w:p>
      <w:pPr>
        <w:spacing w:before="0"/>
        <w:ind w:left="4776" w:right="0" w:firstLine="0"/>
        <w:jc w:val="left"/>
        <w:rPr>
          <w:rFonts w:ascii="TT Norms Pro Light"/>
          <w:b w:val="0"/>
          <w:i/>
          <w:sz w:val="14"/>
        </w:rPr>
      </w:pPr>
      <w:r>
        <w:rPr>
          <w:rFonts w:ascii="TT Norms Pro Light"/>
          <w:b w:val="0"/>
          <w:i/>
          <w:sz w:val="14"/>
        </w:rPr>
        <w:t>Please</w:t>
      </w:r>
      <w:r>
        <w:rPr>
          <w:rFonts w:ascii="TT Norms Pro Light"/>
          <w:b w:val="0"/>
          <w:i/>
          <w:spacing w:val="2"/>
          <w:sz w:val="14"/>
        </w:rPr>
        <w:t> </w:t>
      </w:r>
      <w:r>
        <w:rPr>
          <w:rFonts w:ascii="TT Norms Pro Light"/>
          <w:b w:val="0"/>
          <w:i/>
          <w:sz w:val="14"/>
        </w:rPr>
        <w:t>note:</w:t>
      </w:r>
      <w:r>
        <w:rPr>
          <w:rFonts w:ascii="TT Norms Pro Light"/>
          <w:b w:val="0"/>
          <w:i/>
          <w:spacing w:val="5"/>
          <w:sz w:val="14"/>
        </w:rPr>
        <w:t> </w:t>
      </w:r>
      <w:r>
        <w:rPr>
          <w:rFonts w:ascii="TT Norms Pro Light"/>
          <w:b w:val="0"/>
          <w:i/>
          <w:sz w:val="14"/>
        </w:rPr>
        <w:t>This</w:t>
      </w:r>
      <w:r>
        <w:rPr>
          <w:rFonts w:ascii="TT Norms Pro Light"/>
          <w:b w:val="0"/>
          <w:i/>
          <w:spacing w:val="5"/>
          <w:sz w:val="14"/>
        </w:rPr>
        <w:t> </w:t>
      </w:r>
      <w:r>
        <w:rPr>
          <w:rFonts w:ascii="TT Norms Pro Light"/>
          <w:b w:val="0"/>
          <w:i/>
          <w:sz w:val="14"/>
        </w:rPr>
        <w:t>is</w:t>
      </w:r>
      <w:r>
        <w:rPr>
          <w:rFonts w:ascii="TT Norms Pro Light"/>
          <w:b w:val="0"/>
          <w:i/>
          <w:spacing w:val="5"/>
          <w:sz w:val="14"/>
        </w:rPr>
        <w:t> </w:t>
      </w:r>
      <w:r>
        <w:rPr>
          <w:rFonts w:ascii="TT Norms Pro Light"/>
          <w:b w:val="0"/>
          <w:i/>
          <w:sz w:val="14"/>
        </w:rPr>
        <w:t>not</w:t>
      </w:r>
      <w:r>
        <w:rPr>
          <w:rFonts w:ascii="TT Norms Pro Light"/>
          <w:b w:val="0"/>
          <w:i/>
          <w:spacing w:val="5"/>
          <w:sz w:val="14"/>
        </w:rPr>
        <w:t> </w:t>
      </w:r>
      <w:r>
        <w:rPr>
          <w:rFonts w:ascii="TT Norms Pro Light"/>
          <w:b w:val="0"/>
          <w:i/>
          <w:sz w:val="14"/>
        </w:rPr>
        <w:t>a</w:t>
      </w:r>
      <w:r>
        <w:rPr>
          <w:rFonts w:ascii="TT Norms Pro Light"/>
          <w:b w:val="0"/>
          <w:i/>
          <w:spacing w:val="5"/>
          <w:sz w:val="14"/>
        </w:rPr>
        <w:t> </w:t>
      </w:r>
      <w:r>
        <w:rPr>
          <w:rFonts w:ascii="TT Norms Pro Light"/>
          <w:b w:val="0"/>
          <w:i/>
          <w:sz w:val="14"/>
        </w:rPr>
        <w:t>comprehensive</w:t>
      </w:r>
      <w:r>
        <w:rPr>
          <w:rFonts w:ascii="TT Norms Pro Light"/>
          <w:b w:val="0"/>
          <w:i/>
          <w:spacing w:val="4"/>
          <w:sz w:val="14"/>
        </w:rPr>
        <w:t> </w:t>
      </w:r>
      <w:r>
        <w:rPr>
          <w:rFonts w:ascii="TT Norms Pro Light"/>
          <w:b w:val="0"/>
          <w:i/>
          <w:sz w:val="14"/>
        </w:rPr>
        <w:t>list</w:t>
      </w:r>
      <w:r>
        <w:rPr>
          <w:rFonts w:ascii="TT Norms Pro Light"/>
          <w:b w:val="0"/>
          <w:i/>
          <w:spacing w:val="5"/>
          <w:sz w:val="14"/>
        </w:rPr>
        <w:t> </w:t>
      </w:r>
      <w:r>
        <w:rPr>
          <w:rFonts w:ascii="TT Norms Pro Light"/>
          <w:b w:val="0"/>
          <w:i/>
          <w:sz w:val="14"/>
        </w:rPr>
        <w:t>of</w:t>
      </w:r>
      <w:r>
        <w:rPr>
          <w:rFonts w:ascii="TT Norms Pro Light"/>
          <w:b w:val="0"/>
          <w:i/>
          <w:spacing w:val="5"/>
          <w:sz w:val="14"/>
        </w:rPr>
        <w:t> </w:t>
      </w:r>
      <w:r>
        <w:rPr>
          <w:rFonts w:ascii="TT Norms Pro Light"/>
          <w:b w:val="0"/>
          <w:i/>
          <w:sz w:val="14"/>
        </w:rPr>
        <w:t>every</w:t>
      </w:r>
      <w:r>
        <w:rPr>
          <w:rFonts w:ascii="TT Norms Pro Light"/>
          <w:b w:val="0"/>
          <w:i/>
          <w:spacing w:val="5"/>
          <w:sz w:val="14"/>
        </w:rPr>
        <w:t> </w:t>
      </w:r>
      <w:r>
        <w:rPr>
          <w:rFonts w:ascii="TT Norms Pro Light"/>
          <w:b w:val="0"/>
          <w:i/>
          <w:sz w:val="14"/>
        </w:rPr>
        <w:t>award</w:t>
      </w:r>
      <w:r>
        <w:rPr>
          <w:rFonts w:ascii="TT Norms Pro Light"/>
          <w:b w:val="0"/>
          <w:i/>
          <w:spacing w:val="5"/>
          <w:sz w:val="14"/>
        </w:rPr>
        <w:t> </w:t>
      </w:r>
      <w:r>
        <w:rPr>
          <w:rFonts w:ascii="TT Norms Pro Light"/>
          <w:b w:val="0"/>
          <w:i/>
          <w:sz w:val="14"/>
        </w:rPr>
        <w:t>winner</w:t>
      </w:r>
      <w:r>
        <w:rPr>
          <w:rFonts w:ascii="TT Norms Pro Light"/>
          <w:b w:val="0"/>
          <w:i/>
          <w:spacing w:val="5"/>
          <w:sz w:val="14"/>
        </w:rPr>
        <w:t> </w:t>
      </w:r>
      <w:r>
        <w:rPr>
          <w:rFonts w:ascii="TT Norms Pro Light"/>
          <w:b w:val="0"/>
          <w:i/>
          <w:sz w:val="14"/>
        </w:rPr>
        <w:t>at</w:t>
      </w:r>
      <w:r>
        <w:rPr>
          <w:rFonts w:ascii="TT Norms Pro Light"/>
          <w:b w:val="0"/>
          <w:i/>
          <w:spacing w:val="5"/>
          <w:sz w:val="14"/>
        </w:rPr>
        <w:t> </w:t>
      </w:r>
      <w:r>
        <w:rPr>
          <w:rFonts w:ascii="TT Norms Pro Light"/>
          <w:b w:val="0"/>
          <w:i/>
          <w:spacing w:val="-4"/>
          <w:sz w:val="14"/>
        </w:rPr>
        <w:t>UWA.</w:t>
      </w:r>
    </w:p>
    <w:p>
      <w:pPr>
        <w:spacing w:after="0"/>
        <w:jc w:val="left"/>
        <w:rPr>
          <w:rFonts w:ascii="TT Norms Pro Light"/>
          <w:sz w:val="14"/>
        </w:rPr>
        <w:sectPr>
          <w:type w:val="continuous"/>
          <w:pgSz w:w="11910" w:h="16840"/>
          <w:pgMar w:header="468" w:footer="0" w:top="980" w:bottom="280" w:left="0" w:right="780"/>
        </w:sectPr>
      </w:pPr>
    </w:p>
    <w:p>
      <w:pPr>
        <w:pStyle w:val="BodyText"/>
        <w:spacing w:before="20" w:after="1"/>
        <w:rPr>
          <w:b w:val="0"/>
          <w:i/>
          <w:sz w:val="20"/>
        </w:rPr>
      </w:pPr>
    </w:p>
    <w:p>
      <w:pPr>
        <w:pStyle w:val="BodyText"/>
        <w:rPr>
          <w:sz w:val="20"/>
        </w:rPr>
      </w:pPr>
      <w:r>
        <w:rPr>
          <w:sz w:val="20"/>
        </w:rPr>
        <mc:AlternateContent>
          <mc:Choice Requires="wps">
            <w:drawing>
              <wp:inline distT="0" distB="0" distL="0" distR="0">
                <wp:extent cx="6996430" cy="943610"/>
                <wp:effectExtent l="0" t="0" r="0" b="8890"/>
                <wp:docPr id="377" name="Group 377"/>
                <wp:cNvGraphicFramePr>
                  <a:graphicFrameLocks/>
                </wp:cNvGraphicFramePr>
                <a:graphic>
                  <a:graphicData uri="http://schemas.microsoft.com/office/word/2010/wordprocessingGroup">
                    <wpg:wgp>
                      <wpg:cNvPr id="377" name="Group 377"/>
                      <wpg:cNvGrpSpPr/>
                      <wpg:grpSpPr>
                        <a:xfrm>
                          <a:off x="0" y="0"/>
                          <a:ext cx="6996430" cy="943610"/>
                          <a:chExt cx="6996430" cy="943610"/>
                        </a:xfrm>
                      </wpg:grpSpPr>
                      <pic:pic>
                        <pic:nvPicPr>
                          <pic:cNvPr id="378" name="Image 378"/>
                          <pic:cNvPicPr/>
                        </pic:nvPicPr>
                        <pic:blipFill>
                          <a:blip r:embed="rId61" cstate="print"/>
                          <a:stretch>
                            <a:fillRect/>
                          </a:stretch>
                        </pic:blipFill>
                        <pic:spPr>
                          <a:xfrm>
                            <a:off x="0" y="92113"/>
                            <a:ext cx="1965261" cy="850900"/>
                          </a:xfrm>
                          <a:prstGeom prst="rect">
                            <a:avLst/>
                          </a:prstGeom>
                        </pic:spPr>
                      </pic:pic>
                      <wps:wsp>
                        <wps:cNvPr id="379" name="Graphic 379"/>
                        <wps:cNvSpPr/>
                        <wps:spPr>
                          <a:xfrm>
                            <a:off x="632523" y="0"/>
                            <a:ext cx="6363970" cy="705485"/>
                          </a:xfrm>
                          <a:custGeom>
                            <a:avLst/>
                            <a:gdLst/>
                            <a:ahLst/>
                            <a:cxnLst/>
                            <a:rect l="l" t="t" r="r" b="b"/>
                            <a:pathLst>
                              <a:path w="6363970" h="705485">
                                <a:moveTo>
                                  <a:pt x="6363487" y="0"/>
                                </a:moveTo>
                                <a:lnTo>
                                  <a:pt x="0" y="0"/>
                                </a:lnTo>
                                <a:lnTo>
                                  <a:pt x="0" y="704951"/>
                                </a:lnTo>
                                <a:lnTo>
                                  <a:pt x="6363487" y="704951"/>
                                </a:lnTo>
                                <a:lnTo>
                                  <a:pt x="6363487" y="0"/>
                                </a:lnTo>
                                <a:close/>
                              </a:path>
                            </a:pathLst>
                          </a:custGeom>
                          <a:solidFill>
                            <a:srgbClr val="FFFFFF"/>
                          </a:solidFill>
                        </wps:spPr>
                        <wps:bodyPr wrap="square" lIns="0" tIns="0" rIns="0" bIns="0" rtlCol="0">
                          <a:prstTxWarp prst="textNoShape">
                            <a:avLst/>
                          </a:prstTxWarp>
                          <a:noAutofit/>
                        </wps:bodyPr>
                      </wps:wsp>
                      <wps:wsp>
                        <wps:cNvPr id="380" name="Textbox 380"/>
                        <wps:cNvSpPr txBox="1"/>
                        <wps:spPr>
                          <a:xfrm>
                            <a:off x="0" y="0"/>
                            <a:ext cx="6996430" cy="943610"/>
                          </a:xfrm>
                          <a:prstGeom prst="rect">
                            <a:avLst/>
                          </a:prstGeom>
                        </wps:spPr>
                        <wps:txbx>
                          <w:txbxContent>
                            <w:p>
                              <w:pPr>
                                <w:spacing w:before="30"/>
                                <w:ind w:left="1166" w:right="0" w:firstLine="0"/>
                                <w:jc w:val="left"/>
                                <w:rPr>
                                  <w:rFonts w:ascii="TT Norms Pro"/>
                                  <w:b/>
                                  <w:sz w:val="70"/>
                                </w:rPr>
                              </w:pPr>
                              <w:r>
                                <w:rPr>
                                  <w:rFonts w:ascii="Palatino Linotype"/>
                                  <w:w w:val="110"/>
                                  <w:sz w:val="70"/>
                                </w:rPr>
                                <w:t>Members</w:t>
                              </w:r>
                              <w:r>
                                <w:rPr>
                                  <w:rFonts w:ascii="Palatino Linotype"/>
                                  <w:spacing w:val="-74"/>
                                  <w:w w:val="110"/>
                                  <w:sz w:val="70"/>
                                </w:rPr>
                                <w:t> </w:t>
                              </w:r>
                              <w:r>
                                <w:rPr>
                                  <w:rFonts w:ascii="Palatino Linotype"/>
                                  <w:w w:val="110"/>
                                  <w:sz w:val="70"/>
                                </w:rPr>
                                <w:t>of</w:t>
                              </w:r>
                              <w:r>
                                <w:rPr>
                                  <w:rFonts w:ascii="Palatino Linotype"/>
                                  <w:spacing w:val="34"/>
                                  <w:w w:val="110"/>
                                  <w:sz w:val="70"/>
                                </w:rPr>
                                <w:t> </w:t>
                              </w:r>
                              <w:r>
                                <w:rPr>
                                  <w:rFonts w:ascii="TT Norms Pro"/>
                                  <w:b/>
                                  <w:spacing w:val="-2"/>
                                  <w:w w:val="110"/>
                                  <w:sz w:val="70"/>
                                </w:rPr>
                                <w:t>senate</w:t>
                              </w:r>
                            </w:p>
                          </w:txbxContent>
                        </wps:txbx>
                        <wps:bodyPr wrap="square" lIns="0" tIns="0" rIns="0" bIns="0" rtlCol="0">
                          <a:noAutofit/>
                        </wps:bodyPr>
                      </wps:wsp>
                    </wpg:wgp>
                  </a:graphicData>
                </a:graphic>
              </wp:inline>
            </w:drawing>
          </mc:Choice>
          <mc:Fallback>
            <w:pict>
              <v:group style="width:550.9pt;height:74.3pt;mso-position-horizontal-relative:char;mso-position-vertical-relative:line" id="docshapegroup234" coordorigin="0,0" coordsize="11018,1486">
                <v:shape style="position:absolute;left:0;top:145;width:3095;height:1340" type="#_x0000_t75" id="docshape235" stroked="false">
                  <v:imagedata r:id="rId61" o:title=""/>
                </v:shape>
                <v:rect style="position:absolute;left:996;top:0;width:10022;height:1111" id="docshape236" filled="true" fillcolor="#ffffff" stroked="false">
                  <v:fill type="solid"/>
                </v:rect>
                <v:shape style="position:absolute;left:0;top:0;width:11018;height:1486" type="#_x0000_t202" id="docshape237" filled="false" stroked="false">
                  <v:textbox inset="0,0,0,0">
                    <w:txbxContent>
                      <w:p>
                        <w:pPr>
                          <w:spacing w:before="30"/>
                          <w:ind w:left="1166" w:right="0" w:firstLine="0"/>
                          <w:jc w:val="left"/>
                          <w:rPr>
                            <w:rFonts w:ascii="TT Norms Pro"/>
                            <w:b/>
                            <w:sz w:val="70"/>
                          </w:rPr>
                        </w:pPr>
                        <w:r>
                          <w:rPr>
                            <w:rFonts w:ascii="Palatino Linotype"/>
                            <w:w w:val="110"/>
                            <w:sz w:val="70"/>
                          </w:rPr>
                          <w:t>Members</w:t>
                        </w:r>
                        <w:r>
                          <w:rPr>
                            <w:rFonts w:ascii="Palatino Linotype"/>
                            <w:spacing w:val="-74"/>
                            <w:w w:val="110"/>
                            <w:sz w:val="70"/>
                          </w:rPr>
                          <w:t> </w:t>
                        </w:r>
                        <w:r>
                          <w:rPr>
                            <w:rFonts w:ascii="Palatino Linotype"/>
                            <w:w w:val="110"/>
                            <w:sz w:val="70"/>
                          </w:rPr>
                          <w:t>of</w:t>
                        </w:r>
                        <w:r>
                          <w:rPr>
                            <w:rFonts w:ascii="Palatino Linotype"/>
                            <w:spacing w:val="34"/>
                            <w:w w:val="110"/>
                            <w:sz w:val="70"/>
                          </w:rPr>
                          <w:t> </w:t>
                        </w:r>
                        <w:r>
                          <w:rPr>
                            <w:rFonts w:ascii="TT Norms Pro"/>
                            <w:b/>
                            <w:spacing w:val="-2"/>
                            <w:w w:val="110"/>
                            <w:sz w:val="70"/>
                          </w:rPr>
                          <w:t>senate</w:t>
                        </w:r>
                      </w:p>
                    </w:txbxContent>
                  </v:textbox>
                  <w10:wrap type="none"/>
                </v:shape>
              </v:group>
            </w:pict>
          </mc:Fallback>
        </mc:AlternateContent>
      </w:r>
      <w:r>
        <w:rPr>
          <w:sz w:val="20"/>
        </w:rPr>
      </w:r>
    </w:p>
    <w:p>
      <w:pPr>
        <w:pStyle w:val="BodyText"/>
        <w:spacing w:line="295" w:lineRule="auto" w:before="159"/>
        <w:ind w:left="1134" w:right="854"/>
        <w:jc w:val="both"/>
        <w:rPr>
          <w:b w:val="0"/>
        </w:rPr>
      </w:pPr>
      <w:r>
        <w:rPr>
          <w:b w:val="0"/>
        </w:rPr>
        <w:t>The following persons were members of the University Senate in 2020. The date in brackets at the end of each entry</w:t>
      </w:r>
      <w:r>
        <w:rPr>
          <w:b w:val="0"/>
          <w:spacing w:val="40"/>
        </w:rPr>
        <w:t> </w:t>
      </w:r>
      <w:r>
        <w:rPr>
          <w:b w:val="0"/>
        </w:rPr>
        <w:t>indicates the year a person first became a member of the Senate. The second date indicates the year of expiry of the</w:t>
      </w:r>
      <w:r>
        <w:rPr>
          <w:b w:val="0"/>
          <w:spacing w:val="40"/>
        </w:rPr>
        <w:t> </w:t>
      </w:r>
      <w:r>
        <w:rPr>
          <w:b w:val="0"/>
        </w:rPr>
        <w:t>current term of office. An (*) indicates membership for part of the year only.</w:t>
      </w:r>
    </w:p>
    <w:p>
      <w:pPr>
        <w:pStyle w:val="BodyText"/>
        <w:spacing w:before="70"/>
        <w:rPr>
          <w:b w:val="0"/>
          <w:sz w:val="20"/>
        </w:rPr>
      </w:pPr>
    </w:p>
    <w:p>
      <w:pPr>
        <w:spacing w:after="0"/>
        <w:rPr>
          <w:sz w:val="20"/>
        </w:rPr>
        <w:sectPr>
          <w:pgSz w:w="11910" w:h="16840"/>
          <w:pgMar w:header="468" w:footer="0" w:top="720" w:bottom="0" w:left="0" w:right="780"/>
        </w:sectPr>
      </w:pPr>
    </w:p>
    <w:p>
      <w:pPr>
        <w:spacing w:before="127"/>
        <w:ind w:left="1126" w:right="0" w:firstLine="0"/>
        <w:jc w:val="left"/>
        <w:rPr>
          <w:rFonts w:ascii="TT Norms Pro"/>
          <w:b/>
          <w:sz w:val="18"/>
        </w:rPr>
      </w:pPr>
      <w:r>
        <w:rPr/>
        <mc:AlternateContent>
          <mc:Choice Requires="wps">
            <w:drawing>
              <wp:anchor distT="0" distB="0" distL="0" distR="0" allowOverlap="1" layoutInCell="1" locked="0" behindDoc="1" simplePos="0" relativeHeight="472667648">
                <wp:simplePos x="0" y="0"/>
                <wp:positionH relativeFrom="page">
                  <wp:posOffset>0</wp:posOffset>
                </wp:positionH>
                <wp:positionV relativeFrom="page">
                  <wp:posOffset>7424991</wp:posOffset>
                </wp:positionV>
                <wp:extent cx="7560309" cy="3267075"/>
                <wp:effectExtent l="0" t="0" r="0" b="0"/>
                <wp:wrapNone/>
                <wp:docPr id="381" name="Group 381"/>
                <wp:cNvGraphicFramePr>
                  <a:graphicFrameLocks/>
                </wp:cNvGraphicFramePr>
                <a:graphic>
                  <a:graphicData uri="http://schemas.microsoft.com/office/word/2010/wordprocessingGroup">
                    <wpg:wgp>
                      <wpg:cNvPr id="381" name="Group 381"/>
                      <wpg:cNvGrpSpPr/>
                      <wpg:grpSpPr>
                        <a:xfrm>
                          <a:off x="0" y="0"/>
                          <a:ext cx="7560309" cy="3267075"/>
                          <a:chExt cx="7560309" cy="3267075"/>
                        </a:xfrm>
                      </wpg:grpSpPr>
                      <pic:pic>
                        <pic:nvPicPr>
                          <pic:cNvPr id="382" name="Image 382"/>
                          <pic:cNvPicPr/>
                        </pic:nvPicPr>
                        <pic:blipFill>
                          <a:blip r:embed="rId65" cstate="print"/>
                          <a:stretch>
                            <a:fillRect/>
                          </a:stretch>
                        </pic:blipFill>
                        <pic:spPr>
                          <a:xfrm>
                            <a:off x="0" y="1560004"/>
                            <a:ext cx="7559992" cy="1707007"/>
                          </a:xfrm>
                          <a:prstGeom prst="rect">
                            <a:avLst/>
                          </a:prstGeom>
                        </pic:spPr>
                      </pic:pic>
                      <wps:wsp>
                        <wps:cNvPr id="383" name="Graphic 383"/>
                        <wps:cNvSpPr/>
                        <wps:spPr>
                          <a:xfrm>
                            <a:off x="179997" y="1507324"/>
                            <a:ext cx="7380605" cy="1575435"/>
                          </a:xfrm>
                          <a:custGeom>
                            <a:avLst/>
                            <a:gdLst/>
                            <a:ahLst/>
                            <a:cxnLst/>
                            <a:rect l="l" t="t" r="r" b="b"/>
                            <a:pathLst>
                              <a:path w="7380605" h="1575435">
                                <a:moveTo>
                                  <a:pt x="7379995" y="0"/>
                                </a:moveTo>
                                <a:lnTo>
                                  <a:pt x="0" y="0"/>
                                </a:lnTo>
                                <a:lnTo>
                                  <a:pt x="0" y="1575168"/>
                                </a:lnTo>
                                <a:lnTo>
                                  <a:pt x="7379995" y="1575168"/>
                                </a:lnTo>
                                <a:lnTo>
                                  <a:pt x="7379995" y="0"/>
                                </a:lnTo>
                                <a:close/>
                              </a:path>
                            </a:pathLst>
                          </a:custGeom>
                          <a:solidFill>
                            <a:srgbClr val="FFFFFF"/>
                          </a:solidFill>
                        </wps:spPr>
                        <wps:bodyPr wrap="square" lIns="0" tIns="0" rIns="0" bIns="0" rtlCol="0">
                          <a:prstTxWarp prst="textNoShape">
                            <a:avLst/>
                          </a:prstTxWarp>
                          <a:noAutofit/>
                        </wps:bodyPr>
                      </wps:wsp>
                      <pic:pic>
                        <pic:nvPicPr>
                          <pic:cNvPr id="384" name="Image 384"/>
                          <pic:cNvPicPr/>
                        </pic:nvPicPr>
                        <pic:blipFill>
                          <a:blip r:embed="rId66" cstate="print"/>
                          <a:stretch>
                            <a:fillRect/>
                          </a:stretch>
                        </pic:blipFill>
                        <pic:spPr>
                          <a:xfrm>
                            <a:off x="4306303" y="1494624"/>
                            <a:ext cx="2134603" cy="785380"/>
                          </a:xfrm>
                          <a:prstGeom prst="rect">
                            <a:avLst/>
                          </a:prstGeom>
                        </pic:spPr>
                      </pic:pic>
                      <pic:pic>
                        <pic:nvPicPr>
                          <pic:cNvPr id="385" name="Image 385"/>
                          <pic:cNvPicPr/>
                        </pic:nvPicPr>
                        <pic:blipFill>
                          <a:blip r:embed="rId67" cstate="print"/>
                          <a:stretch>
                            <a:fillRect/>
                          </a:stretch>
                        </pic:blipFill>
                        <pic:spPr>
                          <a:xfrm>
                            <a:off x="3903103" y="0"/>
                            <a:ext cx="2171395" cy="692378"/>
                          </a:xfrm>
                          <a:prstGeom prst="rect">
                            <a:avLst/>
                          </a:prstGeom>
                        </pic:spPr>
                      </pic:pic>
                      <wps:wsp>
                        <wps:cNvPr id="386" name="Graphic 386"/>
                        <wps:cNvSpPr/>
                        <wps:spPr>
                          <a:xfrm>
                            <a:off x="4066705" y="152412"/>
                            <a:ext cx="2200910" cy="1927225"/>
                          </a:xfrm>
                          <a:custGeom>
                            <a:avLst/>
                            <a:gdLst/>
                            <a:ahLst/>
                            <a:cxnLst/>
                            <a:rect l="l" t="t" r="r" b="b"/>
                            <a:pathLst>
                              <a:path w="2200910" h="1927225">
                                <a:moveTo>
                                  <a:pt x="2200795" y="0"/>
                                </a:moveTo>
                                <a:lnTo>
                                  <a:pt x="0" y="0"/>
                                </a:lnTo>
                                <a:lnTo>
                                  <a:pt x="0" y="1926602"/>
                                </a:lnTo>
                                <a:lnTo>
                                  <a:pt x="2200795" y="1926602"/>
                                </a:lnTo>
                                <a:lnTo>
                                  <a:pt x="220079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584.645020pt;width:595.3pt;height:257.25pt;mso-position-horizontal-relative:page;mso-position-vertical-relative:page;z-index:-30648832" id="docshapegroup238" coordorigin="0,11693" coordsize="11906,5145">
                <v:shape style="position:absolute;left:0;top:14149;width:11906;height:2689" type="#_x0000_t75" id="docshape239" stroked="false">
                  <v:imagedata r:id="rId65" o:title=""/>
                </v:shape>
                <v:rect style="position:absolute;left:283;top:14066;width:11623;height:2481" id="docshape240" filled="true" fillcolor="#ffffff" stroked="false">
                  <v:fill type="solid"/>
                </v:rect>
                <v:shape style="position:absolute;left:6781;top:14046;width:3362;height:1237" type="#_x0000_t75" id="docshape241" stroked="false">
                  <v:imagedata r:id="rId66" o:title=""/>
                </v:shape>
                <v:shape style="position:absolute;left:6146;top:11692;width:3420;height:1091" type="#_x0000_t75" id="docshape242" stroked="false">
                  <v:imagedata r:id="rId67" o:title=""/>
                </v:shape>
                <v:rect style="position:absolute;left:6404;top:11932;width:3466;height:3035" id="docshape243" filled="true" fillcolor="#ffffff" stroked="false">
                  <v:fill type="solid"/>
                </v:rect>
                <w10:wrap type="none"/>
              </v:group>
            </w:pict>
          </mc:Fallback>
        </mc:AlternateContent>
      </w:r>
      <w:r>
        <w:rPr>
          <w:rFonts w:ascii="TT Norms Pro"/>
          <w:b/>
          <w:spacing w:val="-2"/>
          <w:sz w:val="18"/>
        </w:rPr>
        <w:t>CHANCELLOR</w:t>
      </w:r>
    </w:p>
    <w:p>
      <w:pPr>
        <w:spacing w:before="49"/>
        <w:ind w:left="1126" w:right="0" w:firstLine="0"/>
        <w:jc w:val="left"/>
        <w:rPr>
          <w:rFonts w:ascii="TT Norms Pro"/>
          <w:b/>
          <w:sz w:val="18"/>
        </w:rPr>
      </w:pPr>
      <w:r>
        <w:rPr>
          <w:rFonts w:ascii="TT Norms Pro"/>
          <w:b/>
          <w:sz w:val="18"/>
        </w:rPr>
        <w:t>The</w:t>
      </w:r>
      <w:r>
        <w:rPr>
          <w:rFonts w:ascii="TT Norms Pro"/>
          <w:b/>
          <w:spacing w:val="4"/>
          <w:sz w:val="18"/>
        </w:rPr>
        <w:t> </w:t>
      </w:r>
      <w:r>
        <w:rPr>
          <w:rFonts w:ascii="TT Norms Pro"/>
          <w:b/>
          <w:sz w:val="18"/>
        </w:rPr>
        <w:t>Hon</w:t>
      </w:r>
      <w:r>
        <w:rPr>
          <w:rFonts w:ascii="TT Norms Pro"/>
          <w:b/>
          <w:spacing w:val="4"/>
          <w:sz w:val="18"/>
        </w:rPr>
        <w:t> </w:t>
      </w:r>
      <w:r>
        <w:rPr>
          <w:rFonts w:ascii="TT Norms Pro"/>
          <w:b/>
          <w:sz w:val="18"/>
        </w:rPr>
        <w:t>Robert</w:t>
      </w:r>
      <w:r>
        <w:rPr>
          <w:rFonts w:ascii="TT Norms Pro"/>
          <w:b/>
          <w:spacing w:val="5"/>
          <w:sz w:val="18"/>
        </w:rPr>
        <w:t> </w:t>
      </w:r>
      <w:r>
        <w:rPr>
          <w:rFonts w:ascii="TT Norms Pro"/>
          <w:b/>
          <w:sz w:val="18"/>
        </w:rPr>
        <w:t>S.</w:t>
      </w:r>
      <w:r>
        <w:rPr>
          <w:rFonts w:ascii="TT Norms Pro"/>
          <w:b/>
          <w:spacing w:val="4"/>
          <w:sz w:val="18"/>
        </w:rPr>
        <w:t> </w:t>
      </w:r>
      <w:r>
        <w:rPr>
          <w:rFonts w:ascii="TT Norms Pro"/>
          <w:b/>
          <w:sz w:val="18"/>
        </w:rPr>
        <w:t>French</w:t>
      </w:r>
      <w:r>
        <w:rPr>
          <w:rFonts w:ascii="TT Norms Pro"/>
          <w:b/>
          <w:spacing w:val="5"/>
          <w:sz w:val="18"/>
        </w:rPr>
        <w:t> </w:t>
      </w:r>
      <w:r>
        <w:rPr>
          <w:rFonts w:ascii="TT Norms Pro"/>
          <w:b/>
          <w:spacing w:val="-5"/>
          <w:sz w:val="18"/>
        </w:rPr>
        <w:t>AC</w:t>
      </w:r>
    </w:p>
    <w:p>
      <w:pPr>
        <w:spacing w:before="50"/>
        <w:ind w:left="1126" w:right="0" w:firstLine="0"/>
        <w:jc w:val="left"/>
        <w:rPr>
          <w:rFonts w:ascii="TT Norms Pro Light"/>
          <w:b w:val="0"/>
          <w:sz w:val="18"/>
        </w:rPr>
      </w:pPr>
      <w:r>
        <w:rPr>
          <w:rFonts w:ascii="TT Norms Pro Light"/>
          <w:b w:val="0"/>
          <w:sz w:val="18"/>
        </w:rPr>
        <w:t>BSc</w:t>
      </w:r>
      <w:r>
        <w:rPr>
          <w:rFonts w:ascii="TT Norms Pro Light"/>
          <w:b w:val="0"/>
          <w:spacing w:val="1"/>
          <w:sz w:val="18"/>
        </w:rPr>
        <w:t> </w:t>
      </w:r>
      <w:r>
        <w:rPr>
          <w:rFonts w:ascii="TT Norms Pro Light"/>
          <w:b w:val="0"/>
          <w:sz w:val="18"/>
        </w:rPr>
        <w:t>LLB</w:t>
      </w:r>
      <w:r>
        <w:rPr>
          <w:rFonts w:ascii="TT Norms Pro Light"/>
          <w:b w:val="0"/>
          <w:spacing w:val="1"/>
          <w:sz w:val="18"/>
        </w:rPr>
        <w:t> </w:t>
      </w:r>
      <w:r>
        <w:rPr>
          <w:rFonts w:ascii="TT Norms Pro Light"/>
          <w:b w:val="0"/>
          <w:i/>
          <w:sz w:val="18"/>
        </w:rPr>
        <w:t>W.Aust.</w:t>
      </w:r>
      <w:r>
        <w:rPr>
          <w:rFonts w:ascii="TT Norms Pro Light"/>
          <w:b w:val="0"/>
          <w:i/>
          <w:spacing w:val="1"/>
          <w:sz w:val="18"/>
        </w:rPr>
        <w:t> </w:t>
      </w:r>
      <w:r>
        <w:rPr>
          <w:rFonts w:ascii="TT Norms Pro Light"/>
          <w:b w:val="0"/>
          <w:sz w:val="18"/>
        </w:rPr>
        <w:t>(2017)</w:t>
      </w:r>
      <w:r>
        <w:rPr>
          <w:rFonts w:ascii="TT Norms Pro Light"/>
          <w:b w:val="0"/>
          <w:spacing w:val="1"/>
          <w:sz w:val="18"/>
        </w:rPr>
        <w:t> </w:t>
      </w:r>
      <w:r>
        <w:rPr>
          <w:rFonts w:ascii="TT Norms Pro Light"/>
          <w:b w:val="0"/>
          <w:spacing w:val="-4"/>
          <w:sz w:val="18"/>
        </w:rPr>
        <w:t>2023</w:t>
      </w:r>
    </w:p>
    <w:p>
      <w:pPr>
        <w:pStyle w:val="BodyText"/>
        <w:spacing w:before="37"/>
        <w:rPr>
          <w:b w:val="0"/>
        </w:rPr>
      </w:pPr>
    </w:p>
    <w:p>
      <w:pPr>
        <w:spacing w:before="0"/>
        <w:ind w:left="1126" w:right="0" w:firstLine="0"/>
        <w:jc w:val="left"/>
        <w:rPr>
          <w:rFonts w:ascii="TT Norms Pro"/>
          <w:b/>
          <w:sz w:val="18"/>
        </w:rPr>
      </w:pPr>
      <w:r>
        <w:rPr>
          <w:rFonts w:ascii="TT Norms Pro"/>
          <w:b/>
          <w:sz w:val="18"/>
        </w:rPr>
        <w:t>APPOINTED</w:t>
      </w:r>
      <w:r>
        <w:rPr>
          <w:rFonts w:ascii="TT Norms Pro"/>
          <w:b/>
          <w:spacing w:val="2"/>
          <w:sz w:val="18"/>
        </w:rPr>
        <w:t> </w:t>
      </w:r>
      <w:r>
        <w:rPr>
          <w:rFonts w:ascii="TT Norms Pro"/>
          <w:b/>
          <w:sz w:val="18"/>
        </w:rPr>
        <w:t>BY</w:t>
      </w:r>
      <w:r>
        <w:rPr>
          <w:rFonts w:ascii="TT Norms Pro"/>
          <w:b/>
          <w:spacing w:val="2"/>
          <w:sz w:val="18"/>
        </w:rPr>
        <w:t> </w:t>
      </w:r>
      <w:r>
        <w:rPr>
          <w:rFonts w:ascii="TT Norms Pro"/>
          <w:b/>
          <w:sz w:val="18"/>
        </w:rPr>
        <w:t>THE</w:t>
      </w:r>
      <w:r>
        <w:rPr>
          <w:rFonts w:ascii="TT Norms Pro"/>
          <w:b/>
          <w:spacing w:val="2"/>
          <w:sz w:val="18"/>
        </w:rPr>
        <w:t> </w:t>
      </w:r>
      <w:r>
        <w:rPr>
          <w:rFonts w:ascii="TT Norms Pro"/>
          <w:b/>
          <w:spacing w:val="-2"/>
          <w:sz w:val="18"/>
        </w:rPr>
        <w:t>GOVERNOR</w:t>
      </w:r>
    </w:p>
    <w:p>
      <w:pPr>
        <w:spacing w:before="49"/>
        <w:ind w:left="1126" w:right="0" w:firstLine="0"/>
        <w:jc w:val="left"/>
        <w:rPr>
          <w:rFonts w:ascii="TT Norms Pro"/>
          <w:b/>
          <w:sz w:val="18"/>
        </w:rPr>
      </w:pPr>
      <w:r>
        <w:rPr>
          <w:rFonts w:ascii="TT Norms Pro"/>
          <w:b/>
          <w:sz w:val="18"/>
        </w:rPr>
        <w:t>Lynton</w:t>
      </w:r>
      <w:r>
        <w:rPr>
          <w:rFonts w:ascii="TT Norms Pro"/>
          <w:b/>
          <w:spacing w:val="1"/>
          <w:sz w:val="18"/>
        </w:rPr>
        <w:t> </w:t>
      </w:r>
      <w:r>
        <w:rPr>
          <w:rFonts w:ascii="TT Norms Pro"/>
          <w:b/>
          <w:spacing w:val="-2"/>
          <w:sz w:val="18"/>
        </w:rPr>
        <w:t>Hayes</w:t>
      </w:r>
    </w:p>
    <w:p>
      <w:pPr>
        <w:spacing w:before="50"/>
        <w:ind w:left="1126" w:right="0" w:firstLine="0"/>
        <w:jc w:val="left"/>
        <w:rPr>
          <w:rFonts w:ascii="TT Norms Pro Light"/>
          <w:b w:val="0"/>
          <w:sz w:val="18"/>
        </w:rPr>
      </w:pPr>
      <w:r>
        <w:rPr>
          <w:rFonts w:ascii="TT Norms Pro Light"/>
          <w:b w:val="0"/>
          <w:sz w:val="18"/>
        </w:rPr>
        <w:t>BEc</w:t>
      </w:r>
      <w:r>
        <w:rPr>
          <w:rFonts w:ascii="TT Norms Pro Light"/>
          <w:b w:val="0"/>
          <w:spacing w:val="-3"/>
          <w:sz w:val="18"/>
        </w:rPr>
        <w:t> </w:t>
      </w:r>
      <w:r>
        <w:rPr>
          <w:rFonts w:ascii="TT Norms Pro Light"/>
          <w:b w:val="0"/>
          <w:i/>
          <w:sz w:val="18"/>
        </w:rPr>
        <w:t>W.Aust.</w:t>
      </w:r>
      <w:r>
        <w:rPr>
          <w:rFonts w:ascii="TT Norms Pro Light"/>
          <w:b w:val="0"/>
          <w:sz w:val="18"/>
        </w:rPr>
        <w:t>,</w:t>
      </w:r>
      <w:r>
        <w:rPr>
          <w:rFonts w:ascii="TT Norms Pro Light"/>
          <w:b w:val="0"/>
          <w:spacing w:val="-3"/>
          <w:sz w:val="18"/>
        </w:rPr>
        <w:t> </w:t>
      </w:r>
      <w:r>
        <w:rPr>
          <w:rFonts w:ascii="TT Norms Pro Light"/>
          <w:b w:val="0"/>
          <w:sz w:val="18"/>
        </w:rPr>
        <w:t>MPA</w:t>
      </w:r>
      <w:r>
        <w:rPr>
          <w:rFonts w:ascii="TT Norms Pro Light"/>
          <w:b w:val="0"/>
          <w:spacing w:val="-3"/>
          <w:sz w:val="18"/>
        </w:rPr>
        <w:t> </w:t>
      </w:r>
      <w:r>
        <w:rPr>
          <w:rFonts w:ascii="TT Norms Pro Light"/>
          <w:b w:val="0"/>
          <w:sz w:val="18"/>
        </w:rPr>
        <w:t>PhD</w:t>
      </w:r>
      <w:r>
        <w:rPr>
          <w:rFonts w:ascii="TT Norms Pro Light"/>
          <w:b w:val="0"/>
          <w:spacing w:val="-3"/>
          <w:sz w:val="18"/>
        </w:rPr>
        <w:t> </w:t>
      </w:r>
      <w:r>
        <w:rPr>
          <w:rFonts w:ascii="TT Norms Pro Light"/>
          <w:b w:val="0"/>
          <w:i/>
          <w:sz w:val="18"/>
        </w:rPr>
        <w:t>Indiana</w:t>
      </w:r>
      <w:r>
        <w:rPr>
          <w:rFonts w:ascii="TT Norms Pro Light"/>
          <w:b w:val="0"/>
          <w:sz w:val="18"/>
        </w:rPr>
        <w:t>,</w:t>
      </w:r>
      <w:r>
        <w:rPr>
          <w:rFonts w:ascii="TT Norms Pro Light"/>
          <w:b w:val="0"/>
          <w:spacing w:val="-3"/>
          <w:sz w:val="18"/>
        </w:rPr>
        <w:t> </w:t>
      </w:r>
      <w:r>
        <w:rPr>
          <w:rFonts w:ascii="TT Norms Pro Light"/>
          <w:b w:val="0"/>
          <w:sz w:val="18"/>
        </w:rPr>
        <w:t>Hon.FAIM</w:t>
      </w:r>
      <w:r>
        <w:rPr>
          <w:rFonts w:ascii="TT Norms Pro Light"/>
          <w:b w:val="0"/>
          <w:spacing w:val="-3"/>
          <w:sz w:val="18"/>
        </w:rPr>
        <w:t> </w:t>
      </w:r>
      <w:r>
        <w:rPr>
          <w:rFonts w:ascii="TT Norms Pro Light"/>
          <w:b w:val="0"/>
          <w:sz w:val="18"/>
        </w:rPr>
        <w:t>(2008)</w:t>
      </w:r>
      <w:r>
        <w:rPr>
          <w:rFonts w:ascii="TT Norms Pro Light"/>
          <w:b w:val="0"/>
          <w:spacing w:val="-3"/>
          <w:sz w:val="18"/>
        </w:rPr>
        <w:t> </w:t>
      </w:r>
      <w:r>
        <w:rPr>
          <w:rFonts w:ascii="TT Norms Pro Light"/>
          <w:b w:val="0"/>
          <w:spacing w:val="-4"/>
          <w:sz w:val="18"/>
        </w:rPr>
        <w:t>2020*</w:t>
      </w:r>
    </w:p>
    <w:p>
      <w:pPr>
        <w:pStyle w:val="BodyText"/>
        <w:spacing w:before="37"/>
        <w:rPr>
          <w:b w:val="0"/>
        </w:rPr>
      </w:pPr>
    </w:p>
    <w:p>
      <w:pPr>
        <w:spacing w:before="0"/>
        <w:ind w:left="1126" w:right="0" w:firstLine="0"/>
        <w:jc w:val="left"/>
        <w:rPr>
          <w:rFonts w:ascii="TT Norms Pro"/>
          <w:b/>
          <w:sz w:val="18"/>
        </w:rPr>
      </w:pPr>
      <w:r>
        <w:rPr>
          <w:rFonts w:ascii="TT Norms Pro"/>
          <w:b/>
          <w:sz w:val="18"/>
        </w:rPr>
        <w:t>Susan</w:t>
      </w:r>
      <w:r>
        <w:rPr>
          <w:rFonts w:ascii="TT Norms Pro"/>
          <w:b/>
          <w:spacing w:val="3"/>
          <w:sz w:val="18"/>
        </w:rPr>
        <w:t> </w:t>
      </w:r>
      <w:r>
        <w:rPr>
          <w:rFonts w:ascii="TT Norms Pro"/>
          <w:b/>
          <w:sz w:val="18"/>
        </w:rPr>
        <w:t>Murphy</w:t>
      </w:r>
      <w:r>
        <w:rPr>
          <w:rFonts w:ascii="TT Norms Pro"/>
          <w:b/>
          <w:spacing w:val="6"/>
          <w:sz w:val="18"/>
        </w:rPr>
        <w:t> </w:t>
      </w:r>
      <w:r>
        <w:rPr>
          <w:rFonts w:ascii="TT Norms Pro"/>
          <w:b/>
          <w:spacing w:val="-5"/>
          <w:sz w:val="18"/>
        </w:rPr>
        <w:t>AO</w:t>
      </w:r>
    </w:p>
    <w:p>
      <w:pPr>
        <w:spacing w:before="49"/>
        <w:ind w:left="1126" w:right="0" w:firstLine="0"/>
        <w:jc w:val="left"/>
        <w:rPr>
          <w:rFonts w:ascii="TT Norms Pro Light"/>
          <w:b w:val="0"/>
          <w:sz w:val="18"/>
        </w:rPr>
      </w:pPr>
      <w:r>
        <w:rPr>
          <w:rFonts w:ascii="TT Norms Pro Light"/>
          <w:b w:val="0"/>
          <w:sz w:val="18"/>
        </w:rPr>
        <w:t>BEng</w:t>
      </w:r>
      <w:r>
        <w:rPr>
          <w:rFonts w:ascii="TT Norms Pro Light"/>
          <w:b w:val="0"/>
          <w:spacing w:val="-3"/>
          <w:sz w:val="18"/>
        </w:rPr>
        <w:t> </w:t>
      </w:r>
      <w:r>
        <w:rPr>
          <w:rFonts w:ascii="TT Norms Pro Light"/>
          <w:b w:val="0"/>
          <w:i/>
          <w:sz w:val="18"/>
        </w:rPr>
        <w:t>W.Aust.</w:t>
      </w:r>
      <w:r>
        <w:rPr>
          <w:rFonts w:ascii="TT Norms Pro Light"/>
          <w:b w:val="0"/>
          <w:i/>
          <w:spacing w:val="-2"/>
          <w:sz w:val="18"/>
        </w:rPr>
        <w:t> </w:t>
      </w:r>
      <w:r>
        <w:rPr>
          <w:rFonts w:ascii="TT Norms Pro Light"/>
          <w:b w:val="0"/>
          <w:sz w:val="18"/>
        </w:rPr>
        <w:t>(2015)</w:t>
      </w:r>
      <w:r>
        <w:rPr>
          <w:rFonts w:ascii="TT Norms Pro Light"/>
          <w:b w:val="0"/>
          <w:spacing w:val="-1"/>
          <w:sz w:val="18"/>
        </w:rPr>
        <w:t> </w:t>
      </w:r>
      <w:r>
        <w:rPr>
          <w:rFonts w:ascii="TT Norms Pro Light"/>
          <w:b w:val="0"/>
          <w:spacing w:val="-4"/>
          <w:sz w:val="18"/>
        </w:rPr>
        <w:t>2022</w:t>
      </w:r>
    </w:p>
    <w:p>
      <w:pPr>
        <w:pStyle w:val="BodyText"/>
        <w:spacing w:before="37"/>
        <w:rPr>
          <w:b w:val="0"/>
        </w:rPr>
      </w:pPr>
    </w:p>
    <w:p>
      <w:pPr>
        <w:spacing w:before="0"/>
        <w:ind w:left="1126" w:right="0" w:firstLine="0"/>
        <w:jc w:val="left"/>
        <w:rPr>
          <w:rFonts w:ascii="TT Norms Pro"/>
          <w:b/>
          <w:sz w:val="18"/>
        </w:rPr>
      </w:pPr>
      <w:r>
        <w:rPr>
          <w:rFonts w:ascii="TT Norms Pro"/>
          <w:b/>
          <w:sz w:val="18"/>
        </w:rPr>
        <w:t>Joanne</w:t>
      </w:r>
      <w:r>
        <w:rPr>
          <w:rFonts w:ascii="TT Norms Pro"/>
          <w:b/>
          <w:spacing w:val="4"/>
          <w:sz w:val="18"/>
        </w:rPr>
        <w:t> </w:t>
      </w:r>
      <w:r>
        <w:rPr>
          <w:rFonts w:ascii="TT Norms Pro"/>
          <w:b/>
          <w:spacing w:val="-2"/>
          <w:sz w:val="18"/>
        </w:rPr>
        <w:t>Farrell</w:t>
      </w:r>
    </w:p>
    <w:p>
      <w:pPr>
        <w:spacing w:line="295" w:lineRule="auto" w:before="50"/>
        <w:ind w:left="1126" w:right="0" w:firstLine="0"/>
        <w:jc w:val="left"/>
        <w:rPr>
          <w:rFonts w:ascii="TT Norms Pro Light"/>
          <w:b w:val="0"/>
          <w:sz w:val="18"/>
        </w:rPr>
      </w:pPr>
      <w:r>
        <w:rPr>
          <w:rFonts w:ascii="TT Norms Pro Light"/>
          <w:b w:val="0"/>
          <w:sz w:val="18"/>
        </w:rPr>
        <w:t>BSc </w:t>
      </w:r>
      <w:r>
        <w:rPr>
          <w:rFonts w:ascii="TT Norms Pro Light"/>
          <w:b w:val="0"/>
          <w:i/>
          <w:sz w:val="18"/>
        </w:rPr>
        <w:t>W.Aust.</w:t>
      </w:r>
      <w:r>
        <w:rPr>
          <w:rFonts w:ascii="TT Norms Pro Light"/>
          <w:b w:val="0"/>
          <w:sz w:val="18"/>
        </w:rPr>
        <w:t>, GradDip Management </w:t>
      </w:r>
      <w:r>
        <w:rPr>
          <w:rFonts w:ascii="TT Norms Pro Light"/>
          <w:b w:val="0"/>
          <w:i/>
          <w:sz w:val="18"/>
        </w:rPr>
        <w:t>Curtin</w:t>
      </w:r>
      <w:r>
        <w:rPr>
          <w:rFonts w:ascii="TT Norms Pro Light"/>
          <w:b w:val="0"/>
          <w:sz w:val="18"/>
        </w:rPr>
        <w:t>, BLP </w:t>
      </w:r>
      <w:r>
        <w:rPr>
          <w:rFonts w:ascii="TT Norms Pro Light"/>
          <w:b w:val="0"/>
          <w:i/>
          <w:sz w:val="18"/>
        </w:rPr>
        <w:t>UNSW</w:t>
      </w:r>
      <w:r>
        <w:rPr>
          <w:rFonts w:ascii="TT Norms Pro Light"/>
          <w:b w:val="0"/>
          <w:sz w:val="18"/>
        </w:rPr>
        <w:t>,</w:t>
      </w:r>
      <w:r>
        <w:rPr>
          <w:rFonts w:ascii="TT Norms Pro Light"/>
          <w:b w:val="0"/>
          <w:spacing w:val="40"/>
          <w:sz w:val="18"/>
        </w:rPr>
        <w:t> </w:t>
      </w:r>
      <w:r>
        <w:rPr>
          <w:rFonts w:ascii="TT Norms Pro Light"/>
          <w:b w:val="0"/>
          <w:sz w:val="18"/>
        </w:rPr>
        <w:t>SLP </w:t>
      </w:r>
      <w:r>
        <w:rPr>
          <w:rFonts w:ascii="TT Norms Pro Light"/>
          <w:b w:val="0"/>
          <w:i/>
          <w:sz w:val="18"/>
        </w:rPr>
        <w:t>LBS </w:t>
      </w:r>
      <w:r>
        <w:rPr>
          <w:rFonts w:ascii="TT Norms Pro Light"/>
          <w:b w:val="0"/>
          <w:sz w:val="18"/>
        </w:rPr>
        <w:t>(2019*) 2022</w:t>
      </w:r>
    </w:p>
    <w:p>
      <w:pPr>
        <w:spacing w:before="200"/>
        <w:ind w:left="1126" w:right="0" w:firstLine="0"/>
        <w:jc w:val="left"/>
        <w:rPr>
          <w:rFonts w:ascii="TT Norms Pro"/>
          <w:b/>
          <w:sz w:val="18"/>
        </w:rPr>
      </w:pPr>
      <w:r>
        <w:rPr>
          <w:rFonts w:ascii="TT Norms Pro"/>
          <w:b/>
          <w:sz w:val="18"/>
        </w:rPr>
        <w:t>ELECTED</w:t>
      </w:r>
      <w:r>
        <w:rPr>
          <w:rFonts w:ascii="TT Norms Pro"/>
          <w:b/>
          <w:spacing w:val="3"/>
          <w:sz w:val="18"/>
        </w:rPr>
        <w:t> </w:t>
      </w:r>
      <w:r>
        <w:rPr>
          <w:rFonts w:ascii="TT Norms Pro"/>
          <w:b/>
          <w:sz w:val="18"/>
        </w:rPr>
        <w:t>BY</w:t>
      </w:r>
      <w:r>
        <w:rPr>
          <w:rFonts w:ascii="TT Norms Pro"/>
          <w:b/>
          <w:spacing w:val="5"/>
          <w:sz w:val="18"/>
        </w:rPr>
        <w:t> </w:t>
      </w:r>
      <w:r>
        <w:rPr>
          <w:rFonts w:ascii="TT Norms Pro"/>
          <w:b/>
          <w:spacing w:val="-2"/>
          <w:sz w:val="18"/>
        </w:rPr>
        <w:t>CONVOCATION</w:t>
      </w:r>
    </w:p>
    <w:p>
      <w:pPr>
        <w:spacing w:before="49"/>
        <w:ind w:left="1126" w:right="0" w:firstLine="0"/>
        <w:jc w:val="left"/>
        <w:rPr>
          <w:rFonts w:ascii="TT Norms Pro"/>
          <w:b/>
          <w:sz w:val="18"/>
        </w:rPr>
      </w:pPr>
      <w:r>
        <w:rPr>
          <w:rFonts w:ascii="TT Norms Pro"/>
          <w:b/>
          <w:sz w:val="18"/>
        </w:rPr>
        <w:t>Simon</w:t>
      </w:r>
      <w:r>
        <w:rPr>
          <w:rFonts w:ascii="TT Norms Pro"/>
          <w:b/>
          <w:spacing w:val="7"/>
          <w:sz w:val="18"/>
        </w:rPr>
        <w:t> </w:t>
      </w:r>
      <w:r>
        <w:rPr>
          <w:rFonts w:ascii="TT Norms Pro"/>
          <w:b/>
          <w:spacing w:val="-2"/>
          <w:sz w:val="18"/>
        </w:rPr>
        <w:t>Dawkins</w:t>
      </w:r>
    </w:p>
    <w:p>
      <w:pPr>
        <w:spacing w:line="295" w:lineRule="auto" w:before="50"/>
        <w:ind w:left="1126" w:right="0" w:firstLine="0"/>
        <w:jc w:val="left"/>
        <w:rPr>
          <w:rFonts w:ascii="TT Norms Pro Light"/>
          <w:b w:val="0"/>
          <w:sz w:val="18"/>
        </w:rPr>
      </w:pPr>
      <w:r>
        <w:rPr>
          <w:rFonts w:ascii="TT Norms Pro Light"/>
          <w:b w:val="0"/>
          <w:sz w:val="18"/>
        </w:rPr>
        <w:t>BEc </w:t>
      </w:r>
      <w:r>
        <w:rPr>
          <w:rFonts w:ascii="TT Norms Pro Light"/>
          <w:b w:val="0"/>
          <w:i/>
          <w:sz w:val="18"/>
        </w:rPr>
        <w:t>W.Aust.</w:t>
      </w:r>
      <w:r>
        <w:rPr>
          <w:rFonts w:ascii="TT Norms Pro Light"/>
          <w:b w:val="0"/>
          <w:sz w:val="18"/>
        </w:rPr>
        <w:t>, DipEd </w:t>
      </w:r>
      <w:r>
        <w:rPr>
          <w:rFonts w:ascii="TT Norms Pro Light"/>
          <w:b w:val="0"/>
          <w:i/>
          <w:sz w:val="18"/>
        </w:rPr>
        <w:t>Canberra </w:t>
      </w:r>
      <w:r>
        <w:rPr>
          <w:rFonts w:ascii="TT Norms Pro Light"/>
          <w:b w:val="0"/>
          <w:sz w:val="18"/>
        </w:rPr>
        <w:t>CAE, MPhil </w:t>
      </w:r>
      <w:r>
        <w:rPr>
          <w:rFonts w:ascii="TT Norms Pro Light"/>
          <w:b w:val="0"/>
          <w:i/>
          <w:sz w:val="18"/>
        </w:rPr>
        <w:t>City (UK)</w:t>
      </w:r>
      <w:r>
        <w:rPr>
          <w:rFonts w:ascii="TT Norms Pro Light"/>
          <w:b w:val="0"/>
          <w:sz w:val="18"/>
        </w:rPr>
        <w:t>,</w:t>
      </w:r>
      <w:r>
        <w:rPr>
          <w:rFonts w:ascii="TT Norms Pro Light"/>
          <w:b w:val="0"/>
          <w:spacing w:val="40"/>
          <w:sz w:val="18"/>
        </w:rPr>
        <w:t> </w:t>
      </w:r>
      <w:r>
        <w:rPr>
          <w:rFonts w:ascii="TT Norms Pro Light"/>
          <w:b w:val="0"/>
          <w:sz w:val="18"/>
        </w:rPr>
        <w:t>FAICD (2010) 2021</w:t>
      </w:r>
    </w:p>
    <w:p>
      <w:pPr>
        <w:spacing w:before="200"/>
        <w:ind w:left="1126" w:right="0" w:firstLine="0"/>
        <w:jc w:val="left"/>
        <w:rPr>
          <w:rFonts w:ascii="TT Norms Pro"/>
          <w:b/>
          <w:sz w:val="18"/>
        </w:rPr>
      </w:pPr>
      <w:r>
        <w:rPr>
          <w:rFonts w:ascii="TT Norms Pro"/>
          <w:b/>
          <w:sz w:val="18"/>
        </w:rPr>
        <w:t>Warren</w:t>
      </w:r>
      <w:r>
        <w:rPr>
          <w:rFonts w:ascii="TT Norms Pro"/>
          <w:b/>
          <w:spacing w:val="-3"/>
          <w:sz w:val="18"/>
        </w:rPr>
        <w:t> </w:t>
      </w:r>
      <w:r>
        <w:rPr>
          <w:rFonts w:ascii="TT Norms Pro"/>
          <w:b/>
          <w:sz w:val="18"/>
        </w:rPr>
        <w:t>Kerr </w:t>
      </w:r>
      <w:r>
        <w:rPr>
          <w:rFonts w:ascii="TT Norms Pro"/>
          <w:b/>
          <w:spacing w:val="-5"/>
          <w:sz w:val="18"/>
        </w:rPr>
        <w:t>AM</w:t>
      </w:r>
    </w:p>
    <w:p>
      <w:pPr>
        <w:pStyle w:val="BodyText"/>
        <w:spacing w:line="295" w:lineRule="auto" w:before="49"/>
        <w:ind w:left="1126" w:hanging="1"/>
        <w:rPr>
          <w:b w:val="0"/>
        </w:rPr>
      </w:pPr>
      <w:r>
        <w:rPr>
          <w:b w:val="0"/>
        </w:rPr>
        <w:t>BArch</w:t>
      </w:r>
      <w:r>
        <w:rPr>
          <w:b w:val="0"/>
          <w:spacing w:val="-2"/>
        </w:rPr>
        <w:t> </w:t>
      </w:r>
      <w:r>
        <w:rPr>
          <w:b w:val="0"/>
          <w:i/>
        </w:rPr>
        <w:t>W.Aust.</w:t>
      </w:r>
      <w:r>
        <w:rPr>
          <w:b w:val="0"/>
        </w:rPr>
        <w:t>,</w:t>
      </w:r>
      <w:r>
        <w:rPr>
          <w:b w:val="0"/>
          <w:spacing w:val="-2"/>
        </w:rPr>
        <w:t> </w:t>
      </w:r>
      <w:r>
        <w:rPr>
          <w:b w:val="0"/>
        </w:rPr>
        <w:t>MHP</w:t>
      </w:r>
      <w:r>
        <w:rPr>
          <w:b w:val="0"/>
          <w:spacing w:val="-2"/>
        </w:rPr>
        <w:t> </w:t>
      </w:r>
      <w:r>
        <w:rPr>
          <w:b w:val="0"/>
          <w:i/>
        </w:rPr>
        <w:t>NSW</w:t>
      </w:r>
      <w:r>
        <w:rPr>
          <w:b w:val="0"/>
          <w:i/>
          <w:spacing w:val="-3"/>
        </w:rPr>
        <w:t> </w:t>
      </w:r>
      <w:r>
        <w:rPr>
          <w:b w:val="0"/>
        </w:rPr>
        <w:t>LFRAIA</w:t>
      </w:r>
      <w:r>
        <w:rPr>
          <w:b w:val="0"/>
          <w:spacing w:val="-2"/>
        </w:rPr>
        <w:t> </w:t>
      </w:r>
      <w:r>
        <w:rPr>
          <w:b w:val="0"/>
        </w:rPr>
        <w:t>FACHSM</w:t>
      </w:r>
      <w:r>
        <w:rPr>
          <w:b w:val="0"/>
          <w:spacing w:val="-2"/>
        </w:rPr>
        <w:t> </w:t>
      </w:r>
      <w:r>
        <w:rPr>
          <w:b w:val="0"/>
        </w:rPr>
        <w:t>FAIM,</w:t>
      </w:r>
      <w:r>
        <w:rPr>
          <w:b w:val="0"/>
          <w:spacing w:val="-2"/>
        </w:rPr>
        <w:t> </w:t>
      </w:r>
      <w:r>
        <w:rPr>
          <w:b w:val="0"/>
        </w:rPr>
        <w:t>Hon.</w:t>
      </w:r>
      <w:r>
        <w:rPr>
          <w:b w:val="0"/>
          <w:spacing w:val="40"/>
        </w:rPr>
        <w:t> </w:t>
      </w:r>
      <w:r>
        <w:rPr>
          <w:b w:val="0"/>
        </w:rPr>
        <w:t>AIA Hon. FNZIA (2015) 2022</w:t>
      </w:r>
    </w:p>
    <w:p>
      <w:pPr>
        <w:spacing w:before="201"/>
        <w:ind w:left="1126" w:right="0" w:firstLine="0"/>
        <w:jc w:val="left"/>
        <w:rPr>
          <w:rFonts w:ascii="TT Norms Pro"/>
          <w:b/>
          <w:sz w:val="18"/>
        </w:rPr>
      </w:pPr>
      <w:r>
        <w:rPr>
          <w:rFonts w:ascii="TT Norms Pro"/>
          <w:b/>
          <w:sz w:val="18"/>
        </w:rPr>
        <w:t>ELECTED</w:t>
      </w:r>
      <w:r>
        <w:rPr>
          <w:rFonts w:ascii="TT Norms Pro"/>
          <w:b/>
          <w:spacing w:val="7"/>
          <w:sz w:val="18"/>
        </w:rPr>
        <w:t> </w:t>
      </w:r>
      <w:r>
        <w:rPr>
          <w:rFonts w:ascii="TT Norms Pro"/>
          <w:b/>
          <w:sz w:val="18"/>
        </w:rPr>
        <w:t>BY</w:t>
      </w:r>
      <w:r>
        <w:rPr>
          <w:rFonts w:ascii="TT Norms Pro"/>
          <w:b/>
          <w:spacing w:val="7"/>
          <w:sz w:val="18"/>
        </w:rPr>
        <w:t> </w:t>
      </w:r>
      <w:r>
        <w:rPr>
          <w:rFonts w:ascii="TT Norms Pro"/>
          <w:b/>
          <w:sz w:val="18"/>
        </w:rPr>
        <w:t>ACADEMIC</w:t>
      </w:r>
      <w:r>
        <w:rPr>
          <w:rFonts w:ascii="TT Norms Pro"/>
          <w:b/>
          <w:spacing w:val="7"/>
          <w:sz w:val="18"/>
        </w:rPr>
        <w:t> </w:t>
      </w:r>
      <w:r>
        <w:rPr>
          <w:rFonts w:ascii="TT Norms Pro"/>
          <w:b/>
          <w:spacing w:val="-2"/>
          <w:sz w:val="18"/>
        </w:rPr>
        <w:t>STAFF</w:t>
      </w:r>
    </w:p>
    <w:p>
      <w:pPr>
        <w:spacing w:before="49"/>
        <w:ind w:left="1126" w:right="0" w:firstLine="0"/>
        <w:jc w:val="left"/>
        <w:rPr>
          <w:rFonts w:ascii="TT Norms Pro"/>
          <w:b/>
          <w:sz w:val="18"/>
        </w:rPr>
      </w:pPr>
      <w:r>
        <w:rPr>
          <w:rFonts w:ascii="TT Norms Pro"/>
          <w:b/>
          <w:sz w:val="18"/>
        </w:rPr>
        <w:t>Nin</w:t>
      </w:r>
      <w:r>
        <w:rPr>
          <w:rFonts w:ascii="TT Norms Pro"/>
          <w:b/>
          <w:spacing w:val="3"/>
          <w:sz w:val="18"/>
        </w:rPr>
        <w:t> </w:t>
      </w:r>
      <w:r>
        <w:rPr>
          <w:rFonts w:ascii="TT Norms Pro"/>
          <w:b/>
          <w:spacing w:val="-2"/>
          <w:sz w:val="18"/>
        </w:rPr>
        <w:t>Kirkham</w:t>
      </w:r>
    </w:p>
    <w:p>
      <w:pPr>
        <w:spacing w:before="49"/>
        <w:ind w:left="1126" w:right="0" w:firstLine="0"/>
        <w:jc w:val="left"/>
        <w:rPr>
          <w:rFonts w:ascii="TT Norms Pro Light"/>
          <w:b w:val="0"/>
          <w:sz w:val="18"/>
        </w:rPr>
      </w:pPr>
      <w:r>
        <w:rPr>
          <w:rFonts w:ascii="TT Norms Pro Light"/>
          <w:b w:val="0"/>
          <w:sz w:val="18"/>
        </w:rPr>
        <w:t>BA</w:t>
      </w:r>
      <w:r>
        <w:rPr>
          <w:rFonts w:ascii="TT Norms Pro Light"/>
          <w:b w:val="0"/>
          <w:spacing w:val="-7"/>
          <w:sz w:val="18"/>
        </w:rPr>
        <w:t> </w:t>
      </w:r>
      <w:r>
        <w:rPr>
          <w:rFonts w:ascii="TT Norms Pro Light"/>
          <w:b w:val="0"/>
          <w:sz w:val="18"/>
        </w:rPr>
        <w:t>PhD</w:t>
      </w:r>
      <w:r>
        <w:rPr>
          <w:rFonts w:ascii="TT Norms Pro Light"/>
          <w:b w:val="0"/>
          <w:spacing w:val="-6"/>
          <w:sz w:val="18"/>
        </w:rPr>
        <w:t> </w:t>
      </w:r>
      <w:r>
        <w:rPr>
          <w:rFonts w:ascii="TT Norms Pro Light"/>
          <w:b w:val="0"/>
          <w:sz w:val="18"/>
        </w:rPr>
        <w:t>W</w:t>
      </w:r>
      <w:r>
        <w:rPr>
          <w:rFonts w:ascii="TT Norms Pro Light"/>
          <w:b w:val="0"/>
          <w:i/>
          <w:sz w:val="18"/>
        </w:rPr>
        <w:t>.Aust.</w:t>
      </w:r>
      <w:r>
        <w:rPr>
          <w:rFonts w:ascii="TT Norms Pro Light"/>
          <w:b w:val="0"/>
          <w:i/>
          <w:spacing w:val="-7"/>
          <w:sz w:val="18"/>
        </w:rPr>
        <w:t> </w:t>
      </w:r>
      <w:r>
        <w:rPr>
          <w:rFonts w:ascii="TT Norms Pro Light"/>
          <w:b w:val="0"/>
          <w:sz w:val="18"/>
        </w:rPr>
        <w:t>(2020*)</w:t>
      </w:r>
      <w:r>
        <w:rPr>
          <w:rFonts w:ascii="TT Norms Pro Light"/>
          <w:b w:val="0"/>
          <w:spacing w:val="-6"/>
          <w:sz w:val="18"/>
        </w:rPr>
        <w:t> </w:t>
      </w:r>
      <w:r>
        <w:rPr>
          <w:rFonts w:ascii="TT Norms Pro Light"/>
          <w:b w:val="0"/>
          <w:spacing w:val="-4"/>
          <w:sz w:val="18"/>
        </w:rPr>
        <w:t>2023</w:t>
      </w:r>
    </w:p>
    <w:p>
      <w:pPr>
        <w:pStyle w:val="BodyText"/>
        <w:spacing w:before="37"/>
        <w:rPr>
          <w:b w:val="0"/>
        </w:rPr>
      </w:pPr>
    </w:p>
    <w:p>
      <w:pPr>
        <w:spacing w:before="0"/>
        <w:ind w:left="1126" w:right="0" w:firstLine="0"/>
        <w:jc w:val="left"/>
        <w:rPr>
          <w:rFonts w:ascii="TT Norms Pro"/>
          <w:b/>
          <w:sz w:val="18"/>
        </w:rPr>
      </w:pPr>
      <w:r>
        <w:rPr>
          <w:rFonts w:ascii="TT Norms Pro"/>
          <w:b/>
          <w:sz w:val="18"/>
        </w:rPr>
        <w:t>ELECTED</w:t>
      </w:r>
      <w:r>
        <w:rPr>
          <w:rFonts w:ascii="TT Norms Pro"/>
          <w:b/>
          <w:spacing w:val="7"/>
          <w:sz w:val="18"/>
        </w:rPr>
        <w:t> </w:t>
      </w:r>
      <w:r>
        <w:rPr>
          <w:rFonts w:ascii="TT Norms Pro"/>
          <w:b/>
          <w:sz w:val="18"/>
        </w:rPr>
        <w:t>BY</w:t>
      </w:r>
      <w:r>
        <w:rPr>
          <w:rFonts w:ascii="TT Norms Pro"/>
          <w:b/>
          <w:spacing w:val="7"/>
          <w:sz w:val="18"/>
        </w:rPr>
        <w:t> </w:t>
      </w:r>
      <w:r>
        <w:rPr>
          <w:rFonts w:ascii="TT Norms Pro"/>
          <w:b/>
          <w:sz w:val="18"/>
        </w:rPr>
        <w:t>ACADEMIC</w:t>
      </w:r>
      <w:r>
        <w:rPr>
          <w:rFonts w:ascii="TT Norms Pro"/>
          <w:b/>
          <w:spacing w:val="7"/>
          <w:sz w:val="18"/>
        </w:rPr>
        <w:t> </w:t>
      </w:r>
      <w:r>
        <w:rPr>
          <w:rFonts w:ascii="TT Norms Pro"/>
          <w:b/>
          <w:spacing w:val="-2"/>
          <w:sz w:val="18"/>
        </w:rPr>
        <w:t>BOARD</w:t>
      </w:r>
    </w:p>
    <w:p>
      <w:pPr>
        <w:spacing w:before="50"/>
        <w:ind w:left="1126" w:right="0" w:firstLine="0"/>
        <w:jc w:val="left"/>
        <w:rPr>
          <w:rFonts w:ascii="TT Norms Pro"/>
          <w:b/>
          <w:sz w:val="18"/>
        </w:rPr>
      </w:pPr>
      <w:r>
        <w:rPr>
          <w:rFonts w:ascii="TT Norms Pro"/>
          <w:b/>
          <w:sz w:val="18"/>
        </w:rPr>
        <w:t>Raymond</w:t>
      </w:r>
      <w:r>
        <w:rPr>
          <w:rFonts w:ascii="TT Norms Pro"/>
          <w:b/>
          <w:spacing w:val="5"/>
          <w:sz w:val="18"/>
        </w:rPr>
        <w:t> </w:t>
      </w:r>
      <w:r>
        <w:rPr>
          <w:rFonts w:ascii="TT Norms Pro"/>
          <w:b/>
          <w:sz w:val="18"/>
        </w:rPr>
        <w:t>da</w:t>
      </w:r>
      <w:r>
        <w:rPr>
          <w:rFonts w:ascii="TT Norms Pro"/>
          <w:b/>
          <w:spacing w:val="5"/>
          <w:sz w:val="18"/>
        </w:rPr>
        <w:t> </w:t>
      </w:r>
      <w:r>
        <w:rPr>
          <w:rFonts w:ascii="TT Norms Pro"/>
          <w:b/>
          <w:sz w:val="18"/>
        </w:rPr>
        <w:t>Silva</w:t>
      </w:r>
      <w:r>
        <w:rPr>
          <w:rFonts w:ascii="TT Norms Pro"/>
          <w:b/>
          <w:spacing w:val="5"/>
          <w:sz w:val="18"/>
        </w:rPr>
        <w:t> </w:t>
      </w:r>
      <w:r>
        <w:rPr>
          <w:rFonts w:ascii="TT Norms Pro"/>
          <w:b/>
          <w:spacing w:val="-4"/>
          <w:sz w:val="18"/>
        </w:rPr>
        <w:t>Rosa</w:t>
      </w:r>
    </w:p>
    <w:p>
      <w:pPr>
        <w:spacing w:before="49"/>
        <w:ind w:left="1126" w:right="0" w:firstLine="0"/>
        <w:jc w:val="left"/>
        <w:rPr>
          <w:rFonts w:ascii="TT Norms Pro Light"/>
          <w:b w:val="0"/>
          <w:sz w:val="18"/>
        </w:rPr>
      </w:pPr>
      <w:r>
        <w:rPr>
          <w:rFonts w:ascii="TT Norms Pro Light"/>
          <w:b w:val="0"/>
          <w:sz w:val="18"/>
        </w:rPr>
        <w:t>BCom</w:t>
      </w:r>
      <w:r>
        <w:rPr>
          <w:rFonts w:ascii="TT Norms Pro Light"/>
          <w:b w:val="0"/>
          <w:spacing w:val="-1"/>
          <w:sz w:val="18"/>
        </w:rPr>
        <w:t> </w:t>
      </w:r>
      <w:r>
        <w:rPr>
          <w:rFonts w:ascii="TT Norms Pro Light"/>
          <w:b w:val="0"/>
          <w:sz w:val="18"/>
        </w:rPr>
        <w:t>PhD</w:t>
      </w:r>
      <w:r>
        <w:rPr>
          <w:rFonts w:ascii="TT Norms Pro Light"/>
          <w:b w:val="0"/>
          <w:spacing w:val="-1"/>
          <w:sz w:val="18"/>
        </w:rPr>
        <w:t> </w:t>
      </w:r>
      <w:r>
        <w:rPr>
          <w:rFonts w:ascii="TT Norms Pro Light"/>
          <w:b w:val="0"/>
          <w:i/>
          <w:sz w:val="18"/>
        </w:rPr>
        <w:t>W.Aust. </w:t>
      </w:r>
      <w:r>
        <w:rPr>
          <w:rFonts w:ascii="TT Norms Pro Light"/>
          <w:b w:val="0"/>
          <w:sz w:val="18"/>
        </w:rPr>
        <w:t>(2015)</w:t>
      </w:r>
      <w:r>
        <w:rPr>
          <w:rFonts w:ascii="TT Norms Pro Light"/>
          <w:b w:val="0"/>
          <w:spacing w:val="-1"/>
          <w:sz w:val="18"/>
        </w:rPr>
        <w:t> </w:t>
      </w:r>
      <w:r>
        <w:rPr>
          <w:rFonts w:ascii="TT Norms Pro Light"/>
          <w:b w:val="0"/>
          <w:spacing w:val="-4"/>
          <w:sz w:val="18"/>
        </w:rPr>
        <w:t>2023</w:t>
      </w:r>
    </w:p>
    <w:p>
      <w:pPr>
        <w:pStyle w:val="BodyText"/>
        <w:spacing w:before="37"/>
        <w:rPr>
          <w:b w:val="0"/>
        </w:rPr>
      </w:pPr>
    </w:p>
    <w:p>
      <w:pPr>
        <w:spacing w:before="0"/>
        <w:ind w:left="1126" w:right="0" w:firstLine="0"/>
        <w:jc w:val="left"/>
        <w:rPr>
          <w:rFonts w:ascii="TT Norms Pro"/>
          <w:b/>
          <w:sz w:val="18"/>
        </w:rPr>
      </w:pPr>
      <w:r>
        <w:rPr>
          <w:rFonts w:ascii="TT Norms Pro"/>
          <w:b/>
          <w:sz w:val="18"/>
        </w:rPr>
        <w:t>ELECTED</w:t>
      </w:r>
      <w:r>
        <w:rPr>
          <w:rFonts w:ascii="TT Norms Pro"/>
          <w:b/>
          <w:spacing w:val="9"/>
          <w:sz w:val="18"/>
        </w:rPr>
        <w:t> </w:t>
      </w:r>
      <w:r>
        <w:rPr>
          <w:rFonts w:ascii="TT Norms Pro"/>
          <w:b/>
          <w:sz w:val="18"/>
        </w:rPr>
        <w:t>BY</w:t>
      </w:r>
      <w:r>
        <w:rPr>
          <w:rFonts w:ascii="TT Norms Pro"/>
          <w:b/>
          <w:spacing w:val="9"/>
          <w:sz w:val="18"/>
        </w:rPr>
        <w:t> </w:t>
      </w:r>
      <w:r>
        <w:rPr>
          <w:rFonts w:ascii="TT Norms Pro"/>
          <w:b/>
          <w:sz w:val="18"/>
        </w:rPr>
        <w:t>GENERAL</w:t>
      </w:r>
      <w:r>
        <w:rPr>
          <w:rFonts w:ascii="TT Norms Pro"/>
          <w:b/>
          <w:spacing w:val="9"/>
          <w:sz w:val="18"/>
        </w:rPr>
        <w:t> </w:t>
      </w:r>
      <w:r>
        <w:rPr>
          <w:rFonts w:ascii="TT Norms Pro"/>
          <w:b/>
          <w:spacing w:val="-2"/>
          <w:sz w:val="18"/>
        </w:rPr>
        <w:t>STAFF</w:t>
      </w:r>
    </w:p>
    <w:p>
      <w:pPr>
        <w:spacing w:before="50"/>
        <w:ind w:left="1126" w:right="0" w:firstLine="0"/>
        <w:jc w:val="left"/>
        <w:rPr>
          <w:rFonts w:ascii="TT Norms Pro"/>
          <w:b/>
          <w:sz w:val="18"/>
        </w:rPr>
      </w:pPr>
      <w:r>
        <w:rPr>
          <w:rFonts w:ascii="TT Norms Pro"/>
          <w:b/>
          <w:sz w:val="18"/>
        </w:rPr>
        <w:t>Jill </w:t>
      </w:r>
      <w:r>
        <w:rPr>
          <w:rFonts w:ascii="TT Norms Pro"/>
          <w:b/>
          <w:spacing w:val="-4"/>
          <w:sz w:val="18"/>
        </w:rPr>
        <w:t>Benn</w:t>
      </w:r>
    </w:p>
    <w:p>
      <w:pPr>
        <w:pStyle w:val="BodyText"/>
        <w:spacing w:line="295" w:lineRule="auto" w:before="49"/>
        <w:ind w:left="1126"/>
        <w:rPr>
          <w:b w:val="0"/>
        </w:rPr>
      </w:pPr>
      <w:r>
        <w:rPr>
          <w:b w:val="0"/>
        </w:rPr>
        <w:t>BComms</w:t>
      </w:r>
      <w:r>
        <w:rPr>
          <w:b w:val="0"/>
          <w:spacing w:val="-2"/>
        </w:rPr>
        <w:t> </w:t>
      </w:r>
      <w:r>
        <w:rPr>
          <w:b w:val="0"/>
        </w:rPr>
        <w:t>(Media)</w:t>
      </w:r>
      <w:r>
        <w:rPr>
          <w:b w:val="0"/>
          <w:spacing w:val="-2"/>
        </w:rPr>
        <w:t> </w:t>
      </w:r>
      <w:r>
        <w:rPr>
          <w:b w:val="0"/>
        </w:rPr>
        <w:t>Hons</w:t>
      </w:r>
      <w:r>
        <w:rPr>
          <w:b w:val="0"/>
          <w:spacing w:val="-2"/>
        </w:rPr>
        <w:t> </w:t>
      </w:r>
      <w:r>
        <w:rPr>
          <w:b w:val="0"/>
          <w:i/>
        </w:rPr>
        <w:t>ECU</w:t>
      </w:r>
      <w:r>
        <w:rPr>
          <w:b w:val="0"/>
        </w:rPr>
        <w:t>,</w:t>
      </w:r>
      <w:r>
        <w:rPr>
          <w:b w:val="0"/>
          <w:spacing w:val="-2"/>
        </w:rPr>
        <w:t> </w:t>
      </w:r>
      <w:r>
        <w:rPr>
          <w:b w:val="0"/>
        </w:rPr>
        <w:t>GradDip</w:t>
      </w:r>
      <w:r>
        <w:rPr>
          <w:b w:val="0"/>
          <w:spacing w:val="-2"/>
        </w:rPr>
        <w:t> </w:t>
      </w:r>
      <w:r>
        <w:rPr>
          <w:b w:val="0"/>
        </w:rPr>
        <w:t>InfoLibStds</w:t>
      </w:r>
      <w:r>
        <w:rPr>
          <w:b w:val="0"/>
          <w:spacing w:val="-2"/>
        </w:rPr>
        <w:t> </w:t>
      </w:r>
      <w:r>
        <w:rPr>
          <w:b w:val="0"/>
          <w:i/>
        </w:rPr>
        <w:t>Curtin</w:t>
      </w:r>
      <w:r>
        <w:rPr>
          <w:b w:val="0"/>
        </w:rPr>
        <w:t>,</w:t>
      </w:r>
      <w:r>
        <w:rPr>
          <w:b w:val="0"/>
          <w:spacing w:val="40"/>
        </w:rPr>
        <w:t> </w:t>
      </w:r>
      <w:r>
        <w:rPr>
          <w:b w:val="0"/>
        </w:rPr>
        <w:t>GAICD (2020*) 2023</w:t>
      </w:r>
    </w:p>
    <w:p>
      <w:pPr>
        <w:spacing w:before="200"/>
        <w:ind w:left="1126" w:right="0" w:firstLine="0"/>
        <w:jc w:val="left"/>
        <w:rPr>
          <w:rFonts w:ascii="TT Norms Pro"/>
          <w:b/>
          <w:sz w:val="18"/>
        </w:rPr>
      </w:pPr>
      <w:r>
        <w:rPr>
          <w:rFonts w:ascii="TT Norms Pro"/>
          <w:b/>
          <w:sz w:val="18"/>
        </w:rPr>
        <w:t>ELECTED</w:t>
      </w:r>
      <w:r>
        <w:rPr>
          <w:rFonts w:ascii="TT Norms Pro"/>
          <w:b/>
          <w:spacing w:val="5"/>
          <w:sz w:val="18"/>
        </w:rPr>
        <w:t> </w:t>
      </w:r>
      <w:r>
        <w:rPr>
          <w:rFonts w:ascii="TT Norms Pro"/>
          <w:b/>
          <w:sz w:val="18"/>
        </w:rPr>
        <w:t>BY</w:t>
      </w:r>
      <w:r>
        <w:rPr>
          <w:rFonts w:ascii="TT Norms Pro"/>
          <w:b/>
          <w:spacing w:val="5"/>
          <w:sz w:val="18"/>
        </w:rPr>
        <w:t> </w:t>
      </w:r>
      <w:r>
        <w:rPr>
          <w:rFonts w:ascii="TT Norms Pro"/>
          <w:b/>
          <w:spacing w:val="-2"/>
          <w:sz w:val="18"/>
        </w:rPr>
        <w:t>STUDENTS</w:t>
      </w:r>
    </w:p>
    <w:p>
      <w:pPr>
        <w:spacing w:before="50"/>
        <w:ind w:left="1126" w:right="0" w:firstLine="0"/>
        <w:jc w:val="left"/>
        <w:rPr>
          <w:rFonts w:ascii="TT Norms Pro Light"/>
          <w:b w:val="0"/>
          <w:sz w:val="18"/>
        </w:rPr>
      </w:pPr>
      <w:r>
        <w:rPr>
          <w:rFonts w:ascii="TT Norms Pro"/>
          <w:b/>
          <w:sz w:val="18"/>
        </w:rPr>
        <w:t>Bre</w:t>
      </w:r>
      <w:r>
        <w:rPr>
          <w:rFonts w:ascii="TT Norms Pro"/>
          <w:b/>
          <w:spacing w:val="4"/>
          <w:sz w:val="18"/>
        </w:rPr>
        <w:t> </w:t>
      </w:r>
      <w:r>
        <w:rPr>
          <w:rFonts w:ascii="TT Norms Pro"/>
          <w:b/>
          <w:sz w:val="18"/>
        </w:rPr>
        <w:t>Shanahan,</w:t>
      </w:r>
      <w:r>
        <w:rPr>
          <w:rFonts w:ascii="TT Norms Pro"/>
          <w:b/>
          <w:spacing w:val="3"/>
          <w:sz w:val="18"/>
        </w:rPr>
        <w:t> </w:t>
      </w:r>
      <w:r>
        <w:rPr>
          <w:rFonts w:ascii="TT Norms Pro Light"/>
          <w:b w:val="0"/>
          <w:sz w:val="18"/>
        </w:rPr>
        <w:t>BA</w:t>
      </w:r>
      <w:r>
        <w:rPr>
          <w:rFonts w:ascii="TT Norms Pro Light"/>
          <w:b w:val="0"/>
          <w:spacing w:val="5"/>
          <w:sz w:val="18"/>
        </w:rPr>
        <w:t> </w:t>
      </w:r>
      <w:r>
        <w:rPr>
          <w:rFonts w:ascii="TT Norms Pro Light"/>
          <w:b w:val="0"/>
          <w:i/>
          <w:spacing w:val="-2"/>
          <w:sz w:val="18"/>
        </w:rPr>
        <w:t>W.Aust.</w:t>
      </w:r>
      <w:r>
        <w:rPr>
          <w:rFonts w:ascii="TT Norms Pro Light"/>
          <w:b w:val="0"/>
          <w:spacing w:val="-2"/>
          <w:sz w:val="18"/>
        </w:rPr>
        <w:t>,</w:t>
      </w:r>
    </w:p>
    <w:p>
      <w:pPr>
        <w:pStyle w:val="BodyText"/>
        <w:spacing w:before="49"/>
        <w:ind w:left="1126"/>
        <w:rPr>
          <w:b w:val="0"/>
        </w:rPr>
      </w:pPr>
      <w:r>
        <w:rPr>
          <w:b w:val="0"/>
        </w:rPr>
        <w:t>former</w:t>
      </w:r>
      <w:r>
        <w:rPr>
          <w:b w:val="0"/>
          <w:spacing w:val="-3"/>
        </w:rPr>
        <w:t> </w:t>
      </w:r>
      <w:r>
        <w:rPr>
          <w:b w:val="0"/>
        </w:rPr>
        <w:t>Guild</w:t>
      </w:r>
      <w:r>
        <w:rPr>
          <w:b w:val="0"/>
          <w:spacing w:val="-2"/>
        </w:rPr>
        <w:t> </w:t>
      </w:r>
      <w:r>
        <w:rPr>
          <w:b w:val="0"/>
        </w:rPr>
        <w:t>President</w:t>
      </w:r>
      <w:r>
        <w:rPr>
          <w:b w:val="0"/>
          <w:spacing w:val="-3"/>
        </w:rPr>
        <w:t> </w:t>
      </w:r>
      <w:r>
        <w:rPr>
          <w:b w:val="0"/>
        </w:rPr>
        <w:t>(2019)</w:t>
      </w:r>
      <w:r>
        <w:rPr>
          <w:b w:val="0"/>
          <w:spacing w:val="-2"/>
        </w:rPr>
        <w:t> </w:t>
      </w:r>
      <w:r>
        <w:rPr>
          <w:b w:val="0"/>
          <w:spacing w:val="-4"/>
        </w:rPr>
        <w:t>2020*</w:t>
      </w:r>
    </w:p>
    <w:p>
      <w:pPr>
        <w:pStyle w:val="BodyText"/>
        <w:spacing w:before="37"/>
        <w:rPr>
          <w:b w:val="0"/>
        </w:rPr>
      </w:pPr>
    </w:p>
    <w:p>
      <w:pPr>
        <w:spacing w:before="0"/>
        <w:ind w:left="1126" w:right="0" w:firstLine="0"/>
        <w:jc w:val="left"/>
        <w:rPr>
          <w:rFonts w:ascii="TT Norms Pro Light"/>
          <w:b w:val="0"/>
          <w:sz w:val="18"/>
        </w:rPr>
      </w:pPr>
      <w:r>
        <w:rPr>
          <w:rFonts w:ascii="TT Norms Pro"/>
          <w:b/>
          <w:sz w:val="18"/>
        </w:rPr>
        <w:t>Rahul</w:t>
      </w:r>
      <w:r>
        <w:rPr>
          <w:rFonts w:ascii="TT Norms Pro"/>
          <w:b/>
          <w:spacing w:val="-3"/>
          <w:sz w:val="18"/>
        </w:rPr>
        <w:t> </w:t>
      </w:r>
      <w:r>
        <w:rPr>
          <w:rFonts w:ascii="TT Norms Pro"/>
          <w:b/>
          <w:sz w:val="18"/>
        </w:rPr>
        <w:t>MS</w:t>
      </w:r>
      <w:r>
        <w:rPr>
          <w:rFonts w:ascii="TT Norms Pro Light"/>
          <w:b w:val="0"/>
          <w:sz w:val="18"/>
        </w:rPr>
        <w:t>,</w:t>
      </w:r>
      <w:r>
        <w:rPr>
          <w:rFonts w:ascii="TT Norms Pro Light"/>
          <w:b w:val="0"/>
          <w:spacing w:val="-1"/>
          <w:sz w:val="18"/>
        </w:rPr>
        <w:t> </w:t>
      </w:r>
      <w:r>
        <w:rPr>
          <w:rFonts w:ascii="TT Norms Pro Light"/>
          <w:b w:val="0"/>
          <w:sz w:val="18"/>
        </w:rPr>
        <w:t>BTech </w:t>
      </w:r>
      <w:r>
        <w:rPr>
          <w:rFonts w:ascii="TT Norms Pro Light"/>
          <w:b w:val="0"/>
          <w:i/>
          <w:spacing w:val="-4"/>
          <w:sz w:val="18"/>
        </w:rPr>
        <w:t>SRM</w:t>
      </w:r>
      <w:r>
        <w:rPr>
          <w:rFonts w:ascii="TT Norms Pro Light"/>
          <w:b w:val="0"/>
          <w:spacing w:val="-4"/>
          <w:sz w:val="18"/>
        </w:rPr>
        <w:t>,</w:t>
      </w:r>
    </w:p>
    <w:p>
      <w:pPr>
        <w:pStyle w:val="BodyText"/>
        <w:spacing w:before="50"/>
        <w:ind w:left="1126"/>
        <w:rPr>
          <w:b w:val="0"/>
        </w:rPr>
      </w:pPr>
      <w:r>
        <w:rPr>
          <w:b w:val="0"/>
        </w:rPr>
        <w:t>former</w:t>
      </w:r>
      <w:r>
        <w:rPr>
          <w:b w:val="0"/>
          <w:spacing w:val="-3"/>
        </w:rPr>
        <w:t> </w:t>
      </w:r>
      <w:r>
        <w:rPr>
          <w:b w:val="0"/>
        </w:rPr>
        <w:t>PSA</w:t>
      </w:r>
      <w:r>
        <w:rPr>
          <w:b w:val="0"/>
          <w:spacing w:val="-2"/>
        </w:rPr>
        <w:t> </w:t>
      </w:r>
      <w:r>
        <w:rPr>
          <w:b w:val="0"/>
        </w:rPr>
        <w:t>President</w:t>
      </w:r>
      <w:r>
        <w:rPr>
          <w:b w:val="0"/>
          <w:spacing w:val="-3"/>
        </w:rPr>
        <w:t> </w:t>
      </w:r>
      <w:r>
        <w:rPr>
          <w:b w:val="0"/>
        </w:rPr>
        <w:t>(2019)</w:t>
      </w:r>
      <w:r>
        <w:rPr>
          <w:b w:val="0"/>
          <w:spacing w:val="-2"/>
        </w:rPr>
        <w:t> 2020*</w:t>
      </w:r>
    </w:p>
    <w:p>
      <w:pPr>
        <w:pStyle w:val="BodyText"/>
        <w:spacing w:before="37"/>
        <w:rPr>
          <w:b w:val="0"/>
        </w:rPr>
      </w:pPr>
    </w:p>
    <w:p>
      <w:pPr>
        <w:spacing w:line="295" w:lineRule="auto" w:before="0"/>
        <w:ind w:left="1126" w:right="1903" w:firstLine="0"/>
        <w:jc w:val="left"/>
        <w:rPr>
          <w:rFonts w:ascii="TT Norms Pro Light"/>
          <w:b w:val="0"/>
          <w:sz w:val="18"/>
        </w:rPr>
      </w:pPr>
      <w:r>
        <w:rPr>
          <w:rFonts w:ascii="TT Norms Pro"/>
          <w:b/>
          <w:sz w:val="18"/>
        </w:rPr>
        <w:t>Emma Mezger, </w:t>
      </w:r>
      <w:r>
        <w:rPr>
          <w:rFonts w:ascii="TT Norms Pro Light"/>
          <w:b w:val="0"/>
          <w:sz w:val="18"/>
        </w:rPr>
        <w:t>BSc </w:t>
      </w:r>
      <w:r>
        <w:rPr>
          <w:rFonts w:ascii="TT Norms Pro Light"/>
          <w:b w:val="0"/>
          <w:i/>
          <w:sz w:val="18"/>
        </w:rPr>
        <w:t>W.Aust.</w:t>
      </w:r>
      <w:r>
        <w:rPr>
          <w:rFonts w:ascii="TT Norms Pro Light"/>
          <w:b w:val="0"/>
          <w:sz w:val="18"/>
        </w:rPr>
        <w:t>,</w:t>
      </w:r>
      <w:r>
        <w:rPr>
          <w:rFonts w:ascii="TT Norms Pro Light"/>
          <w:b w:val="0"/>
          <w:spacing w:val="80"/>
          <w:sz w:val="18"/>
        </w:rPr>
        <w:t> </w:t>
      </w:r>
      <w:r>
        <w:rPr>
          <w:rFonts w:ascii="TT Norms Pro Light"/>
          <w:b w:val="0"/>
          <w:sz w:val="18"/>
        </w:rPr>
        <w:t>new</w:t>
      </w:r>
      <w:r>
        <w:rPr>
          <w:rFonts w:ascii="TT Norms Pro Light"/>
          <w:b w:val="0"/>
          <w:spacing w:val="-9"/>
          <w:sz w:val="18"/>
        </w:rPr>
        <w:t> </w:t>
      </w:r>
      <w:r>
        <w:rPr>
          <w:rFonts w:ascii="TT Norms Pro Light"/>
          <w:b w:val="0"/>
          <w:sz w:val="18"/>
        </w:rPr>
        <w:t>Guild</w:t>
      </w:r>
      <w:r>
        <w:rPr>
          <w:rFonts w:ascii="TT Norms Pro Light"/>
          <w:b w:val="0"/>
          <w:spacing w:val="-9"/>
          <w:sz w:val="18"/>
        </w:rPr>
        <w:t> </w:t>
      </w:r>
      <w:r>
        <w:rPr>
          <w:rFonts w:ascii="TT Norms Pro Light"/>
          <w:b w:val="0"/>
          <w:sz w:val="18"/>
        </w:rPr>
        <w:t>President</w:t>
      </w:r>
      <w:r>
        <w:rPr>
          <w:rFonts w:ascii="TT Norms Pro Light"/>
          <w:b w:val="0"/>
          <w:spacing w:val="-9"/>
          <w:sz w:val="18"/>
        </w:rPr>
        <w:t> </w:t>
      </w:r>
      <w:r>
        <w:rPr>
          <w:rFonts w:ascii="TT Norms Pro Light"/>
          <w:b w:val="0"/>
          <w:sz w:val="18"/>
        </w:rPr>
        <w:t>(2020</w:t>
      </w:r>
      <w:r>
        <w:rPr>
          <w:rFonts w:ascii="TT Norms Pro Light"/>
          <w:b w:val="0"/>
          <w:i/>
          <w:sz w:val="18"/>
        </w:rPr>
        <w:t>*</w:t>
      </w:r>
      <w:r>
        <w:rPr>
          <w:rFonts w:ascii="TT Norms Pro Light"/>
          <w:b w:val="0"/>
          <w:sz w:val="18"/>
        </w:rPr>
        <w:t>)</w:t>
      </w:r>
      <w:r>
        <w:rPr>
          <w:rFonts w:ascii="TT Norms Pro Light"/>
          <w:b w:val="0"/>
          <w:spacing w:val="-9"/>
          <w:sz w:val="18"/>
        </w:rPr>
        <w:t> </w:t>
      </w:r>
      <w:r>
        <w:rPr>
          <w:rFonts w:ascii="TT Norms Pro Light"/>
          <w:b w:val="0"/>
          <w:sz w:val="18"/>
        </w:rPr>
        <w:t>2021</w:t>
      </w:r>
    </w:p>
    <w:p>
      <w:pPr>
        <w:spacing w:line="295" w:lineRule="auto" w:before="200"/>
        <w:ind w:left="1126" w:right="994" w:firstLine="0"/>
        <w:jc w:val="left"/>
        <w:rPr>
          <w:rFonts w:ascii="TT Norms Pro Light"/>
          <w:b w:val="0"/>
          <w:sz w:val="18"/>
        </w:rPr>
      </w:pPr>
      <w:r>
        <w:rPr>
          <w:rFonts w:ascii="TT Norms Pro"/>
          <w:b/>
          <w:sz w:val="18"/>
        </w:rPr>
        <w:t>Joseph Chan, </w:t>
      </w:r>
      <w:r>
        <w:rPr>
          <w:rFonts w:ascii="TT Norms Pro Light"/>
          <w:b w:val="0"/>
          <w:sz w:val="18"/>
        </w:rPr>
        <w:t>BCom DipAMusA </w:t>
      </w:r>
      <w:r>
        <w:rPr>
          <w:rFonts w:ascii="TT Norms Pro Light"/>
          <w:b w:val="0"/>
          <w:i/>
          <w:sz w:val="18"/>
        </w:rPr>
        <w:t>W.Aust.</w:t>
      </w:r>
      <w:r>
        <w:rPr>
          <w:rFonts w:ascii="TT Norms Pro Light"/>
          <w:b w:val="0"/>
          <w:sz w:val="18"/>
        </w:rPr>
        <w:t>,</w:t>
      </w:r>
      <w:r>
        <w:rPr>
          <w:rFonts w:ascii="TT Norms Pro Light"/>
          <w:b w:val="0"/>
          <w:spacing w:val="40"/>
          <w:sz w:val="18"/>
        </w:rPr>
        <w:t> </w:t>
      </w:r>
      <w:r>
        <w:rPr>
          <w:rFonts w:ascii="TT Norms Pro Light"/>
          <w:b w:val="0"/>
          <w:sz w:val="18"/>
        </w:rPr>
        <w:t>new PSA President (2020*) 2021</w:t>
      </w:r>
    </w:p>
    <w:p>
      <w:pPr>
        <w:spacing w:before="126"/>
        <w:ind w:left="407" w:right="0" w:firstLine="0"/>
        <w:jc w:val="left"/>
        <w:rPr>
          <w:rFonts w:ascii="TT Norms Pro"/>
          <w:b/>
          <w:sz w:val="18"/>
        </w:rPr>
      </w:pPr>
      <w:r>
        <w:rPr/>
        <w:br w:type="column"/>
      </w:r>
      <w:r>
        <w:rPr>
          <w:rFonts w:ascii="TT Norms Pro"/>
          <w:b/>
          <w:sz w:val="18"/>
        </w:rPr>
        <w:t>MEMBER</w:t>
      </w:r>
      <w:r>
        <w:rPr>
          <w:rFonts w:ascii="TT Norms Pro"/>
          <w:b/>
          <w:spacing w:val="21"/>
          <w:sz w:val="18"/>
        </w:rPr>
        <w:t> </w:t>
      </w:r>
      <w:r>
        <w:rPr>
          <w:rFonts w:ascii="TT Norms Pro"/>
          <w:b/>
          <w:sz w:val="18"/>
        </w:rPr>
        <w:t>EX-</w:t>
      </w:r>
      <w:r>
        <w:rPr>
          <w:rFonts w:ascii="TT Norms Pro"/>
          <w:b/>
          <w:spacing w:val="-2"/>
          <w:sz w:val="18"/>
        </w:rPr>
        <w:t>OFFICIO</w:t>
      </w:r>
    </w:p>
    <w:p>
      <w:pPr>
        <w:spacing w:before="49"/>
        <w:ind w:left="407" w:right="0" w:firstLine="0"/>
        <w:jc w:val="left"/>
        <w:rPr>
          <w:rFonts w:ascii="TT Norms Pro"/>
          <w:b/>
          <w:sz w:val="18"/>
        </w:rPr>
      </w:pPr>
      <w:r>
        <w:rPr>
          <w:rFonts w:ascii="TT Norms Pro"/>
          <w:b/>
          <w:sz w:val="18"/>
        </w:rPr>
        <w:t>The</w:t>
      </w:r>
      <w:r>
        <w:rPr>
          <w:rFonts w:ascii="TT Norms Pro"/>
          <w:b/>
          <w:spacing w:val="7"/>
          <w:sz w:val="18"/>
        </w:rPr>
        <w:t> </w:t>
      </w:r>
      <w:r>
        <w:rPr>
          <w:rFonts w:ascii="TT Norms Pro"/>
          <w:b/>
          <w:sz w:val="18"/>
        </w:rPr>
        <w:t>Vice-Chancellor,</w:t>
      </w:r>
      <w:r>
        <w:rPr>
          <w:rFonts w:ascii="TT Norms Pro"/>
          <w:b/>
          <w:spacing w:val="8"/>
          <w:sz w:val="18"/>
        </w:rPr>
        <w:t> </w:t>
      </w:r>
      <w:r>
        <w:rPr>
          <w:rFonts w:ascii="TT Norms Pro"/>
          <w:b/>
          <w:sz w:val="18"/>
        </w:rPr>
        <w:t>Amit</w:t>
      </w:r>
      <w:r>
        <w:rPr>
          <w:rFonts w:ascii="TT Norms Pro"/>
          <w:b/>
          <w:spacing w:val="8"/>
          <w:sz w:val="18"/>
        </w:rPr>
        <w:t> </w:t>
      </w:r>
      <w:r>
        <w:rPr>
          <w:rFonts w:ascii="TT Norms Pro"/>
          <w:b/>
          <w:spacing w:val="-2"/>
          <w:sz w:val="18"/>
        </w:rPr>
        <w:t>Chakma</w:t>
      </w:r>
    </w:p>
    <w:p>
      <w:pPr>
        <w:spacing w:line="295" w:lineRule="auto" w:before="49"/>
        <w:ind w:left="407" w:right="139" w:hanging="1"/>
        <w:jc w:val="left"/>
        <w:rPr>
          <w:rFonts w:ascii="TT Norms Pro Light"/>
          <w:b w:val="0"/>
          <w:sz w:val="18"/>
        </w:rPr>
      </w:pPr>
      <w:r>
        <w:rPr>
          <w:rFonts w:ascii="TT Norms Pro Light"/>
          <w:b w:val="0"/>
          <w:sz w:val="18"/>
        </w:rPr>
        <w:t>Diplng</w:t>
      </w:r>
      <w:r>
        <w:rPr>
          <w:rFonts w:ascii="TT Norms Pro Light"/>
          <w:b w:val="0"/>
          <w:spacing w:val="-1"/>
          <w:sz w:val="18"/>
        </w:rPr>
        <w:t> </w:t>
      </w:r>
      <w:r>
        <w:rPr>
          <w:rFonts w:ascii="TT Norms Pro Light"/>
          <w:b w:val="0"/>
          <w:i/>
          <w:sz w:val="18"/>
        </w:rPr>
        <w:t>IAP,</w:t>
      </w:r>
      <w:r>
        <w:rPr>
          <w:rFonts w:ascii="TT Norms Pro Light"/>
          <w:b w:val="0"/>
          <w:i/>
          <w:spacing w:val="-1"/>
          <w:sz w:val="18"/>
        </w:rPr>
        <w:t> </w:t>
      </w:r>
      <w:r>
        <w:rPr>
          <w:rFonts w:ascii="TT Norms Pro Light"/>
          <w:b w:val="0"/>
          <w:sz w:val="18"/>
        </w:rPr>
        <w:t>MASc</w:t>
      </w:r>
      <w:r>
        <w:rPr>
          <w:rFonts w:ascii="TT Norms Pro Light"/>
          <w:b w:val="0"/>
          <w:spacing w:val="-1"/>
          <w:sz w:val="18"/>
        </w:rPr>
        <w:t> </w:t>
      </w:r>
      <w:r>
        <w:rPr>
          <w:rFonts w:ascii="TT Norms Pro Light"/>
          <w:b w:val="0"/>
          <w:sz w:val="18"/>
        </w:rPr>
        <w:t>PhD</w:t>
      </w:r>
      <w:r>
        <w:rPr>
          <w:rFonts w:ascii="TT Norms Pro Light"/>
          <w:b w:val="0"/>
          <w:spacing w:val="-1"/>
          <w:sz w:val="18"/>
        </w:rPr>
        <w:t> </w:t>
      </w:r>
      <w:r>
        <w:rPr>
          <w:rFonts w:ascii="TT Norms Pro Light"/>
          <w:b w:val="0"/>
          <w:i/>
          <w:sz w:val="18"/>
        </w:rPr>
        <w:t>UBC</w:t>
      </w:r>
      <w:r>
        <w:rPr>
          <w:rFonts w:ascii="TT Norms Pro Light"/>
          <w:b w:val="0"/>
          <w:sz w:val="18"/>
        </w:rPr>
        <w:t>,</w:t>
      </w:r>
      <w:r>
        <w:rPr>
          <w:rFonts w:ascii="TT Norms Pro Light"/>
          <w:b w:val="0"/>
          <w:spacing w:val="-1"/>
          <w:sz w:val="18"/>
        </w:rPr>
        <w:t> </w:t>
      </w:r>
      <w:r>
        <w:rPr>
          <w:rFonts w:ascii="TT Norms Pro Light"/>
          <w:b w:val="0"/>
          <w:sz w:val="18"/>
        </w:rPr>
        <w:t>DEng</w:t>
      </w:r>
      <w:r>
        <w:rPr>
          <w:rFonts w:ascii="TT Norms Pro Light"/>
          <w:b w:val="0"/>
          <w:spacing w:val="-1"/>
          <w:sz w:val="18"/>
        </w:rPr>
        <w:t> </w:t>
      </w:r>
      <w:r>
        <w:rPr>
          <w:rFonts w:ascii="TT Norms Pro Light"/>
          <w:b w:val="0"/>
          <w:sz w:val="18"/>
        </w:rPr>
        <w:t>(Hon)</w:t>
      </w:r>
      <w:r>
        <w:rPr>
          <w:rFonts w:ascii="TT Norms Pro Light"/>
          <w:b w:val="0"/>
          <w:spacing w:val="-1"/>
          <w:sz w:val="18"/>
        </w:rPr>
        <w:t> </w:t>
      </w:r>
      <w:r>
        <w:rPr>
          <w:rFonts w:ascii="TT Norms Pro Light"/>
          <w:b w:val="0"/>
          <w:i/>
          <w:sz w:val="18"/>
        </w:rPr>
        <w:t>Waterloo</w:t>
      </w:r>
      <w:r>
        <w:rPr>
          <w:rFonts w:ascii="TT Norms Pro Light"/>
          <w:b w:val="0"/>
          <w:sz w:val="18"/>
        </w:rPr>
        <w:t>,</w:t>
      </w:r>
      <w:r>
        <w:rPr>
          <w:rFonts w:ascii="TT Norms Pro Light"/>
          <w:b w:val="0"/>
          <w:spacing w:val="-1"/>
          <w:sz w:val="18"/>
        </w:rPr>
        <w:t> </w:t>
      </w:r>
      <w:r>
        <w:rPr>
          <w:rFonts w:ascii="TT Norms Pro Light"/>
          <w:b w:val="0"/>
          <w:sz w:val="18"/>
        </w:rPr>
        <w:t>DSc</w:t>
      </w:r>
      <w:r>
        <w:rPr>
          <w:rFonts w:ascii="TT Norms Pro Light"/>
          <w:b w:val="0"/>
          <w:spacing w:val="40"/>
          <w:sz w:val="18"/>
        </w:rPr>
        <w:t> </w:t>
      </w:r>
      <w:r>
        <w:rPr>
          <w:rFonts w:ascii="TT Norms Pro Light"/>
          <w:b w:val="0"/>
          <w:sz w:val="18"/>
        </w:rPr>
        <w:t>(Hon) </w:t>
      </w:r>
      <w:r>
        <w:rPr>
          <w:rFonts w:ascii="TT Norms Pro Light"/>
          <w:b w:val="0"/>
          <w:i/>
          <w:sz w:val="18"/>
        </w:rPr>
        <w:t>Dhaka</w:t>
      </w:r>
      <w:r>
        <w:rPr>
          <w:rFonts w:ascii="TT Norms Pro Light"/>
          <w:b w:val="0"/>
          <w:sz w:val="18"/>
        </w:rPr>
        <w:t>, PEng, </w:t>
      </w:r>
      <w:r>
        <w:rPr>
          <w:rFonts w:ascii="TT Norms Pro Light"/>
          <w:b w:val="0"/>
          <w:i/>
          <w:sz w:val="18"/>
        </w:rPr>
        <w:t>ICD.D </w:t>
      </w:r>
      <w:r>
        <w:rPr>
          <w:rFonts w:ascii="TT Norms Pro Light"/>
          <w:b w:val="0"/>
          <w:sz w:val="18"/>
        </w:rPr>
        <w:t>(2020*)</w:t>
      </w:r>
    </w:p>
    <w:p>
      <w:pPr>
        <w:spacing w:line="295" w:lineRule="auto" w:before="200"/>
        <w:ind w:left="407" w:right="867" w:firstLine="0"/>
        <w:jc w:val="left"/>
        <w:rPr>
          <w:rFonts w:ascii="TT Norms Pro Light"/>
          <w:b w:val="0"/>
          <w:sz w:val="18"/>
        </w:rPr>
      </w:pPr>
      <w:r>
        <w:rPr>
          <w:rFonts w:ascii="TT Norms Pro"/>
          <w:b/>
          <w:sz w:val="18"/>
        </w:rPr>
        <w:t>The Vice-Chancellor, Jane den Hollander AO</w:t>
      </w:r>
      <w:r>
        <w:rPr>
          <w:rFonts w:ascii="TT Norms Pro"/>
          <w:b/>
          <w:spacing w:val="80"/>
          <w:sz w:val="18"/>
        </w:rPr>
        <w:t> </w:t>
      </w:r>
      <w:r>
        <w:rPr>
          <w:rFonts w:ascii="TT Norms Pro Light"/>
          <w:b w:val="0"/>
          <w:sz w:val="18"/>
        </w:rPr>
        <w:t>BSc (Hons), MSc </w:t>
      </w:r>
      <w:r>
        <w:rPr>
          <w:rFonts w:ascii="TT Norms Pro Light"/>
          <w:b w:val="0"/>
          <w:i/>
          <w:sz w:val="18"/>
        </w:rPr>
        <w:t>Wits</w:t>
      </w:r>
      <w:r>
        <w:rPr>
          <w:rFonts w:ascii="TT Norms Pro Light"/>
          <w:b w:val="0"/>
          <w:sz w:val="18"/>
        </w:rPr>
        <w:t>., PhD </w:t>
      </w:r>
      <w:r>
        <w:rPr>
          <w:rFonts w:ascii="TT Norms Pro Light"/>
          <w:b w:val="0"/>
          <w:i/>
          <w:sz w:val="18"/>
        </w:rPr>
        <w:t>Wales</w:t>
      </w:r>
      <w:r>
        <w:rPr>
          <w:rFonts w:ascii="TT Norms Pro Light"/>
          <w:b w:val="0"/>
          <w:sz w:val="18"/>
        </w:rPr>
        <w:t>, Hon Doc </w:t>
      </w:r>
      <w:r>
        <w:rPr>
          <w:rFonts w:ascii="TT Norms Pro Light"/>
          <w:b w:val="0"/>
          <w:i/>
          <w:sz w:val="18"/>
        </w:rPr>
        <w:t>Deakin</w:t>
      </w:r>
      <w:r>
        <w:rPr>
          <w:rFonts w:ascii="TT Norms Pro Light"/>
          <w:b w:val="0"/>
          <w:i/>
          <w:spacing w:val="40"/>
          <w:sz w:val="18"/>
        </w:rPr>
        <w:t> </w:t>
      </w:r>
      <w:r>
        <w:rPr>
          <w:rFonts w:ascii="TT Norms Pro Light"/>
          <w:b w:val="0"/>
          <w:spacing w:val="-2"/>
          <w:sz w:val="18"/>
        </w:rPr>
        <w:t>(2020*)</w:t>
      </w:r>
    </w:p>
    <w:p>
      <w:pPr>
        <w:spacing w:before="202"/>
        <w:ind w:left="407" w:right="0" w:firstLine="0"/>
        <w:jc w:val="left"/>
        <w:rPr>
          <w:rFonts w:ascii="TT Norms Pro"/>
          <w:b/>
          <w:sz w:val="18"/>
        </w:rPr>
      </w:pPr>
      <w:r>
        <w:rPr>
          <w:rFonts w:ascii="TT Norms Pro"/>
          <w:b/>
          <w:sz w:val="18"/>
        </w:rPr>
        <w:t>The</w:t>
      </w:r>
      <w:r>
        <w:rPr>
          <w:rFonts w:ascii="TT Norms Pro"/>
          <w:b/>
          <w:spacing w:val="5"/>
          <w:sz w:val="18"/>
        </w:rPr>
        <w:t> </w:t>
      </w:r>
      <w:r>
        <w:rPr>
          <w:rFonts w:ascii="TT Norms Pro"/>
          <w:b/>
          <w:sz w:val="18"/>
        </w:rPr>
        <w:t>Vice-Chancellor,</w:t>
      </w:r>
      <w:r>
        <w:rPr>
          <w:rFonts w:ascii="TT Norms Pro"/>
          <w:b/>
          <w:spacing w:val="7"/>
          <w:sz w:val="18"/>
        </w:rPr>
        <w:t> </w:t>
      </w:r>
      <w:r>
        <w:rPr>
          <w:rFonts w:ascii="TT Norms Pro"/>
          <w:b/>
          <w:sz w:val="18"/>
        </w:rPr>
        <w:t>Dawn</w:t>
      </w:r>
      <w:r>
        <w:rPr>
          <w:rFonts w:ascii="TT Norms Pro"/>
          <w:b/>
          <w:spacing w:val="8"/>
          <w:sz w:val="18"/>
        </w:rPr>
        <w:t> </w:t>
      </w:r>
      <w:r>
        <w:rPr>
          <w:rFonts w:ascii="TT Norms Pro"/>
          <w:b/>
          <w:spacing w:val="-2"/>
          <w:sz w:val="18"/>
        </w:rPr>
        <w:t>Freshwater</w:t>
      </w:r>
    </w:p>
    <w:p>
      <w:pPr>
        <w:spacing w:before="49"/>
        <w:ind w:left="407" w:right="0" w:firstLine="0"/>
        <w:jc w:val="left"/>
        <w:rPr>
          <w:rFonts w:ascii="TT Norms Pro Light"/>
          <w:b w:val="0"/>
          <w:sz w:val="18"/>
        </w:rPr>
      </w:pPr>
      <w:r>
        <w:rPr>
          <w:rFonts w:ascii="TT Norms Pro Light"/>
          <w:b w:val="0"/>
          <w:sz w:val="18"/>
        </w:rPr>
        <w:t>BA </w:t>
      </w:r>
      <w:r>
        <w:rPr>
          <w:rFonts w:ascii="TT Norms Pro Light"/>
          <w:b w:val="0"/>
          <w:i/>
          <w:sz w:val="18"/>
        </w:rPr>
        <w:t>Manc.</w:t>
      </w:r>
      <w:r>
        <w:rPr>
          <w:rFonts w:ascii="TT Norms Pro Light"/>
          <w:b w:val="0"/>
          <w:sz w:val="18"/>
        </w:rPr>
        <w:t>,</w:t>
      </w:r>
      <w:r>
        <w:rPr>
          <w:rFonts w:ascii="TT Norms Pro Light"/>
          <w:b w:val="0"/>
          <w:spacing w:val="3"/>
          <w:sz w:val="18"/>
        </w:rPr>
        <w:t> </w:t>
      </w:r>
      <w:r>
        <w:rPr>
          <w:rFonts w:ascii="TT Norms Pro Light"/>
          <w:b w:val="0"/>
          <w:sz w:val="18"/>
        </w:rPr>
        <w:t>PhD</w:t>
      </w:r>
      <w:r>
        <w:rPr>
          <w:rFonts w:ascii="TT Norms Pro Light"/>
          <w:b w:val="0"/>
          <w:spacing w:val="3"/>
          <w:sz w:val="18"/>
        </w:rPr>
        <w:t> </w:t>
      </w:r>
      <w:r>
        <w:rPr>
          <w:rFonts w:ascii="TT Norms Pro Light"/>
          <w:b w:val="0"/>
          <w:i/>
          <w:sz w:val="18"/>
        </w:rPr>
        <w:t>Nott.</w:t>
      </w:r>
      <w:r>
        <w:rPr>
          <w:rFonts w:ascii="TT Norms Pro Light"/>
          <w:b w:val="0"/>
          <w:sz w:val="18"/>
        </w:rPr>
        <w:t>,</w:t>
      </w:r>
      <w:r>
        <w:rPr>
          <w:rFonts w:ascii="TT Norms Pro Light"/>
          <w:b w:val="0"/>
          <w:spacing w:val="3"/>
          <w:sz w:val="18"/>
        </w:rPr>
        <w:t> </w:t>
      </w:r>
      <w:r>
        <w:rPr>
          <w:rFonts w:ascii="TT Norms Pro Light"/>
          <w:b w:val="0"/>
          <w:sz w:val="18"/>
        </w:rPr>
        <w:t>FRCN,</w:t>
      </w:r>
      <w:r>
        <w:rPr>
          <w:rFonts w:ascii="TT Norms Pro Light"/>
          <w:b w:val="0"/>
          <w:spacing w:val="3"/>
          <w:sz w:val="18"/>
        </w:rPr>
        <w:t> </w:t>
      </w:r>
      <w:r>
        <w:rPr>
          <w:rFonts w:ascii="TT Norms Pro Light"/>
          <w:b w:val="0"/>
          <w:sz w:val="18"/>
        </w:rPr>
        <w:t>RN</w:t>
      </w:r>
      <w:r>
        <w:rPr>
          <w:rFonts w:ascii="TT Norms Pro Light"/>
          <w:b w:val="0"/>
          <w:spacing w:val="3"/>
          <w:sz w:val="18"/>
        </w:rPr>
        <w:t> </w:t>
      </w:r>
      <w:r>
        <w:rPr>
          <w:rFonts w:ascii="TT Norms Pro Light"/>
          <w:b w:val="0"/>
          <w:spacing w:val="-2"/>
          <w:sz w:val="18"/>
        </w:rPr>
        <w:t>(2020*)</w:t>
      </w:r>
    </w:p>
    <w:p>
      <w:pPr>
        <w:pStyle w:val="BodyText"/>
        <w:spacing w:before="37"/>
        <w:rPr>
          <w:b w:val="0"/>
        </w:rPr>
      </w:pPr>
    </w:p>
    <w:p>
      <w:pPr>
        <w:spacing w:before="0"/>
        <w:ind w:left="407" w:right="0" w:firstLine="0"/>
        <w:jc w:val="left"/>
        <w:rPr>
          <w:rFonts w:ascii="TT Norms Pro"/>
          <w:b/>
          <w:sz w:val="18"/>
        </w:rPr>
      </w:pPr>
      <w:r>
        <w:rPr>
          <w:rFonts w:ascii="TT Norms Pro"/>
          <w:b/>
          <w:sz w:val="18"/>
        </w:rPr>
        <w:t>CO-OPTED</w:t>
      </w:r>
      <w:r>
        <w:rPr>
          <w:rFonts w:ascii="TT Norms Pro"/>
          <w:b/>
          <w:spacing w:val="23"/>
          <w:sz w:val="18"/>
        </w:rPr>
        <w:t> </w:t>
      </w:r>
      <w:r>
        <w:rPr>
          <w:rFonts w:ascii="TT Norms Pro"/>
          <w:b/>
          <w:spacing w:val="-2"/>
          <w:sz w:val="18"/>
        </w:rPr>
        <w:t>MEMBERS</w:t>
      </w:r>
    </w:p>
    <w:p>
      <w:pPr>
        <w:spacing w:before="50"/>
        <w:ind w:left="407" w:right="0" w:firstLine="0"/>
        <w:jc w:val="left"/>
        <w:rPr>
          <w:rFonts w:ascii="TT Norms Pro"/>
          <w:b/>
          <w:sz w:val="18"/>
        </w:rPr>
      </w:pPr>
      <w:r>
        <w:rPr>
          <w:rFonts w:ascii="TT Norms Pro"/>
          <w:b/>
          <w:sz w:val="18"/>
        </w:rPr>
        <w:t>Pro-Chancellor</w:t>
      </w:r>
      <w:r>
        <w:rPr>
          <w:rFonts w:ascii="TT Norms Pro"/>
          <w:b/>
          <w:spacing w:val="7"/>
          <w:sz w:val="18"/>
        </w:rPr>
        <w:t> </w:t>
      </w:r>
      <w:r>
        <w:rPr>
          <w:rFonts w:ascii="TT Norms Pro"/>
          <w:b/>
          <w:sz w:val="18"/>
        </w:rPr>
        <w:t>Frank</w:t>
      </w:r>
      <w:r>
        <w:rPr>
          <w:rFonts w:ascii="TT Norms Pro"/>
          <w:b/>
          <w:spacing w:val="9"/>
          <w:sz w:val="18"/>
        </w:rPr>
        <w:t> </w:t>
      </w:r>
      <w:r>
        <w:rPr>
          <w:rFonts w:ascii="TT Norms Pro"/>
          <w:b/>
          <w:sz w:val="18"/>
        </w:rPr>
        <w:t>Cooper</w:t>
      </w:r>
      <w:r>
        <w:rPr>
          <w:rFonts w:ascii="TT Norms Pro"/>
          <w:b/>
          <w:spacing w:val="7"/>
          <w:sz w:val="18"/>
        </w:rPr>
        <w:t> </w:t>
      </w:r>
      <w:r>
        <w:rPr>
          <w:rFonts w:ascii="TT Norms Pro"/>
          <w:b/>
          <w:spacing w:val="-5"/>
          <w:sz w:val="18"/>
        </w:rPr>
        <w:t>AO</w:t>
      </w:r>
    </w:p>
    <w:p>
      <w:pPr>
        <w:spacing w:before="49"/>
        <w:ind w:left="407" w:right="0" w:firstLine="0"/>
        <w:jc w:val="left"/>
        <w:rPr>
          <w:rFonts w:ascii="TT Norms Pro Light"/>
          <w:b w:val="0"/>
          <w:sz w:val="18"/>
        </w:rPr>
      </w:pPr>
      <w:r>
        <w:rPr>
          <w:rFonts w:ascii="TT Norms Pro Light"/>
          <w:b w:val="0"/>
          <w:sz w:val="18"/>
        </w:rPr>
        <w:t>BCom</w:t>
      </w:r>
      <w:r>
        <w:rPr>
          <w:rFonts w:ascii="TT Norms Pro Light"/>
          <w:b w:val="0"/>
          <w:spacing w:val="-3"/>
          <w:sz w:val="18"/>
        </w:rPr>
        <w:t> </w:t>
      </w:r>
      <w:r>
        <w:rPr>
          <w:rFonts w:ascii="TT Norms Pro Light"/>
          <w:b w:val="0"/>
          <w:i/>
          <w:sz w:val="18"/>
        </w:rPr>
        <w:t>W.Aust.</w:t>
      </w:r>
      <w:r>
        <w:rPr>
          <w:rFonts w:ascii="TT Norms Pro Light"/>
          <w:b w:val="0"/>
          <w:i/>
          <w:spacing w:val="-3"/>
          <w:sz w:val="18"/>
        </w:rPr>
        <w:t> </w:t>
      </w:r>
      <w:r>
        <w:rPr>
          <w:rFonts w:ascii="TT Norms Pro Light"/>
          <w:b w:val="0"/>
          <w:sz w:val="18"/>
        </w:rPr>
        <w:t>(2012)</w:t>
      </w:r>
      <w:r>
        <w:rPr>
          <w:rFonts w:ascii="TT Norms Pro Light"/>
          <w:b w:val="0"/>
          <w:spacing w:val="-2"/>
          <w:sz w:val="18"/>
        </w:rPr>
        <w:t> </w:t>
      </w:r>
      <w:r>
        <w:rPr>
          <w:rFonts w:ascii="TT Norms Pro Light"/>
          <w:b w:val="0"/>
          <w:spacing w:val="-4"/>
          <w:sz w:val="18"/>
        </w:rPr>
        <w:t>2023</w:t>
      </w:r>
    </w:p>
    <w:p>
      <w:pPr>
        <w:pStyle w:val="BodyText"/>
        <w:spacing w:before="37"/>
        <w:rPr>
          <w:b w:val="0"/>
        </w:rPr>
      </w:pPr>
    </w:p>
    <w:p>
      <w:pPr>
        <w:spacing w:before="0"/>
        <w:ind w:left="407" w:right="0" w:firstLine="0"/>
        <w:jc w:val="left"/>
        <w:rPr>
          <w:rFonts w:ascii="TT Norms Pro"/>
          <w:b/>
          <w:sz w:val="18"/>
        </w:rPr>
      </w:pPr>
      <w:r>
        <w:rPr>
          <w:rFonts w:ascii="TT Norms Pro"/>
          <w:b/>
          <w:sz w:val="18"/>
        </w:rPr>
        <w:t>Michele</w:t>
      </w:r>
      <w:r>
        <w:rPr>
          <w:rFonts w:ascii="TT Norms Pro"/>
          <w:b/>
          <w:spacing w:val="7"/>
          <w:sz w:val="18"/>
        </w:rPr>
        <w:t> </w:t>
      </w:r>
      <w:r>
        <w:rPr>
          <w:rFonts w:ascii="TT Norms Pro"/>
          <w:b/>
          <w:spacing w:val="-2"/>
          <w:sz w:val="18"/>
        </w:rPr>
        <w:t>Dolin</w:t>
      </w:r>
    </w:p>
    <w:p>
      <w:pPr>
        <w:spacing w:before="49"/>
        <w:ind w:left="407" w:right="0" w:firstLine="0"/>
        <w:jc w:val="left"/>
        <w:rPr>
          <w:rFonts w:ascii="TT Norms Pro Light"/>
          <w:b w:val="0"/>
          <w:i/>
          <w:sz w:val="18"/>
        </w:rPr>
      </w:pPr>
      <w:r>
        <w:rPr>
          <w:rFonts w:ascii="TT Norms Pro Light"/>
          <w:b w:val="0"/>
          <w:sz w:val="18"/>
        </w:rPr>
        <w:t>BA </w:t>
      </w:r>
      <w:r>
        <w:rPr>
          <w:rFonts w:ascii="TT Norms Pro Light"/>
          <w:b w:val="0"/>
          <w:i/>
          <w:sz w:val="18"/>
        </w:rPr>
        <w:t>Maryland</w:t>
      </w:r>
      <w:r>
        <w:rPr>
          <w:rFonts w:ascii="TT Norms Pro Light"/>
          <w:b w:val="0"/>
          <w:sz w:val="18"/>
        </w:rPr>
        <w:t>,</w:t>
      </w:r>
      <w:r>
        <w:rPr>
          <w:rFonts w:ascii="TT Norms Pro Light"/>
          <w:b w:val="0"/>
          <w:spacing w:val="3"/>
          <w:sz w:val="18"/>
        </w:rPr>
        <w:t> </w:t>
      </w:r>
      <w:r>
        <w:rPr>
          <w:rFonts w:ascii="TT Norms Pro Light"/>
          <w:b w:val="0"/>
          <w:sz w:val="18"/>
        </w:rPr>
        <w:t>MA</w:t>
      </w:r>
      <w:r>
        <w:rPr>
          <w:rFonts w:ascii="TT Norms Pro Light"/>
          <w:b w:val="0"/>
          <w:spacing w:val="3"/>
          <w:sz w:val="18"/>
        </w:rPr>
        <w:t> </w:t>
      </w:r>
      <w:r>
        <w:rPr>
          <w:rFonts w:ascii="TT Norms Pro Light"/>
          <w:b w:val="0"/>
          <w:i/>
          <w:sz w:val="18"/>
        </w:rPr>
        <w:t>Mich.State</w:t>
      </w:r>
      <w:r>
        <w:rPr>
          <w:rFonts w:ascii="TT Norms Pro Light"/>
          <w:b w:val="0"/>
          <w:sz w:val="18"/>
        </w:rPr>
        <w:t>,</w:t>
      </w:r>
      <w:r>
        <w:rPr>
          <w:rFonts w:ascii="TT Norms Pro Light"/>
          <w:b w:val="0"/>
          <w:spacing w:val="3"/>
          <w:sz w:val="18"/>
        </w:rPr>
        <w:t> </w:t>
      </w:r>
      <w:r>
        <w:rPr>
          <w:rFonts w:ascii="TT Norms Pro Light"/>
          <w:b w:val="0"/>
          <w:sz w:val="18"/>
        </w:rPr>
        <w:t>MBA</w:t>
      </w:r>
      <w:r>
        <w:rPr>
          <w:rFonts w:ascii="TT Norms Pro Light"/>
          <w:b w:val="0"/>
          <w:spacing w:val="3"/>
          <w:sz w:val="18"/>
        </w:rPr>
        <w:t> </w:t>
      </w:r>
      <w:r>
        <w:rPr>
          <w:rFonts w:ascii="TT Norms Pro Light"/>
          <w:b w:val="0"/>
          <w:i/>
          <w:spacing w:val="-2"/>
          <w:sz w:val="18"/>
        </w:rPr>
        <w:t>Melb.,</w:t>
      </w:r>
    </w:p>
    <w:p>
      <w:pPr>
        <w:pStyle w:val="BodyText"/>
        <w:spacing w:before="50"/>
        <w:ind w:left="407"/>
        <w:rPr>
          <w:b w:val="0"/>
        </w:rPr>
      </w:pPr>
      <w:r>
        <w:rPr>
          <w:b w:val="0"/>
          <w:spacing w:val="-2"/>
        </w:rPr>
        <w:t>FCPA</w:t>
      </w:r>
      <w:r>
        <w:rPr>
          <w:b w:val="0"/>
          <w:spacing w:val="1"/>
        </w:rPr>
        <w:t> </w:t>
      </w:r>
      <w:r>
        <w:rPr>
          <w:b w:val="0"/>
          <w:spacing w:val="-2"/>
        </w:rPr>
        <w:t>(2012*)</w:t>
      </w:r>
      <w:r>
        <w:rPr>
          <w:b w:val="0"/>
          <w:spacing w:val="1"/>
        </w:rPr>
        <w:t> </w:t>
      </w:r>
      <w:r>
        <w:rPr>
          <w:b w:val="0"/>
          <w:spacing w:val="-4"/>
        </w:rPr>
        <w:t>2021</w:t>
      </w:r>
    </w:p>
    <w:p>
      <w:pPr>
        <w:pStyle w:val="BodyText"/>
        <w:spacing w:before="37"/>
        <w:rPr>
          <w:b w:val="0"/>
        </w:rPr>
      </w:pPr>
    </w:p>
    <w:p>
      <w:pPr>
        <w:spacing w:before="0"/>
        <w:ind w:left="407" w:right="0" w:firstLine="0"/>
        <w:jc w:val="left"/>
        <w:rPr>
          <w:rFonts w:ascii="TT Norms Pro"/>
          <w:b/>
          <w:sz w:val="18"/>
        </w:rPr>
      </w:pPr>
      <w:r>
        <w:rPr>
          <w:rFonts w:ascii="TT Norms Pro"/>
          <w:b/>
          <w:sz w:val="18"/>
        </w:rPr>
        <w:t>Sue</w:t>
      </w:r>
      <w:r>
        <w:rPr>
          <w:rFonts w:ascii="TT Norms Pro"/>
          <w:b/>
          <w:spacing w:val="6"/>
          <w:sz w:val="18"/>
        </w:rPr>
        <w:t> </w:t>
      </w:r>
      <w:r>
        <w:rPr>
          <w:rFonts w:ascii="TT Norms Pro"/>
          <w:b/>
          <w:sz w:val="18"/>
        </w:rPr>
        <w:t>Gordon</w:t>
      </w:r>
      <w:r>
        <w:rPr>
          <w:rFonts w:ascii="TT Norms Pro"/>
          <w:b/>
          <w:spacing w:val="6"/>
          <w:sz w:val="18"/>
        </w:rPr>
        <w:t> </w:t>
      </w:r>
      <w:r>
        <w:rPr>
          <w:rFonts w:ascii="TT Norms Pro"/>
          <w:b/>
          <w:spacing w:val="-5"/>
          <w:sz w:val="18"/>
        </w:rPr>
        <w:t>AM</w:t>
      </w:r>
    </w:p>
    <w:p>
      <w:pPr>
        <w:spacing w:before="49"/>
        <w:ind w:left="407" w:right="0" w:firstLine="0"/>
        <w:jc w:val="left"/>
        <w:rPr>
          <w:rFonts w:ascii="TT Norms Pro Light"/>
          <w:b w:val="0"/>
          <w:sz w:val="18"/>
        </w:rPr>
      </w:pPr>
      <w:r>
        <w:rPr>
          <w:rFonts w:ascii="TT Norms Pro Light"/>
          <w:b w:val="0"/>
          <w:sz w:val="18"/>
        </w:rPr>
        <w:t>LLB</w:t>
      </w:r>
      <w:r>
        <w:rPr>
          <w:rFonts w:ascii="TT Norms Pro Light"/>
          <w:b w:val="0"/>
          <w:spacing w:val="1"/>
          <w:sz w:val="18"/>
        </w:rPr>
        <w:t> </w:t>
      </w:r>
      <w:r>
        <w:rPr>
          <w:rFonts w:ascii="TT Norms Pro Light"/>
          <w:b w:val="0"/>
          <w:sz w:val="18"/>
        </w:rPr>
        <w:t>Hon.DLitt</w:t>
      </w:r>
      <w:r>
        <w:rPr>
          <w:rFonts w:ascii="TT Norms Pro Light"/>
          <w:b w:val="0"/>
          <w:spacing w:val="1"/>
          <w:sz w:val="18"/>
        </w:rPr>
        <w:t> </w:t>
      </w:r>
      <w:r>
        <w:rPr>
          <w:rFonts w:ascii="TT Norms Pro Light"/>
          <w:b w:val="0"/>
          <w:i/>
          <w:sz w:val="18"/>
        </w:rPr>
        <w:t>W.Aust. </w:t>
      </w:r>
      <w:r>
        <w:rPr>
          <w:rFonts w:ascii="TT Norms Pro Light"/>
          <w:b w:val="0"/>
          <w:sz w:val="18"/>
        </w:rPr>
        <w:t>(2019)</w:t>
      </w:r>
      <w:r>
        <w:rPr>
          <w:rFonts w:ascii="TT Norms Pro Light"/>
          <w:b w:val="0"/>
          <w:spacing w:val="1"/>
          <w:sz w:val="18"/>
        </w:rPr>
        <w:t> </w:t>
      </w:r>
      <w:r>
        <w:rPr>
          <w:rFonts w:ascii="TT Norms Pro Light"/>
          <w:b w:val="0"/>
          <w:spacing w:val="-4"/>
          <w:sz w:val="18"/>
        </w:rPr>
        <w:t>2021</w:t>
      </w:r>
    </w:p>
    <w:p>
      <w:pPr>
        <w:pStyle w:val="BodyText"/>
        <w:spacing w:before="37"/>
        <w:rPr>
          <w:b w:val="0"/>
        </w:rPr>
      </w:pPr>
    </w:p>
    <w:p>
      <w:pPr>
        <w:spacing w:before="1"/>
        <w:ind w:left="407" w:right="0" w:firstLine="0"/>
        <w:jc w:val="left"/>
        <w:rPr>
          <w:rFonts w:ascii="TT Norms Pro"/>
          <w:b/>
          <w:sz w:val="18"/>
        </w:rPr>
      </w:pPr>
      <w:r>
        <w:rPr>
          <w:rFonts w:ascii="TT Norms Pro"/>
          <w:b/>
          <w:sz w:val="18"/>
        </w:rPr>
        <w:t>Michael</w:t>
      </w:r>
      <w:r>
        <w:rPr>
          <w:rFonts w:ascii="TT Norms Pro"/>
          <w:b/>
          <w:spacing w:val="7"/>
          <w:sz w:val="18"/>
        </w:rPr>
        <w:t> </w:t>
      </w:r>
      <w:r>
        <w:rPr>
          <w:rFonts w:ascii="TT Norms Pro"/>
          <w:b/>
          <w:spacing w:val="-4"/>
          <w:sz w:val="18"/>
        </w:rPr>
        <w:t>Byrne</w:t>
      </w:r>
    </w:p>
    <w:p>
      <w:pPr>
        <w:spacing w:before="49"/>
        <w:ind w:left="407" w:right="0" w:firstLine="0"/>
        <w:jc w:val="left"/>
        <w:rPr>
          <w:rFonts w:ascii="TT Norms Pro Light"/>
          <w:b w:val="0"/>
          <w:sz w:val="18"/>
        </w:rPr>
      </w:pPr>
      <w:r>
        <w:rPr>
          <w:rFonts w:ascii="TT Norms Pro Light"/>
          <w:b w:val="0"/>
          <w:sz w:val="18"/>
        </w:rPr>
        <w:t>MSc</w:t>
      </w:r>
      <w:r>
        <w:rPr>
          <w:rFonts w:ascii="TT Norms Pro Light"/>
          <w:b w:val="0"/>
          <w:spacing w:val="-2"/>
          <w:sz w:val="18"/>
        </w:rPr>
        <w:t> </w:t>
      </w:r>
      <w:r>
        <w:rPr>
          <w:rFonts w:ascii="TT Norms Pro Light"/>
          <w:b w:val="0"/>
          <w:i/>
          <w:sz w:val="18"/>
        </w:rPr>
        <w:t>Denver</w:t>
      </w:r>
      <w:r>
        <w:rPr>
          <w:rFonts w:ascii="TT Norms Pro Light"/>
          <w:b w:val="0"/>
          <w:i/>
          <w:spacing w:val="-2"/>
          <w:sz w:val="18"/>
        </w:rPr>
        <w:t> </w:t>
      </w:r>
      <w:r>
        <w:rPr>
          <w:rFonts w:ascii="TT Norms Pro Light"/>
          <w:b w:val="0"/>
          <w:i/>
          <w:sz w:val="18"/>
        </w:rPr>
        <w:t>DU</w:t>
      </w:r>
      <w:r>
        <w:rPr>
          <w:rFonts w:ascii="TT Norms Pro Light"/>
          <w:b w:val="0"/>
          <w:i/>
          <w:spacing w:val="-3"/>
          <w:sz w:val="18"/>
        </w:rPr>
        <w:t> </w:t>
      </w:r>
      <w:r>
        <w:rPr>
          <w:rFonts w:ascii="TT Norms Pro Light"/>
          <w:b w:val="0"/>
          <w:sz w:val="18"/>
        </w:rPr>
        <w:t>(2019)</w:t>
      </w:r>
      <w:r>
        <w:rPr>
          <w:rFonts w:ascii="TT Norms Pro Light"/>
          <w:b w:val="0"/>
          <w:spacing w:val="-2"/>
          <w:sz w:val="18"/>
        </w:rPr>
        <w:t> </w:t>
      </w:r>
      <w:r>
        <w:rPr>
          <w:rFonts w:ascii="TT Norms Pro Light"/>
          <w:b w:val="0"/>
          <w:spacing w:val="-4"/>
          <w:sz w:val="18"/>
        </w:rPr>
        <w:t>2021</w:t>
      </w:r>
    </w:p>
    <w:p>
      <w:pPr>
        <w:pStyle w:val="BodyText"/>
        <w:spacing w:before="37"/>
        <w:rPr>
          <w:b w:val="0"/>
        </w:rPr>
      </w:pPr>
    </w:p>
    <w:p>
      <w:pPr>
        <w:spacing w:before="0"/>
        <w:ind w:left="407" w:right="0" w:firstLine="0"/>
        <w:jc w:val="left"/>
        <w:rPr>
          <w:rFonts w:ascii="TT Norms Pro"/>
          <w:b/>
          <w:sz w:val="18"/>
        </w:rPr>
      </w:pPr>
      <w:r>
        <w:rPr>
          <w:rFonts w:ascii="TT Norms Pro"/>
          <w:b/>
          <w:sz w:val="18"/>
        </w:rPr>
        <w:t>Robert</w:t>
      </w:r>
      <w:r>
        <w:rPr>
          <w:rFonts w:ascii="TT Norms Pro"/>
          <w:b/>
          <w:spacing w:val="3"/>
          <w:sz w:val="18"/>
        </w:rPr>
        <w:t> </w:t>
      </w:r>
      <w:r>
        <w:rPr>
          <w:rFonts w:ascii="TT Norms Pro"/>
          <w:b/>
          <w:sz w:val="18"/>
        </w:rPr>
        <w:t>(Bob)</w:t>
      </w:r>
      <w:r>
        <w:rPr>
          <w:rFonts w:ascii="TT Norms Pro"/>
          <w:b/>
          <w:spacing w:val="6"/>
          <w:sz w:val="18"/>
        </w:rPr>
        <w:t> </w:t>
      </w:r>
      <w:r>
        <w:rPr>
          <w:rFonts w:ascii="TT Norms Pro"/>
          <w:b/>
          <w:spacing w:val="-2"/>
          <w:sz w:val="18"/>
        </w:rPr>
        <w:t>Olivier</w:t>
      </w:r>
    </w:p>
    <w:p>
      <w:pPr>
        <w:spacing w:line="295" w:lineRule="auto" w:before="50"/>
        <w:ind w:left="407" w:right="552" w:firstLine="0"/>
        <w:jc w:val="left"/>
        <w:rPr>
          <w:rFonts w:ascii="TT Norms Pro Light"/>
          <w:b w:val="0"/>
          <w:sz w:val="18"/>
        </w:rPr>
      </w:pPr>
      <w:r>
        <w:rPr>
          <w:rFonts w:ascii="TT Norms Pro Light"/>
          <w:b w:val="0"/>
          <w:sz w:val="18"/>
        </w:rPr>
        <w:t>BSc </w:t>
      </w:r>
      <w:r>
        <w:rPr>
          <w:rFonts w:ascii="TT Norms Pro Light"/>
          <w:b w:val="0"/>
          <w:i/>
          <w:sz w:val="18"/>
        </w:rPr>
        <w:t>W.Aust.</w:t>
      </w:r>
      <w:r>
        <w:rPr>
          <w:rFonts w:ascii="TT Norms Pro Light"/>
          <w:b w:val="0"/>
          <w:sz w:val="18"/>
        </w:rPr>
        <w:t>, BSocSci (Hons) </w:t>
      </w:r>
      <w:r>
        <w:rPr>
          <w:rFonts w:ascii="TT Norms Pro Light"/>
          <w:b w:val="0"/>
          <w:i/>
          <w:sz w:val="18"/>
        </w:rPr>
        <w:t>Curtin</w:t>
      </w:r>
      <w:r>
        <w:rPr>
          <w:rFonts w:ascii="TT Norms Pro Light"/>
          <w:b w:val="0"/>
          <w:sz w:val="18"/>
        </w:rPr>
        <w:t>, PhD </w:t>
      </w:r>
      <w:r>
        <w:rPr>
          <w:rFonts w:ascii="TT Norms Pro Light"/>
          <w:b w:val="0"/>
          <w:i/>
          <w:sz w:val="18"/>
        </w:rPr>
        <w:t>W.Aust</w:t>
      </w:r>
      <w:r>
        <w:rPr>
          <w:rFonts w:ascii="TT Norms Pro Light"/>
          <w:b w:val="0"/>
          <w:sz w:val="18"/>
        </w:rPr>
        <w:t>.</w:t>
      </w:r>
      <w:r>
        <w:rPr>
          <w:rFonts w:ascii="TT Norms Pro Light"/>
          <w:b w:val="0"/>
          <w:spacing w:val="40"/>
          <w:sz w:val="18"/>
        </w:rPr>
        <w:t> </w:t>
      </w:r>
      <w:r>
        <w:rPr>
          <w:rFonts w:ascii="TT Norms Pro Light"/>
          <w:b w:val="0"/>
          <w:sz w:val="18"/>
        </w:rPr>
        <w:t>(2019*)</w:t>
      </w:r>
      <w:r>
        <w:rPr>
          <w:rFonts w:ascii="TT Norms Pro Light"/>
          <w:b w:val="0"/>
          <w:spacing w:val="-5"/>
          <w:sz w:val="18"/>
        </w:rPr>
        <w:t> </w:t>
      </w:r>
      <w:r>
        <w:rPr>
          <w:rFonts w:ascii="TT Norms Pro Light"/>
          <w:b w:val="0"/>
          <w:sz w:val="18"/>
        </w:rPr>
        <w:t>2022</w:t>
      </w:r>
    </w:p>
    <w:p>
      <w:pPr>
        <w:pStyle w:val="BodyText"/>
        <w:rPr>
          <w:b w:val="0"/>
        </w:rPr>
      </w:pPr>
    </w:p>
    <w:p>
      <w:pPr>
        <w:pStyle w:val="BodyText"/>
        <w:rPr>
          <w:b w:val="0"/>
        </w:rPr>
      </w:pPr>
    </w:p>
    <w:p>
      <w:pPr>
        <w:pStyle w:val="BodyText"/>
        <w:rPr>
          <w:b w:val="0"/>
        </w:rPr>
      </w:pPr>
    </w:p>
    <w:p>
      <w:pPr>
        <w:pStyle w:val="BodyText"/>
        <w:rPr>
          <w:b w:val="0"/>
        </w:rPr>
      </w:pPr>
    </w:p>
    <w:p>
      <w:pPr>
        <w:pStyle w:val="BodyText"/>
        <w:spacing w:before="209"/>
        <w:rPr>
          <w:b w:val="0"/>
        </w:rPr>
      </w:pPr>
    </w:p>
    <w:p>
      <w:pPr>
        <w:pStyle w:val="Heading8"/>
        <w:spacing w:before="1"/>
        <w:ind w:left="887"/>
      </w:pPr>
      <w:r>
        <w:rPr>
          <w:spacing w:val="-8"/>
        </w:rPr>
        <w:t>Meeting</w:t>
      </w:r>
      <w:r>
        <w:rPr>
          <w:spacing w:val="-5"/>
        </w:rPr>
        <w:t> </w:t>
      </w:r>
      <w:r>
        <w:rPr>
          <w:spacing w:val="-8"/>
        </w:rPr>
        <w:t>dates</w:t>
      </w:r>
      <w:r>
        <w:rPr>
          <w:spacing w:val="-4"/>
        </w:rPr>
        <w:t> </w:t>
      </w:r>
      <w:r>
        <w:rPr>
          <w:spacing w:val="-8"/>
        </w:rPr>
        <w:t>2020</w:t>
      </w:r>
    </w:p>
    <w:p>
      <w:pPr>
        <w:pStyle w:val="BodyText"/>
        <w:spacing w:before="15"/>
        <w:rPr>
          <w:rFonts w:ascii="TT Norms Pro Medium"/>
          <w:b/>
          <w:sz w:val="24"/>
        </w:rPr>
      </w:pPr>
    </w:p>
    <w:p>
      <w:pPr>
        <w:pStyle w:val="BodyText"/>
        <w:ind w:left="887"/>
        <w:rPr>
          <w:b w:val="0"/>
        </w:rPr>
      </w:pPr>
      <w:r>
        <w:rPr>
          <w:b w:val="0"/>
        </w:rPr>
        <w:t>Monday</w:t>
      </w:r>
      <w:r>
        <w:rPr>
          <w:b w:val="0"/>
          <w:spacing w:val="1"/>
        </w:rPr>
        <w:t> </w:t>
      </w:r>
      <w:r>
        <w:rPr>
          <w:b w:val="0"/>
        </w:rPr>
        <w:t>9</w:t>
      </w:r>
      <w:r>
        <w:rPr>
          <w:b w:val="0"/>
          <w:spacing w:val="1"/>
        </w:rPr>
        <w:t> </w:t>
      </w:r>
      <w:r>
        <w:rPr>
          <w:b w:val="0"/>
          <w:spacing w:val="-2"/>
        </w:rPr>
        <w:t>March</w:t>
      </w:r>
    </w:p>
    <w:p>
      <w:pPr>
        <w:pStyle w:val="BodyText"/>
        <w:spacing w:before="49"/>
        <w:ind w:left="887"/>
        <w:rPr>
          <w:b w:val="0"/>
        </w:rPr>
      </w:pPr>
      <w:r>
        <w:rPr>
          <w:b w:val="0"/>
        </w:rPr>
        <w:t>Monday</w:t>
      </w:r>
      <w:r>
        <w:rPr>
          <w:b w:val="0"/>
          <w:spacing w:val="-6"/>
        </w:rPr>
        <w:t> </w:t>
      </w:r>
      <w:r>
        <w:rPr>
          <w:b w:val="0"/>
        </w:rPr>
        <w:t>20</w:t>
      </w:r>
      <w:r>
        <w:rPr>
          <w:b w:val="0"/>
          <w:spacing w:val="-5"/>
        </w:rPr>
        <w:t> </w:t>
      </w:r>
      <w:r>
        <w:rPr>
          <w:b w:val="0"/>
          <w:spacing w:val="-2"/>
        </w:rPr>
        <w:t>April</w:t>
      </w:r>
    </w:p>
    <w:p>
      <w:pPr>
        <w:pStyle w:val="BodyText"/>
        <w:spacing w:before="50"/>
        <w:ind w:left="887"/>
        <w:rPr>
          <w:b w:val="0"/>
        </w:rPr>
      </w:pPr>
      <w:r>
        <w:rPr>
          <w:b w:val="0"/>
        </w:rPr>
        <w:t>Monday</w:t>
      </w:r>
      <w:r>
        <w:rPr>
          <w:b w:val="0"/>
          <w:spacing w:val="-1"/>
        </w:rPr>
        <w:t> </w:t>
      </w:r>
      <w:r>
        <w:rPr>
          <w:b w:val="0"/>
        </w:rPr>
        <w:t>18</w:t>
      </w:r>
      <w:r>
        <w:rPr>
          <w:b w:val="0"/>
          <w:spacing w:val="2"/>
        </w:rPr>
        <w:t> </w:t>
      </w:r>
      <w:r>
        <w:rPr>
          <w:b w:val="0"/>
          <w:spacing w:val="-5"/>
        </w:rPr>
        <w:t>May</w:t>
      </w:r>
    </w:p>
    <w:p>
      <w:pPr>
        <w:pStyle w:val="BodyText"/>
        <w:spacing w:before="49"/>
        <w:ind w:left="887"/>
        <w:rPr>
          <w:b w:val="0"/>
        </w:rPr>
      </w:pPr>
      <w:r>
        <w:rPr>
          <w:b w:val="0"/>
        </w:rPr>
        <w:t>Monday</w:t>
      </w:r>
      <w:r>
        <w:rPr>
          <w:b w:val="0"/>
          <w:spacing w:val="-1"/>
        </w:rPr>
        <w:t> </w:t>
      </w:r>
      <w:r>
        <w:rPr>
          <w:b w:val="0"/>
        </w:rPr>
        <w:t>6</w:t>
      </w:r>
      <w:r>
        <w:rPr>
          <w:b w:val="0"/>
          <w:spacing w:val="2"/>
        </w:rPr>
        <w:t> </w:t>
      </w:r>
      <w:r>
        <w:rPr>
          <w:b w:val="0"/>
          <w:spacing w:val="-4"/>
        </w:rPr>
        <w:t>July</w:t>
      </w:r>
    </w:p>
    <w:p>
      <w:pPr>
        <w:pStyle w:val="BodyText"/>
        <w:spacing w:before="49"/>
        <w:ind w:left="887"/>
        <w:rPr>
          <w:b w:val="0"/>
        </w:rPr>
      </w:pPr>
      <w:r>
        <w:rPr>
          <w:b w:val="0"/>
        </w:rPr>
        <w:t>Monday</w:t>
      </w:r>
      <w:r>
        <w:rPr>
          <w:b w:val="0"/>
          <w:spacing w:val="-1"/>
        </w:rPr>
        <w:t> </w:t>
      </w:r>
      <w:r>
        <w:rPr>
          <w:b w:val="0"/>
        </w:rPr>
        <w:t>31</w:t>
      </w:r>
      <w:r>
        <w:rPr>
          <w:b w:val="0"/>
          <w:spacing w:val="2"/>
        </w:rPr>
        <w:t> </w:t>
      </w:r>
      <w:r>
        <w:rPr>
          <w:b w:val="0"/>
          <w:spacing w:val="-2"/>
        </w:rPr>
        <w:t>August</w:t>
      </w:r>
    </w:p>
    <w:p>
      <w:pPr>
        <w:pStyle w:val="BodyText"/>
        <w:spacing w:before="49"/>
        <w:ind w:left="887"/>
        <w:rPr>
          <w:b w:val="0"/>
        </w:rPr>
      </w:pPr>
      <w:r>
        <w:rPr>
          <w:b w:val="0"/>
        </w:rPr>
        <w:t>Monday 19</w:t>
      </w:r>
      <w:r>
        <w:rPr>
          <w:b w:val="0"/>
          <w:spacing w:val="1"/>
        </w:rPr>
        <w:t> </w:t>
      </w:r>
      <w:r>
        <w:rPr>
          <w:b w:val="0"/>
          <w:spacing w:val="-2"/>
        </w:rPr>
        <w:t>October</w:t>
      </w:r>
    </w:p>
    <w:p>
      <w:pPr>
        <w:pStyle w:val="BodyText"/>
        <w:spacing w:before="50"/>
        <w:ind w:left="887"/>
        <w:rPr>
          <w:b w:val="0"/>
        </w:rPr>
      </w:pPr>
      <w:r>
        <w:rPr>
          <w:b w:val="0"/>
        </w:rPr>
        <w:t>Monday</w:t>
      </w:r>
      <w:r>
        <w:rPr>
          <w:b w:val="0"/>
          <w:spacing w:val="-1"/>
        </w:rPr>
        <w:t> </w:t>
      </w:r>
      <w:r>
        <w:rPr>
          <w:b w:val="0"/>
        </w:rPr>
        <w:t>7</w:t>
      </w:r>
      <w:r>
        <w:rPr>
          <w:b w:val="0"/>
          <w:spacing w:val="1"/>
        </w:rPr>
        <w:t> </w:t>
      </w:r>
      <w:r>
        <w:rPr>
          <w:b w:val="0"/>
          <w:spacing w:val="-2"/>
        </w:rPr>
        <w:t>December</w:t>
      </w:r>
    </w:p>
    <w:p>
      <w:pPr>
        <w:spacing w:after="0"/>
        <w:sectPr>
          <w:type w:val="continuous"/>
          <w:pgSz w:w="11910" w:h="16840"/>
          <w:pgMar w:header="468" w:footer="0" w:top="980" w:bottom="280" w:left="0" w:right="780"/>
          <w:cols w:num="2" w:equalWidth="0">
            <w:col w:w="5704" w:space="40"/>
            <w:col w:w="5386"/>
          </w:cols>
        </w:sectPr>
      </w:pPr>
    </w:p>
    <w:p>
      <w:pPr>
        <w:pStyle w:val="BodyText"/>
        <w:spacing w:before="165" w:after="1"/>
        <w:rPr>
          <w:b w:val="0"/>
          <w:sz w:val="20"/>
        </w:rPr>
      </w:pPr>
      <w:r>
        <w:rPr/>
        <mc:AlternateContent>
          <mc:Choice Requires="wps">
            <w:drawing>
              <wp:anchor distT="0" distB="0" distL="0" distR="0" allowOverlap="1" layoutInCell="1" locked="0" behindDoc="1" simplePos="0" relativeHeight="472668672">
                <wp:simplePos x="0" y="0"/>
                <wp:positionH relativeFrom="page">
                  <wp:posOffset>0</wp:posOffset>
                </wp:positionH>
                <wp:positionV relativeFrom="page">
                  <wp:posOffset>8932316</wp:posOffset>
                </wp:positionV>
                <wp:extent cx="6948170" cy="1760220"/>
                <wp:effectExtent l="0" t="0" r="0" b="0"/>
                <wp:wrapNone/>
                <wp:docPr id="387" name="Group 387"/>
                <wp:cNvGraphicFramePr>
                  <a:graphicFrameLocks/>
                </wp:cNvGraphicFramePr>
                <a:graphic>
                  <a:graphicData uri="http://schemas.microsoft.com/office/word/2010/wordprocessingGroup">
                    <wpg:wgp>
                      <wpg:cNvPr id="387" name="Group 387"/>
                      <wpg:cNvGrpSpPr/>
                      <wpg:grpSpPr>
                        <a:xfrm>
                          <a:off x="0" y="0"/>
                          <a:ext cx="6948170" cy="1760220"/>
                          <a:chExt cx="6948170" cy="1760220"/>
                        </a:xfrm>
                      </wpg:grpSpPr>
                      <pic:pic>
                        <pic:nvPicPr>
                          <pic:cNvPr id="388" name="Image 388"/>
                          <pic:cNvPicPr/>
                        </pic:nvPicPr>
                        <pic:blipFill>
                          <a:blip r:embed="rId68" cstate="print"/>
                          <a:stretch>
                            <a:fillRect/>
                          </a:stretch>
                        </pic:blipFill>
                        <pic:spPr>
                          <a:xfrm>
                            <a:off x="0" y="52679"/>
                            <a:ext cx="6839991" cy="1707007"/>
                          </a:xfrm>
                          <a:prstGeom prst="rect">
                            <a:avLst/>
                          </a:prstGeom>
                        </pic:spPr>
                      </pic:pic>
                      <wps:wsp>
                        <wps:cNvPr id="389" name="Graphic 389"/>
                        <wps:cNvSpPr/>
                        <wps:spPr>
                          <a:xfrm>
                            <a:off x="0" y="0"/>
                            <a:ext cx="6948170" cy="1575435"/>
                          </a:xfrm>
                          <a:custGeom>
                            <a:avLst/>
                            <a:gdLst/>
                            <a:ahLst/>
                            <a:cxnLst/>
                            <a:rect l="l" t="t" r="r" b="b"/>
                            <a:pathLst>
                              <a:path w="6948170" h="1575435">
                                <a:moveTo>
                                  <a:pt x="6948004" y="0"/>
                                </a:moveTo>
                                <a:lnTo>
                                  <a:pt x="0" y="0"/>
                                </a:lnTo>
                                <a:lnTo>
                                  <a:pt x="0" y="1575168"/>
                                </a:lnTo>
                                <a:lnTo>
                                  <a:pt x="6948004" y="1575168"/>
                                </a:lnTo>
                                <a:lnTo>
                                  <a:pt x="6948004" y="0"/>
                                </a:lnTo>
                                <a:close/>
                              </a:path>
                            </a:pathLst>
                          </a:custGeom>
                          <a:solidFill>
                            <a:srgbClr val="FFFFFF"/>
                          </a:solidFill>
                        </wps:spPr>
                        <wps:bodyPr wrap="square" lIns="0" tIns="0" rIns="0" bIns="0" rtlCol="0">
                          <a:prstTxWarp prst="textNoShape">
                            <a:avLst/>
                          </a:prstTxWarp>
                          <a:noAutofit/>
                        </wps:bodyPr>
                      </wps:wsp>
                      <wps:wsp>
                        <wps:cNvPr id="390" name="Textbox 390"/>
                        <wps:cNvSpPr txBox="1"/>
                        <wps:spPr>
                          <a:xfrm>
                            <a:off x="0" y="0"/>
                            <a:ext cx="6948170" cy="1760220"/>
                          </a:xfrm>
                          <a:prstGeom prst="rect">
                            <a:avLst/>
                          </a:prstGeom>
                        </wps:spPr>
                        <wps:txbx>
                          <w:txbxContent>
                            <w:p>
                              <w:pPr>
                                <w:spacing w:line="240" w:lineRule="auto" w:before="0"/>
                                <w:rPr>
                                  <w:rFonts w:ascii="TT Norms Pro Medium"/>
                                  <w:b/>
                                  <w:sz w:val="12"/>
                                </w:rPr>
                              </w:pPr>
                            </w:p>
                            <w:p>
                              <w:pPr>
                                <w:spacing w:line="240" w:lineRule="auto" w:before="0"/>
                                <w:rPr>
                                  <w:rFonts w:ascii="TT Norms Pro Medium"/>
                                  <w:b/>
                                  <w:sz w:val="12"/>
                                </w:rPr>
                              </w:pPr>
                            </w:p>
                            <w:p>
                              <w:pPr>
                                <w:spacing w:line="240" w:lineRule="auto" w:before="0"/>
                                <w:rPr>
                                  <w:rFonts w:ascii="TT Norms Pro Medium"/>
                                  <w:b/>
                                  <w:sz w:val="12"/>
                                </w:rPr>
                              </w:pPr>
                            </w:p>
                            <w:p>
                              <w:pPr>
                                <w:spacing w:line="240" w:lineRule="auto" w:before="0"/>
                                <w:rPr>
                                  <w:rFonts w:ascii="TT Norms Pro Medium"/>
                                  <w:b/>
                                  <w:sz w:val="12"/>
                                </w:rPr>
                              </w:pPr>
                            </w:p>
                            <w:p>
                              <w:pPr>
                                <w:spacing w:line="240" w:lineRule="auto" w:before="0"/>
                                <w:rPr>
                                  <w:rFonts w:ascii="TT Norms Pro Medium"/>
                                  <w:b/>
                                  <w:sz w:val="12"/>
                                </w:rPr>
                              </w:pPr>
                            </w:p>
                            <w:p>
                              <w:pPr>
                                <w:spacing w:line="240" w:lineRule="auto" w:before="0"/>
                                <w:rPr>
                                  <w:rFonts w:ascii="TT Norms Pro Medium"/>
                                  <w:b/>
                                  <w:sz w:val="12"/>
                                </w:rPr>
                              </w:pPr>
                            </w:p>
                            <w:p>
                              <w:pPr>
                                <w:spacing w:line="240" w:lineRule="auto" w:before="0"/>
                                <w:rPr>
                                  <w:rFonts w:ascii="TT Norms Pro Medium"/>
                                  <w:b/>
                                  <w:sz w:val="12"/>
                                </w:rPr>
                              </w:pPr>
                            </w:p>
                            <w:p>
                              <w:pPr>
                                <w:spacing w:line="240" w:lineRule="auto" w:before="0"/>
                                <w:rPr>
                                  <w:rFonts w:ascii="TT Norms Pro Medium"/>
                                  <w:b/>
                                  <w:sz w:val="12"/>
                                </w:rPr>
                              </w:pPr>
                            </w:p>
                            <w:p>
                              <w:pPr>
                                <w:spacing w:line="240" w:lineRule="auto" w:before="0"/>
                                <w:rPr>
                                  <w:rFonts w:ascii="TT Norms Pro Medium"/>
                                  <w:b/>
                                  <w:sz w:val="12"/>
                                </w:rPr>
                              </w:pPr>
                            </w:p>
                            <w:p>
                              <w:pPr>
                                <w:spacing w:line="240" w:lineRule="auto" w:before="0"/>
                                <w:rPr>
                                  <w:rFonts w:ascii="TT Norms Pro Medium"/>
                                  <w:b/>
                                  <w:sz w:val="12"/>
                                </w:rPr>
                              </w:pPr>
                            </w:p>
                            <w:p>
                              <w:pPr>
                                <w:spacing w:line="240" w:lineRule="auto" w:before="70"/>
                                <w:rPr>
                                  <w:rFonts w:ascii="TT Norms Pro Medium"/>
                                  <w:b/>
                                  <w:sz w:val="12"/>
                                </w:rPr>
                              </w:pPr>
                            </w:p>
                            <w:p>
                              <w:pPr>
                                <w:spacing w:before="1"/>
                                <w:ind w:left="1123" w:right="0" w:firstLine="0"/>
                                <w:jc w:val="left"/>
                                <w:rPr>
                                  <w:rFonts w:ascii="TT Norms Pro Light"/>
                                  <w:b w:val="0"/>
                                  <w:sz w:val="12"/>
                                </w:rPr>
                              </w:pPr>
                              <w:r>
                                <w:rPr>
                                  <w:rFonts w:ascii="TT Norms Pro Light"/>
                                  <w:b w:val="0"/>
                                  <w:sz w:val="12"/>
                                </w:rPr>
                                <w:t>A: Number</w:t>
                              </w:r>
                              <w:r>
                                <w:rPr>
                                  <w:rFonts w:ascii="TT Norms Pro Light"/>
                                  <w:b w:val="0"/>
                                  <w:spacing w:val="-3"/>
                                  <w:sz w:val="12"/>
                                </w:rPr>
                                <w:t> </w:t>
                              </w:r>
                              <w:r>
                                <w:rPr>
                                  <w:rFonts w:ascii="TT Norms Pro Light"/>
                                  <w:b w:val="0"/>
                                  <w:sz w:val="12"/>
                                </w:rPr>
                                <w:t>of meetings held during the time the member</w:t>
                              </w:r>
                              <w:r>
                                <w:rPr>
                                  <w:rFonts w:ascii="TT Norms Pro Light"/>
                                  <w:b w:val="0"/>
                                  <w:spacing w:val="-3"/>
                                  <w:sz w:val="12"/>
                                </w:rPr>
                                <w:t> </w:t>
                              </w:r>
                              <w:r>
                                <w:rPr>
                                  <w:rFonts w:ascii="TT Norms Pro Light"/>
                                  <w:b w:val="0"/>
                                  <w:sz w:val="12"/>
                                </w:rPr>
                                <w:t>held </w:t>
                              </w:r>
                              <w:r>
                                <w:rPr>
                                  <w:rFonts w:ascii="TT Norms Pro Light"/>
                                  <w:b w:val="0"/>
                                  <w:spacing w:val="-2"/>
                                  <w:sz w:val="12"/>
                                </w:rPr>
                                <w:t>office</w:t>
                              </w:r>
                            </w:p>
                            <w:p>
                              <w:pPr>
                                <w:spacing w:before="39"/>
                                <w:ind w:left="1123" w:right="0" w:firstLine="0"/>
                                <w:jc w:val="left"/>
                                <w:rPr>
                                  <w:rFonts w:ascii="TT Norms Pro Light"/>
                                  <w:b w:val="0"/>
                                  <w:sz w:val="12"/>
                                </w:rPr>
                              </w:pPr>
                              <w:r>
                                <w:rPr>
                                  <w:rFonts w:ascii="TT Norms Pro Light"/>
                                  <w:b w:val="0"/>
                                  <w:sz w:val="12"/>
                                </w:rPr>
                                <w:t>B:</w:t>
                              </w:r>
                              <w:r>
                                <w:rPr>
                                  <w:rFonts w:ascii="TT Norms Pro Light"/>
                                  <w:b w:val="0"/>
                                  <w:spacing w:val="-4"/>
                                  <w:sz w:val="12"/>
                                </w:rPr>
                                <w:t> </w:t>
                              </w:r>
                              <w:r>
                                <w:rPr>
                                  <w:rFonts w:ascii="TT Norms Pro Light"/>
                                  <w:b w:val="0"/>
                                  <w:sz w:val="12"/>
                                </w:rPr>
                                <w:t>Number</w:t>
                              </w:r>
                              <w:r>
                                <w:rPr>
                                  <w:rFonts w:ascii="TT Norms Pro Light"/>
                                  <w:b w:val="0"/>
                                  <w:spacing w:val="-4"/>
                                  <w:sz w:val="12"/>
                                </w:rPr>
                                <w:t> </w:t>
                              </w:r>
                              <w:r>
                                <w:rPr>
                                  <w:rFonts w:ascii="TT Norms Pro Light"/>
                                  <w:b w:val="0"/>
                                  <w:sz w:val="12"/>
                                </w:rPr>
                                <w:t>of</w:t>
                              </w:r>
                              <w:r>
                                <w:rPr>
                                  <w:rFonts w:ascii="TT Norms Pro Light"/>
                                  <w:b w:val="0"/>
                                  <w:spacing w:val="-1"/>
                                  <w:sz w:val="12"/>
                                </w:rPr>
                                <w:t> </w:t>
                              </w:r>
                              <w:r>
                                <w:rPr>
                                  <w:rFonts w:ascii="TT Norms Pro Light"/>
                                  <w:b w:val="0"/>
                                  <w:sz w:val="12"/>
                                </w:rPr>
                                <w:t>meetings</w:t>
                              </w:r>
                              <w:r>
                                <w:rPr>
                                  <w:rFonts w:ascii="TT Norms Pro Light"/>
                                  <w:b w:val="0"/>
                                  <w:spacing w:val="-1"/>
                                  <w:sz w:val="12"/>
                                </w:rPr>
                                <w:t> </w:t>
                              </w:r>
                              <w:r>
                                <w:rPr>
                                  <w:rFonts w:ascii="TT Norms Pro Light"/>
                                  <w:b w:val="0"/>
                                  <w:sz w:val="12"/>
                                </w:rPr>
                                <w:t>of</w:t>
                              </w:r>
                              <w:r>
                                <w:rPr>
                                  <w:rFonts w:ascii="TT Norms Pro Light"/>
                                  <w:b w:val="0"/>
                                  <w:spacing w:val="-1"/>
                                  <w:sz w:val="12"/>
                                </w:rPr>
                                <w:t> </w:t>
                              </w:r>
                              <w:r>
                                <w:rPr>
                                  <w:rFonts w:ascii="TT Norms Pro Light"/>
                                  <w:b w:val="0"/>
                                  <w:sz w:val="12"/>
                                </w:rPr>
                                <w:t>the</w:t>
                              </w:r>
                              <w:r>
                                <w:rPr>
                                  <w:rFonts w:ascii="TT Norms Pro Light"/>
                                  <w:b w:val="0"/>
                                  <w:spacing w:val="-1"/>
                                  <w:sz w:val="12"/>
                                </w:rPr>
                                <w:t> </w:t>
                              </w:r>
                              <w:r>
                                <w:rPr>
                                  <w:rFonts w:ascii="TT Norms Pro Light"/>
                                  <w:b w:val="0"/>
                                  <w:sz w:val="12"/>
                                </w:rPr>
                                <w:t>Senate</w:t>
                              </w:r>
                              <w:r>
                                <w:rPr>
                                  <w:rFonts w:ascii="TT Norms Pro Light"/>
                                  <w:b w:val="0"/>
                                  <w:spacing w:val="-1"/>
                                  <w:sz w:val="12"/>
                                </w:rPr>
                                <w:t> </w:t>
                              </w:r>
                              <w:r>
                                <w:rPr>
                                  <w:rFonts w:ascii="TT Norms Pro Light"/>
                                  <w:b w:val="0"/>
                                  <w:sz w:val="12"/>
                                </w:rPr>
                                <w:t>and</w:t>
                              </w:r>
                              <w:r>
                                <w:rPr>
                                  <w:rFonts w:ascii="TT Norms Pro Light"/>
                                  <w:b w:val="0"/>
                                  <w:spacing w:val="-2"/>
                                  <w:sz w:val="12"/>
                                </w:rPr>
                                <w:t> </w:t>
                              </w:r>
                              <w:r>
                                <w:rPr>
                                  <w:rFonts w:ascii="TT Norms Pro Light"/>
                                  <w:b w:val="0"/>
                                  <w:sz w:val="12"/>
                                </w:rPr>
                                <w:t>Senate</w:t>
                              </w:r>
                              <w:r>
                                <w:rPr>
                                  <w:rFonts w:ascii="TT Norms Pro Light"/>
                                  <w:b w:val="0"/>
                                  <w:spacing w:val="-1"/>
                                  <w:sz w:val="12"/>
                                </w:rPr>
                                <w:t> </w:t>
                              </w:r>
                              <w:r>
                                <w:rPr>
                                  <w:rFonts w:ascii="TT Norms Pro Light"/>
                                  <w:b w:val="0"/>
                                  <w:sz w:val="12"/>
                                </w:rPr>
                                <w:t>Committees</w:t>
                              </w:r>
                              <w:r>
                                <w:rPr>
                                  <w:rFonts w:ascii="TT Norms Pro Light"/>
                                  <w:b w:val="0"/>
                                  <w:spacing w:val="-1"/>
                                  <w:sz w:val="12"/>
                                </w:rPr>
                                <w:t> </w:t>
                              </w:r>
                              <w:r>
                                <w:rPr>
                                  <w:rFonts w:ascii="TT Norms Pro Light"/>
                                  <w:b w:val="0"/>
                                  <w:sz w:val="12"/>
                                </w:rPr>
                                <w:t>that</w:t>
                              </w:r>
                              <w:r>
                                <w:rPr>
                                  <w:rFonts w:ascii="TT Norms Pro Light"/>
                                  <w:b w:val="0"/>
                                  <w:spacing w:val="-1"/>
                                  <w:sz w:val="12"/>
                                </w:rPr>
                                <w:t> </w:t>
                              </w:r>
                              <w:r>
                                <w:rPr>
                                  <w:rFonts w:ascii="TT Norms Pro Light"/>
                                  <w:b w:val="0"/>
                                  <w:sz w:val="12"/>
                                </w:rPr>
                                <w:t>the</w:t>
                              </w:r>
                              <w:r>
                                <w:rPr>
                                  <w:rFonts w:ascii="TT Norms Pro Light"/>
                                  <w:b w:val="0"/>
                                  <w:spacing w:val="-1"/>
                                  <w:sz w:val="12"/>
                                </w:rPr>
                                <w:t> </w:t>
                              </w:r>
                              <w:r>
                                <w:rPr>
                                  <w:rFonts w:ascii="TT Norms Pro Light"/>
                                  <w:b w:val="0"/>
                                  <w:sz w:val="12"/>
                                </w:rPr>
                                <w:t>members</w:t>
                              </w:r>
                              <w:r>
                                <w:rPr>
                                  <w:rFonts w:ascii="TT Norms Pro Light"/>
                                  <w:b w:val="0"/>
                                  <w:spacing w:val="-1"/>
                                  <w:sz w:val="12"/>
                                </w:rPr>
                                <w:t> </w:t>
                              </w:r>
                              <w:r>
                                <w:rPr>
                                  <w:rFonts w:ascii="TT Norms Pro Light"/>
                                  <w:b w:val="0"/>
                                  <w:sz w:val="12"/>
                                </w:rPr>
                                <w:t>have</w:t>
                              </w:r>
                              <w:r>
                                <w:rPr>
                                  <w:rFonts w:ascii="TT Norms Pro Light"/>
                                  <w:b w:val="0"/>
                                  <w:spacing w:val="-1"/>
                                  <w:sz w:val="12"/>
                                </w:rPr>
                                <w:t> </w:t>
                              </w:r>
                              <w:r>
                                <w:rPr>
                                  <w:rFonts w:ascii="TT Norms Pro Light"/>
                                  <w:b w:val="0"/>
                                  <w:spacing w:val="-2"/>
                                  <w:sz w:val="12"/>
                                </w:rPr>
                                <w:t>attended</w:t>
                              </w:r>
                            </w:p>
                          </w:txbxContent>
                        </wps:txbx>
                        <wps:bodyPr wrap="square" lIns="0" tIns="0" rIns="0" bIns="0" rtlCol="0">
                          <a:noAutofit/>
                        </wps:bodyPr>
                      </wps:wsp>
                    </wpg:wgp>
                  </a:graphicData>
                </a:graphic>
              </wp:anchor>
            </w:drawing>
          </mc:Choice>
          <mc:Fallback>
            <w:pict>
              <v:group style="position:absolute;margin-left:0pt;margin-top:703.332031pt;width:547.1pt;height:138.6pt;mso-position-horizontal-relative:page;mso-position-vertical-relative:page;z-index:-30647808" id="docshapegroup244" coordorigin="0,14067" coordsize="10942,2772">
                <v:shape style="position:absolute;left:0;top:14149;width:10772;height:2689" type="#_x0000_t75" id="docshape245" stroked="false">
                  <v:imagedata r:id="rId68" o:title=""/>
                </v:shape>
                <v:rect style="position:absolute;left:0;top:14066;width:10942;height:2481" id="docshape246" filled="true" fillcolor="#ffffff" stroked="false">
                  <v:fill type="solid"/>
                </v:rect>
                <v:shape style="position:absolute;left:0;top:14066;width:10942;height:2772" type="#_x0000_t202" id="docshape247" filled="false" stroked="false">
                  <v:textbox inset="0,0,0,0">
                    <w:txbxContent>
                      <w:p>
                        <w:pPr>
                          <w:spacing w:line="240" w:lineRule="auto" w:before="0"/>
                          <w:rPr>
                            <w:rFonts w:ascii="TT Norms Pro Medium"/>
                            <w:b/>
                            <w:sz w:val="12"/>
                          </w:rPr>
                        </w:pPr>
                      </w:p>
                      <w:p>
                        <w:pPr>
                          <w:spacing w:line="240" w:lineRule="auto" w:before="0"/>
                          <w:rPr>
                            <w:rFonts w:ascii="TT Norms Pro Medium"/>
                            <w:b/>
                            <w:sz w:val="12"/>
                          </w:rPr>
                        </w:pPr>
                      </w:p>
                      <w:p>
                        <w:pPr>
                          <w:spacing w:line="240" w:lineRule="auto" w:before="0"/>
                          <w:rPr>
                            <w:rFonts w:ascii="TT Norms Pro Medium"/>
                            <w:b/>
                            <w:sz w:val="12"/>
                          </w:rPr>
                        </w:pPr>
                      </w:p>
                      <w:p>
                        <w:pPr>
                          <w:spacing w:line="240" w:lineRule="auto" w:before="0"/>
                          <w:rPr>
                            <w:rFonts w:ascii="TT Norms Pro Medium"/>
                            <w:b/>
                            <w:sz w:val="12"/>
                          </w:rPr>
                        </w:pPr>
                      </w:p>
                      <w:p>
                        <w:pPr>
                          <w:spacing w:line="240" w:lineRule="auto" w:before="0"/>
                          <w:rPr>
                            <w:rFonts w:ascii="TT Norms Pro Medium"/>
                            <w:b/>
                            <w:sz w:val="12"/>
                          </w:rPr>
                        </w:pPr>
                      </w:p>
                      <w:p>
                        <w:pPr>
                          <w:spacing w:line="240" w:lineRule="auto" w:before="0"/>
                          <w:rPr>
                            <w:rFonts w:ascii="TT Norms Pro Medium"/>
                            <w:b/>
                            <w:sz w:val="12"/>
                          </w:rPr>
                        </w:pPr>
                      </w:p>
                      <w:p>
                        <w:pPr>
                          <w:spacing w:line="240" w:lineRule="auto" w:before="0"/>
                          <w:rPr>
                            <w:rFonts w:ascii="TT Norms Pro Medium"/>
                            <w:b/>
                            <w:sz w:val="12"/>
                          </w:rPr>
                        </w:pPr>
                      </w:p>
                      <w:p>
                        <w:pPr>
                          <w:spacing w:line="240" w:lineRule="auto" w:before="0"/>
                          <w:rPr>
                            <w:rFonts w:ascii="TT Norms Pro Medium"/>
                            <w:b/>
                            <w:sz w:val="12"/>
                          </w:rPr>
                        </w:pPr>
                      </w:p>
                      <w:p>
                        <w:pPr>
                          <w:spacing w:line="240" w:lineRule="auto" w:before="0"/>
                          <w:rPr>
                            <w:rFonts w:ascii="TT Norms Pro Medium"/>
                            <w:b/>
                            <w:sz w:val="12"/>
                          </w:rPr>
                        </w:pPr>
                      </w:p>
                      <w:p>
                        <w:pPr>
                          <w:spacing w:line="240" w:lineRule="auto" w:before="0"/>
                          <w:rPr>
                            <w:rFonts w:ascii="TT Norms Pro Medium"/>
                            <w:b/>
                            <w:sz w:val="12"/>
                          </w:rPr>
                        </w:pPr>
                      </w:p>
                      <w:p>
                        <w:pPr>
                          <w:spacing w:line="240" w:lineRule="auto" w:before="70"/>
                          <w:rPr>
                            <w:rFonts w:ascii="TT Norms Pro Medium"/>
                            <w:b/>
                            <w:sz w:val="12"/>
                          </w:rPr>
                        </w:pPr>
                      </w:p>
                      <w:p>
                        <w:pPr>
                          <w:spacing w:before="1"/>
                          <w:ind w:left="1123" w:right="0" w:firstLine="0"/>
                          <w:jc w:val="left"/>
                          <w:rPr>
                            <w:rFonts w:ascii="TT Norms Pro Light"/>
                            <w:b w:val="0"/>
                            <w:sz w:val="12"/>
                          </w:rPr>
                        </w:pPr>
                        <w:r>
                          <w:rPr>
                            <w:rFonts w:ascii="TT Norms Pro Light"/>
                            <w:b w:val="0"/>
                            <w:sz w:val="12"/>
                          </w:rPr>
                          <w:t>A: Number</w:t>
                        </w:r>
                        <w:r>
                          <w:rPr>
                            <w:rFonts w:ascii="TT Norms Pro Light"/>
                            <w:b w:val="0"/>
                            <w:spacing w:val="-3"/>
                            <w:sz w:val="12"/>
                          </w:rPr>
                          <w:t> </w:t>
                        </w:r>
                        <w:r>
                          <w:rPr>
                            <w:rFonts w:ascii="TT Norms Pro Light"/>
                            <w:b w:val="0"/>
                            <w:sz w:val="12"/>
                          </w:rPr>
                          <w:t>of meetings held during the time the member</w:t>
                        </w:r>
                        <w:r>
                          <w:rPr>
                            <w:rFonts w:ascii="TT Norms Pro Light"/>
                            <w:b w:val="0"/>
                            <w:spacing w:val="-3"/>
                            <w:sz w:val="12"/>
                          </w:rPr>
                          <w:t> </w:t>
                        </w:r>
                        <w:r>
                          <w:rPr>
                            <w:rFonts w:ascii="TT Norms Pro Light"/>
                            <w:b w:val="0"/>
                            <w:sz w:val="12"/>
                          </w:rPr>
                          <w:t>held </w:t>
                        </w:r>
                        <w:r>
                          <w:rPr>
                            <w:rFonts w:ascii="TT Norms Pro Light"/>
                            <w:b w:val="0"/>
                            <w:spacing w:val="-2"/>
                            <w:sz w:val="12"/>
                          </w:rPr>
                          <w:t>office</w:t>
                        </w:r>
                      </w:p>
                      <w:p>
                        <w:pPr>
                          <w:spacing w:before="39"/>
                          <w:ind w:left="1123" w:right="0" w:firstLine="0"/>
                          <w:jc w:val="left"/>
                          <w:rPr>
                            <w:rFonts w:ascii="TT Norms Pro Light"/>
                            <w:b w:val="0"/>
                            <w:sz w:val="12"/>
                          </w:rPr>
                        </w:pPr>
                        <w:r>
                          <w:rPr>
                            <w:rFonts w:ascii="TT Norms Pro Light"/>
                            <w:b w:val="0"/>
                            <w:sz w:val="12"/>
                          </w:rPr>
                          <w:t>B:</w:t>
                        </w:r>
                        <w:r>
                          <w:rPr>
                            <w:rFonts w:ascii="TT Norms Pro Light"/>
                            <w:b w:val="0"/>
                            <w:spacing w:val="-4"/>
                            <w:sz w:val="12"/>
                          </w:rPr>
                          <w:t> </w:t>
                        </w:r>
                        <w:r>
                          <w:rPr>
                            <w:rFonts w:ascii="TT Norms Pro Light"/>
                            <w:b w:val="0"/>
                            <w:sz w:val="12"/>
                          </w:rPr>
                          <w:t>Number</w:t>
                        </w:r>
                        <w:r>
                          <w:rPr>
                            <w:rFonts w:ascii="TT Norms Pro Light"/>
                            <w:b w:val="0"/>
                            <w:spacing w:val="-4"/>
                            <w:sz w:val="12"/>
                          </w:rPr>
                          <w:t> </w:t>
                        </w:r>
                        <w:r>
                          <w:rPr>
                            <w:rFonts w:ascii="TT Norms Pro Light"/>
                            <w:b w:val="0"/>
                            <w:sz w:val="12"/>
                          </w:rPr>
                          <w:t>of</w:t>
                        </w:r>
                        <w:r>
                          <w:rPr>
                            <w:rFonts w:ascii="TT Norms Pro Light"/>
                            <w:b w:val="0"/>
                            <w:spacing w:val="-1"/>
                            <w:sz w:val="12"/>
                          </w:rPr>
                          <w:t> </w:t>
                        </w:r>
                        <w:r>
                          <w:rPr>
                            <w:rFonts w:ascii="TT Norms Pro Light"/>
                            <w:b w:val="0"/>
                            <w:sz w:val="12"/>
                          </w:rPr>
                          <w:t>meetings</w:t>
                        </w:r>
                        <w:r>
                          <w:rPr>
                            <w:rFonts w:ascii="TT Norms Pro Light"/>
                            <w:b w:val="0"/>
                            <w:spacing w:val="-1"/>
                            <w:sz w:val="12"/>
                          </w:rPr>
                          <w:t> </w:t>
                        </w:r>
                        <w:r>
                          <w:rPr>
                            <w:rFonts w:ascii="TT Norms Pro Light"/>
                            <w:b w:val="0"/>
                            <w:sz w:val="12"/>
                          </w:rPr>
                          <w:t>of</w:t>
                        </w:r>
                        <w:r>
                          <w:rPr>
                            <w:rFonts w:ascii="TT Norms Pro Light"/>
                            <w:b w:val="0"/>
                            <w:spacing w:val="-1"/>
                            <w:sz w:val="12"/>
                          </w:rPr>
                          <w:t> </w:t>
                        </w:r>
                        <w:r>
                          <w:rPr>
                            <w:rFonts w:ascii="TT Norms Pro Light"/>
                            <w:b w:val="0"/>
                            <w:sz w:val="12"/>
                          </w:rPr>
                          <w:t>the</w:t>
                        </w:r>
                        <w:r>
                          <w:rPr>
                            <w:rFonts w:ascii="TT Norms Pro Light"/>
                            <w:b w:val="0"/>
                            <w:spacing w:val="-1"/>
                            <w:sz w:val="12"/>
                          </w:rPr>
                          <w:t> </w:t>
                        </w:r>
                        <w:r>
                          <w:rPr>
                            <w:rFonts w:ascii="TT Norms Pro Light"/>
                            <w:b w:val="0"/>
                            <w:sz w:val="12"/>
                          </w:rPr>
                          <w:t>Senate</w:t>
                        </w:r>
                        <w:r>
                          <w:rPr>
                            <w:rFonts w:ascii="TT Norms Pro Light"/>
                            <w:b w:val="0"/>
                            <w:spacing w:val="-1"/>
                            <w:sz w:val="12"/>
                          </w:rPr>
                          <w:t> </w:t>
                        </w:r>
                        <w:r>
                          <w:rPr>
                            <w:rFonts w:ascii="TT Norms Pro Light"/>
                            <w:b w:val="0"/>
                            <w:sz w:val="12"/>
                          </w:rPr>
                          <w:t>and</w:t>
                        </w:r>
                        <w:r>
                          <w:rPr>
                            <w:rFonts w:ascii="TT Norms Pro Light"/>
                            <w:b w:val="0"/>
                            <w:spacing w:val="-2"/>
                            <w:sz w:val="12"/>
                          </w:rPr>
                          <w:t> </w:t>
                        </w:r>
                        <w:r>
                          <w:rPr>
                            <w:rFonts w:ascii="TT Norms Pro Light"/>
                            <w:b w:val="0"/>
                            <w:sz w:val="12"/>
                          </w:rPr>
                          <w:t>Senate</w:t>
                        </w:r>
                        <w:r>
                          <w:rPr>
                            <w:rFonts w:ascii="TT Norms Pro Light"/>
                            <w:b w:val="0"/>
                            <w:spacing w:val="-1"/>
                            <w:sz w:val="12"/>
                          </w:rPr>
                          <w:t> </w:t>
                        </w:r>
                        <w:r>
                          <w:rPr>
                            <w:rFonts w:ascii="TT Norms Pro Light"/>
                            <w:b w:val="0"/>
                            <w:sz w:val="12"/>
                          </w:rPr>
                          <w:t>Committees</w:t>
                        </w:r>
                        <w:r>
                          <w:rPr>
                            <w:rFonts w:ascii="TT Norms Pro Light"/>
                            <w:b w:val="0"/>
                            <w:spacing w:val="-1"/>
                            <w:sz w:val="12"/>
                          </w:rPr>
                          <w:t> </w:t>
                        </w:r>
                        <w:r>
                          <w:rPr>
                            <w:rFonts w:ascii="TT Norms Pro Light"/>
                            <w:b w:val="0"/>
                            <w:sz w:val="12"/>
                          </w:rPr>
                          <w:t>that</w:t>
                        </w:r>
                        <w:r>
                          <w:rPr>
                            <w:rFonts w:ascii="TT Norms Pro Light"/>
                            <w:b w:val="0"/>
                            <w:spacing w:val="-1"/>
                            <w:sz w:val="12"/>
                          </w:rPr>
                          <w:t> </w:t>
                        </w:r>
                        <w:r>
                          <w:rPr>
                            <w:rFonts w:ascii="TT Norms Pro Light"/>
                            <w:b w:val="0"/>
                            <w:sz w:val="12"/>
                          </w:rPr>
                          <w:t>the</w:t>
                        </w:r>
                        <w:r>
                          <w:rPr>
                            <w:rFonts w:ascii="TT Norms Pro Light"/>
                            <w:b w:val="0"/>
                            <w:spacing w:val="-1"/>
                            <w:sz w:val="12"/>
                          </w:rPr>
                          <w:t> </w:t>
                        </w:r>
                        <w:r>
                          <w:rPr>
                            <w:rFonts w:ascii="TT Norms Pro Light"/>
                            <w:b w:val="0"/>
                            <w:sz w:val="12"/>
                          </w:rPr>
                          <w:t>members</w:t>
                        </w:r>
                        <w:r>
                          <w:rPr>
                            <w:rFonts w:ascii="TT Norms Pro Light"/>
                            <w:b w:val="0"/>
                            <w:spacing w:val="-1"/>
                            <w:sz w:val="12"/>
                          </w:rPr>
                          <w:t> </w:t>
                        </w:r>
                        <w:r>
                          <w:rPr>
                            <w:rFonts w:ascii="TT Norms Pro Light"/>
                            <w:b w:val="0"/>
                            <w:sz w:val="12"/>
                          </w:rPr>
                          <w:t>have</w:t>
                        </w:r>
                        <w:r>
                          <w:rPr>
                            <w:rFonts w:ascii="TT Norms Pro Light"/>
                            <w:b w:val="0"/>
                            <w:spacing w:val="-1"/>
                            <w:sz w:val="12"/>
                          </w:rPr>
                          <w:t> </w:t>
                        </w:r>
                        <w:r>
                          <w:rPr>
                            <w:rFonts w:ascii="TT Norms Pro Light"/>
                            <w:b w:val="0"/>
                            <w:spacing w:val="-2"/>
                            <w:sz w:val="12"/>
                          </w:rPr>
                          <w:t>attended</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815680">
                <wp:simplePos x="0" y="0"/>
                <wp:positionH relativeFrom="page">
                  <wp:posOffset>7111289</wp:posOffset>
                </wp:positionH>
                <wp:positionV relativeFrom="page">
                  <wp:posOffset>8136825</wp:posOffset>
                </wp:positionV>
                <wp:extent cx="177800" cy="1848485"/>
                <wp:effectExtent l="0" t="0" r="0" b="0"/>
                <wp:wrapNone/>
                <wp:docPr id="391" name="Textbox 391"/>
                <wp:cNvGraphicFramePr>
                  <a:graphicFrameLocks/>
                </wp:cNvGraphicFramePr>
                <a:graphic>
                  <a:graphicData uri="http://schemas.microsoft.com/office/word/2010/wordprocessingShape">
                    <wps:wsp>
                      <wps:cNvPr id="391" name="Textbox 391"/>
                      <wps:cNvSpPr txBox="1"/>
                      <wps:spPr>
                        <a:xfrm>
                          <a:off x="0" y="0"/>
                          <a:ext cx="177800" cy="184848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640.694885pt;width:14pt;height:145.550pt;mso-position-horizontal-relative:page;mso-position-vertical-relative:page;z-index:15815680" type="#_x0000_t202" id="docshape248"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v:textbox>
                <w10:wrap type="none"/>
              </v:shape>
            </w:pict>
          </mc:Fallback>
        </mc:AlternateContent>
      </w:r>
    </w:p>
    <w:p>
      <w:pPr>
        <w:pStyle w:val="BodyText"/>
        <w:spacing w:line="20" w:lineRule="exact"/>
        <w:ind w:left="1073"/>
        <w:rPr>
          <w:sz w:val="2"/>
        </w:rPr>
      </w:pPr>
      <w:r>
        <w:rPr>
          <w:sz w:val="2"/>
        </w:rPr>
        <mc:AlternateContent>
          <mc:Choice Requires="wps">
            <w:drawing>
              <wp:inline distT="0" distB="0" distL="0" distR="0">
                <wp:extent cx="6216015" cy="12700"/>
                <wp:effectExtent l="9525" t="0" r="3810" b="6350"/>
                <wp:docPr id="392" name="Group 392"/>
                <wp:cNvGraphicFramePr>
                  <a:graphicFrameLocks/>
                </wp:cNvGraphicFramePr>
                <a:graphic>
                  <a:graphicData uri="http://schemas.microsoft.com/office/word/2010/wordprocessingGroup">
                    <wpg:wgp>
                      <wpg:cNvPr id="392" name="Group 392"/>
                      <wpg:cNvGrpSpPr/>
                      <wpg:grpSpPr>
                        <a:xfrm>
                          <a:off x="0" y="0"/>
                          <a:ext cx="6216015" cy="12700"/>
                          <a:chExt cx="6216015" cy="12700"/>
                        </a:xfrm>
                      </wpg:grpSpPr>
                      <wps:wsp>
                        <wps:cNvPr id="393" name="Graphic 393"/>
                        <wps:cNvSpPr/>
                        <wps:spPr>
                          <a:xfrm>
                            <a:off x="0" y="6350"/>
                            <a:ext cx="1332230" cy="1270"/>
                          </a:xfrm>
                          <a:custGeom>
                            <a:avLst/>
                            <a:gdLst/>
                            <a:ahLst/>
                            <a:cxnLst/>
                            <a:rect l="l" t="t" r="r" b="b"/>
                            <a:pathLst>
                              <a:path w="1332230" h="0">
                                <a:moveTo>
                                  <a:pt x="0" y="0"/>
                                </a:moveTo>
                                <a:lnTo>
                                  <a:pt x="1332001" y="0"/>
                                </a:lnTo>
                              </a:path>
                            </a:pathLst>
                          </a:custGeom>
                          <a:ln w="12700">
                            <a:solidFill>
                              <a:srgbClr val="000000"/>
                            </a:solidFill>
                            <a:prstDash val="solid"/>
                          </a:ln>
                        </wps:spPr>
                        <wps:bodyPr wrap="square" lIns="0" tIns="0" rIns="0" bIns="0" rtlCol="0">
                          <a:prstTxWarp prst="textNoShape">
                            <a:avLst/>
                          </a:prstTxWarp>
                          <a:noAutofit/>
                        </wps:bodyPr>
                      </wps:wsp>
                      <wps:wsp>
                        <wps:cNvPr id="394" name="Graphic 394"/>
                        <wps:cNvSpPr/>
                        <wps:spPr>
                          <a:xfrm>
                            <a:off x="1331998" y="6350"/>
                            <a:ext cx="1197610" cy="1270"/>
                          </a:xfrm>
                          <a:custGeom>
                            <a:avLst/>
                            <a:gdLst/>
                            <a:ahLst/>
                            <a:cxnLst/>
                            <a:rect l="l" t="t" r="r" b="b"/>
                            <a:pathLst>
                              <a:path w="1197610" h="0">
                                <a:moveTo>
                                  <a:pt x="0" y="0"/>
                                </a:moveTo>
                                <a:lnTo>
                                  <a:pt x="1197000" y="0"/>
                                </a:lnTo>
                              </a:path>
                            </a:pathLst>
                          </a:custGeom>
                          <a:ln w="12700">
                            <a:solidFill>
                              <a:srgbClr val="000000"/>
                            </a:solidFill>
                            <a:prstDash val="solid"/>
                          </a:ln>
                        </wps:spPr>
                        <wps:bodyPr wrap="square" lIns="0" tIns="0" rIns="0" bIns="0" rtlCol="0">
                          <a:prstTxWarp prst="textNoShape">
                            <a:avLst/>
                          </a:prstTxWarp>
                          <a:noAutofit/>
                        </wps:bodyPr>
                      </wps:wsp>
                      <wps:wsp>
                        <wps:cNvPr id="395" name="Graphic 395"/>
                        <wps:cNvSpPr/>
                        <wps:spPr>
                          <a:xfrm>
                            <a:off x="2528999" y="6350"/>
                            <a:ext cx="328930" cy="1270"/>
                          </a:xfrm>
                          <a:custGeom>
                            <a:avLst/>
                            <a:gdLst/>
                            <a:ahLst/>
                            <a:cxnLst/>
                            <a:rect l="l" t="t" r="r" b="b"/>
                            <a:pathLst>
                              <a:path w="328930" h="0">
                                <a:moveTo>
                                  <a:pt x="0" y="0"/>
                                </a:moveTo>
                                <a:lnTo>
                                  <a:pt x="328498" y="0"/>
                                </a:lnTo>
                              </a:path>
                            </a:pathLst>
                          </a:custGeom>
                          <a:ln w="12700">
                            <a:solidFill>
                              <a:srgbClr val="000000"/>
                            </a:solidFill>
                            <a:prstDash val="solid"/>
                          </a:ln>
                        </wps:spPr>
                        <wps:bodyPr wrap="square" lIns="0" tIns="0" rIns="0" bIns="0" rtlCol="0">
                          <a:prstTxWarp prst="textNoShape">
                            <a:avLst/>
                          </a:prstTxWarp>
                          <a:noAutofit/>
                        </wps:bodyPr>
                      </wps:wsp>
                      <wps:wsp>
                        <wps:cNvPr id="396" name="Graphic 396"/>
                        <wps:cNvSpPr/>
                        <wps:spPr>
                          <a:xfrm>
                            <a:off x="2857498" y="6350"/>
                            <a:ext cx="328930" cy="1270"/>
                          </a:xfrm>
                          <a:custGeom>
                            <a:avLst/>
                            <a:gdLst/>
                            <a:ahLst/>
                            <a:cxnLst/>
                            <a:rect l="l" t="t" r="r" b="b"/>
                            <a:pathLst>
                              <a:path w="328930" h="0">
                                <a:moveTo>
                                  <a:pt x="0" y="0"/>
                                </a:moveTo>
                                <a:lnTo>
                                  <a:pt x="328498" y="0"/>
                                </a:lnTo>
                              </a:path>
                            </a:pathLst>
                          </a:custGeom>
                          <a:ln w="12700">
                            <a:solidFill>
                              <a:srgbClr val="000000"/>
                            </a:solidFill>
                            <a:prstDash val="solid"/>
                          </a:ln>
                        </wps:spPr>
                        <wps:bodyPr wrap="square" lIns="0" tIns="0" rIns="0" bIns="0" rtlCol="0">
                          <a:prstTxWarp prst="textNoShape">
                            <a:avLst/>
                          </a:prstTxWarp>
                          <a:noAutofit/>
                        </wps:bodyPr>
                      </wps:wsp>
                      <wps:wsp>
                        <wps:cNvPr id="397" name="Graphic 397"/>
                        <wps:cNvSpPr/>
                        <wps:spPr>
                          <a:xfrm>
                            <a:off x="3185999" y="6350"/>
                            <a:ext cx="339090" cy="1270"/>
                          </a:xfrm>
                          <a:custGeom>
                            <a:avLst/>
                            <a:gdLst/>
                            <a:ahLst/>
                            <a:cxnLst/>
                            <a:rect l="l" t="t" r="r" b="b"/>
                            <a:pathLst>
                              <a:path w="339090" h="0">
                                <a:moveTo>
                                  <a:pt x="0" y="0"/>
                                </a:moveTo>
                                <a:lnTo>
                                  <a:pt x="339001" y="0"/>
                                </a:lnTo>
                              </a:path>
                            </a:pathLst>
                          </a:custGeom>
                          <a:ln w="12700">
                            <a:solidFill>
                              <a:srgbClr val="000000"/>
                            </a:solidFill>
                            <a:prstDash val="solid"/>
                          </a:ln>
                        </wps:spPr>
                        <wps:bodyPr wrap="square" lIns="0" tIns="0" rIns="0" bIns="0" rtlCol="0">
                          <a:prstTxWarp prst="textNoShape">
                            <a:avLst/>
                          </a:prstTxWarp>
                          <a:noAutofit/>
                        </wps:bodyPr>
                      </wps:wsp>
                      <wps:wsp>
                        <wps:cNvPr id="398" name="Graphic 398"/>
                        <wps:cNvSpPr/>
                        <wps:spPr>
                          <a:xfrm>
                            <a:off x="3524999" y="6350"/>
                            <a:ext cx="339090" cy="1270"/>
                          </a:xfrm>
                          <a:custGeom>
                            <a:avLst/>
                            <a:gdLst/>
                            <a:ahLst/>
                            <a:cxnLst/>
                            <a:rect l="l" t="t" r="r" b="b"/>
                            <a:pathLst>
                              <a:path w="339090" h="0">
                                <a:moveTo>
                                  <a:pt x="0" y="0"/>
                                </a:moveTo>
                                <a:lnTo>
                                  <a:pt x="339001" y="0"/>
                                </a:lnTo>
                              </a:path>
                            </a:pathLst>
                          </a:custGeom>
                          <a:ln w="12700">
                            <a:solidFill>
                              <a:srgbClr val="000000"/>
                            </a:solidFill>
                            <a:prstDash val="solid"/>
                          </a:ln>
                        </wps:spPr>
                        <wps:bodyPr wrap="square" lIns="0" tIns="0" rIns="0" bIns="0" rtlCol="0">
                          <a:prstTxWarp prst="textNoShape">
                            <a:avLst/>
                          </a:prstTxWarp>
                          <a:noAutofit/>
                        </wps:bodyPr>
                      </wps:wsp>
                      <wps:wsp>
                        <wps:cNvPr id="399" name="Graphic 399"/>
                        <wps:cNvSpPr/>
                        <wps:spPr>
                          <a:xfrm>
                            <a:off x="3864000" y="6350"/>
                            <a:ext cx="456565" cy="1270"/>
                          </a:xfrm>
                          <a:custGeom>
                            <a:avLst/>
                            <a:gdLst/>
                            <a:ahLst/>
                            <a:cxnLst/>
                            <a:rect l="l" t="t" r="r" b="b"/>
                            <a:pathLst>
                              <a:path w="456565" h="0">
                                <a:moveTo>
                                  <a:pt x="0" y="0"/>
                                </a:moveTo>
                                <a:lnTo>
                                  <a:pt x="455993" y="0"/>
                                </a:lnTo>
                              </a:path>
                            </a:pathLst>
                          </a:custGeom>
                          <a:ln w="12700">
                            <a:solidFill>
                              <a:srgbClr val="000000"/>
                            </a:solidFill>
                            <a:prstDash val="solid"/>
                          </a:ln>
                        </wps:spPr>
                        <wps:bodyPr wrap="square" lIns="0" tIns="0" rIns="0" bIns="0" rtlCol="0">
                          <a:prstTxWarp prst="textNoShape">
                            <a:avLst/>
                          </a:prstTxWarp>
                          <a:noAutofit/>
                        </wps:bodyPr>
                      </wps:wsp>
                      <wps:wsp>
                        <wps:cNvPr id="400" name="Graphic 400"/>
                        <wps:cNvSpPr/>
                        <wps:spPr>
                          <a:xfrm>
                            <a:off x="4319999" y="6350"/>
                            <a:ext cx="456565" cy="1270"/>
                          </a:xfrm>
                          <a:custGeom>
                            <a:avLst/>
                            <a:gdLst/>
                            <a:ahLst/>
                            <a:cxnLst/>
                            <a:rect l="l" t="t" r="r" b="b"/>
                            <a:pathLst>
                              <a:path w="456565" h="0">
                                <a:moveTo>
                                  <a:pt x="0" y="0"/>
                                </a:moveTo>
                                <a:lnTo>
                                  <a:pt x="456006" y="0"/>
                                </a:lnTo>
                              </a:path>
                            </a:pathLst>
                          </a:custGeom>
                          <a:ln w="12700">
                            <a:solidFill>
                              <a:srgbClr val="000000"/>
                            </a:solidFill>
                            <a:prstDash val="solid"/>
                          </a:ln>
                        </wps:spPr>
                        <wps:bodyPr wrap="square" lIns="0" tIns="0" rIns="0" bIns="0" rtlCol="0">
                          <a:prstTxWarp prst="textNoShape">
                            <a:avLst/>
                          </a:prstTxWarp>
                          <a:noAutofit/>
                        </wps:bodyPr>
                      </wps:wsp>
                      <wps:wsp>
                        <wps:cNvPr id="401" name="Graphic 401"/>
                        <wps:cNvSpPr/>
                        <wps:spPr>
                          <a:xfrm>
                            <a:off x="4775998" y="6350"/>
                            <a:ext cx="360045" cy="1270"/>
                          </a:xfrm>
                          <a:custGeom>
                            <a:avLst/>
                            <a:gdLst/>
                            <a:ahLst/>
                            <a:cxnLst/>
                            <a:rect l="l" t="t" r="r" b="b"/>
                            <a:pathLst>
                              <a:path w="360045" h="0">
                                <a:moveTo>
                                  <a:pt x="0" y="0"/>
                                </a:moveTo>
                                <a:lnTo>
                                  <a:pt x="359994" y="0"/>
                                </a:lnTo>
                              </a:path>
                            </a:pathLst>
                          </a:custGeom>
                          <a:ln w="12700">
                            <a:solidFill>
                              <a:srgbClr val="000000"/>
                            </a:solidFill>
                            <a:prstDash val="solid"/>
                          </a:ln>
                        </wps:spPr>
                        <wps:bodyPr wrap="square" lIns="0" tIns="0" rIns="0" bIns="0" rtlCol="0">
                          <a:prstTxWarp prst="textNoShape">
                            <a:avLst/>
                          </a:prstTxWarp>
                          <a:noAutofit/>
                        </wps:bodyPr>
                      </wps:wsp>
                      <wps:wsp>
                        <wps:cNvPr id="402" name="Graphic 402"/>
                        <wps:cNvSpPr/>
                        <wps:spPr>
                          <a:xfrm>
                            <a:off x="5135999" y="6350"/>
                            <a:ext cx="360045" cy="1270"/>
                          </a:xfrm>
                          <a:custGeom>
                            <a:avLst/>
                            <a:gdLst/>
                            <a:ahLst/>
                            <a:cxnLst/>
                            <a:rect l="l" t="t" r="r" b="b"/>
                            <a:pathLst>
                              <a:path w="360045" h="0">
                                <a:moveTo>
                                  <a:pt x="0" y="0"/>
                                </a:moveTo>
                                <a:lnTo>
                                  <a:pt x="359994" y="0"/>
                                </a:lnTo>
                              </a:path>
                            </a:pathLst>
                          </a:custGeom>
                          <a:ln w="12700">
                            <a:solidFill>
                              <a:srgbClr val="000000"/>
                            </a:solidFill>
                            <a:prstDash val="solid"/>
                          </a:ln>
                        </wps:spPr>
                        <wps:bodyPr wrap="square" lIns="0" tIns="0" rIns="0" bIns="0" rtlCol="0">
                          <a:prstTxWarp prst="textNoShape">
                            <a:avLst/>
                          </a:prstTxWarp>
                          <a:noAutofit/>
                        </wps:bodyPr>
                      </wps:wsp>
                      <wps:wsp>
                        <wps:cNvPr id="403" name="Graphic 403"/>
                        <wps:cNvSpPr/>
                        <wps:spPr>
                          <a:xfrm>
                            <a:off x="5495999" y="6350"/>
                            <a:ext cx="360045" cy="1270"/>
                          </a:xfrm>
                          <a:custGeom>
                            <a:avLst/>
                            <a:gdLst/>
                            <a:ahLst/>
                            <a:cxnLst/>
                            <a:rect l="l" t="t" r="r" b="b"/>
                            <a:pathLst>
                              <a:path w="360045" h="0">
                                <a:moveTo>
                                  <a:pt x="0" y="0"/>
                                </a:moveTo>
                                <a:lnTo>
                                  <a:pt x="359994" y="0"/>
                                </a:lnTo>
                              </a:path>
                            </a:pathLst>
                          </a:custGeom>
                          <a:ln w="12700">
                            <a:solidFill>
                              <a:srgbClr val="000000"/>
                            </a:solidFill>
                            <a:prstDash val="solid"/>
                          </a:ln>
                        </wps:spPr>
                        <wps:bodyPr wrap="square" lIns="0" tIns="0" rIns="0" bIns="0" rtlCol="0">
                          <a:prstTxWarp prst="textNoShape">
                            <a:avLst/>
                          </a:prstTxWarp>
                          <a:noAutofit/>
                        </wps:bodyPr>
                      </wps:wsp>
                      <wps:wsp>
                        <wps:cNvPr id="404" name="Graphic 404"/>
                        <wps:cNvSpPr/>
                        <wps:spPr>
                          <a:xfrm>
                            <a:off x="5855999" y="6350"/>
                            <a:ext cx="360045" cy="1270"/>
                          </a:xfrm>
                          <a:custGeom>
                            <a:avLst/>
                            <a:gdLst/>
                            <a:ahLst/>
                            <a:cxnLst/>
                            <a:rect l="l" t="t" r="r" b="b"/>
                            <a:pathLst>
                              <a:path w="360045" h="0">
                                <a:moveTo>
                                  <a:pt x="0" y="0"/>
                                </a:moveTo>
                                <a:lnTo>
                                  <a:pt x="359994" y="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89.45pt;height:1pt;mso-position-horizontal-relative:char;mso-position-vertical-relative:line" id="docshapegroup249" coordorigin="0,0" coordsize="9789,20">
                <v:line style="position:absolute" from="0,10" to="2098,10" stroked="true" strokeweight="1pt" strokecolor="#000000">
                  <v:stroke dashstyle="solid"/>
                </v:line>
                <v:line style="position:absolute" from="2098,10" to="3983,10" stroked="true" strokeweight="1pt" strokecolor="#000000">
                  <v:stroke dashstyle="solid"/>
                </v:line>
                <v:line style="position:absolute" from="3983,10" to="4500,10" stroked="true" strokeweight="1pt" strokecolor="#000000">
                  <v:stroke dashstyle="solid"/>
                </v:line>
                <v:line style="position:absolute" from="4500,10" to="5017,10" stroked="true" strokeweight="1pt" strokecolor="#000000">
                  <v:stroke dashstyle="solid"/>
                </v:line>
                <v:line style="position:absolute" from="5017,10" to="5551,10" stroked="true" strokeweight="1pt" strokecolor="#000000">
                  <v:stroke dashstyle="solid"/>
                </v:line>
                <v:line style="position:absolute" from="5551,10" to="6085,10" stroked="true" strokeweight="1pt" strokecolor="#000000">
                  <v:stroke dashstyle="solid"/>
                </v:line>
                <v:line style="position:absolute" from="6085,10" to="6803,10" stroked="true" strokeweight="1pt" strokecolor="#000000">
                  <v:stroke dashstyle="solid"/>
                </v:line>
                <v:line style="position:absolute" from="6803,10" to="7521,10" stroked="true" strokeweight="1pt" strokecolor="#000000">
                  <v:stroke dashstyle="solid"/>
                </v:line>
                <v:line style="position:absolute" from="7521,10" to="8088,10" stroked="true" strokeweight="1pt" strokecolor="#000000">
                  <v:stroke dashstyle="solid"/>
                </v:line>
                <v:line style="position:absolute" from="8088,10" to="8655,10" stroked="true" strokeweight="1pt" strokecolor="#000000">
                  <v:stroke dashstyle="solid"/>
                </v:line>
                <v:line style="position:absolute" from="8655,10" to="9222,10" stroked="true" strokeweight="1pt" strokecolor="#000000">
                  <v:stroke dashstyle="solid"/>
                </v:line>
                <v:line style="position:absolute" from="9222,10" to="9789,10" stroked="true" strokeweight="1pt" strokecolor="#000000">
                  <v:stroke dashstyle="solid"/>
                </v:line>
              </v:group>
            </w:pict>
          </mc:Fallback>
        </mc:AlternateContent>
      </w:r>
      <w:r>
        <w:rPr>
          <w:sz w:val="2"/>
        </w:rPr>
      </w:r>
    </w:p>
    <w:p>
      <w:pPr>
        <w:spacing w:before="179"/>
        <w:ind w:left="956" w:right="125" w:firstLine="0"/>
        <w:jc w:val="center"/>
        <w:rPr>
          <w:rFonts w:ascii="TT Norms Pro Medium"/>
          <w:b/>
          <w:sz w:val="18"/>
        </w:rPr>
      </w:pPr>
      <w:r>
        <w:rPr>
          <w:rFonts w:ascii="TT Norms Pro Medium"/>
          <w:b/>
          <w:spacing w:val="-4"/>
          <w:sz w:val="18"/>
        </w:rPr>
        <w:t>MEETINGS OF</w:t>
      </w:r>
      <w:r>
        <w:rPr>
          <w:rFonts w:ascii="TT Norms Pro Medium"/>
          <w:b/>
          <w:spacing w:val="-3"/>
          <w:sz w:val="18"/>
        </w:rPr>
        <w:t> </w:t>
      </w:r>
      <w:r>
        <w:rPr>
          <w:rFonts w:ascii="TT Norms Pro Medium"/>
          <w:b/>
          <w:spacing w:val="-4"/>
          <w:sz w:val="18"/>
        </w:rPr>
        <w:t>COMMITTEES</w:t>
      </w:r>
    </w:p>
    <w:p>
      <w:pPr>
        <w:pStyle w:val="BodyText"/>
        <w:spacing w:before="10"/>
        <w:rPr>
          <w:rFonts w:ascii="TT Norms Pro Medium"/>
          <w:b/>
          <w:sz w:val="13"/>
        </w:rPr>
      </w:pPr>
    </w:p>
    <w:tbl>
      <w:tblPr>
        <w:tblW w:w="0" w:type="auto"/>
        <w:jc w:val="left"/>
        <w:tblInd w:w="10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98"/>
        <w:gridCol w:w="1885"/>
        <w:gridCol w:w="1035"/>
        <w:gridCol w:w="1068"/>
        <w:gridCol w:w="1436"/>
        <w:gridCol w:w="1134"/>
        <w:gridCol w:w="1134"/>
      </w:tblGrid>
      <w:tr>
        <w:trPr>
          <w:trHeight w:val="697" w:hRule="atLeast"/>
        </w:trPr>
        <w:tc>
          <w:tcPr>
            <w:tcW w:w="2098" w:type="dxa"/>
            <w:tcBorders>
              <w:top w:val="single" w:sz="4" w:space="0" w:color="000000"/>
              <w:bottom w:val="single" w:sz="4" w:space="0" w:color="000000"/>
            </w:tcBorders>
          </w:tcPr>
          <w:p>
            <w:pPr>
              <w:pStyle w:val="TableParagraph"/>
              <w:rPr>
                <w:rFonts w:ascii="Times New Roman"/>
                <w:sz w:val="16"/>
              </w:rPr>
            </w:pPr>
          </w:p>
        </w:tc>
        <w:tc>
          <w:tcPr>
            <w:tcW w:w="1885" w:type="dxa"/>
            <w:tcBorders>
              <w:top w:val="single" w:sz="4" w:space="0" w:color="000000"/>
              <w:bottom w:val="single" w:sz="4" w:space="0" w:color="000000"/>
            </w:tcBorders>
            <w:shd w:val="clear" w:color="auto" w:fill="E6E7E8"/>
          </w:tcPr>
          <w:p>
            <w:pPr>
              <w:pStyle w:val="TableParagraph"/>
              <w:spacing w:line="295" w:lineRule="auto" w:before="124"/>
              <w:ind w:left="147"/>
              <w:rPr>
                <w:rFonts w:ascii="TT Norms Pro Light"/>
                <w:b w:val="0"/>
                <w:sz w:val="18"/>
              </w:rPr>
            </w:pPr>
            <w:r>
              <w:rPr>
                <w:rFonts w:ascii="TT Norms Pro Light"/>
                <w:b w:val="0"/>
                <w:spacing w:val="-2"/>
                <w:sz w:val="18"/>
              </w:rPr>
              <w:t>2020</w:t>
            </w:r>
            <w:r>
              <w:rPr>
                <w:rFonts w:ascii="TT Norms Pro Light"/>
                <w:b w:val="0"/>
                <w:spacing w:val="-7"/>
                <w:sz w:val="18"/>
              </w:rPr>
              <w:t> </w:t>
            </w:r>
            <w:r>
              <w:rPr>
                <w:rFonts w:ascii="TT Norms Pro Light"/>
                <w:b w:val="0"/>
                <w:spacing w:val="-2"/>
                <w:sz w:val="18"/>
              </w:rPr>
              <w:t>membership</w:t>
            </w:r>
            <w:r>
              <w:rPr>
                <w:rFonts w:ascii="TT Norms Pro Light"/>
                <w:b w:val="0"/>
                <w:spacing w:val="40"/>
                <w:sz w:val="18"/>
              </w:rPr>
              <w:t> </w:t>
            </w:r>
            <w:r>
              <w:rPr>
                <w:rFonts w:ascii="TT Norms Pro Light"/>
                <w:b w:val="0"/>
                <w:spacing w:val="-2"/>
                <w:sz w:val="18"/>
              </w:rPr>
              <w:t>period</w:t>
            </w:r>
          </w:p>
        </w:tc>
        <w:tc>
          <w:tcPr>
            <w:tcW w:w="1035" w:type="dxa"/>
            <w:tcBorders>
              <w:top w:val="single" w:sz="4" w:space="0" w:color="000000"/>
              <w:bottom w:val="single" w:sz="4" w:space="0" w:color="000000"/>
            </w:tcBorders>
          </w:tcPr>
          <w:p>
            <w:pPr>
              <w:pStyle w:val="TableParagraph"/>
              <w:spacing w:before="124"/>
              <w:ind w:right="183"/>
              <w:jc w:val="center"/>
              <w:rPr>
                <w:rFonts w:ascii="TT Norms Pro Light"/>
                <w:b w:val="0"/>
                <w:sz w:val="18"/>
              </w:rPr>
            </w:pPr>
            <w:r>
              <w:rPr>
                <w:rFonts w:ascii="TT Norms Pro Light"/>
                <w:b w:val="0"/>
                <w:spacing w:val="-2"/>
                <w:sz w:val="18"/>
              </w:rPr>
              <w:t>Senate</w:t>
            </w:r>
          </w:p>
        </w:tc>
        <w:tc>
          <w:tcPr>
            <w:tcW w:w="1068" w:type="dxa"/>
            <w:tcBorders>
              <w:top w:val="single" w:sz="4" w:space="0" w:color="000000"/>
              <w:bottom w:val="single" w:sz="4" w:space="0" w:color="000000"/>
            </w:tcBorders>
            <w:shd w:val="clear" w:color="auto" w:fill="E6E7E8"/>
          </w:tcPr>
          <w:p>
            <w:pPr>
              <w:pStyle w:val="TableParagraph"/>
              <w:spacing w:line="295" w:lineRule="auto" w:before="124"/>
              <w:ind w:left="146" w:right="251"/>
              <w:rPr>
                <w:rFonts w:ascii="TT Norms Pro Light"/>
                <w:b w:val="0"/>
                <w:sz w:val="18"/>
              </w:rPr>
            </w:pPr>
            <w:r>
              <w:rPr>
                <w:rFonts w:ascii="TT Norms Pro Light"/>
                <w:b w:val="0"/>
                <w:spacing w:val="-2"/>
                <w:sz w:val="18"/>
              </w:rPr>
              <w:t>Audit</w:t>
            </w:r>
            <w:r>
              <w:rPr>
                <w:rFonts w:ascii="TT Norms Pro Light"/>
                <w:b w:val="0"/>
                <w:spacing w:val="40"/>
                <w:sz w:val="18"/>
              </w:rPr>
              <w:t> </w:t>
            </w:r>
            <w:r>
              <w:rPr>
                <w:rFonts w:ascii="TT Norms Pro Light"/>
                <w:b w:val="0"/>
                <w:sz w:val="18"/>
              </w:rPr>
              <w:t>and</w:t>
            </w:r>
            <w:r>
              <w:rPr>
                <w:rFonts w:ascii="TT Norms Pro Light"/>
                <w:b w:val="0"/>
                <w:spacing w:val="-9"/>
                <w:sz w:val="18"/>
              </w:rPr>
              <w:t> </w:t>
            </w:r>
            <w:r>
              <w:rPr>
                <w:rFonts w:ascii="TT Norms Pro Light"/>
                <w:b w:val="0"/>
                <w:sz w:val="18"/>
              </w:rPr>
              <w:t>Risk</w:t>
            </w:r>
          </w:p>
        </w:tc>
        <w:tc>
          <w:tcPr>
            <w:tcW w:w="1436" w:type="dxa"/>
            <w:tcBorders>
              <w:top w:val="single" w:sz="4" w:space="0" w:color="000000"/>
              <w:bottom w:val="single" w:sz="4" w:space="0" w:color="000000"/>
            </w:tcBorders>
          </w:tcPr>
          <w:p>
            <w:pPr>
              <w:pStyle w:val="TableParagraph"/>
              <w:spacing w:before="124"/>
              <w:ind w:left="146"/>
              <w:rPr>
                <w:rFonts w:ascii="TT Norms Pro Light"/>
                <w:b w:val="0"/>
                <w:sz w:val="18"/>
              </w:rPr>
            </w:pPr>
            <w:r>
              <w:rPr>
                <w:rFonts w:ascii="TT Norms Pro Light"/>
                <w:b w:val="0"/>
                <w:spacing w:val="-2"/>
                <w:sz w:val="18"/>
              </w:rPr>
              <w:t>Chancellor's</w:t>
            </w:r>
          </w:p>
        </w:tc>
        <w:tc>
          <w:tcPr>
            <w:tcW w:w="1134" w:type="dxa"/>
            <w:tcBorders>
              <w:top w:val="single" w:sz="4" w:space="0" w:color="000000"/>
              <w:bottom w:val="single" w:sz="4" w:space="0" w:color="000000"/>
            </w:tcBorders>
            <w:shd w:val="clear" w:color="auto" w:fill="E6E7E8"/>
          </w:tcPr>
          <w:p>
            <w:pPr>
              <w:pStyle w:val="TableParagraph"/>
              <w:spacing w:line="295" w:lineRule="auto" w:before="124"/>
              <w:ind w:left="146"/>
              <w:rPr>
                <w:rFonts w:ascii="TT Norms Pro Light"/>
                <w:b w:val="0"/>
                <w:sz w:val="18"/>
              </w:rPr>
            </w:pPr>
            <w:r>
              <w:rPr>
                <w:rFonts w:ascii="TT Norms Pro Light"/>
                <w:b w:val="0"/>
                <w:spacing w:val="-2"/>
                <w:sz w:val="18"/>
              </w:rPr>
              <w:t>Honorary</w:t>
            </w:r>
            <w:r>
              <w:rPr>
                <w:rFonts w:ascii="TT Norms Pro Light"/>
                <w:b w:val="0"/>
                <w:spacing w:val="40"/>
                <w:sz w:val="18"/>
              </w:rPr>
              <w:t> </w:t>
            </w:r>
            <w:r>
              <w:rPr>
                <w:rFonts w:ascii="TT Norms Pro Light"/>
                <w:b w:val="0"/>
                <w:spacing w:val="-2"/>
                <w:sz w:val="18"/>
              </w:rPr>
              <w:t>Degrees</w:t>
            </w:r>
          </w:p>
        </w:tc>
        <w:tc>
          <w:tcPr>
            <w:tcW w:w="1134" w:type="dxa"/>
            <w:tcBorders>
              <w:top w:val="single" w:sz="4" w:space="0" w:color="000000"/>
              <w:bottom w:val="single" w:sz="4" w:space="0" w:color="000000"/>
            </w:tcBorders>
          </w:tcPr>
          <w:p>
            <w:pPr>
              <w:pStyle w:val="TableParagraph"/>
              <w:spacing w:line="295" w:lineRule="auto" w:before="124"/>
              <w:ind w:left="146"/>
              <w:rPr>
                <w:rFonts w:ascii="TT Norms Pro Light"/>
                <w:b w:val="0"/>
                <w:sz w:val="18"/>
              </w:rPr>
            </w:pPr>
            <w:r>
              <w:rPr>
                <w:rFonts w:ascii="TT Norms Pro Light"/>
                <w:b w:val="0"/>
                <w:spacing w:val="-2"/>
                <w:sz w:val="18"/>
              </w:rPr>
              <w:t>Strategic</w:t>
            </w:r>
            <w:r>
              <w:rPr>
                <w:rFonts w:ascii="TT Norms Pro Light"/>
                <w:b w:val="0"/>
                <w:spacing w:val="40"/>
                <w:sz w:val="18"/>
              </w:rPr>
              <w:t> </w:t>
            </w:r>
            <w:r>
              <w:rPr>
                <w:rFonts w:ascii="TT Norms Pro Light"/>
                <w:b w:val="0"/>
                <w:spacing w:val="-2"/>
                <w:sz w:val="18"/>
              </w:rPr>
              <w:t>Resources</w:t>
            </w:r>
          </w:p>
        </w:tc>
      </w:tr>
      <w:tr>
        <w:trPr>
          <w:trHeight w:val="437" w:hRule="atLeast"/>
        </w:trPr>
        <w:tc>
          <w:tcPr>
            <w:tcW w:w="2098" w:type="dxa"/>
            <w:tcBorders>
              <w:top w:val="single" w:sz="4" w:space="0" w:color="000000"/>
              <w:bottom w:val="single" w:sz="4" w:space="0" w:color="000000"/>
            </w:tcBorders>
          </w:tcPr>
          <w:p>
            <w:pPr>
              <w:pStyle w:val="TableParagraph"/>
              <w:rPr>
                <w:rFonts w:ascii="Times New Roman"/>
                <w:sz w:val="16"/>
              </w:rPr>
            </w:pPr>
          </w:p>
        </w:tc>
        <w:tc>
          <w:tcPr>
            <w:tcW w:w="1885" w:type="dxa"/>
            <w:tcBorders>
              <w:top w:val="single" w:sz="4" w:space="0" w:color="000000"/>
              <w:bottom w:val="single" w:sz="4" w:space="0" w:color="000000"/>
            </w:tcBorders>
            <w:shd w:val="clear" w:color="auto" w:fill="E6E7E8"/>
          </w:tcPr>
          <w:p>
            <w:pPr>
              <w:pStyle w:val="TableParagraph"/>
              <w:rPr>
                <w:rFonts w:ascii="Times New Roman"/>
                <w:sz w:val="16"/>
              </w:rPr>
            </w:pPr>
          </w:p>
        </w:tc>
        <w:tc>
          <w:tcPr>
            <w:tcW w:w="1035" w:type="dxa"/>
            <w:tcBorders>
              <w:top w:val="single" w:sz="4" w:space="0" w:color="000000"/>
              <w:bottom w:val="single" w:sz="4" w:space="0" w:color="000000"/>
            </w:tcBorders>
          </w:tcPr>
          <w:p>
            <w:pPr>
              <w:pStyle w:val="TableParagraph"/>
              <w:tabs>
                <w:tab w:pos="517" w:val="left" w:leader="none"/>
              </w:tabs>
              <w:spacing w:before="135"/>
              <w:ind w:right="1"/>
              <w:jc w:val="center"/>
              <w:rPr>
                <w:rFonts w:ascii="TT Norms Pro Light"/>
                <w:b w:val="0"/>
                <w:sz w:val="16"/>
              </w:rPr>
            </w:pPr>
            <w:r>
              <w:rPr>
                <w:rFonts w:ascii="TT Norms Pro Light"/>
                <w:b w:val="0"/>
                <w:spacing w:val="-10"/>
                <w:sz w:val="16"/>
              </w:rPr>
              <w:t>A</w:t>
            </w:r>
            <w:r>
              <w:rPr>
                <w:rFonts w:ascii="TT Norms Pro Light"/>
                <w:b w:val="0"/>
                <w:sz w:val="16"/>
              </w:rPr>
              <w:tab/>
            </w:r>
            <w:r>
              <w:rPr>
                <w:rFonts w:ascii="TT Norms Pro Light"/>
                <w:b w:val="0"/>
                <w:spacing w:val="-10"/>
                <w:sz w:val="16"/>
              </w:rPr>
              <w:t>B</w:t>
            </w:r>
          </w:p>
        </w:tc>
        <w:tc>
          <w:tcPr>
            <w:tcW w:w="1068" w:type="dxa"/>
            <w:tcBorders>
              <w:top w:val="single" w:sz="4" w:space="0" w:color="000000"/>
              <w:bottom w:val="single" w:sz="4" w:space="0" w:color="000000"/>
            </w:tcBorders>
            <w:shd w:val="clear" w:color="auto" w:fill="E6E7E8"/>
          </w:tcPr>
          <w:p>
            <w:pPr>
              <w:pStyle w:val="TableParagraph"/>
              <w:tabs>
                <w:tab w:pos="747" w:val="left" w:leader="none"/>
              </w:tabs>
              <w:spacing w:before="135"/>
              <w:ind w:left="212"/>
              <w:rPr>
                <w:rFonts w:ascii="TT Norms Pro Light"/>
                <w:b w:val="0"/>
                <w:sz w:val="16"/>
              </w:rPr>
            </w:pPr>
            <w:r>
              <w:rPr>
                <w:rFonts w:ascii="TT Norms Pro Light"/>
                <w:b w:val="0"/>
                <w:spacing w:val="-10"/>
                <w:sz w:val="16"/>
              </w:rPr>
              <w:t>A</w:t>
            </w:r>
            <w:r>
              <w:rPr>
                <w:rFonts w:ascii="TT Norms Pro Light"/>
                <w:b w:val="0"/>
                <w:sz w:val="16"/>
              </w:rPr>
              <w:tab/>
            </w:r>
            <w:r>
              <w:rPr>
                <w:rFonts w:ascii="TT Norms Pro Light"/>
                <w:b w:val="0"/>
                <w:spacing w:val="-10"/>
                <w:sz w:val="16"/>
              </w:rPr>
              <w:t>B</w:t>
            </w:r>
          </w:p>
        </w:tc>
        <w:tc>
          <w:tcPr>
            <w:tcW w:w="1436" w:type="dxa"/>
            <w:tcBorders>
              <w:top w:val="single" w:sz="4" w:space="0" w:color="000000"/>
              <w:bottom w:val="single" w:sz="4" w:space="0" w:color="000000"/>
            </w:tcBorders>
          </w:tcPr>
          <w:p>
            <w:pPr>
              <w:pStyle w:val="TableParagraph"/>
              <w:tabs>
                <w:tab w:pos="1023" w:val="left" w:leader="none"/>
              </w:tabs>
              <w:spacing w:before="135"/>
              <w:ind w:left="304"/>
              <w:rPr>
                <w:rFonts w:ascii="TT Norms Pro Light"/>
                <w:b w:val="0"/>
                <w:sz w:val="16"/>
              </w:rPr>
            </w:pPr>
            <w:r>
              <w:rPr>
                <w:rFonts w:ascii="TT Norms Pro Light"/>
                <w:b w:val="0"/>
                <w:spacing w:val="-10"/>
                <w:sz w:val="16"/>
              </w:rPr>
              <w:t>A</w:t>
            </w:r>
            <w:r>
              <w:rPr>
                <w:rFonts w:ascii="TT Norms Pro Light"/>
                <w:b w:val="0"/>
                <w:sz w:val="16"/>
              </w:rPr>
              <w:tab/>
            </w:r>
            <w:r>
              <w:rPr>
                <w:rFonts w:ascii="TT Norms Pro Light"/>
                <w:b w:val="0"/>
                <w:spacing w:val="-10"/>
                <w:sz w:val="16"/>
              </w:rPr>
              <w:t>B</w:t>
            </w:r>
          </w:p>
        </w:tc>
        <w:tc>
          <w:tcPr>
            <w:tcW w:w="1134" w:type="dxa"/>
            <w:tcBorders>
              <w:top w:val="single" w:sz="4" w:space="0" w:color="000000"/>
              <w:bottom w:val="single" w:sz="4" w:space="0" w:color="000000"/>
            </w:tcBorders>
            <w:shd w:val="clear" w:color="auto" w:fill="E6E7E8"/>
          </w:tcPr>
          <w:p>
            <w:pPr>
              <w:pStyle w:val="TableParagraph"/>
              <w:tabs>
                <w:tab w:pos="796" w:val="left" w:leader="none"/>
              </w:tabs>
              <w:spacing w:before="135"/>
              <w:ind w:left="229"/>
              <w:rPr>
                <w:rFonts w:ascii="TT Norms Pro Light"/>
                <w:b w:val="0"/>
                <w:sz w:val="16"/>
              </w:rPr>
            </w:pPr>
            <w:r>
              <w:rPr>
                <w:rFonts w:ascii="TT Norms Pro Light"/>
                <w:b w:val="0"/>
                <w:spacing w:val="-10"/>
                <w:sz w:val="16"/>
              </w:rPr>
              <w:t>A</w:t>
            </w:r>
            <w:r>
              <w:rPr>
                <w:rFonts w:ascii="TT Norms Pro Light"/>
                <w:b w:val="0"/>
                <w:sz w:val="16"/>
              </w:rPr>
              <w:tab/>
            </w:r>
            <w:r>
              <w:rPr>
                <w:rFonts w:ascii="TT Norms Pro Light"/>
                <w:b w:val="0"/>
                <w:spacing w:val="-10"/>
                <w:sz w:val="16"/>
              </w:rPr>
              <w:t>B</w:t>
            </w:r>
          </w:p>
        </w:tc>
        <w:tc>
          <w:tcPr>
            <w:tcW w:w="1134" w:type="dxa"/>
            <w:tcBorders>
              <w:top w:val="single" w:sz="4" w:space="0" w:color="000000"/>
              <w:bottom w:val="single" w:sz="4" w:space="0" w:color="000000"/>
            </w:tcBorders>
          </w:tcPr>
          <w:p>
            <w:pPr>
              <w:pStyle w:val="TableParagraph"/>
              <w:tabs>
                <w:tab w:pos="796" w:val="left" w:leader="none"/>
              </w:tabs>
              <w:spacing w:before="135"/>
              <w:ind w:left="228"/>
              <w:rPr>
                <w:rFonts w:ascii="TT Norms Pro Light"/>
                <w:b w:val="0"/>
                <w:sz w:val="16"/>
              </w:rPr>
            </w:pPr>
            <w:r>
              <w:rPr>
                <w:rFonts w:ascii="TT Norms Pro Light"/>
                <w:b w:val="0"/>
                <w:spacing w:val="-10"/>
                <w:sz w:val="16"/>
              </w:rPr>
              <w:t>A</w:t>
            </w:r>
            <w:r>
              <w:rPr>
                <w:rFonts w:ascii="TT Norms Pro Light"/>
                <w:b w:val="0"/>
                <w:sz w:val="16"/>
              </w:rPr>
              <w:tab/>
            </w:r>
            <w:r>
              <w:rPr>
                <w:rFonts w:ascii="TT Norms Pro Light"/>
                <w:b w:val="0"/>
                <w:spacing w:val="-10"/>
                <w:sz w:val="16"/>
              </w:rPr>
              <w:t>B</w:t>
            </w:r>
          </w:p>
        </w:tc>
      </w:tr>
      <w:tr>
        <w:trPr>
          <w:trHeight w:val="437" w:hRule="atLeast"/>
        </w:trPr>
        <w:tc>
          <w:tcPr>
            <w:tcW w:w="2098" w:type="dxa"/>
            <w:tcBorders>
              <w:top w:val="single" w:sz="4" w:space="0" w:color="000000"/>
              <w:bottom w:val="single" w:sz="4" w:space="0" w:color="000000"/>
            </w:tcBorders>
          </w:tcPr>
          <w:p>
            <w:pPr>
              <w:pStyle w:val="TableParagraph"/>
              <w:spacing w:before="124"/>
              <w:ind w:left="147"/>
              <w:rPr>
                <w:rFonts w:ascii="TT Norms Pro Light"/>
                <w:b w:val="0"/>
                <w:sz w:val="18"/>
              </w:rPr>
            </w:pPr>
            <w:r>
              <w:rPr>
                <w:rFonts w:ascii="TT Norms Pro Light"/>
                <w:b w:val="0"/>
                <w:sz w:val="18"/>
              </w:rPr>
              <w:t>Ms</w:t>
            </w:r>
            <w:r>
              <w:rPr>
                <w:rFonts w:ascii="TT Norms Pro Light"/>
                <w:b w:val="0"/>
                <w:spacing w:val="-2"/>
                <w:sz w:val="18"/>
              </w:rPr>
              <w:t> </w:t>
            </w:r>
            <w:r>
              <w:rPr>
                <w:rFonts w:ascii="TT Norms Pro Light"/>
                <w:b w:val="0"/>
                <w:sz w:val="18"/>
              </w:rPr>
              <w:t>J</w:t>
            </w:r>
            <w:r>
              <w:rPr>
                <w:rFonts w:ascii="TT Norms Pro Light"/>
                <w:b w:val="0"/>
                <w:spacing w:val="1"/>
                <w:sz w:val="18"/>
              </w:rPr>
              <w:t> </w:t>
            </w:r>
            <w:r>
              <w:rPr>
                <w:rFonts w:ascii="TT Norms Pro Light"/>
                <w:b w:val="0"/>
                <w:spacing w:val="-4"/>
                <w:sz w:val="18"/>
              </w:rPr>
              <w:t>Benn</w:t>
            </w:r>
          </w:p>
        </w:tc>
        <w:tc>
          <w:tcPr>
            <w:tcW w:w="1885" w:type="dxa"/>
            <w:tcBorders>
              <w:top w:val="single" w:sz="4" w:space="0" w:color="000000"/>
              <w:bottom w:val="single" w:sz="4" w:space="0" w:color="000000"/>
            </w:tcBorders>
            <w:shd w:val="clear" w:color="auto" w:fill="E6E7E8"/>
          </w:tcPr>
          <w:p>
            <w:pPr>
              <w:pStyle w:val="TableParagraph"/>
              <w:spacing w:before="124"/>
              <w:ind w:left="147"/>
              <w:rPr>
                <w:rFonts w:ascii="TT Norms Pro Light"/>
                <w:b w:val="0"/>
                <w:sz w:val="18"/>
              </w:rPr>
            </w:pPr>
            <w:r>
              <w:rPr>
                <w:rFonts w:ascii="TT Norms Pro Light"/>
                <w:b w:val="0"/>
                <w:sz w:val="18"/>
              </w:rPr>
              <w:t>From</w:t>
            </w:r>
            <w:r>
              <w:rPr>
                <w:rFonts w:ascii="TT Norms Pro Light"/>
                <w:b w:val="0"/>
                <w:spacing w:val="-6"/>
                <w:sz w:val="18"/>
              </w:rPr>
              <w:t> </w:t>
            </w:r>
            <w:r>
              <w:rPr>
                <w:rFonts w:ascii="TT Norms Pro Light"/>
                <w:b w:val="0"/>
                <w:sz w:val="18"/>
              </w:rPr>
              <w:t>4</w:t>
            </w:r>
            <w:r>
              <w:rPr>
                <w:rFonts w:ascii="TT Norms Pro Light"/>
                <w:b w:val="0"/>
                <w:spacing w:val="-3"/>
                <w:sz w:val="18"/>
              </w:rPr>
              <w:t> </w:t>
            </w:r>
            <w:r>
              <w:rPr>
                <w:rFonts w:ascii="TT Norms Pro Light"/>
                <w:b w:val="0"/>
                <w:spacing w:val="-2"/>
                <w:sz w:val="18"/>
              </w:rPr>
              <w:t>March</w:t>
            </w:r>
          </w:p>
        </w:tc>
        <w:tc>
          <w:tcPr>
            <w:tcW w:w="1035" w:type="dxa"/>
            <w:tcBorders>
              <w:top w:val="single" w:sz="4" w:space="0" w:color="000000"/>
              <w:bottom w:val="single" w:sz="4" w:space="0" w:color="000000"/>
            </w:tcBorders>
          </w:tcPr>
          <w:p>
            <w:pPr>
              <w:pStyle w:val="TableParagraph"/>
              <w:tabs>
                <w:tab w:pos="664" w:val="left" w:leader="none"/>
              </w:tabs>
              <w:spacing w:before="124"/>
              <w:ind w:left="147"/>
              <w:rPr>
                <w:rFonts w:ascii="TT Norms Pro Light"/>
                <w:b w:val="0"/>
                <w:sz w:val="18"/>
              </w:rPr>
            </w:pPr>
            <w:r>
              <w:rPr>
                <w:rFonts w:ascii="TT Norms Pro Light"/>
                <w:b w:val="0"/>
                <w:spacing w:val="-10"/>
                <w:sz w:val="18"/>
              </w:rPr>
              <w:t>7</w:t>
            </w:r>
            <w:r>
              <w:rPr>
                <w:rFonts w:ascii="TT Norms Pro Light"/>
                <w:b w:val="0"/>
                <w:sz w:val="18"/>
              </w:rPr>
              <w:tab/>
            </w:r>
            <w:r>
              <w:rPr>
                <w:rFonts w:ascii="TT Norms Pro Light"/>
                <w:b w:val="0"/>
                <w:spacing w:val="-10"/>
                <w:sz w:val="18"/>
              </w:rPr>
              <w:t>7</w:t>
            </w:r>
          </w:p>
        </w:tc>
        <w:tc>
          <w:tcPr>
            <w:tcW w:w="1068" w:type="dxa"/>
            <w:tcBorders>
              <w:top w:val="single" w:sz="4" w:space="0" w:color="000000"/>
              <w:bottom w:val="single" w:sz="4" w:space="0" w:color="000000"/>
            </w:tcBorders>
            <w:shd w:val="clear" w:color="auto" w:fill="E6E7E8"/>
          </w:tcPr>
          <w:p>
            <w:pPr>
              <w:pStyle w:val="TableParagraph"/>
              <w:rPr>
                <w:rFonts w:ascii="Times New Roman"/>
                <w:sz w:val="16"/>
              </w:rPr>
            </w:pPr>
          </w:p>
        </w:tc>
        <w:tc>
          <w:tcPr>
            <w:tcW w:w="1436" w:type="dxa"/>
            <w:tcBorders>
              <w:top w:val="single" w:sz="4" w:space="0" w:color="000000"/>
              <w:bottom w:val="single" w:sz="4" w:space="0" w:color="000000"/>
            </w:tcBorders>
          </w:tcPr>
          <w:p>
            <w:pPr>
              <w:pStyle w:val="TableParagraph"/>
              <w:rPr>
                <w:rFonts w:ascii="Times New Roman"/>
                <w:sz w:val="16"/>
              </w:rPr>
            </w:pPr>
          </w:p>
        </w:tc>
        <w:tc>
          <w:tcPr>
            <w:tcW w:w="1134" w:type="dxa"/>
            <w:tcBorders>
              <w:top w:val="single" w:sz="4" w:space="0" w:color="000000"/>
              <w:bottom w:val="single" w:sz="4" w:space="0" w:color="000000"/>
            </w:tcBorders>
            <w:shd w:val="clear" w:color="auto" w:fill="E6E7E8"/>
          </w:tcPr>
          <w:p>
            <w:pPr>
              <w:pStyle w:val="TableParagraph"/>
              <w:rPr>
                <w:rFonts w:ascii="Times New Roman"/>
                <w:sz w:val="16"/>
              </w:rPr>
            </w:pPr>
          </w:p>
        </w:tc>
        <w:tc>
          <w:tcPr>
            <w:tcW w:w="1134" w:type="dxa"/>
            <w:tcBorders>
              <w:top w:val="single" w:sz="4" w:space="0" w:color="000000"/>
              <w:bottom w:val="single" w:sz="4" w:space="0" w:color="000000"/>
            </w:tcBorders>
          </w:tcPr>
          <w:p>
            <w:pPr>
              <w:pStyle w:val="TableParagraph"/>
              <w:rPr>
                <w:rFonts w:ascii="Times New Roman"/>
                <w:sz w:val="16"/>
              </w:rPr>
            </w:pPr>
          </w:p>
        </w:tc>
      </w:tr>
      <w:tr>
        <w:trPr>
          <w:trHeight w:val="437" w:hRule="atLeast"/>
        </w:trPr>
        <w:tc>
          <w:tcPr>
            <w:tcW w:w="2098" w:type="dxa"/>
            <w:tcBorders>
              <w:top w:val="single" w:sz="4" w:space="0" w:color="000000"/>
              <w:bottom w:val="single" w:sz="4" w:space="0" w:color="000000"/>
            </w:tcBorders>
          </w:tcPr>
          <w:p>
            <w:pPr>
              <w:pStyle w:val="TableParagraph"/>
              <w:spacing w:before="124"/>
              <w:ind w:left="147"/>
              <w:rPr>
                <w:rFonts w:ascii="TT Norms Pro Light"/>
                <w:b w:val="0"/>
                <w:sz w:val="18"/>
              </w:rPr>
            </w:pPr>
            <w:r>
              <w:rPr>
                <w:rFonts w:ascii="TT Norms Pro Light"/>
                <w:b w:val="0"/>
                <w:sz w:val="18"/>
              </w:rPr>
              <w:t>Mr M</w:t>
            </w:r>
            <w:r>
              <w:rPr>
                <w:rFonts w:ascii="TT Norms Pro Light"/>
                <w:b w:val="0"/>
                <w:spacing w:val="1"/>
                <w:sz w:val="18"/>
              </w:rPr>
              <w:t> </w:t>
            </w:r>
            <w:r>
              <w:rPr>
                <w:rFonts w:ascii="TT Norms Pro Light"/>
                <w:b w:val="0"/>
                <w:spacing w:val="-2"/>
                <w:sz w:val="18"/>
              </w:rPr>
              <w:t>Byrne</w:t>
            </w:r>
          </w:p>
        </w:tc>
        <w:tc>
          <w:tcPr>
            <w:tcW w:w="1885" w:type="dxa"/>
            <w:tcBorders>
              <w:top w:val="single" w:sz="4" w:space="0" w:color="000000"/>
              <w:bottom w:val="single" w:sz="4" w:space="0" w:color="000000"/>
            </w:tcBorders>
            <w:shd w:val="clear" w:color="auto" w:fill="E6E7E8"/>
          </w:tcPr>
          <w:p>
            <w:pPr>
              <w:pStyle w:val="TableParagraph"/>
              <w:spacing w:before="124"/>
              <w:ind w:left="147"/>
              <w:rPr>
                <w:rFonts w:ascii="TT Norms Pro Light"/>
                <w:b w:val="0"/>
                <w:sz w:val="18"/>
              </w:rPr>
            </w:pPr>
            <w:r>
              <w:rPr>
                <w:rFonts w:ascii="TT Norms Pro Light"/>
                <w:b w:val="0"/>
                <w:sz w:val="18"/>
              </w:rPr>
              <w:t>Whole</w:t>
            </w:r>
            <w:r>
              <w:rPr>
                <w:rFonts w:ascii="TT Norms Pro Light"/>
                <w:b w:val="0"/>
                <w:spacing w:val="3"/>
                <w:sz w:val="18"/>
              </w:rPr>
              <w:t> </w:t>
            </w:r>
            <w:r>
              <w:rPr>
                <w:rFonts w:ascii="TT Norms Pro Light"/>
                <w:b w:val="0"/>
                <w:spacing w:val="-4"/>
                <w:sz w:val="18"/>
              </w:rPr>
              <w:t>year</w:t>
            </w:r>
          </w:p>
        </w:tc>
        <w:tc>
          <w:tcPr>
            <w:tcW w:w="1035" w:type="dxa"/>
            <w:tcBorders>
              <w:top w:val="single" w:sz="4" w:space="0" w:color="000000"/>
              <w:bottom w:val="single" w:sz="4" w:space="0" w:color="000000"/>
            </w:tcBorders>
          </w:tcPr>
          <w:p>
            <w:pPr>
              <w:pStyle w:val="TableParagraph"/>
              <w:tabs>
                <w:tab w:pos="664" w:val="left" w:leader="none"/>
              </w:tabs>
              <w:spacing w:before="124"/>
              <w:ind w:left="147"/>
              <w:rPr>
                <w:rFonts w:ascii="TT Norms Pro Light"/>
                <w:b w:val="0"/>
                <w:sz w:val="18"/>
              </w:rPr>
            </w:pPr>
            <w:r>
              <w:rPr>
                <w:rFonts w:ascii="TT Norms Pro Light"/>
                <w:b w:val="0"/>
                <w:spacing w:val="-10"/>
                <w:sz w:val="18"/>
              </w:rPr>
              <w:t>7</w:t>
            </w:r>
            <w:r>
              <w:rPr>
                <w:rFonts w:ascii="TT Norms Pro Light"/>
                <w:b w:val="0"/>
                <w:sz w:val="18"/>
              </w:rPr>
              <w:tab/>
            </w:r>
            <w:r>
              <w:rPr>
                <w:rFonts w:ascii="TT Norms Pro Light"/>
                <w:b w:val="0"/>
                <w:spacing w:val="-10"/>
                <w:sz w:val="18"/>
              </w:rPr>
              <w:t>5</w:t>
            </w:r>
          </w:p>
        </w:tc>
        <w:tc>
          <w:tcPr>
            <w:tcW w:w="1068" w:type="dxa"/>
            <w:tcBorders>
              <w:top w:val="single" w:sz="4" w:space="0" w:color="000000"/>
              <w:bottom w:val="single" w:sz="4" w:space="0" w:color="000000"/>
            </w:tcBorders>
            <w:shd w:val="clear" w:color="auto" w:fill="E6E7E8"/>
          </w:tcPr>
          <w:p>
            <w:pPr>
              <w:pStyle w:val="TableParagraph"/>
              <w:tabs>
                <w:tab w:pos="680" w:val="left" w:leader="none"/>
              </w:tabs>
              <w:spacing w:before="124"/>
              <w:ind w:left="147"/>
              <w:rPr>
                <w:rFonts w:ascii="TT Norms Pro Light"/>
                <w:b w:val="0"/>
                <w:sz w:val="18"/>
              </w:rPr>
            </w:pPr>
            <w:r>
              <w:rPr>
                <w:rFonts w:ascii="TT Norms Pro Light"/>
                <w:b w:val="0"/>
                <w:spacing w:val="-10"/>
                <w:sz w:val="18"/>
              </w:rPr>
              <w:t>4</w:t>
            </w:r>
            <w:r>
              <w:rPr>
                <w:rFonts w:ascii="TT Norms Pro Light"/>
                <w:b w:val="0"/>
                <w:sz w:val="18"/>
              </w:rPr>
              <w:tab/>
            </w:r>
            <w:r>
              <w:rPr>
                <w:rFonts w:ascii="TT Norms Pro Light"/>
                <w:b w:val="0"/>
                <w:spacing w:val="-12"/>
                <w:sz w:val="18"/>
              </w:rPr>
              <w:t>4</w:t>
            </w:r>
          </w:p>
        </w:tc>
        <w:tc>
          <w:tcPr>
            <w:tcW w:w="1436" w:type="dxa"/>
            <w:tcBorders>
              <w:top w:val="single" w:sz="4" w:space="0" w:color="000000"/>
              <w:bottom w:val="single" w:sz="4" w:space="0" w:color="000000"/>
            </w:tcBorders>
          </w:tcPr>
          <w:p>
            <w:pPr>
              <w:pStyle w:val="TableParagraph"/>
              <w:rPr>
                <w:rFonts w:ascii="Times New Roman"/>
                <w:sz w:val="16"/>
              </w:rPr>
            </w:pPr>
          </w:p>
        </w:tc>
        <w:tc>
          <w:tcPr>
            <w:tcW w:w="1134" w:type="dxa"/>
            <w:tcBorders>
              <w:top w:val="single" w:sz="4" w:space="0" w:color="000000"/>
              <w:bottom w:val="single" w:sz="4" w:space="0" w:color="000000"/>
            </w:tcBorders>
            <w:shd w:val="clear" w:color="auto" w:fill="E6E7E8"/>
          </w:tcPr>
          <w:p>
            <w:pPr>
              <w:pStyle w:val="TableParagraph"/>
              <w:rPr>
                <w:rFonts w:ascii="Times New Roman"/>
                <w:sz w:val="16"/>
              </w:rPr>
            </w:pPr>
          </w:p>
        </w:tc>
        <w:tc>
          <w:tcPr>
            <w:tcW w:w="1134" w:type="dxa"/>
            <w:tcBorders>
              <w:top w:val="single" w:sz="4" w:space="0" w:color="000000"/>
              <w:bottom w:val="single" w:sz="4" w:space="0" w:color="000000"/>
            </w:tcBorders>
          </w:tcPr>
          <w:p>
            <w:pPr>
              <w:pStyle w:val="TableParagraph"/>
              <w:rPr>
                <w:rFonts w:ascii="Times New Roman"/>
                <w:sz w:val="16"/>
              </w:rPr>
            </w:pPr>
          </w:p>
        </w:tc>
      </w:tr>
      <w:tr>
        <w:trPr>
          <w:trHeight w:val="697" w:hRule="atLeast"/>
        </w:trPr>
        <w:tc>
          <w:tcPr>
            <w:tcW w:w="2098" w:type="dxa"/>
            <w:tcBorders>
              <w:top w:val="single" w:sz="4" w:space="0" w:color="000000"/>
              <w:bottom w:val="single" w:sz="4" w:space="0" w:color="000000"/>
            </w:tcBorders>
          </w:tcPr>
          <w:p>
            <w:pPr>
              <w:pStyle w:val="TableParagraph"/>
              <w:spacing w:line="295" w:lineRule="auto" w:before="124"/>
              <w:ind w:left="148"/>
              <w:rPr>
                <w:rFonts w:ascii="TT Norms Pro Light"/>
                <w:b w:val="0"/>
                <w:sz w:val="18"/>
              </w:rPr>
            </w:pPr>
            <w:r>
              <w:rPr>
                <w:rFonts w:ascii="TT Norms Pro Light"/>
                <w:b w:val="0"/>
                <w:spacing w:val="-2"/>
                <w:sz w:val="18"/>
              </w:rPr>
              <w:t>Vice-Chancellor,</w:t>
            </w:r>
            <w:r>
              <w:rPr>
                <w:rFonts w:ascii="TT Norms Pro Light"/>
                <w:b w:val="0"/>
                <w:spacing w:val="40"/>
                <w:sz w:val="18"/>
              </w:rPr>
              <w:t> </w:t>
            </w:r>
            <w:r>
              <w:rPr>
                <w:rFonts w:ascii="TT Norms Pro Light"/>
                <w:b w:val="0"/>
                <w:sz w:val="18"/>
              </w:rPr>
              <w:t>Professor</w:t>
            </w:r>
            <w:r>
              <w:rPr>
                <w:rFonts w:ascii="TT Norms Pro Light"/>
                <w:b w:val="0"/>
                <w:spacing w:val="-9"/>
                <w:sz w:val="18"/>
              </w:rPr>
              <w:t> </w:t>
            </w:r>
            <w:r>
              <w:rPr>
                <w:rFonts w:ascii="TT Norms Pro Light"/>
                <w:b w:val="0"/>
                <w:sz w:val="18"/>
              </w:rPr>
              <w:t>A</w:t>
            </w:r>
            <w:r>
              <w:rPr>
                <w:rFonts w:ascii="TT Norms Pro Light"/>
                <w:b w:val="0"/>
                <w:spacing w:val="-9"/>
                <w:sz w:val="18"/>
              </w:rPr>
              <w:t> </w:t>
            </w:r>
            <w:r>
              <w:rPr>
                <w:rFonts w:ascii="TT Norms Pro Light"/>
                <w:b w:val="0"/>
                <w:sz w:val="18"/>
              </w:rPr>
              <w:t>Chakma</w:t>
            </w:r>
          </w:p>
        </w:tc>
        <w:tc>
          <w:tcPr>
            <w:tcW w:w="1885" w:type="dxa"/>
            <w:tcBorders>
              <w:top w:val="single" w:sz="4" w:space="0" w:color="000000"/>
              <w:bottom w:val="single" w:sz="4" w:space="0" w:color="000000"/>
            </w:tcBorders>
            <w:shd w:val="clear" w:color="auto" w:fill="E6E7E8"/>
          </w:tcPr>
          <w:p>
            <w:pPr>
              <w:pStyle w:val="TableParagraph"/>
              <w:spacing w:before="124"/>
              <w:ind w:left="147"/>
              <w:rPr>
                <w:rFonts w:ascii="TT Norms Pro Light"/>
                <w:b w:val="0"/>
                <w:sz w:val="18"/>
              </w:rPr>
            </w:pPr>
            <w:r>
              <w:rPr>
                <w:rFonts w:ascii="TT Norms Pro Light"/>
                <w:b w:val="0"/>
                <w:sz w:val="18"/>
              </w:rPr>
              <w:t>From</w:t>
            </w:r>
            <w:r>
              <w:rPr>
                <w:rFonts w:ascii="TT Norms Pro Light"/>
                <w:b w:val="0"/>
                <w:spacing w:val="-3"/>
                <w:sz w:val="18"/>
              </w:rPr>
              <w:t> </w:t>
            </w:r>
            <w:r>
              <w:rPr>
                <w:rFonts w:ascii="TT Norms Pro Light"/>
                <w:b w:val="0"/>
                <w:sz w:val="18"/>
              </w:rPr>
              <w:t>6</w:t>
            </w:r>
            <w:r>
              <w:rPr>
                <w:rFonts w:ascii="TT Norms Pro Light"/>
                <w:b w:val="0"/>
                <w:spacing w:val="-3"/>
                <w:sz w:val="18"/>
              </w:rPr>
              <w:t> </w:t>
            </w:r>
            <w:r>
              <w:rPr>
                <w:rFonts w:ascii="TT Norms Pro Light"/>
                <w:b w:val="0"/>
                <w:spacing w:val="-4"/>
                <w:sz w:val="18"/>
              </w:rPr>
              <w:t>July</w:t>
            </w:r>
          </w:p>
        </w:tc>
        <w:tc>
          <w:tcPr>
            <w:tcW w:w="1035" w:type="dxa"/>
            <w:tcBorders>
              <w:top w:val="single" w:sz="4" w:space="0" w:color="000000"/>
              <w:bottom w:val="single" w:sz="4" w:space="0" w:color="000000"/>
            </w:tcBorders>
          </w:tcPr>
          <w:p>
            <w:pPr>
              <w:pStyle w:val="TableParagraph"/>
              <w:tabs>
                <w:tab w:pos="664" w:val="left" w:leader="none"/>
              </w:tabs>
              <w:spacing w:before="126"/>
              <w:ind w:left="147"/>
              <w:rPr>
                <w:rFonts w:ascii="TT Norms Pro Light"/>
                <w:b w:val="0"/>
                <w:sz w:val="16"/>
              </w:rPr>
            </w:pPr>
            <w:r>
              <w:rPr>
                <w:rFonts w:ascii="TT Norms Pro Light"/>
                <w:b w:val="0"/>
                <w:spacing w:val="-10"/>
                <w:sz w:val="16"/>
              </w:rPr>
              <w:t>4</w:t>
            </w:r>
            <w:r>
              <w:rPr>
                <w:rFonts w:ascii="TT Norms Pro Light"/>
                <w:b w:val="0"/>
                <w:sz w:val="16"/>
              </w:rPr>
              <w:tab/>
            </w:r>
            <w:r>
              <w:rPr>
                <w:rFonts w:ascii="TT Norms Pro Light"/>
                <w:b w:val="0"/>
                <w:spacing w:val="-12"/>
                <w:sz w:val="16"/>
              </w:rPr>
              <w:t>4</w:t>
            </w:r>
          </w:p>
        </w:tc>
        <w:tc>
          <w:tcPr>
            <w:tcW w:w="1068" w:type="dxa"/>
            <w:tcBorders>
              <w:top w:val="single" w:sz="4" w:space="0" w:color="000000"/>
              <w:bottom w:val="single" w:sz="4" w:space="0" w:color="000000"/>
            </w:tcBorders>
            <w:shd w:val="clear" w:color="auto" w:fill="E6E7E8"/>
          </w:tcPr>
          <w:p>
            <w:pPr>
              <w:pStyle w:val="TableParagraph"/>
              <w:tabs>
                <w:tab w:pos="680" w:val="left" w:leader="none"/>
              </w:tabs>
              <w:spacing w:before="126"/>
              <w:ind w:left="146"/>
              <w:rPr>
                <w:rFonts w:ascii="TT Norms Pro Light"/>
                <w:b w:val="0"/>
                <w:sz w:val="16"/>
              </w:rPr>
            </w:pPr>
            <w:r>
              <w:rPr>
                <w:rFonts w:ascii="TT Norms Pro Light"/>
                <w:b w:val="0"/>
                <w:spacing w:val="-10"/>
                <w:sz w:val="16"/>
              </w:rPr>
              <w:t>3</w:t>
            </w:r>
            <w:r>
              <w:rPr>
                <w:rFonts w:ascii="TT Norms Pro Light"/>
                <w:b w:val="0"/>
                <w:sz w:val="16"/>
              </w:rPr>
              <w:tab/>
            </w:r>
            <w:r>
              <w:rPr>
                <w:rFonts w:ascii="TT Norms Pro Light"/>
                <w:b w:val="0"/>
                <w:spacing w:val="-10"/>
                <w:sz w:val="16"/>
              </w:rPr>
              <w:t>3</w:t>
            </w:r>
          </w:p>
        </w:tc>
        <w:tc>
          <w:tcPr>
            <w:tcW w:w="1436" w:type="dxa"/>
            <w:tcBorders>
              <w:top w:val="single" w:sz="4" w:space="0" w:color="000000"/>
              <w:bottom w:val="single" w:sz="4" w:space="0" w:color="000000"/>
            </w:tcBorders>
          </w:tcPr>
          <w:p>
            <w:pPr>
              <w:pStyle w:val="TableParagraph"/>
              <w:tabs>
                <w:tab w:pos="864" w:val="left" w:leader="none"/>
              </w:tabs>
              <w:spacing w:before="126"/>
              <w:ind w:left="146"/>
              <w:rPr>
                <w:rFonts w:ascii="TT Norms Pro Light"/>
                <w:b w:val="0"/>
                <w:sz w:val="16"/>
              </w:rPr>
            </w:pPr>
            <w:r>
              <w:rPr>
                <w:rFonts w:ascii="TT Norms Pro Light"/>
                <w:b w:val="0"/>
                <w:spacing w:val="-10"/>
                <w:sz w:val="16"/>
              </w:rPr>
              <w:t>5</w:t>
            </w:r>
            <w:r>
              <w:rPr>
                <w:rFonts w:ascii="TT Norms Pro Light"/>
                <w:b w:val="0"/>
                <w:sz w:val="16"/>
              </w:rPr>
              <w:tab/>
            </w:r>
            <w:r>
              <w:rPr>
                <w:rFonts w:ascii="TT Norms Pro Light"/>
                <w:b w:val="0"/>
                <w:spacing w:val="-10"/>
                <w:sz w:val="16"/>
              </w:rPr>
              <w:t>5</w:t>
            </w:r>
          </w:p>
        </w:tc>
        <w:tc>
          <w:tcPr>
            <w:tcW w:w="1134" w:type="dxa"/>
            <w:tcBorders>
              <w:top w:val="single" w:sz="4" w:space="0" w:color="000000"/>
              <w:bottom w:val="single" w:sz="4" w:space="0" w:color="000000"/>
            </w:tcBorders>
            <w:shd w:val="clear" w:color="auto" w:fill="E6E7E8"/>
          </w:tcPr>
          <w:p>
            <w:pPr>
              <w:pStyle w:val="TableParagraph"/>
              <w:tabs>
                <w:tab w:pos="713" w:val="left" w:leader="none"/>
              </w:tabs>
              <w:spacing w:before="126"/>
              <w:ind w:left="146"/>
              <w:rPr>
                <w:rFonts w:ascii="TT Norms Pro Light"/>
                <w:b w:val="0"/>
                <w:sz w:val="16"/>
              </w:rPr>
            </w:pPr>
            <w:r>
              <w:rPr>
                <w:rFonts w:ascii="TT Norms Pro Light"/>
                <w:b w:val="0"/>
                <w:spacing w:val="-10"/>
                <w:sz w:val="16"/>
              </w:rPr>
              <w:t>1</w:t>
            </w:r>
            <w:r>
              <w:rPr>
                <w:rFonts w:ascii="TT Norms Pro Light"/>
                <w:b w:val="0"/>
                <w:sz w:val="16"/>
              </w:rPr>
              <w:tab/>
            </w:r>
            <w:r>
              <w:rPr>
                <w:rFonts w:ascii="TT Norms Pro Light"/>
                <w:b w:val="0"/>
                <w:spacing w:val="-10"/>
                <w:sz w:val="16"/>
              </w:rPr>
              <w:t>1</w:t>
            </w:r>
          </w:p>
        </w:tc>
        <w:tc>
          <w:tcPr>
            <w:tcW w:w="1134" w:type="dxa"/>
            <w:tcBorders>
              <w:top w:val="single" w:sz="4" w:space="0" w:color="000000"/>
              <w:bottom w:val="single" w:sz="4" w:space="0" w:color="000000"/>
            </w:tcBorders>
          </w:tcPr>
          <w:p>
            <w:pPr>
              <w:pStyle w:val="TableParagraph"/>
              <w:tabs>
                <w:tab w:pos="713" w:val="left" w:leader="none"/>
              </w:tabs>
              <w:spacing w:before="126"/>
              <w:ind w:left="146"/>
              <w:rPr>
                <w:rFonts w:ascii="TT Norms Pro Light"/>
                <w:b w:val="0"/>
                <w:sz w:val="16"/>
              </w:rPr>
            </w:pPr>
            <w:r>
              <w:rPr>
                <w:rFonts w:ascii="TT Norms Pro Light"/>
                <w:b w:val="0"/>
                <w:spacing w:val="-10"/>
                <w:sz w:val="16"/>
              </w:rPr>
              <w:t>3</w:t>
            </w:r>
            <w:r>
              <w:rPr>
                <w:rFonts w:ascii="TT Norms Pro Light"/>
                <w:b w:val="0"/>
                <w:sz w:val="16"/>
              </w:rPr>
              <w:tab/>
            </w:r>
            <w:r>
              <w:rPr>
                <w:rFonts w:ascii="TT Norms Pro Light"/>
                <w:b w:val="0"/>
                <w:spacing w:val="-10"/>
                <w:sz w:val="16"/>
              </w:rPr>
              <w:t>3</w:t>
            </w:r>
          </w:p>
        </w:tc>
      </w:tr>
      <w:tr>
        <w:trPr>
          <w:trHeight w:val="437" w:hRule="atLeast"/>
        </w:trPr>
        <w:tc>
          <w:tcPr>
            <w:tcW w:w="2098" w:type="dxa"/>
            <w:tcBorders>
              <w:top w:val="single" w:sz="4" w:space="0" w:color="000000"/>
              <w:bottom w:val="single" w:sz="4" w:space="0" w:color="000000"/>
            </w:tcBorders>
          </w:tcPr>
          <w:p>
            <w:pPr>
              <w:pStyle w:val="TableParagraph"/>
              <w:spacing w:before="124"/>
              <w:ind w:left="147"/>
              <w:rPr>
                <w:rFonts w:ascii="TT Norms Pro Light"/>
                <w:b w:val="0"/>
                <w:sz w:val="18"/>
              </w:rPr>
            </w:pPr>
            <w:r>
              <w:rPr>
                <w:rFonts w:ascii="TT Norms Pro Light"/>
                <w:b w:val="0"/>
                <w:sz w:val="18"/>
              </w:rPr>
              <w:t>Mr J</w:t>
            </w:r>
            <w:r>
              <w:rPr>
                <w:rFonts w:ascii="TT Norms Pro Light"/>
                <w:b w:val="0"/>
                <w:spacing w:val="1"/>
                <w:sz w:val="18"/>
              </w:rPr>
              <w:t> </w:t>
            </w:r>
            <w:r>
              <w:rPr>
                <w:rFonts w:ascii="TT Norms Pro Light"/>
                <w:b w:val="0"/>
                <w:spacing w:val="-4"/>
                <w:sz w:val="18"/>
              </w:rPr>
              <w:t>Chan</w:t>
            </w:r>
          </w:p>
        </w:tc>
        <w:tc>
          <w:tcPr>
            <w:tcW w:w="1885" w:type="dxa"/>
            <w:tcBorders>
              <w:top w:val="single" w:sz="4" w:space="0" w:color="000000"/>
              <w:bottom w:val="single" w:sz="4" w:space="0" w:color="000000"/>
            </w:tcBorders>
            <w:shd w:val="clear" w:color="auto" w:fill="E6E7E8"/>
          </w:tcPr>
          <w:p>
            <w:pPr>
              <w:pStyle w:val="TableParagraph"/>
              <w:spacing w:before="124"/>
              <w:ind w:left="147"/>
              <w:rPr>
                <w:rFonts w:ascii="TT Norms Pro Light"/>
                <w:b w:val="0"/>
                <w:sz w:val="18"/>
              </w:rPr>
            </w:pPr>
            <w:r>
              <w:rPr>
                <w:rFonts w:ascii="TT Norms Pro Light"/>
                <w:b w:val="0"/>
                <w:sz w:val="18"/>
              </w:rPr>
              <w:t>From</w:t>
            </w:r>
            <w:r>
              <w:rPr>
                <w:rFonts w:ascii="TT Norms Pro Light"/>
                <w:b w:val="0"/>
                <w:spacing w:val="-6"/>
                <w:sz w:val="18"/>
              </w:rPr>
              <w:t> </w:t>
            </w:r>
            <w:r>
              <w:rPr>
                <w:rFonts w:ascii="TT Norms Pro Light"/>
                <w:b w:val="0"/>
                <w:sz w:val="18"/>
              </w:rPr>
              <w:t>1</w:t>
            </w:r>
            <w:r>
              <w:rPr>
                <w:rFonts w:ascii="TT Norms Pro Light"/>
                <w:b w:val="0"/>
                <w:spacing w:val="-3"/>
                <w:sz w:val="18"/>
              </w:rPr>
              <w:t> </w:t>
            </w:r>
            <w:r>
              <w:rPr>
                <w:rFonts w:ascii="TT Norms Pro Light"/>
                <w:b w:val="0"/>
                <w:spacing w:val="-2"/>
                <w:sz w:val="18"/>
              </w:rPr>
              <w:t>December</w:t>
            </w:r>
          </w:p>
        </w:tc>
        <w:tc>
          <w:tcPr>
            <w:tcW w:w="1035" w:type="dxa"/>
            <w:tcBorders>
              <w:top w:val="single" w:sz="4" w:space="0" w:color="000000"/>
              <w:bottom w:val="single" w:sz="4" w:space="0" w:color="000000"/>
            </w:tcBorders>
          </w:tcPr>
          <w:p>
            <w:pPr>
              <w:pStyle w:val="TableParagraph"/>
              <w:tabs>
                <w:tab w:pos="664" w:val="left" w:leader="none"/>
              </w:tabs>
              <w:spacing w:before="126"/>
              <w:ind w:left="147"/>
              <w:rPr>
                <w:rFonts w:ascii="TT Norms Pro Light"/>
                <w:b w:val="0"/>
                <w:sz w:val="16"/>
              </w:rPr>
            </w:pPr>
            <w:r>
              <w:rPr>
                <w:rFonts w:ascii="TT Norms Pro Light"/>
                <w:b w:val="0"/>
                <w:spacing w:val="-10"/>
                <w:sz w:val="16"/>
              </w:rPr>
              <w:t>1</w:t>
            </w:r>
            <w:r>
              <w:rPr>
                <w:rFonts w:ascii="TT Norms Pro Light"/>
                <w:b w:val="0"/>
                <w:sz w:val="16"/>
              </w:rPr>
              <w:tab/>
            </w:r>
            <w:r>
              <w:rPr>
                <w:rFonts w:ascii="TT Norms Pro Light"/>
                <w:b w:val="0"/>
                <w:spacing w:val="-10"/>
                <w:sz w:val="16"/>
              </w:rPr>
              <w:t>1</w:t>
            </w:r>
          </w:p>
        </w:tc>
        <w:tc>
          <w:tcPr>
            <w:tcW w:w="1068" w:type="dxa"/>
            <w:tcBorders>
              <w:top w:val="single" w:sz="4" w:space="0" w:color="000000"/>
              <w:bottom w:val="single" w:sz="4" w:space="0" w:color="000000"/>
            </w:tcBorders>
            <w:shd w:val="clear" w:color="auto" w:fill="E6E7E8"/>
          </w:tcPr>
          <w:p>
            <w:pPr>
              <w:pStyle w:val="TableParagraph"/>
              <w:rPr>
                <w:rFonts w:ascii="Times New Roman"/>
                <w:sz w:val="16"/>
              </w:rPr>
            </w:pPr>
          </w:p>
        </w:tc>
        <w:tc>
          <w:tcPr>
            <w:tcW w:w="1436" w:type="dxa"/>
            <w:tcBorders>
              <w:top w:val="single" w:sz="4" w:space="0" w:color="000000"/>
              <w:bottom w:val="single" w:sz="4" w:space="0" w:color="000000"/>
            </w:tcBorders>
          </w:tcPr>
          <w:p>
            <w:pPr>
              <w:pStyle w:val="TableParagraph"/>
              <w:rPr>
                <w:rFonts w:ascii="Times New Roman"/>
                <w:sz w:val="16"/>
              </w:rPr>
            </w:pPr>
          </w:p>
        </w:tc>
        <w:tc>
          <w:tcPr>
            <w:tcW w:w="1134" w:type="dxa"/>
            <w:tcBorders>
              <w:top w:val="single" w:sz="4" w:space="0" w:color="000000"/>
              <w:bottom w:val="single" w:sz="4" w:space="0" w:color="000000"/>
            </w:tcBorders>
            <w:shd w:val="clear" w:color="auto" w:fill="E6E7E8"/>
          </w:tcPr>
          <w:p>
            <w:pPr>
              <w:pStyle w:val="TableParagraph"/>
              <w:rPr>
                <w:rFonts w:ascii="Times New Roman"/>
                <w:sz w:val="16"/>
              </w:rPr>
            </w:pPr>
          </w:p>
        </w:tc>
        <w:tc>
          <w:tcPr>
            <w:tcW w:w="1134" w:type="dxa"/>
            <w:tcBorders>
              <w:top w:val="single" w:sz="4" w:space="0" w:color="000000"/>
              <w:bottom w:val="single" w:sz="4" w:space="0" w:color="000000"/>
            </w:tcBorders>
          </w:tcPr>
          <w:p>
            <w:pPr>
              <w:pStyle w:val="TableParagraph"/>
              <w:rPr>
                <w:rFonts w:ascii="Times New Roman"/>
                <w:sz w:val="16"/>
              </w:rPr>
            </w:pPr>
          </w:p>
        </w:tc>
      </w:tr>
      <w:tr>
        <w:trPr>
          <w:trHeight w:val="697" w:hRule="atLeast"/>
        </w:trPr>
        <w:tc>
          <w:tcPr>
            <w:tcW w:w="2098" w:type="dxa"/>
            <w:tcBorders>
              <w:top w:val="single" w:sz="4" w:space="0" w:color="000000"/>
              <w:bottom w:val="single" w:sz="4" w:space="0" w:color="000000"/>
            </w:tcBorders>
          </w:tcPr>
          <w:p>
            <w:pPr>
              <w:pStyle w:val="TableParagraph"/>
              <w:spacing w:line="295" w:lineRule="auto" w:before="124"/>
              <w:ind w:left="147" w:right="520"/>
              <w:rPr>
                <w:rFonts w:ascii="TT Norms Pro Light"/>
                <w:b w:val="0"/>
                <w:sz w:val="18"/>
              </w:rPr>
            </w:pPr>
            <w:r>
              <w:rPr>
                <w:rFonts w:ascii="TT Norms Pro Light"/>
                <w:b w:val="0"/>
                <w:spacing w:val="-2"/>
                <w:sz w:val="18"/>
              </w:rPr>
              <w:t>Pro-Chancellor,</w:t>
            </w:r>
            <w:r>
              <w:rPr>
                <w:rFonts w:ascii="TT Norms Pro Light"/>
                <w:b w:val="0"/>
                <w:spacing w:val="40"/>
                <w:sz w:val="18"/>
              </w:rPr>
              <w:t> </w:t>
            </w:r>
            <w:r>
              <w:rPr>
                <w:rFonts w:ascii="TT Norms Pro Light"/>
                <w:b w:val="0"/>
                <w:sz w:val="18"/>
              </w:rPr>
              <w:t>Mr</w:t>
            </w:r>
            <w:r>
              <w:rPr>
                <w:rFonts w:ascii="TT Norms Pro Light"/>
                <w:b w:val="0"/>
                <w:spacing w:val="-9"/>
                <w:sz w:val="18"/>
              </w:rPr>
              <w:t> </w:t>
            </w:r>
            <w:r>
              <w:rPr>
                <w:rFonts w:ascii="TT Norms Pro Light"/>
                <w:b w:val="0"/>
                <w:sz w:val="18"/>
              </w:rPr>
              <w:t>F</w:t>
            </w:r>
            <w:r>
              <w:rPr>
                <w:rFonts w:ascii="TT Norms Pro Light"/>
                <w:b w:val="0"/>
                <w:spacing w:val="-9"/>
                <w:sz w:val="18"/>
              </w:rPr>
              <w:t> </w:t>
            </w:r>
            <w:r>
              <w:rPr>
                <w:rFonts w:ascii="TT Norms Pro Light"/>
                <w:b w:val="0"/>
                <w:sz w:val="18"/>
              </w:rPr>
              <w:t>Cooper</w:t>
            </w:r>
            <w:r>
              <w:rPr>
                <w:rFonts w:ascii="TT Norms Pro Light"/>
                <w:b w:val="0"/>
                <w:spacing w:val="-9"/>
                <w:sz w:val="18"/>
              </w:rPr>
              <w:t> </w:t>
            </w:r>
            <w:r>
              <w:rPr>
                <w:rFonts w:ascii="TT Norms Pro Light"/>
                <w:b w:val="0"/>
                <w:sz w:val="18"/>
              </w:rPr>
              <w:t>AO</w:t>
            </w:r>
          </w:p>
        </w:tc>
        <w:tc>
          <w:tcPr>
            <w:tcW w:w="1885" w:type="dxa"/>
            <w:tcBorders>
              <w:top w:val="single" w:sz="4" w:space="0" w:color="000000"/>
              <w:bottom w:val="single" w:sz="4" w:space="0" w:color="000000"/>
            </w:tcBorders>
            <w:shd w:val="clear" w:color="auto" w:fill="E6E7E8"/>
          </w:tcPr>
          <w:p>
            <w:pPr>
              <w:pStyle w:val="TableParagraph"/>
              <w:spacing w:before="124"/>
              <w:ind w:left="147"/>
              <w:rPr>
                <w:rFonts w:ascii="TT Norms Pro Light"/>
                <w:b w:val="0"/>
                <w:sz w:val="18"/>
              </w:rPr>
            </w:pPr>
            <w:r>
              <w:rPr>
                <w:rFonts w:ascii="TT Norms Pro Light"/>
                <w:b w:val="0"/>
                <w:sz w:val="18"/>
              </w:rPr>
              <w:t>Whole</w:t>
            </w:r>
            <w:r>
              <w:rPr>
                <w:rFonts w:ascii="TT Norms Pro Light"/>
                <w:b w:val="0"/>
                <w:spacing w:val="3"/>
                <w:sz w:val="18"/>
              </w:rPr>
              <w:t> </w:t>
            </w:r>
            <w:r>
              <w:rPr>
                <w:rFonts w:ascii="TT Norms Pro Light"/>
                <w:b w:val="0"/>
                <w:spacing w:val="-4"/>
                <w:sz w:val="18"/>
              </w:rPr>
              <w:t>year</w:t>
            </w:r>
          </w:p>
        </w:tc>
        <w:tc>
          <w:tcPr>
            <w:tcW w:w="1035" w:type="dxa"/>
            <w:tcBorders>
              <w:top w:val="single" w:sz="4" w:space="0" w:color="000000"/>
              <w:bottom w:val="single" w:sz="4" w:space="0" w:color="000000"/>
            </w:tcBorders>
          </w:tcPr>
          <w:p>
            <w:pPr>
              <w:pStyle w:val="TableParagraph"/>
              <w:tabs>
                <w:tab w:pos="664" w:val="left" w:leader="none"/>
              </w:tabs>
              <w:spacing w:before="126"/>
              <w:ind w:left="147"/>
              <w:rPr>
                <w:rFonts w:ascii="TT Norms Pro Light"/>
                <w:b w:val="0"/>
                <w:sz w:val="16"/>
              </w:rPr>
            </w:pPr>
            <w:r>
              <w:rPr>
                <w:rFonts w:ascii="TT Norms Pro Light"/>
                <w:b w:val="0"/>
                <w:spacing w:val="-10"/>
                <w:sz w:val="16"/>
              </w:rPr>
              <w:t>7</w:t>
            </w:r>
            <w:r>
              <w:rPr>
                <w:rFonts w:ascii="TT Norms Pro Light"/>
                <w:b w:val="0"/>
                <w:sz w:val="16"/>
              </w:rPr>
              <w:tab/>
            </w:r>
            <w:r>
              <w:rPr>
                <w:rFonts w:ascii="TT Norms Pro Light"/>
                <w:b w:val="0"/>
                <w:spacing w:val="-10"/>
                <w:sz w:val="16"/>
              </w:rPr>
              <w:t>7</w:t>
            </w:r>
          </w:p>
        </w:tc>
        <w:tc>
          <w:tcPr>
            <w:tcW w:w="1068" w:type="dxa"/>
            <w:tcBorders>
              <w:top w:val="single" w:sz="4" w:space="0" w:color="000000"/>
              <w:bottom w:val="single" w:sz="4" w:space="0" w:color="000000"/>
            </w:tcBorders>
            <w:shd w:val="clear" w:color="auto" w:fill="E6E7E8"/>
          </w:tcPr>
          <w:p>
            <w:pPr>
              <w:pStyle w:val="TableParagraph"/>
              <w:rPr>
                <w:rFonts w:ascii="Times New Roman"/>
                <w:sz w:val="16"/>
              </w:rPr>
            </w:pPr>
          </w:p>
        </w:tc>
        <w:tc>
          <w:tcPr>
            <w:tcW w:w="1436" w:type="dxa"/>
            <w:tcBorders>
              <w:top w:val="single" w:sz="4" w:space="0" w:color="000000"/>
              <w:bottom w:val="single" w:sz="4" w:space="0" w:color="000000"/>
            </w:tcBorders>
          </w:tcPr>
          <w:p>
            <w:pPr>
              <w:pStyle w:val="TableParagraph"/>
              <w:tabs>
                <w:tab w:pos="864" w:val="left" w:leader="none"/>
              </w:tabs>
              <w:spacing w:before="126"/>
              <w:ind w:left="146"/>
              <w:rPr>
                <w:rFonts w:ascii="TT Norms Pro Light"/>
                <w:b w:val="0"/>
                <w:sz w:val="16"/>
              </w:rPr>
            </w:pPr>
            <w:r>
              <w:rPr>
                <w:rFonts w:ascii="TT Norms Pro Light"/>
                <w:b w:val="0"/>
                <w:spacing w:val="-10"/>
                <w:sz w:val="16"/>
              </w:rPr>
              <w:t>9</w:t>
            </w:r>
            <w:r>
              <w:rPr>
                <w:rFonts w:ascii="TT Norms Pro Light"/>
                <w:b w:val="0"/>
                <w:sz w:val="16"/>
              </w:rPr>
              <w:tab/>
            </w:r>
            <w:r>
              <w:rPr>
                <w:rFonts w:ascii="TT Norms Pro Light"/>
                <w:b w:val="0"/>
                <w:spacing w:val="-10"/>
                <w:sz w:val="16"/>
              </w:rPr>
              <w:t>9</w:t>
            </w:r>
          </w:p>
        </w:tc>
        <w:tc>
          <w:tcPr>
            <w:tcW w:w="1134" w:type="dxa"/>
            <w:tcBorders>
              <w:top w:val="single" w:sz="4" w:space="0" w:color="000000"/>
              <w:bottom w:val="single" w:sz="4" w:space="0" w:color="000000"/>
            </w:tcBorders>
            <w:shd w:val="clear" w:color="auto" w:fill="E6E7E8"/>
          </w:tcPr>
          <w:p>
            <w:pPr>
              <w:pStyle w:val="TableParagraph"/>
              <w:tabs>
                <w:tab w:pos="713" w:val="left" w:leader="none"/>
              </w:tabs>
              <w:spacing w:before="126"/>
              <w:ind w:left="146"/>
              <w:rPr>
                <w:rFonts w:ascii="TT Norms Pro Light"/>
                <w:b w:val="0"/>
                <w:sz w:val="16"/>
              </w:rPr>
            </w:pPr>
            <w:r>
              <w:rPr>
                <w:rFonts w:ascii="TT Norms Pro Light"/>
                <w:b w:val="0"/>
                <w:spacing w:val="-10"/>
                <w:sz w:val="16"/>
              </w:rPr>
              <w:t>2</w:t>
            </w:r>
            <w:r>
              <w:rPr>
                <w:rFonts w:ascii="TT Norms Pro Light"/>
                <w:b w:val="0"/>
                <w:sz w:val="16"/>
              </w:rPr>
              <w:tab/>
            </w:r>
            <w:r>
              <w:rPr>
                <w:rFonts w:ascii="TT Norms Pro Light"/>
                <w:b w:val="0"/>
                <w:spacing w:val="-10"/>
                <w:sz w:val="16"/>
              </w:rPr>
              <w:t>2</w:t>
            </w:r>
          </w:p>
        </w:tc>
        <w:tc>
          <w:tcPr>
            <w:tcW w:w="1134" w:type="dxa"/>
            <w:tcBorders>
              <w:top w:val="single" w:sz="4" w:space="0" w:color="000000"/>
              <w:bottom w:val="single" w:sz="4" w:space="0" w:color="000000"/>
            </w:tcBorders>
          </w:tcPr>
          <w:p>
            <w:pPr>
              <w:pStyle w:val="TableParagraph"/>
              <w:tabs>
                <w:tab w:pos="713" w:val="left" w:leader="none"/>
              </w:tabs>
              <w:spacing w:before="126"/>
              <w:ind w:left="146"/>
              <w:rPr>
                <w:rFonts w:ascii="TT Norms Pro Light"/>
                <w:b w:val="0"/>
                <w:sz w:val="16"/>
              </w:rPr>
            </w:pPr>
            <w:r>
              <w:rPr>
                <w:rFonts w:ascii="TT Norms Pro Light"/>
                <w:b w:val="0"/>
                <w:spacing w:val="-10"/>
                <w:sz w:val="16"/>
              </w:rPr>
              <w:t>6</w:t>
            </w:r>
            <w:r>
              <w:rPr>
                <w:rFonts w:ascii="TT Norms Pro Light"/>
                <w:b w:val="0"/>
                <w:sz w:val="16"/>
              </w:rPr>
              <w:tab/>
            </w:r>
            <w:r>
              <w:rPr>
                <w:rFonts w:ascii="TT Norms Pro Light"/>
                <w:b w:val="0"/>
                <w:spacing w:val="-10"/>
                <w:sz w:val="16"/>
              </w:rPr>
              <w:t>5</w:t>
            </w:r>
          </w:p>
        </w:tc>
      </w:tr>
      <w:tr>
        <w:trPr>
          <w:trHeight w:val="697" w:hRule="atLeast"/>
        </w:trPr>
        <w:tc>
          <w:tcPr>
            <w:tcW w:w="2098" w:type="dxa"/>
            <w:tcBorders>
              <w:top w:val="single" w:sz="4" w:space="0" w:color="000000"/>
              <w:bottom w:val="single" w:sz="4" w:space="0" w:color="000000"/>
            </w:tcBorders>
          </w:tcPr>
          <w:p>
            <w:pPr>
              <w:pStyle w:val="TableParagraph"/>
              <w:spacing w:line="295" w:lineRule="auto" w:before="124"/>
              <w:ind w:left="147" w:right="382"/>
              <w:rPr>
                <w:rFonts w:ascii="TT Norms Pro Light"/>
                <w:b w:val="0"/>
                <w:sz w:val="18"/>
              </w:rPr>
            </w:pPr>
            <w:r>
              <w:rPr>
                <w:rFonts w:ascii="TT Norms Pro Light"/>
                <w:b w:val="0"/>
                <w:sz w:val="18"/>
              </w:rPr>
              <w:t>Professor</w:t>
            </w:r>
            <w:r>
              <w:rPr>
                <w:rFonts w:ascii="TT Norms Pro Light"/>
                <w:b w:val="0"/>
                <w:spacing w:val="-9"/>
                <w:sz w:val="18"/>
              </w:rPr>
              <w:t> </w:t>
            </w:r>
            <w:r>
              <w:rPr>
                <w:rFonts w:ascii="TT Norms Pro Light"/>
                <w:b w:val="0"/>
                <w:sz w:val="18"/>
              </w:rPr>
              <w:t>R</w:t>
            </w:r>
            <w:r>
              <w:rPr>
                <w:rFonts w:ascii="TT Norms Pro Light"/>
                <w:b w:val="0"/>
                <w:spacing w:val="-9"/>
                <w:sz w:val="18"/>
              </w:rPr>
              <w:t> </w:t>
            </w:r>
            <w:r>
              <w:rPr>
                <w:rFonts w:ascii="TT Norms Pro Light"/>
                <w:b w:val="0"/>
                <w:sz w:val="18"/>
              </w:rPr>
              <w:t>da</w:t>
            </w:r>
            <w:r>
              <w:rPr>
                <w:rFonts w:ascii="TT Norms Pro Light"/>
                <w:b w:val="0"/>
                <w:spacing w:val="-9"/>
                <w:sz w:val="18"/>
              </w:rPr>
              <w:t> </w:t>
            </w:r>
            <w:r>
              <w:rPr>
                <w:rFonts w:ascii="TT Norms Pro Light"/>
                <w:b w:val="0"/>
                <w:sz w:val="18"/>
              </w:rPr>
              <w:t>Silva</w:t>
            </w:r>
            <w:r>
              <w:rPr>
                <w:rFonts w:ascii="TT Norms Pro Light"/>
                <w:b w:val="0"/>
                <w:spacing w:val="40"/>
                <w:sz w:val="18"/>
              </w:rPr>
              <w:t> </w:t>
            </w:r>
            <w:r>
              <w:rPr>
                <w:rFonts w:ascii="TT Norms Pro Light"/>
                <w:b w:val="0"/>
                <w:spacing w:val="-4"/>
                <w:sz w:val="18"/>
              </w:rPr>
              <w:t>Rosa</w:t>
            </w:r>
          </w:p>
        </w:tc>
        <w:tc>
          <w:tcPr>
            <w:tcW w:w="1885" w:type="dxa"/>
            <w:tcBorders>
              <w:top w:val="single" w:sz="4" w:space="0" w:color="000000"/>
              <w:bottom w:val="single" w:sz="4" w:space="0" w:color="000000"/>
            </w:tcBorders>
            <w:shd w:val="clear" w:color="auto" w:fill="E6E7E8"/>
          </w:tcPr>
          <w:p>
            <w:pPr>
              <w:pStyle w:val="TableParagraph"/>
              <w:spacing w:before="124"/>
              <w:ind w:left="147"/>
              <w:rPr>
                <w:rFonts w:ascii="TT Norms Pro Light"/>
                <w:b w:val="0"/>
                <w:sz w:val="18"/>
              </w:rPr>
            </w:pPr>
            <w:r>
              <w:rPr>
                <w:rFonts w:ascii="TT Norms Pro Light"/>
                <w:b w:val="0"/>
                <w:sz w:val="18"/>
              </w:rPr>
              <w:t>Whole</w:t>
            </w:r>
            <w:r>
              <w:rPr>
                <w:rFonts w:ascii="TT Norms Pro Light"/>
                <w:b w:val="0"/>
                <w:spacing w:val="3"/>
                <w:sz w:val="18"/>
              </w:rPr>
              <w:t> </w:t>
            </w:r>
            <w:r>
              <w:rPr>
                <w:rFonts w:ascii="TT Norms Pro Light"/>
                <w:b w:val="0"/>
                <w:spacing w:val="-4"/>
                <w:sz w:val="18"/>
              </w:rPr>
              <w:t>year</w:t>
            </w:r>
          </w:p>
        </w:tc>
        <w:tc>
          <w:tcPr>
            <w:tcW w:w="1035" w:type="dxa"/>
            <w:tcBorders>
              <w:top w:val="single" w:sz="4" w:space="0" w:color="000000"/>
              <w:bottom w:val="single" w:sz="4" w:space="0" w:color="000000"/>
            </w:tcBorders>
          </w:tcPr>
          <w:p>
            <w:pPr>
              <w:pStyle w:val="TableParagraph"/>
              <w:tabs>
                <w:tab w:pos="664" w:val="left" w:leader="none"/>
              </w:tabs>
              <w:spacing w:before="126"/>
              <w:ind w:left="147"/>
              <w:rPr>
                <w:rFonts w:ascii="TT Norms Pro Light"/>
                <w:b w:val="0"/>
                <w:sz w:val="16"/>
              </w:rPr>
            </w:pPr>
            <w:r>
              <w:rPr>
                <w:rFonts w:ascii="TT Norms Pro Light"/>
                <w:b w:val="0"/>
                <w:spacing w:val="-10"/>
                <w:sz w:val="16"/>
              </w:rPr>
              <w:t>7</w:t>
            </w:r>
            <w:r>
              <w:rPr>
                <w:rFonts w:ascii="TT Norms Pro Light"/>
                <w:b w:val="0"/>
                <w:sz w:val="16"/>
              </w:rPr>
              <w:tab/>
            </w:r>
            <w:r>
              <w:rPr>
                <w:rFonts w:ascii="TT Norms Pro Light"/>
                <w:b w:val="0"/>
                <w:spacing w:val="-10"/>
                <w:sz w:val="16"/>
              </w:rPr>
              <w:t>7</w:t>
            </w:r>
          </w:p>
        </w:tc>
        <w:tc>
          <w:tcPr>
            <w:tcW w:w="1068" w:type="dxa"/>
            <w:tcBorders>
              <w:top w:val="single" w:sz="4" w:space="0" w:color="000000"/>
              <w:bottom w:val="single" w:sz="4" w:space="0" w:color="000000"/>
            </w:tcBorders>
            <w:shd w:val="clear" w:color="auto" w:fill="E6E7E8"/>
          </w:tcPr>
          <w:p>
            <w:pPr>
              <w:pStyle w:val="TableParagraph"/>
              <w:rPr>
                <w:rFonts w:ascii="Times New Roman"/>
                <w:sz w:val="16"/>
              </w:rPr>
            </w:pPr>
          </w:p>
        </w:tc>
        <w:tc>
          <w:tcPr>
            <w:tcW w:w="1436" w:type="dxa"/>
            <w:tcBorders>
              <w:top w:val="single" w:sz="4" w:space="0" w:color="000000"/>
              <w:bottom w:val="single" w:sz="4" w:space="0" w:color="000000"/>
            </w:tcBorders>
          </w:tcPr>
          <w:p>
            <w:pPr>
              <w:pStyle w:val="TableParagraph"/>
              <w:rPr>
                <w:rFonts w:ascii="Times New Roman"/>
                <w:sz w:val="16"/>
              </w:rPr>
            </w:pPr>
          </w:p>
        </w:tc>
        <w:tc>
          <w:tcPr>
            <w:tcW w:w="1134" w:type="dxa"/>
            <w:tcBorders>
              <w:top w:val="single" w:sz="4" w:space="0" w:color="000000"/>
              <w:bottom w:val="single" w:sz="4" w:space="0" w:color="000000"/>
            </w:tcBorders>
            <w:shd w:val="clear" w:color="auto" w:fill="E6E7E8"/>
          </w:tcPr>
          <w:p>
            <w:pPr>
              <w:pStyle w:val="TableParagraph"/>
              <w:tabs>
                <w:tab w:pos="713" w:val="left" w:leader="none"/>
              </w:tabs>
              <w:spacing w:before="126"/>
              <w:ind w:left="146"/>
              <w:rPr>
                <w:rFonts w:ascii="TT Norms Pro Light"/>
                <w:b w:val="0"/>
                <w:sz w:val="16"/>
              </w:rPr>
            </w:pPr>
            <w:r>
              <w:rPr>
                <w:rFonts w:ascii="TT Norms Pro Light"/>
                <w:b w:val="0"/>
                <w:spacing w:val="-10"/>
                <w:sz w:val="16"/>
              </w:rPr>
              <w:t>2</w:t>
            </w:r>
            <w:r>
              <w:rPr>
                <w:rFonts w:ascii="TT Norms Pro Light"/>
                <w:b w:val="0"/>
                <w:sz w:val="16"/>
              </w:rPr>
              <w:tab/>
            </w:r>
            <w:r>
              <w:rPr>
                <w:rFonts w:ascii="TT Norms Pro Light"/>
                <w:b w:val="0"/>
                <w:spacing w:val="-10"/>
                <w:sz w:val="16"/>
              </w:rPr>
              <w:t>2</w:t>
            </w:r>
          </w:p>
        </w:tc>
        <w:tc>
          <w:tcPr>
            <w:tcW w:w="1134" w:type="dxa"/>
            <w:tcBorders>
              <w:top w:val="single" w:sz="4" w:space="0" w:color="000000"/>
              <w:bottom w:val="single" w:sz="4" w:space="0" w:color="000000"/>
            </w:tcBorders>
          </w:tcPr>
          <w:p>
            <w:pPr>
              <w:pStyle w:val="TableParagraph"/>
              <w:tabs>
                <w:tab w:pos="713" w:val="left" w:leader="none"/>
              </w:tabs>
              <w:spacing w:before="126"/>
              <w:ind w:left="146"/>
              <w:rPr>
                <w:rFonts w:ascii="TT Norms Pro Light"/>
                <w:b w:val="0"/>
                <w:sz w:val="16"/>
              </w:rPr>
            </w:pPr>
            <w:r>
              <w:rPr>
                <w:rFonts w:ascii="TT Norms Pro Light"/>
                <w:b w:val="0"/>
                <w:spacing w:val="-10"/>
                <w:sz w:val="16"/>
              </w:rPr>
              <w:t>6</w:t>
            </w:r>
            <w:r>
              <w:rPr>
                <w:rFonts w:ascii="TT Norms Pro Light"/>
                <w:b w:val="0"/>
                <w:sz w:val="16"/>
              </w:rPr>
              <w:tab/>
            </w:r>
            <w:r>
              <w:rPr>
                <w:rFonts w:ascii="TT Norms Pro Light"/>
                <w:b w:val="0"/>
                <w:spacing w:val="-10"/>
                <w:sz w:val="16"/>
              </w:rPr>
              <w:t>6</w:t>
            </w:r>
          </w:p>
        </w:tc>
      </w:tr>
      <w:tr>
        <w:trPr>
          <w:trHeight w:val="437" w:hRule="atLeast"/>
        </w:trPr>
        <w:tc>
          <w:tcPr>
            <w:tcW w:w="2098" w:type="dxa"/>
            <w:tcBorders>
              <w:top w:val="single" w:sz="4" w:space="0" w:color="000000"/>
              <w:bottom w:val="single" w:sz="4" w:space="0" w:color="000000"/>
            </w:tcBorders>
          </w:tcPr>
          <w:p>
            <w:pPr>
              <w:pStyle w:val="TableParagraph"/>
              <w:spacing w:before="124"/>
              <w:ind w:left="147"/>
              <w:rPr>
                <w:rFonts w:ascii="TT Norms Pro Light"/>
                <w:b w:val="0"/>
                <w:sz w:val="18"/>
              </w:rPr>
            </w:pPr>
            <w:r>
              <w:rPr>
                <w:rFonts w:ascii="TT Norms Pro Light"/>
                <w:b w:val="0"/>
                <w:sz w:val="18"/>
              </w:rPr>
              <w:t>Mr S</w:t>
            </w:r>
            <w:r>
              <w:rPr>
                <w:rFonts w:ascii="TT Norms Pro Light"/>
                <w:b w:val="0"/>
                <w:spacing w:val="1"/>
                <w:sz w:val="18"/>
              </w:rPr>
              <w:t> </w:t>
            </w:r>
            <w:r>
              <w:rPr>
                <w:rFonts w:ascii="TT Norms Pro Light"/>
                <w:b w:val="0"/>
                <w:spacing w:val="-2"/>
                <w:sz w:val="18"/>
              </w:rPr>
              <w:t>Dawkins</w:t>
            </w:r>
          </w:p>
        </w:tc>
        <w:tc>
          <w:tcPr>
            <w:tcW w:w="1885" w:type="dxa"/>
            <w:tcBorders>
              <w:top w:val="single" w:sz="4" w:space="0" w:color="000000"/>
              <w:bottom w:val="single" w:sz="4" w:space="0" w:color="000000"/>
            </w:tcBorders>
            <w:shd w:val="clear" w:color="auto" w:fill="E6E7E8"/>
          </w:tcPr>
          <w:p>
            <w:pPr>
              <w:pStyle w:val="TableParagraph"/>
              <w:spacing w:before="124"/>
              <w:ind w:left="147"/>
              <w:rPr>
                <w:rFonts w:ascii="TT Norms Pro Light"/>
                <w:b w:val="0"/>
                <w:sz w:val="18"/>
              </w:rPr>
            </w:pPr>
            <w:r>
              <w:rPr>
                <w:rFonts w:ascii="TT Norms Pro Light"/>
                <w:b w:val="0"/>
                <w:sz w:val="18"/>
              </w:rPr>
              <w:t>Whole</w:t>
            </w:r>
            <w:r>
              <w:rPr>
                <w:rFonts w:ascii="TT Norms Pro Light"/>
                <w:b w:val="0"/>
                <w:spacing w:val="3"/>
                <w:sz w:val="18"/>
              </w:rPr>
              <w:t> </w:t>
            </w:r>
            <w:r>
              <w:rPr>
                <w:rFonts w:ascii="TT Norms Pro Light"/>
                <w:b w:val="0"/>
                <w:spacing w:val="-4"/>
                <w:sz w:val="18"/>
              </w:rPr>
              <w:t>year</w:t>
            </w:r>
          </w:p>
        </w:tc>
        <w:tc>
          <w:tcPr>
            <w:tcW w:w="1035" w:type="dxa"/>
            <w:tcBorders>
              <w:top w:val="single" w:sz="4" w:space="0" w:color="000000"/>
              <w:bottom w:val="single" w:sz="4" w:space="0" w:color="000000"/>
            </w:tcBorders>
          </w:tcPr>
          <w:p>
            <w:pPr>
              <w:pStyle w:val="TableParagraph"/>
              <w:tabs>
                <w:tab w:pos="664" w:val="left" w:leader="none"/>
              </w:tabs>
              <w:spacing w:before="126"/>
              <w:ind w:left="147"/>
              <w:rPr>
                <w:rFonts w:ascii="TT Norms Pro Light"/>
                <w:b w:val="0"/>
                <w:sz w:val="16"/>
              </w:rPr>
            </w:pPr>
            <w:r>
              <w:rPr>
                <w:rFonts w:ascii="TT Norms Pro Light"/>
                <w:b w:val="0"/>
                <w:spacing w:val="-10"/>
                <w:sz w:val="16"/>
              </w:rPr>
              <w:t>7</w:t>
            </w:r>
            <w:r>
              <w:rPr>
                <w:rFonts w:ascii="TT Norms Pro Light"/>
                <w:b w:val="0"/>
                <w:sz w:val="16"/>
              </w:rPr>
              <w:tab/>
            </w:r>
            <w:r>
              <w:rPr>
                <w:rFonts w:ascii="TT Norms Pro Light"/>
                <w:b w:val="0"/>
                <w:spacing w:val="-10"/>
                <w:sz w:val="16"/>
              </w:rPr>
              <w:t>7</w:t>
            </w:r>
          </w:p>
        </w:tc>
        <w:tc>
          <w:tcPr>
            <w:tcW w:w="1068" w:type="dxa"/>
            <w:tcBorders>
              <w:top w:val="single" w:sz="4" w:space="0" w:color="000000"/>
              <w:bottom w:val="single" w:sz="4" w:space="0" w:color="000000"/>
            </w:tcBorders>
            <w:shd w:val="clear" w:color="auto" w:fill="E6E7E8"/>
          </w:tcPr>
          <w:p>
            <w:pPr>
              <w:pStyle w:val="TableParagraph"/>
              <w:rPr>
                <w:rFonts w:ascii="Times New Roman"/>
                <w:sz w:val="16"/>
              </w:rPr>
            </w:pPr>
          </w:p>
        </w:tc>
        <w:tc>
          <w:tcPr>
            <w:tcW w:w="1436" w:type="dxa"/>
            <w:tcBorders>
              <w:top w:val="single" w:sz="4" w:space="0" w:color="000000"/>
              <w:bottom w:val="single" w:sz="4" w:space="0" w:color="000000"/>
            </w:tcBorders>
          </w:tcPr>
          <w:p>
            <w:pPr>
              <w:pStyle w:val="TableParagraph"/>
              <w:rPr>
                <w:rFonts w:ascii="Times New Roman"/>
                <w:sz w:val="16"/>
              </w:rPr>
            </w:pPr>
          </w:p>
        </w:tc>
        <w:tc>
          <w:tcPr>
            <w:tcW w:w="1134" w:type="dxa"/>
            <w:tcBorders>
              <w:top w:val="single" w:sz="4" w:space="0" w:color="000000"/>
              <w:bottom w:val="single" w:sz="4" w:space="0" w:color="000000"/>
            </w:tcBorders>
            <w:shd w:val="clear" w:color="auto" w:fill="E6E7E8"/>
          </w:tcPr>
          <w:p>
            <w:pPr>
              <w:pStyle w:val="TableParagraph"/>
              <w:rPr>
                <w:rFonts w:ascii="Times New Roman"/>
                <w:sz w:val="16"/>
              </w:rPr>
            </w:pPr>
          </w:p>
        </w:tc>
        <w:tc>
          <w:tcPr>
            <w:tcW w:w="1134" w:type="dxa"/>
            <w:tcBorders>
              <w:top w:val="single" w:sz="4" w:space="0" w:color="000000"/>
              <w:bottom w:val="single" w:sz="4" w:space="0" w:color="000000"/>
            </w:tcBorders>
          </w:tcPr>
          <w:p>
            <w:pPr>
              <w:pStyle w:val="TableParagraph"/>
              <w:tabs>
                <w:tab w:pos="713" w:val="left" w:leader="none"/>
              </w:tabs>
              <w:spacing w:before="126"/>
              <w:ind w:left="146"/>
              <w:rPr>
                <w:rFonts w:ascii="TT Norms Pro Light"/>
                <w:b w:val="0"/>
                <w:sz w:val="16"/>
              </w:rPr>
            </w:pPr>
            <w:r>
              <w:rPr>
                <w:rFonts w:ascii="TT Norms Pro Light"/>
                <w:b w:val="0"/>
                <w:spacing w:val="-10"/>
                <w:sz w:val="16"/>
              </w:rPr>
              <w:t>6</w:t>
            </w:r>
            <w:r>
              <w:rPr>
                <w:rFonts w:ascii="TT Norms Pro Light"/>
                <w:b w:val="0"/>
                <w:sz w:val="16"/>
              </w:rPr>
              <w:tab/>
            </w:r>
            <w:r>
              <w:rPr>
                <w:rFonts w:ascii="TT Norms Pro Light"/>
                <w:b w:val="0"/>
                <w:spacing w:val="-10"/>
                <w:sz w:val="16"/>
              </w:rPr>
              <w:t>6</w:t>
            </w:r>
          </w:p>
        </w:tc>
      </w:tr>
      <w:tr>
        <w:trPr>
          <w:trHeight w:val="957" w:hRule="atLeast"/>
        </w:trPr>
        <w:tc>
          <w:tcPr>
            <w:tcW w:w="2098" w:type="dxa"/>
            <w:tcBorders>
              <w:top w:val="single" w:sz="4" w:space="0" w:color="000000"/>
              <w:bottom w:val="single" w:sz="4" w:space="0" w:color="000000"/>
            </w:tcBorders>
          </w:tcPr>
          <w:p>
            <w:pPr>
              <w:pStyle w:val="TableParagraph"/>
              <w:spacing w:line="295" w:lineRule="auto" w:before="124"/>
              <w:ind w:left="147"/>
              <w:rPr>
                <w:rFonts w:ascii="TT Norms Pro Light"/>
                <w:b w:val="0"/>
                <w:sz w:val="18"/>
              </w:rPr>
            </w:pPr>
            <w:r>
              <w:rPr>
                <w:rFonts w:ascii="TT Norms Pro Light"/>
                <w:b w:val="0"/>
                <w:spacing w:val="-2"/>
                <w:sz w:val="18"/>
              </w:rPr>
              <w:t>Vice-Chancellor,</w:t>
            </w:r>
            <w:r>
              <w:rPr>
                <w:rFonts w:ascii="TT Norms Pro Light"/>
                <w:b w:val="0"/>
                <w:spacing w:val="40"/>
                <w:sz w:val="18"/>
              </w:rPr>
              <w:t> </w:t>
            </w:r>
            <w:r>
              <w:rPr>
                <w:rFonts w:ascii="TT Norms Pro Light"/>
                <w:b w:val="0"/>
                <w:sz w:val="18"/>
              </w:rPr>
              <w:t>Professor J den</w:t>
            </w:r>
            <w:r>
              <w:rPr>
                <w:rFonts w:ascii="TT Norms Pro Light"/>
                <w:b w:val="0"/>
                <w:spacing w:val="40"/>
                <w:sz w:val="18"/>
              </w:rPr>
              <w:t> </w:t>
            </w:r>
            <w:r>
              <w:rPr>
                <w:rFonts w:ascii="TT Norms Pro Light"/>
                <w:b w:val="0"/>
                <w:sz w:val="18"/>
              </w:rPr>
              <w:t>Hollander</w:t>
            </w:r>
            <w:r>
              <w:rPr>
                <w:rFonts w:ascii="TT Norms Pro Light"/>
                <w:b w:val="0"/>
                <w:spacing w:val="-5"/>
                <w:sz w:val="18"/>
              </w:rPr>
              <w:t> </w:t>
            </w:r>
            <w:r>
              <w:rPr>
                <w:rFonts w:ascii="TT Norms Pro Light"/>
                <w:b w:val="0"/>
                <w:sz w:val="18"/>
              </w:rPr>
              <w:t>AO</w:t>
            </w:r>
          </w:p>
        </w:tc>
        <w:tc>
          <w:tcPr>
            <w:tcW w:w="1885" w:type="dxa"/>
            <w:tcBorders>
              <w:top w:val="single" w:sz="4" w:space="0" w:color="000000"/>
              <w:bottom w:val="single" w:sz="4" w:space="0" w:color="000000"/>
            </w:tcBorders>
            <w:shd w:val="clear" w:color="auto" w:fill="E6E7E8"/>
          </w:tcPr>
          <w:p>
            <w:pPr>
              <w:pStyle w:val="TableParagraph"/>
              <w:spacing w:line="295" w:lineRule="auto" w:before="124"/>
              <w:ind w:left="147" w:right="302"/>
              <w:rPr>
                <w:rFonts w:ascii="TT Norms Pro Light"/>
                <w:b w:val="0"/>
                <w:sz w:val="18"/>
              </w:rPr>
            </w:pPr>
            <w:r>
              <w:rPr>
                <w:rFonts w:ascii="TT Norms Pro Light"/>
                <w:b w:val="0"/>
                <w:sz w:val="18"/>
              </w:rPr>
              <w:t>From</w:t>
            </w:r>
            <w:r>
              <w:rPr>
                <w:rFonts w:ascii="TT Norms Pro Light"/>
                <w:b w:val="0"/>
                <w:spacing w:val="-9"/>
                <w:sz w:val="18"/>
              </w:rPr>
              <w:t> </w:t>
            </w:r>
            <w:r>
              <w:rPr>
                <w:rFonts w:ascii="TT Norms Pro Light"/>
                <w:b w:val="0"/>
                <w:sz w:val="18"/>
              </w:rPr>
              <w:t>16</w:t>
            </w:r>
            <w:r>
              <w:rPr>
                <w:rFonts w:ascii="TT Norms Pro Light"/>
                <w:b w:val="0"/>
                <w:spacing w:val="-9"/>
                <w:sz w:val="18"/>
              </w:rPr>
              <w:t> </w:t>
            </w:r>
            <w:r>
              <w:rPr>
                <w:rFonts w:ascii="TT Norms Pro Light"/>
                <w:b w:val="0"/>
                <w:sz w:val="18"/>
              </w:rPr>
              <w:t>March</w:t>
            </w:r>
            <w:r>
              <w:rPr>
                <w:rFonts w:ascii="TT Norms Pro Light"/>
                <w:b w:val="0"/>
                <w:spacing w:val="-9"/>
                <w:sz w:val="18"/>
              </w:rPr>
              <w:t> </w:t>
            </w:r>
            <w:r>
              <w:rPr>
                <w:rFonts w:ascii="TT Norms Pro Light"/>
                <w:b w:val="0"/>
                <w:sz w:val="18"/>
              </w:rPr>
              <w:t>to</w:t>
            </w:r>
            <w:r>
              <w:rPr>
                <w:rFonts w:ascii="TT Norms Pro Light"/>
                <w:b w:val="0"/>
                <w:spacing w:val="40"/>
                <w:sz w:val="18"/>
              </w:rPr>
              <w:t> </w:t>
            </w:r>
            <w:r>
              <w:rPr>
                <w:rFonts w:ascii="TT Norms Pro Light"/>
                <w:b w:val="0"/>
                <w:sz w:val="18"/>
              </w:rPr>
              <w:t>6</w:t>
            </w:r>
            <w:r>
              <w:rPr>
                <w:rFonts w:ascii="TT Norms Pro Light"/>
                <w:b w:val="0"/>
                <w:spacing w:val="-5"/>
                <w:sz w:val="18"/>
              </w:rPr>
              <w:t> </w:t>
            </w:r>
            <w:r>
              <w:rPr>
                <w:rFonts w:ascii="TT Norms Pro Light"/>
                <w:b w:val="0"/>
                <w:sz w:val="18"/>
              </w:rPr>
              <w:t>July</w:t>
            </w:r>
          </w:p>
        </w:tc>
        <w:tc>
          <w:tcPr>
            <w:tcW w:w="1035" w:type="dxa"/>
            <w:tcBorders>
              <w:top w:val="single" w:sz="4" w:space="0" w:color="000000"/>
              <w:bottom w:val="single" w:sz="4" w:space="0" w:color="000000"/>
            </w:tcBorders>
          </w:tcPr>
          <w:p>
            <w:pPr>
              <w:pStyle w:val="TableParagraph"/>
              <w:tabs>
                <w:tab w:pos="664" w:val="left" w:leader="none"/>
              </w:tabs>
              <w:spacing w:before="126"/>
              <w:ind w:left="147"/>
              <w:rPr>
                <w:rFonts w:ascii="TT Norms Pro Light"/>
                <w:b w:val="0"/>
                <w:sz w:val="16"/>
              </w:rPr>
            </w:pPr>
            <w:r>
              <w:rPr>
                <w:rFonts w:ascii="TT Norms Pro Light"/>
                <w:b w:val="0"/>
                <w:spacing w:val="-10"/>
                <w:sz w:val="16"/>
              </w:rPr>
              <w:t>2</w:t>
            </w:r>
            <w:r>
              <w:rPr>
                <w:rFonts w:ascii="TT Norms Pro Light"/>
                <w:b w:val="0"/>
                <w:sz w:val="16"/>
              </w:rPr>
              <w:tab/>
            </w:r>
            <w:r>
              <w:rPr>
                <w:rFonts w:ascii="TT Norms Pro Light"/>
                <w:b w:val="0"/>
                <w:spacing w:val="-10"/>
                <w:sz w:val="16"/>
              </w:rPr>
              <w:t>2</w:t>
            </w:r>
          </w:p>
        </w:tc>
        <w:tc>
          <w:tcPr>
            <w:tcW w:w="1068" w:type="dxa"/>
            <w:tcBorders>
              <w:top w:val="single" w:sz="4" w:space="0" w:color="000000"/>
              <w:bottom w:val="single" w:sz="4" w:space="0" w:color="000000"/>
            </w:tcBorders>
            <w:shd w:val="clear" w:color="auto" w:fill="E6E7E8"/>
          </w:tcPr>
          <w:p>
            <w:pPr>
              <w:pStyle w:val="TableParagraph"/>
              <w:tabs>
                <w:tab w:pos="680" w:val="left" w:leader="none"/>
              </w:tabs>
              <w:spacing w:before="126"/>
              <w:ind w:left="146"/>
              <w:rPr>
                <w:rFonts w:ascii="TT Norms Pro Light"/>
                <w:b w:val="0"/>
                <w:sz w:val="16"/>
              </w:rPr>
            </w:pPr>
            <w:r>
              <w:rPr>
                <w:rFonts w:ascii="TT Norms Pro Light"/>
                <w:b w:val="0"/>
                <w:spacing w:val="-10"/>
                <w:sz w:val="16"/>
              </w:rPr>
              <w:t>1</w:t>
            </w:r>
            <w:r>
              <w:rPr>
                <w:rFonts w:ascii="TT Norms Pro Light"/>
                <w:b w:val="0"/>
                <w:sz w:val="16"/>
              </w:rPr>
              <w:tab/>
            </w:r>
            <w:r>
              <w:rPr>
                <w:rFonts w:ascii="TT Norms Pro Light"/>
                <w:b w:val="0"/>
                <w:spacing w:val="-10"/>
                <w:sz w:val="16"/>
              </w:rPr>
              <w:t>1</w:t>
            </w:r>
          </w:p>
        </w:tc>
        <w:tc>
          <w:tcPr>
            <w:tcW w:w="1436" w:type="dxa"/>
            <w:tcBorders>
              <w:top w:val="single" w:sz="4" w:space="0" w:color="000000"/>
              <w:bottom w:val="single" w:sz="4" w:space="0" w:color="000000"/>
            </w:tcBorders>
          </w:tcPr>
          <w:p>
            <w:pPr>
              <w:pStyle w:val="TableParagraph"/>
              <w:tabs>
                <w:tab w:pos="864" w:val="left" w:leader="none"/>
              </w:tabs>
              <w:spacing w:before="126"/>
              <w:ind w:left="146"/>
              <w:rPr>
                <w:rFonts w:ascii="TT Norms Pro Light"/>
                <w:b w:val="0"/>
                <w:sz w:val="16"/>
              </w:rPr>
            </w:pPr>
            <w:r>
              <w:rPr>
                <w:rFonts w:ascii="TT Norms Pro Light"/>
                <w:b w:val="0"/>
                <w:spacing w:val="-10"/>
                <w:sz w:val="16"/>
              </w:rPr>
              <w:t>3</w:t>
            </w:r>
            <w:r>
              <w:rPr>
                <w:rFonts w:ascii="TT Norms Pro Light"/>
                <w:b w:val="0"/>
                <w:sz w:val="16"/>
              </w:rPr>
              <w:tab/>
            </w:r>
            <w:r>
              <w:rPr>
                <w:rFonts w:ascii="TT Norms Pro Light"/>
                <w:b w:val="0"/>
                <w:spacing w:val="-10"/>
                <w:sz w:val="16"/>
              </w:rPr>
              <w:t>3</w:t>
            </w:r>
          </w:p>
        </w:tc>
        <w:tc>
          <w:tcPr>
            <w:tcW w:w="1134" w:type="dxa"/>
            <w:tcBorders>
              <w:top w:val="single" w:sz="4" w:space="0" w:color="000000"/>
              <w:bottom w:val="single" w:sz="4" w:space="0" w:color="000000"/>
            </w:tcBorders>
            <w:shd w:val="clear" w:color="auto" w:fill="E6E7E8"/>
          </w:tcPr>
          <w:p>
            <w:pPr>
              <w:pStyle w:val="TableParagraph"/>
              <w:tabs>
                <w:tab w:pos="713" w:val="left" w:leader="none"/>
              </w:tabs>
              <w:spacing w:before="126"/>
              <w:ind w:left="146"/>
              <w:rPr>
                <w:rFonts w:ascii="TT Norms Pro Light"/>
                <w:b w:val="0"/>
                <w:sz w:val="16"/>
              </w:rPr>
            </w:pPr>
            <w:r>
              <w:rPr>
                <w:rFonts w:ascii="TT Norms Pro Light"/>
                <w:b w:val="0"/>
                <w:spacing w:val="-10"/>
                <w:sz w:val="16"/>
              </w:rPr>
              <w:t>1</w:t>
            </w:r>
            <w:r>
              <w:rPr>
                <w:rFonts w:ascii="TT Norms Pro Light"/>
                <w:b w:val="0"/>
                <w:sz w:val="16"/>
              </w:rPr>
              <w:tab/>
            </w:r>
            <w:r>
              <w:rPr>
                <w:rFonts w:ascii="TT Norms Pro Light"/>
                <w:b w:val="0"/>
                <w:spacing w:val="-10"/>
                <w:sz w:val="16"/>
              </w:rPr>
              <w:t>1</w:t>
            </w:r>
          </w:p>
        </w:tc>
        <w:tc>
          <w:tcPr>
            <w:tcW w:w="1134" w:type="dxa"/>
            <w:tcBorders>
              <w:top w:val="single" w:sz="4" w:space="0" w:color="000000"/>
              <w:bottom w:val="single" w:sz="4" w:space="0" w:color="000000"/>
            </w:tcBorders>
          </w:tcPr>
          <w:p>
            <w:pPr>
              <w:pStyle w:val="TableParagraph"/>
              <w:tabs>
                <w:tab w:pos="713" w:val="left" w:leader="none"/>
              </w:tabs>
              <w:spacing w:before="126"/>
              <w:ind w:left="146"/>
              <w:rPr>
                <w:rFonts w:ascii="TT Norms Pro Light"/>
                <w:b w:val="0"/>
                <w:sz w:val="16"/>
              </w:rPr>
            </w:pPr>
            <w:r>
              <w:rPr>
                <w:rFonts w:ascii="TT Norms Pro Light"/>
                <w:b w:val="0"/>
                <w:spacing w:val="-10"/>
                <w:sz w:val="16"/>
              </w:rPr>
              <w:t>2</w:t>
            </w:r>
            <w:r>
              <w:rPr>
                <w:rFonts w:ascii="TT Norms Pro Light"/>
                <w:b w:val="0"/>
                <w:sz w:val="16"/>
              </w:rPr>
              <w:tab/>
            </w:r>
            <w:r>
              <w:rPr>
                <w:rFonts w:ascii="TT Norms Pro Light"/>
                <w:b w:val="0"/>
                <w:spacing w:val="-10"/>
                <w:sz w:val="16"/>
              </w:rPr>
              <w:t>2</w:t>
            </w:r>
          </w:p>
        </w:tc>
      </w:tr>
      <w:tr>
        <w:trPr>
          <w:trHeight w:val="437" w:hRule="atLeast"/>
        </w:trPr>
        <w:tc>
          <w:tcPr>
            <w:tcW w:w="2098" w:type="dxa"/>
            <w:tcBorders>
              <w:top w:val="single" w:sz="4" w:space="0" w:color="000000"/>
              <w:bottom w:val="single" w:sz="4" w:space="0" w:color="000000"/>
            </w:tcBorders>
          </w:tcPr>
          <w:p>
            <w:pPr>
              <w:pStyle w:val="TableParagraph"/>
              <w:spacing w:before="124"/>
              <w:ind w:left="147"/>
              <w:rPr>
                <w:rFonts w:ascii="TT Norms Pro Light"/>
                <w:b w:val="0"/>
                <w:sz w:val="18"/>
              </w:rPr>
            </w:pPr>
            <w:r>
              <w:rPr>
                <w:rFonts w:ascii="TT Norms Pro Light"/>
                <w:b w:val="0"/>
                <w:sz w:val="18"/>
              </w:rPr>
              <w:t>Ms M</w:t>
            </w:r>
            <w:r>
              <w:rPr>
                <w:rFonts w:ascii="TT Norms Pro Light"/>
                <w:b w:val="0"/>
                <w:spacing w:val="1"/>
                <w:sz w:val="18"/>
              </w:rPr>
              <w:t> </w:t>
            </w:r>
            <w:r>
              <w:rPr>
                <w:rFonts w:ascii="TT Norms Pro Light"/>
                <w:b w:val="0"/>
                <w:spacing w:val="-2"/>
                <w:sz w:val="18"/>
              </w:rPr>
              <w:t>Dolin</w:t>
            </w:r>
          </w:p>
        </w:tc>
        <w:tc>
          <w:tcPr>
            <w:tcW w:w="1885" w:type="dxa"/>
            <w:tcBorders>
              <w:top w:val="single" w:sz="4" w:space="0" w:color="000000"/>
              <w:bottom w:val="single" w:sz="4" w:space="0" w:color="000000"/>
            </w:tcBorders>
            <w:shd w:val="clear" w:color="auto" w:fill="E6E7E8"/>
          </w:tcPr>
          <w:p>
            <w:pPr>
              <w:pStyle w:val="TableParagraph"/>
              <w:spacing w:before="124"/>
              <w:ind w:left="147"/>
              <w:rPr>
                <w:rFonts w:ascii="TT Norms Pro Light"/>
                <w:b w:val="0"/>
                <w:sz w:val="18"/>
              </w:rPr>
            </w:pPr>
            <w:r>
              <w:rPr>
                <w:rFonts w:ascii="TT Norms Pro Light"/>
                <w:b w:val="0"/>
                <w:sz w:val="18"/>
              </w:rPr>
              <w:t>Whole</w:t>
            </w:r>
            <w:r>
              <w:rPr>
                <w:rFonts w:ascii="TT Norms Pro Light"/>
                <w:b w:val="0"/>
                <w:spacing w:val="3"/>
                <w:sz w:val="18"/>
              </w:rPr>
              <w:t> </w:t>
            </w:r>
            <w:r>
              <w:rPr>
                <w:rFonts w:ascii="TT Norms Pro Light"/>
                <w:b w:val="0"/>
                <w:spacing w:val="-4"/>
                <w:sz w:val="18"/>
              </w:rPr>
              <w:t>year</w:t>
            </w:r>
          </w:p>
        </w:tc>
        <w:tc>
          <w:tcPr>
            <w:tcW w:w="1035" w:type="dxa"/>
            <w:tcBorders>
              <w:top w:val="single" w:sz="4" w:space="0" w:color="000000"/>
              <w:bottom w:val="single" w:sz="4" w:space="0" w:color="000000"/>
            </w:tcBorders>
          </w:tcPr>
          <w:p>
            <w:pPr>
              <w:pStyle w:val="TableParagraph"/>
              <w:tabs>
                <w:tab w:pos="664" w:val="left" w:leader="none"/>
              </w:tabs>
              <w:spacing w:before="126"/>
              <w:ind w:left="147"/>
              <w:rPr>
                <w:rFonts w:ascii="TT Norms Pro Light"/>
                <w:b w:val="0"/>
                <w:sz w:val="16"/>
              </w:rPr>
            </w:pPr>
            <w:r>
              <w:rPr>
                <w:rFonts w:ascii="TT Norms Pro Light"/>
                <w:b w:val="0"/>
                <w:spacing w:val="-10"/>
                <w:sz w:val="16"/>
              </w:rPr>
              <w:t>7</w:t>
            </w:r>
            <w:r>
              <w:rPr>
                <w:rFonts w:ascii="TT Norms Pro Light"/>
                <w:b w:val="0"/>
                <w:sz w:val="16"/>
              </w:rPr>
              <w:tab/>
            </w:r>
            <w:r>
              <w:rPr>
                <w:rFonts w:ascii="TT Norms Pro Light"/>
                <w:b w:val="0"/>
                <w:spacing w:val="-10"/>
                <w:sz w:val="16"/>
              </w:rPr>
              <w:t>7</w:t>
            </w:r>
          </w:p>
        </w:tc>
        <w:tc>
          <w:tcPr>
            <w:tcW w:w="1068" w:type="dxa"/>
            <w:tcBorders>
              <w:top w:val="single" w:sz="4" w:space="0" w:color="000000"/>
              <w:bottom w:val="single" w:sz="4" w:space="0" w:color="000000"/>
            </w:tcBorders>
            <w:shd w:val="clear" w:color="auto" w:fill="E6E7E8"/>
          </w:tcPr>
          <w:p>
            <w:pPr>
              <w:pStyle w:val="TableParagraph"/>
              <w:tabs>
                <w:tab w:pos="680" w:val="left" w:leader="none"/>
              </w:tabs>
              <w:spacing w:before="126"/>
              <w:ind w:left="146"/>
              <w:rPr>
                <w:rFonts w:ascii="TT Norms Pro Light"/>
                <w:b w:val="0"/>
                <w:sz w:val="16"/>
              </w:rPr>
            </w:pPr>
            <w:r>
              <w:rPr>
                <w:rFonts w:ascii="TT Norms Pro Light"/>
                <w:b w:val="0"/>
                <w:spacing w:val="-10"/>
                <w:sz w:val="16"/>
              </w:rPr>
              <w:t>6</w:t>
            </w:r>
            <w:r>
              <w:rPr>
                <w:rFonts w:ascii="TT Norms Pro Light"/>
                <w:b w:val="0"/>
                <w:sz w:val="16"/>
              </w:rPr>
              <w:tab/>
            </w:r>
            <w:r>
              <w:rPr>
                <w:rFonts w:ascii="TT Norms Pro Light"/>
                <w:b w:val="0"/>
                <w:spacing w:val="-10"/>
                <w:sz w:val="16"/>
              </w:rPr>
              <w:t>5</w:t>
            </w:r>
          </w:p>
        </w:tc>
        <w:tc>
          <w:tcPr>
            <w:tcW w:w="1436" w:type="dxa"/>
            <w:tcBorders>
              <w:top w:val="single" w:sz="4" w:space="0" w:color="000000"/>
              <w:bottom w:val="single" w:sz="4" w:space="0" w:color="000000"/>
            </w:tcBorders>
          </w:tcPr>
          <w:p>
            <w:pPr>
              <w:pStyle w:val="TableParagraph"/>
              <w:tabs>
                <w:tab w:pos="864" w:val="left" w:leader="none"/>
              </w:tabs>
              <w:spacing w:before="126"/>
              <w:ind w:left="146"/>
              <w:rPr>
                <w:rFonts w:ascii="TT Norms Pro Light"/>
                <w:b w:val="0"/>
                <w:sz w:val="16"/>
              </w:rPr>
            </w:pPr>
            <w:r>
              <w:rPr>
                <w:rFonts w:ascii="TT Norms Pro Light"/>
                <w:b w:val="0"/>
                <w:spacing w:val="-10"/>
                <w:sz w:val="16"/>
              </w:rPr>
              <w:t>9</w:t>
            </w:r>
            <w:r>
              <w:rPr>
                <w:rFonts w:ascii="TT Norms Pro Light"/>
                <w:b w:val="0"/>
                <w:sz w:val="16"/>
              </w:rPr>
              <w:tab/>
            </w:r>
            <w:r>
              <w:rPr>
                <w:rFonts w:ascii="TT Norms Pro Light"/>
                <w:b w:val="0"/>
                <w:spacing w:val="-10"/>
                <w:sz w:val="16"/>
              </w:rPr>
              <w:t>8</w:t>
            </w:r>
          </w:p>
        </w:tc>
        <w:tc>
          <w:tcPr>
            <w:tcW w:w="1134" w:type="dxa"/>
            <w:tcBorders>
              <w:top w:val="single" w:sz="4" w:space="0" w:color="000000"/>
              <w:bottom w:val="single" w:sz="4" w:space="0" w:color="000000"/>
            </w:tcBorders>
            <w:shd w:val="clear" w:color="auto" w:fill="E6E7E8"/>
          </w:tcPr>
          <w:p>
            <w:pPr>
              <w:pStyle w:val="TableParagraph"/>
              <w:rPr>
                <w:rFonts w:ascii="Times New Roman"/>
                <w:sz w:val="16"/>
              </w:rPr>
            </w:pPr>
          </w:p>
        </w:tc>
        <w:tc>
          <w:tcPr>
            <w:tcW w:w="1134" w:type="dxa"/>
            <w:tcBorders>
              <w:top w:val="single" w:sz="4" w:space="0" w:color="000000"/>
              <w:bottom w:val="single" w:sz="4" w:space="0" w:color="000000"/>
            </w:tcBorders>
          </w:tcPr>
          <w:p>
            <w:pPr>
              <w:pStyle w:val="TableParagraph"/>
              <w:rPr>
                <w:rFonts w:ascii="Times New Roman"/>
                <w:sz w:val="16"/>
              </w:rPr>
            </w:pPr>
          </w:p>
        </w:tc>
      </w:tr>
      <w:tr>
        <w:trPr>
          <w:trHeight w:val="437" w:hRule="atLeast"/>
        </w:trPr>
        <w:tc>
          <w:tcPr>
            <w:tcW w:w="2098" w:type="dxa"/>
            <w:tcBorders>
              <w:top w:val="single" w:sz="4" w:space="0" w:color="000000"/>
              <w:bottom w:val="single" w:sz="4" w:space="0" w:color="000000"/>
            </w:tcBorders>
          </w:tcPr>
          <w:p>
            <w:pPr>
              <w:pStyle w:val="TableParagraph"/>
              <w:spacing w:before="124"/>
              <w:ind w:left="147"/>
              <w:rPr>
                <w:rFonts w:ascii="TT Norms Pro Light"/>
                <w:b w:val="0"/>
                <w:sz w:val="18"/>
              </w:rPr>
            </w:pPr>
            <w:r>
              <w:rPr>
                <w:rFonts w:ascii="TT Norms Pro Light"/>
                <w:b w:val="0"/>
                <w:sz w:val="18"/>
              </w:rPr>
              <w:t>Ms</w:t>
            </w:r>
            <w:r>
              <w:rPr>
                <w:rFonts w:ascii="TT Norms Pro Light"/>
                <w:b w:val="0"/>
                <w:spacing w:val="-2"/>
                <w:sz w:val="18"/>
              </w:rPr>
              <w:t> </w:t>
            </w:r>
            <w:r>
              <w:rPr>
                <w:rFonts w:ascii="TT Norms Pro Light"/>
                <w:b w:val="0"/>
                <w:sz w:val="18"/>
              </w:rPr>
              <w:t>J</w:t>
            </w:r>
            <w:r>
              <w:rPr>
                <w:rFonts w:ascii="TT Norms Pro Light"/>
                <w:b w:val="0"/>
                <w:spacing w:val="1"/>
                <w:sz w:val="18"/>
              </w:rPr>
              <w:t> </w:t>
            </w:r>
            <w:r>
              <w:rPr>
                <w:rFonts w:ascii="TT Norms Pro Light"/>
                <w:b w:val="0"/>
                <w:spacing w:val="-2"/>
                <w:sz w:val="18"/>
              </w:rPr>
              <w:t>Farrell</w:t>
            </w:r>
          </w:p>
        </w:tc>
        <w:tc>
          <w:tcPr>
            <w:tcW w:w="1885" w:type="dxa"/>
            <w:tcBorders>
              <w:top w:val="single" w:sz="4" w:space="0" w:color="000000"/>
              <w:bottom w:val="single" w:sz="4" w:space="0" w:color="000000"/>
            </w:tcBorders>
            <w:shd w:val="clear" w:color="auto" w:fill="E6E7E8"/>
          </w:tcPr>
          <w:p>
            <w:pPr>
              <w:pStyle w:val="TableParagraph"/>
              <w:spacing w:before="124"/>
              <w:ind w:left="147"/>
              <w:rPr>
                <w:rFonts w:ascii="TT Norms Pro Light"/>
                <w:b w:val="0"/>
                <w:sz w:val="18"/>
              </w:rPr>
            </w:pPr>
            <w:r>
              <w:rPr>
                <w:rFonts w:ascii="TT Norms Pro Light"/>
                <w:b w:val="0"/>
                <w:sz w:val="18"/>
              </w:rPr>
              <w:t>Whole</w:t>
            </w:r>
            <w:r>
              <w:rPr>
                <w:rFonts w:ascii="TT Norms Pro Light"/>
                <w:b w:val="0"/>
                <w:spacing w:val="3"/>
                <w:sz w:val="18"/>
              </w:rPr>
              <w:t> </w:t>
            </w:r>
            <w:r>
              <w:rPr>
                <w:rFonts w:ascii="TT Norms Pro Light"/>
                <w:b w:val="0"/>
                <w:spacing w:val="-4"/>
                <w:sz w:val="18"/>
              </w:rPr>
              <w:t>year</w:t>
            </w:r>
          </w:p>
        </w:tc>
        <w:tc>
          <w:tcPr>
            <w:tcW w:w="1035" w:type="dxa"/>
            <w:tcBorders>
              <w:top w:val="single" w:sz="4" w:space="0" w:color="000000"/>
              <w:bottom w:val="single" w:sz="4" w:space="0" w:color="000000"/>
            </w:tcBorders>
          </w:tcPr>
          <w:p>
            <w:pPr>
              <w:pStyle w:val="TableParagraph"/>
              <w:tabs>
                <w:tab w:pos="664" w:val="left" w:leader="none"/>
              </w:tabs>
              <w:spacing w:before="126"/>
              <w:ind w:left="147"/>
              <w:rPr>
                <w:rFonts w:ascii="TT Norms Pro Light"/>
                <w:b w:val="0"/>
                <w:sz w:val="16"/>
              </w:rPr>
            </w:pPr>
            <w:r>
              <w:rPr>
                <w:rFonts w:ascii="TT Norms Pro Light"/>
                <w:b w:val="0"/>
                <w:spacing w:val="-10"/>
                <w:sz w:val="16"/>
              </w:rPr>
              <w:t>7</w:t>
            </w:r>
            <w:r>
              <w:rPr>
                <w:rFonts w:ascii="TT Norms Pro Light"/>
                <w:b w:val="0"/>
                <w:sz w:val="16"/>
              </w:rPr>
              <w:tab/>
            </w:r>
            <w:r>
              <w:rPr>
                <w:rFonts w:ascii="TT Norms Pro Light"/>
                <w:b w:val="0"/>
                <w:spacing w:val="-10"/>
                <w:sz w:val="16"/>
              </w:rPr>
              <w:t>7</w:t>
            </w:r>
          </w:p>
        </w:tc>
        <w:tc>
          <w:tcPr>
            <w:tcW w:w="1068" w:type="dxa"/>
            <w:tcBorders>
              <w:top w:val="single" w:sz="4" w:space="0" w:color="000000"/>
              <w:bottom w:val="single" w:sz="4" w:space="0" w:color="000000"/>
            </w:tcBorders>
            <w:shd w:val="clear" w:color="auto" w:fill="E6E7E8"/>
          </w:tcPr>
          <w:p>
            <w:pPr>
              <w:pStyle w:val="TableParagraph"/>
              <w:tabs>
                <w:tab w:pos="680" w:val="left" w:leader="none"/>
              </w:tabs>
              <w:spacing w:before="126"/>
              <w:ind w:left="146"/>
              <w:rPr>
                <w:rFonts w:ascii="TT Norms Pro Light"/>
                <w:b w:val="0"/>
                <w:sz w:val="16"/>
              </w:rPr>
            </w:pPr>
            <w:r>
              <w:rPr>
                <w:rFonts w:ascii="TT Norms Pro Light"/>
                <w:b w:val="0"/>
                <w:spacing w:val="-10"/>
                <w:sz w:val="16"/>
              </w:rPr>
              <w:t>1</w:t>
            </w:r>
            <w:r>
              <w:rPr>
                <w:rFonts w:ascii="TT Norms Pro Light"/>
                <w:b w:val="0"/>
                <w:sz w:val="16"/>
              </w:rPr>
              <w:tab/>
            </w:r>
            <w:r>
              <w:rPr>
                <w:rFonts w:ascii="TT Norms Pro Light"/>
                <w:b w:val="0"/>
                <w:spacing w:val="-10"/>
                <w:sz w:val="16"/>
              </w:rPr>
              <w:t>1</w:t>
            </w:r>
          </w:p>
        </w:tc>
        <w:tc>
          <w:tcPr>
            <w:tcW w:w="1436" w:type="dxa"/>
            <w:tcBorders>
              <w:top w:val="single" w:sz="4" w:space="0" w:color="000000"/>
              <w:bottom w:val="single" w:sz="4" w:space="0" w:color="000000"/>
            </w:tcBorders>
          </w:tcPr>
          <w:p>
            <w:pPr>
              <w:pStyle w:val="TableParagraph"/>
              <w:rPr>
                <w:rFonts w:ascii="Times New Roman"/>
                <w:sz w:val="16"/>
              </w:rPr>
            </w:pPr>
          </w:p>
        </w:tc>
        <w:tc>
          <w:tcPr>
            <w:tcW w:w="1134" w:type="dxa"/>
            <w:tcBorders>
              <w:top w:val="single" w:sz="4" w:space="0" w:color="000000"/>
              <w:bottom w:val="single" w:sz="4" w:space="0" w:color="000000"/>
            </w:tcBorders>
            <w:shd w:val="clear" w:color="auto" w:fill="E6E7E8"/>
          </w:tcPr>
          <w:p>
            <w:pPr>
              <w:pStyle w:val="TableParagraph"/>
              <w:rPr>
                <w:rFonts w:ascii="Times New Roman"/>
                <w:sz w:val="16"/>
              </w:rPr>
            </w:pPr>
          </w:p>
        </w:tc>
        <w:tc>
          <w:tcPr>
            <w:tcW w:w="1134" w:type="dxa"/>
            <w:tcBorders>
              <w:top w:val="single" w:sz="4" w:space="0" w:color="000000"/>
              <w:bottom w:val="single" w:sz="4" w:space="0" w:color="000000"/>
            </w:tcBorders>
          </w:tcPr>
          <w:p>
            <w:pPr>
              <w:pStyle w:val="TableParagraph"/>
              <w:rPr>
                <w:rFonts w:ascii="Times New Roman"/>
                <w:sz w:val="16"/>
              </w:rPr>
            </w:pPr>
          </w:p>
        </w:tc>
      </w:tr>
      <w:tr>
        <w:trPr>
          <w:trHeight w:val="697" w:hRule="atLeast"/>
        </w:trPr>
        <w:tc>
          <w:tcPr>
            <w:tcW w:w="2098" w:type="dxa"/>
            <w:tcBorders>
              <w:top w:val="single" w:sz="4" w:space="0" w:color="000000"/>
              <w:bottom w:val="single" w:sz="4" w:space="0" w:color="000000"/>
            </w:tcBorders>
          </w:tcPr>
          <w:p>
            <w:pPr>
              <w:pStyle w:val="TableParagraph"/>
              <w:spacing w:line="295" w:lineRule="auto" w:before="124"/>
              <w:ind w:left="147"/>
              <w:rPr>
                <w:rFonts w:ascii="TT Norms Pro Light"/>
                <w:b w:val="0"/>
                <w:sz w:val="18"/>
              </w:rPr>
            </w:pPr>
            <w:r>
              <w:rPr>
                <w:rFonts w:ascii="TT Norms Pro Light"/>
                <w:b w:val="0"/>
                <w:sz w:val="18"/>
              </w:rPr>
              <w:t>Chancellor,</w:t>
            </w:r>
            <w:r>
              <w:rPr>
                <w:rFonts w:ascii="TT Norms Pro Light"/>
                <w:b w:val="0"/>
                <w:spacing w:val="-9"/>
                <w:sz w:val="18"/>
              </w:rPr>
              <w:t> </w:t>
            </w:r>
            <w:r>
              <w:rPr>
                <w:rFonts w:ascii="TT Norms Pro Light"/>
                <w:b w:val="0"/>
                <w:sz w:val="18"/>
              </w:rPr>
              <w:t>The</w:t>
            </w:r>
            <w:r>
              <w:rPr>
                <w:rFonts w:ascii="TT Norms Pro Light"/>
                <w:b w:val="0"/>
                <w:spacing w:val="-9"/>
                <w:sz w:val="18"/>
              </w:rPr>
              <w:t> </w:t>
            </w:r>
            <w:r>
              <w:rPr>
                <w:rFonts w:ascii="TT Norms Pro Light"/>
                <w:b w:val="0"/>
                <w:sz w:val="18"/>
              </w:rPr>
              <w:t>Hon</w:t>
            </w:r>
            <w:r>
              <w:rPr>
                <w:rFonts w:ascii="TT Norms Pro Light"/>
                <w:b w:val="0"/>
                <w:spacing w:val="-9"/>
                <w:sz w:val="18"/>
              </w:rPr>
              <w:t> </w:t>
            </w:r>
            <w:r>
              <w:rPr>
                <w:rFonts w:ascii="TT Norms Pro Light"/>
                <w:b w:val="0"/>
                <w:sz w:val="18"/>
              </w:rPr>
              <w:t>R</w:t>
            </w:r>
            <w:r>
              <w:rPr>
                <w:rFonts w:ascii="TT Norms Pro Light"/>
                <w:b w:val="0"/>
                <w:spacing w:val="40"/>
                <w:sz w:val="18"/>
              </w:rPr>
              <w:t> </w:t>
            </w:r>
            <w:r>
              <w:rPr>
                <w:rFonts w:ascii="TT Norms Pro Light"/>
                <w:b w:val="0"/>
                <w:sz w:val="18"/>
              </w:rPr>
              <w:t>French</w:t>
            </w:r>
            <w:r>
              <w:rPr>
                <w:rFonts w:ascii="TT Norms Pro Light"/>
                <w:b w:val="0"/>
                <w:spacing w:val="-5"/>
                <w:sz w:val="18"/>
              </w:rPr>
              <w:t> </w:t>
            </w:r>
            <w:r>
              <w:rPr>
                <w:rFonts w:ascii="TT Norms Pro Light"/>
                <w:b w:val="0"/>
                <w:sz w:val="18"/>
              </w:rPr>
              <w:t>AC</w:t>
            </w:r>
          </w:p>
        </w:tc>
        <w:tc>
          <w:tcPr>
            <w:tcW w:w="1885" w:type="dxa"/>
            <w:tcBorders>
              <w:top w:val="single" w:sz="4" w:space="0" w:color="000000"/>
              <w:bottom w:val="single" w:sz="4" w:space="0" w:color="000000"/>
            </w:tcBorders>
            <w:shd w:val="clear" w:color="auto" w:fill="E6E7E8"/>
          </w:tcPr>
          <w:p>
            <w:pPr>
              <w:pStyle w:val="TableParagraph"/>
              <w:spacing w:before="124"/>
              <w:ind w:left="147"/>
              <w:rPr>
                <w:rFonts w:ascii="TT Norms Pro Light"/>
                <w:b w:val="0"/>
                <w:sz w:val="18"/>
              </w:rPr>
            </w:pPr>
            <w:r>
              <w:rPr>
                <w:rFonts w:ascii="TT Norms Pro Light"/>
                <w:b w:val="0"/>
                <w:sz w:val="18"/>
              </w:rPr>
              <w:t>Whole</w:t>
            </w:r>
            <w:r>
              <w:rPr>
                <w:rFonts w:ascii="TT Norms Pro Light"/>
                <w:b w:val="0"/>
                <w:spacing w:val="3"/>
                <w:sz w:val="18"/>
              </w:rPr>
              <w:t> </w:t>
            </w:r>
            <w:r>
              <w:rPr>
                <w:rFonts w:ascii="TT Norms Pro Light"/>
                <w:b w:val="0"/>
                <w:spacing w:val="-4"/>
                <w:sz w:val="18"/>
              </w:rPr>
              <w:t>year</w:t>
            </w:r>
          </w:p>
        </w:tc>
        <w:tc>
          <w:tcPr>
            <w:tcW w:w="1035" w:type="dxa"/>
            <w:tcBorders>
              <w:top w:val="single" w:sz="4" w:space="0" w:color="000000"/>
              <w:bottom w:val="single" w:sz="4" w:space="0" w:color="000000"/>
            </w:tcBorders>
          </w:tcPr>
          <w:p>
            <w:pPr>
              <w:pStyle w:val="TableParagraph"/>
              <w:tabs>
                <w:tab w:pos="664" w:val="left" w:leader="none"/>
              </w:tabs>
              <w:spacing w:before="126"/>
              <w:ind w:left="147"/>
              <w:rPr>
                <w:rFonts w:ascii="TT Norms Pro Light"/>
                <w:b w:val="0"/>
                <w:sz w:val="16"/>
              </w:rPr>
            </w:pPr>
            <w:r>
              <w:rPr>
                <w:rFonts w:ascii="TT Norms Pro Light"/>
                <w:b w:val="0"/>
                <w:spacing w:val="-10"/>
                <w:sz w:val="16"/>
              </w:rPr>
              <w:t>7</w:t>
            </w:r>
            <w:r>
              <w:rPr>
                <w:rFonts w:ascii="TT Norms Pro Light"/>
                <w:b w:val="0"/>
                <w:sz w:val="16"/>
              </w:rPr>
              <w:tab/>
            </w:r>
            <w:r>
              <w:rPr>
                <w:rFonts w:ascii="TT Norms Pro Light"/>
                <w:b w:val="0"/>
                <w:spacing w:val="-10"/>
                <w:sz w:val="16"/>
              </w:rPr>
              <w:t>7</w:t>
            </w:r>
          </w:p>
        </w:tc>
        <w:tc>
          <w:tcPr>
            <w:tcW w:w="1068" w:type="dxa"/>
            <w:tcBorders>
              <w:top w:val="single" w:sz="4" w:space="0" w:color="000000"/>
              <w:bottom w:val="single" w:sz="4" w:space="0" w:color="000000"/>
            </w:tcBorders>
            <w:shd w:val="clear" w:color="auto" w:fill="E6E7E8"/>
          </w:tcPr>
          <w:p>
            <w:pPr>
              <w:pStyle w:val="TableParagraph"/>
              <w:tabs>
                <w:tab w:pos="680" w:val="left" w:leader="none"/>
              </w:tabs>
              <w:spacing w:before="126"/>
              <w:ind w:left="146"/>
              <w:rPr>
                <w:rFonts w:ascii="TT Norms Pro Light"/>
                <w:b w:val="0"/>
                <w:sz w:val="16"/>
              </w:rPr>
            </w:pPr>
            <w:r>
              <w:rPr>
                <w:rFonts w:ascii="TT Norms Pro Light"/>
                <w:b w:val="0"/>
                <w:spacing w:val="-10"/>
                <w:sz w:val="16"/>
              </w:rPr>
              <w:t>4</w:t>
            </w:r>
            <w:r>
              <w:rPr>
                <w:rFonts w:ascii="TT Norms Pro Light"/>
                <w:b w:val="0"/>
                <w:sz w:val="16"/>
              </w:rPr>
              <w:tab/>
            </w:r>
            <w:r>
              <w:rPr>
                <w:rFonts w:ascii="TT Norms Pro Light"/>
                <w:b w:val="0"/>
                <w:spacing w:val="-12"/>
                <w:sz w:val="16"/>
              </w:rPr>
              <w:t>2</w:t>
            </w:r>
          </w:p>
        </w:tc>
        <w:tc>
          <w:tcPr>
            <w:tcW w:w="1436" w:type="dxa"/>
            <w:tcBorders>
              <w:top w:val="single" w:sz="4" w:space="0" w:color="000000"/>
              <w:bottom w:val="single" w:sz="4" w:space="0" w:color="000000"/>
            </w:tcBorders>
          </w:tcPr>
          <w:p>
            <w:pPr>
              <w:pStyle w:val="TableParagraph"/>
              <w:tabs>
                <w:tab w:pos="864" w:val="left" w:leader="none"/>
              </w:tabs>
              <w:spacing w:before="126"/>
              <w:ind w:left="146"/>
              <w:rPr>
                <w:rFonts w:ascii="TT Norms Pro Light"/>
                <w:b w:val="0"/>
                <w:sz w:val="16"/>
              </w:rPr>
            </w:pPr>
            <w:r>
              <w:rPr>
                <w:rFonts w:ascii="TT Norms Pro Light"/>
                <w:b w:val="0"/>
                <w:spacing w:val="-10"/>
                <w:sz w:val="16"/>
              </w:rPr>
              <w:t>9</w:t>
            </w:r>
            <w:r>
              <w:rPr>
                <w:rFonts w:ascii="TT Norms Pro Light"/>
                <w:b w:val="0"/>
                <w:sz w:val="16"/>
              </w:rPr>
              <w:tab/>
            </w:r>
            <w:r>
              <w:rPr>
                <w:rFonts w:ascii="TT Norms Pro Light"/>
                <w:b w:val="0"/>
                <w:spacing w:val="-10"/>
                <w:sz w:val="16"/>
              </w:rPr>
              <w:t>9</w:t>
            </w:r>
          </w:p>
        </w:tc>
        <w:tc>
          <w:tcPr>
            <w:tcW w:w="1134" w:type="dxa"/>
            <w:tcBorders>
              <w:top w:val="single" w:sz="4" w:space="0" w:color="000000"/>
              <w:bottom w:val="single" w:sz="4" w:space="0" w:color="000000"/>
            </w:tcBorders>
            <w:shd w:val="clear" w:color="auto" w:fill="E6E7E8"/>
          </w:tcPr>
          <w:p>
            <w:pPr>
              <w:pStyle w:val="TableParagraph"/>
              <w:tabs>
                <w:tab w:pos="713" w:val="left" w:leader="none"/>
              </w:tabs>
              <w:spacing w:before="126"/>
              <w:ind w:left="146"/>
              <w:rPr>
                <w:rFonts w:ascii="TT Norms Pro Light"/>
                <w:b w:val="0"/>
                <w:sz w:val="16"/>
              </w:rPr>
            </w:pPr>
            <w:r>
              <w:rPr>
                <w:rFonts w:ascii="TT Norms Pro Light"/>
                <w:b w:val="0"/>
                <w:spacing w:val="-10"/>
                <w:sz w:val="16"/>
              </w:rPr>
              <w:t>2</w:t>
            </w:r>
            <w:r>
              <w:rPr>
                <w:rFonts w:ascii="TT Norms Pro Light"/>
                <w:b w:val="0"/>
                <w:sz w:val="16"/>
              </w:rPr>
              <w:tab/>
            </w:r>
            <w:r>
              <w:rPr>
                <w:rFonts w:ascii="TT Norms Pro Light"/>
                <w:b w:val="0"/>
                <w:spacing w:val="-10"/>
                <w:sz w:val="16"/>
              </w:rPr>
              <w:t>2</w:t>
            </w:r>
          </w:p>
        </w:tc>
        <w:tc>
          <w:tcPr>
            <w:tcW w:w="1134" w:type="dxa"/>
            <w:tcBorders>
              <w:top w:val="single" w:sz="4" w:space="0" w:color="000000"/>
              <w:bottom w:val="single" w:sz="4" w:space="0" w:color="000000"/>
            </w:tcBorders>
          </w:tcPr>
          <w:p>
            <w:pPr>
              <w:pStyle w:val="TableParagraph"/>
              <w:tabs>
                <w:tab w:pos="713" w:val="left" w:leader="none"/>
              </w:tabs>
              <w:spacing w:before="126"/>
              <w:ind w:left="146"/>
              <w:rPr>
                <w:rFonts w:ascii="TT Norms Pro Light"/>
                <w:b w:val="0"/>
                <w:sz w:val="16"/>
              </w:rPr>
            </w:pPr>
            <w:r>
              <w:rPr>
                <w:rFonts w:ascii="TT Norms Pro Light"/>
                <w:b w:val="0"/>
                <w:spacing w:val="-10"/>
                <w:sz w:val="16"/>
              </w:rPr>
              <w:t>6</w:t>
            </w:r>
            <w:r>
              <w:rPr>
                <w:rFonts w:ascii="TT Norms Pro Light"/>
                <w:b w:val="0"/>
                <w:sz w:val="16"/>
              </w:rPr>
              <w:tab/>
            </w:r>
            <w:r>
              <w:rPr>
                <w:rFonts w:ascii="TT Norms Pro Light"/>
                <w:b w:val="0"/>
                <w:spacing w:val="-10"/>
                <w:sz w:val="16"/>
              </w:rPr>
              <w:t>4</w:t>
            </w:r>
          </w:p>
        </w:tc>
      </w:tr>
      <w:tr>
        <w:trPr>
          <w:trHeight w:val="957" w:hRule="atLeast"/>
        </w:trPr>
        <w:tc>
          <w:tcPr>
            <w:tcW w:w="2098" w:type="dxa"/>
            <w:tcBorders>
              <w:top w:val="single" w:sz="4" w:space="0" w:color="000000"/>
              <w:bottom w:val="single" w:sz="4" w:space="0" w:color="000000"/>
            </w:tcBorders>
          </w:tcPr>
          <w:p>
            <w:pPr>
              <w:pStyle w:val="TableParagraph"/>
              <w:spacing w:line="295" w:lineRule="auto" w:before="124"/>
              <w:ind w:left="147" w:right="520"/>
              <w:rPr>
                <w:rFonts w:ascii="TT Norms Pro Light"/>
                <w:b w:val="0"/>
                <w:sz w:val="18"/>
              </w:rPr>
            </w:pPr>
            <w:r>
              <w:rPr>
                <w:rFonts w:ascii="TT Norms Pro Light"/>
                <w:b w:val="0"/>
                <w:spacing w:val="-2"/>
                <w:sz w:val="18"/>
              </w:rPr>
              <w:t>Vice-Chancellor,</w:t>
            </w:r>
            <w:r>
              <w:rPr>
                <w:rFonts w:ascii="TT Norms Pro Light"/>
                <w:b w:val="0"/>
                <w:spacing w:val="40"/>
                <w:sz w:val="18"/>
              </w:rPr>
              <w:t> </w:t>
            </w:r>
            <w:r>
              <w:rPr>
                <w:rFonts w:ascii="TT Norms Pro Light"/>
                <w:b w:val="0"/>
                <w:sz w:val="18"/>
              </w:rPr>
              <w:t>Professor</w:t>
            </w:r>
            <w:r>
              <w:rPr>
                <w:rFonts w:ascii="TT Norms Pro Light"/>
                <w:b w:val="0"/>
                <w:spacing w:val="-5"/>
                <w:sz w:val="18"/>
              </w:rPr>
              <w:t> </w:t>
            </w:r>
            <w:r>
              <w:rPr>
                <w:rFonts w:ascii="TT Norms Pro Light"/>
                <w:b w:val="0"/>
                <w:sz w:val="18"/>
              </w:rPr>
              <w:t>D</w:t>
            </w:r>
            <w:r>
              <w:rPr>
                <w:rFonts w:ascii="TT Norms Pro Light"/>
                <w:b w:val="0"/>
                <w:spacing w:val="40"/>
                <w:sz w:val="18"/>
              </w:rPr>
              <w:t> </w:t>
            </w:r>
            <w:r>
              <w:rPr>
                <w:rFonts w:ascii="TT Norms Pro Light"/>
                <w:b w:val="0"/>
                <w:spacing w:val="-2"/>
                <w:sz w:val="18"/>
              </w:rPr>
              <w:t>Freshwater</w:t>
            </w:r>
          </w:p>
        </w:tc>
        <w:tc>
          <w:tcPr>
            <w:tcW w:w="1885" w:type="dxa"/>
            <w:tcBorders>
              <w:top w:val="single" w:sz="4" w:space="0" w:color="000000"/>
              <w:bottom w:val="single" w:sz="4" w:space="0" w:color="000000"/>
            </w:tcBorders>
            <w:shd w:val="clear" w:color="auto" w:fill="E6E7E8"/>
          </w:tcPr>
          <w:p>
            <w:pPr>
              <w:pStyle w:val="TableParagraph"/>
              <w:spacing w:before="124"/>
              <w:ind w:left="147"/>
              <w:rPr>
                <w:rFonts w:ascii="TT Norms Pro Light"/>
                <w:b w:val="0"/>
                <w:sz w:val="18"/>
              </w:rPr>
            </w:pPr>
            <w:r>
              <w:rPr>
                <w:rFonts w:ascii="TT Norms Pro Light"/>
                <w:b w:val="0"/>
                <w:sz w:val="18"/>
              </w:rPr>
              <w:t>To</w:t>
            </w:r>
            <w:r>
              <w:rPr>
                <w:rFonts w:ascii="TT Norms Pro Light"/>
                <w:b w:val="0"/>
                <w:spacing w:val="-8"/>
                <w:sz w:val="18"/>
              </w:rPr>
              <w:t> </w:t>
            </w:r>
            <w:r>
              <w:rPr>
                <w:rFonts w:ascii="TT Norms Pro Light"/>
                <w:b w:val="0"/>
                <w:sz w:val="18"/>
              </w:rPr>
              <w:t>13</w:t>
            </w:r>
            <w:r>
              <w:rPr>
                <w:rFonts w:ascii="TT Norms Pro Light"/>
                <w:b w:val="0"/>
                <w:spacing w:val="-6"/>
                <w:sz w:val="18"/>
              </w:rPr>
              <w:t> </w:t>
            </w:r>
            <w:r>
              <w:rPr>
                <w:rFonts w:ascii="TT Norms Pro Light"/>
                <w:b w:val="0"/>
                <w:spacing w:val="-2"/>
                <w:sz w:val="18"/>
              </w:rPr>
              <w:t>March</w:t>
            </w:r>
          </w:p>
        </w:tc>
        <w:tc>
          <w:tcPr>
            <w:tcW w:w="1035" w:type="dxa"/>
            <w:tcBorders>
              <w:top w:val="single" w:sz="4" w:space="0" w:color="000000"/>
              <w:bottom w:val="single" w:sz="4" w:space="0" w:color="000000"/>
            </w:tcBorders>
          </w:tcPr>
          <w:p>
            <w:pPr>
              <w:pStyle w:val="TableParagraph"/>
              <w:tabs>
                <w:tab w:pos="664" w:val="left" w:leader="none"/>
              </w:tabs>
              <w:spacing w:before="126"/>
              <w:ind w:left="147"/>
              <w:rPr>
                <w:rFonts w:ascii="TT Norms Pro Light"/>
                <w:b w:val="0"/>
                <w:sz w:val="16"/>
              </w:rPr>
            </w:pPr>
            <w:r>
              <w:rPr>
                <w:rFonts w:ascii="TT Norms Pro Light"/>
                <w:b w:val="0"/>
                <w:spacing w:val="-10"/>
                <w:sz w:val="16"/>
              </w:rPr>
              <w:t>1</w:t>
            </w:r>
            <w:r>
              <w:rPr>
                <w:rFonts w:ascii="TT Norms Pro Light"/>
                <w:b w:val="0"/>
                <w:sz w:val="16"/>
              </w:rPr>
              <w:tab/>
            </w:r>
            <w:r>
              <w:rPr>
                <w:rFonts w:ascii="TT Norms Pro Light"/>
                <w:b w:val="0"/>
                <w:spacing w:val="-10"/>
                <w:sz w:val="16"/>
              </w:rPr>
              <w:t>1</w:t>
            </w:r>
          </w:p>
        </w:tc>
        <w:tc>
          <w:tcPr>
            <w:tcW w:w="1068" w:type="dxa"/>
            <w:tcBorders>
              <w:top w:val="single" w:sz="4" w:space="0" w:color="000000"/>
              <w:bottom w:val="single" w:sz="4" w:space="0" w:color="000000"/>
            </w:tcBorders>
            <w:shd w:val="clear" w:color="auto" w:fill="E6E7E8"/>
          </w:tcPr>
          <w:p>
            <w:pPr>
              <w:pStyle w:val="TableParagraph"/>
              <w:tabs>
                <w:tab w:pos="680" w:val="left" w:leader="none"/>
              </w:tabs>
              <w:spacing w:before="126"/>
              <w:ind w:left="146"/>
              <w:rPr>
                <w:rFonts w:ascii="TT Norms Pro Light"/>
                <w:b w:val="0"/>
                <w:sz w:val="16"/>
              </w:rPr>
            </w:pPr>
            <w:r>
              <w:rPr>
                <w:rFonts w:ascii="TT Norms Pro Light"/>
                <w:b w:val="0"/>
                <w:spacing w:val="-10"/>
                <w:sz w:val="16"/>
              </w:rPr>
              <w:t>2</w:t>
            </w:r>
            <w:r>
              <w:rPr>
                <w:rFonts w:ascii="TT Norms Pro Light"/>
                <w:b w:val="0"/>
                <w:sz w:val="16"/>
              </w:rPr>
              <w:tab/>
            </w:r>
            <w:r>
              <w:rPr>
                <w:rFonts w:ascii="TT Norms Pro Light"/>
                <w:b w:val="0"/>
                <w:spacing w:val="-10"/>
                <w:sz w:val="16"/>
              </w:rPr>
              <w:t>0</w:t>
            </w:r>
          </w:p>
        </w:tc>
        <w:tc>
          <w:tcPr>
            <w:tcW w:w="1436" w:type="dxa"/>
            <w:tcBorders>
              <w:top w:val="single" w:sz="4" w:space="0" w:color="000000"/>
              <w:bottom w:val="single" w:sz="4" w:space="0" w:color="000000"/>
            </w:tcBorders>
          </w:tcPr>
          <w:p>
            <w:pPr>
              <w:pStyle w:val="TableParagraph"/>
              <w:tabs>
                <w:tab w:pos="864" w:val="left" w:leader="none"/>
              </w:tabs>
              <w:spacing w:before="126"/>
              <w:ind w:left="146"/>
              <w:rPr>
                <w:rFonts w:ascii="TT Norms Pro Light"/>
                <w:b w:val="0"/>
                <w:sz w:val="16"/>
              </w:rPr>
            </w:pPr>
            <w:r>
              <w:rPr>
                <w:rFonts w:ascii="TT Norms Pro Light"/>
                <w:b w:val="0"/>
                <w:spacing w:val="-10"/>
                <w:sz w:val="16"/>
              </w:rPr>
              <w:t>1</w:t>
            </w:r>
            <w:r>
              <w:rPr>
                <w:rFonts w:ascii="TT Norms Pro Light"/>
                <w:b w:val="0"/>
                <w:sz w:val="16"/>
              </w:rPr>
              <w:tab/>
            </w:r>
            <w:r>
              <w:rPr>
                <w:rFonts w:ascii="TT Norms Pro Light"/>
                <w:b w:val="0"/>
                <w:spacing w:val="-10"/>
                <w:sz w:val="16"/>
              </w:rPr>
              <w:t>1</w:t>
            </w:r>
          </w:p>
        </w:tc>
        <w:tc>
          <w:tcPr>
            <w:tcW w:w="1134" w:type="dxa"/>
            <w:tcBorders>
              <w:top w:val="single" w:sz="4" w:space="0" w:color="000000"/>
              <w:bottom w:val="single" w:sz="4" w:space="0" w:color="000000"/>
            </w:tcBorders>
            <w:shd w:val="clear" w:color="auto" w:fill="E6E7E8"/>
          </w:tcPr>
          <w:p>
            <w:pPr>
              <w:pStyle w:val="TableParagraph"/>
              <w:rPr>
                <w:rFonts w:ascii="Times New Roman"/>
                <w:sz w:val="16"/>
              </w:rPr>
            </w:pPr>
          </w:p>
        </w:tc>
        <w:tc>
          <w:tcPr>
            <w:tcW w:w="1134" w:type="dxa"/>
            <w:tcBorders>
              <w:top w:val="single" w:sz="4" w:space="0" w:color="000000"/>
              <w:bottom w:val="single" w:sz="4" w:space="0" w:color="000000"/>
            </w:tcBorders>
          </w:tcPr>
          <w:p>
            <w:pPr>
              <w:pStyle w:val="TableParagraph"/>
              <w:tabs>
                <w:tab w:pos="713" w:val="left" w:leader="none"/>
              </w:tabs>
              <w:spacing w:before="126"/>
              <w:ind w:left="146"/>
              <w:rPr>
                <w:rFonts w:ascii="TT Norms Pro Light"/>
                <w:b w:val="0"/>
                <w:sz w:val="16"/>
              </w:rPr>
            </w:pPr>
            <w:r>
              <w:rPr>
                <w:rFonts w:ascii="TT Norms Pro Light"/>
                <w:b w:val="0"/>
                <w:spacing w:val="-10"/>
                <w:sz w:val="16"/>
              </w:rPr>
              <w:t>1</w:t>
            </w:r>
            <w:r>
              <w:rPr>
                <w:rFonts w:ascii="TT Norms Pro Light"/>
                <w:b w:val="0"/>
                <w:sz w:val="16"/>
              </w:rPr>
              <w:tab/>
            </w:r>
            <w:r>
              <w:rPr>
                <w:rFonts w:ascii="TT Norms Pro Light"/>
                <w:b w:val="0"/>
                <w:spacing w:val="-10"/>
                <w:sz w:val="16"/>
              </w:rPr>
              <w:t>0</w:t>
            </w:r>
          </w:p>
        </w:tc>
      </w:tr>
      <w:tr>
        <w:trPr>
          <w:trHeight w:val="437" w:hRule="atLeast"/>
        </w:trPr>
        <w:tc>
          <w:tcPr>
            <w:tcW w:w="2098" w:type="dxa"/>
            <w:tcBorders>
              <w:top w:val="single" w:sz="4" w:space="0" w:color="000000"/>
              <w:bottom w:val="single" w:sz="4" w:space="0" w:color="000000"/>
            </w:tcBorders>
          </w:tcPr>
          <w:p>
            <w:pPr>
              <w:pStyle w:val="TableParagraph"/>
              <w:spacing w:before="124"/>
              <w:ind w:left="147"/>
              <w:rPr>
                <w:rFonts w:ascii="TT Norms Pro Light"/>
                <w:b w:val="0"/>
                <w:sz w:val="18"/>
              </w:rPr>
            </w:pPr>
            <w:r>
              <w:rPr>
                <w:rFonts w:ascii="TT Norms Pro Light"/>
                <w:b w:val="0"/>
                <w:sz w:val="18"/>
              </w:rPr>
              <w:t>Dr</w:t>
            </w:r>
            <w:r>
              <w:rPr>
                <w:rFonts w:ascii="TT Norms Pro Light"/>
                <w:b w:val="0"/>
                <w:spacing w:val="2"/>
                <w:sz w:val="18"/>
              </w:rPr>
              <w:t> </w:t>
            </w:r>
            <w:r>
              <w:rPr>
                <w:rFonts w:ascii="TT Norms Pro Light"/>
                <w:b w:val="0"/>
                <w:sz w:val="18"/>
              </w:rPr>
              <w:t>S</w:t>
            </w:r>
            <w:r>
              <w:rPr>
                <w:rFonts w:ascii="TT Norms Pro Light"/>
                <w:b w:val="0"/>
                <w:spacing w:val="2"/>
                <w:sz w:val="18"/>
              </w:rPr>
              <w:t> </w:t>
            </w:r>
            <w:r>
              <w:rPr>
                <w:rFonts w:ascii="TT Norms Pro Light"/>
                <w:b w:val="0"/>
                <w:sz w:val="18"/>
              </w:rPr>
              <w:t>Gordon</w:t>
            </w:r>
            <w:r>
              <w:rPr>
                <w:rFonts w:ascii="TT Norms Pro Light"/>
                <w:b w:val="0"/>
                <w:spacing w:val="2"/>
                <w:sz w:val="18"/>
              </w:rPr>
              <w:t> </w:t>
            </w:r>
            <w:r>
              <w:rPr>
                <w:rFonts w:ascii="TT Norms Pro Light"/>
                <w:b w:val="0"/>
                <w:spacing w:val="-5"/>
                <w:sz w:val="18"/>
              </w:rPr>
              <w:t>AM</w:t>
            </w:r>
          </w:p>
        </w:tc>
        <w:tc>
          <w:tcPr>
            <w:tcW w:w="1885" w:type="dxa"/>
            <w:tcBorders>
              <w:top w:val="single" w:sz="4" w:space="0" w:color="000000"/>
              <w:bottom w:val="single" w:sz="4" w:space="0" w:color="000000"/>
            </w:tcBorders>
            <w:shd w:val="clear" w:color="auto" w:fill="E6E7E8"/>
          </w:tcPr>
          <w:p>
            <w:pPr>
              <w:pStyle w:val="TableParagraph"/>
              <w:spacing w:before="124"/>
              <w:ind w:left="147"/>
              <w:rPr>
                <w:rFonts w:ascii="TT Norms Pro Light"/>
                <w:b w:val="0"/>
                <w:sz w:val="18"/>
              </w:rPr>
            </w:pPr>
            <w:r>
              <w:rPr>
                <w:rFonts w:ascii="TT Norms Pro Light"/>
                <w:b w:val="0"/>
                <w:sz w:val="18"/>
              </w:rPr>
              <w:t>Whole</w:t>
            </w:r>
            <w:r>
              <w:rPr>
                <w:rFonts w:ascii="TT Norms Pro Light"/>
                <w:b w:val="0"/>
                <w:spacing w:val="3"/>
                <w:sz w:val="18"/>
              </w:rPr>
              <w:t> </w:t>
            </w:r>
            <w:r>
              <w:rPr>
                <w:rFonts w:ascii="TT Norms Pro Light"/>
                <w:b w:val="0"/>
                <w:spacing w:val="-4"/>
                <w:sz w:val="18"/>
              </w:rPr>
              <w:t>year</w:t>
            </w:r>
          </w:p>
        </w:tc>
        <w:tc>
          <w:tcPr>
            <w:tcW w:w="1035" w:type="dxa"/>
            <w:tcBorders>
              <w:top w:val="single" w:sz="4" w:space="0" w:color="000000"/>
              <w:bottom w:val="single" w:sz="4" w:space="0" w:color="000000"/>
            </w:tcBorders>
          </w:tcPr>
          <w:p>
            <w:pPr>
              <w:pStyle w:val="TableParagraph"/>
              <w:tabs>
                <w:tab w:pos="664" w:val="left" w:leader="none"/>
              </w:tabs>
              <w:spacing w:before="126"/>
              <w:ind w:left="147"/>
              <w:rPr>
                <w:rFonts w:ascii="TT Norms Pro Light"/>
                <w:b w:val="0"/>
                <w:sz w:val="16"/>
              </w:rPr>
            </w:pPr>
            <w:r>
              <w:rPr>
                <w:rFonts w:ascii="TT Norms Pro Light"/>
                <w:b w:val="0"/>
                <w:spacing w:val="-10"/>
                <w:sz w:val="16"/>
              </w:rPr>
              <w:t>7</w:t>
            </w:r>
            <w:r>
              <w:rPr>
                <w:rFonts w:ascii="TT Norms Pro Light"/>
                <w:b w:val="0"/>
                <w:sz w:val="16"/>
              </w:rPr>
              <w:tab/>
            </w:r>
            <w:r>
              <w:rPr>
                <w:rFonts w:ascii="TT Norms Pro Light"/>
                <w:b w:val="0"/>
                <w:spacing w:val="-10"/>
                <w:sz w:val="16"/>
              </w:rPr>
              <w:t>5</w:t>
            </w:r>
          </w:p>
        </w:tc>
        <w:tc>
          <w:tcPr>
            <w:tcW w:w="1068" w:type="dxa"/>
            <w:tcBorders>
              <w:top w:val="single" w:sz="4" w:space="0" w:color="000000"/>
              <w:bottom w:val="single" w:sz="4" w:space="0" w:color="000000"/>
            </w:tcBorders>
            <w:shd w:val="clear" w:color="auto" w:fill="E6E7E8"/>
          </w:tcPr>
          <w:p>
            <w:pPr>
              <w:pStyle w:val="TableParagraph"/>
              <w:rPr>
                <w:rFonts w:ascii="Times New Roman"/>
                <w:sz w:val="16"/>
              </w:rPr>
            </w:pPr>
          </w:p>
        </w:tc>
        <w:tc>
          <w:tcPr>
            <w:tcW w:w="1436" w:type="dxa"/>
            <w:tcBorders>
              <w:top w:val="single" w:sz="4" w:space="0" w:color="000000"/>
              <w:bottom w:val="single" w:sz="4" w:space="0" w:color="000000"/>
            </w:tcBorders>
          </w:tcPr>
          <w:p>
            <w:pPr>
              <w:pStyle w:val="TableParagraph"/>
              <w:rPr>
                <w:rFonts w:ascii="Times New Roman"/>
                <w:sz w:val="16"/>
              </w:rPr>
            </w:pPr>
          </w:p>
        </w:tc>
        <w:tc>
          <w:tcPr>
            <w:tcW w:w="1134" w:type="dxa"/>
            <w:tcBorders>
              <w:top w:val="single" w:sz="4" w:space="0" w:color="000000"/>
              <w:bottom w:val="single" w:sz="4" w:space="0" w:color="000000"/>
            </w:tcBorders>
            <w:shd w:val="clear" w:color="auto" w:fill="E6E7E8"/>
          </w:tcPr>
          <w:p>
            <w:pPr>
              <w:pStyle w:val="TableParagraph"/>
              <w:tabs>
                <w:tab w:pos="713" w:val="left" w:leader="none"/>
              </w:tabs>
              <w:spacing w:before="126"/>
              <w:ind w:left="146"/>
              <w:rPr>
                <w:rFonts w:ascii="TT Norms Pro Light"/>
                <w:b w:val="0"/>
                <w:sz w:val="16"/>
              </w:rPr>
            </w:pPr>
            <w:r>
              <w:rPr>
                <w:rFonts w:ascii="TT Norms Pro Light"/>
                <w:b w:val="0"/>
                <w:spacing w:val="-10"/>
                <w:sz w:val="16"/>
              </w:rPr>
              <w:t>2</w:t>
            </w:r>
            <w:r>
              <w:rPr>
                <w:rFonts w:ascii="TT Norms Pro Light"/>
                <w:b w:val="0"/>
                <w:sz w:val="16"/>
              </w:rPr>
              <w:tab/>
            </w:r>
            <w:r>
              <w:rPr>
                <w:rFonts w:ascii="TT Norms Pro Light"/>
                <w:b w:val="0"/>
                <w:spacing w:val="-10"/>
                <w:sz w:val="16"/>
              </w:rPr>
              <w:t>2</w:t>
            </w:r>
          </w:p>
        </w:tc>
        <w:tc>
          <w:tcPr>
            <w:tcW w:w="1134" w:type="dxa"/>
            <w:tcBorders>
              <w:top w:val="single" w:sz="4" w:space="0" w:color="000000"/>
              <w:bottom w:val="single" w:sz="4" w:space="0" w:color="000000"/>
            </w:tcBorders>
          </w:tcPr>
          <w:p>
            <w:pPr>
              <w:pStyle w:val="TableParagraph"/>
              <w:rPr>
                <w:rFonts w:ascii="Times New Roman"/>
                <w:sz w:val="16"/>
              </w:rPr>
            </w:pPr>
          </w:p>
        </w:tc>
      </w:tr>
      <w:tr>
        <w:trPr>
          <w:trHeight w:val="437" w:hRule="atLeast"/>
        </w:trPr>
        <w:tc>
          <w:tcPr>
            <w:tcW w:w="2098" w:type="dxa"/>
            <w:tcBorders>
              <w:top w:val="single" w:sz="4" w:space="0" w:color="000000"/>
              <w:bottom w:val="single" w:sz="4" w:space="0" w:color="000000"/>
            </w:tcBorders>
          </w:tcPr>
          <w:p>
            <w:pPr>
              <w:pStyle w:val="TableParagraph"/>
              <w:spacing w:before="124"/>
              <w:ind w:left="147"/>
              <w:rPr>
                <w:rFonts w:ascii="TT Norms Pro Light"/>
                <w:b w:val="0"/>
                <w:sz w:val="18"/>
              </w:rPr>
            </w:pPr>
            <w:r>
              <w:rPr>
                <w:rFonts w:ascii="TT Norms Pro Light"/>
                <w:b w:val="0"/>
                <w:sz w:val="18"/>
              </w:rPr>
              <w:t>Dr</w:t>
            </w:r>
            <w:r>
              <w:rPr>
                <w:rFonts w:ascii="TT Norms Pro Light"/>
                <w:b w:val="0"/>
                <w:spacing w:val="1"/>
                <w:sz w:val="18"/>
              </w:rPr>
              <w:t> </w:t>
            </w:r>
            <w:r>
              <w:rPr>
                <w:rFonts w:ascii="TT Norms Pro Light"/>
                <w:b w:val="0"/>
                <w:sz w:val="18"/>
              </w:rPr>
              <w:t>L</w:t>
            </w:r>
            <w:r>
              <w:rPr>
                <w:rFonts w:ascii="TT Norms Pro Light"/>
                <w:b w:val="0"/>
                <w:spacing w:val="2"/>
                <w:sz w:val="18"/>
              </w:rPr>
              <w:t> </w:t>
            </w:r>
            <w:r>
              <w:rPr>
                <w:rFonts w:ascii="TT Norms Pro Light"/>
                <w:b w:val="0"/>
                <w:spacing w:val="-2"/>
                <w:sz w:val="18"/>
              </w:rPr>
              <w:t>Hayes</w:t>
            </w:r>
          </w:p>
        </w:tc>
        <w:tc>
          <w:tcPr>
            <w:tcW w:w="1885" w:type="dxa"/>
            <w:tcBorders>
              <w:top w:val="single" w:sz="4" w:space="0" w:color="000000"/>
              <w:bottom w:val="single" w:sz="4" w:space="0" w:color="000000"/>
            </w:tcBorders>
            <w:shd w:val="clear" w:color="auto" w:fill="E6E7E8"/>
          </w:tcPr>
          <w:p>
            <w:pPr>
              <w:pStyle w:val="TableParagraph"/>
              <w:spacing w:before="124"/>
              <w:ind w:left="147"/>
              <w:rPr>
                <w:rFonts w:ascii="TT Norms Pro Light"/>
                <w:b w:val="0"/>
                <w:sz w:val="18"/>
              </w:rPr>
            </w:pPr>
            <w:r>
              <w:rPr>
                <w:rFonts w:ascii="TT Norms Pro Light"/>
                <w:b w:val="0"/>
                <w:sz w:val="18"/>
              </w:rPr>
              <w:t>To</w:t>
            </w:r>
            <w:r>
              <w:rPr>
                <w:rFonts w:ascii="TT Norms Pro Light"/>
                <w:b w:val="0"/>
                <w:spacing w:val="-8"/>
                <w:sz w:val="18"/>
              </w:rPr>
              <w:t> </w:t>
            </w:r>
            <w:r>
              <w:rPr>
                <w:rFonts w:ascii="TT Norms Pro Light"/>
                <w:b w:val="0"/>
                <w:sz w:val="18"/>
              </w:rPr>
              <w:t>13</w:t>
            </w:r>
            <w:r>
              <w:rPr>
                <w:rFonts w:ascii="TT Norms Pro Light"/>
                <w:b w:val="0"/>
                <w:spacing w:val="-6"/>
                <w:sz w:val="18"/>
              </w:rPr>
              <w:t> </w:t>
            </w:r>
            <w:r>
              <w:rPr>
                <w:rFonts w:ascii="TT Norms Pro Light"/>
                <w:b w:val="0"/>
                <w:spacing w:val="-2"/>
                <w:sz w:val="18"/>
              </w:rPr>
              <w:t>March</w:t>
            </w:r>
          </w:p>
        </w:tc>
        <w:tc>
          <w:tcPr>
            <w:tcW w:w="1035" w:type="dxa"/>
            <w:tcBorders>
              <w:top w:val="single" w:sz="4" w:space="0" w:color="000000"/>
              <w:bottom w:val="single" w:sz="4" w:space="0" w:color="000000"/>
            </w:tcBorders>
          </w:tcPr>
          <w:p>
            <w:pPr>
              <w:pStyle w:val="TableParagraph"/>
              <w:tabs>
                <w:tab w:pos="664" w:val="left" w:leader="none"/>
              </w:tabs>
              <w:spacing w:before="126"/>
              <w:ind w:left="147"/>
              <w:rPr>
                <w:rFonts w:ascii="TT Norms Pro Light"/>
                <w:b w:val="0"/>
                <w:sz w:val="16"/>
              </w:rPr>
            </w:pPr>
            <w:r>
              <w:rPr>
                <w:rFonts w:ascii="TT Norms Pro Light"/>
                <w:b w:val="0"/>
                <w:spacing w:val="-10"/>
                <w:sz w:val="16"/>
              </w:rPr>
              <w:t>1</w:t>
            </w:r>
            <w:r>
              <w:rPr>
                <w:rFonts w:ascii="TT Norms Pro Light"/>
                <w:b w:val="0"/>
                <w:sz w:val="16"/>
              </w:rPr>
              <w:tab/>
            </w:r>
            <w:r>
              <w:rPr>
                <w:rFonts w:ascii="TT Norms Pro Light"/>
                <w:b w:val="0"/>
                <w:spacing w:val="-10"/>
                <w:sz w:val="16"/>
              </w:rPr>
              <w:t>1</w:t>
            </w:r>
          </w:p>
        </w:tc>
        <w:tc>
          <w:tcPr>
            <w:tcW w:w="1068" w:type="dxa"/>
            <w:tcBorders>
              <w:top w:val="single" w:sz="4" w:space="0" w:color="000000"/>
              <w:bottom w:val="single" w:sz="4" w:space="0" w:color="000000"/>
            </w:tcBorders>
            <w:shd w:val="clear" w:color="auto" w:fill="E6E7E8"/>
          </w:tcPr>
          <w:p>
            <w:pPr>
              <w:pStyle w:val="TableParagraph"/>
              <w:tabs>
                <w:tab w:pos="680" w:val="left" w:leader="none"/>
              </w:tabs>
              <w:spacing w:before="126"/>
              <w:ind w:left="146"/>
              <w:rPr>
                <w:rFonts w:ascii="TT Norms Pro Light"/>
                <w:b w:val="0"/>
                <w:sz w:val="16"/>
              </w:rPr>
            </w:pPr>
            <w:r>
              <w:rPr>
                <w:rFonts w:ascii="TT Norms Pro Light"/>
                <w:b w:val="0"/>
                <w:spacing w:val="-10"/>
                <w:sz w:val="16"/>
              </w:rPr>
              <w:t>2</w:t>
            </w:r>
            <w:r>
              <w:rPr>
                <w:rFonts w:ascii="TT Norms Pro Light"/>
                <w:b w:val="0"/>
                <w:sz w:val="16"/>
              </w:rPr>
              <w:tab/>
            </w:r>
            <w:r>
              <w:rPr>
                <w:rFonts w:ascii="TT Norms Pro Light"/>
                <w:b w:val="0"/>
                <w:spacing w:val="-12"/>
                <w:sz w:val="16"/>
              </w:rPr>
              <w:t>2</w:t>
            </w:r>
          </w:p>
        </w:tc>
        <w:tc>
          <w:tcPr>
            <w:tcW w:w="1436" w:type="dxa"/>
            <w:tcBorders>
              <w:top w:val="single" w:sz="4" w:space="0" w:color="000000"/>
              <w:bottom w:val="single" w:sz="4" w:space="0" w:color="000000"/>
            </w:tcBorders>
          </w:tcPr>
          <w:p>
            <w:pPr>
              <w:pStyle w:val="TableParagraph"/>
              <w:rPr>
                <w:rFonts w:ascii="Times New Roman"/>
                <w:sz w:val="16"/>
              </w:rPr>
            </w:pPr>
          </w:p>
        </w:tc>
        <w:tc>
          <w:tcPr>
            <w:tcW w:w="1134" w:type="dxa"/>
            <w:tcBorders>
              <w:top w:val="single" w:sz="4" w:space="0" w:color="000000"/>
              <w:bottom w:val="single" w:sz="4" w:space="0" w:color="000000"/>
            </w:tcBorders>
            <w:shd w:val="clear" w:color="auto" w:fill="E6E7E8"/>
          </w:tcPr>
          <w:p>
            <w:pPr>
              <w:pStyle w:val="TableParagraph"/>
              <w:rPr>
                <w:rFonts w:ascii="Times New Roman"/>
                <w:sz w:val="16"/>
              </w:rPr>
            </w:pPr>
          </w:p>
        </w:tc>
        <w:tc>
          <w:tcPr>
            <w:tcW w:w="1134" w:type="dxa"/>
            <w:tcBorders>
              <w:top w:val="single" w:sz="4" w:space="0" w:color="000000"/>
              <w:bottom w:val="single" w:sz="4" w:space="0" w:color="000000"/>
            </w:tcBorders>
          </w:tcPr>
          <w:p>
            <w:pPr>
              <w:pStyle w:val="TableParagraph"/>
              <w:rPr>
                <w:rFonts w:ascii="Times New Roman"/>
                <w:sz w:val="16"/>
              </w:rPr>
            </w:pPr>
          </w:p>
        </w:tc>
      </w:tr>
      <w:tr>
        <w:trPr>
          <w:trHeight w:val="697" w:hRule="atLeast"/>
        </w:trPr>
        <w:tc>
          <w:tcPr>
            <w:tcW w:w="2098" w:type="dxa"/>
            <w:tcBorders>
              <w:top w:val="single" w:sz="4" w:space="0" w:color="000000"/>
              <w:bottom w:val="single" w:sz="4" w:space="0" w:color="000000"/>
            </w:tcBorders>
          </w:tcPr>
          <w:p>
            <w:pPr>
              <w:pStyle w:val="TableParagraph"/>
              <w:spacing w:line="295" w:lineRule="auto" w:before="124"/>
              <w:ind w:left="147" w:right="382"/>
              <w:rPr>
                <w:rFonts w:ascii="TT Norms Pro Light"/>
                <w:b w:val="0"/>
                <w:sz w:val="18"/>
              </w:rPr>
            </w:pPr>
            <w:r>
              <w:rPr>
                <w:rFonts w:ascii="TT Norms Pro Light"/>
                <w:b w:val="0"/>
                <w:sz w:val="18"/>
              </w:rPr>
              <w:t>Adjunct</w:t>
            </w:r>
            <w:r>
              <w:rPr>
                <w:rFonts w:ascii="TT Norms Pro Light"/>
                <w:b w:val="0"/>
                <w:spacing w:val="-11"/>
                <w:sz w:val="18"/>
              </w:rPr>
              <w:t> </w:t>
            </w:r>
            <w:r>
              <w:rPr>
                <w:rFonts w:ascii="TT Norms Pro Light"/>
                <w:b w:val="0"/>
                <w:sz w:val="18"/>
              </w:rPr>
              <w:t>Professor</w:t>
            </w:r>
            <w:r>
              <w:rPr>
                <w:rFonts w:ascii="TT Norms Pro Light"/>
                <w:b w:val="0"/>
                <w:spacing w:val="40"/>
                <w:sz w:val="18"/>
              </w:rPr>
              <w:t> </w:t>
            </w:r>
            <w:r>
              <w:rPr>
                <w:rFonts w:ascii="TT Norms Pro Light"/>
                <w:b w:val="0"/>
                <w:sz w:val="18"/>
              </w:rPr>
              <w:t>W Kerr AM</w:t>
            </w:r>
          </w:p>
        </w:tc>
        <w:tc>
          <w:tcPr>
            <w:tcW w:w="1885" w:type="dxa"/>
            <w:tcBorders>
              <w:top w:val="single" w:sz="4" w:space="0" w:color="000000"/>
              <w:bottom w:val="single" w:sz="4" w:space="0" w:color="000000"/>
            </w:tcBorders>
            <w:shd w:val="clear" w:color="auto" w:fill="E6E7E8"/>
          </w:tcPr>
          <w:p>
            <w:pPr>
              <w:pStyle w:val="TableParagraph"/>
              <w:spacing w:before="124"/>
              <w:ind w:left="147"/>
              <w:rPr>
                <w:rFonts w:ascii="TT Norms Pro Light"/>
                <w:b w:val="0"/>
                <w:sz w:val="18"/>
              </w:rPr>
            </w:pPr>
            <w:r>
              <w:rPr>
                <w:rFonts w:ascii="TT Norms Pro Light"/>
                <w:b w:val="0"/>
                <w:sz w:val="18"/>
              </w:rPr>
              <w:t>Whole</w:t>
            </w:r>
            <w:r>
              <w:rPr>
                <w:rFonts w:ascii="TT Norms Pro Light"/>
                <w:b w:val="0"/>
                <w:spacing w:val="3"/>
                <w:sz w:val="18"/>
              </w:rPr>
              <w:t> </w:t>
            </w:r>
            <w:r>
              <w:rPr>
                <w:rFonts w:ascii="TT Norms Pro Light"/>
                <w:b w:val="0"/>
                <w:spacing w:val="-4"/>
                <w:sz w:val="18"/>
              </w:rPr>
              <w:t>year</w:t>
            </w:r>
          </w:p>
        </w:tc>
        <w:tc>
          <w:tcPr>
            <w:tcW w:w="1035" w:type="dxa"/>
            <w:tcBorders>
              <w:top w:val="single" w:sz="4" w:space="0" w:color="000000"/>
              <w:bottom w:val="single" w:sz="4" w:space="0" w:color="000000"/>
            </w:tcBorders>
          </w:tcPr>
          <w:p>
            <w:pPr>
              <w:pStyle w:val="TableParagraph"/>
              <w:tabs>
                <w:tab w:pos="664" w:val="left" w:leader="none"/>
              </w:tabs>
              <w:spacing w:before="126"/>
              <w:ind w:left="147"/>
              <w:rPr>
                <w:rFonts w:ascii="TT Norms Pro Light"/>
                <w:b w:val="0"/>
                <w:sz w:val="16"/>
              </w:rPr>
            </w:pPr>
            <w:r>
              <w:rPr>
                <w:rFonts w:ascii="TT Norms Pro Light"/>
                <w:b w:val="0"/>
                <w:spacing w:val="-10"/>
                <w:sz w:val="16"/>
              </w:rPr>
              <w:t>7</w:t>
            </w:r>
            <w:r>
              <w:rPr>
                <w:rFonts w:ascii="TT Norms Pro Light"/>
                <w:b w:val="0"/>
                <w:sz w:val="16"/>
              </w:rPr>
              <w:tab/>
            </w:r>
            <w:r>
              <w:rPr>
                <w:rFonts w:ascii="TT Norms Pro Light"/>
                <w:b w:val="0"/>
                <w:spacing w:val="-10"/>
                <w:sz w:val="16"/>
              </w:rPr>
              <w:t>6</w:t>
            </w:r>
          </w:p>
        </w:tc>
        <w:tc>
          <w:tcPr>
            <w:tcW w:w="1068" w:type="dxa"/>
            <w:tcBorders>
              <w:top w:val="single" w:sz="4" w:space="0" w:color="000000"/>
              <w:bottom w:val="single" w:sz="4" w:space="0" w:color="000000"/>
            </w:tcBorders>
            <w:shd w:val="clear" w:color="auto" w:fill="E6E7E8"/>
          </w:tcPr>
          <w:p>
            <w:pPr>
              <w:pStyle w:val="TableParagraph"/>
              <w:rPr>
                <w:rFonts w:ascii="Times New Roman"/>
                <w:sz w:val="16"/>
              </w:rPr>
            </w:pPr>
          </w:p>
        </w:tc>
        <w:tc>
          <w:tcPr>
            <w:tcW w:w="1436" w:type="dxa"/>
            <w:tcBorders>
              <w:top w:val="single" w:sz="4" w:space="0" w:color="000000"/>
              <w:bottom w:val="single" w:sz="4" w:space="0" w:color="000000"/>
            </w:tcBorders>
          </w:tcPr>
          <w:p>
            <w:pPr>
              <w:pStyle w:val="TableParagraph"/>
              <w:rPr>
                <w:rFonts w:ascii="Times New Roman"/>
                <w:sz w:val="16"/>
              </w:rPr>
            </w:pPr>
          </w:p>
        </w:tc>
        <w:tc>
          <w:tcPr>
            <w:tcW w:w="1134" w:type="dxa"/>
            <w:tcBorders>
              <w:top w:val="single" w:sz="4" w:space="0" w:color="000000"/>
              <w:bottom w:val="single" w:sz="4" w:space="0" w:color="000000"/>
            </w:tcBorders>
            <w:shd w:val="clear" w:color="auto" w:fill="E6E7E8"/>
          </w:tcPr>
          <w:p>
            <w:pPr>
              <w:pStyle w:val="TableParagraph"/>
              <w:tabs>
                <w:tab w:pos="713" w:val="left" w:leader="none"/>
              </w:tabs>
              <w:spacing w:before="126"/>
              <w:ind w:left="146"/>
              <w:rPr>
                <w:rFonts w:ascii="TT Norms Pro Light"/>
                <w:b w:val="0"/>
                <w:sz w:val="16"/>
              </w:rPr>
            </w:pPr>
            <w:r>
              <w:rPr>
                <w:rFonts w:ascii="TT Norms Pro Light"/>
                <w:b w:val="0"/>
                <w:spacing w:val="-10"/>
                <w:sz w:val="16"/>
              </w:rPr>
              <w:t>2</w:t>
            </w:r>
            <w:r>
              <w:rPr>
                <w:rFonts w:ascii="TT Norms Pro Light"/>
                <w:b w:val="0"/>
                <w:sz w:val="16"/>
              </w:rPr>
              <w:tab/>
            </w:r>
            <w:r>
              <w:rPr>
                <w:rFonts w:ascii="TT Norms Pro Light"/>
                <w:b w:val="0"/>
                <w:spacing w:val="-10"/>
                <w:sz w:val="16"/>
              </w:rPr>
              <w:t>2</w:t>
            </w:r>
          </w:p>
        </w:tc>
        <w:tc>
          <w:tcPr>
            <w:tcW w:w="1134" w:type="dxa"/>
            <w:tcBorders>
              <w:top w:val="single" w:sz="4" w:space="0" w:color="000000"/>
              <w:bottom w:val="single" w:sz="4" w:space="0" w:color="000000"/>
            </w:tcBorders>
          </w:tcPr>
          <w:p>
            <w:pPr>
              <w:pStyle w:val="TableParagraph"/>
              <w:rPr>
                <w:rFonts w:ascii="Times New Roman"/>
                <w:sz w:val="16"/>
              </w:rPr>
            </w:pPr>
          </w:p>
        </w:tc>
      </w:tr>
      <w:tr>
        <w:trPr>
          <w:trHeight w:val="437" w:hRule="atLeast"/>
        </w:trPr>
        <w:tc>
          <w:tcPr>
            <w:tcW w:w="2098" w:type="dxa"/>
            <w:tcBorders>
              <w:top w:val="single" w:sz="4" w:space="0" w:color="000000"/>
              <w:bottom w:val="single" w:sz="4" w:space="0" w:color="000000"/>
            </w:tcBorders>
          </w:tcPr>
          <w:p>
            <w:pPr>
              <w:pStyle w:val="TableParagraph"/>
              <w:spacing w:before="124"/>
              <w:ind w:left="147"/>
              <w:rPr>
                <w:rFonts w:ascii="TT Norms Pro Light"/>
                <w:b w:val="0"/>
                <w:sz w:val="18"/>
              </w:rPr>
            </w:pPr>
            <w:r>
              <w:rPr>
                <w:rFonts w:ascii="TT Norms Pro Light"/>
                <w:b w:val="0"/>
                <w:sz w:val="18"/>
              </w:rPr>
              <w:t>Dr</w:t>
            </w:r>
            <w:r>
              <w:rPr>
                <w:rFonts w:ascii="TT Norms Pro Light"/>
                <w:b w:val="0"/>
                <w:spacing w:val="1"/>
                <w:sz w:val="18"/>
              </w:rPr>
              <w:t> </w:t>
            </w:r>
            <w:r>
              <w:rPr>
                <w:rFonts w:ascii="TT Norms Pro Light"/>
                <w:b w:val="0"/>
                <w:sz w:val="18"/>
              </w:rPr>
              <w:t>N</w:t>
            </w:r>
            <w:r>
              <w:rPr>
                <w:rFonts w:ascii="TT Norms Pro Light"/>
                <w:b w:val="0"/>
                <w:spacing w:val="2"/>
                <w:sz w:val="18"/>
              </w:rPr>
              <w:t> </w:t>
            </w:r>
            <w:r>
              <w:rPr>
                <w:rFonts w:ascii="TT Norms Pro Light"/>
                <w:b w:val="0"/>
                <w:spacing w:val="-2"/>
                <w:sz w:val="18"/>
              </w:rPr>
              <w:t>Kirkham</w:t>
            </w:r>
          </w:p>
        </w:tc>
        <w:tc>
          <w:tcPr>
            <w:tcW w:w="1885" w:type="dxa"/>
            <w:tcBorders>
              <w:top w:val="single" w:sz="4" w:space="0" w:color="000000"/>
              <w:bottom w:val="single" w:sz="4" w:space="0" w:color="000000"/>
            </w:tcBorders>
            <w:shd w:val="clear" w:color="auto" w:fill="E6E7E8"/>
          </w:tcPr>
          <w:p>
            <w:pPr>
              <w:pStyle w:val="TableParagraph"/>
              <w:spacing w:before="124"/>
              <w:ind w:left="147"/>
              <w:rPr>
                <w:rFonts w:ascii="TT Norms Pro Light"/>
                <w:b w:val="0"/>
                <w:sz w:val="18"/>
              </w:rPr>
            </w:pPr>
            <w:r>
              <w:rPr>
                <w:rFonts w:ascii="TT Norms Pro Light"/>
                <w:b w:val="0"/>
                <w:sz w:val="18"/>
              </w:rPr>
              <w:t>From</w:t>
            </w:r>
            <w:r>
              <w:rPr>
                <w:rFonts w:ascii="TT Norms Pro Light"/>
                <w:b w:val="0"/>
                <w:spacing w:val="-6"/>
                <w:sz w:val="18"/>
              </w:rPr>
              <w:t> </w:t>
            </w:r>
            <w:r>
              <w:rPr>
                <w:rFonts w:ascii="TT Norms Pro Light"/>
                <w:b w:val="0"/>
                <w:sz w:val="18"/>
              </w:rPr>
              <w:t>1</w:t>
            </w:r>
            <w:r>
              <w:rPr>
                <w:rFonts w:ascii="TT Norms Pro Light"/>
                <w:b w:val="0"/>
                <w:spacing w:val="-3"/>
                <w:sz w:val="18"/>
              </w:rPr>
              <w:t> </w:t>
            </w:r>
            <w:r>
              <w:rPr>
                <w:rFonts w:ascii="TT Norms Pro Light"/>
                <w:b w:val="0"/>
                <w:spacing w:val="-2"/>
                <w:sz w:val="18"/>
              </w:rPr>
              <w:t>March</w:t>
            </w:r>
          </w:p>
        </w:tc>
        <w:tc>
          <w:tcPr>
            <w:tcW w:w="1035" w:type="dxa"/>
            <w:tcBorders>
              <w:top w:val="single" w:sz="4" w:space="0" w:color="000000"/>
              <w:bottom w:val="single" w:sz="4" w:space="0" w:color="000000"/>
            </w:tcBorders>
          </w:tcPr>
          <w:p>
            <w:pPr>
              <w:pStyle w:val="TableParagraph"/>
              <w:tabs>
                <w:tab w:pos="664" w:val="left" w:leader="none"/>
              </w:tabs>
              <w:spacing w:before="126"/>
              <w:ind w:left="147"/>
              <w:rPr>
                <w:rFonts w:ascii="TT Norms Pro Light"/>
                <w:b w:val="0"/>
                <w:sz w:val="16"/>
              </w:rPr>
            </w:pPr>
            <w:r>
              <w:rPr>
                <w:rFonts w:ascii="TT Norms Pro Light"/>
                <w:b w:val="0"/>
                <w:spacing w:val="-10"/>
                <w:sz w:val="16"/>
              </w:rPr>
              <w:t>7</w:t>
            </w:r>
            <w:r>
              <w:rPr>
                <w:rFonts w:ascii="TT Norms Pro Light"/>
                <w:b w:val="0"/>
                <w:sz w:val="16"/>
              </w:rPr>
              <w:tab/>
            </w:r>
            <w:r>
              <w:rPr>
                <w:rFonts w:ascii="TT Norms Pro Light"/>
                <w:b w:val="0"/>
                <w:spacing w:val="-10"/>
                <w:sz w:val="16"/>
              </w:rPr>
              <w:t>7</w:t>
            </w:r>
          </w:p>
        </w:tc>
        <w:tc>
          <w:tcPr>
            <w:tcW w:w="1068" w:type="dxa"/>
            <w:tcBorders>
              <w:top w:val="single" w:sz="4" w:space="0" w:color="000000"/>
              <w:bottom w:val="single" w:sz="4" w:space="0" w:color="000000"/>
            </w:tcBorders>
            <w:shd w:val="clear" w:color="auto" w:fill="E6E7E8"/>
          </w:tcPr>
          <w:p>
            <w:pPr>
              <w:pStyle w:val="TableParagraph"/>
              <w:rPr>
                <w:rFonts w:ascii="Times New Roman"/>
                <w:sz w:val="16"/>
              </w:rPr>
            </w:pPr>
          </w:p>
        </w:tc>
        <w:tc>
          <w:tcPr>
            <w:tcW w:w="1436" w:type="dxa"/>
            <w:tcBorders>
              <w:top w:val="single" w:sz="4" w:space="0" w:color="000000"/>
              <w:bottom w:val="single" w:sz="4" w:space="0" w:color="000000"/>
            </w:tcBorders>
          </w:tcPr>
          <w:p>
            <w:pPr>
              <w:pStyle w:val="TableParagraph"/>
              <w:rPr>
                <w:rFonts w:ascii="Times New Roman"/>
                <w:sz w:val="16"/>
              </w:rPr>
            </w:pPr>
          </w:p>
        </w:tc>
        <w:tc>
          <w:tcPr>
            <w:tcW w:w="1134" w:type="dxa"/>
            <w:tcBorders>
              <w:top w:val="single" w:sz="4" w:space="0" w:color="000000"/>
              <w:bottom w:val="single" w:sz="4" w:space="0" w:color="000000"/>
            </w:tcBorders>
            <w:shd w:val="clear" w:color="auto" w:fill="E6E7E8"/>
          </w:tcPr>
          <w:p>
            <w:pPr>
              <w:pStyle w:val="TableParagraph"/>
              <w:rPr>
                <w:rFonts w:ascii="Times New Roman"/>
                <w:sz w:val="16"/>
              </w:rPr>
            </w:pPr>
          </w:p>
        </w:tc>
        <w:tc>
          <w:tcPr>
            <w:tcW w:w="1134" w:type="dxa"/>
            <w:tcBorders>
              <w:top w:val="single" w:sz="4" w:space="0" w:color="000000"/>
              <w:bottom w:val="single" w:sz="4" w:space="0" w:color="000000"/>
            </w:tcBorders>
          </w:tcPr>
          <w:p>
            <w:pPr>
              <w:pStyle w:val="TableParagraph"/>
              <w:tabs>
                <w:tab w:pos="713" w:val="left" w:leader="none"/>
              </w:tabs>
              <w:spacing w:before="126"/>
              <w:ind w:left="146"/>
              <w:rPr>
                <w:rFonts w:ascii="TT Norms Pro Light"/>
                <w:b w:val="0"/>
                <w:sz w:val="16"/>
              </w:rPr>
            </w:pPr>
            <w:r>
              <w:rPr>
                <w:rFonts w:ascii="TT Norms Pro Light"/>
                <w:b w:val="0"/>
                <w:spacing w:val="-10"/>
                <w:sz w:val="16"/>
              </w:rPr>
              <w:t>4</w:t>
            </w:r>
            <w:r>
              <w:rPr>
                <w:rFonts w:ascii="TT Norms Pro Light"/>
                <w:b w:val="0"/>
                <w:sz w:val="16"/>
              </w:rPr>
              <w:tab/>
            </w:r>
            <w:r>
              <w:rPr>
                <w:rFonts w:ascii="TT Norms Pro Light"/>
                <w:b w:val="0"/>
                <w:spacing w:val="-10"/>
                <w:sz w:val="16"/>
              </w:rPr>
              <w:t>4</w:t>
            </w:r>
          </w:p>
        </w:tc>
      </w:tr>
      <w:tr>
        <w:trPr>
          <w:trHeight w:val="437" w:hRule="atLeast"/>
        </w:trPr>
        <w:tc>
          <w:tcPr>
            <w:tcW w:w="2098" w:type="dxa"/>
            <w:tcBorders>
              <w:top w:val="single" w:sz="4" w:space="0" w:color="000000"/>
              <w:bottom w:val="single" w:sz="4" w:space="0" w:color="000000"/>
            </w:tcBorders>
          </w:tcPr>
          <w:p>
            <w:pPr>
              <w:pStyle w:val="TableParagraph"/>
              <w:spacing w:before="124"/>
              <w:ind w:left="147"/>
              <w:rPr>
                <w:rFonts w:ascii="TT Norms Pro Light"/>
                <w:b w:val="0"/>
                <w:sz w:val="18"/>
              </w:rPr>
            </w:pPr>
            <w:r>
              <w:rPr>
                <w:rFonts w:ascii="TT Norms Pro Light"/>
                <w:b w:val="0"/>
                <w:sz w:val="18"/>
              </w:rPr>
              <w:t>Mr</w:t>
            </w:r>
            <w:r>
              <w:rPr>
                <w:rFonts w:ascii="TT Norms Pro Light"/>
                <w:b w:val="0"/>
                <w:spacing w:val="1"/>
                <w:sz w:val="18"/>
              </w:rPr>
              <w:t> </w:t>
            </w:r>
            <w:r>
              <w:rPr>
                <w:rFonts w:ascii="TT Norms Pro Light"/>
                <w:b w:val="0"/>
                <w:sz w:val="18"/>
              </w:rPr>
              <w:t>Rahul</w:t>
            </w:r>
            <w:r>
              <w:rPr>
                <w:rFonts w:ascii="TT Norms Pro Light"/>
                <w:b w:val="0"/>
                <w:spacing w:val="1"/>
                <w:sz w:val="18"/>
              </w:rPr>
              <w:t> </w:t>
            </w:r>
            <w:r>
              <w:rPr>
                <w:rFonts w:ascii="TT Norms Pro Light"/>
                <w:b w:val="0"/>
                <w:spacing w:val="-5"/>
                <w:sz w:val="18"/>
              </w:rPr>
              <w:t>MS</w:t>
            </w:r>
          </w:p>
        </w:tc>
        <w:tc>
          <w:tcPr>
            <w:tcW w:w="1885" w:type="dxa"/>
            <w:tcBorders>
              <w:top w:val="single" w:sz="4" w:space="0" w:color="000000"/>
              <w:bottom w:val="single" w:sz="4" w:space="0" w:color="000000"/>
            </w:tcBorders>
            <w:shd w:val="clear" w:color="auto" w:fill="E6E7E8"/>
          </w:tcPr>
          <w:p>
            <w:pPr>
              <w:pStyle w:val="TableParagraph"/>
              <w:spacing w:before="124"/>
              <w:ind w:left="147"/>
              <w:rPr>
                <w:rFonts w:ascii="TT Norms Pro Light"/>
                <w:b w:val="0"/>
                <w:sz w:val="18"/>
              </w:rPr>
            </w:pPr>
            <w:r>
              <w:rPr>
                <w:rFonts w:ascii="TT Norms Pro Light"/>
                <w:b w:val="0"/>
                <w:spacing w:val="-4"/>
                <w:sz w:val="18"/>
              </w:rPr>
              <w:t>To 30</w:t>
            </w:r>
            <w:r>
              <w:rPr>
                <w:rFonts w:ascii="TT Norms Pro Light"/>
                <w:b w:val="0"/>
                <w:spacing w:val="-3"/>
                <w:sz w:val="18"/>
              </w:rPr>
              <w:t> </w:t>
            </w:r>
            <w:r>
              <w:rPr>
                <w:rFonts w:ascii="TT Norms Pro Light"/>
                <w:b w:val="0"/>
                <w:spacing w:val="-4"/>
                <w:sz w:val="18"/>
              </w:rPr>
              <w:t>November</w:t>
            </w:r>
          </w:p>
        </w:tc>
        <w:tc>
          <w:tcPr>
            <w:tcW w:w="1035" w:type="dxa"/>
            <w:tcBorders>
              <w:top w:val="single" w:sz="4" w:space="0" w:color="000000"/>
              <w:bottom w:val="single" w:sz="4" w:space="0" w:color="000000"/>
            </w:tcBorders>
          </w:tcPr>
          <w:p>
            <w:pPr>
              <w:pStyle w:val="TableParagraph"/>
              <w:tabs>
                <w:tab w:pos="664" w:val="left" w:leader="none"/>
              </w:tabs>
              <w:spacing w:before="126"/>
              <w:ind w:left="147"/>
              <w:rPr>
                <w:rFonts w:ascii="TT Norms Pro Light"/>
                <w:b w:val="0"/>
                <w:sz w:val="16"/>
              </w:rPr>
            </w:pPr>
            <w:r>
              <w:rPr>
                <w:rFonts w:ascii="TT Norms Pro Light"/>
                <w:b w:val="0"/>
                <w:spacing w:val="-10"/>
                <w:sz w:val="16"/>
              </w:rPr>
              <w:t>6</w:t>
            </w:r>
            <w:r>
              <w:rPr>
                <w:rFonts w:ascii="TT Norms Pro Light"/>
                <w:b w:val="0"/>
                <w:sz w:val="16"/>
              </w:rPr>
              <w:tab/>
            </w:r>
            <w:r>
              <w:rPr>
                <w:rFonts w:ascii="TT Norms Pro Light"/>
                <w:b w:val="0"/>
                <w:spacing w:val="-10"/>
                <w:sz w:val="16"/>
              </w:rPr>
              <w:t>6</w:t>
            </w:r>
          </w:p>
        </w:tc>
        <w:tc>
          <w:tcPr>
            <w:tcW w:w="1068" w:type="dxa"/>
            <w:tcBorders>
              <w:top w:val="single" w:sz="4" w:space="0" w:color="000000"/>
              <w:bottom w:val="single" w:sz="4" w:space="0" w:color="000000"/>
            </w:tcBorders>
            <w:shd w:val="clear" w:color="auto" w:fill="E6E7E8"/>
          </w:tcPr>
          <w:p>
            <w:pPr>
              <w:pStyle w:val="TableParagraph"/>
              <w:rPr>
                <w:rFonts w:ascii="Times New Roman"/>
                <w:sz w:val="16"/>
              </w:rPr>
            </w:pPr>
          </w:p>
        </w:tc>
        <w:tc>
          <w:tcPr>
            <w:tcW w:w="1436" w:type="dxa"/>
            <w:tcBorders>
              <w:top w:val="single" w:sz="4" w:space="0" w:color="000000"/>
              <w:bottom w:val="single" w:sz="4" w:space="0" w:color="000000"/>
            </w:tcBorders>
          </w:tcPr>
          <w:p>
            <w:pPr>
              <w:pStyle w:val="TableParagraph"/>
              <w:rPr>
                <w:rFonts w:ascii="Times New Roman"/>
                <w:sz w:val="16"/>
              </w:rPr>
            </w:pPr>
          </w:p>
        </w:tc>
        <w:tc>
          <w:tcPr>
            <w:tcW w:w="1134" w:type="dxa"/>
            <w:tcBorders>
              <w:top w:val="single" w:sz="4" w:space="0" w:color="000000"/>
              <w:bottom w:val="single" w:sz="4" w:space="0" w:color="000000"/>
            </w:tcBorders>
            <w:shd w:val="clear" w:color="auto" w:fill="E6E7E8"/>
          </w:tcPr>
          <w:p>
            <w:pPr>
              <w:pStyle w:val="TableParagraph"/>
              <w:tabs>
                <w:tab w:pos="713" w:val="left" w:leader="none"/>
              </w:tabs>
              <w:spacing w:before="126"/>
              <w:ind w:left="146"/>
              <w:rPr>
                <w:rFonts w:ascii="TT Norms Pro Light"/>
                <w:b w:val="0"/>
                <w:sz w:val="16"/>
              </w:rPr>
            </w:pPr>
            <w:r>
              <w:rPr>
                <w:rFonts w:ascii="TT Norms Pro Light"/>
                <w:b w:val="0"/>
                <w:spacing w:val="-10"/>
                <w:sz w:val="16"/>
              </w:rPr>
              <w:t>2</w:t>
            </w:r>
            <w:r>
              <w:rPr>
                <w:rFonts w:ascii="TT Norms Pro Light"/>
                <w:b w:val="0"/>
                <w:sz w:val="16"/>
              </w:rPr>
              <w:tab/>
            </w:r>
            <w:r>
              <w:rPr>
                <w:rFonts w:ascii="TT Norms Pro Light"/>
                <w:b w:val="0"/>
                <w:spacing w:val="-10"/>
                <w:sz w:val="16"/>
              </w:rPr>
              <w:t>2</w:t>
            </w:r>
          </w:p>
        </w:tc>
        <w:tc>
          <w:tcPr>
            <w:tcW w:w="1134" w:type="dxa"/>
            <w:tcBorders>
              <w:top w:val="single" w:sz="4" w:space="0" w:color="000000"/>
              <w:bottom w:val="single" w:sz="4" w:space="0" w:color="000000"/>
            </w:tcBorders>
          </w:tcPr>
          <w:p>
            <w:pPr>
              <w:pStyle w:val="TableParagraph"/>
              <w:rPr>
                <w:rFonts w:ascii="Times New Roman"/>
                <w:sz w:val="16"/>
              </w:rPr>
            </w:pPr>
          </w:p>
        </w:tc>
      </w:tr>
      <w:tr>
        <w:trPr>
          <w:trHeight w:val="437" w:hRule="atLeast"/>
        </w:trPr>
        <w:tc>
          <w:tcPr>
            <w:tcW w:w="2098" w:type="dxa"/>
            <w:tcBorders>
              <w:top w:val="single" w:sz="4" w:space="0" w:color="000000"/>
              <w:bottom w:val="single" w:sz="4" w:space="0" w:color="000000"/>
            </w:tcBorders>
          </w:tcPr>
          <w:p>
            <w:pPr>
              <w:pStyle w:val="TableParagraph"/>
              <w:spacing w:before="124"/>
              <w:ind w:left="147"/>
              <w:rPr>
                <w:rFonts w:ascii="TT Norms Pro Light"/>
                <w:b w:val="0"/>
                <w:sz w:val="18"/>
              </w:rPr>
            </w:pPr>
            <w:r>
              <w:rPr>
                <w:rFonts w:ascii="TT Norms Pro Light"/>
                <w:b w:val="0"/>
                <w:sz w:val="18"/>
              </w:rPr>
              <w:t>Ms</w:t>
            </w:r>
            <w:r>
              <w:rPr>
                <w:rFonts w:ascii="TT Norms Pro Light"/>
                <w:b w:val="0"/>
                <w:spacing w:val="-2"/>
                <w:sz w:val="18"/>
              </w:rPr>
              <w:t> </w:t>
            </w:r>
            <w:r>
              <w:rPr>
                <w:rFonts w:ascii="TT Norms Pro Light"/>
                <w:b w:val="0"/>
                <w:sz w:val="18"/>
              </w:rPr>
              <w:t>E</w:t>
            </w:r>
            <w:r>
              <w:rPr>
                <w:rFonts w:ascii="TT Norms Pro Light"/>
                <w:b w:val="0"/>
                <w:spacing w:val="1"/>
                <w:sz w:val="18"/>
              </w:rPr>
              <w:t> </w:t>
            </w:r>
            <w:r>
              <w:rPr>
                <w:rFonts w:ascii="TT Norms Pro Light"/>
                <w:b w:val="0"/>
                <w:spacing w:val="-2"/>
                <w:sz w:val="18"/>
              </w:rPr>
              <w:t>Mezger</w:t>
            </w:r>
          </w:p>
        </w:tc>
        <w:tc>
          <w:tcPr>
            <w:tcW w:w="1885" w:type="dxa"/>
            <w:tcBorders>
              <w:top w:val="single" w:sz="4" w:space="0" w:color="000000"/>
              <w:bottom w:val="single" w:sz="4" w:space="0" w:color="000000"/>
            </w:tcBorders>
            <w:shd w:val="clear" w:color="auto" w:fill="E6E7E8"/>
          </w:tcPr>
          <w:p>
            <w:pPr>
              <w:pStyle w:val="TableParagraph"/>
              <w:spacing w:before="124"/>
              <w:ind w:left="147"/>
              <w:rPr>
                <w:rFonts w:ascii="TT Norms Pro Light"/>
                <w:b w:val="0"/>
                <w:sz w:val="18"/>
              </w:rPr>
            </w:pPr>
            <w:r>
              <w:rPr>
                <w:rFonts w:ascii="TT Norms Pro Light"/>
                <w:b w:val="0"/>
                <w:sz w:val="18"/>
              </w:rPr>
              <w:t>From</w:t>
            </w:r>
            <w:r>
              <w:rPr>
                <w:rFonts w:ascii="TT Norms Pro Light"/>
                <w:b w:val="0"/>
                <w:spacing w:val="-6"/>
                <w:sz w:val="18"/>
              </w:rPr>
              <w:t> </w:t>
            </w:r>
            <w:r>
              <w:rPr>
                <w:rFonts w:ascii="TT Norms Pro Light"/>
                <w:b w:val="0"/>
                <w:sz w:val="18"/>
              </w:rPr>
              <w:t>1</w:t>
            </w:r>
            <w:r>
              <w:rPr>
                <w:rFonts w:ascii="TT Norms Pro Light"/>
                <w:b w:val="0"/>
                <w:spacing w:val="-3"/>
                <w:sz w:val="18"/>
              </w:rPr>
              <w:t> </w:t>
            </w:r>
            <w:r>
              <w:rPr>
                <w:rFonts w:ascii="TT Norms Pro Light"/>
                <w:b w:val="0"/>
                <w:spacing w:val="-2"/>
                <w:sz w:val="18"/>
              </w:rPr>
              <w:t>December</w:t>
            </w:r>
          </w:p>
        </w:tc>
        <w:tc>
          <w:tcPr>
            <w:tcW w:w="1035" w:type="dxa"/>
            <w:tcBorders>
              <w:top w:val="single" w:sz="4" w:space="0" w:color="000000"/>
              <w:bottom w:val="single" w:sz="4" w:space="0" w:color="000000"/>
            </w:tcBorders>
          </w:tcPr>
          <w:p>
            <w:pPr>
              <w:pStyle w:val="TableParagraph"/>
              <w:tabs>
                <w:tab w:pos="664" w:val="left" w:leader="none"/>
              </w:tabs>
              <w:spacing w:before="126"/>
              <w:ind w:left="147"/>
              <w:rPr>
                <w:rFonts w:ascii="TT Norms Pro Light"/>
                <w:b w:val="0"/>
                <w:sz w:val="16"/>
              </w:rPr>
            </w:pPr>
            <w:r>
              <w:rPr>
                <w:rFonts w:ascii="TT Norms Pro Light"/>
                <w:b w:val="0"/>
                <w:spacing w:val="-10"/>
                <w:sz w:val="16"/>
              </w:rPr>
              <w:t>1</w:t>
            </w:r>
            <w:r>
              <w:rPr>
                <w:rFonts w:ascii="TT Norms Pro Light"/>
                <w:b w:val="0"/>
                <w:sz w:val="16"/>
              </w:rPr>
              <w:tab/>
            </w:r>
            <w:r>
              <w:rPr>
                <w:rFonts w:ascii="TT Norms Pro Light"/>
                <w:b w:val="0"/>
                <w:spacing w:val="-10"/>
                <w:sz w:val="16"/>
              </w:rPr>
              <w:t>1</w:t>
            </w:r>
          </w:p>
        </w:tc>
        <w:tc>
          <w:tcPr>
            <w:tcW w:w="1068" w:type="dxa"/>
            <w:tcBorders>
              <w:top w:val="single" w:sz="4" w:space="0" w:color="000000"/>
              <w:bottom w:val="single" w:sz="4" w:space="0" w:color="000000"/>
            </w:tcBorders>
            <w:shd w:val="clear" w:color="auto" w:fill="E6E7E8"/>
          </w:tcPr>
          <w:p>
            <w:pPr>
              <w:pStyle w:val="TableParagraph"/>
              <w:rPr>
                <w:rFonts w:ascii="Times New Roman"/>
                <w:sz w:val="16"/>
              </w:rPr>
            </w:pPr>
          </w:p>
        </w:tc>
        <w:tc>
          <w:tcPr>
            <w:tcW w:w="1436" w:type="dxa"/>
            <w:tcBorders>
              <w:top w:val="single" w:sz="4" w:space="0" w:color="000000"/>
              <w:bottom w:val="single" w:sz="4" w:space="0" w:color="000000"/>
            </w:tcBorders>
          </w:tcPr>
          <w:p>
            <w:pPr>
              <w:pStyle w:val="TableParagraph"/>
              <w:rPr>
                <w:rFonts w:ascii="Times New Roman"/>
                <w:sz w:val="16"/>
              </w:rPr>
            </w:pPr>
          </w:p>
        </w:tc>
        <w:tc>
          <w:tcPr>
            <w:tcW w:w="1134" w:type="dxa"/>
            <w:tcBorders>
              <w:top w:val="single" w:sz="4" w:space="0" w:color="000000"/>
              <w:bottom w:val="single" w:sz="4" w:space="0" w:color="000000"/>
            </w:tcBorders>
            <w:shd w:val="clear" w:color="auto" w:fill="E6E7E8"/>
          </w:tcPr>
          <w:p>
            <w:pPr>
              <w:pStyle w:val="TableParagraph"/>
              <w:rPr>
                <w:rFonts w:ascii="Times New Roman"/>
                <w:sz w:val="16"/>
              </w:rPr>
            </w:pPr>
          </w:p>
        </w:tc>
        <w:tc>
          <w:tcPr>
            <w:tcW w:w="1134" w:type="dxa"/>
            <w:tcBorders>
              <w:top w:val="single" w:sz="4" w:space="0" w:color="000000"/>
              <w:bottom w:val="single" w:sz="4" w:space="0" w:color="000000"/>
            </w:tcBorders>
          </w:tcPr>
          <w:p>
            <w:pPr>
              <w:pStyle w:val="TableParagraph"/>
              <w:rPr>
                <w:rFonts w:ascii="Times New Roman"/>
                <w:sz w:val="16"/>
              </w:rPr>
            </w:pPr>
          </w:p>
        </w:tc>
      </w:tr>
      <w:tr>
        <w:trPr>
          <w:trHeight w:val="437" w:hRule="atLeast"/>
        </w:trPr>
        <w:tc>
          <w:tcPr>
            <w:tcW w:w="2098" w:type="dxa"/>
            <w:tcBorders>
              <w:top w:val="single" w:sz="4" w:space="0" w:color="000000"/>
              <w:bottom w:val="single" w:sz="4" w:space="0" w:color="000000"/>
            </w:tcBorders>
          </w:tcPr>
          <w:p>
            <w:pPr>
              <w:pStyle w:val="TableParagraph"/>
              <w:spacing w:before="124"/>
              <w:ind w:left="147"/>
              <w:rPr>
                <w:rFonts w:ascii="TT Norms Pro Light"/>
                <w:b w:val="0"/>
                <w:sz w:val="18"/>
              </w:rPr>
            </w:pPr>
            <w:r>
              <w:rPr>
                <w:rFonts w:ascii="TT Norms Pro Light"/>
                <w:b w:val="0"/>
                <w:sz w:val="18"/>
              </w:rPr>
              <w:t>Ms</w:t>
            </w:r>
            <w:r>
              <w:rPr>
                <w:rFonts w:ascii="TT Norms Pro Light"/>
                <w:b w:val="0"/>
                <w:spacing w:val="1"/>
                <w:sz w:val="18"/>
              </w:rPr>
              <w:t> </w:t>
            </w:r>
            <w:r>
              <w:rPr>
                <w:rFonts w:ascii="TT Norms Pro Light"/>
                <w:b w:val="0"/>
                <w:sz w:val="18"/>
              </w:rPr>
              <w:t>S</w:t>
            </w:r>
            <w:r>
              <w:rPr>
                <w:rFonts w:ascii="TT Norms Pro Light"/>
                <w:b w:val="0"/>
                <w:spacing w:val="1"/>
                <w:sz w:val="18"/>
              </w:rPr>
              <w:t> </w:t>
            </w:r>
            <w:r>
              <w:rPr>
                <w:rFonts w:ascii="TT Norms Pro Light"/>
                <w:b w:val="0"/>
                <w:sz w:val="18"/>
              </w:rPr>
              <w:t>Murphy</w:t>
            </w:r>
            <w:r>
              <w:rPr>
                <w:rFonts w:ascii="TT Norms Pro Light"/>
                <w:b w:val="0"/>
                <w:spacing w:val="2"/>
                <w:sz w:val="18"/>
              </w:rPr>
              <w:t> </w:t>
            </w:r>
            <w:r>
              <w:rPr>
                <w:rFonts w:ascii="TT Norms Pro Light"/>
                <w:b w:val="0"/>
                <w:spacing w:val="-7"/>
                <w:sz w:val="18"/>
              </w:rPr>
              <w:t>AO</w:t>
            </w:r>
          </w:p>
        </w:tc>
        <w:tc>
          <w:tcPr>
            <w:tcW w:w="1885" w:type="dxa"/>
            <w:tcBorders>
              <w:top w:val="single" w:sz="4" w:space="0" w:color="000000"/>
              <w:bottom w:val="single" w:sz="4" w:space="0" w:color="000000"/>
            </w:tcBorders>
            <w:shd w:val="clear" w:color="auto" w:fill="E6E7E8"/>
          </w:tcPr>
          <w:p>
            <w:pPr>
              <w:pStyle w:val="TableParagraph"/>
              <w:spacing w:before="124"/>
              <w:ind w:left="147"/>
              <w:rPr>
                <w:rFonts w:ascii="TT Norms Pro Light"/>
                <w:b w:val="0"/>
                <w:sz w:val="18"/>
              </w:rPr>
            </w:pPr>
            <w:r>
              <w:rPr>
                <w:rFonts w:ascii="TT Norms Pro Light"/>
                <w:b w:val="0"/>
                <w:sz w:val="18"/>
              </w:rPr>
              <w:t>Whole</w:t>
            </w:r>
            <w:r>
              <w:rPr>
                <w:rFonts w:ascii="TT Norms Pro Light"/>
                <w:b w:val="0"/>
                <w:spacing w:val="3"/>
                <w:sz w:val="18"/>
              </w:rPr>
              <w:t> </w:t>
            </w:r>
            <w:r>
              <w:rPr>
                <w:rFonts w:ascii="TT Norms Pro Light"/>
                <w:b w:val="0"/>
                <w:spacing w:val="-4"/>
                <w:sz w:val="18"/>
              </w:rPr>
              <w:t>year</w:t>
            </w:r>
          </w:p>
        </w:tc>
        <w:tc>
          <w:tcPr>
            <w:tcW w:w="1035" w:type="dxa"/>
            <w:tcBorders>
              <w:top w:val="single" w:sz="4" w:space="0" w:color="000000"/>
              <w:bottom w:val="single" w:sz="4" w:space="0" w:color="000000"/>
            </w:tcBorders>
          </w:tcPr>
          <w:p>
            <w:pPr>
              <w:pStyle w:val="TableParagraph"/>
              <w:tabs>
                <w:tab w:pos="664" w:val="left" w:leader="none"/>
              </w:tabs>
              <w:spacing w:before="126"/>
              <w:ind w:left="147"/>
              <w:rPr>
                <w:rFonts w:ascii="TT Norms Pro Light"/>
                <w:b w:val="0"/>
                <w:sz w:val="16"/>
              </w:rPr>
            </w:pPr>
            <w:r>
              <w:rPr>
                <w:rFonts w:ascii="TT Norms Pro Light"/>
                <w:b w:val="0"/>
                <w:spacing w:val="-10"/>
                <w:sz w:val="16"/>
              </w:rPr>
              <w:t>7</w:t>
            </w:r>
            <w:r>
              <w:rPr>
                <w:rFonts w:ascii="TT Norms Pro Light"/>
                <w:b w:val="0"/>
                <w:sz w:val="16"/>
              </w:rPr>
              <w:tab/>
            </w:r>
            <w:r>
              <w:rPr>
                <w:rFonts w:ascii="TT Norms Pro Light"/>
                <w:b w:val="0"/>
                <w:spacing w:val="-10"/>
                <w:sz w:val="16"/>
              </w:rPr>
              <w:t>6</w:t>
            </w:r>
          </w:p>
        </w:tc>
        <w:tc>
          <w:tcPr>
            <w:tcW w:w="1068" w:type="dxa"/>
            <w:tcBorders>
              <w:top w:val="single" w:sz="4" w:space="0" w:color="000000"/>
              <w:bottom w:val="single" w:sz="4" w:space="0" w:color="000000"/>
            </w:tcBorders>
            <w:shd w:val="clear" w:color="auto" w:fill="E6E7E8"/>
          </w:tcPr>
          <w:p>
            <w:pPr>
              <w:pStyle w:val="TableParagraph"/>
              <w:rPr>
                <w:rFonts w:ascii="Times New Roman"/>
                <w:sz w:val="16"/>
              </w:rPr>
            </w:pPr>
          </w:p>
        </w:tc>
        <w:tc>
          <w:tcPr>
            <w:tcW w:w="1436" w:type="dxa"/>
            <w:tcBorders>
              <w:top w:val="single" w:sz="4" w:space="0" w:color="000000"/>
              <w:bottom w:val="single" w:sz="4" w:space="0" w:color="000000"/>
            </w:tcBorders>
          </w:tcPr>
          <w:p>
            <w:pPr>
              <w:pStyle w:val="TableParagraph"/>
              <w:rPr>
                <w:rFonts w:ascii="Times New Roman"/>
                <w:sz w:val="16"/>
              </w:rPr>
            </w:pPr>
          </w:p>
        </w:tc>
        <w:tc>
          <w:tcPr>
            <w:tcW w:w="1134" w:type="dxa"/>
            <w:tcBorders>
              <w:top w:val="single" w:sz="4" w:space="0" w:color="000000"/>
              <w:bottom w:val="single" w:sz="4" w:space="0" w:color="000000"/>
            </w:tcBorders>
            <w:shd w:val="clear" w:color="auto" w:fill="E6E7E8"/>
          </w:tcPr>
          <w:p>
            <w:pPr>
              <w:pStyle w:val="TableParagraph"/>
              <w:rPr>
                <w:rFonts w:ascii="Times New Roman"/>
                <w:sz w:val="16"/>
              </w:rPr>
            </w:pPr>
          </w:p>
        </w:tc>
        <w:tc>
          <w:tcPr>
            <w:tcW w:w="1134" w:type="dxa"/>
            <w:tcBorders>
              <w:top w:val="single" w:sz="4" w:space="0" w:color="000000"/>
              <w:bottom w:val="single" w:sz="4" w:space="0" w:color="000000"/>
            </w:tcBorders>
          </w:tcPr>
          <w:p>
            <w:pPr>
              <w:pStyle w:val="TableParagraph"/>
              <w:tabs>
                <w:tab w:pos="713" w:val="left" w:leader="none"/>
              </w:tabs>
              <w:spacing w:before="126"/>
              <w:ind w:left="146"/>
              <w:rPr>
                <w:rFonts w:ascii="TT Norms Pro Light"/>
                <w:b w:val="0"/>
                <w:sz w:val="16"/>
              </w:rPr>
            </w:pPr>
            <w:r>
              <w:rPr>
                <w:rFonts w:ascii="TT Norms Pro Light"/>
                <w:b w:val="0"/>
                <w:spacing w:val="-10"/>
                <w:sz w:val="16"/>
              </w:rPr>
              <w:t>6</w:t>
            </w:r>
            <w:r>
              <w:rPr>
                <w:rFonts w:ascii="TT Norms Pro Light"/>
                <w:b w:val="0"/>
                <w:sz w:val="16"/>
              </w:rPr>
              <w:tab/>
            </w:r>
            <w:r>
              <w:rPr>
                <w:rFonts w:ascii="TT Norms Pro Light"/>
                <w:b w:val="0"/>
                <w:spacing w:val="-10"/>
                <w:sz w:val="16"/>
              </w:rPr>
              <w:t>5</w:t>
            </w:r>
          </w:p>
        </w:tc>
      </w:tr>
      <w:tr>
        <w:trPr>
          <w:trHeight w:val="437" w:hRule="atLeast"/>
        </w:trPr>
        <w:tc>
          <w:tcPr>
            <w:tcW w:w="2098" w:type="dxa"/>
            <w:tcBorders>
              <w:top w:val="single" w:sz="4" w:space="0" w:color="000000"/>
              <w:bottom w:val="single" w:sz="4" w:space="0" w:color="000000"/>
            </w:tcBorders>
          </w:tcPr>
          <w:p>
            <w:pPr>
              <w:pStyle w:val="TableParagraph"/>
              <w:spacing w:before="124"/>
              <w:ind w:left="147"/>
              <w:rPr>
                <w:rFonts w:ascii="TT Norms Pro Light"/>
                <w:b w:val="0"/>
                <w:sz w:val="18"/>
              </w:rPr>
            </w:pPr>
            <w:r>
              <w:rPr>
                <w:rFonts w:ascii="TT Norms Pro Light"/>
                <w:b w:val="0"/>
                <w:sz w:val="18"/>
              </w:rPr>
              <w:t>Dr</w:t>
            </w:r>
            <w:r>
              <w:rPr>
                <w:rFonts w:ascii="TT Norms Pro Light"/>
                <w:b w:val="0"/>
                <w:spacing w:val="1"/>
                <w:sz w:val="18"/>
              </w:rPr>
              <w:t> </w:t>
            </w:r>
            <w:r>
              <w:rPr>
                <w:rFonts w:ascii="TT Norms Pro Light"/>
                <w:b w:val="0"/>
                <w:sz w:val="18"/>
              </w:rPr>
              <w:t>R</w:t>
            </w:r>
            <w:r>
              <w:rPr>
                <w:rFonts w:ascii="TT Norms Pro Light"/>
                <w:b w:val="0"/>
                <w:spacing w:val="2"/>
                <w:sz w:val="18"/>
              </w:rPr>
              <w:t> </w:t>
            </w:r>
            <w:r>
              <w:rPr>
                <w:rFonts w:ascii="TT Norms Pro Light"/>
                <w:b w:val="0"/>
                <w:spacing w:val="-2"/>
                <w:sz w:val="18"/>
              </w:rPr>
              <w:t>Olivier</w:t>
            </w:r>
          </w:p>
        </w:tc>
        <w:tc>
          <w:tcPr>
            <w:tcW w:w="1885" w:type="dxa"/>
            <w:tcBorders>
              <w:top w:val="single" w:sz="4" w:space="0" w:color="000000"/>
              <w:bottom w:val="single" w:sz="4" w:space="0" w:color="000000"/>
            </w:tcBorders>
            <w:shd w:val="clear" w:color="auto" w:fill="E6E7E8"/>
          </w:tcPr>
          <w:p>
            <w:pPr>
              <w:pStyle w:val="TableParagraph"/>
              <w:spacing w:before="124"/>
              <w:ind w:left="147"/>
              <w:rPr>
                <w:rFonts w:ascii="TT Norms Pro Light"/>
                <w:b w:val="0"/>
                <w:sz w:val="18"/>
              </w:rPr>
            </w:pPr>
            <w:r>
              <w:rPr>
                <w:rFonts w:ascii="TT Norms Pro Light"/>
                <w:b w:val="0"/>
                <w:sz w:val="18"/>
              </w:rPr>
              <w:t>Whole</w:t>
            </w:r>
            <w:r>
              <w:rPr>
                <w:rFonts w:ascii="TT Norms Pro Light"/>
                <w:b w:val="0"/>
                <w:spacing w:val="3"/>
                <w:sz w:val="18"/>
              </w:rPr>
              <w:t> </w:t>
            </w:r>
            <w:r>
              <w:rPr>
                <w:rFonts w:ascii="TT Norms Pro Light"/>
                <w:b w:val="0"/>
                <w:spacing w:val="-4"/>
                <w:sz w:val="18"/>
              </w:rPr>
              <w:t>year</w:t>
            </w:r>
          </w:p>
        </w:tc>
        <w:tc>
          <w:tcPr>
            <w:tcW w:w="1035" w:type="dxa"/>
            <w:tcBorders>
              <w:top w:val="single" w:sz="4" w:space="0" w:color="000000"/>
              <w:bottom w:val="single" w:sz="4" w:space="0" w:color="000000"/>
            </w:tcBorders>
          </w:tcPr>
          <w:p>
            <w:pPr>
              <w:pStyle w:val="TableParagraph"/>
              <w:tabs>
                <w:tab w:pos="664" w:val="left" w:leader="none"/>
              </w:tabs>
              <w:spacing w:before="126"/>
              <w:ind w:left="147"/>
              <w:rPr>
                <w:rFonts w:ascii="TT Norms Pro Light"/>
                <w:b w:val="0"/>
                <w:sz w:val="16"/>
              </w:rPr>
            </w:pPr>
            <w:r>
              <w:rPr>
                <w:rFonts w:ascii="TT Norms Pro Light"/>
                <w:b w:val="0"/>
                <w:spacing w:val="-10"/>
                <w:sz w:val="16"/>
              </w:rPr>
              <w:t>7</w:t>
            </w:r>
            <w:r>
              <w:rPr>
                <w:rFonts w:ascii="TT Norms Pro Light"/>
                <w:b w:val="0"/>
                <w:sz w:val="16"/>
              </w:rPr>
              <w:tab/>
            </w:r>
            <w:r>
              <w:rPr>
                <w:rFonts w:ascii="TT Norms Pro Light"/>
                <w:b w:val="0"/>
                <w:spacing w:val="-10"/>
                <w:sz w:val="16"/>
              </w:rPr>
              <w:t>7</w:t>
            </w:r>
          </w:p>
        </w:tc>
        <w:tc>
          <w:tcPr>
            <w:tcW w:w="1068" w:type="dxa"/>
            <w:tcBorders>
              <w:top w:val="single" w:sz="4" w:space="0" w:color="000000"/>
              <w:bottom w:val="single" w:sz="4" w:space="0" w:color="000000"/>
            </w:tcBorders>
            <w:shd w:val="clear" w:color="auto" w:fill="E6E7E8"/>
          </w:tcPr>
          <w:p>
            <w:pPr>
              <w:pStyle w:val="TableParagraph"/>
              <w:rPr>
                <w:rFonts w:ascii="Times New Roman"/>
                <w:sz w:val="16"/>
              </w:rPr>
            </w:pPr>
          </w:p>
        </w:tc>
        <w:tc>
          <w:tcPr>
            <w:tcW w:w="1436" w:type="dxa"/>
            <w:tcBorders>
              <w:top w:val="single" w:sz="4" w:space="0" w:color="000000"/>
              <w:bottom w:val="single" w:sz="4" w:space="0" w:color="000000"/>
            </w:tcBorders>
          </w:tcPr>
          <w:p>
            <w:pPr>
              <w:pStyle w:val="TableParagraph"/>
              <w:rPr>
                <w:rFonts w:ascii="Times New Roman"/>
                <w:sz w:val="16"/>
              </w:rPr>
            </w:pPr>
          </w:p>
        </w:tc>
        <w:tc>
          <w:tcPr>
            <w:tcW w:w="1134" w:type="dxa"/>
            <w:tcBorders>
              <w:top w:val="single" w:sz="4" w:space="0" w:color="000000"/>
              <w:bottom w:val="single" w:sz="4" w:space="0" w:color="000000"/>
            </w:tcBorders>
            <w:shd w:val="clear" w:color="auto" w:fill="E6E7E8"/>
          </w:tcPr>
          <w:p>
            <w:pPr>
              <w:pStyle w:val="TableParagraph"/>
              <w:rPr>
                <w:rFonts w:ascii="Times New Roman"/>
                <w:sz w:val="16"/>
              </w:rPr>
            </w:pPr>
          </w:p>
        </w:tc>
        <w:tc>
          <w:tcPr>
            <w:tcW w:w="1134" w:type="dxa"/>
            <w:tcBorders>
              <w:top w:val="single" w:sz="4" w:space="0" w:color="000000"/>
              <w:bottom w:val="single" w:sz="4" w:space="0" w:color="000000"/>
            </w:tcBorders>
          </w:tcPr>
          <w:p>
            <w:pPr>
              <w:pStyle w:val="TableParagraph"/>
              <w:tabs>
                <w:tab w:pos="713" w:val="left" w:leader="none"/>
              </w:tabs>
              <w:spacing w:before="126"/>
              <w:ind w:left="146"/>
              <w:rPr>
                <w:rFonts w:ascii="TT Norms Pro Light"/>
                <w:b w:val="0"/>
                <w:sz w:val="16"/>
              </w:rPr>
            </w:pPr>
            <w:r>
              <w:rPr>
                <w:rFonts w:ascii="TT Norms Pro Light"/>
                <w:b w:val="0"/>
                <w:spacing w:val="-10"/>
                <w:sz w:val="16"/>
              </w:rPr>
              <w:t>6</w:t>
            </w:r>
            <w:r>
              <w:rPr>
                <w:rFonts w:ascii="TT Norms Pro Light"/>
                <w:b w:val="0"/>
                <w:sz w:val="16"/>
              </w:rPr>
              <w:tab/>
            </w:r>
            <w:r>
              <w:rPr>
                <w:rFonts w:ascii="TT Norms Pro Light"/>
                <w:b w:val="0"/>
                <w:spacing w:val="-10"/>
                <w:sz w:val="16"/>
              </w:rPr>
              <w:t>6</w:t>
            </w:r>
          </w:p>
        </w:tc>
      </w:tr>
      <w:tr>
        <w:trPr>
          <w:trHeight w:val="437" w:hRule="atLeast"/>
        </w:trPr>
        <w:tc>
          <w:tcPr>
            <w:tcW w:w="2098" w:type="dxa"/>
            <w:tcBorders>
              <w:top w:val="single" w:sz="4" w:space="0" w:color="000000"/>
              <w:bottom w:val="single" w:sz="4" w:space="0" w:color="000000"/>
            </w:tcBorders>
            <w:shd w:val="clear" w:color="auto" w:fill="FFFFFF"/>
          </w:tcPr>
          <w:p>
            <w:pPr>
              <w:pStyle w:val="TableParagraph"/>
              <w:spacing w:before="124"/>
              <w:ind w:left="147"/>
              <w:rPr>
                <w:rFonts w:ascii="TT Norms Pro Light"/>
                <w:b w:val="0"/>
                <w:sz w:val="18"/>
              </w:rPr>
            </w:pPr>
            <w:r>
              <w:rPr>
                <w:rFonts w:ascii="TT Norms Pro Light"/>
                <w:b w:val="0"/>
                <w:sz w:val="18"/>
              </w:rPr>
              <w:t>Dr</w:t>
            </w:r>
            <w:r>
              <w:rPr>
                <w:rFonts w:ascii="TT Norms Pro Light"/>
                <w:b w:val="0"/>
                <w:spacing w:val="1"/>
                <w:sz w:val="18"/>
              </w:rPr>
              <w:t> </w:t>
            </w:r>
            <w:r>
              <w:rPr>
                <w:rFonts w:ascii="TT Norms Pro Light"/>
                <w:b w:val="0"/>
                <w:sz w:val="18"/>
              </w:rPr>
              <w:t>J</w:t>
            </w:r>
            <w:r>
              <w:rPr>
                <w:rFonts w:ascii="TT Norms Pro Light"/>
                <w:b w:val="0"/>
                <w:spacing w:val="2"/>
                <w:sz w:val="18"/>
              </w:rPr>
              <w:t> </w:t>
            </w:r>
            <w:r>
              <w:rPr>
                <w:rFonts w:ascii="TT Norms Pro Light"/>
                <w:b w:val="0"/>
                <w:spacing w:val="-2"/>
                <w:sz w:val="18"/>
              </w:rPr>
              <w:t>O'Shea</w:t>
            </w:r>
          </w:p>
        </w:tc>
        <w:tc>
          <w:tcPr>
            <w:tcW w:w="1885" w:type="dxa"/>
            <w:tcBorders>
              <w:top w:val="single" w:sz="4" w:space="0" w:color="000000"/>
              <w:bottom w:val="single" w:sz="4" w:space="0" w:color="000000"/>
            </w:tcBorders>
            <w:shd w:val="clear" w:color="auto" w:fill="E6E7E8"/>
          </w:tcPr>
          <w:p>
            <w:pPr>
              <w:pStyle w:val="TableParagraph"/>
              <w:spacing w:before="124"/>
              <w:ind w:left="147"/>
              <w:rPr>
                <w:rFonts w:ascii="TT Norms Pro Light"/>
                <w:b w:val="0"/>
                <w:sz w:val="18"/>
              </w:rPr>
            </w:pPr>
            <w:r>
              <w:rPr>
                <w:rFonts w:ascii="TT Norms Pro Light"/>
                <w:b w:val="0"/>
                <w:sz w:val="18"/>
              </w:rPr>
              <w:t>To</w:t>
            </w:r>
            <w:r>
              <w:rPr>
                <w:rFonts w:ascii="TT Norms Pro Light"/>
                <w:b w:val="0"/>
                <w:spacing w:val="-5"/>
                <w:sz w:val="18"/>
              </w:rPr>
              <w:t> </w:t>
            </w:r>
            <w:r>
              <w:rPr>
                <w:rFonts w:ascii="TT Norms Pro Light"/>
                <w:b w:val="0"/>
                <w:sz w:val="18"/>
              </w:rPr>
              <w:t>29</w:t>
            </w:r>
            <w:r>
              <w:rPr>
                <w:rFonts w:ascii="TT Norms Pro Light"/>
                <w:b w:val="0"/>
                <w:spacing w:val="-5"/>
                <w:sz w:val="18"/>
              </w:rPr>
              <w:t> </w:t>
            </w:r>
            <w:r>
              <w:rPr>
                <w:rFonts w:ascii="TT Norms Pro Light"/>
                <w:b w:val="0"/>
                <w:spacing w:val="-2"/>
                <w:sz w:val="18"/>
              </w:rPr>
              <w:t>February</w:t>
            </w:r>
          </w:p>
        </w:tc>
        <w:tc>
          <w:tcPr>
            <w:tcW w:w="1035" w:type="dxa"/>
            <w:tcBorders>
              <w:top w:val="single" w:sz="4" w:space="0" w:color="000000"/>
              <w:bottom w:val="single" w:sz="4" w:space="0" w:color="000000"/>
            </w:tcBorders>
            <w:shd w:val="clear" w:color="auto" w:fill="FFFFFF"/>
          </w:tcPr>
          <w:p>
            <w:pPr>
              <w:pStyle w:val="TableParagraph"/>
              <w:rPr>
                <w:rFonts w:ascii="Times New Roman"/>
                <w:sz w:val="16"/>
              </w:rPr>
            </w:pPr>
          </w:p>
        </w:tc>
        <w:tc>
          <w:tcPr>
            <w:tcW w:w="1068" w:type="dxa"/>
            <w:tcBorders>
              <w:top w:val="single" w:sz="4" w:space="0" w:color="000000"/>
              <w:bottom w:val="single" w:sz="4" w:space="0" w:color="000000"/>
            </w:tcBorders>
            <w:shd w:val="clear" w:color="auto" w:fill="E6E7E8"/>
          </w:tcPr>
          <w:p>
            <w:pPr>
              <w:pStyle w:val="TableParagraph"/>
              <w:rPr>
                <w:rFonts w:ascii="Times New Roman"/>
                <w:sz w:val="16"/>
              </w:rPr>
            </w:pPr>
          </w:p>
        </w:tc>
        <w:tc>
          <w:tcPr>
            <w:tcW w:w="1436" w:type="dxa"/>
            <w:tcBorders>
              <w:top w:val="single" w:sz="4" w:space="0" w:color="000000"/>
              <w:bottom w:val="single" w:sz="4" w:space="0" w:color="000000"/>
            </w:tcBorders>
            <w:shd w:val="clear" w:color="auto" w:fill="FFFFFF"/>
          </w:tcPr>
          <w:p>
            <w:pPr>
              <w:pStyle w:val="TableParagraph"/>
              <w:rPr>
                <w:rFonts w:ascii="Times New Roman"/>
                <w:sz w:val="16"/>
              </w:rPr>
            </w:pPr>
          </w:p>
        </w:tc>
        <w:tc>
          <w:tcPr>
            <w:tcW w:w="1134" w:type="dxa"/>
            <w:tcBorders>
              <w:top w:val="single" w:sz="4" w:space="0" w:color="000000"/>
              <w:bottom w:val="single" w:sz="4" w:space="0" w:color="000000"/>
            </w:tcBorders>
            <w:shd w:val="clear" w:color="auto" w:fill="E6E7E8"/>
          </w:tcPr>
          <w:p>
            <w:pPr>
              <w:pStyle w:val="TableParagraph"/>
              <w:rPr>
                <w:rFonts w:ascii="Times New Roman"/>
                <w:sz w:val="16"/>
              </w:rPr>
            </w:pPr>
          </w:p>
        </w:tc>
        <w:tc>
          <w:tcPr>
            <w:tcW w:w="1134" w:type="dxa"/>
            <w:tcBorders>
              <w:top w:val="single" w:sz="4" w:space="0" w:color="000000"/>
              <w:bottom w:val="single" w:sz="4" w:space="0" w:color="000000"/>
            </w:tcBorders>
            <w:shd w:val="clear" w:color="auto" w:fill="FFFFFF"/>
          </w:tcPr>
          <w:p>
            <w:pPr>
              <w:pStyle w:val="TableParagraph"/>
              <w:rPr>
                <w:rFonts w:ascii="Times New Roman"/>
                <w:sz w:val="16"/>
              </w:rPr>
            </w:pPr>
          </w:p>
        </w:tc>
      </w:tr>
      <w:tr>
        <w:trPr>
          <w:trHeight w:val="437" w:hRule="atLeast"/>
        </w:trPr>
        <w:tc>
          <w:tcPr>
            <w:tcW w:w="2098" w:type="dxa"/>
            <w:tcBorders>
              <w:top w:val="single" w:sz="4" w:space="0" w:color="000000"/>
              <w:bottom w:val="single" w:sz="4" w:space="0" w:color="000000"/>
            </w:tcBorders>
            <w:shd w:val="clear" w:color="auto" w:fill="FFFFFF"/>
          </w:tcPr>
          <w:p>
            <w:pPr>
              <w:pStyle w:val="TableParagraph"/>
              <w:spacing w:before="124"/>
              <w:ind w:left="147"/>
              <w:rPr>
                <w:rFonts w:ascii="TT Norms Pro Light"/>
                <w:b w:val="0"/>
                <w:sz w:val="18"/>
              </w:rPr>
            </w:pPr>
            <w:r>
              <w:rPr>
                <w:rFonts w:ascii="TT Norms Pro Light"/>
                <w:b w:val="0"/>
                <w:sz w:val="18"/>
              </w:rPr>
              <w:t>Ms B</w:t>
            </w:r>
            <w:r>
              <w:rPr>
                <w:rFonts w:ascii="TT Norms Pro Light"/>
                <w:b w:val="0"/>
                <w:spacing w:val="1"/>
                <w:sz w:val="18"/>
              </w:rPr>
              <w:t> </w:t>
            </w:r>
            <w:r>
              <w:rPr>
                <w:rFonts w:ascii="TT Norms Pro Light"/>
                <w:b w:val="0"/>
                <w:spacing w:val="-2"/>
                <w:sz w:val="18"/>
              </w:rPr>
              <w:t>Shanahan</w:t>
            </w:r>
          </w:p>
        </w:tc>
        <w:tc>
          <w:tcPr>
            <w:tcW w:w="1885" w:type="dxa"/>
            <w:tcBorders>
              <w:top w:val="single" w:sz="4" w:space="0" w:color="000000"/>
              <w:bottom w:val="single" w:sz="4" w:space="0" w:color="000000"/>
            </w:tcBorders>
            <w:shd w:val="clear" w:color="auto" w:fill="E6E7E8"/>
          </w:tcPr>
          <w:p>
            <w:pPr>
              <w:pStyle w:val="TableParagraph"/>
              <w:spacing w:before="124"/>
              <w:ind w:left="147"/>
              <w:rPr>
                <w:rFonts w:ascii="TT Norms Pro Light"/>
                <w:b w:val="0"/>
                <w:sz w:val="18"/>
              </w:rPr>
            </w:pPr>
            <w:r>
              <w:rPr>
                <w:rFonts w:ascii="TT Norms Pro Light"/>
                <w:b w:val="0"/>
                <w:spacing w:val="-4"/>
                <w:sz w:val="18"/>
              </w:rPr>
              <w:t>To 30</w:t>
            </w:r>
            <w:r>
              <w:rPr>
                <w:rFonts w:ascii="TT Norms Pro Light"/>
                <w:b w:val="0"/>
                <w:spacing w:val="-3"/>
                <w:sz w:val="18"/>
              </w:rPr>
              <w:t> </w:t>
            </w:r>
            <w:r>
              <w:rPr>
                <w:rFonts w:ascii="TT Norms Pro Light"/>
                <w:b w:val="0"/>
                <w:spacing w:val="-4"/>
                <w:sz w:val="18"/>
              </w:rPr>
              <w:t>November</w:t>
            </w:r>
          </w:p>
        </w:tc>
        <w:tc>
          <w:tcPr>
            <w:tcW w:w="1035" w:type="dxa"/>
            <w:tcBorders>
              <w:top w:val="single" w:sz="4" w:space="0" w:color="000000"/>
              <w:bottom w:val="single" w:sz="4" w:space="0" w:color="000000"/>
            </w:tcBorders>
            <w:shd w:val="clear" w:color="auto" w:fill="FFFFFF"/>
          </w:tcPr>
          <w:p>
            <w:pPr>
              <w:pStyle w:val="TableParagraph"/>
              <w:tabs>
                <w:tab w:pos="664" w:val="left" w:leader="none"/>
              </w:tabs>
              <w:spacing w:before="126"/>
              <w:ind w:left="147"/>
              <w:rPr>
                <w:rFonts w:ascii="TT Norms Pro Light"/>
                <w:b w:val="0"/>
                <w:sz w:val="16"/>
              </w:rPr>
            </w:pPr>
            <w:r>
              <w:rPr>
                <w:rFonts w:ascii="TT Norms Pro Light"/>
                <w:b w:val="0"/>
                <w:spacing w:val="-10"/>
                <w:sz w:val="16"/>
              </w:rPr>
              <w:t>6</w:t>
            </w:r>
            <w:r>
              <w:rPr>
                <w:rFonts w:ascii="TT Norms Pro Light"/>
                <w:b w:val="0"/>
                <w:sz w:val="16"/>
              </w:rPr>
              <w:tab/>
            </w:r>
            <w:r>
              <w:rPr>
                <w:rFonts w:ascii="TT Norms Pro Light"/>
                <w:b w:val="0"/>
                <w:spacing w:val="-10"/>
                <w:sz w:val="16"/>
              </w:rPr>
              <w:t>6</w:t>
            </w:r>
          </w:p>
        </w:tc>
        <w:tc>
          <w:tcPr>
            <w:tcW w:w="1068" w:type="dxa"/>
            <w:tcBorders>
              <w:top w:val="single" w:sz="4" w:space="0" w:color="000000"/>
              <w:bottom w:val="single" w:sz="4" w:space="0" w:color="000000"/>
            </w:tcBorders>
            <w:shd w:val="clear" w:color="auto" w:fill="E6E7E8"/>
          </w:tcPr>
          <w:p>
            <w:pPr>
              <w:pStyle w:val="TableParagraph"/>
              <w:rPr>
                <w:rFonts w:ascii="Times New Roman"/>
                <w:sz w:val="16"/>
              </w:rPr>
            </w:pPr>
          </w:p>
        </w:tc>
        <w:tc>
          <w:tcPr>
            <w:tcW w:w="1436" w:type="dxa"/>
            <w:tcBorders>
              <w:top w:val="single" w:sz="4" w:space="0" w:color="000000"/>
              <w:bottom w:val="single" w:sz="4" w:space="0" w:color="000000"/>
            </w:tcBorders>
            <w:shd w:val="clear" w:color="auto" w:fill="FFFFFF"/>
          </w:tcPr>
          <w:p>
            <w:pPr>
              <w:pStyle w:val="TableParagraph"/>
              <w:rPr>
                <w:rFonts w:ascii="Times New Roman"/>
                <w:sz w:val="16"/>
              </w:rPr>
            </w:pPr>
          </w:p>
        </w:tc>
        <w:tc>
          <w:tcPr>
            <w:tcW w:w="1134" w:type="dxa"/>
            <w:tcBorders>
              <w:top w:val="single" w:sz="4" w:space="0" w:color="000000"/>
              <w:bottom w:val="single" w:sz="4" w:space="0" w:color="000000"/>
            </w:tcBorders>
            <w:shd w:val="clear" w:color="auto" w:fill="E6E7E8"/>
          </w:tcPr>
          <w:p>
            <w:pPr>
              <w:pStyle w:val="TableParagraph"/>
              <w:rPr>
                <w:rFonts w:ascii="Times New Roman"/>
                <w:sz w:val="16"/>
              </w:rPr>
            </w:pPr>
          </w:p>
        </w:tc>
        <w:tc>
          <w:tcPr>
            <w:tcW w:w="1134" w:type="dxa"/>
            <w:tcBorders>
              <w:top w:val="single" w:sz="4" w:space="0" w:color="000000"/>
              <w:bottom w:val="single" w:sz="4" w:space="0" w:color="000000"/>
            </w:tcBorders>
            <w:shd w:val="clear" w:color="auto" w:fill="FFFFFF"/>
          </w:tcPr>
          <w:p>
            <w:pPr>
              <w:pStyle w:val="TableParagraph"/>
              <w:tabs>
                <w:tab w:pos="713" w:val="left" w:leader="none"/>
              </w:tabs>
              <w:spacing w:before="126"/>
              <w:ind w:left="146"/>
              <w:rPr>
                <w:rFonts w:ascii="TT Norms Pro Light"/>
                <w:b w:val="0"/>
                <w:sz w:val="16"/>
              </w:rPr>
            </w:pPr>
            <w:r>
              <w:rPr>
                <w:rFonts w:ascii="TT Norms Pro Light"/>
                <w:b w:val="0"/>
                <w:spacing w:val="-10"/>
                <w:sz w:val="16"/>
              </w:rPr>
              <w:t>6</w:t>
            </w:r>
            <w:r>
              <w:rPr>
                <w:rFonts w:ascii="TT Norms Pro Light"/>
                <w:b w:val="0"/>
                <w:sz w:val="16"/>
              </w:rPr>
              <w:tab/>
            </w:r>
            <w:r>
              <w:rPr>
                <w:rFonts w:ascii="TT Norms Pro Light"/>
                <w:b w:val="0"/>
                <w:spacing w:val="-10"/>
                <w:sz w:val="16"/>
              </w:rPr>
              <w:t>6</w:t>
            </w:r>
          </w:p>
        </w:tc>
      </w:tr>
      <w:tr>
        <w:trPr>
          <w:trHeight w:val="437" w:hRule="atLeast"/>
        </w:trPr>
        <w:tc>
          <w:tcPr>
            <w:tcW w:w="2098" w:type="dxa"/>
            <w:tcBorders>
              <w:top w:val="single" w:sz="4" w:space="0" w:color="000000"/>
              <w:bottom w:val="single" w:sz="4" w:space="0" w:color="000000"/>
            </w:tcBorders>
            <w:shd w:val="clear" w:color="auto" w:fill="FFFFFF"/>
          </w:tcPr>
          <w:p>
            <w:pPr>
              <w:pStyle w:val="TableParagraph"/>
              <w:spacing w:before="124"/>
              <w:ind w:left="147"/>
              <w:rPr>
                <w:rFonts w:ascii="TT Norms Pro Light"/>
                <w:b w:val="0"/>
                <w:sz w:val="18"/>
              </w:rPr>
            </w:pPr>
            <w:r>
              <w:rPr>
                <w:rFonts w:ascii="TT Norms Pro Light"/>
                <w:b w:val="0"/>
                <w:sz w:val="18"/>
              </w:rPr>
              <w:t>Mr C</w:t>
            </w:r>
            <w:r>
              <w:rPr>
                <w:rFonts w:ascii="TT Norms Pro Light"/>
                <w:b w:val="0"/>
                <w:spacing w:val="1"/>
                <w:sz w:val="18"/>
              </w:rPr>
              <w:t> </w:t>
            </w:r>
            <w:r>
              <w:rPr>
                <w:rFonts w:ascii="TT Norms Pro Light"/>
                <w:b w:val="0"/>
                <w:spacing w:val="-2"/>
                <w:sz w:val="18"/>
              </w:rPr>
              <w:t>Williams</w:t>
            </w:r>
          </w:p>
        </w:tc>
        <w:tc>
          <w:tcPr>
            <w:tcW w:w="1885" w:type="dxa"/>
            <w:tcBorders>
              <w:top w:val="single" w:sz="4" w:space="0" w:color="000000"/>
              <w:bottom w:val="single" w:sz="4" w:space="0" w:color="000000"/>
            </w:tcBorders>
            <w:shd w:val="clear" w:color="auto" w:fill="E6E7E8"/>
          </w:tcPr>
          <w:p>
            <w:pPr>
              <w:pStyle w:val="TableParagraph"/>
              <w:spacing w:before="124"/>
              <w:ind w:left="147"/>
              <w:rPr>
                <w:rFonts w:ascii="TT Norms Pro Light"/>
                <w:b w:val="0"/>
                <w:sz w:val="18"/>
              </w:rPr>
            </w:pPr>
            <w:r>
              <w:rPr>
                <w:rFonts w:ascii="TT Norms Pro Light"/>
                <w:b w:val="0"/>
                <w:sz w:val="18"/>
              </w:rPr>
              <w:t>To</w:t>
            </w:r>
            <w:r>
              <w:rPr>
                <w:rFonts w:ascii="TT Norms Pro Light"/>
                <w:b w:val="0"/>
                <w:spacing w:val="-6"/>
                <w:sz w:val="18"/>
              </w:rPr>
              <w:t> </w:t>
            </w:r>
            <w:r>
              <w:rPr>
                <w:rFonts w:ascii="TT Norms Pro Light"/>
                <w:b w:val="0"/>
                <w:sz w:val="18"/>
              </w:rPr>
              <w:t>3</w:t>
            </w:r>
            <w:r>
              <w:rPr>
                <w:rFonts w:ascii="TT Norms Pro Light"/>
                <w:b w:val="0"/>
                <w:spacing w:val="-6"/>
                <w:sz w:val="18"/>
              </w:rPr>
              <w:t> </w:t>
            </w:r>
            <w:r>
              <w:rPr>
                <w:rFonts w:ascii="TT Norms Pro Light"/>
                <w:b w:val="0"/>
                <w:spacing w:val="-4"/>
                <w:sz w:val="18"/>
              </w:rPr>
              <w:t>March</w:t>
            </w:r>
          </w:p>
        </w:tc>
        <w:tc>
          <w:tcPr>
            <w:tcW w:w="1035" w:type="dxa"/>
            <w:tcBorders>
              <w:top w:val="single" w:sz="4" w:space="0" w:color="000000"/>
              <w:bottom w:val="single" w:sz="4" w:space="0" w:color="000000"/>
            </w:tcBorders>
            <w:shd w:val="clear" w:color="auto" w:fill="FFFFFF"/>
          </w:tcPr>
          <w:p>
            <w:pPr>
              <w:pStyle w:val="TableParagraph"/>
              <w:rPr>
                <w:rFonts w:ascii="Times New Roman"/>
                <w:sz w:val="16"/>
              </w:rPr>
            </w:pPr>
          </w:p>
        </w:tc>
        <w:tc>
          <w:tcPr>
            <w:tcW w:w="1068" w:type="dxa"/>
            <w:tcBorders>
              <w:top w:val="single" w:sz="4" w:space="0" w:color="000000"/>
              <w:bottom w:val="single" w:sz="4" w:space="0" w:color="000000"/>
            </w:tcBorders>
            <w:shd w:val="clear" w:color="auto" w:fill="E6E7E8"/>
          </w:tcPr>
          <w:p>
            <w:pPr>
              <w:pStyle w:val="TableParagraph"/>
              <w:rPr>
                <w:rFonts w:ascii="Times New Roman"/>
                <w:sz w:val="16"/>
              </w:rPr>
            </w:pPr>
          </w:p>
        </w:tc>
        <w:tc>
          <w:tcPr>
            <w:tcW w:w="1436" w:type="dxa"/>
            <w:tcBorders>
              <w:top w:val="single" w:sz="4" w:space="0" w:color="000000"/>
              <w:bottom w:val="single" w:sz="4" w:space="0" w:color="000000"/>
            </w:tcBorders>
            <w:shd w:val="clear" w:color="auto" w:fill="FFFFFF"/>
          </w:tcPr>
          <w:p>
            <w:pPr>
              <w:pStyle w:val="TableParagraph"/>
              <w:rPr>
                <w:rFonts w:ascii="Times New Roman"/>
                <w:sz w:val="16"/>
              </w:rPr>
            </w:pPr>
          </w:p>
        </w:tc>
        <w:tc>
          <w:tcPr>
            <w:tcW w:w="1134" w:type="dxa"/>
            <w:tcBorders>
              <w:top w:val="single" w:sz="4" w:space="0" w:color="000000"/>
              <w:bottom w:val="single" w:sz="4" w:space="0" w:color="000000"/>
            </w:tcBorders>
            <w:shd w:val="clear" w:color="auto" w:fill="E6E7E8"/>
          </w:tcPr>
          <w:p>
            <w:pPr>
              <w:pStyle w:val="TableParagraph"/>
              <w:rPr>
                <w:rFonts w:ascii="Times New Roman"/>
                <w:sz w:val="16"/>
              </w:rPr>
            </w:pPr>
          </w:p>
        </w:tc>
        <w:tc>
          <w:tcPr>
            <w:tcW w:w="1134" w:type="dxa"/>
            <w:tcBorders>
              <w:top w:val="single" w:sz="4" w:space="0" w:color="000000"/>
              <w:bottom w:val="single" w:sz="4" w:space="0" w:color="000000"/>
            </w:tcBorders>
            <w:shd w:val="clear" w:color="auto" w:fill="FFFFFF"/>
          </w:tcPr>
          <w:p>
            <w:pPr>
              <w:pStyle w:val="TableParagraph"/>
              <w:rPr>
                <w:rFonts w:ascii="Times New Roman"/>
                <w:sz w:val="16"/>
              </w:rPr>
            </w:pPr>
          </w:p>
        </w:tc>
      </w:tr>
    </w:tbl>
    <w:p>
      <w:pPr>
        <w:spacing w:after="0"/>
        <w:rPr>
          <w:rFonts w:ascii="Times New Roman"/>
          <w:sz w:val="16"/>
        </w:rPr>
        <w:sectPr>
          <w:pgSz w:w="11910" w:h="16840"/>
          <w:pgMar w:header="468" w:footer="0" w:top="720" w:bottom="0" w:left="0" w:right="780"/>
        </w:sectPr>
      </w:pPr>
    </w:p>
    <w:p>
      <w:pPr>
        <w:spacing w:line="853" w:lineRule="exact" w:before="756"/>
        <w:ind w:left="1133" w:right="0" w:firstLine="0"/>
        <w:jc w:val="left"/>
        <w:rPr>
          <w:rFonts w:ascii="Palatino Linotype"/>
          <w:sz w:val="70"/>
        </w:rPr>
      </w:pPr>
      <w:r>
        <w:rPr/>
        <mc:AlternateContent>
          <mc:Choice Requires="wps">
            <w:drawing>
              <wp:anchor distT="0" distB="0" distL="0" distR="0" allowOverlap="1" layoutInCell="1" locked="0" behindDoc="1" simplePos="0" relativeHeight="472669696">
                <wp:simplePos x="0" y="0"/>
                <wp:positionH relativeFrom="page">
                  <wp:posOffset>395998</wp:posOffset>
                </wp:positionH>
                <wp:positionV relativeFrom="page">
                  <wp:posOffset>638924</wp:posOffset>
                </wp:positionV>
                <wp:extent cx="7164070" cy="9333230"/>
                <wp:effectExtent l="0" t="0" r="0" b="0"/>
                <wp:wrapNone/>
                <wp:docPr id="405" name="Group 405"/>
                <wp:cNvGraphicFramePr>
                  <a:graphicFrameLocks/>
                </wp:cNvGraphicFramePr>
                <a:graphic>
                  <a:graphicData uri="http://schemas.microsoft.com/office/word/2010/wordprocessingGroup">
                    <wpg:wgp>
                      <wpg:cNvPr id="405" name="Group 405"/>
                      <wpg:cNvGrpSpPr/>
                      <wpg:grpSpPr>
                        <a:xfrm>
                          <a:off x="0" y="0"/>
                          <a:ext cx="7164070" cy="9333230"/>
                          <a:chExt cx="7164070" cy="9333230"/>
                        </a:xfrm>
                      </wpg:grpSpPr>
                      <pic:pic>
                        <pic:nvPicPr>
                          <pic:cNvPr id="406" name="Image 406"/>
                          <pic:cNvPicPr/>
                        </pic:nvPicPr>
                        <pic:blipFill>
                          <a:blip r:embed="rId69" cstate="print"/>
                          <a:stretch>
                            <a:fillRect/>
                          </a:stretch>
                        </pic:blipFill>
                        <pic:spPr>
                          <a:xfrm>
                            <a:off x="324002" y="81076"/>
                            <a:ext cx="6839991" cy="9252000"/>
                          </a:xfrm>
                          <a:prstGeom prst="rect">
                            <a:avLst/>
                          </a:prstGeom>
                        </pic:spPr>
                      </pic:pic>
                      <wps:wsp>
                        <wps:cNvPr id="407" name="Graphic 407"/>
                        <wps:cNvSpPr/>
                        <wps:spPr>
                          <a:xfrm>
                            <a:off x="0" y="0"/>
                            <a:ext cx="5634355" cy="6482080"/>
                          </a:xfrm>
                          <a:custGeom>
                            <a:avLst/>
                            <a:gdLst/>
                            <a:ahLst/>
                            <a:cxnLst/>
                            <a:rect l="l" t="t" r="r" b="b"/>
                            <a:pathLst>
                              <a:path w="5634355" h="6482080">
                                <a:moveTo>
                                  <a:pt x="5633999" y="0"/>
                                </a:moveTo>
                                <a:lnTo>
                                  <a:pt x="1710004" y="0"/>
                                </a:lnTo>
                                <a:lnTo>
                                  <a:pt x="1710004" y="9080"/>
                                </a:lnTo>
                                <a:lnTo>
                                  <a:pt x="0" y="9080"/>
                                </a:lnTo>
                                <a:lnTo>
                                  <a:pt x="0" y="6481877"/>
                                </a:lnTo>
                                <a:lnTo>
                                  <a:pt x="3509988" y="6481877"/>
                                </a:lnTo>
                                <a:lnTo>
                                  <a:pt x="3509988" y="3637076"/>
                                </a:lnTo>
                                <a:lnTo>
                                  <a:pt x="5633999" y="3637076"/>
                                </a:lnTo>
                                <a:lnTo>
                                  <a:pt x="5633999"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1.181pt;margin-top:50.309013pt;width:564.1pt;height:734.9pt;mso-position-horizontal-relative:page;mso-position-vertical-relative:page;z-index:-30646784" id="docshapegroup250" coordorigin="624,1006" coordsize="11282,14698">
                <v:shape style="position:absolute;left:1133;top:1133;width:10772;height:14571" type="#_x0000_t75" id="docshape251" stroked="false">
                  <v:imagedata r:id="rId69" o:title=""/>
                </v:shape>
                <v:shape style="position:absolute;left:623;top:1006;width:8873;height:10208" id="docshape252" coordorigin="624,1006" coordsize="8873,10208" path="m9496,1006l3317,1006,3317,1020,624,1020,624,11214,6151,11214,6151,6734,9496,6734,9496,1006xe" filled="true" fillcolor="#ffffff" stroked="false">
                  <v:path arrowok="t"/>
                  <v:fill type="solid"/>
                </v:shape>
                <w10:wrap type="none"/>
              </v:group>
            </w:pict>
          </mc:Fallback>
        </mc:AlternateContent>
      </w:r>
      <w:r>
        <w:rPr>
          <w:rFonts w:ascii="Palatino Linotype"/>
          <w:spacing w:val="-4"/>
          <w:w w:val="110"/>
          <w:sz w:val="70"/>
        </w:rPr>
        <w:t>Risk</w:t>
      </w:r>
    </w:p>
    <w:p>
      <w:pPr>
        <w:pStyle w:val="Heading2"/>
        <w:spacing w:line="728" w:lineRule="exact"/>
        <w:ind w:left="1648"/>
      </w:pPr>
      <w:r>
        <w:rPr>
          <w:spacing w:val="-2"/>
        </w:rPr>
        <w:t>management</w:t>
      </w:r>
    </w:p>
    <w:p>
      <w:pPr>
        <w:pStyle w:val="BodyText"/>
        <w:rPr>
          <w:rFonts w:ascii="TT Norms Pro"/>
          <w:b/>
        </w:rPr>
      </w:pPr>
    </w:p>
    <w:p>
      <w:pPr>
        <w:pStyle w:val="BodyText"/>
        <w:spacing w:before="143"/>
        <w:rPr>
          <w:rFonts w:ascii="TT Norms Pro"/>
          <w:b/>
        </w:rPr>
      </w:pPr>
    </w:p>
    <w:p>
      <w:pPr>
        <w:pStyle w:val="BodyText"/>
        <w:spacing w:line="295" w:lineRule="auto"/>
        <w:ind w:left="1133" w:right="5578"/>
        <w:rPr>
          <w:b w:val="0"/>
        </w:rPr>
      </w:pPr>
      <w:r>
        <w:rPr>
          <w:b w:val="0"/>
        </w:rPr>
        <w:t>The University is committed to maintaining robust and</w:t>
      </w:r>
      <w:r>
        <w:rPr>
          <w:b w:val="0"/>
          <w:spacing w:val="40"/>
        </w:rPr>
        <w:t> </w:t>
      </w:r>
      <w:r>
        <w:rPr>
          <w:b w:val="0"/>
        </w:rPr>
        <w:t>effective risk management practices in accordance with</w:t>
      </w:r>
      <w:r>
        <w:rPr>
          <w:b w:val="0"/>
          <w:spacing w:val="40"/>
        </w:rPr>
        <w:t> </w:t>
      </w:r>
      <w:r>
        <w:rPr>
          <w:b w:val="0"/>
        </w:rPr>
        <w:t>the risk management standard AS ISO 31000:2018.</w:t>
      </w:r>
    </w:p>
    <w:p>
      <w:pPr>
        <w:pStyle w:val="BodyText"/>
        <w:spacing w:before="47"/>
        <w:rPr>
          <w:b w:val="0"/>
        </w:rPr>
      </w:pPr>
    </w:p>
    <w:p>
      <w:pPr>
        <w:pStyle w:val="BodyText"/>
        <w:spacing w:line="295" w:lineRule="auto" w:before="1"/>
        <w:ind w:left="1133" w:right="5405"/>
        <w:rPr>
          <w:b w:val="0"/>
        </w:rPr>
      </w:pPr>
      <w:r>
        <w:rPr>
          <w:b w:val="0"/>
        </w:rPr>
        <w:t>The University’s Risk Management Framework includes</w:t>
      </w:r>
      <w:r>
        <w:rPr>
          <w:b w:val="0"/>
          <w:spacing w:val="40"/>
        </w:rPr>
        <w:t> </w:t>
      </w:r>
      <w:r>
        <w:rPr>
          <w:b w:val="0"/>
        </w:rPr>
        <w:t>the </w:t>
      </w:r>
      <w:r>
        <w:rPr>
          <w:b w:val="0"/>
          <w:i/>
        </w:rPr>
        <w:t>Risk Management Policy</w:t>
      </w:r>
      <w:r>
        <w:rPr>
          <w:b w:val="0"/>
        </w:rPr>
        <w:t>, Risk Guidelines, Risk</w:t>
      </w:r>
      <w:r>
        <w:rPr>
          <w:b w:val="0"/>
          <w:spacing w:val="40"/>
        </w:rPr>
        <w:t> </w:t>
      </w:r>
      <w:r>
        <w:rPr>
          <w:b w:val="0"/>
        </w:rPr>
        <w:t>Appetite and Risk Matrix. The Senate, through its standing</w:t>
      </w:r>
      <w:r>
        <w:rPr>
          <w:b w:val="0"/>
          <w:spacing w:val="40"/>
        </w:rPr>
        <w:t> </w:t>
      </w:r>
      <w:r>
        <w:rPr>
          <w:b w:val="0"/>
        </w:rPr>
        <w:t>Audit and Risk Committee, oversees the University’s</w:t>
      </w:r>
      <w:r>
        <w:rPr>
          <w:b w:val="0"/>
          <w:spacing w:val="40"/>
        </w:rPr>
        <w:t> </w:t>
      </w:r>
      <w:r>
        <w:rPr>
          <w:b w:val="0"/>
        </w:rPr>
        <w:t>system of internal control and the risk management</w:t>
      </w:r>
      <w:r>
        <w:rPr>
          <w:b w:val="0"/>
          <w:spacing w:val="40"/>
        </w:rPr>
        <w:t> </w:t>
      </w:r>
      <w:r>
        <w:rPr>
          <w:b w:val="0"/>
        </w:rPr>
        <w:t>framework. As part of its oversight and monitoring, some</w:t>
      </w:r>
      <w:r>
        <w:rPr>
          <w:b w:val="0"/>
          <w:spacing w:val="80"/>
        </w:rPr>
        <w:t> </w:t>
      </w:r>
      <w:r>
        <w:rPr>
          <w:b w:val="0"/>
        </w:rPr>
        <w:t>of the key matters that came before the Committee in</w:t>
      </w:r>
      <w:r>
        <w:rPr>
          <w:b w:val="0"/>
          <w:spacing w:val="40"/>
        </w:rPr>
        <w:t> </w:t>
      </w:r>
      <w:r>
        <w:rPr>
          <w:b w:val="0"/>
        </w:rPr>
        <w:t>2020</w:t>
      </w:r>
      <w:r>
        <w:rPr>
          <w:b w:val="0"/>
          <w:spacing w:val="-5"/>
        </w:rPr>
        <w:t> </w:t>
      </w:r>
      <w:r>
        <w:rPr>
          <w:b w:val="0"/>
        </w:rPr>
        <w:t>included:</w:t>
      </w:r>
    </w:p>
    <w:p>
      <w:pPr>
        <w:pStyle w:val="ListParagraph"/>
        <w:numPr>
          <w:ilvl w:val="0"/>
          <w:numId w:val="7"/>
        </w:numPr>
        <w:tabs>
          <w:tab w:pos="1360" w:val="left" w:leader="none"/>
        </w:tabs>
        <w:spacing w:line="295" w:lineRule="auto" w:before="120" w:after="0"/>
        <w:ind w:left="1360" w:right="6544" w:hanging="227"/>
        <w:jc w:val="left"/>
        <w:rPr>
          <w:rFonts w:ascii="TT Norms Pro Light" w:hAnsi="TT Norms Pro Light"/>
          <w:b w:val="0"/>
          <w:sz w:val="18"/>
        </w:rPr>
      </w:pPr>
      <w:r>
        <w:rPr>
          <w:rFonts w:ascii="TT Norms Pro Light" w:hAnsi="TT Norms Pro Light"/>
          <w:b w:val="0"/>
          <w:sz w:val="18"/>
        </w:rPr>
        <w:t>Summary</w:t>
      </w:r>
      <w:r>
        <w:rPr>
          <w:rFonts w:ascii="TT Norms Pro Light" w:hAnsi="TT Norms Pro Light"/>
          <w:b w:val="0"/>
          <w:spacing w:val="-9"/>
          <w:sz w:val="18"/>
        </w:rPr>
        <w:t> </w:t>
      </w:r>
      <w:r>
        <w:rPr>
          <w:rFonts w:ascii="TT Norms Pro Light" w:hAnsi="TT Norms Pro Light"/>
          <w:b w:val="0"/>
          <w:sz w:val="18"/>
        </w:rPr>
        <w:t>reports</w:t>
      </w:r>
      <w:r>
        <w:rPr>
          <w:rFonts w:ascii="TT Norms Pro Light" w:hAnsi="TT Norms Pro Light"/>
          <w:b w:val="0"/>
          <w:spacing w:val="-9"/>
          <w:sz w:val="18"/>
        </w:rPr>
        <w:t> </w:t>
      </w:r>
      <w:r>
        <w:rPr>
          <w:rFonts w:ascii="TT Norms Pro Light" w:hAnsi="TT Norms Pro Light"/>
          <w:b w:val="0"/>
          <w:sz w:val="18"/>
        </w:rPr>
        <w:t>regarding</w:t>
      </w:r>
      <w:r>
        <w:rPr>
          <w:rFonts w:ascii="TT Norms Pro Light" w:hAnsi="TT Norms Pro Light"/>
          <w:b w:val="0"/>
          <w:spacing w:val="-9"/>
          <w:sz w:val="18"/>
        </w:rPr>
        <w:t> </w:t>
      </w:r>
      <w:r>
        <w:rPr>
          <w:rFonts w:ascii="TT Norms Pro Light" w:hAnsi="TT Norms Pro Light"/>
          <w:b w:val="0"/>
          <w:sz w:val="18"/>
        </w:rPr>
        <w:t>strategic</w:t>
      </w:r>
      <w:r>
        <w:rPr>
          <w:rFonts w:ascii="TT Norms Pro Light" w:hAnsi="TT Norms Pro Light"/>
          <w:b w:val="0"/>
          <w:spacing w:val="-9"/>
          <w:sz w:val="18"/>
        </w:rPr>
        <w:t> </w:t>
      </w:r>
      <w:r>
        <w:rPr>
          <w:rFonts w:ascii="TT Norms Pro Light" w:hAnsi="TT Norms Pro Light"/>
          <w:b w:val="0"/>
          <w:sz w:val="18"/>
        </w:rPr>
        <w:t>and</w:t>
      </w:r>
      <w:r>
        <w:rPr>
          <w:rFonts w:ascii="TT Norms Pro Light" w:hAnsi="TT Norms Pro Light"/>
          <w:b w:val="0"/>
          <w:spacing w:val="40"/>
          <w:sz w:val="18"/>
        </w:rPr>
        <w:t> </w:t>
      </w:r>
      <w:r>
        <w:rPr>
          <w:rFonts w:ascii="TT Norms Pro Light" w:hAnsi="TT Norms Pro Light"/>
          <w:b w:val="0"/>
          <w:sz w:val="18"/>
        </w:rPr>
        <w:t>operational</w:t>
      </w:r>
      <w:r>
        <w:rPr>
          <w:rFonts w:ascii="TT Norms Pro Light" w:hAnsi="TT Norms Pro Light"/>
          <w:b w:val="0"/>
          <w:spacing w:val="-5"/>
          <w:sz w:val="18"/>
        </w:rPr>
        <w:t> </w:t>
      </w:r>
      <w:r>
        <w:rPr>
          <w:rFonts w:ascii="TT Norms Pro Light" w:hAnsi="TT Norms Pro Light"/>
          <w:b w:val="0"/>
          <w:sz w:val="18"/>
        </w:rPr>
        <w:t>risks</w:t>
      </w:r>
    </w:p>
    <w:p>
      <w:pPr>
        <w:pStyle w:val="ListParagraph"/>
        <w:numPr>
          <w:ilvl w:val="0"/>
          <w:numId w:val="7"/>
        </w:numPr>
        <w:tabs>
          <w:tab w:pos="1359" w:val="left" w:leader="none"/>
        </w:tabs>
        <w:spacing w:line="240" w:lineRule="auto" w:before="58" w:after="0"/>
        <w:ind w:left="1359" w:right="0" w:hanging="226"/>
        <w:jc w:val="left"/>
        <w:rPr>
          <w:rFonts w:ascii="TT Norms Pro Light" w:hAnsi="TT Norms Pro Light"/>
          <w:b w:val="0"/>
          <w:sz w:val="18"/>
        </w:rPr>
      </w:pPr>
      <w:r>
        <w:rPr>
          <w:rFonts w:ascii="TT Norms Pro Light" w:hAnsi="TT Norms Pro Light"/>
          <w:b w:val="0"/>
          <w:sz w:val="18"/>
        </w:rPr>
        <w:t>Updates</w:t>
      </w:r>
      <w:r>
        <w:rPr>
          <w:rFonts w:ascii="TT Norms Pro Light" w:hAnsi="TT Norms Pro Light"/>
          <w:b w:val="0"/>
          <w:spacing w:val="-3"/>
          <w:sz w:val="18"/>
        </w:rPr>
        <w:t> </w:t>
      </w:r>
      <w:r>
        <w:rPr>
          <w:rFonts w:ascii="TT Norms Pro Light" w:hAnsi="TT Norms Pro Light"/>
          <w:b w:val="0"/>
          <w:sz w:val="18"/>
        </w:rPr>
        <w:t>on</w:t>
      </w:r>
      <w:r>
        <w:rPr>
          <w:rFonts w:ascii="TT Norms Pro Light" w:hAnsi="TT Norms Pro Light"/>
          <w:b w:val="0"/>
          <w:spacing w:val="-2"/>
          <w:sz w:val="18"/>
        </w:rPr>
        <w:t> </w:t>
      </w:r>
      <w:r>
        <w:rPr>
          <w:rFonts w:ascii="TT Norms Pro Light" w:hAnsi="TT Norms Pro Light"/>
          <w:b w:val="0"/>
          <w:sz w:val="18"/>
        </w:rPr>
        <w:t>regulatory</w:t>
      </w:r>
      <w:r>
        <w:rPr>
          <w:rFonts w:ascii="TT Norms Pro Light" w:hAnsi="TT Norms Pro Light"/>
          <w:b w:val="0"/>
          <w:spacing w:val="-6"/>
          <w:sz w:val="18"/>
        </w:rPr>
        <w:t> </w:t>
      </w:r>
      <w:r>
        <w:rPr>
          <w:rFonts w:ascii="TT Norms Pro Light" w:hAnsi="TT Norms Pro Light"/>
          <w:b w:val="0"/>
          <w:spacing w:val="-2"/>
          <w:sz w:val="18"/>
        </w:rPr>
        <w:t>compliance</w:t>
      </w:r>
    </w:p>
    <w:p>
      <w:pPr>
        <w:pStyle w:val="ListParagraph"/>
        <w:numPr>
          <w:ilvl w:val="0"/>
          <w:numId w:val="7"/>
        </w:numPr>
        <w:tabs>
          <w:tab w:pos="1359" w:val="left" w:leader="none"/>
        </w:tabs>
        <w:spacing w:line="240" w:lineRule="auto" w:before="106" w:after="0"/>
        <w:ind w:left="1359" w:right="0" w:hanging="226"/>
        <w:jc w:val="left"/>
        <w:rPr>
          <w:rFonts w:ascii="TT Norms Pro Light" w:hAnsi="TT Norms Pro Light"/>
          <w:b w:val="0"/>
          <w:sz w:val="18"/>
        </w:rPr>
      </w:pPr>
      <w:r>
        <w:rPr>
          <w:rFonts w:ascii="TT Norms Pro Light" w:hAnsi="TT Norms Pro Light"/>
          <w:b w:val="0"/>
          <w:sz w:val="18"/>
        </w:rPr>
        <w:t>Reports</w:t>
      </w:r>
      <w:r>
        <w:rPr>
          <w:rFonts w:ascii="TT Norms Pro Light" w:hAnsi="TT Norms Pro Light"/>
          <w:b w:val="0"/>
          <w:spacing w:val="-4"/>
          <w:sz w:val="18"/>
        </w:rPr>
        <w:t> </w:t>
      </w:r>
      <w:r>
        <w:rPr>
          <w:rFonts w:ascii="TT Norms Pro Light" w:hAnsi="TT Norms Pro Light"/>
          <w:b w:val="0"/>
          <w:sz w:val="18"/>
        </w:rPr>
        <w:t>of</w:t>
      </w:r>
      <w:r>
        <w:rPr>
          <w:rFonts w:ascii="TT Norms Pro Light" w:hAnsi="TT Norms Pro Light"/>
          <w:b w:val="0"/>
          <w:spacing w:val="-2"/>
          <w:sz w:val="18"/>
        </w:rPr>
        <w:t> </w:t>
      </w:r>
      <w:r>
        <w:rPr>
          <w:rFonts w:ascii="TT Norms Pro Light" w:hAnsi="TT Norms Pro Light"/>
          <w:b w:val="0"/>
          <w:sz w:val="18"/>
        </w:rPr>
        <w:t>internal</w:t>
      </w:r>
      <w:r>
        <w:rPr>
          <w:rFonts w:ascii="TT Norms Pro Light" w:hAnsi="TT Norms Pro Light"/>
          <w:b w:val="0"/>
          <w:spacing w:val="-2"/>
          <w:sz w:val="18"/>
        </w:rPr>
        <w:t> audits</w:t>
      </w:r>
    </w:p>
    <w:p>
      <w:pPr>
        <w:pStyle w:val="ListParagraph"/>
        <w:numPr>
          <w:ilvl w:val="0"/>
          <w:numId w:val="7"/>
        </w:numPr>
        <w:tabs>
          <w:tab w:pos="1359" w:val="left" w:leader="none"/>
        </w:tabs>
        <w:spacing w:line="240" w:lineRule="auto" w:before="106" w:after="0"/>
        <w:ind w:left="1359" w:right="0" w:hanging="226"/>
        <w:jc w:val="left"/>
        <w:rPr>
          <w:rFonts w:ascii="TT Norms Pro Light" w:hAnsi="TT Norms Pro Light"/>
          <w:b w:val="0"/>
          <w:sz w:val="18"/>
        </w:rPr>
      </w:pPr>
      <w:r>
        <w:rPr>
          <w:rFonts w:ascii="TT Norms Pro Light" w:hAnsi="TT Norms Pro Light"/>
          <w:b w:val="0"/>
          <w:sz w:val="18"/>
        </w:rPr>
        <w:t>Safety</w:t>
      </w:r>
      <w:r>
        <w:rPr>
          <w:rFonts w:ascii="TT Norms Pro Light" w:hAnsi="TT Norms Pro Light"/>
          <w:b w:val="0"/>
          <w:spacing w:val="-5"/>
          <w:sz w:val="18"/>
        </w:rPr>
        <w:t> </w:t>
      </w:r>
      <w:r>
        <w:rPr>
          <w:rFonts w:ascii="TT Norms Pro Light" w:hAnsi="TT Norms Pro Light"/>
          <w:b w:val="0"/>
          <w:sz w:val="18"/>
        </w:rPr>
        <w:t>and</w:t>
      </w:r>
      <w:r>
        <w:rPr>
          <w:rFonts w:ascii="TT Norms Pro Light" w:hAnsi="TT Norms Pro Light"/>
          <w:b w:val="0"/>
          <w:spacing w:val="-1"/>
          <w:sz w:val="18"/>
        </w:rPr>
        <w:t> </w:t>
      </w:r>
      <w:r>
        <w:rPr>
          <w:rFonts w:ascii="TT Norms Pro Light" w:hAnsi="TT Norms Pro Light"/>
          <w:b w:val="0"/>
          <w:sz w:val="18"/>
        </w:rPr>
        <w:t>health </w:t>
      </w:r>
      <w:r>
        <w:rPr>
          <w:rFonts w:ascii="TT Norms Pro Light" w:hAnsi="TT Norms Pro Light"/>
          <w:b w:val="0"/>
          <w:spacing w:val="-2"/>
          <w:sz w:val="18"/>
        </w:rPr>
        <w:t>updates</w:t>
      </w:r>
    </w:p>
    <w:p>
      <w:pPr>
        <w:pStyle w:val="ListParagraph"/>
        <w:numPr>
          <w:ilvl w:val="0"/>
          <w:numId w:val="7"/>
        </w:numPr>
        <w:tabs>
          <w:tab w:pos="1360" w:val="left" w:leader="none"/>
        </w:tabs>
        <w:spacing w:line="295" w:lineRule="auto" w:before="107" w:after="0"/>
        <w:ind w:left="1360" w:right="6100" w:hanging="227"/>
        <w:jc w:val="left"/>
        <w:rPr>
          <w:rFonts w:ascii="TT Norms Pro Light" w:hAnsi="TT Norms Pro Light"/>
          <w:b w:val="0"/>
          <w:sz w:val="18"/>
        </w:rPr>
      </w:pPr>
      <w:r>
        <w:rPr>
          <w:rFonts w:ascii="TT Norms Pro Light" w:hAnsi="TT Norms Pro Light"/>
          <w:b w:val="0"/>
          <w:sz w:val="18"/>
        </w:rPr>
        <w:t>Specific</w:t>
      </w:r>
      <w:r>
        <w:rPr>
          <w:rFonts w:ascii="TT Norms Pro Light" w:hAnsi="TT Norms Pro Light"/>
          <w:b w:val="0"/>
          <w:spacing w:val="-9"/>
          <w:sz w:val="18"/>
        </w:rPr>
        <w:t> </w:t>
      </w:r>
      <w:r>
        <w:rPr>
          <w:rFonts w:ascii="TT Norms Pro Light" w:hAnsi="TT Norms Pro Light"/>
          <w:b w:val="0"/>
          <w:sz w:val="18"/>
        </w:rPr>
        <w:t>risk</w:t>
      </w:r>
      <w:r>
        <w:rPr>
          <w:rFonts w:ascii="TT Norms Pro Light" w:hAnsi="TT Norms Pro Light"/>
          <w:b w:val="0"/>
          <w:spacing w:val="-9"/>
          <w:sz w:val="18"/>
        </w:rPr>
        <w:t> </w:t>
      </w:r>
      <w:r>
        <w:rPr>
          <w:rFonts w:ascii="TT Norms Pro Light" w:hAnsi="TT Norms Pro Light"/>
          <w:b w:val="0"/>
          <w:sz w:val="18"/>
        </w:rPr>
        <w:t>exposures</w:t>
      </w:r>
      <w:r>
        <w:rPr>
          <w:rFonts w:ascii="TT Norms Pro Light" w:hAnsi="TT Norms Pro Light"/>
          <w:b w:val="0"/>
          <w:spacing w:val="-9"/>
          <w:sz w:val="18"/>
        </w:rPr>
        <w:t> </w:t>
      </w:r>
      <w:r>
        <w:rPr>
          <w:rFonts w:ascii="TT Norms Pro Light" w:hAnsi="TT Norms Pro Light"/>
          <w:b w:val="0"/>
          <w:sz w:val="18"/>
        </w:rPr>
        <w:t>including</w:t>
      </w:r>
      <w:r>
        <w:rPr>
          <w:rFonts w:ascii="TT Norms Pro Light" w:hAnsi="TT Norms Pro Light"/>
          <w:b w:val="0"/>
          <w:spacing w:val="-9"/>
          <w:sz w:val="18"/>
        </w:rPr>
        <w:t> </w:t>
      </w:r>
      <w:r>
        <w:rPr>
          <w:rFonts w:ascii="TT Norms Pro Light" w:hAnsi="TT Norms Pro Light"/>
          <w:b w:val="0"/>
          <w:sz w:val="18"/>
        </w:rPr>
        <w:t>cybersecurity,</w:t>
      </w:r>
      <w:r>
        <w:rPr>
          <w:rFonts w:ascii="TT Norms Pro Light" w:hAnsi="TT Norms Pro Light"/>
          <w:b w:val="0"/>
          <w:spacing w:val="40"/>
          <w:sz w:val="18"/>
        </w:rPr>
        <w:t> </w:t>
      </w:r>
      <w:r>
        <w:rPr>
          <w:rFonts w:ascii="TT Norms Pro Light" w:hAnsi="TT Norms Pro Light"/>
          <w:b w:val="0"/>
          <w:sz w:val="18"/>
        </w:rPr>
        <w:t>academic quality management and foreign</w:t>
      </w:r>
      <w:r>
        <w:rPr>
          <w:rFonts w:ascii="TT Norms Pro Light" w:hAnsi="TT Norms Pro Light"/>
          <w:b w:val="0"/>
          <w:spacing w:val="40"/>
          <w:sz w:val="18"/>
        </w:rPr>
        <w:t> </w:t>
      </w:r>
      <w:r>
        <w:rPr>
          <w:rFonts w:ascii="TT Norms Pro Light" w:hAnsi="TT Norms Pro Light"/>
          <w:b w:val="0"/>
          <w:sz w:val="18"/>
        </w:rPr>
        <w:t>interference</w:t>
      </w:r>
      <w:r>
        <w:rPr>
          <w:rFonts w:ascii="TT Norms Pro Light" w:hAnsi="TT Norms Pro Light"/>
          <w:b w:val="0"/>
          <w:spacing w:val="-5"/>
          <w:sz w:val="18"/>
        </w:rPr>
        <w:t> </w:t>
      </w:r>
      <w:r>
        <w:rPr>
          <w:rFonts w:ascii="TT Norms Pro Light" w:hAnsi="TT Norms Pro Light"/>
          <w:b w:val="0"/>
          <w:sz w:val="18"/>
        </w:rPr>
        <w:t>risks</w:t>
      </w:r>
    </w:p>
    <w:p>
      <w:pPr>
        <w:pStyle w:val="ListParagraph"/>
        <w:numPr>
          <w:ilvl w:val="0"/>
          <w:numId w:val="7"/>
        </w:numPr>
        <w:tabs>
          <w:tab w:pos="1359" w:val="left" w:leader="none"/>
        </w:tabs>
        <w:spacing w:line="240" w:lineRule="auto" w:before="59" w:after="0"/>
        <w:ind w:left="1359" w:right="0" w:hanging="226"/>
        <w:jc w:val="left"/>
        <w:rPr>
          <w:rFonts w:ascii="TT Norms Pro Light" w:hAnsi="TT Norms Pro Light"/>
          <w:b w:val="0"/>
          <w:sz w:val="18"/>
        </w:rPr>
      </w:pPr>
      <w:r>
        <w:rPr>
          <w:rFonts w:ascii="TT Norms Pro Light" w:hAnsi="TT Norms Pro Light"/>
          <w:b w:val="0"/>
          <w:sz w:val="18"/>
        </w:rPr>
        <w:t>Response</w:t>
      </w:r>
      <w:r>
        <w:rPr>
          <w:rFonts w:ascii="TT Norms Pro Light" w:hAnsi="TT Norms Pro Light"/>
          <w:b w:val="0"/>
          <w:spacing w:val="-9"/>
          <w:sz w:val="18"/>
        </w:rPr>
        <w:t> </w:t>
      </w:r>
      <w:r>
        <w:rPr>
          <w:rFonts w:ascii="TT Norms Pro Light" w:hAnsi="TT Norms Pro Light"/>
          <w:b w:val="0"/>
          <w:sz w:val="18"/>
        </w:rPr>
        <w:t>to</w:t>
      </w:r>
      <w:r>
        <w:rPr>
          <w:rFonts w:ascii="TT Norms Pro Light" w:hAnsi="TT Norms Pro Light"/>
          <w:b w:val="0"/>
          <w:spacing w:val="-9"/>
          <w:sz w:val="18"/>
        </w:rPr>
        <w:t> </w:t>
      </w:r>
      <w:r>
        <w:rPr>
          <w:rFonts w:ascii="TT Norms Pro Light" w:hAnsi="TT Norms Pro Light"/>
          <w:b w:val="0"/>
          <w:sz w:val="18"/>
        </w:rPr>
        <w:t>COVID-</w:t>
      </w:r>
      <w:r>
        <w:rPr>
          <w:rFonts w:ascii="TT Norms Pro Light" w:hAnsi="TT Norms Pro Light"/>
          <w:b w:val="0"/>
          <w:spacing w:val="-5"/>
          <w:sz w:val="18"/>
        </w:rPr>
        <w:t>19</w:t>
      </w:r>
    </w:p>
    <w:p>
      <w:pPr>
        <w:pStyle w:val="ListParagraph"/>
        <w:numPr>
          <w:ilvl w:val="0"/>
          <w:numId w:val="7"/>
        </w:numPr>
        <w:tabs>
          <w:tab w:pos="1360" w:val="left" w:leader="none"/>
        </w:tabs>
        <w:spacing w:line="295" w:lineRule="auto" w:before="106" w:after="0"/>
        <w:ind w:left="1360" w:right="5442" w:hanging="227"/>
        <w:jc w:val="left"/>
        <w:rPr>
          <w:rFonts w:ascii="TT Norms Pro Light" w:hAnsi="TT Norms Pro Light"/>
          <w:b w:val="0"/>
          <w:sz w:val="18"/>
        </w:rPr>
      </w:pPr>
      <w:r>
        <w:rPr>
          <w:rFonts w:ascii="TT Norms Pro Light" w:hAnsi="TT Norms Pro Light"/>
          <w:b w:val="0"/>
          <w:sz w:val="18"/>
        </w:rPr>
        <w:t>Reports</w:t>
      </w:r>
      <w:r>
        <w:rPr>
          <w:rFonts w:ascii="TT Norms Pro Light" w:hAnsi="TT Norms Pro Light"/>
          <w:b w:val="0"/>
          <w:spacing w:val="-9"/>
          <w:sz w:val="18"/>
        </w:rPr>
        <w:t> </w:t>
      </w:r>
      <w:r>
        <w:rPr>
          <w:rFonts w:ascii="TT Norms Pro Light" w:hAnsi="TT Norms Pro Light"/>
          <w:b w:val="0"/>
          <w:sz w:val="18"/>
        </w:rPr>
        <w:t>from</w:t>
      </w:r>
      <w:r>
        <w:rPr>
          <w:rFonts w:ascii="TT Norms Pro Light" w:hAnsi="TT Norms Pro Light"/>
          <w:b w:val="0"/>
          <w:spacing w:val="-9"/>
          <w:sz w:val="18"/>
        </w:rPr>
        <w:t> </w:t>
      </w:r>
      <w:r>
        <w:rPr>
          <w:rFonts w:ascii="TT Norms Pro Light" w:hAnsi="TT Norms Pro Light"/>
          <w:b w:val="0"/>
          <w:sz w:val="18"/>
        </w:rPr>
        <w:t>the</w:t>
      </w:r>
      <w:r>
        <w:rPr>
          <w:rFonts w:ascii="TT Norms Pro Light" w:hAnsi="TT Norms Pro Light"/>
          <w:b w:val="0"/>
          <w:spacing w:val="-9"/>
          <w:sz w:val="18"/>
        </w:rPr>
        <w:t> </w:t>
      </w:r>
      <w:r>
        <w:rPr>
          <w:rFonts w:ascii="TT Norms Pro Light" w:hAnsi="TT Norms Pro Light"/>
          <w:b w:val="0"/>
          <w:sz w:val="18"/>
        </w:rPr>
        <w:t>Chief</w:t>
      </w:r>
      <w:r>
        <w:rPr>
          <w:rFonts w:ascii="TT Norms Pro Light" w:hAnsi="TT Norms Pro Light"/>
          <w:b w:val="0"/>
          <w:spacing w:val="-9"/>
          <w:sz w:val="18"/>
        </w:rPr>
        <w:t> </w:t>
      </w:r>
      <w:r>
        <w:rPr>
          <w:rFonts w:ascii="TT Norms Pro Light" w:hAnsi="TT Norms Pro Light"/>
          <w:b w:val="0"/>
          <w:sz w:val="18"/>
        </w:rPr>
        <w:t>Financial</w:t>
      </w:r>
      <w:r>
        <w:rPr>
          <w:rFonts w:ascii="TT Norms Pro Light" w:hAnsi="TT Norms Pro Light"/>
          <w:b w:val="0"/>
          <w:spacing w:val="-9"/>
          <w:sz w:val="18"/>
        </w:rPr>
        <w:t> </w:t>
      </w:r>
      <w:r>
        <w:rPr>
          <w:rFonts w:ascii="TT Norms Pro Light" w:hAnsi="TT Norms Pro Light"/>
          <w:b w:val="0"/>
          <w:sz w:val="18"/>
        </w:rPr>
        <w:t>Officer,</w:t>
      </w:r>
      <w:r>
        <w:rPr>
          <w:rFonts w:ascii="TT Norms Pro Light" w:hAnsi="TT Norms Pro Light"/>
          <w:b w:val="0"/>
          <w:spacing w:val="-9"/>
          <w:sz w:val="18"/>
        </w:rPr>
        <w:t> </w:t>
      </w:r>
      <w:r>
        <w:rPr>
          <w:rFonts w:ascii="TT Norms Pro Light" w:hAnsi="TT Norms Pro Light"/>
          <w:b w:val="0"/>
          <w:sz w:val="18"/>
        </w:rPr>
        <w:t>Senior</w:t>
      </w:r>
      <w:r>
        <w:rPr>
          <w:rFonts w:ascii="TT Norms Pro Light" w:hAnsi="TT Norms Pro Light"/>
          <w:b w:val="0"/>
          <w:spacing w:val="-9"/>
          <w:sz w:val="18"/>
        </w:rPr>
        <w:t> </w:t>
      </w:r>
      <w:r>
        <w:rPr>
          <w:rFonts w:ascii="TT Norms Pro Light" w:hAnsi="TT Norms Pro Light"/>
          <w:b w:val="0"/>
          <w:sz w:val="18"/>
        </w:rPr>
        <w:t>Deputy</w:t>
      </w:r>
      <w:r>
        <w:rPr>
          <w:rFonts w:ascii="TT Norms Pro Light" w:hAnsi="TT Norms Pro Light"/>
          <w:b w:val="0"/>
          <w:spacing w:val="40"/>
          <w:sz w:val="18"/>
        </w:rPr>
        <w:t> </w:t>
      </w:r>
      <w:r>
        <w:rPr>
          <w:rFonts w:ascii="TT Norms Pro Light" w:hAnsi="TT Norms Pro Light"/>
          <w:b w:val="0"/>
          <w:sz w:val="18"/>
        </w:rPr>
        <w:t>Vice-Chancellor and the Vice-Chancellor.</w:t>
      </w:r>
    </w:p>
    <w:p>
      <w:pPr>
        <w:spacing w:after="0" w:line="295" w:lineRule="auto"/>
        <w:jc w:val="left"/>
        <w:rPr>
          <w:rFonts w:ascii="TT Norms Pro Light" w:hAnsi="TT Norms Pro Light"/>
          <w:sz w:val="18"/>
        </w:rPr>
        <w:sectPr>
          <w:pgSz w:w="11910" w:h="16840"/>
          <w:pgMar w:header="468" w:footer="0" w:top="720" w:bottom="280" w:left="0" w:right="780"/>
        </w:sectPr>
      </w:pPr>
    </w:p>
    <w:p>
      <w:pPr>
        <w:spacing w:before="107"/>
        <w:ind w:left="0" w:right="111" w:firstLine="0"/>
        <w:jc w:val="right"/>
        <w:rPr>
          <w:rFonts w:ascii="TT Norms Pro"/>
          <w:b/>
          <w:sz w:val="18"/>
        </w:rPr>
      </w:pPr>
      <w:r>
        <w:rPr/>
        <w:drawing>
          <wp:anchor distT="0" distB="0" distL="0" distR="0" allowOverlap="1" layoutInCell="1" locked="0" behindDoc="0" simplePos="0" relativeHeight="15816704">
            <wp:simplePos x="0" y="0"/>
            <wp:positionH relativeFrom="page">
              <wp:posOffset>720001</wp:posOffset>
            </wp:positionH>
            <wp:positionV relativeFrom="page">
              <wp:posOffset>710895</wp:posOffset>
            </wp:positionV>
            <wp:extent cx="9252000" cy="6849110"/>
            <wp:effectExtent l="0" t="0" r="0" b="0"/>
            <wp:wrapNone/>
            <wp:docPr id="408" name="Image 408"/>
            <wp:cNvGraphicFramePr>
              <a:graphicFrameLocks/>
            </wp:cNvGraphicFramePr>
            <a:graphic>
              <a:graphicData uri="http://schemas.openxmlformats.org/drawingml/2006/picture">
                <pic:pic>
                  <pic:nvPicPr>
                    <pic:cNvPr id="408" name="Image 408"/>
                    <pic:cNvPicPr/>
                  </pic:nvPicPr>
                  <pic:blipFill>
                    <a:blip r:embed="rId71" cstate="print"/>
                    <a:stretch>
                      <a:fillRect/>
                    </a:stretch>
                  </pic:blipFill>
                  <pic:spPr>
                    <a:xfrm>
                      <a:off x="0" y="0"/>
                      <a:ext cx="9252000" cy="6849110"/>
                    </a:xfrm>
                    <a:prstGeom prst="rect">
                      <a:avLst/>
                    </a:prstGeom>
                  </pic:spPr>
                </pic:pic>
              </a:graphicData>
            </a:graphic>
          </wp:anchor>
        </w:drawing>
      </w:r>
      <w:r>
        <w:rPr/>
        <mc:AlternateContent>
          <mc:Choice Requires="wps">
            <w:drawing>
              <wp:anchor distT="0" distB="0" distL="0" distR="0" allowOverlap="1" layoutInCell="1" locked="0" behindDoc="0" simplePos="0" relativeHeight="15817216">
                <wp:simplePos x="0" y="0"/>
                <wp:positionH relativeFrom="page">
                  <wp:posOffset>284448</wp:posOffset>
                </wp:positionH>
                <wp:positionV relativeFrom="page">
                  <wp:posOffset>277041</wp:posOffset>
                </wp:positionV>
                <wp:extent cx="194310" cy="166370"/>
                <wp:effectExtent l="0" t="0" r="0" b="0"/>
                <wp:wrapNone/>
                <wp:docPr id="409" name="Textbox 409"/>
                <wp:cNvGraphicFramePr>
                  <a:graphicFrameLocks/>
                </wp:cNvGraphicFramePr>
                <a:graphic>
                  <a:graphicData uri="http://schemas.microsoft.com/office/word/2010/wordprocessingShape">
                    <wps:wsp>
                      <wps:cNvPr id="409" name="Textbox 409"/>
                      <wps:cNvSpPr txBox="1"/>
                      <wps:spPr>
                        <a:xfrm>
                          <a:off x="0" y="0"/>
                          <a:ext cx="194310" cy="166370"/>
                        </a:xfrm>
                        <a:prstGeom prst="rect">
                          <a:avLst/>
                        </a:prstGeom>
                      </wps:spPr>
                      <wps:txbx>
                        <w:txbxContent>
                          <w:p>
                            <w:pPr>
                              <w:spacing w:before="48"/>
                              <w:ind w:left="20" w:right="0" w:firstLine="0"/>
                              <w:jc w:val="left"/>
                              <w:rPr>
                                <w:rFonts w:ascii="TT Norms Pro"/>
                                <w:b/>
                                <w:sz w:val="20"/>
                              </w:rPr>
                            </w:pPr>
                            <w:r>
                              <w:rPr>
                                <w:rFonts w:ascii="TT Norms Pro"/>
                                <w:b/>
                                <w:spacing w:val="-5"/>
                                <w:sz w:val="20"/>
                              </w:rPr>
                              <w:t>37</w:t>
                            </w:r>
                          </w:p>
                        </w:txbxContent>
                      </wps:txbx>
                      <wps:bodyPr wrap="square" lIns="0" tIns="0" rIns="0" bIns="0" rtlCol="0" vert="vert270">
                        <a:noAutofit/>
                      </wps:bodyPr>
                    </wps:wsp>
                  </a:graphicData>
                </a:graphic>
              </wp:anchor>
            </w:drawing>
          </mc:Choice>
          <mc:Fallback>
            <w:pict>
              <v:shape style="position:absolute;margin-left:22.397514pt;margin-top:21.814301pt;width:15.3pt;height:13.1pt;mso-position-horizontal-relative:page;mso-position-vertical-relative:page;z-index:15817216" type="#_x0000_t202" id="docshape253" filled="false" stroked="false">
                <v:textbox inset="0,0,0,0" style="layout-flow:vertical;mso-layout-flow-alt:bottom-to-top">
                  <w:txbxContent>
                    <w:p>
                      <w:pPr>
                        <w:spacing w:before="48"/>
                        <w:ind w:left="20" w:right="0" w:firstLine="0"/>
                        <w:jc w:val="left"/>
                        <w:rPr>
                          <w:rFonts w:ascii="TT Norms Pro"/>
                          <w:b/>
                          <w:sz w:val="20"/>
                        </w:rPr>
                      </w:pPr>
                      <w:r>
                        <w:rPr>
                          <w:rFonts w:ascii="TT Norms Pro"/>
                          <w:b/>
                          <w:spacing w:val="-5"/>
                          <w:sz w:val="20"/>
                        </w:rPr>
                        <w:t>37</w:t>
                      </w:r>
                    </w:p>
                  </w:txbxContent>
                </v:textbox>
                <w10:wrap type="none"/>
              </v:shape>
            </w:pict>
          </mc:Fallback>
        </mc:AlternateContent>
      </w:r>
      <w:r>
        <w:rPr>
          <w:rFonts w:ascii="TT Norms Pro"/>
          <w:sz w:val="18"/>
        </w:rPr>
        <w:t>2020</w:t>
      </w:r>
      <w:r>
        <w:rPr>
          <w:rFonts w:ascii="TT Norms Pro"/>
          <w:spacing w:val="-7"/>
          <w:sz w:val="18"/>
        </w:rPr>
        <w:t> </w:t>
      </w:r>
      <w:r>
        <w:rPr>
          <w:rFonts w:ascii="TT Norms Pro"/>
          <w:sz w:val="18"/>
        </w:rPr>
        <w:t>Annual</w:t>
      </w:r>
      <w:r>
        <w:rPr>
          <w:rFonts w:ascii="TT Norms Pro"/>
          <w:spacing w:val="-1"/>
          <w:sz w:val="18"/>
        </w:rPr>
        <w:t> </w:t>
      </w:r>
      <w:r>
        <w:rPr>
          <w:rFonts w:ascii="TT Norms Pro"/>
          <w:sz w:val="18"/>
        </w:rPr>
        <w:t>Report </w:t>
      </w:r>
      <w:r>
        <w:rPr>
          <w:rFonts w:ascii="TT Norms Pro Light"/>
          <w:b w:val="0"/>
          <w:spacing w:val="-2"/>
          <w:sz w:val="18"/>
        </w:rPr>
        <w:t>|</w:t>
      </w:r>
      <w:r>
        <w:rPr>
          <w:rFonts w:ascii="TT Norms Pro"/>
          <w:b/>
          <w:spacing w:val="-2"/>
          <w:sz w:val="18"/>
        </w:rPr>
        <w:t>uwa.edu.au</w:t>
      </w:r>
    </w:p>
    <w:p>
      <w:pPr>
        <w:spacing w:after="0"/>
        <w:jc w:val="right"/>
        <w:rPr>
          <w:rFonts w:ascii="TT Norms Pro"/>
          <w:sz w:val="18"/>
        </w:rPr>
        <w:sectPr>
          <w:headerReference w:type="default" r:id="rId70"/>
          <w:pgSz w:w="16840" w:h="11910" w:orient="landscape"/>
          <w:pgMar w:header="0" w:footer="0" w:top="360" w:bottom="0" w:left="2420" w:right="1200"/>
        </w:sectPr>
      </w:pPr>
    </w:p>
    <w:p>
      <w:pPr>
        <w:spacing w:before="197"/>
        <w:ind w:left="206" w:right="0" w:firstLine="0"/>
        <w:jc w:val="left"/>
        <w:rPr>
          <w:rFonts w:ascii="TT Norms Pro"/>
          <w:b/>
          <w:sz w:val="70"/>
        </w:rPr>
      </w:pPr>
      <w:r>
        <w:rPr>
          <w:rFonts w:ascii="Palatino Linotype"/>
          <w:spacing w:val="2"/>
          <w:w w:val="105"/>
          <w:sz w:val="70"/>
        </w:rPr>
        <w:t>Statistical</w:t>
      </w:r>
      <w:r>
        <w:rPr>
          <w:rFonts w:ascii="Palatino Linotype"/>
          <w:spacing w:val="13"/>
          <w:w w:val="105"/>
          <w:sz w:val="70"/>
        </w:rPr>
        <w:t> </w:t>
      </w:r>
      <w:r>
        <w:rPr>
          <w:rFonts w:ascii="TT Norms Pro"/>
          <w:b/>
          <w:spacing w:val="-2"/>
          <w:w w:val="105"/>
          <w:position w:val="-23"/>
          <w:sz w:val="70"/>
        </w:rPr>
        <w:t>profile</w:t>
      </w:r>
    </w:p>
    <w:p>
      <w:pPr>
        <w:pStyle w:val="BodyText"/>
        <w:spacing w:before="456"/>
        <w:ind w:left="213"/>
        <w:rPr>
          <w:b w:val="0"/>
        </w:rPr>
      </w:pPr>
      <w:r>
        <w:rPr>
          <w:rFonts w:ascii="TT Norms Pro Medium"/>
          <w:b/>
        </w:rPr>
        <w:t>TABLE</w:t>
      </w:r>
      <w:r>
        <w:rPr>
          <w:rFonts w:ascii="TT Norms Pro Medium"/>
          <w:b/>
          <w:spacing w:val="-9"/>
        </w:rPr>
        <w:t> </w:t>
      </w:r>
      <w:r>
        <w:rPr>
          <w:rFonts w:ascii="TT Norms Pro Medium"/>
          <w:b/>
        </w:rPr>
        <w:t>1:</w:t>
      </w:r>
      <w:r>
        <w:rPr>
          <w:rFonts w:ascii="TT Norms Pro Medium"/>
          <w:b/>
          <w:spacing w:val="-9"/>
        </w:rPr>
        <w:t> </w:t>
      </w:r>
      <w:r>
        <w:rPr>
          <w:b w:val="0"/>
        </w:rPr>
        <w:t>total</w:t>
      </w:r>
      <w:r>
        <w:rPr>
          <w:b w:val="0"/>
          <w:spacing w:val="-4"/>
        </w:rPr>
        <w:t> </w:t>
      </w:r>
      <w:r>
        <w:rPr>
          <w:b w:val="0"/>
        </w:rPr>
        <w:t>student</w:t>
      </w:r>
      <w:r>
        <w:rPr>
          <w:b w:val="0"/>
          <w:spacing w:val="-4"/>
        </w:rPr>
        <w:t> </w:t>
      </w:r>
      <w:r>
        <w:rPr>
          <w:b w:val="0"/>
        </w:rPr>
        <w:t>enrolments</w:t>
      </w:r>
      <w:r>
        <w:rPr>
          <w:b w:val="0"/>
          <w:spacing w:val="-3"/>
        </w:rPr>
        <w:t> </w:t>
      </w:r>
      <w:r>
        <w:rPr>
          <w:b w:val="0"/>
        </w:rPr>
        <w:t>by</w:t>
      </w:r>
      <w:r>
        <w:rPr>
          <w:b w:val="0"/>
          <w:spacing w:val="-4"/>
        </w:rPr>
        <w:t> </w:t>
      </w:r>
      <w:r>
        <w:rPr>
          <w:b w:val="0"/>
        </w:rPr>
        <w:t>course</w:t>
      </w:r>
      <w:r>
        <w:rPr>
          <w:b w:val="0"/>
          <w:spacing w:val="-4"/>
        </w:rPr>
        <w:t> </w:t>
      </w:r>
      <w:r>
        <w:rPr>
          <w:b w:val="0"/>
        </w:rPr>
        <w:t>type,</w:t>
      </w:r>
      <w:r>
        <w:rPr>
          <w:b w:val="0"/>
          <w:spacing w:val="-4"/>
        </w:rPr>
        <w:t> </w:t>
      </w:r>
      <w:r>
        <w:rPr>
          <w:b w:val="0"/>
        </w:rPr>
        <w:t>2014-</w:t>
      </w:r>
      <w:r>
        <w:rPr>
          <w:b w:val="0"/>
          <w:spacing w:val="-5"/>
        </w:rPr>
        <w:t>20</w:t>
      </w:r>
    </w:p>
    <w:p>
      <w:pPr>
        <w:pStyle w:val="BodyText"/>
        <w:rPr>
          <w:b w:val="0"/>
          <w:sz w:val="9"/>
        </w:rPr>
      </w:pPr>
      <w:r>
        <w:rPr/>
        <mc:AlternateContent>
          <mc:Choice Requires="wps">
            <w:drawing>
              <wp:anchor distT="0" distB="0" distL="0" distR="0" allowOverlap="1" layoutInCell="1" locked="0" behindDoc="1" simplePos="0" relativeHeight="487676928">
                <wp:simplePos x="0" y="0"/>
                <wp:positionH relativeFrom="page">
                  <wp:posOffset>715399</wp:posOffset>
                </wp:positionH>
                <wp:positionV relativeFrom="paragraph">
                  <wp:posOffset>82168</wp:posOffset>
                </wp:positionV>
                <wp:extent cx="6103620" cy="12700"/>
                <wp:effectExtent l="0" t="0" r="0" b="0"/>
                <wp:wrapTopAndBottom/>
                <wp:docPr id="413" name="Group 413"/>
                <wp:cNvGraphicFramePr>
                  <a:graphicFrameLocks/>
                </wp:cNvGraphicFramePr>
                <a:graphic>
                  <a:graphicData uri="http://schemas.microsoft.com/office/word/2010/wordprocessingGroup">
                    <wpg:wgp>
                      <wpg:cNvPr id="413" name="Group 413"/>
                      <wpg:cNvGrpSpPr/>
                      <wpg:grpSpPr>
                        <a:xfrm>
                          <a:off x="0" y="0"/>
                          <a:ext cx="6103620" cy="12700"/>
                          <a:chExt cx="6103620" cy="12700"/>
                        </a:xfrm>
                      </wpg:grpSpPr>
                      <wps:wsp>
                        <wps:cNvPr id="414" name="Graphic 414"/>
                        <wps:cNvSpPr/>
                        <wps:spPr>
                          <a:xfrm>
                            <a:off x="0" y="6350"/>
                            <a:ext cx="1998345" cy="1270"/>
                          </a:xfrm>
                          <a:custGeom>
                            <a:avLst/>
                            <a:gdLst/>
                            <a:ahLst/>
                            <a:cxnLst/>
                            <a:rect l="l" t="t" r="r" b="b"/>
                            <a:pathLst>
                              <a:path w="1998345" h="0">
                                <a:moveTo>
                                  <a:pt x="0" y="0"/>
                                </a:moveTo>
                                <a:lnTo>
                                  <a:pt x="1998002" y="0"/>
                                </a:lnTo>
                              </a:path>
                            </a:pathLst>
                          </a:custGeom>
                          <a:ln w="12700">
                            <a:solidFill>
                              <a:srgbClr val="000000"/>
                            </a:solidFill>
                            <a:prstDash val="solid"/>
                          </a:ln>
                        </wps:spPr>
                        <wps:bodyPr wrap="square" lIns="0" tIns="0" rIns="0" bIns="0" rtlCol="0">
                          <a:prstTxWarp prst="textNoShape">
                            <a:avLst/>
                          </a:prstTxWarp>
                          <a:noAutofit/>
                        </wps:bodyPr>
                      </wps:wsp>
                      <wps:wsp>
                        <wps:cNvPr id="415" name="Graphic 415"/>
                        <wps:cNvSpPr/>
                        <wps:spPr>
                          <a:xfrm>
                            <a:off x="1997999" y="6350"/>
                            <a:ext cx="581025" cy="1270"/>
                          </a:xfrm>
                          <a:custGeom>
                            <a:avLst/>
                            <a:gdLst/>
                            <a:ahLst/>
                            <a:cxnLst/>
                            <a:rect l="l" t="t" r="r" b="b"/>
                            <a:pathLst>
                              <a:path w="581025" h="0">
                                <a:moveTo>
                                  <a:pt x="0" y="0"/>
                                </a:moveTo>
                                <a:lnTo>
                                  <a:pt x="580605" y="0"/>
                                </a:lnTo>
                              </a:path>
                            </a:pathLst>
                          </a:custGeom>
                          <a:ln w="12700">
                            <a:solidFill>
                              <a:srgbClr val="000000"/>
                            </a:solidFill>
                            <a:prstDash val="solid"/>
                          </a:ln>
                        </wps:spPr>
                        <wps:bodyPr wrap="square" lIns="0" tIns="0" rIns="0" bIns="0" rtlCol="0">
                          <a:prstTxWarp prst="textNoShape">
                            <a:avLst/>
                          </a:prstTxWarp>
                          <a:noAutofit/>
                        </wps:bodyPr>
                      </wps:wsp>
                      <wps:wsp>
                        <wps:cNvPr id="416" name="Graphic 416"/>
                        <wps:cNvSpPr/>
                        <wps:spPr>
                          <a:xfrm>
                            <a:off x="2578600" y="6350"/>
                            <a:ext cx="588010" cy="1270"/>
                          </a:xfrm>
                          <a:custGeom>
                            <a:avLst/>
                            <a:gdLst/>
                            <a:ahLst/>
                            <a:cxnLst/>
                            <a:rect l="l" t="t" r="r" b="b"/>
                            <a:pathLst>
                              <a:path w="588010" h="0">
                                <a:moveTo>
                                  <a:pt x="0" y="0"/>
                                </a:moveTo>
                                <a:lnTo>
                                  <a:pt x="587489" y="0"/>
                                </a:lnTo>
                              </a:path>
                            </a:pathLst>
                          </a:custGeom>
                          <a:ln w="12700">
                            <a:solidFill>
                              <a:srgbClr val="000000"/>
                            </a:solidFill>
                            <a:prstDash val="solid"/>
                          </a:ln>
                        </wps:spPr>
                        <wps:bodyPr wrap="square" lIns="0" tIns="0" rIns="0" bIns="0" rtlCol="0">
                          <a:prstTxWarp prst="textNoShape">
                            <a:avLst/>
                          </a:prstTxWarp>
                          <a:noAutofit/>
                        </wps:bodyPr>
                      </wps:wsp>
                      <wps:wsp>
                        <wps:cNvPr id="417" name="Graphic 417"/>
                        <wps:cNvSpPr/>
                        <wps:spPr>
                          <a:xfrm>
                            <a:off x="3166085" y="6350"/>
                            <a:ext cx="588010" cy="1270"/>
                          </a:xfrm>
                          <a:custGeom>
                            <a:avLst/>
                            <a:gdLst/>
                            <a:ahLst/>
                            <a:cxnLst/>
                            <a:rect l="l" t="t" r="r" b="b"/>
                            <a:pathLst>
                              <a:path w="588010" h="0">
                                <a:moveTo>
                                  <a:pt x="0" y="0"/>
                                </a:moveTo>
                                <a:lnTo>
                                  <a:pt x="587489" y="0"/>
                                </a:lnTo>
                              </a:path>
                            </a:pathLst>
                          </a:custGeom>
                          <a:ln w="12700">
                            <a:solidFill>
                              <a:srgbClr val="000000"/>
                            </a:solidFill>
                            <a:prstDash val="solid"/>
                          </a:ln>
                        </wps:spPr>
                        <wps:bodyPr wrap="square" lIns="0" tIns="0" rIns="0" bIns="0" rtlCol="0">
                          <a:prstTxWarp prst="textNoShape">
                            <a:avLst/>
                          </a:prstTxWarp>
                          <a:noAutofit/>
                        </wps:bodyPr>
                      </wps:wsp>
                      <wps:wsp>
                        <wps:cNvPr id="418" name="Graphic 418"/>
                        <wps:cNvSpPr/>
                        <wps:spPr>
                          <a:xfrm>
                            <a:off x="3753571" y="6350"/>
                            <a:ext cx="588010" cy="1270"/>
                          </a:xfrm>
                          <a:custGeom>
                            <a:avLst/>
                            <a:gdLst/>
                            <a:ahLst/>
                            <a:cxnLst/>
                            <a:rect l="l" t="t" r="r" b="b"/>
                            <a:pathLst>
                              <a:path w="588010" h="0">
                                <a:moveTo>
                                  <a:pt x="0" y="0"/>
                                </a:moveTo>
                                <a:lnTo>
                                  <a:pt x="587489" y="0"/>
                                </a:lnTo>
                              </a:path>
                            </a:pathLst>
                          </a:custGeom>
                          <a:ln w="12700">
                            <a:solidFill>
                              <a:srgbClr val="000000"/>
                            </a:solidFill>
                            <a:prstDash val="solid"/>
                          </a:ln>
                        </wps:spPr>
                        <wps:bodyPr wrap="square" lIns="0" tIns="0" rIns="0" bIns="0" rtlCol="0">
                          <a:prstTxWarp prst="textNoShape">
                            <a:avLst/>
                          </a:prstTxWarp>
                          <a:noAutofit/>
                        </wps:bodyPr>
                      </wps:wsp>
                      <wps:wsp>
                        <wps:cNvPr id="419" name="Graphic 419"/>
                        <wps:cNvSpPr/>
                        <wps:spPr>
                          <a:xfrm>
                            <a:off x="4341056" y="6350"/>
                            <a:ext cx="588010" cy="1270"/>
                          </a:xfrm>
                          <a:custGeom>
                            <a:avLst/>
                            <a:gdLst/>
                            <a:ahLst/>
                            <a:cxnLst/>
                            <a:rect l="l" t="t" r="r" b="b"/>
                            <a:pathLst>
                              <a:path w="588010" h="0">
                                <a:moveTo>
                                  <a:pt x="0" y="0"/>
                                </a:moveTo>
                                <a:lnTo>
                                  <a:pt x="587489" y="0"/>
                                </a:lnTo>
                              </a:path>
                            </a:pathLst>
                          </a:custGeom>
                          <a:ln w="12700">
                            <a:solidFill>
                              <a:srgbClr val="000000"/>
                            </a:solidFill>
                            <a:prstDash val="solid"/>
                          </a:ln>
                        </wps:spPr>
                        <wps:bodyPr wrap="square" lIns="0" tIns="0" rIns="0" bIns="0" rtlCol="0">
                          <a:prstTxWarp prst="textNoShape">
                            <a:avLst/>
                          </a:prstTxWarp>
                          <a:noAutofit/>
                        </wps:bodyPr>
                      </wps:wsp>
                      <wps:wsp>
                        <wps:cNvPr id="420" name="Graphic 420"/>
                        <wps:cNvSpPr/>
                        <wps:spPr>
                          <a:xfrm>
                            <a:off x="4928542" y="6350"/>
                            <a:ext cx="588010" cy="1270"/>
                          </a:xfrm>
                          <a:custGeom>
                            <a:avLst/>
                            <a:gdLst/>
                            <a:ahLst/>
                            <a:cxnLst/>
                            <a:rect l="l" t="t" r="r" b="b"/>
                            <a:pathLst>
                              <a:path w="588010" h="0">
                                <a:moveTo>
                                  <a:pt x="0" y="0"/>
                                </a:moveTo>
                                <a:lnTo>
                                  <a:pt x="587489" y="0"/>
                                </a:lnTo>
                              </a:path>
                            </a:pathLst>
                          </a:custGeom>
                          <a:ln w="12700">
                            <a:solidFill>
                              <a:srgbClr val="000000"/>
                            </a:solidFill>
                            <a:prstDash val="solid"/>
                          </a:ln>
                        </wps:spPr>
                        <wps:bodyPr wrap="square" lIns="0" tIns="0" rIns="0" bIns="0" rtlCol="0">
                          <a:prstTxWarp prst="textNoShape">
                            <a:avLst/>
                          </a:prstTxWarp>
                          <a:noAutofit/>
                        </wps:bodyPr>
                      </wps:wsp>
                      <wps:wsp>
                        <wps:cNvPr id="421" name="Graphic 421"/>
                        <wps:cNvSpPr/>
                        <wps:spPr>
                          <a:xfrm>
                            <a:off x="5516027" y="6350"/>
                            <a:ext cx="588010" cy="1270"/>
                          </a:xfrm>
                          <a:custGeom>
                            <a:avLst/>
                            <a:gdLst/>
                            <a:ahLst/>
                            <a:cxnLst/>
                            <a:rect l="l" t="t" r="r" b="b"/>
                            <a:pathLst>
                              <a:path w="588010" h="0">
                                <a:moveTo>
                                  <a:pt x="0" y="0"/>
                                </a:moveTo>
                                <a:lnTo>
                                  <a:pt x="587489" y="0"/>
                                </a:lnTo>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3307pt;margin-top:6.469936pt;width:480.6pt;height:1pt;mso-position-horizontal-relative:page;mso-position-vertical-relative:paragraph;z-index:-15639552;mso-wrap-distance-left:0;mso-wrap-distance-right:0" id="docshapegroup257" coordorigin="1127,129" coordsize="9612,20">
                <v:line style="position:absolute" from="1127,139" to="4273,139" stroked="true" strokeweight="1pt" strokecolor="#000000">
                  <v:stroke dashstyle="solid"/>
                </v:line>
                <v:line style="position:absolute" from="4273,139" to="5187,139" stroked="true" strokeweight="1pt" strokecolor="#000000">
                  <v:stroke dashstyle="solid"/>
                </v:line>
                <v:line style="position:absolute" from="5187,139" to="6113,139" stroked="true" strokeweight="1pt" strokecolor="#000000">
                  <v:stroke dashstyle="solid"/>
                </v:line>
                <v:line style="position:absolute" from="6113,139" to="7038,139" stroked="true" strokeweight="1pt" strokecolor="#000000">
                  <v:stroke dashstyle="solid"/>
                </v:line>
                <v:line style="position:absolute" from="7038,139" to="7963,139" stroked="true" strokeweight="1pt" strokecolor="#000000">
                  <v:stroke dashstyle="solid"/>
                </v:line>
                <v:line style="position:absolute" from="7963,139" to="8888,139" stroked="true" strokeweight="1pt" strokecolor="#000000">
                  <v:stroke dashstyle="solid"/>
                </v:line>
                <v:line style="position:absolute" from="8888,139" to="9813,139" stroked="true" strokeweight="1pt" strokecolor="#000000">
                  <v:stroke dashstyle="solid"/>
                </v:line>
                <v:line style="position:absolute" from="9813,139" to="10738,139" stroked="true" strokeweight="1pt" strokecolor="#000000">
                  <v:stroke dashstyle="solid"/>
                </v:line>
                <w10:wrap type="topAndBottom"/>
              </v:group>
            </w:pict>
          </mc:Fallback>
        </mc:AlternateContent>
      </w:r>
    </w:p>
    <w:p>
      <w:pPr>
        <w:tabs>
          <w:tab w:pos="4826" w:val="left" w:leader="none"/>
          <w:tab w:pos="5752" w:val="left" w:leader="none"/>
          <w:tab w:pos="6690" w:val="left" w:leader="none"/>
          <w:tab w:pos="7601" w:val="left" w:leader="none"/>
          <w:tab w:pos="8527" w:val="left" w:leader="none"/>
          <w:tab w:pos="9261" w:val="left" w:leader="none"/>
        </w:tabs>
        <w:spacing w:before="62" w:after="48"/>
        <w:ind w:left="3903" w:right="0" w:firstLine="0"/>
        <w:jc w:val="left"/>
        <w:rPr>
          <w:rFonts w:ascii="TT Norms Pro"/>
          <w:b/>
          <w:sz w:val="9"/>
        </w:rPr>
      </w:pPr>
      <w:r>
        <w:rPr>
          <w:rFonts w:ascii="TT Norms Pro"/>
          <w:b/>
          <w:spacing w:val="-4"/>
          <w:sz w:val="16"/>
        </w:rPr>
        <w:t>2014</w:t>
      </w:r>
      <w:r>
        <w:rPr>
          <w:rFonts w:ascii="TT Norms Pro"/>
          <w:b/>
          <w:sz w:val="16"/>
        </w:rPr>
        <w:tab/>
      </w:r>
      <w:r>
        <w:rPr>
          <w:rFonts w:ascii="TT Norms Pro"/>
          <w:b/>
          <w:spacing w:val="-4"/>
          <w:sz w:val="16"/>
        </w:rPr>
        <w:t>2015</w:t>
      </w:r>
      <w:r>
        <w:rPr>
          <w:rFonts w:ascii="TT Norms Pro"/>
          <w:b/>
          <w:sz w:val="16"/>
        </w:rPr>
        <w:tab/>
      </w:r>
      <w:r>
        <w:rPr>
          <w:rFonts w:ascii="TT Norms Pro"/>
          <w:b/>
          <w:spacing w:val="-4"/>
          <w:sz w:val="16"/>
        </w:rPr>
        <w:t>2016</w:t>
      </w:r>
      <w:r>
        <w:rPr>
          <w:rFonts w:ascii="TT Norms Pro"/>
          <w:b/>
          <w:sz w:val="16"/>
        </w:rPr>
        <w:tab/>
      </w:r>
      <w:r>
        <w:rPr>
          <w:rFonts w:ascii="TT Norms Pro"/>
          <w:b/>
          <w:spacing w:val="-4"/>
          <w:sz w:val="16"/>
        </w:rPr>
        <w:t>2017</w:t>
      </w:r>
      <w:r>
        <w:rPr>
          <w:rFonts w:ascii="TT Norms Pro"/>
          <w:b/>
          <w:sz w:val="16"/>
        </w:rPr>
        <w:tab/>
      </w:r>
      <w:r>
        <w:rPr>
          <w:rFonts w:ascii="TT Norms Pro"/>
          <w:b/>
          <w:spacing w:val="-4"/>
          <w:sz w:val="16"/>
        </w:rPr>
        <w:t>2018</w:t>
      </w:r>
      <w:r>
        <w:rPr>
          <w:rFonts w:ascii="TT Norms Pro"/>
          <w:b/>
          <w:sz w:val="16"/>
        </w:rPr>
        <w:tab/>
      </w:r>
      <w:r>
        <w:rPr>
          <w:rFonts w:ascii="TT Norms Pro"/>
          <w:b/>
          <w:spacing w:val="-4"/>
          <w:sz w:val="16"/>
        </w:rPr>
        <w:t>2019</w:t>
      </w:r>
      <w:r>
        <w:rPr>
          <w:rFonts w:ascii="TT Norms Pro"/>
          <w:b/>
          <w:sz w:val="16"/>
        </w:rPr>
        <w:tab/>
      </w:r>
      <w:r>
        <w:rPr>
          <w:rFonts w:ascii="TT Norms Pro"/>
          <w:b/>
          <w:spacing w:val="-2"/>
          <w:sz w:val="16"/>
        </w:rPr>
        <w:t>2020</w:t>
      </w:r>
      <w:r>
        <w:rPr>
          <w:rFonts w:ascii="TT Norms Pro"/>
          <w:b/>
          <w:spacing w:val="-2"/>
          <w:position w:val="5"/>
          <w:sz w:val="9"/>
        </w:rPr>
        <w:t>1</w:t>
      </w:r>
    </w:p>
    <w:tbl>
      <w:tblPr>
        <w:tblW w:w="0" w:type="auto"/>
        <w:jc w:val="left"/>
        <w:tblInd w:w="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46"/>
        <w:gridCol w:w="914"/>
        <w:gridCol w:w="925"/>
        <w:gridCol w:w="925"/>
        <w:gridCol w:w="925"/>
        <w:gridCol w:w="925"/>
        <w:gridCol w:w="925"/>
        <w:gridCol w:w="925"/>
      </w:tblGrid>
      <w:tr>
        <w:trPr>
          <w:trHeight w:val="239" w:hRule="atLeast"/>
        </w:trPr>
        <w:tc>
          <w:tcPr>
            <w:tcW w:w="3146" w:type="dxa"/>
            <w:tcBorders>
              <w:top w:val="single" w:sz="4" w:space="0" w:color="000000"/>
            </w:tcBorders>
            <w:shd w:val="clear" w:color="auto" w:fill="E6E7E8"/>
          </w:tcPr>
          <w:p>
            <w:pPr>
              <w:pStyle w:val="TableParagraph"/>
              <w:spacing w:before="37"/>
              <w:ind w:left="85"/>
              <w:rPr>
                <w:rFonts w:ascii="TT Norms Pro"/>
                <w:b/>
                <w:sz w:val="14"/>
              </w:rPr>
            </w:pPr>
            <w:r>
              <w:rPr>
                <w:rFonts w:ascii="TT Norms Pro"/>
                <w:b/>
                <w:sz w:val="14"/>
              </w:rPr>
              <w:t>HIGHER</w:t>
            </w:r>
            <w:r>
              <w:rPr>
                <w:rFonts w:ascii="TT Norms Pro"/>
                <w:b/>
                <w:spacing w:val="13"/>
                <w:sz w:val="14"/>
              </w:rPr>
              <w:t> </w:t>
            </w:r>
            <w:r>
              <w:rPr>
                <w:rFonts w:ascii="TT Norms Pro"/>
                <w:b/>
                <w:sz w:val="14"/>
              </w:rPr>
              <w:t>DEGREE</w:t>
            </w:r>
            <w:r>
              <w:rPr>
                <w:rFonts w:ascii="TT Norms Pro"/>
                <w:b/>
                <w:spacing w:val="16"/>
                <w:sz w:val="14"/>
              </w:rPr>
              <w:t> </w:t>
            </w:r>
            <w:r>
              <w:rPr>
                <w:rFonts w:ascii="TT Norms Pro"/>
                <w:b/>
                <w:spacing w:val="-2"/>
                <w:sz w:val="14"/>
              </w:rPr>
              <w:t>RESEARCH</w:t>
            </w:r>
          </w:p>
        </w:tc>
        <w:tc>
          <w:tcPr>
            <w:tcW w:w="914" w:type="dxa"/>
            <w:tcBorders>
              <w:top w:val="single" w:sz="4" w:space="0" w:color="000000"/>
            </w:tcBorders>
          </w:tcPr>
          <w:p>
            <w:pPr>
              <w:pStyle w:val="TableParagraph"/>
              <w:rPr>
                <w:rFonts w:ascii="Times New Roman"/>
                <w:sz w:val="14"/>
              </w:rPr>
            </w:pPr>
          </w:p>
        </w:tc>
        <w:tc>
          <w:tcPr>
            <w:tcW w:w="925" w:type="dxa"/>
            <w:tcBorders>
              <w:top w:val="single" w:sz="4" w:space="0" w:color="000000"/>
            </w:tcBorders>
            <w:shd w:val="clear" w:color="auto" w:fill="E6E7E8"/>
          </w:tcPr>
          <w:p>
            <w:pPr>
              <w:pStyle w:val="TableParagraph"/>
              <w:rPr>
                <w:rFonts w:ascii="Times New Roman"/>
                <w:sz w:val="14"/>
              </w:rPr>
            </w:pPr>
          </w:p>
        </w:tc>
        <w:tc>
          <w:tcPr>
            <w:tcW w:w="925" w:type="dxa"/>
            <w:tcBorders>
              <w:top w:val="single" w:sz="4" w:space="0" w:color="000000"/>
            </w:tcBorders>
          </w:tcPr>
          <w:p>
            <w:pPr>
              <w:pStyle w:val="TableParagraph"/>
              <w:rPr>
                <w:rFonts w:ascii="Times New Roman"/>
                <w:sz w:val="14"/>
              </w:rPr>
            </w:pPr>
          </w:p>
        </w:tc>
        <w:tc>
          <w:tcPr>
            <w:tcW w:w="925" w:type="dxa"/>
            <w:tcBorders>
              <w:top w:val="single" w:sz="4" w:space="0" w:color="000000"/>
            </w:tcBorders>
            <w:shd w:val="clear" w:color="auto" w:fill="E6E7E8"/>
          </w:tcPr>
          <w:p>
            <w:pPr>
              <w:pStyle w:val="TableParagraph"/>
              <w:rPr>
                <w:rFonts w:ascii="Times New Roman"/>
                <w:sz w:val="14"/>
              </w:rPr>
            </w:pPr>
          </w:p>
        </w:tc>
        <w:tc>
          <w:tcPr>
            <w:tcW w:w="925" w:type="dxa"/>
            <w:tcBorders>
              <w:top w:val="single" w:sz="4" w:space="0" w:color="000000"/>
            </w:tcBorders>
          </w:tcPr>
          <w:p>
            <w:pPr>
              <w:pStyle w:val="TableParagraph"/>
              <w:rPr>
                <w:rFonts w:ascii="Times New Roman"/>
                <w:sz w:val="14"/>
              </w:rPr>
            </w:pPr>
          </w:p>
        </w:tc>
        <w:tc>
          <w:tcPr>
            <w:tcW w:w="925" w:type="dxa"/>
            <w:tcBorders>
              <w:top w:val="single" w:sz="4" w:space="0" w:color="000000"/>
            </w:tcBorders>
            <w:shd w:val="clear" w:color="auto" w:fill="E6E7E8"/>
          </w:tcPr>
          <w:p>
            <w:pPr>
              <w:pStyle w:val="TableParagraph"/>
              <w:rPr>
                <w:rFonts w:ascii="Times New Roman"/>
                <w:sz w:val="14"/>
              </w:rPr>
            </w:pPr>
          </w:p>
        </w:tc>
        <w:tc>
          <w:tcPr>
            <w:tcW w:w="925" w:type="dxa"/>
            <w:tcBorders>
              <w:top w:val="single" w:sz="4" w:space="0" w:color="000000"/>
            </w:tcBorders>
          </w:tcPr>
          <w:p>
            <w:pPr>
              <w:pStyle w:val="TableParagraph"/>
              <w:rPr>
                <w:rFonts w:ascii="Times New Roman"/>
                <w:sz w:val="14"/>
              </w:rPr>
            </w:pPr>
          </w:p>
        </w:tc>
      </w:tr>
      <w:tr>
        <w:trPr>
          <w:trHeight w:val="246" w:hRule="atLeast"/>
        </w:trPr>
        <w:tc>
          <w:tcPr>
            <w:tcW w:w="3146" w:type="dxa"/>
            <w:shd w:val="clear" w:color="auto" w:fill="E6E7E8"/>
          </w:tcPr>
          <w:p>
            <w:pPr>
              <w:pStyle w:val="TableParagraph"/>
              <w:spacing w:before="53"/>
              <w:ind w:left="85"/>
              <w:rPr>
                <w:rFonts w:ascii="TT Norms Pro"/>
                <w:sz w:val="14"/>
              </w:rPr>
            </w:pPr>
            <w:r>
              <w:rPr>
                <w:rFonts w:ascii="TT Norms Pro"/>
                <w:sz w:val="14"/>
              </w:rPr>
              <w:t>Doctorate</w:t>
            </w:r>
            <w:r>
              <w:rPr>
                <w:rFonts w:ascii="TT Norms Pro"/>
                <w:spacing w:val="7"/>
                <w:sz w:val="14"/>
              </w:rPr>
              <w:t> </w:t>
            </w:r>
            <w:r>
              <w:rPr>
                <w:rFonts w:ascii="TT Norms Pro"/>
                <w:sz w:val="14"/>
              </w:rPr>
              <w:t>by</w:t>
            </w:r>
            <w:r>
              <w:rPr>
                <w:rFonts w:ascii="TT Norms Pro"/>
                <w:spacing w:val="8"/>
                <w:sz w:val="14"/>
              </w:rPr>
              <w:t> </w:t>
            </w:r>
            <w:r>
              <w:rPr>
                <w:rFonts w:ascii="TT Norms Pro"/>
                <w:spacing w:val="-2"/>
                <w:sz w:val="14"/>
              </w:rPr>
              <w:t>research</w:t>
            </w:r>
          </w:p>
        </w:tc>
        <w:tc>
          <w:tcPr>
            <w:tcW w:w="914" w:type="dxa"/>
          </w:tcPr>
          <w:p>
            <w:pPr>
              <w:pStyle w:val="TableParagraph"/>
              <w:spacing w:before="55"/>
              <w:ind w:right="52"/>
              <w:jc w:val="right"/>
              <w:rPr>
                <w:rFonts w:ascii="TT Norms Pro Light"/>
                <w:b w:val="0"/>
                <w:sz w:val="14"/>
              </w:rPr>
            </w:pPr>
            <w:r>
              <w:rPr>
                <w:rFonts w:ascii="TT Norms Pro Light"/>
                <w:b w:val="0"/>
                <w:spacing w:val="-2"/>
                <w:sz w:val="14"/>
              </w:rPr>
              <w:t>1,989</w:t>
            </w:r>
          </w:p>
        </w:tc>
        <w:tc>
          <w:tcPr>
            <w:tcW w:w="925" w:type="dxa"/>
            <w:shd w:val="clear" w:color="auto" w:fill="E6E7E8"/>
          </w:tcPr>
          <w:p>
            <w:pPr>
              <w:pStyle w:val="TableParagraph"/>
              <w:spacing w:before="55"/>
              <w:ind w:right="53"/>
              <w:jc w:val="right"/>
              <w:rPr>
                <w:rFonts w:ascii="TT Norms Pro Light"/>
                <w:b w:val="0"/>
                <w:sz w:val="14"/>
              </w:rPr>
            </w:pPr>
            <w:r>
              <w:rPr>
                <w:rFonts w:ascii="TT Norms Pro Light"/>
                <w:b w:val="0"/>
                <w:spacing w:val="-2"/>
                <w:sz w:val="14"/>
              </w:rPr>
              <w:t>2,002</w:t>
            </w:r>
          </w:p>
        </w:tc>
        <w:tc>
          <w:tcPr>
            <w:tcW w:w="925" w:type="dxa"/>
          </w:tcPr>
          <w:p>
            <w:pPr>
              <w:pStyle w:val="TableParagraph"/>
              <w:spacing w:before="55"/>
              <w:ind w:right="53"/>
              <w:jc w:val="right"/>
              <w:rPr>
                <w:rFonts w:ascii="TT Norms Pro Light"/>
                <w:b w:val="0"/>
                <w:sz w:val="14"/>
              </w:rPr>
            </w:pPr>
            <w:r>
              <w:rPr>
                <w:rFonts w:ascii="TT Norms Pro Light"/>
                <w:b w:val="0"/>
                <w:spacing w:val="-2"/>
                <w:sz w:val="14"/>
              </w:rPr>
              <w:t>2,009</w:t>
            </w:r>
          </w:p>
        </w:tc>
        <w:tc>
          <w:tcPr>
            <w:tcW w:w="925" w:type="dxa"/>
            <w:shd w:val="clear" w:color="auto" w:fill="E6E7E8"/>
          </w:tcPr>
          <w:p>
            <w:pPr>
              <w:pStyle w:val="TableParagraph"/>
              <w:spacing w:before="55"/>
              <w:ind w:right="53"/>
              <w:jc w:val="right"/>
              <w:rPr>
                <w:rFonts w:ascii="TT Norms Pro Light"/>
                <w:b w:val="0"/>
                <w:sz w:val="14"/>
              </w:rPr>
            </w:pPr>
            <w:r>
              <w:rPr>
                <w:rFonts w:ascii="TT Norms Pro Light"/>
                <w:b w:val="0"/>
                <w:spacing w:val="-2"/>
                <w:sz w:val="14"/>
              </w:rPr>
              <w:t>1,928</w:t>
            </w:r>
          </w:p>
        </w:tc>
        <w:tc>
          <w:tcPr>
            <w:tcW w:w="925" w:type="dxa"/>
          </w:tcPr>
          <w:p>
            <w:pPr>
              <w:pStyle w:val="TableParagraph"/>
              <w:spacing w:before="55"/>
              <w:ind w:right="53"/>
              <w:jc w:val="right"/>
              <w:rPr>
                <w:rFonts w:ascii="TT Norms Pro Light"/>
                <w:b w:val="0"/>
                <w:sz w:val="14"/>
              </w:rPr>
            </w:pPr>
            <w:r>
              <w:rPr>
                <w:rFonts w:ascii="TT Norms Pro Light"/>
                <w:b w:val="0"/>
                <w:spacing w:val="-2"/>
                <w:sz w:val="14"/>
              </w:rPr>
              <w:t>1,963</w:t>
            </w:r>
          </w:p>
        </w:tc>
        <w:tc>
          <w:tcPr>
            <w:tcW w:w="925" w:type="dxa"/>
            <w:shd w:val="clear" w:color="auto" w:fill="E6E7E8"/>
          </w:tcPr>
          <w:p>
            <w:pPr>
              <w:pStyle w:val="TableParagraph"/>
              <w:spacing w:before="55"/>
              <w:ind w:right="53"/>
              <w:jc w:val="right"/>
              <w:rPr>
                <w:rFonts w:ascii="TT Norms Pro Light"/>
                <w:b w:val="0"/>
                <w:sz w:val="14"/>
              </w:rPr>
            </w:pPr>
            <w:r>
              <w:rPr>
                <w:rFonts w:ascii="TT Norms Pro Light"/>
                <w:b w:val="0"/>
                <w:spacing w:val="-2"/>
                <w:sz w:val="14"/>
              </w:rPr>
              <w:t>1,997</w:t>
            </w:r>
          </w:p>
        </w:tc>
        <w:tc>
          <w:tcPr>
            <w:tcW w:w="925" w:type="dxa"/>
          </w:tcPr>
          <w:p>
            <w:pPr>
              <w:pStyle w:val="TableParagraph"/>
              <w:spacing w:before="55"/>
              <w:ind w:right="109"/>
              <w:jc w:val="right"/>
              <w:rPr>
                <w:rFonts w:ascii="TT Norms Pro Light"/>
                <w:b w:val="0"/>
                <w:sz w:val="14"/>
              </w:rPr>
            </w:pPr>
            <w:r>
              <w:rPr>
                <w:rFonts w:ascii="TT Norms Pro Light"/>
                <w:b w:val="0"/>
                <w:spacing w:val="-2"/>
                <w:sz w:val="14"/>
              </w:rPr>
              <w:t>1,929</w:t>
            </w:r>
          </w:p>
        </w:tc>
      </w:tr>
      <w:tr>
        <w:trPr>
          <w:trHeight w:val="250" w:hRule="atLeast"/>
        </w:trPr>
        <w:tc>
          <w:tcPr>
            <w:tcW w:w="3146" w:type="dxa"/>
            <w:shd w:val="clear" w:color="auto" w:fill="E6E7E8"/>
          </w:tcPr>
          <w:p>
            <w:pPr>
              <w:pStyle w:val="TableParagraph"/>
              <w:spacing w:before="44"/>
              <w:ind w:left="85"/>
              <w:rPr>
                <w:rFonts w:ascii="TT Norms Pro"/>
                <w:sz w:val="14"/>
              </w:rPr>
            </w:pPr>
            <w:r>
              <w:rPr>
                <w:rFonts w:ascii="TT Norms Pro"/>
                <w:sz w:val="14"/>
              </w:rPr>
              <w:t>Higher</w:t>
            </w:r>
            <w:r>
              <w:rPr>
                <w:rFonts w:ascii="TT Norms Pro"/>
                <w:spacing w:val="8"/>
                <w:sz w:val="14"/>
              </w:rPr>
              <w:t> </w:t>
            </w:r>
            <w:r>
              <w:rPr>
                <w:rFonts w:ascii="TT Norms Pro"/>
                <w:spacing w:val="-2"/>
                <w:sz w:val="14"/>
              </w:rPr>
              <w:t>doctorate</w:t>
            </w:r>
          </w:p>
        </w:tc>
        <w:tc>
          <w:tcPr>
            <w:tcW w:w="914" w:type="dxa"/>
          </w:tcPr>
          <w:p>
            <w:pPr>
              <w:pStyle w:val="TableParagraph"/>
              <w:spacing w:before="55"/>
              <w:ind w:right="53"/>
              <w:jc w:val="right"/>
              <w:rPr>
                <w:rFonts w:ascii="TT Norms Pro Light"/>
                <w:b w:val="0"/>
                <w:sz w:val="14"/>
              </w:rPr>
            </w:pPr>
            <w:r>
              <w:rPr>
                <w:rFonts w:ascii="TT Norms Pro Light"/>
                <w:b w:val="0"/>
                <w:spacing w:val="-10"/>
                <w:sz w:val="14"/>
              </w:rPr>
              <w:t>1</w:t>
            </w:r>
          </w:p>
        </w:tc>
        <w:tc>
          <w:tcPr>
            <w:tcW w:w="925" w:type="dxa"/>
            <w:shd w:val="clear" w:color="auto" w:fill="E6E7E8"/>
          </w:tcPr>
          <w:p>
            <w:pPr>
              <w:pStyle w:val="TableParagraph"/>
              <w:spacing w:before="55"/>
              <w:ind w:right="53"/>
              <w:jc w:val="right"/>
              <w:rPr>
                <w:rFonts w:ascii="TT Norms Pro Light"/>
                <w:b w:val="0"/>
                <w:sz w:val="14"/>
              </w:rPr>
            </w:pPr>
            <w:r>
              <w:rPr>
                <w:rFonts w:ascii="TT Norms Pro Light"/>
                <w:b w:val="0"/>
                <w:spacing w:val="-10"/>
                <w:sz w:val="14"/>
              </w:rPr>
              <w:t>2</w:t>
            </w:r>
          </w:p>
        </w:tc>
        <w:tc>
          <w:tcPr>
            <w:tcW w:w="925" w:type="dxa"/>
          </w:tcPr>
          <w:p>
            <w:pPr>
              <w:pStyle w:val="TableParagraph"/>
              <w:spacing w:before="55"/>
              <w:ind w:right="53"/>
              <w:jc w:val="right"/>
              <w:rPr>
                <w:rFonts w:ascii="TT Norms Pro Light"/>
                <w:b w:val="0"/>
                <w:sz w:val="14"/>
              </w:rPr>
            </w:pPr>
            <w:r>
              <w:rPr>
                <w:rFonts w:ascii="TT Norms Pro Light"/>
                <w:b w:val="0"/>
                <w:spacing w:val="-10"/>
                <w:w w:val="95"/>
                <w:sz w:val="14"/>
              </w:rPr>
              <w:t>0</w:t>
            </w:r>
          </w:p>
        </w:tc>
        <w:tc>
          <w:tcPr>
            <w:tcW w:w="925" w:type="dxa"/>
            <w:shd w:val="clear" w:color="auto" w:fill="E6E7E8"/>
          </w:tcPr>
          <w:p>
            <w:pPr>
              <w:pStyle w:val="TableParagraph"/>
              <w:spacing w:before="55"/>
              <w:ind w:right="53"/>
              <w:jc w:val="right"/>
              <w:rPr>
                <w:rFonts w:ascii="TT Norms Pro Light"/>
                <w:b w:val="0"/>
                <w:sz w:val="14"/>
              </w:rPr>
            </w:pPr>
            <w:r>
              <w:rPr>
                <w:rFonts w:ascii="TT Norms Pro Light"/>
                <w:b w:val="0"/>
                <w:spacing w:val="-10"/>
                <w:sz w:val="14"/>
              </w:rPr>
              <w:t>3</w:t>
            </w:r>
          </w:p>
        </w:tc>
        <w:tc>
          <w:tcPr>
            <w:tcW w:w="925" w:type="dxa"/>
          </w:tcPr>
          <w:p>
            <w:pPr>
              <w:pStyle w:val="TableParagraph"/>
              <w:spacing w:before="55"/>
              <w:ind w:right="53"/>
              <w:jc w:val="right"/>
              <w:rPr>
                <w:rFonts w:ascii="TT Norms Pro Light"/>
                <w:b w:val="0"/>
                <w:sz w:val="14"/>
              </w:rPr>
            </w:pPr>
            <w:r>
              <w:rPr>
                <w:rFonts w:ascii="TT Norms Pro Light"/>
                <w:b w:val="0"/>
                <w:spacing w:val="-10"/>
                <w:w w:val="95"/>
                <w:sz w:val="14"/>
              </w:rPr>
              <w:t>0</w:t>
            </w:r>
          </w:p>
        </w:tc>
        <w:tc>
          <w:tcPr>
            <w:tcW w:w="925" w:type="dxa"/>
            <w:shd w:val="clear" w:color="auto" w:fill="E6E7E8"/>
          </w:tcPr>
          <w:p>
            <w:pPr>
              <w:pStyle w:val="TableParagraph"/>
              <w:spacing w:before="55"/>
              <w:ind w:right="53"/>
              <w:jc w:val="right"/>
              <w:rPr>
                <w:rFonts w:ascii="TT Norms Pro Light"/>
                <w:b w:val="0"/>
                <w:sz w:val="14"/>
              </w:rPr>
            </w:pPr>
            <w:r>
              <w:rPr>
                <w:rFonts w:ascii="TT Norms Pro Light"/>
                <w:b w:val="0"/>
                <w:spacing w:val="-10"/>
                <w:w w:val="95"/>
                <w:sz w:val="14"/>
              </w:rPr>
              <w:t>0</w:t>
            </w:r>
          </w:p>
        </w:tc>
        <w:tc>
          <w:tcPr>
            <w:tcW w:w="925" w:type="dxa"/>
          </w:tcPr>
          <w:p>
            <w:pPr>
              <w:pStyle w:val="TableParagraph"/>
              <w:spacing w:before="55"/>
              <w:ind w:right="109"/>
              <w:jc w:val="right"/>
              <w:rPr>
                <w:rFonts w:ascii="TT Norms Pro Light"/>
                <w:b w:val="0"/>
                <w:sz w:val="14"/>
              </w:rPr>
            </w:pPr>
            <w:r>
              <w:rPr>
                <w:rFonts w:ascii="TT Norms Pro Light"/>
                <w:b w:val="0"/>
                <w:spacing w:val="-10"/>
                <w:sz w:val="14"/>
              </w:rPr>
              <w:t>2</w:t>
            </w:r>
          </w:p>
        </w:tc>
      </w:tr>
      <w:tr>
        <w:trPr>
          <w:trHeight w:val="255" w:hRule="atLeast"/>
        </w:trPr>
        <w:tc>
          <w:tcPr>
            <w:tcW w:w="3146" w:type="dxa"/>
            <w:shd w:val="clear" w:color="auto" w:fill="E6E7E8"/>
          </w:tcPr>
          <w:p>
            <w:pPr>
              <w:pStyle w:val="TableParagraph"/>
              <w:spacing w:before="48"/>
              <w:ind w:left="84"/>
              <w:rPr>
                <w:rFonts w:ascii="TT Norms Pro"/>
                <w:sz w:val="14"/>
              </w:rPr>
            </w:pPr>
            <w:r>
              <w:rPr>
                <w:rFonts w:ascii="TT Norms Pro"/>
                <w:sz w:val="14"/>
              </w:rPr>
              <w:t>Master's</w:t>
            </w:r>
            <w:r>
              <w:rPr>
                <w:rFonts w:ascii="TT Norms Pro"/>
                <w:spacing w:val="6"/>
                <w:sz w:val="14"/>
              </w:rPr>
              <w:t> </w:t>
            </w:r>
            <w:r>
              <w:rPr>
                <w:rFonts w:ascii="TT Norms Pro"/>
                <w:sz w:val="14"/>
              </w:rPr>
              <w:t>degree</w:t>
            </w:r>
            <w:r>
              <w:rPr>
                <w:rFonts w:ascii="TT Norms Pro"/>
                <w:spacing w:val="9"/>
                <w:sz w:val="14"/>
              </w:rPr>
              <w:t> </w:t>
            </w:r>
            <w:r>
              <w:rPr>
                <w:rFonts w:ascii="TT Norms Pro"/>
                <w:sz w:val="14"/>
              </w:rPr>
              <w:t>by</w:t>
            </w:r>
            <w:r>
              <w:rPr>
                <w:rFonts w:ascii="TT Norms Pro"/>
                <w:spacing w:val="9"/>
                <w:sz w:val="14"/>
              </w:rPr>
              <w:t> </w:t>
            </w:r>
            <w:r>
              <w:rPr>
                <w:rFonts w:ascii="TT Norms Pro"/>
                <w:spacing w:val="-2"/>
                <w:sz w:val="14"/>
              </w:rPr>
              <w:t>research</w:t>
            </w:r>
          </w:p>
        </w:tc>
        <w:tc>
          <w:tcPr>
            <w:tcW w:w="914" w:type="dxa"/>
          </w:tcPr>
          <w:p>
            <w:pPr>
              <w:pStyle w:val="TableParagraph"/>
              <w:spacing w:before="60"/>
              <w:ind w:right="55"/>
              <w:jc w:val="right"/>
              <w:rPr>
                <w:rFonts w:ascii="TT Norms Pro Light"/>
                <w:b w:val="0"/>
                <w:sz w:val="14"/>
              </w:rPr>
            </w:pPr>
            <w:r>
              <w:rPr>
                <w:rFonts w:ascii="TT Norms Pro Light"/>
                <w:b w:val="0"/>
                <w:spacing w:val="-5"/>
                <w:sz w:val="14"/>
              </w:rPr>
              <w:t>259</w:t>
            </w:r>
          </w:p>
        </w:tc>
        <w:tc>
          <w:tcPr>
            <w:tcW w:w="925" w:type="dxa"/>
            <w:shd w:val="clear" w:color="auto" w:fill="E6E7E8"/>
          </w:tcPr>
          <w:p>
            <w:pPr>
              <w:pStyle w:val="TableParagraph"/>
              <w:spacing w:before="60"/>
              <w:ind w:right="50"/>
              <w:jc w:val="right"/>
              <w:rPr>
                <w:rFonts w:ascii="TT Norms Pro Light"/>
                <w:b w:val="0"/>
                <w:sz w:val="14"/>
              </w:rPr>
            </w:pPr>
            <w:r>
              <w:rPr>
                <w:rFonts w:ascii="TT Norms Pro Light"/>
                <w:b w:val="0"/>
                <w:spacing w:val="-5"/>
                <w:sz w:val="14"/>
              </w:rPr>
              <w:t>229</w:t>
            </w:r>
          </w:p>
        </w:tc>
        <w:tc>
          <w:tcPr>
            <w:tcW w:w="925" w:type="dxa"/>
          </w:tcPr>
          <w:p>
            <w:pPr>
              <w:pStyle w:val="TableParagraph"/>
              <w:spacing w:before="60"/>
              <w:ind w:right="51"/>
              <w:jc w:val="right"/>
              <w:rPr>
                <w:rFonts w:ascii="TT Norms Pro Light"/>
                <w:b w:val="0"/>
                <w:sz w:val="14"/>
              </w:rPr>
            </w:pPr>
            <w:r>
              <w:rPr>
                <w:rFonts w:ascii="TT Norms Pro Light"/>
                <w:b w:val="0"/>
                <w:spacing w:val="-5"/>
                <w:sz w:val="14"/>
              </w:rPr>
              <w:t>239</w:t>
            </w:r>
          </w:p>
        </w:tc>
        <w:tc>
          <w:tcPr>
            <w:tcW w:w="925" w:type="dxa"/>
            <w:shd w:val="clear" w:color="auto" w:fill="E6E7E8"/>
          </w:tcPr>
          <w:p>
            <w:pPr>
              <w:pStyle w:val="TableParagraph"/>
              <w:spacing w:before="60"/>
              <w:ind w:right="51"/>
              <w:jc w:val="right"/>
              <w:rPr>
                <w:rFonts w:ascii="TT Norms Pro Light"/>
                <w:b w:val="0"/>
                <w:sz w:val="14"/>
              </w:rPr>
            </w:pPr>
            <w:r>
              <w:rPr>
                <w:rFonts w:ascii="TT Norms Pro Light"/>
                <w:b w:val="0"/>
                <w:spacing w:val="-5"/>
                <w:sz w:val="14"/>
              </w:rPr>
              <w:t>237</w:t>
            </w:r>
          </w:p>
        </w:tc>
        <w:tc>
          <w:tcPr>
            <w:tcW w:w="925" w:type="dxa"/>
          </w:tcPr>
          <w:p>
            <w:pPr>
              <w:pStyle w:val="TableParagraph"/>
              <w:spacing w:before="60"/>
              <w:ind w:right="51"/>
              <w:jc w:val="right"/>
              <w:rPr>
                <w:rFonts w:ascii="TT Norms Pro Light"/>
                <w:b w:val="0"/>
                <w:sz w:val="14"/>
              </w:rPr>
            </w:pPr>
            <w:r>
              <w:rPr>
                <w:rFonts w:ascii="TT Norms Pro Light"/>
                <w:b w:val="0"/>
                <w:spacing w:val="-5"/>
                <w:sz w:val="14"/>
              </w:rPr>
              <w:t>207</w:t>
            </w:r>
          </w:p>
        </w:tc>
        <w:tc>
          <w:tcPr>
            <w:tcW w:w="925" w:type="dxa"/>
            <w:shd w:val="clear" w:color="auto" w:fill="E6E7E8"/>
          </w:tcPr>
          <w:p>
            <w:pPr>
              <w:pStyle w:val="TableParagraph"/>
              <w:spacing w:before="60"/>
              <w:ind w:right="50"/>
              <w:jc w:val="right"/>
              <w:rPr>
                <w:rFonts w:ascii="TT Norms Pro Light"/>
                <w:b w:val="0"/>
                <w:sz w:val="14"/>
              </w:rPr>
            </w:pPr>
            <w:r>
              <w:rPr>
                <w:rFonts w:ascii="TT Norms Pro Light"/>
                <w:b w:val="0"/>
                <w:spacing w:val="-5"/>
                <w:sz w:val="14"/>
              </w:rPr>
              <w:t>181</w:t>
            </w:r>
          </w:p>
        </w:tc>
        <w:tc>
          <w:tcPr>
            <w:tcW w:w="925" w:type="dxa"/>
          </w:tcPr>
          <w:p>
            <w:pPr>
              <w:pStyle w:val="TableParagraph"/>
              <w:spacing w:before="60"/>
              <w:ind w:right="107"/>
              <w:jc w:val="right"/>
              <w:rPr>
                <w:rFonts w:ascii="TT Norms Pro Light"/>
                <w:b w:val="0"/>
                <w:sz w:val="14"/>
              </w:rPr>
            </w:pPr>
            <w:r>
              <w:rPr>
                <w:rFonts w:ascii="TT Norms Pro Light"/>
                <w:b w:val="0"/>
                <w:spacing w:val="-5"/>
                <w:sz w:val="14"/>
              </w:rPr>
              <w:t>182</w:t>
            </w:r>
          </w:p>
        </w:tc>
      </w:tr>
      <w:tr>
        <w:trPr>
          <w:trHeight w:val="258" w:hRule="atLeast"/>
        </w:trPr>
        <w:tc>
          <w:tcPr>
            <w:tcW w:w="3146" w:type="dxa"/>
            <w:tcBorders>
              <w:bottom w:val="single" w:sz="2" w:space="0" w:color="000000"/>
            </w:tcBorders>
            <w:shd w:val="clear" w:color="auto" w:fill="E6E7E8"/>
          </w:tcPr>
          <w:p>
            <w:pPr>
              <w:pStyle w:val="TableParagraph"/>
              <w:spacing w:before="48"/>
              <w:ind w:left="84"/>
              <w:rPr>
                <w:rFonts w:ascii="TT Norms Pro"/>
                <w:sz w:val="14"/>
              </w:rPr>
            </w:pPr>
            <w:r>
              <w:rPr>
                <w:rFonts w:ascii="TT Norms Pro"/>
                <w:sz w:val="14"/>
              </w:rPr>
              <w:t>Sub-</w:t>
            </w:r>
            <w:r>
              <w:rPr>
                <w:rFonts w:ascii="TT Norms Pro"/>
                <w:spacing w:val="-2"/>
                <w:sz w:val="14"/>
              </w:rPr>
              <w:t>total</w:t>
            </w:r>
          </w:p>
        </w:tc>
        <w:tc>
          <w:tcPr>
            <w:tcW w:w="914" w:type="dxa"/>
            <w:tcBorders>
              <w:bottom w:val="single" w:sz="2" w:space="0" w:color="000000"/>
            </w:tcBorders>
          </w:tcPr>
          <w:p>
            <w:pPr>
              <w:pStyle w:val="TableParagraph"/>
              <w:spacing w:before="60"/>
              <w:ind w:right="54"/>
              <w:jc w:val="right"/>
              <w:rPr>
                <w:rFonts w:ascii="TT Norms Pro Light"/>
                <w:b w:val="0"/>
                <w:sz w:val="14"/>
              </w:rPr>
            </w:pPr>
            <w:r>
              <w:rPr>
                <w:rFonts w:ascii="TT Norms Pro Light"/>
                <w:b w:val="0"/>
                <w:spacing w:val="-2"/>
                <w:sz w:val="14"/>
              </w:rPr>
              <w:t>2,249</w:t>
            </w:r>
          </w:p>
        </w:tc>
        <w:tc>
          <w:tcPr>
            <w:tcW w:w="925" w:type="dxa"/>
            <w:tcBorders>
              <w:bottom w:val="single" w:sz="2" w:space="0" w:color="000000"/>
            </w:tcBorders>
            <w:shd w:val="clear" w:color="auto" w:fill="E6E7E8"/>
          </w:tcPr>
          <w:p>
            <w:pPr>
              <w:pStyle w:val="TableParagraph"/>
              <w:spacing w:before="60"/>
              <w:ind w:right="54"/>
              <w:jc w:val="right"/>
              <w:rPr>
                <w:rFonts w:ascii="TT Norms Pro Light"/>
                <w:b w:val="0"/>
                <w:sz w:val="14"/>
              </w:rPr>
            </w:pPr>
            <w:r>
              <w:rPr>
                <w:rFonts w:ascii="TT Norms Pro Light"/>
                <w:b w:val="0"/>
                <w:spacing w:val="-2"/>
                <w:sz w:val="14"/>
              </w:rPr>
              <w:t>2,233</w:t>
            </w:r>
          </w:p>
        </w:tc>
        <w:tc>
          <w:tcPr>
            <w:tcW w:w="925" w:type="dxa"/>
            <w:tcBorders>
              <w:bottom w:val="single" w:sz="2" w:space="0" w:color="000000"/>
            </w:tcBorders>
          </w:tcPr>
          <w:p>
            <w:pPr>
              <w:pStyle w:val="TableParagraph"/>
              <w:spacing w:before="60"/>
              <w:ind w:right="53"/>
              <w:jc w:val="right"/>
              <w:rPr>
                <w:rFonts w:ascii="TT Norms Pro Light"/>
                <w:b w:val="0"/>
                <w:sz w:val="14"/>
              </w:rPr>
            </w:pPr>
            <w:r>
              <w:rPr>
                <w:rFonts w:ascii="TT Norms Pro Light"/>
                <w:b w:val="0"/>
                <w:spacing w:val="-2"/>
                <w:sz w:val="14"/>
              </w:rPr>
              <w:t>2,248</w:t>
            </w:r>
          </w:p>
        </w:tc>
        <w:tc>
          <w:tcPr>
            <w:tcW w:w="925" w:type="dxa"/>
            <w:tcBorders>
              <w:bottom w:val="single" w:sz="2" w:space="0" w:color="000000"/>
            </w:tcBorders>
            <w:shd w:val="clear" w:color="auto" w:fill="E6E7E8"/>
          </w:tcPr>
          <w:p>
            <w:pPr>
              <w:pStyle w:val="TableParagraph"/>
              <w:spacing w:before="60"/>
              <w:ind w:right="53"/>
              <w:jc w:val="right"/>
              <w:rPr>
                <w:rFonts w:ascii="TT Norms Pro Light"/>
                <w:b w:val="0"/>
                <w:sz w:val="14"/>
              </w:rPr>
            </w:pPr>
            <w:r>
              <w:rPr>
                <w:rFonts w:ascii="TT Norms Pro Light"/>
                <w:b w:val="0"/>
                <w:spacing w:val="-2"/>
                <w:sz w:val="14"/>
              </w:rPr>
              <w:t>2,168</w:t>
            </w:r>
          </w:p>
        </w:tc>
        <w:tc>
          <w:tcPr>
            <w:tcW w:w="925" w:type="dxa"/>
            <w:tcBorders>
              <w:bottom w:val="single" w:sz="2" w:space="0" w:color="000000"/>
            </w:tcBorders>
          </w:tcPr>
          <w:p>
            <w:pPr>
              <w:pStyle w:val="TableParagraph"/>
              <w:spacing w:before="60"/>
              <w:ind w:right="53"/>
              <w:jc w:val="right"/>
              <w:rPr>
                <w:rFonts w:ascii="TT Norms Pro Light"/>
                <w:b w:val="0"/>
                <w:sz w:val="14"/>
              </w:rPr>
            </w:pPr>
            <w:r>
              <w:rPr>
                <w:rFonts w:ascii="TT Norms Pro Light"/>
                <w:b w:val="0"/>
                <w:spacing w:val="-2"/>
                <w:sz w:val="14"/>
              </w:rPr>
              <w:t>2,170</w:t>
            </w:r>
          </w:p>
        </w:tc>
        <w:tc>
          <w:tcPr>
            <w:tcW w:w="925" w:type="dxa"/>
            <w:tcBorders>
              <w:bottom w:val="single" w:sz="2" w:space="0" w:color="000000"/>
            </w:tcBorders>
            <w:shd w:val="clear" w:color="auto" w:fill="E6E7E8"/>
          </w:tcPr>
          <w:p>
            <w:pPr>
              <w:pStyle w:val="TableParagraph"/>
              <w:spacing w:before="60"/>
              <w:ind w:right="53"/>
              <w:jc w:val="right"/>
              <w:rPr>
                <w:rFonts w:ascii="TT Norms Pro Light"/>
                <w:b w:val="0"/>
                <w:sz w:val="14"/>
              </w:rPr>
            </w:pPr>
            <w:r>
              <w:rPr>
                <w:rFonts w:ascii="TT Norms Pro Light"/>
                <w:b w:val="0"/>
                <w:spacing w:val="-2"/>
                <w:sz w:val="14"/>
              </w:rPr>
              <w:t>2,178</w:t>
            </w:r>
          </w:p>
        </w:tc>
        <w:tc>
          <w:tcPr>
            <w:tcW w:w="925" w:type="dxa"/>
            <w:tcBorders>
              <w:bottom w:val="single" w:sz="2" w:space="0" w:color="000000"/>
            </w:tcBorders>
          </w:tcPr>
          <w:p>
            <w:pPr>
              <w:pStyle w:val="TableParagraph"/>
              <w:spacing w:before="60"/>
              <w:ind w:right="109"/>
              <w:jc w:val="right"/>
              <w:rPr>
                <w:rFonts w:ascii="TT Norms Pro Light"/>
                <w:b w:val="0"/>
                <w:sz w:val="14"/>
              </w:rPr>
            </w:pPr>
            <w:r>
              <w:rPr>
                <w:rFonts w:ascii="TT Norms Pro Light"/>
                <w:b w:val="0"/>
                <w:spacing w:val="-2"/>
                <w:sz w:val="14"/>
              </w:rPr>
              <w:t>2,113</w:t>
            </w:r>
          </w:p>
        </w:tc>
      </w:tr>
      <w:tr>
        <w:trPr>
          <w:trHeight w:val="245" w:hRule="atLeast"/>
        </w:trPr>
        <w:tc>
          <w:tcPr>
            <w:tcW w:w="3146" w:type="dxa"/>
            <w:tcBorders>
              <w:top w:val="single" w:sz="2" w:space="0" w:color="000000"/>
            </w:tcBorders>
            <w:shd w:val="clear" w:color="auto" w:fill="E6E7E8"/>
          </w:tcPr>
          <w:p>
            <w:pPr>
              <w:pStyle w:val="TableParagraph"/>
              <w:spacing w:before="32"/>
              <w:ind w:left="85"/>
              <w:rPr>
                <w:rFonts w:ascii="Verdana"/>
                <w:i/>
                <w:sz w:val="14"/>
              </w:rPr>
            </w:pPr>
            <w:r>
              <w:rPr>
                <w:rFonts w:ascii="Verdana"/>
                <w:i/>
                <w:w w:val="85"/>
                <w:sz w:val="14"/>
              </w:rPr>
              <w:t>%</w:t>
            </w:r>
            <w:r>
              <w:rPr>
                <w:rFonts w:ascii="Verdana"/>
                <w:i/>
                <w:sz w:val="14"/>
              </w:rPr>
              <w:t> </w:t>
            </w:r>
            <w:r>
              <w:rPr>
                <w:rFonts w:ascii="Verdana"/>
                <w:i/>
                <w:w w:val="85"/>
                <w:sz w:val="14"/>
              </w:rPr>
              <w:t>Higher</w:t>
            </w:r>
            <w:r>
              <w:rPr>
                <w:rFonts w:ascii="Verdana"/>
                <w:i/>
                <w:spacing w:val="1"/>
                <w:sz w:val="14"/>
              </w:rPr>
              <w:t> </w:t>
            </w:r>
            <w:r>
              <w:rPr>
                <w:rFonts w:ascii="Verdana"/>
                <w:i/>
                <w:w w:val="85"/>
                <w:sz w:val="14"/>
              </w:rPr>
              <w:t>degree</w:t>
            </w:r>
            <w:r>
              <w:rPr>
                <w:rFonts w:ascii="Verdana"/>
                <w:i/>
                <w:spacing w:val="1"/>
                <w:sz w:val="14"/>
              </w:rPr>
              <w:t> </w:t>
            </w:r>
            <w:r>
              <w:rPr>
                <w:rFonts w:ascii="Verdana"/>
                <w:i/>
                <w:spacing w:val="-2"/>
                <w:w w:val="85"/>
                <w:sz w:val="14"/>
              </w:rPr>
              <w:t>research</w:t>
            </w:r>
          </w:p>
        </w:tc>
        <w:tc>
          <w:tcPr>
            <w:tcW w:w="914" w:type="dxa"/>
            <w:tcBorders>
              <w:top w:val="single" w:sz="2" w:space="0" w:color="000000"/>
            </w:tcBorders>
          </w:tcPr>
          <w:p>
            <w:pPr>
              <w:pStyle w:val="TableParagraph"/>
              <w:spacing w:before="51"/>
              <w:ind w:right="53"/>
              <w:jc w:val="right"/>
              <w:rPr>
                <w:rFonts w:ascii="TT Norms Pro Light"/>
                <w:b w:val="0"/>
                <w:sz w:val="14"/>
              </w:rPr>
            </w:pPr>
            <w:r>
              <w:rPr>
                <w:rFonts w:ascii="TT Norms Pro Light"/>
                <w:b w:val="0"/>
                <w:spacing w:val="-5"/>
                <w:sz w:val="14"/>
              </w:rPr>
              <w:t>7.8</w:t>
            </w:r>
          </w:p>
        </w:tc>
        <w:tc>
          <w:tcPr>
            <w:tcW w:w="925" w:type="dxa"/>
            <w:tcBorders>
              <w:top w:val="single" w:sz="2" w:space="0" w:color="000000"/>
            </w:tcBorders>
            <w:shd w:val="clear" w:color="auto" w:fill="E6E7E8"/>
          </w:tcPr>
          <w:p>
            <w:pPr>
              <w:pStyle w:val="TableParagraph"/>
              <w:spacing w:before="51"/>
              <w:ind w:right="53"/>
              <w:jc w:val="right"/>
              <w:rPr>
                <w:rFonts w:ascii="TT Norms Pro Light"/>
                <w:b w:val="0"/>
                <w:sz w:val="14"/>
              </w:rPr>
            </w:pPr>
            <w:r>
              <w:rPr>
                <w:rFonts w:ascii="TT Norms Pro Light"/>
                <w:b w:val="0"/>
                <w:spacing w:val="-5"/>
                <w:sz w:val="14"/>
              </w:rPr>
              <w:t>8.1</w:t>
            </w:r>
          </w:p>
        </w:tc>
        <w:tc>
          <w:tcPr>
            <w:tcW w:w="925" w:type="dxa"/>
            <w:tcBorders>
              <w:top w:val="single" w:sz="2" w:space="0" w:color="000000"/>
            </w:tcBorders>
          </w:tcPr>
          <w:p>
            <w:pPr>
              <w:pStyle w:val="TableParagraph"/>
              <w:spacing w:before="51"/>
              <w:ind w:right="52"/>
              <w:jc w:val="right"/>
              <w:rPr>
                <w:rFonts w:ascii="TT Norms Pro Light"/>
                <w:b w:val="0"/>
                <w:sz w:val="14"/>
              </w:rPr>
            </w:pPr>
            <w:r>
              <w:rPr>
                <w:rFonts w:ascii="TT Norms Pro Light"/>
                <w:b w:val="0"/>
                <w:spacing w:val="-5"/>
                <w:sz w:val="14"/>
              </w:rPr>
              <w:t>8.0</w:t>
            </w:r>
          </w:p>
        </w:tc>
        <w:tc>
          <w:tcPr>
            <w:tcW w:w="925" w:type="dxa"/>
            <w:tcBorders>
              <w:top w:val="single" w:sz="2" w:space="0" w:color="000000"/>
            </w:tcBorders>
            <w:shd w:val="clear" w:color="auto" w:fill="E6E7E8"/>
          </w:tcPr>
          <w:p>
            <w:pPr>
              <w:pStyle w:val="TableParagraph"/>
              <w:spacing w:before="51"/>
              <w:ind w:right="53"/>
              <w:jc w:val="right"/>
              <w:rPr>
                <w:rFonts w:ascii="TT Norms Pro Light"/>
                <w:b w:val="0"/>
                <w:sz w:val="14"/>
              </w:rPr>
            </w:pPr>
            <w:r>
              <w:rPr>
                <w:rFonts w:ascii="TT Norms Pro Light"/>
                <w:b w:val="0"/>
                <w:spacing w:val="-5"/>
                <w:sz w:val="14"/>
              </w:rPr>
              <w:t>7.7</w:t>
            </w:r>
          </w:p>
        </w:tc>
        <w:tc>
          <w:tcPr>
            <w:tcW w:w="925" w:type="dxa"/>
            <w:tcBorders>
              <w:top w:val="single" w:sz="2" w:space="0" w:color="000000"/>
            </w:tcBorders>
          </w:tcPr>
          <w:p>
            <w:pPr>
              <w:pStyle w:val="TableParagraph"/>
              <w:spacing w:before="51"/>
              <w:ind w:right="52"/>
              <w:jc w:val="right"/>
              <w:rPr>
                <w:rFonts w:ascii="TT Norms Pro Light"/>
                <w:b w:val="0"/>
                <w:sz w:val="14"/>
              </w:rPr>
            </w:pPr>
            <w:r>
              <w:rPr>
                <w:rFonts w:ascii="TT Norms Pro Light"/>
                <w:b w:val="0"/>
                <w:spacing w:val="-5"/>
                <w:sz w:val="14"/>
              </w:rPr>
              <w:t>8.0</w:t>
            </w:r>
          </w:p>
        </w:tc>
        <w:tc>
          <w:tcPr>
            <w:tcW w:w="925" w:type="dxa"/>
            <w:tcBorders>
              <w:top w:val="single" w:sz="2" w:space="0" w:color="000000"/>
            </w:tcBorders>
            <w:shd w:val="clear" w:color="auto" w:fill="E6E7E8"/>
          </w:tcPr>
          <w:p>
            <w:pPr>
              <w:pStyle w:val="TableParagraph"/>
              <w:spacing w:before="51"/>
              <w:ind w:right="52"/>
              <w:jc w:val="right"/>
              <w:rPr>
                <w:rFonts w:ascii="TT Norms Pro Light"/>
                <w:b w:val="0"/>
                <w:sz w:val="14"/>
              </w:rPr>
            </w:pPr>
            <w:r>
              <w:rPr>
                <w:rFonts w:ascii="TT Norms Pro Light"/>
                <w:b w:val="0"/>
                <w:spacing w:val="-5"/>
                <w:sz w:val="14"/>
              </w:rPr>
              <w:t>8.2</w:t>
            </w:r>
          </w:p>
        </w:tc>
        <w:tc>
          <w:tcPr>
            <w:tcW w:w="925" w:type="dxa"/>
            <w:tcBorders>
              <w:top w:val="single" w:sz="2" w:space="0" w:color="000000"/>
            </w:tcBorders>
          </w:tcPr>
          <w:p>
            <w:pPr>
              <w:pStyle w:val="TableParagraph"/>
              <w:spacing w:before="51"/>
              <w:ind w:right="108"/>
              <w:jc w:val="right"/>
              <w:rPr>
                <w:rFonts w:ascii="TT Norms Pro Light"/>
                <w:b w:val="0"/>
                <w:sz w:val="14"/>
              </w:rPr>
            </w:pPr>
            <w:r>
              <w:rPr>
                <w:rFonts w:ascii="TT Norms Pro Light"/>
                <w:b w:val="0"/>
                <w:spacing w:val="-5"/>
                <w:sz w:val="14"/>
              </w:rPr>
              <w:t>8.0</w:t>
            </w:r>
          </w:p>
        </w:tc>
      </w:tr>
      <w:tr>
        <w:trPr>
          <w:trHeight w:val="251" w:hRule="atLeast"/>
        </w:trPr>
        <w:tc>
          <w:tcPr>
            <w:tcW w:w="3146" w:type="dxa"/>
            <w:shd w:val="clear" w:color="auto" w:fill="E6E7E8"/>
          </w:tcPr>
          <w:p>
            <w:pPr>
              <w:pStyle w:val="TableParagraph"/>
              <w:spacing w:before="49"/>
              <w:ind w:left="85"/>
              <w:rPr>
                <w:rFonts w:ascii="TT Norms Pro"/>
                <w:b/>
                <w:sz w:val="14"/>
              </w:rPr>
            </w:pPr>
            <w:r>
              <w:rPr>
                <w:rFonts w:ascii="TT Norms Pro"/>
                <w:b/>
                <w:sz w:val="14"/>
              </w:rPr>
              <w:t>POSTGRADUATE</w:t>
            </w:r>
            <w:r>
              <w:rPr>
                <w:rFonts w:ascii="TT Norms Pro"/>
                <w:b/>
                <w:spacing w:val="13"/>
                <w:sz w:val="14"/>
              </w:rPr>
              <w:t> </w:t>
            </w:r>
            <w:r>
              <w:rPr>
                <w:rFonts w:ascii="TT Norms Pro"/>
                <w:b/>
                <w:spacing w:val="-2"/>
                <w:sz w:val="14"/>
              </w:rPr>
              <w:t>COURSEWORK</w:t>
            </w:r>
          </w:p>
        </w:tc>
        <w:tc>
          <w:tcPr>
            <w:tcW w:w="914" w:type="dxa"/>
          </w:tcPr>
          <w:p>
            <w:pPr>
              <w:pStyle w:val="TableParagraph"/>
              <w:rPr>
                <w:rFonts w:ascii="Times New Roman"/>
                <w:sz w:val="14"/>
              </w:rPr>
            </w:pPr>
          </w:p>
        </w:tc>
        <w:tc>
          <w:tcPr>
            <w:tcW w:w="925" w:type="dxa"/>
            <w:shd w:val="clear" w:color="auto" w:fill="E6E7E8"/>
          </w:tcPr>
          <w:p>
            <w:pPr>
              <w:pStyle w:val="TableParagraph"/>
              <w:rPr>
                <w:rFonts w:ascii="Times New Roman"/>
                <w:sz w:val="14"/>
              </w:rPr>
            </w:pPr>
          </w:p>
        </w:tc>
        <w:tc>
          <w:tcPr>
            <w:tcW w:w="925" w:type="dxa"/>
          </w:tcPr>
          <w:p>
            <w:pPr>
              <w:pStyle w:val="TableParagraph"/>
              <w:rPr>
                <w:rFonts w:ascii="Times New Roman"/>
                <w:sz w:val="14"/>
              </w:rPr>
            </w:pPr>
          </w:p>
        </w:tc>
        <w:tc>
          <w:tcPr>
            <w:tcW w:w="925" w:type="dxa"/>
            <w:shd w:val="clear" w:color="auto" w:fill="E6E7E8"/>
          </w:tcPr>
          <w:p>
            <w:pPr>
              <w:pStyle w:val="TableParagraph"/>
              <w:rPr>
                <w:rFonts w:ascii="Times New Roman"/>
                <w:sz w:val="14"/>
              </w:rPr>
            </w:pPr>
          </w:p>
        </w:tc>
        <w:tc>
          <w:tcPr>
            <w:tcW w:w="925" w:type="dxa"/>
          </w:tcPr>
          <w:p>
            <w:pPr>
              <w:pStyle w:val="TableParagraph"/>
              <w:rPr>
                <w:rFonts w:ascii="Times New Roman"/>
                <w:sz w:val="14"/>
              </w:rPr>
            </w:pPr>
          </w:p>
        </w:tc>
        <w:tc>
          <w:tcPr>
            <w:tcW w:w="925" w:type="dxa"/>
            <w:shd w:val="clear" w:color="auto" w:fill="E6E7E8"/>
          </w:tcPr>
          <w:p>
            <w:pPr>
              <w:pStyle w:val="TableParagraph"/>
              <w:rPr>
                <w:rFonts w:ascii="Times New Roman"/>
                <w:sz w:val="14"/>
              </w:rPr>
            </w:pPr>
          </w:p>
        </w:tc>
        <w:tc>
          <w:tcPr>
            <w:tcW w:w="925" w:type="dxa"/>
          </w:tcPr>
          <w:p>
            <w:pPr>
              <w:pStyle w:val="TableParagraph"/>
              <w:rPr>
                <w:rFonts w:ascii="Times New Roman"/>
                <w:sz w:val="14"/>
              </w:rPr>
            </w:pPr>
          </w:p>
        </w:tc>
      </w:tr>
      <w:tr>
        <w:trPr>
          <w:trHeight w:val="259" w:hRule="atLeast"/>
        </w:trPr>
        <w:tc>
          <w:tcPr>
            <w:tcW w:w="3146" w:type="dxa"/>
            <w:shd w:val="clear" w:color="auto" w:fill="E6E7E8"/>
          </w:tcPr>
          <w:p>
            <w:pPr>
              <w:pStyle w:val="TableParagraph"/>
              <w:spacing w:before="53"/>
              <w:ind w:left="85"/>
              <w:rPr>
                <w:rFonts w:ascii="TT Norms Pro"/>
                <w:sz w:val="14"/>
              </w:rPr>
            </w:pPr>
            <w:r>
              <w:rPr>
                <w:rFonts w:ascii="TT Norms Pro"/>
                <w:sz w:val="14"/>
              </w:rPr>
              <w:t>Postgraduate</w:t>
            </w:r>
            <w:r>
              <w:rPr>
                <w:rFonts w:ascii="TT Norms Pro"/>
                <w:spacing w:val="24"/>
                <w:sz w:val="14"/>
              </w:rPr>
              <w:t> </w:t>
            </w:r>
            <w:r>
              <w:rPr>
                <w:rFonts w:ascii="TT Norms Pro"/>
                <w:sz w:val="14"/>
              </w:rPr>
              <w:t>cross-</w:t>
            </w:r>
            <w:r>
              <w:rPr>
                <w:rFonts w:ascii="TT Norms Pro"/>
                <w:spacing w:val="-2"/>
                <w:sz w:val="14"/>
              </w:rPr>
              <w:t>institutional</w:t>
            </w:r>
          </w:p>
        </w:tc>
        <w:tc>
          <w:tcPr>
            <w:tcW w:w="914" w:type="dxa"/>
          </w:tcPr>
          <w:p>
            <w:pPr>
              <w:pStyle w:val="TableParagraph"/>
              <w:spacing w:before="64"/>
              <w:ind w:right="53"/>
              <w:jc w:val="right"/>
              <w:rPr>
                <w:rFonts w:ascii="TT Norms Pro Light"/>
                <w:b w:val="0"/>
                <w:sz w:val="14"/>
              </w:rPr>
            </w:pPr>
            <w:r>
              <w:rPr>
                <w:rFonts w:ascii="TT Norms Pro Light"/>
                <w:b w:val="0"/>
                <w:spacing w:val="-5"/>
                <w:sz w:val="14"/>
              </w:rPr>
              <w:t>110</w:t>
            </w:r>
          </w:p>
        </w:tc>
        <w:tc>
          <w:tcPr>
            <w:tcW w:w="925" w:type="dxa"/>
            <w:shd w:val="clear" w:color="auto" w:fill="E6E7E8"/>
          </w:tcPr>
          <w:p>
            <w:pPr>
              <w:pStyle w:val="TableParagraph"/>
              <w:spacing w:before="64"/>
              <w:ind w:right="53"/>
              <w:jc w:val="right"/>
              <w:rPr>
                <w:rFonts w:ascii="TT Norms Pro Light"/>
                <w:b w:val="0"/>
                <w:sz w:val="14"/>
              </w:rPr>
            </w:pPr>
            <w:r>
              <w:rPr>
                <w:rFonts w:ascii="TT Norms Pro Light"/>
                <w:b w:val="0"/>
                <w:spacing w:val="-5"/>
                <w:sz w:val="14"/>
              </w:rPr>
              <w:t>131</w:t>
            </w:r>
          </w:p>
        </w:tc>
        <w:tc>
          <w:tcPr>
            <w:tcW w:w="925" w:type="dxa"/>
          </w:tcPr>
          <w:p>
            <w:pPr>
              <w:pStyle w:val="TableParagraph"/>
              <w:spacing w:before="64"/>
              <w:ind w:right="50"/>
              <w:jc w:val="right"/>
              <w:rPr>
                <w:rFonts w:ascii="TT Norms Pro Light"/>
                <w:b w:val="0"/>
                <w:sz w:val="14"/>
              </w:rPr>
            </w:pPr>
            <w:r>
              <w:rPr>
                <w:rFonts w:ascii="TT Norms Pro Light"/>
                <w:b w:val="0"/>
                <w:spacing w:val="-5"/>
                <w:sz w:val="14"/>
              </w:rPr>
              <w:t>142</w:t>
            </w:r>
          </w:p>
        </w:tc>
        <w:tc>
          <w:tcPr>
            <w:tcW w:w="925" w:type="dxa"/>
            <w:shd w:val="clear" w:color="auto" w:fill="E6E7E8"/>
          </w:tcPr>
          <w:p>
            <w:pPr>
              <w:pStyle w:val="TableParagraph"/>
              <w:spacing w:before="64"/>
              <w:ind w:right="53"/>
              <w:jc w:val="right"/>
              <w:rPr>
                <w:rFonts w:ascii="TT Norms Pro Light"/>
                <w:b w:val="0"/>
                <w:sz w:val="14"/>
              </w:rPr>
            </w:pPr>
            <w:r>
              <w:rPr>
                <w:rFonts w:ascii="TT Norms Pro Light"/>
                <w:b w:val="0"/>
                <w:spacing w:val="-5"/>
                <w:sz w:val="14"/>
              </w:rPr>
              <w:t>138</w:t>
            </w:r>
          </w:p>
        </w:tc>
        <w:tc>
          <w:tcPr>
            <w:tcW w:w="925" w:type="dxa"/>
          </w:tcPr>
          <w:p>
            <w:pPr>
              <w:pStyle w:val="TableParagraph"/>
              <w:spacing w:before="64"/>
              <w:ind w:right="51"/>
              <w:jc w:val="right"/>
              <w:rPr>
                <w:rFonts w:ascii="TT Norms Pro Light"/>
                <w:b w:val="0"/>
                <w:sz w:val="14"/>
              </w:rPr>
            </w:pPr>
            <w:r>
              <w:rPr>
                <w:rFonts w:ascii="TT Norms Pro Light"/>
                <w:b w:val="0"/>
                <w:spacing w:val="-5"/>
                <w:sz w:val="14"/>
              </w:rPr>
              <w:t>147</w:t>
            </w:r>
          </w:p>
        </w:tc>
        <w:tc>
          <w:tcPr>
            <w:tcW w:w="925" w:type="dxa"/>
            <w:shd w:val="clear" w:color="auto" w:fill="E6E7E8"/>
          </w:tcPr>
          <w:p>
            <w:pPr>
              <w:pStyle w:val="TableParagraph"/>
              <w:spacing w:before="64"/>
              <w:ind w:right="52"/>
              <w:jc w:val="right"/>
              <w:rPr>
                <w:rFonts w:ascii="TT Norms Pro Light"/>
                <w:b w:val="0"/>
                <w:sz w:val="14"/>
              </w:rPr>
            </w:pPr>
            <w:r>
              <w:rPr>
                <w:rFonts w:ascii="TT Norms Pro Light"/>
                <w:b w:val="0"/>
                <w:spacing w:val="-5"/>
                <w:sz w:val="14"/>
              </w:rPr>
              <w:t>124</w:t>
            </w:r>
          </w:p>
        </w:tc>
        <w:tc>
          <w:tcPr>
            <w:tcW w:w="925" w:type="dxa"/>
          </w:tcPr>
          <w:p>
            <w:pPr>
              <w:pStyle w:val="TableParagraph"/>
              <w:spacing w:before="64"/>
              <w:ind w:right="109"/>
              <w:jc w:val="right"/>
              <w:rPr>
                <w:rFonts w:ascii="TT Norms Pro Light"/>
                <w:b w:val="0"/>
                <w:sz w:val="14"/>
              </w:rPr>
            </w:pPr>
            <w:r>
              <w:rPr>
                <w:rFonts w:ascii="TT Norms Pro Light"/>
                <w:b w:val="0"/>
                <w:spacing w:val="-5"/>
                <w:sz w:val="14"/>
              </w:rPr>
              <w:t>50</w:t>
            </w:r>
          </w:p>
        </w:tc>
      </w:tr>
      <w:tr>
        <w:trPr>
          <w:trHeight w:val="255" w:hRule="atLeast"/>
        </w:trPr>
        <w:tc>
          <w:tcPr>
            <w:tcW w:w="3146" w:type="dxa"/>
            <w:shd w:val="clear" w:color="auto" w:fill="E6E7E8"/>
          </w:tcPr>
          <w:p>
            <w:pPr>
              <w:pStyle w:val="TableParagraph"/>
              <w:spacing w:before="48"/>
              <w:ind w:left="85"/>
              <w:rPr>
                <w:rFonts w:ascii="TT Norms Pro"/>
                <w:sz w:val="14"/>
              </w:rPr>
            </w:pPr>
            <w:r>
              <w:rPr>
                <w:rFonts w:ascii="TT Norms Pro"/>
                <w:sz w:val="14"/>
              </w:rPr>
              <w:t>Doctorate</w:t>
            </w:r>
            <w:r>
              <w:rPr>
                <w:rFonts w:ascii="TT Norms Pro"/>
                <w:spacing w:val="7"/>
                <w:sz w:val="14"/>
              </w:rPr>
              <w:t> </w:t>
            </w:r>
            <w:r>
              <w:rPr>
                <w:rFonts w:ascii="TT Norms Pro"/>
                <w:sz w:val="14"/>
              </w:rPr>
              <w:t>by</w:t>
            </w:r>
            <w:r>
              <w:rPr>
                <w:rFonts w:ascii="TT Norms Pro"/>
                <w:spacing w:val="8"/>
                <w:sz w:val="14"/>
              </w:rPr>
              <w:t> </w:t>
            </w:r>
            <w:r>
              <w:rPr>
                <w:rFonts w:ascii="TT Norms Pro"/>
                <w:spacing w:val="-2"/>
                <w:sz w:val="14"/>
              </w:rPr>
              <w:t>coursework</w:t>
            </w:r>
          </w:p>
        </w:tc>
        <w:tc>
          <w:tcPr>
            <w:tcW w:w="914" w:type="dxa"/>
          </w:tcPr>
          <w:p>
            <w:pPr>
              <w:pStyle w:val="TableParagraph"/>
              <w:spacing w:before="60"/>
              <w:ind w:right="49"/>
              <w:jc w:val="right"/>
              <w:rPr>
                <w:rFonts w:ascii="TT Norms Pro Light"/>
                <w:b w:val="0"/>
                <w:sz w:val="14"/>
              </w:rPr>
            </w:pPr>
            <w:r>
              <w:rPr>
                <w:rFonts w:ascii="TT Norms Pro Light"/>
                <w:b w:val="0"/>
                <w:spacing w:val="-5"/>
                <w:sz w:val="14"/>
              </w:rPr>
              <w:t>21</w:t>
            </w:r>
          </w:p>
        </w:tc>
        <w:tc>
          <w:tcPr>
            <w:tcW w:w="925" w:type="dxa"/>
            <w:shd w:val="clear" w:color="auto" w:fill="E6E7E8"/>
          </w:tcPr>
          <w:p>
            <w:pPr>
              <w:pStyle w:val="TableParagraph"/>
              <w:spacing w:before="60"/>
              <w:ind w:right="53"/>
              <w:jc w:val="right"/>
              <w:rPr>
                <w:rFonts w:ascii="TT Norms Pro Light"/>
                <w:b w:val="0"/>
                <w:sz w:val="14"/>
              </w:rPr>
            </w:pPr>
            <w:r>
              <w:rPr>
                <w:rFonts w:ascii="TT Norms Pro Light"/>
                <w:b w:val="0"/>
                <w:spacing w:val="-10"/>
                <w:sz w:val="14"/>
              </w:rPr>
              <w:t>7</w:t>
            </w:r>
          </w:p>
        </w:tc>
        <w:tc>
          <w:tcPr>
            <w:tcW w:w="925" w:type="dxa"/>
          </w:tcPr>
          <w:p>
            <w:pPr>
              <w:pStyle w:val="TableParagraph"/>
              <w:spacing w:before="60"/>
              <w:ind w:right="53"/>
              <w:jc w:val="right"/>
              <w:rPr>
                <w:rFonts w:ascii="TT Norms Pro Light"/>
                <w:b w:val="0"/>
                <w:sz w:val="14"/>
              </w:rPr>
            </w:pPr>
            <w:r>
              <w:rPr>
                <w:rFonts w:ascii="TT Norms Pro Light"/>
                <w:b w:val="0"/>
                <w:spacing w:val="-10"/>
                <w:sz w:val="14"/>
              </w:rPr>
              <w:t>1</w:t>
            </w:r>
          </w:p>
        </w:tc>
        <w:tc>
          <w:tcPr>
            <w:tcW w:w="925" w:type="dxa"/>
            <w:shd w:val="clear" w:color="auto" w:fill="E6E7E8"/>
          </w:tcPr>
          <w:p>
            <w:pPr>
              <w:pStyle w:val="TableParagraph"/>
              <w:spacing w:before="60"/>
              <w:ind w:right="53"/>
              <w:jc w:val="right"/>
              <w:rPr>
                <w:rFonts w:ascii="TT Norms Pro Light"/>
                <w:b w:val="0"/>
                <w:sz w:val="14"/>
              </w:rPr>
            </w:pPr>
            <w:r>
              <w:rPr>
                <w:rFonts w:ascii="TT Norms Pro Light"/>
                <w:b w:val="0"/>
                <w:spacing w:val="-10"/>
                <w:sz w:val="14"/>
              </w:rPr>
              <w:t>1</w:t>
            </w:r>
          </w:p>
        </w:tc>
        <w:tc>
          <w:tcPr>
            <w:tcW w:w="925" w:type="dxa"/>
          </w:tcPr>
          <w:p>
            <w:pPr>
              <w:pStyle w:val="TableParagraph"/>
              <w:spacing w:before="60"/>
              <w:ind w:right="53"/>
              <w:jc w:val="right"/>
              <w:rPr>
                <w:rFonts w:ascii="TT Norms Pro Light"/>
                <w:b w:val="0"/>
                <w:sz w:val="14"/>
              </w:rPr>
            </w:pPr>
            <w:r>
              <w:rPr>
                <w:rFonts w:ascii="TT Norms Pro Light"/>
                <w:b w:val="0"/>
                <w:spacing w:val="-10"/>
                <w:w w:val="95"/>
                <w:sz w:val="14"/>
              </w:rPr>
              <w:t>0</w:t>
            </w:r>
          </w:p>
        </w:tc>
        <w:tc>
          <w:tcPr>
            <w:tcW w:w="925" w:type="dxa"/>
            <w:shd w:val="clear" w:color="auto" w:fill="E6E7E8"/>
          </w:tcPr>
          <w:p>
            <w:pPr>
              <w:pStyle w:val="TableParagraph"/>
              <w:spacing w:before="60"/>
              <w:ind w:right="53"/>
              <w:jc w:val="right"/>
              <w:rPr>
                <w:rFonts w:ascii="TT Norms Pro Light"/>
                <w:b w:val="0"/>
                <w:sz w:val="14"/>
              </w:rPr>
            </w:pPr>
            <w:r>
              <w:rPr>
                <w:rFonts w:ascii="TT Norms Pro Light"/>
                <w:b w:val="0"/>
                <w:spacing w:val="-10"/>
                <w:w w:val="95"/>
                <w:sz w:val="14"/>
              </w:rPr>
              <w:t>0</w:t>
            </w:r>
          </w:p>
        </w:tc>
        <w:tc>
          <w:tcPr>
            <w:tcW w:w="925" w:type="dxa"/>
          </w:tcPr>
          <w:p>
            <w:pPr>
              <w:pStyle w:val="TableParagraph"/>
              <w:spacing w:before="60"/>
              <w:ind w:right="109"/>
              <w:jc w:val="right"/>
              <w:rPr>
                <w:rFonts w:ascii="TT Norms Pro Light"/>
                <w:b w:val="0"/>
                <w:sz w:val="14"/>
              </w:rPr>
            </w:pPr>
            <w:r>
              <w:rPr>
                <w:rFonts w:ascii="TT Norms Pro Light"/>
                <w:b w:val="0"/>
                <w:spacing w:val="-10"/>
                <w:w w:val="95"/>
                <w:sz w:val="14"/>
              </w:rPr>
              <w:t>0</w:t>
            </w:r>
          </w:p>
        </w:tc>
      </w:tr>
      <w:tr>
        <w:trPr>
          <w:trHeight w:val="255" w:hRule="atLeast"/>
        </w:trPr>
        <w:tc>
          <w:tcPr>
            <w:tcW w:w="3146" w:type="dxa"/>
            <w:shd w:val="clear" w:color="auto" w:fill="E6E7E8"/>
          </w:tcPr>
          <w:p>
            <w:pPr>
              <w:pStyle w:val="TableParagraph"/>
              <w:spacing w:before="48"/>
              <w:ind w:left="84"/>
              <w:rPr>
                <w:rFonts w:ascii="TT Norms Pro"/>
                <w:sz w:val="14"/>
              </w:rPr>
            </w:pPr>
            <w:r>
              <w:rPr>
                <w:rFonts w:ascii="TT Norms Pro"/>
                <w:sz w:val="14"/>
              </w:rPr>
              <w:t>Graduate</w:t>
            </w:r>
            <w:r>
              <w:rPr>
                <w:rFonts w:ascii="TT Norms Pro"/>
                <w:spacing w:val="11"/>
                <w:sz w:val="14"/>
              </w:rPr>
              <w:t> </w:t>
            </w:r>
            <w:r>
              <w:rPr>
                <w:rFonts w:ascii="TT Norms Pro"/>
                <w:spacing w:val="-2"/>
                <w:sz w:val="14"/>
              </w:rPr>
              <w:t>certificate</w:t>
            </w:r>
          </w:p>
        </w:tc>
        <w:tc>
          <w:tcPr>
            <w:tcW w:w="914" w:type="dxa"/>
          </w:tcPr>
          <w:p>
            <w:pPr>
              <w:pStyle w:val="TableParagraph"/>
              <w:spacing w:before="60"/>
              <w:ind w:right="53"/>
              <w:jc w:val="right"/>
              <w:rPr>
                <w:rFonts w:ascii="TT Norms Pro Light"/>
                <w:b w:val="0"/>
                <w:sz w:val="14"/>
              </w:rPr>
            </w:pPr>
            <w:r>
              <w:rPr>
                <w:rFonts w:ascii="TT Norms Pro Light"/>
                <w:b w:val="0"/>
                <w:spacing w:val="-5"/>
                <w:sz w:val="14"/>
              </w:rPr>
              <w:t>193</w:t>
            </w:r>
          </w:p>
        </w:tc>
        <w:tc>
          <w:tcPr>
            <w:tcW w:w="925" w:type="dxa"/>
            <w:shd w:val="clear" w:color="auto" w:fill="E6E7E8"/>
          </w:tcPr>
          <w:p>
            <w:pPr>
              <w:pStyle w:val="TableParagraph"/>
              <w:spacing w:before="60"/>
              <w:ind w:right="53"/>
              <w:jc w:val="right"/>
              <w:rPr>
                <w:rFonts w:ascii="TT Norms Pro Light"/>
                <w:b w:val="0"/>
                <w:sz w:val="14"/>
              </w:rPr>
            </w:pPr>
            <w:r>
              <w:rPr>
                <w:rFonts w:ascii="TT Norms Pro Light"/>
                <w:b w:val="0"/>
                <w:spacing w:val="-5"/>
                <w:sz w:val="14"/>
              </w:rPr>
              <w:t>244</w:t>
            </w:r>
          </w:p>
        </w:tc>
        <w:tc>
          <w:tcPr>
            <w:tcW w:w="925" w:type="dxa"/>
          </w:tcPr>
          <w:p>
            <w:pPr>
              <w:pStyle w:val="TableParagraph"/>
              <w:spacing w:before="60"/>
              <w:ind w:right="51"/>
              <w:jc w:val="right"/>
              <w:rPr>
                <w:rFonts w:ascii="TT Norms Pro Light"/>
                <w:b w:val="0"/>
                <w:sz w:val="14"/>
              </w:rPr>
            </w:pPr>
            <w:r>
              <w:rPr>
                <w:rFonts w:ascii="TT Norms Pro Light"/>
                <w:b w:val="0"/>
                <w:spacing w:val="-5"/>
                <w:sz w:val="14"/>
              </w:rPr>
              <w:t>314</w:t>
            </w:r>
          </w:p>
        </w:tc>
        <w:tc>
          <w:tcPr>
            <w:tcW w:w="925" w:type="dxa"/>
            <w:shd w:val="clear" w:color="auto" w:fill="E6E7E8"/>
          </w:tcPr>
          <w:p>
            <w:pPr>
              <w:pStyle w:val="TableParagraph"/>
              <w:spacing w:before="60"/>
              <w:ind w:right="51"/>
              <w:jc w:val="right"/>
              <w:rPr>
                <w:rFonts w:ascii="TT Norms Pro Light"/>
                <w:b w:val="0"/>
                <w:sz w:val="14"/>
              </w:rPr>
            </w:pPr>
            <w:r>
              <w:rPr>
                <w:rFonts w:ascii="TT Norms Pro Light"/>
                <w:b w:val="0"/>
                <w:spacing w:val="-5"/>
                <w:sz w:val="14"/>
              </w:rPr>
              <w:t>352</w:t>
            </w:r>
          </w:p>
        </w:tc>
        <w:tc>
          <w:tcPr>
            <w:tcW w:w="925" w:type="dxa"/>
          </w:tcPr>
          <w:p>
            <w:pPr>
              <w:pStyle w:val="TableParagraph"/>
              <w:spacing w:before="60"/>
              <w:ind w:right="49"/>
              <w:jc w:val="right"/>
              <w:rPr>
                <w:rFonts w:ascii="TT Norms Pro Light"/>
                <w:b w:val="0"/>
                <w:sz w:val="14"/>
              </w:rPr>
            </w:pPr>
            <w:r>
              <w:rPr>
                <w:rFonts w:ascii="TT Norms Pro Light"/>
                <w:b w:val="0"/>
                <w:spacing w:val="-5"/>
                <w:sz w:val="14"/>
              </w:rPr>
              <w:t>343</w:t>
            </w:r>
          </w:p>
        </w:tc>
        <w:tc>
          <w:tcPr>
            <w:tcW w:w="925" w:type="dxa"/>
            <w:shd w:val="clear" w:color="auto" w:fill="E6E7E8"/>
          </w:tcPr>
          <w:p>
            <w:pPr>
              <w:pStyle w:val="TableParagraph"/>
              <w:spacing w:before="60"/>
              <w:ind w:right="55"/>
              <w:jc w:val="right"/>
              <w:rPr>
                <w:rFonts w:ascii="TT Norms Pro Light"/>
                <w:b w:val="0"/>
                <w:sz w:val="14"/>
              </w:rPr>
            </w:pPr>
            <w:r>
              <w:rPr>
                <w:rFonts w:ascii="TT Norms Pro Light"/>
                <w:b w:val="0"/>
                <w:spacing w:val="-5"/>
                <w:sz w:val="14"/>
              </w:rPr>
              <w:t>394</w:t>
            </w:r>
          </w:p>
        </w:tc>
        <w:tc>
          <w:tcPr>
            <w:tcW w:w="925" w:type="dxa"/>
          </w:tcPr>
          <w:p>
            <w:pPr>
              <w:pStyle w:val="TableParagraph"/>
              <w:spacing w:before="60"/>
              <w:ind w:right="109"/>
              <w:jc w:val="right"/>
              <w:rPr>
                <w:rFonts w:ascii="TT Norms Pro Light"/>
                <w:b w:val="0"/>
                <w:sz w:val="14"/>
              </w:rPr>
            </w:pPr>
            <w:r>
              <w:rPr>
                <w:rFonts w:ascii="TT Norms Pro Light"/>
                <w:b w:val="0"/>
                <w:spacing w:val="-5"/>
                <w:sz w:val="14"/>
              </w:rPr>
              <w:t>529</w:t>
            </w:r>
          </w:p>
        </w:tc>
      </w:tr>
      <w:tr>
        <w:trPr>
          <w:trHeight w:val="255" w:hRule="atLeast"/>
        </w:trPr>
        <w:tc>
          <w:tcPr>
            <w:tcW w:w="3146" w:type="dxa"/>
            <w:shd w:val="clear" w:color="auto" w:fill="E6E7E8"/>
          </w:tcPr>
          <w:p>
            <w:pPr>
              <w:pStyle w:val="TableParagraph"/>
              <w:spacing w:before="48"/>
              <w:ind w:left="85"/>
              <w:rPr>
                <w:rFonts w:ascii="TT Norms Pro"/>
                <w:sz w:val="14"/>
              </w:rPr>
            </w:pPr>
            <w:r>
              <w:rPr>
                <w:rFonts w:ascii="TT Norms Pro"/>
                <w:sz w:val="14"/>
              </w:rPr>
              <w:t>Graduate</w:t>
            </w:r>
            <w:r>
              <w:rPr>
                <w:rFonts w:ascii="TT Norms Pro"/>
                <w:spacing w:val="11"/>
                <w:sz w:val="14"/>
              </w:rPr>
              <w:t> </w:t>
            </w:r>
            <w:r>
              <w:rPr>
                <w:rFonts w:ascii="TT Norms Pro"/>
                <w:spacing w:val="-2"/>
                <w:sz w:val="14"/>
              </w:rPr>
              <w:t>diploma</w:t>
            </w:r>
          </w:p>
        </w:tc>
        <w:tc>
          <w:tcPr>
            <w:tcW w:w="914" w:type="dxa"/>
          </w:tcPr>
          <w:p>
            <w:pPr>
              <w:pStyle w:val="TableParagraph"/>
              <w:spacing w:before="60"/>
              <w:ind w:right="55"/>
              <w:jc w:val="right"/>
              <w:rPr>
                <w:rFonts w:ascii="TT Norms Pro Light"/>
                <w:b w:val="0"/>
                <w:sz w:val="14"/>
              </w:rPr>
            </w:pPr>
            <w:r>
              <w:rPr>
                <w:rFonts w:ascii="TT Norms Pro Light"/>
                <w:b w:val="0"/>
                <w:spacing w:val="-5"/>
                <w:sz w:val="14"/>
              </w:rPr>
              <w:t>467</w:t>
            </w:r>
          </w:p>
        </w:tc>
        <w:tc>
          <w:tcPr>
            <w:tcW w:w="925" w:type="dxa"/>
            <w:shd w:val="clear" w:color="auto" w:fill="E6E7E8"/>
          </w:tcPr>
          <w:p>
            <w:pPr>
              <w:pStyle w:val="TableParagraph"/>
              <w:spacing w:before="60"/>
              <w:ind w:right="53"/>
              <w:jc w:val="right"/>
              <w:rPr>
                <w:rFonts w:ascii="TT Norms Pro Light"/>
                <w:b w:val="0"/>
                <w:sz w:val="14"/>
              </w:rPr>
            </w:pPr>
            <w:r>
              <w:rPr>
                <w:rFonts w:ascii="TT Norms Pro Light"/>
                <w:b w:val="0"/>
                <w:spacing w:val="-5"/>
                <w:sz w:val="14"/>
              </w:rPr>
              <w:t>508</w:t>
            </w:r>
          </w:p>
        </w:tc>
        <w:tc>
          <w:tcPr>
            <w:tcW w:w="925" w:type="dxa"/>
          </w:tcPr>
          <w:p>
            <w:pPr>
              <w:pStyle w:val="TableParagraph"/>
              <w:spacing w:before="60"/>
              <w:ind w:right="54"/>
              <w:jc w:val="right"/>
              <w:rPr>
                <w:rFonts w:ascii="TT Norms Pro Light"/>
                <w:b w:val="0"/>
                <w:sz w:val="14"/>
              </w:rPr>
            </w:pPr>
            <w:r>
              <w:rPr>
                <w:rFonts w:ascii="TT Norms Pro Light"/>
                <w:b w:val="0"/>
                <w:spacing w:val="-5"/>
                <w:sz w:val="14"/>
              </w:rPr>
              <w:t>569</w:t>
            </w:r>
          </w:p>
        </w:tc>
        <w:tc>
          <w:tcPr>
            <w:tcW w:w="925" w:type="dxa"/>
            <w:shd w:val="clear" w:color="auto" w:fill="E6E7E8"/>
          </w:tcPr>
          <w:p>
            <w:pPr>
              <w:pStyle w:val="TableParagraph"/>
              <w:spacing w:before="60"/>
              <w:ind w:right="53"/>
              <w:jc w:val="right"/>
              <w:rPr>
                <w:rFonts w:ascii="TT Norms Pro Light"/>
                <w:b w:val="0"/>
                <w:sz w:val="14"/>
              </w:rPr>
            </w:pPr>
            <w:r>
              <w:rPr>
                <w:rFonts w:ascii="TT Norms Pro Light"/>
                <w:b w:val="0"/>
                <w:spacing w:val="-5"/>
                <w:sz w:val="14"/>
              </w:rPr>
              <w:t>550</w:t>
            </w:r>
          </w:p>
        </w:tc>
        <w:tc>
          <w:tcPr>
            <w:tcW w:w="925" w:type="dxa"/>
          </w:tcPr>
          <w:p>
            <w:pPr>
              <w:pStyle w:val="TableParagraph"/>
              <w:spacing w:before="60"/>
              <w:ind w:right="53"/>
              <w:jc w:val="right"/>
              <w:rPr>
                <w:rFonts w:ascii="TT Norms Pro Light"/>
                <w:b w:val="0"/>
                <w:sz w:val="14"/>
              </w:rPr>
            </w:pPr>
            <w:r>
              <w:rPr>
                <w:rFonts w:ascii="TT Norms Pro Light"/>
                <w:b w:val="0"/>
                <w:spacing w:val="-5"/>
                <w:sz w:val="14"/>
              </w:rPr>
              <w:t>255</w:t>
            </w:r>
          </w:p>
        </w:tc>
        <w:tc>
          <w:tcPr>
            <w:tcW w:w="925" w:type="dxa"/>
            <w:shd w:val="clear" w:color="auto" w:fill="E6E7E8"/>
          </w:tcPr>
          <w:p>
            <w:pPr>
              <w:pStyle w:val="TableParagraph"/>
              <w:spacing w:before="60"/>
              <w:ind w:right="52"/>
              <w:jc w:val="right"/>
              <w:rPr>
                <w:rFonts w:ascii="TT Norms Pro Light"/>
                <w:b w:val="0"/>
                <w:sz w:val="14"/>
              </w:rPr>
            </w:pPr>
            <w:r>
              <w:rPr>
                <w:rFonts w:ascii="TT Norms Pro Light"/>
                <w:b w:val="0"/>
                <w:spacing w:val="-5"/>
                <w:sz w:val="14"/>
              </w:rPr>
              <w:t>148</w:t>
            </w:r>
          </w:p>
        </w:tc>
        <w:tc>
          <w:tcPr>
            <w:tcW w:w="925" w:type="dxa"/>
          </w:tcPr>
          <w:p>
            <w:pPr>
              <w:pStyle w:val="TableParagraph"/>
              <w:spacing w:before="60"/>
              <w:ind w:right="104"/>
              <w:jc w:val="right"/>
              <w:rPr>
                <w:rFonts w:ascii="TT Norms Pro Light"/>
                <w:b w:val="0"/>
                <w:sz w:val="14"/>
              </w:rPr>
            </w:pPr>
            <w:r>
              <w:rPr>
                <w:rFonts w:ascii="TT Norms Pro Light"/>
                <w:b w:val="0"/>
                <w:spacing w:val="-5"/>
                <w:sz w:val="14"/>
              </w:rPr>
              <w:t>101</w:t>
            </w:r>
          </w:p>
        </w:tc>
      </w:tr>
      <w:tr>
        <w:trPr>
          <w:trHeight w:val="255" w:hRule="atLeast"/>
        </w:trPr>
        <w:tc>
          <w:tcPr>
            <w:tcW w:w="3146" w:type="dxa"/>
            <w:shd w:val="clear" w:color="auto" w:fill="E6E7E8"/>
          </w:tcPr>
          <w:p>
            <w:pPr>
              <w:pStyle w:val="TableParagraph"/>
              <w:spacing w:before="48"/>
              <w:ind w:left="85"/>
              <w:rPr>
                <w:rFonts w:ascii="TT Norms Pro"/>
                <w:sz w:val="14"/>
              </w:rPr>
            </w:pPr>
            <w:r>
              <w:rPr>
                <w:rFonts w:ascii="TT Norms Pro"/>
                <w:sz w:val="14"/>
              </w:rPr>
              <w:t>Master's</w:t>
            </w:r>
            <w:r>
              <w:rPr>
                <w:rFonts w:ascii="TT Norms Pro"/>
                <w:spacing w:val="6"/>
                <w:sz w:val="14"/>
              </w:rPr>
              <w:t> </w:t>
            </w:r>
            <w:r>
              <w:rPr>
                <w:rFonts w:ascii="TT Norms Pro"/>
                <w:sz w:val="14"/>
              </w:rPr>
              <w:t>degree</w:t>
            </w:r>
            <w:r>
              <w:rPr>
                <w:rFonts w:ascii="TT Norms Pro"/>
                <w:spacing w:val="9"/>
                <w:sz w:val="14"/>
              </w:rPr>
              <w:t> </w:t>
            </w:r>
            <w:r>
              <w:rPr>
                <w:rFonts w:ascii="TT Norms Pro"/>
                <w:sz w:val="14"/>
              </w:rPr>
              <w:t>by</w:t>
            </w:r>
            <w:r>
              <w:rPr>
                <w:rFonts w:ascii="TT Norms Pro"/>
                <w:spacing w:val="9"/>
                <w:sz w:val="14"/>
              </w:rPr>
              <w:t> </w:t>
            </w:r>
            <w:r>
              <w:rPr>
                <w:rFonts w:ascii="TT Norms Pro"/>
                <w:spacing w:val="-2"/>
                <w:sz w:val="14"/>
              </w:rPr>
              <w:t>coursework</w:t>
            </w:r>
          </w:p>
        </w:tc>
        <w:tc>
          <w:tcPr>
            <w:tcW w:w="914" w:type="dxa"/>
          </w:tcPr>
          <w:p>
            <w:pPr>
              <w:pStyle w:val="TableParagraph"/>
              <w:spacing w:before="60"/>
              <w:ind w:right="53"/>
              <w:jc w:val="right"/>
              <w:rPr>
                <w:rFonts w:ascii="TT Norms Pro Light"/>
                <w:b w:val="0"/>
                <w:sz w:val="14"/>
              </w:rPr>
            </w:pPr>
            <w:r>
              <w:rPr>
                <w:rFonts w:ascii="TT Norms Pro Light"/>
                <w:b w:val="0"/>
                <w:spacing w:val="-2"/>
                <w:sz w:val="14"/>
              </w:rPr>
              <w:t>3,005</w:t>
            </w:r>
          </w:p>
        </w:tc>
        <w:tc>
          <w:tcPr>
            <w:tcW w:w="925" w:type="dxa"/>
            <w:shd w:val="clear" w:color="auto" w:fill="E6E7E8"/>
          </w:tcPr>
          <w:p>
            <w:pPr>
              <w:pStyle w:val="TableParagraph"/>
              <w:spacing w:before="60"/>
              <w:ind w:right="53"/>
              <w:jc w:val="right"/>
              <w:rPr>
                <w:rFonts w:ascii="TT Norms Pro Light"/>
                <w:b w:val="0"/>
                <w:sz w:val="14"/>
              </w:rPr>
            </w:pPr>
            <w:r>
              <w:rPr>
                <w:rFonts w:ascii="TT Norms Pro Light"/>
                <w:b w:val="0"/>
                <w:spacing w:val="-2"/>
                <w:sz w:val="14"/>
              </w:rPr>
              <w:t>3,909</w:t>
            </w:r>
          </w:p>
        </w:tc>
        <w:tc>
          <w:tcPr>
            <w:tcW w:w="925" w:type="dxa"/>
          </w:tcPr>
          <w:p>
            <w:pPr>
              <w:pStyle w:val="TableParagraph"/>
              <w:spacing w:before="60"/>
              <w:ind w:right="48"/>
              <w:jc w:val="right"/>
              <w:rPr>
                <w:rFonts w:ascii="TT Norms Pro Light"/>
                <w:b w:val="0"/>
                <w:sz w:val="14"/>
              </w:rPr>
            </w:pPr>
            <w:r>
              <w:rPr>
                <w:rFonts w:ascii="TT Norms Pro Light"/>
                <w:b w:val="0"/>
                <w:spacing w:val="-2"/>
                <w:sz w:val="14"/>
              </w:rPr>
              <w:t>5,002</w:t>
            </w:r>
          </w:p>
        </w:tc>
        <w:tc>
          <w:tcPr>
            <w:tcW w:w="925" w:type="dxa"/>
            <w:shd w:val="clear" w:color="auto" w:fill="E6E7E8"/>
          </w:tcPr>
          <w:p>
            <w:pPr>
              <w:pStyle w:val="TableParagraph"/>
              <w:spacing w:before="60"/>
              <w:ind w:right="53"/>
              <w:jc w:val="right"/>
              <w:rPr>
                <w:rFonts w:ascii="TT Norms Pro Light"/>
                <w:b w:val="0"/>
                <w:sz w:val="14"/>
              </w:rPr>
            </w:pPr>
            <w:r>
              <w:rPr>
                <w:rFonts w:ascii="TT Norms Pro Light"/>
                <w:b w:val="0"/>
                <w:spacing w:val="-2"/>
                <w:sz w:val="14"/>
              </w:rPr>
              <w:t>5,924</w:t>
            </w:r>
          </w:p>
        </w:tc>
        <w:tc>
          <w:tcPr>
            <w:tcW w:w="925" w:type="dxa"/>
          </w:tcPr>
          <w:p>
            <w:pPr>
              <w:pStyle w:val="TableParagraph"/>
              <w:spacing w:before="60"/>
              <w:ind w:right="51"/>
              <w:jc w:val="right"/>
              <w:rPr>
                <w:rFonts w:ascii="TT Norms Pro Light"/>
                <w:b w:val="0"/>
                <w:sz w:val="14"/>
              </w:rPr>
            </w:pPr>
            <w:r>
              <w:rPr>
                <w:rFonts w:ascii="TT Norms Pro Light"/>
                <w:b w:val="0"/>
                <w:spacing w:val="-2"/>
                <w:sz w:val="14"/>
              </w:rPr>
              <w:t>5,739</w:t>
            </w:r>
          </w:p>
        </w:tc>
        <w:tc>
          <w:tcPr>
            <w:tcW w:w="925" w:type="dxa"/>
            <w:shd w:val="clear" w:color="auto" w:fill="E6E7E8"/>
          </w:tcPr>
          <w:p>
            <w:pPr>
              <w:pStyle w:val="TableParagraph"/>
              <w:spacing w:before="60"/>
              <w:ind w:right="52"/>
              <w:jc w:val="right"/>
              <w:rPr>
                <w:rFonts w:ascii="TT Norms Pro Light"/>
                <w:b w:val="0"/>
                <w:sz w:val="14"/>
              </w:rPr>
            </w:pPr>
            <w:r>
              <w:rPr>
                <w:rFonts w:ascii="TT Norms Pro Light"/>
                <w:b w:val="0"/>
                <w:spacing w:val="-2"/>
                <w:sz w:val="14"/>
              </w:rPr>
              <w:t>5,520</w:t>
            </w:r>
          </w:p>
        </w:tc>
        <w:tc>
          <w:tcPr>
            <w:tcW w:w="925" w:type="dxa"/>
          </w:tcPr>
          <w:p>
            <w:pPr>
              <w:pStyle w:val="TableParagraph"/>
              <w:spacing w:before="60"/>
              <w:ind w:right="109"/>
              <w:jc w:val="right"/>
              <w:rPr>
                <w:rFonts w:ascii="TT Norms Pro Light"/>
                <w:b w:val="0"/>
                <w:sz w:val="14"/>
              </w:rPr>
            </w:pPr>
            <w:r>
              <w:rPr>
                <w:rFonts w:ascii="TT Norms Pro Light"/>
                <w:b w:val="0"/>
                <w:spacing w:val="-4"/>
                <w:sz w:val="14"/>
              </w:rPr>
              <w:t>5,508</w:t>
            </w:r>
          </w:p>
        </w:tc>
      </w:tr>
      <w:tr>
        <w:trPr>
          <w:trHeight w:val="255" w:hRule="atLeast"/>
        </w:trPr>
        <w:tc>
          <w:tcPr>
            <w:tcW w:w="3146" w:type="dxa"/>
            <w:shd w:val="clear" w:color="auto" w:fill="E6E7E8"/>
          </w:tcPr>
          <w:p>
            <w:pPr>
              <w:pStyle w:val="TableParagraph"/>
              <w:spacing w:before="48"/>
              <w:ind w:left="85"/>
              <w:rPr>
                <w:rFonts w:ascii="TT Norms Pro"/>
                <w:sz w:val="14"/>
              </w:rPr>
            </w:pPr>
            <w:r>
              <w:rPr>
                <w:rFonts w:ascii="TT Norms Pro"/>
                <w:sz w:val="14"/>
              </w:rPr>
              <w:t>Master's</w:t>
            </w:r>
            <w:r>
              <w:rPr>
                <w:rFonts w:ascii="TT Norms Pro"/>
                <w:spacing w:val="13"/>
                <w:sz w:val="14"/>
              </w:rPr>
              <w:t> </w:t>
            </w:r>
            <w:r>
              <w:rPr>
                <w:rFonts w:ascii="TT Norms Pro"/>
                <w:sz w:val="14"/>
              </w:rPr>
              <w:t>degree</w:t>
            </w:r>
            <w:r>
              <w:rPr>
                <w:rFonts w:ascii="TT Norms Pro"/>
                <w:spacing w:val="13"/>
                <w:sz w:val="14"/>
              </w:rPr>
              <w:t> </w:t>
            </w:r>
            <w:r>
              <w:rPr>
                <w:rFonts w:ascii="TT Norms Pro"/>
                <w:spacing w:val="-2"/>
                <w:sz w:val="14"/>
              </w:rPr>
              <w:t>extended</w:t>
            </w:r>
          </w:p>
        </w:tc>
        <w:tc>
          <w:tcPr>
            <w:tcW w:w="914" w:type="dxa"/>
          </w:tcPr>
          <w:p>
            <w:pPr>
              <w:pStyle w:val="TableParagraph"/>
              <w:spacing w:before="60"/>
              <w:ind w:right="50"/>
              <w:jc w:val="right"/>
              <w:rPr>
                <w:rFonts w:ascii="TT Norms Pro Light"/>
                <w:b w:val="0"/>
                <w:sz w:val="14"/>
              </w:rPr>
            </w:pPr>
            <w:r>
              <w:rPr>
                <w:rFonts w:ascii="TT Norms Pro Light"/>
                <w:b w:val="0"/>
                <w:spacing w:val="-5"/>
                <w:sz w:val="14"/>
              </w:rPr>
              <w:t>643</w:t>
            </w:r>
          </w:p>
        </w:tc>
        <w:tc>
          <w:tcPr>
            <w:tcW w:w="925" w:type="dxa"/>
            <w:shd w:val="clear" w:color="auto" w:fill="E6E7E8"/>
          </w:tcPr>
          <w:p>
            <w:pPr>
              <w:pStyle w:val="TableParagraph"/>
              <w:spacing w:before="60"/>
              <w:ind w:right="53"/>
              <w:jc w:val="right"/>
              <w:rPr>
                <w:rFonts w:ascii="TT Norms Pro Light"/>
                <w:b w:val="0"/>
                <w:sz w:val="14"/>
              </w:rPr>
            </w:pPr>
            <w:r>
              <w:rPr>
                <w:rFonts w:ascii="TT Norms Pro Light"/>
                <w:b w:val="0"/>
                <w:spacing w:val="-4"/>
                <w:sz w:val="14"/>
              </w:rPr>
              <w:t>1,041</w:t>
            </w:r>
          </w:p>
        </w:tc>
        <w:tc>
          <w:tcPr>
            <w:tcW w:w="925" w:type="dxa"/>
          </w:tcPr>
          <w:p>
            <w:pPr>
              <w:pStyle w:val="TableParagraph"/>
              <w:spacing w:before="60"/>
              <w:ind w:right="53"/>
              <w:jc w:val="right"/>
              <w:rPr>
                <w:rFonts w:ascii="TT Norms Pro Light"/>
                <w:b w:val="0"/>
                <w:sz w:val="14"/>
              </w:rPr>
            </w:pPr>
            <w:r>
              <w:rPr>
                <w:rFonts w:ascii="TT Norms Pro Light"/>
                <w:b w:val="0"/>
                <w:spacing w:val="-2"/>
                <w:sz w:val="14"/>
              </w:rPr>
              <w:t>1,424</w:t>
            </w:r>
          </w:p>
        </w:tc>
        <w:tc>
          <w:tcPr>
            <w:tcW w:w="925" w:type="dxa"/>
            <w:shd w:val="clear" w:color="auto" w:fill="E6E7E8"/>
          </w:tcPr>
          <w:p>
            <w:pPr>
              <w:pStyle w:val="TableParagraph"/>
              <w:spacing w:before="60"/>
              <w:ind w:right="53"/>
              <w:jc w:val="right"/>
              <w:rPr>
                <w:rFonts w:ascii="TT Norms Pro Light"/>
                <w:b w:val="0"/>
                <w:sz w:val="14"/>
              </w:rPr>
            </w:pPr>
            <w:r>
              <w:rPr>
                <w:rFonts w:ascii="TT Norms Pro Light"/>
                <w:b w:val="0"/>
                <w:spacing w:val="-2"/>
                <w:sz w:val="14"/>
              </w:rPr>
              <w:t>1,717</w:t>
            </w:r>
          </w:p>
        </w:tc>
        <w:tc>
          <w:tcPr>
            <w:tcW w:w="925" w:type="dxa"/>
          </w:tcPr>
          <w:p>
            <w:pPr>
              <w:pStyle w:val="TableParagraph"/>
              <w:spacing w:before="60"/>
              <w:ind w:right="53"/>
              <w:jc w:val="right"/>
              <w:rPr>
                <w:rFonts w:ascii="TT Norms Pro Light"/>
                <w:b w:val="0"/>
                <w:sz w:val="14"/>
              </w:rPr>
            </w:pPr>
            <w:r>
              <w:rPr>
                <w:rFonts w:ascii="TT Norms Pro Light"/>
                <w:b w:val="0"/>
                <w:spacing w:val="-2"/>
                <w:sz w:val="14"/>
              </w:rPr>
              <w:t>1,730</w:t>
            </w:r>
          </w:p>
        </w:tc>
        <w:tc>
          <w:tcPr>
            <w:tcW w:w="925" w:type="dxa"/>
            <w:shd w:val="clear" w:color="auto" w:fill="E6E7E8"/>
          </w:tcPr>
          <w:p>
            <w:pPr>
              <w:pStyle w:val="TableParagraph"/>
              <w:spacing w:before="60"/>
              <w:ind w:right="52"/>
              <w:jc w:val="right"/>
              <w:rPr>
                <w:rFonts w:ascii="TT Norms Pro Light"/>
                <w:b w:val="0"/>
                <w:sz w:val="14"/>
              </w:rPr>
            </w:pPr>
            <w:r>
              <w:rPr>
                <w:rFonts w:ascii="TT Norms Pro Light"/>
                <w:b w:val="0"/>
                <w:spacing w:val="-2"/>
                <w:sz w:val="14"/>
              </w:rPr>
              <w:t>1,803</w:t>
            </w:r>
          </w:p>
        </w:tc>
        <w:tc>
          <w:tcPr>
            <w:tcW w:w="925" w:type="dxa"/>
          </w:tcPr>
          <w:p>
            <w:pPr>
              <w:pStyle w:val="TableParagraph"/>
              <w:spacing w:before="60"/>
              <w:ind w:right="108"/>
              <w:jc w:val="right"/>
              <w:rPr>
                <w:rFonts w:ascii="TT Norms Pro Light"/>
                <w:b w:val="0"/>
                <w:sz w:val="14"/>
              </w:rPr>
            </w:pPr>
            <w:r>
              <w:rPr>
                <w:rFonts w:ascii="TT Norms Pro Light"/>
                <w:b w:val="0"/>
                <w:spacing w:val="-2"/>
                <w:sz w:val="14"/>
              </w:rPr>
              <w:t>1,841</w:t>
            </w:r>
          </w:p>
        </w:tc>
      </w:tr>
      <w:tr>
        <w:trPr>
          <w:trHeight w:val="255" w:hRule="atLeast"/>
        </w:trPr>
        <w:tc>
          <w:tcPr>
            <w:tcW w:w="3146" w:type="dxa"/>
            <w:shd w:val="clear" w:color="auto" w:fill="E6E7E8"/>
          </w:tcPr>
          <w:p>
            <w:pPr>
              <w:pStyle w:val="TableParagraph"/>
              <w:spacing w:before="48"/>
              <w:ind w:left="85"/>
              <w:rPr>
                <w:rFonts w:ascii="TT Norms Pro"/>
                <w:sz w:val="14"/>
              </w:rPr>
            </w:pPr>
            <w:r>
              <w:rPr>
                <w:rFonts w:ascii="TT Norms Pro"/>
                <w:sz w:val="14"/>
              </w:rPr>
              <w:t>Open</w:t>
            </w:r>
            <w:r>
              <w:rPr>
                <w:rFonts w:ascii="TT Norms Pro"/>
                <w:spacing w:val="5"/>
                <w:sz w:val="14"/>
              </w:rPr>
              <w:t> </w:t>
            </w:r>
            <w:r>
              <w:rPr>
                <w:rFonts w:ascii="TT Norms Pro"/>
                <w:sz w:val="14"/>
              </w:rPr>
              <w:t>learning</w:t>
            </w:r>
            <w:r>
              <w:rPr>
                <w:rFonts w:ascii="TT Norms Pro"/>
                <w:spacing w:val="8"/>
                <w:sz w:val="14"/>
              </w:rPr>
              <w:t> </w:t>
            </w:r>
            <w:r>
              <w:rPr>
                <w:rFonts w:ascii="TT Norms Pro"/>
                <w:sz w:val="14"/>
              </w:rPr>
              <w:t>studies</w:t>
            </w:r>
            <w:r>
              <w:rPr>
                <w:rFonts w:ascii="TT Norms Pro"/>
                <w:spacing w:val="8"/>
                <w:sz w:val="14"/>
              </w:rPr>
              <w:t> </w:t>
            </w:r>
            <w:r>
              <w:rPr>
                <w:rFonts w:ascii="TT Norms Pro"/>
                <w:sz w:val="14"/>
              </w:rPr>
              <w:t>-</w:t>
            </w:r>
            <w:r>
              <w:rPr>
                <w:rFonts w:ascii="TT Norms Pro"/>
                <w:spacing w:val="8"/>
                <w:sz w:val="14"/>
              </w:rPr>
              <w:t> </w:t>
            </w:r>
            <w:r>
              <w:rPr>
                <w:rFonts w:ascii="TT Norms Pro"/>
                <w:spacing w:val="-2"/>
                <w:sz w:val="14"/>
              </w:rPr>
              <w:t>postgraduate</w:t>
            </w:r>
          </w:p>
        </w:tc>
        <w:tc>
          <w:tcPr>
            <w:tcW w:w="914" w:type="dxa"/>
          </w:tcPr>
          <w:p>
            <w:pPr>
              <w:pStyle w:val="TableParagraph"/>
              <w:spacing w:before="60"/>
              <w:ind w:right="47"/>
              <w:jc w:val="right"/>
              <w:rPr>
                <w:rFonts w:ascii="TT Norms Pro Light"/>
                <w:b w:val="0"/>
                <w:sz w:val="14"/>
              </w:rPr>
            </w:pPr>
            <w:r>
              <w:rPr>
                <w:rFonts w:ascii="TT Norms Pro Light"/>
                <w:b w:val="0"/>
                <w:spacing w:val="-5"/>
                <w:sz w:val="14"/>
              </w:rPr>
              <w:t>10</w:t>
            </w:r>
          </w:p>
        </w:tc>
        <w:tc>
          <w:tcPr>
            <w:tcW w:w="925" w:type="dxa"/>
            <w:shd w:val="clear" w:color="auto" w:fill="E6E7E8"/>
          </w:tcPr>
          <w:p>
            <w:pPr>
              <w:pStyle w:val="TableParagraph"/>
              <w:spacing w:before="60"/>
              <w:ind w:right="53"/>
              <w:jc w:val="right"/>
              <w:rPr>
                <w:rFonts w:ascii="TT Norms Pro Light"/>
                <w:b w:val="0"/>
                <w:sz w:val="14"/>
              </w:rPr>
            </w:pPr>
            <w:r>
              <w:rPr>
                <w:rFonts w:ascii="TT Norms Pro Light"/>
                <w:b w:val="0"/>
                <w:spacing w:val="-10"/>
                <w:sz w:val="14"/>
              </w:rPr>
              <w:t>4</w:t>
            </w:r>
          </w:p>
        </w:tc>
        <w:tc>
          <w:tcPr>
            <w:tcW w:w="925" w:type="dxa"/>
          </w:tcPr>
          <w:p>
            <w:pPr>
              <w:pStyle w:val="TableParagraph"/>
              <w:spacing w:before="60"/>
              <w:ind w:right="53"/>
              <w:jc w:val="right"/>
              <w:rPr>
                <w:rFonts w:ascii="TT Norms Pro Light"/>
                <w:b w:val="0"/>
                <w:sz w:val="14"/>
              </w:rPr>
            </w:pPr>
            <w:r>
              <w:rPr>
                <w:rFonts w:ascii="TT Norms Pro Light"/>
                <w:b w:val="0"/>
                <w:spacing w:val="-10"/>
                <w:w w:val="95"/>
                <w:sz w:val="14"/>
              </w:rPr>
              <w:t>0</w:t>
            </w:r>
          </w:p>
        </w:tc>
        <w:tc>
          <w:tcPr>
            <w:tcW w:w="925" w:type="dxa"/>
            <w:shd w:val="clear" w:color="auto" w:fill="E6E7E8"/>
          </w:tcPr>
          <w:p>
            <w:pPr>
              <w:pStyle w:val="TableParagraph"/>
              <w:spacing w:before="60"/>
              <w:ind w:right="53"/>
              <w:jc w:val="right"/>
              <w:rPr>
                <w:rFonts w:ascii="TT Norms Pro Light"/>
                <w:b w:val="0"/>
                <w:sz w:val="14"/>
              </w:rPr>
            </w:pPr>
            <w:r>
              <w:rPr>
                <w:rFonts w:ascii="TT Norms Pro Light"/>
                <w:b w:val="0"/>
                <w:spacing w:val="-10"/>
                <w:w w:val="95"/>
                <w:sz w:val="14"/>
              </w:rPr>
              <w:t>0</w:t>
            </w:r>
          </w:p>
        </w:tc>
        <w:tc>
          <w:tcPr>
            <w:tcW w:w="925" w:type="dxa"/>
          </w:tcPr>
          <w:p>
            <w:pPr>
              <w:pStyle w:val="TableParagraph"/>
              <w:spacing w:before="60"/>
              <w:ind w:right="53"/>
              <w:jc w:val="right"/>
              <w:rPr>
                <w:rFonts w:ascii="TT Norms Pro Light"/>
                <w:b w:val="0"/>
                <w:sz w:val="14"/>
              </w:rPr>
            </w:pPr>
            <w:r>
              <w:rPr>
                <w:rFonts w:ascii="TT Norms Pro Light"/>
                <w:b w:val="0"/>
                <w:spacing w:val="-10"/>
                <w:w w:val="95"/>
                <w:sz w:val="14"/>
              </w:rPr>
              <w:t>0</w:t>
            </w:r>
          </w:p>
        </w:tc>
        <w:tc>
          <w:tcPr>
            <w:tcW w:w="925" w:type="dxa"/>
            <w:shd w:val="clear" w:color="auto" w:fill="E6E7E8"/>
          </w:tcPr>
          <w:p>
            <w:pPr>
              <w:pStyle w:val="TableParagraph"/>
              <w:spacing w:before="60"/>
              <w:ind w:right="52"/>
              <w:jc w:val="right"/>
              <w:rPr>
                <w:rFonts w:ascii="TT Norms Pro Light"/>
                <w:b w:val="0"/>
                <w:sz w:val="14"/>
              </w:rPr>
            </w:pPr>
            <w:r>
              <w:rPr>
                <w:rFonts w:ascii="TT Norms Pro Light"/>
                <w:b w:val="0"/>
                <w:spacing w:val="-10"/>
                <w:w w:val="95"/>
                <w:sz w:val="14"/>
              </w:rPr>
              <w:t>0</w:t>
            </w:r>
          </w:p>
        </w:tc>
        <w:tc>
          <w:tcPr>
            <w:tcW w:w="925" w:type="dxa"/>
          </w:tcPr>
          <w:p>
            <w:pPr>
              <w:pStyle w:val="TableParagraph"/>
              <w:spacing w:before="60"/>
              <w:ind w:right="109"/>
              <w:jc w:val="right"/>
              <w:rPr>
                <w:rFonts w:ascii="TT Norms Pro Light"/>
                <w:b w:val="0"/>
                <w:sz w:val="14"/>
              </w:rPr>
            </w:pPr>
            <w:r>
              <w:rPr>
                <w:rFonts w:ascii="TT Norms Pro Light"/>
                <w:b w:val="0"/>
                <w:spacing w:val="-10"/>
                <w:w w:val="95"/>
                <w:sz w:val="14"/>
              </w:rPr>
              <w:t>0</w:t>
            </w:r>
          </w:p>
        </w:tc>
      </w:tr>
      <w:tr>
        <w:trPr>
          <w:trHeight w:val="255" w:hRule="atLeast"/>
        </w:trPr>
        <w:tc>
          <w:tcPr>
            <w:tcW w:w="3146" w:type="dxa"/>
            <w:shd w:val="clear" w:color="auto" w:fill="E6E7E8"/>
          </w:tcPr>
          <w:p>
            <w:pPr>
              <w:pStyle w:val="TableParagraph"/>
              <w:spacing w:before="48"/>
              <w:ind w:left="85"/>
              <w:rPr>
                <w:rFonts w:ascii="TT Norms Pro"/>
                <w:sz w:val="14"/>
              </w:rPr>
            </w:pPr>
            <w:r>
              <w:rPr>
                <w:rFonts w:ascii="TT Norms Pro"/>
                <w:sz w:val="14"/>
              </w:rPr>
              <w:t>Postgraduate</w:t>
            </w:r>
            <w:r>
              <w:rPr>
                <w:rFonts w:ascii="TT Norms Pro"/>
                <w:spacing w:val="11"/>
                <w:sz w:val="14"/>
              </w:rPr>
              <w:t> </w:t>
            </w:r>
            <w:r>
              <w:rPr>
                <w:rFonts w:ascii="TT Norms Pro"/>
                <w:sz w:val="14"/>
              </w:rPr>
              <w:t>qualifying</w:t>
            </w:r>
            <w:r>
              <w:rPr>
                <w:rFonts w:ascii="TT Norms Pro"/>
                <w:spacing w:val="11"/>
                <w:sz w:val="14"/>
              </w:rPr>
              <w:t> </w:t>
            </w:r>
            <w:r>
              <w:rPr>
                <w:rFonts w:ascii="TT Norms Pro"/>
                <w:sz w:val="14"/>
              </w:rPr>
              <w:t>or</w:t>
            </w:r>
            <w:r>
              <w:rPr>
                <w:rFonts w:ascii="TT Norms Pro"/>
                <w:spacing w:val="12"/>
                <w:sz w:val="14"/>
              </w:rPr>
              <w:t> </w:t>
            </w:r>
            <w:r>
              <w:rPr>
                <w:rFonts w:ascii="TT Norms Pro"/>
                <w:spacing w:val="-2"/>
                <w:sz w:val="14"/>
              </w:rPr>
              <w:t>preliminary</w:t>
            </w:r>
          </w:p>
        </w:tc>
        <w:tc>
          <w:tcPr>
            <w:tcW w:w="914" w:type="dxa"/>
          </w:tcPr>
          <w:p>
            <w:pPr>
              <w:pStyle w:val="TableParagraph"/>
              <w:spacing w:before="60"/>
              <w:ind w:right="51"/>
              <w:jc w:val="right"/>
              <w:rPr>
                <w:rFonts w:ascii="TT Norms Pro Light"/>
                <w:b w:val="0"/>
                <w:sz w:val="14"/>
              </w:rPr>
            </w:pPr>
            <w:r>
              <w:rPr>
                <w:rFonts w:ascii="TT Norms Pro Light"/>
                <w:b w:val="0"/>
                <w:spacing w:val="-5"/>
                <w:sz w:val="14"/>
              </w:rPr>
              <w:t>81</w:t>
            </w:r>
          </w:p>
        </w:tc>
        <w:tc>
          <w:tcPr>
            <w:tcW w:w="925" w:type="dxa"/>
            <w:shd w:val="clear" w:color="auto" w:fill="E6E7E8"/>
          </w:tcPr>
          <w:p>
            <w:pPr>
              <w:pStyle w:val="TableParagraph"/>
              <w:spacing w:before="60"/>
              <w:ind w:right="50"/>
              <w:jc w:val="right"/>
              <w:rPr>
                <w:rFonts w:ascii="TT Norms Pro Light"/>
                <w:b w:val="0"/>
                <w:sz w:val="14"/>
              </w:rPr>
            </w:pPr>
            <w:r>
              <w:rPr>
                <w:rFonts w:ascii="TT Norms Pro Light"/>
                <w:b w:val="0"/>
                <w:spacing w:val="-5"/>
                <w:sz w:val="14"/>
              </w:rPr>
              <w:t>27</w:t>
            </w:r>
          </w:p>
        </w:tc>
        <w:tc>
          <w:tcPr>
            <w:tcW w:w="925" w:type="dxa"/>
          </w:tcPr>
          <w:p>
            <w:pPr>
              <w:pStyle w:val="TableParagraph"/>
              <w:spacing w:before="60"/>
              <w:ind w:right="50"/>
              <w:jc w:val="right"/>
              <w:rPr>
                <w:rFonts w:ascii="TT Norms Pro Light"/>
                <w:b w:val="0"/>
                <w:sz w:val="14"/>
              </w:rPr>
            </w:pPr>
            <w:r>
              <w:rPr>
                <w:rFonts w:ascii="TT Norms Pro Light"/>
                <w:b w:val="0"/>
                <w:spacing w:val="-5"/>
                <w:sz w:val="14"/>
              </w:rPr>
              <w:t>31</w:t>
            </w:r>
          </w:p>
        </w:tc>
        <w:tc>
          <w:tcPr>
            <w:tcW w:w="925" w:type="dxa"/>
            <w:shd w:val="clear" w:color="auto" w:fill="E6E7E8"/>
          </w:tcPr>
          <w:p>
            <w:pPr>
              <w:pStyle w:val="TableParagraph"/>
              <w:spacing w:before="60"/>
              <w:ind w:right="51"/>
              <w:jc w:val="right"/>
              <w:rPr>
                <w:rFonts w:ascii="TT Norms Pro Light"/>
                <w:b w:val="0"/>
                <w:sz w:val="14"/>
              </w:rPr>
            </w:pPr>
            <w:r>
              <w:rPr>
                <w:rFonts w:ascii="TT Norms Pro Light"/>
                <w:b w:val="0"/>
                <w:spacing w:val="-5"/>
                <w:sz w:val="14"/>
              </w:rPr>
              <w:t>25</w:t>
            </w:r>
          </w:p>
        </w:tc>
        <w:tc>
          <w:tcPr>
            <w:tcW w:w="925" w:type="dxa"/>
          </w:tcPr>
          <w:p>
            <w:pPr>
              <w:pStyle w:val="TableParagraph"/>
              <w:spacing w:before="60"/>
              <w:ind w:right="49"/>
              <w:jc w:val="right"/>
              <w:rPr>
                <w:rFonts w:ascii="TT Norms Pro Light"/>
                <w:b w:val="0"/>
                <w:sz w:val="14"/>
              </w:rPr>
            </w:pPr>
            <w:r>
              <w:rPr>
                <w:rFonts w:ascii="TT Norms Pro Light"/>
                <w:b w:val="0"/>
                <w:spacing w:val="-5"/>
                <w:sz w:val="14"/>
              </w:rPr>
              <w:t>29</w:t>
            </w:r>
          </w:p>
        </w:tc>
        <w:tc>
          <w:tcPr>
            <w:tcW w:w="925" w:type="dxa"/>
            <w:shd w:val="clear" w:color="auto" w:fill="E6E7E8"/>
          </w:tcPr>
          <w:p>
            <w:pPr>
              <w:pStyle w:val="TableParagraph"/>
              <w:spacing w:before="60"/>
              <w:ind w:right="50"/>
              <w:jc w:val="right"/>
              <w:rPr>
                <w:rFonts w:ascii="TT Norms Pro Light"/>
                <w:b w:val="0"/>
                <w:sz w:val="14"/>
              </w:rPr>
            </w:pPr>
            <w:r>
              <w:rPr>
                <w:rFonts w:ascii="TT Norms Pro Light"/>
                <w:b w:val="0"/>
                <w:spacing w:val="-5"/>
                <w:sz w:val="14"/>
              </w:rPr>
              <w:t>27</w:t>
            </w:r>
          </w:p>
        </w:tc>
        <w:tc>
          <w:tcPr>
            <w:tcW w:w="925" w:type="dxa"/>
          </w:tcPr>
          <w:p>
            <w:pPr>
              <w:pStyle w:val="TableParagraph"/>
              <w:spacing w:before="60"/>
              <w:ind w:right="107"/>
              <w:jc w:val="right"/>
              <w:rPr>
                <w:rFonts w:ascii="TT Norms Pro Light"/>
                <w:b w:val="0"/>
                <w:sz w:val="14"/>
              </w:rPr>
            </w:pPr>
            <w:r>
              <w:rPr>
                <w:rFonts w:ascii="TT Norms Pro Light"/>
                <w:b w:val="0"/>
                <w:spacing w:val="-5"/>
                <w:sz w:val="14"/>
              </w:rPr>
              <w:t>25</w:t>
            </w:r>
          </w:p>
        </w:tc>
      </w:tr>
      <w:tr>
        <w:trPr>
          <w:trHeight w:val="259" w:hRule="atLeast"/>
        </w:trPr>
        <w:tc>
          <w:tcPr>
            <w:tcW w:w="3146" w:type="dxa"/>
            <w:tcBorders>
              <w:bottom w:val="single" w:sz="2" w:space="0" w:color="000000"/>
            </w:tcBorders>
            <w:shd w:val="clear" w:color="auto" w:fill="E6E7E8"/>
          </w:tcPr>
          <w:p>
            <w:pPr>
              <w:pStyle w:val="TableParagraph"/>
              <w:spacing w:before="48"/>
              <w:ind w:left="85"/>
              <w:rPr>
                <w:rFonts w:ascii="TT Norms Pro"/>
                <w:sz w:val="14"/>
              </w:rPr>
            </w:pPr>
            <w:r>
              <w:rPr>
                <w:rFonts w:ascii="TT Norms Pro"/>
                <w:sz w:val="14"/>
              </w:rPr>
              <w:t>Sub-</w:t>
            </w:r>
            <w:r>
              <w:rPr>
                <w:rFonts w:ascii="TT Norms Pro"/>
                <w:spacing w:val="-2"/>
                <w:sz w:val="14"/>
              </w:rPr>
              <w:t>total</w:t>
            </w:r>
          </w:p>
        </w:tc>
        <w:tc>
          <w:tcPr>
            <w:tcW w:w="914" w:type="dxa"/>
            <w:tcBorders>
              <w:bottom w:val="single" w:sz="2" w:space="0" w:color="000000"/>
            </w:tcBorders>
          </w:tcPr>
          <w:p>
            <w:pPr>
              <w:pStyle w:val="TableParagraph"/>
              <w:spacing w:before="60"/>
              <w:ind w:right="53"/>
              <w:jc w:val="right"/>
              <w:rPr>
                <w:rFonts w:ascii="TT Norms Pro Light"/>
                <w:b w:val="0"/>
                <w:sz w:val="14"/>
              </w:rPr>
            </w:pPr>
            <w:r>
              <w:rPr>
                <w:rFonts w:ascii="TT Norms Pro Light"/>
                <w:b w:val="0"/>
                <w:spacing w:val="-2"/>
                <w:sz w:val="14"/>
              </w:rPr>
              <w:t>4,530</w:t>
            </w:r>
          </w:p>
        </w:tc>
        <w:tc>
          <w:tcPr>
            <w:tcW w:w="925" w:type="dxa"/>
            <w:tcBorders>
              <w:bottom w:val="single" w:sz="2" w:space="0" w:color="000000"/>
            </w:tcBorders>
            <w:shd w:val="clear" w:color="auto" w:fill="E6E7E8"/>
          </w:tcPr>
          <w:p>
            <w:pPr>
              <w:pStyle w:val="TableParagraph"/>
              <w:spacing w:before="60"/>
              <w:ind w:right="53"/>
              <w:jc w:val="right"/>
              <w:rPr>
                <w:rFonts w:ascii="TT Norms Pro Light"/>
                <w:b w:val="0"/>
                <w:sz w:val="14"/>
              </w:rPr>
            </w:pPr>
            <w:r>
              <w:rPr>
                <w:rFonts w:ascii="TT Norms Pro Light"/>
                <w:b w:val="0"/>
                <w:spacing w:val="-4"/>
                <w:sz w:val="14"/>
              </w:rPr>
              <w:t>5,871</w:t>
            </w:r>
          </w:p>
        </w:tc>
        <w:tc>
          <w:tcPr>
            <w:tcW w:w="925" w:type="dxa"/>
            <w:tcBorders>
              <w:bottom w:val="single" w:sz="2" w:space="0" w:color="000000"/>
            </w:tcBorders>
          </w:tcPr>
          <w:p>
            <w:pPr>
              <w:pStyle w:val="TableParagraph"/>
              <w:spacing w:before="60"/>
              <w:ind w:right="53"/>
              <w:jc w:val="right"/>
              <w:rPr>
                <w:rFonts w:ascii="TT Norms Pro Light"/>
                <w:b w:val="0"/>
                <w:sz w:val="14"/>
              </w:rPr>
            </w:pPr>
            <w:r>
              <w:rPr>
                <w:rFonts w:ascii="TT Norms Pro Light"/>
                <w:b w:val="0"/>
                <w:spacing w:val="-2"/>
                <w:sz w:val="14"/>
              </w:rPr>
              <w:t>7,483</w:t>
            </w:r>
          </w:p>
        </w:tc>
        <w:tc>
          <w:tcPr>
            <w:tcW w:w="925" w:type="dxa"/>
            <w:tcBorders>
              <w:bottom w:val="single" w:sz="2" w:space="0" w:color="000000"/>
            </w:tcBorders>
            <w:shd w:val="clear" w:color="auto" w:fill="E6E7E8"/>
          </w:tcPr>
          <w:p>
            <w:pPr>
              <w:pStyle w:val="TableParagraph"/>
              <w:spacing w:before="60"/>
              <w:ind w:right="51"/>
              <w:jc w:val="right"/>
              <w:rPr>
                <w:rFonts w:ascii="TT Norms Pro Light"/>
                <w:b w:val="0"/>
                <w:sz w:val="14"/>
              </w:rPr>
            </w:pPr>
            <w:r>
              <w:rPr>
                <w:rFonts w:ascii="TT Norms Pro Light"/>
                <w:b w:val="0"/>
                <w:spacing w:val="-2"/>
                <w:sz w:val="14"/>
              </w:rPr>
              <w:t>8,707</w:t>
            </w:r>
          </w:p>
        </w:tc>
        <w:tc>
          <w:tcPr>
            <w:tcW w:w="925" w:type="dxa"/>
            <w:tcBorders>
              <w:bottom w:val="single" w:sz="2" w:space="0" w:color="000000"/>
            </w:tcBorders>
          </w:tcPr>
          <w:p>
            <w:pPr>
              <w:pStyle w:val="TableParagraph"/>
              <w:spacing w:before="60"/>
              <w:ind w:right="53"/>
              <w:jc w:val="right"/>
              <w:rPr>
                <w:rFonts w:ascii="TT Norms Pro Light"/>
                <w:b w:val="0"/>
                <w:sz w:val="14"/>
              </w:rPr>
            </w:pPr>
            <w:r>
              <w:rPr>
                <w:rFonts w:ascii="TT Norms Pro Light"/>
                <w:b w:val="0"/>
                <w:spacing w:val="-2"/>
                <w:sz w:val="14"/>
              </w:rPr>
              <w:t>8,243</w:t>
            </w:r>
          </w:p>
        </w:tc>
        <w:tc>
          <w:tcPr>
            <w:tcW w:w="925" w:type="dxa"/>
            <w:tcBorders>
              <w:bottom w:val="single" w:sz="2" w:space="0" w:color="000000"/>
            </w:tcBorders>
            <w:shd w:val="clear" w:color="auto" w:fill="E6E7E8"/>
          </w:tcPr>
          <w:p>
            <w:pPr>
              <w:pStyle w:val="TableParagraph"/>
              <w:spacing w:before="60"/>
              <w:ind w:right="52"/>
              <w:jc w:val="right"/>
              <w:rPr>
                <w:rFonts w:ascii="TT Norms Pro Light"/>
                <w:b w:val="0"/>
                <w:sz w:val="14"/>
              </w:rPr>
            </w:pPr>
            <w:r>
              <w:rPr>
                <w:rFonts w:ascii="TT Norms Pro Light"/>
                <w:b w:val="0"/>
                <w:spacing w:val="-4"/>
                <w:sz w:val="14"/>
              </w:rPr>
              <w:t>8,016</w:t>
            </w:r>
          </w:p>
        </w:tc>
        <w:tc>
          <w:tcPr>
            <w:tcW w:w="925" w:type="dxa"/>
            <w:tcBorders>
              <w:bottom w:val="single" w:sz="2" w:space="0" w:color="000000"/>
            </w:tcBorders>
          </w:tcPr>
          <w:p>
            <w:pPr>
              <w:pStyle w:val="TableParagraph"/>
              <w:spacing w:before="60"/>
              <w:ind w:right="109"/>
              <w:jc w:val="right"/>
              <w:rPr>
                <w:rFonts w:ascii="TT Norms Pro Light"/>
                <w:b w:val="0"/>
                <w:sz w:val="14"/>
              </w:rPr>
            </w:pPr>
            <w:r>
              <w:rPr>
                <w:rFonts w:ascii="TT Norms Pro Light"/>
                <w:b w:val="0"/>
                <w:spacing w:val="-2"/>
                <w:sz w:val="14"/>
              </w:rPr>
              <w:t>8,054</w:t>
            </w:r>
          </w:p>
        </w:tc>
      </w:tr>
      <w:tr>
        <w:trPr>
          <w:trHeight w:val="245" w:hRule="atLeast"/>
        </w:trPr>
        <w:tc>
          <w:tcPr>
            <w:tcW w:w="3146" w:type="dxa"/>
            <w:tcBorders>
              <w:top w:val="single" w:sz="2" w:space="0" w:color="000000"/>
            </w:tcBorders>
            <w:shd w:val="clear" w:color="auto" w:fill="E6E7E8"/>
          </w:tcPr>
          <w:p>
            <w:pPr>
              <w:pStyle w:val="TableParagraph"/>
              <w:spacing w:before="32"/>
              <w:ind w:left="85"/>
              <w:rPr>
                <w:rFonts w:ascii="Verdana"/>
                <w:i/>
                <w:sz w:val="14"/>
              </w:rPr>
            </w:pPr>
            <w:r>
              <w:rPr>
                <w:rFonts w:ascii="Verdana"/>
                <w:i/>
                <w:w w:val="85"/>
                <w:sz w:val="14"/>
              </w:rPr>
              <w:t>%</w:t>
            </w:r>
            <w:r>
              <w:rPr>
                <w:rFonts w:ascii="Verdana"/>
                <w:i/>
                <w:spacing w:val="5"/>
                <w:sz w:val="14"/>
              </w:rPr>
              <w:t> </w:t>
            </w:r>
            <w:r>
              <w:rPr>
                <w:rFonts w:ascii="Verdana"/>
                <w:i/>
                <w:w w:val="85"/>
                <w:sz w:val="14"/>
              </w:rPr>
              <w:t>Postgraduate</w:t>
            </w:r>
            <w:r>
              <w:rPr>
                <w:rFonts w:ascii="Verdana"/>
                <w:i/>
                <w:spacing w:val="6"/>
                <w:sz w:val="14"/>
              </w:rPr>
              <w:t> </w:t>
            </w:r>
            <w:r>
              <w:rPr>
                <w:rFonts w:ascii="Verdana"/>
                <w:i/>
                <w:spacing w:val="-2"/>
                <w:w w:val="85"/>
                <w:sz w:val="14"/>
              </w:rPr>
              <w:t>coursework</w:t>
            </w:r>
          </w:p>
        </w:tc>
        <w:tc>
          <w:tcPr>
            <w:tcW w:w="914" w:type="dxa"/>
            <w:tcBorders>
              <w:top w:val="single" w:sz="2" w:space="0" w:color="000000"/>
            </w:tcBorders>
          </w:tcPr>
          <w:p>
            <w:pPr>
              <w:pStyle w:val="TableParagraph"/>
              <w:spacing w:before="51"/>
              <w:ind w:right="53"/>
              <w:jc w:val="right"/>
              <w:rPr>
                <w:rFonts w:ascii="TT Norms Pro Light"/>
                <w:b w:val="0"/>
                <w:sz w:val="14"/>
              </w:rPr>
            </w:pPr>
            <w:r>
              <w:rPr>
                <w:rFonts w:ascii="TT Norms Pro Light"/>
                <w:b w:val="0"/>
                <w:spacing w:val="-4"/>
                <w:sz w:val="14"/>
              </w:rPr>
              <w:t>15.6</w:t>
            </w:r>
          </w:p>
        </w:tc>
        <w:tc>
          <w:tcPr>
            <w:tcW w:w="925" w:type="dxa"/>
            <w:tcBorders>
              <w:top w:val="single" w:sz="2" w:space="0" w:color="000000"/>
            </w:tcBorders>
            <w:shd w:val="clear" w:color="auto" w:fill="E6E7E8"/>
          </w:tcPr>
          <w:p>
            <w:pPr>
              <w:pStyle w:val="TableParagraph"/>
              <w:spacing w:before="51"/>
              <w:ind w:right="53"/>
              <w:jc w:val="right"/>
              <w:rPr>
                <w:rFonts w:ascii="TT Norms Pro Light"/>
                <w:b w:val="0"/>
                <w:sz w:val="14"/>
              </w:rPr>
            </w:pPr>
            <w:r>
              <w:rPr>
                <w:rFonts w:ascii="TT Norms Pro Light"/>
                <w:b w:val="0"/>
                <w:spacing w:val="-4"/>
                <w:sz w:val="14"/>
              </w:rPr>
              <w:t>21.3</w:t>
            </w:r>
          </w:p>
        </w:tc>
        <w:tc>
          <w:tcPr>
            <w:tcW w:w="925" w:type="dxa"/>
            <w:tcBorders>
              <w:top w:val="single" w:sz="2" w:space="0" w:color="000000"/>
            </w:tcBorders>
          </w:tcPr>
          <w:p>
            <w:pPr>
              <w:pStyle w:val="TableParagraph"/>
              <w:spacing w:before="51"/>
              <w:ind w:right="53"/>
              <w:jc w:val="right"/>
              <w:rPr>
                <w:rFonts w:ascii="TT Norms Pro Light"/>
                <w:b w:val="0"/>
                <w:sz w:val="14"/>
              </w:rPr>
            </w:pPr>
            <w:r>
              <w:rPr>
                <w:rFonts w:ascii="TT Norms Pro Light"/>
                <w:b w:val="0"/>
                <w:spacing w:val="-4"/>
                <w:sz w:val="14"/>
              </w:rPr>
              <w:t>26.7</w:t>
            </w:r>
          </w:p>
        </w:tc>
        <w:tc>
          <w:tcPr>
            <w:tcW w:w="925" w:type="dxa"/>
            <w:tcBorders>
              <w:top w:val="single" w:sz="2" w:space="0" w:color="000000"/>
            </w:tcBorders>
            <w:shd w:val="clear" w:color="auto" w:fill="E6E7E8"/>
          </w:tcPr>
          <w:p>
            <w:pPr>
              <w:pStyle w:val="TableParagraph"/>
              <w:spacing w:before="51"/>
              <w:ind w:right="52"/>
              <w:jc w:val="right"/>
              <w:rPr>
                <w:rFonts w:ascii="TT Norms Pro Light"/>
                <w:b w:val="0"/>
                <w:sz w:val="14"/>
              </w:rPr>
            </w:pPr>
            <w:r>
              <w:rPr>
                <w:rFonts w:ascii="TT Norms Pro Light"/>
                <w:b w:val="0"/>
                <w:spacing w:val="-4"/>
                <w:sz w:val="14"/>
              </w:rPr>
              <w:t>31.0</w:t>
            </w:r>
          </w:p>
        </w:tc>
        <w:tc>
          <w:tcPr>
            <w:tcW w:w="925" w:type="dxa"/>
            <w:tcBorders>
              <w:top w:val="single" w:sz="2" w:space="0" w:color="000000"/>
            </w:tcBorders>
          </w:tcPr>
          <w:p>
            <w:pPr>
              <w:pStyle w:val="TableParagraph"/>
              <w:spacing w:before="51"/>
              <w:ind w:right="53"/>
              <w:jc w:val="right"/>
              <w:rPr>
                <w:rFonts w:ascii="TT Norms Pro Light"/>
                <w:b w:val="0"/>
                <w:sz w:val="14"/>
              </w:rPr>
            </w:pPr>
            <w:r>
              <w:rPr>
                <w:rFonts w:ascii="TT Norms Pro Light"/>
                <w:b w:val="0"/>
                <w:spacing w:val="-4"/>
                <w:sz w:val="14"/>
              </w:rPr>
              <w:t>30.6</w:t>
            </w:r>
          </w:p>
        </w:tc>
        <w:tc>
          <w:tcPr>
            <w:tcW w:w="925" w:type="dxa"/>
            <w:tcBorders>
              <w:top w:val="single" w:sz="2" w:space="0" w:color="000000"/>
            </w:tcBorders>
            <w:shd w:val="clear" w:color="auto" w:fill="E6E7E8"/>
          </w:tcPr>
          <w:p>
            <w:pPr>
              <w:pStyle w:val="TableParagraph"/>
              <w:spacing w:before="51"/>
              <w:ind w:right="51"/>
              <w:jc w:val="right"/>
              <w:rPr>
                <w:rFonts w:ascii="TT Norms Pro Light"/>
                <w:b w:val="0"/>
                <w:sz w:val="14"/>
              </w:rPr>
            </w:pPr>
            <w:r>
              <w:rPr>
                <w:rFonts w:ascii="TT Norms Pro Light"/>
                <w:b w:val="0"/>
                <w:spacing w:val="-4"/>
                <w:sz w:val="14"/>
              </w:rPr>
              <w:t>30.0</w:t>
            </w:r>
          </w:p>
        </w:tc>
        <w:tc>
          <w:tcPr>
            <w:tcW w:w="925" w:type="dxa"/>
            <w:tcBorders>
              <w:top w:val="single" w:sz="2" w:space="0" w:color="000000"/>
            </w:tcBorders>
          </w:tcPr>
          <w:p>
            <w:pPr>
              <w:pStyle w:val="TableParagraph"/>
              <w:spacing w:before="51"/>
              <w:ind w:right="109"/>
              <w:jc w:val="right"/>
              <w:rPr>
                <w:rFonts w:ascii="TT Norms Pro Light"/>
                <w:b w:val="0"/>
                <w:sz w:val="14"/>
              </w:rPr>
            </w:pPr>
            <w:r>
              <w:rPr>
                <w:rFonts w:ascii="TT Norms Pro Light"/>
                <w:b w:val="0"/>
                <w:spacing w:val="-4"/>
                <w:sz w:val="14"/>
              </w:rPr>
              <w:t>30.6</w:t>
            </w:r>
          </w:p>
        </w:tc>
      </w:tr>
      <w:tr>
        <w:trPr>
          <w:trHeight w:val="251" w:hRule="atLeast"/>
        </w:trPr>
        <w:tc>
          <w:tcPr>
            <w:tcW w:w="3146" w:type="dxa"/>
            <w:shd w:val="clear" w:color="auto" w:fill="E6E7E8"/>
          </w:tcPr>
          <w:p>
            <w:pPr>
              <w:pStyle w:val="TableParagraph"/>
              <w:spacing w:before="49"/>
              <w:ind w:left="85"/>
              <w:rPr>
                <w:rFonts w:ascii="TT Norms Pro"/>
                <w:b/>
                <w:sz w:val="14"/>
              </w:rPr>
            </w:pPr>
            <w:r>
              <w:rPr>
                <w:rFonts w:ascii="TT Norms Pro"/>
                <w:b/>
                <w:spacing w:val="-2"/>
                <w:sz w:val="14"/>
              </w:rPr>
              <w:t>UNDERGRADUATE</w:t>
            </w:r>
          </w:p>
        </w:tc>
        <w:tc>
          <w:tcPr>
            <w:tcW w:w="914" w:type="dxa"/>
          </w:tcPr>
          <w:p>
            <w:pPr>
              <w:pStyle w:val="TableParagraph"/>
              <w:rPr>
                <w:rFonts w:ascii="Times New Roman"/>
                <w:sz w:val="14"/>
              </w:rPr>
            </w:pPr>
          </w:p>
        </w:tc>
        <w:tc>
          <w:tcPr>
            <w:tcW w:w="925" w:type="dxa"/>
            <w:shd w:val="clear" w:color="auto" w:fill="E6E7E8"/>
          </w:tcPr>
          <w:p>
            <w:pPr>
              <w:pStyle w:val="TableParagraph"/>
              <w:rPr>
                <w:rFonts w:ascii="Times New Roman"/>
                <w:sz w:val="14"/>
              </w:rPr>
            </w:pPr>
          </w:p>
        </w:tc>
        <w:tc>
          <w:tcPr>
            <w:tcW w:w="925" w:type="dxa"/>
          </w:tcPr>
          <w:p>
            <w:pPr>
              <w:pStyle w:val="TableParagraph"/>
              <w:rPr>
                <w:rFonts w:ascii="Times New Roman"/>
                <w:sz w:val="14"/>
              </w:rPr>
            </w:pPr>
          </w:p>
        </w:tc>
        <w:tc>
          <w:tcPr>
            <w:tcW w:w="925" w:type="dxa"/>
            <w:shd w:val="clear" w:color="auto" w:fill="E6E7E8"/>
          </w:tcPr>
          <w:p>
            <w:pPr>
              <w:pStyle w:val="TableParagraph"/>
              <w:rPr>
                <w:rFonts w:ascii="Times New Roman"/>
                <w:sz w:val="14"/>
              </w:rPr>
            </w:pPr>
          </w:p>
        </w:tc>
        <w:tc>
          <w:tcPr>
            <w:tcW w:w="925" w:type="dxa"/>
          </w:tcPr>
          <w:p>
            <w:pPr>
              <w:pStyle w:val="TableParagraph"/>
              <w:rPr>
                <w:rFonts w:ascii="Times New Roman"/>
                <w:sz w:val="14"/>
              </w:rPr>
            </w:pPr>
          </w:p>
        </w:tc>
        <w:tc>
          <w:tcPr>
            <w:tcW w:w="925" w:type="dxa"/>
            <w:shd w:val="clear" w:color="auto" w:fill="E6E7E8"/>
          </w:tcPr>
          <w:p>
            <w:pPr>
              <w:pStyle w:val="TableParagraph"/>
              <w:rPr>
                <w:rFonts w:ascii="Times New Roman"/>
                <w:sz w:val="14"/>
              </w:rPr>
            </w:pPr>
          </w:p>
        </w:tc>
        <w:tc>
          <w:tcPr>
            <w:tcW w:w="925" w:type="dxa"/>
          </w:tcPr>
          <w:p>
            <w:pPr>
              <w:pStyle w:val="TableParagraph"/>
              <w:rPr>
                <w:rFonts w:ascii="Times New Roman"/>
                <w:sz w:val="14"/>
              </w:rPr>
            </w:pPr>
          </w:p>
        </w:tc>
      </w:tr>
      <w:tr>
        <w:trPr>
          <w:trHeight w:val="259" w:hRule="atLeast"/>
        </w:trPr>
        <w:tc>
          <w:tcPr>
            <w:tcW w:w="3146" w:type="dxa"/>
            <w:shd w:val="clear" w:color="auto" w:fill="E6E7E8"/>
          </w:tcPr>
          <w:p>
            <w:pPr>
              <w:pStyle w:val="TableParagraph"/>
              <w:spacing w:before="53"/>
              <w:ind w:left="85"/>
              <w:rPr>
                <w:rFonts w:ascii="TT Norms Pro"/>
                <w:sz w:val="14"/>
              </w:rPr>
            </w:pPr>
            <w:r>
              <w:rPr>
                <w:rFonts w:ascii="TT Norms Pro"/>
                <w:sz w:val="14"/>
              </w:rPr>
              <w:t>Advanced</w:t>
            </w:r>
            <w:r>
              <w:rPr>
                <w:rFonts w:ascii="TT Norms Pro"/>
                <w:spacing w:val="14"/>
                <w:sz w:val="14"/>
              </w:rPr>
              <w:t> </w:t>
            </w:r>
            <w:r>
              <w:rPr>
                <w:rFonts w:ascii="TT Norms Pro"/>
                <w:spacing w:val="-2"/>
                <w:sz w:val="14"/>
              </w:rPr>
              <w:t>diploma</w:t>
            </w:r>
          </w:p>
        </w:tc>
        <w:tc>
          <w:tcPr>
            <w:tcW w:w="914" w:type="dxa"/>
          </w:tcPr>
          <w:p>
            <w:pPr>
              <w:pStyle w:val="TableParagraph"/>
              <w:spacing w:before="64"/>
              <w:ind w:right="53"/>
              <w:jc w:val="right"/>
              <w:rPr>
                <w:rFonts w:ascii="TT Norms Pro Light"/>
                <w:b w:val="0"/>
                <w:sz w:val="14"/>
              </w:rPr>
            </w:pPr>
            <w:r>
              <w:rPr>
                <w:rFonts w:ascii="TT Norms Pro Light"/>
                <w:b w:val="0"/>
                <w:spacing w:val="-10"/>
                <w:sz w:val="14"/>
              </w:rPr>
              <w:t>4</w:t>
            </w:r>
          </w:p>
        </w:tc>
        <w:tc>
          <w:tcPr>
            <w:tcW w:w="925" w:type="dxa"/>
            <w:shd w:val="clear" w:color="auto" w:fill="E6E7E8"/>
          </w:tcPr>
          <w:p>
            <w:pPr>
              <w:pStyle w:val="TableParagraph"/>
              <w:spacing w:before="64"/>
              <w:ind w:right="53"/>
              <w:jc w:val="right"/>
              <w:rPr>
                <w:rFonts w:ascii="TT Norms Pro Light"/>
                <w:b w:val="0"/>
                <w:sz w:val="14"/>
              </w:rPr>
            </w:pPr>
            <w:r>
              <w:rPr>
                <w:rFonts w:ascii="TT Norms Pro Light"/>
                <w:b w:val="0"/>
                <w:spacing w:val="-10"/>
                <w:sz w:val="14"/>
              </w:rPr>
              <w:t>6</w:t>
            </w:r>
          </w:p>
        </w:tc>
        <w:tc>
          <w:tcPr>
            <w:tcW w:w="925" w:type="dxa"/>
          </w:tcPr>
          <w:p>
            <w:pPr>
              <w:pStyle w:val="TableParagraph"/>
              <w:spacing w:before="64"/>
              <w:ind w:right="53"/>
              <w:jc w:val="right"/>
              <w:rPr>
                <w:rFonts w:ascii="TT Norms Pro Light"/>
                <w:b w:val="0"/>
                <w:sz w:val="14"/>
              </w:rPr>
            </w:pPr>
            <w:r>
              <w:rPr>
                <w:rFonts w:ascii="TT Norms Pro Light"/>
                <w:b w:val="0"/>
                <w:spacing w:val="-10"/>
                <w:sz w:val="14"/>
              </w:rPr>
              <w:t>7</w:t>
            </w:r>
          </w:p>
        </w:tc>
        <w:tc>
          <w:tcPr>
            <w:tcW w:w="925" w:type="dxa"/>
            <w:shd w:val="clear" w:color="auto" w:fill="E6E7E8"/>
          </w:tcPr>
          <w:p>
            <w:pPr>
              <w:pStyle w:val="TableParagraph"/>
              <w:spacing w:before="64"/>
              <w:ind w:right="53"/>
              <w:jc w:val="right"/>
              <w:rPr>
                <w:rFonts w:ascii="TT Norms Pro Light"/>
                <w:b w:val="0"/>
                <w:sz w:val="14"/>
              </w:rPr>
            </w:pPr>
            <w:r>
              <w:rPr>
                <w:rFonts w:ascii="TT Norms Pro Light"/>
                <w:b w:val="0"/>
                <w:spacing w:val="-10"/>
                <w:sz w:val="14"/>
              </w:rPr>
              <w:t>2</w:t>
            </w:r>
          </w:p>
        </w:tc>
        <w:tc>
          <w:tcPr>
            <w:tcW w:w="925" w:type="dxa"/>
          </w:tcPr>
          <w:p>
            <w:pPr>
              <w:pStyle w:val="TableParagraph"/>
              <w:spacing w:before="64"/>
              <w:ind w:right="53"/>
              <w:jc w:val="right"/>
              <w:rPr>
                <w:rFonts w:ascii="TT Norms Pro Light"/>
                <w:b w:val="0"/>
                <w:sz w:val="14"/>
              </w:rPr>
            </w:pPr>
            <w:r>
              <w:rPr>
                <w:rFonts w:ascii="TT Norms Pro Light"/>
                <w:b w:val="0"/>
                <w:spacing w:val="-10"/>
                <w:sz w:val="14"/>
              </w:rPr>
              <w:t>1</w:t>
            </w:r>
          </w:p>
        </w:tc>
        <w:tc>
          <w:tcPr>
            <w:tcW w:w="925" w:type="dxa"/>
            <w:shd w:val="clear" w:color="auto" w:fill="E6E7E8"/>
          </w:tcPr>
          <w:p>
            <w:pPr>
              <w:pStyle w:val="TableParagraph"/>
              <w:spacing w:before="64"/>
              <w:ind w:right="53"/>
              <w:jc w:val="right"/>
              <w:rPr>
                <w:rFonts w:ascii="TT Norms Pro Light"/>
                <w:b w:val="0"/>
                <w:sz w:val="14"/>
              </w:rPr>
            </w:pPr>
            <w:r>
              <w:rPr>
                <w:rFonts w:ascii="TT Norms Pro Light"/>
                <w:b w:val="0"/>
                <w:spacing w:val="-10"/>
                <w:w w:val="95"/>
                <w:sz w:val="14"/>
              </w:rPr>
              <w:t>0</w:t>
            </w:r>
          </w:p>
        </w:tc>
        <w:tc>
          <w:tcPr>
            <w:tcW w:w="925" w:type="dxa"/>
          </w:tcPr>
          <w:p>
            <w:pPr>
              <w:pStyle w:val="TableParagraph"/>
              <w:spacing w:before="64"/>
              <w:ind w:right="109"/>
              <w:jc w:val="right"/>
              <w:rPr>
                <w:rFonts w:ascii="TT Norms Pro Light"/>
                <w:b w:val="0"/>
                <w:sz w:val="14"/>
              </w:rPr>
            </w:pPr>
            <w:r>
              <w:rPr>
                <w:rFonts w:ascii="TT Norms Pro Light"/>
                <w:b w:val="0"/>
                <w:spacing w:val="-10"/>
                <w:w w:val="95"/>
                <w:sz w:val="14"/>
              </w:rPr>
              <w:t>0</w:t>
            </w:r>
          </w:p>
        </w:tc>
      </w:tr>
      <w:tr>
        <w:trPr>
          <w:trHeight w:val="255" w:hRule="atLeast"/>
        </w:trPr>
        <w:tc>
          <w:tcPr>
            <w:tcW w:w="3146" w:type="dxa"/>
            <w:shd w:val="clear" w:color="auto" w:fill="E6E7E8"/>
          </w:tcPr>
          <w:p>
            <w:pPr>
              <w:pStyle w:val="TableParagraph"/>
              <w:spacing w:before="48"/>
              <w:ind w:left="84"/>
              <w:rPr>
                <w:rFonts w:ascii="TT Norms Pro"/>
                <w:sz w:val="14"/>
              </w:rPr>
            </w:pPr>
            <w:r>
              <w:rPr>
                <w:rFonts w:ascii="TT Norms Pro"/>
                <w:sz w:val="14"/>
              </w:rPr>
              <w:t>Bachelor's</w:t>
            </w:r>
            <w:r>
              <w:rPr>
                <w:rFonts w:ascii="TT Norms Pro"/>
                <w:spacing w:val="12"/>
                <w:sz w:val="14"/>
              </w:rPr>
              <w:t> </w:t>
            </w:r>
            <w:r>
              <w:rPr>
                <w:rFonts w:ascii="TT Norms Pro"/>
                <w:sz w:val="14"/>
              </w:rPr>
              <w:t>degree</w:t>
            </w:r>
            <w:r>
              <w:rPr>
                <w:rFonts w:ascii="TT Norms Pro"/>
                <w:spacing w:val="14"/>
                <w:sz w:val="14"/>
              </w:rPr>
              <w:t> </w:t>
            </w:r>
            <w:r>
              <w:rPr>
                <w:rFonts w:ascii="TT Norms Pro"/>
                <w:sz w:val="14"/>
              </w:rPr>
              <w:t>(graduate</w:t>
            </w:r>
            <w:r>
              <w:rPr>
                <w:rFonts w:ascii="TT Norms Pro"/>
                <w:spacing w:val="14"/>
                <w:sz w:val="14"/>
              </w:rPr>
              <w:t> </w:t>
            </w:r>
            <w:r>
              <w:rPr>
                <w:rFonts w:ascii="TT Norms Pro"/>
                <w:spacing w:val="-2"/>
                <w:sz w:val="14"/>
              </w:rPr>
              <w:t>entry)</w:t>
            </w:r>
          </w:p>
        </w:tc>
        <w:tc>
          <w:tcPr>
            <w:tcW w:w="914" w:type="dxa"/>
          </w:tcPr>
          <w:p>
            <w:pPr>
              <w:pStyle w:val="TableParagraph"/>
              <w:spacing w:before="60"/>
              <w:ind w:right="51"/>
              <w:jc w:val="right"/>
              <w:rPr>
                <w:rFonts w:ascii="TT Norms Pro Light"/>
                <w:b w:val="0"/>
                <w:sz w:val="14"/>
              </w:rPr>
            </w:pPr>
            <w:r>
              <w:rPr>
                <w:rFonts w:ascii="TT Norms Pro Light"/>
                <w:b w:val="0"/>
                <w:spacing w:val="-5"/>
                <w:sz w:val="14"/>
              </w:rPr>
              <w:t>232</w:t>
            </w:r>
          </w:p>
        </w:tc>
        <w:tc>
          <w:tcPr>
            <w:tcW w:w="925" w:type="dxa"/>
            <w:shd w:val="clear" w:color="auto" w:fill="E6E7E8"/>
          </w:tcPr>
          <w:p>
            <w:pPr>
              <w:pStyle w:val="TableParagraph"/>
              <w:spacing w:before="60"/>
              <w:ind w:right="54"/>
              <w:jc w:val="right"/>
              <w:rPr>
                <w:rFonts w:ascii="TT Norms Pro Light"/>
                <w:b w:val="0"/>
                <w:sz w:val="14"/>
              </w:rPr>
            </w:pPr>
            <w:r>
              <w:rPr>
                <w:rFonts w:ascii="TT Norms Pro Light"/>
                <w:b w:val="0"/>
                <w:spacing w:val="-5"/>
                <w:sz w:val="14"/>
              </w:rPr>
              <w:t>154</w:t>
            </w:r>
          </w:p>
        </w:tc>
        <w:tc>
          <w:tcPr>
            <w:tcW w:w="925" w:type="dxa"/>
          </w:tcPr>
          <w:p>
            <w:pPr>
              <w:pStyle w:val="TableParagraph"/>
              <w:spacing w:before="60"/>
              <w:ind w:right="53"/>
              <w:jc w:val="right"/>
              <w:rPr>
                <w:rFonts w:ascii="TT Norms Pro Light"/>
                <w:b w:val="0"/>
                <w:sz w:val="14"/>
              </w:rPr>
            </w:pPr>
            <w:r>
              <w:rPr>
                <w:rFonts w:ascii="TT Norms Pro Light"/>
                <w:b w:val="0"/>
                <w:spacing w:val="-5"/>
                <w:sz w:val="14"/>
              </w:rPr>
              <w:t>83</w:t>
            </w:r>
          </w:p>
        </w:tc>
        <w:tc>
          <w:tcPr>
            <w:tcW w:w="925" w:type="dxa"/>
            <w:shd w:val="clear" w:color="auto" w:fill="E6E7E8"/>
          </w:tcPr>
          <w:p>
            <w:pPr>
              <w:pStyle w:val="TableParagraph"/>
              <w:spacing w:before="60"/>
              <w:ind w:right="51"/>
              <w:jc w:val="right"/>
              <w:rPr>
                <w:rFonts w:ascii="TT Norms Pro Light"/>
                <w:b w:val="0"/>
                <w:sz w:val="14"/>
              </w:rPr>
            </w:pPr>
            <w:r>
              <w:rPr>
                <w:rFonts w:ascii="TT Norms Pro Light"/>
                <w:b w:val="0"/>
                <w:spacing w:val="-5"/>
                <w:sz w:val="14"/>
              </w:rPr>
              <w:t>17</w:t>
            </w:r>
          </w:p>
        </w:tc>
        <w:tc>
          <w:tcPr>
            <w:tcW w:w="925" w:type="dxa"/>
          </w:tcPr>
          <w:p>
            <w:pPr>
              <w:pStyle w:val="TableParagraph"/>
              <w:spacing w:before="60"/>
              <w:ind w:right="53"/>
              <w:jc w:val="right"/>
              <w:rPr>
                <w:rFonts w:ascii="TT Norms Pro Light"/>
                <w:b w:val="0"/>
                <w:sz w:val="14"/>
              </w:rPr>
            </w:pPr>
            <w:r>
              <w:rPr>
                <w:rFonts w:ascii="TT Norms Pro Light"/>
                <w:b w:val="0"/>
                <w:spacing w:val="-10"/>
                <w:sz w:val="14"/>
              </w:rPr>
              <w:t>5</w:t>
            </w:r>
          </w:p>
        </w:tc>
        <w:tc>
          <w:tcPr>
            <w:tcW w:w="925" w:type="dxa"/>
            <w:shd w:val="clear" w:color="auto" w:fill="E6E7E8"/>
          </w:tcPr>
          <w:p>
            <w:pPr>
              <w:pStyle w:val="TableParagraph"/>
              <w:spacing w:before="60"/>
              <w:ind w:right="53"/>
              <w:jc w:val="right"/>
              <w:rPr>
                <w:rFonts w:ascii="TT Norms Pro Light"/>
                <w:b w:val="0"/>
                <w:sz w:val="14"/>
              </w:rPr>
            </w:pPr>
            <w:r>
              <w:rPr>
                <w:rFonts w:ascii="TT Norms Pro Light"/>
                <w:b w:val="0"/>
                <w:spacing w:val="-10"/>
                <w:sz w:val="14"/>
              </w:rPr>
              <w:t>6</w:t>
            </w:r>
          </w:p>
        </w:tc>
        <w:tc>
          <w:tcPr>
            <w:tcW w:w="925" w:type="dxa"/>
          </w:tcPr>
          <w:p>
            <w:pPr>
              <w:pStyle w:val="TableParagraph"/>
              <w:spacing w:before="60"/>
              <w:ind w:right="110"/>
              <w:jc w:val="right"/>
              <w:rPr>
                <w:rFonts w:ascii="TT Norms Pro Light"/>
                <w:b w:val="0"/>
                <w:sz w:val="14"/>
              </w:rPr>
            </w:pPr>
            <w:r>
              <w:rPr>
                <w:rFonts w:ascii="TT Norms Pro Light"/>
                <w:b w:val="0"/>
                <w:spacing w:val="-10"/>
                <w:sz w:val="14"/>
              </w:rPr>
              <w:t>3</w:t>
            </w:r>
          </w:p>
        </w:tc>
      </w:tr>
      <w:tr>
        <w:trPr>
          <w:trHeight w:val="255" w:hRule="atLeast"/>
        </w:trPr>
        <w:tc>
          <w:tcPr>
            <w:tcW w:w="3146" w:type="dxa"/>
            <w:shd w:val="clear" w:color="auto" w:fill="E6E7E8"/>
          </w:tcPr>
          <w:p>
            <w:pPr>
              <w:pStyle w:val="TableParagraph"/>
              <w:spacing w:before="48"/>
              <w:ind w:left="84"/>
              <w:rPr>
                <w:rFonts w:ascii="TT Norms Pro"/>
                <w:sz w:val="14"/>
              </w:rPr>
            </w:pPr>
            <w:r>
              <w:rPr>
                <w:rFonts w:ascii="TT Norms Pro"/>
                <w:sz w:val="14"/>
              </w:rPr>
              <w:t>Bachelor's</w:t>
            </w:r>
            <w:r>
              <w:rPr>
                <w:rFonts w:ascii="TT Norms Pro"/>
                <w:spacing w:val="15"/>
                <w:sz w:val="14"/>
              </w:rPr>
              <w:t> </w:t>
            </w:r>
            <w:r>
              <w:rPr>
                <w:rFonts w:ascii="TT Norms Pro"/>
                <w:sz w:val="14"/>
              </w:rPr>
              <w:t>honours</w:t>
            </w:r>
            <w:r>
              <w:rPr>
                <w:rFonts w:ascii="TT Norms Pro"/>
                <w:spacing w:val="17"/>
                <w:sz w:val="14"/>
              </w:rPr>
              <w:t> </w:t>
            </w:r>
            <w:r>
              <w:rPr>
                <w:rFonts w:ascii="TT Norms Pro"/>
                <w:spacing w:val="-2"/>
                <w:sz w:val="14"/>
              </w:rPr>
              <w:t>degree</w:t>
            </w:r>
          </w:p>
        </w:tc>
        <w:tc>
          <w:tcPr>
            <w:tcW w:w="914" w:type="dxa"/>
          </w:tcPr>
          <w:p>
            <w:pPr>
              <w:pStyle w:val="TableParagraph"/>
              <w:spacing w:before="60"/>
              <w:ind w:right="54"/>
              <w:jc w:val="right"/>
              <w:rPr>
                <w:rFonts w:ascii="TT Norms Pro Light"/>
                <w:b w:val="0"/>
                <w:sz w:val="14"/>
              </w:rPr>
            </w:pPr>
            <w:r>
              <w:rPr>
                <w:rFonts w:ascii="TT Norms Pro Light"/>
                <w:b w:val="0"/>
                <w:spacing w:val="-5"/>
                <w:sz w:val="14"/>
              </w:rPr>
              <w:t>705</w:t>
            </w:r>
          </w:p>
        </w:tc>
        <w:tc>
          <w:tcPr>
            <w:tcW w:w="925" w:type="dxa"/>
            <w:shd w:val="clear" w:color="auto" w:fill="E6E7E8"/>
          </w:tcPr>
          <w:p>
            <w:pPr>
              <w:pStyle w:val="TableParagraph"/>
              <w:spacing w:before="60"/>
              <w:ind w:right="54"/>
              <w:jc w:val="right"/>
              <w:rPr>
                <w:rFonts w:ascii="TT Norms Pro Light"/>
                <w:b w:val="0"/>
                <w:sz w:val="14"/>
              </w:rPr>
            </w:pPr>
            <w:r>
              <w:rPr>
                <w:rFonts w:ascii="TT Norms Pro Light"/>
                <w:b w:val="0"/>
                <w:spacing w:val="-5"/>
                <w:sz w:val="14"/>
              </w:rPr>
              <w:t>749</w:t>
            </w:r>
          </w:p>
        </w:tc>
        <w:tc>
          <w:tcPr>
            <w:tcW w:w="925" w:type="dxa"/>
          </w:tcPr>
          <w:p>
            <w:pPr>
              <w:pStyle w:val="TableParagraph"/>
              <w:spacing w:before="60"/>
              <w:ind w:right="53"/>
              <w:jc w:val="right"/>
              <w:rPr>
                <w:rFonts w:ascii="TT Norms Pro Light"/>
                <w:b w:val="0"/>
                <w:sz w:val="14"/>
              </w:rPr>
            </w:pPr>
            <w:r>
              <w:rPr>
                <w:rFonts w:ascii="TT Norms Pro Light"/>
                <w:b w:val="0"/>
                <w:spacing w:val="-5"/>
                <w:sz w:val="14"/>
              </w:rPr>
              <w:t>780</w:t>
            </w:r>
          </w:p>
        </w:tc>
        <w:tc>
          <w:tcPr>
            <w:tcW w:w="925" w:type="dxa"/>
            <w:shd w:val="clear" w:color="auto" w:fill="E6E7E8"/>
          </w:tcPr>
          <w:p>
            <w:pPr>
              <w:pStyle w:val="TableParagraph"/>
              <w:spacing w:before="60"/>
              <w:ind w:right="53"/>
              <w:jc w:val="right"/>
              <w:rPr>
                <w:rFonts w:ascii="TT Norms Pro Light"/>
                <w:b w:val="0"/>
                <w:sz w:val="14"/>
              </w:rPr>
            </w:pPr>
            <w:r>
              <w:rPr>
                <w:rFonts w:ascii="TT Norms Pro Light"/>
                <w:b w:val="0"/>
                <w:spacing w:val="-5"/>
                <w:sz w:val="14"/>
              </w:rPr>
              <w:t>753</w:t>
            </w:r>
          </w:p>
        </w:tc>
        <w:tc>
          <w:tcPr>
            <w:tcW w:w="925" w:type="dxa"/>
          </w:tcPr>
          <w:p>
            <w:pPr>
              <w:pStyle w:val="TableParagraph"/>
              <w:spacing w:before="60"/>
              <w:ind w:right="53"/>
              <w:jc w:val="right"/>
              <w:rPr>
                <w:rFonts w:ascii="TT Norms Pro Light"/>
                <w:b w:val="0"/>
                <w:sz w:val="14"/>
              </w:rPr>
            </w:pPr>
            <w:r>
              <w:rPr>
                <w:rFonts w:ascii="TT Norms Pro Light"/>
                <w:b w:val="0"/>
                <w:spacing w:val="-5"/>
                <w:sz w:val="14"/>
              </w:rPr>
              <w:t>706</w:t>
            </w:r>
          </w:p>
        </w:tc>
        <w:tc>
          <w:tcPr>
            <w:tcW w:w="925" w:type="dxa"/>
            <w:shd w:val="clear" w:color="auto" w:fill="E6E7E8"/>
          </w:tcPr>
          <w:p>
            <w:pPr>
              <w:pStyle w:val="TableParagraph"/>
              <w:spacing w:before="60"/>
              <w:ind w:right="53"/>
              <w:jc w:val="right"/>
              <w:rPr>
                <w:rFonts w:ascii="TT Norms Pro Light"/>
                <w:b w:val="0"/>
                <w:sz w:val="14"/>
              </w:rPr>
            </w:pPr>
            <w:r>
              <w:rPr>
                <w:rFonts w:ascii="TT Norms Pro Light"/>
                <w:b w:val="0"/>
                <w:spacing w:val="-5"/>
                <w:sz w:val="14"/>
              </w:rPr>
              <w:t>822</w:t>
            </w:r>
          </w:p>
        </w:tc>
        <w:tc>
          <w:tcPr>
            <w:tcW w:w="925" w:type="dxa"/>
          </w:tcPr>
          <w:p>
            <w:pPr>
              <w:pStyle w:val="TableParagraph"/>
              <w:spacing w:before="60"/>
              <w:ind w:right="111"/>
              <w:jc w:val="right"/>
              <w:rPr>
                <w:rFonts w:ascii="TT Norms Pro Light"/>
                <w:b w:val="0"/>
                <w:sz w:val="14"/>
              </w:rPr>
            </w:pPr>
            <w:r>
              <w:rPr>
                <w:rFonts w:ascii="TT Norms Pro Light"/>
                <w:b w:val="0"/>
                <w:spacing w:val="-5"/>
                <w:sz w:val="14"/>
              </w:rPr>
              <w:t>961</w:t>
            </w:r>
          </w:p>
        </w:tc>
      </w:tr>
      <w:tr>
        <w:trPr>
          <w:trHeight w:val="255" w:hRule="atLeast"/>
        </w:trPr>
        <w:tc>
          <w:tcPr>
            <w:tcW w:w="3146" w:type="dxa"/>
            <w:shd w:val="clear" w:color="auto" w:fill="E6E7E8"/>
          </w:tcPr>
          <w:p>
            <w:pPr>
              <w:pStyle w:val="TableParagraph"/>
              <w:spacing w:before="48"/>
              <w:ind w:left="84"/>
              <w:rPr>
                <w:rFonts w:ascii="TT Norms Pro"/>
                <w:sz w:val="14"/>
              </w:rPr>
            </w:pPr>
            <w:r>
              <w:rPr>
                <w:rFonts w:ascii="TT Norms Pro"/>
                <w:sz w:val="14"/>
              </w:rPr>
              <w:t>Bachelor's</w:t>
            </w:r>
            <w:r>
              <w:rPr>
                <w:rFonts w:ascii="TT Norms Pro"/>
                <w:spacing w:val="12"/>
                <w:sz w:val="14"/>
              </w:rPr>
              <w:t> </w:t>
            </w:r>
            <w:r>
              <w:rPr>
                <w:rFonts w:ascii="TT Norms Pro"/>
                <w:sz w:val="14"/>
              </w:rPr>
              <w:t>pass</w:t>
            </w:r>
            <w:r>
              <w:rPr>
                <w:rFonts w:ascii="TT Norms Pro"/>
                <w:spacing w:val="14"/>
                <w:sz w:val="14"/>
              </w:rPr>
              <w:t> </w:t>
            </w:r>
            <w:r>
              <w:rPr>
                <w:rFonts w:ascii="TT Norms Pro"/>
                <w:spacing w:val="-2"/>
                <w:sz w:val="14"/>
              </w:rPr>
              <w:t>degree</w:t>
            </w:r>
          </w:p>
        </w:tc>
        <w:tc>
          <w:tcPr>
            <w:tcW w:w="914" w:type="dxa"/>
          </w:tcPr>
          <w:p>
            <w:pPr>
              <w:pStyle w:val="TableParagraph"/>
              <w:spacing w:before="60"/>
              <w:ind w:right="54"/>
              <w:jc w:val="right"/>
              <w:rPr>
                <w:rFonts w:ascii="TT Norms Pro Light"/>
                <w:b w:val="0"/>
                <w:sz w:val="14"/>
              </w:rPr>
            </w:pPr>
            <w:r>
              <w:rPr>
                <w:rFonts w:ascii="TT Norms Pro Light"/>
                <w:b w:val="0"/>
                <w:spacing w:val="-2"/>
                <w:sz w:val="14"/>
              </w:rPr>
              <w:t>19,502</w:t>
            </w:r>
          </w:p>
        </w:tc>
        <w:tc>
          <w:tcPr>
            <w:tcW w:w="925" w:type="dxa"/>
            <w:shd w:val="clear" w:color="auto" w:fill="E6E7E8"/>
          </w:tcPr>
          <w:p>
            <w:pPr>
              <w:pStyle w:val="TableParagraph"/>
              <w:spacing w:before="60"/>
              <w:ind w:right="55"/>
              <w:jc w:val="right"/>
              <w:rPr>
                <w:rFonts w:ascii="TT Norms Pro Light"/>
                <w:b w:val="0"/>
                <w:sz w:val="14"/>
              </w:rPr>
            </w:pPr>
            <w:r>
              <w:rPr>
                <w:rFonts w:ascii="TT Norms Pro Light"/>
                <w:b w:val="0"/>
                <w:spacing w:val="-2"/>
                <w:sz w:val="14"/>
              </w:rPr>
              <w:t>17,146</w:t>
            </w:r>
          </w:p>
        </w:tc>
        <w:tc>
          <w:tcPr>
            <w:tcW w:w="925" w:type="dxa"/>
          </w:tcPr>
          <w:p>
            <w:pPr>
              <w:pStyle w:val="TableParagraph"/>
              <w:spacing w:before="60"/>
              <w:ind w:right="53"/>
              <w:jc w:val="right"/>
              <w:rPr>
                <w:rFonts w:ascii="TT Norms Pro Light"/>
                <w:b w:val="0"/>
                <w:sz w:val="14"/>
              </w:rPr>
            </w:pPr>
            <w:r>
              <w:rPr>
                <w:rFonts w:ascii="TT Norms Pro Light"/>
                <w:b w:val="0"/>
                <w:spacing w:val="-2"/>
                <w:sz w:val="14"/>
              </w:rPr>
              <w:t>15,658</w:t>
            </w:r>
          </w:p>
        </w:tc>
        <w:tc>
          <w:tcPr>
            <w:tcW w:w="925" w:type="dxa"/>
            <w:shd w:val="clear" w:color="auto" w:fill="E6E7E8"/>
          </w:tcPr>
          <w:p>
            <w:pPr>
              <w:pStyle w:val="TableParagraph"/>
              <w:spacing w:before="60"/>
              <w:ind w:right="53"/>
              <w:jc w:val="right"/>
              <w:rPr>
                <w:rFonts w:ascii="TT Norms Pro Light"/>
                <w:b w:val="0"/>
                <w:sz w:val="14"/>
              </w:rPr>
            </w:pPr>
            <w:r>
              <w:rPr>
                <w:rFonts w:ascii="TT Norms Pro Light"/>
                <w:b w:val="0"/>
                <w:spacing w:val="-2"/>
                <w:sz w:val="14"/>
              </w:rPr>
              <w:t>14,518</w:t>
            </w:r>
          </w:p>
        </w:tc>
        <w:tc>
          <w:tcPr>
            <w:tcW w:w="925" w:type="dxa"/>
          </w:tcPr>
          <w:p>
            <w:pPr>
              <w:pStyle w:val="TableParagraph"/>
              <w:spacing w:before="60"/>
              <w:ind w:right="53"/>
              <w:jc w:val="right"/>
              <w:rPr>
                <w:rFonts w:ascii="TT Norms Pro Light"/>
                <w:b w:val="0"/>
                <w:sz w:val="14"/>
              </w:rPr>
            </w:pPr>
            <w:r>
              <w:rPr>
                <w:rFonts w:ascii="TT Norms Pro Light"/>
                <w:b w:val="0"/>
                <w:spacing w:val="-2"/>
                <w:sz w:val="14"/>
              </w:rPr>
              <w:t>14,241</w:t>
            </w:r>
          </w:p>
        </w:tc>
        <w:tc>
          <w:tcPr>
            <w:tcW w:w="925" w:type="dxa"/>
            <w:shd w:val="clear" w:color="auto" w:fill="E6E7E8"/>
          </w:tcPr>
          <w:p>
            <w:pPr>
              <w:pStyle w:val="TableParagraph"/>
              <w:spacing w:before="60"/>
              <w:ind w:right="53"/>
              <w:jc w:val="right"/>
              <w:rPr>
                <w:rFonts w:ascii="TT Norms Pro Light"/>
                <w:b w:val="0"/>
                <w:sz w:val="14"/>
              </w:rPr>
            </w:pPr>
            <w:r>
              <w:rPr>
                <w:rFonts w:ascii="TT Norms Pro Light"/>
                <w:b w:val="0"/>
                <w:spacing w:val="-2"/>
                <w:sz w:val="14"/>
              </w:rPr>
              <w:t>14,152</w:t>
            </w:r>
          </w:p>
        </w:tc>
        <w:tc>
          <w:tcPr>
            <w:tcW w:w="925" w:type="dxa"/>
          </w:tcPr>
          <w:p>
            <w:pPr>
              <w:pStyle w:val="TableParagraph"/>
              <w:spacing w:before="60"/>
              <w:ind w:right="110"/>
              <w:jc w:val="right"/>
              <w:rPr>
                <w:rFonts w:ascii="TT Norms Pro Light"/>
                <w:b w:val="0"/>
                <w:sz w:val="14"/>
              </w:rPr>
            </w:pPr>
            <w:r>
              <w:rPr>
                <w:rFonts w:ascii="TT Norms Pro Light"/>
                <w:b w:val="0"/>
                <w:spacing w:val="-2"/>
                <w:sz w:val="14"/>
              </w:rPr>
              <w:t>14,027</w:t>
            </w:r>
          </w:p>
        </w:tc>
      </w:tr>
      <w:tr>
        <w:trPr>
          <w:trHeight w:val="255" w:hRule="atLeast"/>
        </w:trPr>
        <w:tc>
          <w:tcPr>
            <w:tcW w:w="3146" w:type="dxa"/>
            <w:shd w:val="clear" w:color="auto" w:fill="E6E7E8"/>
          </w:tcPr>
          <w:p>
            <w:pPr>
              <w:pStyle w:val="TableParagraph"/>
              <w:spacing w:before="48"/>
              <w:ind w:left="84"/>
              <w:rPr>
                <w:rFonts w:ascii="TT Norms Pro"/>
                <w:sz w:val="14"/>
              </w:rPr>
            </w:pPr>
            <w:r>
              <w:rPr>
                <w:rFonts w:ascii="TT Norms Pro"/>
                <w:sz w:val="14"/>
              </w:rPr>
              <w:t>Undergraduate</w:t>
            </w:r>
            <w:r>
              <w:rPr>
                <w:rFonts w:ascii="TT Norms Pro"/>
                <w:spacing w:val="29"/>
                <w:sz w:val="14"/>
              </w:rPr>
              <w:t> </w:t>
            </w:r>
            <w:r>
              <w:rPr>
                <w:rFonts w:ascii="TT Norms Pro"/>
                <w:sz w:val="14"/>
              </w:rPr>
              <w:t>cross-</w:t>
            </w:r>
            <w:r>
              <w:rPr>
                <w:rFonts w:ascii="TT Norms Pro"/>
                <w:spacing w:val="-2"/>
                <w:sz w:val="14"/>
              </w:rPr>
              <w:t>institutional</w:t>
            </w:r>
          </w:p>
        </w:tc>
        <w:tc>
          <w:tcPr>
            <w:tcW w:w="914" w:type="dxa"/>
          </w:tcPr>
          <w:p>
            <w:pPr>
              <w:pStyle w:val="TableParagraph"/>
              <w:spacing w:before="60"/>
              <w:ind w:right="54"/>
              <w:jc w:val="right"/>
              <w:rPr>
                <w:rFonts w:ascii="TT Norms Pro Light"/>
                <w:b w:val="0"/>
                <w:sz w:val="14"/>
              </w:rPr>
            </w:pPr>
            <w:r>
              <w:rPr>
                <w:rFonts w:ascii="TT Norms Pro Light"/>
                <w:b w:val="0"/>
                <w:spacing w:val="-5"/>
                <w:sz w:val="14"/>
              </w:rPr>
              <w:t>823</w:t>
            </w:r>
          </w:p>
        </w:tc>
        <w:tc>
          <w:tcPr>
            <w:tcW w:w="925" w:type="dxa"/>
            <w:shd w:val="clear" w:color="auto" w:fill="E6E7E8"/>
          </w:tcPr>
          <w:p>
            <w:pPr>
              <w:pStyle w:val="TableParagraph"/>
              <w:spacing w:before="60"/>
              <w:ind w:right="55"/>
              <w:jc w:val="right"/>
              <w:rPr>
                <w:rFonts w:ascii="TT Norms Pro Light"/>
                <w:b w:val="0"/>
                <w:sz w:val="14"/>
              </w:rPr>
            </w:pPr>
            <w:r>
              <w:rPr>
                <w:rFonts w:ascii="TT Norms Pro Light"/>
                <w:b w:val="0"/>
                <w:spacing w:val="-5"/>
                <w:sz w:val="14"/>
              </w:rPr>
              <w:t>694</w:t>
            </w:r>
          </w:p>
        </w:tc>
        <w:tc>
          <w:tcPr>
            <w:tcW w:w="925" w:type="dxa"/>
          </w:tcPr>
          <w:p>
            <w:pPr>
              <w:pStyle w:val="TableParagraph"/>
              <w:spacing w:before="60"/>
              <w:ind w:right="52"/>
              <w:jc w:val="right"/>
              <w:rPr>
                <w:rFonts w:ascii="TT Norms Pro Light"/>
                <w:b w:val="0"/>
                <w:sz w:val="14"/>
              </w:rPr>
            </w:pPr>
            <w:r>
              <w:rPr>
                <w:rFonts w:ascii="TT Norms Pro Light"/>
                <w:b w:val="0"/>
                <w:spacing w:val="-5"/>
                <w:sz w:val="14"/>
              </w:rPr>
              <w:t>719</w:t>
            </w:r>
          </w:p>
        </w:tc>
        <w:tc>
          <w:tcPr>
            <w:tcW w:w="925" w:type="dxa"/>
            <w:shd w:val="clear" w:color="auto" w:fill="E6E7E8"/>
          </w:tcPr>
          <w:p>
            <w:pPr>
              <w:pStyle w:val="TableParagraph"/>
              <w:spacing w:before="60"/>
              <w:ind w:right="53"/>
              <w:jc w:val="right"/>
              <w:rPr>
                <w:rFonts w:ascii="TT Norms Pro Light"/>
                <w:b w:val="0"/>
                <w:sz w:val="14"/>
              </w:rPr>
            </w:pPr>
            <w:r>
              <w:rPr>
                <w:rFonts w:ascii="TT Norms Pro Light"/>
                <w:b w:val="0"/>
                <w:spacing w:val="-5"/>
                <w:sz w:val="14"/>
              </w:rPr>
              <w:t>691</w:t>
            </w:r>
          </w:p>
        </w:tc>
        <w:tc>
          <w:tcPr>
            <w:tcW w:w="925" w:type="dxa"/>
          </w:tcPr>
          <w:p>
            <w:pPr>
              <w:pStyle w:val="TableParagraph"/>
              <w:spacing w:before="60"/>
              <w:ind w:right="51"/>
              <w:jc w:val="right"/>
              <w:rPr>
                <w:rFonts w:ascii="TT Norms Pro Light"/>
                <w:b w:val="0"/>
                <w:sz w:val="14"/>
              </w:rPr>
            </w:pPr>
            <w:r>
              <w:rPr>
                <w:rFonts w:ascii="TT Norms Pro Light"/>
                <w:b w:val="0"/>
                <w:spacing w:val="-5"/>
                <w:sz w:val="14"/>
              </w:rPr>
              <w:t>585</w:t>
            </w:r>
          </w:p>
        </w:tc>
        <w:tc>
          <w:tcPr>
            <w:tcW w:w="925" w:type="dxa"/>
            <w:shd w:val="clear" w:color="auto" w:fill="E6E7E8"/>
          </w:tcPr>
          <w:p>
            <w:pPr>
              <w:pStyle w:val="TableParagraph"/>
              <w:spacing w:before="60"/>
              <w:ind w:right="53"/>
              <w:jc w:val="right"/>
              <w:rPr>
                <w:rFonts w:ascii="TT Norms Pro Light"/>
                <w:b w:val="0"/>
                <w:sz w:val="14"/>
              </w:rPr>
            </w:pPr>
            <w:r>
              <w:rPr>
                <w:rFonts w:ascii="TT Norms Pro Light"/>
                <w:b w:val="0"/>
                <w:spacing w:val="-5"/>
                <w:sz w:val="14"/>
              </w:rPr>
              <w:t>571</w:t>
            </w:r>
          </w:p>
        </w:tc>
        <w:tc>
          <w:tcPr>
            <w:tcW w:w="925" w:type="dxa"/>
          </w:tcPr>
          <w:p>
            <w:pPr>
              <w:pStyle w:val="TableParagraph"/>
              <w:spacing w:before="60"/>
              <w:ind w:right="110"/>
              <w:jc w:val="right"/>
              <w:rPr>
                <w:rFonts w:ascii="TT Norms Pro Light"/>
                <w:b w:val="0"/>
                <w:sz w:val="14"/>
              </w:rPr>
            </w:pPr>
            <w:r>
              <w:rPr>
                <w:rFonts w:ascii="TT Norms Pro Light"/>
                <w:b w:val="0"/>
                <w:spacing w:val="-5"/>
                <w:sz w:val="14"/>
              </w:rPr>
              <w:t>271</w:t>
            </w:r>
          </w:p>
        </w:tc>
      </w:tr>
      <w:tr>
        <w:trPr>
          <w:trHeight w:val="255" w:hRule="atLeast"/>
        </w:trPr>
        <w:tc>
          <w:tcPr>
            <w:tcW w:w="3146" w:type="dxa"/>
            <w:shd w:val="clear" w:color="auto" w:fill="E6E7E8"/>
          </w:tcPr>
          <w:p>
            <w:pPr>
              <w:pStyle w:val="TableParagraph"/>
              <w:spacing w:before="48"/>
              <w:ind w:left="84"/>
              <w:rPr>
                <w:rFonts w:ascii="TT Norms Pro"/>
                <w:sz w:val="14"/>
              </w:rPr>
            </w:pPr>
            <w:r>
              <w:rPr>
                <w:rFonts w:ascii="TT Norms Pro"/>
                <w:spacing w:val="-2"/>
                <w:sz w:val="14"/>
              </w:rPr>
              <w:t>Diploma</w:t>
            </w:r>
          </w:p>
        </w:tc>
        <w:tc>
          <w:tcPr>
            <w:tcW w:w="914" w:type="dxa"/>
          </w:tcPr>
          <w:p>
            <w:pPr>
              <w:pStyle w:val="TableParagraph"/>
              <w:spacing w:before="60"/>
              <w:ind w:right="55"/>
              <w:jc w:val="right"/>
              <w:rPr>
                <w:rFonts w:ascii="TT Norms Pro Light"/>
                <w:b w:val="0"/>
                <w:sz w:val="14"/>
              </w:rPr>
            </w:pPr>
            <w:r>
              <w:rPr>
                <w:rFonts w:ascii="TT Norms Pro Light"/>
                <w:b w:val="0"/>
                <w:spacing w:val="-5"/>
                <w:sz w:val="14"/>
              </w:rPr>
              <w:t>259</w:t>
            </w:r>
          </w:p>
        </w:tc>
        <w:tc>
          <w:tcPr>
            <w:tcW w:w="925" w:type="dxa"/>
            <w:shd w:val="clear" w:color="auto" w:fill="E6E7E8"/>
          </w:tcPr>
          <w:p>
            <w:pPr>
              <w:pStyle w:val="TableParagraph"/>
              <w:spacing w:before="60"/>
              <w:ind w:right="54"/>
              <w:jc w:val="right"/>
              <w:rPr>
                <w:rFonts w:ascii="TT Norms Pro Light"/>
                <w:b w:val="0"/>
                <w:sz w:val="14"/>
              </w:rPr>
            </w:pPr>
            <w:r>
              <w:rPr>
                <w:rFonts w:ascii="TT Norms Pro Light"/>
                <w:b w:val="0"/>
                <w:spacing w:val="-5"/>
                <w:sz w:val="14"/>
              </w:rPr>
              <w:t>260</w:t>
            </w:r>
          </w:p>
        </w:tc>
        <w:tc>
          <w:tcPr>
            <w:tcW w:w="925" w:type="dxa"/>
          </w:tcPr>
          <w:p>
            <w:pPr>
              <w:pStyle w:val="TableParagraph"/>
              <w:spacing w:before="60"/>
              <w:ind w:right="51"/>
              <w:jc w:val="right"/>
              <w:rPr>
                <w:rFonts w:ascii="TT Norms Pro Light"/>
                <w:b w:val="0"/>
                <w:sz w:val="14"/>
              </w:rPr>
            </w:pPr>
            <w:r>
              <w:rPr>
                <w:rFonts w:ascii="TT Norms Pro Light"/>
                <w:b w:val="0"/>
                <w:spacing w:val="-5"/>
                <w:sz w:val="14"/>
              </w:rPr>
              <w:t>297</w:t>
            </w:r>
          </w:p>
        </w:tc>
        <w:tc>
          <w:tcPr>
            <w:tcW w:w="925" w:type="dxa"/>
            <w:shd w:val="clear" w:color="auto" w:fill="E6E7E8"/>
          </w:tcPr>
          <w:p>
            <w:pPr>
              <w:pStyle w:val="TableParagraph"/>
              <w:spacing w:before="60"/>
              <w:ind w:right="53"/>
              <w:jc w:val="right"/>
              <w:rPr>
                <w:rFonts w:ascii="TT Norms Pro Light"/>
                <w:b w:val="0"/>
                <w:sz w:val="14"/>
              </w:rPr>
            </w:pPr>
            <w:r>
              <w:rPr>
                <w:rFonts w:ascii="TT Norms Pro Light"/>
                <w:b w:val="0"/>
                <w:spacing w:val="-5"/>
                <w:sz w:val="14"/>
              </w:rPr>
              <w:t>321</w:t>
            </w:r>
          </w:p>
        </w:tc>
        <w:tc>
          <w:tcPr>
            <w:tcW w:w="925" w:type="dxa"/>
          </w:tcPr>
          <w:p>
            <w:pPr>
              <w:pStyle w:val="TableParagraph"/>
              <w:spacing w:before="60"/>
              <w:ind w:right="53"/>
              <w:jc w:val="right"/>
              <w:rPr>
                <w:rFonts w:ascii="TT Norms Pro Light"/>
                <w:b w:val="0"/>
                <w:sz w:val="14"/>
              </w:rPr>
            </w:pPr>
            <w:r>
              <w:rPr>
                <w:rFonts w:ascii="TT Norms Pro Light"/>
                <w:b w:val="0"/>
                <w:spacing w:val="-5"/>
                <w:sz w:val="14"/>
              </w:rPr>
              <w:t>324</w:t>
            </w:r>
          </w:p>
        </w:tc>
        <w:tc>
          <w:tcPr>
            <w:tcW w:w="925" w:type="dxa"/>
            <w:shd w:val="clear" w:color="auto" w:fill="E6E7E8"/>
          </w:tcPr>
          <w:p>
            <w:pPr>
              <w:pStyle w:val="TableParagraph"/>
              <w:spacing w:before="60"/>
              <w:ind w:right="52"/>
              <w:jc w:val="right"/>
              <w:rPr>
                <w:rFonts w:ascii="TT Norms Pro Light"/>
                <w:b w:val="0"/>
                <w:sz w:val="14"/>
              </w:rPr>
            </w:pPr>
            <w:r>
              <w:rPr>
                <w:rFonts w:ascii="TT Norms Pro Light"/>
                <w:b w:val="0"/>
                <w:spacing w:val="-5"/>
                <w:sz w:val="14"/>
              </w:rPr>
              <w:t>295</w:t>
            </w:r>
          </w:p>
        </w:tc>
        <w:tc>
          <w:tcPr>
            <w:tcW w:w="925" w:type="dxa"/>
          </w:tcPr>
          <w:p>
            <w:pPr>
              <w:pStyle w:val="TableParagraph"/>
              <w:spacing w:before="60"/>
              <w:ind w:right="110"/>
              <w:jc w:val="right"/>
              <w:rPr>
                <w:rFonts w:ascii="TT Norms Pro Light"/>
                <w:b w:val="0"/>
                <w:sz w:val="14"/>
              </w:rPr>
            </w:pPr>
            <w:r>
              <w:rPr>
                <w:rFonts w:ascii="TT Norms Pro Light"/>
                <w:b w:val="0"/>
                <w:spacing w:val="-5"/>
                <w:sz w:val="14"/>
              </w:rPr>
              <w:t>280</w:t>
            </w:r>
          </w:p>
        </w:tc>
      </w:tr>
      <w:tr>
        <w:trPr>
          <w:trHeight w:val="255" w:hRule="atLeast"/>
        </w:trPr>
        <w:tc>
          <w:tcPr>
            <w:tcW w:w="3146" w:type="dxa"/>
            <w:shd w:val="clear" w:color="auto" w:fill="E6E7E8"/>
          </w:tcPr>
          <w:p>
            <w:pPr>
              <w:pStyle w:val="TableParagraph"/>
              <w:spacing w:before="48"/>
              <w:ind w:left="84"/>
              <w:rPr>
                <w:rFonts w:ascii="TT Norms Pro"/>
                <w:sz w:val="14"/>
              </w:rPr>
            </w:pPr>
            <w:r>
              <w:rPr>
                <w:rFonts w:ascii="TT Norms Pro"/>
                <w:sz w:val="14"/>
              </w:rPr>
              <w:t>Enabling</w:t>
            </w:r>
            <w:r>
              <w:rPr>
                <w:rFonts w:ascii="TT Norms Pro"/>
                <w:spacing w:val="8"/>
                <w:sz w:val="14"/>
              </w:rPr>
              <w:t> </w:t>
            </w:r>
            <w:r>
              <w:rPr>
                <w:rFonts w:ascii="TT Norms Pro"/>
                <w:spacing w:val="-2"/>
                <w:sz w:val="14"/>
              </w:rPr>
              <w:t>course</w:t>
            </w:r>
          </w:p>
        </w:tc>
        <w:tc>
          <w:tcPr>
            <w:tcW w:w="914" w:type="dxa"/>
          </w:tcPr>
          <w:p>
            <w:pPr>
              <w:pStyle w:val="TableParagraph"/>
              <w:spacing w:before="60"/>
              <w:ind w:right="52"/>
              <w:jc w:val="right"/>
              <w:rPr>
                <w:rFonts w:ascii="TT Norms Pro Light"/>
                <w:b w:val="0"/>
                <w:sz w:val="14"/>
              </w:rPr>
            </w:pPr>
            <w:r>
              <w:rPr>
                <w:rFonts w:ascii="TT Norms Pro Light"/>
                <w:b w:val="0"/>
                <w:spacing w:val="-5"/>
                <w:sz w:val="14"/>
              </w:rPr>
              <w:t>212</w:t>
            </w:r>
          </w:p>
        </w:tc>
        <w:tc>
          <w:tcPr>
            <w:tcW w:w="925" w:type="dxa"/>
            <w:shd w:val="clear" w:color="auto" w:fill="E6E7E8"/>
          </w:tcPr>
          <w:p>
            <w:pPr>
              <w:pStyle w:val="TableParagraph"/>
              <w:spacing w:before="60"/>
              <w:ind w:right="50"/>
              <w:jc w:val="right"/>
              <w:rPr>
                <w:rFonts w:ascii="TT Norms Pro Light"/>
                <w:b w:val="0"/>
                <w:sz w:val="14"/>
              </w:rPr>
            </w:pPr>
            <w:r>
              <w:rPr>
                <w:rFonts w:ascii="TT Norms Pro Light"/>
                <w:b w:val="0"/>
                <w:spacing w:val="-5"/>
                <w:sz w:val="14"/>
              </w:rPr>
              <w:t>53</w:t>
            </w:r>
          </w:p>
        </w:tc>
        <w:tc>
          <w:tcPr>
            <w:tcW w:w="925" w:type="dxa"/>
          </w:tcPr>
          <w:p>
            <w:pPr>
              <w:pStyle w:val="TableParagraph"/>
              <w:spacing w:before="60"/>
              <w:ind w:right="48"/>
              <w:jc w:val="right"/>
              <w:rPr>
                <w:rFonts w:ascii="TT Norms Pro Light"/>
                <w:b w:val="0"/>
                <w:sz w:val="14"/>
              </w:rPr>
            </w:pPr>
            <w:r>
              <w:rPr>
                <w:rFonts w:ascii="TT Norms Pro Light"/>
                <w:b w:val="0"/>
                <w:spacing w:val="-5"/>
                <w:sz w:val="14"/>
              </w:rPr>
              <w:t>84</w:t>
            </w:r>
          </w:p>
        </w:tc>
        <w:tc>
          <w:tcPr>
            <w:tcW w:w="925" w:type="dxa"/>
            <w:shd w:val="clear" w:color="auto" w:fill="E6E7E8"/>
          </w:tcPr>
          <w:p>
            <w:pPr>
              <w:pStyle w:val="TableParagraph"/>
              <w:spacing w:before="60"/>
              <w:ind w:right="52"/>
              <w:jc w:val="right"/>
              <w:rPr>
                <w:rFonts w:ascii="TT Norms Pro Light"/>
                <w:b w:val="0"/>
                <w:sz w:val="14"/>
              </w:rPr>
            </w:pPr>
            <w:r>
              <w:rPr>
                <w:rFonts w:ascii="TT Norms Pro Light"/>
                <w:b w:val="0"/>
                <w:spacing w:val="-5"/>
                <w:sz w:val="14"/>
              </w:rPr>
              <w:t>78</w:t>
            </w:r>
          </w:p>
        </w:tc>
        <w:tc>
          <w:tcPr>
            <w:tcW w:w="925" w:type="dxa"/>
          </w:tcPr>
          <w:p>
            <w:pPr>
              <w:pStyle w:val="TableParagraph"/>
              <w:spacing w:before="60"/>
              <w:ind w:right="54"/>
              <w:jc w:val="right"/>
              <w:rPr>
                <w:rFonts w:ascii="TT Norms Pro Light"/>
                <w:b w:val="0"/>
                <w:sz w:val="14"/>
              </w:rPr>
            </w:pPr>
            <w:r>
              <w:rPr>
                <w:rFonts w:ascii="TT Norms Pro Light"/>
                <w:b w:val="0"/>
                <w:spacing w:val="-5"/>
                <w:sz w:val="14"/>
              </w:rPr>
              <w:t>69</w:t>
            </w:r>
          </w:p>
        </w:tc>
        <w:tc>
          <w:tcPr>
            <w:tcW w:w="925" w:type="dxa"/>
            <w:shd w:val="clear" w:color="auto" w:fill="E6E7E8"/>
          </w:tcPr>
          <w:p>
            <w:pPr>
              <w:pStyle w:val="TableParagraph"/>
              <w:spacing w:before="60"/>
              <w:ind w:right="50"/>
              <w:jc w:val="right"/>
              <w:rPr>
                <w:rFonts w:ascii="TT Norms Pro Light"/>
                <w:b w:val="0"/>
                <w:sz w:val="14"/>
              </w:rPr>
            </w:pPr>
            <w:r>
              <w:rPr>
                <w:rFonts w:ascii="TT Norms Pro Light"/>
                <w:b w:val="0"/>
                <w:spacing w:val="-5"/>
                <w:sz w:val="14"/>
              </w:rPr>
              <w:t>79</w:t>
            </w:r>
          </w:p>
        </w:tc>
        <w:tc>
          <w:tcPr>
            <w:tcW w:w="925" w:type="dxa"/>
          </w:tcPr>
          <w:p>
            <w:pPr>
              <w:pStyle w:val="TableParagraph"/>
              <w:spacing w:before="60"/>
              <w:ind w:right="106"/>
              <w:jc w:val="right"/>
              <w:rPr>
                <w:rFonts w:ascii="TT Norms Pro Light"/>
                <w:b w:val="0"/>
                <w:sz w:val="14"/>
              </w:rPr>
            </w:pPr>
            <w:r>
              <w:rPr>
                <w:rFonts w:ascii="TT Norms Pro Light"/>
                <w:b w:val="0"/>
                <w:spacing w:val="-5"/>
                <w:sz w:val="14"/>
              </w:rPr>
              <w:t>66</w:t>
            </w:r>
          </w:p>
        </w:tc>
      </w:tr>
      <w:tr>
        <w:trPr>
          <w:trHeight w:val="255" w:hRule="atLeast"/>
        </w:trPr>
        <w:tc>
          <w:tcPr>
            <w:tcW w:w="3146" w:type="dxa"/>
            <w:shd w:val="clear" w:color="auto" w:fill="E6E7E8"/>
          </w:tcPr>
          <w:p>
            <w:pPr>
              <w:pStyle w:val="TableParagraph"/>
              <w:spacing w:before="48"/>
              <w:ind w:left="84"/>
              <w:rPr>
                <w:rFonts w:ascii="TT Norms Pro"/>
                <w:sz w:val="14"/>
              </w:rPr>
            </w:pPr>
            <w:r>
              <w:rPr>
                <w:rFonts w:ascii="TT Norms Pro"/>
                <w:sz w:val="14"/>
              </w:rPr>
              <w:t>Non-award</w:t>
            </w:r>
            <w:r>
              <w:rPr>
                <w:rFonts w:ascii="TT Norms Pro"/>
                <w:spacing w:val="14"/>
                <w:sz w:val="14"/>
              </w:rPr>
              <w:t> </w:t>
            </w:r>
            <w:r>
              <w:rPr>
                <w:rFonts w:ascii="TT Norms Pro"/>
                <w:spacing w:val="-2"/>
                <w:sz w:val="14"/>
              </w:rPr>
              <w:t>course</w:t>
            </w:r>
          </w:p>
        </w:tc>
        <w:tc>
          <w:tcPr>
            <w:tcW w:w="914" w:type="dxa"/>
          </w:tcPr>
          <w:p>
            <w:pPr>
              <w:pStyle w:val="TableParagraph"/>
              <w:spacing w:before="60"/>
              <w:ind w:right="52"/>
              <w:jc w:val="right"/>
              <w:rPr>
                <w:rFonts w:ascii="TT Norms Pro Light"/>
                <w:b w:val="0"/>
                <w:sz w:val="14"/>
              </w:rPr>
            </w:pPr>
            <w:r>
              <w:rPr>
                <w:rFonts w:ascii="TT Norms Pro Light"/>
                <w:b w:val="0"/>
                <w:spacing w:val="-5"/>
                <w:sz w:val="14"/>
              </w:rPr>
              <w:t>462</w:t>
            </w:r>
          </w:p>
        </w:tc>
        <w:tc>
          <w:tcPr>
            <w:tcW w:w="925" w:type="dxa"/>
            <w:shd w:val="clear" w:color="auto" w:fill="E6E7E8"/>
          </w:tcPr>
          <w:p>
            <w:pPr>
              <w:pStyle w:val="TableParagraph"/>
              <w:spacing w:before="60"/>
              <w:ind w:right="54"/>
              <w:jc w:val="right"/>
              <w:rPr>
                <w:rFonts w:ascii="TT Norms Pro Light"/>
                <w:b w:val="0"/>
                <w:sz w:val="14"/>
              </w:rPr>
            </w:pPr>
            <w:r>
              <w:rPr>
                <w:rFonts w:ascii="TT Norms Pro Light"/>
                <w:b w:val="0"/>
                <w:spacing w:val="-5"/>
                <w:sz w:val="14"/>
              </w:rPr>
              <w:t>427</w:t>
            </w:r>
          </w:p>
        </w:tc>
        <w:tc>
          <w:tcPr>
            <w:tcW w:w="925" w:type="dxa"/>
          </w:tcPr>
          <w:p>
            <w:pPr>
              <w:pStyle w:val="TableParagraph"/>
              <w:spacing w:before="60"/>
              <w:ind w:right="54"/>
              <w:jc w:val="right"/>
              <w:rPr>
                <w:rFonts w:ascii="TT Norms Pro Light"/>
                <w:b w:val="0"/>
                <w:sz w:val="14"/>
              </w:rPr>
            </w:pPr>
            <w:r>
              <w:rPr>
                <w:rFonts w:ascii="TT Norms Pro Light"/>
                <w:b w:val="0"/>
                <w:spacing w:val="-5"/>
                <w:sz w:val="14"/>
              </w:rPr>
              <w:t>678</w:t>
            </w:r>
          </w:p>
        </w:tc>
        <w:tc>
          <w:tcPr>
            <w:tcW w:w="925" w:type="dxa"/>
            <w:shd w:val="clear" w:color="auto" w:fill="E6E7E8"/>
          </w:tcPr>
          <w:p>
            <w:pPr>
              <w:pStyle w:val="TableParagraph"/>
              <w:spacing w:before="60"/>
              <w:ind w:right="54"/>
              <w:jc w:val="right"/>
              <w:rPr>
                <w:rFonts w:ascii="TT Norms Pro Light"/>
                <w:b w:val="0"/>
                <w:sz w:val="14"/>
              </w:rPr>
            </w:pPr>
            <w:r>
              <w:rPr>
                <w:rFonts w:ascii="TT Norms Pro Light"/>
                <w:b w:val="0"/>
                <w:spacing w:val="-5"/>
                <w:sz w:val="14"/>
              </w:rPr>
              <w:t>788</w:t>
            </w:r>
          </w:p>
        </w:tc>
        <w:tc>
          <w:tcPr>
            <w:tcW w:w="925" w:type="dxa"/>
          </w:tcPr>
          <w:p>
            <w:pPr>
              <w:pStyle w:val="TableParagraph"/>
              <w:spacing w:before="60"/>
              <w:ind w:right="53"/>
              <w:jc w:val="right"/>
              <w:rPr>
                <w:rFonts w:ascii="TT Norms Pro Light"/>
                <w:b w:val="0"/>
                <w:sz w:val="14"/>
              </w:rPr>
            </w:pPr>
            <w:r>
              <w:rPr>
                <w:rFonts w:ascii="TT Norms Pro Light"/>
                <w:b w:val="0"/>
                <w:spacing w:val="-5"/>
                <w:sz w:val="14"/>
              </w:rPr>
              <w:t>622</w:t>
            </w:r>
          </w:p>
        </w:tc>
        <w:tc>
          <w:tcPr>
            <w:tcW w:w="925" w:type="dxa"/>
            <w:shd w:val="clear" w:color="auto" w:fill="E6E7E8"/>
          </w:tcPr>
          <w:p>
            <w:pPr>
              <w:pStyle w:val="TableParagraph"/>
              <w:spacing w:before="60"/>
              <w:ind w:right="54"/>
              <w:jc w:val="right"/>
              <w:rPr>
                <w:rFonts w:ascii="TT Norms Pro Light"/>
                <w:b w:val="0"/>
                <w:sz w:val="14"/>
              </w:rPr>
            </w:pPr>
            <w:r>
              <w:rPr>
                <w:rFonts w:ascii="TT Norms Pro Light"/>
                <w:b w:val="0"/>
                <w:spacing w:val="-5"/>
                <w:sz w:val="14"/>
              </w:rPr>
              <w:t>559</w:t>
            </w:r>
          </w:p>
        </w:tc>
        <w:tc>
          <w:tcPr>
            <w:tcW w:w="925" w:type="dxa"/>
          </w:tcPr>
          <w:p>
            <w:pPr>
              <w:pStyle w:val="TableParagraph"/>
              <w:spacing w:before="60"/>
              <w:ind w:right="110"/>
              <w:jc w:val="right"/>
              <w:rPr>
                <w:rFonts w:ascii="TT Norms Pro Light"/>
                <w:b w:val="0"/>
                <w:sz w:val="14"/>
              </w:rPr>
            </w:pPr>
            <w:r>
              <w:rPr>
                <w:rFonts w:ascii="TT Norms Pro Light"/>
                <w:b w:val="0"/>
                <w:spacing w:val="-5"/>
                <w:sz w:val="14"/>
              </w:rPr>
              <w:t>458</w:t>
            </w:r>
          </w:p>
        </w:tc>
      </w:tr>
      <w:tr>
        <w:trPr>
          <w:trHeight w:val="255" w:hRule="atLeast"/>
        </w:trPr>
        <w:tc>
          <w:tcPr>
            <w:tcW w:w="3146" w:type="dxa"/>
            <w:shd w:val="clear" w:color="auto" w:fill="E6E7E8"/>
          </w:tcPr>
          <w:p>
            <w:pPr>
              <w:pStyle w:val="TableParagraph"/>
              <w:spacing w:before="48"/>
              <w:ind w:left="84"/>
              <w:rPr>
                <w:rFonts w:ascii="TT Norms Pro"/>
                <w:sz w:val="14"/>
              </w:rPr>
            </w:pPr>
            <w:r>
              <w:rPr>
                <w:rFonts w:ascii="TT Norms Pro"/>
                <w:sz w:val="14"/>
              </w:rPr>
              <w:t>Other</w:t>
            </w:r>
            <w:r>
              <w:rPr>
                <w:rFonts w:ascii="TT Norms Pro"/>
                <w:spacing w:val="5"/>
                <w:sz w:val="14"/>
              </w:rPr>
              <w:t> </w:t>
            </w:r>
            <w:r>
              <w:rPr>
                <w:rFonts w:ascii="TT Norms Pro"/>
                <w:sz w:val="14"/>
              </w:rPr>
              <w:t>award</w:t>
            </w:r>
            <w:r>
              <w:rPr>
                <w:rFonts w:ascii="TT Norms Pro"/>
                <w:spacing w:val="7"/>
                <w:sz w:val="14"/>
              </w:rPr>
              <w:t> </w:t>
            </w:r>
            <w:r>
              <w:rPr>
                <w:rFonts w:ascii="TT Norms Pro"/>
                <w:spacing w:val="-2"/>
                <w:sz w:val="14"/>
              </w:rPr>
              <w:t>course</w:t>
            </w:r>
          </w:p>
        </w:tc>
        <w:tc>
          <w:tcPr>
            <w:tcW w:w="914" w:type="dxa"/>
          </w:tcPr>
          <w:p>
            <w:pPr>
              <w:pStyle w:val="TableParagraph"/>
              <w:spacing w:before="60"/>
              <w:ind w:right="54"/>
              <w:jc w:val="right"/>
              <w:rPr>
                <w:rFonts w:ascii="TT Norms Pro Light"/>
                <w:b w:val="0"/>
                <w:sz w:val="14"/>
              </w:rPr>
            </w:pPr>
            <w:r>
              <w:rPr>
                <w:rFonts w:ascii="TT Norms Pro Light"/>
                <w:b w:val="0"/>
                <w:spacing w:val="-10"/>
                <w:w w:val="95"/>
                <w:sz w:val="14"/>
              </w:rPr>
              <w:t>0</w:t>
            </w:r>
          </w:p>
        </w:tc>
        <w:tc>
          <w:tcPr>
            <w:tcW w:w="925" w:type="dxa"/>
            <w:shd w:val="clear" w:color="auto" w:fill="E6E7E8"/>
          </w:tcPr>
          <w:p>
            <w:pPr>
              <w:pStyle w:val="TableParagraph"/>
              <w:spacing w:before="60"/>
              <w:ind w:right="54"/>
              <w:jc w:val="right"/>
              <w:rPr>
                <w:rFonts w:ascii="TT Norms Pro Light"/>
                <w:b w:val="0"/>
                <w:sz w:val="14"/>
              </w:rPr>
            </w:pPr>
            <w:r>
              <w:rPr>
                <w:rFonts w:ascii="TT Norms Pro Light"/>
                <w:b w:val="0"/>
                <w:spacing w:val="-10"/>
                <w:w w:val="95"/>
                <w:sz w:val="14"/>
              </w:rPr>
              <w:t>0</w:t>
            </w:r>
          </w:p>
        </w:tc>
        <w:tc>
          <w:tcPr>
            <w:tcW w:w="925" w:type="dxa"/>
          </w:tcPr>
          <w:p>
            <w:pPr>
              <w:pStyle w:val="TableParagraph"/>
              <w:spacing w:before="60"/>
              <w:ind w:right="54"/>
              <w:jc w:val="right"/>
              <w:rPr>
                <w:rFonts w:ascii="TT Norms Pro Light"/>
                <w:b w:val="0"/>
                <w:sz w:val="14"/>
              </w:rPr>
            </w:pPr>
            <w:r>
              <w:rPr>
                <w:rFonts w:ascii="TT Norms Pro Light"/>
                <w:b w:val="0"/>
                <w:spacing w:val="-10"/>
                <w:w w:val="95"/>
                <w:sz w:val="14"/>
              </w:rPr>
              <w:t>0</w:t>
            </w:r>
          </w:p>
        </w:tc>
        <w:tc>
          <w:tcPr>
            <w:tcW w:w="925" w:type="dxa"/>
            <w:shd w:val="clear" w:color="auto" w:fill="E6E7E8"/>
          </w:tcPr>
          <w:p>
            <w:pPr>
              <w:pStyle w:val="TableParagraph"/>
              <w:spacing w:before="60"/>
              <w:ind w:right="54"/>
              <w:jc w:val="right"/>
              <w:rPr>
                <w:rFonts w:ascii="TT Norms Pro Light"/>
                <w:b w:val="0"/>
                <w:sz w:val="14"/>
              </w:rPr>
            </w:pPr>
            <w:r>
              <w:rPr>
                <w:rFonts w:ascii="TT Norms Pro Light"/>
                <w:b w:val="0"/>
                <w:spacing w:val="-10"/>
                <w:w w:val="95"/>
                <w:sz w:val="14"/>
              </w:rPr>
              <w:t>0</w:t>
            </w:r>
          </w:p>
        </w:tc>
        <w:tc>
          <w:tcPr>
            <w:tcW w:w="925" w:type="dxa"/>
          </w:tcPr>
          <w:p>
            <w:pPr>
              <w:pStyle w:val="TableParagraph"/>
              <w:spacing w:before="60"/>
              <w:ind w:right="54"/>
              <w:jc w:val="right"/>
              <w:rPr>
                <w:rFonts w:ascii="TT Norms Pro Light"/>
                <w:b w:val="0"/>
                <w:sz w:val="14"/>
              </w:rPr>
            </w:pPr>
            <w:r>
              <w:rPr>
                <w:rFonts w:ascii="TT Norms Pro Light"/>
                <w:b w:val="0"/>
                <w:spacing w:val="-10"/>
                <w:w w:val="95"/>
                <w:sz w:val="14"/>
              </w:rPr>
              <w:t>0</w:t>
            </w:r>
          </w:p>
        </w:tc>
        <w:tc>
          <w:tcPr>
            <w:tcW w:w="925" w:type="dxa"/>
            <w:shd w:val="clear" w:color="auto" w:fill="E6E7E8"/>
          </w:tcPr>
          <w:p>
            <w:pPr>
              <w:pStyle w:val="TableParagraph"/>
              <w:spacing w:before="60"/>
              <w:ind w:right="54"/>
              <w:jc w:val="right"/>
              <w:rPr>
                <w:rFonts w:ascii="TT Norms Pro Light"/>
                <w:b w:val="0"/>
                <w:sz w:val="14"/>
              </w:rPr>
            </w:pPr>
            <w:r>
              <w:rPr>
                <w:rFonts w:ascii="TT Norms Pro Light"/>
                <w:b w:val="0"/>
                <w:spacing w:val="-10"/>
                <w:w w:val="95"/>
                <w:sz w:val="14"/>
              </w:rPr>
              <w:t>0</w:t>
            </w:r>
          </w:p>
        </w:tc>
        <w:tc>
          <w:tcPr>
            <w:tcW w:w="925" w:type="dxa"/>
          </w:tcPr>
          <w:p>
            <w:pPr>
              <w:pStyle w:val="TableParagraph"/>
              <w:spacing w:before="60"/>
              <w:ind w:right="109"/>
              <w:jc w:val="right"/>
              <w:rPr>
                <w:rFonts w:ascii="TT Norms Pro Light"/>
                <w:b w:val="0"/>
                <w:sz w:val="14"/>
              </w:rPr>
            </w:pPr>
            <w:r>
              <w:rPr>
                <w:rFonts w:ascii="TT Norms Pro Light"/>
                <w:b w:val="0"/>
                <w:spacing w:val="-5"/>
                <w:sz w:val="14"/>
              </w:rPr>
              <w:t>49</w:t>
            </w:r>
          </w:p>
        </w:tc>
      </w:tr>
      <w:tr>
        <w:trPr>
          <w:trHeight w:val="259" w:hRule="atLeast"/>
        </w:trPr>
        <w:tc>
          <w:tcPr>
            <w:tcW w:w="3146" w:type="dxa"/>
            <w:tcBorders>
              <w:bottom w:val="single" w:sz="2" w:space="0" w:color="000000"/>
            </w:tcBorders>
            <w:shd w:val="clear" w:color="auto" w:fill="E6E7E8"/>
          </w:tcPr>
          <w:p>
            <w:pPr>
              <w:pStyle w:val="TableParagraph"/>
              <w:spacing w:before="48"/>
              <w:ind w:left="83"/>
              <w:rPr>
                <w:rFonts w:ascii="TT Norms Pro"/>
                <w:sz w:val="14"/>
              </w:rPr>
            </w:pPr>
            <w:r>
              <w:rPr>
                <w:rFonts w:ascii="TT Norms Pro"/>
                <w:sz w:val="14"/>
              </w:rPr>
              <w:t>Sub-</w:t>
            </w:r>
            <w:r>
              <w:rPr>
                <w:rFonts w:ascii="TT Norms Pro"/>
                <w:spacing w:val="-2"/>
                <w:sz w:val="14"/>
              </w:rPr>
              <w:t>total</w:t>
            </w:r>
          </w:p>
        </w:tc>
        <w:tc>
          <w:tcPr>
            <w:tcW w:w="914" w:type="dxa"/>
            <w:tcBorders>
              <w:bottom w:val="single" w:sz="2" w:space="0" w:color="000000"/>
            </w:tcBorders>
          </w:tcPr>
          <w:p>
            <w:pPr>
              <w:pStyle w:val="TableParagraph"/>
              <w:spacing w:before="60"/>
              <w:ind w:right="51"/>
              <w:jc w:val="right"/>
              <w:rPr>
                <w:rFonts w:ascii="TT Norms Pro Light"/>
                <w:b w:val="0"/>
                <w:sz w:val="14"/>
              </w:rPr>
            </w:pPr>
            <w:r>
              <w:rPr>
                <w:rFonts w:ascii="TT Norms Pro Light"/>
                <w:b w:val="0"/>
                <w:spacing w:val="-2"/>
                <w:sz w:val="14"/>
              </w:rPr>
              <w:t>22,199</w:t>
            </w:r>
          </w:p>
        </w:tc>
        <w:tc>
          <w:tcPr>
            <w:tcW w:w="925" w:type="dxa"/>
            <w:tcBorders>
              <w:bottom w:val="single" w:sz="2" w:space="0" w:color="000000"/>
            </w:tcBorders>
            <w:shd w:val="clear" w:color="auto" w:fill="E6E7E8"/>
          </w:tcPr>
          <w:p>
            <w:pPr>
              <w:pStyle w:val="TableParagraph"/>
              <w:spacing w:before="60"/>
              <w:ind w:right="54"/>
              <w:jc w:val="right"/>
              <w:rPr>
                <w:rFonts w:ascii="TT Norms Pro Light"/>
                <w:b w:val="0"/>
                <w:sz w:val="14"/>
              </w:rPr>
            </w:pPr>
            <w:r>
              <w:rPr>
                <w:rFonts w:ascii="TT Norms Pro Light"/>
                <w:b w:val="0"/>
                <w:spacing w:val="-2"/>
                <w:sz w:val="14"/>
              </w:rPr>
              <w:t>19,489</w:t>
            </w:r>
          </w:p>
        </w:tc>
        <w:tc>
          <w:tcPr>
            <w:tcW w:w="925" w:type="dxa"/>
            <w:tcBorders>
              <w:bottom w:val="single" w:sz="2" w:space="0" w:color="000000"/>
            </w:tcBorders>
          </w:tcPr>
          <w:p>
            <w:pPr>
              <w:pStyle w:val="TableParagraph"/>
              <w:spacing w:before="60"/>
              <w:ind w:right="54"/>
              <w:jc w:val="right"/>
              <w:rPr>
                <w:rFonts w:ascii="TT Norms Pro Light"/>
                <w:b w:val="0"/>
                <w:sz w:val="14"/>
              </w:rPr>
            </w:pPr>
            <w:r>
              <w:rPr>
                <w:rFonts w:ascii="TT Norms Pro Light"/>
                <w:b w:val="0"/>
                <w:spacing w:val="-2"/>
                <w:sz w:val="14"/>
              </w:rPr>
              <w:t>18,306</w:t>
            </w:r>
          </w:p>
        </w:tc>
        <w:tc>
          <w:tcPr>
            <w:tcW w:w="925" w:type="dxa"/>
            <w:tcBorders>
              <w:bottom w:val="single" w:sz="2" w:space="0" w:color="000000"/>
            </w:tcBorders>
            <w:shd w:val="clear" w:color="auto" w:fill="E6E7E8"/>
          </w:tcPr>
          <w:p>
            <w:pPr>
              <w:pStyle w:val="TableParagraph"/>
              <w:spacing w:before="60"/>
              <w:ind w:right="54"/>
              <w:jc w:val="right"/>
              <w:rPr>
                <w:rFonts w:ascii="TT Norms Pro Light"/>
                <w:b w:val="0"/>
                <w:sz w:val="14"/>
              </w:rPr>
            </w:pPr>
            <w:r>
              <w:rPr>
                <w:rFonts w:ascii="TT Norms Pro Light"/>
                <w:b w:val="0"/>
                <w:spacing w:val="-2"/>
                <w:sz w:val="14"/>
              </w:rPr>
              <w:t>17,168</w:t>
            </w:r>
          </w:p>
        </w:tc>
        <w:tc>
          <w:tcPr>
            <w:tcW w:w="925" w:type="dxa"/>
            <w:tcBorders>
              <w:bottom w:val="single" w:sz="2" w:space="0" w:color="000000"/>
            </w:tcBorders>
          </w:tcPr>
          <w:p>
            <w:pPr>
              <w:pStyle w:val="TableParagraph"/>
              <w:spacing w:before="60"/>
              <w:ind w:right="54"/>
              <w:jc w:val="right"/>
              <w:rPr>
                <w:rFonts w:ascii="TT Norms Pro Light"/>
                <w:b w:val="0"/>
                <w:sz w:val="14"/>
              </w:rPr>
            </w:pPr>
            <w:r>
              <w:rPr>
                <w:rFonts w:ascii="TT Norms Pro Light"/>
                <w:b w:val="0"/>
                <w:spacing w:val="-2"/>
                <w:sz w:val="14"/>
              </w:rPr>
              <w:t>16,553</w:t>
            </w:r>
          </w:p>
        </w:tc>
        <w:tc>
          <w:tcPr>
            <w:tcW w:w="925" w:type="dxa"/>
            <w:tcBorders>
              <w:bottom w:val="single" w:sz="2" w:space="0" w:color="000000"/>
            </w:tcBorders>
            <w:shd w:val="clear" w:color="auto" w:fill="E6E7E8"/>
          </w:tcPr>
          <w:p>
            <w:pPr>
              <w:pStyle w:val="TableParagraph"/>
              <w:spacing w:before="60"/>
              <w:ind w:right="54"/>
              <w:jc w:val="right"/>
              <w:rPr>
                <w:rFonts w:ascii="TT Norms Pro Light"/>
                <w:b w:val="0"/>
                <w:sz w:val="14"/>
              </w:rPr>
            </w:pPr>
            <w:r>
              <w:rPr>
                <w:rFonts w:ascii="TT Norms Pro Light"/>
                <w:b w:val="0"/>
                <w:spacing w:val="-2"/>
                <w:sz w:val="14"/>
              </w:rPr>
              <w:t>16,484</w:t>
            </w:r>
          </w:p>
        </w:tc>
        <w:tc>
          <w:tcPr>
            <w:tcW w:w="925" w:type="dxa"/>
            <w:tcBorders>
              <w:bottom w:val="single" w:sz="2" w:space="0" w:color="000000"/>
            </w:tcBorders>
          </w:tcPr>
          <w:p>
            <w:pPr>
              <w:pStyle w:val="TableParagraph"/>
              <w:spacing w:before="60"/>
              <w:ind w:right="110"/>
              <w:jc w:val="right"/>
              <w:rPr>
                <w:rFonts w:ascii="TT Norms Pro Light"/>
                <w:b w:val="0"/>
                <w:sz w:val="14"/>
              </w:rPr>
            </w:pPr>
            <w:r>
              <w:rPr>
                <w:rFonts w:ascii="TT Norms Pro Light"/>
                <w:b w:val="0"/>
                <w:spacing w:val="-2"/>
                <w:sz w:val="14"/>
              </w:rPr>
              <w:t>16,115</w:t>
            </w:r>
          </w:p>
        </w:tc>
      </w:tr>
      <w:tr>
        <w:trPr>
          <w:trHeight w:val="760" w:hRule="atLeast"/>
        </w:trPr>
        <w:tc>
          <w:tcPr>
            <w:tcW w:w="3146" w:type="dxa"/>
            <w:tcBorders>
              <w:top w:val="single" w:sz="2" w:space="0" w:color="000000"/>
              <w:bottom w:val="single" w:sz="2" w:space="0" w:color="000000"/>
            </w:tcBorders>
            <w:shd w:val="clear" w:color="auto" w:fill="E6E7E8"/>
          </w:tcPr>
          <w:p>
            <w:pPr>
              <w:pStyle w:val="TableParagraph"/>
              <w:spacing w:before="32"/>
              <w:ind w:left="85"/>
              <w:rPr>
                <w:rFonts w:ascii="Verdana"/>
                <w:i/>
                <w:sz w:val="14"/>
              </w:rPr>
            </w:pPr>
            <w:r>
              <w:rPr>
                <w:rFonts w:ascii="Verdana"/>
                <w:i/>
                <w:w w:val="70"/>
                <w:sz w:val="14"/>
              </w:rPr>
              <w:t>%</w:t>
            </w:r>
            <w:r>
              <w:rPr>
                <w:rFonts w:ascii="Verdana"/>
                <w:i/>
                <w:spacing w:val="-6"/>
                <w:w w:val="70"/>
                <w:sz w:val="14"/>
              </w:rPr>
              <w:t> </w:t>
            </w:r>
            <w:r>
              <w:rPr>
                <w:rFonts w:ascii="Verdana"/>
                <w:i/>
                <w:spacing w:val="-2"/>
                <w:w w:val="95"/>
                <w:sz w:val="14"/>
              </w:rPr>
              <w:t>Undergraduate</w:t>
            </w:r>
          </w:p>
          <w:p>
            <w:pPr>
              <w:pStyle w:val="TableParagraph"/>
              <w:spacing w:before="93"/>
              <w:ind w:left="84"/>
              <w:rPr>
                <w:rFonts w:ascii="TT Norms Pro"/>
                <w:b/>
                <w:sz w:val="14"/>
              </w:rPr>
            </w:pPr>
            <w:r>
              <w:rPr>
                <w:rFonts w:ascii="TT Norms Pro"/>
                <w:b/>
                <w:sz w:val="14"/>
              </w:rPr>
              <w:t>GRAND</w:t>
            </w:r>
            <w:r>
              <w:rPr>
                <w:rFonts w:ascii="TT Norms Pro"/>
                <w:b/>
                <w:spacing w:val="14"/>
                <w:sz w:val="14"/>
              </w:rPr>
              <w:t> </w:t>
            </w:r>
            <w:r>
              <w:rPr>
                <w:rFonts w:ascii="TT Norms Pro"/>
                <w:b/>
                <w:spacing w:val="-4"/>
                <w:sz w:val="14"/>
              </w:rPr>
              <w:t>TOTAL</w:t>
            </w:r>
          </w:p>
          <w:p>
            <w:pPr>
              <w:pStyle w:val="TableParagraph"/>
              <w:spacing w:before="91"/>
              <w:ind w:left="84"/>
              <w:rPr>
                <w:rFonts w:ascii="TT Norms Pro"/>
                <w:sz w:val="14"/>
              </w:rPr>
            </w:pPr>
            <w:r>
              <w:rPr>
                <w:rFonts w:ascii="TT Norms Pro"/>
                <w:sz w:val="14"/>
              </w:rPr>
              <w:t>Grand</w:t>
            </w:r>
            <w:r>
              <w:rPr>
                <w:rFonts w:ascii="TT Norms Pro"/>
                <w:spacing w:val="10"/>
                <w:sz w:val="14"/>
              </w:rPr>
              <w:t> </w:t>
            </w:r>
            <w:r>
              <w:rPr>
                <w:rFonts w:ascii="TT Norms Pro"/>
                <w:spacing w:val="-2"/>
                <w:sz w:val="14"/>
              </w:rPr>
              <w:t>total</w:t>
            </w:r>
          </w:p>
        </w:tc>
        <w:tc>
          <w:tcPr>
            <w:tcW w:w="914" w:type="dxa"/>
            <w:tcBorders>
              <w:top w:val="single" w:sz="2" w:space="0" w:color="000000"/>
              <w:bottom w:val="single" w:sz="2" w:space="0" w:color="000000"/>
            </w:tcBorders>
          </w:tcPr>
          <w:p>
            <w:pPr>
              <w:pStyle w:val="TableParagraph"/>
              <w:spacing w:before="51"/>
              <w:ind w:right="53"/>
              <w:jc w:val="right"/>
              <w:rPr>
                <w:rFonts w:ascii="TT Norms Pro Light"/>
                <w:b w:val="0"/>
                <w:sz w:val="14"/>
              </w:rPr>
            </w:pPr>
            <w:r>
              <w:rPr>
                <w:rFonts w:ascii="TT Norms Pro Light"/>
                <w:b w:val="0"/>
                <w:spacing w:val="-4"/>
                <w:sz w:val="14"/>
              </w:rPr>
              <w:t>76.6</w:t>
            </w:r>
          </w:p>
          <w:p>
            <w:pPr>
              <w:pStyle w:val="TableParagraph"/>
              <w:rPr>
                <w:rFonts w:ascii="TT Norms Pro"/>
                <w:b/>
                <w:sz w:val="14"/>
              </w:rPr>
            </w:pPr>
          </w:p>
          <w:p>
            <w:pPr>
              <w:pStyle w:val="TableParagraph"/>
              <w:spacing w:before="19"/>
              <w:rPr>
                <w:rFonts w:ascii="TT Norms Pro"/>
                <w:b/>
                <w:sz w:val="14"/>
              </w:rPr>
            </w:pPr>
          </w:p>
          <w:p>
            <w:pPr>
              <w:pStyle w:val="TableParagraph"/>
              <w:ind w:right="53"/>
              <w:jc w:val="right"/>
              <w:rPr>
                <w:rFonts w:ascii="TT Norms Pro Light"/>
                <w:b w:val="0"/>
                <w:sz w:val="14"/>
              </w:rPr>
            </w:pPr>
            <w:r>
              <w:rPr>
                <w:rFonts w:ascii="TT Norms Pro Light"/>
                <w:b w:val="0"/>
                <w:spacing w:val="-2"/>
                <w:sz w:val="14"/>
              </w:rPr>
              <w:t>28,978</w:t>
            </w:r>
          </w:p>
        </w:tc>
        <w:tc>
          <w:tcPr>
            <w:tcW w:w="925" w:type="dxa"/>
            <w:tcBorders>
              <w:top w:val="single" w:sz="2" w:space="0" w:color="000000"/>
              <w:bottom w:val="single" w:sz="2" w:space="0" w:color="000000"/>
            </w:tcBorders>
            <w:shd w:val="clear" w:color="auto" w:fill="E6E7E8"/>
          </w:tcPr>
          <w:p>
            <w:pPr>
              <w:pStyle w:val="TableParagraph"/>
              <w:spacing w:before="51"/>
              <w:ind w:right="53"/>
              <w:jc w:val="right"/>
              <w:rPr>
                <w:rFonts w:ascii="TT Norms Pro Light"/>
                <w:b w:val="0"/>
                <w:sz w:val="14"/>
              </w:rPr>
            </w:pPr>
            <w:r>
              <w:rPr>
                <w:rFonts w:ascii="TT Norms Pro Light"/>
                <w:b w:val="0"/>
                <w:spacing w:val="-4"/>
                <w:sz w:val="14"/>
              </w:rPr>
              <w:t>70.6</w:t>
            </w:r>
          </w:p>
          <w:p>
            <w:pPr>
              <w:pStyle w:val="TableParagraph"/>
              <w:rPr>
                <w:rFonts w:ascii="TT Norms Pro"/>
                <w:b/>
                <w:sz w:val="14"/>
              </w:rPr>
            </w:pPr>
          </w:p>
          <w:p>
            <w:pPr>
              <w:pStyle w:val="TableParagraph"/>
              <w:spacing w:before="19"/>
              <w:rPr>
                <w:rFonts w:ascii="TT Norms Pro"/>
                <w:b/>
                <w:sz w:val="14"/>
              </w:rPr>
            </w:pPr>
          </w:p>
          <w:p>
            <w:pPr>
              <w:pStyle w:val="TableParagraph"/>
              <w:ind w:right="53"/>
              <w:jc w:val="right"/>
              <w:rPr>
                <w:rFonts w:ascii="TT Norms Pro Light"/>
                <w:b w:val="0"/>
                <w:sz w:val="14"/>
              </w:rPr>
            </w:pPr>
            <w:r>
              <w:rPr>
                <w:rFonts w:ascii="TT Norms Pro Light"/>
                <w:b w:val="0"/>
                <w:spacing w:val="-2"/>
                <w:sz w:val="14"/>
              </w:rPr>
              <w:t>27,593</w:t>
            </w:r>
          </w:p>
        </w:tc>
        <w:tc>
          <w:tcPr>
            <w:tcW w:w="925" w:type="dxa"/>
            <w:tcBorders>
              <w:top w:val="single" w:sz="2" w:space="0" w:color="000000"/>
              <w:bottom w:val="single" w:sz="2" w:space="0" w:color="000000"/>
            </w:tcBorders>
          </w:tcPr>
          <w:p>
            <w:pPr>
              <w:pStyle w:val="TableParagraph"/>
              <w:spacing w:before="51"/>
              <w:ind w:right="53"/>
              <w:jc w:val="right"/>
              <w:rPr>
                <w:rFonts w:ascii="TT Norms Pro Light"/>
                <w:b w:val="0"/>
                <w:sz w:val="14"/>
              </w:rPr>
            </w:pPr>
            <w:r>
              <w:rPr>
                <w:rFonts w:ascii="TT Norms Pro Light"/>
                <w:b w:val="0"/>
                <w:spacing w:val="-4"/>
                <w:sz w:val="14"/>
              </w:rPr>
              <w:t>65.3</w:t>
            </w:r>
          </w:p>
          <w:p>
            <w:pPr>
              <w:pStyle w:val="TableParagraph"/>
              <w:rPr>
                <w:rFonts w:ascii="TT Norms Pro"/>
                <w:b/>
                <w:sz w:val="14"/>
              </w:rPr>
            </w:pPr>
          </w:p>
          <w:p>
            <w:pPr>
              <w:pStyle w:val="TableParagraph"/>
              <w:spacing w:before="19"/>
              <w:rPr>
                <w:rFonts w:ascii="TT Norms Pro"/>
                <w:b/>
                <w:sz w:val="14"/>
              </w:rPr>
            </w:pPr>
          </w:p>
          <w:p>
            <w:pPr>
              <w:pStyle w:val="TableParagraph"/>
              <w:ind w:right="53"/>
              <w:jc w:val="right"/>
              <w:rPr>
                <w:rFonts w:ascii="TT Norms Pro Light"/>
                <w:b w:val="0"/>
                <w:sz w:val="14"/>
              </w:rPr>
            </w:pPr>
            <w:r>
              <w:rPr>
                <w:rFonts w:ascii="TT Norms Pro Light"/>
                <w:b w:val="0"/>
                <w:spacing w:val="-2"/>
                <w:sz w:val="14"/>
              </w:rPr>
              <w:t>28,037</w:t>
            </w:r>
          </w:p>
        </w:tc>
        <w:tc>
          <w:tcPr>
            <w:tcW w:w="925" w:type="dxa"/>
            <w:tcBorders>
              <w:top w:val="single" w:sz="2" w:space="0" w:color="000000"/>
              <w:bottom w:val="single" w:sz="2" w:space="0" w:color="000000"/>
            </w:tcBorders>
            <w:shd w:val="clear" w:color="auto" w:fill="E6E7E8"/>
          </w:tcPr>
          <w:p>
            <w:pPr>
              <w:pStyle w:val="TableParagraph"/>
              <w:spacing w:before="51"/>
              <w:ind w:right="53"/>
              <w:jc w:val="right"/>
              <w:rPr>
                <w:rFonts w:ascii="TT Norms Pro Light"/>
                <w:b w:val="0"/>
                <w:sz w:val="14"/>
              </w:rPr>
            </w:pPr>
            <w:r>
              <w:rPr>
                <w:rFonts w:ascii="TT Norms Pro Light"/>
                <w:b w:val="0"/>
                <w:spacing w:val="-4"/>
                <w:sz w:val="14"/>
              </w:rPr>
              <w:t>61.2</w:t>
            </w:r>
          </w:p>
          <w:p>
            <w:pPr>
              <w:pStyle w:val="TableParagraph"/>
              <w:rPr>
                <w:rFonts w:ascii="TT Norms Pro"/>
                <w:b/>
                <w:sz w:val="14"/>
              </w:rPr>
            </w:pPr>
          </w:p>
          <w:p>
            <w:pPr>
              <w:pStyle w:val="TableParagraph"/>
              <w:spacing w:before="19"/>
              <w:rPr>
                <w:rFonts w:ascii="TT Norms Pro"/>
                <w:b/>
                <w:sz w:val="14"/>
              </w:rPr>
            </w:pPr>
          </w:p>
          <w:p>
            <w:pPr>
              <w:pStyle w:val="TableParagraph"/>
              <w:ind w:right="53"/>
              <w:jc w:val="right"/>
              <w:rPr>
                <w:rFonts w:ascii="TT Norms Pro Light"/>
                <w:b w:val="0"/>
                <w:sz w:val="14"/>
              </w:rPr>
            </w:pPr>
            <w:r>
              <w:rPr>
                <w:rFonts w:ascii="TT Norms Pro Light"/>
                <w:b w:val="0"/>
                <w:spacing w:val="-2"/>
                <w:sz w:val="14"/>
              </w:rPr>
              <w:t>28,043</w:t>
            </w:r>
          </w:p>
        </w:tc>
        <w:tc>
          <w:tcPr>
            <w:tcW w:w="925" w:type="dxa"/>
            <w:tcBorders>
              <w:top w:val="single" w:sz="2" w:space="0" w:color="000000"/>
              <w:bottom w:val="single" w:sz="2" w:space="0" w:color="000000"/>
            </w:tcBorders>
          </w:tcPr>
          <w:p>
            <w:pPr>
              <w:pStyle w:val="TableParagraph"/>
              <w:spacing w:before="51"/>
              <w:ind w:right="53"/>
              <w:jc w:val="right"/>
              <w:rPr>
                <w:rFonts w:ascii="TT Norms Pro Light"/>
                <w:b w:val="0"/>
                <w:sz w:val="14"/>
              </w:rPr>
            </w:pPr>
            <w:r>
              <w:rPr>
                <w:rFonts w:ascii="TT Norms Pro Light"/>
                <w:b w:val="0"/>
                <w:spacing w:val="-4"/>
                <w:sz w:val="14"/>
              </w:rPr>
              <w:t>61.4</w:t>
            </w:r>
          </w:p>
          <w:p>
            <w:pPr>
              <w:pStyle w:val="TableParagraph"/>
              <w:rPr>
                <w:rFonts w:ascii="TT Norms Pro"/>
                <w:b/>
                <w:sz w:val="14"/>
              </w:rPr>
            </w:pPr>
          </w:p>
          <w:p>
            <w:pPr>
              <w:pStyle w:val="TableParagraph"/>
              <w:spacing w:before="19"/>
              <w:rPr>
                <w:rFonts w:ascii="TT Norms Pro"/>
                <w:b/>
                <w:sz w:val="14"/>
              </w:rPr>
            </w:pPr>
          </w:p>
          <w:p>
            <w:pPr>
              <w:pStyle w:val="TableParagraph"/>
              <w:ind w:right="53"/>
              <w:jc w:val="right"/>
              <w:rPr>
                <w:rFonts w:ascii="TT Norms Pro Light"/>
                <w:b w:val="0"/>
                <w:sz w:val="14"/>
              </w:rPr>
            </w:pPr>
            <w:r>
              <w:rPr>
                <w:rFonts w:ascii="TT Norms Pro Light"/>
                <w:b w:val="0"/>
                <w:spacing w:val="-2"/>
                <w:sz w:val="14"/>
              </w:rPr>
              <w:t>26,966</w:t>
            </w:r>
          </w:p>
        </w:tc>
        <w:tc>
          <w:tcPr>
            <w:tcW w:w="925" w:type="dxa"/>
            <w:tcBorders>
              <w:top w:val="single" w:sz="2" w:space="0" w:color="000000"/>
              <w:bottom w:val="single" w:sz="2" w:space="0" w:color="000000"/>
            </w:tcBorders>
            <w:shd w:val="clear" w:color="auto" w:fill="E6E7E8"/>
          </w:tcPr>
          <w:p>
            <w:pPr>
              <w:pStyle w:val="TableParagraph"/>
              <w:spacing w:before="51"/>
              <w:ind w:right="52"/>
              <w:jc w:val="right"/>
              <w:rPr>
                <w:rFonts w:ascii="TT Norms Pro Light"/>
                <w:b w:val="0"/>
                <w:sz w:val="14"/>
              </w:rPr>
            </w:pPr>
            <w:r>
              <w:rPr>
                <w:rFonts w:ascii="TT Norms Pro Light"/>
                <w:b w:val="0"/>
                <w:spacing w:val="-4"/>
                <w:sz w:val="14"/>
              </w:rPr>
              <w:t>61.8</w:t>
            </w:r>
          </w:p>
          <w:p>
            <w:pPr>
              <w:pStyle w:val="TableParagraph"/>
              <w:rPr>
                <w:rFonts w:ascii="TT Norms Pro"/>
                <w:b/>
                <w:sz w:val="14"/>
              </w:rPr>
            </w:pPr>
          </w:p>
          <w:p>
            <w:pPr>
              <w:pStyle w:val="TableParagraph"/>
              <w:spacing w:before="19"/>
              <w:rPr>
                <w:rFonts w:ascii="TT Norms Pro"/>
                <w:b/>
                <w:sz w:val="14"/>
              </w:rPr>
            </w:pPr>
          </w:p>
          <w:p>
            <w:pPr>
              <w:pStyle w:val="TableParagraph"/>
              <w:ind w:right="53"/>
              <w:jc w:val="right"/>
              <w:rPr>
                <w:rFonts w:ascii="TT Norms Pro Light"/>
                <w:b w:val="0"/>
                <w:sz w:val="14"/>
              </w:rPr>
            </w:pPr>
            <w:r>
              <w:rPr>
                <w:rFonts w:ascii="TT Norms Pro Light"/>
                <w:b w:val="0"/>
                <w:spacing w:val="-2"/>
                <w:sz w:val="14"/>
              </w:rPr>
              <w:t>26,678</w:t>
            </w:r>
          </w:p>
        </w:tc>
        <w:tc>
          <w:tcPr>
            <w:tcW w:w="925" w:type="dxa"/>
            <w:tcBorders>
              <w:top w:val="single" w:sz="2" w:space="0" w:color="000000"/>
              <w:bottom w:val="single" w:sz="2" w:space="0" w:color="000000"/>
            </w:tcBorders>
          </w:tcPr>
          <w:p>
            <w:pPr>
              <w:pStyle w:val="TableParagraph"/>
              <w:spacing w:before="51"/>
              <w:ind w:right="109"/>
              <w:jc w:val="right"/>
              <w:rPr>
                <w:rFonts w:ascii="TT Norms Pro Light"/>
                <w:b w:val="0"/>
                <w:sz w:val="14"/>
              </w:rPr>
            </w:pPr>
            <w:r>
              <w:rPr>
                <w:rFonts w:ascii="TT Norms Pro Light"/>
                <w:b w:val="0"/>
                <w:spacing w:val="-4"/>
                <w:sz w:val="14"/>
              </w:rPr>
              <w:t>61.3</w:t>
            </w:r>
          </w:p>
          <w:p>
            <w:pPr>
              <w:pStyle w:val="TableParagraph"/>
              <w:rPr>
                <w:rFonts w:ascii="TT Norms Pro"/>
                <w:b/>
                <w:sz w:val="14"/>
              </w:rPr>
            </w:pPr>
          </w:p>
          <w:p>
            <w:pPr>
              <w:pStyle w:val="TableParagraph"/>
              <w:spacing w:before="19"/>
              <w:rPr>
                <w:rFonts w:ascii="TT Norms Pro"/>
                <w:b/>
                <w:sz w:val="14"/>
              </w:rPr>
            </w:pPr>
          </w:p>
          <w:p>
            <w:pPr>
              <w:pStyle w:val="TableParagraph"/>
              <w:ind w:right="52"/>
              <w:jc w:val="right"/>
              <w:rPr>
                <w:rFonts w:ascii="TT Norms Pro Light"/>
                <w:b w:val="0"/>
                <w:sz w:val="14"/>
              </w:rPr>
            </w:pPr>
            <w:r>
              <w:rPr>
                <w:rFonts w:ascii="TT Norms Pro Light"/>
                <w:b w:val="0"/>
                <w:spacing w:val="-2"/>
                <w:sz w:val="14"/>
              </w:rPr>
              <w:t>26,282</w:t>
            </w:r>
          </w:p>
        </w:tc>
      </w:tr>
    </w:tbl>
    <w:p>
      <w:pPr>
        <w:spacing w:line="264" w:lineRule="auto" w:before="136"/>
        <w:ind w:left="250" w:right="1990" w:hanging="44"/>
        <w:jc w:val="left"/>
        <w:rPr>
          <w:rFonts w:ascii="TT Norms Pro Light"/>
          <w:b w:val="0"/>
          <w:sz w:val="14"/>
        </w:rPr>
      </w:pPr>
      <w:r>
        <w:rPr>
          <w:rFonts w:ascii="TT Norms Pro Light"/>
          <w:b w:val="0"/>
          <w:position w:val="5"/>
          <w:sz w:val="8"/>
        </w:rPr>
        <w:t>1 </w:t>
      </w:r>
      <w:r>
        <w:rPr>
          <w:rFonts w:ascii="TT Norms Pro Light"/>
          <w:b w:val="0"/>
          <w:sz w:val="14"/>
        </w:rPr>
        <w:t>Full-year enrolments. 2020 full year enrolments as at 31 December 2020. 31 March enrolments were shown in previous Annual Reports.</w:t>
      </w:r>
      <w:r>
        <w:rPr>
          <w:rFonts w:ascii="TT Norms Pro Light"/>
          <w:b w:val="0"/>
          <w:spacing w:val="40"/>
          <w:sz w:val="14"/>
        </w:rPr>
        <w:t> </w:t>
      </w:r>
      <w:r>
        <w:rPr>
          <w:rFonts w:ascii="TT Norms Pro Light"/>
          <w:b w:val="0"/>
          <w:sz w:val="14"/>
        </w:rPr>
        <w:t>However for a more comprehensive view, full-year enrolments are now used.</w:t>
      </w:r>
    </w:p>
    <w:p>
      <w:pPr>
        <w:pStyle w:val="BodyText"/>
        <w:spacing w:before="23"/>
        <w:rPr>
          <w:b w:val="0"/>
          <w:sz w:val="20"/>
        </w:rPr>
      </w:pPr>
    </w:p>
    <w:p>
      <w:pPr>
        <w:spacing w:after="0"/>
        <w:rPr>
          <w:sz w:val="20"/>
        </w:rPr>
        <w:sectPr>
          <w:headerReference w:type="even" r:id="rId72"/>
          <w:headerReference w:type="default" r:id="rId73"/>
          <w:pgSz w:w="11910" w:h="16840"/>
          <w:pgMar w:header="468" w:footer="0" w:top="720" w:bottom="280" w:left="920" w:right="0"/>
          <w:pgNumType w:start="38"/>
        </w:sectPr>
      </w:pPr>
    </w:p>
    <w:p>
      <w:pPr>
        <w:spacing w:line="283" w:lineRule="auto" w:before="121"/>
        <w:ind w:left="206" w:right="38" w:firstLine="0"/>
        <w:jc w:val="left"/>
        <w:rPr>
          <w:rFonts w:ascii="TT Norms Pro Medium" w:hAnsi="TT Norms Pro Medium"/>
          <w:b/>
          <w:sz w:val="16"/>
        </w:rPr>
      </w:pPr>
      <w:r>
        <w:rPr>
          <w:rFonts w:ascii="TT Norms Pro Medium" w:hAnsi="TT Norms Pro Medium"/>
          <w:b/>
          <w:spacing w:val="-4"/>
          <w:sz w:val="16"/>
        </w:rPr>
        <w:t>TOTAL</w:t>
      </w:r>
      <w:r>
        <w:rPr>
          <w:rFonts w:ascii="TT Norms Pro Medium" w:hAnsi="TT Norms Pro Medium"/>
          <w:b/>
          <w:spacing w:val="-6"/>
          <w:sz w:val="16"/>
        </w:rPr>
        <w:t> </w:t>
      </w:r>
      <w:r>
        <w:rPr>
          <w:rFonts w:ascii="TT Norms Pro Medium" w:hAnsi="TT Norms Pro Medium"/>
          <w:b/>
          <w:spacing w:val="-4"/>
          <w:sz w:val="16"/>
        </w:rPr>
        <w:t>STUDENT</w:t>
      </w:r>
      <w:r>
        <w:rPr>
          <w:rFonts w:ascii="TT Norms Pro Medium" w:hAnsi="TT Norms Pro Medium"/>
          <w:b/>
          <w:spacing w:val="-5"/>
          <w:sz w:val="16"/>
        </w:rPr>
        <w:t> </w:t>
      </w:r>
      <w:r>
        <w:rPr>
          <w:rFonts w:ascii="TT Norms Pro Medium" w:hAnsi="TT Norms Pro Medium"/>
          <w:b/>
          <w:spacing w:val="-4"/>
          <w:sz w:val="16"/>
        </w:rPr>
        <w:t>ENROLMENTS</w:t>
      </w:r>
      <w:r>
        <w:rPr>
          <w:rFonts w:ascii="TT Norms Pro Medium" w:hAnsi="TT Norms Pro Medium"/>
          <w:b/>
          <w:spacing w:val="-6"/>
          <w:sz w:val="16"/>
        </w:rPr>
        <w:t> </w:t>
      </w:r>
      <w:r>
        <w:rPr>
          <w:rFonts w:ascii="TT Norms Pro Medium" w:hAnsi="TT Norms Pro Medium"/>
          <w:b/>
          <w:spacing w:val="-4"/>
          <w:sz w:val="16"/>
        </w:rPr>
        <w:t>BY</w:t>
      </w:r>
      <w:r>
        <w:rPr>
          <w:rFonts w:ascii="TT Norms Pro Medium" w:hAnsi="TT Norms Pro Medium"/>
          <w:b/>
          <w:spacing w:val="40"/>
          <w:sz w:val="16"/>
        </w:rPr>
        <w:t> </w:t>
      </w:r>
      <w:r>
        <w:rPr>
          <w:rFonts w:ascii="TT Norms Pro Medium" w:hAnsi="TT Norms Pro Medium"/>
          <w:b/>
          <w:sz w:val="16"/>
        </w:rPr>
        <w:t>BROAD COURSE TYPE, 2014–20</w:t>
      </w:r>
    </w:p>
    <w:p>
      <w:pPr>
        <w:spacing w:line="240" w:lineRule="auto" w:before="24"/>
        <w:rPr>
          <w:rFonts w:ascii="TT Norms Pro Medium"/>
          <w:b/>
          <w:sz w:val="12"/>
        </w:rPr>
      </w:pPr>
      <w:r>
        <w:rPr/>
        <w:br w:type="column"/>
      </w:r>
      <w:r>
        <w:rPr>
          <w:rFonts w:ascii="TT Norms Pro Medium"/>
          <w:b/>
          <w:sz w:val="12"/>
        </w:rPr>
      </w:r>
    </w:p>
    <w:p>
      <w:pPr>
        <w:spacing w:before="0"/>
        <w:ind w:left="0" w:right="0" w:firstLine="0"/>
        <w:jc w:val="right"/>
        <w:rPr>
          <w:rFonts w:ascii="TT Norms Pro Light"/>
          <w:b w:val="0"/>
          <w:sz w:val="12"/>
        </w:rPr>
      </w:pPr>
      <w:r>
        <w:rPr>
          <w:rFonts w:ascii="TT Norms Pro Light"/>
          <w:b w:val="0"/>
          <w:spacing w:val="-2"/>
          <w:sz w:val="12"/>
        </w:rPr>
        <w:t>30000</w:t>
      </w:r>
    </w:p>
    <w:p>
      <w:pPr>
        <w:spacing w:before="84"/>
        <w:ind w:left="0" w:right="0" w:firstLine="0"/>
        <w:jc w:val="right"/>
        <w:rPr>
          <w:rFonts w:ascii="TT Norms Pro Light"/>
          <w:b w:val="0"/>
          <w:sz w:val="12"/>
        </w:rPr>
      </w:pPr>
      <w:r>
        <w:rPr>
          <w:rFonts w:ascii="TT Norms Pro Light"/>
          <w:b w:val="0"/>
          <w:spacing w:val="-2"/>
          <w:sz w:val="12"/>
        </w:rPr>
        <w:t>28000</w:t>
      </w:r>
    </w:p>
    <w:p>
      <w:pPr>
        <w:spacing w:before="83"/>
        <w:ind w:left="0" w:right="0" w:firstLine="0"/>
        <w:jc w:val="right"/>
        <w:rPr>
          <w:rFonts w:ascii="TT Norms Pro Light"/>
          <w:b w:val="0"/>
          <w:sz w:val="12"/>
        </w:rPr>
      </w:pPr>
      <w:r>
        <w:rPr>
          <w:rFonts w:ascii="TT Norms Pro Light"/>
          <w:b w:val="0"/>
          <w:spacing w:val="-2"/>
          <w:sz w:val="12"/>
        </w:rPr>
        <w:t>26000</w:t>
      </w:r>
    </w:p>
    <w:p>
      <w:pPr>
        <w:spacing w:before="85"/>
        <w:ind w:left="0" w:right="0" w:firstLine="0"/>
        <w:jc w:val="right"/>
        <w:rPr>
          <w:rFonts w:ascii="TT Norms Pro Light"/>
          <w:b w:val="0"/>
          <w:sz w:val="12"/>
        </w:rPr>
      </w:pPr>
      <w:r>
        <w:rPr>
          <w:rFonts w:ascii="TT Norms Pro Light"/>
          <w:b w:val="0"/>
          <w:spacing w:val="-2"/>
          <w:sz w:val="12"/>
        </w:rPr>
        <w:t>24000</w:t>
      </w:r>
    </w:p>
    <w:p>
      <w:pPr>
        <w:spacing w:before="85"/>
        <w:ind w:left="0" w:right="0" w:firstLine="0"/>
        <w:jc w:val="right"/>
        <w:rPr>
          <w:rFonts w:ascii="TT Norms Pro Light"/>
          <w:b w:val="0"/>
          <w:sz w:val="12"/>
        </w:rPr>
      </w:pPr>
      <w:r>
        <w:rPr>
          <w:rFonts w:ascii="TT Norms Pro Light"/>
          <w:b w:val="0"/>
          <w:spacing w:val="-2"/>
          <w:sz w:val="12"/>
        </w:rPr>
        <w:t>22000</w:t>
      </w:r>
    </w:p>
    <w:p>
      <w:pPr>
        <w:spacing w:before="85"/>
        <w:ind w:left="0" w:right="0" w:firstLine="0"/>
        <w:jc w:val="right"/>
        <w:rPr>
          <w:rFonts w:ascii="TT Norms Pro Light"/>
          <w:b w:val="0"/>
          <w:sz w:val="12"/>
        </w:rPr>
      </w:pPr>
      <w:r>
        <w:rPr>
          <w:rFonts w:ascii="TT Norms Pro Light"/>
          <w:b w:val="0"/>
          <w:spacing w:val="-4"/>
          <w:sz w:val="12"/>
        </w:rPr>
        <w:t>20000</w:t>
      </w:r>
    </w:p>
    <w:p>
      <w:pPr>
        <w:spacing w:before="85"/>
        <w:ind w:left="0" w:right="0" w:firstLine="0"/>
        <w:jc w:val="right"/>
        <w:rPr>
          <w:rFonts w:ascii="TT Norms Pro Light"/>
          <w:b w:val="0"/>
          <w:sz w:val="12"/>
        </w:rPr>
      </w:pPr>
      <w:r>
        <w:rPr>
          <w:rFonts w:ascii="TT Norms Pro Light"/>
          <w:b w:val="0"/>
          <w:spacing w:val="-2"/>
          <w:sz w:val="12"/>
        </w:rPr>
        <w:t>18000</w:t>
      </w:r>
    </w:p>
    <w:p>
      <w:pPr>
        <w:spacing w:before="85"/>
        <w:ind w:left="0" w:right="0" w:firstLine="0"/>
        <w:jc w:val="right"/>
        <w:rPr>
          <w:rFonts w:ascii="TT Norms Pro Light"/>
          <w:b w:val="0"/>
          <w:sz w:val="12"/>
        </w:rPr>
      </w:pPr>
      <w:r>
        <w:rPr>
          <w:rFonts w:ascii="TT Norms Pro Light"/>
          <w:b w:val="0"/>
          <w:spacing w:val="-4"/>
          <w:sz w:val="12"/>
        </w:rPr>
        <w:t>16000</w:t>
      </w:r>
    </w:p>
    <w:p>
      <w:pPr>
        <w:spacing w:before="85"/>
        <w:ind w:left="0" w:right="0" w:firstLine="0"/>
        <w:jc w:val="right"/>
        <w:rPr>
          <w:rFonts w:ascii="TT Norms Pro Light"/>
          <w:b w:val="0"/>
          <w:sz w:val="12"/>
        </w:rPr>
      </w:pPr>
      <w:r>
        <w:rPr>
          <w:rFonts w:ascii="TT Norms Pro Light"/>
          <w:b w:val="0"/>
          <w:spacing w:val="-4"/>
          <w:sz w:val="12"/>
        </w:rPr>
        <w:t>14000</w:t>
      </w:r>
    </w:p>
    <w:p>
      <w:pPr>
        <w:spacing w:before="85"/>
        <w:ind w:left="0" w:right="0" w:firstLine="0"/>
        <w:jc w:val="right"/>
        <w:rPr>
          <w:rFonts w:ascii="TT Norms Pro Light"/>
          <w:b w:val="0"/>
          <w:sz w:val="12"/>
        </w:rPr>
      </w:pPr>
      <w:r>
        <w:rPr>
          <w:rFonts w:ascii="TT Norms Pro Light"/>
          <w:b w:val="0"/>
          <w:spacing w:val="-2"/>
          <w:sz w:val="12"/>
        </w:rPr>
        <w:t>12000</w:t>
      </w:r>
    </w:p>
    <w:p>
      <w:pPr>
        <w:spacing w:before="85"/>
        <w:ind w:left="0" w:right="0" w:firstLine="0"/>
        <w:jc w:val="right"/>
        <w:rPr>
          <w:rFonts w:ascii="TT Norms Pro Light"/>
          <w:b w:val="0"/>
          <w:sz w:val="12"/>
        </w:rPr>
      </w:pPr>
      <w:r>
        <w:rPr>
          <w:rFonts w:ascii="TT Norms Pro Light"/>
          <w:b w:val="0"/>
          <w:spacing w:val="-2"/>
          <w:sz w:val="12"/>
        </w:rPr>
        <w:t>10000</w:t>
      </w:r>
    </w:p>
    <w:p>
      <w:pPr>
        <w:spacing w:before="85"/>
        <w:ind w:left="0" w:right="0" w:firstLine="0"/>
        <w:jc w:val="right"/>
        <w:rPr>
          <w:rFonts w:ascii="TT Norms Pro Light"/>
          <w:b w:val="0"/>
          <w:sz w:val="12"/>
        </w:rPr>
      </w:pPr>
      <w:r>
        <w:rPr>
          <w:rFonts w:ascii="TT Norms Pro Light"/>
          <w:b w:val="0"/>
          <w:spacing w:val="-4"/>
          <w:sz w:val="12"/>
        </w:rPr>
        <w:t>8000</w:t>
      </w:r>
    </w:p>
    <w:p>
      <w:pPr>
        <w:spacing w:before="85"/>
        <w:ind w:left="0" w:right="0" w:firstLine="0"/>
        <w:jc w:val="right"/>
        <w:rPr>
          <w:rFonts w:ascii="TT Norms Pro Light"/>
          <w:b w:val="0"/>
          <w:sz w:val="12"/>
        </w:rPr>
      </w:pPr>
      <w:r>
        <w:rPr>
          <w:rFonts w:ascii="TT Norms Pro Light"/>
          <w:b w:val="0"/>
          <w:spacing w:val="-4"/>
          <w:sz w:val="12"/>
        </w:rPr>
        <w:t>6000</w:t>
      </w:r>
    </w:p>
    <w:p>
      <w:pPr>
        <w:spacing w:before="85"/>
        <w:ind w:left="0" w:right="0" w:firstLine="0"/>
        <w:jc w:val="right"/>
        <w:rPr>
          <w:rFonts w:ascii="TT Norms Pro Light"/>
          <w:b w:val="0"/>
          <w:sz w:val="12"/>
        </w:rPr>
      </w:pPr>
      <w:r>
        <w:rPr>
          <w:rFonts w:ascii="TT Norms Pro Light"/>
          <w:b w:val="0"/>
          <w:spacing w:val="-4"/>
          <w:sz w:val="12"/>
        </w:rPr>
        <w:t>4000</w:t>
      </w:r>
    </w:p>
    <w:p>
      <w:pPr>
        <w:spacing w:before="85"/>
        <w:ind w:left="0" w:right="0" w:firstLine="0"/>
        <w:jc w:val="right"/>
        <w:rPr>
          <w:rFonts w:ascii="TT Norms Pro Light"/>
          <w:b w:val="0"/>
          <w:sz w:val="12"/>
        </w:rPr>
      </w:pPr>
      <w:r>
        <w:rPr>
          <w:rFonts w:ascii="TT Norms Pro Light"/>
          <w:b w:val="0"/>
          <w:spacing w:val="-4"/>
          <w:sz w:val="12"/>
        </w:rPr>
        <w:t>2000</w:t>
      </w:r>
    </w:p>
    <w:p>
      <w:pPr>
        <w:spacing w:before="85"/>
        <w:ind w:left="0" w:right="0" w:firstLine="0"/>
        <w:jc w:val="right"/>
        <w:rPr>
          <w:rFonts w:ascii="TT Norms Pro Light"/>
          <w:b w:val="0"/>
          <w:sz w:val="12"/>
        </w:rPr>
      </w:pPr>
      <w:r>
        <w:rPr>
          <w:rFonts w:ascii="TT Norms Pro Light"/>
          <w:b w:val="0"/>
          <w:spacing w:val="-10"/>
          <w:sz w:val="12"/>
        </w:rPr>
        <w:t>0</w:t>
      </w:r>
    </w:p>
    <w:p>
      <w:pPr>
        <w:spacing w:line="240" w:lineRule="auto" w:before="144" w:after="0"/>
        <w:rPr>
          <w:rFonts w:ascii="TT Norms Pro Light"/>
          <w:b w:val="0"/>
          <w:sz w:val="20"/>
        </w:rPr>
      </w:pPr>
      <w:r>
        <w:rPr/>
        <w:br w:type="column"/>
      </w:r>
      <w:r>
        <w:rPr>
          <w:rFonts w:ascii="TT Norms Pro Light"/>
          <w:b w:val="0"/>
          <w:sz w:val="20"/>
        </w:rPr>
      </w:r>
    </w:p>
    <w:p>
      <w:pPr>
        <w:spacing w:line="240" w:lineRule="auto"/>
        <w:ind w:left="87" w:right="-101" w:firstLine="0"/>
        <w:jc w:val="left"/>
        <w:rPr>
          <w:rFonts w:ascii="TT Norms Pro Light"/>
          <w:sz w:val="20"/>
        </w:rPr>
      </w:pPr>
      <w:r>
        <w:rPr>
          <w:rFonts w:ascii="TT Norms Pro Light"/>
          <w:sz w:val="20"/>
        </w:rPr>
        <mc:AlternateContent>
          <mc:Choice Requires="wps">
            <w:drawing>
              <wp:inline distT="0" distB="0" distL="0" distR="0">
                <wp:extent cx="245745" cy="2083435"/>
                <wp:effectExtent l="0" t="0" r="0" b="2539"/>
                <wp:docPr id="422" name="Group 422"/>
                <wp:cNvGraphicFramePr>
                  <a:graphicFrameLocks/>
                </wp:cNvGraphicFramePr>
                <a:graphic>
                  <a:graphicData uri="http://schemas.microsoft.com/office/word/2010/wordprocessingGroup">
                    <wpg:wgp>
                      <wpg:cNvPr id="422" name="Group 422"/>
                      <wpg:cNvGrpSpPr/>
                      <wpg:grpSpPr>
                        <a:xfrm>
                          <a:off x="0" y="0"/>
                          <a:ext cx="245745" cy="2083435"/>
                          <a:chExt cx="245745" cy="2083435"/>
                        </a:xfrm>
                      </wpg:grpSpPr>
                      <wps:wsp>
                        <wps:cNvPr id="423" name="Graphic 423"/>
                        <wps:cNvSpPr/>
                        <wps:spPr>
                          <a:xfrm>
                            <a:off x="0" y="0"/>
                            <a:ext cx="245745" cy="1583690"/>
                          </a:xfrm>
                          <a:custGeom>
                            <a:avLst/>
                            <a:gdLst/>
                            <a:ahLst/>
                            <a:cxnLst/>
                            <a:rect l="l" t="t" r="r" b="b"/>
                            <a:pathLst>
                              <a:path w="245745" h="1583690">
                                <a:moveTo>
                                  <a:pt x="245630" y="0"/>
                                </a:moveTo>
                                <a:lnTo>
                                  <a:pt x="0" y="0"/>
                                </a:lnTo>
                                <a:lnTo>
                                  <a:pt x="0" y="1583207"/>
                                </a:lnTo>
                                <a:lnTo>
                                  <a:pt x="245630" y="1583207"/>
                                </a:lnTo>
                                <a:lnTo>
                                  <a:pt x="245630" y="0"/>
                                </a:lnTo>
                                <a:close/>
                              </a:path>
                            </a:pathLst>
                          </a:custGeom>
                          <a:solidFill>
                            <a:srgbClr val="21409A"/>
                          </a:solidFill>
                        </wps:spPr>
                        <wps:bodyPr wrap="square" lIns="0" tIns="0" rIns="0" bIns="0" rtlCol="0">
                          <a:prstTxWarp prst="textNoShape">
                            <a:avLst/>
                          </a:prstTxWarp>
                          <a:noAutofit/>
                        </wps:bodyPr>
                      </wps:wsp>
                      <wps:wsp>
                        <wps:cNvPr id="424" name="Graphic 424"/>
                        <wps:cNvSpPr/>
                        <wps:spPr>
                          <a:xfrm>
                            <a:off x="0" y="1583207"/>
                            <a:ext cx="245745" cy="326390"/>
                          </a:xfrm>
                          <a:custGeom>
                            <a:avLst/>
                            <a:gdLst/>
                            <a:ahLst/>
                            <a:cxnLst/>
                            <a:rect l="l" t="t" r="r" b="b"/>
                            <a:pathLst>
                              <a:path w="245745" h="326390">
                                <a:moveTo>
                                  <a:pt x="245630" y="0"/>
                                </a:moveTo>
                                <a:lnTo>
                                  <a:pt x="0" y="0"/>
                                </a:lnTo>
                                <a:lnTo>
                                  <a:pt x="0" y="325780"/>
                                </a:lnTo>
                                <a:lnTo>
                                  <a:pt x="245630" y="325780"/>
                                </a:lnTo>
                                <a:lnTo>
                                  <a:pt x="245630" y="0"/>
                                </a:lnTo>
                                <a:close/>
                              </a:path>
                            </a:pathLst>
                          </a:custGeom>
                          <a:solidFill>
                            <a:srgbClr val="000000"/>
                          </a:solidFill>
                        </wps:spPr>
                        <wps:bodyPr wrap="square" lIns="0" tIns="0" rIns="0" bIns="0" rtlCol="0">
                          <a:prstTxWarp prst="textNoShape">
                            <a:avLst/>
                          </a:prstTxWarp>
                          <a:noAutofit/>
                        </wps:bodyPr>
                      </wps:wsp>
                      <wps:wsp>
                        <wps:cNvPr id="425" name="Graphic 425"/>
                        <wps:cNvSpPr/>
                        <wps:spPr>
                          <a:xfrm>
                            <a:off x="0" y="1908987"/>
                            <a:ext cx="245745" cy="174625"/>
                          </a:xfrm>
                          <a:custGeom>
                            <a:avLst/>
                            <a:gdLst/>
                            <a:ahLst/>
                            <a:cxnLst/>
                            <a:rect l="l" t="t" r="r" b="b"/>
                            <a:pathLst>
                              <a:path w="245745" h="174625">
                                <a:moveTo>
                                  <a:pt x="245630" y="0"/>
                                </a:moveTo>
                                <a:lnTo>
                                  <a:pt x="0" y="0"/>
                                </a:lnTo>
                                <a:lnTo>
                                  <a:pt x="0" y="174269"/>
                                </a:lnTo>
                                <a:lnTo>
                                  <a:pt x="245630" y="174269"/>
                                </a:lnTo>
                                <a:lnTo>
                                  <a:pt x="245630" y="0"/>
                                </a:lnTo>
                                <a:close/>
                              </a:path>
                            </a:pathLst>
                          </a:custGeom>
                          <a:solidFill>
                            <a:srgbClr val="DDB00A"/>
                          </a:solidFill>
                        </wps:spPr>
                        <wps:bodyPr wrap="square" lIns="0" tIns="0" rIns="0" bIns="0" rtlCol="0">
                          <a:prstTxWarp prst="textNoShape">
                            <a:avLst/>
                          </a:prstTxWarp>
                          <a:noAutofit/>
                        </wps:bodyPr>
                      </wps:wsp>
                    </wpg:wgp>
                  </a:graphicData>
                </a:graphic>
              </wp:inline>
            </w:drawing>
          </mc:Choice>
          <mc:Fallback>
            <w:pict>
              <v:group style="width:19.350pt;height:164.05pt;mso-position-horizontal-relative:char;mso-position-vertical-relative:line" id="docshapegroup258" coordorigin="0,0" coordsize="387,3281">
                <v:rect style="position:absolute;left:0;top:0;width:387;height:2494" id="docshape259" filled="true" fillcolor="#21409a" stroked="false">
                  <v:fill type="solid"/>
                </v:rect>
                <v:rect style="position:absolute;left:0;top:2493;width:387;height:514" id="docshape260" filled="true" fillcolor="#000000" stroked="false">
                  <v:fill type="solid"/>
                </v:rect>
                <v:rect style="position:absolute;left:0;top:3006;width:387;height:275" id="docshape261" filled="true" fillcolor="#ddb00a" stroked="false">
                  <v:fill type="solid"/>
                </v:rect>
              </v:group>
            </w:pict>
          </mc:Fallback>
        </mc:AlternateContent>
      </w:r>
      <w:r>
        <w:rPr>
          <w:rFonts w:ascii="TT Norms Pro Light"/>
          <w:sz w:val="20"/>
        </w:rPr>
      </w:r>
      <w:r>
        <w:rPr>
          <w:rFonts w:ascii="Times New Roman"/>
          <w:spacing w:val="89"/>
          <w:sz w:val="20"/>
        </w:rPr>
        <w:t> </w:t>
      </w:r>
      <w:r>
        <w:rPr>
          <w:rFonts w:ascii="TT Norms Pro Light"/>
          <w:spacing w:val="89"/>
          <w:sz w:val="20"/>
        </w:rPr>
        <mc:AlternateContent>
          <mc:Choice Requires="wps">
            <w:drawing>
              <wp:inline distT="0" distB="0" distL="0" distR="0">
                <wp:extent cx="245745" cy="1986280"/>
                <wp:effectExtent l="0" t="0" r="0" b="4444"/>
                <wp:docPr id="426" name="Group 426"/>
                <wp:cNvGraphicFramePr>
                  <a:graphicFrameLocks/>
                </wp:cNvGraphicFramePr>
                <a:graphic>
                  <a:graphicData uri="http://schemas.microsoft.com/office/word/2010/wordprocessingGroup">
                    <wpg:wgp>
                      <wpg:cNvPr id="426" name="Group 426"/>
                      <wpg:cNvGrpSpPr/>
                      <wpg:grpSpPr>
                        <a:xfrm>
                          <a:off x="0" y="0"/>
                          <a:ext cx="245745" cy="1986280"/>
                          <a:chExt cx="245745" cy="1986280"/>
                        </a:xfrm>
                      </wpg:grpSpPr>
                      <wps:wsp>
                        <wps:cNvPr id="427" name="Graphic 427"/>
                        <wps:cNvSpPr/>
                        <wps:spPr>
                          <a:xfrm>
                            <a:off x="0" y="0"/>
                            <a:ext cx="245745" cy="1388745"/>
                          </a:xfrm>
                          <a:custGeom>
                            <a:avLst/>
                            <a:gdLst/>
                            <a:ahLst/>
                            <a:cxnLst/>
                            <a:rect l="l" t="t" r="r" b="b"/>
                            <a:pathLst>
                              <a:path w="245745" h="1388745">
                                <a:moveTo>
                                  <a:pt x="245630" y="0"/>
                                </a:moveTo>
                                <a:lnTo>
                                  <a:pt x="0" y="0"/>
                                </a:lnTo>
                                <a:lnTo>
                                  <a:pt x="0" y="1388643"/>
                                </a:lnTo>
                                <a:lnTo>
                                  <a:pt x="245630" y="1388643"/>
                                </a:lnTo>
                                <a:lnTo>
                                  <a:pt x="245630" y="0"/>
                                </a:lnTo>
                                <a:close/>
                              </a:path>
                            </a:pathLst>
                          </a:custGeom>
                          <a:solidFill>
                            <a:srgbClr val="21409A"/>
                          </a:solidFill>
                        </wps:spPr>
                        <wps:bodyPr wrap="square" lIns="0" tIns="0" rIns="0" bIns="0" rtlCol="0">
                          <a:prstTxWarp prst="textNoShape">
                            <a:avLst/>
                          </a:prstTxWarp>
                          <a:noAutofit/>
                        </wps:bodyPr>
                      </wps:wsp>
                      <wps:wsp>
                        <wps:cNvPr id="428" name="Graphic 428"/>
                        <wps:cNvSpPr/>
                        <wps:spPr>
                          <a:xfrm>
                            <a:off x="0" y="1388643"/>
                            <a:ext cx="245745" cy="437515"/>
                          </a:xfrm>
                          <a:custGeom>
                            <a:avLst/>
                            <a:gdLst/>
                            <a:ahLst/>
                            <a:cxnLst/>
                            <a:rect l="l" t="t" r="r" b="b"/>
                            <a:pathLst>
                              <a:path w="245745" h="437515">
                                <a:moveTo>
                                  <a:pt x="245630" y="0"/>
                                </a:moveTo>
                                <a:lnTo>
                                  <a:pt x="0" y="0"/>
                                </a:lnTo>
                                <a:lnTo>
                                  <a:pt x="0" y="437121"/>
                                </a:lnTo>
                                <a:lnTo>
                                  <a:pt x="245630" y="437121"/>
                                </a:lnTo>
                                <a:lnTo>
                                  <a:pt x="245630" y="0"/>
                                </a:lnTo>
                                <a:close/>
                              </a:path>
                            </a:pathLst>
                          </a:custGeom>
                          <a:solidFill>
                            <a:srgbClr val="000000"/>
                          </a:solidFill>
                        </wps:spPr>
                        <wps:bodyPr wrap="square" lIns="0" tIns="0" rIns="0" bIns="0" rtlCol="0">
                          <a:prstTxWarp prst="textNoShape">
                            <a:avLst/>
                          </a:prstTxWarp>
                          <a:noAutofit/>
                        </wps:bodyPr>
                      </wps:wsp>
                      <wps:wsp>
                        <wps:cNvPr id="429" name="Graphic 429"/>
                        <wps:cNvSpPr/>
                        <wps:spPr>
                          <a:xfrm>
                            <a:off x="0" y="1825764"/>
                            <a:ext cx="245745" cy="160655"/>
                          </a:xfrm>
                          <a:custGeom>
                            <a:avLst/>
                            <a:gdLst/>
                            <a:ahLst/>
                            <a:cxnLst/>
                            <a:rect l="l" t="t" r="r" b="b"/>
                            <a:pathLst>
                              <a:path w="245745" h="160655">
                                <a:moveTo>
                                  <a:pt x="245630" y="0"/>
                                </a:moveTo>
                                <a:lnTo>
                                  <a:pt x="0" y="0"/>
                                </a:lnTo>
                                <a:lnTo>
                                  <a:pt x="0" y="160210"/>
                                </a:lnTo>
                                <a:lnTo>
                                  <a:pt x="245630" y="160210"/>
                                </a:lnTo>
                                <a:lnTo>
                                  <a:pt x="245630" y="0"/>
                                </a:lnTo>
                                <a:close/>
                              </a:path>
                            </a:pathLst>
                          </a:custGeom>
                          <a:solidFill>
                            <a:srgbClr val="DDB00A"/>
                          </a:solidFill>
                        </wps:spPr>
                        <wps:bodyPr wrap="square" lIns="0" tIns="0" rIns="0" bIns="0" rtlCol="0">
                          <a:prstTxWarp prst="textNoShape">
                            <a:avLst/>
                          </a:prstTxWarp>
                          <a:noAutofit/>
                        </wps:bodyPr>
                      </wps:wsp>
                    </wpg:wgp>
                  </a:graphicData>
                </a:graphic>
              </wp:inline>
            </w:drawing>
          </mc:Choice>
          <mc:Fallback>
            <w:pict>
              <v:group style="width:19.350pt;height:156.4pt;mso-position-horizontal-relative:char;mso-position-vertical-relative:line" id="docshapegroup262" coordorigin="0,0" coordsize="387,3128">
                <v:rect style="position:absolute;left:0;top:0;width:387;height:2187" id="docshape263" filled="true" fillcolor="#21409a" stroked="false">
                  <v:fill type="solid"/>
                </v:rect>
                <v:rect style="position:absolute;left:0;top:2186;width:387;height:689" id="docshape264" filled="true" fillcolor="#000000" stroked="false">
                  <v:fill type="solid"/>
                </v:rect>
                <v:rect style="position:absolute;left:0;top:2875;width:387;height:253" id="docshape265" filled="true" fillcolor="#ddb00a" stroked="false">
                  <v:fill type="solid"/>
                </v:rect>
              </v:group>
            </w:pict>
          </mc:Fallback>
        </mc:AlternateContent>
      </w:r>
      <w:r>
        <w:rPr>
          <w:rFonts w:ascii="TT Norms Pro Light"/>
          <w:spacing w:val="89"/>
          <w:sz w:val="20"/>
        </w:rPr>
      </w:r>
      <w:r>
        <w:rPr>
          <w:rFonts w:ascii="Times New Roman"/>
          <w:spacing w:val="87"/>
          <w:sz w:val="20"/>
        </w:rPr>
        <w:t> </w:t>
      </w:r>
      <w:r>
        <w:rPr>
          <w:rFonts w:ascii="TT Norms Pro Light"/>
          <w:spacing w:val="87"/>
          <w:sz w:val="20"/>
        </w:rPr>
        <mc:AlternateContent>
          <mc:Choice Requires="wps">
            <w:drawing>
              <wp:inline distT="0" distB="0" distL="0" distR="0">
                <wp:extent cx="245745" cy="1995170"/>
                <wp:effectExtent l="0" t="0" r="0" b="5080"/>
                <wp:docPr id="430" name="Group 430"/>
                <wp:cNvGraphicFramePr>
                  <a:graphicFrameLocks/>
                </wp:cNvGraphicFramePr>
                <a:graphic>
                  <a:graphicData uri="http://schemas.microsoft.com/office/word/2010/wordprocessingGroup">
                    <wpg:wgp>
                      <wpg:cNvPr id="430" name="Group 430"/>
                      <wpg:cNvGrpSpPr/>
                      <wpg:grpSpPr>
                        <a:xfrm>
                          <a:off x="0" y="0"/>
                          <a:ext cx="245745" cy="1995170"/>
                          <a:chExt cx="245745" cy="1995170"/>
                        </a:xfrm>
                      </wpg:grpSpPr>
                      <wps:wsp>
                        <wps:cNvPr id="431" name="Graphic 431"/>
                        <wps:cNvSpPr/>
                        <wps:spPr>
                          <a:xfrm>
                            <a:off x="0" y="0"/>
                            <a:ext cx="245745" cy="1282700"/>
                          </a:xfrm>
                          <a:custGeom>
                            <a:avLst/>
                            <a:gdLst/>
                            <a:ahLst/>
                            <a:cxnLst/>
                            <a:rect l="l" t="t" r="r" b="b"/>
                            <a:pathLst>
                              <a:path w="245745" h="1282700">
                                <a:moveTo>
                                  <a:pt x="245630" y="0"/>
                                </a:moveTo>
                                <a:lnTo>
                                  <a:pt x="0" y="0"/>
                                </a:lnTo>
                                <a:lnTo>
                                  <a:pt x="0" y="1282496"/>
                                </a:lnTo>
                                <a:lnTo>
                                  <a:pt x="245630" y="1282496"/>
                                </a:lnTo>
                                <a:lnTo>
                                  <a:pt x="245630" y="0"/>
                                </a:lnTo>
                                <a:close/>
                              </a:path>
                            </a:pathLst>
                          </a:custGeom>
                          <a:solidFill>
                            <a:srgbClr val="21409A"/>
                          </a:solidFill>
                        </wps:spPr>
                        <wps:bodyPr wrap="square" lIns="0" tIns="0" rIns="0" bIns="0" rtlCol="0">
                          <a:prstTxWarp prst="textNoShape">
                            <a:avLst/>
                          </a:prstTxWarp>
                          <a:noAutofit/>
                        </wps:bodyPr>
                      </wps:wsp>
                      <wps:wsp>
                        <wps:cNvPr id="432" name="Graphic 432"/>
                        <wps:cNvSpPr/>
                        <wps:spPr>
                          <a:xfrm>
                            <a:off x="0" y="1282496"/>
                            <a:ext cx="245745" cy="539750"/>
                          </a:xfrm>
                          <a:custGeom>
                            <a:avLst/>
                            <a:gdLst/>
                            <a:ahLst/>
                            <a:cxnLst/>
                            <a:rect l="l" t="t" r="r" b="b"/>
                            <a:pathLst>
                              <a:path w="245745" h="539750">
                                <a:moveTo>
                                  <a:pt x="245630" y="0"/>
                                </a:moveTo>
                                <a:lnTo>
                                  <a:pt x="0" y="0"/>
                                </a:lnTo>
                                <a:lnTo>
                                  <a:pt x="0" y="539521"/>
                                </a:lnTo>
                                <a:lnTo>
                                  <a:pt x="245630" y="539521"/>
                                </a:lnTo>
                                <a:lnTo>
                                  <a:pt x="245630" y="0"/>
                                </a:lnTo>
                                <a:close/>
                              </a:path>
                            </a:pathLst>
                          </a:custGeom>
                          <a:solidFill>
                            <a:srgbClr val="000000"/>
                          </a:solidFill>
                        </wps:spPr>
                        <wps:bodyPr wrap="square" lIns="0" tIns="0" rIns="0" bIns="0" rtlCol="0">
                          <a:prstTxWarp prst="textNoShape">
                            <a:avLst/>
                          </a:prstTxWarp>
                          <a:noAutofit/>
                        </wps:bodyPr>
                      </wps:wsp>
                      <wps:wsp>
                        <wps:cNvPr id="433" name="Graphic 433"/>
                        <wps:cNvSpPr/>
                        <wps:spPr>
                          <a:xfrm>
                            <a:off x="0" y="1822018"/>
                            <a:ext cx="245745" cy="173355"/>
                          </a:xfrm>
                          <a:custGeom>
                            <a:avLst/>
                            <a:gdLst/>
                            <a:ahLst/>
                            <a:cxnLst/>
                            <a:rect l="l" t="t" r="r" b="b"/>
                            <a:pathLst>
                              <a:path w="245745" h="173355">
                                <a:moveTo>
                                  <a:pt x="245630" y="0"/>
                                </a:moveTo>
                                <a:lnTo>
                                  <a:pt x="0" y="0"/>
                                </a:lnTo>
                                <a:lnTo>
                                  <a:pt x="0" y="172783"/>
                                </a:lnTo>
                                <a:lnTo>
                                  <a:pt x="245630" y="172783"/>
                                </a:lnTo>
                                <a:lnTo>
                                  <a:pt x="245630" y="0"/>
                                </a:lnTo>
                                <a:close/>
                              </a:path>
                            </a:pathLst>
                          </a:custGeom>
                          <a:solidFill>
                            <a:srgbClr val="DDB00A"/>
                          </a:solidFill>
                        </wps:spPr>
                        <wps:bodyPr wrap="square" lIns="0" tIns="0" rIns="0" bIns="0" rtlCol="0">
                          <a:prstTxWarp prst="textNoShape">
                            <a:avLst/>
                          </a:prstTxWarp>
                          <a:noAutofit/>
                        </wps:bodyPr>
                      </wps:wsp>
                    </wpg:wgp>
                  </a:graphicData>
                </a:graphic>
              </wp:inline>
            </w:drawing>
          </mc:Choice>
          <mc:Fallback>
            <w:pict>
              <v:group style="width:19.350pt;height:157.1pt;mso-position-horizontal-relative:char;mso-position-vertical-relative:line" id="docshapegroup266" coordorigin="0,0" coordsize="387,3142">
                <v:rect style="position:absolute;left:0;top:0;width:387;height:2020" id="docshape267" filled="true" fillcolor="#21409a" stroked="false">
                  <v:fill type="solid"/>
                </v:rect>
                <v:rect style="position:absolute;left:0;top:2019;width:387;height:850" id="docshape268" filled="true" fillcolor="#000000" stroked="false">
                  <v:fill type="solid"/>
                </v:rect>
                <v:rect style="position:absolute;left:0;top:2869;width:387;height:273" id="docshape269" filled="true" fillcolor="#ddb00a" stroked="false">
                  <v:fill type="solid"/>
                </v:rect>
              </v:group>
            </w:pict>
          </mc:Fallback>
        </mc:AlternateContent>
      </w:r>
      <w:r>
        <w:rPr>
          <w:rFonts w:ascii="TT Norms Pro Light"/>
          <w:spacing w:val="87"/>
          <w:sz w:val="20"/>
        </w:rPr>
      </w:r>
      <w:r>
        <w:rPr>
          <w:rFonts w:ascii="Times New Roman"/>
          <w:spacing w:val="87"/>
          <w:sz w:val="20"/>
        </w:rPr>
        <w:t> </w:t>
      </w:r>
      <w:r>
        <w:rPr>
          <w:rFonts w:ascii="TT Norms Pro Light"/>
          <w:spacing w:val="87"/>
          <w:sz w:val="20"/>
        </w:rPr>
        <mc:AlternateContent>
          <mc:Choice Requires="wps">
            <w:drawing>
              <wp:inline distT="0" distB="0" distL="0" distR="0">
                <wp:extent cx="245745" cy="1986280"/>
                <wp:effectExtent l="0" t="0" r="0" b="4444"/>
                <wp:docPr id="434" name="Group 434"/>
                <wp:cNvGraphicFramePr>
                  <a:graphicFrameLocks/>
                </wp:cNvGraphicFramePr>
                <a:graphic>
                  <a:graphicData uri="http://schemas.microsoft.com/office/word/2010/wordprocessingGroup">
                    <wpg:wgp>
                      <wpg:cNvPr id="434" name="Group 434"/>
                      <wpg:cNvGrpSpPr/>
                      <wpg:grpSpPr>
                        <a:xfrm>
                          <a:off x="0" y="0"/>
                          <a:ext cx="245745" cy="1986280"/>
                          <a:chExt cx="245745" cy="1986280"/>
                        </a:xfrm>
                      </wpg:grpSpPr>
                      <wps:wsp>
                        <wps:cNvPr id="435" name="Graphic 435"/>
                        <wps:cNvSpPr/>
                        <wps:spPr>
                          <a:xfrm>
                            <a:off x="0" y="0"/>
                            <a:ext cx="245745" cy="1185545"/>
                          </a:xfrm>
                          <a:custGeom>
                            <a:avLst/>
                            <a:gdLst/>
                            <a:ahLst/>
                            <a:cxnLst/>
                            <a:rect l="l" t="t" r="r" b="b"/>
                            <a:pathLst>
                              <a:path w="245745" h="1185545">
                                <a:moveTo>
                                  <a:pt x="0" y="1185202"/>
                                </a:moveTo>
                                <a:lnTo>
                                  <a:pt x="245630" y="1185202"/>
                                </a:lnTo>
                                <a:lnTo>
                                  <a:pt x="245630" y="0"/>
                                </a:lnTo>
                                <a:lnTo>
                                  <a:pt x="0" y="0"/>
                                </a:lnTo>
                                <a:lnTo>
                                  <a:pt x="0" y="1185202"/>
                                </a:lnTo>
                                <a:close/>
                              </a:path>
                            </a:pathLst>
                          </a:custGeom>
                          <a:solidFill>
                            <a:srgbClr val="21409A"/>
                          </a:solidFill>
                        </wps:spPr>
                        <wps:bodyPr wrap="square" lIns="0" tIns="0" rIns="0" bIns="0" rtlCol="0">
                          <a:prstTxWarp prst="textNoShape">
                            <a:avLst/>
                          </a:prstTxWarp>
                          <a:noAutofit/>
                        </wps:bodyPr>
                      </wps:wsp>
                      <wps:wsp>
                        <wps:cNvPr id="436" name="Graphic 436"/>
                        <wps:cNvSpPr/>
                        <wps:spPr>
                          <a:xfrm>
                            <a:off x="0" y="1185202"/>
                            <a:ext cx="245745" cy="640715"/>
                          </a:xfrm>
                          <a:custGeom>
                            <a:avLst/>
                            <a:gdLst/>
                            <a:ahLst/>
                            <a:cxnLst/>
                            <a:rect l="l" t="t" r="r" b="b"/>
                            <a:pathLst>
                              <a:path w="245745" h="640715">
                                <a:moveTo>
                                  <a:pt x="245630" y="0"/>
                                </a:moveTo>
                                <a:lnTo>
                                  <a:pt x="0" y="0"/>
                                </a:lnTo>
                                <a:lnTo>
                                  <a:pt x="0" y="640562"/>
                                </a:lnTo>
                                <a:lnTo>
                                  <a:pt x="245630" y="640562"/>
                                </a:lnTo>
                                <a:lnTo>
                                  <a:pt x="245630" y="0"/>
                                </a:lnTo>
                                <a:close/>
                              </a:path>
                            </a:pathLst>
                          </a:custGeom>
                          <a:solidFill>
                            <a:srgbClr val="000000"/>
                          </a:solidFill>
                        </wps:spPr>
                        <wps:bodyPr wrap="square" lIns="0" tIns="0" rIns="0" bIns="0" rtlCol="0">
                          <a:prstTxWarp prst="textNoShape">
                            <a:avLst/>
                          </a:prstTxWarp>
                          <a:noAutofit/>
                        </wps:bodyPr>
                      </wps:wsp>
                      <wps:wsp>
                        <wps:cNvPr id="437" name="Graphic 437"/>
                        <wps:cNvSpPr/>
                        <wps:spPr>
                          <a:xfrm>
                            <a:off x="0" y="1822030"/>
                            <a:ext cx="245745" cy="164465"/>
                          </a:xfrm>
                          <a:custGeom>
                            <a:avLst/>
                            <a:gdLst/>
                            <a:ahLst/>
                            <a:cxnLst/>
                            <a:rect l="l" t="t" r="r" b="b"/>
                            <a:pathLst>
                              <a:path w="245745" h="164465">
                                <a:moveTo>
                                  <a:pt x="245630" y="0"/>
                                </a:moveTo>
                                <a:lnTo>
                                  <a:pt x="0" y="0"/>
                                </a:lnTo>
                                <a:lnTo>
                                  <a:pt x="0" y="163944"/>
                                </a:lnTo>
                                <a:lnTo>
                                  <a:pt x="245630" y="163944"/>
                                </a:lnTo>
                                <a:lnTo>
                                  <a:pt x="245630" y="0"/>
                                </a:lnTo>
                                <a:close/>
                              </a:path>
                            </a:pathLst>
                          </a:custGeom>
                          <a:solidFill>
                            <a:srgbClr val="DDB00A"/>
                          </a:solidFill>
                        </wps:spPr>
                        <wps:bodyPr wrap="square" lIns="0" tIns="0" rIns="0" bIns="0" rtlCol="0">
                          <a:prstTxWarp prst="textNoShape">
                            <a:avLst/>
                          </a:prstTxWarp>
                          <a:noAutofit/>
                        </wps:bodyPr>
                      </wps:wsp>
                    </wpg:wgp>
                  </a:graphicData>
                </a:graphic>
              </wp:inline>
            </w:drawing>
          </mc:Choice>
          <mc:Fallback>
            <w:pict>
              <v:group style="width:19.350pt;height:156.4pt;mso-position-horizontal-relative:char;mso-position-vertical-relative:line" id="docshapegroup270" coordorigin="0,0" coordsize="387,3128">
                <v:rect style="position:absolute;left:0;top:0;width:387;height:1867" id="docshape271" filled="true" fillcolor="#21409a" stroked="false">
                  <v:fill type="solid"/>
                </v:rect>
                <v:rect style="position:absolute;left:0;top:1866;width:387;height:1009" id="docshape272" filled="true" fillcolor="#000000" stroked="false">
                  <v:fill type="solid"/>
                </v:rect>
                <v:rect style="position:absolute;left:0;top:2869;width:387;height:259" id="docshape273" filled="true" fillcolor="#ddb00a" stroked="false">
                  <v:fill type="solid"/>
                </v:rect>
              </v:group>
            </w:pict>
          </mc:Fallback>
        </mc:AlternateContent>
      </w:r>
      <w:r>
        <w:rPr>
          <w:rFonts w:ascii="TT Norms Pro Light"/>
          <w:spacing w:val="87"/>
          <w:sz w:val="20"/>
        </w:rPr>
      </w:r>
      <w:r>
        <w:rPr>
          <w:rFonts w:ascii="Times New Roman"/>
          <w:spacing w:val="89"/>
          <w:sz w:val="20"/>
        </w:rPr>
        <w:t> </w:t>
      </w:r>
      <w:r>
        <w:rPr>
          <w:rFonts w:ascii="TT Norms Pro Light"/>
          <w:spacing w:val="89"/>
          <w:sz w:val="20"/>
        </w:rPr>
        <mc:AlternateContent>
          <mc:Choice Requires="wps">
            <w:drawing>
              <wp:inline distT="0" distB="0" distL="0" distR="0">
                <wp:extent cx="245745" cy="1941830"/>
                <wp:effectExtent l="0" t="0" r="0" b="1269"/>
                <wp:docPr id="438" name="Group 438"/>
                <wp:cNvGraphicFramePr>
                  <a:graphicFrameLocks/>
                </wp:cNvGraphicFramePr>
                <a:graphic>
                  <a:graphicData uri="http://schemas.microsoft.com/office/word/2010/wordprocessingGroup">
                    <wpg:wgp>
                      <wpg:cNvPr id="438" name="Group 438"/>
                      <wpg:cNvGrpSpPr/>
                      <wpg:grpSpPr>
                        <a:xfrm>
                          <a:off x="0" y="0"/>
                          <a:ext cx="245745" cy="1941830"/>
                          <a:chExt cx="245745" cy="1941830"/>
                        </a:xfrm>
                      </wpg:grpSpPr>
                      <wps:wsp>
                        <wps:cNvPr id="439" name="Graphic 439"/>
                        <wps:cNvSpPr/>
                        <wps:spPr>
                          <a:xfrm>
                            <a:off x="0" y="0"/>
                            <a:ext cx="245745" cy="1176655"/>
                          </a:xfrm>
                          <a:custGeom>
                            <a:avLst/>
                            <a:gdLst/>
                            <a:ahLst/>
                            <a:cxnLst/>
                            <a:rect l="l" t="t" r="r" b="b"/>
                            <a:pathLst>
                              <a:path w="245745" h="1176655">
                                <a:moveTo>
                                  <a:pt x="0" y="1176362"/>
                                </a:moveTo>
                                <a:lnTo>
                                  <a:pt x="245630" y="1176362"/>
                                </a:lnTo>
                                <a:lnTo>
                                  <a:pt x="245630" y="0"/>
                                </a:lnTo>
                                <a:lnTo>
                                  <a:pt x="0" y="0"/>
                                </a:lnTo>
                                <a:lnTo>
                                  <a:pt x="0" y="1176362"/>
                                </a:lnTo>
                                <a:close/>
                              </a:path>
                            </a:pathLst>
                          </a:custGeom>
                          <a:solidFill>
                            <a:srgbClr val="21409A"/>
                          </a:solidFill>
                        </wps:spPr>
                        <wps:bodyPr wrap="square" lIns="0" tIns="0" rIns="0" bIns="0" rtlCol="0">
                          <a:prstTxWarp prst="textNoShape">
                            <a:avLst/>
                          </a:prstTxWarp>
                          <a:noAutofit/>
                        </wps:bodyPr>
                      </wps:wsp>
                      <wps:wsp>
                        <wps:cNvPr id="440" name="Graphic 440"/>
                        <wps:cNvSpPr/>
                        <wps:spPr>
                          <a:xfrm>
                            <a:off x="0" y="1176362"/>
                            <a:ext cx="245745" cy="601980"/>
                          </a:xfrm>
                          <a:custGeom>
                            <a:avLst/>
                            <a:gdLst/>
                            <a:ahLst/>
                            <a:cxnLst/>
                            <a:rect l="l" t="t" r="r" b="b"/>
                            <a:pathLst>
                              <a:path w="245745" h="601980">
                                <a:moveTo>
                                  <a:pt x="245630" y="0"/>
                                </a:moveTo>
                                <a:lnTo>
                                  <a:pt x="0" y="0"/>
                                </a:lnTo>
                                <a:lnTo>
                                  <a:pt x="0" y="601433"/>
                                </a:lnTo>
                                <a:lnTo>
                                  <a:pt x="245630" y="601433"/>
                                </a:lnTo>
                                <a:lnTo>
                                  <a:pt x="245630" y="0"/>
                                </a:lnTo>
                                <a:close/>
                              </a:path>
                            </a:pathLst>
                          </a:custGeom>
                          <a:solidFill>
                            <a:srgbClr val="000000"/>
                          </a:solidFill>
                        </wps:spPr>
                        <wps:bodyPr wrap="square" lIns="0" tIns="0" rIns="0" bIns="0" rtlCol="0">
                          <a:prstTxWarp prst="textNoShape">
                            <a:avLst/>
                          </a:prstTxWarp>
                          <a:noAutofit/>
                        </wps:bodyPr>
                      </wps:wsp>
                      <wps:wsp>
                        <wps:cNvPr id="441" name="Graphic 441"/>
                        <wps:cNvSpPr/>
                        <wps:spPr>
                          <a:xfrm>
                            <a:off x="0" y="1777809"/>
                            <a:ext cx="245745" cy="164465"/>
                          </a:xfrm>
                          <a:custGeom>
                            <a:avLst/>
                            <a:gdLst/>
                            <a:ahLst/>
                            <a:cxnLst/>
                            <a:rect l="l" t="t" r="r" b="b"/>
                            <a:pathLst>
                              <a:path w="245745" h="164465">
                                <a:moveTo>
                                  <a:pt x="245630" y="0"/>
                                </a:moveTo>
                                <a:lnTo>
                                  <a:pt x="0" y="0"/>
                                </a:lnTo>
                                <a:lnTo>
                                  <a:pt x="0" y="163944"/>
                                </a:lnTo>
                                <a:lnTo>
                                  <a:pt x="245630" y="163944"/>
                                </a:lnTo>
                                <a:lnTo>
                                  <a:pt x="245630" y="0"/>
                                </a:lnTo>
                                <a:close/>
                              </a:path>
                            </a:pathLst>
                          </a:custGeom>
                          <a:solidFill>
                            <a:srgbClr val="DDB00A"/>
                          </a:solidFill>
                        </wps:spPr>
                        <wps:bodyPr wrap="square" lIns="0" tIns="0" rIns="0" bIns="0" rtlCol="0">
                          <a:prstTxWarp prst="textNoShape">
                            <a:avLst/>
                          </a:prstTxWarp>
                          <a:noAutofit/>
                        </wps:bodyPr>
                      </wps:wsp>
                    </wpg:wgp>
                  </a:graphicData>
                </a:graphic>
              </wp:inline>
            </w:drawing>
          </mc:Choice>
          <mc:Fallback>
            <w:pict>
              <v:group style="width:19.350pt;height:152.9pt;mso-position-horizontal-relative:char;mso-position-vertical-relative:line" id="docshapegroup274" coordorigin="0,0" coordsize="387,3058">
                <v:rect style="position:absolute;left:0;top:0;width:387;height:1853" id="docshape275" filled="true" fillcolor="#21409a" stroked="false">
                  <v:fill type="solid"/>
                </v:rect>
                <v:rect style="position:absolute;left:0;top:1852;width:387;height:948" id="docshape276" filled="true" fillcolor="#000000" stroked="false">
                  <v:fill type="solid"/>
                </v:rect>
                <v:rect style="position:absolute;left:0;top:2799;width:387;height:259" id="docshape277" filled="true" fillcolor="#ddb00a" stroked="false">
                  <v:fill type="solid"/>
                </v:rect>
              </v:group>
            </w:pict>
          </mc:Fallback>
        </mc:AlternateContent>
      </w:r>
      <w:r>
        <w:rPr>
          <w:rFonts w:ascii="TT Norms Pro Light"/>
          <w:spacing w:val="89"/>
          <w:sz w:val="20"/>
        </w:rPr>
      </w:r>
      <w:r>
        <w:rPr>
          <w:rFonts w:ascii="Times New Roman"/>
          <w:spacing w:val="86"/>
          <w:sz w:val="20"/>
        </w:rPr>
        <w:t> </w:t>
      </w:r>
      <w:r>
        <w:rPr>
          <w:rFonts w:ascii="TT Norms Pro Light"/>
          <w:spacing w:val="86"/>
          <w:sz w:val="20"/>
        </w:rPr>
        <mc:AlternateContent>
          <mc:Choice Requires="wps">
            <w:drawing>
              <wp:inline distT="0" distB="0" distL="0" distR="0">
                <wp:extent cx="245745" cy="1924685"/>
                <wp:effectExtent l="0" t="0" r="0" b="8889"/>
                <wp:docPr id="442" name="Group 442"/>
                <wp:cNvGraphicFramePr>
                  <a:graphicFrameLocks/>
                </wp:cNvGraphicFramePr>
                <a:graphic>
                  <a:graphicData uri="http://schemas.microsoft.com/office/word/2010/wordprocessingGroup">
                    <wpg:wgp>
                      <wpg:cNvPr id="442" name="Group 442"/>
                      <wpg:cNvGrpSpPr/>
                      <wpg:grpSpPr>
                        <a:xfrm>
                          <a:off x="0" y="0"/>
                          <a:ext cx="245745" cy="1924685"/>
                          <a:chExt cx="245745" cy="1924685"/>
                        </a:xfrm>
                      </wpg:grpSpPr>
                      <wps:wsp>
                        <wps:cNvPr id="443" name="Graphic 443"/>
                        <wps:cNvSpPr/>
                        <wps:spPr>
                          <a:xfrm>
                            <a:off x="0" y="0"/>
                            <a:ext cx="245745" cy="1176655"/>
                          </a:xfrm>
                          <a:custGeom>
                            <a:avLst/>
                            <a:gdLst/>
                            <a:ahLst/>
                            <a:cxnLst/>
                            <a:rect l="l" t="t" r="r" b="b"/>
                            <a:pathLst>
                              <a:path w="245745" h="1176655">
                                <a:moveTo>
                                  <a:pt x="0" y="1176362"/>
                                </a:moveTo>
                                <a:lnTo>
                                  <a:pt x="245630" y="1176362"/>
                                </a:lnTo>
                                <a:lnTo>
                                  <a:pt x="245630" y="0"/>
                                </a:lnTo>
                                <a:lnTo>
                                  <a:pt x="0" y="0"/>
                                </a:lnTo>
                                <a:lnTo>
                                  <a:pt x="0" y="1176362"/>
                                </a:lnTo>
                                <a:close/>
                              </a:path>
                            </a:pathLst>
                          </a:custGeom>
                          <a:solidFill>
                            <a:srgbClr val="21409A"/>
                          </a:solidFill>
                        </wps:spPr>
                        <wps:bodyPr wrap="square" lIns="0" tIns="0" rIns="0" bIns="0" rtlCol="0">
                          <a:prstTxWarp prst="textNoShape">
                            <a:avLst/>
                          </a:prstTxWarp>
                          <a:noAutofit/>
                        </wps:bodyPr>
                      </wps:wsp>
                      <wps:wsp>
                        <wps:cNvPr id="444" name="Graphic 444"/>
                        <wps:cNvSpPr/>
                        <wps:spPr>
                          <a:xfrm>
                            <a:off x="0" y="1176362"/>
                            <a:ext cx="245745" cy="584200"/>
                          </a:xfrm>
                          <a:custGeom>
                            <a:avLst/>
                            <a:gdLst/>
                            <a:ahLst/>
                            <a:cxnLst/>
                            <a:rect l="l" t="t" r="r" b="b"/>
                            <a:pathLst>
                              <a:path w="245745" h="584200">
                                <a:moveTo>
                                  <a:pt x="0" y="583755"/>
                                </a:moveTo>
                                <a:lnTo>
                                  <a:pt x="245630" y="583755"/>
                                </a:lnTo>
                                <a:lnTo>
                                  <a:pt x="245630" y="0"/>
                                </a:lnTo>
                                <a:lnTo>
                                  <a:pt x="0" y="0"/>
                                </a:lnTo>
                                <a:lnTo>
                                  <a:pt x="0" y="583755"/>
                                </a:lnTo>
                                <a:close/>
                              </a:path>
                            </a:pathLst>
                          </a:custGeom>
                          <a:solidFill>
                            <a:srgbClr val="000000"/>
                          </a:solidFill>
                        </wps:spPr>
                        <wps:bodyPr wrap="square" lIns="0" tIns="0" rIns="0" bIns="0" rtlCol="0">
                          <a:prstTxWarp prst="textNoShape">
                            <a:avLst/>
                          </a:prstTxWarp>
                          <a:noAutofit/>
                        </wps:bodyPr>
                      </wps:wsp>
                      <wps:wsp>
                        <wps:cNvPr id="445" name="Graphic 445"/>
                        <wps:cNvSpPr/>
                        <wps:spPr>
                          <a:xfrm>
                            <a:off x="0" y="1760118"/>
                            <a:ext cx="245745" cy="164465"/>
                          </a:xfrm>
                          <a:custGeom>
                            <a:avLst/>
                            <a:gdLst/>
                            <a:ahLst/>
                            <a:cxnLst/>
                            <a:rect l="l" t="t" r="r" b="b"/>
                            <a:pathLst>
                              <a:path w="245745" h="164465">
                                <a:moveTo>
                                  <a:pt x="245630" y="0"/>
                                </a:moveTo>
                                <a:lnTo>
                                  <a:pt x="0" y="0"/>
                                </a:lnTo>
                                <a:lnTo>
                                  <a:pt x="0" y="163944"/>
                                </a:lnTo>
                                <a:lnTo>
                                  <a:pt x="245630" y="163944"/>
                                </a:lnTo>
                                <a:lnTo>
                                  <a:pt x="245630" y="0"/>
                                </a:lnTo>
                                <a:close/>
                              </a:path>
                            </a:pathLst>
                          </a:custGeom>
                          <a:solidFill>
                            <a:srgbClr val="DDB00A"/>
                          </a:solidFill>
                        </wps:spPr>
                        <wps:bodyPr wrap="square" lIns="0" tIns="0" rIns="0" bIns="0" rtlCol="0">
                          <a:prstTxWarp prst="textNoShape">
                            <a:avLst/>
                          </a:prstTxWarp>
                          <a:noAutofit/>
                        </wps:bodyPr>
                      </wps:wsp>
                    </wpg:wgp>
                  </a:graphicData>
                </a:graphic>
              </wp:inline>
            </w:drawing>
          </mc:Choice>
          <mc:Fallback>
            <w:pict>
              <v:group style="width:19.350pt;height:151.550pt;mso-position-horizontal-relative:char;mso-position-vertical-relative:line" id="docshapegroup278" coordorigin="0,0" coordsize="387,3031">
                <v:rect style="position:absolute;left:0;top:0;width:387;height:1853" id="docshape279" filled="true" fillcolor="#21409a" stroked="false">
                  <v:fill type="solid"/>
                </v:rect>
                <v:rect style="position:absolute;left:0;top:1852;width:387;height:920" id="docshape280" filled="true" fillcolor="#000000" stroked="false">
                  <v:fill type="solid"/>
                </v:rect>
                <v:rect style="position:absolute;left:0;top:2771;width:387;height:259" id="docshape281" filled="true" fillcolor="#ddb00a" stroked="false">
                  <v:fill type="solid"/>
                </v:rect>
              </v:group>
            </w:pict>
          </mc:Fallback>
        </mc:AlternateContent>
      </w:r>
      <w:r>
        <w:rPr>
          <w:rFonts w:ascii="TT Norms Pro Light"/>
          <w:spacing w:val="86"/>
          <w:sz w:val="20"/>
        </w:rPr>
      </w:r>
      <w:r>
        <w:rPr>
          <w:rFonts w:ascii="Times New Roman"/>
          <w:spacing w:val="84"/>
          <w:sz w:val="20"/>
        </w:rPr>
        <w:t> </w:t>
      </w:r>
      <w:r>
        <w:rPr>
          <w:rFonts w:ascii="TT Norms Pro Light"/>
          <w:spacing w:val="84"/>
          <w:sz w:val="20"/>
        </w:rPr>
        <mc:AlternateContent>
          <mc:Choice Requires="wps">
            <w:drawing>
              <wp:inline distT="0" distB="0" distL="0" distR="0">
                <wp:extent cx="245745" cy="1910714"/>
                <wp:effectExtent l="0" t="0" r="0" b="3810"/>
                <wp:docPr id="446" name="Group 446"/>
                <wp:cNvGraphicFramePr>
                  <a:graphicFrameLocks/>
                </wp:cNvGraphicFramePr>
                <a:graphic>
                  <a:graphicData uri="http://schemas.microsoft.com/office/word/2010/wordprocessingGroup">
                    <wpg:wgp>
                      <wpg:cNvPr id="446" name="Group 446"/>
                      <wpg:cNvGrpSpPr/>
                      <wpg:grpSpPr>
                        <a:xfrm>
                          <a:off x="0" y="0"/>
                          <a:ext cx="245745" cy="1910714"/>
                          <a:chExt cx="245745" cy="1910714"/>
                        </a:xfrm>
                      </wpg:grpSpPr>
                      <wps:wsp>
                        <wps:cNvPr id="447" name="Graphic 447"/>
                        <wps:cNvSpPr/>
                        <wps:spPr>
                          <a:xfrm>
                            <a:off x="0" y="0"/>
                            <a:ext cx="245745" cy="1172845"/>
                          </a:xfrm>
                          <a:custGeom>
                            <a:avLst/>
                            <a:gdLst/>
                            <a:ahLst/>
                            <a:cxnLst/>
                            <a:rect l="l" t="t" r="r" b="b"/>
                            <a:pathLst>
                              <a:path w="245745" h="1172845">
                                <a:moveTo>
                                  <a:pt x="245630" y="0"/>
                                </a:moveTo>
                                <a:lnTo>
                                  <a:pt x="0" y="0"/>
                                </a:lnTo>
                                <a:lnTo>
                                  <a:pt x="0" y="1172540"/>
                                </a:lnTo>
                                <a:lnTo>
                                  <a:pt x="245630" y="1172540"/>
                                </a:lnTo>
                                <a:lnTo>
                                  <a:pt x="245630" y="0"/>
                                </a:lnTo>
                                <a:close/>
                              </a:path>
                            </a:pathLst>
                          </a:custGeom>
                          <a:solidFill>
                            <a:srgbClr val="21409A"/>
                          </a:solidFill>
                        </wps:spPr>
                        <wps:bodyPr wrap="square" lIns="0" tIns="0" rIns="0" bIns="0" rtlCol="0">
                          <a:prstTxWarp prst="textNoShape">
                            <a:avLst/>
                          </a:prstTxWarp>
                          <a:noAutofit/>
                        </wps:bodyPr>
                      </wps:wsp>
                      <wps:wsp>
                        <wps:cNvPr id="448" name="Graphic 448"/>
                        <wps:cNvSpPr/>
                        <wps:spPr>
                          <a:xfrm>
                            <a:off x="0" y="1170101"/>
                            <a:ext cx="245745" cy="577215"/>
                          </a:xfrm>
                          <a:custGeom>
                            <a:avLst/>
                            <a:gdLst/>
                            <a:ahLst/>
                            <a:cxnLst/>
                            <a:rect l="l" t="t" r="r" b="b"/>
                            <a:pathLst>
                              <a:path w="245745" h="577215">
                                <a:moveTo>
                                  <a:pt x="0" y="576668"/>
                                </a:moveTo>
                                <a:lnTo>
                                  <a:pt x="245630" y="576668"/>
                                </a:lnTo>
                                <a:lnTo>
                                  <a:pt x="245630" y="0"/>
                                </a:lnTo>
                                <a:lnTo>
                                  <a:pt x="0" y="0"/>
                                </a:lnTo>
                                <a:lnTo>
                                  <a:pt x="0" y="576668"/>
                                </a:lnTo>
                                <a:close/>
                              </a:path>
                            </a:pathLst>
                          </a:custGeom>
                          <a:solidFill>
                            <a:srgbClr val="000000"/>
                          </a:solidFill>
                        </wps:spPr>
                        <wps:bodyPr wrap="square" lIns="0" tIns="0" rIns="0" bIns="0" rtlCol="0">
                          <a:prstTxWarp prst="textNoShape">
                            <a:avLst/>
                          </a:prstTxWarp>
                          <a:noAutofit/>
                        </wps:bodyPr>
                      </wps:wsp>
                      <wps:wsp>
                        <wps:cNvPr id="449" name="Graphic 449"/>
                        <wps:cNvSpPr/>
                        <wps:spPr>
                          <a:xfrm>
                            <a:off x="0" y="1746770"/>
                            <a:ext cx="245745" cy="164465"/>
                          </a:xfrm>
                          <a:custGeom>
                            <a:avLst/>
                            <a:gdLst/>
                            <a:ahLst/>
                            <a:cxnLst/>
                            <a:rect l="l" t="t" r="r" b="b"/>
                            <a:pathLst>
                              <a:path w="245745" h="164465">
                                <a:moveTo>
                                  <a:pt x="245630" y="0"/>
                                </a:moveTo>
                                <a:lnTo>
                                  <a:pt x="0" y="0"/>
                                </a:lnTo>
                                <a:lnTo>
                                  <a:pt x="0" y="163944"/>
                                </a:lnTo>
                                <a:lnTo>
                                  <a:pt x="245630" y="163944"/>
                                </a:lnTo>
                                <a:lnTo>
                                  <a:pt x="245630" y="0"/>
                                </a:lnTo>
                                <a:close/>
                              </a:path>
                            </a:pathLst>
                          </a:custGeom>
                          <a:solidFill>
                            <a:srgbClr val="DDB00A"/>
                          </a:solidFill>
                        </wps:spPr>
                        <wps:bodyPr wrap="square" lIns="0" tIns="0" rIns="0" bIns="0" rtlCol="0">
                          <a:prstTxWarp prst="textNoShape">
                            <a:avLst/>
                          </a:prstTxWarp>
                          <a:noAutofit/>
                        </wps:bodyPr>
                      </wps:wsp>
                    </wpg:wgp>
                  </a:graphicData>
                </a:graphic>
              </wp:inline>
            </w:drawing>
          </mc:Choice>
          <mc:Fallback>
            <w:pict>
              <v:group style="width:19.350pt;height:150.450pt;mso-position-horizontal-relative:char;mso-position-vertical-relative:line" id="docshapegroup282" coordorigin="0,0" coordsize="387,3009">
                <v:rect style="position:absolute;left:0;top:0;width:387;height:1847" id="docshape283" filled="true" fillcolor="#21409a" stroked="false">
                  <v:fill type="solid"/>
                </v:rect>
                <v:rect style="position:absolute;left:0;top:1842;width:387;height:909" id="docshape284" filled="true" fillcolor="#000000" stroked="false">
                  <v:fill type="solid"/>
                </v:rect>
                <v:rect style="position:absolute;left:0;top:2750;width:387;height:259" id="docshape285" filled="true" fillcolor="#ddb00a" stroked="false">
                  <v:fill type="solid"/>
                </v:rect>
              </v:group>
            </w:pict>
          </mc:Fallback>
        </mc:AlternateContent>
      </w:r>
      <w:r>
        <w:rPr>
          <w:rFonts w:ascii="TT Norms Pro Light"/>
          <w:spacing w:val="84"/>
          <w:sz w:val="20"/>
        </w:rPr>
      </w:r>
    </w:p>
    <w:p>
      <w:pPr>
        <w:tabs>
          <w:tab w:pos="694" w:val="left" w:leader="none"/>
          <w:tab w:pos="1219" w:val="left" w:leader="none"/>
          <w:tab w:pos="1778" w:val="left" w:leader="none"/>
          <w:tab w:pos="2292" w:val="left" w:leader="none"/>
          <w:tab w:pos="2842" w:val="left" w:leader="none"/>
          <w:tab w:pos="3322" w:val="left" w:leader="none"/>
        </w:tabs>
        <w:spacing w:before="46"/>
        <w:ind w:left="156" w:right="0" w:firstLine="0"/>
        <w:jc w:val="left"/>
        <w:rPr>
          <w:rFonts w:ascii="TT Norms Pro Light"/>
          <w:b w:val="0"/>
          <w:sz w:val="12"/>
        </w:rPr>
      </w:pPr>
      <w:r>
        <w:rPr/>
        <mc:AlternateContent>
          <mc:Choice Requires="wps">
            <w:drawing>
              <wp:anchor distT="0" distB="0" distL="0" distR="0" allowOverlap="1" layoutInCell="1" locked="0" behindDoc="0" simplePos="0" relativeHeight="15821824">
                <wp:simplePos x="0" y="0"/>
                <wp:positionH relativeFrom="page">
                  <wp:posOffset>5670308</wp:posOffset>
                </wp:positionH>
                <wp:positionV relativeFrom="paragraph">
                  <wp:posOffset>-430669</wp:posOffset>
                </wp:positionV>
                <wp:extent cx="116839" cy="93345"/>
                <wp:effectExtent l="0" t="0" r="0" b="0"/>
                <wp:wrapNone/>
                <wp:docPr id="450" name="Graphic 450"/>
                <wp:cNvGraphicFramePr>
                  <a:graphicFrameLocks/>
                </wp:cNvGraphicFramePr>
                <a:graphic>
                  <a:graphicData uri="http://schemas.microsoft.com/office/word/2010/wordprocessingShape">
                    <wps:wsp>
                      <wps:cNvPr id="450" name="Graphic 450"/>
                      <wps:cNvSpPr/>
                      <wps:spPr>
                        <a:xfrm>
                          <a:off x="0" y="0"/>
                          <a:ext cx="116839" cy="93345"/>
                        </a:xfrm>
                        <a:custGeom>
                          <a:avLst/>
                          <a:gdLst/>
                          <a:ahLst/>
                          <a:cxnLst/>
                          <a:rect l="l" t="t" r="r" b="b"/>
                          <a:pathLst>
                            <a:path w="116839" h="93345">
                              <a:moveTo>
                                <a:pt x="116255" y="0"/>
                              </a:moveTo>
                              <a:lnTo>
                                <a:pt x="0" y="0"/>
                              </a:lnTo>
                              <a:lnTo>
                                <a:pt x="0" y="93002"/>
                              </a:lnTo>
                              <a:lnTo>
                                <a:pt x="116255" y="93002"/>
                              </a:lnTo>
                              <a:lnTo>
                                <a:pt x="116255" y="0"/>
                              </a:lnTo>
                              <a:close/>
                            </a:path>
                          </a:pathLst>
                        </a:custGeom>
                        <a:solidFill>
                          <a:srgbClr val="21409A"/>
                        </a:solidFill>
                      </wps:spPr>
                      <wps:bodyPr wrap="square" lIns="0" tIns="0" rIns="0" bIns="0" rtlCol="0">
                        <a:prstTxWarp prst="textNoShape">
                          <a:avLst/>
                        </a:prstTxWarp>
                        <a:noAutofit/>
                      </wps:bodyPr>
                    </wps:wsp>
                  </a:graphicData>
                </a:graphic>
              </wp:anchor>
            </w:drawing>
          </mc:Choice>
          <mc:Fallback>
            <w:pict>
              <v:rect style="position:absolute;margin-left:446.480988pt;margin-top:-33.910999pt;width:9.154pt;height:7.323pt;mso-position-horizontal-relative:page;mso-position-vertical-relative:paragraph;z-index:15821824" id="docshape286" filled="true" fillcolor="#21409a" stroked="false">
                <v:fill type="solid"/>
                <w10:wrap type="none"/>
              </v:rect>
            </w:pict>
          </mc:Fallback>
        </mc:AlternateContent>
      </w:r>
      <w:r>
        <w:rPr/>
        <mc:AlternateContent>
          <mc:Choice Requires="wps">
            <w:drawing>
              <wp:anchor distT="0" distB="0" distL="0" distR="0" allowOverlap="1" layoutInCell="1" locked="0" behindDoc="0" simplePos="0" relativeHeight="15822336">
                <wp:simplePos x="0" y="0"/>
                <wp:positionH relativeFrom="page">
                  <wp:posOffset>5670308</wp:posOffset>
                </wp:positionH>
                <wp:positionV relativeFrom="paragraph">
                  <wp:posOffset>-267309</wp:posOffset>
                </wp:positionV>
                <wp:extent cx="116839" cy="93345"/>
                <wp:effectExtent l="0" t="0" r="0" b="0"/>
                <wp:wrapNone/>
                <wp:docPr id="451" name="Graphic 451"/>
                <wp:cNvGraphicFramePr>
                  <a:graphicFrameLocks/>
                </wp:cNvGraphicFramePr>
                <a:graphic>
                  <a:graphicData uri="http://schemas.microsoft.com/office/word/2010/wordprocessingShape">
                    <wps:wsp>
                      <wps:cNvPr id="451" name="Graphic 451"/>
                      <wps:cNvSpPr/>
                      <wps:spPr>
                        <a:xfrm>
                          <a:off x="0" y="0"/>
                          <a:ext cx="116839" cy="93345"/>
                        </a:xfrm>
                        <a:custGeom>
                          <a:avLst/>
                          <a:gdLst/>
                          <a:ahLst/>
                          <a:cxnLst/>
                          <a:rect l="l" t="t" r="r" b="b"/>
                          <a:pathLst>
                            <a:path w="116839" h="93345">
                              <a:moveTo>
                                <a:pt x="116255" y="0"/>
                              </a:moveTo>
                              <a:lnTo>
                                <a:pt x="0" y="0"/>
                              </a:lnTo>
                              <a:lnTo>
                                <a:pt x="0" y="93002"/>
                              </a:lnTo>
                              <a:lnTo>
                                <a:pt x="116255" y="93002"/>
                              </a:lnTo>
                              <a:lnTo>
                                <a:pt x="11625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46.480988pt;margin-top:-21.048pt;width:9.154pt;height:7.323pt;mso-position-horizontal-relative:page;mso-position-vertical-relative:paragraph;z-index:15822336" id="docshape287"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5822848">
                <wp:simplePos x="0" y="0"/>
                <wp:positionH relativeFrom="page">
                  <wp:posOffset>5670308</wp:posOffset>
                </wp:positionH>
                <wp:positionV relativeFrom="paragraph">
                  <wp:posOffset>-113423</wp:posOffset>
                </wp:positionV>
                <wp:extent cx="116839" cy="93345"/>
                <wp:effectExtent l="0" t="0" r="0" b="0"/>
                <wp:wrapNone/>
                <wp:docPr id="452" name="Graphic 452"/>
                <wp:cNvGraphicFramePr>
                  <a:graphicFrameLocks/>
                </wp:cNvGraphicFramePr>
                <a:graphic>
                  <a:graphicData uri="http://schemas.microsoft.com/office/word/2010/wordprocessingShape">
                    <wps:wsp>
                      <wps:cNvPr id="452" name="Graphic 452"/>
                      <wps:cNvSpPr/>
                      <wps:spPr>
                        <a:xfrm>
                          <a:off x="0" y="0"/>
                          <a:ext cx="116839" cy="93345"/>
                        </a:xfrm>
                        <a:custGeom>
                          <a:avLst/>
                          <a:gdLst/>
                          <a:ahLst/>
                          <a:cxnLst/>
                          <a:rect l="l" t="t" r="r" b="b"/>
                          <a:pathLst>
                            <a:path w="116839" h="93345">
                              <a:moveTo>
                                <a:pt x="116255" y="0"/>
                              </a:moveTo>
                              <a:lnTo>
                                <a:pt x="0" y="0"/>
                              </a:lnTo>
                              <a:lnTo>
                                <a:pt x="0" y="93002"/>
                              </a:lnTo>
                              <a:lnTo>
                                <a:pt x="116255" y="93002"/>
                              </a:lnTo>
                              <a:lnTo>
                                <a:pt x="116255" y="0"/>
                              </a:lnTo>
                              <a:close/>
                            </a:path>
                          </a:pathLst>
                        </a:custGeom>
                        <a:solidFill>
                          <a:srgbClr val="DDB00A"/>
                        </a:solidFill>
                      </wps:spPr>
                      <wps:bodyPr wrap="square" lIns="0" tIns="0" rIns="0" bIns="0" rtlCol="0">
                        <a:prstTxWarp prst="textNoShape">
                          <a:avLst/>
                        </a:prstTxWarp>
                        <a:noAutofit/>
                      </wps:bodyPr>
                    </wps:wsp>
                  </a:graphicData>
                </a:graphic>
              </wp:anchor>
            </w:drawing>
          </mc:Choice>
          <mc:Fallback>
            <w:pict>
              <v:rect style="position:absolute;margin-left:446.480988pt;margin-top:-8.931pt;width:9.154pt;height:7.323pt;mso-position-horizontal-relative:page;mso-position-vertical-relative:paragraph;z-index:15822848" id="docshape288" filled="true" fillcolor="#ddb00a" stroked="false">
                <v:fill type="solid"/>
                <w10:wrap type="none"/>
              </v:rect>
            </w:pict>
          </mc:Fallback>
        </mc:AlternateContent>
      </w:r>
      <w:r>
        <w:rPr>
          <w:rFonts w:ascii="TT Norms Pro Light"/>
          <w:b w:val="0"/>
          <w:spacing w:val="-4"/>
          <w:sz w:val="12"/>
        </w:rPr>
        <w:t>2014</w:t>
      </w:r>
      <w:r>
        <w:rPr>
          <w:rFonts w:ascii="TT Norms Pro Light"/>
          <w:b w:val="0"/>
          <w:sz w:val="12"/>
        </w:rPr>
        <w:tab/>
      </w:r>
      <w:r>
        <w:rPr>
          <w:rFonts w:ascii="TT Norms Pro Light"/>
          <w:b w:val="0"/>
          <w:spacing w:val="-4"/>
          <w:sz w:val="12"/>
        </w:rPr>
        <w:t>2015</w:t>
      </w:r>
      <w:r>
        <w:rPr>
          <w:rFonts w:ascii="TT Norms Pro Light"/>
          <w:b w:val="0"/>
          <w:sz w:val="12"/>
        </w:rPr>
        <w:tab/>
      </w:r>
      <w:r>
        <w:rPr>
          <w:rFonts w:ascii="TT Norms Pro Light"/>
          <w:b w:val="0"/>
          <w:spacing w:val="-4"/>
          <w:sz w:val="12"/>
        </w:rPr>
        <w:t>2016</w:t>
      </w:r>
      <w:r>
        <w:rPr>
          <w:rFonts w:ascii="TT Norms Pro Light"/>
          <w:b w:val="0"/>
          <w:sz w:val="12"/>
        </w:rPr>
        <w:tab/>
      </w:r>
      <w:r>
        <w:rPr>
          <w:rFonts w:ascii="TT Norms Pro Light"/>
          <w:b w:val="0"/>
          <w:spacing w:val="-4"/>
          <w:sz w:val="12"/>
        </w:rPr>
        <w:t>2017</w:t>
      </w:r>
      <w:r>
        <w:rPr>
          <w:rFonts w:ascii="TT Norms Pro Light"/>
          <w:b w:val="0"/>
          <w:sz w:val="12"/>
        </w:rPr>
        <w:tab/>
      </w:r>
      <w:r>
        <w:rPr>
          <w:rFonts w:ascii="TT Norms Pro Light"/>
          <w:b w:val="0"/>
          <w:spacing w:val="-4"/>
          <w:sz w:val="12"/>
        </w:rPr>
        <w:t>2018</w:t>
      </w:r>
      <w:r>
        <w:rPr>
          <w:rFonts w:ascii="TT Norms Pro Light"/>
          <w:b w:val="0"/>
          <w:sz w:val="12"/>
        </w:rPr>
        <w:tab/>
      </w:r>
      <w:r>
        <w:rPr>
          <w:rFonts w:ascii="TT Norms Pro Light"/>
          <w:b w:val="0"/>
          <w:spacing w:val="-4"/>
          <w:sz w:val="12"/>
        </w:rPr>
        <w:t>2019</w:t>
      </w:r>
      <w:r>
        <w:rPr>
          <w:rFonts w:ascii="TT Norms Pro Light"/>
          <w:b w:val="0"/>
          <w:sz w:val="12"/>
        </w:rPr>
        <w:tab/>
      </w:r>
      <w:r>
        <w:rPr>
          <w:rFonts w:ascii="TT Norms Pro Light"/>
          <w:b w:val="0"/>
          <w:spacing w:val="-4"/>
          <w:sz w:val="12"/>
        </w:rPr>
        <w:t>2020</w:t>
      </w:r>
    </w:p>
    <w:p>
      <w:pPr>
        <w:spacing w:line="240" w:lineRule="auto" w:before="0"/>
        <w:rPr>
          <w:rFonts w:ascii="TT Norms Pro Light"/>
          <w:b w:val="0"/>
          <w:sz w:val="12"/>
        </w:rPr>
      </w:pPr>
      <w:r>
        <w:rPr/>
        <w:br w:type="column"/>
      </w:r>
      <w:r>
        <w:rPr>
          <w:rFonts w:ascii="TT Norms Pro Light"/>
          <w:b w:val="0"/>
          <w:sz w:val="12"/>
        </w:rPr>
      </w:r>
    </w:p>
    <w:p>
      <w:pPr>
        <w:pStyle w:val="BodyText"/>
        <w:rPr>
          <w:b w:val="0"/>
          <w:sz w:val="12"/>
        </w:rPr>
      </w:pPr>
    </w:p>
    <w:p>
      <w:pPr>
        <w:pStyle w:val="BodyText"/>
        <w:rPr>
          <w:b w:val="0"/>
          <w:sz w:val="12"/>
        </w:rPr>
      </w:pPr>
    </w:p>
    <w:p>
      <w:pPr>
        <w:pStyle w:val="BodyText"/>
        <w:rPr>
          <w:b w:val="0"/>
          <w:sz w:val="12"/>
        </w:rPr>
      </w:pPr>
    </w:p>
    <w:p>
      <w:pPr>
        <w:pStyle w:val="BodyText"/>
        <w:rPr>
          <w:b w:val="0"/>
          <w:sz w:val="12"/>
        </w:rPr>
      </w:pPr>
    </w:p>
    <w:p>
      <w:pPr>
        <w:pStyle w:val="BodyText"/>
        <w:rPr>
          <w:b w:val="0"/>
          <w:sz w:val="12"/>
        </w:rPr>
      </w:pPr>
    </w:p>
    <w:p>
      <w:pPr>
        <w:pStyle w:val="BodyText"/>
        <w:rPr>
          <w:b w:val="0"/>
          <w:sz w:val="12"/>
        </w:rPr>
      </w:pPr>
    </w:p>
    <w:p>
      <w:pPr>
        <w:pStyle w:val="BodyText"/>
        <w:rPr>
          <w:b w:val="0"/>
          <w:sz w:val="12"/>
        </w:rPr>
      </w:pPr>
    </w:p>
    <w:p>
      <w:pPr>
        <w:pStyle w:val="BodyText"/>
        <w:rPr>
          <w:b w:val="0"/>
          <w:sz w:val="12"/>
        </w:rPr>
      </w:pPr>
    </w:p>
    <w:p>
      <w:pPr>
        <w:pStyle w:val="BodyText"/>
        <w:rPr>
          <w:b w:val="0"/>
          <w:sz w:val="12"/>
        </w:rPr>
      </w:pPr>
    </w:p>
    <w:p>
      <w:pPr>
        <w:pStyle w:val="BodyText"/>
        <w:rPr>
          <w:b w:val="0"/>
          <w:sz w:val="12"/>
        </w:rPr>
      </w:pPr>
    </w:p>
    <w:p>
      <w:pPr>
        <w:pStyle w:val="BodyText"/>
        <w:rPr>
          <w:b w:val="0"/>
          <w:sz w:val="12"/>
        </w:rPr>
      </w:pPr>
    </w:p>
    <w:p>
      <w:pPr>
        <w:pStyle w:val="BodyText"/>
        <w:rPr>
          <w:b w:val="0"/>
          <w:sz w:val="12"/>
        </w:rPr>
      </w:pPr>
    </w:p>
    <w:p>
      <w:pPr>
        <w:pStyle w:val="BodyText"/>
        <w:rPr>
          <w:b w:val="0"/>
          <w:sz w:val="12"/>
        </w:rPr>
      </w:pPr>
    </w:p>
    <w:p>
      <w:pPr>
        <w:pStyle w:val="BodyText"/>
        <w:rPr>
          <w:b w:val="0"/>
          <w:sz w:val="12"/>
        </w:rPr>
      </w:pPr>
    </w:p>
    <w:p>
      <w:pPr>
        <w:pStyle w:val="BodyText"/>
        <w:rPr>
          <w:b w:val="0"/>
          <w:sz w:val="12"/>
        </w:rPr>
      </w:pPr>
    </w:p>
    <w:p>
      <w:pPr>
        <w:pStyle w:val="BodyText"/>
        <w:rPr>
          <w:b w:val="0"/>
          <w:sz w:val="12"/>
        </w:rPr>
      </w:pPr>
    </w:p>
    <w:p>
      <w:pPr>
        <w:pStyle w:val="BodyText"/>
        <w:rPr>
          <w:b w:val="0"/>
          <w:sz w:val="12"/>
        </w:rPr>
      </w:pPr>
    </w:p>
    <w:p>
      <w:pPr>
        <w:pStyle w:val="BodyText"/>
        <w:rPr>
          <w:b w:val="0"/>
          <w:sz w:val="12"/>
        </w:rPr>
      </w:pPr>
    </w:p>
    <w:p>
      <w:pPr>
        <w:pStyle w:val="BodyText"/>
        <w:rPr>
          <w:b w:val="0"/>
          <w:sz w:val="12"/>
        </w:rPr>
      </w:pPr>
    </w:p>
    <w:p>
      <w:pPr>
        <w:pStyle w:val="BodyText"/>
        <w:spacing w:before="62"/>
        <w:rPr>
          <w:b w:val="0"/>
          <w:sz w:val="12"/>
        </w:rPr>
      </w:pPr>
    </w:p>
    <w:p>
      <w:pPr>
        <w:spacing w:line="427" w:lineRule="auto" w:before="0"/>
        <w:ind w:left="206" w:right="1357" w:firstLine="0"/>
        <w:jc w:val="left"/>
        <w:rPr>
          <w:rFonts w:ascii="TT Norms Pro Light"/>
          <w:b w:val="0"/>
          <w:sz w:val="12"/>
        </w:rPr>
      </w:pPr>
      <w:r>
        <w:rPr>
          <w:rFonts w:ascii="TT Norms Pro Light"/>
          <w:b w:val="0"/>
          <w:spacing w:val="-2"/>
          <w:sz w:val="12"/>
        </w:rPr>
        <w:t>Undergraduate</w:t>
      </w:r>
      <w:r>
        <w:rPr>
          <w:rFonts w:ascii="TT Norms Pro Light"/>
          <w:b w:val="0"/>
          <w:spacing w:val="40"/>
          <w:sz w:val="12"/>
        </w:rPr>
        <w:t> </w:t>
      </w:r>
      <w:r>
        <w:rPr>
          <w:rFonts w:ascii="TT Norms Pro Light"/>
          <w:b w:val="0"/>
          <w:spacing w:val="-2"/>
          <w:sz w:val="12"/>
        </w:rPr>
        <w:t>Postgraduate</w:t>
      </w:r>
      <w:r>
        <w:rPr>
          <w:rFonts w:ascii="TT Norms Pro Light"/>
          <w:b w:val="0"/>
          <w:spacing w:val="-4"/>
          <w:sz w:val="12"/>
        </w:rPr>
        <w:t> </w:t>
      </w:r>
      <w:r>
        <w:rPr>
          <w:rFonts w:ascii="TT Norms Pro Light"/>
          <w:b w:val="0"/>
          <w:spacing w:val="-2"/>
          <w:sz w:val="12"/>
        </w:rPr>
        <w:t>coursework</w:t>
      </w:r>
      <w:r>
        <w:rPr>
          <w:rFonts w:ascii="TT Norms Pro Light"/>
          <w:b w:val="0"/>
          <w:spacing w:val="40"/>
          <w:sz w:val="12"/>
        </w:rPr>
        <w:t> </w:t>
      </w:r>
      <w:r>
        <w:rPr>
          <w:rFonts w:ascii="TT Norms Pro Light"/>
          <w:b w:val="0"/>
          <w:sz w:val="12"/>
        </w:rPr>
        <w:t>Higher</w:t>
      </w:r>
      <w:r>
        <w:rPr>
          <w:rFonts w:ascii="TT Norms Pro Light"/>
          <w:b w:val="0"/>
          <w:spacing w:val="-1"/>
          <w:sz w:val="12"/>
        </w:rPr>
        <w:t> </w:t>
      </w:r>
      <w:r>
        <w:rPr>
          <w:rFonts w:ascii="TT Norms Pro Light"/>
          <w:b w:val="0"/>
          <w:sz w:val="12"/>
        </w:rPr>
        <w:t>degree research</w:t>
      </w:r>
    </w:p>
    <w:p>
      <w:pPr>
        <w:spacing w:after="0" w:line="427" w:lineRule="auto"/>
        <w:jc w:val="left"/>
        <w:rPr>
          <w:rFonts w:ascii="TT Norms Pro Light"/>
          <w:sz w:val="12"/>
        </w:rPr>
        <w:sectPr>
          <w:type w:val="continuous"/>
          <w:pgSz w:w="11910" w:h="16840"/>
          <w:pgMar w:header="468" w:footer="0" w:top="980" w:bottom="280" w:left="920" w:right="0"/>
          <w:cols w:num="4" w:equalWidth="0">
            <w:col w:w="3001" w:space="436"/>
            <w:col w:w="595" w:space="40"/>
            <w:col w:w="3656" w:space="345"/>
            <w:col w:w="2917"/>
          </w:cols>
        </w:sect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spacing w:before="138"/>
        <w:rPr>
          <w:b w:val="0"/>
        </w:rPr>
      </w:pPr>
    </w:p>
    <w:p>
      <w:pPr>
        <w:pStyle w:val="BodyText"/>
        <w:ind w:left="213"/>
        <w:rPr>
          <w:b w:val="0"/>
        </w:rPr>
      </w:pPr>
      <w:r>
        <w:rPr>
          <w:rFonts w:ascii="TT Norms Pro Medium"/>
          <w:b/>
        </w:rPr>
        <w:t>TABLE</w:t>
      </w:r>
      <w:r>
        <w:rPr>
          <w:rFonts w:ascii="TT Norms Pro Medium"/>
          <w:b/>
          <w:spacing w:val="-7"/>
        </w:rPr>
        <w:t> </w:t>
      </w:r>
      <w:r>
        <w:rPr>
          <w:rFonts w:ascii="TT Norms Pro Medium"/>
          <w:b/>
        </w:rPr>
        <w:t>2:</w:t>
      </w:r>
      <w:r>
        <w:rPr>
          <w:rFonts w:ascii="TT Norms Pro Medium"/>
          <w:b/>
          <w:spacing w:val="-7"/>
        </w:rPr>
        <w:t> </w:t>
      </w:r>
      <w:r>
        <w:rPr>
          <w:b w:val="0"/>
        </w:rPr>
        <w:t>student</w:t>
      </w:r>
      <w:r>
        <w:rPr>
          <w:b w:val="0"/>
          <w:spacing w:val="-2"/>
        </w:rPr>
        <w:t> </w:t>
      </w:r>
      <w:r>
        <w:rPr>
          <w:b w:val="0"/>
        </w:rPr>
        <w:t>load</w:t>
      </w:r>
      <w:r>
        <w:rPr>
          <w:b w:val="0"/>
          <w:spacing w:val="-2"/>
        </w:rPr>
        <w:t> </w:t>
      </w:r>
      <w:r>
        <w:rPr>
          <w:b w:val="0"/>
        </w:rPr>
        <w:t>(EFTSL)</w:t>
      </w:r>
      <w:r>
        <w:rPr>
          <w:b w:val="0"/>
          <w:spacing w:val="-2"/>
        </w:rPr>
        <w:t> </w:t>
      </w:r>
      <w:r>
        <w:rPr>
          <w:b w:val="0"/>
        </w:rPr>
        <w:t>by</w:t>
      </w:r>
      <w:r>
        <w:rPr>
          <w:b w:val="0"/>
          <w:spacing w:val="-1"/>
        </w:rPr>
        <w:t> </w:t>
      </w:r>
      <w:r>
        <w:rPr>
          <w:b w:val="0"/>
        </w:rPr>
        <w:t>funding</w:t>
      </w:r>
      <w:r>
        <w:rPr>
          <w:b w:val="0"/>
          <w:spacing w:val="-2"/>
        </w:rPr>
        <w:t> </w:t>
      </w:r>
      <w:r>
        <w:rPr>
          <w:b w:val="0"/>
        </w:rPr>
        <w:t>source</w:t>
      </w:r>
      <w:r>
        <w:rPr>
          <w:b w:val="0"/>
          <w:spacing w:val="-2"/>
        </w:rPr>
        <w:t> </w:t>
      </w:r>
      <w:r>
        <w:rPr>
          <w:b w:val="0"/>
        </w:rPr>
        <w:t>and</w:t>
      </w:r>
      <w:r>
        <w:rPr>
          <w:b w:val="0"/>
          <w:spacing w:val="-2"/>
        </w:rPr>
        <w:t> </w:t>
      </w:r>
      <w:r>
        <w:rPr>
          <w:b w:val="0"/>
        </w:rPr>
        <w:t>broad</w:t>
      </w:r>
      <w:r>
        <w:rPr>
          <w:b w:val="0"/>
          <w:spacing w:val="-2"/>
        </w:rPr>
        <w:t> </w:t>
      </w:r>
      <w:r>
        <w:rPr>
          <w:b w:val="0"/>
        </w:rPr>
        <w:t>course</w:t>
      </w:r>
      <w:r>
        <w:rPr>
          <w:b w:val="0"/>
          <w:spacing w:val="-1"/>
        </w:rPr>
        <w:t> </w:t>
      </w:r>
      <w:r>
        <w:rPr>
          <w:b w:val="0"/>
        </w:rPr>
        <w:t>type,</w:t>
      </w:r>
      <w:r>
        <w:rPr>
          <w:b w:val="0"/>
          <w:spacing w:val="-2"/>
        </w:rPr>
        <w:t> </w:t>
      </w:r>
      <w:r>
        <w:rPr>
          <w:b w:val="0"/>
        </w:rPr>
        <w:t>actual</w:t>
      </w:r>
      <w:r>
        <w:rPr>
          <w:b w:val="0"/>
          <w:spacing w:val="-2"/>
        </w:rPr>
        <w:t> </w:t>
      </w:r>
      <w:r>
        <w:rPr>
          <w:b w:val="0"/>
        </w:rPr>
        <w:t>2014-19</w:t>
      </w:r>
      <w:r>
        <w:rPr>
          <w:b w:val="0"/>
          <w:spacing w:val="-2"/>
        </w:rPr>
        <w:t> </w:t>
      </w:r>
      <w:r>
        <w:rPr>
          <w:b w:val="0"/>
        </w:rPr>
        <w:t>and</w:t>
      </w:r>
      <w:r>
        <w:rPr>
          <w:b w:val="0"/>
          <w:spacing w:val="-1"/>
        </w:rPr>
        <w:t> </w:t>
      </w:r>
      <w:r>
        <w:rPr>
          <w:b w:val="0"/>
        </w:rPr>
        <w:t>2020</w:t>
      </w:r>
      <w:r>
        <w:rPr>
          <w:b w:val="0"/>
          <w:spacing w:val="-2"/>
        </w:rPr>
        <w:t> preliminary</w:t>
      </w:r>
    </w:p>
    <w:p>
      <w:pPr>
        <w:pStyle w:val="BodyText"/>
        <w:rPr>
          <w:b w:val="0"/>
          <w:sz w:val="9"/>
        </w:rPr>
      </w:pPr>
      <w:r>
        <w:rPr/>
        <mc:AlternateContent>
          <mc:Choice Requires="wps">
            <w:drawing>
              <wp:anchor distT="0" distB="0" distL="0" distR="0" allowOverlap="1" layoutInCell="1" locked="0" behindDoc="1" simplePos="0" relativeHeight="487682560">
                <wp:simplePos x="0" y="0"/>
                <wp:positionH relativeFrom="page">
                  <wp:posOffset>721050</wp:posOffset>
                </wp:positionH>
                <wp:positionV relativeFrom="paragraph">
                  <wp:posOffset>82330</wp:posOffset>
                </wp:positionV>
                <wp:extent cx="6146800" cy="12700"/>
                <wp:effectExtent l="0" t="0" r="0" b="0"/>
                <wp:wrapTopAndBottom/>
                <wp:docPr id="453" name="Group 453"/>
                <wp:cNvGraphicFramePr>
                  <a:graphicFrameLocks/>
                </wp:cNvGraphicFramePr>
                <a:graphic>
                  <a:graphicData uri="http://schemas.microsoft.com/office/word/2010/wordprocessingGroup">
                    <wpg:wgp>
                      <wpg:cNvPr id="453" name="Group 453"/>
                      <wpg:cNvGrpSpPr/>
                      <wpg:grpSpPr>
                        <a:xfrm>
                          <a:off x="0" y="0"/>
                          <a:ext cx="6146800" cy="12700"/>
                          <a:chExt cx="6146800" cy="12700"/>
                        </a:xfrm>
                      </wpg:grpSpPr>
                      <wps:wsp>
                        <wps:cNvPr id="454" name="Graphic 454"/>
                        <wps:cNvSpPr/>
                        <wps:spPr>
                          <a:xfrm>
                            <a:off x="0" y="6350"/>
                            <a:ext cx="2152015" cy="1270"/>
                          </a:xfrm>
                          <a:custGeom>
                            <a:avLst/>
                            <a:gdLst/>
                            <a:ahLst/>
                            <a:cxnLst/>
                            <a:rect l="l" t="t" r="r" b="b"/>
                            <a:pathLst>
                              <a:path w="2152015" h="0">
                                <a:moveTo>
                                  <a:pt x="0" y="0"/>
                                </a:moveTo>
                                <a:lnTo>
                                  <a:pt x="2151748" y="0"/>
                                </a:lnTo>
                              </a:path>
                            </a:pathLst>
                          </a:custGeom>
                          <a:ln w="12700">
                            <a:solidFill>
                              <a:srgbClr val="000000"/>
                            </a:solidFill>
                            <a:prstDash val="solid"/>
                          </a:ln>
                        </wps:spPr>
                        <wps:bodyPr wrap="square" lIns="0" tIns="0" rIns="0" bIns="0" rtlCol="0">
                          <a:prstTxWarp prst="textNoShape">
                            <a:avLst/>
                          </a:prstTxWarp>
                          <a:noAutofit/>
                        </wps:bodyPr>
                      </wps:wsp>
                      <wps:wsp>
                        <wps:cNvPr id="455" name="Graphic 455"/>
                        <wps:cNvSpPr/>
                        <wps:spPr>
                          <a:xfrm>
                            <a:off x="2151749" y="6350"/>
                            <a:ext cx="570865" cy="1270"/>
                          </a:xfrm>
                          <a:custGeom>
                            <a:avLst/>
                            <a:gdLst/>
                            <a:ahLst/>
                            <a:cxnLst/>
                            <a:rect l="l" t="t" r="r" b="b"/>
                            <a:pathLst>
                              <a:path w="570865" h="0">
                                <a:moveTo>
                                  <a:pt x="0" y="0"/>
                                </a:moveTo>
                                <a:lnTo>
                                  <a:pt x="570712" y="0"/>
                                </a:lnTo>
                              </a:path>
                            </a:pathLst>
                          </a:custGeom>
                          <a:ln w="12700">
                            <a:solidFill>
                              <a:srgbClr val="000000"/>
                            </a:solidFill>
                            <a:prstDash val="solid"/>
                          </a:ln>
                        </wps:spPr>
                        <wps:bodyPr wrap="square" lIns="0" tIns="0" rIns="0" bIns="0" rtlCol="0">
                          <a:prstTxWarp prst="textNoShape">
                            <a:avLst/>
                          </a:prstTxWarp>
                          <a:noAutofit/>
                        </wps:bodyPr>
                      </wps:wsp>
                      <wps:wsp>
                        <wps:cNvPr id="456" name="Graphic 456"/>
                        <wps:cNvSpPr/>
                        <wps:spPr>
                          <a:xfrm>
                            <a:off x="2722457" y="6350"/>
                            <a:ext cx="570865" cy="1270"/>
                          </a:xfrm>
                          <a:custGeom>
                            <a:avLst/>
                            <a:gdLst/>
                            <a:ahLst/>
                            <a:cxnLst/>
                            <a:rect l="l" t="t" r="r" b="b"/>
                            <a:pathLst>
                              <a:path w="570865" h="0">
                                <a:moveTo>
                                  <a:pt x="0" y="0"/>
                                </a:moveTo>
                                <a:lnTo>
                                  <a:pt x="570712" y="0"/>
                                </a:lnTo>
                              </a:path>
                            </a:pathLst>
                          </a:custGeom>
                          <a:ln w="12700">
                            <a:solidFill>
                              <a:srgbClr val="000000"/>
                            </a:solidFill>
                            <a:prstDash val="solid"/>
                          </a:ln>
                        </wps:spPr>
                        <wps:bodyPr wrap="square" lIns="0" tIns="0" rIns="0" bIns="0" rtlCol="0">
                          <a:prstTxWarp prst="textNoShape">
                            <a:avLst/>
                          </a:prstTxWarp>
                          <a:noAutofit/>
                        </wps:bodyPr>
                      </wps:wsp>
                      <wps:wsp>
                        <wps:cNvPr id="457" name="Graphic 457"/>
                        <wps:cNvSpPr/>
                        <wps:spPr>
                          <a:xfrm>
                            <a:off x="3293163" y="6350"/>
                            <a:ext cx="570865" cy="1270"/>
                          </a:xfrm>
                          <a:custGeom>
                            <a:avLst/>
                            <a:gdLst/>
                            <a:ahLst/>
                            <a:cxnLst/>
                            <a:rect l="l" t="t" r="r" b="b"/>
                            <a:pathLst>
                              <a:path w="570865" h="0">
                                <a:moveTo>
                                  <a:pt x="0" y="0"/>
                                </a:moveTo>
                                <a:lnTo>
                                  <a:pt x="570712" y="0"/>
                                </a:lnTo>
                              </a:path>
                            </a:pathLst>
                          </a:custGeom>
                          <a:ln w="12700">
                            <a:solidFill>
                              <a:srgbClr val="000000"/>
                            </a:solidFill>
                            <a:prstDash val="solid"/>
                          </a:ln>
                        </wps:spPr>
                        <wps:bodyPr wrap="square" lIns="0" tIns="0" rIns="0" bIns="0" rtlCol="0">
                          <a:prstTxWarp prst="textNoShape">
                            <a:avLst/>
                          </a:prstTxWarp>
                          <a:noAutofit/>
                        </wps:bodyPr>
                      </wps:wsp>
                      <wps:wsp>
                        <wps:cNvPr id="458" name="Graphic 458"/>
                        <wps:cNvSpPr/>
                        <wps:spPr>
                          <a:xfrm>
                            <a:off x="3863872" y="6350"/>
                            <a:ext cx="570865" cy="1270"/>
                          </a:xfrm>
                          <a:custGeom>
                            <a:avLst/>
                            <a:gdLst/>
                            <a:ahLst/>
                            <a:cxnLst/>
                            <a:rect l="l" t="t" r="r" b="b"/>
                            <a:pathLst>
                              <a:path w="570865" h="0">
                                <a:moveTo>
                                  <a:pt x="0" y="0"/>
                                </a:moveTo>
                                <a:lnTo>
                                  <a:pt x="570712" y="0"/>
                                </a:lnTo>
                              </a:path>
                            </a:pathLst>
                          </a:custGeom>
                          <a:ln w="12700">
                            <a:solidFill>
                              <a:srgbClr val="000000"/>
                            </a:solidFill>
                            <a:prstDash val="solid"/>
                          </a:ln>
                        </wps:spPr>
                        <wps:bodyPr wrap="square" lIns="0" tIns="0" rIns="0" bIns="0" rtlCol="0">
                          <a:prstTxWarp prst="textNoShape">
                            <a:avLst/>
                          </a:prstTxWarp>
                          <a:noAutofit/>
                        </wps:bodyPr>
                      </wps:wsp>
                      <wps:wsp>
                        <wps:cNvPr id="459" name="Graphic 459"/>
                        <wps:cNvSpPr/>
                        <wps:spPr>
                          <a:xfrm>
                            <a:off x="4434578" y="6350"/>
                            <a:ext cx="570865" cy="1270"/>
                          </a:xfrm>
                          <a:custGeom>
                            <a:avLst/>
                            <a:gdLst/>
                            <a:ahLst/>
                            <a:cxnLst/>
                            <a:rect l="l" t="t" r="r" b="b"/>
                            <a:pathLst>
                              <a:path w="570865" h="0">
                                <a:moveTo>
                                  <a:pt x="0" y="0"/>
                                </a:moveTo>
                                <a:lnTo>
                                  <a:pt x="570712" y="0"/>
                                </a:lnTo>
                              </a:path>
                            </a:pathLst>
                          </a:custGeom>
                          <a:ln w="12700">
                            <a:solidFill>
                              <a:srgbClr val="000000"/>
                            </a:solidFill>
                            <a:prstDash val="solid"/>
                          </a:ln>
                        </wps:spPr>
                        <wps:bodyPr wrap="square" lIns="0" tIns="0" rIns="0" bIns="0" rtlCol="0">
                          <a:prstTxWarp prst="textNoShape">
                            <a:avLst/>
                          </a:prstTxWarp>
                          <a:noAutofit/>
                        </wps:bodyPr>
                      </wps:wsp>
                      <wps:wsp>
                        <wps:cNvPr id="460" name="Graphic 460"/>
                        <wps:cNvSpPr/>
                        <wps:spPr>
                          <a:xfrm>
                            <a:off x="5005285" y="6350"/>
                            <a:ext cx="570865" cy="1270"/>
                          </a:xfrm>
                          <a:custGeom>
                            <a:avLst/>
                            <a:gdLst/>
                            <a:ahLst/>
                            <a:cxnLst/>
                            <a:rect l="l" t="t" r="r" b="b"/>
                            <a:pathLst>
                              <a:path w="570865" h="0">
                                <a:moveTo>
                                  <a:pt x="0" y="0"/>
                                </a:moveTo>
                                <a:lnTo>
                                  <a:pt x="570712" y="0"/>
                                </a:lnTo>
                              </a:path>
                            </a:pathLst>
                          </a:custGeom>
                          <a:ln w="12700">
                            <a:solidFill>
                              <a:srgbClr val="000000"/>
                            </a:solidFill>
                            <a:prstDash val="solid"/>
                          </a:ln>
                        </wps:spPr>
                        <wps:bodyPr wrap="square" lIns="0" tIns="0" rIns="0" bIns="0" rtlCol="0">
                          <a:prstTxWarp prst="textNoShape">
                            <a:avLst/>
                          </a:prstTxWarp>
                          <a:noAutofit/>
                        </wps:bodyPr>
                      </wps:wsp>
                      <wps:wsp>
                        <wps:cNvPr id="461" name="Graphic 461"/>
                        <wps:cNvSpPr/>
                        <wps:spPr>
                          <a:xfrm>
                            <a:off x="5575992" y="6350"/>
                            <a:ext cx="570865" cy="1270"/>
                          </a:xfrm>
                          <a:custGeom>
                            <a:avLst/>
                            <a:gdLst/>
                            <a:ahLst/>
                            <a:cxnLst/>
                            <a:rect l="l" t="t" r="r" b="b"/>
                            <a:pathLst>
                              <a:path w="570865" h="0">
                                <a:moveTo>
                                  <a:pt x="0" y="0"/>
                                </a:moveTo>
                                <a:lnTo>
                                  <a:pt x="570712" y="0"/>
                                </a:lnTo>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7756pt;margin-top:6.4827pt;width:484pt;height:1pt;mso-position-horizontal-relative:page;mso-position-vertical-relative:paragraph;z-index:-15633920;mso-wrap-distance-left:0;mso-wrap-distance-right:0" id="docshapegroup289" coordorigin="1136,130" coordsize="9680,20">
                <v:line style="position:absolute" from="1136,140" to="4524,140" stroked="true" strokeweight="1pt" strokecolor="#000000">
                  <v:stroke dashstyle="solid"/>
                </v:line>
                <v:line style="position:absolute" from="4524,140" to="5423,140" stroked="true" strokeweight="1pt" strokecolor="#000000">
                  <v:stroke dashstyle="solid"/>
                </v:line>
                <v:line style="position:absolute" from="5423,140" to="6322,140" stroked="true" strokeweight="1pt" strokecolor="#000000">
                  <v:stroke dashstyle="solid"/>
                </v:line>
                <v:line style="position:absolute" from="6322,140" to="7220,140" stroked="true" strokeweight="1pt" strokecolor="#000000">
                  <v:stroke dashstyle="solid"/>
                </v:line>
                <v:line style="position:absolute" from="7220,140" to="8119,140" stroked="true" strokeweight="1pt" strokecolor="#000000">
                  <v:stroke dashstyle="solid"/>
                </v:line>
                <v:line style="position:absolute" from="8119,140" to="9018,140" stroked="true" strokeweight="1pt" strokecolor="#000000">
                  <v:stroke dashstyle="solid"/>
                </v:line>
                <v:line style="position:absolute" from="9018,140" to="9917,140" stroked="true" strokeweight="1pt" strokecolor="#000000">
                  <v:stroke dashstyle="solid"/>
                </v:line>
                <v:line style="position:absolute" from="9917,140" to="10815,140" stroked="true" strokeweight="1pt" strokecolor="#000000">
                  <v:stroke dashstyle="solid"/>
                </v:line>
                <w10:wrap type="topAndBottom"/>
              </v:group>
            </w:pict>
          </mc:Fallback>
        </mc:AlternateContent>
      </w:r>
    </w:p>
    <w:p>
      <w:pPr>
        <w:tabs>
          <w:tab w:pos="4950" w:val="left" w:leader="none"/>
          <w:tab w:pos="5849" w:val="left" w:leader="none"/>
          <w:tab w:pos="6761" w:val="left" w:leader="none"/>
          <w:tab w:pos="7645" w:val="left" w:leader="none"/>
          <w:tab w:pos="8546" w:val="left" w:leader="none"/>
          <w:tab w:pos="9367" w:val="left" w:leader="none"/>
        </w:tabs>
        <w:spacing w:before="62" w:after="48"/>
        <w:ind w:left="4054" w:right="0" w:firstLine="0"/>
        <w:jc w:val="left"/>
        <w:rPr>
          <w:rFonts w:ascii="TT Norms Pro"/>
          <w:b/>
          <w:sz w:val="9"/>
        </w:rPr>
      </w:pPr>
      <w:r>
        <w:rPr>
          <w:rFonts w:ascii="TT Norms Pro"/>
          <w:b/>
          <w:spacing w:val="-4"/>
          <w:sz w:val="16"/>
        </w:rPr>
        <w:t>2014</w:t>
      </w:r>
      <w:r>
        <w:rPr>
          <w:rFonts w:ascii="TT Norms Pro"/>
          <w:b/>
          <w:sz w:val="16"/>
        </w:rPr>
        <w:tab/>
      </w:r>
      <w:r>
        <w:rPr>
          <w:rFonts w:ascii="TT Norms Pro"/>
          <w:b/>
          <w:spacing w:val="-4"/>
          <w:sz w:val="16"/>
        </w:rPr>
        <w:t>2015</w:t>
      </w:r>
      <w:r>
        <w:rPr>
          <w:rFonts w:ascii="TT Norms Pro"/>
          <w:b/>
          <w:sz w:val="16"/>
        </w:rPr>
        <w:tab/>
      </w:r>
      <w:r>
        <w:rPr>
          <w:rFonts w:ascii="TT Norms Pro"/>
          <w:b/>
          <w:spacing w:val="-4"/>
          <w:sz w:val="16"/>
        </w:rPr>
        <w:t>2016</w:t>
      </w:r>
      <w:r>
        <w:rPr>
          <w:rFonts w:ascii="TT Norms Pro"/>
          <w:b/>
          <w:sz w:val="16"/>
        </w:rPr>
        <w:tab/>
      </w:r>
      <w:r>
        <w:rPr>
          <w:rFonts w:ascii="TT Norms Pro"/>
          <w:b/>
          <w:spacing w:val="-4"/>
          <w:sz w:val="16"/>
        </w:rPr>
        <w:t>2017</w:t>
      </w:r>
      <w:r>
        <w:rPr>
          <w:rFonts w:ascii="TT Norms Pro"/>
          <w:b/>
          <w:sz w:val="16"/>
        </w:rPr>
        <w:tab/>
      </w:r>
      <w:r>
        <w:rPr>
          <w:rFonts w:ascii="TT Norms Pro"/>
          <w:b/>
          <w:spacing w:val="-4"/>
          <w:sz w:val="16"/>
        </w:rPr>
        <w:t>2018</w:t>
      </w:r>
      <w:r>
        <w:rPr>
          <w:rFonts w:ascii="TT Norms Pro"/>
          <w:b/>
          <w:sz w:val="16"/>
        </w:rPr>
        <w:tab/>
      </w:r>
      <w:r>
        <w:rPr>
          <w:rFonts w:ascii="TT Norms Pro"/>
          <w:b/>
          <w:spacing w:val="-4"/>
          <w:sz w:val="16"/>
        </w:rPr>
        <w:t>2019</w:t>
      </w:r>
      <w:r>
        <w:rPr>
          <w:rFonts w:ascii="TT Norms Pro"/>
          <w:b/>
          <w:sz w:val="16"/>
        </w:rPr>
        <w:tab/>
      </w:r>
      <w:r>
        <w:rPr>
          <w:rFonts w:ascii="TT Norms Pro"/>
          <w:b/>
          <w:spacing w:val="-2"/>
          <w:sz w:val="16"/>
        </w:rPr>
        <w:t>2020</w:t>
      </w:r>
      <w:r>
        <w:rPr>
          <w:rFonts w:ascii="TT Norms Pro"/>
          <w:b/>
          <w:spacing w:val="-2"/>
          <w:position w:val="5"/>
          <w:sz w:val="9"/>
        </w:rPr>
        <w:t>1</w:t>
      </w:r>
    </w:p>
    <w:tbl>
      <w:tblPr>
        <w:tblW w:w="0" w:type="auto"/>
        <w:jc w:val="left"/>
        <w:tblInd w:w="2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389"/>
        <w:gridCol w:w="899"/>
        <w:gridCol w:w="899"/>
        <w:gridCol w:w="899"/>
        <w:gridCol w:w="899"/>
        <w:gridCol w:w="899"/>
        <w:gridCol w:w="899"/>
        <w:gridCol w:w="899"/>
      </w:tblGrid>
      <w:tr>
        <w:trPr>
          <w:trHeight w:val="231" w:hRule="atLeast"/>
        </w:trPr>
        <w:tc>
          <w:tcPr>
            <w:tcW w:w="3389" w:type="dxa"/>
            <w:tcBorders>
              <w:top w:val="single" w:sz="4" w:space="0" w:color="000000"/>
            </w:tcBorders>
            <w:shd w:val="clear" w:color="auto" w:fill="E6E7E8"/>
          </w:tcPr>
          <w:p>
            <w:pPr>
              <w:pStyle w:val="TableParagraph"/>
              <w:spacing w:before="37"/>
              <w:ind w:left="85"/>
              <w:rPr>
                <w:rFonts w:ascii="TT Norms Pro"/>
                <w:b/>
                <w:sz w:val="14"/>
              </w:rPr>
            </w:pPr>
            <w:r>
              <w:rPr>
                <w:rFonts w:ascii="TT Norms Pro"/>
                <w:b/>
                <w:sz w:val="14"/>
              </w:rPr>
              <w:t>DOMESTIC</w:t>
            </w:r>
            <w:r>
              <w:rPr>
                <w:rFonts w:ascii="TT Norms Pro"/>
                <w:b/>
                <w:spacing w:val="23"/>
                <w:sz w:val="14"/>
              </w:rPr>
              <w:t> </w:t>
            </w:r>
            <w:r>
              <w:rPr>
                <w:rFonts w:ascii="TT Norms Pro"/>
                <w:b/>
                <w:sz w:val="14"/>
              </w:rPr>
              <w:t>-</w:t>
            </w:r>
            <w:r>
              <w:rPr>
                <w:rFonts w:ascii="TT Norms Pro"/>
                <w:b/>
                <w:spacing w:val="23"/>
                <w:sz w:val="14"/>
              </w:rPr>
              <w:t> </w:t>
            </w:r>
            <w:r>
              <w:rPr>
                <w:rFonts w:ascii="TT Norms Pro"/>
                <w:b/>
                <w:sz w:val="14"/>
              </w:rPr>
              <w:t>COMMONWEALTH-</w:t>
            </w:r>
            <w:r>
              <w:rPr>
                <w:rFonts w:ascii="TT Norms Pro"/>
                <w:b/>
                <w:spacing w:val="-2"/>
                <w:sz w:val="14"/>
              </w:rPr>
              <w:t>SUPPORTED</w:t>
            </w:r>
          </w:p>
        </w:tc>
        <w:tc>
          <w:tcPr>
            <w:tcW w:w="899" w:type="dxa"/>
            <w:tcBorders>
              <w:top w:val="single" w:sz="4" w:space="0" w:color="000000"/>
            </w:tcBorders>
          </w:tcPr>
          <w:p>
            <w:pPr>
              <w:pStyle w:val="TableParagraph"/>
              <w:rPr>
                <w:rFonts w:ascii="Times New Roman"/>
                <w:sz w:val="14"/>
              </w:rPr>
            </w:pPr>
          </w:p>
        </w:tc>
        <w:tc>
          <w:tcPr>
            <w:tcW w:w="899" w:type="dxa"/>
            <w:tcBorders>
              <w:top w:val="single" w:sz="4" w:space="0" w:color="000000"/>
            </w:tcBorders>
            <w:shd w:val="clear" w:color="auto" w:fill="E6E7E8"/>
          </w:tcPr>
          <w:p>
            <w:pPr>
              <w:pStyle w:val="TableParagraph"/>
              <w:rPr>
                <w:rFonts w:ascii="Times New Roman"/>
                <w:sz w:val="14"/>
              </w:rPr>
            </w:pPr>
          </w:p>
        </w:tc>
        <w:tc>
          <w:tcPr>
            <w:tcW w:w="899" w:type="dxa"/>
            <w:tcBorders>
              <w:top w:val="single" w:sz="4" w:space="0" w:color="000000"/>
            </w:tcBorders>
          </w:tcPr>
          <w:p>
            <w:pPr>
              <w:pStyle w:val="TableParagraph"/>
              <w:rPr>
                <w:rFonts w:ascii="Times New Roman"/>
                <w:sz w:val="14"/>
              </w:rPr>
            </w:pPr>
          </w:p>
        </w:tc>
        <w:tc>
          <w:tcPr>
            <w:tcW w:w="899" w:type="dxa"/>
            <w:tcBorders>
              <w:top w:val="single" w:sz="4" w:space="0" w:color="000000"/>
            </w:tcBorders>
            <w:shd w:val="clear" w:color="auto" w:fill="E6E7E8"/>
          </w:tcPr>
          <w:p>
            <w:pPr>
              <w:pStyle w:val="TableParagraph"/>
              <w:rPr>
                <w:rFonts w:ascii="Times New Roman"/>
                <w:sz w:val="14"/>
              </w:rPr>
            </w:pPr>
          </w:p>
        </w:tc>
        <w:tc>
          <w:tcPr>
            <w:tcW w:w="899" w:type="dxa"/>
            <w:tcBorders>
              <w:top w:val="single" w:sz="4" w:space="0" w:color="000000"/>
            </w:tcBorders>
          </w:tcPr>
          <w:p>
            <w:pPr>
              <w:pStyle w:val="TableParagraph"/>
              <w:rPr>
                <w:rFonts w:ascii="Times New Roman"/>
                <w:sz w:val="14"/>
              </w:rPr>
            </w:pPr>
          </w:p>
        </w:tc>
        <w:tc>
          <w:tcPr>
            <w:tcW w:w="899" w:type="dxa"/>
            <w:tcBorders>
              <w:top w:val="single" w:sz="4" w:space="0" w:color="000000"/>
            </w:tcBorders>
            <w:shd w:val="clear" w:color="auto" w:fill="E6E7E8"/>
          </w:tcPr>
          <w:p>
            <w:pPr>
              <w:pStyle w:val="TableParagraph"/>
              <w:rPr>
                <w:rFonts w:ascii="Times New Roman"/>
                <w:sz w:val="14"/>
              </w:rPr>
            </w:pPr>
          </w:p>
        </w:tc>
        <w:tc>
          <w:tcPr>
            <w:tcW w:w="899" w:type="dxa"/>
            <w:tcBorders>
              <w:top w:val="single" w:sz="4" w:space="0" w:color="000000"/>
            </w:tcBorders>
          </w:tcPr>
          <w:p>
            <w:pPr>
              <w:pStyle w:val="TableParagraph"/>
              <w:rPr>
                <w:rFonts w:ascii="Times New Roman"/>
                <w:sz w:val="14"/>
              </w:rPr>
            </w:pPr>
          </w:p>
        </w:tc>
      </w:tr>
      <w:tr>
        <w:trPr>
          <w:trHeight w:val="236" w:hRule="atLeast"/>
        </w:trPr>
        <w:tc>
          <w:tcPr>
            <w:tcW w:w="3389" w:type="dxa"/>
            <w:shd w:val="clear" w:color="auto" w:fill="E6E7E8"/>
          </w:tcPr>
          <w:p>
            <w:pPr>
              <w:pStyle w:val="TableParagraph"/>
              <w:spacing w:before="44"/>
              <w:ind w:left="85"/>
              <w:rPr>
                <w:rFonts w:ascii="TT Norms Pro"/>
                <w:sz w:val="14"/>
              </w:rPr>
            </w:pPr>
            <w:r>
              <w:rPr>
                <w:rFonts w:ascii="TT Norms Pro"/>
                <w:sz w:val="14"/>
              </w:rPr>
              <w:t>Postgraduate</w:t>
            </w:r>
            <w:r>
              <w:rPr>
                <w:rFonts w:ascii="TT Norms Pro"/>
                <w:spacing w:val="13"/>
                <w:sz w:val="14"/>
              </w:rPr>
              <w:t> </w:t>
            </w:r>
            <w:r>
              <w:rPr>
                <w:rFonts w:ascii="TT Norms Pro"/>
                <w:spacing w:val="-2"/>
                <w:sz w:val="14"/>
              </w:rPr>
              <w:t>coursework</w:t>
            </w:r>
          </w:p>
        </w:tc>
        <w:tc>
          <w:tcPr>
            <w:tcW w:w="899" w:type="dxa"/>
          </w:tcPr>
          <w:p>
            <w:pPr>
              <w:pStyle w:val="TableParagraph"/>
              <w:spacing w:before="44"/>
              <w:ind w:right="51"/>
              <w:jc w:val="right"/>
              <w:rPr>
                <w:rFonts w:ascii="TT Norms Pro Light"/>
                <w:b w:val="0"/>
                <w:sz w:val="14"/>
              </w:rPr>
            </w:pPr>
            <w:r>
              <w:rPr>
                <w:rFonts w:ascii="TT Norms Pro Light"/>
                <w:b w:val="0"/>
                <w:spacing w:val="-2"/>
                <w:sz w:val="14"/>
              </w:rPr>
              <w:t>1,322.8</w:t>
            </w:r>
          </w:p>
        </w:tc>
        <w:tc>
          <w:tcPr>
            <w:tcW w:w="899" w:type="dxa"/>
            <w:shd w:val="clear" w:color="auto" w:fill="E6E7E8"/>
          </w:tcPr>
          <w:p>
            <w:pPr>
              <w:pStyle w:val="TableParagraph"/>
              <w:spacing w:before="44"/>
              <w:ind w:right="55"/>
              <w:jc w:val="right"/>
              <w:rPr>
                <w:rFonts w:ascii="TT Norms Pro Light"/>
                <w:b w:val="0"/>
                <w:sz w:val="14"/>
              </w:rPr>
            </w:pPr>
            <w:r>
              <w:rPr>
                <w:rFonts w:ascii="TT Norms Pro Light"/>
                <w:b w:val="0"/>
                <w:spacing w:val="-2"/>
                <w:sz w:val="14"/>
              </w:rPr>
              <w:t>2,172.1</w:t>
            </w:r>
          </w:p>
        </w:tc>
        <w:tc>
          <w:tcPr>
            <w:tcW w:w="899" w:type="dxa"/>
          </w:tcPr>
          <w:p>
            <w:pPr>
              <w:pStyle w:val="TableParagraph"/>
              <w:spacing w:before="44"/>
              <w:ind w:right="55"/>
              <w:jc w:val="right"/>
              <w:rPr>
                <w:rFonts w:ascii="TT Norms Pro Light"/>
                <w:b w:val="0"/>
                <w:sz w:val="14"/>
              </w:rPr>
            </w:pPr>
            <w:r>
              <w:rPr>
                <w:rFonts w:ascii="TT Norms Pro Light"/>
                <w:b w:val="0"/>
                <w:spacing w:val="-2"/>
                <w:sz w:val="14"/>
              </w:rPr>
              <w:t>2,940.2</w:t>
            </w:r>
          </w:p>
        </w:tc>
        <w:tc>
          <w:tcPr>
            <w:tcW w:w="899" w:type="dxa"/>
            <w:shd w:val="clear" w:color="auto" w:fill="E6E7E8"/>
          </w:tcPr>
          <w:p>
            <w:pPr>
              <w:pStyle w:val="TableParagraph"/>
              <w:spacing w:before="44"/>
              <w:ind w:right="56"/>
              <w:jc w:val="right"/>
              <w:rPr>
                <w:rFonts w:ascii="TT Norms Pro Light"/>
                <w:b w:val="0"/>
                <w:sz w:val="14"/>
              </w:rPr>
            </w:pPr>
            <w:r>
              <w:rPr>
                <w:rFonts w:ascii="TT Norms Pro Light"/>
                <w:b w:val="0"/>
                <w:spacing w:val="-2"/>
                <w:sz w:val="14"/>
              </w:rPr>
              <w:t>3,289.6</w:t>
            </w:r>
          </w:p>
        </w:tc>
        <w:tc>
          <w:tcPr>
            <w:tcW w:w="899" w:type="dxa"/>
          </w:tcPr>
          <w:p>
            <w:pPr>
              <w:pStyle w:val="TableParagraph"/>
              <w:spacing w:before="44"/>
              <w:ind w:right="56"/>
              <w:jc w:val="right"/>
              <w:rPr>
                <w:rFonts w:ascii="TT Norms Pro Light"/>
                <w:b w:val="0"/>
                <w:sz w:val="14"/>
              </w:rPr>
            </w:pPr>
            <w:r>
              <w:rPr>
                <w:rFonts w:ascii="TT Norms Pro Light"/>
                <w:b w:val="0"/>
                <w:spacing w:val="-2"/>
                <w:sz w:val="14"/>
              </w:rPr>
              <w:t>2,910.4</w:t>
            </w:r>
          </w:p>
        </w:tc>
        <w:tc>
          <w:tcPr>
            <w:tcW w:w="899" w:type="dxa"/>
            <w:shd w:val="clear" w:color="auto" w:fill="E6E7E8"/>
          </w:tcPr>
          <w:p>
            <w:pPr>
              <w:pStyle w:val="TableParagraph"/>
              <w:spacing w:before="44"/>
              <w:ind w:right="56"/>
              <w:jc w:val="right"/>
              <w:rPr>
                <w:rFonts w:ascii="TT Norms Pro Light"/>
                <w:b w:val="0"/>
                <w:sz w:val="14"/>
              </w:rPr>
            </w:pPr>
            <w:r>
              <w:rPr>
                <w:rFonts w:ascii="TT Norms Pro Light"/>
                <w:b w:val="0"/>
                <w:spacing w:val="-2"/>
                <w:sz w:val="14"/>
              </w:rPr>
              <w:t>2,849.4</w:t>
            </w:r>
          </w:p>
        </w:tc>
        <w:tc>
          <w:tcPr>
            <w:tcW w:w="899" w:type="dxa"/>
          </w:tcPr>
          <w:p>
            <w:pPr>
              <w:pStyle w:val="TableParagraph"/>
              <w:spacing w:before="44"/>
              <w:ind w:right="56"/>
              <w:jc w:val="right"/>
              <w:rPr>
                <w:rFonts w:ascii="TT Norms Pro Light"/>
                <w:b w:val="0"/>
                <w:sz w:val="14"/>
              </w:rPr>
            </w:pPr>
            <w:r>
              <w:rPr>
                <w:rFonts w:ascii="TT Norms Pro Light"/>
                <w:b w:val="0"/>
                <w:spacing w:val="-2"/>
                <w:sz w:val="14"/>
              </w:rPr>
              <w:t>3,040.2</w:t>
            </w:r>
          </w:p>
        </w:tc>
      </w:tr>
      <w:tr>
        <w:trPr>
          <w:trHeight w:val="238" w:hRule="atLeast"/>
        </w:trPr>
        <w:tc>
          <w:tcPr>
            <w:tcW w:w="3389" w:type="dxa"/>
            <w:shd w:val="clear" w:color="auto" w:fill="E6E7E8"/>
          </w:tcPr>
          <w:p>
            <w:pPr>
              <w:pStyle w:val="TableParagraph"/>
              <w:spacing w:before="46"/>
              <w:ind w:left="84"/>
              <w:rPr>
                <w:rFonts w:ascii="TT Norms Pro"/>
                <w:sz w:val="14"/>
              </w:rPr>
            </w:pPr>
            <w:r>
              <w:rPr>
                <w:rFonts w:ascii="TT Norms Pro"/>
                <w:spacing w:val="-2"/>
                <w:sz w:val="14"/>
              </w:rPr>
              <w:t>Undergraduate</w:t>
            </w:r>
          </w:p>
        </w:tc>
        <w:tc>
          <w:tcPr>
            <w:tcW w:w="899" w:type="dxa"/>
          </w:tcPr>
          <w:p>
            <w:pPr>
              <w:pStyle w:val="TableParagraph"/>
              <w:spacing w:before="46"/>
              <w:ind w:right="55"/>
              <w:jc w:val="right"/>
              <w:rPr>
                <w:rFonts w:ascii="TT Norms Pro Light"/>
                <w:b w:val="0"/>
                <w:sz w:val="14"/>
              </w:rPr>
            </w:pPr>
            <w:r>
              <w:rPr>
                <w:rFonts w:ascii="TT Norms Pro Light"/>
                <w:b w:val="0"/>
                <w:spacing w:val="-2"/>
                <w:sz w:val="14"/>
              </w:rPr>
              <w:t>13,796.5</w:t>
            </w:r>
          </w:p>
        </w:tc>
        <w:tc>
          <w:tcPr>
            <w:tcW w:w="899" w:type="dxa"/>
            <w:shd w:val="clear" w:color="auto" w:fill="E6E7E8"/>
          </w:tcPr>
          <w:p>
            <w:pPr>
              <w:pStyle w:val="TableParagraph"/>
              <w:spacing w:before="46"/>
              <w:ind w:right="55"/>
              <w:jc w:val="right"/>
              <w:rPr>
                <w:rFonts w:ascii="TT Norms Pro Light"/>
                <w:b w:val="0"/>
                <w:sz w:val="14"/>
              </w:rPr>
            </w:pPr>
            <w:r>
              <w:rPr>
                <w:rFonts w:ascii="TT Norms Pro Light"/>
                <w:b w:val="0"/>
                <w:spacing w:val="-2"/>
                <w:sz w:val="14"/>
              </w:rPr>
              <w:t>11,742.5</w:t>
            </w:r>
          </w:p>
        </w:tc>
        <w:tc>
          <w:tcPr>
            <w:tcW w:w="899" w:type="dxa"/>
          </w:tcPr>
          <w:p>
            <w:pPr>
              <w:pStyle w:val="TableParagraph"/>
              <w:spacing w:before="46"/>
              <w:ind w:right="54"/>
              <w:jc w:val="right"/>
              <w:rPr>
                <w:rFonts w:ascii="TT Norms Pro Light"/>
                <w:b w:val="0"/>
                <w:sz w:val="14"/>
              </w:rPr>
            </w:pPr>
            <w:r>
              <w:rPr>
                <w:rFonts w:ascii="TT Norms Pro Light"/>
                <w:b w:val="0"/>
                <w:spacing w:val="-2"/>
                <w:sz w:val="14"/>
              </w:rPr>
              <w:t>10,606.0</w:t>
            </w:r>
          </w:p>
        </w:tc>
        <w:tc>
          <w:tcPr>
            <w:tcW w:w="899" w:type="dxa"/>
            <w:shd w:val="clear" w:color="auto" w:fill="E6E7E8"/>
          </w:tcPr>
          <w:p>
            <w:pPr>
              <w:pStyle w:val="TableParagraph"/>
              <w:spacing w:before="46"/>
              <w:ind w:right="56"/>
              <w:jc w:val="right"/>
              <w:rPr>
                <w:rFonts w:ascii="TT Norms Pro Light"/>
                <w:b w:val="0"/>
                <w:sz w:val="14"/>
              </w:rPr>
            </w:pPr>
            <w:r>
              <w:rPr>
                <w:rFonts w:ascii="TT Norms Pro Light"/>
                <w:b w:val="0"/>
                <w:spacing w:val="-2"/>
                <w:sz w:val="14"/>
              </w:rPr>
              <w:t>9,747.1</w:t>
            </w:r>
          </w:p>
        </w:tc>
        <w:tc>
          <w:tcPr>
            <w:tcW w:w="899" w:type="dxa"/>
          </w:tcPr>
          <w:p>
            <w:pPr>
              <w:pStyle w:val="TableParagraph"/>
              <w:spacing w:before="46"/>
              <w:ind w:right="56"/>
              <w:jc w:val="right"/>
              <w:rPr>
                <w:rFonts w:ascii="TT Norms Pro Light"/>
                <w:b w:val="0"/>
                <w:sz w:val="14"/>
              </w:rPr>
            </w:pPr>
            <w:r>
              <w:rPr>
                <w:rFonts w:ascii="TT Norms Pro Light"/>
                <w:b w:val="0"/>
                <w:spacing w:val="-2"/>
                <w:sz w:val="14"/>
              </w:rPr>
              <w:t>9,734.2</w:t>
            </w:r>
          </w:p>
        </w:tc>
        <w:tc>
          <w:tcPr>
            <w:tcW w:w="899" w:type="dxa"/>
            <w:shd w:val="clear" w:color="auto" w:fill="E6E7E8"/>
          </w:tcPr>
          <w:p>
            <w:pPr>
              <w:pStyle w:val="TableParagraph"/>
              <w:spacing w:before="46"/>
              <w:ind w:right="56"/>
              <w:jc w:val="right"/>
              <w:rPr>
                <w:rFonts w:ascii="TT Norms Pro Light"/>
                <w:b w:val="0"/>
                <w:sz w:val="14"/>
              </w:rPr>
            </w:pPr>
            <w:r>
              <w:rPr>
                <w:rFonts w:ascii="TT Norms Pro Light"/>
                <w:b w:val="0"/>
                <w:spacing w:val="-2"/>
                <w:sz w:val="14"/>
              </w:rPr>
              <w:t>9,614.8</w:t>
            </w:r>
          </w:p>
        </w:tc>
        <w:tc>
          <w:tcPr>
            <w:tcW w:w="899" w:type="dxa"/>
          </w:tcPr>
          <w:p>
            <w:pPr>
              <w:pStyle w:val="TableParagraph"/>
              <w:spacing w:before="46"/>
              <w:ind w:right="56"/>
              <w:jc w:val="right"/>
              <w:rPr>
                <w:rFonts w:ascii="TT Norms Pro Light"/>
                <w:b w:val="0"/>
                <w:sz w:val="14"/>
              </w:rPr>
            </w:pPr>
            <w:r>
              <w:rPr>
                <w:rFonts w:ascii="TT Norms Pro Light"/>
                <w:b w:val="0"/>
                <w:spacing w:val="-2"/>
                <w:sz w:val="14"/>
              </w:rPr>
              <w:t>9,641.5</w:t>
            </w:r>
          </w:p>
        </w:tc>
      </w:tr>
      <w:tr>
        <w:trPr>
          <w:trHeight w:val="236" w:hRule="atLeast"/>
        </w:trPr>
        <w:tc>
          <w:tcPr>
            <w:tcW w:w="3389" w:type="dxa"/>
            <w:shd w:val="clear" w:color="auto" w:fill="E6E7E8"/>
          </w:tcPr>
          <w:p>
            <w:pPr>
              <w:pStyle w:val="TableParagraph"/>
              <w:spacing w:before="46"/>
              <w:ind w:left="85"/>
              <w:rPr>
                <w:rFonts w:ascii="TT Norms Pro"/>
                <w:sz w:val="14"/>
              </w:rPr>
            </w:pPr>
            <w:r>
              <w:rPr>
                <w:rFonts w:ascii="TT Norms Pro"/>
                <w:sz w:val="14"/>
              </w:rPr>
              <w:t>Sub-</w:t>
            </w:r>
            <w:r>
              <w:rPr>
                <w:rFonts w:ascii="TT Norms Pro"/>
                <w:spacing w:val="-2"/>
                <w:sz w:val="14"/>
              </w:rPr>
              <w:t>total</w:t>
            </w:r>
          </w:p>
        </w:tc>
        <w:tc>
          <w:tcPr>
            <w:tcW w:w="899" w:type="dxa"/>
          </w:tcPr>
          <w:p>
            <w:pPr>
              <w:pStyle w:val="TableParagraph"/>
              <w:spacing w:before="46"/>
              <w:ind w:right="55"/>
              <w:jc w:val="right"/>
              <w:rPr>
                <w:rFonts w:ascii="TT Norms Pro Light"/>
                <w:b w:val="0"/>
                <w:sz w:val="14"/>
              </w:rPr>
            </w:pPr>
            <w:r>
              <w:rPr>
                <w:rFonts w:ascii="TT Norms Pro Light"/>
                <w:b w:val="0"/>
                <w:spacing w:val="-2"/>
                <w:sz w:val="14"/>
              </w:rPr>
              <w:t>15,119.4</w:t>
            </w:r>
          </w:p>
        </w:tc>
        <w:tc>
          <w:tcPr>
            <w:tcW w:w="899" w:type="dxa"/>
            <w:shd w:val="clear" w:color="auto" w:fill="E6E7E8"/>
          </w:tcPr>
          <w:p>
            <w:pPr>
              <w:pStyle w:val="TableParagraph"/>
              <w:spacing w:before="46"/>
              <w:ind w:right="51"/>
              <w:jc w:val="right"/>
              <w:rPr>
                <w:rFonts w:ascii="TT Norms Pro Light"/>
                <w:b w:val="0"/>
                <w:sz w:val="14"/>
              </w:rPr>
            </w:pPr>
            <w:r>
              <w:rPr>
                <w:rFonts w:ascii="TT Norms Pro Light"/>
                <w:b w:val="0"/>
                <w:spacing w:val="-2"/>
                <w:sz w:val="14"/>
              </w:rPr>
              <w:t>13,914.6</w:t>
            </w:r>
          </w:p>
        </w:tc>
        <w:tc>
          <w:tcPr>
            <w:tcW w:w="899" w:type="dxa"/>
          </w:tcPr>
          <w:p>
            <w:pPr>
              <w:pStyle w:val="TableParagraph"/>
              <w:spacing w:before="46"/>
              <w:ind w:right="56"/>
              <w:jc w:val="right"/>
              <w:rPr>
                <w:rFonts w:ascii="TT Norms Pro Light"/>
                <w:b w:val="0"/>
                <w:sz w:val="14"/>
              </w:rPr>
            </w:pPr>
            <w:r>
              <w:rPr>
                <w:rFonts w:ascii="TT Norms Pro Light"/>
                <w:b w:val="0"/>
                <w:spacing w:val="-2"/>
                <w:sz w:val="14"/>
              </w:rPr>
              <w:t>13,546.2</w:t>
            </w:r>
          </w:p>
        </w:tc>
        <w:tc>
          <w:tcPr>
            <w:tcW w:w="899" w:type="dxa"/>
            <w:shd w:val="clear" w:color="auto" w:fill="E6E7E8"/>
          </w:tcPr>
          <w:p>
            <w:pPr>
              <w:pStyle w:val="TableParagraph"/>
              <w:spacing w:before="46"/>
              <w:ind w:right="56"/>
              <w:jc w:val="right"/>
              <w:rPr>
                <w:rFonts w:ascii="TT Norms Pro Light"/>
                <w:b w:val="0"/>
                <w:sz w:val="14"/>
              </w:rPr>
            </w:pPr>
            <w:r>
              <w:rPr>
                <w:rFonts w:ascii="TT Norms Pro Light"/>
                <w:b w:val="0"/>
                <w:spacing w:val="-2"/>
                <w:sz w:val="14"/>
              </w:rPr>
              <w:t>13,036.8</w:t>
            </w:r>
          </w:p>
        </w:tc>
        <w:tc>
          <w:tcPr>
            <w:tcW w:w="899" w:type="dxa"/>
          </w:tcPr>
          <w:p>
            <w:pPr>
              <w:pStyle w:val="TableParagraph"/>
              <w:spacing w:before="46"/>
              <w:ind w:right="56"/>
              <w:jc w:val="right"/>
              <w:rPr>
                <w:rFonts w:ascii="TT Norms Pro Light"/>
                <w:b w:val="0"/>
                <w:sz w:val="14"/>
              </w:rPr>
            </w:pPr>
            <w:r>
              <w:rPr>
                <w:rFonts w:ascii="TT Norms Pro Light"/>
                <w:b w:val="0"/>
                <w:spacing w:val="-2"/>
                <w:sz w:val="14"/>
              </w:rPr>
              <w:t>12,644.6</w:t>
            </w:r>
          </w:p>
        </w:tc>
        <w:tc>
          <w:tcPr>
            <w:tcW w:w="899" w:type="dxa"/>
            <w:shd w:val="clear" w:color="auto" w:fill="E6E7E8"/>
          </w:tcPr>
          <w:p>
            <w:pPr>
              <w:pStyle w:val="TableParagraph"/>
              <w:spacing w:before="46"/>
              <w:ind w:right="56"/>
              <w:jc w:val="right"/>
              <w:rPr>
                <w:rFonts w:ascii="TT Norms Pro Light"/>
                <w:b w:val="0"/>
                <w:sz w:val="14"/>
              </w:rPr>
            </w:pPr>
            <w:r>
              <w:rPr>
                <w:rFonts w:ascii="TT Norms Pro Light"/>
                <w:b w:val="0"/>
                <w:spacing w:val="-2"/>
                <w:sz w:val="14"/>
              </w:rPr>
              <w:t>12,464.1</w:t>
            </w:r>
          </w:p>
        </w:tc>
        <w:tc>
          <w:tcPr>
            <w:tcW w:w="899" w:type="dxa"/>
          </w:tcPr>
          <w:p>
            <w:pPr>
              <w:pStyle w:val="TableParagraph"/>
              <w:spacing w:before="46"/>
              <w:ind w:right="52"/>
              <w:jc w:val="right"/>
              <w:rPr>
                <w:rFonts w:ascii="TT Norms Pro Light"/>
                <w:b w:val="0"/>
                <w:sz w:val="14"/>
              </w:rPr>
            </w:pPr>
            <w:r>
              <w:rPr>
                <w:rFonts w:ascii="TT Norms Pro Light"/>
                <w:b w:val="0"/>
                <w:spacing w:val="-2"/>
                <w:sz w:val="14"/>
              </w:rPr>
              <w:t>12,681.8</w:t>
            </w:r>
          </w:p>
        </w:tc>
      </w:tr>
      <w:tr>
        <w:trPr>
          <w:trHeight w:val="240" w:hRule="atLeast"/>
        </w:trPr>
        <w:tc>
          <w:tcPr>
            <w:tcW w:w="3389" w:type="dxa"/>
            <w:tcBorders>
              <w:bottom w:val="single" w:sz="2" w:space="0" w:color="000000"/>
            </w:tcBorders>
            <w:shd w:val="clear" w:color="auto" w:fill="E6E7E8"/>
          </w:tcPr>
          <w:p>
            <w:pPr>
              <w:pStyle w:val="TableParagraph"/>
              <w:spacing w:before="39"/>
              <w:ind w:left="85"/>
              <w:rPr>
                <w:rFonts w:ascii="Verdana"/>
                <w:i/>
                <w:sz w:val="14"/>
              </w:rPr>
            </w:pPr>
            <w:r>
              <w:rPr>
                <w:rFonts w:ascii="Verdana"/>
                <w:i/>
                <w:spacing w:val="2"/>
                <w:w w:val="85"/>
                <w:sz w:val="14"/>
              </w:rPr>
              <w:t>%</w:t>
            </w:r>
            <w:r>
              <w:rPr>
                <w:rFonts w:ascii="Verdana"/>
                <w:i/>
                <w:spacing w:val="1"/>
                <w:sz w:val="14"/>
              </w:rPr>
              <w:t> </w:t>
            </w:r>
            <w:r>
              <w:rPr>
                <w:rFonts w:ascii="Verdana"/>
                <w:i/>
                <w:spacing w:val="2"/>
                <w:w w:val="85"/>
                <w:sz w:val="14"/>
              </w:rPr>
              <w:t>Domestic</w:t>
            </w:r>
            <w:r>
              <w:rPr>
                <w:rFonts w:ascii="Verdana"/>
                <w:i/>
                <w:spacing w:val="1"/>
                <w:sz w:val="14"/>
              </w:rPr>
              <w:t> </w:t>
            </w:r>
            <w:r>
              <w:rPr>
                <w:rFonts w:ascii="Verdana"/>
                <w:i/>
                <w:spacing w:val="2"/>
                <w:w w:val="85"/>
                <w:sz w:val="14"/>
              </w:rPr>
              <w:t>-</w:t>
            </w:r>
            <w:r>
              <w:rPr>
                <w:rFonts w:ascii="Verdana"/>
                <w:i/>
                <w:spacing w:val="1"/>
                <w:sz w:val="14"/>
              </w:rPr>
              <w:t> </w:t>
            </w:r>
            <w:r>
              <w:rPr>
                <w:rFonts w:ascii="Verdana"/>
                <w:i/>
                <w:spacing w:val="2"/>
                <w:w w:val="85"/>
                <w:sz w:val="14"/>
              </w:rPr>
              <w:t>Commonwealth</w:t>
            </w:r>
            <w:r>
              <w:rPr>
                <w:rFonts w:ascii="Verdana"/>
                <w:i/>
                <w:spacing w:val="1"/>
                <w:sz w:val="14"/>
              </w:rPr>
              <w:t> </w:t>
            </w:r>
            <w:r>
              <w:rPr>
                <w:rFonts w:ascii="Verdana"/>
                <w:i/>
                <w:spacing w:val="-2"/>
                <w:w w:val="85"/>
                <w:sz w:val="14"/>
              </w:rPr>
              <w:t>supported</w:t>
            </w:r>
          </w:p>
        </w:tc>
        <w:tc>
          <w:tcPr>
            <w:tcW w:w="899" w:type="dxa"/>
            <w:tcBorders>
              <w:bottom w:val="single" w:sz="2" w:space="0" w:color="000000"/>
            </w:tcBorders>
          </w:tcPr>
          <w:p>
            <w:pPr>
              <w:pStyle w:val="TableParagraph"/>
              <w:spacing w:before="47"/>
              <w:ind w:right="54"/>
              <w:jc w:val="right"/>
              <w:rPr>
                <w:rFonts w:ascii="TT Norms Pro Light"/>
                <w:b w:val="0"/>
                <w:sz w:val="14"/>
              </w:rPr>
            </w:pPr>
            <w:r>
              <w:rPr>
                <w:rFonts w:ascii="TT Norms Pro Light"/>
                <w:b w:val="0"/>
                <w:spacing w:val="-4"/>
                <w:sz w:val="14"/>
              </w:rPr>
              <w:t>71.0</w:t>
            </w:r>
          </w:p>
        </w:tc>
        <w:tc>
          <w:tcPr>
            <w:tcW w:w="899" w:type="dxa"/>
            <w:tcBorders>
              <w:bottom w:val="single" w:sz="2" w:space="0" w:color="000000"/>
            </w:tcBorders>
            <w:shd w:val="clear" w:color="auto" w:fill="E6E7E8"/>
          </w:tcPr>
          <w:p>
            <w:pPr>
              <w:pStyle w:val="TableParagraph"/>
              <w:spacing w:before="47"/>
              <w:ind w:right="55"/>
              <w:jc w:val="right"/>
              <w:rPr>
                <w:rFonts w:ascii="TT Norms Pro Light"/>
                <w:b w:val="0"/>
                <w:sz w:val="14"/>
              </w:rPr>
            </w:pPr>
            <w:r>
              <w:rPr>
                <w:rFonts w:ascii="TT Norms Pro Light"/>
                <w:b w:val="0"/>
                <w:spacing w:val="-4"/>
                <w:sz w:val="14"/>
              </w:rPr>
              <w:t>69.8</w:t>
            </w:r>
          </w:p>
        </w:tc>
        <w:tc>
          <w:tcPr>
            <w:tcW w:w="899" w:type="dxa"/>
            <w:tcBorders>
              <w:bottom w:val="single" w:sz="2" w:space="0" w:color="000000"/>
            </w:tcBorders>
          </w:tcPr>
          <w:p>
            <w:pPr>
              <w:pStyle w:val="TableParagraph"/>
              <w:spacing w:before="47"/>
              <w:ind w:right="55"/>
              <w:jc w:val="right"/>
              <w:rPr>
                <w:rFonts w:ascii="TT Norms Pro Light"/>
                <w:b w:val="0"/>
                <w:sz w:val="14"/>
              </w:rPr>
            </w:pPr>
            <w:r>
              <w:rPr>
                <w:rFonts w:ascii="TT Norms Pro Light"/>
                <w:b w:val="0"/>
                <w:spacing w:val="-4"/>
                <w:sz w:val="14"/>
              </w:rPr>
              <w:t>68.3</w:t>
            </w:r>
          </w:p>
        </w:tc>
        <w:tc>
          <w:tcPr>
            <w:tcW w:w="899" w:type="dxa"/>
            <w:tcBorders>
              <w:bottom w:val="single" w:sz="2" w:space="0" w:color="000000"/>
            </w:tcBorders>
            <w:shd w:val="clear" w:color="auto" w:fill="E6E7E8"/>
          </w:tcPr>
          <w:p>
            <w:pPr>
              <w:pStyle w:val="TableParagraph"/>
              <w:spacing w:before="47"/>
              <w:ind w:right="56"/>
              <w:jc w:val="right"/>
              <w:rPr>
                <w:rFonts w:ascii="TT Norms Pro Light"/>
                <w:b w:val="0"/>
                <w:sz w:val="14"/>
              </w:rPr>
            </w:pPr>
            <w:r>
              <w:rPr>
                <w:rFonts w:ascii="TT Norms Pro Light"/>
                <w:b w:val="0"/>
                <w:spacing w:val="-4"/>
                <w:sz w:val="14"/>
              </w:rPr>
              <w:t>66.1</w:t>
            </w:r>
          </w:p>
        </w:tc>
        <w:tc>
          <w:tcPr>
            <w:tcW w:w="899" w:type="dxa"/>
            <w:tcBorders>
              <w:bottom w:val="single" w:sz="2" w:space="0" w:color="000000"/>
            </w:tcBorders>
          </w:tcPr>
          <w:p>
            <w:pPr>
              <w:pStyle w:val="TableParagraph"/>
              <w:spacing w:before="47"/>
              <w:ind w:right="56"/>
              <w:jc w:val="right"/>
              <w:rPr>
                <w:rFonts w:ascii="TT Norms Pro Light"/>
                <w:b w:val="0"/>
                <w:sz w:val="14"/>
              </w:rPr>
            </w:pPr>
            <w:r>
              <w:rPr>
                <w:rFonts w:ascii="TT Norms Pro Light"/>
                <w:b w:val="0"/>
                <w:spacing w:val="-4"/>
                <w:sz w:val="14"/>
              </w:rPr>
              <w:t>65.8</w:t>
            </w:r>
          </w:p>
        </w:tc>
        <w:tc>
          <w:tcPr>
            <w:tcW w:w="899" w:type="dxa"/>
            <w:tcBorders>
              <w:bottom w:val="single" w:sz="2" w:space="0" w:color="000000"/>
            </w:tcBorders>
            <w:shd w:val="clear" w:color="auto" w:fill="E6E7E8"/>
          </w:tcPr>
          <w:p>
            <w:pPr>
              <w:pStyle w:val="TableParagraph"/>
              <w:spacing w:before="47"/>
              <w:ind w:right="56"/>
              <w:jc w:val="right"/>
              <w:rPr>
                <w:rFonts w:ascii="TT Norms Pro Light"/>
                <w:b w:val="0"/>
                <w:sz w:val="14"/>
              </w:rPr>
            </w:pPr>
            <w:r>
              <w:rPr>
                <w:rFonts w:ascii="TT Norms Pro Light"/>
                <w:b w:val="0"/>
                <w:spacing w:val="-4"/>
                <w:sz w:val="14"/>
              </w:rPr>
              <w:t>65.7</w:t>
            </w:r>
          </w:p>
        </w:tc>
        <w:tc>
          <w:tcPr>
            <w:tcW w:w="899" w:type="dxa"/>
            <w:tcBorders>
              <w:bottom w:val="single" w:sz="2" w:space="0" w:color="000000"/>
            </w:tcBorders>
          </w:tcPr>
          <w:p>
            <w:pPr>
              <w:pStyle w:val="TableParagraph"/>
              <w:spacing w:before="47"/>
              <w:ind w:right="56"/>
              <w:jc w:val="right"/>
              <w:rPr>
                <w:rFonts w:ascii="TT Norms Pro Light"/>
                <w:b w:val="0"/>
                <w:sz w:val="14"/>
              </w:rPr>
            </w:pPr>
            <w:r>
              <w:rPr>
                <w:rFonts w:ascii="TT Norms Pro Light"/>
                <w:b w:val="0"/>
                <w:spacing w:val="-4"/>
                <w:sz w:val="14"/>
              </w:rPr>
              <w:t>67.8</w:t>
            </w:r>
          </w:p>
        </w:tc>
      </w:tr>
      <w:tr>
        <w:trPr>
          <w:trHeight w:val="233" w:hRule="atLeast"/>
        </w:trPr>
        <w:tc>
          <w:tcPr>
            <w:tcW w:w="3389" w:type="dxa"/>
            <w:tcBorders>
              <w:top w:val="single" w:sz="2" w:space="0" w:color="000000"/>
            </w:tcBorders>
            <w:shd w:val="clear" w:color="auto" w:fill="E6E7E8"/>
          </w:tcPr>
          <w:p>
            <w:pPr>
              <w:pStyle w:val="TableParagraph"/>
              <w:spacing w:before="40"/>
              <w:ind w:left="85"/>
              <w:rPr>
                <w:rFonts w:ascii="TT Norms Pro"/>
                <w:b/>
                <w:sz w:val="14"/>
              </w:rPr>
            </w:pPr>
            <w:r>
              <w:rPr>
                <w:rFonts w:ascii="TT Norms Pro"/>
                <w:b/>
                <w:sz w:val="14"/>
              </w:rPr>
              <w:t>DOMESTIC</w:t>
            </w:r>
            <w:r>
              <w:rPr>
                <w:rFonts w:ascii="TT Norms Pro"/>
                <w:b/>
                <w:spacing w:val="13"/>
                <w:sz w:val="14"/>
              </w:rPr>
              <w:t> </w:t>
            </w:r>
            <w:r>
              <w:rPr>
                <w:rFonts w:ascii="TT Norms Pro"/>
                <w:b/>
                <w:sz w:val="14"/>
              </w:rPr>
              <w:t>-</w:t>
            </w:r>
            <w:r>
              <w:rPr>
                <w:rFonts w:ascii="TT Norms Pro"/>
                <w:b/>
                <w:spacing w:val="16"/>
                <w:sz w:val="14"/>
              </w:rPr>
              <w:t> </w:t>
            </w:r>
            <w:r>
              <w:rPr>
                <w:rFonts w:ascii="TT Norms Pro"/>
                <w:b/>
                <w:sz w:val="14"/>
              </w:rPr>
              <w:t>FEE-</w:t>
            </w:r>
            <w:r>
              <w:rPr>
                <w:rFonts w:ascii="TT Norms Pro"/>
                <w:b/>
                <w:spacing w:val="-2"/>
                <w:sz w:val="14"/>
              </w:rPr>
              <w:t>PAYING</w:t>
            </w:r>
          </w:p>
        </w:tc>
        <w:tc>
          <w:tcPr>
            <w:tcW w:w="899" w:type="dxa"/>
            <w:tcBorders>
              <w:top w:val="single" w:sz="2" w:space="0" w:color="000000"/>
            </w:tcBorders>
          </w:tcPr>
          <w:p>
            <w:pPr>
              <w:pStyle w:val="TableParagraph"/>
              <w:rPr>
                <w:rFonts w:ascii="Times New Roman"/>
                <w:sz w:val="14"/>
              </w:rPr>
            </w:pPr>
          </w:p>
        </w:tc>
        <w:tc>
          <w:tcPr>
            <w:tcW w:w="899" w:type="dxa"/>
            <w:tcBorders>
              <w:top w:val="single" w:sz="2" w:space="0" w:color="000000"/>
            </w:tcBorders>
            <w:shd w:val="clear" w:color="auto" w:fill="E6E7E8"/>
          </w:tcPr>
          <w:p>
            <w:pPr>
              <w:pStyle w:val="TableParagraph"/>
              <w:rPr>
                <w:rFonts w:ascii="Times New Roman"/>
                <w:sz w:val="14"/>
              </w:rPr>
            </w:pPr>
          </w:p>
        </w:tc>
        <w:tc>
          <w:tcPr>
            <w:tcW w:w="899" w:type="dxa"/>
            <w:tcBorders>
              <w:top w:val="single" w:sz="2" w:space="0" w:color="000000"/>
            </w:tcBorders>
          </w:tcPr>
          <w:p>
            <w:pPr>
              <w:pStyle w:val="TableParagraph"/>
              <w:rPr>
                <w:rFonts w:ascii="Times New Roman"/>
                <w:sz w:val="14"/>
              </w:rPr>
            </w:pPr>
          </w:p>
        </w:tc>
        <w:tc>
          <w:tcPr>
            <w:tcW w:w="899" w:type="dxa"/>
            <w:tcBorders>
              <w:top w:val="single" w:sz="2" w:space="0" w:color="000000"/>
            </w:tcBorders>
            <w:shd w:val="clear" w:color="auto" w:fill="E6E7E8"/>
          </w:tcPr>
          <w:p>
            <w:pPr>
              <w:pStyle w:val="TableParagraph"/>
              <w:rPr>
                <w:rFonts w:ascii="Times New Roman"/>
                <w:sz w:val="14"/>
              </w:rPr>
            </w:pPr>
          </w:p>
        </w:tc>
        <w:tc>
          <w:tcPr>
            <w:tcW w:w="899" w:type="dxa"/>
            <w:tcBorders>
              <w:top w:val="single" w:sz="2" w:space="0" w:color="000000"/>
            </w:tcBorders>
          </w:tcPr>
          <w:p>
            <w:pPr>
              <w:pStyle w:val="TableParagraph"/>
              <w:rPr>
                <w:rFonts w:ascii="Times New Roman"/>
                <w:sz w:val="14"/>
              </w:rPr>
            </w:pPr>
          </w:p>
        </w:tc>
        <w:tc>
          <w:tcPr>
            <w:tcW w:w="899" w:type="dxa"/>
            <w:tcBorders>
              <w:top w:val="single" w:sz="2" w:space="0" w:color="000000"/>
            </w:tcBorders>
            <w:shd w:val="clear" w:color="auto" w:fill="E6E7E8"/>
          </w:tcPr>
          <w:p>
            <w:pPr>
              <w:pStyle w:val="TableParagraph"/>
              <w:rPr>
                <w:rFonts w:ascii="Times New Roman"/>
                <w:sz w:val="14"/>
              </w:rPr>
            </w:pPr>
          </w:p>
        </w:tc>
        <w:tc>
          <w:tcPr>
            <w:tcW w:w="899" w:type="dxa"/>
            <w:tcBorders>
              <w:top w:val="single" w:sz="2" w:space="0" w:color="000000"/>
            </w:tcBorders>
          </w:tcPr>
          <w:p>
            <w:pPr>
              <w:pStyle w:val="TableParagraph"/>
              <w:rPr>
                <w:rFonts w:ascii="Times New Roman"/>
                <w:sz w:val="14"/>
              </w:rPr>
            </w:pPr>
          </w:p>
        </w:tc>
      </w:tr>
      <w:tr>
        <w:trPr>
          <w:trHeight w:val="236" w:hRule="atLeast"/>
        </w:trPr>
        <w:tc>
          <w:tcPr>
            <w:tcW w:w="3389" w:type="dxa"/>
            <w:shd w:val="clear" w:color="auto" w:fill="E6E7E8"/>
          </w:tcPr>
          <w:p>
            <w:pPr>
              <w:pStyle w:val="TableParagraph"/>
              <w:spacing w:before="44"/>
              <w:ind w:left="85"/>
              <w:rPr>
                <w:rFonts w:ascii="TT Norms Pro"/>
                <w:sz w:val="14"/>
              </w:rPr>
            </w:pPr>
            <w:r>
              <w:rPr>
                <w:rFonts w:ascii="TT Norms Pro"/>
                <w:sz w:val="14"/>
              </w:rPr>
              <w:t>Higher</w:t>
            </w:r>
            <w:r>
              <w:rPr>
                <w:rFonts w:ascii="TT Norms Pro"/>
                <w:spacing w:val="8"/>
                <w:sz w:val="14"/>
              </w:rPr>
              <w:t> </w:t>
            </w:r>
            <w:r>
              <w:rPr>
                <w:rFonts w:ascii="TT Norms Pro"/>
                <w:sz w:val="14"/>
              </w:rPr>
              <w:t>degree</w:t>
            </w:r>
            <w:r>
              <w:rPr>
                <w:rFonts w:ascii="TT Norms Pro"/>
                <w:spacing w:val="11"/>
                <w:sz w:val="14"/>
              </w:rPr>
              <w:t> </w:t>
            </w:r>
            <w:r>
              <w:rPr>
                <w:rFonts w:ascii="TT Norms Pro"/>
                <w:spacing w:val="-2"/>
                <w:sz w:val="14"/>
              </w:rPr>
              <w:t>research</w:t>
            </w:r>
          </w:p>
        </w:tc>
        <w:tc>
          <w:tcPr>
            <w:tcW w:w="899" w:type="dxa"/>
          </w:tcPr>
          <w:p>
            <w:pPr>
              <w:pStyle w:val="TableParagraph"/>
              <w:spacing w:before="44"/>
              <w:ind w:right="54"/>
              <w:jc w:val="right"/>
              <w:rPr>
                <w:rFonts w:ascii="TT Norms Pro Light"/>
                <w:b w:val="0"/>
                <w:sz w:val="14"/>
              </w:rPr>
            </w:pPr>
            <w:r>
              <w:rPr>
                <w:rFonts w:ascii="TT Norms Pro Light"/>
                <w:b w:val="0"/>
                <w:spacing w:val="-5"/>
                <w:sz w:val="14"/>
              </w:rPr>
              <w:t>0.0</w:t>
            </w:r>
          </w:p>
        </w:tc>
        <w:tc>
          <w:tcPr>
            <w:tcW w:w="899" w:type="dxa"/>
            <w:shd w:val="clear" w:color="auto" w:fill="E6E7E8"/>
          </w:tcPr>
          <w:p>
            <w:pPr>
              <w:pStyle w:val="TableParagraph"/>
              <w:spacing w:before="44"/>
              <w:ind w:right="54"/>
              <w:jc w:val="right"/>
              <w:rPr>
                <w:rFonts w:ascii="TT Norms Pro Light"/>
                <w:b w:val="0"/>
                <w:sz w:val="14"/>
              </w:rPr>
            </w:pPr>
            <w:r>
              <w:rPr>
                <w:rFonts w:ascii="TT Norms Pro Light"/>
                <w:b w:val="0"/>
                <w:spacing w:val="-5"/>
                <w:sz w:val="14"/>
              </w:rPr>
              <w:t>0.0</w:t>
            </w:r>
          </w:p>
        </w:tc>
        <w:tc>
          <w:tcPr>
            <w:tcW w:w="899" w:type="dxa"/>
          </w:tcPr>
          <w:p>
            <w:pPr>
              <w:pStyle w:val="TableParagraph"/>
              <w:spacing w:before="44"/>
              <w:ind w:right="54"/>
              <w:jc w:val="right"/>
              <w:rPr>
                <w:rFonts w:ascii="TT Norms Pro Light"/>
                <w:b w:val="0"/>
                <w:sz w:val="14"/>
              </w:rPr>
            </w:pPr>
            <w:r>
              <w:rPr>
                <w:rFonts w:ascii="TT Norms Pro Light"/>
                <w:b w:val="0"/>
                <w:spacing w:val="-5"/>
                <w:sz w:val="14"/>
              </w:rPr>
              <w:t>0.0</w:t>
            </w:r>
          </w:p>
        </w:tc>
        <w:tc>
          <w:tcPr>
            <w:tcW w:w="899" w:type="dxa"/>
            <w:shd w:val="clear" w:color="auto" w:fill="E6E7E8"/>
          </w:tcPr>
          <w:p>
            <w:pPr>
              <w:pStyle w:val="TableParagraph"/>
              <w:spacing w:before="44"/>
              <w:ind w:right="56"/>
              <w:jc w:val="right"/>
              <w:rPr>
                <w:rFonts w:ascii="TT Norms Pro Light"/>
                <w:b w:val="0"/>
                <w:sz w:val="14"/>
              </w:rPr>
            </w:pPr>
            <w:r>
              <w:rPr>
                <w:rFonts w:ascii="TT Norms Pro Light"/>
                <w:b w:val="0"/>
                <w:spacing w:val="-5"/>
                <w:sz w:val="14"/>
              </w:rPr>
              <w:t>0.5</w:t>
            </w:r>
          </w:p>
        </w:tc>
        <w:tc>
          <w:tcPr>
            <w:tcW w:w="899" w:type="dxa"/>
          </w:tcPr>
          <w:p>
            <w:pPr>
              <w:pStyle w:val="TableParagraph"/>
              <w:spacing w:before="44"/>
              <w:ind w:right="56"/>
              <w:jc w:val="right"/>
              <w:rPr>
                <w:rFonts w:ascii="TT Norms Pro Light"/>
                <w:b w:val="0"/>
                <w:sz w:val="14"/>
              </w:rPr>
            </w:pPr>
            <w:r>
              <w:rPr>
                <w:rFonts w:ascii="TT Norms Pro Light"/>
                <w:b w:val="0"/>
                <w:spacing w:val="-5"/>
                <w:sz w:val="14"/>
              </w:rPr>
              <w:t>0.5</w:t>
            </w:r>
          </w:p>
        </w:tc>
        <w:tc>
          <w:tcPr>
            <w:tcW w:w="899" w:type="dxa"/>
            <w:shd w:val="clear" w:color="auto" w:fill="E6E7E8"/>
          </w:tcPr>
          <w:p>
            <w:pPr>
              <w:pStyle w:val="TableParagraph"/>
              <w:spacing w:before="44"/>
              <w:ind w:right="56"/>
              <w:jc w:val="right"/>
              <w:rPr>
                <w:rFonts w:ascii="TT Norms Pro Light"/>
                <w:b w:val="0"/>
                <w:sz w:val="14"/>
              </w:rPr>
            </w:pPr>
            <w:r>
              <w:rPr>
                <w:rFonts w:ascii="TT Norms Pro Light"/>
                <w:b w:val="0"/>
                <w:spacing w:val="-5"/>
                <w:sz w:val="14"/>
              </w:rPr>
              <w:t>0.5</w:t>
            </w:r>
          </w:p>
        </w:tc>
        <w:tc>
          <w:tcPr>
            <w:tcW w:w="899" w:type="dxa"/>
          </w:tcPr>
          <w:p>
            <w:pPr>
              <w:pStyle w:val="TableParagraph"/>
              <w:spacing w:before="44"/>
              <w:ind w:right="56"/>
              <w:jc w:val="right"/>
              <w:rPr>
                <w:rFonts w:ascii="TT Norms Pro Light"/>
                <w:b w:val="0"/>
                <w:sz w:val="14"/>
              </w:rPr>
            </w:pPr>
            <w:r>
              <w:rPr>
                <w:rFonts w:ascii="TT Norms Pro Light"/>
                <w:b w:val="0"/>
                <w:spacing w:val="-5"/>
                <w:sz w:val="14"/>
              </w:rPr>
              <w:t>0.5</w:t>
            </w:r>
          </w:p>
        </w:tc>
      </w:tr>
      <w:tr>
        <w:trPr>
          <w:trHeight w:val="238" w:hRule="atLeast"/>
        </w:trPr>
        <w:tc>
          <w:tcPr>
            <w:tcW w:w="3389" w:type="dxa"/>
            <w:shd w:val="clear" w:color="auto" w:fill="E6E7E8"/>
          </w:tcPr>
          <w:p>
            <w:pPr>
              <w:pStyle w:val="TableParagraph"/>
              <w:spacing w:before="46"/>
              <w:ind w:left="85"/>
              <w:rPr>
                <w:rFonts w:ascii="TT Norms Pro"/>
                <w:sz w:val="14"/>
              </w:rPr>
            </w:pPr>
            <w:r>
              <w:rPr>
                <w:rFonts w:ascii="TT Norms Pro"/>
                <w:sz w:val="14"/>
              </w:rPr>
              <w:t>Postgraduate</w:t>
            </w:r>
            <w:r>
              <w:rPr>
                <w:rFonts w:ascii="TT Norms Pro"/>
                <w:spacing w:val="13"/>
                <w:sz w:val="14"/>
              </w:rPr>
              <w:t> </w:t>
            </w:r>
            <w:r>
              <w:rPr>
                <w:rFonts w:ascii="TT Norms Pro"/>
                <w:spacing w:val="-2"/>
                <w:sz w:val="14"/>
              </w:rPr>
              <w:t>coursework</w:t>
            </w:r>
          </w:p>
        </w:tc>
        <w:tc>
          <w:tcPr>
            <w:tcW w:w="899" w:type="dxa"/>
          </w:tcPr>
          <w:p>
            <w:pPr>
              <w:pStyle w:val="TableParagraph"/>
              <w:spacing w:before="46"/>
              <w:ind w:right="55"/>
              <w:jc w:val="right"/>
              <w:rPr>
                <w:rFonts w:ascii="TT Norms Pro Light"/>
                <w:b w:val="0"/>
                <w:sz w:val="14"/>
              </w:rPr>
            </w:pPr>
            <w:r>
              <w:rPr>
                <w:rFonts w:ascii="TT Norms Pro Light"/>
                <w:b w:val="0"/>
                <w:spacing w:val="-2"/>
                <w:sz w:val="14"/>
              </w:rPr>
              <w:t>636.1</w:t>
            </w:r>
          </w:p>
        </w:tc>
        <w:tc>
          <w:tcPr>
            <w:tcW w:w="899" w:type="dxa"/>
            <w:shd w:val="clear" w:color="auto" w:fill="E6E7E8"/>
          </w:tcPr>
          <w:p>
            <w:pPr>
              <w:pStyle w:val="TableParagraph"/>
              <w:spacing w:before="46"/>
              <w:ind w:right="55"/>
              <w:jc w:val="right"/>
              <w:rPr>
                <w:rFonts w:ascii="TT Norms Pro Light"/>
                <w:b w:val="0"/>
                <w:sz w:val="14"/>
              </w:rPr>
            </w:pPr>
            <w:r>
              <w:rPr>
                <w:rFonts w:ascii="TT Norms Pro Light"/>
                <w:b w:val="0"/>
                <w:spacing w:val="-2"/>
                <w:sz w:val="14"/>
              </w:rPr>
              <w:t>791.0</w:t>
            </w:r>
          </w:p>
        </w:tc>
        <w:tc>
          <w:tcPr>
            <w:tcW w:w="899" w:type="dxa"/>
          </w:tcPr>
          <w:p>
            <w:pPr>
              <w:pStyle w:val="TableParagraph"/>
              <w:spacing w:before="46"/>
              <w:ind w:right="60"/>
              <w:jc w:val="right"/>
              <w:rPr>
                <w:rFonts w:ascii="TT Norms Pro Light"/>
                <w:b w:val="0"/>
                <w:sz w:val="14"/>
              </w:rPr>
            </w:pPr>
            <w:r>
              <w:rPr>
                <w:rFonts w:ascii="TT Norms Pro Light"/>
                <w:b w:val="0"/>
                <w:spacing w:val="-2"/>
                <w:sz w:val="14"/>
              </w:rPr>
              <w:t>920.9</w:t>
            </w:r>
          </w:p>
        </w:tc>
        <w:tc>
          <w:tcPr>
            <w:tcW w:w="899" w:type="dxa"/>
            <w:shd w:val="clear" w:color="auto" w:fill="E6E7E8"/>
          </w:tcPr>
          <w:p>
            <w:pPr>
              <w:pStyle w:val="TableParagraph"/>
              <w:spacing w:before="46"/>
              <w:ind w:right="55"/>
              <w:jc w:val="right"/>
              <w:rPr>
                <w:rFonts w:ascii="TT Norms Pro Light"/>
                <w:b w:val="0"/>
                <w:sz w:val="14"/>
              </w:rPr>
            </w:pPr>
            <w:r>
              <w:rPr>
                <w:rFonts w:ascii="TT Norms Pro Light"/>
                <w:b w:val="0"/>
                <w:spacing w:val="-2"/>
                <w:sz w:val="14"/>
              </w:rPr>
              <w:t>945.5</w:t>
            </w:r>
          </w:p>
        </w:tc>
        <w:tc>
          <w:tcPr>
            <w:tcW w:w="899" w:type="dxa"/>
          </w:tcPr>
          <w:p>
            <w:pPr>
              <w:pStyle w:val="TableParagraph"/>
              <w:spacing w:before="46"/>
              <w:ind w:right="56"/>
              <w:jc w:val="right"/>
              <w:rPr>
                <w:rFonts w:ascii="TT Norms Pro Light"/>
                <w:b w:val="0"/>
                <w:sz w:val="14"/>
              </w:rPr>
            </w:pPr>
            <w:r>
              <w:rPr>
                <w:rFonts w:ascii="TT Norms Pro Light"/>
                <w:b w:val="0"/>
                <w:spacing w:val="-2"/>
                <w:sz w:val="14"/>
              </w:rPr>
              <w:t>894.1</w:t>
            </w:r>
          </w:p>
        </w:tc>
        <w:tc>
          <w:tcPr>
            <w:tcW w:w="899" w:type="dxa"/>
            <w:shd w:val="clear" w:color="auto" w:fill="E6E7E8"/>
          </w:tcPr>
          <w:p>
            <w:pPr>
              <w:pStyle w:val="TableParagraph"/>
              <w:spacing w:before="46"/>
              <w:ind w:right="56"/>
              <w:jc w:val="right"/>
              <w:rPr>
                <w:rFonts w:ascii="TT Norms Pro Light"/>
                <w:b w:val="0"/>
                <w:sz w:val="14"/>
              </w:rPr>
            </w:pPr>
            <w:r>
              <w:rPr>
                <w:rFonts w:ascii="TT Norms Pro Light"/>
                <w:b w:val="0"/>
                <w:spacing w:val="-2"/>
                <w:sz w:val="14"/>
              </w:rPr>
              <w:t>832.6</w:t>
            </w:r>
          </w:p>
        </w:tc>
        <w:tc>
          <w:tcPr>
            <w:tcW w:w="899" w:type="dxa"/>
          </w:tcPr>
          <w:p>
            <w:pPr>
              <w:pStyle w:val="TableParagraph"/>
              <w:spacing w:before="46"/>
              <w:ind w:right="56"/>
              <w:jc w:val="right"/>
              <w:rPr>
                <w:rFonts w:ascii="TT Norms Pro Light"/>
                <w:b w:val="0"/>
                <w:sz w:val="14"/>
              </w:rPr>
            </w:pPr>
            <w:r>
              <w:rPr>
                <w:rFonts w:ascii="TT Norms Pro Light"/>
                <w:b w:val="0"/>
                <w:spacing w:val="-2"/>
                <w:sz w:val="14"/>
              </w:rPr>
              <w:t>717.5</w:t>
            </w:r>
          </w:p>
        </w:tc>
      </w:tr>
      <w:tr>
        <w:trPr>
          <w:trHeight w:val="238" w:hRule="atLeast"/>
        </w:trPr>
        <w:tc>
          <w:tcPr>
            <w:tcW w:w="3389" w:type="dxa"/>
            <w:shd w:val="clear" w:color="auto" w:fill="E6E7E8"/>
          </w:tcPr>
          <w:p>
            <w:pPr>
              <w:pStyle w:val="TableParagraph"/>
              <w:spacing w:before="46"/>
              <w:ind w:left="85"/>
              <w:rPr>
                <w:rFonts w:ascii="TT Norms Pro"/>
                <w:sz w:val="14"/>
              </w:rPr>
            </w:pPr>
            <w:r>
              <w:rPr>
                <w:rFonts w:ascii="TT Norms Pro"/>
                <w:spacing w:val="-2"/>
                <w:sz w:val="14"/>
              </w:rPr>
              <w:t>Undergraduate</w:t>
            </w:r>
          </w:p>
        </w:tc>
        <w:tc>
          <w:tcPr>
            <w:tcW w:w="899" w:type="dxa"/>
          </w:tcPr>
          <w:p>
            <w:pPr>
              <w:pStyle w:val="TableParagraph"/>
              <w:spacing w:before="46"/>
              <w:ind w:right="54"/>
              <w:jc w:val="right"/>
              <w:rPr>
                <w:rFonts w:ascii="TT Norms Pro Light"/>
                <w:b w:val="0"/>
                <w:sz w:val="14"/>
              </w:rPr>
            </w:pPr>
            <w:r>
              <w:rPr>
                <w:rFonts w:ascii="TT Norms Pro Light"/>
                <w:b w:val="0"/>
                <w:spacing w:val="-5"/>
                <w:sz w:val="14"/>
              </w:rPr>
              <w:t>1.0</w:t>
            </w:r>
          </w:p>
        </w:tc>
        <w:tc>
          <w:tcPr>
            <w:tcW w:w="899" w:type="dxa"/>
            <w:shd w:val="clear" w:color="auto" w:fill="E6E7E8"/>
          </w:tcPr>
          <w:p>
            <w:pPr>
              <w:pStyle w:val="TableParagraph"/>
              <w:spacing w:before="46"/>
              <w:ind w:right="54"/>
              <w:jc w:val="right"/>
              <w:rPr>
                <w:rFonts w:ascii="TT Norms Pro Light"/>
                <w:b w:val="0"/>
                <w:sz w:val="14"/>
              </w:rPr>
            </w:pPr>
            <w:r>
              <w:rPr>
                <w:rFonts w:ascii="TT Norms Pro Light"/>
                <w:b w:val="0"/>
                <w:spacing w:val="-5"/>
                <w:sz w:val="14"/>
              </w:rPr>
              <w:t>0.0</w:t>
            </w:r>
          </w:p>
        </w:tc>
        <w:tc>
          <w:tcPr>
            <w:tcW w:w="899" w:type="dxa"/>
          </w:tcPr>
          <w:p>
            <w:pPr>
              <w:pStyle w:val="TableParagraph"/>
              <w:spacing w:before="46"/>
              <w:ind w:right="54"/>
              <w:jc w:val="right"/>
              <w:rPr>
                <w:rFonts w:ascii="TT Norms Pro Light"/>
                <w:b w:val="0"/>
                <w:sz w:val="14"/>
              </w:rPr>
            </w:pPr>
            <w:r>
              <w:rPr>
                <w:rFonts w:ascii="TT Norms Pro Light"/>
                <w:b w:val="0"/>
                <w:spacing w:val="-5"/>
                <w:sz w:val="14"/>
              </w:rPr>
              <w:t>1.0</w:t>
            </w:r>
          </w:p>
        </w:tc>
        <w:tc>
          <w:tcPr>
            <w:tcW w:w="899" w:type="dxa"/>
            <w:shd w:val="clear" w:color="auto" w:fill="E6E7E8"/>
          </w:tcPr>
          <w:p>
            <w:pPr>
              <w:pStyle w:val="TableParagraph"/>
              <w:spacing w:before="46"/>
              <w:ind w:right="54"/>
              <w:jc w:val="right"/>
              <w:rPr>
                <w:rFonts w:ascii="TT Norms Pro Light"/>
                <w:b w:val="0"/>
                <w:sz w:val="14"/>
              </w:rPr>
            </w:pPr>
            <w:r>
              <w:rPr>
                <w:rFonts w:ascii="TT Norms Pro Light"/>
                <w:b w:val="0"/>
                <w:spacing w:val="-5"/>
                <w:sz w:val="14"/>
              </w:rPr>
              <w:t>2.0</w:t>
            </w:r>
          </w:p>
        </w:tc>
        <w:tc>
          <w:tcPr>
            <w:tcW w:w="899" w:type="dxa"/>
          </w:tcPr>
          <w:p>
            <w:pPr>
              <w:pStyle w:val="TableParagraph"/>
              <w:spacing w:before="46"/>
              <w:ind w:right="56"/>
              <w:jc w:val="right"/>
              <w:rPr>
                <w:rFonts w:ascii="TT Norms Pro Light"/>
                <w:b w:val="0"/>
                <w:sz w:val="14"/>
              </w:rPr>
            </w:pPr>
            <w:r>
              <w:rPr>
                <w:rFonts w:ascii="TT Norms Pro Light"/>
                <w:b w:val="0"/>
                <w:spacing w:val="-5"/>
                <w:sz w:val="14"/>
              </w:rPr>
              <w:t>1.8</w:t>
            </w:r>
          </w:p>
        </w:tc>
        <w:tc>
          <w:tcPr>
            <w:tcW w:w="899" w:type="dxa"/>
            <w:shd w:val="clear" w:color="auto" w:fill="E6E7E8"/>
          </w:tcPr>
          <w:p>
            <w:pPr>
              <w:pStyle w:val="TableParagraph"/>
              <w:spacing w:before="46"/>
              <w:ind w:right="56"/>
              <w:jc w:val="right"/>
              <w:rPr>
                <w:rFonts w:ascii="TT Norms Pro Light"/>
                <w:b w:val="0"/>
                <w:sz w:val="14"/>
              </w:rPr>
            </w:pPr>
            <w:r>
              <w:rPr>
                <w:rFonts w:ascii="TT Norms Pro Light"/>
                <w:b w:val="0"/>
                <w:spacing w:val="-5"/>
                <w:sz w:val="14"/>
              </w:rPr>
              <w:t>0.1</w:t>
            </w:r>
          </w:p>
        </w:tc>
        <w:tc>
          <w:tcPr>
            <w:tcW w:w="899" w:type="dxa"/>
          </w:tcPr>
          <w:p>
            <w:pPr>
              <w:pStyle w:val="TableParagraph"/>
              <w:spacing w:before="46"/>
              <w:ind w:right="55"/>
              <w:jc w:val="right"/>
              <w:rPr>
                <w:rFonts w:ascii="TT Norms Pro Light"/>
                <w:b w:val="0"/>
                <w:sz w:val="14"/>
              </w:rPr>
            </w:pPr>
            <w:r>
              <w:rPr>
                <w:rFonts w:ascii="TT Norms Pro Light"/>
                <w:b w:val="0"/>
                <w:spacing w:val="-5"/>
                <w:sz w:val="14"/>
              </w:rPr>
              <w:t>3.0</w:t>
            </w:r>
          </w:p>
        </w:tc>
      </w:tr>
      <w:tr>
        <w:trPr>
          <w:trHeight w:val="236" w:hRule="atLeast"/>
        </w:trPr>
        <w:tc>
          <w:tcPr>
            <w:tcW w:w="3389" w:type="dxa"/>
            <w:shd w:val="clear" w:color="auto" w:fill="E6E7E8"/>
          </w:tcPr>
          <w:p>
            <w:pPr>
              <w:pStyle w:val="TableParagraph"/>
              <w:spacing w:before="46"/>
              <w:ind w:left="85"/>
              <w:rPr>
                <w:rFonts w:ascii="TT Norms Pro"/>
                <w:sz w:val="14"/>
              </w:rPr>
            </w:pPr>
            <w:r>
              <w:rPr>
                <w:rFonts w:ascii="TT Norms Pro"/>
                <w:sz w:val="14"/>
              </w:rPr>
              <w:t>Sub-</w:t>
            </w:r>
            <w:r>
              <w:rPr>
                <w:rFonts w:ascii="TT Norms Pro"/>
                <w:spacing w:val="-2"/>
                <w:sz w:val="14"/>
              </w:rPr>
              <w:t>total</w:t>
            </w:r>
          </w:p>
        </w:tc>
        <w:tc>
          <w:tcPr>
            <w:tcW w:w="899" w:type="dxa"/>
          </w:tcPr>
          <w:p>
            <w:pPr>
              <w:pStyle w:val="TableParagraph"/>
              <w:spacing w:before="46"/>
              <w:ind w:right="55"/>
              <w:jc w:val="right"/>
              <w:rPr>
                <w:rFonts w:ascii="TT Norms Pro Light"/>
                <w:b w:val="0"/>
                <w:sz w:val="14"/>
              </w:rPr>
            </w:pPr>
            <w:r>
              <w:rPr>
                <w:rFonts w:ascii="TT Norms Pro Light"/>
                <w:b w:val="0"/>
                <w:spacing w:val="-2"/>
                <w:sz w:val="14"/>
              </w:rPr>
              <w:t>637.1</w:t>
            </w:r>
          </w:p>
        </w:tc>
        <w:tc>
          <w:tcPr>
            <w:tcW w:w="899" w:type="dxa"/>
            <w:shd w:val="clear" w:color="auto" w:fill="E6E7E8"/>
          </w:tcPr>
          <w:p>
            <w:pPr>
              <w:pStyle w:val="TableParagraph"/>
              <w:spacing w:before="46"/>
              <w:ind w:right="55"/>
              <w:jc w:val="right"/>
              <w:rPr>
                <w:rFonts w:ascii="TT Norms Pro Light"/>
                <w:b w:val="0"/>
                <w:sz w:val="14"/>
              </w:rPr>
            </w:pPr>
            <w:r>
              <w:rPr>
                <w:rFonts w:ascii="TT Norms Pro Light"/>
                <w:b w:val="0"/>
                <w:spacing w:val="-2"/>
                <w:sz w:val="14"/>
              </w:rPr>
              <w:t>791.0</w:t>
            </w:r>
          </w:p>
        </w:tc>
        <w:tc>
          <w:tcPr>
            <w:tcW w:w="899" w:type="dxa"/>
          </w:tcPr>
          <w:p>
            <w:pPr>
              <w:pStyle w:val="TableParagraph"/>
              <w:spacing w:before="46"/>
              <w:ind w:right="60"/>
              <w:jc w:val="right"/>
              <w:rPr>
                <w:rFonts w:ascii="TT Norms Pro Light"/>
                <w:b w:val="0"/>
                <w:sz w:val="14"/>
              </w:rPr>
            </w:pPr>
            <w:r>
              <w:rPr>
                <w:rFonts w:ascii="TT Norms Pro Light"/>
                <w:b w:val="0"/>
                <w:spacing w:val="-4"/>
                <w:sz w:val="14"/>
              </w:rPr>
              <w:t>921.9</w:t>
            </w:r>
          </w:p>
        </w:tc>
        <w:tc>
          <w:tcPr>
            <w:tcW w:w="899" w:type="dxa"/>
            <w:shd w:val="clear" w:color="auto" w:fill="E6E7E8"/>
          </w:tcPr>
          <w:p>
            <w:pPr>
              <w:pStyle w:val="TableParagraph"/>
              <w:spacing w:before="46"/>
              <w:ind w:right="55"/>
              <w:jc w:val="right"/>
              <w:rPr>
                <w:rFonts w:ascii="TT Norms Pro Light"/>
                <w:b w:val="0"/>
                <w:sz w:val="14"/>
              </w:rPr>
            </w:pPr>
            <w:r>
              <w:rPr>
                <w:rFonts w:ascii="TT Norms Pro Light"/>
                <w:b w:val="0"/>
                <w:spacing w:val="-2"/>
                <w:sz w:val="14"/>
              </w:rPr>
              <w:t>948.0</w:t>
            </w:r>
          </w:p>
        </w:tc>
        <w:tc>
          <w:tcPr>
            <w:tcW w:w="899" w:type="dxa"/>
          </w:tcPr>
          <w:p>
            <w:pPr>
              <w:pStyle w:val="TableParagraph"/>
              <w:spacing w:before="46"/>
              <w:ind w:right="56"/>
              <w:jc w:val="right"/>
              <w:rPr>
                <w:rFonts w:ascii="TT Norms Pro Light"/>
                <w:b w:val="0"/>
                <w:sz w:val="14"/>
              </w:rPr>
            </w:pPr>
            <w:r>
              <w:rPr>
                <w:rFonts w:ascii="TT Norms Pro Light"/>
                <w:b w:val="0"/>
                <w:spacing w:val="-2"/>
                <w:sz w:val="14"/>
              </w:rPr>
              <w:t>896.4</w:t>
            </w:r>
          </w:p>
        </w:tc>
        <w:tc>
          <w:tcPr>
            <w:tcW w:w="899" w:type="dxa"/>
            <w:shd w:val="clear" w:color="auto" w:fill="E6E7E8"/>
          </w:tcPr>
          <w:p>
            <w:pPr>
              <w:pStyle w:val="TableParagraph"/>
              <w:spacing w:before="46"/>
              <w:ind w:right="56"/>
              <w:jc w:val="right"/>
              <w:rPr>
                <w:rFonts w:ascii="TT Norms Pro Light"/>
                <w:b w:val="0"/>
                <w:sz w:val="14"/>
              </w:rPr>
            </w:pPr>
            <w:r>
              <w:rPr>
                <w:rFonts w:ascii="TT Norms Pro Light"/>
                <w:b w:val="0"/>
                <w:spacing w:val="-2"/>
                <w:sz w:val="14"/>
              </w:rPr>
              <w:t>833.2</w:t>
            </w:r>
          </w:p>
        </w:tc>
        <w:tc>
          <w:tcPr>
            <w:tcW w:w="899" w:type="dxa"/>
          </w:tcPr>
          <w:p>
            <w:pPr>
              <w:pStyle w:val="TableParagraph"/>
              <w:spacing w:before="46"/>
              <w:ind w:right="55"/>
              <w:jc w:val="right"/>
              <w:rPr>
                <w:rFonts w:ascii="TT Norms Pro Light"/>
                <w:b w:val="0"/>
                <w:sz w:val="14"/>
              </w:rPr>
            </w:pPr>
            <w:r>
              <w:rPr>
                <w:rFonts w:ascii="TT Norms Pro Light"/>
                <w:b w:val="0"/>
                <w:spacing w:val="-4"/>
                <w:sz w:val="14"/>
              </w:rPr>
              <w:t>721.0</w:t>
            </w:r>
          </w:p>
        </w:tc>
      </w:tr>
      <w:tr>
        <w:trPr>
          <w:trHeight w:val="240" w:hRule="atLeast"/>
        </w:trPr>
        <w:tc>
          <w:tcPr>
            <w:tcW w:w="3389" w:type="dxa"/>
            <w:tcBorders>
              <w:bottom w:val="single" w:sz="2" w:space="0" w:color="000000"/>
            </w:tcBorders>
            <w:shd w:val="clear" w:color="auto" w:fill="E6E7E8"/>
          </w:tcPr>
          <w:p>
            <w:pPr>
              <w:pStyle w:val="TableParagraph"/>
              <w:spacing w:before="39"/>
              <w:ind w:left="85"/>
              <w:rPr>
                <w:rFonts w:ascii="Verdana"/>
                <w:i/>
                <w:sz w:val="14"/>
              </w:rPr>
            </w:pPr>
            <w:r>
              <w:rPr>
                <w:rFonts w:ascii="Verdana"/>
                <w:i/>
                <w:w w:val="85"/>
                <w:sz w:val="14"/>
              </w:rPr>
              <w:t>%</w:t>
            </w:r>
            <w:r>
              <w:rPr>
                <w:rFonts w:ascii="Verdana"/>
                <w:i/>
                <w:spacing w:val="1"/>
                <w:sz w:val="14"/>
              </w:rPr>
              <w:t> </w:t>
            </w:r>
            <w:r>
              <w:rPr>
                <w:rFonts w:ascii="Verdana"/>
                <w:i/>
                <w:w w:val="85"/>
                <w:sz w:val="14"/>
              </w:rPr>
              <w:t>Domestic</w:t>
            </w:r>
            <w:r>
              <w:rPr>
                <w:rFonts w:ascii="Verdana"/>
                <w:i/>
                <w:spacing w:val="1"/>
                <w:sz w:val="14"/>
              </w:rPr>
              <w:t> </w:t>
            </w:r>
            <w:r>
              <w:rPr>
                <w:rFonts w:ascii="Verdana"/>
                <w:i/>
                <w:w w:val="85"/>
                <w:sz w:val="14"/>
              </w:rPr>
              <w:t>-</w:t>
            </w:r>
            <w:r>
              <w:rPr>
                <w:rFonts w:ascii="Verdana"/>
                <w:i/>
                <w:spacing w:val="1"/>
                <w:sz w:val="14"/>
              </w:rPr>
              <w:t> </w:t>
            </w:r>
            <w:r>
              <w:rPr>
                <w:rFonts w:ascii="Verdana"/>
                <w:i/>
                <w:w w:val="85"/>
                <w:sz w:val="14"/>
              </w:rPr>
              <w:t>fee-</w:t>
            </w:r>
            <w:r>
              <w:rPr>
                <w:rFonts w:ascii="Verdana"/>
                <w:i/>
                <w:spacing w:val="-2"/>
                <w:w w:val="85"/>
                <w:sz w:val="14"/>
              </w:rPr>
              <w:t>paying</w:t>
            </w:r>
          </w:p>
        </w:tc>
        <w:tc>
          <w:tcPr>
            <w:tcW w:w="899" w:type="dxa"/>
            <w:tcBorders>
              <w:bottom w:val="single" w:sz="2" w:space="0" w:color="000000"/>
            </w:tcBorders>
          </w:tcPr>
          <w:p>
            <w:pPr>
              <w:pStyle w:val="TableParagraph"/>
              <w:spacing w:before="47"/>
              <w:ind w:right="54"/>
              <w:jc w:val="right"/>
              <w:rPr>
                <w:rFonts w:ascii="TT Norms Pro Light"/>
                <w:b w:val="0"/>
                <w:sz w:val="14"/>
              </w:rPr>
            </w:pPr>
            <w:r>
              <w:rPr>
                <w:rFonts w:ascii="TT Norms Pro Light"/>
                <w:b w:val="0"/>
                <w:spacing w:val="-5"/>
                <w:sz w:val="14"/>
              </w:rPr>
              <w:t>3.0</w:t>
            </w:r>
          </w:p>
        </w:tc>
        <w:tc>
          <w:tcPr>
            <w:tcW w:w="899" w:type="dxa"/>
            <w:tcBorders>
              <w:bottom w:val="single" w:sz="2" w:space="0" w:color="000000"/>
            </w:tcBorders>
            <w:shd w:val="clear" w:color="auto" w:fill="E6E7E8"/>
          </w:tcPr>
          <w:p>
            <w:pPr>
              <w:pStyle w:val="TableParagraph"/>
              <w:spacing w:before="47"/>
              <w:ind w:right="54"/>
              <w:jc w:val="right"/>
              <w:rPr>
                <w:rFonts w:ascii="TT Norms Pro Light"/>
                <w:b w:val="0"/>
                <w:sz w:val="14"/>
              </w:rPr>
            </w:pPr>
            <w:r>
              <w:rPr>
                <w:rFonts w:ascii="TT Norms Pro Light"/>
                <w:b w:val="0"/>
                <w:spacing w:val="-5"/>
                <w:sz w:val="14"/>
              </w:rPr>
              <w:t>4.0</w:t>
            </w:r>
          </w:p>
        </w:tc>
        <w:tc>
          <w:tcPr>
            <w:tcW w:w="899" w:type="dxa"/>
            <w:tcBorders>
              <w:bottom w:val="single" w:sz="2" w:space="0" w:color="000000"/>
            </w:tcBorders>
          </w:tcPr>
          <w:p>
            <w:pPr>
              <w:pStyle w:val="TableParagraph"/>
              <w:spacing w:before="47"/>
              <w:ind w:right="51"/>
              <w:jc w:val="right"/>
              <w:rPr>
                <w:rFonts w:ascii="TT Norms Pro Light"/>
                <w:b w:val="0"/>
                <w:sz w:val="14"/>
              </w:rPr>
            </w:pPr>
            <w:r>
              <w:rPr>
                <w:rFonts w:ascii="TT Norms Pro Light"/>
                <w:b w:val="0"/>
                <w:spacing w:val="-5"/>
                <w:sz w:val="14"/>
              </w:rPr>
              <w:t>4.6</w:t>
            </w:r>
          </w:p>
        </w:tc>
        <w:tc>
          <w:tcPr>
            <w:tcW w:w="899" w:type="dxa"/>
            <w:tcBorders>
              <w:bottom w:val="single" w:sz="2" w:space="0" w:color="000000"/>
            </w:tcBorders>
            <w:shd w:val="clear" w:color="auto" w:fill="E6E7E8"/>
          </w:tcPr>
          <w:p>
            <w:pPr>
              <w:pStyle w:val="TableParagraph"/>
              <w:spacing w:before="47"/>
              <w:ind w:right="51"/>
              <w:jc w:val="right"/>
              <w:rPr>
                <w:rFonts w:ascii="TT Norms Pro Light"/>
                <w:b w:val="0"/>
                <w:sz w:val="14"/>
              </w:rPr>
            </w:pPr>
            <w:r>
              <w:rPr>
                <w:rFonts w:ascii="TT Norms Pro Light"/>
                <w:b w:val="0"/>
                <w:spacing w:val="-5"/>
                <w:sz w:val="14"/>
              </w:rPr>
              <w:t>4.8</w:t>
            </w:r>
          </w:p>
        </w:tc>
        <w:tc>
          <w:tcPr>
            <w:tcW w:w="899" w:type="dxa"/>
            <w:tcBorders>
              <w:bottom w:val="single" w:sz="2" w:space="0" w:color="000000"/>
            </w:tcBorders>
          </w:tcPr>
          <w:p>
            <w:pPr>
              <w:pStyle w:val="TableParagraph"/>
              <w:spacing w:before="47"/>
              <w:ind w:right="52"/>
              <w:jc w:val="right"/>
              <w:rPr>
                <w:rFonts w:ascii="TT Norms Pro Light"/>
                <w:b w:val="0"/>
                <w:sz w:val="14"/>
              </w:rPr>
            </w:pPr>
            <w:r>
              <w:rPr>
                <w:rFonts w:ascii="TT Norms Pro Light"/>
                <w:b w:val="0"/>
                <w:spacing w:val="-5"/>
                <w:sz w:val="14"/>
              </w:rPr>
              <w:t>4.7</w:t>
            </w:r>
          </w:p>
        </w:tc>
        <w:tc>
          <w:tcPr>
            <w:tcW w:w="899" w:type="dxa"/>
            <w:tcBorders>
              <w:bottom w:val="single" w:sz="2" w:space="0" w:color="000000"/>
            </w:tcBorders>
            <w:shd w:val="clear" w:color="auto" w:fill="E6E7E8"/>
          </w:tcPr>
          <w:p>
            <w:pPr>
              <w:pStyle w:val="TableParagraph"/>
              <w:spacing w:before="47"/>
              <w:ind w:right="51"/>
              <w:jc w:val="right"/>
              <w:rPr>
                <w:rFonts w:ascii="TT Norms Pro Light"/>
                <w:b w:val="0"/>
                <w:sz w:val="14"/>
              </w:rPr>
            </w:pPr>
            <w:r>
              <w:rPr>
                <w:rFonts w:ascii="TT Norms Pro Light"/>
                <w:b w:val="0"/>
                <w:spacing w:val="-5"/>
                <w:sz w:val="14"/>
              </w:rPr>
              <w:t>4.4</w:t>
            </w:r>
          </w:p>
        </w:tc>
        <w:tc>
          <w:tcPr>
            <w:tcW w:w="899" w:type="dxa"/>
            <w:tcBorders>
              <w:bottom w:val="single" w:sz="2" w:space="0" w:color="000000"/>
            </w:tcBorders>
          </w:tcPr>
          <w:p>
            <w:pPr>
              <w:pStyle w:val="TableParagraph"/>
              <w:spacing w:before="47"/>
              <w:ind w:right="61"/>
              <w:jc w:val="right"/>
              <w:rPr>
                <w:rFonts w:ascii="TT Norms Pro Light"/>
                <w:b w:val="0"/>
                <w:sz w:val="14"/>
              </w:rPr>
            </w:pPr>
            <w:r>
              <w:rPr>
                <w:rFonts w:ascii="TT Norms Pro Light"/>
                <w:b w:val="0"/>
                <w:spacing w:val="-5"/>
                <w:sz w:val="14"/>
              </w:rPr>
              <w:t>3.9</w:t>
            </w:r>
          </w:p>
        </w:tc>
      </w:tr>
      <w:tr>
        <w:trPr>
          <w:trHeight w:val="233" w:hRule="atLeast"/>
        </w:trPr>
        <w:tc>
          <w:tcPr>
            <w:tcW w:w="3389" w:type="dxa"/>
            <w:tcBorders>
              <w:top w:val="single" w:sz="2" w:space="0" w:color="000000"/>
            </w:tcBorders>
            <w:shd w:val="clear" w:color="auto" w:fill="E6E7E8"/>
          </w:tcPr>
          <w:p>
            <w:pPr>
              <w:pStyle w:val="TableParagraph"/>
              <w:spacing w:before="40"/>
              <w:ind w:left="84"/>
              <w:rPr>
                <w:rFonts w:ascii="TT Norms Pro"/>
                <w:b/>
                <w:sz w:val="14"/>
              </w:rPr>
            </w:pPr>
            <w:r>
              <w:rPr>
                <w:rFonts w:ascii="TT Norms Pro"/>
                <w:b/>
                <w:sz w:val="14"/>
              </w:rPr>
              <w:t>DOMESTIC</w:t>
            </w:r>
            <w:r>
              <w:rPr>
                <w:rFonts w:ascii="TT Norms Pro"/>
                <w:b/>
                <w:spacing w:val="9"/>
                <w:sz w:val="14"/>
              </w:rPr>
              <w:t> </w:t>
            </w:r>
            <w:r>
              <w:rPr>
                <w:rFonts w:ascii="TT Norms Pro"/>
                <w:b/>
                <w:sz w:val="14"/>
              </w:rPr>
              <w:t>-</w:t>
            </w:r>
            <w:r>
              <w:rPr>
                <w:rFonts w:ascii="TT Norms Pro"/>
                <w:b/>
                <w:spacing w:val="10"/>
                <w:sz w:val="14"/>
              </w:rPr>
              <w:t> </w:t>
            </w:r>
            <w:r>
              <w:rPr>
                <w:rFonts w:ascii="TT Norms Pro"/>
                <w:b/>
                <w:sz w:val="14"/>
              </w:rPr>
              <w:t>NON-AWARD</w:t>
            </w:r>
            <w:r>
              <w:rPr>
                <w:rFonts w:ascii="TT Norms Pro"/>
                <w:b/>
                <w:spacing w:val="9"/>
                <w:sz w:val="14"/>
              </w:rPr>
              <w:t> </w:t>
            </w:r>
            <w:r>
              <w:rPr>
                <w:rFonts w:ascii="TT Norms Pro"/>
                <w:b/>
                <w:sz w:val="14"/>
              </w:rPr>
              <w:t>AND</w:t>
            </w:r>
            <w:r>
              <w:rPr>
                <w:rFonts w:ascii="TT Norms Pro"/>
                <w:b/>
                <w:spacing w:val="9"/>
                <w:sz w:val="14"/>
              </w:rPr>
              <w:t> </w:t>
            </w:r>
            <w:r>
              <w:rPr>
                <w:rFonts w:ascii="TT Norms Pro"/>
                <w:b/>
                <w:spacing w:val="-2"/>
                <w:sz w:val="14"/>
              </w:rPr>
              <w:t>OTHERS</w:t>
            </w:r>
          </w:p>
        </w:tc>
        <w:tc>
          <w:tcPr>
            <w:tcW w:w="899" w:type="dxa"/>
            <w:tcBorders>
              <w:top w:val="single" w:sz="2" w:space="0" w:color="000000"/>
            </w:tcBorders>
          </w:tcPr>
          <w:p>
            <w:pPr>
              <w:pStyle w:val="TableParagraph"/>
              <w:rPr>
                <w:rFonts w:ascii="Times New Roman"/>
                <w:sz w:val="14"/>
              </w:rPr>
            </w:pPr>
          </w:p>
        </w:tc>
        <w:tc>
          <w:tcPr>
            <w:tcW w:w="899" w:type="dxa"/>
            <w:tcBorders>
              <w:top w:val="single" w:sz="2" w:space="0" w:color="000000"/>
            </w:tcBorders>
            <w:shd w:val="clear" w:color="auto" w:fill="E6E7E8"/>
          </w:tcPr>
          <w:p>
            <w:pPr>
              <w:pStyle w:val="TableParagraph"/>
              <w:rPr>
                <w:rFonts w:ascii="Times New Roman"/>
                <w:sz w:val="14"/>
              </w:rPr>
            </w:pPr>
          </w:p>
        </w:tc>
        <w:tc>
          <w:tcPr>
            <w:tcW w:w="899" w:type="dxa"/>
            <w:tcBorders>
              <w:top w:val="single" w:sz="2" w:space="0" w:color="000000"/>
            </w:tcBorders>
          </w:tcPr>
          <w:p>
            <w:pPr>
              <w:pStyle w:val="TableParagraph"/>
              <w:rPr>
                <w:rFonts w:ascii="Times New Roman"/>
                <w:sz w:val="14"/>
              </w:rPr>
            </w:pPr>
          </w:p>
        </w:tc>
        <w:tc>
          <w:tcPr>
            <w:tcW w:w="899" w:type="dxa"/>
            <w:tcBorders>
              <w:top w:val="single" w:sz="2" w:space="0" w:color="000000"/>
            </w:tcBorders>
            <w:shd w:val="clear" w:color="auto" w:fill="E6E7E8"/>
          </w:tcPr>
          <w:p>
            <w:pPr>
              <w:pStyle w:val="TableParagraph"/>
              <w:rPr>
                <w:rFonts w:ascii="Times New Roman"/>
                <w:sz w:val="14"/>
              </w:rPr>
            </w:pPr>
          </w:p>
        </w:tc>
        <w:tc>
          <w:tcPr>
            <w:tcW w:w="899" w:type="dxa"/>
            <w:tcBorders>
              <w:top w:val="single" w:sz="2" w:space="0" w:color="000000"/>
            </w:tcBorders>
          </w:tcPr>
          <w:p>
            <w:pPr>
              <w:pStyle w:val="TableParagraph"/>
              <w:rPr>
                <w:rFonts w:ascii="Times New Roman"/>
                <w:sz w:val="14"/>
              </w:rPr>
            </w:pPr>
          </w:p>
        </w:tc>
        <w:tc>
          <w:tcPr>
            <w:tcW w:w="899" w:type="dxa"/>
            <w:tcBorders>
              <w:top w:val="single" w:sz="2" w:space="0" w:color="000000"/>
            </w:tcBorders>
            <w:shd w:val="clear" w:color="auto" w:fill="E6E7E8"/>
          </w:tcPr>
          <w:p>
            <w:pPr>
              <w:pStyle w:val="TableParagraph"/>
              <w:rPr>
                <w:rFonts w:ascii="Times New Roman"/>
                <w:sz w:val="14"/>
              </w:rPr>
            </w:pPr>
          </w:p>
        </w:tc>
        <w:tc>
          <w:tcPr>
            <w:tcW w:w="899" w:type="dxa"/>
            <w:tcBorders>
              <w:top w:val="single" w:sz="2" w:space="0" w:color="000000"/>
            </w:tcBorders>
          </w:tcPr>
          <w:p>
            <w:pPr>
              <w:pStyle w:val="TableParagraph"/>
              <w:rPr>
                <w:rFonts w:ascii="Times New Roman"/>
                <w:sz w:val="14"/>
              </w:rPr>
            </w:pPr>
          </w:p>
        </w:tc>
      </w:tr>
      <w:tr>
        <w:trPr>
          <w:trHeight w:val="236" w:hRule="atLeast"/>
        </w:trPr>
        <w:tc>
          <w:tcPr>
            <w:tcW w:w="3389" w:type="dxa"/>
            <w:shd w:val="clear" w:color="auto" w:fill="E6E7E8"/>
          </w:tcPr>
          <w:p>
            <w:pPr>
              <w:pStyle w:val="TableParagraph"/>
              <w:spacing w:before="44"/>
              <w:ind w:left="84"/>
              <w:rPr>
                <w:rFonts w:ascii="TT Norms Pro"/>
                <w:sz w:val="14"/>
              </w:rPr>
            </w:pPr>
            <w:r>
              <w:rPr>
                <w:rFonts w:ascii="TT Norms Pro"/>
                <w:sz w:val="14"/>
              </w:rPr>
              <w:t>Higher</w:t>
            </w:r>
            <w:r>
              <w:rPr>
                <w:rFonts w:ascii="TT Norms Pro"/>
                <w:spacing w:val="8"/>
                <w:sz w:val="14"/>
              </w:rPr>
              <w:t> </w:t>
            </w:r>
            <w:r>
              <w:rPr>
                <w:rFonts w:ascii="TT Norms Pro"/>
                <w:sz w:val="14"/>
              </w:rPr>
              <w:t>degree</w:t>
            </w:r>
            <w:r>
              <w:rPr>
                <w:rFonts w:ascii="TT Norms Pro"/>
                <w:spacing w:val="11"/>
                <w:sz w:val="14"/>
              </w:rPr>
              <w:t> </w:t>
            </w:r>
            <w:r>
              <w:rPr>
                <w:rFonts w:ascii="TT Norms Pro"/>
                <w:spacing w:val="-2"/>
                <w:sz w:val="14"/>
              </w:rPr>
              <w:t>research</w:t>
            </w:r>
          </w:p>
        </w:tc>
        <w:tc>
          <w:tcPr>
            <w:tcW w:w="899" w:type="dxa"/>
          </w:tcPr>
          <w:p>
            <w:pPr>
              <w:pStyle w:val="TableParagraph"/>
              <w:spacing w:before="44"/>
              <w:ind w:right="54"/>
              <w:jc w:val="right"/>
              <w:rPr>
                <w:rFonts w:ascii="TT Norms Pro Light"/>
                <w:b w:val="0"/>
                <w:sz w:val="14"/>
              </w:rPr>
            </w:pPr>
            <w:r>
              <w:rPr>
                <w:rFonts w:ascii="TT Norms Pro Light"/>
                <w:b w:val="0"/>
                <w:spacing w:val="-4"/>
                <w:sz w:val="14"/>
              </w:rPr>
              <w:t>84.0</w:t>
            </w:r>
          </w:p>
        </w:tc>
        <w:tc>
          <w:tcPr>
            <w:tcW w:w="899" w:type="dxa"/>
            <w:shd w:val="clear" w:color="auto" w:fill="E6E7E8"/>
          </w:tcPr>
          <w:p>
            <w:pPr>
              <w:pStyle w:val="TableParagraph"/>
              <w:spacing w:before="44"/>
              <w:ind w:right="55"/>
              <w:jc w:val="right"/>
              <w:rPr>
                <w:rFonts w:ascii="TT Norms Pro Light"/>
                <w:b w:val="0"/>
                <w:sz w:val="14"/>
              </w:rPr>
            </w:pPr>
            <w:r>
              <w:rPr>
                <w:rFonts w:ascii="TT Norms Pro Light"/>
                <w:b w:val="0"/>
                <w:spacing w:val="-4"/>
                <w:sz w:val="14"/>
              </w:rPr>
              <w:t>83.2</w:t>
            </w:r>
          </w:p>
        </w:tc>
        <w:tc>
          <w:tcPr>
            <w:tcW w:w="899" w:type="dxa"/>
          </w:tcPr>
          <w:p>
            <w:pPr>
              <w:pStyle w:val="TableParagraph"/>
              <w:spacing w:before="44"/>
              <w:ind w:right="56"/>
              <w:jc w:val="right"/>
              <w:rPr>
                <w:rFonts w:ascii="TT Norms Pro Light"/>
                <w:b w:val="0"/>
                <w:sz w:val="14"/>
              </w:rPr>
            </w:pPr>
            <w:r>
              <w:rPr>
                <w:rFonts w:ascii="TT Norms Pro Light"/>
                <w:b w:val="0"/>
                <w:spacing w:val="-4"/>
                <w:sz w:val="14"/>
              </w:rPr>
              <w:t>76.2</w:t>
            </w:r>
          </w:p>
        </w:tc>
        <w:tc>
          <w:tcPr>
            <w:tcW w:w="899" w:type="dxa"/>
            <w:shd w:val="clear" w:color="auto" w:fill="E6E7E8"/>
          </w:tcPr>
          <w:p>
            <w:pPr>
              <w:pStyle w:val="TableParagraph"/>
              <w:spacing w:before="44"/>
              <w:ind w:right="56"/>
              <w:jc w:val="right"/>
              <w:rPr>
                <w:rFonts w:ascii="TT Norms Pro Light"/>
                <w:b w:val="0"/>
                <w:sz w:val="14"/>
              </w:rPr>
            </w:pPr>
            <w:r>
              <w:rPr>
                <w:rFonts w:ascii="TT Norms Pro Light"/>
                <w:b w:val="0"/>
                <w:spacing w:val="-4"/>
                <w:sz w:val="14"/>
              </w:rPr>
              <w:t>75.8</w:t>
            </w:r>
          </w:p>
        </w:tc>
        <w:tc>
          <w:tcPr>
            <w:tcW w:w="899" w:type="dxa"/>
          </w:tcPr>
          <w:p>
            <w:pPr>
              <w:pStyle w:val="TableParagraph"/>
              <w:spacing w:before="44"/>
              <w:ind w:right="56"/>
              <w:jc w:val="right"/>
              <w:rPr>
                <w:rFonts w:ascii="TT Norms Pro Light"/>
                <w:b w:val="0"/>
                <w:sz w:val="14"/>
              </w:rPr>
            </w:pPr>
            <w:r>
              <w:rPr>
                <w:rFonts w:ascii="TT Norms Pro Light"/>
                <w:b w:val="0"/>
                <w:spacing w:val="-4"/>
                <w:sz w:val="14"/>
              </w:rPr>
              <w:t>86.1</w:t>
            </w:r>
          </w:p>
        </w:tc>
        <w:tc>
          <w:tcPr>
            <w:tcW w:w="899" w:type="dxa"/>
            <w:shd w:val="clear" w:color="auto" w:fill="E6E7E8"/>
          </w:tcPr>
          <w:p>
            <w:pPr>
              <w:pStyle w:val="TableParagraph"/>
              <w:spacing w:before="44"/>
              <w:ind w:right="61"/>
              <w:jc w:val="right"/>
              <w:rPr>
                <w:rFonts w:ascii="TT Norms Pro Light"/>
                <w:b w:val="0"/>
                <w:sz w:val="14"/>
              </w:rPr>
            </w:pPr>
            <w:r>
              <w:rPr>
                <w:rFonts w:ascii="TT Norms Pro Light"/>
                <w:b w:val="0"/>
                <w:spacing w:val="-4"/>
                <w:sz w:val="14"/>
              </w:rPr>
              <w:t>65.9</w:t>
            </w:r>
          </w:p>
        </w:tc>
        <w:tc>
          <w:tcPr>
            <w:tcW w:w="899" w:type="dxa"/>
          </w:tcPr>
          <w:p>
            <w:pPr>
              <w:pStyle w:val="TableParagraph"/>
              <w:spacing w:before="44"/>
              <w:ind w:right="57"/>
              <w:jc w:val="right"/>
              <w:rPr>
                <w:rFonts w:ascii="TT Norms Pro Light"/>
                <w:b w:val="0"/>
                <w:sz w:val="14"/>
              </w:rPr>
            </w:pPr>
            <w:r>
              <w:rPr>
                <w:rFonts w:ascii="TT Norms Pro Light"/>
                <w:b w:val="0"/>
                <w:spacing w:val="-4"/>
                <w:sz w:val="14"/>
              </w:rPr>
              <w:t>48.2</w:t>
            </w:r>
          </w:p>
        </w:tc>
      </w:tr>
      <w:tr>
        <w:trPr>
          <w:trHeight w:val="238" w:hRule="atLeast"/>
        </w:trPr>
        <w:tc>
          <w:tcPr>
            <w:tcW w:w="3389" w:type="dxa"/>
            <w:shd w:val="clear" w:color="auto" w:fill="E6E7E8"/>
          </w:tcPr>
          <w:p>
            <w:pPr>
              <w:pStyle w:val="TableParagraph"/>
              <w:spacing w:before="46"/>
              <w:ind w:left="84"/>
              <w:rPr>
                <w:rFonts w:ascii="TT Norms Pro"/>
                <w:sz w:val="14"/>
              </w:rPr>
            </w:pPr>
            <w:r>
              <w:rPr>
                <w:rFonts w:ascii="TT Norms Pro"/>
                <w:spacing w:val="-2"/>
                <w:sz w:val="14"/>
              </w:rPr>
              <w:t>Undergraduate</w:t>
            </w:r>
          </w:p>
        </w:tc>
        <w:tc>
          <w:tcPr>
            <w:tcW w:w="899" w:type="dxa"/>
          </w:tcPr>
          <w:p>
            <w:pPr>
              <w:pStyle w:val="TableParagraph"/>
              <w:spacing w:before="46"/>
              <w:ind w:right="55"/>
              <w:jc w:val="right"/>
              <w:rPr>
                <w:rFonts w:ascii="TT Norms Pro Light"/>
                <w:b w:val="0"/>
                <w:sz w:val="14"/>
              </w:rPr>
            </w:pPr>
            <w:r>
              <w:rPr>
                <w:rFonts w:ascii="TT Norms Pro Light"/>
                <w:b w:val="0"/>
                <w:spacing w:val="-4"/>
                <w:sz w:val="14"/>
              </w:rPr>
              <w:t>42.5</w:t>
            </w:r>
          </w:p>
        </w:tc>
        <w:tc>
          <w:tcPr>
            <w:tcW w:w="899" w:type="dxa"/>
            <w:shd w:val="clear" w:color="auto" w:fill="E6E7E8"/>
          </w:tcPr>
          <w:p>
            <w:pPr>
              <w:pStyle w:val="TableParagraph"/>
              <w:spacing w:before="46"/>
              <w:ind w:right="56"/>
              <w:jc w:val="right"/>
              <w:rPr>
                <w:rFonts w:ascii="TT Norms Pro Light"/>
                <w:b w:val="0"/>
                <w:sz w:val="14"/>
              </w:rPr>
            </w:pPr>
            <w:r>
              <w:rPr>
                <w:rFonts w:ascii="TT Norms Pro Light"/>
                <w:b w:val="0"/>
                <w:spacing w:val="-4"/>
                <w:sz w:val="14"/>
              </w:rPr>
              <w:t>43.1</w:t>
            </w:r>
          </w:p>
        </w:tc>
        <w:tc>
          <w:tcPr>
            <w:tcW w:w="899" w:type="dxa"/>
          </w:tcPr>
          <w:p>
            <w:pPr>
              <w:pStyle w:val="TableParagraph"/>
              <w:spacing w:before="46"/>
              <w:ind w:right="56"/>
              <w:jc w:val="right"/>
              <w:rPr>
                <w:rFonts w:ascii="TT Norms Pro Light"/>
                <w:b w:val="0"/>
                <w:sz w:val="14"/>
              </w:rPr>
            </w:pPr>
            <w:r>
              <w:rPr>
                <w:rFonts w:ascii="TT Norms Pro Light"/>
                <w:b w:val="0"/>
                <w:spacing w:val="-4"/>
                <w:sz w:val="14"/>
              </w:rPr>
              <w:t>44.1</w:t>
            </w:r>
          </w:p>
        </w:tc>
        <w:tc>
          <w:tcPr>
            <w:tcW w:w="899" w:type="dxa"/>
            <w:shd w:val="clear" w:color="auto" w:fill="E6E7E8"/>
          </w:tcPr>
          <w:p>
            <w:pPr>
              <w:pStyle w:val="TableParagraph"/>
              <w:spacing w:before="46"/>
              <w:ind w:right="56"/>
              <w:jc w:val="right"/>
              <w:rPr>
                <w:rFonts w:ascii="TT Norms Pro Light"/>
                <w:b w:val="0"/>
                <w:sz w:val="14"/>
              </w:rPr>
            </w:pPr>
            <w:r>
              <w:rPr>
                <w:rFonts w:ascii="TT Norms Pro Light"/>
                <w:b w:val="0"/>
                <w:spacing w:val="-4"/>
                <w:sz w:val="14"/>
              </w:rPr>
              <w:t>37.1</w:t>
            </w:r>
          </w:p>
        </w:tc>
        <w:tc>
          <w:tcPr>
            <w:tcW w:w="899" w:type="dxa"/>
          </w:tcPr>
          <w:p>
            <w:pPr>
              <w:pStyle w:val="TableParagraph"/>
              <w:spacing w:before="46"/>
              <w:ind w:right="61"/>
              <w:jc w:val="right"/>
              <w:rPr>
                <w:rFonts w:ascii="TT Norms Pro Light"/>
                <w:b w:val="0"/>
                <w:sz w:val="14"/>
              </w:rPr>
            </w:pPr>
            <w:r>
              <w:rPr>
                <w:rFonts w:ascii="TT Norms Pro Light"/>
                <w:b w:val="0"/>
                <w:spacing w:val="-5"/>
                <w:sz w:val="14"/>
              </w:rPr>
              <w:t>8.9</w:t>
            </w:r>
          </w:p>
        </w:tc>
        <w:tc>
          <w:tcPr>
            <w:tcW w:w="899" w:type="dxa"/>
            <w:shd w:val="clear" w:color="auto" w:fill="E6E7E8"/>
          </w:tcPr>
          <w:p>
            <w:pPr>
              <w:pStyle w:val="TableParagraph"/>
              <w:spacing w:before="46"/>
              <w:ind w:right="56"/>
              <w:jc w:val="right"/>
              <w:rPr>
                <w:rFonts w:ascii="TT Norms Pro Light"/>
                <w:b w:val="0"/>
                <w:sz w:val="14"/>
              </w:rPr>
            </w:pPr>
            <w:r>
              <w:rPr>
                <w:rFonts w:ascii="TT Norms Pro Light"/>
                <w:b w:val="0"/>
                <w:spacing w:val="-5"/>
                <w:sz w:val="14"/>
              </w:rPr>
              <w:t>8.6</w:t>
            </w:r>
          </w:p>
        </w:tc>
        <w:tc>
          <w:tcPr>
            <w:tcW w:w="899" w:type="dxa"/>
          </w:tcPr>
          <w:p>
            <w:pPr>
              <w:pStyle w:val="TableParagraph"/>
              <w:spacing w:before="46"/>
              <w:ind w:right="61"/>
              <w:jc w:val="right"/>
              <w:rPr>
                <w:rFonts w:ascii="TT Norms Pro Light"/>
                <w:b w:val="0"/>
                <w:sz w:val="14"/>
              </w:rPr>
            </w:pPr>
            <w:r>
              <w:rPr>
                <w:rFonts w:ascii="TT Norms Pro Light"/>
                <w:b w:val="0"/>
                <w:spacing w:val="-5"/>
                <w:sz w:val="14"/>
              </w:rPr>
              <w:t>6.9</w:t>
            </w:r>
          </w:p>
        </w:tc>
      </w:tr>
      <w:tr>
        <w:trPr>
          <w:trHeight w:val="238" w:hRule="atLeast"/>
        </w:trPr>
        <w:tc>
          <w:tcPr>
            <w:tcW w:w="3389" w:type="dxa"/>
            <w:shd w:val="clear" w:color="auto" w:fill="E6E7E8"/>
          </w:tcPr>
          <w:p>
            <w:pPr>
              <w:pStyle w:val="TableParagraph"/>
              <w:spacing w:before="46"/>
              <w:ind w:left="84"/>
              <w:rPr>
                <w:rFonts w:ascii="TT Norms Pro"/>
                <w:sz w:val="14"/>
              </w:rPr>
            </w:pPr>
            <w:r>
              <w:rPr>
                <w:rFonts w:ascii="TT Norms Pro"/>
                <w:sz w:val="14"/>
              </w:rPr>
              <w:t>Postgraduate</w:t>
            </w:r>
            <w:r>
              <w:rPr>
                <w:rFonts w:ascii="TT Norms Pro"/>
                <w:spacing w:val="13"/>
                <w:sz w:val="14"/>
              </w:rPr>
              <w:t> </w:t>
            </w:r>
            <w:r>
              <w:rPr>
                <w:rFonts w:ascii="TT Norms Pro"/>
                <w:spacing w:val="-2"/>
                <w:sz w:val="14"/>
              </w:rPr>
              <w:t>coursework</w:t>
            </w:r>
          </w:p>
        </w:tc>
        <w:tc>
          <w:tcPr>
            <w:tcW w:w="899" w:type="dxa"/>
          </w:tcPr>
          <w:p>
            <w:pPr>
              <w:pStyle w:val="TableParagraph"/>
              <w:spacing w:before="46"/>
              <w:ind w:right="54"/>
              <w:jc w:val="right"/>
              <w:rPr>
                <w:rFonts w:ascii="TT Norms Pro Light"/>
                <w:b w:val="0"/>
                <w:sz w:val="14"/>
              </w:rPr>
            </w:pPr>
            <w:r>
              <w:rPr>
                <w:rFonts w:ascii="TT Norms Pro Light"/>
                <w:b w:val="0"/>
                <w:spacing w:val="-5"/>
                <w:sz w:val="14"/>
              </w:rPr>
              <w:t>0.0</w:t>
            </w:r>
          </w:p>
        </w:tc>
        <w:tc>
          <w:tcPr>
            <w:tcW w:w="899" w:type="dxa"/>
            <w:shd w:val="clear" w:color="auto" w:fill="E6E7E8"/>
          </w:tcPr>
          <w:p>
            <w:pPr>
              <w:pStyle w:val="TableParagraph"/>
              <w:spacing w:before="46"/>
              <w:ind w:right="56"/>
              <w:jc w:val="right"/>
              <w:rPr>
                <w:rFonts w:ascii="TT Norms Pro Light"/>
                <w:b w:val="0"/>
                <w:sz w:val="14"/>
              </w:rPr>
            </w:pPr>
            <w:r>
              <w:rPr>
                <w:rFonts w:ascii="TT Norms Pro Light"/>
                <w:b w:val="0"/>
                <w:spacing w:val="-5"/>
                <w:sz w:val="14"/>
              </w:rPr>
              <w:t>0.2</w:t>
            </w:r>
          </w:p>
        </w:tc>
        <w:tc>
          <w:tcPr>
            <w:tcW w:w="899" w:type="dxa"/>
          </w:tcPr>
          <w:p>
            <w:pPr>
              <w:pStyle w:val="TableParagraph"/>
              <w:spacing w:before="46"/>
              <w:ind w:right="56"/>
              <w:jc w:val="right"/>
              <w:rPr>
                <w:rFonts w:ascii="TT Norms Pro Light"/>
                <w:b w:val="0"/>
                <w:sz w:val="14"/>
              </w:rPr>
            </w:pPr>
            <w:r>
              <w:rPr>
                <w:rFonts w:ascii="TT Norms Pro Light"/>
                <w:b w:val="0"/>
                <w:spacing w:val="-5"/>
                <w:sz w:val="14"/>
              </w:rPr>
              <w:t>1.8</w:t>
            </w:r>
          </w:p>
        </w:tc>
        <w:tc>
          <w:tcPr>
            <w:tcW w:w="899" w:type="dxa"/>
            <w:shd w:val="clear" w:color="auto" w:fill="E6E7E8"/>
          </w:tcPr>
          <w:p>
            <w:pPr>
              <w:pStyle w:val="TableParagraph"/>
              <w:spacing w:before="46"/>
              <w:ind w:right="56"/>
              <w:jc w:val="right"/>
              <w:rPr>
                <w:rFonts w:ascii="TT Norms Pro Light"/>
                <w:b w:val="0"/>
                <w:sz w:val="14"/>
              </w:rPr>
            </w:pPr>
            <w:r>
              <w:rPr>
                <w:rFonts w:ascii="TT Norms Pro Light"/>
                <w:b w:val="0"/>
                <w:spacing w:val="-5"/>
                <w:sz w:val="14"/>
              </w:rPr>
              <w:t>2.5</w:t>
            </w:r>
          </w:p>
        </w:tc>
        <w:tc>
          <w:tcPr>
            <w:tcW w:w="899" w:type="dxa"/>
          </w:tcPr>
          <w:p>
            <w:pPr>
              <w:pStyle w:val="TableParagraph"/>
              <w:spacing w:before="46"/>
              <w:ind w:right="52"/>
              <w:jc w:val="right"/>
              <w:rPr>
                <w:rFonts w:ascii="TT Norms Pro Light"/>
                <w:b w:val="0"/>
                <w:sz w:val="14"/>
              </w:rPr>
            </w:pPr>
            <w:r>
              <w:rPr>
                <w:rFonts w:ascii="TT Norms Pro Light"/>
                <w:b w:val="0"/>
                <w:spacing w:val="-5"/>
                <w:sz w:val="14"/>
              </w:rPr>
              <w:t>5.8</w:t>
            </w:r>
          </w:p>
        </w:tc>
        <w:tc>
          <w:tcPr>
            <w:tcW w:w="899" w:type="dxa"/>
            <w:shd w:val="clear" w:color="auto" w:fill="E6E7E8"/>
          </w:tcPr>
          <w:p>
            <w:pPr>
              <w:pStyle w:val="TableParagraph"/>
              <w:spacing w:before="46"/>
              <w:ind w:right="61"/>
              <w:jc w:val="right"/>
              <w:rPr>
                <w:rFonts w:ascii="TT Norms Pro Light"/>
                <w:b w:val="0"/>
                <w:sz w:val="14"/>
              </w:rPr>
            </w:pPr>
            <w:r>
              <w:rPr>
                <w:rFonts w:ascii="TT Norms Pro Light"/>
                <w:b w:val="0"/>
                <w:spacing w:val="-5"/>
                <w:sz w:val="14"/>
              </w:rPr>
              <w:t>5.9</w:t>
            </w:r>
          </w:p>
        </w:tc>
        <w:tc>
          <w:tcPr>
            <w:tcW w:w="899" w:type="dxa"/>
          </w:tcPr>
          <w:p>
            <w:pPr>
              <w:pStyle w:val="TableParagraph"/>
              <w:spacing w:before="46"/>
              <w:ind w:right="54"/>
              <w:jc w:val="right"/>
              <w:rPr>
                <w:rFonts w:ascii="TT Norms Pro Light"/>
                <w:b w:val="0"/>
                <w:sz w:val="14"/>
              </w:rPr>
            </w:pPr>
            <w:r>
              <w:rPr>
                <w:rFonts w:ascii="TT Norms Pro Light"/>
                <w:b w:val="0"/>
                <w:spacing w:val="-5"/>
                <w:sz w:val="14"/>
              </w:rPr>
              <w:t>5.8</w:t>
            </w:r>
          </w:p>
        </w:tc>
      </w:tr>
      <w:tr>
        <w:trPr>
          <w:trHeight w:val="236" w:hRule="atLeast"/>
        </w:trPr>
        <w:tc>
          <w:tcPr>
            <w:tcW w:w="3389" w:type="dxa"/>
            <w:shd w:val="clear" w:color="auto" w:fill="E6E7E8"/>
          </w:tcPr>
          <w:p>
            <w:pPr>
              <w:pStyle w:val="TableParagraph"/>
              <w:spacing w:before="46"/>
              <w:ind w:left="84"/>
              <w:rPr>
                <w:rFonts w:ascii="TT Norms Pro"/>
                <w:sz w:val="14"/>
              </w:rPr>
            </w:pPr>
            <w:r>
              <w:rPr>
                <w:rFonts w:ascii="TT Norms Pro"/>
                <w:sz w:val="14"/>
              </w:rPr>
              <w:t>Sub-</w:t>
            </w:r>
            <w:r>
              <w:rPr>
                <w:rFonts w:ascii="TT Norms Pro"/>
                <w:spacing w:val="-2"/>
                <w:sz w:val="14"/>
              </w:rPr>
              <w:t>total</w:t>
            </w:r>
          </w:p>
        </w:tc>
        <w:tc>
          <w:tcPr>
            <w:tcW w:w="899" w:type="dxa"/>
          </w:tcPr>
          <w:p>
            <w:pPr>
              <w:pStyle w:val="TableParagraph"/>
              <w:spacing w:before="46"/>
              <w:ind w:right="55"/>
              <w:jc w:val="right"/>
              <w:rPr>
                <w:rFonts w:ascii="TT Norms Pro Light"/>
                <w:b w:val="0"/>
                <w:sz w:val="14"/>
              </w:rPr>
            </w:pPr>
            <w:r>
              <w:rPr>
                <w:rFonts w:ascii="TT Norms Pro Light"/>
                <w:b w:val="0"/>
                <w:spacing w:val="-4"/>
                <w:sz w:val="14"/>
              </w:rPr>
              <w:t>126.5</w:t>
            </w:r>
          </w:p>
        </w:tc>
        <w:tc>
          <w:tcPr>
            <w:tcW w:w="899" w:type="dxa"/>
            <w:shd w:val="clear" w:color="auto" w:fill="E6E7E8"/>
          </w:tcPr>
          <w:p>
            <w:pPr>
              <w:pStyle w:val="TableParagraph"/>
              <w:spacing w:before="46"/>
              <w:ind w:right="55"/>
              <w:jc w:val="right"/>
              <w:rPr>
                <w:rFonts w:ascii="TT Norms Pro Light"/>
                <w:b w:val="0"/>
                <w:sz w:val="14"/>
              </w:rPr>
            </w:pPr>
            <w:r>
              <w:rPr>
                <w:rFonts w:ascii="TT Norms Pro Light"/>
                <w:b w:val="0"/>
                <w:spacing w:val="-4"/>
                <w:sz w:val="14"/>
              </w:rPr>
              <w:t>126.6</w:t>
            </w:r>
          </w:p>
        </w:tc>
        <w:tc>
          <w:tcPr>
            <w:tcW w:w="899" w:type="dxa"/>
          </w:tcPr>
          <w:p>
            <w:pPr>
              <w:pStyle w:val="TableParagraph"/>
              <w:spacing w:before="46"/>
              <w:ind w:right="56"/>
              <w:jc w:val="right"/>
              <w:rPr>
                <w:rFonts w:ascii="TT Norms Pro Light"/>
                <w:b w:val="0"/>
                <w:sz w:val="14"/>
              </w:rPr>
            </w:pPr>
            <w:r>
              <w:rPr>
                <w:rFonts w:ascii="TT Norms Pro Light"/>
                <w:b w:val="0"/>
                <w:spacing w:val="-2"/>
                <w:sz w:val="14"/>
              </w:rPr>
              <w:t>122.1</w:t>
            </w:r>
          </w:p>
        </w:tc>
        <w:tc>
          <w:tcPr>
            <w:tcW w:w="899" w:type="dxa"/>
            <w:shd w:val="clear" w:color="auto" w:fill="E6E7E8"/>
          </w:tcPr>
          <w:p>
            <w:pPr>
              <w:pStyle w:val="TableParagraph"/>
              <w:spacing w:before="46"/>
              <w:ind w:right="56"/>
              <w:jc w:val="right"/>
              <w:rPr>
                <w:rFonts w:ascii="TT Norms Pro Light"/>
                <w:b w:val="0"/>
                <w:sz w:val="14"/>
              </w:rPr>
            </w:pPr>
            <w:r>
              <w:rPr>
                <w:rFonts w:ascii="TT Norms Pro Light"/>
                <w:b w:val="0"/>
                <w:spacing w:val="-4"/>
                <w:sz w:val="14"/>
              </w:rPr>
              <w:t>115.4</w:t>
            </w:r>
          </w:p>
        </w:tc>
        <w:tc>
          <w:tcPr>
            <w:tcW w:w="899" w:type="dxa"/>
          </w:tcPr>
          <w:p>
            <w:pPr>
              <w:pStyle w:val="TableParagraph"/>
              <w:spacing w:before="46"/>
              <w:ind w:right="52"/>
              <w:jc w:val="right"/>
              <w:rPr>
                <w:rFonts w:ascii="TT Norms Pro Light"/>
                <w:b w:val="0"/>
                <w:sz w:val="14"/>
              </w:rPr>
            </w:pPr>
            <w:r>
              <w:rPr>
                <w:rFonts w:ascii="TT Norms Pro Light"/>
                <w:b w:val="0"/>
                <w:spacing w:val="-2"/>
                <w:sz w:val="14"/>
              </w:rPr>
              <w:t>100.7</w:t>
            </w:r>
          </w:p>
        </w:tc>
        <w:tc>
          <w:tcPr>
            <w:tcW w:w="899" w:type="dxa"/>
            <w:shd w:val="clear" w:color="auto" w:fill="E6E7E8"/>
          </w:tcPr>
          <w:p>
            <w:pPr>
              <w:pStyle w:val="TableParagraph"/>
              <w:spacing w:before="46"/>
              <w:ind w:right="56"/>
              <w:jc w:val="right"/>
              <w:rPr>
                <w:rFonts w:ascii="TT Norms Pro Light"/>
                <w:b w:val="0"/>
                <w:sz w:val="14"/>
              </w:rPr>
            </w:pPr>
            <w:r>
              <w:rPr>
                <w:rFonts w:ascii="TT Norms Pro Light"/>
                <w:b w:val="0"/>
                <w:spacing w:val="-4"/>
                <w:sz w:val="14"/>
              </w:rPr>
              <w:t>80.4</w:t>
            </w:r>
          </w:p>
        </w:tc>
        <w:tc>
          <w:tcPr>
            <w:tcW w:w="899" w:type="dxa"/>
          </w:tcPr>
          <w:p>
            <w:pPr>
              <w:pStyle w:val="TableParagraph"/>
              <w:spacing w:before="46"/>
              <w:ind w:right="57"/>
              <w:jc w:val="right"/>
              <w:rPr>
                <w:rFonts w:ascii="TT Norms Pro Light"/>
                <w:b w:val="0"/>
                <w:sz w:val="14"/>
              </w:rPr>
            </w:pPr>
            <w:r>
              <w:rPr>
                <w:rFonts w:ascii="TT Norms Pro Light"/>
                <w:b w:val="0"/>
                <w:spacing w:val="-4"/>
                <w:sz w:val="14"/>
              </w:rPr>
              <w:t>60.8</w:t>
            </w:r>
          </w:p>
        </w:tc>
      </w:tr>
      <w:tr>
        <w:trPr>
          <w:trHeight w:val="240" w:hRule="atLeast"/>
        </w:trPr>
        <w:tc>
          <w:tcPr>
            <w:tcW w:w="3389" w:type="dxa"/>
            <w:tcBorders>
              <w:bottom w:val="single" w:sz="2" w:space="0" w:color="000000"/>
            </w:tcBorders>
            <w:shd w:val="clear" w:color="auto" w:fill="E6E7E8"/>
          </w:tcPr>
          <w:p>
            <w:pPr>
              <w:pStyle w:val="TableParagraph"/>
              <w:spacing w:before="39"/>
              <w:ind w:left="85"/>
              <w:rPr>
                <w:rFonts w:ascii="Verdana"/>
                <w:i/>
                <w:sz w:val="14"/>
              </w:rPr>
            </w:pPr>
            <w:r>
              <w:rPr>
                <w:rFonts w:ascii="Verdana"/>
                <w:i/>
                <w:w w:val="85"/>
                <w:sz w:val="14"/>
              </w:rPr>
              <w:t>%</w:t>
            </w:r>
            <w:r>
              <w:rPr>
                <w:rFonts w:ascii="Verdana"/>
                <w:i/>
                <w:sz w:val="14"/>
              </w:rPr>
              <w:t> </w:t>
            </w:r>
            <w:r>
              <w:rPr>
                <w:rFonts w:ascii="Verdana"/>
                <w:i/>
                <w:w w:val="85"/>
                <w:sz w:val="14"/>
              </w:rPr>
              <w:t>Domestic</w:t>
            </w:r>
            <w:r>
              <w:rPr>
                <w:rFonts w:ascii="Verdana"/>
                <w:i/>
                <w:spacing w:val="1"/>
                <w:sz w:val="14"/>
              </w:rPr>
              <w:t> </w:t>
            </w:r>
            <w:r>
              <w:rPr>
                <w:rFonts w:ascii="Verdana"/>
                <w:i/>
                <w:w w:val="85"/>
                <w:sz w:val="14"/>
              </w:rPr>
              <w:t>-</w:t>
            </w:r>
            <w:r>
              <w:rPr>
                <w:rFonts w:ascii="Verdana"/>
                <w:i/>
                <w:sz w:val="14"/>
              </w:rPr>
              <w:t> </w:t>
            </w:r>
            <w:r>
              <w:rPr>
                <w:rFonts w:ascii="Verdana"/>
                <w:i/>
                <w:w w:val="85"/>
                <w:sz w:val="14"/>
              </w:rPr>
              <w:t>non-awards</w:t>
            </w:r>
            <w:r>
              <w:rPr>
                <w:rFonts w:ascii="Verdana"/>
                <w:i/>
                <w:spacing w:val="1"/>
                <w:sz w:val="14"/>
              </w:rPr>
              <w:t> </w:t>
            </w:r>
            <w:r>
              <w:rPr>
                <w:rFonts w:ascii="Verdana"/>
                <w:i/>
                <w:w w:val="85"/>
                <w:sz w:val="14"/>
              </w:rPr>
              <w:t>and</w:t>
            </w:r>
            <w:r>
              <w:rPr>
                <w:rFonts w:ascii="Verdana"/>
                <w:i/>
                <w:sz w:val="14"/>
              </w:rPr>
              <w:t> </w:t>
            </w:r>
            <w:r>
              <w:rPr>
                <w:rFonts w:ascii="Verdana"/>
                <w:i/>
                <w:spacing w:val="-2"/>
                <w:w w:val="85"/>
                <w:sz w:val="14"/>
              </w:rPr>
              <w:t>others</w:t>
            </w:r>
          </w:p>
        </w:tc>
        <w:tc>
          <w:tcPr>
            <w:tcW w:w="899" w:type="dxa"/>
            <w:tcBorders>
              <w:bottom w:val="single" w:sz="2" w:space="0" w:color="000000"/>
            </w:tcBorders>
          </w:tcPr>
          <w:p>
            <w:pPr>
              <w:pStyle w:val="TableParagraph"/>
              <w:spacing w:before="47"/>
              <w:ind w:right="55"/>
              <w:jc w:val="right"/>
              <w:rPr>
                <w:rFonts w:ascii="TT Norms Pro Light"/>
                <w:b w:val="0"/>
                <w:sz w:val="14"/>
              </w:rPr>
            </w:pPr>
            <w:r>
              <w:rPr>
                <w:rFonts w:ascii="TT Norms Pro Light"/>
                <w:b w:val="0"/>
                <w:spacing w:val="-5"/>
                <w:sz w:val="14"/>
              </w:rPr>
              <w:t>0.6</w:t>
            </w:r>
          </w:p>
        </w:tc>
        <w:tc>
          <w:tcPr>
            <w:tcW w:w="899" w:type="dxa"/>
            <w:tcBorders>
              <w:bottom w:val="single" w:sz="2" w:space="0" w:color="000000"/>
            </w:tcBorders>
            <w:shd w:val="clear" w:color="auto" w:fill="E6E7E8"/>
          </w:tcPr>
          <w:p>
            <w:pPr>
              <w:pStyle w:val="TableParagraph"/>
              <w:spacing w:before="47"/>
              <w:ind w:right="55"/>
              <w:jc w:val="right"/>
              <w:rPr>
                <w:rFonts w:ascii="TT Norms Pro Light"/>
                <w:b w:val="0"/>
                <w:sz w:val="14"/>
              </w:rPr>
            </w:pPr>
            <w:r>
              <w:rPr>
                <w:rFonts w:ascii="TT Norms Pro Light"/>
                <w:b w:val="0"/>
                <w:spacing w:val="-5"/>
                <w:sz w:val="14"/>
              </w:rPr>
              <w:t>0.6</w:t>
            </w:r>
          </w:p>
        </w:tc>
        <w:tc>
          <w:tcPr>
            <w:tcW w:w="899" w:type="dxa"/>
            <w:tcBorders>
              <w:bottom w:val="single" w:sz="2" w:space="0" w:color="000000"/>
            </w:tcBorders>
          </w:tcPr>
          <w:p>
            <w:pPr>
              <w:pStyle w:val="TableParagraph"/>
              <w:spacing w:before="47"/>
              <w:ind w:right="55"/>
              <w:jc w:val="right"/>
              <w:rPr>
                <w:rFonts w:ascii="TT Norms Pro Light"/>
                <w:b w:val="0"/>
                <w:sz w:val="14"/>
              </w:rPr>
            </w:pPr>
            <w:r>
              <w:rPr>
                <w:rFonts w:ascii="TT Norms Pro Light"/>
                <w:b w:val="0"/>
                <w:spacing w:val="-5"/>
                <w:sz w:val="14"/>
              </w:rPr>
              <w:t>0.6</w:t>
            </w:r>
          </w:p>
        </w:tc>
        <w:tc>
          <w:tcPr>
            <w:tcW w:w="899" w:type="dxa"/>
            <w:tcBorders>
              <w:bottom w:val="single" w:sz="2" w:space="0" w:color="000000"/>
            </w:tcBorders>
            <w:shd w:val="clear" w:color="auto" w:fill="E6E7E8"/>
          </w:tcPr>
          <w:p>
            <w:pPr>
              <w:pStyle w:val="TableParagraph"/>
              <w:spacing w:before="47"/>
              <w:ind w:right="56"/>
              <w:jc w:val="right"/>
              <w:rPr>
                <w:rFonts w:ascii="TT Norms Pro Light"/>
                <w:b w:val="0"/>
                <w:sz w:val="14"/>
              </w:rPr>
            </w:pPr>
            <w:r>
              <w:rPr>
                <w:rFonts w:ascii="TT Norms Pro Light"/>
                <w:b w:val="0"/>
                <w:spacing w:val="-5"/>
                <w:sz w:val="14"/>
              </w:rPr>
              <w:t>0.6</w:t>
            </w:r>
          </w:p>
        </w:tc>
        <w:tc>
          <w:tcPr>
            <w:tcW w:w="899" w:type="dxa"/>
            <w:tcBorders>
              <w:bottom w:val="single" w:sz="2" w:space="0" w:color="000000"/>
            </w:tcBorders>
          </w:tcPr>
          <w:p>
            <w:pPr>
              <w:pStyle w:val="TableParagraph"/>
              <w:spacing w:before="47"/>
              <w:ind w:right="56"/>
              <w:jc w:val="right"/>
              <w:rPr>
                <w:rFonts w:ascii="TT Norms Pro Light"/>
                <w:b w:val="0"/>
                <w:sz w:val="14"/>
              </w:rPr>
            </w:pPr>
            <w:r>
              <w:rPr>
                <w:rFonts w:ascii="TT Norms Pro Light"/>
                <w:b w:val="0"/>
                <w:spacing w:val="-5"/>
                <w:sz w:val="14"/>
              </w:rPr>
              <w:t>0.5</w:t>
            </w:r>
          </w:p>
        </w:tc>
        <w:tc>
          <w:tcPr>
            <w:tcW w:w="899" w:type="dxa"/>
            <w:tcBorders>
              <w:bottom w:val="single" w:sz="2" w:space="0" w:color="000000"/>
            </w:tcBorders>
            <w:shd w:val="clear" w:color="auto" w:fill="E6E7E8"/>
          </w:tcPr>
          <w:p>
            <w:pPr>
              <w:pStyle w:val="TableParagraph"/>
              <w:spacing w:before="47"/>
              <w:ind w:right="56"/>
              <w:jc w:val="right"/>
              <w:rPr>
                <w:rFonts w:ascii="TT Norms Pro Light"/>
                <w:b w:val="0"/>
                <w:sz w:val="14"/>
              </w:rPr>
            </w:pPr>
            <w:r>
              <w:rPr>
                <w:rFonts w:ascii="TT Norms Pro Light"/>
                <w:b w:val="0"/>
                <w:spacing w:val="-5"/>
                <w:sz w:val="14"/>
              </w:rPr>
              <w:t>0.4</w:t>
            </w:r>
          </w:p>
        </w:tc>
        <w:tc>
          <w:tcPr>
            <w:tcW w:w="899" w:type="dxa"/>
            <w:tcBorders>
              <w:bottom w:val="single" w:sz="2" w:space="0" w:color="000000"/>
            </w:tcBorders>
          </w:tcPr>
          <w:p>
            <w:pPr>
              <w:pStyle w:val="TableParagraph"/>
              <w:spacing w:before="47"/>
              <w:ind w:right="56"/>
              <w:jc w:val="right"/>
              <w:rPr>
                <w:rFonts w:ascii="TT Norms Pro Light"/>
                <w:b w:val="0"/>
                <w:sz w:val="14"/>
              </w:rPr>
            </w:pPr>
            <w:r>
              <w:rPr>
                <w:rFonts w:ascii="TT Norms Pro Light"/>
                <w:b w:val="0"/>
                <w:spacing w:val="-5"/>
                <w:sz w:val="14"/>
              </w:rPr>
              <w:t>0.3</w:t>
            </w:r>
          </w:p>
        </w:tc>
      </w:tr>
      <w:tr>
        <w:trPr>
          <w:trHeight w:val="233" w:hRule="atLeast"/>
        </w:trPr>
        <w:tc>
          <w:tcPr>
            <w:tcW w:w="3389" w:type="dxa"/>
            <w:tcBorders>
              <w:top w:val="single" w:sz="2" w:space="0" w:color="000000"/>
            </w:tcBorders>
            <w:shd w:val="clear" w:color="auto" w:fill="E6E7E8"/>
          </w:tcPr>
          <w:p>
            <w:pPr>
              <w:pStyle w:val="TableParagraph"/>
              <w:spacing w:before="40"/>
              <w:ind w:left="85"/>
              <w:rPr>
                <w:rFonts w:ascii="TT Norms Pro"/>
                <w:b/>
                <w:sz w:val="14"/>
              </w:rPr>
            </w:pPr>
            <w:r>
              <w:rPr>
                <w:rFonts w:ascii="TT Norms Pro"/>
                <w:b/>
                <w:sz w:val="14"/>
              </w:rPr>
              <w:t>DOMESTIC</w:t>
            </w:r>
            <w:r>
              <w:rPr>
                <w:rFonts w:ascii="TT Norms Pro"/>
                <w:b/>
                <w:spacing w:val="10"/>
                <w:sz w:val="14"/>
              </w:rPr>
              <w:t> </w:t>
            </w:r>
            <w:r>
              <w:rPr>
                <w:rFonts w:ascii="TT Norms Pro"/>
                <w:b/>
                <w:sz w:val="14"/>
              </w:rPr>
              <w:t>-</w:t>
            </w:r>
            <w:r>
              <w:rPr>
                <w:rFonts w:ascii="TT Norms Pro"/>
                <w:b/>
                <w:spacing w:val="11"/>
                <w:sz w:val="14"/>
              </w:rPr>
              <w:t> </w:t>
            </w:r>
            <w:r>
              <w:rPr>
                <w:rFonts w:ascii="TT Norms Pro"/>
                <w:b/>
                <w:spacing w:val="-5"/>
                <w:sz w:val="14"/>
              </w:rPr>
              <w:t>RTP</w:t>
            </w:r>
          </w:p>
        </w:tc>
        <w:tc>
          <w:tcPr>
            <w:tcW w:w="899" w:type="dxa"/>
            <w:tcBorders>
              <w:top w:val="single" w:sz="2" w:space="0" w:color="000000"/>
            </w:tcBorders>
          </w:tcPr>
          <w:p>
            <w:pPr>
              <w:pStyle w:val="TableParagraph"/>
              <w:rPr>
                <w:rFonts w:ascii="Times New Roman"/>
                <w:sz w:val="14"/>
              </w:rPr>
            </w:pPr>
          </w:p>
        </w:tc>
        <w:tc>
          <w:tcPr>
            <w:tcW w:w="899" w:type="dxa"/>
            <w:tcBorders>
              <w:top w:val="single" w:sz="2" w:space="0" w:color="000000"/>
            </w:tcBorders>
            <w:shd w:val="clear" w:color="auto" w:fill="E6E7E8"/>
          </w:tcPr>
          <w:p>
            <w:pPr>
              <w:pStyle w:val="TableParagraph"/>
              <w:rPr>
                <w:rFonts w:ascii="Times New Roman"/>
                <w:sz w:val="14"/>
              </w:rPr>
            </w:pPr>
          </w:p>
        </w:tc>
        <w:tc>
          <w:tcPr>
            <w:tcW w:w="899" w:type="dxa"/>
            <w:tcBorders>
              <w:top w:val="single" w:sz="2" w:space="0" w:color="000000"/>
            </w:tcBorders>
          </w:tcPr>
          <w:p>
            <w:pPr>
              <w:pStyle w:val="TableParagraph"/>
              <w:rPr>
                <w:rFonts w:ascii="Times New Roman"/>
                <w:sz w:val="14"/>
              </w:rPr>
            </w:pPr>
          </w:p>
        </w:tc>
        <w:tc>
          <w:tcPr>
            <w:tcW w:w="899" w:type="dxa"/>
            <w:tcBorders>
              <w:top w:val="single" w:sz="2" w:space="0" w:color="000000"/>
            </w:tcBorders>
            <w:shd w:val="clear" w:color="auto" w:fill="E6E7E8"/>
          </w:tcPr>
          <w:p>
            <w:pPr>
              <w:pStyle w:val="TableParagraph"/>
              <w:rPr>
                <w:rFonts w:ascii="Times New Roman"/>
                <w:sz w:val="14"/>
              </w:rPr>
            </w:pPr>
          </w:p>
        </w:tc>
        <w:tc>
          <w:tcPr>
            <w:tcW w:w="899" w:type="dxa"/>
            <w:tcBorders>
              <w:top w:val="single" w:sz="2" w:space="0" w:color="000000"/>
            </w:tcBorders>
          </w:tcPr>
          <w:p>
            <w:pPr>
              <w:pStyle w:val="TableParagraph"/>
              <w:rPr>
                <w:rFonts w:ascii="Times New Roman"/>
                <w:sz w:val="14"/>
              </w:rPr>
            </w:pPr>
          </w:p>
        </w:tc>
        <w:tc>
          <w:tcPr>
            <w:tcW w:w="899" w:type="dxa"/>
            <w:tcBorders>
              <w:top w:val="single" w:sz="2" w:space="0" w:color="000000"/>
            </w:tcBorders>
            <w:shd w:val="clear" w:color="auto" w:fill="E6E7E8"/>
          </w:tcPr>
          <w:p>
            <w:pPr>
              <w:pStyle w:val="TableParagraph"/>
              <w:rPr>
                <w:rFonts w:ascii="Times New Roman"/>
                <w:sz w:val="14"/>
              </w:rPr>
            </w:pPr>
          </w:p>
        </w:tc>
        <w:tc>
          <w:tcPr>
            <w:tcW w:w="899" w:type="dxa"/>
            <w:tcBorders>
              <w:top w:val="single" w:sz="2" w:space="0" w:color="000000"/>
            </w:tcBorders>
          </w:tcPr>
          <w:p>
            <w:pPr>
              <w:pStyle w:val="TableParagraph"/>
              <w:rPr>
                <w:rFonts w:ascii="Times New Roman"/>
                <w:sz w:val="14"/>
              </w:rPr>
            </w:pPr>
          </w:p>
        </w:tc>
      </w:tr>
      <w:tr>
        <w:trPr>
          <w:trHeight w:val="236" w:hRule="atLeast"/>
        </w:trPr>
        <w:tc>
          <w:tcPr>
            <w:tcW w:w="3389" w:type="dxa"/>
            <w:shd w:val="clear" w:color="auto" w:fill="E6E7E8"/>
          </w:tcPr>
          <w:p>
            <w:pPr>
              <w:pStyle w:val="TableParagraph"/>
              <w:spacing w:before="44"/>
              <w:ind w:left="85"/>
              <w:rPr>
                <w:rFonts w:ascii="TT Norms Pro"/>
                <w:sz w:val="14"/>
              </w:rPr>
            </w:pPr>
            <w:r>
              <w:rPr>
                <w:rFonts w:ascii="TT Norms Pro"/>
                <w:sz w:val="14"/>
              </w:rPr>
              <w:t>Higher</w:t>
            </w:r>
            <w:r>
              <w:rPr>
                <w:rFonts w:ascii="TT Norms Pro"/>
                <w:spacing w:val="8"/>
                <w:sz w:val="14"/>
              </w:rPr>
              <w:t> </w:t>
            </w:r>
            <w:r>
              <w:rPr>
                <w:rFonts w:ascii="TT Norms Pro"/>
                <w:sz w:val="14"/>
              </w:rPr>
              <w:t>degree</w:t>
            </w:r>
            <w:r>
              <w:rPr>
                <w:rFonts w:ascii="TT Norms Pro"/>
                <w:spacing w:val="11"/>
                <w:sz w:val="14"/>
              </w:rPr>
              <w:t> </w:t>
            </w:r>
            <w:r>
              <w:rPr>
                <w:rFonts w:ascii="TT Norms Pro"/>
                <w:spacing w:val="-2"/>
                <w:sz w:val="14"/>
              </w:rPr>
              <w:t>research</w:t>
            </w:r>
          </w:p>
        </w:tc>
        <w:tc>
          <w:tcPr>
            <w:tcW w:w="899" w:type="dxa"/>
          </w:tcPr>
          <w:p>
            <w:pPr>
              <w:pStyle w:val="TableParagraph"/>
              <w:spacing w:before="44"/>
              <w:ind w:right="54"/>
              <w:jc w:val="right"/>
              <w:rPr>
                <w:rFonts w:ascii="TT Norms Pro Light"/>
                <w:b w:val="0"/>
                <w:sz w:val="14"/>
              </w:rPr>
            </w:pPr>
            <w:r>
              <w:rPr>
                <w:rFonts w:ascii="TT Norms Pro Light"/>
                <w:b w:val="0"/>
                <w:spacing w:val="-2"/>
                <w:sz w:val="14"/>
              </w:rPr>
              <w:t>983.0</w:t>
            </w:r>
          </w:p>
        </w:tc>
        <w:tc>
          <w:tcPr>
            <w:tcW w:w="899" w:type="dxa"/>
            <w:shd w:val="clear" w:color="auto" w:fill="E6E7E8"/>
          </w:tcPr>
          <w:p>
            <w:pPr>
              <w:pStyle w:val="TableParagraph"/>
              <w:spacing w:before="44"/>
              <w:ind w:right="59"/>
              <w:jc w:val="right"/>
              <w:rPr>
                <w:rFonts w:ascii="TT Norms Pro Light"/>
                <w:b w:val="0"/>
                <w:sz w:val="14"/>
              </w:rPr>
            </w:pPr>
            <w:r>
              <w:rPr>
                <w:rFonts w:ascii="TT Norms Pro Light"/>
                <w:b w:val="0"/>
                <w:spacing w:val="-2"/>
                <w:sz w:val="14"/>
              </w:rPr>
              <w:t>1,005.9</w:t>
            </w:r>
          </w:p>
        </w:tc>
        <w:tc>
          <w:tcPr>
            <w:tcW w:w="899" w:type="dxa"/>
          </w:tcPr>
          <w:p>
            <w:pPr>
              <w:pStyle w:val="TableParagraph"/>
              <w:spacing w:before="44"/>
              <w:ind w:right="56"/>
              <w:jc w:val="right"/>
              <w:rPr>
                <w:rFonts w:ascii="TT Norms Pro Light"/>
                <w:b w:val="0"/>
                <w:sz w:val="14"/>
              </w:rPr>
            </w:pPr>
            <w:r>
              <w:rPr>
                <w:rFonts w:ascii="TT Norms Pro Light"/>
                <w:b w:val="0"/>
                <w:spacing w:val="-2"/>
                <w:sz w:val="14"/>
              </w:rPr>
              <w:t>991.1</w:t>
            </w:r>
          </w:p>
        </w:tc>
        <w:tc>
          <w:tcPr>
            <w:tcW w:w="899" w:type="dxa"/>
            <w:shd w:val="clear" w:color="auto" w:fill="E6E7E8"/>
          </w:tcPr>
          <w:p>
            <w:pPr>
              <w:pStyle w:val="TableParagraph"/>
              <w:spacing w:before="44"/>
              <w:ind w:right="56"/>
              <w:jc w:val="right"/>
              <w:rPr>
                <w:rFonts w:ascii="TT Norms Pro Light"/>
                <w:b w:val="0"/>
                <w:sz w:val="14"/>
              </w:rPr>
            </w:pPr>
            <w:r>
              <w:rPr>
                <w:rFonts w:ascii="TT Norms Pro Light"/>
                <w:b w:val="0"/>
                <w:spacing w:val="-2"/>
                <w:sz w:val="14"/>
              </w:rPr>
              <w:t>931.6</w:t>
            </w:r>
          </w:p>
        </w:tc>
        <w:tc>
          <w:tcPr>
            <w:tcW w:w="899" w:type="dxa"/>
          </w:tcPr>
          <w:p>
            <w:pPr>
              <w:pStyle w:val="TableParagraph"/>
              <w:spacing w:before="44"/>
              <w:ind w:right="56"/>
              <w:jc w:val="right"/>
              <w:rPr>
                <w:rFonts w:ascii="TT Norms Pro Light"/>
                <w:b w:val="0"/>
                <w:sz w:val="14"/>
              </w:rPr>
            </w:pPr>
            <w:r>
              <w:rPr>
                <w:rFonts w:ascii="TT Norms Pro Light"/>
                <w:b w:val="0"/>
                <w:spacing w:val="-2"/>
                <w:sz w:val="14"/>
              </w:rPr>
              <w:t>890.3</w:t>
            </w:r>
          </w:p>
        </w:tc>
        <w:tc>
          <w:tcPr>
            <w:tcW w:w="899" w:type="dxa"/>
            <w:shd w:val="clear" w:color="auto" w:fill="E6E7E8"/>
          </w:tcPr>
          <w:p>
            <w:pPr>
              <w:pStyle w:val="TableParagraph"/>
              <w:spacing w:before="44"/>
              <w:ind w:right="56"/>
              <w:jc w:val="right"/>
              <w:rPr>
                <w:rFonts w:ascii="TT Norms Pro Light"/>
                <w:b w:val="0"/>
                <w:sz w:val="14"/>
              </w:rPr>
            </w:pPr>
            <w:r>
              <w:rPr>
                <w:rFonts w:ascii="TT Norms Pro Light"/>
                <w:b w:val="0"/>
                <w:spacing w:val="-2"/>
                <w:sz w:val="14"/>
              </w:rPr>
              <w:t>898.5</w:t>
            </w:r>
          </w:p>
        </w:tc>
        <w:tc>
          <w:tcPr>
            <w:tcW w:w="899" w:type="dxa"/>
          </w:tcPr>
          <w:p>
            <w:pPr>
              <w:pStyle w:val="TableParagraph"/>
              <w:spacing w:before="44"/>
              <w:ind w:right="56"/>
              <w:jc w:val="right"/>
              <w:rPr>
                <w:rFonts w:ascii="TT Norms Pro Light"/>
                <w:b w:val="0"/>
                <w:sz w:val="14"/>
              </w:rPr>
            </w:pPr>
            <w:r>
              <w:rPr>
                <w:rFonts w:ascii="TT Norms Pro Light"/>
                <w:b w:val="0"/>
                <w:spacing w:val="-2"/>
                <w:sz w:val="14"/>
              </w:rPr>
              <w:t>881.2</w:t>
            </w:r>
          </w:p>
        </w:tc>
      </w:tr>
      <w:tr>
        <w:trPr>
          <w:trHeight w:val="236" w:hRule="atLeast"/>
        </w:trPr>
        <w:tc>
          <w:tcPr>
            <w:tcW w:w="3389" w:type="dxa"/>
            <w:shd w:val="clear" w:color="auto" w:fill="E6E7E8"/>
          </w:tcPr>
          <w:p>
            <w:pPr>
              <w:pStyle w:val="TableParagraph"/>
              <w:spacing w:before="46"/>
              <w:ind w:left="85"/>
              <w:rPr>
                <w:rFonts w:ascii="TT Norms Pro"/>
                <w:sz w:val="14"/>
              </w:rPr>
            </w:pPr>
            <w:r>
              <w:rPr>
                <w:rFonts w:ascii="TT Norms Pro"/>
                <w:sz w:val="14"/>
              </w:rPr>
              <w:t>Sub-</w:t>
            </w:r>
            <w:r>
              <w:rPr>
                <w:rFonts w:ascii="TT Norms Pro"/>
                <w:spacing w:val="-2"/>
                <w:sz w:val="14"/>
              </w:rPr>
              <w:t>total</w:t>
            </w:r>
          </w:p>
        </w:tc>
        <w:tc>
          <w:tcPr>
            <w:tcW w:w="899" w:type="dxa"/>
          </w:tcPr>
          <w:p>
            <w:pPr>
              <w:pStyle w:val="TableParagraph"/>
              <w:spacing w:before="46"/>
              <w:ind w:right="55"/>
              <w:jc w:val="right"/>
              <w:rPr>
                <w:rFonts w:ascii="TT Norms Pro Light"/>
                <w:b w:val="0"/>
                <w:sz w:val="14"/>
              </w:rPr>
            </w:pPr>
            <w:r>
              <w:rPr>
                <w:rFonts w:ascii="TT Norms Pro Light"/>
                <w:b w:val="0"/>
                <w:spacing w:val="-2"/>
                <w:sz w:val="14"/>
              </w:rPr>
              <w:t>983.0</w:t>
            </w:r>
          </w:p>
        </w:tc>
        <w:tc>
          <w:tcPr>
            <w:tcW w:w="899" w:type="dxa"/>
            <w:shd w:val="clear" w:color="auto" w:fill="E6E7E8"/>
          </w:tcPr>
          <w:p>
            <w:pPr>
              <w:pStyle w:val="TableParagraph"/>
              <w:spacing w:before="46"/>
              <w:ind w:right="60"/>
              <w:jc w:val="right"/>
              <w:rPr>
                <w:rFonts w:ascii="TT Norms Pro Light"/>
                <w:b w:val="0"/>
                <w:sz w:val="14"/>
              </w:rPr>
            </w:pPr>
            <w:r>
              <w:rPr>
                <w:rFonts w:ascii="TT Norms Pro Light"/>
                <w:b w:val="0"/>
                <w:spacing w:val="-2"/>
                <w:sz w:val="14"/>
              </w:rPr>
              <w:t>1,005.9</w:t>
            </w:r>
          </w:p>
        </w:tc>
        <w:tc>
          <w:tcPr>
            <w:tcW w:w="899" w:type="dxa"/>
          </w:tcPr>
          <w:p>
            <w:pPr>
              <w:pStyle w:val="TableParagraph"/>
              <w:spacing w:before="46"/>
              <w:ind w:right="56"/>
              <w:jc w:val="right"/>
              <w:rPr>
                <w:rFonts w:ascii="TT Norms Pro Light"/>
                <w:b w:val="0"/>
                <w:sz w:val="14"/>
              </w:rPr>
            </w:pPr>
            <w:r>
              <w:rPr>
                <w:rFonts w:ascii="TT Norms Pro Light"/>
                <w:b w:val="0"/>
                <w:spacing w:val="-2"/>
                <w:sz w:val="14"/>
              </w:rPr>
              <w:t>991.1</w:t>
            </w:r>
          </w:p>
        </w:tc>
        <w:tc>
          <w:tcPr>
            <w:tcW w:w="899" w:type="dxa"/>
            <w:shd w:val="clear" w:color="auto" w:fill="E6E7E8"/>
          </w:tcPr>
          <w:p>
            <w:pPr>
              <w:pStyle w:val="TableParagraph"/>
              <w:spacing w:before="46"/>
              <w:ind w:right="56"/>
              <w:jc w:val="right"/>
              <w:rPr>
                <w:rFonts w:ascii="TT Norms Pro Light"/>
                <w:b w:val="0"/>
                <w:sz w:val="14"/>
              </w:rPr>
            </w:pPr>
            <w:r>
              <w:rPr>
                <w:rFonts w:ascii="TT Norms Pro Light"/>
                <w:b w:val="0"/>
                <w:spacing w:val="-2"/>
                <w:sz w:val="14"/>
              </w:rPr>
              <w:t>931.6</w:t>
            </w:r>
          </w:p>
        </w:tc>
        <w:tc>
          <w:tcPr>
            <w:tcW w:w="899" w:type="dxa"/>
          </w:tcPr>
          <w:p>
            <w:pPr>
              <w:pStyle w:val="TableParagraph"/>
              <w:spacing w:before="46"/>
              <w:ind w:right="56"/>
              <w:jc w:val="right"/>
              <w:rPr>
                <w:rFonts w:ascii="TT Norms Pro Light"/>
                <w:b w:val="0"/>
                <w:sz w:val="14"/>
              </w:rPr>
            </w:pPr>
            <w:r>
              <w:rPr>
                <w:rFonts w:ascii="TT Norms Pro Light"/>
                <w:b w:val="0"/>
                <w:spacing w:val="-2"/>
                <w:sz w:val="14"/>
              </w:rPr>
              <w:t>890.3</w:t>
            </w:r>
          </w:p>
        </w:tc>
        <w:tc>
          <w:tcPr>
            <w:tcW w:w="899" w:type="dxa"/>
            <w:shd w:val="clear" w:color="auto" w:fill="E6E7E8"/>
          </w:tcPr>
          <w:p>
            <w:pPr>
              <w:pStyle w:val="TableParagraph"/>
              <w:spacing w:before="46"/>
              <w:ind w:right="56"/>
              <w:jc w:val="right"/>
              <w:rPr>
                <w:rFonts w:ascii="TT Norms Pro Light"/>
                <w:b w:val="0"/>
                <w:sz w:val="14"/>
              </w:rPr>
            </w:pPr>
            <w:r>
              <w:rPr>
                <w:rFonts w:ascii="TT Norms Pro Light"/>
                <w:b w:val="0"/>
                <w:spacing w:val="-2"/>
                <w:sz w:val="14"/>
              </w:rPr>
              <w:t>898.5</w:t>
            </w:r>
          </w:p>
        </w:tc>
        <w:tc>
          <w:tcPr>
            <w:tcW w:w="899" w:type="dxa"/>
          </w:tcPr>
          <w:p>
            <w:pPr>
              <w:pStyle w:val="TableParagraph"/>
              <w:spacing w:before="46"/>
              <w:ind w:right="56"/>
              <w:jc w:val="right"/>
              <w:rPr>
                <w:rFonts w:ascii="TT Norms Pro Light"/>
                <w:b w:val="0"/>
                <w:sz w:val="14"/>
              </w:rPr>
            </w:pPr>
            <w:r>
              <w:rPr>
                <w:rFonts w:ascii="TT Norms Pro Light"/>
                <w:b w:val="0"/>
                <w:spacing w:val="-2"/>
                <w:sz w:val="14"/>
              </w:rPr>
              <w:t>881.2</w:t>
            </w:r>
          </w:p>
        </w:tc>
      </w:tr>
      <w:tr>
        <w:trPr>
          <w:trHeight w:val="240" w:hRule="atLeast"/>
        </w:trPr>
        <w:tc>
          <w:tcPr>
            <w:tcW w:w="3389" w:type="dxa"/>
            <w:tcBorders>
              <w:bottom w:val="single" w:sz="2" w:space="0" w:color="000000"/>
            </w:tcBorders>
            <w:shd w:val="clear" w:color="auto" w:fill="E6E7E8"/>
          </w:tcPr>
          <w:p>
            <w:pPr>
              <w:pStyle w:val="TableParagraph"/>
              <w:spacing w:before="39"/>
              <w:ind w:left="85"/>
              <w:rPr>
                <w:rFonts w:ascii="Verdana"/>
                <w:i/>
                <w:sz w:val="14"/>
              </w:rPr>
            </w:pPr>
            <w:r>
              <w:rPr>
                <w:rFonts w:ascii="Verdana"/>
                <w:i/>
                <w:w w:val="85"/>
                <w:sz w:val="14"/>
              </w:rPr>
              <w:t>%</w:t>
            </w:r>
            <w:r>
              <w:rPr>
                <w:rFonts w:ascii="Verdana"/>
                <w:i/>
                <w:spacing w:val="-1"/>
                <w:w w:val="85"/>
                <w:sz w:val="14"/>
              </w:rPr>
              <w:t> </w:t>
            </w:r>
            <w:r>
              <w:rPr>
                <w:rFonts w:ascii="Verdana"/>
                <w:i/>
                <w:w w:val="85"/>
                <w:sz w:val="14"/>
              </w:rPr>
              <w:t>Domestic</w:t>
            </w:r>
            <w:r>
              <w:rPr>
                <w:rFonts w:ascii="Verdana"/>
                <w:i/>
                <w:spacing w:val="-8"/>
                <w:sz w:val="14"/>
              </w:rPr>
              <w:t> </w:t>
            </w:r>
            <w:r>
              <w:rPr>
                <w:rFonts w:ascii="Verdana"/>
                <w:i/>
                <w:w w:val="85"/>
                <w:sz w:val="14"/>
              </w:rPr>
              <w:t>-</w:t>
            </w:r>
            <w:r>
              <w:rPr>
                <w:rFonts w:ascii="Verdana"/>
                <w:i/>
                <w:spacing w:val="-8"/>
                <w:sz w:val="14"/>
              </w:rPr>
              <w:t> </w:t>
            </w:r>
            <w:r>
              <w:rPr>
                <w:rFonts w:ascii="Verdana"/>
                <w:i/>
                <w:spacing w:val="-5"/>
                <w:w w:val="85"/>
                <w:sz w:val="14"/>
              </w:rPr>
              <w:t>RTP</w:t>
            </w:r>
          </w:p>
        </w:tc>
        <w:tc>
          <w:tcPr>
            <w:tcW w:w="899" w:type="dxa"/>
            <w:tcBorders>
              <w:bottom w:val="single" w:sz="2" w:space="0" w:color="000000"/>
            </w:tcBorders>
          </w:tcPr>
          <w:p>
            <w:pPr>
              <w:pStyle w:val="TableParagraph"/>
              <w:spacing w:before="47"/>
              <w:ind w:right="50"/>
              <w:jc w:val="right"/>
              <w:rPr>
                <w:rFonts w:ascii="TT Norms Pro Light"/>
                <w:b w:val="0"/>
                <w:sz w:val="14"/>
              </w:rPr>
            </w:pPr>
            <w:r>
              <w:rPr>
                <w:rFonts w:ascii="TT Norms Pro Light"/>
                <w:b w:val="0"/>
                <w:spacing w:val="-5"/>
                <w:sz w:val="14"/>
              </w:rPr>
              <w:t>4.6</w:t>
            </w:r>
          </w:p>
        </w:tc>
        <w:tc>
          <w:tcPr>
            <w:tcW w:w="899" w:type="dxa"/>
            <w:tcBorders>
              <w:bottom w:val="single" w:sz="2" w:space="0" w:color="000000"/>
            </w:tcBorders>
            <w:shd w:val="clear" w:color="auto" w:fill="E6E7E8"/>
          </w:tcPr>
          <w:p>
            <w:pPr>
              <w:pStyle w:val="TableParagraph"/>
              <w:spacing w:before="47"/>
              <w:ind w:right="54"/>
              <w:jc w:val="right"/>
              <w:rPr>
                <w:rFonts w:ascii="TT Norms Pro Light"/>
                <w:b w:val="0"/>
                <w:sz w:val="14"/>
              </w:rPr>
            </w:pPr>
            <w:r>
              <w:rPr>
                <w:rFonts w:ascii="TT Norms Pro Light"/>
                <w:b w:val="0"/>
                <w:spacing w:val="-5"/>
                <w:sz w:val="14"/>
              </w:rPr>
              <w:t>5.0</w:t>
            </w:r>
          </w:p>
        </w:tc>
        <w:tc>
          <w:tcPr>
            <w:tcW w:w="899" w:type="dxa"/>
            <w:tcBorders>
              <w:bottom w:val="single" w:sz="2" w:space="0" w:color="000000"/>
            </w:tcBorders>
          </w:tcPr>
          <w:p>
            <w:pPr>
              <w:pStyle w:val="TableParagraph"/>
              <w:spacing w:before="47"/>
              <w:ind w:right="54"/>
              <w:jc w:val="right"/>
              <w:rPr>
                <w:rFonts w:ascii="TT Norms Pro Light"/>
                <w:b w:val="0"/>
                <w:sz w:val="14"/>
              </w:rPr>
            </w:pPr>
            <w:r>
              <w:rPr>
                <w:rFonts w:ascii="TT Norms Pro Light"/>
                <w:b w:val="0"/>
                <w:spacing w:val="-5"/>
                <w:sz w:val="14"/>
              </w:rPr>
              <w:t>5.0</w:t>
            </w:r>
          </w:p>
        </w:tc>
        <w:tc>
          <w:tcPr>
            <w:tcW w:w="899" w:type="dxa"/>
            <w:tcBorders>
              <w:bottom w:val="single" w:sz="2" w:space="0" w:color="000000"/>
            </w:tcBorders>
            <w:shd w:val="clear" w:color="auto" w:fill="E6E7E8"/>
          </w:tcPr>
          <w:p>
            <w:pPr>
              <w:pStyle w:val="TableParagraph"/>
              <w:spacing w:before="47"/>
              <w:ind w:right="52"/>
              <w:jc w:val="right"/>
              <w:rPr>
                <w:rFonts w:ascii="TT Norms Pro Light"/>
                <w:b w:val="0"/>
                <w:sz w:val="14"/>
              </w:rPr>
            </w:pPr>
            <w:r>
              <w:rPr>
                <w:rFonts w:ascii="TT Norms Pro Light"/>
                <w:b w:val="0"/>
                <w:spacing w:val="-5"/>
                <w:sz w:val="14"/>
              </w:rPr>
              <w:t>4.7</w:t>
            </w:r>
          </w:p>
        </w:tc>
        <w:tc>
          <w:tcPr>
            <w:tcW w:w="899" w:type="dxa"/>
            <w:tcBorders>
              <w:bottom w:val="single" w:sz="2" w:space="0" w:color="000000"/>
            </w:tcBorders>
          </w:tcPr>
          <w:p>
            <w:pPr>
              <w:pStyle w:val="TableParagraph"/>
              <w:spacing w:before="47"/>
              <w:ind w:right="51"/>
              <w:jc w:val="right"/>
              <w:rPr>
                <w:rFonts w:ascii="TT Norms Pro Light"/>
                <w:b w:val="0"/>
                <w:sz w:val="14"/>
              </w:rPr>
            </w:pPr>
            <w:r>
              <w:rPr>
                <w:rFonts w:ascii="TT Norms Pro Light"/>
                <w:b w:val="0"/>
                <w:spacing w:val="-5"/>
                <w:sz w:val="14"/>
              </w:rPr>
              <w:t>4.6</w:t>
            </w:r>
          </w:p>
        </w:tc>
        <w:tc>
          <w:tcPr>
            <w:tcW w:w="899" w:type="dxa"/>
            <w:tcBorders>
              <w:bottom w:val="single" w:sz="2" w:space="0" w:color="000000"/>
            </w:tcBorders>
            <w:shd w:val="clear" w:color="auto" w:fill="E6E7E8"/>
          </w:tcPr>
          <w:p>
            <w:pPr>
              <w:pStyle w:val="TableParagraph"/>
              <w:spacing w:before="47"/>
              <w:ind w:right="52"/>
              <w:jc w:val="right"/>
              <w:rPr>
                <w:rFonts w:ascii="TT Norms Pro Light"/>
                <w:b w:val="0"/>
                <w:sz w:val="14"/>
              </w:rPr>
            </w:pPr>
            <w:r>
              <w:rPr>
                <w:rFonts w:ascii="TT Norms Pro Light"/>
                <w:b w:val="0"/>
                <w:spacing w:val="-5"/>
                <w:sz w:val="14"/>
              </w:rPr>
              <w:t>4.7</w:t>
            </w:r>
          </w:p>
        </w:tc>
        <w:tc>
          <w:tcPr>
            <w:tcW w:w="899" w:type="dxa"/>
            <w:tcBorders>
              <w:bottom w:val="single" w:sz="2" w:space="0" w:color="000000"/>
            </w:tcBorders>
          </w:tcPr>
          <w:p>
            <w:pPr>
              <w:pStyle w:val="TableParagraph"/>
              <w:spacing w:before="47"/>
              <w:ind w:right="52"/>
              <w:jc w:val="right"/>
              <w:rPr>
                <w:rFonts w:ascii="TT Norms Pro Light"/>
                <w:b w:val="0"/>
                <w:sz w:val="14"/>
              </w:rPr>
            </w:pPr>
            <w:r>
              <w:rPr>
                <w:rFonts w:ascii="TT Norms Pro Light"/>
                <w:b w:val="0"/>
                <w:spacing w:val="-5"/>
                <w:sz w:val="14"/>
              </w:rPr>
              <w:t>4.7</w:t>
            </w:r>
          </w:p>
        </w:tc>
      </w:tr>
      <w:tr>
        <w:trPr>
          <w:trHeight w:val="233" w:hRule="atLeast"/>
        </w:trPr>
        <w:tc>
          <w:tcPr>
            <w:tcW w:w="3389" w:type="dxa"/>
            <w:tcBorders>
              <w:top w:val="single" w:sz="2" w:space="0" w:color="000000"/>
            </w:tcBorders>
            <w:shd w:val="clear" w:color="auto" w:fill="E6E7E8"/>
          </w:tcPr>
          <w:p>
            <w:pPr>
              <w:pStyle w:val="TableParagraph"/>
              <w:spacing w:before="40"/>
              <w:ind w:left="85"/>
              <w:rPr>
                <w:rFonts w:ascii="TT Norms Pro"/>
                <w:b/>
                <w:sz w:val="14"/>
              </w:rPr>
            </w:pPr>
            <w:r>
              <w:rPr>
                <w:rFonts w:ascii="TT Norms Pro"/>
                <w:b/>
                <w:sz w:val="14"/>
              </w:rPr>
              <w:t>INTERNATIONAL</w:t>
            </w:r>
            <w:r>
              <w:rPr>
                <w:rFonts w:ascii="TT Norms Pro"/>
                <w:b/>
                <w:spacing w:val="7"/>
                <w:sz w:val="14"/>
              </w:rPr>
              <w:t> </w:t>
            </w:r>
            <w:r>
              <w:rPr>
                <w:rFonts w:ascii="TT Norms Pro"/>
                <w:b/>
                <w:sz w:val="14"/>
              </w:rPr>
              <w:t>-</w:t>
            </w:r>
            <w:r>
              <w:rPr>
                <w:rFonts w:ascii="TT Norms Pro"/>
                <w:b/>
                <w:spacing w:val="9"/>
                <w:sz w:val="14"/>
              </w:rPr>
              <w:t> </w:t>
            </w:r>
            <w:r>
              <w:rPr>
                <w:rFonts w:ascii="TT Norms Pro"/>
                <w:b/>
                <w:spacing w:val="-2"/>
                <w:sz w:val="14"/>
              </w:rPr>
              <w:t>OFFSHORE</w:t>
            </w:r>
          </w:p>
        </w:tc>
        <w:tc>
          <w:tcPr>
            <w:tcW w:w="899" w:type="dxa"/>
            <w:tcBorders>
              <w:top w:val="single" w:sz="2" w:space="0" w:color="000000"/>
            </w:tcBorders>
          </w:tcPr>
          <w:p>
            <w:pPr>
              <w:pStyle w:val="TableParagraph"/>
              <w:rPr>
                <w:rFonts w:ascii="Times New Roman"/>
                <w:sz w:val="14"/>
              </w:rPr>
            </w:pPr>
          </w:p>
        </w:tc>
        <w:tc>
          <w:tcPr>
            <w:tcW w:w="899" w:type="dxa"/>
            <w:tcBorders>
              <w:top w:val="single" w:sz="2" w:space="0" w:color="000000"/>
            </w:tcBorders>
            <w:shd w:val="clear" w:color="auto" w:fill="E6E7E8"/>
          </w:tcPr>
          <w:p>
            <w:pPr>
              <w:pStyle w:val="TableParagraph"/>
              <w:rPr>
                <w:rFonts w:ascii="Times New Roman"/>
                <w:sz w:val="14"/>
              </w:rPr>
            </w:pPr>
          </w:p>
        </w:tc>
        <w:tc>
          <w:tcPr>
            <w:tcW w:w="899" w:type="dxa"/>
            <w:tcBorders>
              <w:top w:val="single" w:sz="2" w:space="0" w:color="000000"/>
            </w:tcBorders>
          </w:tcPr>
          <w:p>
            <w:pPr>
              <w:pStyle w:val="TableParagraph"/>
              <w:rPr>
                <w:rFonts w:ascii="Times New Roman"/>
                <w:sz w:val="14"/>
              </w:rPr>
            </w:pPr>
          </w:p>
        </w:tc>
        <w:tc>
          <w:tcPr>
            <w:tcW w:w="899" w:type="dxa"/>
            <w:tcBorders>
              <w:top w:val="single" w:sz="2" w:space="0" w:color="000000"/>
            </w:tcBorders>
            <w:shd w:val="clear" w:color="auto" w:fill="E6E7E8"/>
          </w:tcPr>
          <w:p>
            <w:pPr>
              <w:pStyle w:val="TableParagraph"/>
              <w:rPr>
                <w:rFonts w:ascii="Times New Roman"/>
                <w:sz w:val="14"/>
              </w:rPr>
            </w:pPr>
          </w:p>
        </w:tc>
        <w:tc>
          <w:tcPr>
            <w:tcW w:w="899" w:type="dxa"/>
            <w:tcBorders>
              <w:top w:val="single" w:sz="2" w:space="0" w:color="000000"/>
            </w:tcBorders>
          </w:tcPr>
          <w:p>
            <w:pPr>
              <w:pStyle w:val="TableParagraph"/>
              <w:rPr>
                <w:rFonts w:ascii="Times New Roman"/>
                <w:sz w:val="14"/>
              </w:rPr>
            </w:pPr>
          </w:p>
        </w:tc>
        <w:tc>
          <w:tcPr>
            <w:tcW w:w="899" w:type="dxa"/>
            <w:tcBorders>
              <w:top w:val="single" w:sz="2" w:space="0" w:color="000000"/>
            </w:tcBorders>
            <w:shd w:val="clear" w:color="auto" w:fill="E6E7E8"/>
          </w:tcPr>
          <w:p>
            <w:pPr>
              <w:pStyle w:val="TableParagraph"/>
              <w:rPr>
                <w:rFonts w:ascii="Times New Roman"/>
                <w:sz w:val="14"/>
              </w:rPr>
            </w:pPr>
          </w:p>
        </w:tc>
        <w:tc>
          <w:tcPr>
            <w:tcW w:w="899" w:type="dxa"/>
            <w:tcBorders>
              <w:top w:val="single" w:sz="2" w:space="0" w:color="000000"/>
            </w:tcBorders>
          </w:tcPr>
          <w:p>
            <w:pPr>
              <w:pStyle w:val="TableParagraph"/>
              <w:rPr>
                <w:rFonts w:ascii="Times New Roman"/>
                <w:sz w:val="14"/>
              </w:rPr>
            </w:pPr>
          </w:p>
        </w:tc>
      </w:tr>
      <w:tr>
        <w:trPr>
          <w:trHeight w:val="236" w:hRule="atLeast"/>
        </w:trPr>
        <w:tc>
          <w:tcPr>
            <w:tcW w:w="3389" w:type="dxa"/>
            <w:shd w:val="clear" w:color="auto" w:fill="E6E7E8"/>
          </w:tcPr>
          <w:p>
            <w:pPr>
              <w:pStyle w:val="TableParagraph"/>
              <w:spacing w:before="44"/>
              <w:ind w:left="85"/>
              <w:rPr>
                <w:rFonts w:ascii="TT Norms Pro"/>
                <w:sz w:val="14"/>
              </w:rPr>
            </w:pPr>
            <w:r>
              <w:rPr>
                <w:rFonts w:ascii="TT Norms Pro"/>
                <w:sz w:val="14"/>
              </w:rPr>
              <w:t>Higher</w:t>
            </w:r>
            <w:r>
              <w:rPr>
                <w:rFonts w:ascii="TT Norms Pro"/>
                <w:spacing w:val="8"/>
                <w:sz w:val="14"/>
              </w:rPr>
              <w:t> </w:t>
            </w:r>
            <w:r>
              <w:rPr>
                <w:rFonts w:ascii="TT Norms Pro"/>
                <w:sz w:val="14"/>
              </w:rPr>
              <w:t>degree</w:t>
            </w:r>
            <w:r>
              <w:rPr>
                <w:rFonts w:ascii="TT Norms Pro"/>
                <w:spacing w:val="11"/>
                <w:sz w:val="14"/>
              </w:rPr>
              <w:t> </w:t>
            </w:r>
            <w:r>
              <w:rPr>
                <w:rFonts w:ascii="TT Norms Pro"/>
                <w:spacing w:val="-2"/>
                <w:sz w:val="14"/>
              </w:rPr>
              <w:t>research</w:t>
            </w:r>
          </w:p>
        </w:tc>
        <w:tc>
          <w:tcPr>
            <w:tcW w:w="899" w:type="dxa"/>
          </w:tcPr>
          <w:p>
            <w:pPr>
              <w:pStyle w:val="TableParagraph"/>
              <w:spacing w:before="44"/>
              <w:ind w:right="55"/>
              <w:jc w:val="right"/>
              <w:rPr>
                <w:rFonts w:ascii="TT Norms Pro Light"/>
                <w:b w:val="0"/>
                <w:sz w:val="14"/>
              </w:rPr>
            </w:pPr>
            <w:r>
              <w:rPr>
                <w:rFonts w:ascii="TT Norms Pro Light"/>
                <w:b w:val="0"/>
                <w:spacing w:val="-4"/>
                <w:sz w:val="14"/>
              </w:rPr>
              <w:t>28.5</w:t>
            </w:r>
          </w:p>
        </w:tc>
        <w:tc>
          <w:tcPr>
            <w:tcW w:w="899" w:type="dxa"/>
            <w:shd w:val="clear" w:color="auto" w:fill="E6E7E8"/>
          </w:tcPr>
          <w:p>
            <w:pPr>
              <w:pStyle w:val="TableParagraph"/>
              <w:spacing w:before="44"/>
              <w:ind w:right="55"/>
              <w:jc w:val="right"/>
              <w:rPr>
                <w:rFonts w:ascii="TT Norms Pro Light"/>
                <w:b w:val="0"/>
                <w:sz w:val="14"/>
              </w:rPr>
            </w:pPr>
            <w:r>
              <w:rPr>
                <w:rFonts w:ascii="TT Norms Pro Light"/>
                <w:b w:val="0"/>
                <w:spacing w:val="-4"/>
                <w:sz w:val="14"/>
              </w:rPr>
              <w:t>29.8</w:t>
            </w:r>
          </w:p>
        </w:tc>
        <w:tc>
          <w:tcPr>
            <w:tcW w:w="899" w:type="dxa"/>
          </w:tcPr>
          <w:p>
            <w:pPr>
              <w:pStyle w:val="TableParagraph"/>
              <w:spacing w:before="44"/>
              <w:ind w:right="54"/>
              <w:jc w:val="right"/>
              <w:rPr>
                <w:rFonts w:ascii="TT Norms Pro Light"/>
                <w:b w:val="0"/>
                <w:sz w:val="14"/>
              </w:rPr>
            </w:pPr>
            <w:r>
              <w:rPr>
                <w:rFonts w:ascii="TT Norms Pro Light"/>
                <w:b w:val="0"/>
                <w:spacing w:val="-4"/>
                <w:sz w:val="14"/>
              </w:rPr>
              <w:t>22.0</w:t>
            </w:r>
          </w:p>
        </w:tc>
        <w:tc>
          <w:tcPr>
            <w:tcW w:w="899" w:type="dxa"/>
            <w:shd w:val="clear" w:color="auto" w:fill="E6E7E8"/>
          </w:tcPr>
          <w:p>
            <w:pPr>
              <w:pStyle w:val="TableParagraph"/>
              <w:spacing w:before="44"/>
              <w:ind w:right="56"/>
              <w:jc w:val="right"/>
              <w:rPr>
                <w:rFonts w:ascii="TT Norms Pro Light"/>
                <w:b w:val="0"/>
                <w:sz w:val="14"/>
              </w:rPr>
            </w:pPr>
            <w:r>
              <w:rPr>
                <w:rFonts w:ascii="TT Norms Pro Light"/>
                <w:b w:val="0"/>
                <w:spacing w:val="-4"/>
                <w:sz w:val="14"/>
              </w:rPr>
              <w:t>27.8</w:t>
            </w:r>
          </w:p>
        </w:tc>
        <w:tc>
          <w:tcPr>
            <w:tcW w:w="899" w:type="dxa"/>
          </w:tcPr>
          <w:p>
            <w:pPr>
              <w:pStyle w:val="TableParagraph"/>
              <w:spacing w:before="44"/>
              <w:ind w:right="56"/>
              <w:jc w:val="right"/>
              <w:rPr>
                <w:rFonts w:ascii="TT Norms Pro Light"/>
                <w:b w:val="0"/>
                <w:sz w:val="14"/>
              </w:rPr>
            </w:pPr>
            <w:r>
              <w:rPr>
                <w:rFonts w:ascii="TT Norms Pro Light"/>
                <w:b w:val="0"/>
                <w:spacing w:val="-4"/>
                <w:sz w:val="14"/>
              </w:rPr>
              <w:t>30.8</w:t>
            </w:r>
          </w:p>
        </w:tc>
        <w:tc>
          <w:tcPr>
            <w:tcW w:w="899" w:type="dxa"/>
            <w:shd w:val="clear" w:color="auto" w:fill="E6E7E8"/>
          </w:tcPr>
          <w:p>
            <w:pPr>
              <w:pStyle w:val="TableParagraph"/>
              <w:spacing w:before="44"/>
              <w:ind w:right="56"/>
              <w:jc w:val="right"/>
              <w:rPr>
                <w:rFonts w:ascii="TT Norms Pro Light"/>
                <w:b w:val="0"/>
                <w:sz w:val="14"/>
              </w:rPr>
            </w:pPr>
            <w:r>
              <w:rPr>
                <w:rFonts w:ascii="TT Norms Pro Light"/>
                <w:b w:val="0"/>
                <w:spacing w:val="-4"/>
                <w:sz w:val="14"/>
              </w:rPr>
              <w:t>20.2</w:t>
            </w:r>
          </w:p>
        </w:tc>
        <w:tc>
          <w:tcPr>
            <w:tcW w:w="899" w:type="dxa"/>
          </w:tcPr>
          <w:p>
            <w:pPr>
              <w:pStyle w:val="TableParagraph"/>
              <w:spacing w:before="44"/>
              <w:ind w:right="56"/>
              <w:jc w:val="right"/>
              <w:rPr>
                <w:rFonts w:ascii="TT Norms Pro Light"/>
                <w:b w:val="0"/>
                <w:sz w:val="14"/>
              </w:rPr>
            </w:pPr>
            <w:r>
              <w:rPr>
                <w:rFonts w:ascii="TT Norms Pro Light"/>
                <w:b w:val="0"/>
                <w:spacing w:val="-4"/>
                <w:sz w:val="14"/>
              </w:rPr>
              <w:t>24.5</w:t>
            </w:r>
          </w:p>
        </w:tc>
      </w:tr>
      <w:tr>
        <w:trPr>
          <w:trHeight w:val="238" w:hRule="atLeast"/>
        </w:trPr>
        <w:tc>
          <w:tcPr>
            <w:tcW w:w="3389" w:type="dxa"/>
            <w:shd w:val="clear" w:color="auto" w:fill="E6E7E8"/>
          </w:tcPr>
          <w:p>
            <w:pPr>
              <w:pStyle w:val="TableParagraph"/>
              <w:spacing w:before="46"/>
              <w:ind w:left="85"/>
              <w:rPr>
                <w:rFonts w:ascii="TT Norms Pro"/>
                <w:sz w:val="14"/>
              </w:rPr>
            </w:pPr>
            <w:r>
              <w:rPr>
                <w:rFonts w:ascii="TT Norms Pro"/>
                <w:sz w:val="14"/>
              </w:rPr>
              <w:t>Postgraduate</w:t>
            </w:r>
            <w:r>
              <w:rPr>
                <w:rFonts w:ascii="TT Norms Pro"/>
                <w:spacing w:val="13"/>
                <w:sz w:val="14"/>
              </w:rPr>
              <w:t> </w:t>
            </w:r>
            <w:r>
              <w:rPr>
                <w:rFonts w:ascii="TT Norms Pro"/>
                <w:spacing w:val="-2"/>
                <w:sz w:val="14"/>
              </w:rPr>
              <w:t>coursework</w:t>
            </w:r>
          </w:p>
        </w:tc>
        <w:tc>
          <w:tcPr>
            <w:tcW w:w="899" w:type="dxa"/>
          </w:tcPr>
          <w:p>
            <w:pPr>
              <w:pStyle w:val="TableParagraph"/>
              <w:spacing w:before="46"/>
              <w:ind w:right="55"/>
              <w:jc w:val="right"/>
              <w:rPr>
                <w:rFonts w:ascii="TT Norms Pro Light"/>
                <w:b w:val="0"/>
                <w:sz w:val="14"/>
              </w:rPr>
            </w:pPr>
            <w:r>
              <w:rPr>
                <w:rFonts w:ascii="TT Norms Pro Light"/>
                <w:b w:val="0"/>
                <w:spacing w:val="-4"/>
                <w:sz w:val="14"/>
              </w:rPr>
              <w:t>15.5</w:t>
            </w:r>
          </w:p>
        </w:tc>
        <w:tc>
          <w:tcPr>
            <w:tcW w:w="899" w:type="dxa"/>
            <w:shd w:val="clear" w:color="auto" w:fill="E6E7E8"/>
          </w:tcPr>
          <w:p>
            <w:pPr>
              <w:pStyle w:val="TableParagraph"/>
              <w:spacing w:before="46"/>
              <w:ind w:right="55"/>
              <w:jc w:val="right"/>
              <w:rPr>
                <w:rFonts w:ascii="TT Norms Pro Light"/>
                <w:b w:val="0"/>
                <w:sz w:val="14"/>
              </w:rPr>
            </w:pPr>
            <w:r>
              <w:rPr>
                <w:rFonts w:ascii="TT Norms Pro Light"/>
                <w:b w:val="0"/>
                <w:spacing w:val="-4"/>
                <w:sz w:val="14"/>
              </w:rPr>
              <w:t>10.1</w:t>
            </w:r>
          </w:p>
        </w:tc>
        <w:tc>
          <w:tcPr>
            <w:tcW w:w="899" w:type="dxa"/>
          </w:tcPr>
          <w:p>
            <w:pPr>
              <w:pStyle w:val="TableParagraph"/>
              <w:spacing w:before="46"/>
              <w:ind w:right="55"/>
              <w:jc w:val="right"/>
              <w:rPr>
                <w:rFonts w:ascii="TT Norms Pro Light"/>
                <w:b w:val="0"/>
                <w:sz w:val="14"/>
              </w:rPr>
            </w:pPr>
            <w:r>
              <w:rPr>
                <w:rFonts w:ascii="TT Norms Pro Light"/>
                <w:b w:val="0"/>
                <w:spacing w:val="-5"/>
                <w:sz w:val="14"/>
              </w:rPr>
              <w:t>6.2</w:t>
            </w:r>
          </w:p>
        </w:tc>
        <w:tc>
          <w:tcPr>
            <w:tcW w:w="899" w:type="dxa"/>
            <w:shd w:val="clear" w:color="auto" w:fill="E6E7E8"/>
          </w:tcPr>
          <w:p>
            <w:pPr>
              <w:pStyle w:val="TableParagraph"/>
              <w:spacing w:before="46"/>
              <w:ind w:right="55"/>
              <w:jc w:val="right"/>
              <w:rPr>
                <w:rFonts w:ascii="TT Norms Pro Light"/>
                <w:b w:val="0"/>
                <w:sz w:val="14"/>
              </w:rPr>
            </w:pPr>
            <w:r>
              <w:rPr>
                <w:rFonts w:ascii="TT Norms Pro Light"/>
                <w:b w:val="0"/>
                <w:spacing w:val="-5"/>
                <w:sz w:val="14"/>
              </w:rPr>
              <w:t>3.0</w:t>
            </w:r>
          </w:p>
        </w:tc>
        <w:tc>
          <w:tcPr>
            <w:tcW w:w="899" w:type="dxa"/>
          </w:tcPr>
          <w:p>
            <w:pPr>
              <w:pStyle w:val="TableParagraph"/>
              <w:spacing w:before="46"/>
              <w:ind w:right="55"/>
              <w:jc w:val="right"/>
              <w:rPr>
                <w:rFonts w:ascii="TT Norms Pro Light"/>
                <w:b w:val="0"/>
                <w:sz w:val="14"/>
              </w:rPr>
            </w:pPr>
            <w:r>
              <w:rPr>
                <w:rFonts w:ascii="TT Norms Pro Light"/>
                <w:b w:val="0"/>
                <w:spacing w:val="-5"/>
                <w:sz w:val="14"/>
              </w:rPr>
              <w:t>1.0</w:t>
            </w:r>
          </w:p>
        </w:tc>
        <w:tc>
          <w:tcPr>
            <w:tcW w:w="899" w:type="dxa"/>
            <w:shd w:val="clear" w:color="auto" w:fill="E6E7E8"/>
          </w:tcPr>
          <w:p>
            <w:pPr>
              <w:pStyle w:val="TableParagraph"/>
              <w:spacing w:before="46"/>
              <w:ind w:right="55"/>
              <w:jc w:val="right"/>
              <w:rPr>
                <w:rFonts w:ascii="TT Norms Pro Light"/>
                <w:b w:val="0"/>
                <w:sz w:val="14"/>
              </w:rPr>
            </w:pPr>
            <w:r>
              <w:rPr>
                <w:rFonts w:ascii="TT Norms Pro Light"/>
                <w:b w:val="0"/>
                <w:spacing w:val="-5"/>
                <w:sz w:val="14"/>
              </w:rPr>
              <w:t>0.0</w:t>
            </w:r>
          </w:p>
        </w:tc>
        <w:tc>
          <w:tcPr>
            <w:tcW w:w="899" w:type="dxa"/>
          </w:tcPr>
          <w:p>
            <w:pPr>
              <w:pStyle w:val="TableParagraph"/>
              <w:spacing w:before="46"/>
              <w:ind w:right="55"/>
              <w:jc w:val="right"/>
              <w:rPr>
                <w:rFonts w:ascii="TT Norms Pro Light"/>
                <w:b w:val="0"/>
                <w:sz w:val="14"/>
              </w:rPr>
            </w:pPr>
            <w:r>
              <w:rPr>
                <w:rFonts w:ascii="TT Norms Pro Light"/>
                <w:b w:val="0"/>
                <w:spacing w:val="-5"/>
                <w:sz w:val="14"/>
              </w:rPr>
              <w:t>0.0</w:t>
            </w:r>
          </w:p>
        </w:tc>
      </w:tr>
      <w:tr>
        <w:trPr>
          <w:trHeight w:val="238" w:hRule="atLeast"/>
        </w:trPr>
        <w:tc>
          <w:tcPr>
            <w:tcW w:w="3389" w:type="dxa"/>
            <w:shd w:val="clear" w:color="auto" w:fill="E6E7E8"/>
          </w:tcPr>
          <w:p>
            <w:pPr>
              <w:pStyle w:val="TableParagraph"/>
              <w:spacing w:before="46"/>
              <w:ind w:left="85"/>
              <w:rPr>
                <w:rFonts w:ascii="TT Norms Pro"/>
                <w:sz w:val="14"/>
              </w:rPr>
            </w:pPr>
            <w:r>
              <w:rPr>
                <w:rFonts w:ascii="TT Norms Pro"/>
                <w:spacing w:val="-2"/>
                <w:sz w:val="14"/>
              </w:rPr>
              <w:t>Undergraduate</w:t>
            </w:r>
          </w:p>
        </w:tc>
        <w:tc>
          <w:tcPr>
            <w:tcW w:w="899" w:type="dxa"/>
          </w:tcPr>
          <w:p>
            <w:pPr>
              <w:pStyle w:val="TableParagraph"/>
              <w:spacing w:before="46"/>
              <w:ind w:right="55"/>
              <w:jc w:val="right"/>
              <w:rPr>
                <w:rFonts w:ascii="TT Norms Pro Light"/>
                <w:b w:val="0"/>
                <w:sz w:val="14"/>
              </w:rPr>
            </w:pPr>
            <w:r>
              <w:rPr>
                <w:rFonts w:ascii="TT Norms Pro Light"/>
                <w:b w:val="0"/>
                <w:spacing w:val="-2"/>
                <w:sz w:val="14"/>
              </w:rPr>
              <w:t>695.1</w:t>
            </w:r>
          </w:p>
        </w:tc>
        <w:tc>
          <w:tcPr>
            <w:tcW w:w="899" w:type="dxa"/>
            <w:shd w:val="clear" w:color="auto" w:fill="E6E7E8"/>
          </w:tcPr>
          <w:p>
            <w:pPr>
              <w:pStyle w:val="TableParagraph"/>
              <w:spacing w:before="46"/>
              <w:ind w:right="55"/>
              <w:jc w:val="right"/>
              <w:rPr>
                <w:rFonts w:ascii="TT Norms Pro Light"/>
                <w:b w:val="0"/>
                <w:sz w:val="14"/>
              </w:rPr>
            </w:pPr>
            <w:r>
              <w:rPr>
                <w:rFonts w:ascii="TT Norms Pro Light"/>
                <w:b w:val="0"/>
                <w:spacing w:val="-2"/>
                <w:sz w:val="14"/>
              </w:rPr>
              <w:t>520.4</w:t>
            </w:r>
          </w:p>
        </w:tc>
        <w:tc>
          <w:tcPr>
            <w:tcW w:w="899" w:type="dxa"/>
          </w:tcPr>
          <w:p>
            <w:pPr>
              <w:pStyle w:val="TableParagraph"/>
              <w:spacing w:before="46"/>
              <w:ind w:right="55"/>
              <w:jc w:val="right"/>
              <w:rPr>
                <w:rFonts w:ascii="TT Norms Pro Light"/>
                <w:b w:val="0"/>
                <w:sz w:val="14"/>
              </w:rPr>
            </w:pPr>
            <w:r>
              <w:rPr>
                <w:rFonts w:ascii="TT Norms Pro Light"/>
                <w:b w:val="0"/>
                <w:spacing w:val="-4"/>
                <w:sz w:val="14"/>
              </w:rPr>
              <w:t>320.5</w:t>
            </w:r>
          </w:p>
        </w:tc>
        <w:tc>
          <w:tcPr>
            <w:tcW w:w="899" w:type="dxa"/>
            <w:shd w:val="clear" w:color="auto" w:fill="E6E7E8"/>
          </w:tcPr>
          <w:p>
            <w:pPr>
              <w:pStyle w:val="TableParagraph"/>
              <w:spacing w:before="46"/>
              <w:ind w:right="56"/>
              <w:jc w:val="right"/>
              <w:rPr>
                <w:rFonts w:ascii="TT Norms Pro Light"/>
                <w:b w:val="0"/>
                <w:sz w:val="14"/>
              </w:rPr>
            </w:pPr>
            <w:r>
              <w:rPr>
                <w:rFonts w:ascii="TT Norms Pro Light"/>
                <w:b w:val="0"/>
                <w:spacing w:val="-2"/>
                <w:sz w:val="14"/>
              </w:rPr>
              <w:t>187.5</w:t>
            </w:r>
          </w:p>
        </w:tc>
        <w:tc>
          <w:tcPr>
            <w:tcW w:w="899" w:type="dxa"/>
          </w:tcPr>
          <w:p>
            <w:pPr>
              <w:pStyle w:val="TableParagraph"/>
              <w:spacing w:before="46"/>
              <w:ind w:right="60"/>
              <w:jc w:val="right"/>
              <w:rPr>
                <w:rFonts w:ascii="TT Norms Pro Light"/>
                <w:b w:val="0"/>
                <w:sz w:val="14"/>
              </w:rPr>
            </w:pPr>
            <w:r>
              <w:rPr>
                <w:rFonts w:ascii="TT Norms Pro Light"/>
                <w:b w:val="0"/>
                <w:spacing w:val="-4"/>
                <w:sz w:val="14"/>
              </w:rPr>
              <w:t>56.9</w:t>
            </w:r>
          </w:p>
        </w:tc>
        <w:tc>
          <w:tcPr>
            <w:tcW w:w="899" w:type="dxa"/>
            <w:shd w:val="clear" w:color="auto" w:fill="E6E7E8"/>
          </w:tcPr>
          <w:p>
            <w:pPr>
              <w:pStyle w:val="TableParagraph"/>
              <w:spacing w:before="46"/>
              <w:ind w:right="56"/>
              <w:jc w:val="right"/>
              <w:rPr>
                <w:rFonts w:ascii="TT Norms Pro Light"/>
                <w:b w:val="0"/>
                <w:sz w:val="14"/>
              </w:rPr>
            </w:pPr>
            <w:r>
              <w:rPr>
                <w:rFonts w:ascii="TT Norms Pro Light"/>
                <w:b w:val="0"/>
                <w:spacing w:val="-4"/>
                <w:sz w:val="14"/>
              </w:rPr>
              <w:t>38.1</w:t>
            </w:r>
          </w:p>
        </w:tc>
        <w:tc>
          <w:tcPr>
            <w:tcW w:w="899" w:type="dxa"/>
          </w:tcPr>
          <w:p>
            <w:pPr>
              <w:pStyle w:val="TableParagraph"/>
              <w:spacing w:before="46"/>
              <w:ind w:right="61"/>
              <w:jc w:val="right"/>
              <w:rPr>
                <w:rFonts w:ascii="TT Norms Pro Light"/>
                <w:b w:val="0"/>
                <w:sz w:val="14"/>
              </w:rPr>
            </w:pPr>
            <w:r>
              <w:rPr>
                <w:rFonts w:ascii="TT Norms Pro Light"/>
                <w:b w:val="0"/>
                <w:spacing w:val="-4"/>
                <w:sz w:val="14"/>
              </w:rPr>
              <w:t>35.9</w:t>
            </w:r>
          </w:p>
        </w:tc>
      </w:tr>
      <w:tr>
        <w:trPr>
          <w:trHeight w:val="236" w:hRule="atLeast"/>
        </w:trPr>
        <w:tc>
          <w:tcPr>
            <w:tcW w:w="3389" w:type="dxa"/>
            <w:shd w:val="clear" w:color="auto" w:fill="E6E7E8"/>
          </w:tcPr>
          <w:p>
            <w:pPr>
              <w:pStyle w:val="TableParagraph"/>
              <w:spacing w:before="46"/>
              <w:ind w:left="85"/>
              <w:rPr>
                <w:rFonts w:ascii="TT Norms Pro"/>
                <w:sz w:val="14"/>
              </w:rPr>
            </w:pPr>
            <w:r>
              <w:rPr>
                <w:rFonts w:ascii="TT Norms Pro"/>
                <w:sz w:val="14"/>
              </w:rPr>
              <w:t>Sub-</w:t>
            </w:r>
            <w:r>
              <w:rPr>
                <w:rFonts w:ascii="TT Norms Pro"/>
                <w:spacing w:val="-2"/>
                <w:sz w:val="14"/>
              </w:rPr>
              <w:t>total</w:t>
            </w:r>
          </w:p>
        </w:tc>
        <w:tc>
          <w:tcPr>
            <w:tcW w:w="899" w:type="dxa"/>
          </w:tcPr>
          <w:p>
            <w:pPr>
              <w:pStyle w:val="TableParagraph"/>
              <w:spacing w:before="46"/>
              <w:ind w:right="55"/>
              <w:jc w:val="right"/>
              <w:rPr>
                <w:rFonts w:ascii="TT Norms Pro Light"/>
                <w:b w:val="0"/>
                <w:sz w:val="14"/>
              </w:rPr>
            </w:pPr>
            <w:r>
              <w:rPr>
                <w:rFonts w:ascii="TT Norms Pro Light"/>
                <w:b w:val="0"/>
                <w:spacing w:val="-4"/>
                <w:sz w:val="14"/>
              </w:rPr>
              <w:t>739.1</w:t>
            </w:r>
          </w:p>
        </w:tc>
        <w:tc>
          <w:tcPr>
            <w:tcW w:w="899" w:type="dxa"/>
            <w:shd w:val="clear" w:color="auto" w:fill="E6E7E8"/>
          </w:tcPr>
          <w:p>
            <w:pPr>
              <w:pStyle w:val="TableParagraph"/>
              <w:spacing w:before="46"/>
              <w:ind w:right="55"/>
              <w:jc w:val="right"/>
              <w:rPr>
                <w:rFonts w:ascii="TT Norms Pro Light"/>
                <w:b w:val="0"/>
                <w:sz w:val="14"/>
              </w:rPr>
            </w:pPr>
            <w:r>
              <w:rPr>
                <w:rFonts w:ascii="TT Norms Pro Light"/>
                <w:b w:val="0"/>
                <w:spacing w:val="-2"/>
                <w:sz w:val="14"/>
              </w:rPr>
              <w:t>560.2</w:t>
            </w:r>
          </w:p>
        </w:tc>
        <w:tc>
          <w:tcPr>
            <w:tcW w:w="899" w:type="dxa"/>
          </w:tcPr>
          <w:p>
            <w:pPr>
              <w:pStyle w:val="TableParagraph"/>
              <w:spacing w:before="46"/>
              <w:ind w:right="51"/>
              <w:jc w:val="right"/>
              <w:rPr>
                <w:rFonts w:ascii="TT Norms Pro Light"/>
                <w:b w:val="0"/>
                <w:sz w:val="14"/>
              </w:rPr>
            </w:pPr>
            <w:r>
              <w:rPr>
                <w:rFonts w:ascii="TT Norms Pro Light"/>
                <w:b w:val="0"/>
                <w:spacing w:val="-2"/>
                <w:sz w:val="14"/>
              </w:rPr>
              <w:t>348.8</w:t>
            </w:r>
          </w:p>
        </w:tc>
        <w:tc>
          <w:tcPr>
            <w:tcW w:w="899" w:type="dxa"/>
            <w:shd w:val="clear" w:color="auto" w:fill="E6E7E8"/>
          </w:tcPr>
          <w:p>
            <w:pPr>
              <w:pStyle w:val="TableParagraph"/>
              <w:spacing w:before="46"/>
              <w:ind w:right="57"/>
              <w:jc w:val="right"/>
              <w:rPr>
                <w:rFonts w:ascii="TT Norms Pro Light"/>
                <w:b w:val="0"/>
                <w:sz w:val="14"/>
              </w:rPr>
            </w:pPr>
            <w:r>
              <w:rPr>
                <w:rFonts w:ascii="TT Norms Pro Light"/>
                <w:b w:val="0"/>
                <w:spacing w:val="-4"/>
                <w:sz w:val="14"/>
              </w:rPr>
              <w:t>218.2</w:t>
            </w:r>
          </w:p>
        </w:tc>
        <w:tc>
          <w:tcPr>
            <w:tcW w:w="899" w:type="dxa"/>
          </w:tcPr>
          <w:p>
            <w:pPr>
              <w:pStyle w:val="TableParagraph"/>
              <w:spacing w:before="46"/>
              <w:ind w:right="56"/>
              <w:jc w:val="right"/>
              <w:rPr>
                <w:rFonts w:ascii="TT Norms Pro Light"/>
                <w:b w:val="0"/>
                <w:sz w:val="14"/>
              </w:rPr>
            </w:pPr>
            <w:r>
              <w:rPr>
                <w:rFonts w:ascii="TT Norms Pro Light"/>
                <w:b w:val="0"/>
                <w:spacing w:val="-4"/>
                <w:sz w:val="14"/>
              </w:rPr>
              <w:t>88.6</w:t>
            </w:r>
          </w:p>
        </w:tc>
        <w:tc>
          <w:tcPr>
            <w:tcW w:w="899" w:type="dxa"/>
            <w:shd w:val="clear" w:color="auto" w:fill="E6E7E8"/>
          </w:tcPr>
          <w:p>
            <w:pPr>
              <w:pStyle w:val="TableParagraph"/>
              <w:spacing w:before="46"/>
              <w:ind w:right="56"/>
              <w:jc w:val="right"/>
              <w:rPr>
                <w:rFonts w:ascii="TT Norms Pro Light"/>
                <w:b w:val="0"/>
                <w:sz w:val="14"/>
              </w:rPr>
            </w:pPr>
            <w:r>
              <w:rPr>
                <w:rFonts w:ascii="TT Norms Pro Light"/>
                <w:b w:val="0"/>
                <w:spacing w:val="-4"/>
                <w:sz w:val="14"/>
              </w:rPr>
              <w:t>58.4</w:t>
            </w:r>
          </w:p>
        </w:tc>
        <w:tc>
          <w:tcPr>
            <w:tcW w:w="899" w:type="dxa"/>
          </w:tcPr>
          <w:p>
            <w:pPr>
              <w:pStyle w:val="TableParagraph"/>
              <w:spacing w:before="46"/>
              <w:ind w:right="56"/>
              <w:jc w:val="right"/>
              <w:rPr>
                <w:rFonts w:ascii="TT Norms Pro Light"/>
                <w:b w:val="0"/>
                <w:sz w:val="14"/>
              </w:rPr>
            </w:pPr>
            <w:r>
              <w:rPr>
                <w:rFonts w:ascii="TT Norms Pro Light"/>
                <w:b w:val="0"/>
                <w:spacing w:val="-4"/>
                <w:sz w:val="14"/>
              </w:rPr>
              <w:t>60.4</w:t>
            </w:r>
          </w:p>
        </w:tc>
      </w:tr>
      <w:tr>
        <w:trPr>
          <w:trHeight w:val="240" w:hRule="atLeast"/>
        </w:trPr>
        <w:tc>
          <w:tcPr>
            <w:tcW w:w="3389" w:type="dxa"/>
            <w:tcBorders>
              <w:bottom w:val="single" w:sz="2" w:space="0" w:color="000000"/>
            </w:tcBorders>
            <w:shd w:val="clear" w:color="auto" w:fill="E6E7E8"/>
          </w:tcPr>
          <w:p>
            <w:pPr>
              <w:pStyle w:val="TableParagraph"/>
              <w:spacing w:before="39"/>
              <w:ind w:left="85"/>
              <w:rPr>
                <w:rFonts w:ascii="Verdana"/>
                <w:i/>
                <w:sz w:val="14"/>
              </w:rPr>
            </w:pPr>
            <w:r>
              <w:rPr>
                <w:rFonts w:ascii="Verdana"/>
                <w:i/>
                <w:w w:val="85"/>
                <w:sz w:val="14"/>
              </w:rPr>
              <w:t>%</w:t>
            </w:r>
            <w:r>
              <w:rPr>
                <w:rFonts w:ascii="Verdana"/>
                <w:i/>
                <w:spacing w:val="-7"/>
                <w:w w:val="85"/>
                <w:sz w:val="14"/>
              </w:rPr>
              <w:t> </w:t>
            </w:r>
            <w:r>
              <w:rPr>
                <w:rFonts w:ascii="Verdana"/>
                <w:i/>
                <w:w w:val="85"/>
                <w:sz w:val="14"/>
              </w:rPr>
              <w:t>International</w:t>
            </w:r>
            <w:r>
              <w:rPr>
                <w:rFonts w:ascii="Verdana"/>
                <w:i/>
                <w:spacing w:val="-6"/>
                <w:w w:val="85"/>
                <w:sz w:val="14"/>
              </w:rPr>
              <w:t> </w:t>
            </w:r>
            <w:r>
              <w:rPr>
                <w:rFonts w:ascii="Verdana"/>
                <w:i/>
                <w:w w:val="85"/>
                <w:sz w:val="14"/>
              </w:rPr>
              <w:t>-</w:t>
            </w:r>
            <w:r>
              <w:rPr>
                <w:rFonts w:ascii="Verdana"/>
                <w:i/>
                <w:spacing w:val="-6"/>
                <w:w w:val="85"/>
                <w:sz w:val="14"/>
              </w:rPr>
              <w:t> </w:t>
            </w:r>
            <w:r>
              <w:rPr>
                <w:rFonts w:ascii="Verdana"/>
                <w:i/>
                <w:spacing w:val="-2"/>
                <w:w w:val="85"/>
                <w:sz w:val="14"/>
              </w:rPr>
              <w:t>offshore</w:t>
            </w:r>
          </w:p>
        </w:tc>
        <w:tc>
          <w:tcPr>
            <w:tcW w:w="899" w:type="dxa"/>
            <w:tcBorders>
              <w:bottom w:val="single" w:sz="2" w:space="0" w:color="000000"/>
            </w:tcBorders>
          </w:tcPr>
          <w:p>
            <w:pPr>
              <w:pStyle w:val="TableParagraph"/>
              <w:spacing w:before="47"/>
              <w:ind w:right="55"/>
              <w:jc w:val="right"/>
              <w:rPr>
                <w:rFonts w:ascii="TT Norms Pro Light"/>
                <w:b w:val="0"/>
                <w:sz w:val="14"/>
              </w:rPr>
            </w:pPr>
            <w:r>
              <w:rPr>
                <w:rFonts w:ascii="TT Norms Pro Light"/>
                <w:b w:val="0"/>
                <w:spacing w:val="-5"/>
                <w:sz w:val="14"/>
              </w:rPr>
              <w:t>3.5</w:t>
            </w:r>
          </w:p>
        </w:tc>
        <w:tc>
          <w:tcPr>
            <w:tcW w:w="899" w:type="dxa"/>
            <w:tcBorders>
              <w:bottom w:val="single" w:sz="2" w:space="0" w:color="000000"/>
            </w:tcBorders>
            <w:shd w:val="clear" w:color="auto" w:fill="E6E7E8"/>
          </w:tcPr>
          <w:p>
            <w:pPr>
              <w:pStyle w:val="TableParagraph"/>
              <w:spacing w:before="47"/>
              <w:ind w:right="55"/>
              <w:jc w:val="right"/>
              <w:rPr>
                <w:rFonts w:ascii="TT Norms Pro Light"/>
                <w:b w:val="0"/>
                <w:sz w:val="14"/>
              </w:rPr>
            </w:pPr>
            <w:r>
              <w:rPr>
                <w:rFonts w:ascii="TT Norms Pro Light"/>
                <w:b w:val="0"/>
                <w:spacing w:val="-5"/>
                <w:sz w:val="14"/>
              </w:rPr>
              <w:t>2.8</w:t>
            </w:r>
          </w:p>
        </w:tc>
        <w:tc>
          <w:tcPr>
            <w:tcW w:w="899" w:type="dxa"/>
            <w:tcBorders>
              <w:bottom w:val="single" w:sz="2" w:space="0" w:color="000000"/>
            </w:tcBorders>
          </w:tcPr>
          <w:p>
            <w:pPr>
              <w:pStyle w:val="TableParagraph"/>
              <w:spacing w:before="47"/>
              <w:ind w:right="55"/>
              <w:jc w:val="right"/>
              <w:rPr>
                <w:rFonts w:ascii="TT Norms Pro Light"/>
                <w:b w:val="0"/>
                <w:sz w:val="14"/>
              </w:rPr>
            </w:pPr>
            <w:r>
              <w:rPr>
                <w:rFonts w:ascii="TT Norms Pro Light"/>
                <w:b w:val="0"/>
                <w:spacing w:val="-5"/>
                <w:sz w:val="14"/>
              </w:rPr>
              <w:t>1.8</w:t>
            </w:r>
          </w:p>
        </w:tc>
        <w:tc>
          <w:tcPr>
            <w:tcW w:w="899" w:type="dxa"/>
            <w:tcBorders>
              <w:bottom w:val="single" w:sz="2" w:space="0" w:color="000000"/>
            </w:tcBorders>
            <w:shd w:val="clear" w:color="auto" w:fill="E6E7E8"/>
          </w:tcPr>
          <w:p>
            <w:pPr>
              <w:pStyle w:val="TableParagraph"/>
              <w:spacing w:before="47"/>
              <w:ind w:right="56"/>
              <w:jc w:val="right"/>
              <w:rPr>
                <w:rFonts w:ascii="TT Norms Pro Light"/>
                <w:b w:val="0"/>
                <w:sz w:val="14"/>
              </w:rPr>
            </w:pPr>
            <w:r>
              <w:rPr>
                <w:rFonts w:ascii="TT Norms Pro Light"/>
                <w:b w:val="0"/>
                <w:spacing w:val="-5"/>
                <w:sz w:val="14"/>
              </w:rPr>
              <w:t>1.1</w:t>
            </w:r>
          </w:p>
        </w:tc>
        <w:tc>
          <w:tcPr>
            <w:tcW w:w="899" w:type="dxa"/>
            <w:tcBorders>
              <w:bottom w:val="single" w:sz="2" w:space="0" w:color="000000"/>
            </w:tcBorders>
          </w:tcPr>
          <w:p>
            <w:pPr>
              <w:pStyle w:val="TableParagraph"/>
              <w:spacing w:before="47"/>
              <w:ind w:right="56"/>
              <w:jc w:val="right"/>
              <w:rPr>
                <w:rFonts w:ascii="TT Norms Pro Light"/>
                <w:b w:val="0"/>
                <w:sz w:val="14"/>
              </w:rPr>
            </w:pPr>
            <w:r>
              <w:rPr>
                <w:rFonts w:ascii="TT Norms Pro Light"/>
                <w:b w:val="0"/>
                <w:spacing w:val="-5"/>
                <w:sz w:val="14"/>
              </w:rPr>
              <w:t>0.5</w:t>
            </w:r>
          </w:p>
        </w:tc>
        <w:tc>
          <w:tcPr>
            <w:tcW w:w="899" w:type="dxa"/>
            <w:tcBorders>
              <w:bottom w:val="single" w:sz="2" w:space="0" w:color="000000"/>
            </w:tcBorders>
            <w:shd w:val="clear" w:color="auto" w:fill="E6E7E8"/>
          </w:tcPr>
          <w:p>
            <w:pPr>
              <w:pStyle w:val="TableParagraph"/>
              <w:spacing w:before="47"/>
              <w:ind w:right="56"/>
              <w:jc w:val="right"/>
              <w:rPr>
                <w:rFonts w:ascii="TT Norms Pro Light"/>
                <w:b w:val="0"/>
                <w:sz w:val="14"/>
              </w:rPr>
            </w:pPr>
            <w:r>
              <w:rPr>
                <w:rFonts w:ascii="TT Norms Pro Light"/>
                <w:b w:val="0"/>
                <w:spacing w:val="-5"/>
                <w:sz w:val="14"/>
              </w:rPr>
              <w:t>0.3</w:t>
            </w:r>
          </w:p>
        </w:tc>
        <w:tc>
          <w:tcPr>
            <w:tcW w:w="899" w:type="dxa"/>
            <w:tcBorders>
              <w:bottom w:val="single" w:sz="2" w:space="0" w:color="000000"/>
            </w:tcBorders>
          </w:tcPr>
          <w:p>
            <w:pPr>
              <w:pStyle w:val="TableParagraph"/>
              <w:spacing w:before="47"/>
              <w:ind w:right="56"/>
              <w:jc w:val="right"/>
              <w:rPr>
                <w:rFonts w:ascii="TT Norms Pro Light"/>
                <w:b w:val="0"/>
                <w:sz w:val="14"/>
              </w:rPr>
            </w:pPr>
            <w:r>
              <w:rPr>
                <w:rFonts w:ascii="TT Norms Pro Light"/>
                <w:b w:val="0"/>
                <w:spacing w:val="-5"/>
                <w:sz w:val="14"/>
              </w:rPr>
              <w:t>0.3</w:t>
            </w:r>
          </w:p>
        </w:tc>
      </w:tr>
      <w:tr>
        <w:trPr>
          <w:trHeight w:val="233" w:hRule="atLeast"/>
        </w:trPr>
        <w:tc>
          <w:tcPr>
            <w:tcW w:w="3389" w:type="dxa"/>
            <w:tcBorders>
              <w:top w:val="single" w:sz="2" w:space="0" w:color="000000"/>
            </w:tcBorders>
            <w:shd w:val="clear" w:color="auto" w:fill="E6E7E8"/>
          </w:tcPr>
          <w:p>
            <w:pPr>
              <w:pStyle w:val="TableParagraph"/>
              <w:spacing w:before="40"/>
              <w:ind w:left="85"/>
              <w:rPr>
                <w:rFonts w:ascii="TT Norms Pro"/>
                <w:b/>
                <w:sz w:val="14"/>
              </w:rPr>
            </w:pPr>
            <w:r>
              <w:rPr>
                <w:rFonts w:ascii="TT Norms Pro"/>
                <w:b/>
                <w:sz w:val="14"/>
              </w:rPr>
              <w:t>INTERNATIONAL</w:t>
            </w:r>
            <w:r>
              <w:rPr>
                <w:rFonts w:ascii="TT Norms Pro"/>
                <w:b/>
                <w:spacing w:val="9"/>
                <w:sz w:val="14"/>
              </w:rPr>
              <w:t> </w:t>
            </w:r>
            <w:r>
              <w:rPr>
                <w:rFonts w:ascii="TT Norms Pro"/>
                <w:b/>
                <w:sz w:val="14"/>
              </w:rPr>
              <w:t>-</w:t>
            </w:r>
            <w:r>
              <w:rPr>
                <w:rFonts w:ascii="TT Norms Pro"/>
                <w:b/>
                <w:spacing w:val="9"/>
                <w:sz w:val="14"/>
              </w:rPr>
              <w:t> </w:t>
            </w:r>
            <w:r>
              <w:rPr>
                <w:rFonts w:ascii="TT Norms Pro"/>
                <w:b/>
                <w:spacing w:val="-2"/>
                <w:sz w:val="14"/>
              </w:rPr>
              <w:t>ONSHORE</w:t>
            </w:r>
          </w:p>
        </w:tc>
        <w:tc>
          <w:tcPr>
            <w:tcW w:w="899" w:type="dxa"/>
            <w:tcBorders>
              <w:top w:val="single" w:sz="2" w:space="0" w:color="000000"/>
            </w:tcBorders>
          </w:tcPr>
          <w:p>
            <w:pPr>
              <w:pStyle w:val="TableParagraph"/>
              <w:rPr>
                <w:rFonts w:ascii="Times New Roman"/>
                <w:sz w:val="14"/>
              </w:rPr>
            </w:pPr>
          </w:p>
        </w:tc>
        <w:tc>
          <w:tcPr>
            <w:tcW w:w="899" w:type="dxa"/>
            <w:tcBorders>
              <w:top w:val="single" w:sz="2" w:space="0" w:color="000000"/>
            </w:tcBorders>
            <w:shd w:val="clear" w:color="auto" w:fill="E6E7E8"/>
          </w:tcPr>
          <w:p>
            <w:pPr>
              <w:pStyle w:val="TableParagraph"/>
              <w:rPr>
                <w:rFonts w:ascii="Times New Roman"/>
                <w:sz w:val="14"/>
              </w:rPr>
            </w:pPr>
          </w:p>
        </w:tc>
        <w:tc>
          <w:tcPr>
            <w:tcW w:w="899" w:type="dxa"/>
            <w:tcBorders>
              <w:top w:val="single" w:sz="2" w:space="0" w:color="000000"/>
            </w:tcBorders>
          </w:tcPr>
          <w:p>
            <w:pPr>
              <w:pStyle w:val="TableParagraph"/>
              <w:rPr>
                <w:rFonts w:ascii="Times New Roman"/>
                <w:sz w:val="14"/>
              </w:rPr>
            </w:pPr>
          </w:p>
        </w:tc>
        <w:tc>
          <w:tcPr>
            <w:tcW w:w="899" w:type="dxa"/>
            <w:tcBorders>
              <w:top w:val="single" w:sz="2" w:space="0" w:color="000000"/>
            </w:tcBorders>
            <w:shd w:val="clear" w:color="auto" w:fill="E6E7E8"/>
          </w:tcPr>
          <w:p>
            <w:pPr>
              <w:pStyle w:val="TableParagraph"/>
              <w:rPr>
                <w:rFonts w:ascii="Times New Roman"/>
                <w:sz w:val="14"/>
              </w:rPr>
            </w:pPr>
          </w:p>
        </w:tc>
        <w:tc>
          <w:tcPr>
            <w:tcW w:w="899" w:type="dxa"/>
            <w:tcBorders>
              <w:top w:val="single" w:sz="2" w:space="0" w:color="000000"/>
            </w:tcBorders>
          </w:tcPr>
          <w:p>
            <w:pPr>
              <w:pStyle w:val="TableParagraph"/>
              <w:rPr>
                <w:rFonts w:ascii="Times New Roman"/>
                <w:sz w:val="14"/>
              </w:rPr>
            </w:pPr>
          </w:p>
        </w:tc>
        <w:tc>
          <w:tcPr>
            <w:tcW w:w="899" w:type="dxa"/>
            <w:tcBorders>
              <w:top w:val="single" w:sz="2" w:space="0" w:color="000000"/>
            </w:tcBorders>
            <w:shd w:val="clear" w:color="auto" w:fill="E6E7E8"/>
          </w:tcPr>
          <w:p>
            <w:pPr>
              <w:pStyle w:val="TableParagraph"/>
              <w:rPr>
                <w:rFonts w:ascii="Times New Roman"/>
                <w:sz w:val="14"/>
              </w:rPr>
            </w:pPr>
          </w:p>
        </w:tc>
        <w:tc>
          <w:tcPr>
            <w:tcW w:w="899" w:type="dxa"/>
            <w:tcBorders>
              <w:top w:val="single" w:sz="2" w:space="0" w:color="000000"/>
            </w:tcBorders>
          </w:tcPr>
          <w:p>
            <w:pPr>
              <w:pStyle w:val="TableParagraph"/>
              <w:rPr>
                <w:rFonts w:ascii="Times New Roman"/>
                <w:sz w:val="14"/>
              </w:rPr>
            </w:pPr>
          </w:p>
        </w:tc>
      </w:tr>
      <w:tr>
        <w:trPr>
          <w:trHeight w:val="236" w:hRule="atLeast"/>
        </w:trPr>
        <w:tc>
          <w:tcPr>
            <w:tcW w:w="3389" w:type="dxa"/>
            <w:shd w:val="clear" w:color="auto" w:fill="E6E7E8"/>
          </w:tcPr>
          <w:p>
            <w:pPr>
              <w:pStyle w:val="TableParagraph"/>
              <w:spacing w:before="44"/>
              <w:ind w:left="85"/>
              <w:rPr>
                <w:rFonts w:ascii="TT Norms Pro"/>
                <w:sz w:val="14"/>
              </w:rPr>
            </w:pPr>
            <w:r>
              <w:rPr>
                <w:rFonts w:ascii="TT Norms Pro"/>
                <w:sz w:val="14"/>
              </w:rPr>
              <w:t>Higher</w:t>
            </w:r>
            <w:r>
              <w:rPr>
                <w:rFonts w:ascii="TT Norms Pro"/>
                <w:spacing w:val="8"/>
                <w:sz w:val="14"/>
              </w:rPr>
              <w:t> </w:t>
            </w:r>
            <w:r>
              <w:rPr>
                <w:rFonts w:ascii="TT Norms Pro"/>
                <w:sz w:val="14"/>
              </w:rPr>
              <w:t>degree</w:t>
            </w:r>
            <w:r>
              <w:rPr>
                <w:rFonts w:ascii="TT Norms Pro"/>
                <w:spacing w:val="11"/>
                <w:sz w:val="14"/>
              </w:rPr>
              <w:t> </w:t>
            </w:r>
            <w:r>
              <w:rPr>
                <w:rFonts w:ascii="TT Norms Pro"/>
                <w:spacing w:val="-2"/>
                <w:sz w:val="14"/>
              </w:rPr>
              <w:t>research</w:t>
            </w:r>
          </w:p>
        </w:tc>
        <w:tc>
          <w:tcPr>
            <w:tcW w:w="899" w:type="dxa"/>
          </w:tcPr>
          <w:p>
            <w:pPr>
              <w:pStyle w:val="TableParagraph"/>
              <w:spacing w:before="44"/>
              <w:ind w:right="55"/>
              <w:jc w:val="right"/>
              <w:rPr>
                <w:rFonts w:ascii="TT Norms Pro Light"/>
                <w:b w:val="0"/>
                <w:sz w:val="14"/>
              </w:rPr>
            </w:pPr>
            <w:r>
              <w:rPr>
                <w:rFonts w:ascii="TT Norms Pro Light"/>
                <w:b w:val="0"/>
                <w:spacing w:val="-2"/>
                <w:sz w:val="14"/>
              </w:rPr>
              <w:t>490.5</w:t>
            </w:r>
          </w:p>
        </w:tc>
        <w:tc>
          <w:tcPr>
            <w:tcW w:w="899" w:type="dxa"/>
            <w:shd w:val="clear" w:color="auto" w:fill="E6E7E8"/>
          </w:tcPr>
          <w:p>
            <w:pPr>
              <w:pStyle w:val="TableParagraph"/>
              <w:spacing w:before="44"/>
              <w:ind w:right="59"/>
              <w:jc w:val="right"/>
              <w:rPr>
                <w:rFonts w:ascii="TT Norms Pro Light"/>
                <w:b w:val="0"/>
                <w:sz w:val="14"/>
              </w:rPr>
            </w:pPr>
            <w:r>
              <w:rPr>
                <w:rFonts w:ascii="TT Norms Pro Light"/>
                <w:b w:val="0"/>
                <w:spacing w:val="-2"/>
                <w:sz w:val="14"/>
              </w:rPr>
              <w:t>463.9</w:t>
            </w:r>
          </w:p>
        </w:tc>
        <w:tc>
          <w:tcPr>
            <w:tcW w:w="899" w:type="dxa"/>
          </w:tcPr>
          <w:p>
            <w:pPr>
              <w:pStyle w:val="TableParagraph"/>
              <w:spacing w:before="44"/>
              <w:ind w:right="55"/>
              <w:jc w:val="right"/>
              <w:rPr>
                <w:rFonts w:ascii="TT Norms Pro Light"/>
                <w:b w:val="0"/>
                <w:sz w:val="14"/>
              </w:rPr>
            </w:pPr>
            <w:r>
              <w:rPr>
                <w:rFonts w:ascii="TT Norms Pro Light"/>
                <w:b w:val="0"/>
                <w:spacing w:val="-2"/>
                <w:sz w:val="14"/>
              </w:rPr>
              <w:t>456.4</w:t>
            </w:r>
          </w:p>
        </w:tc>
        <w:tc>
          <w:tcPr>
            <w:tcW w:w="899" w:type="dxa"/>
            <w:shd w:val="clear" w:color="auto" w:fill="E6E7E8"/>
          </w:tcPr>
          <w:p>
            <w:pPr>
              <w:pStyle w:val="TableParagraph"/>
              <w:spacing w:before="44"/>
              <w:ind w:right="55"/>
              <w:jc w:val="right"/>
              <w:rPr>
                <w:rFonts w:ascii="TT Norms Pro Light"/>
                <w:b w:val="0"/>
                <w:sz w:val="14"/>
              </w:rPr>
            </w:pPr>
            <w:r>
              <w:rPr>
                <w:rFonts w:ascii="TT Norms Pro Light"/>
                <w:b w:val="0"/>
                <w:spacing w:val="-2"/>
                <w:sz w:val="14"/>
              </w:rPr>
              <w:t>325.6</w:t>
            </w:r>
          </w:p>
        </w:tc>
        <w:tc>
          <w:tcPr>
            <w:tcW w:w="899" w:type="dxa"/>
          </w:tcPr>
          <w:p>
            <w:pPr>
              <w:pStyle w:val="TableParagraph"/>
              <w:spacing w:before="44"/>
              <w:ind w:right="56"/>
              <w:jc w:val="right"/>
              <w:rPr>
                <w:rFonts w:ascii="TT Norms Pro Light"/>
                <w:b w:val="0"/>
                <w:sz w:val="14"/>
              </w:rPr>
            </w:pPr>
            <w:r>
              <w:rPr>
                <w:rFonts w:ascii="TT Norms Pro Light"/>
                <w:b w:val="0"/>
                <w:spacing w:val="-2"/>
                <w:sz w:val="14"/>
              </w:rPr>
              <w:t>317.5</w:t>
            </w:r>
          </w:p>
        </w:tc>
        <w:tc>
          <w:tcPr>
            <w:tcW w:w="899" w:type="dxa"/>
            <w:shd w:val="clear" w:color="auto" w:fill="E6E7E8"/>
          </w:tcPr>
          <w:p>
            <w:pPr>
              <w:pStyle w:val="TableParagraph"/>
              <w:spacing w:before="44"/>
              <w:ind w:right="56"/>
              <w:jc w:val="right"/>
              <w:rPr>
                <w:rFonts w:ascii="TT Norms Pro Light"/>
                <w:b w:val="0"/>
                <w:sz w:val="14"/>
              </w:rPr>
            </w:pPr>
            <w:r>
              <w:rPr>
                <w:rFonts w:ascii="TT Norms Pro Light"/>
                <w:b w:val="0"/>
                <w:spacing w:val="-2"/>
                <w:sz w:val="14"/>
              </w:rPr>
              <w:t>325.8</w:t>
            </w:r>
          </w:p>
        </w:tc>
        <w:tc>
          <w:tcPr>
            <w:tcW w:w="899" w:type="dxa"/>
          </w:tcPr>
          <w:p>
            <w:pPr>
              <w:pStyle w:val="TableParagraph"/>
              <w:spacing w:before="44"/>
              <w:ind w:right="56"/>
              <w:jc w:val="right"/>
              <w:rPr>
                <w:rFonts w:ascii="TT Norms Pro Light"/>
                <w:b w:val="0"/>
                <w:sz w:val="14"/>
              </w:rPr>
            </w:pPr>
            <w:r>
              <w:rPr>
                <w:rFonts w:ascii="TT Norms Pro Light"/>
                <w:b w:val="0"/>
                <w:spacing w:val="-2"/>
                <w:sz w:val="14"/>
              </w:rPr>
              <w:t>360.1</w:t>
            </w:r>
          </w:p>
        </w:tc>
      </w:tr>
      <w:tr>
        <w:trPr>
          <w:trHeight w:val="238" w:hRule="atLeast"/>
        </w:trPr>
        <w:tc>
          <w:tcPr>
            <w:tcW w:w="3389" w:type="dxa"/>
            <w:shd w:val="clear" w:color="auto" w:fill="E6E7E8"/>
          </w:tcPr>
          <w:p>
            <w:pPr>
              <w:pStyle w:val="TableParagraph"/>
              <w:spacing w:before="46"/>
              <w:ind w:left="85"/>
              <w:rPr>
                <w:rFonts w:ascii="TT Norms Pro"/>
                <w:sz w:val="14"/>
              </w:rPr>
            </w:pPr>
            <w:r>
              <w:rPr>
                <w:rFonts w:ascii="TT Norms Pro"/>
                <w:sz w:val="14"/>
              </w:rPr>
              <w:t>Postgraduate</w:t>
            </w:r>
            <w:r>
              <w:rPr>
                <w:rFonts w:ascii="TT Norms Pro"/>
                <w:spacing w:val="13"/>
                <w:sz w:val="14"/>
              </w:rPr>
              <w:t> </w:t>
            </w:r>
            <w:r>
              <w:rPr>
                <w:rFonts w:ascii="TT Norms Pro"/>
                <w:spacing w:val="-2"/>
                <w:sz w:val="14"/>
              </w:rPr>
              <w:t>coursework</w:t>
            </w:r>
          </w:p>
        </w:tc>
        <w:tc>
          <w:tcPr>
            <w:tcW w:w="899" w:type="dxa"/>
          </w:tcPr>
          <w:p>
            <w:pPr>
              <w:pStyle w:val="TableParagraph"/>
              <w:spacing w:before="46"/>
              <w:ind w:right="55"/>
              <w:jc w:val="right"/>
              <w:rPr>
                <w:rFonts w:ascii="TT Norms Pro Light"/>
                <w:b w:val="0"/>
                <w:sz w:val="14"/>
              </w:rPr>
            </w:pPr>
            <w:r>
              <w:rPr>
                <w:rFonts w:ascii="TT Norms Pro Light"/>
                <w:b w:val="0"/>
                <w:spacing w:val="-2"/>
                <w:sz w:val="14"/>
              </w:rPr>
              <w:t>802.7</w:t>
            </w:r>
          </w:p>
        </w:tc>
        <w:tc>
          <w:tcPr>
            <w:tcW w:w="899" w:type="dxa"/>
            <w:shd w:val="clear" w:color="auto" w:fill="E6E7E8"/>
          </w:tcPr>
          <w:p>
            <w:pPr>
              <w:pStyle w:val="TableParagraph"/>
              <w:spacing w:before="46"/>
              <w:ind w:right="55"/>
              <w:jc w:val="right"/>
              <w:rPr>
                <w:rFonts w:ascii="TT Norms Pro Light"/>
                <w:b w:val="0"/>
                <w:sz w:val="14"/>
              </w:rPr>
            </w:pPr>
            <w:r>
              <w:rPr>
                <w:rFonts w:ascii="TT Norms Pro Light"/>
                <w:b w:val="0"/>
                <w:spacing w:val="-2"/>
                <w:sz w:val="14"/>
              </w:rPr>
              <w:t>965.7</w:t>
            </w:r>
          </w:p>
        </w:tc>
        <w:tc>
          <w:tcPr>
            <w:tcW w:w="899" w:type="dxa"/>
          </w:tcPr>
          <w:p>
            <w:pPr>
              <w:pStyle w:val="TableParagraph"/>
              <w:spacing w:before="46"/>
              <w:ind w:right="55"/>
              <w:jc w:val="right"/>
              <w:rPr>
                <w:rFonts w:ascii="TT Norms Pro Light"/>
                <w:b w:val="0"/>
                <w:sz w:val="14"/>
              </w:rPr>
            </w:pPr>
            <w:r>
              <w:rPr>
                <w:rFonts w:ascii="TT Norms Pro Light"/>
                <w:b w:val="0"/>
                <w:spacing w:val="-2"/>
                <w:sz w:val="14"/>
              </w:rPr>
              <w:t>1,311.2</w:t>
            </w:r>
          </w:p>
        </w:tc>
        <w:tc>
          <w:tcPr>
            <w:tcW w:w="899" w:type="dxa"/>
            <w:shd w:val="clear" w:color="auto" w:fill="E6E7E8"/>
          </w:tcPr>
          <w:p>
            <w:pPr>
              <w:pStyle w:val="TableParagraph"/>
              <w:spacing w:before="46"/>
              <w:ind w:right="60"/>
              <w:jc w:val="right"/>
              <w:rPr>
                <w:rFonts w:ascii="TT Norms Pro Light"/>
                <w:b w:val="0"/>
                <w:sz w:val="14"/>
              </w:rPr>
            </w:pPr>
            <w:r>
              <w:rPr>
                <w:rFonts w:ascii="TT Norms Pro Light"/>
                <w:b w:val="0"/>
                <w:spacing w:val="-2"/>
                <w:sz w:val="14"/>
              </w:rPr>
              <w:t>1,841.9</w:t>
            </w:r>
          </w:p>
        </w:tc>
        <w:tc>
          <w:tcPr>
            <w:tcW w:w="899" w:type="dxa"/>
          </w:tcPr>
          <w:p>
            <w:pPr>
              <w:pStyle w:val="TableParagraph"/>
              <w:spacing w:before="46"/>
              <w:ind w:right="54"/>
              <w:jc w:val="right"/>
              <w:rPr>
                <w:rFonts w:ascii="TT Norms Pro Light"/>
                <w:b w:val="0"/>
                <w:sz w:val="14"/>
              </w:rPr>
            </w:pPr>
            <w:r>
              <w:rPr>
                <w:rFonts w:ascii="TT Norms Pro Light"/>
                <w:b w:val="0"/>
                <w:spacing w:val="-2"/>
                <w:sz w:val="14"/>
              </w:rPr>
              <w:t>1,894.0</w:t>
            </w:r>
          </w:p>
        </w:tc>
        <w:tc>
          <w:tcPr>
            <w:tcW w:w="899" w:type="dxa"/>
            <w:shd w:val="clear" w:color="auto" w:fill="E6E7E8"/>
          </w:tcPr>
          <w:p>
            <w:pPr>
              <w:pStyle w:val="TableParagraph"/>
              <w:spacing w:before="46"/>
              <w:ind w:right="56"/>
              <w:jc w:val="right"/>
              <w:rPr>
                <w:rFonts w:ascii="TT Norms Pro Light"/>
                <w:b w:val="0"/>
                <w:sz w:val="14"/>
              </w:rPr>
            </w:pPr>
            <w:r>
              <w:rPr>
                <w:rFonts w:ascii="TT Norms Pro Light"/>
                <w:b w:val="0"/>
                <w:spacing w:val="-2"/>
                <w:sz w:val="14"/>
              </w:rPr>
              <w:t>1,835.4</w:t>
            </w:r>
          </w:p>
        </w:tc>
        <w:tc>
          <w:tcPr>
            <w:tcW w:w="899" w:type="dxa"/>
          </w:tcPr>
          <w:p>
            <w:pPr>
              <w:pStyle w:val="TableParagraph"/>
              <w:spacing w:before="46"/>
              <w:ind w:right="56"/>
              <w:jc w:val="right"/>
              <w:rPr>
                <w:rFonts w:ascii="TT Norms Pro Light"/>
                <w:b w:val="0"/>
                <w:sz w:val="14"/>
              </w:rPr>
            </w:pPr>
            <w:r>
              <w:rPr>
                <w:rFonts w:ascii="TT Norms Pro Light"/>
                <w:b w:val="0"/>
                <w:spacing w:val="-2"/>
                <w:sz w:val="14"/>
              </w:rPr>
              <w:t>1,709.4</w:t>
            </w:r>
          </w:p>
        </w:tc>
      </w:tr>
      <w:tr>
        <w:trPr>
          <w:trHeight w:val="238" w:hRule="atLeast"/>
        </w:trPr>
        <w:tc>
          <w:tcPr>
            <w:tcW w:w="3389" w:type="dxa"/>
            <w:shd w:val="clear" w:color="auto" w:fill="E6E7E8"/>
          </w:tcPr>
          <w:p>
            <w:pPr>
              <w:pStyle w:val="TableParagraph"/>
              <w:spacing w:before="46"/>
              <w:ind w:left="85"/>
              <w:rPr>
                <w:rFonts w:ascii="TT Norms Pro"/>
                <w:sz w:val="14"/>
              </w:rPr>
            </w:pPr>
            <w:r>
              <w:rPr>
                <w:rFonts w:ascii="TT Norms Pro"/>
                <w:spacing w:val="-2"/>
                <w:sz w:val="14"/>
              </w:rPr>
              <w:t>Undergraduate</w:t>
            </w:r>
          </w:p>
        </w:tc>
        <w:tc>
          <w:tcPr>
            <w:tcW w:w="899" w:type="dxa"/>
          </w:tcPr>
          <w:p>
            <w:pPr>
              <w:pStyle w:val="TableParagraph"/>
              <w:spacing w:before="46"/>
              <w:ind w:right="55"/>
              <w:jc w:val="right"/>
              <w:rPr>
                <w:rFonts w:ascii="TT Norms Pro Light"/>
                <w:b w:val="0"/>
                <w:sz w:val="14"/>
              </w:rPr>
            </w:pPr>
            <w:r>
              <w:rPr>
                <w:rFonts w:ascii="TT Norms Pro Light"/>
                <w:b w:val="0"/>
                <w:spacing w:val="-2"/>
                <w:sz w:val="14"/>
              </w:rPr>
              <w:t>2,404.5</w:t>
            </w:r>
          </w:p>
        </w:tc>
        <w:tc>
          <w:tcPr>
            <w:tcW w:w="899" w:type="dxa"/>
            <w:shd w:val="clear" w:color="auto" w:fill="E6E7E8"/>
          </w:tcPr>
          <w:p>
            <w:pPr>
              <w:pStyle w:val="TableParagraph"/>
              <w:spacing w:before="46"/>
              <w:ind w:right="55"/>
              <w:jc w:val="right"/>
              <w:rPr>
                <w:rFonts w:ascii="TT Norms Pro Light"/>
                <w:b w:val="0"/>
                <w:sz w:val="14"/>
              </w:rPr>
            </w:pPr>
            <w:r>
              <w:rPr>
                <w:rFonts w:ascii="TT Norms Pro Light"/>
                <w:b w:val="0"/>
                <w:spacing w:val="-2"/>
                <w:sz w:val="14"/>
              </w:rPr>
              <w:t>2,100.0</w:t>
            </w:r>
          </w:p>
        </w:tc>
        <w:tc>
          <w:tcPr>
            <w:tcW w:w="899" w:type="dxa"/>
          </w:tcPr>
          <w:p>
            <w:pPr>
              <w:pStyle w:val="TableParagraph"/>
              <w:spacing w:before="46"/>
              <w:ind w:right="55"/>
              <w:jc w:val="right"/>
              <w:rPr>
                <w:rFonts w:ascii="TT Norms Pro Light"/>
                <w:b w:val="0"/>
                <w:sz w:val="14"/>
              </w:rPr>
            </w:pPr>
            <w:r>
              <w:rPr>
                <w:rFonts w:ascii="TT Norms Pro Light"/>
                <w:b w:val="0"/>
                <w:spacing w:val="-2"/>
                <w:sz w:val="14"/>
              </w:rPr>
              <w:t>2,147.5</w:t>
            </w:r>
          </w:p>
        </w:tc>
        <w:tc>
          <w:tcPr>
            <w:tcW w:w="899" w:type="dxa"/>
            <w:shd w:val="clear" w:color="auto" w:fill="E6E7E8"/>
          </w:tcPr>
          <w:p>
            <w:pPr>
              <w:pStyle w:val="TableParagraph"/>
              <w:spacing w:before="46"/>
              <w:ind w:right="55"/>
              <w:jc w:val="right"/>
              <w:rPr>
                <w:rFonts w:ascii="TT Norms Pro Light"/>
                <w:b w:val="0"/>
                <w:sz w:val="14"/>
              </w:rPr>
            </w:pPr>
            <w:r>
              <w:rPr>
                <w:rFonts w:ascii="TT Norms Pro Light"/>
                <w:b w:val="0"/>
                <w:spacing w:val="-2"/>
                <w:sz w:val="14"/>
              </w:rPr>
              <w:t>2,169.0</w:t>
            </w:r>
          </w:p>
        </w:tc>
        <w:tc>
          <w:tcPr>
            <w:tcW w:w="899" w:type="dxa"/>
          </w:tcPr>
          <w:p>
            <w:pPr>
              <w:pStyle w:val="TableParagraph"/>
              <w:spacing w:before="46"/>
              <w:ind w:right="56"/>
              <w:jc w:val="right"/>
              <w:rPr>
                <w:rFonts w:ascii="TT Norms Pro Light"/>
                <w:b w:val="0"/>
                <w:sz w:val="14"/>
              </w:rPr>
            </w:pPr>
            <w:r>
              <w:rPr>
                <w:rFonts w:ascii="TT Norms Pro Light"/>
                <w:b w:val="0"/>
                <w:spacing w:val="-2"/>
                <w:sz w:val="14"/>
              </w:rPr>
              <w:t>2,198.0</w:t>
            </w:r>
          </w:p>
        </w:tc>
        <w:tc>
          <w:tcPr>
            <w:tcW w:w="899" w:type="dxa"/>
            <w:shd w:val="clear" w:color="auto" w:fill="E6E7E8"/>
          </w:tcPr>
          <w:p>
            <w:pPr>
              <w:pStyle w:val="TableParagraph"/>
              <w:spacing w:before="46"/>
              <w:ind w:right="60"/>
              <w:jc w:val="right"/>
              <w:rPr>
                <w:rFonts w:ascii="TT Norms Pro Light"/>
                <w:b w:val="0"/>
                <w:sz w:val="14"/>
              </w:rPr>
            </w:pPr>
            <w:r>
              <w:rPr>
                <w:rFonts w:ascii="TT Norms Pro Light"/>
                <w:b w:val="0"/>
                <w:spacing w:val="-2"/>
                <w:sz w:val="14"/>
              </w:rPr>
              <w:t>2,228.9</w:t>
            </w:r>
          </w:p>
        </w:tc>
        <w:tc>
          <w:tcPr>
            <w:tcW w:w="899" w:type="dxa"/>
          </w:tcPr>
          <w:p>
            <w:pPr>
              <w:pStyle w:val="TableParagraph"/>
              <w:spacing w:before="46"/>
              <w:ind w:right="56"/>
              <w:jc w:val="right"/>
              <w:rPr>
                <w:rFonts w:ascii="TT Norms Pro Light"/>
                <w:b w:val="0"/>
                <w:sz w:val="14"/>
              </w:rPr>
            </w:pPr>
            <w:r>
              <w:rPr>
                <w:rFonts w:ascii="TT Norms Pro Light"/>
                <w:b w:val="0"/>
                <w:spacing w:val="-2"/>
                <w:sz w:val="14"/>
              </w:rPr>
              <w:t>2,021.0</w:t>
            </w:r>
          </w:p>
        </w:tc>
      </w:tr>
      <w:tr>
        <w:trPr>
          <w:trHeight w:val="238" w:hRule="atLeast"/>
        </w:trPr>
        <w:tc>
          <w:tcPr>
            <w:tcW w:w="3389" w:type="dxa"/>
            <w:shd w:val="clear" w:color="auto" w:fill="E6E7E8"/>
          </w:tcPr>
          <w:p>
            <w:pPr>
              <w:pStyle w:val="TableParagraph"/>
              <w:spacing w:before="46"/>
              <w:ind w:left="85"/>
              <w:rPr>
                <w:rFonts w:ascii="TT Norms Pro"/>
                <w:sz w:val="14"/>
              </w:rPr>
            </w:pPr>
            <w:r>
              <w:rPr>
                <w:rFonts w:ascii="TT Norms Pro"/>
                <w:sz w:val="14"/>
              </w:rPr>
              <w:t>Sub-</w:t>
            </w:r>
            <w:r>
              <w:rPr>
                <w:rFonts w:ascii="TT Norms Pro"/>
                <w:spacing w:val="-2"/>
                <w:sz w:val="14"/>
              </w:rPr>
              <w:t>total</w:t>
            </w:r>
          </w:p>
        </w:tc>
        <w:tc>
          <w:tcPr>
            <w:tcW w:w="899" w:type="dxa"/>
          </w:tcPr>
          <w:p>
            <w:pPr>
              <w:pStyle w:val="TableParagraph"/>
              <w:spacing w:before="46"/>
              <w:ind w:right="55"/>
              <w:jc w:val="right"/>
              <w:rPr>
                <w:rFonts w:ascii="TT Norms Pro Light"/>
                <w:b w:val="0"/>
                <w:sz w:val="14"/>
              </w:rPr>
            </w:pPr>
            <w:r>
              <w:rPr>
                <w:rFonts w:ascii="TT Norms Pro Light"/>
                <w:b w:val="0"/>
                <w:spacing w:val="-2"/>
                <w:sz w:val="14"/>
              </w:rPr>
              <w:t>3,697.7</w:t>
            </w:r>
          </w:p>
        </w:tc>
        <w:tc>
          <w:tcPr>
            <w:tcW w:w="899" w:type="dxa"/>
            <w:shd w:val="clear" w:color="auto" w:fill="E6E7E8"/>
          </w:tcPr>
          <w:p>
            <w:pPr>
              <w:pStyle w:val="TableParagraph"/>
              <w:spacing w:before="46"/>
              <w:ind w:right="55"/>
              <w:jc w:val="right"/>
              <w:rPr>
                <w:rFonts w:ascii="TT Norms Pro Light"/>
                <w:b w:val="0"/>
                <w:sz w:val="14"/>
              </w:rPr>
            </w:pPr>
            <w:r>
              <w:rPr>
                <w:rFonts w:ascii="TT Norms Pro Light"/>
                <w:b w:val="0"/>
                <w:spacing w:val="-2"/>
                <w:sz w:val="14"/>
              </w:rPr>
              <w:t>3,529.5</w:t>
            </w:r>
          </w:p>
        </w:tc>
        <w:tc>
          <w:tcPr>
            <w:tcW w:w="899" w:type="dxa"/>
          </w:tcPr>
          <w:p>
            <w:pPr>
              <w:pStyle w:val="TableParagraph"/>
              <w:spacing w:before="46"/>
              <w:ind w:right="55"/>
              <w:jc w:val="right"/>
              <w:rPr>
                <w:rFonts w:ascii="TT Norms Pro Light"/>
                <w:b w:val="0"/>
                <w:sz w:val="14"/>
              </w:rPr>
            </w:pPr>
            <w:r>
              <w:rPr>
                <w:rFonts w:ascii="TT Norms Pro Light"/>
                <w:b w:val="0"/>
                <w:spacing w:val="-2"/>
                <w:sz w:val="14"/>
              </w:rPr>
              <w:t>3,915.1</w:t>
            </w:r>
          </w:p>
        </w:tc>
        <w:tc>
          <w:tcPr>
            <w:tcW w:w="899" w:type="dxa"/>
            <w:shd w:val="clear" w:color="auto" w:fill="E6E7E8"/>
          </w:tcPr>
          <w:p>
            <w:pPr>
              <w:pStyle w:val="TableParagraph"/>
              <w:spacing w:before="46"/>
              <w:ind w:right="55"/>
              <w:jc w:val="right"/>
              <w:rPr>
                <w:rFonts w:ascii="TT Norms Pro Light"/>
                <w:b w:val="0"/>
                <w:sz w:val="14"/>
              </w:rPr>
            </w:pPr>
            <w:r>
              <w:rPr>
                <w:rFonts w:ascii="TT Norms Pro Light"/>
                <w:b w:val="0"/>
                <w:spacing w:val="-2"/>
                <w:sz w:val="14"/>
              </w:rPr>
              <w:t>4,336.5</w:t>
            </w:r>
          </w:p>
        </w:tc>
        <w:tc>
          <w:tcPr>
            <w:tcW w:w="899" w:type="dxa"/>
          </w:tcPr>
          <w:p>
            <w:pPr>
              <w:pStyle w:val="TableParagraph"/>
              <w:spacing w:before="46"/>
              <w:ind w:right="56"/>
              <w:jc w:val="right"/>
              <w:rPr>
                <w:rFonts w:ascii="TT Norms Pro Light"/>
                <w:b w:val="0"/>
                <w:sz w:val="14"/>
              </w:rPr>
            </w:pPr>
            <w:r>
              <w:rPr>
                <w:rFonts w:ascii="TT Norms Pro Light"/>
                <w:b w:val="0"/>
                <w:spacing w:val="-2"/>
                <w:sz w:val="14"/>
              </w:rPr>
              <w:t>4,409.5</w:t>
            </w:r>
          </w:p>
        </w:tc>
        <w:tc>
          <w:tcPr>
            <w:tcW w:w="899" w:type="dxa"/>
            <w:shd w:val="clear" w:color="auto" w:fill="E6E7E8"/>
          </w:tcPr>
          <w:p>
            <w:pPr>
              <w:pStyle w:val="TableParagraph"/>
              <w:spacing w:before="46"/>
              <w:ind w:right="55"/>
              <w:jc w:val="right"/>
              <w:rPr>
                <w:rFonts w:ascii="TT Norms Pro Light"/>
                <w:b w:val="0"/>
                <w:sz w:val="14"/>
              </w:rPr>
            </w:pPr>
            <w:r>
              <w:rPr>
                <w:rFonts w:ascii="TT Norms Pro Light"/>
                <w:b w:val="0"/>
                <w:spacing w:val="-2"/>
                <w:sz w:val="14"/>
              </w:rPr>
              <w:t>4,390.0</w:t>
            </w:r>
          </w:p>
        </w:tc>
        <w:tc>
          <w:tcPr>
            <w:tcW w:w="899" w:type="dxa"/>
          </w:tcPr>
          <w:p>
            <w:pPr>
              <w:pStyle w:val="TableParagraph"/>
              <w:spacing w:before="46"/>
              <w:ind w:right="56"/>
              <w:jc w:val="right"/>
              <w:rPr>
                <w:rFonts w:ascii="TT Norms Pro Light"/>
                <w:b w:val="0"/>
                <w:sz w:val="14"/>
              </w:rPr>
            </w:pPr>
            <w:r>
              <w:rPr>
                <w:rFonts w:ascii="TT Norms Pro Light"/>
                <w:b w:val="0"/>
                <w:spacing w:val="-2"/>
                <w:sz w:val="14"/>
              </w:rPr>
              <w:t>4,090.5</w:t>
            </w:r>
          </w:p>
        </w:tc>
      </w:tr>
      <w:tr>
        <w:trPr>
          <w:trHeight w:val="250" w:hRule="atLeast"/>
        </w:trPr>
        <w:tc>
          <w:tcPr>
            <w:tcW w:w="3389" w:type="dxa"/>
            <w:tcBorders>
              <w:bottom w:val="single" w:sz="2" w:space="0" w:color="000000"/>
            </w:tcBorders>
            <w:shd w:val="clear" w:color="auto" w:fill="E6E7E8"/>
          </w:tcPr>
          <w:p>
            <w:pPr>
              <w:pStyle w:val="TableParagraph"/>
              <w:spacing w:before="46"/>
              <w:ind w:left="85"/>
              <w:rPr>
                <w:rFonts w:ascii="Verdana"/>
                <w:i/>
                <w:sz w:val="14"/>
              </w:rPr>
            </w:pPr>
            <w:r>
              <w:rPr>
                <w:rFonts w:ascii="Verdana"/>
                <w:i/>
                <w:w w:val="85"/>
                <w:sz w:val="14"/>
              </w:rPr>
              <w:t>%</w:t>
            </w:r>
            <w:r>
              <w:rPr>
                <w:rFonts w:ascii="Verdana"/>
                <w:i/>
                <w:spacing w:val="-7"/>
                <w:w w:val="85"/>
                <w:sz w:val="14"/>
              </w:rPr>
              <w:t> </w:t>
            </w:r>
            <w:r>
              <w:rPr>
                <w:rFonts w:ascii="Verdana"/>
                <w:i/>
                <w:w w:val="85"/>
                <w:sz w:val="14"/>
              </w:rPr>
              <w:t>International</w:t>
            </w:r>
            <w:r>
              <w:rPr>
                <w:rFonts w:ascii="Verdana"/>
                <w:i/>
                <w:spacing w:val="-6"/>
                <w:w w:val="85"/>
                <w:sz w:val="14"/>
              </w:rPr>
              <w:t> </w:t>
            </w:r>
            <w:r>
              <w:rPr>
                <w:rFonts w:ascii="Verdana"/>
                <w:i/>
                <w:w w:val="85"/>
                <w:sz w:val="14"/>
              </w:rPr>
              <w:t>-</w:t>
            </w:r>
            <w:r>
              <w:rPr>
                <w:rFonts w:ascii="Verdana"/>
                <w:i/>
                <w:spacing w:val="-6"/>
                <w:w w:val="85"/>
                <w:sz w:val="14"/>
              </w:rPr>
              <w:t> </w:t>
            </w:r>
            <w:r>
              <w:rPr>
                <w:rFonts w:ascii="Verdana"/>
                <w:i/>
                <w:spacing w:val="-2"/>
                <w:w w:val="85"/>
                <w:sz w:val="14"/>
              </w:rPr>
              <w:t>onshore</w:t>
            </w:r>
          </w:p>
        </w:tc>
        <w:tc>
          <w:tcPr>
            <w:tcW w:w="899" w:type="dxa"/>
            <w:tcBorders>
              <w:bottom w:val="single" w:sz="2" w:space="0" w:color="000000"/>
            </w:tcBorders>
          </w:tcPr>
          <w:p>
            <w:pPr>
              <w:pStyle w:val="TableParagraph"/>
              <w:spacing w:before="45"/>
              <w:ind w:right="55"/>
              <w:jc w:val="right"/>
              <w:rPr>
                <w:rFonts w:ascii="TT Norms Pro Light"/>
                <w:b w:val="0"/>
                <w:sz w:val="14"/>
              </w:rPr>
            </w:pPr>
            <w:r>
              <w:rPr>
                <w:rFonts w:ascii="TT Norms Pro Light"/>
                <w:b w:val="0"/>
                <w:spacing w:val="-4"/>
                <w:sz w:val="14"/>
              </w:rPr>
              <w:t>17.4</w:t>
            </w:r>
          </w:p>
        </w:tc>
        <w:tc>
          <w:tcPr>
            <w:tcW w:w="899" w:type="dxa"/>
            <w:tcBorders>
              <w:bottom w:val="single" w:sz="2" w:space="0" w:color="000000"/>
            </w:tcBorders>
            <w:shd w:val="clear" w:color="auto" w:fill="E6E7E8"/>
          </w:tcPr>
          <w:p>
            <w:pPr>
              <w:pStyle w:val="TableParagraph"/>
              <w:spacing w:before="45"/>
              <w:ind w:right="55"/>
              <w:jc w:val="right"/>
              <w:rPr>
                <w:rFonts w:ascii="TT Norms Pro Light"/>
                <w:b w:val="0"/>
                <w:sz w:val="14"/>
              </w:rPr>
            </w:pPr>
            <w:r>
              <w:rPr>
                <w:rFonts w:ascii="TT Norms Pro Light"/>
                <w:b w:val="0"/>
                <w:spacing w:val="-4"/>
                <w:sz w:val="14"/>
              </w:rPr>
              <w:t>17.7</w:t>
            </w:r>
          </w:p>
        </w:tc>
        <w:tc>
          <w:tcPr>
            <w:tcW w:w="899" w:type="dxa"/>
            <w:tcBorders>
              <w:bottom w:val="single" w:sz="2" w:space="0" w:color="000000"/>
            </w:tcBorders>
          </w:tcPr>
          <w:p>
            <w:pPr>
              <w:pStyle w:val="TableParagraph"/>
              <w:spacing w:before="45"/>
              <w:ind w:right="55"/>
              <w:jc w:val="right"/>
              <w:rPr>
                <w:rFonts w:ascii="TT Norms Pro Light"/>
                <w:b w:val="0"/>
                <w:sz w:val="14"/>
              </w:rPr>
            </w:pPr>
            <w:r>
              <w:rPr>
                <w:rFonts w:ascii="TT Norms Pro Light"/>
                <w:b w:val="0"/>
                <w:spacing w:val="-4"/>
                <w:sz w:val="14"/>
              </w:rPr>
              <w:t>19.7</w:t>
            </w:r>
          </w:p>
        </w:tc>
        <w:tc>
          <w:tcPr>
            <w:tcW w:w="899" w:type="dxa"/>
            <w:tcBorders>
              <w:bottom w:val="single" w:sz="2" w:space="0" w:color="000000"/>
            </w:tcBorders>
            <w:shd w:val="clear" w:color="auto" w:fill="E6E7E8"/>
          </w:tcPr>
          <w:p>
            <w:pPr>
              <w:pStyle w:val="TableParagraph"/>
              <w:spacing w:before="45"/>
              <w:ind w:right="55"/>
              <w:jc w:val="right"/>
              <w:rPr>
                <w:rFonts w:ascii="TT Norms Pro Light"/>
                <w:b w:val="0"/>
                <w:sz w:val="14"/>
              </w:rPr>
            </w:pPr>
            <w:r>
              <w:rPr>
                <w:rFonts w:ascii="TT Norms Pro Light"/>
                <w:b w:val="0"/>
                <w:spacing w:val="-4"/>
                <w:sz w:val="14"/>
              </w:rPr>
              <w:t>22.0</w:t>
            </w:r>
          </w:p>
        </w:tc>
        <w:tc>
          <w:tcPr>
            <w:tcW w:w="899" w:type="dxa"/>
            <w:tcBorders>
              <w:bottom w:val="single" w:sz="2" w:space="0" w:color="000000"/>
            </w:tcBorders>
          </w:tcPr>
          <w:p>
            <w:pPr>
              <w:pStyle w:val="TableParagraph"/>
              <w:spacing w:before="45"/>
              <w:ind w:right="55"/>
              <w:jc w:val="right"/>
              <w:rPr>
                <w:rFonts w:ascii="TT Norms Pro Light"/>
                <w:b w:val="0"/>
                <w:sz w:val="14"/>
              </w:rPr>
            </w:pPr>
            <w:r>
              <w:rPr>
                <w:rFonts w:ascii="TT Norms Pro Light"/>
                <w:b w:val="0"/>
                <w:spacing w:val="-4"/>
                <w:sz w:val="14"/>
              </w:rPr>
              <w:t>23.0</w:t>
            </w:r>
          </w:p>
        </w:tc>
        <w:tc>
          <w:tcPr>
            <w:tcW w:w="899" w:type="dxa"/>
            <w:tcBorders>
              <w:bottom w:val="single" w:sz="2" w:space="0" w:color="000000"/>
            </w:tcBorders>
            <w:shd w:val="clear" w:color="auto" w:fill="E6E7E8"/>
          </w:tcPr>
          <w:p>
            <w:pPr>
              <w:pStyle w:val="TableParagraph"/>
              <w:spacing w:before="45"/>
              <w:ind w:right="56"/>
              <w:jc w:val="right"/>
              <w:rPr>
                <w:rFonts w:ascii="TT Norms Pro Light"/>
                <w:b w:val="0"/>
                <w:sz w:val="14"/>
              </w:rPr>
            </w:pPr>
            <w:r>
              <w:rPr>
                <w:rFonts w:ascii="TT Norms Pro Light"/>
                <w:b w:val="0"/>
                <w:spacing w:val="-4"/>
                <w:sz w:val="14"/>
              </w:rPr>
              <w:t>23.1</w:t>
            </w:r>
          </w:p>
        </w:tc>
        <w:tc>
          <w:tcPr>
            <w:tcW w:w="899" w:type="dxa"/>
            <w:tcBorders>
              <w:bottom w:val="single" w:sz="2" w:space="0" w:color="000000"/>
            </w:tcBorders>
          </w:tcPr>
          <w:p>
            <w:pPr>
              <w:pStyle w:val="TableParagraph"/>
              <w:spacing w:before="45"/>
              <w:ind w:right="61"/>
              <w:jc w:val="right"/>
              <w:rPr>
                <w:rFonts w:ascii="TT Norms Pro Light"/>
                <w:b w:val="0"/>
                <w:sz w:val="14"/>
              </w:rPr>
            </w:pPr>
            <w:r>
              <w:rPr>
                <w:rFonts w:ascii="TT Norms Pro Light"/>
                <w:b w:val="0"/>
                <w:spacing w:val="-4"/>
                <w:sz w:val="14"/>
              </w:rPr>
              <w:t>21.9</w:t>
            </w:r>
          </w:p>
        </w:tc>
      </w:tr>
      <w:tr>
        <w:trPr>
          <w:trHeight w:val="244" w:hRule="atLeast"/>
        </w:trPr>
        <w:tc>
          <w:tcPr>
            <w:tcW w:w="3389" w:type="dxa"/>
            <w:tcBorders>
              <w:top w:val="single" w:sz="2" w:space="0" w:color="000000"/>
            </w:tcBorders>
            <w:shd w:val="clear" w:color="auto" w:fill="E6E7E8"/>
          </w:tcPr>
          <w:p>
            <w:pPr>
              <w:pStyle w:val="TableParagraph"/>
              <w:spacing w:before="48"/>
              <w:ind w:left="85"/>
              <w:rPr>
                <w:rFonts w:ascii="TT Norms Pro"/>
                <w:b/>
                <w:sz w:val="14"/>
              </w:rPr>
            </w:pPr>
            <w:r>
              <w:rPr>
                <w:rFonts w:ascii="TT Norms Pro"/>
                <w:b/>
                <w:sz w:val="14"/>
              </w:rPr>
              <w:t>INTERNATIONAL</w:t>
            </w:r>
            <w:r>
              <w:rPr>
                <w:rFonts w:ascii="TT Norms Pro"/>
                <w:b/>
                <w:spacing w:val="9"/>
                <w:sz w:val="14"/>
              </w:rPr>
              <w:t> </w:t>
            </w:r>
            <w:r>
              <w:rPr>
                <w:rFonts w:ascii="TT Norms Pro"/>
                <w:b/>
                <w:sz w:val="14"/>
              </w:rPr>
              <w:t>-</w:t>
            </w:r>
            <w:r>
              <w:rPr>
                <w:rFonts w:ascii="TT Norms Pro"/>
                <w:b/>
                <w:spacing w:val="9"/>
                <w:sz w:val="14"/>
              </w:rPr>
              <w:t> </w:t>
            </w:r>
            <w:r>
              <w:rPr>
                <w:rFonts w:ascii="TT Norms Pro"/>
                <w:b/>
                <w:spacing w:val="-5"/>
                <w:sz w:val="14"/>
              </w:rPr>
              <w:t>RTP</w:t>
            </w:r>
          </w:p>
        </w:tc>
        <w:tc>
          <w:tcPr>
            <w:tcW w:w="899" w:type="dxa"/>
            <w:tcBorders>
              <w:top w:val="single" w:sz="2" w:space="0" w:color="000000"/>
            </w:tcBorders>
          </w:tcPr>
          <w:p>
            <w:pPr>
              <w:pStyle w:val="TableParagraph"/>
              <w:rPr>
                <w:rFonts w:ascii="Times New Roman"/>
                <w:sz w:val="14"/>
              </w:rPr>
            </w:pPr>
          </w:p>
        </w:tc>
        <w:tc>
          <w:tcPr>
            <w:tcW w:w="899" w:type="dxa"/>
            <w:tcBorders>
              <w:top w:val="single" w:sz="2" w:space="0" w:color="000000"/>
            </w:tcBorders>
            <w:shd w:val="clear" w:color="auto" w:fill="E6E7E8"/>
          </w:tcPr>
          <w:p>
            <w:pPr>
              <w:pStyle w:val="TableParagraph"/>
              <w:rPr>
                <w:rFonts w:ascii="Times New Roman"/>
                <w:sz w:val="14"/>
              </w:rPr>
            </w:pPr>
          </w:p>
        </w:tc>
        <w:tc>
          <w:tcPr>
            <w:tcW w:w="899" w:type="dxa"/>
            <w:tcBorders>
              <w:top w:val="single" w:sz="2" w:space="0" w:color="000000"/>
            </w:tcBorders>
          </w:tcPr>
          <w:p>
            <w:pPr>
              <w:pStyle w:val="TableParagraph"/>
              <w:rPr>
                <w:rFonts w:ascii="Times New Roman"/>
                <w:sz w:val="14"/>
              </w:rPr>
            </w:pPr>
          </w:p>
        </w:tc>
        <w:tc>
          <w:tcPr>
            <w:tcW w:w="899" w:type="dxa"/>
            <w:tcBorders>
              <w:top w:val="single" w:sz="2" w:space="0" w:color="000000"/>
            </w:tcBorders>
            <w:shd w:val="clear" w:color="auto" w:fill="E6E7E8"/>
          </w:tcPr>
          <w:p>
            <w:pPr>
              <w:pStyle w:val="TableParagraph"/>
              <w:rPr>
                <w:rFonts w:ascii="Times New Roman"/>
                <w:sz w:val="14"/>
              </w:rPr>
            </w:pPr>
          </w:p>
        </w:tc>
        <w:tc>
          <w:tcPr>
            <w:tcW w:w="899" w:type="dxa"/>
            <w:tcBorders>
              <w:top w:val="single" w:sz="2" w:space="0" w:color="000000"/>
            </w:tcBorders>
          </w:tcPr>
          <w:p>
            <w:pPr>
              <w:pStyle w:val="TableParagraph"/>
              <w:rPr>
                <w:rFonts w:ascii="Times New Roman"/>
                <w:sz w:val="14"/>
              </w:rPr>
            </w:pPr>
          </w:p>
        </w:tc>
        <w:tc>
          <w:tcPr>
            <w:tcW w:w="899" w:type="dxa"/>
            <w:tcBorders>
              <w:top w:val="single" w:sz="2" w:space="0" w:color="000000"/>
            </w:tcBorders>
            <w:shd w:val="clear" w:color="auto" w:fill="E6E7E8"/>
          </w:tcPr>
          <w:p>
            <w:pPr>
              <w:pStyle w:val="TableParagraph"/>
              <w:rPr>
                <w:rFonts w:ascii="Times New Roman"/>
                <w:sz w:val="14"/>
              </w:rPr>
            </w:pPr>
          </w:p>
        </w:tc>
        <w:tc>
          <w:tcPr>
            <w:tcW w:w="899" w:type="dxa"/>
            <w:tcBorders>
              <w:top w:val="single" w:sz="2" w:space="0" w:color="000000"/>
            </w:tcBorders>
          </w:tcPr>
          <w:p>
            <w:pPr>
              <w:pStyle w:val="TableParagraph"/>
              <w:rPr>
                <w:rFonts w:ascii="Times New Roman"/>
                <w:sz w:val="14"/>
              </w:rPr>
            </w:pPr>
          </w:p>
        </w:tc>
      </w:tr>
      <w:tr>
        <w:trPr>
          <w:trHeight w:val="248" w:hRule="atLeast"/>
        </w:trPr>
        <w:tc>
          <w:tcPr>
            <w:tcW w:w="3389" w:type="dxa"/>
            <w:shd w:val="clear" w:color="auto" w:fill="E6E7E8"/>
          </w:tcPr>
          <w:p>
            <w:pPr>
              <w:pStyle w:val="TableParagraph"/>
              <w:spacing w:before="54"/>
              <w:ind w:left="85"/>
              <w:rPr>
                <w:rFonts w:ascii="TT Norms Pro"/>
                <w:sz w:val="14"/>
              </w:rPr>
            </w:pPr>
            <w:r>
              <w:rPr>
                <w:rFonts w:ascii="TT Norms Pro"/>
                <w:sz w:val="14"/>
              </w:rPr>
              <w:t>Higher</w:t>
            </w:r>
            <w:r>
              <w:rPr>
                <w:rFonts w:ascii="TT Norms Pro"/>
                <w:spacing w:val="8"/>
                <w:sz w:val="14"/>
              </w:rPr>
              <w:t> </w:t>
            </w:r>
            <w:r>
              <w:rPr>
                <w:rFonts w:ascii="TT Norms Pro"/>
                <w:sz w:val="14"/>
              </w:rPr>
              <w:t>degree</w:t>
            </w:r>
            <w:r>
              <w:rPr>
                <w:rFonts w:ascii="TT Norms Pro"/>
                <w:spacing w:val="11"/>
                <w:sz w:val="14"/>
              </w:rPr>
              <w:t> </w:t>
            </w:r>
            <w:r>
              <w:rPr>
                <w:rFonts w:ascii="TT Norms Pro"/>
                <w:spacing w:val="-2"/>
                <w:sz w:val="14"/>
              </w:rPr>
              <w:t>research</w:t>
            </w:r>
          </w:p>
        </w:tc>
        <w:tc>
          <w:tcPr>
            <w:tcW w:w="899" w:type="dxa"/>
          </w:tcPr>
          <w:p>
            <w:pPr>
              <w:pStyle w:val="TableParagraph"/>
              <w:spacing w:before="46"/>
              <w:ind w:right="54"/>
              <w:jc w:val="right"/>
              <w:rPr>
                <w:rFonts w:ascii="TT Norms Pro Light"/>
                <w:b w:val="0"/>
                <w:sz w:val="14"/>
              </w:rPr>
            </w:pPr>
            <w:r>
              <w:rPr>
                <w:rFonts w:ascii="TT Norms Pro Light"/>
                <w:b w:val="0"/>
                <w:spacing w:val="-5"/>
                <w:sz w:val="14"/>
              </w:rPr>
              <w:t>0.0</w:t>
            </w:r>
          </w:p>
        </w:tc>
        <w:tc>
          <w:tcPr>
            <w:tcW w:w="899" w:type="dxa"/>
            <w:shd w:val="clear" w:color="auto" w:fill="E6E7E8"/>
          </w:tcPr>
          <w:p>
            <w:pPr>
              <w:pStyle w:val="TableParagraph"/>
              <w:spacing w:before="46"/>
              <w:ind w:right="54"/>
              <w:jc w:val="right"/>
              <w:rPr>
                <w:rFonts w:ascii="TT Norms Pro Light"/>
                <w:b w:val="0"/>
                <w:sz w:val="14"/>
              </w:rPr>
            </w:pPr>
            <w:r>
              <w:rPr>
                <w:rFonts w:ascii="TT Norms Pro Light"/>
                <w:b w:val="0"/>
                <w:spacing w:val="-5"/>
                <w:sz w:val="14"/>
              </w:rPr>
              <w:t>0.0</w:t>
            </w:r>
          </w:p>
        </w:tc>
        <w:tc>
          <w:tcPr>
            <w:tcW w:w="899" w:type="dxa"/>
          </w:tcPr>
          <w:p>
            <w:pPr>
              <w:pStyle w:val="TableParagraph"/>
              <w:spacing w:before="46"/>
              <w:ind w:right="54"/>
              <w:jc w:val="right"/>
              <w:rPr>
                <w:rFonts w:ascii="TT Norms Pro Light"/>
                <w:b w:val="0"/>
                <w:sz w:val="14"/>
              </w:rPr>
            </w:pPr>
            <w:r>
              <w:rPr>
                <w:rFonts w:ascii="TT Norms Pro Light"/>
                <w:b w:val="0"/>
                <w:spacing w:val="-5"/>
                <w:sz w:val="14"/>
              </w:rPr>
              <w:t>0.0</w:t>
            </w:r>
          </w:p>
        </w:tc>
        <w:tc>
          <w:tcPr>
            <w:tcW w:w="899" w:type="dxa"/>
            <w:shd w:val="clear" w:color="auto" w:fill="E6E7E8"/>
          </w:tcPr>
          <w:p>
            <w:pPr>
              <w:pStyle w:val="TableParagraph"/>
              <w:spacing w:before="46"/>
              <w:ind w:right="55"/>
              <w:jc w:val="right"/>
              <w:rPr>
                <w:rFonts w:ascii="TT Norms Pro Light"/>
                <w:b w:val="0"/>
                <w:sz w:val="14"/>
              </w:rPr>
            </w:pPr>
            <w:r>
              <w:rPr>
                <w:rFonts w:ascii="TT Norms Pro Light"/>
                <w:b w:val="0"/>
                <w:spacing w:val="-2"/>
                <w:sz w:val="14"/>
              </w:rPr>
              <w:t>121.2</w:t>
            </w:r>
          </w:p>
        </w:tc>
        <w:tc>
          <w:tcPr>
            <w:tcW w:w="899" w:type="dxa"/>
          </w:tcPr>
          <w:p>
            <w:pPr>
              <w:pStyle w:val="TableParagraph"/>
              <w:spacing w:before="46"/>
              <w:ind w:right="60"/>
              <w:jc w:val="right"/>
              <w:rPr>
                <w:rFonts w:ascii="TT Norms Pro Light"/>
                <w:b w:val="0"/>
                <w:sz w:val="14"/>
              </w:rPr>
            </w:pPr>
            <w:r>
              <w:rPr>
                <w:rFonts w:ascii="TT Norms Pro Light"/>
                <w:b w:val="0"/>
                <w:spacing w:val="-2"/>
                <w:sz w:val="14"/>
              </w:rPr>
              <w:t>182.9</w:t>
            </w:r>
          </w:p>
        </w:tc>
        <w:tc>
          <w:tcPr>
            <w:tcW w:w="899" w:type="dxa"/>
            <w:shd w:val="clear" w:color="auto" w:fill="E6E7E8"/>
          </w:tcPr>
          <w:p>
            <w:pPr>
              <w:pStyle w:val="TableParagraph"/>
              <w:spacing w:before="46"/>
              <w:ind w:right="56"/>
              <w:jc w:val="right"/>
              <w:rPr>
                <w:rFonts w:ascii="TT Norms Pro Light"/>
                <w:b w:val="0"/>
                <w:sz w:val="14"/>
              </w:rPr>
            </w:pPr>
            <w:r>
              <w:rPr>
                <w:rFonts w:ascii="TT Norms Pro Light"/>
                <w:b w:val="0"/>
                <w:spacing w:val="-2"/>
                <w:sz w:val="14"/>
              </w:rPr>
              <w:t>242.8</w:t>
            </w:r>
          </w:p>
        </w:tc>
        <w:tc>
          <w:tcPr>
            <w:tcW w:w="899" w:type="dxa"/>
          </w:tcPr>
          <w:p>
            <w:pPr>
              <w:pStyle w:val="TableParagraph"/>
              <w:spacing w:before="46"/>
              <w:ind w:right="52"/>
              <w:jc w:val="right"/>
              <w:rPr>
                <w:rFonts w:ascii="TT Norms Pro Light"/>
                <w:b w:val="0"/>
                <w:sz w:val="14"/>
              </w:rPr>
            </w:pPr>
            <w:r>
              <w:rPr>
                <w:rFonts w:ascii="TT Norms Pro Light"/>
                <w:b w:val="0"/>
                <w:spacing w:val="-2"/>
                <w:sz w:val="14"/>
              </w:rPr>
              <w:t>221.6</w:t>
            </w:r>
          </w:p>
        </w:tc>
      </w:tr>
      <w:tr>
        <w:trPr>
          <w:trHeight w:val="250" w:hRule="atLeast"/>
        </w:trPr>
        <w:tc>
          <w:tcPr>
            <w:tcW w:w="3389" w:type="dxa"/>
            <w:shd w:val="clear" w:color="auto" w:fill="E6E7E8"/>
          </w:tcPr>
          <w:p>
            <w:pPr>
              <w:pStyle w:val="TableParagraph"/>
              <w:spacing w:before="56"/>
              <w:ind w:left="85"/>
              <w:rPr>
                <w:rFonts w:ascii="TT Norms Pro"/>
                <w:sz w:val="14"/>
              </w:rPr>
            </w:pPr>
            <w:r>
              <w:rPr>
                <w:rFonts w:ascii="TT Norms Pro"/>
                <w:sz w:val="14"/>
              </w:rPr>
              <w:t>Sub-</w:t>
            </w:r>
            <w:r>
              <w:rPr>
                <w:rFonts w:ascii="TT Norms Pro"/>
                <w:spacing w:val="-2"/>
                <w:sz w:val="14"/>
              </w:rPr>
              <w:t>total</w:t>
            </w:r>
          </w:p>
        </w:tc>
        <w:tc>
          <w:tcPr>
            <w:tcW w:w="899" w:type="dxa"/>
          </w:tcPr>
          <w:p>
            <w:pPr>
              <w:pStyle w:val="TableParagraph"/>
              <w:spacing w:before="47"/>
              <w:ind w:right="54"/>
              <w:jc w:val="right"/>
              <w:rPr>
                <w:rFonts w:ascii="TT Norms Pro Light"/>
                <w:b w:val="0"/>
                <w:sz w:val="14"/>
              </w:rPr>
            </w:pPr>
            <w:r>
              <w:rPr>
                <w:rFonts w:ascii="TT Norms Pro Light"/>
                <w:b w:val="0"/>
                <w:spacing w:val="-5"/>
                <w:sz w:val="14"/>
              </w:rPr>
              <w:t>0.0</w:t>
            </w:r>
          </w:p>
        </w:tc>
        <w:tc>
          <w:tcPr>
            <w:tcW w:w="899" w:type="dxa"/>
            <w:shd w:val="clear" w:color="auto" w:fill="E6E7E8"/>
          </w:tcPr>
          <w:p>
            <w:pPr>
              <w:pStyle w:val="TableParagraph"/>
              <w:spacing w:before="47"/>
              <w:ind w:right="54"/>
              <w:jc w:val="right"/>
              <w:rPr>
                <w:rFonts w:ascii="TT Norms Pro Light"/>
                <w:b w:val="0"/>
                <w:sz w:val="14"/>
              </w:rPr>
            </w:pPr>
            <w:r>
              <w:rPr>
                <w:rFonts w:ascii="TT Norms Pro Light"/>
                <w:b w:val="0"/>
                <w:spacing w:val="-5"/>
                <w:sz w:val="14"/>
              </w:rPr>
              <w:t>0.0</w:t>
            </w:r>
          </w:p>
        </w:tc>
        <w:tc>
          <w:tcPr>
            <w:tcW w:w="899" w:type="dxa"/>
          </w:tcPr>
          <w:p>
            <w:pPr>
              <w:pStyle w:val="TableParagraph"/>
              <w:spacing w:before="47"/>
              <w:ind w:right="54"/>
              <w:jc w:val="right"/>
              <w:rPr>
                <w:rFonts w:ascii="TT Norms Pro Light"/>
                <w:b w:val="0"/>
                <w:sz w:val="14"/>
              </w:rPr>
            </w:pPr>
            <w:r>
              <w:rPr>
                <w:rFonts w:ascii="TT Norms Pro Light"/>
                <w:b w:val="0"/>
                <w:spacing w:val="-5"/>
                <w:sz w:val="14"/>
              </w:rPr>
              <w:t>0.0</w:t>
            </w:r>
          </w:p>
        </w:tc>
        <w:tc>
          <w:tcPr>
            <w:tcW w:w="899" w:type="dxa"/>
            <w:shd w:val="clear" w:color="auto" w:fill="E6E7E8"/>
          </w:tcPr>
          <w:p>
            <w:pPr>
              <w:pStyle w:val="TableParagraph"/>
              <w:spacing w:before="47"/>
              <w:ind w:right="55"/>
              <w:jc w:val="right"/>
              <w:rPr>
                <w:rFonts w:ascii="TT Norms Pro Light"/>
                <w:b w:val="0"/>
                <w:sz w:val="14"/>
              </w:rPr>
            </w:pPr>
            <w:r>
              <w:rPr>
                <w:rFonts w:ascii="TT Norms Pro Light"/>
                <w:b w:val="0"/>
                <w:spacing w:val="-2"/>
                <w:sz w:val="14"/>
              </w:rPr>
              <w:t>121.2</w:t>
            </w:r>
          </w:p>
        </w:tc>
        <w:tc>
          <w:tcPr>
            <w:tcW w:w="899" w:type="dxa"/>
          </w:tcPr>
          <w:p>
            <w:pPr>
              <w:pStyle w:val="TableParagraph"/>
              <w:spacing w:before="47"/>
              <w:ind w:right="60"/>
              <w:jc w:val="right"/>
              <w:rPr>
                <w:rFonts w:ascii="TT Norms Pro Light"/>
                <w:b w:val="0"/>
                <w:sz w:val="14"/>
              </w:rPr>
            </w:pPr>
            <w:r>
              <w:rPr>
                <w:rFonts w:ascii="TT Norms Pro Light"/>
                <w:b w:val="0"/>
                <w:spacing w:val="-2"/>
                <w:sz w:val="14"/>
              </w:rPr>
              <w:t>182.9</w:t>
            </w:r>
          </w:p>
        </w:tc>
        <w:tc>
          <w:tcPr>
            <w:tcW w:w="899" w:type="dxa"/>
            <w:shd w:val="clear" w:color="auto" w:fill="E6E7E8"/>
          </w:tcPr>
          <w:p>
            <w:pPr>
              <w:pStyle w:val="TableParagraph"/>
              <w:spacing w:before="47"/>
              <w:ind w:right="56"/>
              <w:jc w:val="right"/>
              <w:rPr>
                <w:rFonts w:ascii="TT Norms Pro Light"/>
                <w:b w:val="0"/>
                <w:sz w:val="14"/>
              </w:rPr>
            </w:pPr>
            <w:r>
              <w:rPr>
                <w:rFonts w:ascii="TT Norms Pro Light"/>
                <w:b w:val="0"/>
                <w:spacing w:val="-2"/>
                <w:sz w:val="14"/>
              </w:rPr>
              <w:t>242.8</w:t>
            </w:r>
          </w:p>
        </w:tc>
        <w:tc>
          <w:tcPr>
            <w:tcW w:w="899" w:type="dxa"/>
          </w:tcPr>
          <w:p>
            <w:pPr>
              <w:pStyle w:val="TableParagraph"/>
              <w:spacing w:before="47"/>
              <w:ind w:right="51"/>
              <w:jc w:val="right"/>
              <w:rPr>
                <w:rFonts w:ascii="TT Norms Pro Light"/>
                <w:b w:val="0"/>
                <w:sz w:val="14"/>
              </w:rPr>
            </w:pPr>
            <w:r>
              <w:rPr>
                <w:rFonts w:ascii="TT Norms Pro Light"/>
                <w:b w:val="0"/>
                <w:spacing w:val="-2"/>
                <w:sz w:val="14"/>
              </w:rPr>
              <w:t>221.6</w:t>
            </w:r>
          </w:p>
        </w:tc>
      </w:tr>
      <w:tr>
        <w:trPr>
          <w:trHeight w:val="252" w:hRule="atLeast"/>
        </w:trPr>
        <w:tc>
          <w:tcPr>
            <w:tcW w:w="3389" w:type="dxa"/>
            <w:tcBorders>
              <w:bottom w:val="single" w:sz="2" w:space="0" w:color="000000"/>
            </w:tcBorders>
            <w:shd w:val="clear" w:color="auto" w:fill="E6E7E8"/>
          </w:tcPr>
          <w:p>
            <w:pPr>
              <w:pStyle w:val="TableParagraph"/>
              <w:spacing w:before="48"/>
              <w:ind w:left="85"/>
              <w:rPr>
                <w:rFonts w:ascii="Verdana"/>
                <w:i/>
                <w:sz w:val="14"/>
              </w:rPr>
            </w:pPr>
            <w:r>
              <w:rPr>
                <w:rFonts w:ascii="Verdana"/>
                <w:i/>
                <w:w w:val="85"/>
                <w:sz w:val="14"/>
              </w:rPr>
              <w:t>%</w:t>
            </w:r>
            <w:r>
              <w:rPr>
                <w:rFonts w:ascii="Verdana"/>
                <w:i/>
                <w:spacing w:val="-6"/>
                <w:w w:val="85"/>
                <w:sz w:val="14"/>
              </w:rPr>
              <w:t> </w:t>
            </w:r>
            <w:r>
              <w:rPr>
                <w:rFonts w:ascii="Verdana"/>
                <w:i/>
                <w:w w:val="85"/>
                <w:sz w:val="14"/>
              </w:rPr>
              <w:t>International</w:t>
            </w:r>
            <w:r>
              <w:rPr>
                <w:rFonts w:ascii="Verdana"/>
                <w:i/>
                <w:spacing w:val="-6"/>
                <w:w w:val="85"/>
                <w:sz w:val="14"/>
              </w:rPr>
              <w:t> </w:t>
            </w:r>
            <w:r>
              <w:rPr>
                <w:rFonts w:ascii="Verdana"/>
                <w:i/>
                <w:w w:val="85"/>
                <w:sz w:val="14"/>
              </w:rPr>
              <w:t>-</w:t>
            </w:r>
            <w:r>
              <w:rPr>
                <w:rFonts w:ascii="Verdana"/>
                <w:i/>
                <w:spacing w:val="-6"/>
                <w:w w:val="85"/>
                <w:sz w:val="14"/>
              </w:rPr>
              <w:t> </w:t>
            </w:r>
            <w:r>
              <w:rPr>
                <w:rFonts w:ascii="Verdana"/>
                <w:i/>
                <w:spacing w:val="-5"/>
                <w:w w:val="85"/>
                <w:sz w:val="14"/>
              </w:rPr>
              <w:t>RTP</w:t>
            </w:r>
          </w:p>
        </w:tc>
        <w:tc>
          <w:tcPr>
            <w:tcW w:w="899" w:type="dxa"/>
            <w:tcBorders>
              <w:bottom w:val="single" w:sz="2" w:space="0" w:color="000000"/>
            </w:tcBorders>
          </w:tcPr>
          <w:p>
            <w:pPr>
              <w:pStyle w:val="TableParagraph"/>
              <w:spacing w:before="47"/>
              <w:ind w:right="54"/>
              <w:jc w:val="right"/>
              <w:rPr>
                <w:rFonts w:ascii="TT Norms Pro Light"/>
                <w:b w:val="0"/>
                <w:sz w:val="14"/>
              </w:rPr>
            </w:pPr>
            <w:r>
              <w:rPr>
                <w:rFonts w:ascii="TT Norms Pro Light"/>
                <w:b w:val="0"/>
                <w:spacing w:val="-5"/>
                <w:sz w:val="14"/>
              </w:rPr>
              <w:t>0.0</w:t>
            </w:r>
          </w:p>
        </w:tc>
        <w:tc>
          <w:tcPr>
            <w:tcW w:w="899" w:type="dxa"/>
            <w:tcBorders>
              <w:bottom w:val="single" w:sz="2" w:space="0" w:color="000000"/>
            </w:tcBorders>
            <w:shd w:val="clear" w:color="auto" w:fill="E6E7E8"/>
          </w:tcPr>
          <w:p>
            <w:pPr>
              <w:pStyle w:val="TableParagraph"/>
              <w:spacing w:before="47"/>
              <w:ind w:right="54"/>
              <w:jc w:val="right"/>
              <w:rPr>
                <w:rFonts w:ascii="TT Norms Pro Light"/>
                <w:b w:val="0"/>
                <w:sz w:val="14"/>
              </w:rPr>
            </w:pPr>
            <w:r>
              <w:rPr>
                <w:rFonts w:ascii="TT Norms Pro Light"/>
                <w:b w:val="0"/>
                <w:spacing w:val="-5"/>
                <w:sz w:val="14"/>
              </w:rPr>
              <w:t>0.0</w:t>
            </w:r>
          </w:p>
        </w:tc>
        <w:tc>
          <w:tcPr>
            <w:tcW w:w="899" w:type="dxa"/>
            <w:tcBorders>
              <w:bottom w:val="single" w:sz="2" w:space="0" w:color="000000"/>
            </w:tcBorders>
          </w:tcPr>
          <w:p>
            <w:pPr>
              <w:pStyle w:val="TableParagraph"/>
              <w:spacing w:before="47"/>
              <w:ind w:right="54"/>
              <w:jc w:val="right"/>
              <w:rPr>
                <w:rFonts w:ascii="TT Norms Pro Light"/>
                <w:b w:val="0"/>
                <w:sz w:val="14"/>
              </w:rPr>
            </w:pPr>
            <w:r>
              <w:rPr>
                <w:rFonts w:ascii="TT Norms Pro Light"/>
                <w:b w:val="0"/>
                <w:spacing w:val="-5"/>
                <w:sz w:val="14"/>
              </w:rPr>
              <w:t>0.0</w:t>
            </w:r>
          </w:p>
        </w:tc>
        <w:tc>
          <w:tcPr>
            <w:tcW w:w="899" w:type="dxa"/>
            <w:tcBorders>
              <w:bottom w:val="single" w:sz="2" w:space="0" w:color="000000"/>
            </w:tcBorders>
            <w:shd w:val="clear" w:color="auto" w:fill="E6E7E8"/>
          </w:tcPr>
          <w:p>
            <w:pPr>
              <w:pStyle w:val="TableParagraph"/>
              <w:spacing w:before="47"/>
              <w:ind w:right="56"/>
              <w:jc w:val="right"/>
              <w:rPr>
                <w:rFonts w:ascii="TT Norms Pro Light"/>
                <w:b w:val="0"/>
                <w:sz w:val="14"/>
              </w:rPr>
            </w:pPr>
            <w:r>
              <w:rPr>
                <w:rFonts w:ascii="TT Norms Pro Light"/>
                <w:b w:val="0"/>
                <w:spacing w:val="-5"/>
                <w:sz w:val="14"/>
              </w:rPr>
              <w:t>0.6</w:t>
            </w:r>
          </w:p>
        </w:tc>
        <w:tc>
          <w:tcPr>
            <w:tcW w:w="899" w:type="dxa"/>
            <w:tcBorders>
              <w:bottom w:val="single" w:sz="2" w:space="0" w:color="000000"/>
            </w:tcBorders>
          </w:tcPr>
          <w:p>
            <w:pPr>
              <w:pStyle w:val="TableParagraph"/>
              <w:spacing w:before="47"/>
              <w:ind w:right="55"/>
              <w:jc w:val="right"/>
              <w:rPr>
                <w:rFonts w:ascii="TT Norms Pro Light"/>
                <w:b w:val="0"/>
                <w:sz w:val="14"/>
              </w:rPr>
            </w:pPr>
            <w:r>
              <w:rPr>
                <w:rFonts w:ascii="TT Norms Pro Light"/>
                <w:b w:val="0"/>
                <w:spacing w:val="-5"/>
                <w:sz w:val="14"/>
              </w:rPr>
              <w:t>1.0</w:t>
            </w:r>
          </w:p>
        </w:tc>
        <w:tc>
          <w:tcPr>
            <w:tcW w:w="899" w:type="dxa"/>
            <w:tcBorders>
              <w:bottom w:val="single" w:sz="2" w:space="0" w:color="000000"/>
            </w:tcBorders>
            <w:shd w:val="clear" w:color="auto" w:fill="E6E7E8"/>
          </w:tcPr>
          <w:p>
            <w:pPr>
              <w:pStyle w:val="TableParagraph"/>
              <w:spacing w:before="47"/>
              <w:ind w:right="56"/>
              <w:jc w:val="right"/>
              <w:rPr>
                <w:rFonts w:ascii="TT Norms Pro Light"/>
                <w:b w:val="0"/>
                <w:sz w:val="14"/>
              </w:rPr>
            </w:pPr>
            <w:r>
              <w:rPr>
                <w:rFonts w:ascii="TT Norms Pro Light"/>
                <w:b w:val="0"/>
                <w:spacing w:val="-5"/>
                <w:sz w:val="14"/>
              </w:rPr>
              <w:t>1.3</w:t>
            </w:r>
          </w:p>
        </w:tc>
        <w:tc>
          <w:tcPr>
            <w:tcW w:w="899" w:type="dxa"/>
            <w:tcBorders>
              <w:bottom w:val="single" w:sz="2" w:space="0" w:color="000000"/>
            </w:tcBorders>
          </w:tcPr>
          <w:p>
            <w:pPr>
              <w:pStyle w:val="TableParagraph"/>
              <w:spacing w:before="47"/>
              <w:ind w:right="56"/>
              <w:jc w:val="right"/>
              <w:rPr>
                <w:rFonts w:ascii="TT Norms Pro Light"/>
                <w:b w:val="0"/>
                <w:sz w:val="14"/>
              </w:rPr>
            </w:pPr>
            <w:r>
              <w:rPr>
                <w:rFonts w:ascii="TT Norms Pro Light"/>
                <w:b w:val="0"/>
                <w:spacing w:val="-5"/>
                <w:sz w:val="14"/>
              </w:rPr>
              <w:t>1.2</w:t>
            </w:r>
          </w:p>
        </w:tc>
      </w:tr>
      <w:tr>
        <w:trPr>
          <w:trHeight w:val="244" w:hRule="atLeast"/>
        </w:trPr>
        <w:tc>
          <w:tcPr>
            <w:tcW w:w="3389" w:type="dxa"/>
            <w:tcBorders>
              <w:top w:val="single" w:sz="2" w:space="0" w:color="000000"/>
            </w:tcBorders>
            <w:shd w:val="clear" w:color="auto" w:fill="E6E7E8"/>
          </w:tcPr>
          <w:p>
            <w:pPr>
              <w:pStyle w:val="TableParagraph"/>
              <w:spacing w:before="48"/>
              <w:ind w:left="85"/>
              <w:rPr>
                <w:rFonts w:ascii="TT Norms Pro"/>
                <w:b/>
                <w:sz w:val="14"/>
              </w:rPr>
            </w:pPr>
            <w:r>
              <w:rPr>
                <w:rFonts w:ascii="TT Norms Pro"/>
                <w:b/>
                <w:spacing w:val="-2"/>
                <w:sz w:val="14"/>
              </w:rPr>
              <w:t>UNKNOWN</w:t>
            </w:r>
          </w:p>
        </w:tc>
        <w:tc>
          <w:tcPr>
            <w:tcW w:w="899" w:type="dxa"/>
            <w:tcBorders>
              <w:top w:val="single" w:sz="2" w:space="0" w:color="000000"/>
            </w:tcBorders>
          </w:tcPr>
          <w:p>
            <w:pPr>
              <w:pStyle w:val="TableParagraph"/>
              <w:rPr>
                <w:rFonts w:ascii="Times New Roman"/>
                <w:sz w:val="14"/>
              </w:rPr>
            </w:pPr>
          </w:p>
        </w:tc>
        <w:tc>
          <w:tcPr>
            <w:tcW w:w="899" w:type="dxa"/>
            <w:tcBorders>
              <w:top w:val="single" w:sz="2" w:space="0" w:color="000000"/>
            </w:tcBorders>
            <w:shd w:val="clear" w:color="auto" w:fill="E6E7E8"/>
          </w:tcPr>
          <w:p>
            <w:pPr>
              <w:pStyle w:val="TableParagraph"/>
              <w:rPr>
                <w:rFonts w:ascii="Times New Roman"/>
                <w:sz w:val="14"/>
              </w:rPr>
            </w:pPr>
          </w:p>
        </w:tc>
        <w:tc>
          <w:tcPr>
            <w:tcW w:w="899" w:type="dxa"/>
            <w:tcBorders>
              <w:top w:val="single" w:sz="2" w:space="0" w:color="000000"/>
            </w:tcBorders>
          </w:tcPr>
          <w:p>
            <w:pPr>
              <w:pStyle w:val="TableParagraph"/>
              <w:rPr>
                <w:rFonts w:ascii="Times New Roman"/>
                <w:sz w:val="14"/>
              </w:rPr>
            </w:pPr>
          </w:p>
        </w:tc>
        <w:tc>
          <w:tcPr>
            <w:tcW w:w="899" w:type="dxa"/>
            <w:tcBorders>
              <w:top w:val="single" w:sz="2" w:space="0" w:color="000000"/>
            </w:tcBorders>
            <w:shd w:val="clear" w:color="auto" w:fill="E6E7E8"/>
          </w:tcPr>
          <w:p>
            <w:pPr>
              <w:pStyle w:val="TableParagraph"/>
              <w:rPr>
                <w:rFonts w:ascii="Times New Roman"/>
                <w:sz w:val="14"/>
              </w:rPr>
            </w:pPr>
          </w:p>
        </w:tc>
        <w:tc>
          <w:tcPr>
            <w:tcW w:w="899" w:type="dxa"/>
            <w:tcBorders>
              <w:top w:val="single" w:sz="2" w:space="0" w:color="000000"/>
            </w:tcBorders>
          </w:tcPr>
          <w:p>
            <w:pPr>
              <w:pStyle w:val="TableParagraph"/>
              <w:rPr>
                <w:rFonts w:ascii="Times New Roman"/>
                <w:sz w:val="14"/>
              </w:rPr>
            </w:pPr>
          </w:p>
        </w:tc>
        <w:tc>
          <w:tcPr>
            <w:tcW w:w="899" w:type="dxa"/>
            <w:tcBorders>
              <w:top w:val="single" w:sz="2" w:space="0" w:color="000000"/>
            </w:tcBorders>
            <w:shd w:val="clear" w:color="auto" w:fill="E6E7E8"/>
          </w:tcPr>
          <w:p>
            <w:pPr>
              <w:pStyle w:val="TableParagraph"/>
              <w:rPr>
                <w:rFonts w:ascii="Times New Roman"/>
                <w:sz w:val="14"/>
              </w:rPr>
            </w:pPr>
          </w:p>
        </w:tc>
        <w:tc>
          <w:tcPr>
            <w:tcW w:w="899" w:type="dxa"/>
            <w:tcBorders>
              <w:top w:val="single" w:sz="2" w:space="0" w:color="000000"/>
            </w:tcBorders>
          </w:tcPr>
          <w:p>
            <w:pPr>
              <w:pStyle w:val="TableParagraph"/>
              <w:rPr>
                <w:rFonts w:ascii="Times New Roman"/>
                <w:sz w:val="14"/>
              </w:rPr>
            </w:pPr>
          </w:p>
        </w:tc>
      </w:tr>
      <w:tr>
        <w:trPr>
          <w:trHeight w:val="248" w:hRule="atLeast"/>
        </w:trPr>
        <w:tc>
          <w:tcPr>
            <w:tcW w:w="3389" w:type="dxa"/>
            <w:shd w:val="clear" w:color="auto" w:fill="E6E7E8"/>
          </w:tcPr>
          <w:p>
            <w:pPr>
              <w:pStyle w:val="TableParagraph"/>
              <w:spacing w:before="54"/>
              <w:ind w:left="85"/>
              <w:rPr>
                <w:rFonts w:ascii="TT Norms Pro"/>
                <w:sz w:val="14"/>
              </w:rPr>
            </w:pPr>
            <w:r>
              <w:rPr>
                <w:rFonts w:ascii="TT Norms Pro"/>
                <w:sz w:val="14"/>
              </w:rPr>
              <w:t>Postgraduate</w:t>
            </w:r>
            <w:r>
              <w:rPr>
                <w:rFonts w:ascii="TT Norms Pro"/>
                <w:spacing w:val="13"/>
                <w:sz w:val="14"/>
              </w:rPr>
              <w:t> </w:t>
            </w:r>
            <w:r>
              <w:rPr>
                <w:rFonts w:ascii="TT Norms Pro"/>
                <w:spacing w:val="-2"/>
                <w:sz w:val="14"/>
              </w:rPr>
              <w:t>coursework</w:t>
            </w:r>
          </w:p>
        </w:tc>
        <w:tc>
          <w:tcPr>
            <w:tcW w:w="899" w:type="dxa"/>
          </w:tcPr>
          <w:p>
            <w:pPr>
              <w:pStyle w:val="TableParagraph"/>
              <w:spacing w:before="46"/>
              <w:ind w:right="54"/>
              <w:jc w:val="right"/>
              <w:rPr>
                <w:rFonts w:ascii="TT Norms Pro Light"/>
                <w:b w:val="0"/>
                <w:sz w:val="14"/>
              </w:rPr>
            </w:pPr>
            <w:r>
              <w:rPr>
                <w:rFonts w:ascii="TT Norms Pro Light"/>
                <w:b w:val="0"/>
                <w:spacing w:val="-5"/>
                <w:sz w:val="14"/>
              </w:rPr>
              <w:t>3.0</w:t>
            </w:r>
          </w:p>
        </w:tc>
        <w:tc>
          <w:tcPr>
            <w:tcW w:w="899" w:type="dxa"/>
            <w:shd w:val="clear" w:color="auto" w:fill="E6E7E8"/>
          </w:tcPr>
          <w:p>
            <w:pPr>
              <w:pStyle w:val="TableParagraph"/>
              <w:spacing w:before="46"/>
              <w:ind w:right="54"/>
              <w:jc w:val="right"/>
              <w:rPr>
                <w:rFonts w:ascii="TT Norms Pro Light"/>
                <w:b w:val="0"/>
                <w:sz w:val="14"/>
              </w:rPr>
            </w:pPr>
            <w:r>
              <w:rPr>
                <w:rFonts w:ascii="TT Norms Pro Light"/>
                <w:b w:val="0"/>
                <w:spacing w:val="-5"/>
                <w:sz w:val="14"/>
              </w:rPr>
              <w:t>1.0</w:t>
            </w:r>
          </w:p>
        </w:tc>
        <w:tc>
          <w:tcPr>
            <w:tcW w:w="899" w:type="dxa"/>
          </w:tcPr>
          <w:p>
            <w:pPr>
              <w:pStyle w:val="TableParagraph"/>
              <w:spacing w:before="46"/>
              <w:ind w:right="54"/>
              <w:jc w:val="right"/>
              <w:rPr>
                <w:rFonts w:ascii="TT Norms Pro Light"/>
                <w:b w:val="0"/>
                <w:sz w:val="14"/>
              </w:rPr>
            </w:pPr>
            <w:r>
              <w:rPr>
                <w:rFonts w:ascii="TT Norms Pro Light"/>
                <w:b w:val="0"/>
                <w:spacing w:val="-5"/>
                <w:sz w:val="14"/>
              </w:rPr>
              <w:t>0.0</w:t>
            </w:r>
          </w:p>
        </w:tc>
        <w:tc>
          <w:tcPr>
            <w:tcW w:w="899" w:type="dxa"/>
            <w:shd w:val="clear" w:color="auto" w:fill="E6E7E8"/>
          </w:tcPr>
          <w:p>
            <w:pPr>
              <w:pStyle w:val="TableParagraph"/>
              <w:spacing w:before="46"/>
              <w:ind w:right="54"/>
              <w:jc w:val="right"/>
              <w:rPr>
                <w:rFonts w:ascii="TT Norms Pro Light"/>
                <w:b w:val="0"/>
                <w:sz w:val="14"/>
              </w:rPr>
            </w:pPr>
            <w:r>
              <w:rPr>
                <w:rFonts w:ascii="TT Norms Pro Light"/>
                <w:b w:val="0"/>
                <w:spacing w:val="-5"/>
                <w:sz w:val="14"/>
              </w:rPr>
              <w:t>0.0</w:t>
            </w:r>
          </w:p>
        </w:tc>
        <w:tc>
          <w:tcPr>
            <w:tcW w:w="899" w:type="dxa"/>
          </w:tcPr>
          <w:p>
            <w:pPr>
              <w:pStyle w:val="TableParagraph"/>
              <w:spacing w:before="46"/>
              <w:ind w:right="54"/>
              <w:jc w:val="right"/>
              <w:rPr>
                <w:rFonts w:ascii="TT Norms Pro Light"/>
                <w:b w:val="0"/>
                <w:sz w:val="14"/>
              </w:rPr>
            </w:pPr>
            <w:r>
              <w:rPr>
                <w:rFonts w:ascii="TT Norms Pro Light"/>
                <w:b w:val="0"/>
                <w:spacing w:val="-5"/>
                <w:sz w:val="14"/>
              </w:rPr>
              <w:t>0.0</w:t>
            </w:r>
          </w:p>
        </w:tc>
        <w:tc>
          <w:tcPr>
            <w:tcW w:w="899" w:type="dxa"/>
            <w:shd w:val="clear" w:color="auto" w:fill="E6E7E8"/>
          </w:tcPr>
          <w:p>
            <w:pPr>
              <w:pStyle w:val="TableParagraph"/>
              <w:spacing w:before="46"/>
              <w:ind w:right="55"/>
              <w:jc w:val="right"/>
              <w:rPr>
                <w:rFonts w:ascii="TT Norms Pro Light"/>
                <w:b w:val="0"/>
                <w:sz w:val="14"/>
              </w:rPr>
            </w:pPr>
            <w:r>
              <w:rPr>
                <w:rFonts w:ascii="TT Norms Pro Light"/>
                <w:b w:val="0"/>
                <w:spacing w:val="-5"/>
                <w:sz w:val="14"/>
              </w:rPr>
              <w:t>0.0</w:t>
            </w:r>
          </w:p>
        </w:tc>
        <w:tc>
          <w:tcPr>
            <w:tcW w:w="899" w:type="dxa"/>
          </w:tcPr>
          <w:p>
            <w:pPr>
              <w:pStyle w:val="TableParagraph"/>
              <w:spacing w:before="46"/>
              <w:ind w:right="55"/>
              <w:jc w:val="right"/>
              <w:rPr>
                <w:rFonts w:ascii="TT Norms Pro Light"/>
                <w:b w:val="0"/>
                <w:sz w:val="14"/>
              </w:rPr>
            </w:pPr>
            <w:r>
              <w:rPr>
                <w:rFonts w:ascii="TT Norms Pro Light"/>
                <w:b w:val="0"/>
                <w:spacing w:val="-5"/>
                <w:sz w:val="14"/>
              </w:rPr>
              <w:t>0.0</w:t>
            </w:r>
          </w:p>
        </w:tc>
      </w:tr>
      <w:tr>
        <w:trPr>
          <w:trHeight w:val="250" w:hRule="atLeast"/>
        </w:trPr>
        <w:tc>
          <w:tcPr>
            <w:tcW w:w="3389" w:type="dxa"/>
            <w:shd w:val="clear" w:color="auto" w:fill="E6E7E8"/>
          </w:tcPr>
          <w:p>
            <w:pPr>
              <w:pStyle w:val="TableParagraph"/>
              <w:spacing w:before="56"/>
              <w:ind w:left="85"/>
              <w:rPr>
                <w:rFonts w:ascii="TT Norms Pro"/>
                <w:sz w:val="14"/>
              </w:rPr>
            </w:pPr>
            <w:r>
              <w:rPr>
                <w:rFonts w:ascii="TT Norms Pro"/>
                <w:sz w:val="14"/>
              </w:rPr>
              <w:t>Higher</w:t>
            </w:r>
            <w:r>
              <w:rPr>
                <w:rFonts w:ascii="TT Norms Pro"/>
                <w:spacing w:val="8"/>
                <w:sz w:val="14"/>
              </w:rPr>
              <w:t> </w:t>
            </w:r>
            <w:r>
              <w:rPr>
                <w:rFonts w:ascii="TT Norms Pro"/>
                <w:sz w:val="14"/>
              </w:rPr>
              <w:t>degree</w:t>
            </w:r>
            <w:r>
              <w:rPr>
                <w:rFonts w:ascii="TT Norms Pro"/>
                <w:spacing w:val="11"/>
                <w:sz w:val="14"/>
              </w:rPr>
              <w:t> </w:t>
            </w:r>
            <w:r>
              <w:rPr>
                <w:rFonts w:ascii="TT Norms Pro"/>
                <w:spacing w:val="-2"/>
                <w:sz w:val="14"/>
              </w:rPr>
              <w:t>research</w:t>
            </w:r>
          </w:p>
        </w:tc>
        <w:tc>
          <w:tcPr>
            <w:tcW w:w="899" w:type="dxa"/>
          </w:tcPr>
          <w:p>
            <w:pPr>
              <w:pStyle w:val="TableParagraph"/>
              <w:spacing w:before="47"/>
              <w:ind w:right="53"/>
              <w:jc w:val="right"/>
              <w:rPr>
                <w:rFonts w:ascii="TT Norms Pro Light"/>
                <w:b w:val="0"/>
                <w:sz w:val="14"/>
              </w:rPr>
            </w:pPr>
            <w:r>
              <w:rPr>
                <w:rFonts w:ascii="TT Norms Pro Light"/>
                <w:b w:val="0"/>
                <w:spacing w:val="-5"/>
                <w:sz w:val="14"/>
              </w:rPr>
              <w:t>0.0</w:t>
            </w:r>
          </w:p>
        </w:tc>
        <w:tc>
          <w:tcPr>
            <w:tcW w:w="899" w:type="dxa"/>
            <w:shd w:val="clear" w:color="auto" w:fill="E6E7E8"/>
          </w:tcPr>
          <w:p>
            <w:pPr>
              <w:pStyle w:val="TableParagraph"/>
              <w:spacing w:before="47"/>
              <w:ind w:right="54"/>
              <w:jc w:val="right"/>
              <w:rPr>
                <w:rFonts w:ascii="TT Norms Pro Light"/>
                <w:b w:val="0"/>
                <w:sz w:val="14"/>
              </w:rPr>
            </w:pPr>
            <w:r>
              <w:rPr>
                <w:rFonts w:ascii="TT Norms Pro Light"/>
                <w:b w:val="0"/>
                <w:spacing w:val="-5"/>
                <w:sz w:val="14"/>
              </w:rPr>
              <w:t>0.0</w:t>
            </w:r>
          </w:p>
        </w:tc>
        <w:tc>
          <w:tcPr>
            <w:tcW w:w="899" w:type="dxa"/>
          </w:tcPr>
          <w:p>
            <w:pPr>
              <w:pStyle w:val="TableParagraph"/>
              <w:spacing w:before="47"/>
              <w:ind w:right="54"/>
              <w:jc w:val="right"/>
              <w:rPr>
                <w:rFonts w:ascii="TT Norms Pro Light"/>
                <w:b w:val="0"/>
                <w:sz w:val="14"/>
              </w:rPr>
            </w:pPr>
            <w:r>
              <w:rPr>
                <w:rFonts w:ascii="TT Norms Pro Light"/>
                <w:b w:val="0"/>
                <w:spacing w:val="-5"/>
                <w:sz w:val="14"/>
              </w:rPr>
              <w:t>0.0</w:t>
            </w:r>
          </w:p>
        </w:tc>
        <w:tc>
          <w:tcPr>
            <w:tcW w:w="899" w:type="dxa"/>
            <w:shd w:val="clear" w:color="auto" w:fill="E6E7E8"/>
          </w:tcPr>
          <w:p>
            <w:pPr>
              <w:pStyle w:val="TableParagraph"/>
              <w:spacing w:before="47"/>
              <w:ind w:right="54"/>
              <w:jc w:val="right"/>
              <w:rPr>
                <w:rFonts w:ascii="TT Norms Pro Light"/>
                <w:b w:val="0"/>
                <w:sz w:val="14"/>
              </w:rPr>
            </w:pPr>
            <w:r>
              <w:rPr>
                <w:rFonts w:ascii="TT Norms Pro Light"/>
                <w:b w:val="0"/>
                <w:spacing w:val="-5"/>
                <w:sz w:val="14"/>
              </w:rPr>
              <w:t>1.0</w:t>
            </w:r>
          </w:p>
        </w:tc>
        <w:tc>
          <w:tcPr>
            <w:tcW w:w="899" w:type="dxa"/>
          </w:tcPr>
          <w:p>
            <w:pPr>
              <w:pStyle w:val="TableParagraph"/>
              <w:spacing w:before="47"/>
              <w:ind w:right="54"/>
              <w:jc w:val="right"/>
              <w:rPr>
                <w:rFonts w:ascii="TT Norms Pro Light"/>
                <w:b w:val="0"/>
                <w:sz w:val="14"/>
              </w:rPr>
            </w:pPr>
            <w:r>
              <w:rPr>
                <w:rFonts w:ascii="TT Norms Pro Light"/>
                <w:b w:val="0"/>
                <w:spacing w:val="-5"/>
                <w:sz w:val="14"/>
              </w:rPr>
              <w:t>0.0</w:t>
            </w:r>
          </w:p>
        </w:tc>
        <w:tc>
          <w:tcPr>
            <w:tcW w:w="899" w:type="dxa"/>
            <w:shd w:val="clear" w:color="auto" w:fill="E6E7E8"/>
          </w:tcPr>
          <w:p>
            <w:pPr>
              <w:pStyle w:val="TableParagraph"/>
              <w:spacing w:before="47"/>
              <w:ind w:right="55"/>
              <w:jc w:val="right"/>
              <w:rPr>
                <w:rFonts w:ascii="TT Norms Pro Light"/>
                <w:b w:val="0"/>
                <w:sz w:val="14"/>
              </w:rPr>
            </w:pPr>
            <w:r>
              <w:rPr>
                <w:rFonts w:ascii="TT Norms Pro Light"/>
                <w:b w:val="0"/>
                <w:spacing w:val="-5"/>
                <w:sz w:val="14"/>
              </w:rPr>
              <w:t>0.0</w:t>
            </w:r>
          </w:p>
        </w:tc>
        <w:tc>
          <w:tcPr>
            <w:tcW w:w="899" w:type="dxa"/>
          </w:tcPr>
          <w:p>
            <w:pPr>
              <w:pStyle w:val="TableParagraph"/>
              <w:spacing w:before="47"/>
              <w:ind w:right="55"/>
              <w:jc w:val="right"/>
              <w:rPr>
                <w:rFonts w:ascii="TT Norms Pro Light"/>
                <w:b w:val="0"/>
                <w:sz w:val="14"/>
              </w:rPr>
            </w:pPr>
            <w:r>
              <w:rPr>
                <w:rFonts w:ascii="TT Norms Pro Light"/>
                <w:b w:val="0"/>
                <w:spacing w:val="-5"/>
                <w:sz w:val="14"/>
              </w:rPr>
              <w:t>0.0</w:t>
            </w:r>
          </w:p>
        </w:tc>
      </w:tr>
      <w:tr>
        <w:trPr>
          <w:trHeight w:val="250" w:hRule="atLeast"/>
        </w:trPr>
        <w:tc>
          <w:tcPr>
            <w:tcW w:w="3389" w:type="dxa"/>
            <w:shd w:val="clear" w:color="auto" w:fill="E6E7E8"/>
          </w:tcPr>
          <w:p>
            <w:pPr>
              <w:pStyle w:val="TableParagraph"/>
              <w:spacing w:before="56"/>
              <w:ind w:left="85"/>
              <w:rPr>
                <w:rFonts w:ascii="TT Norms Pro"/>
                <w:sz w:val="14"/>
              </w:rPr>
            </w:pPr>
            <w:r>
              <w:rPr>
                <w:rFonts w:ascii="TT Norms Pro"/>
                <w:sz w:val="14"/>
              </w:rPr>
              <w:t>Sub-</w:t>
            </w:r>
            <w:r>
              <w:rPr>
                <w:rFonts w:ascii="TT Norms Pro"/>
                <w:spacing w:val="-2"/>
                <w:sz w:val="14"/>
              </w:rPr>
              <w:t>total</w:t>
            </w:r>
          </w:p>
        </w:tc>
        <w:tc>
          <w:tcPr>
            <w:tcW w:w="899" w:type="dxa"/>
          </w:tcPr>
          <w:p>
            <w:pPr>
              <w:pStyle w:val="TableParagraph"/>
              <w:spacing w:before="47"/>
              <w:ind w:right="53"/>
              <w:jc w:val="right"/>
              <w:rPr>
                <w:rFonts w:ascii="TT Norms Pro Light"/>
                <w:b w:val="0"/>
                <w:sz w:val="14"/>
              </w:rPr>
            </w:pPr>
            <w:r>
              <w:rPr>
                <w:rFonts w:ascii="TT Norms Pro Light"/>
                <w:b w:val="0"/>
                <w:spacing w:val="-5"/>
                <w:sz w:val="14"/>
              </w:rPr>
              <w:t>3.0</w:t>
            </w:r>
          </w:p>
        </w:tc>
        <w:tc>
          <w:tcPr>
            <w:tcW w:w="899" w:type="dxa"/>
            <w:shd w:val="clear" w:color="auto" w:fill="E6E7E8"/>
          </w:tcPr>
          <w:p>
            <w:pPr>
              <w:pStyle w:val="TableParagraph"/>
              <w:spacing w:before="47"/>
              <w:ind w:right="53"/>
              <w:jc w:val="right"/>
              <w:rPr>
                <w:rFonts w:ascii="TT Norms Pro Light"/>
                <w:b w:val="0"/>
                <w:sz w:val="14"/>
              </w:rPr>
            </w:pPr>
            <w:r>
              <w:rPr>
                <w:rFonts w:ascii="TT Norms Pro Light"/>
                <w:b w:val="0"/>
                <w:spacing w:val="-5"/>
                <w:sz w:val="14"/>
              </w:rPr>
              <w:t>1.0</w:t>
            </w:r>
          </w:p>
        </w:tc>
        <w:tc>
          <w:tcPr>
            <w:tcW w:w="899" w:type="dxa"/>
          </w:tcPr>
          <w:p>
            <w:pPr>
              <w:pStyle w:val="TableParagraph"/>
              <w:spacing w:before="47"/>
              <w:ind w:right="54"/>
              <w:jc w:val="right"/>
              <w:rPr>
                <w:rFonts w:ascii="TT Norms Pro Light"/>
                <w:b w:val="0"/>
                <w:sz w:val="14"/>
              </w:rPr>
            </w:pPr>
            <w:r>
              <w:rPr>
                <w:rFonts w:ascii="TT Norms Pro Light"/>
                <w:b w:val="0"/>
                <w:spacing w:val="-5"/>
                <w:sz w:val="14"/>
              </w:rPr>
              <w:t>0.0</w:t>
            </w:r>
          </w:p>
        </w:tc>
        <w:tc>
          <w:tcPr>
            <w:tcW w:w="899" w:type="dxa"/>
            <w:shd w:val="clear" w:color="auto" w:fill="E6E7E8"/>
          </w:tcPr>
          <w:p>
            <w:pPr>
              <w:pStyle w:val="TableParagraph"/>
              <w:spacing w:before="47"/>
              <w:ind w:right="54"/>
              <w:jc w:val="right"/>
              <w:rPr>
                <w:rFonts w:ascii="TT Norms Pro Light"/>
                <w:b w:val="0"/>
                <w:sz w:val="14"/>
              </w:rPr>
            </w:pPr>
            <w:r>
              <w:rPr>
                <w:rFonts w:ascii="TT Norms Pro Light"/>
                <w:b w:val="0"/>
                <w:spacing w:val="-5"/>
                <w:sz w:val="14"/>
              </w:rPr>
              <w:t>1.0</w:t>
            </w:r>
          </w:p>
        </w:tc>
        <w:tc>
          <w:tcPr>
            <w:tcW w:w="899" w:type="dxa"/>
          </w:tcPr>
          <w:p>
            <w:pPr>
              <w:pStyle w:val="TableParagraph"/>
              <w:spacing w:before="47"/>
              <w:ind w:right="54"/>
              <w:jc w:val="right"/>
              <w:rPr>
                <w:rFonts w:ascii="TT Norms Pro Light"/>
                <w:b w:val="0"/>
                <w:sz w:val="14"/>
              </w:rPr>
            </w:pPr>
            <w:r>
              <w:rPr>
                <w:rFonts w:ascii="TT Norms Pro Light"/>
                <w:b w:val="0"/>
                <w:spacing w:val="-5"/>
                <w:sz w:val="14"/>
              </w:rPr>
              <w:t>0.0</w:t>
            </w:r>
          </w:p>
        </w:tc>
        <w:tc>
          <w:tcPr>
            <w:tcW w:w="899" w:type="dxa"/>
            <w:shd w:val="clear" w:color="auto" w:fill="E6E7E8"/>
          </w:tcPr>
          <w:p>
            <w:pPr>
              <w:pStyle w:val="TableParagraph"/>
              <w:spacing w:before="47"/>
              <w:ind w:right="54"/>
              <w:jc w:val="right"/>
              <w:rPr>
                <w:rFonts w:ascii="TT Norms Pro Light"/>
                <w:b w:val="0"/>
                <w:sz w:val="14"/>
              </w:rPr>
            </w:pPr>
            <w:r>
              <w:rPr>
                <w:rFonts w:ascii="TT Norms Pro Light"/>
                <w:b w:val="0"/>
                <w:spacing w:val="-5"/>
                <w:sz w:val="14"/>
              </w:rPr>
              <w:t>0.0</w:t>
            </w:r>
          </w:p>
        </w:tc>
        <w:tc>
          <w:tcPr>
            <w:tcW w:w="899" w:type="dxa"/>
          </w:tcPr>
          <w:p>
            <w:pPr>
              <w:pStyle w:val="TableParagraph"/>
              <w:spacing w:before="47"/>
              <w:ind w:right="54"/>
              <w:jc w:val="right"/>
              <w:rPr>
                <w:rFonts w:ascii="TT Norms Pro Light"/>
                <w:b w:val="0"/>
                <w:sz w:val="14"/>
              </w:rPr>
            </w:pPr>
            <w:r>
              <w:rPr>
                <w:rFonts w:ascii="TT Norms Pro Light"/>
                <w:b w:val="0"/>
                <w:spacing w:val="-5"/>
                <w:sz w:val="14"/>
              </w:rPr>
              <w:t>0.0</w:t>
            </w:r>
          </w:p>
        </w:tc>
      </w:tr>
      <w:tr>
        <w:trPr>
          <w:trHeight w:val="252" w:hRule="atLeast"/>
        </w:trPr>
        <w:tc>
          <w:tcPr>
            <w:tcW w:w="3389" w:type="dxa"/>
            <w:tcBorders>
              <w:bottom w:val="single" w:sz="2" w:space="0" w:color="000000"/>
            </w:tcBorders>
            <w:shd w:val="clear" w:color="auto" w:fill="E6E7E8"/>
          </w:tcPr>
          <w:p>
            <w:pPr>
              <w:pStyle w:val="TableParagraph"/>
              <w:spacing w:before="48"/>
              <w:ind w:left="85"/>
              <w:rPr>
                <w:rFonts w:ascii="Verdana"/>
                <w:i/>
                <w:sz w:val="14"/>
              </w:rPr>
            </w:pPr>
            <w:r>
              <w:rPr>
                <w:rFonts w:ascii="Verdana"/>
                <w:i/>
                <w:w w:val="70"/>
                <w:sz w:val="14"/>
              </w:rPr>
              <w:t>%</w:t>
            </w:r>
            <w:r>
              <w:rPr>
                <w:rFonts w:ascii="Verdana"/>
                <w:i/>
                <w:spacing w:val="-6"/>
                <w:w w:val="70"/>
                <w:sz w:val="14"/>
              </w:rPr>
              <w:t> </w:t>
            </w:r>
            <w:r>
              <w:rPr>
                <w:rFonts w:ascii="Verdana"/>
                <w:i/>
                <w:spacing w:val="-2"/>
                <w:w w:val="95"/>
                <w:sz w:val="14"/>
              </w:rPr>
              <w:t>Unknown</w:t>
            </w:r>
          </w:p>
        </w:tc>
        <w:tc>
          <w:tcPr>
            <w:tcW w:w="899" w:type="dxa"/>
            <w:tcBorders>
              <w:bottom w:val="single" w:sz="2" w:space="0" w:color="000000"/>
            </w:tcBorders>
          </w:tcPr>
          <w:p>
            <w:pPr>
              <w:pStyle w:val="TableParagraph"/>
              <w:spacing w:before="47"/>
              <w:ind w:right="54"/>
              <w:jc w:val="right"/>
              <w:rPr>
                <w:rFonts w:ascii="TT Norms Pro Light"/>
                <w:b w:val="0"/>
                <w:sz w:val="14"/>
              </w:rPr>
            </w:pPr>
            <w:r>
              <w:rPr>
                <w:rFonts w:ascii="TT Norms Pro Light"/>
                <w:b w:val="0"/>
                <w:spacing w:val="-5"/>
                <w:sz w:val="14"/>
              </w:rPr>
              <w:t>0.0</w:t>
            </w:r>
          </w:p>
        </w:tc>
        <w:tc>
          <w:tcPr>
            <w:tcW w:w="899" w:type="dxa"/>
            <w:tcBorders>
              <w:bottom w:val="single" w:sz="2" w:space="0" w:color="000000"/>
            </w:tcBorders>
            <w:shd w:val="clear" w:color="auto" w:fill="E6E7E8"/>
          </w:tcPr>
          <w:p>
            <w:pPr>
              <w:pStyle w:val="TableParagraph"/>
              <w:spacing w:before="47"/>
              <w:ind w:right="54"/>
              <w:jc w:val="right"/>
              <w:rPr>
                <w:rFonts w:ascii="TT Norms Pro Light"/>
                <w:b w:val="0"/>
                <w:sz w:val="14"/>
              </w:rPr>
            </w:pPr>
            <w:r>
              <w:rPr>
                <w:rFonts w:ascii="TT Norms Pro Light"/>
                <w:b w:val="0"/>
                <w:spacing w:val="-5"/>
                <w:sz w:val="14"/>
              </w:rPr>
              <w:t>0.0</w:t>
            </w:r>
          </w:p>
        </w:tc>
        <w:tc>
          <w:tcPr>
            <w:tcW w:w="899" w:type="dxa"/>
            <w:tcBorders>
              <w:bottom w:val="single" w:sz="2" w:space="0" w:color="000000"/>
            </w:tcBorders>
          </w:tcPr>
          <w:p>
            <w:pPr>
              <w:pStyle w:val="TableParagraph"/>
              <w:spacing w:before="47"/>
              <w:ind w:right="54"/>
              <w:jc w:val="right"/>
              <w:rPr>
                <w:rFonts w:ascii="TT Norms Pro Light"/>
                <w:b w:val="0"/>
                <w:sz w:val="14"/>
              </w:rPr>
            </w:pPr>
            <w:r>
              <w:rPr>
                <w:rFonts w:ascii="TT Norms Pro Light"/>
                <w:b w:val="0"/>
                <w:spacing w:val="-5"/>
                <w:sz w:val="14"/>
              </w:rPr>
              <w:t>0.0</w:t>
            </w:r>
          </w:p>
        </w:tc>
        <w:tc>
          <w:tcPr>
            <w:tcW w:w="899" w:type="dxa"/>
            <w:tcBorders>
              <w:bottom w:val="single" w:sz="2" w:space="0" w:color="000000"/>
            </w:tcBorders>
            <w:shd w:val="clear" w:color="auto" w:fill="E6E7E8"/>
          </w:tcPr>
          <w:p>
            <w:pPr>
              <w:pStyle w:val="TableParagraph"/>
              <w:spacing w:before="47"/>
              <w:ind w:right="54"/>
              <w:jc w:val="right"/>
              <w:rPr>
                <w:rFonts w:ascii="TT Norms Pro Light"/>
                <w:b w:val="0"/>
                <w:sz w:val="14"/>
              </w:rPr>
            </w:pPr>
            <w:r>
              <w:rPr>
                <w:rFonts w:ascii="TT Norms Pro Light"/>
                <w:b w:val="0"/>
                <w:spacing w:val="-5"/>
                <w:sz w:val="14"/>
              </w:rPr>
              <w:t>0.0</w:t>
            </w:r>
          </w:p>
        </w:tc>
        <w:tc>
          <w:tcPr>
            <w:tcW w:w="899" w:type="dxa"/>
            <w:tcBorders>
              <w:bottom w:val="single" w:sz="2" w:space="0" w:color="000000"/>
            </w:tcBorders>
          </w:tcPr>
          <w:p>
            <w:pPr>
              <w:pStyle w:val="TableParagraph"/>
              <w:spacing w:before="47"/>
              <w:ind w:right="55"/>
              <w:jc w:val="right"/>
              <w:rPr>
                <w:rFonts w:ascii="TT Norms Pro Light"/>
                <w:b w:val="0"/>
                <w:sz w:val="14"/>
              </w:rPr>
            </w:pPr>
            <w:r>
              <w:rPr>
                <w:rFonts w:ascii="TT Norms Pro Light"/>
                <w:b w:val="0"/>
                <w:spacing w:val="-5"/>
                <w:sz w:val="14"/>
              </w:rPr>
              <w:t>0.0</w:t>
            </w:r>
          </w:p>
        </w:tc>
        <w:tc>
          <w:tcPr>
            <w:tcW w:w="899" w:type="dxa"/>
            <w:tcBorders>
              <w:bottom w:val="single" w:sz="2" w:space="0" w:color="000000"/>
            </w:tcBorders>
            <w:shd w:val="clear" w:color="auto" w:fill="E6E7E8"/>
          </w:tcPr>
          <w:p>
            <w:pPr>
              <w:pStyle w:val="TableParagraph"/>
              <w:spacing w:before="47"/>
              <w:ind w:right="55"/>
              <w:jc w:val="right"/>
              <w:rPr>
                <w:rFonts w:ascii="TT Norms Pro Light"/>
                <w:b w:val="0"/>
                <w:sz w:val="14"/>
              </w:rPr>
            </w:pPr>
            <w:r>
              <w:rPr>
                <w:rFonts w:ascii="TT Norms Pro Light"/>
                <w:b w:val="0"/>
                <w:spacing w:val="-5"/>
                <w:sz w:val="14"/>
              </w:rPr>
              <w:t>0.0</w:t>
            </w:r>
          </w:p>
        </w:tc>
        <w:tc>
          <w:tcPr>
            <w:tcW w:w="899" w:type="dxa"/>
            <w:tcBorders>
              <w:bottom w:val="single" w:sz="2" w:space="0" w:color="000000"/>
            </w:tcBorders>
          </w:tcPr>
          <w:p>
            <w:pPr>
              <w:pStyle w:val="TableParagraph"/>
              <w:spacing w:before="47"/>
              <w:ind w:right="55"/>
              <w:jc w:val="right"/>
              <w:rPr>
                <w:rFonts w:ascii="TT Norms Pro Light"/>
                <w:b w:val="0"/>
                <w:sz w:val="14"/>
              </w:rPr>
            </w:pPr>
            <w:r>
              <w:rPr>
                <w:rFonts w:ascii="TT Norms Pro Light"/>
                <w:b w:val="0"/>
                <w:spacing w:val="-5"/>
                <w:sz w:val="14"/>
              </w:rPr>
              <w:t>0.0</w:t>
            </w:r>
          </w:p>
        </w:tc>
      </w:tr>
      <w:tr>
        <w:trPr>
          <w:trHeight w:val="495" w:hRule="atLeast"/>
        </w:trPr>
        <w:tc>
          <w:tcPr>
            <w:tcW w:w="3389" w:type="dxa"/>
            <w:tcBorders>
              <w:top w:val="single" w:sz="2" w:space="0" w:color="000000"/>
              <w:bottom w:val="single" w:sz="2" w:space="0" w:color="000000"/>
            </w:tcBorders>
            <w:shd w:val="clear" w:color="auto" w:fill="E6E7E8"/>
          </w:tcPr>
          <w:p>
            <w:pPr>
              <w:pStyle w:val="TableParagraph"/>
              <w:spacing w:before="48"/>
              <w:ind w:left="85"/>
              <w:rPr>
                <w:rFonts w:ascii="TT Norms Pro"/>
                <w:b/>
                <w:sz w:val="14"/>
              </w:rPr>
            </w:pPr>
            <w:r>
              <w:rPr>
                <w:rFonts w:ascii="TT Norms Pro"/>
                <w:b/>
                <w:sz w:val="14"/>
              </w:rPr>
              <w:t>GRAND</w:t>
            </w:r>
            <w:r>
              <w:rPr>
                <w:rFonts w:ascii="TT Norms Pro"/>
                <w:b/>
                <w:spacing w:val="14"/>
                <w:sz w:val="14"/>
              </w:rPr>
              <w:t> </w:t>
            </w:r>
            <w:r>
              <w:rPr>
                <w:rFonts w:ascii="TT Norms Pro"/>
                <w:b/>
                <w:spacing w:val="-4"/>
                <w:sz w:val="14"/>
              </w:rPr>
              <w:t>TOTAL</w:t>
            </w:r>
          </w:p>
          <w:p>
            <w:pPr>
              <w:pStyle w:val="TableParagraph"/>
              <w:spacing w:before="87"/>
              <w:ind w:left="85"/>
              <w:rPr>
                <w:rFonts w:ascii="TT Norms Pro"/>
                <w:sz w:val="14"/>
              </w:rPr>
            </w:pPr>
            <w:r>
              <w:rPr>
                <w:rFonts w:ascii="TT Norms Pro"/>
                <w:sz w:val="14"/>
              </w:rPr>
              <w:t>Grand</w:t>
            </w:r>
            <w:r>
              <w:rPr>
                <w:rFonts w:ascii="TT Norms Pro"/>
                <w:spacing w:val="10"/>
                <w:sz w:val="14"/>
              </w:rPr>
              <w:t> </w:t>
            </w:r>
            <w:r>
              <w:rPr>
                <w:rFonts w:ascii="TT Norms Pro"/>
                <w:spacing w:val="-2"/>
                <w:sz w:val="14"/>
              </w:rPr>
              <w:t>total</w:t>
            </w:r>
          </w:p>
        </w:tc>
        <w:tc>
          <w:tcPr>
            <w:tcW w:w="899" w:type="dxa"/>
            <w:tcBorders>
              <w:top w:val="single" w:sz="2" w:space="0" w:color="000000"/>
              <w:bottom w:val="single" w:sz="2" w:space="0" w:color="000000"/>
            </w:tcBorders>
          </w:tcPr>
          <w:p>
            <w:pPr>
              <w:pStyle w:val="TableParagraph"/>
              <w:spacing w:before="126"/>
              <w:rPr>
                <w:rFonts w:ascii="TT Norms Pro"/>
                <w:b/>
                <w:sz w:val="14"/>
              </w:rPr>
            </w:pPr>
          </w:p>
          <w:p>
            <w:pPr>
              <w:pStyle w:val="TableParagraph"/>
              <w:ind w:right="50"/>
              <w:jc w:val="right"/>
              <w:rPr>
                <w:rFonts w:ascii="TT Norms Pro Light"/>
                <w:b w:val="0"/>
                <w:sz w:val="14"/>
              </w:rPr>
            </w:pPr>
            <w:r>
              <w:rPr>
                <w:rFonts w:ascii="TT Norms Pro Light"/>
                <w:b w:val="0"/>
                <w:spacing w:val="-2"/>
                <w:sz w:val="14"/>
              </w:rPr>
              <w:t>21,305.8</w:t>
            </w:r>
          </w:p>
        </w:tc>
        <w:tc>
          <w:tcPr>
            <w:tcW w:w="899" w:type="dxa"/>
            <w:tcBorders>
              <w:top w:val="single" w:sz="2" w:space="0" w:color="000000"/>
              <w:bottom w:val="single" w:sz="2" w:space="0" w:color="000000"/>
            </w:tcBorders>
            <w:shd w:val="clear" w:color="auto" w:fill="E6E7E8"/>
          </w:tcPr>
          <w:p>
            <w:pPr>
              <w:pStyle w:val="TableParagraph"/>
              <w:spacing w:before="126"/>
              <w:rPr>
                <w:rFonts w:ascii="TT Norms Pro"/>
                <w:b/>
                <w:sz w:val="14"/>
              </w:rPr>
            </w:pPr>
          </w:p>
          <w:p>
            <w:pPr>
              <w:pStyle w:val="TableParagraph"/>
              <w:ind w:right="55"/>
              <w:jc w:val="right"/>
              <w:rPr>
                <w:rFonts w:ascii="TT Norms Pro Light"/>
                <w:b w:val="0"/>
                <w:sz w:val="14"/>
              </w:rPr>
            </w:pPr>
            <w:r>
              <w:rPr>
                <w:rFonts w:ascii="TT Norms Pro Light"/>
                <w:b w:val="0"/>
                <w:spacing w:val="-2"/>
                <w:sz w:val="14"/>
              </w:rPr>
              <w:t>19,928.9</w:t>
            </w:r>
          </w:p>
        </w:tc>
        <w:tc>
          <w:tcPr>
            <w:tcW w:w="899" w:type="dxa"/>
            <w:tcBorders>
              <w:top w:val="single" w:sz="2" w:space="0" w:color="000000"/>
              <w:bottom w:val="single" w:sz="2" w:space="0" w:color="000000"/>
            </w:tcBorders>
          </w:tcPr>
          <w:p>
            <w:pPr>
              <w:pStyle w:val="TableParagraph"/>
              <w:spacing w:before="126"/>
              <w:rPr>
                <w:rFonts w:ascii="TT Norms Pro"/>
                <w:b/>
                <w:sz w:val="14"/>
              </w:rPr>
            </w:pPr>
          </w:p>
          <w:p>
            <w:pPr>
              <w:pStyle w:val="TableParagraph"/>
              <w:ind w:right="55"/>
              <w:jc w:val="right"/>
              <w:rPr>
                <w:rFonts w:ascii="TT Norms Pro Light"/>
                <w:b w:val="0"/>
                <w:sz w:val="14"/>
              </w:rPr>
            </w:pPr>
            <w:r>
              <w:rPr>
                <w:rFonts w:ascii="TT Norms Pro Light"/>
                <w:b w:val="0"/>
                <w:spacing w:val="-2"/>
                <w:sz w:val="14"/>
              </w:rPr>
              <w:t>19,845.1</w:t>
            </w:r>
          </w:p>
        </w:tc>
        <w:tc>
          <w:tcPr>
            <w:tcW w:w="899" w:type="dxa"/>
            <w:tcBorders>
              <w:top w:val="single" w:sz="2" w:space="0" w:color="000000"/>
              <w:bottom w:val="single" w:sz="2" w:space="0" w:color="000000"/>
            </w:tcBorders>
            <w:shd w:val="clear" w:color="auto" w:fill="E6E7E8"/>
          </w:tcPr>
          <w:p>
            <w:pPr>
              <w:pStyle w:val="TableParagraph"/>
              <w:spacing w:before="126"/>
              <w:rPr>
                <w:rFonts w:ascii="TT Norms Pro"/>
                <w:b/>
                <w:sz w:val="14"/>
              </w:rPr>
            </w:pPr>
          </w:p>
          <w:p>
            <w:pPr>
              <w:pStyle w:val="TableParagraph"/>
              <w:ind w:right="56"/>
              <w:jc w:val="right"/>
              <w:rPr>
                <w:rFonts w:ascii="TT Norms Pro Light"/>
                <w:b w:val="0"/>
                <w:sz w:val="14"/>
              </w:rPr>
            </w:pPr>
            <w:r>
              <w:rPr>
                <w:rFonts w:ascii="TT Norms Pro Light"/>
                <w:b w:val="0"/>
                <w:spacing w:val="-2"/>
                <w:sz w:val="14"/>
              </w:rPr>
              <w:t>19,708.7</w:t>
            </w:r>
          </w:p>
        </w:tc>
        <w:tc>
          <w:tcPr>
            <w:tcW w:w="899" w:type="dxa"/>
            <w:tcBorders>
              <w:top w:val="single" w:sz="2" w:space="0" w:color="000000"/>
              <w:bottom w:val="single" w:sz="2" w:space="0" w:color="000000"/>
            </w:tcBorders>
          </w:tcPr>
          <w:p>
            <w:pPr>
              <w:pStyle w:val="TableParagraph"/>
              <w:spacing w:before="126"/>
              <w:rPr>
                <w:rFonts w:ascii="TT Norms Pro"/>
                <w:b/>
                <w:sz w:val="14"/>
              </w:rPr>
            </w:pPr>
          </w:p>
          <w:p>
            <w:pPr>
              <w:pStyle w:val="TableParagraph"/>
              <w:ind w:right="56"/>
              <w:jc w:val="right"/>
              <w:rPr>
                <w:rFonts w:ascii="TT Norms Pro Light"/>
                <w:b w:val="0"/>
                <w:sz w:val="14"/>
              </w:rPr>
            </w:pPr>
            <w:r>
              <w:rPr>
                <w:rFonts w:ascii="TT Norms Pro Light"/>
                <w:b w:val="0"/>
                <w:spacing w:val="-2"/>
                <w:sz w:val="14"/>
              </w:rPr>
              <w:t>19,213.1</w:t>
            </w:r>
          </w:p>
        </w:tc>
        <w:tc>
          <w:tcPr>
            <w:tcW w:w="899" w:type="dxa"/>
            <w:tcBorders>
              <w:top w:val="single" w:sz="2" w:space="0" w:color="000000"/>
              <w:bottom w:val="single" w:sz="2" w:space="0" w:color="000000"/>
            </w:tcBorders>
            <w:shd w:val="clear" w:color="auto" w:fill="E6E7E8"/>
          </w:tcPr>
          <w:p>
            <w:pPr>
              <w:pStyle w:val="TableParagraph"/>
              <w:spacing w:before="126"/>
              <w:rPr>
                <w:rFonts w:ascii="TT Norms Pro"/>
                <w:b/>
                <w:sz w:val="14"/>
              </w:rPr>
            </w:pPr>
          </w:p>
          <w:p>
            <w:pPr>
              <w:pStyle w:val="TableParagraph"/>
              <w:ind w:right="56"/>
              <w:jc w:val="right"/>
              <w:rPr>
                <w:rFonts w:ascii="TT Norms Pro Light"/>
                <w:b w:val="0"/>
                <w:sz w:val="14"/>
              </w:rPr>
            </w:pPr>
            <w:r>
              <w:rPr>
                <w:rFonts w:ascii="TT Norms Pro Light"/>
                <w:b w:val="0"/>
                <w:spacing w:val="-2"/>
                <w:sz w:val="14"/>
              </w:rPr>
              <w:t>18,967.4</w:t>
            </w:r>
          </w:p>
        </w:tc>
        <w:tc>
          <w:tcPr>
            <w:tcW w:w="899" w:type="dxa"/>
            <w:tcBorders>
              <w:top w:val="single" w:sz="2" w:space="0" w:color="000000"/>
              <w:bottom w:val="single" w:sz="2" w:space="0" w:color="000000"/>
            </w:tcBorders>
          </w:tcPr>
          <w:p>
            <w:pPr>
              <w:pStyle w:val="TableParagraph"/>
              <w:spacing w:before="126"/>
              <w:rPr>
                <w:rFonts w:ascii="TT Norms Pro"/>
                <w:b/>
                <w:sz w:val="14"/>
              </w:rPr>
            </w:pPr>
          </w:p>
          <w:p>
            <w:pPr>
              <w:pStyle w:val="TableParagraph"/>
              <w:ind w:right="56"/>
              <w:jc w:val="right"/>
              <w:rPr>
                <w:rFonts w:ascii="TT Norms Pro Light"/>
                <w:b w:val="0"/>
                <w:sz w:val="14"/>
              </w:rPr>
            </w:pPr>
            <w:r>
              <w:rPr>
                <w:rFonts w:ascii="TT Norms Pro Light"/>
                <w:b w:val="0"/>
                <w:spacing w:val="-2"/>
                <w:sz w:val="14"/>
              </w:rPr>
              <w:t>18,717.2</w:t>
            </w:r>
          </w:p>
        </w:tc>
      </w:tr>
    </w:tbl>
    <w:p>
      <w:pPr>
        <w:spacing w:line="264" w:lineRule="auto" w:before="121"/>
        <w:ind w:left="312" w:right="3414" w:hanging="56"/>
        <w:jc w:val="left"/>
        <w:rPr>
          <w:rFonts w:ascii="TT Norms Pro Light"/>
          <w:b w:val="0"/>
          <w:sz w:val="14"/>
        </w:rPr>
      </w:pPr>
      <w:r>
        <w:rPr/>
        <mc:AlternateContent>
          <mc:Choice Requires="wps">
            <w:drawing>
              <wp:anchor distT="0" distB="0" distL="0" distR="0" allowOverlap="1" layoutInCell="1" locked="0" behindDoc="0" simplePos="0" relativeHeight="15823872">
                <wp:simplePos x="0" y="0"/>
                <wp:positionH relativeFrom="page">
                  <wp:posOffset>7111289</wp:posOffset>
                </wp:positionH>
                <wp:positionV relativeFrom="paragraph">
                  <wp:posOffset>-615140</wp:posOffset>
                </wp:positionV>
                <wp:extent cx="177800" cy="1848485"/>
                <wp:effectExtent l="0" t="0" r="0" b="0"/>
                <wp:wrapNone/>
                <wp:docPr id="462" name="Textbox 462"/>
                <wp:cNvGraphicFramePr>
                  <a:graphicFrameLocks/>
                </wp:cNvGraphicFramePr>
                <a:graphic>
                  <a:graphicData uri="http://schemas.microsoft.com/office/word/2010/wordprocessingShape">
                    <wps:wsp>
                      <wps:cNvPr id="462" name="Textbox 462"/>
                      <wps:cNvSpPr txBox="1"/>
                      <wps:spPr>
                        <a:xfrm>
                          <a:off x="0" y="0"/>
                          <a:ext cx="177800" cy="184848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48.436298pt;width:14pt;height:145.550pt;mso-position-horizontal-relative:page;mso-position-vertical-relative:paragraph;z-index:15823872" type="#_x0000_t202" id="docshape290"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v:textbox>
                <w10:wrap type="none"/>
              </v:shape>
            </w:pict>
          </mc:Fallback>
        </mc:AlternateContent>
      </w:r>
      <w:r>
        <w:rPr>
          <w:rFonts w:ascii="TT Norms Pro Light"/>
          <w:b w:val="0"/>
          <w:position w:val="5"/>
          <w:sz w:val="8"/>
        </w:rPr>
        <w:t>1</w:t>
      </w:r>
      <w:r>
        <w:rPr>
          <w:rFonts w:ascii="TT Norms Pro Light"/>
          <w:b w:val="0"/>
          <w:spacing w:val="18"/>
          <w:position w:val="5"/>
          <w:sz w:val="8"/>
        </w:rPr>
        <w:t> </w:t>
      </w:r>
      <w:r>
        <w:rPr>
          <w:rFonts w:ascii="TT Norms Pro Light"/>
          <w:b w:val="0"/>
          <w:sz w:val="14"/>
        </w:rPr>
        <w:t>2020 full year load as at 31 December 2020. Time-limit and non-award category includes unknown funding group.</w:t>
      </w:r>
      <w:r>
        <w:rPr>
          <w:rFonts w:ascii="TT Norms Pro Light"/>
          <w:b w:val="0"/>
          <w:spacing w:val="40"/>
          <w:sz w:val="14"/>
        </w:rPr>
        <w:t> </w:t>
      </w:r>
      <w:r>
        <w:rPr>
          <w:rFonts w:ascii="TT Norms Pro Light"/>
          <w:b w:val="0"/>
          <w:sz w:val="14"/>
        </w:rPr>
        <w:t>Discrepancies between the sums of component items and totals are due to rounding.</w:t>
      </w:r>
    </w:p>
    <w:p>
      <w:pPr>
        <w:spacing w:after="0" w:line="264" w:lineRule="auto"/>
        <w:jc w:val="left"/>
        <w:rPr>
          <w:rFonts w:ascii="TT Norms Pro Light"/>
          <w:sz w:val="14"/>
        </w:rPr>
        <w:sectPr>
          <w:pgSz w:w="11910" w:h="16840"/>
          <w:pgMar w:header="468" w:footer="0" w:top="680" w:bottom="280" w:left="920" w:right="0"/>
        </w:sectPr>
      </w:pPr>
    </w:p>
    <w:p>
      <w:pPr>
        <w:pStyle w:val="BodyText"/>
        <w:rPr>
          <w:b w:val="0"/>
          <w:sz w:val="16"/>
        </w:rPr>
      </w:pPr>
    </w:p>
    <w:p>
      <w:pPr>
        <w:pStyle w:val="BodyText"/>
        <w:rPr>
          <w:b w:val="0"/>
          <w:sz w:val="16"/>
        </w:rPr>
      </w:pPr>
    </w:p>
    <w:p>
      <w:pPr>
        <w:pStyle w:val="BodyText"/>
        <w:spacing w:before="36"/>
        <w:rPr>
          <w:b w:val="0"/>
          <w:sz w:val="16"/>
        </w:rPr>
      </w:pPr>
    </w:p>
    <w:p>
      <w:pPr>
        <w:spacing w:before="0"/>
        <w:ind w:left="213" w:right="0" w:firstLine="0"/>
        <w:jc w:val="left"/>
        <w:rPr>
          <w:rFonts w:ascii="TT Norms Pro Medium" w:hAnsi="TT Norms Pro Medium"/>
          <w:b/>
          <w:sz w:val="16"/>
        </w:rPr>
      </w:pPr>
      <w:r>
        <w:rPr>
          <w:rFonts w:ascii="TT Norms Pro Medium" w:hAnsi="TT Norms Pro Medium"/>
          <w:b/>
          <w:spacing w:val="-4"/>
          <w:sz w:val="16"/>
        </w:rPr>
        <w:t>STUDENT</w:t>
      </w:r>
      <w:r>
        <w:rPr>
          <w:rFonts w:ascii="TT Norms Pro Medium" w:hAnsi="TT Norms Pro Medium"/>
          <w:b/>
          <w:spacing w:val="-1"/>
          <w:sz w:val="16"/>
        </w:rPr>
        <w:t> </w:t>
      </w:r>
      <w:r>
        <w:rPr>
          <w:rFonts w:ascii="TT Norms Pro Medium" w:hAnsi="TT Norms Pro Medium"/>
          <w:b/>
          <w:spacing w:val="-4"/>
          <w:sz w:val="16"/>
        </w:rPr>
        <w:t>LOAD</w:t>
      </w:r>
      <w:r>
        <w:rPr>
          <w:rFonts w:ascii="TT Norms Pro Medium" w:hAnsi="TT Norms Pro Medium"/>
          <w:b/>
          <w:sz w:val="16"/>
        </w:rPr>
        <w:t> </w:t>
      </w:r>
      <w:r>
        <w:rPr>
          <w:rFonts w:ascii="TT Norms Pro Medium" w:hAnsi="TT Norms Pro Medium"/>
          <w:b/>
          <w:spacing w:val="-4"/>
          <w:sz w:val="16"/>
        </w:rPr>
        <w:t>BY</w:t>
      </w:r>
      <w:r>
        <w:rPr>
          <w:rFonts w:ascii="TT Norms Pro Medium" w:hAnsi="TT Norms Pro Medium"/>
          <w:b/>
          <w:sz w:val="16"/>
        </w:rPr>
        <w:t> </w:t>
      </w:r>
      <w:r>
        <w:rPr>
          <w:rFonts w:ascii="TT Norms Pro Medium" w:hAnsi="TT Norms Pro Medium"/>
          <w:b/>
          <w:spacing w:val="-4"/>
          <w:sz w:val="16"/>
        </w:rPr>
        <w:t>FUNDING</w:t>
      </w:r>
      <w:r>
        <w:rPr>
          <w:rFonts w:ascii="TT Norms Pro Medium" w:hAnsi="TT Norms Pro Medium"/>
          <w:b/>
          <w:sz w:val="16"/>
        </w:rPr>
        <w:t> </w:t>
      </w:r>
      <w:r>
        <w:rPr>
          <w:rFonts w:ascii="TT Norms Pro Medium" w:hAnsi="TT Norms Pro Medium"/>
          <w:b/>
          <w:spacing w:val="-4"/>
          <w:sz w:val="16"/>
        </w:rPr>
        <w:t>SOURCE</w:t>
      </w:r>
      <w:r>
        <w:rPr>
          <w:rFonts w:ascii="TT Norms Pro Medium" w:hAnsi="TT Norms Pro Medium"/>
          <w:b/>
          <w:sz w:val="16"/>
        </w:rPr>
        <w:t> </w:t>
      </w:r>
      <w:r>
        <w:rPr>
          <w:rFonts w:ascii="TT Norms Pro Medium" w:hAnsi="TT Norms Pro Medium"/>
          <w:b/>
          <w:spacing w:val="-4"/>
          <w:sz w:val="16"/>
        </w:rPr>
        <w:t>AND</w:t>
      </w:r>
      <w:r>
        <w:rPr>
          <w:rFonts w:ascii="TT Norms Pro Medium" w:hAnsi="TT Norms Pro Medium"/>
          <w:b/>
          <w:sz w:val="16"/>
        </w:rPr>
        <w:t> </w:t>
      </w:r>
      <w:r>
        <w:rPr>
          <w:rFonts w:ascii="TT Norms Pro Medium" w:hAnsi="TT Norms Pro Medium"/>
          <w:b/>
          <w:spacing w:val="-4"/>
          <w:sz w:val="16"/>
        </w:rPr>
        <w:t>BROAD</w:t>
      </w:r>
      <w:r>
        <w:rPr>
          <w:rFonts w:ascii="TT Norms Pro Medium" w:hAnsi="TT Norms Pro Medium"/>
          <w:b/>
          <w:sz w:val="16"/>
        </w:rPr>
        <w:t> </w:t>
      </w:r>
      <w:r>
        <w:rPr>
          <w:rFonts w:ascii="TT Norms Pro Medium" w:hAnsi="TT Norms Pro Medium"/>
          <w:b/>
          <w:spacing w:val="-4"/>
          <w:sz w:val="16"/>
        </w:rPr>
        <w:t>COURSE</w:t>
      </w:r>
      <w:r>
        <w:rPr>
          <w:rFonts w:ascii="TT Norms Pro Medium" w:hAnsi="TT Norms Pro Medium"/>
          <w:b/>
          <w:spacing w:val="-1"/>
          <w:sz w:val="16"/>
        </w:rPr>
        <w:t> </w:t>
      </w:r>
      <w:r>
        <w:rPr>
          <w:rFonts w:ascii="TT Norms Pro Medium" w:hAnsi="TT Norms Pro Medium"/>
          <w:b/>
          <w:spacing w:val="-4"/>
          <w:sz w:val="16"/>
        </w:rPr>
        <w:t>TYPE,</w:t>
      </w:r>
      <w:r>
        <w:rPr>
          <w:rFonts w:ascii="TT Norms Pro Medium" w:hAnsi="TT Norms Pro Medium"/>
          <w:b/>
          <w:sz w:val="16"/>
        </w:rPr>
        <w:t> </w:t>
      </w:r>
      <w:r>
        <w:rPr>
          <w:rFonts w:ascii="TT Norms Pro Medium" w:hAnsi="TT Norms Pro Medium"/>
          <w:b/>
          <w:spacing w:val="-4"/>
          <w:sz w:val="16"/>
        </w:rPr>
        <w:t>2014–20</w:t>
      </w:r>
    </w:p>
    <w:p>
      <w:pPr>
        <w:pStyle w:val="BodyText"/>
        <w:rPr>
          <w:rFonts w:ascii="TT Norms Pro Medium"/>
          <w:b/>
          <w:sz w:val="20"/>
        </w:rPr>
      </w:pPr>
    </w:p>
    <w:p>
      <w:pPr>
        <w:pStyle w:val="BodyText"/>
        <w:spacing w:before="18"/>
        <w:rPr>
          <w:rFonts w:ascii="TT Norms Pro Medium"/>
          <w:b/>
          <w:sz w:val="20"/>
        </w:rPr>
      </w:pPr>
    </w:p>
    <w:p>
      <w:pPr>
        <w:spacing w:after="0"/>
        <w:rPr>
          <w:rFonts w:ascii="TT Norms Pro Medium"/>
          <w:sz w:val="20"/>
        </w:rPr>
        <w:sectPr>
          <w:pgSz w:w="11910" w:h="16840"/>
          <w:pgMar w:header="468" w:footer="0" w:top="720" w:bottom="280" w:left="920" w:right="0"/>
        </w:sectPr>
      </w:pPr>
    </w:p>
    <w:p>
      <w:pPr>
        <w:spacing w:before="115"/>
        <w:ind w:left="0" w:right="0" w:firstLine="0"/>
        <w:jc w:val="right"/>
        <w:rPr>
          <w:rFonts w:ascii="TT Norms Pro Light"/>
          <w:b w:val="0"/>
          <w:sz w:val="12"/>
        </w:rPr>
      </w:pPr>
      <w:r>
        <w:rPr>
          <w:rFonts w:ascii="TT Norms Pro Light"/>
          <w:b w:val="0"/>
          <w:spacing w:val="-4"/>
          <w:sz w:val="12"/>
        </w:rPr>
        <w:t>20000</w:t>
      </w:r>
    </w:p>
    <w:p>
      <w:pPr>
        <w:pStyle w:val="BodyText"/>
        <w:spacing w:before="25"/>
        <w:rPr>
          <w:b w:val="0"/>
          <w:sz w:val="12"/>
        </w:rPr>
      </w:pPr>
    </w:p>
    <w:p>
      <w:pPr>
        <w:spacing w:before="0"/>
        <w:ind w:left="0" w:right="0" w:firstLine="0"/>
        <w:jc w:val="right"/>
        <w:rPr>
          <w:rFonts w:ascii="TT Norms Pro Light"/>
          <w:b w:val="0"/>
          <w:sz w:val="12"/>
        </w:rPr>
      </w:pPr>
      <w:r>
        <w:rPr>
          <w:rFonts w:ascii="TT Norms Pro Light"/>
          <w:b w:val="0"/>
          <w:spacing w:val="-2"/>
          <w:sz w:val="12"/>
        </w:rPr>
        <w:t>18000</w:t>
      </w:r>
    </w:p>
    <w:p>
      <w:pPr>
        <w:pStyle w:val="BodyText"/>
        <w:spacing w:before="25"/>
        <w:rPr>
          <w:b w:val="0"/>
          <w:sz w:val="12"/>
        </w:rPr>
      </w:pPr>
    </w:p>
    <w:p>
      <w:pPr>
        <w:spacing w:before="1"/>
        <w:ind w:left="0" w:right="0" w:firstLine="0"/>
        <w:jc w:val="right"/>
        <w:rPr>
          <w:rFonts w:ascii="TT Norms Pro Light"/>
          <w:b w:val="0"/>
          <w:sz w:val="12"/>
        </w:rPr>
      </w:pPr>
      <w:r>
        <w:rPr>
          <w:rFonts w:ascii="TT Norms Pro Light"/>
          <w:b w:val="0"/>
          <w:spacing w:val="-4"/>
          <w:sz w:val="12"/>
        </w:rPr>
        <w:t>16000</w:t>
      </w:r>
    </w:p>
    <w:p>
      <w:pPr>
        <w:pStyle w:val="BodyText"/>
        <w:spacing w:before="25"/>
        <w:rPr>
          <w:b w:val="0"/>
          <w:sz w:val="12"/>
        </w:rPr>
      </w:pPr>
    </w:p>
    <w:p>
      <w:pPr>
        <w:spacing w:before="0"/>
        <w:ind w:left="0" w:right="0" w:firstLine="0"/>
        <w:jc w:val="right"/>
        <w:rPr>
          <w:rFonts w:ascii="TT Norms Pro Light"/>
          <w:b w:val="0"/>
          <w:sz w:val="12"/>
        </w:rPr>
      </w:pPr>
      <w:r>
        <w:rPr>
          <w:rFonts w:ascii="TT Norms Pro Light"/>
          <w:b w:val="0"/>
          <w:spacing w:val="-4"/>
          <w:sz w:val="12"/>
        </w:rPr>
        <w:t>14000</w:t>
      </w:r>
    </w:p>
    <w:p>
      <w:pPr>
        <w:pStyle w:val="BodyText"/>
        <w:spacing w:before="25"/>
        <w:rPr>
          <w:b w:val="0"/>
          <w:sz w:val="12"/>
        </w:rPr>
      </w:pPr>
    </w:p>
    <w:p>
      <w:pPr>
        <w:spacing w:before="0"/>
        <w:ind w:left="0" w:right="0" w:firstLine="0"/>
        <w:jc w:val="right"/>
        <w:rPr>
          <w:rFonts w:ascii="TT Norms Pro Light"/>
          <w:b w:val="0"/>
          <w:sz w:val="12"/>
        </w:rPr>
      </w:pPr>
      <w:r>
        <w:rPr>
          <w:rFonts w:ascii="TT Norms Pro Light"/>
          <w:b w:val="0"/>
          <w:spacing w:val="-2"/>
          <w:sz w:val="12"/>
        </w:rPr>
        <w:t>12000</w:t>
      </w:r>
    </w:p>
    <w:p>
      <w:pPr>
        <w:pStyle w:val="BodyText"/>
        <w:spacing w:before="25"/>
        <w:rPr>
          <w:b w:val="0"/>
          <w:sz w:val="12"/>
        </w:rPr>
      </w:pPr>
    </w:p>
    <w:p>
      <w:pPr>
        <w:spacing w:before="1"/>
        <w:ind w:left="0" w:right="0" w:firstLine="0"/>
        <w:jc w:val="right"/>
        <w:rPr>
          <w:rFonts w:ascii="TT Norms Pro Light"/>
          <w:b w:val="0"/>
          <w:sz w:val="12"/>
        </w:rPr>
      </w:pPr>
      <w:r>
        <w:rPr>
          <w:rFonts w:ascii="TT Norms Pro Light"/>
          <w:b w:val="0"/>
          <w:spacing w:val="-2"/>
          <w:sz w:val="12"/>
        </w:rPr>
        <w:t>10000</w:t>
      </w:r>
    </w:p>
    <w:p>
      <w:pPr>
        <w:pStyle w:val="BodyText"/>
        <w:spacing w:before="25"/>
        <w:rPr>
          <w:b w:val="0"/>
          <w:sz w:val="12"/>
        </w:rPr>
      </w:pPr>
    </w:p>
    <w:p>
      <w:pPr>
        <w:spacing w:before="0"/>
        <w:ind w:left="0" w:right="0" w:firstLine="0"/>
        <w:jc w:val="right"/>
        <w:rPr>
          <w:rFonts w:ascii="TT Norms Pro Light"/>
          <w:b w:val="0"/>
          <w:sz w:val="12"/>
        </w:rPr>
      </w:pPr>
      <w:r>
        <w:rPr>
          <w:rFonts w:ascii="TT Norms Pro Light"/>
          <w:b w:val="0"/>
          <w:spacing w:val="-4"/>
          <w:sz w:val="12"/>
        </w:rPr>
        <w:t>8000</w:t>
      </w:r>
    </w:p>
    <w:p>
      <w:pPr>
        <w:pStyle w:val="BodyText"/>
        <w:spacing w:before="25"/>
        <w:rPr>
          <w:b w:val="0"/>
          <w:sz w:val="12"/>
        </w:rPr>
      </w:pPr>
    </w:p>
    <w:p>
      <w:pPr>
        <w:spacing w:before="0"/>
        <w:ind w:left="0" w:right="0" w:firstLine="0"/>
        <w:jc w:val="right"/>
        <w:rPr>
          <w:rFonts w:ascii="TT Norms Pro Light"/>
          <w:b w:val="0"/>
          <w:sz w:val="12"/>
        </w:rPr>
      </w:pPr>
      <w:r>
        <w:rPr>
          <w:rFonts w:ascii="TT Norms Pro Light"/>
          <w:b w:val="0"/>
          <w:spacing w:val="-4"/>
          <w:sz w:val="12"/>
        </w:rPr>
        <w:t>6000</w:t>
      </w:r>
    </w:p>
    <w:p>
      <w:pPr>
        <w:pStyle w:val="BodyText"/>
        <w:spacing w:before="25"/>
        <w:rPr>
          <w:b w:val="0"/>
          <w:sz w:val="12"/>
        </w:rPr>
      </w:pPr>
    </w:p>
    <w:p>
      <w:pPr>
        <w:spacing w:before="1"/>
        <w:ind w:left="0" w:right="0" w:firstLine="0"/>
        <w:jc w:val="right"/>
        <w:rPr>
          <w:rFonts w:ascii="TT Norms Pro Light"/>
          <w:b w:val="0"/>
          <w:sz w:val="12"/>
        </w:rPr>
      </w:pPr>
      <w:r>
        <w:rPr>
          <w:rFonts w:ascii="TT Norms Pro Light"/>
          <w:b w:val="0"/>
          <w:spacing w:val="-4"/>
          <w:sz w:val="12"/>
        </w:rPr>
        <w:t>4000</w:t>
      </w:r>
    </w:p>
    <w:p>
      <w:pPr>
        <w:pStyle w:val="BodyText"/>
        <w:spacing w:before="25"/>
        <w:rPr>
          <w:b w:val="0"/>
          <w:sz w:val="12"/>
        </w:rPr>
      </w:pPr>
    </w:p>
    <w:p>
      <w:pPr>
        <w:spacing w:before="0"/>
        <w:ind w:left="0" w:right="0" w:firstLine="0"/>
        <w:jc w:val="right"/>
        <w:rPr>
          <w:rFonts w:ascii="TT Norms Pro Light"/>
          <w:b w:val="0"/>
          <w:sz w:val="12"/>
        </w:rPr>
      </w:pPr>
      <w:r>
        <w:rPr>
          <w:rFonts w:ascii="TT Norms Pro Light"/>
          <w:b w:val="0"/>
          <w:spacing w:val="-4"/>
          <w:sz w:val="12"/>
        </w:rPr>
        <w:t>2000</w:t>
      </w:r>
    </w:p>
    <w:p>
      <w:pPr>
        <w:pStyle w:val="BodyText"/>
        <w:spacing w:before="25"/>
        <w:rPr>
          <w:b w:val="0"/>
          <w:sz w:val="12"/>
        </w:rPr>
      </w:pPr>
    </w:p>
    <w:p>
      <w:pPr>
        <w:spacing w:before="0"/>
        <w:ind w:left="0" w:right="0" w:firstLine="0"/>
        <w:jc w:val="right"/>
        <w:rPr>
          <w:rFonts w:ascii="TT Norms Pro Light"/>
          <w:b w:val="0"/>
          <w:sz w:val="12"/>
        </w:rPr>
      </w:pPr>
      <w:r>
        <w:rPr>
          <w:rFonts w:ascii="TT Norms Pro Light"/>
          <w:b w:val="0"/>
          <w:spacing w:val="-10"/>
          <w:sz w:val="12"/>
        </w:rPr>
        <w:t>0</w:t>
      </w:r>
    </w:p>
    <w:p>
      <w:pPr>
        <w:spacing w:line="240" w:lineRule="auto" w:before="10"/>
        <w:rPr>
          <w:rFonts w:ascii="TT Norms Pro Light"/>
          <w:b w:val="0"/>
          <w:sz w:val="2"/>
        </w:rPr>
      </w:pPr>
      <w:r>
        <w:rPr/>
        <w:br w:type="column"/>
      </w:r>
      <w:r>
        <w:rPr>
          <w:rFonts w:ascii="TT Norms Pro Light"/>
          <w:b w:val="0"/>
          <w:sz w:val="2"/>
        </w:rPr>
      </w:r>
    </w:p>
    <w:p>
      <w:pPr>
        <w:spacing w:line="240" w:lineRule="auto"/>
        <w:ind w:left="87" w:right="-116" w:firstLine="0"/>
        <w:jc w:val="left"/>
        <w:rPr>
          <w:rFonts w:ascii="TT Norms Pro Light"/>
          <w:sz w:val="20"/>
        </w:rPr>
      </w:pPr>
      <w:r>
        <w:rPr>
          <w:rFonts w:ascii="TT Norms Pro Light"/>
          <w:sz w:val="20"/>
        </w:rPr>
        <mc:AlternateContent>
          <mc:Choice Requires="wps">
            <w:drawing>
              <wp:inline distT="0" distB="0" distL="0" distR="0">
                <wp:extent cx="306705" cy="2068195"/>
                <wp:effectExtent l="0" t="0" r="0" b="8255"/>
                <wp:docPr id="463" name="Group 463"/>
                <wp:cNvGraphicFramePr>
                  <a:graphicFrameLocks/>
                </wp:cNvGraphicFramePr>
                <a:graphic>
                  <a:graphicData uri="http://schemas.microsoft.com/office/word/2010/wordprocessingGroup">
                    <wpg:wgp>
                      <wpg:cNvPr id="463" name="Group 463"/>
                      <wpg:cNvGrpSpPr/>
                      <wpg:grpSpPr>
                        <a:xfrm>
                          <a:off x="0" y="0"/>
                          <a:ext cx="306705" cy="2068195"/>
                          <a:chExt cx="306705" cy="2068195"/>
                        </a:xfrm>
                      </wpg:grpSpPr>
                      <wps:wsp>
                        <wps:cNvPr id="464" name="Graphic 464"/>
                        <wps:cNvSpPr/>
                        <wps:spPr>
                          <a:xfrm>
                            <a:off x="0" y="514896"/>
                            <a:ext cx="306705" cy="1553210"/>
                          </a:xfrm>
                          <a:custGeom>
                            <a:avLst/>
                            <a:gdLst/>
                            <a:ahLst/>
                            <a:cxnLst/>
                            <a:rect l="l" t="t" r="r" b="b"/>
                            <a:pathLst>
                              <a:path w="306705" h="1553210">
                                <a:moveTo>
                                  <a:pt x="306692" y="0"/>
                                </a:moveTo>
                                <a:lnTo>
                                  <a:pt x="0" y="0"/>
                                </a:lnTo>
                                <a:lnTo>
                                  <a:pt x="0" y="1553057"/>
                                </a:lnTo>
                                <a:lnTo>
                                  <a:pt x="306692" y="1553057"/>
                                </a:lnTo>
                                <a:lnTo>
                                  <a:pt x="306692" y="0"/>
                                </a:lnTo>
                                <a:close/>
                              </a:path>
                            </a:pathLst>
                          </a:custGeom>
                          <a:solidFill>
                            <a:srgbClr val="21409A"/>
                          </a:solidFill>
                        </wps:spPr>
                        <wps:bodyPr wrap="square" lIns="0" tIns="0" rIns="0" bIns="0" rtlCol="0">
                          <a:prstTxWarp prst="textNoShape">
                            <a:avLst/>
                          </a:prstTxWarp>
                          <a:noAutofit/>
                        </wps:bodyPr>
                      </wps:wsp>
                      <wps:wsp>
                        <wps:cNvPr id="465" name="Graphic 465"/>
                        <wps:cNvSpPr/>
                        <wps:spPr>
                          <a:xfrm>
                            <a:off x="0" y="456768"/>
                            <a:ext cx="306705" cy="58419"/>
                          </a:xfrm>
                          <a:custGeom>
                            <a:avLst/>
                            <a:gdLst/>
                            <a:ahLst/>
                            <a:cxnLst/>
                            <a:rect l="l" t="t" r="r" b="b"/>
                            <a:pathLst>
                              <a:path w="306705" h="58419">
                                <a:moveTo>
                                  <a:pt x="306692" y="0"/>
                                </a:moveTo>
                                <a:lnTo>
                                  <a:pt x="0" y="0"/>
                                </a:lnTo>
                                <a:lnTo>
                                  <a:pt x="0" y="58127"/>
                                </a:lnTo>
                                <a:lnTo>
                                  <a:pt x="306692" y="58127"/>
                                </a:lnTo>
                                <a:lnTo>
                                  <a:pt x="306692" y="0"/>
                                </a:lnTo>
                                <a:close/>
                              </a:path>
                            </a:pathLst>
                          </a:custGeom>
                          <a:solidFill>
                            <a:srgbClr val="414042"/>
                          </a:solidFill>
                        </wps:spPr>
                        <wps:bodyPr wrap="square" lIns="0" tIns="0" rIns="0" bIns="0" rtlCol="0">
                          <a:prstTxWarp prst="textNoShape">
                            <a:avLst/>
                          </a:prstTxWarp>
                          <a:noAutofit/>
                        </wps:bodyPr>
                      </wps:wsp>
                      <wps:wsp>
                        <wps:cNvPr id="466" name="Graphic 466"/>
                        <wps:cNvSpPr/>
                        <wps:spPr>
                          <a:xfrm>
                            <a:off x="0" y="440156"/>
                            <a:ext cx="306705" cy="17145"/>
                          </a:xfrm>
                          <a:custGeom>
                            <a:avLst/>
                            <a:gdLst/>
                            <a:ahLst/>
                            <a:cxnLst/>
                            <a:rect l="l" t="t" r="r" b="b"/>
                            <a:pathLst>
                              <a:path w="306705" h="17145">
                                <a:moveTo>
                                  <a:pt x="306692" y="0"/>
                                </a:moveTo>
                                <a:lnTo>
                                  <a:pt x="0" y="0"/>
                                </a:lnTo>
                                <a:lnTo>
                                  <a:pt x="0" y="16611"/>
                                </a:lnTo>
                                <a:lnTo>
                                  <a:pt x="306692" y="16611"/>
                                </a:lnTo>
                                <a:lnTo>
                                  <a:pt x="306692" y="0"/>
                                </a:lnTo>
                                <a:close/>
                              </a:path>
                            </a:pathLst>
                          </a:custGeom>
                          <a:solidFill>
                            <a:srgbClr val="DDB00A"/>
                          </a:solidFill>
                        </wps:spPr>
                        <wps:bodyPr wrap="square" lIns="0" tIns="0" rIns="0" bIns="0" rtlCol="0">
                          <a:prstTxWarp prst="textNoShape">
                            <a:avLst/>
                          </a:prstTxWarp>
                          <a:noAutofit/>
                        </wps:bodyPr>
                      </wps:wsp>
                      <wps:wsp>
                        <wps:cNvPr id="467" name="Graphic 467"/>
                        <wps:cNvSpPr/>
                        <wps:spPr>
                          <a:xfrm>
                            <a:off x="0" y="83032"/>
                            <a:ext cx="306705" cy="357505"/>
                          </a:xfrm>
                          <a:custGeom>
                            <a:avLst/>
                            <a:gdLst/>
                            <a:ahLst/>
                            <a:cxnLst/>
                            <a:rect l="l" t="t" r="r" b="b"/>
                            <a:pathLst>
                              <a:path w="306705" h="357505">
                                <a:moveTo>
                                  <a:pt x="306692" y="0"/>
                                </a:moveTo>
                                <a:lnTo>
                                  <a:pt x="0" y="0"/>
                                </a:lnTo>
                                <a:lnTo>
                                  <a:pt x="0" y="357124"/>
                                </a:lnTo>
                                <a:lnTo>
                                  <a:pt x="306692" y="357124"/>
                                </a:lnTo>
                                <a:lnTo>
                                  <a:pt x="306692" y="0"/>
                                </a:lnTo>
                                <a:close/>
                              </a:path>
                            </a:pathLst>
                          </a:custGeom>
                          <a:solidFill>
                            <a:srgbClr val="E6E7E8"/>
                          </a:solidFill>
                        </wps:spPr>
                        <wps:bodyPr wrap="square" lIns="0" tIns="0" rIns="0" bIns="0" rtlCol="0">
                          <a:prstTxWarp prst="textNoShape">
                            <a:avLst/>
                          </a:prstTxWarp>
                          <a:noAutofit/>
                        </wps:bodyPr>
                      </wps:wsp>
                      <wps:wsp>
                        <wps:cNvPr id="468" name="Graphic 468"/>
                        <wps:cNvSpPr/>
                        <wps:spPr>
                          <a:xfrm>
                            <a:off x="0" y="8280"/>
                            <a:ext cx="306705" cy="74930"/>
                          </a:xfrm>
                          <a:custGeom>
                            <a:avLst/>
                            <a:gdLst/>
                            <a:ahLst/>
                            <a:cxnLst/>
                            <a:rect l="l" t="t" r="r" b="b"/>
                            <a:pathLst>
                              <a:path w="306705" h="74930">
                                <a:moveTo>
                                  <a:pt x="306692" y="0"/>
                                </a:moveTo>
                                <a:lnTo>
                                  <a:pt x="0" y="0"/>
                                </a:lnTo>
                                <a:lnTo>
                                  <a:pt x="0" y="74752"/>
                                </a:lnTo>
                                <a:lnTo>
                                  <a:pt x="306692" y="74752"/>
                                </a:lnTo>
                                <a:lnTo>
                                  <a:pt x="306692" y="0"/>
                                </a:lnTo>
                                <a:close/>
                              </a:path>
                            </a:pathLst>
                          </a:custGeom>
                          <a:solidFill>
                            <a:srgbClr val="6D6E71"/>
                          </a:solidFill>
                        </wps:spPr>
                        <wps:bodyPr wrap="square" lIns="0" tIns="0" rIns="0" bIns="0" rtlCol="0">
                          <a:prstTxWarp prst="textNoShape">
                            <a:avLst/>
                          </a:prstTxWarp>
                          <a:noAutofit/>
                        </wps:bodyPr>
                      </wps:wsp>
                      <wps:wsp>
                        <wps:cNvPr id="469" name="Graphic 469"/>
                        <wps:cNvSpPr/>
                        <wps:spPr>
                          <a:xfrm>
                            <a:off x="0" y="0"/>
                            <a:ext cx="306705" cy="8890"/>
                          </a:xfrm>
                          <a:custGeom>
                            <a:avLst/>
                            <a:gdLst/>
                            <a:ahLst/>
                            <a:cxnLst/>
                            <a:rect l="l" t="t" r="r" b="b"/>
                            <a:pathLst>
                              <a:path w="306705" h="8890">
                                <a:moveTo>
                                  <a:pt x="306704" y="0"/>
                                </a:moveTo>
                                <a:lnTo>
                                  <a:pt x="0" y="0"/>
                                </a:lnTo>
                                <a:lnTo>
                                  <a:pt x="0" y="8280"/>
                                </a:lnTo>
                                <a:lnTo>
                                  <a:pt x="306704" y="8280"/>
                                </a:lnTo>
                                <a:lnTo>
                                  <a:pt x="306704" y="0"/>
                                </a:lnTo>
                                <a:close/>
                              </a:path>
                            </a:pathLst>
                          </a:custGeom>
                          <a:solidFill>
                            <a:srgbClr val="C7C8CA"/>
                          </a:solidFill>
                        </wps:spPr>
                        <wps:bodyPr wrap="square" lIns="0" tIns="0" rIns="0" bIns="0" rtlCol="0">
                          <a:prstTxWarp prst="textNoShape">
                            <a:avLst/>
                          </a:prstTxWarp>
                          <a:noAutofit/>
                        </wps:bodyPr>
                      </wps:wsp>
                    </wpg:wgp>
                  </a:graphicData>
                </a:graphic>
              </wp:inline>
            </w:drawing>
          </mc:Choice>
          <mc:Fallback>
            <w:pict>
              <v:group style="width:24.15pt;height:162.85pt;mso-position-horizontal-relative:char;mso-position-vertical-relative:line" id="docshapegroup291" coordorigin="0,0" coordsize="483,3257">
                <v:rect style="position:absolute;left:0;top:810;width:483;height:2446" id="docshape292" filled="true" fillcolor="#21409a" stroked="false">
                  <v:fill type="solid"/>
                </v:rect>
                <v:rect style="position:absolute;left:0;top:719;width:483;height:92" id="docshape293" filled="true" fillcolor="#414042" stroked="false">
                  <v:fill type="solid"/>
                </v:rect>
                <v:rect style="position:absolute;left:0;top:693;width:483;height:27" id="docshape294" filled="true" fillcolor="#ddb00a" stroked="false">
                  <v:fill type="solid"/>
                </v:rect>
                <v:rect style="position:absolute;left:0;top:130;width:483;height:563" id="docshape295" filled="true" fillcolor="#e6e7e8" stroked="false">
                  <v:fill type="solid"/>
                </v:rect>
                <v:rect style="position:absolute;left:0;top:13;width:483;height:118" id="docshape296" filled="true" fillcolor="#6d6e71" stroked="false">
                  <v:fill type="solid"/>
                </v:rect>
                <v:rect style="position:absolute;left:0;top:0;width:483;height:14" id="docshape297" filled="true" fillcolor="#c7c8ca" stroked="false">
                  <v:fill type="solid"/>
                </v:rect>
              </v:group>
            </w:pict>
          </mc:Fallback>
        </mc:AlternateContent>
      </w:r>
      <w:r>
        <w:rPr>
          <w:rFonts w:ascii="TT Norms Pro Light"/>
          <w:sz w:val="20"/>
        </w:rPr>
      </w:r>
      <w:r>
        <w:rPr>
          <w:rFonts w:ascii="Times New Roman"/>
          <w:spacing w:val="115"/>
          <w:sz w:val="20"/>
        </w:rPr>
        <w:t> </w:t>
      </w:r>
      <w:r>
        <w:rPr>
          <w:rFonts w:ascii="TT Norms Pro Light"/>
          <w:spacing w:val="115"/>
          <w:sz w:val="20"/>
        </w:rPr>
        <mc:AlternateContent>
          <mc:Choice Requires="wps">
            <w:drawing>
              <wp:inline distT="0" distB="0" distL="0" distR="0">
                <wp:extent cx="307340" cy="1935480"/>
                <wp:effectExtent l="0" t="0" r="0" b="7619"/>
                <wp:docPr id="470" name="Group 470"/>
                <wp:cNvGraphicFramePr>
                  <a:graphicFrameLocks/>
                </wp:cNvGraphicFramePr>
                <a:graphic>
                  <a:graphicData uri="http://schemas.microsoft.com/office/word/2010/wordprocessingGroup">
                    <wpg:wgp>
                      <wpg:cNvPr id="470" name="Group 470"/>
                      <wpg:cNvGrpSpPr/>
                      <wpg:grpSpPr>
                        <a:xfrm>
                          <a:off x="0" y="0"/>
                          <a:ext cx="307340" cy="1935480"/>
                          <a:chExt cx="307340" cy="1935480"/>
                        </a:xfrm>
                      </wpg:grpSpPr>
                      <wps:wsp>
                        <wps:cNvPr id="471" name="Graphic 471"/>
                        <wps:cNvSpPr/>
                        <wps:spPr>
                          <a:xfrm>
                            <a:off x="12" y="498297"/>
                            <a:ext cx="306705" cy="1437005"/>
                          </a:xfrm>
                          <a:custGeom>
                            <a:avLst/>
                            <a:gdLst/>
                            <a:ahLst/>
                            <a:cxnLst/>
                            <a:rect l="l" t="t" r="r" b="b"/>
                            <a:pathLst>
                              <a:path w="306705" h="1437005">
                                <a:moveTo>
                                  <a:pt x="306704" y="0"/>
                                </a:moveTo>
                                <a:lnTo>
                                  <a:pt x="0" y="0"/>
                                </a:lnTo>
                                <a:lnTo>
                                  <a:pt x="0" y="1436789"/>
                                </a:lnTo>
                                <a:lnTo>
                                  <a:pt x="306704" y="1436789"/>
                                </a:lnTo>
                                <a:lnTo>
                                  <a:pt x="306704" y="0"/>
                                </a:lnTo>
                                <a:close/>
                              </a:path>
                            </a:pathLst>
                          </a:custGeom>
                          <a:solidFill>
                            <a:srgbClr val="21409A"/>
                          </a:solidFill>
                        </wps:spPr>
                        <wps:bodyPr wrap="square" lIns="0" tIns="0" rIns="0" bIns="0" rtlCol="0">
                          <a:prstTxWarp prst="textNoShape">
                            <a:avLst/>
                          </a:prstTxWarp>
                          <a:noAutofit/>
                        </wps:bodyPr>
                      </wps:wsp>
                      <wps:wsp>
                        <wps:cNvPr id="472" name="Graphic 472"/>
                        <wps:cNvSpPr/>
                        <wps:spPr>
                          <a:xfrm>
                            <a:off x="12" y="415251"/>
                            <a:ext cx="306705" cy="83185"/>
                          </a:xfrm>
                          <a:custGeom>
                            <a:avLst/>
                            <a:gdLst/>
                            <a:ahLst/>
                            <a:cxnLst/>
                            <a:rect l="l" t="t" r="r" b="b"/>
                            <a:pathLst>
                              <a:path w="306705" h="83185">
                                <a:moveTo>
                                  <a:pt x="306704" y="0"/>
                                </a:moveTo>
                                <a:lnTo>
                                  <a:pt x="0" y="0"/>
                                </a:lnTo>
                                <a:lnTo>
                                  <a:pt x="0" y="83045"/>
                                </a:lnTo>
                                <a:lnTo>
                                  <a:pt x="306704" y="83045"/>
                                </a:lnTo>
                                <a:lnTo>
                                  <a:pt x="306704" y="0"/>
                                </a:lnTo>
                                <a:close/>
                              </a:path>
                            </a:pathLst>
                          </a:custGeom>
                          <a:solidFill>
                            <a:srgbClr val="414042"/>
                          </a:solidFill>
                        </wps:spPr>
                        <wps:bodyPr wrap="square" lIns="0" tIns="0" rIns="0" bIns="0" rtlCol="0">
                          <a:prstTxWarp prst="textNoShape">
                            <a:avLst/>
                          </a:prstTxWarp>
                          <a:noAutofit/>
                        </wps:bodyPr>
                      </wps:wsp>
                      <wps:wsp>
                        <wps:cNvPr id="473" name="Graphic 473"/>
                        <wps:cNvSpPr/>
                        <wps:spPr>
                          <a:xfrm>
                            <a:off x="0" y="406958"/>
                            <a:ext cx="307340" cy="8890"/>
                          </a:xfrm>
                          <a:custGeom>
                            <a:avLst/>
                            <a:gdLst/>
                            <a:ahLst/>
                            <a:cxnLst/>
                            <a:rect l="l" t="t" r="r" b="b"/>
                            <a:pathLst>
                              <a:path w="307340" h="8890">
                                <a:moveTo>
                                  <a:pt x="306730" y="0"/>
                                </a:moveTo>
                                <a:lnTo>
                                  <a:pt x="0" y="0"/>
                                </a:lnTo>
                                <a:lnTo>
                                  <a:pt x="0" y="8293"/>
                                </a:lnTo>
                                <a:lnTo>
                                  <a:pt x="306730" y="8293"/>
                                </a:lnTo>
                                <a:lnTo>
                                  <a:pt x="306730" y="0"/>
                                </a:lnTo>
                                <a:close/>
                              </a:path>
                            </a:pathLst>
                          </a:custGeom>
                          <a:solidFill>
                            <a:srgbClr val="DDB00A"/>
                          </a:solidFill>
                        </wps:spPr>
                        <wps:bodyPr wrap="square" lIns="0" tIns="0" rIns="0" bIns="0" rtlCol="0">
                          <a:prstTxWarp prst="textNoShape">
                            <a:avLst/>
                          </a:prstTxWarp>
                          <a:noAutofit/>
                        </wps:bodyPr>
                      </wps:wsp>
                      <wps:wsp>
                        <wps:cNvPr id="474" name="Graphic 474"/>
                        <wps:cNvSpPr/>
                        <wps:spPr>
                          <a:xfrm>
                            <a:off x="12" y="66433"/>
                            <a:ext cx="306705" cy="340995"/>
                          </a:xfrm>
                          <a:custGeom>
                            <a:avLst/>
                            <a:gdLst/>
                            <a:ahLst/>
                            <a:cxnLst/>
                            <a:rect l="l" t="t" r="r" b="b"/>
                            <a:pathLst>
                              <a:path w="306705" h="340995">
                                <a:moveTo>
                                  <a:pt x="306704" y="0"/>
                                </a:moveTo>
                                <a:lnTo>
                                  <a:pt x="0" y="0"/>
                                </a:lnTo>
                                <a:lnTo>
                                  <a:pt x="0" y="340512"/>
                                </a:lnTo>
                                <a:lnTo>
                                  <a:pt x="306704" y="340512"/>
                                </a:lnTo>
                                <a:lnTo>
                                  <a:pt x="306704" y="0"/>
                                </a:lnTo>
                                <a:close/>
                              </a:path>
                            </a:pathLst>
                          </a:custGeom>
                          <a:solidFill>
                            <a:srgbClr val="E6E7E8"/>
                          </a:solidFill>
                        </wps:spPr>
                        <wps:bodyPr wrap="square" lIns="0" tIns="0" rIns="0" bIns="0" rtlCol="0">
                          <a:prstTxWarp prst="textNoShape">
                            <a:avLst/>
                          </a:prstTxWarp>
                          <a:noAutofit/>
                        </wps:bodyPr>
                      </wps:wsp>
                      <wps:wsp>
                        <wps:cNvPr id="475" name="Graphic 475"/>
                        <wps:cNvSpPr/>
                        <wps:spPr>
                          <a:xfrm>
                            <a:off x="12" y="8305"/>
                            <a:ext cx="306705" cy="58419"/>
                          </a:xfrm>
                          <a:custGeom>
                            <a:avLst/>
                            <a:gdLst/>
                            <a:ahLst/>
                            <a:cxnLst/>
                            <a:rect l="l" t="t" r="r" b="b"/>
                            <a:pathLst>
                              <a:path w="306705" h="58419">
                                <a:moveTo>
                                  <a:pt x="306704" y="0"/>
                                </a:moveTo>
                                <a:lnTo>
                                  <a:pt x="0" y="0"/>
                                </a:lnTo>
                                <a:lnTo>
                                  <a:pt x="0" y="58127"/>
                                </a:lnTo>
                                <a:lnTo>
                                  <a:pt x="306704" y="58127"/>
                                </a:lnTo>
                                <a:lnTo>
                                  <a:pt x="306704" y="0"/>
                                </a:lnTo>
                                <a:close/>
                              </a:path>
                            </a:pathLst>
                          </a:custGeom>
                          <a:solidFill>
                            <a:srgbClr val="6D6E71"/>
                          </a:solidFill>
                        </wps:spPr>
                        <wps:bodyPr wrap="square" lIns="0" tIns="0" rIns="0" bIns="0" rtlCol="0">
                          <a:prstTxWarp prst="textNoShape">
                            <a:avLst/>
                          </a:prstTxWarp>
                          <a:noAutofit/>
                        </wps:bodyPr>
                      </wps:wsp>
                      <wps:wsp>
                        <wps:cNvPr id="476" name="Graphic 476"/>
                        <wps:cNvSpPr/>
                        <wps:spPr>
                          <a:xfrm>
                            <a:off x="0" y="0"/>
                            <a:ext cx="307340" cy="8890"/>
                          </a:xfrm>
                          <a:custGeom>
                            <a:avLst/>
                            <a:gdLst/>
                            <a:ahLst/>
                            <a:cxnLst/>
                            <a:rect l="l" t="t" r="r" b="b"/>
                            <a:pathLst>
                              <a:path w="307340" h="8890">
                                <a:moveTo>
                                  <a:pt x="306730" y="0"/>
                                </a:moveTo>
                                <a:lnTo>
                                  <a:pt x="0" y="0"/>
                                </a:lnTo>
                                <a:lnTo>
                                  <a:pt x="0" y="8305"/>
                                </a:lnTo>
                                <a:lnTo>
                                  <a:pt x="306730" y="8305"/>
                                </a:lnTo>
                                <a:lnTo>
                                  <a:pt x="306730" y="0"/>
                                </a:lnTo>
                                <a:close/>
                              </a:path>
                            </a:pathLst>
                          </a:custGeom>
                          <a:solidFill>
                            <a:srgbClr val="C7C8CA"/>
                          </a:solidFill>
                        </wps:spPr>
                        <wps:bodyPr wrap="square" lIns="0" tIns="0" rIns="0" bIns="0" rtlCol="0">
                          <a:prstTxWarp prst="textNoShape">
                            <a:avLst/>
                          </a:prstTxWarp>
                          <a:noAutofit/>
                        </wps:bodyPr>
                      </wps:wsp>
                    </wpg:wgp>
                  </a:graphicData>
                </a:graphic>
              </wp:inline>
            </w:drawing>
          </mc:Choice>
          <mc:Fallback>
            <w:pict>
              <v:group style="width:24.2pt;height:152.4pt;mso-position-horizontal-relative:char;mso-position-vertical-relative:line" id="docshapegroup298" coordorigin="0,0" coordsize="484,3048">
                <v:rect style="position:absolute;left:0;top:784;width:483;height:2263" id="docshape299" filled="true" fillcolor="#21409a" stroked="false">
                  <v:fill type="solid"/>
                </v:rect>
                <v:rect style="position:absolute;left:0;top:653;width:483;height:131" id="docshape300" filled="true" fillcolor="#414042" stroked="false">
                  <v:fill type="solid"/>
                </v:rect>
                <v:rect style="position:absolute;left:0;top:640;width:484;height:14" id="docshape301" filled="true" fillcolor="#ddb00a" stroked="false">
                  <v:fill type="solid"/>
                </v:rect>
                <v:rect style="position:absolute;left:0;top:104;width:483;height:537" id="docshape302" filled="true" fillcolor="#e6e7e8" stroked="false">
                  <v:fill type="solid"/>
                </v:rect>
                <v:rect style="position:absolute;left:0;top:13;width:483;height:92" id="docshape303" filled="true" fillcolor="#6d6e71" stroked="false">
                  <v:fill type="solid"/>
                </v:rect>
                <v:rect style="position:absolute;left:0;top:0;width:484;height:14" id="docshape304" filled="true" fillcolor="#c7c8ca" stroked="false">
                  <v:fill type="solid"/>
                </v:rect>
              </v:group>
            </w:pict>
          </mc:Fallback>
        </mc:AlternateContent>
      </w:r>
      <w:r>
        <w:rPr>
          <w:rFonts w:ascii="TT Norms Pro Light"/>
          <w:spacing w:val="115"/>
          <w:sz w:val="20"/>
        </w:rPr>
      </w:r>
      <w:r>
        <w:rPr>
          <w:rFonts w:ascii="Times New Roman"/>
          <w:spacing w:val="115"/>
          <w:sz w:val="20"/>
        </w:rPr>
        <w:t> </w:t>
      </w:r>
      <w:r>
        <w:rPr>
          <w:rFonts w:ascii="TT Norms Pro Light"/>
          <w:spacing w:val="115"/>
          <w:sz w:val="20"/>
        </w:rPr>
        <mc:AlternateContent>
          <mc:Choice Requires="wps">
            <w:drawing>
              <wp:inline distT="0" distB="0" distL="0" distR="0">
                <wp:extent cx="288925" cy="1918970"/>
                <wp:effectExtent l="0" t="0" r="0" b="5080"/>
                <wp:docPr id="477" name="Group 477"/>
                <wp:cNvGraphicFramePr>
                  <a:graphicFrameLocks/>
                </wp:cNvGraphicFramePr>
                <a:graphic>
                  <a:graphicData uri="http://schemas.microsoft.com/office/word/2010/wordprocessingGroup">
                    <wpg:wgp>
                      <wpg:cNvPr id="477" name="Group 477"/>
                      <wpg:cNvGrpSpPr/>
                      <wpg:grpSpPr>
                        <a:xfrm>
                          <a:off x="0" y="0"/>
                          <a:ext cx="288925" cy="1918970"/>
                          <a:chExt cx="288925" cy="1918970"/>
                        </a:xfrm>
                      </wpg:grpSpPr>
                      <wps:wsp>
                        <wps:cNvPr id="478" name="Graphic 478"/>
                        <wps:cNvSpPr/>
                        <wps:spPr>
                          <a:xfrm>
                            <a:off x="12" y="514921"/>
                            <a:ext cx="288925" cy="1403985"/>
                          </a:xfrm>
                          <a:custGeom>
                            <a:avLst/>
                            <a:gdLst/>
                            <a:ahLst/>
                            <a:cxnLst/>
                            <a:rect l="l" t="t" r="r" b="b"/>
                            <a:pathLst>
                              <a:path w="288925" h="1403985">
                                <a:moveTo>
                                  <a:pt x="288442" y="0"/>
                                </a:moveTo>
                                <a:lnTo>
                                  <a:pt x="0" y="0"/>
                                </a:lnTo>
                                <a:lnTo>
                                  <a:pt x="0" y="1403565"/>
                                </a:lnTo>
                                <a:lnTo>
                                  <a:pt x="288442" y="1403565"/>
                                </a:lnTo>
                                <a:lnTo>
                                  <a:pt x="288442" y="0"/>
                                </a:lnTo>
                                <a:close/>
                              </a:path>
                            </a:pathLst>
                          </a:custGeom>
                          <a:solidFill>
                            <a:srgbClr val="21409A"/>
                          </a:solidFill>
                        </wps:spPr>
                        <wps:bodyPr wrap="square" lIns="0" tIns="0" rIns="0" bIns="0" rtlCol="0">
                          <a:prstTxWarp prst="textNoShape">
                            <a:avLst/>
                          </a:prstTxWarp>
                          <a:noAutofit/>
                        </wps:bodyPr>
                      </wps:wsp>
                      <wps:wsp>
                        <wps:cNvPr id="479" name="Graphic 479"/>
                        <wps:cNvSpPr/>
                        <wps:spPr>
                          <a:xfrm>
                            <a:off x="12" y="423570"/>
                            <a:ext cx="288925" cy="91440"/>
                          </a:xfrm>
                          <a:custGeom>
                            <a:avLst/>
                            <a:gdLst/>
                            <a:ahLst/>
                            <a:cxnLst/>
                            <a:rect l="l" t="t" r="r" b="b"/>
                            <a:pathLst>
                              <a:path w="288925" h="91440">
                                <a:moveTo>
                                  <a:pt x="288442" y="0"/>
                                </a:moveTo>
                                <a:lnTo>
                                  <a:pt x="0" y="0"/>
                                </a:lnTo>
                                <a:lnTo>
                                  <a:pt x="0" y="91351"/>
                                </a:lnTo>
                                <a:lnTo>
                                  <a:pt x="288442" y="91351"/>
                                </a:lnTo>
                                <a:lnTo>
                                  <a:pt x="288442" y="0"/>
                                </a:lnTo>
                                <a:close/>
                              </a:path>
                            </a:pathLst>
                          </a:custGeom>
                          <a:solidFill>
                            <a:srgbClr val="414042"/>
                          </a:solidFill>
                        </wps:spPr>
                        <wps:bodyPr wrap="square" lIns="0" tIns="0" rIns="0" bIns="0" rtlCol="0">
                          <a:prstTxWarp prst="textNoShape">
                            <a:avLst/>
                          </a:prstTxWarp>
                          <a:noAutofit/>
                        </wps:bodyPr>
                      </wps:wsp>
                      <wps:wsp>
                        <wps:cNvPr id="480" name="Graphic 480"/>
                        <wps:cNvSpPr/>
                        <wps:spPr>
                          <a:xfrm>
                            <a:off x="0" y="415277"/>
                            <a:ext cx="288925" cy="8890"/>
                          </a:xfrm>
                          <a:custGeom>
                            <a:avLst/>
                            <a:gdLst/>
                            <a:ahLst/>
                            <a:cxnLst/>
                            <a:rect l="l" t="t" r="r" b="b"/>
                            <a:pathLst>
                              <a:path w="288925" h="8890">
                                <a:moveTo>
                                  <a:pt x="288429" y="0"/>
                                </a:moveTo>
                                <a:lnTo>
                                  <a:pt x="0" y="0"/>
                                </a:lnTo>
                                <a:lnTo>
                                  <a:pt x="0" y="8293"/>
                                </a:lnTo>
                                <a:lnTo>
                                  <a:pt x="288429" y="8293"/>
                                </a:lnTo>
                                <a:lnTo>
                                  <a:pt x="288429" y="0"/>
                                </a:lnTo>
                                <a:close/>
                              </a:path>
                            </a:pathLst>
                          </a:custGeom>
                          <a:solidFill>
                            <a:srgbClr val="DDB00A"/>
                          </a:solidFill>
                        </wps:spPr>
                        <wps:bodyPr wrap="square" lIns="0" tIns="0" rIns="0" bIns="0" rtlCol="0">
                          <a:prstTxWarp prst="textNoShape">
                            <a:avLst/>
                          </a:prstTxWarp>
                          <a:noAutofit/>
                        </wps:bodyPr>
                      </wps:wsp>
                      <wps:wsp>
                        <wps:cNvPr id="481" name="Graphic 481"/>
                        <wps:cNvSpPr/>
                        <wps:spPr>
                          <a:xfrm>
                            <a:off x="12" y="33223"/>
                            <a:ext cx="288925" cy="382270"/>
                          </a:xfrm>
                          <a:custGeom>
                            <a:avLst/>
                            <a:gdLst/>
                            <a:ahLst/>
                            <a:cxnLst/>
                            <a:rect l="l" t="t" r="r" b="b"/>
                            <a:pathLst>
                              <a:path w="288925" h="382270">
                                <a:moveTo>
                                  <a:pt x="288442" y="0"/>
                                </a:moveTo>
                                <a:lnTo>
                                  <a:pt x="0" y="0"/>
                                </a:lnTo>
                                <a:lnTo>
                                  <a:pt x="0" y="382028"/>
                                </a:lnTo>
                                <a:lnTo>
                                  <a:pt x="288442" y="382028"/>
                                </a:lnTo>
                                <a:lnTo>
                                  <a:pt x="288442" y="0"/>
                                </a:lnTo>
                                <a:close/>
                              </a:path>
                            </a:pathLst>
                          </a:custGeom>
                          <a:solidFill>
                            <a:srgbClr val="E6E7E8"/>
                          </a:solidFill>
                        </wps:spPr>
                        <wps:bodyPr wrap="square" lIns="0" tIns="0" rIns="0" bIns="0" rtlCol="0">
                          <a:prstTxWarp prst="textNoShape">
                            <a:avLst/>
                          </a:prstTxWarp>
                          <a:noAutofit/>
                        </wps:bodyPr>
                      </wps:wsp>
                      <wps:wsp>
                        <wps:cNvPr id="482" name="Graphic 482"/>
                        <wps:cNvSpPr/>
                        <wps:spPr>
                          <a:xfrm>
                            <a:off x="12" y="0"/>
                            <a:ext cx="288925" cy="33655"/>
                          </a:xfrm>
                          <a:custGeom>
                            <a:avLst/>
                            <a:gdLst/>
                            <a:ahLst/>
                            <a:cxnLst/>
                            <a:rect l="l" t="t" r="r" b="b"/>
                            <a:pathLst>
                              <a:path w="288925" h="33655">
                                <a:moveTo>
                                  <a:pt x="288442" y="0"/>
                                </a:moveTo>
                                <a:lnTo>
                                  <a:pt x="0" y="0"/>
                                </a:lnTo>
                                <a:lnTo>
                                  <a:pt x="0" y="33223"/>
                                </a:lnTo>
                                <a:lnTo>
                                  <a:pt x="288442" y="33223"/>
                                </a:lnTo>
                                <a:lnTo>
                                  <a:pt x="288442" y="0"/>
                                </a:lnTo>
                                <a:close/>
                              </a:path>
                            </a:pathLst>
                          </a:custGeom>
                          <a:solidFill>
                            <a:srgbClr val="6D6E71"/>
                          </a:solidFill>
                        </wps:spPr>
                        <wps:bodyPr wrap="square" lIns="0" tIns="0" rIns="0" bIns="0" rtlCol="0">
                          <a:prstTxWarp prst="textNoShape">
                            <a:avLst/>
                          </a:prstTxWarp>
                          <a:noAutofit/>
                        </wps:bodyPr>
                      </wps:wsp>
                    </wpg:wgp>
                  </a:graphicData>
                </a:graphic>
              </wp:inline>
            </w:drawing>
          </mc:Choice>
          <mc:Fallback>
            <w:pict>
              <v:group style="width:22.75pt;height:151.1pt;mso-position-horizontal-relative:char;mso-position-vertical-relative:line" id="docshapegroup305" coordorigin="0,0" coordsize="455,3022">
                <v:rect style="position:absolute;left:0;top:810;width:455;height:2211" id="docshape306" filled="true" fillcolor="#21409a" stroked="false">
                  <v:fill type="solid"/>
                </v:rect>
                <v:rect style="position:absolute;left:0;top:667;width:455;height:144" id="docshape307" filled="true" fillcolor="#414042" stroked="false">
                  <v:fill type="solid"/>
                </v:rect>
                <v:rect style="position:absolute;left:0;top:653;width:455;height:14" id="docshape308" filled="true" fillcolor="#ddb00a" stroked="false">
                  <v:fill type="solid"/>
                </v:rect>
                <v:rect style="position:absolute;left:0;top:52;width:455;height:602" id="docshape309" filled="true" fillcolor="#e6e7e8" stroked="false">
                  <v:fill type="solid"/>
                </v:rect>
                <v:rect style="position:absolute;left:0;top:0;width:455;height:53" id="docshape310" filled="true" fillcolor="#6d6e71" stroked="false">
                  <v:fill type="solid"/>
                </v:rect>
              </v:group>
            </w:pict>
          </mc:Fallback>
        </mc:AlternateContent>
      </w:r>
      <w:r>
        <w:rPr>
          <w:rFonts w:ascii="TT Norms Pro Light"/>
          <w:spacing w:val="115"/>
          <w:sz w:val="20"/>
        </w:rPr>
      </w:r>
      <w:r>
        <w:rPr>
          <w:rFonts w:ascii="Times New Roman"/>
          <w:spacing w:val="145"/>
          <w:sz w:val="20"/>
        </w:rPr>
        <w:t> </w:t>
      </w:r>
      <w:r>
        <w:rPr>
          <w:rFonts w:ascii="TT Norms Pro Light"/>
          <w:spacing w:val="145"/>
          <w:sz w:val="20"/>
        </w:rPr>
        <mc:AlternateContent>
          <mc:Choice Requires="wps">
            <w:drawing>
              <wp:inline distT="0" distB="0" distL="0" distR="0">
                <wp:extent cx="306705" cy="1910714"/>
                <wp:effectExtent l="0" t="0" r="0" b="3810"/>
                <wp:docPr id="483" name="Group 483"/>
                <wp:cNvGraphicFramePr>
                  <a:graphicFrameLocks/>
                </wp:cNvGraphicFramePr>
                <a:graphic>
                  <a:graphicData uri="http://schemas.microsoft.com/office/word/2010/wordprocessingGroup">
                    <wpg:wgp>
                      <wpg:cNvPr id="483" name="Group 483"/>
                      <wpg:cNvGrpSpPr/>
                      <wpg:grpSpPr>
                        <a:xfrm>
                          <a:off x="0" y="0"/>
                          <a:ext cx="306705" cy="1910714"/>
                          <a:chExt cx="306705" cy="1910714"/>
                        </a:xfrm>
                      </wpg:grpSpPr>
                      <wps:wsp>
                        <wps:cNvPr id="484" name="Graphic 484"/>
                        <wps:cNvSpPr/>
                        <wps:spPr>
                          <a:xfrm>
                            <a:off x="0" y="564730"/>
                            <a:ext cx="306705" cy="1345565"/>
                          </a:xfrm>
                          <a:custGeom>
                            <a:avLst/>
                            <a:gdLst/>
                            <a:ahLst/>
                            <a:cxnLst/>
                            <a:rect l="l" t="t" r="r" b="b"/>
                            <a:pathLst>
                              <a:path w="306705" h="1345565">
                                <a:moveTo>
                                  <a:pt x="306692" y="0"/>
                                </a:moveTo>
                                <a:lnTo>
                                  <a:pt x="0" y="0"/>
                                </a:lnTo>
                                <a:lnTo>
                                  <a:pt x="0" y="1345425"/>
                                </a:lnTo>
                                <a:lnTo>
                                  <a:pt x="306692" y="1345425"/>
                                </a:lnTo>
                                <a:lnTo>
                                  <a:pt x="306692" y="0"/>
                                </a:lnTo>
                                <a:close/>
                              </a:path>
                            </a:pathLst>
                          </a:custGeom>
                          <a:solidFill>
                            <a:srgbClr val="21409A"/>
                          </a:solidFill>
                        </wps:spPr>
                        <wps:bodyPr wrap="square" lIns="0" tIns="0" rIns="0" bIns="0" rtlCol="0">
                          <a:prstTxWarp prst="textNoShape">
                            <a:avLst/>
                          </a:prstTxWarp>
                          <a:noAutofit/>
                        </wps:bodyPr>
                      </wps:wsp>
                      <wps:wsp>
                        <wps:cNvPr id="485" name="Graphic 485"/>
                        <wps:cNvSpPr/>
                        <wps:spPr>
                          <a:xfrm>
                            <a:off x="0" y="473379"/>
                            <a:ext cx="306705" cy="91440"/>
                          </a:xfrm>
                          <a:custGeom>
                            <a:avLst/>
                            <a:gdLst/>
                            <a:ahLst/>
                            <a:cxnLst/>
                            <a:rect l="l" t="t" r="r" b="b"/>
                            <a:pathLst>
                              <a:path w="306705" h="91440">
                                <a:moveTo>
                                  <a:pt x="306692" y="0"/>
                                </a:moveTo>
                                <a:lnTo>
                                  <a:pt x="0" y="0"/>
                                </a:lnTo>
                                <a:lnTo>
                                  <a:pt x="0" y="91351"/>
                                </a:lnTo>
                                <a:lnTo>
                                  <a:pt x="306692" y="91351"/>
                                </a:lnTo>
                                <a:lnTo>
                                  <a:pt x="306692" y="0"/>
                                </a:lnTo>
                                <a:close/>
                              </a:path>
                            </a:pathLst>
                          </a:custGeom>
                          <a:solidFill>
                            <a:srgbClr val="414042"/>
                          </a:solidFill>
                        </wps:spPr>
                        <wps:bodyPr wrap="square" lIns="0" tIns="0" rIns="0" bIns="0" rtlCol="0">
                          <a:prstTxWarp prst="textNoShape">
                            <a:avLst/>
                          </a:prstTxWarp>
                          <a:noAutofit/>
                        </wps:bodyPr>
                      </wps:wsp>
                      <wps:wsp>
                        <wps:cNvPr id="486" name="Graphic 486"/>
                        <wps:cNvSpPr/>
                        <wps:spPr>
                          <a:xfrm>
                            <a:off x="0" y="456768"/>
                            <a:ext cx="306705" cy="17145"/>
                          </a:xfrm>
                          <a:custGeom>
                            <a:avLst/>
                            <a:gdLst/>
                            <a:ahLst/>
                            <a:cxnLst/>
                            <a:rect l="l" t="t" r="r" b="b"/>
                            <a:pathLst>
                              <a:path w="306705" h="17145">
                                <a:moveTo>
                                  <a:pt x="306692" y="0"/>
                                </a:moveTo>
                                <a:lnTo>
                                  <a:pt x="0" y="0"/>
                                </a:lnTo>
                                <a:lnTo>
                                  <a:pt x="0" y="16611"/>
                                </a:lnTo>
                                <a:lnTo>
                                  <a:pt x="306692" y="16611"/>
                                </a:lnTo>
                                <a:lnTo>
                                  <a:pt x="306692" y="0"/>
                                </a:lnTo>
                                <a:close/>
                              </a:path>
                            </a:pathLst>
                          </a:custGeom>
                          <a:solidFill>
                            <a:srgbClr val="DDB00A"/>
                          </a:solidFill>
                        </wps:spPr>
                        <wps:bodyPr wrap="square" lIns="0" tIns="0" rIns="0" bIns="0" rtlCol="0">
                          <a:prstTxWarp prst="textNoShape">
                            <a:avLst/>
                          </a:prstTxWarp>
                          <a:noAutofit/>
                        </wps:bodyPr>
                      </wps:wsp>
                      <wps:wsp>
                        <wps:cNvPr id="487" name="Graphic 487"/>
                        <wps:cNvSpPr/>
                        <wps:spPr>
                          <a:xfrm>
                            <a:off x="0" y="41516"/>
                            <a:ext cx="306705" cy="415290"/>
                          </a:xfrm>
                          <a:custGeom>
                            <a:avLst/>
                            <a:gdLst/>
                            <a:ahLst/>
                            <a:cxnLst/>
                            <a:rect l="l" t="t" r="r" b="b"/>
                            <a:pathLst>
                              <a:path w="306705" h="415290">
                                <a:moveTo>
                                  <a:pt x="306692" y="0"/>
                                </a:moveTo>
                                <a:lnTo>
                                  <a:pt x="0" y="0"/>
                                </a:lnTo>
                                <a:lnTo>
                                  <a:pt x="0" y="415251"/>
                                </a:lnTo>
                                <a:lnTo>
                                  <a:pt x="306692" y="415251"/>
                                </a:lnTo>
                                <a:lnTo>
                                  <a:pt x="306692" y="0"/>
                                </a:lnTo>
                                <a:close/>
                              </a:path>
                            </a:pathLst>
                          </a:custGeom>
                          <a:solidFill>
                            <a:srgbClr val="E6E7E8"/>
                          </a:solidFill>
                        </wps:spPr>
                        <wps:bodyPr wrap="square" lIns="0" tIns="0" rIns="0" bIns="0" rtlCol="0">
                          <a:prstTxWarp prst="textNoShape">
                            <a:avLst/>
                          </a:prstTxWarp>
                          <a:noAutofit/>
                        </wps:bodyPr>
                      </wps:wsp>
                      <wps:wsp>
                        <wps:cNvPr id="488" name="Graphic 488"/>
                        <wps:cNvSpPr/>
                        <wps:spPr>
                          <a:xfrm>
                            <a:off x="0" y="16598"/>
                            <a:ext cx="306705" cy="25400"/>
                          </a:xfrm>
                          <a:custGeom>
                            <a:avLst/>
                            <a:gdLst/>
                            <a:ahLst/>
                            <a:cxnLst/>
                            <a:rect l="l" t="t" r="r" b="b"/>
                            <a:pathLst>
                              <a:path w="306705" h="25400">
                                <a:moveTo>
                                  <a:pt x="306692" y="0"/>
                                </a:moveTo>
                                <a:lnTo>
                                  <a:pt x="0" y="0"/>
                                </a:lnTo>
                                <a:lnTo>
                                  <a:pt x="0" y="24917"/>
                                </a:lnTo>
                                <a:lnTo>
                                  <a:pt x="306692" y="24917"/>
                                </a:lnTo>
                                <a:lnTo>
                                  <a:pt x="306692" y="0"/>
                                </a:lnTo>
                                <a:close/>
                              </a:path>
                            </a:pathLst>
                          </a:custGeom>
                          <a:solidFill>
                            <a:srgbClr val="6D6E71"/>
                          </a:solidFill>
                        </wps:spPr>
                        <wps:bodyPr wrap="square" lIns="0" tIns="0" rIns="0" bIns="0" rtlCol="0">
                          <a:prstTxWarp prst="textNoShape">
                            <a:avLst/>
                          </a:prstTxWarp>
                          <a:noAutofit/>
                        </wps:bodyPr>
                      </wps:wsp>
                      <wps:wsp>
                        <wps:cNvPr id="489" name="Graphic 489"/>
                        <wps:cNvSpPr/>
                        <wps:spPr>
                          <a:xfrm>
                            <a:off x="0" y="0"/>
                            <a:ext cx="306705" cy="17145"/>
                          </a:xfrm>
                          <a:custGeom>
                            <a:avLst/>
                            <a:gdLst/>
                            <a:ahLst/>
                            <a:cxnLst/>
                            <a:rect l="l" t="t" r="r" b="b"/>
                            <a:pathLst>
                              <a:path w="306705" h="17145">
                                <a:moveTo>
                                  <a:pt x="306705" y="8331"/>
                                </a:moveTo>
                                <a:lnTo>
                                  <a:pt x="0" y="8331"/>
                                </a:lnTo>
                                <a:lnTo>
                                  <a:pt x="0" y="16624"/>
                                </a:lnTo>
                                <a:lnTo>
                                  <a:pt x="306705" y="16624"/>
                                </a:lnTo>
                                <a:lnTo>
                                  <a:pt x="306705" y="8331"/>
                                </a:lnTo>
                                <a:close/>
                              </a:path>
                              <a:path w="306705" h="17145">
                                <a:moveTo>
                                  <a:pt x="306705" y="0"/>
                                </a:moveTo>
                                <a:lnTo>
                                  <a:pt x="0" y="0"/>
                                </a:lnTo>
                                <a:lnTo>
                                  <a:pt x="0" y="8305"/>
                                </a:lnTo>
                                <a:lnTo>
                                  <a:pt x="306705" y="8305"/>
                                </a:lnTo>
                                <a:lnTo>
                                  <a:pt x="306705" y="0"/>
                                </a:lnTo>
                                <a:close/>
                              </a:path>
                            </a:pathLst>
                          </a:custGeom>
                          <a:solidFill>
                            <a:srgbClr val="C7C8CA"/>
                          </a:solidFill>
                        </wps:spPr>
                        <wps:bodyPr wrap="square" lIns="0" tIns="0" rIns="0" bIns="0" rtlCol="0">
                          <a:prstTxWarp prst="textNoShape">
                            <a:avLst/>
                          </a:prstTxWarp>
                          <a:noAutofit/>
                        </wps:bodyPr>
                      </wps:wsp>
                    </wpg:wgp>
                  </a:graphicData>
                </a:graphic>
              </wp:inline>
            </w:drawing>
          </mc:Choice>
          <mc:Fallback>
            <w:pict>
              <v:group style="width:24.15pt;height:150.450pt;mso-position-horizontal-relative:char;mso-position-vertical-relative:line" id="docshapegroup311" coordorigin="0,0" coordsize="483,3009">
                <v:rect style="position:absolute;left:0;top:889;width:483;height:2119" id="docshape312" filled="true" fillcolor="#21409a" stroked="false">
                  <v:fill type="solid"/>
                </v:rect>
                <v:rect style="position:absolute;left:0;top:745;width:483;height:144" id="docshape313" filled="true" fillcolor="#414042" stroked="false">
                  <v:fill type="solid"/>
                </v:rect>
                <v:rect style="position:absolute;left:0;top:719;width:483;height:27" id="docshape314" filled="true" fillcolor="#ddb00a" stroked="false">
                  <v:fill type="solid"/>
                </v:rect>
                <v:rect style="position:absolute;left:0;top:65;width:483;height:654" id="docshape315" filled="true" fillcolor="#e6e7e8" stroked="false">
                  <v:fill type="solid"/>
                </v:rect>
                <v:rect style="position:absolute;left:0;top:26;width:483;height:40" id="docshape316" filled="true" fillcolor="#6d6e71" stroked="false">
                  <v:fill type="solid"/>
                </v:rect>
                <v:shape style="position:absolute;left:0;top:0;width:483;height:27" id="docshape317" coordorigin="0,0" coordsize="483,27" path="m483,13l0,13,0,26,483,26,483,13xm483,0l0,0,0,13,483,13,483,0xe" filled="true" fillcolor="#c7c8ca" stroked="false">
                  <v:path arrowok="t"/>
                  <v:fill type="solid"/>
                </v:shape>
              </v:group>
            </w:pict>
          </mc:Fallback>
        </mc:AlternateContent>
      </w:r>
      <w:r>
        <w:rPr>
          <w:rFonts w:ascii="TT Norms Pro Light"/>
          <w:spacing w:val="145"/>
          <w:sz w:val="20"/>
        </w:rPr>
      </w:r>
      <w:r>
        <w:rPr>
          <w:rFonts w:ascii="Times New Roman"/>
          <w:spacing w:val="132"/>
          <w:sz w:val="20"/>
        </w:rPr>
        <w:t> </w:t>
      </w:r>
      <w:r>
        <w:rPr>
          <w:rFonts w:ascii="TT Norms Pro Light"/>
          <w:spacing w:val="132"/>
          <w:sz w:val="20"/>
        </w:rPr>
        <mc:AlternateContent>
          <mc:Choice Requires="wps">
            <w:drawing>
              <wp:inline distT="0" distB="0" distL="0" distR="0">
                <wp:extent cx="306705" cy="1852295"/>
                <wp:effectExtent l="0" t="0" r="0" b="5080"/>
                <wp:docPr id="490" name="Group 490"/>
                <wp:cNvGraphicFramePr>
                  <a:graphicFrameLocks/>
                </wp:cNvGraphicFramePr>
                <a:graphic>
                  <a:graphicData uri="http://schemas.microsoft.com/office/word/2010/wordprocessingGroup">
                    <wpg:wgp>
                      <wpg:cNvPr id="490" name="Group 490"/>
                      <wpg:cNvGrpSpPr/>
                      <wpg:grpSpPr>
                        <a:xfrm>
                          <a:off x="0" y="0"/>
                          <a:ext cx="306705" cy="1852295"/>
                          <a:chExt cx="306705" cy="1852295"/>
                        </a:xfrm>
                      </wpg:grpSpPr>
                      <wps:wsp>
                        <wps:cNvPr id="491" name="Graphic 491"/>
                        <wps:cNvSpPr/>
                        <wps:spPr>
                          <a:xfrm>
                            <a:off x="25" y="548144"/>
                            <a:ext cx="306705" cy="1304290"/>
                          </a:xfrm>
                          <a:custGeom>
                            <a:avLst/>
                            <a:gdLst/>
                            <a:ahLst/>
                            <a:cxnLst/>
                            <a:rect l="l" t="t" r="r" b="b"/>
                            <a:pathLst>
                              <a:path w="306705" h="1304290">
                                <a:moveTo>
                                  <a:pt x="306641" y="0"/>
                                </a:moveTo>
                                <a:lnTo>
                                  <a:pt x="0" y="0"/>
                                </a:lnTo>
                                <a:lnTo>
                                  <a:pt x="0" y="1303896"/>
                                </a:lnTo>
                                <a:lnTo>
                                  <a:pt x="306641" y="1303896"/>
                                </a:lnTo>
                                <a:lnTo>
                                  <a:pt x="306641" y="0"/>
                                </a:lnTo>
                                <a:close/>
                              </a:path>
                            </a:pathLst>
                          </a:custGeom>
                          <a:solidFill>
                            <a:srgbClr val="21409A"/>
                          </a:solidFill>
                        </wps:spPr>
                        <wps:bodyPr wrap="square" lIns="0" tIns="0" rIns="0" bIns="0" rtlCol="0">
                          <a:prstTxWarp prst="textNoShape">
                            <a:avLst/>
                          </a:prstTxWarp>
                          <a:noAutofit/>
                        </wps:bodyPr>
                      </wps:wsp>
                      <wps:wsp>
                        <wps:cNvPr id="492" name="Graphic 492"/>
                        <wps:cNvSpPr/>
                        <wps:spPr>
                          <a:xfrm>
                            <a:off x="25" y="456780"/>
                            <a:ext cx="306705" cy="91440"/>
                          </a:xfrm>
                          <a:custGeom>
                            <a:avLst/>
                            <a:gdLst/>
                            <a:ahLst/>
                            <a:cxnLst/>
                            <a:rect l="l" t="t" r="r" b="b"/>
                            <a:pathLst>
                              <a:path w="306705" h="91440">
                                <a:moveTo>
                                  <a:pt x="306641" y="0"/>
                                </a:moveTo>
                                <a:lnTo>
                                  <a:pt x="0" y="0"/>
                                </a:lnTo>
                                <a:lnTo>
                                  <a:pt x="0" y="91351"/>
                                </a:lnTo>
                                <a:lnTo>
                                  <a:pt x="306641" y="91351"/>
                                </a:lnTo>
                                <a:lnTo>
                                  <a:pt x="306641" y="0"/>
                                </a:lnTo>
                                <a:close/>
                              </a:path>
                            </a:pathLst>
                          </a:custGeom>
                          <a:solidFill>
                            <a:srgbClr val="414042"/>
                          </a:solidFill>
                        </wps:spPr>
                        <wps:bodyPr wrap="square" lIns="0" tIns="0" rIns="0" bIns="0" rtlCol="0">
                          <a:prstTxWarp prst="textNoShape">
                            <a:avLst/>
                          </a:prstTxWarp>
                          <a:noAutofit/>
                        </wps:bodyPr>
                      </wps:wsp>
                      <wps:wsp>
                        <wps:cNvPr id="493" name="Graphic 493"/>
                        <wps:cNvSpPr/>
                        <wps:spPr>
                          <a:xfrm>
                            <a:off x="0" y="448500"/>
                            <a:ext cx="306705" cy="8890"/>
                          </a:xfrm>
                          <a:custGeom>
                            <a:avLst/>
                            <a:gdLst/>
                            <a:ahLst/>
                            <a:cxnLst/>
                            <a:rect l="l" t="t" r="r" b="b"/>
                            <a:pathLst>
                              <a:path w="306705" h="8890">
                                <a:moveTo>
                                  <a:pt x="306641" y="0"/>
                                </a:moveTo>
                                <a:lnTo>
                                  <a:pt x="0" y="0"/>
                                </a:lnTo>
                                <a:lnTo>
                                  <a:pt x="0" y="8293"/>
                                </a:lnTo>
                                <a:lnTo>
                                  <a:pt x="306641" y="8293"/>
                                </a:lnTo>
                                <a:lnTo>
                                  <a:pt x="306641" y="0"/>
                                </a:lnTo>
                                <a:close/>
                              </a:path>
                            </a:pathLst>
                          </a:custGeom>
                          <a:solidFill>
                            <a:srgbClr val="DDB00A"/>
                          </a:solidFill>
                        </wps:spPr>
                        <wps:bodyPr wrap="square" lIns="0" tIns="0" rIns="0" bIns="0" rtlCol="0">
                          <a:prstTxWarp prst="textNoShape">
                            <a:avLst/>
                          </a:prstTxWarp>
                          <a:noAutofit/>
                        </wps:bodyPr>
                      </wps:wsp>
                      <wps:wsp>
                        <wps:cNvPr id="494" name="Graphic 494"/>
                        <wps:cNvSpPr/>
                        <wps:spPr>
                          <a:xfrm>
                            <a:off x="25" y="24917"/>
                            <a:ext cx="306705" cy="424180"/>
                          </a:xfrm>
                          <a:custGeom>
                            <a:avLst/>
                            <a:gdLst/>
                            <a:ahLst/>
                            <a:cxnLst/>
                            <a:rect l="l" t="t" r="r" b="b"/>
                            <a:pathLst>
                              <a:path w="306705" h="424180">
                                <a:moveTo>
                                  <a:pt x="306641" y="0"/>
                                </a:moveTo>
                                <a:lnTo>
                                  <a:pt x="0" y="0"/>
                                </a:lnTo>
                                <a:lnTo>
                                  <a:pt x="0" y="423570"/>
                                </a:lnTo>
                                <a:lnTo>
                                  <a:pt x="306641" y="423570"/>
                                </a:lnTo>
                                <a:lnTo>
                                  <a:pt x="306641" y="0"/>
                                </a:lnTo>
                                <a:close/>
                              </a:path>
                            </a:pathLst>
                          </a:custGeom>
                          <a:solidFill>
                            <a:srgbClr val="E6E7E8"/>
                          </a:solidFill>
                        </wps:spPr>
                        <wps:bodyPr wrap="square" lIns="0" tIns="0" rIns="0" bIns="0" rtlCol="0">
                          <a:prstTxWarp prst="textNoShape">
                            <a:avLst/>
                          </a:prstTxWarp>
                          <a:noAutofit/>
                        </wps:bodyPr>
                      </wps:wsp>
                      <wps:wsp>
                        <wps:cNvPr id="495" name="Graphic 495"/>
                        <wps:cNvSpPr/>
                        <wps:spPr>
                          <a:xfrm>
                            <a:off x="0" y="16624"/>
                            <a:ext cx="306705" cy="8890"/>
                          </a:xfrm>
                          <a:custGeom>
                            <a:avLst/>
                            <a:gdLst/>
                            <a:ahLst/>
                            <a:cxnLst/>
                            <a:rect l="l" t="t" r="r" b="b"/>
                            <a:pathLst>
                              <a:path w="306705" h="8890">
                                <a:moveTo>
                                  <a:pt x="306641" y="0"/>
                                </a:moveTo>
                                <a:lnTo>
                                  <a:pt x="0" y="0"/>
                                </a:lnTo>
                                <a:lnTo>
                                  <a:pt x="0" y="8293"/>
                                </a:lnTo>
                                <a:lnTo>
                                  <a:pt x="306641" y="8293"/>
                                </a:lnTo>
                                <a:lnTo>
                                  <a:pt x="306641" y="0"/>
                                </a:lnTo>
                                <a:close/>
                              </a:path>
                            </a:pathLst>
                          </a:custGeom>
                          <a:solidFill>
                            <a:srgbClr val="6D6E71"/>
                          </a:solidFill>
                        </wps:spPr>
                        <wps:bodyPr wrap="square" lIns="0" tIns="0" rIns="0" bIns="0" rtlCol="0">
                          <a:prstTxWarp prst="textNoShape">
                            <a:avLst/>
                          </a:prstTxWarp>
                          <a:noAutofit/>
                        </wps:bodyPr>
                      </wps:wsp>
                      <wps:wsp>
                        <wps:cNvPr id="496" name="Graphic 496"/>
                        <wps:cNvSpPr/>
                        <wps:spPr>
                          <a:xfrm>
                            <a:off x="25" y="0"/>
                            <a:ext cx="306705" cy="17145"/>
                          </a:xfrm>
                          <a:custGeom>
                            <a:avLst/>
                            <a:gdLst/>
                            <a:ahLst/>
                            <a:cxnLst/>
                            <a:rect l="l" t="t" r="r" b="b"/>
                            <a:pathLst>
                              <a:path w="306705" h="17145">
                                <a:moveTo>
                                  <a:pt x="306616" y="0"/>
                                </a:moveTo>
                                <a:lnTo>
                                  <a:pt x="0" y="0"/>
                                </a:lnTo>
                                <a:lnTo>
                                  <a:pt x="0" y="16611"/>
                                </a:lnTo>
                                <a:lnTo>
                                  <a:pt x="306616" y="16611"/>
                                </a:lnTo>
                                <a:lnTo>
                                  <a:pt x="306616" y="0"/>
                                </a:lnTo>
                                <a:close/>
                              </a:path>
                            </a:pathLst>
                          </a:custGeom>
                          <a:solidFill>
                            <a:srgbClr val="21409A">
                              <a:alpha val="50000"/>
                            </a:srgbClr>
                          </a:solidFill>
                        </wps:spPr>
                        <wps:bodyPr wrap="square" lIns="0" tIns="0" rIns="0" bIns="0" rtlCol="0">
                          <a:prstTxWarp prst="textNoShape">
                            <a:avLst/>
                          </a:prstTxWarp>
                          <a:noAutofit/>
                        </wps:bodyPr>
                      </wps:wsp>
                    </wpg:wgp>
                  </a:graphicData>
                </a:graphic>
              </wp:inline>
            </w:drawing>
          </mc:Choice>
          <mc:Fallback>
            <w:pict>
              <v:group style="width:24.15pt;height:145.85pt;mso-position-horizontal-relative:char;mso-position-vertical-relative:line" id="docshapegroup318" coordorigin="0,0" coordsize="483,2917">
                <v:rect style="position:absolute;left:0;top:863;width:483;height:2054" id="docshape319" filled="true" fillcolor="#21409a" stroked="false">
                  <v:fill type="solid"/>
                </v:rect>
                <v:rect style="position:absolute;left:0;top:719;width:483;height:144" id="docshape320" filled="true" fillcolor="#414042" stroked="false">
                  <v:fill type="solid"/>
                </v:rect>
                <v:rect style="position:absolute;left:0;top:706;width:483;height:14" id="docshape321" filled="true" fillcolor="#ddb00a" stroked="false">
                  <v:fill type="solid"/>
                </v:rect>
                <v:rect style="position:absolute;left:0;top:39;width:483;height:668" id="docshape322" filled="true" fillcolor="#e6e7e8" stroked="false">
                  <v:fill type="solid"/>
                </v:rect>
                <v:rect style="position:absolute;left:0;top:26;width:483;height:14" id="docshape323" filled="true" fillcolor="#6d6e71" stroked="false">
                  <v:fill type="solid"/>
                </v:rect>
                <v:rect style="position:absolute;left:0;top:0;width:483;height:27" id="docshape324" filled="true" fillcolor="#21409a" stroked="false">
                  <v:fill opacity="32768f" type="solid"/>
                </v:rect>
              </v:group>
            </w:pict>
          </mc:Fallback>
        </mc:AlternateContent>
      </w:r>
      <w:r>
        <w:rPr>
          <w:rFonts w:ascii="TT Norms Pro Light"/>
          <w:spacing w:val="132"/>
          <w:sz w:val="20"/>
        </w:rPr>
      </w:r>
      <w:r>
        <w:rPr>
          <w:rFonts w:ascii="Times New Roman"/>
          <w:spacing w:val="89"/>
          <w:sz w:val="20"/>
        </w:rPr>
        <w:t> </w:t>
      </w:r>
      <w:r>
        <w:rPr>
          <w:rFonts w:ascii="TT Norms Pro Light"/>
          <w:spacing w:val="89"/>
          <w:sz w:val="20"/>
        </w:rPr>
        <mc:AlternateContent>
          <mc:Choice Requires="wps">
            <w:drawing>
              <wp:inline distT="0" distB="0" distL="0" distR="0">
                <wp:extent cx="308610" cy="1827530"/>
                <wp:effectExtent l="0" t="0" r="0" b="1269"/>
                <wp:docPr id="497" name="Group 497"/>
                <wp:cNvGraphicFramePr>
                  <a:graphicFrameLocks/>
                </wp:cNvGraphicFramePr>
                <a:graphic>
                  <a:graphicData uri="http://schemas.microsoft.com/office/word/2010/wordprocessingGroup">
                    <wpg:wgp>
                      <wpg:cNvPr id="497" name="Group 497"/>
                      <wpg:cNvGrpSpPr/>
                      <wpg:grpSpPr>
                        <a:xfrm>
                          <a:off x="0" y="0"/>
                          <a:ext cx="308610" cy="1827530"/>
                          <a:chExt cx="308610" cy="1827530"/>
                        </a:xfrm>
                      </wpg:grpSpPr>
                      <wps:wsp>
                        <wps:cNvPr id="498" name="Graphic 498"/>
                        <wps:cNvSpPr/>
                        <wps:spPr>
                          <a:xfrm>
                            <a:off x="1828" y="539826"/>
                            <a:ext cx="304800" cy="1287780"/>
                          </a:xfrm>
                          <a:custGeom>
                            <a:avLst/>
                            <a:gdLst/>
                            <a:ahLst/>
                            <a:cxnLst/>
                            <a:rect l="l" t="t" r="r" b="b"/>
                            <a:pathLst>
                              <a:path w="304800" h="1287780">
                                <a:moveTo>
                                  <a:pt x="304736" y="0"/>
                                </a:moveTo>
                                <a:lnTo>
                                  <a:pt x="0" y="0"/>
                                </a:lnTo>
                                <a:lnTo>
                                  <a:pt x="0" y="1287284"/>
                                </a:lnTo>
                                <a:lnTo>
                                  <a:pt x="304736" y="1287284"/>
                                </a:lnTo>
                                <a:lnTo>
                                  <a:pt x="304736" y="0"/>
                                </a:lnTo>
                                <a:close/>
                              </a:path>
                            </a:pathLst>
                          </a:custGeom>
                          <a:solidFill>
                            <a:srgbClr val="21409A"/>
                          </a:solidFill>
                        </wps:spPr>
                        <wps:bodyPr wrap="square" lIns="0" tIns="0" rIns="0" bIns="0" rtlCol="0">
                          <a:prstTxWarp prst="textNoShape">
                            <a:avLst/>
                          </a:prstTxWarp>
                          <a:noAutofit/>
                        </wps:bodyPr>
                      </wps:wsp>
                      <wps:wsp>
                        <wps:cNvPr id="499" name="Graphic 499"/>
                        <wps:cNvSpPr/>
                        <wps:spPr>
                          <a:xfrm>
                            <a:off x="0" y="456780"/>
                            <a:ext cx="308610" cy="83185"/>
                          </a:xfrm>
                          <a:custGeom>
                            <a:avLst/>
                            <a:gdLst/>
                            <a:ahLst/>
                            <a:cxnLst/>
                            <a:rect l="l" t="t" r="r" b="b"/>
                            <a:pathLst>
                              <a:path w="308610" h="83185">
                                <a:moveTo>
                                  <a:pt x="308368" y="0"/>
                                </a:moveTo>
                                <a:lnTo>
                                  <a:pt x="0" y="0"/>
                                </a:lnTo>
                                <a:lnTo>
                                  <a:pt x="0" y="83045"/>
                                </a:lnTo>
                                <a:lnTo>
                                  <a:pt x="308368" y="83045"/>
                                </a:lnTo>
                                <a:lnTo>
                                  <a:pt x="308368" y="0"/>
                                </a:lnTo>
                                <a:close/>
                              </a:path>
                            </a:pathLst>
                          </a:custGeom>
                          <a:solidFill>
                            <a:srgbClr val="414042"/>
                          </a:solidFill>
                        </wps:spPr>
                        <wps:bodyPr wrap="square" lIns="0" tIns="0" rIns="0" bIns="0" rtlCol="0">
                          <a:prstTxWarp prst="textNoShape">
                            <a:avLst/>
                          </a:prstTxWarp>
                          <a:noAutofit/>
                        </wps:bodyPr>
                      </wps:wsp>
                      <wps:wsp>
                        <wps:cNvPr id="500" name="Graphic 500"/>
                        <wps:cNvSpPr/>
                        <wps:spPr>
                          <a:xfrm>
                            <a:off x="0" y="448500"/>
                            <a:ext cx="308610" cy="8890"/>
                          </a:xfrm>
                          <a:custGeom>
                            <a:avLst/>
                            <a:gdLst/>
                            <a:ahLst/>
                            <a:cxnLst/>
                            <a:rect l="l" t="t" r="r" b="b"/>
                            <a:pathLst>
                              <a:path w="308610" h="8890">
                                <a:moveTo>
                                  <a:pt x="308368" y="0"/>
                                </a:moveTo>
                                <a:lnTo>
                                  <a:pt x="0" y="0"/>
                                </a:lnTo>
                                <a:lnTo>
                                  <a:pt x="0" y="8293"/>
                                </a:lnTo>
                                <a:lnTo>
                                  <a:pt x="308368" y="8293"/>
                                </a:lnTo>
                                <a:lnTo>
                                  <a:pt x="308368" y="0"/>
                                </a:lnTo>
                                <a:close/>
                              </a:path>
                            </a:pathLst>
                          </a:custGeom>
                          <a:solidFill>
                            <a:srgbClr val="DDB00A"/>
                          </a:solidFill>
                        </wps:spPr>
                        <wps:bodyPr wrap="square" lIns="0" tIns="0" rIns="0" bIns="0" rtlCol="0">
                          <a:prstTxWarp prst="textNoShape">
                            <a:avLst/>
                          </a:prstTxWarp>
                          <a:noAutofit/>
                        </wps:bodyPr>
                      </wps:wsp>
                      <wps:wsp>
                        <wps:cNvPr id="501" name="Graphic 501"/>
                        <wps:cNvSpPr/>
                        <wps:spPr>
                          <a:xfrm>
                            <a:off x="0" y="24917"/>
                            <a:ext cx="308610" cy="424180"/>
                          </a:xfrm>
                          <a:custGeom>
                            <a:avLst/>
                            <a:gdLst/>
                            <a:ahLst/>
                            <a:cxnLst/>
                            <a:rect l="l" t="t" r="r" b="b"/>
                            <a:pathLst>
                              <a:path w="308610" h="424180">
                                <a:moveTo>
                                  <a:pt x="308368" y="0"/>
                                </a:moveTo>
                                <a:lnTo>
                                  <a:pt x="0" y="0"/>
                                </a:lnTo>
                                <a:lnTo>
                                  <a:pt x="0" y="423570"/>
                                </a:lnTo>
                                <a:lnTo>
                                  <a:pt x="308368" y="423570"/>
                                </a:lnTo>
                                <a:lnTo>
                                  <a:pt x="308368" y="0"/>
                                </a:lnTo>
                                <a:close/>
                              </a:path>
                            </a:pathLst>
                          </a:custGeom>
                          <a:solidFill>
                            <a:srgbClr val="E6E7E8"/>
                          </a:solidFill>
                        </wps:spPr>
                        <wps:bodyPr wrap="square" lIns="0" tIns="0" rIns="0" bIns="0" rtlCol="0">
                          <a:prstTxWarp prst="textNoShape">
                            <a:avLst/>
                          </a:prstTxWarp>
                          <a:noAutofit/>
                        </wps:bodyPr>
                      </wps:wsp>
                      <wps:wsp>
                        <wps:cNvPr id="502" name="Graphic 502"/>
                        <wps:cNvSpPr/>
                        <wps:spPr>
                          <a:xfrm>
                            <a:off x="0" y="16624"/>
                            <a:ext cx="308610" cy="8890"/>
                          </a:xfrm>
                          <a:custGeom>
                            <a:avLst/>
                            <a:gdLst/>
                            <a:ahLst/>
                            <a:cxnLst/>
                            <a:rect l="l" t="t" r="r" b="b"/>
                            <a:pathLst>
                              <a:path w="308610" h="8890">
                                <a:moveTo>
                                  <a:pt x="308368" y="0"/>
                                </a:moveTo>
                                <a:lnTo>
                                  <a:pt x="0" y="0"/>
                                </a:lnTo>
                                <a:lnTo>
                                  <a:pt x="0" y="8293"/>
                                </a:lnTo>
                                <a:lnTo>
                                  <a:pt x="308368" y="8293"/>
                                </a:lnTo>
                                <a:lnTo>
                                  <a:pt x="308368" y="0"/>
                                </a:lnTo>
                                <a:close/>
                              </a:path>
                            </a:pathLst>
                          </a:custGeom>
                          <a:solidFill>
                            <a:srgbClr val="6D6E71"/>
                          </a:solidFill>
                        </wps:spPr>
                        <wps:bodyPr wrap="square" lIns="0" tIns="0" rIns="0" bIns="0" rtlCol="0">
                          <a:prstTxWarp prst="textNoShape">
                            <a:avLst/>
                          </a:prstTxWarp>
                          <a:noAutofit/>
                        </wps:bodyPr>
                      </wps:wsp>
                      <wps:wsp>
                        <wps:cNvPr id="503" name="Graphic 503"/>
                        <wps:cNvSpPr/>
                        <wps:spPr>
                          <a:xfrm>
                            <a:off x="0" y="0"/>
                            <a:ext cx="308610" cy="17145"/>
                          </a:xfrm>
                          <a:custGeom>
                            <a:avLst/>
                            <a:gdLst/>
                            <a:ahLst/>
                            <a:cxnLst/>
                            <a:rect l="l" t="t" r="r" b="b"/>
                            <a:pathLst>
                              <a:path w="308610" h="17145">
                                <a:moveTo>
                                  <a:pt x="308368" y="0"/>
                                </a:moveTo>
                                <a:lnTo>
                                  <a:pt x="0" y="0"/>
                                </a:lnTo>
                                <a:lnTo>
                                  <a:pt x="0" y="16611"/>
                                </a:lnTo>
                                <a:lnTo>
                                  <a:pt x="308368" y="16611"/>
                                </a:lnTo>
                                <a:lnTo>
                                  <a:pt x="308368" y="0"/>
                                </a:lnTo>
                                <a:close/>
                              </a:path>
                            </a:pathLst>
                          </a:custGeom>
                          <a:solidFill>
                            <a:srgbClr val="21409A">
                              <a:alpha val="50000"/>
                            </a:srgbClr>
                          </a:solidFill>
                        </wps:spPr>
                        <wps:bodyPr wrap="square" lIns="0" tIns="0" rIns="0" bIns="0" rtlCol="0">
                          <a:prstTxWarp prst="textNoShape">
                            <a:avLst/>
                          </a:prstTxWarp>
                          <a:noAutofit/>
                        </wps:bodyPr>
                      </wps:wsp>
                    </wpg:wgp>
                  </a:graphicData>
                </a:graphic>
              </wp:inline>
            </w:drawing>
          </mc:Choice>
          <mc:Fallback>
            <w:pict>
              <v:group style="width:24.3pt;height:143.9pt;mso-position-horizontal-relative:char;mso-position-vertical-relative:line" id="docshapegroup325" coordorigin="0,0" coordsize="486,2878">
                <v:rect style="position:absolute;left:2;top:850;width:480;height:2028" id="docshape326" filled="true" fillcolor="#21409a" stroked="false">
                  <v:fill type="solid"/>
                </v:rect>
                <v:rect style="position:absolute;left:0;top:719;width:486;height:131" id="docshape327" filled="true" fillcolor="#414042" stroked="false">
                  <v:fill type="solid"/>
                </v:rect>
                <v:rect style="position:absolute;left:0;top:706;width:486;height:14" id="docshape328" filled="true" fillcolor="#ddb00a" stroked="false">
                  <v:fill type="solid"/>
                </v:rect>
                <v:rect style="position:absolute;left:0;top:39;width:486;height:668" id="docshape329" filled="true" fillcolor="#e6e7e8" stroked="false">
                  <v:fill type="solid"/>
                </v:rect>
                <v:rect style="position:absolute;left:0;top:26;width:486;height:14" id="docshape330" filled="true" fillcolor="#6d6e71" stroked="false">
                  <v:fill type="solid"/>
                </v:rect>
                <v:rect style="position:absolute;left:0;top:0;width:486;height:27" id="docshape331" filled="true" fillcolor="#21409a" stroked="false">
                  <v:fill opacity="32768f" type="solid"/>
                </v:rect>
              </v:group>
            </w:pict>
          </mc:Fallback>
        </mc:AlternateContent>
      </w:r>
      <w:r>
        <w:rPr>
          <w:rFonts w:ascii="TT Norms Pro Light"/>
          <w:spacing w:val="89"/>
          <w:sz w:val="20"/>
        </w:rPr>
      </w:r>
      <w:r>
        <w:rPr>
          <w:rFonts w:ascii="Times New Roman"/>
          <w:spacing w:val="115"/>
          <w:sz w:val="20"/>
        </w:rPr>
        <w:t> </w:t>
      </w:r>
      <w:r>
        <w:rPr>
          <w:rFonts w:ascii="TT Norms Pro Light"/>
          <w:spacing w:val="115"/>
          <w:sz w:val="20"/>
        </w:rPr>
        <mc:AlternateContent>
          <mc:Choice Requires="wps">
            <w:drawing>
              <wp:inline distT="0" distB="0" distL="0" distR="0">
                <wp:extent cx="307340" cy="1802764"/>
                <wp:effectExtent l="0" t="0" r="0" b="6985"/>
                <wp:docPr id="504" name="Group 504"/>
                <wp:cNvGraphicFramePr>
                  <a:graphicFrameLocks/>
                </wp:cNvGraphicFramePr>
                <a:graphic>
                  <a:graphicData uri="http://schemas.microsoft.com/office/word/2010/wordprocessingGroup">
                    <wpg:wgp>
                      <wpg:cNvPr id="504" name="Group 504"/>
                      <wpg:cNvGrpSpPr/>
                      <wpg:grpSpPr>
                        <a:xfrm>
                          <a:off x="0" y="0"/>
                          <a:ext cx="307340" cy="1802764"/>
                          <a:chExt cx="307340" cy="1802764"/>
                        </a:xfrm>
                      </wpg:grpSpPr>
                      <wps:wsp>
                        <wps:cNvPr id="505" name="Graphic 505"/>
                        <wps:cNvSpPr/>
                        <wps:spPr>
                          <a:xfrm>
                            <a:off x="0" y="490004"/>
                            <a:ext cx="306705" cy="1312545"/>
                          </a:xfrm>
                          <a:custGeom>
                            <a:avLst/>
                            <a:gdLst/>
                            <a:ahLst/>
                            <a:cxnLst/>
                            <a:rect l="l" t="t" r="r" b="b"/>
                            <a:pathLst>
                              <a:path w="306705" h="1312545">
                                <a:moveTo>
                                  <a:pt x="306704" y="0"/>
                                </a:moveTo>
                                <a:lnTo>
                                  <a:pt x="0" y="0"/>
                                </a:lnTo>
                                <a:lnTo>
                                  <a:pt x="0" y="1312202"/>
                                </a:lnTo>
                                <a:lnTo>
                                  <a:pt x="306704" y="1312202"/>
                                </a:lnTo>
                                <a:lnTo>
                                  <a:pt x="306704" y="0"/>
                                </a:lnTo>
                                <a:close/>
                              </a:path>
                            </a:pathLst>
                          </a:custGeom>
                          <a:solidFill>
                            <a:srgbClr val="21409A"/>
                          </a:solidFill>
                        </wps:spPr>
                        <wps:bodyPr wrap="square" lIns="0" tIns="0" rIns="0" bIns="0" rtlCol="0">
                          <a:prstTxWarp prst="textNoShape">
                            <a:avLst/>
                          </a:prstTxWarp>
                          <a:noAutofit/>
                        </wps:bodyPr>
                      </wps:wsp>
                      <wps:wsp>
                        <wps:cNvPr id="506" name="Graphic 506"/>
                        <wps:cNvSpPr/>
                        <wps:spPr>
                          <a:xfrm>
                            <a:off x="0" y="423557"/>
                            <a:ext cx="306705" cy="66675"/>
                          </a:xfrm>
                          <a:custGeom>
                            <a:avLst/>
                            <a:gdLst/>
                            <a:ahLst/>
                            <a:cxnLst/>
                            <a:rect l="l" t="t" r="r" b="b"/>
                            <a:pathLst>
                              <a:path w="306705" h="66675">
                                <a:moveTo>
                                  <a:pt x="306704" y="0"/>
                                </a:moveTo>
                                <a:lnTo>
                                  <a:pt x="0" y="0"/>
                                </a:lnTo>
                                <a:lnTo>
                                  <a:pt x="0" y="66433"/>
                                </a:lnTo>
                                <a:lnTo>
                                  <a:pt x="306704" y="66433"/>
                                </a:lnTo>
                                <a:lnTo>
                                  <a:pt x="306704" y="0"/>
                                </a:lnTo>
                                <a:close/>
                              </a:path>
                            </a:pathLst>
                          </a:custGeom>
                          <a:solidFill>
                            <a:srgbClr val="414042"/>
                          </a:solidFill>
                        </wps:spPr>
                        <wps:bodyPr wrap="square" lIns="0" tIns="0" rIns="0" bIns="0" rtlCol="0">
                          <a:prstTxWarp prst="textNoShape">
                            <a:avLst/>
                          </a:prstTxWarp>
                          <a:noAutofit/>
                        </wps:bodyPr>
                      </wps:wsp>
                      <wps:wsp>
                        <wps:cNvPr id="507" name="Graphic 507"/>
                        <wps:cNvSpPr/>
                        <wps:spPr>
                          <a:xfrm>
                            <a:off x="0" y="415277"/>
                            <a:ext cx="307340" cy="8890"/>
                          </a:xfrm>
                          <a:custGeom>
                            <a:avLst/>
                            <a:gdLst/>
                            <a:ahLst/>
                            <a:cxnLst/>
                            <a:rect l="l" t="t" r="r" b="b"/>
                            <a:pathLst>
                              <a:path w="307340" h="8890">
                                <a:moveTo>
                                  <a:pt x="306717" y="0"/>
                                </a:moveTo>
                                <a:lnTo>
                                  <a:pt x="0" y="0"/>
                                </a:lnTo>
                                <a:lnTo>
                                  <a:pt x="0" y="8305"/>
                                </a:lnTo>
                                <a:lnTo>
                                  <a:pt x="306717" y="8305"/>
                                </a:lnTo>
                                <a:lnTo>
                                  <a:pt x="306717" y="0"/>
                                </a:lnTo>
                                <a:close/>
                              </a:path>
                            </a:pathLst>
                          </a:custGeom>
                          <a:solidFill>
                            <a:srgbClr val="DDB00A"/>
                          </a:solidFill>
                        </wps:spPr>
                        <wps:bodyPr wrap="square" lIns="0" tIns="0" rIns="0" bIns="0" rtlCol="0">
                          <a:prstTxWarp prst="textNoShape">
                            <a:avLst/>
                          </a:prstTxWarp>
                          <a:noAutofit/>
                        </wps:bodyPr>
                      </wps:wsp>
                      <wps:wsp>
                        <wps:cNvPr id="508" name="Graphic 508"/>
                        <wps:cNvSpPr/>
                        <wps:spPr>
                          <a:xfrm>
                            <a:off x="0" y="24904"/>
                            <a:ext cx="306705" cy="390525"/>
                          </a:xfrm>
                          <a:custGeom>
                            <a:avLst/>
                            <a:gdLst/>
                            <a:ahLst/>
                            <a:cxnLst/>
                            <a:rect l="l" t="t" r="r" b="b"/>
                            <a:pathLst>
                              <a:path w="306705" h="390525">
                                <a:moveTo>
                                  <a:pt x="306704" y="0"/>
                                </a:moveTo>
                                <a:lnTo>
                                  <a:pt x="0" y="0"/>
                                </a:lnTo>
                                <a:lnTo>
                                  <a:pt x="0" y="390334"/>
                                </a:lnTo>
                                <a:lnTo>
                                  <a:pt x="306704" y="390334"/>
                                </a:lnTo>
                                <a:lnTo>
                                  <a:pt x="306704" y="0"/>
                                </a:lnTo>
                                <a:close/>
                              </a:path>
                            </a:pathLst>
                          </a:custGeom>
                          <a:solidFill>
                            <a:srgbClr val="E6E7E8"/>
                          </a:solidFill>
                        </wps:spPr>
                        <wps:bodyPr wrap="square" lIns="0" tIns="0" rIns="0" bIns="0" rtlCol="0">
                          <a:prstTxWarp prst="textNoShape">
                            <a:avLst/>
                          </a:prstTxWarp>
                          <a:noAutofit/>
                        </wps:bodyPr>
                      </wps:wsp>
                      <wps:wsp>
                        <wps:cNvPr id="509" name="Graphic 509"/>
                        <wps:cNvSpPr/>
                        <wps:spPr>
                          <a:xfrm>
                            <a:off x="0" y="16624"/>
                            <a:ext cx="307340" cy="8890"/>
                          </a:xfrm>
                          <a:custGeom>
                            <a:avLst/>
                            <a:gdLst/>
                            <a:ahLst/>
                            <a:cxnLst/>
                            <a:rect l="l" t="t" r="r" b="b"/>
                            <a:pathLst>
                              <a:path w="307340" h="8890">
                                <a:moveTo>
                                  <a:pt x="306717" y="0"/>
                                </a:moveTo>
                                <a:lnTo>
                                  <a:pt x="0" y="0"/>
                                </a:lnTo>
                                <a:lnTo>
                                  <a:pt x="0" y="8293"/>
                                </a:lnTo>
                                <a:lnTo>
                                  <a:pt x="306717" y="8293"/>
                                </a:lnTo>
                                <a:lnTo>
                                  <a:pt x="306717" y="0"/>
                                </a:lnTo>
                                <a:close/>
                              </a:path>
                            </a:pathLst>
                          </a:custGeom>
                          <a:solidFill>
                            <a:srgbClr val="6D6E71"/>
                          </a:solidFill>
                        </wps:spPr>
                        <wps:bodyPr wrap="square" lIns="0" tIns="0" rIns="0" bIns="0" rtlCol="0">
                          <a:prstTxWarp prst="textNoShape">
                            <a:avLst/>
                          </a:prstTxWarp>
                          <a:noAutofit/>
                        </wps:bodyPr>
                      </wps:wsp>
                      <wps:wsp>
                        <wps:cNvPr id="510" name="Graphic 510"/>
                        <wps:cNvSpPr/>
                        <wps:spPr>
                          <a:xfrm>
                            <a:off x="0" y="0"/>
                            <a:ext cx="306705" cy="17145"/>
                          </a:xfrm>
                          <a:custGeom>
                            <a:avLst/>
                            <a:gdLst/>
                            <a:ahLst/>
                            <a:cxnLst/>
                            <a:rect l="l" t="t" r="r" b="b"/>
                            <a:pathLst>
                              <a:path w="306705" h="17145">
                                <a:moveTo>
                                  <a:pt x="306704" y="0"/>
                                </a:moveTo>
                                <a:lnTo>
                                  <a:pt x="0" y="0"/>
                                </a:lnTo>
                                <a:lnTo>
                                  <a:pt x="0" y="16611"/>
                                </a:lnTo>
                                <a:lnTo>
                                  <a:pt x="306704" y="16611"/>
                                </a:lnTo>
                                <a:lnTo>
                                  <a:pt x="306704" y="0"/>
                                </a:lnTo>
                                <a:close/>
                              </a:path>
                            </a:pathLst>
                          </a:custGeom>
                          <a:solidFill>
                            <a:srgbClr val="21409A">
                              <a:alpha val="50000"/>
                            </a:srgbClr>
                          </a:solidFill>
                        </wps:spPr>
                        <wps:bodyPr wrap="square" lIns="0" tIns="0" rIns="0" bIns="0" rtlCol="0">
                          <a:prstTxWarp prst="textNoShape">
                            <a:avLst/>
                          </a:prstTxWarp>
                          <a:noAutofit/>
                        </wps:bodyPr>
                      </wps:wsp>
                    </wpg:wgp>
                  </a:graphicData>
                </a:graphic>
              </wp:inline>
            </w:drawing>
          </mc:Choice>
          <mc:Fallback>
            <w:pict>
              <v:group style="width:24.2pt;height:141.950pt;mso-position-horizontal-relative:char;mso-position-vertical-relative:line" id="docshapegroup332" coordorigin="0,0" coordsize="484,2839">
                <v:rect style="position:absolute;left:0;top:771;width:483;height:2067" id="docshape333" filled="true" fillcolor="#21409a" stroked="false">
                  <v:fill type="solid"/>
                </v:rect>
                <v:rect style="position:absolute;left:0;top:667;width:483;height:105" id="docshape334" filled="true" fillcolor="#414042" stroked="false">
                  <v:fill type="solid"/>
                </v:rect>
                <v:rect style="position:absolute;left:0;top:653;width:484;height:14" id="docshape335" filled="true" fillcolor="#ddb00a" stroked="false">
                  <v:fill type="solid"/>
                </v:rect>
                <v:rect style="position:absolute;left:0;top:39;width:483;height:615" id="docshape336" filled="true" fillcolor="#e6e7e8" stroked="false">
                  <v:fill type="solid"/>
                </v:rect>
                <v:rect style="position:absolute;left:0;top:26;width:484;height:14" id="docshape337" filled="true" fillcolor="#6d6e71" stroked="false">
                  <v:fill type="solid"/>
                </v:rect>
                <v:rect style="position:absolute;left:0;top:0;width:483;height:27" id="docshape338" filled="true" fillcolor="#21409a" stroked="false">
                  <v:fill opacity="32768f" type="solid"/>
                </v:rect>
              </v:group>
            </w:pict>
          </mc:Fallback>
        </mc:AlternateContent>
      </w:r>
      <w:r>
        <w:rPr>
          <w:rFonts w:ascii="TT Norms Pro Light"/>
          <w:spacing w:val="115"/>
          <w:sz w:val="20"/>
        </w:rPr>
      </w:r>
    </w:p>
    <w:p>
      <w:pPr>
        <w:tabs>
          <w:tab w:pos="872" w:val="left" w:leader="none"/>
          <w:tab w:pos="1528" w:val="left" w:leader="none"/>
          <w:tab w:pos="2213" w:val="left" w:leader="none"/>
          <w:tab w:pos="2897" w:val="left" w:leader="none"/>
          <w:tab w:pos="3542" w:val="left" w:leader="none"/>
          <w:tab w:pos="4203" w:val="left" w:leader="none"/>
        </w:tabs>
        <w:spacing w:before="21"/>
        <w:ind w:left="197" w:right="0" w:firstLine="0"/>
        <w:jc w:val="left"/>
        <w:rPr>
          <w:rFonts w:ascii="TT Norms Pro Light"/>
          <w:b w:val="0"/>
          <w:sz w:val="12"/>
        </w:rPr>
      </w:pPr>
      <w:r>
        <w:rPr>
          <w:rFonts w:ascii="TT Norms Pro Light"/>
          <w:b w:val="0"/>
          <w:spacing w:val="-4"/>
          <w:sz w:val="12"/>
        </w:rPr>
        <w:t>2014</w:t>
      </w:r>
      <w:r>
        <w:rPr>
          <w:rFonts w:ascii="TT Norms Pro Light"/>
          <w:b w:val="0"/>
          <w:sz w:val="12"/>
        </w:rPr>
        <w:tab/>
      </w:r>
      <w:r>
        <w:rPr>
          <w:rFonts w:ascii="TT Norms Pro Light"/>
          <w:b w:val="0"/>
          <w:spacing w:val="-4"/>
          <w:sz w:val="12"/>
        </w:rPr>
        <w:t>2015</w:t>
      </w:r>
      <w:r>
        <w:rPr>
          <w:rFonts w:ascii="TT Norms Pro Light"/>
          <w:b w:val="0"/>
          <w:sz w:val="12"/>
        </w:rPr>
        <w:tab/>
      </w:r>
      <w:r>
        <w:rPr>
          <w:rFonts w:ascii="TT Norms Pro Light"/>
          <w:b w:val="0"/>
          <w:spacing w:val="-4"/>
          <w:sz w:val="12"/>
        </w:rPr>
        <w:t>2016</w:t>
      </w:r>
      <w:r>
        <w:rPr>
          <w:rFonts w:ascii="TT Norms Pro Light"/>
          <w:b w:val="0"/>
          <w:sz w:val="12"/>
        </w:rPr>
        <w:tab/>
      </w:r>
      <w:r>
        <w:rPr>
          <w:rFonts w:ascii="TT Norms Pro Light"/>
          <w:b w:val="0"/>
          <w:spacing w:val="-4"/>
          <w:sz w:val="12"/>
        </w:rPr>
        <w:t>2017</w:t>
      </w:r>
      <w:r>
        <w:rPr>
          <w:rFonts w:ascii="TT Norms Pro Light"/>
          <w:b w:val="0"/>
          <w:sz w:val="12"/>
        </w:rPr>
        <w:tab/>
      </w:r>
      <w:r>
        <w:rPr>
          <w:rFonts w:ascii="TT Norms Pro Light"/>
          <w:b w:val="0"/>
          <w:spacing w:val="-4"/>
          <w:sz w:val="12"/>
        </w:rPr>
        <w:t>2018</w:t>
      </w:r>
      <w:r>
        <w:rPr>
          <w:rFonts w:ascii="TT Norms Pro Light"/>
          <w:b w:val="0"/>
          <w:sz w:val="12"/>
        </w:rPr>
        <w:tab/>
      </w:r>
      <w:r>
        <w:rPr>
          <w:rFonts w:ascii="TT Norms Pro Light"/>
          <w:b w:val="0"/>
          <w:spacing w:val="-4"/>
          <w:sz w:val="12"/>
        </w:rPr>
        <w:t>2019</w:t>
      </w:r>
      <w:r>
        <w:rPr>
          <w:rFonts w:ascii="TT Norms Pro Light"/>
          <w:b w:val="0"/>
          <w:sz w:val="12"/>
        </w:rPr>
        <w:tab/>
      </w:r>
      <w:r>
        <w:rPr>
          <w:rFonts w:ascii="TT Norms Pro Light"/>
          <w:b w:val="0"/>
          <w:spacing w:val="-4"/>
          <w:sz w:val="12"/>
        </w:rPr>
        <w:t>2020</w:t>
      </w:r>
    </w:p>
    <w:p>
      <w:pPr>
        <w:spacing w:line="240" w:lineRule="auto" w:before="0"/>
        <w:rPr>
          <w:rFonts w:ascii="TT Norms Pro Light"/>
          <w:b w:val="0"/>
          <w:sz w:val="12"/>
        </w:rPr>
      </w:pPr>
      <w:r>
        <w:rPr/>
        <w:br w:type="column"/>
      </w:r>
      <w:r>
        <w:rPr>
          <w:rFonts w:ascii="TT Norms Pro Light"/>
          <w:b w:val="0"/>
          <w:sz w:val="12"/>
        </w:rPr>
      </w:r>
    </w:p>
    <w:p>
      <w:pPr>
        <w:pStyle w:val="BodyText"/>
        <w:rPr>
          <w:b w:val="0"/>
          <w:sz w:val="12"/>
        </w:rPr>
      </w:pPr>
    </w:p>
    <w:p>
      <w:pPr>
        <w:pStyle w:val="BodyText"/>
        <w:rPr>
          <w:b w:val="0"/>
          <w:sz w:val="12"/>
        </w:rPr>
      </w:pPr>
    </w:p>
    <w:p>
      <w:pPr>
        <w:pStyle w:val="BodyText"/>
        <w:rPr>
          <w:b w:val="0"/>
          <w:sz w:val="12"/>
        </w:rPr>
      </w:pPr>
    </w:p>
    <w:p>
      <w:pPr>
        <w:pStyle w:val="BodyText"/>
        <w:rPr>
          <w:b w:val="0"/>
          <w:sz w:val="12"/>
        </w:rPr>
      </w:pPr>
    </w:p>
    <w:p>
      <w:pPr>
        <w:pStyle w:val="BodyText"/>
        <w:rPr>
          <w:b w:val="0"/>
          <w:sz w:val="12"/>
        </w:rPr>
      </w:pPr>
    </w:p>
    <w:p>
      <w:pPr>
        <w:pStyle w:val="BodyText"/>
        <w:rPr>
          <w:b w:val="0"/>
          <w:sz w:val="12"/>
        </w:rPr>
      </w:pPr>
    </w:p>
    <w:p>
      <w:pPr>
        <w:pStyle w:val="BodyText"/>
        <w:rPr>
          <w:b w:val="0"/>
          <w:sz w:val="12"/>
        </w:rPr>
      </w:pPr>
    </w:p>
    <w:p>
      <w:pPr>
        <w:pStyle w:val="BodyText"/>
        <w:rPr>
          <w:b w:val="0"/>
          <w:sz w:val="12"/>
        </w:rPr>
      </w:pPr>
    </w:p>
    <w:p>
      <w:pPr>
        <w:pStyle w:val="BodyText"/>
        <w:spacing w:before="83"/>
        <w:rPr>
          <w:b w:val="0"/>
          <w:sz w:val="12"/>
        </w:rPr>
      </w:pPr>
    </w:p>
    <w:p>
      <w:pPr>
        <w:spacing w:line="260" w:lineRule="atLeast" w:before="0"/>
        <w:ind w:left="218" w:right="4246" w:firstLine="0"/>
        <w:jc w:val="left"/>
        <w:rPr>
          <w:rFonts w:ascii="TT Norms Pro Light"/>
          <w:b w:val="0"/>
          <w:sz w:val="12"/>
        </w:rPr>
      </w:pPr>
      <w:r>
        <w:rPr>
          <w:rFonts w:ascii="TT Norms Pro Light"/>
          <w:b w:val="0"/>
          <w:spacing w:val="-2"/>
          <w:sz w:val="12"/>
        </w:rPr>
        <w:t>Other</w:t>
      </w:r>
      <w:r>
        <w:rPr>
          <w:rFonts w:ascii="TT Norms Pro Light"/>
          <w:b w:val="0"/>
          <w:spacing w:val="40"/>
          <w:sz w:val="12"/>
        </w:rPr>
        <w:t> </w:t>
      </w:r>
      <w:r>
        <w:rPr>
          <w:rFonts w:ascii="TT Norms Pro Light"/>
          <w:b w:val="0"/>
          <w:spacing w:val="-2"/>
          <w:sz w:val="12"/>
        </w:rPr>
        <w:t>International</w:t>
      </w:r>
      <w:r>
        <w:rPr>
          <w:rFonts w:ascii="TT Norms Pro Light"/>
          <w:b w:val="0"/>
          <w:spacing w:val="-4"/>
          <w:sz w:val="12"/>
        </w:rPr>
        <w:t> </w:t>
      </w:r>
      <w:r>
        <w:rPr>
          <w:rFonts w:ascii="TT Norms Pro Light"/>
          <w:b w:val="0"/>
          <w:spacing w:val="-2"/>
          <w:sz w:val="12"/>
        </w:rPr>
        <w:t>RTP</w:t>
      </w:r>
    </w:p>
    <w:p>
      <w:pPr>
        <w:spacing w:before="109"/>
        <w:ind w:left="218" w:right="0" w:firstLine="0"/>
        <w:jc w:val="left"/>
        <w:rPr>
          <w:rFonts w:ascii="TT Norms Pro Light"/>
          <w:b w:val="0"/>
          <w:sz w:val="12"/>
        </w:rPr>
      </w:pPr>
      <w:r>
        <w:rPr/>
        <mc:AlternateContent>
          <mc:Choice Requires="wps">
            <w:drawing>
              <wp:anchor distT="0" distB="0" distL="0" distR="0" allowOverlap="1" layoutInCell="1" locked="0" behindDoc="0" simplePos="0" relativeHeight="15828480">
                <wp:simplePos x="0" y="0"/>
                <wp:positionH relativeFrom="page">
                  <wp:posOffset>4087863</wp:posOffset>
                </wp:positionH>
                <wp:positionV relativeFrom="paragraph">
                  <wp:posOffset>-259746</wp:posOffset>
                </wp:positionV>
                <wp:extent cx="106680" cy="85090"/>
                <wp:effectExtent l="0" t="0" r="0" b="0"/>
                <wp:wrapNone/>
                <wp:docPr id="511" name="Graphic 511"/>
                <wp:cNvGraphicFramePr>
                  <a:graphicFrameLocks/>
                </wp:cNvGraphicFramePr>
                <a:graphic>
                  <a:graphicData uri="http://schemas.microsoft.com/office/word/2010/wordprocessingShape">
                    <wps:wsp>
                      <wps:cNvPr id="511" name="Graphic 511"/>
                      <wps:cNvSpPr/>
                      <wps:spPr>
                        <a:xfrm>
                          <a:off x="0" y="0"/>
                          <a:ext cx="106680" cy="85090"/>
                        </a:xfrm>
                        <a:custGeom>
                          <a:avLst/>
                          <a:gdLst/>
                          <a:ahLst/>
                          <a:cxnLst/>
                          <a:rect l="l" t="t" r="r" b="b"/>
                          <a:pathLst>
                            <a:path w="106680" h="85090">
                              <a:moveTo>
                                <a:pt x="106286" y="0"/>
                              </a:moveTo>
                              <a:lnTo>
                                <a:pt x="0" y="0"/>
                              </a:lnTo>
                              <a:lnTo>
                                <a:pt x="0" y="85013"/>
                              </a:lnTo>
                              <a:lnTo>
                                <a:pt x="106286" y="85013"/>
                              </a:lnTo>
                              <a:lnTo>
                                <a:pt x="106286" y="0"/>
                              </a:lnTo>
                              <a:close/>
                            </a:path>
                          </a:pathLst>
                        </a:custGeom>
                        <a:solidFill>
                          <a:srgbClr val="C7C8CA"/>
                        </a:solidFill>
                      </wps:spPr>
                      <wps:bodyPr wrap="square" lIns="0" tIns="0" rIns="0" bIns="0" rtlCol="0">
                        <a:prstTxWarp prst="textNoShape">
                          <a:avLst/>
                        </a:prstTxWarp>
                        <a:noAutofit/>
                      </wps:bodyPr>
                    </wps:wsp>
                  </a:graphicData>
                </a:graphic>
              </wp:anchor>
            </w:drawing>
          </mc:Choice>
          <mc:Fallback>
            <w:pict>
              <v:rect style="position:absolute;margin-left:321.878998pt;margin-top:-20.452499pt;width:8.369pt;height:6.694pt;mso-position-horizontal-relative:page;mso-position-vertical-relative:paragraph;z-index:15828480" id="docshape339" filled="true" fillcolor="#c7c8ca" stroked="false">
                <v:fill type="solid"/>
                <w10:wrap type="none"/>
              </v:rect>
            </w:pict>
          </mc:Fallback>
        </mc:AlternateContent>
      </w:r>
      <w:r>
        <w:rPr/>
        <mc:AlternateContent>
          <mc:Choice Requires="wps">
            <w:drawing>
              <wp:anchor distT="0" distB="0" distL="0" distR="0" allowOverlap="1" layoutInCell="1" locked="0" behindDoc="0" simplePos="0" relativeHeight="15828992">
                <wp:simplePos x="0" y="0"/>
                <wp:positionH relativeFrom="page">
                  <wp:posOffset>4087863</wp:posOffset>
                </wp:positionH>
                <wp:positionV relativeFrom="paragraph">
                  <wp:posOffset>-95396</wp:posOffset>
                </wp:positionV>
                <wp:extent cx="106680" cy="85090"/>
                <wp:effectExtent l="0" t="0" r="0" b="0"/>
                <wp:wrapNone/>
                <wp:docPr id="512" name="Graphic 512"/>
                <wp:cNvGraphicFramePr>
                  <a:graphicFrameLocks/>
                </wp:cNvGraphicFramePr>
                <a:graphic>
                  <a:graphicData uri="http://schemas.microsoft.com/office/word/2010/wordprocessingShape">
                    <wps:wsp>
                      <wps:cNvPr id="512" name="Graphic 512"/>
                      <wps:cNvSpPr/>
                      <wps:spPr>
                        <a:xfrm>
                          <a:off x="0" y="0"/>
                          <a:ext cx="106680" cy="85090"/>
                        </a:xfrm>
                        <a:custGeom>
                          <a:avLst/>
                          <a:gdLst/>
                          <a:ahLst/>
                          <a:cxnLst/>
                          <a:rect l="l" t="t" r="r" b="b"/>
                          <a:pathLst>
                            <a:path w="106680" h="85090">
                              <a:moveTo>
                                <a:pt x="106273" y="0"/>
                              </a:moveTo>
                              <a:lnTo>
                                <a:pt x="0" y="0"/>
                              </a:lnTo>
                              <a:lnTo>
                                <a:pt x="0" y="85013"/>
                              </a:lnTo>
                              <a:lnTo>
                                <a:pt x="106273" y="85013"/>
                              </a:lnTo>
                              <a:lnTo>
                                <a:pt x="106273" y="0"/>
                              </a:lnTo>
                              <a:close/>
                            </a:path>
                          </a:pathLst>
                        </a:custGeom>
                        <a:solidFill>
                          <a:srgbClr val="21409A">
                            <a:alpha val="50000"/>
                          </a:srgbClr>
                        </a:solidFill>
                      </wps:spPr>
                      <wps:bodyPr wrap="square" lIns="0" tIns="0" rIns="0" bIns="0" rtlCol="0">
                        <a:prstTxWarp prst="textNoShape">
                          <a:avLst/>
                        </a:prstTxWarp>
                        <a:noAutofit/>
                      </wps:bodyPr>
                    </wps:wsp>
                  </a:graphicData>
                </a:graphic>
              </wp:anchor>
            </w:drawing>
          </mc:Choice>
          <mc:Fallback>
            <w:pict>
              <v:rect style="position:absolute;margin-left:321.878998pt;margin-top:-7.5115pt;width:8.368pt;height:6.694pt;mso-position-horizontal-relative:page;mso-position-vertical-relative:paragraph;z-index:15828992" id="docshape340" filled="true" fillcolor="#21409a" stroked="false">
                <v:fill opacity="32768f" type="solid"/>
                <w10:wrap type="none"/>
              </v:rect>
            </w:pict>
          </mc:Fallback>
        </mc:AlternateContent>
      </w:r>
      <w:r>
        <w:rPr/>
        <mc:AlternateContent>
          <mc:Choice Requires="wps">
            <w:drawing>
              <wp:anchor distT="0" distB="0" distL="0" distR="0" allowOverlap="1" layoutInCell="1" locked="0" behindDoc="0" simplePos="0" relativeHeight="15829504">
                <wp:simplePos x="0" y="0"/>
                <wp:positionH relativeFrom="page">
                  <wp:posOffset>4087863</wp:posOffset>
                </wp:positionH>
                <wp:positionV relativeFrom="paragraph">
                  <wp:posOffset>68941</wp:posOffset>
                </wp:positionV>
                <wp:extent cx="106680" cy="85090"/>
                <wp:effectExtent l="0" t="0" r="0" b="0"/>
                <wp:wrapNone/>
                <wp:docPr id="513" name="Graphic 513"/>
                <wp:cNvGraphicFramePr>
                  <a:graphicFrameLocks/>
                </wp:cNvGraphicFramePr>
                <a:graphic>
                  <a:graphicData uri="http://schemas.microsoft.com/office/word/2010/wordprocessingShape">
                    <wps:wsp>
                      <wps:cNvPr id="513" name="Graphic 513"/>
                      <wps:cNvSpPr/>
                      <wps:spPr>
                        <a:xfrm>
                          <a:off x="0" y="0"/>
                          <a:ext cx="106680" cy="85090"/>
                        </a:xfrm>
                        <a:custGeom>
                          <a:avLst/>
                          <a:gdLst/>
                          <a:ahLst/>
                          <a:cxnLst/>
                          <a:rect l="l" t="t" r="r" b="b"/>
                          <a:pathLst>
                            <a:path w="106680" h="85090">
                              <a:moveTo>
                                <a:pt x="106286" y="0"/>
                              </a:moveTo>
                              <a:lnTo>
                                <a:pt x="0" y="0"/>
                              </a:lnTo>
                              <a:lnTo>
                                <a:pt x="0" y="85013"/>
                              </a:lnTo>
                              <a:lnTo>
                                <a:pt x="106286" y="85013"/>
                              </a:lnTo>
                              <a:lnTo>
                                <a:pt x="106286" y="0"/>
                              </a:lnTo>
                              <a:close/>
                            </a:path>
                          </a:pathLst>
                        </a:custGeom>
                        <a:solidFill>
                          <a:srgbClr val="6D6E71"/>
                        </a:solidFill>
                      </wps:spPr>
                      <wps:bodyPr wrap="square" lIns="0" tIns="0" rIns="0" bIns="0" rtlCol="0">
                        <a:prstTxWarp prst="textNoShape">
                          <a:avLst/>
                        </a:prstTxWarp>
                        <a:noAutofit/>
                      </wps:bodyPr>
                    </wps:wsp>
                  </a:graphicData>
                </a:graphic>
              </wp:anchor>
            </w:drawing>
          </mc:Choice>
          <mc:Fallback>
            <w:pict>
              <v:rect style="position:absolute;margin-left:321.878998pt;margin-top:5.4285pt;width:8.369pt;height:6.694pt;mso-position-horizontal-relative:page;mso-position-vertical-relative:paragraph;z-index:15829504" id="docshape341" filled="true" fillcolor="#6d6e71" stroked="false">
                <v:fill type="solid"/>
                <w10:wrap type="none"/>
              </v:rect>
            </w:pict>
          </mc:Fallback>
        </mc:AlternateContent>
      </w:r>
      <w:r>
        <w:rPr>
          <w:rFonts w:ascii="TT Norms Pro Light"/>
          <w:b w:val="0"/>
          <w:spacing w:val="-2"/>
          <w:sz w:val="12"/>
        </w:rPr>
        <w:t>Offshore</w:t>
      </w:r>
      <w:r>
        <w:rPr>
          <w:rFonts w:ascii="TT Norms Pro Light"/>
          <w:b w:val="0"/>
          <w:spacing w:val="16"/>
          <w:sz w:val="12"/>
        </w:rPr>
        <w:t> </w:t>
      </w:r>
      <w:r>
        <w:rPr>
          <w:rFonts w:ascii="TT Norms Pro Light"/>
          <w:b w:val="0"/>
          <w:spacing w:val="-2"/>
          <w:sz w:val="12"/>
        </w:rPr>
        <w:t>international</w:t>
      </w:r>
      <w:r>
        <w:rPr>
          <w:rFonts w:ascii="TT Norms Pro Light"/>
          <w:b w:val="0"/>
          <w:spacing w:val="17"/>
          <w:sz w:val="12"/>
        </w:rPr>
        <w:t> </w:t>
      </w:r>
      <w:r>
        <w:rPr>
          <w:rFonts w:ascii="TT Norms Pro Light"/>
          <w:b w:val="0"/>
          <w:spacing w:val="-2"/>
          <w:sz w:val="12"/>
        </w:rPr>
        <w:t>fee-paying</w:t>
      </w:r>
    </w:p>
    <w:p>
      <w:pPr>
        <w:spacing w:line="432" w:lineRule="auto" w:before="136"/>
        <w:ind w:left="218" w:right="3430" w:firstLine="0"/>
        <w:jc w:val="both"/>
        <w:rPr>
          <w:rFonts w:ascii="TT Norms Pro Light"/>
          <w:b w:val="0"/>
          <w:sz w:val="12"/>
        </w:rPr>
      </w:pPr>
      <w:r>
        <w:rPr/>
        <mc:AlternateContent>
          <mc:Choice Requires="wps">
            <w:drawing>
              <wp:anchor distT="0" distB="0" distL="0" distR="0" allowOverlap="1" layoutInCell="1" locked="0" behindDoc="0" simplePos="0" relativeHeight="15830016">
                <wp:simplePos x="0" y="0"/>
                <wp:positionH relativeFrom="page">
                  <wp:posOffset>4087863</wp:posOffset>
                </wp:positionH>
                <wp:positionV relativeFrom="paragraph">
                  <wp:posOffset>74898</wp:posOffset>
                </wp:positionV>
                <wp:extent cx="106680" cy="85090"/>
                <wp:effectExtent l="0" t="0" r="0" b="0"/>
                <wp:wrapNone/>
                <wp:docPr id="514" name="Graphic 514"/>
                <wp:cNvGraphicFramePr>
                  <a:graphicFrameLocks/>
                </wp:cNvGraphicFramePr>
                <a:graphic>
                  <a:graphicData uri="http://schemas.microsoft.com/office/word/2010/wordprocessingShape">
                    <wps:wsp>
                      <wps:cNvPr id="514" name="Graphic 514"/>
                      <wps:cNvSpPr/>
                      <wps:spPr>
                        <a:xfrm>
                          <a:off x="0" y="0"/>
                          <a:ext cx="106680" cy="85090"/>
                        </a:xfrm>
                        <a:custGeom>
                          <a:avLst/>
                          <a:gdLst/>
                          <a:ahLst/>
                          <a:cxnLst/>
                          <a:rect l="l" t="t" r="r" b="b"/>
                          <a:pathLst>
                            <a:path w="106680" h="85090">
                              <a:moveTo>
                                <a:pt x="106286" y="0"/>
                              </a:moveTo>
                              <a:lnTo>
                                <a:pt x="0" y="0"/>
                              </a:lnTo>
                              <a:lnTo>
                                <a:pt x="0" y="85026"/>
                              </a:lnTo>
                              <a:lnTo>
                                <a:pt x="106286" y="85026"/>
                              </a:lnTo>
                              <a:lnTo>
                                <a:pt x="106286" y="0"/>
                              </a:lnTo>
                              <a:close/>
                            </a:path>
                          </a:pathLst>
                        </a:custGeom>
                        <a:solidFill>
                          <a:srgbClr val="E6E7E8"/>
                        </a:solidFill>
                      </wps:spPr>
                      <wps:bodyPr wrap="square" lIns="0" tIns="0" rIns="0" bIns="0" rtlCol="0">
                        <a:prstTxWarp prst="textNoShape">
                          <a:avLst/>
                        </a:prstTxWarp>
                        <a:noAutofit/>
                      </wps:bodyPr>
                    </wps:wsp>
                  </a:graphicData>
                </a:graphic>
              </wp:anchor>
            </w:drawing>
          </mc:Choice>
          <mc:Fallback>
            <w:pict>
              <v:rect style="position:absolute;margin-left:321.878998pt;margin-top:5.8975pt;width:8.369pt;height:6.695pt;mso-position-horizontal-relative:page;mso-position-vertical-relative:paragraph;z-index:15830016" id="docshape342" filled="true" fillcolor="#e6e7e8" stroked="false">
                <v:fill type="solid"/>
                <w10:wrap type="none"/>
              </v:rect>
            </w:pict>
          </mc:Fallback>
        </mc:AlternateContent>
      </w:r>
      <w:r>
        <w:rPr/>
        <mc:AlternateContent>
          <mc:Choice Requires="wps">
            <w:drawing>
              <wp:anchor distT="0" distB="0" distL="0" distR="0" allowOverlap="1" layoutInCell="1" locked="0" behindDoc="0" simplePos="0" relativeHeight="15830528">
                <wp:simplePos x="0" y="0"/>
                <wp:positionH relativeFrom="page">
                  <wp:posOffset>4087863</wp:posOffset>
                </wp:positionH>
                <wp:positionV relativeFrom="paragraph">
                  <wp:posOffset>239248</wp:posOffset>
                </wp:positionV>
                <wp:extent cx="106680" cy="85090"/>
                <wp:effectExtent l="0" t="0" r="0" b="0"/>
                <wp:wrapNone/>
                <wp:docPr id="515" name="Graphic 515"/>
                <wp:cNvGraphicFramePr>
                  <a:graphicFrameLocks/>
                </wp:cNvGraphicFramePr>
                <a:graphic>
                  <a:graphicData uri="http://schemas.microsoft.com/office/word/2010/wordprocessingShape">
                    <wps:wsp>
                      <wps:cNvPr id="515" name="Graphic 515"/>
                      <wps:cNvSpPr/>
                      <wps:spPr>
                        <a:xfrm>
                          <a:off x="0" y="0"/>
                          <a:ext cx="106680" cy="85090"/>
                        </a:xfrm>
                        <a:custGeom>
                          <a:avLst/>
                          <a:gdLst/>
                          <a:ahLst/>
                          <a:cxnLst/>
                          <a:rect l="l" t="t" r="r" b="b"/>
                          <a:pathLst>
                            <a:path w="106680" h="85090">
                              <a:moveTo>
                                <a:pt x="106286" y="0"/>
                              </a:moveTo>
                              <a:lnTo>
                                <a:pt x="0" y="0"/>
                              </a:lnTo>
                              <a:lnTo>
                                <a:pt x="0" y="85026"/>
                              </a:lnTo>
                              <a:lnTo>
                                <a:pt x="106286" y="85026"/>
                              </a:lnTo>
                              <a:lnTo>
                                <a:pt x="106286" y="0"/>
                              </a:lnTo>
                              <a:close/>
                            </a:path>
                          </a:pathLst>
                        </a:custGeom>
                        <a:solidFill>
                          <a:srgbClr val="DDB00A"/>
                        </a:solidFill>
                      </wps:spPr>
                      <wps:bodyPr wrap="square" lIns="0" tIns="0" rIns="0" bIns="0" rtlCol="0">
                        <a:prstTxWarp prst="textNoShape">
                          <a:avLst/>
                        </a:prstTxWarp>
                        <a:noAutofit/>
                      </wps:bodyPr>
                    </wps:wsp>
                  </a:graphicData>
                </a:graphic>
              </wp:anchor>
            </w:drawing>
          </mc:Choice>
          <mc:Fallback>
            <w:pict>
              <v:rect style="position:absolute;margin-left:321.878998pt;margin-top:18.838499pt;width:8.369pt;height:6.695pt;mso-position-horizontal-relative:page;mso-position-vertical-relative:paragraph;z-index:15830528" id="docshape343" filled="true" fillcolor="#ddb00a" stroked="false">
                <v:fill type="solid"/>
                <w10:wrap type="none"/>
              </v:rect>
            </w:pict>
          </mc:Fallback>
        </mc:AlternateContent>
      </w:r>
      <w:r>
        <w:rPr/>
        <mc:AlternateContent>
          <mc:Choice Requires="wps">
            <w:drawing>
              <wp:anchor distT="0" distB="0" distL="0" distR="0" allowOverlap="1" layoutInCell="1" locked="0" behindDoc="0" simplePos="0" relativeHeight="15831040">
                <wp:simplePos x="0" y="0"/>
                <wp:positionH relativeFrom="page">
                  <wp:posOffset>4087863</wp:posOffset>
                </wp:positionH>
                <wp:positionV relativeFrom="paragraph">
                  <wp:posOffset>403586</wp:posOffset>
                </wp:positionV>
                <wp:extent cx="106680" cy="85090"/>
                <wp:effectExtent l="0" t="0" r="0" b="0"/>
                <wp:wrapNone/>
                <wp:docPr id="516" name="Graphic 516"/>
                <wp:cNvGraphicFramePr>
                  <a:graphicFrameLocks/>
                </wp:cNvGraphicFramePr>
                <a:graphic>
                  <a:graphicData uri="http://schemas.microsoft.com/office/word/2010/wordprocessingShape">
                    <wps:wsp>
                      <wps:cNvPr id="516" name="Graphic 516"/>
                      <wps:cNvSpPr/>
                      <wps:spPr>
                        <a:xfrm>
                          <a:off x="0" y="0"/>
                          <a:ext cx="106680" cy="85090"/>
                        </a:xfrm>
                        <a:custGeom>
                          <a:avLst/>
                          <a:gdLst/>
                          <a:ahLst/>
                          <a:cxnLst/>
                          <a:rect l="l" t="t" r="r" b="b"/>
                          <a:pathLst>
                            <a:path w="106680" h="85090">
                              <a:moveTo>
                                <a:pt x="106286" y="0"/>
                              </a:moveTo>
                              <a:lnTo>
                                <a:pt x="0" y="0"/>
                              </a:lnTo>
                              <a:lnTo>
                                <a:pt x="0" y="85026"/>
                              </a:lnTo>
                              <a:lnTo>
                                <a:pt x="106286" y="85026"/>
                              </a:lnTo>
                              <a:lnTo>
                                <a:pt x="106286" y="0"/>
                              </a:lnTo>
                              <a:close/>
                            </a:path>
                          </a:pathLst>
                        </a:custGeom>
                        <a:solidFill>
                          <a:srgbClr val="414042"/>
                        </a:solidFill>
                      </wps:spPr>
                      <wps:bodyPr wrap="square" lIns="0" tIns="0" rIns="0" bIns="0" rtlCol="0">
                        <a:prstTxWarp prst="textNoShape">
                          <a:avLst/>
                        </a:prstTxWarp>
                        <a:noAutofit/>
                      </wps:bodyPr>
                    </wps:wsp>
                  </a:graphicData>
                </a:graphic>
              </wp:anchor>
            </w:drawing>
          </mc:Choice>
          <mc:Fallback>
            <w:pict>
              <v:rect style="position:absolute;margin-left:321.878998pt;margin-top:31.7785pt;width:8.369pt;height:6.695pt;mso-position-horizontal-relative:page;mso-position-vertical-relative:paragraph;z-index:15831040" id="docshape344" filled="true" fillcolor="#414042" stroked="false">
                <v:fill type="solid"/>
                <w10:wrap type="none"/>
              </v:rect>
            </w:pict>
          </mc:Fallback>
        </mc:AlternateContent>
      </w:r>
      <w:r>
        <w:rPr/>
        <mc:AlternateContent>
          <mc:Choice Requires="wps">
            <w:drawing>
              <wp:anchor distT="0" distB="0" distL="0" distR="0" allowOverlap="1" layoutInCell="1" locked="0" behindDoc="0" simplePos="0" relativeHeight="15831552">
                <wp:simplePos x="0" y="0"/>
                <wp:positionH relativeFrom="page">
                  <wp:posOffset>4087863</wp:posOffset>
                </wp:positionH>
                <wp:positionV relativeFrom="paragraph">
                  <wp:posOffset>567924</wp:posOffset>
                </wp:positionV>
                <wp:extent cx="106680" cy="85090"/>
                <wp:effectExtent l="0" t="0" r="0" b="0"/>
                <wp:wrapNone/>
                <wp:docPr id="517" name="Graphic 517"/>
                <wp:cNvGraphicFramePr>
                  <a:graphicFrameLocks/>
                </wp:cNvGraphicFramePr>
                <a:graphic>
                  <a:graphicData uri="http://schemas.microsoft.com/office/word/2010/wordprocessingShape">
                    <wps:wsp>
                      <wps:cNvPr id="517" name="Graphic 517"/>
                      <wps:cNvSpPr/>
                      <wps:spPr>
                        <a:xfrm>
                          <a:off x="0" y="0"/>
                          <a:ext cx="106680" cy="85090"/>
                        </a:xfrm>
                        <a:custGeom>
                          <a:avLst/>
                          <a:gdLst/>
                          <a:ahLst/>
                          <a:cxnLst/>
                          <a:rect l="l" t="t" r="r" b="b"/>
                          <a:pathLst>
                            <a:path w="106680" h="85090">
                              <a:moveTo>
                                <a:pt x="106286" y="0"/>
                              </a:moveTo>
                              <a:lnTo>
                                <a:pt x="0" y="0"/>
                              </a:lnTo>
                              <a:lnTo>
                                <a:pt x="0" y="85026"/>
                              </a:lnTo>
                              <a:lnTo>
                                <a:pt x="106286" y="85026"/>
                              </a:lnTo>
                              <a:lnTo>
                                <a:pt x="106286" y="0"/>
                              </a:lnTo>
                              <a:close/>
                            </a:path>
                          </a:pathLst>
                        </a:custGeom>
                        <a:solidFill>
                          <a:srgbClr val="21409A"/>
                        </a:solidFill>
                      </wps:spPr>
                      <wps:bodyPr wrap="square" lIns="0" tIns="0" rIns="0" bIns="0" rtlCol="0">
                        <a:prstTxWarp prst="textNoShape">
                          <a:avLst/>
                        </a:prstTxWarp>
                        <a:noAutofit/>
                      </wps:bodyPr>
                    </wps:wsp>
                  </a:graphicData>
                </a:graphic>
              </wp:anchor>
            </w:drawing>
          </mc:Choice>
          <mc:Fallback>
            <w:pict>
              <v:rect style="position:absolute;margin-left:321.878998pt;margin-top:44.718498pt;width:8.369pt;height:6.695pt;mso-position-horizontal-relative:page;mso-position-vertical-relative:paragraph;z-index:15831552" id="docshape345" filled="true" fillcolor="#21409a" stroked="false">
                <v:fill type="solid"/>
                <w10:wrap type="none"/>
              </v:rect>
            </w:pict>
          </mc:Fallback>
        </mc:AlternateContent>
      </w:r>
      <w:r>
        <w:rPr>
          <w:rFonts w:ascii="TT Norms Pro Light"/>
          <w:b w:val="0"/>
          <w:sz w:val="12"/>
        </w:rPr>
        <w:t>Onshore</w:t>
      </w:r>
      <w:r>
        <w:rPr>
          <w:rFonts w:ascii="TT Norms Pro Light"/>
          <w:b w:val="0"/>
          <w:spacing w:val="-6"/>
          <w:sz w:val="12"/>
        </w:rPr>
        <w:t> </w:t>
      </w:r>
      <w:r>
        <w:rPr>
          <w:rFonts w:ascii="TT Norms Pro Light"/>
          <w:b w:val="0"/>
          <w:sz w:val="12"/>
        </w:rPr>
        <w:t>international</w:t>
      </w:r>
      <w:r>
        <w:rPr>
          <w:rFonts w:ascii="TT Norms Pro Light"/>
          <w:b w:val="0"/>
          <w:spacing w:val="-6"/>
          <w:sz w:val="12"/>
        </w:rPr>
        <w:t> </w:t>
      </w:r>
      <w:r>
        <w:rPr>
          <w:rFonts w:ascii="TT Norms Pro Light"/>
          <w:b w:val="0"/>
          <w:sz w:val="12"/>
        </w:rPr>
        <w:t>fee-paying</w:t>
      </w:r>
      <w:r>
        <w:rPr>
          <w:rFonts w:ascii="TT Norms Pro Light"/>
          <w:b w:val="0"/>
          <w:spacing w:val="40"/>
          <w:sz w:val="12"/>
        </w:rPr>
        <w:t> </w:t>
      </w:r>
      <w:r>
        <w:rPr>
          <w:rFonts w:ascii="TT Norms Pro Light"/>
          <w:b w:val="0"/>
          <w:sz w:val="12"/>
        </w:rPr>
        <w:t>Domestic</w:t>
      </w:r>
      <w:r>
        <w:rPr>
          <w:rFonts w:ascii="TT Norms Pro Light"/>
          <w:b w:val="0"/>
          <w:spacing w:val="-8"/>
          <w:sz w:val="12"/>
        </w:rPr>
        <w:t> </w:t>
      </w:r>
      <w:r>
        <w:rPr>
          <w:rFonts w:ascii="TT Norms Pro Light"/>
          <w:b w:val="0"/>
          <w:sz w:val="12"/>
        </w:rPr>
        <w:t>non-awards</w:t>
      </w:r>
      <w:r>
        <w:rPr>
          <w:rFonts w:ascii="TT Norms Pro Light"/>
          <w:b w:val="0"/>
          <w:spacing w:val="-6"/>
          <w:sz w:val="12"/>
        </w:rPr>
        <w:t> </w:t>
      </w:r>
      <w:r>
        <w:rPr>
          <w:rFonts w:ascii="TT Norms Pro Light"/>
          <w:b w:val="0"/>
          <w:sz w:val="12"/>
        </w:rPr>
        <w:t>and</w:t>
      </w:r>
      <w:r>
        <w:rPr>
          <w:rFonts w:ascii="TT Norms Pro Light"/>
          <w:b w:val="0"/>
          <w:spacing w:val="-6"/>
          <w:sz w:val="12"/>
        </w:rPr>
        <w:t> </w:t>
      </w:r>
      <w:r>
        <w:rPr>
          <w:rFonts w:ascii="TT Norms Pro Light"/>
          <w:b w:val="0"/>
          <w:sz w:val="12"/>
        </w:rPr>
        <w:t>others</w:t>
      </w:r>
      <w:r>
        <w:rPr>
          <w:rFonts w:ascii="TT Norms Pro Light"/>
          <w:b w:val="0"/>
          <w:spacing w:val="40"/>
          <w:sz w:val="12"/>
        </w:rPr>
        <w:t> </w:t>
      </w:r>
      <w:r>
        <w:rPr>
          <w:rFonts w:ascii="TT Norms Pro Light"/>
          <w:b w:val="0"/>
          <w:sz w:val="12"/>
        </w:rPr>
        <w:t>Domestic</w:t>
      </w:r>
      <w:r>
        <w:rPr>
          <w:rFonts w:ascii="TT Norms Pro Light"/>
          <w:b w:val="0"/>
          <w:spacing w:val="-6"/>
          <w:sz w:val="12"/>
        </w:rPr>
        <w:t> </w:t>
      </w:r>
      <w:r>
        <w:rPr>
          <w:rFonts w:ascii="TT Norms Pro Light"/>
          <w:b w:val="0"/>
          <w:sz w:val="12"/>
        </w:rPr>
        <w:t>fee-paying</w:t>
      </w:r>
    </w:p>
    <w:p>
      <w:pPr>
        <w:spacing w:before="9"/>
        <w:ind w:left="218" w:right="0" w:firstLine="0"/>
        <w:jc w:val="both"/>
        <w:rPr>
          <w:rFonts w:ascii="TT Norms Pro Light"/>
          <w:b w:val="0"/>
          <w:sz w:val="12"/>
        </w:rPr>
      </w:pPr>
      <w:r>
        <w:rPr>
          <w:rFonts w:ascii="TT Norms Pro Light"/>
          <w:b w:val="0"/>
          <w:sz w:val="12"/>
        </w:rPr>
        <w:t>Domestic</w:t>
      </w:r>
      <w:r>
        <w:rPr>
          <w:rFonts w:ascii="TT Norms Pro Light"/>
          <w:b w:val="0"/>
          <w:spacing w:val="-4"/>
          <w:sz w:val="12"/>
        </w:rPr>
        <w:t> </w:t>
      </w:r>
      <w:r>
        <w:rPr>
          <w:rFonts w:ascii="TT Norms Pro Light"/>
          <w:b w:val="0"/>
          <w:sz w:val="12"/>
        </w:rPr>
        <w:t>commonwealth-supported</w:t>
      </w:r>
      <w:r>
        <w:rPr>
          <w:rFonts w:ascii="TT Norms Pro Light"/>
          <w:b w:val="0"/>
          <w:spacing w:val="-2"/>
          <w:sz w:val="12"/>
        </w:rPr>
        <w:t> </w:t>
      </w:r>
      <w:r>
        <w:rPr>
          <w:rFonts w:ascii="TT Norms Pro Light"/>
          <w:b w:val="0"/>
          <w:sz w:val="12"/>
        </w:rPr>
        <w:t>and</w:t>
      </w:r>
      <w:r>
        <w:rPr>
          <w:rFonts w:ascii="TT Norms Pro Light"/>
          <w:b w:val="0"/>
          <w:spacing w:val="-2"/>
          <w:sz w:val="12"/>
        </w:rPr>
        <w:t> </w:t>
      </w:r>
      <w:r>
        <w:rPr>
          <w:rFonts w:ascii="TT Norms Pro Light"/>
          <w:b w:val="0"/>
          <w:spacing w:val="-5"/>
          <w:sz w:val="12"/>
        </w:rPr>
        <w:t>RTP</w:t>
      </w:r>
    </w:p>
    <w:p>
      <w:pPr>
        <w:spacing w:after="0"/>
        <w:jc w:val="both"/>
        <w:rPr>
          <w:rFonts w:ascii="TT Norms Pro Light"/>
          <w:sz w:val="12"/>
        </w:rPr>
        <w:sectPr>
          <w:type w:val="continuous"/>
          <w:pgSz w:w="11910" w:h="16840"/>
          <w:pgMar w:header="468" w:footer="0" w:top="980" w:bottom="280" w:left="920" w:right="0"/>
          <w:cols w:num="3" w:equalWidth="0">
            <w:col w:w="606" w:space="40"/>
            <w:col w:w="4537" w:space="409"/>
            <w:col w:w="5398"/>
          </w:cols>
        </w:sectPr>
      </w:pPr>
    </w:p>
    <w:p>
      <w:pPr>
        <w:pStyle w:val="BodyText"/>
        <w:rPr>
          <w:b w:val="0"/>
        </w:rPr>
      </w:pPr>
    </w:p>
    <w:p>
      <w:pPr>
        <w:pStyle w:val="BodyText"/>
        <w:rPr>
          <w:b w:val="0"/>
        </w:rPr>
      </w:pPr>
    </w:p>
    <w:p>
      <w:pPr>
        <w:pStyle w:val="BodyText"/>
        <w:rPr>
          <w:b w:val="0"/>
        </w:rPr>
      </w:pPr>
    </w:p>
    <w:p>
      <w:pPr>
        <w:pStyle w:val="BodyText"/>
        <w:spacing w:before="98"/>
        <w:rPr>
          <w:b w:val="0"/>
        </w:rPr>
      </w:pPr>
    </w:p>
    <w:p>
      <w:pPr>
        <w:pStyle w:val="BodyText"/>
        <w:spacing w:before="1"/>
        <w:ind w:left="213"/>
        <w:rPr>
          <w:b w:val="0"/>
          <w:sz w:val="10"/>
        </w:rPr>
      </w:pPr>
      <w:r>
        <w:rPr>
          <w:rFonts w:ascii="TT Norms Pro Medium"/>
          <w:b/>
        </w:rPr>
        <w:t>TABLE</w:t>
      </w:r>
      <w:r>
        <w:rPr>
          <w:rFonts w:ascii="TT Norms Pro Medium"/>
          <w:b/>
          <w:spacing w:val="-6"/>
        </w:rPr>
        <w:t> </w:t>
      </w:r>
      <w:r>
        <w:rPr>
          <w:rFonts w:ascii="TT Norms Pro Medium"/>
          <w:b/>
        </w:rPr>
        <w:t>3:</w:t>
      </w:r>
      <w:r>
        <w:rPr>
          <w:rFonts w:ascii="TT Norms Pro Medium"/>
          <w:b/>
          <w:spacing w:val="-8"/>
        </w:rPr>
        <w:t> </w:t>
      </w:r>
      <w:r>
        <w:rPr>
          <w:b w:val="0"/>
        </w:rPr>
        <w:t>Full-year</w:t>
      </w:r>
      <w:r>
        <w:rPr>
          <w:b w:val="0"/>
          <w:spacing w:val="-1"/>
        </w:rPr>
        <w:t> </w:t>
      </w:r>
      <w:r>
        <w:rPr>
          <w:b w:val="0"/>
        </w:rPr>
        <w:t>student</w:t>
      </w:r>
      <w:r>
        <w:rPr>
          <w:b w:val="0"/>
          <w:spacing w:val="-1"/>
        </w:rPr>
        <w:t> </w:t>
      </w:r>
      <w:r>
        <w:rPr>
          <w:b w:val="0"/>
        </w:rPr>
        <w:t>load (EFTSL)</w:t>
      </w:r>
      <w:r>
        <w:rPr>
          <w:b w:val="0"/>
          <w:spacing w:val="-1"/>
        </w:rPr>
        <w:t> </w:t>
      </w:r>
      <w:r>
        <w:rPr>
          <w:b w:val="0"/>
        </w:rPr>
        <w:t>by</w:t>
      </w:r>
      <w:r>
        <w:rPr>
          <w:b w:val="0"/>
          <w:spacing w:val="-1"/>
        </w:rPr>
        <w:t> </w:t>
      </w:r>
      <w:r>
        <w:rPr>
          <w:b w:val="0"/>
        </w:rPr>
        <w:t>faculty</w:t>
      </w:r>
      <w:r>
        <w:rPr>
          <w:b w:val="0"/>
          <w:spacing w:val="-1"/>
        </w:rPr>
        <w:t> </w:t>
      </w:r>
      <w:r>
        <w:rPr>
          <w:b w:val="0"/>
        </w:rPr>
        <w:t>and</w:t>
      </w:r>
      <w:r>
        <w:rPr>
          <w:b w:val="0"/>
          <w:spacing w:val="-1"/>
        </w:rPr>
        <w:t> </w:t>
      </w:r>
      <w:r>
        <w:rPr>
          <w:b w:val="0"/>
        </w:rPr>
        <w:t>broad course</w:t>
      </w:r>
      <w:r>
        <w:rPr>
          <w:b w:val="0"/>
          <w:spacing w:val="-1"/>
        </w:rPr>
        <w:t> </w:t>
      </w:r>
      <w:r>
        <w:rPr>
          <w:b w:val="0"/>
        </w:rPr>
        <w:t>type,</w:t>
      </w:r>
      <w:r>
        <w:rPr>
          <w:b w:val="0"/>
          <w:spacing w:val="-1"/>
        </w:rPr>
        <w:t> </w:t>
      </w:r>
      <w:r>
        <w:rPr>
          <w:b w:val="0"/>
          <w:spacing w:val="-4"/>
        </w:rPr>
        <w:t>2020</w:t>
      </w:r>
      <w:r>
        <w:rPr>
          <w:b w:val="0"/>
          <w:spacing w:val="-4"/>
          <w:position w:val="6"/>
          <w:sz w:val="10"/>
        </w:rPr>
        <w:t>1</w:t>
      </w:r>
    </w:p>
    <w:p>
      <w:pPr>
        <w:pStyle w:val="BodyText"/>
        <w:spacing w:after="1"/>
        <w:rPr>
          <w:b w:val="0"/>
          <w:sz w:val="15"/>
        </w:rPr>
      </w:pPr>
    </w:p>
    <w:p>
      <w:pPr>
        <w:pStyle w:val="BodyText"/>
        <w:spacing w:line="20" w:lineRule="exact"/>
        <w:ind w:left="206"/>
        <w:rPr>
          <w:sz w:val="2"/>
        </w:rPr>
      </w:pPr>
      <w:r>
        <w:rPr>
          <w:sz w:val="2"/>
        </w:rPr>
        <mc:AlternateContent>
          <mc:Choice Requires="wps">
            <w:drawing>
              <wp:inline distT="0" distB="0" distL="0" distR="0">
                <wp:extent cx="6123305" cy="12700"/>
                <wp:effectExtent l="9525" t="0" r="1270" b="6350"/>
                <wp:docPr id="518" name="Group 518"/>
                <wp:cNvGraphicFramePr>
                  <a:graphicFrameLocks/>
                </wp:cNvGraphicFramePr>
                <a:graphic>
                  <a:graphicData uri="http://schemas.microsoft.com/office/word/2010/wordprocessingGroup">
                    <wpg:wgp>
                      <wpg:cNvPr id="518" name="Group 518"/>
                      <wpg:cNvGrpSpPr/>
                      <wpg:grpSpPr>
                        <a:xfrm>
                          <a:off x="0" y="0"/>
                          <a:ext cx="6123305" cy="12700"/>
                          <a:chExt cx="6123305" cy="12700"/>
                        </a:xfrm>
                      </wpg:grpSpPr>
                      <wps:wsp>
                        <wps:cNvPr id="519" name="Graphic 519"/>
                        <wps:cNvSpPr/>
                        <wps:spPr>
                          <a:xfrm>
                            <a:off x="0" y="6350"/>
                            <a:ext cx="1781175" cy="1270"/>
                          </a:xfrm>
                          <a:custGeom>
                            <a:avLst/>
                            <a:gdLst/>
                            <a:ahLst/>
                            <a:cxnLst/>
                            <a:rect l="l" t="t" r="r" b="b"/>
                            <a:pathLst>
                              <a:path w="1781175" h="0">
                                <a:moveTo>
                                  <a:pt x="0" y="0"/>
                                </a:moveTo>
                                <a:lnTo>
                                  <a:pt x="1780578" y="0"/>
                                </a:lnTo>
                              </a:path>
                            </a:pathLst>
                          </a:custGeom>
                          <a:ln w="12700">
                            <a:solidFill>
                              <a:srgbClr val="000000"/>
                            </a:solidFill>
                            <a:prstDash val="solid"/>
                          </a:ln>
                        </wps:spPr>
                        <wps:bodyPr wrap="square" lIns="0" tIns="0" rIns="0" bIns="0" rtlCol="0">
                          <a:prstTxWarp prst="textNoShape">
                            <a:avLst/>
                          </a:prstTxWarp>
                          <a:noAutofit/>
                        </wps:bodyPr>
                      </wps:wsp>
                      <wps:wsp>
                        <wps:cNvPr id="520" name="Graphic 520"/>
                        <wps:cNvSpPr/>
                        <wps:spPr>
                          <a:xfrm>
                            <a:off x="1780575" y="6350"/>
                            <a:ext cx="1196975" cy="1270"/>
                          </a:xfrm>
                          <a:custGeom>
                            <a:avLst/>
                            <a:gdLst/>
                            <a:ahLst/>
                            <a:cxnLst/>
                            <a:rect l="l" t="t" r="r" b="b"/>
                            <a:pathLst>
                              <a:path w="1196975" h="0">
                                <a:moveTo>
                                  <a:pt x="0" y="0"/>
                                </a:moveTo>
                                <a:lnTo>
                                  <a:pt x="1196898" y="0"/>
                                </a:lnTo>
                              </a:path>
                            </a:pathLst>
                          </a:custGeom>
                          <a:ln w="12700">
                            <a:solidFill>
                              <a:srgbClr val="000000"/>
                            </a:solidFill>
                            <a:prstDash val="solid"/>
                          </a:ln>
                        </wps:spPr>
                        <wps:bodyPr wrap="square" lIns="0" tIns="0" rIns="0" bIns="0" rtlCol="0">
                          <a:prstTxWarp prst="textNoShape">
                            <a:avLst/>
                          </a:prstTxWarp>
                          <a:noAutofit/>
                        </wps:bodyPr>
                      </wps:wsp>
                      <wps:wsp>
                        <wps:cNvPr id="521" name="Graphic 521"/>
                        <wps:cNvSpPr/>
                        <wps:spPr>
                          <a:xfrm>
                            <a:off x="2977475" y="6350"/>
                            <a:ext cx="1322705" cy="1270"/>
                          </a:xfrm>
                          <a:custGeom>
                            <a:avLst/>
                            <a:gdLst/>
                            <a:ahLst/>
                            <a:cxnLst/>
                            <a:rect l="l" t="t" r="r" b="b"/>
                            <a:pathLst>
                              <a:path w="1322705" h="0">
                                <a:moveTo>
                                  <a:pt x="0" y="0"/>
                                </a:moveTo>
                                <a:lnTo>
                                  <a:pt x="1322095" y="0"/>
                                </a:lnTo>
                              </a:path>
                            </a:pathLst>
                          </a:custGeom>
                          <a:ln w="12700">
                            <a:solidFill>
                              <a:srgbClr val="000000"/>
                            </a:solidFill>
                            <a:prstDash val="solid"/>
                          </a:ln>
                        </wps:spPr>
                        <wps:bodyPr wrap="square" lIns="0" tIns="0" rIns="0" bIns="0" rtlCol="0">
                          <a:prstTxWarp prst="textNoShape">
                            <a:avLst/>
                          </a:prstTxWarp>
                          <a:noAutofit/>
                        </wps:bodyPr>
                      </wps:wsp>
                      <wps:wsp>
                        <wps:cNvPr id="522" name="Graphic 522"/>
                        <wps:cNvSpPr/>
                        <wps:spPr>
                          <a:xfrm>
                            <a:off x="4299574" y="6350"/>
                            <a:ext cx="1209675" cy="1270"/>
                          </a:xfrm>
                          <a:custGeom>
                            <a:avLst/>
                            <a:gdLst/>
                            <a:ahLst/>
                            <a:cxnLst/>
                            <a:rect l="l" t="t" r="r" b="b"/>
                            <a:pathLst>
                              <a:path w="1209675" h="0">
                                <a:moveTo>
                                  <a:pt x="0" y="0"/>
                                </a:moveTo>
                                <a:lnTo>
                                  <a:pt x="1209598" y="0"/>
                                </a:lnTo>
                              </a:path>
                            </a:pathLst>
                          </a:custGeom>
                          <a:ln w="12700">
                            <a:solidFill>
                              <a:srgbClr val="000000"/>
                            </a:solidFill>
                            <a:prstDash val="solid"/>
                          </a:ln>
                        </wps:spPr>
                        <wps:bodyPr wrap="square" lIns="0" tIns="0" rIns="0" bIns="0" rtlCol="0">
                          <a:prstTxWarp prst="textNoShape">
                            <a:avLst/>
                          </a:prstTxWarp>
                          <a:noAutofit/>
                        </wps:bodyPr>
                      </wps:wsp>
                      <wps:wsp>
                        <wps:cNvPr id="523" name="Graphic 523"/>
                        <wps:cNvSpPr/>
                        <wps:spPr>
                          <a:xfrm>
                            <a:off x="5509174" y="6350"/>
                            <a:ext cx="614045" cy="1270"/>
                          </a:xfrm>
                          <a:custGeom>
                            <a:avLst/>
                            <a:gdLst/>
                            <a:ahLst/>
                            <a:cxnLst/>
                            <a:rect l="l" t="t" r="r" b="b"/>
                            <a:pathLst>
                              <a:path w="614045" h="0">
                                <a:moveTo>
                                  <a:pt x="0" y="0"/>
                                </a:moveTo>
                                <a:lnTo>
                                  <a:pt x="613803" y="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82.15pt;height:1pt;mso-position-horizontal-relative:char;mso-position-vertical-relative:line" id="docshapegroup346" coordorigin="0,0" coordsize="9643,20">
                <v:line style="position:absolute" from="0,10" to="2804,10" stroked="true" strokeweight="1pt" strokecolor="#000000">
                  <v:stroke dashstyle="solid"/>
                </v:line>
                <v:line style="position:absolute" from="2804,10" to="4689,10" stroked="true" strokeweight="1pt" strokecolor="#000000">
                  <v:stroke dashstyle="solid"/>
                </v:line>
                <v:line style="position:absolute" from="4689,10" to="6771,10" stroked="true" strokeweight="1pt" strokecolor="#000000">
                  <v:stroke dashstyle="solid"/>
                </v:line>
                <v:line style="position:absolute" from="6771,10" to="8676,10" stroked="true" strokeweight="1pt" strokecolor="#000000">
                  <v:stroke dashstyle="solid"/>
                </v:line>
                <v:line style="position:absolute" from="8676,10" to="9642,10" stroked="true" strokeweight="1pt" strokecolor="#000000">
                  <v:stroke dashstyle="solid"/>
                </v:line>
              </v:group>
            </w:pict>
          </mc:Fallback>
        </mc:AlternateContent>
      </w:r>
      <w:r>
        <w:rPr>
          <w:sz w:val="2"/>
        </w:rPr>
      </w:r>
    </w:p>
    <w:p>
      <w:pPr>
        <w:spacing w:after="0" w:line="20" w:lineRule="exact"/>
        <w:rPr>
          <w:sz w:val="2"/>
        </w:rPr>
        <w:sectPr>
          <w:type w:val="continuous"/>
          <w:pgSz w:w="11910" w:h="16840"/>
          <w:pgMar w:header="468" w:footer="0" w:top="980" w:bottom="280" w:left="920" w:right="0"/>
        </w:sectPr>
      </w:pPr>
    </w:p>
    <w:p>
      <w:pPr>
        <w:tabs>
          <w:tab w:pos="3125" w:val="left" w:leader="none"/>
        </w:tabs>
        <w:spacing w:before="30"/>
        <w:ind w:left="0" w:right="38" w:firstLine="0"/>
        <w:jc w:val="right"/>
        <w:rPr>
          <w:rFonts w:ascii="TT Norms Pro"/>
          <w:b/>
          <w:sz w:val="16"/>
        </w:rPr>
      </w:pPr>
      <w:r>
        <w:rPr>
          <w:rFonts w:ascii="TT Norms Pro"/>
          <w:b/>
          <w:spacing w:val="-2"/>
          <w:sz w:val="16"/>
        </w:rPr>
        <w:t>FACULTY</w:t>
      </w:r>
      <w:r>
        <w:rPr>
          <w:rFonts w:ascii="TT Norms Pro"/>
          <w:b/>
          <w:sz w:val="16"/>
        </w:rPr>
        <w:tab/>
        <w:t>HIGHER</w:t>
      </w:r>
      <w:r>
        <w:rPr>
          <w:rFonts w:ascii="TT Norms Pro"/>
          <w:b/>
          <w:spacing w:val="9"/>
          <w:sz w:val="16"/>
        </w:rPr>
        <w:t> </w:t>
      </w:r>
      <w:r>
        <w:rPr>
          <w:rFonts w:ascii="TT Norms Pro"/>
          <w:b/>
          <w:spacing w:val="-2"/>
          <w:sz w:val="16"/>
        </w:rPr>
        <w:t>DEGREE</w:t>
      </w:r>
    </w:p>
    <w:p>
      <w:pPr>
        <w:spacing w:before="13"/>
        <w:ind w:left="0" w:right="38" w:firstLine="0"/>
        <w:jc w:val="right"/>
        <w:rPr>
          <w:rFonts w:ascii="TT Norms Pro"/>
          <w:b/>
          <w:sz w:val="16"/>
        </w:rPr>
      </w:pPr>
      <w:r>
        <w:rPr>
          <w:rFonts w:ascii="TT Norms Pro"/>
          <w:b/>
          <w:spacing w:val="-2"/>
          <w:sz w:val="16"/>
        </w:rPr>
        <w:t>RESEARCH</w:t>
      </w:r>
    </w:p>
    <w:p>
      <w:pPr>
        <w:spacing w:line="256" w:lineRule="auto" w:before="30"/>
        <w:ind w:left="419" w:right="0" w:hanging="119"/>
        <w:jc w:val="left"/>
        <w:rPr>
          <w:rFonts w:ascii="TT Norms Pro"/>
          <w:b/>
          <w:sz w:val="16"/>
        </w:rPr>
      </w:pPr>
      <w:r>
        <w:rPr/>
        <w:br w:type="column"/>
      </w:r>
      <w:r>
        <w:rPr>
          <w:rFonts w:ascii="TT Norms Pro"/>
          <w:b/>
          <w:spacing w:val="-2"/>
          <w:sz w:val="16"/>
        </w:rPr>
        <w:t>POSTGRADUATE</w:t>
      </w:r>
      <w:r>
        <w:rPr>
          <w:rFonts w:ascii="TT Norms Pro"/>
          <w:b/>
          <w:spacing w:val="40"/>
          <w:sz w:val="16"/>
        </w:rPr>
        <w:t> </w:t>
      </w:r>
      <w:r>
        <w:rPr>
          <w:rFonts w:ascii="TT Norms Pro"/>
          <w:b/>
          <w:spacing w:val="-2"/>
          <w:sz w:val="16"/>
        </w:rPr>
        <w:t>COURSEWORK</w:t>
      </w:r>
    </w:p>
    <w:p>
      <w:pPr>
        <w:tabs>
          <w:tab w:pos="2212" w:val="left" w:leader="none"/>
        </w:tabs>
        <w:spacing w:before="30"/>
        <w:ind w:left="301" w:right="0" w:firstLine="0"/>
        <w:jc w:val="left"/>
        <w:rPr>
          <w:rFonts w:ascii="TT Norms Pro"/>
          <w:b/>
          <w:sz w:val="9"/>
        </w:rPr>
      </w:pPr>
      <w:r>
        <w:rPr/>
        <w:br w:type="column"/>
      </w:r>
      <w:r>
        <w:rPr>
          <w:rFonts w:ascii="TT Norms Pro"/>
          <w:b/>
          <w:spacing w:val="-2"/>
          <w:sz w:val="16"/>
        </w:rPr>
        <w:t>UNDERGRADUATE</w:t>
      </w:r>
      <w:r>
        <w:rPr>
          <w:rFonts w:ascii="TT Norms Pro"/>
          <w:b/>
          <w:sz w:val="16"/>
        </w:rPr>
        <w:tab/>
      </w:r>
      <w:r>
        <w:rPr>
          <w:rFonts w:ascii="TT Norms Pro"/>
          <w:b/>
          <w:spacing w:val="-2"/>
          <w:sz w:val="16"/>
        </w:rPr>
        <w:t>TOTAL</w:t>
      </w:r>
      <w:r>
        <w:rPr>
          <w:rFonts w:ascii="TT Norms Pro"/>
          <w:b/>
          <w:spacing w:val="-2"/>
          <w:position w:val="5"/>
          <w:sz w:val="9"/>
        </w:rPr>
        <w:t>2</w:t>
      </w:r>
    </w:p>
    <w:p>
      <w:pPr>
        <w:spacing w:after="0"/>
        <w:jc w:val="left"/>
        <w:rPr>
          <w:rFonts w:ascii="TT Norms Pro"/>
          <w:sz w:val="9"/>
        </w:rPr>
        <w:sectPr>
          <w:type w:val="continuous"/>
          <w:pgSz w:w="11910" w:h="16840"/>
          <w:pgMar w:header="468" w:footer="0" w:top="980" w:bottom="280" w:left="920" w:right="0"/>
          <w:cols w:num="3" w:equalWidth="0">
            <w:col w:w="4861" w:space="374"/>
            <w:col w:w="1671" w:space="66"/>
            <w:col w:w="4018"/>
          </w:cols>
        </w:sectPr>
      </w:pPr>
    </w:p>
    <w:p>
      <w:pPr>
        <w:pStyle w:val="BodyText"/>
        <w:spacing w:before="1"/>
        <w:rPr>
          <w:rFonts w:ascii="TT Norms Pro"/>
          <w:b/>
          <w:sz w:val="2"/>
        </w:rPr>
      </w:pPr>
    </w:p>
    <w:tbl>
      <w:tblPr>
        <w:tblW w:w="0" w:type="auto"/>
        <w:jc w:val="left"/>
        <w:tblInd w:w="2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804"/>
        <w:gridCol w:w="1885"/>
        <w:gridCol w:w="2082"/>
        <w:gridCol w:w="1905"/>
        <w:gridCol w:w="967"/>
      </w:tblGrid>
      <w:tr>
        <w:trPr>
          <w:trHeight w:val="252" w:hRule="atLeast"/>
        </w:trPr>
        <w:tc>
          <w:tcPr>
            <w:tcW w:w="2804" w:type="dxa"/>
            <w:tcBorders>
              <w:top w:val="single" w:sz="4" w:space="0" w:color="000000"/>
            </w:tcBorders>
            <w:shd w:val="clear" w:color="auto" w:fill="E6E7E8"/>
          </w:tcPr>
          <w:p>
            <w:pPr>
              <w:pStyle w:val="TableParagraph"/>
              <w:spacing w:before="37"/>
              <w:ind w:left="85"/>
              <w:rPr>
                <w:rFonts w:ascii="TT Norms Pro"/>
                <w:sz w:val="14"/>
              </w:rPr>
            </w:pPr>
            <w:r>
              <w:rPr>
                <w:rFonts w:ascii="TT Norms Pro"/>
                <w:sz w:val="14"/>
              </w:rPr>
              <w:t>Arts,</w:t>
            </w:r>
            <w:r>
              <w:rPr>
                <w:rFonts w:ascii="TT Norms Pro"/>
                <w:spacing w:val="11"/>
                <w:sz w:val="14"/>
              </w:rPr>
              <w:t> </w:t>
            </w:r>
            <w:r>
              <w:rPr>
                <w:rFonts w:ascii="TT Norms Pro"/>
                <w:sz w:val="14"/>
              </w:rPr>
              <w:t>Business,</w:t>
            </w:r>
            <w:r>
              <w:rPr>
                <w:rFonts w:ascii="TT Norms Pro"/>
                <w:spacing w:val="12"/>
                <w:sz w:val="14"/>
              </w:rPr>
              <w:t> </w:t>
            </w:r>
            <w:r>
              <w:rPr>
                <w:rFonts w:ascii="TT Norms Pro"/>
                <w:sz w:val="14"/>
              </w:rPr>
              <w:t>Law</w:t>
            </w:r>
            <w:r>
              <w:rPr>
                <w:rFonts w:ascii="TT Norms Pro"/>
                <w:spacing w:val="11"/>
                <w:sz w:val="14"/>
              </w:rPr>
              <w:t> </w:t>
            </w:r>
            <w:r>
              <w:rPr>
                <w:rFonts w:ascii="TT Norms Pro"/>
                <w:sz w:val="14"/>
              </w:rPr>
              <w:t>and</w:t>
            </w:r>
            <w:r>
              <w:rPr>
                <w:rFonts w:ascii="TT Norms Pro"/>
                <w:spacing w:val="12"/>
                <w:sz w:val="14"/>
              </w:rPr>
              <w:t> </w:t>
            </w:r>
            <w:r>
              <w:rPr>
                <w:rFonts w:ascii="TT Norms Pro"/>
                <w:spacing w:val="-2"/>
                <w:sz w:val="14"/>
              </w:rPr>
              <w:t>Education</w:t>
            </w:r>
          </w:p>
        </w:tc>
        <w:tc>
          <w:tcPr>
            <w:tcW w:w="1885" w:type="dxa"/>
            <w:tcBorders>
              <w:top w:val="single" w:sz="4" w:space="0" w:color="000000"/>
            </w:tcBorders>
          </w:tcPr>
          <w:p>
            <w:pPr>
              <w:pStyle w:val="TableParagraph"/>
              <w:spacing w:before="37"/>
              <w:ind w:right="87"/>
              <w:jc w:val="right"/>
              <w:rPr>
                <w:rFonts w:ascii="TT Norms Pro Light"/>
                <w:b w:val="0"/>
                <w:sz w:val="14"/>
              </w:rPr>
            </w:pPr>
            <w:r>
              <w:rPr>
                <w:rFonts w:ascii="TT Norms Pro Light"/>
                <w:b w:val="0"/>
                <w:spacing w:val="-2"/>
                <w:sz w:val="14"/>
              </w:rPr>
              <w:t>362.9</w:t>
            </w:r>
          </w:p>
        </w:tc>
        <w:tc>
          <w:tcPr>
            <w:tcW w:w="2082" w:type="dxa"/>
            <w:tcBorders>
              <w:top w:val="single" w:sz="4" w:space="0" w:color="000000"/>
            </w:tcBorders>
            <w:shd w:val="clear" w:color="auto" w:fill="E6E7E8"/>
          </w:tcPr>
          <w:p>
            <w:pPr>
              <w:pStyle w:val="TableParagraph"/>
              <w:spacing w:before="37"/>
              <w:ind w:right="84"/>
              <w:jc w:val="right"/>
              <w:rPr>
                <w:rFonts w:ascii="TT Norms Pro Light"/>
                <w:b w:val="0"/>
                <w:sz w:val="14"/>
              </w:rPr>
            </w:pPr>
            <w:r>
              <w:rPr>
                <w:rFonts w:ascii="TT Norms Pro Light"/>
                <w:b w:val="0"/>
                <w:spacing w:val="-2"/>
                <w:sz w:val="14"/>
              </w:rPr>
              <w:t>2,198.3</w:t>
            </w:r>
          </w:p>
        </w:tc>
        <w:tc>
          <w:tcPr>
            <w:tcW w:w="1905" w:type="dxa"/>
            <w:tcBorders>
              <w:top w:val="single" w:sz="4" w:space="0" w:color="000000"/>
            </w:tcBorders>
          </w:tcPr>
          <w:p>
            <w:pPr>
              <w:pStyle w:val="TableParagraph"/>
              <w:spacing w:before="37"/>
              <w:ind w:right="83"/>
              <w:jc w:val="right"/>
              <w:rPr>
                <w:rFonts w:ascii="TT Norms Pro Light"/>
                <w:b w:val="0"/>
                <w:sz w:val="14"/>
              </w:rPr>
            </w:pPr>
            <w:r>
              <w:rPr>
                <w:rFonts w:ascii="TT Norms Pro Light"/>
                <w:b w:val="0"/>
                <w:spacing w:val="-2"/>
                <w:sz w:val="14"/>
              </w:rPr>
              <w:t>5,696.4</w:t>
            </w:r>
          </w:p>
        </w:tc>
        <w:tc>
          <w:tcPr>
            <w:tcW w:w="967" w:type="dxa"/>
            <w:tcBorders>
              <w:top w:val="single" w:sz="4" w:space="0" w:color="000000"/>
            </w:tcBorders>
            <w:shd w:val="clear" w:color="auto" w:fill="E6E7E8"/>
          </w:tcPr>
          <w:p>
            <w:pPr>
              <w:pStyle w:val="TableParagraph"/>
              <w:spacing w:before="37"/>
              <w:ind w:right="83"/>
              <w:jc w:val="right"/>
              <w:rPr>
                <w:rFonts w:ascii="TT Norms Pro Light"/>
                <w:b w:val="0"/>
                <w:sz w:val="14"/>
              </w:rPr>
            </w:pPr>
            <w:r>
              <w:rPr>
                <w:rFonts w:ascii="TT Norms Pro Light"/>
                <w:b w:val="0"/>
                <w:spacing w:val="-2"/>
                <w:sz w:val="14"/>
              </w:rPr>
              <w:t>8,257.6</w:t>
            </w:r>
          </w:p>
        </w:tc>
      </w:tr>
      <w:tr>
        <w:trPr>
          <w:trHeight w:val="283" w:hRule="atLeast"/>
        </w:trPr>
        <w:tc>
          <w:tcPr>
            <w:tcW w:w="2804" w:type="dxa"/>
            <w:shd w:val="clear" w:color="auto" w:fill="E6E7E8"/>
          </w:tcPr>
          <w:p>
            <w:pPr>
              <w:pStyle w:val="TableParagraph"/>
              <w:spacing w:before="68"/>
              <w:ind w:left="85"/>
              <w:rPr>
                <w:rFonts w:ascii="TT Norms Pro"/>
                <w:sz w:val="14"/>
              </w:rPr>
            </w:pPr>
            <w:r>
              <w:rPr>
                <w:rFonts w:ascii="TT Norms Pro"/>
                <w:sz w:val="14"/>
              </w:rPr>
              <w:t>Engineering</w:t>
            </w:r>
            <w:r>
              <w:rPr>
                <w:rFonts w:ascii="TT Norms Pro"/>
                <w:spacing w:val="9"/>
                <w:sz w:val="14"/>
              </w:rPr>
              <w:t> </w:t>
            </w:r>
            <w:r>
              <w:rPr>
                <w:rFonts w:ascii="TT Norms Pro"/>
                <w:sz w:val="14"/>
              </w:rPr>
              <w:t>and</w:t>
            </w:r>
            <w:r>
              <w:rPr>
                <w:rFonts w:ascii="TT Norms Pro"/>
                <w:spacing w:val="13"/>
                <w:sz w:val="14"/>
              </w:rPr>
              <w:t> </w:t>
            </w:r>
            <w:r>
              <w:rPr>
                <w:rFonts w:ascii="TT Norms Pro"/>
                <w:sz w:val="14"/>
              </w:rPr>
              <w:t>Mathematical</w:t>
            </w:r>
            <w:r>
              <w:rPr>
                <w:rFonts w:ascii="TT Norms Pro"/>
                <w:spacing w:val="14"/>
                <w:sz w:val="14"/>
              </w:rPr>
              <w:t> </w:t>
            </w:r>
            <w:r>
              <w:rPr>
                <w:rFonts w:ascii="TT Norms Pro"/>
                <w:spacing w:val="-2"/>
                <w:sz w:val="14"/>
              </w:rPr>
              <w:t>Sciences</w:t>
            </w:r>
          </w:p>
        </w:tc>
        <w:tc>
          <w:tcPr>
            <w:tcW w:w="1885" w:type="dxa"/>
          </w:tcPr>
          <w:p>
            <w:pPr>
              <w:pStyle w:val="TableParagraph"/>
              <w:spacing w:before="68"/>
              <w:ind w:right="83"/>
              <w:jc w:val="right"/>
              <w:rPr>
                <w:rFonts w:ascii="TT Norms Pro Light"/>
                <w:b w:val="0"/>
                <w:sz w:val="14"/>
              </w:rPr>
            </w:pPr>
            <w:r>
              <w:rPr>
                <w:rFonts w:ascii="TT Norms Pro Light"/>
                <w:b w:val="0"/>
                <w:spacing w:val="-4"/>
                <w:sz w:val="14"/>
              </w:rPr>
              <w:t>324.0</w:t>
            </w:r>
          </w:p>
        </w:tc>
        <w:tc>
          <w:tcPr>
            <w:tcW w:w="2082" w:type="dxa"/>
            <w:shd w:val="clear" w:color="auto" w:fill="E6E7E8"/>
          </w:tcPr>
          <w:p>
            <w:pPr>
              <w:pStyle w:val="TableParagraph"/>
              <w:spacing w:before="68"/>
              <w:ind w:right="83"/>
              <w:jc w:val="right"/>
              <w:rPr>
                <w:rFonts w:ascii="TT Norms Pro Light"/>
                <w:b w:val="0"/>
                <w:sz w:val="14"/>
              </w:rPr>
            </w:pPr>
            <w:r>
              <w:rPr>
                <w:rFonts w:ascii="TT Norms Pro Light"/>
                <w:b w:val="0"/>
                <w:spacing w:val="-2"/>
                <w:sz w:val="14"/>
              </w:rPr>
              <w:t>1,130.5</w:t>
            </w:r>
          </w:p>
        </w:tc>
        <w:tc>
          <w:tcPr>
            <w:tcW w:w="1905" w:type="dxa"/>
          </w:tcPr>
          <w:p>
            <w:pPr>
              <w:pStyle w:val="TableParagraph"/>
              <w:spacing w:before="68"/>
              <w:ind w:right="83"/>
              <w:jc w:val="right"/>
              <w:rPr>
                <w:rFonts w:ascii="TT Norms Pro Light"/>
                <w:b w:val="0"/>
                <w:sz w:val="14"/>
              </w:rPr>
            </w:pPr>
            <w:r>
              <w:rPr>
                <w:rFonts w:ascii="TT Norms Pro Light"/>
                <w:b w:val="0"/>
                <w:spacing w:val="-2"/>
                <w:sz w:val="14"/>
              </w:rPr>
              <w:t>2,082.2</w:t>
            </w:r>
          </w:p>
        </w:tc>
        <w:tc>
          <w:tcPr>
            <w:tcW w:w="967" w:type="dxa"/>
            <w:shd w:val="clear" w:color="auto" w:fill="E6E7E8"/>
          </w:tcPr>
          <w:p>
            <w:pPr>
              <w:pStyle w:val="TableParagraph"/>
              <w:spacing w:before="68"/>
              <w:ind w:right="83"/>
              <w:jc w:val="right"/>
              <w:rPr>
                <w:rFonts w:ascii="TT Norms Pro Light"/>
                <w:b w:val="0"/>
                <w:sz w:val="14"/>
              </w:rPr>
            </w:pPr>
            <w:r>
              <w:rPr>
                <w:rFonts w:ascii="TT Norms Pro Light"/>
                <w:b w:val="0"/>
                <w:spacing w:val="-2"/>
                <w:sz w:val="14"/>
              </w:rPr>
              <w:t>3,536.8</w:t>
            </w:r>
          </w:p>
        </w:tc>
      </w:tr>
      <w:tr>
        <w:trPr>
          <w:trHeight w:val="283" w:hRule="atLeast"/>
        </w:trPr>
        <w:tc>
          <w:tcPr>
            <w:tcW w:w="2804" w:type="dxa"/>
            <w:shd w:val="clear" w:color="auto" w:fill="E6E7E8"/>
          </w:tcPr>
          <w:p>
            <w:pPr>
              <w:pStyle w:val="TableParagraph"/>
              <w:spacing w:before="68"/>
              <w:ind w:left="85"/>
              <w:rPr>
                <w:rFonts w:ascii="TT Norms Pro"/>
                <w:sz w:val="14"/>
              </w:rPr>
            </w:pPr>
            <w:r>
              <w:rPr>
                <w:rFonts w:ascii="TT Norms Pro"/>
                <w:sz w:val="14"/>
              </w:rPr>
              <w:t>Health</w:t>
            </w:r>
            <w:r>
              <w:rPr>
                <w:rFonts w:ascii="TT Norms Pro"/>
                <w:spacing w:val="6"/>
                <w:sz w:val="14"/>
              </w:rPr>
              <w:t> </w:t>
            </w:r>
            <w:r>
              <w:rPr>
                <w:rFonts w:ascii="TT Norms Pro"/>
                <w:sz w:val="14"/>
              </w:rPr>
              <w:t>and</w:t>
            </w:r>
            <w:r>
              <w:rPr>
                <w:rFonts w:ascii="TT Norms Pro"/>
                <w:spacing w:val="7"/>
                <w:sz w:val="14"/>
              </w:rPr>
              <w:t> </w:t>
            </w:r>
            <w:r>
              <w:rPr>
                <w:rFonts w:ascii="TT Norms Pro"/>
                <w:sz w:val="14"/>
              </w:rPr>
              <w:t>Medical</w:t>
            </w:r>
            <w:r>
              <w:rPr>
                <w:rFonts w:ascii="TT Norms Pro"/>
                <w:spacing w:val="7"/>
                <w:sz w:val="14"/>
              </w:rPr>
              <w:t> </w:t>
            </w:r>
            <w:r>
              <w:rPr>
                <w:rFonts w:ascii="TT Norms Pro"/>
                <w:spacing w:val="-2"/>
                <w:sz w:val="14"/>
              </w:rPr>
              <w:t>Sciences</w:t>
            </w:r>
          </w:p>
        </w:tc>
        <w:tc>
          <w:tcPr>
            <w:tcW w:w="1885" w:type="dxa"/>
          </w:tcPr>
          <w:p>
            <w:pPr>
              <w:pStyle w:val="TableParagraph"/>
              <w:spacing w:before="68"/>
              <w:ind w:right="83"/>
              <w:jc w:val="right"/>
              <w:rPr>
                <w:rFonts w:ascii="TT Norms Pro Light"/>
                <w:b w:val="0"/>
                <w:sz w:val="14"/>
              </w:rPr>
            </w:pPr>
            <w:r>
              <w:rPr>
                <w:rFonts w:ascii="TT Norms Pro Light"/>
                <w:b w:val="0"/>
                <w:spacing w:val="-4"/>
                <w:sz w:val="14"/>
              </w:rPr>
              <w:t>287.4</w:t>
            </w:r>
          </w:p>
        </w:tc>
        <w:tc>
          <w:tcPr>
            <w:tcW w:w="2082" w:type="dxa"/>
            <w:shd w:val="clear" w:color="auto" w:fill="E6E7E8"/>
          </w:tcPr>
          <w:p>
            <w:pPr>
              <w:pStyle w:val="TableParagraph"/>
              <w:spacing w:before="68"/>
              <w:ind w:right="83"/>
              <w:jc w:val="right"/>
              <w:rPr>
                <w:rFonts w:ascii="TT Norms Pro Light"/>
                <w:b w:val="0"/>
                <w:sz w:val="14"/>
              </w:rPr>
            </w:pPr>
            <w:r>
              <w:rPr>
                <w:rFonts w:ascii="TT Norms Pro Light"/>
                <w:b w:val="0"/>
                <w:spacing w:val="-2"/>
                <w:sz w:val="14"/>
              </w:rPr>
              <w:t>1,450.4</w:t>
            </w:r>
          </w:p>
        </w:tc>
        <w:tc>
          <w:tcPr>
            <w:tcW w:w="1905" w:type="dxa"/>
          </w:tcPr>
          <w:p>
            <w:pPr>
              <w:pStyle w:val="TableParagraph"/>
              <w:spacing w:before="68"/>
              <w:ind w:right="83"/>
              <w:jc w:val="right"/>
              <w:rPr>
                <w:rFonts w:ascii="TT Norms Pro Light"/>
                <w:b w:val="0"/>
                <w:sz w:val="14"/>
              </w:rPr>
            </w:pPr>
            <w:r>
              <w:rPr>
                <w:rFonts w:ascii="TT Norms Pro Light"/>
                <w:b w:val="0"/>
                <w:spacing w:val="-2"/>
                <w:sz w:val="14"/>
              </w:rPr>
              <w:t>893.2</w:t>
            </w:r>
          </w:p>
        </w:tc>
        <w:tc>
          <w:tcPr>
            <w:tcW w:w="967" w:type="dxa"/>
            <w:shd w:val="clear" w:color="auto" w:fill="E6E7E8"/>
          </w:tcPr>
          <w:p>
            <w:pPr>
              <w:pStyle w:val="TableParagraph"/>
              <w:spacing w:before="68"/>
              <w:ind w:right="88"/>
              <w:jc w:val="right"/>
              <w:rPr>
                <w:rFonts w:ascii="TT Norms Pro Light"/>
                <w:b w:val="0"/>
                <w:sz w:val="14"/>
              </w:rPr>
            </w:pPr>
            <w:r>
              <w:rPr>
                <w:rFonts w:ascii="TT Norms Pro Light"/>
                <w:b w:val="0"/>
                <w:spacing w:val="-2"/>
                <w:sz w:val="14"/>
              </w:rPr>
              <w:t>2,630.9</w:t>
            </w:r>
          </w:p>
        </w:tc>
      </w:tr>
      <w:tr>
        <w:trPr>
          <w:trHeight w:val="283" w:hRule="atLeast"/>
        </w:trPr>
        <w:tc>
          <w:tcPr>
            <w:tcW w:w="2804" w:type="dxa"/>
            <w:shd w:val="clear" w:color="auto" w:fill="E6E7E8"/>
          </w:tcPr>
          <w:p>
            <w:pPr>
              <w:pStyle w:val="TableParagraph"/>
              <w:spacing w:before="68"/>
              <w:ind w:left="84"/>
              <w:rPr>
                <w:rFonts w:ascii="TT Norms Pro"/>
                <w:sz w:val="14"/>
              </w:rPr>
            </w:pPr>
            <w:r>
              <w:rPr>
                <w:rFonts w:ascii="TT Norms Pro"/>
                <w:sz w:val="14"/>
              </w:rPr>
              <w:t>Indigenous</w:t>
            </w:r>
            <w:r>
              <w:rPr>
                <w:rFonts w:ascii="TT Norms Pro"/>
                <w:spacing w:val="18"/>
                <w:sz w:val="14"/>
              </w:rPr>
              <w:t> </w:t>
            </w:r>
            <w:r>
              <w:rPr>
                <w:rFonts w:ascii="TT Norms Pro"/>
                <w:spacing w:val="-2"/>
                <w:sz w:val="14"/>
              </w:rPr>
              <w:t>Studies</w:t>
            </w:r>
          </w:p>
        </w:tc>
        <w:tc>
          <w:tcPr>
            <w:tcW w:w="1885" w:type="dxa"/>
          </w:tcPr>
          <w:p>
            <w:pPr>
              <w:pStyle w:val="TableParagraph"/>
              <w:spacing w:before="68"/>
              <w:ind w:right="82"/>
              <w:jc w:val="right"/>
              <w:rPr>
                <w:rFonts w:ascii="TT Norms Pro Light"/>
                <w:b w:val="0"/>
                <w:sz w:val="14"/>
              </w:rPr>
            </w:pPr>
            <w:r>
              <w:rPr>
                <w:rFonts w:ascii="TT Norms Pro Light"/>
                <w:b w:val="0"/>
                <w:spacing w:val="-5"/>
                <w:sz w:val="14"/>
              </w:rPr>
              <w:t>0.0</w:t>
            </w:r>
          </w:p>
        </w:tc>
        <w:tc>
          <w:tcPr>
            <w:tcW w:w="2082" w:type="dxa"/>
            <w:shd w:val="clear" w:color="auto" w:fill="E6E7E8"/>
          </w:tcPr>
          <w:p>
            <w:pPr>
              <w:pStyle w:val="TableParagraph"/>
              <w:spacing w:before="68"/>
              <w:ind w:right="83"/>
              <w:jc w:val="right"/>
              <w:rPr>
                <w:rFonts w:ascii="TT Norms Pro Light"/>
                <w:b w:val="0"/>
                <w:sz w:val="14"/>
              </w:rPr>
            </w:pPr>
            <w:r>
              <w:rPr>
                <w:rFonts w:ascii="TT Norms Pro Light"/>
                <w:b w:val="0"/>
                <w:spacing w:val="-4"/>
                <w:sz w:val="14"/>
              </w:rPr>
              <w:t>17.0</w:t>
            </w:r>
          </w:p>
        </w:tc>
        <w:tc>
          <w:tcPr>
            <w:tcW w:w="1905" w:type="dxa"/>
          </w:tcPr>
          <w:p>
            <w:pPr>
              <w:pStyle w:val="TableParagraph"/>
              <w:spacing w:before="68"/>
              <w:ind w:right="83"/>
              <w:jc w:val="right"/>
              <w:rPr>
                <w:rFonts w:ascii="TT Norms Pro Light"/>
                <w:b w:val="0"/>
                <w:sz w:val="14"/>
              </w:rPr>
            </w:pPr>
            <w:r>
              <w:rPr>
                <w:rFonts w:ascii="TT Norms Pro Light"/>
                <w:b w:val="0"/>
                <w:spacing w:val="-2"/>
                <w:sz w:val="14"/>
              </w:rPr>
              <w:t>135.1</w:t>
            </w:r>
          </w:p>
        </w:tc>
        <w:tc>
          <w:tcPr>
            <w:tcW w:w="967" w:type="dxa"/>
            <w:shd w:val="clear" w:color="auto" w:fill="E6E7E8"/>
          </w:tcPr>
          <w:p>
            <w:pPr>
              <w:pStyle w:val="TableParagraph"/>
              <w:spacing w:before="68"/>
              <w:ind w:right="83"/>
              <w:jc w:val="right"/>
              <w:rPr>
                <w:rFonts w:ascii="TT Norms Pro Light"/>
                <w:b w:val="0"/>
                <w:sz w:val="14"/>
              </w:rPr>
            </w:pPr>
            <w:r>
              <w:rPr>
                <w:rFonts w:ascii="TT Norms Pro Light"/>
                <w:b w:val="0"/>
                <w:spacing w:val="-2"/>
                <w:sz w:val="14"/>
              </w:rPr>
              <w:t>152.1</w:t>
            </w:r>
          </w:p>
        </w:tc>
      </w:tr>
      <w:tr>
        <w:trPr>
          <w:trHeight w:val="283" w:hRule="atLeast"/>
        </w:trPr>
        <w:tc>
          <w:tcPr>
            <w:tcW w:w="2804" w:type="dxa"/>
            <w:shd w:val="clear" w:color="auto" w:fill="E6E7E8"/>
          </w:tcPr>
          <w:p>
            <w:pPr>
              <w:pStyle w:val="TableParagraph"/>
              <w:spacing w:before="68"/>
              <w:ind w:left="84"/>
              <w:rPr>
                <w:rFonts w:ascii="TT Norms Pro"/>
                <w:sz w:val="14"/>
              </w:rPr>
            </w:pPr>
            <w:r>
              <w:rPr>
                <w:rFonts w:ascii="TT Norms Pro"/>
                <w:sz w:val="14"/>
              </w:rPr>
              <w:t>No</w:t>
            </w:r>
            <w:r>
              <w:rPr>
                <w:rFonts w:ascii="TT Norms Pro"/>
                <w:spacing w:val="3"/>
                <w:sz w:val="14"/>
              </w:rPr>
              <w:t> </w:t>
            </w:r>
            <w:r>
              <w:rPr>
                <w:rFonts w:ascii="TT Norms Pro"/>
                <w:spacing w:val="-2"/>
                <w:sz w:val="14"/>
              </w:rPr>
              <w:t>Faculty</w:t>
            </w:r>
          </w:p>
        </w:tc>
        <w:tc>
          <w:tcPr>
            <w:tcW w:w="1885" w:type="dxa"/>
          </w:tcPr>
          <w:p>
            <w:pPr>
              <w:pStyle w:val="TableParagraph"/>
              <w:spacing w:before="68"/>
              <w:ind w:right="83"/>
              <w:jc w:val="right"/>
              <w:rPr>
                <w:rFonts w:ascii="TT Norms Pro Light"/>
                <w:b w:val="0"/>
                <w:sz w:val="14"/>
              </w:rPr>
            </w:pPr>
            <w:r>
              <w:rPr>
                <w:rFonts w:ascii="TT Norms Pro Light"/>
                <w:b w:val="0"/>
                <w:spacing w:val="-5"/>
                <w:sz w:val="14"/>
              </w:rPr>
              <w:t>0.1</w:t>
            </w:r>
          </w:p>
        </w:tc>
        <w:tc>
          <w:tcPr>
            <w:tcW w:w="2082" w:type="dxa"/>
            <w:shd w:val="clear" w:color="auto" w:fill="E6E7E8"/>
          </w:tcPr>
          <w:p>
            <w:pPr>
              <w:pStyle w:val="TableParagraph"/>
              <w:spacing w:before="68"/>
              <w:ind w:right="83"/>
              <w:jc w:val="right"/>
              <w:rPr>
                <w:rFonts w:ascii="TT Norms Pro Light"/>
                <w:b w:val="0"/>
                <w:sz w:val="14"/>
              </w:rPr>
            </w:pPr>
            <w:r>
              <w:rPr>
                <w:rFonts w:ascii="TT Norms Pro Light"/>
                <w:b w:val="0"/>
                <w:spacing w:val="-4"/>
                <w:sz w:val="14"/>
              </w:rPr>
              <w:t>13.5</w:t>
            </w:r>
          </w:p>
        </w:tc>
        <w:tc>
          <w:tcPr>
            <w:tcW w:w="1905" w:type="dxa"/>
          </w:tcPr>
          <w:p>
            <w:pPr>
              <w:pStyle w:val="TableParagraph"/>
              <w:spacing w:before="68"/>
              <w:ind w:right="83"/>
              <w:jc w:val="right"/>
              <w:rPr>
                <w:rFonts w:ascii="TT Norms Pro Light"/>
                <w:b w:val="0"/>
                <w:sz w:val="14"/>
              </w:rPr>
            </w:pPr>
            <w:r>
              <w:rPr>
                <w:rFonts w:ascii="TT Norms Pro Light"/>
                <w:b w:val="0"/>
                <w:spacing w:val="-4"/>
                <w:sz w:val="14"/>
              </w:rPr>
              <w:t>71.8</w:t>
            </w:r>
          </w:p>
        </w:tc>
        <w:tc>
          <w:tcPr>
            <w:tcW w:w="967" w:type="dxa"/>
            <w:shd w:val="clear" w:color="auto" w:fill="E6E7E8"/>
          </w:tcPr>
          <w:p>
            <w:pPr>
              <w:pStyle w:val="TableParagraph"/>
              <w:spacing w:before="68"/>
              <w:ind w:right="83"/>
              <w:jc w:val="right"/>
              <w:rPr>
                <w:rFonts w:ascii="TT Norms Pro Light"/>
                <w:b w:val="0"/>
                <w:sz w:val="14"/>
              </w:rPr>
            </w:pPr>
            <w:r>
              <w:rPr>
                <w:rFonts w:ascii="TT Norms Pro Light"/>
                <w:b w:val="0"/>
                <w:spacing w:val="-4"/>
                <w:sz w:val="14"/>
              </w:rPr>
              <w:t>85.4</w:t>
            </w:r>
          </w:p>
        </w:tc>
      </w:tr>
      <w:tr>
        <w:trPr>
          <w:trHeight w:val="282" w:hRule="atLeast"/>
        </w:trPr>
        <w:tc>
          <w:tcPr>
            <w:tcW w:w="2804" w:type="dxa"/>
            <w:shd w:val="clear" w:color="auto" w:fill="E6E7E8"/>
          </w:tcPr>
          <w:p>
            <w:pPr>
              <w:pStyle w:val="TableParagraph"/>
              <w:spacing w:before="68"/>
              <w:ind w:left="84"/>
              <w:rPr>
                <w:rFonts w:ascii="TT Norms Pro"/>
                <w:sz w:val="14"/>
              </w:rPr>
            </w:pPr>
            <w:r>
              <w:rPr>
                <w:rFonts w:ascii="TT Norms Pro"/>
                <w:spacing w:val="-2"/>
                <w:sz w:val="14"/>
              </w:rPr>
              <w:t>Science</w:t>
            </w:r>
          </w:p>
        </w:tc>
        <w:tc>
          <w:tcPr>
            <w:tcW w:w="1885" w:type="dxa"/>
          </w:tcPr>
          <w:p>
            <w:pPr>
              <w:pStyle w:val="TableParagraph"/>
              <w:spacing w:before="68"/>
              <w:ind w:right="83"/>
              <w:jc w:val="right"/>
              <w:rPr>
                <w:rFonts w:ascii="TT Norms Pro Light"/>
                <w:b w:val="0"/>
                <w:sz w:val="14"/>
              </w:rPr>
            </w:pPr>
            <w:r>
              <w:rPr>
                <w:rFonts w:ascii="TT Norms Pro Light"/>
                <w:b w:val="0"/>
                <w:spacing w:val="-2"/>
                <w:sz w:val="14"/>
              </w:rPr>
              <w:t>561.8</w:t>
            </w:r>
          </w:p>
        </w:tc>
        <w:tc>
          <w:tcPr>
            <w:tcW w:w="2082" w:type="dxa"/>
            <w:shd w:val="clear" w:color="auto" w:fill="E6E7E8"/>
          </w:tcPr>
          <w:p>
            <w:pPr>
              <w:pStyle w:val="TableParagraph"/>
              <w:spacing w:before="68"/>
              <w:ind w:right="83"/>
              <w:jc w:val="right"/>
              <w:rPr>
                <w:rFonts w:ascii="TT Norms Pro Light"/>
                <w:b w:val="0"/>
                <w:sz w:val="14"/>
              </w:rPr>
            </w:pPr>
            <w:r>
              <w:rPr>
                <w:rFonts w:ascii="TT Norms Pro Light"/>
                <w:b w:val="0"/>
                <w:spacing w:val="-2"/>
                <w:sz w:val="14"/>
              </w:rPr>
              <w:t>663.2</w:t>
            </w:r>
          </w:p>
        </w:tc>
        <w:tc>
          <w:tcPr>
            <w:tcW w:w="1905" w:type="dxa"/>
          </w:tcPr>
          <w:p>
            <w:pPr>
              <w:pStyle w:val="TableParagraph"/>
              <w:spacing w:before="68"/>
              <w:ind w:right="83"/>
              <w:jc w:val="right"/>
              <w:rPr>
                <w:rFonts w:ascii="TT Norms Pro Light"/>
                <w:b w:val="0"/>
                <w:sz w:val="14"/>
              </w:rPr>
            </w:pPr>
            <w:r>
              <w:rPr>
                <w:rFonts w:ascii="TT Norms Pro Light"/>
                <w:b w:val="0"/>
                <w:spacing w:val="-2"/>
                <w:sz w:val="14"/>
              </w:rPr>
              <w:t>2,829.6</w:t>
            </w:r>
          </w:p>
        </w:tc>
        <w:tc>
          <w:tcPr>
            <w:tcW w:w="967" w:type="dxa"/>
            <w:shd w:val="clear" w:color="auto" w:fill="E6E7E8"/>
          </w:tcPr>
          <w:p>
            <w:pPr>
              <w:pStyle w:val="TableParagraph"/>
              <w:spacing w:before="68"/>
              <w:ind w:right="83"/>
              <w:jc w:val="right"/>
              <w:rPr>
                <w:rFonts w:ascii="TT Norms Pro Light"/>
                <w:b w:val="0"/>
                <w:sz w:val="14"/>
              </w:rPr>
            </w:pPr>
            <w:r>
              <w:rPr>
                <w:rFonts w:ascii="TT Norms Pro Light"/>
                <w:b w:val="0"/>
                <w:spacing w:val="-2"/>
                <w:sz w:val="14"/>
              </w:rPr>
              <w:t>4,054.5</w:t>
            </w:r>
          </w:p>
        </w:tc>
      </w:tr>
      <w:tr>
        <w:trPr>
          <w:trHeight w:val="305" w:hRule="atLeast"/>
        </w:trPr>
        <w:tc>
          <w:tcPr>
            <w:tcW w:w="2804" w:type="dxa"/>
            <w:tcBorders>
              <w:bottom w:val="single" w:sz="4" w:space="0" w:color="000000"/>
            </w:tcBorders>
            <w:shd w:val="clear" w:color="auto" w:fill="E6E7E8"/>
          </w:tcPr>
          <w:p>
            <w:pPr>
              <w:pStyle w:val="TableParagraph"/>
              <w:spacing w:before="69"/>
              <w:ind w:left="85"/>
              <w:rPr>
                <w:rFonts w:ascii="TT Norms Pro"/>
                <w:b/>
                <w:sz w:val="14"/>
              </w:rPr>
            </w:pPr>
            <w:r>
              <w:rPr>
                <w:rFonts w:ascii="TT Norms Pro"/>
                <w:b/>
                <w:sz w:val="14"/>
              </w:rPr>
              <w:t>GRAND</w:t>
            </w:r>
            <w:r>
              <w:rPr>
                <w:rFonts w:ascii="TT Norms Pro"/>
                <w:b/>
                <w:spacing w:val="12"/>
                <w:sz w:val="14"/>
              </w:rPr>
              <w:t> </w:t>
            </w:r>
            <w:r>
              <w:rPr>
                <w:rFonts w:ascii="TT Norms Pro"/>
                <w:b/>
                <w:spacing w:val="-2"/>
                <w:sz w:val="14"/>
              </w:rPr>
              <w:t>TOTAL</w:t>
            </w:r>
          </w:p>
        </w:tc>
        <w:tc>
          <w:tcPr>
            <w:tcW w:w="1885" w:type="dxa"/>
            <w:tcBorders>
              <w:bottom w:val="single" w:sz="4" w:space="0" w:color="000000"/>
            </w:tcBorders>
          </w:tcPr>
          <w:p>
            <w:pPr>
              <w:pStyle w:val="TableParagraph"/>
              <w:spacing w:before="69"/>
              <w:ind w:right="81"/>
              <w:jc w:val="right"/>
              <w:rPr>
                <w:rFonts w:ascii="TT Norms Pro"/>
                <w:b/>
                <w:sz w:val="14"/>
              </w:rPr>
            </w:pPr>
            <w:r>
              <w:rPr>
                <w:rFonts w:ascii="TT Norms Pro"/>
                <w:b/>
                <w:spacing w:val="-2"/>
                <w:sz w:val="14"/>
              </w:rPr>
              <w:t>1,536.1</w:t>
            </w:r>
          </w:p>
        </w:tc>
        <w:tc>
          <w:tcPr>
            <w:tcW w:w="2082" w:type="dxa"/>
            <w:tcBorders>
              <w:bottom w:val="single" w:sz="4" w:space="0" w:color="000000"/>
            </w:tcBorders>
            <w:shd w:val="clear" w:color="auto" w:fill="E6E7E8"/>
          </w:tcPr>
          <w:p>
            <w:pPr>
              <w:pStyle w:val="TableParagraph"/>
              <w:spacing w:before="69"/>
              <w:ind w:right="85"/>
              <w:jc w:val="right"/>
              <w:rPr>
                <w:rFonts w:ascii="TT Norms Pro"/>
                <w:b/>
                <w:sz w:val="14"/>
              </w:rPr>
            </w:pPr>
            <w:r>
              <w:rPr>
                <w:rFonts w:ascii="TT Norms Pro"/>
                <w:b/>
                <w:spacing w:val="-2"/>
                <w:sz w:val="14"/>
              </w:rPr>
              <w:t>5,472.9</w:t>
            </w:r>
          </w:p>
        </w:tc>
        <w:tc>
          <w:tcPr>
            <w:tcW w:w="1905" w:type="dxa"/>
            <w:tcBorders>
              <w:bottom w:val="single" w:sz="4" w:space="0" w:color="000000"/>
            </w:tcBorders>
          </w:tcPr>
          <w:p>
            <w:pPr>
              <w:pStyle w:val="TableParagraph"/>
              <w:spacing w:before="69"/>
              <w:ind w:right="83"/>
              <w:jc w:val="right"/>
              <w:rPr>
                <w:rFonts w:ascii="TT Norms Pro"/>
                <w:b/>
                <w:sz w:val="14"/>
              </w:rPr>
            </w:pPr>
            <w:r>
              <w:rPr>
                <w:rFonts w:ascii="TT Norms Pro"/>
                <w:b/>
                <w:spacing w:val="-2"/>
                <w:sz w:val="14"/>
              </w:rPr>
              <w:t>11,708.2</w:t>
            </w:r>
          </w:p>
        </w:tc>
        <w:tc>
          <w:tcPr>
            <w:tcW w:w="967" w:type="dxa"/>
            <w:tcBorders>
              <w:bottom w:val="single" w:sz="4" w:space="0" w:color="000000"/>
            </w:tcBorders>
            <w:shd w:val="clear" w:color="auto" w:fill="E6E7E8"/>
          </w:tcPr>
          <w:p>
            <w:pPr>
              <w:pStyle w:val="TableParagraph"/>
              <w:spacing w:before="69"/>
              <w:ind w:right="83"/>
              <w:jc w:val="right"/>
              <w:rPr>
                <w:rFonts w:ascii="TT Norms Pro"/>
                <w:b/>
                <w:sz w:val="14"/>
              </w:rPr>
            </w:pPr>
            <w:r>
              <w:rPr>
                <w:rFonts w:ascii="TT Norms Pro"/>
                <w:b/>
                <w:spacing w:val="-2"/>
                <w:sz w:val="14"/>
              </w:rPr>
              <w:t>18,717.2</w:t>
            </w:r>
          </w:p>
        </w:tc>
      </w:tr>
    </w:tbl>
    <w:p>
      <w:pPr>
        <w:spacing w:before="101"/>
        <w:ind w:left="216" w:right="0" w:firstLine="0"/>
        <w:jc w:val="left"/>
        <w:rPr>
          <w:rFonts w:ascii="TT Norms Pro Light"/>
          <w:b w:val="0"/>
          <w:sz w:val="14"/>
        </w:rPr>
      </w:pPr>
      <w:r>
        <w:rPr>
          <w:rFonts w:ascii="TT Norms Pro Light"/>
          <w:b w:val="0"/>
          <w:position w:val="5"/>
          <w:sz w:val="8"/>
        </w:rPr>
        <w:t>1</w:t>
      </w:r>
      <w:r>
        <w:rPr>
          <w:rFonts w:ascii="TT Norms Pro Light"/>
          <w:b w:val="0"/>
          <w:spacing w:val="61"/>
          <w:position w:val="5"/>
          <w:sz w:val="8"/>
        </w:rPr>
        <w:t> </w:t>
      </w:r>
      <w:r>
        <w:rPr>
          <w:rFonts w:ascii="TT Norms Pro Light"/>
          <w:b w:val="0"/>
          <w:sz w:val="14"/>
        </w:rPr>
        <w:t>2020</w:t>
      </w:r>
      <w:r>
        <w:rPr>
          <w:rFonts w:ascii="TT Norms Pro Light"/>
          <w:b w:val="0"/>
          <w:spacing w:val="2"/>
          <w:sz w:val="14"/>
        </w:rPr>
        <w:t> </w:t>
      </w:r>
      <w:r>
        <w:rPr>
          <w:rFonts w:ascii="TT Norms Pro Light"/>
          <w:b w:val="0"/>
          <w:sz w:val="14"/>
        </w:rPr>
        <w:t>full</w:t>
      </w:r>
      <w:r>
        <w:rPr>
          <w:rFonts w:ascii="TT Norms Pro Light"/>
          <w:b w:val="0"/>
          <w:spacing w:val="2"/>
          <w:sz w:val="14"/>
        </w:rPr>
        <w:t> </w:t>
      </w:r>
      <w:r>
        <w:rPr>
          <w:rFonts w:ascii="TT Norms Pro Light"/>
          <w:b w:val="0"/>
          <w:sz w:val="14"/>
        </w:rPr>
        <w:t>year</w:t>
      </w:r>
      <w:r>
        <w:rPr>
          <w:rFonts w:ascii="TT Norms Pro Light"/>
          <w:b w:val="0"/>
          <w:spacing w:val="2"/>
          <w:sz w:val="14"/>
        </w:rPr>
        <w:t> </w:t>
      </w:r>
      <w:r>
        <w:rPr>
          <w:rFonts w:ascii="TT Norms Pro Light"/>
          <w:b w:val="0"/>
          <w:sz w:val="14"/>
        </w:rPr>
        <w:t>load</w:t>
      </w:r>
      <w:r>
        <w:rPr>
          <w:rFonts w:ascii="TT Norms Pro Light"/>
          <w:b w:val="0"/>
          <w:spacing w:val="2"/>
          <w:sz w:val="14"/>
        </w:rPr>
        <w:t> </w:t>
      </w:r>
      <w:r>
        <w:rPr>
          <w:rFonts w:ascii="TT Norms Pro Light"/>
          <w:b w:val="0"/>
          <w:sz w:val="14"/>
        </w:rPr>
        <w:t>as</w:t>
      </w:r>
      <w:r>
        <w:rPr>
          <w:rFonts w:ascii="TT Norms Pro Light"/>
          <w:b w:val="0"/>
          <w:spacing w:val="2"/>
          <w:sz w:val="14"/>
        </w:rPr>
        <w:t> </w:t>
      </w:r>
      <w:r>
        <w:rPr>
          <w:rFonts w:ascii="TT Norms Pro Light"/>
          <w:b w:val="0"/>
          <w:sz w:val="14"/>
        </w:rPr>
        <w:t>at</w:t>
      </w:r>
      <w:r>
        <w:rPr>
          <w:rFonts w:ascii="TT Norms Pro Light"/>
          <w:b w:val="0"/>
          <w:spacing w:val="2"/>
          <w:sz w:val="14"/>
        </w:rPr>
        <w:t> </w:t>
      </w:r>
      <w:r>
        <w:rPr>
          <w:rFonts w:ascii="TT Norms Pro Light"/>
          <w:b w:val="0"/>
          <w:sz w:val="14"/>
        </w:rPr>
        <w:t>31</w:t>
      </w:r>
      <w:r>
        <w:rPr>
          <w:rFonts w:ascii="TT Norms Pro Light"/>
          <w:b w:val="0"/>
          <w:spacing w:val="2"/>
          <w:sz w:val="14"/>
        </w:rPr>
        <w:t> </w:t>
      </w:r>
      <w:r>
        <w:rPr>
          <w:rFonts w:ascii="TT Norms Pro Light"/>
          <w:b w:val="0"/>
          <w:sz w:val="14"/>
        </w:rPr>
        <w:t>December</w:t>
      </w:r>
      <w:r>
        <w:rPr>
          <w:rFonts w:ascii="TT Norms Pro Light"/>
          <w:b w:val="0"/>
          <w:spacing w:val="2"/>
          <w:sz w:val="14"/>
        </w:rPr>
        <w:t> </w:t>
      </w:r>
      <w:r>
        <w:rPr>
          <w:rFonts w:ascii="TT Norms Pro Light"/>
          <w:b w:val="0"/>
          <w:spacing w:val="-4"/>
          <w:sz w:val="14"/>
        </w:rPr>
        <w:t>2020.</w:t>
      </w:r>
    </w:p>
    <w:p>
      <w:pPr>
        <w:spacing w:before="16"/>
        <w:ind w:left="216" w:right="0" w:firstLine="0"/>
        <w:jc w:val="left"/>
        <w:rPr>
          <w:rFonts w:ascii="TT Norms Pro Light"/>
          <w:b w:val="0"/>
          <w:sz w:val="14"/>
        </w:rPr>
      </w:pPr>
      <w:r>
        <w:rPr>
          <w:rFonts w:ascii="TT Norms Pro Light"/>
          <w:b w:val="0"/>
          <w:position w:val="5"/>
          <w:sz w:val="8"/>
        </w:rPr>
        <w:t>2</w:t>
      </w:r>
      <w:r>
        <w:rPr>
          <w:rFonts w:ascii="TT Norms Pro Light"/>
          <w:b w:val="0"/>
          <w:spacing w:val="49"/>
          <w:position w:val="5"/>
          <w:sz w:val="8"/>
        </w:rPr>
        <w:t> </w:t>
      </w:r>
      <w:r>
        <w:rPr>
          <w:rFonts w:ascii="TT Norms Pro Light"/>
          <w:b w:val="0"/>
          <w:sz w:val="14"/>
        </w:rPr>
        <w:t>Discrepancies</w:t>
      </w:r>
      <w:r>
        <w:rPr>
          <w:rFonts w:ascii="TT Norms Pro Light"/>
          <w:b w:val="0"/>
          <w:spacing w:val="5"/>
          <w:sz w:val="14"/>
        </w:rPr>
        <w:t> </w:t>
      </w:r>
      <w:r>
        <w:rPr>
          <w:rFonts w:ascii="TT Norms Pro Light"/>
          <w:b w:val="0"/>
          <w:sz w:val="14"/>
        </w:rPr>
        <w:t>between</w:t>
      </w:r>
      <w:r>
        <w:rPr>
          <w:rFonts w:ascii="TT Norms Pro Light"/>
          <w:b w:val="0"/>
          <w:spacing w:val="5"/>
          <w:sz w:val="14"/>
        </w:rPr>
        <w:t> </w:t>
      </w:r>
      <w:r>
        <w:rPr>
          <w:rFonts w:ascii="TT Norms Pro Light"/>
          <w:b w:val="0"/>
          <w:sz w:val="14"/>
        </w:rPr>
        <w:t>the</w:t>
      </w:r>
      <w:r>
        <w:rPr>
          <w:rFonts w:ascii="TT Norms Pro Light"/>
          <w:b w:val="0"/>
          <w:spacing w:val="6"/>
          <w:sz w:val="14"/>
        </w:rPr>
        <w:t> </w:t>
      </w:r>
      <w:r>
        <w:rPr>
          <w:rFonts w:ascii="TT Norms Pro Light"/>
          <w:b w:val="0"/>
          <w:sz w:val="14"/>
        </w:rPr>
        <w:t>sums</w:t>
      </w:r>
      <w:r>
        <w:rPr>
          <w:rFonts w:ascii="TT Norms Pro Light"/>
          <w:b w:val="0"/>
          <w:spacing w:val="5"/>
          <w:sz w:val="14"/>
        </w:rPr>
        <w:t> </w:t>
      </w:r>
      <w:r>
        <w:rPr>
          <w:rFonts w:ascii="TT Norms Pro Light"/>
          <w:b w:val="0"/>
          <w:sz w:val="14"/>
        </w:rPr>
        <w:t>of</w:t>
      </w:r>
      <w:r>
        <w:rPr>
          <w:rFonts w:ascii="TT Norms Pro Light"/>
          <w:b w:val="0"/>
          <w:spacing w:val="5"/>
          <w:sz w:val="14"/>
        </w:rPr>
        <w:t> </w:t>
      </w:r>
      <w:r>
        <w:rPr>
          <w:rFonts w:ascii="TT Norms Pro Light"/>
          <w:b w:val="0"/>
          <w:sz w:val="14"/>
        </w:rPr>
        <w:t>component</w:t>
      </w:r>
      <w:r>
        <w:rPr>
          <w:rFonts w:ascii="TT Norms Pro Light"/>
          <w:b w:val="0"/>
          <w:spacing w:val="6"/>
          <w:sz w:val="14"/>
        </w:rPr>
        <w:t> </w:t>
      </w:r>
      <w:r>
        <w:rPr>
          <w:rFonts w:ascii="TT Norms Pro Light"/>
          <w:b w:val="0"/>
          <w:sz w:val="14"/>
        </w:rPr>
        <w:t>items</w:t>
      </w:r>
      <w:r>
        <w:rPr>
          <w:rFonts w:ascii="TT Norms Pro Light"/>
          <w:b w:val="0"/>
          <w:spacing w:val="5"/>
          <w:sz w:val="14"/>
        </w:rPr>
        <w:t> </w:t>
      </w:r>
      <w:r>
        <w:rPr>
          <w:rFonts w:ascii="TT Norms Pro Light"/>
          <w:b w:val="0"/>
          <w:sz w:val="14"/>
        </w:rPr>
        <w:t>and</w:t>
      </w:r>
      <w:r>
        <w:rPr>
          <w:rFonts w:ascii="TT Norms Pro Light"/>
          <w:b w:val="0"/>
          <w:spacing w:val="5"/>
          <w:sz w:val="14"/>
        </w:rPr>
        <w:t> </w:t>
      </w:r>
      <w:r>
        <w:rPr>
          <w:rFonts w:ascii="TT Norms Pro Light"/>
          <w:b w:val="0"/>
          <w:sz w:val="14"/>
        </w:rPr>
        <w:t>totals</w:t>
      </w:r>
      <w:r>
        <w:rPr>
          <w:rFonts w:ascii="TT Norms Pro Light"/>
          <w:b w:val="0"/>
          <w:spacing w:val="6"/>
          <w:sz w:val="14"/>
        </w:rPr>
        <w:t> </w:t>
      </w:r>
      <w:r>
        <w:rPr>
          <w:rFonts w:ascii="TT Norms Pro Light"/>
          <w:b w:val="0"/>
          <w:sz w:val="14"/>
        </w:rPr>
        <w:t>are</w:t>
      </w:r>
      <w:r>
        <w:rPr>
          <w:rFonts w:ascii="TT Norms Pro Light"/>
          <w:b w:val="0"/>
          <w:spacing w:val="5"/>
          <w:sz w:val="14"/>
        </w:rPr>
        <w:t> </w:t>
      </w:r>
      <w:r>
        <w:rPr>
          <w:rFonts w:ascii="TT Norms Pro Light"/>
          <w:b w:val="0"/>
          <w:sz w:val="14"/>
        </w:rPr>
        <w:t>due</w:t>
      </w:r>
      <w:r>
        <w:rPr>
          <w:rFonts w:ascii="TT Norms Pro Light"/>
          <w:b w:val="0"/>
          <w:spacing w:val="5"/>
          <w:sz w:val="14"/>
        </w:rPr>
        <w:t> </w:t>
      </w:r>
      <w:r>
        <w:rPr>
          <w:rFonts w:ascii="TT Norms Pro Light"/>
          <w:b w:val="0"/>
          <w:sz w:val="14"/>
        </w:rPr>
        <w:t>to</w:t>
      </w:r>
      <w:r>
        <w:rPr>
          <w:rFonts w:ascii="TT Norms Pro Light"/>
          <w:b w:val="0"/>
          <w:spacing w:val="5"/>
          <w:sz w:val="14"/>
        </w:rPr>
        <w:t> </w:t>
      </w:r>
      <w:r>
        <w:rPr>
          <w:rFonts w:ascii="TT Norms Pro Light"/>
          <w:b w:val="0"/>
          <w:spacing w:val="-2"/>
          <w:sz w:val="14"/>
        </w:rPr>
        <w:t>rounding.</w:t>
      </w: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spacing w:before="117"/>
        <w:rPr>
          <w:b w:val="0"/>
          <w:sz w:val="14"/>
        </w:rPr>
      </w:pPr>
    </w:p>
    <w:p>
      <w:pPr>
        <w:spacing w:before="0"/>
        <w:ind w:left="212" w:right="0" w:firstLine="0"/>
        <w:jc w:val="left"/>
        <w:rPr>
          <w:rFonts w:ascii="TT Norms Pro Medium"/>
          <w:b/>
          <w:sz w:val="16"/>
        </w:rPr>
      </w:pPr>
      <w:r>
        <w:rPr>
          <w:rFonts w:ascii="TT Norms Pro Medium"/>
          <w:b/>
          <w:spacing w:val="-6"/>
          <w:sz w:val="16"/>
        </w:rPr>
        <w:t>FULL-YEAR</w:t>
      </w:r>
      <w:r>
        <w:rPr>
          <w:rFonts w:ascii="TT Norms Pro Medium"/>
          <w:b/>
          <w:spacing w:val="4"/>
          <w:sz w:val="16"/>
        </w:rPr>
        <w:t> </w:t>
      </w:r>
      <w:r>
        <w:rPr>
          <w:rFonts w:ascii="TT Norms Pro Medium"/>
          <w:b/>
          <w:spacing w:val="-6"/>
          <w:sz w:val="16"/>
        </w:rPr>
        <w:t>STUDENT</w:t>
      </w:r>
      <w:r>
        <w:rPr>
          <w:rFonts w:ascii="TT Norms Pro Medium"/>
          <w:b/>
          <w:spacing w:val="5"/>
          <w:sz w:val="16"/>
        </w:rPr>
        <w:t> </w:t>
      </w:r>
      <w:r>
        <w:rPr>
          <w:rFonts w:ascii="TT Norms Pro Medium"/>
          <w:b/>
          <w:spacing w:val="-6"/>
          <w:sz w:val="16"/>
        </w:rPr>
        <w:t>LOAD</w:t>
      </w:r>
      <w:r>
        <w:rPr>
          <w:rFonts w:ascii="TT Norms Pro Medium"/>
          <w:b/>
          <w:spacing w:val="4"/>
          <w:sz w:val="16"/>
        </w:rPr>
        <w:t> </w:t>
      </w:r>
      <w:r>
        <w:rPr>
          <w:rFonts w:ascii="TT Norms Pro Medium"/>
          <w:b/>
          <w:spacing w:val="-6"/>
          <w:sz w:val="16"/>
        </w:rPr>
        <w:t>BY</w:t>
      </w:r>
      <w:r>
        <w:rPr>
          <w:rFonts w:ascii="TT Norms Pro Medium"/>
          <w:b/>
          <w:spacing w:val="5"/>
          <w:sz w:val="16"/>
        </w:rPr>
        <w:t> </w:t>
      </w:r>
      <w:r>
        <w:rPr>
          <w:rFonts w:ascii="TT Norms Pro Medium"/>
          <w:b/>
          <w:spacing w:val="-6"/>
          <w:sz w:val="16"/>
        </w:rPr>
        <w:t>FACULTY,</w:t>
      </w:r>
      <w:r>
        <w:rPr>
          <w:rFonts w:ascii="TT Norms Pro Medium"/>
          <w:b/>
          <w:spacing w:val="5"/>
          <w:sz w:val="16"/>
        </w:rPr>
        <w:t> </w:t>
      </w:r>
      <w:r>
        <w:rPr>
          <w:rFonts w:ascii="TT Norms Pro Medium"/>
          <w:b/>
          <w:spacing w:val="-6"/>
          <w:sz w:val="16"/>
        </w:rPr>
        <w:t>2020</w:t>
      </w:r>
    </w:p>
    <w:p>
      <w:pPr>
        <w:pStyle w:val="BodyText"/>
        <w:spacing w:before="138"/>
        <w:rPr>
          <w:rFonts w:ascii="TT Norms Pro Medium"/>
          <w:b/>
          <w:sz w:val="14"/>
        </w:rPr>
      </w:pPr>
    </w:p>
    <w:p>
      <w:pPr>
        <w:spacing w:line="247" w:lineRule="auto" w:before="1"/>
        <w:ind w:left="4462" w:right="4357" w:firstLine="0"/>
        <w:jc w:val="left"/>
        <w:rPr>
          <w:rFonts w:ascii="TT Norms Pro Light"/>
          <w:b w:val="0"/>
          <w:sz w:val="14"/>
        </w:rPr>
      </w:pPr>
      <w:r>
        <w:rPr/>
        <mc:AlternateContent>
          <mc:Choice Requires="wps">
            <w:drawing>
              <wp:anchor distT="0" distB="0" distL="0" distR="0" allowOverlap="1" layoutInCell="1" locked="0" behindDoc="1" simplePos="0" relativeHeight="472685568">
                <wp:simplePos x="0" y="0"/>
                <wp:positionH relativeFrom="page">
                  <wp:posOffset>1014741</wp:posOffset>
                </wp:positionH>
                <wp:positionV relativeFrom="paragraph">
                  <wp:posOffset>12484</wp:posOffset>
                </wp:positionV>
                <wp:extent cx="2666365" cy="2415540"/>
                <wp:effectExtent l="0" t="0" r="0" b="0"/>
                <wp:wrapNone/>
                <wp:docPr id="524" name="Group 524"/>
                <wp:cNvGraphicFramePr>
                  <a:graphicFrameLocks/>
                </wp:cNvGraphicFramePr>
                <a:graphic>
                  <a:graphicData uri="http://schemas.microsoft.com/office/word/2010/wordprocessingGroup">
                    <wpg:wgp>
                      <wpg:cNvPr id="524" name="Group 524"/>
                      <wpg:cNvGrpSpPr/>
                      <wpg:grpSpPr>
                        <a:xfrm>
                          <a:off x="0" y="0"/>
                          <a:ext cx="2666365" cy="2415540"/>
                          <a:chExt cx="2666365" cy="2415540"/>
                        </a:xfrm>
                      </wpg:grpSpPr>
                      <wps:wsp>
                        <wps:cNvPr id="525" name="Graphic 525"/>
                        <wps:cNvSpPr/>
                        <wps:spPr>
                          <a:xfrm>
                            <a:off x="162974" y="1081354"/>
                            <a:ext cx="1081405" cy="1068070"/>
                          </a:xfrm>
                          <a:custGeom>
                            <a:avLst/>
                            <a:gdLst/>
                            <a:ahLst/>
                            <a:cxnLst/>
                            <a:rect l="l" t="t" r="r" b="b"/>
                            <a:pathLst>
                              <a:path w="1081405" h="1068070">
                                <a:moveTo>
                                  <a:pt x="1081354" y="0"/>
                                </a:moveTo>
                                <a:lnTo>
                                  <a:pt x="0" y="0"/>
                                </a:lnTo>
                                <a:lnTo>
                                  <a:pt x="1050" y="48402"/>
                                </a:lnTo>
                                <a:lnTo>
                                  <a:pt x="4174" y="96284"/>
                                </a:lnTo>
                                <a:lnTo>
                                  <a:pt x="9332" y="143600"/>
                                </a:lnTo>
                                <a:lnTo>
                                  <a:pt x="16485" y="190302"/>
                                </a:lnTo>
                                <a:lnTo>
                                  <a:pt x="25592" y="236345"/>
                                </a:lnTo>
                                <a:lnTo>
                                  <a:pt x="36614" y="281680"/>
                                </a:lnTo>
                                <a:lnTo>
                                  <a:pt x="49510" y="326263"/>
                                </a:lnTo>
                                <a:lnTo>
                                  <a:pt x="64241" y="370045"/>
                                </a:lnTo>
                                <a:lnTo>
                                  <a:pt x="80767" y="412980"/>
                                </a:lnTo>
                                <a:lnTo>
                                  <a:pt x="99048" y="455023"/>
                                </a:lnTo>
                                <a:lnTo>
                                  <a:pt x="119044" y="496125"/>
                                </a:lnTo>
                                <a:lnTo>
                                  <a:pt x="140715" y="536240"/>
                                </a:lnTo>
                                <a:lnTo>
                                  <a:pt x="164022" y="575322"/>
                                </a:lnTo>
                                <a:lnTo>
                                  <a:pt x="188924" y="613323"/>
                                </a:lnTo>
                                <a:lnTo>
                                  <a:pt x="215382" y="650198"/>
                                </a:lnTo>
                                <a:lnTo>
                                  <a:pt x="243356" y="685899"/>
                                </a:lnTo>
                                <a:lnTo>
                                  <a:pt x="272805" y="720380"/>
                                </a:lnTo>
                                <a:lnTo>
                                  <a:pt x="303691" y="753595"/>
                                </a:lnTo>
                                <a:lnTo>
                                  <a:pt x="335973" y="785496"/>
                                </a:lnTo>
                                <a:lnTo>
                                  <a:pt x="369611" y="816036"/>
                                </a:lnTo>
                                <a:lnTo>
                                  <a:pt x="404566" y="845170"/>
                                </a:lnTo>
                                <a:lnTo>
                                  <a:pt x="440797" y="872850"/>
                                </a:lnTo>
                                <a:lnTo>
                                  <a:pt x="478265" y="899030"/>
                                </a:lnTo>
                                <a:lnTo>
                                  <a:pt x="516929" y="923663"/>
                                </a:lnTo>
                                <a:lnTo>
                                  <a:pt x="556751" y="946702"/>
                                </a:lnTo>
                                <a:lnTo>
                                  <a:pt x="597690" y="968101"/>
                                </a:lnTo>
                                <a:lnTo>
                                  <a:pt x="639706" y="987813"/>
                                </a:lnTo>
                                <a:lnTo>
                                  <a:pt x="682759" y="1005791"/>
                                </a:lnTo>
                                <a:lnTo>
                                  <a:pt x="726810" y="1021989"/>
                                </a:lnTo>
                                <a:lnTo>
                                  <a:pt x="771818" y="1036360"/>
                                </a:lnTo>
                                <a:lnTo>
                                  <a:pt x="817744" y="1048857"/>
                                </a:lnTo>
                                <a:lnTo>
                                  <a:pt x="864548" y="1059434"/>
                                </a:lnTo>
                                <a:lnTo>
                                  <a:pt x="912190" y="1068044"/>
                                </a:lnTo>
                                <a:lnTo>
                                  <a:pt x="1081354" y="0"/>
                                </a:lnTo>
                                <a:close/>
                              </a:path>
                            </a:pathLst>
                          </a:custGeom>
                          <a:solidFill>
                            <a:srgbClr val="E6E7E8"/>
                          </a:solidFill>
                        </wps:spPr>
                        <wps:bodyPr wrap="square" lIns="0" tIns="0" rIns="0" bIns="0" rtlCol="0">
                          <a:prstTxWarp prst="textNoShape">
                            <a:avLst/>
                          </a:prstTxWarp>
                          <a:noAutofit/>
                        </wps:bodyPr>
                      </wps:wsp>
                      <wps:wsp>
                        <wps:cNvPr id="526" name="Graphic 526"/>
                        <wps:cNvSpPr/>
                        <wps:spPr>
                          <a:xfrm>
                            <a:off x="1075164" y="1081354"/>
                            <a:ext cx="169545" cy="1071245"/>
                          </a:xfrm>
                          <a:custGeom>
                            <a:avLst/>
                            <a:gdLst/>
                            <a:ahLst/>
                            <a:cxnLst/>
                            <a:rect l="l" t="t" r="r" b="b"/>
                            <a:pathLst>
                              <a:path w="169545" h="1071245">
                                <a:moveTo>
                                  <a:pt x="169163" y="0"/>
                                </a:moveTo>
                                <a:lnTo>
                                  <a:pt x="0" y="1068044"/>
                                </a:lnTo>
                                <a:lnTo>
                                  <a:pt x="18656" y="1070825"/>
                                </a:lnTo>
                                <a:lnTo>
                                  <a:pt x="169163" y="0"/>
                                </a:lnTo>
                                <a:close/>
                              </a:path>
                            </a:pathLst>
                          </a:custGeom>
                          <a:solidFill>
                            <a:srgbClr val="BCBEC0"/>
                          </a:solidFill>
                        </wps:spPr>
                        <wps:bodyPr wrap="square" lIns="0" tIns="0" rIns="0" bIns="0" rtlCol="0">
                          <a:prstTxWarp prst="textNoShape">
                            <a:avLst/>
                          </a:prstTxWarp>
                          <a:noAutofit/>
                        </wps:bodyPr>
                      </wps:wsp>
                      <wps:wsp>
                        <wps:cNvPr id="527" name="Graphic 527"/>
                        <wps:cNvSpPr/>
                        <wps:spPr>
                          <a:xfrm>
                            <a:off x="1093820" y="1081354"/>
                            <a:ext cx="151130" cy="1077595"/>
                          </a:xfrm>
                          <a:custGeom>
                            <a:avLst/>
                            <a:gdLst/>
                            <a:ahLst/>
                            <a:cxnLst/>
                            <a:rect l="l" t="t" r="r" b="b"/>
                            <a:pathLst>
                              <a:path w="151130" h="1077595">
                                <a:moveTo>
                                  <a:pt x="150507" y="0"/>
                                </a:moveTo>
                                <a:lnTo>
                                  <a:pt x="0" y="1070825"/>
                                </a:lnTo>
                                <a:lnTo>
                                  <a:pt x="28087" y="1074450"/>
                                </a:lnTo>
                                <a:lnTo>
                                  <a:pt x="56260" y="1077226"/>
                                </a:lnTo>
                                <a:lnTo>
                                  <a:pt x="150507" y="0"/>
                                </a:lnTo>
                                <a:close/>
                              </a:path>
                            </a:pathLst>
                          </a:custGeom>
                          <a:solidFill>
                            <a:srgbClr val="939598"/>
                          </a:solidFill>
                        </wps:spPr>
                        <wps:bodyPr wrap="square" lIns="0" tIns="0" rIns="0" bIns="0" rtlCol="0">
                          <a:prstTxWarp prst="textNoShape">
                            <a:avLst/>
                          </a:prstTxWarp>
                          <a:noAutofit/>
                        </wps:bodyPr>
                      </wps:wsp>
                      <wps:wsp>
                        <wps:cNvPr id="528" name="Graphic 528"/>
                        <wps:cNvSpPr/>
                        <wps:spPr>
                          <a:xfrm>
                            <a:off x="1150081" y="1081354"/>
                            <a:ext cx="872490" cy="1082040"/>
                          </a:xfrm>
                          <a:custGeom>
                            <a:avLst/>
                            <a:gdLst/>
                            <a:ahLst/>
                            <a:cxnLst/>
                            <a:rect l="l" t="t" r="r" b="b"/>
                            <a:pathLst>
                              <a:path w="872490" h="1082040">
                                <a:moveTo>
                                  <a:pt x="94246" y="0"/>
                                </a:moveTo>
                                <a:lnTo>
                                  <a:pt x="0" y="1077226"/>
                                </a:lnTo>
                                <a:lnTo>
                                  <a:pt x="50080" y="1080565"/>
                                </a:lnTo>
                                <a:lnTo>
                                  <a:pt x="99638" y="1081777"/>
                                </a:lnTo>
                                <a:lnTo>
                                  <a:pt x="148649" y="1080871"/>
                                </a:lnTo>
                                <a:lnTo>
                                  <a:pt x="197085" y="1077857"/>
                                </a:lnTo>
                                <a:lnTo>
                                  <a:pt x="244919" y="1072746"/>
                                </a:lnTo>
                                <a:lnTo>
                                  <a:pt x="292125" y="1065547"/>
                                </a:lnTo>
                                <a:lnTo>
                                  <a:pt x="338676" y="1056271"/>
                                </a:lnTo>
                                <a:lnTo>
                                  <a:pt x="384546" y="1044927"/>
                                </a:lnTo>
                                <a:lnTo>
                                  <a:pt x="429707" y="1031525"/>
                                </a:lnTo>
                                <a:lnTo>
                                  <a:pt x="474133" y="1016076"/>
                                </a:lnTo>
                                <a:lnTo>
                                  <a:pt x="517798" y="998589"/>
                                </a:lnTo>
                                <a:lnTo>
                                  <a:pt x="560674" y="979075"/>
                                </a:lnTo>
                                <a:lnTo>
                                  <a:pt x="602735" y="957543"/>
                                </a:lnTo>
                                <a:lnTo>
                                  <a:pt x="643954" y="934003"/>
                                </a:lnTo>
                                <a:lnTo>
                                  <a:pt x="684305" y="908466"/>
                                </a:lnTo>
                                <a:lnTo>
                                  <a:pt x="723760" y="880941"/>
                                </a:lnTo>
                                <a:lnTo>
                                  <a:pt x="762294" y="851439"/>
                                </a:lnTo>
                                <a:lnTo>
                                  <a:pt x="799879" y="819969"/>
                                </a:lnTo>
                                <a:lnTo>
                                  <a:pt x="836488" y="786541"/>
                                </a:lnTo>
                                <a:lnTo>
                                  <a:pt x="872096" y="751166"/>
                                </a:lnTo>
                                <a:lnTo>
                                  <a:pt x="94246" y="0"/>
                                </a:lnTo>
                                <a:close/>
                              </a:path>
                            </a:pathLst>
                          </a:custGeom>
                          <a:solidFill>
                            <a:srgbClr val="000000"/>
                          </a:solidFill>
                        </wps:spPr>
                        <wps:bodyPr wrap="square" lIns="0" tIns="0" rIns="0" bIns="0" rtlCol="0">
                          <a:prstTxWarp prst="textNoShape">
                            <a:avLst/>
                          </a:prstTxWarp>
                          <a:noAutofit/>
                        </wps:bodyPr>
                      </wps:wsp>
                      <wps:wsp>
                        <wps:cNvPr id="529" name="Graphic 529"/>
                        <wps:cNvSpPr/>
                        <wps:spPr>
                          <a:xfrm>
                            <a:off x="1244328" y="711517"/>
                            <a:ext cx="1085850" cy="1121410"/>
                          </a:xfrm>
                          <a:custGeom>
                            <a:avLst/>
                            <a:gdLst/>
                            <a:ahLst/>
                            <a:cxnLst/>
                            <a:rect l="l" t="t" r="r" b="b"/>
                            <a:pathLst>
                              <a:path w="1085850" h="1121410">
                                <a:moveTo>
                                  <a:pt x="1016139" y="0"/>
                                </a:moveTo>
                                <a:lnTo>
                                  <a:pt x="0" y="369836"/>
                                </a:lnTo>
                                <a:lnTo>
                                  <a:pt x="777849" y="1121003"/>
                                </a:lnTo>
                                <a:lnTo>
                                  <a:pt x="812487" y="1083601"/>
                                </a:lnTo>
                                <a:lnTo>
                                  <a:pt x="845103" y="1045245"/>
                                </a:lnTo>
                                <a:lnTo>
                                  <a:pt x="875689" y="1005977"/>
                                </a:lnTo>
                                <a:lnTo>
                                  <a:pt x="904236" y="965841"/>
                                </a:lnTo>
                                <a:lnTo>
                                  <a:pt x="930734" y="924882"/>
                                </a:lnTo>
                                <a:lnTo>
                                  <a:pt x="955174" y="883142"/>
                                </a:lnTo>
                                <a:lnTo>
                                  <a:pt x="977546" y="840666"/>
                                </a:lnTo>
                                <a:lnTo>
                                  <a:pt x="997842" y="797498"/>
                                </a:lnTo>
                                <a:lnTo>
                                  <a:pt x="1016051" y="753680"/>
                                </a:lnTo>
                                <a:lnTo>
                                  <a:pt x="1032166" y="709258"/>
                                </a:lnTo>
                                <a:lnTo>
                                  <a:pt x="1046176" y="664273"/>
                                </a:lnTo>
                                <a:lnTo>
                                  <a:pt x="1058072" y="618771"/>
                                </a:lnTo>
                                <a:lnTo>
                                  <a:pt x="1067845" y="572794"/>
                                </a:lnTo>
                                <a:lnTo>
                                  <a:pt x="1075486" y="526387"/>
                                </a:lnTo>
                                <a:lnTo>
                                  <a:pt x="1080985" y="479594"/>
                                </a:lnTo>
                                <a:lnTo>
                                  <a:pt x="1084333" y="432457"/>
                                </a:lnTo>
                                <a:lnTo>
                                  <a:pt x="1085520" y="385021"/>
                                </a:lnTo>
                                <a:lnTo>
                                  <a:pt x="1084539" y="337329"/>
                                </a:lnTo>
                                <a:lnTo>
                                  <a:pt x="1081378" y="289425"/>
                                </a:lnTo>
                                <a:lnTo>
                                  <a:pt x="1076029" y="241353"/>
                                </a:lnTo>
                                <a:lnTo>
                                  <a:pt x="1068483" y="193157"/>
                                </a:lnTo>
                                <a:lnTo>
                                  <a:pt x="1058730" y="144879"/>
                                </a:lnTo>
                                <a:lnTo>
                                  <a:pt x="1046762" y="96565"/>
                                </a:lnTo>
                                <a:lnTo>
                                  <a:pt x="1032568" y="48257"/>
                                </a:lnTo>
                                <a:lnTo>
                                  <a:pt x="1016139" y="0"/>
                                </a:lnTo>
                                <a:close/>
                              </a:path>
                            </a:pathLst>
                          </a:custGeom>
                          <a:solidFill>
                            <a:srgbClr val="DDB00A"/>
                          </a:solidFill>
                        </wps:spPr>
                        <wps:bodyPr wrap="square" lIns="0" tIns="0" rIns="0" bIns="0" rtlCol="0">
                          <a:prstTxWarp prst="textNoShape">
                            <a:avLst/>
                          </a:prstTxWarp>
                          <a:noAutofit/>
                        </wps:bodyPr>
                      </wps:wsp>
                      <wps:wsp>
                        <wps:cNvPr id="530" name="Graphic 530"/>
                        <wps:cNvSpPr/>
                        <wps:spPr>
                          <a:xfrm>
                            <a:off x="162974" y="0"/>
                            <a:ext cx="2098040" cy="1081405"/>
                          </a:xfrm>
                          <a:custGeom>
                            <a:avLst/>
                            <a:gdLst/>
                            <a:ahLst/>
                            <a:cxnLst/>
                            <a:rect l="l" t="t" r="r" b="b"/>
                            <a:pathLst>
                              <a:path w="2098040" h="1081405">
                                <a:moveTo>
                                  <a:pt x="1081354" y="0"/>
                                </a:moveTo>
                                <a:lnTo>
                                  <a:pt x="1033187" y="1053"/>
                                </a:lnTo>
                                <a:lnTo>
                                  <a:pt x="985559" y="4185"/>
                                </a:lnTo>
                                <a:lnTo>
                                  <a:pt x="938515" y="9350"/>
                                </a:lnTo>
                                <a:lnTo>
                                  <a:pt x="892098" y="16506"/>
                                </a:lnTo>
                                <a:lnTo>
                                  <a:pt x="846353" y="25608"/>
                                </a:lnTo>
                                <a:lnTo>
                                  <a:pt x="801323" y="36611"/>
                                </a:lnTo>
                                <a:lnTo>
                                  <a:pt x="757052" y="49473"/>
                                </a:lnTo>
                                <a:lnTo>
                                  <a:pt x="713584" y="64150"/>
                                </a:lnTo>
                                <a:lnTo>
                                  <a:pt x="670964" y="80596"/>
                                </a:lnTo>
                                <a:lnTo>
                                  <a:pt x="629235" y="98769"/>
                                </a:lnTo>
                                <a:lnTo>
                                  <a:pt x="588440" y="118624"/>
                                </a:lnTo>
                                <a:lnTo>
                                  <a:pt x="548625" y="140117"/>
                                </a:lnTo>
                                <a:lnTo>
                                  <a:pt x="509833" y="163205"/>
                                </a:lnTo>
                                <a:lnTo>
                                  <a:pt x="472107" y="187844"/>
                                </a:lnTo>
                                <a:lnTo>
                                  <a:pt x="435493" y="213989"/>
                                </a:lnTo>
                                <a:lnTo>
                                  <a:pt x="400033" y="241596"/>
                                </a:lnTo>
                                <a:lnTo>
                                  <a:pt x="365772" y="270622"/>
                                </a:lnTo>
                                <a:lnTo>
                                  <a:pt x="332754" y="301023"/>
                                </a:lnTo>
                                <a:lnTo>
                                  <a:pt x="301023" y="332754"/>
                                </a:lnTo>
                                <a:lnTo>
                                  <a:pt x="270622" y="365772"/>
                                </a:lnTo>
                                <a:lnTo>
                                  <a:pt x="241596" y="400033"/>
                                </a:lnTo>
                                <a:lnTo>
                                  <a:pt x="213989" y="435493"/>
                                </a:lnTo>
                                <a:lnTo>
                                  <a:pt x="187844" y="472107"/>
                                </a:lnTo>
                                <a:lnTo>
                                  <a:pt x="163205" y="509833"/>
                                </a:lnTo>
                                <a:lnTo>
                                  <a:pt x="140117" y="548625"/>
                                </a:lnTo>
                                <a:lnTo>
                                  <a:pt x="118624" y="588440"/>
                                </a:lnTo>
                                <a:lnTo>
                                  <a:pt x="98769" y="629235"/>
                                </a:lnTo>
                                <a:lnTo>
                                  <a:pt x="80596" y="670964"/>
                                </a:lnTo>
                                <a:lnTo>
                                  <a:pt x="64150" y="713584"/>
                                </a:lnTo>
                                <a:lnTo>
                                  <a:pt x="49473" y="757052"/>
                                </a:lnTo>
                                <a:lnTo>
                                  <a:pt x="36611" y="801323"/>
                                </a:lnTo>
                                <a:lnTo>
                                  <a:pt x="25608" y="846353"/>
                                </a:lnTo>
                                <a:lnTo>
                                  <a:pt x="16506" y="892098"/>
                                </a:lnTo>
                                <a:lnTo>
                                  <a:pt x="9350" y="938515"/>
                                </a:lnTo>
                                <a:lnTo>
                                  <a:pt x="4185" y="985559"/>
                                </a:lnTo>
                                <a:lnTo>
                                  <a:pt x="1053" y="1033187"/>
                                </a:lnTo>
                                <a:lnTo>
                                  <a:pt x="0" y="1081354"/>
                                </a:lnTo>
                                <a:lnTo>
                                  <a:pt x="1081354" y="1081354"/>
                                </a:lnTo>
                                <a:lnTo>
                                  <a:pt x="2097493" y="711517"/>
                                </a:lnTo>
                                <a:lnTo>
                                  <a:pt x="2079525" y="665193"/>
                                </a:lnTo>
                                <a:lnTo>
                                  <a:pt x="2059833" y="620161"/>
                                </a:lnTo>
                                <a:lnTo>
                                  <a:pt x="2038460" y="576452"/>
                                </a:lnTo>
                                <a:lnTo>
                                  <a:pt x="2015449" y="534096"/>
                                </a:lnTo>
                                <a:lnTo>
                                  <a:pt x="1990842" y="493121"/>
                                </a:lnTo>
                                <a:lnTo>
                                  <a:pt x="1964680" y="453557"/>
                                </a:lnTo>
                                <a:lnTo>
                                  <a:pt x="1937007" y="415434"/>
                                </a:lnTo>
                                <a:lnTo>
                                  <a:pt x="1907864" y="378781"/>
                                </a:lnTo>
                                <a:lnTo>
                                  <a:pt x="1877293" y="343628"/>
                                </a:lnTo>
                                <a:lnTo>
                                  <a:pt x="1845337" y="310004"/>
                                </a:lnTo>
                                <a:lnTo>
                                  <a:pt x="1812038" y="277939"/>
                                </a:lnTo>
                                <a:lnTo>
                                  <a:pt x="1777438" y="247463"/>
                                </a:lnTo>
                                <a:lnTo>
                                  <a:pt x="1741580" y="218605"/>
                                </a:lnTo>
                                <a:lnTo>
                                  <a:pt x="1704505" y="191395"/>
                                </a:lnTo>
                                <a:lnTo>
                                  <a:pt x="1666255" y="165862"/>
                                </a:lnTo>
                                <a:lnTo>
                                  <a:pt x="1626874" y="142035"/>
                                </a:lnTo>
                                <a:lnTo>
                                  <a:pt x="1586402" y="119945"/>
                                </a:lnTo>
                                <a:lnTo>
                                  <a:pt x="1544883" y="99620"/>
                                </a:lnTo>
                                <a:lnTo>
                                  <a:pt x="1502358" y="81091"/>
                                </a:lnTo>
                                <a:lnTo>
                                  <a:pt x="1458871" y="64387"/>
                                </a:lnTo>
                                <a:lnTo>
                                  <a:pt x="1414462" y="49538"/>
                                </a:lnTo>
                                <a:lnTo>
                                  <a:pt x="1369174" y="36572"/>
                                </a:lnTo>
                                <a:lnTo>
                                  <a:pt x="1323049" y="25520"/>
                                </a:lnTo>
                                <a:lnTo>
                                  <a:pt x="1276130" y="16412"/>
                                </a:lnTo>
                                <a:lnTo>
                                  <a:pt x="1228459" y="9276"/>
                                </a:lnTo>
                                <a:lnTo>
                                  <a:pt x="1180078" y="4142"/>
                                </a:lnTo>
                                <a:lnTo>
                                  <a:pt x="1131029" y="1040"/>
                                </a:lnTo>
                                <a:lnTo>
                                  <a:pt x="1081354" y="0"/>
                                </a:lnTo>
                                <a:close/>
                              </a:path>
                            </a:pathLst>
                          </a:custGeom>
                          <a:solidFill>
                            <a:srgbClr val="21409A"/>
                          </a:solidFill>
                        </wps:spPr>
                        <wps:bodyPr wrap="square" lIns="0" tIns="0" rIns="0" bIns="0" rtlCol="0">
                          <a:prstTxWarp prst="textNoShape">
                            <a:avLst/>
                          </a:prstTxWarp>
                          <a:noAutofit/>
                        </wps:bodyPr>
                      </wps:wsp>
                      <wps:wsp>
                        <wps:cNvPr id="531" name="Graphic 531"/>
                        <wps:cNvSpPr/>
                        <wps:spPr>
                          <a:xfrm>
                            <a:off x="2351695" y="147792"/>
                            <a:ext cx="13970" cy="13970"/>
                          </a:xfrm>
                          <a:custGeom>
                            <a:avLst/>
                            <a:gdLst/>
                            <a:ahLst/>
                            <a:cxnLst/>
                            <a:rect l="l" t="t" r="r" b="b"/>
                            <a:pathLst>
                              <a:path w="13970" h="13970">
                                <a:moveTo>
                                  <a:pt x="0" y="6908"/>
                                </a:moveTo>
                                <a:lnTo>
                                  <a:pt x="2023" y="2023"/>
                                </a:lnTo>
                                <a:lnTo>
                                  <a:pt x="6908" y="0"/>
                                </a:lnTo>
                                <a:lnTo>
                                  <a:pt x="11794" y="2023"/>
                                </a:lnTo>
                                <a:lnTo>
                                  <a:pt x="13817" y="6908"/>
                                </a:lnTo>
                                <a:lnTo>
                                  <a:pt x="11794" y="11794"/>
                                </a:lnTo>
                                <a:lnTo>
                                  <a:pt x="6908" y="13817"/>
                                </a:lnTo>
                                <a:lnTo>
                                  <a:pt x="2023" y="11794"/>
                                </a:lnTo>
                                <a:lnTo>
                                  <a:pt x="0" y="6908"/>
                                </a:lnTo>
                                <a:close/>
                              </a:path>
                            </a:pathLst>
                          </a:custGeom>
                          <a:solidFill>
                            <a:srgbClr val="000000"/>
                          </a:solidFill>
                        </wps:spPr>
                        <wps:bodyPr wrap="square" lIns="0" tIns="0" rIns="0" bIns="0" rtlCol="0">
                          <a:prstTxWarp prst="textNoShape">
                            <a:avLst/>
                          </a:prstTxWarp>
                          <a:noAutofit/>
                        </wps:bodyPr>
                      </wps:wsp>
                      <wps:wsp>
                        <wps:cNvPr id="532" name="Graphic 532"/>
                        <wps:cNvSpPr/>
                        <wps:spPr>
                          <a:xfrm>
                            <a:off x="2090519" y="154701"/>
                            <a:ext cx="245110" cy="111125"/>
                          </a:xfrm>
                          <a:custGeom>
                            <a:avLst/>
                            <a:gdLst/>
                            <a:ahLst/>
                            <a:cxnLst/>
                            <a:rect l="l" t="t" r="r" b="b"/>
                            <a:pathLst>
                              <a:path w="245110" h="111125">
                                <a:moveTo>
                                  <a:pt x="244856" y="0"/>
                                </a:moveTo>
                                <a:lnTo>
                                  <a:pt x="111493" y="0"/>
                                </a:lnTo>
                                <a:lnTo>
                                  <a:pt x="0" y="110655"/>
                                </a:lnTo>
                              </a:path>
                            </a:pathLst>
                          </a:custGeom>
                          <a:ln w="13817">
                            <a:solidFill>
                              <a:srgbClr val="000000"/>
                            </a:solidFill>
                            <a:prstDash val="dot"/>
                          </a:ln>
                        </wps:spPr>
                        <wps:bodyPr wrap="square" lIns="0" tIns="0" rIns="0" bIns="0" rtlCol="0">
                          <a:prstTxWarp prst="textNoShape">
                            <a:avLst/>
                          </a:prstTxWarp>
                          <a:noAutofit/>
                        </wps:bodyPr>
                      </wps:wsp>
                      <wps:wsp>
                        <wps:cNvPr id="533" name="Graphic 533"/>
                        <wps:cNvSpPr/>
                        <wps:spPr>
                          <a:xfrm>
                            <a:off x="-11" y="266632"/>
                            <a:ext cx="2089785" cy="1592580"/>
                          </a:xfrm>
                          <a:custGeom>
                            <a:avLst/>
                            <a:gdLst/>
                            <a:ahLst/>
                            <a:cxnLst/>
                            <a:rect l="l" t="t" r="r" b="b"/>
                            <a:pathLst>
                              <a:path w="2089785" h="1592580">
                                <a:moveTo>
                                  <a:pt x="13817" y="1585582"/>
                                </a:moveTo>
                                <a:lnTo>
                                  <a:pt x="11798" y="1580692"/>
                                </a:lnTo>
                                <a:lnTo>
                                  <a:pt x="6908" y="1578673"/>
                                </a:lnTo>
                                <a:lnTo>
                                  <a:pt x="2032" y="1580692"/>
                                </a:lnTo>
                                <a:lnTo>
                                  <a:pt x="0" y="1585582"/>
                                </a:lnTo>
                                <a:lnTo>
                                  <a:pt x="2032" y="1590471"/>
                                </a:lnTo>
                                <a:lnTo>
                                  <a:pt x="6908" y="1592491"/>
                                </a:lnTo>
                                <a:lnTo>
                                  <a:pt x="11798" y="1590471"/>
                                </a:lnTo>
                                <a:lnTo>
                                  <a:pt x="13817" y="1585582"/>
                                </a:lnTo>
                                <a:close/>
                              </a:path>
                              <a:path w="2089785" h="1592580">
                                <a:moveTo>
                                  <a:pt x="2089188" y="6908"/>
                                </a:moveTo>
                                <a:lnTo>
                                  <a:pt x="2087156" y="2032"/>
                                </a:lnTo>
                                <a:lnTo>
                                  <a:pt x="2082279" y="0"/>
                                </a:lnTo>
                                <a:lnTo>
                                  <a:pt x="2077389" y="2032"/>
                                </a:lnTo>
                                <a:lnTo>
                                  <a:pt x="2075370" y="6908"/>
                                </a:lnTo>
                                <a:lnTo>
                                  <a:pt x="2077389" y="11798"/>
                                </a:lnTo>
                                <a:lnTo>
                                  <a:pt x="2082279" y="13817"/>
                                </a:lnTo>
                                <a:lnTo>
                                  <a:pt x="2087156" y="11798"/>
                                </a:lnTo>
                                <a:lnTo>
                                  <a:pt x="2089188" y="6908"/>
                                </a:lnTo>
                                <a:close/>
                              </a:path>
                            </a:pathLst>
                          </a:custGeom>
                          <a:solidFill>
                            <a:srgbClr val="000000"/>
                          </a:solidFill>
                        </wps:spPr>
                        <wps:bodyPr wrap="square" lIns="0" tIns="0" rIns="0" bIns="0" rtlCol="0">
                          <a:prstTxWarp prst="textNoShape">
                            <a:avLst/>
                          </a:prstTxWarp>
                          <a:noAutofit/>
                        </wps:bodyPr>
                      </wps:wsp>
                      <wps:wsp>
                        <wps:cNvPr id="534" name="Graphic 534"/>
                        <wps:cNvSpPr/>
                        <wps:spPr>
                          <a:xfrm>
                            <a:off x="30151" y="1741554"/>
                            <a:ext cx="245110" cy="111125"/>
                          </a:xfrm>
                          <a:custGeom>
                            <a:avLst/>
                            <a:gdLst/>
                            <a:ahLst/>
                            <a:cxnLst/>
                            <a:rect l="l" t="t" r="r" b="b"/>
                            <a:pathLst>
                              <a:path w="245110" h="111125">
                                <a:moveTo>
                                  <a:pt x="0" y="110655"/>
                                </a:moveTo>
                                <a:lnTo>
                                  <a:pt x="133350" y="110655"/>
                                </a:lnTo>
                                <a:lnTo>
                                  <a:pt x="244856" y="0"/>
                                </a:lnTo>
                              </a:path>
                            </a:pathLst>
                          </a:custGeom>
                          <a:ln w="13817">
                            <a:solidFill>
                              <a:srgbClr val="000000"/>
                            </a:solidFill>
                            <a:prstDash val="dot"/>
                          </a:ln>
                        </wps:spPr>
                        <wps:bodyPr wrap="square" lIns="0" tIns="0" rIns="0" bIns="0" rtlCol="0">
                          <a:prstTxWarp prst="textNoShape">
                            <a:avLst/>
                          </a:prstTxWarp>
                          <a:noAutofit/>
                        </wps:bodyPr>
                      </wps:wsp>
                      <wps:wsp>
                        <wps:cNvPr id="535" name="Graphic 535"/>
                        <wps:cNvSpPr/>
                        <wps:spPr>
                          <a:xfrm>
                            <a:off x="276336" y="1726462"/>
                            <a:ext cx="13970" cy="13970"/>
                          </a:xfrm>
                          <a:custGeom>
                            <a:avLst/>
                            <a:gdLst/>
                            <a:ahLst/>
                            <a:cxnLst/>
                            <a:rect l="l" t="t" r="r" b="b"/>
                            <a:pathLst>
                              <a:path w="13970" h="13970">
                                <a:moveTo>
                                  <a:pt x="0" y="6908"/>
                                </a:moveTo>
                                <a:lnTo>
                                  <a:pt x="2023" y="2023"/>
                                </a:lnTo>
                                <a:lnTo>
                                  <a:pt x="6908" y="0"/>
                                </a:lnTo>
                                <a:lnTo>
                                  <a:pt x="11794" y="2023"/>
                                </a:lnTo>
                                <a:lnTo>
                                  <a:pt x="13817" y="6908"/>
                                </a:lnTo>
                                <a:lnTo>
                                  <a:pt x="11794" y="11794"/>
                                </a:lnTo>
                                <a:lnTo>
                                  <a:pt x="6908" y="13817"/>
                                </a:lnTo>
                                <a:lnTo>
                                  <a:pt x="2023" y="11794"/>
                                </a:lnTo>
                                <a:lnTo>
                                  <a:pt x="0" y="6908"/>
                                </a:lnTo>
                                <a:close/>
                              </a:path>
                            </a:pathLst>
                          </a:custGeom>
                          <a:solidFill>
                            <a:srgbClr val="000000"/>
                          </a:solidFill>
                        </wps:spPr>
                        <wps:bodyPr wrap="square" lIns="0" tIns="0" rIns="0" bIns="0" rtlCol="0">
                          <a:prstTxWarp prst="textNoShape">
                            <a:avLst/>
                          </a:prstTxWarp>
                          <a:noAutofit/>
                        </wps:bodyPr>
                      </wps:wsp>
                      <wps:wsp>
                        <wps:cNvPr id="536" name="Graphic 536"/>
                        <wps:cNvSpPr/>
                        <wps:spPr>
                          <a:xfrm>
                            <a:off x="778358" y="2299661"/>
                            <a:ext cx="13970" cy="13970"/>
                          </a:xfrm>
                          <a:custGeom>
                            <a:avLst/>
                            <a:gdLst/>
                            <a:ahLst/>
                            <a:cxnLst/>
                            <a:rect l="l" t="t" r="r" b="b"/>
                            <a:pathLst>
                              <a:path w="13970" h="13970">
                                <a:moveTo>
                                  <a:pt x="0" y="6908"/>
                                </a:moveTo>
                                <a:lnTo>
                                  <a:pt x="2023" y="2023"/>
                                </a:lnTo>
                                <a:lnTo>
                                  <a:pt x="6908" y="0"/>
                                </a:lnTo>
                                <a:lnTo>
                                  <a:pt x="11794" y="2023"/>
                                </a:lnTo>
                                <a:lnTo>
                                  <a:pt x="13817" y="6908"/>
                                </a:lnTo>
                                <a:lnTo>
                                  <a:pt x="11794" y="11794"/>
                                </a:lnTo>
                                <a:lnTo>
                                  <a:pt x="6908" y="13817"/>
                                </a:lnTo>
                                <a:lnTo>
                                  <a:pt x="2023" y="11794"/>
                                </a:lnTo>
                                <a:lnTo>
                                  <a:pt x="0" y="6908"/>
                                </a:lnTo>
                                <a:close/>
                              </a:path>
                            </a:pathLst>
                          </a:custGeom>
                          <a:solidFill>
                            <a:srgbClr val="000000"/>
                          </a:solidFill>
                        </wps:spPr>
                        <wps:bodyPr wrap="square" lIns="0" tIns="0" rIns="0" bIns="0" rtlCol="0">
                          <a:prstTxWarp prst="textNoShape">
                            <a:avLst/>
                          </a:prstTxWarp>
                          <a:noAutofit/>
                        </wps:bodyPr>
                      </wps:wsp>
                      <wps:wsp>
                        <wps:cNvPr id="537" name="Graphic 537"/>
                        <wps:cNvSpPr/>
                        <wps:spPr>
                          <a:xfrm>
                            <a:off x="808509" y="2195914"/>
                            <a:ext cx="245110" cy="111125"/>
                          </a:xfrm>
                          <a:custGeom>
                            <a:avLst/>
                            <a:gdLst/>
                            <a:ahLst/>
                            <a:cxnLst/>
                            <a:rect l="l" t="t" r="r" b="b"/>
                            <a:pathLst>
                              <a:path w="245110" h="111125">
                                <a:moveTo>
                                  <a:pt x="0" y="110655"/>
                                </a:moveTo>
                                <a:lnTo>
                                  <a:pt x="133362" y="110655"/>
                                </a:lnTo>
                                <a:lnTo>
                                  <a:pt x="244856" y="0"/>
                                </a:lnTo>
                              </a:path>
                            </a:pathLst>
                          </a:custGeom>
                          <a:ln w="13817">
                            <a:solidFill>
                              <a:srgbClr val="000000"/>
                            </a:solidFill>
                            <a:prstDash val="dot"/>
                          </a:ln>
                        </wps:spPr>
                        <wps:bodyPr wrap="square" lIns="0" tIns="0" rIns="0" bIns="0" rtlCol="0">
                          <a:prstTxWarp prst="textNoShape">
                            <a:avLst/>
                          </a:prstTxWarp>
                          <a:noAutofit/>
                        </wps:bodyPr>
                      </wps:wsp>
                      <wps:wsp>
                        <wps:cNvPr id="538" name="Graphic 538"/>
                        <wps:cNvSpPr/>
                        <wps:spPr>
                          <a:xfrm>
                            <a:off x="1054708" y="2180821"/>
                            <a:ext cx="13970" cy="13970"/>
                          </a:xfrm>
                          <a:custGeom>
                            <a:avLst/>
                            <a:gdLst/>
                            <a:ahLst/>
                            <a:cxnLst/>
                            <a:rect l="l" t="t" r="r" b="b"/>
                            <a:pathLst>
                              <a:path w="13970" h="13970">
                                <a:moveTo>
                                  <a:pt x="0" y="6908"/>
                                </a:moveTo>
                                <a:lnTo>
                                  <a:pt x="2023" y="2023"/>
                                </a:lnTo>
                                <a:lnTo>
                                  <a:pt x="6908" y="0"/>
                                </a:lnTo>
                                <a:lnTo>
                                  <a:pt x="11794" y="2023"/>
                                </a:lnTo>
                                <a:lnTo>
                                  <a:pt x="13817" y="6908"/>
                                </a:lnTo>
                                <a:lnTo>
                                  <a:pt x="11794" y="11794"/>
                                </a:lnTo>
                                <a:lnTo>
                                  <a:pt x="6908" y="13817"/>
                                </a:lnTo>
                                <a:lnTo>
                                  <a:pt x="2023" y="11794"/>
                                </a:lnTo>
                                <a:lnTo>
                                  <a:pt x="0" y="6908"/>
                                </a:lnTo>
                                <a:close/>
                              </a:path>
                            </a:pathLst>
                          </a:custGeom>
                          <a:solidFill>
                            <a:srgbClr val="000000"/>
                          </a:solidFill>
                        </wps:spPr>
                        <wps:bodyPr wrap="square" lIns="0" tIns="0" rIns="0" bIns="0" rtlCol="0">
                          <a:prstTxWarp prst="textNoShape">
                            <a:avLst/>
                          </a:prstTxWarp>
                          <a:noAutofit/>
                        </wps:bodyPr>
                      </wps:wsp>
                      <pic:pic>
                        <pic:nvPicPr>
                          <pic:cNvPr id="539" name="Image 539"/>
                          <pic:cNvPicPr/>
                        </pic:nvPicPr>
                        <pic:blipFill>
                          <a:blip r:embed="rId74" cstate="print"/>
                          <a:stretch>
                            <a:fillRect/>
                          </a:stretch>
                        </pic:blipFill>
                        <pic:spPr>
                          <a:xfrm>
                            <a:off x="1122325" y="2197601"/>
                            <a:ext cx="234777" cy="217935"/>
                          </a:xfrm>
                          <a:prstGeom prst="rect">
                            <a:avLst/>
                          </a:prstGeom>
                        </pic:spPr>
                      </pic:pic>
                      <wps:wsp>
                        <wps:cNvPr id="540" name="Graphic 540"/>
                        <wps:cNvSpPr/>
                        <wps:spPr>
                          <a:xfrm>
                            <a:off x="2276165" y="2191524"/>
                            <a:ext cx="13970" cy="13970"/>
                          </a:xfrm>
                          <a:custGeom>
                            <a:avLst/>
                            <a:gdLst/>
                            <a:ahLst/>
                            <a:cxnLst/>
                            <a:rect l="l" t="t" r="r" b="b"/>
                            <a:pathLst>
                              <a:path w="13970" h="13970">
                                <a:moveTo>
                                  <a:pt x="0" y="6908"/>
                                </a:moveTo>
                                <a:lnTo>
                                  <a:pt x="2023" y="2023"/>
                                </a:lnTo>
                                <a:lnTo>
                                  <a:pt x="6908" y="0"/>
                                </a:lnTo>
                                <a:lnTo>
                                  <a:pt x="11794" y="2023"/>
                                </a:lnTo>
                                <a:lnTo>
                                  <a:pt x="13817" y="6908"/>
                                </a:lnTo>
                                <a:lnTo>
                                  <a:pt x="11794" y="11794"/>
                                </a:lnTo>
                                <a:lnTo>
                                  <a:pt x="6908" y="13817"/>
                                </a:lnTo>
                                <a:lnTo>
                                  <a:pt x="2023" y="11794"/>
                                </a:lnTo>
                                <a:lnTo>
                                  <a:pt x="0" y="6908"/>
                                </a:lnTo>
                                <a:close/>
                              </a:path>
                            </a:pathLst>
                          </a:custGeom>
                          <a:solidFill>
                            <a:srgbClr val="000000"/>
                          </a:solidFill>
                        </wps:spPr>
                        <wps:bodyPr wrap="square" lIns="0" tIns="0" rIns="0" bIns="0" rtlCol="0">
                          <a:prstTxWarp prst="textNoShape">
                            <a:avLst/>
                          </a:prstTxWarp>
                          <a:noAutofit/>
                        </wps:bodyPr>
                      </wps:wsp>
                      <wps:wsp>
                        <wps:cNvPr id="541" name="Graphic 541"/>
                        <wps:cNvSpPr/>
                        <wps:spPr>
                          <a:xfrm>
                            <a:off x="1667761" y="2124062"/>
                            <a:ext cx="592455" cy="74930"/>
                          </a:xfrm>
                          <a:custGeom>
                            <a:avLst/>
                            <a:gdLst/>
                            <a:ahLst/>
                            <a:cxnLst/>
                            <a:rect l="l" t="t" r="r" b="b"/>
                            <a:pathLst>
                              <a:path w="592455" h="74930">
                                <a:moveTo>
                                  <a:pt x="592442" y="74371"/>
                                </a:moveTo>
                                <a:lnTo>
                                  <a:pt x="199288" y="74371"/>
                                </a:lnTo>
                                <a:lnTo>
                                  <a:pt x="0" y="0"/>
                                </a:lnTo>
                              </a:path>
                            </a:pathLst>
                          </a:custGeom>
                          <a:ln w="13817">
                            <a:solidFill>
                              <a:srgbClr val="000000"/>
                            </a:solidFill>
                            <a:prstDash val="dot"/>
                          </a:ln>
                        </wps:spPr>
                        <wps:bodyPr wrap="square" lIns="0" tIns="0" rIns="0" bIns="0" rtlCol="0">
                          <a:prstTxWarp prst="textNoShape">
                            <a:avLst/>
                          </a:prstTxWarp>
                          <a:noAutofit/>
                        </wps:bodyPr>
                      </wps:wsp>
                      <wps:wsp>
                        <wps:cNvPr id="542" name="Graphic 542"/>
                        <wps:cNvSpPr/>
                        <wps:spPr>
                          <a:xfrm>
                            <a:off x="1650137" y="1438385"/>
                            <a:ext cx="1016635" cy="688975"/>
                          </a:xfrm>
                          <a:custGeom>
                            <a:avLst/>
                            <a:gdLst/>
                            <a:ahLst/>
                            <a:cxnLst/>
                            <a:rect l="l" t="t" r="r" b="b"/>
                            <a:pathLst>
                              <a:path w="1016635" h="688975">
                                <a:moveTo>
                                  <a:pt x="13817" y="681685"/>
                                </a:moveTo>
                                <a:lnTo>
                                  <a:pt x="11798" y="676795"/>
                                </a:lnTo>
                                <a:lnTo>
                                  <a:pt x="6908" y="674776"/>
                                </a:lnTo>
                                <a:lnTo>
                                  <a:pt x="2019" y="676795"/>
                                </a:lnTo>
                                <a:lnTo>
                                  <a:pt x="0" y="681685"/>
                                </a:lnTo>
                                <a:lnTo>
                                  <a:pt x="2019" y="686574"/>
                                </a:lnTo>
                                <a:lnTo>
                                  <a:pt x="6908" y="688594"/>
                                </a:lnTo>
                                <a:lnTo>
                                  <a:pt x="11798" y="686574"/>
                                </a:lnTo>
                                <a:lnTo>
                                  <a:pt x="13817" y="681685"/>
                                </a:lnTo>
                                <a:close/>
                              </a:path>
                              <a:path w="1016635" h="688975">
                                <a:moveTo>
                                  <a:pt x="1016190" y="6908"/>
                                </a:moveTo>
                                <a:lnTo>
                                  <a:pt x="1014158" y="2019"/>
                                </a:lnTo>
                                <a:lnTo>
                                  <a:pt x="1009281" y="0"/>
                                </a:lnTo>
                                <a:lnTo>
                                  <a:pt x="1004392" y="2019"/>
                                </a:lnTo>
                                <a:lnTo>
                                  <a:pt x="1002372" y="6908"/>
                                </a:lnTo>
                                <a:lnTo>
                                  <a:pt x="1004392" y="11798"/>
                                </a:lnTo>
                                <a:lnTo>
                                  <a:pt x="1009281" y="13817"/>
                                </a:lnTo>
                                <a:lnTo>
                                  <a:pt x="1014158" y="11798"/>
                                </a:lnTo>
                                <a:lnTo>
                                  <a:pt x="1016190" y="6908"/>
                                </a:lnTo>
                                <a:close/>
                              </a:path>
                            </a:pathLst>
                          </a:custGeom>
                          <a:solidFill>
                            <a:srgbClr val="000000"/>
                          </a:solidFill>
                        </wps:spPr>
                        <wps:bodyPr wrap="square" lIns="0" tIns="0" rIns="0" bIns="0" rtlCol="0">
                          <a:prstTxWarp prst="textNoShape">
                            <a:avLst/>
                          </a:prstTxWarp>
                          <a:noAutofit/>
                        </wps:bodyPr>
                      </wps:wsp>
                      <wps:wsp>
                        <wps:cNvPr id="543" name="Graphic 543"/>
                        <wps:cNvSpPr/>
                        <wps:spPr>
                          <a:xfrm>
                            <a:off x="2368989" y="1386996"/>
                            <a:ext cx="268605" cy="58419"/>
                          </a:xfrm>
                          <a:custGeom>
                            <a:avLst/>
                            <a:gdLst/>
                            <a:ahLst/>
                            <a:cxnLst/>
                            <a:rect l="l" t="t" r="r" b="b"/>
                            <a:pathLst>
                              <a:path w="268605" h="58419">
                                <a:moveTo>
                                  <a:pt x="268084" y="58293"/>
                                </a:moveTo>
                                <a:lnTo>
                                  <a:pt x="146354" y="58293"/>
                                </a:lnTo>
                                <a:lnTo>
                                  <a:pt x="0" y="0"/>
                                </a:lnTo>
                              </a:path>
                            </a:pathLst>
                          </a:custGeom>
                          <a:ln w="13817">
                            <a:solidFill>
                              <a:srgbClr val="000000"/>
                            </a:solidFill>
                            <a:prstDash val="dot"/>
                          </a:ln>
                        </wps:spPr>
                        <wps:bodyPr wrap="square" lIns="0" tIns="0" rIns="0" bIns="0" rtlCol="0">
                          <a:prstTxWarp prst="textNoShape">
                            <a:avLst/>
                          </a:prstTxWarp>
                          <a:noAutofit/>
                        </wps:bodyPr>
                      </wps:wsp>
                      <wps:wsp>
                        <wps:cNvPr id="544" name="Graphic 544"/>
                        <wps:cNvSpPr/>
                        <wps:spPr>
                          <a:xfrm>
                            <a:off x="2351695" y="1375958"/>
                            <a:ext cx="13970" cy="13970"/>
                          </a:xfrm>
                          <a:custGeom>
                            <a:avLst/>
                            <a:gdLst/>
                            <a:ahLst/>
                            <a:cxnLst/>
                            <a:rect l="l" t="t" r="r" b="b"/>
                            <a:pathLst>
                              <a:path w="13970" h="13970">
                                <a:moveTo>
                                  <a:pt x="0" y="6908"/>
                                </a:moveTo>
                                <a:lnTo>
                                  <a:pt x="2023" y="2023"/>
                                </a:lnTo>
                                <a:lnTo>
                                  <a:pt x="6908" y="0"/>
                                </a:lnTo>
                                <a:lnTo>
                                  <a:pt x="11794" y="2023"/>
                                </a:lnTo>
                                <a:lnTo>
                                  <a:pt x="13817" y="6908"/>
                                </a:lnTo>
                                <a:lnTo>
                                  <a:pt x="11794" y="11794"/>
                                </a:lnTo>
                                <a:lnTo>
                                  <a:pt x="6908" y="13817"/>
                                </a:lnTo>
                                <a:lnTo>
                                  <a:pt x="2023" y="11794"/>
                                </a:lnTo>
                                <a:lnTo>
                                  <a:pt x="0" y="6908"/>
                                </a:lnTo>
                                <a:close/>
                              </a:path>
                            </a:pathLst>
                          </a:custGeom>
                          <a:solidFill>
                            <a:srgbClr val="000000"/>
                          </a:solidFill>
                        </wps:spPr>
                        <wps:bodyPr wrap="square" lIns="0" tIns="0" rIns="0" bIns="0" rtlCol="0">
                          <a:prstTxWarp prst="textNoShape">
                            <a:avLst/>
                          </a:prstTxWarp>
                          <a:noAutofit/>
                        </wps:bodyPr>
                      </wps:wsp>
                      <wps:wsp>
                        <wps:cNvPr id="545" name="Graphic 545"/>
                        <wps:cNvSpPr/>
                        <wps:spPr>
                          <a:xfrm>
                            <a:off x="701095" y="542734"/>
                            <a:ext cx="1077595" cy="1077595"/>
                          </a:xfrm>
                          <a:custGeom>
                            <a:avLst/>
                            <a:gdLst/>
                            <a:ahLst/>
                            <a:cxnLst/>
                            <a:rect l="l" t="t" r="r" b="b"/>
                            <a:pathLst>
                              <a:path w="1077595" h="1077595">
                                <a:moveTo>
                                  <a:pt x="538619" y="0"/>
                                </a:moveTo>
                                <a:lnTo>
                                  <a:pt x="489594" y="2201"/>
                                </a:lnTo>
                                <a:lnTo>
                                  <a:pt x="441801" y="8677"/>
                                </a:lnTo>
                                <a:lnTo>
                                  <a:pt x="395433" y="19239"/>
                                </a:lnTo>
                                <a:lnTo>
                                  <a:pt x="350677" y="33697"/>
                                </a:lnTo>
                                <a:lnTo>
                                  <a:pt x="307725" y="51859"/>
                                </a:lnTo>
                                <a:lnTo>
                                  <a:pt x="266767" y="73537"/>
                                </a:lnTo>
                                <a:lnTo>
                                  <a:pt x="227993" y="98539"/>
                                </a:lnTo>
                                <a:lnTo>
                                  <a:pt x="191593" y="126676"/>
                                </a:lnTo>
                                <a:lnTo>
                                  <a:pt x="157757" y="157757"/>
                                </a:lnTo>
                                <a:lnTo>
                                  <a:pt x="126676" y="191593"/>
                                </a:lnTo>
                                <a:lnTo>
                                  <a:pt x="98539" y="227993"/>
                                </a:lnTo>
                                <a:lnTo>
                                  <a:pt x="73537" y="266767"/>
                                </a:lnTo>
                                <a:lnTo>
                                  <a:pt x="51859" y="307725"/>
                                </a:lnTo>
                                <a:lnTo>
                                  <a:pt x="33697" y="350677"/>
                                </a:lnTo>
                                <a:lnTo>
                                  <a:pt x="19239" y="395433"/>
                                </a:lnTo>
                                <a:lnTo>
                                  <a:pt x="8677" y="441801"/>
                                </a:lnTo>
                                <a:lnTo>
                                  <a:pt x="2201" y="489594"/>
                                </a:lnTo>
                                <a:lnTo>
                                  <a:pt x="0" y="538619"/>
                                </a:lnTo>
                                <a:lnTo>
                                  <a:pt x="2201" y="587647"/>
                                </a:lnTo>
                                <a:lnTo>
                                  <a:pt x="8677" y="635441"/>
                                </a:lnTo>
                                <a:lnTo>
                                  <a:pt x="19239" y="681811"/>
                                </a:lnTo>
                                <a:lnTo>
                                  <a:pt x="33697" y="726568"/>
                                </a:lnTo>
                                <a:lnTo>
                                  <a:pt x="51859" y="769521"/>
                                </a:lnTo>
                                <a:lnTo>
                                  <a:pt x="73537" y="810480"/>
                                </a:lnTo>
                                <a:lnTo>
                                  <a:pt x="98539" y="849255"/>
                                </a:lnTo>
                                <a:lnTo>
                                  <a:pt x="126676" y="885656"/>
                                </a:lnTo>
                                <a:lnTo>
                                  <a:pt x="157757" y="919492"/>
                                </a:lnTo>
                                <a:lnTo>
                                  <a:pt x="191593" y="950574"/>
                                </a:lnTo>
                                <a:lnTo>
                                  <a:pt x="227993" y="978711"/>
                                </a:lnTo>
                                <a:lnTo>
                                  <a:pt x="266767" y="1003714"/>
                                </a:lnTo>
                                <a:lnTo>
                                  <a:pt x="307725" y="1025392"/>
                                </a:lnTo>
                                <a:lnTo>
                                  <a:pt x="350677" y="1043554"/>
                                </a:lnTo>
                                <a:lnTo>
                                  <a:pt x="395433" y="1058012"/>
                                </a:lnTo>
                                <a:lnTo>
                                  <a:pt x="441801" y="1068574"/>
                                </a:lnTo>
                                <a:lnTo>
                                  <a:pt x="489594" y="1075050"/>
                                </a:lnTo>
                                <a:lnTo>
                                  <a:pt x="538619" y="1077252"/>
                                </a:lnTo>
                                <a:lnTo>
                                  <a:pt x="587647" y="1075050"/>
                                </a:lnTo>
                                <a:lnTo>
                                  <a:pt x="635441" y="1068574"/>
                                </a:lnTo>
                                <a:lnTo>
                                  <a:pt x="681811" y="1058012"/>
                                </a:lnTo>
                                <a:lnTo>
                                  <a:pt x="726568" y="1043554"/>
                                </a:lnTo>
                                <a:lnTo>
                                  <a:pt x="769521" y="1025392"/>
                                </a:lnTo>
                                <a:lnTo>
                                  <a:pt x="810480" y="1003714"/>
                                </a:lnTo>
                                <a:lnTo>
                                  <a:pt x="849255" y="978711"/>
                                </a:lnTo>
                                <a:lnTo>
                                  <a:pt x="885656" y="950574"/>
                                </a:lnTo>
                                <a:lnTo>
                                  <a:pt x="919492" y="919492"/>
                                </a:lnTo>
                                <a:lnTo>
                                  <a:pt x="950574" y="885656"/>
                                </a:lnTo>
                                <a:lnTo>
                                  <a:pt x="978711" y="849255"/>
                                </a:lnTo>
                                <a:lnTo>
                                  <a:pt x="1003714" y="810480"/>
                                </a:lnTo>
                                <a:lnTo>
                                  <a:pt x="1025392" y="769521"/>
                                </a:lnTo>
                                <a:lnTo>
                                  <a:pt x="1043554" y="726568"/>
                                </a:lnTo>
                                <a:lnTo>
                                  <a:pt x="1058012" y="681811"/>
                                </a:lnTo>
                                <a:lnTo>
                                  <a:pt x="1068574" y="635441"/>
                                </a:lnTo>
                                <a:lnTo>
                                  <a:pt x="1075050" y="587647"/>
                                </a:lnTo>
                                <a:lnTo>
                                  <a:pt x="1077252" y="538619"/>
                                </a:lnTo>
                                <a:lnTo>
                                  <a:pt x="1075050" y="489594"/>
                                </a:lnTo>
                                <a:lnTo>
                                  <a:pt x="1068574" y="441801"/>
                                </a:lnTo>
                                <a:lnTo>
                                  <a:pt x="1058012" y="395433"/>
                                </a:lnTo>
                                <a:lnTo>
                                  <a:pt x="1043554" y="350677"/>
                                </a:lnTo>
                                <a:lnTo>
                                  <a:pt x="1025392" y="307725"/>
                                </a:lnTo>
                                <a:lnTo>
                                  <a:pt x="1003714" y="266767"/>
                                </a:lnTo>
                                <a:lnTo>
                                  <a:pt x="978711" y="227993"/>
                                </a:lnTo>
                                <a:lnTo>
                                  <a:pt x="950574" y="191593"/>
                                </a:lnTo>
                                <a:lnTo>
                                  <a:pt x="919492" y="157757"/>
                                </a:lnTo>
                                <a:lnTo>
                                  <a:pt x="885656" y="126676"/>
                                </a:lnTo>
                                <a:lnTo>
                                  <a:pt x="849255" y="98539"/>
                                </a:lnTo>
                                <a:lnTo>
                                  <a:pt x="810480" y="73537"/>
                                </a:lnTo>
                                <a:lnTo>
                                  <a:pt x="769521" y="51859"/>
                                </a:lnTo>
                                <a:lnTo>
                                  <a:pt x="726568" y="33697"/>
                                </a:lnTo>
                                <a:lnTo>
                                  <a:pt x="681811" y="19239"/>
                                </a:lnTo>
                                <a:lnTo>
                                  <a:pt x="635441" y="8677"/>
                                </a:lnTo>
                                <a:lnTo>
                                  <a:pt x="587647" y="2201"/>
                                </a:lnTo>
                                <a:lnTo>
                                  <a:pt x="538619"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79.900902pt;margin-top:.983pt;width:209.95pt;height:190.2pt;mso-position-horizontal-relative:page;mso-position-vertical-relative:paragraph;z-index:-30630912" id="docshapegroup347" coordorigin="1598,20" coordsize="4199,3804">
                <v:shape style="position:absolute;left:1854;top:1722;width:1703;height:1682" id="docshape348" coordorigin="1855,1723" coordsize="1703,1682" path="m3558,1723l1855,1723,1856,1799,1861,1874,1869,1949,1881,2022,1895,2095,1912,2166,1933,2236,1956,2305,1982,2373,2011,2439,2042,2504,2076,2567,2113,2629,2152,2688,2194,2747,2238,2803,2284,2857,2333,2909,2384,2960,2437,3008,2492,3054,2549,3097,2608,3138,2669,3177,2731,3213,2796,3247,2862,3278,2930,3307,2999,3332,3070,3355,3142,3374,3216,3391,3291,3405,3558,1723xe" filled="true" fillcolor="#e6e7e8" stroked="false">
                  <v:path arrowok="t"/>
                  <v:fill type="solid"/>
                </v:shape>
                <v:shape style="position:absolute;left:3291;top:1722;width:267;height:1687" id="docshape349" coordorigin="3291,1723" coordsize="267,1687" path="m3558,1723l3291,3405,3321,3409,3558,1723xe" filled="true" fillcolor="#bcbec0" stroked="false">
                  <v:path arrowok="t"/>
                  <v:fill type="solid"/>
                </v:shape>
                <v:shape style="position:absolute;left:3320;top:1722;width:238;height:1697" id="docshape350" coordorigin="3321,1723" coordsize="238,1697" path="m3558,1723l3321,3409,3365,3415,3409,3419,3558,1723xe" filled="true" fillcolor="#939598" stroked="false">
                  <v:path arrowok="t"/>
                  <v:fill type="solid"/>
                </v:shape>
                <v:shape style="position:absolute;left:3409;top:1722;width:1374;height:1704" id="docshape351" coordorigin="3409,1723" coordsize="1374,1704" path="m3558,1723l3409,3419,3488,3424,3566,3426,3643,3425,3720,3420,3795,3412,3869,3401,3943,3386,4015,3368,4086,3347,4156,3323,4225,3295,4292,3264,4358,3231,4423,3193,4487,3153,4549,3110,4610,3063,4669,3014,4726,2961,4783,2906,3558,1723xe" filled="true" fillcolor="#000000" stroked="false">
                  <v:path arrowok="t"/>
                  <v:fill type="solid"/>
                </v:shape>
                <v:shape style="position:absolute;left:3557;top:1140;width:1710;height:1766" id="docshape352" coordorigin="3558,1140" coordsize="1710,1766" path="m5158,1140l3558,1723,4783,2906,4837,2847,4888,2786,4937,2724,4982,2661,5023,2597,5062,2531,5097,2464,5129,2396,5158,2327,5183,2257,5205,2186,5224,2115,5239,2042,5251,1969,5260,1895,5265,1821,5267,1746,5266,1671,5261,1596,5252,1520,5240,1444,5225,1368,5206,1292,5184,1216,5158,1140xe" filled="true" fillcolor="#ddb00a" stroked="false">
                  <v:path arrowok="t"/>
                  <v:fill type="solid"/>
                </v:shape>
                <v:shape style="position:absolute;left:1854;top:19;width:3304;height:1703" id="docshape353" coordorigin="1855,20" coordsize="3304,1703" path="m3558,20l3482,21,3407,26,3333,34,3260,46,3188,60,3117,77,3047,98,2978,121,2911,147,2846,175,2781,206,2719,240,2658,277,2598,315,2540,357,2485,400,2431,446,2379,494,2329,544,2281,596,2235,650,2192,705,2150,763,2112,823,2075,884,2041,946,2010,1011,1982,1076,1956,1143,1933,1212,1912,1282,1895,1353,1881,1425,1869,1498,1861,1572,1856,1647,1855,1723,3558,1723,5158,1140,5130,1067,5099,996,5065,927,5029,861,4990,796,4949,734,4905,674,4859,616,4811,561,4761,508,4708,457,4654,409,4597,364,4539,321,4479,281,4417,243,4353,209,4288,177,4221,147,4152,121,4082,98,4011,77,3938,60,3864,46,3789,34,3713,26,3636,21,3558,20xe" filled="true" fillcolor="#21409a" stroked="false">
                  <v:path arrowok="t"/>
                  <v:fill type="solid"/>
                </v:shape>
                <v:shape style="position:absolute;left:5301;top:252;width:22;height:22" id="docshape354" coordorigin="5301,252" coordsize="22,22" path="m5301,263l5305,256,5312,252,5320,256,5323,263,5320,271,5312,274,5305,271,5301,263xe" filled="true" fillcolor="#000000" stroked="false">
                  <v:path arrowok="t"/>
                  <v:fill type="solid"/>
                </v:shape>
                <v:shape style="position:absolute;left:4890;top:263;width:386;height:175" id="docshape355" coordorigin="4890,263" coordsize="386,175" path="m5276,263l5066,263,4890,438e" filled="false" stroked="true" strokeweight="1.088pt" strokecolor="#000000">
                  <v:path arrowok="t"/>
                  <v:stroke dashstyle="dot"/>
                </v:shape>
                <v:shape style="position:absolute;left:1598;top:439;width:3291;height:2508" id="docshape356" coordorigin="1598,440" coordsize="3291,2508" path="m1620,2937l1617,2929,1609,2926,1601,2929,1598,2937,1601,2944,1609,2947,1617,2944,1620,2937xm4888,450l4885,443,4877,440,4869,443,4866,450,4869,458,4877,461,4885,458,4888,450xe" filled="true" fillcolor="#000000" stroked="false">
                  <v:path arrowok="t"/>
                  <v:fill type="solid"/>
                </v:shape>
                <v:shape style="position:absolute;left:1645;top:2762;width:386;height:175" id="docshape357" coordorigin="1646,2762" coordsize="386,175" path="m1646,2937l1856,2937,2031,2762e" filled="false" stroked="true" strokeweight="1.088pt" strokecolor="#000000">
                  <v:path arrowok="t"/>
                  <v:stroke dashstyle="dot"/>
                </v:shape>
                <v:shape style="position:absolute;left:2033;top:2738;width:22;height:22" id="docshape358" coordorigin="2033,2738" coordsize="22,22" path="m2033,2749l2036,2742,2044,2738,2052,2742,2055,2749,2052,2757,2044,2760,2036,2757,2033,2749xe" filled="true" fillcolor="#000000" stroked="false">
                  <v:path arrowok="t"/>
                  <v:fill type="solid"/>
                </v:shape>
                <v:shape style="position:absolute;left:2823;top:3641;width:22;height:22" id="docshape359" coordorigin="2824,3641" coordsize="22,22" path="m2824,3652l2827,3644,2835,3641,2842,3644,2846,3652,2842,3660,2835,3663,2827,3660,2824,3652xe" filled="true" fillcolor="#000000" stroked="false">
                  <v:path arrowok="t"/>
                  <v:fill type="solid"/>
                </v:shape>
                <v:shape style="position:absolute;left:2871;top:3477;width:386;height:175" id="docshape360" coordorigin="2871,3478" coordsize="386,175" path="m2871,3652l3081,3652,3257,3478e" filled="false" stroked="true" strokeweight="1.088pt" strokecolor="#000000">
                  <v:path arrowok="t"/>
                  <v:stroke dashstyle="dot"/>
                </v:shape>
                <v:shape style="position:absolute;left:3258;top:3454;width:22;height:22" id="docshape361" coordorigin="3259,3454" coordsize="22,22" path="m3259,3465l3262,3457,3270,3454,3278,3457,3281,3465,3278,3473,3270,3476,3262,3473,3259,3465xe" filled="true" fillcolor="#000000" stroked="false">
                  <v:path arrowok="t"/>
                  <v:fill type="solid"/>
                </v:shape>
                <v:shape style="position:absolute;left:3365;top:3480;width:370;height:344" type="#_x0000_t75" id="docshape362" stroked="false">
                  <v:imagedata r:id="rId74" o:title=""/>
                </v:shape>
                <v:shape style="position:absolute;left:5182;top:3470;width:22;height:22" id="docshape363" coordorigin="5183,3471" coordsize="22,22" path="m5183,3482l5186,3474,5193,3471,5201,3474,5204,3482,5201,3489,5193,3493,5186,3489,5183,3482xe" filled="true" fillcolor="#000000" stroked="false">
                  <v:path arrowok="t"/>
                  <v:fill type="solid"/>
                </v:shape>
                <v:shape style="position:absolute;left:4224;top:3364;width:933;height:118" id="docshape364" coordorigin="4224,3365" coordsize="933,118" path="m5157,3482l4538,3482,4224,3365e" filled="false" stroked="true" strokeweight="1.088pt" strokecolor="#000000">
                  <v:path arrowok="t"/>
                  <v:stroke dashstyle="dot"/>
                </v:shape>
                <v:shape style="position:absolute;left:4196;top:2284;width:1601;height:1085" id="docshape365" coordorigin="4197,2285" coordsize="1601,1085" path="m4218,3358l4215,3351,4208,3347,4200,3351,4197,3358,4200,3366,4208,3369,4215,3366,4218,3358xm5797,2296l5794,2288,5786,2285,5778,2288,5775,2296,5778,2303,5786,2307,5794,2303,5797,2296xe" filled="true" fillcolor="#000000" stroked="false">
                  <v:path arrowok="t"/>
                  <v:fill type="solid"/>
                </v:shape>
                <v:shape style="position:absolute;left:5328;top:2203;width:423;height:92" id="docshape366" coordorigin="5329,2204" coordsize="423,92" path="m5751,2296l5559,2296,5329,2204e" filled="false" stroked="true" strokeweight="1.088pt" strokecolor="#000000">
                  <v:path arrowok="t"/>
                  <v:stroke dashstyle="dot"/>
                </v:shape>
                <v:shape style="position:absolute;left:5301;top:2186;width:22;height:22" id="docshape367" coordorigin="5301,2187" coordsize="22,22" path="m5301,2197l5305,2190,5312,2187,5320,2190,5323,2197,5320,2205,5312,2208,5305,2205,5301,2197xe" filled="true" fillcolor="#000000" stroked="false">
                  <v:path arrowok="t"/>
                  <v:fill type="solid"/>
                </v:shape>
                <v:shape style="position:absolute;left:2702;top:874;width:1697;height:1697" id="docshape368" coordorigin="2702,874" coordsize="1697,1697" path="m3550,874l3473,878,3398,888,3325,905,3254,927,3187,956,3122,990,3061,1030,3004,1074,2951,1123,2902,1176,2857,1233,2818,1294,2784,1359,2755,1427,2732,1497,2716,1570,2706,1645,2702,1723,2706,1800,2716,1875,2732,1948,2755,2019,2784,2086,2818,2151,2857,2212,2902,2269,2951,2322,3004,2371,3061,2416,3122,2455,3187,2489,3254,2518,3325,2541,3398,2557,3473,2567,3550,2571,3628,2567,3703,2557,3776,2541,3846,2518,3914,2489,3978,2455,4040,2416,4097,2371,4150,2322,4199,2269,4243,2212,4283,2151,4317,2086,4345,2019,4368,1948,4385,1875,4395,1800,4399,1723,4395,1645,4385,1570,4368,1497,4345,1427,4317,1359,4283,1294,4243,1233,4199,1176,4150,1123,4097,1074,4040,1030,3978,990,3914,956,3846,927,3776,905,3703,888,3628,878,3550,874xe" filled="true" fillcolor="#ffffff" stroked="false">
                  <v:path arrowok="t"/>
                  <v:fill type="solid"/>
                </v:shape>
                <w10:wrap type="none"/>
              </v:group>
            </w:pict>
          </mc:Fallback>
        </mc:AlternateContent>
      </w:r>
      <w:r>
        <w:rPr>
          <w:rFonts w:ascii="TT Norms Pro Light"/>
          <w:b w:val="0"/>
          <w:sz w:val="14"/>
        </w:rPr>
        <w:t>Arts,</w:t>
      </w:r>
      <w:r>
        <w:rPr>
          <w:rFonts w:ascii="TT Norms Pro Light"/>
          <w:b w:val="0"/>
          <w:spacing w:val="-9"/>
          <w:sz w:val="14"/>
        </w:rPr>
        <w:t> </w:t>
      </w:r>
      <w:r>
        <w:rPr>
          <w:rFonts w:ascii="TT Norms Pro Light"/>
          <w:b w:val="0"/>
          <w:sz w:val="14"/>
        </w:rPr>
        <w:t>Business,</w:t>
      </w:r>
      <w:r>
        <w:rPr>
          <w:rFonts w:ascii="TT Norms Pro Light"/>
          <w:b w:val="0"/>
          <w:spacing w:val="-7"/>
          <w:sz w:val="14"/>
        </w:rPr>
        <w:t> </w:t>
      </w:r>
      <w:r>
        <w:rPr>
          <w:rFonts w:ascii="TT Norms Pro Light"/>
          <w:b w:val="0"/>
          <w:sz w:val="14"/>
        </w:rPr>
        <w:t>Law</w:t>
      </w:r>
      <w:r>
        <w:rPr>
          <w:rFonts w:ascii="TT Norms Pro Light"/>
          <w:b w:val="0"/>
          <w:spacing w:val="-7"/>
          <w:sz w:val="14"/>
        </w:rPr>
        <w:t> </w:t>
      </w:r>
      <w:r>
        <w:rPr>
          <w:rFonts w:ascii="TT Norms Pro Light"/>
          <w:b w:val="0"/>
          <w:sz w:val="14"/>
        </w:rPr>
        <w:t>and</w:t>
      </w:r>
      <w:r>
        <w:rPr>
          <w:rFonts w:ascii="TT Norms Pro Light"/>
          <w:b w:val="0"/>
          <w:spacing w:val="-7"/>
          <w:sz w:val="14"/>
        </w:rPr>
        <w:t> </w:t>
      </w:r>
      <w:r>
        <w:rPr>
          <w:rFonts w:ascii="TT Norms Pro Light"/>
          <w:b w:val="0"/>
          <w:sz w:val="14"/>
        </w:rPr>
        <w:t>Education</w:t>
      </w:r>
      <w:r>
        <w:rPr>
          <w:rFonts w:ascii="TT Norms Pro Light"/>
          <w:b w:val="0"/>
          <w:spacing w:val="40"/>
          <w:sz w:val="14"/>
        </w:rPr>
        <w:t> </w:t>
      </w:r>
      <w:r>
        <w:rPr>
          <w:rFonts w:ascii="TT Norms Pro Light"/>
          <w:b w:val="0"/>
          <w:spacing w:val="-2"/>
          <w:sz w:val="14"/>
        </w:rPr>
        <w:t>44.1%</w:t>
      </w: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spacing w:before="58"/>
        <w:rPr>
          <w:b w:val="0"/>
          <w:sz w:val="14"/>
        </w:rPr>
      </w:pPr>
    </w:p>
    <w:p>
      <w:pPr>
        <w:spacing w:line="247" w:lineRule="auto" w:before="0"/>
        <w:ind w:left="4937" w:right="4357" w:firstLine="0"/>
        <w:jc w:val="left"/>
        <w:rPr>
          <w:rFonts w:ascii="TT Norms Pro Light"/>
          <w:b w:val="0"/>
          <w:sz w:val="14"/>
        </w:rPr>
      </w:pPr>
      <w:r>
        <w:rPr>
          <w:rFonts w:ascii="TT Norms Pro Light"/>
          <w:b w:val="0"/>
          <w:sz w:val="14"/>
        </w:rPr>
        <w:t>Engineering</w:t>
      </w:r>
      <w:r>
        <w:rPr>
          <w:rFonts w:ascii="TT Norms Pro Light"/>
          <w:b w:val="0"/>
          <w:spacing w:val="-7"/>
          <w:sz w:val="14"/>
        </w:rPr>
        <w:t> </w:t>
      </w:r>
      <w:r>
        <w:rPr>
          <w:rFonts w:ascii="TT Norms Pro Light"/>
          <w:b w:val="0"/>
          <w:sz w:val="14"/>
        </w:rPr>
        <w:t>and</w:t>
      </w:r>
      <w:r>
        <w:rPr>
          <w:rFonts w:ascii="TT Norms Pro Light"/>
          <w:b w:val="0"/>
          <w:spacing w:val="40"/>
          <w:sz w:val="14"/>
        </w:rPr>
        <w:t> </w:t>
      </w:r>
      <w:r>
        <w:rPr>
          <w:rFonts w:ascii="TT Norms Pro Light"/>
          <w:b w:val="0"/>
          <w:spacing w:val="-2"/>
          <w:sz w:val="14"/>
        </w:rPr>
        <w:t>Mathematical</w:t>
      </w:r>
      <w:r>
        <w:rPr>
          <w:rFonts w:ascii="TT Norms Pro Light"/>
          <w:b w:val="0"/>
          <w:spacing w:val="-5"/>
          <w:sz w:val="14"/>
        </w:rPr>
        <w:t> </w:t>
      </w:r>
      <w:r>
        <w:rPr>
          <w:rFonts w:ascii="TT Norms Pro Light"/>
          <w:b w:val="0"/>
          <w:spacing w:val="-2"/>
          <w:sz w:val="14"/>
        </w:rPr>
        <w:t>Sciences</w:t>
      </w:r>
      <w:r>
        <w:rPr>
          <w:rFonts w:ascii="TT Norms Pro Light"/>
          <w:b w:val="0"/>
          <w:spacing w:val="40"/>
          <w:sz w:val="14"/>
        </w:rPr>
        <w:t> </w:t>
      </w:r>
      <w:r>
        <w:rPr>
          <w:rFonts w:ascii="TT Norms Pro Light"/>
          <w:b w:val="0"/>
          <w:spacing w:val="-2"/>
          <w:sz w:val="14"/>
        </w:rPr>
        <w:t>18.9%</w:t>
      </w:r>
    </w:p>
    <w:p>
      <w:pPr>
        <w:pStyle w:val="BodyText"/>
        <w:spacing w:before="134"/>
        <w:rPr>
          <w:b w:val="0"/>
          <w:sz w:val="14"/>
        </w:rPr>
      </w:pPr>
    </w:p>
    <w:p>
      <w:pPr>
        <w:spacing w:line="247" w:lineRule="auto" w:before="0"/>
        <w:ind w:left="202" w:right="10019" w:firstLine="0"/>
        <w:jc w:val="left"/>
        <w:rPr>
          <w:rFonts w:ascii="TT Norms Pro Light"/>
          <w:b w:val="0"/>
          <w:sz w:val="14"/>
        </w:rPr>
      </w:pPr>
      <w:r>
        <w:rPr>
          <w:rFonts w:ascii="TT Norms Pro Light"/>
          <w:b w:val="0"/>
          <w:spacing w:val="-2"/>
          <w:sz w:val="14"/>
        </w:rPr>
        <w:t>Science</w:t>
      </w:r>
      <w:r>
        <w:rPr>
          <w:rFonts w:ascii="TT Norms Pro Light"/>
          <w:b w:val="0"/>
          <w:spacing w:val="40"/>
          <w:sz w:val="14"/>
        </w:rPr>
        <w:t> </w:t>
      </w:r>
      <w:r>
        <w:rPr>
          <w:rFonts w:ascii="TT Norms Pro Light"/>
          <w:b w:val="0"/>
          <w:spacing w:val="-2"/>
          <w:sz w:val="14"/>
        </w:rPr>
        <w:t>21.7%</w:t>
      </w:r>
    </w:p>
    <w:p>
      <w:pPr>
        <w:spacing w:after="0" w:line="247" w:lineRule="auto"/>
        <w:jc w:val="left"/>
        <w:rPr>
          <w:rFonts w:ascii="TT Norms Pro Light"/>
          <w:sz w:val="14"/>
        </w:rPr>
        <w:sectPr>
          <w:type w:val="continuous"/>
          <w:pgSz w:w="11910" w:h="16840"/>
          <w:pgMar w:header="468" w:footer="0" w:top="980" w:bottom="280" w:left="920" w:right="0"/>
        </w:sectPr>
      </w:pPr>
    </w:p>
    <w:p>
      <w:pPr>
        <w:pStyle w:val="BodyText"/>
        <w:rPr>
          <w:b w:val="0"/>
          <w:sz w:val="14"/>
        </w:rPr>
      </w:pPr>
    </w:p>
    <w:p>
      <w:pPr>
        <w:pStyle w:val="BodyText"/>
        <w:spacing w:before="55"/>
        <w:rPr>
          <w:b w:val="0"/>
          <w:sz w:val="14"/>
        </w:rPr>
      </w:pPr>
    </w:p>
    <w:p>
      <w:pPr>
        <w:spacing w:line="161" w:lineRule="exact" w:before="0"/>
        <w:ind w:left="1244" w:right="0" w:firstLine="0"/>
        <w:jc w:val="left"/>
        <w:rPr>
          <w:rFonts w:ascii="TT Norms Pro Light"/>
          <w:b w:val="0"/>
          <w:sz w:val="14"/>
        </w:rPr>
      </w:pPr>
      <w:r>
        <w:rPr>
          <w:rFonts w:ascii="TT Norms Pro Light"/>
          <w:b w:val="0"/>
          <w:sz w:val="14"/>
        </w:rPr>
        <w:t>No </w:t>
      </w:r>
      <w:r>
        <w:rPr>
          <w:rFonts w:ascii="TT Norms Pro Light"/>
          <w:b w:val="0"/>
          <w:spacing w:val="-2"/>
          <w:sz w:val="14"/>
        </w:rPr>
        <w:t>Faculty</w:t>
      </w:r>
    </w:p>
    <w:p>
      <w:pPr>
        <w:tabs>
          <w:tab w:pos="2865" w:val="left" w:leader="none"/>
        </w:tabs>
        <w:spacing w:line="170" w:lineRule="exact" w:before="0"/>
        <w:ind w:left="1244" w:right="0" w:firstLine="0"/>
        <w:jc w:val="left"/>
        <w:rPr>
          <w:rFonts w:ascii="TT Norms Pro Light"/>
          <w:b w:val="0"/>
          <w:sz w:val="14"/>
        </w:rPr>
      </w:pPr>
      <w:r>
        <w:rPr>
          <w:rFonts w:ascii="TT Norms Pro Light"/>
          <w:b w:val="0"/>
          <w:spacing w:val="-4"/>
          <w:sz w:val="14"/>
        </w:rPr>
        <w:t>0.5%</w:t>
      </w:r>
      <w:r>
        <w:rPr>
          <w:rFonts w:ascii="TT Norms Pro Light"/>
          <w:b w:val="0"/>
          <w:sz w:val="14"/>
        </w:rPr>
        <w:tab/>
      </w:r>
      <w:r>
        <w:rPr>
          <w:rFonts w:ascii="TT Norms Pro Light"/>
          <w:b w:val="0"/>
          <w:position w:val="1"/>
          <w:sz w:val="14"/>
        </w:rPr>
        <w:t>Indigenous </w:t>
      </w:r>
      <w:r>
        <w:rPr>
          <w:rFonts w:ascii="TT Norms Pro Light"/>
          <w:b w:val="0"/>
          <w:spacing w:val="-2"/>
          <w:position w:val="1"/>
          <w:sz w:val="14"/>
        </w:rPr>
        <w:t>Studies</w:t>
      </w:r>
    </w:p>
    <w:p>
      <w:pPr>
        <w:spacing w:line="163" w:lineRule="exact" w:before="0"/>
        <w:ind w:left="2865" w:right="0" w:firstLine="0"/>
        <w:jc w:val="left"/>
        <w:rPr>
          <w:rFonts w:ascii="TT Norms Pro Light"/>
          <w:b w:val="0"/>
          <w:sz w:val="14"/>
        </w:rPr>
      </w:pPr>
      <w:r>
        <w:rPr>
          <w:rFonts w:ascii="TT Norms Pro Light"/>
          <w:b w:val="0"/>
          <w:spacing w:val="-4"/>
          <w:sz w:val="14"/>
        </w:rPr>
        <w:t>0.8%</w:t>
      </w:r>
    </w:p>
    <w:p>
      <w:pPr>
        <w:spacing w:line="240" w:lineRule="auto" w:before="36"/>
        <w:rPr>
          <w:rFonts w:ascii="TT Norms Pro Light"/>
          <w:b w:val="0"/>
          <w:sz w:val="14"/>
        </w:rPr>
      </w:pPr>
      <w:r>
        <w:rPr/>
        <w:br w:type="column"/>
      </w:r>
      <w:r>
        <w:rPr>
          <w:rFonts w:ascii="TT Norms Pro Light"/>
          <w:b w:val="0"/>
          <w:sz w:val="14"/>
        </w:rPr>
      </w:r>
    </w:p>
    <w:p>
      <w:pPr>
        <w:spacing w:line="247" w:lineRule="auto" w:before="0"/>
        <w:ind w:left="247" w:right="4879" w:firstLine="0"/>
        <w:jc w:val="left"/>
        <w:rPr>
          <w:rFonts w:ascii="TT Norms Pro Light"/>
          <w:b w:val="0"/>
          <w:sz w:val="14"/>
        </w:rPr>
      </w:pPr>
      <w:r>
        <w:rPr>
          <w:rFonts w:ascii="TT Norms Pro Light"/>
          <w:b w:val="0"/>
          <w:sz w:val="14"/>
        </w:rPr>
        <w:t>Health</w:t>
      </w:r>
      <w:r>
        <w:rPr>
          <w:rFonts w:ascii="TT Norms Pro Light"/>
          <w:b w:val="0"/>
          <w:spacing w:val="-7"/>
          <w:sz w:val="14"/>
        </w:rPr>
        <w:t> </w:t>
      </w:r>
      <w:r>
        <w:rPr>
          <w:rFonts w:ascii="TT Norms Pro Light"/>
          <w:b w:val="0"/>
          <w:sz w:val="14"/>
        </w:rPr>
        <w:t>and</w:t>
      </w:r>
      <w:r>
        <w:rPr>
          <w:rFonts w:ascii="TT Norms Pro Light"/>
          <w:b w:val="0"/>
          <w:spacing w:val="-7"/>
          <w:sz w:val="14"/>
        </w:rPr>
        <w:t> </w:t>
      </w:r>
      <w:r>
        <w:rPr>
          <w:rFonts w:ascii="TT Norms Pro Light"/>
          <w:b w:val="0"/>
          <w:sz w:val="14"/>
        </w:rPr>
        <w:t>Medical</w:t>
      </w:r>
      <w:r>
        <w:rPr>
          <w:rFonts w:ascii="TT Norms Pro Light"/>
          <w:b w:val="0"/>
          <w:spacing w:val="-7"/>
          <w:sz w:val="14"/>
        </w:rPr>
        <w:t> </w:t>
      </w:r>
      <w:r>
        <w:rPr>
          <w:rFonts w:ascii="TT Norms Pro Light"/>
          <w:b w:val="0"/>
          <w:sz w:val="14"/>
        </w:rPr>
        <w:t>Sciences</w:t>
      </w:r>
      <w:r>
        <w:rPr>
          <w:rFonts w:ascii="TT Norms Pro Light"/>
          <w:b w:val="0"/>
          <w:spacing w:val="40"/>
          <w:sz w:val="14"/>
        </w:rPr>
        <w:t> </w:t>
      </w:r>
      <w:r>
        <w:rPr>
          <w:rFonts w:ascii="TT Norms Pro Light"/>
          <w:b w:val="0"/>
          <w:spacing w:val="-2"/>
          <w:sz w:val="14"/>
        </w:rPr>
        <w:t>14.1%</w:t>
      </w:r>
    </w:p>
    <w:p>
      <w:pPr>
        <w:spacing w:after="0" w:line="247" w:lineRule="auto"/>
        <w:jc w:val="left"/>
        <w:rPr>
          <w:rFonts w:ascii="TT Norms Pro Light"/>
          <w:sz w:val="14"/>
        </w:rPr>
        <w:sectPr>
          <w:type w:val="continuous"/>
          <w:pgSz w:w="11910" w:h="16840"/>
          <w:pgMar w:header="468" w:footer="0" w:top="980" w:bottom="280" w:left="920" w:right="0"/>
          <w:cols w:num="2" w:equalWidth="0">
            <w:col w:w="4045" w:space="40"/>
            <w:col w:w="6905"/>
          </w:cols>
        </w:sectPr>
      </w:pPr>
    </w:p>
    <w:p>
      <w:pPr>
        <w:pStyle w:val="BodyText"/>
        <w:rPr>
          <w:b w:val="0"/>
        </w:rPr>
      </w:pPr>
    </w:p>
    <w:p>
      <w:pPr>
        <w:pStyle w:val="BodyText"/>
        <w:spacing w:before="174"/>
        <w:rPr>
          <w:b w:val="0"/>
        </w:rPr>
      </w:pPr>
    </w:p>
    <w:p>
      <w:pPr>
        <w:pStyle w:val="BodyText"/>
        <w:ind w:left="213"/>
        <w:rPr>
          <w:b w:val="0"/>
        </w:rPr>
      </w:pPr>
      <w:r>
        <w:rPr>
          <w:rFonts w:ascii="TT Norms Pro Medium"/>
          <w:b/>
        </w:rPr>
        <w:t>TABLE</w:t>
      </w:r>
      <w:r>
        <w:rPr>
          <w:rFonts w:ascii="TT Norms Pro Medium"/>
          <w:b/>
          <w:spacing w:val="-8"/>
        </w:rPr>
        <w:t> </w:t>
      </w:r>
      <w:r>
        <w:rPr>
          <w:rFonts w:ascii="TT Norms Pro Medium"/>
          <w:b/>
        </w:rPr>
        <w:t>4:</w:t>
      </w:r>
      <w:r>
        <w:rPr>
          <w:rFonts w:ascii="TT Norms Pro Medium"/>
          <w:b/>
          <w:spacing w:val="-10"/>
        </w:rPr>
        <w:t> </w:t>
      </w:r>
      <w:r>
        <w:rPr>
          <w:b w:val="0"/>
        </w:rPr>
        <w:t>Degrees</w:t>
      </w:r>
      <w:r>
        <w:rPr>
          <w:b w:val="0"/>
          <w:spacing w:val="-2"/>
        </w:rPr>
        <w:t> </w:t>
      </w:r>
      <w:r>
        <w:rPr>
          <w:b w:val="0"/>
        </w:rPr>
        <w:t>and</w:t>
      </w:r>
      <w:r>
        <w:rPr>
          <w:b w:val="0"/>
          <w:spacing w:val="-3"/>
        </w:rPr>
        <w:t> </w:t>
      </w:r>
      <w:r>
        <w:rPr>
          <w:b w:val="0"/>
        </w:rPr>
        <w:t>awards</w:t>
      </w:r>
      <w:r>
        <w:rPr>
          <w:b w:val="0"/>
          <w:spacing w:val="-2"/>
        </w:rPr>
        <w:t> </w:t>
      </w:r>
      <w:r>
        <w:rPr>
          <w:b w:val="0"/>
        </w:rPr>
        <w:t>conferred</w:t>
      </w:r>
      <w:r>
        <w:rPr>
          <w:b w:val="0"/>
          <w:spacing w:val="-3"/>
        </w:rPr>
        <w:t> </w:t>
      </w:r>
      <w:r>
        <w:rPr>
          <w:b w:val="0"/>
        </w:rPr>
        <w:t>by</w:t>
      </w:r>
      <w:r>
        <w:rPr>
          <w:b w:val="0"/>
          <w:spacing w:val="-2"/>
        </w:rPr>
        <w:t> </w:t>
      </w:r>
      <w:r>
        <w:rPr>
          <w:b w:val="0"/>
        </w:rPr>
        <w:t>course</w:t>
      </w:r>
      <w:r>
        <w:rPr>
          <w:b w:val="0"/>
          <w:spacing w:val="-3"/>
        </w:rPr>
        <w:t> </w:t>
      </w:r>
      <w:r>
        <w:rPr>
          <w:b w:val="0"/>
        </w:rPr>
        <w:t>type,</w:t>
      </w:r>
      <w:r>
        <w:rPr>
          <w:b w:val="0"/>
          <w:spacing w:val="-2"/>
        </w:rPr>
        <w:t> </w:t>
      </w:r>
      <w:r>
        <w:rPr>
          <w:b w:val="0"/>
        </w:rPr>
        <w:t>2014-</w:t>
      </w:r>
      <w:r>
        <w:rPr>
          <w:b w:val="0"/>
          <w:spacing w:val="-5"/>
        </w:rPr>
        <w:t>20</w:t>
      </w:r>
    </w:p>
    <w:p>
      <w:pPr>
        <w:tabs>
          <w:tab w:pos="3470" w:val="left" w:leader="none"/>
          <w:tab w:pos="4461" w:val="left" w:leader="none"/>
          <w:tab w:pos="5455" w:val="left" w:leader="none"/>
          <w:tab w:pos="6462" w:val="left" w:leader="none"/>
          <w:tab w:pos="7441" w:val="left" w:leader="none"/>
          <w:tab w:pos="8436" w:val="left" w:leader="none"/>
          <w:tab w:pos="9795" w:val="right" w:leader="none"/>
        </w:tabs>
        <w:spacing w:before="314" w:after="48"/>
        <w:ind w:left="293" w:right="0" w:firstLine="0"/>
        <w:jc w:val="left"/>
        <w:rPr>
          <w:rFonts w:ascii="TT Norms Pro"/>
          <w:b/>
          <w:sz w:val="16"/>
        </w:rPr>
      </w:pPr>
      <w:r>
        <w:rPr/>
        <mc:AlternateContent>
          <mc:Choice Requires="wps">
            <w:drawing>
              <wp:anchor distT="0" distB="0" distL="0" distR="0" allowOverlap="1" layoutInCell="1" locked="0" behindDoc="0" simplePos="0" relativeHeight="15832576">
                <wp:simplePos x="0" y="0"/>
                <wp:positionH relativeFrom="page">
                  <wp:posOffset>716400</wp:posOffset>
                </wp:positionH>
                <wp:positionV relativeFrom="paragraph">
                  <wp:posOffset>147261</wp:posOffset>
                </wp:positionV>
                <wp:extent cx="6123940" cy="12700"/>
                <wp:effectExtent l="0" t="0" r="0" b="0"/>
                <wp:wrapNone/>
                <wp:docPr id="546" name="Group 546"/>
                <wp:cNvGraphicFramePr>
                  <a:graphicFrameLocks/>
                </wp:cNvGraphicFramePr>
                <a:graphic>
                  <a:graphicData uri="http://schemas.microsoft.com/office/word/2010/wordprocessingGroup">
                    <wpg:wgp>
                      <wpg:cNvPr id="546" name="Group 546"/>
                      <wpg:cNvGrpSpPr/>
                      <wpg:grpSpPr>
                        <a:xfrm>
                          <a:off x="0" y="0"/>
                          <a:ext cx="6123940" cy="12700"/>
                          <a:chExt cx="6123940" cy="12700"/>
                        </a:xfrm>
                      </wpg:grpSpPr>
                      <wps:wsp>
                        <wps:cNvPr id="547" name="Graphic 547"/>
                        <wps:cNvSpPr/>
                        <wps:spPr>
                          <a:xfrm>
                            <a:off x="0" y="6350"/>
                            <a:ext cx="1708150" cy="1270"/>
                          </a:xfrm>
                          <a:custGeom>
                            <a:avLst/>
                            <a:gdLst/>
                            <a:ahLst/>
                            <a:cxnLst/>
                            <a:rect l="l" t="t" r="r" b="b"/>
                            <a:pathLst>
                              <a:path w="1708150" h="0">
                                <a:moveTo>
                                  <a:pt x="0" y="0"/>
                                </a:moveTo>
                                <a:lnTo>
                                  <a:pt x="1707603" y="0"/>
                                </a:lnTo>
                              </a:path>
                            </a:pathLst>
                          </a:custGeom>
                          <a:ln w="12700">
                            <a:solidFill>
                              <a:srgbClr val="000000"/>
                            </a:solidFill>
                            <a:prstDash val="solid"/>
                          </a:ln>
                        </wps:spPr>
                        <wps:bodyPr wrap="square" lIns="0" tIns="0" rIns="0" bIns="0" rtlCol="0">
                          <a:prstTxWarp prst="textNoShape">
                            <a:avLst/>
                          </a:prstTxWarp>
                          <a:noAutofit/>
                        </wps:bodyPr>
                      </wps:wsp>
                      <wps:wsp>
                        <wps:cNvPr id="548" name="Graphic 548"/>
                        <wps:cNvSpPr/>
                        <wps:spPr>
                          <a:xfrm>
                            <a:off x="1707598" y="6350"/>
                            <a:ext cx="631190" cy="1270"/>
                          </a:xfrm>
                          <a:custGeom>
                            <a:avLst/>
                            <a:gdLst/>
                            <a:ahLst/>
                            <a:cxnLst/>
                            <a:rect l="l" t="t" r="r" b="b"/>
                            <a:pathLst>
                              <a:path w="631190" h="0">
                                <a:moveTo>
                                  <a:pt x="0" y="0"/>
                                </a:moveTo>
                                <a:lnTo>
                                  <a:pt x="630859" y="0"/>
                                </a:lnTo>
                              </a:path>
                            </a:pathLst>
                          </a:custGeom>
                          <a:ln w="12700">
                            <a:solidFill>
                              <a:srgbClr val="000000"/>
                            </a:solidFill>
                            <a:prstDash val="solid"/>
                          </a:ln>
                        </wps:spPr>
                        <wps:bodyPr wrap="square" lIns="0" tIns="0" rIns="0" bIns="0" rtlCol="0">
                          <a:prstTxWarp prst="textNoShape">
                            <a:avLst/>
                          </a:prstTxWarp>
                          <a:noAutofit/>
                        </wps:bodyPr>
                      </wps:wsp>
                      <wps:wsp>
                        <wps:cNvPr id="549" name="Graphic 549"/>
                        <wps:cNvSpPr/>
                        <wps:spPr>
                          <a:xfrm>
                            <a:off x="2338456" y="6350"/>
                            <a:ext cx="631190" cy="1270"/>
                          </a:xfrm>
                          <a:custGeom>
                            <a:avLst/>
                            <a:gdLst/>
                            <a:ahLst/>
                            <a:cxnLst/>
                            <a:rect l="l" t="t" r="r" b="b"/>
                            <a:pathLst>
                              <a:path w="631190" h="0">
                                <a:moveTo>
                                  <a:pt x="0" y="0"/>
                                </a:moveTo>
                                <a:lnTo>
                                  <a:pt x="630859" y="0"/>
                                </a:lnTo>
                              </a:path>
                            </a:pathLst>
                          </a:custGeom>
                          <a:ln w="12700">
                            <a:solidFill>
                              <a:srgbClr val="000000"/>
                            </a:solidFill>
                            <a:prstDash val="solid"/>
                          </a:ln>
                        </wps:spPr>
                        <wps:bodyPr wrap="square" lIns="0" tIns="0" rIns="0" bIns="0" rtlCol="0">
                          <a:prstTxWarp prst="textNoShape">
                            <a:avLst/>
                          </a:prstTxWarp>
                          <a:noAutofit/>
                        </wps:bodyPr>
                      </wps:wsp>
                      <wps:wsp>
                        <wps:cNvPr id="550" name="Graphic 550"/>
                        <wps:cNvSpPr/>
                        <wps:spPr>
                          <a:xfrm>
                            <a:off x="2969313" y="6350"/>
                            <a:ext cx="631190" cy="1270"/>
                          </a:xfrm>
                          <a:custGeom>
                            <a:avLst/>
                            <a:gdLst/>
                            <a:ahLst/>
                            <a:cxnLst/>
                            <a:rect l="l" t="t" r="r" b="b"/>
                            <a:pathLst>
                              <a:path w="631190" h="0">
                                <a:moveTo>
                                  <a:pt x="0" y="0"/>
                                </a:moveTo>
                                <a:lnTo>
                                  <a:pt x="630859" y="0"/>
                                </a:lnTo>
                              </a:path>
                            </a:pathLst>
                          </a:custGeom>
                          <a:ln w="12700">
                            <a:solidFill>
                              <a:srgbClr val="000000"/>
                            </a:solidFill>
                            <a:prstDash val="solid"/>
                          </a:ln>
                        </wps:spPr>
                        <wps:bodyPr wrap="square" lIns="0" tIns="0" rIns="0" bIns="0" rtlCol="0">
                          <a:prstTxWarp prst="textNoShape">
                            <a:avLst/>
                          </a:prstTxWarp>
                          <a:noAutofit/>
                        </wps:bodyPr>
                      </wps:wsp>
                      <wps:wsp>
                        <wps:cNvPr id="551" name="Graphic 551"/>
                        <wps:cNvSpPr/>
                        <wps:spPr>
                          <a:xfrm>
                            <a:off x="3600170" y="6350"/>
                            <a:ext cx="631190" cy="1270"/>
                          </a:xfrm>
                          <a:custGeom>
                            <a:avLst/>
                            <a:gdLst/>
                            <a:ahLst/>
                            <a:cxnLst/>
                            <a:rect l="l" t="t" r="r" b="b"/>
                            <a:pathLst>
                              <a:path w="631190" h="0">
                                <a:moveTo>
                                  <a:pt x="0" y="0"/>
                                </a:moveTo>
                                <a:lnTo>
                                  <a:pt x="630859" y="0"/>
                                </a:lnTo>
                              </a:path>
                            </a:pathLst>
                          </a:custGeom>
                          <a:ln w="12700">
                            <a:solidFill>
                              <a:srgbClr val="000000"/>
                            </a:solidFill>
                            <a:prstDash val="solid"/>
                          </a:ln>
                        </wps:spPr>
                        <wps:bodyPr wrap="square" lIns="0" tIns="0" rIns="0" bIns="0" rtlCol="0">
                          <a:prstTxWarp prst="textNoShape">
                            <a:avLst/>
                          </a:prstTxWarp>
                          <a:noAutofit/>
                        </wps:bodyPr>
                      </wps:wsp>
                      <wps:wsp>
                        <wps:cNvPr id="552" name="Graphic 552"/>
                        <wps:cNvSpPr/>
                        <wps:spPr>
                          <a:xfrm>
                            <a:off x="4231027" y="6350"/>
                            <a:ext cx="631190" cy="1270"/>
                          </a:xfrm>
                          <a:custGeom>
                            <a:avLst/>
                            <a:gdLst/>
                            <a:ahLst/>
                            <a:cxnLst/>
                            <a:rect l="l" t="t" r="r" b="b"/>
                            <a:pathLst>
                              <a:path w="631190" h="0">
                                <a:moveTo>
                                  <a:pt x="0" y="0"/>
                                </a:moveTo>
                                <a:lnTo>
                                  <a:pt x="630859" y="0"/>
                                </a:lnTo>
                              </a:path>
                            </a:pathLst>
                          </a:custGeom>
                          <a:ln w="12700">
                            <a:solidFill>
                              <a:srgbClr val="000000"/>
                            </a:solidFill>
                            <a:prstDash val="solid"/>
                          </a:ln>
                        </wps:spPr>
                        <wps:bodyPr wrap="square" lIns="0" tIns="0" rIns="0" bIns="0" rtlCol="0">
                          <a:prstTxWarp prst="textNoShape">
                            <a:avLst/>
                          </a:prstTxWarp>
                          <a:noAutofit/>
                        </wps:bodyPr>
                      </wps:wsp>
                      <wps:wsp>
                        <wps:cNvPr id="553" name="Graphic 553"/>
                        <wps:cNvSpPr/>
                        <wps:spPr>
                          <a:xfrm>
                            <a:off x="4861885" y="6350"/>
                            <a:ext cx="631190" cy="1270"/>
                          </a:xfrm>
                          <a:custGeom>
                            <a:avLst/>
                            <a:gdLst/>
                            <a:ahLst/>
                            <a:cxnLst/>
                            <a:rect l="l" t="t" r="r" b="b"/>
                            <a:pathLst>
                              <a:path w="631190" h="0">
                                <a:moveTo>
                                  <a:pt x="0" y="0"/>
                                </a:moveTo>
                                <a:lnTo>
                                  <a:pt x="630859" y="0"/>
                                </a:lnTo>
                              </a:path>
                            </a:pathLst>
                          </a:custGeom>
                          <a:ln w="12700">
                            <a:solidFill>
                              <a:srgbClr val="000000"/>
                            </a:solidFill>
                            <a:prstDash val="solid"/>
                          </a:ln>
                        </wps:spPr>
                        <wps:bodyPr wrap="square" lIns="0" tIns="0" rIns="0" bIns="0" rtlCol="0">
                          <a:prstTxWarp prst="textNoShape">
                            <a:avLst/>
                          </a:prstTxWarp>
                          <a:noAutofit/>
                        </wps:bodyPr>
                      </wps:wsp>
                      <wps:wsp>
                        <wps:cNvPr id="554" name="Graphic 554"/>
                        <wps:cNvSpPr/>
                        <wps:spPr>
                          <a:xfrm>
                            <a:off x="5492742" y="6350"/>
                            <a:ext cx="631190" cy="1270"/>
                          </a:xfrm>
                          <a:custGeom>
                            <a:avLst/>
                            <a:gdLst/>
                            <a:ahLst/>
                            <a:cxnLst/>
                            <a:rect l="l" t="t" r="r" b="b"/>
                            <a:pathLst>
                              <a:path w="631190" h="0">
                                <a:moveTo>
                                  <a:pt x="0" y="0"/>
                                </a:moveTo>
                                <a:lnTo>
                                  <a:pt x="630859" y="0"/>
                                </a:lnTo>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4095pt;margin-top:11.5954pt;width:482.2pt;height:1pt;mso-position-horizontal-relative:page;mso-position-vertical-relative:paragraph;z-index:15832576" id="docshapegroup369" coordorigin="1128,232" coordsize="9644,20">
                <v:line style="position:absolute" from="1128,242" to="3817,242" stroked="true" strokeweight="1pt" strokecolor="#000000">
                  <v:stroke dashstyle="solid"/>
                </v:line>
                <v:line style="position:absolute" from="3817,242" to="4811,242" stroked="true" strokeweight="1pt" strokecolor="#000000">
                  <v:stroke dashstyle="solid"/>
                </v:line>
                <v:line style="position:absolute" from="4811,242" to="5804,242" stroked="true" strokeweight="1pt" strokecolor="#000000">
                  <v:stroke dashstyle="solid"/>
                </v:line>
                <v:line style="position:absolute" from="5804,242" to="6798,242" stroked="true" strokeweight="1pt" strokecolor="#000000">
                  <v:stroke dashstyle="solid"/>
                </v:line>
                <v:line style="position:absolute" from="6798,242" to="7791,242" stroked="true" strokeweight="1pt" strokecolor="#000000">
                  <v:stroke dashstyle="solid"/>
                </v:line>
                <v:line style="position:absolute" from="7791,242" to="8785,242" stroked="true" strokeweight="1pt" strokecolor="#000000">
                  <v:stroke dashstyle="solid"/>
                </v:line>
                <v:line style="position:absolute" from="8785,242" to="9778,242" stroked="true" strokeweight="1pt" strokecolor="#000000">
                  <v:stroke dashstyle="solid"/>
                </v:line>
                <v:line style="position:absolute" from="9778,242" to="10772,242" stroked="true" strokeweight="1pt" strokecolor="#000000">
                  <v:stroke dashstyle="solid"/>
                </v:line>
                <w10:wrap type="none"/>
              </v:group>
            </w:pict>
          </mc:Fallback>
        </mc:AlternateContent>
      </w:r>
      <w:r>
        <w:rPr>
          <w:rFonts w:ascii="TT Norms Pro"/>
          <w:b/>
          <w:sz w:val="16"/>
        </w:rPr>
        <w:t>COURSE</w:t>
      </w:r>
      <w:r>
        <w:rPr>
          <w:rFonts w:ascii="TT Norms Pro"/>
          <w:b/>
          <w:spacing w:val="11"/>
          <w:sz w:val="16"/>
        </w:rPr>
        <w:t> </w:t>
      </w:r>
      <w:r>
        <w:rPr>
          <w:rFonts w:ascii="TT Norms Pro"/>
          <w:b/>
          <w:spacing w:val="-4"/>
          <w:sz w:val="16"/>
        </w:rPr>
        <w:t>TYPE</w:t>
      </w:r>
      <w:r>
        <w:rPr>
          <w:rFonts w:ascii="TT Norms Pro"/>
          <w:b/>
          <w:sz w:val="16"/>
        </w:rPr>
        <w:tab/>
      </w:r>
      <w:r>
        <w:rPr>
          <w:rFonts w:ascii="TT Norms Pro"/>
          <w:b/>
          <w:spacing w:val="-4"/>
          <w:sz w:val="16"/>
        </w:rPr>
        <w:t>2014</w:t>
      </w:r>
      <w:r>
        <w:rPr>
          <w:rFonts w:ascii="TT Norms Pro"/>
          <w:b/>
          <w:sz w:val="16"/>
        </w:rPr>
        <w:tab/>
      </w:r>
      <w:r>
        <w:rPr>
          <w:rFonts w:ascii="TT Norms Pro"/>
          <w:b/>
          <w:spacing w:val="-4"/>
          <w:sz w:val="16"/>
        </w:rPr>
        <w:t>2015</w:t>
      </w:r>
      <w:r>
        <w:rPr>
          <w:rFonts w:ascii="TT Norms Pro"/>
          <w:b/>
          <w:sz w:val="16"/>
        </w:rPr>
        <w:tab/>
      </w:r>
      <w:r>
        <w:rPr>
          <w:rFonts w:ascii="TT Norms Pro"/>
          <w:b/>
          <w:spacing w:val="-4"/>
          <w:sz w:val="16"/>
        </w:rPr>
        <w:t>2016</w:t>
      </w:r>
      <w:r>
        <w:rPr>
          <w:rFonts w:ascii="TT Norms Pro"/>
          <w:b/>
          <w:sz w:val="16"/>
        </w:rPr>
        <w:tab/>
      </w:r>
      <w:r>
        <w:rPr>
          <w:rFonts w:ascii="TT Norms Pro"/>
          <w:b/>
          <w:spacing w:val="-4"/>
          <w:sz w:val="16"/>
        </w:rPr>
        <w:t>2017</w:t>
      </w:r>
      <w:r>
        <w:rPr>
          <w:rFonts w:ascii="TT Norms Pro"/>
          <w:b/>
          <w:sz w:val="16"/>
        </w:rPr>
        <w:tab/>
      </w:r>
      <w:r>
        <w:rPr>
          <w:rFonts w:ascii="TT Norms Pro"/>
          <w:b/>
          <w:spacing w:val="-4"/>
          <w:sz w:val="16"/>
        </w:rPr>
        <w:t>2018</w:t>
      </w:r>
      <w:r>
        <w:rPr>
          <w:rFonts w:ascii="TT Norms Pro"/>
          <w:b/>
          <w:sz w:val="16"/>
        </w:rPr>
        <w:tab/>
      </w:r>
      <w:r>
        <w:rPr>
          <w:rFonts w:ascii="TT Norms Pro"/>
          <w:b/>
          <w:spacing w:val="-4"/>
          <w:sz w:val="16"/>
        </w:rPr>
        <w:t>2019</w:t>
      </w:r>
      <w:r>
        <w:rPr>
          <w:rFonts w:ascii="TT Norms Pro"/>
          <w:b/>
          <w:sz w:val="16"/>
        </w:rPr>
        <w:tab/>
      </w:r>
      <w:r>
        <w:rPr>
          <w:rFonts w:ascii="TT Norms Pro"/>
          <w:b/>
          <w:spacing w:val="-4"/>
          <w:sz w:val="16"/>
        </w:rPr>
        <w:t>2020</w:t>
      </w:r>
    </w:p>
    <w:tbl>
      <w:tblPr>
        <w:tblW w:w="0" w:type="auto"/>
        <w:jc w:val="left"/>
        <w:tblInd w:w="2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689"/>
        <w:gridCol w:w="993"/>
        <w:gridCol w:w="993"/>
        <w:gridCol w:w="993"/>
        <w:gridCol w:w="993"/>
        <w:gridCol w:w="993"/>
        <w:gridCol w:w="993"/>
        <w:gridCol w:w="993"/>
      </w:tblGrid>
      <w:tr>
        <w:trPr>
          <w:trHeight w:val="1126" w:hRule="atLeast"/>
        </w:trPr>
        <w:tc>
          <w:tcPr>
            <w:tcW w:w="2689" w:type="dxa"/>
            <w:tcBorders>
              <w:top w:val="single" w:sz="4" w:space="0" w:color="000000"/>
              <w:bottom w:val="single" w:sz="2" w:space="0" w:color="000000"/>
            </w:tcBorders>
            <w:shd w:val="clear" w:color="auto" w:fill="E6E7E8"/>
          </w:tcPr>
          <w:p>
            <w:pPr>
              <w:pStyle w:val="TableParagraph"/>
              <w:spacing w:line="415" w:lineRule="auto" w:before="54"/>
              <w:ind w:left="85" w:right="919"/>
              <w:rPr>
                <w:rFonts w:ascii="TT Norms Pro"/>
                <w:sz w:val="14"/>
              </w:rPr>
            </w:pPr>
            <w:r>
              <w:rPr>
                <w:rFonts w:ascii="TT Norms Pro"/>
                <w:b/>
                <w:sz w:val="14"/>
              </w:rPr>
              <w:t>Higher degree research</w:t>
            </w:r>
            <w:r>
              <w:rPr>
                <w:rFonts w:ascii="TT Norms Pro"/>
                <w:b/>
                <w:spacing w:val="40"/>
                <w:sz w:val="14"/>
              </w:rPr>
              <w:t> </w:t>
            </w:r>
            <w:r>
              <w:rPr>
                <w:rFonts w:ascii="TT Norms Pro"/>
                <w:sz w:val="14"/>
              </w:rPr>
              <w:t>Higher</w:t>
            </w:r>
            <w:r>
              <w:rPr>
                <w:rFonts w:ascii="TT Norms Pro"/>
                <w:spacing w:val="-8"/>
                <w:sz w:val="14"/>
              </w:rPr>
              <w:t> </w:t>
            </w:r>
            <w:r>
              <w:rPr>
                <w:rFonts w:ascii="TT Norms Pro"/>
                <w:sz w:val="14"/>
              </w:rPr>
              <w:t>doctorate</w:t>
            </w:r>
            <w:r>
              <w:rPr>
                <w:rFonts w:ascii="TT Norms Pro"/>
                <w:spacing w:val="40"/>
                <w:sz w:val="14"/>
              </w:rPr>
              <w:t> </w:t>
            </w:r>
            <w:r>
              <w:rPr>
                <w:rFonts w:ascii="TT Norms Pro"/>
                <w:sz w:val="14"/>
              </w:rPr>
              <w:t>Doctorate by research</w:t>
            </w:r>
          </w:p>
          <w:p>
            <w:pPr>
              <w:pStyle w:val="TableParagraph"/>
              <w:spacing w:before="1"/>
              <w:ind w:left="84"/>
              <w:rPr>
                <w:rFonts w:ascii="TT Norms Pro"/>
                <w:sz w:val="14"/>
              </w:rPr>
            </w:pPr>
            <w:r>
              <w:rPr>
                <w:rFonts w:ascii="TT Norms Pro"/>
                <w:sz w:val="14"/>
              </w:rPr>
              <w:t>Master's</w:t>
            </w:r>
            <w:r>
              <w:rPr>
                <w:rFonts w:ascii="TT Norms Pro"/>
                <w:spacing w:val="6"/>
                <w:sz w:val="14"/>
              </w:rPr>
              <w:t> </w:t>
            </w:r>
            <w:r>
              <w:rPr>
                <w:rFonts w:ascii="TT Norms Pro"/>
                <w:sz w:val="14"/>
              </w:rPr>
              <w:t>degree</w:t>
            </w:r>
            <w:r>
              <w:rPr>
                <w:rFonts w:ascii="TT Norms Pro"/>
                <w:spacing w:val="9"/>
                <w:sz w:val="14"/>
              </w:rPr>
              <w:t> </w:t>
            </w:r>
            <w:r>
              <w:rPr>
                <w:rFonts w:ascii="TT Norms Pro"/>
                <w:sz w:val="14"/>
              </w:rPr>
              <w:t>by</w:t>
            </w:r>
            <w:r>
              <w:rPr>
                <w:rFonts w:ascii="TT Norms Pro"/>
                <w:spacing w:val="9"/>
                <w:sz w:val="14"/>
              </w:rPr>
              <w:t> </w:t>
            </w:r>
            <w:r>
              <w:rPr>
                <w:rFonts w:ascii="TT Norms Pro"/>
                <w:spacing w:val="-2"/>
                <w:sz w:val="14"/>
              </w:rPr>
              <w:t>research</w:t>
            </w:r>
          </w:p>
        </w:tc>
        <w:tc>
          <w:tcPr>
            <w:tcW w:w="993" w:type="dxa"/>
            <w:tcBorders>
              <w:top w:val="single" w:sz="4" w:space="0" w:color="000000"/>
              <w:bottom w:val="single" w:sz="2" w:space="0" w:color="000000"/>
            </w:tcBorders>
          </w:tcPr>
          <w:p>
            <w:pPr>
              <w:pStyle w:val="TableParagraph"/>
              <w:rPr>
                <w:rFonts w:ascii="TT Norms Pro"/>
                <w:b/>
                <w:sz w:val="14"/>
              </w:rPr>
            </w:pPr>
          </w:p>
          <w:p>
            <w:pPr>
              <w:pStyle w:val="TableParagraph"/>
              <w:rPr>
                <w:rFonts w:ascii="TT Norms Pro"/>
                <w:b/>
                <w:sz w:val="14"/>
              </w:rPr>
            </w:pPr>
          </w:p>
          <w:p>
            <w:pPr>
              <w:pStyle w:val="TableParagraph"/>
              <w:spacing w:before="130"/>
              <w:rPr>
                <w:rFonts w:ascii="TT Norms Pro"/>
                <w:b/>
                <w:sz w:val="14"/>
              </w:rPr>
            </w:pPr>
          </w:p>
          <w:p>
            <w:pPr>
              <w:pStyle w:val="TableParagraph"/>
              <w:ind w:right="53"/>
              <w:jc w:val="right"/>
              <w:rPr>
                <w:rFonts w:ascii="TT Norms Pro Light"/>
                <w:b w:val="0"/>
                <w:sz w:val="14"/>
              </w:rPr>
            </w:pPr>
            <w:r>
              <w:rPr>
                <w:rFonts w:ascii="TT Norms Pro Light"/>
                <w:b w:val="0"/>
                <w:spacing w:val="-5"/>
                <w:sz w:val="14"/>
              </w:rPr>
              <w:t>268</w:t>
            </w:r>
          </w:p>
          <w:p>
            <w:pPr>
              <w:pStyle w:val="TableParagraph"/>
              <w:spacing w:before="120"/>
              <w:ind w:right="55"/>
              <w:jc w:val="right"/>
              <w:rPr>
                <w:rFonts w:ascii="TT Norms Pro Light"/>
                <w:b w:val="0"/>
                <w:sz w:val="14"/>
              </w:rPr>
            </w:pPr>
            <w:r>
              <w:rPr>
                <w:rFonts w:ascii="TT Norms Pro Light"/>
                <w:b w:val="0"/>
                <w:spacing w:val="-5"/>
                <w:sz w:val="14"/>
              </w:rPr>
              <w:t>59</w:t>
            </w:r>
          </w:p>
        </w:tc>
        <w:tc>
          <w:tcPr>
            <w:tcW w:w="993" w:type="dxa"/>
            <w:tcBorders>
              <w:top w:val="single" w:sz="4" w:space="0" w:color="000000"/>
              <w:bottom w:val="single" w:sz="2" w:space="0" w:color="000000"/>
            </w:tcBorders>
            <w:shd w:val="clear" w:color="auto" w:fill="E6E7E8"/>
          </w:tcPr>
          <w:p>
            <w:pPr>
              <w:pStyle w:val="TableParagraph"/>
              <w:rPr>
                <w:rFonts w:ascii="TT Norms Pro"/>
                <w:b/>
                <w:sz w:val="14"/>
              </w:rPr>
            </w:pPr>
          </w:p>
          <w:p>
            <w:pPr>
              <w:pStyle w:val="TableParagraph"/>
              <w:rPr>
                <w:rFonts w:ascii="TT Norms Pro"/>
                <w:b/>
                <w:sz w:val="14"/>
              </w:rPr>
            </w:pPr>
          </w:p>
          <w:p>
            <w:pPr>
              <w:pStyle w:val="TableParagraph"/>
              <w:spacing w:before="130"/>
              <w:rPr>
                <w:rFonts w:ascii="TT Norms Pro"/>
                <w:b/>
                <w:sz w:val="14"/>
              </w:rPr>
            </w:pPr>
          </w:p>
          <w:p>
            <w:pPr>
              <w:pStyle w:val="TableParagraph"/>
              <w:ind w:right="54"/>
              <w:jc w:val="right"/>
              <w:rPr>
                <w:rFonts w:ascii="TT Norms Pro Light"/>
                <w:b w:val="0"/>
                <w:sz w:val="14"/>
              </w:rPr>
            </w:pPr>
            <w:r>
              <w:rPr>
                <w:rFonts w:ascii="TT Norms Pro Light"/>
                <w:b w:val="0"/>
                <w:spacing w:val="-5"/>
                <w:sz w:val="14"/>
              </w:rPr>
              <w:t>259</w:t>
            </w:r>
          </w:p>
          <w:p>
            <w:pPr>
              <w:pStyle w:val="TableParagraph"/>
              <w:spacing w:before="120"/>
              <w:ind w:right="53"/>
              <w:jc w:val="right"/>
              <w:rPr>
                <w:rFonts w:ascii="TT Norms Pro Light"/>
                <w:b w:val="0"/>
                <w:sz w:val="14"/>
              </w:rPr>
            </w:pPr>
            <w:r>
              <w:rPr>
                <w:rFonts w:ascii="TT Norms Pro Light"/>
                <w:b w:val="0"/>
                <w:spacing w:val="-5"/>
                <w:sz w:val="14"/>
              </w:rPr>
              <w:t>55</w:t>
            </w:r>
          </w:p>
        </w:tc>
        <w:tc>
          <w:tcPr>
            <w:tcW w:w="993" w:type="dxa"/>
            <w:tcBorders>
              <w:top w:val="single" w:sz="4" w:space="0" w:color="000000"/>
              <w:bottom w:val="single" w:sz="2" w:space="0" w:color="000000"/>
            </w:tcBorders>
          </w:tcPr>
          <w:p>
            <w:pPr>
              <w:pStyle w:val="TableParagraph"/>
              <w:rPr>
                <w:rFonts w:ascii="TT Norms Pro"/>
                <w:b/>
                <w:sz w:val="14"/>
              </w:rPr>
            </w:pPr>
          </w:p>
          <w:p>
            <w:pPr>
              <w:pStyle w:val="TableParagraph"/>
              <w:spacing w:before="10"/>
              <w:rPr>
                <w:rFonts w:ascii="TT Norms Pro"/>
                <w:b/>
                <w:sz w:val="14"/>
              </w:rPr>
            </w:pPr>
          </w:p>
          <w:p>
            <w:pPr>
              <w:pStyle w:val="TableParagraph"/>
              <w:ind w:right="53"/>
              <w:jc w:val="right"/>
              <w:rPr>
                <w:rFonts w:ascii="TT Norms Pro Light"/>
                <w:b w:val="0"/>
                <w:sz w:val="14"/>
              </w:rPr>
            </w:pPr>
            <w:r>
              <w:rPr>
                <w:rFonts w:ascii="TT Norms Pro Light"/>
                <w:b w:val="0"/>
                <w:spacing w:val="-10"/>
                <w:sz w:val="14"/>
              </w:rPr>
              <w:t>2</w:t>
            </w:r>
          </w:p>
          <w:p>
            <w:pPr>
              <w:pStyle w:val="TableParagraph"/>
              <w:spacing w:before="120"/>
              <w:ind w:right="53"/>
              <w:jc w:val="right"/>
              <w:rPr>
                <w:rFonts w:ascii="TT Norms Pro Light"/>
                <w:b w:val="0"/>
                <w:sz w:val="14"/>
              </w:rPr>
            </w:pPr>
            <w:r>
              <w:rPr>
                <w:rFonts w:ascii="TT Norms Pro Light"/>
                <w:b w:val="0"/>
                <w:spacing w:val="-5"/>
                <w:sz w:val="14"/>
              </w:rPr>
              <w:t>328</w:t>
            </w:r>
          </w:p>
          <w:p>
            <w:pPr>
              <w:pStyle w:val="TableParagraph"/>
              <w:spacing w:before="120"/>
              <w:ind w:right="53"/>
              <w:jc w:val="right"/>
              <w:rPr>
                <w:rFonts w:ascii="TT Norms Pro Light"/>
                <w:b w:val="0"/>
                <w:sz w:val="14"/>
              </w:rPr>
            </w:pPr>
            <w:r>
              <w:rPr>
                <w:rFonts w:ascii="TT Norms Pro Light"/>
                <w:b w:val="0"/>
                <w:spacing w:val="-5"/>
                <w:sz w:val="14"/>
              </w:rPr>
              <w:t>50</w:t>
            </w:r>
          </w:p>
        </w:tc>
        <w:tc>
          <w:tcPr>
            <w:tcW w:w="993" w:type="dxa"/>
            <w:tcBorders>
              <w:top w:val="single" w:sz="4" w:space="0" w:color="000000"/>
              <w:bottom w:val="single" w:sz="2" w:space="0" w:color="000000"/>
            </w:tcBorders>
            <w:shd w:val="clear" w:color="auto" w:fill="E6E7E8"/>
          </w:tcPr>
          <w:p>
            <w:pPr>
              <w:pStyle w:val="TableParagraph"/>
              <w:rPr>
                <w:rFonts w:ascii="TT Norms Pro"/>
                <w:b/>
                <w:sz w:val="14"/>
              </w:rPr>
            </w:pPr>
          </w:p>
          <w:p>
            <w:pPr>
              <w:pStyle w:val="TableParagraph"/>
              <w:rPr>
                <w:rFonts w:ascii="TT Norms Pro"/>
                <w:b/>
                <w:sz w:val="14"/>
              </w:rPr>
            </w:pPr>
          </w:p>
          <w:p>
            <w:pPr>
              <w:pStyle w:val="TableParagraph"/>
              <w:spacing w:before="130"/>
              <w:rPr>
                <w:rFonts w:ascii="TT Norms Pro"/>
                <w:b/>
                <w:sz w:val="14"/>
              </w:rPr>
            </w:pPr>
          </w:p>
          <w:p>
            <w:pPr>
              <w:pStyle w:val="TableParagraph"/>
              <w:ind w:right="52"/>
              <w:jc w:val="right"/>
              <w:rPr>
                <w:rFonts w:ascii="TT Norms Pro Light"/>
                <w:b w:val="0"/>
                <w:sz w:val="14"/>
              </w:rPr>
            </w:pPr>
            <w:r>
              <w:rPr>
                <w:rFonts w:ascii="TT Norms Pro Light"/>
                <w:b w:val="0"/>
                <w:spacing w:val="-5"/>
                <w:sz w:val="14"/>
              </w:rPr>
              <w:t>273</w:t>
            </w:r>
          </w:p>
          <w:p>
            <w:pPr>
              <w:pStyle w:val="TableParagraph"/>
              <w:spacing w:before="120"/>
              <w:ind w:right="52"/>
              <w:jc w:val="right"/>
              <w:rPr>
                <w:rFonts w:ascii="TT Norms Pro Light"/>
                <w:b w:val="0"/>
                <w:sz w:val="14"/>
              </w:rPr>
            </w:pPr>
            <w:r>
              <w:rPr>
                <w:rFonts w:ascii="TT Norms Pro Light"/>
                <w:b w:val="0"/>
                <w:spacing w:val="-5"/>
                <w:sz w:val="14"/>
              </w:rPr>
              <w:t>45</w:t>
            </w:r>
          </w:p>
        </w:tc>
        <w:tc>
          <w:tcPr>
            <w:tcW w:w="993" w:type="dxa"/>
            <w:tcBorders>
              <w:top w:val="single" w:sz="4" w:space="0" w:color="000000"/>
              <w:bottom w:val="single" w:sz="2" w:space="0" w:color="000000"/>
            </w:tcBorders>
          </w:tcPr>
          <w:p>
            <w:pPr>
              <w:pStyle w:val="TableParagraph"/>
              <w:rPr>
                <w:rFonts w:ascii="TT Norms Pro"/>
                <w:b/>
                <w:sz w:val="14"/>
              </w:rPr>
            </w:pPr>
          </w:p>
          <w:p>
            <w:pPr>
              <w:pStyle w:val="TableParagraph"/>
              <w:spacing w:before="10"/>
              <w:rPr>
                <w:rFonts w:ascii="TT Norms Pro"/>
                <w:b/>
                <w:sz w:val="14"/>
              </w:rPr>
            </w:pPr>
          </w:p>
          <w:p>
            <w:pPr>
              <w:pStyle w:val="TableParagraph"/>
              <w:ind w:right="52"/>
              <w:jc w:val="right"/>
              <w:rPr>
                <w:rFonts w:ascii="TT Norms Pro Light"/>
                <w:b w:val="0"/>
                <w:sz w:val="14"/>
              </w:rPr>
            </w:pPr>
            <w:r>
              <w:rPr>
                <w:rFonts w:ascii="TT Norms Pro Light"/>
                <w:b w:val="0"/>
                <w:spacing w:val="-10"/>
                <w:sz w:val="14"/>
              </w:rPr>
              <w:t>2</w:t>
            </w:r>
          </w:p>
          <w:p>
            <w:pPr>
              <w:pStyle w:val="TableParagraph"/>
              <w:spacing w:before="120"/>
              <w:ind w:right="52"/>
              <w:jc w:val="right"/>
              <w:rPr>
                <w:rFonts w:ascii="TT Norms Pro Light"/>
                <w:b w:val="0"/>
                <w:sz w:val="14"/>
              </w:rPr>
            </w:pPr>
            <w:r>
              <w:rPr>
                <w:rFonts w:ascii="TT Norms Pro Light"/>
                <w:b w:val="0"/>
                <w:spacing w:val="-5"/>
                <w:sz w:val="14"/>
              </w:rPr>
              <w:t>264</w:t>
            </w:r>
          </w:p>
          <w:p>
            <w:pPr>
              <w:pStyle w:val="TableParagraph"/>
              <w:spacing w:before="120"/>
              <w:ind w:right="52"/>
              <w:jc w:val="right"/>
              <w:rPr>
                <w:rFonts w:ascii="TT Norms Pro Light"/>
                <w:b w:val="0"/>
                <w:sz w:val="14"/>
              </w:rPr>
            </w:pPr>
            <w:r>
              <w:rPr>
                <w:rFonts w:ascii="TT Norms Pro Light"/>
                <w:b w:val="0"/>
                <w:spacing w:val="-5"/>
                <w:sz w:val="14"/>
              </w:rPr>
              <w:t>49</w:t>
            </w:r>
          </w:p>
        </w:tc>
        <w:tc>
          <w:tcPr>
            <w:tcW w:w="993" w:type="dxa"/>
            <w:tcBorders>
              <w:top w:val="single" w:sz="4" w:space="0" w:color="000000"/>
              <w:bottom w:val="single" w:sz="2" w:space="0" w:color="000000"/>
            </w:tcBorders>
            <w:shd w:val="clear" w:color="auto" w:fill="E6E7E8"/>
          </w:tcPr>
          <w:p>
            <w:pPr>
              <w:pStyle w:val="TableParagraph"/>
              <w:rPr>
                <w:rFonts w:ascii="TT Norms Pro"/>
                <w:b/>
                <w:sz w:val="14"/>
              </w:rPr>
            </w:pPr>
          </w:p>
          <w:p>
            <w:pPr>
              <w:pStyle w:val="TableParagraph"/>
              <w:rPr>
                <w:rFonts w:ascii="TT Norms Pro"/>
                <w:b/>
                <w:sz w:val="14"/>
              </w:rPr>
            </w:pPr>
          </w:p>
          <w:p>
            <w:pPr>
              <w:pStyle w:val="TableParagraph"/>
              <w:spacing w:before="130"/>
              <w:rPr>
                <w:rFonts w:ascii="TT Norms Pro"/>
                <w:b/>
                <w:sz w:val="14"/>
              </w:rPr>
            </w:pPr>
          </w:p>
          <w:p>
            <w:pPr>
              <w:pStyle w:val="TableParagraph"/>
              <w:ind w:right="51"/>
              <w:jc w:val="right"/>
              <w:rPr>
                <w:rFonts w:ascii="TT Norms Pro Light"/>
                <w:b w:val="0"/>
                <w:sz w:val="14"/>
              </w:rPr>
            </w:pPr>
            <w:r>
              <w:rPr>
                <w:rFonts w:ascii="TT Norms Pro Light"/>
                <w:b w:val="0"/>
                <w:spacing w:val="-5"/>
                <w:sz w:val="14"/>
              </w:rPr>
              <w:t>296</w:t>
            </w:r>
          </w:p>
          <w:p>
            <w:pPr>
              <w:pStyle w:val="TableParagraph"/>
              <w:spacing w:before="120"/>
              <w:ind w:right="51"/>
              <w:jc w:val="right"/>
              <w:rPr>
                <w:rFonts w:ascii="TT Norms Pro Light"/>
                <w:b w:val="0"/>
                <w:sz w:val="14"/>
              </w:rPr>
            </w:pPr>
            <w:r>
              <w:rPr>
                <w:rFonts w:ascii="TT Norms Pro Light"/>
                <w:b w:val="0"/>
                <w:spacing w:val="-5"/>
                <w:sz w:val="14"/>
              </w:rPr>
              <w:t>48</w:t>
            </w:r>
          </w:p>
        </w:tc>
        <w:tc>
          <w:tcPr>
            <w:tcW w:w="993" w:type="dxa"/>
            <w:tcBorders>
              <w:top w:val="single" w:sz="4" w:space="0" w:color="000000"/>
              <w:bottom w:val="single" w:sz="2" w:space="0" w:color="000000"/>
            </w:tcBorders>
          </w:tcPr>
          <w:p>
            <w:pPr>
              <w:pStyle w:val="TableParagraph"/>
              <w:rPr>
                <w:rFonts w:ascii="TT Norms Pro"/>
                <w:b/>
                <w:sz w:val="14"/>
              </w:rPr>
            </w:pPr>
          </w:p>
          <w:p>
            <w:pPr>
              <w:pStyle w:val="TableParagraph"/>
              <w:spacing w:before="10"/>
              <w:rPr>
                <w:rFonts w:ascii="TT Norms Pro"/>
                <w:b/>
                <w:sz w:val="14"/>
              </w:rPr>
            </w:pPr>
          </w:p>
          <w:p>
            <w:pPr>
              <w:pStyle w:val="TableParagraph"/>
              <w:ind w:right="51"/>
              <w:jc w:val="right"/>
              <w:rPr>
                <w:rFonts w:ascii="TT Norms Pro Light"/>
                <w:b w:val="0"/>
                <w:sz w:val="14"/>
              </w:rPr>
            </w:pPr>
            <w:r>
              <w:rPr>
                <w:rFonts w:ascii="TT Norms Pro Light"/>
                <w:b w:val="0"/>
                <w:spacing w:val="-10"/>
                <w:sz w:val="14"/>
              </w:rPr>
              <w:t>1</w:t>
            </w:r>
          </w:p>
          <w:p>
            <w:pPr>
              <w:pStyle w:val="TableParagraph"/>
              <w:spacing w:before="120"/>
              <w:ind w:right="51"/>
              <w:jc w:val="right"/>
              <w:rPr>
                <w:rFonts w:ascii="TT Norms Pro Light"/>
                <w:b w:val="0"/>
                <w:sz w:val="14"/>
              </w:rPr>
            </w:pPr>
            <w:r>
              <w:rPr>
                <w:rFonts w:ascii="TT Norms Pro Light"/>
                <w:b w:val="0"/>
                <w:spacing w:val="-5"/>
                <w:sz w:val="14"/>
              </w:rPr>
              <w:t>281</w:t>
            </w:r>
          </w:p>
          <w:p>
            <w:pPr>
              <w:pStyle w:val="TableParagraph"/>
              <w:spacing w:before="120"/>
              <w:ind w:right="51"/>
              <w:jc w:val="right"/>
              <w:rPr>
                <w:rFonts w:ascii="TT Norms Pro Light"/>
                <w:b w:val="0"/>
                <w:sz w:val="14"/>
              </w:rPr>
            </w:pPr>
            <w:r>
              <w:rPr>
                <w:rFonts w:ascii="TT Norms Pro Light"/>
                <w:b w:val="0"/>
                <w:spacing w:val="-5"/>
                <w:sz w:val="14"/>
              </w:rPr>
              <w:t>34</w:t>
            </w:r>
          </w:p>
        </w:tc>
      </w:tr>
      <w:tr>
        <w:trPr>
          <w:trHeight w:val="270" w:hRule="atLeast"/>
        </w:trPr>
        <w:tc>
          <w:tcPr>
            <w:tcW w:w="2689" w:type="dxa"/>
            <w:tcBorders>
              <w:top w:val="single" w:sz="2" w:space="0" w:color="000000"/>
            </w:tcBorders>
            <w:shd w:val="clear" w:color="auto" w:fill="E6E7E8"/>
          </w:tcPr>
          <w:p>
            <w:pPr>
              <w:pStyle w:val="TableParagraph"/>
              <w:spacing w:before="57"/>
              <w:ind w:left="84"/>
              <w:rPr>
                <w:rFonts w:ascii="TT Norms Pro"/>
                <w:sz w:val="14"/>
              </w:rPr>
            </w:pPr>
            <w:r>
              <w:rPr>
                <w:rFonts w:ascii="TT Norms Pro"/>
                <w:sz w:val="14"/>
              </w:rPr>
              <w:t>Sub-total</w:t>
            </w:r>
            <w:r>
              <w:rPr>
                <w:rFonts w:ascii="TT Norms Pro"/>
                <w:spacing w:val="8"/>
                <w:sz w:val="14"/>
              </w:rPr>
              <w:t> </w:t>
            </w:r>
            <w:r>
              <w:rPr>
                <w:rFonts w:ascii="TT Norms Pro"/>
                <w:sz w:val="14"/>
              </w:rPr>
              <w:t>higher</w:t>
            </w:r>
            <w:r>
              <w:rPr>
                <w:rFonts w:ascii="TT Norms Pro"/>
                <w:spacing w:val="10"/>
                <w:sz w:val="14"/>
              </w:rPr>
              <w:t> </w:t>
            </w:r>
            <w:r>
              <w:rPr>
                <w:rFonts w:ascii="TT Norms Pro"/>
                <w:sz w:val="14"/>
              </w:rPr>
              <w:t>degree</w:t>
            </w:r>
            <w:r>
              <w:rPr>
                <w:rFonts w:ascii="TT Norms Pro"/>
                <w:spacing w:val="11"/>
                <w:sz w:val="14"/>
              </w:rPr>
              <w:t> </w:t>
            </w:r>
            <w:r>
              <w:rPr>
                <w:rFonts w:ascii="TT Norms Pro"/>
                <w:spacing w:val="-2"/>
                <w:sz w:val="14"/>
              </w:rPr>
              <w:t>research</w:t>
            </w:r>
          </w:p>
        </w:tc>
        <w:tc>
          <w:tcPr>
            <w:tcW w:w="993" w:type="dxa"/>
            <w:tcBorders>
              <w:top w:val="single" w:sz="2" w:space="0" w:color="000000"/>
            </w:tcBorders>
          </w:tcPr>
          <w:p>
            <w:pPr>
              <w:pStyle w:val="TableParagraph"/>
              <w:spacing w:before="57"/>
              <w:ind w:right="54"/>
              <w:jc w:val="right"/>
              <w:rPr>
                <w:rFonts w:ascii="TT Norms Pro Light"/>
                <w:b w:val="0"/>
                <w:sz w:val="14"/>
              </w:rPr>
            </w:pPr>
            <w:r>
              <w:rPr>
                <w:rFonts w:ascii="TT Norms Pro Light"/>
                <w:b w:val="0"/>
                <w:spacing w:val="-5"/>
                <w:sz w:val="14"/>
              </w:rPr>
              <w:t>327</w:t>
            </w:r>
          </w:p>
        </w:tc>
        <w:tc>
          <w:tcPr>
            <w:tcW w:w="993" w:type="dxa"/>
            <w:tcBorders>
              <w:top w:val="single" w:sz="2" w:space="0" w:color="000000"/>
            </w:tcBorders>
            <w:shd w:val="clear" w:color="auto" w:fill="E6E7E8"/>
          </w:tcPr>
          <w:p>
            <w:pPr>
              <w:pStyle w:val="TableParagraph"/>
              <w:spacing w:before="57"/>
              <w:ind w:right="53"/>
              <w:jc w:val="right"/>
              <w:rPr>
                <w:rFonts w:ascii="TT Norms Pro Light"/>
                <w:b w:val="0"/>
                <w:sz w:val="14"/>
              </w:rPr>
            </w:pPr>
            <w:r>
              <w:rPr>
                <w:rFonts w:ascii="TT Norms Pro Light"/>
                <w:b w:val="0"/>
                <w:spacing w:val="-5"/>
                <w:sz w:val="14"/>
              </w:rPr>
              <w:t>314</w:t>
            </w:r>
          </w:p>
        </w:tc>
        <w:tc>
          <w:tcPr>
            <w:tcW w:w="993" w:type="dxa"/>
            <w:tcBorders>
              <w:top w:val="single" w:sz="2" w:space="0" w:color="000000"/>
            </w:tcBorders>
          </w:tcPr>
          <w:p>
            <w:pPr>
              <w:pStyle w:val="TableParagraph"/>
              <w:spacing w:before="57"/>
              <w:ind w:right="53"/>
              <w:jc w:val="right"/>
              <w:rPr>
                <w:rFonts w:ascii="TT Norms Pro Light"/>
                <w:b w:val="0"/>
                <w:sz w:val="14"/>
              </w:rPr>
            </w:pPr>
            <w:r>
              <w:rPr>
                <w:rFonts w:ascii="TT Norms Pro Light"/>
                <w:b w:val="0"/>
                <w:spacing w:val="-5"/>
                <w:sz w:val="14"/>
              </w:rPr>
              <w:t>380</w:t>
            </w:r>
          </w:p>
        </w:tc>
        <w:tc>
          <w:tcPr>
            <w:tcW w:w="993" w:type="dxa"/>
            <w:tcBorders>
              <w:top w:val="single" w:sz="2" w:space="0" w:color="000000"/>
            </w:tcBorders>
            <w:shd w:val="clear" w:color="auto" w:fill="E6E7E8"/>
          </w:tcPr>
          <w:p>
            <w:pPr>
              <w:pStyle w:val="TableParagraph"/>
              <w:spacing w:before="57"/>
              <w:ind w:right="52"/>
              <w:jc w:val="right"/>
              <w:rPr>
                <w:rFonts w:ascii="TT Norms Pro Light"/>
                <w:b w:val="0"/>
                <w:sz w:val="14"/>
              </w:rPr>
            </w:pPr>
            <w:r>
              <w:rPr>
                <w:rFonts w:ascii="TT Norms Pro Light"/>
                <w:b w:val="0"/>
                <w:spacing w:val="-5"/>
                <w:sz w:val="14"/>
              </w:rPr>
              <w:t>318</w:t>
            </w:r>
          </w:p>
        </w:tc>
        <w:tc>
          <w:tcPr>
            <w:tcW w:w="993" w:type="dxa"/>
            <w:tcBorders>
              <w:top w:val="single" w:sz="2" w:space="0" w:color="000000"/>
            </w:tcBorders>
          </w:tcPr>
          <w:p>
            <w:pPr>
              <w:pStyle w:val="TableParagraph"/>
              <w:spacing w:before="57"/>
              <w:ind w:right="52"/>
              <w:jc w:val="right"/>
              <w:rPr>
                <w:rFonts w:ascii="TT Norms Pro Light"/>
                <w:b w:val="0"/>
                <w:sz w:val="14"/>
              </w:rPr>
            </w:pPr>
            <w:r>
              <w:rPr>
                <w:rFonts w:ascii="TT Norms Pro Light"/>
                <w:b w:val="0"/>
                <w:spacing w:val="-5"/>
                <w:sz w:val="14"/>
              </w:rPr>
              <w:t>315</w:t>
            </w:r>
          </w:p>
        </w:tc>
        <w:tc>
          <w:tcPr>
            <w:tcW w:w="993" w:type="dxa"/>
            <w:tcBorders>
              <w:top w:val="single" w:sz="2" w:space="0" w:color="000000"/>
            </w:tcBorders>
            <w:shd w:val="clear" w:color="auto" w:fill="E6E7E8"/>
          </w:tcPr>
          <w:p>
            <w:pPr>
              <w:pStyle w:val="TableParagraph"/>
              <w:spacing w:before="57"/>
              <w:ind w:right="51"/>
              <w:jc w:val="right"/>
              <w:rPr>
                <w:rFonts w:ascii="TT Norms Pro Light"/>
                <w:b w:val="0"/>
                <w:sz w:val="14"/>
              </w:rPr>
            </w:pPr>
            <w:r>
              <w:rPr>
                <w:rFonts w:ascii="TT Norms Pro Light"/>
                <w:b w:val="0"/>
                <w:spacing w:val="-5"/>
                <w:sz w:val="14"/>
              </w:rPr>
              <w:t>344</w:t>
            </w:r>
          </w:p>
        </w:tc>
        <w:tc>
          <w:tcPr>
            <w:tcW w:w="993" w:type="dxa"/>
            <w:tcBorders>
              <w:top w:val="single" w:sz="2" w:space="0" w:color="000000"/>
            </w:tcBorders>
          </w:tcPr>
          <w:p>
            <w:pPr>
              <w:pStyle w:val="TableParagraph"/>
              <w:spacing w:before="57"/>
              <w:ind w:right="51"/>
              <w:jc w:val="right"/>
              <w:rPr>
                <w:rFonts w:ascii="TT Norms Pro Light"/>
                <w:b w:val="0"/>
                <w:sz w:val="14"/>
              </w:rPr>
            </w:pPr>
            <w:r>
              <w:rPr>
                <w:rFonts w:ascii="TT Norms Pro Light"/>
                <w:b w:val="0"/>
                <w:spacing w:val="-5"/>
                <w:sz w:val="14"/>
              </w:rPr>
              <w:t>316</w:t>
            </w:r>
          </w:p>
        </w:tc>
      </w:tr>
      <w:tr>
        <w:trPr>
          <w:trHeight w:val="284" w:hRule="atLeast"/>
        </w:trPr>
        <w:tc>
          <w:tcPr>
            <w:tcW w:w="2689" w:type="dxa"/>
            <w:shd w:val="clear" w:color="auto" w:fill="E6E7E8"/>
          </w:tcPr>
          <w:p>
            <w:pPr>
              <w:pStyle w:val="TableParagraph"/>
              <w:spacing w:before="62"/>
              <w:ind w:left="85"/>
              <w:rPr>
                <w:rFonts w:ascii="Verdana"/>
                <w:i/>
                <w:sz w:val="14"/>
              </w:rPr>
            </w:pPr>
            <w:r>
              <w:rPr>
                <w:rFonts w:ascii="Verdana"/>
                <w:i/>
                <w:w w:val="85"/>
                <w:sz w:val="14"/>
              </w:rPr>
              <w:t>%</w:t>
            </w:r>
            <w:r>
              <w:rPr>
                <w:rFonts w:ascii="Verdana"/>
                <w:i/>
                <w:sz w:val="14"/>
              </w:rPr>
              <w:t> </w:t>
            </w:r>
            <w:r>
              <w:rPr>
                <w:rFonts w:ascii="Verdana"/>
                <w:i/>
                <w:w w:val="85"/>
                <w:sz w:val="14"/>
              </w:rPr>
              <w:t>Higher</w:t>
            </w:r>
            <w:r>
              <w:rPr>
                <w:rFonts w:ascii="Verdana"/>
                <w:i/>
                <w:spacing w:val="1"/>
                <w:sz w:val="14"/>
              </w:rPr>
              <w:t> </w:t>
            </w:r>
            <w:r>
              <w:rPr>
                <w:rFonts w:ascii="Verdana"/>
                <w:i/>
                <w:w w:val="85"/>
                <w:sz w:val="14"/>
              </w:rPr>
              <w:t>degree</w:t>
            </w:r>
            <w:r>
              <w:rPr>
                <w:rFonts w:ascii="Verdana"/>
                <w:i/>
                <w:spacing w:val="1"/>
                <w:sz w:val="14"/>
              </w:rPr>
              <w:t> </w:t>
            </w:r>
            <w:r>
              <w:rPr>
                <w:rFonts w:ascii="Verdana"/>
                <w:i/>
                <w:spacing w:val="-2"/>
                <w:w w:val="85"/>
                <w:sz w:val="14"/>
              </w:rPr>
              <w:t>research</w:t>
            </w:r>
          </w:p>
        </w:tc>
        <w:tc>
          <w:tcPr>
            <w:tcW w:w="993" w:type="dxa"/>
          </w:tcPr>
          <w:p>
            <w:pPr>
              <w:pStyle w:val="TableParagraph"/>
              <w:spacing w:before="70"/>
              <w:ind w:right="54"/>
              <w:jc w:val="right"/>
              <w:rPr>
                <w:rFonts w:ascii="TT Norms Pro Light"/>
                <w:b w:val="0"/>
                <w:sz w:val="14"/>
              </w:rPr>
            </w:pPr>
            <w:r>
              <w:rPr>
                <w:rFonts w:ascii="TT Norms Pro Light"/>
                <w:b w:val="0"/>
                <w:spacing w:val="-4"/>
                <w:sz w:val="14"/>
              </w:rPr>
              <w:t>5.0%</w:t>
            </w:r>
          </w:p>
        </w:tc>
        <w:tc>
          <w:tcPr>
            <w:tcW w:w="993" w:type="dxa"/>
            <w:shd w:val="clear" w:color="auto" w:fill="E6E7E8"/>
          </w:tcPr>
          <w:p>
            <w:pPr>
              <w:pStyle w:val="TableParagraph"/>
              <w:spacing w:before="70"/>
              <w:ind w:right="49"/>
              <w:jc w:val="right"/>
              <w:rPr>
                <w:rFonts w:ascii="TT Norms Pro Light"/>
                <w:b w:val="0"/>
                <w:sz w:val="14"/>
              </w:rPr>
            </w:pPr>
            <w:r>
              <w:rPr>
                <w:rFonts w:ascii="TT Norms Pro Light"/>
                <w:b w:val="0"/>
                <w:spacing w:val="-4"/>
                <w:sz w:val="14"/>
              </w:rPr>
              <w:t>4.2%</w:t>
            </w:r>
          </w:p>
        </w:tc>
        <w:tc>
          <w:tcPr>
            <w:tcW w:w="993" w:type="dxa"/>
          </w:tcPr>
          <w:p>
            <w:pPr>
              <w:pStyle w:val="TableParagraph"/>
              <w:spacing w:before="70"/>
              <w:ind w:right="53"/>
              <w:jc w:val="right"/>
              <w:rPr>
                <w:rFonts w:ascii="TT Norms Pro Light"/>
                <w:b w:val="0"/>
                <w:sz w:val="14"/>
              </w:rPr>
            </w:pPr>
            <w:r>
              <w:rPr>
                <w:rFonts w:ascii="TT Norms Pro Light"/>
                <w:b w:val="0"/>
                <w:spacing w:val="-4"/>
                <w:sz w:val="14"/>
              </w:rPr>
              <w:t>4.7%</w:t>
            </w:r>
          </w:p>
        </w:tc>
        <w:tc>
          <w:tcPr>
            <w:tcW w:w="993" w:type="dxa"/>
            <w:shd w:val="clear" w:color="auto" w:fill="E6E7E8"/>
          </w:tcPr>
          <w:p>
            <w:pPr>
              <w:pStyle w:val="TableParagraph"/>
              <w:spacing w:before="70"/>
              <w:ind w:right="52"/>
              <w:jc w:val="right"/>
              <w:rPr>
                <w:rFonts w:ascii="TT Norms Pro Light"/>
                <w:b w:val="0"/>
                <w:sz w:val="14"/>
              </w:rPr>
            </w:pPr>
            <w:r>
              <w:rPr>
                <w:rFonts w:ascii="TT Norms Pro Light"/>
                <w:b w:val="0"/>
                <w:spacing w:val="-4"/>
                <w:sz w:val="14"/>
              </w:rPr>
              <w:t>4.5%</w:t>
            </w:r>
          </w:p>
        </w:tc>
        <w:tc>
          <w:tcPr>
            <w:tcW w:w="993" w:type="dxa"/>
          </w:tcPr>
          <w:p>
            <w:pPr>
              <w:pStyle w:val="TableParagraph"/>
              <w:spacing w:before="70"/>
              <w:ind w:right="51"/>
              <w:jc w:val="right"/>
              <w:rPr>
                <w:rFonts w:ascii="TT Norms Pro Light"/>
                <w:b w:val="0"/>
                <w:sz w:val="14"/>
              </w:rPr>
            </w:pPr>
            <w:r>
              <w:rPr>
                <w:rFonts w:ascii="TT Norms Pro Light"/>
                <w:b w:val="0"/>
                <w:spacing w:val="-4"/>
                <w:sz w:val="14"/>
              </w:rPr>
              <w:t>5.0%</w:t>
            </w:r>
          </w:p>
        </w:tc>
        <w:tc>
          <w:tcPr>
            <w:tcW w:w="993" w:type="dxa"/>
            <w:shd w:val="clear" w:color="auto" w:fill="E6E7E8"/>
          </w:tcPr>
          <w:p>
            <w:pPr>
              <w:pStyle w:val="TableParagraph"/>
              <w:spacing w:before="70"/>
              <w:ind w:right="49"/>
              <w:jc w:val="right"/>
              <w:rPr>
                <w:rFonts w:ascii="TT Norms Pro Light"/>
                <w:b w:val="0"/>
                <w:sz w:val="14"/>
              </w:rPr>
            </w:pPr>
            <w:r>
              <w:rPr>
                <w:rFonts w:ascii="TT Norms Pro Light"/>
                <w:b w:val="0"/>
                <w:spacing w:val="-4"/>
                <w:sz w:val="14"/>
              </w:rPr>
              <w:t>4.8%</w:t>
            </w:r>
          </w:p>
        </w:tc>
        <w:tc>
          <w:tcPr>
            <w:tcW w:w="993" w:type="dxa"/>
          </w:tcPr>
          <w:p>
            <w:pPr>
              <w:pStyle w:val="TableParagraph"/>
              <w:spacing w:before="70"/>
              <w:ind w:right="51"/>
              <w:jc w:val="right"/>
              <w:rPr>
                <w:rFonts w:ascii="TT Norms Pro Light"/>
                <w:b w:val="0"/>
                <w:sz w:val="14"/>
              </w:rPr>
            </w:pPr>
            <w:r>
              <w:rPr>
                <w:rFonts w:ascii="TT Norms Pro Light"/>
                <w:b w:val="0"/>
                <w:spacing w:val="-4"/>
                <w:sz w:val="14"/>
              </w:rPr>
              <w:t>4.9%</w:t>
            </w:r>
          </w:p>
        </w:tc>
      </w:tr>
      <w:tr>
        <w:trPr>
          <w:trHeight w:val="285" w:hRule="atLeast"/>
        </w:trPr>
        <w:tc>
          <w:tcPr>
            <w:tcW w:w="2689" w:type="dxa"/>
            <w:shd w:val="clear" w:color="auto" w:fill="E6E7E8"/>
          </w:tcPr>
          <w:p>
            <w:pPr>
              <w:pStyle w:val="TableParagraph"/>
              <w:spacing w:before="69"/>
              <w:ind w:left="85"/>
              <w:rPr>
                <w:rFonts w:ascii="TT Norms Pro"/>
                <w:b/>
                <w:sz w:val="14"/>
              </w:rPr>
            </w:pPr>
            <w:r>
              <w:rPr>
                <w:rFonts w:ascii="TT Norms Pro"/>
                <w:b/>
                <w:sz w:val="14"/>
              </w:rPr>
              <w:t>Postgraduate</w:t>
            </w:r>
            <w:r>
              <w:rPr>
                <w:rFonts w:ascii="TT Norms Pro"/>
                <w:b/>
                <w:spacing w:val="19"/>
                <w:sz w:val="14"/>
              </w:rPr>
              <w:t> </w:t>
            </w:r>
            <w:r>
              <w:rPr>
                <w:rFonts w:ascii="TT Norms Pro"/>
                <w:b/>
                <w:spacing w:val="-2"/>
                <w:sz w:val="14"/>
              </w:rPr>
              <w:t>coursework</w:t>
            </w:r>
          </w:p>
        </w:tc>
        <w:tc>
          <w:tcPr>
            <w:tcW w:w="993" w:type="dxa"/>
          </w:tcPr>
          <w:p>
            <w:pPr>
              <w:pStyle w:val="TableParagraph"/>
              <w:rPr>
                <w:rFonts w:ascii="Times New Roman"/>
                <w:sz w:val="14"/>
              </w:rPr>
            </w:pPr>
          </w:p>
        </w:tc>
        <w:tc>
          <w:tcPr>
            <w:tcW w:w="993" w:type="dxa"/>
            <w:shd w:val="clear" w:color="auto" w:fill="E6E7E8"/>
          </w:tcPr>
          <w:p>
            <w:pPr>
              <w:pStyle w:val="TableParagraph"/>
              <w:rPr>
                <w:rFonts w:ascii="Times New Roman"/>
                <w:sz w:val="14"/>
              </w:rPr>
            </w:pPr>
          </w:p>
        </w:tc>
        <w:tc>
          <w:tcPr>
            <w:tcW w:w="993" w:type="dxa"/>
          </w:tcPr>
          <w:p>
            <w:pPr>
              <w:pStyle w:val="TableParagraph"/>
              <w:rPr>
                <w:rFonts w:ascii="Times New Roman"/>
                <w:sz w:val="14"/>
              </w:rPr>
            </w:pPr>
          </w:p>
        </w:tc>
        <w:tc>
          <w:tcPr>
            <w:tcW w:w="993" w:type="dxa"/>
            <w:shd w:val="clear" w:color="auto" w:fill="E6E7E8"/>
          </w:tcPr>
          <w:p>
            <w:pPr>
              <w:pStyle w:val="TableParagraph"/>
              <w:rPr>
                <w:rFonts w:ascii="Times New Roman"/>
                <w:sz w:val="14"/>
              </w:rPr>
            </w:pPr>
          </w:p>
        </w:tc>
        <w:tc>
          <w:tcPr>
            <w:tcW w:w="993" w:type="dxa"/>
          </w:tcPr>
          <w:p>
            <w:pPr>
              <w:pStyle w:val="TableParagraph"/>
              <w:rPr>
                <w:rFonts w:ascii="Times New Roman"/>
                <w:sz w:val="14"/>
              </w:rPr>
            </w:pPr>
          </w:p>
        </w:tc>
        <w:tc>
          <w:tcPr>
            <w:tcW w:w="993" w:type="dxa"/>
            <w:shd w:val="clear" w:color="auto" w:fill="E6E7E8"/>
          </w:tcPr>
          <w:p>
            <w:pPr>
              <w:pStyle w:val="TableParagraph"/>
              <w:rPr>
                <w:rFonts w:ascii="Times New Roman"/>
                <w:sz w:val="14"/>
              </w:rPr>
            </w:pPr>
          </w:p>
        </w:tc>
        <w:tc>
          <w:tcPr>
            <w:tcW w:w="993" w:type="dxa"/>
          </w:tcPr>
          <w:p>
            <w:pPr>
              <w:pStyle w:val="TableParagraph"/>
              <w:rPr>
                <w:rFonts w:ascii="Times New Roman"/>
                <w:sz w:val="14"/>
              </w:rPr>
            </w:pPr>
          </w:p>
        </w:tc>
      </w:tr>
      <w:tr>
        <w:trPr>
          <w:trHeight w:val="282" w:hRule="atLeast"/>
        </w:trPr>
        <w:tc>
          <w:tcPr>
            <w:tcW w:w="2689" w:type="dxa"/>
            <w:shd w:val="clear" w:color="auto" w:fill="E6E7E8"/>
          </w:tcPr>
          <w:p>
            <w:pPr>
              <w:pStyle w:val="TableParagraph"/>
              <w:spacing w:before="67"/>
              <w:ind w:left="85"/>
              <w:rPr>
                <w:rFonts w:ascii="TT Norms Pro"/>
                <w:sz w:val="14"/>
              </w:rPr>
            </w:pPr>
            <w:r>
              <w:rPr>
                <w:rFonts w:ascii="TT Norms Pro"/>
                <w:sz w:val="14"/>
              </w:rPr>
              <w:t>Master's</w:t>
            </w:r>
            <w:r>
              <w:rPr>
                <w:rFonts w:ascii="TT Norms Pro"/>
                <w:spacing w:val="6"/>
                <w:sz w:val="14"/>
              </w:rPr>
              <w:t> </w:t>
            </w:r>
            <w:r>
              <w:rPr>
                <w:rFonts w:ascii="TT Norms Pro"/>
                <w:sz w:val="14"/>
              </w:rPr>
              <w:t>degree</w:t>
            </w:r>
            <w:r>
              <w:rPr>
                <w:rFonts w:ascii="TT Norms Pro"/>
                <w:spacing w:val="9"/>
                <w:sz w:val="14"/>
              </w:rPr>
              <w:t> </w:t>
            </w:r>
            <w:r>
              <w:rPr>
                <w:rFonts w:ascii="TT Norms Pro"/>
                <w:sz w:val="14"/>
              </w:rPr>
              <w:t>by</w:t>
            </w:r>
            <w:r>
              <w:rPr>
                <w:rFonts w:ascii="TT Norms Pro"/>
                <w:spacing w:val="9"/>
                <w:sz w:val="14"/>
              </w:rPr>
              <w:t> </w:t>
            </w:r>
            <w:r>
              <w:rPr>
                <w:rFonts w:ascii="TT Norms Pro"/>
                <w:spacing w:val="-2"/>
                <w:sz w:val="14"/>
              </w:rPr>
              <w:t>coursework</w:t>
            </w:r>
          </w:p>
        </w:tc>
        <w:tc>
          <w:tcPr>
            <w:tcW w:w="993" w:type="dxa"/>
          </w:tcPr>
          <w:p>
            <w:pPr>
              <w:pStyle w:val="TableParagraph"/>
              <w:spacing w:before="67"/>
              <w:ind w:right="53"/>
              <w:jc w:val="right"/>
              <w:rPr>
                <w:rFonts w:ascii="TT Norms Pro Light"/>
                <w:b w:val="0"/>
                <w:sz w:val="14"/>
              </w:rPr>
            </w:pPr>
            <w:r>
              <w:rPr>
                <w:rFonts w:ascii="TT Norms Pro Light"/>
                <w:b w:val="0"/>
                <w:spacing w:val="-5"/>
                <w:sz w:val="14"/>
              </w:rPr>
              <w:t>764</w:t>
            </w:r>
          </w:p>
        </w:tc>
        <w:tc>
          <w:tcPr>
            <w:tcW w:w="993" w:type="dxa"/>
            <w:shd w:val="clear" w:color="auto" w:fill="E6E7E8"/>
          </w:tcPr>
          <w:p>
            <w:pPr>
              <w:pStyle w:val="TableParagraph"/>
              <w:spacing w:before="67"/>
              <w:ind w:right="53"/>
              <w:jc w:val="right"/>
              <w:rPr>
                <w:rFonts w:ascii="TT Norms Pro Light"/>
                <w:b w:val="0"/>
                <w:sz w:val="14"/>
              </w:rPr>
            </w:pPr>
            <w:r>
              <w:rPr>
                <w:rFonts w:ascii="TT Norms Pro Light"/>
                <w:b w:val="0"/>
                <w:spacing w:val="-5"/>
                <w:sz w:val="14"/>
              </w:rPr>
              <w:t>747</w:t>
            </w:r>
          </w:p>
        </w:tc>
        <w:tc>
          <w:tcPr>
            <w:tcW w:w="993" w:type="dxa"/>
          </w:tcPr>
          <w:p>
            <w:pPr>
              <w:pStyle w:val="TableParagraph"/>
              <w:spacing w:before="67"/>
              <w:ind w:right="52"/>
              <w:jc w:val="right"/>
              <w:rPr>
                <w:rFonts w:ascii="TT Norms Pro Light"/>
                <w:b w:val="0"/>
                <w:sz w:val="14"/>
              </w:rPr>
            </w:pPr>
            <w:r>
              <w:rPr>
                <w:rFonts w:ascii="TT Norms Pro Light"/>
                <w:b w:val="0"/>
                <w:spacing w:val="-2"/>
                <w:sz w:val="14"/>
              </w:rPr>
              <w:t>1,139</w:t>
            </w:r>
          </w:p>
        </w:tc>
        <w:tc>
          <w:tcPr>
            <w:tcW w:w="993" w:type="dxa"/>
            <w:shd w:val="clear" w:color="auto" w:fill="E6E7E8"/>
          </w:tcPr>
          <w:p>
            <w:pPr>
              <w:pStyle w:val="TableParagraph"/>
              <w:spacing w:before="67"/>
              <w:ind w:right="52"/>
              <w:jc w:val="right"/>
              <w:rPr>
                <w:rFonts w:ascii="TT Norms Pro Light"/>
                <w:b w:val="0"/>
                <w:sz w:val="14"/>
              </w:rPr>
            </w:pPr>
            <w:r>
              <w:rPr>
                <w:rFonts w:ascii="TT Norms Pro Light"/>
                <w:b w:val="0"/>
                <w:spacing w:val="-2"/>
                <w:sz w:val="14"/>
              </w:rPr>
              <w:t>1,403</w:t>
            </w:r>
          </w:p>
        </w:tc>
        <w:tc>
          <w:tcPr>
            <w:tcW w:w="993" w:type="dxa"/>
          </w:tcPr>
          <w:p>
            <w:pPr>
              <w:pStyle w:val="TableParagraph"/>
              <w:spacing w:before="67"/>
              <w:ind w:right="51"/>
              <w:jc w:val="right"/>
              <w:rPr>
                <w:rFonts w:ascii="TT Norms Pro Light"/>
                <w:b w:val="0"/>
                <w:sz w:val="14"/>
              </w:rPr>
            </w:pPr>
            <w:r>
              <w:rPr>
                <w:rFonts w:ascii="TT Norms Pro Light"/>
                <w:b w:val="0"/>
                <w:spacing w:val="-2"/>
                <w:sz w:val="14"/>
              </w:rPr>
              <w:t>1,635</w:t>
            </w:r>
          </w:p>
        </w:tc>
        <w:tc>
          <w:tcPr>
            <w:tcW w:w="993" w:type="dxa"/>
            <w:shd w:val="clear" w:color="auto" w:fill="E6E7E8"/>
          </w:tcPr>
          <w:p>
            <w:pPr>
              <w:pStyle w:val="TableParagraph"/>
              <w:spacing w:before="67"/>
              <w:ind w:right="52"/>
              <w:jc w:val="right"/>
              <w:rPr>
                <w:rFonts w:ascii="TT Norms Pro Light"/>
                <w:b w:val="0"/>
                <w:sz w:val="14"/>
              </w:rPr>
            </w:pPr>
            <w:r>
              <w:rPr>
                <w:rFonts w:ascii="TT Norms Pro Light"/>
                <w:b w:val="0"/>
                <w:spacing w:val="-2"/>
                <w:sz w:val="14"/>
              </w:rPr>
              <w:t>2,061</w:t>
            </w:r>
          </w:p>
        </w:tc>
        <w:tc>
          <w:tcPr>
            <w:tcW w:w="993" w:type="dxa"/>
          </w:tcPr>
          <w:p>
            <w:pPr>
              <w:pStyle w:val="TableParagraph"/>
              <w:spacing w:before="67"/>
              <w:ind w:right="48"/>
              <w:jc w:val="right"/>
              <w:rPr>
                <w:rFonts w:ascii="TT Norms Pro Light"/>
                <w:b w:val="0"/>
                <w:sz w:val="14"/>
              </w:rPr>
            </w:pPr>
            <w:r>
              <w:rPr>
                <w:rFonts w:ascii="TT Norms Pro Light"/>
                <w:b w:val="0"/>
                <w:spacing w:val="-2"/>
                <w:sz w:val="14"/>
              </w:rPr>
              <w:t>1,732</w:t>
            </w:r>
          </w:p>
        </w:tc>
      </w:tr>
      <w:tr>
        <w:trPr>
          <w:trHeight w:val="283" w:hRule="atLeast"/>
        </w:trPr>
        <w:tc>
          <w:tcPr>
            <w:tcW w:w="2689" w:type="dxa"/>
            <w:shd w:val="clear" w:color="auto" w:fill="E6E7E8"/>
          </w:tcPr>
          <w:p>
            <w:pPr>
              <w:pStyle w:val="TableParagraph"/>
              <w:spacing w:before="68"/>
              <w:ind w:left="85"/>
              <w:rPr>
                <w:rFonts w:ascii="TT Norms Pro"/>
                <w:sz w:val="14"/>
              </w:rPr>
            </w:pPr>
            <w:r>
              <w:rPr>
                <w:rFonts w:ascii="TT Norms Pro"/>
                <w:sz w:val="14"/>
              </w:rPr>
              <w:t>Graduate</w:t>
            </w:r>
            <w:r>
              <w:rPr>
                <w:rFonts w:ascii="TT Norms Pro"/>
                <w:spacing w:val="11"/>
                <w:sz w:val="14"/>
              </w:rPr>
              <w:t> </w:t>
            </w:r>
            <w:r>
              <w:rPr>
                <w:rFonts w:ascii="TT Norms Pro"/>
                <w:spacing w:val="-2"/>
                <w:sz w:val="14"/>
              </w:rPr>
              <w:t>diploma</w:t>
            </w:r>
          </w:p>
        </w:tc>
        <w:tc>
          <w:tcPr>
            <w:tcW w:w="993" w:type="dxa"/>
          </w:tcPr>
          <w:p>
            <w:pPr>
              <w:pStyle w:val="TableParagraph"/>
              <w:spacing w:before="68"/>
              <w:ind w:right="50"/>
              <w:jc w:val="right"/>
              <w:rPr>
                <w:rFonts w:ascii="TT Norms Pro Light"/>
                <w:b w:val="0"/>
                <w:sz w:val="14"/>
              </w:rPr>
            </w:pPr>
            <w:r>
              <w:rPr>
                <w:rFonts w:ascii="TT Norms Pro Light"/>
                <w:b w:val="0"/>
                <w:spacing w:val="-5"/>
                <w:sz w:val="14"/>
              </w:rPr>
              <w:t>336</w:t>
            </w:r>
          </w:p>
        </w:tc>
        <w:tc>
          <w:tcPr>
            <w:tcW w:w="993" w:type="dxa"/>
            <w:shd w:val="clear" w:color="auto" w:fill="E6E7E8"/>
          </w:tcPr>
          <w:p>
            <w:pPr>
              <w:pStyle w:val="TableParagraph"/>
              <w:spacing w:before="68"/>
              <w:ind w:right="53"/>
              <w:jc w:val="right"/>
              <w:rPr>
                <w:rFonts w:ascii="TT Norms Pro Light"/>
                <w:b w:val="0"/>
                <w:sz w:val="14"/>
              </w:rPr>
            </w:pPr>
            <w:r>
              <w:rPr>
                <w:rFonts w:ascii="TT Norms Pro Light"/>
                <w:b w:val="0"/>
                <w:spacing w:val="-5"/>
                <w:sz w:val="14"/>
              </w:rPr>
              <w:t>285</w:t>
            </w:r>
          </w:p>
        </w:tc>
        <w:tc>
          <w:tcPr>
            <w:tcW w:w="993" w:type="dxa"/>
          </w:tcPr>
          <w:p>
            <w:pPr>
              <w:pStyle w:val="TableParagraph"/>
              <w:spacing w:before="68"/>
              <w:ind w:right="52"/>
              <w:jc w:val="right"/>
              <w:rPr>
                <w:rFonts w:ascii="TT Norms Pro Light"/>
                <w:b w:val="0"/>
                <w:sz w:val="14"/>
              </w:rPr>
            </w:pPr>
            <w:r>
              <w:rPr>
                <w:rFonts w:ascii="TT Norms Pro Light"/>
                <w:b w:val="0"/>
                <w:spacing w:val="-5"/>
                <w:sz w:val="14"/>
              </w:rPr>
              <w:t>313</w:t>
            </w:r>
          </w:p>
        </w:tc>
        <w:tc>
          <w:tcPr>
            <w:tcW w:w="993" w:type="dxa"/>
            <w:shd w:val="clear" w:color="auto" w:fill="E6E7E8"/>
          </w:tcPr>
          <w:p>
            <w:pPr>
              <w:pStyle w:val="TableParagraph"/>
              <w:spacing w:before="68"/>
              <w:ind w:right="52"/>
              <w:jc w:val="right"/>
              <w:rPr>
                <w:rFonts w:ascii="TT Norms Pro Light"/>
                <w:b w:val="0"/>
                <w:sz w:val="14"/>
              </w:rPr>
            </w:pPr>
            <w:r>
              <w:rPr>
                <w:rFonts w:ascii="TT Norms Pro Light"/>
                <w:b w:val="0"/>
                <w:spacing w:val="-5"/>
                <w:sz w:val="14"/>
              </w:rPr>
              <w:t>327</w:t>
            </w:r>
          </w:p>
        </w:tc>
        <w:tc>
          <w:tcPr>
            <w:tcW w:w="993" w:type="dxa"/>
          </w:tcPr>
          <w:p>
            <w:pPr>
              <w:pStyle w:val="TableParagraph"/>
              <w:spacing w:before="68"/>
              <w:ind w:right="51"/>
              <w:jc w:val="right"/>
              <w:rPr>
                <w:rFonts w:ascii="TT Norms Pro Light"/>
                <w:b w:val="0"/>
                <w:sz w:val="14"/>
              </w:rPr>
            </w:pPr>
            <w:r>
              <w:rPr>
                <w:rFonts w:ascii="TT Norms Pro Light"/>
                <w:b w:val="0"/>
                <w:spacing w:val="-5"/>
                <w:sz w:val="14"/>
              </w:rPr>
              <w:t>323</w:t>
            </w:r>
          </w:p>
        </w:tc>
        <w:tc>
          <w:tcPr>
            <w:tcW w:w="993" w:type="dxa"/>
            <w:shd w:val="clear" w:color="auto" w:fill="E6E7E8"/>
          </w:tcPr>
          <w:p>
            <w:pPr>
              <w:pStyle w:val="TableParagraph"/>
              <w:spacing w:before="68"/>
              <w:ind w:right="51"/>
              <w:jc w:val="right"/>
              <w:rPr>
                <w:rFonts w:ascii="TT Norms Pro Light"/>
                <w:b w:val="0"/>
                <w:sz w:val="14"/>
              </w:rPr>
            </w:pPr>
            <w:r>
              <w:rPr>
                <w:rFonts w:ascii="TT Norms Pro Light"/>
                <w:b w:val="0"/>
                <w:spacing w:val="-5"/>
                <w:sz w:val="14"/>
              </w:rPr>
              <w:t>121</w:t>
            </w:r>
          </w:p>
        </w:tc>
        <w:tc>
          <w:tcPr>
            <w:tcW w:w="993" w:type="dxa"/>
          </w:tcPr>
          <w:p>
            <w:pPr>
              <w:pStyle w:val="TableParagraph"/>
              <w:spacing w:before="68"/>
              <w:ind w:right="50"/>
              <w:jc w:val="right"/>
              <w:rPr>
                <w:rFonts w:ascii="TT Norms Pro Light"/>
                <w:b w:val="0"/>
                <w:sz w:val="14"/>
              </w:rPr>
            </w:pPr>
            <w:r>
              <w:rPr>
                <w:rFonts w:ascii="TT Norms Pro Light"/>
                <w:b w:val="0"/>
                <w:spacing w:val="-5"/>
                <w:sz w:val="14"/>
              </w:rPr>
              <w:t>75</w:t>
            </w:r>
          </w:p>
        </w:tc>
      </w:tr>
      <w:tr>
        <w:trPr>
          <w:trHeight w:val="283" w:hRule="atLeast"/>
        </w:trPr>
        <w:tc>
          <w:tcPr>
            <w:tcW w:w="2689" w:type="dxa"/>
            <w:shd w:val="clear" w:color="auto" w:fill="E6E7E8"/>
          </w:tcPr>
          <w:p>
            <w:pPr>
              <w:pStyle w:val="TableParagraph"/>
              <w:spacing w:before="68"/>
              <w:ind w:left="85"/>
              <w:rPr>
                <w:rFonts w:ascii="TT Norms Pro"/>
                <w:sz w:val="14"/>
              </w:rPr>
            </w:pPr>
            <w:r>
              <w:rPr>
                <w:rFonts w:ascii="TT Norms Pro"/>
                <w:sz w:val="14"/>
              </w:rPr>
              <w:t>Graduate</w:t>
            </w:r>
            <w:r>
              <w:rPr>
                <w:rFonts w:ascii="TT Norms Pro"/>
                <w:spacing w:val="11"/>
                <w:sz w:val="14"/>
              </w:rPr>
              <w:t> </w:t>
            </w:r>
            <w:r>
              <w:rPr>
                <w:rFonts w:ascii="TT Norms Pro"/>
                <w:spacing w:val="-2"/>
                <w:sz w:val="14"/>
              </w:rPr>
              <w:t>certificate</w:t>
            </w:r>
          </w:p>
        </w:tc>
        <w:tc>
          <w:tcPr>
            <w:tcW w:w="993" w:type="dxa"/>
          </w:tcPr>
          <w:p>
            <w:pPr>
              <w:pStyle w:val="TableParagraph"/>
              <w:spacing w:before="68"/>
              <w:ind w:right="47"/>
              <w:jc w:val="right"/>
              <w:rPr>
                <w:rFonts w:ascii="TT Norms Pro Light"/>
                <w:b w:val="0"/>
                <w:sz w:val="14"/>
              </w:rPr>
            </w:pPr>
            <w:r>
              <w:rPr>
                <w:rFonts w:ascii="TT Norms Pro Light"/>
                <w:b w:val="0"/>
                <w:spacing w:val="-5"/>
                <w:sz w:val="14"/>
              </w:rPr>
              <w:t>105</w:t>
            </w:r>
          </w:p>
        </w:tc>
        <w:tc>
          <w:tcPr>
            <w:tcW w:w="993" w:type="dxa"/>
            <w:shd w:val="clear" w:color="auto" w:fill="E6E7E8"/>
          </w:tcPr>
          <w:p>
            <w:pPr>
              <w:pStyle w:val="TableParagraph"/>
              <w:spacing w:before="68"/>
              <w:ind w:right="53"/>
              <w:jc w:val="right"/>
              <w:rPr>
                <w:rFonts w:ascii="TT Norms Pro Light"/>
                <w:b w:val="0"/>
                <w:sz w:val="14"/>
              </w:rPr>
            </w:pPr>
            <w:r>
              <w:rPr>
                <w:rFonts w:ascii="TT Norms Pro Light"/>
                <w:b w:val="0"/>
                <w:spacing w:val="-5"/>
                <w:sz w:val="14"/>
              </w:rPr>
              <w:t>103</w:t>
            </w:r>
          </w:p>
        </w:tc>
        <w:tc>
          <w:tcPr>
            <w:tcW w:w="993" w:type="dxa"/>
          </w:tcPr>
          <w:p>
            <w:pPr>
              <w:pStyle w:val="TableParagraph"/>
              <w:spacing w:before="68"/>
              <w:ind w:right="52"/>
              <w:jc w:val="right"/>
              <w:rPr>
                <w:rFonts w:ascii="TT Norms Pro Light"/>
                <w:b w:val="0"/>
                <w:sz w:val="14"/>
              </w:rPr>
            </w:pPr>
            <w:r>
              <w:rPr>
                <w:rFonts w:ascii="TT Norms Pro Light"/>
                <w:b w:val="0"/>
                <w:spacing w:val="-5"/>
                <w:sz w:val="14"/>
              </w:rPr>
              <w:t>130</w:t>
            </w:r>
          </w:p>
        </w:tc>
        <w:tc>
          <w:tcPr>
            <w:tcW w:w="993" w:type="dxa"/>
            <w:shd w:val="clear" w:color="auto" w:fill="E6E7E8"/>
          </w:tcPr>
          <w:p>
            <w:pPr>
              <w:pStyle w:val="TableParagraph"/>
              <w:spacing w:before="68"/>
              <w:ind w:right="52"/>
              <w:jc w:val="right"/>
              <w:rPr>
                <w:rFonts w:ascii="TT Norms Pro Light"/>
                <w:b w:val="0"/>
                <w:sz w:val="14"/>
              </w:rPr>
            </w:pPr>
            <w:r>
              <w:rPr>
                <w:rFonts w:ascii="TT Norms Pro Light"/>
                <w:b w:val="0"/>
                <w:spacing w:val="-5"/>
                <w:sz w:val="14"/>
              </w:rPr>
              <w:t>188</w:t>
            </w:r>
          </w:p>
        </w:tc>
        <w:tc>
          <w:tcPr>
            <w:tcW w:w="993" w:type="dxa"/>
          </w:tcPr>
          <w:p>
            <w:pPr>
              <w:pStyle w:val="TableParagraph"/>
              <w:spacing w:before="68"/>
              <w:ind w:right="51"/>
              <w:jc w:val="right"/>
              <w:rPr>
                <w:rFonts w:ascii="TT Norms Pro Light"/>
                <w:b w:val="0"/>
                <w:sz w:val="14"/>
              </w:rPr>
            </w:pPr>
            <w:r>
              <w:rPr>
                <w:rFonts w:ascii="TT Norms Pro Light"/>
                <w:b w:val="0"/>
                <w:spacing w:val="-5"/>
                <w:sz w:val="14"/>
              </w:rPr>
              <w:t>157</w:t>
            </w:r>
          </w:p>
        </w:tc>
        <w:tc>
          <w:tcPr>
            <w:tcW w:w="993" w:type="dxa"/>
            <w:shd w:val="clear" w:color="auto" w:fill="E6E7E8"/>
          </w:tcPr>
          <w:p>
            <w:pPr>
              <w:pStyle w:val="TableParagraph"/>
              <w:spacing w:before="68"/>
              <w:ind w:right="51"/>
              <w:jc w:val="right"/>
              <w:rPr>
                <w:rFonts w:ascii="TT Norms Pro Light"/>
                <w:b w:val="0"/>
                <w:sz w:val="14"/>
              </w:rPr>
            </w:pPr>
            <w:r>
              <w:rPr>
                <w:rFonts w:ascii="TT Norms Pro Light"/>
                <w:b w:val="0"/>
                <w:spacing w:val="-5"/>
                <w:sz w:val="14"/>
              </w:rPr>
              <w:t>208</w:t>
            </w:r>
          </w:p>
        </w:tc>
        <w:tc>
          <w:tcPr>
            <w:tcW w:w="993" w:type="dxa"/>
          </w:tcPr>
          <w:p>
            <w:pPr>
              <w:pStyle w:val="TableParagraph"/>
              <w:spacing w:before="68"/>
              <w:ind w:right="50"/>
              <w:jc w:val="right"/>
              <w:rPr>
                <w:rFonts w:ascii="TT Norms Pro Light"/>
                <w:b w:val="0"/>
                <w:sz w:val="14"/>
              </w:rPr>
            </w:pPr>
            <w:r>
              <w:rPr>
                <w:rFonts w:ascii="TT Norms Pro Light"/>
                <w:b w:val="0"/>
                <w:spacing w:val="-5"/>
                <w:sz w:val="14"/>
              </w:rPr>
              <w:t>240</w:t>
            </w:r>
          </w:p>
        </w:tc>
      </w:tr>
      <w:tr>
        <w:trPr>
          <w:trHeight w:val="289" w:hRule="atLeast"/>
        </w:trPr>
        <w:tc>
          <w:tcPr>
            <w:tcW w:w="2689" w:type="dxa"/>
            <w:tcBorders>
              <w:bottom w:val="single" w:sz="2" w:space="0" w:color="000000"/>
            </w:tcBorders>
            <w:shd w:val="clear" w:color="auto" w:fill="E6E7E8"/>
          </w:tcPr>
          <w:p>
            <w:pPr>
              <w:pStyle w:val="TableParagraph"/>
              <w:spacing w:before="68"/>
              <w:ind w:left="85"/>
              <w:rPr>
                <w:rFonts w:ascii="TT Norms Pro"/>
                <w:sz w:val="14"/>
              </w:rPr>
            </w:pPr>
            <w:r>
              <w:rPr>
                <w:rFonts w:ascii="TT Norms Pro"/>
                <w:sz w:val="14"/>
              </w:rPr>
              <w:t>Master's</w:t>
            </w:r>
            <w:r>
              <w:rPr>
                <w:rFonts w:ascii="TT Norms Pro"/>
                <w:spacing w:val="13"/>
                <w:sz w:val="14"/>
              </w:rPr>
              <w:t> </w:t>
            </w:r>
            <w:r>
              <w:rPr>
                <w:rFonts w:ascii="TT Norms Pro"/>
                <w:sz w:val="14"/>
              </w:rPr>
              <w:t>degree</w:t>
            </w:r>
            <w:r>
              <w:rPr>
                <w:rFonts w:ascii="TT Norms Pro"/>
                <w:spacing w:val="13"/>
                <w:sz w:val="14"/>
              </w:rPr>
              <w:t> </w:t>
            </w:r>
            <w:r>
              <w:rPr>
                <w:rFonts w:ascii="TT Norms Pro"/>
                <w:spacing w:val="-2"/>
                <w:sz w:val="14"/>
              </w:rPr>
              <w:t>extended</w:t>
            </w:r>
          </w:p>
        </w:tc>
        <w:tc>
          <w:tcPr>
            <w:tcW w:w="993" w:type="dxa"/>
            <w:tcBorders>
              <w:bottom w:val="single" w:sz="2" w:space="0" w:color="000000"/>
            </w:tcBorders>
          </w:tcPr>
          <w:p>
            <w:pPr>
              <w:pStyle w:val="TableParagraph"/>
              <w:spacing w:before="68"/>
              <w:ind w:right="53"/>
              <w:jc w:val="right"/>
              <w:rPr>
                <w:rFonts w:ascii="TT Norms Pro Light"/>
                <w:b w:val="0"/>
                <w:sz w:val="14"/>
              </w:rPr>
            </w:pPr>
            <w:r>
              <w:rPr>
                <w:rFonts w:ascii="TT Norms Pro Light"/>
                <w:b w:val="0"/>
                <w:spacing w:val="-5"/>
                <w:sz w:val="14"/>
              </w:rPr>
              <w:t>44</w:t>
            </w:r>
          </w:p>
        </w:tc>
        <w:tc>
          <w:tcPr>
            <w:tcW w:w="993" w:type="dxa"/>
            <w:tcBorders>
              <w:bottom w:val="single" w:sz="2" w:space="0" w:color="000000"/>
            </w:tcBorders>
            <w:shd w:val="clear" w:color="auto" w:fill="E6E7E8"/>
          </w:tcPr>
          <w:p>
            <w:pPr>
              <w:pStyle w:val="TableParagraph"/>
              <w:spacing w:before="68"/>
              <w:ind w:right="53"/>
              <w:jc w:val="right"/>
              <w:rPr>
                <w:rFonts w:ascii="TT Norms Pro Light"/>
                <w:b w:val="0"/>
                <w:sz w:val="14"/>
              </w:rPr>
            </w:pPr>
            <w:r>
              <w:rPr>
                <w:rFonts w:ascii="TT Norms Pro Light"/>
                <w:b w:val="0"/>
                <w:spacing w:val="-5"/>
                <w:sz w:val="14"/>
              </w:rPr>
              <w:t>21</w:t>
            </w:r>
          </w:p>
        </w:tc>
        <w:tc>
          <w:tcPr>
            <w:tcW w:w="993" w:type="dxa"/>
            <w:tcBorders>
              <w:bottom w:val="single" w:sz="2" w:space="0" w:color="000000"/>
            </w:tcBorders>
          </w:tcPr>
          <w:p>
            <w:pPr>
              <w:pStyle w:val="TableParagraph"/>
              <w:spacing w:before="68"/>
              <w:ind w:right="58"/>
              <w:jc w:val="right"/>
              <w:rPr>
                <w:rFonts w:ascii="TT Norms Pro Light"/>
                <w:b w:val="0"/>
                <w:sz w:val="14"/>
              </w:rPr>
            </w:pPr>
            <w:r>
              <w:rPr>
                <w:rFonts w:ascii="TT Norms Pro Light"/>
                <w:b w:val="0"/>
                <w:spacing w:val="-5"/>
                <w:sz w:val="14"/>
              </w:rPr>
              <w:t>74</w:t>
            </w:r>
          </w:p>
        </w:tc>
        <w:tc>
          <w:tcPr>
            <w:tcW w:w="993" w:type="dxa"/>
            <w:tcBorders>
              <w:bottom w:val="single" w:sz="2" w:space="0" w:color="000000"/>
            </w:tcBorders>
            <w:shd w:val="clear" w:color="auto" w:fill="E6E7E8"/>
          </w:tcPr>
          <w:p>
            <w:pPr>
              <w:pStyle w:val="TableParagraph"/>
              <w:spacing w:before="68"/>
              <w:ind w:right="53"/>
              <w:jc w:val="right"/>
              <w:rPr>
                <w:rFonts w:ascii="TT Norms Pro Light"/>
                <w:b w:val="0"/>
                <w:sz w:val="14"/>
              </w:rPr>
            </w:pPr>
            <w:r>
              <w:rPr>
                <w:rFonts w:ascii="TT Norms Pro Light"/>
                <w:b w:val="0"/>
                <w:spacing w:val="-5"/>
                <w:sz w:val="14"/>
              </w:rPr>
              <w:t>161</w:t>
            </w:r>
          </w:p>
        </w:tc>
        <w:tc>
          <w:tcPr>
            <w:tcW w:w="993" w:type="dxa"/>
            <w:tcBorders>
              <w:bottom w:val="single" w:sz="2" w:space="0" w:color="000000"/>
            </w:tcBorders>
          </w:tcPr>
          <w:p>
            <w:pPr>
              <w:pStyle w:val="TableParagraph"/>
              <w:spacing w:before="68"/>
              <w:ind w:right="51"/>
              <w:jc w:val="right"/>
              <w:rPr>
                <w:rFonts w:ascii="TT Norms Pro Light"/>
                <w:b w:val="0"/>
                <w:sz w:val="14"/>
              </w:rPr>
            </w:pPr>
            <w:r>
              <w:rPr>
                <w:rFonts w:ascii="TT Norms Pro Light"/>
                <w:b w:val="0"/>
                <w:spacing w:val="-5"/>
                <w:sz w:val="14"/>
              </w:rPr>
              <w:t>101</w:t>
            </w:r>
          </w:p>
        </w:tc>
        <w:tc>
          <w:tcPr>
            <w:tcW w:w="993" w:type="dxa"/>
            <w:tcBorders>
              <w:bottom w:val="single" w:sz="2" w:space="0" w:color="000000"/>
            </w:tcBorders>
            <w:shd w:val="clear" w:color="auto" w:fill="E6E7E8"/>
          </w:tcPr>
          <w:p>
            <w:pPr>
              <w:pStyle w:val="TableParagraph"/>
              <w:spacing w:before="68"/>
              <w:ind w:right="51"/>
              <w:jc w:val="right"/>
              <w:rPr>
                <w:rFonts w:ascii="TT Norms Pro Light"/>
                <w:b w:val="0"/>
                <w:sz w:val="14"/>
              </w:rPr>
            </w:pPr>
            <w:r>
              <w:rPr>
                <w:rFonts w:ascii="TT Norms Pro Light"/>
                <w:b w:val="0"/>
                <w:spacing w:val="-5"/>
                <w:sz w:val="14"/>
              </w:rPr>
              <w:t>468</w:t>
            </w:r>
          </w:p>
        </w:tc>
        <w:tc>
          <w:tcPr>
            <w:tcW w:w="993" w:type="dxa"/>
            <w:tcBorders>
              <w:bottom w:val="single" w:sz="2" w:space="0" w:color="000000"/>
            </w:tcBorders>
          </w:tcPr>
          <w:p>
            <w:pPr>
              <w:pStyle w:val="TableParagraph"/>
              <w:spacing w:before="68"/>
              <w:ind w:right="50"/>
              <w:jc w:val="right"/>
              <w:rPr>
                <w:rFonts w:ascii="TT Norms Pro Light"/>
                <w:b w:val="0"/>
                <w:sz w:val="14"/>
              </w:rPr>
            </w:pPr>
            <w:r>
              <w:rPr>
                <w:rFonts w:ascii="TT Norms Pro Light"/>
                <w:b w:val="0"/>
                <w:spacing w:val="-5"/>
                <w:sz w:val="14"/>
              </w:rPr>
              <w:t>479</w:t>
            </w:r>
          </w:p>
        </w:tc>
      </w:tr>
      <w:tr>
        <w:trPr>
          <w:trHeight w:val="270" w:hRule="atLeast"/>
        </w:trPr>
        <w:tc>
          <w:tcPr>
            <w:tcW w:w="2689" w:type="dxa"/>
            <w:tcBorders>
              <w:top w:val="single" w:sz="2" w:space="0" w:color="000000"/>
            </w:tcBorders>
            <w:shd w:val="clear" w:color="auto" w:fill="E6E7E8"/>
          </w:tcPr>
          <w:p>
            <w:pPr>
              <w:pStyle w:val="TableParagraph"/>
              <w:spacing w:before="57"/>
              <w:ind w:left="85"/>
              <w:rPr>
                <w:rFonts w:ascii="TT Norms Pro"/>
                <w:sz w:val="14"/>
              </w:rPr>
            </w:pPr>
            <w:r>
              <w:rPr>
                <w:rFonts w:ascii="TT Norms Pro"/>
                <w:sz w:val="14"/>
              </w:rPr>
              <w:t>Sub-total</w:t>
            </w:r>
            <w:r>
              <w:rPr>
                <w:rFonts w:ascii="TT Norms Pro"/>
                <w:spacing w:val="14"/>
                <w:sz w:val="14"/>
              </w:rPr>
              <w:t> </w:t>
            </w:r>
            <w:r>
              <w:rPr>
                <w:rFonts w:ascii="TT Norms Pro"/>
                <w:sz w:val="14"/>
              </w:rPr>
              <w:t>postgraduate</w:t>
            </w:r>
            <w:r>
              <w:rPr>
                <w:rFonts w:ascii="TT Norms Pro"/>
                <w:spacing w:val="14"/>
                <w:sz w:val="14"/>
              </w:rPr>
              <w:t> </w:t>
            </w:r>
            <w:r>
              <w:rPr>
                <w:rFonts w:ascii="TT Norms Pro"/>
                <w:spacing w:val="-2"/>
                <w:sz w:val="14"/>
              </w:rPr>
              <w:t>coursework</w:t>
            </w:r>
          </w:p>
        </w:tc>
        <w:tc>
          <w:tcPr>
            <w:tcW w:w="993" w:type="dxa"/>
            <w:tcBorders>
              <w:top w:val="single" w:sz="2" w:space="0" w:color="000000"/>
            </w:tcBorders>
          </w:tcPr>
          <w:p>
            <w:pPr>
              <w:pStyle w:val="TableParagraph"/>
              <w:spacing w:before="57"/>
              <w:ind w:right="53"/>
              <w:jc w:val="right"/>
              <w:rPr>
                <w:rFonts w:ascii="TT Norms Pro Light"/>
                <w:b w:val="0"/>
                <w:sz w:val="14"/>
              </w:rPr>
            </w:pPr>
            <w:r>
              <w:rPr>
                <w:rFonts w:ascii="TT Norms Pro Light"/>
                <w:b w:val="0"/>
                <w:spacing w:val="-2"/>
                <w:sz w:val="14"/>
              </w:rPr>
              <w:t>1,249</w:t>
            </w:r>
          </w:p>
        </w:tc>
        <w:tc>
          <w:tcPr>
            <w:tcW w:w="993" w:type="dxa"/>
            <w:tcBorders>
              <w:top w:val="single" w:sz="2" w:space="0" w:color="000000"/>
            </w:tcBorders>
            <w:shd w:val="clear" w:color="auto" w:fill="E6E7E8"/>
          </w:tcPr>
          <w:p>
            <w:pPr>
              <w:pStyle w:val="TableParagraph"/>
              <w:spacing w:before="57"/>
              <w:ind w:right="53"/>
              <w:jc w:val="right"/>
              <w:rPr>
                <w:rFonts w:ascii="TT Norms Pro Light"/>
                <w:b w:val="0"/>
                <w:sz w:val="14"/>
              </w:rPr>
            </w:pPr>
            <w:r>
              <w:rPr>
                <w:rFonts w:ascii="TT Norms Pro Light"/>
                <w:b w:val="0"/>
                <w:spacing w:val="-2"/>
                <w:sz w:val="14"/>
              </w:rPr>
              <w:t>1,156</w:t>
            </w:r>
          </w:p>
        </w:tc>
        <w:tc>
          <w:tcPr>
            <w:tcW w:w="993" w:type="dxa"/>
            <w:tcBorders>
              <w:top w:val="single" w:sz="2" w:space="0" w:color="000000"/>
            </w:tcBorders>
          </w:tcPr>
          <w:p>
            <w:pPr>
              <w:pStyle w:val="TableParagraph"/>
              <w:spacing w:before="57"/>
              <w:ind w:right="52"/>
              <w:jc w:val="right"/>
              <w:rPr>
                <w:rFonts w:ascii="TT Norms Pro Light"/>
                <w:b w:val="0"/>
                <w:sz w:val="14"/>
              </w:rPr>
            </w:pPr>
            <w:r>
              <w:rPr>
                <w:rFonts w:ascii="TT Norms Pro Light"/>
                <w:b w:val="0"/>
                <w:spacing w:val="-2"/>
                <w:sz w:val="14"/>
              </w:rPr>
              <w:t>1,656</w:t>
            </w:r>
          </w:p>
        </w:tc>
        <w:tc>
          <w:tcPr>
            <w:tcW w:w="993" w:type="dxa"/>
            <w:tcBorders>
              <w:top w:val="single" w:sz="2" w:space="0" w:color="000000"/>
            </w:tcBorders>
            <w:shd w:val="clear" w:color="auto" w:fill="E6E7E8"/>
          </w:tcPr>
          <w:p>
            <w:pPr>
              <w:pStyle w:val="TableParagraph"/>
              <w:spacing w:before="57"/>
              <w:ind w:right="52"/>
              <w:jc w:val="right"/>
              <w:rPr>
                <w:rFonts w:ascii="TT Norms Pro Light"/>
                <w:b w:val="0"/>
                <w:sz w:val="14"/>
              </w:rPr>
            </w:pPr>
            <w:r>
              <w:rPr>
                <w:rFonts w:ascii="TT Norms Pro Light"/>
                <w:b w:val="0"/>
                <w:spacing w:val="-2"/>
                <w:sz w:val="14"/>
              </w:rPr>
              <w:t>2,079</w:t>
            </w:r>
          </w:p>
        </w:tc>
        <w:tc>
          <w:tcPr>
            <w:tcW w:w="993" w:type="dxa"/>
            <w:tcBorders>
              <w:top w:val="single" w:sz="2" w:space="0" w:color="000000"/>
            </w:tcBorders>
          </w:tcPr>
          <w:p>
            <w:pPr>
              <w:pStyle w:val="TableParagraph"/>
              <w:spacing w:before="57"/>
              <w:ind w:right="51"/>
              <w:jc w:val="right"/>
              <w:rPr>
                <w:rFonts w:ascii="TT Norms Pro Light"/>
                <w:b w:val="0"/>
                <w:sz w:val="14"/>
              </w:rPr>
            </w:pPr>
            <w:r>
              <w:rPr>
                <w:rFonts w:ascii="TT Norms Pro Light"/>
                <w:b w:val="0"/>
                <w:spacing w:val="-2"/>
                <w:sz w:val="14"/>
              </w:rPr>
              <w:t>2,216</w:t>
            </w:r>
          </w:p>
        </w:tc>
        <w:tc>
          <w:tcPr>
            <w:tcW w:w="993" w:type="dxa"/>
            <w:tcBorders>
              <w:top w:val="single" w:sz="2" w:space="0" w:color="000000"/>
            </w:tcBorders>
            <w:shd w:val="clear" w:color="auto" w:fill="E6E7E8"/>
          </w:tcPr>
          <w:p>
            <w:pPr>
              <w:pStyle w:val="TableParagraph"/>
              <w:spacing w:before="57"/>
              <w:ind w:right="51"/>
              <w:jc w:val="right"/>
              <w:rPr>
                <w:rFonts w:ascii="TT Norms Pro Light"/>
                <w:b w:val="0"/>
                <w:sz w:val="14"/>
              </w:rPr>
            </w:pPr>
            <w:r>
              <w:rPr>
                <w:rFonts w:ascii="TT Norms Pro Light"/>
                <w:b w:val="0"/>
                <w:spacing w:val="-2"/>
                <w:sz w:val="14"/>
              </w:rPr>
              <w:t>2,858</w:t>
            </w:r>
          </w:p>
        </w:tc>
        <w:tc>
          <w:tcPr>
            <w:tcW w:w="993" w:type="dxa"/>
            <w:tcBorders>
              <w:top w:val="single" w:sz="2" w:space="0" w:color="000000"/>
            </w:tcBorders>
          </w:tcPr>
          <w:p>
            <w:pPr>
              <w:pStyle w:val="TableParagraph"/>
              <w:spacing w:before="57"/>
              <w:ind w:right="50"/>
              <w:jc w:val="right"/>
              <w:rPr>
                <w:rFonts w:ascii="TT Norms Pro Light"/>
                <w:b w:val="0"/>
                <w:sz w:val="14"/>
              </w:rPr>
            </w:pPr>
            <w:r>
              <w:rPr>
                <w:rFonts w:ascii="TT Norms Pro Light"/>
                <w:b w:val="0"/>
                <w:spacing w:val="-2"/>
                <w:sz w:val="14"/>
              </w:rPr>
              <w:t>2,526</w:t>
            </w:r>
          </w:p>
        </w:tc>
      </w:tr>
      <w:tr>
        <w:trPr>
          <w:trHeight w:val="284" w:hRule="atLeast"/>
        </w:trPr>
        <w:tc>
          <w:tcPr>
            <w:tcW w:w="2689" w:type="dxa"/>
            <w:shd w:val="clear" w:color="auto" w:fill="E6E7E8"/>
          </w:tcPr>
          <w:p>
            <w:pPr>
              <w:pStyle w:val="TableParagraph"/>
              <w:spacing w:before="62"/>
              <w:ind w:left="85"/>
              <w:rPr>
                <w:rFonts w:ascii="Verdana"/>
                <w:i/>
                <w:sz w:val="14"/>
              </w:rPr>
            </w:pPr>
            <w:r>
              <w:rPr>
                <w:rFonts w:ascii="Verdana"/>
                <w:i/>
                <w:w w:val="85"/>
                <w:sz w:val="14"/>
              </w:rPr>
              <w:t>%</w:t>
            </w:r>
            <w:r>
              <w:rPr>
                <w:rFonts w:ascii="Verdana"/>
                <w:i/>
                <w:spacing w:val="5"/>
                <w:sz w:val="14"/>
              </w:rPr>
              <w:t> </w:t>
            </w:r>
            <w:r>
              <w:rPr>
                <w:rFonts w:ascii="Verdana"/>
                <w:i/>
                <w:w w:val="85"/>
                <w:sz w:val="14"/>
              </w:rPr>
              <w:t>Postgraduate</w:t>
            </w:r>
            <w:r>
              <w:rPr>
                <w:rFonts w:ascii="Verdana"/>
                <w:i/>
                <w:spacing w:val="6"/>
                <w:sz w:val="14"/>
              </w:rPr>
              <w:t> </w:t>
            </w:r>
            <w:r>
              <w:rPr>
                <w:rFonts w:ascii="Verdana"/>
                <w:i/>
                <w:spacing w:val="-2"/>
                <w:w w:val="85"/>
                <w:sz w:val="14"/>
              </w:rPr>
              <w:t>coursework</w:t>
            </w:r>
          </w:p>
        </w:tc>
        <w:tc>
          <w:tcPr>
            <w:tcW w:w="993" w:type="dxa"/>
          </w:tcPr>
          <w:p>
            <w:pPr>
              <w:pStyle w:val="TableParagraph"/>
              <w:spacing w:before="70"/>
              <w:ind w:right="54"/>
              <w:jc w:val="right"/>
              <w:rPr>
                <w:rFonts w:ascii="TT Norms Pro Light"/>
                <w:b w:val="0"/>
                <w:sz w:val="14"/>
              </w:rPr>
            </w:pPr>
            <w:r>
              <w:rPr>
                <w:rFonts w:ascii="TT Norms Pro Light"/>
                <w:b w:val="0"/>
                <w:spacing w:val="-2"/>
                <w:sz w:val="14"/>
              </w:rPr>
              <w:t>19.1%</w:t>
            </w:r>
          </w:p>
        </w:tc>
        <w:tc>
          <w:tcPr>
            <w:tcW w:w="993" w:type="dxa"/>
            <w:shd w:val="clear" w:color="auto" w:fill="E6E7E8"/>
          </w:tcPr>
          <w:p>
            <w:pPr>
              <w:pStyle w:val="TableParagraph"/>
              <w:spacing w:before="70"/>
              <w:ind w:right="53"/>
              <w:jc w:val="right"/>
              <w:rPr>
                <w:rFonts w:ascii="TT Norms Pro Light"/>
                <w:b w:val="0"/>
                <w:sz w:val="14"/>
              </w:rPr>
            </w:pPr>
            <w:r>
              <w:rPr>
                <w:rFonts w:ascii="TT Norms Pro Light"/>
                <w:b w:val="0"/>
                <w:spacing w:val="-2"/>
                <w:sz w:val="14"/>
              </w:rPr>
              <w:t>15.5%</w:t>
            </w:r>
          </w:p>
        </w:tc>
        <w:tc>
          <w:tcPr>
            <w:tcW w:w="993" w:type="dxa"/>
          </w:tcPr>
          <w:p>
            <w:pPr>
              <w:pStyle w:val="TableParagraph"/>
              <w:spacing w:before="70"/>
              <w:ind w:right="52"/>
              <w:jc w:val="right"/>
              <w:rPr>
                <w:rFonts w:ascii="TT Norms Pro Light"/>
                <w:b w:val="0"/>
                <w:sz w:val="14"/>
              </w:rPr>
            </w:pPr>
            <w:r>
              <w:rPr>
                <w:rFonts w:ascii="TT Norms Pro Light"/>
                <w:b w:val="0"/>
                <w:spacing w:val="-2"/>
                <w:sz w:val="14"/>
              </w:rPr>
              <w:t>20.4%</w:t>
            </w:r>
          </w:p>
        </w:tc>
        <w:tc>
          <w:tcPr>
            <w:tcW w:w="993" w:type="dxa"/>
            <w:shd w:val="clear" w:color="auto" w:fill="E6E7E8"/>
          </w:tcPr>
          <w:p>
            <w:pPr>
              <w:pStyle w:val="TableParagraph"/>
              <w:spacing w:before="70"/>
              <w:ind w:right="52"/>
              <w:jc w:val="right"/>
              <w:rPr>
                <w:rFonts w:ascii="TT Norms Pro Light"/>
                <w:b w:val="0"/>
                <w:sz w:val="14"/>
              </w:rPr>
            </w:pPr>
            <w:r>
              <w:rPr>
                <w:rFonts w:ascii="TT Norms Pro Light"/>
                <w:b w:val="0"/>
                <w:spacing w:val="-2"/>
                <w:sz w:val="14"/>
              </w:rPr>
              <w:t>29.3%</w:t>
            </w:r>
          </w:p>
        </w:tc>
        <w:tc>
          <w:tcPr>
            <w:tcW w:w="993" w:type="dxa"/>
          </w:tcPr>
          <w:p>
            <w:pPr>
              <w:pStyle w:val="TableParagraph"/>
              <w:spacing w:before="70"/>
              <w:ind w:right="52"/>
              <w:jc w:val="right"/>
              <w:rPr>
                <w:rFonts w:ascii="TT Norms Pro Light"/>
                <w:b w:val="0"/>
                <w:sz w:val="14"/>
              </w:rPr>
            </w:pPr>
            <w:r>
              <w:rPr>
                <w:rFonts w:ascii="TT Norms Pro Light"/>
                <w:b w:val="0"/>
                <w:spacing w:val="-2"/>
                <w:sz w:val="14"/>
              </w:rPr>
              <w:t>35.0%</w:t>
            </w:r>
          </w:p>
        </w:tc>
        <w:tc>
          <w:tcPr>
            <w:tcW w:w="993" w:type="dxa"/>
            <w:shd w:val="clear" w:color="auto" w:fill="E6E7E8"/>
          </w:tcPr>
          <w:p>
            <w:pPr>
              <w:pStyle w:val="TableParagraph"/>
              <w:spacing w:before="70"/>
              <w:ind w:right="51"/>
              <w:jc w:val="right"/>
              <w:rPr>
                <w:rFonts w:ascii="TT Norms Pro Light"/>
                <w:b w:val="0"/>
                <w:sz w:val="14"/>
              </w:rPr>
            </w:pPr>
            <w:r>
              <w:rPr>
                <w:rFonts w:ascii="TT Norms Pro Light"/>
                <w:b w:val="0"/>
                <w:spacing w:val="-2"/>
                <w:sz w:val="14"/>
              </w:rPr>
              <w:t>40.2%</w:t>
            </w:r>
          </w:p>
        </w:tc>
        <w:tc>
          <w:tcPr>
            <w:tcW w:w="993" w:type="dxa"/>
          </w:tcPr>
          <w:p>
            <w:pPr>
              <w:pStyle w:val="TableParagraph"/>
              <w:spacing w:before="70"/>
              <w:ind w:right="51"/>
              <w:jc w:val="right"/>
              <w:rPr>
                <w:rFonts w:ascii="TT Norms Pro Light"/>
                <w:b w:val="0"/>
                <w:sz w:val="14"/>
              </w:rPr>
            </w:pPr>
            <w:r>
              <w:rPr>
                <w:rFonts w:ascii="TT Norms Pro Light"/>
                <w:b w:val="0"/>
                <w:spacing w:val="-2"/>
                <w:sz w:val="14"/>
              </w:rPr>
              <w:t>39.0%</w:t>
            </w:r>
          </w:p>
        </w:tc>
      </w:tr>
      <w:tr>
        <w:trPr>
          <w:trHeight w:val="285" w:hRule="atLeast"/>
        </w:trPr>
        <w:tc>
          <w:tcPr>
            <w:tcW w:w="2689" w:type="dxa"/>
            <w:shd w:val="clear" w:color="auto" w:fill="E6E7E8"/>
          </w:tcPr>
          <w:p>
            <w:pPr>
              <w:pStyle w:val="TableParagraph"/>
              <w:spacing w:before="69"/>
              <w:ind w:left="84"/>
              <w:rPr>
                <w:rFonts w:ascii="TT Norms Pro"/>
                <w:b/>
                <w:sz w:val="14"/>
              </w:rPr>
            </w:pPr>
            <w:r>
              <w:rPr>
                <w:rFonts w:ascii="TT Norms Pro"/>
                <w:b/>
                <w:spacing w:val="-2"/>
                <w:sz w:val="14"/>
              </w:rPr>
              <w:t>Undergraduate</w:t>
            </w:r>
          </w:p>
        </w:tc>
        <w:tc>
          <w:tcPr>
            <w:tcW w:w="993" w:type="dxa"/>
          </w:tcPr>
          <w:p>
            <w:pPr>
              <w:pStyle w:val="TableParagraph"/>
              <w:rPr>
                <w:rFonts w:ascii="Times New Roman"/>
                <w:sz w:val="14"/>
              </w:rPr>
            </w:pPr>
          </w:p>
        </w:tc>
        <w:tc>
          <w:tcPr>
            <w:tcW w:w="993" w:type="dxa"/>
            <w:shd w:val="clear" w:color="auto" w:fill="E6E7E8"/>
          </w:tcPr>
          <w:p>
            <w:pPr>
              <w:pStyle w:val="TableParagraph"/>
              <w:rPr>
                <w:rFonts w:ascii="Times New Roman"/>
                <w:sz w:val="14"/>
              </w:rPr>
            </w:pPr>
          </w:p>
        </w:tc>
        <w:tc>
          <w:tcPr>
            <w:tcW w:w="993" w:type="dxa"/>
          </w:tcPr>
          <w:p>
            <w:pPr>
              <w:pStyle w:val="TableParagraph"/>
              <w:rPr>
                <w:rFonts w:ascii="Times New Roman"/>
                <w:sz w:val="14"/>
              </w:rPr>
            </w:pPr>
          </w:p>
        </w:tc>
        <w:tc>
          <w:tcPr>
            <w:tcW w:w="993" w:type="dxa"/>
            <w:shd w:val="clear" w:color="auto" w:fill="E6E7E8"/>
          </w:tcPr>
          <w:p>
            <w:pPr>
              <w:pStyle w:val="TableParagraph"/>
              <w:rPr>
                <w:rFonts w:ascii="Times New Roman"/>
                <w:sz w:val="14"/>
              </w:rPr>
            </w:pPr>
          </w:p>
        </w:tc>
        <w:tc>
          <w:tcPr>
            <w:tcW w:w="993" w:type="dxa"/>
          </w:tcPr>
          <w:p>
            <w:pPr>
              <w:pStyle w:val="TableParagraph"/>
              <w:rPr>
                <w:rFonts w:ascii="Times New Roman"/>
                <w:sz w:val="14"/>
              </w:rPr>
            </w:pPr>
          </w:p>
        </w:tc>
        <w:tc>
          <w:tcPr>
            <w:tcW w:w="993" w:type="dxa"/>
            <w:shd w:val="clear" w:color="auto" w:fill="E6E7E8"/>
          </w:tcPr>
          <w:p>
            <w:pPr>
              <w:pStyle w:val="TableParagraph"/>
              <w:rPr>
                <w:rFonts w:ascii="Times New Roman"/>
                <w:sz w:val="14"/>
              </w:rPr>
            </w:pPr>
          </w:p>
        </w:tc>
        <w:tc>
          <w:tcPr>
            <w:tcW w:w="993" w:type="dxa"/>
          </w:tcPr>
          <w:p>
            <w:pPr>
              <w:pStyle w:val="TableParagraph"/>
              <w:rPr>
                <w:rFonts w:ascii="Times New Roman"/>
                <w:sz w:val="14"/>
              </w:rPr>
            </w:pPr>
          </w:p>
        </w:tc>
      </w:tr>
      <w:tr>
        <w:trPr>
          <w:trHeight w:val="282" w:hRule="atLeast"/>
        </w:trPr>
        <w:tc>
          <w:tcPr>
            <w:tcW w:w="2689" w:type="dxa"/>
            <w:shd w:val="clear" w:color="auto" w:fill="E6E7E8"/>
          </w:tcPr>
          <w:p>
            <w:pPr>
              <w:pStyle w:val="TableParagraph"/>
              <w:spacing w:before="67"/>
              <w:ind w:left="84"/>
              <w:rPr>
                <w:rFonts w:ascii="TT Norms Pro"/>
                <w:sz w:val="14"/>
              </w:rPr>
            </w:pPr>
            <w:r>
              <w:rPr>
                <w:rFonts w:ascii="TT Norms Pro"/>
                <w:sz w:val="14"/>
              </w:rPr>
              <w:t>Bachelor's</w:t>
            </w:r>
            <w:r>
              <w:rPr>
                <w:rFonts w:ascii="TT Norms Pro"/>
                <w:spacing w:val="12"/>
                <w:sz w:val="14"/>
              </w:rPr>
              <w:t> </w:t>
            </w:r>
            <w:r>
              <w:rPr>
                <w:rFonts w:ascii="TT Norms Pro"/>
                <w:sz w:val="14"/>
              </w:rPr>
              <w:t>degree</w:t>
            </w:r>
            <w:r>
              <w:rPr>
                <w:rFonts w:ascii="TT Norms Pro"/>
                <w:spacing w:val="14"/>
                <w:sz w:val="14"/>
              </w:rPr>
              <w:t> </w:t>
            </w:r>
            <w:r>
              <w:rPr>
                <w:rFonts w:ascii="TT Norms Pro"/>
                <w:sz w:val="14"/>
              </w:rPr>
              <w:t>(graduate</w:t>
            </w:r>
            <w:r>
              <w:rPr>
                <w:rFonts w:ascii="TT Norms Pro"/>
                <w:spacing w:val="14"/>
                <w:sz w:val="14"/>
              </w:rPr>
              <w:t> </w:t>
            </w:r>
            <w:r>
              <w:rPr>
                <w:rFonts w:ascii="TT Norms Pro"/>
                <w:spacing w:val="-2"/>
                <w:sz w:val="14"/>
              </w:rPr>
              <w:t>entry)</w:t>
            </w:r>
          </w:p>
        </w:tc>
        <w:tc>
          <w:tcPr>
            <w:tcW w:w="993" w:type="dxa"/>
          </w:tcPr>
          <w:p>
            <w:pPr>
              <w:pStyle w:val="TableParagraph"/>
              <w:spacing w:before="67"/>
              <w:ind w:right="54"/>
              <w:jc w:val="right"/>
              <w:rPr>
                <w:rFonts w:ascii="TT Norms Pro Light"/>
                <w:b w:val="0"/>
                <w:sz w:val="14"/>
              </w:rPr>
            </w:pPr>
            <w:r>
              <w:rPr>
                <w:rFonts w:ascii="TT Norms Pro Light"/>
                <w:b w:val="0"/>
                <w:spacing w:val="-5"/>
                <w:sz w:val="14"/>
              </w:rPr>
              <w:t>91</w:t>
            </w:r>
          </w:p>
        </w:tc>
        <w:tc>
          <w:tcPr>
            <w:tcW w:w="993" w:type="dxa"/>
            <w:shd w:val="clear" w:color="auto" w:fill="E6E7E8"/>
          </w:tcPr>
          <w:p>
            <w:pPr>
              <w:pStyle w:val="TableParagraph"/>
              <w:spacing w:before="67"/>
              <w:ind w:right="53"/>
              <w:jc w:val="right"/>
              <w:rPr>
                <w:rFonts w:ascii="TT Norms Pro Light"/>
                <w:b w:val="0"/>
                <w:sz w:val="14"/>
              </w:rPr>
            </w:pPr>
            <w:r>
              <w:rPr>
                <w:rFonts w:ascii="TT Norms Pro Light"/>
                <w:b w:val="0"/>
                <w:spacing w:val="-5"/>
                <w:sz w:val="14"/>
              </w:rPr>
              <w:t>87</w:t>
            </w:r>
          </w:p>
        </w:tc>
        <w:tc>
          <w:tcPr>
            <w:tcW w:w="993" w:type="dxa"/>
          </w:tcPr>
          <w:p>
            <w:pPr>
              <w:pStyle w:val="TableParagraph"/>
              <w:spacing w:before="67"/>
              <w:ind w:right="53"/>
              <w:jc w:val="right"/>
              <w:rPr>
                <w:rFonts w:ascii="TT Norms Pro Light"/>
                <w:b w:val="0"/>
                <w:sz w:val="14"/>
              </w:rPr>
            </w:pPr>
            <w:r>
              <w:rPr>
                <w:rFonts w:ascii="TT Norms Pro Light"/>
                <w:b w:val="0"/>
                <w:spacing w:val="-5"/>
                <w:sz w:val="14"/>
              </w:rPr>
              <w:t>133</w:t>
            </w:r>
          </w:p>
        </w:tc>
        <w:tc>
          <w:tcPr>
            <w:tcW w:w="993" w:type="dxa"/>
            <w:shd w:val="clear" w:color="auto" w:fill="E6E7E8"/>
          </w:tcPr>
          <w:p>
            <w:pPr>
              <w:pStyle w:val="TableParagraph"/>
              <w:spacing w:before="67"/>
              <w:ind w:right="52"/>
              <w:jc w:val="right"/>
              <w:rPr>
                <w:rFonts w:ascii="TT Norms Pro Light"/>
                <w:b w:val="0"/>
                <w:sz w:val="14"/>
              </w:rPr>
            </w:pPr>
            <w:r>
              <w:rPr>
                <w:rFonts w:ascii="TT Norms Pro Light"/>
                <w:b w:val="0"/>
                <w:spacing w:val="-10"/>
                <w:sz w:val="14"/>
              </w:rPr>
              <w:t>6</w:t>
            </w:r>
          </w:p>
        </w:tc>
        <w:tc>
          <w:tcPr>
            <w:tcW w:w="993" w:type="dxa"/>
          </w:tcPr>
          <w:p>
            <w:pPr>
              <w:pStyle w:val="TableParagraph"/>
              <w:spacing w:before="67"/>
              <w:ind w:right="52"/>
              <w:jc w:val="right"/>
              <w:rPr>
                <w:rFonts w:ascii="TT Norms Pro Light"/>
                <w:b w:val="0"/>
                <w:sz w:val="14"/>
              </w:rPr>
            </w:pPr>
            <w:r>
              <w:rPr>
                <w:rFonts w:ascii="TT Norms Pro Light"/>
                <w:b w:val="0"/>
                <w:spacing w:val="-10"/>
                <w:sz w:val="14"/>
              </w:rPr>
              <w:t>7</w:t>
            </w:r>
          </w:p>
        </w:tc>
        <w:tc>
          <w:tcPr>
            <w:tcW w:w="993" w:type="dxa"/>
            <w:shd w:val="clear" w:color="auto" w:fill="E6E7E8"/>
          </w:tcPr>
          <w:p>
            <w:pPr>
              <w:pStyle w:val="TableParagraph"/>
              <w:spacing w:before="67"/>
              <w:ind w:right="53"/>
              <w:jc w:val="right"/>
              <w:rPr>
                <w:rFonts w:ascii="TT Norms Pro Light"/>
                <w:b w:val="0"/>
                <w:sz w:val="14"/>
              </w:rPr>
            </w:pPr>
            <w:r>
              <w:rPr>
                <w:rFonts w:ascii="TT Norms Pro Light"/>
                <w:b w:val="0"/>
                <w:spacing w:val="-10"/>
                <w:sz w:val="14"/>
              </w:rPr>
              <w:t>3</w:t>
            </w:r>
          </w:p>
        </w:tc>
        <w:tc>
          <w:tcPr>
            <w:tcW w:w="993" w:type="dxa"/>
          </w:tcPr>
          <w:p>
            <w:pPr>
              <w:pStyle w:val="TableParagraph"/>
              <w:spacing w:before="67"/>
              <w:ind w:right="51"/>
              <w:jc w:val="right"/>
              <w:rPr>
                <w:rFonts w:ascii="TT Norms Pro Light"/>
                <w:b w:val="0"/>
                <w:sz w:val="14"/>
              </w:rPr>
            </w:pPr>
            <w:r>
              <w:rPr>
                <w:rFonts w:ascii="TT Norms Pro Light"/>
                <w:b w:val="0"/>
                <w:spacing w:val="-10"/>
                <w:sz w:val="14"/>
              </w:rPr>
              <w:t>2</w:t>
            </w:r>
          </w:p>
        </w:tc>
      </w:tr>
      <w:tr>
        <w:trPr>
          <w:trHeight w:val="283" w:hRule="atLeast"/>
        </w:trPr>
        <w:tc>
          <w:tcPr>
            <w:tcW w:w="2689" w:type="dxa"/>
            <w:shd w:val="clear" w:color="auto" w:fill="E6E7E8"/>
          </w:tcPr>
          <w:p>
            <w:pPr>
              <w:pStyle w:val="TableParagraph"/>
              <w:spacing w:before="68"/>
              <w:ind w:left="84"/>
              <w:rPr>
                <w:rFonts w:ascii="TT Norms Pro"/>
                <w:sz w:val="14"/>
              </w:rPr>
            </w:pPr>
            <w:r>
              <w:rPr>
                <w:rFonts w:ascii="TT Norms Pro"/>
                <w:sz w:val="14"/>
              </w:rPr>
              <w:t>Bachelor's</w:t>
            </w:r>
            <w:r>
              <w:rPr>
                <w:rFonts w:ascii="TT Norms Pro"/>
                <w:spacing w:val="15"/>
                <w:sz w:val="14"/>
              </w:rPr>
              <w:t> </w:t>
            </w:r>
            <w:r>
              <w:rPr>
                <w:rFonts w:ascii="TT Norms Pro"/>
                <w:sz w:val="14"/>
              </w:rPr>
              <w:t>honours</w:t>
            </w:r>
            <w:r>
              <w:rPr>
                <w:rFonts w:ascii="TT Norms Pro"/>
                <w:spacing w:val="17"/>
                <w:sz w:val="14"/>
              </w:rPr>
              <w:t> </w:t>
            </w:r>
            <w:r>
              <w:rPr>
                <w:rFonts w:ascii="TT Norms Pro"/>
                <w:spacing w:val="-2"/>
                <w:sz w:val="14"/>
              </w:rPr>
              <w:t>degree</w:t>
            </w:r>
          </w:p>
        </w:tc>
        <w:tc>
          <w:tcPr>
            <w:tcW w:w="993" w:type="dxa"/>
          </w:tcPr>
          <w:p>
            <w:pPr>
              <w:pStyle w:val="TableParagraph"/>
              <w:spacing w:before="68"/>
              <w:ind w:right="56"/>
              <w:jc w:val="right"/>
              <w:rPr>
                <w:rFonts w:ascii="TT Norms Pro Light"/>
                <w:b w:val="0"/>
                <w:sz w:val="14"/>
              </w:rPr>
            </w:pPr>
            <w:r>
              <w:rPr>
                <w:rFonts w:ascii="TT Norms Pro Light"/>
                <w:b w:val="0"/>
                <w:spacing w:val="-5"/>
                <w:sz w:val="14"/>
              </w:rPr>
              <w:t>967</w:t>
            </w:r>
          </w:p>
        </w:tc>
        <w:tc>
          <w:tcPr>
            <w:tcW w:w="993" w:type="dxa"/>
            <w:shd w:val="clear" w:color="auto" w:fill="E6E7E8"/>
          </w:tcPr>
          <w:p>
            <w:pPr>
              <w:pStyle w:val="TableParagraph"/>
              <w:spacing w:before="68"/>
              <w:ind w:right="53"/>
              <w:jc w:val="right"/>
              <w:rPr>
                <w:rFonts w:ascii="TT Norms Pro Light"/>
                <w:b w:val="0"/>
                <w:sz w:val="14"/>
              </w:rPr>
            </w:pPr>
            <w:r>
              <w:rPr>
                <w:rFonts w:ascii="TT Norms Pro Light"/>
                <w:b w:val="0"/>
                <w:spacing w:val="-5"/>
                <w:sz w:val="14"/>
              </w:rPr>
              <w:t>935</w:t>
            </w:r>
          </w:p>
        </w:tc>
        <w:tc>
          <w:tcPr>
            <w:tcW w:w="993" w:type="dxa"/>
          </w:tcPr>
          <w:p>
            <w:pPr>
              <w:pStyle w:val="TableParagraph"/>
              <w:spacing w:before="68"/>
              <w:ind w:right="53"/>
              <w:jc w:val="right"/>
              <w:rPr>
                <w:rFonts w:ascii="TT Norms Pro Light"/>
                <w:b w:val="0"/>
                <w:sz w:val="14"/>
              </w:rPr>
            </w:pPr>
            <w:r>
              <w:rPr>
                <w:rFonts w:ascii="TT Norms Pro Light"/>
                <w:b w:val="0"/>
                <w:spacing w:val="-5"/>
                <w:sz w:val="14"/>
              </w:rPr>
              <w:t>772</w:t>
            </w:r>
          </w:p>
        </w:tc>
        <w:tc>
          <w:tcPr>
            <w:tcW w:w="993" w:type="dxa"/>
            <w:shd w:val="clear" w:color="auto" w:fill="E6E7E8"/>
          </w:tcPr>
          <w:p>
            <w:pPr>
              <w:pStyle w:val="TableParagraph"/>
              <w:spacing w:before="68"/>
              <w:ind w:right="53"/>
              <w:jc w:val="right"/>
              <w:rPr>
                <w:rFonts w:ascii="TT Norms Pro Light"/>
                <w:b w:val="0"/>
                <w:sz w:val="14"/>
              </w:rPr>
            </w:pPr>
            <w:r>
              <w:rPr>
                <w:rFonts w:ascii="TT Norms Pro Light"/>
                <w:b w:val="0"/>
                <w:spacing w:val="-5"/>
                <w:sz w:val="14"/>
              </w:rPr>
              <w:t>537</w:t>
            </w:r>
          </w:p>
        </w:tc>
        <w:tc>
          <w:tcPr>
            <w:tcW w:w="993" w:type="dxa"/>
          </w:tcPr>
          <w:p>
            <w:pPr>
              <w:pStyle w:val="TableParagraph"/>
              <w:spacing w:before="68"/>
              <w:ind w:right="52"/>
              <w:jc w:val="right"/>
              <w:rPr>
                <w:rFonts w:ascii="TT Norms Pro Light"/>
                <w:b w:val="0"/>
                <w:sz w:val="14"/>
              </w:rPr>
            </w:pPr>
            <w:r>
              <w:rPr>
                <w:rFonts w:ascii="TT Norms Pro Light"/>
                <w:b w:val="0"/>
                <w:spacing w:val="-5"/>
                <w:sz w:val="14"/>
              </w:rPr>
              <w:t>426</w:t>
            </w:r>
          </w:p>
        </w:tc>
        <w:tc>
          <w:tcPr>
            <w:tcW w:w="993" w:type="dxa"/>
            <w:shd w:val="clear" w:color="auto" w:fill="E6E7E8"/>
          </w:tcPr>
          <w:p>
            <w:pPr>
              <w:pStyle w:val="TableParagraph"/>
              <w:spacing w:before="68"/>
              <w:ind w:right="52"/>
              <w:jc w:val="right"/>
              <w:rPr>
                <w:rFonts w:ascii="TT Norms Pro Light"/>
                <w:b w:val="0"/>
                <w:sz w:val="14"/>
              </w:rPr>
            </w:pPr>
            <w:r>
              <w:rPr>
                <w:rFonts w:ascii="TT Norms Pro Light"/>
                <w:b w:val="0"/>
                <w:spacing w:val="-5"/>
                <w:sz w:val="14"/>
              </w:rPr>
              <w:t>385</w:t>
            </w:r>
          </w:p>
        </w:tc>
        <w:tc>
          <w:tcPr>
            <w:tcW w:w="993" w:type="dxa"/>
          </w:tcPr>
          <w:p>
            <w:pPr>
              <w:pStyle w:val="TableParagraph"/>
              <w:spacing w:before="68"/>
              <w:ind w:right="51"/>
              <w:jc w:val="right"/>
              <w:rPr>
                <w:rFonts w:ascii="TT Norms Pro Light"/>
                <w:b w:val="0"/>
                <w:sz w:val="14"/>
              </w:rPr>
            </w:pPr>
            <w:r>
              <w:rPr>
                <w:rFonts w:ascii="TT Norms Pro Light"/>
                <w:b w:val="0"/>
                <w:spacing w:val="-5"/>
                <w:sz w:val="14"/>
              </w:rPr>
              <w:t>304</w:t>
            </w:r>
          </w:p>
        </w:tc>
      </w:tr>
      <w:tr>
        <w:trPr>
          <w:trHeight w:val="283" w:hRule="atLeast"/>
        </w:trPr>
        <w:tc>
          <w:tcPr>
            <w:tcW w:w="2689" w:type="dxa"/>
            <w:shd w:val="clear" w:color="auto" w:fill="E6E7E8"/>
          </w:tcPr>
          <w:p>
            <w:pPr>
              <w:pStyle w:val="TableParagraph"/>
              <w:spacing w:before="68"/>
              <w:ind w:left="84"/>
              <w:rPr>
                <w:rFonts w:ascii="TT Norms Pro"/>
                <w:sz w:val="14"/>
              </w:rPr>
            </w:pPr>
            <w:r>
              <w:rPr>
                <w:rFonts w:ascii="TT Norms Pro"/>
                <w:sz w:val="14"/>
              </w:rPr>
              <w:t>Bachelor's</w:t>
            </w:r>
            <w:r>
              <w:rPr>
                <w:rFonts w:ascii="TT Norms Pro"/>
                <w:spacing w:val="12"/>
                <w:sz w:val="14"/>
              </w:rPr>
              <w:t> </w:t>
            </w:r>
            <w:r>
              <w:rPr>
                <w:rFonts w:ascii="TT Norms Pro"/>
                <w:sz w:val="14"/>
              </w:rPr>
              <w:t>pass</w:t>
            </w:r>
            <w:r>
              <w:rPr>
                <w:rFonts w:ascii="TT Norms Pro"/>
                <w:spacing w:val="14"/>
                <w:sz w:val="14"/>
              </w:rPr>
              <w:t> </w:t>
            </w:r>
            <w:r>
              <w:rPr>
                <w:rFonts w:ascii="TT Norms Pro"/>
                <w:spacing w:val="-2"/>
                <w:sz w:val="14"/>
              </w:rPr>
              <w:t>degree</w:t>
            </w:r>
          </w:p>
        </w:tc>
        <w:tc>
          <w:tcPr>
            <w:tcW w:w="993" w:type="dxa"/>
          </w:tcPr>
          <w:p>
            <w:pPr>
              <w:pStyle w:val="TableParagraph"/>
              <w:spacing w:before="68"/>
              <w:ind w:right="55"/>
              <w:jc w:val="right"/>
              <w:rPr>
                <w:rFonts w:ascii="TT Norms Pro Light"/>
                <w:b w:val="0"/>
                <w:sz w:val="14"/>
              </w:rPr>
            </w:pPr>
            <w:r>
              <w:rPr>
                <w:rFonts w:ascii="TT Norms Pro Light"/>
                <w:b w:val="0"/>
                <w:spacing w:val="-2"/>
                <w:sz w:val="14"/>
              </w:rPr>
              <w:t>3,894</w:t>
            </w:r>
          </w:p>
        </w:tc>
        <w:tc>
          <w:tcPr>
            <w:tcW w:w="993" w:type="dxa"/>
            <w:shd w:val="clear" w:color="auto" w:fill="E6E7E8"/>
          </w:tcPr>
          <w:p>
            <w:pPr>
              <w:pStyle w:val="TableParagraph"/>
              <w:spacing w:before="68"/>
              <w:ind w:right="53"/>
              <w:jc w:val="right"/>
              <w:rPr>
                <w:rFonts w:ascii="TT Norms Pro Light"/>
                <w:b w:val="0"/>
                <w:sz w:val="14"/>
              </w:rPr>
            </w:pPr>
            <w:r>
              <w:rPr>
                <w:rFonts w:ascii="TT Norms Pro Light"/>
                <w:b w:val="0"/>
                <w:spacing w:val="-2"/>
                <w:sz w:val="14"/>
              </w:rPr>
              <w:t>4,893</w:t>
            </w:r>
          </w:p>
        </w:tc>
        <w:tc>
          <w:tcPr>
            <w:tcW w:w="993" w:type="dxa"/>
          </w:tcPr>
          <w:p>
            <w:pPr>
              <w:pStyle w:val="TableParagraph"/>
              <w:spacing w:before="68"/>
              <w:ind w:right="53"/>
              <w:jc w:val="right"/>
              <w:rPr>
                <w:rFonts w:ascii="TT Norms Pro Light"/>
                <w:b w:val="0"/>
                <w:sz w:val="14"/>
              </w:rPr>
            </w:pPr>
            <w:r>
              <w:rPr>
                <w:rFonts w:ascii="TT Norms Pro Light"/>
                <w:b w:val="0"/>
                <w:spacing w:val="-2"/>
                <w:sz w:val="14"/>
              </w:rPr>
              <w:t>5,086</w:t>
            </w:r>
          </w:p>
        </w:tc>
        <w:tc>
          <w:tcPr>
            <w:tcW w:w="993" w:type="dxa"/>
            <w:shd w:val="clear" w:color="auto" w:fill="E6E7E8"/>
          </w:tcPr>
          <w:p>
            <w:pPr>
              <w:pStyle w:val="TableParagraph"/>
              <w:spacing w:before="68"/>
              <w:ind w:right="47"/>
              <w:jc w:val="right"/>
              <w:rPr>
                <w:rFonts w:ascii="TT Norms Pro Light"/>
                <w:b w:val="0"/>
                <w:sz w:val="14"/>
              </w:rPr>
            </w:pPr>
            <w:r>
              <w:rPr>
                <w:rFonts w:ascii="TT Norms Pro Light"/>
                <w:b w:val="0"/>
                <w:spacing w:val="-2"/>
                <w:sz w:val="14"/>
              </w:rPr>
              <w:t>4,105</w:t>
            </w:r>
          </w:p>
        </w:tc>
        <w:tc>
          <w:tcPr>
            <w:tcW w:w="993" w:type="dxa"/>
          </w:tcPr>
          <w:p>
            <w:pPr>
              <w:pStyle w:val="TableParagraph"/>
              <w:spacing w:before="68"/>
              <w:ind w:right="52"/>
              <w:jc w:val="right"/>
              <w:rPr>
                <w:rFonts w:ascii="TT Norms Pro Light"/>
                <w:b w:val="0"/>
                <w:sz w:val="14"/>
              </w:rPr>
            </w:pPr>
            <w:r>
              <w:rPr>
                <w:rFonts w:ascii="TT Norms Pro Light"/>
                <w:b w:val="0"/>
                <w:spacing w:val="-2"/>
                <w:sz w:val="14"/>
              </w:rPr>
              <w:t>3,298</w:t>
            </w:r>
          </w:p>
        </w:tc>
        <w:tc>
          <w:tcPr>
            <w:tcW w:w="993" w:type="dxa"/>
            <w:shd w:val="clear" w:color="auto" w:fill="E6E7E8"/>
          </w:tcPr>
          <w:p>
            <w:pPr>
              <w:pStyle w:val="TableParagraph"/>
              <w:spacing w:before="68"/>
              <w:ind w:right="53"/>
              <w:jc w:val="right"/>
              <w:rPr>
                <w:rFonts w:ascii="TT Norms Pro Light"/>
                <w:b w:val="0"/>
                <w:sz w:val="14"/>
              </w:rPr>
            </w:pPr>
            <w:r>
              <w:rPr>
                <w:rFonts w:ascii="TT Norms Pro Light"/>
                <w:b w:val="0"/>
                <w:spacing w:val="-2"/>
                <w:sz w:val="14"/>
              </w:rPr>
              <w:t>3,431</w:t>
            </w:r>
          </w:p>
        </w:tc>
        <w:tc>
          <w:tcPr>
            <w:tcW w:w="993" w:type="dxa"/>
          </w:tcPr>
          <w:p>
            <w:pPr>
              <w:pStyle w:val="TableParagraph"/>
              <w:spacing w:before="68"/>
              <w:ind w:right="54"/>
              <w:jc w:val="right"/>
              <w:rPr>
                <w:rFonts w:ascii="TT Norms Pro Light"/>
                <w:b w:val="0"/>
                <w:sz w:val="14"/>
              </w:rPr>
            </w:pPr>
            <w:r>
              <w:rPr>
                <w:rFonts w:ascii="TT Norms Pro Light"/>
                <w:b w:val="0"/>
                <w:spacing w:val="-2"/>
                <w:sz w:val="14"/>
              </w:rPr>
              <w:t>3,276</w:t>
            </w:r>
          </w:p>
        </w:tc>
      </w:tr>
      <w:tr>
        <w:trPr>
          <w:trHeight w:val="283" w:hRule="atLeast"/>
        </w:trPr>
        <w:tc>
          <w:tcPr>
            <w:tcW w:w="2689" w:type="dxa"/>
            <w:shd w:val="clear" w:color="auto" w:fill="E6E7E8"/>
          </w:tcPr>
          <w:p>
            <w:pPr>
              <w:pStyle w:val="TableParagraph"/>
              <w:spacing w:before="68"/>
              <w:ind w:left="84"/>
              <w:rPr>
                <w:rFonts w:ascii="TT Norms Pro"/>
                <w:sz w:val="14"/>
              </w:rPr>
            </w:pPr>
            <w:r>
              <w:rPr>
                <w:rFonts w:ascii="TT Norms Pro"/>
                <w:spacing w:val="-2"/>
                <w:sz w:val="14"/>
              </w:rPr>
              <w:t>Diploma</w:t>
            </w:r>
          </w:p>
        </w:tc>
        <w:tc>
          <w:tcPr>
            <w:tcW w:w="993" w:type="dxa"/>
          </w:tcPr>
          <w:p>
            <w:pPr>
              <w:pStyle w:val="TableParagraph"/>
              <w:spacing w:before="68"/>
              <w:ind w:right="54"/>
              <w:jc w:val="right"/>
              <w:rPr>
                <w:rFonts w:ascii="TT Norms Pro Light"/>
                <w:b w:val="0"/>
                <w:sz w:val="14"/>
              </w:rPr>
            </w:pPr>
            <w:r>
              <w:rPr>
                <w:rFonts w:ascii="TT Norms Pro Light"/>
                <w:b w:val="0"/>
                <w:spacing w:val="-5"/>
                <w:sz w:val="14"/>
              </w:rPr>
              <w:t>24</w:t>
            </w:r>
          </w:p>
        </w:tc>
        <w:tc>
          <w:tcPr>
            <w:tcW w:w="993" w:type="dxa"/>
            <w:shd w:val="clear" w:color="auto" w:fill="E6E7E8"/>
          </w:tcPr>
          <w:p>
            <w:pPr>
              <w:pStyle w:val="TableParagraph"/>
              <w:spacing w:before="68"/>
              <w:ind w:right="54"/>
              <w:jc w:val="right"/>
              <w:rPr>
                <w:rFonts w:ascii="TT Norms Pro Light"/>
                <w:b w:val="0"/>
                <w:sz w:val="14"/>
              </w:rPr>
            </w:pPr>
            <w:r>
              <w:rPr>
                <w:rFonts w:ascii="TT Norms Pro Light"/>
                <w:b w:val="0"/>
                <w:spacing w:val="-5"/>
                <w:sz w:val="14"/>
              </w:rPr>
              <w:t>51</w:t>
            </w:r>
          </w:p>
        </w:tc>
        <w:tc>
          <w:tcPr>
            <w:tcW w:w="993" w:type="dxa"/>
          </w:tcPr>
          <w:p>
            <w:pPr>
              <w:pStyle w:val="TableParagraph"/>
              <w:spacing w:before="68"/>
              <w:ind w:right="53"/>
              <w:jc w:val="right"/>
              <w:rPr>
                <w:rFonts w:ascii="TT Norms Pro Light"/>
                <w:b w:val="0"/>
                <w:sz w:val="14"/>
              </w:rPr>
            </w:pPr>
            <w:r>
              <w:rPr>
                <w:rFonts w:ascii="TT Norms Pro Light"/>
                <w:b w:val="0"/>
                <w:spacing w:val="-5"/>
                <w:sz w:val="14"/>
              </w:rPr>
              <w:t>85</w:t>
            </w:r>
          </w:p>
        </w:tc>
        <w:tc>
          <w:tcPr>
            <w:tcW w:w="993" w:type="dxa"/>
            <w:shd w:val="clear" w:color="auto" w:fill="E6E7E8"/>
          </w:tcPr>
          <w:p>
            <w:pPr>
              <w:pStyle w:val="TableParagraph"/>
              <w:spacing w:before="68"/>
              <w:ind w:right="53"/>
              <w:jc w:val="right"/>
              <w:rPr>
                <w:rFonts w:ascii="TT Norms Pro Light"/>
                <w:b w:val="0"/>
                <w:sz w:val="14"/>
              </w:rPr>
            </w:pPr>
            <w:r>
              <w:rPr>
                <w:rFonts w:ascii="TT Norms Pro Light"/>
                <w:b w:val="0"/>
                <w:spacing w:val="-5"/>
                <w:sz w:val="14"/>
              </w:rPr>
              <w:t>57</w:t>
            </w:r>
          </w:p>
        </w:tc>
        <w:tc>
          <w:tcPr>
            <w:tcW w:w="993" w:type="dxa"/>
          </w:tcPr>
          <w:p>
            <w:pPr>
              <w:pStyle w:val="TableParagraph"/>
              <w:spacing w:before="68"/>
              <w:ind w:right="52"/>
              <w:jc w:val="right"/>
              <w:rPr>
                <w:rFonts w:ascii="TT Norms Pro Light"/>
                <w:b w:val="0"/>
                <w:sz w:val="14"/>
              </w:rPr>
            </w:pPr>
            <w:r>
              <w:rPr>
                <w:rFonts w:ascii="TT Norms Pro Light"/>
                <w:b w:val="0"/>
                <w:spacing w:val="-5"/>
                <w:sz w:val="14"/>
              </w:rPr>
              <w:t>73</w:t>
            </w:r>
          </w:p>
        </w:tc>
        <w:tc>
          <w:tcPr>
            <w:tcW w:w="993" w:type="dxa"/>
            <w:shd w:val="clear" w:color="auto" w:fill="E6E7E8"/>
          </w:tcPr>
          <w:p>
            <w:pPr>
              <w:pStyle w:val="TableParagraph"/>
              <w:spacing w:before="68"/>
              <w:ind w:right="52"/>
              <w:jc w:val="right"/>
              <w:rPr>
                <w:rFonts w:ascii="TT Norms Pro Light"/>
                <w:b w:val="0"/>
                <w:sz w:val="14"/>
              </w:rPr>
            </w:pPr>
            <w:r>
              <w:rPr>
                <w:rFonts w:ascii="TT Norms Pro Light"/>
                <w:b w:val="0"/>
                <w:spacing w:val="-5"/>
                <w:sz w:val="14"/>
              </w:rPr>
              <w:t>82</w:t>
            </w:r>
          </w:p>
        </w:tc>
        <w:tc>
          <w:tcPr>
            <w:tcW w:w="993" w:type="dxa"/>
          </w:tcPr>
          <w:p>
            <w:pPr>
              <w:pStyle w:val="TableParagraph"/>
              <w:spacing w:before="68"/>
              <w:ind w:right="51"/>
              <w:jc w:val="right"/>
              <w:rPr>
                <w:rFonts w:ascii="TT Norms Pro Light"/>
                <w:b w:val="0"/>
                <w:sz w:val="14"/>
              </w:rPr>
            </w:pPr>
            <w:r>
              <w:rPr>
                <w:rFonts w:ascii="TT Norms Pro Light"/>
                <w:b w:val="0"/>
                <w:spacing w:val="-5"/>
                <w:sz w:val="14"/>
              </w:rPr>
              <w:t>49</w:t>
            </w:r>
          </w:p>
        </w:tc>
      </w:tr>
      <w:tr>
        <w:trPr>
          <w:trHeight w:val="283" w:hRule="atLeast"/>
        </w:trPr>
        <w:tc>
          <w:tcPr>
            <w:tcW w:w="2689" w:type="dxa"/>
            <w:shd w:val="clear" w:color="auto" w:fill="E6E7E8"/>
          </w:tcPr>
          <w:p>
            <w:pPr>
              <w:pStyle w:val="TableParagraph"/>
              <w:spacing w:before="68"/>
              <w:ind w:left="84"/>
              <w:rPr>
                <w:rFonts w:ascii="TT Norms Pro"/>
                <w:sz w:val="14"/>
              </w:rPr>
            </w:pPr>
            <w:r>
              <w:rPr>
                <w:rFonts w:ascii="TT Norms Pro"/>
                <w:sz w:val="14"/>
              </w:rPr>
              <w:t>Undergraduate</w:t>
            </w:r>
            <w:r>
              <w:rPr>
                <w:rFonts w:ascii="TT Norms Pro"/>
                <w:spacing w:val="15"/>
                <w:sz w:val="14"/>
              </w:rPr>
              <w:t> </w:t>
            </w:r>
            <w:r>
              <w:rPr>
                <w:rFonts w:ascii="TT Norms Pro"/>
                <w:sz w:val="14"/>
              </w:rPr>
              <w:t>short</w:t>
            </w:r>
            <w:r>
              <w:rPr>
                <w:rFonts w:ascii="TT Norms Pro"/>
                <w:spacing w:val="15"/>
                <w:sz w:val="14"/>
              </w:rPr>
              <w:t> </w:t>
            </w:r>
            <w:r>
              <w:rPr>
                <w:rFonts w:ascii="TT Norms Pro"/>
                <w:spacing w:val="-2"/>
                <w:sz w:val="14"/>
              </w:rPr>
              <w:t>course</w:t>
            </w:r>
          </w:p>
        </w:tc>
        <w:tc>
          <w:tcPr>
            <w:tcW w:w="993" w:type="dxa"/>
          </w:tcPr>
          <w:p>
            <w:pPr>
              <w:pStyle w:val="TableParagraph"/>
              <w:rPr>
                <w:rFonts w:ascii="Times New Roman"/>
                <w:sz w:val="14"/>
              </w:rPr>
            </w:pPr>
          </w:p>
        </w:tc>
        <w:tc>
          <w:tcPr>
            <w:tcW w:w="993" w:type="dxa"/>
            <w:shd w:val="clear" w:color="auto" w:fill="E6E7E8"/>
          </w:tcPr>
          <w:p>
            <w:pPr>
              <w:pStyle w:val="TableParagraph"/>
              <w:rPr>
                <w:rFonts w:ascii="Times New Roman"/>
                <w:sz w:val="14"/>
              </w:rPr>
            </w:pPr>
          </w:p>
        </w:tc>
        <w:tc>
          <w:tcPr>
            <w:tcW w:w="993" w:type="dxa"/>
          </w:tcPr>
          <w:p>
            <w:pPr>
              <w:pStyle w:val="TableParagraph"/>
              <w:rPr>
                <w:rFonts w:ascii="Times New Roman"/>
                <w:sz w:val="14"/>
              </w:rPr>
            </w:pPr>
          </w:p>
        </w:tc>
        <w:tc>
          <w:tcPr>
            <w:tcW w:w="993" w:type="dxa"/>
            <w:shd w:val="clear" w:color="auto" w:fill="E6E7E8"/>
          </w:tcPr>
          <w:p>
            <w:pPr>
              <w:pStyle w:val="TableParagraph"/>
              <w:rPr>
                <w:rFonts w:ascii="Times New Roman"/>
                <w:sz w:val="14"/>
              </w:rPr>
            </w:pPr>
          </w:p>
        </w:tc>
        <w:tc>
          <w:tcPr>
            <w:tcW w:w="993" w:type="dxa"/>
          </w:tcPr>
          <w:p>
            <w:pPr>
              <w:pStyle w:val="TableParagraph"/>
              <w:rPr>
                <w:rFonts w:ascii="Times New Roman"/>
                <w:sz w:val="14"/>
              </w:rPr>
            </w:pPr>
          </w:p>
        </w:tc>
        <w:tc>
          <w:tcPr>
            <w:tcW w:w="993" w:type="dxa"/>
            <w:shd w:val="clear" w:color="auto" w:fill="E6E7E8"/>
          </w:tcPr>
          <w:p>
            <w:pPr>
              <w:pStyle w:val="TableParagraph"/>
              <w:rPr>
                <w:rFonts w:ascii="Times New Roman"/>
                <w:sz w:val="14"/>
              </w:rPr>
            </w:pPr>
          </w:p>
        </w:tc>
        <w:tc>
          <w:tcPr>
            <w:tcW w:w="993" w:type="dxa"/>
          </w:tcPr>
          <w:p>
            <w:pPr>
              <w:pStyle w:val="TableParagraph"/>
              <w:spacing w:before="68"/>
              <w:ind w:right="51"/>
              <w:jc w:val="right"/>
              <w:rPr>
                <w:rFonts w:ascii="TT Norms Pro Light"/>
                <w:b w:val="0"/>
                <w:sz w:val="14"/>
              </w:rPr>
            </w:pPr>
            <w:r>
              <w:rPr>
                <w:rFonts w:ascii="TT Norms Pro Light"/>
                <w:b w:val="0"/>
                <w:spacing w:val="-10"/>
                <w:sz w:val="14"/>
              </w:rPr>
              <w:t>6</w:t>
            </w:r>
          </w:p>
        </w:tc>
      </w:tr>
      <w:tr>
        <w:trPr>
          <w:trHeight w:val="289" w:hRule="atLeast"/>
        </w:trPr>
        <w:tc>
          <w:tcPr>
            <w:tcW w:w="2689" w:type="dxa"/>
            <w:tcBorders>
              <w:bottom w:val="single" w:sz="2" w:space="0" w:color="000000"/>
            </w:tcBorders>
            <w:shd w:val="clear" w:color="auto" w:fill="E6E7E8"/>
          </w:tcPr>
          <w:p>
            <w:pPr>
              <w:pStyle w:val="TableParagraph"/>
              <w:spacing w:before="68"/>
              <w:ind w:left="84"/>
              <w:rPr>
                <w:rFonts w:ascii="TT Norms Pro"/>
                <w:sz w:val="14"/>
              </w:rPr>
            </w:pPr>
            <w:r>
              <w:rPr>
                <w:rFonts w:ascii="TT Norms Pro"/>
                <w:sz w:val="14"/>
              </w:rPr>
              <w:t>Other</w:t>
            </w:r>
            <w:r>
              <w:rPr>
                <w:rFonts w:ascii="TT Norms Pro"/>
                <w:spacing w:val="5"/>
                <w:sz w:val="14"/>
              </w:rPr>
              <w:t> </w:t>
            </w:r>
            <w:r>
              <w:rPr>
                <w:rFonts w:ascii="TT Norms Pro"/>
                <w:sz w:val="14"/>
              </w:rPr>
              <w:t>award</w:t>
            </w:r>
            <w:r>
              <w:rPr>
                <w:rFonts w:ascii="TT Norms Pro"/>
                <w:spacing w:val="7"/>
                <w:sz w:val="14"/>
              </w:rPr>
              <w:t> </w:t>
            </w:r>
            <w:r>
              <w:rPr>
                <w:rFonts w:ascii="TT Norms Pro"/>
                <w:spacing w:val="-2"/>
                <w:sz w:val="14"/>
              </w:rPr>
              <w:t>course</w:t>
            </w:r>
          </w:p>
        </w:tc>
        <w:tc>
          <w:tcPr>
            <w:tcW w:w="993" w:type="dxa"/>
            <w:tcBorders>
              <w:bottom w:val="single" w:sz="2" w:space="0" w:color="000000"/>
            </w:tcBorders>
          </w:tcPr>
          <w:p>
            <w:pPr>
              <w:pStyle w:val="TableParagraph"/>
              <w:spacing w:before="68"/>
              <w:ind w:right="54"/>
              <w:jc w:val="right"/>
              <w:rPr>
                <w:rFonts w:ascii="TT Norms Pro Light"/>
                <w:b w:val="0"/>
                <w:sz w:val="14"/>
              </w:rPr>
            </w:pPr>
            <w:r>
              <w:rPr>
                <w:rFonts w:ascii="TT Norms Pro Light"/>
                <w:b w:val="0"/>
                <w:spacing w:val="-5"/>
                <w:sz w:val="14"/>
              </w:rPr>
              <w:t>23</w:t>
            </w:r>
          </w:p>
        </w:tc>
        <w:tc>
          <w:tcPr>
            <w:tcW w:w="993" w:type="dxa"/>
            <w:tcBorders>
              <w:bottom w:val="single" w:sz="2" w:space="0" w:color="000000"/>
            </w:tcBorders>
            <w:shd w:val="clear" w:color="auto" w:fill="E6E7E8"/>
          </w:tcPr>
          <w:p>
            <w:pPr>
              <w:pStyle w:val="TableParagraph"/>
              <w:rPr>
                <w:rFonts w:ascii="Times New Roman"/>
                <w:sz w:val="14"/>
              </w:rPr>
            </w:pPr>
          </w:p>
        </w:tc>
        <w:tc>
          <w:tcPr>
            <w:tcW w:w="993" w:type="dxa"/>
            <w:tcBorders>
              <w:bottom w:val="single" w:sz="2" w:space="0" w:color="000000"/>
            </w:tcBorders>
          </w:tcPr>
          <w:p>
            <w:pPr>
              <w:pStyle w:val="TableParagraph"/>
              <w:rPr>
                <w:rFonts w:ascii="Times New Roman"/>
                <w:sz w:val="14"/>
              </w:rPr>
            </w:pPr>
          </w:p>
        </w:tc>
        <w:tc>
          <w:tcPr>
            <w:tcW w:w="993" w:type="dxa"/>
            <w:tcBorders>
              <w:bottom w:val="single" w:sz="2" w:space="0" w:color="000000"/>
            </w:tcBorders>
            <w:shd w:val="clear" w:color="auto" w:fill="E6E7E8"/>
          </w:tcPr>
          <w:p>
            <w:pPr>
              <w:pStyle w:val="TableParagraph"/>
              <w:rPr>
                <w:rFonts w:ascii="Times New Roman"/>
                <w:sz w:val="14"/>
              </w:rPr>
            </w:pPr>
          </w:p>
        </w:tc>
        <w:tc>
          <w:tcPr>
            <w:tcW w:w="993" w:type="dxa"/>
            <w:tcBorders>
              <w:bottom w:val="single" w:sz="2" w:space="0" w:color="000000"/>
            </w:tcBorders>
          </w:tcPr>
          <w:p>
            <w:pPr>
              <w:pStyle w:val="TableParagraph"/>
              <w:rPr>
                <w:rFonts w:ascii="Times New Roman"/>
                <w:sz w:val="14"/>
              </w:rPr>
            </w:pPr>
          </w:p>
        </w:tc>
        <w:tc>
          <w:tcPr>
            <w:tcW w:w="993" w:type="dxa"/>
            <w:tcBorders>
              <w:bottom w:val="single" w:sz="2" w:space="0" w:color="000000"/>
            </w:tcBorders>
            <w:shd w:val="clear" w:color="auto" w:fill="E6E7E8"/>
          </w:tcPr>
          <w:p>
            <w:pPr>
              <w:pStyle w:val="TableParagraph"/>
              <w:rPr>
                <w:rFonts w:ascii="Times New Roman"/>
                <w:sz w:val="14"/>
              </w:rPr>
            </w:pPr>
          </w:p>
        </w:tc>
        <w:tc>
          <w:tcPr>
            <w:tcW w:w="993" w:type="dxa"/>
            <w:tcBorders>
              <w:bottom w:val="single" w:sz="2" w:space="0" w:color="000000"/>
            </w:tcBorders>
          </w:tcPr>
          <w:p>
            <w:pPr>
              <w:pStyle w:val="TableParagraph"/>
              <w:spacing w:before="68"/>
              <w:ind w:right="51"/>
              <w:jc w:val="right"/>
              <w:rPr>
                <w:rFonts w:ascii="TT Norms Pro Light"/>
                <w:b w:val="0"/>
                <w:sz w:val="14"/>
              </w:rPr>
            </w:pPr>
            <w:r>
              <w:rPr>
                <w:rFonts w:ascii="TT Norms Pro Light"/>
                <w:b w:val="0"/>
                <w:spacing w:val="-10"/>
                <w:sz w:val="14"/>
              </w:rPr>
              <w:t>2</w:t>
            </w:r>
          </w:p>
        </w:tc>
      </w:tr>
      <w:tr>
        <w:trPr>
          <w:trHeight w:val="270" w:hRule="atLeast"/>
        </w:trPr>
        <w:tc>
          <w:tcPr>
            <w:tcW w:w="2689" w:type="dxa"/>
            <w:tcBorders>
              <w:top w:val="single" w:sz="2" w:space="0" w:color="000000"/>
            </w:tcBorders>
            <w:shd w:val="clear" w:color="auto" w:fill="E6E7E8"/>
          </w:tcPr>
          <w:p>
            <w:pPr>
              <w:pStyle w:val="TableParagraph"/>
              <w:spacing w:before="57"/>
              <w:ind w:left="84"/>
              <w:rPr>
                <w:rFonts w:ascii="TT Norms Pro"/>
                <w:sz w:val="14"/>
              </w:rPr>
            </w:pPr>
            <w:r>
              <w:rPr>
                <w:rFonts w:ascii="TT Norms Pro"/>
                <w:sz w:val="14"/>
              </w:rPr>
              <w:t>Sub-total</w:t>
            </w:r>
            <w:r>
              <w:rPr>
                <w:rFonts w:ascii="TT Norms Pro"/>
                <w:spacing w:val="11"/>
                <w:sz w:val="14"/>
              </w:rPr>
              <w:t> </w:t>
            </w:r>
            <w:r>
              <w:rPr>
                <w:rFonts w:ascii="TT Norms Pro"/>
                <w:spacing w:val="-2"/>
                <w:sz w:val="14"/>
              </w:rPr>
              <w:t>undergraduate</w:t>
            </w:r>
          </w:p>
        </w:tc>
        <w:tc>
          <w:tcPr>
            <w:tcW w:w="993" w:type="dxa"/>
            <w:tcBorders>
              <w:top w:val="single" w:sz="2" w:space="0" w:color="000000"/>
            </w:tcBorders>
          </w:tcPr>
          <w:p>
            <w:pPr>
              <w:pStyle w:val="TableParagraph"/>
              <w:spacing w:before="57"/>
              <w:ind w:right="54"/>
              <w:jc w:val="right"/>
              <w:rPr>
                <w:rFonts w:ascii="TT Norms Pro Light"/>
                <w:b w:val="0"/>
                <w:sz w:val="14"/>
              </w:rPr>
            </w:pPr>
            <w:r>
              <w:rPr>
                <w:rFonts w:ascii="TT Norms Pro Light"/>
                <w:b w:val="0"/>
                <w:spacing w:val="-2"/>
                <w:sz w:val="14"/>
              </w:rPr>
              <w:t>4,976</w:t>
            </w:r>
          </w:p>
        </w:tc>
        <w:tc>
          <w:tcPr>
            <w:tcW w:w="993" w:type="dxa"/>
            <w:tcBorders>
              <w:top w:val="single" w:sz="2" w:space="0" w:color="000000"/>
            </w:tcBorders>
            <w:shd w:val="clear" w:color="auto" w:fill="E6E7E8"/>
          </w:tcPr>
          <w:p>
            <w:pPr>
              <w:pStyle w:val="TableParagraph"/>
              <w:spacing w:before="57"/>
              <w:ind w:right="53"/>
              <w:jc w:val="right"/>
              <w:rPr>
                <w:rFonts w:ascii="TT Norms Pro Light"/>
                <w:b w:val="0"/>
                <w:sz w:val="14"/>
              </w:rPr>
            </w:pPr>
            <w:r>
              <w:rPr>
                <w:rFonts w:ascii="TT Norms Pro Light"/>
                <w:b w:val="0"/>
                <w:spacing w:val="-2"/>
                <w:sz w:val="14"/>
              </w:rPr>
              <w:t>5,966</w:t>
            </w:r>
          </w:p>
        </w:tc>
        <w:tc>
          <w:tcPr>
            <w:tcW w:w="993" w:type="dxa"/>
            <w:tcBorders>
              <w:top w:val="single" w:sz="2" w:space="0" w:color="000000"/>
            </w:tcBorders>
          </w:tcPr>
          <w:p>
            <w:pPr>
              <w:pStyle w:val="TableParagraph"/>
              <w:spacing w:before="57"/>
              <w:ind w:right="56"/>
              <w:jc w:val="right"/>
              <w:rPr>
                <w:rFonts w:ascii="TT Norms Pro Light"/>
                <w:b w:val="0"/>
                <w:sz w:val="14"/>
              </w:rPr>
            </w:pPr>
            <w:r>
              <w:rPr>
                <w:rFonts w:ascii="TT Norms Pro Light"/>
                <w:b w:val="0"/>
                <w:spacing w:val="-2"/>
                <w:sz w:val="14"/>
              </w:rPr>
              <w:t>6,076</w:t>
            </w:r>
          </w:p>
        </w:tc>
        <w:tc>
          <w:tcPr>
            <w:tcW w:w="993" w:type="dxa"/>
            <w:tcBorders>
              <w:top w:val="single" w:sz="2" w:space="0" w:color="000000"/>
            </w:tcBorders>
            <w:shd w:val="clear" w:color="auto" w:fill="E6E7E8"/>
          </w:tcPr>
          <w:p>
            <w:pPr>
              <w:pStyle w:val="TableParagraph"/>
              <w:spacing w:before="57"/>
              <w:ind w:right="52"/>
              <w:jc w:val="right"/>
              <w:rPr>
                <w:rFonts w:ascii="TT Norms Pro Light"/>
                <w:b w:val="0"/>
                <w:sz w:val="14"/>
              </w:rPr>
            </w:pPr>
            <w:r>
              <w:rPr>
                <w:rFonts w:ascii="TT Norms Pro Light"/>
                <w:b w:val="0"/>
                <w:spacing w:val="-4"/>
                <w:sz w:val="14"/>
              </w:rPr>
              <w:t>4,705</w:t>
            </w:r>
          </w:p>
        </w:tc>
        <w:tc>
          <w:tcPr>
            <w:tcW w:w="993" w:type="dxa"/>
            <w:tcBorders>
              <w:top w:val="single" w:sz="2" w:space="0" w:color="000000"/>
            </w:tcBorders>
          </w:tcPr>
          <w:p>
            <w:pPr>
              <w:pStyle w:val="TableParagraph"/>
              <w:spacing w:before="57"/>
              <w:ind w:right="52"/>
              <w:jc w:val="right"/>
              <w:rPr>
                <w:rFonts w:ascii="TT Norms Pro Light"/>
                <w:b w:val="0"/>
                <w:sz w:val="14"/>
              </w:rPr>
            </w:pPr>
            <w:r>
              <w:rPr>
                <w:rFonts w:ascii="TT Norms Pro Light"/>
                <w:b w:val="0"/>
                <w:spacing w:val="-2"/>
                <w:sz w:val="14"/>
              </w:rPr>
              <w:t>3,804</w:t>
            </w:r>
          </w:p>
        </w:tc>
        <w:tc>
          <w:tcPr>
            <w:tcW w:w="993" w:type="dxa"/>
            <w:tcBorders>
              <w:top w:val="single" w:sz="2" w:space="0" w:color="000000"/>
            </w:tcBorders>
            <w:shd w:val="clear" w:color="auto" w:fill="E6E7E8"/>
          </w:tcPr>
          <w:p>
            <w:pPr>
              <w:pStyle w:val="TableParagraph"/>
              <w:spacing w:before="57"/>
              <w:ind w:right="51"/>
              <w:jc w:val="right"/>
              <w:rPr>
                <w:rFonts w:ascii="TT Norms Pro Light"/>
                <w:b w:val="0"/>
                <w:sz w:val="14"/>
              </w:rPr>
            </w:pPr>
            <w:r>
              <w:rPr>
                <w:rFonts w:ascii="TT Norms Pro Light"/>
                <w:b w:val="0"/>
                <w:spacing w:val="-2"/>
                <w:sz w:val="14"/>
              </w:rPr>
              <w:t>3,901</w:t>
            </w:r>
          </w:p>
        </w:tc>
        <w:tc>
          <w:tcPr>
            <w:tcW w:w="993" w:type="dxa"/>
            <w:tcBorders>
              <w:top w:val="single" w:sz="2" w:space="0" w:color="000000"/>
            </w:tcBorders>
          </w:tcPr>
          <w:p>
            <w:pPr>
              <w:pStyle w:val="TableParagraph"/>
              <w:spacing w:before="57"/>
              <w:ind w:right="51"/>
              <w:jc w:val="right"/>
              <w:rPr>
                <w:rFonts w:ascii="TT Norms Pro Light"/>
                <w:b w:val="0"/>
                <w:sz w:val="14"/>
              </w:rPr>
            </w:pPr>
            <w:r>
              <w:rPr>
                <w:rFonts w:ascii="TT Norms Pro Light"/>
                <w:b w:val="0"/>
                <w:spacing w:val="-2"/>
                <w:sz w:val="14"/>
              </w:rPr>
              <w:t>3,639</w:t>
            </w:r>
          </w:p>
        </w:tc>
      </w:tr>
      <w:tr>
        <w:trPr>
          <w:trHeight w:val="291" w:hRule="atLeast"/>
        </w:trPr>
        <w:tc>
          <w:tcPr>
            <w:tcW w:w="2689" w:type="dxa"/>
            <w:tcBorders>
              <w:bottom w:val="single" w:sz="2" w:space="0" w:color="000000"/>
            </w:tcBorders>
            <w:shd w:val="clear" w:color="auto" w:fill="E6E7E8"/>
          </w:tcPr>
          <w:p>
            <w:pPr>
              <w:pStyle w:val="TableParagraph"/>
              <w:spacing w:before="62"/>
              <w:ind w:left="85"/>
              <w:rPr>
                <w:rFonts w:ascii="Verdana"/>
                <w:i/>
                <w:sz w:val="14"/>
              </w:rPr>
            </w:pPr>
            <w:r>
              <w:rPr>
                <w:rFonts w:ascii="Verdana"/>
                <w:i/>
                <w:w w:val="70"/>
                <w:sz w:val="14"/>
              </w:rPr>
              <w:t>%</w:t>
            </w:r>
            <w:r>
              <w:rPr>
                <w:rFonts w:ascii="Verdana"/>
                <w:i/>
                <w:spacing w:val="-6"/>
                <w:w w:val="70"/>
                <w:sz w:val="14"/>
              </w:rPr>
              <w:t> </w:t>
            </w:r>
            <w:r>
              <w:rPr>
                <w:rFonts w:ascii="Verdana"/>
                <w:i/>
                <w:spacing w:val="-2"/>
                <w:w w:val="95"/>
                <w:sz w:val="14"/>
              </w:rPr>
              <w:t>Undergraduate</w:t>
            </w:r>
          </w:p>
        </w:tc>
        <w:tc>
          <w:tcPr>
            <w:tcW w:w="993" w:type="dxa"/>
            <w:tcBorders>
              <w:bottom w:val="single" w:sz="2" w:space="0" w:color="000000"/>
            </w:tcBorders>
          </w:tcPr>
          <w:p>
            <w:pPr>
              <w:pStyle w:val="TableParagraph"/>
              <w:spacing w:before="70"/>
              <w:ind w:right="54"/>
              <w:jc w:val="right"/>
              <w:rPr>
                <w:rFonts w:ascii="TT Norms Pro Light"/>
                <w:b w:val="0"/>
                <w:sz w:val="14"/>
              </w:rPr>
            </w:pPr>
            <w:r>
              <w:rPr>
                <w:rFonts w:ascii="TT Norms Pro Light"/>
                <w:b w:val="0"/>
                <w:spacing w:val="-4"/>
                <w:sz w:val="14"/>
              </w:rPr>
              <w:t>75.9%</w:t>
            </w:r>
          </w:p>
        </w:tc>
        <w:tc>
          <w:tcPr>
            <w:tcW w:w="993" w:type="dxa"/>
            <w:tcBorders>
              <w:bottom w:val="single" w:sz="2" w:space="0" w:color="000000"/>
            </w:tcBorders>
            <w:shd w:val="clear" w:color="auto" w:fill="E6E7E8"/>
          </w:tcPr>
          <w:p>
            <w:pPr>
              <w:pStyle w:val="TableParagraph"/>
              <w:spacing w:before="70"/>
              <w:ind w:right="53"/>
              <w:jc w:val="right"/>
              <w:rPr>
                <w:rFonts w:ascii="TT Norms Pro Light"/>
                <w:b w:val="0"/>
                <w:sz w:val="14"/>
              </w:rPr>
            </w:pPr>
            <w:r>
              <w:rPr>
                <w:rFonts w:ascii="TT Norms Pro Light"/>
                <w:b w:val="0"/>
                <w:spacing w:val="-2"/>
                <w:sz w:val="14"/>
              </w:rPr>
              <w:t>80.2%</w:t>
            </w:r>
          </w:p>
        </w:tc>
        <w:tc>
          <w:tcPr>
            <w:tcW w:w="993" w:type="dxa"/>
            <w:tcBorders>
              <w:bottom w:val="single" w:sz="2" w:space="0" w:color="000000"/>
            </w:tcBorders>
          </w:tcPr>
          <w:p>
            <w:pPr>
              <w:pStyle w:val="TableParagraph"/>
              <w:spacing w:before="70"/>
              <w:ind w:right="53"/>
              <w:jc w:val="right"/>
              <w:rPr>
                <w:rFonts w:ascii="TT Norms Pro Light"/>
                <w:b w:val="0"/>
                <w:sz w:val="14"/>
              </w:rPr>
            </w:pPr>
            <w:r>
              <w:rPr>
                <w:rFonts w:ascii="TT Norms Pro Light"/>
                <w:b w:val="0"/>
                <w:spacing w:val="-2"/>
                <w:sz w:val="14"/>
              </w:rPr>
              <w:t>74.9%</w:t>
            </w:r>
          </w:p>
        </w:tc>
        <w:tc>
          <w:tcPr>
            <w:tcW w:w="993" w:type="dxa"/>
            <w:tcBorders>
              <w:bottom w:val="single" w:sz="2" w:space="0" w:color="000000"/>
            </w:tcBorders>
            <w:shd w:val="clear" w:color="auto" w:fill="E6E7E8"/>
          </w:tcPr>
          <w:p>
            <w:pPr>
              <w:pStyle w:val="TableParagraph"/>
              <w:spacing w:before="70"/>
              <w:ind w:right="52"/>
              <w:jc w:val="right"/>
              <w:rPr>
                <w:rFonts w:ascii="TT Norms Pro Light"/>
                <w:b w:val="0"/>
                <w:sz w:val="14"/>
              </w:rPr>
            </w:pPr>
            <w:r>
              <w:rPr>
                <w:rFonts w:ascii="TT Norms Pro Light"/>
                <w:b w:val="0"/>
                <w:spacing w:val="-2"/>
                <w:sz w:val="14"/>
              </w:rPr>
              <w:t>66.2%</w:t>
            </w:r>
          </w:p>
        </w:tc>
        <w:tc>
          <w:tcPr>
            <w:tcW w:w="993" w:type="dxa"/>
            <w:tcBorders>
              <w:bottom w:val="single" w:sz="2" w:space="0" w:color="000000"/>
            </w:tcBorders>
          </w:tcPr>
          <w:p>
            <w:pPr>
              <w:pStyle w:val="TableParagraph"/>
              <w:spacing w:before="70"/>
              <w:ind w:right="52"/>
              <w:jc w:val="right"/>
              <w:rPr>
                <w:rFonts w:ascii="TT Norms Pro Light"/>
                <w:b w:val="0"/>
                <w:sz w:val="14"/>
              </w:rPr>
            </w:pPr>
            <w:r>
              <w:rPr>
                <w:rFonts w:ascii="TT Norms Pro Light"/>
                <w:b w:val="0"/>
                <w:spacing w:val="-4"/>
                <w:sz w:val="14"/>
              </w:rPr>
              <w:t>60.0%</w:t>
            </w:r>
          </w:p>
        </w:tc>
        <w:tc>
          <w:tcPr>
            <w:tcW w:w="993" w:type="dxa"/>
            <w:tcBorders>
              <w:bottom w:val="single" w:sz="2" w:space="0" w:color="000000"/>
            </w:tcBorders>
            <w:shd w:val="clear" w:color="auto" w:fill="E6E7E8"/>
          </w:tcPr>
          <w:p>
            <w:pPr>
              <w:pStyle w:val="TableParagraph"/>
              <w:spacing w:before="70"/>
              <w:ind w:right="51"/>
              <w:jc w:val="right"/>
              <w:rPr>
                <w:rFonts w:ascii="TT Norms Pro Light"/>
                <w:b w:val="0"/>
                <w:sz w:val="14"/>
              </w:rPr>
            </w:pPr>
            <w:r>
              <w:rPr>
                <w:rFonts w:ascii="TT Norms Pro Light"/>
                <w:b w:val="0"/>
                <w:spacing w:val="-2"/>
                <w:sz w:val="14"/>
              </w:rPr>
              <w:t>54.9%</w:t>
            </w:r>
          </w:p>
        </w:tc>
        <w:tc>
          <w:tcPr>
            <w:tcW w:w="993" w:type="dxa"/>
            <w:tcBorders>
              <w:bottom w:val="single" w:sz="2" w:space="0" w:color="000000"/>
            </w:tcBorders>
          </w:tcPr>
          <w:p>
            <w:pPr>
              <w:pStyle w:val="TableParagraph"/>
              <w:spacing w:before="70"/>
              <w:ind w:right="51"/>
              <w:jc w:val="right"/>
              <w:rPr>
                <w:rFonts w:ascii="TT Norms Pro Light"/>
                <w:b w:val="0"/>
                <w:sz w:val="14"/>
              </w:rPr>
            </w:pPr>
            <w:r>
              <w:rPr>
                <w:rFonts w:ascii="TT Norms Pro Light"/>
                <w:b w:val="0"/>
                <w:spacing w:val="-2"/>
                <w:sz w:val="14"/>
              </w:rPr>
              <w:t>56.1%</w:t>
            </w:r>
          </w:p>
        </w:tc>
      </w:tr>
      <w:tr>
        <w:trPr>
          <w:trHeight w:val="275" w:hRule="atLeast"/>
        </w:trPr>
        <w:tc>
          <w:tcPr>
            <w:tcW w:w="2689" w:type="dxa"/>
            <w:tcBorders>
              <w:top w:val="single" w:sz="2" w:space="0" w:color="000000"/>
              <w:bottom w:val="single" w:sz="4" w:space="0" w:color="000000"/>
            </w:tcBorders>
            <w:shd w:val="clear" w:color="auto" w:fill="E6E7E8"/>
          </w:tcPr>
          <w:p>
            <w:pPr>
              <w:pStyle w:val="TableParagraph"/>
              <w:spacing w:before="57"/>
              <w:ind w:left="85"/>
              <w:rPr>
                <w:rFonts w:ascii="TT Norms Pro"/>
                <w:b/>
                <w:sz w:val="14"/>
              </w:rPr>
            </w:pPr>
            <w:r>
              <w:rPr>
                <w:rFonts w:ascii="TT Norms Pro"/>
                <w:b/>
                <w:spacing w:val="-2"/>
                <w:sz w:val="14"/>
              </w:rPr>
              <w:t>Total</w:t>
            </w:r>
          </w:p>
        </w:tc>
        <w:tc>
          <w:tcPr>
            <w:tcW w:w="993" w:type="dxa"/>
            <w:tcBorders>
              <w:top w:val="single" w:sz="2" w:space="0" w:color="000000"/>
              <w:bottom w:val="single" w:sz="4" w:space="0" w:color="000000"/>
            </w:tcBorders>
          </w:tcPr>
          <w:p>
            <w:pPr>
              <w:pStyle w:val="TableParagraph"/>
              <w:spacing w:before="57"/>
              <w:ind w:right="54"/>
              <w:jc w:val="right"/>
              <w:rPr>
                <w:rFonts w:ascii="TT Norms Pro"/>
                <w:b/>
                <w:sz w:val="14"/>
              </w:rPr>
            </w:pPr>
            <w:r>
              <w:rPr>
                <w:rFonts w:ascii="TT Norms Pro"/>
                <w:b/>
                <w:spacing w:val="-4"/>
                <w:sz w:val="14"/>
              </w:rPr>
              <w:t>6,552</w:t>
            </w:r>
          </w:p>
        </w:tc>
        <w:tc>
          <w:tcPr>
            <w:tcW w:w="993" w:type="dxa"/>
            <w:tcBorders>
              <w:top w:val="single" w:sz="2" w:space="0" w:color="000000"/>
              <w:bottom w:val="single" w:sz="4" w:space="0" w:color="000000"/>
            </w:tcBorders>
            <w:shd w:val="clear" w:color="auto" w:fill="E6E7E8"/>
          </w:tcPr>
          <w:p>
            <w:pPr>
              <w:pStyle w:val="TableParagraph"/>
              <w:spacing w:before="57"/>
              <w:ind w:right="53"/>
              <w:jc w:val="right"/>
              <w:rPr>
                <w:rFonts w:ascii="TT Norms Pro"/>
                <w:b/>
                <w:sz w:val="14"/>
              </w:rPr>
            </w:pPr>
            <w:r>
              <w:rPr>
                <w:rFonts w:ascii="TT Norms Pro"/>
                <w:b/>
                <w:spacing w:val="-4"/>
                <w:sz w:val="14"/>
              </w:rPr>
              <w:t>7,436</w:t>
            </w:r>
          </w:p>
        </w:tc>
        <w:tc>
          <w:tcPr>
            <w:tcW w:w="993" w:type="dxa"/>
            <w:tcBorders>
              <w:top w:val="single" w:sz="2" w:space="0" w:color="000000"/>
              <w:bottom w:val="single" w:sz="4" w:space="0" w:color="000000"/>
            </w:tcBorders>
          </w:tcPr>
          <w:p>
            <w:pPr>
              <w:pStyle w:val="TableParagraph"/>
              <w:spacing w:before="57"/>
              <w:ind w:right="53"/>
              <w:jc w:val="right"/>
              <w:rPr>
                <w:rFonts w:ascii="TT Norms Pro"/>
                <w:b/>
                <w:sz w:val="14"/>
              </w:rPr>
            </w:pPr>
            <w:r>
              <w:rPr>
                <w:rFonts w:ascii="TT Norms Pro"/>
                <w:b/>
                <w:spacing w:val="-2"/>
                <w:sz w:val="14"/>
              </w:rPr>
              <w:t>8,112</w:t>
            </w:r>
          </w:p>
        </w:tc>
        <w:tc>
          <w:tcPr>
            <w:tcW w:w="993" w:type="dxa"/>
            <w:tcBorders>
              <w:top w:val="single" w:sz="2" w:space="0" w:color="000000"/>
              <w:bottom w:val="single" w:sz="4" w:space="0" w:color="000000"/>
            </w:tcBorders>
            <w:shd w:val="clear" w:color="auto" w:fill="E6E7E8"/>
          </w:tcPr>
          <w:p>
            <w:pPr>
              <w:pStyle w:val="TableParagraph"/>
              <w:spacing w:before="57"/>
              <w:ind w:right="52"/>
              <w:jc w:val="right"/>
              <w:rPr>
                <w:rFonts w:ascii="TT Norms Pro"/>
                <w:b/>
                <w:sz w:val="14"/>
              </w:rPr>
            </w:pPr>
            <w:r>
              <w:rPr>
                <w:rFonts w:ascii="TT Norms Pro"/>
                <w:b/>
                <w:spacing w:val="-4"/>
                <w:sz w:val="14"/>
              </w:rPr>
              <w:t>7,102</w:t>
            </w:r>
          </w:p>
        </w:tc>
        <w:tc>
          <w:tcPr>
            <w:tcW w:w="993" w:type="dxa"/>
            <w:tcBorders>
              <w:top w:val="single" w:sz="2" w:space="0" w:color="000000"/>
              <w:bottom w:val="single" w:sz="4" w:space="0" w:color="000000"/>
            </w:tcBorders>
          </w:tcPr>
          <w:p>
            <w:pPr>
              <w:pStyle w:val="TableParagraph"/>
              <w:spacing w:before="57"/>
              <w:ind w:right="52"/>
              <w:jc w:val="right"/>
              <w:rPr>
                <w:rFonts w:ascii="TT Norms Pro"/>
                <w:b/>
                <w:sz w:val="14"/>
              </w:rPr>
            </w:pPr>
            <w:r>
              <w:rPr>
                <w:rFonts w:ascii="TT Norms Pro"/>
                <w:b/>
                <w:spacing w:val="-2"/>
                <w:sz w:val="14"/>
              </w:rPr>
              <w:t>6,335</w:t>
            </w:r>
          </w:p>
        </w:tc>
        <w:tc>
          <w:tcPr>
            <w:tcW w:w="993" w:type="dxa"/>
            <w:tcBorders>
              <w:top w:val="single" w:sz="2" w:space="0" w:color="000000"/>
              <w:bottom w:val="single" w:sz="4" w:space="0" w:color="000000"/>
            </w:tcBorders>
            <w:shd w:val="clear" w:color="auto" w:fill="E6E7E8"/>
          </w:tcPr>
          <w:p>
            <w:pPr>
              <w:pStyle w:val="TableParagraph"/>
              <w:spacing w:before="57"/>
              <w:ind w:right="51"/>
              <w:jc w:val="right"/>
              <w:rPr>
                <w:rFonts w:ascii="TT Norms Pro"/>
                <w:b/>
                <w:sz w:val="14"/>
              </w:rPr>
            </w:pPr>
            <w:r>
              <w:rPr>
                <w:rFonts w:ascii="TT Norms Pro"/>
                <w:b/>
                <w:spacing w:val="-4"/>
                <w:sz w:val="14"/>
              </w:rPr>
              <w:t>7,103</w:t>
            </w:r>
          </w:p>
        </w:tc>
        <w:tc>
          <w:tcPr>
            <w:tcW w:w="993" w:type="dxa"/>
            <w:tcBorders>
              <w:top w:val="single" w:sz="2" w:space="0" w:color="000000"/>
              <w:bottom w:val="single" w:sz="4" w:space="0" w:color="000000"/>
            </w:tcBorders>
          </w:tcPr>
          <w:p>
            <w:pPr>
              <w:pStyle w:val="TableParagraph"/>
              <w:spacing w:before="57"/>
              <w:ind w:right="51"/>
              <w:jc w:val="right"/>
              <w:rPr>
                <w:rFonts w:ascii="TT Norms Pro"/>
                <w:b/>
                <w:sz w:val="14"/>
              </w:rPr>
            </w:pPr>
            <w:r>
              <w:rPr>
                <w:rFonts w:ascii="TT Norms Pro"/>
                <w:b/>
                <w:spacing w:val="-4"/>
                <w:sz w:val="14"/>
              </w:rPr>
              <w:t>6,481</w:t>
            </w:r>
          </w:p>
        </w:tc>
      </w:tr>
    </w:tbl>
    <w:p>
      <w:pPr>
        <w:pStyle w:val="BodyText"/>
        <w:rPr>
          <w:rFonts w:ascii="TT Norms Pro"/>
          <w:b/>
          <w:sz w:val="16"/>
        </w:rPr>
      </w:pPr>
    </w:p>
    <w:p>
      <w:pPr>
        <w:pStyle w:val="BodyText"/>
        <w:rPr>
          <w:rFonts w:ascii="TT Norms Pro"/>
          <w:b/>
          <w:sz w:val="16"/>
        </w:rPr>
      </w:pPr>
    </w:p>
    <w:p>
      <w:pPr>
        <w:pStyle w:val="BodyText"/>
        <w:rPr>
          <w:rFonts w:ascii="TT Norms Pro"/>
          <w:b/>
          <w:sz w:val="16"/>
        </w:rPr>
      </w:pPr>
    </w:p>
    <w:p>
      <w:pPr>
        <w:pStyle w:val="BodyText"/>
        <w:rPr>
          <w:rFonts w:ascii="TT Norms Pro"/>
          <w:b/>
          <w:sz w:val="16"/>
        </w:rPr>
      </w:pPr>
    </w:p>
    <w:p>
      <w:pPr>
        <w:pStyle w:val="BodyText"/>
        <w:spacing w:before="83"/>
        <w:rPr>
          <w:rFonts w:ascii="TT Norms Pro"/>
          <w:b/>
          <w:sz w:val="16"/>
        </w:rPr>
      </w:pPr>
    </w:p>
    <w:p>
      <w:pPr>
        <w:spacing w:before="1"/>
        <w:ind w:left="213" w:right="0" w:firstLine="0"/>
        <w:jc w:val="left"/>
        <w:rPr>
          <w:rFonts w:ascii="TT Norms Pro Medium"/>
          <w:b/>
          <w:sz w:val="16"/>
        </w:rPr>
      </w:pPr>
      <w:r>
        <w:rPr>
          <w:rFonts w:ascii="TT Norms Pro Medium"/>
          <w:b/>
          <w:spacing w:val="-4"/>
          <w:sz w:val="16"/>
        </w:rPr>
        <w:t>DEGREES</w:t>
      </w:r>
      <w:r>
        <w:rPr>
          <w:rFonts w:ascii="TT Norms Pro Medium"/>
          <w:b/>
          <w:spacing w:val="-2"/>
          <w:sz w:val="16"/>
        </w:rPr>
        <w:t> </w:t>
      </w:r>
      <w:r>
        <w:rPr>
          <w:rFonts w:ascii="TT Norms Pro Medium"/>
          <w:b/>
          <w:spacing w:val="-4"/>
          <w:sz w:val="16"/>
        </w:rPr>
        <w:t>AND</w:t>
      </w:r>
      <w:r>
        <w:rPr>
          <w:rFonts w:ascii="TT Norms Pro Medium"/>
          <w:b/>
          <w:spacing w:val="-1"/>
          <w:sz w:val="16"/>
        </w:rPr>
        <w:t> </w:t>
      </w:r>
      <w:r>
        <w:rPr>
          <w:rFonts w:ascii="TT Norms Pro Medium"/>
          <w:b/>
          <w:spacing w:val="-4"/>
          <w:sz w:val="16"/>
        </w:rPr>
        <w:t>AWARDS</w:t>
      </w:r>
      <w:r>
        <w:rPr>
          <w:rFonts w:ascii="TT Norms Pro Medium"/>
          <w:b/>
          <w:spacing w:val="-2"/>
          <w:sz w:val="16"/>
        </w:rPr>
        <w:t> </w:t>
      </w:r>
      <w:r>
        <w:rPr>
          <w:rFonts w:ascii="TT Norms Pro Medium"/>
          <w:b/>
          <w:spacing w:val="-4"/>
          <w:sz w:val="16"/>
        </w:rPr>
        <w:t>CONFERRED,</w:t>
      </w:r>
      <w:r>
        <w:rPr>
          <w:rFonts w:ascii="TT Norms Pro Medium"/>
          <w:b/>
          <w:spacing w:val="-2"/>
          <w:sz w:val="16"/>
        </w:rPr>
        <w:t> </w:t>
      </w:r>
      <w:r>
        <w:rPr>
          <w:rFonts w:ascii="TT Norms Pro Medium"/>
          <w:b/>
          <w:spacing w:val="-4"/>
          <w:sz w:val="16"/>
        </w:rPr>
        <w:t>2014-</w:t>
      </w:r>
      <w:r>
        <w:rPr>
          <w:rFonts w:ascii="TT Norms Pro Medium"/>
          <w:b/>
          <w:spacing w:val="-5"/>
          <w:sz w:val="16"/>
        </w:rPr>
        <w:t>20</w:t>
      </w:r>
    </w:p>
    <w:p>
      <w:pPr>
        <w:pStyle w:val="BodyText"/>
        <w:rPr>
          <w:rFonts w:ascii="TT Norms Pro Medium"/>
          <w:b/>
          <w:sz w:val="12"/>
        </w:rPr>
      </w:pPr>
    </w:p>
    <w:p>
      <w:pPr>
        <w:pStyle w:val="BodyText"/>
        <w:rPr>
          <w:rFonts w:ascii="TT Norms Pro Medium"/>
          <w:b/>
          <w:sz w:val="12"/>
        </w:rPr>
      </w:pPr>
    </w:p>
    <w:p>
      <w:pPr>
        <w:pStyle w:val="BodyText"/>
        <w:spacing w:before="8"/>
        <w:rPr>
          <w:rFonts w:ascii="TT Norms Pro Medium"/>
          <w:b/>
          <w:sz w:val="12"/>
        </w:rPr>
      </w:pPr>
    </w:p>
    <w:p>
      <w:pPr>
        <w:spacing w:before="0"/>
        <w:ind w:left="229" w:right="0" w:firstLine="0"/>
        <w:jc w:val="left"/>
        <w:rPr>
          <w:rFonts w:ascii="TT Norms Pro Light"/>
          <w:b w:val="0"/>
          <w:sz w:val="12"/>
        </w:rPr>
      </w:pPr>
      <w:r>
        <w:rPr>
          <w:rFonts w:ascii="TT Norms Pro Light"/>
          <w:b w:val="0"/>
          <w:spacing w:val="-4"/>
          <w:sz w:val="12"/>
        </w:rPr>
        <w:t>9000</w:t>
      </w:r>
    </w:p>
    <w:p>
      <w:pPr>
        <w:pStyle w:val="BodyText"/>
        <w:rPr>
          <w:b w:val="0"/>
          <w:sz w:val="12"/>
        </w:rPr>
      </w:pPr>
    </w:p>
    <w:p>
      <w:pPr>
        <w:pStyle w:val="BodyText"/>
        <w:spacing w:before="9"/>
        <w:rPr>
          <w:b w:val="0"/>
          <w:sz w:val="12"/>
        </w:rPr>
      </w:pPr>
    </w:p>
    <w:p>
      <w:pPr>
        <w:spacing w:before="0"/>
        <w:ind w:left="228" w:right="0" w:firstLine="0"/>
        <w:jc w:val="left"/>
        <w:rPr>
          <w:rFonts w:ascii="TT Norms Pro Light"/>
          <w:b w:val="0"/>
          <w:sz w:val="12"/>
        </w:rPr>
      </w:pPr>
      <w:r>
        <w:rPr/>
        <mc:AlternateContent>
          <mc:Choice Requires="wps">
            <w:drawing>
              <wp:anchor distT="0" distB="0" distL="0" distR="0" allowOverlap="1" layoutInCell="1" locked="0" behindDoc="0" simplePos="0" relativeHeight="15834112">
                <wp:simplePos x="0" y="0"/>
                <wp:positionH relativeFrom="page">
                  <wp:posOffset>1939912</wp:posOffset>
                </wp:positionH>
                <wp:positionV relativeFrom="paragraph">
                  <wp:posOffset>18511</wp:posOffset>
                </wp:positionV>
                <wp:extent cx="324485" cy="2195830"/>
                <wp:effectExtent l="0" t="0" r="0" b="0"/>
                <wp:wrapNone/>
                <wp:docPr id="555" name="Group 555"/>
                <wp:cNvGraphicFramePr>
                  <a:graphicFrameLocks/>
                </wp:cNvGraphicFramePr>
                <a:graphic>
                  <a:graphicData uri="http://schemas.microsoft.com/office/word/2010/wordprocessingGroup">
                    <wpg:wgp>
                      <wpg:cNvPr id="555" name="Group 555"/>
                      <wpg:cNvGrpSpPr/>
                      <wpg:grpSpPr>
                        <a:xfrm>
                          <a:off x="0" y="0"/>
                          <a:ext cx="324485" cy="2195830"/>
                          <a:chExt cx="324485" cy="2195830"/>
                        </a:xfrm>
                      </wpg:grpSpPr>
                      <wps:wsp>
                        <wps:cNvPr id="556" name="Graphic 556"/>
                        <wps:cNvSpPr/>
                        <wps:spPr>
                          <a:xfrm>
                            <a:off x="0" y="0"/>
                            <a:ext cx="324485" cy="102870"/>
                          </a:xfrm>
                          <a:custGeom>
                            <a:avLst/>
                            <a:gdLst/>
                            <a:ahLst/>
                            <a:cxnLst/>
                            <a:rect l="l" t="t" r="r" b="b"/>
                            <a:pathLst>
                              <a:path w="324485" h="102870">
                                <a:moveTo>
                                  <a:pt x="324116" y="0"/>
                                </a:moveTo>
                                <a:lnTo>
                                  <a:pt x="0" y="0"/>
                                </a:lnTo>
                                <a:lnTo>
                                  <a:pt x="0" y="102857"/>
                                </a:lnTo>
                                <a:lnTo>
                                  <a:pt x="324116" y="102857"/>
                                </a:lnTo>
                                <a:lnTo>
                                  <a:pt x="324116" y="0"/>
                                </a:lnTo>
                                <a:close/>
                              </a:path>
                            </a:pathLst>
                          </a:custGeom>
                          <a:solidFill>
                            <a:srgbClr val="DDB00A"/>
                          </a:solidFill>
                        </wps:spPr>
                        <wps:bodyPr wrap="square" lIns="0" tIns="0" rIns="0" bIns="0" rtlCol="0">
                          <a:prstTxWarp prst="textNoShape">
                            <a:avLst/>
                          </a:prstTxWarp>
                          <a:noAutofit/>
                        </wps:bodyPr>
                      </wps:wsp>
                      <wps:wsp>
                        <wps:cNvPr id="557" name="Graphic 557"/>
                        <wps:cNvSpPr/>
                        <wps:spPr>
                          <a:xfrm>
                            <a:off x="0" y="102857"/>
                            <a:ext cx="324485" cy="448309"/>
                          </a:xfrm>
                          <a:custGeom>
                            <a:avLst/>
                            <a:gdLst/>
                            <a:ahLst/>
                            <a:cxnLst/>
                            <a:rect l="l" t="t" r="r" b="b"/>
                            <a:pathLst>
                              <a:path w="324485" h="448309">
                                <a:moveTo>
                                  <a:pt x="324116" y="0"/>
                                </a:moveTo>
                                <a:lnTo>
                                  <a:pt x="0" y="0"/>
                                </a:lnTo>
                                <a:lnTo>
                                  <a:pt x="0" y="448259"/>
                                </a:lnTo>
                                <a:lnTo>
                                  <a:pt x="324116" y="448259"/>
                                </a:lnTo>
                                <a:lnTo>
                                  <a:pt x="324116" y="0"/>
                                </a:lnTo>
                                <a:close/>
                              </a:path>
                            </a:pathLst>
                          </a:custGeom>
                          <a:solidFill>
                            <a:srgbClr val="000000"/>
                          </a:solidFill>
                        </wps:spPr>
                        <wps:bodyPr wrap="square" lIns="0" tIns="0" rIns="0" bIns="0" rtlCol="0">
                          <a:prstTxWarp prst="textNoShape">
                            <a:avLst/>
                          </a:prstTxWarp>
                          <a:noAutofit/>
                        </wps:bodyPr>
                      </wps:wsp>
                      <wps:wsp>
                        <wps:cNvPr id="558" name="Graphic 558"/>
                        <wps:cNvSpPr/>
                        <wps:spPr>
                          <a:xfrm>
                            <a:off x="0" y="551116"/>
                            <a:ext cx="324485" cy="1644650"/>
                          </a:xfrm>
                          <a:custGeom>
                            <a:avLst/>
                            <a:gdLst/>
                            <a:ahLst/>
                            <a:cxnLst/>
                            <a:rect l="l" t="t" r="r" b="b"/>
                            <a:pathLst>
                              <a:path w="324485" h="1644650">
                                <a:moveTo>
                                  <a:pt x="324116" y="0"/>
                                </a:moveTo>
                                <a:lnTo>
                                  <a:pt x="0" y="0"/>
                                </a:lnTo>
                                <a:lnTo>
                                  <a:pt x="0" y="1644650"/>
                                </a:lnTo>
                                <a:lnTo>
                                  <a:pt x="324116" y="1644650"/>
                                </a:lnTo>
                                <a:lnTo>
                                  <a:pt x="324116" y="0"/>
                                </a:lnTo>
                                <a:close/>
                              </a:path>
                            </a:pathLst>
                          </a:custGeom>
                          <a:solidFill>
                            <a:srgbClr val="21409A"/>
                          </a:solidFill>
                        </wps:spPr>
                        <wps:bodyPr wrap="square" lIns="0" tIns="0" rIns="0" bIns="0" rtlCol="0">
                          <a:prstTxWarp prst="textNoShape">
                            <a:avLst/>
                          </a:prstTxWarp>
                          <a:noAutofit/>
                        </wps:bodyPr>
                      </wps:wsp>
                    </wpg:wgp>
                  </a:graphicData>
                </a:graphic>
              </wp:anchor>
            </w:drawing>
          </mc:Choice>
          <mc:Fallback>
            <w:pict>
              <v:group style="position:absolute;margin-left:152.748993pt;margin-top:1.4576pt;width:25.55pt;height:172.9pt;mso-position-horizontal-relative:page;mso-position-vertical-relative:paragraph;z-index:15834112" id="docshapegroup370" coordorigin="3055,29" coordsize="511,3458">
                <v:rect style="position:absolute;left:3054;top:29;width:511;height:162" id="docshape371" filled="true" fillcolor="#ddb00a" stroked="false">
                  <v:fill type="solid"/>
                </v:rect>
                <v:rect style="position:absolute;left:3054;top:191;width:511;height:706" id="docshape372" filled="true" fillcolor="#000000" stroked="false">
                  <v:fill type="solid"/>
                </v:rect>
                <v:rect style="position:absolute;left:3054;top:897;width:511;height:2590" id="docshape373" filled="true" fillcolor="#21409a" stroked="false">
                  <v:fill type="solid"/>
                </v:rect>
                <w10:wrap type="none"/>
              </v:group>
            </w:pict>
          </mc:Fallback>
        </mc:AlternateContent>
      </w:r>
      <w:r>
        <w:rPr>
          <w:rFonts w:ascii="TT Norms Pro Light"/>
          <w:b w:val="0"/>
          <w:spacing w:val="-4"/>
          <w:sz w:val="12"/>
        </w:rPr>
        <w:t>8000</w:t>
      </w:r>
    </w:p>
    <w:p>
      <w:pPr>
        <w:pStyle w:val="BodyText"/>
        <w:rPr>
          <w:b w:val="0"/>
          <w:sz w:val="12"/>
        </w:rPr>
      </w:pPr>
    </w:p>
    <w:p>
      <w:pPr>
        <w:pStyle w:val="BodyText"/>
        <w:spacing w:before="9"/>
        <w:rPr>
          <w:b w:val="0"/>
          <w:sz w:val="12"/>
        </w:rPr>
      </w:pPr>
    </w:p>
    <w:p>
      <w:pPr>
        <w:spacing w:before="0"/>
        <w:ind w:left="243" w:right="0" w:firstLine="0"/>
        <w:jc w:val="left"/>
        <w:rPr>
          <w:rFonts w:ascii="TT Norms Pro Light"/>
          <w:b w:val="0"/>
          <w:sz w:val="12"/>
        </w:rPr>
      </w:pPr>
      <w:r>
        <w:rPr/>
        <mc:AlternateContent>
          <mc:Choice Requires="wps">
            <w:drawing>
              <wp:anchor distT="0" distB="0" distL="0" distR="0" allowOverlap="1" layoutInCell="1" locked="0" behindDoc="0" simplePos="0" relativeHeight="15833600">
                <wp:simplePos x="0" y="0"/>
                <wp:positionH relativeFrom="page">
                  <wp:posOffset>1489748</wp:posOffset>
                </wp:positionH>
                <wp:positionV relativeFrom="paragraph">
                  <wp:posOffset>-62298</wp:posOffset>
                </wp:positionV>
                <wp:extent cx="324485" cy="2004060"/>
                <wp:effectExtent l="0" t="0" r="0" b="0"/>
                <wp:wrapNone/>
                <wp:docPr id="559" name="Group 559"/>
                <wp:cNvGraphicFramePr>
                  <a:graphicFrameLocks/>
                </wp:cNvGraphicFramePr>
                <a:graphic>
                  <a:graphicData uri="http://schemas.microsoft.com/office/word/2010/wordprocessingGroup">
                    <wpg:wgp>
                      <wpg:cNvPr id="559" name="Group 559"/>
                      <wpg:cNvGrpSpPr/>
                      <wpg:grpSpPr>
                        <a:xfrm>
                          <a:off x="0" y="0"/>
                          <a:ext cx="324485" cy="2004060"/>
                          <a:chExt cx="324485" cy="2004060"/>
                        </a:xfrm>
                      </wpg:grpSpPr>
                      <wps:wsp>
                        <wps:cNvPr id="560" name="Graphic 560"/>
                        <wps:cNvSpPr/>
                        <wps:spPr>
                          <a:xfrm>
                            <a:off x="0" y="0"/>
                            <a:ext cx="324485" cy="85090"/>
                          </a:xfrm>
                          <a:custGeom>
                            <a:avLst/>
                            <a:gdLst/>
                            <a:ahLst/>
                            <a:cxnLst/>
                            <a:rect l="l" t="t" r="r" b="b"/>
                            <a:pathLst>
                              <a:path w="324485" h="85090">
                                <a:moveTo>
                                  <a:pt x="324116" y="0"/>
                                </a:moveTo>
                                <a:lnTo>
                                  <a:pt x="0" y="0"/>
                                </a:lnTo>
                                <a:lnTo>
                                  <a:pt x="0" y="84607"/>
                                </a:lnTo>
                                <a:lnTo>
                                  <a:pt x="324116" y="84607"/>
                                </a:lnTo>
                                <a:lnTo>
                                  <a:pt x="324116" y="0"/>
                                </a:lnTo>
                                <a:close/>
                              </a:path>
                            </a:pathLst>
                          </a:custGeom>
                          <a:solidFill>
                            <a:srgbClr val="DDB00A"/>
                          </a:solidFill>
                        </wps:spPr>
                        <wps:bodyPr wrap="square" lIns="0" tIns="0" rIns="0" bIns="0" rtlCol="0">
                          <a:prstTxWarp prst="textNoShape">
                            <a:avLst/>
                          </a:prstTxWarp>
                          <a:noAutofit/>
                        </wps:bodyPr>
                      </wps:wsp>
                      <wps:wsp>
                        <wps:cNvPr id="561" name="Graphic 561"/>
                        <wps:cNvSpPr/>
                        <wps:spPr>
                          <a:xfrm>
                            <a:off x="0" y="84607"/>
                            <a:ext cx="324485" cy="311785"/>
                          </a:xfrm>
                          <a:custGeom>
                            <a:avLst/>
                            <a:gdLst/>
                            <a:ahLst/>
                            <a:cxnLst/>
                            <a:rect l="l" t="t" r="r" b="b"/>
                            <a:pathLst>
                              <a:path w="324485" h="311785">
                                <a:moveTo>
                                  <a:pt x="324116" y="0"/>
                                </a:moveTo>
                                <a:lnTo>
                                  <a:pt x="0" y="0"/>
                                </a:lnTo>
                                <a:lnTo>
                                  <a:pt x="0" y="311492"/>
                                </a:lnTo>
                                <a:lnTo>
                                  <a:pt x="324116" y="311492"/>
                                </a:lnTo>
                                <a:lnTo>
                                  <a:pt x="324116" y="0"/>
                                </a:lnTo>
                                <a:close/>
                              </a:path>
                            </a:pathLst>
                          </a:custGeom>
                          <a:solidFill>
                            <a:srgbClr val="000000"/>
                          </a:solidFill>
                        </wps:spPr>
                        <wps:bodyPr wrap="square" lIns="0" tIns="0" rIns="0" bIns="0" rtlCol="0">
                          <a:prstTxWarp prst="textNoShape">
                            <a:avLst/>
                          </a:prstTxWarp>
                          <a:noAutofit/>
                        </wps:bodyPr>
                      </wps:wsp>
                      <wps:wsp>
                        <wps:cNvPr id="562" name="Graphic 562"/>
                        <wps:cNvSpPr/>
                        <wps:spPr>
                          <a:xfrm>
                            <a:off x="0" y="396100"/>
                            <a:ext cx="324485" cy="1607820"/>
                          </a:xfrm>
                          <a:custGeom>
                            <a:avLst/>
                            <a:gdLst/>
                            <a:ahLst/>
                            <a:cxnLst/>
                            <a:rect l="l" t="t" r="r" b="b"/>
                            <a:pathLst>
                              <a:path w="324485" h="1607820">
                                <a:moveTo>
                                  <a:pt x="324116" y="0"/>
                                </a:moveTo>
                                <a:lnTo>
                                  <a:pt x="0" y="0"/>
                                </a:lnTo>
                                <a:lnTo>
                                  <a:pt x="0" y="1607566"/>
                                </a:lnTo>
                                <a:lnTo>
                                  <a:pt x="324116" y="1607566"/>
                                </a:lnTo>
                                <a:lnTo>
                                  <a:pt x="324116" y="0"/>
                                </a:lnTo>
                                <a:close/>
                              </a:path>
                            </a:pathLst>
                          </a:custGeom>
                          <a:solidFill>
                            <a:srgbClr val="21409A"/>
                          </a:solidFill>
                        </wps:spPr>
                        <wps:bodyPr wrap="square" lIns="0" tIns="0" rIns="0" bIns="0" rtlCol="0">
                          <a:prstTxWarp prst="textNoShape">
                            <a:avLst/>
                          </a:prstTxWarp>
                          <a:noAutofit/>
                        </wps:bodyPr>
                      </wps:wsp>
                    </wpg:wgp>
                  </a:graphicData>
                </a:graphic>
              </wp:anchor>
            </w:drawing>
          </mc:Choice>
          <mc:Fallback>
            <w:pict>
              <v:group style="position:absolute;margin-left:117.303001pt;margin-top:-4.9054pt;width:25.55pt;height:157.8pt;mso-position-horizontal-relative:page;mso-position-vertical-relative:paragraph;z-index:15833600" id="docshapegroup374" coordorigin="2346,-98" coordsize="511,3156">
                <v:rect style="position:absolute;left:2346;top:-99;width:511;height:134" id="docshape375" filled="true" fillcolor="#ddb00a" stroked="false">
                  <v:fill type="solid"/>
                </v:rect>
                <v:rect style="position:absolute;left:2346;top:35;width:511;height:491" id="docshape376" filled="true" fillcolor="#000000" stroked="false">
                  <v:fill type="solid"/>
                </v:rect>
                <v:rect style="position:absolute;left:2346;top:525;width:511;height:2532" id="docshape377" filled="true" fillcolor="#21409a" stroked="false">
                  <v:fill type="solid"/>
                </v:rect>
                <w10:wrap type="none"/>
              </v:group>
            </w:pict>
          </mc:Fallback>
        </mc:AlternateContent>
      </w:r>
      <w:r>
        <w:rPr/>
        <mc:AlternateContent>
          <mc:Choice Requires="wps">
            <w:drawing>
              <wp:anchor distT="0" distB="0" distL="0" distR="0" allowOverlap="1" layoutInCell="1" locked="0" behindDoc="0" simplePos="0" relativeHeight="15834624">
                <wp:simplePos x="0" y="0"/>
                <wp:positionH relativeFrom="page">
                  <wp:posOffset>2390076</wp:posOffset>
                </wp:positionH>
                <wp:positionV relativeFrom="paragraph">
                  <wp:posOffset>26779</wp:posOffset>
                </wp:positionV>
                <wp:extent cx="324485" cy="1914525"/>
                <wp:effectExtent l="0" t="0" r="0" b="0"/>
                <wp:wrapNone/>
                <wp:docPr id="563" name="Group 563"/>
                <wp:cNvGraphicFramePr>
                  <a:graphicFrameLocks/>
                </wp:cNvGraphicFramePr>
                <a:graphic>
                  <a:graphicData uri="http://schemas.microsoft.com/office/word/2010/wordprocessingGroup">
                    <wpg:wgp>
                      <wpg:cNvPr id="563" name="Group 563"/>
                      <wpg:cNvGrpSpPr/>
                      <wpg:grpSpPr>
                        <a:xfrm>
                          <a:off x="0" y="0"/>
                          <a:ext cx="324485" cy="1914525"/>
                          <a:chExt cx="324485" cy="1914525"/>
                        </a:xfrm>
                      </wpg:grpSpPr>
                      <wps:wsp>
                        <wps:cNvPr id="564" name="Graphic 564"/>
                        <wps:cNvSpPr/>
                        <wps:spPr>
                          <a:xfrm>
                            <a:off x="0" y="0"/>
                            <a:ext cx="324485" cy="85725"/>
                          </a:xfrm>
                          <a:custGeom>
                            <a:avLst/>
                            <a:gdLst/>
                            <a:ahLst/>
                            <a:cxnLst/>
                            <a:rect l="l" t="t" r="r" b="b"/>
                            <a:pathLst>
                              <a:path w="324485" h="85725">
                                <a:moveTo>
                                  <a:pt x="324116" y="0"/>
                                </a:moveTo>
                                <a:lnTo>
                                  <a:pt x="0" y="0"/>
                                </a:lnTo>
                                <a:lnTo>
                                  <a:pt x="0" y="85699"/>
                                </a:lnTo>
                                <a:lnTo>
                                  <a:pt x="324116" y="85699"/>
                                </a:lnTo>
                                <a:lnTo>
                                  <a:pt x="324116" y="0"/>
                                </a:lnTo>
                                <a:close/>
                              </a:path>
                            </a:pathLst>
                          </a:custGeom>
                          <a:solidFill>
                            <a:srgbClr val="DDB00A"/>
                          </a:solidFill>
                        </wps:spPr>
                        <wps:bodyPr wrap="square" lIns="0" tIns="0" rIns="0" bIns="0" rtlCol="0">
                          <a:prstTxWarp prst="textNoShape">
                            <a:avLst/>
                          </a:prstTxWarp>
                          <a:noAutofit/>
                        </wps:bodyPr>
                      </wps:wsp>
                      <wps:wsp>
                        <wps:cNvPr id="565" name="Graphic 565"/>
                        <wps:cNvSpPr/>
                        <wps:spPr>
                          <a:xfrm>
                            <a:off x="0" y="85699"/>
                            <a:ext cx="324485" cy="560705"/>
                          </a:xfrm>
                          <a:custGeom>
                            <a:avLst/>
                            <a:gdLst/>
                            <a:ahLst/>
                            <a:cxnLst/>
                            <a:rect l="l" t="t" r="r" b="b"/>
                            <a:pathLst>
                              <a:path w="324485" h="560705">
                                <a:moveTo>
                                  <a:pt x="324116" y="0"/>
                                </a:moveTo>
                                <a:lnTo>
                                  <a:pt x="0" y="0"/>
                                </a:lnTo>
                                <a:lnTo>
                                  <a:pt x="0" y="560311"/>
                                </a:lnTo>
                                <a:lnTo>
                                  <a:pt x="324116" y="560311"/>
                                </a:lnTo>
                                <a:lnTo>
                                  <a:pt x="324116" y="0"/>
                                </a:lnTo>
                                <a:close/>
                              </a:path>
                            </a:pathLst>
                          </a:custGeom>
                          <a:solidFill>
                            <a:srgbClr val="000000"/>
                          </a:solidFill>
                        </wps:spPr>
                        <wps:bodyPr wrap="square" lIns="0" tIns="0" rIns="0" bIns="0" rtlCol="0">
                          <a:prstTxWarp prst="textNoShape">
                            <a:avLst/>
                          </a:prstTxWarp>
                          <a:noAutofit/>
                        </wps:bodyPr>
                      </wps:wsp>
                      <wps:wsp>
                        <wps:cNvPr id="566" name="Graphic 566"/>
                        <wps:cNvSpPr/>
                        <wps:spPr>
                          <a:xfrm>
                            <a:off x="0" y="646010"/>
                            <a:ext cx="324485" cy="1268095"/>
                          </a:xfrm>
                          <a:custGeom>
                            <a:avLst/>
                            <a:gdLst/>
                            <a:ahLst/>
                            <a:cxnLst/>
                            <a:rect l="l" t="t" r="r" b="b"/>
                            <a:pathLst>
                              <a:path w="324485" h="1268095">
                                <a:moveTo>
                                  <a:pt x="324116" y="0"/>
                                </a:moveTo>
                                <a:lnTo>
                                  <a:pt x="0" y="0"/>
                                </a:lnTo>
                                <a:lnTo>
                                  <a:pt x="0" y="1268031"/>
                                </a:lnTo>
                                <a:lnTo>
                                  <a:pt x="324116" y="1268031"/>
                                </a:lnTo>
                                <a:lnTo>
                                  <a:pt x="324116" y="0"/>
                                </a:lnTo>
                                <a:close/>
                              </a:path>
                            </a:pathLst>
                          </a:custGeom>
                          <a:solidFill>
                            <a:srgbClr val="21409A"/>
                          </a:solidFill>
                        </wps:spPr>
                        <wps:bodyPr wrap="square" lIns="0" tIns="0" rIns="0" bIns="0" rtlCol="0">
                          <a:prstTxWarp prst="textNoShape">
                            <a:avLst/>
                          </a:prstTxWarp>
                          <a:noAutofit/>
                        </wps:bodyPr>
                      </wps:wsp>
                    </wpg:wgp>
                  </a:graphicData>
                </a:graphic>
              </wp:anchor>
            </w:drawing>
          </mc:Choice>
          <mc:Fallback>
            <w:pict>
              <v:group style="position:absolute;margin-left:188.195007pt;margin-top:2.1086pt;width:25.55pt;height:150.75pt;mso-position-horizontal-relative:page;mso-position-vertical-relative:paragraph;z-index:15834624" id="docshapegroup378" coordorigin="3764,42" coordsize="511,3015">
                <v:rect style="position:absolute;left:3763;top:42;width:511;height:135" id="docshape379" filled="true" fillcolor="#ddb00a" stroked="false">
                  <v:fill type="solid"/>
                </v:rect>
                <v:rect style="position:absolute;left:3763;top:177;width:511;height:883" id="docshape380" filled="true" fillcolor="#000000" stroked="false">
                  <v:fill type="solid"/>
                </v:rect>
                <v:rect style="position:absolute;left:3763;top:1059;width:511;height:1997" id="docshape381" filled="true" fillcolor="#21409a" stroked="false">
                  <v:fill type="solid"/>
                </v:rect>
                <w10:wrap type="none"/>
              </v:group>
            </w:pict>
          </mc:Fallback>
        </mc:AlternateContent>
      </w:r>
      <w:r>
        <w:rPr/>
        <mc:AlternateContent>
          <mc:Choice Requires="wps">
            <w:drawing>
              <wp:anchor distT="0" distB="0" distL="0" distR="0" allowOverlap="1" layoutInCell="1" locked="0" behindDoc="0" simplePos="0" relativeHeight="15835648">
                <wp:simplePos x="0" y="0"/>
                <wp:positionH relativeFrom="page">
                  <wp:posOffset>3281565</wp:posOffset>
                </wp:positionH>
                <wp:positionV relativeFrom="paragraph">
                  <wp:posOffset>26779</wp:posOffset>
                </wp:positionV>
                <wp:extent cx="324485" cy="1913255"/>
                <wp:effectExtent l="0" t="0" r="0" b="0"/>
                <wp:wrapNone/>
                <wp:docPr id="567" name="Group 567"/>
                <wp:cNvGraphicFramePr>
                  <a:graphicFrameLocks/>
                </wp:cNvGraphicFramePr>
                <a:graphic>
                  <a:graphicData uri="http://schemas.microsoft.com/office/word/2010/wordprocessingGroup">
                    <wpg:wgp>
                      <wpg:cNvPr id="567" name="Group 567"/>
                      <wpg:cNvGrpSpPr/>
                      <wpg:grpSpPr>
                        <a:xfrm>
                          <a:off x="0" y="0"/>
                          <a:ext cx="324485" cy="1913255"/>
                          <a:chExt cx="324485" cy="1913255"/>
                        </a:xfrm>
                      </wpg:grpSpPr>
                      <wps:wsp>
                        <wps:cNvPr id="568" name="Graphic 568"/>
                        <wps:cNvSpPr/>
                        <wps:spPr>
                          <a:xfrm>
                            <a:off x="0" y="0"/>
                            <a:ext cx="324485" cy="83185"/>
                          </a:xfrm>
                          <a:custGeom>
                            <a:avLst/>
                            <a:gdLst/>
                            <a:ahLst/>
                            <a:cxnLst/>
                            <a:rect l="l" t="t" r="r" b="b"/>
                            <a:pathLst>
                              <a:path w="324485" h="83185">
                                <a:moveTo>
                                  <a:pt x="0" y="82892"/>
                                </a:moveTo>
                                <a:lnTo>
                                  <a:pt x="324116" y="82892"/>
                                </a:lnTo>
                                <a:lnTo>
                                  <a:pt x="324116" y="0"/>
                                </a:lnTo>
                                <a:lnTo>
                                  <a:pt x="0" y="0"/>
                                </a:lnTo>
                                <a:lnTo>
                                  <a:pt x="0" y="82892"/>
                                </a:lnTo>
                                <a:close/>
                              </a:path>
                            </a:pathLst>
                          </a:custGeom>
                          <a:solidFill>
                            <a:srgbClr val="DDB00A"/>
                          </a:solidFill>
                        </wps:spPr>
                        <wps:bodyPr wrap="square" lIns="0" tIns="0" rIns="0" bIns="0" rtlCol="0">
                          <a:prstTxWarp prst="textNoShape">
                            <a:avLst/>
                          </a:prstTxWarp>
                          <a:noAutofit/>
                        </wps:bodyPr>
                      </wps:wsp>
                      <wps:wsp>
                        <wps:cNvPr id="569" name="Graphic 569"/>
                        <wps:cNvSpPr/>
                        <wps:spPr>
                          <a:xfrm>
                            <a:off x="0" y="82892"/>
                            <a:ext cx="324485" cy="778510"/>
                          </a:xfrm>
                          <a:custGeom>
                            <a:avLst/>
                            <a:gdLst/>
                            <a:ahLst/>
                            <a:cxnLst/>
                            <a:rect l="l" t="t" r="r" b="b"/>
                            <a:pathLst>
                              <a:path w="324485" h="778510">
                                <a:moveTo>
                                  <a:pt x="324116" y="0"/>
                                </a:moveTo>
                                <a:lnTo>
                                  <a:pt x="0" y="0"/>
                                </a:lnTo>
                                <a:lnTo>
                                  <a:pt x="0" y="778154"/>
                                </a:lnTo>
                                <a:lnTo>
                                  <a:pt x="324116" y="778154"/>
                                </a:lnTo>
                                <a:lnTo>
                                  <a:pt x="324116" y="0"/>
                                </a:lnTo>
                                <a:close/>
                              </a:path>
                            </a:pathLst>
                          </a:custGeom>
                          <a:solidFill>
                            <a:srgbClr val="000000"/>
                          </a:solidFill>
                        </wps:spPr>
                        <wps:bodyPr wrap="square" lIns="0" tIns="0" rIns="0" bIns="0" rtlCol="0">
                          <a:prstTxWarp prst="textNoShape">
                            <a:avLst/>
                          </a:prstTxWarp>
                          <a:noAutofit/>
                        </wps:bodyPr>
                      </wps:wsp>
                      <wps:wsp>
                        <wps:cNvPr id="570" name="Graphic 570"/>
                        <wps:cNvSpPr/>
                        <wps:spPr>
                          <a:xfrm>
                            <a:off x="0" y="861047"/>
                            <a:ext cx="324485" cy="1052195"/>
                          </a:xfrm>
                          <a:custGeom>
                            <a:avLst/>
                            <a:gdLst/>
                            <a:ahLst/>
                            <a:cxnLst/>
                            <a:rect l="l" t="t" r="r" b="b"/>
                            <a:pathLst>
                              <a:path w="324485" h="1052195">
                                <a:moveTo>
                                  <a:pt x="324116" y="0"/>
                                </a:moveTo>
                                <a:lnTo>
                                  <a:pt x="0" y="0"/>
                                </a:lnTo>
                                <a:lnTo>
                                  <a:pt x="0" y="1052068"/>
                                </a:lnTo>
                                <a:lnTo>
                                  <a:pt x="324116" y="1052068"/>
                                </a:lnTo>
                                <a:lnTo>
                                  <a:pt x="324116" y="0"/>
                                </a:lnTo>
                                <a:close/>
                              </a:path>
                            </a:pathLst>
                          </a:custGeom>
                          <a:solidFill>
                            <a:srgbClr val="21409A"/>
                          </a:solidFill>
                        </wps:spPr>
                        <wps:bodyPr wrap="square" lIns="0" tIns="0" rIns="0" bIns="0" rtlCol="0">
                          <a:prstTxWarp prst="textNoShape">
                            <a:avLst/>
                          </a:prstTxWarp>
                          <a:noAutofit/>
                        </wps:bodyPr>
                      </wps:wsp>
                    </wpg:wgp>
                  </a:graphicData>
                </a:graphic>
              </wp:anchor>
            </w:drawing>
          </mc:Choice>
          <mc:Fallback>
            <w:pict>
              <v:group style="position:absolute;margin-left:258.390991pt;margin-top:2.1086pt;width:25.55pt;height:150.65pt;mso-position-horizontal-relative:page;mso-position-vertical-relative:paragraph;z-index:15835648" id="docshapegroup382" coordorigin="5168,42" coordsize="511,3013">
                <v:rect style="position:absolute;left:5167;top:42;width:511;height:131" id="docshape383" filled="true" fillcolor="#ddb00a" stroked="false">
                  <v:fill type="solid"/>
                </v:rect>
                <v:rect style="position:absolute;left:5167;top:172;width:511;height:1226" id="docshape384" filled="true" fillcolor="#000000" stroked="false">
                  <v:fill type="solid"/>
                </v:rect>
                <v:rect style="position:absolute;left:5167;top:1398;width:511;height:1657" id="docshape385" filled="true" fillcolor="#21409a" stroked="false">
                  <v:fill type="solid"/>
                </v:rect>
                <w10:wrap type="none"/>
              </v:group>
            </w:pict>
          </mc:Fallback>
        </mc:AlternateContent>
      </w:r>
      <w:r>
        <w:rPr>
          <w:rFonts w:ascii="TT Norms Pro Light"/>
          <w:b w:val="0"/>
          <w:spacing w:val="-4"/>
          <w:sz w:val="12"/>
        </w:rPr>
        <w:t>7000</w:t>
      </w:r>
    </w:p>
    <w:p>
      <w:pPr>
        <w:pStyle w:val="BodyText"/>
        <w:rPr>
          <w:b w:val="0"/>
          <w:sz w:val="12"/>
        </w:rPr>
      </w:pPr>
    </w:p>
    <w:p>
      <w:pPr>
        <w:pStyle w:val="BodyText"/>
        <w:spacing w:before="9"/>
        <w:rPr>
          <w:b w:val="0"/>
          <w:sz w:val="12"/>
        </w:rPr>
      </w:pPr>
    </w:p>
    <w:p>
      <w:pPr>
        <w:spacing w:before="0"/>
        <w:ind w:left="229" w:right="0" w:firstLine="0"/>
        <w:jc w:val="left"/>
        <w:rPr>
          <w:rFonts w:ascii="TT Norms Pro Light"/>
          <w:b w:val="0"/>
          <w:sz w:val="12"/>
        </w:rPr>
      </w:pPr>
      <w:r>
        <w:rPr/>
        <mc:AlternateContent>
          <mc:Choice Requires="wps">
            <w:drawing>
              <wp:anchor distT="0" distB="0" distL="0" distR="0" allowOverlap="1" layoutInCell="1" locked="0" behindDoc="0" simplePos="0" relativeHeight="15833088">
                <wp:simplePos x="0" y="0"/>
                <wp:positionH relativeFrom="page">
                  <wp:posOffset>1039583</wp:posOffset>
                </wp:positionH>
                <wp:positionV relativeFrom="paragraph">
                  <wp:posOffset>-92511</wp:posOffset>
                </wp:positionV>
                <wp:extent cx="324485" cy="1761489"/>
                <wp:effectExtent l="0" t="0" r="0" b="0"/>
                <wp:wrapNone/>
                <wp:docPr id="571" name="Group 571"/>
                <wp:cNvGraphicFramePr>
                  <a:graphicFrameLocks/>
                </wp:cNvGraphicFramePr>
                <a:graphic>
                  <a:graphicData uri="http://schemas.microsoft.com/office/word/2010/wordprocessingGroup">
                    <wpg:wgp>
                      <wpg:cNvPr id="571" name="Group 571"/>
                      <wpg:cNvGrpSpPr/>
                      <wpg:grpSpPr>
                        <a:xfrm>
                          <a:off x="0" y="0"/>
                          <a:ext cx="324485" cy="1761489"/>
                          <a:chExt cx="324485" cy="1761489"/>
                        </a:xfrm>
                      </wpg:grpSpPr>
                      <wps:wsp>
                        <wps:cNvPr id="572" name="Graphic 572"/>
                        <wps:cNvSpPr/>
                        <wps:spPr>
                          <a:xfrm>
                            <a:off x="0" y="0"/>
                            <a:ext cx="324485" cy="88265"/>
                          </a:xfrm>
                          <a:custGeom>
                            <a:avLst/>
                            <a:gdLst/>
                            <a:ahLst/>
                            <a:cxnLst/>
                            <a:rect l="l" t="t" r="r" b="b"/>
                            <a:pathLst>
                              <a:path w="324485" h="88265">
                                <a:moveTo>
                                  <a:pt x="324116" y="0"/>
                                </a:moveTo>
                                <a:lnTo>
                                  <a:pt x="0" y="0"/>
                                </a:lnTo>
                                <a:lnTo>
                                  <a:pt x="0" y="87884"/>
                                </a:lnTo>
                                <a:lnTo>
                                  <a:pt x="324116" y="87884"/>
                                </a:lnTo>
                                <a:lnTo>
                                  <a:pt x="324116" y="0"/>
                                </a:lnTo>
                                <a:close/>
                              </a:path>
                            </a:pathLst>
                          </a:custGeom>
                          <a:solidFill>
                            <a:srgbClr val="DDB00A"/>
                          </a:solidFill>
                        </wps:spPr>
                        <wps:bodyPr wrap="square" lIns="0" tIns="0" rIns="0" bIns="0" rtlCol="0">
                          <a:prstTxWarp prst="textNoShape">
                            <a:avLst/>
                          </a:prstTxWarp>
                          <a:noAutofit/>
                        </wps:bodyPr>
                      </wps:wsp>
                      <wps:wsp>
                        <wps:cNvPr id="573" name="Graphic 573"/>
                        <wps:cNvSpPr/>
                        <wps:spPr>
                          <a:xfrm>
                            <a:off x="0" y="87884"/>
                            <a:ext cx="324485" cy="335915"/>
                          </a:xfrm>
                          <a:custGeom>
                            <a:avLst/>
                            <a:gdLst/>
                            <a:ahLst/>
                            <a:cxnLst/>
                            <a:rect l="l" t="t" r="r" b="b"/>
                            <a:pathLst>
                              <a:path w="324485" h="335915">
                                <a:moveTo>
                                  <a:pt x="324116" y="0"/>
                                </a:moveTo>
                                <a:lnTo>
                                  <a:pt x="0" y="0"/>
                                </a:lnTo>
                                <a:lnTo>
                                  <a:pt x="0" y="335699"/>
                                </a:lnTo>
                                <a:lnTo>
                                  <a:pt x="324116" y="335699"/>
                                </a:lnTo>
                                <a:lnTo>
                                  <a:pt x="324116" y="0"/>
                                </a:lnTo>
                                <a:close/>
                              </a:path>
                            </a:pathLst>
                          </a:custGeom>
                          <a:solidFill>
                            <a:srgbClr val="000000"/>
                          </a:solidFill>
                        </wps:spPr>
                        <wps:bodyPr wrap="square" lIns="0" tIns="0" rIns="0" bIns="0" rtlCol="0">
                          <a:prstTxWarp prst="textNoShape">
                            <a:avLst/>
                          </a:prstTxWarp>
                          <a:noAutofit/>
                        </wps:bodyPr>
                      </wps:wsp>
                      <wps:wsp>
                        <wps:cNvPr id="574" name="Graphic 574"/>
                        <wps:cNvSpPr/>
                        <wps:spPr>
                          <a:xfrm>
                            <a:off x="0" y="423583"/>
                            <a:ext cx="324485" cy="1337945"/>
                          </a:xfrm>
                          <a:custGeom>
                            <a:avLst/>
                            <a:gdLst/>
                            <a:ahLst/>
                            <a:cxnLst/>
                            <a:rect l="l" t="t" r="r" b="b"/>
                            <a:pathLst>
                              <a:path w="324485" h="1337945">
                                <a:moveTo>
                                  <a:pt x="324116" y="0"/>
                                </a:moveTo>
                                <a:lnTo>
                                  <a:pt x="0" y="0"/>
                                </a:lnTo>
                                <a:lnTo>
                                  <a:pt x="0" y="1337398"/>
                                </a:lnTo>
                                <a:lnTo>
                                  <a:pt x="324116" y="1337398"/>
                                </a:lnTo>
                                <a:lnTo>
                                  <a:pt x="324116" y="0"/>
                                </a:lnTo>
                                <a:close/>
                              </a:path>
                            </a:pathLst>
                          </a:custGeom>
                          <a:solidFill>
                            <a:srgbClr val="21409A"/>
                          </a:solidFill>
                        </wps:spPr>
                        <wps:bodyPr wrap="square" lIns="0" tIns="0" rIns="0" bIns="0" rtlCol="0">
                          <a:prstTxWarp prst="textNoShape">
                            <a:avLst/>
                          </a:prstTxWarp>
                          <a:noAutofit/>
                        </wps:bodyPr>
                      </wps:wsp>
                    </wpg:wgp>
                  </a:graphicData>
                </a:graphic>
              </wp:anchor>
            </w:drawing>
          </mc:Choice>
          <mc:Fallback>
            <w:pict>
              <v:group style="position:absolute;margin-left:81.857002pt;margin-top:-7.2844pt;width:25.55pt;height:138.7pt;mso-position-horizontal-relative:page;mso-position-vertical-relative:paragraph;z-index:15833088" id="docshapegroup386" coordorigin="1637,-146" coordsize="511,2774">
                <v:rect style="position:absolute;left:1637;top:-146;width:511;height:139" id="docshape387" filled="true" fillcolor="#ddb00a" stroked="false">
                  <v:fill type="solid"/>
                </v:rect>
                <v:rect style="position:absolute;left:1637;top:-8;width:511;height:529" id="docshape388" filled="true" fillcolor="#000000" stroked="false">
                  <v:fill type="solid"/>
                </v:rect>
                <v:rect style="position:absolute;left:1637;top:521;width:511;height:2107" id="docshape389" filled="true" fillcolor="#21409a" stroked="false">
                  <v:fill type="solid"/>
                </v:rect>
                <w10:wrap type="none"/>
              </v:group>
            </w:pict>
          </mc:Fallback>
        </mc:AlternateContent>
      </w:r>
      <w:r>
        <w:rPr/>
        <mc:AlternateContent>
          <mc:Choice Requires="wps">
            <w:drawing>
              <wp:anchor distT="0" distB="0" distL="0" distR="0" allowOverlap="1" layoutInCell="1" locked="0" behindDoc="0" simplePos="0" relativeHeight="15835136">
                <wp:simplePos x="0" y="0"/>
                <wp:positionH relativeFrom="page">
                  <wp:posOffset>2837091</wp:posOffset>
                </wp:positionH>
                <wp:positionV relativeFrom="paragraph">
                  <wp:posOffset>-44848</wp:posOffset>
                </wp:positionV>
                <wp:extent cx="324485" cy="1711960"/>
                <wp:effectExtent l="0" t="0" r="0" b="0"/>
                <wp:wrapNone/>
                <wp:docPr id="575" name="Group 575"/>
                <wp:cNvGraphicFramePr>
                  <a:graphicFrameLocks/>
                </wp:cNvGraphicFramePr>
                <a:graphic>
                  <a:graphicData uri="http://schemas.microsoft.com/office/word/2010/wordprocessingGroup">
                    <wpg:wgp>
                      <wpg:cNvPr id="575" name="Group 575"/>
                      <wpg:cNvGrpSpPr/>
                      <wpg:grpSpPr>
                        <a:xfrm>
                          <a:off x="0" y="0"/>
                          <a:ext cx="324485" cy="1711960"/>
                          <a:chExt cx="324485" cy="1711960"/>
                        </a:xfrm>
                      </wpg:grpSpPr>
                      <wps:wsp>
                        <wps:cNvPr id="576" name="Graphic 576"/>
                        <wps:cNvSpPr/>
                        <wps:spPr>
                          <a:xfrm>
                            <a:off x="0" y="0"/>
                            <a:ext cx="324485" cy="86995"/>
                          </a:xfrm>
                          <a:custGeom>
                            <a:avLst/>
                            <a:gdLst/>
                            <a:ahLst/>
                            <a:cxnLst/>
                            <a:rect l="l" t="t" r="r" b="b"/>
                            <a:pathLst>
                              <a:path w="324485" h="86995">
                                <a:moveTo>
                                  <a:pt x="324116" y="0"/>
                                </a:moveTo>
                                <a:lnTo>
                                  <a:pt x="0" y="0"/>
                                </a:lnTo>
                                <a:lnTo>
                                  <a:pt x="0" y="86880"/>
                                </a:lnTo>
                                <a:lnTo>
                                  <a:pt x="324116" y="86880"/>
                                </a:lnTo>
                                <a:lnTo>
                                  <a:pt x="324116" y="0"/>
                                </a:lnTo>
                                <a:close/>
                              </a:path>
                            </a:pathLst>
                          </a:custGeom>
                          <a:solidFill>
                            <a:srgbClr val="DDB00A"/>
                          </a:solidFill>
                        </wps:spPr>
                        <wps:bodyPr wrap="square" lIns="0" tIns="0" rIns="0" bIns="0" rtlCol="0">
                          <a:prstTxWarp prst="textNoShape">
                            <a:avLst/>
                          </a:prstTxWarp>
                          <a:noAutofit/>
                        </wps:bodyPr>
                      </wps:wsp>
                      <wps:wsp>
                        <wps:cNvPr id="577" name="Graphic 577"/>
                        <wps:cNvSpPr/>
                        <wps:spPr>
                          <a:xfrm>
                            <a:off x="0" y="86880"/>
                            <a:ext cx="324485" cy="568325"/>
                          </a:xfrm>
                          <a:custGeom>
                            <a:avLst/>
                            <a:gdLst/>
                            <a:ahLst/>
                            <a:cxnLst/>
                            <a:rect l="l" t="t" r="r" b="b"/>
                            <a:pathLst>
                              <a:path w="324485" h="568325">
                                <a:moveTo>
                                  <a:pt x="324116" y="0"/>
                                </a:moveTo>
                                <a:lnTo>
                                  <a:pt x="0" y="0"/>
                                </a:lnTo>
                                <a:lnTo>
                                  <a:pt x="0" y="567956"/>
                                </a:lnTo>
                                <a:lnTo>
                                  <a:pt x="324116" y="567956"/>
                                </a:lnTo>
                                <a:lnTo>
                                  <a:pt x="324116" y="0"/>
                                </a:lnTo>
                                <a:close/>
                              </a:path>
                            </a:pathLst>
                          </a:custGeom>
                          <a:solidFill>
                            <a:srgbClr val="000000"/>
                          </a:solidFill>
                        </wps:spPr>
                        <wps:bodyPr wrap="square" lIns="0" tIns="0" rIns="0" bIns="0" rtlCol="0">
                          <a:prstTxWarp prst="textNoShape">
                            <a:avLst/>
                          </a:prstTxWarp>
                          <a:noAutofit/>
                        </wps:bodyPr>
                      </wps:wsp>
                      <wps:wsp>
                        <wps:cNvPr id="578" name="Graphic 578"/>
                        <wps:cNvSpPr/>
                        <wps:spPr>
                          <a:xfrm>
                            <a:off x="0" y="654824"/>
                            <a:ext cx="324485" cy="1057275"/>
                          </a:xfrm>
                          <a:custGeom>
                            <a:avLst/>
                            <a:gdLst/>
                            <a:ahLst/>
                            <a:cxnLst/>
                            <a:rect l="l" t="t" r="r" b="b"/>
                            <a:pathLst>
                              <a:path w="324485" h="1057275">
                                <a:moveTo>
                                  <a:pt x="324116" y="0"/>
                                </a:moveTo>
                                <a:lnTo>
                                  <a:pt x="0" y="0"/>
                                </a:lnTo>
                                <a:lnTo>
                                  <a:pt x="0" y="1056741"/>
                                </a:lnTo>
                                <a:lnTo>
                                  <a:pt x="324116" y="1056741"/>
                                </a:lnTo>
                                <a:lnTo>
                                  <a:pt x="324116" y="0"/>
                                </a:lnTo>
                                <a:close/>
                              </a:path>
                            </a:pathLst>
                          </a:custGeom>
                          <a:solidFill>
                            <a:srgbClr val="21409A"/>
                          </a:solidFill>
                        </wps:spPr>
                        <wps:bodyPr wrap="square" lIns="0" tIns="0" rIns="0" bIns="0" rtlCol="0">
                          <a:prstTxWarp prst="textNoShape">
                            <a:avLst/>
                          </a:prstTxWarp>
                          <a:noAutofit/>
                        </wps:bodyPr>
                      </wps:wsp>
                    </wpg:wgp>
                  </a:graphicData>
                </a:graphic>
              </wp:anchor>
            </w:drawing>
          </mc:Choice>
          <mc:Fallback>
            <w:pict>
              <v:group style="position:absolute;margin-left:223.393005pt;margin-top:-3.5314pt;width:25.55pt;height:134.8pt;mso-position-horizontal-relative:page;mso-position-vertical-relative:paragraph;z-index:15835136" id="docshapegroup390" coordorigin="4468,-71" coordsize="511,2696">
                <v:rect style="position:absolute;left:4467;top:-71;width:511;height:137" id="docshape391" filled="true" fillcolor="#ddb00a" stroked="false">
                  <v:fill type="solid"/>
                </v:rect>
                <v:rect style="position:absolute;left:4467;top:66;width:511;height:895" id="docshape392" filled="true" fillcolor="#000000" stroked="false">
                  <v:fill type="solid"/>
                </v:rect>
                <v:rect style="position:absolute;left:4467;top:960;width:511;height:1665" id="docshape393" filled="true" fillcolor="#21409a" stroked="false">
                  <v:fill type="solid"/>
                </v:rect>
                <w10:wrap type="none"/>
              </v:group>
            </w:pict>
          </mc:Fallback>
        </mc:AlternateContent>
      </w:r>
      <w:r>
        <w:rPr/>
        <mc:AlternateContent>
          <mc:Choice Requires="wps">
            <w:drawing>
              <wp:anchor distT="0" distB="0" distL="0" distR="0" allowOverlap="1" layoutInCell="1" locked="0" behindDoc="0" simplePos="0" relativeHeight="15836160">
                <wp:simplePos x="0" y="0"/>
                <wp:positionH relativeFrom="page">
                  <wp:posOffset>3726053</wp:posOffset>
                </wp:positionH>
                <wp:positionV relativeFrom="paragraph">
                  <wp:posOffset>-82174</wp:posOffset>
                </wp:positionV>
                <wp:extent cx="324485" cy="1749425"/>
                <wp:effectExtent l="0" t="0" r="0" b="0"/>
                <wp:wrapNone/>
                <wp:docPr id="579" name="Group 579"/>
                <wp:cNvGraphicFramePr>
                  <a:graphicFrameLocks/>
                </wp:cNvGraphicFramePr>
                <a:graphic>
                  <a:graphicData uri="http://schemas.microsoft.com/office/word/2010/wordprocessingGroup">
                    <wpg:wgp>
                      <wpg:cNvPr id="579" name="Group 579"/>
                      <wpg:cNvGrpSpPr/>
                      <wpg:grpSpPr>
                        <a:xfrm>
                          <a:off x="0" y="0"/>
                          <a:ext cx="324485" cy="1749425"/>
                          <a:chExt cx="324485" cy="1749425"/>
                        </a:xfrm>
                      </wpg:grpSpPr>
                      <wps:wsp>
                        <wps:cNvPr id="580" name="Graphic 580"/>
                        <wps:cNvSpPr/>
                        <wps:spPr>
                          <a:xfrm>
                            <a:off x="0" y="0"/>
                            <a:ext cx="324485" cy="86995"/>
                          </a:xfrm>
                          <a:custGeom>
                            <a:avLst/>
                            <a:gdLst/>
                            <a:ahLst/>
                            <a:cxnLst/>
                            <a:rect l="l" t="t" r="r" b="b"/>
                            <a:pathLst>
                              <a:path w="324485" h="86995">
                                <a:moveTo>
                                  <a:pt x="324116" y="0"/>
                                </a:moveTo>
                                <a:lnTo>
                                  <a:pt x="0" y="0"/>
                                </a:lnTo>
                                <a:lnTo>
                                  <a:pt x="0" y="86499"/>
                                </a:lnTo>
                                <a:lnTo>
                                  <a:pt x="324116" y="86499"/>
                                </a:lnTo>
                                <a:lnTo>
                                  <a:pt x="324116" y="0"/>
                                </a:lnTo>
                                <a:close/>
                              </a:path>
                            </a:pathLst>
                          </a:custGeom>
                          <a:solidFill>
                            <a:srgbClr val="DDB00A"/>
                          </a:solidFill>
                        </wps:spPr>
                        <wps:bodyPr wrap="square" lIns="0" tIns="0" rIns="0" bIns="0" rtlCol="0">
                          <a:prstTxWarp prst="textNoShape">
                            <a:avLst/>
                          </a:prstTxWarp>
                          <a:noAutofit/>
                        </wps:bodyPr>
                      </wps:wsp>
                      <wps:wsp>
                        <wps:cNvPr id="581" name="Graphic 581"/>
                        <wps:cNvSpPr/>
                        <wps:spPr>
                          <a:xfrm>
                            <a:off x="0" y="86486"/>
                            <a:ext cx="324485" cy="678815"/>
                          </a:xfrm>
                          <a:custGeom>
                            <a:avLst/>
                            <a:gdLst/>
                            <a:ahLst/>
                            <a:cxnLst/>
                            <a:rect l="l" t="t" r="r" b="b"/>
                            <a:pathLst>
                              <a:path w="324485" h="678815">
                                <a:moveTo>
                                  <a:pt x="324116" y="0"/>
                                </a:moveTo>
                                <a:lnTo>
                                  <a:pt x="0" y="0"/>
                                </a:lnTo>
                                <a:lnTo>
                                  <a:pt x="0" y="678713"/>
                                </a:lnTo>
                                <a:lnTo>
                                  <a:pt x="324116" y="678713"/>
                                </a:lnTo>
                                <a:lnTo>
                                  <a:pt x="324116" y="0"/>
                                </a:lnTo>
                                <a:close/>
                              </a:path>
                            </a:pathLst>
                          </a:custGeom>
                          <a:solidFill>
                            <a:srgbClr val="000000"/>
                          </a:solidFill>
                        </wps:spPr>
                        <wps:bodyPr wrap="square" lIns="0" tIns="0" rIns="0" bIns="0" rtlCol="0">
                          <a:prstTxWarp prst="textNoShape">
                            <a:avLst/>
                          </a:prstTxWarp>
                          <a:noAutofit/>
                        </wps:bodyPr>
                      </wps:wsp>
                      <wps:wsp>
                        <wps:cNvPr id="582" name="Graphic 582"/>
                        <wps:cNvSpPr/>
                        <wps:spPr>
                          <a:xfrm>
                            <a:off x="0" y="765543"/>
                            <a:ext cx="324485" cy="983615"/>
                          </a:xfrm>
                          <a:custGeom>
                            <a:avLst/>
                            <a:gdLst/>
                            <a:ahLst/>
                            <a:cxnLst/>
                            <a:rect l="l" t="t" r="r" b="b"/>
                            <a:pathLst>
                              <a:path w="324485" h="983615">
                                <a:moveTo>
                                  <a:pt x="324116" y="0"/>
                                </a:moveTo>
                                <a:lnTo>
                                  <a:pt x="0" y="0"/>
                                </a:lnTo>
                                <a:lnTo>
                                  <a:pt x="0" y="983348"/>
                                </a:lnTo>
                                <a:lnTo>
                                  <a:pt x="324116" y="983348"/>
                                </a:lnTo>
                                <a:lnTo>
                                  <a:pt x="324116" y="0"/>
                                </a:lnTo>
                                <a:close/>
                              </a:path>
                            </a:pathLst>
                          </a:custGeom>
                          <a:solidFill>
                            <a:srgbClr val="21409A"/>
                          </a:solidFill>
                        </wps:spPr>
                        <wps:bodyPr wrap="square" lIns="0" tIns="0" rIns="0" bIns="0" rtlCol="0">
                          <a:prstTxWarp prst="textNoShape">
                            <a:avLst/>
                          </a:prstTxWarp>
                          <a:noAutofit/>
                        </wps:bodyPr>
                      </wps:wsp>
                    </wpg:wgp>
                  </a:graphicData>
                </a:graphic>
              </wp:anchor>
            </w:drawing>
          </mc:Choice>
          <mc:Fallback>
            <w:pict>
              <v:group style="position:absolute;margin-left:293.390015pt;margin-top:-6.4704pt;width:25.55pt;height:137.75pt;mso-position-horizontal-relative:page;mso-position-vertical-relative:paragraph;z-index:15836160" id="docshapegroup394" coordorigin="5868,-129" coordsize="511,2755">
                <v:rect style="position:absolute;left:5867;top:-130;width:511;height:137" id="docshape395" filled="true" fillcolor="#ddb00a" stroked="false">
                  <v:fill type="solid"/>
                </v:rect>
                <v:rect style="position:absolute;left:5867;top:6;width:511;height:1069" id="docshape396" filled="true" fillcolor="#000000" stroked="false">
                  <v:fill type="solid"/>
                </v:rect>
                <v:rect style="position:absolute;left:5867;top:1076;width:511;height:1549" id="docshape397" filled="true" fillcolor="#21409a" stroked="false">
                  <v:fill type="solid"/>
                </v:rect>
                <w10:wrap type="none"/>
              </v:group>
            </w:pict>
          </mc:Fallback>
        </mc:AlternateContent>
      </w:r>
      <w:r>
        <w:rPr>
          <w:rFonts w:ascii="TT Norms Pro Light"/>
          <w:b w:val="0"/>
          <w:spacing w:val="-4"/>
          <w:sz w:val="12"/>
        </w:rPr>
        <w:t>6000</w:t>
      </w:r>
    </w:p>
    <w:p>
      <w:pPr>
        <w:pStyle w:val="BodyText"/>
        <w:rPr>
          <w:b w:val="0"/>
          <w:sz w:val="12"/>
        </w:rPr>
      </w:pPr>
    </w:p>
    <w:p>
      <w:pPr>
        <w:pStyle w:val="BodyText"/>
        <w:spacing w:before="9"/>
        <w:rPr>
          <w:b w:val="0"/>
          <w:sz w:val="12"/>
        </w:rPr>
      </w:pPr>
    </w:p>
    <w:p>
      <w:pPr>
        <w:spacing w:before="0"/>
        <w:ind w:left="229" w:right="0" w:firstLine="0"/>
        <w:jc w:val="left"/>
        <w:rPr>
          <w:rFonts w:ascii="TT Norms Pro Light"/>
          <w:b w:val="0"/>
          <w:sz w:val="12"/>
        </w:rPr>
      </w:pPr>
      <w:r>
        <w:rPr>
          <w:rFonts w:ascii="TT Norms Pro Light"/>
          <w:b w:val="0"/>
          <w:spacing w:val="-4"/>
          <w:sz w:val="12"/>
        </w:rPr>
        <w:t>5000</w:t>
      </w:r>
    </w:p>
    <w:p>
      <w:pPr>
        <w:pStyle w:val="BodyText"/>
        <w:rPr>
          <w:b w:val="0"/>
          <w:sz w:val="12"/>
        </w:rPr>
      </w:pPr>
    </w:p>
    <w:p>
      <w:pPr>
        <w:pStyle w:val="BodyText"/>
        <w:spacing w:before="9"/>
        <w:rPr>
          <w:b w:val="0"/>
          <w:sz w:val="12"/>
        </w:rPr>
      </w:pPr>
    </w:p>
    <w:p>
      <w:pPr>
        <w:spacing w:before="0"/>
        <w:ind w:left="231" w:right="0" w:firstLine="0"/>
        <w:jc w:val="left"/>
        <w:rPr>
          <w:rFonts w:ascii="TT Norms Pro Light"/>
          <w:b w:val="0"/>
          <w:sz w:val="12"/>
        </w:rPr>
      </w:pPr>
      <w:r>
        <w:rPr>
          <w:rFonts w:ascii="TT Norms Pro Light"/>
          <w:b w:val="0"/>
          <w:spacing w:val="-4"/>
          <w:sz w:val="12"/>
        </w:rPr>
        <w:t>4000</w:t>
      </w:r>
    </w:p>
    <w:p>
      <w:pPr>
        <w:pStyle w:val="BodyText"/>
        <w:rPr>
          <w:b w:val="0"/>
          <w:sz w:val="12"/>
        </w:rPr>
      </w:pPr>
    </w:p>
    <w:p>
      <w:pPr>
        <w:pStyle w:val="BodyText"/>
        <w:spacing w:before="9"/>
        <w:rPr>
          <w:b w:val="0"/>
          <w:sz w:val="12"/>
        </w:rPr>
      </w:pPr>
    </w:p>
    <w:p>
      <w:pPr>
        <w:spacing w:before="0"/>
        <w:ind w:left="232" w:right="0" w:firstLine="0"/>
        <w:jc w:val="left"/>
        <w:rPr>
          <w:rFonts w:ascii="TT Norms Pro Light"/>
          <w:b w:val="0"/>
          <w:sz w:val="12"/>
        </w:rPr>
      </w:pPr>
      <w:r>
        <w:rPr/>
        <mc:AlternateContent>
          <mc:Choice Requires="wps">
            <w:drawing>
              <wp:anchor distT="0" distB="0" distL="0" distR="0" allowOverlap="1" layoutInCell="1" locked="0" behindDoc="0" simplePos="0" relativeHeight="15836672">
                <wp:simplePos x="0" y="0"/>
                <wp:positionH relativeFrom="page">
                  <wp:posOffset>4408855</wp:posOffset>
                </wp:positionH>
                <wp:positionV relativeFrom="paragraph">
                  <wp:posOffset>355518</wp:posOffset>
                </wp:positionV>
                <wp:extent cx="154305" cy="123189"/>
                <wp:effectExtent l="0" t="0" r="0" b="0"/>
                <wp:wrapNone/>
                <wp:docPr id="583" name="Graphic 583"/>
                <wp:cNvGraphicFramePr>
                  <a:graphicFrameLocks/>
                </wp:cNvGraphicFramePr>
                <a:graphic>
                  <a:graphicData uri="http://schemas.microsoft.com/office/word/2010/wordprocessingShape">
                    <wps:wsp>
                      <wps:cNvPr id="583" name="Graphic 583"/>
                      <wps:cNvSpPr/>
                      <wps:spPr>
                        <a:xfrm>
                          <a:off x="0" y="0"/>
                          <a:ext cx="154305" cy="123189"/>
                        </a:xfrm>
                        <a:custGeom>
                          <a:avLst/>
                          <a:gdLst/>
                          <a:ahLst/>
                          <a:cxnLst/>
                          <a:rect l="l" t="t" r="r" b="b"/>
                          <a:pathLst>
                            <a:path w="154305" h="123189">
                              <a:moveTo>
                                <a:pt x="153809" y="0"/>
                              </a:moveTo>
                              <a:lnTo>
                                <a:pt x="0" y="0"/>
                              </a:lnTo>
                              <a:lnTo>
                                <a:pt x="0" y="123050"/>
                              </a:lnTo>
                              <a:lnTo>
                                <a:pt x="153809" y="123050"/>
                              </a:lnTo>
                              <a:lnTo>
                                <a:pt x="153809" y="0"/>
                              </a:lnTo>
                              <a:close/>
                            </a:path>
                          </a:pathLst>
                        </a:custGeom>
                        <a:solidFill>
                          <a:srgbClr val="DDB00A"/>
                        </a:solidFill>
                      </wps:spPr>
                      <wps:bodyPr wrap="square" lIns="0" tIns="0" rIns="0" bIns="0" rtlCol="0">
                        <a:prstTxWarp prst="textNoShape">
                          <a:avLst/>
                        </a:prstTxWarp>
                        <a:noAutofit/>
                      </wps:bodyPr>
                    </wps:wsp>
                  </a:graphicData>
                </a:graphic>
              </wp:anchor>
            </w:drawing>
          </mc:Choice>
          <mc:Fallback>
            <w:pict>
              <v:rect style="position:absolute;margin-left:347.153992pt;margin-top:27.993601pt;width:12.111pt;height:9.689pt;mso-position-horizontal-relative:page;mso-position-vertical-relative:paragraph;z-index:15836672" id="docshape398" filled="true" fillcolor="#ddb00a" stroked="false">
                <v:fill type="solid"/>
                <w10:wrap type="none"/>
              </v:rect>
            </w:pict>
          </mc:Fallback>
        </mc:AlternateContent>
      </w:r>
      <w:r>
        <w:rPr/>
        <mc:AlternateContent>
          <mc:Choice Requires="wps">
            <w:drawing>
              <wp:anchor distT="0" distB="0" distL="0" distR="0" allowOverlap="1" layoutInCell="1" locked="0" behindDoc="0" simplePos="0" relativeHeight="15838208">
                <wp:simplePos x="0" y="0"/>
                <wp:positionH relativeFrom="page">
                  <wp:posOffset>7111289</wp:posOffset>
                </wp:positionH>
                <wp:positionV relativeFrom="paragraph">
                  <wp:posOffset>-7727</wp:posOffset>
                </wp:positionV>
                <wp:extent cx="177800" cy="1848485"/>
                <wp:effectExtent l="0" t="0" r="0" b="0"/>
                <wp:wrapNone/>
                <wp:docPr id="584" name="Textbox 584"/>
                <wp:cNvGraphicFramePr>
                  <a:graphicFrameLocks/>
                </wp:cNvGraphicFramePr>
                <a:graphic>
                  <a:graphicData uri="http://schemas.microsoft.com/office/word/2010/wordprocessingShape">
                    <wps:wsp>
                      <wps:cNvPr id="584" name="Textbox 584"/>
                      <wps:cNvSpPr txBox="1"/>
                      <wps:spPr>
                        <a:xfrm>
                          <a:off x="0" y="0"/>
                          <a:ext cx="177800" cy="184848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6085pt;width:14pt;height:145.550pt;mso-position-horizontal-relative:page;mso-position-vertical-relative:paragraph;z-index:15838208" type="#_x0000_t202" id="docshape399"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v:textbox>
                <w10:wrap type="none"/>
              </v:shape>
            </w:pict>
          </mc:Fallback>
        </mc:AlternateContent>
      </w:r>
      <w:r>
        <w:rPr>
          <w:rFonts w:ascii="TT Norms Pro Light"/>
          <w:b w:val="0"/>
          <w:spacing w:val="-4"/>
          <w:sz w:val="12"/>
        </w:rPr>
        <w:t>3000</w:t>
      </w:r>
    </w:p>
    <w:p>
      <w:pPr>
        <w:pStyle w:val="BodyText"/>
        <w:rPr>
          <w:b w:val="0"/>
          <w:sz w:val="15"/>
        </w:rPr>
      </w:pPr>
    </w:p>
    <w:p>
      <w:pPr>
        <w:spacing w:after="0"/>
        <w:rPr>
          <w:sz w:val="15"/>
        </w:rPr>
        <w:sectPr>
          <w:pgSz w:w="11910" w:h="16840"/>
          <w:pgMar w:header="468" w:footer="0" w:top="720" w:bottom="280" w:left="920" w:right="0"/>
        </w:sectPr>
      </w:pPr>
    </w:p>
    <w:p>
      <w:pPr>
        <w:spacing w:before="114"/>
        <w:ind w:left="0" w:right="38" w:firstLine="0"/>
        <w:jc w:val="right"/>
        <w:rPr>
          <w:rFonts w:ascii="TT Norms Pro Light"/>
          <w:b w:val="0"/>
          <w:sz w:val="12"/>
        </w:rPr>
      </w:pPr>
      <w:r>
        <w:rPr>
          <w:rFonts w:ascii="TT Norms Pro Light"/>
          <w:b w:val="0"/>
          <w:spacing w:val="-4"/>
          <w:sz w:val="12"/>
        </w:rPr>
        <w:t>2000</w:t>
      </w:r>
    </w:p>
    <w:p>
      <w:pPr>
        <w:pStyle w:val="BodyText"/>
        <w:rPr>
          <w:b w:val="0"/>
          <w:sz w:val="12"/>
        </w:rPr>
      </w:pPr>
    </w:p>
    <w:p>
      <w:pPr>
        <w:pStyle w:val="BodyText"/>
        <w:spacing w:before="9"/>
        <w:rPr>
          <w:b w:val="0"/>
          <w:sz w:val="12"/>
        </w:rPr>
      </w:pPr>
    </w:p>
    <w:p>
      <w:pPr>
        <w:spacing w:before="0"/>
        <w:ind w:left="0" w:right="38" w:firstLine="0"/>
        <w:jc w:val="right"/>
        <w:rPr>
          <w:rFonts w:ascii="TT Norms Pro Light"/>
          <w:b w:val="0"/>
          <w:sz w:val="12"/>
        </w:rPr>
      </w:pPr>
      <w:r>
        <w:rPr>
          <w:rFonts w:ascii="TT Norms Pro Light"/>
          <w:b w:val="0"/>
          <w:spacing w:val="-4"/>
          <w:sz w:val="12"/>
        </w:rPr>
        <w:t>1000</w:t>
      </w:r>
    </w:p>
    <w:p>
      <w:pPr>
        <w:pStyle w:val="BodyText"/>
        <w:rPr>
          <w:b w:val="0"/>
          <w:sz w:val="12"/>
        </w:rPr>
      </w:pPr>
    </w:p>
    <w:p>
      <w:pPr>
        <w:pStyle w:val="BodyText"/>
        <w:spacing w:before="9"/>
        <w:rPr>
          <w:b w:val="0"/>
          <w:sz w:val="12"/>
        </w:rPr>
      </w:pPr>
    </w:p>
    <w:p>
      <w:pPr>
        <w:spacing w:before="0"/>
        <w:ind w:left="0" w:right="38" w:firstLine="0"/>
        <w:jc w:val="right"/>
        <w:rPr>
          <w:rFonts w:ascii="TT Norms Pro Light"/>
          <w:b w:val="0"/>
          <w:sz w:val="12"/>
        </w:rPr>
      </w:pPr>
      <w:r>
        <w:rPr>
          <w:rFonts w:ascii="TT Norms Pro Light"/>
          <w:b w:val="0"/>
          <w:spacing w:val="-10"/>
          <w:sz w:val="12"/>
        </w:rPr>
        <w:t>0</w:t>
      </w:r>
    </w:p>
    <w:p>
      <w:pPr>
        <w:spacing w:line="240" w:lineRule="auto" w:before="0"/>
        <w:rPr>
          <w:rFonts w:ascii="TT Norms Pro Light"/>
          <w:b w:val="0"/>
          <w:sz w:val="12"/>
        </w:rPr>
      </w:pPr>
      <w:r>
        <w:rPr/>
        <w:br w:type="column"/>
      </w:r>
      <w:r>
        <w:rPr>
          <w:rFonts w:ascii="TT Norms Pro Light"/>
          <w:b w:val="0"/>
          <w:sz w:val="12"/>
        </w:rPr>
      </w:r>
    </w:p>
    <w:p>
      <w:pPr>
        <w:pStyle w:val="BodyText"/>
        <w:rPr>
          <w:b w:val="0"/>
          <w:sz w:val="12"/>
        </w:rPr>
      </w:pPr>
    </w:p>
    <w:p>
      <w:pPr>
        <w:pStyle w:val="BodyText"/>
        <w:rPr>
          <w:b w:val="0"/>
          <w:sz w:val="12"/>
        </w:rPr>
      </w:pPr>
    </w:p>
    <w:p>
      <w:pPr>
        <w:pStyle w:val="BodyText"/>
        <w:rPr>
          <w:b w:val="0"/>
          <w:sz w:val="12"/>
        </w:rPr>
      </w:pPr>
    </w:p>
    <w:p>
      <w:pPr>
        <w:pStyle w:val="BodyText"/>
        <w:rPr>
          <w:b w:val="0"/>
          <w:sz w:val="12"/>
        </w:rPr>
      </w:pPr>
    </w:p>
    <w:p>
      <w:pPr>
        <w:pStyle w:val="BodyText"/>
        <w:rPr>
          <w:b w:val="0"/>
          <w:sz w:val="12"/>
        </w:rPr>
      </w:pPr>
    </w:p>
    <w:p>
      <w:pPr>
        <w:pStyle w:val="BodyText"/>
        <w:rPr>
          <w:b w:val="0"/>
          <w:sz w:val="12"/>
        </w:rPr>
      </w:pPr>
    </w:p>
    <w:p>
      <w:pPr>
        <w:pStyle w:val="BodyText"/>
        <w:spacing w:before="14"/>
        <w:rPr>
          <w:b w:val="0"/>
          <w:sz w:val="12"/>
        </w:rPr>
      </w:pPr>
    </w:p>
    <w:p>
      <w:pPr>
        <w:tabs>
          <w:tab w:pos="944" w:val="left" w:leader="none"/>
          <w:tab w:pos="1658" w:val="left" w:leader="none"/>
          <w:tab w:pos="2350" w:val="left" w:leader="none"/>
          <w:tab w:pos="3083" w:val="left" w:leader="none"/>
          <w:tab w:pos="3752" w:val="left" w:leader="none"/>
          <w:tab w:pos="4424" w:val="left" w:leader="none"/>
        </w:tabs>
        <w:spacing w:before="0"/>
        <w:ind w:left="232" w:right="0" w:firstLine="0"/>
        <w:jc w:val="left"/>
        <w:rPr>
          <w:rFonts w:ascii="TT Norms Pro Light"/>
          <w:b w:val="0"/>
          <w:sz w:val="12"/>
        </w:rPr>
      </w:pPr>
      <w:r>
        <w:rPr/>
        <mc:AlternateContent>
          <mc:Choice Requires="wps">
            <w:drawing>
              <wp:anchor distT="0" distB="0" distL="0" distR="0" allowOverlap="1" layoutInCell="1" locked="0" behindDoc="0" simplePos="0" relativeHeight="15837184">
                <wp:simplePos x="0" y="0"/>
                <wp:positionH relativeFrom="page">
                  <wp:posOffset>4408855</wp:posOffset>
                </wp:positionH>
                <wp:positionV relativeFrom="paragraph">
                  <wp:posOffset>-381106</wp:posOffset>
                </wp:positionV>
                <wp:extent cx="154305" cy="123189"/>
                <wp:effectExtent l="0" t="0" r="0" b="0"/>
                <wp:wrapNone/>
                <wp:docPr id="585" name="Graphic 585"/>
                <wp:cNvGraphicFramePr>
                  <a:graphicFrameLocks/>
                </wp:cNvGraphicFramePr>
                <a:graphic>
                  <a:graphicData uri="http://schemas.microsoft.com/office/word/2010/wordprocessingShape">
                    <wps:wsp>
                      <wps:cNvPr id="585" name="Graphic 585"/>
                      <wps:cNvSpPr/>
                      <wps:spPr>
                        <a:xfrm>
                          <a:off x="0" y="0"/>
                          <a:ext cx="154305" cy="123189"/>
                        </a:xfrm>
                        <a:custGeom>
                          <a:avLst/>
                          <a:gdLst/>
                          <a:ahLst/>
                          <a:cxnLst/>
                          <a:rect l="l" t="t" r="r" b="b"/>
                          <a:pathLst>
                            <a:path w="154305" h="123189">
                              <a:moveTo>
                                <a:pt x="153809" y="0"/>
                              </a:moveTo>
                              <a:lnTo>
                                <a:pt x="0" y="0"/>
                              </a:lnTo>
                              <a:lnTo>
                                <a:pt x="0" y="123050"/>
                              </a:lnTo>
                              <a:lnTo>
                                <a:pt x="153809" y="123050"/>
                              </a:lnTo>
                              <a:lnTo>
                                <a:pt x="15380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347.153992pt;margin-top:-30.0084pt;width:12.111pt;height:9.689pt;mso-position-horizontal-relative:page;mso-position-vertical-relative:paragraph;z-index:15837184" id="docshape400"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5837696">
                <wp:simplePos x="0" y="0"/>
                <wp:positionH relativeFrom="page">
                  <wp:posOffset>4408855</wp:posOffset>
                </wp:positionH>
                <wp:positionV relativeFrom="paragraph">
                  <wp:posOffset>-200042</wp:posOffset>
                </wp:positionV>
                <wp:extent cx="154305" cy="123189"/>
                <wp:effectExtent l="0" t="0" r="0" b="0"/>
                <wp:wrapNone/>
                <wp:docPr id="586" name="Graphic 586"/>
                <wp:cNvGraphicFramePr>
                  <a:graphicFrameLocks/>
                </wp:cNvGraphicFramePr>
                <a:graphic>
                  <a:graphicData uri="http://schemas.microsoft.com/office/word/2010/wordprocessingShape">
                    <wps:wsp>
                      <wps:cNvPr id="586" name="Graphic 586"/>
                      <wps:cNvSpPr/>
                      <wps:spPr>
                        <a:xfrm>
                          <a:off x="0" y="0"/>
                          <a:ext cx="154305" cy="123189"/>
                        </a:xfrm>
                        <a:custGeom>
                          <a:avLst/>
                          <a:gdLst/>
                          <a:ahLst/>
                          <a:cxnLst/>
                          <a:rect l="l" t="t" r="r" b="b"/>
                          <a:pathLst>
                            <a:path w="154305" h="123189">
                              <a:moveTo>
                                <a:pt x="153809" y="0"/>
                              </a:moveTo>
                              <a:lnTo>
                                <a:pt x="0" y="0"/>
                              </a:lnTo>
                              <a:lnTo>
                                <a:pt x="0" y="123050"/>
                              </a:lnTo>
                              <a:lnTo>
                                <a:pt x="153809" y="123050"/>
                              </a:lnTo>
                              <a:lnTo>
                                <a:pt x="153809" y="0"/>
                              </a:lnTo>
                              <a:close/>
                            </a:path>
                          </a:pathLst>
                        </a:custGeom>
                        <a:solidFill>
                          <a:srgbClr val="21409A"/>
                        </a:solidFill>
                      </wps:spPr>
                      <wps:bodyPr wrap="square" lIns="0" tIns="0" rIns="0" bIns="0" rtlCol="0">
                        <a:prstTxWarp prst="textNoShape">
                          <a:avLst/>
                        </a:prstTxWarp>
                        <a:noAutofit/>
                      </wps:bodyPr>
                    </wps:wsp>
                  </a:graphicData>
                </a:graphic>
              </wp:anchor>
            </w:drawing>
          </mc:Choice>
          <mc:Fallback>
            <w:pict>
              <v:rect style="position:absolute;margin-left:347.153992pt;margin-top:-15.7514pt;width:12.111pt;height:9.689pt;mso-position-horizontal-relative:page;mso-position-vertical-relative:paragraph;z-index:15837696" id="docshape401" filled="true" fillcolor="#21409a" stroked="false">
                <v:fill type="solid"/>
                <w10:wrap type="none"/>
              </v:rect>
            </w:pict>
          </mc:Fallback>
        </mc:AlternateContent>
      </w:r>
      <w:r>
        <w:rPr>
          <w:rFonts w:ascii="TT Norms Pro Light"/>
          <w:b w:val="0"/>
          <w:spacing w:val="-4"/>
          <w:sz w:val="12"/>
        </w:rPr>
        <w:t>2014</w:t>
      </w:r>
      <w:r>
        <w:rPr>
          <w:rFonts w:ascii="TT Norms Pro Light"/>
          <w:b w:val="0"/>
          <w:sz w:val="12"/>
        </w:rPr>
        <w:tab/>
      </w:r>
      <w:r>
        <w:rPr>
          <w:rFonts w:ascii="TT Norms Pro Light"/>
          <w:b w:val="0"/>
          <w:spacing w:val="-4"/>
          <w:sz w:val="12"/>
        </w:rPr>
        <w:t>2015</w:t>
      </w:r>
      <w:r>
        <w:rPr>
          <w:rFonts w:ascii="TT Norms Pro Light"/>
          <w:b w:val="0"/>
          <w:sz w:val="12"/>
        </w:rPr>
        <w:tab/>
      </w:r>
      <w:r>
        <w:rPr>
          <w:rFonts w:ascii="TT Norms Pro Light"/>
          <w:b w:val="0"/>
          <w:spacing w:val="-4"/>
          <w:sz w:val="12"/>
        </w:rPr>
        <w:t>2016</w:t>
      </w:r>
      <w:r>
        <w:rPr>
          <w:rFonts w:ascii="TT Norms Pro Light"/>
          <w:b w:val="0"/>
          <w:sz w:val="12"/>
        </w:rPr>
        <w:tab/>
      </w:r>
      <w:r>
        <w:rPr>
          <w:rFonts w:ascii="TT Norms Pro Light"/>
          <w:b w:val="0"/>
          <w:spacing w:val="-4"/>
          <w:sz w:val="12"/>
        </w:rPr>
        <w:t>2017</w:t>
      </w:r>
      <w:r>
        <w:rPr>
          <w:rFonts w:ascii="TT Norms Pro Light"/>
          <w:b w:val="0"/>
          <w:sz w:val="12"/>
        </w:rPr>
        <w:tab/>
      </w:r>
      <w:r>
        <w:rPr>
          <w:rFonts w:ascii="TT Norms Pro Light"/>
          <w:b w:val="0"/>
          <w:spacing w:val="-4"/>
          <w:sz w:val="12"/>
        </w:rPr>
        <w:t>2018</w:t>
      </w:r>
      <w:r>
        <w:rPr>
          <w:rFonts w:ascii="TT Norms Pro Light"/>
          <w:b w:val="0"/>
          <w:sz w:val="12"/>
        </w:rPr>
        <w:tab/>
      </w:r>
      <w:r>
        <w:rPr>
          <w:rFonts w:ascii="TT Norms Pro Light"/>
          <w:b w:val="0"/>
          <w:spacing w:val="-4"/>
          <w:sz w:val="12"/>
        </w:rPr>
        <w:t>2019</w:t>
      </w:r>
      <w:r>
        <w:rPr>
          <w:rFonts w:ascii="TT Norms Pro Light"/>
          <w:b w:val="0"/>
          <w:sz w:val="12"/>
        </w:rPr>
        <w:tab/>
      </w:r>
      <w:r>
        <w:rPr>
          <w:rFonts w:ascii="TT Norms Pro Light"/>
          <w:b w:val="0"/>
          <w:spacing w:val="-4"/>
          <w:sz w:val="12"/>
        </w:rPr>
        <w:t>2020</w:t>
      </w:r>
    </w:p>
    <w:p>
      <w:pPr>
        <w:spacing w:line="240" w:lineRule="auto" w:before="0"/>
        <w:rPr>
          <w:rFonts w:ascii="TT Norms Pro Light"/>
          <w:b w:val="0"/>
          <w:sz w:val="12"/>
        </w:rPr>
      </w:pPr>
      <w:r>
        <w:rPr/>
        <w:br w:type="column"/>
      </w:r>
      <w:r>
        <w:rPr>
          <w:rFonts w:ascii="TT Norms Pro Light"/>
          <w:b w:val="0"/>
          <w:sz w:val="12"/>
        </w:rPr>
      </w:r>
    </w:p>
    <w:p>
      <w:pPr>
        <w:pStyle w:val="BodyText"/>
        <w:spacing w:before="14"/>
        <w:rPr>
          <w:b w:val="0"/>
          <w:sz w:val="12"/>
        </w:rPr>
      </w:pPr>
    </w:p>
    <w:p>
      <w:pPr>
        <w:spacing w:line="494" w:lineRule="auto" w:before="1"/>
        <w:ind w:left="232" w:right="3189" w:firstLine="0"/>
        <w:jc w:val="left"/>
        <w:rPr>
          <w:rFonts w:ascii="TT Norms Pro Light"/>
          <w:b w:val="0"/>
          <w:sz w:val="12"/>
        </w:rPr>
      </w:pPr>
      <w:r>
        <w:rPr>
          <w:rFonts w:ascii="TT Norms Pro Light"/>
          <w:b w:val="0"/>
          <w:spacing w:val="-2"/>
          <w:sz w:val="12"/>
        </w:rPr>
        <w:t>Undergraduate</w:t>
      </w:r>
      <w:r>
        <w:rPr>
          <w:rFonts w:ascii="TT Norms Pro Light"/>
          <w:b w:val="0"/>
          <w:spacing w:val="40"/>
          <w:sz w:val="12"/>
        </w:rPr>
        <w:t> </w:t>
      </w:r>
      <w:r>
        <w:rPr>
          <w:rFonts w:ascii="TT Norms Pro Light"/>
          <w:b w:val="0"/>
          <w:spacing w:val="-2"/>
          <w:sz w:val="12"/>
        </w:rPr>
        <w:t>Postgraduate</w:t>
      </w:r>
      <w:r>
        <w:rPr>
          <w:rFonts w:ascii="TT Norms Pro Light"/>
          <w:b w:val="0"/>
          <w:spacing w:val="-4"/>
          <w:sz w:val="12"/>
        </w:rPr>
        <w:t> </w:t>
      </w:r>
      <w:r>
        <w:rPr>
          <w:rFonts w:ascii="TT Norms Pro Light"/>
          <w:b w:val="0"/>
          <w:spacing w:val="-2"/>
          <w:sz w:val="12"/>
        </w:rPr>
        <w:t>coursework</w:t>
      </w:r>
      <w:r>
        <w:rPr>
          <w:rFonts w:ascii="TT Norms Pro Light"/>
          <w:b w:val="0"/>
          <w:spacing w:val="40"/>
          <w:sz w:val="12"/>
        </w:rPr>
        <w:t> </w:t>
      </w:r>
      <w:r>
        <w:rPr>
          <w:rFonts w:ascii="TT Norms Pro Light"/>
          <w:b w:val="0"/>
          <w:sz w:val="12"/>
        </w:rPr>
        <w:t>Higher</w:t>
      </w:r>
      <w:r>
        <w:rPr>
          <w:rFonts w:ascii="TT Norms Pro Light"/>
          <w:b w:val="0"/>
          <w:spacing w:val="-1"/>
          <w:sz w:val="12"/>
        </w:rPr>
        <w:t> </w:t>
      </w:r>
      <w:r>
        <w:rPr>
          <w:rFonts w:ascii="TT Norms Pro Light"/>
          <w:b w:val="0"/>
          <w:sz w:val="12"/>
        </w:rPr>
        <w:t>degree research</w:t>
      </w:r>
    </w:p>
    <w:p>
      <w:pPr>
        <w:spacing w:after="0" w:line="494" w:lineRule="auto"/>
        <w:jc w:val="left"/>
        <w:rPr>
          <w:rFonts w:ascii="TT Norms Pro Light"/>
          <w:sz w:val="12"/>
        </w:rPr>
        <w:sectPr>
          <w:type w:val="continuous"/>
          <w:pgSz w:w="11910" w:h="16840"/>
          <w:pgMar w:header="468" w:footer="0" w:top="980" w:bottom="280" w:left="920" w:right="0"/>
          <w:cols w:num="3" w:equalWidth="0">
            <w:col w:w="580" w:space="41"/>
            <w:col w:w="4758" w:space="836"/>
            <w:col w:w="4775"/>
          </w:cols>
        </w:sectPr>
      </w:pPr>
    </w:p>
    <w:p>
      <w:pPr>
        <w:pStyle w:val="BodyText"/>
        <w:rPr>
          <w:b w:val="0"/>
        </w:rPr>
      </w:pPr>
      <w:r>
        <w:rPr/>
        <w:drawing>
          <wp:anchor distT="0" distB="0" distL="0" distR="0" allowOverlap="1" layoutInCell="1" locked="0" behindDoc="0" simplePos="0" relativeHeight="15839232">
            <wp:simplePos x="0" y="0"/>
            <wp:positionH relativeFrom="page">
              <wp:posOffset>720001</wp:posOffset>
            </wp:positionH>
            <wp:positionV relativeFrom="page">
              <wp:posOffset>7120801</wp:posOffset>
            </wp:positionV>
            <wp:extent cx="6839991" cy="3571201"/>
            <wp:effectExtent l="0" t="0" r="0" b="0"/>
            <wp:wrapNone/>
            <wp:docPr id="587" name="Image 587"/>
            <wp:cNvGraphicFramePr>
              <a:graphicFrameLocks/>
            </wp:cNvGraphicFramePr>
            <a:graphic>
              <a:graphicData uri="http://schemas.openxmlformats.org/drawingml/2006/picture">
                <pic:pic>
                  <pic:nvPicPr>
                    <pic:cNvPr id="587" name="Image 587"/>
                    <pic:cNvPicPr/>
                  </pic:nvPicPr>
                  <pic:blipFill>
                    <a:blip r:embed="rId75" cstate="print"/>
                    <a:stretch>
                      <a:fillRect/>
                    </a:stretch>
                  </pic:blipFill>
                  <pic:spPr>
                    <a:xfrm>
                      <a:off x="0" y="0"/>
                      <a:ext cx="6839991" cy="3571201"/>
                    </a:xfrm>
                    <a:prstGeom prst="rect">
                      <a:avLst/>
                    </a:prstGeom>
                  </pic:spPr>
                </pic:pic>
              </a:graphicData>
            </a:graphic>
          </wp:anchor>
        </w:drawing>
      </w:r>
    </w:p>
    <w:p>
      <w:pPr>
        <w:pStyle w:val="BodyText"/>
        <w:rPr>
          <w:b w:val="0"/>
        </w:rPr>
      </w:pPr>
    </w:p>
    <w:p>
      <w:pPr>
        <w:pStyle w:val="BodyText"/>
        <w:spacing w:before="62"/>
        <w:rPr>
          <w:b w:val="0"/>
        </w:rPr>
      </w:pPr>
    </w:p>
    <w:p>
      <w:pPr>
        <w:pStyle w:val="BodyText"/>
        <w:ind w:left="213"/>
        <w:rPr>
          <w:b w:val="0"/>
        </w:rPr>
      </w:pPr>
      <w:r>
        <w:rPr>
          <w:rFonts w:ascii="TT Norms Pro Medium"/>
          <w:b/>
          <w:spacing w:val="-4"/>
        </w:rPr>
        <w:t>Table</w:t>
      </w:r>
      <w:r>
        <w:rPr>
          <w:rFonts w:ascii="TT Norms Pro Medium"/>
          <w:b/>
        </w:rPr>
        <w:t> </w:t>
      </w:r>
      <w:r>
        <w:rPr>
          <w:rFonts w:ascii="TT Norms Pro Medium"/>
          <w:b/>
          <w:spacing w:val="-4"/>
        </w:rPr>
        <w:t>5: </w:t>
      </w:r>
      <w:r>
        <w:rPr>
          <w:b w:val="0"/>
          <w:spacing w:val="-4"/>
        </w:rPr>
        <w:t>Staff FTE by</w:t>
      </w:r>
      <w:r>
        <w:rPr>
          <w:b w:val="0"/>
          <w:spacing w:val="-5"/>
        </w:rPr>
        <w:t> </w:t>
      </w:r>
      <w:r>
        <w:rPr>
          <w:b w:val="0"/>
          <w:spacing w:val="-4"/>
        </w:rPr>
        <w:t>major organisational unit, 2014-</w:t>
      </w:r>
      <w:r>
        <w:rPr>
          <w:b w:val="0"/>
          <w:spacing w:val="-5"/>
        </w:rPr>
        <w:t>20</w:t>
      </w:r>
    </w:p>
    <w:p>
      <w:pPr>
        <w:tabs>
          <w:tab w:pos="3840" w:val="left" w:leader="none"/>
          <w:tab w:pos="4766" w:val="left" w:leader="none"/>
          <w:tab w:pos="5696" w:val="left" w:leader="none"/>
          <w:tab w:pos="6638" w:val="left" w:leader="none"/>
          <w:tab w:pos="7552" w:val="left" w:leader="none"/>
          <w:tab w:pos="8482" w:val="left" w:leader="none"/>
          <w:tab w:pos="9777" w:val="right" w:leader="none"/>
        </w:tabs>
        <w:spacing w:before="443"/>
        <w:ind w:left="1857" w:right="0" w:firstLine="0"/>
        <w:jc w:val="left"/>
        <w:rPr>
          <w:rFonts w:ascii="TT Norms Pro"/>
          <w:b/>
          <w:sz w:val="16"/>
        </w:rPr>
      </w:pPr>
      <w:r>
        <w:rPr/>
        <mc:AlternateContent>
          <mc:Choice Requires="wps">
            <w:drawing>
              <wp:anchor distT="0" distB="0" distL="0" distR="0" allowOverlap="1" layoutInCell="1" locked="0" behindDoc="0" simplePos="0" relativeHeight="15838720">
                <wp:simplePos x="0" y="0"/>
                <wp:positionH relativeFrom="page">
                  <wp:posOffset>719999</wp:posOffset>
                </wp:positionH>
                <wp:positionV relativeFrom="paragraph">
                  <wp:posOffset>213051</wp:posOffset>
                </wp:positionV>
                <wp:extent cx="6127115" cy="12700"/>
                <wp:effectExtent l="0" t="0" r="0" b="0"/>
                <wp:wrapNone/>
                <wp:docPr id="588" name="Group 588"/>
                <wp:cNvGraphicFramePr>
                  <a:graphicFrameLocks/>
                </wp:cNvGraphicFramePr>
                <a:graphic>
                  <a:graphicData uri="http://schemas.microsoft.com/office/word/2010/wordprocessingGroup">
                    <wpg:wgp>
                      <wpg:cNvPr id="588" name="Group 588"/>
                      <wpg:cNvGrpSpPr/>
                      <wpg:grpSpPr>
                        <a:xfrm>
                          <a:off x="0" y="0"/>
                          <a:ext cx="6127115" cy="12700"/>
                          <a:chExt cx="6127115" cy="12700"/>
                        </a:xfrm>
                      </wpg:grpSpPr>
                      <wps:wsp>
                        <wps:cNvPr id="589" name="Graphic 589"/>
                        <wps:cNvSpPr/>
                        <wps:spPr>
                          <a:xfrm>
                            <a:off x="0" y="6350"/>
                            <a:ext cx="990600" cy="1270"/>
                          </a:xfrm>
                          <a:custGeom>
                            <a:avLst/>
                            <a:gdLst/>
                            <a:ahLst/>
                            <a:cxnLst/>
                            <a:rect l="l" t="t" r="r" b="b"/>
                            <a:pathLst>
                              <a:path w="990600" h="0">
                                <a:moveTo>
                                  <a:pt x="0" y="0"/>
                                </a:moveTo>
                                <a:lnTo>
                                  <a:pt x="990003" y="0"/>
                                </a:lnTo>
                              </a:path>
                            </a:pathLst>
                          </a:custGeom>
                          <a:ln w="12700">
                            <a:solidFill>
                              <a:srgbClr val="000000"/>
                            </a:solidFill>
                            <a:prstDash val="solid"/>
                          </a:ln>
                        </wps:spPr>
                        <wps:bodyPr wrap="square" lIns="0" tIns="0" rIns="0" bIns="0" rtlCol="0">
                          <a:prstTxWarp prst="textNoShape">
                            <a:avLst/>
                          </a:prstTxWarp>
                          <a:noAutofit/>
                        </wps:bodyPr>
                      </wps:wsp>
                      <wps:wsp>
                        <wps:cNvPr id="590" name="Graphic 590"/>
                        <wps:cNvSpPr/>
                        <wps:spPr>
                          <a:xfrm>
                            <a:off x="990000" y="6350"/>
                            <a:ext cx="1008380" cy="1270"/>
                          </a:xfrm>
                          <a:custGeom>
                            <a:avLst/>
                            <a:gdLst/>
                            <a:ahLst/>
                            <a:cxnLst/>
                            <a:rect l="l" t="t" r="r" b="b"/>
                            <a:pathLst>
                              <a:path w="1008380" h="0">
                                <a:moveTo>
                                  <a:pt x="0" y="0"/>
                                </a:moveTo>
                                <a:lnTo>
                                  <a:pt x="1007999" y="0"/>
                                </a:lnTo>
                              </a:path>
                            </a:pathLst>
                          </a:custGeom>
                          <a:ln w="12700">
                            <a:solidFill>
                              <a:srgbClr val="000000"/>
                            </a:solidFill>
                            <a:prstDash val="solid"/>
                          </a:ln>
                        </wps:spPr>
                        <wps:bodyPr wrap="square" lIns="0" tIns="0" rIns="0" bIns="0" rtlCol="0">
                          <a:prstTxWarp prst="textNoShape">
                            <a:avLst/>
                          </a:prstTxWarp>
                          <a:noAutofit/>
                        </wps:bodyPr>
                      </wps:wsp>
                      <wps:wsp>
                        <wps:cNvPr id="591" name="Graphic 591"/>
                        <wps:cNvSpPr/>
                        <wps:spPr>
                          <a:xfrm>
                            <a:off x="1997999" y="6350"/>
                            <a:ext cx="589915" cy="1270"/>
                          </a:xfrm>
                          <a:custGeom>
                            <a:avLst/>
                            <a:gdLst/>
                            <a:ahLst/>
                            <a:cxnLst/>
                            <a:rect l="l" t="t" r="r" b="b"/>
                            <a:pathLst>
                              <a:path w="589915" h="0">
                                <a:moveTo>
                                  <a:pt x="0" y="0"/>
                                </a:moveTo>
                                <a:lnTo>
                                  <a:pt x="589838" y="0"/>
                                </a:lnTo>
                              </a:path>
                            </a:pathLst>
                          </a:custGeom>
                          <a:ln w="12700">
                            <a:solidFill>
                              <a:srgbClr val="000000"/>
                            </a:solidFill>
                            <a:prstDash val="solid"/>
                          </a:ln>
                        </wps:spPr>
                        <wps:bodyPr wrap="square" lIns="0" tIns="0" rIns="0" bIns="0" rtlCol="0">
                          <a:prstTxWarp prst="textNoShape">
                            <a:avLst/>
                          </a:prstTxWarp>
                          <a:noAutofit/>
                        </wps:bodyPr>
                      </wps:wsp>
                      <wps:wsp>
                        <wps:cNvPr id="592" name="Graphic 592"/>
                        <wps:cNvSpPr/>
                        <wps:spPr>
                          <a:xfrm>
                            <a:off x="2587840" y="6350"/>
                            <a:ext cx="589915" cy="1270"/>
                          </a:xfrm>
                          <a:custGeom>
                            <a:avLst/>
                            <a:gdLst/>
                            <a:ahLst/>
                            <a:cxnLst/>
                            <a:rect l="l" t="t" r="r" b="b"/>
                            <a:pathLst>
                              <a:path w="589915" h="0">
                                <a:moveTo>
                                  <a:pt x="0" y="0"/>
                                </a:moveTo>
                                <a:lnTo>
                                  <a:pt x="589838" y="0"/>
                                </a:lnTo>
                              </a:path>
                            </a:pathLst>
                          </a:custGeom>
                          <a:ln w="12700">
                            <a:solidFill>
                              <a:srgbClr val="000000"/>
                            </a:solidFill>
                            <a:prstDash val="solid"/>
                          </a:ln>
                        </wps:spPr>
                        <wps:bodyPr wrap="square" lIns="0" tIns="0" rIns="0" bIns="0" rtlCol="0">
                          <a:prstTxWarp prst="textNoShape">
                            <a:avLst/>
                          </a:prstTxWarp>
                          <a:noAutofit/>
                        </wps:bodyPr>
                      </wps:wsp>
                      <wps:wsp>
                        <wps:cNvPr id="593" name="Graphic 593"/>
                        <wps:cNvSpPr/>
                        <wps:spPr>
                          <a:xfrm>
                            <a:off x="3177681" y="6350"/>
                            <a:ext cx="589915" cy="1270"/>
                          </a:xfrm>
                          <a:custGeom>
                            <a:avLst/>
                            <a:gdLst/>
                            <a:ahLst/>
                            <a:cxnLst/>
                            <a:rect l="l" t="t" r="r" b="b"/>
                            <a:pathLst>
                              <a:path w="589915" h="0">
                                <a:moveTo>
                                  <a:pt x="0" y="0"/>
                                </a:moveTo>
                                <a:lnTo>
                                  <a:pt x="589838" y="0"/>
                                </a:lnTo>
                              </a:path>
                            </a:pathLst>
                          </a:custGeom>
                          <a:ln w="12700">
                            <a:solidFill>
                              <a:srgbClr val="000000"/>
                            </a:solidFill>
                            <a:prstDash val="solid"/>
                          </a:ln>
                        </wps:spPr>
                        <wps:bodyPr wrap="square" lIns="0" tIns="0" rIns="0" bIns="0" rtlCol="0">
                          <a:prstTxWarp prst="textNoShape">
                            <a:avLst/>
                          </a:prstTxWarp>
                          <a:noAutofit/>
                        </wps:bodyPr>
                      </wps:wsp>
                      <wps:wsp>
                        <wps:cNvPr id="594" name="Graphic 594"/>
                        <wps:cNvSpPr/>
                        <wps:spPr>
                          <a:xfrm>
                            <a:off x="3767521" y="6350"/>
                            <a:ext cx="589915" cy="1270"/>
                          </a:xfrm>
                          <a:custGeom>
                            <a:avLst/>
                            <a:gdLst/>
                            <a:ahLst/>
                            <a:cxnLst/>
                            <a:rect l="l" t="t" r="r" b="b"/>
                            <a:pathLst>
                              <a:path w="589915" h="0">
                                <a:moveTo>
                                  <a:pt x="0" y="0"/>
                                </a:moveTo>
                                <a:lnTo>
                                  <a:pt x="589838" y="0"/>
                                </a:lnTo>
                              </a:path>
                            </a:pathLst>
                          </a:custGeom>
                          <a:ln w="12700">
                            <a:solidFill>
                              <a:srgbClr val="000000"/>
                            </a:solidFill>
                            <a:prstDash val="solid"/>
                          </a:ln>
                        </wps:spPr>
                        <wps:bodyPr wrap="square" lIns="0" tIns="0" rIns="0" bIns="0" rtlCol="0">
                          <a:prstTxWarp prst="textNoShape">
                            <a:avLst/>
                          </a:prstTxWarp>
                          <a:noAutofit/>
                        </wps:bodyPr>
                      </wps:wsp>
                      <wps:wsp>
                        <wps:cNvPr id="595" name="Graphic 595"/>
                        <wps:cNvSpPr/>
                        <wps:spPr>
                          <a:xfrm>
                            <a:off x="4357362" y="6350"/>
                            <a:ext cx="589915" cy="1270"/>
                          </a:xfrm>
                          <a:custGeom>
                            <a:avLst/>
                            <a:gdLst/>
                            <a:ahLst/>
                            <a:cxnLst/>
                            <a:rect l="l" t="t" r="r" b="b"/>
                            <a:pathLst>
                              <a:path w="589915" h="0">
                                <a:moveTo>
                                  <a:pt x="0" y="0"/>
                                </a:moveTo>
                                <a:lnTo>
                                  <a:pt x="589838" y="0"/>
                                </a:lnTo>
                              </a:path>
                            </a:pathLst>
                          </a:custGeom>
                          <a:ln w="12700">
                            <a:solidFill>
                              <a:srgbClr val="000000"/>
                            </a:solidFill>
                            <a:prstDash val="solid"/>
                          </a:ln>
                        </wps:spPr>
                        <wps:bodyPr wrap="square" lIns="0" tIns="0" rIns="0" bIns="0" rtlCol="0">
                          <a:prstTxWarp prst="textNoShape">
                            <a:avLst/>
                          </a:prstTxWarp>
                          <a:noAutofit/>
                        </wps:bodyPr>
                      </wps:wsp>
                      <wps:wsp>
                        <wps:cNvPr id="596" name="Graphic 596"/>
                        <wps:cNvSpPr/>
                        <wps:spPr>
                          <a:xfrm>
                            <a:off x="4947202" y="6350"/>
                            <a:ext cx="589915" cy="1270"/>
                          </a:xfrm>
                          <a:custGeom>
                            <a:avLst/>
                            <a:gdLst/>
                            <a:ahLst/>
                            <a:cxnLst/>
                            <a:rect l="l" t="t" r="r" b="b"/>
                            <a:pathLst>
                              <a:path w="589915" h="0">
                                <a:moveTo>
                                  <a:pt x="0" y="0"/>
                                </a:moveTo>
                                <a:lnTo>
                                  <a:pt x="589838" y="0"/>
                                </a:lnTo>
                              </a:path>
                            </a:pathLst>
                          </a:custGeom>
                          <a:ln w="12700">
                            <a:solidFill>
                              <a:srgbClr val="000000"/>
                            </a:solidFill>
                            <a:prstDash val="solid"/>
                          </a:ln>
                        </wps:spPr>
                        <wps:bodyPr wrap="square" lIns="0" tIns="0" rIns="0" bIns="0" rtlCol="0">
                          <a:prstTxWarp prst="textNoShape">
                            <a:avLst/>
                          </a:prstTxWarp>
                          <a:noAutofit/>
                        </wps:bodyPr>
                      </wps:wsp>
                      <wps:wsp>
                        <wps:cNvPr id="597" name="Graphic 597"/>
                        <wps:cNvSpPr/>
                        <wps:spPr>
                          <a:xfrm>
                            <a:off x="5537043" y="6350"/>
                            <a:ext cx="589915" cy="1270"/>
                          </a:xfrm>
                          <a:custGeom>
                            <a:avLst/>
                            <a:gdLst/>
                            <a:ahLst/>
                            <a:cxnLst/>
                            <a:rect l="l" t="t" r="r" b="b"/>
                            <a:pathLst>
                              <a:path w="589915" h="0">
                                <a:moveTo>
                                  <a:pt x="0" y="0"/>
                                </a:moveTo>
                                <a:lnTo>
                                  <a:pt x="589838" y="0"/>
                                </a:lnTo>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692902pt;margin-top:16.7757pt;width:482.45pt;height:1pt;mso-position-horizontal-relative:page;mso-position-vertical-relative:paragraph;z-index:15838720" id="docshapegroup402" coordorigin="1134,336" coordsize="9649,20">
                <v:line style="position:absolute" from="1134,346" to="2693,346" stroked="true" strokeweight="1pt" strokecolor="#000000">
                  <v:stroke dashstyle="solid"/>
                </v:line>
                <v:line style="position:absolute" from="2693,346" to="4280,346" stroked="true" strokeweight="1pt" strokecolor="#000000">
                  <v:stroke dashstyle="solid"/>
                </v:line>
                <v:line style="position:absolute" from="4280,346" to="5209,346" stroked="true" strokeweight="1pt" strokecolor="#000000">
                  <v:stroke dashstyle="solid"/>
                </v:line>
                <v:line style="position:absolute" from="5209,346" to="6138,346" stroked="true" strokeweight="1pt" strokecolor="#000000">
                  <v:stroke dashstyle="solid"/>
                </v:line>
                <v:line style="position:absolute" from="6138,346" to="7067,346" stroked="true" strokeweight="1pt" strokecolor="#000000">
                  <v:stroke dashstyle="solid"/>
                </v:line>
                <v:line style="position:absolute" from="7067,346" to="7996,346" stroked="true" strokeweight="1pt" strokecolor="#000000">
                  <v:stroke dashstyle="solid"/>
                </v:line>
                <v:line style="position:absolute" from="7996,346" to="8925,346" stroked="true" strokeweight="1pt" strokecolor="#000000">
                  <v:stroke dashstyle="solid"/>
                </v:line>
                <v:line style="position:absolute" from="8925,346" to="9854,346" stroked="true" strokeweight="1pt" strokecolor="#000000">
                  <v:stroke dashstyle="solid"/>
                </v:line>
                <v:line style="position:absolute" from="9854,346" to="10782,346" stroked="true" strokeweight="1pt" strokecolor="#000000">
                  <v:stroke dashstyle="solid"/>
                </v:line>
                <w10:wrap type="none"/>
              </v:group>
            </w:pict>
          </mc:Fallback>
        </mc:AlternateContent>
      </w:r>
      <w:r>
        <w:rPr>
          <w:rFonts w:ascii="TT Norms Pro"/>
          <w:b/>
          <w:spacing w:val="-2"/>
          <w:sz w:val="16"/>
        </w:rPr>
        <w:t>FUNCTION</w:t>
      </w:r>
      <w:r>
        <w:rPr>
          <w:rFonts w:ascii="TT Norms Pro"/>
          <w:b/>
          <w:sz w:val="16"/>
        </w:rPr>
        <w:tab/>
      </w:r>
      <w:r>
        <w:rPr>
          <w:rFonts w:ascii="TT Norms Pro"/>
          <w:b/>
          <w:spacing w:val="-4"/>
          <w:sz w:val="16"/>
        </w:rPr>
        <w:t>2014</w:t>
      </w:r>
      <w:r>
        <w:rPr>
          <w:rFonts w:ascii="TT Norms Pro"/>
          <w:b/>
          <w:sz w:val="16"/>
        </w:rPr>
        <w:tab/>
      </w:r>
      <w:r>
        <w:rPr>
          <w:rFonts w:ascii="TT Norms Pro"/>
          <w:b/>
          <w:spacing w:val="-4"/>
          <w:sz w:val="16"/>
        </w:rPr>
        <w:t>2015</w:t>
      </w:r>
      <w:r>
        <w:rPr>
          <w:rFonts w:ascii="TT Norms Pro"/>
          <w:b/>
          <w:sz w:val="16"/>
        </w:rPr>
        <w:tab/>
      </w:r>
      <w:r>
        <w:rPr>
          <w:rFonts w:ascii="TT Norms Pro"/>
          <w:b/>
          <w:spacing w:val="-4"/>
          <w:sz w:val="16"/>
        </w:rPr>
        <w:t>2016</w:t>
      </w:r>
      <w:r>
        <w:rPr>
          <w:rFonts w:ascii="TT Norms Pro"/>
          <w:b/>
          <w:sz w:val="16"/>
        </w:rPr>
        <w:tab/>
      </w:r>
      <w:r>
        <w:rPr>
          <w:rFonts w:ascii="TT Norms Pro"/>
          <w:b/>
          <w:spacing w:val="-4"/>
          <w:sz w:val="16"/>
        </w:rPr>
        <w:t>2017</w:t>
      </w:r>
      <w:r>
        <w:rPr>
          <w:rFonts w:ascii="TT Norms Pro"/>
          <w:b/>
          <w:sz w:val="16"/>
        </w:rPr>
        <w:tab/>
      </w:r>
      <w:r>
        <w:rPr>
          <w:rFonts w:ascii="TT Norms Pro"/>
          <w:b/>
          <w:spacing w:val="-4"/>
          <w:sz w:val="16"/>
        </w:rPr>
        <w:t>2018</w:t>
      </w:r>
      <w:r>
        <w:rPr>
          <w:rFonts w:ascii="TT Norms Pro"/>
          <w:b/>
          <w:sz w:val="16"/>
        </w:rPr>
        <w:tab/>
      </w:r>
      <w:r>
        <w:rPr>
          <w:rFonts w:ascii="TT Norms Pro"/>
          <w:b/>
          <w:spacing w:val="-4"/>
          <w:sz w:val="16"/>
        </w:rPr>
        <w:t>2019</w:t>
      </w:r>
      <w:r>
        <w:rPr>
          <w:rFonts w:ascii="TT Norms Pro"/>
          <w:b/>
          <w:sz w:val="16"/>
        </w:rPr>
        <w:tab/>
      </w:r>
      <w:r>
        <w:rPr>
          <w:rFonts w:ascii="TT Norms Pro"/>
          <w:b/>
          <w:spacing w:val="-4"/>
          <w:sz w:val="16"/>
        </w:rPr>
        <w:t>2020</w:t>
      </w:r>
    </w:p>
    <w:p>
      <w:pPr>
        <w:pStyle w:val="BodyText"/>
        <w:spacing w:before="2"/>
        <w:rPr>
          <w:rFonts w:ascii="TT Norms Pro"/>
          <w:b/>
          <w:sz w:val="6"/>
        </w:rPr>
      </w:pPr>
    </w:p>
    <w:tbl>
      <w:tblPr>
        <w:tblW w:w="0" w:type="auto"/>
        <w:jc w:val="left"/>
        <w:tblInd w:w="2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59"/>
        <w:gridCol w:w="1587"/>
        <w:gridCol w:w="928"/>
        <w:gridCol w:w="928"/>
        <w:gridCol w:w="928"/>
        <w:gridCol w:w="928"/>
        <w:gridCol w:w="928"/>
        <w:gridCol w:w="928"/>
        <w:gridCol w:w="928"/>
      </w:tblGrid>
      <w:tr>
        <w:trPr>
          <w:trHeight w:val="687" w:hRule="atLeast"/>
        </w:trPr>
        <w:tc>
          <w:tcPr>
            <w:tcW w:w="1559" w:type="dxa"/>
            <w:tcBorders>
              <w:top w:val="single" w:sz="4" w:space="0" w:color="000000"/>
              <w:bottom w:val="single" w:sz="2" w:space="0" w:color="939598"/>
            </w:tcBorders>
            <w:shd w:val="clear" w:color="auto" w:fill="E6E7E8"/>
          </w:tcPr>
          <w:p>
            <w:pPr>
              <w:pStyle w:val="TableParagraph"/>
              <w:spacing w:line="180" w:lineRule="atLeast" w:before="124"/>
              <w:ind w:left="56"/>
              <w:rPr>
                <w:rFonts w:ascii="TT Norms Pro"/>
                <w:b/>
                <w:sz w:val="14"/>
              </w:rPr>
            </w:pPr>
            <w:r>
              <w:rPr>
                <w:rFonts w:ascii="TT Norms Pro"/>
                <w:b/>
                <w:spacing w:val="-2"/>
                <w:sz w:val="14"/>
              </w:rPr>
              <w:t>ACADEMIC</w:t>
            </w:r>
            <w:r>
              <w:rPr>
                <w:rFonts w:ascii="TT Norms Pro"/>
                <w:b/>
                <w:spacing w:val="40"/>
                <w:sz w:val="14"/>
              </w:rPr>
              <w:t> </w:t>
            </w:r>
            <w:r>
              <w:rPr>
                <w:rFonts w:ascii="TT Norms Pro"/>
                <w:b/>
                <w:spacing w:val="-2"/>
                <w:sz w:val="14"/>
              </w:rPr>
              <w:t>ORGANISATIONAL</w:t>
            </w:r>
            <w:r>
              <w:rPr>
                <w:rFonts w:ascii="TT Norms Pro"/>
                <w:b/>
                <w:spacing w:val="40"/>
                <w:sz w:val="14"/>
              </w:rPr>
              <w:t> </w:t>
            </w:r>
            <w:r>
              <w:rPr>
                <w:rFonts w:ascii="TT Norms Pro"/>
                <w:b/>
                <w:sz w:val="14"/>
              </w:rPr>
              <w:t>UNIT</w:t>
            </w:r>
            <w:r>
              <w:rPr>
                <w:rFonts w:ascii="TT Norms Pro"/>
                <w:b/>
                <w:spacing w:val="-8"/>
                <w:sz w:val="14"/>
              </w:rPr>
              <w:t> </w:t>
            </w:r>
            <w:r>
              <w:rPr>
                <w:rFonts w:ascii="TT Norms Pro"/>
                <w:b/>
                <w:sz w:val="14"/>
              </w:rPr>
              <w:t>(AOU)</w:t>
            </w:r>
          </w:p>
        </w:tc>
        <w:tc>
          <w:tcPr>
            <w:tcW w:w="1587" w:type="dxa"/>
            <w:tcBorders>
              <w:top w:val="single" w:sz="4" w:space="0" w:color="000000"/>
              <w:bottom w:val="single" w:sz="2" w:space="0" w:color="939598"/>
            </w:tcBorders>
          </w:tcPr>
          <w:p>
            <w:pPr>
              <w:pStyle w:val="TableParagraph"/>
              <w:rPr>
                <w:rFonts w:ascii="Times New Roman"/>
                <w:sz w:val="14"/>
              </w:rPr>
            </w:pPr>
          </w:p>
        </w:tc>
        <w:tc>
          <w:tcPr>
            <w:tcW w:w="928" w:type="dxa"/>
            <w:tcBorders>
              <w:top w:val="single" w:sz="4" w:space="0" w:color="000000"/>
              <w:bottom w:val="single" w:sz="2" w:space="0" w:color="939598"/>
            </w:tcBorders>
            <w:shd w:val="clear" w:color="auto" w:fill="E6E7E8"/>
          </w:tcPr>
          <w:p>
            <w:pPr>
              <w:pStyle w:val="TableParagraph"/>
              <w:rPr>
                <w:rFonts w:ascii="Times New Roman"/>
                <w:sz w:val="14"/>
              </w:rPr>
            </w:pPr>
          </w:p>
        </w:tc>
        <w:tc>
          <w:tcPr>
            <w:tcW w:w="928" w:type="dxa"/>
            <w:tcBorders>
              <w:top w:val="single" w:sz="4" w:space="0" w:color="000000"/>
              <w:bottom w:val="single" w:sz="2" w:space="0" w:color="939598"/>
            </w:tcBorders>
          </w:tcPr>
          <w:p>
            <w:pPr>
              <w:pStyle w:val="TableParagraph"/>
              <w:rPr>
                <w:rFonts w:ascii="Times New Roman"/>
                <w:sz w:val="14"/>
              </w:rPr>
            </w:pPr>
          </w:p>
        </w:tc>
        <w:tc>
          <w:tcPr>
            <w:tcW w:w="928" w:type="dxa"/>
            <w:tcBorders>
              <w:top w:val="single" w:sz="4" w:space="0" w:color="000000"/>
              <w:bottom w:val="single" w:sz="2" w:space="0" w:color="939598"/>
            </w:tcBorders>
            <w:shd w:val="clear" w:color="auto" w:fill="E6E7E8"/>
          </w:tcPr>
          <w:p>
            <w:pPr>
              <w:pStyle w:val="TableParagraph"/>
              <w:rPr>
                <w:rFonts w:ascii="Times New Roman"/>
                <w:sz w:val="14"/>
              </w:rPr>
            </w:pPr>
          </w:p>
        </w:tc>
        <w:tc>
          <w:tcPr>
            <w:tcW w:w="928" w:type="dxa"/>
            <w:tcBorders>
              <w:top w:val="single" w:sz="4" w:space="0" w:color="000000"/>
              <w:bottom w:val="single" w:sz="2" w:space="0" w:color="939598"/>
            </w:tcBorders>
          </w:tcPr>
          <w:p>
            <w:pPr>
              <w:pStyle w:val="TableParagraph"/>
              <w:rPr>
                <w:rFonts w:ascii="Times New Roman"/>
                <w:sz w:val="14"/>
              </w:rPr>
            </w:pPr>
          </w:p>
        </w:tc>
        <w:tc>
          <w:tcPr>
            <w:tcW w:w="928" w:type="dxa"/>
            <w:tcBorders>
              <w:top w:val="single" w:sz="4" w:space="0" w:color="000000"/>
              <w:bottom w:val="single" w:sz="2" w:space="0" w:color="939598"/>
            </w:tcBorders>
            <w:shd w:val="clear" w:color="auto" w:fill="E6E7E8"/>
          </w:tcPr>
          <w:p>
            <w:pPr>
              <w:pStyle w:val="TableParagraph"/>
              <w:rPr>
                <w:rFonts w:ascii="Times New Roman"/>
                <w:sz w:val="14"/>
              </w:rPr>
            </w:pPr>
          </w:p>
        </w:tc>
        <w:tc>
          <w:tcPr>
            <w:tcW w:w="928" w:type="dxa"/>
            <w:tcBorders>
              <w:top w:val="single" w:sz="4" w:space="0" w:color="000000"/>
              <w:bottom w:val="single" w:sz="2" w:space="0" w:color="939598"/>
            </w:tcBorders>
          </w:tcPr>
          <w:p>
            <w:pPr>
              <w:pStyle w:val="TableParagraph"/>
              <w:rPr>
                <w:rFonts w:ascii="Times New Roman"/>
                <w:sz w:val="14"/>
              </w:rPr>
            </w:pPr>
          </w:p>
        </w:tc>
        <w:tc>
          <w:tcPr>
            <w:tcW w:w="928" w:type="dxa"/>
            <w:tcBorders>
              <w:top w:val="single" w:sz="4" w:space="0" w:color="000000"/>
              <w:bottom w:val="single" w:sz="2" w:space="0" w:color="939598"/>
            </w:tcBorders>
            <w:shd w:val="clear" w:color="auto" w:fill="E6E7E8"/>
          </w:tcPr>
          <w:p>
            <w:pPr>
              <w:pStyle w:val="TableParagraph"/>
              <w:rPr>
                <w:rFonts w:ascii="Times New Roman"/>
                <w:sz w:val="14"/>
              </w:rPr>
            </w:pPr>
          </w:p>
        </w:tc>
      </w:tr>
      <w:tr>
        <w:trPr>
          <w:trHeight w:val="264" w:hRule="atLeast"/>
        </w:trPr>
        <w:tc>
          <w:tcPr>
            <w:tcW w:w="1559" w:type="dxa"/>
            <w:tcBorders>
              <w:top w:val="single" w:sz="2" w:space="0" w:color="939598"/>
            </w:tcBorders>
            <w:shd w:val="clear" w:color="auto" w:fill="E6E7E8"/>
          </w:tcPr>
          <w:p>
            <w:pPr>
              <w:pStyle w:val="TableParagraph"/>
              <w:spacing w:before="49"/>
              <w:ind w:left="56"/>
              <w:rPr>
                <w:rFonts w:ascii="TT Norms Pro"/>
                <w:sz w:val="14"/>
              </w:rPr>
            </w:pPr>
            <w:r>
              <w:rPr>
                <w:rFonts w:ascii="TT Norms Pro"/>
                <w:spacing w:val="-2"/>
                <w:sz w:val="14"/>
              </w:rPr>
              <w:t>Academic</w:t>
            </w:r>
          </w:p>
        </w:tc>
        <w:tc>
          <w:tcPr>
            <w:tcW w:w="1587" w:type="dxa"/>
            <w:tcBorders>
              <w:top w:val="single" w:sz="2" w:space="0" w:color="939598"/>
            </w:tcBorders>
          </w:tcPr>
          <w:p>
            <w:pPr>
              <w:pStyle w:val="TableParagraph"/>
              <w:spacing w:before="49"/>
              <w:ind w:left="85"/>
              <w:rPr>
                <w:rFonts w:ascii="TT Norms Pro Light"/>
                <w:b w:val="0"/>
                <w:sz w:val="14"/>
              </w:rPr>
            </w:pPr>
            <w:r>
              <w:rPr>
                <w:rFonts w:ascii="TT Norms Pro Light"/>
                <w:b w:val="0"/>
                <w:spacing w:val="-4"/>
                <w:sz w:val="14"/>
              </w:rPr>
              <w:t>Other</w:t>
            </w:r>
          </w:p>
        </w:tc>
        <w:tc>
          <w:tcPr>
            <w:tcW w:w="928" w:type="dxa"/>
            <w:tcBorders>
              <w:top w:val="single" w:sz="2" w:space="0" w:color="939598"/>
            </w:tcBorders>
            <w:shd w:val="clear" w:color="auto" w:fill="E6E7E8"/>
          </w:tcPr>
          <w:p>
            <w:pPr>
              <w:pStyle w:val="TableParagraph"/>
              <w:spacing w:before="49"/>
              <w:ind w:right="81"/>
              <w:jc w:val="right"/>
              <w:rPr>
                <w:rFonts w:ascii="TT Norms Pro Light"/>
                <w:b w:val="0"/>
                <w:sz w:val="14"/>
              </w:rPr>
            </w:pPr>
            <w:r>
              <w:rPr>
                <w:rFonts w:ascii="TT Norms Pro Light"/>
                <w:b w:val="0"/>
                <w:spacing w:val="-5"/>
                <w:sz w:val="14"/>
              </w:rPr>
              <w:t>2.5</w:t>
            </w:r>
          </w:p>
        </w:tc>
        <w:tc>
          <w:tcPr>
            <w:tcW w:w="928" w:type="dxa"/>
            <w:tcBorders>
              <w:top w:val="single" w:sz="2" w:space="0" w:color="939598"/>
            </w:tcBorders>
          </w:tcPr>
          <w:p>
            <w:pPr>
              <w:pStyle w:val="TableParagraph"/>
              <w:spacing w:before="49"/>
              <w:ind w:right="80"/>
              <w:jc w:val="right"/>
              <w:rPr>
                <w:rFonts w:ascii="TT Norms Pro Light"/>
                <w:b w:val="0"/>
                <w:sz w:val="14"/>
              </w:rPr>
            </w:pPr>
            <w:r>
              <w:rPr>
                <w:rFonts w:ascii="TT Norms Pro Light"/>
                <w:b w:val="0"/>
                <w:spacing w:val="-5"/>
                <w:sz w:val="14"/>
              </w:rPr>
              <w:t>2.6</w:t>
            </w:r>
          </w:p>
        </w:tc>
        <w:tc>
          <w:tcPr>
            <w:tcW w:w="928" w:type="dxa"/>
            <w:tcBorders>
              <w:top w:val="single" w:sz="2" w:space="0" w:color="939598"/>
            </w:tcBorders>
            <w:shd w:val="clear" w:color="auto" w:fill="E6E7E8"/>
          </w:tcPr>
          <w:p>
            <w:pPr>
              <w:pStyle w:val="TableParagraph"/>
              <w:spacing w:before="49"/>
              <w:ind w:right="76"/>
              <w:jc w:val="right"/>
              <w:rPr>
                <w:rFonts w:ascii="TT Norms Pro Light"/>
                <w:b w:val="0"/>
                <w:sz w:val="14"/>
              </w:rPr>
            </w:pPr>
            <w:r>
              <w:rPr>
                <w:rFonts w:ascii="TT Norms Pro Light"/>
                <w:b w:val="0"/>
                <w:spacing w:val="-5"/>
                <w:sz w:val="14"/>
              </w:rPr>
              <w:t>1.7</w:t>
            </w:r>
          </w:p>
        </w:tc>
        <w:tc>
          <w:tcPr>
            <w:tcW w:w="928" w:type="dxa"/>
            <w:tcBorders>
              <w:top w:val="single" w:sz="2" w:space="0" w:color="939598"/>
            </w:tcBorders>
          </w:tcPr>
          <w:p>
            <w:pPr>
              <w:pStyle w:val="TableParagraph"/>
              <w:spacing w:before="49"/>
              <w:ind w:right="79"/>
              <w:jc w:val="right"/>
              <w:rPr>
                <w:rFonts w:ascii="TT Norms Pro Light"/>
                <w:b w:val="0"/>
                <w:sz w:val="14"/>
              </w:rPr>
            </w:pPr>
            <w:r>
              <w:rPr>
                <w:rFonts w:ascii="TT Norms Pro Light"/>
                <w:b w:val="0"/>
                <w:spacing w:val="-5"/>
                <w:sz w:val="14"/>
              </w:rPr>
              <w:t>6.3</w:t>
            </w:r>
          </w:p>
        </w:tc>
        <w:tc>
          <w:tcPr>
            <w:tcW w:w="928" w:type="dxa"/>
            <w:tcBorders>
              <w:top w:val="single" w:sz="2" w:space="0" w:color="939598"/>
            </w:tcBorders>
            <w:shd w:val="clear" w:color="auto" w:fill="E6E7E8"/>
          </w:tcPr>
          <w:p>
            <w:pPr>
              <w:pStyle w:val="TableParagraph"/>
              <w:spacing w:before="49"/>
              <w:ind w:right="82"/>
              <w:jc w:val="right"/>
              <w:rPr>
                <w:rFonts w:ascii="TT Norms Pro Light"/>
                <w:b w:val="0"/>
                <w:sz w:val="14"/>
              </w:rPr>
            </w:pPr>
            <w:r>
              <w:rPr>
                <w:rFonts w:ascii="TT Norms Pro Light"/>
                <w:b w:val="0"/>
                <w:spacing w:val="-5"/>
                <w:sz w:val="14"/>
              </w:rPr>
              <w:t>5.9</w:t>
            </w:r>
          </w:p>
        </w:tc>
        <w:tc>
          <w:tcPr>
            <w:tcW w:w="928" w:type="dxa"/>
            <w:tcBorders>
              <w:top w:val="single" w:sz="2" w:space="0" w:color="939598"/>
            </w:tcBorders>
          </w:tcPr>
          <w:p>
            <w:pPr>
              <w:pStyle w:val="TableParagraph"/>
              <w:spacing w:before="49"/>
              <w:ind w:right="77"/>
              <w:jc w:val="right"/>
              <w:rPr>
                <w:rFonts w:ascii="TT Norms Pro Light"/>
                <w:b w:val="0"/>
                <w:sz w:val="14"/>
              </w:rPr>
            </w:pPr>
            <w:r>
              <w:rPr>
                <w:rFonts w:ascii="TT Norms Pro Light"/>
                <w:b w:val="0"/>
                <w:spacing w:val="-5"/>
                <w:sz w:val="14"/>
              </w:rPr>
              <w:t>4.2</w:t>
            </w:r>
          </w:p>
        </w:tc>
        <w:tc>
          <w:tcPr>
            <w:tcW w:w="928" w:type="dxa"/>
            <w:tcBorders>
              <w:top w:val="single" w:sz="2" w:space="0" w:color="939598"/>
            </w:tcBorders>
            <w:shd w:val="clear" w:color="auto" w:fill="E6E7E8"/>
          </w:tcPr>
          <w:p>
            <w:pPr>
              <w:pStyle w:val="TableParagraph"/>
              <w:spacing w:before="49"/>
              <w:ind w:right="76"/>
              <w:jc w:val="right"/>
              <w:rPr>
                <w:rFonts w:ascii="TT Norms Pro Light"/>
                <w:b w:val="0"/>
                <w:sz w:val="14"/>
              </w:rPr>
            </w:pPr>
            <w:r>
              <w:rPr>
                <w:rFonts w:ascii="TT Norms Pro Light"/>
                <w:b w:val="0"/>
                <w:spacing w:val="-5"/>
                <w:sz w:val="14"/>
              </w:rPr>
              <w:t>0.6</w:t>
            </w:r>
          </w:p>
        </w:tc>
      </w:tr>
      <w:tr>
        <w:trPr>
          <w:trHeight w:val="283" w:hRule="atLeast"/>
        </w:trPr>
        <w:tc>
          <w:tcPr>
            <w:tcW w:w="1559" w:type="dxa"/>
            <w:shd w:val="clear" w:color="auto" w:fill="E6E7E8"/>
          </w:tcPr>
          <w:p>
            <w:pPr>
              <w:pStyle w:val="TableParagraph"/>
              <w:rPr>
                <w:rFonts w:ascii="Times New Roman"/>
                <w:sz w:val="14"/>
              </w:rPr>
            </w:pPr>
          </w:p>
        </w:tc>
        <w:tc>
          <w:tcPr>
            <w:tcW w:w="1587" w:type="dxa"/>
          </w:tcPr>
          <w:p>
            <w:pPr>
              <w:pStyle w:val="TableParagraph"/>
              <w:spacing w:before="68"/>
              <w:ind w:left="85"/>
              <w:rPr>
                <w:rFonts w:ascii="TT Norms Pro Light"/>
                <w:b w:val="0"/>
                <w:sz w:val="14"/>
              </w:rPr>
            </w:pPr>
            <w:r>
              <w:rPr>
                <w:rFonts w:ascii="TT Norms Pro Light"/>
                <w:b w:val="0"/>
                <w:sz w:val="14"/>
              </w:rPr>
              <w:t>Research</w:t>
            </w:r>
            <w:r>
              <w:rPr>
                <w:rFonts w:ascii="TT Norms Pro Light"/>
                <w:b w:val="0"/>
                <w:spacing w:val="7"/>
                <w:sz w:val="14"/>
              </w:rPr>
              <w:t> </w:t>
            </w:r>
            <w:r>
              <w:rPr>
                <w:rFonts w:ascii="TT Norms Pro Light"/>
                <w:b w:val="0"/>
                <w:spacing w:val="-4"/>
                <w:sz w:val="14"/>
              </w:rPr>
              <w:t>only</w:t>
            </w:r>
          </w:p>
        </w:tc>
        <w:tc>
          <w:tcPr>
            <w:tcW w:w="928" w:type="dxa"/>
            <w:shd w:val="clear" w:color="auto" w:fill="E6E7E8"/>
          </w:tcPr>
          <w:p>
            <w:pPr>
              <w:pStyle w:val="TableParagraph"/>
              <w:spacing w:before="68"/>
              <w:ind w:right="81"/>
              <w:jc w:val="right"/>
              <w:rPr>
                <w:rFonts w:ascii="TT Norms Pro Light"/>
                <w:b w:val="0"/>
                <w:sz w:val="14"/>
              </w:rPr>
            </w:pPr>
            <w:r>
              <w:rPr>
                <w:rFonts w:ascii="TT Norms Pro Light"/>
                <w:b w:val="0"/>
                <w:spacing w:val="-2"/>
                <w:sz w:val="14"/>
              </w:rPr>
              <w:t>617.1</w:t>
            </w:r>
          </w:p>
        </w:tc>
        <w:tc>
          <w:tcPr>
            <w:tcW w:w="928" w:type="dxa"/>
          </w:tcPr>
          <w:p>
            <w:pPr>
              <w:pStyle w:val="TableParagraph"/>
              <w:spacing w:before="68"/>
              <w:ind w:right="80"/>
              <w:jc w:val="right"/>
              <w:rPr>
                <w:rFonts w:ascii="TT Norms Pro Light"/>
                <w:b w:val="0"/>
                <w:sz w:val="14"/>
              </w:rPr>
            </w:pPr>
            <w:r>
              <w:rPr>
                <w:rFonts w:ascii="TT Norms Pro Light"/>
                <w:b w:val="0"/>
                <w:spacing w:val="-2"/>
                <w:sz w:val="14"/>
              </w:rPr>
              <w:t>607.4</w:t>
            </w:r>
          </w:p>
        </w:tc>
        <w:tc>
          <w:tcPr>
            <w:tcW w:w="928" w:type="dxa"/>
            <w:shd w:val="clear" w:color="auto" w:fill="E6E7E8"/>
          </w:tcPr>
          <w:p>
            <w:pPr>
              <w:pStyle w:val="TableParagraph"/>
              <w:spacing w:before="68"/>
              <w:ind w:right="79"/>
              <w:jc w:val="right"/>
              <w:rPr>
                <w:rFonts w:ascii="TT Norms Pro Light"/>
                <w:b w:val="0"/>
                <w:sz w:val="14"/>
              </w:rPr>
            </w:pPr>
            <w:r>
              <w:rPr>
                <w:rFonts w:ascii="TT Norms Pro Light"/>
                <w:b w:val="0"/>
                <w:spacing w:val="-4"/>
                <w:sz w:val="14"/>
              </w:rPr>
              <w:t>568.0</w:t>
            </w:r>
          </w:p>
        </w:tc>
        <w:tc>
          <w:tcPr>
            <w:tcW w:w="928" w:type="dxa"/>
          </w:tcPr>
          <w:p>
            <w:pPr>
              <w:pStyle w:val="TableParagraph"/>
              <w:spacing w:before="68"/>
              <w:ind w:right="78"/>
              <w:jc w:val="right"/>
              <w:rPr>
                <w:rFonts w:ascii="TT Norms Pro Light"/>
                <w:b w:val="0"/>
                <w:sz w:val="14"/>
              </w:rPr>
            </w:pPr>
            <w:r>
              <w:rPr>
                <w:rFonts w:ascii="TT Norms Pro Light"/>
                <w:b w:val="0"/>
                <w:spacing w:val="-2"/>
                <w:sz w:val="14"/>
              </w:rPr>
              <w:t>529.5</w:t>
            </w:r>
          </w:p>
        </w:tc>
        <w:tc>
          <w:tcPr>
            <w:tcW w:w="928" w:type="dxa"/>
            <w:shd w:val="clear" w:color="auto" w:fill="E6E7E8"/>
          </w:tcPr>
          <w:p>
            <w:pPr>
              <w:pStyle w:val="TableParagraph"/>
              <w:spacing w:before="68"/>
              <w:ind w:right="77"/>
              <w:jc w:val="right"/>
              <w:rPr>
                <w:rFonts w:ascii="TT Norms Pro Light"/>
                <w:b w:val="0"/>
                <w:sz w:val="14"/>
              </w:rPr>
            </w:pPr>
            <w:r>
              <w:rPr>
                <w:rFonts w:ascii="TT Norms Pro Light"/>
                <w:b w:val="0"/>
                <w:spacing w:val="-2"/>
                <w:sz w:val="14"/>
              </w:rPr>
              <w:t>487.2</w:t>
            </w:r>
          </w:p>
        </w:tc>
        <w:tc>
          <w:tcPr>
            <w:tcW w:w="928" w:type="dxa"/>
          </w:tcPr>
          <w:p>
            <w:pPr>
              <w:pStyle w:val="TableParagraph"/>
              <w:spacing w:before="68"/>
              <w:ind w:right="81"/>
              <w:jc w:val="right"/>
              <w:rPr>
                <w:rFonts w:ascii="TT Norms Pro Light"/>
                <w:b w:val="0"/>
                <w:sz w:val="14"/>
              </w:rPr>
            </w:pPr>
            <w:r>
              <w:rPr>
                <w:rFonts w:ascii="TT Norms Pro Light"/>
                <w:b w:val="0"/>
                <w:spacing w:val="-2"/>
                <w:sz w:val="14"/>
              </w:rPr>
              <w:t>466.9</w:t>
            </w:r>
          </w:p>
        </w:tc>
        <w:tc>
          <w:tcPr>
            <w:tcW w:w="928" w:type="dxa"/>
            <w:shd w:val="clear" w:color="auto" w:fill="E6E7E8"/>
          </w:tcPr>
          <w:p>
            <w:pPr>
              <w:pStyle w:val="TableParagraph"/>
              <w:spacing w:before="68"/>
              <w:ind w:right="70"/>
              <w:jc w:val="right"/>
              <w:rPr>
                <w:rFonts w:ascii="TT Norms Pro Light"/>
                <w:b w:val="0"/>
                <w:sz w:val="14"/>
              </w:rPr>
            </w:pPr>
            <w:r>
              <w:rPr>
                <w:rFonts w:ascii="TT Norms Pro Light"/>
                <w:b w:val="0"/>
                <w:spacing w:val="-2"/>
                <w:sz w:val="14"/>
              </w:rPr>
              <w:t>464.4</w:t>
            </w:r>
          </w:p>
        </w:tc>
      </w:tr>
      <w:tr>
        <w:trPr>
          <w:trHeight w:val="283" w:hRule="atLeast"/>
        </w:trPr>
        <w:tc>
          <w:tcPr>
            <w:tcW w:w="1559" w:type="dxa"/>
            <w:shd w:val="clear" w:color="auto" w:fill="E6E7E8"/>
          </w:tcPr>
          <w:p>
            <w:pPr>
              <w:pStyle w:val="TableParagraph"/>
              <w:rPr>
                <w:rFonts w:ascii="Times New Roman"/>
                <w:sz w:val="14"/>
              </w:rPr>
            </w:pPr>
          </w:p>
        </w:tc>
        <w:tc>
          <w:tcPr>
            <w:tcW w:w="1587" w:type="dxa"/>
          </w:tcPr>
          <w:p>
            <w:pPr>
              <w:pStyle w:val="TableParagraph"/>
              <w:spacing w:before="68"/>
              <w:ind w:left="85"/>
              <w:rPr>
                <w:rFonts w:ascii="TT Norms Pro Light"/>
                <w:b w:val="0"/>
                <w:sz w:val="14"/>
              </w:rPr>
            </w:pPr>
            <w:r>
              <w:rPr>
                <w:rFonts w:ascii="TT Norms Pro Light"/>
                <w:b w:val="0"/>
                <w:sz w:val="14"/>
              </w:rPr>
              <w:t>Teaching and</w:t>
            </w:r>
            <w:r>
              <w:rPr>
                <w:rFonts w:ascii="TT Norms Pro Light"/>
                <w:b w:val="0"/>
                <w:spacing w:val="3"/>
                <w:sz w:val="14"/>
              </w:rPr>
              <w:t> </w:t>
            </w:r>
            <w:r>
              <w:rPr>
                <w:rFonts w:ascii="TT Norms Pro Light"/>
                <w:b w:val="0"/>
                <w:spacing w:val="-2"/>
                <w:sz w:val="14"/>
              </w:rPr>
              <w:t>research</w:t>
            </w:r>
          </w:p>
        </w:tc>
        <w:tc>
          <w:tcPr>
            <w:tcW w:w="928" w:type="dxa"/>
            <w:shd w:val="clear" w:color="auto" w:fill="E6E7E8"/>
          </w:tcPr>
          <w:p>
            <w:pPr>
              <w:pStyle w:val="TableParagraph"/>
              <w:spacing w:before="68"/>
              <w:ind w:right="81"/>
              <w:jc w:val="right"/>
              <w:rPr>
                <w:rFonts w:ascii="TT Norms Pro Light"/>
                <w:b w:val="0"/>
                <w:sz w:val="14"/>
              </w:rPr>
            </w:pPr>
            <w:r>
              <w:rPr>
                <w:rFonts w:ascii="TT Norms Pro Light"/>
                <w:b w:val="0"/>
                <w:spacing w:val="-4"/>
                <w:sz w:val="14"/>
              </w:rPr>
              <w:t>812.3</w:t>
            </w:r>
          </w:p>
        </w:tc>
        <w:tc>
          <w:tcPr>
            <w:tcW w:w="928" w:type="dxa"/>
          </w:tcPr>
          <w:p>
            <w:pPr>
              <w:pStyle w:val="TableParagraph"/>
              <w:spacing w:before="68"/>
              <w:ind w:right="80"/>
              <w:jc w:val="right"/>
              <w:rPr>
                <w:rFonts w:ascii="TT Norms Pro Light"/>
                <w:b w:val="0"/>
                <w:sz w:val="14"/>
              </w:rPr>
            </w:pPr>
            <w:r>
              <w:rPr>
                <w:rFonts w:ascii="TT Norms Pro Light"/>
                <w:b w:val="0"/>
                <w:spacing w:val="-4"/>
                <w:sz w:val="14"/>
              </w:rPr>
              <w:t>782.4</w:t>
            </w:r>
          </w:p>
        </w:tc>
        <w:tc>
          <w:tcPr>
            <w:tcW w:w="928" w:type="dxa"/>
            <w:shd w:val="clear" w:color="auto" w:fill="E6E7E8"/>
          </w:tcPr>
          <w:p>
            <w:pPr>
              <w:pStyle w:val="TableParagraph"/>
              <w:spacing w:before="68"/>
              <w:ind w:right="84"/>
              <w:jc w:val="right"/>
              <w:rPr>
                <w:rFonts w:ascii="TT Norms Pro Light"/>
                <w:b w:val="0"/>
                <w:sz w:val="14"/>
              </w:rPr>
            </w:pPr>
            <w:r>
              <w:rPr>
                <w:rFonts w:ascii="TT Norms Pro Light"/>
                <w:b w:val="0"/>
                <w:spacing w:val="-2"/>
                <w:sz w:val="14"/>
              </w:rPr>
              <w:t>778.9</w:t>
            </w:r>
          </w:p>
        </w:tc>
        <w:tc>
          <w:tcPr>
            <w:tcW w:w="928" w:type="dxa"/>
          </w:tcPr>
          <w:p>
            <w:pPr>
              <w:pStyle w:val="TableParagraph"/>
              <w:spacing w:before="68"/>
              <w:ind w:right="78"/>
              <w:jc w:val="right"/>
              <w:rPr>
                <w:rFonts w:ascii="TT Norms Pro Light"/>
                <w:b w:val="0"/>
                <w:sz w:val="14"/>
              </w:rPr>
            </w:pPr>
            <w:r>
              <w:rPr>
                <w:rFonts w:ascii="TT Norms Pro Light"/>
                <w:b w:val="0"/>
                <w:spacing w:val="-2"/>
                <w:sz w:val="14"/>
              </w:rPr>
              <w:t>707.5</w:t>
            </w:r>
          </w:p>
        </w:tc>
        <w:tc>
          <w:tcPr>
            <w:tcW w:w="928" w:type="dxa"/>
            <w:shd w:val="clear" w:color="auto" w:fill="E6E7E8"/>
          </w:tcPr>
          <w:p>
            <w:pPr>
              <w:pStyle w:val="TableParagraph"/>
              <w:spacing w:before="68"/>
              <w:ind w:right="77"/>
              <w:jc w:val="right"/>
              <w:rPr>
                <w:rFonts w:ascii="TT Norms Pro Light"/>
                <w:b w:val="0"/>
                <w:sz w:val="14"/>
              </w:rPr>
            </w:pPr>
            <w:r>
              <w:rPr>
                <w:rFonts w:ascii="TT Norms Pro Light"/>
                <w:b w:val="0"/>
                <w:spacing w:val="-4"/>
                <w:sz w:val="14"/>
              </w:rPr>
              <w:t>716.2</w:t>
            </w:r>
          </w:p>
        </w:tc>
        <w:tc>
          <w:tcPr>
            <w:tcW w:w="928" w:type="dxa"/>
          </w:tcPr>
          <w:p>
            <w:pPr>
              <w:pStyle w:val="TableParagraph"/>
              <w:spacing w:before="68"/>
              <w:ind w:right="76"/>
              <w:jc w:val="right"/>
              <w:rPr>
                <w:rFonts w:ascii="TT Norms Pro Light"/>
                <w:b w:val="0"/>
                <w:sz w:val="14"/>
              </w:rPr>
            </w:pPr>
            <w:r>
              <w:rPr>
                <w:rFonts w:ascii="TT Norms Pro Light"/>
                <w:b w:val="0"/>
                <w:spacing w:val="-4"/>
                <w:sz w:val="14"/>
              </w:rPr>
              <w:t>755.4</w:t>
            </w:r>
          </w:p>
        </w:tc>
        <w:tc>
          <w:tcPr>
            <w:tcW w:w="928" w:type="dxa"/>
            <w:shd w:val="clear" w:color="auto" w:fill="E6E7E8"/>
          </w:tcPr>
          <w:p>
            <w:pPr>
              <w:pStyle w:val="TableParagraph"/>
              <w:spacing w:before="68"/>
              <w:ind w:right="75"/>
              <w:jc w:val="right"/>
              <w:rPr>
                <w:rFonts w:ascii="TT Norms Pro Light"/>
                <w:b w:val="0"/>
                <w:sz w:val="14"/>
              </w:rPr>
            </w:pPr>
            <w:r>
              <w:rPr>
                <w:rFonts w:ascii="TT Norms Pro Light"/>
                <w:b w:val="0"/>
                <w:spacing w:val="-4"/>
                <w:sz w:val="14"/>
              </w:rPr>
              <w:t>782.4</w:t>
            </w:r>
          </w:p>
        </w:tc>
      </w:tr>
      <w:tr>
        <w:trPr>
          <w:trHeight w:val="283" w:hRule="atLeast"/>
        </w:trPr>
        <w:tc>
          <w:tcPr>
            <w:tcW w:w="1559" w:type="dxa"/>
            <w:shd w:val="clear" w:color="auto" w:fill="E6E7E8"/>
          </w:tcPr>
          <w:p>
            <w:pPr>
              <w:pStyle w:val="TableParagraph"/>
              <w:rPr>
                <w:rFonts w:ascii="Times New Roman"/>
                <w:sz w:val="14"/>
              </w:rPr>
            </w:pPr>
          </w:p>
        </w:tc>
        <w:tc>
          <w:tcPr>
            <w:tcW w:w="1587" w:type="dxa"/>
          </w:tcPr>
          <w:p>
            <w:pPr>
              <w:pStyle w:val="TableParagraph"/>
              <w:spacing w:before="68"/>
              <w:ind w:left="85"/>
              <w:rPr>
                <w:rFonts w:ascii="TT Norms Pro Light"/>
                <w:b w:val="0"/>
                <w:sz w:val="14"/>
              </w:rPr>
            </w:pPr>
            <w:r>
              <w:rPr>
                <w:rFonts w:ascii="TT Norms Pro Light"/>
                <w:b w:val="0"/>
                <w:sz w:val="14"/>
              </w:rPr>
              <w:t>Teaching</w:t>
            </w:r>
            <w:r>
              <w:rPr>
                <w:rFonts w:ascii="TT Norms Pro Light"/>
                <w:b w:val="0"/>
                <w:spacing w:val="-1"/>
                <w:sz w:val="14"/>
              </w:rPr>
              <w:t> </w:t>
            </w:r>
            <w:r>
              <w:rPr>
                <w:rFonts w:ascii="TT Norms Pro Light"/>
                <w:b w:val="0"/>
                <w:spacing w:val="-4"/>
                <w:sz w:val="14"/>
              </w:rPr>
              <w:t>only</w:t>
            </w:r>
          </w:p>
        </w:tc>
        <w:tc>
          <w:tcPr>
            <w:tcW w:w="928" w:type="dxa"/>
            <w:shd w:val="clear" w:color="auto" w:fill="E6E7E8"/>
          </w:tcPr>
          <w:p>
            <w:pPr>
              <w:pStyle w:val="TableParagraph"/>
              <w:spacing w:before="68"/>
              <w:ind w:right="81"/>
              <w:jc w:val="right"/>
              <w:rPr>
                <w:rFonts w:ascii="TT Norms Pro Light"/>
                <w:b w:val="0"/>
                <w:sz w:val="14"/>
              </w:rPr>
            </w:pPr>
            <w:r>
              <w:rPr>
                <w:rFonts w:ascii="TT Norms Pro Light"/>
                <w:b w:val="0"/>
                <w:spacing w:val="-4"/>
                <w:sz w:val="14"/>
              </w:rPr>
              <w:t>82.8</w:t>
            </w:r>
          </w:p>
        </w:tc>
        <w:tc>
          <w:tcPr>
            <w:tcW w:w="928" w:type="dxa"/>
          </w:tcPr>
          <w:p>
            <w:pPr>
              <w:pStyle w:val="TableParagraph"/>
              <w:spacing w:before="68"/>
              <w:ind w:right="80"/>
              <w:jc w:val="right"/>
              <w:rPr>
                <w:rFonts w:ascii="TT Norms Pro Light"/>
                <w:b w:val="0"/>
                <w:sz w:val="14"/>
              </w:rPr>
            </w:pPr>
            <w:r>
              <w:rPr>
                <w:rFonts w:ascii="TT Norms Pro Light"/>
                <w:b w:val="0"/>
                <w:spacing w:val="-4"/>
                <w:sz w:val="14"/>
              </w:rPr>
              <w:t>79.7</w:t>
            </w:r>
          </w:p>
        </w:tc>
        <w:tc>
          <w:tcPr>
            <w:tcW w:w="928" w:type="dxa"/>
            <w:shd w:val="clear" w:color="auto" w:fill="E6E7E8"/>
          </w:tcPr>
          <w:p>
            <w:pPr>
              <w:pStyle w:val="TableParagraph"/>
              <w:spacing w:before="68"/>
              <w:ind w:right="79"/>
              <w:jc w:val="right"/>
              <w:rPr>
                <w:rFonts w:ascii="TT Norms Pro Light"/>
                <w:b w:val="0"/>
                <w:sz w:val="14"/>
              </w:rPr>
            </w:pPr>
            <w:r>
              <w:rPr>
                <w:rFonts w:ascii="TT Norms Pro Light"/>
                <w:b w:val="0"/>
                <w:spacing w:val="-4"/>
                <w:sz w:val="14"/>
              </w:rPr>
              <w:t>73.3</w:t>
            </w:r>
          </w:p>
        </w:tc>
        <w:tc>
          <w:tcPr>
            <w:tcW w:w="928" w:type="dxa"/>
          </w:tcPr>
          <w:p>
            <w:pPr>
              <w:pStyle w:val="TableParagraph"/>
              <w:spacing w:before="68"/>
              <w:ind w:right="78"/>
              <w:jc w:val="right"/>
              <w:rPr>
                <w:rFonts w:ascii="TT Norms Pro Light"/>
                <w:b w:val="0"/>
                <w:sz w:val="14"/>
              </w:rPr>
            </w:pPr>
            <w:r>
              <w:rPr>
                <w:rFonts w:ascii="TT Norms Pro Light"/>
                <w:b w:val="0"/>
                <w:spacing w:val="-4"/>
                <w:sz w:val="14"/>
              </w:rPr>
              <w:t>108.3</w:t>
            </w:r>
          </w:p>
        </w:tc>
        <w:tc>
          <w:tcPr>
            <w:tcW w:w="928" w:type="dxa"/>
            <w:shd w:val="clear" w:color="auto" w:fill="E6E7E8"/>
          </w:tcPr>
          <w:p>
            <w:pPr>
              <w:pStyle w:val="TableParagraph"/>
              <w:spacing w:before="68"/>
              <w:ind w:right="77"/>
              <w:jc w:val="right"/>
              <w:rPr>
                <w:rFonts w:ascii="TT Norms Pro Light"/>
                <w:b w:val="0"/>
                <w:sz w:val="14"/>
              </w:rPr>
            </w:pPr>
            <w:r>
              <w:rPr>
                <w:rFonts w:ascii="TT Norms Pro Light"/>
                <w:b w:val="0"/>
                <w:spacing w:val="-2"/>
                <w:sz w:val="14"/>
              </w:rPr>
              <w:t>118.6</w:t>
            </w:r>
          </w:p>
        </w:tc>
        <w:tc>
          <w:tcPr>
            <w:tcW w:w="928" w:type="dxa"/>
          </w:tcPr>
          <w:p>
            <w:pPr>
              <w:pStyle w:val="TableParagraph"/>
              <w:spacing w:before="68"/>
              <w:ind w:right="76"/>
              <w:jc w:val="right"/>
              <w:rPr>
                <w:rFonts w:ascii="TT Norms Pro Light"/>
                <w:b w:val="0"/>
                <w:sz w:val="14"/>
              </w:rPr>
            </w:pPr>
            <w:r>
              <w:rPr>
                <w:rFonts w:ascii="TT Norms Pro Light"/>
                <w:b w:val="0"/>
                <w:spacing w:val="-2"/>
                <w:sz w:val="14"/>
              </w:rPr>
              <w:t>132.4</w:t>
            </w:r>
          </w:p>
        </w:tc>
        <w:tc>
          <w:tcPr>
            <w:tcW w:w="928" w:type="dxa"/>
            <w:shd w:val="clear" w:color="auto" w:fill="E6E7E8"/>
          </w:tcPr>
          <w:p>
            <w:pPr>
              <w:pStyle w:val="TableParagraph"/>
              <w:spacing w:before="68"/>
              <w:ind w:right="80"/>
              <w:jc w:val="right"/>
              <w:rPr>
                <w:rFonts w:ascii="TT Norms Pro Light"/>
                <w:b w:val="0"/>
                <w:sz w:val="14"/>
              </w:rPr>
            </w:pPr>
            <w:r>
              <w:rPr>
                <w:rFonts w:ascii="TT Norms Pro Light"/>
                <w:b w:val="0"/>
                <w:spacing w:val="-4"/>
                <w:sz w:val="14"/>
              </w:rPr>
              <w:t>125.9</w:t>
            </w:r>
          </w:p>
        </w:tc>
      </w:tr>
      <w:tr>
        <w:trPr>
          <w:trHeight w:val="297" w:hRule="atLeast"/>
        </w:trPr>
        <w:tc>
          <w:tcPr>
            <w:tcW w:w="1559" w:type="dxa"/>
            <w:tcBorders>
              <w:bottom w:val="single" w:sz="2" w:space="0" w:color="939598"/>
            </w:tcBorders>
            <w:shd w:val="clear" w:color="auto" w:fill="E6E7E8"/>
          </w:tcPr>
          <w:p>
            <w:pPr>
              <w:pStyle w:val="TableParagraph"/>
              <w:rPr>
                <w:rFonts w:ascii="Times New Roman"/>
                <w:sz w:val="14"/>
              </w:rPr>
            </w:pPr>
          </w:p>
        </w:tc>
        <w:tc>
          <w:tcPr>
            <w:tcW w:w="1587" w:type="dxa"/>
            <w:tcBorders>
              <w:bottom w:val="single" w:sz="2" w:space="0" w:color="939598"/>
            </w:tcBorders>
          </w:tcPr>
          <w:p>
            <w:pPr>
              <w:pStyle w:val="TableParagraph"/>
              <w:spacing w:before="68"/>
              <w:ind w:left="85"/>
              <w:rPr>
                <w:rFonts w:ascii="TT Norms Pro Light"/>
                <w:b w:val="0"/>
                <w:sz w:val="14"/>
              </w:rPr>
            </w:pPr>
            <w:r>
              <w:rPr>
                <w:rFonts w:ascii="TT Norms Pro Light"/>
                <w:b w:val="0"/>
                <w:sz w:val="14"/>
              </w:rPr>
              <w:t>Sub-</w:t>
            </w:r>
            <w:r>
              <w:rPr>
                <w:rFonts w:ascii="TT Norms Pro Light"/>
                <w:b w:val="0"/>
                <w:spacing w:val="-4"/>
                <w:sz w:val="14"/>
              </w:rPr>
              <w:t>total</w:t>
            </w:r>
          </w:p>
        </w:tc>
        <w:tc>
          <w:tcPr>
            <w:tcW w:w="928" w:type="dxa"/>
            <w:tcBorders>
              <w:bottom w:val="single" w:sz="2" w:space="0" w:color="939598"/>
            </w:tcBorders>
            <w:shd w:val="clear" w:color="auto" w:fill="E6E7E8"/>
          </w:tcPr>
          <w:p>
            <w:pPr>
              <w:pStyle w:val="TableParagraph"/>
              <w:spacing w:before="68"/>
              <w:ind w:right="78"/>
              <w:jc w:val="right"/>
              <w:rPr>
                <w:rFonts w:ascii="TT Norms Pro Light"/>
                <w:b w:val="0"/>
                <w:sz w:val="14"/>
              </w:rPr>
            </w:pPr>
            <w:r>
              <w:rPr>
                <w:rFonts w:ascii="TT Norms Pro Light"/>
                <w:b w:val="0"/>
                <w:spacing w:val="-2"/>
                <w:sz w:val="14"/>
              </w:rPr>
              <w:t>1,514.8</w:t>
            </w:r>
          </w:p>
        </w:tc>
        <w:tc>
          <w:tcPr>
            <w:tcW w:w="928" w:type="dxa"/>
            <w:tcBorders>
              <w:bottom w:val="single" w:sz="2" w:space="0" w:color="939598"/>
            </w:tcBorders>
          </w:tcPr>
          <w:p>
            <w:pPr>
              <w:pStyle w:val="TableParagraph"/>
              <w:spacing w:before="68"/>
              <w:ind w:right="80"/>
              <w:jc w:val="right"/>
              <w:rPr>
                <w:rFonts w:ascii="TT Norms Pro Light"/>
                <w:b w:val="0"/>
                <w:sz w:val="14"/>
              </w:rPr>
            </w:pPr>
            <w:r>
              <w:rPr>
                <w:rFonts w:ascii="TT Norms Pro Light"/>
                <w:b w:val="0"/>
                <w:spacing w:val="-2"/>
                <w:sz w:val="14"/>
              </w:rPr>
              <w:t>1,472.1</w:t>
            </w:r>
          </w:p>
        </w:tc>
        <w:tc>
          <w:tcPr>
            <w:tcW w:w="928" w:type="dxa"/>
            <w:tcBorders>
              <w:bottom w:val="single" w:sz="2" w:space="0" w:color="939598"/>
            </w:tcBorders>
            <w:shd w:val="clear" w:color="auto" w:fill="E6E7E8"/>
          </w:tcPr>
          <w:p>
            <w:pPr>
              <w:pStyle w:val="TableParagraph"/>
              <w:spacing w:before="68"/>
              <w:ind w:right="83"/>
              <w:jc w:val="right"/>
              <w:rPr>
                <w:rFonts w:ascii="TT Norms Pro Light"/>
                <w:b w:val="0"/>
                <w:sz w:val="14"/>
              </w:rPr>
            </w:pPr>
            <w:r>
              <w:rPr>
                <w:rFonts w:ascii="TT Norms Pro Light"/>
                <w:b w:val="0"/>
                <w:spacing w:val="-2"/>
                <w:sz w:val="14"/>
              </w:rPr>
              <w:t>1,421.9</w:t>
            </w:r>
          </w:p>
        </w:tc>
        <w:tc>
          <w:tcPr>
            <w:tcW w:w="928" w:type="dxa"/>
            <w:tcBorders>
              <w:bottom w:val="single" w:sz="2" w:space="0" w:color="939598"/>
            </w:tcBorders>
          </w:tcPr>
          <w:p>
            <w:pPr>
              <w:pStyle w:val="TableParagraph"/>
              <w:spacing w:before="68"/>
              <w:ind w:right="78"/>
              <w:jc w:val="right"/>
              <w:rPr>
                <w:rFonts w:ascii="TT Norms Pro Light"/>
                <w:b w:val="0"/>
                <w:sz w:val="14"/>
              </w:rPr>
            </w:pPr>
            <w:r>
              <w:rPr>
                <w:rFonts w:ascii="TT Norms Pro Light"/>
                <w:b w:val="0"/>
                <w:spacing w:val="-2"/>
                <w:sz w:val="14"/>
              </w:rPr>
              <w:t>1,351.6</w:t>
            </w:r>
          </w:p>
        </w:tc>
        <w:tc>
          <w:tcPr>
            <w:tcW w:w="928" w:type="dxa"/>
            <w:tcBorders>
              <w:bottom w:val="single" w:sz="2" w:space="0" w:color="939598"/>
            </w:tcBorders>
            <w:shd w:val="clear" w:color="auto" w:fill="E6E7E8"/>
          </w:tcPr>
          <w:p>
            <w:pPr>
              <w:pStyle w:val="TableParagraph"/>
              <w:spacing w:before="68"/>
              <w:ind w:right="77"/>
              <w:jc w:val="right"/>
              <w:rPr>
                <w:rFonts w:ascii="TT Norms Pro Light"/>
                <w:b w:val="0"/>
                <w:sz w:val="14"/>
              </w:rPr>
            </w:pPr>
            <w:r>
              <w:rPr>
                <w:rFonts w:ascii="TT Norms Pro Light"/>
                <w:b w:val="0"/>
                <w:spacing w:val="-2"/>
                <w:sz w:val="14"/>
              </w:rPr>
              <w:t>1,327.9</w:t>
            </w:r>
          </w:p>
        </w:tc>
        <w:tc>
          <w:tcPr>
            <w:tcW w:w="928" w:type="dxa"/>
            <w:tcBorders>
              <w:bottom w:val="single" w:sz="2" w:space="0" w:color="939598"/>
            </w:tcBorders>
          </w:tcPr>
          <w:p>
            <w:pPr>
              <w:pStyle w:val="TableParagraph"/>
              <w:spacing w:before="68"/>
              <w:ind w:right="76"/>
              <w:jc w:val="right"/>
              <w:rPr>
                <w:rFonts w:ascii="TT Norms Pro Light"/>
                <w:b w:val="0"/>
                <w:sz w:val="14"/>
              </w:rPr>
            </w:pPr>
            <w:r>
              <w:rPr>
                <w:rFonts w:ascii="TT Norms Pro Light"/>
                <w:b w:val="0"/>
                <w:spacing w:val="-2"/>
                <w:sz w:val="14"/>
              </w:rPr>
              <w:t>1,358.9</w:t>
            </w:r>
          </w:p>
        </w:tc>
        <w:tc>
          <w:tcPr>
            <w:tcW w:w="928" w:type="dxa"/>
            <w:tcBorders>
              <w:bottom w:val="single" w:sz="2" w:space="0" w:color="939598"/>
            </w:tcBorders>
            <w:shd w:val="clear" w:color="auto" w:fill="E6E7E8"/>
          </w:tcPr>
          <w:p>
            <w:pPr>
              <w:pStyle w:val="TableParagraph"/>
              <w:spacing w:before="68"/>
              <w:ind w:right="76"/>
              <w:jc w:val="right"/>
              <w:rPr>
                <w:rFonts w:ascii="TT Norms Pro Light"/>
                <w:b w:val="0"/>
                <w:sz w:val="14"/>
              </w:rPr>
            </w:pPr>
            <w:r>
              <w:rPr>
                <w:rFonts w:ascii="TT Norms Pro Light"/>
                <w:b w:val="0"/>
                <w:spacing w:val="-2"/>
                <w:sz w:val="14"/>
              </w:rPr>
              <w:t>1,373.2</w:t>
            </w:r>
          </w:p>
        </w:tc>
      </w:tr>
      <w:tr>
        <w:trPr>
          <w:trHeight w:val="264" w:hRule="atLeast"/>
        </w:trPr>
        <w:tc>
          <w:tcPr>
            <w:tcW w:w="1559" w:type="dxa"/>
            <w:tcBorders>
              <w:top w:val="single" w:sz="2" w:space="0" w:color="939598"/>
            </w:tcBorders>
            <w:shd w:val="clear" w:color="auto" w:fill="E6E7E8"/>
          </w:tcPr>
          <w:p>
            <w:pPr>
              <w:pStyle w:val="TableParagraph"/>
              <w:spacing w:before="49"/>
              <w:ind w:left="56"/>
              <w:rPr>
                <w:rFonts w:ascii="TT Norms Pro"/>
                <w:sz w:val="14"/>
              </w:rPr>
            </w:pPr>
            <w:r>
              <w:rPr>
                <w:rFonts w:ascii="TT Norms Pro"/>
                <w:spacing w:val="-2"/>
                <w:sz w:val="14"/>
              </w:rPr>
              <w:t>Professional</w:t>
            </w:r>
          </w:p>
        </w:tc>
        <w:tc>
          <w:tcPr>
            <w:tcW w:w="1587" w:type="dxa"/>
            <w:tcBorders>
              <w:top w:val="single" w:sz="2" w:space="0" w:color="939598"/>
            </w:tcBorders>
          </w:tcPr>
          <w:p>
            <w:pPr>
              <w:pStyle w:val="TableParagraph"/>
              <w:spacing w:before="49"/>
              <w:ind w:left="85"/>
              <w:rPr>
                <w:rFonts w:ascii="TT Norms Pro Light"/>
                <w:b w:val="0"/>
                <w:sz w:val="14"/>
              </w:rPr>
            </w:pPr>
            <w:r>
              <w:rPr>
                <w:rFonts w:ascii="TT Norms Pro Light"/>
                <w:b w:val="0"/>
                <w:spacing w:val="-4"/>
                <w:sz w:val="14"/>
              </w:rPr>
              <w:t>Other</w:t>
            </w:r>
          </w:p>
        </w:tc>
        <w:tc>
          <w:tcPr>
            <w:tcW w:w="928" w:type="dxa"/>
            <w:tcBorders>
              <w:top w:val="single" w:sz="2" w:space="0" w:color="939598"/>
            </w:tcBorders>
            <w:shd w:val="clear" w:color="auto" w:fill="E6E7E8"/>
          </w:tcPr>
          <w:p>
            <w:pPr>
              <w:pStyle w:val="TableParagraph"/>
              <w:spacing w:before="49"/>
              <w:ind w:right="81"/>
              <w:jc w:val="right"/>
              <w:rPr>
                <w:rFonts w:ascii="TT Norms Pro Light"/>
                <w:b w:val="0"/>
                <w:sz w:val="14"/>
              </w:rPr>
            </w:pPr>
            <w:r>
              <w:rPr>
                <w:rFonts w:ascii="TT Norms Pro Light"/>
                <w:b w:val="0"/>
                <w:spacing w:val="-2"/>
                <w:sz w:val="14"/>
              </w:rPr>
              <w:t>930.5</w:t>
            </w:r>
          </w:p>
        </w:tc>
        <w:tc>
          <w:tcPr>
            <w:tcW w:w="928" w:type="dxa"/>
            <w:tcBorders>
              <w:top w:val="single" w:sz="2" w:space="0" w:color="939598"/>
            </w:tcBorders>
          </w:tcPr>
          <w:p>
            <w:pPr>
              <w:pStyle w:val="TableParagraph"/>
              <w:spacing w:before="49"/>
              <w:ind w:right="80"/>
              <w:jc w:val="right"/>
              <w:rPr>
                <w:rFonts w:ascii="TT Norms Pro Light"/>
                <w:b w:val="0"/>
                <w:sz w:val="14"/>
              </w:rPr>
            </w:pPr>
            <w:r>
              <w:rPr>
                <w:rFonts w:ascii="TT Norms Pro Light"/>
                <w:b w:val="0"/>
                <w:spacing w:val="-2"/>
                <w:sz w:val="14"/>
              </w:rPr>
              <w:t>916.1</w:t>
            </w:r>
          </w:p>
        </w:tc>
        <w:tc>
          <w:tcPr>
            <w:tcW w:w="928" w:type="dxa"/>
            <w:tcBorders>
              <w:top w:val="single" w:sz="2" w:space="0" w:color="939598"/>
            </w:tcBorders>
            <w:shd w:val="clear" w:color="auto" w:fill="E6E7E8"/>
          </w:tcPr>
          <w:p>
            <w:pPr>
              <w:pStyle w:val="TableParagraph"/>
              <w:spacing w:before="49"/>
              <w:ind w:right="79"/>
              <w:jc w:val="right"/>
              <w:rPr>
                <w:rFonts w:ascii="TT Norms Pro Light"/>
                <w:b w:val="0"/>
                <w:sz w:val="14"/>
              </w:rPr>
            </w:pPr>
            <w:r>
              <w:rPr>
                <w:rFonts w:ascii="TT Norms Pro Light"/>
                <w:b w:val="0"/>
                <w:spacing w:val="-2"/>
                <w:sz w:val="14"/>
              </w:rPr>
              <w:t>875.6</w:t>
            </w:r>
          </w:p>
        </w:tc>
        <w:tc>
          <w:tcPr>
            <w:tcW w:w="928" w:type="dxa"/>
            <w:tcBorders>
              <w:top w:val="single" w:sz="2" w:space="0" w:color="939598"/>
            </w:tcBorders>
          </w:tcPr>
          <w:p>
            <w:pPr>
              <w:pStyle w:val="TableParagraph"/>
              <w:spacing w:before="49"/>
              <w:ind w:right="78"/>
              <w:jc w:val="right"/>
              <w:rPr>
                <w:rFonts w:ascii="TT Norms Pro Light"/>
                <w:b w:val="0"/>
                <w:sz w:val="14"/>
              </w:rPr>
            </w:pPr>
            <w:r>
              <w:rPr>
                <w:rFonts w:ascii="TT Norms Pro Light"/>
                <w:b w:val="0"/>
                <w:spacing w:val="-2"/>
                <w:sz w:val="14"/>
              </w:rPr>
              <w:t>348.1</w:t>
            </w:r>
          </w:p>
        </w:tc>
        <w:tc>
          <w:tcPr>
            <w:tcW w:w="928" w:type="dxa"/>
            <w:tcBorders>
              <w:top w:val="single" w:sz="2" w:space="0" w:color="939598"/>
            </w:tcBorders>
            <w:shd w:val="clear" w:color="auto" w:fill="E6E7E8"/>
          </w:tcPr>
          <w:p>
            <w:pPr>
              <w:pStyle w:val="TableParagraph"/>
              <w:spacing w:before="49"/>
              <w:ind w:right="77"/>
              <w:jc w:val="right"/>
              <w:rPr>
                <w:rFonts w:ascii="TT Norms Pro Light"/>
                <w:b w:val="0"/>
                <w:sz w:val="14"/>
              </w:rPr>
            </w:pPr>
            <w:r>
              <w:rPr>
                <w:rFonts w:ascii="TT Norms Pro Light"/>
                <w:b w:val="0"/>
                <w:spacing w:val="-4"/>
                <w:sz w:val="14"/>
              </w:rPr>
              <w:t>300.6</w:t>
            </w:r>
          </w:p>
        </w:tc>
        <w:tc>
          <w:tcPr>
            <w:tcW w:w="928" w:type="dxa"/>
            <w:tcBorders>
              <w:top w:val="single" w:sz="2" w:space="0" w:color="939598"/>
            </w:tcBorders>
          </w:tcPr>
          <w:p>
            <w:pPr>
              <w:pStyle w:val="TableParagraph"/>
              <w:spacing w:before="49"/>
              <w:ind w:right="76"/>
              <w:jc w:val="right"/>
              <w:rPr>
                <w:rFonts w:ascii="TT Norms Pro Light"/>
                <w:b w:val="0"/>
                <w:sz w:val="14"/>
              </w:rPr>
            </w:pPr>
            <w:r>
              <w:rPr>
                <w:rFonts w:ascii="TT Norms Pro Light"/>
                <w:b w:val="0"/>
                <w:spacing w:val="-2"/>
                <w:sz w:val="14"/>
              </w:rPr>
              <w:t>277.7</w:t>
            </w:r>
          </w:p>
        </w:tc>
        <w:tc>
          <w:tcPr>
            <w:tcW w:w="928" w:type="dxa"/>
            <w:tcBorders>
              <w:top w:val="single" w:sz="2" w:space="0" w:color="939598"/>
            </w:tcBorders>
            <w:shd w:val="clear" w:color="auto" w:fill="E6E7E8"/>
          </w:tcPr>
          <w:p>
            <w:pPr>
              <w:pStyle w:val="TableParagraph"/>
              <w:spacing w:before="49"/>
              <w:ind w:right="80"/>
              <w:jc w:val="right"/>
              <w:rPr>
                <w:rFonts w:ascii="TT Norms Pro Light"/>
                <w:b w:val="0"/>
                <w:sz w:val="14"/>
              </w:rPr>
            </w:pPr>
            <w:r>
              <w:rPr>
                <w:rFonts w:ascii="TT Norms Pro Light"/>
                <w:b w:val="0"/>
                <w:spacing w:val="-2"/>
                <w:sz w:val="14"/>
              </w:rPr>
              <w:t>268.9</w:t>
            </w:r>
          </w:p>
        </w:tc>
      </w:tr>
      <w:tr>
        <w:trPr>
          <w:trHeight w:val="283" w:hRule="atLeast"/>
        </w:trPr>
        <w:tc>
          <w:tcPr>
            <w:tcW w:w="1559" w:type="dxa"/>
            <w:shd w:val="clear" w:color="auto" w:fill="E6E7E8"/>
          </w:tcPr>
          <w:p>
            <w:pPr>
              <w:pStyle w:val="TableParagraph"/>
              <w:rPr>
                <w:rFonts w:ascii="Times New Roman"/>
                <w:sz w:val="14"/>
              </w:rPr>
            </w:pPr>
          </w:p>
        </w:tc>
        <w:tc>
          <w:tcPr>
            <w:tcW w:w="1587" w:type="dxa"/>
          </w:tcPr>
          <w:p>
            <w:pPr>
              <w:pStyle w:val="TableParagraph"/>
              <w:spacing w:before="68"/>
              <w:ind w:left="85"/>
              <w:rPr>
                <w:rFonts w:ascii="TT Norms Pro Light"/>
                <w:b w:val="0"/>
                <w:sz w:val="14"/>
              </w:rPr>
            </w:pPr>
            <w:r>
              <w:rPr>
                <w:rFonts w:ascii="TT Norms Pro Light"/>
                <w:b w:val="0"/>
                <w:sz w:val="14"/>
              </w:rPr>
              <w:t>Research</w:t>
            </w:r>
            <w:r>
              <w:rPr>
                <w:rFonts w:ascii="TT Norms Pro Light"/>
                <w:b w:val="0"/>
                <w:spacing w:val="7"/>
                <w:sz w:val="14"/>
              </w:rPr>
              <w:t> </w:t>
            </w:r>
            <w:r>
              <w:rPr>
                <w:rFonts w:ascii="TT Norms Pro Light"/>
                <w:b w:val="0"/>
                <w:spacing w:val="-4"/>
                <w:sz w:val="14"/>
              </w:rPr>
              <w:t>only</w:t>
            </w:r>
          </w:p>
        </w:tc>
        <w:tc>
          <w:tcPr>
            <w:tcW w:w="928" w:type="dxa"/>
            <w:shd w:val="clear" w:color="auto" w:fill="E6E7E8"/>
          </w:tcPr>
          <w:p>
            <w:pPr>
              <w:pStyle w:val="TableParagraph"/>
              <w:spacing w:before="68"/>
              <w:ind w:right="81"/>
              <w:jc w:val="right"/>
              <w:rPr>
                <w:rFonts w:ascii="TT Norms Pro Light"/>
                <w:b w:val="0"/>
                <w:sz w:val="14"/>
              </w:rPr>
            </w:pPr>
            <w:r>
              <w:rPr>
                <w:rFonts w:ascii="TT Norms Pro Light"/>
                <w:b w:val="0"/>
                <w:spacing w:val="-2"/>
                <w:sz w:val="14"/>
              </w:rPr>
              <w:t>181.1</w:t>
            </w:r>
          </w:p>
        </w:tc>
        <w:tc>
          <w:tcPr>
            <w:tcW w:w="928" w:type="dxa"/>
          </w:tcPr>
          <w:p>
            <w:pPr>
              <w:pStyle w:val="TableParagraph"/>
              <w:spacing w:before="68"/>
              <w:ind w:right="80"/>
              <w:jc w:val="right"/>
              <w:rPr>
                <w:rFonts w:ascii="TT Norms Pro Light"/>
                <w:b w:val="0"/>
                <w:sz w:val="14"/>
              </w:rPr>
            </w:pPr>
            <w:r>
              <w:rPr>
                <w:rFonts w:ascii="TT Norms Pro Light"/>
                <w:b w:val="0"/>
                <w:spacing w:val="-4"/>
                <w:sz w:val="14"/>
              </w:rPr>
              <w:t>185.3</w:t>
            </w:r>
          </w:p>
        </w:tc>
        <w:tc>
          <w:tcPr>
            <w:tcW w:w="928" w:type="dxa"/>
            <w:shd w:val="clear" w:color="auto" w:fill="E6E7E8"/>
          </w:tcPr>
          <w:p>
            <w:pPr>
              <w:pStyle w:val="TableParagraph"/>
              <w:spacing w:before="68"/>
              <w:ind w:right="79"/>
              <w:jc w:val="right"/>
              <w:rPr>
                <w:rFonts w:ascii="TT Norms Pro Light"/>
                <w:b w:val="0"/>
                <w:sz w:val="14"/>
              </w:rPr>
            </w:pPr>
            <w:r>
              <w:rPr>
                <w:rFonts w:ascii="TT Norms Pro Light"/>
                <w:b w:val="0"/>
                <w:spacing w:val="-2"/>
                <w:sz w:val="14"/>
              </w:rPr>
              <w:t>163.3</w:t>
            </w:r>
          </w:p>
        </w:tc>
        <w:tc>
          <w:tcPr>
            <w:tcW w:w="928" w:type="dxa"/>
          </w:tcPr>
          <w:p>
            <w:pPr>
              <w:pStyle w:val="TableParagraph"/>
              <w:spacing w:before="68"/>
              <w:ind w:right="78"/>
              <w:jc w:val="right"/>
              <w:rPr>
                <w:rFonts w:ascii="TT Norms Pro Light"/>
                <w:b w:val="0"/>
                <w:sz w:val="14"/>
              </w:rPr>
            </w:pPr>
            <w:r>
              <w:rPr>
                <w:rFonts w:ascii="TT Norms Pro Light"/>
                <w:b w:val="0"/>
                <w:spacing w:val="-2"/>
                <w:sz w:val="14"/>
              </w:rPr>
              <w:t>163.3</w:t>
            </w:r>
          </w:p>
        </w:tc>
        <w:tc>
          <w:tcPr>
            <w:tcW w:w="928" w:type="dxa"/>
            <w:shd w:val="clear" w:color="auto" w:fill="E6E7E8"/>
          </w:tcPr>
          <w:p>
            <w:pPr>
              <w:pStyle w:val="TableParagraph"/>
              <w:spacing w:before="68"/>
              <w:ind w:right="82"/>
              <w:jc w:val="right"/>
              <w:rPr>
                <w:rFonts w:ascii="TT Norms Pro Light"/>
                <w:b w:val="0"/>
                <w:sz w:val="14"/>
              </w:rPr>
            </w:pPr>
            <w:r>
              <w:rPr>
                <w:rFonts w:ascii="TT Norms Pro Light"/>
                <w:b w:val="0"/>
                <w:spacing w:val="-2"/>
                <w:sz w:val="14"/>
              </w:rPr>
              <w:t>151.9</w:t>
            </w:r>
          </w:p>
        </w:tc>
        <w:tc>
          <w:tcPr>
            <w:tcW w:w="928" w:type="dxa"/>
          </w:tcPr>
          <w:p>
            <w:pPr>
              <w:pStyle w:val="TableParagraph"/>
              <w:spacing w:before="68"/>
              <w:ind w:right="76"/>
              <w:jc w:val="right"/>
              <w:rPr>
                <w:rFonts w:ascii="TT Norms Pro Light"/>
                <w:b w:val="0"/>
                <w:sz w:val="14"/>
              </w:rPr>
            </w:pPr>
            <w:r>
              <w:rPr>
                <w:rFonts w:ascii="TT Norms Pro Light"/>
                <w:b w:val="0"/>
                <w:spacing w:val="-4"/>
                <w:sz w:val="14"/>
              </w:rPr>
              <w:t>143.6</w:t>
            </w:r>
          </w:p>
        </w:tc>
        <w:tc>
          <w:tcPr>
            <w:tcW w:w="928" w:type="dxa"/>
            <w:shd w:val="clear" w:color="auto" w:fill="E6E7E8"/>
          </w:tcPr>
          <w:p>
            <w:pPr>
              <w:pStyle w:val="TableParagraph"/>
              <w:spacing w:before="68"/>
              <w:ind w:right="77"/>
              <w:jc w:val="right"/>
              <w:rPr>
                <w:rFonts w:ascii="TT Norms Pro Light"/>
                <w:b w:val="0"/>
                <w:sz w:val="14"/>
              </w:rPr>
            </w:pPr>
            <w:r>
              <w:rPr>
                <w:rFonts w:ascii="TT Norms Pro Light"/>
                <w:b w:val="0"/>
                <w:spacing w:val="-2"/>
                <w:sz w:val="14"/>
              </w:rPr>
              <w:t>145.2</w:t>
            </w:r>
          </w:p>
        </w:tc>
      </w:tr>
      <w:tr>
        <w:trPr>
          <w:trHeight w:val="283" w:hRule="atLeast"/>
        </w:trPr>
        <w:tc>
          <w:tcPr>
            <w:tcW w:w="1559" w:type="dxa"/>
            <w:shd w:val="clear" w:color="auto" w:fill="E6E7E8"/>
          </w:tcPr>
          <w:p>
            <w:pPr>
              <w:pStyle w:val="TableParagraph"/>
              <w:rPr>
                <w:rFonts w:ascii="Times New Roman"/>
                <w:sz w:val="14"/>
              </w:rPr>
            </w:pPr>
          </w:p>
        </w:tc>
        <w:tc>
          <w:tcPr>
            <w:tcW w:w="1587" w:type="dxa"/>
          </w:tcPr>
          <w:p>
            <w:pPr>
              <w:pStyle w:val="TableParagraph"/>
              <w:spacing w:before="68"/>
              <w:ind w:left="85"/>
              <w:rPr>
                <w:rFonts w:ascii="TT Norms Pro Light"/>
                <w:b w:val="0"/>
                <w:sz w:val="14"/>
              </w:rPr>
            </w:pPr>
            <w:r>
              <w:rPr>
                <w:rFonts w:ascii="TT Norms Pro Light"/>
                <w:b w:val="0"/>
                <w:sz w:val="14"/>
              </w:rPr>
              <w:t>Sub-</w:t>
            </w:r>
            <w:r>
              <w:rPr>
                <w:rFonts w:ascii="TT Norms Pro Light"/>
                <w:b w:val="0"/>
                <w:spacing w:val="-4"/>
                <w:sz w:val="14"/>
              </w:rPr>
              <w:t>total</w:t>
            </w:r>
          </w:p>
        </w:tc>
        <w:tc>
          <w:tcPr>
            <w:tcW w:w="928" w:type="dxa"/>
            <w:shd w:val="clear" w:color="auto" w:fill="E6E7E8"/>
          </w:tcPr>
          <w:p>
            <w:pPr>
              <w:pStyle w:val="TableParagraph"/>
              <w:spacing w:before="68"/>
              <w:ind w:right="81"/>
              <w:jc w:val="right"/>
              <w:rPr>
                <w:rFonts w:ascii="TT Norms Pro Light"/>
                <w:b w:val="0"/>
                <w:sz w:val="14"/>
              </w:rPr>
            </w:pPr>
            <w:r>
              <w:rPr>
                <w:rFonts w:ascii="TT Norms Pro Light"/>
                <w:b w:val="0"/>
                <w:spacing w:val="-2"/>
                <w:sz w:val="14"/>
              </w:rPr>
              <w:t>1,111.7</w:t>
            </w:r>
          </w:p>
        </w:tc>
        <w:tc>
          <w:tcPr>
            <w:tcW w:w="928" w:type="dxa"/>
          </w:tcPr>
          <w:p>
            <w:pPr>
              <w:pStyle w:val="TableParagraph"/>
              <w:spacing w:before="68"/>
              <w:ind w:right="75"/>
              <w:jc w:val="right"/>
              <w:rPr>
                <w:rFonts w:ascii="TT Norms Pro Light"/>
                <w:b w:val="0"/>
                <w:sz w:val="14"/>
              </w:rPr>
            </w:pPr>
            <w:r>
              <w:rPr>
                <w:rFonts w:ascii="TT Norms Pro Light"/>
                <w:b w:val="0"/>
                <w:spacing w:val="-2"/>
                <w:sz w:val="14"/>
              </w:rPr>
              <w:t>1,101.5</w:t>
            </w:r>
          </w:p>
        </w:tc>
        <w:tc>
          <w:tcPr>
            <w:tcW w:w="928" w:type="dxa"/>
            <w:shd w:val="clear" w:color="auto" w:fill="E6E7E8"/>
          </w:tcPr>
          <w:p>
            <w:pPr>
              <w:pStyle w:val="TableParagraph"/>
              <w:spacing w:before="68"/>
              <w:ind w:right="84"/>
              <w:jc w:val="right"/>
              <w:rPr>
                <w:rFonts w:ascii="TT Norms Pro Light"/>
                <w:b w:val="0"/>
                <w:sz w:val="14"/>
              </w:rPr>
            </w:pPr>
            <w:r>
              <w:rPr>
                <w:rFonts w:ascii="TT Norms Pro Light"/>
                <w:b w:val="0"/>
                <w:spacing w:val="-2"/>
                <w:sz w:val="14"/>
              </w:rPr>
              <w:t>1,038.9</w:t>
            </w:r>
          </w:p>
        </w:tc>
        <w:tc>
          <w:tcPr>
            <w:tcW w:w="928" w:type="dxa"/>
          </w:tcPr>
          <w:p>
            <w:pPr>
              <w:pStyle w:val="TableParagraph"/>
              <w:spacing w:before="68"/>
              <w:ind w:right="78"/>
              <w:jc w:val="right"/>
              <w:rPr>
                <w:rFonts w:ascii="TT Norms Pro Light"/>
                <w:b w:val="0"/>
                <w:sz w:val="14"/>
              </w:rPr>
            </w:pPr>
            <w:r>
              <w:rPr>
                <w:rFonts w:ascii="TT Norms Pro Light"/>
                <w:b w:val="0"/>
                <w:spacing w:val="-2"/>
                <w:sz w:val="14"/>
              </w:rPr>
              <w:t>511.4</w:t>
            </w:r>
          </w:p>
        </w:tc>
        <w:tc>
          <w:tcPr>
            <w:tcW w:w="928" w:type="dxa"/>
            <w:shd w:val="clear" w:color="auto" w:fill="E6E7E8"/>
          </w:tcPr>
          <w:p>
            <w:pPr>
              <w:pStyle w:val="TableParagraph"/>
              <w:spacing w:before="68"/>
              <w:ind w:right="77"/>
              <w:jc w:val="right"/>
              <w:rPr>
                <w:rFonts w:ascii="TT Norms Pro Light"/>
                <w:b w:val="0"/>
                <w:sz w:val="14"/>
              </w:rPr>
            </w:pPr>
            <w:r>
              <w:rPr>
                <w:rFonts w:ascii="TT Norms Pro Light"/>
                <w:b w:val="0"/>
                <w:spacing w:val="-2"/>
                <w:sz w:val="14"/>
              </w:rPr>
              <w:t>452.5</w:t>
            </w:r>
          </w:p>
        </w:tc>
        <w:tc>
          <w:tcPr>
            <w:tcW w:w="928" w:type="dxa"/>
          </w:tcPr>
          <w:p>
            <w:pPr>
              <w:pStyle w:val="TableParagraph"/>
              <w:spacing w:before="68"/>
              <w:ind w:right="76"/>
              <w:jc w:val="right"/>
              <w:rPr>
                <w:rFonts w:ascii="TT Norms Pro Light"/>
                <w:b w:val="0"/>
                <w:sz w:val="14"/>
              </w:rPr>
            </w:pPr>
            <w:r>
              <w:rPr>
                <w:rFonts w:ascii="TT Norms Pro Light"/>
                <w:b w:val="0"/>
                <w:spacing w:val="-2"/>
                <w:sz w:val="14"/>
              </w:rPr>
              <w:t>421.2</w:t>
            </w:r>
          </w:p>
        </w:tc>
        <w:tc>
          <w:tcPr>
            <w:tcW w:w="928" w:type="dxa"/>
            <w:shd w:val="clear" w:color="auto" w:fill="E6E7E8"/>
          </w:tcPr>
          <w:p>
            <w:pPr>
              <w:pStyle w:val="TableParagraph"/>
              <w:spacing w:before="68"/>
              <w:ind w:right="76"/>
              <w:jc w:val="right"/>
              <w:rPr>
                <w:rFonts w:ascii="TT Norms Pro Light"/>
                <w:b w:val="0"/>
                <w:sz w:val="14"/>
              </w:rPr>
            </w:pPr>
            <w:r>
              <w:rPr>
                <w:rFonts w:ascii="TT Norms Pro Light"/>
                <w:b w:val="0"/>
                <w:spacing w:val="-4"/>
                <w:sz w:val="14"/>
              </w:rPr>
              <w:t>414.1</w:t>
            </w:r>
          </w:p>
        </w:tc>
      </w:tr>
      <w:tr>
        <w:trPr>
          <w:trHeight w:val="326" w:hRule="atLeast"/>
        </w:trPr>
        <w:tc>
          <w:tcPr>
            <w:tcW w:w="1559" w:type="dxa"/>
            <w:tcBorders>
              <w:bottom w:val="single" w:sz="2" w:space="0" w:color="000000"/>
            </w:tcBorders>
            <w:shd w:val="clear" w:color="auto" w:fill="E6E7E8"/>
          </w:tcPr>
          <w:p>
            <w:pPr>
              <w:pStyle w:val="TableParagraph"/>
              <w:spacing w:before="68"/>
              <w:ind w:left="56"/>
              <w:rPr>
                <w:rFonts w:ascii="TT Norms Pro"/>
                <w:sz w:val="14"/>
              </w:rPr>
            </w:pPr>
            <w:r>
              <w:rPr>
                <w:rFonts w:ascii="TT Norms Pro"/>
                <w:spacing w:val="-2"/>
                <w:sz w:val="14"/>
              </w:rPr>
              <w:t>Total</w:t>
            </w:r>
          </w:p>
        </w:tc>
        <w:tc>
          <w:tcPr>
            <w:tcW w:w="1587" w:type="dxa"/>
            <w:tcBorders>
              <w:bottom w:val="single" w:sz="2" w:space="0" w:color="000000"/>
            </w:tcBorders>
          </w:tcPr>
          <w:p>
            <w:pPr>
              <w:pStyle w:val="TableParagraph"/>
              <w:rPr>
                <w:rFonts w:ascii="Times New Roman"/>
                <w:sz w:val="14"/>
              </w:rPr>
            </w:pPr>
          </w:p>
        </w:tc>
        <w:tc>
          <w:tcPr>
            <w:tcW w:w="928" w:type="dxa"/>
            <w:tcBorders>
              <w:bottom w:val="single" w:sz="2" w:space="0" w:color="000000"/>
            </w:tcBorders>
            <w:shd w:val="clear" w:color="auto" w:fill="E6E7E8"/>
          </w:tcPr>
          <w:p>
            <w:pPr>
              <w:pStyle w:val="TableParagraph"/>
              <w:spacing w:before="68"/>
              <w:ind w:right="81"/>
              <w:jc w:val="right"/>
              <w:rPr>
                <w:rFonts w:ascii="TT Norms Pro Light"/>
                <w:b w:val="0"/>
                <w:sz w:val="14"/>
              </w:rPr>
            </w:pPr>
            <w:r>
              <w:rPr>
                <w:rFonts w:ascii="TT Norms Pro Light"/>
                <w:b w:val="0"/>
                <w:spacing w:val="-2"/>
                <w:sz w:val="14"/>
              </w:rPr>
              <w:t>2,626.5</w:t>
            </w:r>
          </w:p>
        </w:tc>
        <w:tc>
          <w:tcPr>
            <w:tcW w:w="928" w:type="dxa"/>
            <w:tcBorders>
              <w:bottom w:val="single" w:sz="2" w:space="0" w:color="000000"/>
            </w:tcBorders>
          </w:tcPr>
          <w:p>
            <w:pPr>
              <w:pStyle w:val="TableParagraph"/>
              <w:spacing w:before="68"/>
              <w:ind w:right="80"/>
              <w:jc w:val="right"/>
              <w:rPr>
                <w:rFonts w:ascii="TT Norms Pro Light"/>
                <w:b w:val="0"/>
                <w:sz w:val="14"/>
              </w:rPr>
            </w:pPr>
            <w:r>
              <w:rPr>
                <w:rFonts w:ascii="TT Norms Pro Light"/>
                <w:b w:val="0"/>
                <w:spacing w:val="-2"/>
                <w:sz w:val="14"/>
              </w:rPr>
              <w:t>2,573.5</w:t>
            </w:r>
          </w:p>
        </w:tc>
        <w:tc>
          <w:tcPr>
            <w:tcW w:w="928" w:type="dxa"/>
            <w:tcBorders>
              <w:bottom w:val="single" w:sz="2" w:space="0" w:color="000000"/>
            </w:tcBorders>
            <w:shd w:val="clear" w:color="auto" w:fill="E6E7E8"/>
          </w:tcPr>
          <w:p>
            <w:pPr>
              <w:pStyle w:val="TableParagraph"/>
              <w:spacing w:before="68"/>
              <w:ind w:right="75"/>
              <w:jc w:val="right"/>
              <w:rPr>
                <w:rFonts w:ascii="TT Norms Pro Light"/>
                <w:b w:val="0"/>
                <w:sz w:val="14"/>
              </w:rPr>
            </w:pPr>
            <w:r>
              <w:rPr>
                <w:rFonts w:ascii="TT Norms Pro Light"/>
                <w:b w:val="0"/>
                <w:spacing w:val="-2"/>
                <w:sz w:val="14"/>
              </w:rPr>
              <w:t>2,460.8</w:t>
            </w:r>
          </w:p>
        </w:tc>
        <w:tc>
          <w:tcPr>
            <w:tcW w:w="928" w:type="dxa"/>
            <w:tcBorders>
              <w:bottom w:val="single" w:sz="2" w:space="0" w:color="000000"/>
            </w:tcBorders>
          </w:tcPr>
          <w:p>
            <w:pPr>
              <w:pStyle w:val="TableParagraph"/>
              <w:spacing w:before="68"/>
              <w:ind w:right="77"/>
              <w:jc w:val="right"/>
              <w:rPr>
                <w:rFonts w:ascii="TT Norms Pro Light"/>
                <w:b w:val="0"/>
                <w:sz w:val="14"/>
              </w:rPr>
            </w:pPr>
            <w:r>
              <w:rPr>
                <w:rFonts w:ascii="TT Norms Pro Light"/>
                <w:b w:val="0"/>
                <w:spacing w:val="-2"/>
                <w:sz w:val="14"/>
              </w:rPr>
              <w:t>1,863.0</w:t>
            </w:r>
          </w:p>
        </w:tc>
        <w:tc>
          <w:tcPr>
            <w:tcW w:w="928" w:type="dxa"/>
            <w:tcBorders>
              <w:bottom w:val="single" w:sz="2" w:space="0" w:color="000000"/>
            </w:tcBorders>
            <w:shd w:val="clear" w:color="auto" w:fill="E6E7E8"/>
          </w:tcPr>
          <w:p>
            <w:pPr>
              <w:pStyle w:val="TableParagraph"/>
              <w:spacing w:before="68"/>
              <w:ind w:right="77"/>
              <w:jc w:val="right"/>
              <w:rPr>
                <w:rFonts w:ascii="TT Norms Pro Light"/>
                <w:b w:val="0"/>
                <w:sz w:val="14"/>
              </w:rPr>
            </w:pPr>
            <w:r>
              <w:rPr>
                <w:rFonts w:ascii="TT Norms Pro Light"/>
                <w:b w:val="0"/>
                <w:spacing w:val="-2"/>
                <w:sz w:val="14"/>
              </w:rPr>
              <w:t>1,780.4</w:t>
            </w:r>
          </w:p>
        </w:tc>
        <w:tc>
          <w:tcPr>
            <w:tcW w:w="928" w:type="dxa"/>
            <w:tcBorders>
              <w:bottom w:val="single" w:sz="2" w:space="0" w:color="000000"/>
            </w:tcBorders>
          </w:tcPr>
          <w:p>
            <w:pPr>
              <w:pStyle w:val="TableParagraph"/>
              <w:spacing w:before="68"/>
              <w:ind w:right="77"/>
              <w:jc w:val="right"/>
              <w:rPr>
                <w:rFonts w:ascii="TT Norms Pro Light"/>
                <w:b w:val="0"/>
                <w:sz w:val="14"/>
              </w:rPr>
            </w:pPr>
            <w:r>
              <w:rPr>
                <w:rFonts w:ascii="TT Norms Pro Light"/>
                <w:b w:val="0"/>
                <w:spacing w:val="-2"/>
                <w:sz w:val="14"/>
              </w:rPr>
              <w:t>1,780.1</w:t>
            </w:r>
          </w:p>
        </w:tc>
        <w:tc>
          <w:tcPr>
            <w:tcW w:w="928" w:type="dxa"/>
            <w:tcBorders>
              <w:bottom w:val="single" w:sz="2" w:space="0" w:color="000000"/>
            </w:tcBorders>
            <w:shd w:val="clear" w:color="auto" w:fill="E6E7E8"/>
          </w:tcPr>
          <w:p>
            <w:pPr>
              <w:pStyle w:val="TableParagraph"/>
              <w:spacing w:before="68"/>
              <w:ind w:right="76"/>
              <w:jc w:val="right"/>
              <w:rPr>
                <w:rFonts w:ascii="TT Norms Pro Light"/>
                <w:b w:val="0"/>
                <w:sz w:val="14"/>
              </w:rPr>
            </w:pPr>
            <w:r>
              <w:rPr>
                <w:rFonts w:ascii="TT Norms Pro Light"/>
                <w:b w:val="0"/>
                <w:spacing w:val="-2"/>
                <w:sz w:val="14"/>
              </w:rPr>
              <w:t>1,787.3</w:t>
            </w:r>
          </w:p>
        </w:tc>
      </w:tr>
      <w:tr>
        <w:trPr>
          <w:trHeight w:val="685" w:hRule="atLeast"/>
        </w:trPr>
        <w:tc>
          <w:tcPr>
            <w:tcW w:w="1559" w:type="dxa"/>
            <w:tcBorders>
              <w:top w:val="single" w:sz="2" w:space="0" w:color="000000"/>
              <w:bottom w:val="single" w:sz="2" w:space="0" w:color="939598"/>
            </w:tcBorders>
            <w:shd w:val="clear" w:color="auto" w:fill="E6E7E8"/>
          </w:tcPr>
          <w:p>
            <w:pPr>
              <w:pStyle w:val="TableParagraph"/>
              <w:spacing w:line="264" w:lineRule="auto" w:before="94"/>
              <w:ind w:left="56"/>
              <w:rPr>
                <w:rFonts w:ascii="TT Norms Pro"/>
                <w:b/>
                <w:sz w:val="14"/>
              </w:rPr>
            </w:pPr>
            <w:r>
              <w:rPr>
                <w:rFonts w:ascii="TT Norms Pro"/>
                <w:b/>
                <w:spacing w:val="-2"/>
                <w:sz w:val="14"/>
              </w:rPr>
              <w:t>NON-ACADEMIC</w:t>
            </w:r>
            <w:r>
              <w:rPr>
                <w:rFonts w:ascii="TT Norms Pro"/>
                <w:b/>
                <w:spacing w:val="40"/>
                <w:sz w:val="14"/>
              </w:rPr>
              <w:t> </w:t>
            </w:r>
            <w:r>
              <w:rPr>
                <w:rFonts w:ascii="TT Norms Pro"/>
                <w:b/>
                <w:spacing w:val="-2"/>
                <w:sz w:val="14"/>
              </w:rPr>
              <w:t>ORGANISATIONAL</w:t>
            </w:r>
            <w:r>
              <w:rPr>
                <w:rFonts w:ascii="TT Norms Pro"/>
                <w:b/>
                <w:spacing w:val="40"/>
                <w:sz w:val="14"/>
              </w:rPr>
              <w:t> </w:t>
            </w:r>
            <w:r>
              <w:rPr>
                <w:rFonts w:ascii="TT Norms Pro"/>
                <w:b/>
                <w:spacing w:val="-4"/>
                <w:sz w:val="14"/>
              </w:rPr>
              <w:t>UNIT</w:t>
            </w:r>
          </w:p>
        </w:tc>
        <w:tc>
          <w:tcPr>
            <w:tcW w:w="1587" w:type="dxa"/>
            <w:tcBorders>
              <w:top w:val="single" w:sz="2" w:space="0" w:color="000000"/>
              <w:bottom w:val="single" w:sz="2" w:space="0" w:color="939598"/>
            </w:tcBorders>
          </w:tcPr>
          <w:p>
            <w:pPr>
              <w:pStyle w:val="TableParagraph"/>
              <w:rPr>
                <w:rFonts w:ascii="Times New Roman"/>
                <w:sz w:val="14"/>
              </w:rPr>
            </w:pPr>
          </w:p>
        </w:tc>
        <w:tc>
          <w:tcPr>
            <w:tcW w:w="928" w:type="dxa"/>
            <w:tcBorders>
              <w:top w:val="single" w:sz="2" w:space="0" w:color="000000"/>
              <w:bottom w:val="single" w:sz="2" w:space="0" w:color="939598"/>
            </w:tcBorders>
            <w:shd w:val="clear" w:color="auto" w:fill="E6E7E8"/>
          </w:tcPr>
          <w:p>
            <w:pPr>
              <w:pStyle w:val="TableParagraph"/>
              <w:rPr>
                <w:rFonts w:ascii="Times New Roman"/>
                <w:sz w:val="14"/>
              </w:rPr>
            </w:pPr>
          </w:p>
        </w:tc>
        <w:tc>
          <w:tcPr>
            <w:tcW w:w="928" w:type="dxa"/>
            <w:tcBorders>
              <w:top w:val="single" w:sz="2" w:space="0" w:color="000000"/>
              <w:bottom w:val="single" w:sz="2" w:space="0" w:color="939598"/>
            </w:tcBorders>
          </w:tcPr>
          <w:p>
            <w:pPr>
              <w:pStyle w:val="TableParagraph"/>
              <w:rPr>
                <w:rFonts w:ascii="Times New Roman"/>
                <w:sz w:val="14"/>
              </w:rPr>
            </w:pPr>
          </w:p>
        </w:tc>
        <w:tc>
          <w:tcPr>
            <w:tcW w:w="928" w:type="dxa"/>
            <w:tcBorders>
              <w:top w:val="single" w:sz="2" w:space="0" w:color="000000"/>
              <w:bottom w:val="single" w:sz="2" w:space="0" w:color="939598"/>
            </w:tcBorders>
            <w:shd w:val="clear" w:color="auto" w:fill="E6E7E8"/>
          </w:tcPr>
          <w:p>
            <w:pPr>
              <w:pStyle w:val="TableParagraph"/>
              <w:rPr>
                <w:rFonts w:ascii="Times New Roman"/>
                <w:sz w:val="14"/>
              </w:rPr>
            </w:pPr>
          </w:p>
        </w:tc>
        <w:tc>
          <w:tcPr>
            <w:tcW w:w="928" w:type="dxa"/>
            <w:tcBorders>
              <w:top w:val="single" w:sz="2" w:space="0" w:color="000000"/>
              <w:bottom w:val="single" w:sz="2" w:space="0" w:color="939598"/>
            </w:tcBorders>
          </w:tcPr>
          <w:p>
            <w:pPr>
              <w:pStyle w:val="TableParagraph"/>
              <w:rPr>
                <w:rFonts w:ascii="Times New Roman"/>
                <w:sz w:val="14"/>
              </w:rPr>
            </w:pPr>
          </w:p>
        </w:tc>
        <w:tc>
          <w:tcPr>
            <w:tcW w:w="928" w:type="dxa"/>
            <w:tcBorders>
              <w:top w:val="single" w:sz="2" w:space="0" w:color="000000"/>
              <w:bottom w:val="single" w:sz="2" w:space="0" w:color="939598"/>
            </w:tcBorders>
            <w:shd w:val="clear" w:color="auto" w:fill="E6E7E8"/>
          </w:tcPr>
          <w:p>
            <w:pPr>
              <w:pStyle w:val="TableParagraph"/>
              <w:rPr>
                <w:rFonts w:ascii="Times New Roman"/>
                <w:sz w:val="14"/>
              </w:rPr>
            </w:pPr>
          </w:p>
        </w:tc>
        <w:tc>
          <w:tcPr>
            <w:tcW w:w="928" w:type="dxa"/>
            <w:tcBorders>
              <w:top w:val="single" w:sz="2" w:space="0" w:color="000000"/>
              <w:bottom w:val="single" w:sz="2" w:space="0" w:color="939598"/>
            </w:tcBorders>
          </w:tcPr>
          <w:p>
            <w:pPr>
              <w:pStyle w:val="TableParagraph"/>
              <w:rPr>
                <w:rFonts w:ascii="Times New Roman"/>
                <w:sz w:val="14"/>
              </w:rPr>
            </w:pPr>
          </w:p>
        </w:tc>
        <w:tc>
          <w:tcPr>
            <w:tcW w:w="928" w:type="dxa"/>
            <w:tcBorders>
              <w:top w:val="single" w:sz="2" w:space="0" w:color="000000"/>
              <w:bottom w:val="single" w:sz="2" w:space="0" w:color="939598"/>
            </w:tcBorders>
            <w:shd w:val="clear" w:color="auto" w:fill="E6E7E8"/>
          </w:tcPr>
          <w:p>
            <w:pPr>
              <w:pStyle w:val="TableParagraph"/>
              <w:rPr>
                <w:rFonts w:ascii="Times New Roman"/>
                <w:sz w:val="14"/>
              </w:rPr>
            </w:pPr>
          </w:p>
        </w:tc>
      </w:tr>
      <w:tr>
        <w:trPr>
          <w:trHeight w:val="264" w:hRule="atLeast"/>
        </w:trPr>
        <w:tc>
          <w:tcPr>
            <w:tcW w:w="1559" w:type="dxa"/>
            <w:tcBorders>
              <w:top w:val="single" w:sz="2" w:space="0" w:color="939598"/>
            </w:tcBorders>
            <w:shd w:val="clear" w:color="auto" w:fill="E6E7E8"/>
          </w:tcPr>
          <w:p>
            <w:pPr>
              <w:pStyle w:val="TableParagraph"/>
              <w:spacing w:before="49"/>
              <w:ind w:left="56"/>
              <w:rPr>
                <w:rFonts w:ascii="TT Norms Pro"/>
                <w:sz w:val="14"/>
              </w:rPr>
            </w:pPr>
            <w:r>
              <w:rPr>
                <w:rFonts w:ascii="TT Norms Pro"/>
                <w:spacing w:val="-2"/>
                <w:sz w:val="14"/>
              </w:rPr>
              <w:t>Academic</w:t>
            </w:r>
          </w:p>
        </w:tc>
        <w:tc>
          <w:tcPr>
            <w:tcW w:w="1587" w:type="dxa"/>
            <w:tcBorders>
              <w:top w:val="single" w:sz="2" w:space="0" w:color="939598"/>
            </w:tcBorders>
          </w:tcPr>
          <w:p>
            <w:pPr>
              <w:pStyle w:val="TableParagraph"/>
              <w:spacing w:before="49"/>
              <w:ind w:left="85"/>
              <w:rPr>
                <w:rFonts w:ascii="TT Norms Pro Light"/>
                <w:b w:val="0"/>
                <w:sz w:val="14"/>
              </w:rPr>
            </w:pPr>
            <w:r>
              <w:rPr>
                <w:rFonts w:ascii="TT Norms Pro Light"/>
                <w:b w:val="0"/>
                <w:spacing w:val="-4"/>
                <w:sz w:val="14"/>
              </w:rPr>
              <w:t>Other</w:t>
            </w:r>
          </w:p>
        </w:tc>
        <w:tc>
          <w:tcPr>
            <w:tcW w:w="928" w:type="dxa"/>
            <w:tcBorders>
              <w:top w:val="single" w:sz="2" w:space="0" w:color="939598"/>
            </w:tcBorders>
            <w:shd w:val="clear" w:color="auto" w:fill="E6E7E8"/>
          </w:tcPr>
          <w:p>
            <w:pPr>
              <w:pStyle w:val="TableParagraph"/>
              <w:spacing w:before="49"/>
              <w:ind w:right="81"/>
              <w:jc w:val="right"/>
              <w:rPr>
                <w:rFonts w:ascii="TT Norms Pro Light"/>
                <w:b w:val="0"/>
                <w:sz w:val="14"/>
              </w:rPr>
            </w:pPr>
            <w:r>
              <w:rPr>
                <w:rFonts w:ascii="TT Norms Pro Light"/>
                <w:b w:val="0"/>
                <w:spacing w:val="-4"/>
                <w:sz w:val="14"/>
              </w:rPr>
              <w:t>13.2</w:t>
            </w:r>
          </w:p>
        </w:tc>
        <w:tc>
          <w:tcPr>
            <w:tcW w:w="928" w:type="dxa"/>
            <w:tcBorders>
              <w:top w:val="single" w:sz="2" w:space="0" w:color="939598"/>
            </w:tcBorders>
          </w:tcPr>
          <w:p>
            <w:pPr>
              <w:pStyle w:val="TableParagraph"/>
              <w:spacing w:before="49"/>
              <w:ind w:right="80"/>
              <w:jc w:val="right"/>
              <w:rPr>
                <w:rFonts w:ascii="TT Norms Pro Light"/>
                <w:b w:val="0"/>
                <w:sz w:val="14"/>
              </w:rPr>
            </w:pPr>
            <w:r>
              <w:rPr>
                <w:rFonts w:ascii="TT Norms Pro Light"/>
                <w:b w:val="0"/>
                <w:spacing w:val="-4"/>
                <w:sz w:val="14"/>
              </w:rPr>
              <w:t>15.6</w:t>
            </w:r>
          </w:p>
        </w:tc>
        <w:tc>
          <w:tcPr>
            <w:tcW w:w="928" w:type="dxa"/>
            <w:tcBorders>
              <w:top w:val="single" w:sz="2" w:space="0" w:color="939598"/>
            </w:tcBorders>
            <w:shd w:val="clear" w:color="auto" w:fill="E6E7E8"/>
          </w:tcPr>
          <w:p>
            <w:pPr>
              <w:pStyle w:val="TableParagraph"/>
              <w:spacing w:before="49"/>
              <w:ind w:right="79"/>
              <w:jc w:val="right"/>
              <w:rPr>
                <w:rFonts w:ascii="TT Norms Pro Light"/>
                <w:b w:val="0"/>
                <w:sz w:val="14"/>
              </w:rPr>
            </w:pPr>
            <w:r>
              <w:rPr>
                <w:rFonts w:ascii="TT Norms Pro Light"/>
                <w:b w:val="0"/>
                <w:spacing w:val="-4"/>
                <w:sz w:val="14"/>
              </w:rPr>
              <w:t>12.2</w:t>
            </w:r>
          </w:p>
        </w:tc>
        <w:tc>
          <w:tcPr>
            <w:tcW w:w="928" w:type="dxa"/>
            <w:tcBorders>
              <w:top w:val="single" w:sz="2" w:space="0" w:color="939598"/>
            </w:tcBorders>
          </w:tcPr>
          <w:p>
            <w:pPr>
              <w:pStyle w:val="TableParagraph"/>
              <w:spacing w:before="49"/>
              <w:ind w:right="78"/>
              <w:jc w:val="right"/>
              <w:rPr>
                <w:rFonts w:ascii="TT Norms Pro Light"/>
                <w:b w:val="0"/>
                <w:sz w:val="14"/>
              </w:rPr>
            </w:pPr>
            <w:r>
              <w:rPr>
                <w:rFonts w:ascii="TT Norms Pro Light"/>
                <w:b w:val="0"/>
                <w:spacing w:val="-4"/>
                <w:sz w:val="14"/>
              </w:rPr>
              <w:t>12.3</w:t>
            </w:r>
          </w:p>
        </w:tc>
        <w:tc>
          <w:tcPr>
            <w:tcW w:w="928" w:type="dxa"/>
            <w:tcBorders>
              <w:top w:val="single" w:sz="2" w:space="0" w:color="939598"/>
            </w:tcBorders>
            <w:shd w:val="clear" w:color="auto" w:fill="E6E7E8"/>
          </w:tcPr>
          <w:p>
            <w:pPr>
              <w:pStyle w:val="TableParagraph"/>
              <w:spacing w:before="49"/>
              <w:ind w:right="77"/>
              <w:jc w:val="right"/>
              <w:rPr>
                <w:rFonts w:ascii="TT Norms Pro Light"/>
                <w:b w:val="0"/>
                <w:sz w:val="14"/>
              </w:rPr>
            </w:pPr>
            <w:r>
              <w:rPr>
                <w:rFonts w:ascii="TT Norms Pro Light"/>
                <w:b w:val="0"/>
                <w:spacing w:val="-4"/>
                <w:sz w:val="14"/>
              </w:rPr>
              <w:t>11.8</w:t>
            </w:r>
          </w:p>
        </w:tc>
        <w:tc>
          <w:tcPr>
            <w:tcW w:w="928" w:type="dxa"/>
            <w:tcBorders>
              <w:top w:val="single" w:sz="2" w:space="0" w:color="939598"/>
            </w:tcBorders>
          </w:tcPr>
          <w:p>
            <w:pPr>
              <w:pStyle w:val="TableParagraph"/>
              <w:spacing w:before="49"/>
              <w:ind w:right="77"/>
              <w:jc w:val="right"/>
              <w:rPr>
                <w:rFonts w:ascii="TT Norms Pro Light"/>
                <w:b w:val="0"/>
                <w:sz w:val="14"/>
              </w:rPr>
            </w:pPr>
            <w:r>
              <w:rPr>
                <w:rFonts w:ascii="TT Norms Pro Light"/>
                <w:b w:val="0"/>
                <w:spacing w:val="-4"/>
                <w:sz w:val="14"/>
              </w:rPr>
              <w:t>10.4</w:t>
            </w:r>
          </w:p>
        </w:tc>
        <w:tc>
          <w:tcPr>
            <w:tcW w:w="928" w:type="dxa"/>
            <w:tcBorders>
              <w:top w:val="single" w:sz="2" w:space="0" w:color="939598"/>
            </w:tcBorders>
            <w:shd w:val="clear" w:color="auto" w:fill="E6E7E8"/>
          </w:tcPr>
          <w:p>
            <w:pPr>
              <w:pStyle w:val="TableParagraph"/>
              <w:spacing w:before="49"/>
              <w:ind w:right="76"/>
              <w:jc w:val="right"/>
              <w:rPr>
                <w:rFonts w:ascii="TT Norms Pro Light"/>
                <w:b w:val="0"/>
                <w:sz w:val="14"/>
              </w:rPr>
            </w:pPr>
            <w:r>
              <w:rPr>
                <w:rFonts w:ascii="TT Norms Pro Light"/>
                <w:b w:val="0"/>
                <w:spacing w:val="-5"/>
                <w:sz w:val="14"/>
              </w:rPr>
              <w:t>9.5</w:t>
            </w:r>
          </w:p>
        </w:tc>
      </w:tr>
      <w:tr>
        <w:trPr>
          <w:trHeight w:val="283" w:hRule="atLeast"/>
        </w:trPr>
        <w:tc>
          <w:tcPr>
            <w:tcW w:w="1559" w:type="dxa"/>
            <w:shd w:val="clear" w:color="auto" w:fill="E6E7E8"/>
          </w:tcPr>
          <w:p>
            <w:pPr>
              <w:pStyle w:val="TableParagraph"/>
              <w:rPr>
                <w:rFonts w:ascii="Times New Roman"/>
                <w:sz w:val="14"/>
              </w:rPr>
            </w:pPr>
          </w:p>
        </w:tc>
        <w:tc>
          <w:tcPr>
            <w:tcW w:w="1587" w:type="dxa"/>
          </w:tcPr>
          <w:p>
            <w:pPr>
              <w:pStyle w:val="TableParagraph"/>
              <w:spacing w:before="68"/>
              <w:ind w:left="85"/>
              <w:rPr>
                <w:rFonts w:ascii="TT Norms Pro Light"/>
                <w:b w:val="0"/>
                <w:sz w:val="14"/>
              </w:rPr>
            </w:pPr>
            <w:r>
              <w:rPr>
                <w:rFonts w:ascii="TT Norms Pro Light"/>
                <w:b w:val="0"/>
                <w:sz w:val="14"/>
              </w:rPr>
              <w:t>Research</w:t>
            </w:r>
            <w:r>
              <w:rPr>
                <w:rFonts w:ascii="TT Norms Pro Light"/>
                <w:b w:val="0"/>
                <w:spacing w:val="7"/>
                <w:sz w:val="14"/>
              </w:rPr>
              <w:t> </w:t>
            </w:r>
            <w:r>
              <w:rPr>
                <w:rFonts w:ascii="TT Norms Pro Light"/>
                <w:b w:val="0"/>
                <w:spacing w:val="-4"/>
                <w:sz w:val="14"/>
              </w:rPr>
              <w:t>only</w:t>
            </w:r>
          </w:p>
        </w:tc>
        <w:tc>
          <w:tcPr>
            <w:tcW w:w="928" w:type="dxa"/>
            <w:shd w:val="clear" w:color="auto" w:fill="E6E7E8"/>
          </w:tcPr>
          <w:p>
            <w:pPr>
              <w:pStyle w:val="TableParagraph"/>
              <w:spacing w:before="68"/>
              <w:ind w:right="81"/>
              <w:jc w:val="right"/>
              <w:rPr>
                <w:rFonts w:ascii="TT Norms Pro Light"/>
                <w:b w:val="0"/>
                <w:sz w:val="14"/>
              </w:rPr>
            </w:pPr>
            <w:r>
              <w:rPr>
                <w:rFonts w:ascii="TT Norms Pro Light"/>
                <w:b w:val="0"/>
                <w:spacing w:val="-5"/>
                <w:sz w:val="14"/>
              </w:rPr>
              <w:t>3.4</w:t>
            </w:r>
          </w:p>
        </w:tc>
        <w:tc>
          <w:tcPr>
            <w:tcW w:w="928" w:type="dxa"/>
          </w:tcPr>
          <w:p>
            <w:pPr>
              <w:pStyle w:val="TableParagraph"/>
              <w:spacing w:before="68"/>
              <w:ind w:right="79"/>
              <w:jc w:val="right"/>
              <w:rPr>
                <w:rFonts w:ascii="TT Norms Pro Light"/>
                <w:b w:val="0"/>
                <w:sz w:val="14"/>
              </w:rPr>
            </w:pPr>
            <w:r>
              <w:rPr>
                <w:rFonts w:ascii="TT Norms Pro Light"/>
                <w:b w:val="0"/>
                <w:spacing w:val="-5"/>
                <w:sz w:val="14"/>
              </w:rPr>
              <w:t>4.0</w:t>
            </w:r>
          </w:p>
        </w:tc>
        <w:tc>
          <w:tcPr>
            <w:tcW w:w="928" w:type="dxa"/>
            <w:shd w:val="clear" w:color="auto" w:fill="E6E7E8"/>
          </w:tcPr>
          <w:p>
            <w:pPr>
              <w:pStyle w:val="TableParagraph"/>
              <w:spacing w:before="68"/>
              <w:ind w:right="79"/>
              <w:jc w:val="right"/>
              <w:rPr>
                <w:rFonts w:ascii="TT Norms Pro Light"/>
                <w:b w:val="0"/>
                <w:sz w:val="14"/>
              </w:rPr>
            </w:pPr>
            <w:r>
              <w:rPr>
                <w:rFonts w:ascii="TT Norms Pro Light"/>
                <w:b w:val="0"/>
                <w:spacing w:val="-5"/>
                <w:sz w:val="14"/>
              </w:rPr>
              <w:t>2.4</w:t>
            </w:r>
          </w:p>
        </w:tc>
        <w:tc>
          <w:tcPr>
            <w:tcW w:w="928" w:type="dxa"/>
          </w:tcPr>
          <w:p>
            <w:pPr>
              <w:pStyle w:val="TableParagraph"/>
              <w:spacing w:before="68"/>
              <w:ind w:right="78"/>
              <w:jc w:val="right"/>
              <w:rPr>
                <w:rFonts w:ascii="TT Norms Pro Light"/>
                <w:b w:val="0"/>
                <w:sz w:val="14"/>
              </w:rPr>
            </w:pPr>
            <w:r>
              <w:rPr>
                <w:rFonts w:ascii="TT Norms Pro Light"/>
                <w:b w:val="0"/>
                <w:spacing w:val="-5"/>
                <w:sz w:val="14"/>
              </w:rPr>
              <w:t>2.8</w:t>
            </w:r>
          </w:p>
        </w:tc>
        <w:tc>
          <w:tcPr>
            <w:tcW w:w="928" w:type="dxa"/>
            <w:shd w:val="clear" w:color="auto" w:fill="E6E7E8"/>
          </w:tcPr>
          <w:p>
            <w:pPr>
              <w:pStyle w:val="TableParagraph"/>
              <w:spacing w:before="68"/>
              <w:ind w:right="76"/>
              <w:jc w:val="right"/>
              <w:rPr>
                <w:rFonts w:ascii="TT Norms Pro Light"/>
                <w:b w:val="0"/>
                <w:sz w:val="14"/>
              </w:rPr>
            </w:pPr>
            <w:r>
              <w:rPr>
                <w:rFonts w:ascii="TT Norms Pro Light"/>
                <w:b w:val="0"/>
                <w:spacing w:val="-5"/>
                <w:sz w:val="14"/>
              </w:rPr>
              <w:t>1.0</w:t>
            </w:r>
          </w:p>
        </w:tc>
        <w:tc>
          <w:tcPr>
            <w:tcW w:w="928" w:type="dxa"/>
          </w:tcPr>
          <w:p>
            <w:pPr>
              <w:pStyle w:val="TableParagraph"/>
              <w:spacing w:before="68"/>
              <w:ind w:right="77"/>
              <w:jc w:val="right"/>
              <w:rPr>
                <w:rFonts w:ascii="TT Norms Pro Light"/>
                <w:b w:val="0"/>
                <w:sz w:val="14"/>
              </w:rPr>
            </w:pPr>
            <w:r>
              <w:rPr>
                <w:rFonts w:ascii="TT Norms Pro Light"/>
                <w:b w:val="0"/>
                <w:spacing w:val="-5"/>
                <w:sz w:val="14"/>
              </w:rPr>
              <w:t>0.8</w:t>
            </w:r>
          </w:p>
        </w:tc>
        <w:tc>
          <w:tcPr>
            <w:tcW w:w="928" w:type="dxa"/>
            <w:shd w:val="clear" w:color="auto" w:fill="E6E7E8"/>
          </w:tcPr>
          <w:p>
            <w:pPr>
              <w:pStyle w:val="TableParagraph"/>
              <w:spacing w:before="68"/>
              <w:ind w:right="76"/>
              <w:jc w:val="right"/>
              <w:rPr>
                <w:rFonts w:ascii="TT Norms Pro Light"/>
                <w:b w:val="0"/>
                <w:sz w:val="14"/>
              </w:rPr>
            </w:pPr>
            <w:r>
              <w:rPr>
                <w:rFonts w:ascii="TT Norms Pro Light"/>
                <w:b w:val="0"/>
                <w:spacing w:val="-5"/>
                <w:sz w:val="14"/>
              </w:rPr>
              <w:t>2.8</w:t>
            </w:r>
          </w:p>
        </w:tc>
      </w:tr>
      <w:tr>
        <w:trPr>
          <w:trHeight w:val="283" w:hRule="atLeast"/>
        </w:trPr>
        <w:tc>
          <w:tcPr>
            <w:tcW w:w="1559" w:type="dxa"/>
            <w:shd w:val="clear" w:color="auto" w:fill="E6E7E8"/>
          </w:tcPr>
          <w:p>
            <w:pPr>
              <w:pStyle w:val="TableParagraph"/>
              <w:rPr>
                <w:rFonts w:ascii="Times New Roman"/>
                <w:sz w:val="14"/>
              </w:rPr>
            </w:pPr>
          </w:p>
        </w:tc>
        <w:tc>
          <w:tcPr>
            <w:tcW w:w="1587" w:type="dxa"/>
          </w:tcPr>
          <w:p>
            <w:pPr>
              <w:pStyle w:val="TableParagraph"/>
              <w:spacing w:before="68"/>
              <w:ind w:left="85"/>
              <w:rPr>
                <w:rFonts w:ascii="TT Norms Pro Light"/>
                <w:b w:val="0"/>
                <w:sz w:val="14"/>
              </w:rPr>
            </w:pPr>
            <w:r>
              <w:rPr>
                <w:rFonts w:ascii="TT Norms Pro Light"/>
                <w:b w:val="0"/>
                <w:sz w:val="14"/>
              </w:rPr>
              <w:t>Teaching and</w:t>
            </w:r>
            <w:r>
              <w:rPr>
                <w:rFonts w:ascii="TT Norms Pro Light"/>
                <w:b w:val="0"/>
                <w:spacing w:val="3"/>
                <w:sz w:val="14"/>
              </w:rPr>
              <w:t> </w:t>
            </w:r>
            <w:r>
              <w:rPr>
                <w:rFonts w:ascii="TT Norms Pro Light"/>
                <w:b w:val="0"/>
                <w:spacing w:val="-2"/>
                <w:sz w:val="14"/>
              </w:rPr>
              <w:t>research</w:t>
            </w:r>
          </w:p>
        </w:tc>
        <w:tc>
          <w:tcPr>
            <w:tcW w:w="928" w:type="dxa"/>
            <w:shd w:val="clear" w:color="auto" w:fill="E6E7E8"/>
          </w:tcPr>
          <w:p>
            <w:pPr>
              <w:pStyle w:val="TableParagraph"/>
              <w:spacing w:before="68"/>
              <w:ind w:right="77"/>
              <w:jc w:val="right"/>
              <w:rPr>
                <w:rFonts w:ascii="TT Norms Pro Light"/>
                <w:b w:val="0"/>
                <w:sz w:val="14"/>
              </w:rPr>
            </w:pPr>
            <w:r>
              <w:rPr>
                <w:rFonts w:ascii="TT Norms Pro Light"/>
                <w:b w:val="0"/>
                <w:spacing w:val="-5"/>
                <w:sz w:val="14"/>
              </w:rPr>
              <w:t>6.6</w:t>
            </w:r>
          </w:p>
        </w:tc>
        <w:tc>
          <w:tcPr>
            <w:tcW w:w="928" w:type="dxa"/>
          </w:tcPr>
          <w:p>
            <w:pPr>
              <w:pStyle w:val="TableParagraph"/>
              <w:spacing w:before="68"/>
              <w:ind w:right="76"/>
              <w:jc w:val="right"/>
              <w:rPr>
                <w:rFonts w:ascii="TT Norms Pro Light"/>
                <w:b w:val="0"/>
                <w:sz w:val="14"/>
              </w:rPr>
            </w:pPr>
            <w:r>
              <w:rPr>
                <w:rFonts w:ascii="TT Norms Pro Light"/>
                <w:b w:val="0"/>
                <w:spacing w:val="-5"/>
                <w:sz w:val="14"/>
              </w:rPr>
              <w:t>4.6</w:t>
            </w:r>
          </w:p>
        </w:tc>
        <w:tc>
          <w:tcPr>
            <w:tcW w:w="928" w:type="dxa"/>
            <w:shd w:val="clear" w:color="auto" w:fill="E6E7E8"/>
          </w:tcPr>
          <w:p>
            <w:pPr>
              <w:pStyle w:val="TableParagraph"/>
              <w:spacing w:before="68"/>
              <w:ind w:right="79"/>
              <w:jc w:val="right"/>
              <w:rPr>
                <w:rFonts w:ascii="TT Norms Pro Light"/>
                <w:b w:val="0"/>
                <w:sz w:val="14"/>
              </w:rPr>
            </w:pPr>
            <w:r>
              <w:rPr>
                <w:rFonts w:ascii="TT Norms Pro Light"/>
                <w:b w:val="0"/>
                <w:spacing w:val="-5"/>
                <w:sz w:val="14"/>
              </w:rPr>
              <w:t>9.6</w:t>
            </w:r>
          </w:p>
        </w:tc>
        <w:tc>
          <w:tcPr>
            <w:tcW w:w="928" w:type="dxa"/>
          </w:tcPr>
          <w:p>
            <w:pPr>
              <w:pStyle w:val="TableParagraph"/>
              <w:spacing w:before="68"/>
              <w:ind w:right="83"/>
              <w:jc w:val="right"/>
              <w:rPr>
                <w:rFonts w:ascii="TT Norms Pro Light"/>
                <w:b w:val="0"/>
                <w:sz w:val="14"/>
              </w:rPr>
            </w:pPr>
            <w:r>
              <w:rPr>
                <w:rFonts w:ascii="TT Norms Pro Light"/>
                <w:b w:val="0"/>
                <w:spacing w:val="-5"/>
                <w:sz w:val="14"/>
              </w:rPr>
              <w:t>6.9</w:t>
            </w:r>
          </w:p>
        </w:tc>
        <w:tc>
          <w:tcPr>
            <w:tcW w:w="928" w:type="dxa"/>
            <w:shd w:val="clear" w:color="auto" w:fill="E6E7E8"/>
          </w:tcPr>
          <w:p>
            <w:pPr>
              <w:pStyle w:val="TableParagraph"/>
              <w:spacing w:before="68"/>
              <w:ind w:right="74"/>
              <w:jc w:val="right"/>
              <w:rPr>
                <w:rFonts w:ascii="TT Norms Pro Light"/>
                <w:b w:val="0"/>
                <w:sz w:val="14"/>
              </w:rPr>
            </w:pPr>
            <w:r>
              <w:rPr>
                <w:rFonts w:ascii="TT Norms Pro Light"/>
                <w:b w:val="0"/>
                <w:spacing w:val="-5"/>
                <w:sz w:val="14"/>
              </w:rPr>
              <w:t>8.7</w:t>
            </w:r>
          </w:p>
        </w:tc>
        <w:tc>
          <w:tcPr>
            <w:tcW w:w="928" w:type="dxa"/>
          </w:tcPr>
          <w:p>
            <w:pPr>
              <w:pStyle w:val="TableParagraph"/>
              <w:spacing w:before="68"/>
              <w:ind w:right="76"/>
              <w:jc w:val="right"/>
              <w:rPr>
                <w:rFonts w:ascii="TT Norms Pro Light"/>
                <w:b w:val="0"/>
                <w:sz w:val="14"/>
              </w:rPr>
            </w:pPr>
            <w:r>
              <w:rPr>
                <w:rFonts w:ascii="TT Norms Pro Light"/>
                <w:b w:val="0"/>
                <w:spacing w:val="-5"/>
                <w:sz w:val="14"/>
              </w:rPr>
              <w:t>4.0</w:t>
            </w:r>
          </w:p>
        </w:tc>
        <w:tc>
          <w:tcPr>
            <w:tcW w:w="928" w:type="dxa"/>
            <w:shd w:val="clear" w:color="auto" w:fill="E6E7E8"/>
          </w:tcPr>
          <w:p>
            <w:pPr>
              <w:pStyle w:val="TableParagraph"/>
              <w:spacing w:before="68"/>
              <w:ind w:right="71"/>
              <w:jc w:val="right"/>
              <w:rPr>
                <w:rFonts w:ascii="TT Norms Pro Light"/>
                <w:b w:val="0"/>
                <w:sz w:val="14"/>
              </w:rPr>
            </w:pPr>
            <w:r>
              <w:rPr>
                <w:rFonts w:ascii="TT Norms Pro Light"/>
                <w:b w:val="0"/>
                <w:spacing w:val="-5"/>
                <w:sz w:val="14"/>
              </w:rPr>
              <w:t>5.6</w:t>
            </w:r>
          </w:p>
        </w:tc>
      </w:tr>
      <w:tr>
        <w:trPr>
          <w:trHeight w:val="283" w:hRule="atLeast"/>
        </w:trPr>
        <w:tc>
          <w:tcPr>
            <w:tcW w:w="1559" w:type="dxa"/>
            <w:shd w:val="clear" w:color="auto" w:fill="E6E7E8"/>
          </w:tcPr>
          <w:p>
            <w:pPr>
              <w:pStyle w:val="TableParagraph"/>
              <w:rPr>
                <w:rFonts w:ascii="Times New Roman"/>
                <w:sz w:val="14"/>
              </w:rPr>
            </w:pPr>
          </w:p>
        </w:tc>
        <w:tc>
          <w:tcPr>
            <w:tcW w:w="1587" w:type="dxa"/>
          </w:tcPr>
          <w:p>
            <w:pPr>
              <w:pStyle w:val="TableParagraph"/>
              <w:spacing w:before="68"/>
              <w:ind w:left="85"/>
              <w:rPr>
                <w:rFonts w:ascii="TT Norms Pro Light"/>
                <w:b w:val="0"/>
                <w:sz w:val="14"/>
              </w:rPr>
            </w:pPr>
            <w:r>
              <w:rPr>
                <w:rFonts w:ascii="TT Norms Pro Light"/>
                <w:b w:val="0"/>
                <w:sz w:val="14"/>
              </w:rPr>
              <w:t>Teaching</w:t>
            </w:r>
            <w:r>
              <w:rPr>
                <w:rFonts w:ascii="TT Norms Pro Light"/>
                <w:b w:val="0"/>
                <w:spacing w:val="-1"/>
                <w:sz w:val="14"/>
              </w:rPr>
              <w:t> </w:t>
            </w:r>
            <w:r>
              <w:rPr>
                <w:rFonts w:ascii="TT Norms Pro Light"/>
                <w:b w:val="0"/>
                <w:spacing w:val="-4"/>
                <w:sz w:val="14"/>
              </w:rPr>
              <w:t>only</w:t>
            </w:r>
          </w:p>
        </w:tc>
        <w:tc>
          <w:tcPr>
            <w:tcW w:w="928" w:type="dxa"/>
            <w:shd w:val="clear" w:color="auto" w:fill="E6E7E8"/>
          </w:tcPr>
          <w:p>
            <w:pPr>
              <w:pStyle w:val="TableParagraph"/>
              <w:spacing w:before="68"/>
              <w:ind w:right="80"/>
              <w:jc w:val="right"/>
              <w:rPr>
                <w:rFonts w:ascii="TT Norms Pro Light"/>
                <w:b w:val="0"/>
                <w:sz w:val="14"/>
              </w:rPr>
            </w:pPr>
            <w:r>
              <w:rPr>
                <w:rFonts w:ascii="TT Norms Pro Light"/>
                <w:b w:val="0"/>
                <w:spacing w:val="-5"/>
                <w:sz w:val="14"/>
              </w:rPr>
              <w:t>0.0</w:t>
            </w:r>
          </w:p>
        </w:tc>
        <w:tc>
          <w:tcPr>
            <w:tcW w:w="928" w:type="dxa"/>
          </w:tcPr>
          <w:p>
            <w:pPr>
              <w:pStyle w:val="TableParagraph"/>
              <w:spacing w:before="68"/>
              <w:ind w:right="79"/>
              <w:jc w:val="right"/>
              <w:rPr>
                <w:rFonts w:ascii="TT Norms Pro Light"/>
                <w:b w:val="0"/>
                <w:sz w:val="14"/>
              </w:rPr>
            </w:pPr>
            <w:r>
              <w:rPr>
                <w:rFonts w:ascii="TT Norms Pro Light"/>
                <w:b w:val="0"/>
                <w:spacing w:val="-5"/>
                <w:sz w:val="14"/>
              </w:rPr>
              <w:t>0.0</w:t>
            </w:r>
          </w:p>
        </w:tc>
        <w:tc>
          <w:tcPr>
            <w:tcW w:w="928" w:type="dxa"/>
            <w:shd w:val="clear" w:color="auto" w:fill="E6E7E8"/>
          </w:tcPr>
          <w:p>
            <w:pPr>
              <w:pStyle w:val="TableParagraph"/>
              <w:spacing w:before="68"/>
              <w:ind w:right="78"/>
              <w:jc w:val="right"/>
              <w:rPr>
                <w:rFonts w:ascii="TT Norms Pro Light"/>
                <w:b w:val="0"/>
                <w:sz w:val="14"/>
              </w:rPr>
            </w:pPr>
            <w:r>
              <w:rPr>
                <w:rFonts w:ascii="TT Norms Pro Light"/>
                <w:b w:val="0"/>
                <w:spacing w:val="-5"/>
                <w:sz w:val="14"/>
              </w:rPr>
              <w:t>0.0</w:t>
            </w:r>
          </w:p>
        </w:tc>
        <w:tc>
          <w:tcPr>
            <w:tcW w:w="928" w:type="dxa"/>
          </w:tcPr>
          <w:p>
            <w:pPr>
              <w:pStyle w:val="TableParagraph"/>
              <w:spacing w:before="68"/>
              <w:ind w:right="77"/>
              <w:jc w:val="right"/>
              <w:rPr>
                <w:rFonts w:ascii="TT Norms Pro Light"/>
                <w:b w:val="0"/>
                <w:sz w:val="14"/>
              </w:rPr>
            </w:pPr>
            <w:r>
              <w:rPr>
                <w:rFonts w:ascii="TT Norms Pro Light"/>
                <w:b w:val="0"/>
                <w:spacing w:val="-5"/>
                <w:sz w:val="14"/>
              </w:rPr>
              <w:t>0.0</w:t>
            </w:r>
          </w:p>
        </w:tc>
        <w:tc>
          <w:tcPr>
            <w:tcW w:w="928" w:type="dxa"/>
            <w:shd w:val="clear" w:color="auto" w:fill="E6E7E8"/>
          </w:tcPr>
          <w:p>
            <w:pPr>
              <w:pStyle w:val="TableParagraph"/>
              <w:spacing w:before="68"/>
              <w:ind w:right="76"/>
              <w:jc w:val="right"/>
              <w:rPr>
                <w:rFonts w:ascii="TT Norms Pro Light"/>
                <w:b w:val="0"/>
                <w:sz w:val="14"/>
              </w:rPr>
            </w:pPr>
            <w:r>
              <w:rPr>
                <w:rFonts w:ascii="TT Norms Pro Light"/>
                <w:b w:val="0"/>
                <w:spacing w:val="-5"/>
                <w:sz w:val="14"/>
              </w:rPr>
              <w:t>0.0</w:t>
            </w:r>
          </w:p>
        </w:tc>
        <w:tc>
          <w:tcPr>
            <w:tcW w:w="928" w:type="dxa"/>
          </w:tcPr>
          <w:p>
            <w:pPr>
              <w:pStyle w:val="TableParagraph"/>
              <w:spacing w:before="68"/>
              <w:ind w:right="77"/>
              <w:jc w:val="right"/>
              <w:rPr>
                <w:rFonts w:ascii="TT Norms Pro Light"/>
                <w:b w:val="0"/>
                <w:sz w:val="14"/>
              </w:rPr>
            </w:pPr>
            <w:r>
              <w:rPr>
                <w:rFonts w:ascii="TT Norms Pro Light"/>
                <w:b w:val="0"/>
                <w:spacing w:val="-5"/>
                <w:sz w:val="14"/>
              </w:rPr>
              <w:t>0.5</w:t>
            </w:r>
          </w:p>
        </w:tc>
        <w:tc>
          <w:tcPr>
            <w:tcW w:w="928" w:type="dxa"/>
            <w:shd w:val="clear" w:color="auto" w:fill="E6E7E8"/>
          </w:tcPr>
          <w:p>
            <w:pPr>
              <w:pStyle w:val="TableParagraph"/>
              <w:spacing w:before="68"/>
              <w:ind w:right="76"/>
              <w:jc w:val="right"/>
              <w:rPr>
                <w:rFonts w:ascii="TT Norms Pro Light"/>
                <w:b w:val="0"/>
                <w:sz w:val="14"/>
              </w:rPr>
            </w:pPr>
            <w:r>
              <w:rPr>
                <w:rFonts w:ascii="TT Norms Pro Light"/>
                <w:b w:val="0"/>
                <w:spacing w:val="-5"/>
                <w:sz w:val="14"/>
              </w:rPr>
              <w:t>2.4</w:t>
            </w:r>
          </w:p>
        </w:tc>
      </w:tr>
      <w:tr>
        <w:trPr>
          <w:trHeight w:val="297" w:hRule="atLeast"/>
        </w:trPr>
        <w:tc>
          <w:tcPr>
            <w:tcW w:w="1559" w:type="dxa"/>
            <w:tcBorders>
              <w:bottom w:val="single" w:sz="2" w:space="0" w:color="939598"/>
            </w:tcBorders>
            <w:shd w:val="clear" w:color="auto" w:fill="E6E7E8"/>
          </w:tcPr>
          <w:p>
            <w:pPr>
              <w:pStyle w:val="TableParagraph"/>
              <w:rPr>
                <w:rFonts w:ascii="Times New Roman"/>
                <w:sz w:val="14"/>
              </w:rPr>
            </w:pPr>
          </w:p>
        </w:tc>
        <w:tc>
          <w:tcPr>
            <w:tcW w:w="1587" w:type="dxa"/>
            <w:tcBorders>
              <w:bottom w:val="single" w:sz="2" w:space="0" w:color="939598"/>
            </w:tcBorders>
          </w:tcPr>
          <w:p>
            <w:pPr>
              <w:pStyle w:val="TableParagraph"/>
              <w:spacing w:before="68"/>
              <w:ind w:left="85"/>
              <w:rPr>
                <w:rFonts w:ascii="TT Norms Pro Light"/>
                <w:b w:val="0"/>
                <w:sz w:val="14"/>
              </w:rPr>
            </w:pPr>
            <w:r>
              <w:rPr>
                <w:rFonts w:ascii="TT Norms Pro Light"/>
                <w:b w:val="0"/>
                <w:sz w:val="14"/>
              </w:rPr>
              <w:t>Sub-</w:t>
            </w:r>
            <w:r>
              <w:rPr>
                <w:rFonts w:ascii="TT Norms Pro Light"/>
                <w:b w:val="0"/>
                <w:spacing w:val="-4"/>
                <w:sz w:val="14"/>
              </w:rPr>
              <w:t>total</w:t>
            </w:r>
          </w:p>
        </w:tc>
        <w:tc>
          <w:tcPr>
            <w:tcW w:w="928" w:type="dxa"/>
            <w:tcBorders>
              <w:bottom w:val="single" w:sz="2" w:space="0" w:color="939598"/>
            </w:tcBorders>
            <w:shd w:val="clear" w:color="auto" w:fill="E6E7E8"/>
          </w:tcPr>
          <w:p>
            <w:pPr>
              <w:pStyle w:val="TableParagraph"/>
              <w:spacing w:before="68"/>
              <w:ind w:right="81"/>
              <w:jc w:val="right"/>
              <w:rPr>
                <w:rFonts w:ascii="TT Norms Pro Light"/>
                <w:b w:val="0"/>
                <w:sz w:val="14"/>
              </w:rPr>
            </w:pPr>
            <w:r>
              <w:rPr>
                <w:rFonts w:ascii="TT Norms Pro Light"/>
                <w:b w:val="0"/>
                <w:spacing w:val="-4"/>
                <w:sz w:val="14"/>
              </w:rPr>
              <w:t>23.2</w:t>
            </w:r>
          </w:p>
        </w:tc>
        <w:tc>
          <w:tcPr>
            <w:tcW w:w="928" w:type="dxa"/>
            <w:tcBorders>
              <w:bottom w:val="single" w:sz="2" w:space="0" w:color="939598"/>
            </w:tcBorders>
          </w:tcPr>
          <w:p>
            <w:pPr>
              <w:pStyle w:val="TableParagraph"/>
              <w:spacing w:before="68"/>
              <w:ind w:right="80"/>
              <w:jc w:val="right"/>
              <w:rPr>
                <w:rFonts w:ascii="TT Norms Pro Light"/>
                <w:b w:val="0"/>
                <w:sz w:val="14"/>
              </w:rPr>
            </w:pPr>
            <w:r>
              <w:rPr>
                <w:rFonts w:ascii="TT Norms Pro Light"/>
                <w:b w:val="0"/>
                <w:spacing w:val="-4"/>
                <w:sz w:val="14"/>
              </w:rPr>
              <w:t>24.2</w:t>
            </w:r>
          </w:p>
        </w:tc>
        <w:tc>
          <w:tcPr>
            <w:tcW w:w="928" w:type="dxa"/>
            <w:tcBorders>
              <w:bottom w:val="single" w:sz="2" w:space="0" w:color="939598"/>
            </w:tcBorders>
            <w:shd w:val="clear" w:color="auto" w:fill="E6E7E8"/>
          </w:tcPr>
          <w:p>
            <w:pPr>
              <w:pStyle w:val="TableParagraph"/>
              <w:spacing w:before="68"/>
              <w:ind w:right="79"/>
              <w:jc w:val="right"/>
              <w:rPr>
                <w:rFonts w:ascii="TT Norms Pro Light"/>
                <w:b w:val="0"/>
                <w:sz w:val="14"/>
              </w:rPr>
            </w:pPr>
            <w:r>
              <w:rPr>
                <w:rFonts w:ascii="TT Norms Pro Light"/>
                <w:b w:val="0"/>
                <w:spacing w:val="-4"/>
                <w:sz w:val="14"/>
              </w:rPr>
              <w:t>24.2</w:t>
            </w:r>
          </w:p>
        </w:tc>
        <w:tc>
          <w:tcPr>
            <w:tcW w:w="928" w:type="dxa"/>
            <w:tcBorders>
              <w:bottom w:val="single" w:sz="2" w:space="0" w:color="939598"/>
            </w:tcBorders>
          </w:tcPr>
          <w:p>
            <w:pPr>
              <w:pStyle w:val="TableParagraph"/>
              <w:spacing w:before="68"/>
              <w:ind w:right="77"/>
              <w:jc w:val="right"/>
              <w:rPr>
                <w:rFonts w:ascii="TT Norms Pro Light"/>
                <w:b w:val="0"/>
                <w:sz w:val="14"/>
              </w:rPr>
            </w:pPr>
            <w:r>
              <w:rPr>
                <w:rFonts w:ascii="TT Norms Pro Light"/>
                <w:b w:val="0"/>
                <w:spacing w:val="-4"/>
                <w:sz w:val="14"/>
              </w:rPr>
              <w:t>22.0</w:t>
            </w:r>
          </w:p>
        </w:tc>
        <w:tc>
          <w:tcPr>
            <w:tcW w:w="928" w:type="dxa"/>
            <w:tcBorders>
              <w:bottom w:val="single" w:sz="2" w:space="0" w:color="939598"/>
            </w:tcBorders>
            <w:shd w:val="clear" w:color="auto" w:fill="E6E7E8"/>
          </w:tcPr>
          <w:p>
            <w:pPr>
              <w:pStyle w:val="TableParagraph"/>
              <w:spacing w:before="68"/>
              <w:ind w:right="78"/>
              <w:jc w:val="right"/>
              <w:rPr>
                <w:rFonts w:ascii="TT Norms Pro Light"/>
                <w:b w:val="0"/>
                <w:sz w:val="14"/>
              </w:rPr>
            </w:pPr>
            <w:r>
              <w:rPr>
                <w:rFonts w:ascii="TT Norms Pro Light"/>
                <w:b w:val="0"/>
                <w:spacing w:val="-4"/>
                <w:sz w:val="14"/>
              </w:rPr>
              <w:t>21.5</w:t>
            </w:r>
          </w:p>
        </w:tc>
        <w:tc>
          <w:tcPr>
            <w:tcW w:w="928" w:type="dxa"/>
            <w:tcBorders>
              <w:bottom w:val="single" w:sz="2" w:space="0" w:color="939598"/>
            </w:tcBorders>
          </w:tcPr>
          <w:p>
            <w:pPr>
              <w:pStyle w:val="TableParagraph"/>
              <w:spacing w:before="68"/>
              <w:ind w:right="77"/>
              <w:jc w:val="right"/>
              <w:rPr>
                <w:rFonts w:ascii="TT Norms Pro Light"/>
                <w:b w:val="0"/>
                <w:sz w:val="14"/>
              </w:rPr>
            </w:pPr>
            <w:r>
              <w:rPr>
                <w:rFonts w:ascii="TT Norms Pro Light"/>
                <w:b w:val="0"/>
                <w:spacing w:val="-4"/>
                <w:sz w:val="14"/>
              </w:rPr>
              <w:t>15.7</w:t>
            </w:r>
          </w:p>
        </w:tc>
        <w:tc>
          <w:tcPr>
            <w:tcW w:w="928" w:type="dxa"/>
            <w:tcBorders>
              <w:bottom w:val="single" w:sz="2" w:space="0" w:color="939598"/>
            </w:tcBorders>
            <w:shd w:val="clear" w:color="auto" w:fill="E6E7E8"/>
          </w:tcPr>
          <w:p>
            <w:pPr>
              <w:pStyle w:val="TableParagraph"/>
              <w:spacing w:before="68"/>
              <w:ind w:right="76"/>
              <w:jc w:val="right"/>
              <w:rPr>
                <w:rFonts w:ascii="TT Norms Pro Light"/>
                <w:b w:val="0"/>
                <w:sz w:val="14"/>
              </w:rPr>
            </w:pPr>
            <w:r>
              <w:rPr>
                <w:rFonts w:ascii="TT Norms Pro Light"/>
                <w:b w:val="0"/>
                <w:spacing w:val="-4"/>
                <w:sz w:val="14"/>
              </w:rPr>
              <w:t>20.3</w:t>
            </w:r>
          </w:p>
        </w:tc>
      </w:tr>
      <w:tr>
        <w:trPr>
          <w:trHeight w:val="264" w:hRule="atLeast"/>
        </w:trPr>
        <w:tc>
          <w:tcPr>
            <w:tcW w:w="1559" w:type="dxa"/>
            <w:tcBorders>
              <w:top w:val="single" w:sz="2" w:space="0" w:color="939598"/>
            </w:tcBorders>
            <w:shd w:val="clear" w:color="auto" w:fill="E6E7E8"/>
          </w:tcPr>
          <w:p>
            <w:pPr>
              <w:pStyle w:val="TableParagraph"/>
              <w:spacing w:before="49"/>
              <w:ind w:left="56"/>
              <w:rPr>
                <w:rFonts w:ascii="TT Norms Pro"/>
                <w:sz w:val="14"/>
              </w:rPr>
            </w:pPr>
            <w:r>
              <w:rPr>
                <w:rFonts w:ascii="TT Norms Pro"/>
                <w:spacing w:val="-2"/>
                <w:sz w:val="14"/>
              </w:rPr>
              <w:t>Professional</w:t>
            </w:r>
          </w:p>
        </w:tc>
        <w:tc>
          <w:tcPr>
            <w:tcW w:w="1587" w:type="dxa"/>
            <w:tcBorders>
              <w:top w:val="single" w:sz="2" w:space="0" w:color="939598"/>
            </w:tcBorders>
          </w:tcPr>
          <w:p>
            <w:pPr>
              <w:pStyle w:val="TableParagraph"/>
              <w:spacing w:before="49"/>
              <w:ind w:left="85"/>
              <w:rPr>
                <w:rFonts w:ascii="TT Norms Pro Light"/>
                <w:b w:val="0"/>
                <w:sz w:val="14"/>
              </w:rPr>
            </w:pPr>
            <w:r>
              <w:rPr>
                <w:rFonts w:ascii="TT Norms Pro Light"/>
                <w:b w:val="0"/>
                <w:spacing w:val="-4"/>
                <w:sz w:val="14"/>
              </w:rPr>
              <w:t>Other</w:t>
            </w:r>
          </w:p>
        </w:tc>
        <w:tc>
          <w:tcPr>
            <w:tcW w:w="928" w:type="dxa"/>
            <w:tcBorders>
              <w:top w:val="single" w:sz="2" w:space="0" w:color="939598"/>
            </w:tcBorders>
            <w:shd w:val="clear" w:color="auto" w:fill="E6E7E8"/>
          </w:tcPr>
          <w:p>
            <w:pPr>
              <w:pStyle w:val="TableParagraph"/>
              <w:spacing w:before="49"/>
              <w:ind w:right="81"/>
              <w:jc w:val="right"/>
              <w:rPr>
                <w:rFonts w:ascii="TT Norms Pro Light"/>
                <w:b w:val="0"/>
                <w:sz w:val="14"/>
              </w:rPr>
            </w:pPr>
            <w:r>
              <w:rPr>
                <w:rFonts w:ascii="TT Norms Pro Light"/>
                <w:b w:val="0"/>
                <w:spacing w:val="-2"/>
                <w:sz w:val="14"/>
              </w:rPr>
              <w:t>1,105.1</w:t>
            </w:r>
          </w:p>
        </w:tc>
        <w:tc>
          <w:tcPr>
            <w:tcW w:w="928" w:type="dxa"/>
            <w:tcBorders>
              <w:top w:val="single" w:sz="2" w:space="0" w:color="939598"/>
            </w:tcBorders>
          </w:tcPr>
          <w:p>
            <w:pPr>
              <w:pStyle w:val="TableParagraph"/>
              <w:spacing w:before="49"/>
              <w:ind w:right="76"/>
              <w:jc w:val="right"/>
              <w:rPr>
                <w:rFonts w:ascii="TT Norms Pro Light"/>
                <w:b w:val="0"/>
                <w:sz w:val="14"/>
              </w:rPr>
            </w:pPr>
            <w:r>
              <w:rPr>
                <w:rFonts w:ascii="TT Norms Pro Light"/>
                <w:b w:val="0"/>
                <w:spacing w:val="-2"/>
                <w:sz w:val="14"/>
              </w:rPr>
              <w:t>1,077.8</w:t>
            </w:r>
          </w:p>
        </w:tc>
        <w:tc>
          <w:tcPr>
            <w:tcW w:w="928" w:type="dxa"/>
            <w:tcBorders>
              <w:top w:val="single" w:sz="2" w:space="0" w:color="939598"/>
            </w:tcBorders>
            <w:shd w:val="clear" w:color="auto" w:fill="E6E7E8"/>
          </w:tcPr>
          <w:p>
            <w:pPr>
              <w:pStyle w:val="TableParagraph"/>
              <w:spacing w:before="49"/>
              <w:ind w:right="79"/>
              <w:jc w:val="right"/>
              <w:rPr>
                <w:rFonts w:ascii="TT Norms Pro Light"/>
                <w:b w:val="0"/>
                <w:sz w:val="14"/>
              </w:rPr>
            </w:pPr>
            <w:r>
              <w:rPr>
                <w:rFonts w:ascii="TT Norms Pro Light"/>
                <w:b w:val="0"/>
                <w:spacing w:val="-2"/>
                <w:sz w:val="14"/>
              </w:rPr>
              <w:t>1,073.0</w:t>
            </w:r>
          </w:p>
        </w:tc>
        <w:tc>
          <w:tcPr>
            <w:tcW w:w="928" w:type="dxa"/>
            <w:tcBorders>
              <w:top w:val="single" w:sz="2" w:space="0" w:color="939598"/>
            </w:tcBorders>
          </w:tcPr>
          <w:p>
            <w:pPr>
              <w:pStyle w:val="TableParagraph"/>
              <w:spacing w:before="49"/>
              <w:ind w:right="78"/>
              <w:jc w:val="right"/>
              <w:rPr>
                <w:rFonts w:ascii="TT Norms Pro Light"/>
                <w:b w:val="0"/>
                <w:sz w:val="14"/>
              </w:rPr>
            </w:pPr>
            <w:r>
              <w:rPr>
                <w:rFonts w:ascii="TT Norms Pro Light"/>
                <w:b w:val="0"/>
                <w:spacing w:val="-2"/>
                <w:sz w:val="14"/>
              </w:rPr>
              <w:t>1,365.3</w:t>
            </w:r>
          </w:p>
        </w:tc>
        <w:tc>
          <w:tcPr>
            <w:tcW w:w="928" w:type="dxa"/>
            <w:tcBorders>
              <w:top w:val="single" w:sz="2" w:space="0" w:color="939598"/>
            </w:tcBorders>
            <w:shd w:val="clear" w:color="auto" w:fill="E6E7E8"/>
          </w:tcPr>
          <w:p>
            <w:pPr>
              <w:pStyle w:val="TableParagraph"/>
              <w:spacing w:before="49"/>
              <w:ind w:right="78"/>
              <w:jc w:val="right"/>
              <w:rPr>
                <w:rFonts w:ascii="TT Norms Pro Light"/>
                <w:b w:val="0"/>
                <w:sz w:val="14"/>
              </w:rPr>
            </w:pPr>
            <w:r>
              <w:rPr>
                <w:rFonts w:ascii="TT Norms Pro Light"/>
                <w:b w:val="0"/>
                <w:spacing w:val="-2"/>
                <w:sz w:val="14"/>
              </w:rPr>
              <w:t>1,492.4</w:t>
            </w:r>
          </w:p>
        </w:tc>
        <w:tc>
          <w:tcPr>
            <w:tcW w:w="928" w:type="dxa"/>
            <w:tcBorders>
              <w:top w:val="single" w:sz="2" w:space="0" w:color="939598"/>
            </w:tcBorders>
          </w:tcPr>
          <w:p>
            <w:pPr>
              <w:pStyle w:val="TableParagraph"/>
              <w:spacing w:before="49"/>
              <w:ind w:right="77"/>
              <w:jc w:val="right"/>
              <w:rPr>
                <w:rFonts w:ascii="TT Norms Pro Light"/>
                <w:b w:val="0"/>
                <w:sz w:val="14"/>
              </w:rPr>
            </w:pPr>
            <w:r>
              <w:rPr>
                <w:rFonts w:ascii="TT Norms Pro Light"/>
                <w:b w:val="0"/>
                <w:spacing w:val="-2"/>
                <w:sz w:val="14"/>
              </w:rPr>
              <w:t>1,542.2</w:t>
            </w:r>
          </w:p>
        </w:tc>
        <w:tc>
          <w:tcPr>
            <w:tcW w:w="928" w:type="dxa"/>
            <w:tcBorders>
              <w:top w:val="single" w:sz="2" w:space="0" w:color="939598"/>
            </w:tcBorders>
            <w:shd w:val="clear" w:color="auto" w:fill="E6E7E8"/>
          </w:tcPr>
          <w:p>
            <w:pPr>
              <w:pStyle w:val="TableParagraph"/>
              <w:spacing w:before="49"/>
              <w:ind w:right="76"/>
              <w:jc w:val="right"/>
              <w:rPr>
                <w:rFonts w:ascii="TT Norms Pro Light"/>
                <w:b w:val="0"/>
                <w:sz w:val="14"/>
              </w:rPr>
            </w:pPr>
            <w:r>
              <w:rPr>
                <w:rFonts w:ascii="TT Norms Pro Light"/>
                <w:b w:val="0"/>
                <w:spacing w:val="-2"/>
                <w:sz w:val="14"/>
              </w:rPr>
              <w:t>1,571.1</w:t>
            </w:r>
          </w:p>
        </w:tc>
      </w:tr>
      <w:tr>
        <w:trPr>
          <w:trHeight w:val="283" w:hRule="atLeast"/>
        </w:trPr>
        <w:tc>
          <w:tcPr>
            <w:tcW w:w="1559" w:type="dxa"/>
            <w:shd w:val="clear" w:color="auto" w:fill="E6E7E8"/>
          </w:tcPr>
          <w:p>
            <w:pPr>
              <w:pStyle w:val="TableParagraph"/>
              <w:rPr>
                <w:rFonts w:ascii="Times New Roman"/>
                <w:sz w:val="14"/>
              </w:rPr>
            </w:pPr>
          </w:p>
        </w:tc>
        <w:tc>
          <w:tcPr>
            <w:tcW w:w="1587" w:type="dxa"/>
          </w:tcPr>
          <w:p>
            <w:pPr>
              <w:pStyle w:val="TableParagraph"/>
              <w:spacing w:before="68"/>
              <w:ind w:left="85"/>
              <w:rPr>
                <w:rFonts w:ascii="TT Norms Pro Light"/>
                <w:b w:val="0"/>
                <w:sz w:val="14"/>
              </w:rPr>
            </w:pPr>
            <w:r>
              <w:rPr>
                <w:rFonts w:ascii="TT Norms Pro Light"/>
                <w:b w:val="0"/>
                <w:sz w:val="14"/>
              </w:rPr>
              <w:t>Research</w:t>
            </w:r>
            <w:r>
              <w:rPr>
                <w:rFonts w:ascii="TT Norms Pro Light"/>
                <w:b w:val="0"/>
                <w:spacing w:val="7"/>
                <w:sz w:val="14"/>
              </w:rPr>
              <w:t> </w:t>
            </w:r>
            <w:r>
              <w:rPr>
                <w:rFonts w:ascii="TT Norms Pro Light"/>
                <w:b w:val="0"/>
                <w:spacing w:val="-4"/>
                <w:sz w:val="14"/>
              </w:rPr>
              <w:t>only</w:t>
            </w:r>
          </w:p>
        </w:tc>
        <w:tc>
          <w:tcPr>
            <w:tcW w:w="928" w:type="dxa"/>
            <w:shd w:val="clear" w:color="auto" w:fill="E6E7E8"/>
          </w:tcPr>
          <w:p>
            <w:pPr>
              <w:pStyle w:val="TableParagraph"/>
              <w:spacing w:before="68"/>
              <w:ind w:right="81"/>
              <w:jc w:val="right"/>
              <w:rPr>
                <w:rFonts w:ascii="TT Norms Pro Light"/>
                <w:b w:val="0"/>
                <w:sz w:val="14"/>
              </w:rPr>
            </w:pPr>
            <w:r>
              <w:rPr>
                <w:rFonts w:ascii="TT Norms Pro Light"/>
                <w:b w:val="0"/>
                <w:spacing w:val="-5"/>
                <w:sz w:val="14"/>
              </w:rPr>
              <w:t>1.8</w:t>
            </w:r>
          </w:p>
        </w:tc>
        <w:tc>
          <w:tcPr>
            <w:tcW w:w="928" w:type="dxa"/>
          </w:tcPr>
          <w:p>
            <w:pPr>
              <w:pStyle w:val="TableParagraph"/>
              <w:spacing w:before="68"/>
              <w:ind w:right="80"/>
              <w:jc w:val="right"/>
              <w:rPr>
                <w:rFonts w:ascii="TT Norms Pro Light"/>
                <w:b w:val="0"/>
                <w:sz w:val="14"/>
              </w:rPr>
            </w:pPr>
            <w:r>
              <w:rPr>
                <w:rFonts w:ascii="TT Norms Pro Light"/>
                <w:b w:val="0"/>
                <w:spacing w:val="-5"/>
                <w:sz w:val="14"/>
              </w:rPr>
              <w:t>1.3</w:t>
            </w:r>
          </w:p>
        </w:tc>
        <w:tc>
          <w:tcPr>
            <w:tcW w:w="928" w:type="dxa"/>
            <w:shd w:val="clear" w:color="auto" w:fill="E6E7E8"/>
          </w:tcPr>
          <w:p>
            <w:pPr>
              <w:pStyle w:val="TableParagraph"/>
              <w:spacing w:before="68"/>
              <w:ind w:right="78"/>
              <w:jc w:val="right"/>
              <w:rPr>
                <w:rFonts w:ascii="TT Norms Pro Light"/>
                <w:b w:val="0"/>
                <w:sz w:val="14"/>
              </w:rPr>
            </w:pPr>
            <w:r>
              <w:rPr>
                <w:rFonts w:ascii="TT Norms Pro Light"/>
                <w:b w:val="0"/>
                <w:spacing w:val="-5"/>
                <w:sz w:val="14"/>
              </w:rPr>
              <w:t>1.0</w:t>
            </w:r>
          </w:p>
        </w:tc>
        <w:tc>
          <w:tcPr>
            <w:tcW w:w="928" w:type="dxa"/>
          </w:tcPr>
          <w:p>
            <w:pPr>
              <w:pStyle w:val="TableParagraph"/>
              <w:spacing w:before="68"/>
              <w:ind w:right="78"/>
              <w:jc w:val="right"/>
              <w:rPr>
                <w:rFonts w:ascii="TT Norms Pro Light"/>
                <w:b w:val="0"/>
                <w:sz w:val="14"/>
              </w:rPr>
            </w:pPr>
            <w:r>
              <w:rPr>
                <w:rFonts w:ascii="TT Norms Pro Light"/>
                <w:b w:val="0"/>
                <w:spacing w:val="-4"/>
                <w:sz w:val="14"/>
              </w:rPr>
              <w:t>13.8</w:t>
            </w:r>
          </w:p>
        </w:tc>
        <w:tc>
          <w:tcPr>
            <w:tcW w:w="928" w:type="dxa"/>
            <w:shd w:val="clear" w:color="auto" w:fill="E6E7E8"/>
          </w:tcPr>
          <w:p>
            <w:pPr>
              <w:pStyle w:val="TableParagraph"/>
              <w:spacing w:before="68"/>
              <w:ind w:right="77"/>
              <w:jc w:val="right"/>
              <w:rPr>
                <w:rFonts w:ascii="TT Norms Pro Light"/>
                <w:b w:val="0"/>
                <w:sz w:val="14"/>
              </w:rPr>
            </w:pPr>
            <w:r>
              <w:rPr>
                <w:rFonts w:ascii="TT Norms Pro Light"/>
                <w:b w:val="0"/>
                <w:spacing w:val="-4"/>
                <w:sz w:val="14"/>
              </w:rPr>
              <w:t>12.6</w:t>
            </w:r>
          </w:p>
        </w:tc>
        <w:tc>
          <w:tcPr>
            <w:tcW w:w="928" w:type="dxa"/>
          </w:tcPr>
          <w:p>
            <w:pPr>
              <w:pStyle w:val="TableParagraph"/>
              <w:spacing w:before="68"/>
              <w:ind w:right="77"/>
              <w:jc w:val="right"/>
              <w:rPr>
                <w:rFonts w:ascii="TT Norms Pro Light"/>
                <w:b w:val="0"/>
                <w:sz w:val="14"/>
              </w:rPr>
            </w:pPr>
            <w:r>
              <w:rPr>
                <w:rFonts w:ascii="TT Norms Pro Light"/>
                <w:b w:val="0"/>
                <w:spacing w:val="-5"/>
                <w:sz w:val="14"/>
              </w:rPr>
              <w:t>9.6</w:t>
            </w:r>
          </w:p>
        </w:tc>
        <w:tc>
          <w:tcPr>
            <w:tcW w:w="928" w:type="dxa"/>
            <w:shd w:val="clear" w:color="auto" w:fill="E6E7E8"/>
          </w:tcPr>
          <w:p>
            <w:pPr>
              <w:pStyle w:val="TableParagraph"/>
              <w:spacing w:before="68"/>
              <w:ind w:right="75"/>
              <w:jc w:val="right"/>
              <w:rPr>
                <w:rFonts w:ascii="TT Norms Pro Light"/>
                <w:b w:val="0"/>
                <w:sz w:val="14"/>
              </w:rPr>
            </w:pPr>
            <w:r>
              <w:rPr>
                <w:rFonts w:ascii="TT Norms Pro Light"/>
                <w:b w:val="0"/>
                <w:spacing w:val="-4"/>
                <w:sz w:val="14"/>
              </w:rPr>
              <w:t>12.0</w:t>
            </w:r>
          </w:p>
        </w:tc>
      </w:tr>
      <w:tr>
        <w:trPr>
          <w:trHeight w:val="283" w:hRule="atLeast"/>
        </w:trPr>
        <w:tc>
          <w:tcPr>
            <w:tcW w:w="1559" w:type="dxa"/>
            <w:shd w:val="clear" w:color="auto" w:fill="E6E7E8"/>
          </w:tcPr>
          <w:p>
            <w:pPr>
              <w:pStyle w:val="TableParagraph"/>
              <w:rPr>
                <w:rFonts w:ascii="Times New Roman"/>
                <w:sz w:val="14"/>
              </w:rPr>
            </w:pPr>
          </w:p>
        </w:tc>
        <w:tc>
          <w:tcPr>
            <w:tcW w:w="1587" w:type="dxa"/>
          </w:tcPr>
          <w:p>
            <w:pPr>
              <w:pStyle w:val="TableParagraph"/>
              <w:spacing w:before="68"/>
              <w:ind w:left="85"/>
              <w:rPr>
                <w:rFonts w:ascii="TT Norms Pro Light"/>
                <w:b w:val="0"/>
                <w:sz w:val="14"/>
              </w:rPr>
            </w:pPr>
            <w:r>
              <w:rPr>
                <w:rFonts w:ascii="TT Norms Pro Light"/>
                <w:b w:val="0"/>
                <w:sz w:val="14"/>
              </w:rPr>
              <w:t>Sub-</w:t>
            </w:r>
            <w:r>
              <w:rPr>
                <w:rFonts w:ascii="TT Norms Pro Light"/>
                <w:b w:val="0"/>
                <w:spacing w:val="-4"/>
                <w:sz w:val="14"/>
              </w:rPr>
              <w:t>total</w:t>
            </w:r>
          </w:p>
        </w:tc>
        <w:tc>
          <w:tcPr>
            <w:tcW w:w="928" w:type="dxa"/>
            <w:shd w:val="clear" w:color="auto" w:fill="E6E7E8"/>
          </w:tcPr>
          <w:p>
            <w:pPr>
              <w:pStyle w:val="TableParagraph"/>
              <w:spacing w:before="68"/>
              <w:ind w:right="85"/>
              <w:jc w:val="right"/>
              <w:rPr>
                <w:rFonts w:ascii="TT Norms Pro Light"/>
                <w:b w:val="0"/>
                <w:sz w:val="14"/>
              </w:rPr>
            </w:pPr>
            <w:r>
              <w:rPr>
                <w:rFonts w:ascii="TT Norms Pro Light"/>
                <w:b w:val="0"/>
                <w:spacing w:val="-2"/>
                <w:sz w:val="14"/>
              </w:rPr>
              <w:t>1,106.9</w:t>
            </w:r>
          </w:p>
        </w:tc>
        <w:tc>
          <w:tcPr>
            <w:tcW w:w="928" w:type="dxa"/>
          </w:tcPr>
          <w:p>
            <w:pPr>
              <w:pStyle w:val="TableParagraph"/>
              <w:spacing w:before="68"/>
              <w:ind w:right="80"/>
              <w:jc w:val="right"/>
              <w:rPr>
                <w:rFonts w:ascii="TT Norms Pro Light"/>
                <w:b w:val="0"/>
                <w:sz w:val="14"/>
              </w:rPr>
            </w:pPr>
            <w:r>
              <w:rPr>
                <w:rFonts w:ascii="TT Norms Pro Light"/>
                <w:b w:val="0"/>
                <w:spacing w:val="-2"/>
                <w:sz w:val="14"/>
              </w:rPr>
              <w:t>1,079.1</w:t>
            </w:r>
          </w:p>
        </w:tc>
        <w:tc>
          <w:tcPr>
            <w:tcW w:w="928" w:type="dxa"/>
            <w:shd w:val="clear" w:color="auto" w:fill="E6E7E8"/>
          </w:tcPr>
          <w:p>
            <w:pPr>
              <w:pStyle w:val="TableParagraph"/>
              <w:spacing w:before="68"/>
              <w:ind w:right="79"/>
              <w:jc w:val="right"/>
              <w:rPr>
                <w:rFonts w:ascii="TT Norms Pro Light"/>
                <w:b w:val="0"/>
                <w:sz w:val="14"/>
              </w:rPr>
            </w:pPr>
            <w:r>
              <w:rPr>
                <w:rFonts w:ascii="TT Norms Pro Light"/>
                <w:b w:val="0"/>
                <w:spacing w:val="-2"/>
                <w:sz w:val="14"/>
              </w:rPr>
              <w:t>1,074.0</w:t>
            </w:r>
          </w:p>
        </w:tc>
        <w:tc>
          <w:tcPr>
            <w:tcW w:w="928" w:type="dxa"/>
          </w:tcPr>
          <w:p>
            <w:pPr>
              <w:pStyle w:val="TableParagraph"/>
              <w:spacing w:before="68"/>
              <w:ind w:right="78"/>
              <w:jc w:val="right"/>
              <w:rPr>
                <w:rFonts w:ascii="TT Norms Pro Light"/>
                <w:b w:val="0"/>
                <w:sz w:val="14"/>
              </w:rPr>
            </w:pPr>
            <w:r>
              <w:rPr>
                <w:rFonts w:ascii="TT Norms Pro Light"/>
                <w:b w:val="0"/>
                <w:spacing w:val="-2"/>
                <w:sz w:val="14"/>
              </w:rPr>
              <w:t>1,379.1</w:t>
            </w:r>
          </w:p>
        </w:tc>
        <w:tc>
          <w:tcPr>
            <w:tcW w:w="928" w:type="dxa"/>
            <w:shd w:val="clear" w:color="auto" w:fill="E6E7E8"/>
          </w:tcPr>
          <w:p>
            <w:pPr>
              <w:pStyle w:val="TableParagraph"/>
              <w:spacing w:before="68"/>
              <w:ind w:right="76"/>
              <w:jc w:val="right"/>
              <w:rPr>
                <w:rFonts w:ascii="TT Norms Pro Light"/>
                <w:b w:val="0"/>
                <w:sz w:val="14"/>
              </w:rPr>
            </w:pPr>
            <w:r>
              <w:rPr>
                <w:rFonts w:ascii="TT Norms Pro Light"/>
                <w:b w:val="0"/>
                <w:spacing w:val="-2"/>
                <w:sz w:val="14"/>
              </w:rPr>
              <w:t>1,505.0</w:t>
            </w:r>
          </w:p>
        </w:tc>
        <w:tc>
          <w:tcPr>
            <w:tcW w:w="928" w:type="dxa"/>
          </w:tcPr>
          <w:p>
            <w:pPr>
              <w:pStyle w:val="TableParagraph"/>
              <w:spacing w:before="68"/>
              <w:ind w:right="72"/>
              <w:jc w:val="right"/>
              <w:rPr>
                <w:rFonts w:ascii="TT Norms Pro Light"/>
                <w:b w:val="0"/>
                <w:sz w:val="14"/>
              </w:rPr>
            </w:pPr>
            <w:r>
              <w:rPr>
                <w:rFonts w:ascii="TT Norms Pro Light"/>
                <w:b w:val="0"/>
                <w:spacing w:val="-2"/>
                <w:sz w:val="14"/>
              </w:rPr>
              <w:t>1,551.8</w:t>
            </w:r>
          </w:p>
        </w:tc>
        <w:tc>
          <w:tcPr>
            <w:tcW w:w="928" w:type="dxa"/>
            <w:shd w:val="clear" w:color="auto" w:fill="E6E7E8"/>
          </w:tcPr>
          <w:p>
            <w:pPr>
              <w:pStyle w:val="TableParagraph"/>
              <w:spacing w:before="68"/>
              <w:ind w:right="76"/>
              <w:jc w:val="right"/>
              <w:rPr>
                <w:rFonts w:ascii="TT Norms Pro Light"/>
                <w:b w:val="0"/>
                <w:sz w:val="14"/>
              </w:rPr>
            </w:pPr>
            <w:r>
              <w:rPr>
                <w:rFonts w:ascii="TT Norms Pro Light"/>
                <w:b w:val="0"/>
                <w:spacing w:val="-2"/>
                <w:sz w:val="14"/>
              </w:rPr>
              <w:t>1,583.1</w:t>
            </w:r>
          </w:p>
        </w:tc>
      </w:tr>
      <w:tr>
        <w:trPr>
          <w:trHeight w:val="323" w:hRule="atLeast"/>
        </w:trPr>
        <w:tc>
          <w:tcPr>
            <w:tcW w:w="1559" w:type="dxa"/>
            <w:tcBorders>
              <w:bottom w:val="single" w:sz="4" w:space="0" w:color="000000"/>
            </w:tcBorders>
            <w:shd w:val="clear" w:color="auto" w:fill="E6E7E8"/>
          </w:tcPr>
          <w:p>
            <w:pPr>
              <w:pStyle w:val="TableParagraph"/>
              <w:spacing w:before="68"/>
              <w:ind w:left="57"/>
              <w:rPr>
                <w:rFonts w:ascii="TT Norms Pro"/>
                <w:sz w:val="14"/>
              </w:rPr>
            </w:pPr>
            <w:r>
              <w:rPr>
                <w:rFonts w:ascii="TT Norms Pro"/>
                <w:spacing w:val="-2"/>
                <w:sz w:val="14"/>
              </w:rPr>
              <w:t>Total</w:t>
            </w:r>
          </w:p>
        </w:tc>
        <w:tc>
          <w:tcPr>
            <w:tcW w:w="1587" w:type="dxa"/>
            <w:tcBorders>
              <w:bottom w:val="single" w:sz="4" w:space="0" w:color="000000"/>
            </w:tcBorders>
          </w:tcPr>
          <w:p>
            <w:pPr>
              <w:pStyle w:val="TableParagraph"/>
              <w:rPr>
                <w:rFonts w:ascii="Times New Roman"/>
                <w:sz w:val="14"/>
              </w:rPr>
            </w:pPr>
          </w:p>
        </w:tc>
        <w:tc>
          <w:tcPr>
            <w:tcW w:w="928" w:type="dxa"/>
            <w:tcBorders>
              <w:bottom w:val="single" w:sz="4" w:space="0" w:color="000000"/>
            </w:tcBorders>
            <w:shd w:val="clear" w:color="auto" w:fill="E6E7E8"/>
          </w:tcPr>
          <w:p>
            <w:pPr>
              <w:pStyle w:val="TableParagraph"/>
              <w:spacing w:before="68"/>
              <w:ind w:right="81"/>
              <w:jc w:val="right"/>
              <w:rPr>
                <w:rFonts w:ascii="TT Norms Pro Light"/>
                <w:b w:val="0"/>
                <w:sz w:val="14"/>
              </w:rPr>
            </w:pPr>
            <w:r>
              <w:rPr>
                <w:rFonts w:ascii="TT Norms Pro Light"/>
                <w:b w:val="0"/>
                <w:spacing w:val="-2"/>
                <w:sz w:val="14"/>
              </w:rPr>
              <w:t>1,130.1</w:t>
            </w:r>
          </w:p>
        </w:tc>
        <w:tc>
          <w:tcPr>
            <w:tcW w:w="928" w:type="dxa"/>
            <w:tcBorders>
              <w:bottom w:val="single" w:sz="4" w:space="0" w:color="000000"/>
            </w:tcBorders>
          </w:tcPr>
          <w:p>
            <w:pPr>
              <w:pStyle w:val="TableParagraph"/>
              <w:spacing w:before="68"/>
              <w:ind w:right="80"/>
              <w:jc w:val="right"/>
              <w:rPr>
                <w:rFonts w:ascii="TT Norms Pro Light"/>
                <w:b w:val="0"/>
                <w:sz w:val="14"/>
              </w:rPr>
            </w:pPr>
            <w:r>
              <w:rPr>
                <w:rFonts w:ascii="TT Norms Pro Light"/>
                <w:b w:val="0"/>
                <w:spacing w:val="-2"/>
                <w:sz w:val="14"/>
              </w:rPr>
              <w:t>1,103.3</w:t>
            </w:r>
          </w:p>
        </w:tc>
        <w:tc>
          <w:tcPr>
            <w:tcW w:w="928" w:type="dxa"/>
            <w:tcBorders>
              <w:bottom w:val="single" w:sz="4" w:space="0" w:color="000000"/>
            </w:tcBorders>
            <w:shd w:val="clear" w:color="auto" w:fill="E6E7E8"/>
          </w:tcPr>
          <w:p>
            <w:pPr>
              <w:pStyle w:val="TableParagraph"/>
              <w:spacing w:before="68"/>
              <w:ind w:right="79"/>
              <w:jc w:val="right"/>
              <w:rPr>
                <w:rFonts w:ascii="TT Norms Pro Light"/>
                <w:b w:val="0"/>
                <w:sz w:val="14"/>
              </w:rPr>
            </w:pPr>
            <w:r>
              <w:rPr>
                <w:rFonts w:ascii="TT Norms Pro Light"/>
                <w:b w:val="0"/>
                <w:spacing w:val="-2"/>
                <w:sz w:val="14"/>
              </w:rPr>
              <w:t>1,098.2</w:t>
            </w:r>
          </w:p>
        </w:tc>
        <w:tc>
          <w:tcPr>
            <w:tcW w:w="928" w:type="dxa"/>
            <w:tcBorders>
              <w:bottom w:val="single" w:sz="4" w:space="0" w:color="000000"/>
            </w:tcBorders>
          </w:tcPr>
          <w:p>
            <w:pPr>
              <w:pStyle w:val="TableParagraph"/>
              <w:spacing w:before="68"/>
              <w:ind w:right="78"/>
              <w:jc w:val="right"/>
              <w:rPr>
                <w:rFonts w:ascii="TT Norms Pro Light"/>
                <w:b w:val="0"/>
                <w:sz w:val="14"/>
              </w:rPr>
            </w:pPr>
            <w:r>
              <w:rPr>
                <w:rFonts w:ascii="TT Norms Pro Light"/>
                <w:b w:val="0"/>
                <w:spacing w:val="-2"/>
                <w:sz w:val="14"/>
              </w:rPr>
              <w:t>1,401.2</w:t>
            </w:r>
          </w:p>
        </w:tc>
        <w:tc>
          <w:tcPr>
            <w:tcW w:w="928" w:type="dxa"/>
            <w:tcBorders>
              <w:bottom w:val="single" w:sz="4" w:space="0" w:color="000000"/>
            </w:tcBorders>
            <w:shd w:val="clear" w:color="auto" w:fill="E6E7E8"/>
          </w:tcPr>
          <w:p>
            <w:pPr>
              <w:pStyle w:val="TableParagraph"/>
              <w:spacing w:before="68"/>
              <w:ind w:right="77"/>
              <w:jc w:val="right"/>
              <w:rPr>
                <w:rFonts w:ascii="TT Norms Pro Light"/>
                <w:b w:val="0"/>
                <w:sz w:val="14"/>
              </w:rPr>
            </w:pPr>
            <w:r>
              <w:rPr>
                <w:rFonts w:ascii="TT Norms Pro Light"/>
                <w:b w:val="0"/>
                <w:spacing w:val="-2"/>
                <w:sz w:val="14"/>
              </w:rPr>
              <w:t>1,526.5</w:t>
            </w:r>
          </w:p>
        </w:tc>
        <w:tc>
          <w:tcPr>
            <w:tcW w:w="928" w:type="dxa"/>
            <w:tcBorders>
              <w:bottom w:val="single" w:sz="4" w:space="0" w:color="000000"/>
            </w:tcBorders>
          </w:tcPr>
          <w:p>
            <w:pPr>
              <w:pStyle w:val="TableParagraph"/>
              <w:spacing w:before="68"/>
              <w:ind w:right="76"/>
              <w:jc w:val="right"/>
              <w:rPr>
                <w:rFonts w:ascii="TT Norms Pro Light"/>
                <w:b w:val="0"/>
                <w:sz w:val="14"/>
              </w:rPr>
            </w:pPr>
            <w:r>
              <w:rPr>
                <w:rFonts w:ascii="TT Norms Pro Light"/>
                <w:b w:val="0"/>
                <w:spacing w:val="-2"/>
                <w:sz w:val="14"/>
              </w:rPr>
              <w:t>1,567.5</w:t>
            </w:r>
          </w:p>
        </w:tc>
        <w:tc>
          <w:tcPr>
            <w:tcW w:w="928" w:type="dxa"/>
            <w:tcBorders>
              <w:bottom w:val="single" w:sz="4" w:space="0" w:color="000000"/>
            </w:tcBorders>
            <w:shd w:val="clear" w:color="auto" w:fill="E6E7E8"/>
          </w:tcPr>
          <w:p>
            <w:pPr>
              <w:pStyle w:val="TableParagraph"/>
              <w:spacing w:before="68"/>
              <w:ind w:right="76"/>
              <w:jc w:val="right"/>
              <w:rPr>
                <w:rFonts w:ascii="TT Norms Pro Light"/>
                <w:b w:val="0"/>
                <w:sz w:val="14"/>
              </w:rPr>
            </w:pPr>
            <w:r>
              <w:rPr>
                <w:rFonts w:ascii="TT Norms Pro Light"/>
                <w:b w:val="0"/>
                <w:spacing w:val="-2"/>
                <w:sz w:val="14"/>
              </w:rPr>
              <w:t>1,603.4</w:t>
            </w:r>
          </w:p>
        </w:tc>
      </w:tr>
      <w:tr>
        <w:trPr>
          <w:trHeight w:val="301" w:hRule="atLeast"/>
        </w:trPr>
        <w:tc>
          <w:tcPr>
            <w:tcW w:w="1559" w:type="dxa"/>
            <w:tcBorders>
              <w:top w:val="single" w:sz="4" w:space="0" w:color="000000"/>
              <w:bottom w:val="single" w:sz="4" w:space="0" w:color="000000"/>
            </w:tcBorders>
            <w:shd w:val="clear" w:color="auto" w:fill="E6E7E8"/>
          </w:tcPr>
          <w:p>
            <w:pPr>
              <w:pStyle w:val="TableParagraph"/>
              <w:spacing w:before="47"/>
              <w:ind w:left="56"/>
              <w:rPr>
                <w:rFonts w:ascii="TT Norms Pro"/>
                <w:b/>
                <w:sz w:val="14"/>
              </w:rPr>
            </w:pPr>
            <w:r>
              <w:rPr>
                <w:rFonts w:ascii="TT Norms Pro"/>
                <w:b/>
                <w:sz w:val="14"/>
              </w:rPr>
              <w:t>Grand</w:t>
            </w:r>
            <w:r>
              <w:rPr>
                <w:rFonts w:ascii="TT Norms Pro"/>
                <w:b/>
                <w:spacing w:val="9"/>
                <w:sz w:val="14"/>
              </w:rPr>
              <w:t> </w:t>
            </w:r>
            <w:r>
              <w:rPr>
                <w:rFonts w:ascii="TT Norms Pro"/>
                <w:b/>
                <w:spacing w:val="-2"/>
                <w:sz w:val="14"/>
              </w:rPr>
              <w:t>total</w:t>
            </w:r>
          </w:p>
        </w:tc>
        <w:tc>
          <w:tcPr>
            <w:tcW w:w="1587" w:type="dxa"/>
            <w:tcBorders>
              <w:top w:val="single" w:sz="4" w:space="0" w:color="000000"/>
              <w:bottom w:val="single" w:sz="4" w:space="0" w:color="000000"/>
            </w:tcBorders>
          </w:tcPr>
          <w:p>
            <w:pPr>
              <w:pStyle w:val="TableParagraph"/>
              <w:rPr>
                <w:rFonts w:ascii="Times New Roman"/>
                <w:sz w:val="14"/>
              </w:rPr>
            </w:pPr>
          </w:p>
        </w:tc>
        <w:tc>
          <w:tcPr>
            <w:tcW w:w="928" w:type="dxa"/>
            <w:tcBorders>
              <w:top w:val="single" w:sz="4" w:space="0" w:color="000000"/>
              <w:bottom w:val="single" w:sz="4" w:space="0" w:color="000000"/>
            </w:tcBorders>
            <w:shd w:val="clear" w:color="auto" w:fill="E6E7E8"/>
          </w:tcPr>
          <w:p>
            <w:pPr>
              <w:pStyle w:val="TableParagraph"/>
              <w:spacing w:before="47"/>
              <w:ind w:right="81"/>
              <w:jc w:val="right"/>
              <w:rPr>
                <w:rFonts w:ascii="TT Norms Pro Light"/>
                <w:b w:val="0"/>
                <w:sz w:val="14"/>
              </w:rPr>
            </w:pPr>
            <w:r>
              <w:rPr>
                <w:rFonts w:ascii="TT Norms Pro Light"/>
                <w:b w:val="0"/>
                <w:spacing w:val="-2"/>
                <w:sz w:val="14"/>
              </w:rPr>
              <w:t>3,756.6</w:t>
            </w:r>
          </w:p>
        </w:tc>
        <w:tc>
          <w:tcPr>
            <w:tcW w:w="928" w:type="dxa"/>
            <w:tcBorders>
              <w:top w:val="single" w:sz="4" w:space="0" w:color="000000"/>
              <w:bottom w:val="single" w:sz="4" w:space="0" w:color="000000"/>
            </w:tcBorders>
          </w:tcPr>
          <w:p>
            <w:pPr>
              <w:pStyle w:val="TableParagraph"/>
              <w:spacing w:before="47"/>
              <w:ind w:right="80"/>
              <w:jc w:val="right"/>
              <w:rPr>
                <w:rFonts w:ascii="TT Norms Pro Light"/>
                <w:b w:val="0"/>
                <w:sz w:val="14"/>
              </w:rPr>
            </w:pPr>
            <w:r>
              <w:rPr>
                <w:rFonts w:ascii="TT Norms Pro Light"/>
                <w:b w:val="0"/>
                <w:spacing w:val="-2"/>
                <w:sz w:val="14"/>
              </w:rPr>
              <w:t>3,676.8</w:t>
            </w:r>
          </w:p>
        </w:tc>
        <w:tc>
          <w:tcPr>
            <w:tcW w:w="928" w:type="dxa"/>
            <w:tcBorders>
              <w:top w:val="single" w:sz="4" w:space="0" w:color="000000"/>
              <w:bottom w:val="single" w:sz="4" w:space="0" w:color="000000"/>
            </w:tcBorders>
            <w:shd w:val="clear" w:color="auto" w:fill="E6E7E8"/>
          </w:tcPr>
          <w:p>
            <w:pPr>
              <w:pStyle w:val="TableParagraph"/>
              <w:spacing w:before="47"/>
              <w:ind w:right="79"/>
              <w:jc w:val="right"/>
              <w:rPr>
                <w:rFonts w:ascii="TT Norms Pro Light"/>
                <w:b w:val="0"/>
                <w:sz w:val="14"/>
              </w:rPr>
            </w:pPr>
            <w:r>
              <w:rPr>
                <w:rFonts w:ascii="TT Norms Pro Light"/>
                <w:b w:val="0"/>
                <w:spacing w:val="-2"/>
                <w:sz w:val="14"/>
              </w:rPr>
              <w:t>3,559.0</w:t>
            </w:r>
          </w:p>
        </w:tc>
        <w:tc>
          <w:tcPr>
            <w:tcW w:w="928" w:type="dxa"/>
            <w:tcBorders>
              <w:top w:val="single" w:sz="4" w:space="0" w:color="000000"/>
              <w:bottom w:val="single" w:sz="4" w:space="0" w:color="000000"/>
            </w:tcBorders>
          </w:tcPr>
          <w:p>
            <w:pPr>
              <w:pStyle w:val="TableParagraph"/>
              <w:spacing w:before="47"/>
              <w:ind w:right="78"/>
              <w:jc w:val="right"/>
              <w:rPr>
                <w:rFonts w:ascii="TT Norms Pro Light"/>
                <w:b w:val="0"/>
                <w:sz w:val="14"/>
              </w:rPr>
            </w:pPr>
            <w:r>
              <w:rPr>
                <w:rFonts w:ascii="TT Norms Pro Light"/>
                <w:b w:val="0"/>
                <w:spacing w:val="-2"/>
                <w:sz w:val="14"/>
              </w:rPr>
              <w:t>3,264.2</w:t>
            </w:r>
          </w:p>
        </w:tc>
        <w:tc>
          <w:tcPr>
            <w:tcW w:w="928" w:type="dxa"/>
            <w:tcBorders>
              <w:top w:val="single" w:sz="4" w:space="0" w:color="000000"/>
              <w:bottom w:val="single" w:sz="4" w:space="0" w:color="000000"/>
            </w:tcBorders>
            <w:shd w:val="clear" w:color="auto" w:fill="E6E7E8"/>
          </w:tcPr>
          <w:p>
            <w:pPr>
              <w:pStyle w:val="TableParagraph"/>
              <w:spacing w:before="47"/>
              <w:ind w:right="78"/>
              <w:jc w:val="right"/>
              <w:rPr>
                <w:rFonts w:ascii="TT Norms Pro Light"/>
                <w:b w:val="0"/>
                <w:sz w:val="14"/>
              </w:rPr>
            </w:pPr>
            <w:r>
              <w:rPr>
                <w:rFonts w:ascii="TT Norms Pro Light"/>
                <w:b w:val="0"/>
                <w:spacing w:val="-2"/>
                <w:sz w:val="14"/>
              </w:rPr>
              <w:t>3,306.9</w:t>
            </w:r>
          </w:p>
        </w:tc>
        <w:tc>
          <w:tcPr>
            <w:tcW w:w="928" w:type="dxa"/>
            <w:tcBorders>
              <w:top w:val="single" w:sz="4" w:space="0" w:color="000000"/>
              <w:bottom w:val="single" w:sz="4" w:space="0" w:color="000000"/>
            </w:tcBorders>
          </w:tcPr>
          <w:p>
            <w:pPr>
              <w:pStyle w:val="TableParagraph"/>
              <w:spacing w:before="47"/>
              <w:ind w:right="77"/>
              <w:jc w:val="right"/>
              <w:rPr>
                <w:rFonts w:ascii="TT Norms Pro Light"/>
                <w:b w:val="0"/>
                <w:sz w:val="14"/>
              </w:rPr>
            </w:pPr>
            <w:r>
              <w:rPr>
                <w:rFonts w:ascii="TT Norms Pro Light"/>
                <w:b w:val="0"/>
                <w:spacing w:val="-2"/>
                <w:sz w:val="14"/>
              </w:rPr>
              <w:t>3,347.7</w:t>
            </w:r>
          </w:p>
        </w:tc>
        <w:tc>
          <w:tcPr>
            <w:tcW w:w="928" w:type="dxa"/>
            <w:tcBorders>
              <w:top w:val="single" w:sz="4" w:space="0" w:color="000000"/>
              <w:bottom w:val="single" w:sz="4" w:space="0" w:color="000000"/>
            </w:tcBorders>
            <w:shd w:val="clear" w:color="auto" w:fill="E6E7E8"/>
          </w:tcPr>
          <w:p>
            <w:pPr>
              <w:pStyle w:val="TableParagraph"/>
              <w:spacing w:before="47"/>
              <w:ind w:right="76"/>
              <w:jc w:val="right"/>
              <w:rPr>
                <w:rFonts w:ascii="TT Norms Pro Light"/>
                <w:b w:val="0"/>
                <w:sz w:val="14"/>
              </w:rPr>
            </w:pPr>
            <w:r>
              <w:rPr>
                <w:rFonts w:ascii="TT Norms Pro Light"/>
                <w:b w:val="0"/>
                <w:spacing w:val="-2"/>
                <w:sz w:val="14"/>
              </w:rPr>
              <w:t>3,390.8</w:t>
            </w:r>
          </w:p>
        </w:tc>
      </w:tr>
    </w:tbl>
    <w:p>
      <w:pPr>
        <w:spacing w:after="0"/>
        <w:jc w:val="right"/>
        <w:rPr>
          <w:rFonts w:ascii="TT Norms Pro Light"/>
          <w:sz w:val="14"/>
        </w:rPr>
        <w:sectPr>
          <w:pgSz w:w="11910" w:h="16840"/>
          <w:pgMar w:header="468" w:footer="0" w:top="720" w:bottom="0" w:left="920" w:right="0"/>
        </w:sectPr>
      </w:pPr>
    </w:p>
    <w:p>
      <w:pPr>
        <w:pStyle w:val="BodyText"/>
        <w:rPr>
          <w:rFonts w:ascii="TT Norms Pro"/>
          <w:b/>
          <w:sz w:val="16"/>
        </w:rPr>
      </w:pPr>
    </w:p>
    <w:p>
      <w:pPr>
        <w:pStyle w:val="BodyText"/>
        <w:rPr>
          <w:rFonts w:ascii="TT Norms Pro"/>
          <w:b/>
          <w:sz w:val="16"/>
        </w:rPr>
      </w:pPr>
    </w:p>
    <w:p>
      <w:pPr>
        <w:pStyle w:val="BodyText"/>
        <w:spacing w:before="126"/>
        <w:rPr>
          <w:rFonts w:ascii="TT Norms Pro"/>
          <w:b/>
          <w:sz w:val="16"/>
        </w:rPr>
      </w:pPr>
    </w:p>
    <w:p>
      <w:pPr>
        <w:spacing w:before="0"/>
        <w:ind w:left="228" w:right="0" w:firstLine="0"/>
        <w:jc w:val="left"/>
        <w:rPr>
          <w:rFonts w:ascii="TT Norms Pro Medium"/>
          <w:b/>
          <w:sz w:val="16"/>
        </w:rPr>
      </w:pPr>
      <w:r>
        <w:rPr>
          <w:rFonts w:ascii="TT Norms Pro Medium"/>
          <w:b/>
          <w:spacing w:val="-4"/>
          <w:sz w:val="16"/>
        </w:rPr>
        <w:t>STAFF</w:t>
      </w:r>
      <w:r>
        <w:rPr>
          <w:rFonts w:ascii="TT Norms Pro Medium"/>
          <w:b/>
          <w:spacing w:val="-3"/>
          <w:sz w:val="16"/>
        </w:rPr>
        <w:t> </w:t>
      </w:r>
      <w:r>
        <w:rPr>
          <w:rFonts w:ascii="TT Norms Pro Medium"/>
          <w:b/>
          <w:spacing w:val="-4"/>
          <w:sz w:val="16"/>
        </w:rPr>
        <w:t>FTE</w:t>
      </w:r>
      <w:r>
        <w:rPr>
          <w:rFonts w:ascii="TT Norms Pro Medium"/>
          <w:b/>
          <w:spacing w:val="-3"/>
          <w:sz w:val="16"/>
        </w:rPr>
        <w:t> </w:t>
      </w:r>
      <w:r>
        <w:rPr>
          <w:rFonts w:ascii="TT Norms Pro Medium"/>
          <w:b/>
          <w:spacing w:val="-4"/>
          <w:sz w:val="16"/>
        </w:rPr>
        <w:t>BY</w:t>
      </w:r>
      <w:r>
        <w:rPr>
          <w:rFonts w:ascii="TT Norms Pro Medium"/>
          <w:b/>
          <w:spacing w:val="-2"/>
          <w:sz w:val="16"/>
        </w:rPr>
        <w:t> </w:t>
      </w:r>
      <w:r>
        <w:rPr>
          <w:rFonts w:ascii="TT Norms Pro Medium"/>
          <w:b/>
          <w:spacing w:val="-4"/>
          <w:sz w:val="16"/>
        </w:rPr>
        <w:t>MAJOR</w:t>
      </w:r>
      <w:r>
        <w:rPr>
          <w:rFonts w:ascii="TT Norms Pro Medium"/>
          <w:b/>
          <w:spacing w:val="-3"/>
          <w:sz w:val="16"/>
        </w:rPr>
        <w:t> </w:t>
      </w:r>
      <w:r>
        <w:rPr>
          <w:rFonts w:ascii="TT Norms Pro Medium"/>
          <w:b/>
          <w:spacing w:val="-4"/>
          <w:sz w:val="16"/>
        </w:rPr>
        <w:t>ORGANISATIONAL</w:t>
      </w:r>
      <w:r>
        <w:rPr>
          <w:rFonts w:ascii="TT Norms Pro Medium"/>
          <w:b/>
          <w:spacing w:val="-2"/>
          <w:sz w:val="16"/>
        </w:rPr>
        <w:t> </w:t>
      </w:r>
      <w:r>
        <w:rPr>
          <w:rFonts w:ascii="TT Norms Pro Medium"/>
          <w:b/>
          <w:spacing w:val="-4"/>
          <w:sz w:val="16"/>
        </w:rPr>
        <w:t>UNIT,</w:t>
      </w:r>
      <w:r>
        <w:rPr>
          <w:rFonts w:ascii="TT Norms Pro Medium"/>
          <w:b/>
          <w:spacing w:val="-3"/>
          <w:sz w:val="16"/>
        </w:rPr>
        <w:t> </w:t>
      </w:r>
      <w:r>
        <w:rPr>
          <w:rFonts w:ascii="TT Norms Pro Medium"/>
          <w:b/>
          <w:spacing w:val="-4"/>
          <w:sz w:val="16"/>
        </w:rPr>
        <w:t>2020</w:t>
      </w:r>
    </w:p>
    <w:p>
      <w:pPr>
        <w:pStyle w:val="BodyText"/>
        <w:rPr>
          <w:rFonts w:ascii="TT Norms Pro Medium"/>
          <w:b/>
          <w:sz w:val="20"/>
        </w:rPr>
      </w:pPr>
    </w:p>
    <w:p>
      <w:pPr>
        <w:pStyle w:val="BodyText"/>
        <w:rPr>
          <w:rFonts w:ascii="TT Norms Pro Medium"/>
          <w:b/>
          <w:sz w:val="20"/>
        </w:rPr>
      </w:pPr>
    </w:p>
    <w:p>
      <w:pPr>
        <w:pStyle w:val="BodyText"/>
        <w:spacing w:before="14"/>
        <w:rPr>
          <w:rFonts w:ascii="TT Norms Pro Medium"/>
          <w:b/>
          <w:sz w:val="20"/>
        </w:rPr>
      </w:pPr>
    </w:p>
    <w:p>
      <w:pPr>
        <w:spacing w:after="0"/>
        <w:rPr>
          <w:rFonts w:ascii="TT Norms Pro Medium"/>
          <w:sz w:val="20"/>
        </w:rPr>
        <w:sectPr>
          <w:pgSz w:w="11910" w:h="16840"/>
          <w:pgMar w:header="468" w:footer="0" w:top="720" w:bottom="0" w:left="920" w:right="0"/>
        </w:sectPr>
      </w:pPr>
    </w:p>
    <w:p>
      <w:pPr>
        <w:pStyle w:val="BodyText"/>
        <w:spacing w:before="152"/>
        <w:rPr>
          <w:rFonts w:ascii="TT Norms Pro Medium"/>
          <w:b/>
          <w:sz w:val="14"/>
        </w:rPr>
      </w:pPr>
    </w:p>
    <w:p>
      <w:pPr>
        <w:spacing w:line="247" w:lineRule="auto" w:before="0"/>
        <w:ind w:left="236" w:right="38" w:firstLine="0"/>
        <w:jc w:val="left"/>
        <w:rPr>
          <w:rFonts w:ascii="TT Norms Pro Light"/>
          <w:b w:val="0"/>
          <w:sz w:val="14"/>
        </w:rPr>
      </w:pPr>
      <w:r>
        <w:rPr>
          <w:rFonts w:ascii="TT Norms Pro Light"/>
          <w:b w:val="0"/>
          <w:sz w:val="14"/>
        </w:rPr>
        <w:t>Staff in non-academic</w:t>
      </w:r>
      <w:r>
        <w:rPr>
          <w:rFonts w:ascii="TT Norms Pro Light"/>
          <w:b w:val="0"/>
          <w:spacing w:val="40"/>
          <w:sz w:val="14"/>
        </w:rPr>
        <w:t> </w:t>
      </w:r>
      <w:r>
        <w:rPr>
          <w:rFonts w:ascii="TT Norms Pro Light"/>
          <w:b w:val="0"/>
          <w:spacing w:val="-2"/>
          <w:sz w:val="14"/>
        </w:rPr>
        <w:t>organisational</w:t>
      </w:r>
      <w:r>
        <w:rPr>
          <w:rFonts w:ascii="TT Norms Pro Light"/>
          <w:b w:val="0"/>
          <w:spacing w:val="-3"/>
          <w:sz w:val="14"/>
        </w:rPr>
        <w:t> </w:t>
      </w:r>
      <w:r>
        <w:rPr>
          <w:rFonts w:ascii="TT Norms Pro Light"/>
          <w:b w:val="0"/>
          <w:spacing w:val="-2"/>
          <w:sz w:val="14"/>
        </w:rPr>
        <w:t>units</w:t>
      </w:r>
      <w:r>
        <w:rPr>
          <w:rFonts w:ascii="TT Norms Pro Light"/>
          <w:b w:val="0"/>
          <w:spacing w:val="-3"/>
          <w:sz w:val="14"/>
        </w:rPr>
        <w:t> </w:t>
      </w:r>
      <w:r>
        <w:rPr>
          <w:rFonts w:ascii="TT Norms Pro Light"/>
          <w:b w:val="0"/>
          <w:spacing w:val="-2"/>
          <w:sz w:val="14"/>
        </w:rPr>
        <w:t>47.3%</w:t>
      </w:r>
    </w:p>
    <w:p>
      <w:pPr>
        <w:spacing w:line="247" w:lineRule="auto" w:before="117"/>
        <w:ind w:left="236" w:right="3877" w:firstLine="0"/>
        <w:jc w:val="left"/>
        <w:rPr>
          <w:rFonts w:ascii="TT Norms Pro Light"/>
          <w:b w:val="0"/>
          <w:sz w:val="14"/>
        </w:rPr>
      </w:pPr>
      <w:r>
        <w:rPr/>
        <w:br w:type="column"/>
      </w:r>
      <w:r>
        <w:rPr>
          <w:rFonts w:ascii="TT Norms Pro Light"/>
          <w:b w:val="0"/>
          <w:sz w:val="14"/>
        </w:rPr>
        <w:t>Academic teaching and</w:t>
      </w:r>
      <w:r>
        <w:rPr>
          <w:rFonts w:ascii="TT Norms Pro Light"/>
          <w:b w:val="0"/>
          <w:spacing w:val="40"/>
          <w:sz w:val="14"/>
        </w:rPr>
        <w:t> </w:t>
      </w:r>
      <w:r>
        <w:rPr>
          <w:rFonts w:ascii="TT Norms Pro Light"/>
          <w:b w:val="0"/>
          <w:sz w:val="14"/>
        </w:rPr>
        <w:t>research</w:t>
      </w:r>
      <w:r>
        <w:rPr>
          <w:rFonts w:ascii="TT Norms Pro Light"/>
          <w:b w:val="0"/>
          <w:spacing w:val="-7"/>
          <w:sz w:val="14"/>
        </w:rPr>
        <w:t> </w:t>
      </w:r>
      <w:r>
        <w:rPr>
          <w:rFonts w:ascii="TT Norms Pro Light"/>
          <w:b w:val="0"/>
          <w:sz w:val="14"/>
        </w:rPr>
        <w:t>staff</w:t>
      </w:r>
      <w:r>
        <w:rPr>
          <w:rFonts w:ascii="TT Norms Pro Light"/>
          <w:b w:val="0"/>
          <w:spacing w:val="-7"/>
          <w:sz w:val="14"/>
        </w:rPr>
        <w:t> </w:t>
      </w:r>
      <w:r>
        <w:rPr>
          <w:rFonts w:ascii="TT Norms Pro Light"/>
          <w:b w:val="0"/>
          <w:sz w:val="14"/>
        </w:rPr>
        <w:t>in</w:t>
      </w:r>
      <w:r>
        <w:rPr>
          <w:rFonts w:ascii="TT Norms Pro Light"/>
          <w:b w:val="0"/>
          <w:spacing w:val="-7"/>
          <w:sz w:val="14"/>
        </w:rPr>
        <w:t> </w:t>
      </w:r>
      <w:r>
        <w:rPr>
          <w:rFonts w:ascii="TT Norms Pro Light"/>
          <w:b w:val="0"/>
          <w:sz w:val="14"/>
        </w:rPr>
        <w:t>AOUs</w:t>
      </w:r>
      <w:r>
        <w:rPr>
          <w:rFonts w:ascii="TT Norms Pro Light"/>
          <w:b w:val="0"/>
          <w:spacing w:val="-7"/>
          <w:sz w:val="14"/>
        </w:rPr>
        <w:t> </w:t>
      </w:r>
      <w:r>
        <w:rPr>
          <w:rFonts w:ascii="TT Norms Pro Light"/>
          <w:b w:val="0"/>
          <w:sz w:val="14"/>
        </w:rPr>
        <w:t>23.1%</w:t>
      </w:r>
    </w:p>
    <w:p>
      <w:pPr>
        <w:spacing w:after="0" w:line="247" w:lineRule="auto"/>
        <w:jc w:val="left"/>
        <w:rPr>
          <w:rFonts w:ascii="TT Norms Pro Light"/>
          <w:sz w:val="14"/>
        </w:rPr>
        <w:sectPr>
          <w:type w:val="continuous"/>
          <w:pgSz w:w="11910" w:h="16840"/>
          <w:pgMar w:header="468" w:footer="0" w:top="980" w:bottom="280" w:left="920" w:right="0"/>
          <w:cols w:num="2" w:equalWidth="0">
            <w:col w:w="1838" w:space="3323"/>
            <w:col w:w="5829"/>
          </w:cols>
        </w:sectPr>
      </w:pPr>
    </w:p>
    <w:p>
      <w:pPr>
        <w:pStyle w:val="BodyText"/>
        <w:rPr>
          <w:b w:val="0"/>
          <w:sz w:val="14"/>
        </w:rPr>
      </w:pPr>
      <w:r>
        <w:rPr/>
        <mc:AlternateContent>
          <mc:Choice Requires="wps">
            <w:drawing>
              <wp:anchor distT="0" distB="0" distL="0" distR="0" allowOverlap="1" layoutInCell="1" locked="0" behindDoc="0" simplePos="0" relativeHeight="15840256">
                <wp:simplePos x="0" y="0"/>
                <wp:positionH relativeFrom="page">
                  <wp:posOffset>7111289</wp:posOffset>
                </wp:positionH>
                <wp:positionV relativeFrom="page">
                  <wp:posOffset>8136825</wp:posOffset>
                </wp:positionV>
                <wp:extent cx="177800" cy="1848485"/>
                <wp:effectExtent l="0" t="0" r="0" b="0"/>
                <wp:wrapNone/>
                <wp:docPr id="598" name="Textbox 598"/>
                <wp:cNvGraphicFramePr>
                  <a:graphicFrameLocks/>
                </wp:cNvGraphicFramePr>
                <a:graphic>
                  <a:graphicData uri="http://schemas.microsoft.com/office/word/2010/wordprocessingShape">
                    <wps:wsp>
                      <wps:cNvPr id="598" name="Textbox 598"/>
                      <wps:cNvSpPr txBox="1"/>
                      <wps:spPr>
                        <a:xfrm>
                          <a:off x="0" y="0"/>
                          <a:ext cx="177800" cy="184848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640.694885pt;width:14pt;height:145.550pt;mso-position-horizontal-relative:page;mso-position-vertical-relative:page;z-index:15840256" type="#_x0000_t202" id="docshape403"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v:textbox>
                <w10:wrap type="none"/>
              </v:shape>
            </w:pict>
          </mc:Fallback>
        </mc:AlternateContent>
      </w:r>
      <w:r>
        <w:rPr/>
        <w:drawing>
          <wp:anchor distT="0" distB="0" distL="0" distR="0" allowOverlap="1" layoutInCell="1" locked="0" behindDoc="0" simplePos="0" relativeHeight="15840768">
            <wp:simplePos x="0" y="0"/>
            <wp:positionH relativeFrom="page">
              <wp:posOffset>0</wp:posOffset>
            </wp:positionH>
            <wp:positionV relativeFrom="page">
              <wp:posOffset>5481040</wp:posOffset>
            </wp:positionV>
            <wp:extent cx="7559992" cy="5210962"/>
            <wp:effectExtent l="0" t="0" r="0" b="0"/>
            <wp:wrapNone/>
            <wp:docPr id="599" name="Image 599"/>
            <wp:cNvGraphicFramePr>
              <a:graphicFrameLocks/>
            </wp:cNvGraphicFramePr>
            <a:graphic>
              <a:graphicData uri="http://schemas.openxmlformats.org/drawingml/2006/picture">
                <pic:pic>
                  <pic:nvPicPr>
                    <pic:cNvPr id="599" name="Image 599"/>
                    <pic:cNvPicPr/>
                  </pic:nvPicPr>
                  <pic:blipFill>
                    <a:blip r:embed="rId76" cstate="print"/>
                    <a:stretch>
                      <a:fillRect/>
                    </a:stretch>
                  </pic:blipFill>
                  <pic:spPr>
                    <a:xfrm>
                      <a:off x="0" y="0"/>
                      <a:ext cx="7559992" cy="5210962"/>
                    </a:xfrm>
                    <a:prstGeom prst="rect">
                      <a:avLst/>
                    </a:prstGeom>
                  </pic:spPr>
                </pic:pic>
              </a:graphicData>
            </a:graphic>
          </wp:anchor>
        </w:drawing>
      </w: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rPr>
          <w:b w:val="0"/>
          <w:sz w:val="14"/>
        </w:rPr>
      </w:pPr>
    </w:p>
    <w:p>
      <w:pPr>
        <w:pStyle w:val="BodyText"/>
        <w:spacing w:before="13"/>
        <w:rPr>
          <w:b w:val="0"/>
          <w:sz w:val="14"/>
        </w:rPr>
      </w:pPr>
    </w:p>
    <w:p>
      <w:pPr>
        <w:spacing w:line="247" w:lineRule="auto" w:before="0"/>
        <w:ind w:left="6091" w:right="3414" w:firstLine="0"/>
        <w:jc w:val="left"/>
        <w:rPr>
          <w:rFonts w:ascii="TT Norms Pro Light"/>
          <w:b w:val="0"/>
          <w:sz w:val="14"/>
        </w:rPr>
      </w:pPr>
      <w:r>
        <w:rPr>
          <w:rFonts w:ascii="TT Norms Pro Light"/>
          <w:b w:val="0"/>
          <w:sz w:val="14"/>
        </w:rPr>
        <w:t>Academic</w:t>
      </w:r>
      <w:r>
        <w:rPr>
          <w:rFonts w:ascii="TT Norms Pro Light"/>
          <w:b w:val="0"/>
          <w:spacing w:val="-7"/>
          <w:sz w:val="14"/>
        </w:rPr>
        <w:t> </w:t>
      </w:r>
      <w:r>
        <w:rPr>
          <w:rFonts w:ascii="TT Norms Pro Light"/>
          <w:b w:val="0"/>
          <w:sz w:val="14"/>
        </w:rPr>
        <w:t>teaching</w:t>
      </w:r>
      <w:r>
        <w:rPr>
          <w:rFonts w:ascii="TT Norms Pro Light"/>
          <w:b w:val="0"/>
          <w:spacing w:val="-7"/>
          <w:sz w:val="14"/>
        </w:rPr>
        <w:t> </w:t>
      </w:r>
      <w:r>
        <w:rPr>
          <w:rFonts w:ascii="TT Norms Pro Light"/>
          <w:b w:val="0"/>
          <w:sz w:val="14"/>
        </w:rPr>
        <w:t>only</w:t>
      </w:r>
      <w:r>
        <w:rPr>
          <w:rFonts w:ascii="TT Norms Pro Light"/>
          <w:b w:val="0"/>
          <w:spacing w:val="40"/>
          <w:sz w:val="14"/>
        </w:rPr>
        <w:t> </w:t>
      </w:r>
      <w:r>
        <w:rPr>
          <w:rFonts w:ascii="TT Norms Pro Light"/>
          <w:b w:val="0"/>
          <w:sz w:val="14"/>
        </w:rPr>
        <w:t>staff in AOUs 3.7%</w:t>
      </w:r>
    </w:p>
    <w:p>
      <w:pPr>
        <w:pStyle w:val="BodyText"/>
        <w:rPr>
          <w:b w:val="0"/>
          <w:sz w:val="14"/>
        </w:rPr>
      </w:pPr>
    </w:p>
    <w:p>
      <w:pPr>
        <w:pStyle w:val="BodyText"/>
        <w:spacing w:before="69"/>
        <w:rPr>
          <w:b w:val="0"/>
          <w:sz w:val="14"/>
        </w:rPr>
      </w:pPr>
    </w:p>
    <w:p>
      <w:pPr>
        <w:spacing w:line="247" w:lineRule="auto" w:before="0"/>
        <w:ind w:left="5916" w:right="3635" w:firstLine="0"/>
        <w:jc w:val="left"/>
        <w:rPr>
          <w:rFonts w:ascii="TT Norms Pro Light"/>
          <w:b w:val="0"/>
          <w:sz w:val="14"/>
        </w:rPr>
      </w:pPr>
      <w:r>
        <w:rPr>
          <w:rFonts w:ascii="TT Norms Pro Light"/>
          <w:b w:val="0"/>
          <w:sz w:val="14"/>
        </w:rPr>
        <w:t>Academic</w:t>
      </w:r>
      <w:r>
        <w:rPr>
          <w:rFonts w:ascii="TT Norms Pro Light"/>
          <w:b w:val="0"/>
          <w:spacing w:val="-7"/>
          <w:sz w:val="14"/>
        </w:rPr>
        <w:t> </w:t>
      </w:r>
      <w:r>
        <w:rPr>
          <w:rFonts w:ascii="TT Norms Pro Light"/>
          <w:b w:val="0"/>
          <w:sz w:val="14"/>
        </w:rPr>
        <w:t>research</w:t>
      </w:r>
      <w:r>
        <w:rPr>
          <w:rFonts w:ascii="TT Norms Pro Light"/>
          <w:b w:val="0"/>
          <w:spacing w:val="40"/>
          <w:sz w:val="14"/>
        </w:rPr>
        <w:t> </w:t>
      </w:r>
      <w:r>
        <w:rPr>
          <w:rFonts w:ascii="TT Norms Pro Light"/>
          <w:b w:val="0"/>
          <w:sz w:val="14"/>
        </w:rPr>
        <w:t>only</w:t>
      </w:r>
      <w:r>
        <w:rPr>
          <w:rFonts w:ascii="TT Norms Pro Light"/>
          <w:b w:val="0"/>
          <w:spacing w:val="-7"/>
          <w:sz w:val="14"/>
        </w:rPr>
        <w:t> </w:t>
      </w:r>
      <w:r>
        <w:rPr>
          <w:rFonts w:ascii="TT Norms Pro Light"/>
          <w:b w:val="0"/>
          <w:sz w:val="14"/>
        </w:rPr>
        <w:t>staff</w:t>
      </w:r>
      <w:r>
        <w:rPr>
          <w:rFonts w:ascii="TT Norms Pro Light"/>
          <w:b w:val="0"/>
          <w:spacing w:val="-7"/>
          <w:sz w:val="14"/>
        </w:rPr>
        <w:t> </w:t>
      </w:r>
      <w:r>
        <w:rPr>
          <w:rFonts w:ascii="TT Norms Pro Light"/>
          <w:b w:val="0"/>
          <w:sz w:val="14"/>
        </w:rPr>
        <w:t>in</w:t>
      </w:r>
      <w:r>
        <w:rPr>
          <w:rFonts w:ascii="TT Norms Pro Light"/>
          <w:b w:val="0"/>
          <w:spacing w:val="-7"/>
          <w:sz w:val="14"/>
        </w:rPr>
        <w:t> </w:t>
      </w:r>
      <w:r>
        <w:rPr>
          <w:rFonts w:ascii="TT Norms Pro Light"/>
          <w:b w:val="0"/>
          <w:sz w:val="14"/>
        </w:rPr>
        <w:t>AOUs</w:t>
      </w:r>
      <w:r>
        <w:rPr>
          <w:rFonts w:ascii="TT Norms Pro Light"/>
          <w:b w:val="0"/>
          <w:spacing w:val="-7"/>
          <w:sz w:val="14"/>
        </w:rPr>
        <w:t> </w:t>
      </w:r>
      <w:r>
        <w:rPr>
          <w:rFonts w:ascii="TT Norms Pro Light"/>
          <w:b w:val="0"/>
          <w:sz w:val="14"/>
        </w:rPr>
        <w:t>13.7%</w:t>
      </w:r>
    </w:p>
    <w:p>
      <w:pPr>
        <w:pStyle w:val="BodyText"/>
        <w:rPr>
          <w:b w:val="0"/>
          <w:sz w:val="14"/>
        </w:rPr>
      </w:pPr>
    </w:p>
    <w:p>
      <w:pPr>
        <w:pStyle w:val="BodyText"/>
        <w:rPr>
          <w:b w:val="0"/>
          <w:sz w:val="14"/>
        </w:rPr>
      </w:pPr>
    </w:p>
    <w:p>
      <w:pPr>
        <w:pStyle w:val="BodyText"/>
        <w:spacing w:before="144"/>
        <w:rPr>
          <w:b w:val="0"/>
          <w:sz w:val="14"/>
        </w:rPr>
      </w:pPr>
    </w:p>
    <w:p>
      <w:pPr>
        <w:spacing w:line="247" w:lineRule="auto" w:before="1"/>
        <w:ind w:left="5074" w:right="4310" w:firstLine="0"/>
        <w:jc w:val="left"/>
        <w:rPr>
          <w:rFonts w:ascii="TT Norms Pro Light"/>
          <w:b w:val="0"/>
          <w:sz w:val="14"/>
        </w:rPr>
      </w:pPr>
      <w:r>
        <w:rPr>
          <w:rFonts w:ascii="TT Norms Pro Light"/>
          <w:b w:val="0"/>
          <w:sz w:val="14"/>
        </w:rPr>
        <w:t>Professional</w:t>
      </w:r>
      <w:r>
        <w:rPr>
          <w:rFonts w:ascii="TT Norms Pro Light"/>
          <w:b w:val="0"/>
          <w:spacing w:val="-7"/>
          <w:sz w:val="14"/>
        </w:rPr>
        <w:t> </w:t>
      </w:r>
      <w:r>
        <w:rPr>
          <w:rFonts w:ascii="TT Norms Pro Light"/>
          <w:b w:val="0"/>
          <w:sz w:val="14"/>
        </w:rPr>
        <w:t>research</w:t>
      </w:r>
      <w:r>
        <w:rPr>
          <w:rFonts w:ascii="TT Norms Pro Light"/>
          <w:b w:val="0"/>
          <w:spacing w:val="-7"/>
          <w:sz w:val="14"/>
        </w:rPr>
        <w:t> </w:t>
      </w:r>
      <w:r>
        <w:rPr>
          <w:rFonts w:ascii="TT Norms Pro Light"/>
          <w:b w:val="0"/>
          <w:sz w:val="14"/>
        </w:rPr>
        <w:t>only</w:t>
      </w:r>
      <w:r>
        <w:rPr>
          <w:rFonts w:ascii="TT Norms Pro Light"/>
          <w:b w:val="0"/>
          <w:spacing w:val="40"/>
          <w:sz w:val="14"/>
        </w:rPr>
        <w:t> </w:t>
      </w:r>
      <w:r>
        <w:rPr>
          <w:rFonts w:ascii="TT Norms Pro Light"/>
          <w:b w:val="0"/>
          <w:sz w:val="14"/>
        </w:rPr>
        <w:t>staff in AOUs 4.3%</w:t>
      </w:r>
    </w:p>
    <w:p>
      <w:pPr>
        <w:pStyle w:val="BodyText"/>
        <w:rPr>
          <w:b w:val="0"/>
          <w:sz w:val="14"/>
        </w:rPr>
      </w:pPr>
    </w:p>
    <w:p>
      <w:pPr>
        <w:pStyle w:val="BodyText"/>
        <w:spacing w:before="30"/>
        <w:rPr>
          <w:b w:val="0"/>
          <w:sz w:val="14"/>
        </w:rPr>
      </w:pPr>
    </w:p>
    <w:p>
      <w:pPr>
        <w:spacing w:line="247" w:lineRule="auto" w:before="0"/>
        <w:ind w:left="3968" w:right="5571" w:firstLine="0"/>
        <w:jc w:val="left"/>
        <w:rPr>
          <w:rFonts w:ascii="TT Norms Pro Light"/>
          <w:b w:val="0"/>
          <w:sz w:val="14"/>
        </w:rPr>
      </w:pPr>
      <w:r>
        <w:rPr/>
        <mc:AlternateContent>
          <mc:Choice Requires="wps">
            <w:drawing>
              <wp:anchor distT="0" distB="0" distL="0" distR="0" allowOverlap="1" layoutInCell="1" locked="0" behindDoc="1" simplePos="0" relativeHeight="472693248">
                <wp:simplePos x="0" y="0"/>
                <wp:positionH relativeFrom="page">
                  <wp:posOffset>1717570</wp:posOffset>
                </wp:positionH>
                <wp:positionV relativeFrom="paragraph">
                  <wp:posOffset>-2602937</wp:posOffset>
                </wp:positionV>
                <wp:extent cx="2689225" cy="2545715"/>
                <wp:effectExtent l="0" t="0" r="0" b="0"/>
                <wp:wrapNone/>
                <wp:docPr id="600" name="Group 600"/>
                <wp:cNvGraphicFramePr>
                  <a:graphicFrameLocks/>
                </wp:cNvGraphicFramePr>
                <a:graphic>
                  <a:graphicData uri="http://schemas.microsoft.com/office/word/2010/wordprocessingGroup">
                    <wpg:wgp>
                      <wpg:cNvPr id="600" name="Group 600"/>
                      <wpg:cNvGrpSpPr/>
                      <wpg:grpSpPr>
                        <a:xfrm>
                          <a:off x="0" y="0"/>
                          <a:ext cx="2689225" cy="2545715"/>
                          <a:chExt cx="2689225" cy="2545715"/>
                        </a:xfrm>
                      </wpg:grpSpPr>
                      <wps:wsp>
                        <wps:cNvPr id="601" name="Graphic 601"/>
                        <wps:cNvSpPr/>
                        <wps:spPr>
                          <a:xfrm>
                            <a:off x="141399" y="0"/>
                            <a:ext cx="1092835" cy="2172335"/>
                          </a:xfrm>
                          <a:custGeom>
                            <a:avLst/>
                            <a:gdLst/>
                            <a:ahLst/>
                            <a:cxnLst/>
                            <a:rect l="l" t="t" r="r" b="b"/>
                            <a:pathLst>
                              <a:path w="1092835" h="2172335">
                                <a:moveTo>
                                  <a:pt x="1092766" y="0"/>
                                </a:moveTo>
                                <a:lnTo>
                                  <a:pt x="1044058" y="1067"/>
                                </a:lnTo>
                                <a:lnTo>
                                  <a:pt x="995847" y="4243"/>
                                </a:lnTo>
                                <a:lnTo>
                                  <a:pt x="948184" y="9485"/>
                                </a:lnTo>
                                <a:lnTo>
                                  <a:pt x="901116" y="16752"/>
                                </a:lnTo>
                                <a:lnTo>
                                  <a:pt x="854692" y="26003"/>
                                </a:lnTo>
                                <a:lnTo>
                                  <a:pt x="808960" y="37195"/>
                                </a:lnTo>
                                <a:lnTo>
                                  <a:pt x="763969" y="50288"/>
                                </a:lnTo>
                                <a:lnTo>
                                  <a:pt x="719768" y="65240"/>
                                </a:lnTo>
                                <a:lnTo>
                                  <a:pt x="676405" y="82010"/>
                                </a:lnTo>
                                <a:lnTo>
                                  <a:pt x="633929" y="100555"/>
                                </a:lnTo>
                                <a:lnTo>
                                  <a:pt x="592388" y="120835"/>
                                </a:lnTo>
                                <a:lnTo>
                                  <a:pt x="551831" y="142808"/>
                                </a:lnTo>
                                <a:lnTo>
                                  <a:pt x="512306" y="166432"/>
                                </a:lnTo>
                                <a:lnTo>
                                  <a:pt x="473863" y="191667"/>
                                </a:lnTo>
                                <a:lnTo>
                                  <a:pt x="436549" y="218470"/>
                                </a:lnTo>
                                <a:lnTo>
                                  <a:pt x="400413" y="246800"/>
                                </a:lnTo>
                                <a:lnTo>
                                  <a:pt x="365504" y="276615"/>
                                </a:lnTo>
                                <a:lnTo>
                                  <a:pt x="331871" y="307875"/>
                                </a:lnTo>
                                <a:lnTo>
                                  <a:pt x="299561" y="340537"/>
                                </a:lnTo>
                                <a:lnTo>
                                  <a:pt x="268624" y="374560"/>
                                </a:lnTo>
                                <a:lnTo>
                                  <a:pt x="239108" y="409903"/>
                                </a:lnTo>
                                <a:lnTo>
                                  <a:pt x="211062" y="446524"/>
                                </a:lnTo>
                                <a:lnTo>
                                  <a:pt x="184534" y="484382"/>
                                </a:lnTo>
                                <a:lnTo>
                                  <a:pt x="159573" y="523434"/>
                                </a:lnTo>
                                <a:lnTo>
                                  <a:pt x="136227" y="563640"/>
                                </a:lnTo>
                                <a:lnTo>
                                  <a:pt x="114545" y="604959"/>
                                </a:lnTo>
                                <a:lnTo>
                                  <a:pt x="94576" y="647348"/>
                                </a:lnTo>
                                <a:lnTo>
                                  <a:pt x="76368" y="690766"/>
                                </a:lnTo>
                                <a:lnTo>
                                  <a:pt x="59969" y="735172"/>
                                </a:lnTo>
                                <a:lnTo>
                                  <a:pt x="45429" y="780524"/>
                                </a:lnTo>
                                <a:lnTo>
                                  <a:pt x="32796" y="826780"/>
                                </a:lnTo>
                                <a:lnTo>
                                  <a:pt x="22118" y="873900"/>
                                </a:lnTo>
                                <a:lnTo>
                                  <a:pt x="13444" y="921842"/>
                                </a:lnTo>
                                <a:lnTo>
                                  <a:pt x="6881" y="970085"/>
                                </a:lnTo>
                                <a:lnTo>
                                  <a:pt x="2477" y="1018118"/>
                                </a:lnTo>
                                <a:lnTo>
                                  <a:pt x="195" y="1065891"/>
                                </a:lnTo>
                                <a:lnTo>
                                  <a:pt x="0" y="1113352"/>
                                </a:lnTo>
                                <a:lnTo>
                                  <a:pt x="1852" y="1160451"/>
                                </a:lnTo>
                                <a:lnTo>
                                  <a:pt x="5716" y="1207136"/>
                                </a:lnTo>
                                <a:lnTo>
                                  <a:pt x="11555" y="1253357"/>
                                </a:lnTo>
                                <a:lnTo>
                                  <a:pt x="19332" y="1299064"/>
                                </a:lnTo>
                                <a:lnTo>
                                  <a:pt x="29009" y="1344204"/>
                                </a:lnTo>
                                <a:lnTo>
                                  <a:pt x="40551" y="1388728"/>
                                </a:lnTo>
                                <a:lnTo>
                                  <a:pt x="53919" y="1432585"/>
                                </a:lnTo>
                                <a:lnTo>
                                  <a:pt x="69077" y="1475723"/>
                                </a:lnTo>
                                <a:lnTo>
                                  <a:pt x="85989" y="1518093"/>
                                </a:lnTo>
                                <a:lnTo>
                                  <a:pt x="104617" y="1559642"/>
                                </a:lnTo>
                                <a:lnTo>
                                  <a:pt x="124924" y="1600321"/>
                                </a:lnTo>
                                <a:lnTo>
                                  <a:pt x="146873" y="1640078"/>
                                </a:lnTo>
                                <a:lnTo>
                                  <a:pt x="170428" y="1678864"/>
                                </a:lnTo>
                                <a:lnTo>
                                  <a:pt x="195552" y="1716625"/>
                                </a:lnTo>
                                <a:lnTo>
                                  <a:pt x="222207" y="1753313"/>
                                </a:lnTo>
                                <a:lnTo>
                                  <a:pt x="250357" y="1788876"/>
                                </a:lnTo>
                                <a:lnTo>
                                  <a:pt x="279964" y="1823264"/>
                                </a:lnTo>
                                <a:lnTo>
                                  <a:pt x="310993" y="1856425"/>
                                </a:lnTo>
                                <a:lnTo>
                                  <a:pt x="343405" y="1888309"/>
                                </a:lnTo>
                                <a:lnTo>
                                  <a:pt x="377164" y="1918864"/>
                                </a:lnTo>
                                <a:lnTo>
                                  <a:pt x="412233" y="1948041"/>
                                </a:lnTo>
                                <a:lnTo>
                                  <a:pt x="448576" y="1975788"/>
                                </a:lnTo>
                                <a:lnTo>
                                  <a:pt x="486155" y="2002055"/>
                                </a:lnTo>
                                <a:lnTo>
                                  <a:pt x="524933" y="2026790"/>
                                </a:lnTo>
                                <a:lnTo>
                                  <a:pt x="564873" y="2049942"/>
                                </a:lnTo>
                                <a:lnTo>
                                  <a:pt x="605939" y="2071462"/>
                                </a:lnTo>
                                <a:lnTo>
                                  <a:pt x="648093" y="2091298"/>
                                </a:lnTo>
                                <a:lnTo>
                                  <a:pt x="691299" y="2109399"/>
                                </a:lnTo>
                                <a:lnTo>
                                  <a:pt x="735520" y="2125715"/>
                                </a:lnTo>
                                <a:lnTo>
                                  <a:pt x="780718" y="2140194"/>
                                </a:lnTo>
                                <a:lnTo>
                                  <a:pt x="826858" y="2152786"/>
                                </a:lnTo>
                                <a:lnTo>
                                  <a:pt x="873901" y="2163441"/>
                                </a:lnTo>
                                <a:lnTo>
                                  <a:pt x="921811" y="2172106"/>
                                </a:lnTo>
                                <a:lnTo>
                                  <a:pt x="1092766" y="1092771"/>
                                </a:lnTo>
                                <a:lnTo>
                                  <a:pt x="1092766" y="0"/>
                                </a:lnTo>
                                <a:close/>
                              </a:path>
                            </a:pathLst>
                          </a:custGeom>
                          <a:solidFill>
                            <a:srgbClr val="21409A"/>
                          </a:solidFill>
                        </wps:spPr>
                        <wps:bodyPr wrap="square" lIns="0" tIns="0" rIns="0" bIns="0" rtlCol="0">
                          <a:prstTxWarp prst="textNoShape">
                            <a:avLst/>
                          </a:prstTxWarp>
                          <a:noAutofit/>
                        </wps:bodyPr>
                      </wps:wsp>
                      <wps:wsp>
                        <wps:cNvPr id="602" name="Graphic 602"/>
                        <wps:cNvSpPr/>
                        <wps:spPr>
                          <a:xfrm>
                            <a:off x="1063210" y="1092771"/>
                            <a:ext cx="527050" cy="1094740"/>
                          </a:xfrm>
                          <a:custGeom>
                            <a:avLst/>
                            <a:gdLst/>
                            <a:ahLst/>
                            <a:cxnLst/>
                            <a:rect l="l" t="t" r="r" b="b"/>
                            <a:pathLst>
                              <a:path w="527050" h="1094740">
                                <a:moveTo>
                                  <a:pt x="170954" y="0"/>
                                </a:moveTo>
                                <a:lnTo>
                                  <a:pt x="0" y="1079334"/>
                                </a:lnTo>
                                <a:lnTo>
                                  <a:pt x="50659" y="1086387"/>
                                </a:lnTo>
                                <a:lnTo>
                                  <a:pt x="100052" y="1091253"/>
                                </a:lnTo>
                                <a:lnTo>
                                  <a:pt x="148415" y="1093912"/>
                                </a:lnTo>
                                <a:lnTo>
                                  <a:pt x="195986" y="1094343"/>
                                </a:lnTo>
                                <a:lnTo>
                                  <a:pt x="243002" y="1092525"/>
                                </a:lnTo>
                                <a:lnTo>
                                  <a:pt x="289700" y="1088438"/>
                                </a:lnTo>
                                <a:lnTo>
                                  <a:pt x="336317" y="1082061"/>
                                </a:lnTo>
                                <a:lnTo>
                                  <a:pt x="383092" y="1073374"/>
                                </a:lnTo>
                                <a:lnTo>
                                  <a:pt x="430261" y="1062356"/>
                                </a:lnTo>
                                <a:lnTo>
                                  <a:pt x="478062" y="1048987"/>
                                </a:lnTo>
                                <a:lnTo>
                                  <a:pt x="526732" y="1033246"/>
                                </a:lnTo>
                                <a:lnTo>
                                  <a:pt x="170954" y="0"/>
                                </a:lnTo>
                                <a:close/>
                              </a:path>
                            </a:pathLst>
                          </a:custGeom>
                          <a:solidFill>
                            <a:srgbClr val="474749"/>
                          </a:solidFill>
                        </wps:spPr>
                        <wps:bodyPr wrap="square" lIns="0" tIns="0" rIns="0" bIns="0" rtlCol="0">
                          <a:prstTxWarp prst="textNoShape">
                            <a:avLst/>
                          </a:prstTxWarp>
                          <a:noAutofit/>
                        </wps:bodyPr>
                      </wps:wsp>
                      <wps:wsp>
                        <wps:cNvPr id="603" name="Graphic 603"/>
                        <wps:cNvSpPr/>
                        <wps:spPr>
                          <a:xfrm>
                            <a:off x="1234165" y="1092771"/>
                            <a:ext cx="627380" cy="1033780"/>
                          </a:xfrm>
                          <a:custGeom>
                            <a:avLst/>
                            <a:gdLst/>
                            <a:ahLst/>
                            <a:cxnLst/>
                            <a:rect l="l" t="t" r="r" b="b"/>
                            <a:pathLst>
                              <a:path w="627380" h="1033780">
                                <a:moveTo>
                                  <a:pt x="0" y="0"/>
                                </a:moveTo>
                                <a:lnTo>
                                  <a:pt x="355777" y="1033246"/>
                                </a:lnTo>
                                <a:lnTo>
                                  <a:pt x="404026" y="1015423"/>
                                </a:lnTo>
                                <a:lnTo>
                                  <a:pt x="450764" y="995665"/>
                                </a:lnTo>
                                <a:lnTo>
                                  <a:pt x="496203" y="973866"/>
                                </a:lnTo>
                                <a:lnTo>
                                  <a:pt x="540550" y="949919"/>
                                </a:lnTo>
                                <a:lnTo>
                                  <a:pt x="584015" y="923719"/>
                                </a:lnTo>
                                <a:lnTo>
                                  <a:pt x="626808" y="895159"/>
                                </a:lnTo>
                                <a:lnTo>
                                  <a:pt x="0" y="0"/>
                                </a:lnTo>
                                <a:close/>
                              </a:path>
                            </a:pathLst>
                          </a:custGeom>
                          <a:solidFill>
                            <a:srgbClr val="A7A9AC"/>
                          </a:solidFill>
                        </wps:spPr>
                        <wps:bodyPr wrap="square" lIns="0" tIns="0" rIns="0" bIns="0" rtlCol="0">
                          <a:prstTxWarp prst="textNoShape">
                            <a:avLst/>
                          </a:prstTxWarp>
                          <a:noAutofit/>
                        </wps:bodyPr>
                      </wps:wsp>
                      <wps:wsp>
                        <wps:cNvPr id="604" name="Graphic 604"/>
                        <wps:cNvSpPr/>
                        <wps:spPr>
                          <a:xfrm>
                            <a:off x="1234165" y="1092771"/>
                            <a:ext cx="1087120" cy="895350"/>
                          </a:xfrm>
                          <a:custGeom>
                            <a:avLst/>
                            <a:gdLst/>
                            <a:ahLst/>
                            <a:cxnLst/>
                            <a:rect l="l" t="t" r="r" b="b"/>
                            <a:pathLst>
                              <a:path w="1087120" h="895350">
                                <a:moveTo>
                                  <a:pt x="0" y="0"/>
                                </a:moveTo>
                                <a:lnTo>
                                  <a:pt x="626808" y="895159"/>
                                </a:lnTo>
                                <a:lnTo>
                                  <a:pt x="668615" y="864606"/>
                                </a:lnTo>
                                <a:lnTo>
                                  <a:pt x="708484" y="832851"/>
                                </a:lnTo>
                                <a:lnTo>
                                  <a:pt x="746412" y="799899"/>
                                </a:lnTo>
                                <a:lnTo>
                                  <a:pt x="782397" y="765757"/>
                                </a:lnTo>
                                <a:lnTo>
                                  <a:pt x="816435" y="730428"/>
                                </a:lnTo>
                                <a:lnTo>
                                  <a:pt x="848523" y="693919"/>
                                </a:lnTo>
                                <a:lnTo>
                                  <a:pt x="878658" y="656234"/>
                                </a:lnTo>
                                <a:lnTo>
                                  <a:pt x="906837" y="617379"/>
                                </a:lnTo>
                                <a:lnTo>
                                  <a:pt x="933056" y="577359"/>
                                </a:lnTo>
                                <a:lnTo>
                                  <a:pt x="957313" y="536179"/>
                                </a:lnTo>
                                <a:lnTo>
                                  <a:pt x="979605" y="493845"/>
                                </a:lnTo>
                                <a:lnTo>
                                  <a:pt x="999928" y="450361"/>
                                </a:lnTo>
                                <a:lnTo>
                                  <a:pt x="1018279" y="405733"/>
                                </a:lnTo>
                                <a:lnTo>
                                  <a:pt x="1034655" y="359967"/>
                                </a:lnTo>
                                <a:lnTo>
                                  <a:pt x="1049053" y="313067"/>
                                </a:lnTo>
                                <a:lnTo>
                                  <a:pt x="1061470" y="265038"/>
                                </a:lnTo>
                                <a:lnTo>
                                  <a:pt x="1071902" y="215887"/>
                                </a:lnTo>
                                <a:lnTo>
                                  <a:pt x="1080347" y="165618"/>
                                </a:lnTo>
                                <a:lnTo>
                                  <a:pt x="1086802" y="114236"/>
                                </a:lnTo>
                                <a:lnTo>
                                  <a:pt x="0" y="0"/>
                                </a:lnTo>
                                <a:close/>
                              </a:path>
                            </a:pathLst>
                          </a:custGeom>
                          <a:solidFill>
                            <a:srgbClr val="808285"/>
                          </a:solidFill>
                        </wps:spPr>
                        <wps:bodyPr wrap="square" lIns="0" tIns="0" rIns="0" bIns="0" rtlCol="0">
                          <a:prstTxWarp prst="textNoShape">
                            <a:avLst/>
                          </a:prstTxWarp>
                          <a:noAutofit/>
                        </wps:bodyPr>
                      </wps:wsp>
                      <wps:wsp>
                        <wps:cNvPr id="605" name="Graphic 605"/>
                        <wps:cNvSpPr/>
                        <wps:spPr>
                          <a:xfrm>
                            <a:off x="1234165" y="959611"/>
                            <a:ext cx="1093470" cy="247650"/>
                          </a:xfrm>
                          <a:custGeom>
                            <a:avLst/>
                            <a:gdLst/>
                            <a:ahLst/>
                            <a:cxnLst/>
                            <a:rect l="l" t="t" r="r" b="b"/>
                            <a:pathLst>
                              <a:path w="1093470" h="247650">
                                <a:moveTo>
                                  <a:pt x="1084630" y="0"/>
                                </a:moveTo>
                                <a:lnTo>
                                  <a:pt x="0" y="133159"/>
                                </a:lnTo>
                                <a:lnTo>
                                  <a:pt x="1086802" y="247396"/>
                                </a:lnTo>
                                <a:lnTo>
                                  <a:pt x="1091207" y="196068"/>
                                </a:lnTo>
                                <a:lnTo>
                                  <a:pt x="1093208" y="147470"/>
                                </a:lnTo>
                                <a:lnTo>
                                  <a:pt x="1092790" y="99797"/>
                                </a:lnTo>
                                <a:lnTo>
                                  <a:pt x="1089937" y="51242"/>
                                </a:lnTo>
                                <a:lnTo>
                                  <a:pt x="1084630" y="0"/>
                                </a:lnTo>
                                <a:close/>
                              </a:path>
                            </a:pathLst>
                          </a:custGeom>
                          <a:solidFill>
                            <a:srgbClr val="DDB00A"/>
                          </a:solidFill>
                        </wps:spPr>
                        <wps:bodyPr wrap="square" lIns="0" tIns="0" rIns="0" bIns="0" rtlCol="0">
                          <a:prstTxWarp prst="textNoShape">
                            <a:avLst/>
                          </a:prstTxWarp>
                          <a:noAutofit/>
                        </wps:bodyPr>
                      </wps:wsp>
                      <wps:wsp>
                        <wps:cNvPr id="606" name="Graphic 606"/>
                        <wps:cNvSpPr/>
                        <wps:spPr>
                          <a:xfrm>
                            <a:off x="1234165" y="0"/>
                            <a:ext cx="1085215" cy="1092835"/>
                          </a:xfrm>
                          <a:custGeom>
                            <a:avLst/>
                            <a:gdLst/>
                            <a:ahLst/>
                            <a:cxnLst/>
                            <a:rect l="l" t="t" r="r" b="b"/>
                            <a:pathLst>
                              <a:path w="1085215" h="1092835">
                                <a:moveTo>
                                  <a:pt x="0" y="0"/>
                                </a:moveTo>
                                <a:lnTo>
                                  <a:pt x="0" y="1092771"/>
                                </a:lnTo>
                                <a:lnTo>
                                  <a:pt x="1084630" y="959611"/>
                                </a:lnTo>
                                <a:lnTo>
                                  <a:pt x="1077628" y="911162"/>
                                </a:lnTo>
                                <a:lnTo>
                                  <a:pt x="1068640" y="863517"/>
                                </a:lnTo>
                                <a:lnTo>
                                  <a:pt x="1057711" y="816716"/>
                                </a:lnTo>
                                <a:lnTo>
                                  <a:pt x="1044887" y="770799"/>
                                </a:lnTo>
                                <a:lnTo>
                                  <a:pt x="1030212" y="725804"/>
                                </a:lnTo>
                                <a:lnTo>
                                  <a:pt x="1013729" y="681772"/>
                                </a:lnTo>
                                <a:lnTo>
                                  <a:pt x="995485" y="638742"/>
                                </a:lnTo>
                                <a:lnTo>
                                  <a:pt x="975524" y="596754"/>
                                </a:lnTo>
                                <a:lnTo>
                                  <a:pt x="953890" y="555846"/>
                                </a:lnTo>
                                <a:lnTo>
                                  <a:pt x="930627" y="516059"/>
                                </a:lnTo>
                                <a:lnTo>
                                  <a:pt x="905782" y="477432"/>
                                </a:lnTo>
                                <a:lnTo>
                                  <a:pt x="879397" y="440005"/>
                                </a:lnTo>
                                <a:lnTo>
                                  <a:pt x="851519" y="403816"/>
                                </a:lnTo>
                                <a:lnTo>
                                  <a:pt x="822191" y="368906"/>
                                </a:lnTo>
                                <a:lnTo>
                                  <a:pt x="791458" y="335314"/>
                                </a:lnTo>
                                <a:lnTo>
                                  <a:pt x="759365" y="303079"/>
                                </a:lnTo>
                                <a:lnTo>
                                  <a:pt x="725957" y="272241"/>
                                </a:lnTo>
                                <a:lnTo>
                                  <a:pt x="691278" y="242840"/>
                                </a:lnTo>
                                <a:lnTo>
                                  <a:pt x="655372" y="214915"/>
                                </a:lnTo>
                                <a:lnTo>
                                  <a:pt x="618285" y="188505"/>
                                </a:lnTo>
                                <a:lnTo>
                                  <a:pt x="580061" y="163649"/>
                                </a:lnTo>
                                <a:lnTo>
                                  <a:pt x="540744" y="140389"/>
                                </a:lnTo>
                                <a:lnTo>
                                  <a:pt x="500380" y="118762"/>
                                </a:lnTo>
                                <a:lnTo>
                                  <a:pt x="459013" y="98808"/>
                                </a:lnTo>
                                <a:lnTo>
                                  <a:pt x="416688" y="80568"/>
                                </a:lnTo>
                                <a:lnTo>
                                  <a:pt x="373449" y="64080"/>
                                </a:lnTo>
                                <a:lnTo>
                                  <a:pt x="329341" y="49384"/>
                                </a:lnTo>
                                <a:lnTo>
                                  <a:pt x="284408" y="36519"/>
                                </a:lnTo>
                                <a:lnTo>
                                  <a:pt x="238696" y="25525"/>
                                </a:lnTo>
                                <a:lnTo>
                                  <a:pt x="192248" y="16441"/>
                                </a:lnTo>
                                <a:lnTo>
                                  <a:pt x="145110" y="9307"/>
                                </a:lnTo>
                                <a:lnTo>
                                  <a:pt x="97326" y="4162"/>
                                </a:lnTo>
                                <a:lnTo>
                                  <a:pt x="48941" y="1047"/>
                                </a:lnTo>
                                <a:lnTo>
                                  <a:pt x="0" y="0"/>
                                </a:lnTo>
                                <a:close/>
                              </a:path>
                            </a:pathLst>
                          </a:custGeom>
                          <a:solidFill>
                            <a:srgbClr val="000000"/>
                          </a:solidFill>
                        </wps:spPr>
                        <wps:bodyPr wrap="square" lIns="0" tIns="0" rIns="0" bIns="0" rtlCol="0">
                          <a:prstTxWarp prst="textNoShape">
                            <a:avLst/>
                          </a:prstTxWarp>
                          <a:noAutofit/>
                        </wps:bodyPr>
                      </wps:wsp>
                      <wps:wsp>
                        <wps:cNvPr id="607" name="Graphic 607"/>
                        <wps:cNvSpPr/>
                        <wps:spPr>
                          <a:xfrm>
                            <a:off x="2239417" y="63567"/>
                            <a:ext cx="15240" cy="15240"/>
                          </a:xfrm>
                          <a:custGeom>
                            <a:avLst/>
                            <a:gdLst/>
                            <a:ahLst/>
                            <a:cxnLst/>
                            <a:rect l="l" t="t" r="r" b="b"/>
                            <a:pathLst>
                              <a:path w="15240" h="15240">
                                <a:moveTo>
                                  <a:pt x="0" y="7486"/>
                                </a:moveTo>
                                <a:lnTo>
                                  <a:pt x="2192" y="2192"/>
                                </a:lnTo>
                                <a:lnTo>
                                  <a:pt x="7486" y="0"/>
                                </a:lnTo>
                                <a:lnTo>
                                  <a:pt x="12780" y="2192"/>
                                </a:lnTo>
                                <a:lnTo>
                                  <a:pt x="14973" y="7486"/>
                                </a:lnTo>
                                <a:lnTo>
                                  <a:pt x="12780" y="12780"/>
                                </a:lnTo>
                                <a:lnTo>
                                  <a:pt x="7486" y="14973"/>
                                </a:lnTo>
                                <a:lnTo>
                                  <a:pt x="2192" y="12780"/>
                                </a:lnTo>
                                <a:lnTo>
                                  <a:pt x="0" y="7486"/>
                                </a:lnTo>
                                <a:close/>
                              </a:path>
                            </a:pathLst>
                          </a:custGeom>
                          <a:solidFill>
                            <a:srgbClr val="000000"/>
                          </a:solidFill>
                        </wps:spPr>
                        <wps:bodyPr wrap="square" lIns="0" tIns="0" rIns="0" bIns="0" rtlCol="0">
                          <a:prstTxWarp prst="textNoShape">
                            <a:avLst/>
                          </a:prstTxWarp>
                          <a:noAutofit/>
                        </wps:bodyPr>
                      </wps:wsp>
                      <wps:wsp>
                        <wps:cNvPr id="608" name="Graphic 608"/>
                        <wps:cNvSpPr/>
                        <wps:spPr>
                          <a:xfrm>
                            <a:off x="1956271" y="71053"/>
                            <a:ext cx="266065" cy="120014"/>
                          </a:xfrm>
                          <a:custGeom>
                            <a:avLst/>
                            <a:gdLst/>
                            <a:ahLst/>
                            <a:cxnLst/>
                            <a:rect l="l" t="t" r="r" b="b"/>
                            <a:pathLst>
                              <a:path w="266065" h="120014">
                                <a:moveTo>
                                  <a:pt x="265455" y="0"/>
                                </a:moveTo>
                                <a:lnTo>
                                  <a:pt x="120865" y="0"/>
                                </a:lnTo>
                                <a:lnTo>
                                  <a:pt x="0" y="119964"/>
                                </a:lnTo>
                              </a:path>
                            </a:pathLst>
                          </a:custGeom>
                          <a:ln w="14973">
                            <a:solidFill>
                              <a:srgbClr val="000000"/>
                            </a:solidFill>
                            <a:prstDash val="dot"/>
                          </a:ln>
                        </wps:spPr>
                        <wps:bodyPr wrap="square" lIns="0" tIns="0" rIns="0" bIns="0" rtlCol="0">
                          <a:prstTxWarp prst="textNoShape">
                            <a:avLst/>
                          </a:prstTxWarp>
                          <a:noAutofit/>
                        </wps:bodyPr>
                      </wps:wsp>
                      <wps:wsp>
                        <wps:cNvPr id="609" name="Graphic 609"/>
                        <wps:cNvSpPr/>
                        <wps:spPr>
                          <a:xfrm>
                            <a:off x="1939838" y="192412"/>
                            <a:ext cx="749300" cy="998855"/>
                          </a:xfrm>
                          <a:custGeom>
                            <a:avLst/>
                            <a:gdLst/>
                            <a:ahLst/>
                            <a:cxnLst/>
                            <a:rect l="l" t="t" r="r" b="b"/>
                            <a:pathLst>
                              <a:path w="749300" h="998855">
                                <a:moveTo>
                                  <a:pt x="14973" y="7480"/>
                                </a:moveTo>
                                <a:lnTo>
                                  <a:pt x="12776" y="2184"/>
                                </a:lnTo>
                                <a:lnTo>
                                  <a:pt x="7480" y="0"/>
                                </a:lnTo>
                                <a:lnTo>
                                  <a:pt x="2184" y="2184"/>
                                </a:lnTo>
                                <a:lnTo>
                                  <a:pt x="0" y="7480"/>
                                </a:lnTo>
                                <a:lnTo>
                                  <a:pt x="2184" y="12776"/>
                                </a:lnTo>
                                <a:lnTo>
                                  <a:pt x="7480" y="14973"/>
                                </a:lnTo>
                                <a:lnTo>
                                  <a:pt x="12776" y="12776"/>
                                </a:lnTo>
                                <a:lnTo>
                                  <a:pt x="14973" y="7480"/>
                                </a:lnTo>
                                <a:close/>
                              </a:path>
                              <a:path w="749300" h="998855">
                                <a:moveTo>
                                  <a:pt x="749046" y="991323"/>
                                </a:moveTo>
                                <a:lnTo>
                                  <a:pt x="746861" y="986028"/>
                                </a:lnTo>
                                <a:lnTo>
                                  <a:pt x="741565" y="983830"/>
                                </a:lnTo>
                                <a:lnTo>
                                  <a:pt x="736269" y="986028"/>
                                </a:lnTo>
                                <a:lnTo>
                                  <a:pt x="734072" y="991323"/>
                                </a:lnTo>
                                <a:lnTo>
                                  <a:pt x="736269" y="996619"/>
                                </a:lnTo>
                                <a:lnTo>
                                  <a:pt x="741565" y="998804"/>
                                </a:lnTo>
                                <a:lnTo>
                                  <a:pt x="746861" y="996619"/>
                                </a:lnTo>
                                <a:lnTo>
                                  <a:pt x="749046" y="991323"/>
                                </a:lnTo>
                                <a:close/>
                              </a:path>
                            </a:pathLst>
                          </a:custGeom>
                          <a:solidFill>
                            <a:srgbClr val="000000"/>
                          </a:solidFill>
                        </wps:spPr>
                        <wps:bodyPr wrap="square" lIns="0" tIns="0" rIns="0" bIns="0" rtlCol="0">
                          <a:prstTxWarp prst="textNoShape">
                            <a:avLst/>
                          </a:prstTxWarp>
                          <a:noAutofit/>
                        </wps:bodyPr>
                      </wps:wsp>
                      <wps:wsp>
                        <wps:cNvPr id="610" name="Graphic 610"/>
                        <wps:cNvSpPr/>
                        <wps:spPr>
                          <a:xfrm>
                            <a:off x="2385095" y="1070189"/>
                            <a:ext cx="278130" cy="97155"/>
                          </a:xfrm>
                          <a:custGeom>
                            <a:avLst/>
                            <a:gdLst/>
                            <a:ahLst/>
                            <a:cxnLst/>
                            <a:rect l="l" t="t" r="r" b="b"/>
                            <a:pathLst>
                              <a:path w="278130" h="97155">
                                <a:moveTo>
                                  <a:pt x="277583" y="96697"/>
                                </a:moveTo>
                                <a:lnTo>
                                  <a:pt x="170103" y="0"/>
                                </a:lnTo>
                                <a:lnTo>
                                  <a:pt x="0" y="8343"/>
                                </a:lnTo>
                              </a:path>
                            </a:pathLst>
                          </a:custGeom>
                          <a:ln w="14973">
                            <a:solidFill>
                              <a:srgbClr val="000000"/>
                            </a:solidFill>
                            <a:prstDash val="dot"/>
                          </a:ln>
                        </wps:spPr>
                        <wps:bodyPr wrap="square" lIns="0" tIns="0" rIns="0" bIns="0" rtlCol="0">
                          <a:prstTxWarp prst="textNoShape">
                            <a:avLst/>
                          </a:prstTxWarp>
                          <a:noAutofit/>
                        </wps:bodyPr>
                      </wps:wsp>
                      <wps:wsp>
                        <wps:cNvPr id="611" name="Graphic 611"/>
                        <wps:cNvSpPr/>
                        <wps:spPr>
                          <a:xfrm>
                            <a:off x="2232484" y="1071671"/>
                            <a:ext cx="147955" cy="563880"/>
                          </a:xfrm>
                          <a:custGeom>
                            <a:avLst/>
                            <a:gdLst/>
                            <a:ahLst/>
                            <a:cxnLst/>
                            <a:rect l="l" t="t" r="r" b="b"/>
                            <a:pathLst>
                              <a:path w="147955" h="563880">
                                <a:moveTo>
                                  <a:pt x="14973" y="556272"/>
                                </a:moveTo>
                                <a:lnTo>
                                  <a:pt x="12788" y="550989"/>
                                </a:lnTo>
                                <a:lnTo>
                                  <a:pt x="7493" y="548792"/>
                                </a:lnTo>
                                <a:lnTo>
                                  <a:pt x="2197" y="550989"/>
                                </a:lnTo>
                                <a:lnTo>
                                  <a:pt x="0" y="556272"/>
                                </a:lnTo>
                                <a:lnTo>
                                  <a:pt x="2197" y="561568"/>
                                </a:lnTo>
                                <a:lnTo>
                                  <a:pt x="7493" y="563765"/>
                                </a:lnTo>
                                <a:lnTo>
                                  <a:pt x="12788" y="561568"/>
                                </a:lnTo>
                                <a:lnTo>
                                  <a:pt x="14973" y="556272"/>
                                </a:lnTo>
                                <a:close/>
                              </a:path>
                              <a:path w="147955" h="563880">
                                <a:moveTo>
                                  <a:pt x="147510" y="7493"/>
                                </a:moveTo>
                                <a:lnTo>
                                  <a:pt x="145313" y="2197"/>
                                </a:lnTo>
                                <a:lnTo>
                                  <a:pt x="140030" y="0"/>
                                </a:lnTo>
                                <a:lnTo>
                                  <a:pt x="134734" y="2197"/>
                                </a:lnTo>
                                <a:lnTo>
                                  <a:pt x="132537" y="7493"/>
                                </a:lnTo>
                                <a:lnTo>
                                  <a:pt x="134734" y="12776"/>
                                </a:lnTo>
                                <a:lnTo>
                                  <a:pt x="140030" y="14973"/>
                                </a:lnTo>
                                <a:lnTo>
                                  <a:pt x="145313" y="12776"/>
                                </a:lnTo>
                                <a:lnTo>
                                  <a:pt x="147510" y="7493"/>
                                </a:lnTo>
                                <a:close/>
                              </a:path>
                            </a:pathLst>
                          </a:custGeom>
                          <a:solidFill>
                            <a:srgbClr val="000000"/>
                          </a:solidFill>
                        </wps:spPr>
                        <wps:bodyPr wrap="square" lIns="0" tIns="0" rIns="0" bIns="0" rtlCol="0">
                          <a:prstTxWarp prst="textNoShape">
                            <a:avLst/>
                          </a:prstTxWarp>
                          <a:noAutofit/>
                        </wps:bodyPr>
                      </wps:wsp>
                      <wps:wsp>
                        <wps:cNvPr id="612" name="Graphic 612"/>
                        <wps:cNvSpPr/>
                        <wps:spPr>
                          <a:xfrm>
                            <a:off x="2261463" y="1641102"/>
                            <a:ext cx="289560" cy="75565"/>
                          </a:xfrm>
                          <a:custGeom>
                            <a:avLst/>
                            <a:gdLst/>
                            <a:ahLst/>
                            <a:cxnLst/>
                            <a:rect l="l" t="t" r="r" b="b"/>
                            <a:pathLst>
                              <a:path w="289560" h="75565">
                                <a:moveTo>
                                  <a:pt x="0" y="0"/>
                                </a:moveTo>
                                <a:lnTo>
                                  <a:pt x="123266" y="75526"/>
                                </a:lnTo>
                                <a:lnTo>
                                  <a:pt x="289026" y="36398"/>
                                </a:lnTo>
                              </a:path>
                            </a:pathLst>
                          </a:custGeom>
                          <a:ln w="14973">
                            <a:solidFill>
                              <a:srgbClr val="000000"/>
                            </a:solidFill>
                            <a:prstDash val="dot"/>
                          </a:ln>
                        </wps:spPr>
                        <wps:bodyPr wrap="square" lIns="0" tIns="0" rIns="0" bIns="0" rtlCol="0">
                          <a:prstTxWarp prst="textNoShape">
                            <a:avLst/>
                          </a:prstTxWarp>
                          <a:noAutofit/>
                        </wps:bodyPr>
                      </wps:wsp>
                      <wps:wsp>
                        <wps:cNvPr id="613" name="Graphic 613"/>
                        <wps:cNvSpPr/>
                        <wps:spPr>
                          <a:xfrm>
                            <a:off x="1747992" y="1667123"/>
                            <a:ext cx="822325" cy="450850"/>
                          </a:xfrm>
                          <a:custGeom>
                            <a:avLst/>
                            <a:gdLst/>
                            <a:ahLst/>
                            <a:cxnLst/>
                            <a:rect l="l" t="t" r="r" b="b"/>
                            <a:pathLst>
                              <a:path w="822325" h="450850">
                                <a:moveTo>
                                  <a:pt x="14973" y="443141"/>
                                </a:moveTo>
                                <a:lnTo>
                                  <a:pt x="12776" y="437845"/>
                                </a:lnTo>
                                <a:lnTo>
                                  <a:pt x="7493" y="435648"/>
                                </a:lnTo>
                                <a:lnTo>
                                  <a:pt x="2197" y="437845"/>
                                </a:lnTo>
                                <a:lnTo>
                                  <a:pt x="0" y="443141"/>
                                </a:lnTo>
                                <a:lnTo>
                                  <a:pt x="2197" y="448437"/>
                                </a:lnTo>
                                <a:lnTo>
                                  <a:pt x="7493" y="450621"/>
                                </a:lnTo>
                                <a:lnTo>
                                  <a:pt x="12776" y="448437"/>
                                </a:lnTo>
                                <a:lnTo>
                                  <a:pt x="14973" y="443141"/>
                                </a:lnTo>
                                <a:close/>
                              </a:path>
                              <a:path w="822325" h="450850">
                                <a:moveTo>
                                  <a:pt x="822236" y="7480"/>
                                </a:moveTo>
                                <a:lnTo>
                                  <a:pt x="820039" y="2197"/>
                                </a:lnTo>
                                <a:lnTo>
                                  <a:pt x="814743" y="0"/>
                                </a:lnTo>
                                <a:lnTo>
                                  <a:pt x="809447" y="2197"/>
                                </a:lnTo>
                                <a:lnTo>
                                  <a:pt x="807262" y="7480"/>
                                </a:lnTo>
                                <a:lnTo>
                                  <a:pt x="809447" y="12776"/>
                                </a:lnTo>
                                <a:lnTo>
                                  <a:pt x="814743" y="14973"/>
                                </a:lnTo>
                                <a:lnTo>
                                  <a:pt x="820039" y="12776"/>
                                </a:lnTo>
                                <a:lnTo>
                                  <a:pt x="822236" y="7480"/>
                                </a:lnTo>
                                <a:close/>
                              </a:path>
                            </a:pathLst>
                          </a:custGeom>
                          <a:solidFill>
                            <a:srgbClr val="000000"/>
                          </a:solidFill>
                        </wps:spPr>
                        <wps:bodyPr wrap="square" lIns="0" tIns="0" rIns="0" bIns="0" rtlCol="0">
                          <a:prstTxWarp prst="textNoShape">
                            <a:avLst/>
                          </a:prstTxWarp>
                          <a:noAutofit/>
                        </wps:bodyPr>
                      </wps:wsp>
                      <wps:wsp>
                        <wps:cNvPr id="614" name="Graphic 614"/>
                        <wps:cNvSpPr/>
                        <wps:spPr>
                          <a:xfrm>
                            <a:off x="1770914" y="2130177"/>
                            <a:ext cx="257810" cy="136525"/>
                          </a:xfrm>
                          <a:custGeom>
                            <a:avLst/>
                            <a:gdLst/>
                            <a:ahLst/>
                            <a:cxnLst/>
                            <a:rect l="l" t="t" r="r" b="b"/>
                            <a:pathLst>
                              <a:path w="257810" h="136525">
                                <a:moveTo>
                                  <a:pt x="0" y="0"/>
                                </a:moveTo>
                                <a:lnTo>
                                  <a:pt x="88557" y="114274"/>
                                </a:lnTo>
                                <a:lnTo>
                                  <a:pt x="257429" y="136334"/>
                                </a:lnTo>
                              </a:path>
                            </a:pathLst>
                          </a:custGeom>
                          <a:ln w="14973">
                            <a:solidFill>
                              <a:srgbClr val="000000"/>
                            </a:solidFill>
                            <a:prstDash val="dot"/>
                          </a:ln>
                        </wps:spPr>
                        <wps:bodyPr wrap="square" lIns="0" tIns="0" rIns="0" bIns="0" rtlCol="0">
                          <a:prstTxWarp prst="textNoShape">
                            <a:avLst/>
                          </a:prstTxWarp>
                          <a:noAutofit/>
                        </wps:bodyPr>
                      </wps:wsp>
                      <wps:wsp>
                        <wps:cNvPr id="615" name="Graphic 615"/>
                        <wps:cNvSpPr/>
                        <wps:spPr>
                          <a:xfrm>
                            <a:off x="1416001" y="2260658"/>
                            <a:ext cx="632460" cy="285115"/>
                          </a:xfrm>
                          <a:custGeom>
                            <a:avLst/>
                            <a:gdLst/>
                            <a:ahLst/>
                            <a:cxnLst/>
                            <a:rect l="l" t="t" r="r" b="b"/>
                            <a:pathLst>
                              <a:path w="632460" h="285115">
                                <a:moveTo>
                                  <a:pt x="14973" y="277571"/>
                                </a:moveTo>
                                <a:lnTo>
                                  <a:pt x="12788" y="272275"/>
                                </a:lnTo>
                                <a:lnTo>
                                  <a:pt x="7493" y="270090"/>
                                </a:lnTo>
                                <a:lnTo>
                                  <a:pt x="2197" y="272275"/>
                                </a:lnTo>
                                <a:lnTo>
                                  <a:pt x="0" y="277571"/>
                                </a:lnTo>
                                <a:lnTo>
                                  <a:pt x="2197" y="282867"/>
                                </a:lnTo>
                                <a:lnTo>
                                  <a:pt x="7493" y="285064"/>
                                </a:lnTo>
                                <a:lnTo>
                                  <a:pt x="12788" y="282867"/>
                                </a:lnTo>
                                <a:lnTo>
                                  <a:pt x="14973" y="277571"/>
                                </a:lnTo>
                                <a:close/>
                              </a:path>
                              <a:path w="632460" h="285115">
                                <a:moveTo>
                                  <a:pt x="632307" y="7493"/>
                                </a:moveTo>
                                <a:lnTo>
                                  <a:pt x="630110" y="2197"/>
                                </a:lnTo>
                                <a:lnTo>
                                  <a:pt x="624814" y="0"/>
                                </a:lnTo>
                                <a:lnTo>
                                  <a:pt x="619518" y="2197"/>
                                </a:lnTo>
                                <a:lnTo>
                                  <a:pt x="617334" y="7493"/>
                                </a:lnTo>
                                <a:lnTo>
                                  <a:pt x="619518" y="12788"/>
                                </a:lnTo>
                                <a:lnTo>
                                  <a:pt x="624814" y="14973"/>
                                </a:lnTo>
                                <a:lnTo>
                                  <a:pt x="630110" y="12788"/>
                                </a:lnTo>
                                <a:lnTo>
                                  <a:pt x="632307" y="7493"/>
                                </a:lnTo>
                                <a:close/>
                              </a:path>
                            </a:pathLst>
                          </a:custGeom>
                          <a:solidFill>
                            <a:srgbClr val="000000"/>
                          </a:solidFill>
                        </wps:spPr>
                        <wps:bodyPr wrap="square" lIns="0" tIns="0" rIns="0" bIns="0" rtlCol="0">
                          <a:prstTxWarp prst="textNoShape">
                            <a:avLst/>
                          </a:prstTxWarp>
                          <a:noAutofit/>
                        </wps:bodyPr>
                      </wps:wsp>
                      <wps:wsp>
                        <wps:cNvPr id="616" name="Graphic 616"/>
                        <wps:cNvSpPr/>
                        <wps:spPr>
                          <a:xfrm>
                            <a:off x="1350836" y="2232309"/>
                            <a:ext cx="99695" cy="281305"/>
                          </a:xfrm>
                          <a:custGeom>
                            <a:avLst/>
                            <a:gdLst/>
                            <a:ahLst/>
                            <a:cxnLst/>
                            <a:rect l="l" t="t" r="r" b="b"/>
                            <a:pathLst>
                              <a:path w="99695" h="281305">
                                <a:moveTo>
                                  <a:pt x="76631" y="281038"/>
                                </a:moveTo>
                                <a:lnTo>
                                  <a:pt x="99415" y="138277"/>
                                </a:lnTo>
                                <a:lnTo>
                                  <a:pt x="0" y="0"/>
                                </a:lnTo>
                              </a:path>
                            </a:pathLst>
                          </a:custGeom>
                          <a:ln w="14973">
                            <a:solidFill>
                              <a:srgbClr val="000000"/>
                            </a:solidFill>
                            <a:prstDash val="dot"/>
                          </a:ln>
                        </wps:spPr>
                        <wps:bodyPr wrap="square" lIns="0" tIns="0" rIns="0" bIns="0" rtlCol="0">
                          <a:prstTxWarp prst="textNoShape">
                            <a:avLst/>
                          </a:prstTxWarp>
                          <a:noAutofit/>
                        </wps:bodyPr>
                      </wps:wsp>
                      <wps:wsp>
                        <wps:cNvPr id="617" name="Graphic 617"/>
                        <wps:cNvSpPr/>
                        <wps:spPr>
                          <a:xfrm>
                            <a:off x="1335992" y="2214592"/>
                            <a:ext cx="15240" cy="15240"/>
                          </a:xfrm>
                          <a:custGeom>
                            <a:avLst/>
                            <a:gdLst/>
                            <a:ahLst/>
                            <a:cxnLst/>
                            <a:rect l="l" t="t" r="r" b="b"/>
                            <a:pathLst>
                              <a:path w="15240" h="15240">
                                <a:moveTo>
                                  <a:pt x="0" y="7486"/>
                                </a:moveTo>
                                <a:lnTo>
                                  <a:pt x="2192" y="2192"/>
                                </a:lnTo>
                                <a:lnTo>
                                  <a:pt x="7486" y="0"/>
                                </a:lnTo>
                                <a:lnTo>
                                  <a:pt x="12780" y="2192"/>
                                </a:lnTo>
                                <a:lnTo>
                                  <a:pt x="14973" y="7486"/>
                                </a:lnTo>
                                <a:lnTo>
                                  <a:pt x="12780" y="12780"/>
                                </a:lnTo>
                                <a:lnTo>
                                  <a:pt x="7486" y="14973"/>
                                </a:lnTo>
                                <a:lnTo>
                                  <a:pt x="2192" y="12780"/>
                                </a:lnTo>
                                <a:lnTo>
                                  <a:pt x="0" y="7486"/>
                                </a:lnTo>
                                <a:close/>
                              </a:path>
                            </a:pathLst>
                          </a:custGeom>
                          <a:solidFill>
                            <a:srgbClr val="000000"/>
                          </a:solidFill>
                        </wps:spPr>
                        <wps:bodyPr wrap="square" lIns="0" tIns="0" rIns="0" bIns="0" rtlCol="0">
                          <a:prstTxWarp prst="textNoShape">
                            <a:avLst/>
                          </a:prstTxWarp>
                          <a:noAutofit/>
                        </wps:bodyPr>
                      </wps:wsp>
                      <pic:pic>
                        <pic:nvPicPr>
                          <pic:cNvPr id="618" name="Image 618"/>
                          <pic:cNvPicPr/>
                        </pic:nvPicPr>
                        <pic:blipFill>
                          <a:blip r:embed="rId77" cstate="print"/>
                          <a:stretch>
                            <a:fillRect/>
                          </a:stretch>
                        </pic:blipFill>
                        <pic:spPr>
                          <a:xfrm>
                            <a:off x="0" y="277357"/>
                            <a:ext cx="239802" cy="251214"/>
                          </a:xfrm>
                          <a:prstGeom prst="rect">
                            <a:avLst/>
                          </a:prstGeom>
                        </pic:spPr>
                      </pic:pic>
                      <wps:wsp>
                        <wps:cNvPr id="619" name="Graphic 619"/>
                        <wps:cNvSpPr/>
                        <wps:spPr>
                          <a:xfrm>
                            <a:off x="705035" y="542914"/>
                            <a:ext cx="1077595" cy="1077595"/>
                          </a:xfrm>
                          <a:custGeom>
                            <a:avLst/>
                            <a:gdLst/>
                            <a:ahLst/>
                            <a:cxnLst/>
                            <a:rect l="l" t="t" r="r" b="b"/>
                            <a:pathLst>
                              <a:path w="1077595" h="1077595">
                                <a:moveTo>
                                  <a:pt x="538619" y="0"/>
                                </a:moveTo>
                                <a:lnTo>
                                  <a:pt x="489594" y="2201"/>
                                </a:lnTo>
                                <a:lnTo>
                                  <a:pt x="441801" y="8677"/>
                                </a:lnTo>
                                <a:lnTo>
                                  <a:pt x="395433" y="19239"/>
                                </a:lnTo>
                                <a:lnTo>
                                  <a:pt x="350677" y="33697"/>
                                </a:lnTo>
                                <a:lnTo>
                                  <a:pt x="307725" y="51859"/>
                                </a:lnTo>
                                <a:lnTo>
                                  <a:pt x="266767" y="73537"/>
                                </a:lnTo>
                                <a:lnTo>
                                  <a:pt x="227993" y="98539"/>
                                </a:lnTo>
                                <a:lnTo>
                                  <a:pt x="191593" y="126676"/>
                                </a:lnTo>
                                <a:lnTo>
                                  <a:pt x="157757" y="157757"/>
                                </a:lnTo>
                                <a:lnTo>
                                  <a:pt x="126676" y="191593"/>
                                </a:lnTo>
                                <a:lnTo>
                                  <a:pt x="98539" y="227993"/>
                                </a:lnTo>
                                <a:lnTo>
                                  <a:pt x="73537" y="266767"/>
                                </a:lnTo>
                                <a:lnTo>
                                  <a:pt x="51859" y="307725"/>
                                </a:lnTo>
                                <a:lnTo>
                                  <a:pt x="33697" y="350677"/>
                                </a:lnTo>
                                <a:lnTo>
                                  <a:pt x="19239" y="395433"/>
                                </a:lnTo>
                                <a:lnTo>
                                  <a:pt x="8677" y="441801"/>
                                </a:lnTo>
                                <a:lnTo>
                                  <a:pt x="2201" y="489594"/>
                                </a:lnTo>
                                <a:lnTo>
                                  <a:pt x="0" y="538619"/>
                                </a:lnTo>
                                <a:lnTo>
                                  <a:pt x="2201" y="587647"/>
                                </a:lnTo>
                                <a:lnTo>
                                  <a:pt x="8677" y="635441"/>
                                </a:lnTo>
                                <a:lnTo>
                                  <a:pt x="19239" y="681811"/>
                                </a:lnTo>
                                <a:lnTo>
                                  <a:pt x="33697" y="726568"/>
                                </a:lnTo>
                                <a:lnTo>
                                  <a:pt x="51859" y="769521"/>
                                </a:lnTo>
                                <a:lnTo>
                                  <a:pt x="73537" y="810480"/>
                                </a:lnTo>
                                <a:lnTo>
                                  <a:pt x="98539" y="849255"/>
                                </a:lnTo>
                                <a:lnTo>
                                  <a:pt x="126676" y="885656"/>
                                </a:lnTo>
                                <a:lnTo>
                                  <a:pt x="157757" y="919492"/>
                                </a:lnTo>
                                <a:lnTo>
                                  <a:pt x="191593" y="950574"/>
                                </a:lnTo>
                                <a:lnTo>
                                  <a:pt x="227993" y="978711"/>
                                </a:lnTo>
                                <a:lnTo>
                                  <a:pt x="266767" y="1003714"/>
                                </a:lnTo>
                                <a:lnTo>
                                  <a:pt x="307725" y="1025392"/>
                                </a:lnTo>
                                <a:lnTo>
                                  <a:pt x="350677" y="1043554"/>
                                </a:lnTo>
                                <a:lnTo>
                                  <a:pt x="395433" y="1058012"/>
                                </a:lnTo>
                                <a:lnTo>
                                  <a:pt x="441801" y="1068574"/>
                                </a:lnTo>
                                <a:lnTo>
                                  <a:pt x="489594" y="1075050"/>
                                </a:lnTo>
                                <a:lnTo>
                                  <a:pt x="538619" y="1077252"/>
                                </a:lnTo>
                                <a:lnTo>
                                  <a:pt x="587645" y="1075050"/>
                                </a:lnTo>
                                <a:lnTo>
                                  <a:pt x="635437" y="1068574"/>
                                </a:lnTo>
                                <a:lnTo>
                                  <a:pt x="681806" y="1058012"/>
                                </a:lnTo>
                                <a:lnTo>
                                  <a:pt x="726561" y="1043554"/>
                                </a:lnTo>
                                <a:lnTo>
                                  <a:pt x="769513" y="1025392"/>
                                </a:lnTo>
                                <a:lnTo>
                                  <a:pt x="810471" y="1003714"/>
                                </a:lnTo>
                                <a:lnTo>
                                  <a:pt x="849245" y="978711"/>
                                </a:lnTo>
                                <a:lnTo>
                                  <a:pt x="885645" y="950574"/>
                                </a:lnTo>
                                <a:lnTo>
                                  <a:pt x="919481" y="919492"/>
                                </a:lnTo>
                                <a:lnTo>
                                  <a:pt x="950563" y="885656"/>
                                </a:lnTo>
                                <a:lnTo>
                                  <a:pt x="978699" y="849255"/>
                                </a:lnTo>
                                <a:lnTo>
                                  <a:pt x="1003702" y="810480"/>
                                </a:lnTo>
                                <a:lnTo>
                                  <a:pt x="1025379" y="769521"/>
                                </a:lnTo>
                                <a:lnTo>
                                  <a:pt x="1043542" y="726568"/>
                                </a:lnTo>
                                <a:lnTo>
                                  <a:pt x="1057999" y="681811"/>
                                </a:lnTo>
                                <a:lnTo>
                                  <a:pt x="1068561" y="635441"/>
                                </a:lnTo>
                                <a:lnTo>
                                  <a:pt x="1075038" y="587647"/>
                                </a:lnTo>
                                <a:lnTo>
                                  <a:pt x="1077239" y="538619"/>
                                </a:lnTo>
                                <a:lnTo>
                                  <a:pt x="1075038" y="489594"/>
                                </a:lnTo>
                                <a:lnTo>
                                  <a:pt x="1068561" y="441801"/>
                                </a:lnTo>
                                <a:lnTo>
                                  <a:pt x="1057999" y="395433"/>
                                </a:lnTo>
                                <a:lnTo>
                                  <a:pt x="1043542" y="350677"/>
                                </a:lnTo>
                                <a:lnTo>
                                  <a:pt x="1025379" y="307725"/>
                                </a:lnTo>
                                <a:lnTo>
                                  <a:pt x="1003702" y="266767"/>
                                </a:lnTo>
                                <a:lnTo>
                                  <a:pt x="978699" y="227993"/>
                                </a:lnTo>
                                <a:lnTo>
                                  <a:pt x="950563" y="191593"/>
                                </a:lnTo>
                                <a:lnTo>
                                  <a:pt x="919481" y="157757"/>
                                </a:lnTo>
                                <a:lnTo>
                                  <a:pt x="885645" y="126676"/>
                                </a:lnTo>
                                <a:lnTo>
                                  <a:pt x="849245" y="98539"/>
                                </a:lnTo>
                                <a:lnTo>
                                  <a:pt x="810471" y="73537"/>
                                </a:lnTo>
                                <a:lnTo>
                                  <a:pt x="769513" y="51859"/>
                                </a:lnTo>
                                <a:lnTo>
                                  <a:pt x="726561" y="33697"/>
                                </a:lnTo>
                                <a:lnTo>
                                  <a:pt x="681806" y="19239"/>
                                </a:lnTo>
                                <a:lnTo>
                                  <a:pt x="635437" y="8677"/>
                                </a:lnTo>
                                <a:lnTo>
                                  <a:pt x="587645" y="2201"/>
                                </a:lnTo>
                                <a:lnTo>
                                  <a:pt x="538619"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135.241806pt;margin-top:-204.955704pt;width:211.75pt;height:200.45pt;mso-position-horizontal-relative:page;mso-position-vertical-relative:paragraph;z-index:-30623232" id="docshapegroup404" coordorigin="2705,-4099" coordsize="4235,4009">
                <v:shape style="position:absolute;left:2927;top:-4100;width:1721;height:3421" id="docshape405" coordorigin="2928,-4099" coordsize="1721,3421" path="m4648,-4099l4572,-4097,4496,-4092,4421,-4084,4347,-4073,4273,-4058,4201,-4041,4131,-4020,4061,-3996,3993,-3970,3926,-3941,3860,-3909,3797,-3874,3734,-3837,3674,-3797,3615,-3755,3558,-3710,3503,-3663,3450,-3614,3399,-3563,3351,-3509,3304,-3454,3260,-3396,3218,-3336,3179,-3275,3142,-3211,3108,-3146,3076,-3080,3048,-3011,3022,-2941,2999,-2870,2979,-2797,2962,-2723,2949,-2647,2938,-2571,2931,-2496,2928,-2421,2928,-2346,2930,-2272,2937,-2198,2946,-2125,2958,-2053,2973,-1982,2991,-1912,3012,-1843,3036,-1775,3063,-1708,3092,-1643,3124,-1579,3159,-1516,3196,-1455,3235,-1396,3277,-1338,3322,-1282,3368,-1228,3417,-1176,3468,-1125,3521,-1077,3577,-1031,3634,-988,3693,-946,3754,-907,3817,-871,3882,-837,3948,-806,4016,-777,4086,-752,4157,-729,4230,-709,4304,-692,4379,-678,4648,-2378,4648,-4099xe" filled="true" fillcolor="#21409a" stroked="false">
                  <v:path arrowok="t"/>
                  <v:fill type="solid"/>
                </v:shape>
                <v:shape style="position:absolute;left:4379;top:-2379;width:830;height:1724" id="docshape406" coordorigin="4379,-2378" coordsize="830,1724" path="m4648,-2378l4379,-678,4459,-667,4537,-660,4613,-656,4688,-655,4762,-658,4835,-664,4909,-674,4982,-688,5057,-705,5132,-726,5209,-751,4648,-2378xe" filled="true" fillcolor="#474749" stroked="false">
                  <v:path arrowok="t"/>
                  <v:fill type="solid"/>
                </v:shape>
                <v:shape style="position:absolute;left:4648;top:-2379;width:988;height:1628" id="docshape407" coordorigin="4648,-2378" coordsize="988,1628" path="m4648,-2378l5209,-751,5285,-779,5358,-810,5430,-845,5500,-882,5568,-924,5636,-969,4648,-2378xe" filled="true" fillcolor="#a7a9ac" stroked="false">
                  <v:path arrowok="t"/>
                  <v:fill type="solid"/>
                </v:shape>
                <v:shape style="position:absolute;left:4648;top:-2379;width:1712;height:1410" id="docshape408" coordorigin="4648,-2378" coordsize="1712,1410" path="m4648,-2378l5636,-969,5701,-1017,5764,-1067,5824,-1119,5881,-1172,5934,-1228,5985,-1285,6032,-1345,6076,-1406,6118,-1469,6156,-1534,6191,-1601,6223,-1669,6252,-1739,6278,-1811,6300,-1885,6320,-1961,6336,-2038,6350,-2117,6360,-2198,4648,-2378xe" filled="true" fillcolor="#808285" stroked="false">
                  <v:path arrowok="t"/>
                  <v:fill type="solid"/>
                </v:shape>
                <v:shape style="position:absolute;left:4648;top:-2588;width:1722;height:390" id="docshape409" coordorigin="4648,-2588" coordsize="1722,390" path="m6356,-2588l4648,-2378,6360,-2198,6367,-2279,6370,-2356,6369,-2431,6365,-2507,6356,-2588xe" filled="true" fillcolor="#ddb00a" stroked="false">
                  <v:path arrowok="t"/>
                  <v:fill type="solid"/>
                </v:shape>
                <v:shape style="position:absolute;left:4648;top:-4100;width:1709;height:1721" id="docshape410" coordorigin="4648,-4099" coordsize="1709,1721" path="m4648,-4099l4648,-2378,6356,-2588,6345,-2664,6331,-2739,6314,-2813,6294,-2885,6271,-2956,6245,-3025,6216,-3093,6185,-3159,6151,-3224,6114,-3286,6075,-3347,6033,-3406,5989,-3463,5943,-3518,5895,-3571,5844,-3622,5792,-3670,5737,-3717,5680,-3761,5622,-3802,5562,-3841,5500,-3878,5436,-3912,5371,-3944,5305,-3972,5237,-3998,5167,-4021,5096,-4042,5024,-4059,4951,-4073,4877,-4084,4802,-4093,4725,-4097,4648,-4099xe" filled="true" fillcolor="#000000" stroked="false">
                  <v:path arrowok="t"/>
                  <v:fill type="solid"/>
                </v:shape>
                <v:shape style="position:absolute;left:6231;top:-3999;width:24;height:24" id="docshape411" coordorigin="6231,-3999" coordsize="24,24" path="m6231,-3987l6235,-3996,6243,-3999,6252,-3996,6255,-3987,6252,-3979,6243,-3975,6235,-3979,6231,-3987xe" filled="true" fillcolor="#000000" stroked="false">
                  <v:path arrowok="t"/>
                  <v:fill type="solid"/>
                </v:shape>
                <v:shape style="position:absolute;left:5785;top:-3988;width:419;height:189" id="docshape412" coordorigin="5786,-3987" coordsize="419,189" path="m6204,-3987l5976,-3987,5786,-3798e" filled="false" stroked="true" strokeweight="1.179pt" strokecolor="#000000">
                  <v:path arrowok="t"/>
                  <v:stroke dashstyle="dot"/>
                </v:shape>
                <v:shape style="position:absolute;left:5759;top:-3797;width:1180;height:1573" id="docshape413" coordorigin="5760,-3796" coordsize="1180,1573" path="m5783,-3784l5780,-3793,5771,-3796,5763,-3793,5760,-3784,5763,-3776,5771,-3773,5780,-3776,5783,-3784xm6939,-2235l6936,-2243,6928,-2247,6919,-2243,6916,-2235,6919,-2227,6928,-2223,6936,-2227,6939,-2235xe" filled="true" fillcolor="#000000" stroked="false">
                  <v:path arrowok="t"/>
                  <v:fill type="solid"/>
                </v:shape>
                <v:shape style="position:absolute;left:6460;top:-2414;width:438;height:153" id="docshape414" coordorigin="6461,-2414" coordsize="438,153" path="m6898,-2261l6729,-2414,6461,-2401e" filled="false" stroked="true" strokeweight="1.179pt" strokecolor="#000000">
                  <v:path arrowok="t"/>
                  <v:stroke dashstyle="dot"/>
                </v:shape>
                <v:shape style="position:absolute;left:6220;top:-2412;width:233;height:888" id="docshape415" coordorigin="6221,-2411" coordsize="233,888" path="m6244,-1535l6241,-1544,6232,-1547,6224,-1544,6221,-1535,6224,-1527,6232,-1524,6241,-1527,6244,-1535xm6453,-2400l6449,-2408,6441,-2411,6433,-2408,6429,-2400,6433,-2391,6441,-2388,6449,-2391,6453,-2400xe" filled="true" fillcolor="#000000" stroked="false">
                  <v:path arrowok="t"/>
                  <v:fill type="solid"/>
                </v:shape>
                <v:shape style="position:absolute;left:6266;top:-1515;width:456;height:119" id="docshape416" coordorigin="6266,-1515" coordsize="456,119" path="m6266,-1515l6460,-1396,6721,-1457e" filled="false" stroked="true" strokeweight="1.179pt" strokecolor="#000000">
                  <v:path arrowok="t"/>
                  <v:stroke dashstyle="dot"/>
                </v:shape>
                <v:shape style="position:absolute;left:5457;top:-1474;width:1295;height:710" id="docshape417" coordorigin="5458,-1474" coordsize="1295,710" path="m5481,-776l5478,-784,5469,-788,5461,-784,5458,-776,5461,-768,5469,-764,5478,-768,5481,-776xm6752,-1462l6749,-1470,6741,-1474,6732,-1470,6729,-1462,6732,-1454,6741,-1450,6749,-1454,6752,-1462xe" filled="true" fillcolor="#000000" stroked="false">
                  <v:path arrowok="t"/>
                  <v:fill type="solid"/>
                </v:shape>
                <v:shape style="position:absolute;left:5493;top:-745;width:406;height:215" id="docshape418" coordorigin="5494,-745" coordsize="406,215" path="m5494,-745l5633,-565,5899,-530e" filled="false" stroked="true" strokeweight="1.179pt" strokecolor="#000000">
                  <v:path arrowok="t"/>
                  <v:stroke dashstyle="dot"/>
                </v:shape>
                <v:shape style="position:absolute;left:4934;top:-540;width:996;height:449" id="docshape419" coordorigin="4935,-539" coordsize="996,449" path="m4958,-102l4955,-110,4947,-114,4938,-110,4935,-102,4938,-94,4947,-90,4955,-94,4958,-102xm5931,-527l5927,-536,5919,-539,5910,-536,5907,-527,5910,-519,5919,-515,5927,-519,5931,-527xe" filled="true" fillcolor="#000000" stroked="false">
                  <v:path arrowok="t"/>
                  <v:fill type="solid"/>
                </v:shape>
                <v:shape style="position:absolute;left:4832;top:-584;width:157;height:443" id="docshape420" coordorigin="4832,-584" coordsize="157,443" path="m4953,-141l4989,-366,4832,-584e" filled="false" stroked="true" strokeweight="1.179pt" strokecolor="#000000">
                  <v:path arrowok="t"/>
                  <v:stroke dashstyle="dot"/>
                </v:shape>
                <v:shape style="position:absolute;left:4808;top:-612;width:24;height:24" id="docshape421" coordorigin="4809,-612" coordsize="24,24" path="m4809,-600l4812,-608,4821,-612,4829,-608,4832,-600,4829,-591,4821,-588,4812,-591,4809,-600xe" filled="true" fillcolor="#000000" stroked="false">
                  <v:path arrowok="t"/>
                  <v:fill type="solid"/>
                </v:shape>
                <v:shape style="position:absolute;left:2704;top:-3663;width:378;height:396" type="#_x0000_t75" id="docshape422" stroked="false">
                  <v:imagedata r:id="rId77" o:title=""/>
                </v:shape>
                <v:shape style="position:absolute;left:3815;top:-3245;width:1697;height:1697" id="docshape423" coordorigin="3815,-3244" coordsize="1697,1697" path="m4663,-3244l4586,-3241,4511,-3230,4438,-3214,4367,-3191,4300,-3162,4235,-3128,4174,-3089,4117,-3045,4064,-2996,4015,-2942,3970,-2885,3931,-2824,3897,-2760,3868,-2692,3845,-2621,3829,-2548,3819,-2473,3815,-2396,3819,-2319,3829,-2243,3845,-2170,3868,-2100,3897,-2032,3931,-1968,3970,-1907,4015,-1849,4064,-1796,4117,-1747,4174,-1703,4235,-1663,4300,-1629,4367,-1601,4438,-1578,4511,-1561,4586,-1551,4663,-1548,4741,-1551,4816,-1561,4889,-1578,4959,-1601,5027,-1629,5091,-1663,5153,-1703,5210,-1747,5263,-1796,5312,-1849,5356,-1907,5396,-1968,5430,-2032,5459,-2100,5481,-2170,5498,-2243,5508,-2319,5512,-2396,5508,-2473,5498,-2548,5481,-2621,5459,-2692,5430,-2760,5396,-2824,5356,-2885,5312,-2942,5263,-2996,5210,-3045,5153,-3089,5091,-3128,5027,-3162,4959,-3191,4889,-3214,4816,-3230,4741,-3241,4663,-3244xe" filled="true" fillcolor="#ffffff" stroked="false">
                  <v:path arrowok="t"/>
                  <v:fill type="solid"/>
                </v:shape>
                <w10:wrap type="none"/>
              </v:group>
            </w:pict>
          </mc:Fallback>
        </mc:AlternateContent>
      </w:r>
      <w:r>
        <w:rPr>
          <w:rFonts w:ascii="TT Norms Pro Light"/>
          <w:b w:val="0"/>
          <w:spacing w:val="-2"/>
          <w:sz w:val="14"/>
        </w:rPr>
        <w:t>Professional other</w:t>
      </w:r>
      <w:r>
        <w:rPr>
          <w:rFonts w:ascii="TT Norms Pro Light"/>
          <w:b w:val="0"/>
          <w:spacing w:val="-3"/>
          <w:sz w:val="14"/>
        </w:rPr>
        <w:t> </w:t>
      </w:r>
      <w:r>
        <w:rPr>
          <w:rFonts w:ascii="TT Norms Pro Light"/>
          <w:b w:val="0"/>
          <w:spacing w:val="-2"/>
          <w:sz w:val="14"/>
        </w:rPr>
        <w:t>staff</w:t>
      </w:r>
      <w:r>
        <w:rPr>
          <w:rFonts w:ascii="TT Norms Pro Light"/>
          <w:b w:val="0"/>
          <w:spacing w:val="40"/>
          <w:sz w:val="14"/>
        </w:rPr>
        <w:t> </w:t>
      </w:r>
      <w:r>
        <w:rPr>
          <w:rFonts w:ascii="TT Norms Pro Light"/>
          <w:b w:val="0"/>
          <w:sz w:val="14"/>
        </w:rPr>
        <w:t>in</w:t>
      </w:r>
      <w:r>
        <w:rPr>
          <w:rFonts w:ascii="TT Norms Pro Light"/>
          <w:b w:val="0"/>
          <w:spacing w:val="-1"/>
          <w:sz w:val="14"/>
        </w:rPr>
        <w:t> </w:t>
      </w:r>
      <w:r>
        <w:rPr>
          <w:rFonts w:ascii="TT Norms Pro Light"/>
          <w:b w:val="0"/>
          <w:sz w:val="14"/>
        </w:rPr>
        <w:t>AOUs 7.9%</w:t>
      </w:r>
    </w:p>
    <w:p>
      <w:pPr>
        <w:spacing w:after="0" w:line="247" w:lineRule="auto"/>
        <w:jc w:val="left"/>
        <w:rPr>
          <w:rFonts w:ascii="TT Norms Pro Light"/>
          <w:sz w:val="14"/>
        </w:rPr>
        <w:sectPr>
          <w:type w:val="continuous"/>
          <w:pgSz w:w="11910" w:h="16840"/>
          <w:pgMar w:header="468" w:footer="0" w:top="980" w:bottom="280" w:left="920" w:right="0"/>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3"/>
        <w:rPr>
          <w:b w:val="0"/>
          <w:sz w:val="20"/>
        </w:rPr>
      </w:pPr>
    </w:p>
    <w:p>
      <w:pPr>
        <w:pStyle w:val="BodyText"/>
        <w:ind w:left="247"/>
        <w:rPr>
          <w:sz w:val="20"/>
        </w:rPr>
      </w:pPr>
      <w:r>
        <w:rPr>
          <w:sz w:val="20"/>
        </w:rPr>
        <mc:AlternateContent>
          <mc:Choice Requires="wps">
            <w:drawing>
              <wp:inline distT="0" distB="0" distL="0" distR="0">
                <wp:extent cx="5446395" cy="2414905"/>
                <wp:effectExtent l="0" t="0" r="0" b="4444"/>
                <wp:docPr id="620" name="Group 620"/>
                <wp:cNvGraphicFramePr>
                  <a:graphicFrameLocks/>
                </wp:cNvGraphicFramePr>
                <a:graphic>
                  <a:graphicData uri="http://schemas.microsoft.com/office/word/2010/wordprocessingGroup">
                    <wpg:wgp>
                      <wpg:cNvPr id="620" name="Group 620"/>
                      <wpg:cNvGrpSpPr/>
                      <wpg:grpSpPr>
                        <a:xfrm>
                          <a:off x="0" y="0"/>
                          <a:ext cx="5446395" cy="2414905"/>
                          <a:chExt cx="5446395" cy="2414905"/>
                        </a:xfrm>
                      </wpg:grpSpPr>
                      <pic:pic>
                        <pic:nvPicPr>
                          <pic:cNvPr id="621" name="Image 621"/>
                          <pic:cNvPicPr/>
                        </pic:nvPicPr>
                        <pic:blipFill>
                          <a:blip r:embed="rId78" cstate="print"/>
                          <a:stretch>
                            <a:fillRect/>
                          </a:stretch>
                        </pic:blipFill>
                        <pic:spPr>
                          <a:xfrm>
                            <a:off x="47407" y="28456"/>
                            <a:ext cx="5398700" cy="2386017"/>
                          </a:xfrm>
                          <a:prstGeom prst="rect">
                            <a:avLst/>
                          </a:prstGeom>
                        </pic:spPr>
                      </pic:pic>
                      <pic:pic>
                        <pic:nvPicPr>
                          <pic:cNvPr id="622" name="Image 622"/>
                          <pic:cNvPicPr/>
                        </pic:nvPicPr>
                        <pic:blipFill>
                          <a:blip r:embed="rId79" cstate="print"/>
                          <a:stretch>
                            <a:fillRect/>
                          </a:stretch>
                        </pic:blipFill>
                        <pic:spPr>
                          <a:xfrm>
                            <a:off x="3789679" y="1818613"/>
                            <a:ext cx="936523" cy="272246"/>
                          </a:xfrm>
                          <a:prstGeom prst="rect">
                            <a:avLst/>
                          </a:prstGeom>
                        </pic:spPr>
                      </pic:pic>
                      <pic:pic>
                        <pic:nvPicPr>
                          <pic:cNvPr id="623" name="Image 623"/>
                          <pic:cNvPicPr/>
                        </pic:nvPicPr>
                        <pic:blipFill>
                          <a:blip r:embed="rId80" cstate="print"/>
                          <a:stretch>
                            <a:fillRect/>
                          </a:stretch>
                        </pic:blipFill>
                        <pic:spPr>
                          <a:xfrm>
                            <a:off x="0" y="0"/>
                            <a:ext cx="5444941" cy="969199"/>
                          </a:xfrm>
                          <a:prstGeom prst="rect">
                            <a:avLst/>
                          </a:prstGeom>
                        </pic:spPr>
                      </pic:pic>
                      <pic:pic>
                        <pic:nvPicPr>
                          <pic:cNvPr id="624" name="Image 624"/>
                          <pic:cNvPicPr/>
                        </pic:nvPicPr>
                        <pic:blipFill>
                          <a:blip r:embed="rId81" cstate="print"/>
                          <a:stretch>
                            <a:fillRect/>
                          </a:stretch>
                        </pic:blipFill>
                        <pic:spPr>
                          <a:xfrm>
                            <a:off x="0" y="1818613"/>
                            <a:ext cx="1154323" cy="588053"/>
                          </a:xfrm>
                          <a:prstGeom prst="rect">
                            <a:avLst/>
                          </a:prstGeom>
                        </pic:spPr>
                      </pic:pic>
                      <pic:pic>
                        <pic:nvPicPr>
                          <pic:cNvPr id="625" name="Image 625"/>
                          <pic:cNvPicPr/>
                        </pic:nvPicPr>
                        <pic:blipFill>
                          <a:blip r:embed="rId82" cstate="print"/>
                          <a:stretch>
                            <a:fillRect/>
                          </a:stretch>
                        </pic:blipFill>
                        <pic:spPr>
                          <a:xfrm>
                            <a:off x="3702558" y="1459253"/>
                            <a:ext cx="43559" cy="76220"/>
                          </a:xfrm>
                          <a:prstGeom prst="rect">
                            <a:avLst/>
                          </a:prstGeom>
                        </pic:spPr>
                      </pic:pic>
                    </wpg:wgp>
                  </a:graphicData>
                </a:graphic>
              </wp:inline>
            </w:drawing>
          </mc:Choice>
          <mc:Fallback>
            <w:pict>
              <v:group style="width:428.85pt;height:190.15pt;mso-position-horizontal-relative:char;mso-position-vertical-relative:line" id="docshapegroup424" coordorigin="0,0" coordsize="8577,3803">
                <v:shape style="position:absolute;left:74;top:44;width:8502;height:3758" type="#_x0000_t75" id="docshape425" stroked="false">
                  <v:imagedata r:id="rId78" o:title=""/>
                </v:shape>
                <v:shape style="position:absolute;left:5968;top:2863;width:1475;height:429" type="#_x0000_t75" id="docshape426" stroked="false">
                  <v:imagedata r:id="rId79" o:title=""/>
                </v:shape>
                <v:shape style="position:absolute;left:0;top:0;width:8575;height:1527" type="#_x0000_t75" id="docshape427" stroked="false">
                  <v:imagedata r:id="rId80" o:title=""/>
                </v:shape>
                <v:shape style="position:absolute;left:0;top:2863;width:1818;height:927" type="#_x0000_t75" id="docshape428" stroked="false">
                  <v:imagedata r:id="rId81" o:title=""/>
                </v:shape>
                <v:shape style="position:absolute;left:5830;top:2298;width:69;height:121" type="#_x0000_t75" id="docshape429" stroked="false">
                  <v:imagedata r:id="rId82" o:title=""/>
                </v:shape>
              </v:group>
            </w:pict>
          </mc:Fallback>
        </mc:AlternateContent>
      </w:r>
      <w:r>
        <w:rPr>
          <w:sz w:val="20"/>
        </w:rPr>
      </w:r>
    </w:p>
    <w:p>
      <w:pPr>
        <w:pStyle w:val="BodyText"/>
        <w:rPr>
          <w:b w:val="0"/>
          <w:sz w:val="70"/>
        </w:rPr>
      </w:pPr>
    </w:p>
    <w:p>
      <w:pPr>
        <w:pStyle w:val="BodyText"/>
        <w:rPr>
          <w:b w:val="0"/>
          <w:sz w:val="70"/>
        </w:rPr>
      </w:pPr>
    </w:p>
    <w:p>
      <w:pPr>
        <w:pStyle w:val="BodyText"/>
        <w:spacing w:before="257"/>
        <w:rPr>
          <w:b w:val="0"/>
          <w:sz w:val="70"/>
        </w:rPr>
      </w:pPr>
    </w:p>
    <w:p>
      <w:pPr>
        <w:spacing w:line="875" w:lineRule="exact" w:before="0"/>
        <w:ind w:left="153" w:right="0" w:firstLine="0"/>
        <w:jc w:val="left"/>
        <w:rPr>
          <w:rFonts w:ascii="Palatino Linotype"/>
          <w:sz w:val="70"/>
        </w:rPr>
      </w:pPr>
      <w:r>
        <w:rPr/>
        <mc:AlternateContent>
          <mc:Choice Requires="wps">
            <w:drawing>
              <wp:anchor distT="0" distB="0" distL="0" distR="0" allowOverlap="1" layoutInCell="1" locked="0" behindDoc="1" simplePos="0" relativeHeight="472695296">
                <wp:simplePos x="0" y="0"/>
                <wp:positionH relativeFrom="page">
                  <wp:posOffset>521995</wp:posOffset>
                </wp:positionH>
                <wp:positionV relativeFrom="paragraph">
                  <wp:posOffset>21271</wp:posOffset>
                </wp:positionV>
                <wp:extent cx="6318250" cy="4340225"/>
                <wp:effectExtent l="0" t="0" r="0" b="0"/>
                <wp:wrapNone/>
                <wp:docPr id="626" name="Group 626"/>
                <wp:cNvGraphicFramePr>
                  <a:graphicFrameLocks/>
                </wp:cNvGraphicFramePr>
                <a:graphic>
                  <a:graphicData uri="http://schemas.microsoft.com/office/word/2010/wordprocessingGroup">
                    <wpg:wgp>
                      <wpg:cNvPr id="626" name="Group 626"/>
                      <wpg:cNvGrpSpPr/>
                      <wpg:grpSpPr>
                        <a:xfrm>
                          <a:off x="0" y="0"/>
                          <a:ext cx="6318250" cy="4340225"/>
                          <a:chExt cx="6318250" cy="4340225"/>
                        </a:xfrm>
                      </wpg:grpSpPr>
                      <wps:wsp>
                        <wps:cNvPr id="627" name="Graphic 627"/>
                        <wps:cNvSpPr/>
                        <wps:spPr>
                          <a:xfrm>
                            <a:off x="3067202" y="531596"/>
                            <a:ext cx="3251200" cy="3808095"/>
                          </a:xfrm>
                          <a:custGeom>
                            <a:avLst/>
                            <a:gdLst/>
                            <a:ahLst/>
                            <a:cxnLst/>
                            <a:rect l="l" t="t" r="r" b="b"/>
                            <a:pathLst>
                              <a:path w="3251200" h="3808095">
                                <a:moveTo>
                                  <a:pt x="3250806" y="0"/>
                                </a:moveTo>
                                <a:lnTo>
                                  <a:pt x="0" y="0"/>
                                </a:lnTo>
                                <a:lnTo>
                                  <a:pt x="0" y="3808095"/>
                                </a:lnTo>
                                <a:lnTo>
                                  <a:pt x="3250806" y="3808095"/>
                                </a:lnTo>
                                <a:lnTo>
                                  <a:pt x="3250806" y="0"/>
                                </a:lnTo>
                                <a:close/>
                              </a:path>
                            </a:pathLst>
                          </a:custGeom>
                          <a:solidFill>
                            <a:srgbClr val="21409A"/>
                          </a:solidFill>
                        </wps:spPr>
                        <wps:bodyPr wrap="square" lIns="0" tIns="0" rIns="0" bIns="0" rtlCol="0">
                          <a:prstTxWarp prst="textNoShape">
                            <a:avLst/>
                          </a:prstTxWarp>
                          <a:noAutofit/>
                        </wps:bodyPr>
                      </wps:wsp>
                      <pic:pic>
                        <pic:nvPicPr>
                          <pic:cNvPr id="628" name="Image 628"/>
                          <pic:cNvPicPr/>
                        </pic:nvPicPr>
                        <pic:blipFill>
                          <a:blip r:embed="rId83" cstate="print"/>
                          <a:stretch>
                            <a:fillRect/>
                          </a:stretch>
                        </pic:blipFill>
                        <pic:spPr>
                          <a:xfrm>
                            <a:off x="3258007" y="66090"/>
                            <a:ext cx="2873336" cy="4091101"/>
                          </a:xfrm>
                          <a:prstGeom prst="rect">
                            <a:avLst/>
                          </a:prstGeom>
                        </pic:spPr>
                      </pic:pic>
                      <wps:wsp>
                        <wps:cNvPr id="629" name="Graphic 629"/>
                        <wps:cNvSpPr/>
                        <wps:spPr>
                          <a:xfrm>
                            <a:off x="0" y="0"/>
                            <a:ext cx="4076065" cy="2770505"/>
                          </a:xfrm>
                          <a:custGeom>
                            <a:avLst/>
                            <a:gdLst/>
                            <a:ahLst/>
                            <a:cxnLst/>
                            <a:rect l="l" t="t" r="r" b="b"/>
                            <a:pathLst>
                              <a:path w="4076065" h="2770505">
                                <a:moveTo>
                                  <a:pt x="4076001" y="0"/>
                                </a:moveTo>
                                <a:lnTo>
                                  <a:pt x="51904" y="0"/>
                                </a:lnTo>
                                <a:lnTo>
                                  <a:pt x="51904" y="427355"/>
                                </a:lnTo>
                                <a:lnTo>
                                  <a:pt x="51904" y="664946"/>
                                </a:lnTo>
                                <a:lnTo>
                                  <a:pt x="51904" y="668070"/>
                                </a:lnTo>
                                <a:lnTo>
                                  <a:pt x="0" y="668070"/>
                                </a:lnTo>
                                <a:lnTo>
                                  <a:pt x="0" y="2770390"/>
                                </a:lnTo>
                                <a:lnTo>
                                  <a:pt x="3495598" y="2770390"/>
                                </a:lnTo>
                                <a:lnTo>
                                  <a:pt x="3495598" y="1132306"/>
                                </a:lnTo>
                                <a:lnTo>
                                  <a:pt x="4076001" y="1132306"/>
                                </a:lnTo>
                                <a:lnTo>
                                  <a:pt x="4076001" y="664946"/>
                                </a:lnTo>
                                <a:lnTo>
                                  <a:pt x="4076001" y="427355"/>
                                </a:lnTo>
                                <a:lnTo>
                                  <a:pt x="4076001"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41.102001pt;margin-top:1.674886pt;width:497.5pt;height:341.75pt;mso-position-horizontal-relative:page;mso-position-vertical-relative:paragraph;z-index:-30621184" id="docshapegroup430" coordorigin="822,33" coordsize="9950,6835">
                <v:rect style="position:absolute;left:5652;top:870;width:5120;height:5997" id="docshape431" filled="true" fillcolor="#21409a" stroked="false">
                  <v:fill type="solid"/>
                </v:rect>
                <v:shape style="position:absolute;left:5952;top:137;width:4525;height:6443" type="#_x0000_t75" id="docshape432" stroked="false">
                  <v:imagedata r:id="rId83" o:title=""/>
                </v:shape>
                <v:shape style="position:absolute;left:822;top:33;width:6419;height:4363" id="docshape433" coordorigin="822,33" coordsize="6419,4363" path="m7241,33l904,33,904,706,904,1081,904,1086,822,1086,822,4396,6327,4396,6327,1817,7241,1817,7241,1081,7241,706,7241,33xe" filled="true" fillcolor="#ffffff" stroked="false">
                  <v:path arrowok="t"/>
                  <v:fill type="solid"/>
                </v:shape>
                <w10:wrap type="none"/>
              </v:group>
            </w:pict>
          </mc:Fallback>
        </mc:AlternateContent>
      </w:r>
      <w:r>
        <w:rPr>
          <w:rFonts w:ascii="Palatino Linotype"/>
          <w:w w:val="105"/>
          <w:sz w:val="70"/>
        </w:rPr>
        <w:t>Key</w:t>
      </w:r>
      <w:r>
        <w:rPr>
          <w:rFonts w:ascii="Palatino Linotype"/>
          <w:spacing w:val="-63"/>
          <w:w w:val="105"/>
          <w:sz w:val="70"/>
        </w:rPr>
        <w:t> </w:t>
      </w:r>
      <w:r>
        <w:rPr>
          <w:rFonts w:ascii="Palatino Linotype"/>
          <w:spacing w:val="-2"/>
          <w:w w:val="105"/>
          <w:sz w:val="70"/>
        </w:rPr>
        <w:t>performance</w:t>
      </w:r>
    </w:p>
    <w:p>
      <w:pPr>
        <w:pStyle w:val="Heading2"/>
        <w:ind w:left="874"/>
      </w:pPr>
      <w:r>
        <w:rPr>
          <w:spacing w:val="-2"/>
        </w:rPr>
        <w:t>indicators</w:t>
      </w:r>
    </w:p>
    <w:p>
      <w:pPr>
        <w:pStyle w:val="BodyText"/>
        <w:spacing w:line="295" w:lineRule="auto" w:before="565"/>
        <w:ind w:left="213" w:right="6508"/>
        <w:rPr>
          <w:b w:val="0"/>
        </w:rPr>
      </w:pPr>
      <w:r>
        <w:rPr>
          <w:b w:val="0"/>
        </w:rPr>
        <w:t>UWA’s mission is to provide world-class education,</w:t>
      </w:r>
      <w:r>
        <w:rPr>
          <w:b w:val="0"/>
          <w:spacing w:val="40"/>
        </w:rPr>
        <w:t> </w:t>
      </w:r>
      <w:r>
        <w:rPr>
          <w:b w:val="0"/>
        </w:rPr>
        <w:t>research and community engagement for the</w:t>
      </w:r>
      <w:r>
        <w:rPr>
          <w:b w:val="0"/>
          <w:spacing w:val="40"/>
        </w:rPr>
        <w:t> </w:t>
      </w:r>
      <w:r>
        <w:rPr>
          <w:b w:val="0"/>
        </w:rPr>
        <w:t>advancement of the prosperity and welfare of our</w:t>
      </w:r>
      <w:r>
        <w:rPr>
          <w:b w:val="0"/>
          <w:spacing w:val="40"/>
        </w:rPr>
        <w:t> </w:t>
      </w:r>
      <w:r>
        <w:rPr>
          <w:b w:val="0"/>
        </w:rPr>
        <w:t>communities. The University has a vision of creating</w:t>
      </w:r>
      <w:r>
        <w:rPr>
          <w:b w:val="0"/>
          <w:spacing w:val="40"/>
        </w:rPr>
        <w:t> </w:t>
      </w:r>
      <w:r>
        <w:rPr>
          <w:b w:val="0"/>
        </w:rPr>
        <w:t>the next generation of global leaders through</w:t>
      </w:r>
      <w:r>
        <w:rPr>
          <w:b w:val="0"/>
          <w:spacing w:val="40"/>
        </w:rPr>
        <w:t> </w:t>
      </w:r>
      <w:r>
        <w:rPr>
          <w:b w:val="0"/>
        </w:rPr>
        <w:t>experience-rich education and world-leading,</w:t>
      </w:r>
      <w:r>
        <w:rPr>
          <w:b w:val="0"/>
          <w:spacing w:val="40"/>
        </w:rPr>
        <w:t> </w:t>
      </w:r>
      <w:r>
        <w:rPr>
          <w:b w:val="0"/>
        </w:rPr>
        <w:t>trustworthy research. The following KPIs are designed</w:t>
      </w:r>
      <w:r>
        <w:rPr>
          <w:b w:val="0"/>
          <w:spacing w:val="40"/>
        </w:rPr>
        <w:t> </w:t>
      </w:r>
      <w:r>
        <w:rPr>
          <w:b w:val="0"/>
        </w:rPr>
        <w:t>to evidence progress towards our vision and mission.</w:t>
      </w:r>
    </w:p>
    <w:p>
      <w:pPr>
        <w:pStyle w:val="BodyText"/>
        <w:spacing w:before="37"/>
        <w:rPr>
          <w:b w:val="0"/>
        </w:rPr>
      </w:pPr>
    </w:p>
    <w:p>
      <w:pPr>
        <w:pStyle w:val="BodyText"/>
        <w:spacing w:line="295" w:lineRule="auto"/>
        <w:ind w:left="213" w:right="6609"/>
        <w:rPr>
          <w:b w:val="0"/>
        </w:rPr>
      </w:pPr>
      <w:r>
        <w:rPr>
          <w:b w:val="0"/>
        </w:rPr>
        <w:t>The set of KPIs is generally consistent with the 2019</w:t>
      </w:r>
      <w:r>
        <w:rPr>
          <w:b w:val="0"/>
          <w:spacing w:val="40"/>
        </w:rPr>
        <w:t> </w:t>
      </w:r>
      <w:r>
        <w:rPr>
          <w:b w:val="0"/>
        </w:rPr>
        <w:t>Annual Report and reflects the focus and activities</w:t>
      </w:r>
      <w:r>
        <w:rPr>
          <w:b w:val="0"/>
          <w:spacing w:val="80"/>
        </w:rPr>
        <w:t> </w:t>
      </w:r>
      <w:r>
        <w:rPr>
          <w:b w:val="0"/>
        </w:rPr>
        <w:t>of</w:t>
      </w:r>
      <w:r>
        <w:rPr>
          <w:b w:val="0"/>
          <w:spacing w:val="-4"/>
        </w:rPr>
        <w:t> </w:t>
      </w:r>
      <w:r>
        <w:rPr>
          <w:b w:val="0"/>
        </w:rPr>
        <w:t>our</w:t>
      </w:r>
      <w:r>
        <w:rPr>
          <w:b w:val="0"/>
          <w:spacing w:val="-4"/>
        </w:rPr>
        <w:t> </w:t>
      </w:r>
      <w:r>
        <w:rPr>
          <w:b w:val="0"/>
        </w:rPr>
        <w:t>UWA</w:t>
      </w:r>
      <w:r>
        <w:rPr>
          <w:b w:val="0"/>
          <w:spacing w:val="-4"/>
        </w:rPr>
        <w:t> </w:t>
      </w:r>
      <w:r>
        <w:rPr>
          <w:b w:val="0"/>
        </w:rPr>
        <w:t>2030</w:t>
      </w:r>
      <w:r>
        <w:rPr>
          <w:b w:val="0"/>
          <w:spacing w:val="-4"/>
        </w:rPr>
        <w:t> </w:t>
      </w:r>
      <w:r>
        <w:rPr>
          <w:b w:val="0"/>
        </w:rPr>
        <w:t>vision</w:t>
      </w:r>
      <w:r>
        <w:rPr>
          <w:b w:val="0"/>
          <w:spacing w:val="-4"/>
        </w:rPr>
        <w:t> </w:t>
      </w:r>
      <w:r>
        <w:rPr>
          <w:b w:val="0"/>
        </w:rPr>
        <w:t>and</w:t>
      </w:r>
      <w:r>
        <w:rPr>
          <w:b w:val="0"/>
          <w:spacing w:val="-4"/>
        </w:rPr>
        <w:t> </w:t>
      </w:r>
      <w:r>
        <w:rPr>
          <w:b w:val="0"/>
          <w:i/>
        </w:rPr>
        <w:t>Strategic</w:t>
      </w:r>
      <w:r>
        <w:rPr>
          <w:b w:val="0"/>
          <w:i/>
          <w:spacing w:val="-4"/>
        </w:rPr>
        <w:t> </w:t>
      </w:r>
      <w:r>
        <w:rPr>
          <w:b w:val="0"/>
          <w:i/>
        </w:rPr>
        <w:t>Plan</w:t>
      </w:r>
      <w:r>
        <w:rPr>
          <w:b w:val="0"/>
          <w:i/>
          <w:spacing w:val="-4"/>
        </w:rPr>
        <w:t> </w:t>
      </w:r>
      <w:r>
        <w:rPr>
          <w:b w:val="0"/>
          <w:i/>
        </w:rPr>
        <w:t>2020-25</w:t>
      </w:r>
      <w:r>
        <w:rPr>
          <w:b w:val="0"/>
        </w:rPr>
        <w:t>,</w:t>
      </w:r>
      <w:r>
        <w:rPr>
          <w:b w:val="0"/>
          <w:spacing w:val="40"/>
        </w:rPr>
        <w:t> </w:t>
      </w:r>
      <w:r>
        <w:rPr>
          <w:b w:val="0"/>
        </w:rPr>
        <w:t>which</w:t>
      </w:r>
      <w:r>
        <w:rPr>
          <w:b w:val="0"/>
          <w:spacing w:val="-4"/>
        </w:rPr>
        <w:t> </w:t>
      </w:r>
      <w:r>
        <w:rPr>
          <w:b w:val="0"/>
        </w:rPr>
        <w:t>are</w:t>
      </w:r>
      <w:r>
        <w:rPr>
          <w:b w:val="0"/>
          <w:spacing w:val="-4"/>
        </w:rPr>
        <w:t> </w:t>
      </w:r>
      <w:r>
        <w:rPr>
          <w:b w:val="0"/>
        </w:rPr>
        <w:t>the</w:t>
      </w:r>
      <w:r>
        <w:rPr>
          <w:b w:val="0"/>
          <w:spacing w:val="-4"/>
        </w:rPr>
        <w:t> </w:t>
      </w:r>
      <w:r>
        <w:rPr>
          <w:b w:val="0"/>
        </w:rPr>
        <w:t>best</w:t>
      </w:r>
      <w:r>
        <w:rPr>
          <w:b w:val="0"/>
          <w:spacing w:val="-4"/>
        </w:rPr>
        <w:t> </w:t>
      </w:r>
      <w:r>
        <w:rPr>
          <w:b w:val="0"/>
        </w:rPr>
        <w:t>representation</w:t>
      </w:r>
      <w:r>
        <w:rPr>
          <w:b w:val="0"/>
          <w:spacing w:val="-4"/>
        </w:rPr>
        <w:t> </w:t>
      </w:r>
      <w:r>
        <w:rPr>
          <w:b w:val="0"/>
        </w:rPr>
        <w:t>of</w:t>
      </w:r>
      <w:r>
        <w:rPr>
          <w:b w:val="0"/>
          <w:spacing w:val="-4"/>
        </w:rPr>
        <w:t> </w:t>
      </w:r>
      <w:r>
        <w:rPr>
          <w:b w:val="0"/>
        </w:rPr>
        <w:t>UWA’s</w:t>
      </w:r>
      <w:r>
        <w:rPr>
          <w:b w:val="0"/>
          <w:spacing w:val="-4"/>
        </w:rPr>
        <w:t> </w:t>
      </w:r>
      <w:r>
        <w:rPr>
          <w:b w:val="0"/>
        </w:rPr>
        <w:t>strategic</w:t>
      </w:r>
      <w:r>
        <w:rPr>
          <w:b w:val="0"/>
          <w:spacing w:val="40"/>
        </w:rPr>
        <w:t> </w:t>
      </w:r>
      <w:r>
        <w:rPr>
          <w:b w:val="0"/>
        </w:rPr>
        <w:t>aspirations. Where an indicator is new or changed,</w:t>
      </w:r>
    </w:p>
    <w:p>
      <w:pPr>
        <w:pStyle w:val="BodyText"/>
        <w:spacing w:line="295" w:lineRule="auto" w:before="4"/>
        <w:ind w:left="213" w:right="6508"/>
        <w:rPr>
          <w:b w:val="0"/>
        </w:rPr>
      </w:pPr>
      <w:r>
        <w:rPr>
          <w:b w:val="0"/>
        </w:rPr>
        <w:t>it is noted. Relationships with previous reporting are</w:t>
      </w:r>
      <w:r>
        <w:rPr>
          <w:b w:val="0"/>
          <w:spacing w:val="40"/>
        </w:rPr>
        <w:t> </w:t>
      </w:r>
      <w:r>
        <w:rPr>
          <w:b w:val="0"/>
        </w:rPr>
        <w:t>referenced in the notes for each indicator.</w:t>
      </w:r>
    </w:p>
    <w:p>
      <w:pPr>
        <w:spacing w:after="0" w:line="295" w:lineRule="auto"/>
        <w:sectPr>
          <w:pgSz w:w="11910" w:h="16840"/>
          <w:pgMar w:header="468" w:footer="0" w:top="720" w:bottom="280" w:left="920" w:right="0"/>
        </w:sectPr>
      </w:pPr>
    </w:p>
    <w:p>
      <w:pPr>
        <w:pStyle w:val="ListParagraph"/>
        <w:numPr>
          <w:ilvl w:val="0"/>
          <w:numId w:val="8"/>
        </w:numPr>
        <w:tabs>
          <w:tab w:pos="489" w:val="left" w:leader="none"/>
        </w:tabs>
        <w:spacing w:line="240" w:lineRule="auto" w:before="96" w:after="0"/>
        <w:ind w:left="489" w:right="0" w:hanging="276"/>
        <w:jc w:val="left"/>
        <w:rPr>
          <w:rFonts w:ascii="TT Norms Pro"/>
          <w:b/>
          <w:color w:val="242021"/>
          <w:sz w:val="46"/>
        </w:rPr>
      </w:pPr>
      <w:r>
        <w:rPr>
          <w:rFonts w:ascii="TT Norms Pro"/>
          <w:b/>
          <w:color w:val="242021"/>
          <w:w w:val="20"/>
          <w:position w:val="2"/>
          <w:sz w:val="69"/>
        </w:rPr>
        <w:t>|</w:t>
      </w:r>
      <w:r>
        <w:rPr>
          <w:rFonts w:ascii="TT Norms Pro"/>
          <w:b/>
          <w:color w:val="242021"/>
          <w:spacing w:val="74"/>
          <w:position w:val="2"/>
          <w:sz w:val="69"/>
        </w:rPr>
        <w:t> </w:t>
      </w:r>
      <w:r>
        <w:rPr>
          <w:rFonts w:ascii="TT Norms Pro"/>
          <w:b/>
          <w:color w:val="242021"/>
          <w:spacing w:val="-2"/>
          <w:w w:val="85"/>
          <w:sz w:val="46"/>
        </w:rPr>
        <w:t>Education</w:t>
      </w:r>
    </w:p>
    <w:p>
      <w:pPr>
        <w:spacing w:before="300"/>
        <w:ind w:left="213" w:right="0" w:firstLine="0"/>
        <w:jc w:val="left"/>
        <w:rPr>
          <w:rFonts w:ascii="TT Norms Pro"/>
          <w:b/>
          <w:sz w:val="18"/>
        </w:rPr>
      </w:pPr>
      <w:r>
        <w:rPr>
          <w:rFonts w:ascii="TT Norms Pro"/>
          <w:b/>
          <w:sz w:val="18"/>
        </w:rPr>
        <w:t>Strategic</w:t>
      </w:r>
      <w:r>
        <w:rPr>
          <w:rFonts w:ascii="TT Norms Pro"/>
          <w:b/>
          <w:spacing w:val="8"/>
          <w:sz w:val="18"/>
        </w:rPr>
        <w:t> </w:t>
      </w:r>
      <w:r>
        <w:rPr>
          <w:rFonts w:ascii="TT Norms Pro"/>
          <w:b/>
          <w:spacing w:val="-4"/>
          <w:sz w:val="18"/>
        </w:rPr>
        <w:t>goal</w:t>
      </w:r>
    </w:p>
    <w:p>
      <w:pPr>
        <w:pStyle w:val="BodyText"/>
        <w:spacing w:line="295" w:lineRule="auto" w:before="49"/>
        <w:ind w:left="213" w:right="276"/>
        <w:rPr>
          <w:b w:val="0"/>
        </w:rPr>
      </w:pPr>
      <w:r>
        <w:rPr>
          <w:b w:val="0"/>
        </w:rPr>
        <w:t>A UWA education will empower students to create the</w:t>
      </w:r>
      <w:r>
        <w:rPr>
          <w:b w:val="0"/>
          <w:spacing w:val="40"/>
        </w:rPr>
        <w:t> </w:t>
      </w:r>
      <w:r>
        <w:rPr>
          <w:b w:val="0"/>
        </w:rPr>
        <w:t>best possible future for themselves and, through their</w:t>
      </w:r>
      <w:r>
        <w:rPr>
          <w:b w:val="0"/>
          <w:spacing w:val="40"/>
        </w:rPr>
        <w:t> </w:t>
      </w:r>
      <w:r>
        <w:rPr>
          <w:b w:val="0"/>
        </w:rPr>
        <w:t>leadership, others. We will be globally acclaimed for our</w:t>
      </w:r>
      <w:r>
        <w:rPr>
          <w:b w:val="0"/>
          <w:spacing w:val="40"/>
        </w:rPr>
        <w:t> </w:t>
      </w:r>
      <w:r>
        <w:rPr>
          <w:b w:val="0"/>
        </w:rPr>
        <w:t>stimulating curriculum built on social responsibility,</w:t>
      </w:r>
      <w:r>
        <w:rPr>
          <w:b w:val="0"/>
          <w:spacing w:val="40"/>
        </w:rPr>
        <w:t> </w:t>
      </w:r>
      <w:r>
        <w:rPr>
          <w:b w:val="0"/>
        </w:rPr>
        <w:t>experience-rich learning and cutting-edge research.</w:t>
      </w:r>
    </w:p>
    <w:p>
      <w:pPr>
        <w:pStyle w:val="BodyText"/>
        <w:spacing w:before="49"/>
        <w:rPr>
          <w:b w:val="0"/>
        </w:rPr>
      </w:pPr>
    </w:p>
    <w:p>
      <w:pPr>
        <w:spacing w:before="0"/>
        <w:ind w:left="213" w:right="0" w:firstLine="0"/>
        <w:jc w:val="left"/>
        <w:rPr>
          <w:rFonts w:ascii="TT Norms Pro"/>
          <w:b/>
          <w:sz w:val="18"/>
        </w:rPr>
      </w:pPr>
      <w:r>
        <w:rPr>
          <w:rFonts w:ascii="TT Norms Pro"/>
          <w:b/>
          <w:sz w:val="18"/>
        </w:rPr>
        <w:t>Key</w:t>
      </w:r>
      <w:r>
        <w:rPr>
          <w:rFonts w:ascii="TT Norms Pro"/>
          <w:b/>
          <w:spacing w:val="3"/>
          <w:sz w:val="18"/>
        </w:rPr>
        <w:t> </w:t>
      </w:r>
      <w:r>
        <w:rPr>
          <w:rFonts w:ascii="TT Norms Pro"/>
          <w:b/>
          <w:sz w:val="18"/>
        </w:rPr>
        <w:t>performance</w:t>
      </w:r>
      <w:r>
        <w:rPr>
          <w:rFonts w:ascii="TT Norms Pro"/>
          <w:b/>
          <w:spacing w:val="6"/>
          <w:sz w:val="18"/>
        </w:rPr>
        <w:t> </w:t>
      </w:r>
      <w:r>
        <w:rPr>
          <w:rFonts w:ascii="TT Norms Pro"/>
          <w:b/>
          <w:spacing w:val="-2"/>
          <w:sz w:val="18"/>
        </w:rPr>
        <w:t>indicators</w:t>
      </w:r>
    </w:p>
    <w:p>
      <w:pPr>
        <w:pStyle w:val="BodyText"/>
        <w:spacing w:line="295" w:lineRule="auto" w:before="49"/>
        <w:ind w:left="213"/>
        <w:rPr>
          <w:b w:val="0"/>
        </w:rPr>
      </w:pPr>
      <w:r>
        <w:rPr>
          <w:b w:val="0"/>
        </w:rPr>
        <w:t>Achievement</w:t>
      </w:r>
      <w:r>
        <w:rPr>
          <w:b w:val="0"/>
          <w:spacing w:val="-2"/>
        </w:rPr>
        <w:t> </w:t>
      </w:r>
      <w:r>
        <w:rPr>
          <w:b w:val="0"/>
        </w:rPr>
        <w:t>of</w:t>
      </w:r>
      <w:r>
        <w:rPr>
          <w:b w:val="0"/>
          <w:spacing w:val="-2"/>
        </w:rPr>
        <w:t> </w:t>
      </w:r>
      <w:r>
        <w:rPr>
          <w:b w:val="0"/>
        </w:rPr>
        <w:t>this</w:t>
      </w:r>
      <w:r>
        <w:rPr>
          <w:b w:val="0"/>
          <w:spacing w:val="-2"/>
        </w:rPr>
        <w:t> </w:t>
      </w:r>
      <w:r>
        <w:rPr>
          <w:b w:val="0"/>
        </w:rPr>
        <w:t>goal</w:t>
      </w:r>
      <w:r>
        <w:rPr>
          <w:b w:val="0"/>
          <w:spacing w:val="-2"/>
        </w:rPr>
        <w:t> </w:t>
      </w:r>
      <w:r>
        <w:rPr>
          <w:b w:val="0"/>
        </w:rPr>
        <w:t>will</w:t>
      </w:r>
      <w:r>
        <w:rPr>
          <w:b w:val="0"/>
          <w:spacing w:val="-2"/>
        </w:rPr>
        <w:t> </w:t>
      </w:r>
      <w:r>
        <w:rPr>
          <w:b w:val="0"/>
        </w:rPr>
        <w:t>be</w:t>
      </w:r>
      <w:r>
        <w:rPr>
          <w:b w:val="0"/>
          <w:spacing w:val="-2"/>
        </w:rPr>
        <w:t> </w:t>
      </w:r>
      <w:r>
        <w:rPr>
          <w:b w:val="0"/>
        </w:rPr>
        <w:t>measured</w:t>
      </w:r>
      <w:r>
        <w:rPr>
          <w:b w:val="0"/>
          <w:spacing w:val="-2"/>
        </w:rPr>
        <w:t> </w:t>
      </w:r>
      <w:r>
        <w:rPr>
          <w:b w:val="0"/>
        </w:rPr>
        <w:t>by</w:t>
      </w:r>
      <w:r>
        <w:rPr>
          <w:b w:val="0"/>
          <w:spacing w:val="-2"/>
        </w:rPr>
        <w:t> </w:t>
      </w:r>
      <w:r>
        <w:rPr>
          <w:b w:val="0"/>
        </w:rPr>
        <w:t>the</w:t>
      </w:r>
      <w:r>
        <w:rPr>
          <w:b w:val="0"/>
          <w:spacing w:val="-2"/>
        </w:rPr>
        <w:t> </w:t>
      </w:r>
      <w:r>
        <w:rPr>
          <w:b w:val="0"/>
        </w:rPr>
        <w:t>following</w:t>
      </w:r>
      <w:r>
        <w:rPr>
          <w:b w:val="0"/>
          <w:spacing w:val="40"/>
        </w:rPr>
        <w:t> </w:t>
      </w:r>
      <w:r>
        <w:rPr>
          <w:b w:val="0"/>
        </w:rPr>
        <w:t>effectiveness</w:t>
      </w:r>
      <w:r>
        <w:rPr>
          <w:b w:val="0"/>
          <w:spacing w:val="-5"/>
        </w:rPr>
        <w:t> </w:t>
      </w:r>
      <w:r>
        <w:rPr>
          <w:b w:val="0"/>
        </w:rPr>
        <w:t>indicators:</w:t>
      </w:r>
    </w:p>
    <w:p>
      <w:pPr>
        <w:pStyle w:val="ListParagraph"/>
        <w:numPr>
          <w:ilvl w:val="1"/>
          <w:numId w:val="8"/>
        </w:numPr>
        <w:tabs>
          <w:tab w:pos="551" w:val="left" w:leader="none"/>
        </w:tabs>
        <w:spacing w:line="240" w:lineRule="auto" w:before="115" w:after="0"/>
        <w:ind w:left="551" w:right="0" w:hanging="338"/>
        <w:jc w:val="left"/>
        <w:rPr>
          <w:rFonts w:ascii="TT Norms Pro Light"/>
          <w:b w:val="0"/>
          <w:sz w:val="18"/>
        </w:rPr>
      </w:pPr>
      <w:r>
        <w:rPr>
          <w:rFonts w:ascii="TT Norms Pro Light"/>
          <w:b w:val="0"/>
          <w:sz w:val="18"/>
        </w:rPr>
        <w:t>Student</w:t>
      </w:r>
      <w:r>
        <w:rPr>
          <w:rFonts w:ascii="TT Norms Pro Light"/>
          <w:b w:val="0"/>
          <w:spacing w:val="-3"/>
          <w:sz w:val="18"/>
        </w:rPr>
        <w:t> </w:t>
      </w:r>
      <w:r>
        <w:rPr>
          <w:rFonts w:ascii="TT Norms Pro Light"/>
          <w:b w:val="0"/>
          <w:spacing w:val="-2"/>
          <w:sz w:val="18"/>
        </w:rPr>
        <w:t>numbers</w:t>
      </w:r>
    </w:p>
    <w:p>
      <w:pPr>
        <w:pStyle w:val="ListParagraph"/>
        <w:numPr>
          <w:ilvl w:val="1"/>
          <w:numId w:val="8"/>
        </w:numPr>
        <w:tabs>
          <w:tab w:pos="552" w:val="left" w:leader="none"/>
        </w:tabs>
        <w:spacing w:line="240" w:lineRule="auto" w:before="106" w:after="0"/>
        <w:ind w:left="552" w:right="0" w:hanging="339"/>
        <w:jc w:val="left"/>
        <w:rPr>
          <w:rFonts w:ascii="TT Norms Pro Light"/>
          <w:b w:val="0"/>
          <w:sz w:val="18"/>
        </w:rPr>
      </w:pPr>
      <w:r>
        <w:rPr>
          <w:rFonts w:ascii="TT Norms Pro Light"/>
          <w:b w:val="0"/>
          <w:spacing w:val="-2"/>
          <w:sz w:val="18"/>
        </w:rPr>
        <w:t>Retention</w:t>
      </w:r>
    </w:p>
    <w:p>
      <w:pPr>
        <w:pStyle w:val="ListParagraph"/>
        <w:numPr>
          <w:ilvl w:val="1"/>
          <w:numId w:val="8"/>
        </w:numPr>
        <w:tabs>
          <w:tab w:pos="551" w:val="left" w:leader="none"/>
        </w:tabs>
        <w:spacing w:line="240" w:lineRule="auto" w:before="106" w:after="0"/>
        <w:ind w:left="551" w:right="0" w:hanging="338"/>
        <w:jc w:val="left"/>
        <w:rPr>
          <w:rFonts w:ascii="TT Norms Pro Light"/>
          <w:b w:val="0"/>
          <w:sz w:val="18"/>
        </w:rPr>
      </w:pPr>
      <w:r>
        <w:rPr>
          <w:rFonts w:ascii="TT Norms Pro Light"/>
          <w:b w:val="0"/>
          <w:spacing w:val="-2"/>
          <w:sz w:val="18"/>
        </w:rPr>
        <w:t>Participation</w:t>
      </w:r>
    </w:p>
    <w:p>
      <w:pPr>
        <w:pStyle w:val="ListParagraph"/>
        <w:numPr>
          <w:ilvl w:val="1"/>
          <w:numId w:val="8"/>
        </w:numPr>
        <w:tabs>
          <w:tab w:pos="552" w:val="left" w:leader="none"/>
        </w:tabs>
        <w:spacing w:line="240" w:lineRule="auto" w:before="106" w:after="0"/>
        <w:ind w:left="552" w:right="0" w:hanging="339"/>
        <w:jc w:val="left"/>
        <w:rPr>
          <w:rFonts w:ascii="TT Norms Pro Light"/>
          <w:b w:val="0"/>
          <w:sz w:val="18"/>
        </w:rPr>
      </w:pPr>
      <w:r>
        <w:rPr>
          <w:rFonts w:ascii="TT Norms Pro Light"/>
          <w:b w:val="0"/>
          <w:sz w:val="18"/>
        </w:rPr>
        <w:t>Student</w:t>
      </w:r>
      <w:r>
        <w:rPr>
          <w:rFonts w:ascii="TT Norms Pro Light"/>
          <w:b w:val="0"/>
          <w:spacing w:val="-3"/>
          <w:sz w:val="18"/>
        </w:rPr>
        <w:t> </w:t>
      </w:r>
      <w:r>
        <w:rPr>
          <w:rFonts w:ascii="TT Norms Pro Light"/>
          <w:b w:val="0"/>
          <w:spacing w:val="-2"/>
          <w:sz w:val="18"/>
        </w:rPr>
        <w:t>satisfaction</w:t>
      </w:r>
    </w:p>
    <w:p>
      <w:pPr>
        <w:pStyle w:val="ListParagraph"/>
        <w:numPr>
          <w:ilvl w:val="1"/>
          <w:numId w:val="8"/>
        </w:numPr>
        <w:tabs>
          <w:tab w:pos="551" w:val="left" w:leader="none"/>
        </w:tabs>
        <w:spacing w:line="240" w:lineRule="auto" w:before="106" w:after="0"/>
        <w:ind w:left="551" w:right="0" w:hanging="338"/>
        <w:jc w:val="left"/>
        <w:rPr>
          <w:rFonts w:ascii="TT Norms Pro Light"/>
          <w:b w:val="0"/>
          <w:sz w:val="18"/>
        </w:rPr>
      </w:pPr>
      <w:r>
        <w:rPr>
          <w:rFonts w:ascii="TT Norms Pro Light"/>
          <w:b w:val="0"/>
          <w:sz w:val="18"/>
        </w:rPr>
        <w:t>Graduate</w:t>
      </w:r>
      <w:r>
        <w:rPr>
          <w:rFonts w:ascii="TT Norms Pro Light"/>
          <w:b w:val="0"/>
          <w:spacing w:val="-1"/>
          <w:sz w:val="18"/>
        </w:rPr>
        <w:t> </w:t>
      </w:r>
      <w:r>
        <w:rPr>
          <w:rFonts w:ascii="TT Norms Pro Light"/>
          <w:b w:val="0"/>
          <w:spacing w:val="-2"/>
          <w:sz w:val="18"/>
        </w:rPr>
        <w:t>outcomes</w:t>
      </w:r>
    </w:p>
    <w:p>
      <w:pPr>
        <w:pStyle w:val="ListParagraph"/>
        <w:numPr>
          <w:ilvl w:val="1"/>
          <w:numId w:val="8"/>
        </w:numPr>
        <w:tabs>
          <w:tab w:pos="551" w:val="left" w:leader="none"/>
        </w:tabs>
        <w:spacing w:line="240" w:lineRule="auto" w:before="106" w:after="0"/>
        <w:ind w:left="551" w:right="0" w:hanging="338"/>
        <w:jc w:val="left"/>
        <w:rPr>
          <w:rFonts w:ascii="TT Norms Pro Light"/>
          <w:b w:val="0"/>
          <w:sz w:val="18"/>
        </w:rPr>
      </w:pPr>
      <w:r>
        <w:rPr>
          <w:rFonts w:ascii="TT Norms Pro Light"/>
          <w:b w:val="0"/>
          <w:sz w:val="18"/>
        </w:rPr>
        <w:t>Staff</w:t>
      </w:r>
      <w:r>
        <w:rPr>
          <w:rFonts w:ascii="TT Norms Pro Light"/>
          <w:b w:val="0"/>
          <w:spacing w:val="-6"/>
          <w:sz w:val="18"/>
        </w:rPr>
        <w:t> </w:t>
      </w:r>
      <w:r>
        <w:rPr>
          <w:rFonts w:ascii="TT Norms Pro Light"/>
          <w:b w:val="0"/>
          <w:spacing w:val="-2"/>
          <w:sz w:val="18"/>
        </w:rPr>
        <w:t>excellence</w:t>
      </w:r>
    </w:p>
    <w:p>
      <w:pPr>
        <w:pStyle w:val="BodyText"/>
        <w:rPr>
          <w:b w:val="0"/>
        </w:rPr>
      </w:pPr>
    </w:p>
    <w:p>
      <w:pPr>
        <w:pStyle w:val="BodyText"/>
        <w:spacing w:before="65"/>
        <w:rPr>
          <w:b w:val="0"/>
        </w:rPr>
      </w:pPr>
    </w:p>
    <w:p>
      <w:pPr>
        <w:pStyle w:val="Heading9"/>
        <w:numPr>
          <w:ilvl w:val="1"/>
          <w:numId w:val="9"/>
        </w:numPr>
        <w:tabs>
          <w:tab w:pos="506" w:val="left" w:leader="none"/>
        </w:tabs>
        <w:spacing w:line="240" w:lineRule="auto" w:before="0" w:after="0"/>
        <w:ind w:left="506" w:right="0" w:hanging="293"/>
        <w:jc w:val="left"/>
      </w:pPr>
      <w:r>
        <w:rPr/>
        <w:t>STUDENT</w:t>
      </w:r>
      <w:r>
        <w:rPr>
          <w:spacing w:val="21"/>
        </w:rPr>
        <w:t> </w:t>
      </w:r>
      <w:r>
        <w:rPr>
          <w:spacing w:val="-2"/>
        </w:rPr>
        <w:t>NUMBERS</w:t>
      </w:r>
    </w:p>
    <w:p>
      <w:pPr>
        <w:pStyle w:val="BodyText"/>
        <w:spacing w:line="295" w:lineRule="auto" w:before="154"/>
        <w:ind w:left="213" w:right="95"/>
        <w:rPr>
          <w:b w:val="0"/>
        </w:rPr>
      </w:pPr>
      <w:r>
        <w:rPr>
          <w:b w:val="0"/>
        </w:rPr>
        <w:t>This effectiveness indicator measures the University’s</w:t>
      </w:r>
      <w:r>
        <w:rPr>
          <w:b w:val="0"/>
          <w:spacing w:val="40"/>
        </w:rPr>
        <w:t> </w:t>
      </w:r>
      <w:r>
        <w:rPr>
          <w:b w:val="0"/>
        </w:rPr>
        <w:t>ability to attract and retain students. Attracting students</w:t>
      </w:r>
      <w:r>
        <w:rPr>
          <w:b w:val="0"/>
          <w:spacing w:val="40"/>
        </w:rPr>
        <w:t> </w:t>
      </w:r>
      <w:r>
        <w:rPr>
          <w:b w:val="0"/>
        </w:rPr>
        <w:t>from</w:t>
      </w:r>
      <w:r>
        <w:rPr>
          <w:b w:val="0"/>
          <w:spacing w:val="-1"/>
        </w:rPr>
        <w:t> </w:t>
      </w:r>
      <w:r>
        <w:rPr>
          <w:b w:val="0"/>
        </w:rPr>
        <w:t>both</w:t>
      </w:r>
      <w:r>
        <w:rPr>
          <w:b w:val="0"/>
          <w:spacing w:val="-1"/>
        </w:rPr>
        <w:t> </w:t>
      </w:r>
      <w:r>
        <w:rPr>
          <w:b w:val="0"/>
        </w:rPr>
        <w:t>within</w:t>
      </w:r>
      <w:r>
        <w:rPr>
          <w:b w:val="0"/>
          <w:spacing w:val="-1"/>
        </w:rPr>
        <w:t> </w:t>
      </w:r>
      <w:r>
        <w:rPr>
          <w:b w:val="0"/>
        </w:rPr>
        <w:t>Australia</w:t>
      </w:r>
      <w:r>
        <w:rPr>
          <w:b w:val="0"/>
          <w:spacing w:val="-1"/>
        </w:rPr>
        <w:t> </w:t>
      </w:r>
      <w:r>
        <w:rPr>
          <w:b w:val="0"/>
        </w:rPr>
        <w:t>and</w:t>
      </w:r>
      <w:r>
        <w:rPr>
          <w:b w:val="0"/>
          <w:spacing w:val="-1"/>
        </w:rPr>
        <w:t> </w:t>
      </w:r>
      <w:r>
        <w:rPr>
          <w:b w:val="0"/>
        </w:rPr>
        <w:t>from</w:t>
      </w:r>
      <w:r>
        <w:rPr>
          <w:b w:val="0"/>
          <w:spacing w:val="-1"/>
        </w:rPr>
        <w:t> </w:t>
      </w:r>
      <w:r>
        <w:rPr>
          <w:b w:val="0"/>
        </w:rPr>
        <w:t>around</w:t>
      </w:r>
      <w:r>
        <w:rPr>
          <w:b w:val="0"/>
          <w:spacing w:val="-1"/>
        </w:rPr>
        <w:t> </w:t>
      </w:r>
      <w:r>
        <w:rPr>
          <w:b w:val="0"/>
        </w:rPr>
        <w:t>the</w:t>
      </w:r>
      <w:r>
        <w:rPr>
          <w:b w:val="0"/>
          <w:spacing w:val="-1"/>
        </w:rPr>
        <w:t> </w:t>
      </w:r>
      <w:r>
        <w:rPr>
          <w:b w:val="0"/>
        </w:rPr>
        <w:t>world</w:t>
      </w:r>
      <w:r>
        <w:rPr>
          <w:b w:val="0"/>
          <w:spacing w:val="-1"/>
        </w:rPr>
        <w:t> </w:t>
      </w:r>
      <w:r>
        <w:rPr>
          <w:b w:val="0"/>
        </w:rPr>
        <w:t>is</w:t>
      </w:r>
      <w:r>
        <w:rPr>
          <w:b w:val="0"/>
          <w:spacing w:val="-1"/>
        </w:rPr>
        <w:t> </w:t>
      </w:r>
      <w:r>
        <w:rPr>
          <w:b w:val="0"/>
        </w:rPr>
        <w:t>a</w:t>
      </w:r>
      <w:r>
        <w:rPr>
          <w:b w:val="0"/>
          <w:spacing w:val="40"/>
        </w:rPr>
        <w:t> </w:t>
      </w:r>
      <w:r>
        <w:rPr>
          <w:b w:val="0"/>
        </w:rPr>
        <w:t>key aspect in delivering on UWA’s educational goals and</w:t>
      </w:r>
      <w:r>
        <w:rPr>
          <w:b w:val="0"/>
          <w:spacing w:val="40"/>
        </w:rPr>
        <w:t> </w:t>
      </w:r>
      <w:r>
        <w:rPr>
          <w:b w:val="0"/>
        </w:rPr>
        <w:t>financial targets. This metric tracks the size of the UWA</w:t>
      </w:r>
      <w:r>
        <w:rPr>
          <w:b w:val="0"/>
          <w:spacing w:val="40"/>
        </w:rPr>
        <w:t> </w:t>
      </w:r>
      <w:r>
        <w:rPr>
          <w:b w:val="0"/>
        </w:rPr>
        <w:t>student body and the mix of students to ensure the</w:t>
      </w:r>
      <w:r>
        <w:rPr>
          <w:b w:val="0"/>
          <w:spacing w:val="40"/>
        </w:rPr>
        <w:t> </w:t>
      </w:r>
      <w:r>
        <w:rPr>
          <w:b w:val="0"/>
        </w:rPr>
        <w:t>balancing of demand from the global community</w:t>
      </w:r>
    </w:p>
    <w:p>
      <w:pPr>
        <w:pStyle w:val="BodyText"/>
        <w:spacing w:line="295" w:lineRule="auto" w:before="6"/>
        <w:ind w:left="213" w:right="322"/>
        <w:rPr>
          <w:b w:val="0"/>
        </w:rPr>
      </w:pPr>
      <w:r>
        <w:rPr>
          <w:b w:val="0"/>
        </w:rPr>
        <w:t>and</w:t>
      </w:r>
      <w:r>
        <w:rPr>
          <w:b w:val="0"/>
          <w:spacing w:val="-4"/>
        </w:rPr>
        <w:t> </w:t>
      </w:r>
      <w:r>
        <w:rPr>
          <w:b w:val="0"/>
        </w:rPr>
        <w:t>UWA’s</w:t>
      </w:r>
      <w:r>
        <w:rPr>
          <w:b w:val="0"/>
          <w:spacing w:val="-4"/>
        </w:rPr>
        <w:t> </w:t>
      </w:r>
      <w:r>
        <w:rPr>
          <w:b w:val="0"/>
        </w:rPr>
        <w:t>provision</w:t>
      </w:r>
      <w:r>
        <w:rPr>
          <w:b w:val="0"/>
          <w:spacing w:val="-4"/>
        </w:rPr>
        <w:t> </w:t>
      </w:r>
      <w:r>
        <w:rPr>
          <w:b w:val="0"/>
        </w:rPr>
        <w:t>of</w:t>
      </w:r>
      <w:r>
        <w:rPr>
          <w:b w:val="0"/>
          <w:spacing w:val="-4"/>
        </w:rPr>
        <w:t> </w:t>
      </w:r>
      <w:r>
        <w:rPr>
          <w:b w:val="0"/>
        </w:rPr>
        <w:t>an</w:t>
      </w:r>
      <w:r>
        <w:rPr>
          <w:b w:val="0"/>
          <w:spacing w:val="-4"/>
        </w:rPr>
        <w:t> </w:t>
      </w:r>
      <w:r>
        <w:rPr>
          <w:b w:val="0"/>
        </w:rPr>
        <w:t>excellent</w:t>
      </w:r>
      <w:r>
        <w:rPr>
          <w:b w:val="0"/>
          <w:spacing w:val="-4"/>
        </w:rPr>
        <w:t> </w:t>
      </w:r>
      <w:r>
        <w:rPr>
          <w:b w:val="0"/>
        </w:rPr>
        <w:t>education</w:t>
      </w:r>
      <w:r>
        <w:rPr>
          <w:b w:val="0"/>
          <w:spacing w:val="-4"/>
        </w:rPr>
        <w:t> </w:t>
      </w:r>
      <w:r>
        <w:rPr>
          <w:b w:val="0"/>
        </w:rPr>
        <w:t>for</w:t>
      </w:r>
      <w:r>
        <w:rPr>
          <w:b w:val="0"/>
          <w:spacing w:val="-4"/>
        </w:rPr>
        <w:t> </w:t>
      </w:r>
      <w:r>
        <w:rPr>
          <w:b w:val="0"/>
        </w:rPr>
        <w:t>all</w:t>
      </w:r>
      <w:r>
        <w:rPr>
          <w:b w:val="0"/>
          <w:spacing w:val="40"/>
        </w:rPr>
        <w:t> </w:t>
      </w:r>
      <w:r>
        <w:rPr>
          <w:b w:val="0"/>
        </w:rPr>
        <w:t>our</w:t>
      </w:r>
      <w:r>
        <w:rPr>
          <w:b w:val="0"/>
          <w:spacing w:val="-5"/>
        </w:rPr>
        <w:t> </w:t>
      </w:r>
      <w:r>
        <w:rPr>
          <w:b w:val="0"/>
        </w:rPr>
        <w:t>students.</w:t>
      </w:r>
    </w:p>
    <w:p>
      <w:pPr>
        <w:pStyle w:val="BodyText"/>
        <w:spacing w:before="193"/>
        <w:rPr>
          <w:b w:val="0"/>
        </w:rPr>
      </w:pPr>
    </w:p>
    <w:p>
      <w:pPr>
        <w:spacing w:before="0"/>
        <w:ind w:left="213" w:right="0" w:firstLine="0"/>
        <w:jc w:val="left"/>
        <w:rPr>
          <w:rFonts w:ascii="TT Norms Pro Medium"/>
          <w:b/>
          <w:sz w:val="18"/>
        </w:rPr>
      </w:pPr>
      <w:r>
        <w:rPr>
          <w:rFonts w:ascii="TT Norms Pro Medium"/>
          <w:b/>
          <w:spacing w:val="-6"/>
          <w:sz w:val="18"/>
        </w:rPr>
        <w:t>Enrolments</w:t>
      </w:r>
      <w:r>
        <w:rPr>
          <w:rFonts w:ascii="TT Norms Pro Medium"/>
          <w:b/>
          <w:spacing w:val="1"/>
          <w:sz w:val="18"/>
        </w:rPr>
        <w:t> </w:t>
      </w:r>
      <w:r>
        <w:rPr>
          <w:rFonts w:ascii="TT Norms Pro Medium"/>
          <w:b/>
          <w:spacing w:val="-6"/>
          <w:sz w:val="18"/>
        </w:rPr>
        <w:t>(as</w:t>
      </w:r>
      <w:r>
        <w:rPr>
          <w:rFonts w:ascii="TT Norms Pro Medium"/>
          <w:b/>
          <w:spacing w:val="2"/>
          <w:sz w:val="18"/>
        </w:rPr>
        <w:t> </w:t>
      </w:r>
      <w:r>
        <w:rPr>
          <w:rFonts w:ascii="TT Norms Pro Medium"/>
          <w:b/>
          <w:spacing w:val="-6"/>
          <w:sz w:val="18"/>
        </w:rPr>
        <w:t>Student</w:t>
      </w:r>
      <w:r>
        <w:rPr>
          <w:rFonts w:ascii="TT Norms Pro Medium"/>
          <w:b/>
          <w:spacing w:val="2"/>
          <w:sz w:val="18"/>
        </w:rPr>
        <w:t> </w:t>
      </w:r>
      <w:r>
        <w:rPr>
          <w:rFonts w:ascii="TT Norms Pro Medium"/>
          <w:b/>
          <w:spacing w:val="-6"/>
          <w:sz w:val="18"/>
        </w:rPr>
        <w:t>Load)</w:t>
      </w:r>
    </w:p>
    <w:p>
      <w:pPr>
        <w:pStyle w:val="BodyText"/>
        <w:spacing w:before="7"/>
        <w:rPr>
          <w:rFonts w:ascii="TT Norms Pro Medium"/>
          <w:b/>
          <w:sz w:val="3"/>
        </w:rPr>
      </w:pPr>
      <w:r>
        <w:rPr/>
        <mc:AlternateContent>
          <mc:Choice Requires="wps">
            <w:drawing>
              <wp:anchor distT="0" distB="0" distL="0" distR="0" allowOverlap="1" layoutInCell="1" locked="0" behindDoc="1" simplePos="0" relativeHeight="487701504">
                <wp:simplePos x="0" y="0"/>
                <wp:positionH relativeFrom="page">
                  <wp:posOffset>719999</wp:posOffset>
                </wp:positionH>
                <wp:positionV relativeFrom="paragraph">
                  <wp:posOffset>42437</wp:posOffset>
                </wp:positionV>
                <wp:extent cx="2934335" cy="12700"/>
                <wp:effectExtent l="0" t="0" r="0" b="0"/>
                <wp:wrapTopAndBottom/>
                <wp:docPr id="630" name="Group 630"/>
                <wp:cNvGraphicFramePr>
                  <a:graphicFrameLocks/>
                </wp:cNvGraphicFramePr>
                <a:graphic>
                  <a:graphicData uri="http://schemas.microsoft.com/office/word/2010/wordprocessingGroup">
                    <wpg:wgp>
                      <wpg:cNvPr id="630" name="Group 630"/>
                      <wpg:cNvGrpSpPr/>
                      <wpg:grpSpPr>
                        <a:xfrm>
                          <a:off x="0" y="0"/>
                          <a:ext cx="2934335" cy="12700"/>
                          <a:chExt cx="2934335" cy="12700"/>
                        </a:xfrm>
                      </wpg:grpSpPr>
                      <wps:wsp>
                        <wps:cNvPr id="631" name="Graphic 631"/>
                        <wps:cNvSpPr/>
                        <wps:spPr>
                          <a:xfrm>
                            <a:off x="0" y="6350"/>
                            <a:ext cx="1296035" cy="1270"/>
                          </a:xfrm>
                          <a:custGeom>
                            <a:avLst/>
                            <a:gdLst/>
                            <a:ahLst/>
                            <a:cxnLst/>
                            <a:rect l="l" t="t" r="r" b="b"/>
                            <a:pathLst>
                              <a:path w="1296035" h="0">
                                <a:moveTo>
                                  <a:pt x="0" y="0"/>
                                </a:moveTo>
                                <a:lnTo>
                                  <a:pt x="1295996" y="0"/>
                                </a:lnTo>
                              </a:path>
                            </a:pathLst>
                          </a:custGeom>
                          <a:ln w="12700">
                            <a:solidFill>
                              <a:srgbClr val="000000"/>
                            </a:solidFill>
                            <a:prstDash val="solid"/>
                          </a:ln>
                        </wps:spPr>
                        <wps:bodyPr wrap="square" lIns="0" tIns="0" rIns="0" bIns="0" rtlCol="0">
                          <a:prstTxWarp prst="textNoShape">
                            <a:avLst/>
                          </a:prstTxWarp>
                          <a:noAutofit/>
                        </wps:bodyPr>
                      </wps:wsp>
                      <wps:wsp>
                        <wps:cNvPr id="632" name="Graphic 632"/>
                        <wps:cNvSpPr/>
                        <wps:spPr>
                          <a:xfrm>
                            <a:off x="1296000" y="6350"/>
                            <a:ext cx="531495" cy="1270"/>
                          </a:xfrm>
                          <a:custGeom>
                            <a:avLst/>
                            <a:gdLst/>
                            <a:ahLst/>
                            <a:cxnLst/>
                            <a:rect l="l" t="t" r="r" b="b"/>
                            <a:pathLst>
                              <a:path w="531495" h="0">
                                <a:moveTo>
                                  <a:pt x="0" y="0"/>
                                </a:moveTo>
                                <a:lnTo>
                                  <a:pt x="530999" y="0"/>
                                </a:lnTo>
                              </a:path>
                            </a:pathLst>
                          </a:custGeom>
                          <a:ln w="12700">
                            <a:solidFill>
                              <a:srgbClr val="000000"/>
                            </a:solidFill>
                            <a:prstDash val="solid"/>
                          </a:ln>
                        </wps:spPr>
                        <wps:bodyPr wrap="square" lIns="0" tIns="0" rIns="0" bIns="0" rtlCol="0">
                          <a:prstTxWarp prst="textNoShape">
                            <a:avLst/>
                          </a:prstTxWarp>
                          <a:noAutofit/>
                        </wps:bodyPr>
                      </wps:wsp>
                      <wps:wsp>
                        <wps:cNvPr id="633" name="Graphic 633"/>
                        <wps:cNvSpPr/>
                        <wps:spPr>
                          <a:xfrm>
                            <a:off x="1827000" y="6350"/>
                            <a:ext cx="531495" cy="1270"/>
                          </a:xfrm>
                          <a:custGeom>
                            <a:avLst/>
                            <a:gdLst/>
                            <a:ahLst/>
                            <a:cxnLst/>
                            <a:rect l="l" t="t" r="r" b="b"/>
                            <a:pathLst>
                              <a:path w="531495" h="0">
                                <a:moveTo>
                                  <a:pt x="0" y="0"/>
                                </a:moveTo>
                                <a:lnTo>
                                  <a:pt x="530999" y="0"/>
                                </a:lnTo>
                              </a:path>
                            </a:pathLst>
                          </a:custGeom>
                          <a:ln w="12700">
                            <a:solidFill>
                              <a:srgbClr val="000000"/>
                            </a:solidFill>
                            <a:prstDash val="solid"/>
                          </a:ln>
                        </wps:spPr>
                        <wps:bodyPr wrap="square" lIns="0" tIns="0" rIns="0" bIns="0" rtlCol="0">
                          <a:prstTxWarp prst="textNoShape">
                            <a:avLst/>
                          </a:prstTxWarp>
                          <a:noAutofit/>
                        </wps:bodyPr>
                      </wps:wsp>
                      <wps:wsp>
                        <wps:cNvPr id="634" name="Graphic 634"/>
                        <wps:cNvSpPr/>
                        <wps:spPr>
                          <a:xfrm>
                            <a:off x="2358000" y="6350"/>
                            <a:ext cx="576580" cy="1270"/>
                          </a:xfrm>
                          <a:custGeom>
                            <a:avLst/>
                            <a:gdLst/>
                            <a:ahLst/>
                            <a:cxnLst/>
                            <a:rect l="l" t="t" r="r" b="b"/>
                            <a:pathLst>
                              <a:path w="576580" h="0">
                                <a:moveTo>
                                  <a:pt x="0" y="0"/>
                                </a:moveTo>
                                <a:lnTo>
                                  <a:pt x="575995" y="0"/>
                                </a:lnTo>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692902pt;margin-top:3.3415pt;width:231.05pt;height:1pt;mso-position-horizontal-relative:page;mso-position-vertical-relative:paragraph;z-index:-15614976;mso-wrap-distance-left:0;mso-wrap-distance-right:0" id="docshapegroup434" coordorigin="1134,67" coordsize="4621,20">
                <v:line style="position:absolute" from="1134,77" to="3175,77" stroked="true" strokeweight="1pt" strokecolor="#000000">
                  <v:stroke dashstyle="solid"/>
                </v:line>
                <v:line style="position:absolute" from="3175,77" to="4011,77" stroked="true" strokeweight="1pt" strokecolor="#000000">
                  <v:stroke dashstyle="solid"/>
                </v:line>
                <v:line style="position:absolute" from="4011,77" to="4847,77" stroked="true" strokeweight="1pt" strokecolor="#000000">
                  <v:stroke dashstyle="solid"/>
                </v:line>
                <v:line style="position:absolute" from="4847,77" to="5754,77" stroked="true" strokeweight="1pt" strokecolor="#000000">
                  <v:stroke dashstyle="solid"/>
                </v:line>
                <w10:wrap type="topAndBottom"/>
              </v:group>
            </w:pict>
          </mc:Fallback>
        </mc:AlternateContent>
      </w:r>
    </w:p>
    <w:p>
      <w:pPr>
        <w:spacing w:before="58"/>
        <w:ind w:left="293" w:right="0" w:firstLine="0"/>
        <w:jc w:val="left"/>
        <w:rPr>
          <w:rFonts w:ascii="TT Norms Pro"/>
          <w:b/>
          <w:sz w:val="14"/>
        </w:rPr>
      </w:pPr>
      <w:r>
        <w:rPr>
          <w:rFonts w:ascii="TT Norms Pro"/>
          <w:b/>
          <w:sz w:val="14"/>
        </w:rPr>
        <w:t>ENROLMENTS</w:t>
      </w:r>
      <w:r>
        <w:rPr>
          <w:rFonts w:ascii="TT Norms Pro"/>
          <w:b/>
          <w:spacing w:val="15"/>
          <w:sz w:val="14"/>
        </w:rPr>
        <w:t> </w:t>
      </w:r>
      <w:r>
        <w:rPr>
          <w:rFonts w:ascii="TT Norms Pro"/>
          <w:b/>
          <w:sz w:val="14"/>
        </w:rPr>
        <w:t>(AS</w:t>
      </w:r>
      <w:r>
        <w:rPr>
          <w:rFonts w:ascii="TT Norms Pro"/>
          <w:b/>
          <w:spacing w:val="17"/>
          <w:sz w:val="14"/>
        </w:rPr>
        <w:t> </w:t>
      </w:r>
      <w:r>
        <w:rPr>
          <w:rFonts w:ascii="TT Norms Pro"/>
          <w:b/>
          <w:sz w:val="14"/>
        </w:rPr>
        <w:t>STUDENT</w:t>
      </w:r>
      <w:r>
        <w:rPr>
          <w:rFonts w:ascii="TT Norms Pro"/>
          <w:b/>
          <w:spacing w:val="18"/>
          <w:sz w:val="14"/>
        </w:rPr>
        <w:t> </w:t>
      </w:r>
      <w:r>
        <w:rPr>
          <w:rFonts w:ascii="TT Norms Pro"/>
          <w:b/>
          <w:spacing w:val="-2"/>
          <w:sz w:val="14"/>
        </w:rPr>
        <w:t>LOAD)</w:t>
      </w:r>
    </w:p>
    <w:p>
      <w:pPr>
        <w:tabs>
          <w:tab w:pos="2697" w:val="left" w:leader="none"/>
          <w:tab w:pos="3499" w:val="left" w:leader="none"/>
          <w:tab w:pos="4754" w:val="right" w:leader="none"/>
        </w:tabs>
        <w:spacing w:before="117"/>
        <w:ind w:left="293" w:right="0" w:firstLine="0"/>
        <w:jc w:val="left"/>
        <w:rPr>
          <w:rFonts w:ascii="TT Norms Pro"/>
          <w:b/>
          <w:sz w:val="14"/>
        </w:rPr>
      </w:pPr>
      <w:r>
        <w:rPr/>
        <mc:AlternateContent>
          <mc:Choice Requires="wps">
            <w:drawing>
              <wp:anchor distT="0" distB="0" distL="0" distR="0" allowOverlap="1" layoutInCell="1" locked="0" behindDoc="0" simplePos="0" relativeHeight="15842816">
                <wp:simplePos x="0" y="0"/>
                <wp:positionH relativeFrom="page">
                  <wp:posOffset>719999</wp:posOffset>
                </wp:positionH>
                <wp:positionV relativeFrom="paragraph">
                  <wp:posOffset>29631</wp:posOffset>
                </wp:positionV>
                <wp:extent cx="2934335" cy="6350"/>
                <wp:effectExtent l="0" t="0" r="0" b="0"/>
                <wp:wrapNone/>
                <wp:docPr id="635" name="Group 635"/>
                <wp:cNvGraphicFramePr>
                  <a:graphicFrameLocks/>
                </wp:cNvGraphicFramePr>
                <a:graphic>
                  <a:graphicData uri="http://schemas.microsoft.com/office/word/2010/wordprocessingGroup">
                    <wpg:wgp>
                      <wpg:cNvPr id="635" name="Group 635"/>
                      <wpg:cNvGrpSpPr/>
                      <wpg:grpSpPr>
                        <a:xfrm>
                          <a:off x="0" y="0"/>
                          <a:ext cx="2934335" cy="6350"/>
                          <a:chExt cx="2934335" cy="6350"/>
                        </a:xfrm>
                      </wpg:grpSpPr>
                      <wps:wsp>
                        <wps:cNvPr id="636" name="Graphic 636"/>
                        <wps:cNvSpPr/>
                        <wps:spPr>
                          <a:xfrm>
                            <a:off x="0" y="3175"/>
                            <a:ext cx="1296035" cy="1270"/>
                          </a:xfrm>
                          <a:custGeom>
                            <a:avLst/>
                            <a:gdLst/>
                            <a:ahLst/>
                            <a:cxnLst/>
                            <a:rect l="l" t="t" r="r" b="b"/>
                            <a:pathLst>
                              <a:path w="1296035" h="0">
                                <a:moveTo>
                                  <a:pt x="0" y="0"/>
                                </a:moveTo>
                                <a:lnTo>
                                  <a:pt x="1295996" y="0"/>
                                </a:lnTo>
                              </a:path>
                            </a:pathLst>
                          </a:custGeom>
                          <a:ln w="6350">
                            <a:solidFill>
                              <a:srgbClr val="000000"/>
                            </a:solidFill>
                            <a:prstDash val="solid"/>
                          </a:ln>
                        </wps:spPr>
                        <wps:bodyPr wrap="square" lIns="0" tIns="0" rIns="0" bIns="0" rtlCol="0">
                          <a:prstTxWarp prst="textNoShape">
                            <a:avLst/>
                          </a:prstTxWarp>
                          <a:noAutofit/>
                        </wps:bodyPr>
                      </wps:wsp>
                      <wps:wsp>
                        <wps:cNvPr id="637" name="Graphic 637"/>
                        <wps:cNvSpPr/>
                        <wps:spPr>
                          <a:xfrm>
                            <a:off x="1296000" y="3175"/>
                            <a:ext cx="531495" cy="1270"/>
                          </a:xfrm>
                          <a:custGeom>
                            <a:avLst/>
                            <a:gdLst/>
                            <a:ahLst/>
                            <a:cxnLst/>
                            <a:rect l="l" t="t" r="r" b="b"/>
                            <a:pathLst>
                              <a:path w="531495" h="0">
                                <a:moveTo>
                                  <a:pt x="0" y="0"/>
                                </a:moveTo>
                                <a:lnTo>
                                  <a:pt x="530999" y="0"/>
                                </a:lnTo>
                              </a:path>
                            </a:pathLst>
                          </a:custGeom>
                          <a:ln w="6350">
                            <a:solidFill>
                              <a:srgbClr val="000000"/>
                            </a:solidFill>
                            <a:prstDash val="solid"/>
                          </a:ln>
                        </wps:spPr>
                        <wps:bodyPr wrap="square" lIns="0" tIns="0" rIns="0" bIns="0" rtlCol="0">
                          <a:prstTxWarp prst="textNoShape">
                            <a:avLst/>
                          </a:prstTxWarp>
                          <a:noAutofit/>
                        </wps:bodyPr>
                      </wps:wsp>
                      <wps:wsp>
                        <wps:cNvPr id="638" name="Graphic 638"/>
                        <wps:cNvSpPr/>
                        <wps:spPr>
                          <a:xfrm>
                            <a:off x="1827000" y="3175"/>
                            <a:ext cx="531495" cy="1270"/>
                          </a:xfrm>
                          <a:custGeom>
                            <a:avLst/>
                            <a:gdLst/>
                            <a:ahLst/>
                            <a:cxnLst/>
                            <a:rect l="l" t="t" r="r" b="b"/>
                            <a:pathLst>
                              <a:path w="531495" h="0">
                                <a:moveTo>
                                  <a:pt x="0" y="0"/>
                                </a:moveTo>
                                <a:lnTo>
                                  <a:pt x="530999" y="0"/>
                                </a:lnTo>
                              </a:path>
                            </a:pathLst>
                          </a:custGeom>
                          <a:ln w="6350">
                            <a:solidFill>
                              <a:srgbClr val="000000"/>
                            </a:solidFill>
                            <a:prstDash val="solid"/>
                          </a:ln>
                        </wps:spPr>
                        <wps:bodyPr wrap="square" lIns="0" tIns="0" rIns="0" bIns="0" rtlCol="0">
                          <a:prstTxWarp prst="textNoShape">
                            <a:avLst/>
                          </a:prstTxWarp>
                          <a:noAutofit/>
                        </wps:bodyPr>
                      </wps:wsp>
                      <wps:wsp>
                        <wps:cNvPr id="639" name="Graphic 639"/>
                        <wps:cNvSpPr/>
                        <wps:spPr>
                          <a:xfrm>
                            <a:off x="2358000" y="3175"/>
                            <a:ext cx="576580" cy="1270"/>
                          </a:xfrm>
                          <a:custGeom>
                            <a:avLst/>
                            <a:gdLst/>
                            <a:ahLst/>
                            <a:cxnLst/>
                            <a:rect l="l" t="t" r="r" b="b"/>
                            <a:pathLst>
                              <a:path w="576580" h="0">
                                <a:moveTo>
                                  <a:pt x="0" y="0"/>
                                </a:moveTo>
                                <a:lnTo>
                                  <a:pt x="575995" y="0"/>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692902pt;margin-top:2.3332pt;width:231.05pt;height:.5pt;mso-position-horizontal-relative:page;mso-position-vertical-relative:paragraph;z-index:15842816" id="docshapegroup435" coordorigin="1134,47" coordsize="4621,10">
                <v:line style="position:absolute" from="1134,52" to="3175,52" stroked="true" strokeweight=".5pt" strokecolor="#000000">
                  <v:stroke dashstyle="solid"/>
                </v:line>
                <v:line style="position:absolute" from="3175,52" to="4011,52" stroked="true" strokeweight=".5pt" strokecolor="#000000">
                  <v:stroke dashstyle="solid"/>
                </v:line>
                <v:line style="position:absolute" from="4011,52" to="4847,52" stroked="true" strokeweight=".5pt" strokecolor="#000000">
                  <v:stroke dashstyle="solid"/>
                </v:line>
                <v:line style="position:absolute" from="4847,52" to="5754,52" stroked="true" strokeweight=".5pt" strokecolor="#000000">
                  <v:stroke dashstyle="solid"/>
                </v:line>
                <w10:wrap type="none"/>
              </v:group>
            </w:pict>
          </mc:Fallback>
        </mc:AlternateContent>
      </w:r>
      <w:r>
        <w:rPr>
          <w:rFonts w:ascii="TT Norms Pro Medium"/>
          <w:b/>
          <w:spacing w:val="-2"/>
          <w:sz w:val="14"/>
        </w:rPr>
        <w:t>COURSE</w:t>
      </w:r>
      <w:r>
        <w:rPr>
          <w:rFonts w:ascii="TT Norms Pro Medium"/>
          <w:b/>
          <w:spacing w:val="-4"/>
          <w:sz w:val="14"/>
        </w:rPr>
        <w:t> </w:t>
      </w:r>
      <w:r>
        <w:rPr>
          <w:rFonts w:ascii="TT Norms Pro Medium"/>
          <w:b/>
          <w:spacing w:val="-2"/>
          <w:sz w:val="14"/>
        </w:rPr>
        <w:t>LEVEL</w:t>
      </w:r>
      <w:r>
        <w:rPr>
          <w:rFonts w:ascii="TT Norms Pro Medium"/>
          <w:b/>
          <w:sz w:val="14"/>
        </w:rPr>
        <w:tab/>
      </w:r>
      <w:r>
        <w:rPr>
          <w:rFonts w:ascii="TT Norms Pro Medium"/>
          <w:b/>
          <w:spacing w:val="-4"/>
          <w:sz w:val="14"/>
        </w:rPr>
        <w:t>2019</w:t>
      </w:r>
      <w:r>
        <w:rPr>
          <w:rFonts w:ascii="TT Norms Pro Medium"/>
          <w:b/>
          <w:sz w:val="14"/>
        </w:rPr>
        <w:tab/>
      </w:r>
      <w:r>
        <w:rPr>
          <w:rFonts w:ascii="TT Norms Pro Medium"/>
          <w:b/>
          <w:spacing w:val="-4"/>
          <w:sz w:val="14"/>
        </w:rPr>
        <w:t>2020</w:t>
      </w:r>
      <w:r>
        <w:rPr>
          <w:rFonts w:ascii="TT Norms Pro Medium"/>
          <w:b/>
          <w:sz w:val="14"/>
        </w:rPr>
        <w:tab/>
      </w:r>
      <w:r>
        <w:rPr>
          <w:rFonts w:ascii="TT Norms Pro"/>
          <w:b/>
          <w:spacing w:val="-4"/>
          <w:sz w:val="14"/>
        </w:rPr>
        <w:t>2020</w:t>
      </w:r>
    </w:p>
    <w:p>
      <w:pPr>
        <w:spacing w:before="37"/>
        <w:ind w:left="0" w:right="118" w:firstLine="0"/>
        <w:jc w:val="right"/>
        <w:rPr>
          <w:rFonts w:ascii="TT Norms Pro"/>
          <w:b/>
          <w:sz w:val="14"/>
        </w:rPr>
      </w:pPr>
      <w:r>
        <w:rPr>
          <w:rFonts w:ascii="TT Norms Pro"/>
          <w:b/>
          <w:spacing w:val="-2"/>
          <w:sz w:val="14"/>
        </w:rPr>
        <w:t>TARGET</w:t>
      </w:r>
    </w:p>
    <w:p>
      <w:pPr>
        <w:pStyle w:val="BodyText"/>
        <w:spacing w:before="8"/>
        <w:rPr>
          <w:rFonts w:ascii="TT Norms Pro"/>
          <w:b/>
          <w:sz w:val="3"/>
        </w:rPr>
      </w:pPr>
    </w:p>
    <w:tbl>
      <w:tblPr>
        <w:tblW w:w="0" w:type="auto"/>
        <w:jc w:val="left"/>
        <w:tblInd w:w="2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41"/>
        <w:gridCol w:w="836"/>
        <w:gridCol w:w="836"/>
        <w:gridCol w:w="907"/>
      </w:tblGrid>
      <w:tr>
        <w:trPr>
          <w:trHeight w:val="3051" w:hRule="atLeast"/>
        </w:trPr>
        <w:tc>
          <w:tcPr>
            <w:tcW w:w="2041" w:type="dxa"/>
            <w:tcBorders>
              <w:top w:val="single" w:sz="4" w:space="0" w:color="000000"/>
              <w:bottom w:val="single" w:sz="4" w:space="0" w:color="000000"/>
            </w:tcBorders>
            <w:shd w:val="clear" w:color="auto" w:fill="E6E7E8"/>
          </w:tcPr>
          <w:p>
            <w:pPr>
              <w:pStyle w:val="TableParagraph"/>
              <w:spacing w:line="415" w:lineRule="auto" w:before="63"/>
              <w:ind w:left="56"/>
              <w:rPr>
                <w:rFonts w:ascii="TT Norms Pro Light" w:hAnsi="TT Norms Pro Light"/>
                <w:b w:val="0"/>
                <w:sz w:val="14"/>
              </w:rPr>
            </w:pPr>
            <w:r>
              <w:rPr>
                <w:rFonts w:ascii="TT Norms Pro Light" w:hAnsi="TT Norms Pro Light"/>
                <w:b w:val="0"/>
                <w:sz w:val="14"/>
              </w:rPr>
              <w:t>Undergraduate – domestic</w:t>
            </w:r>
            <w:r>
              <w:rPr>
                <w:rFonts w:ascii="TT Norms Pro Light" w:hAnsi="TT Norms Pro Light"/>
                <w:b w:val="0"/>
                <w:spacing w:val="40"/>
                <w:sz w:val="14"/>
              </w:rPr>
              <w:t> </w:t>
            </w:r>
            <w:r>
              <w:rPr>
                <w:rFonts w:ascii="TT Norms Pro Light" w:hAnsi="TT Norms Pro Light"/>
                <w:b w:val="0"/>
                <w:sz w:val="14"/>
              </w:rPr>
              <w:t>Undergraduate – international</w:t>
            </w:r>
          </w:p>
          <w:p>
            <w:pPr>
              <w:pStyle w:val="TableParagraph"/>
              <w:spacing w:line="264" w:lineRule="auto" w:before="19"/>
              <w:ind w:left="56"/>
              <w:rPr>
                <w:rFonts w:ascii="TT Norms Pro Light" w:hAnsi="TT Norms Pro Light"/>
                <w:b w:val="0"/>
                <w:sz w:val="14"/>
              </w:rPr>
            </w:pPr>
            <w:r>
              <w:rPr>
                <w:rFonts w:ascii="TT Norms Pro Light" w:hAnsi="TT Norms Pro Light"/>
                <w:b w:val="0"/>
                <w:sz w:val="14"/>
              </w:rPr>
              <w:t>Postgraduate coursework –</w:t>
            </w:r>
            <w:r>
              <w:rPr>
                <w:rFonts w:ascii="TT Norms Pro Light" w:hAnsi="TT Norms Pro Light"/>
                <w:b w:val="0"/>
                <w:spacing w:val="40"/>
                <w:sz w:val="14"/>
              </w:rPr>
              <w:t> </w:t>
            </w:r>
            <w:r>
              <w:rPr>
                <w:rFonts w:ascii="TT Norms Pro Light" w:hAnsi="TT Norms Pro Light"/>
                <w:b w:val="0"/>
                <w:sz w:val="14"/>
              </w:rPr>
              <w:t>domestic</w:t>
            </w:r>
            <w:r>
              <w:rPr>
                <w:rFonts w:ascii="TT Norms Pro Light" w:hAnsi="TT Norms Pro Light"/>
                <w:b w:val="0"/>
                <w:spacing w:val="-7"/>
                <w:sz w:val="14"/>
              </w:rPr>
              <w:t> </w:t>
            </w:r>
            <w:r>
              <w:rPr>
                <w:rFonts w:ascii="TT Norms Pro Light" w:hAnsi="TT Norms Pro Light"/>
                <w:b w:val="0"/>
                <w:sz w:val="14"/>
              </w:rPr>
              <w:t>commonwealth</w:t>
            </w:r>
            <w:r>
              <w:rPr>
                <w:rFonts w:ascii="TT Norms Pro Light" w:hAnsi="TT Norms Pro Light"/>
                <w:b w:val="0"/>
                <w:spacing w:val="40"/>
                <w:sz w:val="14"/>
              </w:rPr>
              <w:t> </w:t>
            </w:r>
            <w:r>
              <w:rPr>
                <w:rFonts w:ascii="TT Norms Pro Light" w:hAnsi="TT Norms Pro Light"/>
                <w:b w:val="0"/>
                <w:sz w:val="14"/>
              </w:rPr>
              <w:t>supported</w:t>
            </w:r>
            <w:r>
              <w:rPr>
                <w:rFonts w:ascii="TT Norms Pro Light" w:hAnsi="TT Norms Pro Light"/>
                <w:b w:val="0"/>
                <w:spacing w:val="-7"/>
                <w:sz w:val="14"/>
              </w:rPr>
              <w:t> </w:t>
            </w:r>
            <w:r>
              <w:rPr>
                <w:rFonts w:ascii="TT Norms Pro Light" w:hAnsi="TT Norms Pro Light"/>
                <w:b w:val="0"/>
                <w:sz w:val="14"/>
              </w:rPr>
              <w:t>places</w:t>
            </w:r>
          </w:p>
          <w:p>
            <w:pPr>
              <w:pStyle w:val="TableParagraph"/>
              <w:spacing w:line="264" w:lineRule="auto" w:before="116"/>
              <w:ind w:left="56"/>
              <w:rPr>
                <w:rFonts w:ascii="TT Norms Pro Light" w:hAnsi="TT Norms Pro Light"/>
                <w:b w:val="0"/>
                <w:sz w:val="14"/>
              </w:rPr>
            </w:pPr>
            <w:r>
              <w:rPr>
                <w:rFonts w:ascii="TT Norms Pro Light" w:hAnsi="TT Norms Pro Light"/>
                <w:b w:val="0"/>
                <w:sz w:val="14"/>
              </w:rPr>
              <w:t>Postgraduate coursework –</w:t>
            </w:r>
            <w:r>
              <w:rPr>
                <w:rFonts w:ascii="TT Norms Pro Light" w:hAnsi="TT Norms Pro Light"/>
                <w:b w:val="0"/>
                <w:spacing w:val="40"/>
                <w:sz w:val="14"/>
              </w:rPr>
              <w:t> </w:t>
            </w:r>
            <w:r>
              <w:rPr>
                <w:rFonts w:ascii="TT Norms Pro Light" w:hAnsi="TT Norms Pro Light"/>
                <w:b w:val="0"/>
                <w:sz w:val="14"/>
              </w:rPr>
              <w:t>domestic</w:t>
            </w:r>
            <w:r>
              <w:rPr>
                <w:rFonts w:ascii="TT Norms Pro Light" w:hAnsi="TT Norms Pro Light"/>
                <w:b w:val="0"/>
                <w:spacing w:val="-7"/>
                <w:sz w:val="14"/>
              </w:rPr>
              <w:t> </w:t>
            </w:r>
            <w:r>
              <w:rPr>
                <w:rFonts w:ascii="TT Norms Pro Light" w:hAnsi="TT Norms Pro Light"/>
                <w:b w:val="0"/>
                <w:sz w:val="14"/>
              </w:rPr>
              <w:t>fee-paying</w:t>
            </w:r>
          </w:p>
          <w:p>
            <w:pPr>
              <w:pStyle w:val="TableParagraph"/>
              <w:spacing w:line="264" w:lineRule="auto" w:before="93"/>
              <w:ind w:left="56"/>
              <w:rPr>
                <w:rFonts w:ascii="TT Norms Pro Light"/>
                <w:b w:val="0"/>
                <w:sz w:val="14"/>
              </w:rPr>
            </w:pPr>
            <w:r>
              <w:rPr>
                <w:rFonts w:ascii="TT Norms Pro Light"/>
                <w:b w:val="0"/>
                <w:sz w:val="14"/>
              </w:rPr>
              <w:t>Postgraduate coursework -</w:t>
            </w:r>
            <w:r>
              <w:rPr>
                <w:rFonts w:ascii="TT Norms Pro Light"/>
                <w:b w:val="0"/>
                <w:spacing w:val="40"/>
                <w:sz w:val="14"/>
              </w:rPr>
              <w:t> </w:t>
            </w:r>
            <w:r>
              <w:rPr>
                <w:rFonts w:ascii="TT Norms Pro Light"/>
                <w:b w:val="0"/>
                <w:spacing w:val="-2"/>
                <w:sz w:val="14"/>
              </w:rPr>
              <w:t>international</w:t>
            </w:r>
          </w:p>
          <w:p>
            <w:pPr>
              <w:pStyle w:val="TableParagraph"/>
              <w:spacing w:line="264" w:lineRule="auto" w:before="94"/>
              <w:ind w:left="57"/>
              <w:rPr>
                <w:rFonts w:ascii="TT Norms Pro Light"/>
                <w:b w:val="0"/>
                <w:sz w:val="14"/>
              </w:rPr>
            </w:pPr>
            <w:r>
              <w:rPr>
                <w:rFonts w:ascii="TT Norms Pro Light"/>
                <w:b w:val="0"/>
                <w:sz w:val="14"/>
              </w:rPr>
              <w:t>Higher Degree by research -</w:t>
            </w:r>
            <w:r>
              <w:rPr>
                <w:rFonts w:ascii="TT Norms Pro Light"/>
                <w:b w:val="0"/>
                <w:spacing w:val="40"/>
                <w:sz w:val="14"/>
              </w:rPr>
              <w:t> </w:t>
            </w:r>
            <w:r>
              <w:rPr>
                <w:rFonts w:ascii="TT Norms Pro Light"/>
                <w:b w:val="0"/>
                <w:spacing w:val="-2"/>
                <w:sz w:val="14"/>
              </w:rPr>
              <w:t>domestic</w:t>
            </w:r>
          </w:p>
          <w:p>
            <w:pPr>
              <w:pStyle w:val="TableParagraph"/>
              <w:spacing w:line="264" w:lineRule="auto" w:before="93"/>
              <w:ind w:left="57"/>
              <w:rPr>
                <w:rFonts w:ascii="TT Norms Pro Light" w:hAnsi="TT Norms Pro Light"/>
                <w:b w:val="0"/>
                <w:sz w:val="14"/>
              </w:rPr>
            </w:pPr>
            <w:r>
              <w:rPr>
                <w:rFonts w:ascii="TT Norms Pro Light" w:hAnsi="TT Norms Pro Light"/>
                <w:b w:val="0"/>
                <w:sz w:val="14"/>
              </w:rPr>
              <w:t>Higher</w:t>
            </w:r>
            <w:r>
              <w:rPr>
                <w:rFonts w:ascii="TT Norms Pro Light" w:hAnsi="TT Norms Pro Light"/>
                <w:b w:val="0"/>
                <w:spacing w:val="-1"/>
                <w:sz w:val="14"/>
              </w:rPr>
              <w:t> </w:t>
            </w:r>
            <w:r>
              <w:rPr>
                <w:rFonts w:ascii="TT Norms Pro Light" w:hAnsi="TT Norms Pro Light"/>
                <w:b w:val="0"/>
                <w:sz w:val="14"/>
              </w:rPr>
              <w:t>Degree</w:t>
            </w:r>
            <w:r>
              <w:rPr>
                <w:rFonts w:ascii="TT Norms Pro Light" w:hAnsi="TT Norms Pro Light"/>
                <w:b w:val="0"/>
                <w:spacing w:val="-1"/>
                <w:sz w:val="14"/>
              </w:rPr>
              <w:t> </w:t>
            </w:r>
            <w:r>
              <w:rPr>
                <w:rFonts w:ascii="TT Norms Pro Light" w:hAnsi="TT Norms Pro Light"/>
                <w:b w:val="0"/>
                <w:sz w:val="14"/>
              </w:rPr>
              <w:t>by</w:t>
            </w:r>
            <w:r>
              <w:rPr>
                <w:rFonts w:ascii="TT Norms Pro Light" w:hAnsi="TT Norms Pro Light"/>
                <w:b w:val="0"/>
                <w:spacing w:val="-1"/>
                <w:sz w:val="14"/>
              </w:rPr>
              <w:t> </w:t>
            </w:r>
            <w:r>
              <w:rPr>
                <w:rFonts w:ascii="TT Norms Pro Light" w:hAnsi="TT Norms Pro Light"/>
                <w:b w:val="0"/>
                <w:sz w:val="14"/>
              </w:rPr>
              <w:t>research</w:t>
            </w:r>
            <w:r>
              <w:rPr>
                <w:rFonts w:ascii="TT Norms Pro Light" w:hAnsi="TT Norms Pro Light"/>
                <w:b w:val="0"/>
                <w:spacing w:val="-1"/>
                <w:sz w:val="14"/>
              </w:rPr>
              <w:t> </w:t>
            </w:r>
            <w:r>
              <w:rPr>
                <w:rFonts w:ascii="TT Norms Pro Light" w:hAnsi="TT Norms Pro Light"/>
                <w:b w:val="0"/>
                <w:sz w:val="14"/>
              </w:rPr>
              <w:t>–</w:t>
            </w:r>
            <w:r>
              <w:rPr>
                <w:rFonts w:ascii="TT Norms Pro Light" w:hAnsi="TT Norms Pro Light"/>
                <w:b w:val="0"/>
                <w:spacing w:val="40"/>
                <w:sz w:val="14"/>
              </w:rPr>
              <w:t> </w:t>
            </w:r>
            <w:r>
              <w:rPr>
                <w:rFonts w:ascii="TT Norms Pro Light" w:hAnsi="TT Norms Pro Light"/>
                <w:b w:val="0"/>
                <w:spacing w:val="-2"/>
                <w:sz w:val="14"/>
              </w:rPr>
              <w:t>international</w:t>
            </w:r>
          </w:p>
        </w:tc>
        <w:tc>
          <w:tcPr>
            <w:tcW w:w="836" w:type="dxa"/>
            <w:tcBorders>
              <w:top w:val="single" w:sz="4" w:space="0" w:color="000000"/>
              <w:bottom w:val="single" w:sz="4" w:space="0" w:color="000000"/>
            </w:tcBorders>
          </w:tcPr>
          <w:p>
            <w:pPr>
              <w:pStyle w:val="TableParagraph"/>
              <w:spacing w:before="63"/>
              <w:ind w:right="54"/>
              <w:jc w:val="right"/>
              <w:rPr>
                <w:rFonts w:ascii="TT Norms Pro Light"/>
                <w:b w:val="0"/>
                <w:sz w:val="14"/>
              </w:rPr>
            </w:pPr>
            <w:r>
              <w:rPr>
                <w:rFonts w:ascii="TT Norms Pro Light"/>
                <w:b w:val="0"/>
                <w:spacing w:val="-2"/>
                <w:sz w:val="14"/>
              </w:rPr>
              <w:t>9,629.0</w:t>
            </w:r>
          </w:p>
          <w:p>
            <w:pPr>
              <w:pStyle w:val="TableParagraph"/>
              <w:spacing w:before="120"/>
              <w:ind w:right="54"/>
              <w:jc w:val="right"/>
              <w:rPr>
                <w:rFonts w:ascii="TT Norms Pro Light"/>
                <w:b w:val="0"/>
                <w:sz w:val="14"/>
              </w:rPr>
            </w:pPr>
            <w:r>
              <w:rPr>
                <w:rFonts w:ascii="TT Norms Pro Light"/>
                <w:b w:val="0"/>
                <w:spacing w:val="-2"/>
                <w:sz w:val="14"/>
              </w:rPr>
              <w:t>2,267.1</w:t>
            </w:r>
          </w:p>
          <w:p>
            <w:pPr>
              <w:pStyle w:val="TableParagraph"/>
              <w:spacing w:before="154"/>
              <w:rPr>
                <w:rFonts w:ascii="TT Norms Pro"/>
                <w:b/>
                <w:sz w:val="14"/>
              </w:rPr>
            </w:pPr>
          </w:p>
          <w:p>
            <w:pPr>
              <w:pStyle w:val="TableParagraph"/>
              <w:ind w:right="58"/>
              <w:jc w:val="right"/>
              <w:rPr>
                <w:rFonts w:ascii="TT Norms Pro Light"/>
                <w:b w:val="0"/>
                <w:sz w:val="14"/>
              </w:rPr>
            </w:pPr>
            <w:r>
              <w:rPr>
                <w:rFonts w:ascii="TT Norms Pro Light"/>
                <w:b w:val="0"/>
                <w:spacing w:val="-2"/>
                <w:sz w:val="14"/>
              </w:rPr>
              <w:t>2,851.9</w:t>
            </w:r>
          </w:p>
          <w:p>
            <w:pPr>
              <w:pStyle w:val="TableParagraph"/>
              <w:rPr>
                <w:rFonts w:ascii="TT Norms Pro"/>
                <w:b/>
                <w:sz w:val="14"/>
              </w:rPr>
            </w:pPr>
          </w:p>
          <w:p>
            <w:pPr>
              <w:pStyle w:val="TableParagraph"/>
              <w:spacing w:before="75"/>
              <w:rPr>
                <w:rFonts w:ascii="TT Norms Pro"/>
                <w:b/>
                <w:sz w:val="14"/>
              </w:rPr>
            </w:pPr>
          </w:p>
          <w:p>
            <w:pPr>
              <w:pStyle w:val="TableParagraph"/>
              <w:spacing w:before="1"/>
              <w:ind w:right="54"/>
              <w:jc w:val="right"/>
              <w:rPr>
                <w:rFonts w:ascii="TT Norms Pro Light"/>
                <w:b w:val="0"/>
                <w:sz w:val="14"/>
              </w:rPr>
            </w:pPr>
            <w:r>
              <w:rPr>
                <w:rFonts w:ascii="TT Norms Pro Light"/>
                <w:b w:val="0"/>
                <w:spacing w:val="-2"/>
                <w:sz w:val="14"/>
              </w:rPr>
              <w:t>839.4</w:t>
            </w:r>
          </w:p>
          <w:p>
            <w:pPr>
              <w:pStyle w:val="TableParagraph"/>
              <w:spacing w:before="125"/>
              <w:rPr>
                <w:rFonts w:ascii="TT Norms Pro"/>
                <w:b/>
                <w:sz w:val="14"/>
              </w:rPr>
            </w:pPr>
          </w:p>
          <w:p>
            <w:pPr>
              <w:pStyle w:val="TableParagraph"/>
              <w:spacing w:before="1"/>
              <w:ind w:right="54"/>
              <w:jc w:val="right"/>
              <w:rPr>
                <w:rFonts w:ascii="TT Norms Pro Light"/>
                <w:b w:val="0"/>
                <w:sz w:val="14"/>
              </w:rPr>
            </w:pPr>
            <w:r>
              <w:rPr>
                <w:rFonts w:ascii="TT Norms Pro Light"/>
                <w:b w:val="0"/>
                <w:spacing w:val="-2"/>
                <w:sz w:val="14"/>
              </w:rPr>
              <w:t>1,837.4</w:t>
            </w:r>
          </w:p>
          <w:p>
            <w:pPr>
              <w:pStyle w:val="TableParagraph"/>
              <w:spacing w:before="125"/>
              <w:rPr>
                <w:rFonts w:ascii="TT Norms Pro"/>
                <w:b/>
                <w:sz w:val="14"/>
              </w:rPr>
            </w:pPr>
          </w:p>
          <w:p>
            <w:pPr>
              <w:pStyle w:val="TableParagraph"/>
              <w:spacing w:before="1"/>
              <w:ind w:right="54"/>
              <w:jc w:val="right"/>
              <w:rPr>
                <w:rFonts w:ascii="TT Norms Pro Light"/>
                <w:b w:val="0"/>
                <w:sz w:val="14"/>
              </w:rPr>
            </w:pPr>
            <w:r>
              <w:rPr>
                <w:rFonts w:ascii="TT Norms Pro Light"/>
                <w:b w:val="0"/>
                <w:spacing w:val="-2"/>
                <w:sz w:val="14"/>
              </w:rPr>
              <w:t>959.3</w:t>
            </w:r>
          </w:p>
          <w:p>
            <w:pPr>
              <w:pStyle w:val="TableParagraph"/>
              <w:spacing w:before="125"/>
              <w:rPr>
                <w:rFonts w:ascii="TT Norms Pro"/>
                <w:b/>
                <w:sz w:val="14"/>
              </w:rPr>
            </w:pPr>
          </w:p>
          <w:p>
            <w:pPr>
              <w:pStyle w:val="TableParagraph"/>
              <w:spacing w:before="1"/>
              <w:ind w:right="54"/>
              <w:jc w:val="right"/>
              <w:rPr>
                <w:rFonts w:ascii="TT Norms Pro Light"/>
                <w:b w:val="0"/>
                <w:sz w:val="14"/>
              </w:rPr>
            </w:pPr>
            <w:r>
              <w:rPr>
                <w:rFonts w:ascii="TT Norms Pro Light"/>
                <w:b w:val="0"/>
                <w:spacing w:val="-4"/>
                <w:sz w:val="14"/>
              </w:rPr>
              <w:t>593.8</w:t>
            </w:r>
          </w:p>
        </w:tc>
        <w:tc>
          <w:tcPr>
            <w:tcW w:w="836" w:type="dxa"/>
            <w:tcBorders>
              <w:top w:val="single" w:sz="4" w:space="0" w:color="000000"/>
              <w:bottom w:val="single" w:sz="4" w:space="0" w:color="000000"/>
            </w:tcBorders>
            <w:shd w:val="clear" w:color="auto" w:fill="E6E7E8"/>
          </w:tcPr>
          <w:p>
            <w:pPr>
              <w:pStyle w:val="TableParagraph"/>
              <w:spacing w:before="63"/>
              <w:ind w:right="54"/>
              <w:jc w:val="right"/>
              <w:rPr>
                <w:rFonts w:ascii="TT Norms Pro Light"/>
                <w:b w:val="0"/>
                <w:sz w:val="14"/>
              </w:rPr>
            </w:pPr>
            <w:r>
              <w:rPr>
                <w:rFonts w:ascii="TT Norms Pro Light"/>
                <w:b w:val="0"/>
                <w:spacing w:val="-2"/>
                <w:sz w:val="14"/>
              </w:rPr>
              <w:t>9,651.4</w:t>
            </w:r>
          </w:p>
          <w:p>
            <w:pPr>
              <w:pStyle w:val="TableParagraph"/>
              <w:spacing w:before="120"/>
              <w:ind w:right="58"/>
              <w:jc w:val="right"/>
              <w:rPr>
                <w:rFonts w:ascii="TT Norms Pro Light"/>
                <w:b w:val="0"/>
                <w:sz w:val="14"/>
              </w:rPr>
            </w:pPr>
            <w:r>
              <w:rPr>
                <w:rFonts w:ascii="TT Norms Pro Light"/>
                <w:b w:val="0"/>
                <w:spacing w:val="-2"/>
                <w:sz w:val="14"/>
              </w:rPr>
              <w:t>2,056.9</w:t>
            </w:r>
          </w:p>
          <w:p>
            <w:pPr>
              <w:pStyle w:val="TableParagraph"/>
              <w:spacing w:before="154"/>
              <w:rPr>
                <w:rFonts w:ascii="TT Norms Pro"/>
                <w:b/>
                <w:sz w:val="14"/>
              </w:rPr>
            </w:pPr>
          </w:p>
          <w:p>
            <w:pPr>
              <w:pStyle w:val="TableParagraph"/>
              <w:ind w:right="54"/>
              <w:jc w:val="right"/>
              <w:rPr>
                <w:rFonts w:ascii="TT Norms Pro Light"/>
                <w:b w:val="0"/>
                <w:sz w:val="14"/>
              </w:rPr>
            </w:pPr>
            <w:r>
              <w:rPr>
                <w:rFonts w:ascii="TT Norms Pro Light"/>
                <w:b w:val="0"/>
                <w:spacing w:val="-2"/>
                <w:sz w:val="14"/>
              </w:rPr>
              <w:t>3,040.2</w:t>
            </w:r>
          </w:p>
          <w:p>
            <w:pPr>
              <w:pStyle w:val="TableParagraph"/>
              <w:rPr>
                <w:rFonts w:ascii="TT Norms Pro"/>
                <w:b/>
                <w:sz w:val="14"/>
              </w:rPr>
            </w:pPr>
          </w:p>
          <w:p>
            <w:pPr>
              <w:pStyle w:val="TableParagraph"/>
              <w:spacing w:before="75"/>
              <w:rPr>
                <w:rFonts w:ascii="TT Norms Pro"/>
                <w:b/>
                <w:sz w:val="14"/>
              </w:rPr>
            </w:pPr>
          </w:p>
          <w:p>
            <w:pPr>
              <w:pStyle w:val="TableParagraph"/>
              <w:spacing w:before="1"/>
              <w:ind w:right="54"/>
              <w:jc w:val="right"/>
              <w:rPr>
                <w:rFonts w:ascii="TT Norms Pro Light"/>
                <w:b w:val="0"/>
                <w:sz w:val="14"/>
              </w:rPr>
            </w:pPr>
            <w:r>
              <w:rPr>
                <w:rFonts w:ascii="TT Norms Pro Light"/>
                <w:b w:val="0"/>
                <w:spacing w:val="-2"/>
                <w:sz w:val="14"/>
              </w:rPr>
              <w:t>723.3</w:t>
            </w:r>
          </w:p>
          <w:p>
            <w:pPr>
              <w:pStyle w:val="TableParagraph"/>
              <w:spacing w:before="125"/>
              <w:rPr>
                <w:rFonts w:ascii="TT Norms Pro"/>
                <w:b/>
                <w:sz w:val="14"/>
              </w:rPr>
            </w:pPr>
          </w:p>
          <w:p>
            <w:pPr>
              <w:pStyle w:val="TableParagraph"/>
              <w:spacing w:before="1"/>
              <w:ind w:right="54"/>
              <w:jc w:val="right"/>
              <w:rPr>
                <w:rFonts w:ascii="TT Norms Pro Light"/>
                <w:b w:val="0"/>
                <w:sz w:val="14"/>
              </w:rPr>
            </w:pPr>
            <w:r>
              <w:rPr>
                <w:rFonts w:ascii="TT Norms Pro Light"/>
                <w:b w:val="0"/>
                <w:spacing w:val="-2"/>
                <w:sz w:val="14"/>
              </w:rPr>
              <w:t>1,709.4</w:t>
            </w:r>
          </w:p>
          <w:p>
            <w:pPr>
              <w:pStyle w:val="TableParagraph"/>
              <w:spacing w:before="125"/>
              <w:rPr>
                <w:rFonts w:ascii="TT Norms Pro"/>
                <w:b/>
                <w:sz w:val="14"/>
              </w:rPr>
            </w:pPr>
          </w:p>
          <w:p>
            <w:pPr>
              <w:pStyle w:val="TableParagraph"/>
              <w:spacing w:before="1"/>
              <w:ind w:right="53"/>
              <w:jc w:val="right"/>
              <w:rPr>
                <w:rFonts w:ascii="TT Norms Pro Light"/>
                <w:b w:val="0"/>
                <w:sz w:val="14"/>
              </w:rPr>
            </w:pPr>
            <w:r>
              <w:rPr>
                <w:rFonts w:ascii="TT Norms Pro Light"/>
                <w:b w:val="0"/>
                <w:spacing w:val="-2"/>
                <w:sz w:val="14"/>
              </w:rPr>
              <w:t>929.9</w:t>
            </w:r>
          </w:p>
          <w:p>
            <w:pPr>
              <w:pStyle w:val="TableParagraph"/>
              <w:spacing w:before="125"/>
              <w:rPr>
                <w:rFonts w:ascii="TT Norms Pro"/>
                <w:b/>
                <w:sz w:val="14"/>
              </w:rPr>
            </w:pPr>
          </w:p>
          <w:p>
            <w:pPr>
              <w:pStyle w:val="TableParagraph"/>
              <w:spacing w:before="1"/>
              <w:ind w:right="53"/>
              <w:jc w:val="right"/>
              <w:rPr>
                <w:rFonts w:ascii="TT Norms Pro Light"/>
                <w:b w:val="0"/>
                <w:sz w:val="14"/>
              </w:rPr>
            </w:pPr>
            <w:r>
              <w:rPr>
                <w:rFonts w:ascii="TT Norms Pro Light"/>
                <w:b w:val="0"/>
                <w:spacing w:val="-2"/>
                <w:sz w:val="14"/>
              </w:rPr>
              <w:t>606.3</w:t>
            </w:r>
          </w:p>
        </w:tc>
        <w:tc>
          <w:tcPr>
            <w:tcW w:w="907" w:type="dxa"/>
            <w:tcBorders>
              <w:top w:val="single" w:sz="4" w:space="0" w:color="000000"/>
              <w:bottom w:val="single" w:sz="4" w:space="0" w:color="000000"/>
            </w:tcBorders>
          </w:tcPr>
          <w:p>
            <w:pPr>
              <w:pStyle w:val="TableParagraph"/>
              <w:spacing w:before="63"/>
              <w:ind w:right="54"/>
              <w:jc w:val="right"/>
              <w:rPr>
                <w:rFonts w:ascii="TT Norms Pro Light"/>
                <w:b w:val="0"/>
                <w:sz w:val="14"/>
              </w:rPr>
            </w:pPr>
            <w:r>
              <w:rPr>
                <w:rFonts w:ascii="TT Norms Pro Light"/>
                <w:b w:val="0"/>
                <w:spacing w:val="-2"/>
                <w:sz w:val="14"/>
              </w:rPr>
              <w:t>9,722.0</w:t>
            </w:r>
          </w:p>
          <w:p>
            <w:pPr>
              <w:pStyle w:val="TableParagraph"/>
              <w:spacing w:before="120"/>
              <w:ind w:right="53"/>
              <w:jc w:val="right"/>
              <w:rPr>
                <w:rFonts w:ascii="TT Norms Pro Light"/>
                <w:b w:val="0"/>
                <w:sz w:val="14"/>
              </w:rPr>
            </w:pPr>
            <w:r>
              <w:rPr>
                <w:rFonts w:ascii="TT Norms Pro Light"/>
                <w:b w:val="0"/>
                <w:spacing w:val="-2"/>
                <w:sz w:val="14"/>
              </w:rPr>
              <w:t>2,256.0</w:t>
            </w:r>
          </w:p>
          <w:p>
            <w:pPr>
              <w:pStyle w:val="TableParagraph"/>
              <w:spacing w:before="154"/>
              <w:rPr>
                <w:rFonts w:ascii="TT Norms Pro"/>
                <w:b/>
                <w:sz w:val="14"/>
              </w:rPr>
            </w:pPr>
          </w:p>
          <w:p>
            <w:pPr>
              <w:pStyle w:val="TableParagraph"/>
              <w:ind w:right="54"/>
              <w:jc w:val="right"/>
              <w:rPr>
                <w:rFonts w:ascii="TT Norms Pro Light"/>
                <w:b w:val="0"/>
                <w:sz w:val="14"/>
              </w:rPr>
            </w:pPr>
            <w:r>
              <w:rPr>
                <w:rFonts w:ascii="TT Norms Pro Light"/>
                <w:b w:val="0"/>
                <w:spacing w:val="-2"/>
                <w:sz w:val="14"/>
              </w:rPr>
              <w:t>2,627.0</w:t>
            </w:r>
          </w:p>
          <w:p>
            <w:pPr>
              <w:pStyle w:val="TableParagraph"/>
              <w:rPr>
                <w:rFonts w:ascii="TT Norms Pro"/>
                <w:b/>
                <w:sz w:val="14"/>
              </w:rPr>
            </w:pPr>
          </w:p>
          <w:p>
            <w:pPr>
              <w:pStyle w:val="TableParagraph"/>
              <w:spacing w:before="75"/>
              <w:rPr>
                <w:rFonts w:ascii="TT Norms Pro"/>
                <w:b/>
                <w:sz w:val="14"/>
              </w:rPr>
            </w:pPr>
          </w:p>
          <w:p>
            <w:pPr>
              <w:pStyle w:val="TableParagraph"/>
              <w:spacing w:before="1"/>
              <w:ind w:right="54"/>
              <w:jc w:val="right"/>
              <w:rPr>
                <w:rFonts w:ascii="TT Norms Pro Light"/>
                <w:b w:val="0"/>
                <w:sz w:val="14"/>
              </w:rPr>
            </w:pPr>
            <w:r>
              <w:rPr>
                <w:rFonts w:ascii="TT Norms Pro Light"/>
                <w:b w:val="0"/>
                <w:spacing w:val="-2"/>
                <w:sz w:val="14"/>
              </w:rPr>
              <w:t>889.0</w:t>
            </w:r>
          </w:p>
          <w:p>
            <w:pPr>
              <w:pStyle w:val="TableParagraph"/>
              <w:spacing w:before="125"/>
              <w:rPr>
                <w:rFonts w:ascii="TT Norms Pro"/>
                <w:b/>
                <w:sz w:val="14"/>
              </w:rPr>
            </w:pPr>
          </w:p>
          <w:p>
            <w:pPr>
              <w:pStyle w:val="TableParagraph"/>
              <w:spacing w:before="1"/>
              <w:ind w:right="53"/>
              <w:jc w:val="right"/>
              <w:rPr>
                <w:rFonts w:ascii="TT Norms Pro Light"/>
                <w:b w:val="0"/>
                <w:sz w:val="14"/>
              </w:rPr>
            </w:pPr>
            <w:r>
              <w:rPr>
                <w:rFonts w:ascii="TT Norms Pro Light"/>
                <w:b w:val="0"/>
                <w:spacing w:val="-2"/>
                <w:sz w:val="14"/>
              </w:rPr>
              <w:t>1,955.0</w:t>
            </w:r>
          </w:p>
          <w:p>
            <w:pPr>
              <w:pStyle w:val="TableParagraph"/>
              <w:spacing w:before="125"/>
              <w:rPr>
                <w:rFonts w:ascii="TT Norms Pro"/>
                <w:b/>
                <w:sz w:val="14"/>
              </w:rPr>
            </w:pPr>
          </w:p>
          <w:p>
            <w:pPr>
              <w:pStyle w:val="TableParagraph"/>
              <w:spacing w:before="1"/>
              <w:ind w:right="52"/>
              <w:jc w:val="right"/>
              <w:rPr>
                <w:rFonts w:ascii="TT Norms Pro Light"/>
                <w:b w:val="0"/>
                <w:sz w:val="14"/>
              </w:rPr>
            </w:pPr>
            <w:r>
              <w:rPr>
                <w:rFonts w:ascii="TT Norms Pro Light"/>
                <w:b w:val="0"/>
                <w:spacing w:val="-2"/>
                <w:sz w:val="14"/>
              </w:rPr>
              <w:t>954.0</w:t>
            </w:r>
          </w:p>
          <w:p>
            <w:pPr>
              <w:pStyle w:val="TableParagraph"/>
              <w:spacing w:before="125"/>
              <w:rPr>
                <w:rFonts w:ascii="TT Norms Pro"/>
                <w:b/>
                <w:sz w:val="14"/>
              </w:rPr>
            </w:pPr>
          </w:p>
          <w:p>
            <w:pPr>
              <w:pStyle w:val="TableParagraph"/>
              <w:spacing w:before="1"/>
              <w:ind w:right="53"/>
              <w:jc w:val="right"/>
              <w:rPr>
                <w:rFonts w:ascii="TT Norms Pro Light"/>
                <w:b w:val="0"/>
                <w:sz w:val="14"/>
              </w:rPr>
            </w:pPr>
            <w:r>
              <w:rPr>
                <w:rFonts w:ascii="TT Norms Pro Light"/>
                <w:b w:val="0"/>
                <w:spacing w:val="-4"/>
                <w:sz w:val="14"/>
              </w:rPr>
              <w:t>597.0</w:t>
            </w:r>
          </w:p>
        </w:tc>
      </w:tr>
      <w:tr>
        <w:trPr>
          <w:trHeight w:val="332" w:hRule="atLeast"/>
        </w:trPr>
        <w:tc>
          <w:tcPr>
            <w:tcW w:w="2041" w:type="dxa"/>
            <w:tcBorders>
              <w:top w:val="single" w:sz="4" w:space="0" w:color="000000"/>
              <w:bottom w:val="single" w:sz="2" w:space="0" w:color="000000"/>
            </w:tcBorders>
            <w:shd w:val="clear" w:color="auto" w:fill="E6E7E8"/>
          </w:tcPr>
          <w:p>
            <w:pPr>
              <w:pStyle w:val="TableParagraph"/>
              <w:spacing w:before="92"/>
              <w:ind w:left="56"/>
              <w:rPr>
                <w:rFonts w:ascii="TT Norms Pro Medium"/>
                <w:b/>
                <w:sz w:val="14"/>
              </w:rPr>
            </w:pPr>
            <w:r>
              <w:rPr>
                <w:rFonts w:ascii="TT Norms Pro Medium"/>
                <w:b/>
                <w:spacing w:val="-4"/>
                <w:sz w:val="14"/>
              </w:rPr>
              <w:t>TOTAL</w:t>
            </w:r>
          </w:p>
        </w:tc>
        <w:tc>
          <w:tcPr>
            <w:tcW w:w="836" w:type="dxa"/>
            <w:tcBorders>
              <w:top w:val="single" w:sz="4" w:space="0" w:color="000000"/>
              <w:bottom w:val="single" w:sz="2" w:space="0" w:color="000000"/>
            </w:tcBorders>
          </w:tcPr>
          <w:p>
            <w:pPr>
              <w:pStyle w:val="TableParagraph"/>
              <w:spacing w:before="92"/>
              <w:ind w:left="262"/>
              <w:rPr>
                <w:rFonts w:ascii="TT Norms Pro Medium"/>
                <w:b/>
                <w:sz w:val="14"/>
              </w:rPr>
            </w:pPr>
            <w:r>
              <w:rPr>
                <w:rFonts w:ascii="TT Norms Pro Medium"/>
                <w:b/>
                <w:spacing w:val="-2"/>
                <w:sz w:val="14"/>
              </w:rPr>
              <w:t>18,977.9</w:t>
            </w:r>
          </w:p>
        </w:tc>
        <w:tc>
          <w:tcPr>
            <w:tcW w:w="836" w:type="dxa"/>
            <w:tcBorders>
              <w:top w:val="single" w:sz="4" w:space="0" w:color="000000"/>
              <w:bottom w:val="single" w:sz="2" w:space="0" w:color="000000"/>
            </w:tcBorders>
            <w:shd w:val="clear" w:color="auto" w:fill="E6E7E8"/>
          </w:tcPr>
          <w:p>
            <w:pPr>
              <w:pStyle w:val="TableParagraph"/>
              <w:spacing w:before="92"/>
              <w:ind w:left="283"/>
              <w:rPr>
                <w:rFonts w:ascii="TT Norms Pro Medium"/>
                <w:b/>
                <w:sz w:val="14"/>
              </w:rPr>
            </w:pPr>
            <w:r>
              <w:rPr>
                <w:rFonts w:ascii="TT Norms Pro Medium"/>
                <w:b/>
                <w:spacing w:val="-2"/>
                <w:sz w:val="14"/>
              </w:rPr>
              <w:t>18,717.2</w:t>
            </w:r>
          </w:p>
        </w:tc>
        <w:tc>
          <w:tcPr>
            <w:tcW w:w="907" w:type="dxa"/>
            <w:tcBorders>
              <w:top w:val="single" w:sz="4" w:space="0" w:color="000000"/>
              <w:bottom w:val="single" w:sz="2" w:space="0" w:color="000000"/>
            </w:tcBorders>
          </w:tcPr>
          <w:p>
            <w:pPr>
              <w:pStyle w:val="TableParagraph"/>
              <w:spacing w:before="92"/>
              <w:ind w:left="289"/>
              <w:rPr>
                <w:rFonts w:ascii="TT Norms Pro Medium"/>
                <w:b/>
                <w:sz w:val="14"/>
              </w:rPr>
            </w:pPr>
            <w:r>
              <w:rPr>
                <w:rFonts w:ascii="TT Norms Pro Medium"/>
                <w:b/>
                <w:spacing w:val="-2"/>
                <w:sz w:val="14"/>
              </w:rPr>
              <w:t>19,000.0</w:t>
            </w:r>
          </w:p>
        </w:tc>
      </w:tr>
    </w:tbl>
    <w:p>
      <w:pPr>
        <w:pStyle w:val="BodyText"/>
        <w:spacing w:before="100"/>
        <w:rPr>
          <w:rFonts w:ascii="TT Norms Pro"/>
          <w:b/>
          <w:sz w:val="14"/>
        </w:rPr>
      </w:pPr>
    </w:p>
    <w:p>
      <w:pPr>
        <w:spacing w:before="1"/>
        <w:ind w:left="213" w:right="0" w:firstLine="0"/>
        <w:jc w:val="left"/>
        <w:rPr>
          <w:rFonts w:ascii="TT Norms Pro Light"/>
          <w:b w:val="0"/>
          <w:sz w:val="14"/>
        </w:rPr>
      </w:pPr>
      <w:r>
        <w:rPr>
          <w:rFonts w:ascii="TT Norms Pro"/>
          <w:b/>
          <w:sz w:val="14"/>
        </w:rPr>
        <w:t>Data</w:t>
      </w:r>
      <w:r>
        <w:rPr>
          <w:rFonts w:ascii="TT Norms Pro"/>
          <w:b/>
          <w:spacing w:val="9"/>
          <w:sz w:val="14"/>
        </w:rPr>
        <w:t> </w:t>
      </w:r>
      <w:r>
        <w:rPr>
          <w:rFonts w:ascii="TT Norms Pro"/>
          <w:b/>
          <w:sz w:val="14"/>
        </w:rPr>
        <w:t>source:</w:t>
      </w:r>
      <w:r>
        <w:rPr>
          <w:rFonts w:ascii="TT Norms Pro"/>
          <w:b/>
          <w:spacing w:val="9"/>
          <w:sz w:val="14"/>
        </w:rPr>
        <w:t> </w:t>
      </w:r>
      <w:r>
        <w:rPr>
          <w:rFonts w:ascii="TT Norms Pro Light"/>
          <w:b w:val="0"/>
          <w:sz w:val="14"/>
        </w:rPr>
        <w:t>Internal</w:t>
      </w:r>
      <w:r>
        <w:rPr>
          <w:rFonts w:ascii="TT Norms Pro Light"/>
          <w:b w:val="0"/>
          <w:spacing w:val="11"/>
          <w:sz w:val="14"/>
        </w:rPr>
        <w:t> </w:t>
      </w:r>
      <w:r>
        <w:rPr>
          <w:rFonts w:ascii="TT Norms Pro Light"/>
          <w:b w:val="0"/>
          <w:sz w:val="14"/>
        </w:rPr>
        <w:t>management</w:t>
      </w:r>
      <w:r>
        <w:rPr>
          <w:rFonts w:ascii="TT Norms Pro Light"/>
          <w:b w:val="0"/>
          <w:spacing w:val="11"/>
          <w:sz w:val="14"/>
        </w:rPr>
        <w:t> </w:t>
      </w:r>
      <w:r>
        <w:rPr>
          <w:rFonts w:ascii="TT Norms Pro Light"/>
          <w:b w:val="0"/>
          <w:sz w:val="14"/>
        </w:rPr>
        <w:t>reporting</w:t>
      </w:r>
      <w:r>
        <w:rPr>
          <w:rFonts w:ascii="TT Norms Pro Light"/>
          <w:b w:val="0"/>
          <w:spacing w:val="11"/>
          <w:sz w:val="14"/>
        </w:rPr>
        <w:t> </w:t>
      </w:r>
      <w:r>
        <w:rPr>
          <w:rFonts w:ascii="TT Norms Pro Light"/>
          <w:b w:val="0"/>
          <w:sz w:val="14"/>
        </w:rPr>
        <w:t>data</w:t>
      </w:r>
      <w:r>
        <w:rPr>
          <w:rFonts w:ascii="TT Norms Pro Light"/>
          <w:b w:val="0"/>
          <w:spacing w:val="12"/>
          <w:sz w:val="14"/>
        </w:rPr>
        <w:t> </w:t>
      </w:r>
      <w:r>
        <w:rPr>
          <w:rFonts w:ascii="TT Norms Pro Light"/>
          <w:b w:val="0"/>
          <w:spacing w:val="-2"/>
          <w:sz w:val="14"/>
        </w:rPr>
        <w:t>source.</w:t>
      </w:r>
    </w:p>
    <w:p>
      <w:pPr>
        <w:spacing w:line="264" w:lineRule="auto" w:before="129"/>
        <w:ind w:left="213" w:right="672" w:firstLine="0"/>
        <w:jc w:val="left"/>
        <w:rPr>
          <w:rFonts w:ascii="TT Norms Pro Light"/>
          <w:b w:val="0"/>
          <w:sz w:val="14"/>
        </w:rPr>
      </w:pPr>
      <w:r>
        <w:rPr>
          <w:rFonts w:ascii="TT Norms Pro"/>
          <w:b/>
          <w:sz w:val="14"/>
        </w:rPr>
        <w:t>Notes: </w:t>
      </w:r>
      <w:r>
        <w:rPr>
          <w:rFonts w:ascii="TT Norms Pro Light"/>
          <w:b w:val="0"/>
          <w:sz w:val="14"/>
        </w:rPr>
        <w:t>This indicator was included in the 2019 Annual Report.</w:t>
      </w:r>
      <w:r>
        <w:rPr>
          <w:rFonts w:ascii="TT Norms Pro Light"/>
          <w:b w:val="0"/>
          <w:spacing w:val="40"/>
          <w:sz w:val="14"/>
        </w:rPr>
        <w:t> </w:t>
      </w:r>
      <w:r>
        <w:rPr>
          <w:rFonts w:ascii="TT Norms Pro Light"/>
          <w:b w:val="0"/>
          <w:sz w:val="14"/>
        </w:rPr>
        <w:t>The number of students is shown as EFTSL. Figures are rounded</w:t>
      </w:r>
      <w:r>
        <w:rPr>
          <w:rFonts w:ascii="TT Norms Pro Light"/>
          <w:b w:val="0"/>
          <w:spacing w:val="40"/>
          <w:sz w:val="14"/>
        </w:rPr>
        <w:t> </w:t>
      </w:r>
      <w:r>
        <w:rPr>
          <w:rFonts w:ascii="TT Norms Pro Light"/>
          <w:b w:val="0"/>
          <w:sz w:val="14"/>
        </w:rPr>
        <w:t>to one decimal place.</w:t>
      </w:r>
    </w:p>
    <w:p>
      <w:pPr>
        <w:spacing w:line="240" w:lineRule="auto" w:before="0"/>
        <w:rPr>
          <w:rFonts w:ascii="TT Norms Pro Light"/>
          <w:b w:val="0"/>
          <w:sz w:val="18"/>
        </w:rPr>
      </w:pPr>
      <w:r>
        <w:rPr/>
        <w:br w:type="column"/>
      </w:r>
      <w:r>
        <w:rPr>
          <w:rFonts w:ascii="TT Norms Pro Light"/>
          <w:b w:val="0"/>
          <w:sz w:val="18"/>
        </w:rPr>
      </w:r>
    </w:p>
    <w:p>
      <w:pPr>
        <w:pStyle w:val="BodyText"/>
        <w:spacing w:before="1"/>
        <w:rPr>
          <w:b w:val="0"/>
        </w:rPr>
      </w:pPr>
    </w:p>
    <w:p>
      <w:pPr>
        <w:pStyle w:val="BodyText"/>
        <w:spacing w:line="295" w:lineRule="auto"/>
        <w:ind w:left="214" w:right="1336"/>
        <w:rPr>
          <w:b w:val="0"/>
        </w:rPr>
      </w:pPr>
      <w:r>
        <w:rPr>
          <w:b w:val="0"/>
        </w:rPr>
        <w:t>In a difficult year where borders were closed and there</w:t>
      </w:r>
      <w:r>
        <w:rPr>
          <w:b w:val="0"/>
          <w:spacing w:val="40"/>
        </w:rPr>
        <w:t> </w:t>
      </w:r>
      <w:r>
        <w:rPr>
          <w:b w:val="0"/>
        </w:rPr>
        <w:t>was significant financial disruption around the world,</w:t>
      </w:r>
      <w:r>
        <w:rPr>
          <w:b w:val="0"/>
          <w:spacing w:val="80"/>
        </w:rPr>
        <w:t> </w:t>
      </w:r>
      <w:r>
        <w:rPr>
          <w:b w:val="0"/>
        </w:rPr>
        <w:t>the University was not able to achieve its overall student</w:t>
      </w:r>
    </w:p>
    <w:p>
      <w:pPr>
        <w:pStyle w:val="BodyText"/>
        <w:spacing w:line="295" w:lineRule="auto" w:before="3"/>
        <w:ind w:left="214" w:right="1132"/>
        <w:rPr>
          <w:b w:val="0"/>
        </w:rPr>
      </w:pPr>
      <w:r>
        <w:rPr>
          <w:b w:val="0"/>
          <w:spacing w:val="-2"/>
        </w:rPr>
        <w:t>load target. Although international student load was notably</w:t>
      </w:r>
      <w:r>
        <w:rPr>
          <w:b w:val="0"/>
          <w:spacing w:val="40"/>
        </w:rPr>
        <w:t> </w:t>
      </w:r>
      <w:r>
        <w:rPr>
          <w:b w:val="0"/>
        </w:rPr>
        <w:t>impacted overall, a number of rapidly introduced in-</w:t>
      </w:r>
      <w:r>
        <w:rPr>
          <w:b w:val="0"/>
          <w:spacing w:val="40"/>
        </w:rPr>
        <w:t> </w:t>
      </w:r>
      <w:r>
        <w:rPr>
          <w:b w:val="0"/>
        </w:rPr>
        <w:t>country and virtual recruitment and student support</w:t>
      </w:r>
      <w:r>
        <w:rPr>
          <w:b w:val="0"/>
          <w:spacing w:val="40"/>
        </w:rPr>
        <w:t> </w:t>
      </w:r>
      <w:r>
        <w:rPr>
          <w:b w:val="0"/>
          <w:spacing w:val="-2"/>
        </w:rPr>
        <w:t>initiatives</w:t>
      </w:r>
      <w:r>
        <w:rPr>
          <w:b w:val="0"/>
          <w:spacing w:val="-5"/>
        </w:rPr>
        <w:t> </w:t>
      </w:r>
      <w:r>
        <w:rPr>
          <w:b w:val="0"/>
          <w:spacing w:val="-2"/>
        </w:rPr>
        <w:t>helped</w:t>
      </w:r>
      <w:r>
        <w:rPr>
          <w:b w:val="0"/>
          <w:spacing w:val="-5"/>
        </w:rPr>
        <w:t> </w:t>
      </w:r>
      <w:r>
        <w:rPr>
          <w:b w:val="0"/>
          <w:spacing w:val="-2"/>
        </w:rPr>
        <w:t>to</w:t>
      </w:r>
      <w:r>
        <w:rPr>
          <w:b w:val="0"/>
          <w:spacing w:val="-5"/>
        </w:rPr>
        <w:t> </w:t>
      </w:r>
      <w:r>
        <w:rPr>
          <w:b w:val="0"/>
          <w:spacing w:val="-2"/>
        </w:rPr>
        <w:t>minimise</w:t>
      </w:r>
      <w:r>
        <w:rPr>
          <w:b w:val="0"/>
          <w:spacing w:val="-5"/>
        </w:rPr>
        <w:t> </w:t>
      </w:r>
      <w:r>
        <w:rPr>
          <w:b w:val="0"/>
          <w:spacing w:val="-2"/>
        </w:rPr>
        <w:t>the</w:t>
      </w:r>
      <w:r>
        <w:rPr>
          <w:b w:val="0"/>
          <w:spacing w:val="-5"/>
        </w:rPr>
        <w:t> </w:t>
      </w:r>
      <w:r>
        <w:rPr>
          <w:b w:val="0"/>
          <w:spacing w:val="-2"/>
        </w:rPr>
        <w:t>significance</w:t>
      </w:r>
      <w:r>
        <w:rPr>
          <w:b w:val="0"/>
          <w:spacing w:val="-5"/>
        </w:rPr>
        <w:t> </w:t>
      </w:r>
      <w:r>
        <w:rPr>
          <w:b w:val="0"/>
          <w:spacing w:val="-2"/>
        </w:rPr>
        <w:t>of</w:t>
      </w:r>
      <w:r>
        <w:rPr>
          <w:b w:val="0"/>
          <w:spacing w:val="-5"/>
        </w:rPr>
        <w:t> </w:t>
      </w:r>
      <w:r>
        <w:rPr>
          <w:b w:val="0"/>
          <w:spacing w:val="-2"/>
        </w:rPr>
        <w:t>that</w:t>
      </w:r>
      <w:r>
        <w:rPr>
          <w:b w:val="0"/>
          <w:spacing w:val="-5"/>
        </w:rPr>
        <w:t> </w:t>
      </w:r>
      <w:r>
        <w:rPr>
          <w:b w:val="0"/>
          <w:spacing w:val="-2"/>
        </w:rPr>
        <w:t>impact.</w:t>
      </w:r>
    </w:p>
    <w:p>
      <w:pPr>
        <w:pStyle w:val="BodyText"/>
        <w:spacing w:before="49"/>
        <w:rPr>
          <w:b w:val="0"/>
        </w:rPr>
      </w:pPr>
    </w:p>
    <w:p>
      <w:pPr>
        <w:pStyle w:val="BodyText"/>
        <w:spacing w:line="295" w:lineRule="auto"/>
        <w:ind w:left="214" w:right="1003"/>
        <w:rPr>
          <w:b w:val="0"/>
        </w:rPr>
      </w:pPr>
      <w:r>
        <w:rPr>
          <w:b w:val="0"/>
        </w:rPr>
        <w:t>A strategic decision was made in 2020 to redistribute</w:t>
      </w:r>
      <w:r>
        <w:rPr>
          <w:b w:val="0"/>
          <w:spacing w:val="40"/>
        </w:rPr>
        <w:t> </w:t>
      </w:r>
      <w:r>
        <w:rPr>
          <w:b w:val="0"/>
        </w:rPr>
        <w:t>unused postgraduate Commonwealth Supported Places</w:t>
      </w:r>
      <w:r>
        <w:rPr>
          <w:b w:val="0"/>
          <w:spacing w:val="40"/>
        </w:rPr>
        <w:t> </w:t>
      </w:r>
      <w:r>
        <w:rPr>
          <w:b w:val="0"/>
        </w:rPr>
        <w:t>(CSPs) to courses that had previously been full fee-paying,</w:t>
      </w:r>
      <w:r>
        <w:rPr>
          <w:b w:val="0"/>
          <w:spacing w:val="40"/>
        </w:rPr>
        <w:t> </w:t>
      </w:r>
      <w:r>
        <w:rPr>
          <w:b w:val="0"/>
        </w:rPr>
        <w:t>because the course met the requirement for either initial</w:t>
      </w:r>
      <w:r>
        <w:rPr>
          <w:b w:val="0"/>
          <w:spacing w:val="40"/>
        </w:rPr>
        <w:t> </w:t>
      </w:r>
      <w:r>
        <w:rPr>
          <w:b w:val="0"/>
        </w:rPr>
        <w:t>entry to a profession, response to local economic or</w:t>
      </w:r>
      <w:r>
        <w:rPr>
          <w:b w:val="0"/>
          <w:spacing w:val="40"/>
        </w:rPr>
        <w:t> </w:t>
      </w:r>
      <w:r>
        <w:rPr>
          <w:b w:val="0"/>
        </w:rPr>
        <w:t>community need, or focus on supporting access to</w:t>
      </w:r>
      <w:r>
        <w:rPr>
          <w:b w:val="0"/>
          <w:spacing w:val="40"/>
        </w:rPr>
        <w:t> </w:t>
      </w:r>
      <w:r>
        <w:rPr>
          <w:b w:val="0"/>
        </w:rPr>
        <w:t>underrepresented students. This resulted in an increase</w:t>
      </w:r>
    </w:p>
    <w:p>
      <w:pPr>
        <w:pStyle w:val="BodyText"/>
        <w:spacing w:line="295" w:lineRule="auto" w:before="6"/>
        <w:ind w:left="214" w:right="1132"/>
        <w:rPr>
          <w:b w:val="0"/>
        </w:rPr>
      </w:pPr>
      <w:r>
        <w:rPr>
          <w:b w:val="0"/>
        </w:rPr>
        <w:t>in postgraduate CSPs, against an expected decline; and,</w:t>
      </w:r>
      <w:r>
        <w:rPr>
          <w:b w:val="0"/>
          <w:spacing w:val="40"/>
        </w:rPr>
        <w:t> </w:t>
      </w:r>
      <w:r>
        <w:rPr>
          <w:b w:val="0"/>
        </w:rPr>
        <w:t>conversely, a decrease in domestic fee-paying</w:t>
      </w:r>
      <w:r>
        <w:rPr>
          <w:b w:val="0"/>
          <w:spacing w:val="40"/>
        </w:rPr>
        <w:t> </w:t>
      </w:r>
      <w:r>
        <w:rPr>
          <w:b w:val="0"/>
        </w:rPr>
        <w:t>postgraduates, against a targeted increase. The net result</w:t>
      </w:r>
      <w:r>
        <w:rPr>
          <w:b w:val="0"/>
          <w:spacing w:val="40"/>
        </w:rPr>
        <w:t> </w:t>
      </w:r>
      <w:r>
        <w:rPr>
          <w:b w:val="0"/>
        </w:rPr>
        <w:t>of this on overall number of domestic postgraduate</w:t>
      </w:r>
      <w:r>
        <w:rPr>
          <w:b w:val="0"/>
          <w:spacing w:val="40"/>
        </w:rPr>
        <w:t> </w:t>
      </w:r>
      <w:r>
        <w:rPr>
          <w:b w:val="0"/>
        </w:rPr>
        <w:t>enrolments was positive, with an increase of around 72</w:t>
      </w:r>
      <w:r>
        <w:rPr>
          <w:b w:val="0"/>
          <w:spacing w:val="40"/>
        </w:rPr>
        <w:t> </w:t>
      </w:r>
      <w:r>
        <w:rPr>
          <w:b w:val="0"/>
        </w:rPr>
        <w:t>equivalent full-time student load (EFTSL) of domestic</w:t>
      </w:r>
      <w:r>
        <w:rPr>
          <w:b w:val="0"/>
          <w:spacing w:val="40"/>
        </w:rPr>
        <w:t> </w:t>
      </w:r>
      <w:r>
        <w:rPr>
          <w:b w:val="0"/>
        </w:rPr>
        <w:t>postgraduate students against an expected decline of</w:t>
      </w:r>
      <w:r>
        <w:rPr>
          <w:b w:val="0"/>
          <w:spacing w:val="40"/>
        </w:rPr>
        <w:t> </w:t>
      </w:r>
      <w:r>
        <w:rPr>
          <w:b w:val="0"/>
        </w:rPr>
        <w:t>around 175 EFTSL.</w:t>
      </w:r>
    </w:p>
    <w:p>
      <w:pPr>
        <w:pStyle w:val="BodyText"/>
        <w:spacing w:before="52"/>
        <w:rPr>
          <w:b w:val="0"/>
        </w:rPr>
      </w:pPr>
    </w:p>
    <w:p>
      <w:pPr>
        <w:pStyle w:val="BodyText"/>
        <w:spacing w:line="295" w:lineRule="auto"/>
        <w:ind w:left="214" w:right="1182"/>
        <w:rPr>
          <w:b w:val="0"/>
        </w:rPr>
      </w:pPr>
      <w:r>
        <w:rPr>
          <w:b w:val="0"/>
        </w:rPr>
        <w:t>The University will be responding to current events</w:t>
      </w:r>
      <w:r>
        <w:rPr>
          <w:b w:val="0"/>
          <w:spacing w:val="40"/>
        </w:rPr>
        <w:t> </w:t>
      </w:r>
      <w:r>
        <w:rPr>
          <w:b w:val="0"/>
        </w:rPr>
        <w:t>through the further delivery of online and blended course</w:t>
      </w:r>
      <w:r>
        <w:rPr>
          <w:b w:val="0"/>
          <w:spacing w:val="40"/>
        </w:rPr>
        <w:t> </w:t>
      </w:r>
      <w:r>
        <w:rPr>
          <w:b w:val="0"/>
        </w:rPr>
        <w:t>options and in its response to the Federal Government’s</w:t>
      </w:r>
      <w:r>
        <w:rPr>
          <w:b w:val="0"/>
          <w:spacing w:val="40"/>
        </w:rPr>
        <w:t> </w:t>
      </w:r>
      <w:r>
        <w:rPr>
          <w:b w:val="0"/>
        </w:rPr>
        <w:t>Job-ready Graduate funding package.</w:t>
      </w:r>
    </w:p>
    <w:p>
      <w:pPr>
        <w:pStyle w:val="BodyText"/>
        <w:rPr>
          <w:b w:val="0"/>
        </w:rPr>
      </w:pPr>
    </w:p>
    <w:p>
      <w:pPr>
        <w:pStyle w:val="BodyText"/>
        <w:spacing w:before="67"/>
        <w:rPr>
          <w:b w:val="0"/>
        </w:rPr>
      </w:pPr>
    </w:p>
    <w:p>
      <w:pPr>
        <w:pStyle w:val="Heading9"/>
        <w:numPr>
          <w:ilvl w:val="1"/>
          <w:numId w:val="9"/>
        </w:numPr>
        <w:tabs>
          <w:tab w:pos="562" w:val="left" w:leader="none"/>
        </w:tabs>
        <w:spacing w:line="240" w:lineRule="auto" w:before="1" w:after="0"/>
        <w:ind w:left="562" w:right="0" w:hanging="348"/>
        <w:jc w:val="left"/>
      </w:pPr>
      <w:r>
        <w:rPr>
          <w:spacing w:val="-2"/>
        </w:rPr>
        <w:t>RETENTION</w:t>
      </w:r>
    </w:p>
    <w:p>
      <w:pPr>
        <w:pStyle w:val="BodyText"/>
        <w:spacing w:line="295" w:lineRule="auto" w:before="154"/>
        <w:ind w:left="214" w:right="1132"/>
        <w:rPr>
          <w:b w:val="0"/>
        </w:rPr>
      </w:pPr>
      <w:r>
        <w:rPr>
          <w:b w:val="0"/>
        </w:rPr>
        <w:t>This measures the provision of high-quality education</w:t>
      </w:r>
      <w:r>
        <w:rPr>
          <w:b w:val="0"/>
          <w:spacing w:val="40"/>
        </w:rPr>
        <w:t> </w:t>
      </w:r>
      <w:r>
        <w:rPr>
          <w:b w:val="0"/>
        </w:rPr>
        <w:t>through the retention of existing students. Retaining</w:t>
      </w:r>
      <w:r>
        <w:rPr>
          <w:b w:val="0"/>
          <w:spacing w:val="40"/>
        </w:rPr>
        <w:t> </w:t>
      </w:r>
      <w:r>
        <w:rPr>
          <w:b w:val="0"/>
        </w:rPr>
        <w:t>students after their first year is an important milestone and</w:t>
      </w:r>
      <w:r>
        <w:rPr>
          <w:b w:val="0"/>
          <w:spacing w:val="40"/>
        </w:rPr>
        <w:t> </w:t>
      </w:r>
      <w:r>
        <w:rPr>
          <w:b w:val="0"/>
        </w:rPr>
        <w:t>indicator of successfully completing a degree. As such,</w:t>
      </w:r>
      <w:r>
        <w:rPr>
          <w:b w:val="0"/>
          <w:spacing w:val="40"/>
        </w:rPr>
        <w:t> </w:t>
      </w:r>
      <w:r>
        <w:rPr>
          <w:b w:val="0"/>
        </w:rPr>
        <w:t>retention is an indicator of the quality and relevance of our</w:t>
      </w:r>
      <w:r>
        <w:rPr>
          <w:b w:val="0"/>
          <w:spacing w:val="40"/>
        </w:rPr>
        <w:t> </w:t>
      </w:r>
      <w:r>
        <w:rPr>
          <w:b w:val="0"/>
        </w:rPr>
        <w:t>student</w:t>
      </w:r>
      <w:r>
        <w:rPr>
          <w:b w:val="0"/>
          <w:spacing w:val="-3"/>
        </w:rPr>
        <w:t> </w:t>
      </w:r>
      <w:r>
        <w:rPr>
          <w:b w:val="0"/>
        </w:rPr>
        <w:t>experience, support services</w:t>
      </w:r>
      <w:r>
        <w:rPr>
          <w:b w:val="0"/>
          <w:spacing w:val="-1"/>
        </w:rPr>
        <w:t> </w:t>
      </w:r>
      <w:r>
        <w:rPr>
          <w:b w:val="0"/>
        </w:rPr>
        <w:t>and course </w:t>
      </w:r>
      <w:r>
        <w:rPr>
          <w:b w:val="0"/>
          <w:spacing w:val="-2"/>
        </w:rPr>
        <w:t>offerings.</w:t>
      </w:r>
    </w:p>
    <w:p>
      <w:pPr>
        <w:pStyle w:val="BodyText"/>
        <w:spacing w:before="49"/>
        <w:rPr>
          <w:b w:val="0"/>
        </w:rPr>
      </w:pPr>
    </w:p>
    <w:p>
      <w:pPr>
        <w:pStyle w:val="BodyText"/>
        <w:spacing w:line="295" w:lineRule="auto"/>
        <w:ind w:left="214" w:right="1239"/>
        <w:rPr>
          <w:b w:val="0"/>
        </w:rPr>
      </w:pPr>
      <w:r>
        <w:rPr>
          <w:b w:val="0"/>
        </w:rPr>
        <w:t>The</w:t>
      </w:r>
      <w:r>
        <w:rPr>
          <w:b w:val="0"/>
          <w:spacing w:val="-2"/>
        </w:rPr>
        <w:t> </w:t>
      </w:r>
      <w:r>
        <w:rPr>
          <w:b w:val="0"/>
        </w:rPr>
        <w:t>University</w:t>
      </w:r>
      <w:r>
        <w:rPr>
          <w:b w:val="0"/>
          <w:spacing w:val="-2"/>
        </w:rPr>
        <w:t> </w:t>
      </w:r>
      <w:r>
        <w:rPr>
          <w:b w:val="0"/>
        </w:rPr>
        <w:t>continued</w:t>
      </w:r>
      <w:r>
        <w:rPr>
          <w:b w:val="0"/>
          <w:spacing w:val="-2"/>
        </w:rPr>
        <w:t> </w:t>
      </w:r>
      <w:r>
        <w:rPr>
          <w:b w:val="0"/>
        </w:rPr>
        <w:t>to</w:t>
      </w:r>
      <w:r>
        <w:rPr>
          <w:b w:val="0"/>
          <w:spacing w:val="-2"/>
        </w:rPr>
        <w:t> </w:t>
      </w:r>
      <w:r>
        <w:rPr>
          <w:b w:val="0"/>
        </w:rPr>
        <w:t>achieve</w:t>
      </w:r>
      <w:r>
        <w:rPr>
          <w:b w:val="0"/>
          <w:spacing w:val="-2"/>
        </w:rPr>
        <w:t> </w:t>
      </w:r>
      <w:r>
        <w:rPr>
          <w:b w:val="0"/>
        </w:rPr>
        <w:t>a</w:t>
      </w:r>
      <w:r>
        <w:rPr>
          <w:b w:val="0"/>
          <w:spacing w:val="-2"/>
        </w:rPr>
        <w:t> </w:t>
      </w:r>
      <w:r>
        <w:rPr>
          <w:b w:val="0"/>
        </w:rPr>
        <w:t>high</w:t>
      </w:r>
      <w:r>
        <w:rPr>
          <w:b w:val="0"/>
          <w:spacing w:val="-2"/>
        </w:rPr>
        <w:t> </w:t>
      </w:r>
      <w:r>
        <w:rPr>
          <w:b w:val="0"/>
        </w:rPr>
        <w:t>retention</w:t>
      </w:r>
      <w:r>
        <w:rPr>
          <w:b w:val="0"/>
          <w:spacing w:val="-2"/>
        </w:rPr>
        <w:t> </w:t>
      </w:r>
      <w:r>
        <w:rPr>
          <w:b w:val="0"/>
        </w:rPr>
        <w:t>rate</w:t>
      </w:r>
      <w:r>
        <w:rPr>
          <w:b w:val="0"/>
          <w:spacing w:val="40"/>
        </w:rPr>
        <w:t> </w:t>
      </w:r>
      <w:r>
        <w:rPr>
          <w:b w:val="0"/>
        </w:rPr>
        <w:t>in 2020, even as COVID-19 has impacted on students.</w:t>
      </w:r>
    </w:p>
    <w:p>
      <w:pPr>
        <w:pStyle w:val="BodyText"/>
        <w:spacing w:line="295" w:lineRule="auto" w:before="2"/>
        <w:ind w:left="214" w:right="1182"/>
        <w:rPr>
          <w:b w:val="0"/>
        </w:rPr>
      </w:pPr>
      <w:r>
        <w:rPr/>
        <mc:AlternateContent>
          <mc:Choice Requires="wps">
            <w:drawing>
              <wp:anchor distT="0" distB="0" distL="0" distR="0" allowOverlap="1" layoutInCell="1" locked="0" behindDoc="0" simplePos="0" relativeHeight="15843328">
                <wp:simplePos x="0" y="0"/>
                <wp:positionH relativeFrom="page">
                  <wp:posOffset>7111289</wp:posOffset>
                </wp:positionH>
                <wp:positionV relativeFrom="paragraph">
                  <wp:posOffset>762157</wp:posOffset>
                </wp:positionV>
                <wp:extent cx="177800" cy="1848485"/>
                <wp:effectExtent l="0" t="0" r="0" b="0"/>
                <wp:wrapNone/>
                <wp:docPr id="640" name="Textbox 640"/>
                <wp:cNvGraphicFramePr>
                  <a:graphicFrameLocks/>
                </wp:cNvGraphicFramePr>
                <a:graphic>
                  <a:graphicData uri="http://schemas.microsoft.com/office/word/2010/wordprocessingShape">
                    <wps:wsp>
                      <wps:cNvPr id="640" name="Textbox 640"/>
                      <wps:cNvSpPr txBox="1"/>
                      <wps:spPr>
                        <a:xfrm>
                          <a:off x="0" y="0"/>
                          <a:ext cx="177800" cy="184848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60.012402pt;width:14pt;height:145.550pt;mso-position-horizontal-relative:page;mso-position-vertical-relative:paragraph;z-index:15843328" type="#_x0000_t202" id="docshape436"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v:textbox>
                <w10:wrap type="none"/>
              </v:shape>
            </w:pict>
          </mc:Fallback>
        </mc:AlternateContent>
      </w:r>
      <w:r>
        <w:rPr>
          <w:b w:val="0"/>
        </w:rPr>
        <w:t>There is ongoing commitment to supporting students in</w:t>
      </w:r>
      <w:r>
        <w:rPr>
          <w:b w:val="0"/>
          <w:spacing w:val="40"/>
        </w:rPr>
        <w:t> </w:t>
      </w:r>
      <w:r>
        <w:rPr>
          <w:b w:val="0"/>
        </w:rPr>
        <w:t>completing their studies through this disrupted period,</w:t>
      </w:r>
      <w:r>
        <w:rPr>
          <w:b w:val="0"/>
          <w:spacing w:val="40"/>
        </w:rPr>
        <w:t> </w:t>
      </w:r>
      <w:r>
        <w:rPr>
          <w:b w:val="0"/>
        </w:rPr>
        <w:t>with options such as improved online teaching and</w:t>
      </w:r>
      <w:r>
        <w:rPr>
          <w:b w:val="0"/>
          <w:spacing w:val="40"/>
        </w:rPr>
        <w:t> </w:t>
      </w:r>
      <w:r>
        <w:rPr>
          <w:b w:val="0"/>
        </w:rPr>
        <w:t>support being implemented for next year.</w:t>
      </w:r>
    </w:p>
    <w:p>
      <w:pPr>
        <w:pStyle w:val="BodyText"/>
        <w:spacing w:before="8"/>
        <w:rPr>
          <w:b w:val="0"/>
          <w:sz w:val="15"/>
        </w:rPr>
      </w:pPr>
    </w:p>
    <w:tbl>
      <w:tblPr>
        <w:tblW w:w="0" w:type="auto"/>
        <w:jc w:val="left"/>
        <w:tblInd w:w="2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91"/>
        <w:gridCol w:w="981"/>
        <w:gridCol w:w="809"/>
        <w:gridCol w:w="843"/>
      </w:tblGrid>
      <w:tr>
        <w:trPr>
          <w:trHeight w:val="326" w:hRule="atLeast"/>
        </w:trPr>
        <w:tc>
          <w:tcPr>
            <w:tcW w:w="1991" w:type="dxa"/>
            <w:tcBorders>
              <w:bottom w:val="single" w:sz="8" w:space="0" w:color="000000"/>
            </w:tcBorders>
          </w:tcPr>
          <w:p>
            <w:pPr>
              <w:pStyle w:val="TableParagraph"/>
              <w:spacing w:before="75"/>
              <w:rPr>
                <w:rFonts w:ascii="TT Norms Pro"/>
                <w:b/>
                <w:sz w:val="18"/>
              </w:rPr>
            </w:pPr>
            <w:r>
              <w:rPr>
                <w:rFonts w:ascii="TT Norms Pro"/>
                <w:b/>
                <w:spacing w:val="-2"/>
                <w:sz w:val="18"/>
              </w:rPr>
              <w:t>Retention</w:t>
            </w:r>
          </w:p>
        </w:tc>
        <w:tc>
          <w:tcPr>
            <w:tcW w:w="2633" w:type="dxa"/>
            <w:gridSpan w:val="3"/>
            <w:tcBorders>
              <w:bottom w:val="single" w:sz="8" w:space="0" w:color="000000"/>
            </w:tcBorders>
          </w:tcPr>
          <w:p>
            <w:pPr>
              <w:pStyle w:val="TableParagraph"/>
              <w:rPr>
                <w:rFonts w:ascii="Times New Roman"/>
                <w:sz w:val="16"/>
              </w:rPr>
            </w:pPr>
          </w:p>
        </w:tc>
      </w:tr>
      <w:tr>
        <w:trPr>
          <w:trHeight w:val="722" w:hRule="atLeast"/>
        </w:trPr>
        <w:tc>
          <w:tcPr>
            <w:tcW w:w="1991" w:type="dxa"/>
            <w:tcBorders>
              <w:top w:val="single" w:sz="8" w:space="0" w:color="000000"/>
              <w:bottom w:val="single" w:sz="4" w:space="0" w:color="000000"/>
            </w:tcBorders>
          </w:tcPr>
          <w:p>
            <w:pPr>
              <w:pStyle w:val="TableParagraph"/>
              <w:spacing w:line="292" w:lineRule="auto" w:before="56"/>
              <w:ind w:left="80" w:right="217"/>
              <w:rPr>
                <w:rFonts w:ascii="TT Norms Pro"/>
                <w:b/>
                <w:sz w:val="14"/>
              </w:rPr>
            </w:pPr>
            <w:r>
              <w:rPr>
                <w:rFonts w:ascii="TT Norms Pro"/>
                <w:b/>
                <w:sz w:val="14"/>
              </w:rPr>
              <w:t>1ST YEAR </w:t>
            </w:r>
            <w:r>
              <w:rPr>
                <w:rFonts w:ascii="TT Norms Pro"/>
                <w:b/>
                <w:sz w:val="14"/>
              </w:rPr>
              <w:t>RETENTION</w:t>
            </w:r>
            <w:r>
              <w:rPr>
                <w:rFonts w:ascii="TT Norms Pro"/>
                <w:b/>
                <w:spacing w:val="40"/>
                <w:sz w:val="14"/>
              </w:rPr>
              <w:t> </w:t>
            </w:r>
            <w:r>
              <w:rPr>
                <w:rFonts w:ascii="TT Norms Pro"/>
                <w:b/>
                <w:sz w:val="14"/>
              </w:rPr>
              <w:t>OF</w:t>
            </w:r>
            <w:r>
              <w:rPr>
                <w:rFonts w:ascii="TT Norms Pro"/>
                <w:b/>
                <w:spacing w:val="-8"/>
                <w:sz w:val="14"/>
              </w:rPr>
              <w:t> </w:t>
            </w:r>
            <w:r>
              <w:rPr>
                <w:rFonts w:ascii="TT Norms Pro"/>
                <w:b/>
                <w:sz w:val="14"/>
              </w:rPr>
              <w:t>DOMESTIC</w:t>
            </w:r>
            <w:r>
              <w:rPr>
                <w:rFonts w:ascii="TT Norms Pro"/>
                <w:b/>
                <w:spacing w:val="40"/>
                <w:sz w:val="14"/>
              </w:rPr>
              <w:t> </w:t>
            </w:r>
            <w:r>
              <w:rPr>
                <w:rFonts w:ascii="TT Norms Pro"/>
                <w:b/>
                <w:spacing w:val="-2"/>
                <w:sz w:val="14"/>
              </w:rPr>
              <w:t>UNDERGRADUATES</w:t>
            </w:r>
          </w:p>
        </w:tc>
        <w:tc>
          <w:tcPr>
            <w:tcW w:w="981" w:type="dxa"/>
            <w:tcBorders>
              <w:top w:val="single" w:sz="8" w:space="0" w:color="000000"/>
              <w:bottom w:val="single" w:sz="4" w:space="0" w:color="000000"/>
            </w:tcBorders>
          </w:tcPr>
          <w:p>
            <w:pPr>
              <w:pStyle w:val="TableParagraph"/>
              <w:spacing w:before="56"/>
              <w:ind w:left="156"/>
              <w:jc w:val="center"/>
              <w:rPr>
                <w:rFonts w:ascii="TT Norms Pro"/>
                <w:b/>
                <w:sz w:val="14"/>
              </w:rPr>
            </w:pPr>
            <w:r>
              <w:rPr>
                <w:rFonts w:ascii="TT Norms Pro"/>
                <w:b/>
                <w:spacing w:val="-4"/>
                <w:sz w:val="14"/>
              </w:rPr>
              <w:t>2019</w:t>
            </w:r>
          </w:p>
        </w:tc>
        <w:tc>
          <w:tcPr>
            <w:tcW w:w="809" w:type="dxa"/>
            <w:tcBorders>
              <w:top w:val="single" w:sz="8" w:space="0" w:color="000000"/>
              <w:bottom w:val="single" w:sz="4" w:space="0" w:color="000000"/>
            </w:tcBorders>
          </w:tcPr>
          <w:p>
            <w:pPr>
              <w:pStyle w:val="TableParagraph"/>
              <w:spacing w:before="56"/>
              <w:ind w:left="44" w:right="12"/>
              <w:jc w:val="center"/>
              <w:rPr>
                <w:rFonts w:ascii="TT Norms Pro"/>
                <w:b/>
                <w:sz w:val="14"/>
              </w:rPr>
            </w:pPr>
            <w:r>
              <w:rPr>
                <w:rFonts w:ascii="TT Norms Pro"/>
                <w:b/>
                <w:spacing w:val="-4"/>
                <w:sz w:val="14"/>
              </w:rPr>
              <w:t>2020</w:t>
            </w:r>
          </w:p>
        </w:tc>
        <w:tc>
          <w:tcPr>
            <w:tcW w:w="843" w:type="dxa"/>
            <w:tcBorders>
              <w:top w:val="single" w:sz="8" w:space="0" w:color="000000"/>
              <w:bottom w:val="single" w:sz="4" w:space="0" w:color="000000"/>
            </w:tcBorders>
          </w:tcPr>
          <w:p>
            <w:pPr>
              <w:pStyle w:val="TableParagraph"/>
              <w:spacing w:before="56"/>
              <w:ind w:left="412"/>
              <w:rPr>
                <w:rFonts w:ascii="TT Norms Pro"/>
                <w:b/>
                <w:sz w:val="14"/>
              </w:rPr>
            </w:pPr>
            <w:r>
              <w:rPr>
                <w:rFonts w:ascii="TT Norms Pro"/>
                <w:b/>
                <w:spacing w:val="-4"/>
                <w:sz w:val="14"/>
              </w:rPr>
              <w:t>2020</w:t>
            </w:r>
          </w:p>
          <w:p>
            <w:pPr>
              <w:pStyle w:val="TableParagraph"/>
              <w:spacing w:before="36"/>
              <w:ind w:left="190"/>
              <w:rPr>
                <w:rFonts w:ascii="TT Norms Pro"/>
                <w:b/>
                <w:sz w:val="14"/>
              </w:rPr>
            </w:pPr>
            <w:r>
              <w:rPr>
                <w:rFonts w:ascii="TT Norms Pro"/>
                <w:b/>
                <w:spacing w:val="-2"/>
                <w:sz w:val="14"/>
              </w:rPr>
              <w:t>TARGET</w:t>
            </w:r>
          </w:p>
        </w:tc>
      </w:tr>
      <w:tr>
        <w:trPr>
          <w:trHeight w:val="391" w:hRule="atLeast"/>
        </w:trPr>
        <w:tc>
          <w:tcPr>
            <w:tcW w:w="1991" w:type="dxa"/>
            <w:tcBorders>
              <w:top w:val="single" w:sz="4" w:space="0" w:color="000000"/>
            </w:tcBorders>
            <w:shd w:val="clear" w:color="auto" w:fill="E6E7E8"/>
          </w:tcPr>
          <w:p>
            <w:pPr>
              <w:pStyle w:val="TableParagraph"/>
              <w:spacing w:before="120"/>
              <w:ind w:left="56"/>
              <w:rPr>
                <w:rFonts w:ascii="TT Norms Pro Light"/>
                <w:b w:val="0"/>
                <w:sz w:val="14"/>
              </w:rPr>
            </w:pPr>
            <w:r>
              <w:rPr>
                <w:rFonts w:ascii="TT Norms Pro Light"/>
                <w:b w:val="0"/>
                <w:spacing w:val="-5"/>
                <w:sz w:val="14"/>
              </w:rPr>
              <w:t>UWA</w:t>
            </w:r>
          </w:p>
        </w:tc>
        <w:tc>
          <w:tcPr>
            <w:tcW w:w="981" w:type="dxa"/>
            <w:tcBorders>
              <w:top w:val="single" w:sz="4" w:space="0" w:color="000000"/>
            </w:tcBorders>
            <w:shd w:val="clear" w:color="auto" w:fill="E6E7E8"/>
          </w:tcPr>
          <w:p>
            <w:pPr>
              <w:pStyle w:val="TableParagraph"/>
              <w:spacing w:before="120"/>
              <w:ind w:left="156" w:right="21"/>
              <w:jc w:val="center"/>
              <w:rPr>
                <w:rFonts w:ascii="TT Norms Pro Light"/>
                <w:b w:val="0"/>
                <w:sz w:val="14"/>
              </w:rPr>
            </w:pPr>
            <w:r>
              <w:rPr>
                <w:rFonts w:ascii="TT Norms Pro Light"/>
                <w:b w:val="0"/>
                <w:spacing w:val="-2"/>
                <w:sz w:val="14"/>
              </w:rPr>
              <w:t>86.4%</w:t>
            </w:r>
          </w:p>
        </w:tc>
        <w:tc>
          <w:tcPr>
            <w:tcW w:w="809" w:type="dxa"/>
            <w:tcBorders>
              <w:top w:val="single" w:sz="4" w:space="0" w:color="000000"/>
            </w:tcBorders>
            <w:shd w:val="clear" w:color="auto" w:fill="E6E7E8"/>
          </w:tcPr>
          <w:p>
            <w:pPr>
              <w:pStyle w:val="TableParagraph"/>
              <w:spacing w:before="120"/>
              <w:ind w:left="44"/>
              <w:jc w:val="center"/>
              <w:rPr>
                <w:rFonts w:ascii="TT Norms Pro Light"/>
                <w:b w:val="0"/>
                <w:sz w:val="14"/>
              </w:rPr>
            </w:pPr>
            <w:r>
              <w:rPr>
                <w:rFonts w:ascii="TT Norms Pro Light"/>
                <w:b w:val="0"/>
                <w:spacing w:val="-2"/>
                <w:sz w:val="14"/>
              </w:rPr>
              <w:t>85.8%</w:t>
            </w:r>
          </w:p>
        </w:tc>
        <w:tc>
          <w:tcPr>
            <w:tcW w:w="843" w:type="dxa"/>
            <w:tcBorders>
              <w:top w:val="single" w:sz="4" w:space="0" w:color="000000"/>
            </w:tcBorders>
            <w:shd w:val="clear" w:color="auto" w:fill="E6E7E8"/>
          </w:tcPr>
          <w:p>
            <w:pPr>
              <w:pStyle w:val="TableParagraph"/>
              <w:spacing w:before="120"/>
              <w:ind w:left="397"/>
              <w:rPr>
                <w:rFonts w:ascii="TT Norms Pro Light"/>
                <w:b w:val="0"/>
                <w:sz w:val="14"/>
              </w:rPr>
            </w:pPr>
            <w:r>
              <w:rPr>
                <w:rFonts w:ascii="TT Norms Pro Light"/>
                <w:b w:val="0"/>
                <w:spacing w:val="-2"/>
                <w:sz w:val="14"/>
              </w:rPr>
              <w:t>88.0%</w:t>
            </w:r>
          </w:p>
        </w:tc>
      </w:tr>
    </w:tbl>
    <w:p>
      <w:pPr>
        <w:pStyle w:val="BodyText"/>
        <w:spacing w:before="13"/>
        <w:rPr>
          <w:b w:val="0"/>
        </w:rPr>
      </w:pPr>
    </w:p>
    <w:p>
      <w:pPr>
        <w:spacing w:before="0"/>
        <w:ind w:left="213" w:right="0" w:firstLine="0"/>
        <w:jc w:val="left"/>
        <w:rPr>
          <w:rFonts w:ascii="TT Norms Pro Light"/>
          <w:b w:val="0"/>
          <w:sz w:val="14"/>
        </w:rPr>
      </w:pPr>
      <w:r>
        <w:rPr>
          <w:rFonts w:ascii="TT Norms Pro"/>
          <w:b/>
          <w:sz w:val="14"/>
        </w:rPr>
        <w:t>Data</w:t>
      </w:r>
      <w:r>
        <w:rPr>
          <w:rFonts w:ascii="TT Norms Pro"/>
          <w:b/>
          <w:spacing w:val="9"/>
          <w:sz w:val="14"/>
        </w:rPr>
        <w:t> </w:t>
      </w:r>
      <w:r>
        <w:rPr>
          <w:rFonts w:ascii="TT Norms Pro"/>
          <w:b/>
          <w:sz w:val="14"/>
        </w:rPr>
        <w:t>source:</w:t>
      </w:r>
      <w:r>
        <w:rPr>
          <w:rFonts w:ascii="TT Norms Pro"/>
          <w:b/>
          <w:spacing w:val="9"/>
          <w:sz w:val="14"/>
        </w:rPr>
        <w:t> </w:t>
      </w:r>
      <w:r>
        <w:rPr>
          <w:rFonts w:ascii="TT Norms Pro Light"/>
          <w:b w:val="0"/>
          <w:sz w:val="14"/>
        </w:rPr>
        <w:t>Internal</w:t>
      </w:r>
      <w:r>
        <w:rPr>
          <w:rFonts w:ascii="TT Norms Pro Light"/>
          <w:b w:val="0"/>
          <w:spacing w:val="11"/>
          <w:sz w:val="14"/>
        </w:rPr>
        <w:t> </w:t>
      </w:r>
      <w:r>
        <w:rPr>
          <w:rFonts w:ascii="TT Norms Pro Light"/>
          <w:b w:val="0"/>
          <w:sz w:val="14"/>
        </w:rPr>
        <w:t>management</w:t>
      </w:r>
      <w:r>
        <w:rPr>
          <w:rFonts w:ascii="TT Norms Pro Light"/>
          <w:b w:val="0"/>
          <w:spacing w:val="11"/>
          <w:sz w:val="14"/>
        </w:rPr>
        <w:t> </w:t>
      </w:r>
      <w:r>
        <w:rPr>
          <w:rFonts w:ascii="TT Norms Pro Light"/>
          <w:b w:val="0"/>
          <w:sz w:val="14"/>
        </w:rPr>
        <w:t>reporting</w:t>
      </w:r>
      <w:r>
        <w:rPr>
          <w:rFonts w:ascii="TT Norms Pro Light"/>
          <w:b w:val="0"/>
          <w:spacing w:val="11"/>
          <w:sz w:val="14"/>
        </w:rPr>
        <w:t> </w:t>
      </w:r>
      <w:r>
        <w:rPr>
          <w:rFonts w:ascii="TT Norms Pro Light"/>
          <w:b w:val="0"/>
          <w:sz w:val="14"/>
        </w:rPr>
        <w:t>data</w:t>
      </w:r>
      <w:r>
        <w:rPr>
          <w:rFonts w:ascii="TT Norms Pro Light"/>
          <w:b w:val="0"/>
          <w:spacing w:val="12"/>
          <w:sz w:val="14"/>
        </w:rPr>
        <w:t> </w:t>
      </w:r>
      <w:r>
        <w:rPr>
          <w:rFonts w:ascii="TT Norms Pro Light"/>
          <w:b w:val="0"/>
          <w:spacing w:val="-2"/>
          <w:sz w:val="14"/>
        </w:rPr>
        <w:t>source.</w:t>
      </w:r>
    </w:p>
    <w:p>
      <w:pPr>
        <w:spacing w:line="264" w:lineRule="auto" w:before="130"/>
        <w:ind w:left="213" w:right="1790" w:firstLine="0"/>
        <w:jc w:val="left"/>
        <w:rPr>
          <w:rFonts w:ascii="TT Norms Pro Light"/>
          <w:b w:val="0"/>
          <w:sz w:val="14"/>
        </w:rPr>
      </w:pPr>
      <w:r>
        <w:rPr>
          <w:rFonts w:ascii="TT Norms Pro"/>
          <w:b/>
          <w:sz w:val="14"/>
        </w:rPr>
        <w:t>Notes: </w:t>
      </w:r>
      <w:r>
        <w:rPr>
          <w:rFonts w:ascii="TT Norms Pro Light"/>
          <w:b w:val="0"/>
          <w:sz w:val="14"/>
        </w:rPr>
        <w:t>This indicator was included in the 2019 Annual Report.</w:t>
      </w:r>
      <w:r>
        <w:rPr>
          <w:rFonts w:ascii="TT Norms Pro Light"/>
          <w:b w:val="0"/>
          <w:spacing w:val="40"/>
          <w:sz w:val="14"/>
        </w:rPr>
        <w:t> </w:t>
      </w:r>
      <w:r>
        <w:rPr>
          <w:rFonts w:ascii="TT Norms Pro Light"/>
          <w:b w:val="0"/>
          <w:sz w:val="14"/>
        </w:rPr>
        <w:t>The methodology is consistent with the New Normal Retention</w:t>
      </w:r>
    </w:p>
    <w:p>
      <w:pPr>
        <w:spacing w:line="264" w:lineRule="auto" w:before="0"/>
        <w:ind w:left="213" w:right="1137" w:firstLine="0"/>
        <w:jc w:val="left"/>
        <w:rPr>
          <w:rFonts w:ascii="TT Norms Pro Light"/>
          <w:b w:val="0"/>
          <w:sz w:val="14"/>
        </w:rPr>
      </w:pPr>
      <w:r>
        <w:rPr>
          <w:rFonts w:ascii="TT Norms Pro Light"/>
          <w:b w:val="0"/>
          <w:sz w:val="14"/>
        </w:rPr>
        <w:t>Rate calculated by the Federal Department of Education, Skills and</w:t>
      </w:r>
      <w:r>
        <w:rPr>
          <w:rFonts w:ascii="TT Norms Pro Light"/>
          <w:b w:val="0"/>
          <w:spacing w:val="40"/>
          <w:sz w:val="14"/>
        </w:rPr>
        <w:t> </w:t>
      </w:r>
      <w:r>
        <w:rPr>
          <w:rFonts w:ascii="TT Norms Pro Light"/>
          <w:b w:val="0"/>
          <w:sz w:val="14"/>
        </w:rPr>
        <w:t>Employment. This retention rate is defined as the proportion of domestic</w:t>
      </w:r>
      <w:r>
        <w:rPr>
          <w:rFonts w:ascii="TT Norms Pro Light"/>
          <w:b w:val="0"/>
          <w:spacing w:val="40"/>
          <w:sz w:val="14"/>
        </w:rPr>
        <w:t> </w:t>
      </w:r>
      <w:r>
        <w:rPr>
          <w:rFonts w:ascii="TT Norms Pro Light"/>
          <w:b w:val="0"/>
          <w:sz w:val="14"/>
        </w:rPr>
        <w:t>students who commenced a bachelor degree in the given year that</w:t>
      </w:r>
      <w:r>
        <w:rPr>
          <w:rFonts w:ascii="TT Norms Pro Light"/>
          <w:b w:val="0"/>
          <w:spacing w:val="40"/>
          <w:sz w:val="14"/>
        </w:rPr>
        <w:t> </w:t>
      </w:r>
      <w:r>
        <w:rPr>
          <w:rFonts w:ascii="TT Norms Pro Light"/>
          <w:b w:val="0"/>
          <w:sz w:val="14"/>
        </w:rPr>
        <w:t>returned</w:t>
      </w:r>
      <w:r>
        <w:rPr>
          <w:rFonts w:ascii="TT Norms Pro Light"/>
          <w:b w:val="0"/>
          <w:spacing w:val="18"/>
          <w:sz w:val="14"/>
        </w:rPr>
        <w:t> </w:t>
      </w:r>
      <w:r>
        <w:rPr>
          <w:rFonts w:ascii="TT Norms Pro Light"/>
          <w:b w:val="0"/>
          <w:sz w:val="14"/>
        </w:rPr>
        <w:t>in</w:t>
      </w:r>
      <w:r>
        <w:rPr>
          <w:rFonts w:ascii="TT Norms Pro Light"/>
          <w:b w:val="0"/>
          <w:spacing w:val="18"/>
          <w:sz w:val="14"/>
        </w:rPr>
        <w:t> </w:t>
      </w:r>
      <w:r>
        <w:rPr>
          <w:rFonts w:ascii="TT Norms Pro Light"/>
          <w:b w:val="0"/>
          <w:sz w:val="14"/>
        </w:rPr>
        <w:t>the</w:t>
      </w:r>
      <w:r>
        <w:rPr>
          <w:rFonts w:ascii="TT Norms Pro Light"/>
          <w:b w:val="0"/>
          <w:spacing w:val="18"/>
          <w:sz w:val="14"/>
        </w:rPr>
        <w:t> </w:t>
      </w:r>
      <w:r>
        <w:rPr>
          <w:rFonts w:ascii="TT Norms Pro Light"/>
          <w:b w:val="0"/>
          <w:sz w:val="14"/>
        </w:rPr>
        <w:t>following</w:t>
      </w:r>
      <w:r>
        <w:rPr>
          <w:rFonts w:ascii="TT Norms Pro Light"/>
          <w:b w:val="0"/>
          <w:spacing w:val="18"/>
          <w:sz w:val="14"/>
        </w:rPr>
        <w:t> </w:t>
      </w:r>
      <w:r>
        <w:rPr>
          <w:rFonts w:ascii="TT Norms Pro Light"/>
          <w:b w:val="0"/>
          <w:sz w:val="14"/>
        </w:rPr>
        <w:t>year</w:t>
      </w:r>
      <w:r>
        <w:rPr>
          <w:rFonts w:ascii="TT Norms Pro Light"/>
          <w:b w:val="0"/>
          <w:spacing w:val="18"/>
          <w:sz w:val="14"/>
        </w:rPr>
        <w:t> </w:t>
      </w:r>
      <w:r>
        <w:rPr>
          <w:rFonts w:ascii="TT Norms Pro Light"/>
          <w:b w:val="0"/>
          <w:sz w:val="14"/>
        </w:rPr>
        <w:t>at</w:t>
      </w:r>
      <w:r>
        <w:rPr>
          <w:rFonts w:ascii="TT Norms Pro Light"/>
          <w:b w:val="0"/>
          <w:spacing w:val="18"/>
          <w:sz w:val="14"/>
        </w:rPr>
        <w:t> </w:t>
      </w:r>
      <w:r>
        <w:rPr>
          <w:rFonts w:ascii="TT Norms Pro Light"/>
          <w:b w:val="0"/>
          <w:sz w:val="14"/>
        </w:rPr>
        <w:t>the</w:t>
      </w:r>
      <w:r>
        <w:rPr>
          <w:rFonts w:ascii="TT Norms Pro Light"/>
          <w:b w:val="0"/>
          <w:spacing w:val="18"/>
          <w:sz w:val="14"/>
        </w:rPr>
        <w:t> </w:t>
      </w:r>
      <w:r>
        <w:rPr>
          <w:rFonts w:ascii="TT Norms Pro Light"/>
          <w:b w:val="0"/>
          <w:sz w:val="14"/>
        </w:rPr>
        <w:t>same</w:t>
      </w:r>
      <w:r>
        <w:rPr>
          <w:rFonts w:ascii="TT Norms Pro Light"/>
          <w:b w:val="0"/>
          <w:spacing w:val="18"/>
          <w:sz w:val="14"/>
        </w:rPr>
        <w:t> </w:t>
      </w:r>
      <w:r>
        <w:rPr>
          <w:rFonts w:ascii="TT Norms Pro Light"/>
          <w:b w:val="0"/>
          <w:sz w:val="14"/>
        </w:rPr>
        <w:t>course</w:t>
      </w:r>
      <w:r>
        <w:rPr>
          <w:rFonts w:ascii="TT Norms Pro Light"/>
          <w:b w:val="0"/>
          <w:spacing w:val="18"/>
          <w:sz w:val="14"/>
        </w:rPr>
        <w:t> </w:t>
      </w:r>
      <w:r>
        <w:rPr>
          <w:rFonts w:ascii="TT Norms Pro Light"/>
          <w:b w:val="0"/>
          <w:sz w:val="14"/>
        </w:rPr>
        <w:t>and/or</w:t>
      </w:r>
      <w:r>
        <w:rPr>
          <w:rFonts w:ascii="TT Norms Pro Light"/>
          <w:b w:val="0"/>
          <w:spacing w:val="18"/>
          <w:sz w:val="14"/>
        </w:rPr>
        <w:t> </w:t>
      </w:r>
      <w:r>
        <w:rPr>
          <w:rFonts w:ascii="TT Norms Pro Light"/>
          <w:b w:val="0"/>
          <w:sz w:val="14"/>
        </w:rPr>
        <w:t>institution.</w:t>
      </w:r>
      <w:r>
        <w:rPr>
          <w:rFonts w:ascii="TT Norms Pro Light"/>
          <w:b w:val="0"/>
          <w:spacing w:val="18"/>
          <w:sz w:val="14"/>
        </w:rPr>
        <w:t> </w:t>
      </w:r>
      <w:r>
        <w:rPr>
          <w:rFonts w:ascii="TT Norms Pro Light"/>
          <w:b w:val="0"/>
          <w:sz w:val="14"/>
        </w:rPr>
        <w:t>Due</w:t>
      </w:r>
      <w:r>
        <w:rPr>
          <w:rFonts w:ascii="TT Norms Pro Light"/>
          <w:b w:val="0"/>
          <w:spacing w:val="40"/>
          <w:sz w:val="14"/>
        </w:rPr>
        <w:t> </w:t>
      </w:r>
      <w:r>
        <w:rPr>
          <w:rFonts w:ascii="TT Norms Pro Light"/>
          <w:b w:val="0"/>
          <w:sz w:val="14"/>
        </w:rPr>
        <w:t>to lags in data reporting, the year disclosed is the retention result for the</w:t>
      </w:r>
      <w:r>
        <w:rPr>
          <w:rFonts w:ascii="TT Norms Pro Light"/>
          <w:b w:val="0"/>
          <w:spacing w:val="40"/>
          <w:sz w:val="14"/>
        </w:rPr>
        <w:t> </w:t>
      </w:r>
      <w:r>
        <w:rPr>
          <w:rFonts w:ascii="TT Norms Pro Light"/>
          <w:b w:val="0"/>
          <w:sz w:val="14"/>
        </w:rPr>
        <w:t>cohort in the previous year (i.e. the retention result reported in 2020 refers</w:t>
      </w:r>
      <w:r>
        <w:rPr>
          <w:rFonts w:ascii="TT Norms Pro Light"/>
          <w:b w:val="0"/>
          <w:spacing w:val="40"/>
          <w:sz w:val="14"/>
        </w:rPr>
        <w:t> </w:t>
      </w:r>
      <w:r>
        <w:rPr>
          <w:rFonts w:ascii="TT Norms Pro Light"/>
          <w:b w:val="0"/>
          <w:sz w:val="14"/>
        </w:rPr>
        <w:t>to the 2019 cohort).</w:t>
      </w:r>
    </w:p>
    <w:p>
      <w:pPr>
        <w:spacing w:after="0" w:line="264" w:lineRule="auto"/>
        <w:jc w:val="left"/>
        <w:rPr>
          <w:rFonts w:ascii="TT Norms Pro Light"/>
          <w:sz w:val="14"/>
        </w:rPr>
        <w:sectPr>
          <w:pgSz w:w="11910" w:h="16840"/>
          <w:pgMar w:header="468" w:footer="0" w:top="680" w:bottom="280" w:left="920" w:right="0"/>
          <w:cols w:num="2" w:equalWidth="0">
            <w:col w:w="4875" w:space="142"/>
            <w:col w:w="5973"/>
          </w:cols>
        </w:sectPr>
      </w:pPr>
    </w:p>
    <w:p>
      <w:pPr>
        <w:pStyle w:val="BodyText"/>
        <w:spacing w:before="26"/>
        <w:rPr>
          <w:b w:val="0"/>
          <w:sz w:val="20"/>
        </w:rPr>
      </w:pPr>
    </w:p>
    <w:p>
      <w:pPr>
        <w:spacing w:after="0"/>
        <w:rPr>
          <w:sz w:val="20"/>
        </w:rPr>
        <w:sectPr>
          <w:pgSz w:w="11910" w:h="16840"/>
          <w:pgMar w:header="468" w:footer="0" w:top="720" w:bottom="280" w:left="920" w:right="0"/>
        </w:sectPr>
      </w:pPr>
    </w:p>
    <w:p>
      <w:pPr>
        <w:pStyle w:val="BodyText"/>
        <w:spacing w:before="122"/>
        <w:ind w:left="206"/>
        <w:rPr>
          <w:b w:val="0"/>
        </w:rPr>
      </w:pPr>
      <w:r>
        <w:rPr>
          <w:b w:val="0"/>
        </w:rPr>
        <w:t>Education</w:t>
      </w:r>
      <w:r>
        <w:rPr>
          <w:b w:val="0"/>
          <w:spacing w:val="2"/>
        </w:rPr>
        <w:t> </w:t>
      </w:r>
      <w:r>
        <w:rPr>
          <w:b w:val="0"/>
          <w:spacing w:val="-2"/>
        </w:rPr>
        <w:t>(continued)</w:t>
      </w:r>
    </w:p>
    <w:p>
      <w:pPr>
        <w:pStyle w:val="Heading9"/>
        <w:numPr>
          <w:ilvl w:val="1"/>
          <w:numId w:val="9"/>
        </w:numPr>
        <w:tabs>
          <w:tab w:pos="561" w:val="left" w:leader="none"/>
        </w:tabs>
        <w:spacing w:line="240" w:lineRule="auto" w:before="125" w:after="0"/>
        <w:ind w:left="561" w:right="0" w:hanging="348"/>
        <w:jc w:val="left"/>
      </w:pPr>
      <w:r>
        <w:rPr>
          <w:spacing w:val="-2"/>
        </w:rPr>
        <w:t>PARTICIPATION</w:t>
      </w:r>
    </w:p>
    <w:p>
      <w:pPr>
        <w:pStyle w:val="BodyText"/>
        <w:spacing w:line="295" w:lineRule="auto" w:before="153"/>
        <w:ind w:left="213" w:right="75"/>
        <w:rPr>
          <w:b w:val="0"/>
        </w:rPr>
      </w:pPr>
      <w:r>
        <w:rPr>
          <w:b w:val="0"/>
        </w:rPr>
        <w:t>UWA recognises the importance of creating an</w:t>
      </w:r>
      <w:r>
        <w:rPr>
          <w:b w:val="0"/>
          <w:spacing w:val="40"/>
        </w:rPr>
        <w:t> </w:t>
      </w:r>
      <w:r>
        <w:rPr>
          <w:b w:val="0"/>
        </w:rPr>
        <w:t>environment that supports achieving a more diverse</w:t>
      </w:r>
      <w:r>
        <w:rPr>
          <w:b w:val="0"/>
          <w:spacing w:val="40"/>
        </w:rPr>
        <w:t> </w:t>
      </w:r>
      <w:r>
        <w:rPr>
          <w:b w:val="0"/>
        </w:rPr>
        <w:t>student population. The participation rate allows for the</w:t>
      </w:r>
      <w:r>
        <w:rPr>
          <w:b w:val="0"/>
          <w:spacing w:val="40"/>
        </w:rPr>
        <w:t> </w:t>
      </w:r>
      <w:r>
        <w:rPr>
          <w:b w:val="0"/>
        </w:rPr>
        <w:t>monitoring</w:t>
      </w:r>
      <w:r>
        <w:rPr>
          <w:b w:val="0"/>
          <w:spacing w:val="-2"/>
        </w:rPr>
        <w:t> </w:t>
      </w:r>
      <w:r>
        <w:rPr>
          <w:b w:val="0"/>
        </w:rPr>
        <w:t>of</w:t>
      </w:r>
      <w:r>
        <w:rPr>
          <w:b w:val="0"/>
          <w:spacing w:val="-2"/>
        </w:rPr>
        <w:t> </w:t>
      </w:r>
      <w:r>
        <w:rPr>
          <w:b w:val="0"/>
        </w:rPr>
        <w:t>UWA’s</w:t>
      </w:r>
      <w:r>
        <w:rPr>
          <w:b w:val="0"/>
          <w:spacing w:val="-2"/>
        </w:rPr>
        <w:t> </w:t>
      </w:r>
      <w:r>
        <w:rPr>
          <w:b w:val="0"/>
        </w:rPr>
        <w:t>ability</w:t>
      </w:r>
      <w:r>
        <w:rPr>
          <w:b w:val="0"/>
          <w:spacing w:val="-2"/>
        </w:rPr>
        <w:t> </w:t>
      </w:r>
      <w:r>
        <w:rPr>
          <w:b w:val="0"/>
        </w:rPr>
        <w:t>to</w:t>
      </w:r>
      <w:r>
        <w:rPr>
          <w:b w:val="0"/>
          <w:spacing w:val="-2"/>
        </w:rPr>
        <w:t> </w:t>
      </w:r>
      <w:r>
        <w:rPr>
          <w:b w:val="0"/>
        </w:rPr>
        <w:t>attract,</w:t>
      </w:r>
      <w:r>
        <w:rPr>
          <w:b w:val="0"/>
          <w:spacing w:val="-2"/>
        </w:rPr>
        <w:t> </w:t>
      </w:r>
      <w:r>
        <w:rPr>
          <w:b w:val="0"/>
        </w:rPr>
        <w:t>retain,</w:t>
      </w:r>
      <w:r>
        <w:rPr>
          <w:b w:val="0"/>
          <w:spacing w:val="-2"/>
        </w:rPr>
        <w:t> </w:t>
      </w:r>
      <w:r>
        <w:rPr>
          <w:b w:val="0"/>
        </w:rPr>
        <w:t>progress</w:t>
      </w:r>
      <w:r>
        <w:rPr>
          <w:b w:val="0"/>
          <w:spacing w:val="-2"/>
        </w:rPr>
        <w:t> </w:t>
      </w:r>
      <w:r>
        <w:rPr>
          <w:b w:val="0"/>
        </w:rPr>
        <w:t>and</w:t>
      </w:r>
      <w:r>
        <w:rPr>
          <w:b w:val="0"/>
          <w:spacing w:val="40"/>
        </w:rPr>
        <w:t> </w:t>
      </w:r>
      <w:r>
        <w:rPr>
          <w:b w:val="0"/>
        </w:rPr>
        <w:t>support students from designated equity groups: low</w:t>
      </w:r>
      <w:r>
        <w:rPr>
          <w:b w:val="0"/>
          <w:spacing w:val="40"/>
        </w:rPr>
        <w:t> </w:t>
      </w:r>
      <w:r>
        <w:rPr>
          <w:b w:val="0"/>
        </w:rPr>
        <w:t>socio-economic status (SES) students, students from a</w:t>
      </w:r>
      <w:r>
        <w:rPr>
          <w:b w:val="0"/>
          <w:spacing w:val="40"/>
        </w:rPr>
        <w:t> </w:t>
      </w:r>
      <w:r>
        <w:rPr>
          <w:b w:val="0"/>
        </w:rPr>
        <w:t>non-English speaking background (NESB), Indigenous</w:t>
      </w:r>
      <w:r>
        <w:rPr>
          <w:b w:val="0"/>
          <w:spacing w:val="40"/>
        </w:rPr>
        <w:t> </w:t>
      </w:r>
      <w:r>
        <w:rPr>
          <w:b w:val="0"/>
        </w:rPr>
        <w:t>students, students with disabilities, and students from</w:t>
      </w:r>
      <w:r>
        <w:rPr>
          <w:b w:val="0"/>
          <w:spacing w:val="40"/>
        </w:rPr>
        <w:t> </w:t>
      </w:r>
      <w:r>
        <w:rPr>
          <w:b w:val="0"/>
        </w:rPr>
        <w:t>regional and remote locations.</w:t>
      </w:r>
    </w:p>
    <w:p>
      <w:pPr>
        <w:pStyle w:val="BodyText"/>
        <w:spacing w:before="24"/>
        <w:rPr>
          <w:b w:val="0"/>
        </w:rPr>
      </w:pPr>
    </w:p>
    <w:p>
      <w:pPr>
        <w:pStyle w:val="BodyText"/>
        <w:spacing w:line="295" w:lineRule="auto" w:before="1"/>
        <w:ind w:left="213" w:right="95"/>
        <w:rPr>
          <w:b w:val="0"/>
        </w:rPr>
      </w:pPr>
      <w:r>
        <w:rPr>
          <w:b w:val="0"/>
        </w:rPr>
        <w:t>Equity</w:t>
      </w:r>
      <w:r>
        <w:rPr>
          <w:b w:val="0"/>
          <w:spacing w:val="-2"/>
        </w:rPr>
        <w:t> </w:t>
      </w:r>
      <w:r>
        <w:rPr>
          <w:b w:val="0"/>
        </w:rPr>
        <w:t>is</w:t>
      </w:r>
      <w:r>
        <w:rPr>
          <w:b w:val="0"/>
          <w:spacing w:val="-2"/>
        </w:rPr>
        <w:t> </w:t>
      </w:r>
      <w:r>
        <w:rPr>
          <w:b w:val="0"/>
        </w:rPr>
        <w:t>one</w:t>
      </w:r>
      <w:r>
        <w:rPr>
          <w:b w:val="0"/>
          <w:spacing w:val="-2"/>
        </w:rPr>
        <w:t> </w:t>
      </w:r>
      <w:r>
        <w:rPr>
          <w:b w:val="0"/>
        </w:rPr>
        <w:t>of</w:t>
      </w:r>
      <w:r>
        <w:rPr>
          <w:b w:val="0"/>
          <w:spacing w:val="-2"/>
        </w:rPr>
        <w:t> </w:t>
      </w:r>
      <w:r>
        <w:rPr>
          <w:b w:val="0"/>
        </w:rPr>
        <w:t>UWA's</w:t>
      </w:r>
      <w:r>
        <w:rPr>
          <w:b w:val="0"/>
          <w:spacing w:val="-2"/>
        </w:rPr>
        <w:t> </w:t>
      </w:r>
      <w:r>
        <w:rPr>
          <w:b w:val="0"/>
        </w:rPr>
        <w:t>core</w:t>
      </w:r>
      <w:r>
        <w:rPr>
          <w:b w:val="0"/>
          <w:spacing w:val="-2"/>
        </w:rPr>
        <w:t> </w:t>
      </w:r>
      <w:r>
        <w:rPr>
          <w:b w:val="0"/>
        </w:rPr>
        <w:t>values.</w:t>
      </w:r>
      <w:r>
        <w:rPr>
          <w:b w:val="0"/>
          <w:spacing w:val="-2"/>
        </w:rPr>
        <w:t> </w:t>
      </w:r>
      <w:r>
        <w:rPr>
          <w:b w:val="0"/>
        </w:rPr>
        <w:t>Participation</w:t>
      </w:r>
      <w:r>
        <w:rPr>
          <w:b w:val="0"/>
          <w:spacing w:val="-2"/>
        </w:rPr>
        <w:t> </w:t>
      </w:r>
      <w:r>
        <w:rPr>
          <w:b w:val="0"/>
        </w:rPr>
        <w:t>rates</w:t>
      </w:r>
      <w:r>
        <w:rPr>
          <w:b w:val="0"/>
          <w:spacing w:val="40"/>
        </w:rPr>
        <w:t> </w:t>
      </w:r>
      <w:r>
        <w:rPr>
          <w:b w:val="0"/>
        </w:rPr>
        <w:t>from these equity groups provide an indicator of the</w:t>
      </w:r>
      <w:r>
        <w:rPr>
          <w:b w:val="0"/>
          <w:spacing w:val="40"/>
        </w:rPr>
        <w:t> </w:t>
      </w:r>
      <w:r>
        <w:rPr>
          <w:b w:val="0"/>
        </w:rPr>
        <w:t>University's effectiveness in achieving diversity and</w:t>
      </w:r>
      <w:r>
        <w:rPr>
          <w:b w:val="0"/>
          <w:spacing w:val="40"/>
        </w:rPr>
        <w:t> </w:t>
      </w:r>
      <w:r>
        <w:rPr>
          <w:b w:val="0"/>
        </w:rPr>
        <w:t>inclusion to support success.</w:t>
      </w:r>
    </w:p>
    <w:p>
      <w:pPr>
        <w:pStyle w:val="BodyText"/>
        <w:spacing w:before="19"/>
        <w:rPr>
          <w:b w:val="0"/>
        </w:rPr>
      </w:pPr>
    </w:p>
    <w:p>
      <w:pPr>
        <w:pStyle w:val="BodyText"/>
        <w:spacing w:line="295" w:lineRule="auto"/>
        <w:ind w:left="213" w:right="38"/>
        <w:rPr>
          <w:b w:val="0"/>
        </w:rPr>
      </w:pPr>
      <w:r>
        <w:rPr>
          <w:b w:val="0"/>
        </w:rPr>
        <w:t>The University has achieved its participation targets for</w:t>
      </w:r>
      <w:r>
        <w:rPr>
          <w:b w:val="0"/>
          <w:spacing w:val="40"/>
        </w:rPr>
        <w:t> </w:t>
      </w:r>
      <w:r>
        <w:rPr>
          <w:b w:val="0"/>
        </w:rPr>
        <w:t>Indigenous students and students with disabilities this</w:t>
      </w:r>
      <w:r>
        <w:rPr>
          <w:b w:val="0"/>
          <w:spacing w:val="40"/>
        </w:rPr>
        <w:t> </w:t>
      </w:r>
      <w:r>
        <w:rPr>
          <w:b w:val="0"/>
        </w:rPr>
        <w:t>year, but was not able to achieve this for other key equity</w:t>
      </w:r>
      <w:r>
        <w:rPr>
          <w:b w:val="0"/>
          <w:spacing w:val="40"/>
        </w:rPr>
        <w:t> </w:t>
      </w:r>
      <w:r>
        <w:rPr>
          <w:b w:val="0"/>
        </w:rPr>
        <w:t>groups. A number of factors impacted on achieving these</w:t>
      </w:r>
      <w:r>
        <w:rPr>
          <w:b w:val="0"/>
          <w:spacing w:val="40"/>
        </w:rPr>
        <w:t> </w:t>
      </w:r>
      <w:r>
        <w:rPr>
          <w:b w:val="0"/>
        </w:rPr>
        <w:t>targets, including the negative impacts on student-related</w:t>
      </w:r>
      <w:r>
        <w:rPr>
          <w:b w:val="0"/>
          <w:spacing w:val="40"/>
        </w:rPr>
        <w:t> </w:t>
      </w:r>
      <w:r>
        <w:rPr>
          <w:b w:val="0"/>
        </w:rPr>
        <w:t>employment due</w:t>
      </w:r>
      <w:r>
        <w:rPr>
          <w:b w:val="0"/>
          <w:spacing w:val="-1"/>
        </w:rPr>
        <w:t> </w:t>
      </w:r>
      <w:r>
        <w:rPr>
          <w:b w:val="0"/>
        </w:rPr>
        <w:t>to COVID-19, decreasing participation in</w:t>
      </w:r>
      <w:r>
        <w:rPr>
          <w:b w:val="0"/>
          <w:spacing w:val="40"/>
        </w:rPr>
        <w:t> </w:t>
      </w:r>
      <w:r>
        <w:rPr>
          <w:b w:val="0"/>
        </w:rPr>
        <w:t>the Australian Tertiary Admission Rank (ATAR) within</w:t>
      </w:r>
      <w:r>
        <w:rPr>
          <w:b w:val="0"/>
          <w:spacing w:val="40"/>
        </w:rPr>
        <w:t> </w:t>
      </w:r>
      <w:r>
        <w:rPr>
          <w:b w:val="0"/>
        </w:rPr>
        <w:t>Western Australia (and particularly in school areas of low</w:t>
      </w:r>
      <w:r>
        <w:rPr>
          <w:b w:val="0"/>
          <w:spacing w:val="40"/>
        </w:rPr>
        <w:t> </w:t>
      </w:r>
      <w:r>
        <w:rPr>
          <w:b w:val="0"/>
        </w:rPr>
        <w:t>socio-economic advantage) and increased deferments</w:t>
      </w:r>
      <w:r>
        <w:rPr>
          <w:b w:val="0"/>
          <w:spacing w:val="40"/>
        </w:rPr>
        <w:t> </w:t>
      </w:r>
      <w:r>
        <w:rPr>
          <w:b w:val="0"/>
        </w:rPr>
        <w:t>among regional and remote students.</w:t>
      </w:r>
    </w:p>
    <w:p>
      <w:pPr>
        <w:pStyle w:val="BodyText"/>
        <w:spacing w:before="25"/>
        <w:rPr>
          <w:b w:val="0"/>
        </w:rPr>
      </w:pPr>
    </w:p>
    <w:p>
      <w:pPr>
        <w:pStyle w:val="BodyText"/>
        <w:spacing w:line="295" w:lineRule="auto"/>
        <w:ind w:left="213" w:right="67"/>
        <w:rPr>
          <w:b w:val="0"/>
        </w:rPr>
      </w:pPr>
      <w:r>
        <w:rPr>
          <w:b w:val="0"/>
        </w:rPr>
        <w:t>Approaches that improve attraction, retention and</w:t>
      </w:r>
      <w:r>
        <w:rPr>
          <w:b w:val="0"/>
          <w:spacing w:val="40"/>
        </w:rPr>
        <w:t> </w:t>
      </w:r>
      <w:r>
        <w:rPr>
          <w:b w:val="0"/>
        </w:rPr>
        <w:t>engagement such as improvements in the Broadway</w:t>
      </w:r>
      <w:r>
        <w:rPr>
          <w:b w:val="0"/>
          <w:spacing w:val="40"/>
        </w:rPr>
        <w:t> </w:t>
      </w:r>
      <w:r>
        <w:rPr>
          <w:b w:val="0"/>
        </w:rPr>
        <w:t>UWA program to assist low socio-economic advantage</w:t>
      </w:r>
      <w:r>
        <w:rPr>
          <w:b w:val="0"/>
          <w:spacing w:val="40"/>
        </w:rPr>
        <w:t> </w:t>
      </w:r>
      <w:r>
        <w:rPr>
          <w:b w:val="0"/>
        </w:rPr>
        <w:t>students, new entry options, broader course offerings, the</w:t>
      </w:r>
      <w:r>
        <w:rPr>
          <w:b w:val="0"/>
          <w:spacing w:val="40"/>
        </w:rPr>
        <w:t> </w:t>
      </w:r>
      <w:r>
        <w:rPr>
          <w:b w:val="0"/>
        </w:rPr>
        <w:t>introduction of Hackett Scholarships to attract high</w:t>
      </w:r>
      <w:r>
        <w:rPr>
          <w:b w:val="0"/>
          <w:spacing w:val="40"/>
        </w:rPr>
        <w:t> </w:t>
      </w:r>
      <w:r>
        <w:rPr>
          <w:b w:val="0"/>
        </w:rPr>
        <w:t>performing students from low socio-economic advantage</w:t>
      </w:r>
      <w:r>
        <w:rPr>
          <w:b w:val="0"/>
          <w:spacing w:val="40"/>
        </w:rPr>
        <w:t> </w:t>
      </w:r>
      <w:r>
        <w:rPr>
          <w:b w:val="0"/>
        </w:rPr>
        <w:t>areas and development of a new University-wide Student</w:t>
      </w:r>
      <w:r>
        <w:rPr>
          <w:b w:val="0"/>
          <w:spacing w:val="40"/>
        </w:rPr>
        <w:t> </w:t>
      </w:r>
      <w:r>
        <w:rPr>
          <w:b w:val="0"/>
        </w:rPr>
        <w:t>Access and Participation Plan will address similar impacts</w:t>
      </w:r>
      <w:r>
        <w:rPr>
          <w:b w:val="0"/>
          <w:spacing w:val="40"/>
        </w:rPr>
        <w:t> </w:t>
      </w:r>
      <w:r>
        <w:rPr>
          <w:b w:val="0"/>
        </w:rPr>
        <w:t>among this cohort moving forward.</w:t>
      </w:r>
    </w:p>
    <w:p>
      <w:pPr>
        <w:pStyle w:val="BodyText"/>
        <w:spacing w:before="24"/>
        <w:rPr>
          <w:b w:val="0"/>
        </w:rPr>
      </w:pPr>
    </w:p>
    <w:p>
      <w:pPr>
        <w:spacing w:before="1"/>
        <w:ind w:left="213" w:right="0" w:firstLine="0"/>
        <w:jc w:val="left"/>
        <w:rPr>
          <w:rFonts w:ascii="TT Norms Pro"/>
          <w:b/>
          <w:sz w:val="18"/>
        </w:rPr>
      </w:pPr>
      <w:r>
        <w:rPr>
          <w:rFonts w:ascii="TT Norms Pro"/>
          <w:b/>
          <w:sz w:val="18"/>
        </w:rPr>
        <w:t>Participation</w:t>
      </w:r>
      <w:r>
        <w:rPr>
          <w:rFonts w:ascii="TT Norms Pro"/>
          <w:b/>
          <w:spacing w:val="14"/>
          <w:sz w:val="18"/>
        </w:rPr>
        <w:t> </w:t>
      </w:r>
      <w:r>
        <w:rPr>
          <w:rFonts w:ascii="TT Norms Pro"/>
          <w:b/>
          <w:spacing w:val="-5"/>
          <w:sz w:val="18"/>
        </w:rPr>
        <w:t>(%)</w:t>
      </w:r>
    </w:p>
    <w:p>
      <w:pPr>
        <w:spacing w:line="240" w:lineRule="auto" w:before="200"/>
        <w:rPr>
          <w:rFonts w:ascii="TT Norms Pro"/>
          <w:b/>
          <w:sz w:val="22"/>
        </w:rPr>
      </w:pPr>
      <w:r>
        <w:rPr/>
        <w:br w:type="column"/>
      </w:r>
      <w:r>
        <w:rPr>
          <w:rFonts w:ascii="TT Norms Pro"/>
          <w:b/>
          <w:sz w:val="22"/>
        </w:rPr>
      </w:r>
    </w:p>
    <w:p>
      <w:pPr>
        <w:pStyle w:val="Heading9"/>
        <w:numPr>
          <w:ilvl w:val="1"/>
          <w:numId w:val="9"/>
        </w:numPr>
        <w:tabs>
          <w:tab w:pos="555" w:val="left" w:leader="none"/>
        </w:tabs>
        <w:spacing w:line="240" w:lineRule="auto" w:before="0" w:after="0"/>
        <w:ind w:left="555" w:right="0" w:hanging="349"/>
        <w:jc w:val="left"/>
      </w:pPr>
      <w:r>
        <w:rPr/>
        <w:t>STUDENT</w:t>
      </w:r>
      <w:r>
        <w:rPr>
          <w:spacing w:val="22"/>
        </w:rPr>
        <w:t> </w:t>
      </w:r>
      <w:r>
        <w:rPr>
          <w:spacing w:val="-2"/>
        </w:rPr>
        <w:t>SATISFACTION</w:t>
      </w:r>
    </w:p>
    <w:p>
      <w:pPr>
        <w:pStyle w:val="BodyText"/>
        <w:spacing w:line="295" w:lineRule="auto" w:before="154"/>
        <w:ind w:left="206" w:right="1171"/>
        <w:rPr>
          <w:b w:val="0"/>
        </w:rPr>
      </w:pPr>
      <w:r>
        <w:rPr>
          <w:b w:val="0"/>
        </w:rPr>
        <w:t>Student perceptions of the overall student experience at</w:t>
      </w:r>
      <w:r>
        <w:rPr>
          <w:b w:val="0"/>
          <w:spacing w:val="40"/>
        </w:rPr>
        <w:t> </w:t>
      </w:r>
      <w:r>
        <w:rPr>
          <w:b w:val="0"/>
        </w:rPr>
        <w:t>UWA are critical in understanding the University’s ability</w:t>
      </w:r>
      <w:r>
        <w:rPr>
          <w:b w:val="0"/>
          <w:spacing w:val="80"/>
        </w:rPr>
        <w:t> </w:t>
      </w:r>
      <w:r>
        <w:rPr>
          <w:b w:val="0"/>
        </w:rPr>
        <w:t>to deliver quality courses, relevant pedagogy and</w:t>
      </w:r>
      <w:r>
        <w:rPr>
          <w:b w:val="0"/>
          <w:spacing w:val="40"/>
        </w:rPr>
        <w:t> </w:t>
      </w:r>
      <w:r>
        <w:rPr>
          <w:b w:val="0"/>
        </w:rPr>
        <w:t>curriculum and an enjoyable learning experience. A critical</w:t>
      </w:r>
      <w:r>
        <w:rPr>
          <w:b w:val="0"/>
          <w:spacing w:val="40"/>
        </w:rPr>
        <w:t> </w:t>
      </w:r>
      <w:r>
        <w:rPr>
          <w:b w:val="0"/>
        </w:rPr>
        <w:t>contributor to this and our UWA 2030 vision is student</w:t>
      </w:r>
      <w:r>
        <w:rPr>
          <w:b w:val="0"/>
          <w:spacing w:val="40"/>
        </w:rPr>
        <w:t> </w:t>
      </w:r>
      <w:r>
        <w:rPr>
          <w:b w:val="0"/>
        </w:rPr>
        <w:t>satisfaction with the quality of teaching. This includes the</w:t>
      </w:r>
      <w:r>
        <w:rPr>
          <w:b w:val="0"/>
          <w:spacing w:val="40"/>
        </w:rPr>
        <w:t> </w:t>
      </w:r>
      <w:r>
        <w:rPr>
          <w:b w:val="0"/>
        </w:rPr>
        <w:t>incorporation of perspectives from domestic and</w:t>
      </w:r>
      <w:r>
        <w:rPr>
          <w:b w:val="0"/>
          <w:spacing w:val="40"/>
        </w:rPr>
        <w:t> </w:t>
      </w:r>
      <w:r>
        <w:rPr>
          <w:b w:val="0"/>
        </w:rPr>
        <w:t>international students across undergraduate and</w:t>
      </w:r>
      <w:r>
        <w:rPr>
          <w:b w:val="0"/>
          <w:spacing w:val="40"/>
        </w:rPr>
        <w:t> </w:t>
      </w:r>
      <w:r>
        <w:rPr>
          <w:b w:val="0"/>
        </w:rPr>
        <w:t>postgraduate coursework degrees.</w:t>
      </w:r>
    </w:p>
    <w:p>
      <w:pPr>
        <w:pStyle w:val="BodyText"/>
        <w:spacing w:before="52"/>
        <w:rPr>
          <w:b w:val="0"/>
        </w:rPr>
      </w:pPr>
    </w:p>
    <w:p>
      <w:pPr>
        <w:pStyle w:val="BodyText"/>
        <w:spacing w:line="295" w:lineRule="auto"/>
        <w:ind w:left="206" w:right="1243"/>
        <w:rPr>
          <w:b w:val="0"/>
        </w:rPr>
      </w:pPr>
      <w:r>
        <w:rPr>
          <w:b w:val="0"/>
        </w:rPr>
        <w:t>COVID-19 had a dramatic effect on the higher education</w:t>
      </w:r>
      <w:r>
        <w:rPr>
          <w:b w:val="0"/>
          <w:spacing w:val="40"/>
        </w:rPr>
        <w:t> </w:t>
      </w:r>
      <w:r>
        <w:rPr>
          <w:b w:val="0"/>
        </w:rPr>
        <w:t>sector across Australia. Within UWA, the impact of</w:t>
      </w:r>
      <w:r>
        <w:rPr>
          <w:b w:val="0"/>
          <w:spacing w:val="40"/>
        </w:rPr>
        <w:t> </w:t>
      </w:r>
      <w:r>
        <w:rPr>
          <w:b w:val="0"/>
        </w:rPr>
        <w:t>COVID-19 on course delivery – where students were</w:t>
      </w:r>
      <w:r>
        <w:rPr>
          <w:b w:val="0"/>
          <w:spacing w:val="40"/>
        </w:rPr>
        <w:t> </w:t>
      </w:r>
      <w:r>
        <w:rPr>
          <w:b w:val="0"/>
        </w:rPr>
        <w:t>rapidly transitioned from face-to-face teaching to online</w:t>
      </w:r>
      <w:r>
        <w:rPr>
          <w:b w:val="0"/>
          <w:spacing w:val="40"/>
        </w:rPr>
        <w:t> </w:t>
      </w:r>
      <w:r>
        <w:rPr>
          <w:b w:val="0"/>
        </w:rPr>
        <w:t>learning environments, with delays in curriculum delivery</w:t>
      </w:r>
      <w:r>
        <w:rPr>
          <w:b w:val="0"/>
          <w:spacing w:val="40"/>
        </w:rPr>
        <w:t> </w:t>
      </w:r>
      <w:r>
        <w:rPr>
          <w:b w:val="0"/>
        </w:rPr>
        <w:t>where this wasn’t possible – resulted in a decline in</w:t>
      </w:r>
      <w:r>
        <w:rPr>
          <w:b w:val="0"/>
          <w:spacing w:val="40"/>
        </w:rPr>
        <w:t> </w:t>
      </w:r>
      <w:r>
        <w:rPr>
          <w:b w:val="0"/>
        </w:rPr>
        <w:t>satisfaction with overall student experience among both</w:t>
      </w:r>
      <w:r>
        <w:rPr>
          <w:b w:val="0"/>
          <w:spacing w:val="40"/>
        </w:rPr>
        <w:t> </w:t>
      </w:r>
      <w:r>
        <w:rPr>
          <w:b w:val="0"/>
        </w:rPr>
        <w:t>undergraduates and postgraduates. This was not</w:t>
      </w:r>
      <w:r>
        <w:rPr>
          <w:b w:val="0"/>
          <w:spacing w:val="40"/>
        </w:rPr>
        <w:t> </w:t>
      </w:r>
      <w:r>
        <w:rPr>
          <w:b w:val="0"/>
        </w:rPr>
        <w:t>unexpected given the reactive response to an evolving</w:t>
      </w:r>
      <w:r>
        <w:rPr>
          <w:b w:val="0"/>
          <w:spacing w:val="40"/>
        </w:rPr>
        <w:t> </w:t>
      </w:r>
      <w:r>
        <w:rPr>
          <w:b w:val="0"/>
        </w:rPr>
        <w:t>pandemic. UWA is proactively examining how to improve</w:t>
      </w:r>
      <w:r>
        <w:rPr>
          <w:b w:val="0"/>
          <w:spacing w:val="40"/>
        </w:rPr>
        <w:t> </w:t>
      </w:r>
      <w:r>
        <w:rPr>
          <w:b w:val="0"/>
        </w:rPr>
        <w:t>its online options for students across future periods.</w:t>
      </w:r>
    </w:p>
    <w:p>
      <w:pPr>
        <w:spacing w:after="0" w:line="295" w:lineRule="auto"/>
        <w:sectPr>
          <w:type w:val="continuous"/>
          <w:pgSz w:w="11910" w:h="16840"/>
          <w:pgMar w:header="468" w:footer="0" w:top="980" w:bottom="280" w:left="920" w:right="0"/>
          <w:cols w:num="2" w:equalWidth="0">
            <w:col w:w="4869" w:space="155"/>
            <w:col w:w="5966"/>
          </w:cols>
        </w:sectPr>
      </w:pPr>
    </w:p>
    <w:p>
      <w:pPr>
        <w:pStyle w:val="BodyText"/>
        <w:rPr>
          <w:b w:val="0"/>
          <w:sz w:val="20"/>
        </w:rPr>
      </w:pPr>
    </w:p>
    <w:p>
      <w:pPr>
        <w:pStyle w:val="BodyText"/>
        <w:rPr>
          <w:b w:val="0"/>
          <w:sz w:val="20"/>
        </w:rPr>
      </w:pPr>
    </w:p>
    <w:p>
      <w:pPr>
        <w:pStyle w:val="BodyText"/>
        <w:spacing w:before="71"/>
        <w:rPr>
          <w:b w:val="0"/>
          <w:sz w:val="20"/>
        </w:rPr>
      </w:pPr>
    </w:p>
    <w:p>
      <w:pPr>
        <w:spacing w:after="0"/>
        <w:rPr>
          <w:sz w:val="20"/>
        </w:rPr>
        <w:sectPr>
          <w:type w:val="continuous"/>
          <w:pgSz w:w="11910" w:h="16840"/>
          <w:pgMar w:header="468" w:footer="0" w:top="980" w:bottom="280" w:left="920" w:right="0"/>
        </w:sectPr>
      </w:pPr>
    </w:p>
    <w:p>
      <w:pPr>
        <w:spacing w:line="292" w:lineRule="auto" w:before="120"/>
        <w:ind w:left="5245" w:right="0" w:hanging="1"/>
        <w:jc w:val="left"/>
        <w:rPr>
          <w:rFonts w:ascii="TT Norms Pro"/>
          <w:b/>
          <w:sz w:val="14"/>
        </w:rPr>
      </w:pPr>
      <w:r>
        <w:rPr/>
        <mc:AlternateContent>
          <mc:Choice Requires="wps">
            <w:drawing>
              <wp:anchor distT="0" distB="0" distL="0" distR="0" allowOverlap="1" layoutInCell="1" locked="0" behindDoc="0" simplePos="0" relativeHeight="15844352">
                <wp:simplePos x="0" y="0"/>
                <wp:positionH relativeFrom="page">
                  <wp:posOffset>719999</wp:posOffset>
                </wp:positionH>
                <wp:positionV relativeFrom="paragraph">
                  <wp:posOffset>-427766</wp:posOffset>
                </wp:positionV>
                <wp:extent cx="2947035" cy="1302385"/>
                <wp:effectExtent l="0" t="0" r="0" b="0"/>
                <wp:wrapNone/>
                <wp:docPr id="641" name="Group 641"/>
                <wp:cNvGraphicFramePr>
                  <a:graphicFrameLocks/>
                </wp:cNvGraphicFramePr>
                <a:graphic>
                  <a:graphicData uri="http://schemas.microsoft.com/office/word/2010/wordprocessingGroup">
                    <wpg:wgp>
                      <wpg:cNvPr id="641" name="Group 641"/>
                      <wpg:cNvGrpSpPr/>
                      <wpg:grpSpPr>
                        <a:xfrm>
                          <a:off x="0" y="0"/>
                          <a:ext cx="2947035" cy="1302385"/>
                          <a:chExt cx="2947035" cy="1302385"/>
                        </a:xfrm>
                      </wpg:grpSpPr>
                      <wps:wsp>
                        <wps:cNvPr id="642" name="Graphic 642"/>
                        <wps:cNvSpPr/>
                        <wps:spPr>
                          <a:xfrm>
                            <a:off x="1" y="310516"/>
                            <a:ext cx="2934335" cy="991869"/>
                          </a:xfrm>
                          <a:custGeom>
                            <a:avLst/>
                            <a:gdLst/>
                            <a:ahLst/>
                            <a:cxnLst/>
                            <a:rect l="l" t="t" r="r" b="b"/>
                            <a:pathLst>
                              <a:path w="2934335" h="991869">
                                <a:moveTo>
                                  <a:pt x="2934004" y="717257"/>
                                </a:moveTo>
                                <a:lnTo>
                                  <a:pt x="2310003" y="717257"/>
                                </a:lnTo>
                                <a:lnTo>
                                  <a:pt x="1686001" y="717257"/>
                                </a:lnTo>
                                <a:lnTo>
                                  <a:pt x="1061999" y="717257"/>
                                </a:lnTo>
                                <a:lnTo>
                                  <a:pt x="0" y="717257"/>
                                </a:lnTo>
                                <a:lnTo>
                                  <a:pt x="0" y="991819"/>
                                </a:lnTo>
                                <a:lnTo>
                                  <a:pt x="1061999" y="991819"/>
                                </a:lnTo>
                                <a:lnTo>
                                  <a:pt x="1686001" y="991819"/>
                                </a:lnTo>
                                <a:lnTo>
                                  <a:pt x="2310003" y="991819"/>
                                </a:lnTo>
                                <a:lnTo>
                                  <a:pt x="2934004" y="991819"/>
                                </a:lnTo>
                                <a:lnTo>
                                  <a:pt x="2934004" y="717257"/>
                                </a:lnTo>
                                <a:close/>
                              </a:path>
                              <a:path w="2934335" h="991869">
                                <a:moveTo>
                                  <a:pt x="2934004" y="295122"/>
                                </a:moveTo>
                                <a:lnTo>
                                  <a:pt x="2310003" y="295122"/>
                                </a:lnTo>
                                <a:lnTo>
                                  <a:pt x="1686001" y="295122"/>
                                </a:lnTo>
                                <a:lnTo>
                                  <a:pt x="1061999" y="295122"/>
                                </a:lnTo>
                                <a:lnTo>
                                  <a:pt x="0" y="295122"/>
                                </a:lnTo>
                                <a:lnTo>
                                  <a:pt x="0" y="569683"/>
                                </a:lnTo>
                                <a:lnTo>
                                  <a:pt x="1061999" y="569683"/>
                                </a:lnTo>
                                <a:lnTo>
                                  <a:pt x="1686001" y="569683"/>
                                </a:lnTo>
                                <a:lnTo>
                                  <a:pt x="2310003" y="569683"/>
                                </a:lnTo>
                                <a:lnTo>
                                  <a:pt x="2934004" y="569683"/>
                                </a:lnTo>
                                <a:lnTo>
                                  <a:pt x="2934004" y="295122"/>
                                </a:lnTo>
                                <a:close/>
                              </a:path>
                              <a:path w="2934335" h="991869">
                                <a:moveTo>
                                  <a:pt x="2934004" y="0"/>
                                </a:moveTo>
                                <a:lnTo>
                                  <a:pt x="2310003" y="0"/>
                                </a:lnTo>
                                <a:lnTo>
                                  <a:pt x="1686001" y="0"/>
                                </a:lnTo>
                                <a:lnTo>
                                  <a:pt x="1061999" y="0"/>
                                </a:lnTo>
                                <a:lnTo>
                                  <a:pt x="0" y="0"/>
                                </a:lnTo>
                                <a:lnTo>
                                  <a:pt x="0" y="147561"/>
                                </a:lnTo>
                                <a:lnTo>
                                  <a:pt x="1061999" y="147561"/>
                                </a:lnTo>
                                <a:lnTo>
                                  <a:pt x="1686001" y="147561"/>
                                </a:lnTo>
                                <a:lnTo>
                                  <a:pt x="2310003" y="147561"/>
                                </a:lnTo>
                                <a:lnTo>
                                  <a:pt x="2934004" y="147561"/>
                                </a:lnTo>
                                <a:lnTo>
                                  <a:pt x="2934004" y="0"/>
                                </a:lnTo>
                                <a:close/>
                              </a:path>
                            </a:pathLst>
                          </a:custGeom>
                          <a:solidFill>
                            <a:srgbClr val="E6E7E8"/>
                          </a:solidFill>
                        </wps:spPr>
                        <wps:bodyPr wrap="square" lIns="0" tIns="0" rIns="0" bIns="0" rtlCol="0">
                          <a:prstTxWarp prst="textNoShape">
                            <a:avLst/>
                          </a:prstTxWarp>
                          <a:noAutofit/>
                        </wps:bodyPr>
                      </wps:wsp>
                      <wps:wsp>
                        <wps:cNvPr id="643" name="Graphic 643"/>
                        <wps:cNvSpPr/>
                        <wps:spPr>
                          <a:xfrm>
                            <a:off x="0" y="6350"/>
                            <a:ext cx="1062355" cy="1270"/>
                          </a:xfrm>
                          <a:custGeom>
                            <a:avLst/>
                            <a:gdLst/>
                            <a:ahLst/>
                            <a:cxnLst/>
                            <a:rect l="l" t="t" r="r" b="b"/>
                            <a:pathLst>
                              <a:path w="1062355" h="0">
                                <a:moveTo>
                                  <a:pt x="0" y="0"/>
                                </a:moveTo>
                                <a:lnTo>
                                  <a:pt x="1061999" y="0"/>
                                </a:lnTo>
                              </a:path>
                            </a:pathLst>
                          </a:custGeom>
                          <a:ln w="12700">
                            <a:solidFill>
                              <a:srgbClr val="000000"/>
                            </a:solidFill>
                            <a:prstDash val="solid"/>
                          </a:ln>
                        </wps:spPr>
                        <wps:bodyPr wrap="square" lIns="0" tIns="0" rIns="0" bIns="0" rtlCol="0">
                          <a:prstTxWarp prst="textNoShape">
                            <a:avLst/>
                          </a:prstTxWarp>
                          <a:noAutofit/>
                        </wps:bodyPr>
                      </wps:wsp>
                      <wps:wsp>
                        <wps:cNvPr id="644" name="Graphic 644"/>
                        <wps:cNvSpPr/>
                        <wps:spPr>
                          <a:xfrm>
                            <a:off x="1061999" y="6350"/>
                            <a:ext cx="624205" cy="1270"/>
                          </a:xfrm>
                          <a:custGeom>
                            <a:avLst/>
                            <a:gdLst/>
                            <a:ahLst/>
                            <a:cxnLst/>
                            <a:rect l="l" t="t" r="r" b="b"/>
                            <a:pathLst>
                              <a:path w="624205" h="0">
                                <a:moveTo>
                                  <a:pt x="0" y="0"/>
                                </a:moveTo>
                                <a:lnTo>
                                  <a:pt x="624001" y="0"/>
                                </a:lnTo>
                              </a:path>
                            </a:pathLst>
                          </a:custGeom>
                          <a:ln w="12700">
                            <a:solidFill>
                              <a:srgbClr val="000000"/>
                            </a:solidFill>
                            <a:prstDash val="solid"/>
                          </a:ln>
                        </wps:spPr>
                        <wps:bodyPr wrap="square" lIns="0" tIns="0" rIns="0" bIns="0" rtlCol="0">
                          <a:prstTxWarp prst="textNoShape">
                            <a:avLst/>
                          </a:prstTxWarp>
                          <a:noAutofit/>
                        </wps:bodyPr>
                      </wps:wsp>
                      <wps:wsp>
                        <wps:cNvPr id="645" name="Graphic 645"/>
                        <wps:cNvSpPr/>
                        <wps:spPr>
                          <a:xfrm>
                            <a:off x="1685999" y="6350"/>
                            <a:ext cx="624205" cy="1270"/>
                          </a:xfrm>
                          <a:custGeom>
                            <a:avLst/>
                            <a:gdLst/>
                            <a:ahLst/>
                            <a:cxnLst/>
                            <a:rect l="l" t="t" r="r" b="b"/>
                            <a:pathLst>
                              <a:path w="624205" h="0">
                                <a:moveTo>
                                  <a:pt x="0" y="0"/>
                                </a:moveTo>
                                <a:lnTo>
                                  <a:pt x="624001" y="0"/>
                                </a:lnTo>
                              </a:path>
                            </a:pathLst>
                          </a:custGeom>
                          <a:ln w="12700">
                            <a:solidFill>
                              <a:srgbClr val="000000"/>
                            </a:solidFill>
                            <a:prstDash val="solid"/>
                          </a:ln>
                        </wps:spPr>
                        <wps:bodyPr wrap="square" lIns="0" tIns="0" rIns="0" bIns="0" rtlCol="0">
                          <a:prstTxWarp prst="textNoShape">
                            <a:avLst/>
                          </a:prstTxWarp>
                          <a:noAutofit/>
                        </wps:bodyPr>
                      </wps:wsp>
                      <wps:wsp>
                        <wps:cNvPr id="646" name="Graphic 646"/>
                        <wps:cNvSpPr/>
                        <wps:spPr>
                          <a:xfrm>
                            <a:off x="2309999" y="6350"/>
                            <a:ext cx="624205" cy="1270"/>
                          </a:xfrm>
                          <a:custGeom>
                            <a:avLst/>
                            <a:gdLst/>
                            <a:ahLst/>
                            <a:cxnLst/>
                            <a:rect l="l" t="t" r="r" b="b"/>
                            <a:pathLst>
                              <a:path w="624205" h="0">
                                <a:moveTo>
                                  <a:pt x="0" y="0"/>
                                </a:moveTo>
                                <a:lnTo>
                                  <a:pt x="624001" y="0"/>
                                </a:lnTo>
                              </a:path>
                            </a:pathLst>
                          </a:custGeom>
                          <a:ln w="12700">
                            <a:solidFill>
                              <a:srgbClr val="000000"/>
                            </a:solidFill>
                            <a:prstDash val="solid"/>
                          </a:ln>
                        </wps:spPr>
                        <wps:bodyPr wrap="square" lIns="0" tIns="0" rIns="0" bIns="0" rtlCol="0">
                          <a:prstTxWarp prst="textNoShape">
                            <a:avLst/>
                          </a:prstTxWarp>
                          <a:noAutofit/>
                        </wps:bodyPr>
                      </wps:wsp>
                      <wps:wsp>
                        <wps:cNvPr id="647" name="Graphic 647"/>
                        <wps:cNvSpPr/>
                        <wps:spPr>
                          <a:xfrm>
                            <a:off x="0" y="310513"/>
                            <a:ext cx="1062355" cy="1270"/>
                          </a:xfrm>
                          <a:custGeom>
                            <a:avLst/>
                            <a:gdLst/>
                            <a:ahLst/>
                            <a:cxnLst/>
                            <a:rect l="l" t="t" r="r" b="b"/>
                            <a:pathLst>
                              <a:path w="1062355" h="0">
                                <a:moveTo>
                                  <a:pt x="0" y="0"/>
                                </a:moveTo>
                                <a:lnTo>
                                  <a:pt x="1061999" y="0"/>
                                </a:lnTo>
                              </a:path>
                            </a:pathLst>
                          </a:custGeom>
                          <a:ln w="6350">
                            <a:solidFill>
                              <a:srgbClr val="000000"/>
                            </a:solidFill>
                            <a:prstDash val="solid"/>
                          </a:ln>
                        </wps:spPr>
                        <wps:bodyPr wrap="square" lIns="0" tIns="0" rIns="0" bIns="0" rtlCol="0">
                          <a:prstTxWarp prst="textNoShape">
                            <a:avLst/>
                          </a:prstTxWarp>
                          <a:noAutofit/>
                        </wps:bodyPr>
                      </wps:wsp>
                      <wps:wsp>
                        <wps:cNvPr id="648" name="Graphic 648"/>
                        <wps:cNvSpPr/>
                        <wps:spPr>
                          <a:xfrm>
                            <a:off x="1061999" y="310513"/>
                            <a:ext cx="624205" cy="1270"/>
                          </a:xfrm>
                          <a:custGeom>
                            <a:avLst/>
                            <a:gdLst/>
                            <a:ahLst/>
                            <a:cxnLst/>
                            <a:rect l="l" t="t" r="r" b="b"/>
                            <a:pathLst>
                              <a:path w="624205" h="0">
                                <a:moveTo>
                                  <a:pt x="0" y="0"/>
                                </a:moveTo>
                                <a:lnTo>
                                  <a:pt x="624001" y="0"/>
                                </a:lnTo>
                              </a:path>
                            </a:pathLst>
                          </a:custGeom>
                          <a:ln w="6350">
                            <a:solidFill>
                              <a:srgbClr val="000000"/>
                            </a:solidFill>
                            <a:prstDash val="solid"/>
                          </a:ln>
                        </wps:spPr>
                        <wps:bodyPr wrap="square" lIns="0" tIns="0" rIns="0" bIns="0" rtlCol="0">
                          <a:prstTxWarp prst="textNoShape">
                            <a:avLst/>
                          </a:prstTxWarp>
                          <a:noAutofit/>
                        </wps:bodyPr>
                      </wps:wsp>
                      <wps:wsp>
                        <wps:cNvPr id="649" name="Graphic 649"/>
                        <wps:cNvSpPr/>
                        <wps:spPr>
                          <a:xfrm>
                            <a:off x="1685999" y="310513"/>
                            <a:ext cx="624205" cy="1270"/>
                          </a:xfrm>
                          <a:custGeom>
                            <a:avLst/>
                            <a:gdLst/>
                            <a:ahLst/>
                            <a:cxnLst/>
                            <a:rect l="l" t="t" r="r" b="b"/>
                            <a:pathLst>
                              <a:path w="624205" h="0">
                                <a:moveTo>
                                  <a:pt x="0" y="0"/>
                                </a:moveTo>
                                <a:lnTo>
                                  <a:pt x="624001" y="0"/>
                                </a:lnTo>
                              </a:path>
                            </a:pathLst>
                          </a:custGeom>
                          <a:ln w="6350">
                            <a:solidFill>
                              <a:srgbClr val="000000"/>
                            </a:solidFill>
                            <a:prstDash val="solid"/>
                          </a:ln>
                        </wps:spPr>
                        <wps:bodyPr wrap="square" lIns="0" tIns="0" rIns="0" bIns="0" rtlCol="0">
                          <a:prstTxWarp prst="textNoShape">
                            <a:avLst/>
                          </a:prstTxWarp>
                          <a:noAutofit/>
                        </wps:bodyPr>
                      </wps:wsp>
                      <wps:wsp>
                        <wps:cNvPr id="650" name="Graphic 650"/>
                        <wps:cNvSpPr/>
                        <wps:spPr>
                          <a:xfrm>
                            <a:off x="2309999" y="310513"/>
                            <a:ext cx="624205" cy="1270"/>
                          </a:xfrm>
                          <a:custGeom>
                            <a:avLst/>
                            <a:gdLst/>
                            <a:ahLst/>
                            <a:cxnLst/>
                            <a:rect l="l" t="t" r="r" b="b"/>
                            <a:pathLst>
                              <a:path w="624205" h="0">
                                <a:moveTo>
                                  <a:pt x="0" y="0"/>
                                </a:moveTo>
                                <a:lnTo>
                                  <a:pt x="624001" y="0"/>
                                </a:lnTo>
                              </a:path>
                            </a:pathLst>
                          </a:custGeom>
                          <a:ln w="6350">
                            <a:solidFill>
                              <a:srgbClr val="000000"/>
                            </a:solidFill>
                            <a:prstDash val="solid"/>
                          </a:ln>
                        </wps:spPr>
                        <wps:bodyPr wrap="square" lIns="0" tIns="0" rIns="0" bIns="0" rtlCol="0">
                          <a:prstTxWarp prst="textNoShape">
                            <a:avLst/>
                          </a:prstTxWarp>
                          <a:noAutofit/>
                        </wps:bodyPr>
                      </wps:wsp>
                      <wps:wsp>
                        <wps:cNvPr id="651" name="Textbox 651"/>
                        <wps:cNvSpPr txBox="1"/>
                        <wps:spPr>
                          <a:xfrm>
                            <a:off x="36042" y="622108"/>
                            <a:ext cx="902969" cy="241935"/>
                          </a:xfrm>
                          <a:prstGeom prst="rect">
                            <a:avLst/>
                          </a:prstGeom>
                        </wps:spPr>
                        <wps:txbx>
                          <w:txbxContent>
                            <w:p>
                              <w:pPr>
                                <w:spacing w:before="17"/>
                                <w:ind w:left="0" w:right="0" w:firstLine="0"/>
                                <w:jc w:val="left"/>
                                <w:rPr>
                                  <w:rFonts w:ascii="TT Norms Pro Light"/>
                                  <w:b w:val="0"/>
                                  <w:sz w:val="14"/>
                                </w:rPr>
                              </w:pPr>
                              <w:r>
                                <w:rPr>
                                  <w:rFonts w:ascii="TT Norms Pro Light"/>
                                  <w:b w:val="0"/>
                                  <w:sz w:val="14"/>
                                </w:rPr>
                                <w:t>Non-English</w:t>
                              </w:r>
                              <w:r>
                                <w:rPr>
                                  <w:rFonts w:ascii="TT Norms Pro Light"/>
                                  <w:b w:val="0"/>
                                  <w:spacing w:val="17"/>
                                  <w:sz w:val="14"/>
                                </w:rPr>
                                <w:t> </w:t>
                              </w:r>
                              <w:r>
                                <w:rPr>
                                  <w:rFonts w:ascii="TT Norms Pro Light"/>
                                  <w:b w:val="0"/>
                                  <w:spacing w:val="-2"/>
                                  <w:sz w:val="14"/>
                                </w:rPr>
                                <w:t>speaking</w:t>
                              </w:r>
                            </w:p>
                            <w:p>
                              <w:pPr>
                                <w:spacing w:before="36"/>
                                <w:ind w:left="0" w:right="0" w:firstLine="0"/>
                                <w:jc w:val="left"/>
                                <w:rPr>
                                  <w:rFonts w:ascii="TT Norms Pro Light"/>
                                  <w:b w:val="0"/>
                                  <w:sz w:val="14"/>
                                </w:rPr>
                              </w:pPr>
                              <w:r>
                                <w:rPr>
                                  <w:rFonts w:ascii="TT Norms Pro Light"/>
                                  <w:b w:val="0"/>
                                  <w:spacing w:val="-2"/>
                                  <w:sz w:val="14"/>
                                </w:rPr>
                                <w:t>background</w:t>
                              </w:r>
                            </w:p>
                          </w:txbxContent>
                        </wps:txbx>
                        <wps:bodyPr wrap="square" lIns="0" tIns="0" rIns="0" bIns="0" rtlCol="0">
                          <a:noAutofit/>
                        </wps:bodyPr>
                      </wps:wsp>
                      <wps:wsp>
                        <wps:cNvPr id="652" name="Textbox 652"/>
                        <wps:cNvSpPr txBox="1"/>
                        <wps:spPr>
                          <a:xfrm>
                            <a:off x="1533029" y="685671"/>
                            <a:ext cx="127000" cy="114935"/>
                          </a:xfrm>
                          <a:prstGeom prst="rect">
                            <a:avLst/>
                          </a:prstGeom>
                        </wps:spPr>
                        <wps:txbx>
                          <w:txbxContent>
                            <w:p>
                              <w:pPr>
                                <w:spacing w:before="17"/>
                                <w:ind w:left="0" w:right="0" w:firstLine="0"/>
                                <w:jc w:val="left"/>
                                <w:rPr>
                                  <w:rFonts w:ascii="TT Norms Pro Light"/>
                                  <w:b w:val="0"/>
                                  <w:sz w:val="14"/>
                                </w:rPr>
                              </w:pPr>
                              <w:r>
                                <w:rPr>
                                  <w:rFonts w:ascii="TT Norms Pro Light"/>
                                  <w:b w:val="0"/>
                                  <w:spacing w:val="-5"/>
                                  <w:sz w:val="14"/>
                                </w:rPr>
                                <w:t>3.9</w:t>
                              </w:r>
                            </w:p>
                          </w:txbxContent>
                        </wps:txbx>
                        <wps:bodyPr wrap="square" lIns="0" tIns="0" rIns="0" bIns="0" rtlCol="0">
                          <a:noAutofit/>
                        </wps:bodyPr>
                      </wps:wsp>
                      <wps:wsp>
                        <wps:cNvPr id="653" name="Textbox 653"/>
                        <wps:cNvSpPr txBox="1"/>
                        <wps:spPr>
                          <a:xfrm>
                            <a:off x="2157018" y="685671"/>
                            <a:ext cx="127000" cy="114935"/>
                          </a:xfrm>
                          <a:prstGeom prst="rect">
                            <a:avLst/>
                          </a:prstGeom>
                        </wps:spPr>
                        <wps:txbx>
                          <w:txbxContent>
                            <w:p>
                              <w:pPr>
                                <w:spacing w:before="17"/>
                                <w:ind w:left="0" w:right="0" w:firstLine="0"/>
                                <w:jc w:val="left"/>
                                <w:rPr>
                                  <w:rFonts w:ascii="TT Norms Pro Light"/>
                                  <w:b w:val="0"/>
                                  <w:sz w:val="14"/>
                                </w:rPr>
                              </w:pPr>
                              <w:r>
                                <w:rPr>
                                  <w:rFonts w:ascii="TT Norms Pro Light"/>
                                  <w:b w:val="0"/>
                                  <w:spacing w:val="-5"/>
                                  <w:sz w:val="14"/>
                                </w:rPr>
                                <w:t>3.9</w:t>
                              </w:r>
                            </w:p>
                          </w:txbxContent>
                        </wps:txbx>
                        <wps:bodyPr wrap="square" lIns="0" tIns="0" rIns="0" bIns="0" rtlCol="0">
                          <a:noAutofit/>
                        </wps:bodyPr>
                      </wps:wsp>
                      <wps:wsp>
                        <wps:cNvPr id="654" name="Textbox 654"/>
                        <wps:cNvSpPr txBox="1"/>
                        <wps:spPr>
                          <a:xfrm>
                            <a:off x="2774429" y="685671"/>
                            <a:ext cx="137160" cy="114935"/>
                          </a:xfrm>
                          <a:prstGeom prst="rect">
                            <a:avLst/>
                          </a:prstGeom>
                        </wps:spPr>
                        <wps:txbx>
                          <w:txbxContent>
                            <w:p>
                              <w:pPr>
                                <w:spacing w:before="17"/>
                                <w:ind w:left="0" w:right="0" w:firstLine="0"/>
                                <w:jc w:val="left"/>
                                <w:rPr>
                                  <w:rFonts w:ascii="TT Norms Pro Light"/>
                                  <w:b w:val="0"/>
                                  <w:sz w:val="14"/>
                                </w:rPr>
                              </w:pPr>
                              <w:r>
                                <w:rPr>
                                  <w:rFonts w:ascii="TT Norms Pro Light"/>
                                  <w:b w:val="0"/>
                                  <w:spacing w:val="-5"/>
                                  <w:sz w:val="14"/>
                                </w:rPr>
                                <w:t>5.0</w:t>
                              </w:r>
                            </w:p>
                          </w:txbxContent>
                        </wps:txbx>
                        <wps:bodyPr wrap="square" lIns="0" tIns="0" rIns="0" bIns="0" rtlCol="0">
                          <a:noAutofit/>
                        </wps:bodyPr>
                      </wps:wsp>
                      <wps:wsp>
                        <wps:cNvPr id="655" name="Textbox 655"/>
                        <wps:cNvSpPr txBox="1"/>
                        <wps:spPr>
                          <a:xfrm>
                            <a:off x="35953" y="1044294"/>
                            <a:ext cx="692150" cy="241935"/>
                          </a:xfrm>
                          <a:prstGeom prst="rect">
                            <a:avLst/>
                          </a:prstGeom>
                        </wps:spPr>
                        <wps:txbx>
                          <w:txbxContent>
                            <w:p>
                              <w:pPr>
                                <w:spacing w:before="16"/>
                                <w:ind w:left="0" w:right="0" w:firstLine="0"/>
                                <w:jc w:val="left"/>
                                <w:rPr>
                                  <w:rFonts w:ascii="TT Norms Pro Light"/>
                                  <w:b w:val="0"/>
                                  <w:sz w:val="14"/>
                                </w:rPr>
                              </w:pPr>
                              <w:r>
                                <w:rPr>
                                  <w:rFonts w:ascii="TT Norms Pro Light"/>
                                  <w:b w:val="0"/>
                                  <w:spacing w:val="-2"/>
                                  <w:sz w:val="14"/>
                                </w:rPr>
                                <w:t>Regional/remote</w:t>
                              </w:r>
                            </w:p>
                            <w:p>
                              <w:pPr>
                                <w:spacing w:before="37"/>
                                <w:ind w:left="0" w:right="0" w:firstLine="0"/>
                                <w:jc w:val="left"/>
                                <w:rPr>
                                  <w:rFonts w:ascii="TT Norms Pro Light"/>
                                  <w:b w:val="0"/>
                                  <w:sz w:val="14"/>
                                </w:rPr>
                              </w:pPr>
                              <w:r>
                                <w:rPr>
                                  <w:rFonts w:ascii="TT Norms Pro Light"/>
                                  <w:b w:val="0"/>
                                  <w:spacing w:val="-2"/>
                                  <w:sz w:val="14"/>
                                </w:rPr>
                                <w:t>students</w:t>
                              </w:r>
                            </w:p>
                          </w:txbxContent>
                        </wps:txbx>
                        <wps:bodyPr wrap="square" lIns="0" tIns="0" rIns="0" bIns="0" rtlCol="0">
                          <a:noAutofit/>
                        </wps:bodyPr>
                      </wps:wsp>
                      <wps:wsp>
                        <wps:cNvPr id="656" name="Textbox 656"/>
                        <wps:cNvSpPr txBox="1"/>
                        <wps:spPr>
                          <a:xfrm>
                            <a:off x="1533207" y="1107857"/>
                            <a:ext cx="132080" cy="114935"/>
                          </a:xfrm>
                          <a:prstGeom prst="rect">
                            <a:avLst/>
                          </a:prstGeom>
                        </wps:spPr>
                        <wps:txbx>
                          <w:txbxContent>
                            <w:p>
                              <w:pPr>
                                <w:spacing w:before="17"/>
                                <w:ind w:left="0" w:right="0" w:firstLine="0"/>
                                <w:jc w:val="left"/>
                                <w:rPr>
                                  <w:rFonts w:ascii="TT Norms Pro Light"/>
                                  <w:b w:val="0"/>
                                  <w:sz w:val="14"/>
                                </w:rPr>
                              </w:pPr>
                              <w:r>
                                <w:rPr>
                                  <w:rFonts w:ascii="TT Norms Pro Light"/>
                                  <w:b w:val="0"/>
                                  <w:spacing w:val="-5"/>
                                  <w:sz w:val="14"/>
                                </w:rPr>
                                <w:t>8.7</w:t>
                              </w:r>
                            </w:p>
                          </w:txbxContent>
                        </wps:txbx>
                        <wps:bodyPr wrap="square" lIns="0" tIns="0" rIns="0" bIns="0" rtlCol="0">
                          <a:noAutofit/>
                        </wps:bodyPr>
                      </wps:wsp>
                      <wps:wsp>
                        <wps:cNvPr id="657" name="Textbox 657"/>
                        <wps:cNvSpPr txBox="1"/>
                        <wps:spPr>
                          <a:xfrm>
                            <a:off x="2149640" y="1107857"/>
                            <a:ext cx="137795" cy="114935"/>
                          </a:xfrm>
                          <a:prstGeom prst="rect">
                            <a:avLst/>
                          </a:prstGeom>
                        </wps:spPr>
                        <wps:txbx>
                          <w:txbxContent>
                            <w:p>
                              <w:pPr>
                                <w:spacing w:before="17"/>
                                <w:ind w:left="0" w:right="0" w:firstLine="0"/>
                                <w:jc w:val="left"/>
                                <w:rPr>
                                  <w:rFonts w:ascii="TT Norms Pro Light"/>
                                  <w:b w:val="0"/>
                                  <w:sz w:val="14"/>
                                </w:rPr>
                              </w:pPr>
                              <w:r>
                                <w:rPr>
                                  <w:rFonts w:ascii="TT Norms Pro Light"/>
                                  <w:b w:val="0"/>
                                  <w:spacing w:val="-5"/>
                                  <w:sz w:val="14"/>
                                </w:rPr>
                                <w:t>8.0</w:t>
                              </w:r>
                            </w:p>
                          </w:txbxContent>
                        </wps:txbx>
                        <wps:bodyPr wrap="square" lIns="0" tIns="0" rIns="0" bIns="0" rtlCol="0">
                          <a:noAutofit/>
                        </wps:bodyPr>
                      </wps:wsp>
                      <wps:wsp>
                        <wps:cNvPr id="658" name="Textbox 658"/>
                        <wps:cNvSpPr txBox="1"/>
                        <wps:spPr>
                          <a:xfrm>
                            <a:off x="2742158" y="1107857"/>
                            <a:ext cx="169545" cy="114935"/>
                          </a:xfrm>
                          <a:prstGeom prst="rect">
                            <a:avLst/>
                          </a:prstGeom>
                        </wps:spPr>
                        <wps:txbx>
                          <w:txbxContent>
                            <w:p>
                              <w:pPr>
                                <w:spacing w:before="17"/>
                                <w:ind w:left="0" w:right="0" w:firstLine="0"/>
                                <w:jc w:val="left"/>
                                <w:rPr>
                                  <w:rFonts w:ascii="TT Norms Pro Light"/>
                                  <w:b w:val="0"/>
                                  <w:sz w:val="14"/>
                                </w:rPr>
                              </w:pPr>
                              <w:r>
                                <w:rPr>
                                  <w:rFonts w:ascii="TT Norms Pro Light"/>
                                  <w:b w:val="0"/>
                                  <w:spacing w:val="-4"/>
                                  <w:sz w:val="14"/>
                                </w:rPr>
                                <w:t>10.0</w:t>
                              </w:r>
                            </w:p>
                          </w:txbxContent>
                        </wps:txbx>
                        <wps:bodyPr wrap="square" lIns="0" tIns="0" rIns="0" bIns="0" rtlCol="0">
                          <a:noAutofit/>
                        </wps:bodyPr>
                      </wps:wsp>
                      <wps:wsp>
                        <wps:cNvPr id="659" name="Textbox 659"/>
                        <wps:cNvSpPr txBox="1"/>
                        <wps:spPr>
                          <a:xfrm>
                            <a:off x="50800" y="35812"/>
                            <a:ext cx="423545" cy="118745"/>
                          </a:xfrm>
                          <a:prstGeom prst="rect">
                            <a:avLst/>
                          </a:prstGeom>
                        </wps:spPr>
                        <wps:txbx>
                          <w:txbxContent>
                            <w:p>
                              <w:pPr>
                                <w:spacing w:before="19"/>
                                <w:ind w:left="0" w:right="0" w:firstLine="0"/>
                                <w:jc w:val="left"/>
                                <w:rPr>
                                  <w:rFonts w:ascii="TT Norms Pro"/>
                                  <w:b/>
                                  <w:sz w:val="14"/>
                                </w:rPr>
                              </w:pPr>
                              <w:r>
                                <w:rPr>
                                  <w:rFonts w:ascii="TT Norms Pro"/>
                                  <w:b/>
                                  <w:spacing w:val="-2"/>
                                  <w:sz w:val="14"/>
                                </w:rPr>
                                <w:t>COHORT</w:t>
                              </w:r>
                            </w:p>
                          </w:txbxContent>
                        </wps:txbx>
                        <wps:bodyPr wrap="square" lIns="0" tIns="0" rIns="0" bIns="0" rtlCol="0">
                          <a:noAutofit/>
                        </wps:bodyPr>
                      </wps:wsp>
                      <wps:wsp>
                        <wps:cNvPr id="660" name="Textbox 660"/>
                        <wps:cNvSpPr txBox="1"/>
                        <wps:spPr>
                          <a:xfrm>
                            <a:off x="1431061" y="35812"/>
                            <a:ext cx="218440" cy="118745"/>
                          </a:xfrm>
                          <a:prstGeom prst="rect">
                            <a:avLst/>
                          </a:prstGeom>
                        </wps:spPr>
                        <wps:txbx>
                          <w:txbxContent>
                            <w:p>
                              <w:pPr>
                                <w:spacing w:before="19"/>
                                <w:ind w:left="0" w:right="0" w:firstLine="0"/>
                                <w:jc w:val="left"/>
                                <w:rPr>
                                  <w:rFonts w:ascii="TT Norms Pro"/>
                                  <w:b/>
                                  <w:sz w:val="14"/>
                                </w:rPr>
                              </w:pPr>
                              <w:r>
                                <w:rPr>
                                  <w:rFonts w:ascii="TT Norms Pro"/>
                                  <w:b/>
                                  <w:spacing w:val="-4"/>
                                  <w:sz w:val="14"/>
                                </w:rPr>
                                <w:t>2019</w:t>
                              </w:r>
                            </w:p>
                          </w:txbxContent>
                        </wps:txbx>
                        <wps:bodyPr wrap="square" lIns="0" tIns="0" rIns="0" bIns="0" rtlCol="0">
                          <a:noAutofit/>
                        </wps:bodyPr>
                      </wps:wsp>
                      <wps:wsp>
                        <wps:cNvPr id="661" name="Textbox 661"/>
                        <wps:cNvSpPr txBox="1"/>
                        <wps:spPr>
                          <a:xfrm>
                            <a:off x="2034425" y="35812"/>
                            <a:ext cx="238125" cy="118745"/>
                          </a:xfrm>
                          <a:prstGeom prst="rect">
                            <a:avLst/>
                          </a:prstGeom>
                        </wps:spPr>
                        <wps:txbx>
                          <w:txbxContent>
                            <w:p>
                              <w:pPr>
                                <w:spacing w:before="19"/>
                                <w:ind w:left="0" w:right="0" w:firstLine="0"/>
                                <w:jc w:val="left"/>
                                <w:rPr>
                                  <w:rFonts w:ascii="TT Norms Pro"/>
                                  <w:b/>
                                  <w:sz w:val="14"/>
                                </w:rPr>
                              </w:pPr>
                              <w:r>
                                <w:rPr>
                                  <w:rFonts w:ascii="TT Norms Pro"/>
                                  <w:b/>
                                  <w:spacing w:val="-4"/>
                                  <w:sz w:val="14"/>
                                </w:rPr>
                                <w:t>2020</w:t>
                              </w:r>
                            </w:p>
                          </w:txbxContent>
                        </wps:txbx>
                        <wps:bodyPr wrap="square" lIns="0" tIns="0" rIns="0" bIns="0" rtlCol="0">
                          <a:noAutofit/>
                        </wps:bodyPr>
                      </wps:wsp>
                      <wps:wsp>
                        <wps:cNvPr id="662" name="Textbox 662"/>
                        <wps:cNvSpPr txBox="1"/>
                        <wps:spPr>
                          <a:xfrm>
                            <a:off x="2568181" y="35812"/>
                            <a:ext cx="379095" cy="245745"/>
                          </a:xfrm>
                          <a:prstGeom prst="rect">
                            <a:avLst/>
                          </a:prstGeom>
                        </wps:spPr>
                        <wps:txbx>
                          <w:txbxContent>
                            <w:p>
                              <w:pPr>
                                <w:spacing w:before="19"/>
                                <w:ind w:left="222" w:right="0" w:firstLine="0"/>
                                <w:jc w:val="left"/>
                                <w:rPr>
                                  <w:rFonts w:ascii="TT Norms Pro"/>
                                  <w:b/>
                                  <w:sz w:val="14"/>
                                </w:rPr>
                              </w:pPr>
                              <w:r>
                                <w:rPr>
                                  <w:rFonts w:ascii="TT Norms Pro"/>
                                  <w:b/>
                                  <w:spacing w:val="-4"/>
                                  <w:sz w:val="14"/>
                                </w:rPr>
                                <w:t>2020</w:t>
                              </w:r>
                            </w:p>
                            <w:p>
                              <w:pPr>
                                <w:spacing w:before="37"/>
                                <w:ind w:left="0" w:right="0" w:firstLine="0"/>
                                <w:jc w:val="left"/>
                                <w:rPr>
                                  <w:rFonts w:ascii="TT Norms Pro"/>
                                  <w:b/>
                                  <w:sz w:val="14"/>
                                </w:rPr>
                              </w:pPr>
                              <w:r>
                                <w:rPr>
                                  <w:rFonts w:ascii="TT Norms Pro"/>
                                  <w:b/>
                                  <w:spacing w:val="-2"/>
                                  <w:sz w:val="14"/>
                                </w:rPr>
                                <w:t>TARGET</w:t>
                              </w:r>
                            </w:p>
                          </w:txbxContent>
                        </wps:txbx>
                        <wps:bodyPr wrap="square" lIns="0" tIns="0" rIns="0" bIns="0" rtlCol="0">
                          <a:noAutofit/>
                        </wps:bodyPr>
                      </wps:wsp>
                      <wps:wsp>
                        <wps:cNvPr id="663" name="Textbox 663"/>
                        <wps:cNvSpPr txBox="1"/>
                        <wps:spPr>
                          <a:xfrm>
                            <a:off x="36131" y="474534"/>
                            <a:ext cx="1000760" cy="114935"/>
                          </a:xfrm>
                          <a:prstGeom prst="rect">
                            <a:avLst/>
                          </a:prstGeom>
                        </wps:spPr>
                        <wps:txbx>
                          <w:txbxContent>
                            <w:p>
                              <w:pPr>
                                <w:spacing w:before="17"/>
                                <w:ind w:left="0" w:right="0" w:firstLine="0"/>
                                <w:jc w:val="left"/>
                                <w:rPr>
                                  <w:rFonts w:ascii="TT Norms Pro Light"/>
                                  <w:b w:val="0"/>
                                  <w:sz w:val="14"/>
                                </w:rPr>
                              </w:pPr>
                              <w:r>
                                <w:rPr>
                                  <w:rFonts w:ascii="TT Norms Pro Light"/>
                                  <w:b w:val="0"/>
                                  <w:sz w:val="14"/>
                                </w:rPr>
                                <w:t>Students</w:t>
                              </w:r>
                              <w:r>
                                <w:rPr>
                                  <w:rFonts w:ascii="TT Norms Pro Light"/>
                                  <w:b w:val="0"/>
                                  <w:spacing w:val="5"/>
                                  <w:sz w:val="14"/>
                                </w:rPr>
                                <w:t> </w:t>
                              </w:r>
                              <w:r>
                                <w:rPr>
                                  <w:rFonts w:ascii="TT Norms Pro Light"/>
                                  <w:b w:val="0"/>
                                  <w:sz w:val="14"/>
                                </w:rPr>
                                <w:t>with</w:t>
                              </w:r>
                              <w:r>
                                <w:rPr>
                                  <w:rFonts w:ascii="TT Norms Pro Light"/>
                                  <w:b w:val="0"/>
                                  <w:spacing w:val="7"/>
                                  <w:sz w:val="14"/>
                                </w:rPr>
                                <w:t> </w:t>
                              </w:r>
                              <w:r>
                                <w:rPr>
                                  <w:rFonts w:ascii="TT Norms Pro Light"/>
                                  <w:b w:val="0"/>
                                  <w:spacing w:val="-2"/>
                                  <w:sz w:val="14"/>
                                </w:rPr>
                                <w:t>disabilities</w:t>
                              </w:r>
                            </w:p>
                          </w:txbxContent>
                        </wps:txbx>
                        <wps:bodyPr wrap="square" lIns="0" tIns="0" rIns="0" bIns="0" rtlCol="0">
                          <a:noAutofit/>
                        </wps:bodyPr>
                      </wps:wsp>
                      <wps:wsp>
                        <wps:cNvPr id="664" name="Textbox 664"/>
                        <wps:cNvSpPr txBox="1"/>
                        <wps:spPr>
                          <a:xfrm>
                            <a:off x="1531429" y="474534"/>
                            <a:ext cx="131445" cy="114935"/>
                          </a:xfrm>
                          <a:prstGeom prst="rect">
                            <a:avLst/>
                          </a:prstGeom>
                        </wps:spPr>
                        <wps:txbx>
                          <w:txbxContent>
                            <w:p>
                              <w:pPr>
                                <w:spacing w:before="17"/>
                                <w:ind w:left="0" w:right="0" w:firstLine="0"/>
                                <w:jc w:val="left"/>
                                <w:rPr>
                                  <w:rFonts w:ascii="TT Norms Pro Light"/>
                                  <w:b w:val="0"/>
                                  <w:sz w:val="14"/>
                                </w:rPr>
                              </w:pPr>
                              <w:r>
                                <w:rPr>
                                  <w:rFonts w:ascii="TT Norms Pro Light"/>
                                  <w:b w:val="0"/>
                                  <w:spacing w:val="-5"/>
                                  <w:sz w:val="14"/>
                                </w:rPr>
                                <w:t>9.5</w:t>
                              </w:r>
                            </w:p>
                          </w:txbxContent>
                        </wps:txbx>
                        <wps:bodyPr wrap="square" lIns="0" tIns="0" rIns="0" bIns="0" rtlCol="0">
                          <a:noAutofit/>
                        </wps:bodyPr>
                      </wps:wsp>
                      <wps:wsp>
                        <wps:cNvPr id="665" name="Textbox 665"/>
                        <wps:cNvSpPr txBox="1"/>
                        <wps:spPr>
                          <a:xfrm>
                            <a:off x="2117813" y="474534"/>
                            <a:ext cx="169545" cy="114935"/>
                          </a:xfrm>
                          <a:prstGeom prst="rect">
                            <a:avLst/>
                          </a:prstGeom>
                        </wps:spPr>
                        <wps:txbx>
                          <w:txbxContent>
                            <w:p>
                              <w:pPr>
                                <w:spacing w:before="17"/>
                                <w:ind w:left="0" w:right="0" w:firstLine="0"/>
                                <w:jc w:val="left"/>
                                <w:rPr>
                                  <w:rFonts w:ascii="TT Norms Pro Light"/>
                                  <w:b w:val="0"/>
                                  <w:sz w:val="14"/>
                                </w:rPr>
                              </w:pPr>
                              <w:r>
                                <w:rPr>
                                  <w:rFonts w:ascii="TT Norms Pro Light"/>
                                  <w:b w:val="0"/>
                                  <w:spacing w:val="-4"/>
                                  <w:sz w:val="14"/>
                                </w:rPr>
                                <w:t>10.3</w:t>
                              </w:r>
                            </w:p>
                          </w:txbxContent>
                        </wps:txbx>
                        <wps:bodyPr wrap="square" lIns="0" tIns="0" rIns="0" bIns="0" rtlCol="0">
                          <a:noAutofit/>
                        </wps:bodyPr>
                      </wps:wsp>
                      <wps:wsp>
                        <wps:cNvPr id="666" name="Textbox 666"/>
                        <wps:cNvSpPr txBox="1"/>
                        <wps:spPr>
                          <a:xfrm>
                            <a:off x="2742336" y="474534"/>
                            <a:ext cx="169545" cy="114935"/>
                          </a:xfrm>
                          <a:prstGeom prst="rect">
                            <a:avLst/>
                          </a:prstGeom>
                        </wps:spPr>
                        <wps:txbx>
                          <w:txbxContent>
                            <w:p>
                              <w:pPr>
                                <w:spacing w:before="17"/>
                                <w:ind w:left="0" w:right="0" w:firstLine="0"/>
                                <w:jc w:val="left"/>
                                <w:rPr>
                                  <w:rFonts w:ascii="TT Norms Pro Light"/>
                                  <w:b w:val="0"/>
                                  <w:sz w:val="14"/>
                                </w:rPr>
                              </w:pPr>
                              <w:r>
                                <w:rPr>
                                  <w:rFonts w:ascii="TT Norms Pro Light"/>
                                  <w:b w:val="0"/>
                                  <w:spacing w:val="-4"/>
                                  <w:sz w:val="14"/>
                                </w:rPr>
                                <w:t>10.0</w:t>
                              </w:r>
                            </w:p>
                          </w:txbxContent>
                        </wps:txbx>
                        <wps:bodyPr wrap="square" lIns="0" tIns="0" rIns="0" bIns="0" rtlCol="0">
                          <a:noAutofit/>
                        </wps:bodyPr>
                      </wps:wsp>
                      <wps:wsp>
                        <wps:cNvPr id="667" name="Textbox 667"/>
                        <wps:cNvSpPr txBox="1"/>
                        <wps:spPr>
                          <a:xfrm>
                            <a:off x="35953" y="896720"/>
                            <a:ext cx="727075" cy="114935"/>
                          </a:xfrm>
                          <a:prstGeom prst="rect">
                            <a:avLst/>
                          </a:prstGeom>
                        </wps:spPr>
                        <wps:txbx>
                          <w:txbxContent>
                            <w:p>
                              <w:pPr>
                                <w:spacing w:before="17"/>
                                <w:ind w:left="0" w:right="0" w:firstLine="0"/>
                                <w:jc w:val="left"/>
                                <w:rPr>
                                  <w:rFonts w:ascii="TT Norms Pro Light"/>
                                  <w:b w:val="0"/>
                                  <w:sz w:val="14"/>
                                </w:rPr>
                              </w:pPr>
                              <w:r>
                                <w:rPr>
                                  <w:rFonts w:ascii="TT Norms Pro Light"/>
                                  <w:b w:val="0"/>
                                  <w:sz w:val="14"/>
                                </w:rPr>
                                <w:t>Low</w:t>
                              </w:r>
                              <w:r>
                                <w:rPr>
                                  <w:rFonts w:ascii="TT Norms Pro Light"/>
                                  <w:b w:val="0"/>
                                  <w:spacing w:val="4"/>
                                  <w:sz w:val="14"/>
                                </w:rPr>
                                <w:t> </w:t>
                              </w:r>
                              <w:r>
                                <w:rPr>
                                  <w:rFonts w:ascii="TT Norms Pro Light"/>
                                  <w:b w:val="0"/>
                                  <w:sz w:val="14"/>
                                </w:rPr>
                                <w:t>SES</w:t>
                              </w:r>
                              <w:r>
                                <w:rPr>
                                  <w:rFonts w:ascii="TT Norms Pro Light"/>
                                  <w:b w:val="0"/>
                                  <w:spacing w:val="4"/>
                                  <w:sz w:val="14"/>
                                </w:rPr>
                                <w:t> </w:t>
                              </w:r>
                              <w:r>
                                <w:rPr>
                                  <w:rFonts w:ascii="TT Norms Pro Light"/>
                                  <w:b w:val="0"/>
                                  <w:spacing w:val="-2"/>
                                  <w:sz w:val="14"/>
                                </w:rPr>
                                <w:t>students</w:t>
                              </w:r>
                            </w:p>
                          </w:txbxContent>
                        </wps:txbx>
                        <wps:bodyPr wrap="square" lIns="0" tIns="0" rIns="0" bIns="0" rtlCol="0">
                          <a:noAutofit/>
                        </wps:bodyPr>
                      </wps:wsp>
                      <wps:wsp>
                        <wps:cNvPr id="668" name="Textbox 668"/>
                        <wps:cNvSpPr txBox="1"/>
                        <wps:spPr>
                          <a:xfrm>
                            <a:off x="1497647" y="896720"/>
                            <a:ext cx="165100" cy="114935"/>
                          </a:xfrm>
                          <a:prstGeom prst="rect">
                            <a:avLst/>
                          </a:prstGeom>
                        </wps:spPr>
                        <wps:txbx>
                          <w:txbxContent>
                            <w:p>
                              <w:pPr>
                                <w:spacing w:before="17"/>
                                <w:ind w:left="0" w:right="0" w:firstLine="0"/>
                                <w:jc w:val="left"/>
                                <w:rPr>
                                  <w:rFonts w:ascii="TT Norms Pro Light"/>
                                  <w:b w:val="0"/>
                                  <w:sz w:val="14"/>
                                </w:rPr>
                              </w:pPr>
                              <w:r>
                                <w:rPr>
                                  <w:rFonts w:ascii="TT Norms Pro Light"/>
                                  <w:b w:val="0"/>
                                  <w:spacing w:val="-4"/>
                                  <w:sz w:val="14"/>
                                </w:rPr>
                                <w:t>12.3</w:t>
                              </w:r>
                            </w:p>
                          </w:txbxContent>
                        </wps:txbx>
                        <wps:bodyPr wrap="square" lIns="0" tIns="0" rIns="0" bIns="0" rtlCol="0">
                          <a:noAutofit/>
                        </wps:bodyPr>
                      </wps:wsp>
                      <wps:wsp>
                        <wps:cNvPr id="669" name="Textbox 669"/>
                        <wps:cNvSpPr txBox="1"/>
                        <wps:spPr>
                          <a:xfrm>
                            <a:off x="2138972" y="896720"/>
                            <a:ext cx="147955" cy="114935"/>
                          </a:xfrm>
                          <a:prstGeom prst="rect">
                            <a:avLst/>
                          </a:prstGeom>
                        </wps:spPr>
                        <wps:txbx>
                          <w:txbxContent>
                            <w:p>
                              <w:pPr>
                                <w:spacing w:before="17"/>
                                <w:ind w:left="0" w:right="0" w:firstLine="0"/>
                                <w:jc w:val="left"/>
                                <w:rPr>
                                  <w:rFonts w:ascii="TT Norms Pro Light"/>
                                  <w:b w:val="0"/>
                                  <w:sz w:val="14"/>
                                </w:rPr>
                              </w:pPr>
                              <w:r>
                                <w:rPr>
                                  <w:rFonts w:ascii="TT Norms Pro Light"/>
                                  <w:b w:val="0"/>
                                  <w:spacing w:val="-4"/>
                                  <w:sz w:val="14"/>
                                </w:rPr>
                                <w:t>11.8</w:t>
                              </w:r>
                            </w:p>
                          </w:txbxContent>
                        </wps:txbx>
                        <wps:bodyPr wrap="square" lIns="0" tIns="0" rIns="0" bIns="0" rtlCol="0">
                          <a:noAutofit/>
                        </wps:bodyPr>
                      </wps:wsp>
                      <wps:wsp>
                        <wps:cNvPr id="670" name="Textbox 670"/>
                        <wps:cNvSpPr txBox="1"/>
                        <wps:spPr>
                          <a:xfrm>
                            <a:off x="2743936" y="896720"/>
                            <a:ext cx="167640" cy="114935"/>
                          </a:xfrm>
                          <a:prstGeom prst="rect">
                            <a:avLst/>
                          </a:prstGeom>
                        </wps:spPr>
                        <wps:txbx>
                          <w:txbxContent>
                            <w:p>
                              <w:pPr>
                                <w:spacing w:before="17"/>
                                <w:ind w:left="0" w:right="0" w:firstLine="0"/>
                                <w:jc w:val="left"/>
                                <w:rPr>
                                  <w:rFonts w:ascii="TT Norms Pro Light"/>
                                  <w:b w:val="0"/>
                                  <w:sz w:val="14"/>
                                </w:rPr>
                              </w:pPr>
                              <w:r>
                                <w:rPr>
                                  <w:rFonts w:ascii="TT Norms Pro Light"/>
                                  <w:b w:val="0"/>
                                  <w:spacing w:val="-4"/>
                                  <w:sz w:val="14"/>
                                </w:rPr>
                                <w:t>14.0</w:t>
                              </w:r>
                            </w:p>
                          </w:txbxContent>
                        </wps:txbx>
                        <wps:bodyPr wrap="square" lIns="0" tIns="0" rIns="0" bIns="0" rtlCol="0">
                          <a:noAutofit/>
                        </wps:bodyPr>
                      </wps:wsp>
                      <wps:wsp>
                        <wps:cNvPr id="671" name="Textbox 671"/>
                        <wps:cNvSpPr txBox="1"/>
                        <wps:spPr>
                          <a:xfrm>
                            <a:off x="1" y="313688"/>
                            <a:ext cx="2934335" cy="144780"/>
                          </a:xfrm>
                          <a:prstGeom prst="rect">
                            <a:avLst/>
                          </a:prstGeom>
                        </wps:spPr>
                        <wps:txbx>
                          <w:txbxContent>
                            <w:p>
                              <w:pPr>
                                <w:tabs>
                                  <w:tab w:pos="2436" w:val="left" w:leader="none"/>
                                  <w:tab w:pos="3419" w:val="left" w:leader="none"/>
                                  <w:tab w:pos="4563" w:val="right" w:leader="none"/>
                                </w:tabs>
                                <w:spacing w:before="37"/>
                                <w:ind w:left="56" w:right="0" w:firstLine="0"/>
                                <w:jc w:val="left"/>
                                <w:rPr>
                                  <w:rFonts w:ascii="TT Norms Pro Light"/>
                                  <w:b w:val="0"/>
                                  <w:sz w:val="14"/>
                                </w:rPr>
                              </w:pPr>
                              <w:r>
                                <w:rPr>
                                  <w:rFonts w:ascii="TT Norms Pro Light"/>
                                  <w:b w:val="0"/>
                                  <w:sz w:val="14"/>
                                </w:rPr>
                                <w:t>Indigenous</w:t>
                              </w:r>
                              <w:r>
                                <w:rPr>
                                  <w:rFonts w:ascii="TT Norms Pro Light"/>
                                  <w:b w:val="0"/>
                                  <w:spacing w:val="18"/>
                                  <w:sz w:val="14"/>
                                </w:rPr>
                                <w:t> </w:t>
                              </w:r>
                              <w:r>
                                <w:rPr>
                                  <w:rFonts w:ascii="TT Norms Pro Light"/>
                                  <w:b w:val="0"/>
                                  <w:spacing w:val="-2"/>
                                  <w:sz w:val="14"/>
                                </w:rPr>
                                <w:t>students</w:t>
                              </w:r>
                              <w:r>
                                <w:rPr>
                                  <w:rFonts w:ascii="TT Norms Pro Light"/>
                                  <w:b w:val="0"/>
                                  <w:sz w:val="14"/>
                                </w:rPr>
                                <w:tab/>
                              </w:r>
                              <w:r>
                                <w:rPr>
                                  <w:rFonts w:ascii="TT Norms Pro Light"/>
                                  <w:b w:val="0"/>
                                  <w:spacing w:val="-5"/>
                                  <w:sz w:val="14"/>
                                </w:rPr>
                                <w:t>1.3</w:t>
                              </w:r>
                              <w:r>
                                <w:rPr>
                                  <w:rFonts w:ascii="TT Norms Pro Light"/>
                                  <w:b w:val="0"/>
                                  <w:sz w:val="14"/>
                                </w:rPr>
                                <w:tab/>
                              </w:r>
                              <w:r>
                                <w:rPr>
                                  <w:rFonts w:ascii="TT Norms Pro Light"/>
                                  <w:b w:val="0"/>
                                  <w:spacing w:val="-5"/>
                                  <w:sz w:val="14"/>
                                </w:rPr>
                                <w:t>1.4</w:t>
                              </w:r>
                              <w:r>
                                <w:rPr>
                                  <w:rFonts w:ascii="TT Norms Pro Light"/>
                                  <w:b w:val="0"/>
                                  <w:sz w:val="14"/>
                                </w:rPr>
                                <w:tab/>
                              </w:r>
                              <w:r>
                                <w:rPr>
                                  <w:rFonts w:ascii="TT Norms Pro Light"/>
                                  <w:b w:val="0"/>
                                  <w:spacing w:val="-5"/>
                                  <w:sz w:val="14"/>
                                </w:rPr>
                                <w:t>1.3</w:t>
                              </w:r>
                            </w:p>
                          </w:txbxContent>
                        </wps:txbx>
                        <wps:bodyPr wrap="square" lIns="0" tIns="0" rIns="0" bIns="0" rtlCol="0">
                          <a:noAutofit/>
                        </wps:bodyPr>
                      </wps:wsp>
                    </wpg:wgp>
                  </a:graphicData>
                </a:graphic>
              </wp:anchor>
            </w:drawing>
          </mc:Choice>
          <mc:Fallback>
            <w:pict>
              <v:group style="position:absolute;margin-left:56.692902pt;margin-top:-33.6824pt;width:232.05pt;height:102.55pt;mso-position-horizontal-relative:page;mso-position-vertical-relative:paragraph;z-index:15844352" id="docshapegroup437" coordorigin="1134,-674" coordsize="4641,2051">
                <v:shape style="position:absolute;left:1133;top:-185;width:4621;height:1562" id="docshape438" coordorigin="1134,-185" coordsize="4621,1562" path="m5754,945l4772,945,3789,945,2806,945,1134,945,1134,1377,2806,1377,3789,1377,4772,1377,5754,1377,5754,945xm5754,280l4772,280,3789,280,2806,280,1134,280,1134,712,2806,712,3789,712,4772,712,5754,712,5754,280xm5754,-185l4772,-185,3789,-185,2806,-185,1134,-185,1134,48,2806,48,3789,48,4772,48,5754,48,5754,-185xe" filled="true" fillcolor="#e6e7e8" stroked="false">
                  <v:path arrowok="t"/>
                  <v:fill type="solid"/>
                </v:shape>
                <v:line style="position:absolute" from="1134,-664" to="2806,-664" stroked="true" strokeweight="1pt" strokecolor="#000000">
                  <v:stroke dashstyle="solid"/>
                </v:line>
                <v:line style="position:absolute" from="2806,-664" to="3789,-664" stroked="true" strokeweight="1pt" strokecolor="#000000">
                  <v:stroke dashstyle="solid"/>
                </v:line>
                <v:line style="position:absolute" from="3789,-664" to="4772,-664" stroked="true" strokeweight="1pt" strokecolor="#000000">
                  <v:stroke dashstyle="solid"/>
                </v:line>
                <v:line style="position:absolute" from="4772,-664" to="5754,-664" stroked="true" strokeweight="1pt" strokecolor="#000000">
                  <v:stroke dashstyle="solid"/>
                </v:line>
                <v:line style="position:absolute" from="1134,-185" to="2806,-185" stroked="true" strokeweight=".5pt" strokecolor="#000000">
                  <v:stroke dashstyle="solid"/>
                </v:line>
                <v:line style="position:absolute" from="2806,-185" to="3789,-185" stroked="true" strokeweight=".5pt" strokecolor="#000000">
                  <v:stroke dashstyle="solid"/>
                </v:line>
                <v:line style="position:absolute" from="3789,-185" to="4772,-185" stroked="true" strokeweight=".5pt" strokecolor="#000000">
                  <v:stroke dashstyle="solid"/>
                </v:line>
                <v:line style="position:absolute" from="4772,-185" to="5754,-185" stroked="true" strokeweight=".5pt" strokecolor="#000000">
                  <v:stroke dashstyle="solid"/>
                </v:line>
                <v:shape style="position:absolute;left:1190;top:306;width:1422;height:381" type="#_x0000_t202" id="docshape439" filled="false" stroked="false">
                  <v:textbox inset="0,0,0,0">
                    <w:txbxContent>
                      <w:p>
                        <w:pPr>
                          <w:spacing w:before="17"/>
                          <w:ind w:left="0" w:right="0" w:firstLine="0"/>
                          <w:jc w:val="left"/>
                          <w:rPr>
                            <w:rFonts w:ascii="TT Norms Pro Light"/>
                            <w:b w:val="0"/>
                            <w:sz w:val="14"/>
                          </w:rPr>
                        </w:pPr>
                        <w:r>
                          <w:rPr>
                            <w:rFonts w:ascii="TT Norms Pro Light"/>
                            <w:b w:val="0"/>
                            <w:sz w:val="14"/>
                          </w:rPr>
                          <w:t>Non-English</w:t>
                        </w:r>
                        <w:r>
                          <w:rPr>
                            <w:rFonts w:ascii="TT Norms Pro Light"/>
                            <w:b w:val="0"/>
                            <w:spacing w:val="17"/>
                            <w:sz w:val="14"/>
                          </w:rPr>
                          <w:t> </w:t>
                        </w:r>
                        <w:r>
                          <w:rPr>
                            <w:rFonts w:ascii="TT Norms Pro Light"/>
                            <w:b w:val="0"/>
                            <w:spacing w:val="-2"/>
                            <w:sz w:val="14"/>
                          </w:rPr>
                          <w:t>speaking</w:t>
                        </w:r>
                      </w:p>
                      <w:p>
                        <w:pPr>
                          <w:spacing w:before="36"/>
                          <w:ind w:left="0" w:right="0" w:firstLine="0"/>
                          <w:jc w:val="left"/>
                          <w:rPr>
                            <w:rFonts w:ascii="TT Norms Pro Light"/>
                            <w:b w:val="0"/>
                            <w:sz w:val="14"/>
                          </w:rPr>
                        </w:pPr>
                        <w:r>
                          <w:rPr>
                            <w:rFonts w:ascii="TT Norms Pro Light"/>
                            <w:b w:val="0"/>
                            <w:spacing w:val="-2"/>
                            <w:sz w:val="14"/>
                          </w:rPr>
                          <w:t>background</w:t>
                        </w:r>
                      </w:p>
                    </w:txbxContent>
                  </v:textbox>
                  <w10:wrap type="none"/>
                </v:shape>
                <v:shape style="position:absolute;left:3548;top:406;width:200;height:181" type="#_x0000_t202" id="docshape440" filled="false" stroked="false">
                  <v:textbox inset="0,0,0,0">
                    <w:txbxContent>
                      <w:p>
                        <w:pPr>
                          <w:spacing w:before="17"/>
                          <w:ind w:left="0" w:right="0" w:firstLine="0"/>
                          <w:jc w:val="left"/>
                          <w:rPr>
                            <w:rFonts w:ascii="TT Norms Pro Light"/>
                            <w:b w:val="0"/>
                            <w:sz w:val="14"/>
                          </w:rPr>
                        </w:pPr>
                        <w:r>
                          <w:rPr>
                            <w:rFonts w:ascii="TT Norms Pro Light"/>
                            <w:b w:val="0"/>
                            <w:spacing w:val="-5"/>
                            <w:sz w:val="14"/>
                          </w:rPr>
                          <w:t>3.9</w:t>
                        </w:r>
                      </w:p>
                    </w:txbxContent>
                  </v:textbox>
                  <w10:wrap type="none"/>
                </v:shape>
                <v:shape style="position:absolute;left:4530;top:406;width:200;height:181" type="#_x0000_t202" id="docshape441" filled="false" stroked="false">
                  <v:textbox inset="0,0,0,0">
                    <w:txbxContent>
                      <w:p>
                        <w:pPr>
                          <w:spacing w:before="17"/>
                          <w:ind w:left="0" w:right="0" w:firstLine="0"/>
                          <w:jc w:val="left"/>
                          <w:rPr>
                            <w:rFonts w:ascii="TT Norms Pro Light"/>
                            <w:b w:val="0"/>
                            <w:sz w:val="14"/>
                          </w:rPr>
                        </w:pPr>
                        <w:r>
                          <w:rPr>
                            <w:rFonts w:ascii="TT Norms Pro Light"/>
                            <w:b w:val="0"/>
                            <w:spacing w:val="-5"/>
                            <w:sz w:val="14"/>
                          </w:rPr>
                          <w:t>3.9</w:t>
                        </w:r>
                      </w:p>
                    </w:txbxContent>
                  </v:textbox>
                  <w10:wrap type="none"/>
                </v:shape>
                <v:shape style="position:absolute;left:5503;top:406;width:216;height:181" type="#_x0000_t202" id="docshape442" filled="false" stroked="false">
                  <v:textbox inset="0,0,0,0">
                    <w:txbxContent>
                      <w:p>
                        <w:pPr>
                          <w:spacing w:before="17"/>
                          <w:ind w:left="0" w:right="0" w:firstLine="0"/>
                          <w:jc w:val="left"/>
                          <w:rPr>
                            <w:rFonts w:ascii="TT Norms Pro Light"/>
                            <w:b w:val="0"/>
                            <w:sz w:val="14"/>
                          </w:rPr>
                        </w:pPr>
                        <w:r>
                          <w:rPr>
                            <w:rFonts w:ascii="TT Norms Pro Light"/>
                            <w:b w:val="0"/>
                            <w:spacing w:val="-5"/>
                            <w:sz w:val="14"/>
                          </w:rPr>
                          <w:t>5.0</w:t>
                        </w:r>
                      </w:p>
                    </w:txbxContent>
                  </v:textbox>
                  <w10:wrap type="none"/>
                </v:shape>
                <v:shape style="position:absolute;left:1190;top:970;width:1090;height:381" type="#_x0000_t202" id="docshape443" filled="false" stroked="false">
                  <v:textbox inset="0,0,0,0">
                    <w:txbxContent>
                      <w:p>
                        <w:pPr>
                          <w:spacing w:before="16"/>
                          <w:ind w:left="0" w:right="0" w:firstLine="0"/>
                          <w:jc w:val="left"/>
                          <w:rPr>
                            <w:rFonts w:ascii="TT Norms Pro Light"/>
                            <w:b w:val="0"/>
                            <w:sz w:val="14"/>
                          </w:rPr>
                        </w:pPr>
                        <w:r>
                          <w:rPr>
                            <w:rFonts w:ascii="TT Norms Pro Light"/>
                            <w:b w:val="0"/>
                            <w:spacing w:val="-2"/>
                            <w:sz w:val="14"/>
                          </w:rPr>
                          <w:t>Regional/remote</w:t>
                        </w:r>
                      </w:p>
                      <w:p>
                        <w:pPr>
                          <w:spacing w:before="37"/>
                          <w:ind w:left="0" w:right="0" w:firstLine="0"/>
                          <w:jc w:val="left"/>
                          <w:rPr>
                            <w:rFonts w:ascii="TT Norms Pro Light"/>
                            <w:b w:val="0"/>
                            <w:sz w:val="14"/>
                          </w:rPr>
                        </w:pPr>
                        <w:r>
                          <w:rPr>
                            <w:rFonts w:ascii="TT Norms Pro Light"/>
                            <w:b w:val="0"/>
                            <w:spacing w:val="-2"/>
                            <w:sz w:val="14"/>
                          </w:rPr>
                          <w:t>students</w:t>
                        </w:r>
                      </w:p>
                    </w:txbxContent>
                  </v:textbox>
                  <w10:wrap type="none"/>
                </v:shape>
                <v:shape style="position:absolute;left:3548;top:1071;width:208;height:181" type="#_x0000_t202" id="docshape444" filled="false" stroked="false">
                  <v:textbox inset="0,0,0,0">
                    <w:txbxContent>
                      <w:p>
                        <w:pPr>
                          <w:spacing w:before="17"/>
                          <w:ind w:left="0" w:right="0" w:firstLine="0"/>
                          <w:jc w:val="left"/>
                          <w:rPr>
                            <w:rFonts w:ascii="TT Norms Pro Light"/>
                            <w:b w:val="0"/>
                            <w:sz w:val="14"/>
                          </w:rPr>
                        </w:pPr>
                        <w:r>
                          <w:rPr>
                            <w:rFonts w:ascii="TT Norms Pro Light"/>
                            <w:b w:val="0"/>
                            <w:spacing w:val="-5"/>
                            <w:sz w:val="14"/>
                          </w:rPr>
                          <w:t>8.7</w:t>
                        </w:r>
                      </w:p>
                    </w:txbxContent>
                  </v:textbox>
                  <w10:wrap type="none"/>
                </v:shape>
                <v:shape style="position:absolute;left:4519;top:1071;width:217;height:181" type="#_x0000_t202" id="docshape445" filled="false" stroked="false">
                  <v:textbox inset="0,0,0,0">
                    <w:txbxContent>
                      <w:p>
                        <w:pPr>
                          <w:spacing w:before="17"/>
                          <w:ind w:left="0" w:right="0" w:firstLine="0"/>
                          <w:jc w:val="left"/>
                          <w:rPr>
                            <w:rFonts w:ascii="TT Norms Pro Light"/>
                            <w:b w:val="0"/>
                            <w:sz w:val="14"/>
                          </w:rPr>
                        </w:pPr>
                        <w:r>
                          <w:rPr>
                            <w:rFonts w:ascii="TT Norms Pro Light"/>
                            <w:b w:val="0"/>
                            <w:spacing w:val="-5"/>
                            <w:sz w:val="14"/>
                          </w:rPr>
                          <w:t>8.0</w:t>
                        </w:r>
                      </w:p>
                    </w:txbxContent>
                  </v:textbox>
                  <w10:wrap type="none"/>
                </v:shape>
                <v:shape style="position:absolute;left:5452;top:1071;width:267;height:181" type="#_x0000_t202" id="docshape446" filled="false" stroked="false">
                  <v:textbox inset="0,0,0,0">
                    <w:txbxContent>
                      <w:p>
                        <w:pPr>
                          <w:spacing w:before="17"/>
                          <w:ind w:left="0" w:right="0" w:firstLine="0"/>
                          <w:jc w:val="left"/>
                          <w:rPr>
                            <w:rFonts w:ascii="TT Norms Pro Light"/>
                            <w:b w:val="0"/>
                            <w:sz w:val="14"/>
                          </w:rPr>
                        </w:pPr>
                        <w:r>
                          <w:rPr>
                            <w:rFonts w:ascii="TT Norms Pro Light"/>
                            <w:b w:val="0"/>
                            <w:spacing w:val="-4"/>
                            <w:sz w:val="14"/>
                          </w:rPr>
                          <w:t>10.0</w:t>
                        </w:r>
                      </w:p>
                    </w:txbxContent>
                  </v:textbox>
                  <w10:wrap type="none"/>
                </v:shape>
                <v:shape style="position:absolute;left:1213;top:-618;width:667;height:187" type="#_x0000_t202" id="docshape447" filled="false" stroked="false">
                  <v:textbox inset="0,0,0,0">
                    <w:txbxContent>
                      <w:p>
                        <w:pPr>
                          <w:spacing w:before="19"/>
                          <w:ind w:left="0" w:right="0" w:firstLine="0"/>
                          <w:jc w:val="left"/>
                          <w:rPr>
                            <w:rFonts w:ascii="TT Norms Pro"/>
                            <w:b/>
                            <w:sz w:val="14"/>
                          </w:rPr>
                        </w:pPr>
                        <w:r>
                          <w:rPr>
                            <w:rFonts w:ascii="TT Norms Pro"/>
                            <w:b/>
                            <w:spacing w:val="-2"/>
                            <w:sz w:val="14"/>
                          </w:rPr>
                          <w:t>COHORT</w:t>
                        </w:r>
                      </w:p>
                    </w:txbxContent>
                  </v:textbox>
                  <w10:wrap type="none"/>
                </v:shape>
                <v:shape style="position:absolute;left:3387;top:-618;width:344;height:187" type="#_x0000_t202" id="docshape448" filled="false" stroked="false">
                  <v:textbox inset="0,0,0,0">
                    <w:txbxContent>
                      <w:p>
                        <w:pPr>
                          <w:spacing w:before="19"/>
                          <w:ind w:left="0" w:right="0" w:firstLine="0"/>
                          <w:jc w:val="left"/>
                          <w:rPr>
                            <w:rFonts w:ascii="TT Norms Pro"/>
                            <w:b/>
                            <w:sz w:val="14"/>
                          </w:rPr>
                        </w:pPr>
                        <w:r>
                          <w:rPr>
                            <w:rFonts w:ascii="TT Norms Pro"/>
                            <w:b/>
                            <w:spacing w:val="-4"/>
                            <w:sz w:val="14"/>
                          </w:rPr>
                          <w:t>2019</w:t>
                        </w:r>
                      </w:p>
                    </w:txbxContent>
                  </v:textbox>
                  <w10:wrap type="none"/>
                </v:shape>
                <v:shape style="position:absolute;left:4337;top:-618;width:375;height:187" type="#_x0000_t202" id="docshape449" filled="false" stroked="false">
                  <v:textbox inset="0,0,0,0">
                    <w:txbxContent>
                      <w:p>
                        <w:pPr>
                          <w:spacing w:before="19"/>
                          <w:ind w:left="0" w:right="0" w:firstLine="0"/>
                          <w:jc w:val="left"/>
                          <w:rPr>
                            <w:rFonts w:ascii="TT Norms Pro"/>
                            <w:b/>
                            <w:sz w:val="14"/>
                          </w:rPr>
                        </w:pPr>
                        <w:r>
                          <w:rPr>
                            <w:rFonts w:ascii="TT Norms Pro"/>
                            <w:b/>
                            <w:spacing w:val="-4"/>
                            <w:sz w:val="14"/>
                          </w:rPr>
                          <w:t>2020</w:t>
                        </w:r>
                      </w:p>
                    </w:txbxContent>
                  </v:textbox>
                  <w10:wrap type="none"/>
                </v:shape>
                <v:shape style="position:absolute;left:5178;top:-618;width:597;height:387" type="#_x0000_t202" id="docshape450" filled="false" stroked="false">
                  <v:textbox inset="0,0,0,0">
                    <w:txbxContent>
                      <w:p>
                        <w:pPr>
                          <w:spacing w:before="19"/>
                          <w:ind w:left="222" w:right="0" w:firstLine="0"/>
                          <w:jc w:val="left"/>
                          <w:rPr>
                            <w:rFonts w:ascii="TT Norms Pro"/>
                            <w:b/>
                            <w:sz w:val="14"/>
                          </w:rPr>
                        </w:pPr>
                        <w:r>
                          <w:rPr>
                            <w:rFonts w:ascii="TT Norms Pro"/>
                            <w:b/>
                            <w:spacing w:val="-4"/>
                            <w:sz w:val="14"/>
                          </w:rPr>
                          <w:t>2020</w:t>
                        </w:r>
                      </w:p>
                      <w:p>
                        <w:pPr>
                          <w:spacing w:before="37"/>
                          <w:ind w:left="0" w:right="0" w:firstLine="0"/>
                          <w:jc w:val="left"/>
                          <w:rPr>
                            <w:rFonts w:ascii="TT Norms Pro"/>
                            <w:b/>
                            <w:sz w:val="14"/>
                          </w:rPr>
                        </w:pPr>
                        <w:r>
                          <w:rPr>
                            <w:rFonts w:ascii="TT Norms Pro"/>
                            <w:b/>
                            <w:spacing w:val="-2"/>
                            <w:sz w:val="14"/>
                          </w:rPr>
                          <w:t>TARGET</w:t>
                        </w:r>
                      </w:p>
                    </w:txbxContent>
                  </v:textbox>
                  <w10:wrap type="none"/>
                </v:shape>
                <v:shape style="position:absolute;left:1190;top:73;width:1576;height:181" type="#_x0000_t202" id="docshape451" filled="false" stroked="false">
                  <v:textbox inset="0,0,0,0">
                    <w:txbxContent>
                      <w:p>
                        <w:pPr>
                          <w:spacing w:before="17"/>
                          <w:ind w:left="0" w:right="0" w:firstLine="0"/>
                          <w:jc w:val="left"/>
                          <w:rPr>
                            <w:rFonts w:ascii="TT Norms Pro Light"/>
                            <w:b w:val="0"/>
                            <w:sz w:val="14"/>
                          </w:rPr>
                        </w:pPr>
                        <w:r>
                          <w:rPr>
                            <w:rFonts w:ascii="TT Norms Pro Light"/>
                            <w:b w:val="0"/>
                            <w:sz w:val="14"/>
                          </w:rPr>
                          <w:t>Students</w:t>
                        </w:r>
                        <w:r>
                          <w:rPr>
                            <w:rFonts w:ascii="TT Norms Pro Light"/>
                            <w:b w:val="0"/>
                            <w:spacing w:val="5"/>
                            <w:sz w:val="14"/>
                          </w:rPr>
                          <w:t> </w:t>
                        </w:r>
                        <w:r>
                          <w:rPr>
                            <w:rFonts w:ascii="TT Norms Pro Light"/>
                            <w:b w:val="0"/>
                            <w:sz w:val="14"/>
                          </w:rPr>
                          <w:t>with</w:t>
                        </w:r>
                        <w:r>
                          <w:rPr>
                            <w:rFonts w:ascii="TT Norms Pro Light"/>
                            <w:b w:val="0"/>
                            <w:spacing w:val="7"/>
                            <w:sz w:val="14"/>
                          </w:rPr>
                          <w:t> </w:t>
                        </w:r>
                        <w:r>
                          <w:rPr>
                            <w:rFonts w:ascii="TT Norms Pro Light"/>
                            <w:b w:val="0"/>
                            <w:spacing w:val="-2"/>
                            <w:sz w:val="14"/>
                          </w:rPr>
                          <w:t>disabilities</w:t>
                        </w:r>
                      </w:p>
                    </w:txbxContent>
                  </v:textbox>
                  <w10:wrap type="none"/>
                </v:shape>
                <v:shape style="position:absolute;left:3545;top:73;width:207;height:181" type="#_x0000_t202" id="docshape452" filled="false" stroked="false">
                  <v:textbox inset="0,0,0,0">
                    <w:txbxContent>
                      <w:p>
                        <w:pPr>
                          <w:spacing w:before="17"/>
                          <w:ind w:left="0" w:right="0" w:firstLine="0"/>
                          <w:jc w:val="left"/>
                          <w:rPr>
                            <w:rFonts w:ascii="TT Norms Pro Light"/>
                            <w:b w:val="0"/>
                            <w:sz w:val="14"/>
                          </w:rPr>
                        </w:pPr>
                        <w:r>
                          <w:rPr>
                            <w:rFonts w:ascii="TT Norms Pro Light"/>
                            <w:b w:val="0"/>
                            <w:spacing w:val="-5"/>
                            <w:sz w:val="14"/>
                          </w:rPr>
                          <w:t>9.5</w:t>
                        </w:r>
                      </w:p>
                    </w:txbxContent>
                  </v:textbox>
                  <w10:wrap type="none"/>
                </v:shape>
                <v:shape style="position:absolute;left:4469;top:73;width:267;height:181" type="#_x0000_t202" id="docshape453" filled="false" stroked="false">
                  <v:textbox inset="0,0,0,0">
                    <w:txbxContent>
                      <w:p>
                        <w:pPr>
                          <w:spacing w:before="17"/>
                          <w:ind w:left="0" w:right="0" w:firstLine="0"/>
                          <w:jc w:val="left"/>
                          <w:rPr>
                            <w:rFonts w:ascii="TT Norms Pro Light"/>
                            <w:b w:val="0"/>
                            <w:sz w:val="14"/>
                          </w:rPr>
                        </w:pPr>
                        <w:r>
                          <w:rPr>
                            <w:rFonts w:ascii="TT Norms Pro Light"/>
                            <w:b w:val="0"/>
                            <w:spacing w:val="-4"/>
                            <w:sz w:val="14"/>
                          </w:rPr>
                          <w:t>10.3</w:t>
                        </w:r>
                      </w:p>
                    </w:txbxContent>
                  </v:textbox>
                  <w10:wrap type="none"/>
                </v:shape>
                <v:shape style="position:absolute;left:5452;top:73;width:267;height:181" type="#_x0000_t202" id="docshape454" filled="false" stroked="false">
                  <v:textbox inset="0,0,0,0">
                    <w:txbxContent>
                      <w:p>
                        <w:pPr>
                          <w:spacing w:before="17"/>
                          <w:ind w:left="0" w:right="0" w:firstLine="0"/>
                          <w:jc w:val="left"/>
                          <w:rPr>
                            <w:rFonts w:ascii="TT Norms Pro Light"/>
                            <w:b w:val="0"/>
                            <w:sz w:val="14"/>
                          </w:rPr>
                        </w:pPr>
                        <w:r>
                          <w:rPr>
                            <w:rFonts w:ascii="TT Norms Pro Light"/>
                            <w:b w:val="0"/>
                            <w:spacing w:val="-4"/>
                            <w:sz w:val="14"/>
                          </w:rPr>
                          <w:t>10.0</w:t>
                        </w:r>
                      </w:p>
                    </w:txbxContent>
                  </v:textbox>
                  <w10:wrap type="none"/>
                </v:shape>
                <v:shape style="position:absolute;left:1190;top:738;width:1145;height:181" type="#_x0000_t202" id="docshape455" filled="false" stroked="false">
                  <v:textbox inset="0,0,0,0">
                    <w:txbxContent>
                      <w:p>
                        <w:pPr>
                          <w:spacing w:before="17"/>
                          <w:ind w:left="0" w:right="0" w:firstLine="0"/>
                          <w:jc w:val="left"/>
                          <w:rPr>
                            <w:rFonts w:ascii="TT Norms Pro Light"/>
                            <w:b w:val="0"/>
                            <w:sz w:val="14"/>
                          </w:rPr>
                        </w:pPr>
                        <w:r>
                          <w:rPr>
                            <w:rFonts w:ascii="TT Norms Pro Light"/>
                            <w:b w:val="0"/>
                            <w:sz w:val="14"/>
                          </w:rPr>
                          <w:t>Low</w:t>
                        </w:r>
                        <w:r>
                          <w:rPr>
                            <w:rFonts w:ascii="TT Norms Pro Light"/>
                            <w:b w:val="0"/>
                            <w:spacing w:val="4"/>
                            <w:sz w:val="14"/>
                          </w:rPr>
                          <w:t> </w:t>
                        </w:r>
                        <w:r>
                          <w:rPr>
                            <w:rFonts w:ascii="TT Norms Pro Light"/>
                            <w:b w:val="0"/>
                            <w:sz w:val="14"/>
                          </w:rPr>
                          <w:t>SES</w:t>
                        </w:r>
                        <w:r>
                          <w:rPr>
                            <w:rFonts w:ascii="TT Norms Pro Light"/>
                            <w:b w:val="0"/>
                            <w:spacing w:val="4"/>
                            <w:sz w:val="14"/>
                          </w:rPr>
                          <w:t> </w:t>
                        </w:r>
                        <w:r>
                          <w:rPr>
                            <w:rFonts w:ascii="TT Norms Pro Light"/>
                            <w:b w:val="0"/>
                            <w:spacing w:val="-2"/>
                            <w:sz w:val="14"/>
                          </w:rPr>
                          <w:t>students</w:t>
                        </w:r>
                      </w:p>
                    </w:txbxContent>
                  </v:textbox>
                  <w10:wrap type="none"/>
                </v:shape>
                <v:shape style="position:absolute;left:3492;top:738;width:260;height:181" type="#_x0000_t202" id="docshape456" filled="false" stroked="false">
                  <v:textbox inset="0,0,0,0">
                    <w:txbxContent>
                      <w:p>
                        <w:pPr>
                          <w:spacing w:before="17"/>
                          <w:ind w:left="0" w:right="0" w:firstLine="0"/>
                          <w:jc w:val="left"/>
                          <w:rPr>
                            <w:rFonts w:ascii="TT Norms Pro Light"/>
                            <w:b w:val="0"/>
                            <w:sz w:val="14"/>
                          </w:rPr>
                        </w:pPr>
                        <w:r>
                          <w:rPr>
                            <w:rFonts w:ascii="TT Norms Pro Light"/>
                            <w:b w:val="0"/>
                            <w:spacing w:val="-4"/>
                            <w:sz w:val="14"/>
                          </w:rPr>
                          <w:t>12.3</w:t>
                        </w:r>
                      </w:p>
                    </w:txbxContent>
                  </v:textbox>
                  <w10:wrap type="none"/>
                </v:shape>
                <v:shape style="position:absolute;left:4502;top:738;width:233;height:181" type="#_x0000_t202" id="docshape457" filled="false" stroked="false">
                  <v:textbox inset="0,0,0,0">
                    <w:txbxContent>
                      <w:p>
                        <w:pPr>
                          <w:spacing w:before="17"/>
                          <w:ind w:left="0" w:right="0" w:firstLine="0"/>
                          <w:jc w:val="left"/>
                          <w:rPr>
                            <w:rFonts w:ascii="TT Norms Pro Light"/>
                            <w:b w:val="0"/>
                            <w:sz w:val="14"/>
                          </w:rPr>
                        </w:pPr>
                        <w:r>
                          <w:rPr>
                            <w:rFonts w:ascii="TT Norms Pro Light"/>
                            <w:b w:val="0"/>
                            <w:spacing w:val="-4"/>
                            <w:sz w:val="14"/>
                          </w:rPr>
                          <w:t>11.8</w:t>
                        </w:r>
                      </w:p>
                    </w:txbxContent>
                  </v:textbox>
                  <w10:wrap type="none"/>
                </v:shape>
                <v:shape style="position:absolute;left:5455;top:738;width:264;height:181" type="#_x0000_t202" id="docshape458" filled="false" stroked="false">
                  <v:textbox inset="0,0,0,0">
                    <w:txbxContent>
                      <w:p>
                        <w:pPr>
                          <w:spacing w:before="17"/>
                          <w:ind w:left="0" w:right="0" w:firstLine="0"/>
                          <w:jc w:val="left"/>
                          <w:rPr>
                            <w:rFonts w:ascii="TT Norms Pro Light"/>
                            <w:b w:val="0"/>
                            <w:sz w:val="14"/>
                          </w:rPr>
                        </w:pPr>
                        <w:r>
                          <w:rPr>
                            <w:rFonts w:ascii="TT Norms Pro Light"/>
                            <w:b w:val="0"/>
                            <w:spacing w:val="-4"/>
                            <w:sz w:val="14"/>
                          </w:rPr>
                          <w:t>14.0</w:t>
                        </w:r>
                      </w:p>
                    </w:txbxContent>
                  </v:textbox>
                  <w10:wrap type="none"/>
                </v:shape>
                <v:shape style="position:absolute;left:1133;top:-180;width:4621;height:228" type="#_x0000_t202" id="docshape459" filled="false" stroked="false">
                  <v:textbox inset="0,0,0,0">
                    <w:txbxContent>
                      <w:p>
                        <w:pPr>
                          <w:tabs>
                            <w:tab w:pos="2436" w:val="left" w:leader="none"/>
                            <w:tab w:pos="3419" w:val="left" w:leader="none"/>
                            <w:tab w:pos="4563" w:val="right" w:leader="none"/>
                          </w:tabs>
                          <w:spacing w:before="37"/>
                          <w:ind w:left="56" w:right="0" w:firstLine="0"/>
                          <w:jc w:val="left"/>
                          <w:rPr>
                            <w:rFonts w:ascii="TT Norms Pro Light"/>
                            <w:b w:val="0"/>
                            <w:sz w:val="14"/>
                          </w:rPr>
                        </w:pPr>
                        <w:r>
                          <w:rPr>
                            <w:rFonts w:ascii="TT Norms Pro Light"/>
                            <w:b w:val="0"/>
                            <w:sz w:val="14"/>
                          </w:rPr>
                          <w:t>Indigenous</w:t>
                        </w:r>
                        <w:r>
                          <w:rPr>
                            <w:rFonts w:ascii="TT Norms Pro Light"/>
                            <w:b w:val="0"/>
                            <w:spacing w:val="18"/>
                            <w:sz w:val="14"/>
                          </w:rPr>
                          <w:t> </w:t>
                        </w:r>
                        <w:r>
                          <w:rPr>
                            <w:rFonts w:ascii="TT Norms Pro Light"/>
                            <w:b w:val="0"/>
                            <w:spacing w:val="-2"/>
                            <w:sz w:val="14"/>
                          </w:rPr>
                          <w:t>students</w:t>
                        </w:r>
                        <w:r>
                          <w:rPr>
                            <w:rFonts w:ascii="TT Norms Pro Light"/>
                            <w:b w:val="0"/>
                            <w:sz w:val="14"/>
                          </w:rPr>
                          <w:tab/>
                        </w:r>
                        <w:r>
                          <w:rPr>
                            <w:rFonts w:ascii="TT Norms Pro Light"/>
                            <w:b w:val="0"/>
                            <w:spacing w:val="-5"/>
                            <w:sz w:val="14"/>
                          </w:rPr>
                          <w:t>1.3</w:t>
                        </w:r>
                        <w:r>
                          <w:rPr>
                            <w:rFonts w:ascii="TT Norms Pro Light"/>
                            <w:b w:val="0"/>
                            <w:sz w:val="14"/>
                          </w:rPr>
                          <w:tab/>
                        </w:r>
                        <w:r>
                          <w:rPr>
                            <w:rFonts w:ascii="TT Norms Pro Light"/>
                            <w:b w:val="0"/>
                            <w:spacing w:val="-5"/>
                            <w:sz w:val="14"/>
                          </w:rPr>
                          <w:t>1.4</w:t>
                        </w:r>
                        <w:r>
                          <w:rPr>
                            <w:rFonts w:ascii="TT Norms Pro Light"/>
                            <w:b w:val="0"/>
                            <w:sz w:val="14"/>
                          </w:rPr>
                          <w:tab/>
                        </w:r>
                        <w:r>
                          <w:rPr>
                            <w:rFonts w:ascii="TT Norms Pro Light"/>
                            <w:b w:val="0"/>
                            <w:spacing w:val="-5"/>
                            <w:sz w:val="14"/>
                          </w:rPr>
                          <w:t>1.3</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844864">
                <wp:simplePos x="0" y="0"/>
                <wp:positionH relativeFrom="page">
                  <wp:posOffset>3867899</wp:posOffset>
                </wp:positionH>
                <wp:positionV relativeFrom="paragraph">
                  <wp:posOffset>-2873214</wp:posOffset>
                </wp:positionV>
                <wp:extent cx="3081020" cy="2911475"/>
                <wp:effectExtent l="0" t="0" r="0" b="0"/>
                <wp:wrapNone/>
                <wp:docPr id="672" name="Textbox 672"/>
                <wp:cNvGraphicFramePr>
                  <a:graphicFrameLocks/>
                </wp:cNvGraphicFramePr>
                <a:graphic>
                  <a:graphicData uri="http://schemas.microsoft.com/office/word/2010/wordprocessingShape">
                    <wps:wsp>
                      <wps:cNvPr id="672" name="Textbox 672"/>
                      <wps:cNvSpPr txBox="1"/>
                      <wps:spPr>
                        <a:xfrm>
                          <a:off x="0" y="0"/>
                          <a:ext cx="3081020" cy="2911475"/>
                        </a:xfrm>
                        <a:prstGeom prst="rect">
                          <a:avLst/>
                        </a:prstGeom>
                      </wps:spPr>
                      <wps:txbx>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78"/>
                              <w:gridCol w:w="456"/>
                              <w:gridCol w:w="457"/>
                              <w:gridCol w:w="459"/>
                              <w:gridCol w:w="478"/>
                              <w:gridCol w:w="480"/>
                              <w:gridCol w:w="625"/>
                            </w:tblGrid>
                            <w:tr>
                              <w:trPr>
                                <w:trHeight w:val="277" w:hRule="atLeast"/>
                              </w:trPr>
                              <w:tc>
                                <w:tcPr>
                                  <w:tcW w:w="1778" w:type="dxa"/>
                                  <w:tcBorders>
                                    <w:bottom w:val="single" w:sz="8" w:space="0" w:color="000000"/>
                                  </w:tcBorders>
                                </w:tcPr>
                                <w:p>
                                  <w:pPr>
                                    <w:pStyle w:val="TableParagraph"/>
                                    <w:spacing w:before="25"/>
                                    <w:rPr>
                                      <w:rFonts w:ascii="TT Norms Pro"/>
                                      <w:b/>
                                      <w:sz w:val="18"/>
                                    </w:rPr>
                                  </w:pPr>
                                  <w:r>
                                    <w:rPr>
                                      <w:rFonts w:ascii="TT Norms Pro"/>
                                      <w:b/>
                                      <w:sz w:val="18"/>
                                    </w:rPr>
                                    <w:t>Student</w:t>
                                  </w:r>
                                  <w:r>
                                    <w:rPr>
                                      <w:rFonts w:ascii="TT Norms Pro"/>
                                      <w:b/>
                                      <w:spacing w:val="5"/>
                                      <w:sz w:val="18"/>
                                    </w:rPr>
                                    <w:t> </w:t>
                                  </w:r>
                                  <w:r>
                                    <w:rPr>
                                      <w:rFonts w:ascii="TT Norms Pro"/>
                                      <w:b/>
                                      <w:spacing w:val="-2"/>
                                      <w:sz w:val="18"/>
                                    </w:rPr>
                                    <w:t>satisfaction</w:t>
                                  </w:r>
                                </w:p>
                              </w:tc>
                              <w:tc>
                                <w:tcPr>
                                  <w:tcW w:w="2955" w:type="dxa"/>
                                  <w:gridSpan w:val="6"/>
                                  <w:tcBorders>
                                    <w:bottom w:val="single" w:sz="8" w:space="0" w:color="000000"/>
                                  </w:tcBorders>
                                </w:tcPr>
                                <w:p>
                                  <w:pPr>
                                    <w:pStyle w:val="TableParagraph"/>
                                    <w:rPr>
                                      <w:rFonts w:ascii="Times New Roman"/>
                                      <w:sz w:val="16"/>
                                    </w:rPr>
                                  </w:pPr>
                                </w:p>
                              </w:tc>
                            </w:tr>
                            <w:tr>
                              <w:trPr>
                                <w:trHeight w:val="480" w:hRule="atLeast"/>
                              </w:trPr>
                              <w:tc>
                                <w:tcPr>
                                  <w:tcW w:w="1778" w:type="dxa"/>
                                  <w:tcBorders>
                                    <w:top w:val="single" w:sz="8" w:space="0" w:color="000000"/>
                                    <w:bottom w:val="single" w:sz="4" w:space="0" w:color="000000"/>
                                  </w:tcBorders>
                                </w:tcPr>
                                <w:p>
                                  <w:pPr>
                                    <w:pStyle w:val="TableParagraph"/>
                                    <w:spacing w:line="292" w:lineRule="auto" w:before="56"/>
                                    <w:ind w:left="14" w:right="815"/>
                                    <w:rPr>
                                      <w:rFonts w:ascii="TT Norms Pro"/>
                                      <w:b/>
                                      <w:sz w:val="14"/>
                                    </w:rPr>
                                  </w:pPr>
                                  <w:r>
                                    <w:rPr>
                                      <w:rFonts w:ascii="TT Norms Pro"/>
                                      <w:b/>
                                      <w:spacing w:val="-2"/>
                                      <w:sz w:val="14"/>
                                    </w:rPr>
                                    <w:t>TEACHING</w:t>
                                  </w:r>
                                  <w:r>
                                    <w:rPr>
                                      <w:rFonts w:ascii="TT Norms Pro"/>
                                      <w:b/>
                                      <w:spacing w:val="80"/>
                                      <w:sz w:val="14"/>
                                    </w:rPr>
                                    <w:t> </w:t>
                                  </w:r>
                                  <w:r>
                                    <w:rPr>
                                      <w:rFonts w:ascii="TT Norms Pro"/>
                                      <w:b/>
                                      <w:sz w:val="14"/>
                                    </w:rPr>
                                    <w:t>(%</w:t>
                                  </w:r>
                                  <w:r>
                                    <w:rPr>
                                      <w:rFonts w:ascii="TT Norms Pro"/>
                                      <w:b/>
                                      <w:spacing w:val="-8"/>
                                      <w:sz w:val="14"/>
                                    </w:rPr>
                                    <w:t> </w:t>
                                  </w:r>
                                  <w:r>
                                    <w:rPr>
                                      <w:rFonts w:ascii="TT Norms Pro"/>
                                      <w:b/>
                                      <w:sz w:val="14"/>
                                    </w:rPr>
                                    <w:t>OVERALL)</w:t>
                                  </w:r>
                                </w:p>
                              </w:tc>
                              <w:tc>
                                <w:tcPr>
                                  <w:tcW w:w="456" w:type="dxa"/>
                                  <w:tcBorders>
                                    <w:top w:val="single" w:sz="8" w:space="0" w:color="000000"/>
                                    <w:bottom w:val="single" w:sz="4" w:space="0" w:color="000000"/>
                                  </w:tcBorders>
                                </w:tcPr>
                                <w:p>
                                  <w:pPr>
                                    <w:pStyle w:val="TableParagraph"/>
                                    <w:spacing w:before="56"/>
                                    <w:ind w:right="72"/>
                                    <w:jc w:val="right"/>
                                    <w:rPr>
                                      <w:rFonts w:ascii="TT Norms Pro"/>
                                      <w:b/>
                                      <w:sz w:val="14"/>
                                    </w:rPr>
                                  </w:pPr>
                                  <w:r>
                                    <w:rPr>
                                      <w:rFonts w:ascii="TT Norms Pro"/>
                                      <w:b/>
                                      <w:spacing w:val="-4"/>
                                      <w:sz w:val="14"/>
                                    </w:rPr>
                                    <w:t>2016</w:t>
                                  </w:r>
                                </w:p>
                              </w:tc>
                              <w:tc>
                                <w:tcPr>
                                  <w:tcW w:w="457" w:type="dxa"/>
                                  <w:tcBorders>
                                    <w:top w:val="single" w:sz="8" w:space="0" w:color="000000"/>
                                    <w:bottom w:val="single" w:sz="4" w:space="0" w:color="000000"/>
                                  </w:tcBorders>
                                </w:tcPr>
                                <w:p>
                                  <w:pPr>
                                    <w:pStyle w:val="TableParagraph"/>
                                    <w:spacing w:before="56"/>
                                    <w:ind w:right="78"/>
                                    <w:jc w:val="right"/>
                                    <w:rPr>
                                      <w:rFonts w:ascii="TT Norms Pro"/>
                                      <w:b/>
                                      <w:sz w:val="14"/>
                                    </w:rPr>
                                  </w:pPr>
                                  <w:r>
                                    <w:rPr>
                                      <w:rFonts w:ascii="TT Norms Pro"/>
                                      <w:b/>
                                      <w:spacing w:val="-4"/>
                                      <w:sz w:val="14"/>
                                    </w:rPr>
                                    <w:t>2017</w:t>
                                  </w:r>
                                </w:p>
                              </w:tc>
                              <w:tc>
                                <w:tcPr>
                                  <w:tcW w:w="459" w:type="dxa"/>
                                  <w:tcBorders>
                                    <w:top w:val="single" w:sz="8" w:space="0" w:color="000000"/>
                                    <w:bottom w:val="single" w:sz="4" w:space="0" w:color="000000"/>
                                  </w:tcBorders>
                                </w:tcPr>
                                <w:p>
                                  <w:pPr>
                                    <w:pStyle w:val="TableParagraph"/>
                                    <w:spacing w:before="56"/>
                                    <w:ind w:right="57"/>
                                    <w:jc w:val="right"/>
                                    <w:rPr>
                                      <w:rFonts w:ascii="TT Norms Pro"/>
                                      <w:b/>
                                      <w:sz w:val="14"/>
                                    </w:rPr>
                                  </w:pPr>
                                  <w:r>
                                    <w:rPr>
                                      <w:rFonts w:ascii="TT Norms Pro"/>
                                      <w:b/>
                                      <w:spacing w:val="-4"/>
                                      <w:sz w:val="14"/>
                                    </w:rPr>
                                    <w:t>2018</w:t>
                                  </w:r>
                                </w:p>
                              </w:tc>
                              <w:tc>
                                <w:tcPr>
                                  <w:tcW w:w="478" w:type="dxa"/>
                                  <w:tcBorders>
                                    <w:top w:val="single" w:sz="8" w:space="0" w:color="000000"/>
                                    <w:bottom w:val="single" w:sz="4" w:space="0" w:color="000000"/>
                                  </w:tcBorders>
                                </w:tcPr>
                                <w:p>
                                  <w:pPr>
                                    <w:pStyle w:val="TableParagraph"/>
                                    <w:spacing w:before="56"/>
                                    <w:ind w:right="94"/>
                                    <w:jc w:val="right"/>
                                    <w:rPr>
                                      <w:rFonts w:ascii="TT Norms Pro"/>
                                      <w:b/>
                                      <w:sz w:val="14"/>
                                    </w:rPr>
                                  </w:pPr>
                                  <w:r>
                                    <w:rPr>
                                      <w:rFonts w:ascii="TT Norms Pro"/>
                                      <w:b/>
                                      <w:spacing w:val="-4"/>
                                      <w:sz w:val="14"/>
                                    </w:rPr>
                                    <w:t>2019</w:t>
                                  </w:r>
                                </w:p>
                              </w:tc>
                              <w:tc>
                                <w:tcPr>
                                  <w:tcW w:w="480" w:type="dxa"/>
                                  <w:tcBorders>
                                    <w:top w:val="single" w:sz="8" w:space="0" w:color="000000"/>
                                    <w:bottom w:val="single" w:sz="4" w:space="0" w:color="000000"/>
                                  </w:tcBorders>
                                </w:tcPr>
                                <w:p>
                                  <w:pPr>
                                    <w:pStyle w:val="TableParagraph"/>
                                    <w:spacing w:before="56"/>
                                    <w:ind w:right="35"/>
                                    <w:jc w:val="right"/>
                                    <w:rPr>
                                      <w:rFonts w:ascii="TT Norms Pro"/>
                                      <w:b/>
                                      <w:sz w:val="14"/>
                                    </w:rPr>
                                  </w:pPr>
                                  <w:r>
                                    <w:rPr>
                                      <w:rFonts w:ascii="TT Norms Pro"/>
                                      <w:b/>
                                      <w:spacing w:val="-4"/>
                                      <w:sz w:val="14"/>
                                    </w:rPr>
                                    <w:t>2020</w:t>
                                  </w:r>
                                </w:p>
                              </w:tc>
                              <w:tc>
                                <w:tcPr>
                                  <w:tcW w:w="625" w:type="dxa"/>
                                  <w:tcBorders>
                                    <w:top w:val="single" w:sz="8" w:space="0" w:color="000000"/>
                                    <w:bottom w:val="single" w:sz="4" w:space="0" w:color="000000"/>
                                  </w:tcBorders>
                                </w:tcPr>
                                <w:p>
                                  <w:pPr>
                                    <w:pStyle w:val="TableParagraph"/>
                                    <w:spacing w:before="56"/>
                                    <w:ind w:left="254"/>
                                    <w:rPr>
                                      <w:rFonts w:ascii="TT Norms Pro"/>
                                      <w:b/>
                                      <w:sz w:val="14"/>
                                    </w:rPr>
                                  </w:pPr>
                                  <w:r>
                                    <w:rPr>
                                      <w:rFonts w:ascii="TT Norms Pro"/>
                                      <w:b/>
                                      <w:spacing w:val="-4"/>
                                      <w:sz w:val="14"/>
                                    </w:rPr>
                                    <w:t>2020</w:t>
                                  </w:r>
                                </w:p>
                                <w:p>
                                  <w:pPr>
                                    <w:pStyle w:val="TableParagraph"/>
                                    <w:spacing w:before="36"/>
                                    <w:ind w:left="32"/>
                                    <w:rPr>
                                      <w:rFonts w:ascii="TT Norms Pro"/>
                                      <w:b/>
                                      <w:sz w:val="14"/>
                                    </w:rPr>
                                  </w:pPr>
                                  <w:r>
                                    <w:rPr>
                                      <w:rFonts w:ascii="TT Norms Pro"/>
                                      <w:b/>
                                      <w:spacing w:val="-2"/>
                                      <w:sz w:val="14"/>
                                    </w:rPr>
                                    <w:t>TARGET</w:t>
                                  </w:r>
                                </w:p>
                              </w:tc>
                            </w:tr>
                            <w:tr>
                              <w:trPr>
                                <w:trHeight w:val="250" w:hRule="atLeast"/>
                              </w:trPr>
                              <w:tc>
                                <w:tcPr>
                                  <w:tcW w:w="1778" w:type="dxa"/>
                                  <w:tcBorders>
                                    <w:top w:val="single" w:sz="4" w:space="0" w:color="000000"/>
                                  </w:tcBorders>
                                  <w:shd w:val="clear" w:color="auto" w:fill="E6E7E8"/>
                                </w:tcPr>
                                <w:p>
                                  <w:pPr>
                                    <w:pStyle w:val="TableParagraph"/>
                                    <w:spacing w:before="49"/>
                                    <w:ind w:left="14"/>
                                    <w:rPr>
                                      <w:rFonts w:ascii="TT Norms Pro Light"/>
                                      <w:b w:val="0"/>
                                      <w:sz w:val="14"/>
                                    </w:rPr>
                                  </w:pPr>
                                  <w:r>
                                    <w:rPr>
                                      <w:rFonts w:ascii="TT Norms Pro Light"/>
                                      <w:b w:val="0"/>
                                      <w:spacing w:val="-5"/>
                                      <w:sz w:val="14"/>
                                    </w:rPr>
                                    <w:t>UWA</w:t>
                                  </w:r>
                                </w:p>
                              </w:tc>
                              <w:tc>
                                <w:tcPr>
                                  <w:tcW w:w="456" w:type="dxa"/>
                                  <w:tcBorders>
                                    <w:top w:val="single" w:sz="4" w:space="0" w:color="000000"/>
                                  </w:tcBorders>
                                  <w:shd w:val="clear" w:color="auto" w:fill="E6E7E8"/>
                                </w:tcPr>
                                <w:p>
                                  <w:pPr>
                                    <w:pStyle w:val="TableParagraph"/>
                                    <w:spacing w:before="49"/>
                                    <w:ind w:right="68"/>
                                    <w:jc w:val="right"/>
                                    <w:rPr>
                                      <w:rFonts w:ascii="TT Norms Pro Light"/>
                                      <w:b w:val="0"/>
                                      <w:sz w:val="14"/>
                                    </w:rPr>
                                  </w:pPr>
                                  <w:r>
                                    <w:rPr>
                                      <w:rFonts w:ascii="TT Norms Pro Light"/>
                                      <w:b w:val="0"/>
                                      <w:spacing w:val="-5"/>
                                      <w:sz w:val="14"/>
                                    </w:rPr>
                                    <w:t>80</w:t>
                                  </w:r>
                                </w:p>
                              </w:tc>
                              <w:tc>
                                <w:tcPr>
                                  <w:tcW w:w="457" w:type="dxa"/>
                                  <w:tcBorders>
                                    <w:top w:val="single" w:sz="4" w:space="0" w:color="000000"/>
                                  </w:tcBorders>
                                  <w:shd w:val="clear" w:color="auto" w:fill="E6E7E8"/>
                                </w:tcPr>
                                <w:p>
                                  <w:pPr>
                                    <w:pStyle w:val="TableParagraph"/>
                                    <w:spacing w:before="49"/>
                                    <w:ind w:right="78"/>
                                    <w:jc w:val="right"/>
                                    <w:rPr>
                                      <w:rFonts w:ascii="TT Norms Pro Light"/>
                                      <w:b w:val="0"/>
                                      <w:sz w:val="14"/>
                                    </w:rPr>
                                  </w:pPr>
                                  <w:r>
                                    <w:rPr>
                                      <w:rFonts w:ascii="TT Norms Pro Light"/>
                                      <w:b w:val="0"/>
                                      <w:spacing w:val="-5"/>
                                      <w:sz w:val="14"/>
                                    </w:rPr>
                                    <w:t>75</w:t>
                                  </w:r>
                                </w:p>
                              </w:tc>
                              <w:tc>
                                <w:tcPr>
                                  <w:tcW w:w="459" w:type="dxa"/>
                                  <w:tcBorders>
                                    <w:top w:val="single" w:sz="4" w:space="0" w:color="000000"/>
                                  </w:tcBorders>
                                  <w:shd w:val="clear" w:color="auto" w:fill="E6E7E8"/>
                                </w:tcPr>
                                <w:p>
                                  <w:pPr>
                                    <w:pStyle w:val="TableParagraph"/>
                                    <w:spacing w:before="49"/>
                                    <w:ind w:right="57"/>
                                    <w:jc w:val="right"/>
                                    <w:rPr>
                                      <w:rFonts w:ascii="TT Norms Pro Light"/>
                                      <w:b w:val="0"/>
                                      <w:sz w:val="14"/>
                                    </w:rPr>
                                  </w:pPr>
                                  <w:r>
                                    <w:rPr>
                                      <w:rFonts w:ascii="TT Norms Pro Light"/>
                                      <w:b w:val="0"/>
                                      <w:spacing w:val="-5"/>
                                      <w:sz w:val="14"/>
                                    </w:rPr>
                                    <w:t>79</w:t>
                                  </w:r>
                                </w:p>
                              </w:tc>
                              <w:tc>
                                <w:tcPr>
                                  <w:tcW w:w="478" w:type="dxa"/>
                                  <w:tcBorders>
                                    <w:top w:val="single" w:sz="4" w:space="0" w:color="000000"/>
                                  </w:tcBorders>
                                  <w:shd w:val="clear" w:color="auto" w:fill="E6E7E8"/>
                                </w:tcPr>
                                <w:p>
                                  <w:pPr>
                                    <w:pStyle w:val="TableParagraph"/>
                                    <w:spacing w:before="49"/>
                                    <w:ind w:right="90"/>
                                    <w:jc w:val="right"/>
                                    <w:rPr>
                                      <w:rFonts w:ascii="TT Norms Pro Light"/>
                                      <w:b w:val="0"/>
                                      <w:sz w:val="14"/>
                                    </w:rPr>
                                  </w:pPr>
                                  <w:r>
                                    <w:rPr>
                                      <w:rFonts w:ascii="TT Norms Pro Light"/>
                                      <w:b w:val="0"/>
                                      <w:spacing w:val="-5"/>
                                      <w:sz w:val="14"/>
                                    </w:rPr>
                                    <w:t>80</w:t>
                                  </w:r>
                                </w:p>
                              </w:tc>
                              <w:tc>
                                <w:tcPr>
                                  <w:tcW w:w="480" w:type="dxa"/>
                                  <w:tcBorders>
                                    <w:top w:val="single" w:sz="4" w:space="0" w:color="000000"/>
                                  </w:tcBorders>
                                  <w:shd w:val="clear" w:color="auto" w:fill="E6E7E8"/>
                                </w:tcPr>
                                <w:p>
                                  <w:pPr>
                                    <w:pStyle w:val="TableParagraph"/>
                                    <w:spacing w:before="49"/>
                                    <w:ind w:right="33"/>
                                    <w:jc w:val="right"/>
                                    <w:rPr>
                                      <w:rFonts w:ascii="TT Norms Pro Light"/>
                                      <w:b w:val="0"/>
                                      <w:sz w:val="14"/>
                                    </w:rPr>
                                  </w:pPr>
                                  <w:r>
                                    <w:rPr>
                                      <w:rFonts w:ascii="TT Norms Pro Light"/>
                                      <w:b w:val="0"/>
                                      <w:spacing w:val="-5"/>
                                      <w:sz w:val="14"/>
                                    </w:rPr>
                                    <w:t>78</w:t>
                                  </w:r>
                                </w:p>
                              </w:tc>
                              <w:tc>
                                <w:tcPr>
                                  <w:tcW w:w="625" w:type="dxa"/>
                                  <w:tcBorders>
                                    <w:top w:val="single" w:sz="4" w:space="0" w:color="000000"/>
                                  </w:tcBorders>
                                  <w:shd w:val="clear" w:color="auto" w:fill="E6E7E8"/>
                                </w:tcPr>
                                <w:p>
                                  <w:pPr>
                                    <w:pStyle w:val="TableParagraph"/>
                                    <w:spacing w:before="49"/>
                                    <w:ind w:right="7"/>
                                    <w:jc w:val="right"/>
                                    <w:rPr>
                                      <w:rFonts w:ascii="TT Norms Pro Light"/>
                                      <w:b w:val="0"/>
                                      <w:sz w:val="14"/>
                                    </w:rPr>
                                  </w:pPr>
                                  <w:r>
                                    <w:rPr>
                                      <w:rFonts w:ascii="TT Norms Pro Light"/>
                                      <w:b w:val="0"/>
                                      <w:spacing w:val="-5"/>
                                      <w:sz w:val="14"/>
                                    </w:rPr>
                                    <w:t>80</w:t>
                                  </w:r>
                                </w:p>
                              </w:tc>
                            </w:tr>
                            <w:tr>
                              <w:trPr>
                                <w:trHeight w:val="255" w:hRule="atLeast"/>
                              </w:trPr>
                              <w:tc>
                                <w:tcPr>
                                  <w:tcW w:w="1778" w:type="dxa"/>
                                </w:tcPr>
                                <w:p>
                                  <w:pPr>
                                    <w:pStyle w:val="TableParagraph"/>
                                    <w:spacing w:before="54"/>
                                    <w:ind w:left="14"/>
                                    <w:rPr>
                                      <w:rFonts w:ascii="TT Norms Pro Light"/>
                                      <w:b w:val="0"/>
                                      <w:sz w:val="14"/>
                                    </w:rPr>
                                  </w:pPr>
                                  <w:r>
                                    <w:rPr>
                                      <w:rFonts w:ascii="TT Norms Pro Light"/>
                                      <w:b w:val="0"/>
                                      <w:sz w:val="14"/>
                                    </w:rPr>
                                    <w:t>WA</w:t>
                                  </w:r>
                                  <w:r>
                                    <w:rPr>
                                      <w:rFonts w:ascii="TT Norms Pro Light"/>
                                      <w:b w:val="0"/>
                                      <w:spacing w:val="-5"/>
                                      <w:sz w:val="14"/>
                                    </w:rPr>
                                    <w:t> </w:t>
                                  </w:r>
                                  <w:r>
                                    <w:rPr>
                                      <w:rFonts w:ascii="TT Norms Pro Light"/>
                                      <w:b w:val="0"/>
                                      <w:spacing w:val="-2"/>
                                      <w:sz w:val="14"/>
                                    </w:rPr>
                                    <w:t>average</w:t>
                                  </w:r>
                                </w:p>
                              </w:tc>
                              <w:tc>
                                <w:tcPr>
                                  <w:tcW w:w="456" w:type="dxa"/>
                                </w:tcPr>
                                <w:p>
                                  <w:pPr>
                                    <w:pStyle w:val="TableParagraph"/>
                                    <w:spacing w:before="54"/>
                                    <w:ind w:right="68"/>
                                    <w:jc w:val="right"/>
                                    <w:rPr>
                                      <w:rFonts w:ascii="TT Norms Pro Light"/>
                                      <w:b w:val="0"/>
                                      <w:sz w:val="14"/>
                                    </w:rPr>
                                  </w:pPr>
                                  <w:r>
                                    <w:rPr>
                                      <w:rFonts w:ascii="TT Norms Pro Light"/>
                                      <w:b w:val="0"/>
                                      <w:spacing w:val="-5"/>
                                      <w:sz w:val="14"/>
                                    </w:rPr>
                                    <w:t>84</w:t>
                                  </w:r>
                                </w:p>
                              </w:tc>
                              <w:tc>
                                <w:tcPr>
                                  <w:tcW w:w="457" w:type="dxa"/>
                                </w:tcPr>
                                <w:p>
                                  <w:pPr>
                                    <w:pStyle w:val="TableParagraph"/>
                                    <w:spacing w:before="54"/>
                                    <w:ind w:right="77"/>
                                    <w:jc w:val="right"/>
                                    <w:rPr>
                                      <w:rFonts w:ascii="TT Norms Pro Light"/>
                                      <w:b w:val="0"/>
                                      <w:sz w:val="14"/>
                                    </w:rPr>
                                  </w:pPr>
                                  <w:r>
                                    <w:rPr>
                                      <w:rFonts w:ascii="TT Norms Pro Light"/>
                                      <w:b w:val="0"/>
                                      <w:spacing w:val="-5"/>
                                      <w:sz w:val="14"/>
                                    </w:rPr>
                                    <w:t>83</w:t>
                                  </w:r>
                                </w:p>
                              </w:tc>
                              <w:tc>
                                <w:tcPr>
                                  <w:tcW w:w="459" w:type="dxa"/>
                                </w:tcPr>
                                <w:p>
                                  <w:pPr>
                                    <w:pStyle w:val="TableParagraph"/>
                                    <w:spacing w:before="54"/>
                                    <w:ind w:right="60"/>
                                    <w:jc w:val="right"/>
                                    <w:rPr>
                                      <w:rFonts w:ascii="TT Norms Pro Light"/>
                                      <w:b w:val="0"/>
                                      <w:sz w:val="14"/>
                                    </w:rPr>
                                  </w:pPr>
                                  <w:r>
                                    <w:rPr>
                                      <w:rFonts w:ascii="TT Norms Pro Light"/>
                                      <w:b w:val="0"/>
                                      <w:spacing w:val="-5"/>
                                      <w:sz w:val="14"/>
                                    </w:rPr>
                                    <w:t>83</w:t>
                                  </w:r>
                                </w:p>
                              </w:tc>
                              <w:tc>
                                <w:tcPr>
                                  <w:tcW w:w="478" w:type="dxa"/>
                                </w:tcPr>
                                <w:p>
                                  <w:pPr>
                                    <w:pStyle w:val="TableParagraph"/>
                                    <w:spacing w:before="54"/>
                                    <w:ind w:right="90"/>
                                    <w:jc w:val="right"/>
                                    <w:rPr>
                                      <w:rFonts w:ascii="TT Norms Pro Light"/>
                                      <w:b w:val="0"/>
                                      <w:sz w:val="14"/>
                                    </w:rPr>
                                  </w:pPr>
                                  <w:r>
                                    <w:rPr>
                                      <w:rFonts w:ascii="TT Norms Pro Light"/>
                                      <w:b w:val="0"/>
                                      <w:spacing w:val="-5"/>
                                      <w:sz w:val="14"/>
                                    </w:rPr>
                                    <w:t>84</w:t>
                                  </w:r>
                                </w:p>
                              </w:tc>
                              <w:tc>
                                <w:tcPr>
                                  <w:tcW w:w="480" w:type="dxa"/>
                                </w:tcPr>
                                <w:p>
                                  <w:pPr>
                                    <w:pStyle w:val="TableParagraph"/>
                                    <w:spacing w:before="54"/>
                                    <w:ind w:right="34"/>
                                    <w:jc w:val="right"/>
                                    <w:rPr>
                                      <w:rFonts w:ascii="TT Norms Pro Light"/>
                                      <w:b w:val="0"/>
                                      <w:sz w:val="14"/>
                                    </w:rPr>
                                  </w:pPr>
                                  <w:r>
                                    <w:rPr>
                                      <w:rFonts w:ascii="TT Norms Pro Light"/>
                                      <w:b w:val="0"/>
                                      <w:spacing w:val="-10"/>
                                      <w:sz w:val="14"/>
                                    </w:rPr>
                                    <w:t>*</w:t>
                                  </w:r>
                                </w:p>
                              </w:tc>
                              <w:tc>
                                <w:tcPr>
                                  <w:tcW w:w="625" w:type="dxa"/>
                                </w:tcPr>
                                <w:p>
                                  <w:pPr>
                                    <w:pStyle w:val="TableParagraph"/>
                                    <w:rPr>
                                      <w:rFonts w:ascii="Times New Roman"/>
                                      <w:sz w:val="16"/>
                                    </w:rPr>
                                  </w:pPr>
                                </w:p>
                              </w:tc>
                            </w:tr>
                            <w:tr>
                              <w:trPr>
                                <w:trHeight w:val="255" w:hRule="atLeast"/>
                              </w:trPr>
                              <w:tc>
                                <w:tcPr>
                                  <w:tcW w:w="1778" w:type="dxa"/>
                                  <w:shd w:val="clear" w:color="auto" w:fill="E6E7E8"/>
                                </w:tcPr>
                                <w:p>
                                  <w:pPr>
                                    <w:pStyle w:val="TableParagraph"/>
                                    <w:spacing w:before="54"/>
                                    <w:ind w:left="14"/>
                                    <w:rPr>
                                      <w:rFonts w:ascii="TT Norms Pro Light"/>
                                      <w:b w:val="0"/>
                                      <w:sz w:val="14"/>
                                    </w:rPr>
                                  </w:pPr>
                                  <w:r>
                                    <w:rPr>
                                      <w:rFonts w:ascii="TT Norms Pro Light"/>
                                      <w:b w:val="0"/>
                                      <w:sz w:val="14"/>
                                    </w:rPr>
                                    <w:t>National</w:t>
                                  </w:r>
                                  <w:r>
                                    <w:rPr>
                                      <w:rFonts w:ascii="TT Norms Pro Light"/>
                                      <w:b w:val="0"/>
                                      <w:spacing w:val="9"/>
                                      <w:sz w:val="14"/>
                                    </w:rPr>
                                    <w:t> </w:t>
                                  </w:r>
                                  <w:r>
                                    <w:rPr>
                                      <w:rFonts w:ascii="TT Norms Pro Light"/>
                                      <w:b w:val="0"/>
                                      <w:spacing w:val="-2"/>
                                      <w:sz w:val="14"/>
                                    </w:rPr>
                                    <w:t>average</w:t>
                                  </w:r>
                                </w:p>
                              </w:tc>
                              <w:tc>
                                <w:tcPr>
                                  <w:tcW w:w="456" w:type="dxa"/>
                                  <w:shd w:val="clear" w:color="auto" w:fill="E6E7E8"/>
                                </w:tcPr>
                                <w:p>
                                  <w:pPr>
                                    <w:pStyle w:val="TableParagraph"/>
                                    <w:spacing w:before="54"/>
                                    <w:ind w:right="71"/>
                                    <w:jc w:val="right"/>
                                    <w:rPr>
                                      <w:rFonts w:ascii="TT Norms Pro Light"/>
                                      <w:b w:val="0"/>
                                      <w:sz w:val="14"/>
                                    </w:rPr>
                                  </w:pPr>
                                  <w:r>
                                    <w:rPr>
                                      <w:rFonts w:ascii="TT Norms Pro Light"/>
                                      <w:b w:val="0"/>
                                      <w:spacing w:val="-5"/>
                                      <w:sz w:val="14"/>
                                    </w:rPr>
                                    <w:t>81</w:t>
                                  </w:r>
                                </w:p>
                              </w:tc>
                              <w:tc>
                                <w:tcPr>
                                  <w:tcW w:w="457" w:type="dxa"/>
                                  <w:shd w:val="clear" w:color="auto" w:fill="E6E7E8"/>
                                </w:tcPr>
                                <w:p>
                                  <w:pPr>
                                    <w:pStyle w:val="TableParagraph"/>
                                    <w:spacing w:before="54"/>
                                    <w:ind w:right="71"/>
                                    <w:jc w:val="right"/>
                                    <w:rPr>
                                      <w:rFonts w:ascii="TT Norms Pro Light"/>
                                      <w:b w:val="0"/>
                                      <w:sz w:val="14"/>
                                    </w:rPr>
                                  </w:pPr>
                                  <w:r>
                                    <w:rPr>
                                      <w:rFonts w:ascii="TT Norms Pro Light"/>
                                      <w:b w:val="0"/>
                                      <w:spacing w:val="-5"/>
                                      <w:sz w:val="14"/>
                                    </w:rPr>
                                    <w:t>80</w:t>
                                  </w:r>
                                </w:p>
                              </w:tc>
                              <w:tc>
                                <w:tcPr>
                                  <w:tcW w:w="459" w:type="dxa"/>
                                  <w:shd w:val="clear" w:color="auto" w:fill="E6E7E8"/>
                                </w:tcPr>
                                <w:p>
                                  <w:pPr>
                                    <w:pStyle w:val="TableParagraph"/>
                                    <w:spacing w:before="54"/>
                                    <w:ind w:right="58"/>
                                    <w:jc w:val="right"/>
                                    <w:rPr>
                                      <w:rFonts w:ascii="TT Norms Pro Light"/>
                                      <w:b w:val="0"/>
                                      <w:sz w:val="14"/>
                                    </w:rPr>
                                  </w:pPr>
                                  <w:r>
                                    <w:rPr>
                                      <w:rFonts w:ascii="TT Norms Pro Light"/>
                                      <w:b w:val="0"/>
                                      <w:spacing w:val="-5"/>
                                      <w:sz w:val="14"/>
                                    </w:rPr>
                                    <w:t>81</w:t>
                                  </w:r>
                                </w:p>
                              </w:tc>
                              <w:tc>
                                <w:tcPr>
                                  <w:tcW w:w="478" w:type="dxa"/>
                                  <w:shd w:val="clear" w:color="auto" w:fill="E6E7E8"/>
                                </w:tcPr>
                                <w:p>
                                  <w:pPr>
                                    <w:pStyle w:val="TableParagraph"/>
                                    <w:spacing w:before="54"/>
                                    <w:ind w:right="93"/>
                                    <w:jc w:val="right"/>
                                    <w:rPr>
                                      <w:rFonts w:ascii="TT Norms Pro Light"/>
                                      <w:b w:val="0"/>
                                      <w:sz w:val="14"/>
                                    </w:rPr>
                                  </w:pPr>
                                  <w:r>
                                    <w:rPr>
                                      <w:rFonts w:ascii="TT Norms Pro Light"/>
                                      <w:b w:val="0"/>
                                      <w:spacing w:val="-5"/>
                                      <w:sz w:val="14"/>
                                    </w:rPr>
                                    <w:t>81</w:t>
                                  </w:r>
                                </w:p>
                              </w:tc>
                              <w:tc>
                                <w:tcPr>
                                  <w:tcW w:w="480" w:type="dxa"/>
                                  <w:shd w:val="clear" w:color="auto" w:fill="E6E7E8"/>
                                </w:tcPr>
                                <w:p>
                                  <w:pPr>
                                    <w:pStyle w:val="TableParagraph"/>
                                    <w:spacing w:before="54"/>
                                    <w:ind w:right="34"/>
                                    <w:jc w:val="right"/>
                                    <w:rPr>
                                      <w:rFonts w:ascii="TT Norms Pro Light"/>
                                      <w:b w:val="0"/>
                                      <w:sz w:val="14"/>
                                    </w:rPr>
                                  </w:pPr>
                                  <w:r>
                                    <w:rPr>
                                      <w:rFonts w:ascii="TT Norms Pro Light"/>
                                      <w:b w:val="0"/>
                                      <w:spacing w:val="-10"/>
                                      <w:sz w:val="14"/>
                                    </w:rPr>
                                    <w:t>*</w:t>
                                  </w:r>
                                </w:p>
                              </w:tc>
                              <w:tc>
                                <w:tcPr>
                                  <w:tcW w:w="625" w:type="dxa"/>
                                  <w:shd w:val="clear" w:color="auto" w:fill="E6E7E8"/>
                                </w:tcPr>
                                <w:p>
                                  <w:pPr>
                                    <w:pStyle w:val="TableParagraph"/>
                                    <w:rPr>
                                      <w:rFonts w:ascii="Times New Roman"/>
                                      <w:sz w:val="16"/>
                                    </w:rPr>
                                  </w:pPr>
                                </w:p>
                              </w:tc>
                            </w:tr>
                            <w:tr>
                              <w:trPr>
                                <w:trHeight w:val="788" w:hRule="atLeast"/>
                              </w:trPr>
                              <w:tc>
                                <w:tcPr>
                                  <w:tcW w:w="1778" w:type="dxa"/>
                                  <w:tcBorders>
                                    <w:bottom w:val="single" w:sz="4" w:space="0" w:color="000000"/>
                                  </w:tcBorders>
                                </w:tcPr>
                                <w:p>
                                  <w:pPr>
                                    <w:pStyle w:val="TableParagraph"/>
                                    <w:tabs>
                                      <w:tab w:pos="4730" w:val="left" w:leader="none"/>
                                    </w:tabs>
                                    <w:spacing w:line="156" w:lineRule="exact"/>
                                    <w:ind w:right="-2967"/>
                                    <w:rPr>
                                      <w:rFonts w:ascii="TT Norms Pro Light"/>
                                      <w:b w:val="0"/>
                                      <w:sz w:val="18"/>
                                    </w:rPr>
                                  </w:pPr>
                                  <w:r>
                                    <w:rPr>
                                      <w:rFonts w:ascii="TT Norms Pro Light"/>
                                      <w:b w:val="0"/>
                                      <w:sz w:val="18"/>
                                      <w:u w:val="single"/>
                                    </w:rPr>
                                    <w:t> </w:t>
                                    <w:tab/>
                                  </w:r>
                                </w:p>
                                <w:p>
                                  <w:pPr>
                                    <w:pStyle w:val="TableParagraph"/>
                                    <w:spacing w:line="292" w:lineRule="auto" w:before="23"/>
                                    <w:ind w:left="14"/>
                                    <w:rPr>
                                      <w:rFonts w:ascii="TT Norms Pro"/>
                                      <w:b/>
                                      <w:sz w:val="14"/>
                                    </w:rPr>
                                  </w:pPr>
                                  <w:r>
                                    <w:rPr>
                                      <w:rFonts w:ascii="TT Norms Pro"/>
                                      <w:b/>
                                      <w:sz w:val="14"/>
                                    </w:rPr>
                                    <w:t>OVERALL</w:t>
                                  </w:r>
                                  <w:r>
                                    <w:rPr>
                                      <w:rFonts w:ascii="TT Norms Pro"/>
                                      <w:b/>
                                      <w:spacing w:val="-8"/>
                                      <w:sz w:val="14"/>
                                    </w:rPr>
                                    <w:t> </w:t>
                                  </w:r>
                                  <w:r>
                                    <w:rPr>
                                      <w:rFonts w:ascii="TT Norms Pro"/>
                                      <w:b/>
                                      <w:sz w:val="14"/>
                                    </w:rPr>
                                    <w:t>EXPERIENCE</w:t>
                                  </w:r>
                                  <w:r>
                                    <w:rPr>
                                      <w:rFonts w:ascii="TT Norms Pro"/>
                                      <w:b/>
                                      <w:spacing w:val="40"/>
                                      <w:sz w:val="14"/>
                                    </w:rPr>
                                    <w:t> </w:t>
                                  </w:r>
                                  <w:r>
                                    <w:rPr>
                                      <w:rFonts w:ascii="TT Norms Pro"/>
                                      <w:b/>
                                      <w:sz w:val="14"/>
                                    </w:rPr>
                                    <w:t>(%</w:t>
                                  </w:r>
                                  <w:r>
                                    <w:rPr>
                                      <w:rFonts w:ascii="TT Norms Pro"/>
                                      <w:b/>
                                      <w:spacing w:val="-8"/>
                                      <w:sz w:val="14"/>
                                    </w:rPr>
                                    <w:t> </w:t>
                                  </w:r>
                                  <w:r>
                                    <w:rPr>
                                      <w:rFonts w:ascii="TT Norms Pro"/>
                                      <w:b/>
                                      <w:sz w:val="14"/>
                                    </w:rPr>
                                    <w:t>OF</w:t>
                                  </w:r>
                                </w:p>
                                <w:p>
                                  <w:pPr>
                                    <w:pStyle w:val="TableParagraph"/>
                                    <w:ind w:left="14"/>
                                    <w:rPr>
                                      <w:rFonts w:ascii="TT Norms Pro"/>
                                      <w:b/>
                                      <w:sz w:val="14"/>
                                    </w:rPr>
                                  </w:pPr>
                                  <w:r>
                                    <w:rPr>
                                      <w:rFonts w:ascii="TT Norms Pro"/>
                                      <w:b/>
                                      <w:spacing w:val="-2"/>
                                      <w:sz w:val="14"/>
                                    </w:rPr>
                                    <w:t>UNDERGRADUATES)</w:t>
                                  </w:r>
                                </w:p>
                              </w:tc>
                              <w:tc>
                                <w:tcPr>
                                  <w:tcW w:w="456" w:type="dxa"/>
                                  <w:tcBorders>
                                    <w:bottom w:val="single" w:sz="4" w:space="0" w:color="000000"/>
                                  </w:tcBorders>
                                </w:tcPr>
                                <w:p>
                                  <w:pPr>
                                    <w:pStyle w:val="TableParagraph"/>
                                    <w:spacing w:before="15"/>
                                    <w:rPr>
                                      <w:rFonts w:ascii="TT Norms Pro Light"/>
                                      <w:b w:val="0"/>
                                      <w:sz w:val="14"/>
                                    </w:rPr>
                                  </w:pPr>
                                </w:p>
                                <w:p>
                                  <w:pPr>
                                    <w:pStyle w:val="TableParagraph"/>
                                    <w:ind w:right="71"/>
                                    <w:jc w:val="right"/>
                                    <w:rPr>
                                      <w:rFonts w:ascii="TT Norms Pro"/>
                                      <w:b/>
                                      <w:sz w:val="14"/>
                                    </w:rPr>
                                  </w:pPr>
                                  <w:r>
                                    <w:rPr>
                                      <w:rFonts w:ascii="TT Norms Pro"/>
                                      <w:b/>
                                      <w:spacing w:val="-4"/>
                                      <w:sz w:val="14"/>
                                    </w:rPr>
                                    <w:t>2016</w:t>
                                  </w:r>
                                </w:p>
                              </w:tc>
                              <w:tc>
                                <w:tcPr>
                                  <w:tcW w:w="457" w:type="dxa"/>
                                  <w:tcBorders>
                                    <w:bottom w:val="single" w:sz="4" w:space="0" w:color="000000"/>
                                  </w:tcBorders>
                                </w:tcPr>
                                <w:p>
                                  <w:pPr>
                                    <w:pStyle w:val="TableParagraph"/>
                                    <w:spacing w:before="15"/>
                                    <w:rPr>
                                      <w:rFonts w:ascii="TT Norms Pro Light"/>
                                      <w:b w:val="0"/>
                                      <w:sz w:val="14"/>
                                    </w:rPr>
                                  </w:pPr>
                                </w:p>
                                <w:p>
                                  <w:pPr>
                                    <w:pStyle w:val="TableParagraph"/>
                                    <w:ind w:right="77"/>
                                    <w:jc w:val="right"/>
                                    <w:rPr>
                                      <w:rFonts w:ascii="TT Norms Pro"/>
                                      <w:b/>
                                      <w:sz w:val="14"/>
                                    </w:rPr>
                                  </w:pPr>
                                  <w:r>
                                    <w:rPr>
                                      <w:rFonts w:ascii="TT Norms Pro"/>
                                      <w:b/>
                                      <w:spacing w:val="-4"/>
                                      <w:sz w:val="14"/>
                                    </w:rPr>
                                    <w:t>2017</w:t>
                                  </w:r>
                                </w:p>
                              </w:tc>
                              <w:tc>
                                <w:tcPr>
                                  <w:tcW w:w="459" w:type="dxa"/>
                                  <w:tcBorders>
                                    <w:bottom w:val="single" w:sz="4" w:space="0" w:color="000000"/>
                                  </w:tcBorders>
                                </w:tcPr>
                                <w:p>
                                  <w:pPr>
                                    <w:pStyle w:val="TableParagraph"/>
                                    <w:spacing w:before="15"/>
                                    <w:rPr>
                                      <w:rFonts w:ascii="TT Norms Pro Light"/>
                                      <w:b w:val="0"/>
                                      <w:sz w:val="14"/>
                                    </w:rPr>
                                  </w:pPr>
                                </w:p>
                                <w:p>
                                  <w:pPr>
                                    <w:pStyle w:val="TableParagraph"/>
                                    <w:ind w:right="56"/>
                                    <w:jc w:val="right"/>
                                    <w:rPr>
                                      <w:rFonts w:ascii="TT Norms Pro"/>
                                      <w:b/>
                                      <w:sz w:val="14"/>
                                    </w:rPr>
                                  </w:pPr>
                                  <w:r>
                                    <w:rPr>
                                      <w:rFonts w:ascii="TT Norms Pro"/>
                                      <w:b/>
                                      <w:spacing w:val="-4"/>
                                      <w:sz w:val="14"/>
                                    </w:rPr>
                                    <w:t>2018</w:t>
                                  </w:r>
                                </w:p>
                              </w:tc>
                              <w:tc>
                                <w:tcPr>
                                  <w:tcW w:w="478" w:type="dxa"/>
                                  <w:tcBorders>
                                    <w:bottom w:val="single" w:sz="4" w:space="0" w:color="000000"/>
                                  </w:tcBorders>
                                </w:tcPr>
                                <w:p>
                                  <w:pPr>
                                    <w:pStyle w:val="TableParagraph"/>
                                    <w:spacing w:before="15"/>
                                    <w:rPr>
                                      <w:rFonts w:ascii="TT Norms Pro Light"/>
                                      <w:b w:val="0"/>
                                      <w:sz w:val="14"/>
                                    </w:rPr>
                                  </w:pPr>
                                </w:p>
                                <w:p>
                                  <w:pPr>
                                    <w:pStyle w:val="TableParagraph"/>
                                    <w:ind w:right="93"/>
                                    <w:jc w:val="right"/>
                                    <w:rPr>
                                      <w:rFonts w:ascii="TT Norms Pro"/>
                                      <w:b/>
                                      <w:sz w:val="14"/>
                                    </w:rPr>
                                  </w:pPr>
                                  <w:r>
                                    <w:rPr>
                                      <w:rFonts w:ascii="TT Norms Pro"/>
                                      <w:b/>
                                      <w:spacing w:val="-4"/>
                                      <w:sz w:val="14"/>
                                    </w:rPr>
                                    <w:t>2019</w:t>
                                  </w:r>
                                </w:p>
                              </w:tc>
                              <w:tc>
                                <w:tcPr>
                                  <w:tcW w:w="480" w:type="dxa"/>
                                  <w:tcBorders>
                                    <w:bottom w:val="single" w:sz="4" w:space="0" w:color="000000"/>
                                  </w:tcBorders>
                                </w:tcPr>
                                <w:p>
                                  <w:pPr>
                                    <w:pStyle w:val="TableParagraph"/>
                                    <w:spacing w:before="15"/>
                                    <w:rPr>
                                      <w:rFonts w:ascii="TT Norms Pro Light"/>
                                      <w:b w:val="0"/>
                                      <w:sz w:val="14"/>
                                    </w:rPr>
                                  </w:pPr>
                                </w:p>
                                <w:p>
                                  <w:pPr>
                                    <w:pStyle w:val="TableParagraph"/>
                                    <w:ind w:right="34"/>
                                    <w:jc w:val="right"/>
                                    <w:rPr>
                                      <w:rFonts w:ascii="TT Norms Pro"/>
                                      <w:b/>
                                      <w:sz w:val="14"/>
                                    </w:rPr>
                                  </w:pPr>
                                  <w:r>
                                    <w:rPr>
                                      <w:rFonts w:ascii="TT Norms Pro"/>
                                      <w:b/>
                                      <w:spacing w:val="-4"/>
                                      <w:sz w:val="14"/>
                                    </w:rPr>
                                    <w:t>2020</w:t>
                                  </w:r>
                                </w:p>
                              </w:tc>
                              <w:tc>
                                <w:tcPr>
                                  <w:tcW w:w="625" w:type="dxa"/>
                                  <w:tcBorders>
                                    <w:bottom w:val="single" w:sz="4" w:space="0" w:color="000000"/>
                                  </w:tcBorders>
                                </w:tcPr>
                                <w:p>
                                  <w:pPr>
                                    <w:pStyle w:val="TableParagraph"/>
                                    <w:spacing w:before="15"/>
                                    <w:rPr>
                                      <w:rFonts w:ascii="TT Norms Pro Light"/>
                                      <w:b w:val="0"/>
                                      <w:sz w:val="14"/>
                                    </w:rPr>
                                  </w:pPr>
                                </w:p>
                                <w:p>
                                  <w:pPr>
                                    <w:pStyle w:val="TableParagraph"/>
                                    <w:ind w:left="255"/>
                                    <w:rPr>
                                      <w:rFonts w:ascii="TT Norms Pro"/>
                                      <w:b/>
                                      <w:sz w:val="14"/>
                                    </w:rPr>
                                  </w:pPr>
                                  <w:r>
                                    <w:rPr>
                                      <w:rFonts w:ascii="TT Norms Pro"/>
                                      <w:b/>
                                      <w:spacing w:val="-4"/>
                                      <w:sz w:val="14"/>
                                    </w:rPr>
                                    <w:t>2020</w:t>
                                  </w:r>
                                </w:p>
                                <w:p>
                                  <w:pPr>
                                    <w:pStyle w:val="TableParagraph"/>
                                    <w:spacing w:before="37"/>
                                    <w:ind w:left="33"/>
                                    <w:rPr>
                                      <w:rFonts w:ascii="TT Norms Pro"/>
                                      <w:b/>
                                      <w:sz w:val="14"/>
                                    </w:rPr>
                                  </w:pPr>
                                  <w:r>
                                    <w:rPr>
                                      <w:rFonts w:ascii="TT Norms Pro"/>
                                      <w:b/>
                                      <w:spacing w:val="-2"/>
                                      <w:sz w:val="14"/>
                                    </w:rPr>
                                    <w:t>TARGET</w:t>
                                  </w:r>
                                </w:p>
                              </w:tc>
                            </w:tr>
                            <w:tr>
                              <w:trPr>
                                <w:trHeight w:val="250" w:hRule="atLeast"/>
                              </w:trPr>
                              <w:tc>
                                <w:tcPr>
                                  <w:tcW w:w="1778" w:type="dxa"/>
                                  <w:tcBorders>
                                    <w:top w:val="single" w:sz="4" w:space="0" w:color="000000"/>
                                  </w:tcBorders>
                                  <w:shd w:val="clear" w:color="auto" w:fill="E6E7E8"/>
                                </w:tcPr>
                                <w:p>
                                  <w:pPr>
                                    <w:pStyle w:val="TableParagraph"/>
                                    <w:spacing w:before="49"/>
                                    <w:ind w:left="15"/>
                                    <w:rPr>
                                      <w:rFonts w:ascii="TT Norms Pro Light"/>
                                      <w:b w:val="0"/>
                                      <w:sz w:val="14"/>
                                    </w:rPr>
                                  </w:pPr>
                                  <w:r>
                                    <w:rPr>
                                      <w:rFonts w:ascii="TT Norms Pro Light"/>
                                      <w:b w:val="0"/>
                                      <w:spacing w:val="-5"/>
                                      <w:sz w:val="14"/>
                                    </w:rPr>
                                    <w:t>UWA</w:t>
                                  </w:r>
                                </w:p>
                              </w:tc>
                              <w:tc>
                                <w:tcPr>
                                  <w:tcW w:w="456" w:type="dxa"/>
                                  <w:tcBorders>
                                    <w:top w:val="single" w:sz="4" w:space="0" w:color="000000"/>
                                  </w:tcBorders>
                                  <w:shd w:val="clear" w:color="auto" w:fill="E6E7E8"/>
                                </w:tcPr>
                                <w:p>
                                  <w:pPr>
                                    <w:pStyle w:val="TableParagraph"/>
                                    <w:spacing w:before="49"/>
                                    <w:ind w:right="65"/>
                                    <w:jc w:val="right"/>
                                    <w:rPr>
                                      <w:rFonts w:ascii="TT Norms Pro Light"/>
                                      <w:b w:val="0"/>
                                      <w:sz w:val="14"/>
                                    </w:rPr>
                                  </w:pPr>
                                  <w:r>
                                    <w:rPr>
                                      <w:rFonts w:ascii="TT Norms Pro Light"/>
                                      <w:b w:val="0"/>
                                      <w:spacing w:val="-5"/>
                                      <w:sz w:val="14"/>
                                    </w:rPr>
                                    <w:t>77</w:t>
                                  </w:r>
                                </w:p>
                              </w:tc>
                              <w:tc>
                                <w:tcPr>
                                  <w:tcW w:w="457" w:type="dxa"/>
                                  <w:tcBorders>
                                    <w:top w:val="single" w:sz="4" w:space="0" w:color="000000"/>
                                  </w:tcBorders>
                                  <w:shd w:val="clear" w:color="auto" w:fill="E6E7E8"/>
                                </w:tcPr>
                                <w:p>
                                  <w:pPr>
                                    <w:pStyle w:val="TableParagraph"/>
                                    <w:spacing w:before="49"/>
                                    <w:ind w:right="75"/>
                                    <w:jc w:val="right"/>
                                    <w:rPr>
                                      <w:rFonts w:ascii="TT Norms Pro Light"/>
                                      <w:b w:val="0"/>
                                      <w:sz w:val="14"/>
                                    </w:rPr>
                                  </w:pPr>
                                  <w:r>
                                    <w:rPr>
                                      <w:rFonts w:ascii="TT Norms Pro Light"/>
                                      <w:b w:val="0"/>
                                      <w:spacing w:val="-5"/>
                                      <w:sz w:val="14"/>
                                    </w:rPr>
                                    <w:t>78</w:t>
                                  </w:r>
                                </w:p>
                              </w:tc>
                              <w:tc>
                                <w:tcPr>
                                  <w:tcW w:w="459" w:type="dxa"/>
                                  <w:tcBorders>
                                    <w:top w:val="single" w:sz="4" w:space="0" w:color="000000"/>
                                  </w:tcBorders>
                                  <w:shd w:val="clear" w:color="auto" w:fill="E6E7E8"/>
                                </w:tcPr>
                                <w:p>
                                  <w:pPr>
                                    <w:pStyle w:val="TableParagraph"/>
                                    <w:spacing w:before="49"/>
                                    <w:ind w:right="56"/>
                                    <w:jc w:val="right"/>
                                    <w:rPr>
                                      <w:rFonts w:ascii="TT Norms Pro Light"/>
                                      <w:b w:val="0"/>
                                      <w:sz w:val="14"/>
                                    </w:rPr>
                                  </w:pPr>
                                  <w:r>
                                    <w:rPr>
                                      <w:rFonts w:ascii="TT Norms Pro Light"/>
                                      <w:b w:val="0"/>
                                      <w:spacing w:val="-5"/>
                                      <w:sz w:val="14"/>
                                    </w:rPr>
                                    <w:t>79</w:t>
                                  </w:r>
                                </w:p>
                              </w:tc>
                              <w:tc>
                                <w:tcPr>
                                  <w:tcW w:w="478" w:type="dxa"/>
                                  <w:tcBorders>
                                    <w:top w:val="single" w:sz="4" w:space="0" w:color="000000"/>
                                  </w:tcBorders>
                                  <w:shd w:val="clear" w:color="auto" w:fill="E6E7E8"/>
                                </w:tcPr>
                                <w:p>
                                  <w:pPr>
                                    <w:pStyle w:val="TableParagraph"/>
                                    <w:spacing w:before="49"/>
                                    <w:ind w:right="89"/>
                                    <w:jc w:val="right"/>
                                    <w:rPr>
                                      <w:rFonts w:ascii="TT Norms Pro Light"/>
                                      <w:b w:val="0"/>
                                      <w:sz w:val="14"/>
                                    </w:rPr>
                                  </w:pPr>
                                  <w:r>
                                    <w:rPr>
                                      <w:rFonts w:ascii="TT Norms Pro Light"/>
                                      <w:b w:val="0"/>
                                      <w:spacing w:val="-5"/>
                                      <w:sz w:val="14"/>
                                    </w:rPr>
                                    <w:t>80</w:t>
                                  </w:r>
                                </w:p>
                              </w:tc>
                              <w:tc>
                                <w:tcPr>
                                  <w:tcW w:w="480" w:type="dxa"/>
                                  <w:tcBorders>
                                    <w:top w:val="single" w:sz="4" w:space="0" w:color="000000"/>
                                  </w:tcBorders>
                                  <w:shd w:val="clear" w:color="auto" w:fill="E6E7E8"/>
                                </w:tcPr>
                                <w:p>
                                  <w:pPr>
                                    <w:pStyle w:val="TableParagraph"/>
                                    <w:spacing w:before="49"/>
                                    <w:ind w:right="34"/>
                                    <w:jc w:val="right"/>
                                    <w:rPr>
                                      <w:rFonts w:ascii="TT Norms Pro Light"/>
                                      <w:b w:val="0"/>
                                      <w:sz w:val="14"/>
                                    </w:rPr>
                                  </w:pPr>
                                  <w:r>
                                    <w:rPr>
                                      <w:rFonts w:ascii="TT Norms Pro Light"/>
                                      <w:b w:val="0"/>
                                      <w:spacing w:val="-5"/>
                                      <w:sz w:val="14"/>
                                    </w:rPr>
                                    <w:t>68</w:t>
                                  </w:r>
                                </w:p>
                              </w:tc>
                              <w:tc>
                                <w:tcPr>
                                  <w:tcW w:w="625" w:type="dxa"/>
                                  <w:tcBorders>
                                    <w:top w:val="single" w:sz="4" w:space="0" w:color="000000"/>
                                  </w:tcBorders>
                                  <w:shd w:val="clear" w:color="auto" w:fill="E6E7E8"/>
                                </w:tcPr>
                                <w:p>
                                  <w:pPr>
                                    <w:pStyle w:val="TableParagraph"/>
                                    <w:spacing w:before="49"/>
                                    <w:ind w:right="7"/>
                                    <w:jc w:val="right"/>
                                    <w:rPr>
                                      <w:rFonts w:ascii="TT Norms Pro Light"/>
                                      <w:b w:val="0"/>
                                      <w:sz w:val="14"/>
                                    </w:rPr>
                                  </w:pPr>
                                  <w:r>
                                    <w:rPr>
                                      <w:rFonts w:ascii="TT Norms Pro Light"/>
                                      <w:b w:val="0"/>
                                      <w:spacing w:val="-5"/>
                                      <w:sz w:val="14"/>
                                    </w:rPr>
                                    <w:t>80</w:t>
                                  </w:r>
                                </w:p>
                              </w:tc>
                            </w:tr>
                            <w:tr>
                              <w:trPr>
                                <w:trHeight w:val="255" w:hRule="atLeast"/>
                              </w:trPr>
                              <w:tc>
                                <w:tcPr>
                                  <w:tcW w:w="1778" w:type="dxa"/>
                                </w:tcPr>
                                <w:p>
                                  <w:pPr>
                                    <w:pStyle w:val="TableParagraph"/>
                                    <w:spacing w:before="54"/>
                                    <w:ind w:left="15"/>
                                    <w:rPr>
                                      <w:rFonts w:ascii="TT Norms Pro Light"/>
                                      <w:b w:val="0"/>
                                      <w:sz w:val="14"/>
                                    </w:rPr>
                                  </w:pPr>
                                  <w:r>
                                    <w:rPr>
                                      <w:rFonts w:ascii="TT Norms Pro Light"/>
                                      <w:b w:val="0"/>
                                      <w:sz w:val="14"/>
                                    </w:rPr>
                                    <w:t>WA</w:t>
                                  </w:r>
                                  <w:r>
                                    <w:rPr>
                                      <w:rFonts w:ascii="TT Norms Pro Light"/>
                                      <w:b w:val="0"/>
                                      <w:spacing w:val="-5"/>
                                      <w:sz w:val="14"/>
                                    </w:rPr>
                                    <w:t> </w:t>
                                  </w:r>
                                  <w:r>
                                    <w:rPr>
                                      <w:rFonts w:ascii="TT Norms Pro Light"/>
                                      <w:b w:val="0"/>
                                      <w:spacing w:val="-2"/>
                                      <w:sz w:val="14"/>
                                    </w:rPr>
                                    <w:t>average</w:t>
                                  </w:r>
                                </w:p>
                              </w:tc>
                              <w:tc>
                                <w:tcPr>
                                  <w:tcW w:w="456" w:type="dxa"/>
                                </w:tcPr>
                                <w:p>
                                  <w:pPr>
                                    <w:pStyle w:val="TableParagraph"/>
                                    <w:spacing w:before="54"/>
                                    <w:ind w:right="73"/>
                                    <w:jc w:val="right"/>
                                    <w:rPr>
                                      <w:rFonts w:ascii="TT Norms Pro Light"/>
                                      <w:b w:val="0"/>
                                      <w:sz w:val="14"/>
                                    </w:rPr>
                                  </w:pPr>
                                  <w:r>
                                    <w:rPr>
                                      <w:rFonts w:ascii="TT Norms Pro Light"/>
                                      <w:b w:val="0"/>
                                      <w:spacing w:val="-5"/>
                                      <w:sz w:val="14"/>
                                    </w:rPr>
                                    <w:t>83</w:t>
                                  </w:r>
                                </w:p>
                              </w:tc>
                              <w:tc>
                                <w:tcPr>
                                  <w:tcW w:w="457" w:type="dxa"/>
                                </w:tcPr>
                                <w:p>
                                  <w:pPr>
                                    <w:pStyle w:val="TableParagraph"/>
                                    <w:spacing w:before="54"/>
                                    <w:ind w:right="77"/>
                                    <w:jc w:val="right"/>
                                    <w:rPr>
                                      <w:rFonts w:ascii="TT Norms Pro Light"/>
                                      <w:b w:val="0"/>
                                      <w:sz w:val="14"/>
                                    </w:rPr>
                                  </w:pPr>
                                  <w:r>
                                    <w:rPr>
                                      <w:rFonts w:ascii="TT Norms Pro Light"/>
                                      <w:b w:val="0"/>
                                      <w:spacing w:val="-5"/>
                                      <w:sz w:val="14"/>
                                    </w:rPr>
                                    <w:t>83</w:t>
                                  </w:r>
                                </w:p>
                              </w:tc>
                              <w:tc>
                                <w:tcPr>
                                  <w:tcW w:w="459" w:type="dxa"/>
                                </w:tcPr>
                                <w:p>
                                  <w:pPr>
                                    <w:pStyle w:val="TableParagraph"/>
                                    <w:spacing w:before="54"/>
                                    <w:ind w:right="59"/>
                                    <w:jc w:val="right"/>
                                    <w:rPr>
                                      <w:rFonts w:ascii="TT Norms Pro Light"/>
                                      <w:b w:val="0"/>
                                      <w:sz w:val="14"/>
                                    </w:rPr>
                                  </w:pPr>
                                  <w:r>
                                    <w:rPr>
                                      <w:rFonts w:ascii="TT Norms Pro Light"/>
                                      <w:b w:val="0"/>
                                      <w:spacing w:val="-5"/>
                                      <w:sz w:val="14"/>
                                    </w:rPr>
                                    <w:t>83</w:t>
                                  </w:r>
                                </w:p>
                              </w:tc>
                              <w:tc>
                                <w:tcPr>
                                  <w:tcW w:w="478" w:type="dxa"/>
                                </w:tcPr>
                                <w:p>
                                  <w:pPr>
                                    <w:pStyle w:val="TableParagraph"/>
                                    <w:spacing w:before="54"/>
                                    <w:ind w:right="93"/>
                                    <w:jc w:val="right"/>
                                    <w:rPr>
                                      <w:rFonts w:ascii="TT Norms Pro Light"/>
                                      <w:b w:val="0"/>
                                      <w:sz w:val="14"/>
                                    </w:rPr>
                                  </w:pPr>
                                  <w:r>
                                    <w:rPr>
                                      <w:rFonts w:ascii="TT Norms Pro Light"/>
                                      <w:b w:val="0"/>
                                      <w:spacing w:val="-5"/>
                                      <w:sz w:val="14"/>
                                    </w:rPr>
                                    <w:t>82</w:t>
                                  </w:r>
                                </w:p>
                              </w:tc>
                              <w:tc>
                                <w:tcPr>
                                  <w:tcW w:w="480" w:type="dxa"/>
                                </w:tcPr>
                                <w:p>
                                  <w:pPr>
                                    <w:pStyle w:val="TableParagraph"/>
                                    <w:spacing w:before="54"/>
                                    <w:ind w:right="34"/>
                                    <w:jc w:val="right"/>
                                    <w:rPr>
                                      <w:rFonts w:ascii="TT Norms Pro Light"/>
                                      <w:b w:val="0"/>
                                      <w:sz w:val="14"/>
                                    </w:rPr>
                                  </w:pPr>
                                  <w:r>
                                    <w:rPr>
                                      <w:rFonts w:ascii="TT Norms Pro Light"/>
                                      <w:b w:val="0"/>
                                      <w:spacing w:val="-10"/>
                                      <w:sz w:val="14"/>
                                    </w:rPr>
                                    <w:t>*</w:t>
                                  </w:r>
                                </w:p>
                              </w:tc>
                              <w:tc>
                                <w:tcPr>
                                  <w:tcW w:w="625" w:type="dxa"/>
                                </w:tcPr>
                                <w:p>
                                  <w:pPr>
                                    <w:pStyle w:val="TableParagraph"/>
                                    <w:rPr>
                                      <w:rFonts w:ascii="Times New Roman"/>
                                      <w:sz w:val="16"/>
                                    </w:rPr>
                                  </w:pPr>
                                </w:p>
                              </w:tc>
                            </w:tr>
                            <w:tr>
                              <w:trPr>
                                <w:trHeight w:val="255" w:hRule="atLeast"/>
                              </w:trPr>
                              <w:tc>
                                <w:tcPr>
                                  <w:tcW w:w="1778" w:type="dxa"/>
                                  <w:shd w:val="clear" w:color="auto" w:fill="E6E7E8"/>
                                </w:tcPr>
                                <w:p>
                                  <w:pPr>
                                    <w:pStyle w:val="TableParagraph"/>
                                    <w:spacing w:before="54"/>
                                    <w:ind w:left="15"/>
                                    <w:rPr>
                                      <w:rFonts w:ascii="TT Norms Pro Light"/>
                                      <w:b w:val="0"/>
                                      <w:sz w:val="14"/>
                                    </w:rPr>
                                  </w:pPr>
                                  <w:r>
                                    <w:rPr>
                                      <w:rFonts w:ascii="TT Norms Pro Light"/>
                                      <w:b w:val="0"/>
                                      <w:sz w:val="14"/>
                                    </w:rPr>
                                    <w:t>National</w:t>
                                  </w:r>
                                  <w:r>
                                    <w:rPr>
                                      <w:rFonts w:ascii="TT Norms Pro Light"/>
                                      <w:b w:val="0"/>
                                      <w:spacing w:val="9"/>
                                      <w:sz w:val="14"/>
                                    </w:rPr>
                                    <w:t> </w:t>
                                  </w:r>
                                  <w:r>
                                    <w:rPr>
                                      <w:rFonts w:ascii="TT Norms Pro Light"/>
                                      <w:b w:val="0"/>
                                      <w:spacing w:val="-2"/>
                                      <w:sz w:val="14"/>
                                    </w:rPr>
                                    <w:t>average</w:t>
                                  </w:r>
                                </w:p>
                              </w:tc>
                              <w:tc>
                                <w:tcPr>
                                  <w:tcW w:w="456" w:type="dxa"/>
                                  <w:shd w:val="clear" w:color="auto" w:fill="E6E7E8"/>
                                </w:tcPr>
                                <w:p>
                                  <w:pPr>
                                    <w:pStyle w:val="TableParagraph"/>
                                    <w:spacing w:before="54"/>
                                    <w:ind w:right="67"/>
                                    <w:jc w:val="right"/>
                                    <w:rPr>
                                      <w:rFonts w:ascii="TT Norms Pro Light"/>
                                      <w:b w:val="0"/>
                                      <w:sz w:val="14"/>
                                    </w:rPr>
                                  </w:pPr>
                                  <w:r>
                                    <w:rPr>
                                      <w:rFonts w:ascii="TT Norms Pro Light"/>
                                      <w:b w:val="0"/>
                                      <w:spacing w:val="-5"/>
                                      <w:sz w:val="14"/>
                                    </w:rPr>
                                    <w:t>80</w:t>
                                  </w:r>
                                </w:p>
                              </w:tc>
                              <w:tc>
                                <w:tcPr>
                                  <w:tcW w:w="457" w:type="dxa"/>
                                  <w:shd w:val="clear" w:color="auto" w:fill="E6E7E8"/>
                                </w:tcPr>
                                <w:p>
                                  <w:pPr>
                                    <w:pStyle w:val="TableParagraph"/>
                                    <w:spacing w:before="54"/>
                                    <w:ind w:right="73"/>
                                    <w:jc w:val="right"/>
                                    <w:rPr>
                                      <w:rFonts w:ascii="TT Norms Pro Light"/>
                                      <w:b w:val="0"/>
                                      <w:sz w:val="14"/>
                                    </w:rPr>
                                  </w:pPr>
                                  <w:r>
                                    <w:rPr>
                                      <w:rFonts w:ascii="TT Norms Pro Light"/>
                                      <w:b w:val="0"/>
                                      <w:spacing w:val="-5"/>
                                      <w:sz w:val="14"/>
                                    </w:rPr>
                                    <w:t>79</w:t>
                                  </w:r>
                                </w:p>
                              </w:tc>
                              <w:tc>
                                <w:tcPr>
                                  <w:tcW w:w="459" w:type="dxa"/>
                                  <w:shd w:val="clear" w:color="auto" w:fill="E6E7E8"/>
                                </w:tcPr>
                                <w:p>
                                  <w:pPr>
                                    <w:pStyle w:val="TableParagraph"/>
                                    <w:spacing w:before="54"/>
                                    <w:ind w:right="56"/>
                                    <w:jc w:val="right"/>
                                    <w:rPr>
                                      <w:rFonts w:ascii="TT Norms Pro Light"/>
                                      <w:b w:val="0"/>
                                      <w:sz w:val="14"/>
                                    </w:rPr>
                                  </w:pPr>
                                  <w:r>
                                    <w:rPr>
                                      <w:rFonts w:ascii="TT Norms Pro Light"/>
                                      <w:b w:val="0"/>
                                      <w:spacing w:val="-5"/>
                                      <w:sz w:val="14"/>
                                    </w:rPr>
                                    <w:t>79</w:t>
                                  </w:r>
                                </w:p>
                              </w:tc>
                              <w:tc>
                                <w:tcPr>
                                  <w:tcW w:w="478" w:type="dxa"/>
                                  <w:shd w:val="clear" w:color="auto" w:fill="E6E7E8"/>
                                </w:tcPr>
                                <w:p>
                                  <w:pPr>
                                    <w:pStyle w:val="TableParagraph"/>
                                    <w:spacing w:before="54"/>
                                    <w:ind w:right="93"/>
                                    <w:jc w:val="right"/>
                                    <w:rPr>
                                      <w:rFonts w:ascii="TT Norms Pro Light"/>
                                      <w:b w:val="0"/>
                                      <w:sz w:val="14"/>
                                    </w:rPr>
                                  </w:pPr>
                                  <w:r>
                                    <w:rPr>
                                      <w:rFonts w:ascii="TT Norms Pro Light"/>
                                      <w:b w:val="0"/>
                                      <w:spacing w:val="-5"/>
                                      <w:sz w:val="14"/>
                                    </w:rPr>
                                    <w:t>78</w:t>
                                  </w:r>
                                </w:p>
                              </w:tc>
                              <w:tc>
                                <w:tcPr>
                                  <w:tcW w:w="480" w:type="dxa"/>
                                  <w:shd w:val="clear" w:color="auto" w:fill="E6E7E8"/>
                                </w:tcPr>
                                <w:p>
                                  <w:pPr>
                                    <w:pStyle w:val="TableParagraph"/>
                                    <w:spacing w:before="54"/>
                                    <w:ind w:right="33"/>
                                    <w:jc w:val="right"/>
                                    <w:rPr>
                                      <w:rFonts w:ascii="TT Norms Pro Light"/>
                                      <w:b w:val="0"/>
                                      <w:sz w:val="14"/>
                                    </w:rPr>
                                  </w:pPr>
                                  <w:r>
                                    <w:rPr>
                                      <w:rFonts w:ascii="TT Norms Pro Light"/>
                                      <w:b w:val="0"/>
                                      <w:spacing w:val="-10"/>
                                      <w:sz w:val="14"/>
                                    </w:rPr>
                                    <w:t>*</w:t>
                                  </w:r>
                                </w:p>
                              </w:tc>
                              <w:tc>
                                <w:tcPr>
                                  <w:tcW w:w="625" w:type="dxa"/>
                                  <w:shd w:val="clear" w:color="auto" w:fill="E6E7E8"/>
                                </w:tcPr>
                                <w:p>
                                  <w:pPr>
                                    <w:pStyle w:val="TableParagraph"/>
                                    <w:rPr>
                                      <w:rFonts w:ascii="Times New Roman"/>
                                      <w:sz w:val="16"/>
                                    </w:rPr>
                                  </w:pPr>
                                </w:p>
                              </w:tc>
                            </w:tr>
                            <w:tr>
                              <w:trPr>
                                <w:trHeight w:val="587" w:hRule="atLeast"/>
                              </w:trPr>
                              <w:tc>
                                <w:tcPr>
                                  <w:tcW w:w="1778" w:type="dxa"/>
                                  <w:tcBorders>
                                    <w:bottom w:val="single" w:sz="4" w:space="0" w:color="000000"/>
                                  </w:tcBorders>
                                </w:tcPr>
                                <w:p>
                                  <w:pPr>
                                    <w:pStyle w:val="TableParagraph"/>
                                    <w:tabs>
                                      <w:tab w:pos="4730" w:val="left" w:leader="none"/>
                                    </w:tabs>
                                    <w:spacing w:line="157" w:lineRule="exact"/>
                                    <w:ind w:right="-2967"/>
                                    <w:rPr>
                                      <w:rFonts w:ascii="TT Norms Pro Light"/>
                                      <w:b w:val="0"/>
                                      <w:sz w:val="18"/>
                                    </w:rPr>
                                  </w:pPr>
                                  <w:r>
                                    <w:rPr>
                                      <w:rFonts w:ascii="TT Norms Pro Light"/>
                                      <w:b w:val="0"/>
                                      <w:sz w:val="18"/>
                                      <w:u w:val="single"/>
                                    </w:rPr>
                                    <w:t> </w:t>
                                    <w:tab/>
                                  </w:r>
                                </w:p>
                                <w:p>
                                  <w:pPr>
                                    <w:pStyle w:val="TableParagraph"/>
                                    <w:spacing w:before="22"/>
                                    <w:ind w:left="15"/>
                                    <w:rPr>
                                      <w:rFonts w:ascii="TT Norms Pro"/>
                                      <w:b/>
                                      <w:sz w:val="14"/>
                                    </w:rPr>
                                  </w:pPr>
                                  <w:r>
                                    <w:rPr>
                                      <w:rFonts w:ascii="TT Norms Pro"/>
                                      <w:b/>
                                      <w:sz w:val="14"/>
                                    </w:rPr>
                                    <w:t>OVERALL</w:t>
                                  </w:r>
                                  <w:r>
                                    <w:rPr>
                                      <w:rFonts w:ascii="TT Norms Pro"/>
                                      <w:b/>
                                      <w:spacing w:val="14"/>
                                      <w:sz w:val="14"/>
                                    </w:rPr>
                                    <w:t> </w:t>
                                  </w:r>
                                  <w:r>
                                    <w:rPr>
                                      <w:rFonts w:ascii="TT Norms Pro"/>
                                      <w:b/>
                                      <w:spacing w:val="-2"/>
                                      <w:sz w:val="14"/>
                                    </w:rPr>
                                    <w:t>EXPERIENCE</w:t>
                                  </w:r>
                                </w:p>
                                <w:p>
                                  <w:pPr>
                                    <w:pStyle w:val="TableParagraph"/>
                                    <w:spacing w:before="36"/>
                                    <w:ind w:left="14"/>
                                    <w:rPr>
                                      <w:rFonts w:ascii="TT Norms Pro"/>
                                      <w:b/>
                                      <w:sz w:val="14"/>
                                    </w:rPr>
                                  </w:pPr>
                                  <w:r>
                                    <w:rPr>
                                      <w:rFonts w:ascii="TT Norms Pro"/>
                                      <w:b/>
                                      <w:spacing w:val="-4"/>
                                      <w:sz w:val="14"/>
                                    </w:rPr>
                                    <w:t>(%</w:t>
                                  </w:r>
                                  <w:r>
                                    <w:rPr>
                                      <w:rFonts w:ascii="TT Norms Pro"/>
                                      <w:b/>
                                      <w:spacing w:val="-5"/>
                                      <w:sz w:val="14"/>
                                    </w:rPr>
                                    <w:t> </w:t>
                                  </w:r>
                                  <w:r>
                                    <w:rPr>
                                      <w:rFonts w:ascii="TT Norms Pro"/>
                                      <w:b/>
                                      <w:spacing w:val="-4"/>
                                      <w:sz w:val="14"/>
                                    </w:rPr>
                                    <w:t>OF POSTGRADUATES)</w:t>
                                  </w:r>
                                </w:p>
                              </w:tc>
                              <w:tc>
                                <w:tcPr>
                                  <w:tcW w:w="456" w:type="dxa"/>
                                  <w:tcBorders>
                                    <w:bottom w:val="single" w:sz="4" w:space="0" w:color="000000"/>
                                  </w:tcBorders>
                                </w:tcPr>
                                <w:p>
                                  <w:pPr>
                                    <w:pStyle w:val="TableParagraph"/>
                                    <w:spacing w:before="15"/>
                                    <w:rPr>
                                      <w:rFonts w:ascii="TT Norms Pro Light"/>
                                      <w:b w:val="0"/>
                                      <w:sz w:val="14"/>
                                    </w:rPr>
                                  </w:pPr>
                                </w:p>
                                <w:p>
                                  <w:pPr>
                                    <w:pStyle w:val="TableParagraph"/>
                                    <w:ind w:right="72"/>
                                    <w:jc w:val="right"/>
                                    <w:rPr>
                                      <w:rFonts w:ascii="TT Norms Pro"/>
                                      <w:b/>
                                      <w:sz w:val="14"/>
                                    </w:rPr>
                                  </w:pPr>
                                  <w:r>
                                    <w:rPr>
                                      <w:rFonts w:ascii="TT Norms Pro"/>
                                      <w:b/>
                                      <w:spacing w:val="-4"/>
                                      <w:sz w:val="14"/>
                                    </w:rPr>
                                    <w:t>2016</w:t>
                                  </w:r>
                                </w:p>
                              </w:tc>
                              <w:tc>
                                <w:tcPr>
                                  <w:tcW w:w="457" w:type="dxa"/>
                                  <w:tcBorders>
                                    <w:bottom w:val="single" w:sz="4" w:space="0" w:color="000000"/>
                                  </w:tcBorders>
                                </w:tcPr>
                                <w:p>
                                  <w:pPr>
                                    <w:pStyle w:val="TableParagraph"/>
                                    <w:spacing w:before="15"/>
                                    <w:rPr>
                                      <w:rFonts w:ascii="TT Norms Pro Light"/>
                                      <w:b w:val="0"/>
                                      <w:sz w:val="14"/>
                                    </w:rPr>
                                  </w:pPr>
                                </w:p>
                                <w:p>
                                  <w:pPr>
                                    <w:pStyle w:val="TableParagraph"/>
                                    <w:ind w:right="78"/>
                                    <w:jc w:val="right"/>
                                    <w:rPr>
                                      <w:rFonts w:ascii="TT Norms Pro"/>
                                      <w:b/>
                                      <w:sz w:val="14"/>
                                    </w:rPr>
                                  </w:pPr>
                                  <w:r>
                                    <w:rPr>
                                      <w:rFonts w:ascii="TT Norms Pro"/>
                                      <w:b/>
                                      <w:spacing w:val="-4"/>
                                      <w:sz w:val="14"/>
                                    </w:rPr>
                                    <w:t>2017</w:t>
                                  </w:r>
                                </w:p>
                              </w:tc>
                              <w:tc>
                                <w:tcPr>
                                  <w:tcW w:w="459" w:type="dxa"/>
                                  <w:tcBorders>
                                    <w:bottom w:val="single" w:sz="4" w:space="0" w:color="000000"/>
                                  </w:tcBorders>
                                </w:tcPr>
                                <w:p>
                                  <w:pPr>
                                    <w:pStyle w:val="TableParagraph"/>
                                    <w:spacing w:before="15"/>
                                    <w:rPr>
                                      <w:rFonts w:ascii="TT Norms Pro Light"/>
                                      <w:b w:val="0"/>
                                      <w:sz w:val="14"/>
                                    </w:rPr>
                                  </w:pPr>
                                </w:p>
                                <w:p>
                                  <w:pPr>
                                    <w:pStyle w:val="TableParagraph"/>
                                    <w:ind w:right="57"/>
                                    <w:jc w:val="right"/>
                                    <w:rPr>
                                      <w:rFonts w:ascii="TT Norms Pro"/>
                                      <w:b/>
                                      <w:sz w:val="14"/>
                                    </w:rPr>
                                  </w:pPr>
                                  <w:r>
                                    <w:rPr>
                                      <w:rFonts w:ascii="TT Norms Pro"/>
                                      <w:b/>
                                      <w:spacing w:val="-4"/>
                                      <w:sz w:val="14"/>
                                    </w:rPr>
                                    <w:t>2018</w:t>
                                  </w:r>
                                </w:p>
                              </w:tc>
                              <w:tc>
                                <w:tcPr>
                                  <w:tcW w:w="478" w:type="dxa"/>
                                  <w:tcBorders>
                                    <w:bottom w:val="single" w:sz="4" w:space="0" w:color="000000"/>
                                  </w:tcBorders>
                                </w:tcPr>
                                <w:p>
                                  <w:pPr>
                                    <w:pStyle w:val="TableParagraph"/>
                                    <w:spacing w:before="15"/>
                                    <w:rPr>
                                      <w:rFonts w:ascii="TT Norms Pro Light"/>
                                      <w:b w:val="0"/>
                                      <w:sz w:val="14"/>
                                    </w:rPr>
                                  </w:pPr>
                                </w:p>
                                <w:p>
                                  <w:pPr>
                                    <w:pStyle w:val="TableParagraph"/>
                                    <w:ind w:right="94"/>
                                    <w:jc w:val="right"/>
                                    <w:rPr>
                                      <w:rFonts w:ascii="TT Norms Pro"/>
                                      <w:b/>
                                      <w:sz w:val="14"/>
                                    </w:rPr>
                                  </w:pPr>
                                  <w:r>
                                    <w:rPr>
                                      <w:rFonts w:ascii="TT Norms Pro"/>
                                      <w:b/>
                                      <w:spacing w:val="-4"/>
                                      <w:sz w:val="14"/>
                                    </w:rPr>
                                    <w:t>2019</w:t>
                                  </w:r>
                                </w:p>
                              </w:tc>
                              <w:tc>
                                <w:tcPr>
                                  <w:tcW w:w="480" w:type="dxa"/>
                                  <w:tcBorders>
                                    <w:bottom w:val="single" w:sz="4" w:space="0" w:color="000000"/>
                                  </w:tcBorders>
                                </w:tcPr>
                                <w:p>
                                  <w:pPr>
                                    <w:pStyle w:val="TableParagraph"/>
                                    <w:spacing w:before="15"/>
                                    <w:rPr>
                                      <w:rFonts w:ascii="TT Norms Pro Light"/>
                                      <w:b w:val="0"/>
                                      <w:sz w:val="14"/>
                                    </w:rPr>
                                  </w:pPr>
                                </w:p>
                                <w:p>
                                  <w:pPr>
                                    <w:pStyle w:val="TableParagraph"/>
                                    <w:ind w:right="35"/>
                                    <w:jc w:val="right"/>
                                    <w:rPr>
                                      <w:rFonts w:ascii="TT Norms Pro"/>
                                      <w:b/>
                                      <w:sz w:val="14"/>
                                    </w:rPr>
                                  </w:pPr>
                                  <w:r>
                                    <w:rPr>
                                      <w:rFonts w:ascii="TT Norms Pro"/>
                                      <w:b/>
                                      <w:spacing w:val="-4"/>
                                      <w:sz w:val="14"/>
                                    </w:rPr>
                                    <w:t>2020</w:t>
                                  </w:r>
                                </w:p>
                              </w:tc>
                              <w:tc>
                                <w:tcPr>
                                  <w:tcW w:w="625" w:type="dxa"/>
                                  <w:tcBorders>
                                    <w:bottom w:val="single" w:sz="4" w:space="0" w:color="000000"/>
                                  </w:tcBorders>
                                </w:tcPr>
                                <w:p>
                                  <w:pPr>
                                    <w:pStyle w:val="TableParagraph"/>
                                    <w:spacing w:before="15"/>
                                    <w:rPr>
                                      <w:rFonts w:ascii="TT Norms Pro Light"/>
                                      <w:b w:val="0"/>
                                      <w:sz w:val="14"/>
                                    </w:rPr>
                                  </w:pPr>
                                </w:p>
                                <w:p>
                                  <w:pPr>
                                    <w:pStyle w:val="TableParagraph"/>
                                    <w:ind w:left="254"/>
                                    <w:rPr>
                                      <w:rFonts w:ascii="TT Norms Pro"/>
                                      <w:b/>
                                      <w:sz w:val="14"/>
                                    </w:rPr>
                                  </w:pPr>
                                  <w:r>
                                    <w:rPr>
                                      <w:rFonts w:ascii="TT Norms Pro"/>
                                      <w:b/>
                                      <w:spacing w:val="-4"/>
                                      <w:sz w:val="14"/>
                                    </w:rPr>
                                    <w:t>2020</w:t>
                                  </w:r>
                                </w:p>
                                <w:p>
                                  <w:pPr>
                                    <w:pStyle w:val="TableParagraph"/>
                                    <w:spacing w:before="37"/>
                                    <w:ind w:left="32"/>
                                    <w:rPr>
                                      <w:rFonts w:ascii="TT Norms Pro"/>
                                      <w:b/>
                                      <w:sz w:val="14"/>
                                    </w:rPr>
                                  </w:pPr>
                                  <w:r>
                                    <w:rPr>
                                      <w:rFonts w:ascii="TT Norms Pro"/>
                                      <w:b/>
                                      <w:spacing w:val="-2"/>
                                      <w:sz w:val="14"/>
                                    </w:rPr>
                                    <w:t>TARGET</w:t>
                                  </w:r>
                                </w:p>
                              </w:tc>
                            </w:tr>
                            <w:tr>
                              <w:trPr>
                                <w:trHeight w:val="250" w:hRule="atLeast"/>
                              </w:trPr>
                              <w:tc>
                                <w:tcPr>
                                  <w:tcW w:w="1778" w:type="dxa"/>
                                  <w:tcBorders>
                                    <w:top w:val="single" w:sz="4" w:space="0" w:color="000000"/>
                                  </w:tcBorders>
                                  <w:shd w:val="clear" w:color="auto" w:fill="E6E7E8"/>
                                </w:tcPr>
                                <w:p>
                                  <w:pPr>
                                    <w:pStyle w:val="TableParagraph"/>
                                    <w:spacing w:before="49"/>
                                    <w:ind w:left="14"/>
                                    <w:rPr>
                                      <w:rFonts w:ascii="TT Norms Pro Light"/>
                                      <w:b w:val="0"/>
                                      <w:sz w:val="14"/>
                                    </w:rPr>
                                  </w:pPr>
                                  <w:r>
                                    <w:rPr>
                                      <w:rFonts w:ascii="TT Norms Pro Light"/>
                                      <w:b w:val="0"/>
                                      <w:spacing w:val="-5"/>
                                      <w:sz w:val="14"/>
                                    </w:rPr>
                                    <w:t>UWA</w:t>
                                  </w:r>
                                </w:p>
                              </w:tc>
                              <w:tc>
                                <w:tcPr>
                                  <w:tcW w:w="456" w:type="dxa"/>
                                  <w:tcBorders>
                                    <w:top w:val="single" w:sz="4" w:space="0" w:color="000000"/>
                                  </w:tcBorders>
                                  <w:shd w:val="clear" w:color="auto" w:fill="E6E7E8"/>
                                </w:tcPr>
                                <w:p>
                                  <w:pPr>
                                    <w:pStyle w:val="TableParagraph"/>
                                    <w:rPr>
                                      <w:rFonts w:ascii="Times New Roman"/>
                                      <w:sz w:val="16"/>
                                    </w:rPr>
                                  </w:pPr>
                                </w:p>
                              </w:tc>
                              <w:tc>
                                <w:tcPr>
                                  <w:tcW w:w="457" w:type="dxa"/>
                                  <w:tcBorders>
                                    <w:top w:val="single" w:sz="4" w:space="0" w:color="000000"/>
                                  </w:tcBorders>
                                  <w:shd w:val="clear" w:color="auto" w:fill="E6E7E8"/>
                                </w:tcPr>
                                <w:p>
                                  <w:pPr>
                                    <w:pStyle w:val="TableParagraph"/>
                                    <w:spacing w:before="49"/>
                                    <w:ind w:right="74"/>
                                    <w:jc w:val="right"/>
                                    <w:rPr>
                                      <w:rFonts w:ascii="TT Norms Pro Light"/>
                                      <w:b w:val="0"/>
                                      <w:sz w:val="14"/>
                                    </w:rPr>
                                  </w:pPr>
                                  <w:r>
                                    <w:rPr>
                                      <w:rFonts w:ascii="TT Norms Pro Light"/>
                                      <w:b w:val="0"/>
                                      <w:spacing w:val="-5"/>
                                      <w:sz w:val="14"/>
                                    </w:rPr>
                                    <w:t>66</w:t>
                                  </w:r>
                                </w:p>
                              </w:tc>
                              <w:tc>
                                <w:tcPr>
                                  <w:tcW w:w="459" w:type="dxa"/>
                                  <w:tcBorders>
                                    <w:top w:val="single" w:sz="4" w:space="0" w:color="000000"/>
                                  </w:tcBorders>
                                  <w:shd w:val="clear" w:color="auto" w:fill="E6E7E8"/>
                                </w:tcPr>
                                <w:p>
                                  <w:pPr>
                                    <w:pStyle w:val="TableParagraph"/>
                                    <w:spacing w:before="49"/>
                                    <w:ind w:right="61"/>
                                    <w:jc w:val="right"/>
                                    <w:rPr>
                                      <w:rFonts w:ascii="TT Norms Pro Light"/>
                                      <w:b w:val="0"/>
                                      <w:sz w:val="14"/>
                                    </w:rPr>
                                  </w:pPr>
                                  <w:r>
                                    <w:rPr>
                                      <w:rFonts w:ascii="TT Norms Pro Light"/>
                                      <w:b w:val="0"/>
                                      <w:spacing w:val="-5"/>
                                      <w:sz w:val="14"/>
                                    </w:rPr>
                                    <w:t>69</w:t>
                                  </w:r>
                                </w:p>
                              </w:tc>
                              <w:tc>
                                <w:tcPr>
                                  <w:tcW w:w="478" w:type="dxa"/>
                                  <w:tcBorders>
                                    <w:top w:val="single" w:sz="4" w:space="0" w:color="000000"/>
                                  </w:tcBorders>
                                  <w:shd w:val="clear" w:color="auto" w:fill="E6E7E8"/>
                                </w:tcPr>
                                <w:p>
                                  <w:pPr>
                                    <w:pStyle w:val="TableParagraph"/>
                                    <w:spacing w:before="49"/>
                                    <w:ind w:right="90"/>
                                    <w:jc w:val="right"/>
                                    <w:rPr>
                                      <w:rFonts w:ascii="TT Norms Pro Light"/>
                                      <w:b w:val="0"/>
                                      <w:sz w:val="14"/>
                                    </w:rPr>
                                  </w:pPr>
                                  <w:r>
                                    <w:rPr>
                                      <w:rFonts w:ascii="TT Norms Pro Light"/>
                                      <w:b w:val="0"/>
                                      <w:spacing w:val="-5"/>
                                      <w:sz w:val="14"/>
                                    </w:rPr>
                                    <w:t>71</w:t>
                                  </w:r>
                                </w:p>
                              </w:tc>
                              <w:tc>
                                <w:tcPr>
                                  <w:tcW w:w="480" w:type="dxa"/>
                                  <w:tcBorders>
                                    <w:top w:val="single" w:sz="4" w:space="0" w:color="000000"/>
                                  </w:tcBorders>
                                  <w:shd w:val="clear" w:color="auto" w:fill="E6E7E8"/>
                                </w:tcPr>
                                <w:p>
                                  <w:pPr>
                                    <w:pStyle w:val="TableParagraph"/>
                                    <w:spacing w:before="49"/>
                                    <w:ind w:right="33"/>
                                    <w:jc w:val="right"/>
                                    <w:rPr>
                                      <w:rFonts w:ascii="TT Norms Pro Light"/>
                                      <w:b w:val="0"/>
                                      <w:sz w:val="14"/>
                                    </w:rPr>
                                  </w:pPr>
                                  <w:r>
                                    <w:rPr>
                                      <w:rFonts w:ascii="TT Norms Pro Light"/>
                                      <w:b w:val="0"/>
                                      <w:spacing w:val="-5"/>
                                      <w:sz w:val="14"/>
                                    </w:rPr>
                                    <w:t>65</w:t>
                                  </w:r>
                                </w:p>
                              </w:tc>
                              <w:tc>
                                <w:tcPr>
                                  <w:tcW w:w="625" w:type="dxa"/>
                                  <w:tcBorders>
                                    <w:top w:val="single" w:sz="4" w:space="0" w:color="000000"/>
                                  </w:tcBorders>
                                  <w:shd w:val="clear" w:color="auto" w:fill="E6E7E8"/>
                                </w:tcPr>
                                <w:p>
                                  <w:pPr>
                                    <w:pStyle w:val="TableParagraph"/>
                                    <w:spacing w:before="49"/>
                                    <w:ind w:right="8"/>
                                    <w:jc w:val="right"/>
                                    <w:rPr>
                                      <w:rFonts w:ascii="TT Norms Pro Light"/>
                                      <w:b w:val="0"/>
                                      <w:sz w:val="14"/>
                                    </w:rPr>
                                  </w:pPr>
                                  <w:r>
                                    <w:rPr>
                                      <w:rFonts w:ascii="TT Norms Pro Light"/>
                                      <w:b w:val="0"/>
                                      <w:spacing w:val="-5"/>
                                      <w:sz w:val="14"/>
                                    </w:rPr>
                                    <w:t>71</w:t>
                                  </w:r>
                                </w:p>
                              </w:tc>
                            </w:tr>
                            <w:tr>
                              <w:trPr>
                                <w:trHeight w:val="255" w:hRule="atLeast"/>
                              </w:trPr>
                              <w:tc>
                                <w:tcPr>
                                  <w:tcW w:w="1778" w:type="dxa"/>
                                </w:tcPr>
                                <w:p>
                                  <w:pPr>
                                    <w:pStyle w:val="TableParagraph"/>
                                    <w:spacing w:before="54"/>
                                    <w:ind w:left="14"/>
                                    <w:rPr>
                                      <w:rFonts w:ascii="TT Norms Pro Light"/>
                                      <w:b w:val="0"/>
                                      <w:sz w:val="14"/>
                                    </w:rPr>
                                  </w:pPr>
                                  <w:r>
                                    <w:rPr>
                                      <w:rFonts w:ascii="TT Norms Pro Light"/>
                                      <w:b w:val="0"/>
                                      <w:sz w:val="14"/>
                                    </w:rPr>
                                    <w:t>WA</w:t>
                                  </w:r>
                                  <w:r>
                                    <w:rPr>
                                      <w:rFonts w:ascii="TT Norms Pro Light"/>
                                      <w:b w:val="0"/>
                                      <w:spacing w:val="-5"/>
                                      <w:sz w:val="14"/>
                                    </w:rPr>
                                    <w:t> </w:t>
                                  </w:r>
                                  <w:r>
                                    <w:rPr>
                                      <w:rFonts w:ascii="TT Norms Pro Light"/>
                                      <w:b w:val="0"/>
                                      <w:spacing w:val="-2"/>
                                      <w:sz w:val="14"/>
                                    </w:rPr>
                                    <w:t>average</w:t>
                                  </w:r>
                                </w:p>
                              </w:tc>
                              <w:tc>
                                <w:tcPr>
                                  <w:tcW w:w="456" w:type="dxa"/>
                                </w:tcPr>
                                <w:p>
                                  <w:pPr>
                                    <w:pStyle w:val="TableParagraph"/>
                                    <w:rPr>
                                      <w:rFonts w:ascii="Times New Roman"/>
                                      <w:sz w:val="16"/>
                                    </w:rPr>
                                  </w:pPr>
                                </w:p>
                              </w:tc>
                              <w:tc>
                                <w:tcPr>
                                  <w:tcW w:w="457" w:type="dxa"/>
                                </w:tcPr>
                                <w:p>
                                  <w:pPr>
                                    <w:pStyle w:val="TableParagraph"/>
                                    <w:spacing w:before="54"/>
                                    <w:ind w:right="72"/>
                                    <w:jc w:val="right"/>
                                    <w:rPr>
                                      <w:rFonts w:ascii="TT Norms Pro Light"/>
                                      <w:b w:val="0"/>
                                      <w:sz w:val="14"/>
                                    </w:rPr>
                                  </w:pPr>
                                  <w:r>
                                    <w:rPr>
                                      <w:rFonts w:ascii="TT Norms Pro Light"/>
                                      <w:b w:val="0"/>
                                      <w:spacing w:val="-5"/>
                                      <w:sz w:val="14"/>
                                    </w:rPr>
                                    <w:t>73</w:t>
                                  </w:r>
                                </w:p>
                              </w:tc>
                              <w:tc>
                                <w:tcPr>
                                  <w:tcW w:w="459" w:type="dxa"/>
                                </w:tcPr>
                                <w:p>
                                  <w:pPr>
                                    <w:pStyle w:val="TableParagraph"/>
                                    <w:spacing w:before="54"/>
                                    <w:ind w:right="60"/>
                                    <w:jc w:val="right"/>
                                    <w:rPr>
                                      <w:rFonts w:ascii="TT Norms Pro Light"/>
                                      <w:b w:val="0"/>
                                      <w:sz w:val="14"/>
                                    </w:rPr>
                                  </w:pPr>
                                  <w:r>
                                    <w:rPr>
                                      <w:rFonts w:ascii="TT Norms Pro Light"/>
                                      <w:b w:val="0"/>
                                      <w:spacing w:val="-5"/>
                                      <w:sz w:val="14"/>
                                    </w:rPr>
                                    <w:t>75</w:t>
                                  </w:r>
                                </w:p>
                              </w:tc>
                              <w:tc>
                                <w:tcPr>
                                  <w:tcW w:w="478" w:type="dxa"/>
                                </w:tcPr>
                                <w:p>
                                  <w:pPr>
                                    <w:pStyle w:val="TableParagraph"/>
                                    <w:spacing w:before="54"/>
                                    <w:ind w:right="88"/>
                                    <w:jc w:val="right"/>
                                    <w:rPr>
                                      <w:rFonts w:ascii="TT Norms Pro Light"/>
                                      <w:b w:val="0"/>
                                      <w:sz w:val="14"/>
                                    </w:rPr>
                                  </w:pPr>
                                  <w:r>
                                    <w:rPr>
                                      <w:rFonts w:ascii="TT Norms Pro Light"/>
                                      <w:b w:val="0"/>
                                      <w:spacing w:val="-5"/>
                                      <w:sz w:val="14"/>
                                    </w:rPr>
                                    <w:t>77</w:t>
                                  </w:r>
                                </w:p>
                              </w:tc>
                              <w:tc>
                                <w:tcPr>
                                  <w:tcW w:w="480" w:type="dxa"/>
                                </w:tcPr>
                                <w:p>
                                  <w:pPr>
                                    <w:pStyle w:val="TableParagraph"/>
                                    <w:spacing w:before="54"/>
                                    <w:ind w:right="35"/>
                                    <w:jc w:val="right"/>
                                    <w:rPr>
                                      <w:rFonts w:ascii="TT Norms Pro Light"/>
                                      <w:b w:val="0"/>
                                      <w:sz w:val="14"/>
                                    </w:rPr>
                                  </w:pPr>
                                  <w:r>
                                    <w:rPr>
                                      <w:rFonts w:ascii="TT Norms Pro Light"/>
                                      <w:b w:val="0"/>
                                      <w:spacing w:val="-10"/>
                                      <w:sz w:val="14"/>
                                    </w:rPr>
                                    <w:t>*</w:t>
                                  </w:r>
                                </w:p>
                              </w:tc>
                              <w:tc>
                                <w:tcPr>
                                  <w:tcW w:w="625" w:type="dxa"/>
                                </w:tcPr>
                                <w:p>
                                  <w:pPr>
                                    <w:pStyle w:val="TableParagraph"/>
                                    <w:rPr>
                                      <w:rFonts w:ascii="Times New Roman"/>
                                      <w:sz w:val="16"/>
                                    </w:rPr>
                                  </w:pPr>
                                </w:p>
                              </w:tc>
                            </w:tr>
                            <w:tr>
                              <w:trPr>
                                <w:trHeight w:val="255" w:hRule="atLeast"/>
                              </w:trPr>
                              <w:tc>
                                <w:tcPr>
                                  <w:tcW w:w="1778" w:type="dxa"/>
                                  <w:shd w:val="clear" w:color="auto" w:fill="E6E7E8"/>
                                </w:tcPr>
                                <w:p>
                                  <w:pPr>
                                    <w:pStyle w:val="TableParagraph"/>
                                    <w:spacing w:before="54"/>
                                    <w:ind w:left="14"/>
                                    <w:rPr>
                                      <w:rFonts w:ascii="TT Norms Pro Light"/>
                                      <w:b w:val="0"/>
                                      <w:sz w:val="14"/>
                                    </w:rPr>
                                  </w:pPr>
                                  <w:r>
                                    <w:rPr>
                                      <w:rFonts w:ascii="TT Norms Pro Light"/>
                                      <w:b w:val="0"/>
                                      <w:sz w:val="14"/>
                                    </w:rPr>
                                    <w:t>National</w:t>
                                  </w:r>
                                  <w:r>
                                    <w:rPr>
                                      <w:rFonts w:ascii="TT Norms Pro Light"/>
                                      <w:b w:val="0"/>
                                      <w:spacing w:val="9"/>
                                      <w:sz w:val="14"/>
                                    </w:rPr>
                                    <w:t> </w:t>
                                  </w:r>
                                  <w:r>
                                    <w:rPr>
                                      <w:rFonts w:ascii="TT Norms Pro Light"/>
                                      <w:b w:val="0"/>
                                      <w:spacing w:val="-2"/>
                                      <w:sz w:val="14"/>
                                    </w:rPr>
                                    <w:t>average</w:t>
                                  </w:r>
                                </w:p>
                              </w:tc>
                              <w:tc>
                                <w:tcPr>
                                  <w:tcW w:w="456" w:type="dxa"/>
                                  <w:shd w:val="clear" w:color="auto" w:fill="E6E7E8"/>
                                </w:tcPr>
                                <w:p>
                                  <w:pPr>
                                    <w:pStyle w:val="TableParagraph"/>
                                    <w:rPr>
                                      <w:rFonts w:ascii="Times New Roman"/>
                                      <w:sz w:val="16"/>
                                    </w:rPr>
                                  </w:pPr>
                                </w:p>
                              </w:tc>
                              <w:tc>
                                <w:tcPr>
                                  <w:tcW w:w="457" w:type="dxa"/>
                                  <w:shd w:val="clear" w:color="auto" w:fill="E6E7E8"/>
                                </w:tcPr>
                                <w:p>
                                  <w:pPr>
                                    <w:pStyle w:val="TableParagraph"/>
                                    <w:spacing w:before="54"/>
                                    <w:ind w:right="78"/>
                                    <w:jc w:val="right"/>
                                    <w:rPr>
                                      <w:rFonts w:ascii="TT Norms Pro Light"/>
                                      <w:b w:val="0"/>
                                      <w:sz w:val="14"/>
                                    </w:rPr>
                                  </w:pPr>
                                  <w:r>
                                    <w:rPr>
                                      <w:rFonts w:ascii="TT Norms Pro Light"/>
                                      <w:b w:val="0"/>
                                      <w:spacing w:val="-5"/>
                                      <w:sz w:val="14"/>
                                    </w:rPr>
                                    <w:t>75</w:t>
                                  </w:r>
                                </w:p>
                              </w:tc>
                              <w:tc>
                                <w:tcPr>
                                  <w:tcW w:w="459" w:type="dxa"/>
                                  <w:shd w:val="clear" w:color="auto" w:fill="E6E7E8"/>
                                </w:tcPr>
                                <w:p>
                                  <w:pPr>
                                    <w:pStyle w:val="TableParagraph"/>
                                    <w:spacing w:before="54"/>
                                    <w:ind w:right="64"/>
                                    <w:jc w:val="right"/>
                                    <w:rPr>
                                      <w:rFonts w:ascii="TT Norms Pro Light"/>
                                      <w:b w:val="0"/>
                                      <w:sz w:val="14"/>
                                    </w:rPr>
                                  </w:pPr>
                                  <w:r>
                                    <w:rPr>
                                      <w:rFonts w:ascii="TT Norms Pro Light"/>
                                      <w:b w:val="0"/>
                                      <w:spacing w:val="-5"/>
                                      <w:sz w:val="14"/>
                                    </w:rPr>
                                    <w:t>76</w:t>
                                  </w:r>
                                </w:p>
                              </w:tc>
                              <w:tc>
                                <w:tcPr>
                                  <w:tcW w:w="478" w:type="dxa"/>
                                  <w:shd w:val="clear" w:color="auto" w:fill="E6E7E8"/>
                                </w:tcPr>
                                <w:p>
                                  <w:pPr>
                                    <w:pStyle w:val="TableParagraph"/>
                                    <w:spacing w:before="54"/>
                                    <w:ind w:right="99"/>
                                    <w:jc w:val="right"/>
                                    <w:rPr>
                                      <w:rFonts w:ascii="TT Norms Pro Light"/>
                                      <w:b w:val="0"/>
                                      <w:sz w:val="14"/>
                                    </w:rPr>
                                  </w:pPr>
                                  <w:r>
                                    <w:rPr>
                                      <w:rFonts w:ascii="TT Norms Pro Light"/>
                                      <w:b w:val="0"/>
                                      <w:spacing w:val="-5"/>
                                      <w:sz w:val="14"/>
                                    </w:rPr>
                                    <w:t>76</w:t>
                                  </w:r>
                                </w:p>
                              </w:tc>
                              <w:tc>
                                <w:tcPr>
                                  <w:tcW w:w="480" w:type="dxa"/>
                                  <w:shd w:val="clear" w:color="auto" w:fill="E6E7E8"/>
                                </w:tcPr>
                                <w:p>
                                  <w:pPr>
                                    <w:pStyle w:val="TableParagraph"/>
                                    <w:spacing w:before="54"/>
                                    <w:ind w:right="35"/>
                                    <w:jc w:val="right"/>
                                    <w:rPr>
                                      <w:rFonts w:ascii="TT Norms Pro Light"/>
                                      <w:b w:val="0"/>
                                      <w:sz w:val="14"/>
                                    </w:rPr>
                                  </w:pPr>
                                  <w:r>
                                    <w:rPr>
                                      <w:rFonts w:ascii="TT Norms Pro Light"/>
                                      <w:b w:val="0"/>
                                      <w:spacing w:val="-10"/>
                                      <w:sz w:val="14"/>
                                    </w:rPr>
                                    <w:t>*</w:t>
                                  </w:r>
                                </w:p>
                              </w:tc>
                              <w:tc>
                                <w:tcPr>
                                  <w:tcW w:w="625" w:type="dxa"/>
                                  <w:shd w:val="clear" w:color="auto" w:fill="E6E7E8"/>
                                </w:tcPr>
                                <w:p>
                                  <w:pPr>
                                    <w:pStyle w:val="TableParagraph"/>
                                    <w:rPr>
                                      <w:rFonts w:ascii="Times New Roman"/>
                                      <w:sz w:val="16"/>
                                    </w:rPr>
                                  </w:pPr>
                                </w:p>
                              </w:tc>
                            </w:tr>
                            <w:tr>
                              <w:trPr>
                                <w:trHeight w:val="103" w:hRule="atLeast"/>
                              </w:trPr>
                              <w:tc>
                                <w:tcPr>
                                  <w:tcW w:w="1778" w:type="dxa"/>
                                  <w:tcBorders>
                                    <w:bottom w:val="single" w:sz="8" w:space="0" w:color="000000"/>
                                  </w:tcBorders>
                                </w:tcPr>
                                <w:p>
                                  <w:pPr>
                                    <w:pStyle w:val="TableParagraph"/>
                                    <w:rPr>
                                      <w:rFonts w:ascii="Times New Roman"/>
                                      <w:sz w:val="4"/>
                                    </w:rPr>
                                  </w:pPr>
                                </w:p>
                              </w:tc>
                              <w:tc>
                                <w:tcPr>
                                  <w:tcW w:w="456" w:type="dxa"/>
                                  <w:tcBorders>
                                    <w:bottom w:val="single" w:sz="8" w:space="0" w:color="000000"/>
                                  </w:tcBorders>
                                </w:tcPr>
                                <w:p>
                                  <w:pPr>
                                    <w:pStyle w:val="TableParagraph"/>
                                    <w:rPr>
                                      <w:rFonts w:ascii="Times New Roman"/>
                                      <w:sz w:val="4"/>
                                    </w:rPr>
                                  </w:pPr>
                                </w:p>
                              </w:tc>
                              <w:tc>
                                <w:tcPr>
                                  <w:tcW w:w="457" w:type="dxa"/>
                                  <w:tcBorders>
                                    <w:bottom w:val="single" w:sz="8" w:space="0" w:color="000000"/>
                                  </w:tcBorders>
                                </w:tcPr>
                                <w:p>
                                  <w:pPr>
                                    <w:pStyle w:val="TableParagraph"/>
                                    <w:rPr>
                                      <w:rFonts w:ascii="Times New Roman"/>
                                      <w:sz w:val="4"/>
                                    </w:rPr>
                                  </w:pPr>
                                </w:p>
                              </w:tc>
                              <w:tc>
                                <w:tcPr>
                                  <w:tcW w:w="459" w:type="dxa"/>
                                  <w:tcBorders>
                                    <w:bottom w:val="single" w:sz="8" w:space="0" w:color="000000"/>
                                  </w:tcBorders>
                                </w:tcPr>
                                <w:p>
                                  <w:pPr>
                                    <w:pStyle w:val="TableParagraph"/>
                                    <w:rPr>
                                      <w:rFonts w:ascii="Times New Roman"/>
                                      <w:sz w:val="4"/>
                                    </w:rPr>
                                  </w:pPr>
                                </w:p>
                              </w:tc>
                              <w:tc>
                                <w:tcPr>
                                  <w:tcW w:w="478" w:type="dxa"/>
                                  <w:tcBorders>
                                    <w:bottom w:val="single" w:sz="8" w:space="0" w:color="000000"/>
                                  </w:tcBorders>
                                </w:tcPr>
                                <w:p>
                                  <w:pPr>
                                    <w:pStyle w:val="TableParagraph"/>
                                    <w:rPr>
                                      <w:rFonts w:ascii="Times New Roman"/>
                                      <w:sz w:val="4"/>
                                    </w:rPr>
                                  </w:pPr>
                                </w:p>
                              </w:tc>
                              <w:tc>
                                <w:tcPr>
                                  <w:tcW w:w="480" w:type="dxa"/>
                                  <w:tcBorders>
                                    <w:bottom w:val="single" w:sz="8" w:space="0" w:color="000000"/>
                                  </w:tcBorders>
                                </w:tcPr>
                                <w:p>
                                  <w:pPr>
                                    <w:pStyle w:val="TableParagraph"/>
                                    <w:rPr>
                                      <w:rFonts w:ascii="Times New Roman"/>
                                      <w:sz w:val="4"/>
                                    </w:rPr>
                                  </w:pPr>
                                </w:p>
                              </w:tc>
                              <w:tc>
                                <w:tcPr>
                                  <w:tcW w:w="625" w:type="dxa"/>
                                  <w:tcBorders>
                                    <w:bottom w:val="single" w:sz="8" w:space="0" w:color="000000"/>
                                  </w:tcBorders>
                                </w:tcPr>
                                <w:p>
                                  <w:pPr>
                                    <w:pStyle w:val="TableParagraph"/>
                                    <w:rPr>
                                      <w:rFonts w:ascii="Times New Roman"/>
                                      <w:sz w:val="4"/>
                                    </w:rPr>
                                  </w:pPr>
                                </w:p>
                              </w:tc>
                            </w:tr>
                          </w:tbl>
                          <w:p>
                            <w:pPr>
                              <w:pStyle w:val="BodyText"/>
                            </w:pPr>
                          </w:p>
                        </w:txbxContent>
                      </wps:txbx>
                      <wps:bodyPr wrap="square" lIns="0" tIns="0" rIns="0" bIns="0" rtlCol="0">
                        <a:noAutofit/>
                      </wps:bodyPr>
                    </wps:wsp>
                  </a:graphicData>
                </a:graphic>
              </wp:anchor>
            </w:drawing>
          </mc:Choice>
          <mc:Fallback>
            <w:pict>
              <v:shape style="position:absolute;margin-left:304.55899pt;margin-top:-226.237396pt;width:242.6pt;height:229.25pt;mso-position-horizontal-relative:page;mso-position-vertical-relative:paragraph;z-index:15844864" type="#_x0000_t202" id="docshape460"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78"/>
                        <w:gridCol w:w="456"/>
                        <w:gridCol w:w="457"/>
                        <w:gridCol w:w="459"/>
                        <w:gridCol w:w="478"/>
                        <w:gridCol w:w="480"/>
                        <w:gridCol w:w="625"/>
                      </w:tblGrid>
                      <w:tr>
                        <w:trPr>
                          <w:trHeight w:val="277" w:hRule="atLeast"/>
                        </w:trPr>
                        <w:tc>
                          <w:tcPr>
                            <w:tcW w:w="1778" w:type="dxa"/>
                            <w:tcBorders>
                              <w:bottom w:val="single" w:sz="8" w:space="0" w:color="000000"/>
                            </w:tcBorders>
                          </w:tcPr>
                          <w:p>
                            <w:pPr>
                              <w:pStyle w:val="TableParagraph"/>
                              <w:spacing w:before="25"/>
                              <w:rPr>
                                <w:rFonts w:ascii="TT Norms Pro"/>
                                <w:b/>
                                <w:sz w:val="18"/>
                              </w:rPr>
                            </w:pPr>
                            <w:r>
                              <w:rPr>
                                <w:rFonts w:ascii="TT Norms Pro"/>
                                <w:b/>
                                <w:sz w:val="18"/>
                              </w:rPr>
                              <w:t>Student</w:t>
                            </w:r>
                            <w:r>
                              <w:rPr>
                                <w:rFonts w:ascii="TT Norms Pro"/>
                                <w:b/>
                                <w:spacing w:val="5"/>
                                <w:sz w:val="18"/>
                              </w:rPr>
                              <w:t> </w:t>
                            </w:r>
                            <w:r>
                              <w:rPr>
                                <w:rFonts w:ascii="TT Norms Pro"/>
                                <w:b/>
                                <w:spacing w:val="-2"/>
                                <w:sz w:val="18"/>
                              </w:rPr>
                              <w:t>satisfaction</w:t>
                            </w:r>
                          </w:p>
                        </w:tc>
                        <w:tc>
                          <w:tcPr>
                            <w:tcW w:w="2955" w:type="dxa"/>
                            <w:gridSpan w:val="6"/>
                            <w:tcBorders>
                              <w:bottom w:val="single" w:sz="8" w:space="0" w:color="000000"/>
                            </w:tcBorders>
                          </w:tcPr>
                          <w:p>
                            <w:pPr>
                              <w:pStyle w:val="TableParagraph"/>
                              <w:rPr>
                                <w:rFonts w:ascii="Times New Roman"/>
                                <w:sz w:val="16"/>
                              </w:rPr>
                            </w:pPr>
                          </w:p>
                        </w:tc>
                      </w:tr>
                      <w:tr>
                        <w:trPr>
                          <w:trHeight w:val="480" w:hRule="atLeast"/>
                        </w:trPr>
                        <w:tc>
                          <w:tcPr>
                            <w:tcW w:w="1778" w:type="dxa"/>
                            <w:tcBorders>
                              <w:top w:val="single" w:sz="8" w:space="0" w:color="000000"/>
                              <w:bottom w:val="single" w:sz="4" w:space="0" w:color="000000"/>
                            </w:tcBorders>
                          </w:tcPr>
                          <w:p>
                            <w:pPr>
                              <w:pStyle w:val="TableParagraph"/>
                              <w:spacing w:line="292" w:lineRule="auto" w:before="56"/>
                              <w:ind w:left="14" w:right="815"/>
                              <w:rPr>
                                <w:rFonts w:ascii="TT Norms Pro"/>
                                <w:b/>
                                <w:sz w:val="14"/>
                              </w:rPr>
                            </w:pPr>
                            <w:r>
                              <w:rPr>
                                <w:rFonts w:ascii="TT Norms Pro"/>
                                <w:b/>
                                <w:spacing w:val="-2"/>
                                <w:sz w:val="14"/>
                              </w:rPr>
                              <w:t>TEACHING</w:t>
                            </w:r>
                            <w:r>
                              <w:rPr>
                                <w:rFonts w:ascii="TT Norms Pro"/>
                                <w:b/>
                                <w:spacing w:val="80"/>
                                <w:sz w:val="14"/>
                              </w:rPr>
                              <w:t> </w:t>
                            </w:r>
                            <w:r>
                              <w:rPr>
                                <w:rFonts w:ascii="TT Norms Pro"/>
                                <w:b/>
                                <w:sz w:val="14"/>
                              </w:rPr>
                              <w:t>(%</w:t>
                            </w:r>
                            <w:r>
                              <w:rPr>
                                <w:rFonts w:ascii="TT Norms Pro"/>
                                <w:b/>
                                <w:spacing w:val="-8"/>
                                <w:sz w:val="14"/>
                              </w:rPr>
                              <w:t> </w:t>
                            </w:r>
                            <w:r>
                              <w:rPr>
                                <w:rFonts w:ascii="TT Norms Pro"/>
                                <w:b/>
                                <w:sz w:val="14"/>
                              </w:rPr>
                              <w:t>OVERALL)</w:t>
                            </w:r>
                          </w:p>
                        </w:tc>
                        <w:tc>
                          <w:tcPr>
                            <w:tcW w:w="456" w:type="dxa"/>
                            <w:tcBorders>
                              <w:top w:val="single" w:sz="8" w:space="0" w:color="000000"/>
                              <w:bottom w:val="single" w:sz="4" w:space="0" w:color="000000"/>
                            </w:tcBorders>
                          </w:tcPr>
                          <w:p>
                            <w:pPr>
                              <w:pStyle w:val="TableParagraph"/>
                              <w:spacing w:before="56"/>
                              <w:ind w:right="72"/>
                              <w:jc w:val="right"/>
                              <w:rPr>
                                <w:rFonts w:ascii="TT Norms Pro"/>
                                <w:b/>
                                <w:sz w:val="14"/>
                              </w:rPr>
                            </w:pPr>
                            <w:r>
                              <w:rPr>
                                <w:rFonts w:ascii="TT Norms Pro"/>
                                <w:b/>
                                <w:spacing w:val="-4"/>
                                <w:sz w:val="14"/>
                              </w:rPr>
                              <w:t>2016</w:t>
                            </w:r>
                          </w:p>
                        </w:tc>
                        <w:tc>
                          <w:tcPr>
                            <w:tcW w:w="457" w:type="dxa"/>
                            <w:tcBorders>
                              <w:top w:val="single" w:sz="8" w:space="0" w:color="000000"/>
                              <w:bottom w:val="single" w:sz="4" w:space="0" w:color="000000"/>
                            </w:tcBorders>
                          </w:tcPr>
                          <w:p>
                            <w:pPr>
                              <w:pStyle w:val="TableParagraph"/>
                              <w:spacing w:before="56"/>
                              <w:ind w:right="78"/>
                              <w:jc w:val="right"/>
                              <w:rPr>
                                <w:rFonts w:ascii="TT Norms Pro"/>
                                <w:b/>
                                <w:sz w:val="14"/>
                              </w:rPr>
                            </w:pPr>
                            <w:r>
                              <w:rPr>
                                <w:rFonts w:ascii="TT Norms Pro"/>
                                <w:b/>
                                <w:spacing w:val="-4"/>
                                <w:sz w:val="14"/>
                              </w:rPr>
                              <w:t>2017</w:t>
                            </w:r>
                          </w:p>
                        </w:tc>
                        <w:tc>
                          <w:tcPr>
                            <w:tcW w:w="459" w:type="dxa"/>
                            <w:tcBorders>
                              <w:top w:val="single" w:sz="8" w:space="0" w:color="000000"/>
                              <w:bottom w:val="single" w:sz="4" w:space="0" w:color="000000"/>
                            </w:tcBorders>
                          </w:tcPr>
                          <w:p>
                            <w:pPr>
                              <w:pStyle w:val="TableParagraph"/>
                              <w:spacing w:before="56"/>
                              <w:ind w:right="57"/>
                              <w:jc w:val="right"/>
                              <w:rPr>
                                <w:rFonts w:ascii="TT Norms Pro"/>
                                <w:b/>
                                <w:sz w:val="14"/>
                              </w:rPr>
                            </w:pPr>
                            <w:r>
                              <w:rPr>
                                <w:rFonts w:ascii="TT Norms Pro"/>
                                <w:b/>
                                <w:spacing w:val="-4"/>
                                <w:sz w:val="14"/>
                              </w:rPr>
                              <w:t>2018</w:t>
                            </w:r>
                          </w:p>
                        </w:tc>
                        <w:tc>
                          <w:tcPr>
                            <w:tcW w:w="478" w:type="dxa"/>
                            <w:tcBorders>
                              <w:top w:val="single" w:sz="8" w:space="0" w:color="000000"/>
                              <w:bottom w:val="single" w:sz="4" w:space="0" w:color="000000"/>
                            </w:tcBorders>
                          </w:tcPr>
                          <w:p>
                            <w:pPr>
                              <w:pStyle w:val="TableParagraph"/>
                              <w:spacing w:before="56"/>
                              <w:ind w:right="94"/>
                              <w:jc w:val="right"/>
                              <w:rPr>
                                <w:rFonts w:ascii="TT Norms Pro"/>
                                <w:b/>
                                <w:sz w:val="14"/>
                              </w:rPr>
                            </w:pPr>
                            <w:r>
                              <w:rPr>
                                <w:rFonts w:ascii="TT Norms Pro"/>
                                <w:b/>
                                <w:spacing w:val="-4"/>
                                <w:sz w:val="14"/>
                              </w:rPr>
                              <w:t>2019</w:t>
                            </w:r>
                          </w:p>
                        </w:tc>
                        <w:tc>
                          <w:tcPr>
                            <w:tcW w:w="480" w:type="dxa"/>
                            <w:tcBorders>
                              <w:top w:val="single" w:sz="8" w:space="0" w:color="000000"/>
                              <w:bottom w:val="single" w:sz="4" w:space="0" w:color="000000"/>
                            </w:tcBorders>
                          </w:tcPr>
                          <w:p>
                            <w:pPr>
                              <w:pStyle w:val="TableParagraph"/>
                              <w:spacing w:before="56"/>
                              <w:ind w:right="35"/>
                              <w:jc w:val="right"/>
                              <w:rPr>
                                <w:rFonts w:ascii="TT Norms Pro"/>
                                <w:b/>
                                <w:sz w:val="14"/>
                              </w:rPr>
                            </w:pPr>
                            <w:r>
                              <w:rPr>
                                <w:rFonts w:ascii="TT Norms Pro"/>
                                <w:b/>
                                <w:spacing w:val="-4"/>
                                <w:sz w:val="14"/>
                              </w:rPr>
                              <w:t>2020</w:t>
                            </w:r>
                          </w:p>
                        </w:tc>
                        <w:tc>
                          <w:tcPr>
                            <w:tcW w:w="625" w:type="dxa"/>
                            <w:tcBorders>
                              <w:top w:val="single" w:sz="8" w:space="0" w:color="000000"/>
                              <w:bottom w:val="single" w:sz="4" w:space="0" w:color="000000"/>
                            </w:tcBorders>
                          </w:tcPr>
                          <w:p>
                            <w:pPr>
                              <w:pStyle w:val="TableParagraph"/>
                              <w:spacing w:before="56"/>
                              <w:ind w:left="254"/>
                              <w:rPr>
                                <w:rFonts w:ascii="TT Norms Pro"/>
                                <w:b/>
                                <w:sz w:val="14"/>
                              </w:rPr>
                            </w:pPr>
                            <w:r>
                              <w:rPr>
                                <w:rFonts w:ascii="TT Norms Pro"/>
                                <w:b/>
                                <w:spacing w:val="-4"/>
                                <w:sz w:val="14"/>
                              </w:rPr>
                              <w:t>2020</w:t>
                            </w:r>
                          </w:p>
                          <w:p>
                            <w:pPr>
                              <w:pStyle w:val="TableParagraph"/>
                              <w:spacing w:before="36"/>
                              <w:ind w:left="32"/>
                              <w:rPr>
                                <w:rFonts w:ascii="TT Norms Pro"/>
                                <w:b/>
                                <w:sz w:val="14"/>
                              </w:rPr>
                            </w:pPr>
                            <w:r>
                              <w:rPr>
                                <w:rFonts w:ascii="TT Norms Pro"/>
                                <w:b/>
                                <w:spacing w:val="-2"/>
                                <w:sz w:val="14"/>
                              </w:rPr>
                              <w:t>TARGET</w:t>
                            </w:r>
                          </w:p>
                        </w:tc>
                      </w:tr>
                      <w:tr>
                        <w:trPr>
                          <w:trHeight w:val="250" w:hRule="atLeast"/>
                        </w:trPr>
                        <w:tc>
                          <w:tcPr>
                            <w:tcW w:w="1778" w:type="dxa"/>
                            <w:tcBorders>
                              <w:top w:val="single" w:sz="4" w:space="0" w:color="000000"/>
                            </w:tcBorders>
                            <w:shd w:val="clear" w:color="auto" w:fill="E6E7E8"/>
                          </w:tcPr>
                          <w:p>
                            <w:pPr>
                              <w:pStyle w:val="TableParagraph"/>
                              <w:spacing w:before="49"/>
                              <w:ind w:left="14"/>
                              <w:rPr>
                                <w:rFonts w:ascii="TT Norms Pro Light"/>
                                <w:b w:val="0"/>
                                <w:sz w:val="14"/>
                              </w:rPr>
                            </w:pPr>
                            <w:r>
                              <w:rPr>
                                <w:rFonts w:ascii="TT Norms Pro Light"/>
                                <w:b w:val="0"/>
                                <w:spacing w:val="-5"/>
                                <w:sz w:val="14"/>
                              </w:rPr>
                              <w:t>UWA</w:t>
                            </w:r>
                          </w:p>
                        </w:tc>
                        <w:tc>
                          <w:tcPr>
                            <w:tcW w:w="456" w:type="dxa"/>
                            <w:tcBorders>
                              <w:top w:val="single" w:sz="4" w:space="0" w:color="000000"/>
                            </w:tcBorders>
                            <w:shd w:val="clear" w:color="auto" w:fill="E6E7E8"/>
                          </w:tcPr>
                          <w:p>
                            <w:pPr>
                              <w:pStyle w:val="TableParagraph"/>
                              <w:spacing w:before="49"/>
                              <w:ind w:right="68"/>
                              <w:jc w:val="right"/>
                              <w:rPr>
                                <w:rFonts w:ascii="TT Norms Pro Light"/>
                                <w:b w:val="0"/>
                                <w:sz w:val="14"/>
                              </w:rPr>
                            </w:pPr>
                            <w:r>
                              <w:rPr>
                                <w:rFonts w:ascii="TT Norms Pro Light"/>
                                <w:b w:val="0"/>
                                <w:spacing w:val="-5"/>
                                <w:sz w:val="14"/>
                              </w:rPr>
                              <w:t>80</w:t>
                            </w:r>
                          </w:p>
                        </w:tc>
                        <w:tc>
                          <w:tcPr>
                            <w:tcW w:w="457" w:type="dxa"/>
                            <w:tcBorders>
                              <w:top w:val="single" w:sz="4" w:space="0" w:color="000000"/>
                            </w:tcBorders>
                            <w:shd w:val="clear" w:color="auto" w:fill="E6E7E8"/>
                          </w:tcPr>
                          <w:p>
                            <w:pPr>
                              <w:pStyle w:val="TableParagraph"/>
                              <w:spacing w:before="49"/>
                              <w:ind w:right="78"/>
                              <w:jc w:val="right"/>
                              <w:rPr>
                                <w:rFonts w:ascii="TT Norms Pro Light"/>
                                <w:b w:val="0"/>
                                <w:sz w:val="14"/>
                              </w:rPr>
                            </w:pPr>
                            <w:r>
                              <w:rPr>
                                <w:rFonts w:ascii="TT Norms Pro Light"/>
                                <w:b w:val="0"/>
                                <w:spacing w:val="-5"/>
                                <w:sz w:val="14"/>
                              </w:rPr>
                              <w:t>75</w:t>
                            </w:r>
                          </w:p>
                        </w:tc>
                        <w:tc>
                          <w:tcPr>
                            <w:tcW w:w="459" w:type="dxa"/>
                            <w:tcBorders>
                              <w:top w:val="single" w:sz="4" w:space="0" w:color="000000"/>
                            </w:tcBorders>
                            <w:shd w:val="clear" w:color="auto" w:fill="E6E7E8"/>
                          </w:tcPr>
                          <w:p>
                            <w:pPr>
                              <w:pStyle w:val="TableParagraph"/>
                              <w:spacing w:before="49"/>
                              <w:ind w:right="57"/>
                              <w:jc w:val="right"/>
                              <w:rPr>
                                <w:rFonts w:ascii="TT Norms Pro Light"/>
                                <w:b w:val="0"/>
                                <w:sz w:val="14"/>
                              </w:rPr>
                            </w:pPr>
                            <w:r>
                              <w:rPr>
                                <w:rFonts w:ascii="TT Norms Pro Light"/>
                                <w:b w:val="0"/>
                                <w:spacing w:val="-5"/>
                                <w:sz w:val="14"/>
                              </w:rPr>
                              <w:t>79</w:t>
                            </w:r>
                          </w:p>
                        </w:tc>
                        <w:tc>
                          <w:tcPr>
                            <w:tcW w:w="478" w:type="dxa"/>
                            <w:tcBorders>
                              <w:top w:val="single" w:sz="4" w:space="0" w:color="000000"/>
                            </w:tcBorders>
                            <w:shd w:val="clear" w:color="auto" w:fill="E6E7E8"/>
                          </w:tcPr>
                          <w:p>
                            <w:pPr>
                              <w:pStyle w:val="TableParagraph"/>
                              <w:spacing w:before="49"/>
                              <w:ind w:right="90"/>
                              <w:jc w:val="right"/>
                              <w:rPr>
                                <w:rFonts w:ascii="TT Norms Pro Light"/>
                                <w:b w:val="0"/>
                                <w:sz w:val="14"/>
                              </w:rPr>
                            </w:pPr>
                            <w:r>
                              <w:rPr>
                                <w:rFonts w:ascii="TT Norms Pro Light"/>
                                <w:b w:val="0"/>
                                <w:spacing w:val="-5"/>
                                <w:sz w:val="14"/>
                              </w:rPr>
                              <w:t>80</w:t>
                            </w:r>
                          </w:p>
                        </w:tc>
                        <w:tc>
                          <w:tcPr>
                            <w:tcW w:w="480" w:type="dxa"/>
                            <w:tcBorders>
                              <w:top w:val="single" w:sz="4" w:space="0" w:color="000000"/>
                            </w:tcBorders>
                            <w:shd w:val="clear" w:color="auto" w:fill="E6E7E8"/>
                          </w:tcPr>
                          <w:p>
                            <w:pPr>
                              <w:pStyle w:val="TableParagraph"/>
                              <w:spacing w:before="49"/>
                              <w:ind w:right="33"/>
                              <w:jc w:val="right"/>
                              <w:rPr>
                                <w:rFonts w:ascii="TT Norms Pro Light"/>
                                <w:b w:val="0"/>
                                <w:sz w:val="14"/>
                              </w:rPr>
                            </w:pPr>
                            <w:r>
                              <w:rPr>
                                <w:rFonts w:ascii="TT Norms Pro Light"/>
                                <w:b w:val="0"/>
                                <w:spacing w:val="-5"/>
                                <w:sz w:val="14"/>
                              </w:rPr>
                              <w:t>78</w:t>
                            </w:r>
                          </w:p>
                        </w:tc>
                        <w:tc>
                          <w:tcPr>
                            <w:tcW w:w="625" w:type="dxa"/>
                            <w:tcBorders>
                              <w:top w:val="single" w:sz="4" w:space="0" w:color="000000"/>
                            </w:tcBorders>
                            <w:shd w:val="clear" w:color="auto" w:fill="E6E7E8"/>
                          </w:tcPr>
                          <w:p>
                            <w:pPr>
                              <w:pStyle w:val="TableParagraph"/>
                              <w:spacing w:before="49"/>
                              <w:ind w:right="7"/>
                              <w:jc w:val="right"/>
                              <w:rPr>
                                <w:rFonts w:ascii="TT Norms Pro Light"/>
                                <w:b w:val="0"/>
                                <w:sz w:val="14"/>
                              </w:rPr>
                            </w:pPr>
                            <w:r>
                              <w:rPr>
                                <w:rFonts w:ascii="TT Norms Pro Light"/>
                                <w:b w:val="0"/>
                                <w:spacing w:val="-5"/>
                                <w:sz w:val="14"/>
                              </w:rPr>
                              <w:t>80</w:t>
                            </w:r>
                          </w:p>
                        </w:tc>
                      </w:tr>
                      <w:tr>
                        <w:trPr>
                          <w:trHeight w:val="255" w:hRule="atLeast"/>
                        </w:trPr>
                        <w:tc>
                          <w:tcPr>
                            <w:tcW w:w="1778" w:type="dxa"/>
                          </w:tcPr>
                          <w:p>
                            <w:pPr>
                              <w:pStyle w:val="TableParagraph"/>
                              <w:spacing w:before="54"/>
                              <w:ind w:left="14"/>
                              <w:rPr>
                                <w:rFonts w:ascii="TT Norms Pro Light"/>
                                <w:b w:val="0"/>
                                <w:sz w:val="14"/>
                              </w:rPr>
                            </w:pPr>
                            <w:r>
                              <w:rPr>
                                <w:rFonts w:ascii="TT Norms Pro Light"/>
                                <w:b w:val="0"/>
                                <w:sz w:val="14"/>
                              </w:rPr>
                              <w:t>WA</w:t>
                            </w:r>
                            <w:r>
                              <w:rPr>
                                <w:rFonts w:ascii="TT Norms Pro Light"/>
                                <w:b w:val="0"/>
                                <w:spacing w:val="-5"/>
                                <w:sz w:val="14"/>
                              </w:rPr>
                              <w:t> </w:t>
                            </w:r>
                            <w:r>
                              <w:rPr>
                                <w:rFonts w:ascii="TT Norms Pro Light"/>
                                <w:b w:val="0"/>
                                <w:spacing w:val="-2"/>
                                <w:sz w:val="14"/>
                              </w:rPr>
                              <w:t>average</w:t>
                            </w:r>
                          </w:p>
                        </w:tc>
                        <w:tc>
                          <w:tcPr>
                            <w:tcW w:w="456" w:type="dxa"/>
                          </w:tcPr>
                          <w:p>
                            <w:pPr>
                              <w:pStyle w:val="TableParagraph"/>
                              <w:spacing w:before="54"/>
                              <w:ind w:right="68"/>
                              <w:jc w:val="right"/>
                              <w:rPr>
                                <w:rFonts w:ascii="TT Norms Pro Light"/>
                                <w:b w:val="0"/>
                                <w:sz w:val="14"/>
                              </w:rPr>
                            </w:pPr>
                            <w:r>
                              <w:rPr>
                                <w:rFonts w:ascii="TT Norms Pro Light"/>
                                <w:b w:val="0"/>
                                <w:spacing w:val="-5"/>
                                <w:sz w:val="14"/>
                              </w:rPr>
                              <w:t>84</w:t>
                            </w:r>
                          </w:p>
                        </w:tc>
                        <w:tc>
                          <w:tcPr>
                            <w:tcW w:w="457" w:type="dxa"/>
                          </w:tcPr>
                          <w:p>
                            <w:pPr>
                              <w:pStyle w:val="TableParagraph"/>
                              <w:spacing w:before="54"/>
                              <w:ind w:right="77"/>
                              <w:jc w:val="right"/>
                              <w:rPr>
                                <w:rFonts w:ascii="TT Norms Pro Light"/>
                                <w:b w:val="0"/>
                                <w:sz w:val="14"/>
                              </w:rPr>
                            </w:pPr>
                            <w:r>
                              <w:rPr>
                                <w:rFonts w:ascii="TT Norms Pro Light"/>
                                <w:b w:val="0"/>
                                <w:spacing w:val="-5"/>
                                <w:sz w:val="14"/>
                              </w:rPr>
                              <w:t>83</w:t>
                            </w:r>
                          </w:p>
                        </w:tc>
                        <w:tc>
                          <w:tcPr>
                            <w:tcW w:w="459" w:type="dxa"/>
                          </w:tcPr>
                          <w:p>
                            <w:pPr>
                              <w:pStyle w:val="TableParagraph"/>
                              <w:spacing w:before="54"/>
                              <w:ind w:right="60"/>
                              <w:jc w:val="right"/>
                              <w:rPr>
                                <w:rFonts w:ascii="TT Norms Pro Light"/>
                                <w:b w:val="0"/>
                                <w:sz w:val="14"/>
                              </w:rPr>
                            </w:pPr>
                            <w:r>
                              <w:rPr>
                                <w:rFonts w:ascii="TT Norms Pro Light"/>
                                <w:b w:val="0"/>
                                <w:spacing w:val="-5"/>
                                <w:sz w:val="14"/>
                              </w:rPr>
                              <w:t>83</w:t>
                            </w:r>
                          </w:p>
                        </w:tc>
                        <w:tc>
                          <w:tcPr>
                            <w:tcW w:w="478" w:type="dxa"/>
                          </w:tcPr>
                          <w:p>
                            <w:pPr>
                              <w:pStyle w:val="TableParagraph"/>
                              <w:spacing w:before="54"/>
                              <w:ind w:right="90"/>
                              <w:jc w:val="right"/>
                              <w:rPr>
                                <w:rFonts w:ascii="TT Norms Pro Light"/>
                                <w:b w:val="0"/>
                                <w:sz w:val="14"/>
                              </w:rPr>
                            </w:pPr>
                            <w:r>
                              <w:rPr>
                                <w:rFonts w:ascii="TT Norms Pro Light"/>
                                <w:b w:val="0"/>
                                <w:spacing w:val="-5"/>
                                <w:sz w:val="14"/>
                              </w:rPr>
                              <w:t>84</w:t>
                            </w:r>
                          </w:p>
                        </w:tc>
                        <w:tc>
                          <w:tcPr>
                            <w:tcW w:w="480" w:type="dxa"/>
                          </w:tcPr>
                          <w:p>
                            <w:pPr>
                              <w:pStyle w:val="TableParagraph"/>
                              <w:spacing w:before="54"/>
                              <w:ind w:right="34"/>
                              <w:jc w:val="right"/>
                              <w:rPr>
                                <w:rFonts w:ascii="TT Norms Pro Light"/>
                                <w:b w:val="0"/>
                                <w:sz w:val="14"/>
                              </w:rPr>
                            </w:pPr>
                            <w:r>
                              <w:rPr>
                                <w:rFonts w:ascii="TT Norms Pro Light"/>
                                <w:b w:val="0"/>
                                <w:spacing w:val="-10"/>
                                <w:sz w:val="14"/>
                              </w:rPr>
                              <w:t>*</w:t>
                            </w:r>
                          </w:p>
                        </w:tc>
                        <w:tc>
                          <w:tcPr>
                            <w:tcW w:w="625" w:type="dxa"/>
                          </w:tcPr>
                          <w:p>
                            <w:pPr>
                              <w:pStyle w:val="TableParagraph"/>
                              <w:rPr>
                                <w:rFonts w:ascii="Times New Roman"/>
                                <w:sz w:val="16"/>
                              </w:rPr>
                            </w:pPr>
                          </w:p>
                        </w:tc>
                      </w:tr>
                      <w:tr>
                        <w:trPr>
                          <w:trHeight w:val="255" w:hRule="atLeast"/>
                        </w:trPr>
                        <w:tc>
                          <w:tcPr>
                            <w:tcW w:w="1778" w:type="dxa"/>
                            <w:shd w:val="clear" w:color="auto" w:fill="E6E7E8"/>
                          </w:tcPr>
                          <w:p>
                            <w:pPr>
                              <w:pStyle w:val="TableParagraph"/>
                              <w:spacing w:before="54"/>
                              <w:ind w:left="14"/>
                              <w:rPr>
                                <w:rFonts w:ascii="TT Norms Pro Light"/>
                                <w:b w:val="0"/>
                                <w:sz w:val="14"/>
                              </w:rPr>
                            </w:pPr>
                            <w:r>
                              <w:rPr>
                                <w:rFonts w:ascii="TT Norms Pro Light"/>
                                <w:b w:val="0"/>
                                <w:sz w:val="14"/>
                              </w:rPr>
                              <w:t>National</w:t>
                            </w:r>
                            <w:r>
                              <w:rPr>
                                <w:rFonts w:ascii="TT Norms Pro Light"/>
                                <w:b w:val="0"/>
                                <w:spacing w:val="9"/>
                                <w:sz w:val="14"/>
                              </w:rPr>
                              <w:t> </w:t>
                            </w:r>
                            <w:r>
                              <w:rPr>
                                <w:rFonts w:ascii="TT Norms Pro Light"/>
                                <w:b w:val="0"/>
                                <w:spacing w:val="-2"/>
                                <w:sz w:val="14"/>
                              </w:rPr>
                              <w:t>average</w:t>
                            </w:r>
                          </w:p>
                        </w:tc>
                        <w:tc>
                          <w:tcPr>
                            <w:tcW w:w="456" w:type="dxa"/>
                            <w:shd w:val="clear" w:color="auto" w:fill="E6E7E8"/>
                          </w:tcPr>
                          <w:p>
                            <w:pPr>
                              <w:pStyle w:val="TableParagraph"/>
                              <w:spacing w:before="54"/>
                              <w:ind w:right="71"/>
                              <w:jc w:val="right"/>
                              <w:rPr>
                                <w:rFonts w:ascii="TT Norms Pro Light"/>
                                <w:b w:val="0"/>
                                <w:sz w:val="14"/>
                              </w:rPr>
                            </w:pPr>
                            <w:r>
                              <w:rPr>
                                <w:rFonts w:ascii="TT Norms Pro Light"/>
                                <w:b w:val="0"/>
                                <w:spacing w:val="-5"/>
                                <w:sz w:val="14"/>
                              </w:rPr>
                              <w:t>81</w:t>
                            </w:r>
                          </w:p>
                        </w:tc>
                        <w:tc>
                          <w:tcPr>
                            <w:tcW w:w="457" w:type="dxa"/>
                            <w:shd w:val="clear" w:color="auto" w:fill="E6E7E8"/>
                          </w:tcPr>
                          <w:p>
                            <w:pPr>
                              <w:pStyle w:val="TableParagraph"/>
                              <w:spacing w:before="54"/>
                              <w:ind w:right="71"/>
                              <w:jc w:val="right"/>
                              <w:rPr>
                                <w:rFonts w:ascii="TT Norms Pro Light"/>
                                <w:b w:val="0"/>
                                <w:sz w:val="14"/>
                              </w:rPr>
                            </w:pPr>
                            <w:r>
                              <w:rPr>
                                <w:rFonts w:ascii="TT Norms Pro Light"/>
                                <w:b w:val="0"/>
                                <w:spacing w:val="-5"/>
                                <w:sz w:val="14"/>
                              </w:rPr>
                              <w:t>80</w:t>
                            </w:r>
                          </w:p>
                        </w:tc>
                        <w:tc>
                          <w:tcPr>
                            <w:tcW w:w="459" w:type="dxa"/>
                            <w:shd w:val="clear" w:color="auto" w:fill="E6E7E8"/>
                          </w:tcPr>
                          <w:p>
                            <w:pPr>
                              <w:pStyle w:val="TableParagraph"/>
                              <w:spacing w:before="54"/>
                              <w:ind w:right="58"/>
                              <w:jc w:val="right"/>
                              <w:rPr>
                                <w:rFonts w:ascii="TT Norms Pro Light"/>
                                <w:b w:val="0"/>
                                <w:sz w:val="14"/>
                              </w:rPr>
                            </w:pPr>
                            <w:r>
                              <w:rPr>
                                <w:rFonts w:ascii="TT Norms Pro Light"/>
                                <w:b w:val="0"/>
                                <w:spacing w:val="-5"/>
                                <w:sz w:val="14"/>
                              </w:rPr>
                              <w:t>81</w:t>
                            </w:r>
                          </w:p>
                        </w:tc>
                        <w:tc>
                          <w:tcPr>
                            <w:tcW w:w="478" w:type="dxa"/>
                            <w:shd w:val="clear" w:color="auto" w:fill="E6E7E8"/>
                          </w:tcPr>
                          <w:p>
                            <w:pPr>
                              <w:pStyle w:val="TableParagraph"/>
                              <w:spacing w:before="54"/>
                              <w:ind w:right="93"/>
                              <w:jc w:val="right"/>
                              <w:rPr>
                                <w:rFonts w:ascii="TT Norms Pro Light"/>
                                <w:b w:val="0"/>
                                <w:sz w:val="14"/>
                              </w:rPr>
                            </w:pPr>
                            <w:r>
                              <w:rPr>
                                <w:rFonts w:ascii="TT Norms Pro Light"/>
                                <w:b w:val="0"/>
                                <w:spacing w:val="-5"/>
                                <w:sz w:val="14"/>
                              </w:rPr>
                              <w:t>81</w:t>
                            </w:r>
                          </w:p>
                        </w:tc>
                        <w:tc>
                          <w:tcPr>
                            <w:tcW w:w="480" w:type="dxa"/>
                            <w:shd w:val="clear" w:color="auto" w:fill="E6E7E8"/>
                          </w:tcPr>
                          <w:p>
                            <w:pPr>
                              <w:pStyle w:val="TableParagraph"/>
                              <w:spacing w:before="54"/>
                              <w:ind w:right="34"/>
                              <w:jc w:val="right"/>
                              <w:rPr>
                                <w:rFonts w:ascii="TT Norms Pro Light"/>
                                <w:b w:val="0"/>
                                <w:sz w:val="14"/>
                              </w:rPr>
                            </w:pPr>
                            <w:r>
                              <w:rPr>
                                <w:rFonts w:ascii="TT Norms Pro Light"/>
                                <w:b w:val="0"/>
                                <w:spacing w:val="-10"/>
                                <w:sz w:val="14"/>
                              </w:rPr>
                              <w:t>*</w:t>
                            </w:r>
                          </w:p>
                        </w:tc>
                        <w:tc>
                          <w:tcPr>
                            <w:tcW w:w="625" w:type="dxa"/>
                            <w:shd w:val="clear" w:color="auto" w:fill="E6E7E8"/>
                          </w:tcPr>
                          <w:p>
                            <w:pPr>
                              <w:pStyle w:val="TableParagraph"/>
                              <w:rPr>
                                <w:rFonts w:ascii="Times New Roman"/>
                                <w:sz w:val="16"/>
                              </w:rPr>
                            </w:pPr>
                          </w:p>
                        </w:tc>
                      </w:tr>
                      <w:tr>
                        <w:trPr>
                          <w:trHeight w:val="788" w:hRule="atLeast"/>
                        </w:trPr>
                        <w:tc>
                          <w:tcPr>
                            <w:tcW w:w="1778" w:type="dxa"/>
                            <w:tcBorders>
                              <w:bottom w:val="single" w:sz="4" w:space="0" w:color="000000"/>
                            </w:tcBorders>
                          </w:tcPr>
                          <w:p>
                            <w:pPr>
                              <w:pStyle w:val="TableParagraph"/>
                              <w:tabs>
                                <w:tab w:pos="4730" w:val="left" w:leader="none"/>
                              </w:tabs>
                              <w:spacing w:line="156" w:lineRule="exact"/>
                              <w:ind w:right="-2967"/>
                              <w:rPr>
                                <w:rFonts w:ascii="TT Norms Pro Light"/>
                                <w:b w:val="0"/>
                                <w:sz w:val="18"/>
                              </w:rPr>
                            </w:pPr>
                            <w:r>
                              <w:rPr>
                                <w:rFonts w:ascii="TT Norms Pro Light"/>
                                <w:b w:val="0"/>
                                <w:sz w:val="18"/>
                                <w:u w:val="single"/>
                              </w:rPr>
                              <w:t> </w:t>
                              <w:tab/>
                            </w:r>
                          </w:p>
                          <w:p>
                            <w:pPr>
                              <w:pStyle w:val="TableParagraph"/>
                              <w:spacing w:line="292" w:lineRule="auto" w:before="23"/>
                              <w:ind w:left="14"/>
                              <w:rPr>
                                <w:rFonts w:ascii="TT Norms Pro"/>
                                <w:b/>
                                <w:sz w:val="14"/>
                              </w:rPr>
                            </w:pPr>
                            <w:r>
                              <w:rPr>
                                <w:rFonts w:ascii="TT Norms Pro"/>
                                <w:b/>
                                <w:sz w:val="14"/>
                              </w:rPr>
                              <w:t>OVERALL</w:t>
                            </w:r>
                            <w:r>
                              <w:rPr>
                                <w:rFonts w:ascii="TT Norms Pro"/>
                                <w:b/>
                                <w:spacing w:val="-8"/>
                                <w:sz w:val="14"/>
                              </w:rPr>
                              <w:t> </w:t>
                            </w:r>
                            <w:r>
                              <w:rPr>
                                <w:rFonts w:ascii="TT Norms Pro"/>
                                <w:b/>
                                <w:sz w:val="14"/>
                              </w:rPr>
                              <w:t>EXPERIENCE</w:t>
                            </w:r>
                            <w:r>
                              <w:rPr>
                                <w:rFonts w:ascii="TT Norms Pro"/>
                                <w:b/>
                                <w:spacing w:val="40"/>
                                <w:sz w:val="14"/>
                              </w:rPr>
                              <w:t> </w:t>
                            </w:r>
                            <w:r>
                              <w:rPr>
                                <w:rFonts w:ascii="TT Norms Pro"/>
                                <w:b/>
                                <w:sz w:val="14"/>
                              </w:rPr>
                              <w:t>(%</w:t>
                            </w:r>
                            <w:r>
                              <w:rPr>
                                <w:rFonts w:ascii="TT Norms Pro"/>
                                <w:b/>
                                <w:spacing w:val="-8"/>
                                <w:sz w:val="14"/>
                              </w:rPr>
                              <w:t> </w:t>
                            </w:r>
                            <w:r>
                              <w:rPr>
                                <w:rFonts w:ascii="TT Norms Pro"/>
                                <w:b/>
                                <w:sz w:val="14"/>
                              </w:rPr>
                              <w:t>OF</w:t>
                            </w:r>
                          </w:p>
                          <w:p>
                            <w:pPr>
                              <w:pStyle w:val="TableParagraph"/>
                              <w:ind w:left="14"/>
                              <w:rPr>
                                <w:rFonts w:ascii="TT Norms Pro"/>
                                <w:b/>
                                <w:sz w:val="14"/>
                              </w:rPr>
                            </w:pPr>
                            <w:r>
                              <w:rPr>
                                <w:rFonts w:ascii="TT Norms Pro"/>
                                <w:b/>
                                <w:spacing w:val="-2"/>
                                <w:sz w:val="14"/>
                              </w:rPr>
                              <w:t>UNDERGRADUATES)</w:t>
                            </w:r>
                          </w:p>
                        </w:tc>
                        <w:tc>
                          <w:tcPr>
                            <w:tcW w:w="456" w:type="dxa"/>
                            <w:tcBorders>
                              <w:bottom w:val="single" w:sz="4" w:space="0" w:color="000000"/>
                            </w:tcBorders>
                          </w:tcPr>
                          <w:p>
                            <w:pPr>
                              <w:pStyle w:val="TableParagraph"/>
                              <w:spacing w:before="15"/>
                              <w:rPr>
                                <w:rFonts w:ascii="TT Norms Pro Light"/>
                                <w:b w:val="0"/>
                                <w:sz w:val="14"/>
                              </w:rPr>
                            </w:pPr>
                          </w:p>
                          <w:p>
                            <w:pPr>
                              <w:pStyle w:val="TableParagraph"/>
                              <w:ind w:right="71"/>
                              <w:jc w:val="right"/>
                              <w:rPr>
                                <w:rFonts w:ascii="TT Norms Pro"/>
                                <w:b/>
                                <w:sz w:val="14"/>
                              </w:rPr>
                            </w:pPr>
                            <w:r>
                              <w:rPr>
                                <w:rFonts w:ascii="TT Norms Pro"/>
                                <w:b/>
                                <w:spacing w:val="-4"/>
                                <w:sz w:val="14"/>
                              </w:rPr>
                              <w:t>2016</w:t>
                            </w:r>
                          </w:p>
                        </w:tc>
                        <w:tc>
                          <w:tcPr>
                            <w:tcW w:w="457" w:type="dxa"/>
                            <w:tcBorders>
                              <w:bottom w:val="single" w:sz="4" w:space="0" w:color="000000"/>
                            </w:tcBorders>
                          </w:tcPr>
                          <w:p>
                            <w:pPr>
                              <w:pStyle w:val="TableParagraph"/>
                              <w:spacing w:before="15"/>
                              <w:rPr>
                                <w:rFonts w:ascii="TT Norms Pro Light"/>
                                <w:b w:val="0"/>
                                <w:sz w:val="14"/>
                              </w:rPr>
                            </w:pPr>
                          </w:p>
                          <w:p>
                            <w:pPr>
                              <w:pStyle w:val="TableParagraph"/>
                              <w:ind w:right="77"/>
                              <w:jc w:val="right"/>
                              <w:rPr>
                                <w:rFonts w:ascii="TT Norms Pro"/>
                                <w:b/>
                                <w:sz w:val="14"/>
                              </w:rPr>
                            </w:pPr>
                            <w:r>
                              <w:rPr>
                                <w:rFonts w:ascii="TT Norms Pro"/>
                                <w:b/>
                                <w:spacing w:val="-4"/>
                                <w:sz w:val="14"/>
                              </w:rPr>
                              <w:t>2017</w:t>
                            </w:r>
                          </w:p>
                        </w:tc>
                        <w:tc>
                          <w:tcPr>
                            <w:tcW w:w="459" w:type="dxa"/>
                            <w:tcBorders>
                              <w:bottom w:val="single" w:sz="4" w:space="0" w:color="000000"/>
                            </w:tcBorders>
                          </w:tcPr>
                          <w:p>
                            <w:pPr>
                              <w:pStyle w:val="TableParagraph"/>
                              <w:spacing w:before="15"/>
                              <w:rPr>
                                <w:rFonts w:ascii="TT Norms Pro Light"/>
                                <w:b w:val="0"/>
                                <w:sz w:val="14"/>
                              </w:rPr>
                            </w:pPr>
                          </w:p>
                          <w:p>
                            <w:pPr>
                              <w:pStyle w:val="TableParagraph"/>
                              <w:ind w:right="56"/>
                              <w:jc w:val="right"/>
                              <w:rPr>
                                <w:rFonts w:ascii="TT Norms Pro"/>
                                <w:b/>
                                <w:sz w:val="14"/>
                              </w:rPr>
                            </w:pPr>
                            <w:r>
                              <w:rPr>
                                <w:rFonts w:ascii="TT Norms Pro"/>
                                <w:b/>
                                <w:spacing w:val="-4"/>
                                <w:sz w:val="14"/>
                              </w:rPr>
                              <w:t>2018</w:t>
                            </w:r>
                          </w:p>
                        </w:tc>
                        <w:tc>
                          <w:tcPr>
                            <w:tcW w:w="478" w:type="dxa"/>
                            <w:tcBorders>
                              <w:bottom w:val="single" w:sz="4" w:space="0" w:color="000000"/>
                            </w:tcBorders>
                          </w:tcPr>
                          <w:p>
                            <w:pPr>
                              <w:pStyle w:val="TableParagraph"/>
                              <w:spacing w:before="15"/>
                              <w:rPr>
                                <w:rFonts w:ascii="TT Norms Pro Light"/>
                                <w:b w:val="0"/>
                                <w:sz w:val="14"/>
                              </w:rPr>
                            </w:pPr>
                          </w:p>
                          <w:p>
                            <w:pPr>
                              <w:pStyle w:val="TableParagraph"/>
                              <w:ind w:right="93"/>
                              <w:jc w:val="right"/>
                              <w:rPr>
                                <w:rFonts w:ascii="TT Norms Pro"/>
                                <w:b/>
                                <w:sz w:val="14"/>
                              </w:rPr>
                            </w:pPr>
                            <w:r>
                              <w:rPr>
                                <w:rFonts w:ascii="TT Norms Pro"/>
                                <w:b/>
                                <w:spacing w:val="-4"/>
                                <w:sz w:val="14"/>
                              </w:rPr>
                              <w:t>2019</w:t>
                            </w:r>
                          </w:p>
                        </w:tc>
                        <w:tc>
                          <w:tcPr>
                            <w:tcW w:w="480" w:type="dxa"/>
                            <w:tcBorders>
                              <w:bottom w:val="single" w:sz="4" w:space="0" w:color="000000"/>
                            </w:tcBorders>
                          </w:tcPr>
                          <w:p>
                            <w:pPr>
                              <w:pStyle w:val="TableParagraph"/>
                              <w:spacing w:before="15"/>
                              <w:rPr>
                                <w:rFonts w:ascii="TT Norms Pro Light"/>
                                <w:b w:val="0"/>
                                <w:sz w:val="14"/>
                              </w:rPr>
                            </w:pPr>
                          </w:p>
                          <w:p>
                            <w:pPr>
                              <w:pStyle w:val="TableParagraph"/>
                              <w:ind w:right="34"/>
                              <w:jc w:val="right"/>
                              <w:rPr>
                                <w:rFonts w:ascii="TT Norms Pro"/>
                                <w:b/>
                                <w:sz w:val="14"/>
                              </w:rPr>
                            </w:pPr>
                            <w:r>
                              <w:rPr>
                                <w:rFonts w:ascii="TT Norms Pro"/>
                                <w:b/>
                                <w:spacing w:val="-4"/>
                                <w:sz w:val="14"/>
                              </w:rPr>
                              <w:t>2020</w:t>
                            </w:r>
                          </w:p>
                        </w:tc>
                        <w:tc>
                          <w:tcPr>
                            <w:tcW w:w="625" w:type="dxa"/>
                            <w:tcBorders>
                              <w:bottom w:val="single" w:sz="4" w:space="0" w:color="000000"/>
                            </w:tcBorders>
                          </w:tcPr>
                          <w:p>
                            <w:pPr>
                              <w:pStyle w:val="TableParagraph"/>
                              <w:spacing w:before="15"/>
                              <w:rPr>
                                <w:rFonts w:ascii="TT Norms Pro Light"/>
                                <w:b w:val="0"/>
                                <w:sz w:val="14"/>
                              </w:rPr>
                            </w:pPr>
                          </w:p>
                          <w:p>
                            <w:pPr>
                              <w:pStyle w:val="TableParagraph"/>
                              <w:ind w:left="255"/>
                              <w:rPr>
                                <w:rFonts w:ascii="TT Norms Pro"/>
                                <w:b/>
                                <w:sz w:val="14"/>
                              </w:rPr>
                            </w:pPr>
                            <w:r>
                              <w:rPr>
                                <w:rFonts w:ascii="TT Norms Pro"/>
                                <w:b/>
                                <w:spacing w:val="-4"/>
                                <w:sz w:val="14"/>
                              </w:rPr>
                              <w:t>2020</w:t>
                            </w:r>
                          </w:p>
                          <w:p>
                            <w:pPr>
                              <w:pStyle w:val="TableParagraph"/>
                              <w:spacing w:before="37"/>
                              <w:ind w:left="33"/>
                              <w:rPr>
                                <w:rFonts w:ascii="TT Norms Pro"/>
                                <w:b/>
                                <w:sz w:val="14"/>
                              </w:rPr>
                            </w:pPr>
                            <w:r>
                              <w:rPr>
                                <w:rFonts w:ascii="TT Norms Pro"/>
                                <w:b/>
                                <w:spacing w:val="-2"/>
                                <w:sz w:val="14"/>
                              </w:rPr>
                              <w:t>TARGET</w:t>
                            </w:r>
                          </w:p>
                        </w:tc>
                      </w:tr>
                      <w:tr>
                        <w:trPr>
                          <w:trHeight w:val="250" w:hRule="atLeast"/>
                        </w:trPr>
                        <w:tc>
                          <w:tcPr>
                            <w:tcW w:w="1778" w:type="dxa"/>
                            <w:tcBorders>
                              <w:top w:val="single" w:sz="4" w:space="0" w:color="000000"/>
                            </w:tcBorders>
                            <w:shd w:val="clear" w:color="auto" w:fill="E6E7E8"/>
                          </w:tcPr>
                          <w:p>
                            <w:pPr>
                              <w:pStyle w:val="TableParagraph"/>
                              <w:spacing w:before="49"/>
                              <w:ind w:left="15"/>
                              <w:rPr>
                                <w:rFonts w:ascii="TT Norms Pro Light"/>
                                <w:b w:val="0"/>
                                <w:sz w:val="14"/>
                              </w:rPr>
                            </w:pPr>
                            <w:r>
                              <w:rPr>
                                <w:rFonts w:ascii="TT Norms Pro Light"/>
                                <w:b w:val="0"/>
                                <w:spacing w:val="-5"/>
                                <w:sz w:val="14"/>
                              </w:rPr>
                              <w:t>UWA</w:t>
                            </w:r>
                          </w:p>
                        </w:tc>
                        <w:tc>
                          <w:tcPr>
                            <w:tcW w:w="456" w:type="dxa"/>
                            <w:tcBorders>
                              <w:top w:val="single" w:sz="4" w:space="0" w:color="000000"/>
                            </w:tcBorders>
                            <w:shd w:val="clear" w:color="auto" w:fill="E6E7E8"/>
                          </w:tcPr>
                          <w:p>
                            <w:pPr>
                              <w:pStyle w:val="TableParagraph"/>
                              <w:spacing w:before="49"/>
                              <w:ind w:right="65"/>
                              <w:jc w:val="right"/>
                              <w:rPr>
                                <w:rFonts w:ascii="TT Norms Pro Light"/>
                                <w:b w:val="0"/>
                                <w:sz w:val="14"/>
                              </w:rPr>
                            </w:pPr>
                            <w:r>
                              <w:rPr>
                                <w:rFonts w:ascii="TT Norms Pro Light"/>
                                <w:b w:val="0"/>
                                <w:spacing w:val="-5"/>
                                <w:sz w:val="14"/>
                              </w:rPr>
                              <w:t>77</w:t>
                            </w:r>
                          </w:p>
                        </w:tc>
                        <w:tc>
                          <w:tcPr>
                            <w:tcW w:w="457" w:type="dxa"/>
                            <w:tcBorders>
                              <w:top w:val="single" w:sz="4" w:space="0" w:color="000000"/>
                            </w:tcBorders>
                            <w:shd w:val="clear" w:color="auto" w:fill="E6E7E8"/>
                          </w:tcPr>
                          <w:p>
                            <w:pPr>
                              <w:pStyle w:val="TableParagraph"/>
                              <w:spacing w:before="49"/>
                              <w:ind w:right="75"/>
                              <w:jc w:val="right"/>
                              <w:rPr>
                                <w:rFonts w:ascii="TT Norms Pro Light"/>
                                <w:b w:val="0"/>
                                <w:sz w:val="14"/>
                              </w:rPr>
                            </w:pPr>
                            <w:r>
                              <w:rPr>
                                <w:rFonts w:ascii="TT Norms Pro Light"/>
                                <w:b w:val="0"/>
                                <w:spacing w:val="-5"/>
                                <w:sz w:val="14"/>
                              </w:rPr>
                              <w:t>78</w:t>
                            </w:r>
                          </w:p>
                        </w:tc>
                        <w:tc>
                          <w:tcPr>
                            <w:tcW w:w="459" w:type="dxa"/>
                            <w:tcBorders>
                              <w:top w:val="single" w:sz="4" w:space="0" w:color="000000"/>
                            </w:tcBorders>
                            <w:shd w:val="clear" w:color="auto" w:fill="E6E7E8"/>
                          </w:tcPr>
                          <w:p>
                            <w:pPr>
                              <w:pStyle w:val="TableParagraph"/>
                              <w:spacing w:before="49"/>
                              <w:ind w:right="56"/>
                              <w:jc w:val="right"/>
                              <w:rPr>
                                <w:rFonts w:ascii="TT Norms Pro Light"/>
                                <w:b w:val="0"/>
                                <w:sz w:val="14"/>
                              </w:rPr>
                            </w:pPr>
                            <w:r>
                              <w:rPr>
                                <w:rFonts w:ascii="TT Norms Pro Light"/>
                                <w:b w:val="0"/>
                                <w:spacing w:val="-5"/>
                                <w:sz w:val="14"/>
                              </w:rPr>
                              <w:t>79</w:t>
                            </w:r>
                          </w:p>
                        </w:tc>
                        <w:tc>
                          <w:tcPr>
                            <w:tcW w:w="478" w:type="dxa"/>
                            <w:tcBorders>
                              <w:top w:val="single" w:sz="4" w:space="0" w:color="000000"/>
                            </w:tcBorders>
                            <w:shd w:val="clear" w:color="auto" w:fill="E6E7E8"/>
                          </w:tcPr>
                          <w:p>
                            <w:pPr>
                              <w:pStyle w:val="TableParagraph"/>
                              <w:spacing w:before="49"/>
                              <w:ind w:right="89"/>
                              <w:jc w:val="right"/>
                              <w:rPr>
                                <w:rFonts w:ascii="TT Norms Pro Light"/>
                                <w:b w:val="0"/>
                                <w:sz w:val="14"/>
                              </w:rPr>
                            </w:pPr>
                            <w:r>
                              <w:rPr>
                                <w:rFonts w:ascii="TT Norms Pro Light"/>
                                <w:b w:val="0"/>
                                <w:spacing w:val="-5"/>
                                <w:sz w:val="14"/>
                              </w:rPr>
                              <w:t>80</w:t>
                            </w:r>
                          </w:p>
                        </w:tc>
                        <w:tc>
                          <w:tcPr>
                            <w:tcW w:w="480" w:type="dxa"/>
                            <w:tcBorders>
                              <w:top w:val="single" w:sz="4" w:space="0" w:color="000000"/>
                            </w:tcBorders>
                            <w:shd w:val="clear" w:color="auto" w:fill="E6E7E8"/>
                          </w:tcPr>
                          <w:p>
                            <w:pPr>
                              <w:pStyle w:val="TableParagraph"/>
                              <w:spacing w:before="49"/>
                              <w:ind w:right="34"/>
                              <w:jc w:val="right"/>
                              <w:rPr>
                                <w:rFonts w:ascii="TT Norms Pro Light"/>
                                <w:b w:val="0"/>
                                <w:sz w:val="14"/>
                              </w:rPr>
                            </w:pPr>
                            <w:r>
                              <w:rPr>
                                <w:rFonts w:ascii="TT Norms Pro Light"/>
                                <w:b w:val="0"/>
                                <w:spacing w:val="-5"/>
                                <w:sz w:val="14"/>
                              </w:rPr>
                              <w:t>68</w:t>
                            </w:r>
                          </w:p>
                        </w:tc>
                        <w:tc>
                          <w:tcPr>
                            <w:tcW w:w="625" w:type="dxa"/>
                            <w:tcBorders>
                              <w:top w:val="single" w:sz="4" w:space="0" w:color="000000"/>
                            </w:tcBorders>
                            <w:shd w:val="clear" w:color="auto" w:fill="E6E7E8"/>
                          </w:tcPr>
                          <w:p>
                            <w:pPr>
                              <w:pStyle w:val="TableParagraph"/>
                              <w:spacing w:before="49"/>
                              <w:ind w:right="7"/>
                              <w:jc w:val="right"/>
                              <w:rPr>
                                <w:rFonts w:ascii="TT Norms Pro Light"/>
                                <w:b w:val="0"/>
                                <w:sz w:val="14"/>
                              </w:rPr>
                            </w:pPr>
                            <w:r>
                              <w:rPr>
                                <w:rFonts w:ascii="TT Norms Pro Light"/>
                                <w:b w:val="0"/>
                                <w:spacing w:val="-5"/>
                                <w:sz w:val="14"/>
                              </w:rPr>
                              <w:t>80</w:t>
                            </w:r>
                          </w:p>
                        </w:tc>
                      </w:tr>
                      <w:tr>
                        <w:trPr>
                          <w:trHeight w:val="255" w:hRule="atLeast"/>
                        </w:trPr>
                        <w:tc>
                          <w:tcPr>
                            <w:tcW w:w="1778" w:type="dxa"/>
                          </w:tcPr>
                          <w:p>
                            <w:pPr>
                              <w:pStyle w:val="TableParagraph"/>
                              <w:spacing w:before="54"/>
                              <w:ind w:left="15"/>
                              <w:rPr>
                                <w:rFonts w:ascii="TT Norms Pro Light"/>
                                <w:b w:val="0"/>
                                <w:sz w:val="14"/>
                              </w:rPr>
                            </w:pPr>
                            <w:r>
                              <w:rPr>
                                <w:rFonts w:ascii="TT Norms Pro Light"/>
                                <w:b w:val="0"/>
                                <w:sz w:val="14"/>
                              </w:rPr>
                              <w:t>WA</w:t>
                            </w:r>
                            <w:r>
                              <w:rPr>
                                <w:rFonts w:ascii="TT Norms Pro Light"/>
                                <w:b w:val="0"/>
                                <w:spacing w:val="-5"/>
                                <w:sz w:val="14"/>
                              </w:rPr>
                              <w:t> </w:t>
                            </w:r>
                            <w:r>
                              <w:rPr>
                                <w:rFonts w:ascii="TT Norms Pro Light"/>
                                <w:b w:val="0"/>
                                <w:spacing w:val="-2"/>
                                <w:sz w:val="14"/>
                              </w:rPr>
                              <w:t>average</w:t>
                            </w:r>
                          </w:p>
                        </w:tc>
                        <w:tc>
                          <w:tcPr>
                            <w:tcW w:w="456" w:type="dxa"/>
                          </w:tcPr>
                          <w:p>
                            <w:pPr>
                              <w:pStyle w:val="TableParagraph"/>
                              <w:spacing w:before="54"/>
                              <w:ind w:right="73"/>
                              <w:jc w:val="right"/>
                              <w:rPr>
                                <w:rFonts w:ascii="TT Norms Pro Light"/>
                                <w:b w:val="0"/>
                                <w:sz w:val="14"/>
                              </w:rPr>
                            </w:pPr>
                            <w:r>
                              <w:rPr>
                                <w:rFonts w:ascii="TT Norms Pro Light"/>
                                <w:b w:val="0"/>
                                <w:spacing w:val="-5"/>
                                <w:sz w:val="14"/>
                              </w:rPr>
                              <w:t>83</w:t>
                            </w:r>
                          </w:p>
                        </w:tc>
                        <w:tc>
                          <w:tcPr>
                            <w:tcW w:w="457" w:type="dxa"/>
                          </w:tcPr>
                          <w:p>
                            <w:pPr>
                              <w:pStyle w:val="TableParagraph"/>
                              <w:spacing w:before="54"/>
                              <w:ind w:right="77"/>
                              <w:jc w:val="right"/>
                              <w:rPr>
                                <w:rFonts w:ascii="TT Norms Pro Light"/>
                                <w:b w:val="0"/>
                                <w:sz w:val="14"/>
                              </w:rPr>
                            </w:pPr>
                            <w:r>
                              <w:rPr>
                                <w:rFonts w:ascii="TT Norms Pro Light"/>
                                <w:b w:val="0"/>
                                <w:spacing w:val="-5"/>
                                <w:sz w:val="14"/>
                              </w:rPr>
                              <w:t>83</w:t>
                            </w:r>
                          </w:p>
                        </w:tc>
                        <w:tc>
                          <w:tcPr>
                            <w:tcW w:w="459" w:type="dxa"/>
                          </w:tcPr>
                          <w:p>
                            <w:pPr>
                              <w:pStyle w:val="TableParagraph"/>
                              <w:spacing w:before="54"/>
                              <w:ind w:right="59"/>
                              <w:jc w:val="right"/>
                              <w:rPr>
                                <w:rFonts w:ascii="TT Norms Pro Light"/>
                                <w:b w:val="0"/>
                                <w:sz w:val="14"/>
                              </w:rPr>
                            </w:pPr>
                            <w:r>
                              <w:rPr>
                                <w:rFonts w:ascii="TT Norms Pro Light"/>
                                <w:b w:val="0"/>
                                <w:spacing w:val="-5"/>
                                <w:sz w:val="14"/>
                              </w:rPr>
                              <w:t>83</w:t>
                            </w:r>
                          </w:p>
                        </w:tc>
                        <w:tc>
                          <w:tcPr>
                            <w:tcW w:w="478" w:type="dxa"/>
                          </w:tcPr>
                          <w:p>
                            <w:pPr>
                              <w:pStyle w:val="TableParagraph"/>
                              <w:spacing w:before="54"/>
                              <w:ind w:right="93"/>
                              <w:jc w:val="right"/>
                              <w:rPr>
                                <w:rFonts w:ascii="TT Norms Pro Light"/>
                                <w:b w:val="0"/>
                                <w:sz w:val="14"/>
                              </w:rPr>
                            </w:pPr>
                            <w:r>
                              <w:rPr>
                                <w:rFonts w:ascii="TT Norms Pro Light"/>
                                <w:b w:val="0"/>
                                <w:spacing w:val="-5"/>
                                <w:sz w:val="14"/>
                              </w:rPr>
                              <w:t>82</w:t>
                            </w:r>
                          </w:p>
                        </w:tc>
                        <w:tc>
                          <w:tcPr>
                            <w:tcW w:w="480" w:type="dxa"/>
                          </w:tcPr>
                          <w:p>
                            <w:pPr>
                              <w:pStyle w:val="TableParagraph"/>
                              <w:spacing w:before="54"/>
                              <w:ind w:right="34"/>
                              <w:jc w:val="right"/>
                              <w:rPr>
                                <w:rFonts w:ascii="TT Norms Pro Light"/>
                                <w:b w:val="0"/>
                                <w:sz w:val="14"/>
                              </w:rPr>
                            </w:pPr>
                            <w:r>
                              <w:rPr>
                                <w:rFonts w:ascii="TT Norms Pro Light"/>
                                <w:b w:val="0"/>
                                <w:spacing w:val="-10"/>
                                <w:sz w:val="14"/>
                              </w:rPr>
                              <w:t>*</w:t>
                            </w:r>
                          </w:p>
                        </w:tc>
                        <w:tc>
                          <w:tcPr>
                            <w:tcW w:w="625" w:type="dxa"/>
                          </w:tcPr>
                          <w:p>
                            <w:pPr>
                              <w:pStyle w:val="TableParagraph"/>
                              <w:rPr>
                                <w:rFonts w:ascii="Times New Roman"/>
                                <w:sz w:val="16"/>
                              </w:rPr>
                            </w:pPr>
                          </w:p>
                        </w:tc>
                      </w:tr>
                      <w:tr>
                        <w:trPr>
                          <w:trHeight w:val="255" w:hRule="atLeast"/>
                        </w:trPr>
                        <w:tc>
                          <w:tcPr>
                            <w:tcW w:w="1778" w:type="dxa"/>
                            <w:shd w:val="clear" w:color="auto" w:fill="E6E7E8"/>
                          </w:tcPr>
                          <w:p>
                            <w:pPr>
                              <w:pStyle w:val="TableParagraph"/>
                              <w:spacing w:before="54"/>
                              <w:ind w:left="15"/>
                              <w:rPr>
                                <w:rFonts w:ascii="TT Norms Pro Light"/>
                                <w:b w:val="0"/>
                                <w:sz w:val="14"/>
                              </w:rPr>
                            </w:pPr>
                            <w:r>
                              <w:rPr>
                                <w:rFonts w:ascii="TT Norms Pro Light"/>
                                <w:b w:val="0"/>
                                <w:sz w:val="14"/>
                              </w:rPr>
                              <w:t>National</w:t>
                            </w:r>
                            <w:r>
                              <w:rPr>
                                <w:rFonts w:ascii="TT Norms Pro Light"/>
                                <w:b w:val="0"/>
                                <w:spacing w:val="9"/>
                                <w:sz w:val="14"/>
                              </w:rPr>
                              <w:t> </w:t>
                            </w:r>
                            <w:r>
                              <w:rPr>
                                <w:rFonts w:ascii="TT Norms Pro Light"/>
                                <w:b w:val="0"/>
                                <w:spacing w:val="-2"/>
                                <w:sz w:val="14"/>
                              </w:rPr>
                              <w:t>average</w:t>
                            </w:r>
                          </w:p>
                        </w:tc>
                        <w:tc>
                          <w:tcPr>
                            <w:tcW w:w="456" w:type="dxa"/>
                            <w:shd w:val="clear" w:color="auto" w:fill="E6E7E8"/>
                          </w:tcPr>
                          <w:p>
                            <w:pPr>
                              <w:pStyle w:val="TableParagraph"/>
                              <w:spacing w:before="54"/>
                              <w:ind w:right="67"/>
                              <w:jc w:val="right"/>
                              <w:rPr>
                                <w:rFonts w:ascii="TT Norms Pro Light"/>
                                <w:b w:val="0"/>
                                <w:sz w:val="14"/>
                              </w:rPr>
                            </w:pPr>
                            <w:r>
                              <w:rPr>
                                <w:rFonts w:ascii="TT Norms Pro Light"/>
                                <w:b w:val="0"/>
                                <w:spacing w:val="-5"/>
                                <w:sz w:val="14"/>
                              </w:rPr>
                              <w:t>80</w:t>
                            </w:r>
                          </w:p>
                        </w:tc>
                        <w:tc>
                          <w:tcPr>
                            <w:tcW w:w="457" w:type="dxa"/>
                            <w:shd w:val="clear" w:color="auto" w:fill="E6E7E8"/>
                          </w:tcPr>
                          <w:p>
                            <w:pPr>
                              <w:pStyle w:val="TableParagraph"/>
                              <w:spacing w:before="54"/>
                              <w:ind w:right="73"/>
                              <w:jc w:val="right"/>
                              <w:rPr>
                                <w:rFonts w:ascii="TT Norms Pro Light"/>
                                <w:b w:val="0"/>
                                <w:sz w:val="14"/>
                              </w:rPr>
                            </w:pPr>
                            <w:r>
                              <w:rPr>
                                <w:rFonts w:ascii="TT Norms Pro Light"/>
                                <w:b w:val="0"/>
                                <w:spacing w:val="-5"/>
                                <w:sz w:val="14"/>
                              </w:rPr>
                              <w:t>79</w:t>
                            </w:r>
                          </w:p>
                        </w:tc>
                        <w:tc>
                          <w:tcPr>
                            <w:tcW w:w="459" w:type="dxa"/>
                            <w:shd w:val="clear" w:color="auto" w:fill="E6E7E8"/>
                          </w:tcPr>
                          <w:p>
                            <w:pPr>
                              <w:pStyle w:val="TableParagraph"/>
                              <w:spacing w:before="54"/>
                              <w:ind w:right="56"/>
                              <w:jc w:val="right"/>
                              <w:rPr>
                                <w:rFonts w:ascii="TT Norms Pro Light"/>
                                <w:b w:val="0"/>
                                <w:sz w:val="14"/>
                              </w:rPr>
                            </w:pPr>
                            <w:r>
                              <w:rPr>
                                <w:rFonts w:ascii="TT Norms Pro Light"/>
                                <w:b w:val="0"/>
                                <w:spacing w:val="-5"/>
                                <w:sz w:val="14"/>
                              </w:rPr>
                              <w:t>79</w:t>
                            </w:r>
                          </w:p>
                        </w:tc>
                        <w:tc>
                          <w:tcPr>
                            <w:tcW w:w="478" w:type="dxa"/>
                            <w:shd w:val="clear" w:color="auto" w:fill="E6E7E8"/>
                          </w:tcPr>
                          <w:p>
                            <w:pPr>
                              <w:pStyle w:val="TableParagraph"/>
                              <w:spacing w:before="54"/>
                              <w:ind w:right="93"/>
                              <w:jc w:val="right"/>
                              <w:rPr>
                                <w:rFonts w:ascii="TT Norms Pro Light"/>
                                <w:b w:val="0"/>
                                <w:sz w:val="14"/>
                              </w:rPr>
                            </w:pPr>
                            <w:r>
                              <w:rPr>
                                <w:rFonts w:ascii="TT Norms Pro Light"/>
                                <w:b w:val="0"/>
                                <w:spacing w:val="-5"/>
                                <w:sz w:val="14"/>
                              </w:rPr>
                              <w:t>78</w:t>
                            </w:r>
                          </w:p>
                        </w:tc>
                        <w:tc>
                          <w:tcPr>
                            <w:tcW w:w="480" w:type="dxa"/>
                            <w:shd w:val="clear" w:color="auto" w:fill="E6E7E8"/>
                          </w:tcPr>
                          <w:p>
                            <w:pPr>
                              <w:pStyle w:val="TableParagraph"/>
                              <w:spacing w:before="54"/>
                              <w:ind w:right="33"/>
                              <w:jc w:val="right"/>
                              <w:rPr>
                                <w:rFonts w:ascii="TT Norms Pro Light"/>
                                <w:b w:val="0"/>
                                <w:sz w:val="14"/>
                              </w:rPr>
                            </w:pPr>
                            <w:r>
                              <w:rPr>
                                <w:rFonts w:ascii="TT Norms Pro Light"/>
                                <w:b w:val="0"/>
                                <w:spacing w:val="-10"/>
                                <w:sz w:val="14"/>
                              </w:rPr>
                              <w:t>*</w:t>
                            </w:r>
                          </w:p>
                        </w:tc>
                        <w:tc>
                          <w:tcPr>
                            <w:tcW w:w="625" w:type="dxa"/>
                            <w:shd w:val="clear" w:color="auto" w:fill="E6E7E8"/>
                          </w:tcPr>
                          <w:p>
                            <w:pPr>
                              <w:pStyle w:val="TableParagraph"/>
                              <w:rPr>
                                <w:rFonts w:ascii="Times New Roman"/>
                                <w:sz w:val="16"/>
                              </w:rPr>
                            </w:pPr>
                          </w:p>
                        </w:tc>
                      </w:tr>
                      <w:tr>
                        <w:trPr>
                          <w:trHeight w:val="587" w:hRule="atLeast"/>
                        </w:trPr>
                        <w:tc>
                          <w:tcPr>
                            <w:tcW w:w="1778" w:type="dxa"/>
                            <w:tcBorders>
                              <w:bottom w:val="single" w:sz="4" w:space="0" w:color="000000"/>
                            </w:tcBorders>
                          </w:tcPr>
                          <w:p>
                            <w:pPr>
                              <w:pStyle w:val="TableParagraph"/>
                              <w:tabs>
                                <w:tab w:pos="4730" w:val="left" w:leader="none"/>
                              </w:tabs>
                              <w:spacing w:line="157" w:lineRule="exact"/>
                              <w:ind w:right="-2967"/>
                              <w:rPr>
                                <w:rFonts w:ascii="TT Norms Pro Light"/>
                                <w:b w:val="0"/>
                                <w:sz w:val="18"/>
                              </w:rPr>
                            </w:pPr>
                            <w:r>
                              <w:rPr>
                                <w:rFonts w:ascii="TT Norms Pro Light"/>
                                <w:b w:val="0"/>
                                <w:sz w:val="18"/>
                                <w:u w:val="single"/>
                              </w:rPr>
                              <w:t> </w:t>
                              <w:tab/>
                            </w:r>
                          </w:p>
                          <w:p>
                            <w:pPr>
                              <w:pStyle w:val="TableParagraph"/>
                              <w:spacing w:before="22"/>
                              <w:ind w:left="15"/>
                              <w:rPr>
                                <w:rFonts w:ascii="TT Norms Pro"/>
                                <w:b/>
                                <w:sz w:val="14"/>
                              </w:rPr>
                            </w:pPr>
                            <w:r>
                              <w:rPr>
                                <w:rFonts w:ascii="TT Norms Pro"/>
                                <w:b/>
                                <w:sz w:val="14"/>
                              </w:rPr>
                              <w:t>OVERALL</w:t>
                            </w:r>
                            <w:r>
                              <w:rPr>
                                <w:rFonts w:ascii="TT Norms Pro"/>
                                <w:b/>
                                <w:spacing w:val="14"/>
                                <w:sz w:val="14"/>
                              </w:rPr>
                              <w:t> </w:t>
                            </w:r>
                            <w:r>
                              <w:rPr>
                                <w:rFonts w:ascii="TT Norms Pro"/>
                                <w:b/>
                                <w:spacing w:val="-2"/>
                                <w:sz w:val="14"/>
                              </w:rPr>
                              <w:t>EXPERIENCE</w:t>
                            </w:r>
                          </w:p>
                          <w:p>
                            <w:pPr>
                              <w:pStyle w:val="TableParagraph"/>
                              <w:spacing w:before="36"/>
                              <w:ind w:left="14"/>
                              <w:rPr>
                                <w:rFonts w:ascii="TT Norms Pro"/>
                                <w:b/>
                                <w:sz w:val="14"/>
                              </w:rPr>
                            </w:pPr>
                            <w:r>
                              <w:rPr>
                                <w:rFonts w:ascii="TT Norms Pro"/>
                                <w:b/>
                                <w:spacing w:val="-4"/>
                                <w:sz w:val="14"/>
                              </w:rPr>
                              <w:t>(%</w:t>
                            </w:r>
                            <w:r>
                              <w:rPr>
                                <w:rFonts w:ascii="TT Norms Pro"/>
                                <w:b/>
                                <w:spacing w:val="-5"/>
                                <w:sz w:val="14"/>
                              </w:rPr>
                              <w:t> </w:t>
                            </w:r>
                            <w:r>
                              <w:rPr>
                                <w:rFonts w:ascii="TT Norms Pro"/>
                                <w:b/>
                                <w:spacing w:val="-4"/>
                                <w:sz w:val="14"/>
                              </w:rPr>
                              <w:t>OF POSTGRADUATES)</w:t>
                            </w:r>
                          </w:p>
                        </w:tc>
                        <w:tc>
                          <w:tcPr>
                            <w:tcW w:w="456" w:type="dxa"/>
                            <w:tcBorders>
                              <w:bottom w:val="single" w:sz="4" w:space="0" w:color="000000"/>
                            </w:tcBorders>
                          </w:tcPr>
                          <w:p>
                            <w:pPr>
                              <w:pStyle w:val="TableParagraph"/>
                              <w:spacing w:before="15"/>
                              <w:rPr>
                                <w:rFonts w:ascii="TT Norms Pro Light"/>
                                <w:b w:val="0"/>
                                <w:sz w:val="14"/>
                              </w:rPr>
                            </w:pPr>
                          </w:p>
                          <w:p>
                            <w:pPr>
                              <w:pStyle w:val="TableParagraph"/>
                              <w:ind w:right="72"/>
                              <w:jc w:val="right"/>
                              <w:rPr>
                                <w:rFonts w:ascii="TT Norms Pro"/>
                                <w:b/>
                                <w:sz w:val="14"/>
                              </w:rPr>
                            </w:pPr>
                            <w:r>
                              <w:rPr>
                                <w:rFonts w:ascii="TT Norms Pro"/>
                                <w:b/>
                                <w:spacing w:val="-4"/>
                                <w:sz w:val="14"/>
                              </w:rPr>
                              <w:t>2016</w:t>
                            </w:r>
                          </w:p>
                        </w:tc>
                        <w:tc>
                          <w:tcPr>
                            <w:tcW w:w="457" w:type="dxa"/>
                            <w:tcBorders>
                              <w:bottom w:val="single" w:sz="4" w:space="0" w:color="000000"/>
                            </w:tcBorders>
                          </w:tcPr>
                          <w:p>
                            <w:pPr>
                              <w:pStyle w:val="TableParagraph"/>
                              <w:spacing w:before="15"/>
                              <w:rPr>
                                <w:rFonts w:ascii="TT Norms Pro Light"/>
                                <w:b w:val="0"/>
                                <w:sz w:val="14"/>
                              </w:rPr>
                            </w:pPr>
                          </w:p>
                          <w:p>
                            <w:pPr>
                              <w:pStyle w:val="TableParagraph"/>
                              <w:ind w:right="78"/>
                              <w:jc w:val="right"/>
                              <w:rPr>
                                <w:rFonts w:ascii="TT Norms Pro"/>
                                <w:b/>
                                <w:sz w:val="14"/>
                              </w:rPr>
                            </w:pPr>
                            <w:r>
                              <w:rPr>
                                <w:rFonts w:ascii="TT Norms Pro"/>
                                <w:b/>
                                <w:spacing w:val="-4"/>
                                <w:sz w:val="14"/>
                              </w:rPr>
                              <w:t>2017</w:t>
                            </w:r>
                          </w:p>
                        </w:tc>
                        <w:tc>
                          <w:tcPr>
                            <w:tcW w:w="459" w:type="dxa"/>
                            <w:tcBorders>
                              <w:bottom w:val="single" w:sz="4" w:space="0" w:color="000000"/>
                            </w:tcBorders>
                          </w:tcPr>
                          <w:p>
                            <w:pPr>
                              <w:pStyle w:val="TableParagraph"/>
                              <w:spacing w:before="15"/>
                              <w:rPr>
                                <w:rFonts w:ascii="TT Norms Pro Light"/>
                                <w:b w:val="0"/>
                                <w:sz w:val="14"/>
                              </w:rPr>
                            </w:pPr>
                          </w:p>
                          <w:p>
                            <w:pPr>
                              <w:pStyle w:val="TableParagraph"/>
                              <w:ind w:right="57"/>
                              <w:jc w:val="right"/>
                              <w:rPr>
                                <w:rFonts w:ascii="TT Norms Pro"/>
                                <w:b/>
                                <w:sz w:val="14"/>
                              </w:rPr>
                            </w:pPr>
                            <w:r>
                              <w:rPr>
                                <w:rFonts w:ascii="TT Norms Pro"/>
                                <w:b/>
                                <w:spacing w:val="-4"/>
                                <w:sz w:val="14"/>
                              </w:rPr>
                              <w:t>2018</w:t>
                            </w:r>
                          </w:p>
                        </w:tc>
                        <w:tc>
                          <w:tcPr>
                            <w:tcW w:w="478" w:type="dxa"/>
                            <w:tcBorders>
                              <w:bottom w:val="single" w:sz="4" w:space="0" w:color="000000"/>
                            </w:tcBorders>
                          </w:tcPr>
                          <w:p>
                            <w:pPr>
                              <w:pStyle w:val="TableParagraph"/>
                              <w:spacing w:before="15"/>
                              <w:rPr>
                                <w:rFonts w:ascii="TT Norms Pro Light"/>
                                <w:b w:val="0"/>
                                <w:sz w:val="14"/>
                              </w:rPr>
                            </w:pPr>
                          </w:p>
                          <w:p>
                            <w:pPr>
                              <w:pStyle w:val="TableParagraph"/>
                              <w:ind w:right="94"/>
                              <w:jc w:val="right"/>
                              <w:rPr>
                                <w:rFonts w:ascii="TT Norms Pro"/>
                                <w:b/>
                                <w:sz w:val="14"/>
                              </w:rPr>
                            </w:pPr>
                            <w:r>
                              <w:rPr>
                                <w:rFonts w:ascii="TT Norms Pro"/>
                                <w:b/>
                                <w:spacing w:val="-4"/>
                                <w:sz w:val="14"/>
                              </w:rPr>
                              <w:t>2019</w:t>
                            </w:r>
                          </w:p>
                        </w:tc>
                        <w:tc>
                          <w:tcPr>
                            <w:tcW w:w="480" w:type="dxa"/>
                            <w:tcBorders>
                              <w:bottom w:val="single" w:sz="4" w:space="0" w:color="000000"/>
                            </w:tcBorders>
                          </w:tcPr>
                          <w:p>
                            <w:pPr>
                              <w:pStyle w:val="TableParagraph"/>
                              <w:spacing w:before="15"/>
                              <w:rPr>
                                <w:rFonts w:ascii="TT Norms Pro Light"/>
                                <w:b w:val="0"/>
                                <w:sz w:val="14"/>
                              </w:rPr>
                            </w:pPr>
                          </w:p>
                          <w:p>
                            <w:pPr>
                              <w:pStyle w:val="TableParagraph"/>
                              <w:ind w:right="35"/>
                              <w:jc w:val="right"/>
                              <w:rPr>
                                <w:rFonts w:ascii="TT Norms Pro"/>
                                <w:b/>
                                <w:sz w:val="14"/>
                              </w:rPr>
                            </w:pPr>
                            <w:r>
                              <w:rPr>
                                <w:rFonts w:ascii="TT Norms Pro"/>
                                <w:b/>
                                <w:spacing w:val="-4"/>
                                <w:sz w:val="14"/>
                              </w:rPr>
                              <w:t>2020</w:t>
                            </w:r>
                          </w:p>
                        </w:tc>
                        <w:tc>
                          <w:tcPr>
                            <w:tcW w:w="625" w:type="dxa"/>
                            <w:tcBorders>
                              <w:bottom w:val="single" w:sz="4" w:space="0" w:color="000000"/>
                            </w:tcBorders>
                          </w:tcPr>
                          <w:p>
                            <w:pPr>
                              <w:pStyle w:val="TableParagraph"/>
                              <w:spacing w:before="15"/>
                              <w:rPr>
                                <w:rFonts w:ascii="TT Norms Pro Light"/>
                                <w:b w:val="0"/>
                                <w:sz w:val="14"/>
                              </w:rPr>
                            </w:pPr>
                          </w:p>
                          <w:p>
                            <w:pPr>
                              <w:pStyle w:val="TableParagraph"/>
                              <w:ind w:left="254"/>
                              <w:rPr>
                                <w:rFonts w:ascii="TT Norms Pro"/>
                                <w:b/>
                                <w:sz w:val="14"/>
                              </w:rPr>
                            </w:pPr>
                            <w:r>
                              <w:rPr>
                                <w:rFonts w:ascii="TT Norms Pro"/>
                                <w:b/>
                                <w:spacing w:val="-4"/>
                                <w:sz w:val="14"/>
                              </w:rPr>
                              <w:t>2020</w:t>
                            </w:r>
                          </w:p>
                          <w:p>
                            <w:pPr>
                              <w:pStyle w:val="TableParagraph"/>
                              <w:spacing w:before="37"/>
                              <w:ind w:left="32"/>
                              <w:rPr>
                                <w:rFonts w:ascii="TT Norms Pro"/>
                                <w:b/>
                                <w:sz w:val="14"/>
                              </w:rPr>
                            </w:pPr>
                            <w:r>
                              <w:rPr>
                                <w:rFonts w:ascii="TT Norms Pro"/>
                                <w:b/>
                                <w:spacing w:val="-2"/>
                                <w:sz w:val="14"/>
                              </w:rPr>
                              <w:t>TARGET</w:t>
                            </w:r>
                          </w:p>
                        </w:tc>
                      </w:tr>
                      <w:tr>
                        <w:trPr>
                          <w:trHeight w:val="250" w:hRule="atLeast"/>
                        </w:trPr>
                        <w:tc>
                          <w:tcPr>
                            <w:tcW w:w="1778" w:type="dxa"/>
                            <w:tcBorders>
                              <w:top w:val="single" w:sz="4" w:space="0" w:color="000000"/>
                            </w:tcBorders>
                            <w:shd w:val="clear" w:color="auto" w:fill="E6E7E8"/>
                          </w:tcPr>
                          <w:p>
                            <w:pPr>
                              <w:pStyle w:val="TableParagraph"/>
                              <w:spacing w:before="49"/>
                              <w:ind w:left="14"/>
                              <w:rPr>
                                <w:rFonts w:ascii="TT Norms Pro Light"/>
                                <w:b w:val="0"/>
                                <w:sz w:val="14"/>
                              </w:rPr>
                            </w:pPr>
                            <w:r>
                              <w:rPr>
                                <w:rFonts w:ascii="TT Norms Pro Light"/>
                                <w:b w:val="0"/>
                                <w:spacing w:val="-5"/>
                                <w:sz w:val="14"/>
                              </w:rPr>
                              <w:t>UWA</w:t>
                            </w:r>
                          </w:p>
                        </w:tc>
                        <w:tc>
                          <w:tcPr>
                            <w:tcW w:w="456" w:type="dxa"/>
                            <w:tcBorders>
                              <w:top w:val="single" w:sz="4" w:space="0" w:color="000000"/>
                            </w:tcBorders>
                            <w:shd w:val="clear" w:color="auto" w:fill="E6E7E8"/>
                          </w:tcPr>
                          <w:p>
                            <w:pPr>
                              <w:pStyle w:val="TableParagraph"/>
                              <w:rPr>
                                <w:rFonts w:ascii="Times New Roman"/>
                                <w:sz w:val="16"/>
                              </w:rPr>
                            </w:pPr>
                          </w:p>
                        </w:tc>
                        <w:tc>
                          <w:tcPr>
                            <w:tcW w:w="457" w:type="dxa"/>
                            <w:tcBorders>
                              <w:top w:val="single" w:sz="4" w:space="0" w:color="000000"/>
                            </w:tcBorders>
                            <w:shd w:val="clear" w:color="auto" w:fill="E6E7E8"/>
                          </w:tcPr>
                          <w:p>
                            <w:pPr>
                              <w:pStyle w:val="TableParagraph"/>
                              <w:spacing w:before="49"/>
                              <w:ind w:right="74"/>
                              <w:jc w:val="right"/>
                              <w:rPr>
                                <w:rFonts w:ascii="TT Norms Pro Light"/>
                                <w:b w:val="0"/>
                                <w:sz w:val="14"/>
                              </w:rPr>
                            </w:pPr>
                            <w:r>
                              <w:rPr>
                                <w:rFonts w:ascii="TT Norms Pro Light"/>
                                <w:b w:val="0"/>
                                <w:spacing w:val="-5"/>
                                <w:sz w:val="14"/>
                              </w:rPr>
                              <w:t>66</w:t>
                            </w:r>
                          </w:p>
                        </w:tc>
                        <w:tc>
                          <w:tcPr>
                            <w:tcW w:w="459" w:type="dxa"/>
                            <w:tcBorders>
                              <w:top w:val="single" w:sz="4" w:space="0" w:color="000000"/>
                            </w:tcBorders>
                            <w:shd w:val="clear" w:color="auto" w:fill="E6E7E8"/>
                          </w:tcPr>
                          <w:p>
                            <w:pPr>
                              <w:pStyle w:val="TableParagraph"/>
                              <w:spacing w:before="49"/>
                              <w:ind w:right="61"/>
                              <w:jc w:val="right"/>
                              <w:rPr>
                                <w:rFonts w:ascii="TT Norms Pro Light"/>
                                <w:b w:val="0"/>
                                <w:sz w:val="14"/>
                              </w:rPr>
                            </w:pPr>
                            <w:r>
                              <w:rPr>
                                <w:rFonts w:ascii="TT Norms Pro Light"/>
                                <w:b w:val="0"/>
                                <w:spacing w:val="-5"/>
                                <w:sz w:val="14"/>
                              </w:rPr>
                              <w:t>69</w:t>
                            </w:r>
                          </w:p>
                        </w:tc>
                        <w:tc>
                          <w:tcPr>
                            <w:tcW w:w="478" w:type="dxa"/>
                            <w:tcBorders>
                              <w:top w:val="single" w:sz="4" w:space="0" w:color="000000"/>
                            </w:tcBorders>
                            <w:shd w:val="clear" w:color="auto" w:fill="E6E7E8"/>
                          </w:tcPr>
                          <w:p>
                            <w:pPr>
                              <w:pStyle w:val="TableParagraph"/>
                              <w:spacing w:before="49"/>
                              <w:ind w:right="90"/>
                              <w:jc w:val="right"/>
                              <w:rPr>
                                <w:rFonts w:ascii="TT Norms Pro Light"/>
                                <w:b w:val="0"/>
                                <w:sz w:val="14"/>
                              </w:rPr>
                            </w:pPr>
                            <w:r>
                              <w:rPr>
                                <w:rFonts w:ascii="TT Norms Pro Light"/>
                                <w:b w:val="0"/>
                                <w:spacing w:val="-5"/>
                                <w:sz w:val="14"/>
                              </w:rPr>
                              <w:t>71</w:t>
                            </w:r>
                          </w:p>
                        </w:tc>
                        <w:tc>
                          <w:tcPr>
                            <w:tcW w:w="480" w:type="dxa"/>
                            <w:tcBorders>
                              <w:top w:val="single" w:sz="4" w:space="0" w:color="000000"/>
                            </w:tcBorders>
                            <w:shd w:val="clear" w:color="auto" w:fill="E6E7E8"/>
                          </w:tcPr>
                          <w:p>
                            <w:pPr>
                              <w:pStyle w:val="TableParagraph"/>
                              <w:spacing w:before="49"/>
                              <w:ind w:right="33"/>
                              <w:jc w:val="right"/>
                              <w:rPr>
                                <w:rFonts w:ascii="TT Norms Pro Light"/>
                                <w:b w:val="0"/>
                                <w:sz w:val="14"/>
                              </w:rPr>
                            </w:pPr>
                            <w:r>
                              <w:rPr>
                                <w:rFonts w:ascii="TT Norms Pro Light"/>
                                <w:b w:val="0"/>
                                <w:spacing w:val="-5"/>
                                <w:sz w:val="14"/>
                              </w:rPr>
                              <w:t>65</w:t>
                            </w:r>
                          </w:p>
                        </w:tc>
                        <w:tc>
                          <w:tcPr>
                            <w:tcW w:w="625" w:type="dxa"/>
                            <w:tcBorders>
                              <w:top w:val="single" w:sz="4" w:space="0" w:color="000000"/>
                            </w:tcBorders>
                            <w:shd w:val="clear" w:color="auto" w:fill="E6E7E8"/>
                          </w:tcPr>
                          <w:p>
                            <w:pPr>
                              <w:pStyle w:val="TableParagraph"/>
                              <w:spacing w:before="49"/>
                              <w:ind w:right="8"/>
                              <w:jc w:val="right"/>
                              <w:rPr>
                                <w:rFonts w:ascii="TT Norms Pro Light"/>
                                <w:b w:val="0"/>
                                <w:sz w:val="14"/>
                              </w:rPr>
                            </w:pPr>
                            <w:r>
                              <w:rPr>
                                <w:rFonts w:ascii="TT Norms Pro Light"/>
                                <w:b w:val="0"/>
                                <w:spacing w:val="-5"/>
                                <w:sz w:val="14"/>
                              </w:rPr>
                              <w:t>71</w:t>
                            </w:r>
                          </w:p>
                        </w:tc>
                      </w:tr>
                      <w:tr>
                        <w:trPr>
                          <w:trHeight w:val="255" w:hRule="atLeast"/>
                        </w:trPr>
                        <w:tc>
                          <w:tcPr>
                            <w:tcW w:w="1778" w:type="dxa"/>
                          </w:tcPr>
                          <w:p>
                            <w:pPr>
                              <w:pStyle w:val="TableParagraph"/>
                              <w:spacing w:before="54"/>
                              <w:ind w:left="14"/>
                              <w:rPr>
                                <w:rFonts w:ascii="TT Norms Pro Light"/>
                                <w:b w:val="0"/>
                                <w:sz w:val="14"/>
                              </w:rPr>
                            </w:pPr>
                            <w:r>
                              <w:rPr>
                                <w:rFonts w:ascii="TT Norms Pro Light"/>
                                <w:b w:val="0"/>
                                <w:sz w:val="14"/>
                              </w:rPr>
                              <w:t>WA</w:t>
                            </w:r>
                            <w:r>
                              <w:rPr>
                                <w:rFonts w:ascii="TT Norms Pro Light"/>
                                <w:b w:val="0"/>
                                <w:spacing w:val="-5"/>
                                <w:sz w:val="14"/>
                              </w:rPr>
                              <w:t> </w:t>
                            </w:r>
                            <w:r>
                              <w:rPr>
                                <w:rFonts w:ascii="TT Norms Pro Light"/>
                                <w:b w:val="0"/>
                                <w:spacing w:val="-2"/>
                                <w:sz w:val="14"/>
                              </w:rPr>
                              <w:t>average</w:t>
                            </w:r>
                          </w:p>
                        </w:tc>
                        <w:tc>
                          <w:tcPr>
                            <w:tcW w:w="456" w:type="dxa"/>
                          </w:tcPr>
                          <w:p>
                            <w:pPr>
                              <w:pStyle w:val="TableParagraph"/>
                              <w:rPr>
                                <w:rFonts w:ascii="Times New Roman"/>
                                <w:sz w:val="16"/>
                              </w:rPr>
                            </w:pPr>
                          </w:p>
                        </w:tc>
                        <w:tc>
                          <w:tcPr>
                            <w:tcW w:w="457" w:type="dxa"/>
                          </w:tcPr>
                          <w:p>
                            <w:pPr>
                              <w:pStyle w:val="TableParagraph"/>
                              <w:spacing w:before="54"/>
                              <w:ind w:right="72"/>
                              <w:jc w:val="right"/>
                              <w:rPr>
                                <w:rFonts w:ascii="TT Norms Pro Light"/>
                                <w:b w:val="0"/>
                                <w:sz w:val="14"/>
                              </w:rPr>
                            </w:pPr>
                            <w:r>
                              <w:rPr>
                                <w:rFonts w:ascii="TT Norms Pro Light"/>
                                <w:b w:val="0"/>
                                <w:spacing w:val="-5"/>
                                <w:sz w:val="14"/>
                              </w:rPr>
                              <w:t>73</w:t>
                            </w:r>
                          </w:p>
                        </w:tc>
                        <w:tc>
                          <w:tcPr>
                            <w:tcW w:w="459" w:type="dxa"/>
                          </w:tcPr>
                          <w:p>
                            <w:pPr>
                              <w:pStyle w:val="TableParagraph"/>
                              <w:spacing w:before="54"/>
                              <w:ind w:right="60"/>
                              <w:jc w:val="right"/>
                              <w:rPr>
                                <w:rFonts w:ascii="TT Norms Pro Light"/>
                                <w:b w:val="0"/>
                                <w:sz w:val="14"/>
                              </w:rPr>
                            </w:pPr>
                            <w:r>
                              <w:rPr>
                                <w:rFonts w:ascii="TT Norms Pro Light"/>
                                <w:b w:val="0"/>
                                <w:spacing w:val="-5"/>
                                <w:sz w:val="14"/>
                              </w:rPr>
                              <w:t>75</w:t>
                            </w:r>
                          </w:p>
                        </w:tc>
                        <w:tc>
                          <w:tcPr>
                            <w:tcW w:w="478" w:type="dxa"/>
                          </w:tcPr>
                          <w:p>
                            <w:pPr>
                              <w:pStyle w:val="TableParagraph"/>
                              <w:spacing w:before="54"/>
                              <w:ind w:right="88"/>
                              <w:jc w:val="right"/>
                              <w:rPr>
                                <w:rFonts w:ascii="TT Norms Pro Light"/>
                                <w:b w:val="0"/>
                                <w:sz w:val="14"/>
                              </w:rPr>
                            </w:pPr>
                            <w:r>
                              <w:rPr>
                                <w:rFonts w:ascii="TT Norms Pro Light"/>
                                <w:b w:val="0"/>
                                <w:spacing w:val="-5"/>
                                <w:sz w:val="14"/>
                              </w:rPr>
                              <w:t>77</w:t>
                            </w:r>
                          </w:p>
                        </w:tc>
                        <w:tc>
                          <w:tcPr>
                            <w:tcW w:w="480" w:type="dxa"/>
                          </w:tcPr>
                          <w:p>
                            <w:pPr>
                              <w:pStyle w:val="TableParagraph"/>
                              <w:spacing w:before="54"/>
                              <w:ind w:right="35"/>
                              <w:jc w:val="right"/>
                              <w:rPr>
                                <w:rFonts w:ascii="TT Norms Pro Light"/>
                                <w:b w:val="0"/>
                                <w:sz w:val="14"/>
                              </w:rPr>
                            </w:pPr>
                            <w:r>
                              <w:rPr>
                                <w:rFonts w:ascii="TT Norms Pro Light"/>
                                <w:b w:val="0"/>
                                <w:spacing w:val="-10"/>
                                <w:sz w:val="14"/>
                              </w:rPr>
                              <w:t>*</w:t>
                            </w:r>
                          </w:p>
                        </w:tc>
                        <w:tc>
                          <w:tcPr>
                            <w:tcW w:w="625" w:type="dxa"/>
                          </w:tcPr>
                          <w:p>
                            <w:pPr>
                              <w:pStyle w:val="TableParagraph"/>
                              <w:rPr>
                                <w:rFonts w:ascii="Times New Roman"/>
                                <w:sz w:val="16"/>
                              </w:rPr>
                            </w:pPr>
                          </w:p>
                        </w:tc>
                      </w:tr>
                      <w:tr>
                        <w:trPr>
                          <w:trHeight w:val="255" w:hRule="atLeast"/>
                        </w:trPr>
                        <w:tc>
                          <w:tcPr>
                            <w:tcW w:w="1778" w:type="dxa"/>
                            <w:shd w:val="clear" w:color="auto" w:fill="E6E7E8"/>
                          </w:tcPr>
                          <w:p>
                            <w:pPr>
                              <w:pStyle w:val="TableParagraph"/>
                              <w:spacing w:before="54"/>
                              <w:ind w:left="14"/>
                              <w:rPr>
                                <w:rFonts w:ascii="TT Norms Pro Light"/>
                                <w:b w:val="0"/>
                                <w:sz w:val="14"/>
                              </w:rPr>
                            </w:pPr>
                            <w:r>
                              <w:rPr>
                                <w:rFonts w:ascii="TT Norms Pro Light"/>
                                <w:b w:val="0"/>
                                <w:sz w:val="14"/>
                              </w:rPr>
                              <w:t>National</w:t>
                            </w:r>
                            <w:r>
                              <w:rPr>
                                <w:rFonts w:ascii="TT Norms Pro Light"/>
                                <w:b w:val="0"/>
                                <w:spacing w:val="9"/>
                                <w:sz w:val="14"/>
                              </w:rPr>
                              <w:t> </w:t>
                            </w:r>
                            <w:r>
                              <w:rPr>
                                <w:rFonts w:ascii="TT Norms Pro Light"/>
                                <w:b w:val="0"/>
                                <w:spacing w:val="-2"/>
                                <w:sz w:val="14"/>
                              </w:rPr>
                              <w:t>average</w:t>
                            </w:r>
                          </w:p>
                        </w:tc>
                        <w:tc>
                          <w:tcPr>
                            <w:tcW w:w="456" w:type="dxa"/>
                            <w:shd w:val="clear" w:color="auto" w:fill="E6E7E8"/>
                          </w:tcPr>
                          <w:p>
                            <w:pPr>
                              <w:pStyle w:val="TableParagraph"/>
                              <w:rPr>
                                <w:rFonts w:ascii="Times New Roman"/>
                                <w:sz w:val="16"/>
                              </w:rPr>
                            </w:pPr>
                          </w:p>
                        </w:tc>
                        <w:tc>
                          <w:tcPr>
                            <w:tcW w:w="457" w:type="dxa"/>
                            <w:shd w:val="clear" w:color="auto" w:fill="E6E7E8"/>
                          </w:tcPr>
                          <w:p>
                            <w:pPr>
                              <w:pStyle w:val="TableParagraph"/>
                              <w:spacing w:before="54"/>
                              <w:ind w:right="78"/>
                              <w:jc w:val="right"/>
                              <w:rPr>
                                <w:rFonts w:ascii="TT Norms Pro Light"/>
                                <w:b w:val="0"/>
                                <w:sz w:val="14"/>
                              </w:rPr>
                            </w:pPr>
                            <w:r>
                              <w:rPr>
                                <w:rFonts w:ascii="TT Norms Pro Light"/>
                                <w:b w:val="0"/>
                                <w:spacing w:val="-5"/>
                                <w:sz w:val="14"/>
                              </w:rPr>
                              <w:t>75</w:t>
                            </w:r>
                          </w:p>
                        </w:tc>
                        <w:tc>
                          <w:tcPr>
                            <w:tcW w:w="459" w:type="dxa"/>
                            <w:shd w:val="clear" w:color="auto" w:fill="E6E7E8"/>
                          </w:tcPr>
                          <w:p>
                            <w:pPr>
                              <w:pStyle w:val="TableParagraph"/>
                              <w:spacing w:before="54"/>
                              <w:ind w:right="64"/>
                              <w:jc w:val="right"/>
                              <w:rPr>
                                <w:rFonts w:ascii="TT Norms Pro Light"/>
                                <w:b w:val="0"/>
                                <w:sz w:val="14"/>
                              </w:rPr>
                            </w:pPr>
                            <w:r>
                              <w:rPr>
                                <w:rFonts w:ascii="TT Norms Pro Light"/>
                                <w:b w:val="0"/>
                                <w:spacing w:val="-5"/>
                                <w:sz w:val="14"/>
                              </w:rPr>
                              <w:t>76</w:t>
                            </w:r>
                          </w:p>
                        </w:tc>
                        <w:tc>
                          <w:tcPr>
                            <w:tcW w:w="478" w:type="dxa"/>
                            <w:shd w:val="clear" w:color="auto" w:fill="E6E7E8"/>
                          </w:tcPr>
                          <w:p>
                            <w:pPr>
                              <w:pStyle w:val="TableParagraph"/>
                              <w:spacing w:before="54"/>
                              <w:ind w:right="99"/>
                              <w:jc w:val="right"/>
                              <w:rPr>
                                <w:rFonts w:ascii="TT Norms Pro Light"/>
                                <w:b w:val="0"/>
                                <w:sz w:val="14"/>
                              </w:rPr>
                            </w:pPr>
                            <w:r>
                              <w:rPr>
                                <w:rFonts w:ascii="TT Norms Pro Light"/>
                                <w:b w:val="0"/>
                                <w:spacing w:val="-5"/>
                                <w:sz w:val="14"/>
                              </w:rPr>
                              <w:t>76</w:t>
                            </w:r>
                          </w:p>
                        </w:tc>
                        <w:tc>
                          <w:tcPr>
                            <w:tcW w:w="480" w:type="dxa"/>
                            <w:shd w:val="clear" w:color="auto" w:fill="E6E7E8"/>
                          </w:tcPr>
                          <w:p>
                            <w:pPr>
                              <w:pStyle w:val="TableParagraph"/>
                              <w:spacing w:before="54"/>
                              <w:ind w:right="35"/>
                              <w:jc w:val="right"/>
                              <w:rPr>
                                <w:rFonts w:ascii="TT Norms Pro Light"/>
                                <w:b w:val="0"/>
                                <w:sz w:val="14"/>
                              </w:rPr>
                            </w:pPr>
                            <w:r>
                              <w:rPr>
                                <w:rFonts w:ascii="TT Norms Pro Light"/>
                                <w:b w:val="0"/>
                                <w:spacing w:val="-10"/>
                                <w:sz w:val="14"/>
                              </w:rPr>
                              <w:t>*</w:t>
                            </w:r>
                          </w:p>
                        </w:tc>
                        <w:tc>
                          <w:tcPr>
                            <w:tcW w:w="625" w:type="dxa"/>
                            <w:shd w:val="clear" w:color="auto" w:fill="E6E7E8"/>
                          </w:tcPr>
                          <w:p>
                            <w:pPr>
                              <w:pStyle w:val="TableParagraph"/>
                              <w:rPr>
                                <w:rFonts w:ascii="Times New Roman"/>
                                <w:sz w:val="16"/>
                              </w:rPr>
                            </w:pPr>
                          </w:p>
                        </w:tc>
                      </w:tr>
                      <w:tr>
                        <w:trPr>
                          <w:trHeight w:val="103" w:hRule="atLeast"/>
                        </w:trPr>
                        <w:tc>
                          <w:tcPr>
                            <w:tcW w:w="1778" w:type="dxa"/>
                            <w:tcBorders>
                              <w:bottom w:val="single" w:sz="8" w:space="0" w:color="000000"/>
                            </w:tcBorders>
                          </w:tcPr>
                          <w:p>
                            <w:pPr>
                              <w:pStyle w:val="TableParagraph"/>
                              <w:rPr>
                                <w:rFonts w:ascii="Times New Roman"/>
                                <w:sz w:val="4"/>
                              </w:rPr>
                            </w:pPr>
                          </w:p>
                        </w:tc>
                        <w:tc>
                          <w:tcPr>
                            <w:tcW w:w="456" w:type="dxa"/>
                            <w:tcBorders>
                              <w:bottom w:val="single" w:sz="8" w:space="0" w:color="000000"/>
                            </w:tcBorders>
                          </w:tcPr>
                          <w:p>
                            <w:pPr>
                              <w:pStyle w:val="TableParagraph"/>
                              <w:rPr>
                                <w:rFonts w:ascii="Times New Roman"/>
                                <w:sz w:val="4"/>
                              </w:rPr>
                            </w:pPr>
                          </w:p>
                        </w:tc>
                        <w:tc>
                          <w:tcPr>
                            <w:tcW w:w="457" w:type="dxa"/>
                            <w:tcBorders>
                              <w:bottom w:val="single" w:sz="8" w:space="0" w:color="000000"/>
                            </w:tcBorders>
                          </w:tcPr>
                          <w:p>
                            <w:pPr>
                              <w:pStyle w:val="TableParagraph"/>
                              <w:rPr>
                                <w:rFonts w:ascii="Times New Roman"/>
                                <w:sz w:val="4"/>
                              </w:rPr>
                            </w:pPr>
                          </w:p>
                        </w:tc>
                        <w:tc>
                          <w:tcPr>
                            <w:tcW w:w="459" w:type="dxa"/>
                            <w:tcBorders>
                              <w:bottom w:val="single" w:sz="8" w:space="0" w:color="000000"/>
                            </w:tcBorders>
                          </w:tcPr>
                          <w:p>
                            <w:pPr>
                              <w:pStyle w:val="TableParagraph"/>
                              <w:rPr>
                                <w:rFonts w:ascii="Times New Roman"/>
                                <w:sz w:val="4"/>
                              </w:rPr>
                            </w:pPr>
                          </w:p>
                        </w:tc>
                        <w:tc>
                          <w:tcPr>
                            <w:tcW w:w="478" w:type="dxa"/>
                            <w:tcBorders>
                              <w:bottom w:val="single" w:sz="8" w:space="0" w:color="000000"/>
                            </w:tcBorders>
                          </w:tcPr>
                          <w:p>
                            <w:pPr>
                              <w:pStyle w:val="TableParagraph"/>
                              <w:rPr>
                                <w:rFonts w:ascii="Times New Roman"/>
                                <w:sz w:val="4"/>
                              </w:rPr>
                            </w:pPr>
                          </w:p>
                        </w:tc>
                        <w:tc>
                          <w:tcPr>
                            <w:tcW w:w="480" w:type="dxa"/>
                            <w:tcBorders>
                              <w:bottom w:val="single" w:sz="8" w:space="0" w:color="000000"/>
                            </w:tcBorders>
                          </w:tcPr>
                          <w:p>
                            <w:pPr>
                              <w:pStyle w:val="TableParagraph"/>
                              <w:rPr>
                                <w:rFonts w:ascii="Times New Roman"/>
                                <w:sz w:val="4"/>
                              </w:rPr>
                            </w:pPr>
                          </w:p>
                        </w:tc>
                        <w:tc>
                          <w:tcPr>
                            <w:tcW w:w="625" w:type="dxa"/>
                            <w:tcBorders>
                              <w:bottom w:val="single" w:sz="8" w:space="0" w:color="000000"/>
                            </w:tcBorders>
                          </w:tcPr>
                          <w:p>
                            <w:pPr>
                              <w:pStyle w:val="TableParagraph"/>
                              <w:rPr>
                                <w:rFonts w:ascii="Times New Roman"/>
                                <w:sz w:val="4"/>
                              </w:rPr>
                            </w:pPr>
                          </w:p>
                        </w:tc>
                      </w:tr>
                    </w:tbl>
                    <w:p>
                      <w:pPr>
                        <w:pStyle w:val="BodyText"/>
                      </w:pPr>
                    </w:p>
                  </w:txbxContent>
                </v:textbox>
                <w10:wrap type="none"/>
              </v:shape>
            </w:pict>
          </mc:Fallback>
        </mc:AlternateContent>
      </w:r>
      <w:r>
        <w:rPr>
          <w:rFonts w:ascii="TT Norms Pro"/>
          <w:b/>
          <w:sz w:val="14"/>
        </w:rPr>
        <w:t>STUDENT</w:t>
      </w:r>
      <w:r>
        <w:rPr>
          <w:rFonts w:ascii="TT Norms Pro"/>
          <w:b/>
          <w:spacing w:val="-8"/>
          <w:sz w:val="14"/>
        </w:rPr>
        <w:t> </w:t>
      </w:r>
      <w:r>
        <w:rPr>
          <w:rFonts w:ascii="TT Norms Pro"/>
          <w:b/>
          <w:sz w:val="14"/>
        </w:rPr>
        <w:t>EXPERIENCE</w:t>
      </w:r>
      <w:r>
        <w:rPr>
          <w:rFonts w:ascii="TT Norms Pro"/>
          <w:b/>
          <w:spacing w:val="40"/>
          <w:sz w:val="14"/>
        </w:rPr>
        <w:t> </w:t>
      </w:r>
      <w:r>
        <w:rPr>
          <w:rFonts w:ascii="TT Norms Pro"/>
          <w:b/>
          <w:sz w:val="14"/>
        </w:rPr>
        <w:t>SURVEY</w:t>
      </w:r>
      <w:r>
        <w:rPr>
          <w:rFonts w:ascii="TT Norms Pro"/>
          <w:b/>
          <w:spacing w:val="-8"/>
          <w:sz w:val="14"/>
        </w:rPr>
        <w:t> </w:t>
      </w:r>
      <w:r>
        <w:rPr>
          <w:rFonts w:ascii="TT Norms Pro"/>
          <w:b/>
          <w:sz w:val="14"/>
        </w:rPr>
        <w:t>RESPONSE</w:t>
      </w:r>
      <w:r>
        <w:rPr>
          <w:rFonts w:ascii="TT Norms Pro"/>
          <w:b/>
          <w:spacing w:val="40"/>
          <w:sz w:val="14"/>
        </w:rPr>
        <w:t> </w:t>
      </w:r>
      <w:r>
        <w:rPr>
          <w:rFonts w:ascii="TT Norms Pro"/>
          <w:b/>
          <w:sz w:val="14"/>
        </w:rPr>
        <w:t>RATE</w:t>
      </w:r>
      <w:r>
        <w:rPr>
          <w:rFonts w:ascii="TT Norms Pro"/>
          <w:b/>
          <w:spacing w:val="-8"/>
          <w:sz w:val="14"/>
        </w:rPr>
        <w:t> </w:t>
      </w:r>
      <w:r>
        <w:rPr>
          <w:rFonts w:ascii="TT Norms Pro"/>
          <w:b/>
          <w:sz w:val="14"/>
        </w:rPr>
        <w:t>(%)</w:t>
      </w:r>
    </w:p>
    <w:p>
      <w:pPr>
        <w:tabs>
          <w:tab w:pos="2682" w:val="left" w:leader="none"/>
        </w:tabs>
        <w:spacing w:before="120"/>
        <w:ind w:left="155" w:right="0" w:firstLine="0"/>
        <w:jc w:val="left"/>
        <w:rPr>
          <w:rFonts w:ascii="TT Norms Pro"/>
          <w:b/>
          <w:sz w:val="14"/>
        </w:rPr>
      </w:pPr>
      <w:r>
        <w:rPr/>
        <w:br w:type="column"/>
      </w:r>
      <w:r>
        <w:rPr>
          <w:rFonts w:ascii="TT Norms Pro"/>
          <w:b/>
          <w:sz w:val="14"/>
        </w:rPr>
        <w:t>2016</w:t>
      </w:r>
      <w:r>
        <w:rPr>
          <w:rFonts w:ascii="TT Norms Pro"/>
          <w:b/>
          <w:spacing w:val="42"/>
          <w:sz w:val="14"/>
        </w:rPr>
        <w:t>  </w:t>
      </w:r>
      <w:r>
        <w:rPr>
          <w:rFonts w:ascii="TT Norms Pro"/>
          <w:b/>
          <w:sz w:val="14"/>
        </w:rPr>
        <w:t>2017</w:t>
      </w:r>
      <w:r>
        <w:rPr>
          <w:rFonts w:ascii="TT Norms Pro"/>
          <w:b/>
          <w:spacing w:val="49"/>
          <w:sz w:val="14"/>
        </w:rPr>
        <w:t>  </w:t>
      </w:r>
      <w:r>
        <w:rPr>
          <w:rFonts w:ascii="TT Norms Pro"/>
          <w:b/>
          <w:sz w:val="14"/>
        </w:rPr>
        <w:t>2018</w:t>
      </w:r>
      <w:r>
        <w:rPr>
          <w:rFonts w:ascii="TT Norms Pro"/>
          <w:b/>
          <w:spacing w:val="78"/>
          <w:w w:val="150"/>
          <w:sz w:val="14"/>
        </w:rPr>
        <w:t> </w:t>
      </w:r>
      <w:r>
        <w:rPr>
          <w:rFonts w:ascii="TT Norms Pro"/>
          <w:b/>
          <w:sz w:val="14"/>
        </w:rPr>
        <w:t>2019</w:t>
      </w:r>
      <w:r>
        <w:rPr>
          <w:rFonts w:ascii="TT Norms Pro"/>
          <w:b/>
          <w:spacing w:val="65"/>
          <w:sz w:val="14"/>
        </w:rPr>
        <w:t>  </w:t>
      </w:r>
      <w:r>
        <w:rPr>
          <w:rFonts w:ascii="TT Norms Pro"/>
          <w:b/>
          <w:spacing w:val="-4"/>
          <w:sz w:val="14"/>
        </w:rPr>
        <w:t>2020</w:t>
      </w:r>
      <w:r>
        <w:rPr>
          <w:rFonts w:ascii="TT Norms Pro"/>
          <w:b/>
          <w:sz w:val="14"/>
        </w:rPr>
        <w:tab/>
      </w:r>
      <w:r>
        <w:rPr>
          <w:rFonts w:ascii="TT Norms Pro"/>
          <w:b/>
          <w:spacing w:val="-4"/>
          <w:sz w:val="14"/>
        </w:rPr>
        <w:t>2020</w:t>
      </w:r>
    </w:p>
    <w:p>
      <w:pPr>
        <w:spacing w:before="36"/>
        <w:ind w:left="2460" w:right="0" w:firstLine="0"/>
        <w:jc w:val="left"/>
        <w:rPr>
          <w:rFonts w:ascii="TT Norms Pro"/>
          <w:b/>
          <w:sz w:val="14"/>
        </w:rPr>
      </w:pPr>
      <w:r>
        <w:rPr>
          <w:rFonts w:ascii="TT Norms Pro"/>
          <w:b/>
          <w:spacing w:val="-2"/>
          <w:sz w:val="14"/>
        </w:rPr>
        <w:t>TARGET</w:t>
      </w:r>
    </w:p>
    <w:p>
      <w:pPr>
        <w:spacing w:after="0"/>
        <w:jc w:val="left"/>
        <w:rPr>
          <w:rFonts w:ascii="TT Norms Pro"/>
          <w:sz w:val="14"/>
        </w:rPr>
        <w:sectPr>
          <w:type w:val="continuous"/>
          <w:pgSz w:w="11910" w:h="16840"/>
          <w:pgMar w:header="468" w:footer="0" w:top="980" w:bottom="280" w:left="920" w:right="0"/>
          <w:cols w:num="2" w:equalWidth="0">
            <w:col w:w="6872" w:space="40"/>
            <w:col w:w="4078"/>
          </w:cols>
        </w:sectPr>
      </w:pPr>
    </w:p>
    <w:p>
      <w:pPr>
        <w:pStyle w:val="BodyText"/>
        <w:ind w:left="5226"/>
        <w:rPr>
          <w:rFonts w:ascii="TT Norms Pro"/>
          <w:sz w:val="20"/>
        </w:rPr>
      </w:pPr>
      <w:r>
        <w:rPr>
          <w:rFonts w:ascii="TT Norms Pro"/>
          <w:sz w:val="20"/>
        </w:rPr>
        <mc:AlternateContent>
          <mc:Choice Requires="wps">
            <w:drawing>
              <wp:inline distT="0" distB="0" distL="0" distR="0">
                <wp:extent cx="3004820" cy="165735"/>
                <wp:effectExtent l="9525" t="0" r="0" b="5714"/>
                <wp:docPr id="673" name="Group 673"/>
                <wp:cNvGraphicFramePr>
                  <a:graphicFrameLocks/>
                </wp:cNvGraphicFramePr>
                <a:graphic>
                  <a:graphicData uri="http://schemas.microsoft.com/office/word/2010/wordprocessingGroup">
                    <wpg:wgp>
                      <wpg:cNvPr id="673" name="Group 673"/>
                      <wpg:cNvGrpSpPr/>
                      <wpg:grpSpPr>
                        <a:xfrm>
                          <a:off x="0" y="0"/>
                          <a:ext cx="3004820" cy="165735"/>
                          <a:chExt cx="3004820" cy="165735"/>
                        </a:xfrm>
                      </wpg:grpSpPr>
                      <wps:wsp>
                        <wps:cNvPr id="674" name="Graphic 674"/>
                        <wps:cNvSpPr/>
                        <wps:spPr>
                          <a:xfrm>
                            <a:off x="0" y="3171"/>
                            <a:ext cx="3004820" cy="162560"/>
                          </a:xfrm>
                          <a:custGeom>
                            <a:avLst/>
                            <a:gdLst/>
                            <a:ahLst/>
                            <a:cxnLst/>
                            <a:rect l="l" t="t" r="r" b="b"/>
                            <a:pathLst>
                              <a:path w="3004820" h="162560">
                                <a:moveTo>
                                  <a:pt x="3004197" y="0"/>
                                </a:moveTo>
                                <a:lnTo>
                                  <a:pt x="3004197" y="0"/>
                                </a:lnTo>
                                <a:lnTo>
                                  <a:pt x="0" y="0"/>
                                </a:lnTo>
                                <a:lnTo>
                                  <a:pt x="0" y="162001"/>
                                </a:lnTo>
                                <a:lnTo>
                                  <a:pt x="3004197" y="162001"/>
                                </a:lnTo>
                                <a:lnTo>
                                  <a:pt x="3004197" y="0"/>
                                </a:lnTo>
                                <a:close/>
                              </a:path>
                            </a:pathLst>
                          </a:custGeom>
                          <a:solidFill>
                            <a:srgbClr val="E6E7E8"/>
                          </a:solidFill>
                        </wps:spPr>
                        <wps:bodyPr wrap="square" lIns="0" tIns="0" rIns="0" bIns="0" rtlCol="0">
                          <a:prstTxWarp prst="textNoShape">
                            <a:avLst/>
                          </a:prstTxWarp>
                          <a:noAutofit/>
                        </wps:bodyPr>
                      </wps:wsp>
                      <wps:wsp>
                        <wps:cNvPr id="675" name="Graphic 675"/>
                        <wps:cNvSpPr/>
                        <wps:spPr>
                          <a:xfrm>
                            <a:off x="1" y="3175"/>
                            <a:ext cx="1090930" cy="1270"/>
                          </a:xfrm>
                          <a:custGeom>
                            <a:avLst/>
                            <a:gdLst/>
                            <a:ahLst/>
                            <a:cxnLst/>
                            <a:rect l="l" t="t" r="r" b="b"/>
                            <a:pathLst>
                              <a:path w="1090930" h="0">
                                <a:moveTo>
                                  <a:pt x="0" y="0"/>
                                </a:moveTo>
                                <a:lnTo>
                                  <a:pt x="1090803" y="0"/>
                                </a:lnTo>
                              </a:path>
                            </a:pathLst>
                          </a:custGeom>
                          <a:ln w="6350">
                            <a:solidFill>
                              <a:srgbClr val="000000"/>
                            </a:solidFill>
                            <a:prstDash val="solid"/>
                          </a:ln>
                        </wps:spPr>
                        <wps:bodyPr wrap="square" lIns="0" tIns="0" rIns="0" bIns="0" rtlCol="0">
                          <a:prstTxWarp prst="textNoShape">
                            <a:avLst/>
                          </a:prstTxWarp>
                          <a:noAutofit/>
                        </wps:bodyPr>
                      </wps:wsp>
                      <wps:wsp>
                        <wps:cNvPr id="676" name="Graphic 676"/>
                        <wps:cNvSpPr/>
                        <wps:spPr>
                          <a:xfrm>
                            <a:off x="1090800" y="3175"/>
                            <a:ext cx="288290" cy="1270"/>
                          </a:xfrm>
                          <a:custGeom>
                            <a:avLst/>
                            <a:gdLst/>
                            <a:ahLst/>
                            <a:cxnLst/>
                            <a:rect l="l" t="t" r="r" b="b"/>
                            <a:pathLst>
                              <a:path w="288290" h="0">
                                <a:moveTo>
                                  <a:pt x="0" y="0"/>
                                </a:moveTo>
                                <a:lnTo>
                                  <a:pt x="287997" y="0"/>
                                </a:lnTo>
                              </a:path>
                            </a:pathLst>
                          </a:custGeom>
                          <a:ln w="6350">
                            <a:solidFill>
                              <a:srgbClr val="000000"/>
                            </a:solidFill>
                            <a:prstDash val="solid"/>
                          </a:ln>
                        </wps:spPr>
                        <wps:bodyPr wrap="square" lIns="0" tIns="0" rIns="0" bIns="0" rtlCol="0">
                          <a:prstTxWarp prst="textNoShape">
                            <a:avLst/>
                          </a:prstTxWarp>
                          <a:noAutofit/>
                        </wps:bodyPr>
                      </wps:wsp>
                      <wps:wsp>
                        <wps:cNvPr id="677" name="Graphic 677"/>
                        <wps:cNvSpPr/>
                        <wps:spPr>
                          <a:xfrm>
                            <a:off x="1378800" y="3175"/>
                            <a:ext cx="288290" cy="1270"/>
                          </a:xfrm>
                          <a:custGeom>
                            <a:avLst/>
                            <a:gdLst/>
                            <a:ahLst/>
                            <a:cxnLst/>
                            <a:rect l="l" t="t" r="r" b="b"/>
                            <a:pathLst>
                              <a:path w="288290" h="0">
                                <a:moveTo>
                                  <a:pt x="0" y="0"/>
                                </a:moveTo>
                                <a:lnTo>
                                  <a:pt x="287997" y="0"/>
                                </a:lnTo>
                              </a:path>
                            </a:pathLst>
                          </a:custGeom>
                          <a:ln w="6350">
                            <a:solidFill>
                              <a:srgbClr val="000000"/>
                            </a:solidFill>
                            <a:prstDash val="solid"/>
                          </a:ln>
                        </wps:spPr>
                        <wps:bodyPr wrap="square" lIns="0" tIns="0" rIns="0" bIns="0" rtlCol="0">
                          <a:prstTxWarp prst="textNoShape">
                            <a:avLst/>
                          </a:prstTxWarp>
                          <a:noAutofit/>
                        </wps:bodyPr>
                      </wps:wsp>
                      <wps:wsp>
                        <wps:cNvPr id="678" name="Graphic 678"/>
                        <wps:cNvSpPr/>
                        <wps:spPr>
                          <a:xfrm>
                            <a:off x="1666801" y="3175"/>
                            <a:ext cx="302895" cy="1270"/>
                          </a:xfrm>
                          <a:custGeom>
                            <a:avLst/>
                            <a:gdLst/>
                            <a:ahLst/>
                            <a:cxnLst/>
                            <a:rect l="l" t="t" r="r" b="b"/>
                            <a:pathLst>
                              <a:path w="302895" h="0">
                                <a:moveTo>
                                  <a:pt x="0" y="0"/>
                                </a:moveTo>
                                <a:lnTo>
                                  <a:pt x="302399" y="0"/>
                                </a:lnTo>
                              </a:path>
                            </a:pathLst>
                          </a:custGeom>
                          <a:ln w="6350">
                            <a:solidFill>
                              <a:srgbClr val="000000"/>
                            </a:solidFill>
                            <a:prstDash val="solid"/>
                          </a:ln>
                        </wps:spPr>
                        <wps:bodyPr wrap="square" lIns="0" tIns="0" rIns="0" bIns="0" rtlCol="0">
                          <a:prstTxWarp prst="textNoShape">
                            <a:avLst/>
                          </a:prstTxWarp>
                          <a:noAutofit/>
                        </wps:bodyPr>
                      </wps:wsp>
                      <wps:wsp>
                        <wps:cNvPr id="679" name="Graphic 679"/>
                        <wps:cNvSpPr/>
                        <wps:spPr>
                          <a:xfrm>
                            <a:off x="1969201" y="3175"/>
                            <a:ext cx="281305" cy="1270"/>
                          </a:xfrm>
                          <a:custGeom>
                            <a:avLst/>
                            <a:gdLst/>
                            <a:ahLst/>
                            <a:cxnLst/>
                            <a:rect l="l" t="t" r="r" b="b"/>
                            <a:pathLst>
                              <a:path w="281305" h="0">
                                <a:moveTo>
                                  <a:pt x="0" y="0"/>
                                </a:moveTo>
                                <a:lnTo>
                                  <a:pt x="280797" y="0"/>
                                </a:lnTo>
                              </a:path>
                            </a:pathLst>
                          </a:custGeom>
                          <a:ln w="6350">
                            <a:solidFill>
                              <a:srgbClr val="000000"/>
                            </a:solidFill>
                            <a:prstDash val="solid"/>
                          </a:ln>
                        </wps:spPr>
                        <wps:bodyPr wrap="square" lIns="0" tIns="0" rIns="0" bIns="0" rtlCol="0">
                          <a:prstTxWarp prst="textNoShape">
                            <a:avLst/>
                          </a:prstTxWarp>
                          <a:noAutofit/>
                        </wps:bodyPr>
                      </wps:wsp>
                      <wps:wsp>
                        <wps:cNvPr id="680" name="Graphic 680"/>
                        <wps:cNvSpPr/>
                        <wps:spPr>
                          <a:xfrm>
                            <a:off x="2250000" y="3175"/>
                            <a:ext cx="344170" cy="1270"/>
                          </a:xfrm>
                          <a:custGeom>
                            <a:avLst/>
                            <a:gdLst/>
                            <a:ahLst/>
                            <a:cxnLst/>
                            <a:rect l="l" t="t" r="r" b="b"/>
                            <a:pathLst>
                              <a:path w="344170" h="0">
                                <a:moveTo>
                                  <a:pt x="0" y="0"/>
                                </a:moveTo>
                                <a:lnTo>
                                  <a:pt x="343801" y="0"/>
                                </a:lnTo>
                              </a:path>
                            </a:pathLst>
                          </a:custGeom>
                          <a:ln w="6350">
                            <a:solidFill>
                              <a:srgbClr val="000000"/>
                            </a:solidFill>
                            <a:prstDash val="solid"/>
                          </a:ln>
                        </wps:spPr>
                        <wps:bodyPr wrap="square" lIns="0" tIns="0" rIns="0" bIns="0" rtlCol="0">
                          <a:prstTxWarp prst="textNoShape">
                            <a:avLst/>
                          </a:prstTxWarp>
                          <a:noAutofit/>
                        </wps:bodyPr>
                      </wps:wsp>
                      <wps:wsp>
                        <wps:cNvPr id="681" name="Graphic 681"/>
                        <wps:cNvSpPr/>
                        <wps:spPr>
                          <a:xfrm>
                            <a:off x="2593800" y="3175"/>
                            <a:ext cx="410845" cy="1270"/>
                          </a:xfrm>
                          <a:custGeom>
                            <a:avLst/>
                            <a:gdLst/>
                            <a:ahLst/>
                            <a:cxnLst/>
                            <a:rect l="l" t="t" r="r" b="b"/>
                            <a:pathLst>
                              <a:path w="410845" h="0">
                                <a:moveTo>
                                  <a:pt x="0" y="0"/>
                                </a:moveTo>
                                <a:lnTo>
                                  <a:pt x="410400" y="0"/>
                                </a:lnTo>
                              </a:path>
                            </a:pathLst>
                          </a:custGeom>
                          <a:ln w="6350">
                            <a:solidFill>
                              <a:srgbClr val="000000"/>
                            </a:solidFill>
                            <a:prstDash val="solid"/>
                          </a:ln>
                        </wps:spPr>
                        <wps:bodyPr wrap="square" lIns="0" tIns="0" rIns="0" bIns="0" rtlCol="0">
                          <a:prstTxWarp prst="textNoShape">
                            <a:avLst/>
                          </a:prstTxWarp>
                          <a:noAutofit/>
                        </wps:bodyPr>
                      </wps:wsp>
                      <wps:wsp>
                        <wps:cNvPr id="682" name="Textbox 682"/>
                        <wps:cNvSpPr txBox="1"/>
                        <wps:spPr>
                          <a:xfrm>
                            <a:off x="0" y="6350"/>
                            <a:ext cx="3004820" cy="159385"/>
                          </a:xfrm>
                          <a:prstGeom prst="rect">
                            <a:avLst/>
                          </a:prstGeom>
                        </wps:spPr>
                        <wps:txbx>
                          <w:txbxContent>
                            <w:p>
                              <w:pPr>
                                <w:tabs>
                                  <w:tab w:pos="1979" w:val="left" w:leader="none"/>
                                  <w:tab w:pos="2437" w:val="left" w:leader="none"/>
                                  <w:tab w:pos="2928" w:val="left" w:leader="none"/>
                                  <w:tab w:pos="3358" w:val="left" w:leader="none"/>
                                  <w:tab w:pos="4002" w:val="left" w:leader="none"/>
                                </w:tabs>
                                <w:spacing w:before="49"/>
                                <w:ind w:left="14" w:right="0" w:firstLine="0"/>
                                <w:jc w:val="left"/>
                                <w:rPr>
                                  <w:rFonts w:ascii="TT Norms Pro Light"/>
                                  <w:b w:val="0"/>
                                  <w:sz w:val="14"/>
                                </w:rPr>
                              </w:pPr>
                              <w:r>
                                <w:rPr>
                                  <w:rFonts w:ascii="TT Norms Pro Light"/>
                                  <w:b w:val="0"/>
                                  <w:spacing w:val="-5"/>
                                  <w:sz w:val="14"/>
                                </w:rPr>
                                <w:t>UWA</w:t>
                              </w:r>
                              <w:r>
                                <w:rPr>
                                  <w:rFonts w:ascii="TT Norms Pro Light"/>
                                  <w:b w:val="0"/>
                                  <w:sz w:val="14"/>
                                </w:rPr>
                                <w:tab/>
                              </w:r>
                              <w:r>
                                <w:rPr>
                                  <w:rFonts w:ascii="TT Norms Pro Light"/>
                                  <w:b w:val="0"/>
                                  <w:spacing w:val="-5"/>
                                  <w:sz w:val="14"/>
                                </w:rPr>
                                <w:t>48</w:t>
                              </w:r>
                              <w:r>
                                <w:rPr>
                                  <w:rFonts w:ascii="TT Norms Pro Light"/>
                                  <w:b w:val="0"/>
                                  <w:sz w:val="14"/>
                                </w:rPr>
                                <w:tab/>
                              </w:r>
                              <w:r>
                                <w:rPr>
                                  <w:rFonts w:ascii="TT Norms Pro Light"/>
                                  <w:b w:val="0"/>
                                  <w:spacing w:val="-5"/>
                                  <w:sz w:val="14"/>
                                </w:rPr>
                                <w:t>28</w:t>
                              </w:r>
                              <w:r>
                                <w:rPr>
                                  <w:rFonts w:ascii="TT Norms Pro Light"/>
                                  <w:b w:val="0"/>
                                  <w:sz w:val="14"/>
                                </w:rPr>
                                <w:tab/>
                              </w:r>
                              <w:r>
                                <w:rPr>
                                  <w:rFonts w:ascii="TT Norms Pro Light"/>
                                  <w:b w:val="0"/>
                                  <w:spacing w:val="-7"/>
                                  <w:sz w:val="14"/>
                                </w:rPr>
                                <w:t>37</w:t>
                              </w:r>
                              <w:r>
                                <w:rPr>
                                  <w:rFonts w:ascii="TT Norms Pro Light"/>
                                  <w:b w:val="0"/>
                                  <w:sz w:val="14"/>
                                </w:rPr>
                                <w:tab/>
                              </w:r>
                              <w:r>
                                <w:rPr>
                                  <w:rFonts w:ascii="TT Norms Pro Light"/>
                                  <w:b w:val="0"/>
                                  <w:spacing w:val="-5"/>
                                  <w:sz w:val="14"/>
                                </w:rPr>
                                <w:t>33</w:t>
                              </w:r>
                              <w:r>
                                <w:rPr>
                                  <w:rFonts w:ascii="TT Norms Pro Light"/>
                                  <w:b w:val="0"/>
                                  <w:sz w:val="14"/>
                                </w:rPr>
                                <w:tab/>
                              </w:r>
                              <w:r>
                                <w:rPr>
                                  <w:rFonts w:ascii="TT Norms Pro Light"/>
                                  <w:b w:val="0"/>
                                  <w:spacing w:val="-10"/>
                                  <w:sz w:val="14"/>
                                </w:rPr>
                                <w:t>*</w:t>
                              </w:r>
                            </w:p>
                          </w:txbxContent>
                        </wps:txbx>
                        <wps:bodyPr wrap="square" lIns="0" tIns="0" rIns="0" bIns="0" rtlCol="0">
                          <a:noAutofit/>
                        </wps:bodyPr>
                      </wps:wsp>
                    </wpg:wgp>
                  </a:graphicData>
                </a:graphic>
              </wp:inline>
            </w:drawing>
          </mc:Choice>
          <mc:Fallback>
            <w:pict>
              <v:group style="width:236.6pt;height:13.05pt;mso-position-horizontal-relative:char;mso-position-vertical-relative:line" id="docshapegroup461" coordorigin="0,0" coordsize="4732,261">
                <v:rect style="position:absolute;left:0;top:5;width:4732;height:256" id="docshape462" filled="true" fillcolor="#e6e7e8" stroked="false">
                  <v:fill type="solid"/>
                </v:rect>
                <v:line style="position:absolute" from="0,5" to="1718,5" stroked="true" strokeweight=".5pt" strokecolor="#000000">
                  <v:stroke dashstyle="solid"/>
                </v:line>
                <v:line style="position:absolute" from="1718,5" to="2171,5" stroked="true" strokeweight=".5pt" strokecolor="#000000">
                  <v:stroke dashstyle="solid"/>
                </v:line>
                <v:line style="position:absolute" from="2171,5" to="2625,5" stroked="true" strokeweight=".5pt" strokecolor="#000000">
                  <v:stroke dashstyle="solid"/>
                </v:line>
                <v:line style="position:absolute" from="2625,5" to="3101,5" stroked="true" strokeweight=".5pt" strokecolor="#000000">
                  <v:stroke dashstyle="solid"/>
                </v:line>
                <v:line style="position:absolute" from="3101,5" to="3543,5" stroked="true" strokeweight=".5pt" strokecolor="#000000">
                  <v:stroke dashstyle="solid"/>
                </v:line>
                <v:line style="position:absolute" from="3543,5" to="4085,5" stroked="true" strokeweight=".5pt" strokecolor="#000000">
                  <v:stroke dashstyle="solid"/>
                </v:line>
                <v:line style="position:absolute" from="4085,5" to="4731,5" stroked="true" strokeweight=".5pt" strokecolor="#000000">
                  <v:stroke dashstyle="solid"/>
                </v:line>
                <v:shape style="position:absolute;left:0;top:10;width:4732;height:251" type="#_x0000_t202" id="docshape463" filled="false" stroked="false">
                  <v:textbox inset="0,0,0,0">
                    <w:txbxContent>
                      <w:p>
                        <w:pPr>
                          <w:tabs>
                            <w:tab w:pos="1979" w:val="left" w:leader="none"/>
                            <w:tab w:pos="2437" w:val="left" w:leader="none"/>
                            <w:tab w:pos="2928" w:val="left" w:leader="none"/>
                            <w:tab w:pos="3358" w:val="left" w:leader="none"/>
                            <w:tab w:pos="4002" w:val="left" w:leader="none"/>
                          </w:tabs>
                          <w:spacing w:before="49"/>
                          <w:ind w:left="14" w:right="0" w:firstLine="0"/>
                          <w:jc w:val="left"/>
                          <w:rPr>
                            <w:rFonts w:ascii="TT Norms Pro Light"/>
                            <w:b w:val="0"/>
                            <w:sz w:val="14"/>
                          </w:rPr>
                        </w:pPr>
                        <w:r>
                          <w:rPr>
                            <w:rFonts w:ascii="TT Norms Pro Light"/>
                            <w:b w:val="0"/>
                            <w:spacing w:val="-5"/>
                            <w:sz w:val="14"/>
                          </w:rPr>
                          <w:t>UWA</w:t>
                        </w:r>
                        <w:r>
                          <w:rPr>
                            <w:rFonts w:ascii="TT Norms Pro Light"/>
                            <w:b w:val="0"/>
                            <w:sz w:val="14"/>
                          </w:rPr>
                          <w:tab/>
                        </w:r>
                        <w:r>
                          <w:rPr>
                            <w:rFonts w:ascii="TT Norms Pro Light"/>
                            <w:b w:val="0"/>
                            <w:spacing w:val="-5"/>
                            <w:sz w:val="14"/>
                          </w:rPr>
                          <w:t>48</w:t>
                        </w:r>
                        <w:r>
                          <w:rPr>
                            <w:rFonts w:ascii="TT Norms Pro Light"/>
                            <w:b w:val="0"/>
                            <w:sz w:val="14"/>
                          </w:rPr>
                          <w:tab/>
                        </w:r>
                        <w:r>
                          <w:rPr>
                            <w:rFonts w:ascii="TT Norms Pro Light"/>
                            <w:b w:val="0"/>
                            <w:spacing w:val="-5"/>
                            <w:sz w:val="14"/>
                          </w:rPr>
                          <w:t>28</w:t>
                        </w:r>
                        <w:r>
                          <w:rPr>
                            <w:rFonts w:ascii="TT Norms Pro Light"/>
                            <w:b w:val="0"/>
                            <w:sz w:val="14"/>
                          </w:rPr>
                          <w:tab/>
                        </w:r>
                        <w:r>
                          <w:rPr>
                            <w:rFonts w:ascii="TT Norms Pro Light"/>
                            <w:b w:val="0"/>
                            <w:spacing w:val="-7"/>
                            <w:sz w:val="14"/>
                          </w:rPr>
                          <w:t>37</w:t>
                        </w:r>
                        <w:r>
                          <w:rPr>
                            <w:rFonts w:ascii="TT Norms Pro Light"/>
                            <w:b w:val="0"/>
                            <w:sz w:val="14"/>
                          </w:rPr>
                          <w:tab/>
                        </w:r>
                        <w:r>
                          <w:rPr>
                            <w:rFonts w:ascii="TT Norms Pro Light"/>
                            <w:b w:val="0"/>
                            <w:spacing w:val="-5"/>
                            <w:sz w:val="14"/>
                          </w:rPr>
                          <w:t>33</w:t>
                        </w:r>
                        <w:r>
                          <w:rPr>
                            <w:rFonts w:ascii="TT Norms Pro Light"/>
                            <w:b w:val="0"/>
                            <w:sz w:val="14"/>
                          </w:rPr>
                          <w:tab/>
                        </w:r>
                        <w:r>
                          <w:rPr>
                            <w:rFonts w:ascii="TT Norms Pro Light"/>
                            <w:b w:val="0"/>
                            <w:spacing w:val="-10"/>
                            <w:sz w:val="14"/>
                          </w:rPr>
                          <w:t>*</w:t>
                        </w:r>
                      </w:p>
                    </w:txbxContent>
                  </v:textbox>
                  <w10:wrap type="none"/>
                </v:shape>
              </v:group>
            </w:pict>
          </mc:Fallback>
        </mc:AlternateContent>
      </w:r>
      <w:r>
        <w:rPr>
          <w:rFonts w:ascii="TT Norms Pro"/>
          <w:sz w:val="20"/>
        </w:rPr>
      </w:r>
    </w:p>
    <w:p>
      <w:pPr>
        <w:pStyle w:val="BodyText"/>
        <w:spacing w:before="11"/>
        <w:rPr>
          <w:rFonts w:ascii="TT Norms Pro"/>
          <w:b/>
          <w:sz w:val="5"/>
        </w:rPr>
      </w:pPr>
    </w:p>
    <w:p>
      <w:pPr>
        <w:spacing w:after="0"/>
        <w:rPr>
          <w:rFonts w:ascii="TT Norms Pro"/>
          <w:sz w:val="5"/>
        </w:rPr>
        <w:sectPr>
          <w:type w:val="continuous"/>
          <w:pgSz w:w="11910" w:h="16840"/>
          <w:pgMar w:header="468" w:footer="0" w:top="980" w:bottom="280" w:left="920" w:right="0"/>
        </w:sectPr>
      </w:pPr>
    </w:p>
    <w:p>
      <w:pPr>
        <w:pStyle w:val="BodyText"/>
        <w:rPr>
          <w:rFonts w:ascii="TT Norms Pro"/>
          <w:b/>
          <w:sz w:val="14"/>
        </w:rPr>
      </w:pPr>
    </w:p>
    <w:p>
      <w:pPr>
        <w:pStyle w:val="BodyText"/>
        <w:rPr>
          <w:rFonts w:ascii="TT Norms Pro"/>
          <w:b/>
          <w:sz w:val="14"/>
        </w:rPr>
      </w:pPr>
    </w:p>
    <w:p>
      <w:pPr>
        <w:pStyle w:val="BodyText"/>
        <w:spacing w:before="24"/>
        <w:rPr>
          <w:rFonts w:ascii="TT Norms Pro"/>
          <w:b/>
          <w:sz w:val="14"/>
        </w:rPr>
      </w:pPr>
    </w:p>
    <w:p>
      <w:pPr>
        <w:spacing w:before="0"/>
        <w:ind w:left="213" w:right="0" w:firstLine="0"/>
        <w:jc w:val="left"/>
        <w:rPr>
          <w:rFonts w:ascii="TT Norms Pro Light"/>
          <w:b w:val="0"/>
          <w:sz w:val="14"/>
        </w:rPr>
      </w:pPr>
      <w:r>
        <w:rPr>
          <w:rFonts w:ascii="TT Norms Pro"/>
          <w:b/>
          <w:sz w:val="14"/>
        </w:rPr>
        <w:t>Data</w:t>
      </w:r>
      <w:r>
        <w:rPr>
          <w:rFonts w:ascii="TT Norms Pro"/>
          <w:b/>
          <w:spacing w:val="10"/>
          <w:sz w:val="14"/>
        </w:rPr>
        <w:t> </w:t>
      </w:r>
      <w:r>
        <w:rPr>
          <w:rFonts w:ascii="TT Norms Pro"/>
          <w:b/>
          <w:sz w:val="14"/>
        </w:rPr>
        <w:t>source:</w:t>
      </w:r>
      <w:r>
        <w:rPr>
          <w:rFonts w:ascii="TT Norms Pro"/>
          <w:b/>
          <w:spacing w:val="11"/>
          <w:sz w:val="14"/>
        </w:rPr>
        <w:t> </w:t>
      </w:r>
      <w:r>
        <w:rPr>
          <w:rFonts w:ascii="TT Norms Pro Light"/>
          <w:b w:val="0"/>
          <w:sz w:val="14"/>
        </w:rPr>
        <w:t>Internal</w:t>
      </w:r>
      <w:r>
        <w:rPr>
          <w:rFonts w:ascii="TT Norms Pro Light"/>
          <w:b w:val="0"/>
          <w:spacing w:val="12"/>
          <w:sz w:val="14"/>
        </w:rPr>
        <w:t> </w:t>
      </w:r>
      <w:r>
        <w:rPr>
          <w:rFonts w:ascii="TT Norms Pro Light"/>
          <w:b w:val="0"/>
          <w:sz w:val="14"/>
        </w:rPr>
        <w:t>management</w:t>
      </w:r>
      <w:r>
        <w:rPr>
          <w:rFonts w:ascii="TT Norms Pro Light"/>
          <w:b w:val="0"/>
          <w:spacing w:val="12"/>
          <w:sz w:val="14"/>
        </w:rPr>
        <w:t> </w:t>
      </w:r>
      <w:r>
        <w:rPr>
          <w:rFonts w:ascii="TT Norms Pro Light"/>
          <w:b w:val="0"/>
          <w:sz w:val="14"/>
        </w:rPr>
        <w:t>reporting</w:t>
      </w:r>
      <w:r>
        <w:rPr>
          <w:rFonts w:ascii="TT Norms Pro Light"/>
          <w:b w:val="0"/>
          <w:spacing w:val="13"/>
          <w:sz w:val="14"/>
        </w:rPr>
        <w:t> </w:t>
      </w:r>
      <w:r>
        <w:rPr>
          <w:rFonts w:ascii="TT Norms Pro Light"/>
          <w:b w:val="0"/>
          <w:spacing w:val="-2"/>
          <w:sz w:val="14"/>
        </w:rPr>
        <w:t>system.</w:t>
      </w:r>
    </w:p>
    <w:p>
      <w:pPr>
        <w:spacing w:line="264" w:lineRule="auto" w:before="130"/>
        <w:ind w:left="213" w:right="100" w:firstLine="0"/>
        <w:jc w:val="left"/>
        <w:rPr>
          <w:rFonts w:ascii="TT Norms Pro Light"/>
          <w:b w:val="0"/>
          <w:sz w:val="14"/>
        </w:rPr>
      </w:pPr>
      <w:r>
        <w:rPr>
          <w:rFonts w:ascii="TT Norms Pro"/>
          <w:b/>
          <w:sz w:val="14"/>
        </w:rPr>
        <w:t>Notes: </w:t>
      </w:r>
      <w:r>
        <w:rPr>
          <w:rFonts w:ascii="TT Norms Pro Light"/>
          <w:b w:val="0"/>
          <w:sz w:val="14"/>
        </w:rPr>
        <w:t>This indicator was included in the 2019 Annual Report, but was</w:t>
      </w:r>
      <w:r>
        <w:rPr>
          <w:rFonts w:ascii="TT Norms Pro Light"/>
          <w:b w:val="0"/>
          <w:spacing w:val="40"/>
          <w:sz w:val="14"/>
        </w:rPr>
        <w:t> </w:t>
      </w:r>
      <w:r>
        <w:rPr>
          <w:rFonts w:ascii="TT Norms Pro Light"/>
          <w:b w:val="0"/>
          <w:sz w:val="14"/>
        </w:rPr>
        <w:t>reported to two decimal places. The number of decimal places has been</w:t>
      </w:r>
      <w:r>
        <w:rPr>
          <w:rFonts w:ascii="TT Norms Pro Light"/>
          <w:b w:val="0"/>
          <w:spacing w:val="40"/>
          <w:sz w:val="14"/>
        </w:rPr>
        <w:t> </w:t>
      </w:r>
      <w:r>
        <w:rPr>
          <w:rFonts w:ascii="TT Norms Pro Light"/>
          <w:b w:val="0"/>
          <w:sz w:val="14"/>
        </w:rPr>
        <w:t>reduced to one for 2020. Indigenous students and students with disability</w:t>
      </w:r>
      <w:r>
        <w:rPr>
          <w:rFonts w:ascii="TT Norms Pro Light"/>
          <w:b w:val="0"/>
          <w:spacing w:val="40"/>
          <w:sz w:val="14"/>
        </w:rPr>
        <w:t> </w:t>
      </w:r>
      <w:r>
        <w:rPr>
          <w:rFonts w:ascii="TT Norms Pro Light"/>
          <w:b w:val="0"/>
          <w:sz w:val="14"/>
        </w:rPr>
        <w:t>are those students who self-declared; NESB students are those who</w:t>
      </w:r>
      <w:r>
        <w:rPr>
          <w:rFonts w:ascii="TT Norms Pro Light"/>
          <w:b w:val="0"/>
          <w:spacing w:val="80"/>
          <w:sz w:val="14"/>
        </w:rPr>
        <w:t> </w:t>
      </w:r>
      <w:r>
        <w:rPr>
          <w:rFonts w:ascii="TT Norms Pro Light"/>
          <w:b w:val="0"/>
          <w:sz w:val="14"/>
        </w:rPr>
        <w:t>arrived in Australia in the previous 10 years and who speak a language</w:t>
      </w:r>
      <w:r>
        <w:rPr>
          <w:rFonts w:ascii="TT Norms Pro Light"/>
          <w:b w:val="0"/>
          <w:spacing w:val="80"/>
          <w:w w:val="150"/>
          <w:sz w:val="14"/>
        </w:rPr>
        <w:t> </w:t>
      </w:r>
      <w:r>
        <w:rPr>
          <w:rFonts w:ascii="TT Norms Pro Light"/>
          <w:b w:val="0"/>
          <w:sz w:val="14"/>
        </w:rPr>
        <w:t>other than English at home; low SES students are determined by 2016</w:t>
      </w:r>
      <w:r>
        <w:rPr>
          <w:rFonts w:ascii="TT Norms Pro Light"/>
          <w:b w:val="0"/>
          <w:spacing w:val="40"/>
          <w:sz w:val="14"/>
        </w:rPr>
        <w:t> </w:t>
      </w:r>
      <w:r>
        <w:rPr>
          <w:rFonts w:ascii="TT Norms Pro Light"/>
          <w:b w:val="0"/>
          <w:sz w:val="14"/>
        </w:rPr>
        <w:t>(SEIFA) classification; and regional / remote students are determined by</w:t>
      </w:r>
      <w:r>
        <w:rPr>
          <w:rFonts w:ascii="TT Norms Pro Light"/>
          <w:b w:val="0"/>
          <w:spacing w:val="40"/>
          <w:sz w:val="14"/>
        </w:rPr>
        <w:t> </w:t>
      </w:r>
      <w:r>
        <w:rPr>
          <w:rFonts w:ascii="TT Norms Pro Light"/>
          <w:b w:val="0"/>
          <w:sz w:val="14"/>
        </w:rPr>
        <w:t>(ASGS)</w:t>
      </w:r>
      <w:r>
        <w:rPr>
          <w:rFonts w:ascii="TT Norms Pro Light"/>
          <w:b w:val="0"/>
          <w:spacing w:val="-7"/>
          <w:sz w:val="14"/>
        </w:rPr>
        <w:t> </w:t>
      </w:r>
      <w:r>
        <w:rPr>
          <w:rFonts w:ascii="TT Norms Pro Light"/>
          <w:b w:val="0"/>
          <w:sz w:val="14"/>
        </w:rPr>
        <w:t>classification.</w:t>
      </w:r>
    </w:p>
    <w:p>
      <w:pPr>
        <w:spacing w:line="264" w:lineRule="auto" w:before="98"/>
        <w:ind w:left="213" w:right="1427" w:firstLine="0"/>
        <w:jc w:val="left"/>
        <w:rPr>
          <w:rFonts w:ascii="TT Norms Pro Light"/>
          <w:b w:val="0"/>
          <w:sz w:val="14"/>
        </w:rPr>
      </w:pPr>
      <w:r>
        <w:rPr/>
        <w:br w:type="column"/>
      </w:r>
      <w:r>
        <w:rPr>
          <w:rFonts w:ascii="TT Norms Pro"/>
          <w:b/>
          <w:sz w:val="14"/>
        </w:rPr>
        <w:t>Data source: </w:t>
      </w:r>
      <w:r>
        <w:rPr>
          <w:rFonts w:ascii="TT Norms Pro Light"/>
          <w:b w:val="0"/>
          <w:sz w:val="14"/>
        </w:rPr>
        <w:t>Student Experience Survey: Reporting source produced</w:t>
      </w:r>
      <w:r>
        <w:rPr>
          <w:rFonts w:ascii="TT Norms Pro Light"/>
          <w:b w:val="0"/>
          <w:spacing w:val="40"/>
          <w:sz w:val="14"/>
        </w:rPr>
        <w:t> </w:t>
      </w:r>
      <w:r>
        <w:rPr>
          <w:rFonts w:ascii="TT Norms Pro Light"/>
          <w:b w:val="0"/>
          <w:sz w:val="14"/>
        </w:rPr>
        <w:t>by Quality Indicators for Learning and Teaching (QILT) (via the Social</w:t>
      </w:r>
    </w:p>
    <w:p>
      <w:pPr>
        <w:spacing w:line="264" w:lineRule="auto" w:before="0"/>
        <w:ind w:left="213" w:right="1174" w:firstLine="0"/>
        <w:jc w:val="left"/>
        <w:rPr>
          <w:rFonts w:ascii="TT Norms Pro Light"/>
          <w:b w:val="0"/>
          <w:sz w:val="14"/>
        </w:rPr>
      </w:pPr>
      <w:r>
        <w:rPr>
          <w:rFonts w:ascii="TT Norms Pro Light"/>
          <w:b w:val="0"/>
          <w:sz w:val="14"/>
        </w:rPr>
        <w:t>Research Centre); national data sets including institutional response rates</w:t>
      </w:r>
      <w:r>
        <w:rPr>
          <w:rFonts w:ascii="TT Norms Pro Light"/>
          <w:b w:val="0"/>
          <w:spacing w:val="40"/>
          <w:sz w:val="14"/>
        </w:rPr>
        <w:t> </w:t>
      </w:r>
      <w:r>
        <w:rPr>
          <w:rFonts w:ascii="TT Norms Pro Light"/>
          <w:b w:val="0"/>
          <w:sz w:val="14"/>
        </w:rPr>
        <w:t>for 2020 Student Experience Survey are not yet available. Postgraduate</w:t>
      </w:r>
      <w:r>
        <w:rPr>
          <w:rFonts w:ascii="TT Norms Pro Light"/>
          <w:b w:val="0"/>
          <w:spacing w:val="40"/>
          <w:sz w:val="14"/>
        </w:rPr>
        <w:t> </w:t>
      </w:r>
      <w:r>
        <w:rPr>
          <w:rFonts w:ascii="TT Norms Pro Light"/>
          <w:b w:val="0"/>
          <w:sz w:val="14"/>
        </w:rPr>
        <w:t>students were only included in Student Experience Survey from 2017.</w:t>
      </w:r>
    </w:p>
    <w:p>
      <w:pPr>
        <w:spacing w:line="264" w:lineRule="auto" w:before="113"/>
        <w:ind w:left="213" w:right="1174" w:firstLine="0"/>
        <w:jc w:val="left"/>
        <w:rPr>
          <w:rFonts w:ascii="TT Norms Pro Light"/>
          <w:b w:val="0"/>
          <w:sz w:val="14"/>
        </w:rPr>
      </w:pPr>
      <w:r>
        <w:rPr>
          <w:rFonts w:ascii="TT Norms Pro"/>
          <w:b/>
          <w:sz w:val="14"/>
        </w:rPr>
        <w:t>Notes: </w:t>
      </w:r>
      <w:r>
        <w:rPr>
          <w:rFonts w:ascii="TT Norms Pro Light"/>
          <w:b w:val="0"/>
          <w:sz w:val="14"/>
        </w:rPr>
        <w:t>This indicator was included in the 2019 Annual Report, but the</w:t>
      </w:r>
      <w:r>
        <w:rPr>
          <w:rFonts w:ascii="TT Norms Pro Light"/>
          <w:b w:val="0"/>
          <w:spacing w:val="40"/>
          <w:sz w:val="14"/>
        </w:rPr>
        <w:t> </w:t>
      </w:r>
      <w:r>
        <w:rPr>
          <w:rFonts w:ascii="TT Norms Pro Light"/>
          <w:b w:val="0"/>
          <w:sz w:val="14"/>
        </w:rPr>
        <w:t>previously included International Student Barometer (ISB) satisfaction</w:t>
      </w:r>
      <w:r>
        <w:rPr>
          <w:rFonts w:ascii="TT Norms Pro Light"/>
          <w:b w:val="0"/>
          <w:spacing w:val="40"/>
          <w:sz w:val="14"/>
        </w:rPr>
        <w:t> </w:t>
      </w:r>
      <w:r>
        <w:rPr>
          <w:rFonts w:ascii="TT Norms Pro Light"/>
          <w:b w:val="0"/>
          <w:sz w:val="14"/>
        </w:rPr>
        <w:t>result was removed from reporting. ISB results were unable to be reported</w:t>
      </w:r>
      <w:r>
        <w:rPr>
          <w:rFonts w:ascii="TT Norms Pro Light"/>
          <w:b w:val="0"/>
          <w:spacing w:val="40"/>
          <w:sz w:val="14"/>
        </w:rPr>
        <w:t> </w:t>
      </w:r>
      <w:r>
        <w:rPr>
          <w:rFonts w:ascii="TT Norms Pro Light"/>
          <w:b w:val="0"/>
          <w:sz w:val="14"/>
        </w:rPr>
        <w:t>due to data collection delays in 2020 driven by COVID-19 impacts and</w:t>
      </w:r>
      <w:r>
        <w:rPr>
          <w:rFonts w:ascii="TT Norms Pro Light"/>
          <w:b w:val="0"/>
          <w:spacing w:val="80"/>
          <w:sz w:val="14"/>
        </w:rPr>
        <w:t> </w:t>
      </w:r>
      <w:r>
        <w:rPr>
          <w:rFonts w:ascii="TT Norms Pro Light"/>
          <w:b w:val="0"/>
          <w:sz w:val="14"/>
        </w:rPr>
        <w:t>from 2018 were only available every second year. ISB outcomes are</w:t>
      </w:r>
      <w:r>
        <w:rPr>
          <w:rFonts w:ascii="TT Norms Pro Light"/>
          <w:b w:val="0"/>
          <w:spacing w:val="40"/>
          <w:sz w:val="14"/>
        </w:rPr>
        <w:t> </w:t>
      </w:r>
      <w:r>
        <w:rPr>
          <w:rFonts w:ascii="TT Norms Pro Light"/>
          <w:b w:val="0"/>
          <w:sz w:val="14"/>
        </w:rPr>
        <w:t>currently not planned to be included as annual report indicators moving</w:t>
      </w:r>
      <w:r>
        <w:rPr>
          <w:rFonts w:ascii="TT Norms Pro Light"/>
          <w:b w:val="0"/>
          <w:spacing w:val="40"/>
          <w:sz w:val="14"/>
        </w:rPr>
        <w:t> </w:t>
      </w:r>
      <w:r>
        <w:rPr>
          <w:rFonts w:ascii="TT Norms Pro Light"/>
          <w:b w:val="0"/>
          <w:sz w:val="14"/>
        </w:rPr>
        <w:t>forward. Student Experience Survey reports full year 2020 data. Results</w:t>
      </w:r>
      <w:r>
        <w:rPr>
          <w:rFonts w:ascii="TT Norms Pro Light"/>
          <w:b w:val="0"/>
          <w:spacing w:val="40"/>
          <w:sz w:val="14"/>
        </w:rPr>
        <w:t> </w:t>
      </w:r>
      <w:r>
        <w:rPr>
          <w:rFonts w:ascii="TT Norms Pro Light"/>
          <w:b w:val="0"/>
          <w:sz w:val="14"/>
        </w:rPr>
        <w:t>reported show the proportion of students satisfied with their overall</w:t>
      </w:r>
      <w:r>
        <w:rPr>
          <w:rFonts w:ascii="TT Norms Pro Light"/>
          <w:b w:val="0"/>
          <w:spacing w:val="40"/>
          <w:sz w:val="14"/>
        </w:rPr>
        <w:t> </w:t>
      </w:r>
      <w:r>
        <w:rPr>
          <w:rFonts w:ascii="TT Norms Pro Light"/>
          <w:b w:val="0"/>
          <w:sz w:val="14"/>
        </w:rPr>
        <w:t>experience at the University. *Full year figures for response rates, WA and</w:t>
      </w:r>
      <w:r>
        <w:rPr>
          <w:rFonts w:ascii="TT Norms Pro Light"/>
          <w:b w:val="0"/>
          <w:spacing w:val="40"/>
          <w:sz w:val="14"/>
        </w:rPr>
        <w:t> </w:t>
      </w:r>
      <w:r>
        <w:rPr>
          <w:rFonts w:ascii="TT Norms Pro Light"/>
          <w:b w:val="0"/>
          <w:sz w:val="14"/>
        </w:rPr>
        <w:t>National</w:t>
      </w:r>
      <w:r>
        <w:rPr>
          <w:rFonts w:ascii="TT Norms Pro Light"/>
          <w:b w:val="0"/>
          <w:spacing w:val="15"/>
          <w:sz w:val="14"/>
        </w:rPr>
        <w:t> </w:t>
      </w:r>
      <w:r>
        <w:rPr>
          <w:rFonts w:ascii="TT Norms Pro Light"/>
          <w:b w:val="0"/>
          <w:sz w:val="14"/>
        </w:rPr>
        <w:t>averages</w:t>
      </w:r>
      <w:r>
        <w:rPr>
          <w:rFonts w:ascii="TT Norms Pro Light"/>
          <w:b w:val="0"/>
          <w:spacing w:val="15"/>
          <w:sz w:val="14"/>
        </w:rPr>
        <w:t> </w:t>
      </w:r>
      <w:r>
        <w:rPr>
          <w:rFonts w:ascii="TT Norms Pro Light"/>
          <w:b w:val="0"/>
          <w:sz w:val="14"/>
        </w:rPr>
        <w:t>will</w:t>
      </w:r>
      <w:r>
        <w:rPr>
          <w:rFonts w:ascii="TT Norms Pro Light"/>
          <w:b w:val="0"/>
          <w:spacing w:val="15"/>
          <w:sz w:val="14"/>
        </w:rPr>
        <w:t> </w:t>
      </w:r>
      <w:r>
        <w:rPr>
          <w:rFonts w:ascii="TT Norms Pro Light"/>
          <w:b w:val="0"/>
          <w:sz w:val="14"/>
        </w:rPr>
        <w:t>not</w:t>
      </w:r>
      <w:r>
        <w:rPr>
          <w:rFonts w:ascii="TT Norms Pro Light"/>
          <w:b w:val="0"/>
          <w:spacing w:val="15"/>
          <w:sz w:val="14"/>
        </w:rPr>
        <w:t> </w:t>
      </w:r>
      <w:r>
        <w:rPr>
          <w:rFonts w:ascii="TT Norms Pro Light"/>
          <w:b w:val="0"/>
          <w:sz w:val="14"/>
        </w:rPr>
        <w:t>be</w:t>
      </w:r>
      <w:r>
        <w:rPr>
          <w:rFonts w:ascii="TT Norms Pro Light"/>
          <w:b w:val="0"/>
          <w:spacing w:val="15"/>
          <w:sz w:val="14"/>
        </w:rPr>
        <w:t> </w:t>
      </w:r>
      <w:r>
        <w:rPr>
          <w:rFonts w:ascii="TT Norms Pro Light"/>
          <w:b w:val="0"/>
          <w:sz w:val="14"/>
        </w:rPr>
        <w:t>available</w:t>
      </w:r>
      <w:r>
        <w:rPr>
          <w:rFonts w:ascii="TT Norms Pro Light"/>
          <w:b w:val="0"/>
          <w:spacing w:val="15"/>
          <w:sz w:val="14"/>
        </w:rPr>
        <w:t> </w:t>
      </w:r>
      <w:r>
        <w:rPr>
          <w:rFonts w:ascii="TT Norms Pro Light"/>
          <w:b w:val="0"/>
          <w:sz w:val="14"/>
        </w:rPr>
        <w:t>until</w:t>
      </w:r>
      <w:r>
        <w:rPr>
          <w:rFonts w:ascii="TT Norms Pro Light"/>
          <w:b w:val="0"/>
          <w:spacing w:val="15"/>
          <w:sz w:val="14"/>
        </w:rPr>
        <w:t> </w:t>
      </w:r>
      <w:r>
        <w:rPr>
          <w:rFonts w:ascii="TT Norms Pro Light"/>
          <w:b w:val="0"/>
          <w:sz w:val="14"/>
        </w:rPr>
        <w:t>the</w:t>
      </w:r>
      <w:r>
        <w:rPr>
          <w:rFonts w:ascii="TT Norms Pro Light"/>
          <w:b w:val="0"/>
          <w:spacing w:val="15"/>
          <w:sz w:val="14"/>
        </w:rPr>
        <w:t> </w:t>
      </w:r>
      <w:r>
        <w:rPr>
          <w:rFonts w:ascii="TT Norms Pro Light"/>
          <w:b w:val="0"/>
          <w:sz w:val="14"/>
        </w:rPr>
        <w:t>full</w:t>
      </w:r>
      <w:r>
        <w:rPr>
          <w:rFonts w:ascii="TT Norms Pro Light"/>
          <w:b w:val="0"/>
          <w:spacing w:val="15"/>
          <w:sz w:val="14"/>
        </w:rPr>
        <w:t> </w:t>
      </w:r>
      <w:r>
        <w:rPr>
          <w:rFonts w:ascii="TT Norms Pro Light"/>
          <w:b w:val="0"/>
          <w:sz w:val="14"/>
        </w:rPr>
        <w:t>release</w:t>
      </w:r>
      <w:r>
        <w:rPr>
          <w:rFonts w:ascii="TT Norms Pro Light"/>
          <w:b w:val="0"/>
          <w:spacing w:val="15"/>
          <w:sz w:val="14"/>
        </w:rPr>
        <w:t> </w:t>
      </w:r>
      <w:r>
        <w:rPr>
          <w:rFonts w:ascii="TT Norms Pro Light"/>
          <w:b w:val="0"/>
          <w:sz w:val="14"/>
        </w:rPr>
        <w:t>of</w:t>
      </w:r>
      <w:r>
        <w:rPr>
          <w:rFonts w:ascii="TT Norms Pro Light"/>
          <w:b w:val="0"/>
          <w:spacing w:val="15"/>
          <w:sz w:val="14"/>
        </w:rPr>
        <w:t> </w:t>
      </w:r>
      <w:r>
        <w:rPr>
          <w:rFonts w:ascii="TT Norms Pro Light"/>
          <w:b w:val="0"/>
          <w:sz w:val="14"/>
        </w:rPr>
        <w:t>2020</w:t>
      </w:r>
      <w:r>
        <w:rPr>
          <w:rFonts w:ascii="TT Norms Pro Light"/>
          <w:b w:val="0"/>
          <w:spacing w:val="15"/>
          <w:sz w:val="14"/>
        </w:rPr>
        <w:t> </w:t>
      </w:r>
      <w:r>
        <w:rPr>
          <w:rFonts w:ascii="TT Norms Pro Light"/>
          <w:b w:val="0"/>
          <w:sz w:val="14"/>
        </w:rPr>
        <w:t>data</w:t>
      </w:r>
      <w:r>
        <w:rPr>
          <w:rFonts w:ascii="TT Norms Pro Light"/>
          <w:b w:val="0"/>
          <w:spacing w:val="40"/>
          <w:sz w:val="14"/>
        </w:rPr>
        <w:t> </w:t>
      </w:r>
      <w:r>
        <w:rPr>
          <w:rFonts w:ascii="TT Norms Pro Light"/>
          <w:b w:val="0"/>
          <w:sz w:val="14"/>
        </w:rPr>
        <w:t>via</w:t>
      </w:r>
      <w:r>
        <w:rPr>
          <w:rFonts w:ascii="TT Norms Pro Light"/>
          <w:b w:val="0"/>
          <w:spacing w:val="-7"/>
          <w:sz w:val="14"/>
        </w:rPr>
        <w:t> </w:t>
      </w:r>
      <w:r>
        <w:rPr>
          <w:rFonts w:ascii="TT Norms Pro Light"/>
          <w:b w:val="0"/>
          <w:sz w:val="14"/>
        </w:rPr>
        <w:t>QILT.</w:t>
      </w:r>
    </w:p>
    <w:p>
      <w:pPr>
        <w:spacing w:after="0" w:line="264" w:lineRule="auto"/>
        <w:jc w:val="left"/>
        <w:rPr>
          <w:rFonts w:ascii="TT Norms Pro Light"/>
          <w:sz w:val="14"/>
        </w:rPr>
        <w:sectPr>
          <w:type w:val="continuous"/>
          <w:pgSz w:w="11910" w:h="16840"/>
          <w:pgMar w:header="468" w:footer="0" w:top="980" w:bottom="280" w:left="920" w:right="0"/>
          <w:cols w:num="2" w:equalWidth="0">
            <w:col w:w="4866" w:space="152"/>
            <w:col w:w="5972"/>
          </w:cols>
        </w:sectPr>
      </w:pPr>
    </w:p>
    <w:p>
      <w:pPr>
        <w:pStyle w:val="BodyText"/>
        <w:rPr>
          <w:b w:val="0"/>
          <w:sz w:val="20"/>
        </w:rPr>
      </w:pPr>
    </w:p>
    <w:p>
      <w:pPr>
        <w:pStyle w:val="BodyText"/>
        <w:spacing w:before="120"/>
        <w:rPr>
          <w:b w:val="0"/>
          <w:sz w:val="20"/>
        </w:rPr>
      </w:pPr>
    </w:p>
    <w:p>
      <w:pPr>
        <w:spacing w:after="0"/>
        <w:rPr>
          <w:sz w:val="20"/>
        </w:rPr>
        <w:sectPr>
          <w:pgSz w:w="11910" w:h="16840"/>
          <w:pgMar w:header="468" w:footer="0" w:top="720" w:bottom="280" w:left="920" w:right="0"/>
        </w:sectPr>
      </w:pPr>
    </w:p>
    <w:p>
      <w:pPr>
        <w:pStyle w:val="Heading9"/>
        <w:numPr>
          <w:ilvl w:val="1"/>
          <w:numId w:val="9"/>
        </w:numPr>
        <w:tabs>
          <w:tab w:pos="564" w:val="left" w:leader="none"/>
        </w:tabs>
        <w:spacing w:line="240" w:lineRule="auto" w:before="129" w:after="0"/>
        <w:ind w:left="564" w:right="0" w:hanging="351"/>
        <w:jc w:val="left"/>
      </w:pPr>
      <w:r>
        <w:rPr/>
        <w:t>GRADUATE</w:t>
      </w:r>
      <w:r>
        <w:rPr>
          <w:spacing w:val="7"/>
        </w:rPr>
        <w:t> </w:t>
      </w:r>
      <w:r>
        <w:rPr>
          <w:spacing w:val="-2"/>
        </w:rPr>
        <w:t>OUTCOMES</w:t>
      </w:r>
    </w:p>
    <w:p>
      <w:pPr>
        <w:pStyle w:val="BodyText"/>
        <w:spacing w:line="295" w:lineRule="auto" w:before="154"/>
        <w:ind w:left="213"/>
        <w:rPr>
          <w:b w:val="0"/>
        </w:rPr>
      </w:pPr>
      <w:r>
        <w:rPr>
          <w:b w:val="0"/>
        </w:rPr>
        <w:t>Students value not only their experiences at university, but</w:t>
      </w:r>
      <w:r>
        <w:rPr>
          <w:b w:val="0"/>
          <w:spacing w:val="40"/>
        </w:rPr>
        <w:t> </w:t>
      </w:r>
      <w:r>
        <w:rPr>
          <w:b w:val="0"/>
        </w:rPr>
        <w:t>also the ability to achieve positive outcomes as a result of</w:t>
      </w:r>
      <w:r>
        <w:rPr>
          <w:b w:val="0"/>
          <w:spacing w:val="40"/>
        </w:rPr>
        <w:t> </w:t>
      </w:r>
      <w:r>
        <w:rPr>
          <w:b w:val="0"/>
        </w:rPr>
        <w:t>their qualification. Gaining meaningful employment</w:t>
      </w:r>
    </w:p>
    <w:p>
      <w:pPr>
        <w:pStyle w:val="BodyText"/>
        <w:spacing w:line="295" w:lineRule="auto" w:before="3"/>
        <w:ind w:left="213" w:right="139"/>
        <w:rPr>
          <w:b w:val="0"/>
        </w:rPr>
      </w:pPr>
      <w:r>
        <w:rPr>
          <w:b w:val="0"/>
        </w:rPr>
        <w:t>post-study is of great importance to a large number of</w:t>
      </w:r>
      <w:r>
        <w:rPr>
          <w:b w:val="0"/>
          <w:spacing w:val="40"/>
        </w:rPr>
        <w:t> </w:t>
      </w:r>
      <w:r>
        <w:rPr>
          <w:b w:val="0"/>
        </w:rPr>
        <w:t>students. Monitoring the employment rates of students</w:t>
      </w:r>
      <w:r>
        <w:rPr>
          <w:b w:val="0"/>
          <w:spacing w:val="40"/>
        </w:rPr>
        <w:t> </w:t>
      </w:r>
      <w:r>
        <w:rPr>
          <w:b w:val="0"/>
        </w:rPr>
        <w:t>provides an indication that UWA’s education offerings</w:t>
      </w:r>
      <w:r>
        <w:rPr>
          <w:b w:val="0"/>
          <w:spacing w:val="40"/>
        </w:rPr>
        <w:t> </w:t>
      </w:r>
      <w:r>
        <w:rPr>
          <w:b w:val="0"/>
        </w:rPr>
        <w:t>are relevant to employer expectations, enhancing the</w:t>
      </w:r>
      <w:r>
        <w:rPr>
          <w:b w:val="0"/>
          <w:spacing w:val="40"/>
        </w:rPr>
        <w:t> </w:t>
      </w:r>
      <w:r>
        <w:rPr>
          <w:b w:val="0"/>
        </w:rPr>
        <w:t>opportunity for graduates to be on their career path soon</w:t>
      </w:r>
      <w:r>
        <w:rPr>
          <w:b w:val="0"/>
          <w:spacing w:val="40"/>
        </w:rPr>
        <w:t> </w:t>
      </w:r>
      <w:r>
        <w:rPr>
          <w:b w:val="0"/>
        </w:rPr>
        <w:t>after</w:t>
      </w:r>
      <w:r>
        <w:rPr>
          <w:b w:val="0"/>
          <w:spacing w:val="-5"/>
        </w:rPr>
        <w:t> </w:t>
      </w:r>
      <w:r>
        <w:rPr>
          <w:b w:val="0"/>
        </w:rPr>
        <w:t>graduation.</w:t>
      </w:r>
    </w:p>
    <w:p>
      <w:pPr>
        <w:pStyle w:val="BodyText"/>
        <w:spacing w:before="49"/>
        <w:rPr>
          <w:b w:val="0"/>
        </w:rPr>
      </w:pPr>
    </w:p>
    <w:p>
      <w:pPr>
        <w:pStyle w:val="BodyText"/>
        <w:spacing w:line="295" w:lineRule="auto" w:before="1"/>
        <w:ind w:left="213" w:right="38"/>
        <w:rPr>
          <w:b w:val="0"/>
        </w:rPr>
      </w:pPr>
      <w:r>
        <w:rPr>
          <w:b w:val="0"/>
        </w:rPr>
        <w:t>Local economic conditions have seen declines in</w:t>
      </w:r>
      <w:r>
        <w:rPr>
          <w:b w:val="0"/>
          <w:spacing w:val="80"/>
        </w:rPr>
        <w:t> </w:t>
      </w:r>
      <w:r>
        <w:rPr>
          <w:b w:val="0"/>
        </w:rPr>
        <w:t>graduate employment outcomes this year. University</w:t>
      </w:r>
      <w:r>
        <w:rPr>
          <w:b w:val="0"/>
          <w:spacing w:val="40"/>
        </w:rPr>
        <w:t> </w:t>
      </w:r>
      <w:r>
        <w:rPr>
          <w:b w:val="0"/>
        </w:rPr>
        <w:t>undergraduates experienced a decline in full-time</w:t>
      </w:r>
      <w:r>
        <w:rPr>
          <w:b w:val="0"/>
          <w:spacing w:val="40"/>
        </w:rPr>
        <w:t> </w:t>
      </w:r>
      <w:r>
        <w:rPr>
          <w:b w:val="0"/>
        </w:rPr>
        <w:t>employment rates that was matched across Western</w:t>
      </w:r>
      <w:r>
        <w:rPr>
          <w:b w:val="0"/>
          <w:spacing w:val="40"/>
        </w:rPr>
        <w:t> </w:t>
      </w:r>
      <w:r>
        <w:rPr>
          <w:b w:val="0"/>
        </w:rPr>
        <w:t>Australia, while strong postgraduate full-time employment</w:t>
      </w:r>
      <w:r>
        <w:rPr>
          <w:b w:val="0"/>
          <w:spacing w:val="40"/>
        </w:rPr>
        <w:t> </w:t>
      </w:r>
      <w:r>
        <w:rPr>
          <w:b w:val="0"/>
        </w:rPr>
        <w:t>was maintained. Further development of work-integrated</w:t>
      </w:r>
      <w:r>
        <w:rPr>
          <w:b w:val="0"/>
          <w:spacing w:val="40"/>
        </w:rPr>
        <w:t> </w:t>
      </w:r>
      <w:r>
        <w:rPr>
          <w:b w:val="0"/>
        </w:rPr>
        <w:t>learning opportunities and employment options within</w:t>
      </w:r>
      <w:r>
        <w:rPr>
          <w:b w:val="0"/>
          <w:spacing w:val="40"/>
        </w:rPr>
        <w:t> </w:t>
      </w:r>
      <w:r>
        <w:rPr>
          <w:b w:val="0"/>
        </w:rPr>
        <w:t>existing course curricular and University services will</w:t>
      </w:r>
      <w:r>
        <w:rPr>
          <w:b w:val="0"/>
          <w:spacing w:val="40"/>
        </w:rPr>
        <w:t> </w:t>
      </w:r>
      <w:r>
        <w:rPr>
          <w:b w:val="0"/>
        </w:rPr>
        <w:t>continue to be developed and implemented across the</w:t>
      </w:r>
      <w:r>
        <w:rPr>
          <w:b w:val="0"/>
          <w:spacing w:val="40"/>
        </w:rPr>
        <w:t> </w:t>
      </w:r>
      <w:r>
        <w:rPr>
          <w:b w:val="0"/>
        </w:rPr>
        <w:t>next year. These will include continued rollout of virtual</w:t>
      </w:r>
      <w:r>
        <w:rPr>
          <w:b w:val="0"/>
          <w:spacing w:val="40"/>
        </w:rPr>
        <w:t> </w:t>
      </w:r>
      <w:r>
        <w:rPr>
          <w:b w:val="0"/>
        </w:rPr>
        <w:t>collaborative online international learning opportunities</w:t>
      </w:r>
      <w:r>
        <w:rPr>
          <w:b w:val="0"/>
          <w:spacing w:val="40"/>
        </w:rPr>
        <w:t> </w:t>
      </w:r>
      <w:r>
        <w:rPr>
          <w:b w:val="0"/>
        </w:rPr>
        <w:t>and virtual internships.</w:t>
      </w:r>
    </w:p>
    <w:p>
      <w:pPr>
        <w:pStyle w:val="BodyText"/>
        <w:spacing w:before="55"/>
        <w:rPr>
          <w:b w:val="0"/>
        </w:rPr>
      </w:pPr>
    </w:p>
    <w:p>
      <w:pPr>
        <w:spacing w:before="0"/>
        <w:ind w:left="213" w:right="0" w:firstLine="0"/>
        <w:jc w:val="left"/>
        <w:rPr>
          <w:rFonts w:ascii="TT Norms Pro"/>
          <w:b/>
          <w:sz w:val="18"/>
        </w:rPr>
      </w:pPr>
      <w:r>
        <w:rPr/>
        <mc:AlternateContent>
          <mc:Choice Requires="wps">
            <w:drawing>
              <wp:anchor distT="0" distB="0" distL="0" distR="0" allowOverlap="1" layoutInCell="1" locked="0" behindDoc="0" simplePos="0" relativeHeight="15846912">
                <wp:simplePos x="0" y="0"/>
                <wp:positionH relativeFrom="page">
                  <wp:posOffset>3905999</wp:posOffset>
                </wp:positionH>
                <wp:positionV relativeFrom="paragraph">
                  <wp:posOffset>629756</wp:posOffset>
                </wp:positionV>
                <wp:extent cx="2938780" cy="183515"/>
                <wp:effectExtent l="0" t="0" r="0" b="0"/>
                <wp:wrapNone/>
                <wp:docPr id="683" name="Group 683"/>
                <wp:cNvGraphicFramePr>
                  <a:graphicFrameLocks/>
                </wp:cNvGraphicFramePr>
                <a:graphic>
                  <a:graphicData uri="http://schemas.microsoft.com/office/word/2010/wordprocessingGroup">
                    <wpg:wgp>
                      <wpg:cNvPr id="683" name="Group 683"/>
                      <wpg:cNvGrpSpPr/>
                      <wpg:grpSpPr>
                        <a:xfrm>
                          <a:off x="0" y="0"/>
                          <a:ext cx="2938780" cy="183515"/>
                          <a:chExt cx="2938780" cy="183515"/>
                        </a:xfrm>
                      </wpg:grpSpPr>
                      <wps:wsp>
                        <wps:cNvPr id="684" name="Graphic 684"/>
                        <wps:cNvSpPr/>
                        <wps:spPr>
                          <a:xfrm>
                            <a:off x="0" y="3181"/>
                            <a:ext cx="2938780" cy="180340"/>
                          </a:xfrm>
                          <a:custGeom>
                            <a:avLst/>
                            <a:gdLst/>
                            <a:ahLst/>
                            <a:cxnLst/>
                            <a:rect l="l" t="t" r="r" b="b"/>
                            <a:pathLst>
                              <a:path w="2938780" h="180340">
                                <a:moveTo>
                                  <a:pt x="734644" y="0"/>
                                </a:moveTo>
                                <a:lnTo>
                                  <a:pt x="0" y="0"/>
                                </a:lnTo>
                                <a:lnTo>
                                  <a:pt x="0" y="179997"/>
                                </a:lnTo>
                                <a:lnTo>
                                  <a:pt x="734644" y="179997"/>
                                </a:lnTo>
                                <a:lnTo>
                                  <a:pt x="734644" y="0"/>
                                </a:lnTo>
                                <a:close/>
                              </a:path>
                              <a:path w="2938780" h="180340">
                                <a:moveTo>
                                  <a:pt x="2938589" y="0"/>
                                </a:moveTo>
                                <a:lnTo>
                                  <a:pt x="2203945" y="0"/>
                                </a:lnTo>
                                <a:lnTo>
                                  <a:pt x="1469301" y="0"/>
                                </a:lnTo>
                                <a:lnTo>
                                  <a:pt x="734656" y="0"/>
                                </a:lnTo>
                                <a:lnTo>
                                  <a:pt x="734656" y="179997"/>
                                </a:lnTo>
                                <a:lnTo>
                                  <a:pt x="1469301" y="179997"/>
                                </a:lnTo>
                                <a:lnTo>
                                  <a:pt x="2203945" y="179997"/>
                                </a:lnTo>
                                <a:lnTo>
                                  <a:pt x="2938589" y="179997"/>
                                </a:lnTo>
                                <a:lnTo>
                                  <a:pt x="2938589" y="0"/>
                                </a:lnTo>
                                <a:close/>
                              </a:path>
                            </a:pathLst>
                          </a:custGeom>
                          <a:solidFill>
                            <a:srgbClr val="E6E7E8"/>
                          </a:solidFill>
                        </wps:spPr>
                        <wps:bodyPr wrap="square" lIns="0" tIns="0" rIns="0" bIns="0" rtlCol="0">
                          <a:prstTxWarp prst="textNoShape">
                            <a:avLst/>
                          </a:prstTxWarp>
                          <a:noAutofit/>
                        </wps:bodyPr>
                      </wps:wsp>
                      <wps:wsp>
                        <wps:cNvPr id="685" name="Graphic 685"/>
                        <wps:cNvSpPr/>
                        <wps:spPr>
                          <a:xfrm>
                            <a:off x="1" y="3175"/>
                            <a:ext cx="734695" cy="1270"/>
                          </a:xfrm>
                          <a:custGeom>
                            <a:avLst/>
                            <a:gdLst/>
                            <a:ahLst/>
                            <a:cxnLst/>
                            <a:rect l="l" t="t" r="r" b="b"/>
                            <a:pathLst>
                              <a:path w="734695" h="0">
                                <a:moveTo>
                                  <a:pt x="0" y="0"/>
                                </a:moveTo>
                                <a:lnTo>
                                  <a:pt x="734644" y="0"/>
                                </a:lnTo>
                              </a:path>
                            </a:pathLst>
                          </a:custGeom>
                          <a:ln w="6350">
                            <a:solidFill>
                              <a:srgbClr val="000000"/>
                            </a:solidFill>
                            <a:prstDash val="solid"/>
                          </a:ln>
                        </wps:spPr>
                        <wps:bodyPr wrap="square" lIns="0" tIns="0" rIns="0" bIns="0" rtlCol="0">
                          <a:prstTxWarp prst="textNoShape">
                            <a:avLst/>
                          </a:prstTxWarp>
                          <a:noAutofit/>
                        </wps:bodyPr>
                      </wps:wsp>
                      <wps:wsp>
                        <wps:cNvPr id="686" name="Graphic 686"/>
                        <wps:cNvSpPr/>
                        <wps:spPr>
                          <a:xfrm>
                            <a:off x="734650" y="3175"/>
                            <a:ext cx="734695" cy="1270"/>
                          </a:xfrm>
                          <a:custGeom>
                            <a:avLst/>
                            <a:gdLst/>
                            <a:ahLst/>
                            <a:cxnLst/>
                            <a:rect l="l" t="t" r="r" b="b"/>
                            <a:pathLst>
                              <a:path w="734695" h="0">
                                <a:moveTo>
                                  <a:pt x="0" y="0"/>
                                </a:moveTo>
                                <a:lnTo>
                                  <a:pt x="734644" y="0"/>
                                </a:lnTo>
                              </a:path>
                            </a:pathLst>
                          </a:custGeom>
                          <a:ln w="6350">
                            <a:solidFill>
                              <a:srgbClr val="000000"/>
                            </a:solidFill>
                            <a:prstDash val="solid"/>
                          </a:ln>
                        </wps:spPr>
                        <wps:bodyPr wrap="square" lIns="0" tIns="0" rIns="0" bIns="0" rtlCol="0">
                          <a:prstTxWarp prst="textNoShape">
                            <a:avLst/>
                          </a:prstTxWarp>
                          <a:noAutofit/>
                        </wps:bodyPr>
                      </wps:wsp>
                      <wps:wsp>
                        <wps:cNvPr id="687" name="Graphic 687"/>
                        <wps:cNvSpPr/>
                        <wps:spPr>
                          <a:xfrm>
                            <a:off x="1469301" y="3175"/>
                            <a:ext cx="734695" cy="1270"/>
                          </a:xfrm>
                          <a:custGeom>
                            <a:avLst/>
                            <a:gdLst/>
                            <a:ahLst/>
                            <a:cxnLst/>
                            <a:rect l="l" t="t" r="r" b="b"/>
                            <a:pathLst>
                              <a:path w="734695" h="0">
                                <a:moveTo>
                                  <a:pt x="0" y="0"/>
                                </a:moveTo>
                                <a:lnTo>
                                  <a:pt x="734644" y="0"/>
                                </a:lnTo>
                              </a:path>
                            </a:pathLst>
                          </a:custGeom>
                          <a:ln w="6350">
                            <a:solidFill>
                              <a:srgbClr val="000000"/>
                            </a:solidFill>
                            <a:prstDash val="solid"/>
                          </a:ln>
                        </wps:spPr>
                        <wps:bodyPr wrap="square" lIns="0" tIns="0" rIns="0" bIns="0" rtlCol="0">
                          <a:prstTxWarp prst="textNoShape">
                            <a:avLst/>
                          </a:prstTxWarp>
                          <a:noAutofit/>
                        </wps:bodyPr>
                      </wps:wsp>
                      <wps:wsp>
                        <wps:cNvPr id="688" name="Graphic 688"/>
                        <wps:cNvSpPr/>
                        <wps:spPr>
                          <a:xfrm>
                            <a:off x="2203950" y="3175"/>
                            <a:ext cx="734695" cy="1270"/>
                          </a:xfrm>
                          <a:custGeom>
                            <a:avLst/>
                            <a:gdLst/>
                            <a:ahLst/>
                            <a:cxnLst/>
                            <a:rect l="l" t="t" r="r" b="b"/>
                            <a:pathLst>
                              <a:path w="734695" h="0">
                                <a:moveTo>
                                  <a:pt x="0" y="0"/>
                                </a:moveTo>
                                <a:lnTo>
                                  <a:pt x="734644" y="0"/>
                                </a:lnTo>
                              </a:path>
                            </a:pathLst>
                          </a:custGeom>
                          <a:ln w="6350">
                            <a:solidFill>
                              <a:srgbClr val="000000"/>
                            </a:solidFill>
                            <a:prstDash val="solid"/>
                          </a:ln>
                        </wps:spPr>
                        <wps:bodyPr wrap="square" lIns="0" tIns="0" rIns="0" bIns="0" rtlCol="0">
                          <a:prstTxWarp prst="textNoShape">
                            <a:avLst/>
                          </a:prstTxWarp>
                          <a:noAutofit/>
                        </wps:bodyPr>
                      </wps:wsp>
                      <wps:wsp>
                        <wps:cNvPr id="689" name="Textbox 689"/>
                        <wps:cNvSpPr txBox="1"/>
                        <wps:spPr>
                          <a:xfrm>
                            <a:off x="36054" y="35890"/>
                            <a:ext cx="307340" cy="114935"/>
                          </a:xfrm>
                          <a:prstGeom prst="rect">
                            <a:avLst/>
                          </a:prstGeom>
                        </wps:spPr>
                        <wps:txbx>
                          <w:txbxContent>
                            <w:p>
                              <w:pPr>
                                <w:spacing w:before="17"/>
                                <w:ind w:left="0" w:right="0" w:firstLine="0"/>
                                <w:jc w:val="left"/>
                                <w:rPr>
                                  <w:rFonts w:ascii="TT Norms Pro Light"/>
                                  <w:b w:val="0"/>
                                  <w:sz w:val="14"/>
                                </w:rPr>
                              </w:pPr>
                              <w:r>
                                <w:rPr>
                                  <w:rFonts w:ascii="TT Norms Pro Light"/>
                                  <w:b w:val="0"/>
                                  <w:spacing w:val="-2"/>
                                  <w:sz w:val="14"/>
                                </w:rPr>
                                <w:t>Awards</w:t>
                              </w:r>
                            </w:p>
                          </w:txbxContent>
                        </wps:txbx>
                        <wps:bodyPr wrap="square" lIns="0" tIns="0" rIns="0" bIns="0" rtlCol="0">
                          <a:noAutofit/>
                        </wps:bodyPr>
                      </wps:wsp>
                      <wps:wsp>
                        <wps:cNvPr id="690" name="Textbox 690"/>
                        <wps:cNvSpPr txBox="1"/>
                        <wps:spPr>
                          <a:xfrm>
                            <a:off x="1403602" y="35890"/>
                            <a:ext cx="42545" cy="114935"/>
                          </a:xfrm>
                          <a:prstGeom prst="rect">
                            <a:avLst/>
                          </a:prstGeom>
                        </wps:spPr>
                        <wps:txbx>
                          <w:txbxContent>
                            <w:p>
                              <w:pPr>
                                <w:spacing w:before="17"/>
                                <w:ind w:left="0" w:right="0" w:firstLine="0"/>
                                <w:jc w:val="left"/>
                                <w:rPr>
                                  <w:rFonts w:ascii="TT Norms Pro Light"/>
                                  <w:b w:val="0"/>
                                  <w:sz w:val="14"/>
                                </w:rPr>
                              </w:pPr>
                              <w:r>
                                <w:rPr>
                                  <w:rFonts w:ascii="TT Norms Pro Light"/>
                                  <w:b w:val="0"/>
                                  <w:spacing w:val="-10"/>
                                  <w:sz w:val="14"/>
                                </w:rPr>
                                <w:t>1</w:t>
                              </w:r>
                            </w:p>
                          </w:txbxContent>
                        </wps:txbx>
                        <wps:bodyPr wrap="square" lIns="0" tIns="0" rIns="0" bIns="0" rtlCol="0">
                          <a:noAutofit/>
                        </wps:bodyPr>
                      </wps:wsp>
                      <wps:wsp>
                        <wps:cNvPr id="691" name="Textbox 691"/>
                        <wps:cNvSpPr txBox="1"/>
                        <wps:spPr>
                          <a:xfrm>
                            <a:off x="2119158" y="35890"/>
                            <a:ext cx="61594" cy="114935"/>
                          </a:xfrm>
                          <a:prstGeom prst="rect">
                            <a:avLst/>
                          </a:prstGeom>
                        </wps:spPr>
                        <wps:txbx>
                          <w:txbxContent>
                            <w:p>
                              <w:pPr>
                                <w:spacing w:before="17"/>
                                <w:ind w:left="0" w:right="0" w:firstLine="0"/>
                                <w:jc w:val="left"/>
                                <w:rPr>
                                  <w:rFonts w:ascii="TT Norms Pro Light"/>
                                  <w:b w:val="0"/>
                                  <w:sz w:val="14"/>
                                </w:rPr>
                              </w:pPr>
                              <w:r>
                                <w:rPr>
                                  <w:rFonts w:ascii="TT Norms Pro Light"/>
                                  <w:b w:val="0"/>
                                  <w:spacing w:val="-10"/>
                                  <w:sz w:val="14"/>
                                </w:rPr>
                                <w:t>2</w:t>
                              </w:r>
                            </w:p>
                          </w:txbxContent>
                        </wps:txbx>
                        <wps:bodyPr wrap="square" lIns="0" tIns="0" rIns="0" bIns="0" rtlCol="0">
                          <a:noAutofit/>
                        </wps:bodyPr>
                      </wps:wsp>
                      <wps:wsp>
                        <wps:cNvPr id="692" name="Textbox 692"/>
                        <wps:cNvSpPr txBox="1"/>
                        <wps:spPr>
                          <a:xfrm>
                            <a:off x="2872941" y="35890"/>
                            <a:ext cx="42545" cy="114935"/>
                          </a:xfrm>
                          <a:prstGeom prst="rect">
                            <a:avLst/>
                          </a:prstGeom>
                        </wps:spPr>
                        <wps:txbx>
                          <w:txbxContent>
                            <w:p>
                              <w:pPr>
                                <w:spacing w:before="17"/>
                                <w:ind w:left="0" w:right="0" w:firstLine="0"/>
                                <w:jc w:val="left"/>
                                <w:rPr>
                                  <w:rFonts w:ascii="TT Norms Pro Light"/>
                                  <w:b w:val="0"/>
                                  <w:sz w:val="14"/>
                                </w:rPr>
                              </w:pPr>
                              <w:r>
                                <w:rPr>
                                  <w:rFonts w:ascii="TT Norms Pro Light"/>
                                  <w:b w:val="0"/>
                                  <w:spacing w:val="-10"/>
                                  <w:sz w:val="14"/>
                                </w:rPr>
                                <w:t>1</w:t>
                              </w:r>
                            </w:p>
                          </w:txbxContent>
                        </wps:txbx>
                        <wps:bodyPr wrap="square" lIns="0" tIns="0" rIns="0" bIns="0" rtlCol="0">
                          <a:noAutofit/>
                        </wps:bodyPr>
                      </wps:wsp>
                    </wpg:wgp>
                  </a:graphicData>
                </a:graphic>
              </wp:anchor>
            </w:drawing>
          </mc:Choice>
          <mc:Fallback>
            <w:pict>
              <v:group style="position:absolute;margin-left:307.55899pt;margin-top:49.587101pt;width:231.4pt;height:14.45pt;mso-position-horizontal-relative:page;mso-position-vertical-relative:paragraph;z-index:15846912" id="docshapegroup464" coordorigin="6151,992" coordsize="4628,289">
                <v:shape style="position:absolute;left:6151;top:996;width:4628;height:284" id="docshape465" coordorigin="6151,997" coordsize="4628,284" path="m7308,997l6151,997,6151,1280,7308,1280,7308,997xm10779,997l9622,997,8465,997,7308,997,7308,1280,8465,1280,9622,1280,10779,1280,10779,997xe" filled="true" fillcolor="#e6e7e8" stroked="false">
                  <v:path arrowok="t"/>
                  <v:fill type="solid"/>
                </v:shape>
                <v:line style="position:absolute" from="6151,997" to="7308,997" stroked="true" strokeweight=".5pt" strokecolor="#000000">
                  <v:stroke dashstyle="solid"/>
                </v:line>
                <v:line style="position:absolute" from="7308,997" to="8465,997" stroked="true" strokeweight=".5pt" strokecolor="#000000">
                  <v:stroke dashstyle="solid"/>
                </v:line>
                <v:line style="position:absolute" from="8465,997" to="9622,997" stroked="true" strokeweight=".5pt" strokecolor="#000000">
                  <v:stroke dashstyle="solid"/>
                </v:line>
                <v:line style="position:absolute" from="9622,997" to="10779,997" stroked="true" strokeweight=".5pt" strokecolor="#000000">
                  <v:stroke dashstyle="solid"/>
                </v:line>
                <v:shape style="position:absolute;left:6207;top:1048;width:484;height:181" type="#_x0000_t202" id="docshape466" filled="false" stroked="false">
                  <v:textbox inset="0,0,0,0">
                    <w:txbxContent>
                      <w:p>
                        <w:pPr>
                          <w:spacing w:before="17"/>
                          <w:ind w:left="0" w:right="0" w:firstLine="0"/>
                          <w:jc w:val="left"/>
                          <w:rPr>
                            <w:rFonts w:ascii="TT Norms Pro Light"/>
                            <w:b w:val="0"/>
                            <w:sz w:val="14"/>
                          </w:rPr>
                        </w:pPr>
                        <w:r>
                          <w:rPr>
                            <w:rFonts w:ascii="TT Norms Pro Light"/>
                            <w:b w:val="0"/>
                            <w:spacing w:val="-2"/>
                            <w:sz w:val="14"/>
                          </w:rPr>
                          <w:t>Awards</w:t>
                        </w:r>
                      </w:p>
                    </w:txbxContent>
                  </v:textbox>
                  <w10:wrap type="none"/>
                </v:shape>
                <v:shape style="position:absolute;left:8361;top:1048;width:67;height:181" type="#_x0000_t202" id="docshape467" filled="false" stroked="false">
                  <v:textbox inset="0,0,0,0">
                    <w:txbxContent>
                      <w:p>
                        <w:pPr>
                          <w:spacing w:before="17"/>
                          <w:ind w:left="0" w:right="0" w:firstLine="0"/>
                          <w:jc w:val="left"/>
                          <w:rPr>
                            <w:rFonts w:ascii="TT Norms Pro Light"/>
                            <w:b w:val="0"/>
                            <w:sz w:val="14"/>
                          </w:rPr>
                        </w:pPr>
                        <w:r>
                          <w:rPr>
                            <w:rFonts w:ascii="TT Norms Pro Light"/>
                            <w:b w:val="0"/>
                            <w:spacing w:val="-10"/>
                            <w:sz w:val="14"/>
                          </w:rPr>
                          <w:t>1</w:t>
                        </w:r>
                      </w:p>
                    </w:txbxContent>
                  </v:textbox>
                  <w10:wrap type="none"/>
                </v:shape>
                <v:shape style="position:absolute;left:9488;top:1048;width:97;height:181" type="#_x0000_t202" id="docshape468" filled="false" stroked="false">
                  <v:textbox inset="0,0,0,0">
                    <w:txbxContent>
                      <w:p>
                        <w:pPr>
                          <w:spacing w:before="17"/>
                          <w:ind w:left="0" w:right="0" w:firstLine="0"/>
                          <w:jc w:val="left"/>
                          <w:rPr>
                            <w:rFonts w:ascii="TT Norms Pro Light"/>
                            <w:b w:val="0"/>
                            <w:sz w:val="14"/>
                          </w:rPr>
                        </w:pPr>
                        <w:r>
                          <w:rPr>
                            <w:rFonts w:ascii="TT Norms Pro Light"/>
                            <w:b w:val="0"/>
                            <w:spacing w:val="-10"/>
                            <w:sz w:val="14"/>
                          </w:rPr>
                          <w:t>2</w:t>
                        </w:r>
                      </w:p>
                    </w:txbxContent>
                  </v:textbox>
                  <w10:wrap type="none"/>
                </v:shape>
                <v:shape style="position:absolute;left:10675;top:1048;width:67;height:181" type="#_x0000_t202" id="docshape469" filled="false" stroked="false">
                  <v:textbox inset="0,0,0,0">
                    <w:txbxContent>
                      <w:p>
                        <w:pPr>
                          <w:spacing w:before="17"/>
                          <w:ind w:left="0" w:right="0" w:firstLine="0"/>
                          <w:jc w:val="left"/>
                          <w:rPr>
                            <w:rFonts w:ascii="TT Norms Pro Light"/>
                            <w:b w:val="0"/>
                            <w:sz w:val="14"/>
                          </w:rPr>
                        </w:pPr>
                        <w:r>
                          <w:rPr>
                            <w:rFonts w:ascii="TT Norms Pro Light"/>
                            <w:b w:val="0"/>
                            <w:spacing w:val="-10"/>
                            <w:sz w:val="14"/>
                          </w:rPr>
                          <w:t>1</w:t>
                        </w:r>
                      </w:p>
                    </w:txbxContent>
                  </v:textbox>
                  <w10:wrap type="none"/>
                </v:shape>
                <w10:wrap type="none"/>
              </v:group>
            </w:pict>
          </mc:Fallback>
        </mc:AlternateContent>
      </w:r>
      <w:r>
        <w:rPr>
          <w:rFonts w:ascii="TT Norms Pro"/>
          <w:b/>
          <w:sz w:val="18"/>
        </w:rPr>
        <w:t>Graduate</w:t>
      </w:r>
      <w:r>
        <w:rPr>
          <w:rFonts w:ascii="TT Norms Pro"/>
          <w:b/>
          <w:spacing w:val="5"/>
          <w:sz w:val="18"/>
        </w:rPr>
        <w:t> </w:t>
      </w:r>
      <w:r>
        <w:rPr>
          <w:rFonts w:ascii="TT Norms Pro"/>
          <w:b/>
          <w:sz w:val="18"/>
        </w:rPr>
        <w:t>outcomes</w:t>
      </w:r>
      <w:r>
        <w:rPr>
          <w:rFonts w:ascii="TT Norms Pro"/>
          <w:b/>
          <w:spacing w:val="6"/>
          <w:sz w:val="18"/>
        </w:rPr>
        <w:t> </w:t>
      </w:r>
      <w:r>
        <w:rPr>
          <w:rFonts w:ascii="TT Norms Pro"/>
          <w:b/>
          <w:sz w:val="18"/>
        </w:rPr>
        <w:t>for</w:t>
      </w:r>
      <w:r>
        <w:rPr>
          <w:rFonts w:ascii="TT Norms Pro"/>
          <w:b/>
          <w:spacing w:val="8"/>
          <w:sz w:val="18"/>
        </w:rPr>
        <w:t> </w:t>
      </w:r>
      <w:r>
        <w:rPr>
          <w:rFonts w:ascii="TT Norms Pro"/>
          <w:b/>
          <w:sz w:val="18"/>
        </w:rPr>
        <w:t>undergraduates</w:t>
      </w:r>
      <w:r>
        <w:rPr>
          <w:rFonts w:ascii="TT Norms Pro"/>
          <w:b/>
          <w:spacing w:val="8"/>
          <w:sz w:val="18"/>
        </w:rPr>
        <w:t> </w:t>
      </w:r>
      <w:r>
        <w:rPr>
          <w:rFonts w:ascii="TT Norms Pro"/>
          <w:b/>
          <w:spacing w:val="-5"/>
          <w:sz w:val="18"/>
        </w:rPr>
        <w:t>(%)</w:t>
      </w:r>
    </w:p>
    <w:p>
      <w:pPr>
        <w:pStyle w:val="Heading9"/>
        <w:numPr>
          <w:ilvl w:val="1"/>
          <w:numId w:val="9"/>
        </w:numPr>
        <w:tabs>
          <w:tab w:pos="561" w:val="left" w:leader="none"/>
        </w:tabs>
        <w:spacing w:line="240" w:lineRule="auto" w:before="129" w:after="0"/>
        <w:ind w:left="561" w:right="0" w:hanging="348"/>
        <w:jc w:val="left"/>
      </w:pPr>
      <w:r>
        <w:rPr>
          <w:b w:val="0"/>
        </w:rPr>
        <w:br w:type="column"/>
      </w:r>
      <w:r>
        <w:rPr/>
        <w:t>STAFF </w:t>
      </w:r>
      <w:r>
        <w:rPr>
          <w:spacing w:val="-2"/>
        </w:rPr>
        <w:t>EXCELLENCE</w:t>
      </w:r>
    </w:p>
    <w:p>
      <w:pPr>
        <w:pStyle w:val="BodyText"/>
        <w:spacing w:line="295" w:lineRule="auto" w:before="154"/>
        <w:ind w:left="213" w:right="1336"/>
        <w:rPr>
          <w:b w:val="0"/>
        </w:rPr>
      </w:pPr>
      <w:r>
        <w:rPr>
          <w:b w:val="0"/>
        </w:rPr>
        <w:t>UWA has a core value of excellence and seeks to have</w:t>
      </w:r>
      <w:r>
        <w:rPr>
          <w:b w:val="0"/>
          <w:spacing w:val="40"/>
        </w:rPr>
        <w:t> </w:t>
      </w:r>
      <w:r>
        <w:rPr>
          <w:b w:val="0"/>
        </w:rPr>
        <w:t>areas and individuals recognised by esteemed peer</w:t>
      </w:r>
      <w:r>
        <w:rPr>
          <w:b w:val="0"/>
          <w:spacing w:val="40"/>
        </w:rPr>
        <w:t> </w:t>
      </w:r>
      <w:r>
        <w:rPr>
          <w:b w:val="0"/>
        </w:rPr>
        <w:t>groups, academies and otherwise for excellence in their</w:t>
      </w:r>
      <w:r>
        <w:rPr>
          <w:b w:val="0"/>
          <w:spacing w:val="40"/>
        </w:rPr>
        <w:t> </w:t>
      </w:r>
      <w:r>
        <w:rPr>
          <w:b w:val="0"/>
        </w:rPr>
        <w:t>respective</w:t>
      </w:r>
      <w:r>
        <w:rPr>
          <w:b w:val="0"/>
          <w:spacing w:val="-5"/>
        </w:rPr>
        <w:t> </w:t>
      </w:r>
      <w:r>
        <w:rPr>
          <w:b w:val="0"/>
        </w:rPr>
        <w:t>fields.</w:t>
      </w:r>
    </w:p>
    <w:p>
      <w:pPr>
        <w:pStyle w:val="BodyText"/>
        <w:spacing w:before="48"/>
        <w:rPr>
          <w:b w:val="0"/>
        </w:rPr>
      </w:pPr>
    </w:p>
    <w:p>
      <w:pPr>
        <w:pStyle w:val="BodyText"/>
        <w:spacing w:line="295" w:lineRule="auto"/>
        <w:ind w:left="213" w:right="1182"/>
        <w:rPr>
          <w:b w:val="0"/>
        </w:rPr>
      </w:pPr>
      <w:r>
        <w:rPr>
          <w:b w:val="0"/>
        </w:rPr>
        <w:t>Excellent education cannot be delivered without high-</w:t>
      </w:r>
      <w:r>
        <w:rPr>
          <w:b w:val="0"/>
          <w:spacing w:val="40"/>
        </w:rPr>
        <w:t> </w:t>
      </w:r>
      <w:r>
        <w:rPr>
          <w:b w:val="0"/>
        </w:rPr>
        <w:t>quality teaching staff. UWA ensures that excellent</w:t>
      </w:r>
      <w:r>
        <w:rPr>
          <w:b w:val="0"/>
          <w:spacing w:val="40"/>
        </w:rPr>
        <w:t> </w:t>
      </w:r>
      <w:r>
        <w:rPr>
          <w:b w:val="0"/>
        </w:rPr>
        <w:t>teaching performance is recognised and celebrated,</w:t>
      </w:r>
      <w:r>
        <w:rPr>
          <w:b w:val="0"/>
          <w:spacing w:val="40"/>
        </w:rPr>
        <w:t> </w:t>
      </w:r>
      <w:r>
        <w:rPr>
          <w:b w:val="0"/>
        </w:rPr>
        <w:t>especially when such recognition comes from</w:t>
      </w:r>
      <w:r>
        <w:rPr>
          <w:b w:val="0"/>
          <w:spacing w:val="40"/>
        </w:rPr>
        <w:t> </w:t>
      </w:r>
      <w:r>
        <w:rPr>
          <w:b w:val="0"/>
        </w:rPr>
        <w:t>independent and external organisations. This indicator</w:t>
      </w:r>
      <w:r>
        <w:rPr>
          <w:b w:val="0"/>
          <w:spacing w:val="40"/>
        </w:rPr>
        <w:t> </w:t>
      </w:r>
      <w:r>
        <w:rPr>
          <w:b w:val="0"/>
        </w:rPr>
        <w:t>reports the number of Australian Awards for University</w:t>
      </w:r>
      <w:r>
        <w:rPr>
          <w:b w:val="0"/>
          <w:spacing w:val="40"/>
        </w:rPr>
        <w:t> </w:t>
      </w:r>
      <w:r>
        <w:rPr>
          <w:b w:val="0"/>
        </w:rPr>
        <w:t>Teaching (AAUT) program awards and citations received</w:t>
      </w:r>
      <w:r>
        <w:rPr>
          <w:b w:val="0"/>
          <w:spacing w:val="40"/>
        </w:rPr>
        <w:t> </w:t>
      </w:r>
      <w:r>
        <w:rPr>
          <w:b w:val="0"/>
        </w:rPr>
        <w:t>by staff, and the number of Advance Higher Education</w:t>
      </w:r>
      <w:r>
        <w:rPr>
          <w:b w:val="0"/>
          <w:spacing w:val="40"/>
        </w:rPr>
        <w:t> </w:t>
      </w:r>
      <w:r>
        <w:rPr>
          <w:b w:val="0"/>
        </w:rPr>
        <w:t>Fellowships</w:t>
      </w:r>
      <w:r>
        <w:rPr>
          <w:b w:val="0"/>
          <w:spacing w:val="-2"/>
        </w:rPr>
        <w:t> </w:t>
      </w:r>
      <w:r>
        <w:rPr>
          <w:b w:val="0"/>
        </w:rPr>
        <w:t>(Principal</w:t>
      </w:r>
      <w:r>
        <w:rPr>
          <w:b w:val="0"/>
          <w:spacing w:val="-2"/>
        </w:rPr>
        <w:t> </w:t>
      </w:r>
      <w:r>
        <w:rPr>
          <w:b w:val="0"/>
        </w:rPr>
        <w:t>and</w:t>
      </w:r>
      <w:r>
        <w:rPr>
          <w:b w:val="0"/>
          <w:spacing w:val="-2"/>
        </w:rPr>
        <w:t> </w:t>
      </w:r>
      <w:r>
        <w:rPr>
          <w:b w:val="0"/>
        </w:rPr>
        <w:t>Senior)</w:t>
      </w:r>
      <w:r>
        <w:rPr>
          <w:b w:val="0"/>
          <w:spacing w:val="-2"/>
        </w:rPr>
        <w:t> </w:t>
      </w:r>
      <w:r>
        <w:rPr>
          <w:b w:val="0"/>
        </w:rPr>
        <w:t>awarded</w:t>
      </w:r>
      <w:r>
        <w:rPr>
          <w:b w:val="0"/>
          <w:spacing w:val="-2"/>
        </w:rPr>
        <w:t> </w:t>
      </w:r>
      <w:r>
        <w:rPr>
          <w:b w:val="0"/>
        </w:rPr>
        <w:t>to</w:t>
      </w:r>
      <w:r>
        <w:rPr>
          <w:b w:val="0"/>
          <w:spacing w:val="-2"/>
        </w:rPr>
        <w:t> </w:t>
      </w:r>
      <w:r>
        <w:rPr>
          <w:b w:val="0"/>
        </w:rPr>
        <w:t>UWA</w:t>
      </w:r>
      <w:r>
        <w:rPr>
          <w:b w:val="0"/>
          <w:spacing w:val="-2"/>
        </w:rPr>
        <w:t> </w:t>
      </w:r>
      <w:r>
        <w:rPr>
          <w:b w:val="0"/>
        </w:rPr>
        <w:t>staff.</w:t>
      </w:r>
    </w:p>
    <w:p>
      <w:pPr>
        <w:pStyle w:val="BodyText"/>
        <w:spacing w:before="53"/>
        <w:rPr>
          <w:b w:val="0"/>
        </w:rPr>
      </w:pPr>
    </w:p>
    <w:p>
      <w:pPr>
        <w:pStyle w:val="BodyText"/>
        <w:spacing w:line="295" w:lineRule="auto"/>
        <w:ind w:left="213" w:right="1168"/>
        <w:rPr>
          <w:b w:val="0"/>
        </w:rPr>
      </w:pPr>
      <w:r>
        <w:rPr>
          <w:b w:val="0"/>
        </w:rPr>
        <w:t>The University has continued to build on its increased</w:t>
      </w:r>
      <w:r>
        <w:rPr>
          <w:b w:val="0"/>
          <w:spacing w:val="40"/>
        </w:rPr>
        <w:t> </w:t>
      </w:r>
      <w:r>
        <w:rPr>
          <w:b w:val="0"/>
        </w:rPr>
        <w:t>focus on teaching excellence and engagement with</w:t>
      </w:r>
      <w:r>
        <w:rPr>
          <w:b w:val="0"/>
          <w:spacing w:val="40"/>
        </w:rPr>
        <w:t> </w:t>
      </w:r>
      <w:r>
        <w:rPr>
          <w:b w:val="0"/>
        </w:rPr>
        <w:t>independent programs that assess our performance in</w:t>
      </w:r>
      <w:r>
        <w:rPr>
          <w:b w:val="0"/>
          <w:spacing w:val="80"/>
        </w:rPr>
        <w:t> </w:t>
      </w:r>
      <w:r>
        <w:rPr>
          <w:b w:val="0"/>
        </w:rPr>
        <w:t>this space. Following implementation of Advance Higher</w:t>
      </w:r>
      <w:r>
        <w:rPr>
          <w:b w:val="0"/>
          <w:spacing w:val="40"/>
        </w:rPr>
        <w:t> </w:t>
      </w:r>
      <w:r>
        <w:rPr>
          <w:b w:val="0"/>
        </w:rPr>
        <w:t>Education Fellowships in 2019, there has been significant</w:t>
      </w:r>
      <w:r>
        <w:rPr>
          <w:b w:val="0"/>
          <w:spacing w:val="40"/>
        </w:rPr>
        <w:t> </w:t>
      </w:r>
      <w:r>
        <w:rPr>
          <w:b w:val="0"/>
        </w:rPr>
        <w:t>and active participation among academics at all levels,</w:t>
      </w:r>
      <w:r>
        <w:rPr>
          <w:b w:val="0"/>
          <w:spacing w:val="40"/>
        </w:rPr>
        <w:t> </w:t>
      </w:r>
      <w:r>
        <w:rPr>
          <w:b w:val="0"/>
        </w:rPr>
        <w:t>which has led to the large number of high level fellowships</w:t>
      </w:r>
      <w:r>
        <w:rPr>
          <w:b w:val="0"/>
          <w:spacing w:val="40"/>
        </w:rPr>
        <w:t> </w:t>
      </w:r>
      <w:r>
        <w:rPr>
          <w:b w:val="0"/>
        </w:rPr>
        <w:t>being awarded within the University.</w:t>
      </w:r>
    </w:p>
    <w:p>
      <w:pPr>
        <w:spacing w:after="0" w:line="295" w:lineRule="auto"/>
        <w:sectPr>
          <w:type w:val="continuous"/>
          <w:pgSz w:w="11910" w:h="16840"/>
          <w:pgMar w:header="468" w:footer="0" w:top="980" w:bottom="280" w:left="920" w:right="0"/>
          <w:cols w:num="2" w:equalWidth="0">
            <w:col w:w="4869" w:space="148"/>
            <w:col w:w="5973"/>
          </w:cols>
        </w:sectPr>
      </w:pPr>
    </w:p>
    <w:p>
      <w:pPr>
        <w:pStyle w:val="BodyText"/>
        <w:spacing w:before="5"/>
        <w:rPr>
          <w:b w:val="0"/>
          <w:sz w:val="4"/>
        </w:rPr>
      </w:pPr>
    </w:p>
    <w:tbl>
      <w:tblPr>
        <w:tblW w:w="0" w:type="auto"/>
        <w:jc w:val="left"/>
        <w:tblInd w:w="2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55"/>
        <w:gridCol w:w="673"/>
        <w:gridCol w:w="594"/>
        <w:gridCol w:w="601"/>
        <w:gridCol w:w="584"/>
        <w:gridCol w:w="751"/>
        <w:gridCol w:w="669"/>
        <w:gridCol w:w="2635"/>
        <w:gridCol w:w="1458"/>
        <w:gridCol w:w="935"/>
      </w:tblGrid>
      <w:tr>
        <w:trPr>
          <w:trHeight w:val="235" w:hRule="atLeast"/>
        </w:trPr>
        <w:tc>
          <w:tcPr>
            <w:tcW w:w="755" w:type="dxa"/>
            <w:tcBorders>
              <w:top w:val="single" w:sz="8" w:space="0" w:color="000000"/>
            </w:tcBorders>
          </w:tcPr>
          <w:p>
            <w:pPr>
              <w:pStyle w:val="TableParagraph"/>
              <w:rPr>
                <w:rFonts w:ascii="Times New Roman"/>
                <w:sz w:val="16"/>
              </w:rPr>
            </w:pPr>
          </w:p>
        </w:tc>
        <w:tc>
          <w:tcPr>
            <w:tcW w:w="673" w:type="dxa"/>
            <w:tcBorders>
              <w:top w:val="single" w:sz="8" w:space="0" w:color="000000"/>
            </w:tcBorders>
          </w:tcPr>
          <w:p>
            <w:pPr>
              <w:pStyle w:val="TableParagraph"/>
              <w:spacing w:line="159" w:lineRule="exact" w:before="56"/>
              <w:ind w:left="142" w:right="104"/>
              <w:jc w:val="center"/>
              <w:rPr>
                <w:rFonts w:ascii="TT Norms Pro"/>
                <w:b/>
                <w:sz w:val="14"/>
              </w:rPr>
            </w:pPr>
            <w:r>
              <w:rPr>
                <w:rFonts w:ascii="TT Norms Pro"/>
                <w:b/>
                <w:spacing w:val="-4"/>
                <w:sz w:val="14"/>
              </w:rPr>
              <w:t>2016</w:t>
            </w:r>
          </w:p>
        </w:tc>
        <w:tc>
          <w:tcPr>
            <w:tcW w:w="594" w:type="dxa"/>
            <w:tcBorders>
              <w:top w:val="single" w:sz="8" w:space="0" w:color="000000"/>
            </w:tcBorders>
          </w:tcPr>
          <w:p>
            <w:pPr>
              <w:pStyle w:val="TableParagraph"/>
              <w:spacing w:line="159" w:lineRule="exact" w:before="56"/>
              <w:ind w:left="60" w:right="78"/>
              <w:jc w:val="center"/>
              <w:rPr>
                <w:rFonts w:ascii="TT Norms Pro"/>
                <w:b/>
                <w:sz w:val="14"/>
              </w:rPr>
            </w:pPr>
            <w:r>
              <w:rPr>
                <w:rFonts w:ascii="TT Norms Pro"/>
                <w:b/>
                <w:spacing w:val="-4"/>
                <w:sz w:val="14"/>
              </w:rPr>
              <w:t>2017</w:t>
            </w:r>
          </w:p>
        </w:tc>
        <w:tc>
          <w:tcPr>
            <w:tcW w:w="601" w:type="dxa"/>
            <w:tcBorders>
              <w:top w:val="single" w:sz="8" w:space="0" w:color="000000"/>
            </w:tcBorders>
          </w:tcPr>
          <w:p>
            <w:pPr>
              <w:pStyle w:val="TableParagraph"/>
              <w:spacing w:line="159" w:lineRule="exact" w:before="56"/>
              <w:ind w:left="62" w:right="86"/>
              <w:jc w:val="center"/>
              <w:rPr>
                <w:rFonts w:ascii="TT Norms Pro"/>
                <w:b/>
                <w:sz w:val="14"/>
              </w:rPr>
            </w:pPr>
            <w:r>
              <w:rPr>
                <w:rFonts w:ascii="TT Norms Pro"/>
                <w:b/>
                <w:spacing w:val="-4"/>
                <w:sz w:val="14"/>
              </w:rPr>
              <w:t>2018</w:t>
            </w:r>
          </w:p>
        </w:tc>
        <w:tc>
          <w:tcPr>
            <w:tcW w:w="584" w:type="dxa"/>
            <w:tcBorders>
              <w:top w:val="single" w:sz="8" w:space="0" w:color="000000"/>
            </w:tcBorders>
          </w:tcPr>
          <w:p>
            <w:pPr>
              <w:pStyle w:val="TableParagraph"/>
              <w:spacing w:line="159" w:lineRule="exact" w:before="56"/>
              <w:ind w:right="10"/>
              <w:jc w:val="center"/>
              <w:rPr>
                <w:rFonts w:ascii="TT Norms Pro"/>
                <w:b/>
                <w:sz w:val="14"/>
              </w:rPr>
            </w:pPr>
            <w:r>
              <w:rPr>
                <w:rFonts w:ascii="TT Norms Pro"/>
                <w:b/>
                <w:spacing w:val="-4"/>
                <w:sz w:val="14"/>
              </w:rPr>
              <w:t>2019</w:t>
            </w:r>
          </w:p>
        </w:tc>
        <w:tc>
          <w:tcPr>
            <w:tcW w:w="751" w:type="dxa"/>
            <w:tcBorders>
              <w:top w:val="single" w:sz="8" w:space="0" w:color="000000"/>
            </w:tcBorders>
          </w:tcPr>
          <w:p>
            <w:pPr>
              <w:pStyle w:val="TableParagraph"/>
              <w:spacing w:line="159" w:lineRule="exact" w:before="56"/>
              <w:ind w:right="288"/>
              <w:jc w:val="right"/>
              <w:rPr>
                <w:rFonts w:ascii="TT Norms Pro"/>
                <w:b/>
                <w:sz w:val="14"/>
              </w:rPr>
            </w:pPr>
            <w:r>
              <w:rPr>
                <w:rFonts w:ascii="TT Norms Pro"/>
                <w:b/>
                <w:spacing w:val="-4"/>
                <w:sz w:val="14"/>
              </w:rPr>
              <w:t>2020</w:t>
            </w:r>
          </w:p>
        </w:tc>
        <w:tc>
          <w:tcPr>
            <w:tcW w:w="669" w:type="dxa"/>
            <w:tcBorders>
              <w:top w:val="single" w:sz="8" w:space="0" w:color="000000"/>
            </w:tcBorders>
          </w:tcPr>
          <w:p>
            <w:pPr>
              <w:pStyle w:val="TableParagraph"/>
              <w:spacing w:line="159" w:lineRule="exact" w:before="56"/>
              <w:ind w:right="61"/>
              <w:jc w:val="right"/>
              <w:rPr>
                <w:rFonts w:ascii="TT Norms Pro"/>
                <w:b/>
                <w:sz w:val="14"/>
              </w:rPr>
            </w:pPr>
            <w:r>
              <w:rPr>
                <w:rFonts w:ascii="TT Norms Pro"/>
                <w:b/>
                <w:spacing w:val="-4"/>
                <w:sz w:val="14"/>
              </w:rPr>
              <w:t>2020</w:t>
            </w:r>
          </w:p>
        </w:tc>
        <w:tc>
          <w:tcPr>
            <w:tcW w:w="2635" w:type="dxa"/>
          </w:tcPr>
          <w:p>
            <w:pPr>
              <w:pStyle w:val="TableParagraph"/>
              <w:spacing w:line="193" w:lineRule="exact"/>
              <w:ind w:left="390" w:right="-29"/>
              <w:rPr>
                <w:rFonts w:ascii="TT Norms Pro" w:hAnsi="TT Norms Pro"/>
                <w:b/>
                <w:sz w:val="18"/>
              </w:rPr>
            </w:pPr>
            <w:r>
              <w:rPr>
                <w:rFonts w:ascii="TT Norms Pro" w:hAnsi="TT Norms Pro"/>
                <w:b/>
                <w:sz w:val="18"/>
              </w:rPr>
              <w:t>Staff</w:t>
            </w:r>
            <w:r>
              <w:rPr>
                <w:rFonts w:ascii="TT Norms Pro" w:hAnsi="TT Norms Pro"/>
                <w:b/>
                <w:spacing w:val="-1"/>
                <w:sz w:val="18"/>
              </w:rPr>
              <w:t> </w:t>
            </w:r>
            <w:r>
              <w:rPr>
                <w:rFonts w:ascii="TT Norms Pro" w:hAnsi="TT Norms Pro"/>
                <w:b/>
                <w:sz w:val="18"/>
              </w:rPr>
              <w:t>excellence</w:t>
            </w:r>
            <w:r>
              <w:rPr>
                <w:rFonts w:ascii="TT Norms Pro" w:hAnsi="TT Norms Pro"/>
                <w:b/>
                <w:spacing w:val="-1"/>
                <w:sz w:val="18"/>
              </w:rPr>
              <w:t> </w:t>
            </w:r>
            <w:r>
              <w:rPr>
                <w:rFonts w:ascii="TT Norms Pro" w:hAnsi="TT Norms Pro"/>
                <w:b/>
                <w:sz w:val="18"/>
              </w:rPr>
              <w:t>– </w:t>
            </w:r>
            <w:r>
              <w:rPr>
                <w:rFonts w:ascii="TT Norms Pro" w:hAnsi="TT Norms Pro"/>
                <w:b/>
                <w:spacing w:val="-2"/>
                <w:sz w:val="18"/>
              </w:rPr>
              <w:t>teaching</w:t>
            </w:r>
          </w:p>
        </w:tc>
        <w:tc>
          <w:tcPr>
            <w:tcW w:w="2393" w:type="dxa"/>
            <w:gridSpan w:val="2"/>
            <w:tcBorders>
              <w:bottom w:val="single" w:sz="8" w:space="0" w:color="000000"/>
            </w:tcBorders>
          </w:tcPr>
          <w:p>
            <w:pPr>
              <w:pStyle w:val="TableParagraph"/>
              <w:rPr>
                <w:rFonts w:ascii="Times New Roman"/>
                <w:sz w:val="16"/>
              </w:rPr>
            </w:pPr>
          </w:p>
        </w:tc>
      </w:tr>
      <w:tr>
        <w:trPr>
          <w:trHeight w:val="220" w:hRule="atLeast"/>
        </w:trPr>
        <w:tc>
          <w:tcPr>
            <w:tcW w:w="755" w:type="dxa"/>
            <w:tcBorders>
              <w:bottom w:val="single" w:sz="2" w:space="0" w:color="000000"/>
            </w:tcBorders>
          </w:tcPr>
          <w:p>
            <w:pPr>
              <w:pStyle w:val="TableParagraph"/>
              <w:rPr>
                <w:rFonts w:ascii="Times New Roman"/>
                <w:sz w:val="14"/>
              </w:rPr>
            </w:pPr>
          </w:p>
        </w:tc>
        <w:tc>
          <w:tcPr>
            <w:tcW w:w="673" w:type="dxa"/>
            <w:tcBorders>
              <w:bottom w:val="single" w:sz="2" w:space="0" w:color="000000"/>
            </w:tcBorders>
          </w:tcPr>
          <w:p>
            <w:pPr>
              <w:pStyle w:val="TableParagraph"/>
              <w:rPr>
                <w:rFonts w:ascii="Times New Roman"/>
                <w:sz w:val="14"/>
              </w:rPr>
            </w:pPr>
          </w:p>
        </w:tc>
        <w:tc>
          <w:tcPr>
            <w:tcW w:w="594" w:type="dxa"/>
            <w:tcBorders>
              <w:bottom w:val="single" w:sz="2" w:space="0" w:color="000000"/>
            </w:tcBorders>
          </w:tcPr>
          <w:p>
            <w:pPr>
              <w:pStyle w:val="TableParagraph"/>
              <w:rPr>
                <w:rFonts w:ascii="Times New Roman"/>
                <w:sz w:val="14"/>
              </w:rPr>
            </w:pPr>
          </w:p>
        </w:tc>
        <w:tc>
          <w:tcPr>
            <w:tcW w:w="601" w:type="dxa"/>
            <w:tcBorders>
              <w:bottom w:val="single" w:sz="2" w:space="0" w:color="000000"/>
            </w:tcBorders>
          </w:tcPr>
          <w:p>
            <w:pPr>
              <w:pStyle w:val="TableParagraph"/>
              <w:rPr>
                <w:rFonts w:ascii="Times New Roman"/>
                <w:sz w:val="14"/>
              </w:rPr>
            </w:pPr>
          </w:p>
        </w:tc>
        <w:tc>
          <w:tcPr>
            <w:tcW w:w="584" w:type="dxa"/>
            <w:tcBorders>
              <w:bottom w:val="single" w:sz="2" w:space="0" w:color="000000"/>
            </w:tcBorders>
          </w:tcPr>
          <w:p>
            <w:pPr>
              <w:pStyle w:val="TableParagraph"/>
              <w:rPr>
                <w:rFonts w:ascii="Times New Roman"/>
                <w:sz w:val="14"/>
              </w:rPr>
            </w:pPr>
          </w:p>
        </w:tc>
        <w:tc>
          <w:tcPr>
            <w:tcW w:w="751" w:type="dxa"/>
            <w:tcBorders>
              <w:bottom w:val="single" w:sz="2" w:space="0" w:color="000000"/>
            </w:tcBorders>
          </w:tcPr>
          <w:p>
            <w:pPr>
              <w:pStyle w:val="TableParagraph"/>
              <w:rPr>
                <w:rFonts w:ascii="Times New Roman"/>
                <w:sz w:val="14"/>
              </w:rPr>
            </w:pPr>
          </w:p>
        </w:tc>
        <w:tc>
          <w:tcPr>
            <w:tcW w:w="669" w:type="dxa"/>
            <w:tcBorders>
              <w:bottom w:val="single" w:sz="2" w:space="0" w:color="000000"/>
            </w:tcBorders>
          </w:tcPr>
          <w:p>
            <w:pPr>
              <w:pStyle w:val="TableParagraph"/>
              <w:spacing w:before="1"/>
              <w:ind w:right="61"/>
              <w:jc w:val="right"/>
              <w:rPr>
                <w:rFonts w:ascii="TT Norms Pro"/>
                <w:b/>
                <w:sz w:val="14"/>
              </w:rPr>
            </w:pPr>
            <w:r>
              <w:rPr>
                <w:rFonts w:ascii="TT Norms Pro"/>
                <w:b/>
                <w:spacing w:val="-2"/>
                <w:sz w:val="14"/>
              </w:rPr>
              <w:t>TARGET</w:t>
            </w:r>
          </w:p>
        </w:tc>
        <w:tc>
          <w:tcPr>
            <w:tcW w:w="2635" w:type="dxa"/>
            <w:tcBorders>
              <w:top w:val="single" w:sz="8" w:space="0" w:color="000000"/>
            </w:tcBorders>
          </w:tcPr>
          <w:p>
            <w:pPr>
              <w:pStyle w:val="TableParagraph"/>
              <w:spacing w:line="144" w:lineRule="exact" w:before="56"/>
              <w:ind w:right="6"/>
              <w:jc w:val="right"/>
              <w:rPr>
                <w:rFonts w:ascii="TT Norms Pro"/>
                <w:b/>
                <w:sz w:val="14"/>
              </w:rPr>
            </w:pPr>
            <w:r>
              <w:rPr>
                <w:rFonts w:ascii="TT Norms Pro"/>
                <w:b/>
                <w:spacing w:val="-4"/>
                <w:sz w:val="14"/>
              </w:rPr>
              <w:t>2019</w:t>
            </w:r>
          </w:p>
        </w:tc>
        <w:tc>
          <w:tcPr>
            <w:tcW w:w="1458" w:type="dxa"/>
            <w:tcBorders>
              <w:top w:val="single" w:sz="8" w:space="0" w:color="000000"/>
            </w:tcBorders>
          </w:tcPr>
          <w:p>
            <w:pPr>
              <w:pStyle w:val="TableParagraph"/>
              <w:spacing w:line="144" w:lineRule="exact" w:before="56"/>
              <w:ind w:left="792"/>
              <w:rPr>
                <w:rFonts w:ascii="TT Norms Pro"/>
                <w:b/>
                <w:sz w:val="14"/>
              </w:rPr>
            </w:pPr>
            <w:r>
              <w:rPr>
                <w:rFonts w:ascii="TT Norms Pro"/>
                <w:b/>
                <w:spacing w:val="-4"/>
                <w:sz w:val="14"/>
              </w:rPr>
              <w:t>2020</w:t>
            </w:r>
          </w:p>
        </w:tc>
        <w:tc>
          <w:tcPr>
            <w:tcW w:w="935" w:type="dxa"/>
            <w:tcBorders>
              <w:top w:val="single" w:sz="8" w:space="0" w:color="000000"/>
            </w:tcBorders>
          </w:tcPr>
          <w:p>
            <w:pPr>
              <w:pStyle w:val="TableParagraph"/>
              <w:spacing w:line="144" w:lineRule="exact" w:before="56"/>
              <w:ind w:right="87"/>
              <w:jc w:val="right"/>
              <w:rPr>
                <w:rFonts w:ascii="TT Norms Pro"/>
                <w:b/>
                <w:sz w:val="14"/>
              </w:rPr>
            </w:pPr>
            <w:r>
              <w:rPr>
                <w:rFonts w:ascii="TT Norms Pro"/>
                <w:b/>
                <w:spacing w:val="-4"/>
                <w:sz w:val="14"/>
              </w:rPr>
              <w:t>2020</w:t>
            </w:r>
          </w:p>
        </w:tc>
      </w:tr>
      <w:tr>
        <w:trPr>
          <w:trHeight w:val="272" w:hRule="atLeast"/>
        </w:trPr>
        <w:tc>
          <w:tcPr>
            <w:tcW w:w="755" w:type="dxa"/>
            <w:tcBorders>
              <w:top w:val="single" w:sz="2" w:space="0" w:color="000000"/>
            </w:tcBorders>
            <w:shd w:val="clear" w:color="auto" w:fill="E6E7E8"/>
          </w:tcPr>
          <w:p>
            <w:pPr>
              <w:pStyle w:val="TableParagraph"/>
              <w:spacing w:before="66"/>
              <w:ind w:left="56"/>
              <w:rPr>
                <w:rFonts w:ascii="TT Norms Pro Light"/>
                <w:b w:val="0"/>
                <w:sz w:val="14"/>
              </w:rPr>
            </w:pPr>
            <w:r>
              <w:rPr>
                <w:rFonts w:ascii="TT Norms Pro Light"/>
                <w:b w:val="0"/>
                <w:spacing w:val="-5"/>
                <w:sz w:val="14"/>
              </w:rPr>
              <w:t>UWA</w:t>
            </w:r>
          </w:p>
        </w:tc>
        <w:tc>
          <w:tcPr>
            <w:tcW w:w="673" w:type="dxa"/>
            <w:tcBorders>
              <w:top w:val="single" w:sz="2" w:space="0" w:color="000000"/>
            </w:tcBorders>
            <w:shd w:val="clear" w:color="auto" w:fill="E6E7E8"/>
          </w:tcPr>
          <w:p>
            <w:pPr>
              <w:pStyle w:val="TableParagraph"/>
              <w:spacing w:before="66"/>
              <w:ind w:left="142"/>
              <w:jc w:val="center"/>
              <w:rPr>
                <w:rFonts w:ascii="TT Norms Pro Light"/>
                <w:b w:val="0"/>
                <w:sz w:val="14"/>
              </w:rPr>
            </w:pPr>
            <w:r>
              <w:rPr>
                <w:rFonts w:ascii="TT Norms Pro Light"/>
                <w:b w:val="0"/>
                <w:spacing w:val="-4"/>
                <w:sz w:val="14"/>
              </w:rPr>
              <w:t>63.7</w:t>
            </w:r>
          </w:p>
        </w:tc>
        <w:tc>
          <w:tcPr>
            <w:tcW w:w="594" w:type="dxa"/>
            <w:tcBorders>
              <w:top w:val="single" w:sz="2" w:space="0" w:color="000000"/>
            </w:tcBorders>
            <w:shd w:val="clear" w:color="auto" w:fill="E6E7E8"/>
          </w:tcPr>
          <w:p>
            <w:pPr>
              <w:pStyle w:val="TableParagraph"/>
              <w:spacing w:before="66"/>
              <w:ind w:left="73" w:right="18"/>
              <w:jc w:val="center"/>
              <w:rPr>
                <w:rFonts w:ascii="TT Norms Pro Light"/>
                <w:b w:val="0"/>
                <w:sz w:val="14"/>
              </w:rPr>
            </w:pPr>
            <w:r>
              <w:rPr>
                <w:rFonts w:ascii="TT Norms Pro Light"/>
                <w:b w:val="0"/>
                <w:spacing w:val="-4"/>
                <w:sz w:val="14"/>
              </w:rPr>
              <w:t>58.5</w:t>
            </w:r>
          </w:p>
        </w:tc>
        <w:tc>
          <w:tcPr>
            <w:tcW w:w="601" w:type="dxa"/>
            <w:tcBorders>
              <w:top w:val="single" w:sz="2" w:space="0" w:color="000000"/>
            </w:tcBorders>
            <w:shd w:val="clear" w:color="auto" w:fill="E6E7E8"/>
          </w:tcPr>
          <w:p>
            <w:pPr>
              <w:pStyle w:val="TableParagraph"/>
              <w:spacing w:before="66"/>
              <w:ind w:left="86" w:right="24"/>
              <w:jc w:val="center"/>
              <w:rPr>
                <w:rFonts w:ascii="TT Norms Pro Light"/>
                <w:b w:val="0"/>
                <w:sz w:val="14"/>
              </w:rPr>
            </w:pPr>
            <w:r>
              <w:rPr>
                <w:rFonts w:ascii="TT Norms Pro Light"/>
                <w:b w:val="0"/>
                <w:spacing w:val="-4"/>
                <w:sz w:val="14"/>
              </w:rPr>
              <w:t>55.4</w:t>
            </w:r>
          </w:p>
        </w:tc>
        <w:tc>
          <w:tcPr>
            <w:tcW w:w="584" w:type="dxa"/>
            <w:tcBorders>
              <w:top w:val="single" w:sz="2" w:space="0" w:color="000000"/>
            </w:tcBorders>
            <w:shd w:val="clear" w:color="auto" w:fill="E6E7E8"/>
          </w:tcPr>
          <w:p>
            <w:pPr>
              <w:pStyle w:val="TableParagraph"/>
              <w:spacing w:before="66"/>
              <w:ind w:left="98"/>
              <w:jc w:val="center"/>
              <w:rPr>
                <w:rFonts w:ascii="TT Norms Pro Light"/>
                <w:b w:val="0"/>
                <w:sz w:val="14"/>
              </w:rPr>
            </w:pPr>
            <w:r>
              <w:rPr>
                <w:rFonts w:ascii="TT Norms Pro Light"/>
                <w:b w:val="0"/>
                <w:spacing w:val="-4"/>
                <w:sz w:val="14"/>
              </w:rPr>
              <w:t>57.8</w:t>
            </w:r>
          </w:p>
        </w:tc>
        <w:tc>
          <w:tcPr>
            <w:tcW w:w="751" w:type="dxa"/>
            <w:tcBorders>
              <w:top w:val="single" w:sz="2" w:space="0" w:color="000000"/>
            </w:tcBorders>
            <w:shd w:val="clear" w:color="auto" w:fill="E6E7E8"/>
          </w:tcPr>
          <w:p>
            <w:pPr>
              <w:pStyle w:val="TableParagraph"/>
              <w:spacing w:before="66"/>
              <w:ind w:right="260"/>
              <w:jc w:val="right"/>
              <w:rPr>
                <w:rFonts w:ascii="TT Norms Pro Light"/>
                <w:b w:val="0"/>
                <w:sz w:val="14"/>
              </w:rPr>
            </w:pPr>
            <w:r>
              <w:rPr>
                <w:rFonts w:ascii="TT Norms Pro Light"/>
                <w:b w:val="0"/>
                <w:spacing w:val="-4"/>
                <w:sz w:val="14"/>
              </w:rPr>
              <w:t>54.5</w:t>
            </w:r>
          </w:p>
        </w:tc>
        <w:tc>
          <w:tcPr>
            <w:tcW w:w="669" w:type="dxa"/>
            <w:tcBorders>
              <w:top w:val="single" w:sz="2" w:space="0" w:color="000000"/>
            </w:tcBorders>
            <w:shd w:val="clear" w:color="auto" w:fill="E6E7E8"/>
          </w:tcPr>
          <w:p>
            <w:pPr>
              <w:pStyle w:val="TableParagraph"/>
              <w:spacing w:before="66"/>
              <w:ind w:right="62"/>
              <w:jc w:val="right"/>
              <w:rPr>
                <w:rFonts w:ascii="TT Norms Pro Light"/>
                <w:b w:val="0"/>
                <w:sz w:val="14"/>
              </w:rPr>
            </w:pPr>
            <w:r>
              <w:rPr>
                <w:rFonts w:ascii="TT Norms Pro Light"/>
                <w:b w:val="0"/>
                <w:sz w:val="14"/>
              </w:rPr>
              <w:t>61</w:t>
            </w:r>
            <w:r>
              <w:rPr>
                <w:rFonts w:ascii="TT Norms Pro Light"/>
                <w:b w:val="0"/>
                <w:spacing w:val="-2"/>
                <w:sz w:val="14"/>
              </w:rPr>
              <w:t> </w:t>
            </w:r>
            <w:r>
              <w:rPr>
                <w:rFonts w:ascii="TT Norms Pro Light"/>
                <w:b w:val="0"/>
                <w:spacing w:val="-5"/>
                <w:sz w:val="14"/>
              </w:rPr>
              <w:t>.0</w:t>
            </w:r>
          </w:p>
        </w:tc>
        <w:tc>
          <w:tcPr>
            <w:tcW w:w="2635" w:type="dxa"/>
          </w:tcPr>
          <w:p>
            <w:pPr>
              <w:pStyle w:val="TableParagraph"/>
              <w:rPr>
                <w:rFonts w:ascii="Times New Roman"/>
                <w:sz w:val="16"/>
              </w:rPr>
            </w:pPr>
          </w:p>
        </w:tc>
        <w:tc>
          <w:tcPr>
            <w:tcW w:w="1458" w:type="dxa"/>
          </w:tcPr>
          <w:p>
            <w:pPr>
              <w:pStyle w:val="TableParagraph"/>
              <w:rPr>
                <w:rFonts w:ascii="Times New Roman"/>
                <w:sz w:val="16"/>
              </w:rPr>
            </w:pPr>
          </w:p>
        </w:tc>
        <w:tc>
          <w:tcPr>
            <w:tcW w:w="935" w:type="dxa"/>
          </w:tcPr>
          <w:p>
            <w:pPr>
              <w:pStyle w:val="TableParagraph"/>
              <w:spacing w:before="31"/>
              <w:ind w:right="87"/>
              <w:jc w:val="right"/>
              <w:rPr>
                <w:rFonts w:ascii="TT Norms Pro"/>
                <w:b/>
                <w:sz w:val="14"/>
              </w:rPr>
            </w:pPr>
            <w:r>
              <w:rPr>
                <w:rFonts w:ascii="TT Norms Pro"/>
                <w:b/>
                <w:spacing w:val="-2"/>
                <w:sz w:val="14"/>
              </w:rPr>
              <w:t>TARGET</w:t>
            </w:r>
          </w:p>
        </w:tc>
      </w:tr>
    </w:tbl>
    <w:p>
      <w:pPr>
        <w:spacing w:after="0"/>
        <w:jc w:val="right"/>
        <w:rPr>
          <w:rFonts w:ascii="TT Norms Pro"/>
          <w:sz w:val="14"/>
        </w:rPr>
        <w:sectPr>
          <w:type w:val="continuous"/>
          <w:pgSz w:w="11910" w:h="16840"/>
          <w:pgMar w:header="468" w:footer="0" w:top="980" w:bottom="280" w:left="920" w:right="0"/>
        </w:sectPr>
      </w:pPr>
    </w:p>
    <w:p>
      <w:pPr>
        <w:spacing w:before="52"/>
        <w:ind w:left="270" w:right="0" w:firstLine="0"/>
        <w:jc w:val="left"/>
        <w:rPr>
          <w:rFonts w:ascii="TT Norms Pro Light"/>
          <w:b w:val="0"/>
          <w:sz w:val="14"/>
        </w:rPr>
      </w:pPr>
      <w:r>
        <w:rPr>
          <w:rFonts w:ascii="TT Norms Pro Light"/>
          <w:b w:val="0"/>
          <w:spacing w:val="-5"/>
          <w:sz w:val="14"/>
        </w:rPr>
        <w:t>WA</w:t>
      </w:r>
    </w:p>
    <w:p>
      <w:pPr>
        <w:spacing w:before="36"/>
        <w:ind w:left="270" w:right="0" w:firstLine="0"/>
        <w:jc w:val="left"/>
        <w:rPr>
          <w:rFonts w:ascii="TT Norms Pro Light"/>
          <w:b w:val="0"/>
          <w:sz w:val="14"/>
        </w:rPr>
      </w:pPr>
      <w:r>
        <w:rPr/>
        <mc:AlternateContent>
          <mc:Choice Requires="wps">
            <w:drawing>
              <wp:anchor distT="0" distB="0" distL="0" distR="0" allowOverlap="1" layoutInCell="1" locked="0" behindDoc="0" simplePos="0" relativeHeight="15845376">
                <wp:simplePos x="0" y="0"/>
                <wp:positionH relativeFrom="page">
                  <wp:posOffset>719999</wp:posOffset>
                </wp:positionH>
                <wp:positionV relativeFrom="paragraph">
                  <wp:posOffset>153403</wp:posOffset>
                </wp:positionV>
                <wp:extent cx="2934335" cy="3175"/>
                <wp:effectExtent l="0" t="0" r="0" b="0"/>
                <wp:wrapNone/>
                <wp:docPr id="693" name="Group 693"/>
                <wp:cNvGraphicFramePr>
                  <a:graphicFrameLocks/>
                </wp:cNvGraphicFramePr>
                <a:graphic>
                  <a:graphicData uri="http://schemas.microsoft.com/office/word/2010/wordprocessingGroup">
                    <wpg:wgp>
                      <wpg:cNvPr id="693" name="Group 693"/>
                      <wpg:cNvGrpSpPr/>
                      <wpg:grpSpPr>
                        <a:xfrm>
                          <a:off x="0" y="0"/>
                          <a:ext cx="2934335" cy="3175"/>
                          <a:chExt cx="2934335" cy="3175"/>
                        </a:xfrm>
                      </wpg:grpSpPr>
                      <wps:wsp>
                        <wps:cNvPr id="694" name="Graphic 694"/>
                        <wps:cNvSpPr/>
                        <wps:spPr>
                          <a:xfrm>
                            <a:off x="0" y="1587"/>
                            <a:ext cx="477520" cy="1270"/>
                          </a:xfrm>
                          <a:custGeom>
                            <a:avLst/>
                            <a:gdLst/>
                            <a:ahLst/>
                            <a:cxnLst/>
                            <a:rect l="l" t="t" r="r" b="b"/>
                            <a:pathLst>
                              <a:path w="477520" h="0">
                                <a:moveTo>
                                  <a:pt x="0" y="0"/>
                                </a:moveTo>
                                <a:lnTo>
                                  <a:pt x="476999" y="0"/>
                                </a:lnTo>
                              </a:path>
                            </a:pathLst>
                          </a:custGeom>
                          <a:ln w="3175">
                            <a:solidFill>
                              <a:srgbClr val="000000"/>
                            </a:solidFill>
                            <a:prstDash val="solid"/>
                          </a:ln>
                        </wps:spPr>
                        <wps:bodyPr wrap="square" lIns="0" tIns="0" rIns="0" bIns="0" rtlCol="0">
                          <a:prstTxWarp prst="textNoShape">
                            <a:avLst/>
                          </a:prstTxWarp>
                          <a:noAutofit/>
                        </wps:bodyPr>
                      </wps:wsp>
                      <wps:wsp>
                        <wps:cNvPr id="695" name="Graphic 695"/>
                        <wps:cNvSpPr/>
                        <wps:spPr>
                          <a:xfrm>
                            <a:off x="477000" y="1587"/>
                            <a:ext cx="381000" cy="1270"/>
                          </a:xfrm>
                          <a:custGeom>
                            <a:avLst/>
                            <a:gdLst/>
                            <a:ahLst/>
                            <a:cxnLst/>
                            <a:rect l="l" t="t" r="r" b="b"/>
                            <a:pathLst>
                              <a:path w="381000" h="0">
                                <a:moveTo>
                                  <a:pt x="0" y="0"/>
                                </a:moveTo>
                                <a:lnTo>
                                  <a:pt x="380517" y="0"/>
                                </a:lnTo>
                              </a:path>
                            </a:pathLst>
                          </a:custGeom>
                          <a:ln w="3175">
                            <a:solidFill>
                              <a:srgbClr val="000000"/>
                            </a:solidFill>
                            <a:prstDash val="solid"/>
                          </a:ln>
                        </wps:spPr>
                        <wps:bodyPr wrap="square" lIns="0" tIns="0" rIns="0" bIns="0" rtlCol="0">
                          <a:prstTxWarp prst="textNoShape">
                            <a:avLst/>
                          </a:prstTxWarp>
                          <a:noAutofit/>
                        </wps:bodyPr>
                      </wps:wsp>
                      <wps:wsp>
                        <wps:cNvPr id="696" name="Graphic 696"/>
                        <wps:cNvSpPr/>
                        <wps:spPr>
                          <a:xfrm>
                            <a:off x="857520" y="1587"/>
                            <a:ext cx="381000" cy="1270"/>
                          </a:xfrm>
                          <a:custGeom>
                            <a:avLst/>
                            <a:gdLst/>
                            <a:ahLst/>
                            <a:cxnLst/>
                            <a:rect l="l" t="t" r="r" b="b"/>
                            <a:pathLst>
                              <a:path w="381000" h="0">
                                <a:moveTo>
                                  <a:pt x="0" y="0"/>
                                </a:moveTo>
                                <a:lnTo>
                                  <a:pt x="380517" y="0"/>
                                </a:lnTo>
                              </a:path>
                            </a:pathLst>
                          </a:custGeom>
                          <a:ln w="3175">
                            <a:solidFill>
                              <a:srgbClr val="000000"/>
                            </a:solidFill>
                            <a:prstDash val="solid"/>
                          </a:ln>
                        </wps:spPr>
                        <wps:bodyPr wrap="square" lIns="0" tIns="0" rIns="0" bIns="0" rtlCol="0">
                          <a:prstTxWarp prst="textNoShape">
                            <a:avLst/>
                          </a:prstTxWarp>
                          <a:noAutofit/>
                        </wps:bodyPr>
                      </wps:wsp>
                      <wps:wsp>
                        <wps:cNvPr id="697" name="Graphic 697"/>
                        <wps:cNvSpPr/>
                        <wps:spPr>
                          <a:xfrm>
                            <a:off x="1238040" y="1587"/>
                            <a:ext cx="381000" cy="1270"/>
                          </a:xfrm>
                          <a:custGeom>
                            <a:avLst/>
                            <a:gdLst/>
                            <a:ahLst/>
                            <a:cxnLst/>
                            <a:rect l="l" t="t" r="r" b="b"/>
                            <a:pathLst>
                              <a:path w="381000" h="0">
                                <a:moveTo>
                                  <a:pt x="0" y="0"/>
                                </a:moveTo>
                                <a:lnTo>
                                  <a:pt x="380517" y="0"/>
                                </a:lnTo>
                              </a:path>
                            </a:pathLst>
                          </a:custGeom>
                          <a:ln w="3175">
                            <a:solidFill>
                              <a:srgbClr val="000000"/>
                            </a:solidFill>
                            <a:prstDash val="solid"/>
                          </a:ln>
                        </wps:spPr>
                        <wps:bodyPr wrap="square" lIns="0" tIns="0" rIns="0" bIns="0" rtlCol="0">
                          <a:prstTxWarp prst="textNoShape">
                            <a:avLst/>
                          </a:prstTxWarp>
                          <a:noAutofit/>
                        </wps:bodyPr>
                      </wps:wsp>
                      <wps:wsp>
                        <wps:cNvPr id="698" name="Graphic 698"/>
                        <wps:cNvSpPr/>
                        <wps:spPr>
                          <a:xfrm>
                            <a:off x="1618560" y="1587"/>
                            <a:ext cx="381000" cy="1270"/>
                          </a:xfrm>
                          <a:custGeom>
                            <a:avLst/>
                            <a:gdLst/>
                            <a:ahLst/>
                            <a:cxnLst/>
                            <a:rect l="l" t="t" r="r" b="b"/>
                            <a:pathLst>
                              <a:path w="381000" h="0">
                                <a:moveTo>
                                  <a:pt x="0" y="0"/>
                                </a:moveTo>
                                <a:lnTo>
                                  <a:pt x="380517" y="0"/>
                                </a:lnTo>
                              </a:path>
                            </a:pathLst>
                          </a:custGeom>
                          <a:ln w="3175">
                            <a:solidFill>
                              <a:srgbClr val="000000"/>
                            </a:solidFill>
                            <a:prstDash val="solid"/>
                          </a:ln>
                        </wps:spPr>
                        <wps:bodyPr wrap="square" lIns="0" tIns="0" rIns="0" bIns="0" rtlCol="0">
                          <a:prstTxWarp prst="textNoShape">
                            <a:avLst/>
                          </a:prstTxWarp>
                          <a:noAutofit/>
                        </wps:bodyPr>
                      </wps:wsp>
                      <wps:wsp>
                        <wps:cNvPr id="699" name="Graphic 699"/>
                        <wps:cNvSpPr/>
                        <wps:spPr>
                          <a:xfrm>
                            <a:off x="1999080" y="1587"/>
                            <a:ext cx="381000" cy="1270"/>
                          </a:xfrm>
                          <a:custGeom>
                            <a:avLst/>
                            <a:gdLst/>
                            <a:ahLst/>
                            <a:cxnLst/>
                            <a:rect l="l" t="t" r="r" b="b"/>
                            <a:pathLst>
                              <a:path w="381000" h="0">
                                <a:moveTo>
                                  <a:pt x="0" y="0"/>
                                </a:moveTo>
                                <a:lnTo>
                                  <a:pt x="380517" y="0"/>
                                </a:lnTo>
                              </a:path>
                            </a:pathLst>
                          </a:custGeom>
                          <a:ln w="3175">
                            <a:solidFill>
                              <a:srgbClr val="000000"/>
                            </a:solidFill>
                            <a:prstDash val="solid"/>
                          </a:ln>
                        </wps:spPr>
                        <wps:bodyPr wrap="square" lIns="0" tIns="0" rIns="0" bIns="0" rtlCol="0">
                          <a:prstTxWarp prst="textNoShape">
                            <a:avLst/>
                          </a:prstTxWarp>
                          <a:noAutofit/>
                        </wps:bodyPr>
                      </wps:wsp>
                      <wps:wsp>
                        <wps:cNvPr id="700" name="Graphic 700"/>
                        <wps:cNvSpPr/>
                        <wps:spPr>
                          <a:xfrm>
                            <a:off x="2379600" y="1587"/>
                            <a:ext cx="554990" cy="1270"/>
                          </a:xfrm>
                          <a:custGeom>
                            <a:avLst/>
                            <a:gdLst/>
                            <a:ahLst/>
                            <a:cxnLst/>
                            <a:rect l="l" t="t" r="r" b="b"/>
                            <a:pathLst>
                              <a:path w="554990" h="0">
                                <a:moveTo>
                                  <a:pt x="0" y="0"/>
                                </a:moveTo>
                                <a:lnTo>
                                  <a:pt x="554405" y="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692902pt;margin-top:12.079pt;width:231.05pt;height:.25pt;mso-position-horizontal-relative:page;mso-position-vertical-relative:paragraph;z-index:15845376" id="docshapegroup470" coordorigin="1134,242" coordsize="4621,5">
                <v:line style="position:absolute" from="1134,244" to="1885,244" stroked="true" strokeweight=".25pt" strokecolor="#000000">
                  <v:stroke dashstyle="solid"/>
                </v:line>
                <v:line style="position:absolute" from="1885,244" to="2484,244" stroked="true" strokeweight=".25pt" strokecolor="#000000">
                  <v:stroke dashstyle="solid"/>
                </v:line>
                <v:line style="position:absolute" from="2484,244" to="3084,244" stroked="true" strokeweight=".25pt" strokecolor="#000000">
                  <v:stroke dashstyle="solid"/>
                </v:line>
                <v:line style="position:absolute" from="3084,244" to="3683,244" stroked="true" strokeweight=".25pt" strokecolor="#000000">
                  <v:stroke dashstyle="solid"/>
                </v:line>
                <v:line style="position:absolute" from="3683,244" to="4282,244" stroked="true" strokeweight=".25pt" strokecolor="#000000">
                  <v:stroke dashstyle="solid"/>
                </v:line>
                <v:line style="position:absolute" from="4282,244" to="4881,244" stroked="true" strokeweight=".25pt" strokecolor="#000000">
                  <v:stroke dashstyle="solid"/>
                </v:line>
                <v:line style="position:absolute" from="4881,244" to="5754,244" stroked="true" strokeweight=".25pt" strokecolor="#000000">
                  <v:stroke dashstyle="solid"/>
                </v:line>
                <w10:wrap type="none"/>
              </v:group>
            </w:pict>
          </mc:Fallback>
        </mc:AlternateContent>
      </w:r>
      <w:r>
        <w:rPr>
          <w:rFonts w:ascii="TT Norms Pro Light"/>
          <w:b w:val="0"/>
          <w:spacing w:val="-2"/>
          <w:sz w:val="14"/>
        </w:rPr>
        <w:t>average</w:t>
      </w:r>
    </w:p>
    <w:p>
      <w:pPr>
        <w:tabs>
          <w:tab w:pos="869" w:val="left" w:leader="none"/>
          <w:tab w:pos="1462" w:val="left" w:leader="none"/>
          <w:tab w:pos="2061" w:val="left" w:leader="none"/>
          <w:tab w:pos="2662" w:val="left" w:leader="none"/>
        </w:tabs>
        <w:spacing w:before="152"/>
        <w:ind w:left="270" w:right="0" w:firstLine="0"/>
        <w:jc w:val="left"/>
        <w:rPr>
          <w:rFonts w:ascii="TT Norms Pro Light"/>
          <w:b w:val="0"/>
          <w:sz w:val="14"/>
        </w:rPr>
      </w:pPr>
      <w:r>
        <w:rPr/>
        <w:br w:type="column"/>
      </w:r>
      <w:r>
        <w:rPr>
          <w:rFonts w:ascii="TT Norms Pro Light"/>
          <w:b w:val="0"/>
          <w:spacing w:val="-4"/>
          <w:sz w:val="14"/>
        </w:rPr>
        <w:t>68.9</w:t>
      </w:r>
      <w:r>
        <w:rPr>
          <w:rFonts w:ascii="TT Norms Pro Light"/>
          <w:b w:val="0"/>
          <w:sz w:val="14"/>
        </w:rPr>
        <w:tab/>
      </w:r>
      <w:r>
        <w:rPr>
          <w:rFonts w:ascii="TT Norms Pro Light"/>
          <w:b w:val="0"/>
          <w:spacing w:val="-4"/>
          <w:sz w:val="14"/>
        </w:rPr>
        <w:t>64.9</w:t>
      </w:r>
      <w:r>
        <w:rPr>
          <w:rFonts w:ascii="TT Norms Pro Light"/>
          <w:b w:val="0"/>
          <w:sz w:val="14"/>
        </w:rPr>
        <w:tab/>
      </w:r>
      <w:r>
        <w:rPr>
          <w:rFonts w:ascii="TT Norms Pro Light"/>
          <w:b w:val="0"/>
          <w:spacing w:val="-4"/>
          <w:sz w:val="14"/>
        </w:rPr>
        <w:t>65.6</w:t>
      </w:r>
      <w:r>
        <w:rPr>
          <w:rFonts w:ascii="TT Norms Pro Light"/>
          <w:b w:val="0"/>
          <w:sz w:val="14"/>
        </w:rPr>
        <w:tab/>
      </w:r>
      <w:r>
        <w:rPr>
          <w:rFonts w:ascii="TT Norms Pro Light"/>
          <w:b w:val="0"/>
          <w:spacing w:val="-4"/>
          <w:sz w:val="14"/>
        </w:rPr>
        <w:t>66.3</w:t>
      </w:r>
      <w:r>
        <w:rPr>
          <w:rFonts w:ascii="TT Norms Pro Light"/>
          <w:b w:val="0"/>
          <w:sz w:val="14"/>
        </w:rPr>
        <w:tab/>
      </w:r>
      <w:r>
        <w:rPr>
          <w:rFonts w:ascii="TT Norms Pro Light"/>
          <w:b w:val="0"/>
          <w:spacing w:val="-4"/>
          <w:sz w:val="14"/>
        </w:rPr>
        <w:t>63.5</w:t>
      </w:r>
    </w:p>
    <w:p>
      <w:pPr>
        <w:tabs>
          <w:tab w:pos="2424" w:val="left" w:leader="none"/>
          <w:tab w:pos="3551" w:val="left" w:leader="none"/>
          <w:tab w:pos="4785" w:val="right" w:leader="none"/>
        </w:tabs>
        <w:spacing w:before="314"/>
        <w:ind w:left="270" w:right="0" w:firstLine="0"/>
        <w:jc w:val="left"/>
        <w:rPr>
          <w:rFonts w:ascii="TT Norms Pro Light"/>
          <w:b w:val="0"/>
          <w:sz w:val="14"/>
        </w:rPr>
      </w:pPr>
      <w:r>
        <w:rPr/>
        <w:br w:type="column"/>
      </w:r>
      <w:r>
        <w:rPr>
          <w:rFonts w:ascii="TT Norms Pro Light"/>
          <w:b w:val="0"/>
          <w:spacing w:val="-2"/>
          <w:sz w:val="14"/>
        </w:rPr>
        <w:t>Citations</w:t>
      </w:r>
      <w:r>
        <w:rPr>
          <w:rFonts w:ascii="TT Norms Pro Light"/>
          <w:b w:val="0"/>
          <w:sz w:val="14"/>
        </w:rPr>
        <w:tab/>
      </w:r>
      <w:r>
        <w:rPr>
          <w:rFonts w:ascii="TT Norms Pro Light"/>
          <w:b w:val="0"/>
          <w:spacing w:val="-10"/>
          <w:sz w:val="14"/>
        </w:rPr>
        <w:t>1</w:t>
      </w:r>
      <w:r>
        <w:rPr>
          <w:rFonts w:ascii="TT Norms Pro Light"/>
          <w:b w:val="0"/>
          <w:sz w:val="14"/>
        </w:rPr>
        <w:tab/>
      </w:r>
      <w:r>
        <w:rPr>
          <w:rFonts w:ascii="TT Norms Pro Light"/>
          <w:b w:val="0"/>
          <w:spacing w:val="-10"/>
          <w:sz w:val="14"/>
        </w:rPr>
        <w:t>3</w:t>
      </w:r>
      <w:r>
        <w:rPr>
          <w:rFonts w:ascii="TT Norms Pro Light"/>
          <w:b w:val="0"/>
          <w:sz w:val="14"/>
        </w:rPr>
        <w:tab/>
      </w:r>
      <w:r>
        <w:rPr>
          <w:rFonts w:ascii="TT Norms Pro Light"/>
          <w:b w:val="0"/>
          <w:spacing w:val="-10"/>
          <w:sz w:val="14"/>
        </w:rPr>
        <w:t>2</w:t>
      </w:r>
    </w:p>
    <w:p>
      <w:pPr>
        <w:spacing w:after="0"/>
        <w:jc w:val="left"/>
        <w:rPr>
          <w:rFonts w:ascii="TT Norms Pro Light"/>
          <w:sz w:val="14"/>
        </w:rPr>
        <w:sectPr>
          <w:type w:val="continuous"/>
          <w:pgSz w:w="11910" w:h="16840"/>
          <w:pgMar w:header="468" w:footer="0" w:top="980" w:bottom="280" w:left="920" w:right="0"/>
          <w:cols w:num="3" w:equalWidth="0">
            <w:col w:w="815" w:space="151"/>
            <w:col w:w="2980" w:space="1071"/>
            <w:col w:w="5973"/>
          </w:cols>
        </w:sectPr>
      </w:pPr>
    </w:p>
    <w:p>
      <w:pPr>
        <w:spacing w:before="107"/>
        <w:ind w:left="213" w:right="0" w:firstLine="0"/>
        <w:jc w:val="left"/>
        <w:rPr>
          <w:rFonts w:ascii="TT Norms Pro"/>
          <w:b/>
          <w:sz w:val="18"/>
        </w:rPr>
      </w:pPr>
      <w:r>
        <w:rPr/>
        <mc:AlternateContent>
          <mc:Choice Requires="wps">
            <w:drawing>
              <wp:anchor distT="0" distB="0" distL="0" distR="0" allowOverlap="1" layoutInCell="1" locked="0" behindDoc="0" simplePos="0" relativeHeight="15845888">
                <wp:simplePos x="0" y="0"/>
                <wp:positionH relativeFrom="page">
                  <wp:posOffset>719999</wp:posOffset>
                </wp:positionH>
                <wp:positionV relativeFrom="paragraph">
                  <wp:posOffset>227307</wp:posOffset>
                </wp:positionV>
                <wp:extent cx="2934335" cy="12700"/>
                <wp:effectExtent l="0" t="0" r="0" b="0"/>
                <wp:wrapNone/>
                <wp:docPr id="701" name="Group 701"/>
                <wp:cNvGraphicFramePr>
                  <a:graphicFrameLocks/>
                </wp:cNvGraphicFramePr>
                <a:graphic>
                  <a:graphicData uri="http://schemas.microsoft.com/office/word/2010/wordprocessingGroup">
                    <wpg:wgp>
                      <wpg:cNvPr id="701" name="Group 701"/>
                      <wpg:cNvGrpSpPr/>
                      <wpg:grpSpPr>
                        <a:xfrm>
                          <a:off x="0" y="0"/>
                          <a:ext cx="2934335" cy="12700"/>
                          <a:chExt cx="2934335" cy="12700"/>
                        </a:xfrm>
                      </wpg:grpSpPr>
                      <wps:wsp>
                        <wps:cNvPr id="702" name="Graphic 702"/>
                        <wps:cNvSpPr/>
                        <wps:spPr>
                          <a:xfrm>
                            <a:off x="0" y="6350"/>
                            <a:ext cx="531495" cy="1270"/>
                          </a:xfrm>
                          <a:custGeom>
                            <a:avLst/>
                            <a:gdLst/>
                            <a:ahLst/>
                            <a:cxnLst/>
                            <a:rect l="l" t="t" r="r" b="b"/>
                            <a:pathLst>
                              <a:path w="531495" h="0">
                                <a:moveTo>
                                  <a:pt x="0" y="0"/>
                                </a:moveTo>
                                <a:lnTo>
                                  <a:pt x="530999" y="0"/>
                                </a:lnTo>
                              </a:path>
                            </a:pathLst>
                          </a:custGeom>
                          <a:ln w="12700">
                            <a:solidFill>
                              <a:srgbClr val="000000"/>
                            </a:solidFill>
                            <a:prstDash val="solid"/>
                          </a:ln>
                        </wps:spPr>
                        <wps:bodyPr wrap="square" lIns="0" tIns="0" rIns="0" bIns="0" rtlCol="0">
                          <a:prstTxWarp prst="textNoShape">
                            <a:avLst/>
                          </a:prstTxWarp>
                          <a:noAutofit/>
                        </wps:bodyPr>
                      </wps:wsp>
                      <wps:wsp>
                        <wps:cNvPr id="703" name="Graphic 703"/>
                        <wps:cNvSpPr/>
                        <wps:spPr>
                          <a:xfrm>
                            <a:off x="531000" y="6350"/>
                            <a:ext cx="351155" cy="1270"/>
                          </a:xfrm>
                          <a:custGeom>
                            <a:avLst/>
                            <a:gdLst/>
                            <a:ahLst/>
                            <a:cxnLst/>
                            <a:rect l="l" t="t" r="r" b="b"/>
                            <a:pathLst>
                              <a:path w="351155" h="0">
                                <a:moveTo>
                                  <a:pt x="0" y="0"/>
                                </a:moveTo>
                                <a:lnTo>
                                  <a:pt x="351002" y="0"/>
                                </a:lnTo>
                              </a:path>
                            </a:pathLst>
                          </a:custGeom>
                          <a:ln w="12700">
                            <a:solidFill>
                              <a:srgbClr val="000000"/>
                            </a:solidFill>
                            <a:prstDash val="solid"/>
                          </a:ln>
                        </wps:spPr>
                        <wps:bodyPr wrap="square" lIns="0" tIns="0" rIns="0" bIns="0" rtlCol="0">
                          <a:prstTxWarp prst="textNoShape">
                            <a:avLst/>
                          </a:prstTxWarp>
                          <a:noAutofit/>
                        </wps:bodyPr>
                      </wps:wsp>
                      <wps:wsp>
                        <wps:cNvPr id="704" name="Graphic 704"/>
                        <wps:cNvSpPr/>
                        <wps:spPr>
                          <a:xfrm>
                            <a:off x="882001" y="6350"/>
                            <a:ext cx="381635" cy="1270"/>
                          </a:xfrm>
                          <a:custGeom>
                            <a:avLst/>
                            <a:gdLst/>
                            <a:ahLst/>
                            <a:cxnLst/>
                            <a:rect l="l" t="t" r="r" b="b"/>
                            <a:pathLst>
                              <a:path w="381635" h="0">
                                <a:moveTo>
                                  <a:pt x="0" y="0"/>
                                </a:moveTo>
                                <a:lnTo>
                                  <a:pt x="381596" y="0"/>
                                </a:lnTo>
                              </a:path>
                            </a:pathLst>
                          </a:custGeom>
                          <a:ln w="12700">
                            <a:solidFill>
                              <a:srgbClr val="000000"/>
                            </a:solidFill>
                            <a:prstDash val="solid"/>
                          </a:ln>
                        </wps:spPr>
                        <wps:bodyPr wrap="square" lIns="0" tIns="0" rIns="0" bIns="0" rtlCol="0">
                          <a:prstTxWarp prst="textNoShape">
                            <a:avLst/>
                          </a:prstTxWarp>
                          <a:noAutofit/>
                        </wps:bodyPr>
                      </wps:wsp>
                      <wps:wsp>
                        <wps:cNvPr id="705" name="Graphic 705"/>
                        <wps:cNvSpPr/>
                        <wps:spPr>
                          <a:xfrm>
                            <a:off x="1263600" y="6350"/>
                            <a:ext cx="381635" cy="1270"/>
                          </a:xfrm>
                          <a:custGeom>
                            <a:avLst/>
                            <a:gdLst/>
                            <a:ahLst/>
                            <a:cxnLst/>
                            <a:rect l="l" t="t" r="r" b="b"/>
                            <a:pathLst>
                              <a:path w="381635" h="0">
                                <a:moveTo>
                                  <a:pt x="0" y="0"/>
                                </a:moveTo>
                                <a:lnTo>
                                  <a:pt x="381596" y="0"/>
                                </a:lnTo>
                              </a:path>
                            </a:pathLst>
                          </a:custGeom>
                          <a:ln w="12700">
                            <a:solidFill>
                              <a:srgbClr val="000000"/>
                            </a:solidFill>
                            <a:prstDash val="solid"/>
                          </a:ln>
                        </wps:spPr>
                        <wps:bodyPr wrap="square" lIns="0" tIns="0" rIns="0" bIns="0" rtlCol="0">
                          <a:prstTxWarp prst="textNoShape">
                            <a:avLst/>
                          </a:prstTxWarp>
                          <a:noAutofit/>
                        </wps:bodyPr>
                      </wps:wsp>
                      <wps:wsp>
                        <wps:cNvPr id="706" name="Graphic 706"/>
                        <wps:cNvSpPr/>
                        <wps:spPr>
                          <a:xfrm>
                            <a:off x="1645199" y="6350"/>
                            <a:ext cx="353060" cy="1270"/>
                          </a:xfrm>
                          <a:custGeom>
                            <a:avLst/>
                            <a:gdLst/>
                            <a:ahLst/>
                            <a:cxnLst/>
                            <a:rect l="l" t="t" r="r" b="b"/>
                            <a:pathLst>
                              <a:path w="353060" h="0">
                                <a:moveTo>
                                  <a:pt x="0" y="0"/>
                                </a:moveTo>
                                <a:lnTo>
                                  <a:pt x="352806" y="0"/>
                                </a:lnTo>
                              </a:path>
                            </a:pathLst>
                          </a:custGeom>
                          <a:ln w="12700">
                            <a:solidFill>
                              <a:srgbClr val="000000"/>
                            </a:solidFill>
                            <a:prstDash val="solid"/>
                          </a:ln>
                        </wps:spPr>
                        <wps:bodyPr wrap="square" lIns="0" tIns="0" rIns="0" bIns="0" rtlCol="0">
                          <a:prstTxWarp prst="textNoShape">
                            <a:avLst/>
                          </a:prstTxWarp>
                          <a:noAutofit/>
                        </wps:bodyPr>
                      </wps:wsp>
                      <wps:wsp>
                        <wps:cNvPr id="707" name="Graphic 707"/>
                        <wps:cNvSpPr/>
                        <wps:spPr>
                          <a:xfrm>
                            <a:off x="1998000" y="6350"/>
                            <a:ext cx="403225" cy="1270"/>
                          </a:xfrm>
                          <a:custGeom>
                            <a:avLst/>
                            <a:gdLst/>
                            <a:ahLst/>
                            <a:cxnLst/>
                            <a:rect l="l" t="t" r="r" b="b"/>
                            <a:pathLst>
                              <a:path w="403225" h="0">
                                <a:moveTo>
                                  <a:pt x="0" y="0"/>
                                </a:moveTo>
                                <a:lnTo>
                                  <a:pt x="403199" y="0"/>
                                </a:lnTo>
                              </a:path>
                            </a:pathLst>
                          </a:custGeom>
                          <a:ln w="12700">
                            <a:solidFill>
                              <a:srgbClr val="000000"/>
                            </a:solidFill>
                            <a:prstDash val="solid"/>
                          </a:ln>
                        </wps:spPr>
                        <wps:bodyPr wrap="square" lIns="0" tIns="0" rIns="0" bIns="0" rtlCol="0">
                          <a:prstTxWarp prst="textNoShape">
                            <a:avLst/>
                          </a:prstTxWarp>
                          <a:noAutofit/>
                        </wps:bodyPr>
                      </wps:wsp>
                      <wps:wsp>
                        <wps:cNvPr id="708" name="Graphic 708"/>
                        <wps:cNvSpPr/>
                        <wps:spPr>
                          <a:xfrm>
                            <a:off x="2401200" y="6350"/>
                            <a:ext cx="533400" cy="1270"/>
                          </a:xfrm>
                          <a:custGeom>
                            <a:avLst/>
                            <a:gdLst/>
                            <a:ahLst/>
                            <a:cxnLst/>
                            <a:rect l="l" t="t" r="r" b="b"/>
                            <a:pathLst>
                              <a:path w="533400" h="0">
                                <a:moveTo>
                                  <a:pt x="0" y="0"/>
                                </a:moveTo>
                                <a:lnTo>
                                  <a:pt x="532803" y="0"/>
                                </a:lnTo>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692902pt;margin-top:17.898199pt;width:231.05pt;height:1pt;mso-position-horizontal-relative:page;mso-position-vertical-relative:paragraph;z-index:15845888" id="docshapegroup471" coordorigin="1134,358" coordsize="4621,20">
                <v:line style="position:absolute" from="1134,368" to="1970,368" stroked="true" strokeweight="1pt" strokecolor="#000000">
                  <v:stroke dashstyle="solid"/>
                </v:line>
                <v:line style="position:absolute" from="1970,368" to="2523,368" stroked="true" strokeweight="1pt" strokecolor="#000000">
                  <v:stroke dashstyle="solid"/>
                </v:line>
                <v:line style="position:absolute" from="2523,368" to="3124,368" stroked="true" strokeweight="1pt" strokecolor="#000000">
                  <v:stroke dashstyle="solid"/>
                </v:line>
                <v:line style="position:absolute" from="3124,368" to="3725,368" stroked="true" strokeweight="1pt" strokecolor="#000000">
                  <v:stroke dashstyle="solid"/>
                </v:line>
                <v:line style="position:absolute" from="3725,368" to="4280,368" stroked="true" strokeweight="1pt" strokecolor="#000000">
                  <v:stroke dashstyle="solid"/>
                </v:line>
                <v:line style="position:absolute" from="4280,368" to="4915,368" stroked="true" strokeweight="1pt" strokecolor="#000000">
                  <v:stroke dashstyle="solid"/>
                </v:line>
                <v:line style="position:absolute" from="4915,368" to="5754,368" stroked="true" strokeweight="1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846400">
                <wp:simplePos x="0" y="0"/>
                <wp:positionH relativeFrom="page">
                  <wp:posOffset>3905999</wp:posOffset>
                </wp:positionH>
                <wp:positionV relativeFrom="paragraph">
                  <wp:posOffset>32684</wp:posOffset>
                </wp:positionV>
                <wp:extent cx="2938780" cy="401955"/>
                <wp:effectExtent l="0" t="0" r="0" b="0"/>
                <wp:wrapNone/>
                <wp:docPr id="709" name="Group 709"/>
                <wp:cNvGraphicFramePr>
                  <a:graphicFrameLocks/>
                </wp:cNvGraphicFramePr>
                <a:graphic>
                  <a:graphicData uri="http://schemas.microsoft.com/office/word/2010/wordprocessingGroup">
                    <wpg:wgp>
                      <wpg:cNvPr id="709" name="Group 709"/>
                      <wpg:cNvGrpSpPr/>
                      <wpg:grpSpPr>
                        <a:xfrm>
                          <a:off x="0" y="0"/>
                          <a:ext cx="2938780" cy="401955"/>
                          <a:chExt cx="2938780" cy="401955"/>
                        </a:xfrm>
                      </wpg:grpSpPr>
                      <wps:wsp>
                        <wps:cNvPr id="710" name="Graphic 710"/>
                        <wps:cNvSpPr/>
                        <wps:spPr>
                          <a:xfrm>
                            <a:off x="0" y="0"/>
                            <a:ext cx="2938780" cy="401955"/>
                          </a:xfrm>
                          <a:custGeom>
                            <a:avLst/>
                            <a:gdLst/>
                            <a:ahLst/>
                            <a:cxnLst/>
                            <a:rect l="l" t="t" r="r" b="b"/>
                            <a:pathLst>
                              <a:path w="2938780" h="401955">
                                <a:moveTo>
                                  <a:pt x="734644" y="0"/>
                                </a:moveTo>
                                <a:lnTo>
                                  <a:pt x="0" y="0"/>
                                </a:lnTo>
                                <a:lnTo>
                                  <a:pt x="0" y="401561"/>
                                </a:lnTo>
                                <a:lnTo>
                                  <a:pt x="734644" y="401561"/>
                                </a:lnTo>
                                <a:lnTo>
                                  <a:pt x="734644" y="0"/>
                                </a:lnTo>
                                <a:close/>
                              </a:path>
                              <a:path w="2938780" h="401955">
                                <a:moveTo>
                                  <a:pt x="2938589" y="0"/>
                                </a:moveTo>
                                <a:lnTo>
                                  <a:pt x="2203945" y="0"/>
                                </a:lnTo>
                                <a:lnTo>
                                  <a:pt x="1469301" y="0"/>
                                </a:lnTo>
                                <a:lnTo>
                                  <a:pt x="734656" y="0"/>
                                </a:lnTo>
                                <a:lnTo>
                                  <a:pt x="734656" y="401561"/>
                                </a:lnTo>
                                <a:lnTo>
                                  <a:pt x="1469301" y="401561"/>
                                </a:lnTo>
                                <a:lnTo>
                                  <a:pt x="2203945" y="401561"/>
                                </a:lnTo>
                                <a:lnTo>
                                  <a:pt x="2938589" y="401561"/>
                                </a:lnTo>
                                <a:lnTo>
                                  <a:pt x="2938589" y="0"/>
                                </a:lnTo>
                                <a:close/>
                              </a:path>
                            </a:pathLst>
                          </a:custGeom>
                          <a:solidFill>
                            <a:srgbClr val="E6E7E8"/>
                          </a:solidFill>
                        </wps:spPr>
                        <wps:bodyPr wrap="square" lIns="0" tIns="0" rIns="0" bIns="0" rtlCol="0">
                          <a:prstTxWarp prst="textNoShape">
                            <a:avLst/>
                          </a:prstTxWarp>
                          <a:noAutofit/>
                        </wps:bodyPr>
                      </wps:wsp>
                      <wps:wsp>
                        <wps:cNvPr id="711" name="Textbox 711"/>
                        <wps:cNvSpPr txBox="1"/>
                        <wps:spPr>
                          <a:xfrm>
                            <a:off x="36231" y="16490"/>
                            <a:ext cx="593725" cy="368935"/>
                          </a:xfrm>
                          <a:prstGeom prst="rect">
                            <a:avLst/>
                          </a:prstGeom>
                        </wps:spPr>
                        <wps:txbx>
                          <w:txbxContent>
                            <w:p>
                              <w:pPr>
                                <w:spacing w:line="292" w:lineRule="auto" w:before="17"/>
                                <w:ind w:left="0" w:right="0" w:firstLine="0"/>
                                <w:jc w:val="left"/>
                                <w:rPr>
                                  <w:rFonts w:ascii="TT Norms Pro Light" w:hAnsi="TT Norms Pro Light"/>
                                  <w:b w:val="0"/>
                                  <w:sz w:val="14"/>
                                </w:rPr>
                              </w:pPr>
                              <w:r>
                                <w:rPr>
                                  <w:rFonts w:ascii="TT Norms Pro Light" w:hAnsi="TT Norms Pro Light"/>
                                  <w:b w:val="0"/>
                                  <w:sz w:val="14"/>
                                </w:rPr>
                                <w:t>Fellowships</w:t>
                              </w:r>
                              <w:r>
                                <w:rPr>
                                  <w:rFonts w:ascii="TT Norms Pro Light" w:hAnsi="TT Norms Pro Light"/>
                                  <w:b w:val="0"/>
                                  <w:spacing w:val="-7"/>
                                  <w:sz w:val="14"/>
                                </w:rPr>
                                <w:t> </w:t>
                              </w:r>
                              <w:r>
                                <w:rPr>
                                  <w:rFonts w:ascii="TT Norms Pro Light" w:hAnsi="TT Norms Pro Light"/>
                                  <w:b w:val="0"/>
                                  <w:sz w:val="14"/>
                                </w:rPr>
                                <w:t>–</w:t>
                              </w:r>
                              <w:r>
                                <w:rPr>
                                  <w:rFonts w:ascii="TT Norms Pro Light" w:hAnsi="TT Norms Pro Light"/>
                                  <w:b w:val="0"/>
                                  <w:spacing w:val="40"/>
                                  <w:sz w:val="14"/>
                                </w:rPr>
                                <w:t> </w:t>
                              </w:r>
                              <w:r>
                                <w:rPr>
                                  <w:rFonts w:ascii="TT Norms Pro Light" w:hAnsi="TT Norms Pro Light"/>
                                  <w:b w:val="0"/>
                                  <w:sz w:val="14"/>
                                </w:rPr>
                                <w:t>Principal</w:t>
                              </w:r>
                              <w:r>
                                <w:rPr>
                                  <w:rFonts w:ascii="TT Norms Pro Light" w:hAnsi="TT Norms Pro Light"/>
                                  <w:b w:val="0"/>
                                  <w:spacing w:val="12"/>
                                  <w:sz w:val="14"/>
                                </w:rPr>
                                <w:t> </w:t>
                              </w:r>
                              <w:r>
                                <w:rPr>
                                  <w:rFonts w:ascii="TT Norms Pro Light" w:hAnsi="TT Norms Pro Light"/>
                                  <w:b w:val="0"/>
                                  <w:spacing w:val="-5"/>
                                  <w:sz w:val="14"/>
                                </w:rPr>
                                <w:t>and</w:t>
                              </w:r>
                            </w:p>
                            <w:p>
                              <w:pPr>
                                <w:spacing w:before="0"/>
                                <w:ind w:left="0" w:right="0" w:firstLine="0"/>
                                <w:jc w:val="left"/>
                                <w:rPr>
                                  <w:rFonts w:ascii="TT Norms Pro Light"/>
                                  <w:b w:val="0"/>
                                  <w:sz w:val="14"/>
                                </w:rPr>
                              </w:pPr>
                              <w:r>
                                <w:rPr>
                                  <w:rFonts w:ascii="TT Norms Pro Light"/>
                                  <w:b w:val="0"/>
                                  <w:sz w:val="14"/>
                                </w:rPr>
                                <w:t>Senior</w:t>
                              </w:r>
                              <w:r>
                                <w:rPr>
                                  <w:rFonts w:ascii="TT Norms Pro Light"/>
                                  <w:b w:val="0"/>
                                  <w:spacing w:val="11"/>
                                  <w:sz w:val="14"/>
                                </w:rPr>
                                <w:t> </w:t>
                              </w:r>
                              <w:r>
                                <w:rPr>
                                  <w:rFonts w:ascii="TT Norms Pro Light"/>
                                  <w:b w:val="0"/>
                                  <w:spacing w:val="-2"/>
                                  <w:sz w:val="14"/>
                                </w:rPr>
                                <w:t>Fellows</w:t>
                              </w:r>
                            </w:p>
                          </w:txbxContent>
                        </wps:txbx>
                        <wps:bodyPr wrap="square" lIns="0" tIns="0" rIns="0" bIns="0" rtlCol="0">
                          <a:noAutofit/>
                        </wps:bodyPr>
                      </wps:wsp>
                      <wps:wsp>
                        <wps:cNvPr id="712" name="Textbox 712"/>
                        <wps:cNvSpPr txBox="1"/>
                        <wps:spPr>
                          <a:xfrm>
                            <a:off x="1382889" y="143529"/>
                            <a:ext cx="63500" cy="114935"/>
                          </a:xfrm>
                          <a:prstGeom prst="rect">
                            <a:avLst/>
                          </a:prstGeom>
                        </wps:spPr>
                        <wps:txbx>
                          <w:txbxContent>
                            <w:p>
                              <w:pPr>
                                <w:spacing w:before="16"/>
                                <w:ind w:left="0" w:right="0" w:firstLine="0"/>
                                <w:jc w:val="left"/>
                                <w:rPr>
                                  <w:rFonts w:ascii="TT Norms Pro Light"/>
                                  <w:b w:val="0"/>
                                  <w:sz w:val="14"/>
                                </w:rPr>
                              </w:pPr>
                              <w:r>
                                <w:rPr>
                                  <w:rFonts w:ascii="TT Norms Pro Light"/>
                                  <w:b w:val="0"/>
                                  <w:spacing w:val="-10"/>
                                  <w:sz w:val="14"/>
                                </w:rPr>
                                <w:t>6</w:t>
                              </w:r>
                            </w:p>
                          </w:txbxContent>
                        </wps:txbx>
                        <wps:bodyPr wrap="square" lIns="0" tIns="0" rIns="0" bIns="0" rtlCol="0">
                          <a:noAutofit/>
                        </wps:bodyPr>
                      </wps:wsp>
                      <wps:wsp>
                        <wps:cNvPr id="713" name="Textbox 713"/>
                        <wps:cNvSpPr txBox="1"/>
                        <wps:spPr>
                          <a:xfrm>
                            <a:off x="2064841" y="143529"/>
                            <a:ext cx="119380" cy="114935"/>
                          </a:xfrm>
                          <a:prstGeom prst="rect">
                            <a:avLst/>
                          </a:prstGeom>
                        </wps:spPr>
                        <wps:txbx>
                          <w:txbxContent>
                            <w:p>
                              <w:pPr>
                                <w:spacing w:before="16"/>
                                <w:ind w:left="0" w:right="0" w:firstLine="0"/>
                                <w:jc w:val="left"/>
                                <w:rPr>
                                  <w:rFonts w:ascii="TT Norms Pro Light"/>
                                  <w:b w:val="0"/>
                                  <w:sz w:val="14"/>
                                </w:rPr>
                              </w:pPr>
                              <w:r>
                                <w:rPr>
                                  <w:rFonts w:ascii="TT Norms Pro Light"/>
                                  <w:b w:val="0"/>
                                  <w:spacing w:val="-5"/>
                                  <w:sz w:val="14"/>
                                </w:rPr>
                                <w:t>46</w:t>
                              </w:r>
                            </w:p>
                          </w:txbxContent>
                        </wps:txbx>
                        <wps:bodyPr wrap="square" lIns="0" tIns="0" rIns="0" bIns="0" rtlCol="0">
                          <a:noAutofit/>
                        </wps:bodyPr>
                      </wps:wsp>
                      <wps:wsp>
                        <wps:cNvPr id="714" name="Textbox 714"/>
                        <wps:cNvSpPr txBox="1"/>
                        <wps:spPr>
                          <a:xfrm>
                            <a:off x="2852139" y="143529"/>
                            <a:ext cx="63500" cy="114935"/>
                          </a:xfrm>
                          <a:prstGeom prst="rect">
                            <a:avLst/>
                          </a:prstGeom>
                        </wps:spPr>
                        <wps:txbx>
                          <w:txbxContent>
                            <w:p>
                              <w:pPr>
                                <w:spacing w:before="16"/>
                                <w:ind w:left="0" w:right="0" w:firstLine="0"/>
                                <w:jc w:val="left"/>
                                <w:rPr>
                                  <w:rFonts w:ascii="TT Norms Pro Light"/>
                                  <w:b w:val="0"/>
                                  <w:sz w:val="14"/>
                                </w:rPr>
                              </w:pPr>
                              <w:r>
                                <w:rPr>
                                  <w:rFonts w:ascii="TT Norms Pro Light"/>
                                  <w:b w:val="0"/>
                                  <w:spacing w:val="-10"/>
                                  <w:sz w:val="14"/>
                                </w:rPr>
                                <w:t>6</w:t>
                              </w:r>
                            </w:p>
                          </w:txbxContent>
                        </wps:txbx>
                        <wps:bodyPr wrap="square" lIns="0" tIns="0" rIns="0" bIns="0" rtlCol="0">
                          <a:noAutofit/>
                        </wps:bodyPr>
                      </wps:wsp>
                    </wpg:wgp>
                  </a:graphicData>
                </a:graphic>
              </wp:anchor>
            </w:drawing>
          </mc:Choice>
          <mc:Fallback>
            <w:pict>
              <v:group style="position:absolute;margin-left:307.55899pt;margin-top:2.5736pt;width:231.4pt;height:31.65pt;mso-position-horizontal-relative:page;mso-position-vertical-relative:paragraph;z-index:15846400" id="docshapegroup472" coordorigin="6151,51" coordsize="4628,633">
                <v:shape style="position:absolute;left:6151;top:51;width:4628;height:633" id="docshape473" coordorigin="6151,51" coordsize="4628,633" path="m7308,51l6151,51,6151,684,7308,684,7308,51xm10779,51l9622,51,8465,51,7308,51,7308,684,8465,684,9622,684,10779,684,10779,51xe" filled="true" fillcolor="#e6e7e8" stroked="false">
                  <v:path arrowok="t"/>
                  <v:fill type="solid"/>
                </v:shape>
                <v:shape style="position:absolute;left:6208;top:77;width:935;height:581" type="#_x0000_t202" id="docshape474" filled="false" stroked="false">
                  <v:textbox inset="0,0,0,0">
                    <w:txbxContent>
                      <w:p>
                        <w:pPr>
                          <w:spacing w:line="292" w:lineRule="auto" w:before="17"/>
                          <w:ind w:left="0" w:right="0" w:firstLine="0"/>
                          <w:jc w:val="left"/>
                          <w:rPr>
                            <w:rFonts w:ascii="TT Norms Pro Light" w:hAnsi="TT Norms Pro Light"/>
                            <w:b w:val="0"/>
                            <w:sz w:val="14"/>
                          </w:rPr>
                        </w:pPr>
                        <w:r>
                          <w:rPr>
                            <w:rFonts w:ascii="TT Norms Pro Light" w:hAnsi="TT Norms Pro Light"/>
                            <w:b w:val="0"/>
                            <w:sz w:val="14"/>
                          </w:rPr>
                          <w:t>Fellowships</w:t>
                        </w:r>
                        <w:r>
                          <w:rPr>
                            <w:rFonts w:ascii="TT Norms Pro Light" w:hAnsi="TT Norms Pro Light"/>
                            <w:b w:val="0"/>
                            <w:spacing w:val="-7"/>
                            <w:sz w:val="14"/>
                          </w:rPr>
                          <w:t> </w:t>
                        </w:r>
                        <w:r>
                          <w:rPr>
                            <w:rFonts w:ascii="TT Norms Pro Light" w:hAnsi="TT Norms Pro Light"/>
                            <w:b w:val="0"/>
                            <w:sz w:val="14"/>
                          </w:rPr>
                          <w:t>–</w:t>
                        </w:r>
                        <w:r>
                          <w:rPr>
                            <w:rFonts w:ascii="TT Norms Pro Light" w:hAnsi="TT Norms Pro Light"/>
                            <w:b w:val="0"/>
                            <w:spacing w:val="40"/>
                            <w:sz w:val="14"/>
                          </w:rPr>
                          <w:t> </w:t>
                        </w:r>
                        <w:r>
                          <w:rPr>
                            <w:rFonts w:ascii="TT Norms Pro Light" w:hAnsi="TT Norms Pro Light"/>
                            <w:b w:val="0"/>
                            <w:sz w:val="14"/>
                          </w:rPr>
                          <w:t>Principal</w:t>
                        </w:r>
                        <w:r>
                          <w:rPr>
                            <w:rFonts w:ascii="TT Norms Pro Light" w:hAnsi="TT Norms Pro Light"/>
                            <w:b w:val="0"/>
                            <w:spacing w:val="12"/>
                            <w:sz w:val="14"/>
                          </w:rPr>
                          <w:t> </w:t>
                        </w:r>
                        <w:r>
                          <w:rPr>
                            <w:rFonts w:ascii="TT Norms Pro Light" w:hAnsi="TT Norms Pro Light"/>
                            <w:b w:val="0"/>
                            <w:spacing w:val="-5"/>
                            <w:sz w:val="14"/>
                          </w:rPr>
                          <w:t>and</w:t>
                        </w:r>
                      </w:p>
                      <w:p>
                        <w:pPr>
                          <w:spacing w:before="0"/>
                          <w:ind w:left="0" w:right="0" w:firstLine="0"/>
                          <w:jc w:val="left"/>
                          <w:rPr>
                            <w:rFonts w:ascii="TT Norms Pro Light"/>
                            <w:b w:val="0"/>
                            <w:sz w:val="14"/>
                          </w:rPr>
                        </w:pPr>
                        <w:r>
                          <w:rPr>
                            <w:rFonts w:ascii="TT Norms Pro Light"/>
                            <w:b w:val="0"/>
                            <w:sz w:val="14"/>
                          </w:rPr>
                          <w:t>Senior</w:t>
                        </w:r>
                        <w:r>
                          <w:rPr>
                            <w:rFonts w:ascii="TT Norms Pro Light"/>
                            <w:b w:val="0"/>
                            <w:spacing w:val="11"/>
                            <w:sz w:val="14"/>
                          </w:rPr>
                          <w:t> </w:t>
                        </w:r>
                        <w:r>
                          <w:rPr>
                            <w:rFonts w:ascii="TT Norms Pro Light"/>
                            <w:b w:val="0"/>
                            <w:spacing w:val="-2"/>
                            <w:sz w:val="14"/>
                          </w:rPr>
                          <w:t>Fellows</w:t>
                        </w:r>
                      </w:p>
                    </w:txbxContent>
                  </v:textbox>
                  <w10:wrap type="none"/>
                </v:shape>
                <v:shape style="position:absolute;left:8328;top:277;width:100;height:181" type="#_x0000_t202" id="docshape475" filled="false" stroked="false">
                  <v:textbox inset="0,0,0,0">
                    <w:txbxContent>
                      <w:p>
                        <w:pPr>
                          <w:spacing w:before="16"/>
                          <w:ind w:left="0" w:right="0" w:firstLine="0"/>
                          <w:jc w:val="left"/>
                          <w:rPr>
                            <w:rFonts w:ascii="TT Norms Pro Light"/>
                            <w:b w:val="0"/>
                            <w:sz w:val="14"/>
                          </w:rPr>
                        </w:pPr>
                        <w:r>
                          <w:rPr>
                            <w:rFonts w:ascii="TT Norms Pro Light"/>
                            <w:b w:val="0"/>
                            <w:spacing w:val="-10"/>
                            <w:sz w:val="14"/>
                          </w:rPr>
                          <w:t>6</w:t>
                        </w:r>
                      </w:p>
                    </w:txbxContent>
                  </v:textbox>
                  <w10:wrap type="none"/>
                </v:shape>
                <v:shape style="position:absolute;left:9402;top:277;width:188;height:181" type="#_x0000_t202" id="docshape476" filled="false" stroked="false">
                  <v:textbox inset="0,0,0,0">
                    <w:txbxContent>
                      <w:p>
                        <w:pPr>
                          <w:spacing w:before="16"/>
                          <w:ind w:left="0" w:right="0" w:firstLine="0"/>
                          <w:jc w:val="left"/>
                          <w:rPr>
                            <w:rFonts w:ascii="TT Norms Pro Light"/>
                            <w:b w:val="0"/>
                            <w:sz w:val="14"/>
                          </w:rPr>
                        </w:pPr>
                        <w:r>
                          <w:rPr>
                            <w:rFonts w:ascii="TT Norms Pro Light"/>
                            <w:b w:val="0"/>
                            <w:spacing w:val="-5"/>
                            <w:sz w:val="14"/>
                          </w:rPr>
                          <w:t>46</w:t>
                        </w:r>
                      </w:p>
                    </w:txbxContent>
                  </v:textbox>
                  <w10:wrap type="none"/>
                </v:shape>
                <v:shape style="position:absolute;left:10642;top:277;width:100;height:181" type="#_x0000_t202" id="docshape477" filled="false" stroked="false">
                  <v:textbox inset="0,0,0,0">
                    <w:txbxContent>
                      <w:p>
                        <w:pPr>
                          <w:spacing w:before="16"/>
                          <w:ind w:left="0" w:right="0" w:firstLine="0"/>
                          <w:jc w:val="left"/>
                          <w:rPr>
                            <w:rFonts w:ascii="TT Norms Pro Light"/>
                            <w:b w:val="0"/>
                            <w:sz w:val="14"/>
                          </w:rPr>
                        </w:pPr>
                        <w:r>
                          <w:rPr>
                            <w:rFonts w:ascii="TT Norms Pro Light"/>
                            <w:b w:val="0"/>
                            <w:spacing w:val="-10"/>
                            <w:sz w:val="14"/>
                          </w:rPr>
                          <w:t>6</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847936">
                <wp:simplePos x="0" y="0"/>
                <wp:positionH relativeFrom="page">
                  <wp:posOffset>681900</wp:posOffset>
                </wp:positionH>
                <wp:positionV relativeFrom="paragraph">
                  <wp:posOffset>231371</wp:posOffset>
                </wp:positionV>
                <wp:extent cx="3010535" cy="826135"/>
                <wp:effectExtent l="0" t="0" r="0" b="0"/>
                <wp:wrapNone/>
                <wp:docPr id="715" name="Textbox 715"/>
                <wp:cNvGraphicFramePr>
                  <a:graphicFrameLocks/>
                </wp:cNvGraphicFramePr>
                <a:graphic>
                  <a:graphicData uri="http://schemas.microsoft.com/office/word/2010/wordprocessingShape">
                    <wps:wsp>
                      <wps:cNvPr id="715" name="Textbox 715"/>
                      <wps:cNvSpPr txBox="1"/>
                      <wps:spPr>
                        <a:xfrm>
                          <a:off x="0" y="0"/>
                          <a:ext cx="3010535" cy="826135"/>
                        </a:xfrm>
                        <a:prstGeom prst="rect">
                          <a:avLst/>
                        </a:prstGeom>
                      </wps:spPr>
                      <wps:txbx>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66"/>
                              <w:gridCol w:w="594"/>
                              <w:gridCol w:w="578"/>
                              <w:gridCol w:w="578"/>
                              <w:gridCol w:w="625"/>
                              <w:gridCol w:w="775"/>
                            </w:tblGrid>
                            <w:tr>
                              <w:trPr>
                                <w:trHeight w:val="243" w:hRule="atLeast"/>
                              </w:trPr>
                              <w:tc>
                                <w:tcPr>
                                  <w:tcW w:w="1466" w:type="dxa"/>
                                </w:tcPr>
                                <w:p>
                                  <w:pPr>
                                    <w:pStyle w:val="TableParagraph"/>
                                    <w:spacing w:line="154" w:lineRule="exact" w:before="69"/>
                                    <w:ind w:right="152"/>
                                    <w:jc w:val="right"/>
                                    <w:rPr>
                                      <w:rFonts w:ascii="TT Norms Pro"/>
                                      <w:b/>
                                      <w:sz w:val="14"/>
                                    </w:rPr>
                                  </w:pPr>
                                  <w:r>
                                    <w:rPr>
                                      <w:rFonts w:ascii="TT Norms Pro"/>
                                      <w:b/>
                                      <w:spacing w:val="-4"/>
                                      <w:sz w:val="14"/>
                                    </w:rPr>
                                    <w:t>2016</w:t>
                                  </w:r>
                                </w:p>
                              </w:tc>
                              <w:tc>
                                <w:tcPr>
                                  <w:tcW w:w="594" w:type="dxa"/>
                                </w:tcPr>
                                <w:p>
                                  <w:pPr>
                                    <w:pStyle w:val="TableParagraph"/>
                                    <w:spacing w:line="154" w:lineRule="exact" w:before="69"/>
                                    <w:ind w:left="60" w:right="73"/>
                                    <w:jc w:val="center"/>
                                    <w:rPr>
                                      <w:rFonts w:ascii="TT Norms Pro"/>
                                      <w:b/>
                                      <w:sz w:val="14"/>
                                    </w:rPr>
                                  </w:pPr>
                                  <w:r>
                                    <w:rPr>
                                      <w:rFonts w:ascii="TT Norms Pro"/>
                                      <w:b/>
                                      <w:spacing w:val="-4"/>
                                      <w:sz w:val="14"/>
                                    </w:rPr>
                                    <w:t>2017</w:t>
                                  </w:r>
                                </w:p>
                              </w:tc>
                              <w:tc>
                                <w:tcPr>
                                  <w:tcW w:w="578" w:type="dxa"/>
                                </w:tcPr>
                                <w:p>
                                  <w:pPr>
                                    <w:pStyle w:val="TableParagraph"/>
                                    <w:spacing w:line="154" w:lineRule="exact" w:before="69"/>
                                    <w:ind w:left="95" w:right="91"/>
                                    <w:jc w:val="center"/>
                                    <w:rPr>
                                      <w:rFonts w:ascii="TT Norms Pro"/>
                                      <w:b/>
                                      <w:sz w:val="14"/>
                                    </w:rPr>
                                  </w:pPr>
                                  <w:r>
                                    <w:rPr>
                                      <w:rFonts w:ascii="TT Norms Pro"/>
                                      <w:b/>
                                      <w:spacing w:val="-4"/>
                                      <w:sz w:val="14"/>
                                    </w:rPr>
                                    <w:t>2018</w:t>
                                  </w:r>
                                </w:p>
                              </w:tc>
                              <w:tc>
                                <w:tcPr>
                                  <w:tcW w:w="578" w:type="dxa"/>
                                </w:tcPr>
                                <w:p>
                                  <w:pPr>
                                    <w:pStyle w:val="TableParagraph"/>
                                    <w:spacing w:line="154" w:lineRule="exact" w:before="69"/>
                                    <w:ind w:right="37"/>
                                    <w:jc w:val="center"/>
                                    <w:rPr>
                                      <w:rFonts w:ascii="TT Norms Pro"/>
                                      <w:b/>
                                      <w:sz w:val="14"/>
                                    </w:rPr>
                                  </w:pPr>
                                  <w:r>
                                    <w:rPr>
                                      <w:rFonts w:ascii="TT Norms Pro"/>
                                      <w:b/>
                                      <w:spacing w:val="-4"/>
                                      <w:sz w:val="14"/>
                                    </w:rPr>
                                    <w:t>2019</w:t>
                                  </w:r>
                                </w:p>
                              </w:tc>
                              <w:tc>
                                <w:tcPr>
                                  <w:tcW w:w="625" w:type="dxa"/>
                                </w:tcPr>
                                <w:p>
                                  <w:pPr>
                                    <w:pStyle w:val="TableParagraph"/>
                                    <w:spacing w:line="154" w:lineRule="exact" w:before="69"/>
                                    <w:ind w:right="137"/>
                                    <w:jc w:val="right"/>
                                    <w:rPr>
                                      <w:rFonts w:ascii="TT Norms Pro"/>
                                      <w:b/>
                                      <w:sz w:val="14"/>
                                    </w:rPr>
                                  </w:pPr>
                                  <w:r>
                                    <w:rPr>
                                      <w:rFonts w:ascii="TT Norms Pro"/>
                                      <w:b/>
                                      <w:spacing w:val="-4"/>
                                      <w:sz w:val="14"/>
                                    </w:rPr>
                                    <w:t>2020</w:t>
                                  </w:r>
                                </w:p>
                              </w:tc>
                              <w:tc>
                                <w:tcPr>
                                  <w:tcW w:w="775" w:type="dxa"/>
                                </w:tcPr>
                                <w:p>
                                  <w:pPr>
                                    <w:pStyle w:val="TableParagraph"/>
                                    <w:spacing w:line="154" w:lineRule="exact" w:before="69"/>
                                    <w:ind w:right="73"/>
                                    <w:jc w:val="right"/>
                                    <w:rPr>
                                      <w:rFonts w:ascii="TT Norms Pro"/>
                                      <w:b/>
                                      <w:sz w:val="14"/>
                                    </w:rPr>
                                  </w:pPr>
                                  <w:r>
                                    <w:rPr>
                                      <w:rFonts w:ascii="TT Norms Pro"/>
                                      <w:b/>
                                      <w:spacing w:val="-4"/>
                                      <w:sz w:val="14"/>
                                    </w:rPr>
                                    <w:t>2020</w:t>
                                  </w:r>
                                </w:p>
                              </w:tc>
                            </w:tr>
                            <w:tr>
                              <w:trPr>
                                <w:trHeight w:val="268" w:hRule="atLeast"/>
                              </w:trPr>
                              <w:tc>
                                <w:tcPr>
                                  <w:tcW w:w="1466" w:type="dxa"/>
                                  <w:tcBorders>
                                    <w:bottom w:val="single" w:sz="2" w:space="0" w:color="000000"/>
                                  </w:tcBorders>
                                </w:tcPr>
                                <w:p>
                                  <w:pPr>
                                    <w:pStyle w:val="TableParagraph"/>
                                    <w:rPr>
                                      <w:rFonts w:ascii="Times New Roman"/>
                                      <w:sz w:val="16"/>
                                    </w:rPr>
                                  </w:pPr>
                                </w:p>
                              </w:tc>
                              <w:tc>
                                <w:tcPr>
                                  <w:tcW w:w="594" w:type="dxa"/>
                                  <w:tcBorders>
                                    <w:bottom w:val="single" w:sz="2" w:space="0" w:color="000000"/>
                                  </w:tcBorders>
                                </w:tcPr>
                                <w:p>
                                  <w:pPr>
                                    <w:pStyle w:val="TableParagraph"/>
                                    <w:rPr>
                                      <w:rFonts w:ascii="Times New Roman"/>
                                      <w:sz w:val="16"/>
                                    </w:rPr>
                                  </w:pPr>
                                </w:p>
                              </w:tc>
                              <w:tc>
                                <w:tcPr>
                                  <w:tcW w:w="578" w:type="dxa"/>
                                  <w:tcBorders>
                                    <w:bottom w:val="single" w:sz="2" w:space="0" w:color="000000"/>
                                  </w:tcBorders>
                                </w:tcPr>
                                <w:p>
                                  <w:pPr>
                                    <w:pStyle w:val="TableParagraph"/>
                                    <w:rPr>
                                      <w:rFonts w:ascii="Times New Roman"/>
                                      <w:sz w:val="16"/>
                                    </w:rPr>
                                  </w:pPr>
                                </w:p>
                              </w:tc>
                              <w:tc>
                                <w:tcPr>
                                  <w:tcW w:w="578" w:type="dxa"/>
                                  <w:tcBorders>
                                    <w:bottom w:val="single" w:sz="2" w:space="0" w:color="000000"/>
                                  </w:tcBorders>
                                </w:tcPr>
                                <w:p>
                                  <w:pPr>
                                    <w:pStyle w:val="TableParagraph"/>
                                    <w:rPr>
                                      <w:rFonts w:ascii="Times New Roman"/>
                                      <w:sz w:val="16"/>
                                    </w:rPr>
                                  </w:pPr>
                                </w:p>
                              </w:tc>
                              <w:tc>
                                <w:tcPr>
                                  <w:tcW w:w="625" w:type="dxa"/>
                                  <w:tcBorders>
                                    <w:bottom w:val="single" w:sz="2" w:space="0" w:color="000000"/>
                                  </w:tcBorders>
                                </w:tcPr>
                                <w:p>
                                  <w:pPr>
                                    <w:pStyle w:val="TableParagraph"/>
                                    <w:rPr>
                                      <w:rFonts w:ascii="Times New Roman"/>
                                      <w:sz w:val="16"/>
                                    </w:rPr>
                                  </w:pPr>
                                </w:p>
                              </w:tc>
                              <w:tc>
                                <w:tcPr>
                                  <w:tcW w:w="775" w:type="dxa"/>
                                  <w:tcBorders>
                                    <w:bottom w:val="single" w:sz="2" w:space="0" w:color="000000"/>
                                  </w:tcBorders>
                                </w:tcPr>
                                <w:p>
                                  <w:pPr>
                                    <w:pStyle w:val="TableParagraph"/>
                                    <w:spacing w:before="26"/>
                                    <w:ind w:right="73"/>
                                    <w:jc w:val="right"/>
                                    <w:rPr>
                                      <w:rFonts w:ascii="TT Norms Pro"/>
                                      <w:b/>
                                      <w:sz w:val="14"/>
                                    </w:rPr>
                                  </w:pPr>
                                  <w:r>
                                    <w:rPr>
                                      <w:rFonts w:ascii="TT Norms Pro"/>
                                      <w:b/>
                                      <w:spacing w:val="-2"/>
                                      <w:sz w:val="14"/>
                                    </w:rPr>
                                    <w:t>TARGET</w:t>
                                  </w:r>
                                </w:p>
                              </w:tc>
                            </w:tr>
                            <w:tr>
                              <w:trPr>
                                <w:trHeight w:val="280" w:hRule="atLeast"/>
                              </w:trPr>
                              <w:tc>
                                <w:tcPr>
                                  <w:tcW w:w="1466" w:type="dxa"/>
                                  <w:tcBorders>
                                    <w:top w:val="single" w:sz="2" w:space="0" w:color="000000"/>
                                  </w:tcBorders>
                                  <w:shd w:val="clear" w:color="auto" w:fill="E6E7E8"/>
                                </w:tcPr>
                                <w:p>
                                  <w:pPr>
                                    <w:pStyle w:val="TableParagraph"/>
                                    <w:tabs>
                                      <w:tab w:pos="977" w:val="left" w:leader="none"/>
                                    </w:tabs>
                                    <w:spacing w:before="65"/>
                                    <w:ind w:right="131"/>
                                    <w:jc w:val="right"/>
                                    <w:rPr>
                                      <w:rFonts w:ascii="TT Norms Pro Light"/>
                                      <w:b w:val="0"/>
                                      <w:sz w:val="14"/>
                                    </w:rPr>
                                  </w:pPr>
                                  <w:r>
                                    <w:rPr>
                                      <w:rFonts w:ascii="TT Norms Pro Light"/>
                                      <w:b w:val="0"/>
                                      <w:spacing w:val="-5"/>
                                      <w:sz w:val="14"/>
                                    </w:rPr>
                                    <w:t>UWA</w:t>
                                  </w:r>
                                  <w:r>
                                    <w:rPr>
                                      <w:rFonts w:ascii="TT Norms Pro Light"/>
                                      <w:b w:val="0"/>
                                      <w:sz w:val="14"/>
                                    </w:rPr>
                                    <w:tab/>
                                    <w:t>82 </w:t>
                                  </w:r>
                                  <w:r>
                                    <w:rPr>
                                      <w:rFonts w:ascii="TT Norms Pro Light"/>
                                      <w:b w:val="0"/>
                                      <w:spacing w:val="-5"/>
                                      <w:sz w:val="14"/>
                                    </w:rPr>
                                    <w:t>.0</w:t>
                                  </w:r>
                                </w:p>
                              </w:tc>
                              <w:tc>
                                <w:tcPr>
                                  <w:tcW w:w="594" w:type="dxa"/>
                                  <w:tcBorders>
                                    <w:top w:val="single" w:sz="2" w:space="0" w:color="000000"/>
                                  </w:tcBorders>
                                  <w:shd w:val="clear" w:color="auto" w:fill="E6E7E8"/>
                                </w:tcPr>
                                <w:p>
                                  <w:pPr>
                                    <w:pStyle w:val="TableParagraph"/>
                                    <w:spacing w:before="65"/>
                                    <w:ind w:left="78" w:right="18"/>
                                    <w:jc w:val="center"/>
                                    <w:rPr>
                                      <w:rFonts w:ascii="TT Norms Pro Light"/>
                                      <w:b w:val="0"/>
                                      <w:sz w:val="14"/>
                                    </w:rPr>
                                  </w:pPr>
                                  <w:r>
                                    <w:rPr>
                                      <w:rFonts w:ascii="TT Norms Pro Light"/>
                                      <w:b w:val="0"/>
                                      <w:spacing w:val="-4"/>
                                      <w:sz w:val="14"/>
                                    </w:rPr>
                                    <w:t>80.4</w:t>
                                  </w:r>
                                </w:p>
                              </w:tc>
                              <w:tc>
                                <w:tcPr>
                                  <w:tcW w:w="578" w:type="dxa"/>
                                  <w:tcBorders>
                                    <w:top w:val="single" w:sz="2" w:space="0" w:color="000000"/>
                                  </w:tcBorders>
                                  <w:shd w:val="clear" w:color="auto" w:fill="E6E7E8"/>
                                </w:tcPr>
                                <w:p>
                                  <w:pPr>
                                    <w:pStyle w:val="TableParagraph"/>
                                    <w:spacing w:before="65"/>
                                    <w:ind w:left="95"/>
                                    <w:jc w:val="center"/>
                                    <w:rPr>
                                      <w:rFonts w:ascii="TT Norms Pro Light"/>
                                      <w:b w:val="0"/>
                                      <w:sz w:val="14"/>
                                    </w:rPr>
                                  </w:pPr>
                                  <w:r>
                                    <w:rPr>
                                      <w:rFonts w:ascii="TT Norms Pro Light"/>
                                      <w:b w:val="0"/>
                                      <w:spacing w:val="-4"/>
                                      <w:sz w:val="14"/>
                                    </w:rPr>
                                    <w:t>82.2</w:t>
                                  </w:r>
                                </w:p>
                              </w:tc>
                              <w:tc>
                                <w:tcPr>
                                  <w:tcW w:w="578" w:type="dxa"/>
                                  <w:tcBorders>
                                    <w:top w:val="single" w:sz="2" w:space="0" w:color="000000"/>
                                  </w:tcBorders>
                                  <w:shd w:val="clear" w:color="auto" w:fill="E6E7E8"/>
                                </w:tcPr>
                                <w:p>
                                  <w:pPr>
                                    <w:pStyle w:val="TableParagraph"/>
                                    <w:spacing w:before="65"/>
                                    <w:ind w:left="95" w:right="52"/>
                                    <w:jc w:val="center"/>
                                    <w:rPr>
                                      <w:rFonts w:ascii="TT Norms Pro Light"/>
                                      <w:b w:val="0"/>
                                      <w:sz w:val="14"/>
                                    </w:rPr>
                                  </w:pPr>
                                  <w:r>
                                    <w:rPr>
                                      <w:rFonts w:ascii="TT Norms Pro Light"/>
                                      <w:b w:val="0"/>
                                      <w:spacing w:val="-4"/>
                                      <w:sz w:val="14"/>
                                    </w:rPr>
                                    <w:t>80.5</w:t>
                                  </w:r>
                                </w:p>
                              </w:tc>
                              <w:tc>
                                <w:tcPr>
                                  <w:tcW w:w="625" w:type="dxa"/>
                                  <w:tcBorders>
                                    <w:top w:val="single" w:sz="2" w:space="0" w:color="000000"/>
                                  </w:tcBorders>
                                  <w:shd w:val="clear" w:color="auto" w:fill="E6E7E8"/>
                                </w:tcPr>
                                <w:p>
                                  <w:pPr>
                                    <w:pStyle w:val="TableParagraph"/>
                                    <w:spacing w:before="65"/>
                                    <w:ind w:right="114"/>
                                    <w:jc w:val="right"/>
                                    <w:rPr>
                                      <w:rFonts w:ascii="TT Norms Pro Light"/>
                                      <w:b w:val="0"/>
                                      <w:sz w:val="14"/>
                                    </w:rPr>
                                  </w:pPr>
                                  <w:r>
                                    <w:rPr>
                                      <w:rFonts w:ascii="TT Norms Pro Light"/>
                                      <w:b w:val="0"/>
                                      <w:spacing w:val="-4"/>
                                      <w:sz w:val="14"/>
                                    </w:rPr>
                                    <w:t>82.1</w:t>
                                  </w:r>
                                </w:p>
                              </w:tc>
                              <w:tc>
                                <w:tcPr>
                                  <w:tcW w:w="775" w:type="dxa"/>
                                  <w:tcBorders>
                                    <w:top w:val="single" w:sz="2" w:space="0" w:color="000000"/>
                                  </w:tcBorders>
                                  <w:shd w:val="clear" w:color="auto" w:fill="E6E7E8"/>
                                </w:tcPr>
                                <w:p>
                                  <w:pPr>
                                    <w:pStyle w:val="TableParagraph"/>
                                    <w:spacing w:before="65"/>
                                    <w:ind w:right="49"/>
                                    <w:jc w:val="right"/>
                                    <w:rPr>
                                      <w:rFonts w:ascii="TT Norms Pro Light"/>
                                      <w:b w:val="0"/>
                                      <w:sz w:val="14"/>
                                    </w:rPr>
                                  </w:pPr>
                                  <w:r>
                                    <w:rPr>
                                      <w:rFonts w:ascii="TT Norms Pro Light"/>
                                      <w:b w:val="0"/>
                                      <w:sz w:val="14"/>
                                    </w:rPr>
                                    <w:t>83</w:t>
                                  </w:r>
                                  <w:r>
                                    <w:rPr>
                                      <w:rFonts w:ascii="TT Norms Pro Light"/>
                                      <w:b w:val="0"/>
                                      <w:spacing w:val="3"/>
                                      <w:sz w:val="14"/>
                                    </w:rPr>
                                    <w:t> </w:t>
                                  </w:r>
                                  <w:r>
                                    <w:rPr>
                                      <w:rFonts w:ascii="TT Norms Pro Light"/>
                                      <w:b w:val="0"/>
                                      <w:spacing w:val="-5"/>
                                      <w:sz w:val="14"/>
                                    </w:rPr>
                                    <w:t>.0</w:t>
                                  </w:r>
                                </w:p>
                              </w:tc>
                            </w:tr>
                            <w:tr>
                              <w:trPr>
                                <w:trHeight w:val="500" w:hRule="atLeast"/>
                              </w:trPr>
                              <w:tc>
                                <w:tcPr>
                                  <w:tcW w:w="1466" w:type="dxa"/>
                                  <w:tcBorders>
                                    <w:bottom w:val="single" w:sz="2" w:space="0" w:color="000000"/>
                                  </w:tcBorders>
                                </w:tcPr>
                                <w:p>
                                  <w:pPr>
                                    <w:pStyle w:val="TableParagraph"/>
                                    <w:tabs>
                                      <w:tab w:pos="1332" w:val="right" w:leader="none"/>
                                    </w:tabs>
                                    <w:spacing w:line="232" w:lineRule="exact" w:before="78"/>
                                    <w:ind w:left="57"/>
                                    <w:rPr>
                                      <w:rFonts w:ascii="TT Norms Pro Light"/>
                                      <w:b w:val="0"/>
                                      <w:sz w:val="14"/>
                                    </w:rPr>
                                  </w:pPr>
                                  <w:r>
                                    <w:rPr>
                                      <w:rFonts w:ascii="TT Norms Pro Light"/>
                                      <w:b w:val="0"/>
                                      <w:spacing w:val="-5"/>
                                      <w:position w:val="10"/>
                                      <w:sz w:val="14"/>
                                    </w:rPr>
                                    <w:t>WA</w:t>
                                  </w:r>
                                  <w:r>
                                    <w:rPr>
                                      <w:rFonts w:ascii="TT Norms Pro Light"/>
                                      <w:b w:val="0"/>
                                      <w:position w:val="10"/>
                                      <w:sz w:val="14"/>
                                    </w:rPr>
                                    <w:tab/>
                                  </w:r>
                                  <w:r>
                                    <w:rPr>
                                      <w:rFonts w:ascii="TT Norms Pro Light"/>
                                      <w:b w:val="0"/>
                                      <w:spacing w:val="-4"/>
                                      <w:sz w:val="14"/>
                                    </w:rPr>
                                    <w:t>82.6</w:t>
                                  </w:r>
                                </w:p>
                                <w:p>
                                  <w:pPr>
                                    <w:pStyle w:val="TableParagraph"/>
                                    <w:spacing w:line="132" w:lineRule="exact"/>
                                    <w:ind w:left="57"/>
                                    <w:rPr>
                                      <w:rFonts w:ascii="TT Norms Pro Light"/>
                                      <w:b w:val="0"/>
                                      <w:sz w:val="14"/>
                                    </w:rPr>
                                  </w:pPr>
                                  <w:r>
                                    <w:rPr>
                                      <w:rFonts w:ascii="TT Norms Pro Light"/>
                                      <w:b w:val="0"/>
                                      <w:spacing w:val="-2"/>
                                      <w:sz w:val="14"/>
                                    </w:rPr>
                                    <w:t>average</w:t>
                                  </w:r>
                                </w:p>
                              </w:tc>
                              <w:tc>
                                <w:tcPr>
                                  <w:tcW w:w="594" w:type="dxa"/>
                                  <w:tcBorders>
                                    <w:bottom w:val="single" w:sz="2" w:space="0" w:color="000000"/>
                                  </w:tcBorders>
                                </w:tcPr>
                                <w:p>
                                  <w:pPr>
                                    <w:pStyle w:val="TableParagraph"/>
                                    <w:spacing w:before="14"/>
                                    <w:rPr>
                                      <w:rFonts w:ascii="TT Norms Pro Light"/>
                                      <w:b w:val="0"/>
                                      <w:sz w:val="14"/>
                                    </w:rPr>
                                  </w:pPr>
                                </w:p>
                                <w:p>
                                  <w:pPr>
                                    <w:pStyle w:val="TableParagraph"/>
                                    <w:ind w:left="108"/>
                                    <w:jc w:val="center"/>
                                    <w:rPr>
                                      <w:rFonts w:ascii="TT Norms Pro Light"/>
                                      <w:b w:val="0"/>
                                      <w:sz w:val="14"/>
                                    </w:rPr>
                                  </w:pPr>
                                  <w:r>
                                    <w:rPr>
                                      <w:rFonts w:ascii="TT Norms Pro Light"/>
                                      <w:b w:val="0"/>
                                      <w:spacing w:val="-4"/>
                                      <w:sz w:val="14"/>
                                    </w:rPr>
                                    <w:t>81.7</w:t>
                                  </w:r>
                                </w:p>
                              </w:tc>
                              <w:tc>
                                <w:tcPr>
                                  <w:tcW w:w="578" w:type="dxa"/>
                                  <w:tcBorders>
                                    <w:bottom w:val="single" w:sz="2" w:space="0" w:color="000000"/>
                                  </w:tcBorders>
                                </w:tcPr>
                                <w:p>
                                  <w:pPr>
                                    <w:pStyle w:val="TableParagraph"/>
                                    <w:spacing w:before="14"/>
                                    <w:rPr>
                                      <w:rFonts w:ascii="TT Norms Pro Light"/>
                                      <w:b w:val="0"/>
                                      <w:sz w:val="14"/>
                                    </w:rPr>
                                  </w:pPr>
                                </w:p>
                                <w:p>
                                  <w:pPr>
                                    <w:pStyle w:val="TableParagraph"/>
                                    <w:ind w:left="88"/>
                                    <w:jc w:val="center"/>
                                    <w:rPr>
                                      <w:rFonts w:ascii="TT Norms Pro Light"/>
                                      <w:b w:val="0"/>
                                      <w:sz w:val="14"/>
                                    </w:rPr>
                                  </w:pPr>
                                  <w:r>
                                    <w:rPr>
                                      <w:rFonts w:ascii="TT Norms Pro Light"/>
                                      <w:b w:val="0"/>
                                      <w:spacing w:val="-4"/>
                                      <w:sz w:val="14"/>
                                    </w:rPr>
                                    <w:t>80.5</w:t>
                                  </w:r>
                                </w:p>
                              </w:tc>
                              <w:tc>
                                <w:tcPr>
                                  <w:tcW w:w="578" w:type="dxa"/>
                                  <w:tcBorders>
                                    <w:bottom w:val="single" w:sz="2" w:space="0" w:color="000000"/>
                                  </w:tcBorders>
                                </w:tcPr>
                                <w:p>
                                  <w:pPr>
                                    <w:pStyle w:val="TableParagraph"/>
                                    <w:spacing w:before="14"/>
                                    <w:rPr>
                                      <w:rFonts w:ascii="TT Norms Pro Light"/>
                                      <w:b w:val="0"/>
                                      <w:sz w:val="14"/>
                                    </w:rPr>
                                  </w:pPr>
                                </w:p>
                                <w:p>
                                  <w:pPr>
                                    <w:pStyle w:val="TableParagraph"/>
                                    <w:ind w:left="144" w:right="37"/>
                                    <w:jc w:val="center"/>
                                    <w:rPr>
                                      <w:rFonts w:ascii="TT Norms Pro Light"/>
                                      <w:b w:val="0"/>
                                      <w:sz w:val="14"/>
                                    </w:rPr>
                                  </w:pPr>
                                  <w:r>
                                    <w:rPr>
                                      <w:rFonts w:ascii="TT Norms Pro Light"/>
                                      <w:b w:val="0"/>
                                      <w:spacing w:val="-4"/>
                                      <w:sz w:val="14"/>
                                    </w:rPr>
                                    <w:t>79.1</w:t>
                                  </w:r>
                                </w:p>
                              </w:tc>
                              <w:tc>
                                <w:tcPr>
                                  <w:tcW w:w="625" w:type="dxa"/>
                                  <w:tcBorders>
                                    <w:bottom w:val="single" w:sz="2" w:space="0" w:color="000000"/>
                                  </w:tcBorders>
                                </w:tcPr>
                                <w:p>
                                  <w:pPr>
                                    <w:pStyle w:val="TableParagraph"/>
                                    <w:spacing w:before="14"/>
                                    <w:rPr>
                                      <w:rFonts w:ascii="TT Norms Pro Light"/>
                                      <w:b w:val="0"/>
                                      <w:sz w:val="14"/>
                                    </w:rPr>
                                  </w:pPr>
                                </w:p>
                                <w:p>
                                  <w:pPr>
                                    <w:pStyle w:val="TableParagraph"/>
                                    <w:ind w:right="118"/>
                                    <w:jc w:val="right"/>
                                    <w:rPr>
                                      <w:rFonts w:ascii="TT Norms Pro Light"/>
                                      <w:b w:val="0"/>
                                      <w:sz w:val="14"/>
                                    </w:rPr>
                                  </w:pPr>
                                  <w:r>
                                    <w:rPr>
                                      <w:rFonts w:ascii="TT Norms Pro Light"/>
                                      <w:b w:val="0"/>
                                      <w:spacing w:val="-4"/>
                                      <w:sz w:val="14"/>
                                    </w:rPr>
                                    <w:t>78.9</w:t>
                                  </w:r>
                                </w:p>
                              </w:tc>
                              <w:tc>
                                <w:tcPr>
                                  <w:tcW w:w="775" w:type="dxa"/>
                                  <w:tcBorders>
                                    <w:bottom w:val="single" w:sz="2" w:space="0" w:color="000000"/>
                                  </w:tcBorders>
                                </w:tcPr>
                                <w:p>
                                  <w:pPr>
                                    <w:pStyle w:val="TableParagraph"/>
                                    <w:rPr>
                                      <w:rFonts w:ascii="Times New Roman"/>
                                      <w:sz w:val="16"/>
                                    </w:rPr>
                                  </w:pPr>
                                </w:p>
                              </w:tc>
                            </w:tr>
                          </w:tbl>
                          <w:p>
                            <w:pPr>
                              <w:pStyle w:val="BodyText"/>
                            </w:pPr>
                          </w:p>
                        </w:txbxContent>
                      </wps:txbx>
                      <wps:bodyPr wrap="square" lIns="0" tIns="0" rIns="0" bIns="0" rtlCol="0">
                        <a:noAutofit/>
                      </wps:bodyPr>
                    </wps:wsp>
                  </a:graphicData>
                </a:graphic>
              </wp:anchor>
            </w:drawing>
          </mc:Choice>
          <mc:Fallback>
            <w:pict>
              <v:shape style="position:absolute;margin-left:53.69297pt;margin-top:18.218201pt;width:237.05pt;height:65.05pt;mso-position-horizontal-relative:page;mso-position-vertical-relative:paragraph;z-index:15847936" type="#_x0000_t202" id="docshape478"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66"/>
                        <w:gridCol w:w="594"/>
                        <w:gridCol w:w="578"/>
                        <w:gridCol w:w="578"/>
                        <w:gridCol w:w="625"/>
                        <w:gridCol w:w="775"/>
                      </w:tblGrid>
                      <w:tr>
                        <w:trPr>
                          <w:trHeight w:val="243" w:hRule="atLeast"/>
                        </w:trPr>
                        <w:tc>
                          <w:tcPr>
                            <w:tcW w:w="1466" w:type="dxa"/>
                          </w:tcPr>
                          <w:p>
                            <w:pPr>
                              <w:pStyle w:val="TableParagraph"/>
                              <w:spacing w:line="154" w:lineRule="exact" w:before="69"/>
                              <w:ind w:right="152"/>
                              <w:jc w:val="right"/>
                              <w:rPr>
                                <w:rFonts w:ascii="TT Norms Pro"/>
                                <w:b/>
                                <w:sz w:val="14"/>
                              </w:rPr>
                            </w:pPr>
                            <w:r>
                              <w:rPr>
                                <w:rFonts w:ascii="TT Norms Pro"/>
                                <w:b/>
                                <w:spacing w:val="-4"/>
                                <w:sz w:val="14"/>
                              </w:rPr>
                              <w:t>2016</w:t>
                            </w:r>
                          </w:p>
                        </w:tc>
                        <w:tc>
                          <w:tcPr>
                            <w:tcW w:w="594" w:type="dxa"/>
                          </w:tcPr>
                          <w:p>
                            <w:pPr>
                              <w:pStyle w:val="TableParagraph"/>
                              <w:spacing w:line="154" w:lineRule="exact" w:before="69"/>
                              <w:ind w:left="60" w:right="73"/>
                              <w:jc w:val="center"/>
                              <w:rPr>
                                <w:rFonts w:ascii="TT Norms Pro"/>
                                <w:b/>
                                <w:sz w:val="14"/>
                              </w:rPr>
                            </w:pPr>
                            <w:r>
                              <w:rPr>
                                <w:rFonts w:ascii="TT Norms Pro"/>
                                <w:b/>
                                <w:spacing w:val="-4"/>
                                <w:sz w:val="14"/>
                              </w:rPr>
                              <w:t>2017</w:t>
                            </w:r>
                          </w:p>
                        </w:tc>
                        <w:tc>
                          <w:tcPr>
                            <w:tcW w:w="578" w:type="dxa"/>
                          </w:tcPr>
                          <w:p>
                            <w:pPr>
                              <w:pStyle w:val="TableParagraph"/>
                              <w:spacing w:line="154" w:lineRule="exact" w:before="69"/>
                              <w:ind w:left="95" w:right="91"/>
                              <w:jc w:val="center"/>
                              <w:rPr>
                                <w:rFonts w:ascii="TT Norms Pro"/>
                                <w:b/>
                                <w:sz w:val="14"/>
                              </w:rPr>
                            </w:pPr>
                            <w:r>
                              <w:rPr>
                                <w:rFonts w:ascii="TT Norms Pro"/>
                                <w:b/>
                                <w:spacing w:val="-4"/>
                                <w:sz w:val="14"/>
                              </w:rPr>
                              <w:t>2018</w:t>
                            </w:r>
                          </w:p>
                        </w:tc>
                        <w:tc>
                          <w:tcPr>
                            <w:tcW w:w="578" w:type="dxa"/>
                          </w:tcPr>
                          <w:p>
                            <w:pPr>
                              <w:pStyle w:val="TableParagraph"/>
                              <w:spacing w:line="154" w:lineRule="exact" w:before="69"/>
                              <w:ind w:right="37"/>
                              <w:jc w:val="center"/>
                              <w:rPr>
                                <w:rFonts w:ascii="TT Norms Pro"/>
                                <w:b/>
                                <w:sz w:val="14"/>
                              </w:rPr>
                            </w:pPr>
                            <w:r>
                              <w:rPr>
                                <w:rFonts w:ascii="TT Norms Pro"/>
                                <w:b/>
                                <w:spacing w:val="-4"/>
                                <w:sz w:val="14"/>
                              </w:rPr>
                              <w:t>2019</w:t>
                            </w:r>
                          </w:p>
                        </w:tc>
                        <w:tc>
                          <w:tcPr>
                            <w:tcW w:w="625" w:type="dxa"/>
                          </w:tcPr>
                          <w:p>
                            <w:pPr>
                              <w:pStyle w:val="TableParagraph"/>
                              <w:spacing w:line="154" w:lineRule="exact" w:before="69"/>
                              <w:ind w:right="137"/>
                              <w:jc w:val="right"/>
                              <w:rPr>
                                <w:rFonts w:ascii="TT Norms Pro"/>
                                <w:b/>
                                <w:sz w:val="14"/>
                              </w:rPr>
                            </w:pPr>
                            <w:r>
                              <w:rPr>
                                <w:rFonts w:ascii="TT Norms Pro"/>
                                <w:b/>
                                <w:spacing w:val="-4"/>
                                <w:sz w:val="14"/>
                              </w:rPr>
                              <w:t>2020</w:t>
                            </w:r>
                          </w:p>
                        </w:tc>
                        <w:tc>
                          <w:tcPr>
                            <w:tcW w:w="775" w:type="dxa"/>
                          </w:tcPr>
                          <w:p>
                            <w:pPr>
                              <w:pStyle w:val="TableParagraph"/>
                              <w:spacing w:line="154" w:lineRule="exact" w:before="69"/>
                              <w:ind w:right="73"/>
                              <w:jc w:val="right"/>
                              <w:rPr>
                                <w:rFonts w:ascii="TT Norms Pro"/>
                                <w:b/>
                                <w:sz w:val="14"/>
                              </w:rPr>
                            </w:pPr>
                            <w:r>
                              <w:rPr>
                                <w:rFonts w:ascii="TT Norms Pro"/>
                                <w:b/>
                                <w:spacing w:val="-4"/>
                                <w:sz w:val="14"/>
                              </w:rPr>
                              <w:t>2020</w:t>
                            </w:r>
                          </w:p>
                        </w:tc>
                      </w:tr>
                      <w:tr>
                        <w:trPr>
                          <w:trHeight w:val="268" w:hRule="atLeast"/>
                        </w:trPr>
                        <w:tc>
                          <w:tcPr>
                            <w:tcW w:w="1466" w:type="dxa"/>
                            <w:tcBorders>
                              <w:bottom w:val="single" w:sz="2" w:space="0" w:color="000000"/>
                            </w:tcBorders>
                          </w:tcPr>
                          <w:p>
                            <w:pPr>
                              <w:pStyle w:val="TableParagraph"/>
                              <w:rPr>
                                <w:rFonts w:ascii="Times New Roman"/>
                                <w:sz w:val="16"/>
                              </w:rPr>
                            </w:pPr>
                          </w:p>
                        </w:tc>
                        <w:tc>
                          <w:tcPr>
                            <w:tcW w:w="594" w:type="dxa"/>
                            <w:tcBorders>
                              <w:bottom w:val="single" w:sz="2" w:space="0" w:color="000000"/>
                            </w:tcBorders>
                          </w:tcPr>
                          <w:p>
                            <w:pPr>
                              <w:pStyle w:val="TableParagraph"/>
                              <w:rPr>
                                <w:rFonts w:ascii="Times New Roman"/>
                                <w:sz w:val="16"/>
                              </w:rPr>
                            </w:pPr>
                          </w:p>
                        </w:tc>
                        <w:tc>
                          <w:tcPr>
                            <w:tcW w:w="578" w:type="dxa"/>
                            <w:tcBorders>
                              <w:bottom w:val="single" w:sz="2" w:space="0" w:color="000000"/>
                            </w:tcBorders>
                          </w:tcPr>
                          <w:p>
                            <w:pPr>
                              <w:pStyle w:val="TableParagraph"/>
                              <w:rPr>
                                <w:rFonts w:ascii="Times New Roman"/>
                                <w:sz w:val="16"/>
                              </w:rPr>
                            </w:pPr>
                          </w:p>
                        </w:tc>
                        <w:tc>
                          <w:tcPr>
                            <w:tcW w:w="578" w:type="dxa"/>
                            <w:tcBorders>
                              <w:bottom w:val="single" w:sz="2" w:space="0" w:color="000000"/>
                            </w:tcBorders>
                          </w:tcPr>
                          <w:p>
                            <w:pPr>
                              <w:pStyle w:val="TableParagraph"/>
                              <w:rPr>
                                <w:rFonts w:ascii="Times New Roman"/>
                                <w:sz w:val="16"/>
                              </w:rPr>
                            </w:pPr>
                          </w:p>
                        </w:tc>
                        <w:tc>
                          <w:tcPr>
                            <w:tcW w:w="625" w:type="dxa"/>
                            <w:tcBorders>
                              <w:bottom w:val="single" w:sz="2" w:space="0" w:color="000000"/>
                            </w:tcBorders>
                          </w:tcPr>
                          <w:p>
                            <w:pPr>
                              <w:pStyle w:val="TableParagraph"/>
                              <w:rPr>
                                <w:rFonts w:ascii="Times New Roman"/>
                                <w:sz w:val="16"/>
                              </w:rPr>
                            </w:pPr>
                          </w:p>
                        </w:tc>
                        <w:tc>
                          <w:tcPr>
                            <w:tcW w:w="775" w:type="dxa"/>
                            <w:tcBorders>
                              <w:bottom w:val="single" w:sz="2" w:space="0" w:color="000000"/>
                            </w:tcBorders>
                          </w:tcPr>
                          <w:p>
                            <w:pPr>
                              <w:pStyle w:val="TableParagraph"/>
                              <w:spacing w:before="26"/>
                              <w:ind w:right="73"/>
                              <w:jc w:val="right"/>
                              <w:rPr>
                                <w:rFonts w:ascii="TT Norms Pro"/>
                                <w:b/>
                                <w:sz w:val="14"/>
                              </w:rPr>
                            </w:pPr>
                            <w:r>
                              <w:rPr>
                                <w:rFonts w:ascii="TT Norms Pro"/>
                                <w:b/>
                                <w:spacing w:val="-2"/>
                                <w:sz w:val="14"/>
                              </w:rPr>
                              <w:t>TARGET</w:t>
                            </w:r>
                          </w:p>
                        </w:tc>
                      </w:tr>
                      <w:tr>
                        <w:trPr>
                          <w:trHeight w:val="280" w:hRule="atLeast"/>
                        </w:trPr>
                        <w:tc>
                          <w:tcPr>
                            <w:tcW w:w="1466" w:type="dxa"/>
                            <w:tcBorders>
                              <w:top w:val="single" w:sz="2" w:space="0" w:color="000000"/>
                            </w:tcBorders>
                            <w:shd w:val="clear" w:color="auto" w:fill="E6E7E8"/>
                          </w:tcPr>
                          <w:p>
                            <w:pPr>
                              <w:pStyle w:val="TableParagraph"/>
                              <w:tabs>
                                <w:tab w:pos="977" w:val="left" w:leader="none"/>
                              </w:tabs>
                              <w:spacing w:before="65"/>
                              <w:ind w:right="131"/>
                              <w:jc w:val="right"/>
                              <w:rPr>
                                <w:rFonts w:ascii="TT Norms Pro Light"/>
                                <w:b w:val="0"/>
                                <w:sz w:val="14"/>
                              </w:rPr>
                            </w:pPr>
                            <w:r>
                              <w:rPr>
                                <w:rFonts w:ascii="TT Norms Pro Light"/>
                                <w:b w:val="0"/>
                                <w:spacing w:val="-5"/>
                                <w:sz w:val="14"/>
                              </w:rPr>
                              <w:t>UWA</w:t>
                            </w:r>
                            <w:r>
                              <w:rPr>
                                <w:rFonts w:ascii="TT Norms Pro Light"/>
                                <w:b w:val="0"/>
                                <w:sz w:val="14"/>
                              </w:rPr>
                              <w:tab/>
                              <w:t>82 </w:t>
                            </w:r>
                            <w:r>
                              <w:rPr>
                                <w:rFonts w:ascii="TT Norms Pro Light"/>
                                <w:b w:val="0"/>
                                <w:spacing w:val="-5"/>
                                <w:sz w:val="14"/>
                              </w:rPr>
                              <w:t>.0</w:t>
                            </w:r>
                          </w:p>
                        </w:tc>
                        <w:tc>
                          <w:tcPr>
                            <w:tcW w:w="594" w:type="dxa"/>
                            <w:tcBorders>
                              <w:top w:val="single" w:sz="2" w:space="0" w:color="000000"/>
                            </w:tcBorders>
                            <w:shd w:val="clear" w:color="auto" w:fill="E6E7E8"/>
                          </w:tcPr>
                          <w:p>
                            <w:pPr>
                              <w:pStyle w:val="TableParagraph"/>
                              <w:spacing w:before="65"/>
                              <w:ind w:left="78" w:right="18"/>
                              <w:jc w:val="center"/>
                              <w:rPr>
                                <w:rFonts w:ascii="TT Norms Pro Light"/>
                                <w:b w:val="0"/>
                                <w:sz w:val="14"/>
                              </w:rPr>
                            </w:pPr>
                            <w:r>
                              <w:rPr>
                                <w:rFonts w:ascii="TT Norms Pro Light"/>
                                <w:b w:val="0"/>
                                <w:spacing w:val="-4"/>
                                <w:sz w:val="14"/>
                              </w:rPr>
                              <w:t>80.4</w:t>
                            </w:r>
                          </w:p>
                        </w:tc>
                        <w:tc>
                          <w:tcPr>
                            <w:tcW w:w="578" w:type="dxa"/>
                            <w:tcBorders>
                              <w:top w:val="single" w:sz="2" w:space="0" w:color="000000"/>
                            </w:tcBorders>
                            <w:shd w:val="clear" w:color="auto" w:fill="E6E7E8"/>
                          </w:tcPr>
                          <w:p>
                            <w:pPr>
                              <w:pStyle w:val="TableParagraph"/>
                              <w:spacing w:before="65"/>
                              <w:ind w:left="95"/>
                              <w:jc w:val="center"/>
                              <w:rPr>
                                <w:rFonts w:ascii="TT Norms Pro Light"/>
                                <w:b w:val="0"/>
                                <w:sz w:val="14"/>
                              </w:rPr>
                            </w:pPr>
                            <w:r>
                              <w:rPr>
                                <w:rFonts w:ascii="TT Norms Pro Light"/>
                                <w:b w:val="0"/>
                                <w:spacing w:val="-4"/>
                                <w:sz w:val="14"/>
                              </w:rPr>
                              <w:t>82.2</w:t>
                            </w:r>
                          </w:p>
                        </w:tc>
                        <w:tc>
                          <w:tcPr>
                            <w:tcW w:w="578" w:type="dxa"/>
                            <w:tcBorders>
                              <w:top w:val="single" w:sz="2" w:space="0" w:color="000000"/>
                            </w:tcBorders>
                            <w:shd w:val="clear" w:color="auto" w:fill="E6E7E8"/>
                          </w:tcPr>
                          <w:p>
                            <w:pPr>
                              <w:pStyle w:val="TableParagraph"/>
                              <w:spacing w:before="65"/>
                              <w:ind w:left="95" w:right="52"/>
                              <w:jc w:val="center"/>
                              <w:rPr>
                                <w:rFonts w:ascii="TT Norms Pro Light"/>
                                <w:b w:val="0"/>
                                <w:sz w:val="14"/>
                              </w:rPr>
                            </w:pPr>
                            <w:r>
                              <w:rPr>
                                <w:rFonts w:ascii="TT Norms Pro Light"/>
                                <w:b w:val="0"/>
                                <w:spacing w:val="-4"/>
                                <w:sz w:val="14"/>
                              </w:rPr>
                              <w:t>80.5</w:t>
                            </w:r>
                          </w:p>
                        </w:tc>
                        <w:tc>
                          <w:tcPr>
                            <w:tcW w:w="625" w:type="dxa"/>
                            <w:tcBorders>
                              <w:top w:val="single" w:sz="2" w:space="0" w:color="000000"/>
                            </w:tcBorders>
                            <w:shd w:val="clear" w:color="auto" w:fill="E6E7E8"/>
                          </w:tcPr>
                          <w:p>
                            <w:pPr>
                              <w:pStyle w:val="TableParagraph"/>
                              <w:spacing w:before="65"/>
                              <w:ind w:right="114"/>
                              <w:jc w:val="right"/>
                              <w:rPr>
                                <w:rFonts w:ascii="TT Norms Pro Light"/>
                                <w:b w:val="0"/>
                                <w:sz w:val="14"/>
                              </w:rPr>
                            </w:pPr>
                            <w:r>
                              <w:rPr>
                                <w:rFonts w:ascii="TT Norms Pro Light"/>
                                <w:b w:val="0"/>
                                <w:spacing w:val="-4"/>
                                <w:sz w:val="14"/>
                              </w:rPr>
                              <w:t>82.1</w:t>
                            </w:r>
                          </w:p>
                        </w:tc>
                        <w:tc>
                          <w:tcPr>
                            <w:tcW w:w="775" w:type="dxa"/>
                            <w:tcBorders>
                              <w:top w:val="single" w:sz="2" w:space="0" w:color="000000"/>
                            </w:tcBorders>
                            <w:shd w:val="clear" w:color="auto" w:fill="E6E7E8"/>
                          </w:tcPr>
                          <w:p>
                            <w:pPr>
                              <w:pStyle w:val="TableParagraph"/>
                              <w:spacing w:before="65"/>
                              <w:ind w:right="49"/>
                              <w:jc w:val="right"/>
                              <w:rPr>
                                <w:rFonts w:ascii="TT Norms Pro Light"/>
                                <w:b w:val="0"/>
                                <w:sz w:val="14"/>
                              </w:rPr>
                            </w:pPr>
                            <w:r>
                              <w:rPr>
                                <w:rFonts w:ascii="TT Norms Pro Light"/>
                                <w:b w:val="0"/>
                                <w:sz w:val="14"/>
                              </w:rPr>
                              <w:t>83</w:t>
                            </w:r>
                            <w:r>
                              <w:rPr>
                                <w:rFonts w:ascii="TT Norms Pro Light"/>
                                <w:b w:val="0"/>
                                <w:spacing w:val="3"/>
                                <w:sz w:val="14"/>
                              </w:rPr>
                              <w:t> </w:t>
                            </w:r>
                            <w:r>
                              <w:rPr>
                                <w:rFonts w:ascii="TT Norms Pro Light"/>
                                <w:b w:val="0"/>
                                <w:spacing w:val="-5"/>
                                <w:sz w:val="14"/>
                              </w:rPr>
                              <w:t>.0</w:t>
                            </w:r>
                          </w:p>
                        </w:tc>
                      </w:tr>
                      <w:tr>
                        <w:trPr>
                          <w:trHeight w:val="500" w:hRule="atLeast"/>
                        </w:trPr>
                        <w:tc>
                          <w:tcPr>
                            <w:tcW w:w="1466" w:type="dxa"/>
                            <w:tcBorders>
                              <w:bottom w:val="single" w:sz="2" w:space="0" w:color="000000"/>
                            </w:tcBorders>
                          </w:tcPr>
                          <w:p>
                            <w:pPr>
                              <w:pStyle w:val="TableParagraph"/>
                              <w:tabs>
                                <w:tab w:pos="1332" w:val="right" w:leader="none"/>
                              </w:tabs>
                              <w:spacing w:line="232" w:lineRule="exact" w:before="78"/>
                              <w:ind w:left="57"/>
                              <w:rPr>
                                <w:rFonts w:ascii="TT Norms Pro Light"/>
                                <w:b w:val="0"/>
                                <w:sz w:val="14"/>
                              </w:rPr>
                            </w:pPr>
                            <w:r>
                              <w:rPr>
                                <w:rFonts w:ascii="TT Norms Pro Light"/>
                                <w:b w:val="0"/>
                                <w:spacing w:val="-5"/>
                                <w:position w:val="10"/>
                                <w:sz w:val="14"/>
                              </w:rPr>
                              <w:t>WA</w:t>
                            </w:r>
                            <w:r>
                              <w:rPr>
                                <w:rFonts w:ascii="TT Norms Pro Light"/>
                                <w:b w:val="0"/>
                                <w:position w:val="10"/>
                                <w:sz w:val="14"/>
                              </w:rPr>
                              <w:tab/>
                            </w:r>
                            <w:r>
                              <w:rPr>
                                <w:rFonts w:ascii="TT Norms Pro Light"/>
                                <w:b w:val="0"/>
                                <w:spacing w:val="-4"/>
                                <w:sz w:val="14"/>
                              </w:rPr>
                              <w:t>82.6</w:t>
                            </w:r>
                          </w:p>
                          <w:p>
                            <w:pPr>
                              <w:pStyle w:val="TableParagraph"/>
                              <w:spacing w:line="132" w:lineRule="exact"/>
                              <w:ind w:left="57"/>
                              <w:rPr>
                                <w:rFonts w:ascii="TT Norms Pro Light"/>
                                <w:b w:val="0"/>
                                <w:sz w:val="14"/>
                              </w:rPr>
                            </w:pPr>
                            <w:r>
                              <w:rPr>
                                <w:rFonts w:ascii="TT Norms Pro Light"/>
                                <w:b w:val="0"/>
                                <w:spacing w:val="-2"/>
                                <w:sz w:val="14"/>
                              </w:rPr>
                              <w:t>average</w:t>
                            </w:r>
                          </w:p>
                        </w:tc>
                        <w:tc>
                          <w:tcPr>
                            <w:tcW w:w="594" w:type="dxa"/>
                            <w:tcBorders>
                              <w:bottom w:val="single" w:sz="2" w:space="0" w:color="000000"/>
                            </w:tcBorders>
                          </w:tcPr>
                          <w:p>
                            <w:pPr>
                              <w:pStyle w:val="TableParagraph"/>
                              <w:spacing w:before="14"/>
                              <w:rPr>
                                <w:rFonts w:ascii="TT Norms Pro Light"/>
                                <w:b w:val="0"/>
                                <w:sz w:val="14"/>
                              </w:rPr>
                            </w:pPr>
                          </w:p>
                          <w:p>
                            <w:pPr>
                              <w:pStyle w:val="TableParagraph"/>
                              <w:ind w:left="108"/>
                              <w:jc w:val="center"/>
                              <w:rPr>
                                <w:rFonts w:ascii="TT Norms Pro Light"/>
                                <w:b w:val="0"/>
                                <w:sz w:val="14"/>
                              </w:rPr>
                            </w:pPr>
                            <w:r>
                              <w:rPr>
                                <w:rFonts w:ascii="TT Norms Pro Light"/>
                                <w:b w:val="0"/>
                                <w:spacing w:val="-4"/>
                                <w:sz w:val="14"/>
                              </w:rPr>
                              <w:t>81.7</w:t>
                            </w:r>
                          </w:p>
                        </w:tc>
                        <w:tc>
                          <w:tcPr>
                            <w:tcW w:w="578" w:type="dxa"/>
                            <w:tcBorders>
                              <w:bottom w:val="single" w:sz="2" w:space="0" w:color="000000"/>
                            </w:tcBorders>
                          </w:tcPr>
                          <w:p>
                            <w:pPr>
                              <w:pStyle w:val="TableParagraph"/>
                              <w:spacing w:before="14"/>
                              <w:rPr>
                                <w:rFonts w:ascii="TT Norms Pro Light"/>
                                <w:b w:val="0"/>
                                <w:sz w:val="14"/>
                              </w:rPr>
                            </w:pPr>
                          </w:p>
                          <w:p>
                            <w:pPr>
                              <w:pStyle w:val="TableParagraph"/>
                              <w:ind w:left="88"/>
                              <w:jc w:val="center"/>
                              <w:rPr>
                                <w:rFonts w:ascii="TT Norms Pro Light"/>
                                <w:b w:val="0"/>
                                <w:sz w:val="14"/>
                              </w:rPr>
                            </w:pPr>
                            <w:r>
                              <w:rPr>
                                <w:rFonts w:ascii="TT Norms Pro Light"/>
                                <w:b w:val="0"/>
                                <w:spacing w:val="-4"/>
                                <w:sz w:val="14"/>
                              </w:rPr>
                              <w:t>80.5</w:t>
                            </w:r>
                          </w:p>
                        </w:tc>
                        <w:tc>
                          <w:tcPr>
                            <w:tcW w:w="578" w:type="dxa"/>
                            <w:tcBorders>
                              <w:bottom w:val="single" w:sz="2" w:space="0" w:color="000000"/>
                            </w:tcBorders>
                          </w:tcPr>
                          <w:p>
                            <w:pPr>
                              <w:pStyle w:val="TableParagraph"/>
                              <w:spacing w:before="14"/>
                              <w:rPr>
                                <w:rFonts w:ascii="TT Norms Pro Light"/>
                                <w:b w:val="0"/>
                                <w:sz w:val="14"/>
                              </w:rPr>
                            </w:pPr>
                          </w:p>
                          <w:p>
                            <w:pPr>
                              <w:pStyle w:val="TableParagraph"/>
                              <w:ind w:left="144" w:right="37"/>
                              <w:jc w:val="center"/>
                              <w:rPr>
                                <w:rFonts w:ascii="TT Norms Pro Light"/>
                                <w:b w:val="0"/>
                                <w:sz w:val="14"/>
                              </w:rPr>
                            </w:pPr>
                            <w:r>
                              <w:rPr>
                                <w:rFonts w:ascii="TT Norms Pro Light"/>
                                <w:b w:val="0"/>
                                <w:spacing w:val="-4"/>
                                <w:sz w:val="14"/>
                              </w:rPr>
                              <w:t>79.1</w:t>
                            </w:r>
                          </w:p>
                        </w:tc>
                        <w:tc>
                          <w:tcPr>
                            <w:tcW w:w="625" w:type="dxa"/>
                            <w:tcBorders>
                              <w:bottom w:val="single" w:sz="2" w:space="0" w:color="000000"/>
                            </w:tcBorders>
                          </w:tcPr>
                          <w:p>
                            <w:pPr>
                              <w:pStyle w:val="TableParagraph"/>
                              <w:spacing w:before="14"/>
                              <w:rPr>
                                <w:rFonts w:ascii="TT Norms Pro Light"/>
                                <w:b w:val="0"/>
                                <w:sz w:val="14"/>
                              </w:rPr>
                            </w:pPr>
                          </w:p>
                          <w:p>
                            <w:pPr>
                              <w:pStyle w:val="TableParagraph"/>
                              <w:ind w:right="118"/>
                              <w:jc w:val="right"/>
                              <w:rPr>
                                <w:rFonts w:ascii="TT Norms Pro Light"/>
                                <w:b w:val="0"/>
                                <w:sz w:val="14"/>
                              </w:rPr>
                            </w:pPr>
                            <w:r>
                              <w:rPr>
                                <w:rFonts w:ascii="TT Norms Pro Light"/>
                                <w:b w:val="0"/>
                                <w:spacing w:val="-4"/>
                                <w:sz w:val="14"/>
                              </w:rPr>
                              <w:t>78.9</w:t>
                            </w:r>
                          </w:p>
                        </w:tc>
                        <w:tc>
                          <w:tcPr>
                            <w:tcW w:w="775" w:type="dxa"/>
                            <w:tcBorders>
                              <w:bottom w:val="single" w:sz="2" w:space="0" w:color="000000"/>
                            </w:tcBorders>
                          </w:tcPr>
                          <w:p>
                            <w:pPr>
                              <w:pStyle w:val="TableParagraph"/>
                              <w:rPr>
                                <w:rFonts w:ascii="Times New Roman"/>
                                <w:sz w:val="16"/>
                              </w:rPr>
                            </w:pPr>
                          </w:p>
                        </w:tc>
                      </w:tr>
                    </w:tbl>
                    <w:p>
                      <w:pPr>
                        <w:pStyle w:val="BodyText"/>
                      </w:pPr>
                    </w:p>
                  </w:txbxContent>
                </v:textbox>
                <w10:wrap type="none"/>
              </v:shape>
            </w:pict>
          </mc:Fallback>
        </mc:AlternateContent>
      </w:r>
      <w:r>
        <w:rPr>
          <w:rFonts w:ascii="TT Norms Pro"/>
          <w:b/>
          <w:sz w:val="18"/>
        </w:rPr>
        <w:t>Graduate</w:t>
      </w:r>
      <w:r>
        <w:rPr>
          <w:rFonts w:ascii="TT Norms Pro"/>
          <w:b/>
          <w:spacing w:val="8"/>
          <w:sz w:val="18"/>
        </w:rPr>
        <w:t> </w:t>
      </w:r>
      <w:r>
        <w:rPr>
          <w:rFonts w:ascii="TT Norms Pro"/>
          <w:b/>
          <w:sz w:val="18"/>
        </w:rPr>
        <w:t>outcomes</w:t>
      </w:r>
      <w:r>
        <w:rPr>
          <w:rFonts w:ascii="TT Norms Pro"/>
          <w:b/>
          <w:spacing w:val="8"/>
          <w:sz w:val="18"/>
        </w:rPr>
        <w:t> </w:t>
      </w:r>
      <w:r>
        <w:rPr>
          <w:rFonts w:ascii="TT Norms Pro"/>
          <w:b/>
          <w:sz w:val="18"/>
        </w:rPr>
        <w:t>for</w:t>
      </w:r>
      <w:r>
        <w:rPr>
          <w:rFonts w:ascii="TT Norms Pro"/>
          <w:b/>
          <w:spacing w:val="8"/>
          <w:sz w:val="18"/>
        </w:rPr>
        <w:t> </w:t>
      </w:r>
      <w:r>
        <w:rPr>
          <w:rFonts w:ascii="TT Norms Pro"/>
          <w:b/>
          <w:sz w:val="18"/>
        </w:rPr>
        <w:t>postgraduates</w:t>
      </w:r>
      <w:r>
        <w:rPr>
          <w:rFonts w:ascii="TT Norms Pro"/>
          <w:b/>
          <w:spacing w:val="9"/>
          <w:sz w:val="18"/>
        </w:rPr>
        <w:t> </w:t>
      </w:r>
      <w:r>
        <w:rPr>
          <w:rFonts w:ascii="TT Norms Pro"/>
          <w:b/>
          <w:spacing w:val="-5"/>
          <w:sz w:val="18"/>
        </w:rPr>
        <w:t>(%)</w:t>
      </w:r>
    </w:p>
    <w:p>
      <w:pPr>
        <w:spacing w:after="0"/>
        <w:jc w:val="left"/>
        <w:rPr>
          <w:rFonts w:ascii="TT Norms Pro"/>
          <w:sz w:val="18"/>
        </w:rPr>
        <w:sectPr>
          <w:type w:val="continuous"/>
          <w:pgSz w:w="11910" w:h="16840"/>
          <w:pgMar w:header="468" w:footer="0" w:top="980" w:bottom="280" w:left="920" w:right="0"/>
        </w:sectPr>
      </w:pPr>
    </w:p>
    <w:p>
      <w:pPr>
        <w:pStyle w:val="BodyText"/>
        <w:rPr>
          <w:rFonts w:ascii="TT Norms Pro"/>
          <w:b/>
        </w:rPr>
      </w:pPr>
    </w:p>
    <w:p>
      <w:pPr>
        <w:pStyle w:val="BodyText"/>
        <w:rPr>
          <w:rFonts w:ascii="TT Norms Pro"/>
          <w:b/>
        </w:rPr>
      </w:pPr>
    </w:p>
    <w:p>
      <w:pPr>
        <w:pStyle w:val="BodyText"/>
        <w:rPr>
          <w:rFonts w:ascii="TT Norms Pro"/>
          <w:b/>
        </w:rPr>
      </w:pPr>
    </w:p>
    <w:p>
      <w:pPr>
        <w:pStyle w:val="BodyText"/>
        <w:rPr>
          <w:rFonts w:ascii="TT Norms Pro"/>
          <w:b/>
        </w:rPr>
      </w:pPr>
    </w:p>
    <w:p>
      <w:pPr>
        <w:pStyle w:val="BodyText"/>
        <w:rPr>
          <w:rFonts w:ascii="TT Norms Pro"/>
          <w:b/>
        </w:rPr>
      </w:pPr>
    </w:p>
    <w:p>
      <w:pPr>
        <w:pStyle w:val="BodyText"/>
        <w:spacing w:before="208"/>
        <w:rPr>
          <w:rFonts w:ascii="TT Norms Pro"/>
          <w:b/>
        </w:rPr>
      </w:pPr>
    </w:p>
    <w:p>
      <w:pPr>
        <w:spacing w:before="1"/>
        <w:ind w:left="213" w:right="0" w:firstLine="0"/>
        <w:jc w:val="left"/>
        <w:rPr>
          <w:rFonts w:ascii="TT Norms Pro"/>
          <w:b/>
          <w:sz w:val="18"/>
        </w:rPr>
      </w:pPr>
      <w:r>
        <w:rPr>
          <w:rFonts w:ascii="TT Norms Pro"/>
          <w:b/>
          <w:sz w:val="18"/>
        </w:rPr>
        <w:t>Graduate</w:t>
      </w:r>
      <w:r>
        <w:rPr>
          <w:rFonts w:ascii="TT Norms Pro"/>
          <w:b/>
          <w:spacing w:val="7"/>
          <w:sz w:val="18"/>
        </w:rPr>
        <w:t> </w:t>
      </w:r>
      <w:r>
        <w:rPr>
          <w:rFonts w:ascii="TT Norms Pro"/>
          <w:b/>
          <w:sz w:val="18"/>
        </w:rPr>
        <w:t>outcomes</w:t>
      </w:r>
      <w:r>
        <w:rPr>
          <w:rFonts w:ascii="TT Norms Pro"/>
          <w:b/>
          <w:spacing w:val="8"/>
          <w:sz w:val="18"/>
        </w:rPr>
        <w:t> </w:t>
      </w:r>
      <w:r>
        <w:rPr>
          <w:rFonts w:ascii="TT Norms Pro"/>
          <w:b/>
          <w:sz w:val="18"/>
        </w:rPr>
        <w:t>survey</w:t>
      </w:r>
      <w:r>
        <w:rPr>
          <w:rFonts w:ascii="TT Norms Pro"/>
          <w:b/>
          <w:spacing w:val="7"/>
          <w:sz w:val="18"/>
        </w:rPr>
        <w:t> </w:t>
      </w:r>
      <w:r>
        <w:rPr>
          <w:rFonts w:ascii="TT Norms Pro"/>
          <w:b/>
          <w:sz w:val="18"/>
        </w:rPr>
        <w:t>response</w:t>
      </w:r>
      <w:r>
        <w:rPr>
          <w:rFonts w:ascii="TT Norms Pro"/>
          <w:b/>
          <w:spacing w:val="8"/>
          <w:sz w:val="18"/>
        </w:rPr>
        <w:t> </w:t>
      </w:r>
      <w:r>
        <w:rPr>
          <w:rFonts w:ascii="TT Norms Pro"/>
          <w:b/>
          <w:sz w:val="18"/>
        </w:rPr>
        <w:t>rate</w:t>
      </w:r>
      <w:r>
        <w:rPr>
          <w:rFonts w:ascii="TT Norms Pro"/>
          <w:b/>
          <w:spacing w:val="8"/>
          <w:sz w:val="18"/>
        </w:rPr>
        <w:t> </w:t>
      </w:r>
      <w:r>
        <w:rPr>
          <w:rFonts w:ascii="TT Norms Pro"/>
          <w:b/>
          <w:spacing w:val="-5"/>
          <w:sz w:val="18"/>
        </w:rPr>
        <w:t>(%)</w:t>
      </w:r>
    </w:p>
    <w:p>
      <w:pPr>
        <w:spacing w:line="240" w:lineRule="auto" w:before="0"/>
        <w:rPr>
          <w:rFonts w:ascii="TT Norms Pro"/>
          <w:b/>
          <w:sz w:val="14"/>
        </w:rPr>
      </w:pPr>
      <w:r>
        <w:rPr/>
        <w:br w:type="column"/>
      </w:r>
      <w:r>
        <w:rPr>
          <w:rFonts w:ascii="TT Norms Pro"/>
          <w:b/>
          <w:sz w:val="14"/>
        </w:rPr>
      </w:r>
    </w:p>
    <w:p>
      <w:pPr>
        <w:pStyle w:val="BodyText"/>
        <w:rPr>
          <w:rFonts w:ascii="TT Norms Pro"/>
          <w:b/>
          <w:sz w:val="14"/>
        </w:rPr>
      </w:pPr>
    </w:p>
    <w:p>
      <w:pPr>
        <w:pStyle w:val="BodyText"/>
        <w:spacing w:before="97"/>
        <w:rPr>
          <w:rFonts w:ascii="TT Norms Pro"/>
          <w:b/>
          <w:sz w:val="14"/>
        </w:rPr>
      </w:pPr>
    </w:p>
    <w:p>
      <w:pPr>
        <w:spacing w:line="264" w:lineRule="auto" w:before="0"/>
        <w:ind w:left="213" w:right="1170" w:firstLine="0"/>
        <w:jc w:val="both"/>
        <w:rPr>
          <w:rFonts w:ascii="TT Norms Pro Light"/>
          <w:b w:val="0"/>
          <w:sz w:val="14"/>
        </w:rPr>
      </w:pPr>
      <w:r>
        <w:rPr>
          <w:rFonts w:ascii="TT Norms Pro"/>
          <w:b/>
          <w:sz w:val="14"/>
        </w:rPr>
        <w:t>Data source: </w:t>
      </w:r>
      <w:r>
        <w:rPr>
          <w:rFonts w:ascii="TT Norms Pro Light"/>
          <w:b w:val="0"/>
          <w:sz w:val="14"/>
        </w:rPr>
        <w:t>Awards and Citations AAUT data from Universities Australia</w:t>
      </w:r>
      <w:r>
        <w:rPr>
          <w:rFonts w:ascii="TT Norms Pro Light"/>
          <w:b w:val="0"/>
          <w:spacing w:val="40"/>
          <w:sz w:val="14"/>
        </w:rPr>
        <w:t> </w:t>
      </w:r>
      <w:r>
        <w:rPr>
          <w:rFonts w:ascii="TT Norms Pro Light"/>
          <w:b w:val="0"/>
          <w:sz w:val="14"/>
        </w:rPr>
        <w:t>website and Fellowships from active recognitions on the Advance Higher</w:t>
      </w:r>
      <w:r>
        <w:rPr>
          <w:rFonts w:ascii="TT Norms Pro Light"/>
          <w:b w:val="0"/>
          <w:spacing w:val="40"/>
          <w:sz w:val="14"/>
        </w:rPr>
        <w:t> </w:t>
      </w:r>
      <w:r>
        <w:rPr>
          <w:rFonts w:ascii="TT Norms Pro Light"/>
          <w:b w:val="0"/>
          <w:sz w:val="14"/>
        </w:rPr>
        <w:t>Education</w:t>
      </w:r>
      <w:r>
        <w:rPr>
          <w:rFonts w:ascii="TT Norms Pro Light"/>
          <w:b w:val="0"/>
          <w:spacing w:val="-7"/>
          <w:sz w:val="14"/>
        </w:rPr>
        <w:t> </w:t>
      </w:r>
      <w:r>
        <w:rPr>
          <w:rFonts w:ascii="TT Norms Pro Light"/>
          <w:b w:val="0"/>
          <w:sz w:val="14"/>
        </w:rPr>
        <w:t>website.</w:t>
      </w:r>
    </w:p>
    <w:p>
      <w:pPr>
        <w:spacing w:line="264" w:lineRule="auto" w:before="113"/>
        <w:ind w:left="213" w:right="1427" w:firstLine="0"/>
        <w:jc w:val="left"/>
        <w:rPr>
          <w:rFonts w:ascii="TT Norms Pro Light"/>
          <w:b w:val="0"/>
          <w:sz w:val="14"/>
        </w:rPr>
      </w:pPr>
      <w:r>
        <w:rPr>
          <w:rFonts w:ascii="TT Norms Pro"/>
          <w:b/>
          <w:sz w:val="14"/>
        </w:rPr>
        <w:t>Notes: </w:t>
      </w:r>
      <w:r>
        <w:rPr>
          <w:rFonts w:ascii="TT Norms Pro Light"/>
          <w:b w:val="0"/>
          <w:sz w:val="14"/>
        </w:rPr>
        <w:t>This indicator was included in the 2019 Annual Report as 5.1</w:t>
      </w:r>
      <w:r>
        <w:rPr>
          <w:rFonts w:ascii="TT Norms Pro Light"/>
          <w:b w:val="0"/>
          <w:spacing w:val="40"/>
          <w:sz w:val="14"/>
        </w:rPr>
        <w:t> </w:t>
      </w:r>
      <w:r>
        <w:rPr>
          <w:rFonts w:ascii="TT Norms Pro Light"/>
          <w:b w:val="0"/>
          <w:sz w:val="14"/>
        </w:rPr>
        <w:t>Staff Excellence. Data is current to December 2020. The reported</w:t>
      </w:r>
    </w:p>
    <w:p>
      <w:pPr>
        <w:spacing w:line="164" w:lineRule="exact" w:before="0"/>
        <w:ind w:left="213" w:right="0" w:firstLine="0"/>
        <w:jc w:val="left"/>
        <w:rPr>
          <w:rFonts w:ascii="TT Norms Pro Light"/>
          <w:b w:val="0"/>
          <w:sz w:val="14"/>
        </w:rPr>
      </w:pPr>
      <w:r>
        <w:rPr>
          <w:rFonts w:ascii="TT Norms Pro Light"/>
          <w:b w:val="0"/>
          <w:sz w:val="14"/>
        </w:rPr>
        <w:t>AAUT</w:t>
      </w:r>
      <w:r>
        <w:rPr>
          <w:rFonts w:ascii="TT Norms Pro Light"/>
          <w:b w:val="0"/>
          <w:spacing w:val="2"/>
          <w:sz w:val="14"/>
        </w:rPr>
        <w:t> </w:t>
      </w:r>
      <w:r>
        <w:rPr>
          <w:rFonts w:ascii="TT Norms Pro Light"/>
          <w:b w:val="0"/>
          <w:sz w:val="14"/>
        </w:rPr>
        <w:t>awards</w:t>
      </w:r>
      <w:r>
        <w:rPr>
          <w:rFonts w:ascii="TT Norms Pro Light"/>
          <w:b w:val="0"/>
          <w:spacing w:val="3"/>
          <w:sz w:val="14"/>
        </w:rPr>
        <w:t> </w:t>
      </w:r>
      <w:r>
        <w:rPr>
          <w:rFonts w:ascii="TT Norms Pro Light"/>
          <w:b w:val="0"/>
          <w:sz w:val="14"/>
        </w:rPr>
        <w:t>and</w:t>
      </w:r>
      <w:r>
        <w:rPr>
          <w:rFonts w:ascii="TT Norms Pro Light"/>
          <w:b w:val="0"/>
          <w:spacing w:val="3"/>
          <w:sz w:val="14"/>
        </w:rPr>
        <w:t> </w:t>
      </w:r>
      <w:r>
        <w:rPr>
          <w:rFonts w:ascii="TT Norms Pro Light"/>
          <w:b w:val="0"/>
          <w:sz w:val="14"/>
        </w:rPr>
        <w:t>citations</w:t>
      </w:r>
      <w:r>
        <w:rPr>
          <w:rFonts w:ascii="TT Norms Pro Light"/>
          <w:b w:val="0"/>
          <w:spacing w:val="3"/>
          <w:sz w:val="14"/>
        </w:rPr>
        <w:t> </w:t>
      </w:r>
      <w:r>
        <w:rPr>
          <w:rFonts w:ascii="TT Norms Pro Light"/>
          <w:b w:val="0"/>
          <w:sz w:val="14"/>
        </w:rPr>
        <w:t>were</w:t>
      </w:r>
      <w:r>
        <w:rPr>
          <w:rFonts w:ascii="TT Norms Pro Light"/>
          <w:b w:val="0"/>
          <w:spacing w:val="3"/>
          <w:sz w:val="14"/>
        </w:rPr>
        <w:t> </w:t>
      </w:r>
      <w:r>
        <w:rPr>
          <w:rFonts w:ascii="TT Norms Pro Light"/>
          <w:b w:val="0"/>
          <w:sz w:val="14"/>
        </w:rPr>
        <w:t>awarded</w:t>
      </w:r>
      <w:r>
        <w:rPr>
          <w:rFonts w:ascii="TT Norms Pro Light"/>
          <w:b w:val="0"/>
          <w:spacing w:val="3"/>
          <w:sz w:val="14"/>
        </w:rPr>
        <w:t> </w:t>
      </w:r>
      <w:r>
        <w:rPr>
          <w:rFonts w:ascii="TT Norms Pro Light"/>
          <w:b w:val="0"/>
          <w:sz w:val="14"/>
        </w:rPr>
        <w:t>in</w:t>
      </w:r>
      <w:r>
        <w:rPr>
          <w:rFonts w:ascii="TT Norms Pro Light"/>
          <w:b w:val="0"/>
          <w:spacing w:val="3"/>
          <w:sz w:val="14"/>
        </w:rPr>
        <w:t> </w:t>
      </w:r>
      <w:r>
        <w:rPr>
          <w:rFonts w:ascii="TT Norms Pro Light"/>
          <w:b w:val="0"/>
          <w:sz w:val="14"/>
        </w:rPr>
        <w:t>2020</w:t>
      </w:r>
      <w:r>
        <w:rPr>
          <w:rFonts w:ascii="TT Norms Pro Light"/>
          <w:b w:val="0"/>
          <w:spacing w:val="2"/>
          <w:sz w:val="14"/>
        </w:rPr>
        <w:t> </w:t>
      </w:r>
      <w:r>
        <w:rPr>
          <w:rFonts w:ascii="TT Norms Pro Light"/>
          <w:b w:val="0"/>
          <w:sz w:val="14"/>
        </w:rPr>
        <w:t>at</w:t>
      </w:r>
      <w:r>
        <w:rPr>
          <w:rFonts w:ascii="TT Norms Pro Light"/>
          <w:b w:val="0"/>
          <w:spacing w:val="3"/>
          <w:sz w:val="14"/>
        </w:rPr>
        <w:t> </w:t>
      </w:r>
      <w:r>
        <w:rPr>
          <w:rFonts w:ascii="TT Norms Pro Light"/>
          <w:b w:val="0"/>
          <w:sz w:val="14"/>
        </w:rPr>
        <w:t>the</w:t>
      </w:r>
      <w:r>
        <w:rPr>
          <w:rFonts w:ascii="TT Norms Pro Light"/>
          <w:b w:val="0"/>
          <w:spacing w:val="3"/>
          <w:sz w:val="14"/>
        </w:rPr>
        <w:t> </w:t>
      </w:r>
      <w:r>
        <w:rPr>
          <w:rFonts w:ascii="TT Norms Pro Light"/>
          <w:b w:val="0"/>
          <w:sz w:val="14"/>
        </w:rPr>
        <w:t>2019</w:t>
      </w:r>
      <w:r>
        <w:rPr>
          <w:rFonts w:ascii="TT Norms Pro Light"/>
          <w:b w:val="0"/>
          <w:spacing w:val="3"/>
          <w:sz w:val="14"/>
        </w:rPr>
        <w:t> </w:t>
      </w:r>
      <w:r>
        <w:rPr>
          <w:rFonts w:ascii="TT Norms Pro Light"/>
          <w:b w:val="0"/>
          <w:spacing w:val="-4"/>
          <w:sz w:val="14"/>
        </w:rPr>
        <w:t>AAUT</w:t>
      </w:r>
    </w:p>
    <w:p>
      <w:pPr>
        <w:spacing w:after="0" w:line="164" w:lineRule="exact"/>
        <w:jc w:val="left"/>
        <w:rPr>
          <w:rFonts w:ascii="TT Norms Pro Light"/>
          <w:sz w:val="14"/>
        </w:rPr>
        <w:sectPr>
          <w:type w:val="continuous"/>
          <w:pgSz w:w="11910" w:h="16840"/>
          <w:pgMar w:header="468" w:footer="0" w:top="980" w:bottom="280" w:left="920" w:right="0"/>
          <w:cols w:num="2" w:equalWidth="0">
            <w:col w:w="4051" w:space="967"/>
            <w:col w:w="5972"/>
          </w:cols>
        </w:sectPr>
      </w:pPr>
    </w:p>
    <w:tbl>
      <w:tblPr>
        <w:tblW w:w="0" w:type="auto"/>
        <w:jc w:val="left"/>
        <w:tblInd w:w="2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25"/>
        <w:gridCol w:w="777"/>
        <w:gridCol w:w="764"/>
        <w:gridCol w:w="769"/>
        <w:gridCol w:w="750"/>
        <w:gridCol w:w="624"/>
        <w:gridCol w:w="1647"/>
      </w:tblGrid>
      <w:tr>
        <w:trPr>
          <w:trHeight w:val="263" w:hRule="atLeast"/>
        </w:trPr>
        <w:tc>
          <w:tcPr>
            <w:tcW w:w="925" w:type="dxa"/>
            <w:tcBorders>
              <w:top w:val="single" w:sz="8" w:space="0" w:color="000000"/>
              <w:bottom w:val="single" w:sz="4" w:space="0" w:color="000000"/>
            </w:tcBorders>
          </w:tcPr>
          <w:p>
            <w:pPr>
              <w:pStyle w:val="TableParagraph"/>
              <w:rPr>
                <w:rFonts w:ascii="Times New Roman"/>
                <w:sz w:val="16"/>
              </w:rPr>
            </w:pPr>
          </w:p>
        </w:tc>
        <w:tc>
          <w:tcPr>
            <w:tcW w:w="777" w:type="dxa"/>
            <w:tcBorders>
              <w:top w:val="single" w:sz="8" w:space="0" w:color="000000"/>
              <w:bottom w:val="single" w:sz="4" w:space="0" w:color="000000"/>
            </w:tcBorders>
          </w:tcPr>
          <w:p>
            <w:pPr>
              <w:pStyle w:val="TableParagraph"/>
              <w:spacing w:before="23"/>
              <w:ind w:left="64" w:right="87"/>
              <w:jc w:val="center"/>
              <w:rPr>
                <w:rFonts w:ascii="TT Norms Pro"/>
                <w:b/>
                <w:sz w:val="14"/>
              </w:rPr>
            </w:pPr>
            <w:r>
              <w:rPr>
                <w:rFonts w:ascii="TT Norms Pro"/>
                <w:b/>
                <w:spacing w:val="-4"/>
                <w:sz w:val="14"/>
              </w:rPr>
              <w:t>2016</w:t>
            </w:r>
          </w:p>
        </w:tc>
        <w:tc>
          <w:tcPr>
            <w:tcW w:w="764" w:type="dxa"/>
            <w:tcBorders>
              <w:top w:val="single" w:sz="8" w:space="0" w:color="000000"/>
              <w:bottom w:val="single" w:sz="4" w:space="0" w:color="000000"/>
            </w:tcBorders>
          </w:tcPr>
          <w:p>
            <w:pPr>
              <w:pStyle w:val="TableParagraph"/>
              <w:spacing w:before="23"/>
              <w:ind w:left="83" w:right="98"/>
              <w:jc w:val="center"/>
              <w:rPr>
                <w:rFonts w:ascii="TT Norms Pro"/>
                <w:b/>
                <w:sz w:val="14"/>
              </w:rPr>
            </w:pPr>
            <w:r>
              <w:rPr>
                <w:rFonts w:ascii="TT Norms Pro"/>
                <w:b/>
                <w:spacing w:val="-4"/>
                <w:sz w:val="14"/>
              </w:rPr>
              <w:t>2017</w:t>
            </w:r>
          </w:p>
        </w:tc>
        <w:tc>
          <w:tcPr>
            <w:tcW w:w="769" w:type="dxa"/>
            <w:tcBorders>
              <w:top w:val="single" w:sz="8" w:space="0" w:color="000000"/>
              <w:bottom w:val="single" w:sz="4" w:space="0" w:color="000000"/>
            </w:tcBorders>
          </w:tcPr>
          <w:p>
            <w:pPr>
              <w:pStyle w:val="TableParagraph"/>
              <w:spacing w:before="23"/>
              <w:ind w:left="109" w:right="126"/>
              <w:jc w:val="center"/>
              <w:rPr>
                <w:rFonts w:ascii="TT Norms Pro"/>
                <w:b/>
                <w:sz w:val="14"/>
              </w:rPr>
            </w:pPr>
            <w:r>
              <w:rPr>
                <w:rFonts w:ascii="TT Norms Pro"/>
                <w:b/>
                <w:spacing w:val="-4"/>
                <w:sz w:val="14"/>
              </w:rPr>
              <w:t>2018</w:t>
            </w:r>
          </w:p>
        </w:tc>
        <w:tc>
          <w:tcPr>
            <w:tcW w:w="750" w:type="dxa"/>
            <w:tcBorders>
              <w:top w:val="single" w:sz="8" w:space="0" w:color="000000"/>
              <w:bottom w:val="single" w:sz="4" w:space="0" w:color="000000"/>
            </w:tcBorders>
          </w:tcPr>
          <w:p>
            <w:pPr>
              <w:pStyle w:val="TableParagraph"/>
              <w:spacing w:before="23"/>
              <w:ind w:left="72" w:right="70"/>
              <w:jc w:val="center"/>
              <w:rPr>
                <w:rFonts w:ascii="TT Norms Pro"/>
                <w:b/>
                <w:sz w:val="14"/>
              </w:rPr>
            </w:pPr>
            <w:r>
              <w:rPr>
                <w:rFonts w:ascii="TT Norms Pro"/>
                <w:b/>
                <w:spacing w:val="-4"/>
                <w:sz w:val="14"/>
              </w:rPr>
              <w:t>2019</w:t>
            </w:r>
          </w:p>
        </w:tc>
        <w:tc>
          <w:tcPr>
            <w:tcW w:w="624" w:type="dxa"/>
            <w:tcBorders>
              <w:top w:val="single" w:sz="8" w:space="0" w:color="000000"/>
              <w:bottom w:val="single" w:sz="4" w:space="0" w:color="000000"/>
            </w:tcBorders>
          </w:tcPr>
          <w:p>
            <w:pPr>
              <w:pStyle w:val="TableParagraph"/>
              <w:spacing w:before="23"/>
              <w:ind w:left="107"/>
              <w:jc w:val="center"/>
              <w:rPr>
                <w:rFonts w:ascii="TT Norms Pro"/>
                <w:b/>
                <w:sz w:val="14"/>
              </w:rPr>
            </w:pPr>
            <w:r>
              <w:rPr>
                <w:rFonts w:ascii="TT Norms Pro"/>
                <w:b/>
                <w:spacing w:val="-4"/>
                <w:sz w:val="14"/>
              </w:rPr>
              <w:t>2020</w:t>
            </w:r>
          </w:p>
        </w:tc>
        <w:tc>
          <w:tcPr>
            <w:tcW w:w="1647" w:type="dxa"/>
          </w:tcPr>
          <w:p>
            <w:pPr>
              <w:pStyle w:val="TableParagraph"/>
              <w:spacing w:before="6"/>
              <w:ind w:left="408"/>
              <w:rPr>
                <w:rFonts w:ascii="TT Norms Pro Light"/>
                <w:b w:val="0"/>
                <w:sz w:val="14"/>
              </w:rPr>
            </w:pPr>
            <w:r>
              <w:rPr>
                <w:rFonts w:ascii="TT Norms Pro Light"/>
                <w:b w:val="0"/>
                <w:sz w:val="14"/>
              </w:rPr>
              <w:t>Awards</w:t>
            </w:r>
            <w:r>
              <w:rPr>
                <w:rFonts w:ascii="TT Norms Pro Light"/>
                <w:b w:val="0"/>
                <w:spacing w:val="5"/>
                <w:sz w:val="14"/>
              </w:rPr>
              <w:t> </w:t>
            </w:r>
            <w:r>
              <w:rPr>
                <w:rFonts w:ascii="TT Norms Pro Light"/>
                <w:b w:val="0"/>
                <w:spacing w:val="-2"/>
                <w:sz w:val="14"/>
              </w:rPr>
              <w:t>Ceremony.</w:t>
            </w:r>
          </w:p>
        </w:tc>
      </w:tr>
      <w:tr>
        <w:trPr>
          <w:trHeight w:val="278" w:hRule="atLeast"/>
        </w:trPr>
        <w:tc>
          <w:tcPr>
            <w:tcW w:w="925" w:type="dxa"/>
            <w:tcBorders>
              <w:top w:val="single" w:sz="4" w:space="0" w:color="000000"/>
            </w:tcBorders>
            <w:shd w:val="clear" w:color="auto" w:fill="E6E7E8"/>
          </w:tcPr>
          <w:p>
            <w:pPr>
              <w:pStyle w:val="TableParagraph"/>
              <w:spacing w:before="31"/>
              <w:ind w:left="374"/>
              <w:rPr>
                <w:rFonts w:ascii="TT Norms Pro Light"/>
                <w:b w:val="0"/>
                <w:sz w:val="14"/>
              </w:rPr>
            </w:pPr>
            <w:r>
              <w:rPr>
                <w:rFonts w:ascii="TT Norms Pro Light"/>
                <w:b w:val="0"/>
                <w:spacing w:val="-5"/>
                <w:sz w:val="14"/>
              </w:rPr>
              <w:t>UWA</w:t>
            </w:r>
          </w:p>
        </w:tc>
        <w:tc>
          <w:tcPr>
            <w:tcW w:w="777" w:type="dxa"/>
            <w:tcBorders>
              <w:top w:val="single" w:sz="4" w:space="0" w:color="000000"/>
            </w:tcBorders>
            <w:shd w:val="clear" w:color="auto" w:fill="E6E7E8"/>
          </w:tcPr>
          <w:p>
            <w:pPr>
              <w:pStyle w:val="TableParagraph"/>
              <w:spacing w:before="31"/>
              <w:ind w:left="87" w:right="23"/>
              <w:jc w:val="center"/>
              <w:rPr>
                <w:rFonts w:ascii="TT Norms Pro Light"/>
                <w:b w:val="0"/>
                <w:sz w:val="14"/>
              </w:rPr>
            </w:pPr>
            <w:r>
              <w:rPr>
                <w:rFonts w:ascii="TT Norms Pro Light"/>
                <w:b w:val="0"/>
                <w:spacing w:val="-4"/>
                <w:sz w:val="14"/>
              </w:rPr>
              <w:t>35.2</w:t>
            </w:r>
          </w:p>
        </w:tc>
        <w:tc>
          <w:tcPr>
            <w:tcW w:w="764" w:type="dxa"/>
            <w:tcBorders>
              <w:top w:val="single" w:sz="4" w:space="0" w:color="000000"/>
            </w:tcBorders>
            <w:shd w:val="clear" w:color="auto" w:fill="E6E7E8"/>
          </w:tcPr>
          <w:p>
            <w:pPr>
              <w:pStyle w:val="TableParagraph"/>
              <w:spacing w:before="31"/>
              <w:ind w:left="98" w:right="15"/>
              <w:jc w:val="center"/>
              <w:rPr>
                <w:rFonts w:ascii="TT Norms Pro Light"/>
                <w:b w:val="0"/>
                <w:sz w:val="14"/>
              </w:rPr>
            </w:pPr>
            <w:r>
              <w:rPr>
                <w:rFonts w:ascii="TT Norms Pro Light"/>
                <w:b w:val="0"/>
                <w:spacing w:val="-4"/>
                <w:sz w:val="14"/>
              </w:rPr>
              <w:t>39.9</w:t>
            </w:r>
          </w:p>
        </w:tc>
        <w:tc>
          <w:tcPr>
            <w:tcW w:w="769" w:type="dxa"/>
            <w:tcBorders>
              <w:top w:val="single" w:sz="4" w:space="0" w:color="000000"/>
            </w:tcBorders>
            <w:shd w:val="clear" w:color="auto" w:fill="E6E7E8"/>
          </w:tcPr>
          <w:p>
            <w:pPr>
              <w:pStyle w:val="TableParagraph"/>
              <w:spacing w:before="31"/>
              <w:ind w:left="126" w:right="17"/>
              <w:jc w:val="center"/>
              <w:rPr>
                <w:rFonts w:ascii="TT Norms Pro Light"/>
                <w:b w:val="0"/>
                <w:sz w:val="14"/>
              </w:rPr>
            </w:pPr>
            <w:r>
              <w:rPr>
                <w:rFonts w:ascii="TT Norms Pro Light"/>
                <w:b w:val="0"/>
                <w:spacing w:val="-4"/>
                <w:sz w:val="14"/>
              </w:rPr>
              <w:t>41.9</w:t>
            </w:r>
          </w:p>
        </w:tc>
        <w:tc>
          <w:tcPr>
            <w:tcW w:w="750" w:type="dxa"/>
            <w:tcBorders>
              <w:top w:val="single" w:sz="4" w:space="0" w:color="000000"/>
            </w:tcBorders>
            <w:shd w:val="clear" w:color="auto" w:fill="E6E7E8"/>
          </w:tcPr>
          <w:p>
            <w:pPr>
              <w:pStyle w:val="TableParagraph"/>
              <w:spacing w:before="31"/>
              <w:ind w:left="72"/>
              <w:jc w:val="center"/>
              <w:rPr>
                <w:rFonts w:ascii="TT Norms Pro Light"/>
                <w:b w:val="0"/>
                <w:sz w:val="14"/>
              </w:rPr>
            </w:pPr>
            <w:r>
              <w:rPr>
                <w:rFonts w:ascii="TT Norms Pro Light"/>
                <w:b w:val="0"/>
                <w:sz w:val="14"/>
              </w:rPr>
              <w:t>42</w:t>
            </w:r>
            <w:r>
              <w:rPr>
                <w:rFonts w:ascii="TT Norms Pro Light"/>
                <w:b w:val="0"/>
                <w:spacing w:val="2"/>
                <w:sz w:val="14"/>
              </w:rPr>
              <w:t> </w:t>
            </w:r>
            <w:r>
              <w:rPr>
                <w:rFonts w:ascii="TT Norms Pro Light"/>
                <w:b w:val="0"/>
                <w:spacing w:val="-5"/>
                <w:sz w:val="14"/>
              </w:rPr>
              <w:t>.0</w:t>
            </w:r>
          </w:p>
        </w:tc>
        <w:tc>
          <w:tcPr>
            <w:tcW w:w="624" w:type="dxa"/>
            <w:tcBorders>
              <w:top w:val="single" w:sz="4" w:space="0" w:color="000000"/>
            </w:tcBorders>
            <w:shd w:val="clear" w:color="auto" w:fill="E6E7E8"/>
          </w:tcPr>
          <w:p>
            <w:pPr>
              <w:pStyle w:val="TableParagraph"/>
              <w:spacing w:before="31"/>
              <w:ind w:left="233"/>
              <w:jc w:val="center"/>
              <w:rPr>
                <w:rFonts w:ascii="TT Norms Pro Light"/>
                <w:b w:val="0"/>
                <w:sz w:val="14"/>
              </w:rPr>
            </w:pPr>
            <w:r>
              <w:rPr>
                <w:rFonts w:ascii="TT Norms Pro Light"/>
                <w:b w:val="0"/>
                <w:spacing w:val="-4"/>
                <w:sz w:val="14"/>
              </w:rPr>
              <w:t>35.3</w:t>
            </w:r>
          </w:p>
        </w:tc>
        <w:tc>
          <w:tcPr>
            <w:tcW w:w="1647" w:type="dxa"/>
          </w:tcPr>
          <w:p>
            <w:pPr>
              <w:pStyle w:val="TableParagraph"/>
              <w:rPr>
                <w:rFonts w:ascii="Times New Roman"/>
                <w:sz w:val="16"/>
              </w:rPr>
            </w:pPr>
          </w:p>
        </w:tc>
      </w:tr>
    </w:tbl>
    <w:p>
      <w:pPr>
        <w:pStyle w:val="BodyText"/>
        <w:spacing w:before="22"/>
        <w:rPr>
          <w:b w:val="0"/>
          <w:sz w:val="14"/>
        </w:rPr>
      </w:pPr>
    </w:p>
    <w:p>
      <w:pPr>
        <w:spacing w:line="264" w:lineRule="auto" w:before="0"/>
        <w:ind w:left="214" w:right="6180" w:firstLine="0"/>
        <w:jc w:val="left"/>
        <w:rPr>
          <w:rFonts w:ascii="TT Norms Pro Light"/>
          <w:b w:val="0"/>
          <w:sz w:val="14"/>
        </w:rPr>
      </w:pPr>
      <w:r>
        <w:rPr>
          <w:rFonts w:ascii="TT Norms Pro"/>
          <w:b/>
          <w:sz w:val="14"/>
        </w:rPr>
        <w:t>Data source: </w:t>
      </w:r>
      <w:r>
        <w:rPr>
          <w:rFonts w:ascii="TT Norms Pro Light"/>
          <w:b w:val="0"/>
          <w:sz w:val="14"/>
        </w:rPr>
        <w:t>Datasets and dashboard provided by Quality Indicators for</w:t>
      </w:r>
      <w:r>
        <w:rPr>
          <w:rFonts w:ascii="TT Norms Pro Light"/>
          <w:b w:val="0"/>
          <w:spacing w:val="40"/>
          <w:sz w:val="14"/>
        </w:rPr>
        <w:t> </w:t>
      </w:r>
      <w:r>
        <w:rPr>
          <w:rFonts w:ascii="TT Norms Pro Light"/>
          <w:b w:val="0"/>
          <w:sz w:val="14"/>
        </w:rPr>
        <w:t>Learning and Teaching (QILT) (via the national Social Research Centre).</w:t>
      </w:r>
    </w:p>
    <w:p>
      <w:pPr>
        <w:spacing w:line="264" w:lineRule="auto" w:before="113"/>
        <w:ind w:left="214" w:right="6180" w:firstLine="0"/>
        <w:jc w:val="left"/>
        <w:rPr>
          <w:rFonts w:ascii="TT Norms Pro Light"/>
          <w:b w:val="0"/>
          <w:sz w:val="14"/>
        </w:rPr>
      </w:pPr>
      <w:r>
        <w:rPr/>
        <mc:AlternateContent>
          <mc:Choice Requires="wps">
            <w:drawing>
              <wp:anchor distT="0" distB="0" distL="0" distR="0" allowOverlap="1" layoutInCell="1" locked="0" behindDoc="0" simplePos="0" relativeHeight="15847424">
                <wp:simplePos x="0" y="0"/>
                <wp:positionH relativeFrom="page">
                  <wp:posOffset>7111289</wp:posOffset>
                </wp:positionH>
                <wp:positionV relativeFrom="paragraph">
                  <wp:posOffset>171303</wp:posOffset>
                </wp:positionV>
                <wp:extent cx="177800" cy="1848485"/>
                <wp:effectExtent l="0" t="0" r="0" b="0"/>
                <wp:wrapNone/>
                <wp:docPr id="716" name="Textbox 716"/>
                <wp:cNvGraphicFramePr>
                  <a:graphicFrameLocks/>
                </wp:cNvGraphicFramePr>
                <a:graphic>
                  <a:graphicData uri="http://schemas.microsoft.com/office/word/2010/wordprocessingShape">
                    <wps:wsp>
                      <wps:cNvPr id="716" name="Textbox 716"/>
                      <wps:cNvSpPr txBox="1"/>
                      <wps:spPr>
                        <a:xfrm>
                          <a:off x="0" y="0"/>
                          <a:ext cx="177800" cy="184848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13.488503pt;width:14pt;height:145.550pt;mso-position-horizontal-relative:page;mso-position-vertical-relative:paragraph;z-index:15847424" type="#_x0000_t202" id="docshape479"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v:textbox>
                <w10:wrap type="none"/>
              </v:shape>
            </w:pict>
          </mc:Fallback>
        </mc:AlternateContent>
      </w:r>
      <w:r>
        <w:rPr>
          <w:rFonts w:ascii="TT Norms Pro"/>
          <w:b/>
          <w:sz w:val="14"/>
        </w:rPr>
        <w:t>Notes: </w:t>
      </w:r>
      <w:r>
        <w:rPr>
          <w:rFonts w:ascii="TT Norms Pro Light"/>
          <w:b w:val="0"/>
          <w:sz w:val="14"/>
        </w:rPr>
        <w:t>This indicator was included in the 2019 Annual Report. This metric</w:t>
      </w:r>
      <w:r>
        <w:rPr>
          <w:rFonts w:ascii="TT Norms Pro Light"/>
          <w:b w:val="0"/>
          <w:spacing w:val="40"/>
          <w:sz w:val="14"/>
        </w:rPr>
        <w:t> </w:t>
      </w:r>
      <w:r>
        <w:rPr>
          <w:rFonts w:ascii="TT Norms Pro Light"/>
          <w:b w:val="0"/>
          <w:sz w:val="14"/>
        </w:rPr>
        <w:t>represents the number of graduates who were employed full-time four</w:t>
      </w:r>
      <w:r>
        <w:rPr>
          <w:rFonts w:ascii="TT Norms Pro Light"/>
          <w:b w:val="0"/>
          <w:spacing w:val="40"/>
          <w:sz w:val="14"/>
        </w:rPr>
        <w:t> </w:t>
      </w:r>
      <w:r>
        <w:rPr>
          <w:rFonts w:ascii="TT Norms Pro Light"/>
          <w:b w:val="0"/>
          <w:sz w:val="14"/>
        </w:rPr>
        <w:t>months after completing their course, as a percentage of those graduates</w:t>
      </w:r>
      <w:r>
        <w:rPr>
          <w:rFonts w:ascii="TT Norms Pro Light"/>
          <w:b w:val="0"/>
          <w:spacing w:val="40"/>
          <w:sz w:val="14"/>
        </w:rPr>
        <w:t> </w:t>
      </w:r>
      <w:r>
        <w:rPr>
          <w:rFonts w:ascii="TT Norms Pro Light"/>
          <w:b w:val="0"/>
          <w:sz w:val="14"/>
        </w:rPr>
        <w:t>who were available for full-time employment. Benchmarking averages</w:t>
      </w:r>
      <w:r>
        <w:rPr>
          <w:rFonts w:ascii="TT Norms Pro Light"/>
          <w:b w:val="0"/>
          <w:spacing w:val="40"/>
          <w:sz w:val="14"/>
        </w:rPr>
        <w:t> </w:t>
      </w:r>
      <w:r>
        <w:rPr>
          <w:rFonts w:ascii="TT Norms Pro Light"/>
          <w:b w:val="0"/>
          <w:sz w:val="14"/>
        </w:rPr>
        <w:t>include UWA. Domestic student outcomes shown only; response rate</w:t>
      </w:r>
      <w:r>
        <w:rPr>
          <w:rFonts w:ascii="TT Norms Pro Light"/>
          <w:b w:val="0"/>
          <w:spacing w:val="40"/>
          <w:sz w:val="14"/>
        </w:rPr>
        <w:t> </w:t>
      </w:r>
      <w:r>
        <w:rPr>
          <w:rFonts w:ascii="TT Norms Pro Light"/>
          <w:b w:val="0"/>
          <w:sz w:val="14"/>
        </w:rPr>
        <w:t>includes</w:t>
      </w:r>
      <w:r>
        <w:rPr>
          <w:rFonts w:ascii="TT Norms Pro Light"/>
          <w:b w:val="0"/>
          <w:spacing w:val="22"/>
          <w:sz w:val="14"/>
        </w:rPr>
        <w:t> </w:t>
      </w:r>
      <w:r>
        <w:rPr>
          <w:rFonts w:ascii="TT Norms Pro Light"/>
          <w:b w:val="0"/>
          <w:sz w:val="14"/>
        </w:rPr>
        <w:t>international</w:t>
      </w:r>
      <w:r>
        <w:rPr>
          <w:rFonts w:ascii="TT Norms Pro Light"/>
          <w:b w:val="0"/>
          <w:spacing w:val="22"/>
          <w:sz w:val="14"/>
        </w:rPr>
        <w:t> </w:t>
      </w:r>
      <w:r>
        <w:rPr>
          <w:rFonts w:ascii="TT Norms Pro Light"/>
          <w:b w:val="0"/>
          <w:sz w:val="14"/>
        </w:rPr>
        <w:t>students.</w:t>
      </w:r>
      <w:r>
        <w:rPr>
          <w:rFonts w:ascii="TT Norms Pro Light"/>
          <w:b w:val="0"/>
          <w:spacing w:val="22"/>
          <w:sz w:val="14"/>
        </w:rPr>
        <w:t> </w:t>
      </w:r>
      <w:r>
        <w:rPr>
          <w:rFonts w:ascii="TT Norms Pro Light"/>
          <w:b w:val="0"/>
          <w:sz w:val="14"/>
        </w:rPr>
        <w:t>The</w:t>
      </w:r>
      <w:r>
        <w:rPr>
          <w:rFonts w:ascii="TT Norms Pro Light"/>
          <w:b w:val="0"/>
          <w:spacing w:val="22"/>
          <w:sz w:val="14"/>
        </w:rPr>
        <w:t> </w:t>
      </w:r>
      <w:r>
        <w:rPr>
          <w:rFonts w:ascii="TT Norms Pro Light"/>
          <w:b w:val="0"/>
          <w:sz w:val="14"/>
        </w:rPr>
        <w:t>Graduate</w:t>
      </w:r>
      <w:r>
        <w:rPr>
          <w:rFonts w:ascii="TT Norms Pro Light"/>
          <w:b w:val="0"/>
          <w:spacing w:val="22"/>
          <w:sz w:val="14"/>
        </w:rPr>
        <w:t> </w:t>
      </w:r>
      <w:r>
        <w:rPr>
          <w:rFonts w:ascii="TT Norms Pro Light"/>
          <w:b w:val="0"/>
          <w:sz w:val="14"/>
        </w:rPr>
        <w:t>Outcomes</w:t>
      </w:r>
      <w:r>
        <w:rPr>
          <w:rFonts w:ascii="TT Norms Pro Light"/>
          <w:b w:val="0"/>
          <w:spacing w:val="22"/>
          <w:sz w:val="14"/>
        </w:rPr>
        <w:t> </w:t>
      </w:r>
      <w:r>
        <w:rPr>
          <w:rFonts w:ascii="TT Norms Pro Light"/>
          <w:b w:val="0"/>
          <w:sz w:val="14"/>
        </w:rPr>
        <w:t>Survey</w:t>
      </w:r>
      <w:r>
        <w:rPr>
          <w:rFonts w:ascii="TT Norms Pro Light"/>
          <w:b w:val="0"/>
          <w:spacing w:val="22"/>
          <w:sz w:val="14"/>
        </w:rPr>
        <w:t> </w:t>
      </w:r>
      <w:r>
        <w:rPr>
          <w:rFonts w:ascii="TT Norms Pro Light"/>
          <w:b w:val="0"/>
          <w:sz w:val="14"/>
        </w:rPr>
        <w:t>began</w:t>
      </w:r>
      <w:r>
        <w:rPr>
          <w:rFonts w:ascii="TT Norms Pro Light"/>
          <w:b w:val="0"/>
          <w:spacing w:val="40"/>
          <w:sz w:val="14"/>
        </w:rPr>
        <w:t> </w:t>
      </w:r>
      <w:r>
        <w:rPr>
          <w:rFonts w:ascii="TT Norms Pro Light"/>
          <w:b w:val="0"/>
          <w:sz w:val="14"/>
        </w:rPr>
        <w:t>in its current format in 2016 for students graduating in 2015. QILT reports</w:t>
      </w:r>
      <w:r>
        <w:rPr>
          <w:rFonts w:ascii="TT Norms Pro Light"/>
          <w:b w:val="0"/>
          <w:spacing w:val="40"/>
          <w:sz w:val="14"/>
        </w:rPr>
        <w:t> </w:t>
      </w:r>
      <w:r>
        <w:rPr>
          <w:rFonts w:ascii="TT Norms Pro Light"/>
          <w:b w:val="0"/>
          <w:sz w:val="14"/>
        </w:rPr>
        <w:t>show as collection year (one year on from graduation). Year refers to the</w:t>
      </w:r>
      <w:r>
        <w:rPr>
          <w:rFonts w:ascii="TT Norms Pro Light"/>
          <w:b w:val="0"/>
          <w:spacing w:val="40"/>
          <w:sz w:val="14"/>
        </w:rPr>
        <w:t> </w:t>
      </w:r>
      <w:r>
        <w:rPr>
          <w:rFonts w:ascii="TT Norms Pro Light"/>
          <w:b w:val="0"/>
          <w:sz w:val="14"/>
        </w:rPr>
        <w:t>reference year of the survey, e.g. 2020 represents 2019 graduates.</w:t>
      </w:r>
    </w:p>
    <w:p>
      <w:pPr>
        <w:spacing w:after="0" w:line="264" w:lineRule="auto"/>
        <w:jc w:val="left"/>
        <w:rPr>
          <w:rFonts w:ascii="TT Norms Pro Light"/>
          <w:sz w:val="14"/>
        </w:rPr>
        <w:sectPr>
          <w:type w:val="continuous"/>
          <w:pgSz w:w="11910" w:h="16840"/>
          <w:pgMar w:header="468" w:footer="0" w:top="980" w:bottom="280" w:left="920" w:right="0"/>
        </w:sectPr>
      </w:pPr>
    </w:p>
    <w:p>
      <w:pPr>
        <w:pStyle w:val="Heading4"/>
        <w:numPr>
          <w:ilvl w:val="0"/>
          <w:numId w:val="8"/>
        </w:numPr>
        <w:tabs>
          <w:tab w:pos="574" w:val="left" w:leader="none"/>
        </w:tabs>
        <w:spacing w:line="240" w:lineRule="auto" w:before="115" w:after="0"/>
        <w:ind w:left="574" w:right="0" w:hanging="361"/>
        <w:jc w:val="left"/>
      </w:pPr>
      <w:r>
        <w:rPr>
          <w:color w:val="242021"/>
          <w:w w:val="60"/>
          <w:position w:val="2"/>
          <w:sz w:val="69"/>
        </w:rPr>
        <w:t>|</w:t>
      </w:r>
      <w:r>
        <w:rPr>
          <w:color w:val="242021"/>
          <w:spacing w:val="-34"/>
          <w:w w:val="95"/>
          <w:position w:val="2"/>
          <w:sz w:val="69"/>
        </w:rPr>
        <w:t> </w:t>
      </w:r>
      <w:r>
        <w:rPr>
          <w:w w:val="95"/>
        </w:rPr>
        <w:t>Research</w:t>
      </w:r>
      <w:r>
        <w:rPr>
          <w:spacing w:val="9"/>
        </w:rPr>
        <w:t> </w:t>
      </w:r>
      <w:r>
        <w:rPr>
          <w:w w:val="95"/>
        </w:rPr>
        <w:t>and</w:t>
      </w:r>
      <w:r>
        <w:rPr>
          <w:spacing w:val="8"/>
        </w:rPr>
        <w:t> </w:t>
      </w:r>
      <w:r>
        <w:rPr>
          <w:spacing w:val="-2"/>
          <w:w w:val="95"/>
        </w:rPr>
        <w:t>innovation</w:t>
      </w:r>
    </w:p>
    <w:p>
      <w:pPr>
        <w:pStyle w:val="BodyText"/>
        <w:rPr>
          <w:rFonts w:ascii="TT Norms Pro"/>
          <w:b/>
          <w:sz w:val="20"/>
        </w:rPr>
      </w:pPr>
    </w:p>
    <w:p>
      <w:pPr>
        <w:pStyle w:val="BodyText"/>
        <w:spacing w:before="14"/>
        <w:rPr>
          <w:rFonts w:ascii="TT Norms Pro"/>
          <w:b/>
          <w:sz w:val="20"/>
        </w:rPr>
      </w:pPr>
    </w:p>
    <w:tbl>
      <w:tblPr>
        <w:tblW w:w="0" w:type="auto"/>
        <w:jc w:val="left"/>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1"/>
        <w:gridCol w:w="1203"/>
        <w:gridCol w:w="651"/>
        <w:gridCol w:w="515"/>
        <w:gridCol w:w="502"/>
        <w:gridCol w:w="1019"/>
        <w:gridCol w:w="722"/>
      </w:tblGrid>
      <w:tr>
        <w:trPr>
          <w:trHeight w:val="276" w:hRule="atLeast"/>
        </w:trPr>
        <w:tc>
          <w:tcPr>
            <w:tcW w:w="5091" w:type="dxa"/>
          </w:tcPr>
          <w:p>
            <w:pPr>
              <w:pStyle w:val="TableParagraph"/>
              <w:spacing w:before="29"/>
              <w:ind w:left="70"/>
              <w:rPr>
                <w:rFonts w:ascii="TT Norms Pro"/>
                <w:b/>
                <w:sz w:val="18"/>
              </w:rPr>
            </w:pPr>
            <w:r>
              <w:rPr>
                <w:rFonts w:ascii="TT Norms Pro"/>
                <w:b/>
                <w:sz w:val="18"/>
              </w:rPr>
              <w:t>Strategic</w:t>
            </w:r>
            <w:r>
              <w:rPr>
                <w:rFonts w:ascii="TT Norms Pro"/>
                <w:b/>
                <w:spacing w:val="8"/>
                <w:sz w:val="18"/>
              </w:rPr>
              <w:t> </w:t>
            </w:r>
            <w:r>
              <w:rPr>
                <w:rFonts w:ascii="TT Norms Pro"/>
                <w:b/>
                <w:spacing w:val="-4"/>
                <w:sz w:val="18"/>
              </w:rPr>
              <w:t>goal</w:t>
            </w:r>
          </w:p>
        </w:tc>
        <w:tc>
          <w:tcPr>
            <w:tcW w:w="1203" w:type="dxa"/>
            <w:tcBorders>
              <w:bottom w:val="single" w:sz="8" w:space="0" w:color="000000"/>
            </w:tcBorders>
          </w:tcPr>
          <w:p>
            <w:pPr>
              <w:pStyle w:val="TableParagraph"/>
              <w:spacing w:before="29"/>
              <w:ind w:left="-1"/>
              <w:rPr>
                <w:rFonts w:ascii="TT Norms Pro"/>
                <w:b/>
                <w:sz w:val="18"/>
              </w:rPr>
            </w:pPr>
            <w:r>
              <w:rPr>
                <w:rFonts w:ascii="TT Norms Pro"/>
                <w:b/>
                <w:sz w:val="18"/>
              </w:rPr>
              <w:t>Research</w:t>
            </w:r>
            <w:r>
              <w:rPr>
                <w:rFonts w:ascii="TT Norms Pro"/>
                <w:b/>
                <w:spacing w:val="8"/>
                <w:sz w:val="18"/>
              </w:rPr>
              <w:t> </w:t>
            </w:r>
            <w:r>
              <w:rPr>
                <w:rFonts w:ascii="TT Norms Pro"/>
                <w:b/>
                <w:spacing w:val="-4"/>
                <w:sz w:val="18"/>
              </w:rPr>
              <w:t>inco</w:t>
            </w:r>
          </w:p>
        </w:tc>
        <w:tc>
          <w:tcPr>
            <w:tcW w:w="651" w:type="dxa"/>
            <w:tcBorders>
              <w:bottom w:val="single" w:sz="8" w:space="0" w:color="000000"/>
            </w:tcBorders>
          </w:tcPr>
          <w:p>
            <w:pPr>
              <w:pStyle w:val="TableParagraph"/>
              <w:spacing w:before="29"/>
              <w:ind w:left="-12"/>
              <w:rPr>
                <w:rFonts w:ascii="TT Norms Pro"/>
                <w:b/>
                <w:sz w:val="18"/>
              </w:rPr>
            </w:pPr>
            <w:r>
              <w:rPr>
                <w:rFonts w:ascii="TT Norms Pro"/>
                <w:b/>
                <w:sz w:val="18"/>
              </w:rPr>
              <w:t>me</w:t>
            </w:r>
            <w:r>
              <w:rPr>
                <w:rFonts w:ascii="TT Norms Pro"/>
                <w:b/>
                <w:spacing w:val="1"/>
                <w:sz w:val="18"/>
              </w:rPr>
              <w:t> </w:t>
            </w:r>
            <w:r>
              <w:rPr>
                <w:rFonts w:ascii="TT Norms Pro"/>
                <w:b/>
                <w:spacing w:val="-5"/>
                <w:sz w:val="18"/>
              </w:rPr>
              <w:t>awa</w:t>
            </w:r>
          </w:p>
        </w:tc>
        <w:tc>
          <w:tcPr>
            <w:tcW w:w="515" w:type="dxa"/>
            <w:tcBorders>
              <w:bottom w:val="single" w:sz="8" w:space="0" w:color="000000"/>
            </w:tcBorders>
          </w:tcPr>
          <w:p>
            <w:pPr>
              <w:pStyle w:val="TableParagraph"/>
              <w:spacing w:before="29"/>
              <w:ind w:left="-25" w:right="27"/>
              <w:jc w:val="center"/>
              <w:rPr>
                <w:rFonts w:ascii="TT Norms Pro"/>
                <w:b/>
                <w:sz w:val="18"/>
              </w:rPr>
            </w:pPr>
            <w:r>
              <w:rPr>
                <w:rFonts w:ascii="TT Norms Pro"/>
                <w:b/>
                <w:sz w:val="18"/>
              </w:rPr>
              <w:t>rded</w:t>
            </w:r>
            <w:r>
              <w:rPr>
                <w:rFonts w:ascii="TT Norms Pro"/>
                <w:b/>
                <w:spacing w:val="5"/>
                <w:sz w:val="18"/>
              </w:rPr>
              <w:t> </w:t>
            </w:r>
            <w:r>
              <w:rPr>
                <w:rFonts w:ascii="TT Norms Pro"/>
                <w:b/>
                <w:spacing w:val="-10"/>
                <w:sz w:val="18"/>
              </w:rPr>
              <w:t>t</w:t>
            </w:r>
          </w:p>
        </w:tc>
        <w:tc>
          <w:tcPr>
            <w:tcW w:w="502" w:type="dxa"/>
            <w:tcBorders>
              <w:bottom w:val="single" w:sz="8" w:space="0" w:color="000000"/>
            </w:tcBorders>
          </w:tcPr>
          <w:p>
            <w:pPr>
              <w:pStyle w:val="TableParagraph"/>
              <w:spacing w:before="29"/>
              <w:ind w:left="-29" w:right="-87"/>
              <w:jc w:val="center"/>
              <w:rPr>
                <w:rFonts w:ascii="TT Norms Pro"/>
                <w:b/>
                <w:sz w:val="18"/>
              </w:rPr>
            </w:pPr>
            <w:r>
              <w:rPr>
                <w:rFonts w:ascii="TT Norms Pro"/>
                <w:b/>
                <w:sz w:val="18"/>
              </w:rPr>
              <w:t>o </w:t>
            </w:r>
            <w:r>
              <w:rPr>
                <w:rFonts w:ascii="TT Norms Pro"/>
                <w:b/>
                <w:spacing w:val="-5"/>
                <w:sz w:val="18"/>
              </w:rPr>
              <w:t>UWA</w:t>
            </w:r>
          </w:p>
        </w:tc>
        <w:tc>
          <w:tcPr>
            <w:tcW w:w="1741" w:type="dxa"/>
            <w:gridSpan w:val="2"/>
            <w:tcBorders>
              <w:bottom w:val="single" w:sz="8" w:space="0" w:color="000000"/>
            </w:tcBorders>
          </w:tcPr>
          <w:p>
            <w:pPr>
              <w:pStyle w:val="TableParagraph"/>
              <w:rPr>
                <w:rFonts w:ascii="Times New Roman"/>
                <w:sz w:val="16"/>
              </w:rPr>
            </w:pPr>
          </w:p>
        </w:tc>
      </w:tr>
      <w:tr>
        <w:trPr>
          <w:trHeight w:val="224" w:hRule="atLeast"/>
        </w:trPr>
        <w:tc>
          <w:tcPr>
            <w:tcW w:w="5091" w:type="dxa"/>
          </w:tcPr>
          <w:p>
            <w:pPr>
              <w:pStyle w:val="TableParagraph"/>
              <w:spacing w:line="204" w:lineRule="exact"/>
              <w:ind w:left="70"/>
              <w:rPr>
                <w:rFonts w:ascii="TT Norms Pro Light" w:hAnsi="TT Norms Pro Light"/>
                <w:b w:val="0"/>
                <w:sz w:val="18"/>
              </w:rPr>
            </w:pPr>
            <w:r>
              <w:rPr>
                <w:rFonts w:ascii="TT Norms Pro Light" w:hAnsi="TT Norms Pro Light"/>
                <w:b w:val="0"/>
                <w:sz w:val="18"/>
              </w:rPr>
              <w:t>As one of</w:t>
            </w:r>
            <w:r>
              <w:rPr>
                <w:rFonts w:ascii="TT Norms Pro Light" w:hAnsi="TT Norms Pro Light"/>
                <w:b w:val="0"/>
                <w:spacing w:val="1"/>
                <w:sz w:val="18"/>
              </w:rPr>
              <w:t> </w:t>
            </w:r>
            <w:r>
              <w:rPr>
                <w:rFonts w:ascii="TT Norms Pro Light" w:hAnsi="TT Norms Pro Light"/>
                <w:b w:val="0"/>
                <w:sz w:val="18"/>
              </w:rPr>
              <w:t>the world’s</w:t>
            </w:r>
            <w:r>
              <w:rPr>
                <w:rFonts w:ascii="TT Norms Pro Light" w:hAnsi="TT Norms Pro Light"/>
                <w:b w:val="0"/>
                <w:spacing w:val="1"/>
                <w:sz w:val="18"/>
              </w:rPr>
              <w:t> </w:t>
            </w:r>
            <w:r>
              <w:rPr>
                <w:rFonts w:ascii="TT Norms Pro Light" w:hAnsi="TT Norms Pro Light"/>
                <w:b w:val="0"/>
                <w:sz w:val="18"/>
              </w:rPr>
              <w:t>elite, research-intensive</w:t>
            </w:r>
            <w:r>
              <w:rPr>
                <w:rFonts w:ascii="TT Norms Pro Light" w:hAnsi="TT Norms Pro Light"/>
                <w:b w:val="0"/>
                <w:spacing w:val="1"/>
                <w:sz w:val="18"/>
              </w:rPr>
              <w:t> </w:t>
            </w:r>
            <w:r>
              <w:rPr>
                <w:rFonts w:ascii="TT Norms Pro Light" w:hAnsi="TT Norms Pro Light"/>
                <w:b w:val="0"/>
                <w:spacing w:val="-2"/>
                <w:sz w:val="18"/>
              </w:rPr>
              <w:t>universities,</w:t>
            </w:r>
          </w:p>
        </w:tc>
        <w:tc>
          <w:tcPr>
            <w:tcW w:w="1203" w:type="dxa"/>
            <w:tcBorders>
              <w:top w:val="single" w:sz="8" w:space="0" w:color="000000"/>
            </w:tcBorders>
          </w:tcPr>
          <w:p>
            <w:pPr>
              <w:pStyle w:val="TableParagraph"/>
              <w:rPr>
                <w:rFonts w:ascii="Times New Roman"/>
                <w:sz w:val="16"/>
              </w:rPr>
            </w:pPr>
          </w:p>
        </w:tc>
        <w:tc>
          <w:tcPr>
            <w:tcW w:w="651" w:type="dxa"/>
            <w:tcBorders>
              <w:top w:val="single" w:sz="8" w:space="0" w:color="000000"/>
            </w:tcBorders>
          </w:tcPr>
          <w:p>
            <w:pPr>
              <w:pStyle w:val="TableParagraph"/>
              <w:spacing w:line="145" w:lineRule="exact" w:before="60"/>
              <w:ind w:left="232"/>
              <w:rPr>
                <w:rFonts w:ascii="TT Norms Pro"/>
                <w:b/>
                <w:sz w:val="14"/>
              </w:rPr>
            </w:pPr>
            <w:r>
              <w:rPr>
                <w:rFonts w:ascii="TT Norms Pro"/>
                <w:b/>
                <w:spacing w:val="-4"/>
                <w:sz w:val="14"/>
              </w:rPr>
              <w:t>2015</w:t>
            </w:r>
          </w:p>
        </w:tc>
        <w:tc>
          <w:tcPr>
            <w:tcW w:w="515" w:type="dxa"/>
            <w:tcBorders>
              <w:top w:val="single" w:sz="8" w:space="0" w:color="000000"/>
            </w:tcBorders>
          </w:tcPr>
          <w:p>
            <w:pPr>
              <w:pStyle w:val="TableParagraph"/>
              <w:spacing w:line="145" w:lineRule="exact" w:before="60"/>
              <w:ind w:left="23" w:right="27"/>
              <w:jc w:val="center"/>
              <w:rPr>
                <w:rFonts w:ascii="TT Norms Pro"/>
                <w:b/>
                <w:sz w:val="14"/>
              </w:rPr>
            </w:pPr>
            <w:r>
              <w:rPr>
                <w:rFonts w:ascii="TT Norms Pro"/>
                <w:b/>
                <w:spacing w:val="-4"/>
                <w:sz w:val="14"/>
              </w:rPr>
              <w:t>2016</w:t>
            </w:r>
          </w:p>
        </w:tc>
        <w:tc>
          <w:tcPr>
            <w:tcW w:w="502" w:type="dxa"/>
            <w:tcBorders>
              <w:top w:val="single" w:sz="8" w:space="0" w:color="000000"/>
            </w:tcBorders>
          </w:tcPr>
          <w:p>
            <w:pPr>
              <w:pStyle w:val="TableParagraph"/>
              <w:spacing w:line="145" w:lineRule="exact" w:before="60"/>
              <w:ind w:left="41" w:right="35"/>
              <w:jc w:val="center"/>
              <w:rPr>
                <w:rFonts w:ascii="TT Norms Pro"/>
                <w:b/>
                <w:sz w:val="14"/>
              </w:rPr>
            </w:pPr>
            <w:r>
              <w:rPr>
                <w:rFonts w:ascii="TT Norms Pro"/>
                <w:b/>
                <w:spacing w:val="-4"/>
                <w:sz w:val="14"/>
              </w:rPr>
              <w:t>2017</w:t>
            </w:r>
          </w:p>
        </w:tc>
        <w:tc>
          <w:tcPr>
            <w:tcW w:w="1019" w:type="dxa"/>
            <w:tcBorders>
              <w:top w:val="single" w:sz="8" w:space="0" w:color="000000"/>
            </w:tcBorders>
          </w:tcPr>
          <w:p>
            <w:pPr>
              <w:pStyle w:val="TableParagraph"/>
              <w:spacing w:line="145" w:lineRule="exact" w:before="60"/>
              <w:ind w:left="5"/>
              <w:jc w:val="center"/>
              <w:rPr>
                <w:rFonts w:ascii="TT Norms Pro"/>
                <w:b/>
                <w:sz w:val="14"/>
              </w:rPr>
            </w:pPr>
            <w:r>
              <w:rPr>
                <w:rFonts w:ascii="TT Norms Pro"/>
                <w:b/>
                <w:sz w:val="14"/>
              </w:rPr>
              <w:t>2018</w:t>
            </w:r>
            <w:r>
              <w:rPr>
                <w:rFonts w:ascii="TT Norms Pro"/>
                <w:b/>
                <w:spacing w:val="66"/>
                <w:sz w:val="14"/>
              </w:rPr>
              <w:t>  </w:t>
            </w:r>
            <w:r>
              <w:rPr>
                <w:rFonts w:ascii="TT Norms Pro"/>
                <w:b/>
                <w:spacing w:val="-4"/>
                <w:sz w:val="14"/>
              </w:rPr>
              <w:t>2019</w:t>
            </w:r>
          </w:p>
        </w:tc>
        <w:tc>
          <w:tcPr>
            <w:tcW w:w="722" w:type="dxa"/>
            <w:tcBorders>
              <w:top w:val="single" w:sz="8" w:space="0" w:color="000000"/>
            </w:tcBorders>
          </w:tcPr>
          <w:p>
            <w:pPr>
              <w:pStyle w:val="TableParagraph"/>
              <w:spacing w:line="145" w:lineRule="exact" w:before="60"/>
              <w:ind w:right="51"/>
              <w:jc w:val="right"/>
              <w:rPr>
                <w:rFonts w:ascii="TT Norms Pro"/>
                <w:b/>
                <w:sz w:val="14"/>
              </w:rPr>
            </w:pPr>
            <w:r>
              <w:rPr>
                <w:rFonts w:ascii="TT Norms Pro"/>
                <w:b/>
                <w:spacing w:val="-4"/>
                <w:sz w:val="14"/>
              </w:rPr>
              <w:t>2019</w:t>
            </w:r>
          </w:p>
        </w:tc>
      </w:tr>
      <w:tr>
        <w:trPr>
          <w:trHeight w:val="256" w:hRule="atLeast"/>
        </w:trPr>
        <w:tc>
          <w:tcPr>
            <w:tcW w:w="5091" w:type="dxa"/>
          </w:tcPr>
          <w:p>
            <w:pPr>
              <w:pStyle w:val="TableParagraph"/>
              <w:spacing w:line="208" w:lineRule="exact" w:before="28"/>
              <w:ind w:left="70"/>
              <w:rPr>
                <w:rFonts w:ascii="TT Norms Pro Light"/>
                <w:b w:val="0"/>
                <w:sz w:val="18"/>
              </w:rPr>
            </w:pPr>
            <w:r>
              <w:rPr>
                <w:rFonts w:ascii="TT Norms Pro Light"/>
                <w:b w:val="0"/>
                <w:sz w:val="18"/>
              </w:rPr>
              <w:t>we</w:t>
            </w:r>
            <w:r>
              <w:rPr>
                <w:rFonts w:ascii="TT Norms Pro Light"/>
                <w:b w:val="0"/>
                <w:spacing w:val="2"/>
                <w:sz w:val="18"/>
              </w:rPr>
              <w:t> </w:t>
            </w:r>
            <w:r>
              <w:rPr>
                <w:rFonts w:ascii="TT Norms Pro Light"/>
                <w:b w:val="0"/>
                <w:sz w:val="18"/>
              </w:rPr>
              <w:t>will</w:t>
            </w:r>
            <w:r>
              <w:rPr>
                <w:rFonts w:ascii="TT Norms Pro Light"/>
                <w:b w:val="0"/>
                <w:spacing w:val="2"/>
                <w:sz w:val="18"/>
              </w:rPr>
              <w:t> </w:t>
            </w:r>
            <w:r>
              <w:rPr>
                <w:rFonts w:ascii="TT Norms Pro Light"/>
                <w:b w:val="0"/>
                <w:sz w:val="18"/>
              </w:rPr>
              <w:t>be</w:t>
            </w:r>
            <w:r>
              <w:rPr>
                <w:rFonts w:ascii="TT Norms Pro Light"/>
                <w:b w:val="0"/>
                <w:spacing w:val="2"/>
                <w:sz w:val="18"/>
              </w:rPr>
              <w:t> </w:t>
            </w:r>
            <w:r>
              <w:rPr>
                <w:rFonts w:ascii="TT Norms Pro Light"/>
                <w:b w:val="0"/>
                <w:sz w:val="18"/>
              </w:rPr>
              <w:t>known</w:t>
            </w:r>
            <w:r>
              <w:rPr>
                <w:rFonts w:ascii="TT Norms Pro Light"/>
                <w:b w:val="0"/>
                <w:spacing w:val="3"/>
                <w:sz w:val="18"/>
              </w:rPr>
              <w:t> </w:t>
            </w:r>
            <w:r>
              <w:rPr>
                <w:rFonts w:ascii="TT Norms Pro Light"/>
                <w:b w:val="0"/>
                <w:sz w:val="18"/>
              </w:rPr>
              <w:t>for</w:t>
            </w:r>
            <w:r>
              <w:rPr>
                <w:rFonts w:ascii="TT Norms Pro Light"/>
                <w:b w:val="0"/>
                <w:spacing w:val="2"/>
                <w:sz w:val="18"/>
              </w:rPr>
              <w:t> </w:t>
            </w:r>
            <w:r>
              <w:rPr>
                <w:rFonts w:ascii="TT Norms Pro Light"/>
                <w:b w:val="0"/>
                <w:sz w:val="18"/>
              </w:rPr>
              <w:t>our</w:t>
            </w:r>
            <w:r>
              <w:rPr>
                <w:rFonts w:ascii="TT Norms Pro Light"/>
                <w:b w:val="0"/>
                <w:spacing w:val="2"/>
                <w:sz w:val="18"/>
              </w:rPr>
              <w:t> </w:t>
            </w:r>
            <w:r>
              <w:rPr>
                <w:rFonts w:ascii="TT Norms Pro Light"/>
                <w:b w:val="0"/>
                <w:sz w:val="18"/>
              </w:rPr>
              <w:t>trusted,</w:t>
            </w:r>
            <w:r>
              <w:rPr>
                <w:rFonts w:ascii="TT Norms Pro Light"/>
                <w:b w:val="0"/>
                <w:spacing w:val="3"/>
                <w:sz w:val="18"/>
              </w:rPr>
              <w:t> </w:t>
            </w:r>
            <w:r>
              <w:rPr>
                <w:rFonts w:ascii="TT Norms Pro Light"/>
                <w:b w:val="0"/>
                <w:spacing w:val="-2"/>
                <w:sz w:val="18"/>
              </w:rPr>
              <w:t>reproducible,</w:t>
            </w:r>
          </w:p>
        </w:tc>
        <w:tc>
          <w:tcPr>
            <w:tcW w:w="1203" w:type="dxa"/>
            <w:tcBorders>
              <w:bottom w:val="single" w:sz="2" w:space="0" w:color="000000"/>
            </w:tcBorders>
          </w:tcPr>
          <w:p>
            <w:pPr>
              <w:pStyle w:val="TableParagraph"/>
              <w:rPr>
                <w:rFonts w:ascii="Times New Roman"/>
                <w:sz w:val="16"/>
              </w:rPr>
            </w:pPr>
          </w:p>
        </w:tc>
        <w:tc>
          <w:tcPr>
            <w:tcW w:w="651" w:type="dxa"/>
            <w:tcBorders>
              <w:bottom w:val="single" w:sz="2" w:space="0" w:color="000000"/>
            </w:tcBorders>
          </w:tcPr>
          <w:p>
            <w:pPr>
              <w:pStyle w:val="TableParagraph"/>
              <w:rPr>
                <w:rFonts w:ascii="Times New Roman"/>
                <w:sz w:val="16"/>
              </w:rPr>
            </w:pPr>
          </w:p>
        </w:tc>
        <w:tc>
          <w:tcPr>
            <w:tcW w:w="515" w:type="dxa"/>
            <w:tcBorders>
              <w:bottom w:val="single" w:sz="2" w:space="0" w:color="000000"/>
            </w:tcBorders>
          </w:tcPr>
          <w:p>
            <w:pPr>
              <w:pStyle w:val="TableParagraph"/>
              <w:rPr>
                <w:rFonts w:ascii="Times New Roman"/>
                <w:sz w:val="16"/>
              </w:rPr>
            </w:pPr>
          </w:p>
        </w:tc>
        <w:tc>
          <w:tcPr>
            <w:tcW w:w="502" w:type="dxa"/>
            <w:tcBorders>
              <w:bottom w:val="single" w:sz="2" w:space="0" w:color="000000"/>
            </w:tcBorders>
          </w:tcPr>
          <w:p>
            <w:pPr>
              <w:pStyle w:val="TableParagraph"/>
              <w:rPr>
                <w:rFonts w:ascii="Times New Roman"/>
                <w:sz w:val="16"/>
              </w:rPr>
            </w:pPr>
          </w:p>
        </w:tc>
        <w:tc>
          <w:tcPr>
            <w:tcW w:w="1019" w:type="dxa"/>
            <w:tcBorders>
              <w:bottom w:val="single" w:sz="2" w:space="0" w:color="000000"/>
            </w:tcBorders>
          </w:tcPr>
          <w:p>
            <w:pPr>
              <w:pStyle w:val="TableParagraph"/>
              <w:rPr>
                <w:rFonts w:ascii="Times New Roman"/>
                <w:sz w:val="16"/>
              </w:rPr>
            </w:pPr>
          </w:p>
        </w:tc>
        <w:tc>
          <w:tcPr>
            <w:tcW w:w="722" w:type="dxa"/>
            <w:tcBorders>
              <w:bottom w:val="single" w:sz="2" w:space="0" w:color="000000"/>
            </w:tcBorders>
          </w:tcPr>
          <w:p>
            <w:pPr>
              <w:pStyle w:val="TableParagraph"/>
              <w:spacing w:before="50"/>
              <w:ind w:right="51"/>
              <w:jc w:val="right"/>
              <w:rPr>
                <w:rFonts w:ascii="TT Norms Pro"/>
                <w:b/>
                <w:sz w:val="14"/>
              </w:rPr>
            </w:pPr>
            <w:r>
              <w:rPr>
                <w:rFonts w:ascii="TT Norms Pro"/>
                <w:b/>
                <w:spacing w:val="-2"/>
                <w:sz w:val="14"/>
              </w:rPr>
              <w:t>TARGET</w:t>
            </w:r>
          </w:p>
        </w:tc>
      </w:tr>
      <w:tr>
        <w:trPr>
          <w:trHeight w:val="247" w:hRule="atLeast"/>
        </w:trPr>
        <w:tc>
          <w:tcPr>
            <w:tcW w:w="5091" w:type="dxa"/>
          </w:tcPr>
          <w:p>
            <w:pPr>
              <w:pStyle w:val="TableParagraph"/>
              <w:spacing w:line="201" w:lineRule="exact" w:before="26"/>
              <w:ind w:left="70"/>
              <w:rPr>
                <w:rFonts w:ascii="TT Norms Pro Light"/>
                <w:b w:val="0"/>
                <w:sz w:val="18"/>
              </w:rPr>
            </w:pPr>
            <w:r>
              <w:rPr>
                <w:rFonts w:ascii="TT Norms Pro Light"/>
                <w:b w:val="0"/>
                <w:sz w:val="18"/>
              </w:rPr>
              <w:t>transformative,</w:t>
            </w:r>
            <w:r>
              <w:rPr>
                <w:rFonts w:ascii="TT Norms Pro Light"/>
                <w:b w:val="0"/>
                <w:spacing w:val="2"/>
                <w:sz w:val="18"/>
              </w:rPr>
              <w:t> </w:t>
            </w:r>
            <w:r>
              <w:rPr>
                <w:rFonts w:ascii="TT Norms Pro Light"/>
                <w:b w:val="0"/>
                <w:sz w:val="18"/>
              </w:rPr>
              <w:t>open</w:t>
            </w:r>
            <w:r>
              <w:rPr>
                <w:rFonts w:ascii="TT Norms Pro Light"/>
                <w:b w:val="0"/>
                <w:spacing w:val="2"/>
                <w:sz w:val="18"/>
              </w:rPr>
              <w:t> </w:t>
            </w:r>
            <w:r>
              <w:rPr>
                <w:rFonts w:ascii="TT Norms Pro Light"/>
                <w:b w:val="0"/>
                <w:sz w:val="18"/>
              </w:rPr>
              <w:t>research</w:t>
            </w:r>
            <w:r>
              <w:rPr>
                <w:rFonts w:ascii="TT Norms Pro Light"/>
                <w:b w:val="0"/>
                <w:spacing w:val="2"/>
                <w:sz w:val="18"/>
              </w:rPr>
              <w:t> </w:t>
            </w:r>
            <w:r>
              <w:rPr>
                <w:rFonts w:ascii="TT Norms Pro Light"/>
                <w:b w:val="0"/>
                <w:sz w:val="18"/>
              </w:rPr>
              <w:t>and</w:t>
            </w:r>
            <w:r>
              <w:rPr>
                <w:rFonts w:ascii="TT Norms Pro Light"/>
                <w:b w:val="0"/>
                <w:spacing w:val="2"/>
                <w:sz w:val="18"/>
              </w:rPr>
              <w:t> </w:t>
            </w:r>
            <w:r>
              <w:rPr>
                <w:rFonts w:ascii="TT Norms Pro Light"/>
                <w:b w:val="0"/>
                <w:sz w:val="18"/>
              </w:rPr>
              <w:t>accessible</w:t>
            </w:r>
            <w:r>
              <w:rPr>
                <w:rFonts w:ascii="TT Norms Pro Light"/>
                <w:b w:val="0"/>
                <w:spacing w:val="2"/>
                <w:sz w:val="18"/>
              </w:rPr>
              <w:t> </w:t>
            </w:r>
            <w:r>
              <w:rPr>
                <w:rFonts w:ascii="TT Norms Pro Light"/>
                <w:b w:val="0"/>
                <w:sz w:val="18"/>
              </w:rPr>
              <w:t>data.</w:t>
            </w:r>
            <w:r>
              <w:rPr>
                <w:rFonts w:ascii="TT Norms Pro Light"/>
                <w:b w:val="0"/>
                <w:spacing w:val="2"/>
                <w:sz w:val="18"/>
              </w:rPr>
              <w:t> </w:t>
            </w:r>
            <w:r>
              <w:rPr>
                <w:rFonts w:ascii="TT Norms Pro Light"/>
                <w:b w:val="0"/>
                <w:sz w:val="18"/>
              </w:rPr>
              <w:t>We</w:t>
            </w:r>
            <w:r>
              <w:rPr>
                <w:rFonts w:ascii="TT Norms Pro Light"/>
                <w:b w:val="0"/>
                <w:spacing w:val="3"/>
                <w:sz w:val="18"/>
              </w:rPr>
              <w:t> </w:t>
            </w:r>
            <w:r>
              <w:rPr>
                <w:rFonts w:ascii="TT Norms Pro Light"/>
                <w:b w:val="0"/>
                <w:spacing w:val="-4"/>
                <w:sz w:val="18"/>
              </w:rPr>
              <w:t>will</w:t>
            </w:r>
          </w:p>
        </w:tc>
        <w:tc>
          <w:tcPr>
            <w:tcW w:w="1203" w:type="dxa"/>
            <w:tcBorders>
              <w:top w:val="single" w:sz="2" w:space="0" w:color="000000"/>
            </w:tcBorders>
            <w:shd w:val="clear" w:color="auto" w:fill="E6E7E8"/>
          </w:tcPr>
          <w:p>
            <w:pPr>
              <w:pStyle w:val="TableParagraph"/>
              <w:spacing w:line="149" w:lineRule="exact" w:before="78"/>
              <w:ind w:left="57"/>
              <w:rPr>
                <w:rFonts w:ascii="TT Norms Pro Light"/>
                <w:b w:val="0"/>
                <w:sz w:val="14"/>
              </w:rPr>
            </w:pPr>
            <w:r>
              <w:rPr>
                <w:rFonts w:ascii="TT Norms Pro Light"/>
                <w:b w:val="0"/>
                <w:sz w:val="14"/>
              </w:rPr>
              <w:t>Total</w:t>
            </w:r>
            <w:r>
              <w:rPr>
                <w:rFonts w:ascii="TT Norms Pro Light"/>
                <w:b w:val="0"/>
                <w:spacing w:val="-2"/>
                <w:sz w:val="14"/>
              </w:rPr>
              <w:t> research</w:t>
            </w:r>
          </w:p>
        </w:tc>
        <w:tc>
          <w:tcPr>
            <w:tcW w:w="651" w:type="dxa"/>
            <w:tcBorders>
              <w:top w:val="single" w:sz="2" w:space="0" w:color="000000"/>
            </w:tcBorders>
            <w:shd w:val="clear" w:color="auto" w:fill="E6E7E8"/>
          </w:tcPr>
          <w:p>
            <w:pPr>
              <w:pStyle w:val="TableParagraph"/>
              <w:rPr>
                <w:rFonts w:ascii="Times New Roman"/>
                <w:sz w:val="16"/>
              </w:rPr>
            </w:pPr>
          </w:p>
        </w:tc>
        <w:tc>
          <w:tcPr>
            <w:tcW w:w="515" w:type="dxa"/>
            <w:tcBorders>
              <w:top w:val="single" w:sz="2" w:space="0" w:color="000000"/>
            </w:tcBorders>
            <w:shd w:val="clear" w:color="auto" w:fill="E6E7E8"/>
          </w:tcPr>
          <w:p>
            <w:pPr>
              <w:pStyle w:val="TableParagraph"/>
              <w:rPr>
                <w:rFonts w:ascii="Times New Roman"/>
                <w:sz w:val="16"/>
              </w:rPr>
            </w:pPr>
          </w:p>
        </w:tc>
        <w:tc>
          <w:tcPr>
            <w:tcW w:w="502" w:type="dxa"/>
            <w:tcBorders>
              <w:top w:val="single" w:sz="2" w:space="0" w:color="000000"/>
            </w:tcBorders>
            <w:shd w:val="clear" w:color="auto" w:fill="E6E7E8"/>
          </w:tcPr>
          <w:p>
            <w:pPr>
              <w:pStyle w:val="TableParagraph"/>
              <w:rPr>
                <w:rFonts w:ascii="Times New Roman"/>
                <w:sz w:val="16"/>
              </w:rPr>
            </w:pPr>
          </w:p>
        </w:tc>
        <w:tc>
          <w:tcPr>
            <w:tcW w:w="1019" w:type="dxa"/>
            <w:tcBorders>
              <w:top w:val="single" w:sz="2" w:space="0" w:color="000000"/>
            </w:tcBorders>
            <w:shd w:val="clear" w:color="auto" w:fill="E6E7E8"/>
          </w:tcPr>
          <w:p>
            <w:pPr>
              <w:pStyle w:val="TableParagraph"/>
              <w:rPr>
                <w:rFonts w:ascii="Times New Roman"/>
                <w:sz w:val="16"/>
              </w:rPr>
            </w:pPr>
          </w:p>
        </w:tc>
        <w:tc>
          <w:tcPr>
            <w:tcW w:w="722" w:type="dxa"/>
            <w:tcBorders>
              <w:top w:val="single" w:sz="2" w:space="0" w:color="000000"/>
            </w:tcBorders>
            <w:shd w:val="clear" w:color="auto" w:fill="E6E7E8"/>
          </w:tcPr>
          <w:p>
            <w:pPr>
              <w:pStyle w:val="TableParagraph"/>
              <w:rPr>
                <w:rFonts w:ascii="Times New Roman"/>
                <w:sz w:val="16"/>
              </w:rPr>
            </w:pPr>
          </w:p>
        </w:tc>
      </w:tr>
      <w:tr>
        <w:trPr>
          <w:trHeight w:val="449" w:hRule="atLeast"/>
        </w:trPr>
        <w:tc>
          <w:tcPr>
            <w:tcW w:w="5091" w:type="dxa"/>
          </w:tcPr>
          <w:p>
            <w:pPr>
              <w:pStyle w:val="TableParagraph"/>
              <w:spacing w:line="260" w:lineRule="exact"/>
              <w:ind w:left="70"/>
              <w:rPr>
                <w:rFonts w:ascii="TT Norms Pro Light"/>
                <w:b w:val="0"/>
                <w:sz w:val="18"/>
              </w:rPr>
            </w:pPr>
            <w:r>
              <w:rPr>
                <w:rFonts w:ascii="TT Norms Pro Light"/>
                <w:b w:val="0"/>
                <w:sz w:val="18"/>
              </w:rPr>
              <w:t>be recognised for leading teams in resolving real-world</w:t>
            </w:r>
            <w:r>
              <w:rPr>
                <w:rFonts w:ascii="TT Norms Pro Light"/>
                <w:b w:val="0"/>
                <w:spacing w:val="40"/>
                <w:sz w:val="18"/>
              </w:rPr>
              <w:t> </w:t>
            </w:r>
            <w:r>
              <w:rPr>
                <w:rFonts w:ascii="TT Norms Pro Light"/>
                <w:b w:val="0"/>
                <w:sz w:val="18"/>
              </w:rPr>
              <w:t>challenges</w:t>
            </w:r>
            <w:r>
              <w:rPr>
                <w:rFonts w:ascii="TT Norms Pro Light"/>
                <w:b w:val="0"/>
                <w:spacing w:val="1"/>
                <w:sz w:val="18"/>
              </w:rPr>
              <w:t> </w:t>
            </w:r>
            <w:r>
              <w:rPr>
                <w:rFonts w:ascii="TT Norms Pro Light"/>
                <w:b w:val="0"/>
                <w:sz w:val="18"/>
              </w:rPr>
              <w:t>that</w:t>
            </w:r>
            <w:r>
              <w:rPr>
                <w:rFonts w:ascii="TT Norms Pro Light"/>
                <w:b w:val="0"/>
                <w:spacing w:val="2"/>
                <w:sz w:val="18"/>
              </w:rPr>
              <w:t> </w:t>
            </w:r>
            <w:r>
              <w:rPr>
                <w:rFonts w:ascii="TT Norms Pro Light"/>
                <w:b w:val="0"/>
                <w:sz w:val="18"/>
              </w:rPr>
              <w:t>are</w:t>
            </w:r>
            <w:r>
              <w:rPr>
                <w:rFonts w:ascii="TT Norms Pro Light"/>
                <w:b w:val="0"/>
                <w:spacing w:val="2"/>
                <w:sz w:val="18"/>
              </w:rPr>
              <w:t> </w:t>
            </w:r>
            <w:r>
              <w:rPr>
                <w:rFonts w:ascii="TT Norms Pro Light"/>
                <w:b w:val="0"/>
                <w:sz w:val="18"/>
              </w:rPr>
              <w:t>critical</w:t>
            </w:r>
            <w:r>
              <w:rPr>
                <w:rFonts w:ascii="TT Norms Pro Light"/>
                <w:b w:val="0"/>
                <w:spacing w:val="2"/>
                <w:sz w:val="18"/>
              </w:rPr>
              <w:t> </w:t>
            </w:r>
            <w:r>
              <w:rPr>
                <w:rFonts w:ascii="TT Norms Pro Light"/>
                <w:b w:val="0"/>
                <w:sz w:val="18"/>
              </w:rPr>
              <w:t>to</w:t>
            </w:r>
            <w:r>
              <w:rPr>
                <w:rFonts w:ascii="TT Norms Pro Light"/>
                <w:b w:val="0"/>
                <w:spacing w:val="2"/>
                <w:sz w:val="18"/>
              </w:rPr>
              <w:t> </w:t>
            </w:r>
            <w:r>
              <w:rPr>
                <w:rFonts w:ascii="TT Norms Pro Light"/>
                <w:b w:val="0"/>
                <w:sz w:val="18"/>
              </w:rPr>
              <w:t>the</w:t>
            </w:r>
            <w:r>
              <w:rPr>
                <w:rFonts w:ascii="TT Norms Pro Light"/>
                <w:b w:val="0"/>
                <w:spacing w:val="2"/>
                <w:sz w:val="18"/>
              </w:rPr>
              <w:t> </w:t>
            </w:r>
            <w:r>
              <w:rPr>
                <w:rFonts w:ascii="TT Norms Pro Light"/>
                <w:b w:val="0"/>
                <w:sz w:val="18"/>
              </w:rPr>
              <w:t>planet</w:t>
            </w:r>
            <w:r>
              <w:rPr>
                <w:rFonts w:ascii="TT Norms Pro Light"/>
                <w:b w:val="0"/>
                <w:spacing w:val="2"/>
                <w:sz w:val="18"/>
              </w:rPr>
              <w:t> </w:t>
            </w:r>
            <w:r>
              <w:rPr>
                <w:rFonts w:ascii="TT Norms Pro Light"/>
                <w:b w:val="0"/>
                <w:sz w:val="18"/>
              </w:rPr>
              <w:t>and</w:t>
            </w:r>
            <w:r>
              <w:rPr>
                <w:rFonts w:ascii="TT Norms Pro Light"/>
                <w:b w:val="0"/>
                <w:spacing w:val="2"/>
                <w:sz w:val="18"/>
              </w:rPr>
              <w:t> </w:t>
            </w:r>
            <w:r>
              <w:rPr>
                <w:rFonts w:ascii="TT Norms Pro Light"/>
                <w:b w:val="0"/>
                <w:sz w:val="18"/>
              </w:rPr>
              <w:t>its</w:t>
            </w:r>
            <w:r>
              <w:rPr>
                <w:rFonts w:ascii="TT Norms Pro Light"/>
                <w:b w:val="0"/>
                <w:spacing w:val="2"/>
                <w:sz w:val="18"/>
              </w:rPr>
              <w:t> </w:t>
            </w:r>
            <w:r>
              <w:rPr>
                <w:rFonts w:ascii="TT Norms Pro Light"/>
                <w:b w:val="0"/>
                <w:spacing w:val="-2"/>
                <w:sz w:val="18"/>
              </w:rPr>
              <w:t>people.</w:t>
            </w:r>
          </w:p>
        </w:tc>
        <w:tc>
          <w:tcPr>
            <w:tcW w:w="1203" w:type="dxa"/>
            <w:shd w:val="clear" w:color="auto" w:fill="E6E7E8"/>
          </w:tcPr>
          <w:p>
            <w:pPr>
              <w:pStyle w:val="TableParagraph"/>
              <w:spacing w:line="200" w:lineRule="exact" w:before="4"/>
              <w:ind w:left="57"/>
              <w:rPr>
                <w:rFonts w:ascii="TT Norms Pro Light"/>
                <w:b w:val="0"/>
                <w:sz w:val="14"/>
              </w:rPr>
            </w:pPr>
            <w:r>
              <w:rPr>
                <w:rFonts w:ascii="TT Norms Pro Light"/>
                <w:b w:val="0"/>
                <w:sz w:val="14"/>
              </w:rPr>
              <w:t>($millions)</w:t>
            </w:r>
            <w:r>
              <w:rPr>
                <w:rFonts w:ascii="TT Norms Pro Light"/>
                <w:b w:val="0"/>
                <w:spacing w:val="-7"/>
                <w:sz w:val="14"/>
              </w:rPr>
              <w:t> </w:t>
            </w:r>
            <w:r>
              <w:rPr>
                <w:rFonts w:ascii="TT Norms Pro Light"/>
                <w:b w:val="0"/>
                <w:sz w:val="14"/>
              </w:rPr>
              <w:t>-</w:t>
            </w:r>
            <w:r>
              <w:rPr>
                <w:rFonts w:ascii="TT Norms Pro Light"/>
                <w:b w:val="0"/>
                <w:spacing w:val="40"/>
                <w:sz w:val="14"/>
              </w:rPr>
              <w:t> </w:t>
            </w:r>
            <w:r>
              <w:rPr>
                <w:rFonts w:ascii="TT Norms Pro Light"/>
                <w:b w:val="0"/>
                <w:spacing w:val="-2"/>
                <w:sz w:val="14"/>
              </w:rPr>
              <w:t>effectiveness</w:t>
            </w:r>
          </w:p>
        </w:tc>
        <w:tc>
          <w:tcPr>
            <w:tcW w:w="651" w:type="dxa"/>
            <w:shd w:val="clear" w:color="auto" w:fill="E6E7E8"/>
          </w:tcPr>
          <w:p>
            <w:pPr>
              <w:pStyle w:val="TableParagraph"/>
              <w:spacing w:before="31"/>
              <w:ind w:left="264"/>
              <w:rPr>
                <w:rFonts w:ascii="TT Norms Pro Light"/>
                <w:b w:val="0"/>
                <w:sz w:val="14"/>
              </w:rPr>
            </w:pPr>
            <w:r>
              <w:rPr>
                <w:rFonts w:ascii="TT Norms Pro Light"/>
                <w:b w:val="0"/>
                <w:spacing w:val="-4"/>
                <w:sz w:val="14"/>
              </w:rPr>
              <w:t>$195</w:t>
            </w:r>
          </w:p>
        </w:tc>
        <w:tc>
          <w:tcPr>
            <w:tcW w:w="515" w:type="dxa"/>
            <w:shd w:val="clear" w:color="auto" w:fill="E6E7E8"/>
          </w:tcPr>
          <w:p>
            <w:pPr>
              <w:pStyle w:val="TableParagraph"/>
              <w:spacing w:before="31"/>
              <w:ind w:left="44" w:right="27"/>
              <w:jc w:val="center"/>
              <w:rPr>
                <w:rFonts w:ascii="TT Norms Pro Light"/>
                <w:b w:val="0"/>
                <w:sz w:val="14"/>
              </w:rPr>
            </w:pPr>
            <w:r>
              <w:rPr>
                <w:rFonts w:ascii="TT Norms Pro Light"/>
                <w:b w:val="0"/>
                <w:spacing w:val="-4"/>
                <w:sz w:val="14"/>
              </w:rPr>
              <w:t>$190</w:t>
            </w:r>
          </w:p>
        </w:tc>
        <w:tc>
          <w:tcPr>
            <w:tcW w:w="502" w:type="dxa"/>
            <w:shd w:val="clear" w:color="auto" w:fill="E6E7E8"/>
          </w:tcPr>
          <w:p>
            <w:pPr>
              <w:pStyle w:val="TableParagraph"/>
              <w:spacing w:before="31"/>
              <w:ind w:left="41"/>
              <w:jc w:val="center"/>
              <w:rPr>
                <w:rFonts w:ascii="TT Norms Pro Light"/>
                <w:b w:val="0"/>
                <w:sz w:val="14"/>
              </w:rPr>
            </w:pPr>
            <w:r>
              <w:rPr>
                <w:rFonts w:ascii="TT Norms Pro Light"/>
                <w:b w:val="0"/>
                <w:spacing w:val="-4"/>
                <w:sz w:val="14"/>
              </w:rPr>
              <w:t>$167</w:t>
            </w:r>
          </w:p>
        </w:tc>
        <w:tc>
          <w:tcPr>
            <w:tcW w:w="1019" w:type="dxa"/>
            <w:shd w:val="clear" w:color="auto" w:fill="E6E7E8"/>
          </w:tcPr>
          <w:p>
            <w:pPr>
              <w:pStyle w:val="TableParagraph"/>
              <w:tabs>
                <w:tab w:pos="547" w:val="left" w:leader="none"/>
              </w:tabs>
              <w:spacing w:before="31"/>
              <w:ind w:left="54"/>
              <w:jc w:val="center"/>
              <w:rPr>
                <w:rFonts w:ascii="TT Norms Pro Light"/>
                <w:b w:val="0"/>
                <w:sz w:val="14"/>
              </w:rPr>
            </w:pPr>
            <w:r>
              <w:rPr>
                <w:rFonts w:ascii="TT Norms Pro Light"/>
                <w:b w:val="0"/>
                <w:spacing w:val="-4"/>
                <w:sz w:val="14"/>
              </w:rPr>
              <w:t>$177</w:t>
            </w:r>
            <w:r>
              <w:rPr>
                <w:rFonts w:ascii="TT Norms Pro Light"/>
                <w:b w:val="0"/>
                <w:sz w:val="14"/>
              </w:rPr>
              <w:tab/>
            </w:r>
            <w:r>
              <w:rPr>
                <w:rFonts w:ascii="TT Norms Pro Light"/>
                <w:b w:val="0"/>
                <w:spacing w:val="-4"/>
                <w:sz w:val="14"/>
              </w:rPr>
              <w:t>$214</w:t>
            </w:r>
          </w:p>
        </w:tc>
        <w:tc>
          <w:tcPr>
            <w:tcW w:w="722" w:type="dxa"/>
            <w:shd w:val="clear" w:color="auto" w:fill="E6E7E8"/>
          </w:tcPr>
          <w:p>
            <w:pPr>
              <w:pStyle w:val="TableParagraph"/>
              <w:spacing w:before="31"/>
              <w:ind w:right="51"/>
              <w:jc w:val="right"/>
              <w:rPr>
                <w:rFonts w:ascii="TT Norms Pro Light"/>
                <w:b w:val="0"/>
                <w:sz w:val="14"/>
              </w:rPr>
            </w:pPr>
            <w:r>
              <w:rPr>
                <w:rFonts w:ascii="TT Norms Pro Light"/>
                <w:b w:val="0"/>
                <w:spacing w:val="-4"/>
                <w:sz w:val="14"/>
              </w:rPr>
              <w:t>$203</w:t>
            </w:r>
          </w:p>
        </w:tc>
      </w:tr>
      <w:tr>
        <w:trPr>
          <w:trHeight w:val="532" w:hRule="atLeast"/>
        </w:trPr>
        <w:tc>
          <w:tcPr>
            <w:tcW w:w="5091" w:type="dxa"/>
          </w:tcPr>
          <w:p>
            <w:pPr>
              <w:pStyle w:val="TableParagraph"/>
              <w:spacing w:before="83"/>
              <w:rPr>
                <w:rFonts w:ascii="TT Norms Pro"/>
                <w:b/>
                <w:sz w:val="18"/>
              </w:rPr>
            </w:pPr>
          </w:p>
          <w:p>
            <w:pPr>
              <w:pStyle w:val="TableParagraph"/>
              <w:ind w:left="70"/>
              <w:rPr>
                <w:rFonts w:ascii="TT Norms Pro"/>
                <w:b/>
                <w:sz w:val="18"/>
              </w:rPr>
            </w:pPr>
            <w:r>
              <w:rPr>
                <w:rFonts w:ascii="TT Norms Pro"/>
                <w:b/>
                <w:sz w:val="18"/>
              </w:rPr>
              <w:t>Key</w:t>
            </w:r>
            <w:r>
              <w:rPr>
                <w:rFonts w:ascii="TT Norms Pro"/>
                <w:b/>
                <w:spacing w:val="3"/>
                <w:sz w:val="18"/>
              </w:rPr>
              <w:t> </w:t>
            </w:r>
            <w:r>
              <w:rPr>
                <w:rFonts w:ascii="TT Norms Pro"/>
                <w:b/>
                <w:sz w:val="18"/>
              </w:rPr>
              <w:t>performance</w:t>
            </w:r>
            <w:r>
              <w:rPr>
                <w:rFonts w:ascii="TT Norms Pro"/>
                <w:b/>
                <w:spacing w:val="6"/>
                <w:sz w:val="18"/>
              </w:rPr>
              <w:t> </w:t>
            </w:r>
            <w:r>
              <w:rPr>
                <w:rFonts w:ascii="TT Norms Pro"/>
                <w:b/>
                <w:spacing w:val="-2"/>
                <w:sz w:val="18"/>
              </w:rPr>
              <w:t>indicators</w:t>
            </w:r>
          </w:p>
        </w:tc>
        <w:tc>
          <w:tcPr>
            <w:tcW w:w="1203" w:type="dxa"/>
          </w:tcPr>
          <w:p>
            <w:pPr>
              <w:pStyle w:val="TableParagraph"/>
              <w:spacing w:line="141" w:lineRule="exact"/>
              <w:ind w:left="56"/>
              <w:rPr>
                <w:rFonts w:ascii="TT Norms Pro Light"/>
                <w:b w:val="0"/>
                <w:sz w:val="14"/>
              </w:rPr>
            </w:pPr>
            <w:r>
              <w:rPr>
                <w:rFonts w:ascii="TT Norms Pro Light"/>
                <w:b w:val="0"/>
                <w:sz w:val="14"/>
              </w:rPr>
              <w:t>Research</w:t>
            </w:r>
            <w:r>
              <w:rPr>
                <w:rFonts w:ascii="TT Norms Pro Light"/>
                <w:b w:val="0"/>
                <w:spacing w:val="9"/>
                <w:sz w:val="14"/>
              </w:rPr>
              <w:t> </w:t>
            </w:r>
            <w:r>
              <w:rPr>
                <w:rFonts w:ascii="TT Norms Pro Light"/>
                <w:b w:val="0"/>
                <w:spacing w:val="-2"/>
                <w:sz w:val="14"/>
              </w:rPr>
              <w:t>income/</w:t>
            </w:r>
          </w:p>
          <w:p>
            <w:pPr>
              <w:pStyle w:val="TableParagraph"/>
              <w:spacing w:before="36"/>
              <w:ind w:left="56"/>
              <w:rPr>
                <w:rFonts w:ascii="TT Norms Pro Light"/>
                <w:b w:val="0"/>
                <w:sz w:val="14"/>
              </w:rPr>
            </w:pPr>
            <w:r>
              <w:rPr>
                <w:rFonts w:ascii="TT Norms Pro Light"/>
                <w:b w:val="0"/>
                <w:spacing w:val="-5"/>
                <w:sz w:val="14"/>
              </w:rPr>
              <w:t>FTE</w:t>
            </w:r>
          </w:p>
          <w:p>
            <w:pPr>
              <w:pStyle w:val="TableParagraph"/>
              <w:spacing w:line="135" w:lineRule="exact" w:before="36"/>
              <w:ind w:left="56"/>
              <w:rPr>
                <w:rFonts w:ascii="TT Norms Pro Light"/>
                <w:b w:val="0"/>
                <w:sz w:val="14"/>
              </w:rPr>
            </w:pPr>
            <w:r>
              <w:rPr>
                <w:rFonts w:ascii="TT Norms Pro Light"/>
                <w:b w:val="0"/>
                <w:sz w:val="14"/>
              </w:rPr>
              <w:t>(level</w:t>
            </w:r>
            <w:r>
              <w:rPr>
                <w:rFonts w:ascii="TT Norms Pro Light"/>
                <w:b w:val="0"/>
                <w:spacing w:val="5"/>
                <w:sz w:val="14"/>
              </w:rPr>
              <w:t> </w:t>
            </w:r>
            <w:r>
              <w:rPr>
                <w:rFonts w:ascii="TT Norms Pro Light"/>
                <w:b w:val="0"/>
                <w:spacing w:val="-5"/>
                <w:sz w:val="14"/>
              </w:rPr>
              <w:t>B+)</w:t>
            </w:r>
          </w:p>
        </w:tc>
        <w:tc>
          <w:tcPr>
            <w:tcW w:w="651" w:type="dxa"/>
          </w:tcPr>
          <w:p>
            <w:pPr>
              <w:pStyle w:val="TableParagraph"/>
              <w:rPr>
                <w:rFonts w:ascii="TT Norms Pro"/>
                <w:b/>
                <w:sz w:val="14"/>
              </w:rPr>
            </w:pPr>
          </w:p>
          <w:p>
            <w:pPr>
              <w:pStyle w:val="TableParagraph"/>
              <w:spacing w:before="49"/>
              <w:rPr>
                <w:rFonts w:ascii="TT Norms Pro"/>
                <w:b/>
                <w:sz w:val="14"/>
              </w:rPr>
            </w:pPr>
          </w:p>
          <w:p>
            <w:pPr>
              <w:pStyle w:val="TableParagraph"/>
              <w:spacing w:line="135" w:lineRule="exact"/>
              <w:ind w:left="274"/>
              <w:rPr>
                <w:rFonts w:ascii="TT Norms Pro Light"/>
                <w:b w:val="0"/>
                <w:sz w:val="14"/>
              </w:rPr>
            </w:pPr>
            <w:r>
              <w:rPr>
                <w:rFonts w:ascii="TT Norms Pro Light"/>
                <w:b w:val="0"/>
                <w:spacing w:val="-4"/>
                <w:sz w:val="14"/>
              </w:rPr>
              <w:t>$157</w:t>
            </w:r>
          </w:p>
        </w:tc>
        <w:tc>
          <w:tcPr>
            <w:tcW w:w="515" w:type="dxa"/>
          </w:tcPr>
          <w:p>
            <w:pPr>
              <w:pStyle w:val="TableParagraph"/>
              <w:rPr>
                <w:rFonts w:ascii="TT Norms Pro"/>
                <w:b/>
                <w:sz w:val="14"/>
              </w:rPr>
            </w:pPr>
          </w:p>
          <w:p>
            <w:pPr>
              <w:pStyle w:val="TableParagraph"/>
              <w:spacing w:before="49"/>
              <w:rPr>
                <w:rFonts w:ascii="TT Norms Pro"/>
                <w:b/>
                <w:sz w:val="14"/>
              </w:rPr>
            </w:pPr>
          </w:p>
          <w:p>
            <w:pPr>
              <w:pStyle w:val="TableParagraph"/>
              <w:spacing w:line="135" w:lineRule="exact"/>
              <w:ind w:left="45" w:right="27"/>
              <w:jc w:val="center"/>
              <w:rPr>
                <w:rFonts w:ascii="TT Norms Pro Light"/>
                <w:b w:val="0"/>
                <w:sz w:val="14"/>
              </w:rPr>
            </w:pPr>
            <w:r>
              <w:rPr>
                <w:rFonts w:ascii="TT Norms Pro Light"/>
                <w:b w:val="0"/>
                <w:spacing w:val="-4"/>
                <w:sz w:val="14"/>
              </w:rPr>
              <w:t>$158</w:t>
            </w:r>
          </w:p>
        </w:tc>
        <w:tc>
          <w:tcPr>
            <w:tcW w:w="502" w:type="dxa"/>
          </w:tcPr>
          <w:p>
            <w:pPr>
              <w:pStyle w:val="TableParagraph"/>
              <w:rPr>
                <w:rFonts w:ascii="TT Norms Pro"/>
                <w:b/>
                <w:sz w:val="14"/>
              </w:rPr>
            </w:pPr>
          </w:p>
          <w:p>
            <w:pPr>
              <w:pStyle w:val="TableParagraph"/>
              <w:spacing w:before="49"/>
              <w:rPr>
                <w:rFonts w:ascii="TT Norms Pro"/>
                <w:b/>
                <w:sz w:val="14"/>
              </w:rPr>
            </w:pPr>
          </w:p>
          <w:p>
            <w:pPr>
              <w:pStyle w:val="TableParagraph"/>
              <w:spacing w:line="135" w:lineRule="exact"/>
              <w:ind w:left="41" w:right="18"/>
              <w:jc w:val="center"/>
              <w:rPr>
                <w:rFonts w:ascii="TT Norms Pro Light"/>
                <w:b w:val="0"/>
                <w:sz w:val="14"/>
              </w:rPr>
            </w:pPr>
            <w:r>
              <w:rPr>
                <w:rFonts w:ascii="TT Norms Pro Light"/>
                <w:b w:val="0"/>
                <w:spacing w:val="-4"/>
                <w:sz w:val="14"/>
              </w:rPr>
              <w:t>$144</w:t>
            </w:r>
          </w:p>
        </w:tc>
        <w:tc>
          <w:tcPr>
            <w:tcW w:w="1019" w:type="dxa"/>
          </w:tcPr>
          <w:p>
            <w:pPr>
              <w:pStyle w:val="TableParagraph"/>
              <w:rPr>
                <w:rFonts w:ascii="TT Norms Pro"/>
                <w:b/>
                <w:sz w:val="14"/>
              </w:rPr>
            </w:pPr>
          </w:p>
          <w:p>
            <w:pPr>
              <w:pStyle w:val="TableParagraph"/>
              <w:spacing w:before="49"/>
              <w:rPr>
                <w:rFonts w:ascii="TT Norms Pro"/>
                <w:b/>
                <w:sz w:val="14"/>
              </w:rPr>
            </w:pPr>
          </w:p>
          <w:p>
            <w:pPr>
              <w:pStyle w:val="TableParagraph"/>
              <w:tabs>
                <w:tab w:pos="545" w:val="left" w:leader="none"/>
              </w:tabs>
              <w:spacing w:line="135" w:lineRule="exact"/>
              <w:ind w:left="32"/>
              <w:jc w:val="center"/>
              <w:rPr>
                <w:rFonts w:ascii="TT Norms Pro Light"/>
                <w:b w:val="0"/>
                <w:sz w:val="14"/>
              </w:rPr>
            </w:pPr>
            <w:r>
              <w:rPr>
                <w:rFonts w:ascii="TT Norms Pro Light"/>
                <w:b w:val="0"/>
                <w:spacing w:val="-4"/>
                <w:sz w:val="14"/>
              </w:rPr>
              <w:t>$154</w:t>
            </w:r>
            <w:r>
              <w:rPr>
                <w:rFonts w:ascii="TT Norms Pro Light"/>
                <w:b w:val="0"/>
                <w:sz w:val="14"/>
              </w:rPr>
              <w:tab/>
            </w:r>
            <w:r>
              <w:rPr>
                <w:rFonts w:ascii="TT Norms Pro Light"/>
                <w:b w:val="0"/>
                <w:spacing w:val="-4"/>
                <w:sz w:val="14"/>
              </w:rPr>
              <w:t>$183</w:t>
            </w:r>
          </w:p>
        </w:tc>
        <w:tc>
          <w:tcPr>
            <w:tcW w:w="722" w:type="dxa"/>
          </w:tcPr>
          <w:p>
            <w:pPr>
              <w:pStyle w:val="TableParagraph"/>
              <w:rPr>
                <w:rFonts w:ascii="TT Norms Pro"/>
                <w:b/>
                <w:sz w:val="14"/>
              </w:rPr>
            </w:pPr>
          </w:p>
          <w:p>
            <w:pPr>
              <w:pStyle w:val="TableParagraph"/>
              <w:spacing w:before="49"/>
              <w:rPr>
                <w:rFonts w:ascii="TT Norms Pro"/>
                <w:b/>
                <w:sz w:val="14"/>
              </w:rPr>
            </w:pPr>
          </w:p>
          <w:p>
            <w:pPr>
              <w:pStyle w:val="TableParagraph"/>
              <w:spacing w:line="135" w:lineRule="exact"/>
              <w:ind w:right="49"/>
              <w:jc w:val="right"/>
              <w:rPr>
                <w:rFonts w:ascii="TT Norms Pro Light"/>
                <w:b w:val="0"/>
                <w:sz w:val="14"/>
              </w:rPr>
            </w:pPr>
            <w:r>
              <w:rPr>
                <w:rFonts w:ascii="TT Norms Pro Light"/>
                <w:b w:val="0"/>
                <w:spacing w:val="-4"/>
                <w:sz w:val="14"/>
              </w:rPr>
              <w:t>$207</w:t>
            </w:r>
          </w:p>
        </w:tc>
      </w:tr>
      <w:tr>
        <w:trPr>
          <w:trHeight w:val="227" w:hRule="atLeast"/>
        </w:trPr>
        <w:tc>
          <w:tcPr>
            <w:tcW w:w="5091" w:type="dxa"/>
          </w:tcPr>
          <w:p>
            <w:pPr>
              <w:pStyle w:val="TableParagraph"/>
              <w:spacing w:line="186" w:lineRule="exact" w:before="21"/>
              <w:ind w:left="70"/>
              <w:rPr>
                <w:rFonts w:ascii="TT Norms Pro Light"/>
                <w:b w:val="0"/>
                <w:sz w:val="18"/>
              </w:rPr>
            </w:pPr>
            <w:r>
              <w:rPr>
                <w:rFonts w:ascii="TT Norms Pro Light"/>
                <w:b w:val="0"/>
                <w:sz w:val="18"/>
              </w:rPr>
              <w:t>Achievement</w:t>
            </w:r>
            <w:r>
              <w:rPr>
                <w:rFonts w:ascii="TT Norms Pro Light"/>
                <w:b w:val="0"/>
                <w:spacing w:val="-2"/>
                <w:sz w:val="18"/>
              </w:rPr>
              <w:t> </w:t>
            </w:r>
            <w:r>
              <w:rPr>
                <w:rFonts w:ascii="TT Norms Pro Light"/>
                <w:b w:val="0"/>
                <w:sz w:val="18"/>
              </w:rPr>
              <w:t>of this goal will be measured by the </w:t>
            </w:r>
            <w:r>
              <w:rPr>
                <w:rFonts w:ascii="TT Norms Pro Light"/>
                <w:b w:val="0"/>
                <w:spacing w:val="-2"/>
                <w:sz w:val="18"/>
              </w:rPr>
              <w:t>following</w:t>
            </w:r>
          </w:p>
        </w:tc>
        <w:tc>
          <w:tcPr>
            <w:tcW w:w="1203" w:type="dxa"/>
          </w:tcPr>
          <w:p>
            <w:pPr>
              <w:pStyle w:val="TableParagraph"/>
              <w:spacing w:line="163" w:lineRule="exact" w:before="44"/>
              <w:ind w:left="56"/>
              <w:rPr>
                <w:rFonts w:ascii="TT Norms Pro Light"/>
                <w:b w:val="0"/>
                <w:sz w:val="14"/>
              </w:rPr>
            </w:pPr>
            <w:r>
              <w:rPr>
                <w:rFonts w:ascii="TT Norms Pro Light"/>
                <w:b w:val="0"/>
                <w:sz w:val="14"/>
              </w:rPr>
              <w:t>($thousands)</w:t>
            </w:r>
            <w:r>
              <w:rPr>
                <w:rFonts w:ascii="TT Norms Pro Light"/>
                <w:b w:val="0"/>
                <w:spacing w:val="11"/>
                <w:sz w:val="14"/>
              </w:rPr>
              <w:t> </w:t>
            </w:r>
            <w:r>
              <w:rPr>
                <w:rFonts w:ascii="TT Norms Pro Light"/>
                <w:b w:val="0"/>
                <w:spacing w:val="-10"/>
                <w:sz w:val="14"/>
              </w:rPr>
              <w:t>-</w:t>
            </w:r>
          </w:p>
        </w:tc>
        <w:tc>
          <w:tcPr>
            <w:tcW w:w="651" w:type="dxa"/>
          </w:tcPr>
          <w:p>
            <w:pPr>
              <w:pStyle w:val="TableParagraph"/>
              <w:rPr>
                <w:rFonts w:ascii="Times New Roman"/>
                <w:sz w:val="16"/>
              </w:rPr>
            </w:pPr>
          </w:p>
        </w:tc>
        <w:tc>
          <w:tcPr>
            <w:tcW w:w="515" w:type="dxa"/>
          </w:tcPr>
          <w:p>
            <w:pPr>
              <w:pStyle w:val="TableParagraph"/>
              <w:rPr>
                <w:rFonts w:ascii="Times New Roman"/>
                <w:sz w:val="16"/>
              </w:rPr>
            </w:pPr>
          </w:p>
        </w:tc>
        <w:tc>
          <w:tcPr>
            <w:tcW w:w="502" w:type="dxa"/>
          </w:tcPr>
          <w:p>
            <w:pPr>
              <w:pStyle w:val="TableParagraph"/>
              <w:rPr>
                <w:rFonts w:ascii="Times New Roman"/>
                <w:sz w:val="16"/>
              </w:rPr>
            </w:pPr>
          </w:p>
        </w:tc>
        <w:tc>
          <w:tcPr>
            <w:tcW w:w="1019" w:type="dxa"/>
          </w:tcPr>
          <w:p>
            <w:pPr>
              <w:pStyle w:val="TableParagraph"/>
              <w:rPr>
                <w:rFonts w:ascii="Times New Roman"/>
                <w:sz w:val="16"/>
              </w:rPr>
            </w:pPr>
          </w:p>
        </w:tc>
        <w:tc>
          <w:tcPr>
            <w:tcW w:w="722" w:type="dxa"/>
          </w:tcPr>
          <w:p>
            <w:pPr>
              <w:pStyle w:val="TableParagraph"/>
              <w:rPr>
                <w:rFonts w:ascii="Times New Roman"/>
                <w:sz w:val="16"/>
              </w:rPr>
            </w:pPr>
          </w:p>
        </w:tc>
      </w:tr>
    </w:tbl>
    <w:p>
      <w:pPr>
        <w:spacing w:after="0"/>
        <w:rPr>
          <w:rFonts w:ascii="Times New Roman"/>
          <w:sz w:val="16"/>
        </w:rPr>
        <w:sectPr>
          <w:pgSz w:w="11910" w:h="16840"/>
          <w:pgMar w:header="468" w:footer="0" w:top="720" w:bottom="280" w:left="920" w:right="0"/>
        </w:sectPr>
      </w:pPr>
    </w:p>
    <w:p>
      <w:pPr>
        <w:pStyle w:val="BodyText"/>
        <w:spacing w:before="58"/>
        <w:ind w:left="210"/>
        <w:rPr>
          <w:b w:val="0"/>
        </w:rPr>
      </w:pPr>
      <w:r>
        <w:rPr>
          <w:b w:val="0"/>
        </w:rPr>
        <w:t>effectiveness</w:t>
      </w:r>
      <w:r>
        <w:rPr>
          <w:b w:val="0"/>
          <w:spacing w:val="1"/>
        </w:rPr>
        <w:t> </w:t>
      </w:r>
      <w:r>
        <w:rPr>
          <w:b w:val="0"/>
        </w:rPr>
        <w:t>and efficiency</w:t>
      </w:r>
      <w:r>
        <w:rPr>
          <w:b w:val="0"/>
          <w:spacing w:val="1"/>
        </w:rPr>
        <w:t> </w:t>
      </w:r>
      <w:r>
        <w:rPr>
          <w:b w:val="0"/>
          <w:spacing w:val="-2"/>
        </w:rPr>
        <w:t>indicators:</w:t>
      </w:r>
    </w:p>
    <w:p>
      <w:pPr>
        <w:pStyle w:val="BodyText"/>
        <w:spacing w:before="94"/>
        <w:rPr>
          <w:b w:val="0"/>
        </w:rPr>
      </w:pPr>
    </w:p>
    <w:p>
      <w:pPr>
        <w:pStyle w:val="ListParagraph"/>
        <w:numPr>
          <w:ilvl w:val="1"/>
          <w:numId w:val="8"/>
        </w:numPr>
        <w:tabs>
          <w:tab w:pos="548" w:val="left" w:leader="none"/>
        </w:tabs>
        <w:spacing w:line="240" w:lineRule="auto" w:before="0" w:after="0"/>
        <w:ind w:left="548" w:right="0" w:hanging="338"/>
        <w:jc w:val="left"/>
        <w:rPr>
          <w:rFonts w:ascii="TT Norms Pro Light"/>
          <w:b w:val="0"/>
          <w:sz w:val="18"/>
        </w:rPr>
      </w:pPr>
      <w:r>
        <w:rPr>
          <w:rFonts w:ascii="TT Norms Pro Light"/>
          <w:b w:val="0"/>
          <w:sz w:val="18"/>
        </w:rPr>
        <w:t>Research income</w:t>
      </w:r>
      <w:r>
        <w:rPr>
          <w:rFonts w:ascii="TT Norms Pro Light"/>
          <w:b w:val="0"/>
          <w:spacing w:val="1"/>
          <w:sz w:val="18"/>
        </w:rPr>
        <w:t> </w:t>
      </w:r>
      <w:r>
        <w:rPr>
          <w:rFonts w:ascii="TT Norms Pro Light"/>
          <w:b w:val="0"/>
          <w:sz w:val="18"/>
        </w:rPr>
        <w:t>(effectiveness and</w:t>
      </w:r>
      <w:r>
        <w:rPr>
          <w:rFonts w:ascii="TT Norms Pro Light"/>
          <w:b w:val="0"/>
          <w:spacing w:val="1"/>
          <w:sz w:val="18"/>
        </w:rPr>
        <w:t> </w:t>
      </w:r>
      <w:r>
        <w:rPr>
          <w:rFonts w:ascii="TT Norms Pro Light"/>
          <w:b w:val="0"/>
          <w:spacing w:val="-2"/>
          <w:sz w:val="18"/>
        </w:rPr>
        <w:t>efficiency)</w:t>
      </w:r>
    </w:p>
    <w:p>
      <w:pPr>
        <w:pStyle w:val="ListParagraph"/>
        <w:numPr>
          <w:ilvl w:val="1"/>
          <w:numId w:val="8"/>
        </w:numPr>
        <w:tabs>
          <w:tab w:pos="548" w:val="left" w:leader="none"/>
        </w:tabs>
        <w:spacing w:line="240" w:lineRule="auto" w:before="106" w:after="0"/>
        <w:ind w:left="548" w:right="0" w:hanging="338"/>
        <w:jc w:val="left"/>
        <w:rPr>
          <w:rFonts w:ascii="TT Norms Pro Light"/>
          <w:b w:val="0"/>
          <w:sz w:val="18"/>
        </w:rPr>
      </w:pPr>
      <w:r>
        <w:rPr>
          <w:rFonts w:ascii="TT Norms Pro Light"/>
          <w:b w:val="0"/>
          <w:sz w:val="18"/>
        </w:rPr>
        <w:t>Ranking</w:t>
      </w:r>
      <w:r>
        <w:rPr>
          <w:rFonts w:ascii="TT Norms Pro Light"/>
          <w:b w:val="0"/>
          <w:spacing w:val="9"/>
          <w:sz w:val="18"/>
        </w:rPr>
        <w:t> </w:t>
      </w:r>
      <w:r>
        <w:rPr>
          <w:rFonts w:ascii="TT Norms Pro Light"/>
          <w:b w:val="0"/>
          <w:sz w:val="18"/>
        </w:rPr>
        <w:t>performance</w:t>
      </w:r>
      <w:r>
        <w:rPr>
          <w:rFonts w:ascii="TT Norms Pro Light"/>
          <w:b w:val="0"/>
          <w:spacing w:val="9"/>
          <w:sz w:val="18"/>
        </w:rPr>
        <w:t> </w:t>
      </w:r>
      <w:r>
        <w:rPr>
          <w:rFonts w:ascii="TT Norms Pro Light"/>
          <w:b w:val="0"/>
          <w:spacing w:val="-2"/>
          <w:sz w:val="18"/>
        </w:rPr>
        <w:t>(effectiveness)</w:t>
      </w:r>
    </w:p>
    <w:p>
      <w:pPr>
        <w:pStyle w:val="ListParagraph"/>
        <w:numPr>
          <w:ilvl w:val="1"/>
          <w:numId w:val="8"/>
        </w:numPr>
        <w:tabs>
          <w:tab w:pos="548" w:val="left" w:leader="none"/>
        </w:tabs>
        <w:spacing w:line="240" w:lineRule="auto" w:before="106" w:after="0"/>
        <w:ind w:left="548" w:right="0" w:hanging="338"/>
        <w:jc w:val="left"/>
        <w:rPr>
          <w:rFonts w:ascii="TT Norms Pro Light"/>
          <w:b w:val="0"/>
          <w:sz w:val="18"/>
        </w:rPr>
      </w:pPr>
      <w:r>
        <w:rPr>
          <w:rFonts w:ascii="TT Norms Pro Light"/>
          <w:b w:val="0"/>
          <w:sz w:val="18"/>
        </w:rPr>
        <w:t>Publications</w:t>
      </w:r>
      <w:r>
        <w:rPr>
          <w:rFonts w:ascii="TT Norms Pro Light"/>
          <w:b w:val="0"/>
          <w:spacing w:val="1"/>
          <w:sz w:val="18"/>
        </w:rPr>
        <w:t> </w:t>
      </w:r>
      <w:r>
        <w:rPr>
          <w:rFonts w:ascii="TT Norms Pro Light"/>
          <w:b w:val="0"/>
          <w:sz w:val="18"/>
        </w:rPr>
        <w:t>and</w:t>
      </w:r>
      <w:r>
        <w:rPr>
          <w:rFonts w:ascii="TT Norms Pro Light"/>
          <w:b w:val="0"/>
          <w:spacing w:val="3"/>
          <w:sz w:val="18"/>
        </w:rPr>
        <w:t> </w:t>
      </w:r>
      <w:r>
        <w:rPr>
          <w:rFonts w:ascii="TT Norms Pro Light"/>
          <w:b w:val="0"/>
          <w:sz w:val="18"/>
        </w:rPr>
        <w:t>outputs</w:t>
      </w:r>
      <w:r>
        <w:rPr>
          <w:rFonts w:ascii="TT Norms Pro Light"/>
          <w:b w:val="0"/>
          <w:spacing w:val="4"/>
          <w:sz w:val="18"/>
        </w:rPr>
        <w:t> </w:t>
      </w:r>
      <w:r>
        <w:rPr>
          <w:rFonts w:ascii="TT Norms Pro Light"/>
          <w:b w:val="0"/>
          <w:spacing w:val="-2"/>
          <w:sz w:val="18"/>
        </w:rPr>
        <w:t>(effectiveness)</w:t>
      </w:r>
    </w:p>
    <w:p>
      <w:pPr>
        <w:pStyle w:val="ListParagraph"/>
        <w:numPr>
          <w:ilvl w:val="1"/>
          <w:numId w:val="8"/>
        </w:numPr>
        <w:tabs>
          <w:tab w:pos="548" w:val="left" w:leader="none"/>
        </w:tabs>
        <w:spacing w:line="240" w:lineRule="auto" w:before="106" w:after="0"/>
        <w:ind w:left="548" w:right="0" w:hanging="338"/>
        <w:jc w:val="left"/>
        <w:rPr>
          <w:rFonts w:ascii="TT Norms Pro Light"/>
          <w:b w:val="0"/>
          <w:sz w:val="18"/>
        </w:rPr>
      </w:pPr>
      <w:r>
        <w:rPr>
          <w:rFonts w:ascii="TT Norms Pro Light"/>
          <w:b w:val="0"/>
          <w:sz w:val="18"/>
        </w:rPr>
        <w:t>Highly</w:t>
      </w:r>
      <w:r>
        <w:rPr>
          <w:rFonts w:ascii="TT Norms Pro Light"/>
          <w:b w:val="0"/>
          <w:spacing w:val="-1"/>
          <w:sz w:val="18"/>
        </w:rPr>
        <w:t> </w:t>
      </w:r>
      <w:r>
        <w:rPr>
          <w:rFonts w:ascii="TT Norms Pro Light"/>
          <w:b w:val="0"/>
          <w:sz w:val="18"/>
        </w:rPr>
        <w:t>cited staff </w:t>
      </w:r>
      <w:r>
        <w:rPr>
          <w:rFonts w:ascii="TT Norms Pro Light"/>
          <w:b w:val="0"/>
          <w:spacing w:val="-2"/>
          <w:sz w:val="18"/>
        </w:rPr>
        <w:t>(effectiveness)</w:t>
      </w:r>
    </w:p>
    <w:p>
      <w:pPr>
        <w:pStyle w:val="BodyText"/>
        <w:spacing w:before="105"/>
        <w:rPr>
          <w:b w:val="0"/>
        </w:rPr>
      </w:pPr>
    </w:p>
    <w:p>
      <w:pPr>
        <w:pStyle w:val="Heading9"/>
        <w:numPr>
          <w:ilvl w:val="1"/>
          <w:numId w:val="10"/>
        </w:numPr>
        <w:tabs>
          <w:tab w:pos="548" w:val="left" w:leader="none"/>
        </w:tabs>
        <w:spacing w:line="240" w:lineRule="auto" w:before="0" w:after="0"/>
        <w:ind w:left="548" w:right="0" w:hanging="338"/>
        <w:jc w:val="left"/>
      </w:pPr>
      <w:r>
        <w:rPr/>
        <w:t>RESEARCH</w:t>
      </w:r>
      <w:r>
        <w:rPr>
          <w:spacing w:val="34"/>
        </w:rPr>
        <w:t> </w:t>
      </w:r>
      <w:r>
        <w:rPr>
          <w:spacing w:val="-2"/>
        </w:rPr>
        <w:t>INCOME</w:t>
      </w:r>
    </w:p>
    <w:p>
      <w:pPr>
        <w:pStyle w:val="BodyText"/>
        <w:spacing w:line="295" w:lineRule="auto" w:before="154"/>
        <w:ind w:left="210" w:right="115"/>
        <w:rPr>
          <w:b w:val="0"/>
        </w:rPr>
      </w:pPr>
      <w:r>
        <w:rPr>
          <w:b w:val="0"/>
        </w:rPr>
        <w:t>Research funding earned by an institution provides an</w:t>
      </w:r>
      <w:r>
        <w:rPr>
          <w:b w:val="0"/>
          <w:spacing w:val="40"/>
        </w:rPr>
        <w:t> </w:t>
      </w:r>
      <w:r>
        <w:rPr>
          <w:b w:val="0"/>
        </w:rPr>
        <w:t>indication of its effectiveness in conducting relevant and</w:t>
      </w:r>
      <w:r>
        <w:rPr>
          <w:b w:val="0"/>
          <w:spacing w:val="40"/>
        </w:rPr>
        <w:t> </w:t>
      </w:r>
      <w:r>
        <w:rPr>
          <w:b w:val="0"/>
        </w:rPr>
        <w:t>valued research, while also informing the community</w:t>
      </w:r>
      <w:r>
        <w:rPr>
          <w:b w:val="0"/>
          <w:spacing w:val="40"/>
        </w:rPr>
        <w:t> </w:t>
      </w:r>
      <w:r>
        <w:rPr>
          <w:b w:val="0"/>
        </w:rPr>
        <w:t>about the efficiency of the University in funding its efforts</w:t>
      </w:r>
      <w:r>
        <w:rPr>
          <w:b w:val="0"/>
          <w:spacing w:val="40"/>
        </w:rPr>
        <w:t> </w:t>
      </w:r>
      <w:r>
        <w:rPr>
          <w:b w:val="0"/>
        </w:rPr>
        <w:t>towards the enhancement of knowledge.</w:t>
      </w:r>
    </w:p>
    <w:p>
      <w:pPr>
        <w:pStyle w:val="BodyText"/>
        <w:spacing w:before="49"/>
        <w:rPr>
          <w:b w:val="0"/>
        </w:rPr>
      </w:pPr>
    </w:p>
    <w:p>
      <w:pPr>
        <w:pStyle w:val="BodyText"/>
        <w:spacing w:line="295" w:lineRule="auto"/>
        <w:ind w:left="210" w:right="115"/>
        <w:rPr>
          <w:b w:val="0"/>
        </w:rPr>
      </w:pPr>
      <w:r>
        <w:rPr>
          <w:b w:val="0"/>
        </w:rPr>
        <w:t>Total</w:t>
      </w:r>
      <w:r>
        <w:rPr>
          <w:b w:val="0"/>
          <w:spacing w:val="-4"/>
        </w:rPr>
        <w:t> </w:t>
      </w:r>
      <w:r>
        <w:rPr>
          <w:b w:val="0"/>
        </w:rPr>
        <w:t>research</w:t>
      </w:r>
      <w:r>
        <w:rPr>
          <w:b w:val="0"/>
          <w:spacing w:val="-4"/>
        </w:rPr>
        <w:t> </w:t>
      </w:r>
      <w:r>
        <w:rPr>
          <w:b w:val="0"/>
        </w:rPr>
        <w:t>income</w:t>
      </w:r>
      <w:r>
        <w:rPr>
          <w:b w:val="0"/>
          <w:spacing w:val="-4"/>
        </w:rPr>
        <w:t> </w:t>
      </w:r>
      <w:r>
        <w:rPr>
          <w:b w:val="0"/>
        </w:rPr>
        <w:t>grew</w:t>
      </w:r>
      <w:r>
        <w:rPr>
          <w:b w:val="0"/>
          <w:spacing w:val="-4"/>
        </w:rPr>
        <w:t> </w:t>
      </w:r>
      <w:r>
        <w:rPr>
          <w:b w:val="0"/>
        </w:rPr>
        <w:t>this</w:t>
      </w:r>
      <w:r>
        <w:rPr>
          <w:b w:val="0"/>
          <w:spacing w:val="-4"/>
        </w:rPr>
        <w:t> </w:t>
      </w:r>
      <w:r>
        <w:rPr>
          <w:b w:val="0"/>
        </w:rPr>
        <w:t>year,</w:t>
      </w:r>
      <w:r>
        <w:rPr>
          <w:b w:val="0"/>
          <w:spacing w:val="-4"/>
        </w:rPr>
        <w:t> </w:t>
      </w:r>
      <w:r>
        <w:rPr>
          <w:b w:val="0"/>
        </w:rPr>
        <w:t>driven</w:t>
      </w:r>
      <w:r>
        <w:rPr>
          <w:b w:val="0"/>
          <w:spacing w:val="-4"/>
        </w:rPr>
        <w:t> </w:t>
      </w:r>
      <w:r>
        <w:rPr>
          <w:b w:val="0"/>
        </w:rPr>
        <w:t>by</w:t>
      </w:r>
      <w:r>
        <w:rPr>
          <w:b w:val="0"/>
          <w:spacing w:val="-4"/>
        </w:rPr>
        <w:t> </w:t>
      </w:r>
      <w:r>
        <w:rPr>
          <w:b w:val="0"/>
        </w:rPr>
        <w:t>growth</w:t>
      </w:r>
      <w:r>
        <w:rPr>
          <w:b w:val="0"/>
          <w:spacing w:val="-4"/>
        </w:rPr>
        <w:t> </w:t>
      </w:r>
      <w:r>
        <w:rPr>
          <w:b w:val="0"/>
        </w:rPr>
        <w:t>in</w:t>
      </w:r>
      <w:r>
        <w:rPr>
          <w:b w:val="0"/>
          <w:spacing w:val="40"/>
        </w:rPr>
        <w:t> </w:t>
      </w:r>
      <w:r>
        <w:rPr>
          <w:b w:val="0"/>
        </w:rPr>
        <w:t>funding achieved by medical research institutes (MRIs)</w:t>
      </w:r>
      <w:r>
        <w:rPr>
          <w:b w:val="0"/>
          <w:spacing w:val="40"/>
        </w:rPr>
        <w:t> </w:t>
      </w:r>
      <w:r>
        <w:rPr>
          <w:b w:val="0"/>
        </w:rPr>
        <w:t>affiliated with the University. The University's affiliation</w:t>
      </w:r>
      <w:r>
        <w:rPr>
          <w:b w:val="0"/>
          <w:spacing w:val="40"/>
        </w:rPr>
        <w:t> </w:t>
      </w:r>
      <w:r>
        <w:rPr>
          <w:b w:val="0"/>
        </w:rPr>
        <w:t>agreement with the Telethon Kids Institute commenced</w:t>
      </w:r>
      <w:r>
        <w:rPr>
          <w:b w:val="0"/>
          <w:spacing w:val="40"/>
        </w:rPr>
        <w:t> </w:t>
      </w:r>
      <w:r>
        <w:rPr>
          <w:b w:val="0"/>
        </w:rPr>
        <w:t>in 2019, contributing to improved Industry, International</w:t>
      </w:r>
      <w:r>
        <w:rPr>
          <w:b w:val="0"/>
          <w:spacing w:val="40"/>
        </w:rPr>
        <w:t> </w:t>
      </w:r>
      <w:r>
        <w:rPr>
          <w:b w:val="0"/>
        </w:rPr>
        <w:t>and Philanthropic income results that outperformed</w:t>
      </w:r>
    </w:p>
    <w:p>
      <w:pPr>
        <w:pStyle w:val="BodyText"/>
        <w:spacing w:line="295" w:lineRule="auto" w:before="5"/>
        <w:ind w:left="210"/>
        <w:rPr>
          <w:b w:val="0"/>
        </w:rPr>
      </w:pPr>
      <w:r>
        <w:rPr>
          <w:b w:val="0"/>
        </w:rPr>
        <w:t>the target, and was a key aspect in the growth of MRI-</w:t>
      </w:r>
      <w:r>
        <w:rPr>
          <w:b w:val="0"/>
          <w:spacing w:val="40"/>
        </w:rPr>
        <w:t> </w:t>
      </w:r>
      <w:r>
        <w:rPr>
          <w:b w:val="0"/>
        </w:rPr>
        <w:t>linked</w:t>
      </w:r>
      <w:r>
        <w:rPr>
          <w:b w:val="0"/>
          <w:spacing w:val="-5"/>
        </w:rPr>
        <w:t> </w:t>
      </w:r>
      <w:r>
        <w:rPr>
          <w:b w:val="0"/>
        </w:rPr>
        <w:t>funding.</w:t>
      </w:r>
    </w:p>
    <w:p>
      <w:pPr>
        <w:pStyle w:val="BodyText"/>
        <w:spacing w:before="46"/>
        <w:rPr>
          <w:b w:val="0"/>
        </w:rPr>
      </w:pPr>
    </w:p>
    <w:p>
      <w:pPr>
        <w:pStyle w:val="BodyText"/>
        <w:spacing w:line="295" w:lineRule="auto" w:before="1"/>
        <w:ind w:left="210"/>
        <w:rPr>
          <w:b w:val="0"/>
        </w:rPr>
      </w:pPr>
      <w:r>
        <w:rPr>
          <w:b w:val="0"/>
        </w:rPr>
        <w:t>The target set for research income per level B and higher</w:t>
      </w:r>
      <w:r>
        <w:rPr>
          <w:b w:val="0"/>
          <w:spacing w:val="40"/>
        </w:rPr>
        <w:t> </w:t>
      </w:r>
      <w:r>
        <w:rPr>
          <w:b w:val="0"/>
        </w:rPr>
        <w:t>academic was ambitious and wasn't met partly due to</w:t>
      </w:r>
      <w:r>
        <w:rPr>
          <w:b w:val="0"/>
          <w:spacing w:val="40"/>
        </w:rPr>
        <w:t> </w:t>
      </w:r>
      <w:r>
        <w:rPr>
          <w:b w:val="0"/>
        </w:rPr>
        <w:t>research</w:t>
      </w:r>
      <w:r>
        <w:rPr>
          <w:b w:val="0"/>
          <w:spacing w:val="-3"/>
        </w:rPr>
        <w:t> </w:t>
      </w:r>
      <w:r>
        <w:rPr>
          <w:b w:val="0"/>
        </w:rPr>
        <w:t>staff</w:t>
      </w:r>
      <w:r>
        <w:rPr>
          <w:b w:val="0"/>
          <w:spacing w:val="-3"/>
        </w:rPr>
        <w:t> </w:t>
      </w:r>
      <w:r>
        <w:rPr>
          <w:b w:val="0"/>
        </w:rPr>
        <w:t>full-time</w:t>
      </w:r>
      <w:r>
        <w:rPr>
          <w:b w:val="0"/>
          <w:spacing w:val="-3"/>
        </w:rPr>
        <w:t> </w:t>
      </w:r>
      <w:r>
        <w:rPr>
          <w:b w:val="0"/>
        </w:rPr>
        <w:t>equivalent</w:t>
      </w:r>
      <w:r>
        <w:rPr>
          <w:b w:val="0"/>
          <w:spacing w:val="-3"/>
        </w:rPr>
        <w:t> </w:t>
      </w:r>
      <w:r>
        <w:rPr>
          <w:b w:val="0"/>
        </w:rPr>
        <w:t>(FTE)</w:t>
      </w:r>
      <w:r>
        <w:rPr>
          <w:b w:val="0"/>
          <w:spacing w:val="-3"/>
        </w:rPr>
        <w:t> </w:t>
      </w:r>
      <w:r>
        <w:rPr>
          <w:b w:val="0"/>
        </w:rPr>
        <w:t>increasing</w:t>
      </w:r>
      <w:r>
        <w:rPr>
          <w:b w:val="0"/>
          <w:spacing w:val="-3"/>
        </w:rPr>
        <w:t> </w:t>
      </w:r>
      <w:r>
        <w:rPr>
          <w:b w:val="0"/>
        </w:rPr>
        <w:t>in</w:t>
      </w:r>
      <w:r>
        <w:rPr>
          <w:b w:val="0"/>
          <w:spacing w:val="-3"/>
        </w:rPr>
        <w:t> </w:t>
      </w:r>
      <w:r>
        <w:rPr>
          <w:b w:val="0"/>
        </w:rPr>
        <w:t>2019.</w:t>
      </w:r>
    </w:p>
    <w:p>
      <w:pPr>
        <w:pStyle w:val="BodyText"/>
        <w:spacing w:before="47"/>
        <w:rPr>
          <w:b w:val="0"/>
        </w:rPr>
      </w:pPr>
    </w:p>
    <w:p>
      <w:pPr>
        <w:pStyle w:val="BodyText"/>
        <w:spacing w:line="295" w:lineRule="auto"/>
        <w:ind w:left="210" w:right="68"/>
        <w:rPr>
          <w:b w:val="0"/>
        </w:rPr>
      </w:pPr>
      <w:r>
        <w:rPr>
          <w:b w:val="0"/>
        </w:rPr>
        <w:t>The</w:t>
      </w:r>
      <w:r>
        <w:rPr>
          <w:b w:val="0"/>
          <w:spacing w:val="-1"/>
        </w:rPr>
        <w:t> </w:t>
      </w:r>
      <w:r>
        <w:rPr>
          <w:b w:val="0"/>
        </w:rPr>
        <w:t>Cooperative</w:t>
      </w:r>
      <w:r>
        <w:rPr>
          <w:b w:val="0"/>
          <w:spacing w:val="-1"/>
        </w:rPr>
        <w:t> </w:t>
      </w:r>
      <w:r>
        <w:rPr>
          <w:b w:val="0"/>
        </w:rPr>
        <w:t>Research</w:t>
      </w:r>
      <w:r>
        <w:rPr>
          <w:b w:val="0"/>
          <w:spacing w:val="-1"/>
        </w:rPr>
        <w:t> </w:t>
      </w:r>
      <w:r>
        <w:rPr>
          <w:b w:val="0"/>
        </w:rPr>
        <w:t>Centre</w:t>
      </w:r>
      <w:r>
        <w:rPr>
          <w:b w:val="0"/>
          <w:spacing w:val="-1"/>
        </w:rPr>
        <w:t> </w:t>
      </w:r>
      <w:r>
        <w:rPr>
          <w:b w:val="0"/>
        </w:rPr>
        <w:t>(CRC)</w:t>
      </w:r>
      <w:r>
        <w:rPr>
          <w:b w:val="0"/>
          <w:spacing w:val="-1"/>
        </w:rPr>
        <w:t> </w:t>
      </w:r>
      <w:r>
        <w:rPr>
          <w:b w:val="0"/>
        </w:rPr>
        <w:t>income</w:t>
      </w:r>
      <w:r>
        <w:rPr>
          <w:b w:val="0"/>
          <w:spacing w:val="-1"/>
        </w:rPr>
        <w:t> </w:t>
      </w:r>
      <w:r>
        <w:rPr>
          <w:b w:val="0"/>
        </w:rPr>
        <w:t>space</w:t>
      </w:r>
      <w:r>
        <w:rPr>
          <w:b w:val="0"/>
          <w:spacing w:val="-1"/>
        </w:rPr>
        <w:t> </w:t>
      </w:r>
      <w:r>
        <w:rPr>
          <w:b w:val="0"/>
        </w:rPr>
        <w:t>is</w:t>
      </w:r>
      <w:r>
        <w:rPr>
          <w:b w:val="0"/>
          <w:spacing w:val="40"/>
        </w:rPr>
        <w:t> </w:t>
      </w:r>
      <w:r>
        <w:rPr>
          <w:b w:val="0"/>
        </w:rPr>
        <w:t>highly competitive and involves a lag between conceiving</w:t>
      </w:r>
      <w:r>
        <w:rPr>
          <w:b w:val="0"/>
          <w:spacing w:val="40"/>
        </w:rPr>
        <w:t> </w:t>
      </w:r>
      <w:r>
        <w:rPr>
          <w:b w:val="0"/>
        </w:rPr>
        <w:t>a bid and eventual success. The University had success as</w:t>
      </w:r>
      <w:r>
        <w:rPr>
          <w:b w:val="0"/>
          <w:spacing w:val="40"/>
        </w:rPr>
        <w:t> </w:t>
      </w:r>
      <w:r>
        <w:rPr>
          <w:b w:val="0"/>
        </w:rPr>
        <w:t>host organisation for the CRC Transformations in Mining</w:t>
      </w:r>
      <w:r>
        <w:rPr>
          <w:b w:val="0"/>
          <w:spacing w:val="40"/>
        </w:rPr>
        <w:t> </w:t>
      </w:r>
      <w:r>
        <w:rPr>
          <w:b w:val="0"/>
        </w:rPr>
        <w:t>Economies but this funding only commenced in mid-</w:t>
      </w:r>
      <w:r>
        <w:rPr>
          <w:b w:val="0"/>
          <w:spacing w:val="40"/>
        </w:rPr>
        <w:t> </w:t>
      </w:r>
      <w:r>
        <w:rPr>
          <w:b w:val="0"/>
        </w:rPr>
        <w:t>2020. Some significant bids were not successful; our</w:t>
      </w:r>
      <w:r>
        <w:rPr>
          <w:b w:val="0"/>
          <w:spacing w:val="40"/>
        </w:rPr>
        <w:t> </w:t>
      </w:r>
      <w:r>
        <w:rPr>
          <w:b w:val="0"/>
        </w:rPr>
        <w:t>researchers and partners are preparing new bids for the</w:t>
      </w:r>
      <w:r>
        <w:rPr>
          <w:b w:val="0"/>
          <w:spacing w:val="40"/>
        </w:rPr>
        <w:t> </w:t>
      </w:r>
      <w:r>
        <w:rPr>
          <w:b w:val="0"/>
        </w:rPr>
        <w:t>next</w:t>
      </w:r>
      <w:r>
        <w:rPr>
          <w:b w:val="0"/>
          <w:spacing w:val="-5"/>
        </w:rPr>
        <w:t> </w:t>
      </w:r>
      <w:r>
        <w:rPr>
          <w:b w:val="0"/>
        </w:rPr>
        <w:t>round.</w:t>
      </w:r>
    </w:p>
    <w:p>
      <w:pPr>
        <w:spacing w:before="21"/>
        <w:ind w:left="267" w:right="0" w:firstLine="0"/>
        <w:jc w:val="left"/>
        <w:rPr>
          <w:rFonts w:ascii="TT Norms Pro Light"/>
          <w:b w:val="0"/>
          <w:sz w:val="14"/>
        </w:rPr>
      </w:pPr>
      <w:r>
        <w:rPr/>
        <w:br w:type="column"/>
      </w:r>
      <w:r>
        <w:rPr>
          <w:rFonts w:ascii="TT Norms Pro Light"/>
          <w:b w:val="0"/>
          <w:spacing w:val="-2"/>
          <w:sz w:val="14"/>
        </w:rPr>
        <w:t>efficiency</w:t>
      </w:r>
    </w:p>
    <w:p>
      <w:pPr>
        <w:pStyle w:val="BodyText"/>
        <w:spacing w:before="2"/>
        <w:rPr>
          <w:b w:val="0"/>
          <w:sz w:val="2"/>
        </w:rPr>
      </w:pPr>
    </w:p>
    <w:p>
      <w:pPr>
        <w:pStyle w:val="BodyText"/>
        <w:ind w:left="209"/>
        <w:rPr>
          <w:sz w:val="20"/>
        </w:rPr>
      </w:pPr>
      <w:r>
        <w:rPr>
          <w:sz w:val="20"/>
        </w:rPr>
        <mc:AlternateContent>
          <mc:Choice Requires="wps">
            <w:drawing>
              <wp:inline distT="0" distB="0" distL="0" distR="0">
                <wp:extent cx="2930525" cy="586740"/>
                <wp:effectExtent l="0" t="0" r="0" b="0"/>
                <wp:docPr id="717" name="Textbox 717"/>
                <wp:cNvGraphicFramePr>
                  <a:graphicFrameLocks/>
                </wp:cNvGraphicFramePr>
                <a:graphic>
                  <a:graphicData uri="http://schemas.microsoft.com/office/word/2010/wordprocessingShape">
                    <wps:wsp>
                      <wps:cNvPr id="717" name="Textbox 717"/>
                      <wps:cNvSpPr txBox="1"/>
                      <wps:spPr>
                        <a:xfrm>
                          <a:off x="0" y="0"/>
                          <a:ext cx="2930525" cy="586740"/>
                        </a:xfrm>
                        <a:prstGeom prst="rect">
                          <a:avLst/>
                        </a:prstGeom>
                        <a:solidFill>
                          <a:srgbClr val="E6E7E8"/>
                        </a:solidFill>
                      </wps:spPr>
                      <wps:txbx>
                        <w:txbxContent>
                          <w:p>
                            <w:pPr>
                              <w:spacing w:before="88"/>
                              <w:ind w:left="57" w:right="0" w:firstLine="0"/>
                              <w:jc w:val="left"/>
                              <w:rPr>
                                <w:rFonts w:ascii="TT Norms Pro Light"/>
                                <w:b w:val="0"/>
                                <w:color w:val="000000"/>
                                <w:sz w:val="14"/>
                              </w:rPr>
                            </w:pPr>
                            <w:r>
                              <w:rPr>
                                <w:rFonts w:ascii="TT Norms Pro Light"/>
                                <w:b w:val="0"/>
                                <w:color w:val="000000"/>
                                <w:sz w:val="14"/>
                              </w:rPr>
                              <w:t>UWA</w:t>
                            </w:r>
                            <w:r>
                              <w:rPr>
                                <w:rFonts w:ascii="TT Norms Pro Light"/>
                                <w:b w:val="0"/>
                                <w:color w:val="000000"/>
                                <w:spacing w:val="2"/>
                                <w:sz w:val="14"/>
                              </w:rPr>
                              <w:t> </w:t>
                            </w:r>
                            <w:r>
                              <w:rPr>
                                <w:rFonts w:ascii="TT Norms Pro Light"/>
                                <w:b w:val="0"/>
                                <w:color w:val="000000"/>
                                <w:sz w:val="14"/>
                              </w:rPr>
                              <w:t>share</w:t>
                            </w:r>
                            <w:r>
                              <w:rPr>
                                <w:rFonts w:ascii="TT Norms Pro Light"/>
                                <w:b w:val="0"/>
                                <w:color w:val="000000"/>
                                <w:spacing w:val="3"/>
                                <w:sz w:val="14"/>
                              </w:rPr>
                              <w:t> </w:t>
                            </w:r>
                            <w:r>
                              <w:rPr>
                                <w:rFonts w:ascii="TT Norms Pro Light"/>
                                <w:b w:val="0"/>
                                <w:color w:val="000000"/>
                                <w:spacing w:val="-5"/>
                                <w:sz w:val="14"/>
                              </w:rPr>
                              <w:t>of</w:t>
                            </w:r>
                          </w:p>
                          <w:p>
                            <w:pPr>
                              <w:tabs>
                                <w:tab w:pos="1450" w:val="left" w:leader="none"/>
                                <w:tab w:pos="1961" w:val="left" w:leader="none"/>
                                <w:tab w:pos="2472" w:val="left" w:leader="none"/>
                                <w:tab w:pos="2982" w:val="left" w:leader="none"/>
                                <w:tab w:pos="3505" w:val="left" w:leader="none"/>
                              </w:tabs>
                              <w:spacing w:line="146" w:lineRule="auto" w:before="89"/>
                              <w:ind w:left="57" w:right="814" w:firstLine="0"/>
                              <w:jc w:val="left"/>
                              <w:rPr>
                                <w:rFonts w:ascii="TT Norms Pro Light"/>
                                <w:b w:val="0"/>
                                <w:color w:val="000000"/>
                                <w:sz w:val="14"/>
                              </w:rPr>
                            </w:pPr>
                            <w:r>
                              <w:rPr>
                                <w:rFonts w:ascii="TT Norms Pro Light"/>
                                <w:b w:val="0"/>
                                <w:color w:val="000000"/>
                                <w:position w:val="10"/>
                                <w:sz w:val="14"/>
                              </w:rPr>
                              <w:t>total</w:t>
                            </w:r>
                            <w:r>
                              <w:rPr>
                                <w:rFonts w:ascii="TT Norms Pro Light"/>
                                <w:b w:val="0"/>
                                <w:color w:val="000000"/>
                                <w:spacing w:val="-7"/>
                                <w:position w:val="10"/>
                                <w:sz w:val="14"/>
                              </w:rPr>
                              <w:t> </w:t>
                            </w:r>
                            <w:r>
                              <w:rPr>
                                <w:rFonts w:ascii="TT Norms Pro Light"/>
                                <w:b w:val="0"/>
                                <w:color w:val="000000"/>
                                <w:position w:val="10"/>
                                <w:sz w:val="14"/>
                              </w:rPr>
                              <w:t>national</w:t>
                              <w:tab/>
                            </w:r>
                            <w:r>
                              <w:rPr>
                                <w:rFonts w:ascii="TT Norms Pro Light"/>
                                <w:b w:val="0"/>
                                <w:color w:val="000000"/>
                                <w:spacing w:val="-4"/>
                                <w:sz w:val="14"/>
                              </w:rPr>
                              <w:t>5.2%</w:t>
                            </w:r>
                            <w:r>
                              <w:rPr>
                                <w:rFonts w:ascii="TT Norms Pro Light"/>
                                <w:b w:val="0"/>
                                <w:color w:val="000000"/>
                                <w:sz w:val="14"/>
                              </w:rPr>
                              <w:tab/>
                            </w:r>
                            <w:r>
                              <w:rPr>
                                <w:rFonts w:ascii="TT Norms Pro Light"/>
                                <w:b w:val="0"/>
                                <w:color w:val="000000"/>
                                <w:spacing w:val="-4"/>
                                <w:sz w:val="14"/>
                              </w:rPr>
                              <w:t>5.0%</w:t>
                            </w:r>
                            <w:r>
                              <w:rPr>
                                <w:rFonts w:ascii="TT Norms Pro Light"/>
                                <w:b w:val="0"/>
                                <w:color w:val="000000"/>
                                <w:sz w:val="14"/>
                              </w:rPr>
                              <w:tab/>
                            </w:r>
                            <w:r>
                              <w:rPr>
                                <w:rFonts w:ascii="TT Norms Pro Light"/>
                                <w:b w:val="0"/>
                                <w:color w:val="000000"/>
                                <w:spacing w:val="-4"/>
                                <w:sz w:val="14"/>
                              </w:rPr>
                              <w:t>4.2%</w:t>
                            </w:r>
                            <w:r>
                              <w:rPr>
                                <w:rFonts w:ascii="TT Norms Pro Light"/>
                                <w:b w:val="0"/>
                                <w:color w:val="000000"/>
                                <w:sz w:val="14"/>
                              </w:rPr>
                              <w:tab/>
                            </w:r>
                            <w:r>
                              <w:rPr>
                                <w:rFonts w:ascii="TT Norms Pro Light"/>
                                <w:b w:val="0"/>
                                <w:color w:val="000000"/>
                                <w:spacing w:val="-4"/>
                                <w:sz w:val="14"/>
                              </w:rPr>
                              <w:t>4.2%</w:t>
                            </w:r>
                            <w:r>
                              <w:rPr>
                                <w:rFonts w:ascii="TT Norms Pro Light"/>
                                <w:b w:val="0"/>
                                <w:color w:val="000000"/>
                                <w:sz w:val="14"/>
                              </w:rPr>
                              <w:tab/>
                            </w:r>
                            <w:r>
                              <w:rPr>
                                <w:rFonts w:ascii="TT Norms Pro Light"/>
                                <w:b w:val="0"/>
                                <w:color w:val="000000"/>
                                <w:spacing w:val="-4"/>
                                <w:sz w:val="14"/>
                              </w:rPr>
                              <w:t>4.7%</w:t>
                            </w:r>
                            <w:r>
                              <w:rPr>
                                <w:rFonts w:ascii="TT Norms Pro Light"/>
                                <w:b w:val="0"/>
                                <w:color w:val="000000"/>
                                <w:spacing w:val="40"/>
                                <w:sz w:val="14"/>
                              </w:rPr>
                              <w:t> </w:t>
                            </w:r>
                            <w:r>
                              <w:rPr>
                                <w:rFonts w:ascii="TT Norms Pro Light"/>
                                <w:b w:val="0"/>
                                <w:color w:val="000000"/>
                                <w:sz w:val="14"/>
                              </w:rPr>
                              <w:t>research income -</w:t>
                            </w:r>
                          </w:p>
                          <w:p>
                            <w:pPr>
                              <w:spacing w:before="48"/>
                              <w:ind w:left="57" w:right="0" w:firstLine="0"/>
                              <w:jc w:val="left"/>
                              <w:rPr>
                                <w:rFonts w:ascii="TT Norms Pro Light"/>
                                <w:b w:val="0"/>
                                <w:color w:val="000000"/>
                                <w:sz w:val="14"/>
                              </w:rPr>
                            </w:pPr>
                            <w:r>
                              <w:rPr>
                                <w:rFonts w:ascii="TT Norms Pro Light"/>
                                <w:b w:val="0"/>
                                <w:color w:val="000000"/>
                                <w:spacing w:val="-2"/>
                                <w:sz w:val="14"/>
                              </w:rPr>
                              <w:t>effectiveness</w:t>
                            </w:r>
                          </w:p>
                        </w:txbxContent>
                      </wps:txbx>
                      <wps:bodyPr wrap="square" lIns="0" tIns="0" rIns="0" bIns="0" rtlCol="0">
                        <a:noAutofit/>
                      </wps:bodyPr>
                    </wps:wsp>
                  </a:graphicData>
                </a:graphic>
              </wp:inline>
            </w:drawing>
          </mc:Choice>
          <mc:Fallback>
            <w:pict>
              <v:shape style="width:230.75pt;height:46.2pt;mso-position-horizontal-relative:char;mso-position-vertical-relative:line" type="#_x0000_t202" id="docshape480" filled="true" fillcolor="#e6e7e8" stroked="false">
                <w10:anchorlock/>
                <v:textbox inset="0,0,0,0">
                  <w:txbxContent>
                    <w:p>
                      <w:pPr>
                        <w:spacing w:before="88"/>
                        <w:ind w:left="57" w:right="0" w:firstLine="0"/>
                        <w:jc w:val="left"/>
                        <w:rPr>
                          <w:rFonts w:ascii="TT Norms Pro Light"/>
                          <w:b w:val="0"/>
                          <w:color w:val="000000"/>
                          <w:sz w:val="14"/>
                        </w:rPr>
                      </w:pPr>
                      <w:r>
                        <w:rPr>
                          <w:rFonts w:ascii="TT Norms Pro Light"/>
                          <w:b w:val="0"/>
                          <w:color w:val="000000"/>
                          <w:sz w:val="14"/>
                        </w:rPr>
                        <w:t>UWA</w:t>
                      </w:r>
                      <w:r>
                        <w:rPr>
                          <w:rFonts w:ascii="TT Norms Pro Light"/>
                          <w:b w:val="0"/>
                          <w:color w:val="000000"/>
                          <w:spacing w:val="2"/>
                          <w:sz w:val="14"/>
                        </w:rPr>
                        <w:t> </w:t>
                      </w:r>
                      <w:r>
                        <w:rPr>
                          <w:rFonts w:ascii="TT Norms Pro Light"/>
                          <w:b w:val="0"/>
                          <w:color w:val="000000"/>
                          <w:sz w:val="14"/>
                        </w:rPr>
                        <w:t>share</w:t>
                      </w:r>
                      <w:r>
                        <w:rPr>
                          <w:rFonts w:ascii="TT Norms Pro Light"/>
                          <w:b w:val="0"/>
                          <w:color w:val="000000"/>
                          <w:spacing w:val="3"/>
                          <w:sz w:val="14"/>
                        </w:rPr>
                        <w:t> </w:t>
                      </w:r>
                      <w:r>
                        <w:rPr>
                          <w:rFonts w:ascii="TT Norms Pro Light"/>
                          <w:b w:val="0"/>
                          <w:color w:val="000000"/>
                          <w:spacing w:val="-5"/>
                          <w:sz w:val="14"/>
                        </w:rPr>
                        <w:t>of</w:t>
                      </w:r>
                    </w:p>
                    <w:p>
                      <w:pPr>
                        <w:tabs>
                          <w:tab w:pos="1450" w:val="left" w:leader="none"/>
                          <w:tab w:pos="1961" w:val="left" w:leader="none"/>
                          <w:tab w:pos="2472" w:val="left" w:leader="none"/>
                          <w:tab w:pos="2982" w:val="left" w:leader="none"/>
                          <w:tab w:pos="3505" w:val="left" w:leader="none"/>
                        </w:tabs>
                        <w:spacing w:line="146" w:lineRule="auto" w:before="89"/>
                        <w:ind w:left="57" w:right="814" w:firstLine="0"/>
                        <w:jc w:val="left"/>
                        <w:rPr>
                          <w:rFonts w:ascii="TT Norms Pro Light"/>
                          <w:b w:val="0"/>
                          <w:color w:val="000000"/>
                          <w:sz w:val="14"/>
                        </w:rPr>
                      </w:pPr>
                      <w:r>
                        <w:rPr>
                          <w:rFonts w:ascii="TT Norms Pro Light"/>
                          <w:b w:val="0"/>
                          <w:color w:val="000000"/>
                          <w:position w:val="10"/>
                          <w:sz w:val="14"/>
                        </w:rPr>
                        <w:t>total</w:t>
                      </w:r>
                      <w:r>
                        <w:rPr>
                          <w:rFonts w:ascii="TT Norms Pro Light"/>
                          <w:b w:val="0"/>
                          <w:color w:val="000000"/>
                          <w:spacing w:val="-7"/>
                          <w:position w:val="10"/>
                          <w:sz w:val="14"/>
                        </w:rPr>
                        <w:t> </w:t>
                      </w:r>
                      <w:r>
                        <w:rPr>
                          <w:rFonts w:ascii="TT Norms Pro Light"/>
                          <w:b w:val="0"/>
                          <w:color w:val="000000"/>
                          <w:position w:val="10"/>
                          <w:sz w:val="14"/>
                        </w:rPr>
                        <w:t>national</w:t>
                        <w:tab/>
                      </w:r>
                      <w:r>
                        <w:rPr>
                          <w:rFonts w:ascii="TT Norms Pro Light"/>
                          <w:b w:val="0"/>
                          <w:color w:val="000000"/>
                          <w:spacing w:val="-4"/>
                          <w:sz w:val="14"/>
                        </w:rPr>
                        <w:t>5.2%</w:t>
                      </w:r>
                      <w:r>
                        <w:rPr>
                          <w:rFonts w:ascii="TT Norms Pro Light"/>
                          <w:b w:val="0"/>
                          <w:color w:val="000000"/>
                          <w:sz w:val="14"/>
                        </w:rPr>
                        <w:tab/>
                      </w:r>
                      <w:r>
                        <w:rPr>
                          <w:rFonts w:ascii="TT Norms Pro Light"/>
                          <w:b w:val="0"/>
                          <w:color w:val="000000"/>
                          <w:spacing w:val="-4"/>
                          <w:sz w:val="14"/>
                        </w:rPr>
                        <w:t>5.0%</w:t>
                      </w:r>
                      <w:r>
                        <w:rPr>
                          <w:rFonts w:ascii="TT Norms Pro Light"/>
                          <w:b w:val="0"/>
                          <w:color w:val="000000"/>
                          <w:sz w:val="14"/>
                        </w:rPr>
                        <w:tab/>
                      </w:r>
                      <w:r>
                        <w:rPr>
                          <w:rFonts w:ascii="TT Norms Pro Light"/>
                          <w:b w:val="0"/>
                          <w:color w:val="000000"/>
                          <w:spacing w:val="-4"/>
                          <w:sz w:val="14"/>
                        </w:rPr>
                        <w:t>4.2%</w:t>
                      </w:r>
                      <w:r>
                        <w:rPr>
                          <w:rFonts w:ascii="TT Norms Pro Light"/>
                          <w:b w:val="0"/>
                          <w:color w:val="000000"/>
                          <w:sz w:val="14"/>
                        </w:rPr>
                        <w:tab/>
                      </w:r>
                      <w:r>
                        <w:rPr>
                          <w:rFonts w:ascii="TT Norms Pro Light"/>
                          <w:b w:val="0"/>
                          <w:color w:val="000000"/>
                          <w:spacing w:val="-4"/>
                          <w:sz w:val="14"/>
                        </w:rPr>
                        <w:t>4.2%</w:t>
                      </w:r>
                      <w:r>
                        <w:rPr>
                          <w:rFonts w:ascii="TT Norms Pro Light"/>
                          <w:b w:val="0"/>
                          <w:color w:val="000000"/>
                          <w:sz w:val="14"/>
                        </w:rPr>
                        <w:tab/>
                      </w:r>
                      <w:r>
                        <w:rPr>
                          <w:rFonts w:ascii="TT Norms Pro Light"/>
                          <w:b w:val="0"/>
                          <w:color w:val="000000"/>
                          <w:spacing w:val="-4"/>
                          <w:sz w:val="14"/>
                        </w:rPr>
                        <w:t>4.7%</w:t>
                      </w:r>
                      <w:r>
                        <w:rPr>
                          <w:rFonts w:ascii="TT Norms Pro Light"/>
                          <w:b w:val="0"/>
                          <w:color w:val="000000"/>
                          <w:spacing w:val="40"/>
                          <w:sz w:val="14"/>
                        </w:rPr>
                        <w:t> </w:t>
                      </w:r>
                      <w:r>
                        <w:rPr>
                          <w:rFonts w:ascii="TT Norms Pro Light"/>
                          <w:b w:val="0"/>
                          <w:color w:val="000000"/>
                          <w:sz w:val="14"/>
                        </w:rPr>
                        <w:t>research income -</w:t>
                      </w:r>
                    </w:p>
                    <w:p>
                      <w:pPr>
                        <w:spacing w:before="48"/>
                        <w:ind w:left="57" w:right="0" w:firstLine="0"/>
                        <w:jc w:val="left"/>
                        <w:rPr>
                          <w:rFonts w:ascii="TT Norms Pro Light"/>
                          <w:b w:val="0"/>
                          <w:color w:val="000000"/>
                          <w:sz w:val="14"/>
                        </w:rPr>
                      </w:pPr>
                      <w:r>
                        <w:rPr>
                          <w:rFonts w:ascii="TT Norms Pro Light"/>
                          <w:b w:val="0"/>
                          <w:color w:val="000000"/>
                          <w:spacing w:val="-2"/>
                          <w:sz w:val="14"/>
                        </w:rPr>
                        <w:t>effectiveness</w:t>
                      </w:r>
                    </w:p>
                  </w:txbxContent>
                </v:textbox>
                <v:fill type="solid"/>
              </v:shape>
            </w:pict>
          </mc:Fallback>
        </mc:AlternateContent>
      </w:r>
      <w:r>
        <w:rPr>
          <w:sz w:val="20"/>
        </w:rPr>
      </w:r>
    </w:p>
    <w:p>
      <w:pPr>
        <w:spacing w:line="292" w:lineRule="auto" w:before="22"/>
        <w:ind w:left="266" w:right="4410" w:firstLine="0"/>
        <w:jc w:val="left"/>
        <w:rPr>
          <w:rFonts w:ascii="TT Norms Pro Light"/>
          <w:b w:val="0"/>
          <w:sz w:val="14"/>
        </w:rPr>
      </w:pPr>
      <w:r>
        <w:rPr>
          <w:rFonts w:ascii="TT Norms Pro Light"/>
          <w:b w:val="0"/>
          <w:spacing w:val="-2"/>
          <w:sz w:val="14"/>
        </w:rPr>
        <w:t>Australian</w:t>
      </w:r>
      <w:r>
        <w:rPr>
          <w:rFonts w:ascii="TT Norms Pro Light"/>
          <w:b w:val="0"/>
          <w:spacing w:val="40"/>
          <w:sz w:val="14"/>
        </w:rPr>
        <w:t> </w:t>
      </w:r>
      <w:r>
        <w:rPr>
          <w:rFonts w:ascii="TT Norms Pro Light"/>
          <w:b w:val="0"/>
          <w:spacing w:val="-2"/>
          <w:sz w:val="14"/>
        </w:rPr>
        <w:t>competitive</w:t>
      </w:r>
    </w:p>
    <w:tbl>
      <w:tblPr>
        <w:tblW w:w="0" w:type="auto"/>
        <w:jc w:val="left"/>
        <w:tblInd w:w="2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91"/>
        <w:gridCol w:w="511"/>
        <w:gridCol w:w="513"/>
        <w:gridCol w:w="507"/>
        <w:gridCol w:w="635"/>
        <w:gridCol w:w="558"/>
      </w:tblGrid>
      <w:tr>
        <w:trPr>
          <w:trHeight w:val="605" w:hRule="atLeast"/>
        </w:trPr>
        <w:tc>
          <w:tcPr>
            <w:tcW w:w="1891" w:type="dxa"/>
          </w:tcPr>
          <w:p>
            <w:pPr>
              <w:pStyle w:val="TableParagraph"/>
              <w:tabs>
                <w:tab w:pos="1527" w:val="left" w:leader="none"/>
              </w:tabs>
              <w:ind w:left="56"/>
              <w:rPr>
                <w:rFonts w:ascii="TT Norms Pro Light"/>
                <w:b w:val="0"/>
                <w:sz w:val="14"/>
              </w:rPr>
            </w:pPr>
            <w:r>
              <w:rPr>
                <w:rFonts w:ascii="TT Norms Pro Light"/>
                <w:b w:val="0"/>
                <w:spacing w:val="-2"/>
                <w:sz w:val="14"/>
              </w:rPr>
              <w:t>grants</w:t>
            </w:r>
            <w:r>
              <w:rPr>
                <w:rFonts w:ascii="TT Norms Pro Light"/>
                <w:b w:val="0"/>
                <w:sz w:val="14"/>
              </w:rPr>
              <w:tab/>
            </w:r>
            <w:r>
              <w:rPr>
                <w:rFonts w:ascii="TT Norms Pro Light"/>
                <w:b w:val="0"/>
                <w:spacing w:val="-5"/>
                <w:sz w:val="14"/>
              </w:rPr>
              <w:t>$87</w:t>
            </w:r>
          </w:p>
          <w:p>
            <w:pPr>
              <w:pStyle w:val="TableParagraph"/>
              <w:spacing w:before="37"/>
              <w:ind w:left="56"/>
              <w:rPr>
                <w:rFonts w:ascii="TT Norms Pro Light"/>
                <w:b w:val="0"/>
                <w:sz w:val="14"/>
              </w:rPr>
            </w:pPr>
            <w:r>
              <w:rPr>
                <w:rFonts w:ascii="TT Norms Pro Light"/>
                <w:b w:val="0"/>
                <w:sz w:val="14"/>
              </w:rPr>
              <w:t>income</w:t>
            </w:r>
            <w:r>
              <w:rPr>
                <w:rFonts w:ascii="TT Norms Pro Light"/>
                <w:b w:val="0"/>
                <w:spacing w:val="10"/>
                <w:sz w:val="14"/>
              </w:rPr>
              <w:t> </w:t>
            </w:r>
            <w:r>
              <w:rPr>
                <w:rFonts w:ascii="TT Norms Pro Light"/>
                <w:b w:val="0"/>
                <w:spacing w:val="-2"/>
                <w:sz w:val="14"/>
              </w:rPr>
              <w:t>($millions)</w:t>
            </w:r>
          </w:p>
          <w:p>
            <w:pPr>
              <w:pStyle w:val="TableParagraph"/>
              <w:spacing w:before="36"/>
              <w:ind w:left="56"/>
              <w:rPr>
                <w:rFonts w:ascii="TT Norms Pro Light"/>
                <w:b w:val="0"/>
                <w:sz w:val="14"/>
              </w:rPr>
            </w:pPr>
            <w:r>
              <w:rPr>
                <w:rFonts w:ascii="TT Norms Pro Light"/>
                <w:b w:val="0"/>
                <w:sz w:val="14"/>
              </w:rPr>
              <w:t>- </w:t>
            </w:r>
            <w:r>
              <w:rPr>
                <w:rFonts w:ascii="TT Norms Pro Light"/>
                <w:b w:val="0"/>
                <w:spacing w:val="-2"/>
                <w:sz w:val="14"/>
              </w:rPr>
              <w:t>effectiveness</w:t>
            </w:r>
          </w:p>
        </w:tc>
        <w:tc>
          <w:tcPr>
            <w:tcW w:w="511" w:type="dxa"/>
          </w:tcPr>
          <w:p>
            <w:pPr>
              <w:pStyle w:val="TableParagraph"/>
              <w:spacing w:before="1"/>
              <w:ind w:left="87" w:right="88"/>
              <w:jc w:val="center"/>
              <w:rPr>
                <w:rFonts w:ascii="TT Norms Pro Light"/>
                <w:b w:val="0"/>
                <w:sz w:val="14"/>
              </w:rPr>
            </w:pPr>
            <w:r>
              <w:rPr>
                <w:rFonts w:ascii="TT Norms Pro Light"/>
                <w:b w:val="0"/>
                <w:spacing w:val="-5"/>
                <w:sz w:val="14"/>
              </w:rPr>
              <w:t>$86</w:t>
            </w:r>
          </w:p>
        </w:tc>
        <w:tc>
          <w:tcPr>
            <w:tcW w:w="513" w:type="dxa"/>
          </w:tcPr>
          <w:p>
            <w:pPr>
              <w:pStyle w:val="TableParagraph"/>
              <w:spacing w:before="1"/>
              <w:ind w:left="10"/>
              <w:jc w:val="center"/>
              <w:rPr>
                <w:rFonts w:ascii="TT Norms Pro Light"/>
                <w:b w:val="0"/>
                <w:sz w:val="14"/>
              </w:rPr>
            </w:pPr>
            <w:r>
              <w:rPr>
                <w:rFonts w:ascii="TT Norms Pro Light"/>
                <w:b w:val="0"/>
                <w:spacing w:val="-5"/>
                <w:sz w:val="14"/>
              </w:rPr>
              <w:t>$79</w:t>
            </w:r>
          </w:p>
        </w:tc>
        <w:tc>
          <w:tcPr>
            <w:tcW w:w="507" w:type="dxa"/>
          </w:tcPr>
          <w:p>
            <w:pPr>
              <w:pStyle w:val="TableParagraph"/>
              <w:spacing w:before="1"/>
              <w:ind w:left="84" w:right="74"/>
              <w:jc w:val="center"/>
              <w:rPr>
                <w:rFonts w:ascii="TT Norms Pro Light"/>
                <w:b w:val="0"/>
                <w:sz w:val="14"/>
              </w:rPr>
            </w:pPr>
            <w:r>
              <w:rPr>
                <w:rFonts w:ascii="TT Norms Pro Light"/>
                <w:b w:val="0"/>
                <w:spacing w:val="-5"/>
                <w:sz w:val="14"/>
              </w:rPr>
              <w:t>$76</w:t>
            </w:r>
          </w:p>
        </w:tc>
        <w:tc>
          <w:tcPr>
            <w:tcW w:w="635" w:type="dxa"/>
          </w:tcPr>
          <w:p>
            <w:pPr>
              <w:pStyle w:val="TableParagraph"/>
              <w:spacing w:before="1"/>
              <w:ind w:right="253"/>
              <w:jc w:val="right"/>
              <w:rPr>
                <w:rFonts w:ascii="TT Norms Pro Light"/>
                <w:b w:val="0"/>
                <w:sz w:val="14"/>
              </w:rPr>
            </w:pPr>
            <w:r>
              <w:rPr>
                <w:rFonts w:ascii="TT Norms Pro Light"/>
                <w:b w:val="0"/>
                <w:spacing w:val="-5"/>
                <w:sz w:val="14"/>
              </w:rPr>
              <w:t>$85</w:t>
            </w:r>
          </w:p>
        </w:tc>
        <w:tc>
          <w:tcPr>
            <w:tcW w:w="558" w:type="dxa"/>
          </w:tcPr>
          <w:p>
            <w:pPr>
              <w:pStyle w:val="TableParagraph"/>
              <w:spacing w:before="1"/>
              <w:ind w:right="54"/>
              <w:jc w:val="right"/>
              <w:rPr>
                <w:rFonts w:ascii="TT Norms Pro Light"/>
                <w:b w:val="0"/>
                <w:sz w:val="14"/>
              </w:rPr>
            </w:pPr>
            <w:r>
              <w:rPr>
                <w:rFonts w:ascii="TT Norms Pro Light"/>
                <w:b w:val="0"/>
                <w:spacing w:val="-5"/>
                <w:sz w:val="14"/>
              </w:rPr>
              <w:t>$84</w:t>
            </w:r>
          </w:p>
        </w:tc>
      </w:tr>
      <w:tr>
        <w:trPr>
          <w:trHeight w:val="673" w:hRule="atLeast"/>
        </w:trPr>
        <w:tc>
          <w:tcPr>
            <w:tcW w:w="1891" w:type="dxa"/>
            <w:shd w:val="clear" w:color="auto" w:fill="E6E7E8"/>
          </w:tcPr>
          <w:p>
            <w:pPr>
              <w:pStyle w:val="TableParagraph"/>
              <w:spacing w:before="48"/>
              <w:ind w:left="57"/>
              <w:rPr>
                <w:rFonts w:ascii="TT Norms Pro Light"/>
                <w:b w:val="0"/>
                <w:sz w:val="14"/>
              </w:rPr>
            </w:pPr>
            <w:r>
              <w:rPr>
                <w:rFonts w:ascii="TT Norms Pro Light"/>
                <w:b w:val="0"/>
                <w:spacing w:val="-2"/>
                <w:sz w:val="14"/>
              </w:rPr>
              <w:t>Government</w:t>
            </w:r>
          </w:p>
          <w:p>
            <w:pPr>
              <w:pStyle w:val="TableParagraph"/>
              <w:tabs>
                <w:tab w:pos="1527" w:val="left" w:leader="none"/>
              </w:tabs>
              <w:spacing w:before="36"/>
              <w:ind w:left="57"/>
              <w:rPr>
                <w:rFonts w:ascii="TT Norms Pro Light"/>
                <w:b w:val="0"/>
                <w:sz w:val="14"/>
              </w:rPr>
            </w:pPr>
            <w:r>
              <w:rPr>
                <w:rFonts w:ascii="TT Norms Pro Light"/>
                <w:b w:val="0"/>
                <w:sz w:val="14"/>
              </w:rPr>
              <w:t>income</w:t>
            </w:r>
            <w:r>
              <w:rPr>
                <w:rFonts w:ascii="TT Norms Pro Light"/>
                <w:b w:val="0"/>
                <w:spacing w:val="10"/>
                <w:sz w:val="14"/>
              </w:rPr>
              <w:t> </w:t>
            </w:r>
            <w:r>
              <w:rPr>
                <w:rFonts w:ascii="TT Norms Pro Light"/>
                <w:b w:val="0"/>
                <w:spacing w:val="-2"/>
                <w:sz w:val="14"/>
              </w:rPr>
              <w:t>($millions)</w:t>
            </w:r>
            <w:r>
              <w:rPr>
                <w:rFonts w:ascii="TT Norms Pro Light"/>
                <w:b w:val="0"/>
                <w:sz w:val="14"/>
              </w:rPr>
              <w:tab/>
            </w:r>
            <w:r>
              <w:rPr>
                <w:rFonts w:ascii="TT Norms Pro Light"/>
                <w:b w:val="0"/>
                <w:spacing w:val="-5"/>
                <w:sz w:val="14"/>
              </w:rPr>
              <w:t>$47</w:t>
            </w:r>
          </w:p>
          <w:p>
            <w:pPr>
              <w:pStyle w:val="TableParagraph"/>
              <w:spacing w:before="36"/>
              <w:ind w:left="57"/>
              <w:rPr>
                <w:rFonts w:ascii="TT Norms Pro Light"/>
                <w:b w:val="0"/>
                <w:sz w:val="14"/>
              </w:rPr>
            </w:pPr>
            <w:r>
              <w:rPr>
                <w:rFonts w:ascii="TT Norms Pro Light"/>
                <w:b w:val="0"/>
                <w:sz w:val="14"/>
              </w:rPr>
              <w:t>- </w:t>
            </w:r>
            <w:r>
              <w:rPr>
                <w:rFonts w:ascii="TT Norms Pro Light"/>
                <w:b w:val="0"/>
                <w:spacing w:val="-2"/>
                <w:sz w:val="14"/>
              </w:rPr>
              <w:t>effectiveness</w:t>
            </w:r>
          </w:p>
        </w:tc>
        <w:tc>
          <w:tcPr>
            <w:tcW w:w="511" w:type="dxa"/>
            <w:shd w:val="clear" w:color="auto" w:fill="E6E7E8"/>
          </w:tcPr>
          <w:p>
            <w:pPr>
              <w:pStyle w:val="TableParagraph"/>
              <w:spacing w:before="84"/>
              <w:rPr>
                <w:rFonts w:ascii="TT Norms Pro Light"/>
                <w:b w:val="0"/>
                <w:sz w:val="14"/>
              </w:rPr>
            </w:pPr>
          </w:p>
          <w:p>
            <w:pPr>
              <w:pStyle w:val="TableParagraph"/>
              <w:ind w:left="87" w:right="87"/>
              <w:jc w:val="center"/>
              <w:rPr>
                <w:rFonts w:ascii="TT Norms Pro Light"/>
                <w:b w:val="0"/>
                <w:sz w:val="14"/>
              </w:rPr>
            </w:pPr>
            <w:r>
              <w:rPr>
                <w:rFonts w:ascii="TT Norms Pro Light"/>
                <w:b w:val="0"/>
                <w:spacing w:val="-5"/>
                <w:sz w:val="14"/>
              </w:rPr>
              <w:t>$45</w:t>
            </w:r>
          </w:p>
        </w:tc>
        <w:tc>
          <w:tcPr>
            <w:tcW w:w="513" w:type="dxa"/>
            <w:shd w:val="clear" w:color="auto" w:fill="E6E7E8"/>
          </w:tcPr>
          <w:p>
            <w:pPr>
              <w:pStyle w:val="TableParagraph"/>
              <w:spacing w:before="84"/>
              <w:rPr>
                <w:rFonts w:ascii="TT Norms Pro Light"/>
                <w:b w:val="0"/>
                <w:sz w:val="14"/>
              </w:rPr>
            </w:pPr>
          </w:p>
          <w:p>
            <w:pPr>
              <w:pStyle w:val="TableParagraph"/>
              <w:ind w:right="5"/>
              <w:jc w:val="center"/>
              <w:rPr>
                <w:rFonts w:ascii="TT Norms Pro Light"/>
                <w:b w:val="0"/>
                <w:sz w:val="14"/>
              </w:rPr>
            </w:pPr>
            <w:r>
              <w:rPr>
                <w:rFonts w:ascii="TT Norms Pro Light"/>
                <w:b w:val="0"/>
                <w:spacing w:val="-5"/>
                <w:sz w:val="14"/>
              </w:rPr>
              <w:t>$30</w:t>
            </w:r>
          </w:p>
        </w:tc>
        <w:tc>
          <w:tcPr>
            <w:tcW w:w="507" w:type="dxa"/>
            <w:shd w:val="clear" w:color="auto" w:fill="E6E7E8"/>
          </w:tcPr>
          <w:p>
            <w:pPr>
              <w:pStyle w:val="TableParagraph"/>
              <w:spacing w:before="84"/>
              <w:rPr>
                <w:rFonts w:ascii="TT Norms Pro Light"/>
                <w:b w:val="0"/>
                <w:sz w:val="14"/>
              </w:rPr>
            </w:pPr>
          </w:p>
          <w:p>
            <w:pPr>
              <w:pStyle w:val="TableParagraph"/>
              <w:ind w:left="84" w:right="83"/>
              <w:jc w:val="center"/>
              <w:rPr>
                <w:rFonts w:ascii="TT Norms Pro Light"/>
                <w:b w:val="0"/>
                <w:sz w:val="14"/>
              </w:rPr>
            </w:pPr>
            <w:r>
              <w:rPr>
                <w:rFonts w:ascii="TT Norms Pro Light"/>
                <w:b w:val="0"/>
                <w:spacing w:val="-5"/>
                <w:sz w:val="14"/>
              </w:rPr>
              <w:t>$39</w:t>
            </w:r>
          </w:p>
        </w:tc>
        <w:tc>
          <w:tcPr>
            <w:tcW w:w="635" w:type="dxa"/>
            <w:shd w:val="clear" w:color="auto" w:fill="E6E7E8"/>
          </w:tcPr>
          <w:p>
            <w:pPr>
              <w:pStyle w:val="TableParagraph"/>
              <w:spacing w:before="84"/>
              <w:rPr>
                <w:rFonts w:ascii="TT Norms Pro Light"/>
                <w:b w:val="0"/>
                <w:sz w:val="14"/>
              </w:rPr>
            </w:pPr>
          </w:p>
          <w:p>
            <w:pPr>
              <w:pStyle w:val="TableParagraph"/>
              <w:ind w:right="254"/>
              <w:jc w:val="right"/>
              <w:rPr>
                <w:rFonts w:ascii="TT Norms Pro Light"/>
                <w:b w:val="0"/>
                <w:sz w:val="14"/>
              </w:rPr>
            </w:pPr>
            <w:r>
              <w:rPr>
                <w:rFonts w:ascii="TT Norms Pro Light"/>
                <w:b w:val="0"/>
                <w:spacing w:val="-5"/>
                <w:sz w:val="14"/>
              </w:rPr>
              <w:t>$52</w:t>
            </w:r>
          </w:p>
        </w:tc>
        <w:tc>
          <w:tcPr>
            <w:tcW w:w="558" w:type="dxa"/>
            <w:shd w:val="clear" w:color="auto" w:fill="E6E7E8"/>
          </w:tcPr>
          <w:p>
            <w:pPr>
              <w:pStyle w:val="TableParagraph"/>
              <w:spacing w:before="84"/>
              <w:rPr>
                <w:rFonts w:ascii="TT Norms Pro Light"/>
                <w:b w:val="0"/>
                <w:sz w:val="14"/>
              </w:rPr>
            </w:pPr>
          </w:p>
          <w:p>
            <w:pPr>
              <w:pStyle w:val="TableParagraph"/>
              <w:ind w:right="55"/>
              <w:jc w:val="right"/>
              <w:rPr>
                <w:rFonts w:ascii="TT Norms Pro Light"/>
                <w:b w:val="0"/>
                <w:sz w:val="14"/>
              </w:rPr>
            </w:pPr>
            <w:r>
              <w:rPr>
                <w:rFonts w:ascii="TT Norms Pro Light"/>
                <w:b w:val="0"/>
                <w:spacing w:val="-5"/>
                <w:sz w:val="14"/>
              </w:rPr>
              <w:t>$51</w:t>
            </w:r>
          </w:p>
        </w:tc>
      </w:tr>
      <w:tr>
        <w:trPr>
          <w:trHeight w:val="1032" w:hRule="atLeast"/>
        </w:trPr>
        <w:tc>
          <w:tcPr>
            <w:tcW w:w="1891" w:type="dxa"/>
          </w:tcPr>
          <w:p>
            <w:pPr>
              <w:pStyle w:val="TableParagraph"/>
              <w:spacing w:line="292" w:lineRule="auto" w:before="27"/>
              <w:ind w:left="56" w:right="561"/>
              <w:rPr>
                <w:rFonts w:ascii="TT Norms Pro Light"/>
                <w:b w:val="0"/>
                <w:sz w:val="14"/>
              </w:rPr>
            </w:pPr>
            <w:r>
              <w:rPr>
                <w:rFonts w:ascii="TT Norms Pro Light"/>
                <w:b w:val="0"/>
                <w:spacing w:val="-2"/>
                <w:sz w:val="14"/>
              </w:rPr>
              <w:t>Industry,</w:t>
            </w:r>
            <w:r>
              <w:rPr>
                <w:rFonts w:ascii="TT Norms Pro Light"/>
                <w:b w:val="0"/>
                <w:spacing w:val="40"/>
                <w:sz w:val="14"/>
              </w:rPr>
              <w:t> </w:t>
            </w:r>
            <w:r>
              <w:rPr>
                <w:rFonts w:ascii="TT Norms Pro Light"/>
                <w:b w:val="0"/>
                <w:sz w:val="14"/>
              </w:rPr>
              <w:t>international</w:t>
            </w:r>
            <w:r>
              <w:rPr>
                <w:rFonts w:ascii="TT Norms Pro Light"/>
                <w:b w:val="0"/>
                <w:spacing w:val="-7"/>
                <w:sz w:val="14"/>
              </w:rPr>
              <w:t> </w:t>
            </w:r>
            <w:r>
              <w:rPr>
                <w:rFonts w:ascii="TT Norms Pro Light"/>
                <w:b w:val="0"/>
                <w:sz w:val="14"/>
              </w:rPr>
              <w:t>and</w:t>
            </w:r>
          </w:p>
          <w:p>
            <w:pPr>
              <w:pStyle w:val="TableParagraph"/>
              <w:tabs>
                <w:tab w:pos="1512" w:val="left" w:leader="none"/>
              </w:tabs>
              <w:spacing w:line="292" w:lineRule="auto" w:before="1"/>
              <w:ind w:left="56" w:right="131"/>
              <w:rPr>
                <w:rFonts w:ascii="TT Norms Pro Light"/>
                <w:b w:val="0"/>
                <w:sz w:val="14"/>
              </w:rPr>
            </w:pPr>
            <w:r>
              <w:rPr>
                <w:rFonts w:ascii="TT Norms Pro Light"/>
                <w:b w:val="0"/>
                <w:spacing w:val="-2"/>
                <w:sz w:val="14"/>
              </w:rPr>
              <w:t>philanthropic</w:t>
            </w:r>
            <w:r>
              <w:rPr>
                <w:rFonts w:ascii="TT Norms Pro Light"/>
                <w:b w:val="0"/>
                <w:sz w:val="14"/>
              </w:rPr>
              <w:tab/>
            </w:r>
            <w:r>
              <w:rPr>
                <w:rFonts w:ascii="TT Norms Pro Light"/>
                <w:b w:val="0"/>
                <w:spacing w:val="-4"/>
                <w:sz w:val="14"/>
              </w:rPr>
              <w:t>$58</w:t>
            </w:r>
            <w:r>
              <w:rPr>
                <w:rFonts w:ascii="TT Norms Pro Light"/>
                <w:b w:val="0"/>
                <w:spacing w:val="40"/>
                <w:sz w:val="14"/>
              </w:rPr>
              <w:t> </w:t>
            </w:r>
            <w:r>
              <w:rPr>
                <w:rFonts w:ascii="TT Norms Pro Light"/>
                <w:b w:val="0"/>
                <w:sz w:val="14"/>
              </w:rPr>
              <w:t>($millions)</w:t>
            </w:r>
            <w:r>
              <w:rPr>
                <w:rFonts w:ascii="TT Norms Pro Light"/>
                <w:b w:val="0"/>
                <w:spacing w:val="-7"/>
                <w:sz w:val="14"/>
              </w:rPr>
              <w:t> </w:t>
            </w:r>
            <w:r>
              <w:rPr>
                <w:rFonts w:ascii="TT Norms Pro Light"/>
                <w:b w:val="0"/>
                <w:sz w:val="14"/>
              </w:rPr>
              <w:t>-</w:t>
            </w:r>
          </w:p>
          <w:p>
            <w:pPr>
              <w:pStyle w:val="TableParagraph"/>
              <w:ind w:left="56"/>
              <w:rPr>
                <w:rFonts w:ascii="TT Norms Pro Light"/>
                <w:b w:val="0"/>
                <w:sz w:val="14"/>
              </w:rPr>
            </w:pPr>
            <w:r>
              <w:rPr>
                <w:rFonts w:ascii="TT Norms Pro Light"/>
                <w:b w:val="0"/>
                <w:spacing w:val="-2"/>
                <w:sz w:val="14"/>
              </w:rPr>
              <w:t>effectiveness</w:t>
            </w:r>
          </w:p>
        </w:tc>
        <w:tc>
          <w:tcPr>
            <w:tcW w:w="511" w:type="dxa"/>
          </w:tcPr>
          <w:p>
            <w:pPr>
              <w:pStyle w:val="TableParagraph"/>
              <w:rPr>
                <w:rFonts w:ascii="TT Norms Pro Light"/>
                <w:b w:val="0"/>
                <w:sz w:val="14"/>
              </w:rPr>
            </w:pPr>
          </w:p>
          <w:p>
            <w:pPr>
              <w:pStyle w:val="TableParagraph"/>
              <w:spacing w:before="100"/>
              <w:rPr>
                <w:rFonts w:ascii="TT Norms Pro Light"/>
                <w:b w:val="0"/>
                <w:sz w:val="14"/>
              </w:rPr>
            </w:pPr>
          </w:p>
          <w:p>
            <w:pPr>
              <w:pStyle w:val="TableParagraph"/>
              <w:ind w:left="87" w:right="88"/>
              <w:jc w:val="center"/>
              <w:rPr>
                <w:rFonts w:ascii="TT Norms Pro Light"/>
                <w:b w:val="0"/>
                <w:sz w:val="14"/>
              </w:rPr>
            </w:pPr>
            <w:r>
              <w:rPr>
                <w:rFonts w:ascii="TT Norms Pro Light"/>
                <w:b w:val="0"/>
                <w:spacing w:val="-5"/>
                <w:sz w:val="14"/>
              </w:rPr>
              <w:t>$56</w:t>
            </w:r>
          </w:p>
        </w:tc>
        <w:tc>
          <w:tcPr>
            <w:tcW w:w="513" w:type="dxa"/>
          </w:tcPr>
          <w:p>
            <w:pPr>
              <w:pStyle w:val="TableParagraph"/>
              <w:rPr>
                <w:rFonts w:ascii="TT Norms Pro Light"/>
                <w:b w:val="0"/>
                <w:sz w:val="14"/>
              </w:rPr>
            </w:pPr>
          </w:p>
          <w:p>
            <w:pPr>
              <w:pStyle w:val="TableParagraph"/>
              <w:spacing w:before="100"/>
              <w:rPr>
                <w:rFonts w:ascii="TT Norms Pro Light"/>
                <w:b w:val="0"/>
                <w:sz w:val="14"/>
              </w:rPr>
            </w:pPr>
          </w:p>
          <w:p>
            <w:pPr>
              <w:pStyle w:val="TableParagraph"/>
              <w:ind w:right="1"/>
              <w:jc w:val="center"/>
              <w:rPr>
                <w:rFonts w:ascii="TT Norms Pro Light"/>
                <w:b w:val="0"/>
                <w:sz w:val="14"/>
              </w:rPr>
            </w:pPr>
            <w:r>
              <w:rPr>
                <w:rFonts w:ascii="TT Norms Pro Light"/>
                <w:b w:val="0"/>
                <w:spacing w:val="-5"/>
                <w:sz w:val="14"/>
              </w:rPr>
              <w:t>$55</w:t>
            </w:r>
          </w:p>
        </w:tc>
        <w:tc>
          <w:tcPr>
            <w:tcW w:w="507" w:type="dxa"/>
          </w:tcPr>
          <w:p>
            <w:pPr>
              <w:pStyle w:val="TableParagraph"/>
              <w:rPr>
                <w:rFonts w:ascii="TT Norms Pro Light"/>
                <w:b w:val="0"/>
                <w:sz w:val="14"/>
              </w:rPr>
            </w:pPr>
          </w:p>
          <w:p>
            <w:pPr>
              <w:pStyle w:val="TableParagraph"/>
              <w:spacing w:before="100"/>
              <w:rPr>
                <w:rFonts w:ascii="TT Norms Pro Light"/>
                <w:b w:val="0"/>
                <w:sz w:val="14"/>
              </w:rPr>
            </w:pPr>
          </w:p>
          <w:p>
            <w:pPr>
              <w:pStyle w:val="TableParagraph"/>
              <w:ind w:left="84" w:right="54"/>
              <w:jc w:val="center"/>
              <w:rPr>
                <w:rFonts w:ascii="TT Norms Pro Light"/>
                <w:b w:val="0"/>
                <w:sz w:val="14"/>
              </w:rPr>
            </w:pPr>
            <w:r>
              <w:rPr>
                <w:rFonts w:ascii="TT Norms Pro Light"/>
                <w:b w:val="0"/>
                <w:spacing w:val="-5"/>
                <w:sz w:val="14"/>
              </w:rPr>
              <w:t>$61</w:t>
            </w:r>
          </w:p>
        </w:tc>
        <w:tc>
          <w:tcPr>
            <w:tcW w:w="635" w:type="dxa"/>
          </w:tcPr>
          <w:p>
            <w:pPr>
              <w:pStyle w:val="TableParagraph"/>
              <w:rPr>
                <w:rFonts w:ascii="TT Norms Pro Light"/>
                <w:b w:val="0"/>
                <w:sz w:val="14"/>
              </w:rPr>
            </w:pPr>
          </w:p>
          <w:p>
            <w:pPr>
              <w:pStyle w:val="TableParagraph"/>
              <w:spacing w:before="100"/>
              <w:rPr>
                <w:rFonts w:ascii="TT Norms Pro Light"/>
                <w:b w:val="0"/>
                <w:sz w:val="14"/>
              </w:rPr>
            </w:pPr>
          </w:p>
          <w:p>
            <w:pPr>
              <w:pStyle w:val="TableParagraph"/>
              <w:ind w:right="256"/>
              <w:jc w:val="right"/>
              <w:rPr>
                <w:rFonts w:ascii="TT Norms Pro Light"/>
                <w:b w:val="0"/>
                <w:sz w:val="14"/>
              </w:rPr>
            </w:pPr>
            <w:r>
              <w:rPr>
                <w:rFonts w:ascii="TT Norms Pro Light"/>
                <w:b w:val="0"/>
                <w:spacing w:val="-5"/>
                <w:sz w:val="14"/>
              </w:rPr>
              <w:t>$75</w:t>
            </w:r>
          </w:p>
        </w:tc>
        <w:tc>
          <w:tcPr>
            <w:tcW w:w="558" w:type="dxa"/>
          </w:tcPr>
          <w:p>
            <w:pPr>
              <w:pStyle w:val="TableParagraph"/>
              <w:rPr>
                <w:rFonts w:ascii="TT Norms Pro Light"/>
                <w:b w:val="0"/>
                <w:sz w:val="14"/>
              </w:rPr>
            </w:pPr>
          </w:p>
          <w:p>
            <w:pPr>
              <w:pStyle w:val="TableParagraph"/>
              <w:spacing w:before="100"/>
              <w:rPr>
                <w:rFonts w:ascii="TT Norms Pro Light"/>
                <w:b w:val="0"/>
                <w:sz w:val="14"/>
              </w:rPr>
            </w:pPr>
          </w:p>
          <w:p>
            <w:pPr>
              <w:pStyle w:val="TableParagraph"/>
              <w:ind w:right="53"/>
              <w:jc w:val="right"/>
              <w:rPr>
                <w:rFonts w:ascii="TT Norms Pro Light"/>
                <w:b w:val="0"/>
                <w:sz w:val="14"/>
              </w:rPr>
            </w:pPr>
            <w:r>
              <w:rPr>
                <w:rFonts w:ascii="TT Norms Pro Light"/>
                <w:b w:val="0"/>
                <w:spacing w:val="-5"/>
                <w:sz w:val="14"/>
              </w:rPr>
              <w:t>$65</w:t>
            </w:r>
          </w:p>
        </w:tc>
      </w:tr>
      <w:tr>
        <w:trPr>
          <w:trHeight w:val="568" w:hRule="atLeast"/>
        </w:trPr>
        <w:tc>
          <w:tcPr>
            <w:tcW w:w="1891" w:type="dxa"/>
            <w:shd w:val="clear" w:color="auto" w:fill="E6E7E8"/>
          </w:tcPr>
          <w:p>
            <w:pPr>
              <w:pStyle w:val="TableParagraph"/>
              <w:spacing w:before="89"/>
              <w:ind w:left="56"/>
              <w:rPr>
                <w:rFonts w:ascii="TT Norms Pro Light"/>
                <w:b w:val="0"/>
                <w:sz w:val="14"/>
              </w:rPr>
            </w:pPr>
            <w:r>
              <w:rPr>
                <w:rFonts w:ascii="TT Norms Pro Light"/>
                <w:b w:val="0"/>
                <w:spacing w:val="-2"/>
                <w:sz w:val="14"/>
              </w:rPr>
              <w:t>Cooperative</w:t>
            </w:r>
          </w:p>
          <w:p>
            <w:pPr>
              <w:pStyle w:val="TableParagraph"/>
              <w:tabs>
                <w:tab w:pos="1599" w:val="left" w:leader="none"/>
              </w:tabs>
              <w:spacing w:line="230" w:lineRule="auto" w:before="37"/>
              <w:ind w:left="56"/>
              <w:rPr>
                <w:rFonts w:ascii="TT Norms Pro Light"/>
                <w:b w:val="0"/>
                <w:sz w:val="14"/>
              </w:rPr>
            </w:pPr>
            <w:r>
              <w:rPr>
                <w:rFonts w:ascii="TT Norms Pro Light"/>
                <w:b w:val="0"/>
                <w:spacing w:val="-2"/>
                <w:sz w:val="14"/>
              </w:rPr>
              <w:t>research</w:t>
            </w:r>
            <w:r>
              <w:rPr>
                <w:rFonts w:ascii="TT Norms Pro Light"/>
                <w:b w:val="0"/>
                <w:sz w:val="14"/>
              </w:rPr>
              <w:tab/>
            </w:r>
            <w:r>
              <w:rPr>
                <w:rFonts w:ascii="TT Norms Pro Light"/>
                <w:b w:val="0"/>
                <w:spacing w:val="-5"/>
                <w:position w:val="-9"/>
                <w:sz w:val="14"/>
              </w:rPr>
              <w:t>$2</w:t>
            </w:r>
          </w:p>
        </w:tc>
        <w:tc>
          <w:tcPr>
            <w:tcW w:w="511" w:type="dxa"/>
            <w:shd w:val="clear" w:color="auto" w:fill="E6E7E8"/>
          </w:tcPr>
          <w:p>
            <w:pPr>
              <w:pStyle w:val="TableParagraph"/>
              <w:rPr>
                <w:rFonts w:ascii="TT Norms Pro Light"/>
                <w:b w:val="0"/>
                <w:sz w:val="14"/>
              </w:rPr>
            </w:pPr>
          </w:p>
          <w:p>
            <w:pPr>
              <w:pStyle w:val="TableParagraph"/>
              <w:spacing w:before="61"/>
              <w:rPr>
                <w:rFonts w:ascii="TT Norms Pro Light"/>
                <w:b w:val="0"/>
                <w:sz w:val="14"/>
              </w:rPr>
            </w:pPr>
          </w:p>
          <w:p>
            <w:pPr>
              <w:pStyle w:val="TableParagraph"/>
              <w:spacing w:line="160" w:lineRule="exact"/>
              <w:ind w:left="88" w:right="1"/>
              <w:jc w:val="center"/>
              <w:rPr>
                <w:rFonts w:ascii="TT Norms Pro Light"/>
                <w:b w:val="0"/>
                <w:sz w:val="14"/>
              </w:rPr>
            </w:pPr>
            <w:r>
              <w:rPr>
                <w:rFonts w:ascii="TT Norms Pro Light"/>
                <w:b w:val="0"/>
                <w:spacing w:val="-5"/>
                <w:sz w:val="14"/>
              </w:rPr>
              <w:t>$3</w:t>
            </w:r>
          </w:p>
        </w:tc>
        <w:tc>
          <w:tcPr>
            <w:tcW w:w="513" w:type="dxa"/>
            <w:shd w:val="clear" w:color="auto" w:fill="E6E7E8"/>
          </w:tcPr>
          <w:p>
            <w:pPr>
              <w:pStyle w:val="TableParagraph"/>
              <w:rPr>
                <w:rFonts w:ascii="TT Norms Pro Light"/>
                <w:b w:val="0"/>
                <w:sz w:val="14"/>
              </w:rPr>
            </w:pPr>
          </w:p>
          <w:p>
            <w:pPr>
              <w:pStyle w:val="TableParagraph"/>
              <w:spacing w:before="61"/>
              <w:rPr>
                <w:rFonts w:ascii="TT Norms Pro Light"/>
                <w:b w:val="0"/>
                <w:sz w:val="14"/>
              </w:rPr>
            </w:pPr>
          </w:p>
          <w:p>
            <w:pPr>
              <w:pStyle w:val="TableParagraph"/>
              <w:spacing w:line="160" w:lineRule="exact"/>
              <w:ind w:left="90" w:right="6"/>
              <w:jc w:val="center"/>
              <w:rPr>
                <w:rFonts w:ascii="TT Norms Pro Light"/>
                <w:b w:val="0"/>
                <w:sz w:val="14"/>
              </w:rPr>
            </w:pPr>
            <w:r>
              <w:rPr>
                <w:rFonts w:ascii="TT Norms Pro Light"/>
                <w:b w:val="0"/>
                <w:spacing w:val="-5"/>
                <w:sz w:val="14"/>
              </w:rPr>
              <w:t>$3</w:t>
            </w:r>
          </w:p>
        </w:tc>
        <w:tc>
          <w:tcPr>
            <w:tcW w:w="507" w:type="dxa"/>
            <w:shd w:val="clear" w:color="auto" w:fill="E6E7E8"/>
          </w:tcPr>
          <w:p>
            <w:pPr>
              <w:pStyle w:val="TableParagraph"/>
              <w:rPr>
                <w:rFonts w:ascii="TT Norms Pro Light"/>
                <w:b w:val="0"/>
                <w:sz w:val="14"/>
              </w:rPr>
            </w:pPr>
          </w:p>
          <w:p>
            <w:pPr>
              <w:pStyle w:val="TableParagraph"/>
              <w:spacing w:before="61"/>
              <w:rPr>
                <w:rFonts w:ascii="TT Norms Pro Light"/>
                <w:b w:val="0"/>
                <w:sz w:val="14"/>
              </w:rPr>
            </w:pPr>
          </w:p>
          <w:p>
            <w:pPr>
              <w:pStyle w:val="TableParagraph"/>
              <w:spacing w:line="160" w:lineRule="exact"/>
              <w:ind w:left="84"/>
              <w:jc w:val="center"/>
              <w:rPr>
                <w:rFonts w:ascii="TT Norms Pro Light"/>
                <w:b w:val="0"/>
                <w:sz w:val="14"/>
              </w:rPr>
            </w:pPr>
            <w:r>
              <w:rPr>
                <w:rFonts w:ascii="TT Norms Pro Light"/>
                <w:b w:val="0"/>
                <w:spacing w:val="-5"/>
                <w:sz w:val="14"/>
              </w:rPr>
              <w:t>$2</w:t>
            </w:r>
          </w:p>
        </w:tc>
        <w:tc>
          <w:tcPr>
            <w:tcW w:w="635" w:type="dxa"/>
            <w:shd w:val="clear" w:color="auto" w:fill="E6E7E8"/>
          </w:tcPr>
          <w:p>
            <w:pPr>
              <w:pStyle w:val="TableParagraph"/>
              <w:rPr>
                <w:rFonts w:ascii="TT Norms Pro Light"/>
                <w:b w:val="0"/>
                <w:sz w:val="14"/>
              </w:rPr>
            </w:pPr>
          </w:p>
          <w:p>
            <w:pPr>
              <w:pStyle w:val="TableParagraph"/>
              <w:spacing w:before="61"/>
              <w:rPr>
                <w:rFonts w:ascii="TT Norms Pro Light"/>
                <w:b w:val="0"/>
                <w:sz w:val="14"/>
              </w:rPr>
            </w:pPr>
          </w:p>
          <w:p>
            <w:pPr>
              <w:pStyle w:val="TableParagraph"/>
              <w:spacing w:line="160" w:lineRule="exact"/>
              <w:ind w:right="254"/>
              <w:jc w:val="right"/>
              <w:rPr>
                <w:rFonts w:ascii="TT Norms Pro Light"/>
                <w:b w:val="0"/>
                <w:sz w:val="14"/>
              </w:rPr>
            </w:pPr>
            <w:r>
              <w:rPr>
                <w:rFonts w:ascii="TT Norms Pro Light"/>
                <w:b w:val="0"/>
                <w:spacing w:val="-5"/>
                <w:sz w:val="14"/>
              </w:rPr>
              <w:t>$2</w:t>
            </w:r>
          </w:p>
        </w:tc>
        <w:tc>
          <w:tcPr>
            <w:tcW w:w="558" w:type="dxa"/>
            <w:shd w:val="clear" w:color="auto" w:fill="E6E7E8"/>
          </w:tcPr>
          <w:p>
            <w:pPr>
              <w:pStyle w:val="TableParagraph"/>
              <w:rPr>
                <w:rFonts w:ascii="TT Norms Pro Light"/>
                <w:b w:val="0"/>
                <w:sz w:val="14"/>
              </w:rPr>
            </w:pPr>
          </w:p>
          <w:p>
            <w:pPr>
              <w:pStyle w:val="TableParagraph"/>
              <w:spacing w:before="61"/>
              <w:rPr>
                <w:rFonts w:ascii="TT Norms Pro Light"/>
                <w:b w:val="0"/>
                <w:sz w:val="14"/>
              </w:rPr>
            </w:pPr>
          </w:p>
          <w:p>
            <w:pPr>
              <w:pStyle w:val="TableParagraph"/>
              <w:spacing w:line="160" w:lineRule="exact"/>
              <w:ind w:right="48"/>
              <w:jc w:val="right"/>
              <w:rPr>
                <w:rFonts w:ascii="TT Norms Pro Light"/>
                <w:b w:val="0"/>
                <w:sz w:val="14"/>
              </w:rPr>
            </w:pPr>
            <w:r>
              <w:rPr>
                <w:rFonts w:ascii="TT Norms Pro Light"/>
                <w:b w:val="0"/>
                <w:spacing w:val="-5"/>
                <w:sz w:val="14"/>
              </w:rPr>
              <w:t>$4</w:t>
            </w:r>
          </w:p>
        </w:tc>
      </w:tr>
      <w:tr>
        <w:trPr>
          <w:trHeight w:val="385" w:hRule="atLeast"/>
        </w:trPr>
        <w:tc>
          <w:tcPr>
            <w:tcW w:w="4615" w:type="dxa"/>
            <w:gridSpan w:val="6"/>
            <w:shd w:val="clear" w:color="auto" w:fill="E6E7E8"/>
          </w:tcPr>
          <w:p>
            <w:pPr>
              <w:pStyle w:val="TableParagraph"/>
              <w:spacing w:line="84" w:lineRule="exact"/>
              <w:ind w:left="56"/>
              <w:rPr>
                <w:rFonts w:ascii="TT Norms Pro Light"/>
                <w:b w:val="0"/>
                <w:sz w:val="14"/>
              </w:rPr>
            </w:pPr>
            <w:r>
              <w:rPr>
                <w:rFonts w:ascii="TT Norms Pro Light"/>
                <w:b w:val="0"/>
                <w:sz w:val="14"/>
              </w:rPr>
              <w:t>($millions)</w:t>
            </w:r>
            <w:r>
              <w:rPr>
                <w:rFonts w:ascii="TT Norms Pro Light"/>
                <w:b w:val="0"/>
                <w:spacing w:val="8"/>
                <w:sz w:val="14"/>
              </w:rPr>
              <w:t> </w:t>
            </w:r>
            <w:r>
              <w:rPr>
                <w:rFonts w:ascii="TT Norms Pro Light"/>
                <w:b w:val="0"/>
                <w:spacing w:val="-10"/>
                <w:sz w:val="14"/>
              </w:rPr>
              <w:t>-</w:t>
            </w:r>
          </w:p>
          <w:p>
            <w:pPr>
              <w:pStyle w:val="TableParagraph"/>
              <w:spacing w:before="36"/>
              <w:ind w:left="56"/>
              <w:rPr>
                <w:rFonts w:ascii="TT Norms Pro Light"/>
                <w:b w:val="0"/>
                <w:sz w:val="14"/>
              </w:rPr>
            </w:pPr>
            <w:r>
              <w:rPr>
                <w:rFonts w:ascii="TT Norms Pro Light"/>
                <w:b w:val="0"/>
                <w:spacing w:val="-2"/>
                <w:sz w:val="14"/>
              </w:rPr>
              <w:t>effectiveness</w:t>
            </w:r>
          </w:p>
        </w:tc>
      </w:tr>
    </w:tbl>
    <w:p>
      <w:pPr>
        <w:pStyle w:val="BodyText"/>
        <w:spacing w:before="46"/>
        <w:rPr>
          <w:b w:val="0"/>
          <w:sz w:val="14"/>
        </w:rPr>
      </w:pPr>
    </w:p>
    <w:p>
      <w:pPr>
        <w:spacing w:line="264" w:lineRule="auto" w:before="0"/>
        <w:ind w:left="210" w:right="1234" w:firstLine="0"/>
        <w:jc w:val="left"/>
        <w:rPr>
          <w:rFonts w:ascii="TT Norms Pro Light"/>
          <w:b w:val="0"/>
          <w:sz w:val="14"/>
        </w:rPr>
      </w:pPr>
      <w:r>
        <w:rPr>
          <w:rFonts w:ascii="TT Norms Pro"/>
          <w:b/>
          <w:sz w:val="14"/>
        </w:rPr>
        <w:t>Data source: </w:t>
      </w:r>
      <w:r>
        <w:rPr>
          <w:rFonts w:ascii="TT Norms Pro Light"/>
          <w:b w:val="0"/>
          <w:sz w:val="14"/>
        </w:rPr>
        <w:t>Commonwealth Government Higher Education Research</w:t>
      </w:r>
      <w:r>
        <w:rPr>
          <w:rFonts w:ascii="TT Norms Pro Light"/>
          <w:b w:val="0"/>
          <w:spacing w:val="40"/>
          <w:sz w:val="14"/>
        </w:rPr>
        <w:t> </w:t>
      </w:r>
      <w:r>
        <w:rPr>
          <w:rFonts w:ascii="TT Norms Pro Light"/>
          <w:b w:val="0"/>
          <w:sz w:val="14"/>
        </w:rPr>
        <w:t>Data Collection for year ending 31 December, with 2019 as the most</w:t>
      </w:r>
      <w:r>
        <w:rPr>
          <w:rFonts w:ascii="TT Norms Pro Light"/>
          <w:b w:val="0"/>
          <w:spacing w:val="80"/>
          <w:sz w:val="14"/>
        </w:rPr>
        <w:t> </w:t>
      </w:r>
      <w:r>
        <w:rPr>
          <w:rFonts w:ascii="TT Norms Pro Light"/>
          <w:b w:val="0"/>
          <w:sz w:val="14"/>
        </w:rPr>
        <w:t>recent data. Academic Staff from Department of Education Table 1.7 (FTE</w:t>
      </w:r>
      <w:r>
        <w:rPr>
          <w:rFonts w:ascii="TT Norms Pro Light"/>
          <w:b w:val="0"/>
          <w:spacing w:val="40"/>
          <w:sz w:val="14"/>
        </w:rPr>
        <w:t> </w:t>
      </w:r>
      <w:r>
        <w:rPr>
          <w:rFonts w:ascii="TT Norms Pro Light"/>
          <w:b w:val="0"/>
          <w:sz w:val="14"/>
        </w:rPr>
        <w:t>for Full-time and Fractional Full-time Staff by State, Higher Education</w:t>
      </w:r>
      <w:r>
        <w:rPr>
          <w:rFonts w:ascii="TT Norms Pro Light"/>
          <w:b w:val="0"/>
          <w:spacing w:val="40"/>
          <w:sz w:val="14"/>
        </w:rPr>
        <w:t> </w:t>
      </w:r>
      <w:r>
        <w:rPr>
          <w:rFonts w:ascii="TT Norms Pro Light"/>
          <w:b w:val="0"/>
          <w:sz w:val="14"/>
        </w:rPr>
        <w:t>Institution, Current Duties Classification and Gender, 2019). Figures in</w:t>
      </w:r>
      <w:r>
        <w:rPr>
          <w:rFonts w:ascii="TT Norms Pro Light"/>
          <w:b w:val="0"/>
          <w:spacing w:val="40"/>
          <w:sz w:val="14"/>
        </w:rPr>
        <w:t> </w:t>
      </w:r>
      <w:r>
        <w:rPr>
          <w:rFonts w:ascii="TT Norms Pro Light"/>
          <w:b w:val="0"/>
          <w:sz w:val="14"/>
        </w:rPr>
        <w:t>millions are rounded to the nearest million.</w:t>
      </w:r>
    </w:p>
    <w:p>
      <w:pPr>
        <w:spacing w:line="264" w:lineRule="auto" w:before="113"/>
        <w:ind w:left="210" w:right="1257" w:firstLine="0"/>
        <w:jc w:val="left"/>
        <w:rPr>
          <w:rFonts w:ascii="TT Norms Pro Light"/>
          <w:b w:val="0"/>
          <w:sz w:val="14"/>
        </w:rPr>
      </w:pPr>
      <w:r>
        <w:rPr>
          <w:rFonts w:ascii="TT Norms Pro"/>
          <w:b/>
          <w:sz w:val="14"/>
        </w:rPr>
        <w:t>Notes: </w:t>
      </w:r>
      <w:r>
        <w:rPr>
          <w:rFonts w:ascii="TT Norms Pro Light"/>
          <w:b w:val="0"/>
          <w:sz w:val="14"/>
        </w:rPr>
        <w:t>This indicator was in the 2019 Annual Report. The Academic Staff</w:t>
      </w:r>
      <w:r>
        <w:rPr>
          <w:rFonts w:ascii="TT Norms Pro Light"/>
          <w:b w:val="0"/>
          <w:spacing w:val="40"/>
          <w:sz w:val="14"/>
        </w:rPr>
        <w:t> </w:t>
      </w:r>
      <w:r>
        <w:rPr>
          <w:rFonts w:ascii="TT Norms Pro Light"/>
          <w:b w:val="0"/>
          <w:sz w:val="14"/>
        </w:rPr>
        <w:t>FTE for Level B or above excluding casuals was used to calculate the</w:t>
      </w:r>
      <w:r>
        <w:rPr>
          <w:rFonts w:ascii="TT Norms Pro Light"/>
          <w:b w:val="0"/>
          <w:spacing w:val="40"/>
          <w:sz w:val="14"/>
        </w:rPr>
        <w:t> </w:t>
      </w:r>
      <w:r>
        <w:rPr>
          <w:rFonts w:ascii="TT Norms Pro Light"/>
          <w:b w:val="0"/>
          <w:sz w:val="14"/>
        </w:rPr>
        <w:t>research income / FTE indicator. 2019 is the most current year available</w:t>
      </w:r>
      <w:r>
        <w:rPr>
          <w:rFonts w:ascii="TT Norms Pro Light"/>
          <w:b w:val="0"/>
          <w:spacing w:val="80"/>
          <w:sz w:val="14"/>
        </w:rPr>
        <w:t> </w:t>
      </w:r>
      <w:r>
        <w:rPr>
          <w:rFonts w:ascii="TT Norms Pro Light"/>
          <w:b w:val="0"/>
          <w:sz w:val="14"/>
        </w:rPr>
        <w:t>for reporting. Individual research income components may not equal the</w:t>
      </w:r>
      <w:r>
        <w:rPr>
          <w:rFonts w:ascii="TT Norms Pro Light"/>
          <w:b w:val="0"/>
          <w:spacing w:val="40"/>
          <w:sz w:val="14"/>
        </w:rPr>
        <w:t> </w:t>
      </w:r>
      <w:r>
        <w:rPr>
          <w:rFonts w:ascii="TT Norms Pro Light"/>
          <w:b w:val="0"/>
          <w:sz w:val="14"/>
        </w:rPr>
        <w:t>total research income due to rounding effects. The UWA share of total</w:t>
      </w:r>
      <w:r>
        <w:rPr>
          <w:rFonts w:ascii="TT Norms Pro Light"/>
          <w:b w:val="0"/>
          <w:spacing w:val="40"/>
          <w:sz w:val="14"/>
        </w:rPr>
        <w:t> </w:t>
      </w:r>
      <w:r>
        <w:rPr>
          <w:rFonts w:ascii="TT Norms Pro Light"/>
          <w:b w:val="0"/>
          <w:sz w:val="14"/>
        </w:rPr>
        <w:t>national research income did not have a target set and is provided as a</w:t>
      </w:r>
      <w:r>
        <w:rPr>
          <w:rFonts w:ascii="TT Norms Pro Light"/>
          <w:b w:val="0"/>
          <w:spacing w:val="40"/>
          <w:sz w:val="14"/>
        </w:rPr>
        <w:t> </w:t>
      </w:r>
      <w:r>
        <w:rPr>
          <w:rFonts w:ascii="TT Norms Pro Light"/>
          <w:b w:val="0"/>
          <w:sz w:val="14"/>
        </w:rPr>
        <w:t>benchmarking metric indicating relative performance within the sector.</w:t>
      </w:r>
    </w:p>
    <w:p>
      <w:pPr>
        <w:spacing w:after="0" w:line="264" w:lineRule="auto"/>
        <w:jc w:val="left"/>
        <w:rPr>
          <w:rFonts w:ascii="TT Norms Pro Light"/>
          <w:sz w:val="14"/>
        </w:rPr>
        <w:sectPr>
          <w:type w:val="continuous"/>
          <w:pgSz w:w="11910" w:h="16840"/>
          <w:pgMar w:header="468" w:footer="0" w:top="980" w:bottom="280" w:left="920" w:right="0"/>
          <w:cols w:num="2" w:equalWidth="0">
            <w:col w:w="4857" w:space="165"/>
            <w:col w:w="5968"/>
          </w:cols>
        </w:sectPr>
      </w:pPr>
    </w:p>
    <w:p>
      <w:pPr>
        <w:pStyle w:val="BodyText"/>
        <w:spacing w:before="15"/>
        <w:rPr>
          <w:b w:val="0"/>
          <w:sz w:val="20"/>
        </w:rPr>
      </w:pPr>
    </w:p>
    <w:p>
      <w:pPr>
        <w:spacing w:after="0"/>
        <w:rPr>
          <w:sz w:val="20"/>
        </w:rPr>
        <w:sectPr>
          <w:pgSz w:w="11910" w:h="16840"/>
          <w:pgMar w:header="468" w:footer="0" w:top="720" w:bottom="280" w:left="920" w:right="0"/>
        </w:sectPr>
      </w:pPr>
    </w:p>
    <w:p>
      <w:pPr>
        <w:pStyle w:val="Heading9"/>
        <w:numPr>
          <w:ilvl w:val="1"/>
          <w:numId w:val="10"/>
        </w:numPr>
        <w:tabs>
          <w:tab w:pos="606" w:val="left" w:leader="none"/>
        </w:tabs>
        <w:spacing w:line="240" w:lineRule="auto" w:before="129" w:after="0"/>
        <w:ind w:left="606" w:right="0" w:hanging="393"/>
        <w:jc w:val="left"/>
      </w:pPr>
      <w:r>
        <w:rPr/>
        <w:t>RANKING</w:t>
      </w:r>
      <w:r>
        <w:rPr>
          <w:spacing w:val="24"/>
        </w:rPr>
        <w:t> </w:t>
      </w:r>
      <w:r>
        <w:rPr>
          <w:spacing w:val="-2"/>
        </w:rPr>
        <w:t>PERFORMANCE</w:t>
      </w:r>
    </w:p>
    <w:p>
      <w:pPr>
        <w:pStyle w:val="BodyText"/>
        <w:spacing w:line="295" w:lineRule="auto" w:before="154"/>
        <w:ind w:left="213" w:right="81"/>
        <w:rPr>
          <w:b w:val="0"/>
        </w:rPr>
      </w:pPr>
      <w:r>
        <w:rPr>
          <w:b w:val="0"/>
        </w:rPr>
        <w:t>UWA is among the top global institutions and this</w:t>
      </w:r>
      <w:r>
        <w:rPr>
          <w:b w:val="0"/>
          <w:spacing w:val="40"/>
        </w:rPr>
        <w:t> </w:t>
      </w:r>
      <w:r>
        <w:rPr>
          <w:b w:val="0"/>
        </w:rPr>
        <w:t>indicator evidences our performance. To provide a robust</w:t>
      </w:r>
      <w:r>
        <w:rPr>
          <w:b w:val="0"/>
          <w:spacing w:val="40"/>
        </w:rPr>
        <w:t> </w:t>
      </w:r>
      <w:r>
        <w:rPr>
          <w:b w:val="0"/>
        </w:rPr>
        <w:t>reflection of the University's comparative performance,</w:t>
      </w:r>
      <w:r>
        <w:rPr>
          <w:b w:val="0"/>
          <w:spacing w:val="40"/>
        </w:rPr>
        <w:t> </w:t>
      </w:r>
      <w:r>
        <w:rPr>
          <w:b w:val="0"/>
        </w:rPr>
        <w:t>UWA's international ranking is measured using the three</w:t>
      </w:r>
      <w:r>
        <w:rPr>
          <w:b w:val="0"/>
          <w:spacing w:val="40"/>
        </w:rPr>
        <w:t> </w:t>
      </w:r>
      <w:r>
        <w:rPr>
          <w:b w:val="0"/>
        </w:rPr>
        <w:t>most influential international rankings instruments:</w:t>
      </w:r>
    </w:p>
    <w:p>
      <w:pPr>
        <w:pStyle w:val="ListParagraph"/>
        <w:numPr>
          <w:ilvl w:val="2"/>
          <w:numId w:val="10"/>
        </w:numPr>
        <w:tabs>
          <w:tab w:pos="440" w:val="left" w:leader="none"/>
        </w:tabs>
        <w:spacing w:line="295" w:lineRule="auto" w:before="117" w:after="0"/>
        <w:ind w:left="440" w:right="404" w:hanging="227"/>
        <w:jc w:val="left"/>
        <w:rPr>
          <w:rFonts w:ascii="TT Norms Pro Light" w:hAnsi="TT Norms Pro Light"/>
          <w:b w:val="0"/>
          <w:sz w:val="18"/>
        </w:rPr>
      </w:pPr>
      <w:r>
        <w:rPr>
          <w:rFonts w:ascii="TT Norms Pro Light" w:hAnsi="TT Norms Pro Light"/>
          <w:b w:val="0"/>
          <w:sz w:val="18"/>
        </w:rPr>
        <w:t>Shanghai Jiao Tong Academic Ranking of World</w:t>
      </w:r>
      <w:r>
        <w:rPr>
          <w:rFonts w:ascii="TT Norms Pro Light" w:hAnsi="TT Norms Pro Light"/>
          <w:b w:val="0"/>
          <w:spacing w:val="40"/>
          <w:sz w:val="18"/>
        </w:rPr>
        <w:t> </w:t>
      </w:r>
      <w:r>
        <w:rPr>
          <w:rFonts w:ascii="TT Norms Pro Light" w:hAnsi="TT Norms Pro Light"/>
          <w:b w:val="0"/>
          <w:sz w:val="18"/>
        </w:rPr>
        <w:t>Universities</w:t>
      </w:r>
      <w:r>
        <w:rPr>
          <w:rFonts w:ascii="TT Norms Pro Light" w:hAnsi="TT Norms Pro Light"/>
          <w:b w:val="0"/>
          <w:spacing w:val="-8"/>
          <w:sz w:val="18"/>
        </w:rPr>
        <w:t> </w:t>
      </w:r>
      <w:r>
        <w:rPr>
          <w:rFonts w:ascii="TT Norms Pro Light" w:hAnsi="TT Norms Pro Light"/>
          <w:b w:val="0"/>
          <w:sz w:val="18"/>
        </w:rPr>
        <w:t>(ARWU)</w:t>
      </w:r>
      <w:r>
        <w:rPr>
          <w:rFonts w:ascii="TT Norms Pro Light" w:hAnsi="TT Norms Pro Light"/>
          <w:b w:val="0"/>
          <w:spacing w:val="-8"/>
          <w:sz w:val="18"/>
        </w:rPr>
        <w:t> </w:t>
      </w:r>
      <w:r>
        <w:rPr>
          <w:rFonts w:ascii="TT Norms Pro Light" w:hAnsi="TT Norms Pro Light"/>
          <w:b w:val="0"/>
          <w:sz w:val="18"/>
        </w:rPr>
        <w:t>–</w:t>
      </w:r>
      <w:r>
        <w:rPr>
          <w:rFonts w:ascii="TT Norms Pro Light" w:hAnsi="TT Norms Pro Light"/>
          <w:b w:val="0"/>
          <w:spacing w:val="-8"/>
          <w:sz w:val="18"/>
        </w:rPr>
        <w:t> </w:t>
      </w:r>
      <w:r>
        <w:rPr>
          <w:rFonts w:ascii="TT Norms Pro Light" w:hAnsi="TT Norms Pro Light"/>
          <w:b w:val="0"/>
          <w:sz w:val="18"/>
        </w:rPr>
        <w:t>based</w:t>
      </w:r>
      <w:r>
        <w:rPr>
          <w:rFonts w:ascii="TT Norms Pro Light" w:hAnsi="TT Norms Pro Light"/>
          <w:b w:val="0"/>
          <w:spacing w:val="-8"/>
          <w:sz w:val="18"/>
        </w:rPr>
        <w:t> </w:t>
      </w:r>
      <w:r>
        <w:rPr>
          <w:rFonts w:ascii="TT Norms Pro Light" w:hAnsi="TT Norms Pro Light"/>
          <w:b w:val="0"/>
          <w:sz w:val="18"/>
        </w:rPr>
        <w:t>on</w:t>
      </w:r>
      <w:r>
        <w:rPr>
          <w:rFonts w:ascii="TT Norms Pro Light" w:hAnsi="TT Norms Pro Light"/>
          <w:b w:val="0"/>
          <w:spacing w:val="-8"/>
          <w:sz w:val="18"/>
        </w:rPr>
        <w:t> </w:t>
      </w:r>
      <w:r>
        <w:rPr>
          <w:rFonts w:ascii="TT Norms Pro Light" w:hAnsi="TT Norms Pro Light"/>
          <w:b w:val="0"/>
          <w:sz w:val="18"/>
        </w:rPr>
        <w:t>research</w:t>
      </w:r>
      <w:r>
        <w:rPr>
          <w:rFonts w:ascii="TT Norms Pro Light" w:hAnsi="TT Norms Pro Light"/>
          <w:b w:val="0"/>
          <w:spacing w:val="-8"/>
          <w:sz w:val="18"/>
        </w:rPr>
        <w:t> </w:t>
      </w:r>
      <w:r>
        <w:rPr>
          <w:rFonts w:ascii="TT Norms Pro Light" w:hAnsi="TT Norms Pro Light"/>
          <w:b w:val="0"/>
          <w:sz w:val="18"/>
        </w:rPr>
        <w:t>measures</w:t>
      </w:r>
    </w:p>
    <w:p>
      <w:pPr>
        <w:pStyle w:val="ListParagraph"/>
        <w:numPr>
          <w:ilvl w:val="2"/>
          <w:numId w:val="10"/>
        </w:numPr>
        <w:tabs>
          <w:tab w:pos="440" w:val="left" w:leader="none"/>
        </w:tabs>
        <w:spacing w:line="295" w:lineRule="auto" w:before="59" w:after="0"/>
        <w:ind w:left="440" w:right="97" w:hanging="227"/>
        <w:jc w:val="left"/>
        <w:rPr>
          <w:rFonts w:ascii="TT Norms Pro Light" w:hAnsi="TT Norms Pro Light"/>
          <w:b w:val="0"/>
          <w:sz w:val="18"/>
        </w:rPr>
      </w:pPr>
      <w:r>
        <w:rPr>
          <w:rFonts w:ascii="TT Norms Pro Light" w:hAnsi="TT Norms Pro Light"/>
          <w:b w:val="0"/>
          <w:sz w:val="18"/>
        </w:rPr>
        <w:t>Quacquarelli</w:t>
      </w:r>
      <w:r>
        <w:rPr>
          <w:rFonts w:ascii="TT Norms Pro Light" w:hAnsi="TT Norms Pro Light"/>
          <w:b w:val="0"/>
          <w:spacing w:val="-9"/>
          <w:sz w:val="18"/>
        </w:rPr>
        <w:t> </w:t>
      </w:r>
      <w:r>
        <w:rPr>
          <w:rFonts w:ascii="TT Norms Pro Light" w:hAnsi="TT Norms Pro Light"/>
          <w:b w:val="0"/>
          <w:sz w:val="18"/>
        </w:rPr>
        <w:t>Symonds</w:t>
      </w:r>
      <w:r>
        <w:rPr>
          <w:rFonts w:ascii="TT Norms Pro Light" w:hAnsi="TT Norms Pro Light"/>
          <w:b w:val="0"/>
          <w:spacing w:val="-9"/>
          <w:sz w:val="18"/>
        </w:rPr>
        <w:t> </w:t>
      </w:r>
      <w:r>
        <w:rPr>
          <w:rFonts w:ascii="TT Norms Pro Light" w:hAnsi="TT Norms Pro Light"/>
          <w:b w:val="0"/>
          <w:sz w:val="18"/>
        </w:rPr>
        <w:t>(QS)</w:t>
      </w:r>
      <w:r>
        <w:rPr>
          <w:rFonts w:ascii="TT Norms Pro Light" w:hAnsi="TT Norms Pro Light"/>
          <w:b w:val="0"/>
          <w:spacing w:val="-9"/>
          <w:sz w:val="18"/>
        </w:rPr>
        <w:t> </w:t>
      </w:r>
      <w:r>
        <w:rPr>
          <w:rFonts w:ascii="TT Norms Pro Light" w:hAnsi="TT Norms Pro Light"/>
          <w:b w:val="0"/>
          <w:sz w:val="18"/>
        </w:rPr>
        <w:t>World</w:t>
      </w:r>
      <w:r>
        <w:rPr>
          <w:rFonts w:ascii="TT Norms Pro Light" w:hAnsi="TT Norms Pro Light"/>
          <w:b w:val="0"/>
          <w:spacing w:val="-9"/>
          <w:sz w:val="18"/>
        </w:rPr>
        <w:t> </w:t>
      </w:r>
      <w:r>
        <w:rPr>
          <w:rFonts w:ascii="TT Norms Pro Light" w:hAnsi="TT Norms Pro Light"/>
          <w:b w:val="0"/>
          <w:sz w:val="18"/>
        </w:rPr>
        <w:t>University</w:t>
      </w:r>
      <w:r>
        <w:rPr>
          <w:rFonts w:ascii="TT Norms Pro Light" w:hAnsi="TT Norms Pro Light"/>
          <w:b w:val="0"/>
          <w:spacing w:val="-9"/>
          <w:sz w:val="18"/>
        </w:rPr>
        <w:t> </w:t>
      </w:r>
      <w:r>
        <w:rPr>
          <w:rFonts w:ascii="TT Norms Pro Light" w:hAnsi="TT Norms Pro Light"/>
          <w:b w:val="0"/>
          <w:sz w:val="18"/>
        </w:rPr>
        <w:t>Ranking</w:t>
      </w:r>
      <w:r>
        <w:rPr>
          <w:rFonts w:ascii="TT Norms Pro Light" w:hAnsi="TT Norms Pro Light"/>
          <w:b w:val="0"/>
          <w:spacing w:val="-9"/>
          <w:sz w:val="18"/>
        </w:rPr>
        <w:t> </w:t>
      </w:r>
      <w:r>
        <w:rPr>
          <w:rFonts w:ascii="TT Norms Pro Light" w:hAnsi="TT Norms Pro Light"/>
          <w:b w:val="0"/>
          <w:sz w:val="18"/>
        </w:rPr>
        <w:t>–</w:t>
      </w:r>
      <w:r>
        <w:rPr>
          <w:rFonts w:ascii="TT Norms Pro Light" w:hAnsi="TT Norms Pro Light"/>
          <w:b w:val="0"/>
          <w:spacing w:val="40"/>
          <w:sz w:val="18"/>
        </w:rPr>
        <w:t> </w:t>
      </w:r>
      <w:r>
        <w:rPr>
          <w:rFonts w:ascii="TT Norms Pro Light" w:hAnsi="TT Norms Pro Light"/>
          <w:b w:val="0"/>
          <w:sz w:val="18"/>
        </w:rPr>
        <w:t>based on research measures, reputation measures, the</w:t>
      </w:r>
      <w:r>
        <w:rPr>
          <w:rFonts w:ascii="TT Norms Pro Light" w:hAnsi="TT Norms Pro Light"/>
          <w:b w:val="0"/>
          <w:spacing w:val="40"/>
          <w:sz w:val="18"/>
        </w:rPr>
        <w:t> </w:t>
      </w:r>
      <w:r>
        <w:rPr>
          <w:rFonts w:ascii="TT Norms Pro Light" w:hAnsi="TT Norms Pro Light"/>
          <w:b w:val="0"/>
          <w:sz w:val="18"/>
        </w:rPr>
        <w:t>mix of international staff and students and the staff to</w:t>
      </w:r>
      <w:r>
        <w:rPr>
          <w:rFonts w:ascii="TT Norms Pro Light" w:hAnsi="TT Norms Pro Light"/>
          <w:b w:val="0"/>
          <w:spacing w:val="40"/>
          <w:sz w:val="18"/>
        </w:rPr>
        <w:t> </w:t>
      </w:r>
      <w:r>
        <w:rPr>
          <w:rFonts w:ascii="TT Norms Pro Light" w:hAnsi="TT Norms Pro Light"/>
          <w:b w:val="0"/>
          <w:sz w:val="18"/>
        </w:rPr>
        <w:t>student</w:t>
      </w:r>
      <w:r>
        <w:rPr>
          <w:rFonts w:ascii="TT Norms Pro Light" w:hAnsi="TT Norms Pro Light"/>
          <w:b w:val="0"/>
          <w:spacing w:val="-5"/>
          <w:sz w:val="18"/>
        </w:rPr>
        <w:t> </w:t>
      </w:r>
      <w:r>
        <w:rPr>
          <w:rFonts w:ascii="TT Norms Pro Light" w:hAnsi="TT Norms Pro Light"/>
          <w:b w:val="0"/>
          <w:sz w:val="18"/>
        </w:rPr>
        <w:t>ratio</w:t>
      </w:r>
    </w:p>
    <w:p>
      <w:pPr>
        <w:pStyle w:val="ListParagraph"/>
        <w:numPr>
          <w:ilvl w:val="2"/>
          <w:numId w:val="10"/>
        </w:numPr>
        <w:tabs>
          <w:tab w:pos="413" w:val="left" w:leader="none"/>
        </w:tabs>
        <w:spacing w:line="295" w:lineRule="auto" w:before="60" w:after="0"/>
        <w:ind w:left="413" w:right="38" w:hanging="200"/>
        <w:jc w:val="left"/>
        <w:rPr>
          <w:rFonts w:ascii="TT Norms Pro Light" w:hAnsi="TT Norms Pro Light"/>
          <w:b w:val="0"/>
          <w:sz w:val="18"/>
        </w:rPr>
      </w:pPr>
      <w:r>
        <w:rPr>
          <w:rFonts w:ascii="TT Norms Pro Light" w:hAnsi="TT Norms Pro Light"/>
          <w:b w:val="0"/>
          <w:sz w:val="18"/>
        </w:rPr>
        <w:t>Times</w:t>
      </w:r>
      <w:r>
        <w:rPr>
          <w:rFonts w:ascii="TT Norms Pro Light" w:hAnsi="TT Norms Pro Light"/>
          <w:b w:val="0"/>
          <w:spacing w:val="-9"/>
          <w:sz w:val="18"/>
        </w:rPr>
        <w:t> </w:t>
      </w:r>
      <w:r>
        <w:rPr>
          <w:rFonts w:ascii="TT Norms Pro Light" w:hAnsi="TT Norms Pro Light"/>
          <w:b w:val="0"/>
          <w:sz w:val="18"/>
        </w:rPr>
        <w:t>Higher</w:t>
      </w:r>
      <w:r>
        <w:rPr>
          <w:rFonts w:ascii="TT Norms Pro Light" w:hAnsi="TT Norms Pro Light"/>
          <w:b w:val="0"/>
          <w:spacing w:val="-9"/>
          <w:sz w:val="18"/>
        </w:rPr>
        <w:t> </w:t>
      </w:r>
      <w:r>
        <w:rPr>
          <w:rFonts w:ascii="TT Norms Pro Light" w:hAnsi="TT Norms Pro Light"/>
          <w:b w:val="0"/>
          <w:sz w:val="18"/>
        </w:rPr>
        <w:t>Education</w:t>
      </w:r>
      <w:r>
        <w:rPr>
          <w:rFonts w:ascii="TT Norms Pro Light" w:hAnsi="TT Norms Pro Light"/>
          <w:b w:val="0"/>
          <w:spacing w:val="-9"/>
          <w:sz w:val="18"/>
        </w:rPr>
        <w:t> </w:t>
      </w:r>
      <w:r>
        <w:rPr>
          <w:rFonts w:ascii="TT Norms Pro Light" w:hAnsi="TT Norms Pro Light"/>
          <w:b w:val="0"/>
          <w:sz w:val="18"/>
        </w:rPr>
        <w:t>(THE)</w:t>
      </w:r>
      <w:r>
        <w:rPr>
          <w:rFonts w:ascii="TT Norms Pro Light" w:hAnsi="TT Norms Pro Light"/>
          <w:b w:val="0"/>
          <w:spacing w:val="-9"/>
          <w:sz w:val="18"/>
        </w:rPr>
        <w:t> </w:t>
      </w:r>
      <w:r>
        <w:rPr>
          <w:rFonts w:ascii="TT Norms Pro Light" w:hAnsi="TT Norms Pro Light"/>
          <w:b w:val="0"/>
          <w:sz w:val="18"/>
        </w:rPr>
        <w:t>World</w:t>
      </w:r>
      <w:r>
        <w:rPr>
          <w:rFonts w:ascii="TT Norms Pro Light" w:hAnsi="TT Norms Pro Light"/>
          <w:b w:val="0"/>
          <w:spacing w:val="-9"/>
          <w:sz w:val="18"/>
        </w:rPr>
        <w:t> </w:t>
      </w:r>
      <w:r>
        <w:rPr>
          <w:rFonts w:ascii="TT Norms Pro Light" w:hAnsi="TT Norms Pro Light"/>
          <w:b w:val="0"/>
          <w:sz w:val="18"/>
        </w:rPr>
        <w:t>University</w:t>
      </w:r>
      <w:r>
        <w:rPr>
          <w:rFonts w:ascii="TT Norms Pro Light" w:hAnsi="TT Norms Pro Light"/>
          <w:b w:val="0"/>
          <w:spacing w:val="-9"/>
          <w:sz w:val="18"/>
        </w:rPr>
        <w:t> </w:t>
      </w:r>
      <w:r>
        <w:rPr>
          <w:rFonts w:ascii="TT Norms Pro Light" w:hAnsi="TT Norms Pro Light"/>
          <w:b w:val="0"/>
          <w:sz w:val="18"/>
        </w:rPr>
        <w:t>Ranking</w:t>
      </w:r>
      <w:r>
        <w:rPr>
          <w:rFonts w:ascii="TT Norms Pro Light" w:hAnsi="TT Norms Pro Light"/>
          <w:b w:val="0"/>
          <w:spacing w:val="40"/>
          <w:sz w:val="18"/>
        </w:rPr>
        <w:t> </w:t>
      </w:r>
      <w:r>
        <w:rPr>
          <w:rFonts w:ascii="TT Norms Pro Light" w:hAnsi="TT Norms Pro Light"/>
          <w:b w:val="0"/>
          <w:sz w:val="18"/>
        </w:rPr>
        <w:t>– based on research measures, a teaching score and an</w:t>
      </w:r>
      <w:r>
        <w:rPr>
          <w:rFonts w:ascii="TT Norms Pro Light" w:hAnsi="TT Norms Pro Light"/>
          <w:b w:val="0"/>
          <w:spacing w:val="40"/>
          <w:sz w:val="18"/>
        </w:rPr>
        <w:t> </w:t>
      </w:r>
      <w:r>
        <w:rPr>
          <w:rFonts w:ascii="TT Norms Pro Light" w:hAnsi="TT Norms Pro Light"/>
          <w:b w:val="0"/>
          <w:sz w:val="18"/>
        </w:rPr>
        <w:t>international mix component.</w:t>
      </w:r>
    </w:p>
    <w:p>
      <w:pPr>
        <w:pStyle w:val="BodyText"/>
        <w:spacing w:before="19"/>
        <w:rPr>
          <w:b w:val="0"/>
        </w:rPr>
      </w:pPr>
    </w:p>
    <w:p>
      <w:pPr>
        <w:pStyle w:val="BodyText"/>
        <w:spacing w:line="295" w:lineRule="auto"/>
        <w:ind w:left="213" w:right="53"/>
        <w:rPr>
          <w:b w:val="0"/>
        </w:rPr>
      </w:pPr>
      <w:r>
        <w:rPr>
          <w:b w:val="0"/>
        </w:rPr>
        <w:t>The 2020 ARWU result includes the 2018 Fields Medal</w:t>
      </w:r>
      <w:r>
        <w:rPr>
          <w:b w:val="0"/>
          <w:spacing w:val="40"/>
        </w:rPr>
        <w:t> </w:t>
      </w:r>
      <w:r>
        <w:rPr>
          <w:b w:val="0"/>
        </w:rPr>
        <w:t>awarded to alumni Akshay Venkatesh which has notably</w:t>
      </w:r>
      <w:r>
        <w:rPr>
          <w:b w:val="0"/>
          <w:spacing w:val="40"/>
        </w:rPr>
        <w:t> </w:t>
      </w:r>
      <w:r>
        <w:rPr>
          <w:b w:val="0"/>
        </w:rPr>
        <w:t>improved the University’s ranking result. Both the QS and</w:t>
      </w:r>
      <w:r>
        <w:rPr>
          <w:b w:val="0"/>
          <w:spacing w:val="40"/>
        </w:rPr>
        <w:t> </w:t>
      </w:r>
      <w:r>
        <w:rPr>
          <w:b w:val="0"/>
        </w:rPr>
        <w:t>THE rankings are influenced by reputational factors which</w:t>
      </w:r>
      <w:r>
        <w:rPr>
          <w:b w:val="0"/>
          <w:spacing w:val="40"/>
        </w:rPr>
        <w:t> </w:t>
      </w:r>
      <w:r>
        <w:rPr>
          <w:b w:val="0"/>
        </w:rPr>
        <w:t>were weaker than expected among academic sources,</w:t>
      </w:r>
      <w:r>
        <w:rPr>
          <w:b w:val="0"/>
          <w:spacing w:val="40"/>
        </w:rPr>
        <w:t> </w:t>
      </w:r>
      <w:r>
        <w:rPr>
          <w:b w:val="0"/>
        </w:rPr>
        <w:t>although QS ranking remains within our target range. The</w:t>
      </w:r>
      <w:r>
        <w:rPr>
          <w:b w:val="0"/>
          <w:spacing w:val="40"/>
        </w:rPr>
        <w:t> </w:t>
      </w:r>
      <w:r>
        <w:rPr>
          <w:b w:val="0"/>
        </w:rPr>
        <w:t>University is focusing on maintaining its existing ranking</w:t>
      </w:r>
      <w:r>
        <w:rPr>
          <w:b w:val="0"/>
          <w:spacing w:val="40"/>
        </w:rPr>
        <w:t> </w:t>
      </w:r>
      <w:r>
        <w:rPr>
          <w:b w:val="0"/>
        </w:rPr>
        <w:t>performance</w:t>
      </w:r>
      <w:r>
        <w:rPr>
          <w:b w:val="0"/>
          <w:spacing w:val="-2"/>
        </w:rPr>
        <w:t> </w:t>
      </w:r>
      <w:r>
        <w:rPr>
          <w:b w:val="0"/>
        </w:rPr>
        <w:t>as</w:t>
      </w:r>
      <w:r>
        <w:rPr>
          <w:b w:val="0"/>
          <w:spacing w:val="-2"/>
        </w:rPr>
        <w:t> </w:t>
      </w:r>
      <w:r>
        <w:rPr>
          <w:b w:val="0"/>
        </w:rPr>
        <w:t>a</w:t>
      </w:r>
      <w:r>
        <w:rPr>
          <w:b w:val="0"/>
          <w:spacing w:val="-2"/>
        </w:rPr>
        <w:t> </w:t>
      </w:r>
      <w:r>
        <w:rPr>
          <w:b w:val="0"/>
        </w:rPr>
        <w:t>top</w:t>
      </w:r>
      <w:r>
        <w:rPr>
          <w:b w:val="0"/>
          <w:spacing w:val="-2"/>
        </w:rPr>
        <w:t> </w:t>
      </w:r>
      <w:r>
        <w:rPr>
          <w:b w:val="0"/>
        </w:rPr>
        <w:t>100</w:t>
      </w:r>
      <w:r>
        <w:rPr>
          <w:b w:val="0"/>
          <w:spacing w:val="-2"/>
        </w:rPr>
        <w:t> </w:t>
      </w:r>
      <w:r>
        <w:rPr>
          <w:b w:val="0"/>
        </w:rPr>
        <w:t>institution</w:t>
      </w:r>
      <w:r>
        <w:rPr>
          <w:b w:val="0"/>
          <w:spacing w:val="-2"/>
        </w:rPr>
        <w:t> </w:t>
      </w:r>
      <w:r>
        <w:rPr>
          <w:b w:val="0"/>
        </w:rPr>
        <w:t>within</w:t>
      </w:r>
      <w:r>
        <w:rPr>
          <w:b w:val="0"/>
          <w:spacing w:val="-2"/>
        </w:rPr>
        <w:t> </w:t>
      </w:r>
      <w:r>
        <w:rPr>
          <w:b w:val="0"/>
        </w:rPr>
        <w:t>ARWU</w:t>
      </w:r>
      <w:r>
        <w:rPr>
          <w:b w:val="0"/>
          <w:spacing w:val="-2"/>
        </w:rPr>
        <w:t> </w:t>
      </w:r>
      <w:r>
        <w:rPr>
          <w:b w:val="0"/>
        </w:rPr>
        <w:t>and</w:t>
      </w:r>
      <w:r>
        <w:rPr>
          <w:b w:val="0"/>
          <w:spacing w:val="-2"/>
        </w:rPr>
        <w:t> </w:t>
      </w:r>
      <w:r>
        <w:rPr>
          <w:b w:val="0"/>
        </w:rPr>
        <w:t>QS</w:t>
      </w:r>
      <w:r>
        <w:rPr>
          <w:b w:val="0"/>
          <w:spacing w:val="40"/>
        </w:rPr>
        <w:t> </w:t>
      </w:r>
      <w:r>
        <w:rPr>
          <w:b w:val="0"/>
        </w:rPr>
        <w:t>rankings despite current exceptional circumstances</w:t>
      </w:r>
      <w:r>
        <w:rPr>
          <w:b w:val="0"/>
          <w:spacing w:val="40"/>
        </w:rPr>
        <w:t> </w:t>
      </w:r>
      <w:r>
        <w:rPr>
          <w:b w:val="0"/>
        </w:rPr>
        <w:t>around the world.</w:t>
      </w:r>
    </w:p>
    <w:p>
      <w:pPr>
        <w:pStyle w:val="BodyText"/>
        <w:spacing w:before="53"/>
        <w:rPr>
          <w:b w:val="0"/>
        </w:rPr>
      </w:pPr>
    </w:p>
    <w:p>
      <w:pPr>
        <w:spacing w:before="0"/>
        <w:ind w:left="213" w:right="0" w:firstLine="0"/>
        <w:jc w:val="left"/>
        <w:rPr>
          <w:rFonts w:ascii="TT Norms Pro"/>
          <w:b/>
          <w:sz w:val="18"/>
        </w:rPr>
      </w:pPr>
      <w:r>
        <w:rPr/>
        <mc:AlternateContent>
          <mc:Choice Requires="wps">
            <w:drawing>
              <wp:anchor distT="0" distB="0" distL="0" distR="0" allowOverlap="1" layoutInCell="1" locked="0" behindDoc="0" simplePos="0" relativeHeight="15851008">
                <wp:simplePos x="0" y="0"/>
                <wp:positionH relativeFrom="page">
                  <wp:posOffset>719999</wp:posOffset>
                </wp:positionH>
                <wp:positionV relativeFrom="paragraph">
                  <wp:posOffset>160938</wp:posOffset>
                </wp:positionV>
                <wp:extent cx="2929890" cy="490855"/>
                <wp:effectExtent l="0" t="0" r="0" b="0"/>
                <wp:wrapNone/>
                <wp:docPr id="718" name="Group 718"/>
                <wp:cNvGraphicFramePr>
                  <a:graphicFrameLocks/>
                </wp:cNvGraphicFramePr>
                <a:graphic>
                  <a:graphicData uri="http://schemas.microsoft.com/office/word/2010/wordprocessingGroup">
                    <wpg:wgp>
                      <wpg:cNvPr id="718" name="Group 718"/>
                      <wpg:cNvGrpSpPr/>
                      <wpg:grpSpPr>
                        <a:xfrm>
                          <a:off x="0" y="0"/>
                          <a:ext cx="2929890" cy="490855"/>
                          <a:chExt cx="2929890" cy="490855"/>
                        </a:xfrm>
                      </wpg:grpSpPr>
                      <wps:wsp>
                        <wps:cNvPr id="719" name="Graphic 719"/>
                        <wps:cNvSpPr/>
                        <wps:spPr>
                          <a:xfrm>
                            <a:off x="1" y="310509"/>
                            <a:ext cx="2929890" cy="180340"/>
                          </a:xfrm>
                          <a:custGeom>
                            <a:avLst/>
                            <a:gdLst/>
                            <a:ahLst/>
                            <a:cxnLst/>
                            <a:rect l="l" t="t" r="r" b="b"/>
                            <a:pathLst>
                              <a:path w="2929890" h="180340">
                                <a:moveTo>
                                  <a:pt x="2929877" y="0"/>
                                </a:moveTo>
                                <a:lnTo>
                                  <a:pt x="2929877" y="0"/>
                                </a:lnTo>
                                <a:lnTo>
                                  <a:pt x="0" y="0"/>
                                </a:lnTo>
                                <a:lnTo>
                                  <a:pt x="0" y="179997"/>
                                </a:lnTo>
                                <a:lnTo>
                                  <a:pt x="2929877" y="179997"/>
                                </a:lnTo>
                                <a:lnTo>
                                  <a:pt x="2929877" y="0"/>
                                </a:lnTo>
                                <a:close/>
                              </a:path>
                            </a:pathLst>
                          </a:custGeom>
                          <a:solidFill>
                            <a:srgbClr val="E6E7E8"/>
                          </a:solidFill>
                        </wps:spPr>
                        <wps:bodyPr wrap="square" lIns="0" tIns="0" rIns="0" bIns="0" rtlCol="0">
                          <a:prstTxWarp prst="textNoShape">
                            <a:avLst/>
                          </a:prstTxWarp>
                          <a:noAutofit/>
                        </wps:bodyPr>
                      </wps:wsp>
                      <wps:wsp>
                        <wps:cNvPr id="720" name="Graphic 720"/>
                        <wps:cNvSpPr/>
                        <wps:spPr>
                          <a:xfrm>
                            <a:off x="0" y="6350"/>
                            <a:ext cx="419734" cy="1270"/>
                          </a:xfrm>
                          <a:custGeom>
                            <a:avLst/>
                            <a:gdLst/>
                            <a:ahLst/>
                            <a:cxnLst/>
                            <a:rect l="l" t="t" r="r" b="b"/>
                            <a:pathLst>
                              <a:path w="419734" h="0">
                                <a:moveTo>
                                  <a:pt x="0" y="0"/>
                                </a:moveTo>
                                <a:lnTo>
                                  <a:pt x="419138" y="0"/>
                                </a:lnTo>
                              </a:path>
                            </a:pathLst>
                          </a:custGeom>
                          <a:ln w="12700">
                            <a:solidFill>
                              <a:srgbClr val="000000"/>
                            </a:solidFill>
                            <a:prstDash val="solid"/>
                          </a:ln>
                        </wps:spPr>
                        <wps:bodyPr wrap="square" lIns="0" tIns="0" rIns="0" bIns="0" rtlCol="0">
                          <a:prstTxWarp prst="textNoShape">
                            <a:avLst/>
                          </a:prstTxWarp>
                          <a:noAutofit/>
                        </wps:bodyPr>
                      </wps:wsp>
                      <wps:wsp>
                        <wps:cNvPr id="721" name="Graphic 721"/>
                        <wps:cNvSpPr/>
                        <wps:spPr>
                          <a:xfrm>
                            <a:off x="419143" y="6350"/>
                            <a:ext cx="392430" cy="1270"/>
                          </a:xfrm>
                          <a:custGeom>
                            <a:avLst/>
                            <a:gdLst/>
                            <a:ahLst/>
                            <a:cxnLst/>
                            <a:rect l="l" t="t" r="r" b="b"/>
                            <a:pathLst>
                              <a:path w="392430" h="0">
                                <a:moveTo>
                                  <a:pt x="0" y="0"/>
                                </a:moveTo>
                                <a:lnTo>
                                  <a:pt x="392404" y="0"/>
                                </a:lnTo>
                              </a:path>
                            </a:pathLst>
                          </a:custGeom>
                          <a:ln w="12700">
                            <a:solidFill>
                              <a:srgbClr val="000000"/>
                            </a:solidFill>
                            <a:prstDash val="solid"/>
                          </a:ln>
                        </wps:spPr>
                        <wps:bodyPr wrap="square" lIns="0" tIns="0" rIns="0" bIns="0" rtlCol="0">
                          <a:prstTxWarp prst="textNoShape">
                            <a:avLst/>
                          </a:prstTxWarp>
                          <a:noAutofit/>
                        </wps:bodyPr>
                      </wps:wsp>
                      <wps:wsp>
                        <wps:cNvPr id="722" name="Graphic 722"/>
                        <wps:cNvSpPr/>
                        <wps:spPr>
                          <a:xfrm>
                            <a:off x="811542" y="6350"/>
                            <a:ext cx="392430" cy="1270"/>
                          </a:xfrm>
                          <a:custGeom>
                            <a:avLst/>
                            <a:gdLst/>
                            <a:ahLst/>
                            <a:cxnLst/>
                            <a:rect l="l" t="t" r="r" b="b"/>
                            <a:pathLst>
                              <a:path w="392430" h="0">
                                <a:moveTo>
                                  <a:pt x="0" y="0"/>
                                </a:moveTo>
                                <a:lnTo>
                                  <a:pt x="392404" y="0"/>
                                </a:lnTo>
                              </a:path>
                            </a:pathLst>
                          </a:custGeom>
                          <a:ln w="12700">
                            <a:solidFill>
                              <a:srgbClr val="000000"/>
                            </a:solidFill>
                            <a:prstDash val="solid"/>
                          </a:ln>
                        </wps:spPr>
                        <wps:bodyPr wrap="square" lIns="0" tIns="0" rIns="0" bIns="0" rtlCol="0">
                          <a:prstTxWarp prst="textNoShape">
                            <a:avLst/>
                          </a:prstTxWarp>
                          <a:noAutofit/>
                        </wps:bodyPr>
                      </wps:wsp>
                      <wps:wsp>
                        <wps:cNvPr id="723" name="Graphic 723"/>
                        <wps:cNvSpPr/>
                        <wps:spPr>
                          <a:xfrm>
                            <a:off x="1203943" y="6350"/>
                            <a:ext cx="392430" cy="1270"/>
                          </a:xfrm>
                          <a:custGeom>
                            <a:avLst/>
                            <a:gdLst/>
                            <a:ahLst/>
                            <a:cxnLst/>
                            <a:rect l="l" t="t" r="r" b="b"/>
                            <a:pathLst>
                              <a:path w="392430" h="0">
                                <a:moveTo>
                                  <a:pt x="0" y="0"/>
                                </a:moveTo>
                                <a:lnTo>
                                  <a:pt x="392404" y="0"/>
                                </a:lnTo>
                              </a:path>
                            </a:pathLst>
                          </a:custGeom>
                          <a:ln w="12700">
                            <a:solidFill>
                              <a:srgbClr val="000000"/>
                            </a:solidFill>
                            <a:prstDash val="solid"/>
                          </a:ln>
                        </wps:spPr>
                        <wps:bodyPr wrap="square" lIns="0" tIns="0" rIns="0" bIns="0" rtlCol="0">
                          <a:prstTxWarp prst="textNoShape">
                            <a:avLst/>
                          </a:prstTxWarp>
                          <a:noAutofit/>
                        </wps:bodyPr>
                      </wps:wsp>
                      <wps:wsp>
                        <wps:cNvPr id="724" name="Graphic 724"/>
                        <wps:cNvSpPr/>
                        <wps:spPr>
                          <a:xfrm>
                            <a:off x="1596342" y="6350"/>
                            <a:ext cx="392430" cy="1270"/>
                          </a:xfrm>
                          <a:custGeom>
                            <a:avLst/>
                            <a:gdLst/>
                            <a:ahLst/>
                            <a:cxnLst/>
                            <a:rect l="l" t="t" r="r" b="b"/>
                            <a:pathLst>
                              <a:path w="392430" h="0">
                                <a:moveTo>
                                  <a:pt x="0" y="0"/>
                                </a:moveTo>
                                <a:lnTo>
                                  <a:pt x="392404" y="0"/>
                                </a:lnTo>
                              </a:path>
                            </a:pathLst>
                          </a:custGeom>
                          <a:ln w="12700">
                            <a:solidFill>
                              <a:srgbClr val="000000"/>
                            </a:solidFill>
                            <a:prstDash val="solid"/>
                          </a:ln>
                        </wps:spPr>
                        <wps:bodyPr wrap="square" lIns="0" tIns="0" rIns="0" bIns="0" rtlCol="0">
                          <a:prstTxWarp prst="textNoShape">
                            <a:avLst/>
                          </a:prstTxWarp>
                          <a:noAutofit/>
                        </wps:bodyPr>
                      </wps:wsp>
                      <wps:wsp>
                        <wps:cNvPr id="725" name="Graphic 725"/>
                        <wps:cNvSpPr/>
                        <wps:spPr>
                          <a:xfrm>
                            <a:off x="1988742" y="6350"/>
                            <a:ext cx="392430" cy="1270"/>
                          </a:xfrm>
                          <a:custGeom>
                            <a:avLst/>
                            <a:gdLst/>
                            <a:ahLst/>
                            <a:cxnLst/>
                            <a:rect l="l" t="t" r="r" b="b"/>
                            <a:pathLst>
                              <a:path w="392430" h="0">
                                <a:moveTo>
                                  <a:pt x="0" y="0"/>
                                </a:moveTo>
                                <a:lnTo>
                                  <a:pt x="392404" y="0"/>
                                </a:lnTo>
                              </a:path>
                            </a:pathLst>
                          </a:custGeom>
                          <a:ln w="12700">
                            <a:solidFill>
                              <a:srgbClr val="000000"/>
                            </a:solidFill>
                            <a:prstDash val="solid"/>
                          </a:ln>
                        </wps:spPr>
                        <wps:bodyPr wrap="square" lIns="0" tIns="0" rIns="0" bIns="0" rtlCol="0">
                          <a:prstTxWarp prst="textNoShape">
                            <a:avLst/>
                          </a:prstTxWarp>
                          <a:noAutofit/>
                        </wps:bodyPr>
                      </wps:wsp>
                      <wps:wsp>
                        <wps:cNvPr id="726" name="Graphic 726"/>
                        <wps:cNvSpPr/>
                        <wps:spPr>
                          <a:xfrm>
                            <a:off x="2381143" y="6350"/>
                            <a:ext cx="549275" cy="1270"/>
                          </a:xfrm>
                          <a:custGeom>
                            <a:avLst/>
                            <a:gdLst/>
                            <a:ahLst/>
                            <a:cxnLst/>
                            <a:rect l="l" t="t" r="r" b="b"/>
                            <a:pathLst>
                              <a:path w="549275" h="0">
                                <a:moveTo>
                                  <a:pt x="0" y="0"/>
                                </a:moveTo>
                                <a:lnTo>
                                  <a:pt x="548741" y="0"/>
                                </a:lnTo>
                              </a:path>
                            </a:pathLst>
                          </a:custGeom>
                          <a:ln w="12700">
                            <a:solidFill>
                              <a:srgbClr val="000000"/>
                            </a:solidFill>
                            <a:prstDash val="solid"/>
                          </a:ln>
                        </wps:spPr>
                        <wps:bodyPr wrap="square" lIns="0" tIns="0" rIns="0" bIns="0" rtlCol="0">
                          <a:prstTxWarp prst="textNoShape">
                            <a:avLst/>
                          </a:prstTxWarp>
                          <a:noAutofit/>
                        </wps:bodyPr>
                      </wps:wsp>
                      <wps:wsp>
                        <wps:cNvPr id="727" name="Graphic 727"/>
                        <wps:cNvSpPr/>
                        <wps:spPr>
                          <a:xfrm>
                            <a:off x="0" y="310513"/>
                            <a:ext cx="419734" cy="1270"/>
                          </a:xfrm>
                          <a:custGeom>
                            <a:avLst/>
                            <a:gdLst/>
                            <a:ahLst/>
                            <a:cxnLst/>
                            <a:rect l="l" t="t" r="r" b="b"/>
                            <a:pathLst>
                              <a:path w="419734" h="0">
                                <a:moveTo>
                                  <a:pt x="0" y="0"/>
                                </a:moveTo>
                                <a:lnTo>
                                  <a:pt x="419138" y="0"/>
                                </a:lnTo>
                              </a:path>
                            </a:pathLst>
                          </a:custGeom>
                          <a:ln w="6350">
                            <a:solidFill>
                              <a:srgbClr val="000000"/>
                            </a:solidFill>
                            <a:prstDash val="solid"/>
                          </a:ln>
                        </wps:spPr>
                        <wps:bodyPr wrap="square" lIns="0" tIns="0" rIns="0" bIns="0" rtlCol="0">
                          <a:prstTxWarp prst="textNoShape">
                            <a:avLst/>
                          </a:prstTxWarp>
                          <a:noAutofit/>
                        </wps:bodyPr>
                      </wps:wsp>
                      <wps:wsp>
                        <wps:cNvPr id="728" name="Graphic 728"/>
                        <wps:cNvSpPr/>
                        <wps:spPr>
                          <a:xfrm>
                            <a:off x="419143" y="310513"/>
                            <a:ext cx="392430" cy="1270"/>
                          </a:xfrm>
                          <a:custGeom>
                            <a:avLst/>
                            <a:gdLst/>
                            <a:ahLst/>
                            <a:cxnLst/>
                            <a:rect l="l" t="t" r="r" b="b"/>
                            <a:pathLst>
                              <a:path w="392430" h="0">
                                <a:moveTo>
                                  <a:pt x="0" y="0"/>
                                </a:moveTo>
                                <a:lnTo>
                                  <a:pt x="392404" y="0"/>
                                </a:lnTo>
                              </a:path>
                            </a:pathLst>
                          </a:custGeom>
                          <a:ln w="6350">
                            <a:solidFill>
                              <a:srgbClr val="000000"/>
                            </a:solidFill>
                            <a:prstDash val="solid"/>
                          </a:ln>
                        </wps:spPr>
                        <wps:bodyPr wrap="square" lIns="0" tIns="0" rIns="0" bIns="0" rtlCol="0">
                          <a:prstTxWarp prst="textNoShape">
                            <a:avLst/>
                          </a:prstTxWarp>
                          <a:noAutofit/>
                        </wps:bodyPr>
                      </wps:wsp>
                      <wps:wsp>
                        <wps:cNvPr id="729" name="Graphic 729"/>
                        <wps:cNvSpPr/>
                        <wps:spPr>
                          <a:xfrm>
                            <a:off x="811542" y="310513"/>
                            <a:ext cx="392430" cy="1270"/>
                          </a:xfrm>
                          <a:custGeom>
                            <a:avLst/>
                            <a:gdLst/>
                            <a:ahLst/>
                            <a:cxnLst/>
                            <a:rect l="l" t="t" r="r" b="b"/>
                            <a:pathLst>
                              <a:path w="392430" h="0">
                                <a:moveTo>
                                  <a:pt x="0" y="0"/>
                                </a:moveTo>
                                <a:lnTo>
                                  <a:pt x="392404" y="0"/>
                                </a:lnTo>
                              </a:path>
                            </a:pathLst>
                          </a:custGeom>
                          <a:ln w="6350">
                            <a:solidFill>
                              <a:srgbClr val="000000"/>
                            </a:solidFill>
                            <a:prstDash val="solid"/>
                          </a:ln>
                        </wps:spPr>
                        <wps:bodyPr wrap="square" lIns="0" tIns="0" rIns="0" bIns="0" rtlCol="0">
                          <a:prstTxWarp prst="textNoShape">
                            <a:avLst/>
                          </a:prstTxWarp>
                          <a:noAutofit/>
                        </wps:bodyPr>
                      </wps:wsp>
                      <wps:wsp>
                        <wps:cNvPr id="730" name="Graphic 730"/>
                        <wps:cNvSpPr/>
                        <wps:spPr>
                          <a:xfrm>
                            <a:off x="1203943" y="310513"/>
                            <a:ext cx="392430" cy="1270"/>
                          </a:xfrm>
                          <a:custGeom>
                            <a:avLst/>
                            <a:gdLst/>
                            <a:ahLst/>
                            <a:cxnLst/>
                            <a:rect l="l" t="t" r="r" b="b"/>
                            <a:pathLst>
                              <a:path w="392430" h="0">
                                <a:moveTo>
                                  <a:pt x="0" y="0"/>
                                </a:moveTo>
                                <a:lnTo>
                                  <a:pt x="392404" y="0"/>
                                </a:lnTo>
                              </a:path>
                            </a:pathLst>
                          </a:custGeom>
                          <a:ln w="6350">
                            <a:solidFill>
                              <a:srgbClr val="000000"/>
                            </a:solidFill>
                            <a:prstDash val="solid"/>
                          </a:ln>
                        </wps:spPr>
                        <wps:bodyPr wrap="square" lIns="0" tIns="0" rIns="0" bIns="0" rtlCol="0">
                          <a:prstTxWarp prst="textNoShape">
                            <a:avLst/>
                          </a:prstTxWarp>
                          <a:noAutofit/>
                        </wps:bodyPr>
                      </wps:wsp>
                      <wps:wsp>
                        <wps:cNvPr id="731" name="Graphic 731"/>
                        <wps:cNvSpPr/>
                        <wps:spPr>
                          <a:xfrm>
                            <a:off x="1596342" y="310513"/>
                            <a:ext cx="392430" cy="1270"/>
                          </a:xfrm>
                          <a:custGeom>
                            <a:avLst/>
                            <a:gdLst/>
                            <a:ahLst/>
                            <a:cxnLst/>
                            <a:rect l="l" t="t" r="r" b="b"/>
                            <a:pathLst>
                              <a:path w="392430" h="0">
                                <a:moveTo>
                                  <a:pt x="0" y="0"/>
                                </a:moveTo>
                                <a:lnTo>
                                  <a:pt x="392404" y="0"/>
                                </a:lnTo>
                              </a:path>
                            </a:pathLst>
                          </a:custGeom>
                          <a:ln w="6350">
                            <a:solidFill>
                              <a:srgbClr val="000000"/>
                            </a:solidFill>
                            <a:prstDash val="solid"/>
                          </a:ln>
                        </wps:spPr>
                        <wps:bodyPr wrap="square" lIns="0" tIns="0" rIns="0" bIns="0" rtlCol="0">
                          <a:prstTxWarp prst="textNoShape">
                            <a:avLst/>
                          </a:prstTxWarp>
                          <a:noAutofit/>
                        </wps:bodyPr>
                      </wps:wsp>
                      <wps:wsp>
                        <wps:cNvPr id="732" name="Graphic 732"/>
                        <wps:cNvSpPr/>
                        <wps:spPr>
                          <a:xfrm>
                            <a:off x="1988742" y="310513"/>
                            <a:ext cx="392430" cy="1270"/>
                          </a:xfrm>
                          <a:custGeom>
                            <a:avLst/>
                            <a:gdLst/>
                            <a:ahLst/>
                            <a:cxnLst/>
                            <a:rect l="l" t="t" r="r" b="b"/>
                            <a:pathLst>
                              <a:path w="392430" h="0">
                                <a:moveTo>
                                  <a:pt x="0" y="0"/>
                                </a:moveTo>
                                <a:lnTo>
                                  <a:pt x="392404" y="0"/>
                                </a:lnTo>
                              </a:path>
                            </a:pathLst>
                          </a:custGeom>
                          <a:ln w="6350">
                            <a:solidFill>
                              <a:srgbClr val="000000"/>
                            </a:solidFill>
                            <a:prstDash val="solid"/>
                          </a:ln>
                        </wps:spPr>
                        <wps:bodyPr wrap="square" lIns="0" tIns="0" rIns="0" bIns="0" rtlCol="0">
                          <a:prstTxWarp prst="textNoShape">
                            <a:avLst/>
                          </a:prstTxWarp>
                          <a:noAutofit/>
                        </wps:bodyPr>
                      </wps:wsp>
                      <wps:wsp>
                        <wps:cNvPr id="733" name="Graphic 733"/>
                        <wps:cNvSpPr/>
                        <wps:spPr>
                          <a:xfrm>
                            <a:off x="2381143" y="310513"/>
                            <a:ext cx="549275" cy="1270"/>
                          </a:xfrm>
                          <a:custGeom>
                            <a:avLst/>
                            <a:gdLst/>
                            <a:ahLst/>
                            <a:cxnLst/>
                            <a:rect l="l" t="t" r="r" b="b"/>
                            <a:pathLst>
                              <a:path w="549275" h="0">
                                <a:moveTo>
                                  <a:pt x="0" y="0"/>
                                </a:moveTo>
                                <a:lnTo>
                                  <a:pt x="548741" y="0"/>
                                </a:lnTo>
                              </a:path>
                            </a:pathLst>
                          </a:custGeom>
                          <a:ln w="6350">
                            <a:solidFill>
                              <a:srgbClr val="000000"/>
                            </a:solidFill>
                            <a:prstDash val="solid"/>
                          </a:ln>
                        </wps:spPr>
                        <wps:bodyPr wrap="square" lIns="0" tIns="0" rIns="0" bIns="0" rtlCol="0">
                          <a:prstTxWarp prst="textNoShape">
                            <a:avLst/>
                          </a:prstTxWarp>
                          <a:noAutofit/>
                        </wps:bodyPr>
                      </wps:wsp>
                      <wps:wsp>
                        <wps:cNvPr id="734" name="Textbox 734"/>
                        <wps:cNvSpPr txBox="1"/>
                        <wps:spPr>
                          <a:xfrm>
                            <a:off x="0" y="0"/>
                            <a:ext cx="2929890" cy="490855"/>
                          </a:xfrm>
                          <a:prstGeom prst="rect">
                            <a:avLst/>
                          </a:prstGeom>
                        </wps:spPr>
                        <wps:txbx>
                          <w:txbxContent>
                            <w:p>
                              <w:pPr>
                                <w:tabs>
                                  <w:tab w:pos="1505" w:val="left" w:leader="none"/>
                                  <w:tab w:pos="2111" w:val="left" w:leader="none"/>
                                  <w:tab w:pos="2730" w:val="left" w:leader="none"/>
                                  <w:tab w:pos="3316" w:val="left" w:leader="none"/>
                                  <w:tab w:pos="4180" w:val="left" w:leader="none"/>
                                </w:tabs>
                                <w:spacing w:before="76"/>
                                <w:ind w:left="876" w:right="0" w:firstLine="0"/>
                                <w:jc w:val="left"/>
                                <w:rPr>
                                  <w:rFonts w:ascii="TT Norms Pro"/>
                                  <w:b/>
                                  <w:sz w:val="14"/>
                                </w:rPr>
                              </w:pPr>
                              <w:r>
                                <w:rPr>
                                  <w:rFonts w:ascii="TT Norms Pro"/>
                                  <w:b/>
                                  <w:spacing w:val="-4"/>
                                  <w:sz w:val="14"/>
                                </w:rPr>
                                <w:t>2016</w:t>
                              </w:r>
                              <w:r>
                                <w:rPr>
                                  <w:rFonts w:ascii="TT Norms Pro"/>
                                  <w:b/>
                                  <w:sz w:val="14"/>
                                </w:rPr>
                                <w:tab/>
                              </w:r>
                              <w:r>
                                <w:rPr>
                                  <w:rFonts w:ascii="TT Norms Pro"/>
                                  <w:b/>
                                  <w:spacing w:val="-4"/>
                                  <w:sz w:val="14"/>
                                </w:rPr>
                                <w:t>2017</w:t>
                              </w:r>
                              <w:r>
                                <w:rPr>
                                  <w:rFonts w:ascii="TT Norms Pro"/>
                                  <w:b/>
                                  <w:sz w:val="14"/>
                                </w:rPr>
                                <w:tab/>
                              </w:r>
                              <w:r>
                                <w:rPr>
                                  <w:rFonts w:ascii="TT Norms Pro"/>
                                  <w:b/>
                                  <w:spacing w:val="-4"/>
                                  <w:sz w:val="14"/>
                                </w:rPr>
                                <w:t>2018</w:t>
                              </w:r>
                              <w:r>
                                <w:rPr>
                                  <w:rFonts w:ascii="TT Norms Pro"/>
                                  <w:b/>
                                  <w:sz w:val="14"/>
                                </w:rPr>
                                <w:tab/>
                              </w:r>
                              <w:r>
                                <w:rPr>
                                  <w:rFonts w:ascii="TT Norms Pro"/>
                                  <w:b/>
                                  <w:spacing w:val="-4"/>
                                  <w:sz w:val="14"/>
                                </w:rPr>
                                <w:t>2019</w:t>
                              </w:r>
                              <w:r>
                                <w:rPr>
                                  <w:rFonts w:ascii="TT Norms Pro"/>
                                  <w:b/>
                                  <w:sz w:val="14"/>
                                </w:rPr>
                                <w:tab/>
                              </w:r>
                              <w:r>
                                <w:rPr>
                                  <w:rFonts w:ascii="TT Norms Pro"/>
                                  <w:b/>
                                  <w:spacing w:val="-4"/>
                                  <w:sz w:val="14"/>
                                </w:rPr>
                                <w:t>2020</w:t>
                              </w:r>
                              <w:r>
                                <w:rPr>
                                  <w:rFonts w:ascii="TT Norms Pro"/>
                                  <w:b/>
                                  <w:sz w:val="14"/>
                                </w:rPr>
                                <w:tab/>
                              </w:r>
                              <w:r>
                                <w:rPr>
                                  <w:rFonts w:ascii="TT Norms Pro"/>
                                  <w:b/>
                                  <w:spacing w:val="-4"/>
                                  <w:sz w:val="14"/>
                                </w:rPr>
                                <w:t>2020</w:t>
                              </w:r>
                            </w:p>
                            <w:p>
                              <w:pPr>
                                <w:spacing w:before="36"/>
                                <w:ind w:left="0" w:right="77" w:firstLine="0"/>
                                <w:jc w:val="right"/>
                                <w:rPr>
                                  <w:rFonts w:ascii="TT Norms Pro"/>
                                  <w:b/>
                                  <w:sz w:val="14"/>
                                </w:rPr>
                              </w:pPr>
                              <w:r>
                                <w:rPr>
                                  <w:rFonts w:ascii="TT Norms Pro"/>
                                  <w:b/>
                                  <w:spacing w:val="-2"/>
                                  <w:sz w:val="14"/>
                                </w:rPr>
                                <w:t>TARGET</w:t>
                              </w:r>
                            </w:p>
                          </w:txbxContent>
                        </wps:txbx>
                        <wps:bodyPr wrap="square" lIns="0" tIns="0" rIns="0" bIns="0" rtlCol="0">
                          <a:noAutofit/>
                        </wps:bodyPr>
                      </wps:wsp>
                      <wps:wsp>
                        <wps:cNvPr id="735" name="Textbox 735"/>
                        <wps:cNvSpPr txBox="1"/>
                        <wps:spPr>
                          <a:xfrm>
                            <a:off x="1" y="313688"/>
                            <a:ext cx="2929890" cy="177165"/>
                          </a:xfrm>
                          <a:prstGeom prst="rect">
                            <a:avLst/>
                          </a:prstGeom>
                        </wps:spPr>
                        <wps:txbx>
                          <w:txbxContent>
                            <w:p>
                              <w:pPr>
                                <w:tabs>
                                  <w:tab w:pos="1062" w:val="left" w:leader="none"/>
                                  <w:tab w:pos="1708" w:val="left" w:leader="none"/>
                                  <w:tab w:pos="2299" w:val="left" w:leader="none"/>
                                  <w:tab w:pos="2911" w:val="left" w:leader="none"/>
                                  <w:tab w:pos="3529" w:val="left" w:leader="none"/>
                                  <w:tab w:pos="4560" w:val="right" w:leader="none"/>
                                </w:tabs>
                                <w:spacing w:before="63"/>
                                <w:ind w:left="57" w:right="0" w:firstLine="0"/>
                                <w:jc w:val="left"/>
                                <w:rPr>
                                  <w:rFonts w:ascii="TT Norms Pro Light"/>
                                  <w:b w:val="0"/>
                                  <w:sz w:val="14"/>
                                </w:rPr>
                              </w:pPr>
                              <w:r>
                                <w:rPr>
                                  <w:rFonts w:ascii="TT Norms Pro Light"/>
                                  <w:b w:val="0"/>
                                  <w:spacing w:val="-4"/>
                                  <w:sz w:val="14"/>
                                </w:rPr>
                                <w:t>ARWU</w:t>
                              </w:r>
                              <w:r>
                                <w:rPr>
                                  <w:rFonts w:ascii="TT Norms Pro Light"/>
                                  <w:b w:val="0"/>
                                  <w:sz w:val="14"/>
                                </w:rPr>
                                <w:tab/>
                              </w:r>
                              <w:r>
                                <w:rPr>
                                  <w:rFonts w:ascii="TT Norms Pro Light"/>
                                  <w:b w:val="0"/>
                                  <w:spacing w:val="-5"/>
                                  <w:sz w:val="14"/>
                                </w:rPr>
                                <w:t>96</w:t>
                              </w:r>
                              <w:r>
                                <w:rPr>
                                  <w:rFonts w:ascii="TT Norms Pro Light"/>
                                  <w:b w:val="0"/>
                                  <w:sz w:val="14"/>
                                </w:rPr>
                                <w:tab/>
                              </w:r>
                              <w:r>
                                <w:rPr>
                                  <w:rFonts w:ascii="TT Norms Pro Light"/>
                                  <w:b w:val="0"/>
                                  <w:spacing w:val="-5"/>
                                  <w:sz w:val="14"/>
                                </w:rPr>
                                <w:t>91</w:t>
                              </w:r>
                              <w:r>
                                <w:rPr>
                                  <w:rFonts w:ascii="TT Norms Pro Light"/>
                                  <w:b w:val="0"/>
                                  <w:sz w:val="14"/>
                                </w:rPr>
                                <w:tab/>
                              </w:r>
                              <w:r>
                                <w:rPr>
                                  <w:rFonts w:ascii="TT Norms Pro Light"/>
                                  <w:b w:val="0"/>
                                  <w:spacing w:val="-5"/>
                                  <w:sz w:val="14"/>
                                </w:rPr>
                                <w:t>93</w:t>
                              </w:r>
                              <w:r>
                                <w:rPr>
                                  <w:rFonts w:ascii="TT Norms Pro Light"/>
                                  <w:b w:val="0"/>
                                  <w:sz w:val="14"/>
                                </w:rPr>
                                <w:tab/>
                              </w:r>
                              <w:r>
                                <w:rPr>
                                  <w:rFonts w:ascii="TT Norms Pro Light"/>
                                  <w:b w:val="0"/>
                                  <w:spacing w:val="-7"/>
                                  <w:sz w:val="14"/>
                                </w:rPr>
                                <w:t>99</w:t>
                              </w:r>
                              <w:r>
                                <w:rPr>
                                  <w:rFonts w:ascii="TT Norms Pro Light"/>
                                  <w:b w:val="0"/>
                                  <w:sz w:val="14"/>
                                </w:rPr>
                                <w:tab/>
                              </w:r>
                              <w:r>
                                <w:rPr>
                                  <w:rFonts w:ascii="TT Norms Pro Light"/>
                                  <w:b w:val="0"/>
                                  <w:spacing w:val="-5"/>
                                  <w:sz w:val="14"/>
                                </w:rPr>
                                <w:t>85</w:t>
                              </w:r>
                              <w:r>
                                <w:rPr>
                                  <w:rFonts w:ascii="TT Norms Pro Light"/>
                                  <w:b w:val="0"/>
                                  <w:sz w:val="14"/>
                                </w:rPr>
                                <w:tab/>
                              </w:r>
                              <w:r>
                                <w:rPr>
                                  <w:rFonts w:ascii="TT Norms Pro Light"/>
                                  <w:b w:val="0"/>
                                  <w:spacing w:val="-5"/>
                                  <w:sz w:val="14"/>
                                </w:rPr>
                                <w:t>75-</w:t>
                              </w:r>
                              <w:r>
                                <w:rPr>
                                  <w:rFonts w:ascii="TT Norms Pro Light"/>
                                  <w:b w:val="0"/>
                                  <w:sz w:val="14"/>
                                </w:rPr>
                                <w:t>85</w:t>
                              </w:r>
                            </w:p>
                          </w:txbxContent>
                        </wps:txbx>
                        <wps:bodyPr wrap="square" lIns="0" tIns="0" rIns="0" bIns="0" rtlCol="0">
                          <a:noAutofit/>
                        </wps:bodyPr>
                      </wps:wsp>
                    </wpg:wgp>
                  </a:graphicData>
                </a:graphic>
              </wp:anchor>
            </w:drawing>
          </mc:Choice>
          <mc:Fallback>
            <w:pict>
              <v:group style="position:absolute;margin-left:56.692902pt;margin-top:12.6723pt;width:230.7pt;height:38.65pt;mso-position-horizontal-relative:page;mso-position-vertical-relative:paragraph;z-index:15851008" id="docshapegroup481" coordorigin="1134,253" coordsize="4614,773">
                <v:rect style="position:absolute;left:1133;top:742;width:4614;height:284" id="docshape482" filled="true" fillcolor="#e6e7e8" stroked="false">
                  <v:fill type="solid"/>
                </v:rect>
                <v:line style="position:absolute" from="1134,263" to="1794,263" stroked="true" strokeweight="1pt" strokecolor="#000000">
                  <v:stroke dashstyle="solid"/>
                </v:line>
                <v:line style="position:absolute" from="1794,263" to="2412,263" stroked="true" strokeweight="1pt" strokecolor="#000000">
                  <v:stroke dashstyle="solid"/>
                </v:line>
                <v:line style="position:absolute" from="2412,263" to="3030,263" stroked="true" strokeweight="1pt" strokecolor="#000000">
                  <v:stroke dashstyle="solid"/>
                </v:line>
                <v:line style="position:absolute" from="3030,263" to="3648,263" stroked="true" strokeweight="1pt" strokecolor="#000000">
                  <v:stroke dashstyle="solid"/>
                </v:line>
                <v:line style="position:absolute" from="3648,263" to="4266,263" stroked="true" strokeweight="1pt" strokecolor="#000000">
                  <v:stroke dashstyle="solid"/>
                </v:line>
                <v:line style="position:absolute" from="4266,263" to="4884,263" stroked="true" strokeweight="1pt" strokecolor="#000000">
                  <v:stroke dashstyle="solid"/>
                </v:line>
                <v:line style="position:absolute" from="4884,263" to="5748,263" stroked="true" strokeweight="1pt" strokecolor="#000000">
                  <v:stroke dashstyle="solid"/>
                </v:line>
                <v:line style="position:absolute" from="1134,742" to="1794,742" stroked="true" strokeweight=".5pt" strokecolor="#000000">
                  <v:stroke dashstyle="solid"/>
                </v:line>
                <v:line style="position:absolute" from="1794,742" to="2412,742" stroked="true" strokeweight=".5pt" strokecolor="#000000">
                  <v:stroke dashstyle="solid"/>
                </v:line>
                <v:line style="position:absolute" from="2412,742" to="3030,742" stroked="true" strokeweight=".5pt" strokecolor="#000000">
                  <v:stroke dashstyle="solid"/>
                </v:line>
                <v:line style="position:absolute" from="3030,742" to="3648,742" stroked="true" strokeweight=".5pt" strokecolor="#000000">
                  <v:stroke dashstyle="solid"/>
                </v:line>
                <v:line style="position:absolute" from="3648,742" to="4266,742" stroked="true" strokeweight=".5pt" strokecolor="#000000">
                  <v:stroke dashstyle="solid"/>
                </v:line>
                <v:line style="position:absolute" from="4266,742" to="4884,742" stroked="true" strokeweight=".5pt" strokecolor="#000000">
                  <v:stroke dashstyle="solid"/>
                </v:line>
                <v:line style="position:absolute" from="4884,742" to="5748,742" stroked="true" strokeweight=".5pt" strokecolor="#000000">
                  <v:stroke dashstyle="solid"/>
                </v:line>
                <v:shape style="position:absolute;left:1133;top:253;width:4614;height:773" type="#_x0000_t202" id="docshape483" filled="false" stroked="false">
                  <v:textbox inset="0,0,0,0">
                    <w:txbxContent>
                      <w:p>
                        <w:pPr>
                          <w:tabs>
                            <w:tab w:pos="1505" w:val="left" w:leader="none"/>
                            <w:tab w:pos="2111" w:val="left" w:leader="none"/>
                            <w:tab w:pos="2730" w:val="left" w:leader="none"/>
                            <w:tab w:pos="3316" w:val="left" w:leader="none"/>
                            <w:tab w:pos="4180" w:val="left" w:leader="none"/>
                          </w:tabs>
                          <w:spacing w:before="76"/>
                          <w:ind w:left="876" w:right="0" w:firstLine="0"/>
                          <w:jc w:val="left"/>
                          <w:rPr>
                            <w:rFonts w:ascii="TT Norms Pro"/>
                            <w:b/>
                            <w:sz w:val="14"/>
                          </w:rPr>
                        </w:pPr>
                        <w:r>
                          <w:rPr>
                            <w:rFonts w:ascii="TT Norms Pro"/>
                            <w:b/>
                            <w:spacing w:val="-4"/>
                            <w:sz w:val="14"/>
                          </w:rPr>
                          <w:t>2016</w:t>
                        </w:r>
                        <w:r>
                          <w:rPr>
                            <w:rFonts w:ascii="TT Norms Pro"/>
                            <w:b/>
                            <w:sz w:val="14"/>
                          </w:rPr>
                          <w:tab/>
                        </w:r>
                        <w:r>
                          <w:rPr>
                            <w:rFonts w:ascii="TT Norms Pro"/>
                            <w:b/>
                            <w:spacing w:val="-4"/>
                            <w:sz w:val="14"/>
                          </w:rPr>
                          <w:t>2017</w:t>
                        </w:r>
                        <w:r>
                          <w:rPr>
                            <w:rFonts w:ascii="TT Norms Pro"/>
                            <w:b/>
                            <w:sz w:val="14"/>
                          </w:rPr>
                          <w:tab/>
                        </w:r>
                        <w:r>
                          <w:rPr>
                            <w:rFonts w:ascii="TT Norms Pro"/>
                            <w:b/>
                            <w:spacing w:val="-4"/>
                            <w:sz w:val="14"/>
                          </w:rPr>
                          <w:t>2018</w:t>
                        </w:r>
                        <w:r>
                          <w:rPr>
                            <w:rFonts w:ascii="TT Norms Pro"/>
                            <w:b/>
                            <w:sz w:val="14"/>
                          </w:rPr>
                          <w:tab/>
                        </w:r>
                        <w:r>
                          <w:rPr>
                            <w:rFonts w:ascii="TT Norms Pro"/>
                            <w:b/>
                            <w:spacing w:val="-4"/>
                            <w:sz w:val="14"/>
                          </w:rPr>
                          <w:t>2019</w:t>
                        </w:r>
                        <w:r>
                          <w:rPr>
                            <w:rFonts w:ascii="TT Norms Pro"/>
                            <w:b/>
                            <w:sz w:val="14"/>
                          </w:rPr>
                          <w:tab/>
                        </w:r>
                        <w:r>
                          <w:rPr>
                            <w:rFonts w:ascii="TT Norms Pro"/>
                            <w:b/>
                            <w:spacing w:val="-4"/>
                            <w:sz w:val="14"/>
                          </w:rPr>
                          <w:t>2020</w:t>
                        </w:r>
                        <w:r>
                          <w:rPr>
                            <w:rFonts w:ascii="TT Norms Pro"/>
                            <w:b/>
                            <w:sz w:val="14"/>
                          </w:rPr>
                          <w:tab/>
                        </w:r>
                        <w:r>
                          <w:rPr>
                            <w:rFonts w:ascii="TT Norms Pro"/>
                            <w:b/>
                            <w:spacing w:val="-4"/>
                            <w:sz w:val="14"/>
                          </w:rPr>
                          <w:t>2020</w:t>
                        </w:r>
                      </w:p>
                      <w:p>
                        <w:pPr>
                          <w:spacing w:before="36"/>
                          <w:ind w:left="0" w:right="77" w:firstLine="0"/>
                          <w:jc w:val="right"/>
                          <w:rPr>
                            <w:rFonts w:ascii="TT Norms Pro"/>
                            <w:b/>
                            <w:sz w:val="14"/>
                          </w:rPr>
                        </w:pPr>
                        <w:r>
                          <w:rPr>
                            <w:rFonts w:ascii="TT Norms Pro"/>
                            <w:b/>
                            <w:spacing w:val="-2"/>
                            <w:sz w:val="14"/>
                          </w:rPr>
                          <w:t>TARGET</w:t>
                        </w:r>
                      </w:p>
                    </w:txbxContent>
                  </v:textbox>
                  <w10:wrap type="none"/>
                </v:shape>
                <v:shape style="position:absolute;left:1133;top:747;width:4614;height:279" type="#_x0000_t202" id="docshape484" filled="false" stroked="false">
                  <v:textbox inset="0,0,0,0">
                    <w:txbxContent>
                      <w:p>
                        <w:pPr>
                          <w:tabs>
                            <w:tab w:pos="1062" w:val="left" w:leader="none"/>
                            <w:tab w:pos="1708" w:val="left" w:leader="none"/>
                            <w:tab w:pos="2299" w:val="left" w:leader="none"/>
                            <w:tab w:pos="2911" w:val="left" w:leader="none"/>
                            <w:tab w:pos="3529" w:val="left" w:leader="none"/>
                            <w:tab w:pos="4560" w:val="right" w:leader="none"/>
                          </w:tabs>
                          <w:spacing w:before="63"/>
                          <w:ind w:left="57" w:right="0" w:firstLine="0"/>
                          <w:jc w:val="left"/>
                          <w:rPr>
                            <w:rFonts w:ascii="TT Norms Pro Light"/>
                            <w:b w:val="0"/>
                            <w:sz w:val="14"/>
                          </w:rPr>
                        </w:pPr>
                        <w:r>
                          <w:rPr>
                            <w:rFonts w:ascii="TT Norms Pro Light"/>
                            <w:b w:val="0"/>
                            <w:spacing w:val="-4"/>
                            <w:sz w:val="14"/>
                          </w:rPr>
                          <w:t>ARWU</w:t>
                        </w:r>
                        <w:r>
                          <w:rPr>
                            <w:rFonts w:ascii="TT Norms Pro Light"/>
                            <w:b w:val="0"/>
                            <w:sz w:val="14"/>
                          </w:rPr>
                          <w:tab/>
                        </w:r>
                        <w:r>
                          <w:rPr>
                            <w:rFonts w:ascii="TT Norms Pro Light"/>
                            <w:b w:val="0"/>
                            <w:spacing w:val="-5"/>
                            <w:sz w:val="14"/>
                          </w:rPr>
                          <w:t>96</w:t>
                        </w:r>
                        <w:r>
                          <w:rPr>
                            <w:rFonts w:ascii="TT Norms Pro Light"/>
                            <w:b w:val="0"/>
                            <w:sz w:val="14"/>
                          </w:rPr>
                          <w:tab/>
                        </w:r>
                        <w:r>
                          <w:rPr>
                            <w:rFonts w:ascii="TT Norms Pro Light"/>
                            <w:b w:val="0"/>
                            <w:spacing w:val="-5"/>
                            <w:sz w:val="14"/>
                          </w:rPr>
                          <w:t>91</w:t>
                        </w:r>
                        <w:r>
                          <w:rPr>
                            <w:rFonts w:ascii="TT Norms Pro Light"/>
                            <w:b w:val="0"/>
                            <w:sz w:val="14"/>
                          </w:rPr>
                          <w:tab/>
                        </w:r>
                        <w:r>
                          <w:rPr>
                            <w:rFonts w:ascii="TT Norms Pro Light"/>
                            <w:b w:val="0"/>
                            <w:spacing w:val="-5"/>
                            <w:sz w:val="14"/>
                          </w:rPr>
                          <w:t>93</w:t>
                        </w:r>
                        <w:r>
                          <w:rPr>
                            <w:rFonts w:ascii="TT Norms Pro Light"/>
                            <w:b w:val="0"/>
                            <w:sz w:val="14"/>
                          </w:rPr>
                          <w:tab/>
                        </w:r>
                        <w:r>
                          <w:rPr>
                            <w:rFonts w:ascii="TT Norms Pro Light"/>
                            <w:b w:val="0"/>
                            <w:spacing w:val="-7"/>
                            <w:sz w:val="14"/>
                          </w:rPr>
                          <w:t>99</w:t>
                        </w:r>
                        <w:r>
                          <w:rPr>
                            <w:rFonts w:ascii="TT Norms Pro Light"/>
                            <w:b w:val="0"/>
                            <w:sz w:val="14"/>
                          </w:rPr>
                          <w:tab/>
                        </w:r>
                        <w:r>
                          <w:rPr>
                            <w:rFonts w:ascii="TT Norms Pro Light"/>
                            <w:b w:val="0"/>
                            <w:spacing w:val="-5"/>
                            <w:sz w:val="14"/>
                          </w:rPr>
                          <w:t>85</w:t>
                        </w:r>
                        <w:r>
                          <w:rPr>
                            <w:rFonts w:ascii="TT Norms Pro Light"/>
                            <w:b w:val="0"/>
                            <w:sz w:val="14"/>
                          </w:rPr>
                          <w:tab/>
                        </w:r>
                        <w:r>
                          <w:rPr>
                            <w:rFonts w:ascii="TT Norms Pro Light"/>
                            <w:b w:val="0"/>
                            <w:spacing w:val="-5"/>
                            <w:sz w:val="14"/>
                          </w:rPr>
                          <w:t>75-</w:t>
                        </w:r>
                        <w:r>
                          <w:rPr>
                            <w:rFonts w:ascii="TT Norms Pro Light"/>
                            <w:b w:val="0"/>
                            <w:sz w:val="14"/>
                          </w:rPr>
                          <w:t>85</w:t>
                        </w:r>
                      </w:p>
                    </w:txbxContent>
                  </v:textbox>
                  <w10:wrap type="none"/>
                </v:shape>
                <w10:wrap type="none"/>
              </v:group>
            </w:pict>
          </mc:Fallback>
        </mc:AlternateContent>
      </w:r>
      <w:r>
        <w:rPr>
          <w:rFonts w:ascii="TT Norms Pro"/>
          <w:b/>
          <w:sz w:val="18"/>
        </w:rPr>
        <w:t>International</w:t>
      </w:r>
      <w:r>
        <w:rPr>
          <w:rFonts w:ascii="TT Norms Pro"/>
          <w:b/>
          <w:spacing w:val="8"/>
          <w:sz w:val="18"/>
        </w:rPr>
        <w:t> </w:t>
      </w:r>
      <w:r>
        <w:rPr>
          <w:rFonts w:ascii="TT Norms Pro"/>
          <w:b/>
          <w:spacing w:val="-4"/>
          <w:sz w:val="18"/>
        </w:rPr>
        <w:t>ranks</w:t>
      </w:r>
    </w:p>
    <w:p>
      <w:pPr>
        <w:tabs>
          <w:tab w:pos="1220" w:val="left" w:leader="none"/>
          <w:tab w:pos="1895" w:val="left" w:leader="none"/>
          <w:tab w:pos="2540" w:val="left" w:leader="none"/>
          <w:tab w:pos="3125" w:val="left" w:leader="none"/>
          <w:tab w:pos="3747" w:val="left" w:leader="none"/>
          <w:tab w:pos="4771" w:val="right" w:leader="none"/>
        </w:tabs>
        <w:spacing w:before="883"/>
        <w:ind w:left="270" w:right="0" w:firstLine="0"/>
        <w:jc w:val="left"/>
        <w:rPr>
          <w:rFonts w:ascii="TT Norms Pro Light"/>
          <w:b w:val="0"/>
          <w:sz w:val="14"/>
        </w:rPr>
      </w:pPr>
      <w:r>
        <w:rPr>
          <w:rFonts w:ascii="TT Norms Pro Light"/>
          <w:b w:val="0"/>
          <w:spacing w:val="-5"/>
          <w:sz w:val="14"/>
        </w:rPr>
        <w:t>QS</w:t>
      </w:r>
      <w:r>
        <w:rPr>
          <w:rFonts w:ascii="TT Norms Pro Light"/>
          <w:b w:val="0"/>
          <w:sz w:val="14"/>
        </w:rPr>
        <w:tab/>
      </w:r>
      <w:r>
        <w:rPr>
          <w:rFonts w:ascii="TT Norms Pro Light"/>
          <w:b w:val="0"/>
          <w:spacing w:val="-5"/>
          <w:sz w:val="14"/>
        </w:rPr>
        <w:t>102</w:t>
      </w:r>
      <w:r>
        <w:rPr>
          <w:rFonts w:ascii="TT Norms Pro Light"/>
          <w:b w:val="0"/>
          <w:sz w:val="14"/>
        </w:rPr>
        <w:tab/>
      </w:r>
      <w:r>
        <w:rPr>
          <w:rFonts w:ascii="TT Norms Pro Light"/>
          <w:b w:val="0"/>
          <w:spacing w:val="-5"/>
          <w:sz w:val="14"/>
        </w:rPr>
        <w:t>93</w:t>
      </w:r>
      <w:r>
        <w:rPr>
          <w:rFonts w:ascii="TT Norms Pro Light"/>
          <w:b w:val="0"/>
          <w:sz w:val="14"/>
        </w:rPr>
        <w:tab/>
      </w:r>
      <w:r>
        <w:rPr>
          <w:rFonts w:ascii="TT Norms Pro Light"/>
          <w:b w:val="0"/>
          <w:spacing w:val="-5"/>
          <w:sz w:val="14"/>
        </w:rPr>
        <w:t>91</w:t>
      </w:r>
      <w:r>
        <w:rPr>
          <w:rFonts w:ascii="TT Norms Pro Light"/>
          <w:b w:val="0"/>
          <w:sz w:val="14"/>
        </w:rPr>
        <w:tab/>
      </w:r>
      <w:r>
        <w:rPr>
          <w:rFonts w:ascii="TT Norms Pro Light"/>
          <w:b w:val="0"/>
          <w:spacing w:val="-5"/>
          <w:sz w:val="14"/>
        </w:rPr>
        <w:t>86</w:t>
      </w:r>
      <w:r>
        <w:rPr>
          <w:rFonts w:ascii="TT Norms Pro Light"/>
          <w:b w:val="0"/>
          <w:sz w:val="14"/>
        </w:rPr>
        <w:tab/>
      </w:r>
      <w:r>
        <w:rPr>
          <w:rFonts w:ascii="TT Norms Pro Light"/>
          <w:b w:val="0"/>
          <w:spacing w:val="-5"/>
          <w:sz w:val="14"/>
        </w:rPr>
        <w:t>92</w:t>
      </w:r>
      <w:r>
        <w:rPr>
          <w:rFonts w:ascii="TT Norms Pro Light"/>
          <w:b w:val="0"/>
          <w:sz w:val="14"/>
        </w:rPr>
        <w:tab/>
      </w:r>
      <w:r>
        <w:rPr>
          <w:rFonts w:ascii="TT Norms Pro Light"/>
          <w:b w:val="0"/>
          <w:spacing w:val="-5"/>
          <w:sz w:val="14"/>
        </w:rPr>
        <w:t>90-</w:t>
      </w:r>
      <w:r>
        <w:rPr>
          <w:rFonts w:ascii="TT Norms Pro Light"/>
          <w:b w:val="0"/>
          <w:sz w:val="14"/>
        </w:rPr>
        <w:t>95</w:t>
      </w:r>
    </w:p>
    <w:p>
      <w:pPr>
        <w:pStyle w:val="BodyText"/>
        <w:spacing w:before="5"/>
        <w:rPr>
          <w:b w:val="0"/>
          <w:sz w:val="4"/>
        </w:rPr>
      </w:pPr>
    </w:p>
    <w:p>
      <w:pPr>
        <w:pStyle w:val="BodyText"/>
        <w:ind w:left="213" w:right="-15"/>
        <w:rPr>
          <w:sz w:val="20"/>
        </w:rPr>
      </w:pPr>
      <w:r>
        <w:rPr>
          <w:sz w:val="20"/>
        </w:rPr>
        <mc:AlternateContent>
          <mc:Choice Requires="wps">
            <w:drawing>
              <wp:inline distT="0" distB="0" distL="0" distR="0">
                <wp:extent cx="2929890" cy="180340"/>
                <wp:effectExtent l="0" t="0" r="0" b="0"/>
                <wp:docPr id="736" name="Textbox 736"/>
                <wp:cNvGraphicFramePr>
                  <a:graphicFrameLocks/>
                </wp:cNvGraphicFramePr>
                <a:graphic>
                  <a:graphicData uri="http://schemas.microsoft.com/office/word/2010/wordprocessingShape">
                    <wps:wsp>
                      <wps:cNvPr id="736" name="Textbox 736"/>
                      <wps:cNvSpPr txBox="1"/>
                      <wps:spPr>
                        <a:xfrm>
                          <a:off x="0" y="0"/>
                          <a:ext cx="2929890" cy="180340"/>
                        </a:xfrm>
                        <a:prstGeom prst="rect">
                          <a:avLst/>
                        </a:prstGeom>
                        <a:solidFill>
                          <a:srgbClr val="E6E7E8"/>
                        </a:solidFill>
                      </wps:spPr>
                      <wps:txbx>
                        <w:txbxContent>
                          <w:p>
                            <w:pPr>
                              <w:tabs>
                                <w:tab w:pos="1014" w:val="left" w:leader="none"/>
                                <w:tab w:pos="1696" w:val="left" w:leader="none"/>
                                <w:tab w:pos="2249" w:val="left" w:leader="none"/>
                                <w:tab w:pos="2901" w:val="left" w:leader="none"/>
                                <w:tab w:pos="3486" w:val="left" w:leader="none"/>
                                <w:tab w:pos="4557" w:val="right" w:leader="none"/>
                              </w:tabs>
                              <w:spacing w:before="68"/>
                              <w:ind w:left="57" w:right="0" w:firstLine="0"/>
                              <w:jc w:val="left"/>
                              <w:rPr>
                                <w:rFonts w:ascii="TT Norms Pro Light"/>
                                <w:b w:val="0"/>
                                <w:color w:val="000000"/>
                                <w:sz w:val="14"/>
                              </w:rPr>
                            </w:pPr>
                            <w:r>
                              <w:rPr>
                                <w:rFonts w:ascii="TT Norms Pro Light"/>
                                <w:b w:val="0"/>
                                <w:color w:val="000000"/>
                                <w:spacing w:val="-5"/>
                                <w:sz w:val="14"/>
                              </w:rPr>
                              <w:t>THE</w:t>
                            </w:r>
                            <w:r>
                              <w:rPr>
                                <w:rFonts w:ascii="TT Norms Pro Light"/>
                                <w:b w:val="0"/>
                                <w:color w:val="000000"/>
                                <w:sz w:val="14"/>
                              </w:rPr>
                              <w:tab/>
                            </w:r>
                            <w:r>
                              <w:rPr>
                                <w:rFonts w:ascii="TT Norms Pro Light"/>
                                <w:b w:val="0"/>
                                <w:color w:val="000000"/>
                                <w:spacing w:val="-5"/>
                                <w:sz w:val="14"/>
                              </w:rPr>
                              <w:t>125</w:t>
                            </w:r>
                            <w:r>
                              <w:rPr>
                                <w:rFonts w:ascii="TT Norms Pro Light"/>
                                <w:b w:val="0"/>
                                <w:color w:val="000000"/>
                                <w:sz w:val="14"/>
                              </w:rPr>
                              <w:tab/>
                            </w:r>
                            <w:r>
                              <w:rPr>
                                <w:rFonts w:ascii="TT Norms Pro Light"/>
                                <w:b w:val="0"/>
                                <w:color w:val="000000"/>
                                <w:spacing w:val="-5"/>
                                <w:sz w:val="14"/>
                              </w:rPr>
                              <w:t>111</w:t>
                            </w:r>
                            <w:r>
                              <w:rPr>
                                <w:rFonts w:ascii="TT Norms Pro Light"/>
                                <w:b w:val="0"/>
                                <w:color w:val="000000"/>
                                <w:sz w:val="14"/>
                              </w:rPr>
                              <w:tab/>
                            </w:r>
                            <w:r>
                              <w:rPr>
                                <w:rFonts w:ascii="TT Norms Pro Light"/>
                                <w:b w:val="0"/>
                                <w:color w:val="000000"/>
                                <w:spacing w:val="-5"/>
                                <w:sz w:val="14"/>
                              </w:rPr>
                              <w:t>134</w:t>
                            </w:r>
                            <w:r>
                              <w:rPr>
                                <w:rFonts w:ascii="TT Norms Pro Light"/>
                                <w:b w:val="0"/>
                                <w:color w:val="000000"/>
                                <w:sz w:val="14"/>
                              </w:rPr>
                              <w:tab/>
                            </w:r>
                            <w:r>
                              <w:rPr>
                                <w:rFonts w:ascii="TT Norms Pro Light"/>
                                <w:b w:val="0"/>
                                <w:color w:val="000000"/>
                                <w:spacing w:val="-5"/>
                                <w:sz w:val="14"/>
                              </w:rPr>
                              <w:t>131</w:t>
                            </w:r>
                            <w:r>
                              <w:rPr>
                                <w:rFonts w:ascii="TT Norms Pro Light"/>
                                <w:b w:val="0"/>
                                <w:color w:val="000000"/>
                                <w:sz w:val="14"/>
                              </w:rPr>
                              <w:tab/>
                            </w:r>
                            <w:r>
                              <w:rPr>
                                <w:rFonts w:ascii="TT Norms Pro Light"/>
                                <w:b w:val="0"/>
                                <w:color w:val="000000"/>
                                <w:spacing w:val="-5"/>
                                <w:sz w:val="14"/>
                              </w:rPr>
                              <w:t>139</w:t>
                            </w:r>
                            <w:r>
                              <w:rPr>
                                <w:rFonts w:ascii="TT Norms Pro Light"/>
                                <w:b w:val="0"/>
                                <w:color w:val="000000"/>
                                <w:sz w:val="14"/>
                              </w:rPr>
                              <w:tab/>
                            </w:r>
                            <w:r>
                              <w:rPr>
                                <w:rFonts w:ascii="TT Norms Pro Light"/>
                                <w:b w:val="0"/>
                                <w:color w:val="000000"/>
                                <w:spacing w:val="-4"/>
                                <w:sz w:val="14"/>
                              </w:rPr>
                              <w:t>120-</w:t>
                            </w:r>
                            <w:r>
                              <w:rPr>
                                <w:rFonts w:ascii="TT Norms Pro Light"/>
                                <w:b w:val="0"/>
                                <w:color w:val="000000"/>
                                <w:w w:val="90"/>
                                <w:sz w:val="14"/>
                              </w:rPr>
                              <w:t>130</w:t>
                            </w:r>
                          </w:p>
                        </w:txbxContent>
                      </wps:txbx>
                      <wps:bodyPr wrap="square" lIns="0" tIns="0" rIns="0" bIns="0" rtlCol="0">
                        <a:noAutofit/>
                      </wps:bodyPr>
                    </wps:wsp>
                  </a:graphicData>
                </a:graphic>
              </wp:inline>
            </w:drawing>
          </mc:Choice>
          <mc:Fallback>
            <w:pict>
              <v:shape style="width:230.7pt;height:14.2pt;mso-position-horizontal-relative:char;mso-position-vertical-relative:line" type="#_x0000_t202" id="docshape485" filled="true" fillcolor="#e6e7e8" stroked="false">
                <w10:anchorlock/>
                <v:textbox inset="0,0,0,0">
                  <w:txbxContent>
                    <w:p>
                      <w:pPr>
                        <w:tabs>
                          <w:tab w:pos="1014" w:val="left" w:leader="none"/>
                          <w:tab w:pos="1696" w:val="left" w:leader="none"/>
                          <w:tab w:pos="2249" w:val="left" w:leader="none"/>
                          <w:tab w:pos="2901" w:val="left" w:leader="none"/>
                          <w:tab w:pos="3486" w:val="left" w:leader="none"/>
                          <w:tab w:pos="4557" w:val="right" w:leader="none"/>
                        </w:tabs>
                        <w:spacing w:before="68"/>
                        <w:ind w:left="57" w:right="0" w:firstLine="0"/>
                        <w:jc w:val="left"/>
                        <w:rPr>
                          <w:rFonts w:ascii="TT Norms Pro Light"/>
                          <w:b w:val="0"/>
                          <w:color w:val="000000"/>
                          <w:sz w:val="14"/>
                        </w:rPr>
                      </w:pPr>
                      <w:r>
                        <w:rPr>
                          <w:rFonts w:ascii="TT Norms Pro Light"/>
                          <w:b w:val="0"/>
                          <w:color w:val="000000"/>
                          <w:spacing w:val="-5"/>
                          <w:sz w:val="14"/>
                        </w:rPr>
                        <w:t>THE</w:t>
                      </w:r>
                      <w:r>
                        <w:rPr>
                          <w:rFonts w:ascii="TT Norms Pro Light"/>
                          <w:b w:val="0"/>
                          <w:color w:val="000000"/>
                          <w:sz w:val="14"/>
                        </w:rPr>
                        <w:tab/>
                      </w:r>
                      <w:r>
                        <w:rPr>
                          <w:rFonts w:ascii="TT Norms Pro Light"/>
                          <w:b w:val="0"/>
                          <w:color w:val="000000"/>
                          <w:spacing w:val="-5"/>
                          <w:sz w:val="14"/>
                        </w:rPr>
                        <w:t>125</w:t>
                      </w:r>
                      <w:r>
                        <w:rPr>
                          <w:rFonts w:ascii="TT Norms Pro Light"/>
                          <w:b w:val="0"/>
                          <w:color w:val="000000"/>
                          <w:sz w:val="14"/>
                        </w:rPr>
                        <w:tab/>
                      </w:r>
                      <w:r>
                        <w:rPr>
                          <w:rFonts w:ascii="TT Norms Pro Light"/>
                          <w:b w:val="0"/>
                          <w:color w:val="000000"/>
                          <w:spacing w:val="-5"/>
                          <w:sz w:val="14"/>
                        </w:rPr>
                        <w:t>111</w:t>
                      </w:r>
                      <w:r>
                        <w:rPr>
                          <w:rFonts w:ascii="TT Norms Pro Light"/>
                          <w:b w:val="0"/>
                          <w:color w:val="000000"/>
                          <w:sz w:val="14"/>
                        </w:rPr>
                        <w:tab/>
                      </w:r>
                      <w:r>
                        <w:rPr>
                          <w:rFonts w:ascii="TT Norms Pro Light"/>
                          <w:b w:val="0"/>
                          <w:color w:val="000000"/>
                          <w:spacing w:val="-5"/>
                          <w:sz w:val="14"/>
                        </w:rPr>
                        <w:t>134</w:t>
                      </w:r>
                      <w:r>
                        <w:rPr>
                          <w:rFonts w:ascii="TT Norms Pro Light"/>
                          <w:b w:val="0"/>
                          <w:color w:val="000000"/>
                          <w:sz w:val="14"/>
                        </w:rPr>
                        <w:tab/>
                      </w:r>
                      <w:r>
                        <w:rPr>
                          <w:rFonts w:ascii="TT Norms Pro Light"/>
                          <w:b w:val="0"/>
                          <w:color w:val="000000"/>
                          <w:spacing w:val="-5"/>
                          <w:sz w:val="14"/>
                        </w:rPr>
                        <w:t>131</w:t>
                      </w:r>
                      <w:r>
                        <w:rPr>
                          <w:rFonts w:ascii="TT Norms Pro Light"/>
                          <w:b w:val="0"/>
                          <w:color w:val="000000"/>
                          <w:sz w:val="14"/>
                        </w:rPr>
                        <w:tab/>
                      </w:r>
                      <w:r>
                        <w:rPr>
                          <w:rFonts w:ascii="TT Norms Pro Light"/>
                          <w:b w:val="0"/>
                          <w:color w:val="000000"/>
                          <w:spacing w:val="-5"/>
                          <w:sz w:val="14"/>
                        </w:rPr>
                        <w:t>139</w:t>
                      </w:r>
                      <w:r>
                        <w:rPr>
                          <w:rFonts w:ascii="TT Norms Pro Light"/>
                          <w:b w:val="0"/>
                          <w:color w:val="000000"/>
                          <w:sz w:val="14"/>
                        </w:rPr>
                        <w:tab/>
                      </w:r>
                      <w:r>
                        <w:rPr>
                          <w:rFonts w:ascii="TT Norms Pro Light"/>
                          <w:b w:val="0"/>
                          <w:color w:val="000000"/>
                          <w:spacing w:val="-4"/>
                          <w:sz w:val="14"/>
                        </w:rPr>
                        <w:t>120-</w:t>
                      </w:r>
                      <w:r>
                        <w:rPr>
                          <w:rFonts w:ascii="TT Norms Pro Light"/>
                          <w:b w:val="0"/>
                          <w:color w:val="000000"/>
                          <w:w w:val="90"/>
                          <w:sz w:val="14"/>
                        </w:rPr>
                        <w:t>130</w:t>
                      </w:r>
                    </w:p>
                  </w:txbxContent>
                </v:textbox>
                <v:fill type="solid"/>
              </v:shape>
            </w:pict>
          </mc:Fallback>
        </mc:AlternateContent>
      </w:r>
      <w:r>
        <w:rPr>
          <w:sz w:val="20"/>
        </w:rPr>
      </w:r>
    </w:p>
    <w:p>
      <w:pPr>
        <w:pStyle w:val="BodyText"/>
        <w:spacing w:before="42"/>
        <w:rPr>
          <w:b w:val="0"/>
          <w:sz w:val="14"/>
        </w:rPr>
      </w:pPr>
    </w:p>
    <w:p>
      <w:pPr>
        <w:spacing w:before="0"/>
        <w:ind w:left="214" w:right="0" w:firstLine="0"/>
        <w:jc w:val="left"/>
        <w:rPr>
          <w:rFonts w:ascii="TT Norms Pro Light"/>
          <w:b w:val="0"/>
          <w:sz w:val="14"/>
        </w:rPr>
      </w:pPr>
      <w:r>
        <w:rPr>
          <w:rFonts w:ascii="TT Norms Pro"/>
          <w:b/>
          <w:sz w:val="14"/>
        </w:rPr>
        <w:t>Data</w:t>
      </w:r>
      <w:r>
        <w:rPr>
          <w:rFonts w:ascii="TT Norms Pro"/>
          <w:b/>
          <w:spacing w:val="7"/>
          <w:sz w:val="14"/>
        </w:rPr>
        <w:t> </w:t>
      </w:r>
      <w:r>
        <w:rPr>
          <w:rFonts w:ascii="TT Norms Pro"/>
          <w:b/>
          <w:sz w:val="14"/>
        </w:rPr>
        <w:t>source:</w:t>
      </w:r>
      <w:r>
        <w:rPr>
          <w:rFonts w:ascii="TT Norms Pro"/>
          <w:b/>
          <w:spacing w:val="7"/>
          <w:sz w:val="14"/>
        </w:rPr>
        <w:t> </w:t>
      </w:r>
      <w:r>
        <w:rPr>
          <w:rFonts w:ascii="TT Norms Pro Light"/>
          <w:b w:val="0"/>
          <w:sz w:val="14"/>
        </w:rPr>
        <w:t>ARWU</w:t>
      </w:r>
      <w:r>
        <w:rPr>
          <w:rFonts w:ascii="TT Norms Pro Light"/>
          <w:b w:val="0"/>
          <w:spacing w:val="8"/>
          <w:sz w:val="14"/>
        </w:rPr>
        <w:t> </w:t>
      </w:r>
      <w:hyperlink r:id="rId84">
        <w:r>
          <w:rPr>
            <w:rFonts w:ascii="TT Norms Pro Light"/>
            <w:b w:val="0"/>
            <w:spacing w:val="-2"/>
            <w:sz w:val="14"/>
          </w:rPr>
          <w:t>www.shanghairanking.com,</w:t>
        </w:r>
      </w:hyperlink>
    </w:p>
    <w:p>
      <w:pPr>
        <w:spacing w:line="264" w:lineRule="auto" w:before="16"/>
        <w:ind w:left="214" w:right="307" w:firstLine="0"/>
        <w:jc w:val="left"/>
        <w:rPr>
          <w:rFonts w:ascii="TT Norms Pro Light"/>
          <w:b w:val="0"/>
          <w:sz w:val="14"/>
        </w:rPr>
      </w:pPr>
      <w:r>
        <w:rPr>
          <w:rFonts w:ascii="TT Norms Pro Light"/>
          <w:b w:val="0"/>
          <w:sz w:val="14"/>
        </w:rPr>
        <w:t>QS </w:t>
      </w:r>
      <w:hyperlink r:id="rId85">
        <w:r>
          <w:rPr>
            <w:rFonts w:ascii="TT Norms Pro Light"/>
            <w:b w:val="0"/>
            <w:sz w:val="14"/>
          </w:rPr>
          <w:t>www.topuniversities.com,</w:t>
        </w:r>
      </w:hyperlink>
      <w:r>
        <w:rPr>
          <w:rFonts w:ascii="TT Norms Pro Light"/>
          <w:b w:val="0"/>
          <w:sz w:val="14"/>
        </w:rPr>
        <w:t> THE </w:t>
      </w:r>
      <w:hyperlink r:id="rId86">
        <w:r>
          <w:rPr>
            <w:rFonts w:ascii="TT Norms Pro Light"/>
            <w:b w:val="0"/>
            <w:sz w:val="14"/>
          </w:rPr>
          <w:t>www.timeshighereducation.co.uk/</w:t>
        </w:r>
      </w:hyperlink>
      <w:r>
        <w:rPr>
          <w:rFonts w:ascii="TT Norms Pro Light"/>
          <w:b w:val="0"/>
          <w:spacing w:val="40"/>
          <w:sz w:val="14"/>
        </w:rPr>
        <w:t> </w:t>
      </w:r>
      <w:r>
        <w:rPr>
          <w:rFonts w:ascii="TT Norms Pro Light"/>
          <w:b w:val="0"/>
          <w:spacing w:val="-2"/>
          <w:sz w:val="14"/>
        </w:rPr>
        <w:t>world-university-rankings</w:t>
      </w:r>
    </w:p>
    <w:p>
      <w:pPr>
        <w:spacing w:line="264" w:lineRule="auto" w:before="113"/>
        <w:ind w:left="214" w:right="307" w:firstLine="0"/>
        <w:jc w:val="left"/>
        <w:rPr>
          <w:rFonts w:ascii="TT Norms Pro Light"/>
          <w:b w:val="0"/>
          <w:sz w:val="14"/>
        </w:rPr>
      </w:pPr>
      <w:r>
        <w:rPr>
          <w:rFonts w:ascii="TT Norms Pro"/>
          <w:b/>
          <w:sz w:val="14"/>
        </w:rPr>
        <w:t>Notes: </w:t>
      </w:r>
      <w:r>
        <w:rPr>
          <w:rFonts w:ascii="TT Norms Pro Light"/>
          <w:b w:val="0"/>
          <w:sz w:val="14"/>
        </w:rPr>
        <w:t>This indicator was included in the 2019 Annual Report.</w:t>
      </w:r>
      <w:r>
        <w:rPr>
          <w:rFonts w:ascii="TT Norms Pro Light"/>
          <w:b w:val="0"/>
          <w:spacing w:val="40"/>
          <w:sz w:val="14"/>
        </w:rPr>
        <w:t> </w:t>
      </w:r>
      <w:r>
        <w:rPr>
          <w:rFonts w:ascii="TT Norms Pro Light"/>
          <w:b w:val="0"/>
          <w:sz w:val="14"/>
        </w:rPr>
        <w:t>Methodological changes are not uncommon in international ranking.</w:t>
      </w:r>
      <w:r>
        <w:rPr>
          <w:rFonts w:ascii="TT Norms Pro Light"/>
          <w:b w:val="0"/>
          <w:spacing w:val="40"/>
          <w:sz w:val="14"/>
        </w:rPr>
        <w:t> </w:t>
      </w:r>
      <w:r>
        <w:rPr>
          <w:rFonts w:ascii="TT Norms Pro Light"/>
          <w:b w:val="0"/>
          <w:sz w:val="14"/>
        </w:rPr>
        <w:t>Reporting year is the year of data release, not the year of naming</w:t>
      </w:r>
      <w:r>
        <w:rPr>
          <w:rFonts w:ascii="TT Norms Pro Light"/>
          <w:b w:val="0"/>
          <w:spacing w:val="40"/>
          <w:sz w:val="14"/>
        </w:rPr>
        <w:t> </w:t>
      </w:r>
      <w:r>
        <w:rPr>
          <w:rFonts w:ascii="TT Norms Pro Light"/>
          <w:b w:val="0"/>
          <w:sz w:val="14"/>
        </w:rPr>
        <w:t>convention from the ranking institutions. 2019 ARWU includes an</w:t>
      </w:r>
      <w:r>
        <w:rPr>
          <w:rFonts w:ascii="TT Norms Pro Light"/>
          <w:b w:val="0"/>
          <w:spacing w:val="40"/>
          <w:sz w:val="14"/>
        </w:rPr>
        <w:t> </w:t>
      </w:r>
      <w:r>
        <w:rPr>
          <w:rFonts w:ascii="TT Norms Pro Light"/>
          <w:b w:val="0"/>
          <w:sz w:val="14"/>
        </w:rPr>
        <w:t>omission by Shanghai Ranking of UWA Alumni Fields medal that was</w:t>
      </w:r>
      <w:r>
        <w:rPr>
          <w:rFonts w:ascii="TT Norms Pro Light"/>
          <w:b w:val="0"/>
          <w:spacing w:val="40"/>
          <w:sz w:val="14"/>
        </w:rPr>
        <w:t> </w:t>
      </w:r>
      <w:r>
        <w:rPr>
          <w:rFonts w:ascii="TT Norms Pro Light"/>
          <w:b w:val="0"/>
          <w:sz w:val="14"/>
        </w:rPr>
        <w:t>rectified in the 2020 rankings.</w:t>
      </w:r>
    </w:p>
    <w:p>
      <w:pPr>
        <w:pStyle w:val="BodyText"/>
        <w:rPr>
          <w:b w:val="0"/>
          <w:sz w:val="14"/>
        </w:rPr>
      </w:pPr>
    </w:p>
    <w:p>
      <w:pPr>
        <w:pStyle w:val="BodyText"/>
        <w:rPr>
          <w:b w:val="0"/>
          <w:sz w:val="14"/>
        </w:rPr>
      </w:pPr>
    </w:p>
    <w:p>
      <w:pPr>
        <w:pStyle w:val="BodyText"/>
        <w:spacing w:before="98"/>
        <w:rPr>
          <w:b w:val="0"/>
          <w:sz w:val="14"/>
        </w:rPr>
      </w:pPr>
    </w:p>
    <w:p>
      <w:pPr>
        <w:pStyle w:val="Heading9"/>
        <w:numPr>
          <w:ilvl w:val="1"/>
          <w:numId w:val="10"/>
        </w:numPr>
        <w:tabs>
          <w:tab w:pos="606" w:val="left" w:leader="none"/>
        </w:tabs>
        <w:spacing w:line="240" w:lineRule="auto" w:before="0" w:after="0"/>
        <w:ind w:left="606" w:right="0" w:hanging="393"/>
        <w:jc w:val="left"/>
      </w:pPr>
      <w:r>
        <w:rPr/>
        <w:t>PUBLICATIONS</w:t>
      </w:r>
      <w:r>
        <w:rPr>
          <w:spacing w:val="13"/>
        </w:rPr>
        <w:t> </w:t>
      </w:r>
      <w:r>
        <w:rPr/>
        <w:t>AND</w:t>
      </w:r>
      <w:r>
        <w:rPr>
          <w:spacing w:val="14"/>
        </w:rPr>
        <w:t> </w:t>
      </w:r>
      <w:r>
        <w:rPr>
          <w:spacing w:val="-2"/>
        </w:rPr>
        <w:t>OUTPUTS</w:t>
      </w:r>
    </w:p>
    <w:p>
      <w:pPr>
        <w:pStyle w:val="BodyText"/>
        <w:spacing w:line="295" w:lineRule="auto" w:before="154"/>
        <w:ind w:left="213" w:right="29"/>
        <w:rPr>
          <w:b w:val="0"/>
        </w:rPr>
      </w:pPr>
      <w:r>
        <w:rPr>
          <w:b w:val="0"/>
        </w:rPr>
        <w:t>UWA</w:t>
      </w:r>
      <w:r>
        <w:rPr>
          <w:b w:val="0"/>
          <w:spacing w:val="-1"/>
        </w:rPr>
        <w:t> </w:t>
      </w:r>
      <w:r>
        <w:rPr>
          <w:b w:val="0"/>
        </w:rPr>
        <w:t>is</w:t>
      </w:r>
      <w:r>
        <w:rPr>
          <w:b w:val="0"/>
          <w:spacing w:val="-1"/>
        </w:rPr>
        <w:t> </w:t>
      </w:r>
      <w:r>
        <w:rPr>
          <w:b w:val="0"/>
        </w:rPr>
        <w:t>committed</w:t>
      </w:r>
      <w:r>
        <w:rPr>
          <w:b w:val="0"/>
          <w:spacing w:val="-1"/>
        </w:rPr>
        <w:t> </w:t>
      </w:r>
      <w:r>
        <w:rPr>
          <w:b w:val="0"/>
        </w:rPr>
        <w:t>to</w:t>
      </w:r>
      <w:r>
        <w:rPr>
          <w:b w:val="0"/>
          <w:spacing w:val="-1"/>
        </w:rPr>
        <w:t> </w:t>
      </w:r>
      <w:r>
        <w:rPr>
          <w:b w:val="0"/>
        </w:rPr>
        <w:t>communicating</w:t>
      </w:r>
      <w:r>
        <w:rPr>
          <w:b w:val="0"/>
          <w:spacing w:val="-1"/>
        </w:rPr>
        <w:t> </w:t>
      </w:r>
      <w:r>
        <w:rPr>
          <w:b w:val="0"/>
        </w:rPr>
        <w:t>its</w:t>
      </w:r>
      <w:r>
        <w:rPr>
          <w:b w:val="0"/>
          <w:spacing w:val="-1"/>
        </w:rPr>
        <w:t> </w:t>
      </w:r>
      <w:r>
        <w:rPr>
          <w:b w:val="0"/>
        </w:rPr>
        <w:t>research</w:t>
      </w:r>
      <w:r>
        <w:rPr>
          <w:b w:val="0"/>
          <w:spacing w:val="-1"/>
        </w:rPr>
        <w:t> </w:t>
      </w:r>
      <w:r>
        <w:rPr>
          <w:b w:val="0"/>
        </w:rPr>
        <w:t>globally</w:t>
      </w:r>
      <w:r>
        <w:rPr>
          <w:b w:val="0"/>
          <w:spacing w:val="40"/>
        </w:rPr>
        <w:t> </w:t>
      </w:r>
      <w:r>
        <w:rPr>
          <w:b w:val="0"/>
        </w:rPr>
        <w:t>through high-quality publications. Publications in the top</w:t>
      </w:r>
      <w:r>
        <w:rPr>
          <w:b w:val="0"/>
          <w:spacing w:val="40"/>
        </w:rPr>
        <w:t> </w:t>
      </w:r>
      <w:r>
        <w:rPr>
          <w:b w:val="0"/>
        </w:rPr>
        <w:t>journal quintile are used to benchmark research outputs</w:t>
      </w:r>
      <w:r>
        <w:rPr>
          <w:b w:val="0"/>
          <w:spacing w:val="40"/>
        </w:rPr>
        <w:t> </w:t>
      </w:r>
      <w:r>
        <w:rPr>
          <w:b w:val="0"/>
        </w:rPr>
        <w:t>regardless of differences in size and disciplinary profiles,</w:t>
      </w:r>
      <w:r>
        <w:rPr>
          <w:b w:val="0"/>
          <w:spacing w:val="40"/>
        </w:rPr>
        <w:t> </w:t>
      </w:r>
      <w:r>
        <w:rPr>
          <w:b w:val="0"/>
        </w:rPr>
        <w:t>and to showcase the presence of publications in journals</w:t>
      </w:r>
      <w:r>
        <w:rPr>
          <w:b w:val="0"/>
          <w:spacing w:val="40"/>
        </w:rPr>
        <w:t> </w:t>
      </w:r>
      <w:r>
        <w:rPr>
          <w:b w:val="0"/>
        </w:rPr>
        <w:t>considered to be the most prestigious around the world.</w:t>
      </w:r>
      <w:r>
        <w:rPr>
          <w:b w:val="0"/>
          <w:spacing w:val="40"/>
        </w:rPr>
        <w:t> </w:t>
      </w:r>
      <w:r>
        <w:rPr>
          <w:b w:val="0"/>
        </w:rPr>
        <w:t>International co-authorship provides a means of</w:t>
      </w:r>
      <w:r>
        <w:rPr>
          <w:b w:val="0"/>
          <w:spacing w:val="40"/>
        </w:rPr>
        <w:t> </w:t>
      </w:r>
      <w:r>
        <w:rPr>
          <w:b w:val="0"/>
        </w:rPr>
        <w:t>monitoring collaboration and partnership activity.</w:t>
      </w:r>
    </w:p>
    <w:p>
      <w:pPr>
        <w:pStyle w:val="BodyText"/>
        <w:spacing w:line="295" w:lineRule="auto" w:before="7"/>
        <w:ind w:left="213" w:right="307"/>
        <w:rPr>
          <w:b w:val="0"/>
        </w:rPr>
      </w:pPr>
      <w:r>
        <w:rPr>
          <w:b w:val="0"/>
        </w:rPr>
        <w:t>This</w:t>
      </w:r>
      <w:r>
        <w:rPr>
          <w:b w:val="0"/>
          <w:spacing w:val="-2"/>
        </w:rPr>
        <w:t> </w:t>
      </w:r>
      <w:r>
        <w:rPr>
          <w:b w:val="0"/>
        </w:rPr>
        <w:t>provides</w:t>
      </w:r>
      <w:r>
        <w:rPr>
          <w:b w:val="0"/>
          <w:spacing w:val="-2"/>
        </w:rPr>
        <w:t> </w:t>
      </w:r>
      <w:r>
        <w:rPr>
          <w:b w:val="0"/>
        </w:rPr>
        <w:t>some</w:t>
      </w:r>
      <w:r>
        <w:rPr>
          <w:b w:val="0"/>
          <w:spacing w:val="-2"/>
        </w:rPr>
        <w:t> </w:t>
      </w:r>
      <w:r>
        <w:rPr>
          <w:b w:val="0"/>
        </w:rPr>
        <w:t>insight</w:t>
      </w:r>
      <w:r>
        <w:rPr>
          <w:b w:val="0"/>
          <w:spacing w:val="-2"/>
        </w:rPr>
        <w:t> </w:t>
      </w:r>
      <w:r>
        <w:rPr>
          <w:b w:val="0"/>
        </w:rPr>
        <w:t>into</w:t>
      </w:r>
      <w:r>
        <w:rPr>
          <w:b w:val="0"/>
          <w:spacing w:val="-2"/>
        </w:rPr>
        <w:t> </w:t>
      </w:r>
      <w:r>
        <w:rPr>
          <w:b w:val="0"/>
        </w:rPr>
        <w:t>how</w:t>
      </w:r>
      <w:r>
        <w:rPr>
          <w:b w:val="0"/>
          <w:spacing w:val="-2"/>
        </w:rPr>
        <w:t> </w:t>
      </w:r>
      <w:r>
        <w:rPr>
          <w:b w:val="0"/>
        </w:rPr>
        <w:t>globally</w:t>
      </w:r>
      <w:r>
        <w:rPr>
          <w:b w:val="0"/>
          <w:spacing w:val="-2"/>
        </w:rPr>
        <w:t> </w:t>
      </w:r>
      <w:r>
        <w:rPr>
          <w:b w:val="0"/>
        </w:rPr>
        <w:t>relevant</w:t>
      </w:r>
      <w:r>
        <w:rPr>
          <w:b w:val="0"/>
          <w:spacing w:val="40"/>
        </w:rPr>
        <w:t> </w:t>
      </w:r>
      <w:r>
        <w:rPr>
          <w:b w:val="0"/>
        </w:rPr>
        <w:t>and impactful institutional research activity is.</w:t>
      </w:r>
    </w:p>
    <w:p>
      <w:pPr>
        <w:pStyle w:val="BodyText"/>
        <w:spacing w:line="295" w:lineRule="auto" w:before="132"/>
        <w:ind w:left="213" w:right="1132"/>
        <w:rPr>
          <w:b w:val="0"/>
        </w:rPr>
      </w:pPr>
      <w:r>
        <w:rPr/>
        <w:br w:type="column"/>
      </w:r>
      <w:r>
        <w:rPr>
          <w:b w:val="0"/>
        </w:rPr>
        <w:t>The University has maintained its strong international</w:t>
      </w:r>
      <w:r>
        <w:rPr>
          <w:b w:val="0"/>
          <w:spacing w:val="40"/>
        </w:rPr>
        <w:t> </w:t>
      </w:r>
      <w:r>
        <w:rPr>
          <w:b w:val="0"/>
        </w:rPr>
        <w:t>partnerships and collaboration performance with a</w:t>
      </w:r>
      <w:r>
        <w:rPr>
          <w:b w:val="0"/>
          <w:spacing w:val="40"/>
        </w:rPr>
        <w:t> </w:t>
      </w:r>
      <w:r>
        <w:rPr>
          <w:b w:val="0"/>
        </w:rPr>
        <w:t>significant portion of published articles involving</w:t>
      </w:r>
      <w:r>
        <w:rPr>
          <w:b w:val="0"/>
          <w:spacing w:val="40"/>
        </w:rPr>
        <w:t> </w:t>
      </w:r>
      <w:r>
        <w:rPr>
          <w:b w:val="0"/>
        </w:rPr>
        <w:t>international co-authorship. The level of high-quality</w:t>
      </w:r>
      <w:r>
        <w:rPr>
          <w:b w:val="0"/>
          <w:spacing w:val="40"/>
        </w:rPr>
        <w:t> </w:t>
      </w:r>
      <w:r>
        <w:rPr>
          <w:b w:val="0"/>
        </w:rPr>
        <w:t>research output in 2020 remained consistent with 2019's</w:t>
      </w:r>
      <w:r>
        <w:rPr>
          <w:b w:val="0"/>
          <w:spacing w:val="40"/>
        </w:rPr>
        <w:t> </w:t>
      </w:r>
      <w:r>
        <w:rPr>
          <w:b w:val="0"/>
        </w:rPr>
        <w:t>performance. Ensuring high-quality research outputs will</w:t>
      </w:r>
      <w:r>
        <w:rPr>
          <w:b w:val="0"/>
          <w:spacing w:val="40"/>
        </w:rPr>
        <w:t> </w:t>
      </w:r>
      <w:r>
        <w:rPr>
          <w:b w:val="0"/>
        </w:rPr>
        <w:t>continue to be a strategic focus for the University.</w:t>
      </w:r>
    </w:p>
    <w:p>
      <w:pPr>
        <w:pStyle w:val="BodyText"/>
        <w:spacing w:before="50"/>
        <w:rPr>
          <w:b w:val="0"/>
        </w:rPr>
      </w:pPr>
    </w:p>
    <w:p>
      <w:pPr>
        <w:spacing w:line="295" w:lineRule="auto" w:before="1"/>
        <w:ind w:left="213" w:right="1790" w:firstLine="0"/>
        <w:jc w:val="left"/>
        <w:rPr>
          <w:rFonts w:ascii="TT Norms Pro"/>
          <w:b/>
          <w:sz w:val="18"/>
        </w:rPr>
      </w:pPr>
      <w:r>
        <w:rPr>
          <w:rFonts w:ascii="TT Norms Pro"/>
          <w:b/>
          <w:sz w:val="18"/>
        </w:rPr>
        <w:t>Percentage of UWA articles published in top</w:t>
      </w:r>
      <w:r>
        <w:rPr>
          <w:rFonts w:ascii="TT Norms Pro"/>
          <w:b/>
          <w:spacing w:val="40"/>
          <w:sz w:val="18"/>
        </w:rPr>
        <w:t> </w:t>
      </w:r>
      <w:r>
        <w:rPr>
          <w:rFonts w:ascii="TT Norms Pro"/>
          <w:b/>
          <w:sz w:val="18"/>
        </w:rPr>
        <w:t>20% of journals</w:t>
      </w:r>
    </w:p>
    <w:tbl>
      <w:tblPr>
        <w:tblW w:w="0" w:type="auto"/>
        <w:jc w:val="left"/>
        <w:tblInd w:w="2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36"/>
        <w:gridCol w:w="730"/>
        <w:gridCol w:w="613"/>
        <w:gridCol w:w="620"/>
        <w:gridCol w:w="604"/>
        <w:gridCol w:w="628"/>
        <w:gridCol w:w="786"/>
      </w:tblGrid>
      <w:tr>
        <w:trPr>
          <w:trHeight w:val="229" w:hRule="atLeast"/>
        </w:trPr>
        <w:tc>
          <w:tcPr>
            <w:tcW w:w="636" w:type="dxa"/>
            <w:tcBorders>
              <w:top w:val="single" w:sz="8" w:space="0" w:color="000000"/>
            </w:tcBorders>
          </w:tcPr>
          <w:p>
            <w:pPr>
              <w:pStyle w:val="TableParagraph"/>
              <w:rPr>
                <w:rFonts w:ascii="Times New Roman"/>
                <w:sz w:val="16"/>
              </w:rPr>
            </w:pPr>
          </w:p>
        </w:tc>
        <w:tc>
          <w:tcPr>
            <w:tcW w:w="730" w:type="dxa"/>
            <w:tcBorders>
              <w:top w:val="single" w:sz="8" w:space="0" w:color="000000"/>
            </w:tcBorders>
          </w:tcPr>
          <w:p>
            <w:pPr>
              <w:pStyle w:val="TableParagraph"/>
              <w:spacing w:line="154" w:lineRule="exact" w:before="56"/>
              <w:ind w:right="162"/>
              <w:jc w:val="right"/>
              <w:rPr>
                <w:rFonts w:ascii="TT Norms Pro"/>
                <w:b/>
                <w:sz w:val="14"/>
              </w:rPr>
            </w:pPr>
            <w:r>
              <w:rPr>
                <w:rFonts w:ascii="TT Norms Pro"/>
                <w:b/>
                <w:spacing w:val="-4"/>
                <w:sz w:val="14"/>
              </w:rPr>
              <w:t>2016</w:t>
            </w:r>
          </w:p>
        </w:tc>
        <w:tc>
          <w:tcPr>
            <w:tcW w:w="613" w:type="dxa"/>
            <w:tcBorders>
              <w:top w:val="single" w:sz="8" w:space="0" w:color="000000"/>
            </w:tcBorders>
          </w:tcPr>
          <w:p>
            <w:pPr>
              <w:pStyle w:val="TableParagraph"/>
              <w:spacing w:line="154" w:lineRule="exact" w:before="56"/>
              <w:ind w:left="79" w:right="97"/>
              <w:jc w:val="center"/>
              <w:rPr>
                <w:rFonts w:ascii="TT Norms Pro"/>
                <w:b/>
                <w:sz w:val="14"/>
              </w:rPr>
            </w:pPr>
            <w:r>
              <w:rPr>
                <w:rFonts w:ascii="TT Norms Pro"/>
                <w:b/>
                <w:spacing w:val="-4"/>
                <w:sz w:val="14"/>
              </w:rPr>
              <w:t>2017</w:t>
            </w:r>
          </w:p>
        </w:tc>
        <w:tc>
          <w:tcPr>
            <w:tcW w:w="620" w:type="dxa"/>
            <w:tcBorders>
              <w:top w:val="single" w:sz="8" w:space="0" w:color="000000"/>
            </w:tcBorders>
          </w:tcPr>
          <w:p>
            <w:pPr>
              <w:pStyle w:val="TableParagraph"/>
              <w:spacing w:line="154" w:lineRule="exact" w:before="56"/>
              <w:ind w:right="157"/>
              <w:jc w:val="right"/>
              <w:rPr>
                <w:rFonts w:ascii="TT Norms Pro"/>
                <w:b/>
                <w:sz w:val="14"/>
              </w:rPr>
            </w:pPr>
            <w:r>
              <w:rPr>
                <w:rFonts w:ascii="TT Norms Pro"/>
                <w:b/>
                <w:spacing w:val="-4"/>
                <w:sz w:val="14"/>
              </w:rPr>
              <w:t>2018</w:t>
            </w:r>
          </w:p>
        </w:tc>
        <w:tc>
          <w:tcPr>
            <w:tcW w:w="604" w:type="dxa"/>
            <w:tcBorders>
              <w:top w:val="single" w:sz="8" w:space="0" w:color="000000"/>
            </w:tcBorders>
          </w:tcPr>
          <w:p>
            <w:pPr>
              <w:pStyle w:val="TableParagraph"/>
              <w:spacing w:line="154" w:lineRule="exact" w:before="56"/>
              <w:ind w:left="85" w:right="94"/>
              <w:jc w:val="center"/>
              <w:rPr>
                <w:rFonts w:ascii="TT Norms Pro"/>
                <w:b/>
                <w:sz w:val="14"/>
              </w:rPr>
            </w:pPr>
            <w:r>
              <w:rPr>
                <w:rFonts w:ascii="TT Norms Pro"/>
                <w:b/>
                <w:spacing w:val="-4"/>
                <w:sz w:val="14"/>
              </w:rPr>
              <w:t>2019</w:t>
            </w:r>
          </w:p>
        </w:tc>
        <w:tc>
          <w:tcPr>
            <w:tcW w:w="628" w:type="dxa"/>
            <w:tcBorders>
              <w:top w:val="single" w:sz="8" w:space="0" w:color="000000"/>
            </w:tcBorders>
          </w:tcPr>
          <w:p>
            <w:pPr>
              <w:pStyle w:val="TableParagraph"/>
              <w:spacing w:line="154" w:lineRule="exact" w:before="56"/>
              <w:ind w:right="39"/>
              <w:jc w:val="center"/>
              <w:rPr>
                <w:rFonts w:ascii="TT Norms Pro"/>
                <w:b/>
                <w:sz w:val="14"/>
              </w:rPr>
            </w:pPr>
            <w:r>
              <w:rPr>
                <w:rFonts w:ascii="TT Norms Pro"/>
                <w:b/>
                <w:spacing w:val="-4"/>
                <w:sz w:val="14"/>
              </w:rPr>
              <w:t>2020</w:t>
            </w:r>
          </w:p>
        </w:tc>
        <w:tc>
          <w:tcPr>
            <w:tcW w:w="786" w:type="dxa"/>
            <w:tcBorders>
              <w:top w:val="single" w:sz="8" w:space="0" w:color="000000"/>
            </w:tcBorders>
          </w:tcPr>
          <w:p>
            <w:pPr>
              <w:pStyle w:val="TableParagraph"/>
              <w:spacing w:line="154" w:lineRule="exact" w:before="56"/>
              <w:ind w:right="83"/>
              <w:jc w:val="right"/>
              <w:rPr>
                <w:rFonts w:ascii="TT Norms Pro"/>
                <w:b/>
                <w:sz w:val="14"/>
              </w:rPr>
            </w:pPr>
            <w:r>
              <w:rPr>
                <w:rFonts w:ascii="TT Norms Pro"/>
                <w:b/>
                <w:spacing w:val="-4"/>
                <w:sz w:val="14"/>
              </w:rPr>
              <w:t>2020</w:t>
            </w:r>
          </w:p>
        </w:tc>
      </w:tr>
      <w:tr>
        <w:trPr>
          <w:trHeight w:val="236" w:hRule="atLeast"/>
        </w:trPr>
        <w:tc>
          <w:tcPr>
            <w:tcW w:w="636" w:type="dxa"/>
            <w:tcBorders>
              <w:bottom w:val="single" w:sz="2" w:space="0" w:color="000000"/>
            </w:tcBorders>
          </w:tcPr>
          <w:p>
            <w:pPr>
              <w:pStyle w:val="TableParagraph"/>
              <w:rPr>
                <w:rFonts w:ascii="Times New Roman"/>
                <w:sz w:val="16"/>
              </w:rPr>
            </w:pPr>
          </w:p>
        </w:tc>
        <w:tc>
          <w:tcPr>
            <w:tcW w:w="730" w:type="dxa"/>
            <w:tcBorders>
              <w:bottom w:val="single" w:sz="2" w:space="0" w:color="000000"/>
            </w:tcBorders>
          </w:tcPr>
          <w:p>
            <w:pPr>
              <w:pStyle w:val="TableParagraph"/>
              <w:rPr>
                <w:rFonts w:ascii="Times New Roman"/>
                <w:sz w:val="16"/>
              </w:rPr>
            </w:pPr>
          </w:p>
        </w:tc>
        <w:tc>
          <w:tcPr>
            <w:tcW w:w="613" w:type="dxa"/>
            <w:tcBorders>
              <w:bottom w:val="single" w:sz="2" w:space="0" w:color="000000"/>
            </w:tcBorders>
          </w:tcPr>
          <w:p>
            <w:pPr>
              <w:pStyle w:val="TableParagraph"/>
              <w:rPr>
                <w:rFonts w:ascii="Times New Roman"/>
                <w:sz w:val="16"/>
              </w:rPr>
            </w:pPr>
          </w:p>
        </w:tc>
        <w:tc>
          <w:tcPr>
            <w:tcW w:w="620" w:type="dxa"/>
            <w:tcBorders>
              <w:bottom w:val="single" w:sz="2" w:space="0" w:color="000000"/>
            </w:tcBorders>
          </w:tcPr>
          <w:p>
            <w:pPr>
              <w:pStyle w:val="TableParagraph"/>
              <w:rPr>
                <w:rFonts w:ascii="Times New Roman"/>
                <w:sz w:val="16"/>
              </w:rPr>
            </w:pPr>
          </w:p>
        </w:tc>
        <w:tc>
          <w:tcPr>
            <w:tcW w:w="604" w:type="dxa"/>
            <w:tcBorders>
              <w:bottom w:val="single" w:sz="2" w:space="0" w:color="000000"/>
            </w:tcBorders>
          </w:tcPr>
          <w:p>
            <w:pPr>
              <w:pStyle w:val="TableParagraph"/>
              <w:rPr>
                <w:rFonts w:ascii="Times New Roman"/>
                <w:sz w:val="16"/>
              </w:rPr>
            </w:pPr>
          </w:p>
        </w:tc>
        <w:tc>
          <w:tcPr>
            <w:tcW w:w="628" w:type="dxa"/>
            <w:tcBorders>
              <w:bottom w:val="single" w:sz="2" w:space="0" w:color="000000"/>
            </w:tcBorders>
          </w:tcPr>
          <w:p>
            <w:pPr>
              <w:pStyle w:val="TableParagraph"/>
              <w:rPr>
                <w:rFonts w:ascii="Times New Roman"/>
                <w:sz w:val="16"/>
              </w:rPr>
            </w:pPr>
          </w:p>
        </w:tc>
        <w:tc>
          <w:tcPr>
            <w:tcW w:w="786" w:type="dxa"/>
            <w:tcBorders>
              <w:bottom w:val="single" w:sz="2" w:space="0" w:color="000000"/>
            </w:tcBorders>
          </w:tcPr>
          <w:p>
            <w:pPr>
              <w:pStyle w:val="TableParagraph"/>
              <w:spacing w:before="26"/>
              <w:ind w:right="83"/>
              <w:jc w:val="right"/>
              <w:rPr>
                <w:rFonts w:ascii="TT Norms Pro"/>
                <w:b/>
                <w:sz w:val="14"/>
              </w:rPr>
            </w:pPr>
            <w:r>
              <w:rPr>
                <w:rFonts w:ascii="TT Norms Pro"/>
                <w:b/>
                <w:spacing w:val="-2"/>
                <w:sz w:val="14"/>
              </w:rPr>
              <w:t>TARGET</w:t>
            </w:r>
          </w:p>
        </w:tc>
      </w:tr>
      <w:tr>
        <w:trPr>
          <w:trHeight w:val="280" w:hRule="atLeast"/>
        </w:trPr>
        <w:tc>
          <w:tcPr>
            <w:tcW w:w="636" w:type="dxa"/>
            <w:tcBorders>
              <w:top w:val="single" w:sz="2" w:space="0" w:color="000000"/>
            </w:tcBorders>
            <w:shd w:val="clear" w:color="auto" w:fill="E6E7E8"/>
          </w:tcPr>
          <w:p>
            <w:pPr>
              <w:pStyle w:val="TableParagraph"/>
              <w:spacing w:before="66"/>
              <w:ind w:left="57"/>
              <w:rPr>
                <w:rFonts w:ascii="TT Norms Pro Light"/>
                <w:b w:val="0"/>
                <w:sz w:val="14"/>
              </w:rPr>
            </w:pPr>
            <w:r>
              <w:rPr>
                <w:rFonts w:ascii="TT Norms Pro Light"/>
                <w:b w:val="0"/>
                <w:spacing w:val="-5"/>
                <w:sz w:val="14"/>
              </w:rPr>
              <w:t>UWA</w:t>
            </w:r>
          </w:p>
        </w:tc>
        <w:tc>
          <w:tcPr>
            <w:tcW w:w="730" w:type="dxa"/>
            <w:tcBorders>
              <w:top w:val="single" w:sz="2" w:space="0" w:color="000000"/>
            </w:tcBorders>
            <w:shd w:val="clear" w:color="auto" w:fill="E6E7E8"/>
          </w:tcPr>
          <w:p>
            <w:pPr>
              <w:pStyle w:val="TableParagraph"/>
              <w:spacing w:before="66"/>
              <w:ind w:right="141"/>
              <w:jc w:val="right"/>
              <w:rPr>
                <w:rFonts w:ascii="TT Norms Pro Light"/>
                <w:b w:val="0"/>
                <w:sz w:val="14"/>
              </w:rPr>
            </w:pPr>
            <w:r>
              <w:rPr>
                <w:rFonts w:ascii="TT Norms Pro Light"/>
                <w:b w:val="0"/>
                <w:spacing w:val="-5"/>
                <w:sz w:val="14"/>
              </w:rPr>
              <w:t>47%</w:t>
            </w:r>
          </w:p>
        </w:tc>
        <w:tc>
          <w:tcPr>
            <w:tcW w:w="613" w:type="dxa"/>
            <w:tcBorders>
              <w:top w:val="single" w:sz="2" w:space="0" w:color="000000"/>
            </w:tcBorders>
            <w:shd w:val="clear" w:color="auto" w:fill="E6E7E8"/>
          </w:tcPr>
          <w:p>
            <w:pPr>
              <w:pStyle w:val="TableParagraph"/>
              <w:spacing w:before="66"/>
              <w:ind w:left="97" w:right="18"/>
              <w:jc w:val="center"/>
              <w:rPr>
                <w:rFonts w:ascii="TT Norms Pro Light"/>
                <w:b w:val="0"/>
                <w:sz w:val="14"/>
              </w:rPr>
            </w:pPr>
            <w:r>
              <w:rPr>
                <w:rFonts w:ascii="TT Norms Pro Light"/>
                <w:b w:val="0"/>
                <w:spacing w:val="-5"/>
                <w:sz w:val="14"/>
              </w:rPr>
              <w:t>47%</w:t>
            </w:r>
          </w:p>
        </w:tc>
        <w:tc>
          <w:tcPr>
            <w:tcW w:w="620" w:type="dxa"/>
            <w:tcBorders>
              <w:top w:val="single" w:sz="2" w:space="0" w:color="000000"/>
            </w:tcBorders>
            <w:shd w:val="clear" w:color="auto" w:fill="E6E7E8"/>
          </w:tcPr>
          <w:p>
            <w:pPr>
              <w:pStyle w:val="TableParagraph"/>
              <w:spacing w:before="66"/>
              <w:ind w:right="137"/>
              <w:jc w:val="right"/>
              <w:rPr>
                <w:rFonts w:ascii="TT Norms Pro Light"/>
                <w:b w:val="0"/>
                <w:sz w:val="14"/>
              </w:rPr>
            </w:pPr>
            <w:r>
              <w:rPr>
                <w:rFonts w:ascii="TT Norms Pro Light"/>
                <w:b w:val="0"/>
                <w:spacing w:val="-5"/>
                <w:sz w:val="14"/>
              </w:rPr>
              <w:t>47%</w:t>
            </w:r>
          </w:p>
        </w:tc>
        <w:tc>
          <w:tcPr>
            <w:tcW w:w="604" w:type="dxa"/>
            <w:tcBorders>
              <w:top w:val="single" w:sz="2" w:space="0" w:color="000000"/>
            </w:tcBorders>
            <w:shd w:val="clear" w:color="auto" w:fill="E6E7E8"/>
          </w:tcPr>
          <w:p>
            <w:pPr>
              <w:pStyle w:val="TableParagraph"/>
              <w:spacing w:before="66"/>
              <w:ind w:left="94" w:right="9"/>
              <w:jc w:val="center"/>
              <w:rPr>
                <w:rFonts w:ascii="TT Norms Pro Light"/>
                <w:b w:val="0"/>
                <w:sz w:val="14"/>
              </w:rPr>
            </w:pPr>
            <w:r>
              <w:rPr>
                <w:rFonts w:ascii="TT Norms Pro Light"/>
                <w:b w:val="0"/>
                <w:spacing w:val="-5"/>
                <w:sz w:val="14"/>
              </w:rPr>
              <w:t>44%</w:t>
            </w:r>
          </w:p>
        </w:tc>
        <w:tc>
          <w:tcPr>
            <w:tcW w:w="628" w:type="dxa"/>
            <w:tcBorders>
              <w:top w:val="single" w:sz="2" w:space="0" w:color="000000"/>
            </w:tcBorders>
            <w:shd w:val="clear" w:color="auto" w:fill="E6E7E8"/>
          </w:tcPr>
          <w:p>
            <w:pPr>
              <w:pStyle w:val="TableParagraph"/>
              <w:spacing w:before="66"/>
              <w:ind w:left="92"/>
              <w:jc w:val="center"/>
              <w:rPr>
                <w:rFonts w:ascii="TT Norms Pro Light"/>
                <w:b w:val="0"/>
                <w:sz w:val="14"/>
              </w:rPr>
            </w:pPr>
            <w:r>
              <w:rPr>
                <w:rFonts w:ascii="TT Norms Pro Light"/>
                <w:b w:val="0"/>
                <w:spacing w:val="-5"/>
                <w:sz w:val="14"/>
              </w:rPr>
              <w:t>45%</w:t>
            </w:r>
          </w:p>
        </w:tc>
        <w:tc>
          <w:tcPr>
            <w:tcW w:w="786" w:type="dxa"/>
            <w:tcBorders>
              <w:top w:val="single" w:sz="2" w:space="0" w:color="000000"/>
            </w:tcBorders>
            <w:shd w:val="clear" w:color="auto" w:fill="E6E7E8"/>
          </w:tcPr>
          <w:p>
            <w:pPr>
              <w:pStyle w:val="TableParagraph"/>
              <w:spacing w:before="66"/>
              <w:ind w:right="59"/>
              <w:jc w:val="right"/>
              <w:rPr>
                <w:rFonts w:ascii="TT Norms Pro Light"/>
                <w:b w:val="0"/>
                <w:sz w:val="14"/>
              </w:rPr>
            </w:pPr>
            <w:r>
              <w:rPr>
                <w:rFonts w:ascii="TT Norms Pro Light"/>
                <w:b w:val="0"/>
                <w:spacing w:val="-5"/>
                <w:sz w:val="14"/>
              </w:rPr>
              <w:t>49%</w:t>
            </w:r>
          </w:p>
        </w:tc>
      </w:tr>
    </w:tbl>
    <w:p>
      <w:pPr>
        <w:pStyle w:val="BodyText"/>
        <w:spacing w:before="191"/>
        <w:rPr>
          <w:rFonts w:ascii="TT Norms Pro"/>
          <w:b/>
        </w:rPr>
      </w:pPr>
    </w:p>
    <w:p>
      <w:pPr>
        <w:spacing w:line="295" w:lineRule="auto" w:before="1"/>
        <w:ind w:left="213" w:right="1336" w:firstLine="0"/>
        <w:jc w:val="left"/>
        <w:rPr>
          <w:rFonts w:ascii="TT Norms Pro"/>
          <w:b/>
          <w:sz w:val="18"/>
        </w:rPr>
      </w:pPr>
      <w:r>
        <w:rPr>
          <w:rFonts w:ascii="TT Norms Pro"/>
          <w:b/>
          <w:sz w:val="18"/>
        </w:rPr>
        <w:t>Percentage of UWA articles published with</w:t>
      </w:r>
      <w:r>
        <w:rPr>
          <w:rFonts w:ascii="TT Norms Pro"/>
          <w:b/>
          <w:spacing w:val="40"/>
          <w:sz w:val="18"/>
        </w:rPr>
        <w:t> </w:t>
      </w:r>
      <w:r>
        <w:rPr>
          <w:rFonts w:ascii="TT Norms Pro"/>
          <w:b/>
          <w:sz w:val="18"/>
        </w:rPr>
        <w:t>international</w:t>
      </w:r>
      <w:r>
        <w:rPr>
          <w:rFonts w:ascii="TT Norms Pro"/>
          <w:b/>
          <w:spacing w:val="-3"/>
          <w:sz w:val="18"/>
        </w:rPr>
        <w:t> </w:t>
      </w:r>
      <w:r>
        <w:rPr>
          <w:rFonts w:ascii="TT Norms Pro"/>
          <w:b/>
          <w:sz w:val="18"/>
        </w:rPr>
        <w:t>co-authorship</w:t>
      </w:r>
    </w:p>
    <w:p>
      <w:pPr>
        <w:pStyle w:val="BodyText"/>
        <w:ind w:left="203"/>
        <w:rPr>
          <w:rFonts w:ascii="TT Norms Pro"/>
          <w:sz w:val="20"/>
        </w:rPr>
      </w:pPr>
      <w:r>
        <w:rPr>
          <w:rFonts w:ascii="TT Norms Pro"/>
          <w:sz w:val="20"/>
        </w:rPr>
        <mc:AlternateContent>
          <mc:Choice Requires="wps">
            <w:drawing>
              <wp:inline distT="0" distB="0" distL="0" distR="0">
                <wp:extent cx="2934335" cy="509270"/>
                <wp:effectExtent l="9525" t="0" r="0" b="5079"/>
                <wp:docPr id="737" name="Group 737"/>
                <wp:cNvGraphicFramePr>
                  <a:graphicFrameLocks/>
                </wp:cNvGraphicFramePr>
                <a:graphic>
                  <a:graphicData uri="http://schemas.microsoft.com/office/word/2010/wordprocessingGroup">
                    <wpg:wgp>
                      <wpg:cNvPr id="737" name="Group 737"/>
                      <wpg:cNvGrpSpPr/>
                      <wpg:grpSpPr>
                        <a:xfrm>
                          <a:off x="0" y="0"/>
                          <a:ext cx="2934335" cy="509270"/>
                          <a:chExt cx="2934335" cy="509270"/>
                        </a:xfrm>
                      </wpg:grpSpPr>
                      <wps:wsp>
                        <wps:cNvPr id="738" name="Graphic 738"/>
                        <wps:cNvSpPr/>
                        <wps:spPr>
                          <a:xfrm>
                            <a:off x="0" y="310519"/>
                            <a:ext cx="2934335" cy="198755"/>
                          </a:xfrm>
                          <a:custGeom>
                            <a:avLst/>
                            <a:gdLst/>
                            <a:ahLst/>
                            <a:cxnLst/>
                            <a:rect l="l" t="t" r="r" b="b"/>
                            <a:pathLst>
                              <a:path w="2934335" h="198755">
                                <a:moveTo>
                                  <a:pt x="2934004" y="0"/>
                                </a:moveTo>
                                <a:lnTo>
                                  <a:pt x="2200503" y="0"/>
                                </a:lnTo>
                                <a:lnTo>
                                  <a:pt x="1467002" y="0"/>
                                </a:lnTo>
                                <a:lnTo>
                                  <a:pt x="733501" y="0"/>
                                </a:lnTo>
                                <a:lnTo>
                                  <a:pt x="0" y="0"/>
                                </a:lnTo>
                                <a:lnTo>
                                  <a:pt x="0" y="198755"/>
                                </a:lnTo>
                                <a:lnTo>
                                  <a:pt x="733501" y="198755"/>
                                </a:lnTo>
                                <a:lnTo>
                                  <a:pt x="1467002" y="198755"/>
                                </a:lnTo>
                                <a:lnTo>
                                  <a:pt x="2200503" y="198755"/>
                                </a:lnTo>
                                <a:lnTo>
                                  <a:pt x="2934004" y="198755"/>
                                </a:lnTo>
                                <a:lnTo>
                                  <a:pt x="2934004" y="0"/>
                                </a:lnTo>
                                <a:close/>
                              </a:path>
                            </a:pathLst>
                          </a:custGeom>
                          <a:solidFill>
                            <a:srgbClr val="E6E7E8"/>
                          </a:solidFill>
                        </wps:spPr>
                        <wps:bodyPr wrap="square" lIns="0" tIns="0" rIns="0" bIns="0" rtlCol="0">
                          <a:prstTxWarp prst="textNoShape">
                            <a:avLst/>
                          </a:prstTxWarp>
                          <a:noAutofit/>
                        </wps:bodyPr>
                      </wps:wsp>
                      <wps:wsp>
                        <wps:cNvPr id="739" name="Graphic 739"/>
                        <wps:cNvSpPr/>
                        <wps:spPr>
                          <a:xfrm>
                            <a:off x="1" y="6350"/>
                            <a:ext cx="734060" cy="1270"/>
                          </a:xfrm>
                          <a:custGeom>
                            <a:avLst/>
                            <a:gdLst/>
                            <a:ahLst/>
                            <a:cxnLst/>
                            <a:rect l="l" t="t" r="r" b="b"/>
                            <a:pathLst>
                              <a:path w="734060" h="0">
                                <a:moveTo>
                                  <a:pt x="0" y="0"/>
                                </a:moveTo>
                                <a:lnTo>
                                  <a:pt x="733501" y="0"/>
                                </a:lnTo>
                              </a:path>
                            </a:pathLst>
                          </a:custGeom>
                          <a:ln w="12700">
                            <a:solidFill>
                              <a:srgbClr val="000000"/>
                            </a:solidFill>
                            <a:prstDash val="solid"/>
                          </a:ln>
                        </wps:spPr>
                        <wps:bodyPr wrap="square" lIns="0" tIns="0" rIns="0" bIns="0" rtlCol="0">
                          <a:prstTxWarp prst="textNoShape">
                            <a:avLst/>
                          </a:prstTxWarp>
                          <a:noAutofit/>
                        </wps:bodyPr>
                      </wps:wsp>
                      <wps:wsp>
                        <wps:cNvPr id="740" name="Graphic 740"/>
                        <wps:cNvSpPr/>
                        <wps:spPr>
                          <a:xfrm>
                            <a:off x="733502" y="6350"/>
                            <a:ext cx="734060" cy="1270"/>
                          </a:xfrm>
                          <a:custGeom>
                            <a:avLst/>
                            <a:gdLst/>
                            <a:ahLst/>
                            <a:cxnLst/>
                            <a:rect l="l" t="t" r="r" b="b"/>
                            <a:pathLst>
                              <a:path w="734060" h="0">
                                <a:moveTo>
                                  <a:pt x="0" y="0"/>
                                </a:moveTo>
                                <a:lnTo>
                                  <a:pt x="733501" y="0"/>
                                </a:lnTo>
                              </a:path>
                            </a:pathLst>
                          </a:custGeom>
                          <a:ln w="12700">
                            <a:solidFill>
                              <a:srgbClr val="000000"/>
                            </a:solidFill>
                            <a:prstDash val="solid"/>
                          </a:ln>
                        </wps:spPr>
                        <wps:bodyPr wrap="square" lIns="0" tIns="0" rIns="0" bIns="0" rtlCol="0">
                          <a:prstTxWarp prst="textNoShape">
                            <a:avLst/>
                          </a:prstTxWarp>
                          <a:noAutofit/>
                        </wps:bodyPr>
                      </wps:wsp>
                      <wps:wsp>
                        <wps:cNvPr id="741" name="Graphic 741"/>
                        <wps:cNvSpPr/>
                        <wps:spPr>
                          <a:xfrm>
                            <a:off x="1467002" y="6350"/>
                            <a:ext cx="734060" cy="1270"/>
                          </a:xfrm>
                          <a:custGeom>
                            <a:avLst/>
                            <a:gdLst/>
                            <a:ahLst/>
                            <a:cxnLst/>
                            <a:rect l="l" t="t" r="r" b="b"/>
                            <a:pathLst>
                              <a:path w="734060" h="0">
                                <a:moveTo>
                                  <a:pt x="0" y="0"/>
                                </a:moveTo>
                                <a:lnTo>
                                  <a:pt x="733501" y="0"/>
                                </a:lnTo>
                              </a:path>
                            </a:pathLst>
                          </a:custGeom>
                          <a:ln w="12700">
                            <a:solidFill>
                              <a:srgbClr val="000000"/>
                            </a:solidFill>
                            <a:prstDash val="solid"/>
                          </a:ln>
                        </wps:spPr>
                        <wps:bodyPr wrap="square" lIns="0" tIns="0" rIns="0" bIns="0" rtlCol="0">
                          <a:prstTxWarp prst="textNoShape">
                            <a:avLst/>
                          </a:prstTxWarp>
                          <a:noAutofit/>
                        </wps:bodyPr>
                      </wps:wsp>
                      <wps:wsp>
                        <wps:cNvPr id="742" name="Graphic 742"/>
                        <wps:cNvSpPr/>
                        <wps:spPr>
                          <a:xfrm>
                            <a:off x="2200501" y="6350"/>
                            <a:ext cx="734060" cy="1270"/>
                          </a:xfrm>
                          <a:custGeom>
                            <a:avLst/>
                            <a:gdLst/>
                            <a:ahLst/>
                            <a:cxnLst/>
                            <a:rect l="l" t="t" r="r" b="b"/>
                            <a:pathLst>
                              <a:path w="734060" h="0">
                                <a:moveTo>
                                  <a:pt x="0" y="0"/>
                                </a:moveTo>
                                <a:lnTo>
                                  <a:pt x="733501" y="0"/>
                                </a:lnTo>
                              </a:path>
                            </a:pathLst>
                          </a:custGeom>
                          <a:ln w="12700">
                            <a:solidFill>
                              <a:srgbClr val="000000"/>
                            </a:solidFill>
                            <a:prstDash val="solid"/>
                          </a:ln>
                        </wps:spPr>
                        <wps:bodyPr wrap="square" lIns="0" tIns="0" rIns="0" bIns="0" rtlCol="0">
                          <a:prstTxWarp prst="textNoShape">
                            <a:avLst/>
                          </a:prstTxWarp>
                          <a:noAutofit/>
                        </wps:bodyPr>
                      </wps:wsp>
                      <wps:wsp>
                        <wps:cNvPr id="743" name="Graphic 743"/>
                        <wps:cNvSpPr/>
                        <wps:spPr>
                          <a:xfrm>
                            <a:off x="1" y="310515"/>
                            <a:ext cx="734060" cy="1270"/>
                          </a:xfrm>
                          <a:custGeom>
                            <a:avLst/>
                            <a:gdLst/>
                            <a:ahLst/>
                            <a:cxnLst/>
                            <a:rect l="l" t="t" r="r" b="b"/>
                            <a:pathLst>
                              <a:path w="734060" h="0">
                                <a:moveTo>
                                  <a:pt x="0" y="0"/>
                                </a:moveTo>
                                <a:lnTo>
                                  <a:pt x="733501" y="0"/>
                                </a:lnTo>
                              </a:path>
                            </a:pathLst>
                          </a:custGeom>
                          <a:ln w="3175">
                            <a:solidFill>
                              <a:srgbClr val="000000"/>
                            </a:solidFill>
                            <a:prstDash val="solid"/>
                          </a:ln>
                        </wps:spPr>
                        <wps:bodyPr wrap="square" lIns="0" tIns="0" rIns="0" bIns="0" rtlCol="0">
                          <a:prstTxWarp prst="textNoShape">
                            <a:avLst/>
                          </a:prstTxWarp>
                          <a:noAutofit/>
                        </wps:bodyPr>
                      </wps:wsp>
                      <wps:wsp>
                        <wps:cNvPr id="744" name="Graphic 744"/>
                        <wps:cNvSpPr/>
                        <wps:spPr>
                          <a:xfrm>
                            <a:off x="733502" y="310515"/>
                            <a:ext cx="734060" cy="1270"/>
                          </a:xfrm>
                          <a:custGeom>
                            <a:avLst/>
                            <a:gdLst/>
                            <a:ahLst/>
                            <a:cxnLst/>
                            <a:rect l="l" t="t" r="r" b="b"/>
                            <a:pathLst>
                              <a:path w="734060" h="0">
                                <a:moveTo>
                                  <a:pt x="0" y="0"/>
                                </a:moveTo>
                                <a:lnTo>
                                  <a:pt x="733501" y="0"/>
                                </a:lnTo>
                              </a:path>
                            </a:pathLst>
                          </a:custGeom>
                          <a:ln w="3175">
                            <a:solidFill>
                              <a:srgbClr val="000000"/>
                            </a:solidFill>
                            <a:prstDash val="solid"/>
                          </a:ln>
                        </wps:spPr>
                        <wps:bodyPr wrap="square" lIns="0" tIns="0" rIns="0" bIns="0" rtlCol="0">
                          <a:prstTxWarp prst="textNoShape">
                            <a:avLst/>
                          </a:prstTxWarp>
                          <a:noAutofit/>
                        </wps:bodyPr>
                      </wps:wsp>
                      <wps:wsp>
                        <wps:cNvPr id="745" name="Graphic 745"/>
                        <wps:cNvSpPr/>
                        <wps:spPr>
                          <a:xfrm>
                            <a:off x="1467002" y="310515"/>
                            <a:ext cx="734060" cy="1270"/>
                          </a:xfrm>
                          <a:custGeom>
                            <a:avLst/>
                            <a:gdLst/>
                            <a:ahLst/>
                            <a:cxnLst/>
                            <a:rect l="l" t="t" r="r" b="b"/>
                            <a:pathLst>
                              <a:path w="734060" h="0">
                                <a:moveTo>
                                  <a:pt x="0" y="0"/>
                                </a:moveTo>
                                <a:lnTo>
                                  <a:pt x="733501" y="0"/>
                                </a:lnTo>
                              </a:path>
                            </a:pathLst>
                          </a:custGeom>
                          <a:ln w="3175">
                            <a:solidFill>
                              <a:srgbClr val="000000"/>
                            </a:solidFill>
                            <a:prstDash val="solid"/>
                          </a:ln>
                        </wps:spPr>
                        <wps:bodyPr wrap="square" lIns="0" tIns="0" rIns="0" bIns="0" rtlCol="0">
                          <a:prstTxWarp prst="textNoShape">
                            <a:avLst/>
                          </a:prstTxWarp>
                          <a:noAutofit/>
                        </wps:bodyPr>
                      </wps:wsp>
                      <wps:wsp>
                        <wps:cNvPr id="746" name="Graphic 746"/>
                        <wps:cNvSpPr/>
                        <wps:spPr>
                          <a:xfrm>
                            <a:off x="2200501" y="310515"/>
                            <a:ext cx="734060" cy="1270"/>
                          </a:xfrm>
                          <a:custGeom>
                            <a:avLst/>
                            <a:gdLst/>
                            <a:ahLst/>
                            <a:cxnLst/>
                            <a:rect l="l" t="t" r="r" b="b"/>
                            <a:pathLst>
                              <a:path w="734060" h="0">
                                <a:moveTo>
                                  <a:pt x="0" y="0"/>
                                </a:moveTo>
                                <a:lnTo>
                                  <a:pt x="733501" y="0"/>
                                </a:lnTo>
                              </a:path>
                            </a:pathLst>
                          </a:custGeom>
                          <a:ln w="3175">
                            <a:solidFill>
                              <a:srgbClr val="000000"/>
                            </a:solidFill>
                            <a:prstDash val="solid"/>
                          </a:ln>
                        </wps:spPr>
                        <wps:bodyPr wrap="square" lIns="0" tIns="0" rIns="0" bIns="0" rtlCol="0">
                          <a:prstTxWarp prst="textNoShape">
                            <a:avLst/>
                          </a:prstTxWarp>
                          <a:noAutofit/>
                        </wps:bodyPr>
                      </wps:wsp>
                      <wps:wsp>
                        <wps:cNvPr id="747" name="Textbox 747"/>
                        <wps:cNvSpPr txBox="1"/>
                        <wps:spPr>
                          <a:xfrm>
                            <a:off x="1212037" y="35813"/>
                            <a:ext cx="218440" cy="118745"/>
                          </a:xfrm>
                          <a:prstGeom prst="rect">
                            <a:avLst/>
                          </a:prstGeom>
                        </wps:spPr>
                        <wps:txbx>
                          <w:txbxContent>
                            <w:p>
                              <w:pPr>
                                <w:spacing w:before="19"/>
                                <w:ind w:left="0" w:right="0" w:firstLine="0"/>
                                <w:jc w:val="left"/>
                                <w:rPr>
                                  <w:rFonts w:ascii="TT Norms Pro"/>
                                  <w:b/>
                                  <w:sz w:val="14"/>
                                </w:rPr>
                              </w:pPr>
                              <w:r>
                                <w:rPr>
                                  <w:rFonts w:ascii="TT Norms Pro"/>
                                  <w:b/>
                                  <w:spacing w:val="-4"/>
                                  <w:sz w:val="14"/>
                                </w:rPr>
                                <w:t>2019</w:t>
                              </w:r>
                            </w:p>
                          </w:txbxContent>
                        </wps:txbx>
                        <wps:bodyPr wrap="square" lIns="0" tIns="0" rIns="0" bIns="0" rtlCol="0">
                          <a:noAutofit/>
                        </wps:bodyPr>
                      </wps:wsp>
                      <wps:wsp>
                        <wps:cNvPr id="748" name="Textbox 748"/>
                        <wps:cNvSpPr txBox="1"/>
                        <wps:spPr>
                          <a:xfrm>
                            <a:off x="1924926" y="35813"/>
                            <a:ext cx="238125" cy="118745"/>
                          </a:xfrm>
                          <a:prstGeom prst="rect">
                            <a:avLst/>
                          </a:prstGeom>
                        </wps:spPr>
                        <wps:txbx>
                          <w:txbxContent>
                            <w:p>
                              <w:pPr>
                                <w:spacing w:before="19"/>
                                <w:ind w:left="0" w:right="0" w:firstLine="0"/>
                                <w:jc w:val="left"/>
                                <w:rPr>
                                  <w:rFonts w:ascii="TT Norms Pro"/>
                                  <w:b/>
                                  <w:sz w:val="14"/>
                                </w:rPr>
                              </w:pPr>
                              <w:r>
                                <w:rPr>
                                  <w:rFonts w:ascii="TT Norms Pro"/>
                                  <w:b/>
                                  <w:spacing w:val="-4"/>
                                  <w:sz w:val="14"/>
                                </w:rPr>
                                <w:t>2020</w:t>
                              </w:r>
                            </w:p>
                          </w:txbxContent>
                        </wps:txbx>
                        <wps:bodyPr wrap="square" lIns="0" tIns="0" rIns="0" bIns="0" rtlCol="0">
                          <a:noAutofit/>
                        </wps:bodyPr>
                      </wps:wsp>
                      <wps:wsp>
                        <wps:cNvPr id="749" name="Textbox 749"/>
                        <wps:cNvSpPr txBox="1"/>
                        <wps:spPr>
                          <a:xfrm>
                            <a:off x="2517444" y="35813"/>
                            <a:ext cx="379095" cy="245745"/>
                          </a:xfrm>
                          <a:prstGeom prst="rect">
                            <a:avLst/>
                          </a:prstGeom>
                        </wps:spPr>
                        <wps:txbx>
                          <w:txbxContent>
                            <w:p>
                              <w:pPr>
                                <w:spacing w:before="19"/>
                                <w:ind w:left="222" w:right="0" w:firstLine="0"/>
                                <w:jc w:val="left"/>
                                <w:rPr>
                                  <w:rFonts w:ascii="TT Norms Pro"/>
                                  <w:b/>
                                  <w:sz w:val="14"/>
                                </w:rPr>
                              </w:pPr>
                              <w:r>
                                <w:rPr>
                                  <w:rFonts w:ascii="TT Norms Pro"/>
                                  <w:b/>
                                  <w:spacing w:val="-4"/>
                                  <w:sz w:val="14"/>
                                </w:rPr>
                                <w:t>2020</w:t>
                              </w:r>
                            </w:p>
                            <w:p>
                              <w:pPr>
                                <w:spacing w:before="37"/>
                                <w:ind w:left="0" w:right="0" w:firstLine="0"/>
                                <w:jc w:val="left"/>
                                <w:rPr>
                                  <w:rFonts w:ascii="TT Norms Pro"/>
                                  <w:b/>
                                  <w:sz w:val="14"/>
                                </w:rPr>
                              </w:pPr>
                              <w:r>
                                <w:rPr>
                                  <w:rFonts w:ascii="TT Norms Pro"/>
                                  <w:b/>
                                  <w:spacing w:val="-2"/>
                                  <w:sz w:val="14"/>
                                </w:rPr>
                                <w:t>TARGET</w:t>
                              </w:r>
                            </w:p>
                          </w:txbxContent>
                        </wps:txbx>
                        <wps:bodyPr wrap="square" lIns="0" tIns="0" rIns="0" bIns="0" rtlCol="0">
                          <a:noAutofit/>
                        </wps:bodyPr>
                      </wps:wsp>
                      <wps:wsp>
                        <wps:cNvPr id="750" name="Textbox 750"/>
                        <wps:cNvSpPr txBox="1"/>
                        <wps:spPr>
                          <a:xfrm>
                            <a:off x="0" y="312102"/>
                            <a:ext cx="2934335" cy="197485"/>
                          </a:xfrm>
                          <a:prstGeom prst="rect">
                            <a:avLst/>
                          </a:prstGeom>
                        </wps:spPr>
                        <wps:txbx>
                          <w:txbxContent>
                            <w:p>
                              <w:pPr>
                                <w:tabs>
                                  <w:tab w:pos="1985" w:val="left" w:leader="none"/>
                                  <w:tab w:pos="3140" w:val="left" w:leader="none"/>
                                  <w:tab w:pos="4330" w:val="left" w:leader="none"/>
                                </w:tabs>
                                <w:spacing w:before="80"/>
                                <w:ind w:left="56" w:right="0" w:firstLine="0"/>
                                <w:jc w:val="left"/>
                                <w:rPr>
                                  <w:rFonts w:ascii="TT Norms Pro Light"/>
                                  <w:b w:val="0"/>
                                  <w:sz w:val="14"/>
                                </w:rPr>
                              </w:pPr>
                              <w:r>
                                <w:rPr>
                                  <w:rFonts w:ascii="TT Norms Pro Light"/>
                                  <w:b w:val="0"/>
                                  <w:spacing w:val="-5"/>
                                  <w:sz w:val="14"/>
                                </w:rPr>
                                <w:t>UWA</w:t>
                              </w:r>
                              <w:r>
                                <w:rPr>
                                  <w:rFonts w:ascii="TT Norms Pro Light"/>
                                  <w:b w:val="0"/>
                                  <w:sz w:val="14"/>
                                </w:rPr>
                                <w:tab/>
                              </w:r>
                              <w:r>
                                <w:rPr>
                                  <w:rFonts w:ascii="TT Norms Pro Light"/>
                                  <w:b w:val="0"/>
                                  <w:spacing w:val="-5"/>
                                  <w:sz w:val="14"/>
                                </w:rPr>
                                <w:t>65%</w:t>
                              </w:r>
                              <w:r>
                                <w:rPr>
                                  <w:rFonts w:ascii="TT Norms Pro Light"/>
                                  <w:b w:val="0"/>
                                  <w:sz w:val="14"/>
                                </w:rPr>
                                <w:tab/>
                              </w:r>
                              <w:r>
                                <w:rPr>
                                  <w:rFonts w:ascii="TT Norms Pro Light"/>
                                  <w:b w:val="0"/>
                                  <w:spacing w:val="-5"/>
                                  <w:sz w:val="14"/>
                                </w:rPr>
                                <w:t>65%</w:t>
                              </w:r>
                              <w:r>
                                <w:rPr>
                                  <w:rFonts w:ascii="TT Norms Pro Light"/>
                                  <w:b w:val="0"/>
                                  <w:sz w:val="14"/>
                                </w:rPr>
                                <w:tab/>
                              </w:r>
                              <w:r>
                                <w:rPr>
                                  <w:rFonts w:ascii="TT Norms Pro Light"/>
                                  <w:b w:val="0"/>
                                  <w:spacing w:val="-5"/>
                                  <w:sz w:val="14"/>
                                </w:rPr>
                                <w:t>61%</w:t>
                              </w:r>
                            </w:p>
                          </w:txbxContent>
                        </wps:txbx>
                        <wps:bodyPr wrap="square" lIns="0" tIns="0" rIns="0" bIns="0" rtlCol="0">
                          <a:noAutofit/>
                        </wps:bodyPr>
                      </wps:wsp>
                    </wpg:wgp>
                  </a:graphicData>
                </a:graphic>
              </wp:inline>
            </w:drawing>
          </mc:Choice>
          <mc:Fallback>
            <w:pict>
              <v:group style="width:231.05pt;height:40.1pt;mso-position-horizontal-relative:char;mso-position-vertical-relative:line" id="docshapegroup486" coordorigin="0,0" coordsize="4621,802">
                <v:shape style="position:absolute;left:0;top:489;width:4621;height:313" id="docshape487" coordorigin="0,489" coordsize="4621,313" path="m4620,489l3465,489,2310,489,1155,489,0,489,0,802,1155,802,2310,802,3465,802,4620,802,4620,489xe" filled="true" fillcolor="#e6e7e8" stroked="false">
                  <v:path arrowok="t"/>
                  <v:fill type="solid"/>
                </v:shape>
                <v:line style="position:absolute" from="0,10" to="1155,10" stroked="true" strokeweight="1pt" strokecolor="#000000">
                  <v:stroke dashstyle="solid"/>
                </v:line>
                <v:line style="position:absolute" from="1155,10" to="2310,10" stroked="true" strokeweight="1pt" strokecolor="#000000">
                  <v:stroke dashstyle="solid"/>
                </v:line>
                <v:line style="position:absolute" from="2310,10" to="3465,10" stroked="true" strokeweight="1pt" strokecolor="#000000">
                  <v:stroke dashstyle="solid"/>
                </v:line>
                <v:line style="position:absolute" from="3465,10" to="4620,10" stroked="true" strokeweight="1pt" strokecolor="#000000">
                  <v:stroke dashstyle="solid"/>
                </v:line>
                <v:line style="position:absolute" from="0,489" to="1155,489" stroked="true" strokeweight=".25pt" strokecolor="#000000">
                  <v:stroke dashstyle="solid"/>
                </v:line>
                <v:line style="position:absolute" from="1155,489" to="2310,489" stroked="true" strokeweight=".25pt" strokecolor="#000000">
                  <v:stroke dashstyle="solid"/>
                </v:line>
                <v:line style="position:absolute" from="2310,489" to="3465,489" stroked="true" strokeweight=".25pt" strokecolor="#000000">
                  <v:stroke dashstyle="solid"/>
                </v:line>
                <v:line style="position:absolute" from="3465,489" to="4620,489" stroked="true" strokeweight=".25pt" strokecolor="#000000">
                  <v:stroke dashstyle="solid"/>
                </v:line>
                <v:shape style="position:absolute;left:1908;top:56;width:344;height:187" type="#_x0000_t202" id="docshape488" filled="false" stroked="false">
                  <v:textbox inset="0,0,0,0">
                    <w:txbxContent>
                      <w:p>
                        <w:pPr>
                          <w:spacing w:before="19"/>
                          <w:ind w:left="0" w:right="0" w:firstLine="0"/>
                          <w:jc w:val="left"/>
                          <w:rPr>
                            <w:rFonts w:ascii="TT Norms Pro"/>
                            <w:b/>
                            <w:sz w:val="14"/>
                          </w:rPr>
                        </w:pPr>
                        <w:r>
                          <w:rPr>
                            <w:rFonts w:ascii="TT Norms Pro"/>
                            <w:b/>
                            <w:spacing w:val="-4"/>
                            <w:sz w:val="14"/>
                          </w:rPr>
                          <w:t>2019</w:t>
                        </w:r>
                      </w:p>
                    </w:txbxContent>
                  </v:textbox>
                  <w10:wrap type="none"/>
                </v:shape>
                <v:shape style="position:absolute;left:3031;top:56;width:375;height:187" type="#_x0000_t202" id="docshape489" filled="false" stroked="false">
                  <v:textbox inset="0,0,0,0">
                    <w:txbxContent>
                      <w:p>
                        <w:pPr>
                          <w:spacing w:before="19"/>
                          <w:ind w:left="0" w:right="0" w:firstLine="0"/>
                          <w:jc w:val="left"/>
                          <w:rPr>
                            <w:rFonts w:ascii="TT Norms Pro"/>
                            <w:b/>
                            <w:sz w:val="14"/>
                          </w:rPr>
                        </w:pPr>
                        <w:r>
                          <w:rPr>
                            <w:rFonts w:ascii="TT Norms Pro"/>
                            <w:b/>
                            <w:spacing w:val="-4"/>
                            <w:sz w:val="14"/>
                          </w:rPr>
                          <w:t>2020</w:t>
                        </w:r>
                      </w:p>
                    </w:txbxContent>
                  </v:textbox>
                  <w10:wrap type="none"/>
                </v:shape>
                <v:shape style="position:absolute;left:3964;top:56;width:597;height:387" type="#_x0000_t202" id="docshape490" filled="false" stroked="false">
                  <v:textbox inset="0,0,0,0">
                    <w:txbxContent>
                      <w:p>
                        <w:pPr>
                          <w:spacing w:before="19"/>
                          <w:ind w:left="222" w:right="0" w:firstLine="0"/>
                          <w:jc w:val="left"/>
                          <w:rPr>
                            <w:rFonts w:ascii="TT Norms Pro"/>
                            <w:b/>
                            <w:sz w:val="14"/>
                          </w:rPr>
                        </w:pPr>
                        <w:r>
                          <w:rPr>
                            <w:rFonts w:ascii="TT Norms Pro"/>
                            <w:b/>
                            <w:spacing w:val="-4"/>
                            <w:sz w:val="14"/>
                          </w:rPr>
                          <w:t>2020</w:t>
                        </w:r>
                      </w:p>
                      <w:p>
                        <w:pPr>
                          <w:spacing w:before="37"/>
                          <w:ind w:left="0" w:right="0" w:firstLine="0"/>
                          <w:jc w:val="left"/>
                          <w:rPr>
                            <w:rFonts w:ascii="TT Norms Pro"/>
                            <w:b/>
                            <w:sz w:val="14"/>
                          </w:rPr>
                        </w:pPr>
                        <w:r>
                          <w:rPr>
                            <w:rFonts w:ascii="TT Norms Pro"/>
                            <w:b/>
                            <w:spacing w:val="-2"/>
                            <w:sz w:val="14"/>
                          </w:rPr>
                          <w:t>TARGET</w:t>
                        </w:r>
                      </w:p>
                    </w:txbxContent>
                  </v:textbox>
                  <w10:wrap type="none"/>
                </v:shape>
                <v:shape style="position:absolute;left:0;top:491;width:4621;height:311" type="#_x0000_t202" id="docshape491" filled="false" stroked="false">
                  <v:textbox inset="0,0,0,0">
                    <w:txbxContent>
                      <w:p>
                        <w:pPr>
                          <w:tabs>
                            <w:tab w:pos="1985" w:val="left" w:leader="none"/>
                            <w:tab w:pos="3140" w:val="left" w:leader="none"/>
                            <w:tab w:pos="4330" w:val="left" w:leader="none"/>
                          </w:tabs>
                          <w:spacing w:before="80"/>
                          <w:ind w:left="56" w:right="0" w:firstLine="0"/>
                          <w:jc w:val="left"/>
                          <w:rPr>
                            <w:rFonts w:ascii="TT Norms Pro Light"/>
                            <w:b w:val="0"/>
                            <w:sz w:val="14"/>
                          </w:rPr>
                        </w:pPr>
                        <w:r>
                          <w:rPr>
                            <w:rFonts w:ascii="TT Norms Pro Light"/>
                            <w:b w:val="0"/>
                            <w:spacing w:val="-5"/>
                            <w:sz w:val="14"/>
                          </w:rPr>
                          <w:t>UWA</w:t>
                        </w:r>
                        <w:r>
                          <w:rPr>
                            <w:rFonts w:ascii="TT Norms Pro Light"/>
                            <w:b w:val="0"/>
                            <w:sz w:val="14"/>
                          </w:rPr>
                          <w:tab/>
                        </w:r>
                        <w:r>
                          <w:rPr>
                            <w:rFonts w:ascii="TT Norms Pro Light"/>
                            <w:b w:val="0"/>
                            <w:spacing w:val="-5"/>
                            <w:sz w:val="14"/>
                          </w:rPr>
                          <w:t>65%</w:t>
                        </w:r>
                        <w:r>
                          <w:rPr>
                            <w:rFonts w:ascii="TT Norms Pro Light"/>
                            <w:b w:val="0"/>
                            <w:sz w:val="14"/>
                          </w:rPr>
                          <w:tab/>
                        </w:r>
                        <w:r>
                          <w:rPr>
                            <w:rFonts w:ascii="TT Norms Pro Light"/>
                            <w:b w:val="0"/>
                            <w:spacing w:val="-5"/>
                            <w:sz w:val="14"/>
                          </w:rPr>
                          <w:t>65%</w:t>
                        </w:r>
                        <w:r>
                          <w:rPr>
                            <w:rFonts w:ascii="TT Norms Pro Light"/>
                            <w:b w:val="0"/>
                            <w:sz w:val="14"/>
                          </w:rPr>
                          <w:tab/>
                        </w:r>
                        <w:r>
                          <w:rPr>
                            <w:rFonts w:ascii="TT Norms Pro Light"/>
                            <w:b w:val="0"/>
                            <w:spacing w:val="-5"/>
                            <w:sz w:val="14"/>
                          </w:rPr>
                          <w:t>61%</w:t>
                        </w:r>
                      </w:p>
                    </w:txbxContent>
                  </v:textbox>
                  <w10:wrap type="none"/>
                </v:shape>
              </v:group>
            </w:pict>
          </mc:Fallback>
        </mc:AlternateContent>
      </w:r>
      <w:r>
        <w:rPr>
          <w:rFonts w:ascii="TT Norms Pro"/>
          <w:sz w:val="20"/>
        </w:rPr>
      </w:r>
    </w:p>
    <w:p>
      <w:pPr>
        <w:spacing w:line="264" w:lineRule="auto" w:before="192"/>
        <w:ind w:left="213" w:right="1132" w:firstLine="0"/>
        <w:jc w:val="left"/>
        <w:rPr>
          <w:rFonts w:ascii="TT Norms Pro Light" w:hAnsi="TT Norms Pro Light"/>
          <w:b w:val="0"/>
          <w:sz w:val="14"/>
        </w:rPr>
      </w:pPr>
      <w:r>
        <w:rPr>
          <w:rFonts w:ascii="TT Norms Pro" w:hAnsi="TT Norms Pro"/>
          <w:b/>
          <w:sz w:val="14"/>
        </w:rPr>
        <w:t>Data source: </w:t>
      </w:r>
      <w:r>
        <w:rPr>
          <w:rFonts w:ascii="TT Norms Pro Light" w:hAnsi="TT Norms Pro Light"/>
          <w:b w:val="0"/>
          <w:sz w:val="14"/>
        </w:rPr>
        <w:t>Top 20% outputs - Clarivate’s Journal Citation Reports, Web</w:t>
      </w:r>
      <w:r>
        <w:rPr>
          <w:rFonts w:ascii="TT Norms Pro Light" w:hAnsi="TT Norms Pro Light"/>
          <w:b w:val="0"/>
          <w:spacing w:val="40"/>
          <w:sz w:val="14"/>
        </w:rPr>
        <w:t> </w:t>
      </w:r>
      <w:r>
        <w:rPr>
          <w:rFonts w:ascii="TT Norms Pro Light" w:hAnsi="TT Norms Pro Light"/>
          <w:b w:val="0"/>
          <w:sz w:val="14"/>
        </w:rPr>
        <w:t>of Science and Incites. International Collaborations - Clarivate’s Incites.</w:t>
      </w:r>
    </w:p>
    <w:p>
      <w:pPr>
        <w:spacing w:line="264" w:lineRule="auto" w:before="113"/>
        <w:ind w:left="213" w:right="1132" w:firstLine="0"/>
        <w:jc w:val="left"/>
        <w:rPr>
          <w:rFonts w:ascii="TT Norms Pro Light"/>
          <w:b w:val="0"/>
          <w:sz w:val="14"/>
        </w:rPr>
      </w:pPr>
      <w:r>
        <w:rPr>
          <w:rFonts w:ascii="TT Norms Pro"/>
          <w:b/>
          <w:sz w:val="14"/>
        </w:rPr>
        <w:t>Notes: </w:t>
      </w:r>
      <w:r>
        <w:rPr>
          <w:rFonts w:ascii="TT Norms Pro Light"/>
          <w:b w:val="0"/>
          <w:sz w:val="14"/>
        </w:rPr>
        <w:t>This indicator was included in the 2019 Annual Report.</w:t>
      </w:r>
      <w:r>
        <w:rPr>
          <w:rFonts w:ascii="TT Norms Pro Light"/>
          <w:b w:val="0"/>
          <w:spacing w:val="37"/>
          <w:sz w:val="14"/>
        </w:rPr>
        <w:t> </w:t>
      </w:r>
      <w:r>
        <w:rPr>
          <w:rFonts w:ascii="TT Norms Pro Light"/>
          <w:b w:val="0"/>
          <w:sz w:val="14"/>
        </w:rPr>
        <w:t>2020 is the</w:t>
      </w:r>
      <w:r>
        <w:rPr>
          <w:rFonts w:ascii="TT Norms Pro Light"/>
          <w:b w:val="0"/>
          <w:spacing w:val="40"/>
          <w:sz w:val="14"/>
        </w:rPr>
        <w:t> </w:t>
      </w:r>
      <w:r>
        <w:rPr>
          <w:rFonts w:ascii="TT Norms Pro Light"/>
          <w:b w:val="0"/>
          <w:sz w:val="14"/>
        </w:rPr>
        <w:t>most current reporting year for publications and is compared against the</w:t>
      </w:r>
      <w:r>
        <w:rPr>
          <w:rFonts w:ascii="TT Norms Pro Light"/>
          <w:b w:val="0"/>
          <w:spacing w:val="40"/>
          <w:sz w:val="14"/>
        </w:rPr>
        <w:t> </w:t>
      </w:r>
      <w:r>
        <w:rPr>
          <w:rFonts w:ascii="TT Norms Pro Light"/>
          <w:b w:val="0"/>
          <w:sz w:val="14"/>
        </w:rPr>
        <w:t>latest available top 20% journals list, which refers to 2019 citations.</w:t>
      </w:r>
    </w:p>
    <w:p>
      <w:pPr>
        <w:pStyle w:val="BodyText"/>
        <w:rPr>
          <w:b w:val="0"/>
          <w:sz w:val="14"/>
        </w:rPr>
      </w:pPr>
    </w:p>
    <w:p>
      <w:pPr>
        <w:pStyle w:val="BodyText"/>
        <w:spacing w:before="92"/>
        <w:rPr>
          <w:b w:val="0"/>
          <w:sz w:val="14"/>
        </w:rPr>
      </w:pPr>
    </w:p>
    <w:p>
      <w:pPr>
        <w:pStyle w:val="Heading9"/>
        <w:numPr>
          <w:ilvl w:val="1"/>
          <w:numId w:val="10"/>
        </w:numPr>
        <w:tabs>
          <w:tab w:pos="607" w:val="left" w:leader="none"/>
        </w:tabs>
        <w:spacing w:line="240" w:lineRule="auto" w:before="0" w:after="0"/>
        <w:ind w:left="607" w:right="0" w:hanging="394"/>
        <w:jc w:val="left"/>
      </w:pPr>
      <w:r>
        <w:rPr/>
        <w:t>HIGHLY</w:t>
      </w:r>
      <w:r>
        <w:rPr>
          <w:spacing w:val="4"/>
        </w:rPr>
        <w:t> </w:t>
      </w:r>
      <w:r>
        <w:rPr/>
        <w:t>CITED</w:t>
      </w:r>
      <w:r>
        <w:rPr>
          <w:spacing w:val="4"/>
        </w:rPr>
        <w:t> </w:t>
      </w:r>
      <w:r>
        <w:rPr>
          <w:spacing w:val="-2"/>
        </w:rPr>
        <w:t>STAFF</w:t>
      </w:r>
    </w:p>
    <w:p>
      <w:pPr>
        <w:pStyle w:val="BodyText"/>
        <w:spacing w:line="295" w:lineRule="auto" w:before="154"/>
        <w:ind w:left="213" w:right="1132"/>
        <w:rPr>
          <w:b w:val="0"/>
        </w:rPr>
      </w:pPr>
      <w:r>
        <w:rPr>
          <w:b w:val="0"/>
        </w:rPr>
        <w:t>UWA has a core value of excellence and seeks to have</w:t>
      </w:r>
      <w:r>
        <w:rPr>
          <w:b w:val="0"/>
          <w:spacing w:val="40"/>
        </w:rPr>
        <w:t> </w:t>
      </w:r>
      <w:r>
        <w:rPr>
          <w:b w:val="0"/>
        </w:rPr>
        <w:t>disciplines and individuals recognised by peers in their</w:t>
      </w:r>
      <w:r>
        <w:rPr>
          <w:b w:val="0"/>
          <w:spacing w:val="40"/>
        </w:rPr>
        <w:t> </w:t>
      </w:r>
      <w:r>
        <w:rPr>
          <w:b w:val="0"/>
        </w:rPr>
        <w:t>fields of research and beyond. The number of highly cited</w:t>
      </w:r>
      <w:r>
        <w:rPr>
          <w:b w:val="0"/>
          <w:spacing w:val="40"/>
        </w:rPr>
        <w:t> </w:t>
      </w:r>
      <w:r>
        <w:rPr>
          <w:b w:val="0"/>
        </w:rPr>
        <w:t>staff recognises the extensive contribution and influence</w:t>
      </w:r>
      <w:r>
        <w:rPr>
          <w:b w:val="0"/>
          <w:spacing w:val="40"/>
        </w:rPr>
        <w:t> </w:t>
      </w:r>
      <w:r>
        <w:rPr>
          <w:b w:val="0"/>
        </w:rPr>
        <w:t>these individuals have on their fields of research.</w:t>
      </w:r>
    </w:p>
    <w:p>
      <w:pPr>
        <w:pStyle w:val="BodyText"/>
        <w:spacing w:before="49"/>
        <w:rPr>
          <w:b w:val="0"/>
        </w:rPr>
      </w:pPr>
    </w:p>
    <w:p>
      <w:pPr>
        <w:pStyle w:val="BodyText"/>
        <w:spacing w:line="295" w:lineRule="auto"/>
        <w:ind w:left="213" w:right="1498"/>
        <w:rPr>
          <w:b w:val="0"/>
        </w:rPr>
      </w:pPr>
      <w:r>
        <w:rPr>
          <w:b w:val="0"/>
        </w:rPr>
        <w:t>The University has decreased in the number of highly</w:t>
      </w:r>
      <w:r>
        <w:rPr>
          <w:b w:val="0"/>
          <w:spacing w:val="40"/>
        </w:rPr>
        <w:t> </w:t>
      </w:r>
      <w:r>
        <w:rPr>
          <w:b w:val="0"/>
        </w:rPr>
        <w:t>cited staff this year, with two staff not having met the</w:t>
      </w:r>
      <w:r>
        <w:rPr>
          <w:b w:val="0"/>
          <w:spacing w:val="40"/>
        </w:rPr>
        <w:t> </w:t>
      </w:r>
      <w:r>
        <w:rPr>
          <w:b w:val="0"/>
        </w:rPr>
        <w:t>metrics required for inclusion in 2020 and another</w:t>
      </w:r>
      <w:r>
        <w:rPr>
          <w:b w:val="0"/>
          <w:spacing w:val="80"/>
        </w:rPr>
        <w:t> </w:t>
      </w:r>
      <w:r>
        <w:rPr>
          <w:b w:val="0"/>
        </w:rPr>
        <w:t>two having changed their primary affiliation away from</w:t>
      </w:r>
      <w:r>
        <w:rPr>
          <w:b w:val="0"/>
          <w:spacing w:val="40"/>
        </w:rPr>
        <w:t> </w:t>
      </w:r>
      <w:r>
        <w:rPr>
          <w:b w:val="0"/>
        </w:rPr>
        <w:t>UWA. Increasing the number of highly cited staff –</w:t>
      </w:r>
      <w:r>
        <w:rPr>
          <w:b w:val="0"/>
          <w:spacing w:val="40"/>
        </w:rPr>
        <w:t> </w:t>
      </w:r>
      <w:r>
        <w:rPr>
          <w:b w:val="0"/>
        </w:rPr>
        <w:t>researchers who have been ranked with the greatest</w:t>
      </w:r>
    </w:p>
    <w:p>
      <w:pPr>
        <w:pStyle w:val="BodyText"/>
        <w:spacing w:line="295" w:lineRule="auto" w:before="6"/>
        <w:ind w:left="213" w:right="1132"/>
        <w:rPr>
          <w:b w:val="0"/>
        </w:rPr>
      </w:pPr>
      <w:r>
        <w:rPr>
          <w:b w:val="0"/>
        </w:rPr>
        <w:t>numbers of articles in the top one per cent of citations for</w:t>
      </w:r>
      <w:r>
        <w:rPr>
          <w:b w:val="0"/>
          <w:spacing w:val="40"/>
        </w:rPr>
        <w:t> </w:t>
      </w:r>
      <w:r>
        <w:rPr>
          <w:b w:val="0"/>
        </w:rPr>
        <w:t>their field in Web of Science for the past decade – is an</w:t>
      </w:r>
      <w:r>
        <w:rPr>
          <w:b w:val="0"/>
          <w:spacing w:val="40"/>
        </w:rPr>
        <w:t> </w:t>
      </w:r>
      <w:r>
        <w:rPr>
          <w:b w:val="0"/>
        </w:rPr>
        <w:t>ongoing strategic priority.</w:t>
      </w:r>
    </w:p>
    <w:p>
      <w:pPr>
        <w:pStyle w:val="BodyText"/>
        <w:spacing w:before="47"/>
        <w:rPr>
          <w:b w:val="0"/>
        </w:rPr>
      </w:pPr>
    </w:p>
    <w:p>
      <w:pPr>
        <w:spacing w:before="0"/>
        <w:ind w:left="213" w:right="0" w:firstLine="0"/>
        <w:jc w:val="left"/>
        <w:rPr>
          <w:rFonts w:ascii="TT Norms Pro"/>
          <w:b/>
          <w:sz w:val="18"/>
        </w:rPr>
      </w:pPr>
      <w:r>
        <w:rPr>
          <w:rFonts w:ascii="TT Norms Pro"/>
          <w:b/>
          <w:sz w:val="18"/>
        </w:rPr>
        <w:t>Highly</w:t>
      </w:r>
      <w:r>
        <w:rPr>
          <w:rFonts w:ascii="TT Norms Pro"/>
          <w:b/>
          <w:spacing w:val="4"/>
          <w:sz w:val="18"/>
        </w:rPr>
        <w:t> </w:t>
      </w:r>
      <w:r>
        <w:rPr>
          <w:rFonts w:ascii="TT Norms Pro"/>
          <w:b/>
          <w:sz w:val="18"/>
        </w:rPr>
        <w:t>cited</w:t>
      </w:r>
      <w:r>
        <w:rPr>
          <w:rFonts w:ascii="TT Norms Pro"/>
          <w:b/>
          <w:spacing w:val="6"/>
          <w:sz w:val="18"/>
        </w:rPr>
        <w:t> </w:t>
      </w:r>
      <w:r>
        <w:rPr>
          <w:rFonts w:ascii="TT Norms Pro"/>
          <w:b/>
          <w:spacing w:val="-2"/>
          <w:sz w:val="18"/>
        </w:rPr>
        <w:t>staff</w:t>
      </w:r>
    </w:p>
    <w:p>
      <w:pPr>
        <w:pStyle w:val="BodyText"/>
        <w:spacing w:before="6"/>
        <w:rPr>
          <w:rFonts w:ascii="TT Norms Pro"/>
          <w:b/>
          <w:sz w:val="3"/>
        </w:rPr>
      </w:pPr>
    </w:p>
    <w:p>
      <w:pPr>
        <w:pStyle w:val="BodyText"/>
        <w:spacing w:line="20" w:lineRule="exact"/>
        <w:ind w:left="203"/>
        <w:rPr>
          <w:rFonts w:ascii="TT Norms Pro"/>
          <w:sz w:val="2"/>
        </w:rPr>
      </w:pPr>
      <w:r>
        <w:rPr>
          <w:rFonts w:ascii="TT Norms Pro"/>
          <w:sz w:val="2"/>
        </w:rPr>
        <mc:AlternateContent>
          <mc:Choice Requires="wps">
            <w:drawing>
              <wp:inline distT="0" distB="0" distL="0" distR="0">
                <wp:extent cx="2934335" cy="12700"/>
                <wp:effectExtent l="9525" t="0" r="0" b="6350"/>
                <wp:docPr id="751" name="Group 751"/>
                <wp:cNvGraphicFramePr>
                  <a:graphicFrameLocks/>
                </wp:cNvGraphicFramePr>
                <a:graphic>
                  <a:graphicData uri="http://schemas.microsoft.com/office/word/2010/wordprocessingGroup">
                    <wpg:wgp>
                      <wpg:cNvPr id="751" name="Group 751"/>
                      <wpg:cNvGrpSpPr/>
                      <wpg:grpSpPr>
                        <a:xfrm>
                          <a:off x="0" y="0"/>
                          <a:ext cx="2934335" cy="12700"/>
                          <a:chExt cx="2934335" cy="12700"/>
                        </a:xfrm>
                      </wpg:grpSpPr>
                      <wps:wsp>
                        <wps:cNvPr id="752" name="Graphic 752"/>
                        <wps:cNvSpPr/>
                        <wps:spPr>
                          <a:xfrm>
                            <a:off x="0" y="6350"/>
                            <a:ext cx="734060" cy="1270"/>
                          </a:xfrm>
                          <a:custGeom>
                            <a:avLst/>
                            <a:gdLst/>
                            <a:ahLst/>
                            <a:cxnLst/>
                            <a:rect l="l" t="t" r="r" b="b"/>
                            <a:pathLst>
                              <a:path w="734060" h="0">
                                <a:moveTo>
                                  <a:pt x="0" y="0"/>
                                </a:moveTo>
                                <a:lnTo>
                                  <a:pt x="733501" y="0"/>
                                </a:lnTo>
                              </a:path>
                            </a:pathLst>
                          </a:custGeom>
                          <a:ln w="12700">
                            <a:solidFill>
                              <a:srgbClr val="000000"/>
                            </a:solidFill>
                            <a:prstDash val="solid"/>
                          </a:ln>
                        </wps:spPr>
                        <wps:bodyPr wrap="square" lIns="0" tIns="0" rIns="0" bIns="0" rtlCol="0">
                          <a:prstTxWarp prst="textNoShape">
                            <a:avLst/>
                          </a:prstTxWarp>
                          <a:noAutofit/>
                        </wps:bodyPr>
                      </wps:wsp>
                      <wps:wsp>
                        <wps:cNvPr id="753" name="Graphic 753"/>
                        <wps:cNvSpPr/>
                        <wps:spPr>
                          <a:xfrm>
                            <a:off x="733499" y="6350"/>
                            <a:ext cx="734060" cy="1270"/>
                          </a:xfrm>
                          <a:custGeom>
                            <a:avLst/>
                            <a:gdLst/>
                            <a:ahLst/>
                            <a:cxnLst/>
                            <a:rect l="l" t="t" r="r" b="b"/>
                            <a:pathLst>
                              <a:path w="734060" h="0">
                                <a:moveTo>
                                  <a:pt x="0" y="0"/>
                                </a:moveTo>
                                <a:lnTo>
                                  <a:pt x="733501" y="0"/>
                                </a:lnTo>
                              </a:path>
                            </a:pathLst>
                          </a:custGeom>
                          <a:ln w="12700">
                            <a:solidFill>
                              <a:srgbClr val="000000"/>
                            </a:solidFill>
                            <a:prstDash val="solid"/>
                          </a:ln>
                        </wps:spPr>
                        <wps:bodyPr wrap="square" lIns="0" tIns="0" rIns="0" bIns="0" rtlCol="0">
                          <a:prstTxWarp prst="textNoShape">
                            <a:avLst/>
                          </a:prstTxWarp>
                          <a:noAutofit/>
                        </wps:bodyPr>
                      </wps:wsp>
                      <wps:wsp>
                        <wps:cNvPr id="754" name="Graphic 754"/>
                        <wps:cNvSpPr/>
                        <wps:spPr>
                          <a:xfrm>
                            <a:off x="1466999" y="6350"/>
                            <a:ext cx="734060" cy="1270"/>
                          </a:xfrm>
                          <a:custGeom>
                            <a:avLst/>
                            <a:gdLst/>
                            <a:ahLst/>
                            <a:cxnLst/>
                            <a:rect l="l" t="t" r="r" b="b"/>
                            <a:pathLst>
                              <a:path w="734060" h="0">
                                <a:moveTo>
                                  <a:pt x="0" y="0"/>
                                </a:moveTo>
                                <a:lnTo>
                                  <a:pt x="733501" y="0"/>
                                </a:lnTo>
                              </a:path>
                            </a:pathLst>
                          </a:custGeom>
                          <a:ln w="12700">
                            <a:solidFill>
                              <a:srgbClr val="000000"/>
                            </a:solidFill>
                            <a:prstDash val="solid"/>
                          </a:ln>
                        </wps:spPr>
                        <wps:bodyPr wrap="square" lIns="0" tIns="0" rIns="0" bIns="0" rtlCol="0">
                          <a:prstTxWarp prst="textNoShape">
                            <a:avLst/>
                          </a:prstTxWarp>
                          <a:noAutofit/>
                        </wps:bodyPr>
                      </wps:wsp>
                      <wps:wsp>
                        <wps:cNvPr id="755" name="Graphic 755"/>
                        <wps:cNvSpPr/>
                        <wps:spPr>
                          <a:xfrm>
                            <a:off x="2200499" y="6350"/>
                            <a:ext cx="734060" cy="1270"/>
                          </a:xfrm>
                          <a:custGeom>
                            <a:avLst/>
                            <a:gdLst/>
                            <a:ahLst/>
                            <a:cxnLst/>
                            <a:rect l="l" t="t" r="r" b="b"/>
                            <a:pathLst>
                              <a:path w="734060" h="0">
                                <a:moveTo>
                                  <a:pt x="0" y="0"/>
                                </a:moveTo>
                                <a:lnTo>
                                  <a:pt x="733501" y="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31.05pt;height:1pt;mso-position-horizontal-relative:char;mso-position-vertical-relative:line" id="docshapegroup492" coordorigin="0,0" coordsize="4621,20">
                <v:line style="position:absolute" from="0,10" to="1155,10" stroked="true" strokeweight="1pt" strokecolor="#000000">
                  <v:stroke dashstyle="solid"/>
                </v:line>
                <v:line style="position:absolute" from="1155,10" to="2310,10" stroked="true" strokeweight="1pt" strokecolor="#000000">
                  <v:stroke dashstyle="solid"/>
                </v:line>
                <v:line style="position:absolute" from="2310,10" to="3465,10" stroked="true" strokeweight="1pt" strokecolor="#000000">
                  <v:stroke dashstyle="solid"/>
                </v:line>
                <v:line style="position:absolute" from="3465,10" to="4620,10" stroked="true" strokeweight="1pt" strokecolor="#000000">
                  <v:stroke dashstyle="solid"/>
                </v:line>
              </v:group>
            </w:pict>
          </mc:Fallback>
        </mc:AlternateContent>
      </w:r>
      <w:r>
        <w:rPr>
          <w:rFonts w:ascii="TT Norms Pro"/>
          <w:sz w:val="2"/>
        </w:rPr>
      </w:r>
    </w:p>
    <w:p>
      <w:pPr>
        <w:tabs>
          <w:tab w:pos="3245" w:val="left" w:leader="none"/>
          <w:tab w:pos="4400" w:val="left" w:leader="none"/>
        </w:tabs>
        <w:spacing w:before="56"/>
        <w:ind w:left="2122" w:right="0" w:firstLine="0"/>
        <w:jc w:val="left"/>
        <w:rPr>
          <w:rFonts w:ascii="TT Norms Pro"/>
          <w:b/>
          <w:sz w:val="14"/>
        </w:rPr>
      </w:pPr>
      <w:r>
        <w:rPr/>
        <mc:AlternateContent>
          <mc:Choice Requires="wps">
            <w:drawing>
              <wp:anchor distT="0" distB="0" distL="0" distR="0" allowOverlap="1" layoutInCell="1" locked="0" behindDoc="0" simplePos="0" relativeHeight="15851520">
                <wp:simplePos x="0" y="0"/>
                <wp:positionH relativeFrom="page">
                  <wp:posOffset>7111289</wp:posOffset>
                </wp:positionH>
                <wp:positionV relativeFrom="paragraph">
                  <wp:posOffset>83818</wp:posOffset>
                </wp:positionV>
                <wp:extent cx="177800" cy="1848485"/>
                <wp:effectExtent l="0" t="0" r="0" b="0"/>
                <wp:wrapNone/>
                <wp:docPr id="756" name="Textbox 756"/>
                <wp:cNvGraphicFramePr>
                  <a:graphicFrameLocks/>
                </wp:cNvGraphicFramePr>
                <a:graphic>
                  <a:graphicData uri="http://schemas.microsoft.com/office/word/2010/wordprocessingShape">
                    <wps:wsp>
                      <wps:cNvPr id="756" name="Textbox 756"/>
                      <wps:cNvSpPr txBox="1"/>
                      <wps:spPr>
                        <a:xfrm>
                          <a:off x="0" y="0"/>
                          <a:ext cx="177800" cy="184848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6.5999pt;width:14pt;height:145.550pt;mso-position-horizontal-relative:page;mso-position-vertical-relative:paragraph;z-index:15851520" type="#_x0000_t202" id="docshape493"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v:textbox>
                <w10:wrap type="none"/>
              </v:shape>
            </w:pict>
          </mc:Fallback>
        </mc:AlternateContent>
      </w:r>
      <w:r>
        <w:rPr>
          <w:rFonts w:ascii="TT Norms Pro"/>
          <w:b/>
          <w:spacing w:val="-4"/>
          <w:sz w:val="14"/>
        </w:rPr>
        <w:t>2019</w:t>
      </w:r>
      <w:r>
        <w:rPr>
          <w:rFonts w:ascii="TT Norms Pro"/>
          <w:b/>
          <w:sz w:val="14"/>
        </w:rPr>
        <w:tab/>
      </w:r>
      <w:r>
        <w:rPr>
          <w:rFonts w:ascii="TT Norms Pro"/>
          <w:b/>
          <w:spacing w:val="-4"/>
          <w:sz w:val="14"/>
        </w:rPr>
        <w:t>2020</w:t>
      </w:r>
      <w:r>
        <w:rPr>
          <w:rFonts w:ascii="TT Norms Pro"/>
          <w:b/>
          <w:sz w:val="14"/>
        </w:rPr>
        <w:tab/>
      </w:r>
      <w:r>
        <w:rPr>
          <w:rFonts w:ascii="TT Norms Pro"/>
          <w:b/>
          <w:spacing w:val="-4"/>
          <w:sz w:val="14"/>
        </w:rPr>
        <w:t>2020</w:t>
      </w:r>
    </w:p>
    <w:p>
      <w:pPr>
        <w:spacing w:before="36"/>
        <w:ind w:left="0" w:right="1211" w:firstLine="0"/>
        <w:jc w:val="right"/>
        <w:rPr>
          <w:rFonts w:ascii="TT Norms Pro"/>
          <w:b/>
          <w:sz w:val="14"/>
        </w:rPr>
      </w:pPr>
      <w:r>
        <w:rPr>
          <w:rFonts w:ascii="TT Norms Pro"/>
          <w:b/>
          <w:spacing w:val="-2"/>
          <w:sz w:val="14"/>
        </w:rPr>
        <w:t>TARGET</w:t>
      </w:r>
    </w:p>
    <w:p>
      <w:pPr>
        <w:pStyle w:val="BodyText"/>
        <w:spacing w:before="11"/>
        <w:rPr>
          <w:rFonts w:ascii="TT Norms Pro"/>
          <w:b/>
          <w:sz w:val="3"/>
        </w:rPr>
      </w:pPr>
    </w:p>
    <w:p>
      <w:pPr>
        <w:pStyle w:val="BodyText"/>
        <w:ind w:left="210"/>
        <w:rPr>
          <w:rFonts w:ascii="TT Norms Pro"/>
          <w:sz w:val="20"/>
        </w:rPr>
      </w:pPr>
      <w:r>
        <w:rPr>
          <w:rFonts w:ascii="TT Norms Pro"/>
          <w:sz w:val="20"/>
        </w:rPr>
        <mc:AlternateContent>
          <mc:Choice Requires="wps">
            <w:drawing>
              <wp:inline distT="0" distB="0" distL="0" distR="0">
                <wp:extent cx="2934335" cy="276225"/>
                <wp:effectExtent l="9525" t="0" r="0" b="9525"/>
                <wp:docPr id="757" name="Group 757"/>
                <wp:cNvGraphicFramePr>
                  <a:graphicFrameLocks/>
                </wp:cNvGraphicFramePr>
                <a:graphic>
                  <a:graphicData uri="http://schemas.microsoft.com/office/word/2010/wordprocessingGroup">
                    <wpg:wgp>
                      <wpg:cNvPr id="757" name="Group 757"/>
                      <wpg:cNvGrpSpPr/>
                      <wpg:grpSpPr>
                        <a:xfrm>
                          <a:off x="0" y="0"/>
                          <a:ext cx="2934335" cy="276225"/>
                          <a:chExt cx="2934335" cy="276225"/>
                        </a:xfrm>
                      </wpg:grpSpPr>
                      <wps:wsp>
                        <wps:cNvPr id="758" name="Graphic 758"/>
                        <wps:cNvSpPr/>
                        <wps:spPr>
                          <a:xfrm>
                            <a:off x="0" y="1584"/>
                            <a:ext cx="2934335" cy="274955"/>
                          </a:xfrm>
                          <a:custGeom>
                            <a:avLst/>
                            <a:gdLst/>
                            <a:ahLst/>
                            <a:cxnLst/>
                            <a:rect l="l" t="t" r="r" b="b"/>
                            <a:pathLst>
                              <a:path w="2934335" h="274955">
                                <a:moveTo>
                                  <a:pt x="2934004" y="0"/>
                                </a:moveTo>
                                <a:lnTo>
                                  <a:pt x="2200503" y="0"/>
                                </a:lnTo>
                                <a:lnTo>
                                  <a:pt x="1467002" y="0"/>
                                </a:lnTo>
                                <a:lnTo>
                                  <a:pt x="733501" y="0"/>
                                </a:lnTo>
                                <a:lnTo>
                                  <a:pt x="0" y="0"/>
                                </a:lnTo>
                                <a:lnTo>
                                  <a:pt x="0" y="274561"/>
                                </a:lnTo>
                                <a:lnTo>
                                  <a:pt x="733501" y="274561"/>
                                </a:lnTo>
                                <a:lnTo>
                                  <a:pt x="1467002" y="274561"/>
                                </a:lnTo>
                                <a:lnTo>
                                  <a:pt x="2200503" y="274561"/>
                                </a:lnTo>
                                <a:lnTo>
                                  <a:pt x="2934004" y="274561"/>
                                </a:lnTo>
                                <a:lnTo>
                                  <a:pt x="2934004" y="0"/>
                                </a:lnTo>
                                <a:close/>
                              </a:path>
                            </a:pathLst>
                          </a:custGeom>
                          <a:solidFill>
                            <a:srgbClr val="E6E7E8"/>
                          </a:solidFill>
                        </wps:spPr>
                        <wps:bodyPr wrap="square" lIns="0" tIns="0" rIns="0" bIns="0" rtlCol="0">
                          <a:prstTxWarp prst="textNoShape">
                            <a:avLst/>
                          </a:prstTxWarp>
                          <a:noAutofit/>
                        </wps:bodyPr>
                      </wps:wsp>
                      <wps:wsp>
                        <wps:cNvPr id="759" name="Graphic 759"/>
                        <wps:cNvSpPr/>
                        <wps:spPr>
                          <a:xfrm>
                            <a:off x="1" y="1587"/>
                            <a:ext cx="734060" cy="1270"/>
                          </a:xfrm>
                          <a:custGeom>
                            <a:avLst/>
                            <a:gdLst/>
                            <a:ahLst/>
                            <a:cxnLst/>
                            <a:rect l="l" t="t" r="r" b="b"/>
                            <a:pathLst>
                              <a:path w="734060" h="0">
                                <a:moveTo>
                                  <a:pt x="0" y="0"/>
                                </a:moveTo>
                                <a:lnTo>
                                  <a:pt x="733501" y="0"/>
                                </a:lnTo>
                              </a:path>
                            </a:pathLst>
                          </a:custGeom>
                          <a:ln w="3175">
                            <a:solidFill>
                              <a:srgbClr val="000000"/>
                            </a:solidFill>
                            <a:prstDash val="solid"/>
                          </a:ln>
                        </wps:spPr>
                        <wps:bodyPr wrap="square" lIns="0" tIns="0" rIns="0" bIns="0" rtlCol="0">
                          <a:prstTxWarp prst="textNoShape">
                            <a:avLst/>
                          </a:prstTxWarp>
                          <a:noAutofit/>
                        </wps:bodyPr>
                      </wps:wsp>
                      <wps:wsp>
                        <wps:cNvPr id="760" name="Graphic 760"/>
                        <wps:cNvSpPr/>
                        <wps:spPr>
                          <a:xfrm>
                            <a:off x="733501" y="1587"/>
                            <a:ext cx="734060" cy="1270"/>
                          </a:xfrm>
                          <a:custGeom>
                            <a:avLst/>
                            <a:gdLst/>
                            <a:ahLst/>
                            <a:cxnLst/>
                            <a:rect l="l" t="t" r="r" b="b"/>
                            <a:pathLst>
                              <a:path w="734060" h="0">
                                <a:moveTo>
                                  <a:pt x="0" y="0"/>
                                </a:moveTo>
                                <a:lnTo>
                                  <a:pt x="733501" y="0"/>
                                </a:lnTo>
                              </a:path>
                            </a:pathLst>
                          </a:custGeom>
                          <a:ln w="3175">
                            <a:solidFill>
                              <a:srgbClr val="000000"/>
                            </a:solidFill>
                            <a:prstDash val="solid"/>
                          </a:ln>
                        </wps:spPr>
                        <wps:bodyPr wrap="square" lIns="0" tIns="0" rIns="0" bIns="0" rtlCol="0">
                          <a:prstTxWarp prst="textNoShape">
                            <a:avLst/>
                          </a:prstTxWarp>
                          <a:noAutofit/>
                        </wps:bodyPr>
                      </wps:wsp>
                      <wps:wsp>
                        <wps:cNvPr id="761" name="Graphic 761"/>
                        <wps:cNvSpPr/>
                        <wps:spPr>
                          <a:xfrm>
                            <a:off x="1467001" y="1587"/>
                            <a:ext cx="734060" cy="1270"/>
                          </a:xfrm>
                          <a:custGeom>
                            <a:avLst/>
                            <a:gdLst/>
                            <a:ahLst/>
                            <a:cxnLst/>
                            <a:rect l="l" t="t" r="r" b="b"/>
                            <a:pathLst>
                              <a:path w="734060" h="0">
                                <a:moveTo>
                                  <a:pt x="0" y="0"/>
                                </a:moveTo>
                                <a:lnTo>
                                  <a:pt x="733501" y="0"/>
                                </a:lnTo>
                              </a:path>
                            </a:pathLst>
                          </a:custGeom>
                          <a:ln w="3175">
                            <a:solidFill>
                              <a:srgbClr val="000000"/>
                            </a:solidFill>
                            <a:prstDash val="solid"/>
                          </a:ln>
                        </wps:spPr>
                        <wps:bodyPr wrap="square" lIns="0" tIns="0" rIns="0" bIns="0" rtlCol="0">
                          <a:prstTxWarp prst="textNoShape">
                            <a:avLst/>
                          </a:prstTxWarp>
                          <a:noAutofit/>
                        </wps:bodyPr>
                      </wps:wsp>
                      <wps:wsp>
                        <wps:cNvPr id="762" name="Graphic 762"/>
                        <wps:cNvSpPr/>
                        <wps:spPr>
                          <a:xfrm>
                            <a:off x="2200501" y="1587"/>
                            <a:ext cx="734060" cy="1270"/>
                          </a:xfrm>
                          <a:custGeom>
                            <a:avLst/>
                            <a:gdLst/>
                            <a:ahLst/>
                            <a:cxnLst/>
                            <a:rect l="l" t="t" r="r" b="b"/>
                            <a:pathLst>
                              <a:path w="734060" h="0">
                                <a:moveTo>
                                  <a:pt x="0" y="0"/>
                                </a:moveTo>
                                <a:lnTo>
                                  <a:pt x="733501" y="0"/>
                                </a:lnTo>
                              </a:path>
                            </a:pathLst>
                          </a:custGeom>
                          <a:ln w="3175">
                            <a:solidFill>
                              <a:srgbClr val="000000"/>
                            </a:solidFill>
                            <a:prstDash val="solid"/>
                          </a:ln>
                        </wps:spPr>
                        <wps:bodyPr wrap="square" lIns="0" tIns="0" rIns="0" bIns="0" rtlCol="0">
                          <a:prstTxWarp prst="textNoShape">
                            <a:avLst/>
                          </a:prstTxWarp>
                          <a:noAutofit/>
                        </wps:bodyPr>
                      </wps:wsp>
                      <wps:wsp>
                        <wps:cNvPr id="763" name="Textbox 763"/>
                        <wps:cNvSpPr txBox="1"/>
                        <wps:spPr>
                          <a:xfrm>
                            <a:off x="36066" y="18033"/>
                            <a:ext cx="404495" cy="241935"/>
                          </a:xfrm>
                          <a:prstGeom prst="rect">
                            <a:avLst/>
                          </a:prstGeom>
                        </wps:spPr>
                        <wps:txbx>
                          <w:txbxContent>
                            <w:p>
                              <w:pPr>
                                <w:spacing w:before="17"/>
                                <w:ind w:left="0" w:right="0" w:firstLine="0"/>
                                <w:jc w:val="left"/>
                                <w:rPr>
                                  <w:rFonts w:ascii="TT Norms Pro Light"/>
                                  <w:b w:val="0"/>
                                  <w:sz w:val="14"/>
                                </w:rPr>
                              </w:pPr>
                              <w:r>
                                <w:rPr>
                                  <w:rFonts w:ascii="TT Norms Pro Light"/>
                                  <w:b w:val="0"/>
                                  <w:spacing w:val="-2"/>
                                  <w:sz w:val="14"/>
                                </w:rPr>
                                <w:t>Highly</w:t>
                              </w:r>
                            </w:p>
                            <w:p>
                              <w:pPr>
                                <w:spacing w:before="36"/>
                                <w:ind w:left="0" w:right="0" w:firstLine="0"/>
                                <w:jc w:val="left"/>
                                <w:rPr>
                                  <w:rFonts w:ascii="TT Norms Pro Light"/>
                                  <w:b w:val="0"/>
                                  <w:sz w:val="14"/>
                                </w:rPr>
                              </w:pPr>
                              <w:r>
                                <w:rPr>
                                  <w:rFonts w:ascii="TT Norms Pro Light"/>
                                  <w:b w:val="0"/>
                                  <w:sz w:val="14"/>
                                </w:rPr>
                                <w:t>cited</w:t>
                              </w:r>
                              <w:r>
                                <w:rPr>
                                  <w:rFonts w:ascii="TT Norms Pro Light"/>
                                  <w:b w:val="0"/>
                                  <w:spacing w:val="2"/>
                                  <w:sz w:val="14"/>
                                </w:rPr>
                                <w:t> </w:t>
                              </w:r>
                              <w:r>
                                <w:rPr>
                                  <w:rFonts w:ascii="TT Norms Pro Light"/>
                                  <w:b w:val="0"/>
                                  <w:spacing w:val="-2"/>
                                  <w:sz w:val="14"/>
                                </w:rPr>
                                <w:t>staff</w:t>
                              </w:r>
                            </w:p>
                          </w:txbxContent>
                        </wps:txbx>
                        <wps:bodyPr wrap="square" lIns="0" tIns="0" rIns="0" bIns="0" rtlCol="0">
                          <a:noAutofit/>
                        </wps:bodyPr>
                      </wps:wsp>
                      <wps:wsp>
                        <wps:cNvPr id="764" name="Textbox 764"/>
                        <wps:cNvSpPr txBox="1"/>
                        <wps:spPr>
                          <a:xfrm>
                            <a:off x="1351875" y="81597"/>
                            <a:ext cx="93345" cy="114935"/>
                          </a:xfrm>
                          <a:prstGeom prst="rect">
                            <a:avLst/>
                          </a:prstGeom>
                        </wps:spPr>
                        <wps:txbx>
                          <w:txbxContent>
                            <w:p>
                              <w:pPr>
                                <w:spacing w:before="16"/>
                                <w:ind w:left="0" w:right="0" w:firstLine="0"/>
                                <w:jc w:val="left"/>
                                <w:rPr>
                                  <w:rFonts w:ascii="TT Norms Pro Light"/>
                                  <w:b w:val="0"/>
                                  <w:sz w:val="14"/>
                                </w:rPr>
                              </w:pPr>
                              <w:r>
                                <w:rPr>
                                  <w:rFonts w:ascii="TT Norms Pro Light"/>
                                  <w:b w:val="0"/>
                                  <w:spacing w:val="-5"/>
                                  <w:sz w:val="14"/>
                                </w:rPr>
                                <w:t>13</w:t>
                              </w:r>
                            </w:p>
                          </w:txbxContent>
                        </wps:txbx>
                        <wps:bodyPr wrap="square" lIns="0" tIns="0" rIns="0" bIns="0" rtlCol="0">
                          <a:noAutofit/>
                        </wps:bodyPr>
                      </wps:wsp>
                      <wps:wsp>
                        <wps:cNvPr id="765" name="Textbox 765"/>
                        <wps:cNvSpPr txBox="1"/>
                        <wps:spPr>
                          <a:xfrm>
                            <a:off x="2113926" y="81597"/>
                            <a:ext cx="63500" cy="114935"/>
                          </a:xfrm>
                          <a:prstGeom prst="rect">
                            <a:avLst/>
                          </a:prstGeom>
                        </wps:spPr>
                        <wps:txbx>
                          <w:txbxContent>
                            <w:p>
                              <w:pPr>
                                <w:spacing w:before="16"/>
                                <w:ind w:left="0" w:right="0" w:firstLine="0"/>
                                <w:jc w:val="left"/>
                                <w:rPr>
                                  <w:rFonts w:ascii="TT Norms Pro Light"/>
                                  <w:b w:val="0"/>
                                  <w:sz w:val="14"/>
                                </w:rPr>
                              </w:pPr>
                              <w:r>
                                <w:rPr>
                                  <w:rFonts w:ascii="TT Norms Pro Light"/>
                                  <w:b w:val="0"/>
                                  <w:spacing w:val="-10"/>
                                  <w:sz w:val="14"/>
                                </w:rPr>
                                <w:t>9</w:t>
                              </w:r>
                            </w:p>
                          </w:txbxContent>
                        </wps:txbx>
                        <wps:bodyPr wrap="square" lIns="0" tIns="0" rIns="0" bIns="0" rtlCol="0">
                          <a:noAutofit/>
                        </wps:bodyPr>
                      </wps:wsp>
                      <wps:wsp>
                        <wps:cNvPr id="766" name="Textbox 766"/>
                        <wps:cNvSpPr txBox="1"/>
                        <wps:spPr>
                          <a:xfrm>
                            <a:off x="2818903" y="81597"/>
                            <a:ext cx="93345" cy="114935"/>
                          </a:xfrm>
                          <a:prstGeom prst="rect">
                            <a:avLst/>
                          </a:prstGeom>
                        </wps:spPr>
                        <wps:txbx>
                          <w:txbxContent>
                            <w:p>
                              <w:pPr>
                                <w:spacing w:before="16"/>
                                <w:ind w:left="0" w:right="0" w:firstLine="0"/>
                                <w:jc w:val="left"/>
                                <w:rPr>
                                  <w:rFonts w:ascii="TT Norms Pro Light"/>
                                  <w:b w:val="0"/>
                                  <w:sz w:val="14"/>
                                </w:rPr>
                              </w:pPr>
                              <w:r>
                                <w:rPr>
                                  <w:rFonts w:ascii="TT Norms Pro Light"/>
                                  <w:b w:val="0"/>
                                  <w:spacing w:val="-5"/>
                                  <w:sz w:val="14"/>
                                </w:rPr>
                                <w:t>13</w:t>
                              </w:r>
                            </w:p>
                          </w:txbxContent>
                        </wps:txbx>
                        <wps:bodyPr wrap="square" lIns="0" tIns="0" rIns="0" bIns="0" rtlCol="0">
                          <a:noAutofit/>
                        </wps:bodyPr>
                      </wps:wsp>
                    </wpg:wgp>
                  </a:graphicData>
                </a:graphic>
              </wp:inline>
            </w:drawing>
          </mc:Choice>
          <mc:Fallback>
            <w:pict>
              <v:group style="width:231.05pt;height:21.75pt;mso-position-horizontal-relative:char;mso-position-vertical-relative:line" id="docshapegroup494" coordorigin="0,0" coordsize="4621,435">
                <v:shape style="position:absolute;left:0;top:2;width:4621;height:433" id="docshape495" coordorigin="0,2" coordsize="4621,433" path="m4620,2l3465,2,2310,2,1155,2,0,2,0,435,1155,435,2310,435,3465,435,4620,435,4620,2xe" filled="true" fillcolor="#e6e7e8" stroked="false">
                  <v:path arrowok="t"/>
                  <v:fill type="solid"/>
                </v:shape>
                <v:line style="position:absolute" from="0,3" to="1155,3" stroked="true" strokeweight=".25pt" strokecolor="#000000">
                  <v:stroke dashstyle="solid"/>
                </v:line>
                <v:line style="position:absolute" from="1155,3" to="2310,3" stroked="true" strokeweight=".25pt" strokecolor="#000000">
                  <v:stroke dashstyle="solid"/>
                </v:line>
                <v:line style="position:absolute" from="2310,3" to="3465,3" stroked="true" strokeweight=".25pt" strokecolor="#000000">
                  <v:stroke dashstyle="solid"/>
                </v:line>
                <v:line style="position:absolute" from="3465,3" to="4620,3" stroked="true" strokeweight=".25pt" strokecolor="#000000">
                  <v:stroke dashstyle="solid"/>
                </v:line>
                <v:shape style="position:absolute;left:56;top:28;width:637;height:381" type="#_x0000_t202" id="docshape496" filled="false" stroked="false">
                  <v:textbox inset="0,0,0,0">
                    <w:txbxContent>
                      <w:p>
                        <w:pPr>
                          <w:spacing w:before="17"/>
                          <w:ind w:left="0" w:right="0" w:firstLine="0"/>
                          <w:jc w:val="left"/>
                          <w:rPr>
                            <w:rFonts w:ascii="TT Norms Pro Light"/>
                            <w:b w:val="0"/>
                            <w:sz w:val="14"/>
                          </w:rPr>
                        </w:pPr>
                        <w:r>
                          <w:rPr>
                            <w:rFonts w:ascii="TT Norms Pro Light"/>
                            <w:b w:val="0"/>
                            <w:spacing w:val="-2"/>
                            <w:sz w:val="14"/>
                          </w:rPr>
                          <w:t>Highly</w:t>
                        </w:r>
                      </w:p>
                      <w:p>
                        <w:pPr>
                          <w:spacing w:before="36"/>
                          <w:ind w:left="0" w:right="0" w:firstLine="0"/>
                          <w:jc w:val="left"/>
                          <w:rPr>
                            <w:rFonts w:ascii="TT Norms Pro Light"/>
                            <w:b w:val="0"/>
                            <w:sz w:val="14"/>
                          </w:rPr>
                        </w:pPr>
                        <w:r>
                          <w:rPr>
                            <w:rFonts w:ascii="TT Norms Pro Light"/>
                            <w:b w:val="0"/>
                            <w:sz w:val="14"/>
                          </w:rPr>
                          <w:t>cited</w:t>
                        </w:r>
                        <w:r>
                          <w:rPr>
                            <w:rFonts w:ascii="TT Norms Pro Light"/>
                            <w:b w:val="0"/>
                            <w:spacing w:val="2"/>
                            <w:sz w:val="14"/>
                          </w:rPr>
                          <w:t> </w:t>
                        </w:r>
                        <w:r>
                          <w:rPr>
                            <w:rFonts w:ascii="TT Norms Pro Light"/>
                            <w:b w:val="0"/>
                            <w:spacing w:val="-2"/>
                            <w:sz w:val="14"/>
                          </w:rPr>
                          <w:t>staff</w:t>
                        </w:r>
                      </w:p>
                    </w:txbxContent>
                  </v:textbox>
                  <w10:wrap type="none"/>
                </v:shape>
                <v:shape style="position:absolute;left:2128;top:128;width:147;height:181" type="#_x0000_t202" id="docshape497" filled="false" stroked="false">
                  <v:textbox inset="0,0,0,0">
                    <w:txbxContent>
                      <w:p>
                        <w:pPr>
                          <w:spacing w:before="16"/>
                          <w:ind w:left="0" w:right="0" w:firstLine="0"/>
                          <w:jc w:val="left"/>
                          <w:rPr>
                            <w:rFonts w:ascii="TT Norms Pro Light"/>
                            <w:b w:val="0"/>
                            <w:sz w:val="14"/>
                          </w:rPr>
                        </w:pPr>
                        <w:r>
                          <w:rPr>
                            <w:rFonts w:ascii="TT Norms Pro Light"/>
                            <w:b w:val="0"/>
                            <w:spacing w:val="-5"/>
                            <w:sz w:val="14"/>
                          </w:rPr>
                          <w:t>13</w:t>
                        </w:r>
                      </w:p>
                    </w:txbxContent>
                  </v:textbox>
                  <w10:wrap type="none"/>
                </v:shape>
                <v:shape style="position:absolute;left:3329;top:128;width:100;height:181" type="#_x0000_t202" id="docshape498" filled="false" stroked="false">
                  <v:textbox inset="0,0,0,0">
                    <w:txbxContent>
                      <w:p>
                        <w:pPr>
                          <w:spacing w:before="16"/>
                          <w:ind w:left="0" w:right="0" w:firstLine="0"/>
                          <w:jc w:val="left"/>
                          <w:rPr>
                            <w:rFonts w:ascii="TT Norms Pro Light"/>
                            <w:b w:val="0"/>
                            <w:sz w:val="14"/>
                          </w:rPr>
                        </w:pPr>
                        <w:r>
                          <w:rPr>
                            <w:rFonts w:ascii="TT Norms Pro Light"/>
                            <w:b w:val="0"/>
                            <w:spacing w:val="-10"/>
                            <w:sz w:val="14"/>
                          </w:rPr>
                          <w:t>9</w:t>
                        </w:r>
                      </w:p>
                    </w:txbxContent>
                  </v:textbox>
                  <w10:wrap type="none"/>
                </v:shape>
                <v:shape style="position:absolute;left:4439;top:128;width:147;height:181" type="#_x0000_t202" id="docshape499" filled="false" stroked="false">
                  <v:textbox inset="0,0,0,0">
                    <w:txbxContent>
                      <w:p>
                        <w:pPr>
                          <w:spacing w:before="16"/>
                          <w:ind w:left="0" w:right="0" w:firstLine="0"/>
                          <w:jc w:val="left"/>
                          <w:rPr>
                            <w:rFonts w:ascii="TT Norms Pro Light"/>
                            <w:b w:val="0"/>
                            <w:sz w:val="14"/>
                          </w:rPr>
                        </w:pPr>
                        <w:r>
                          <w:rPr>
                            <w:rFonts w:ascii="TT Norms Pro Light"/>
                            <w:b w:val="0"/>
                            <w:spacing w:val="-5"/>
                            <w:sz w:val="14"/>
                          </w:rPr>
                          <w:t>13</w:t>
                        </w:r>
                      </w:p>
                    </w:txbxContent>
                  </v:textbox>
                  <w10:wrap type="none"/>
                </v:shape>
              </v:group>
            </w:pict>
          </mc:Fallback>
        </mc:AlternateContent>
      </w:r>
      <w:r>
        <w:rPr>
          <w:rFonts w:ascii="TT Norms Pro"/>
          <w:sz w:val="20"/>
        </w:rPr>
      </w:r>
    </w:p>
    <w:p>
      <w:pPr>
        <w:pStyle w:val="BodyText"/>
        <w:spacing w:before="14"/>
        <w:rPr>
          <w:rFonts w:ascii="TT Norms Pro"/>
          <w:b/>
          <w:sz w:val="14"/>
        </w:rPr>
      </w:pPr>
    </w:p>
    <w:p>
      <w:pPr>
        <w:spacing w:line="264" w:lineRule="auto" w:before="0"/>
        <w:ind w:left="214" w:right="1532" w:firstLine="0"/>
        <w:jc w:val="left"/>
        <w:rPr>
          <w:rFonts w:ascii="TT Norms Pro Light"/>
          <w:b w:val="0"/>
          <w:sz w:val="14"/>
        </w:rPr>
      </w:pPr>
      <w:r>
        <w:rPr>
          <w:rFonts w:ascii="TT Norms Pro"/>
          <w:b/>
          <w:sz w:val="14"/>
        </w:rPr>
        <w:t>Data source: </w:t>
      </w:r>
      <w:r>
        <w:rPr>
          <w:rFonts w:ascii="TT Norms Pro Light"/>
          <w:b w:val="0"/>
          <w:sz w:val="14"/>
        </w:rPr>
        <w:t>The Institute for Scientific Information highly cited</w:t>
      </w:r>
      <w:r>
        <w:rPr>
          <w:rFonts w:ascii="TT Norms Pro Light"/>
          <w:b w:val="0"/>
          <w:spacing w:val="40"/>
          <w:sz w:val="14"/>
        </w:rPr>
        <w:t> </w:t>
      </w:r>
      <w:r>
        <w:rPr>
          <w:rFonts w:ascii="TT Norms Pro Light"/>
          <w:b w:val="0"/>
          <w:sz w:val="14"/>
        </w:rPr>
        <w:t>researcher list is produced by Clarivate Analytics. Citation data are</w:t>
      </w:r>
      <w:r>
        <w:rPr>
          <w:rFonts w:ascii="TT Norms Pro Light"/>
          <w:b w:val="0"/>
          <w:spacing w:val="40"/>
          <w:sz w:val="14"/>
        </w:rPr>
        <w:t> </w:t>
      </w:r>
      <w:r>
        <w:rPr>
          <w:rFonts w:ascii="TT Norms Pro Light"/>
          <w:b w:val="0"/>
          <w:sz w:val="14"/>
        </w:rPr>
        <w:t>sourced from the Web of Science and so this metric is not available</w:t>
      </w:r>
      <w:r>
        <w:rPr>
          <w:rFonts w:ascii="TT Norms Pro Light"/>
          <w:b w:val="0"/>
          <w:spacing w:val="40"/>
          <w:sz w:val="14"/>
        </w:rPr>
        <w:t> </w:t>
      </w:r>
      <w:r>
        <w:rPr>
          <w:rFonts w:ascii="TT Norms Pro Light"/>
          <w:b w:val="0"/>
          <w:sz w:val="14"/>
        </w:rPr>
        <w:t>for all fields of research at UWA.</w:t>
      </w:r>
    </w:p>
    <w:p>
      <w:pPr>
        <w:spacing w:before="113"/>
        <w:ind w:left="214" w:right="0" w:firstLine="0"/>
        <w:jc w:val="left"/>
        <w:rPr>
          <w:rFonts w:ascii="TT Norms Pro Light"/>
          <w:b w:val="0"/>
          <w:sz w:val="14"/>
        </w:rPr>
      </w:pPr>
      <w:r>
        <w:rPr>
          <w:rFonts w:ascii="TT Norms Pro"/>
          <w:b/>
          <w:sz w:val="14"/>
        </w:rPr>
        <w:t>Notes:</w:t>
      </w:r>
      <w:r>
        <w:rPr>
          <w:rFonts w:ascii="TT Norms Pro"/>
          <w:b/>
          <w:spacing w:val="6"/>
          <w:sz w:val="14"/>
        </w:rPr>
        <w:t> </w:t>
      </w:r>
      <w:r>
        <w:rPr>
          <w:rFonts w:ascii="TT Norms Pro Light"/>
          <w:b w:val="0"/>
          <w:sz w:val="14"/>
        </w:rPr>
        <w:t>This</w:t>
      </w:r>
      <w:r>
        <w:rPr>
          <w:rFonts w:ascii="TT Norms Pro Light"/>
          <w:b w:val="0"/>
          <w:spacing w:val="7"/>
          <w:sz w:val="14"/>
        </w:rPr>
        <w:t> </w:t>
      </w:r>
      <w:r>
        <w:rPr>
          <w:rFonts w:ascii="TT Norms Pro Light"/>
          <w:b w:val="0"/>
          <w:sz w:val="14"/>
        </w:rPr>
        <w:t>indicator</w:t>
      </w:r>
      <w:r>
        <w:rPr>
          <w:rFonts w:ascii="TT Norms Pro Light"/>
          <w:b w:val="0"/>
          <w:spacing w:val="7"/>
          <w:sz w:val="14"/>
        </w:rPr>
        <w:t> </w:t>
      </w:r>
      <w:r>
        <w:rPr>
          <w:rFonts w:ascii="TT Norms Pro Light"/>
          <w:b w:val="0"/>
          <w:sz w:val="14"/>
        </w:rPr>
        <w:t>was</w:t>
      </w:r>
      <w:r>
        <w:rPr>
          <w:rFonts w:ascii="TT Norms Pro Light"/>
          <w:b w:val="0"/>
          <w:spacing w:val="6"/>
          <w:sz w:val="14"/>
        </w:rPr>
        <w:t> </w:t>
      </w:r>
      <w:r>
        <w:rPr>
          <w:rFonts w:ascii="TT Norms Pro Light"/>
          <w:b w:val="0"/>
          <w:sz w:val="14"/>
        </w:rPr>
        <w:t>included</w:t>
      </w:r>
      <w:r>
        <w:rPr>
          <w:rFonts w:ascii="TT Norms Pro Light"/>
          <w:b w:val="0"/>
          <w:spacing w:val="7"/>
          <w:sz w:val="14"/>
        </w:rPr>
        <w:t> </w:t>
      </w:r>
      <w:r>
        <w:rPr>
          <w:rFonts w:ascii="TT Norms Pro Light"/>
          <w:b w:val="0"/>
          <w:sz w:val="14"/>
        </w:rPr>
        <w:t>in</w:t>
      </w:r>
      <w:r>
        <w:rPr>
          <w:rFonts w:ascii="TT Norms Pro Light"/>
          <w:b w:val="0"/>
          <w:spacing w:val="7"/>
          <w:sz w:val="14"/>
        </w:rPr>
        <w:t> </w:t>
      </w:r>
      <w:r>
        <w:rPr>
          <w:rFonts w:ascii="TT Norms Pro Light"/>
          <w:b w:val="0"/>
          <w:sz w:val="14"/>
        </w:rPr>
        <w:t>the</w:t>
      </w:r>
      <w:r>
        <w:rPr>
          <w:rFonts w:ascii="TT Norms Pro Light"/>
          <w:b w:val="0"/>
          <w:spacing w:val="6"/>
          <w:sz w:val="14"/>
        </w:rPr>
        <w:t> </w:t>
      </w:r>
      <w:r>
        <w:rPr>
          <w:rFonts w:ascii="TT Norms Pro Light"/>
          <w:b w:val="0"/>
          <w:sz w:val="14"/>
        </w:rPr>
        <w:t>2019</w:t>
      </w:r>
      <w:r>
        <w:rPr>
          <w:rFonts w:ascii="TT Norms Pro Light"/>
          <w:b w:val="0"/>
          <w:spacing w:val="7"/>
          <w:sz w:val="14"/>
        </w:rPr>
        <w:t> </w:t>
      </w:r>
      <w:r>
        <w:rPr>
          <w:rFonts w:ascii="TT Norms Pro Light"/>
          <w:b w:val="0"/>
          <w:sz w:val="14"/>
        </w:rPr>
        <w:t>Annual</w:t>
      </w:r>
      <w:r>
        <w:rPr>
          <w:rFonts w:ascii="TT Norms Pro Light"/>
          <w:b w:val="0"/>
          <w:spacing w:val="6"/>
          <w:sz w:val="14"/>
        </w:rPr>
        <w:t> </w:t>
      </w:r>
      <w:r>
        <w:rPr>
          <w:rFonts w:ascii="TT Norms Pro Light"/>
          <w:b w:val="0"/>
          <w:spacing w:val="-2"/>
          <w:sz w:val="14"/>
        </w:rPr>
        <w:t>Report.</w:t>
      </w:r>
    </w:p>
    <w:p>
      <w:pPr>
        <w:spacing w:after="0"/>
        <w:jc w:val="left"/>
        <w:rPr>
          <w:rFonts w:ascii="TT Norms Pro Light"/>
          <w:sz w:val="14"/>
        </w:rPr>
        <w:sectPr>
          <w:type w:val="continuous"/>
          <w:pgSz w:w="11910" w:h="16840"/>
          <w:pgMar w:header="468" w:footer="0" w:top="980" w:bottom="280" w:left="920" w:right="0"/>
          <w:cols w:num="2" w:equalWidth="0">
            <w:col w:w="4865" w:space="152"/>
            <w:col w:w="5973"/>
          </w:cols>
        </w:sectPr>
      </w:pPr>
    </w:p>
    <w:p>
      <w:pPr>
        <w:pStyle w:val="ListParagraph"/>
        <w:numPr>
          <w:ilvl w:val="0"/>
          <w:numId w:val="8"/>
        </w:numPr>
        <w:tabs>
          <w:tab w:pos="551" w:val="left" w:leader="none"/>
        </w:tabs>
        <w:spacing w:line="240" w:lineRule="auto" w:before="118" w:after="0"/>
        <w:ind w:left="551" w:right="0" w:hanging="358"/>
        <w:jc w:val="left"/>
        <w:rPr>
          <w:rFonts w:ascii="TT Norms Pro"/>
          <w:b/>
          <w:sz w:val="45"/>
        </w:rPr>
      </w:pPr>
      <w:r>
        <w:rPr>
          <w:rFonts w:ascii="TT Norms Pro"/>
          <w:b/>
          <w:color w:val="242021"/>
          <w:w w:val="60"/>
          <w:position w:val="2"/>
          <w:sz w:val="68"/>
        </w:rPr>
        <w:t>|</w:t>
      </w:r>
      <w:r>
        <w:rPr>
          <w:rFonts w:ascii="TT Norms Pro"/>
          <w:b/>
          <w:color w:val="242021"/>
          <w:spacing w:val="-40"/>
          <w:w w:val="95"/>
          <w:position w:val="2"/>
          <w:sz w:val="68"/>
        </w:rPr>
        <w:t> </w:t>
      </w:r>
      <w:r>
        <w:rPr>
          <w:rFonts w:ascii="TT Norms Pro"/>
          <w:b/>
          <w:w w:val="95"/>
          <w:sz w:val="45"/>
        </w:rPr>
        <w:t>Global</w:t>
      </w:r>
      <w:r>
        <w:rPr>
          <w:rFonts w:ascii="TT Norms Pro"/>
          <w:b/>
          <w:spacing w:val="-5"/>
          <w:w w:val="95"/>
          <w:sz w:val="45"/>
        </w:rPr>
        <w:t> </w:t>
      </w:r>
      <w:r>
        <w:rPr>
          <w:rFonts w:ascii="TT Norms Pro"/>
          <w:b/>
          <w:spacing w:val="-2"/>
          <w:w w:val="95"/>
          <w:sz w:val="45"/>
        </w:rPr>
        <w:t>partnerships</w:t>
      </w:r>
    </w:p>
    <w:p>
      <w:pPr>
        <w:pStyle w:val="BodyText"/>
        <w:spacing w:before="229"/>
        <w:rPr>
          <w:rFonts w:ascii="TT Norms Pro"/>
          <w:b/>
          <w:sz w:val="20"/>
        </w:rPr>
      </w:pPr>
    </w:p>
    <w:p>
      <w:pPr>
        <w:spacing w:after="0"/>
        <w:rPr>
          <w:rFonts w:ascii="TT Norms Pro"/>
          <w:sz w:val="20"/>
        </w:rPr>
        <w:sectPr>
          <w:pgSz w:w="11910" w:h="16840"/>
          <w:pgMar w:header="468" w:footer="0" w:top="720" w:bottom="0" w:left="920" w:right="0"/>
        </w:sectPr>
      </w:pPr>
    </w:p>
    <w:p>
      <w:pPr>
        <w:spacing w:before="125"/>
        <w:ind w:left="213" w:right="0" w:firstLine="0"/>
        <w:jc w:val="both"/>
        <w:rPr>
          <w:rFonts w:ascii="TT Norms Pro"/>
          <w:b/>
          <w:sz w:val="18"/>
        </w:rPr>
      </w:pPr>
      <w:r>
        <w:rPr>
          <w:rFonts w:ascii="TT Norms Pro"/>
          <w:b/>
          <w:sz w:val="18"/>
        </w:rPr>
        <w:t>Strategic</w:t>
      </w:r>
      <w:r>
        <w:rPr>
          <w:rFonts w:ascii="TT Norms Pro"/>
          <w:b/>
          <w:spacing w:val="8"/>
          <w:sz w:val="18"/>
        </w:rPr>
        <w:t> </w:t>
      </w:r>
      <w:r>
        <w:rPr>
          <w:rFonts w:ascii="TT Norms Pro"/>
          <w:b/>
          <w:spacing w:val="-4"/>
          <w:sz w:val="18"/>
        </w:rPr>
        <w:t>goal</w:t>
      </w:r>
    </w:p>
    <w:p>
      <w:pPr>
        <w:pStyle w:val="BodyText"/>
        <w:spacing w:before="50"/>
        <w:ind w:left="213"/>
        <w:jc w:val="both"/>
        <w:rPr>
          <w:b w:val="0"/>
        </w:rPr>
      </w:pPr>
      <w:r>
        <w:rPr>
          <w:b w:val="0"/>
        </w:rPr>
        <w:t>As</w:t>
      </w:r>
      <w:r>
        <w:rPr>
          <w:b w:val="0"/>
          <w:spacing w:val="3"/>
        </w:rPr>
        <w:t> </w:t>
      </w:r>
      <w:r>
        <w:rPr>
          <w:b w:val="0"/>
        </w:rPr>
        <w:t>an</w:t>
      </w:r>
      <w:r>
        <w:rPr>
          <w:b w:val="0"/>
          <w:spacing w:val="3"/>
        </w:rPr>
        <w:t> </w:t>
      </w:r>
      <w:r>
        <w:rPr>
          <w:b w:val="0"/>
        </w:rPr>
        <w:t>authoritative</w:t>
      </w:r>
      <w:r>
        <w:rPr>
          <w:b w:val="0"/>
          <w:spacing w:val="3"/>
        </w:rPr>
        <w:t> </w:t>
      </w:r>
      <w:r>
        <w:rPr>
          <w:b w:val="0"/>
        </w:rPr>
        <w:t>global</w:t>
      </w:r>
      <w:r>
        <w:rPr>
          <w:b w:val="0"/>
          <w:spacing w:val="4"/>
        </w:rPr>
        <w:t> </w:t>
      </w:r>
      <w:r>
        <w:rPr>
          <w:b w:val="0"/>
        </w:rPr>
        <w:t>leader</w:t>
      </w:r>
      <w:r>
        <w:rPr>
          <w:b w:val="0"/>
          <w:spacing w:val="3"/>
        </w:rPr>
        <w:t> </w:t>
      </w:r>
      <w:r>
        <w:rPr>
          <w:b w:val="0"/>
        </w:rPr>
        <w:t>in</w:t>
      </w:r>
      <w:r>
        <w:rPr>
          <w:b w:val="0"/>
          <w:spacing w:val="3"/>
        </w:rPr>
        <w:t> </w:t>
      </w:r>
      <w:r>
        <w:rPr>
          <w:b w:val="0"/>
        </w:rPr>
        <w:t>education</w:t>
      </w:r>
      <w:r>
        <w:rPr>
          <w:b w:val="0"/>
          <w:spacing w:val="4"/>
        </w:rPr>
        <w:t> </w:t>
      </w:r>
      <w:r>
        <w:rPr>
          <w:b w:val="0"/>
          <w:spacing w:val="-5"/>
        </w:rPr>
        <w:t>and</w:t>
      </w:r>
    </w:p>
    <w:p>
      <w:pPr>
        <w:pStyle w:val="BodyText"/>
        <w:spacing w:line="295" w:lineRule="auto" w:before="49"/>
        <w:ind w:left="213" w:right="182"/>
        <w:jc w:val="both"/>
        <w:rPr>
          <w:b w:val="0"/>
        </w:rPr>
      </w:pPr>
      <w:r>
        <w:rPr>
          <w:b w:val="0"/>
        </w:rPr>
        <w:t>cross-disciplinary and translatable research, we will forge</w:t>
      </w:r>
      <w:r>
        <w:rPr>
          <w:b w:val="0"/>
          <w:spacing w:val="40"/>
        </w:rPr>
        <w:t> </w:t>
      </w:r>
      <w:r>
        <w:rPr>
          <w:b w:val="0"/>
        </w:rPr>
        <w:t>and nurture strong, deep partnerships that reinforce our</w:t>
      </w:r>
      <w:r>
        <w:rPr>
          <w:b w:val="0"/>
          <w:spacing w:val="40"/>
        </w:rPr>
        <w:t> </w:t>
      </w:r>
      <w:r>
        <w:rPr>
          <w:b w:val="0"/>
        </w:rPr>
        <w:t>position as the fulcrum of the Indian Ocean Rim.</w:t>
      </w:r>
    </w:p>
    <w:p>
      <w:pPr>
        <w:pStyle w:val="BodyText"/>
        <w:spacing w:before="47"/>
        <w:rPr>
          <w:b w:val="0"/>
        </w:rPr>
      </w:pPr>
    </w:p>
    <w:p>
      <w:pPr>
        <w:spacing w:before="0"/>
        <w:ind w:left="213" w:right="0" w:firstLine="0"/>
        <w:jc w:val="both"/>
        <w:rPr>
          <w:rFonts w:ascii="TT Norms Pro"/>
          <w:b/>
          <w:sz w:val="18"/>
        </w:rPr>
      </w:pPr>
      <w:r>
        <w:rPr>
          <w:rFonts w:ascii="TT Norms Pro"/>
          <w:b/>
          <w:sz w:val="18"/>
        </w:rPr>
        <w:t>Key</w:t>
      </w:r>
      <w:r>
        <w:rPr>
          <w:rFonts w:ascii="TT Norms Pro"/>
          <w:b/>
          <w:spacing w:val="3"/>
          <w:sz w:val="18"/>
        </w:rPr>
        <w:t> </w:t>
      </w:r>
      <w:r>
        <w:rPr>
          <w:rFonts w:ascii="TT Norms Pro"/>
          <w:b/>
          <w:sz w:val="18"/>
        </w:rPr>
        <w:t>performance</w:t>
      </w:r>
      <w:r>
        <w:rPr>
          <w:rFonts w:ascii="TT Norms Pro"/>
          <w:b/>
          <w:spacing w:val="6"/>
          <w:sz w:val="18"/>
        </w:rPr>
        <w:t> </w:t>
      </w:r>
      <w:r>
        <w:rPr>
          <w:rFonts w:ascii="TT Norms Pro"/>
          <w:b/>
          <w:spacing w:val="-2"/>
          <w:sz w:val="18"/>
        </w:rPr>
        <w:t>indicator</w:t>
      </w:r>
    </w:p>
    <w:p>
      <w:pPr>
        <w:pStyle w:val="BodyText"/>
        <w:spacing w:line="295" w:lineRule="auto" w:before="50"/>
        <w:ind w:left="213"/>
        <w:rPr>
          <w:b w:val="0"/>
        </w:rPr>
      </w:pPr>
      <w:r>
        <w:rPr>
          <w:b w:val="0"/>
        </w:rPr>
        <w:t>Achievement</w:t>
      </w:r>
      <w:r>
        <w:rPr>
          <w:b w:val="0"/>
          <w:spacing w:val="-2"/>
        </w:rPr>
        <w:t> </w:t>
      </w:r>
      <w:r>
        <w:rPr>
          <w:b w:val="0"/>
        </w:rPr>
        <w:t>of</w:t>
      </w:r>
      <w:r>
        <w:rPr>
          <w:b w:val="0"/>
          <w:spacing w:val="-2"/>
        </w:rPr>
        <w:t> </w:t>
      </w:r>
      <w:r>
        <w:rPr>
          <w:b w:val="0"/>
        </w:rPr>
        <w:t>this</w:t>
      </w:r>
      <w:r>
        <w:rPr>
          <w:b w:val="0"/>
          <w:spacing w:val="-2"/>
        </w:rPr>
        <w:t> </w:t>
      </w:r>
      <w:r>
        <w:rPr>
          <w:b w:val="0"/>
        </w:rPr>
        <w:t>goal</w:t>
      </w:r>
      <w:r>
        <w:rPr>
          <w:b w:val="0"/>
          <w:spacing w:val="-2"/>
        </w:rPr>
        <w:t> </w:t>
      </w:r>
      <w:r>
        <w:rPr>
          <w:b w:val="0"/>
        </w:rPr>
        <w:t>will</w:t>
      </w:r>
      <w:r>
        <w:rPr>
          <w:b w:val="0"/>
          <w:spacing w:val="-2"/>
        </w:rPr>
        <w:t> </w:t>
      </w:r>
      <w:r>
        <w:rPr>
          <w:b w:val="0"/>
        </w:rPr>
        <w:t>be</w:t>
      </w:r>
      <w:r>
        <w:rPr>
          <w:b w:val="0"/>
          <w:spacing w:val="-2"/>
        </w:rPr>
        <w:t> </w:t>
      </w:r>
      <w:r>
        <w:rPr>
          <w:b w:val="0"/>
        </w:rPr>
        <w:t>measured</w:t>
      </w:r>
      <w:r>
        <w:rPr>
          <w:b w:val="0"/>
          <w:spacing w:val="-2"/>
        </w:rPr>
        <w:t> </w:t>
      </w:r>
      <w:r>
        <w:rPr>
          <w:b w:val="0"/>
        </w:rPr>
        <w:t>by</w:t>
      </w:r>
      <w:r>
        <w:rPr>
          <w:b w:val="0"/>
          <w:spacing w:val="-2"/>
        </w:rPr>
        <w:t> </w:t>
      </w:r>
      <w:r>
        <w:rPr>
          <w:b w:val="0"/>
        </w:rPr>
        <w:t>the</w:t>
      </w:r>
      <w:r>
        <w:rPr>
          <w:b w:val="0"/>
          <w:spacing w:val="-2"/>
        </w:rPr>
        <w:t> </w:t>
      </w:r>
      <w:r>
        <w:rPr>
          <w:b w:val="0"/>
        </w:rPr>
        <w:t>following</w:t>
      </w:r>
      <w:r>
        <w:rPr>
          <w:b w:val="0"/>
          <w:spacing w:val="40"/>
        </w:rPr>
        <w:t> </w:t>
      </w:r>
      <w:r>
        <w:rPr>
          <w:b w:val="0"/>
        </w:rPr>
        <w:t>effectiveness</w:t>
      </w:r>
      <w:r>
        <w:rPr>
          <w:b w:val="0"/>
          <w:spacing w:val="-5"/>
        </w:rPr>
        <w:t> </w:t>
      </w:r>
      <w:r>
        <w:rPr>
          <w:b w:val="0"/>
        </w:rPr>
        <w:t>indicator:</w:t>
      </w:r>
    </w:p>
    <w:p>
      <w:pPr>
        <w:pStyle w:val="BodyText"/>
        <w:spacing w:before="46"/>
        <w:rPr>
          <w:b w:val="0"/>
        </w:rPr>
      </w:pPr>
    </w:p>
    <w:p>
      <w:pPr>
        <w:pStyle w:val="ListParagraph"/>
        <w:numPr>
          <w:ilvl w:val="1"/>
          <w:numId w:val="8"/>
        </w:numPr>
        <w:tabs>
          <w:tab w:pos="551" w:val="left" w:leader="none"/>
        </w:tabs>
        <w:spacing w:line="240" w:lineRule="auto" w:before="0" w:after="0"/>
        <w:ind w:left="551" w:right="0" w:hanging="338"/>
        <w:jc w:val="left"/>
        <w:rPr>
          <w:rFonts w:ascii="TT Norms Pro Light"/>
          <w:b w:val="0"/>
          <w:sz w:val="18"/>
        </w:rPr>
      </w:pPr>
      <w:r>
        <w:rPr>
          <w:rFonts w:ascii="TT Norms Pro Light"/>
          <w:b w:val="0"/>
          <w:sz w:val="18"/>
        </w:rPr>
        <w:t>Non-traditional</w:t>
      </w:r>
      <w:r>
        <w:rPr>
          <w:rFonts w:ascii="TT Norms Pro Light"/>
          <w:b w:val="0"/>
          <w:spacing w:val="2"/>
          <w:sz w:val="18"/>
        </w:rPr>
        <w:t> </w:t>
      </w:r>
      <w:r>
        <w:rPr>
          <w:rFonts w:ascii="TT Norms Pro Light"/>
          <w:b w:val="0"/>
          <w:spacing w:val="-2"/>
          <w:sz w:val="18"/>
        </w:rPr>
        <w:t>revenue</w:t>
      </w:r>
    </w:p>
    <w:p>
      <w:pPr>
        <w:pStyle w:val="BodyText"/>
        <w:spacing w:line="295" w:lineRule="auto" w:before="125"/>
        <w:ind w:left="213" w:right="1344"/>
        <w:jc w:val="both"/>
        <w:rPr>
          <w:b w:val="0"/>
        </w:rPr>
      </w:pPr>
      <w:r>
        <w:rPr/>
        <w:br w:type="column"/>
      </w:r>
      <w:r>
        <w:rPr>
          <w:b w:val="0"/>
        </w:rPr>
        <w:t>The University has managed to exceed its target on this</w:t>
      </w:r>
      <w:r>
        <w:rPr>
          <w:b w:val="0"/>
          <w:spacing w:val="40"/>
        </w:rPr>
        <w:t> </w:t>
      </w:r>
      <w:r>
        <w:rPr>
          <w:b w:val="0"/>
        </w:rPr>
        <w:t>measure due to stronger than expected performance in</w:t>
      </w:r>
      <w:r>
        <w:rPr>
          <w:b w:val="0"/>
          <w:spacing w:val="40"/>
        </w:rPr>
        <w:t> </w:t>
      </w:r>
      <w:r>
        <w:rPr>
          <w:b w:val="0"/>
        </w:rPr>
        <w:t>philanthropic, royalty and consultancy outcomes.</w:t>
      </w:r>
    </w:p>
    <w:p>
      <w:pPr>
        <w:pStyle w:val="BodyText"/>
        <w:spacing w:line="295" w:lineRule="auto" w:before="2"/>
        <w:ind w:left="213" w:right="1336"/>
        <w:rPr>
          <w:b w:val="0"/>
        </w:rPr>
      </w:pPr>
      <w:r>
        <w:rPr>
          <w:b w:val="0"/>
        </w:rPr>
        <w:t>The original 2020 target was set against a perception</w:t>
      </w:r>
      <w:r>
        <w:rPr>
          <w:b w:val="0"/>
          <w:spacing w:val="40"/>
        </w:rPr>
        <w:t> </w:t>
      </w:r>
      <w:r>
        <w:rPr>
          <w:b w:val="0"/>
        </w:rPr>
        <w:t>that COVID-19 would significantly reduce both</w:t>
      </w:r>
      <w:r>
        <w:rPr>
          <w:b w:val="0"/>
          <w:spacing w:val="40"/>
        </w:rPr>
        <w:t> </w:t>
      </w:r>
      <w:r>
        <w:rPr>
          <w:b w:val="0"/>
        </w:rPr>
        <w:t>commercial and philanthropic income sources, but this</w:t>
      </w:r>
      <w:r>
        <w:rPr>
          <w:b w:val="0"/>
          <w:spacing w:val="40"/>
        </w:rPr>
        <w:t> </w:t>
      </w:r>
      <w:r>
        <w:rPr>
          <w:b w:val="0"/>
        </w:rPr>
        <w:t>overall outcome was not as severe as expected.</w:t>
      </w:r>
    </w:p>
    <w:p>
      <w:pPr>
        <w:pStyle w:val="BodyText"/>
        <w:spacing w:line="295" w:lineRule="auto" w:before="4"/>
        <w:ind w:left="213" w:right="1336"/>
        <w:rPr>
          <w:b w:val="0"/>
        </w:rPr>
      </w:pPr>
      <w:r>
        <w:rPr>
          <w:b w:val="0"/>
        </w:rPr>
        <w:t>The University has also implemented a new and more</w:t>
      </w:r>
      <w:r>
        <w:rPr>
          <w:b w:val="0"/>
          <w:spacing w:val="40"/>
        </w:rPr>
        <w:t> </w:t>
      </w:r>
      <w:r>
        <w:rPr>
          <w:b w:val="0"/>
        </w:rPr>
        <w:t>streamlined operating environment in which consulting</w:t>
      </w:r>
      <w:r>
        <w:rPr>
          <w:b w:val="0"/>
          <w:spacing w:val="40"/>
        </w:rPr>
        <w:t> </w:t>
      </w:r>
      <w:r>
        <w:rPr>
          <w:b w:val="0"/>
        </w:rPr>
        <w:t>can be undertaken, which has assisted in its strong</w:t>
      </w:r>
      <w:r>
        <w:rPr>
          <w:b w:val="0"/>
          <w:spacing w:val="40"/>
        </w:rPr>
        <w:t> </w:t>
      </w:r>
      <w:r>
        <w:rPr>
          <w:b w:val="0"/>
        </w:rPr>
        <w:t>performance this year.</w:t>
      </w:r>
    </w:p>
    <w:p>
      <w:pPr>
        <w:spacing w:after="0" w:line="295" w:lineRule="auto"/>
        <w:sectPr>
          <w:type w:val="continuous"/>
          <w:pgSz w:w="11910" w:h="16840"/>
          <w:pgMar w:header="468" w:footer="0" w:top="980" w:bottom="280" w:left="920" w:right="0"/>
          <w:cols w:num="2" w:equalWidth="0">
            <w:col w:w="4875" w:space="142"/>
            <w:col w:w="5973"/>
          </w:cols>
        </w:sectPr>
      </w:pPr>
    </w:p>
    <w:p>
      <w:pPr>
        <w:pStyle w:val="BodyText"/>
        <w:spacing w:before="4"/>
        <w:rPr>
          <w:b w:val="0"/>
          <w:sz w:val="11"/>
        </w:rPr>
      </w:pPr>
    </w:p>
    <w:p>
      <w:pPr>
        <w:spacing w:after="0"/>
        <w:rPr>
          <w:sz w:val="11"/>
        </w:rPr>
        <w:sectPr>
          <w:type w:val="continuous"/>
          <w:pgSz w:w="11910" w:h="16840"/>
          <w:pgMar w:header="468" w:footer="0" w:top="980" w:bottom="280" w:left="920" w:right="0"/>
        </w:sectPr>
      </w:pPr>
    </w:p>
    <w:p>
      <w:pPr>
        <w:pStyle w:val="BodyText"/>
        <w:spacing w:before="154"/>
        <w:rPr>
          <w:b w:val="0"/>
          <w:sz w:val="22"/>
        </w:rPr>
      </w:pPr>
    </w:p>
    <w:p>
      <w:pPr>
        <w:pStyle w:val="Heading9"/>
        <w:ind w:left="213"/>
      </w:pPr>
      <w:r>
        <w:rPr/>
        <w:t>3.1</w:t>
      </w:r>
      <w:r>
        <w:rPr>
          <w:spacing w:val="20"/>
        </w:rPr>
        <w:t> </w:t>
      </w:r>
      <w:r>
        <w:rPr/>
        <w:t>NON-TRADITIONAL</w:t>
      </w:r>
      <w:r>
        <w:rPr>
          <w:spacing w:val="21"/>
        </w:rPr>
        <w:t> </w:t>
      </w:r>
      <w:r>
        <w:rPr>
          <w:spacing w:val="-2"/>
        </w:rPr>
        <w:t>REVENUE</w:t>
      </w:r>
    </w:p>
    <w:p>
      <w:pPr>
        <w:pStyle w:val="BodyText"/>
        <w:spacing w:line="295" w:lineRule="auto" w:before="139"/>
        <w:ind w:left="213"/>
        <w:rPr>
          <w:b w:val="0"/>
        </w:rPr>
      </w:pPr>
      <w:r>
        <w:rPr>
          <w:b w:val="0"/>
        </w:rPr>
        <w:t>A combination of philanthropic income raised (pledged)</w:t>
      </w:r>
      <w:r>
        <w:rPr>
          <w:b w:val="0"/>
          <w:spacing w:val="40"/>
        </w:rPr>
        <w:t> </w:t>
      </w:r>
      <w:r>
        <w:rPr>
          <w:b w:val="0"/>
        </w:rPr>
        <w:t>and</w:t>
      </w:r>
      <w:r>
        <w:rPr>
          <w:b w:val="0"/>
          <w:spacing w:val="-1"/>
        </w:rPr>
        <w:t> </w:t>
      </w:r>
      <w:r>
        <w:rPr>
          <w:b w:val="0"/>
        </w:rPr>
        <w:t>other</w:t>
      </w:r>
      <w:r>
        <w:rPr>
          <w:b w:val="0"/>
          <w:spacing w:val="-1"/>
        </w:rPr>
        <w:t> </w:t>
      </w:r>
      <w:r>
        <w:rPr>
          <w:b w:val="0"/>
        </w:rPr>
        <w:t>‘non-grant</w:t>
      </w:r>
      <w:r>
        <w:rPr>
          <w:b w:val="0"/>
          <w:spacing w:val="-1"/>
        </w:rPr>
        <w:t> </w:t>
      </w:r>
      <w:r>
        <w:rPr>
          <w:b w:val="0"/>
        </w:rPr>
        <w:t>income’,</w:t>
      </w:r>
      <w:r>
        <w:rPr>
          <w:b w:val="0"/>
          <w:spacing w:val="-1"/>
        </w:rPr>
        <w:t> </w:t>
      </w:r>
      <w:r>
        <w:rPr>
          <w:b w:val="0"/>
        </w:rPr>
        <w:t>including</w:t>
      </w:r>
      <w:r>
        <w:rPr>
          <w:b w:val="0"/>
          <w:spacing w:val="-1"/>
        </w:rPr>
        <w:t> </w:t>
      </w:r>
      <w:r>
        <w:rPr>
          <w:b w:val="0"/>
        </w:rPr>
        <w:t>Centre</w:t>
      </w:r>
      <w:r>
        <w:rPr>
          <w:b w:val="0"/>
          <w:spacing w:val="-2"/>
        </w:rPr>
        <w:t> </w:t>
      </w:r>
      <w:r>
        <w:rPr>
          <w:b w:val="0"/>
        </w:rPr>
        <w:t>for</w:t>
      </w:r>
      <w:r>
        <w:rPr>
          <w:b w:val="0"/>
          <w:spacing w:val="-1"/>
        </w:rPr>
        <w:t> </w:t>
      </w:r>
      <w:r>
        <w:rPr>
          <w:b w:val="0"/>
        </w:rPr>
        <w:t>English</w:t>
      </w:r>
      <w:r>
        <w:rPr>
          <w:b w:val="0"/>
          <w:spacing w:val="40"/>
        </w:rPr>
        <w:t> </w:t>
      </w:r>
      <w:r>
        <w:rPr>
          <w:b w:val="0"/>
        </w:rPr>
        <w:t>Language Teaching-linked</w:t>
      </w:r>
      <w:r>
        <w:rPr>
          <w:b w:val="0"/>
          <w:spacing w:val="-1"/>
        </w:rPr>
        <w:t> </w:t>
      </w:r>
      <w:r>
        <w:rPr>
          <w:b w:val="0"/>
        </w:rPr>
        <w:t>international on-shore income,</w:t>
      </w:r>
      <w:r>
        <w:rPr>
          <w:b w:val="0"/>
          <w:spacing w:val="40"/>
        </w:rPr>
        <w:t> </w:t>
      </w:r>
      <w:r>
        <w:rPr>
          <w:b w:val="0"/>
        </w:rPr>
        <w:t>short / Continuing Professional Development courses,</w:t>
      </w:r>
      <w:r>
        <w:rPr>
          <w:b w:val="0"/>
          <w:spacing w:val="40"/>
        </w:rPr>
        <w:t> </w:t>
      </w:r>
      <w:r>
        <w:rPr>
          <w:b w:val="0"/>
        </w:rPr>
        <w:t>consultancy, royalties on commercialised research,</w:t>
      </w:r>
      <w:r>
        <w:rPr>
          <w:b w:val="0"/>
          <w:spacing w:val="40"/>
        </w:rPr>
        <w:t> </w:t>
      </w:r>
      <w:r>
        <w:rPr>
          <w:b w:val="0"/>
        </w:rPr>
        <w:t>intellectual property income and sales of publications /</w:t>
      </w:r>
      <w:r>
        <w:rPr>
          <w:b w:val="0"/>
          <w:spacing w:val="40"/>
        </w:rPr>
        <w:t> </w:t>
      </w:r>
      <w:r>
        <w:rPr>
          <w:b w:val="0"/>
        </w:rPr>
        <w:t>services. As competition for funding continues</w:t>
      </w:r>
      <w:r>
        <w:rPr>
          <w:b w:val="0"/>
          <w:spacing w:val="-2"/>
        </w:rPr>
        <w:t> </w:t>
      </w:r>
      <w:r>
        <w:rPr>
          <w:b w:val="0"/>
        </w:rPr>
        <w:t>to</w:t>
      </w:r>
      <w:r>
        <w:rPr>
          <w:b w:val="0"/>
          <w:spacing w:val="-2"/>
        </w:rPr>
        <w:t> </w:t>
      </w:r>
      <w:r>
        <w:rPr>
          <w:b w:val="0"/>
        </w:rPr>
        <w:t>increase,</w:t>
      </w:r>
    </w:p>
    <w:p>
      <w:pPr>
        <w:spacing w:before="126"/>
        <w:ind w:left="213" w:right="0" w:firstLine="0"/>
        <w:jc w:val="left"/>
        <w:rPr>
          <w:rFonts w:ascii="TT Norms Pro"/>
          <w:b/>
          <w:sz w:val="18"/>
        </w:rPr>
      </w:pPr>
      <w:r>
        <w:rPr/>
        <w:br w:type="column"/>
      </w:r>
      <w:r>
        <w:rPr>
          <w:rFonts w:ascii="TT Norms Pro"/>
          <w:b/>
          <w:sz w:val="18"/>
        </w:rPr>
        <w:t>Non-traditional</w:t>
      </w:r>
      <w:r>
        <w:rPr>
          <w:rFonts w:ascii="TT Norms Pro"/>
          <w:b/>
          <w:spacing w:val="17"/>
          <w:sz w:val="18"/>
        </w:rPr>
        <w:t> </w:t>
      </w:r>
      <w:r>
        <w:rPr>
          <w:rFonts w:ascii="TT Norms Pro"/>
          <w:b/>
          <w:spacing w:val="-2"/>
          <w:sz w:val="18"/>
        </w:rPr>
        <w:t>revenue</w:t>
      </w:r>
    </w:p>
    <w:p>
      <w:pPr>
        <w:pStyle w:val="BodyText"/>
        <w:rPr>
          <w:rFonts w:ascii="TT Norms Pro"/>
          <w:b/>
        </w:rPr>
      </w:pPr>
    </w:p>
    <w:p>
      <w:pPr>
        <w:pStyle w:val="BodyText"/>
        <w:rPr>
          <w:rFonts w:ascii="TT Norms Pro"/>
          <w:b/>
        </w:rPr>
      </w:pPr>
    </w:p>
    <w:p>
      <w:pPr>
        <w:pStyle w:val="BodyText"/>
        <w:rPr>
          <w:rFonts w:ascii="TT Norms Pro"/>
          <w:b/>
        </w:rPr>
      </w:pPr>
    </w:p>
    <w:p>
      <w:pPr>
        <w:pStyle w:val="BodyText"/>
        <w:rPr>
          <w:rFonts w:ascii="TT Norms Pro"/>
          <w:b/>
        </w:rPr>
      </w:pPr>
    </w:p>
    <w:p>
      <w:pPr>
        <w:pStyle w:val="BodyText"/>
        <w:spacing w:before="181"/>
        <w:rPr>
          <w:rFonts w:ascii="TT Norms Pro"/>
          <w:b/>
        </w:rPr>
      </w:pPr>
    </w:p>
    <w:p>
      <w:pPr>
        <w:spacing w:line="292" w:lineRule="auto" w:before="0"/>
        <w:ind w:left="270" w:right="939" w:firstLine="0"/>
        <w:jc w:val="left"/>
        <w:rPr>
          <w:rFonts w:ascii="TT Norms Pro Light"/>
          <w:b w:val="0"/>
          <w:sz w:val="14"/>
        </w:rPr>
      </w:pPr>
      <w:r>
        <w:rPr/>
        <mc:AlternateContent>
          <mc:Choice Requires="wps">
            <w:drawing>
              <wp:anchor distT="0" distB="0" distL="0" distR="0" allowOverlap="1" layoutInCell="1" locked="0" behindDoc="0" simplePos="0" relativeHeight="15852544">
                <wp:simplePos x="0" y="0"/>
                <wp:positionH relativeFrom="page">
                  <wp:posOffset>3905999</wp:posOffset>
                </wp:positionH>
                <wp:positionV relativeFrom="paragraph">
                  <wp:posOffset>-447975</wp:posOffset>
                </wp:positionV>
                <wp:extent cx="2914650" cy="421640"/>
                <wp:effectExtent l="0" t="0" r="0" b="0"/>
                <wp:wrapNone/>
                <wp:docPr id="767" name="Group 767"/>
                <wp:cNvGraphicFramePr>
                  <a:graphicFrameLocks/>
                </wp:cNvGraphicFramePr>
                <a:graphic>
                  <a:graphicData uri="http://schemas.microsoft.com/office/word/2010/wordprocessingGroup">
                    <wpg:wgp>
                      <wpg:cNvPr id="767" name="Group 767"/>
                      <wpg:cNvGrpSpPr/>
                      <wpg:grpSpPr>
                        <a:xfrm>
                          <a:off x="0" y="0"/>
                          <a:ext cx="2914650" cy="421640"/>
                          <a:chExt cx="2914650" cy="421640"/>
                        </a:xfrm>
                      </wpg:grpSpPr>
                      <wps:wsp>
                        <wps:cNvPr id="768" name="Graphic 768"/>
                        <wps:cNvSpPr/>
                        <wps:spPr>
                          <a:xfrm>
                            <a:off x="0" y="1590"/>
                            <a:ext cx="2914650" cy="419734"/>
                          </a:xfrm>
                          <a:custGeom>
                            <a:avLst/>
                            <a:gdLst/>
                            <a:ahLst/>
                            <a:cxnLst/>
                            <a:rect l="l" t="t" r="r" b="b"/>
                            <a:pathLst>
                              <a:path w="2914650" h="419734">
                                <a:moveTo>
                                  <a:pt x="1781987" y="0"/>
                                </a:moveTo>
                                <a:lnTo>
                                  <a:pt x="1055649" y="0"/>
                                </a:lnTo>
                                <a:lnTo>
                                  <a:pt x="0" y="0"/>
                                </a:lnTo>
                                <a:lnTo>
                                  <a:pt x="0" y="419633"/>
                                </a:lnTo>
                                <a:lnTo>
                                  <a:pt x="1055649" y="419633"/>
                                </a:lnTo>
                                <a:lnTo>
                                  <a:pt x="1781987" y="419633"/>
                                </a:lnTo>
                                <a:lnTo>
                                  <a:pt x="1781987" y="0"/>
                                </a:lnTo>
                                <a:close/>
                              </a:path>
                              <a:path w="2914650" h="419734">
                                <a:moveTo>
                                  <a:pt x="2914154" y="0"/>
                                </a:moveTo>
                                <a:lnTo>
                                  <a:pt x="2335504" y="0"/>
                                </a:lnTo>
                                <a:lnTo>
                                  <a:pt x="1782000" y="0"/>
                                </a:lnTo>
                                <a:lnTo>
                                  <a:pt x="1782000" y="419633"/>
                                </a:lnTo>
                                <a:lnTo>
                                  <a:pt x="2335504" y="419633"/>
                                </a:lnTo>
                                <a:lnTo>
                                  <a:pt x="2914154" y="419633"/>
                                </a:lnTo>
                                <a:lnTo>
                                  <a:pt x="2914154" y="0"/>
                                </a:lnTo>
                                <a:close/>
                              </a:path>
                            </a:pathLst>
                          </a:custGeom>
                          <a:solidFill>
                            <a:srgbClr val="E6E7E8"/>
                          </a:solidFill>
                        </wps:spPr>
                        <wps:bodyPr wrap="square" lIns="0" tIns="0" rIns="0" bIns="0" rtlCol="0">
                          <a:prstTxWarp prst="textNoShape">
                            <a:avLst/>
                          </a:prstTxWarp>
                          <a:noAutofit/>
                        </wps:bodyPr>
                      </wps:wsp>
                      <wps:wsp>
                        <wps:cNvPr id="769" name="Graphic 769"/>
                        <wps:cNvSpPr/>
                        <wps:spPr>
                          <a:xfrm>
                            <a:off x="1" y="1587"/>
                            <a:ext cx="1056005" cy="1270"/>
                          </a:xfrm>
                          <a:custGeom>
                            <a:avLst/>
                            <a:gdLst/>
                            <a:ahLst/>
                            <a:cxnLst/>
                            <a:rect l="l" t="t" r="r" b="b"/>
                            <a:pathLst>
                              <a:path w="1056005" h="0">
                                <a:moveTo>
                                  <a:pt x="0" y="0"/>
                                </a:moveTo>
                                <a:lnTo>
                                  <a:pt x="1055649" y="0"/>
                                </a:lnTo>
                              </a:path>
                            </a:pathLst>
                          </a:custGeom>
                          <a:ln w="3175">
                            <a:solidFill>
                              <a:srgbClr val="000000"/>
                            </a:solidFill>
                            <a:prstDash val="solid"/>
                          </a:ln>
                        </wps:spPr>
                        <wps:bodyPr wrap="square" lIns="0" tIns="0" rIns="0" bIns="0" rtlCol="0">
                          <a:prstTxWarp prst="textNoShape">
                            <a:avLst/>
                          </a:prstTxWarp>
                          <a:noAutofit/>
                        </wps:bodyPr>
                      </wps:wsp>
                      <wps:wsp>
                        <wps:cNvPr id="770" name="Graphic 770"/>
                        <wps:cNvSpPr/>
                        <wps:spPr>
                          <a:xfrm>
                            <a:off x="1055650" y="1587"/>
                            <a:ext cx="726440" cy="1270"/>
                          </a:xfrm>
                          <a:custGeom>
                            <a:avLst/>
                            <a:gdLst/>
                            <a:ahLst/>
                            <a:cxnLst/>
                            <a:rect l="l" t="t" r="r" b="b"/>
                            <a:pathLst>
                              <a:path w="726440" h="0">
                                <a:moveTo>
                                  <a:pt x="0" y="0"/>
                                </a:moveTo>
                                <a:lnTo>
                                  <a:pt x="726351" y="0"/>
                                </a:lnTo>
                              </a:path>
                            </a:pathLst>
                          </a:custGeom>
                          <a:ln w="3175">
                            <a:solidFill>
                              <a:srgbClr val="000000"/>
                            </a:solidFill>
                            <a:prstDash val="solid"/>
                          </a:ln>
                        </wps:spPr>
                        <wps:bodyPr wrap="square" lIns="0" tIns="0" rIns="0" bIns="0" rtlCol="0">
                          <a:prstTxWarp prst="textNoShape">
                            <a:avLst/>
                          </a:prstTxWarp>
                          <a:noAutofit/>
                        </wps:bodyPr>
                      </wps:wsp>
                      <wps:wsp>
                        <wps:cNvPr id="771" name="Graphic 771"/>
                        <wps:cNvSpPr/>
                        <wps:spPr>
                          <a:xfrm>
                            <a:off x="1782000" y="1587"/>
                            <a:ext cx="553720" cy="1270"/>
                          </a:xfrm>
                          <a:custGeom>
                            <a:avLst/>
                            <a:gdLst/>
                            <a:ahLst/>
                            <a:cxnLst/>
                            <a:rect l="l" t="t" r="r" b="b"/>
                            <a:pathLst>
                              <a:path w="553720" h="0">
                                <a:moveTo>
                                  <a:pt x="0" y="0"/>
                                </a:moveTo>
                                <a:lnTo>
                                  <a:pt x="553504" y="0"/>
                                </a:lnTo>
                              </a:path>
                            </a:pathLst>
                          </a:custGeom>
                          <a:ln w="3175">
                            <a:solidFill>
                              <a:srgbClr val="000000"/>
                            </a:solidFill>
                            <a:prstDash val="solid"/>
                          </a:ln>
                        </wps:spPr>
                        <wps:bodyPr wrap="square" lIns="0" tIns="0" rIns="0" bIns="0" rtlCol="0">
                          <a:prstTxWarp prst="textNoShape">
                            <a:avLst/>
                          </a:prstTxWarp>
                          <a:noAutofit/>
                        </wps:bodyPr>
                      </wps:wsp>
                      <wps:wsp>
                        <wps:cNvPr id="772" name="Graphic 772"/>
                        <wps:cNvSpPr/>
                        <wps:spPr>
                          <a:xfrm>
                            <a:off x="2335500" y="1587"/>
                            <a:ext cx="579120" cy="1270"/>
                          </a:xfrm>
                          <a:custGeom>
                            <a:avLst/>
                            <a:gdLst/>
                            <a:ahLst/>
                            <a:cxnLst/>
                            <a:rect l="l" t="t" r="r" b="b"/>
                            <a:pathLst>
                              <a:path w="579120" h="0">
                                <a:moveTo>
                                  <a:pt x="0" y="0"/>
                                </a:moveTo>
                                <a:lnTo>
                                  <a:pt x="578650" y="0"/>
                                </a:lnTo>
                              </a:path>
                            </a:pathLst>
                          </a:custGeom>
                          <a:ln w="3175">
                            <a:solidFill>
                              <a:srgbClr val="000000"/>
                            </a:solidFill>
                            <a:prstDash val="solid"/>
                          </a:ln>
                        </wps:spPr>
                        <wps:bodyPr wrap="square" lIns="0" tIns="0" rIns="0" bIns="0" rtlCol="0">
                          <a:prstTxWarp prst="textNoShape">
                            <a:avLst/>
                          </a:prstTxWarp>
                          <a:noAutofit/>
                        </wps:bodyPr>
                      </wps:wsp>
                      <wps:wsp>
                        <wps:cNvPr id="773" name="Textbox 773"/>
                        <wps:cNvSpPr txBox="1"/>
                        <wps:spPr>
                          <a:xfrm>
                            <a:off x="36004" y="27101"/>
                            <a:ext cx="896619" cy="368935"/>
                          </a:xfrm>
                          <a:prstGeom prst="rect">
                            <a:avLst/>
                          </a:prstGeom>
                        </wps:spPr>
                        <wps:txbx>
                          <w:txbxContent>
                            <w:p>
                              <w:pPr>
                                <w:spacing w:line="292" w:lineRule="auto" w:before="17"/>
                                <w:ind w:left="0" w:right="0" w:firstLine="0"/>
                                <w:jc w:val="left"/>
                                <w:rPr>
                                  <w:rFonts w:ascii="TT Norms Pro Light"/>
                                  <w:b w:val="0"/>
                                  <w:sz w:val="14"/>
                                </w:rPr>
                              </w:pPr>
                              <w:r>
                                <w:rPr>
                                  <w:rFonts w:ascii="TT Norms Pro Light"/>
                                  <w:b w:val="0"/>
                                  <w:sz w:val="14"/>
                                </w:rPr>
                                <w:t>Philanthropic</w:t>
                              </w:r>
                              <w:r>
                                <w:rPr>
                                  <w:rFonts w:ascii="TT Norms Pro Light"/>
                                  <w:b w:val="0"/>
                                  <w:spacing w:val="-9"/>
                                  <w:sz w:val="14"/>
                                </w:rPr>
                                <w:t> </w:t>
                              </w:r>
                              <w:r>
                                <w:rPr>
                                  <w:rFonts w:ascii="TT Norms Pro Light"/>
                                  <w:b w:val="0"/>
                                  <w:sz w:val="14"/>
                                </w:rPr>
                                <w:t>revenue</w:t>
                              </w:r>
                              <w:r>
                                <w:rPr>
                                  <w:rFonts w:ascii="TT Norms Pro Light"/>
                                  <w:b w:val="0"/>
                                  <w:spacing w:val="40"/>
                                  <w:sz w:val="14"/>
                                </w:rPr>
                                <w:t> </w:t>
                              </w:r>
                              <w:r>
                                <w:rPr>
                                  <w:rFonts w:ascii="TT Norms Pro Light"/>
                                  <w:b w:val="0"/>
                                  <w:sz w:val="14"/>
                                </w:rPr>
                                <w:t>raised</w:t>
                              </w:r>
                              <w:r>
                                <w:rPr>
                                  <w:rFonts w:ascii="TT Norms Pro Light"/>
                                  <w:b w:val="0"/>
                                  <w:spacing w:val="-7"/>
                                  <w:sz w:val="14"/>
                                </w:rPr>
                                <w:t> </w:t>
                              </w:r>
                              <w:r>
                                <w:rPr>
                                  <w:rFonts w:ascii="TT Norms Pro Light"/>
                                  <w:b w:val="0"/>
                                  <w:sz w:val="14"/>
                                </w:rPr>
                                <w:t>(pledged)</w:t>
                              </w:r>
                            </w:p>
                            <w:p>
                              <w:pPr>
                                <w:spacing w:before="0"/>
                                <w:ind w:left="0" w:right="0" w:firstLine="0"/>
                                <w:jc w:val="left"/>
                                <w:rPr>
                                  <w:rFonts w:ascii="TT Norms Pro Light"/>
                                  <w:b w:val="0"/>
                                  <w:sz w:val="14"/>
                                </w:rPr>
                              </w:pPr>
                              <w:r>
                                <w:rPr>
                                  <w:rFonts w:ascii="TT Norms Pro Light"/>
                                  <w:b w:val="0"/>
                                  <w:spacing w:val="-2"/>
                                  <w:sz w:val="14"/>
                                </w:rPr>
                                <w:t>($millions)</w:t>
                              </w:r>
                            </w:p>
                          </w:txbxContent>
                        </wps:txbx>
                        <wps:bodyPr wrap="square" lIns="0" tIns="0" rIns="0" bIns="0" rtlCol="0">
                          <a:noAutofit/>
                        </wps:bodyPr>
                      </wps:wsp>
                      <wps:wsp>
                        <wps:cNvPr id="774" name="Textbox 774"/>
                        <wps:cNvSpPr txBox="1"/>
                        <wps:spPr>
                          <a:xfrm>
                            <a:off x="1522145" y="154139"/>
                            <a:ext cx="236854" cy="114935"/>
                          </a:xfrm>
                          <a:prstGeom prst="rect">
                            <a:avLst/>
                          </a:prstGeom>
                        </wps:spPr>
                        <wps:txbx>
                          <w:txbxContent>
                            <w:p>
                              <w:pPr>
                                <w:spacing w:before="16"/>
                                <w:ind w:left="0" w:right="0" w:firstLine="0"/>
                                <w:jc w:val="left"/>
                                <w:rPr>
                                  <w:rFonts w:ascii="TT Norms Pro Light"/>
                                  <w:b w:val="0"/>
                                  <w:sz w:val="14"/>
                                </w:rPr>
                              </w:pPr>
                              <w:r>
                                <w:rPr>
                                  <w:rFonts w:ascii="TT Norms Pro Light"/>
                                  <w:b w:val="0"/>
                                  <w:spacing w:val="-4"/>
                                  <w:sz w:val="14"/>
                                </w:rPr>
                                <w:t>$22.3</w:t>
                              </w:r>
                            </w:p>
                          </w:txbxContent>
                        </wps:txbx>
                        <wps:bodyPr wrap="square" lIns="0" tIns="0" rIns="0" bIns="0" rtlCol="0">
                          <a:noAutofit/>
                        </wps:bodyPr>
                      </wps:wsp>
                      <wps:wsp>
                        <wps:cNvPr id="775" name="Textbox 775"/>
                        <wps:cNvSpPr txBox="1"/>
                        <wps:spPr>
                          <a:xfrm>
                            <a:off x="2101951" y="154139"/>
                            <a:ext cx="210820" cy="114935"/>
                          </a:xfrm>
                          <a:prstGeom prst="rect">
                            <a:avLst/>
                          </a:prstGeom>
                        </wps:spPr>
                        <wps:txbx>
                          <w:txbxContent>
                            <w:p>
                              <w:pPr>
                                <w:spacing w:before="16"/>
                                <w:ind w:left="0" w:right="0" w:firstLine="0"/>
                                <w:jc w:val="left"/>
                                <w:rPr>
                                  <w:rFonts w:ascii="TT Norms Pro Light"/>
                                  <w:b w:val="0"/>
                                  <w:sz w:val="14"/>
                                </w:rPr>
                              </w:pPr>
                              <w:r>
                                <w:rPr>
                                  <w:rFonts w:ascii="TT Norms Pro Light"/>
                                  <w:b w:val="0"/>
                                  <w:spacing w:val="-2"/>
                                  <w:sz w:val="14"/>
                                </w:rPr>
                                <w:t>$31.7</w:t>
                              </w:r>
                            </w:p>
                          </w:txbxContent>
                        </wps:txbx>
                        <wps:bodyPr wrap="square" lIns="0" tIns="0" rIns="0" bIns="0" rtlCol="0">
                          <a:noAutofit/>
                        </wps:bodyPr>
                      </wps:wsp>
                    </wpg:wgp>
                  </a:graphicData>
                </a:graphic>
              </wp:anchor>
            </w:drawing>
          </mc:Choice>
          <mc:Fallback>
            <w:pict>
              <v:group style="position:absolute;margin-left:307.55899pt;margin-top:-35.273701pt;width:229.5pt;height:33.2pt;mso-position-horizontal-relative:page;mso-position-vertical-relative:paragraph;z-index:15852544" id="docshapegroup500" coordorigin="6151,-705" coordsize="4590,664">
                <v:shape style="position:absolute;left:6151;top:-703;width:4590;height:661" id="docshape501" coordorigin="6151,-703" coordsize="4590,661" path="m8957,-703l7814,-703,6151,-703,6151,-42,7814,-42,8957,-42,8957,-703xm10740,-703l9829,-703,8957,-703,8957,-42,9829,-42,10740,-42,10740,-703xe" filled="true" fillcolor="#e6e7e8" stroked="false">
                  <v:path arrowok="t"/>
                  <v:fill type="solid"/>
                </v:shape>
                <v:line style="position:absolute" from="6151,-703" to="7814,-703" stroked="true" strokeweight=".25pt" strokecolor="#000000">
                  <v:stroke dashstyle="solid"/>
                </v:line>
                <v:line style="position:absolute" from="7814,-703" to="8957,-703" stroked="true" strokeweight=".25pt" strokecolor="#000000">
                  <v:stroke dashstyle="solid"/>
                </v:line>
                <v:line style="position:absolute" from="8957,-703" to="9829,-703" stroked="true" strokeweight=".25pt" strokecolor="#000000">
                  <v:stroke dashstyle="solid"/>
                </v:line>
                <v:line style="position:absolute" from="9829,-703" to="10740,-703" stroked="true" strokeweight=".25pt" strokecolor="#000000">
                  <v:stroke dashstyle="solid"/>
                </v:line>
                <v:shape style="position:absolute;left:6207;top:-663;width:1412;height:581" type="#_x0000_t202" id="docshape502" filled="false" stroked="false">
                  <v:textbox inset="0,0,0,0">
                    <w:txbxContent>
                      <w:p>
                        <w:pPr>
                          <w:spacing w:line="292" w:lineRule="auto" w:before="17"/>
                          <w:ind w:left="0" w:right="0" w:firstLine="0"/>
                          <w:jc w:val="left"/>
                          <w:rPr>
                            <w:rFonts w:ascii="TT Norms Pro Light"/>
                            <w:b w:val="0"/>
                            <w:sz w:val="14"/>
                          </w:rPr>
                        </w:pPr>
                        <w:r>
                          <w:rPr>
                            <w:rFonts w:ascii="TT Norms Pro Light"/>
                            <w:b w:val="0"/>
                            <w:sz w:val="14"/>
                          </w:rPr>
                          <w:t>Philanthropic</w:t>
                        </w:r>
                        <w:r>
                          <w:rPr>
                            <w:rFonts w:ascii="TT Norms Pro Light"/>
                            <w:b w:val="0"/>
                            <w:spacing w:val="-9"/>
                            <w:sz w:val="14"/>
                          </w:rPr>
                          <w:t> </w:t>
                        </w:r>
                        <w:r>
                          <w:rPr>
                            <w:rFonts w:ascii="TT Norms Pro Light"/>
                            <w:b w:val="0"/>
                            <w:sz w:val="14"/>
                          </w:rPr>
                          <w:t>revenue</w:t>
                        </w:r>
                        <w:r>
                          <w:rPr>
                            <w:rFonts w:ascii="TT Norms Pro Light"/>
                            <w:b w:val="0"/>
                            <w:spacing w:val="40"/>
                            <w:sz w:val="14"/>
                          </w:rPr>
                          <w:t> </w:t>
                        </w:r>
                        <w:r>
                          <w:rPr>
                            <w:rFonts w:ascii="TT Norms Pro Light"/>
                            <w:b w:val="0"/>
                            <w:sz w:val="14"/>
                          </w:rPr>
                          <w:t>raised</w:t>
                        </w:r>
                        <w:r>
                          <w:rPr>
                            <w:rFonts w:ascii="TT Norms Pro Light"/>
                            <w:b w:val="0"/>
                            <w:spacing w:val="-7"/>
                            <w:sz w:val="14"/>
                          </w:rPr>
                          <w:t> </w:t>
                        </w:r>
                        <w:r>
                          <w:rPr>
                            <w:rFonts w:ascii="TT Norms Pro Light"/>
                            <w:b w:val="0"/>
                            <w:sz w:val="14"/>
                          </w:rPr>
                          <w:t>(pledged)</w:t>
                        </w:r>
                      </w:p>
                      <w:p>
                        <w:pPr>
                          <w:spacing w:before="0"/>
                          <w:ind w:left="0" w:right="0" w:firstLine="0"/>
                          <w:jc w:val="left"/>
                          <w:rPr>
                            <w:rFonts w:ascii="TT Norms Pro Light"/>
                            <w:b w:val="0"/>
                            <w:sz w:val="14"/>
                          </w:rPr>
                        </w:pPr>
                        <w:r>
                          <w:rPr>
                            <w:rFonts w:ascii="TT Norms Pro Light"/>
                            <w:b w:val="0"/>
                            <w:spacing w:val="-2"/>
                            <w:sz w:val="14"/>
                          </w:rPr>
                          <w:t>($millions)</w:t>
                        </w:r>
                      </w:p>
                    </w:txbxContent>
                  </v:textbox>
                  <w10:wrap type="none"/>
                </v:shape>
                <v:shape style="position:absolute;left:8548;top:-463;width:373;height:181" type="#_x0000_t202" id="docshape503" filled="false" stroked="false">
                  <v:textbox inset="0,0,0,0">
                    <w:txbxContent>
                      <w:p>
                        <w:pPr>
                          <w:spacing w:before="16"/>
                          <w:ind w:left="0" w:right="0" w:firstLine="0"/>
                          <w:jc w:val="left"/>
                          <w:rPr>
                            <w:rFonts w:ascii="TT Norms Pro Light"/>
                            <w:b w:val="0"/>
                            <w:sz w:val="14"/>
                          </w:rPr>
                        </w:pPr>
                        <w:r>
                          <w:rPr>
                            <w:rFonts w:ascii="TT Norms Pro Light"/>
                            <w:b w:val="0"/>
                            <w:spacing w:val="-4"/>
                            <w:sz w:val="14"/>
                          </w:rPr>
                          <w:t>$22.3</w:t>
                        </w:r>
                      </w:p>
                    </w:txbxContent>
                  </v:textbox>
                  <w10:wrap type="none"/>
                </v:shape>
                <v:shape style="position:absolute;left:9461;top:-463;width:332;height:181" type="#_x0000_t202" id="docshape504" filled="false" stroked="false">
                  <v:textbox inset="0,0,0,0">
                    <w:txbxContent>
                      <w:p>
                        <w:pPr>
                          <w:spacing w:before="16"/>
                          <w:ind w:left="0" w:right="0" w:firstLine="0"/>
                          <w:jc w:val="left"/>
                          <w:rPr>
                            <w:rFonts w:ascii="TT Norms Pro Light"/>
                            <w:b w:val="0"/>
                            <w:sz w:val="14"/>
                          </w:rPr>
                        </w:pPr>
                        <w:r>
                          <w:rPr>
                            <w:rFonts w:ascii="TT Norms Pro Light"/>
                            <w:b w:val="0"/>
                            <w:spacing w:val="-2"/>
                            <w:sz w:val="14"/>
                          </w:rPr>
                          <w:t>$31.7</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853056">
                <wp:simplePos x="0" y="0"/>
                <wp:positionH relativeFrom="page">
                  <wp:posOffset>3906000</wp:posOffset>
                </wp:positionH>
                <wp:positionV relativeFrom="paragraph">
                  <wp:posOffset>-756903</wp:posOffset>
                </wp:positionV>
                <wp:extent cx="2914650" cy="12700"/>
                <wp:effectExtent l="0" t="0" r="0" b="0"/>
                <wp:wrapNone/>
                <wp:docPr id="776" name="Group 776"/>
                <wp:cNvGraphicFramePr>
                  <a:graphicFrameLocks/>
                </wp:cNvGraphicFramePr>
                <a:graphic>
                  <a:graphicData uri="http://schemas.microsoft.com/office/word/2010/wordprocessingGroup">
                    <wpg:wgp>
                      <wpg:cNvPr id="776" name="Group 776"/>
                      <wpg:cNvGrpSpPr/>
                      <wpg:grpSpPr>
                        <a:xfrm>
                          <a:off x="0" y="0"/>
                          <a:ext cx="2914650" cy="12700"/>
                          <a:chExt cx="2914650" cy="12700"/>
                        </a:xfrm>
                      </wpg:grpSpPr>
                      <wps:wsp>
                        <wps:cNvPr id="777" name="Graphic 777"/>
                        <wps:cNvSpPr/>
                        <wps:spPr>
                          <a:xfrm>
                            <a:off x="0" y="6350"/>
                            <a:ext cx="1056005" cy="1270"/>
                          </a:xfrm>
                          <a:custGeom>
                            <a:avLst/>
                            <a:gdLst/>
                            <a:ahLst/>
                            <a:cxnLst/>
                            <a:rect l="l" t="t" r="r" b="b"/>
                            <a:pathLst>
                              <a:path w="1056005" h="0">
                                <a:moveTo>
                                  <a:pt x="0" y="0"/>
                                </a:moveTo>
                                <a:lnTo>
                                  <a:pt x="1055649" y="0"/>
                                </a:lnTo>
                              </a:path>
                            </a:pathLst>
                          </a:custGeom>
                          <a:ln w="12700">
                            <a:solidFill>
                              <a:srgbClr val="000000"/>
                            </a:solidFill>
                            <a:prstDash val="solid"/>
                          </a:ln>
                        </wps:spPr>
                        <wps:bodyPr wrap="square" lIns="0" tIns="0" rIns="0" bIns="0" rtlCol="0">
                          <a:prstTxWarp prst="textNoShape">
                            <a:avLst/>
                          </a:prstTxWarp>
                          <a:noAutofit/>
                        </wps:bodyPr>
                      </wps:wsp>
                      <wps:wsp>
                        <wps:cNvPr id="778" name="Graphic 778"/>
                        <wps:cNvSpPr/>
                        <wps:spPr>
                          <a:xfrm>
                            <a:off x="1055649" y="6350"/>
                            <a:ext cx="726440" cy="1270"/>
                          </a:xfrm>
                          <a:custGeom>
                            <a:avLst/>
                            <a:gdLst/>
                            <a:ahLst/>
                            <a:cxnLst/>
                            <a:rect l="l" t="t" r="r" b="b"/>
                            <a:pathLst>
                              <a:path w="726440" h="0">
                                <a:moveTo>
                                  <a:pt x="0" y="0"/>
                                </a:moveTo>
                                <a:lnTo>
                                  <a:pt x="726351" y="0"/>
                                </a:lnTo>
                              </a:path>
                            </a:pathLst>
                          </a:custGeom>
                          <a:ln w="12700">
                            <a:solidFill>
                              <a:srgbClr val="000000"/>
                            </a:solidFill>
                            <a:prstDash val="solid"/>
                          </a:ln>
                        </wps:spPr>
                        <wps:bodyPr wrap="square" lIns="0" tIns="0" rIns="0" bIns="0" rtlCol="0">
                          <a:prstTxWarp prst="textNoShape">
                            <a:avLst/>
                          </a:prstTxWarp>
                          <a:noAutofit/>
                        </wps:bodyPr>
                      </wps:wsp>
                      <wps:wsp>
                        <wps:cNvPr id="779" name="Graphic 779"/>
                        <wps:cNvSpPr/>
                        <wps:spPr>
                          <a:xfrm>
                            <a:off x="1781999" y="6350"/>
                            <a:ext cx="553720" cy="1270"/>
                          </a:xfrm>
                          <a:custGeom>
                            <a:avLst/>
                            <a:gdLst/>
                            <a:ahLst/>
                            <a:cxnLst/>
                            <a:rect l="l" t="t" r="r" b="b"/>
                            <a:pathLst>
                              <a:path w="553720" h="0">
                                <a:moveTo>
                                  <a:pt x="0" y="0"/>
                                </a:moveTo>
                                <a:lnTo>
                                  <a:pt x="553504" y="0"/>
                                </a:lnTo>
                              </a:path>
                            </a:pathLst>
                          </a:custGeom>
                          <a:ln w="12700">
                            <a:solidFill>
                              <a:srgbClr val="000000"/>
                            </a:solidFill>
                            <a:prstDash val="solid"/>
                          </a:ln>
                        </wps:spPr>
                        <wps:bodyPr wrap="square" lIns="0" tIns="0" rIns="0" bIns="0" rtlCol="0">
                          <a:prstTxWarp prst="textNoShape">
                            <a:avLst/>
                          </a:prstTxWarp>
                          <a:noAutofit/>
                        </wps:bodyPr>
                      </wps:wsp>
                      <wps:wsp>
                        <wps:cNvPr id="780" name="Graphic 780"/>
                        <wps:cNvSpPr/>
                        <wps:spPr>
                          <a:xfrm>
                            <a:off x="2335499" y="6350"/>
                            <a:ext cx="579120" cy="1270"/>
                          </a:xfrm>
                          <a:custGeom>
                            <a:avLst/>
                            <a:gdLst/>
                            <a:ahLst/>
                            <a:cxnLst/>
                            <a:rect l="l" t="t" r="r" b="b"/>
                            <a:pathLst>
                              <a:path w="579120" h="0">
                                <a:moveTo>
                                  <a:pt x="0" y="0"/>
                                </a:moveTo>
                                <a:lnTo>
                                  <a:pt x="578650" y="0"/>
                                </a:lnTo>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07.559113pt;margin-top:-59.598701pt;width:229.5pt;height:1pt;mso-position-horizontal-relative:page;mso-position-vertical-relative:paragraph;z-index:15853056" id="docshapegroup505" coordorigin="6151,-1192" coordsize="4590,20">
                <v:line style="position:absolute" from="6151,-1182" to="7814,-1182" stroked="true" strokeweight="1pt" strokecolor="#000000">
                  <v:stroke dashstyle="solid"/>
                </v:line>
                <v:line style="position:absolute" from="7814,-1182" to="8957,-1182" stroked="true" strokeweight="1pt" strokecolor="#000000">
                  <v:stroke dashstyle="solid"/>
                </v:line>
                <v:line style="position:absolute" from="8957,-1182" to="9829,-1182" stroked="true" strokeweight="1pt" strokecolor="#000000">
                  <v:stroke dashstyle="solid"/>
                </v:line>
                <v:line style="position:absolute" from="9829,-1182" to="10740,-1182" stroked="true" strokeweight="1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853568">
                <wp:simplePos x="0" y="0"/>
                <wp:positionH relativeFrom="page">
                  <wp:posOffset>3905999</wp:posOffset>
                </wp:positionH>
                <wp:positionV relativeFrom="paragraph">
                  <wp:posOffset>501810</wp:posOffset>
                </wp:positionV>
                <wp:extent cx="2914650" cy="180340"/>
                <wp:effectExtent l="0" t="0" r="0" b="0"/>
                <wp:wrapNone/>
                <wp:docPr id="781" name="Textbox 781"/>
                <wp:cNvGraphicFramePr>
                  <a:graphicFrameLocks/>
                </wp:cNvGraphicFramePr>
                <a:graphic>
                  <a:graphicData uri="http://schemas.microsoft.com/office/word/2010/wordprocessingShape">
                    <wps:wsp>
                      <wps:cNvPr id="781" name="Textbox 781"/>
                      <wps:cNvSpPr txBox="1"/>
                      <wps:spPr>
                        <a:xfrm>
                          <a:off x="0" y="0"/>
                          <a:ext cx="2914650" cy="180340"/>
                        </a:xfrm>
                        <a:prstGeom prst="rect">
                          <a:avLst/>
                        </a:prstGeom>
                        <a:solidFill>
                          <a:srgbClr val="E6E7E8"/>
                        </a:solidFill>
                      </wps:spPr>
                      <wps:txbx>
                        <w:txbxContent>
                          <w:p>
                            <w:pPr>
                              <w:tabs>
                                <w:tab w:pos="2387" w:val="left" w:leader="none"/>
                                <w:tab w:pos="3251" w:val="left" w:leader="none"/>
                                <w:tab w:pos="4153" w:val="left" w:leader="none"/>
                              </w:tabs>
                              <w:spacing w:before="68"/>
                              <w:ind w:left="56" w:right="0" w:firstLine="0"/>
                              <w:jc w:val="left"/>
                              <w:rPr>
                                <w:rFonts w:ascii="TT Norms Pro Light"/>
                                <w:b w:val="0"/>
                                <w:color w:val="000000"/>
                                <w:sz w:val="14"/>
                              </w:rPr>
                            </w:pPr>
                            <w:r>
                              <w:rPr>
                                <w:rFonts w:ascii="TT Norms Pro Light"/>
                                <w:b w:val="0"/>
                                <w:color w:val="000000"/>
                                <w:sz w:val="14"/>
                              </w:rPr>
                              <w:t>Total revenue</w:t>
                            </w:r>
                            <w:r>
                              <w:rPr>
                                <w:rFonts w:ascii="TT Norms Pro Light"/>
                                <w:b w:val="0"/>
                                <w:color w:val="000000"/>
                                <w:spacing w:val="2"/>
                                <w:sz w:val="14"/>
                              </w:rPr>
                              <w:t> </w:t>
                            </w:r>
                            <w:r>
                              <w:rPr>
                                <w:rFonts w:ascii="TT Norms Pro Light"/>
                                <w:b w:val="0"/>
                                <w:color w:val="000000"/>
                                <w:spacing w:val="-2"/>
                                <w:sz w:val="14"/>
                              </w:rPr>
                              <w:t>($millions)</w:t>
                            </w:r>
                            <w:r>
                              <w:rPr>
                                <w:rFonts w:ascii="TT Norms Pro Light"/>
                                <w:b w:val="0"/>
                                <w:color w:val="000000"/>
                                <w:sz w:val="14"/>
                              </w:rPr>
                              <w:tab/>
                              <w:t>$77</w:t>
                            </w:r>
                            <w:r>
                              <w:rPr>
                                <w:rFonts w:ascii="TT Norms Pro Light"/>
                                <w:b w:val="0"/>
                                <w:color w:val="000000"/>
                                <w:spacing w:val="12"/>
                                <w:sz w:val="14"/>
                              </w:rPr>
                              <w:t> </w:t>
                            </w:r>
                            <w:r>
                              <w:rPr>
                                <w:rFonts w:ascii="TT Norms Pro Light"/>
                                <w:b w:val="0"/>
                                <w:color w:val="000000"/>
                                <w:spacing w:val="-5"/>
                                <w:sz w:val="14"/>
                              </w:rPr>
                              <w:t>.0</w:t>
                            </w:r>
                            <w:r>
                              <w:rPr>
                                <w:rFonts w:ascii="TT Norms Pro Light"/>
                                <w:b w:val="0"/>
                                <w:color w:val="000000"/>
                                <w:sz w:val="14"/>
                              </w:rPr>
                              <w:tab/>
                              <w:t>$78</w:t>
                            </w:r>
                            <w:r>
                              <w:rPr>
                                <w:rFonts w:ascii="TT Norms Pro Light"/>
                                <w:b w:val="0"/>
                                <w:color w:val="000000"/>
                                <w:spacing w:val="5"/>
                                <w:sz w:val="14"/>
                              </w:rPr>
                              <w:t> </w:t>
                            </w:r>
                            <w:r>
                              <w:rPr>
                                <w:rFonts w:ascii="TT Norms Pro Light"/>
                                <w:b w:val="0"/>
                                <w:color w:val="000000"/>
                                <w:spacing w:val="-5"/>
                                <w:sz w:val="14"/>
                              </w:rPr>
                              <w:t>.0</w:t>
                            </w:r>
                            <w:r>
                              <w:rPr>
                                <w:rFonts w:ascii="TT Norms Pro Light"/>
                                <w:b w:val="0"/>
                                <w:color w:val="000000"/>
                                <w:sz w:val="14"/>
                              </w:rPr>
                              <w:tab/>
                              <w:t>$53</w:t>
                            </w:r>
                            <w:r>
                              <w:rPr>
                                <w:rFonts w:ascii="TT Norms Pro Light"/>
                                <w:b w:val="0"/>
                                <w:color w:val="000000"/>
                                <w:spacing w:val="5"/>
                                <w:sz w:val="14"/>
                              </w:rPr>
                              <w:t> </w:t>
                            </w:r>
                            <w:r>
                              <w:rPr>
                                <w:rFonts w:ascii="TT Norms Pro Light"/>
                                <w:b w:val="0"/>
                                <w:color w:val="000000"/>
                                <w:spacing w:val="-5"/>
                                <w:sz w:val="14"/>
                              </w:rPr>
                              <w:t>.0</w:t>
                            </w:r>
                          </w:p>
                        </w:txbxContent>
                      </wps:txbx>
                      <wps:bodyPr wrap="square" lIns="0" tIns="0" rIns="0" bIns="0" rtlCol="0">
                        <a:noAutofit/>
                      </wps:bodyPr>
                    </wps:wsp>
                  </a:graphicData>
                </a:graphic>
              </wp:anchor>
            </w:drawing>
          </mc:Choice>
          <mc:Fallback>
            <w:pict>
              <v:shape style="position:absolute;margin-left:307.55899pt;margin-top:39.5126pt;width:229.5pt;height:14.2pt;mso-position-horizontal-relative:page;mso-position-vertical-relative:paragraph;z-index:15853568" type="#_x0000_t202" id="docshape506" filled="true" fillcolor="#e6e7e8" stroked="false">
                <v:textbox inset="0,0,0,0">
                  <w:txbxContent>
                    <w:p>
                      <w:pPr>
                        <w:tabs>
                          <w:tab w:pos="2387" w:val="left" w:leader="none"/>
                          <w:tab w:pos="3251" w:val="left" w:leader="none"/>
                          <w:tab w:pos="4153" w:val="left" w:leader="none"/>
                        </w:tabs>
                        <w:spacing w:before="68"/>
                        <w:ind w:left="56" w:right="0" w:firstLine="0"/>
                        <w:jc w:val="left"/>
                        <w:rPr>
                          <w:rFonts w:ascii="TT Norms Pro Light"/>
                          <w:b w:val="0"/>
                          <w:color w:val="000000"/>
                          <w:sz w:val="14"/>
                        </w:rPr>
                      </w:pPr>
                      <w:r>
                        <w:rPr>
                          <w:rFonts w:ascii="TT Norms Pro Light"/>
                          <w:b w:val="0"/>
                          <w:color w:val="000000"/>
                          <w:sz w:val="14"/>
                        </w:rPr>
                        <w:t>Total revenue</w:t>
                      </w:r>
                      <w:r>
                        <w:rPr>
                          <w:rFonts w:ascii="TT Norms Pro Light"/>
                          <w:b w:val="0"/>
                          <w:color w:val="000000"/>
                          <w:spacing w:val="2"/>
                          <w:sz w:val="14"/>
                        </w:rPr>
                        <w:t> </w:t>
                      </w:r>
                      <w:r>
                        <w:rPr>
                          <w:rFonts w:ascii="TT Norms Pro Light"/>
                          <w:b w:val="0"/>
                          <w:color w:val="000000"/>
                          <w:spacing w:val="-2"/>
                          <w:sz w:val="14"/>
                        </w:rPr>
                        <w:t>($millions)</w:t>
                      </w:r>
                      <w:r>
                        <w:rPr>
                          <w:rFonts w:ascii="TT Norms Pro Light"/>
                          <w:b w:val="0"/>
                          <w:color w:val="000000"/>
                          <w:sz w:val="14"/>
                        </w:rPr>
                        <w:tab/>
                        <w:t>$77</w:t>
                      </w:r>
                      <w:r>
                        <w:rPr>
                          <w:rFonts w:ascii="TT Norms Pro Light"/>
                          <w:b w:val="0"/>
                          <w:color w:val="000000"/>
                          <w:spacing w:val="12"/>
                          <w:sz w:val="14"/>
                        </w:rPr>
                        <w:t> </w:t>
                      </w:r>
                      <w:r>
                        <w:rPr>
                          <w:rFonts w:ascii="TT Norms Pro Light"/>
                          <w:b w:val="0"/>
                          <w:color w:val="000000"/>
                          <w:spacing w:val="-5"/>
                          <w:sz w:val="14"/>
                        </w:rPr>
                        <w:t>.0</w:t>
                      </w:r>
                      <w:r>
                        <w:rPr>
                          <w:rFonts w:ascii="TT Norms Pro Light"/>
                          <w:b w:val="0"/>
                          <w:color w:val="000000"/>
                          <w:sz w:val="14"/>
                        </w:rPr>
                        <w:tab/>
                        <w:t>$78</w:t>
                      </w:r>
                      <w:r>
                        <w:rPr>
                          <w:rFonts w:ascii="TT Norms Pro Light"/>
                          <w:b w:val="0"/>
                          <w:color w:val="000000"/>
                          <w:spacing w:val="5"/>
                          <w:sz w:val="14"/>
                        </w:rPr>
                        <w:t> </w:t>
                      </w:r>
                      <w:r>
                        <w:rPr>
                          <w:rFonts w:ascii="TT Norms Pro Light"/>
                          <w:b w:val="0"/>
                          <w:color w:val="000000"/>
                          <w:spacing w:val="-5"/>
                          <w:sz w:val="14"/>
                        </w:rPr>
                        <w:t>.0</w:t>
                      </w:r>
                      <w:r>
                        <w:rPr>
                          <w:rFonts w:ascii="TT Norms Pro Light"/>
                          <w:b w:val="0"/>
                          <w:color w:val="000000"/>
                          <w:sz w:val="14"/>
                        </w:rPr>
                        <w:tab/>
                        <w:t>$53</w:t>
                      </w:r>
                      <w:r>
                        <w:rPr>
                          <w:rFonts w:ascii="TT Norms Pro Light"/>
                          <w:b w:val="0"/>
                          <w:color w:val="000000"/>
                          <w:spacing w:val="5"/>
                          <w:sz w:val="14"/>
                        </w:rPr>
                        <w:t> </w:t>
                      </w:r>
                      <w:r>
                        <w:rPr>
                          <w:rFonts w:ascii="TT Norms Pro Light"/>
                          <w:b w:val="0"/>
                          <w:color w:val="000000"/>
                          <w:spacing w:val="-5"/>
                          <w:sz w:val="14"/>
                        </w:rPr>
                        <w:t>.0</w:t>
                      </w:r>
                    </w:p>
                  </w:txbxContent>
                </v:textbox>
                <v:fill type="solid"/>
                <w10:wrap type="none"/>
              </v:shape>
            </w:pict>
          </mc:Fallback>
        </mc:AlternateContent>
      </w:r>
      <w:r>
        <w:rPr>
          <w:rFonts w:ascii="TT Norms Pro Light"/>
          <w:b w:val="0"/>
          <w:spacing w:val="-2"/>
          <w:sz w:val="14"/>
        </w:rPr>
        <w:t>Commercial,</w:t>
      </w:r>
      <w:r>
        <w:rPr>
          <w:rFonts w:ascii="TT Norms Pro Light"/>
          <w:b w:val="0"/>
          <w:spacing w:val="40"/>
          <w:sz w:val="14"/>
        </w:rPr>
        <w:t> </w:t>
      </w:r>
      <w:r>
        <w:rPr>
          <w:rFonts w:ascii="TT Norms Pro Light"/>
          <w:b w:val="0"/>
          <w:sz w:val="14"/>
        </w:rPr>
        <w:t>partnership</w:t>
      </w:r>
      <w:r>
        <w:rPr>
          <w:rFonts w:ascii="TT Norms Pro Light"/>
          <w:b w:val="0"/>
          <w:spacing w:val="-7"/>
          <w:sz w:val="14"/>
        </w:rPr>
        <w:t> </w:t>
      </w:r>
      <w:r>
        <w:rPr>
          <w:rFonts w:ascii="TT Norms Pro Light"/>
          <w:b w:val="0"/>
          <w:sz w:val="14"/>
        </w:rPr>
        <w:t>&amp;</w:t>
      </w:r>
      <w:r>
        <w:rPr>
          <w:rFonts w:ascii="TT Norms Pro Light"/>
          <w:b w:val="0"/>
          <w:spacing w:val="80"/>
          <w:sz w:val="14"/>
        </w:rPr>
        <w:t> </w:t>
      </w:r>
      <w:r>
        <w:rPr>
          <w:rFonts w:ascii="TT Norms Pro Light"/>
          <w:b w:val="0"/>
          <w:sz w:val="14"/>
        </w:rPr>
        <w:t>non</w:t>
      </w:r>
      <w:r>
        <w:rPr>
          <w:rFonts w:ascii="TT Norms Pro Light"/>
          <w:b w:val="0"/>
          <w:spacing w:val="-6"/>
          <w:sz w:val="14"/>
        </w:rPr>
        <w:t> </w:t>
      </w:r>
      <w:r>
        <w:rPr>
          <w:rFonts w:ascii="TT Norms Pro Light"/>
          <w:b w:val="0"/>
          <w:sz w:val="14"/>
        </w:rPr>
        <w:t>grant</w:t>
      </w:r>
      <w:r>
        <w:rPr>
          <w:rFonts w:ascii="TT Norms Pro Light"/>
          <w:b w:val="0"/>
          <w:spacing w:val="-6"/>
          <w:sz w:val="14"/>
        </w:rPr>
        <w:t> </w:t>
      </w:r>
      <w:r>
        <w:rPr>
          <w:rFonts w:ascii="TT Norms Pro Light"/>
          <w:b w:val="0"/>
          <w:sz w:val="14"/>
        </w:rPr>
        <w:t>income</w:t>
      </w:r>
      <w:r>
        <w:rPr>
          <w:rFonts w:ascii="TT Norms Pro Light"/>
          <w:b w:val="0"/>
          <w:spacing w:val="40"/>
          <w:sz w:val="14"/>
        </w:rPr>
        <w:t> </w:t>
      </w:r>
      <w:r>
        <w:rPr>
          <w:rFonts w:ascii="TT Norms Pro Light"/>
          <w:b w:val="0"/>
          <w:spacing w:val="-2"/>
          <w:sz w:val="14"/>
        </w:rPr>
        <w:t>($millions)</w:t>
      </w:r>
    </w:p>
    <w:p>
      <w:pPr>
        <w:spacing w:line="240" w:lineRule="auto" w:before="0"/>
        <w:rPr>
          <w:rFonts w:ascii="TT Norms Pro Light"/>
          <w:b w:val="0"/>
          <w:sz w:val="14"/>
        </w:rPr>
      </w:pPr>
      <w:r>
        <w:rPr/>
        <w:br w:type="column"/>
      </w:r>
      <w:r>
        <w:rPr>
          <w:rFonts w:ascii="TT Norms Pro Light"/>
          <w:b w:val="0"/>
          <w:sz w:val="14"/>
        </w:rPr>
      </w:r>
    </w:p>
    <w:p>
      <w:pPr>
        <w:pStyle w:val="BodyText"/>
        <w:spacing w:before="127"/>
        <w:rPr>
          <w:b w:val="0"/>
          <w:sz w:val="14"/>
        </w:rPr>
      </w:pPr>
    </w:p>
    <w:p>
      <w:pPr>
        <w:tabs>
          <w:tab w:pos="1056" w:val="left" w:leader="none"/>
          <w:tab w:pos="1967" w:val="left" w:leader="none"/>
        </w:tabs>
        <w:spacing w:before="0"/>
        <w:ind w:left="216" w:right="0" w:firstLine="0"/>
        <w:jc w:val="left"/>
        <w:rPr>
          <w:rFonts w:ascii="TT Norms Pro"/>
          <w:b/>
          <w:sz w:val="14"/>
        </w:rPr>
      </w:pPr>
      <w:r>
        <w:rPr>
          <w:rFonts w:ascii="TT Norms Pro"/>
          <w:b/>
          <w:spacing w:val="-4"/>
          <w:sz w:val="14"/>
        </w:rPr>
        <w:t>2019</w:t>
      </w:r>
      <w:r>
        <w:rPr>
          <w:rFonts w:ascii="TT Norms Pro"/>
          <w:b/>
          <w:sz w:val="14"/>
        </w:rPr>
        <w:tab/>
      </w:r>
      <w:r>
        <w:rPr>
          <w:rFonts w:ascii="TT Norms Pro"/>
          <w:b/>
          <w:spacing w:val="-4"/>
          <w:sz w:val="14"/>
        </w:rPr>
        <w:t>2020</w:t>
      </w:r>
      <w:r>
        <w:rPr>
          <w:rFonts w:ascii="TT Norms Pro"/>
          <w:b/>
          <w:sz w:val="14"/>
        </w:rPr>
        <w:tab/>
      </w:r>
      <w:r>
        <w:rPr>
          <w:rFonts w:ascii="TT Norms Pro"/>
          <w:b/>
          <w:spacing w:val="-4"/>
          <w:sz w:val="14"/>
        </w:rPr>
        <w:t>2020</w:t>
      </w:r>
    </w:p>
    <w:p>
      <w:pPr>
        <w:spacing w:before="36"/>
        <w:ind w:left="500" w:right="0" w:firstLine="0"/>
        <w:jc w:val="center"/>
        <w:rPr>
          <w:rFonts w:ascii="TT Norms Pro"/>
          <w:b/>
          <w:sz w:val="14"/>
        </w:rPr>
      </w:pPr>
      <w:r>
        <w:rPr>
          <w:rFonts w:ascii="TT Norms Pro"/>
          <w:b/>
          <w:spacing w:val="-2"/>
          <w:sz w:val="14"/>
        </w:rPr>
        <w:t>TARGET</w:t>
      </w:r>
    </w:p>
    <w:p>
      <w:pPr>
        <w:pStyle w:val="BodyText"/>
        <w:rPr>
          <w:rFonts w:ascii="TT Norms Pro"/>
          <w:b/>
          <w:sz w:val="14"/>
        </w:rPr>
      </w:pPr>
    </w:p>
    <w:p>
      <w:pPr>
        <w:pStyle w:val="BodyText"/>
        <w:rPr>
          <w:rFonts w:ascii="TT Norms Pro"/>
          <w:b/>
          <w:sz w:val="14"/>
        </w:rPr>
      </w:pPr>
    </w:p>
    <w:p>
      <w:pPr>
        <w:pStyle w:val="BodyText"/>
        <w:rPr>
          <w:rFonts w:ascii="TT Norms Pro"/>
          <w:b/>
          <w:sz w:val="14"/>
        </w:rPr>
      </w:pPr>
    </w:p>
    <w:p>
      <w:pPr>
        <w:pStyle w:val="BodyText"/>
        <w:rPr>
          <w:rFonts w:ascii="TT Norms Pro"/>
          <w:b/>
          <w:sz w:val="14"/>
        </w:rPr>
      </w:pPr>
    </w:p>
    <w:p>
      <w:pPr>
        <w:pStyle w:val="BodyText"/>
        <w:rPr>
          <w:rFonts w:ascii="TT Norms Pro"/>
          <w:b/>
          <w:sz w:val="14"/>
        </w:rPr>
      </w:pPr>
    </w:p>
    <w:p>
      <w:pPr>
        <w:pStyle w:val="BodyText"/>
        <w:spacing w:before="70"/>
        <w:rPr>
          <w:rFonts w:ascii="TT Norms Pro"/>
          <w:b/>
          <w:sz w:val="14"/>
        </w:rPr>
      </w:pPr>
    </w:p>
    <w:p>
      <w:pPr>
        <w:tabs>
          <w:tab w:pos="1070" w:val="left" w:leader="none"/>
        </w:tabs>
        <w:spacing w:before="0"/>
        <w:ind w:left="213" w:right="0" w:firstLine="0"/>
        <w:jc w:val="left"/>
        <w:rPr>
          <w:rFonts w:ascii="TT Norms Pro Light"/>
          <w:b w:val="0"/>
          <w:sz w:val="14"/>
        </w:rPr>
      </w:pPr>
      <w:r>
        <w:rPr>
          <w:rFonts w:ascii="TT Norms Pro Light"/>
          <w:b w:val="0"/>
          <w:spacing w:val="-2"/>
          <w:sz w:val="14"/>
        </w:rPr>
        <w:t>$54.7</w:t>
      </w:r>
      <w:r>
        <w:rPr>
          <w:rFonts w:ascii="TT Norms Pro Light"/>
          <w:b w:val="0"/>
          <w:sz w:val="14"/>
        </w:rPr>
        <w:tab/>
      </w:r>
      <w:r>
        <w:rPr>
          <w:rFonts w:ascii="TT Norms Pro Light"/>
          <w:b w:val="0"/>
          <w:spacing w:val="-2"/>
          <w:sz w:val="14"/>
        </w:rPr>
        <w:t>$46.3</w:t>
      </w:r>
    </w:p>
    <w:p>
      <w:pPr>
        <w:spacing w:after="0"/>
        <w:jc w:val="left"/>
        <w:rPr>
          <w:rFonts w:ascii="TT Norms Pro Light"/>
          <w:sz w:val="14"/>
        </w:rPr>
        <w:sectPr>
          <w:type w:val="continuous"/>
          <w:pgSz w:w="11910" w:h="16840"/>
          <w:pgMar w:header="468" w:footer="0" w:top="980" w:bottom="280" w:left="920" w:right="0"/>
          <w:cols w:num="3" w:equalWidth="0">
            <w:col w:w="4865" w:space="152"/>
            <w:col w:w="2324" w:space="78"/>
            <w:col w:w="3571"/>
          </w:cols>
        </w:sectPr>
      </w:pPr>
    </w:p>
    <w:p>
      <w:pPr>
        <w:pStyle w:val="BodyText"/>
        <w:spacing w:line="295" w:lineRule="auto" w:before="21"/>
        <w:ind w:left="213" w:right="38"/>
        <w:rPr>
          <w:b w:val="0"/>
        </w:rPr>
      </w:pPr>
      <w:r>
        <w:rPr/>
        <mc:AlternateContent>
          <mc:Choice Requires="wps">
            <w:drawing>
              <wp:anchor distT="0" distB="0" distL="0" distR="0" allowOverlap="1" layoutInCell="1" locked="0" behindDoc="1" simplePos="0" relativeHeight="472705536">
                <wp:simplePos x="0" y="0"/>
                <wp:positionH relativeFrom="page">
                  <wp:posOffset>654342</wp:posOffset>
                </wp:positionH>
                <wp:positionV relativeFrom="page">
                  <wp:posOffset>6241161</wp:posOffset>
                </wp:positionV>
                <wp:extent cx="6906259" cy="4451350"/>
                <wp:effectExtent l="0" t="0" r="0" b="0"/>
                <wp:wrapNone/>
                <wp:docPr id="782" name="Group 782"/>
                <wp:cNvGraphicFramePr>
                  <a:graphicFrameLocks/>
                </wp:cNvGraphicFramePr>
                <a:graphic>
                  <a:graphicData uri="http://schemas.microsoft.com/office/word/2010/wordprocessingGroup">
                    <wpg:wgp>
                      <wpg:cNvPr id="782" name="Group 782"/>
                      <wpg:cNvGrpSpPr/>
                      <wpg:grpSpPr>
                        <a:xfrm>
                          <a:off x="0" y="0"/>
                          <a:ext cx="6906259" cy="4451350"/>
                          <a:chExt cx="6906259" cy="4451350"/>
                        </a:xfrm>
                      </wpg:grpSpPr>
                      <pic:pic>
                        <pic:nvPicPr>
                          <pic:cNvPr id="783" name="Image 783"/>
                          <pic:cNvPicPr/>
                        </pic:nvPicPr>
                        <pic:blipFill>
                          <a:blip r:embed="rId87" cstate="print"/>
                          <a:stretch>
                            <a:fillRect/>
                          </a:stretch>
                        </pic:blipFill>
                        <pic:spPr>
                          <a:xfrm>
                            <a:off x="65659" y="202844"/>
                            <a:ext cx="6839991" cy="4247997"/>
                          </a:xfrm>
                          <a:prstGeom prst="rect">
                            <a:avLst/>
                          </a:prstGeom>
                        </pic:spPr>
                      </pic:pic>
                      <wps:wsp>
                        <wps:cNvPr id="784" name="Graphic 784"/>
                        <wps:cNvSpPr/>
                        <wps:spPr>
                          <a:xfrm>
                            <a:off x="0" y="0"/>
                            <a:ext cx="6906259" cy="608330"/>
                          </a:xfrm>
                          <a:custGeom>
                            <a:avLst/>
                            <a:gdLst/>
                            <a:ahLst/>
                            <a:cxnLst/>
                            <a:rect l="l" t="t" r="r" b="b"/>
                            <a:pathLst>
                              <a:path w="6906259" h="608330">
                                <a:moveTo>
                                  <a:pt x="6905650" y="0"/>
                                </a:moveTo>
                                <a:lnTo>
                                  <a:pt x="0" y="0"/>
                                </a:lnTo>
                                <a:lnTo>
                                  <a:pt x="0" y="607847"/>
                                </a:lnTo>
                                <a:lnTo>
                                  <a:pt x="6905650" y="607847"/>
                                </a:lnTo>
                                <a:lnTo>
                                  <a:pt x="690565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51.522999pt;margin-top:491.430023pt;width:543.8pt;height:350.5pt;mso-position-horizontal-relative:page;mso-position-vertical-relative:page;z-index:-30610944" id="docshapegroup507" coordorigin="1030,9829" coordsize="10876,7010">
                <v:shape style="position:absolute;left:1133;top:10148;width:10772;height:6690" type="#_x0000_t75" id="docshape508" stroked="false">
                  <v:imagedata r:id="rId87" o:title=""/>
                </v:shape>
                <v:rect style="position:absolute;left:1030;top:9828;width:10876;height:958" id="docshape509" filled="true" fillcolor="#ffffff" stroked="false">
                  <v:fill type="solid"/>
                </v:rect>
                <w10:wrap type="none"/>
              </v:group>
            </w:pict>
          </mc:Fallback>
        </mc:AlternateContent>
      </w:r>
      <w:r>
        <w:rPr>
          <w:b w:val="0"/>
        </w:rPr>
        <w:t>it is important for UWA to effectively broaden sources of</w:t>
      </w:r>
      <w:r>
        <w:rPr>
          <w:b w:val="0"/>
          <w:spacing w:val="40"/>
        </w:rPr>
        <w:t> </w:t>
      </w:r>
      <w:r>
        <w:rPr>
          <w:b w:val="0"/>
        </w:rPr>
        <w:t>revenue. Growing this category of revenue also diversifies</w:t>
      </w:r>
      <w:r>
        <w:rPr>
          <w:b w:val="0"/>
          <w:spacing w:val="40"/>
        </w:rPr>
        <w:t> </w:t>
      </w:r>
      <w:r>
        <w:rPr>
          <w:b w:val="0"/>
        </w:rPr>
        <w:t>income beyond traditional research sources and supports</w:t>
      </w:r>
      <w:r>
        <w:rPr>
          <w:b w:val="0"/>
          <w:spacing w:val="40"/>
        </w:rPr>
        <w:t> </w:t>
      </w:r>
      <w:r>
        <w:rPr>
          <w:b w:val="0"/>
        </w:rPr>
        <w:t>greater</w:t>
      </w:r>
      <w:r>
        <w:rPr>
          <w:b w:val="0"/>
          <w:spacing w:val="-5"/>
        </w:rPr>
        <w:t> </w:t>
      </w:r>
      <w:r>
        <w:rPr>
          <w:b w:val="0"/>
        </w:rPr>
        <w:t>sustainability.</w:t>
      </w:r>
    </w:p>
    <w:p>
      <w:pPr>
        <w:spacing w:line="264" w:lineRule="auto" w:before="104"/>
        <w:ind w:left="213" w:right="1336" w:firstLine="0"/>
        <w:jc w:val="left"/>
        <w:rPr>
          <w:rFonts w:ascii="TT Norms Pro Light"/>
          <w:b w:val="0"/>
          <w:sz w:val="14"/>
        </w:rPr>
      </w:pPr>
      <w:r>
        <w:rPr/>
        <w:br w:type="column"/>
      </w:r>
      <w:r>
        <w:rPr>
          <w:rFonts w:ascii="TT Norms Pro"/>
          <w:b/>
          <w:sz w:val="14"/>
        </w:rPr>
        <w:t>Data source: </w:t>
      </w:r>
      <w:r>
        <w:rPr>
          <w:rFonts w:ascii="TT Norms Pro Light"/>
          <w:b w:val="0"/>
          <w:sz w:val="14"/>
        </w:rPr>
        <w:t>UWA's Development and Alumni Relations philanthropic</w:t>
      </w:r>
      <w:r>
        <w:rPr>
          <w:rFonts w:ascii="TT Norms Pro Light"/>
          <w:b w:val="0"/>
          <w:spacing w:val="40"/>
          <w:sz w:val="14"/>
        </w:rPr>
        <w:t> </w:t>
      </w:r>
      <w:r>
        <w:rPr>
          <w:rFonts w:ascii="TT Norms Pro Light"/>
          <w:b w:val="0"/>
          <w:sz w:val="14"/>
        </w:rPr>
        <w:t>income and Innovation and Industry Engagement commercial and</w:t>
      </w:r>
      <w:r>
        <w:rPr>
          <w:rFonts w:ascii="TT Norms Pro Light"/>
          <w:b w:val="0"/>
          <w:spacing w:val="40"/>
          <w:sz w:val="14"/>
        </w:rPr>
        <w:t> </w:t>
      </w:r>
      <w:r>
        <w:rPr>
          <w:rFonts w:ascii="TT Norms Pro Light"/>
          <w:b w:val="0"/>
          <w:sz w:val="14"/>
        </w:rPr>
        <w:t>partnerships income (internal) at the University level.</w:t>
      </w:r>
    </w:p>
    <w:p>
      <w:pPr>
        <w:spacing w:line="264" w:lineRule="auto" w:before="113"/>
        <w:ind w:left="213" w:right="1132" w:firstLine="0"/>
        <w:jc w:val="left"/>
        <w:rPr>
          <w:rFonts w:ascii="TT Norms Pro Light"/>
          <w:b w:val="0"/>
          <w:sz w:val="14"/>
        </w:rPr>
      </w:pPr>
      <w:r>
        <w:rPr>
          <w:rFonts w:ascii="TT Norms Pro"/>
          <w:b/>
          <w:sz w:val="14"/>
        </w:rPr>
        <w:t>Notes: </w:t>
      </w:r>
      <w:r>
        <w:rPr>
          <w:rFonts w:ascii="TT Norms Pro Light"/>
          <w:b w:val="0"/>
          <w:sz w:val="14"/>
        </w:rPr>
        <w:t>This is a revised indicator on what was reported in the 2019 Annual</w:t>
      </w:r>
      <w:r>
        <w:rPr>
          <w:rFonts w:ascii="TT Norms Pro Light"/>
          <w:b w:val="0"/>
          <w:spacing w:val="40"/>
          <w:sz w:val="14"/>
        </w:rPr>
        <w:t> </w:t>
      </w:r>
      <w:r>
        <w:rPr>
          <w:rFonts w:ascii="TT Norms Pro Light"/>
          <w:b w:val="0"/>
          <w:sz w:val="14"/>
        </w:rPr>
        <w:t>Report. The previous indicator in this space was Non-Grant Income.</w:t>
      </w:r>
    </w:p>
    <w:p>
      <w:pPr>
        <w:spacing w:line="264" w:lineRule="auto" w:before="0"/>
        <w:ind w:left="213" w:right="1182" w:firstLine="0"/>
        <w:jc w:val="left"/>
        <w:rPr>
          <w:rFonts w:ascii="TT Norms Pro Light" w:hAnsi="TT Norms Pro Light"/>
          <w:b w:val="0"/>
          <w:sz w:val="14"/>
        </w:rPr>
      </w:pPr>
      <w:r>
        <w:rPr>
          <w:rFonts w:ascii="TT Norms Pro Light" w:hAnsi="TT Norms Pro Light"/>
          <w:b w:val="0"/>
          <w:sz w:val="14"/>
        </w:rPr>
        <w:t>‘Non-Grant Income’ has been replaced by ‘Non-Traditional Revenue’ in</w:t>
      </w:r>
      <w:r>
        <w:rPr>
          <w:rFonts w:ascii="TT Norms Pro Light" w:hAnsi="TT Norms Pro Light"/>
          <w:b w:val="0"/>
          <w:spacing w:val="40"/>
          <w:sz w:val="14"/>
        </w:rPr>
        <w:t> </w:t>
      </w:r>
      <w:r>
        <w:rPr>
          <w:rFonts w:ascii="TT Norms Pro Light" w:hAnsi="TT Norms Pro Light"/>
          <w:b w:val="0"/>
          <w:sz w:val="14"/>
        </w:rPr>
        <w:t>order to better reflect the range of potential income sources that will be</w:t>
      </w:r>
      <w:r>
        <w:rPr>
          <w:rFonts w:ascii="TT Norms Pro Light" w:hAnsi="TT Norms Pro Light"/>
          <w:b w:val="0"/>
          <w:spacing w:val="40"/>
          <w:sz w:val="14"/>
        </w:rPr>
        <w:t> </w:t>
      </w:r>
      <w:r>
        <w:rPr>
          <w:rFonts w:ascii="TT Norms Pro Light" w:hAnsi="TT Norms Pro Light"/>
          <w:b w:val="0"/>
          <w:sz w:val="14"/>
        </w:rPr>
        <w:t>targeted moving forward, including philanthropic and other sources of</w:t>
      </w:r>
      <w:r>
        <w:rPr>
          <w:rFonts w:ascii="TT Norms Pro Light" w:hAnsi="TT Norms Pro Light"/>
          <w:b w:val="0"/>
          <w:spacing w:val="40"/>
          <w:sz w:val="14"/>
        </w:rPr>
        <w:t> </w:t>
      </w:r>
      <w:r>
        <w:rPr>
          <w:rFonts w:ascii="TT Norms Pro Light" w:hAnsi="TT Norms Pro Light"/>
          <w:b w:val="0"/>
          <w:sz w:val="14"/>
        </w:rPr>
        <w:t>income from students. This provides a greater scope for measurement of</w:t>
      </w:r>
      <w:r>
        <w:rPr>
          <w:rFonts w:ascii="TT Norms Pro Light" w:hAnsi="TT Norms Pro Light"/>
          <w:b w:val="0"/>
          <w:spacing w:val="40"/>
          <w:sz w:val="14"/>
        </w:rPr>
        <w:t> </w:t>
      </w:r>
      <w:r>
        <w:rPr>
          <w:rFonts w:ascii="TT Norms Pro Light" w:hAnsi="TT Norms Pro Light"/>
          <w:b w:val="0"/>
          <w:sz w:val="14"/>
        </w:rPr>
        <w:t>revenue generation activities in this space. Philanthropic income reported</w:t>
      </w:r>
      <w:r>
        <w:rPr>
          <w:rFonts w:ascii="TT Norms Pro Light" w:hAnsi="TT Norms Pro Light"/>
          <w:b w:val="0"/>
          <w:spacing w:val="80"/>
          <w:sz w:val="14"/>
        </w:rPr>
        <w:t> </w:t>
      </w:r>
      <w:r>
        <w:rPr>
          <w:rFonts w:ascii="TT Norms Pro Light" w:hAnsi="TT Norms Pro Light"/>
          <w:b w:val="0"/>
          <w:sz w:val="14"/>
        </w:rPr>
        <w:t>is at the University level (i.e. excluding subsidiaries).</w:t>
      </w:r>
    </w:p>
    <w:p>
      <w:pPr>
        <w:spacing w:after="0" w:line="264" w:lineRule="auto"/>
        <w:jc w:val="left"/>
        <w:rPr>
          <w:rFonts w:ascii="TT Norms Pro Light" w:hAnsi="TT Norms Pro Light"/>
          <w:sz w:val="14"/>
        </w:rPr>
        <w:sectPr>
          <w:type w:val="continuous"/>
          <w:pgSz w:w="11910" w:h="16840"/>
          <w:pgMar w:header="468" w:footer="0" w:top="980" w:bottom="280" w:left="920" w:right="0"/>
          <w:cols w:num="2" w:equalWidth="0">
            <w:col w:w="4824" w:space="193"/>
            <w:col w:w="5973"/>
          </w:cols>
        </w:sectPr>
      </w:pPr>
    </w:p>
    <w:p>
      <w:pPr>
        <w:pStyle w:val="Heading4"/>
        <w:numPr>
          <w:ilvl w:val="0"/>
          <w:numId w:val="8"/>
        </w:numPr>
        <w:tabs>
          <w:tab w:pos="569" w:val="left" w:leader="none"/>
        </w:tabs>
        <w:spacing w:line="240" w:lineRule="auto" w:before="115" w:after="0"/>
        <w:ind w:left="569" w:right="0" w:hanging="368"/>
        <w:jc w:val="left"/>
      </w:pPr>
      <w:r>
        <w:rPr>
          <w:color w:val="242021"/>
          <w:w w:val="60"/>
          <w:position w:val="2"/>
          <w:sz w:val="69"/>
        </w:rPr>
        <w:t>|</w:t>
      </w:r>
      <w:r>
        <w:rPr>
          <w:color w:val="242021"/>
          <w:spacing w:val="-35"/>
          <w:w w:val="95"/>
          <w:position w:val="2"/>
          <w:sz w:val="69"/>
        </w:rPr>
        <w:t> </w:t>
      </w:r>
      <w:r>
        <w:rPr>
          <w:w w:val="95"/>
        </w:rPr>
        <w:t>Sustainable</w:t>
      </w:r>
      <w:r>
        <w:rPr>
          <w:spacing w:val="8"/>
        </w:rPr>
        <w:t> </w:t>
      </w:r>
      <w:r>
        <w:rPr>
          <w:spacing w:val="-2"/>
          <w:w w:val="95"/>
        </w:rPr>
        <w:t>environments</w:t>
      </w:r>
    </w:p>
    <w:p>
      <w:pPr>
        <w:pStyle w:val="BodyText"/>
        <w:spacing w:before="220"/>
        <w:rPr>
          <w:rFonts w:ascii="TT Norms Pro"/>
          <w:b/>
          <w:sz w:val="20"/>
        </w:rPr>
      </w:pPr>
    </w:p>
    <w:p>
      <w:pPr>
        <w:spacing w:after="0"/>
        <w:rPr>
          <w:rFonts w:ascii="TT Norms Pro"/>
          <w:sz w:val="20"/>
        </w:rPr>
        <w:sectPr>
          <w:pgSz w:w="11910" w:h="16840"/>
          <w:pgMar w:header="468" w:footer="0" w:top="720" w:bottom="0" w:left="920" w:right="0"/>
        </w:sectPr>
      </w:pPr>
    </w:p>
    <w:p>
      <w:pPr>
        <w:spacing w:before="125"/>
        <w:ind w:left="213" w:right="0" w:firstLine="0"/>
        <w:jc w:val="left"/>
        <w:rPr>
          <w:rFonts w:ascii="TT Norms Pro"/>
          <w:b/>
          <w:sz w:val="18"/>
        </w:rPr>
      </w:pPr>
      <w:r>
        <w:rPr/>
        <mc:AlternateContent>
          <mc:Choice Requires="wps">
            <w:drawing>
              <wp:anchor distT="0" distB="0" distL="0" distR="0" allowOverlap="1" layoutInCell="1" locked="0" behindDoc="0" simplePos="0" relativeHeight="15855104">
                <wp:simplePos x="0" y="0"/>
                <wp:positionH relativeFrom="page">
                  <wp:posOffset>0</wp:posOffset>
                </wp:positionH>
                <wp:positionV relativeFrom="page">
                  <wp:posOffset>6444005</wp:posOffset>
                </wp:positionV>
                <wp:extent cx="7560309" cy="4248150"/>
                <wp:effectExtent l="0" t="0" r="0" b="0"/>
                <wp:wrapNone/>
                <wp:docPr id="785" name="Group 785"/>
                <wp:cNvGraphicFramePr>
                  <a:graphicFrameLocks/>
                </wp:cNvGraphicFramePr>
                <a:graphic>
                  <a:graphicData uri="http://schemas.microsoft.com/office/word/2010/wordprocessingGroup">
                    <wpg:wgp>
                      <wpg:cNvPr id="785" name="Group 785"/>
                      <wpg:cNvGrpSpPr/>
                      <wpg:grpSpPr>
                        <a:xfrm>
                          <a:off x="0" y="0"/>
                          <a:ext cx="7560309" cy="4248150"/>
                          <a:chExt cx="7560309" cy="4248150"/>
                        </a:xfrm>
                      </wpg:grpSpPr>
                      <pic:pic>
                        <pic:nvPicPr>
                          <pic:cNvPr id="786" name="Image 786"/>
                          <pic:cNvPicPr/>
                        </pic:nvPicPr>
                        <pic:blipFill>
                          <a:blip r:embed="rId88" cstate="print"/>
                          <a:stretch>
                            <a:fillRect/>
                          </a:stretch>
                        </pic:blipFill>
                        <pic:spPr>
                          <a:xfrm>
                            <a:off x="0" y="0"/>
                            <a:ext cx="6839991" cy="4247997"/>
                          </a:xfrm>
                          <a:prstGeom prst="rect">
                            <a:avLst/>
                          </a:prstGeom>
                        </pic:spPr>
                      </pic:pic>
                      <wps:wsp>
                        <wps:cNvPr id="787" name="Graphic 787"/>
                        <wps:cNvSpPr/>
                        <wps:spPr>
                          <a:xfrm>
                            <a:off x="2370696" y="3354196"/>
                            <a:ext cx="5189855" cy="894080"/>
                          </a:xfrm>
                          <a:custGeom>
                            <a:avLst/>
                            <a:gdLst/>
                            <a:ahLst/>
                            <a:cxnLst/>
                            <a:rect l="l" t="t" r="r" b="b"/>
                            <a:pathLst>
                              <a:path w="5189855" h="894080">
                                <a:moveTo>
                                  <a:pt x="5189296" y="0"/>
                                </a:moveTo>
                                <a:lnTo>
                                  <a:pt x="0" y="0"/>
                                </a:lnTo>
                                <a:lnTo>
                                  <a:pt x="0" y="893800"/>
                                </a:lnTo>
                                <a:lnTo>
                                  <a:pt x="5189296" y="893800"/>
                                </a:lnTo>
                                <a:lnTo>
                                  <a:pt x="5189296" y="0"/>
                                </a:lnTo>
                                <a:close/>
                              </a:path>
                            </a:pathLst>
                          </a:custGeom>
                          <a:solidFill>
                            <a:srgbClr val="FFFFFF"/>
                          </a:solidFill>
                        </wps:spPr>
                        <wps:bodyPr wrap="square" lIns="0" tIns="0" rIns="0" bIns="0" rtlCol="0">
                          <a:prstTxWarp prst="textNoShape">
                            <a:avLst/>
                          </a:prstTxWarp>
                          <a:noAutofit/>
                        </wps:bodyPr>
                      </wps:wsp>
                      <pic:pic>
                        <pic:nvPicPr>
                          <pic:cNvPr id="788" name="Image 788"/>
                          <pic:cNvPicPr/>
                        </pic:nvPicPr>
                        <pic:blipFill>
                          <a:blip r:embed="rId89" cstate="print"/>
                          <a:stretch>
                            <a:fillRect/>
                          </a:stretch>
                        </pic:blipFill>
                        <pic:spPr>
                          <a:xfrm>
                            <a:off x="2370696" y="3162795"/>
                            <a:ext cx="4469295" cy="185000"/>
                          </a:xfrm>
                          <a:prstGeom prst="rect">
                            <a:avLst/>
                          </a:prstGeom>
                        </pic:spPr>
                      </pic:pic>
                    </wpg:wgp>
                  </a:graphicData>
                </a:graphic>
              </wp:anchor>
            </w:drawing>
          </mc:Choice>
          <mc:Fallback>
            <w:pict>
              <v:group style="position:absolute;margin-left:0pt;margin-top:507.402008pt;width:595.3pt;height:334.5pt;mso-position-horizontal-relative:page;mso-position-vertical-relative:page;z-index:15855104" id="docshapegroup510" coordorigin="0,10148" coordsize="11906,6690">
                <v:shape style="position:absolute;left:0;top:10148;width:10772;height:6690" type="#_x0000_t75" id="docshape511" stroked="false">
                  <v:imagedata r:id="rId88" o:title=""/>
                </v:shape>
                <v:rect style="position:absolute;left:3733;top:15430;width:8173;height:1408" id="docshape512" filled="true" fillcolor="#ffffff" stroked="false">
                  <v:fill type="solid"/>
                </v:rect>
                <v:shape style="position:absolute;left:3733;top:15128;width:7039;height:292" type="#_x0000_t75" id="docshape513" stroked="false">
                  <v:imagedata r:id="rId89" o:title=""/>
                </v:shape>
                <w10:wrap type="none"/>
              </v:group>
            </w:pict>
          </mc:Fallback>
        </mc:AlternateContent>
      </w:r>
      <w:r>
        <w:rPr/>
        <mc:AlternateContent>
          <mc:Choice Requires="wps">
            <w:drawing>
              <wp:anchor distT="0" distB="0" distL="0" distR="0" allowOverlap="1" layoutInCell="1" locked="0" behindDoc="0" simplePos="0" relativeHeight="15855616">
                <wp:simplePos x="0" y="0"/>
                <wp:positionH relativeFrom="page">
                  <wp:posOffset>7111289</wp:posOffset>
                </wp:positionH>
                <wp:positionV relativeFrom="page">
                  <wp:posOffset>8136825</wp:posOffset>
                </wp:positionV>
                <wp:extent cx="177800" cy="1848485"/>
                <wp:effectExtent l="0" t="0" r="0" b="0"/>
                <wp:wrapNone/>
                <wp:docPr id="789" name="Textbox 789"/>
                <wp:cNvGraphicFramePr>
                  <a:graphicFrameLocks/>
                </wp:cNvGraphicFramePr>
                <a:graphic>
                  <a:graphicData uri="http://schemas.microsoft.com/office/word/2010/wordprocessingShape">
                    <wps:wsp>
                      <wps:cNvPr id="789" name="Textbox 789"/>
                      <wps:cNvSpPr txBox="1"/>
                      <wps:spPr>
                        <a:xfrm>
                          <a:off x="0" y="0"/>
                          <a:ext cx="177800" cy="184848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640.694885pt;width:14pt;height:145.550pt;mso-position-horizontal-relative:page;mso-position-vertical-relative:page;z-index:15855616" type="#_x0000_t202" id="docshape514"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v:textbox>
                <w10:wrap type="none"/>
              </v:shape>
            </w:pict>
          </mc:Fallback>
        </mc:AlternateContent>
      </w:r>
      <w:r>
        <w:rPr>
          <w:rFonts w:ascii="TT Norms Pro"/>
          <w:b/>
          <w:sz w:val="18"/>
        </w:rPr>
        <w:t>Strategic</w:t>
      </w:r>
      <w:r>
        <w:rPr>
          <w:rFonts w:ascii="TT Norms Pro"/>
          <w:b/>
          <w:spacing w:val="8"/>
          <w:sz w:val="18"/>
        </w:rPr>
        <w:t> </w:t>
      </w:r>
      <w:r>
        <w:rPr>
          <w:rFonts w:ascii="TT Norms Pro"/>
          <w:b/>
          <w:spacing w:val="-4"/>
          <w:sz w:val="18"/>
        </w:rPr>
        <w:t>goal</w:t>
      </w:r>
    </w:p>
    <w:p>
      <w:pPr>
        <w:pStyle w:val="BodyText"/>
        <w:spacing w:line="295" w:lineRule="auto" w:before="50"/>
        <w:ind w:left="213" w:right="276"/>
        <w:rPr>
          <w:b w:val="0"/>
        </w:rPr>
      </w:pPr>
      <w:r>
        <w:rPr>
          <w:b w:val="0"/>
        </w:rPr>
        <w:t>We will be recognised as a vibrant, sustainable and</w:t>
      </w:r>
      <w:r>
        <w:rPr>
          <w:b w:val="0"/>
          <w:spacing w:val="40"/>
        </w:rPr>
        <w:t> </w:t>
      </w:r>
      <w:r>
        <w:rPr>
          <w:b w:val="0"/>
        </w:rPr>
        <w:t>connected hub that blends our heritage with our future</w:t>
      </w:r>
      <w:r>
        <w:rPr>
          <w:b w:val="0"/>
          <w:spacing w:val="40"/>
        </w:rPr>
        <w:t> </w:t>
      </w:r>
      <w:r>
        <w:rPr>
          <w:b w:val="0"/>
        </w:rPr>
        <w:t>and welcomes our partners, the community and the</w:t>
      </w:r>
      <w:r>
        <w:rPr>
          <w:b w:val="0"/>
          <w:spacing w:val="40"/>
        </w:rPr>
        <w:t> </w:t>
      </w:r>
      <w:r>
        <w:rPr>
          <w:b w:val="0"/>
        </w:rPr>
        <w:t>wider</w:t>
      </w:r>
      <w:r>
        <w:rPr>
          <w:b w:val="0"/>
          <w:spacing w:val="-7"/>
        </w:rPr>
        <w:t> </w:t>
      </w:r>
      <w:r>
        <w:rPr>
          <w:b w:val="0"/>
        </w:rPr>
        <w:t>world.</w:t>
      </w:r>
    </w:p>
    <w:p>
      <w:pPr>
        <w:pStyle w:val="BodyText"/>
        <w:spacing w:before="48"/>
        <w:rPr>
          <w:b w:val="0"/>
        </w:rPr>
      </w:pPr>
    </w:p>
    <w:p>
      <w:pPr>
        <w:spacing w:before="0"/>
        <w:ind w:left="213" w:right="0" w:firstLine="0"/>
        <w:jc w:val="left"/>
        <w:rPr>
          <w:rFonts w:ascii="TT Norms Pro"/>
          <w:b/>
          <w:sz w:val="18"/>
        </w:rPr>
      </w:pPr>
      <w:r>
        <w:rPr>
          <w:rFonts w:ascii="TT Norms Pro"/>
          <w:b/>
          <w:sz w:val="18"/>
        </w:rPr>
        <w:t>Key</w:t>
      </w:r>
      <w:r>
        <w:rPr>
          <w:rFonts w:ascii="TT Norms Pro"/>
          <w:b/>
          <w:spacing w:val="3"/>
          <w:sz w:val="18"/>
        </w:rPr>
        <w:t> </w:t>
      </w:r>
      <w:r>
        <w:rPr>
          <w:rFonts w:ascii="TT Norms Pro"/>
          <w:b/>
          <w:sz w:val="18"/>
        </w:rPr>
        <w:t>performance</w:t>
      </w:r>
      <w:r>
        <w:rPr>
          <w:rFonts w:ascii="TT Norms Pro"/>
          <w:b/>
          <w:spacing w:val="6"/>
          <w:sz w:val="18"/>
        </w:rPr>
        <w:t> </w:t>
      </w:r>
      <w:r>
        <w:rPr>
          <w:rFonts w:ascii="TT Norms Pro"/>
          <w:b/>
          <w:spacing w:val="-2"/>
          <w:sz w:val="18"/>
        </w:rPr>
        <w:t>indicator</w:t>
      </w:r>
    </w:p>
    <w:p>
      <w:pPr>
        <w:pStyle w:val="BodyText"/>
        <w:spacing w:line="295" w:lineRule="auto" w:before="49"/>
        <w:ind w:left="213"/>
        <w:rPr>
          <w:b w:val="0"/>
        </w:rPr>
      </w:pPr>
      <w:r>
        <w:rPr>
          <w:b w:val="0"/>
        </w:rPr>
        <w:t>Achievement</w:t>
      </w:r>
      <w:r>
        <w:rPr>
          <w:b w:val="0"/>
          <w:spacing w:val="-2"/>
        </w:rPr>
        <w:t> </w:t>
      </w:r>
      <w:r>
        <w:rPr>
          <w:b w:val="0"/>
        </w:rPr>
        <w:t>of</w:t>
      </w:r>
      <w:r>
        <w:rPr>
          <w:b w:val="0"/>
          <w:spacing w:val="-2"/>
        </w:rPr>
        <w:t> </w:t>
      </w:r>
      <w:r>
        <w:rPr>
          <w:b w:val="0"/>
        </w:rPr>
        <w:t>this</w:t>
      </w:r>
      <w:r>
        <w:rPr>
          <w:b w:val="0"/>
          <w:spacing w:val="-2"/>
        </w:rPr>
        <w:t> </w:t>
      </w:r>
      <w:r>
        <w:rPr>
          <w:b w:val="0"/>
        </w:rPr>
        <w:t>goal</w:t>
      </w:r>
      <w:r>
        <w:rPr>
          <w:b w:val="0"/>
          <w:spacing w:val="-2"/>
        </w:rPr>
        <w:t> </w:t>
      </w:r>
      <w:r>
        <w:rPr>
          <w:b w:val="0"/>
        </w:rPr>
        <w:t>will</w:t>
      </w:r>
      <w:r>
        <w:rPr>
          <w:b w:val="0"/>
          <w:spacing w:val="-2"/>
        </w:rPr>
        <w:t> </w:t>
      </w:r>
      <w:r>
        <w:rPr>
          <w:b w:val="0"/>
        </w:rPr>
        <w:t>be</w:t>
      </w:r>
      <w:r>
        <w:rPr>
          <w:b w:val="0"/>
          <w:spacing w:val="-2"/>
        </w:rPr>
        <w:t> </w:t>
      </w:r>
      <w:r>
        <w:rPr>
          <w:b w:val="0"/>
        </w:rPr>
        <w:t>measured</w:t>
      </w:r>
      <w:r>
        <w:rPr>
          <w:b w:val="0"/>
          <w:spacing w:val="-2"/>
        </w:rPr>
        <w:t> </w:t>
      </w:r>
      <w:r>
        <w:rPr>
          <w:b w:val="0"/>
        </w:rPr>
        <w:t>by</w:t>
      </w:r>
      <w:r>
        <w:rPr>
          <w:b w:val="0"/>
          <w:spacing w:val="-2"/>
        </w:rPr>
        <w:t> </w:t>
      </w:r>
      <w:r>
        <w:rPr>
          <w:b w:val="0"/>
        </w:rPr>
        <w:t>the</w:t>
      </w:r>
      <w:r>
        <w:rPr>
          <w:b w:val="0"/>
          <w:spacing w:val="-2"/>
        </w:rPr>
        <w:t> </w:t>
      </w:r>
      <w:r>
        <w:rPr>
          <w:b w:val="0"/>
        </w:rPr>
        <w:t>following</w:t>
      </w:r>
      <w:r>
        <w:rPr>
          <w:b w:val="0"/>
          <w:spacing w:val="40"/>
        </w:rPr>
        <w:t> </w:t>
      </w:r>
      <w:r>
        <w:rPr>
          <w:b w:val="0"/>
        </w:rPr>
        <w:t>efficiency</w:t>
      </w:r>
      <w:r>
        <w:rPr>
          <w:b w:val="0"/>
          <w:spacing w:val="-5"/>
        </w:rPr>
        <w:t> </w:t>
      </w:r>
      <w:r>
        <w:rPr>
          <w:b w:val="0"/>
        </w:rPr>
        <w:t>indicator:</w:t>
      </w:r>
    </w:p>
    <w:p>
      <w:pPr>
        <w:pStyle w:val="BodyText"/>
        <w:spacing w:before="46"/>
        <w:rPr>
          <w:b w:val="0"/>
        </w:rPr>
      </w:pPr>
    </w:p>
    <w:p>
      <w:pPr>
        <w:pStyle w:val="ListParagraph"/>
        <w:numPr>
          <w:ilvl w:val="1"/>
          <w:numId w:val="8"/>
        </w:numPr>
        <w:tabs>
          <w:tab w:pos="552" w:val="left" w:leader="none"/>
        </w:tabs>
        <w:spacing w:line="240" w:lineRule="auto" w:before="1" w:after="0"/>
        <w:ind w:left="552" w:right="0" w:hanging="339"/>
        <w:jc w:val="left"/>
        <w:rPr>
          <w:rFonts w:ascii="TT Norms Pro Light"/>
          <w:b w:val="0"/>
          <w:sz w:val="18"/>
        </w:rPr>
      </w:pPr>
      <w:r>
        <w:rPr>
          <w:rFonts w:ascii="TT Norms Pro Light"/>
          <w:b w:val="0"/>
          <w:sz w:val="18"/>
        </w:rPr>
        <w:t>Campus</w:t>
      </w:r>
      <w:r>
        <w:rPr>
          <w:rFonts w:ascii="TT Norms Pro Light"/>
          <w:b w:val="0"/>
          <w:spacing w:val="8"/>
          <w:sz w:val="18"/>
        </w:rPr>
        <w:t> </w:t>
      </w:r>
      <w:r>
        <w:rPr>
          <w:rFonts w:ascii="TT Norms Pro Light"/>
          <w:b w:val="0"/>
          <w:spacing w:val="-2"/>
          <w:sz w:val="18"/>
        </w:rPr>
        <w:t>intensity</w:t>
      </w:r>
    </w:p>
    <w:p>
      <w:pPr>
        <w:pStyle w:val="BodyText"/>
        <w:rPr>
          <w:b w:val="0"/>
        </w:rPr>
      </w:pPr>
    </w:p>
    <w:p>
      <w:pPr>
        <w:pStyle w:val="BodyText"/>
        <w:spacing w:before="177"/>
        <w:rPr>
          <w:b w:val="0"/>
        </w:rPr>
      </w:pPr>
    </w:p>
    <w:p>
      <w:pPr>
        <w:pStyle w:val="Heading9"/>
        <w:ind w:left="213"/>
      </w:pPr>
      <w:r>
        <w:rPr/>
        <w:t>4.1</w:t>
      </w:r>
      <w:r>
        <w:rPr>
          <w:spacing w:val="16"/>
        </w:rPr>
        <w:t> </w:t>
      </w:r>
      <w:r>
        <w:rPr/>
        <w:t>CAMPUS</w:t>
      </w:r>
      <w:r>
        <w:rPr>
          <w:spacing w:val="16"/>
        </w:rPr>
        <w:t> </w:t>
      </w:r>
      <w:r>
        <w:rPr>
          <w:spacing w:val="-2"/>
        </w:rPr>
        <w:t>INTENSITY</w:t>
      </w:r>
    </w:p>
    <w:p>
      <w:pPr>
        <w:pStyle w:val="BodyText"/>
        <w:spacing w:line="295" w:lineRule="auto" w:before="154"/>
        <w:ind w:left="213" w:right="95"/>
        <w:rPr>
          <w:b w:val="0"/>
        </w:rPr>
      </w:pPr>
      <w:r>
        <w:rPr>
          <w:b w:val="0"/>
        </w:rPr>
        <w:t>Campus intensity reflects the potential use of campus</w:t>
      </w:r>
      <w:r>
        <w:rPr>
          <w:b w:val="0"/>
          <w:spacing w:val="40"/>
        </w:rPr>
        <w:t> </w:t>
      </w:r>
      <w:r>
        <w:rPr>
          <w:b w:val="0"/>
        </w:rPr>
        <w:t>space by staff and students through the creation of a</w:t>
      </w:r>
      <w:r>
        <w:rPr>
          <w:b w:val="0"/>
          <w:spacing w:val="40"/>
        </w:rPr>
        <w:t> </w:t>
      </w:r>
      <w:r>
        <w:rPr>
          <w:b w:val="0"/>
        </w:rPr>
        <w:t>‘gross</w:t>
      </w:r>
      <w:r>
        <w:rPr>
          <w:b w:val="0"/>
          <w:spacing w:val="-2"/>
        </w:rPr>
        <w:t> </w:t>
      </w:r>
      <w:r>
        <w:rPr>
          <w:b w:val="0"/>
        </w:rPr>
        <w:t>floor</w:t>
      </w:r>
      <w:r>
        <w:rPr>
          <w:b w:val="0"/>
          <w:spacing w:val="-2"/>
        </w:rPr>
        <w:t> </w:t>
      </w:r>
      <w:r>
        <w:rPr>
          <w:b w:val="0"/>
        </w:rPr>
        <w:t>area</w:t>
      </w:r>
      <w:r>
        <w:rPr>
          <w:b w:val="0"/>
          <w:spacing w:val="-2"/>
        </w:rPr>
        <w:t> </w:t>
      </w:r>
      <w:r>
        <w:rPr>
          <w:b w:val="0"/>
        </w:rPr>
        <w:t>(in</w:t>
      </w:r>
      <w:r>
        <w:rPr>
          <w:b w:val="0"/>
          <w:spacing w:val="-2"/>
        </w:rPr>
        <w:t> </w:t>
      </w:r>
      <w:r>
        <w:rPr>
          <w:b w:val="0"/>
        </w:rPr>
        <w:t>square</w:t>
      </w:r>
      <w:r>
        <w:rPr>
          <w:b w:val="0"/>
          <w:spacing w:val="-2"/>
        </w:rPr>
        <w:t> </w:t>
      </w:r>
      <w:r>
        <w:rPr>
          <w:b w:val="0"/>
        </w:rPr>
        <w:t>metres)</w:t>
      </w:r>
      <w:r>
        <w:rPr>
          <w:b w:val="0"/>
          <w:spacing w:val="-2"/>
        </w:rPr>
        <w:t> </w:t>
      </w:r>
      <w:r>
        <w:rPr>
          <w:b w:val="0"/>
        </w:rPr>
        <w:t>per</w:t>
      </w:r>
      <w:r>
        <w:rPr>
          <w:b w:val="0"/>
          <w:spacing w:val="-2"/>
        </w:rPr>
        <w:t> </w:t>
      </w:r>
      <w:r>
        <w:rPr>
          <w:b w:val="0"/>
        </w:rPr>
        <w:t>student</w:t>
      </w:r>
      <w:r>
        <w:rPr>
          <w:b w:val="0"/>
          <w:spacing w:val="-2"/>
        </w:rPr>
        <w:t> </w:t>
      </w:r>
      <w:r>
        <w:rPr>
          <w:b w:val="0"/>
        </w:rPr>
        <w:t>(in</w:t>
      </w:r>
      <w:r>
        <w:rPr>
          <w:b w:val="0"/>
          <w:spacing w:val="-2"/>
        </w:rPr>
        <w:t> </w:t>
      </w:r>
      <w:r>
        <w:rPr>
          <w:b w:val="0"/>
        </w:rPr>
        <w:t>student</w:t>
      </w:r>
      <w:r>
        <w:rPr>
          <w:b w:val="0"/>
          <w:spacing w:val="40"/>
        </w:rPr>
        <w:t> </w:t>
      </w:r>
      <w:r>
        <w:rPr>
          <w:b w:val="0"/>
        </w:rPr>
        <w:t>load) and staff (in full-time equivalent)’ metric.</w:t>
      </w:r>
    </w:p>
    <w:p>
      <w:pPr>
        <w:pStyle w:val="BodyText"/>
        <w:spacing w:line="295" w:lineRule="auto" w:before="4"/>
        <w:ind w:left="213" w:right="262"/>
        <w:rPr>
          <w:b w:val="0"/>
        </w:rPr>
      </w:pPr>
      <w:r>
        <w:rPr>
          <w:b w:val="0"/>
        </w:rPr>
        <w:t>It is a space utilisation indicator that is commonly used</w:t>
      </w:r>
      <w:r>
        <w:rPr>
          <w:b w:val="0"/>
          <w:spacing w:val="40"/>
        </w:rPr>
        <w:t> </w:t>
      </w:r>
      <w:r>
        <w:rPr>
          <w:b w:val="0"/>
        </w:rPr>
        <w:t>in</w:t>
      </w:r>
      <w:r>
        <w:rPr>
          <w:b w:val="0"/>
          <w:spacing w:val="-1"/>
        </w:rPr>
        <w:t> </w:t>
      </w:r>
      <w:r>
        <w:rPr>
          <w:b w:val="0"/>
        </w:rPr>
        <w:t>the</w:t>
      </w:r>
      <w:r>
        <w:rPr>
          <w:b w:val="0"/>
          <w:spacing w:val="-1"/>
        </w:rPr>
        <w:t> </w:t>
      </w:r>
      <w:r>
        <w:rPr>
          <w:b w:val="0"/>
        </w:rPr>
        <w:t>University</w:t>
      </w:r>
      <w:r>
        <w:rPr>
          <w:b w:val="0"/>
          <w:spacing w:val="-1"/>
        </w:rPr>
        <w:t> </w:t>
      </w:r>
      <w:r>
        <w:rPr>
          <w:b w:val="0"/>
        </w:rPr>
        <w:t>sector</w:t>
      </w:r>
      <w:r>
        <w:rPr>
          <w:b w:val="0"/>
          <w:spacing w:val="-1"/>
        </w:rPr>
        <w:t> </w:t>
      </w:r>
      <w:r>
        <w:rPr>
          <w:b w:val="0"/>
        </w:rPr>
        <w:t>to</w:t>
      </w:r>
      <w:r>
        <w:rPr>
          <w:b w:val="0"/>
          <w:spacing w:val="-1"/>
        </w:rPr>
        <w:t> </w:t>
      </w:r>
      <w:r>
        <w:rPr>
          <w:b w:val="0"/>
        </w:rPr>
        <w:t>look</w:t>
      </w:r>
      <w:r>
        <w:rPr>
          <w:b w:val="0"/>
          <w:spacing w:val="-1"/>
        </w:rPr>
        <w:t> </w:t>
      </w:r>
      <w:r>
        <w:rPr>
          <w:b w:val="0"/>
        </w:rPr>
        <w:t>at</w:t>
      </w:r>
      <w:r>
        <w:rPr>
          <w:b w:val="0"/>
          <w:spacing w:val="-1"/>
        </w:rPr>
        <w:t> </w:t>
      </w:r>
      <w:r>
        <w:rPr>
          <w:b w:val="0"/>
        </w:rPr>
        <w:t>the</w:t>
      </w:r>
      <w:r>
        <w:rPr>
          <w:b w:val="0"/>
          <w:spacing w:val="-1"/>
        </w:rPr>
        <w:t> </w:t>
      </w:r>
      <w:r>
        <w:rPr>
          <w:b w:val="0"/>
        </w:rPr>
        <w:t>efficiency</w:t>
      </w:r>
      <w:r>
        <w:rPr>
          <w:b w:val="0"/>
          <w:spacing w:val="-1"/>
        </w:rPr>
        <w:t> </w:t>
      </w:r>
      <w:r>
        <w:rPr>
          <w:b w:val="0"/>
        </w:rPr>
        <w:t>of</w:t>
      </w:r>
      <w:r>
        <w:rPr>
          <w:b w:val="0"/>
          <w:spacing w:val="-1"/>
        </w:rPr>
        <w:t> </w:t>
      </w:r>
      <w:r>
        <w:rPr>
          <w:b w:val="0"/>
        </w:rPr>
        <w:t>space</w:t>
      </w:r>
      <w:r>
        <w:rPr>
          <w:b w:val="0"/>
          <w:spacing w:val="40"/>
        </w:rPr>
        <w:t> </w:t>
      </w:r>
      <w:r>
        <w:rPr>
          <w:b w:val="0"/>
        </w:rPr>
        <w:t>utilisation across the entire campus area.</w:t>
      </w:r>
    </w:p>
    <w:p>
      <w:pPr>
        <w:pStyle w:val="BodyText"/>
        <w:spacing w:line="295" w:lineRule="auto" w:before="125"/>
        <w:ind w:left="213" w:right="1132"/>
        <w:rPr>
          <w:b w:val="0"/>
        </w:rPr>
      </w:pPr>
      <w:r>
        <w:rPr/>
        <w:br w:type="column"/>
      </w:r>
      <w:r>
        <w:rPr>
          <w:b w:val="0"/>
        </w:rPr>
        <w:t>A key priority within the University’s Sustainable</w:t>
      </w:r>
      <w:r>
        <w:rPr>
          <w:b w:val="0"/>
          <w:spacing w:val="40"/>
        </w:rPr>
        <w:t> </w:t>
      </w:r>
      <w:r>
        <w:rPr>
          <w:b w:val="0"/>
        </w:rPr>
        <w:t>Environments enabling strategy was appropriate</w:t>
      </w:r>
      <w:r>
        <w:rPr>
          <w:b w:val="0"/>
          <w:spacing w:val="40"/>
        </w:rPr>
        <w:t> </w:t>
      </w:r>
      <w:r>
        <w:rPr>
          <w:b w:val="0"/>
        </w:rPr>
        <w:t>investment in the University's physical and digital</w:t>
      </w:r>
      <w:r>
        <w:rPr>
          <w:b w:val="0"/>
          <w:spacing w:val="40"/>
        </w:rPr>
        <w:t> </w:t>
      </w:r>
      <w:r>
        <w:rPr>
          <w:b w:val="0"/>
        </w:rPr>
        <w:t>environment. The impact of these activities would include</w:t>
      </w:r>
      <w:r>
        <w:rPr>
          <w:b w:val="0"/>
          <w:spacing w:val="40"/>
        </w:rPr>
        <w:t> </w:t>
      </w:r>
      <w:r>
        <w:rPr>
          <w:b w:val="0"/>
        </w:rPr>
        <w:t>improved space utilisation and intensification, which</w:t>
      </w:r>
      <w:r>
        <w:rPr>
          <w:b w:val="0"/>
          <w:spacing w:val="40"/>
        </w:rPr>
        <w:t> </w:t>
      </w:r>
      <w:r>
        <w:rPr>
          <w:b w:val="0"/>
        </w:rPr>
        <w:t>'campus intensity' is used to measure.</w:t>
      </w:r>
    </w:p>
    <w:p>
      <w:pPr>
        <w:pStyle w:val="BodyText"/>
        <w:spacing w:before="50"/>
        <w:rPr>
          <w:b w:val="0"/>
        </w:rPr>
      </w:pPr>
    </w:p>
    <w:p>
      <w:pPr>
        <w:pStyle w:val="BodyText"/>
        <w:spacing w:line="295" w:lineRule="auto"/>
        <w:ind w:left="213" w:right="1289"/>
        <w:rPr>
          <w:b w:val="0"/>
        </w:rPr>
      </w:pPr>
      <w:r>
        <w:rPr>
          <w:b w:val="0"/>
        </w:rPr>
        <w:t>The University has come close to achieving its target</w:t>
      </w:r>
      <w:r>
        <w:rPr>
          <w:b w:val="0"/>
          <w:spacing w:val="40"/>
        </w:rPr>
        <w:t> </w:t>
      </w:r>
      <w:r>
        <w:rPr>
          <w:b w:val="0"/>
        </w:rPr>
        <w:t>campus intensity on an annual level. The Campus</w:t>
      </w:r>
      <w:r>
        <w:rPr>
          <w:b w:val="0"/>
          <w:spacing w:val="40"/>
        </w:rPr>
        <w:t> </w:t>
      </w:r>
      <w:r>
        <w:rPr>
          <w:b w:val="0"/>
        </w:rPr>
        <w:t>Masterplan seeks to rejuvenate and further activate</w:t>
      </w:r>
      <w:r>
        <w:rPr>
          <w:b w:val="0"/>
          <w:spacing w:val="40"/>
        </w:rPr>
        <w:t> </w:t>
      </w:r>
      <w:r>
        <w:rPr>
          <w:b w:val="0"/>
        </w:rPr>
        <w:t>UWA’s campus over the upcoming period, which will</w:t>
      </w:r>
      <w:r>
        <w:rPr>
          <w:b w:val="0"/>
          <w:spacing w:val="40"/>
        </w:rPr>
        <w:t> </w:t>
      </w:r>
      <w:r>
        <w:rPr>
          <w:b w:val="0"/>
        </w:rPr>
        <w:t>help develop a managed shift in campus intensity results</w:t>
      </w:r>
      <w:r>
        <w:rPr>
          <w:b w:val="0"/>
          <w:spacing w:val="40"/>
        </w:rPr>
        <w:t> </w:t>
      </w:r>
      <w:r>
        <w:rPr>
          <w:b w:val="0"/>
        </w:rPr>
        <w:t>in the future.</w:t>
      </w:r>
    </w:p>
    <w:p>
      <w:pPr>
        <w:pStyle w:val="BodyText"/>
        <w:spacing w:before="50"/>
        <w:rPr>
          <w:b w:val="0"/>
        </w:rPr>
      </w:pPr>
    </w:p>
    <w:p>
      <w:pPr>
        <w:spacing w:before="0"/>
        <w:ind w:left="251" w:right="0" w:firstLine="0"/>
        <w:jc w:val="left"/>
        <w:rPr>
          <w:rFonts w:ascii="TT Norms Pro"/>
          <w:b/>
          <w:sz w:val="18"/>
        </w:rPr>
      </w:pPr>
      <w:r>
        <w:rPr>
          <w:rFonts w:ascii="TT Norms Pro"/>
          <w:b/>
          <w:sz w:val="18"/>
        </w:rPr>
        <w:t>Campus</w:t>
      </w:r>
      <w:r>
        <w:rPr>
          <w:rFonts w:ascii="TT Norms Pro"/>
          <w:b/>
          <w:spacing w:val="9"/>
          <w:sz w:val="18"/>
        </w:rPr>
        <w:t> </w:t>
      </w:r>
      <w:r>
        <w:rPr>
          <w:rFonts w:ascii="TT Norms Pro"/>
          <w:b/>
          <w:spacing w:val="-2"/>
          <w:sz w:val="18"/>
        </w:rPr>
        <w:t>intensity</w:t>
      </w:r>
    </w:p>
    <w:p>
      <w:pPr>
        <w:pStyle w:val="BodyText"/>
        <w:spacing w:before="6"/>
        <w:rPr>
          <w:rFonts w:ascii="TT Norms Pro"/>
          <w:b/>
          <w:sz w:val="3"/>
        </w:rPr>
      </w:pPr>
    </w:p>
    <w:p>
      <w:pPr>
        <w:pStyle w:val="BodyText"/>
        <w:spacing w:line="20" w:lineRule="exact"/>
        <w:ind w:left="203"/>
        <w:rPr>
          <w:rFonts w:ascii="TT Norms Pro"/>
          <w:sz w:val="2"/>
        </w:rPr>
      </w:pPr>
      <w:r>
        <w:rPr>
          <w:rFonts w:ascii="TT Norms Pro"/>
          <w:sz w:val="2"/>
        </w:rPr>
        <mc:AlternateContent>
          <mc:Choice Requires="wps">
            <w:drawing>
              <wp:inline distT="0" distB="0" distL="0" distR="0">
                <wp:extent cx="2934335" cy="12700"/>
                <wp:effectExtent l="9525" t="0" r="0" b="6350"/>
                <wp:docPr id="790" name="Group 790"/>
                <wp:cNvGraphicFramePr>
                  <a:graphicFrameLocks/>
                </wp:cNvGraphicFramePr>
                <a:graphic>
                  <a:graphicData uri="http://schemas.microsoft.com/office/word/2010/wordprocessingGroup">
                    <wpg:wgp>
                      <wpg:cNvPr id="790" name="Group 790"/>
                      <wpg:cNvGrpSpPr/>
                      <wpg:grpSpPr>
                        <a:xfrm>
                          <a:off x="0" y="0"/>
                          <a:ext cx="2934335" cy="12700"/>
                          <a:chExt cx="2934335" cy="12700"/>
                        </a:xfrm>
                      </wpg:grpSpPr>
                      <wps:wsp>
                        <wps:cNvPr id="791" name="Graphic 791"/>
                        <wps:cNvSpPr/>
                        <wps:spPr>
                          <a:xfrm>
                            <a:off x="0" y="6350"/>
                            <a:ext cx="978535" cy="1270"/>
                          </a:xfrm>
                          <a:custGeom>
                            <a:avLst/>
                            <a:gdLst/>
                            <a:ahLst/>
                            <a:cxnLst/>
                            <a:rect l="l" t="t" r="r" b="b"/>
                            <a:pathLst>
                              <a:path w="978535" h="0">
                                <a:moveTo>
                                  <a:pt x="0" y="0"/>
                                </a:moveTo>
                                <a:lnTo>
                                  <a:pt x="978001" y="0"/>
                                </a:lnTo>
                              </a:path>
                            </a:pathLst>
                          </a:custGeom>
                          <a:ln w="12700">
                            <a:solidFill>
                              <a:srgbClr val="000000"/>
                            </a:solidFill>
                            <a:prstDash val="solid"/>
                          </a:ln>
                        </wps:spPr>
                        <wps:bodyPr wrap="square" lIns="0" tIns="0" rIns="0" bIns="0" rtlCol="0">
                          <a:prstTxWarp prst="textNoShape">
                            <a:avLst/>
                          </a:prstTxWarp>
                          <a:noAutofit/>
                        </wps:bodyPr>
                      </wps:wsp>
                      <wps:wsp>
                        <wps:cNvPr id="792" name="Graphic 792"/>
                        <wps:cNvSpPr/>
                        <wps:spPr>
                          <a:xfrm>
                            <a:off x="977999" y="6350"/>
                            <a:ext cx="978535" cy="1270"/>
                          </a:xfrm>
                          <a:custGeom>
                            <a:avLst/>
                            <a:gdLst/>
                            <a:ahLst/>
                            <a:cxnLst/>
                            <a:rect l="l" t="t" r="r" b="b"/>
                            <a:pathLst>
                              <a:path w="978535" h="0">
                                <a:moveTo>
                                  <a:pt x="0" y="0"/>
                                </a:moveTo>
                                <a:lnTo>
                                  <a:pt x="978001" y="0"/>
                                </a:lnTo>
                              </a:path>
                            </a:pathLst>
                          </a:custGeom>
                          <a:ln w="12700">
                            <a:solidFill>
                              <a:srgbClr val="000000"/>
                            </a:solidFill>
                            <a:prstDash val="solid"/>
                          </a:ln>
                        </wps:spPr>
                        <wps:bodyPr wrap="square" lIns="0" tIns="0" rIns="0" bIns="0" rtlCol="0">
                          <a:prstTxWarp prst="textNoShape">
                            <a:avLst/>
                          </a:prstTxWarp>
                          <a:noAutofit/>
                        </wps:bodyPr>
                      </wps:wsp>
                      <wps:wsp>
                        <wps:cNvPr id="793" name="Graphic 793"/>
                        <wps:cNvSpPr/>
                        <wps:spPr>
                          <a:xfrm>
                            <a:off x="1955999" y="6350"/>
                            <a:ext cx="978535" cy="1270"/>
                          </a:xfrm>
                          <a:custGeom>
                            <a:avLst/>
                            <a:gdLst/>
                            <a:ahLst/>
                            <a:cxnLst/>
                            <a:rect l="l" t="t" r="r" b="b"/>
                            <a:pathLst>
                              <a:path w="978535" h="0">
                                <a:moveTo>
                                  <a:pt x="0" y="0"/>
                                </a:moveTo>
                                <a:lnTo>
                                  <a:pt x="978001" y="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31.05pt;height:1pt;mso-position-horizontal-relative:char;mso-position-vertical-relative:line" id="docshapegroup515" coordorigin="0,0" coordsize="4621,20">
                <v:line style="position:absolute" from="0,10" to="1540,10" stroked="true" strokeweight="1pt" strokecolor="#000000">
                  <v:stroke dashstyle="solid"/>
                </v:line>
                <v:line style="position:absolute" from="1540,10" to="3080,10" stroked="true" strokeweight="1pt" strokecolor="#000000">
                  <v:stroke dashstyle="solid"/>
                </v:line>
                <v:line style="position:absolute" from="3080,10" to="4620,10" stroked="true" strokeweight="1pt" strokecolor="#000000">
                  <v:stroke dashstyle="solid"/>
                </v:line>
              </v:group>
            </w:pict>
          </mc:Fallback>
        </mc:AlternateContent>
      </w:r>
      <w:r>
        <w:rPr>
          <w:rFonts w:ascii="TT Norms Pro"/>
          <w:sz w:val="2"/>
        </w:rPr>
      </w:r>
    </w:p>
    <w:p>
      <w:pPr>
        <w:tabs>
          <w:tab w:pos="3797" w:val="left" w:leader="none"/>
        </w:tabs>
        <w:spacing w:before="56"/>
        <w:ind w:left="2892" w:right="0" w:firstLine="0"/>
        <w:jc w:val="left"/>
        <w:rPr>
          <w:rFonts w:ascii="TT Norms Pro"/>
          <w:b/>
          <w:sz w:val="14"/>
        </w:rPr>
      </w:pPr>
      <w:r>
        <w:rPr>
          <w:rFonts w:ascii="TT Norms Pro"/>
          <w:b/>
          <w:spacing w:val="-4"/>
          <w:sz w:val="14"/>
        </w:rPr>
        <w:t>2019</w:t>
      </w:r>
      <w:r>
        <w:rPr>
          <w:rFonts w:ascii="TT Norms Pro"/>
          <w:b/>
          <w:sz w:val="14"/>
        </w:rPr>
        <w:tab/>
        <w:t>2019</w:t>
      </w:r>
      <w:r>
        <w:rPr>
          <w:rFonts w:ascii="TT Norms Pro"/>
          <w:b/>
          <w:spacing w:val="31"/>
          <w:sz w:val="14"/>
        </w:rPr>
        <w:t> </w:t>
      </w:r>
      <w:r>
        <w:rPr>
          <w:rFonts w:ascii="TT Norms Pro"/>
          <w:b/>
          <w:spacing w:val="-2"/>
          <w:sz w:val="14"/>
        </w:rPr>
        <w:t>TARGET</w:t>
      </w:r>
    </w:p>
    <w:p>
      <w:pPr>
        <w:pStyle w:val="BodyText"/>
        <w:spacing w:before="11"/>
        <w:rPr>
          <w:rFonts w:ascii="TT Norms Pro"/>
          <w:b/>
          <w:sz w:val="6"/>
        </w:rPr>
      </w:pPr>
      <w:r>
        <w:rPr/>
        <mc:AlternateContent>
          <mc:Choice Requires="wps">
            <w:drawing>
              <wp:anchor distT="0" distB="0" distL="0" distR="0" allowOverlap="1" layoutInCell="1" locked="0" behindDoc="1" simplePos="0" relativeHeight="487713792">
                <wp:simplePos x="0" y="0"/>
                <wp:positionH relativeFrom="page">
                  <wp:posOffset>3905999</wp:posOffset>
                </wp:positionH>
                <wp:positionV relativeFrom="paragraph">
                  <wp:posOffset>67213</wp:posOffset>
                </wp:positionV>
                <wp:extent cx="2934335" cy="278130"/>
                <wp:effectExtent l="0" t="0" r="0" b="0"/>
                <wp:wrapTopAndBottom/>
                <wp:docPr id="794" name="Group 794"/>
                <wp:cNvGraphicFramePr>
                  <a:graphicFrameLocks/>
                </wp:cNvGraphicFramePr>
                <a:graphic>
                  <a:graphicData uri="http://schemas.microsoft.com/office/word/2010/wordprocessingGroup">
                    <wpg:wgp>
                      <wpg:cNvPr id="794" name="Group 794"/>
                      <wpg:cNvGrpSpPr/>
                      <wpg:grpSpPr>
                        <a:xfrm>
                          <a:off x="0" y="0"/>
                          <a:ext cx="2934335" cy="278130"/>
                          <a:chExt cx="2934335" cy="278130"/>
                        </a:xfrm>
                      </wpg:grpSpPr>
                      <wps:wsp>
                        <wps:cNvPr id="795" name="Graphic 795"/>
                        <wps:cNvSpPr/>
                        <wps:spPr>
                          <a:xfrm>
                            <a:off x="0" y="3178"/>
                            <a:ext cx="2934335" cy="274955"/>
                          </a:xfrm>
                          <a:custGeom>
                            <a:avLst/>
                            <a:gdLst/>
                            <a:ahLst/>
                            <a:cxnLst/>
                            <a:rect l="l" t="t" r="r" b="b"/>
                            <a:pathLst>
                              <a:path w="2934335" h="274955">
                                <a:moveTo>
                                  <a:pt x="2934004" y="0"/>
                                </a:moveTo>
                                <a:lnTo>
                                  <a:pt x="1956003" y="0"/>
                                </a:lnTo>
                                <a:lnTo>
                                  <a:pt x="978001" y="0"/>
                                </a:lnTo>
                                <a:lnTo>
                                  <a:pt x="0" y="0"/>
                                </a:lnTo>
                                <a:lnTo>
                                  <a:pt x="0" y="274561"/>
                                </a:lnTo>
                                <a:lnTo>
                                  <a:pt x="978001" y="274561"/>
                                </a:lnTo>
                                <a:lnTo>
                                  <a:pt x="1956003" y="274561"/>
                                </a:lnTo>
                                <a:lnTo>
                                  <a:pt x="2934004" y="274561"/>
                                </a:lnTo>
                                <a:lnTo>
                                  <a:pt x="2934004" y="0"/>
                                </a:lnTo>
                                <a:close/>
                              </a:path>
                            </a:pathLst>
                          </a:custGeom>
                          <a:solidFill>
                            <a:srgbClr val="E6E7E8"/>
                          </a:solidFill>
                        </wps:spPr>
                        <wps:bodyPr wrap="square" lIns="0" tIns="0" rIns="0" bIns="0" rtlCol="0">
                          <a:prstTxWarp prst="textNoShape">
                            <a:avLst/>
                          </a:prstTxWarp>
                          <a:noAutofit/>
                        </wps:bodyPr>
                      </wps:wsp>
                      <wps:wsp>
                        <wps:cNvPr id="796" name="Graphic 796"/>
                        <wps:cNvSpPr/>
                        <wps:spPr>
                          <a:xfrm>
                            <a:off x="1" y="3175"/>
                            <a:ext cx="978535" cy="1270"/>
                          </a:xfrm>
                          <a:custGeom>
                            <a:avLst/>
                            <a:gdLst/>
                            <a:ahLst/>
                            <a:cxnLst/>
                            <a:rect l="l" t="t" r="r" b="b"/>
                            <a:pathLst>
                              <a:path w="978535" h="0">
                                <a:moveTo>
                                  <a:pt x="0" y="0"/>
                                </a:moveTo>
                                <a:lnTo>
                                  <a:pt x="978001" y="0"/>
                                </a:lnTo>
                              </a:path>
                            </a:pathLst>
                          </a:custGeom>
                          <a:ln w="6350">
                            <a:solidFill>
                              <a:srgbClr val="000000"/>
                            </a:solidFill>
                            <a:prstDash val="solid"/>
                          </a:ln>
                        </wps:spPr>
                        <wps:bodyPr wrap="square" lIns="0" tIns="0" rIns="0" bIns="0" rtlCol="0">
                          <a:prstTxWarp prst="textNoShape">
                            <a:avLst/>
                          </a:prstTxWarp>
                          <a:noAutofit/>
                        </wps:bodyPr>
                      </wps:wsp>
                      <wps:wsp>
                        <wps:cNvPr id="797" name="Graphic 797"/>
                        <wps:cNvSpPr/>
                        <wps:spPr>
                          <a:xfrm>
                            <a:off x="978000" y="3175"/>
                            <a:ext cx="978535" cy="1270"/>
                          </a:xfrm>
                          <a:custGeom>
                            <a:avLst/>
                            <a:gdLst/>
                            <a:ahLst/>
                            <a:cxnLst/>
                            <a:rect l="l" t="t" r="r" b="b"/>
                            <a:pathLst>
                              <a:path w="978535" h="0">
                                <a:moveTo>
                                  <a:pt x="0" y="0"/>
                                </a:moveTo>
                                <a:lnTo>
                                  <a:pt x="978001" y="0"/>
                                </a:lnTo>
                              </a:path>
                            </a:pathLst>
                          </a:custGeom>
                          <a:ln w="6350">
                            <a:solidFill>
                              <a:srgbClr val="000000"/>
                            </a:solidFill>
                            <a:prstDash val="solid"/>
                          </a:ln>
                        </wps:spPr>
                        <wps:bodyPr wrap="square" lIns="0" tIns="0" rIns="0" bIns="0" rtlCol="0">
                          <a:prstTxWarp prst="textNoShape">
                            <a:avLst/>
                          </a:prstTxWarp>
                          <a:noAutofit/>
                        </wps:bodyPr>
                      </wps:wsp>
                      <wps:wsp>
                        <wps:cNvPr id="798" name="Graphic 798"/>
                        <wps:cNvSpPr/>
                        <wps:spPr>
                          <a:xfrm>
                            <a:off x="1956000" y="3175"/>
                            <a:ext cx="978535" cy="1270"/>
                          </a:xfrm>
                          <a:custGeom>
                            <a:avLst/>
                            <a:gdLst/>
                            <a:ahLst/>
                            <a:cxnLst/>
                            <a:rect l="l" t="t" r="r" b="b"/>
                            <a:pathLst>
                              <a:path w="978535" h="0">
                                <a:moveTo>
                                  <a:pt x="0" y="0"/>
                                </a:moveTo>
                                <a:lnTo>
                                  <a:pt x="978001" y="0"/>
                                </a:lnTo>
                              </a:path>
                            </a:pathLst>
                          </a:custGeom>
                          <a:ln w="6350">
                            <a:solidFill>
                              <a:srgbClr val="000000"/>
                            </a:solidFill>
                            <a:prstDash val="solid"/>
                          </a:ln>
                        </wps:spPr>
                        <wps:bodyPr wrap="square" lIns="0" tIns="0" rIns="0" bIns="0" rtlCol="0">
                          <a:prstTxWarp prst="textNoShape">
                            <a:avLst/>
                          </a:prstTxWarp>
                          <a:noAutofit/>
                        </wps:bodyPr>
                      </wps:wsp>
                      <wps:wsp>
                        <wps:cNvPr id="799" name="Textbox 799"/>
                        <wps:cNvSpPr txBox="1"/>
                        <wps:spPr>
                          <a:xfrm>
                            <a:off x="36116" y="19597"/>
                            <a:ext cx="836294" cy="241935"/>
                          </a:xfrm>
                          <a:prstGeom prst="rect">
                            <a:avLst/>
                          </a:prstGeom>
                        </wps:spPr>
                        <wps:txbx>
                          <w:txbxContent>
                            <w:p>
                              <w:pPr>
                                <w:spacing w:before="16"/>
                                <w:ind w:left="0" w:right="0" w:firstLine="0"/>
                                <w:jc w:val="left"/>
                                <w:rPr>
                                  <w:rFonts w:ascii="TT Norms Pro Light"/>
                                  <w:b w:val="0"/>
                                  <w:sz w:val="14"/>
                                </w:rPr>
                              </w:pPr>
                              <w:r>
                                <w:rPr>
                                  <w:rFonts w:ascii="TT Norms Pro Light"/>
                                  <w:b w:val="0"/>
                                  <w:sz w:val="14"/>
                                </w:rPr>
                                <w:t>Gross</w:t>
                              </w:r>
                              <w:r>
                                <w:rPr>
                                  <w:rFonts w:ascii="TT Norms Pro Light"/>
                                  <w:b w:val="0"/>
                                  <w:spacing w:val="4"/>
                                  <w:sz w:val="14"/>
                                </w:rPr>
                                <w:t> </w:t>
                              </w:r>
                              <w:r>
                                <w:rPr>
                                  <w:rFonts w:ascii="TT Norms Pro Light"/>
                                  <w:b w:val="0"/>
                                  <w:sz w:val="14"/>
                                </w:rPr>
                                <w:t>Floor</w:t>
                              </w:r>
                              <w:r>
                                <w:rPr>
                                  <w:rFonts w:ascii="TT Norms Pro Light"/>
                                  <w:b w:val="0"/>
                                  <w:spacing w:val="7"/>
                                  <w:sz w:val="14"/>
                                </w:rPr>
                                <w:t> </w:t>
                              </w:r>
                              <w:r>
                                <w:rPr>
                                  <w:rFonts w:ascii="TT Norms Pro Light"/>
                                  <w:b w:val="0"/>
                                  <w:sz w:val="14"/>
                                </w:rPr>
                                <w:t>Area</w:t>
                              </w:r>
                              <w:r>
                                <w:rPr>
                                  <w:rFonts w:ascii="TT Norms Pro Light"/>
                                  <w:b w:val="0"/>
                                  <w:spacing w:val="7"/>
                                  <w:sz w:val="14"/>
                                </w:rPr>
                                <w:t> </w:t>
                              </w:r>
                              <w:r>
                                <w:rPr>
                                  <w:rFonts w:ascii="TT Norms Pro Light"/>
                                  <w:b w:val="0"/>
                                  <w:spacing w:val="-5"/>
                                  <w:sz w:val="14"/>
                                </w:rPr>
                                <w:t>per</w:t>
                              </w:r>
                            </w:p>
                            <w:p>
                              <w:pPr>
                                <w:spacing w:before="37"/>
                                <w:ind w:left="0" w:right="0" w:firstLine="0"/>
                                <w:jc w:val="left"/>
                                <w:rPr>
                                  <w:rFonts w:ascii="TT Norms Pro Light"/>
                                  <w:b w:val="0"/>
                                  <w:sz w:val="14"/>
                                </w:rPr>
                              </w:pPr>
                              <w:r>
                                <w:rPr>
                                  <w:rFonts w:ascii="TT Norms Pro Light"/>
                                  <w:b w:val="0"/>
                                  <w:sz w:val="14"/>
                                </w:rPr>
                                <w:t>Person</w:t>
                              </w:r>
                              <w:r>
                                <w:rPr>
                                  <w:rFonts w:ascii="TT Norms Pro Light"/>
                                  <w:b w:val="0"/>
                                  <w:spacing w:val="9"/>
                                  <w:sz w:val="14"/>
                                </w:rPr>
                                <w:t> </w:t>
                              </w:r>
                              <w:r>
                                <w:rPr>
                                  <w:rFonts w:ascii="TT Norms Pro Light"/>
                                  <w:b w:val="0"/>
                                  <w:spacing w:val="-4"/>
                                  <w:sz w:val="14"/>
                                </w:rPr>
                                <w:t>(m</w:t>
                              </w:r>
                              <w:r>
                                <w:rPr>
                                  <w:rFonts w:ascii="TT Norms Pro Light"/>
                                  <w:b w:val="0"/>
                                  <w:spacing w:val="-4"/>
                                  <w:position w:val="5"/>
                                  <w:sz w:val="8"/>
                                </w:rPr>
                                <w:t>2</w:t>
                              </w:r>
                              <w:r>
                                <w:rPr>
                                  <w:rFonts w:ascii="TT Norms Pro Light"/>
                                  <w:b w:val="0"/>
                                  <w:spacing w:val="-4"/>
                                  <w:sz w:val="14"/>
                                </w:rPr>
                                <w:t>)</w:t>
                              </w:r>
                            </w:p>
                          </w:txbxContent>
                        </wps:txbx>
                        <wps:bodyPr wrap="square" lIns="0" tIns="0" rIns="0" bIns="0" rtlCol="0">
                          <a:noAutofit/>
                        </wps:bodyPr>
                      </wps:wsp>
                      <wps:wsp>
                        <wps:cNvPr id="800" name="Textbox 800"/>
                        <wps:cNvSpPr txBox="1"/>
                        <wps:spPr>
                          <a:xfrm>
                            <a:off x="1763675" y="83141"/>
                            <a:ext cx="169545" cy="114935"/>
                          </a:xfrm>
                          <a:prstGeom prst="rect">
                            <a:avLst/>
                          </a:prstGeom>
                        </wps:spPr>
                        <wps:txbx>
                          <w:txbxContent>
                            <w:p>
                              <w:pPr>
                                <w:spacing w:before="17"/>
                                <w:ind w:left="0" w:right="0" w:firstLine="0"/>
                                <w:jc w:val="left"/>
                                <w:rPr>
                                  <w:rFonts w:ascii="TT Norms Pro Light"/>
                                  <w:b w:val="0"/>
                                  <w:sz w:val="14"/>
                                </w:rPr>
                              </w:pPr>
                              <w:r>
                                <w:rPr>
                                  <w:rFonts w:ascii="TT Norms Pro Light"/>
                                  <w:b w:val="0"/>
                                  <w:spacing w:val="-4"/>
                                  <w:sz w:val="14"/>
                                </w:rPr>
                                <w:t>18.3</w:t>
                              </w:r>
                            </w:p>
                          </w:txbxContent>
                        </wps:txbx>
                        <wps:bodyPr wrap="square" lIns="0" tIns="0" rIns="0" bIns="0" rtlCol="0">
                          <a:noAutofit/>
                        </wps:bodyPr>
                      </wps:wsp>
                      <wps:wsp>
                        <wps:cNvPr id="801" name="Textbox 801"/>
                        <wps:cNvSpPr txBox="1"/>
                        <wps:spPr>
                          <a:xfrm>
                            <a:off x="2742197" y="83141"/>
                            <a:ext cx="169545" cy="114935"/>
                          </a:xfrm>
                          <a:prstGeom prst="rect">
                            <a:avLst/>
                          </a:prstGeom>
                        </wps:spPr>
                        <wps:txbx>
                          <w:txbxContent>
                            <w:p>
                              <w:pPr>
                                <w:spacing w:before="17"/>
                                <w:ind w:left="0" w:right="0" w:firstLine="0"/>
                                <w:jc w:val="left"/>
                                <w:rPr>
                                  <w:rFonts w:ascii="TT Norms Pro Light"/>
                                  <w:b w:val="0"/>
                                  <w:sz w:val="14"/>
                                </w:rPr>
                              </w:pPr>
                              <w:r>
                                <w:rPr>
                                  <w:rFonts w:ascii="TT Norms Pro Light"/>
                                  <w:b w:val="0"/>
                                  <w:spacing w:val="-4"/>
                                  <w:sz w:val="14"/>
                                </w:rPr>
                                <w:t>18.0</w:t>
                              </w:r>
                            </w:p>
                          </w:txbxContent>
                        </wps:txbx>
                        <wps:bodyPr wrap="square" lIns="0" tIns="0" rIns="0" bIns="0" rtlCol="0">
                          <a:noAutofit/>
                        </wps:bodyPr>
                      </wps:wsp>
                    </wpg:wgp>
                  </a:graphicData>
                </a:graphic>
              </wp:anchor>
            </w:drawing>
          </mc:Choice>
          <mc:Fallback>
            <w:pict>
              <v:group style="position:absolute;margin-left:307.55899pt;margin-top:5.2924pt;width:231.05pt;height:21.9pt;mso-position-horizontal-relative:page;mso-position-vertical-relative:paragraph;z-index:-15602688;mso-wrap-distance-left:0;mso-wrap-distance-right:0" id="docshapegroup516" coordorigin="6151,106" coordsize="4621,438">
                <v:shape style="position:absolute;left:6151;top:110;width:4621;height:433" id="docshape517" coordorigin="6151,111" coordsize="4621,433" path="m10772,111l9232,111,7691,111,6151,111,6151,543,7691,543,9232,543,10772,543,10772,111xe" filled="true" fillcolor="#e6e7e8" stroked="false">
                  <v:path arrowok="t"/>
                  <v:fill type="solid"/>
                </v:shape>
                <v:line style="position:absolute" from="6151,111" to="7691,111" stroked="true" strokeweight=".5pt" strokecolor="#000000">
                  <v:stroke dashstyle="solid"/>
                </v:line>
                <v:line style="position:absolute" from="7691,111" to="9231,111" stroked="true" strokeweight=".5pt" strokecolor="#000000">
                  <v:stroke dashstyle="solid"/>
                </v:line>
                <v:line style="position:absolute" from="9231,111" to="10772,111" stroked="true" strokeweight=".5pt" strokecolor="#000000">
                  <v:stroke dashstyle="solid"/>
                </v:line>
                <v:shape style="position:absolute;left:6208;top:136;width:1317;height:381" type="#_x0000_t202" id="docshape518" filled="false" stroked="false">
                  <v:textbox inset="0,0,0,0">
                    <w:txbxContent>
                      <w:p>
                        <w:pPr>
                          <w:spacing w:before="16"/>
                          <w:ind w:left="0" w:right="0" w:firstLine="0"/>
                          <w:jc w:val="left"/>
                          <w:rPr>
                            <w:rFonts w:ascii="TT Norms Pro Light"/>
                            <w:b w:val="0"/>
                            <w:sz w:val="14"/>
                          </w:rPr>
                        </w:pPr>
                        <w:r>
                          <w:rPr>
                            <w:rFonts w:ascii="TT Norms Pro Light"/>
                            <w:b w:val="0"/>
                            <w:sz w:val="14"/>
                          </w:rPr>
                          <w:t>Gross</w:t>
                        </w:r>
                        <w:r>
                          <w:rPr>
                            <w:rFonts w:ascii="TT Norms Pro Light"/>
                            <w:b w:val="0"/>
                            <w:spacing w:val="4"/>
                            <w:sz w:val="14"/>
                          </w:rPr>
                          <w:t> </w:t>
                        </w:r>
                        <w:r>
                          <w:rPr>
                            <w:rFonts w:ascii="TT Norms Pro Light"/>
                            <w:b w:val="0"/>
                            <w:sz w:val="14"/>
                          </w:rPr>
                          <w:t>Floor</w:t>
                        </w:r>
                        <w:r>
                          <w:rPr>
                            <w:rFonts w:ascii="TT Norms Pro Light"/>
                            <w:b w:val="0"/>
                            <w:spacing w:val="7"/>
                            <w:sz w:val="14"/>
                          </w:rPr>
                          <w:t> </w:t>
                        </w:r>
                        <w:r>
                          <w:rPr>
                            <w:rFonts w:ascii="TT Norms Pro Light"/>
                            <w:b w:val="0"/>
                            <w:sz w:val="14"/>
                          </w:rPr>
                          <w:t>Area</w:t>
                        </w:r>
                        <w:r>
                          <w:rPr>
                            <w:rFonts w:ascii="TT Norms Pro Light"/>
                            <w:b w:val="0"/>
                            <w:spacing w:val="7"/>
                            <w:sz w:val="14"/>
                          </w:rPr>
                          <w:t> </w:t>
                        </w:r>
                        <w:r>
                          <w:rPr>
                            <w:rFonts w:ascii="TT Norms Pro Light"/>
                            <w:b w:val="0"/>
                            <w:spacing w:val="-5"/>
                            <w:sz w:val="14"/>
                          </w:rPr>
                          <w:t>per</w:t>
                        </w:r>
                      </w:p>
                      <w:p>
                        <w:pPr>
                          <w:spacing w:before="37"/>
                          <w:ind w:left="0" w:right="0" w:firstLine="0"/>
                          <w:jc w:val="left"/>
                          <w:rPr>
                            <w:rFonts w:ascii="TT Norms Pro Light"/>
                            <w:b w:val="0"/>
                            <w:sz w:val="14"/>
                          </w:rPr>
                        </w:pPr>
                        <w:r>
                          <w:rPr>
                            <w:rFonts w:ascii="TT Norms Pro Light"/>
                            <w:b w:val="0"/>
                            <w:sz w:val="14"/>
                          </w:rPr>
                          <w:t>Person</w:t>
                        </w:r>
                        <w:r>
                          <w:rPr>
                            <w:rFonts w:ascii="TT Norms Pro Light"/>
                            <w:b w:val="0"/>
                            <w:spacing w:val="9"/>
                            <w:sz w:val="14"/>
                          </w:rPr>
                          <w:t> </w:t>
                        </w:r>
                        <w:r>
                          <w:rPr>
                            <w:rFonts w:ascii="TT Norms Pro Light"/>
                            <w:b w:val="0"/>
                            <w:spacing w:val="-4"/>
                            <w:sz w:val="14"/>
                          </w:rPr>
                          <w:t>(m</w:t>
                        </w:r>
                        <w:r>
                          <w:rPr>
                            <w:rFonts w:ascii="TT Norms Pro Light"/>
                            <w:b w:val="0"/>
                            <w:spacing w:val="-4"/>
                            <w:position w:val="5"/>
                            <w:sz w:val="8"/>
                          </w:rPr>
                          <w:t>2</w:t>
                        </w:r>
                        <w:r>
                          <w:rPr>
                            <w:rFonts w:ascii="TT Norms Pro Light"/>
                            <w:b w:val="0"/>
                            <w:spacing w:val="-4"/>
                            <w:sz w:val="14"/>
                          </w:rPr>
                          <w:t>)</w:t>
                        </w:r>
                      </w:p>
                    </w:txbxContent>
                  </v:textbox>
                  <w10:wrap type="none"/>
                </v:shape>
                <v:shape style="position:absolute;left:8928;top:236;width:267;height:181" type="#_x0000_t202" id="docshape519" filled="false" stroked="false">
                  <v:textbox inset="0,0,0,0">
                    <w:txbxContent>
                      <w:p>
                        <w:pPr>
                          <w:spacing w:before="17"/>
                          <w:ind w:left="0" w:right="0" w:firstLine="0"/>
                          <w:jc w:val="left"/>
                          <w:rPr>
                            <w:rFonts w:ascii="TT Norms Pro Light"/>
                            <w:b w:val="0"/>
                            <w:sz w:val="14"/>
                          </w:rPr>
                        </w:pPr>
                        <w:r>
                          <w:rPr>
                            <w:rFonts w:ascii="TT Norms Pro Light"/>
                            <w:b w:val="0"/>
                            <w:spacing w:val="-4"/>
                            <w:sz w:val="14"/>
                          </w:rPr>
                          <w:t>18.3</w:t>
                        </w:r>
                      </w:p>
                    </w:txbxContent>
                  </v:textbox>
                  <w10:wrap type="none"/>
                </v:shape>
                <v:shape style="position:absolute;left:10469;top:236;width:267;height:181" type="#_x0000_t202" id="docshape520" filled="false" stroked="false">
                  <v:textbox inset="0,0,0,0">
                    <w:txbxContent>
                      <w:p>
                        <w:pPr>
                          <w:spacing w:before="17"/>
                          <w:ind w:left="0" w:right="0" w:firstLine="0"/>
                          <w:jc w:val="left"/>
                          <w:rPr>
                            <w:rFonts w:ascii="TT Norms Pro Light"/>
                            <w:b w:val="0"/>
                            <w:sz w:val="14"/>
                          </w:rPr>
                        </w:pPr>
                        <w:r>
                          <w:rPr>
                            <w:rFonts w:ascii="TT Norms Pro Light"/>
                            <w:b w:val="0"/>
                            <w:spacing w:val="-4"/>
                            <w:sz w:val="14"/>
                          </w:rPr>
                          <w:t>18.0</w:t>
                        </w:r>
                      </w:p>
                    </w:txbxContent>
                  </v:textbox>
                  <w10:wrap type="none"/>
                </v:shape>
                <w10:wrap type="topAndBottom"/>
              </v:group>
            </w:pict>
          </mc:Fallback>
        </mc:AlternateContent>
      </w:r>
    </w:p>
    <w:p>
      <w:pPr>
        <w:pStyle w:val="BodyText"/>
        <w:spacing w:before="58"/>
        <w:rPr>
          <w:rFonts w:ascii="TT Norms Pro"/>
          <w:b/>
          <w:sz w:val="14"/>
        </w:rPr>
      </w:pPr>
    </w:p>
    <w:p>
      <w:pPr>
        <w:spacing w:line="264" w:lineRule="auto" w:before="0"/>
        <w:ind w:left="213" w:right="1472" w:firstLine="0"/>
        <w:jc w:val="left"/>
        <w:rPr>
          <w:rFonts w:ascii="TT Norms Pro Light"/>
          <w:b w:val="0"/>
          <w:sz w:val="14"/>
        </w:rPr>
      </w:pPr>
      <w:r>
        <w:rPr>
          <w:rFonts w:ascii="TT Norms Pro"/>
          <w:b/>
          <w:sz w:val="14"/>
        </w:rPr>
        <w:t>Data source: </w:t>
      </w:r>
      <w:r>
        <w:rPr>
          <w:rFonts w:ascii="TT Norms Pro Light"/>
          <w:b w:val="0"/>
          <w:sz w:val="14"/>
        </w:rPr>
        <w:t>The student load (EFTSL) and staff FTE are taken from</w:t>
      </w:r>
      <w:r>
        <w:rPr>
          <w:rFonts w:ascii="TT Norms Pro Light"/>
          <w:b w:val="0"/>
          <w:spacing w:val="40"/>
          <w:sz w:val="14"/>
        </w:rPr>
        <w:t> </w:t>
      </w:r>
      <w:r>
        <w:rPr>
          <w:rFonts w:ascii="TT Norms Pro Light"/>
          <w:b w:val="0"/>
          <w:sz w:val="14"/>
        </w:rPr>
        <w:t>an</w:t>
      </w:r>
      <w:r>
        <w:rPr>
          <w:rFonts w:ascii="TT Norms Pro Light"/>
          <w:b w:val="0"/>
          <w:spacing w:val="8"/>
          <w:sz w:val="14"/>
        </w:rPr>
        <w:t> </w:t>
      </w:r>
      <w:r>
        <w:rPr>
          <w:rFonts w:ascii="TT Norms Pro Light"/>
          <w:b w:val="0"/>
          <w:sz w:val="14"/>
        </w:rPr>
        <w:t>internal</w:t>
      </w:r>
      <w:r>
        <w:rPr>
          <w:rFonts w:ascii="TT Norms Pro Light"/>
          <w:b w:val="0"/>
          <w:spacing w:val="10"/>
          <w:sz w:val="14"/>
        </w:rPr>
        <w:t> </w:t>
      </w:r>
      <w:r>
        <w:rPr>
          <w:rFonts w:ascii="TT Norms Pro Light"/>
          <w:b w:val="0"/>
          <w:sz w:val="14"/>
        </w:rPr>
        <w:t>management</w:t>
      </w:r>
      <w:r>
        <w:rPr>
          <w:rFonts w:ascii="TT Norms Pro Light"/>
          <w:b w:val="0"/>
          <w:spacing w:val="11"/>
          <w:sz w:val="14"/>
        </w:rPr>
        <w:t> </w:t>
      </w:r>
      <w:r>
        <w:rPr>
          <w:rFonts w:ascii="TT Norms Pro Light"/>
          <w:b w:val="0"/>
          <w:sz w:val="14"/>
        </w:rPr>
        <w:t>reporting</w:t>
      </w:r>
      <w:r>
        <w:rPr>
          <w:rFonts w:ascii="TT Norms Pro Light"/>
          <w:b w:val="0"/>
          <w:spacing w:val="10"/>
          <w:sz w:val="14"/>
        </w:rPr>
        <w:t> </w:t>
      </w:r>
      <w:r>
        <w:rPr>
          <w:rFonts w:ascii="TT Norms Pro Light"/>
          <w:b w:val="0"/>
          <w:sz w:val="14"/>
        </w:rPr>
        <w:t>data</w:t>
      </w:r>
      <w:r>
        <w:rPr>
          <w:rFonts w:ascii="TT Norms Pro Light"/>
          <w:b w:val="0"/>
          <w:spacing w:val="11"/>
          <w:sz w:val="14"/>
        </w:rPr>
        <w:t> </w:t>
      </w:r>
      <w:r>
        <w:rPr>
          <w:rFonts w:ascii="TT Norms Pro Light"/>
          <w:b w:val="0"/>
          <w:sz w:val="14"/>
        </w:rPr>
        <w:t>source.</w:t>
      </w:r>
      <w:r>
        <w:rPr>
          <w:rFonts w:ascii="TT Norms Pro Light"/>
          <w:b w:val="0"/>
          <w:spacing w:val="10"/>
          <w:sz w:val="14"/>
        </w:rPr>
        <w:t> </w:t>
      </w:r>
      <w:r>
        <w:rPr>
          <w:rFonts w:ascii="TT Norms Pro Light"/>
          <w:b w:val="0"/>
          <w:sz w:val="14"/>
        </w:rPr>
        <w:t>Campus</w:t>
      </w:r>
      <w:r>
        <w:rPr>
          <w:rFonts w:ascii="TT Norms Pro Light"/>
          <w:b w:val="0"/>
          <w:spacing w:val="11"/>
          <w:sz w:val="14"/>
        </w:rPr>
        <w:t> </w:t>
      </w:r>
      <w:r>
        <w:rPr>
          <w:rFonts w:ascii="TT Norms Pro Light"/>
          <w:b w:val="0"/>
          <w:spacing w:val="-2"/>
          <w:sz w:val="14"/>
        </w:rPr>
        <w:t>information</w:t>
      </w:r>
    </w:p>
    <w:p>
      <w:pPr>
        <w:spacing w:line="264" w:lineRule="auto" w:before="0"/>
        <w:ind w:left="213" w:right="1336" w:firstLine="0"/>
        <w:jc w:val="left"/>
        <w:rPr>
          <w:rFonts w:ascii="TT Norms Pro Light"/>
          <w:b w:val="0"/>
          <w:sz w:val="14"/>
        </w:rPr>
      </w:pPr>
      <w:r>
        <w:rPr>
          <w:rFonts w:ascii="TT Norms Pro Light"/>
          <w:b w:val="0"/>
          <w:sz w:val="14"/>
        </w:rPr>
        <w:t>was taken from information shared with the Tertiary Education Facilities</w:t>
      </w:r>
      <w:r>
        <w:rPr>
          <w:rFonts w:ascii="TT Norms Pro Light"/>
          <w:b w:val="0"/>
          <w:spacing w:val="40"/>
          <w:sz w:val="14"/>
        </w:rPr>
        <w:t> </w:t>
      </w:r>
      <w:r>
        <w:rPr>
          <w:rFonts w:ascii="TT Norms Pro Light"/>
          <w:b w:val="0"/>
          <w:sz w:val="14"/>
        </w:rPr>
        <w:t>Management Association. 2019 is the most current year available</w:t>
      </w:r>
    </w:p>
    <w:p>
      <w:pPr>
        <w:spacing w:line="164" w:lineRule="exact" w:before="0"/>
        <w:ind w:left="213" w:right="0" w:firstLine="0"/>
        <w:jc w:val="left"/>
        <w:rPr>
          <w:rFonts w:ascii="TT Norms Pro Light"/>
          <w:b w:val="0"/>
          <w:sz w:val="14"/>
        </w:rPr>
      </w:pPr>
      <w:r>
        <w:rPr>
          <w:rFonts w:ascii="TT Norms Pro Light"/>
          <w:b w:val="0"/>
          <w:sz w:val="14"/>
        </w:rPr>
        <w:t>for</w:t>
      </w:r>
      <w:r>
        <w:rPr>
          <w:rFonts w:ascii="TT Norms Pro Light"/>
          <w:b w:val="0"/>
          <w:spacing w:val="1"/>
          <w:sz w:val="14"/>
        </w:rPr>
        <w:t> </w:t>
      </w:r>
      <w:r>
        <w:rPr>
          <w:rFonts w:ascii="TT Norms Pro Light"/>
          <w:b w:val="0"/>
          <w:spacing w:val="-2"/>
          <w:sz w:val="14"/>
        </w:rPr>
        <w:t>reporting.</w:t>
      </w:r>
    </w:p>
    <w:p>
      <w:pPr>
        <w:spacing w:line="264" w:lineRule="auto" w:before="129"/>
        <w:ind w:left="213" w:right="2098" w:firstLine="0"/>
        <w:jc w:val="left"/>
        <w:rPr>
          <w:rFonts w:ascii="TT Norms Pro Light"/>
          <w:b w:val="0"/>
          <w:sz w:val="14"/>
        </w:rPr>
      </w:pPr>
      <w:r>
        <w:rPr>
          <w:rFonts w:ascii="TT Norms Pro"/>
          <w:b/>
          <w:sz w:val="14"/>
        </w:rPr>
        <w:t>Notes: </w:t>
      </w:r>
      <w:r>
        <w:rPr>
          <w:rFonts w:ascii="TT Norms Pro Light"/>
          <w:b w:val="0"/>
          <w:sz w:val="14"/>
        </w:rPr>
        <w:t>This indicator is new and was not included in the</w:t>
      </w:r>
      <w:r>
        <w:rPr>
          <w:rFonts w:ascii="TT Norms Pro Light"/>
          <w:b w:val="0"/>
          <w:spacing w:val="40"/>
          <w:sz w:val="14"/>
        </w:rPr>
        <w:t> </w:t>
      </w:r>
      <w:r>
        <w:rPr>
          <w:rFonts w:ascii="TT Norms Pro Light"/>
          <w:b w:val="0"/>
          <w:sz w:val="14"/>
        </w:rPr>
        <w:t>2019 Annual Report.</w:t>
      </w:r>
    </w:p>
    <w:p>
      <w:pPr>
        <w:spacing w:after="0" w:line="264" w:lineRule="auto"/>
        <w:jc w:val="left"/>
        <w:rPr>
          <w:rFonts w:ascii="TT Norms Pro Light"/>
          <w:sz w:val="14"/>
        </w:rPr>
        <w:sectPr>
          <w:type w:val="continuous"/>
          <w:pgSz w:w="11910" w:h="16840"/>
          <w:pgMar w:header="468" w:footer="0" w:top="980" w:bottom="280" w:left="920" w:right="0"/>
          <w:cols w:num="2" w:equalWidth="0">
            <w:col w:w="4875" w:space="142"/>
            <w:col w:w="5973"/>
          </w:cols>
        </w:sectPr>
      </w:pPr>
    </w:p>
    <w:p>
      <w:pPr>
        <w:pStyle w:val="Heading4"/>
        <w:numPr>
          <w:ilvl w:val="0"/>
          <w:numId w:val="8"/>
        </w:numPr>
        <w:tabs>
          <w:tab w:pos="587" w:val="left" w:leader="none"/>
        </w:tabs>
        <w:spacing w:line="240" w:lineRule="auto" w:before="115" w:after="0"/>
        <w:ind w:left="587" w:right="0" w:hanging="374"/>
        <w:jc w:val="left"/>
      </w:pPr>
      <w:r>
        <w:rPr>
          <w:color w:val="242021"/>
          <w:w w:val="60"/>
          <w:position w:val="2"/>
          <w:sz w:val="69"/>
        </w:rPr>
        <w:t>|</w:t>
      </w:r>
      <w:r>
        <w:rPr>
          <w:color w:val="242021"/>
          <w:spacing w:val="-42"/>
          <w:w w:val="95"/>
          <w:position w:val="2"/>
          <w:sz w:val="69"/>
        </w:rPr>
        <w:t> </w:t>
      </w:r>
      <w:r>
        <w:rPr>
          <w:w w:val="95"/>
        </w:rPr>
        <w:t>People</w:t>
      </w:r>
      <w:r>
        <w:rPr>
          <w:spacing w:val="-2"/>
        </w:rPr>
        <w:t> </w:t>
      </w:r>
      <w:r>
        <w:rPr>
          <w:w w:val="95"/>
        </w:rPr>
        <w:t>and</w:t>
      </w:r>
      <w:r>
        <w:rPr>
          <w:spacing w:val="-1"/>
        </w:rPr>
        <w:t> </w:t>
      </w:r>
      <w:r>
        <w:rPr>
          <w:spacing w:val="-2"/>
          <w:w w:val="95"/>
        </w:rPr>
        <w:t>culture</w:t>
      </w:r>
    </w:p>
    <w:p>
      <w:pPr>
        <w:pStyle w:val="BodyText"/>
        <w:spacing w:before="177"/>
        <w:rPr>
          <w:rFonts w:ascii="TT Norms Pro"/>
          <w:b/>
          <w:sz w:val="20"/>
        </w:rPr>
      </w:pPr>
    </w:p>
    <w:p>
      <w:pPr>
        <w:spacing w:after="0"/>
        <w:rPr>
          <w:rFonts w:ascii="TT Norms Pro"/>
          <w:sz w:val="20"/>
        </w:rPr>
        <w:sectPr>
          <w:pgSz w:w="11910" w:h="16840"/>
          <w:pgMar w:header="468" w:footer="0" w:top="720" w:bottom="280" w:left="920" w:right="0"/>
        </w:sectPr>
      </w:pPr>
    </w:p>
    <w:p>
      <w:pPr>
        <w:spacing w:before="125"/>
        <w:ind w:left="213" w:right="0" w:firstLine="0"/>
        <w:jc w:val="left"/>
        <w:rPr>
          <w:rFonts w:ascii="TT Norms Pro"/>
          <w:b/>
          <w:sz w:val="18"/>
        </w:rPr>
      </w:pPr>
      <w:r>
        <w:rPr/>
        <mc:AlternateContent>
          <mc:Choice Requires="wps">
            <w:drawing>
              <wp:anchor distT="0" distB="0" distL="0" distR="0" allowOverlap="1" layoutInCell="1" locked="0" behindDoc="1" simplePos="0" relativeHeight="472710656">
                <wp:simplePos x="0" y="0"/>
                <wp:positionH relativeFrom="page">
                  <wp:posOffset>297002</wp:posOffset>
                </wp:positionH>
                <wp:positionV relativeFrom="page">
                  <wp:posOffset>4248798</wp:posOffset>
                </wp:positionV>
                <wp:extent cx="7263130" cy="5723255"/>
                <wp:effectExtent l="0" t="0" r="0" b="0"/>
                <wp:wrapNone/>
                <wp:docPr id="802" name="Group 802"/>
                <wp:cNvGraphicFramePr>
                  <a:graphicFrameLocks/>
                </wp:cNvGraphicFramePr>
                <a:graphic>
                  <a:graphicData uri="http://schemas.microsoft.com/office/word/2010/wordprocessingGroup">
                    <wpg:wgp>
                      <wpg:cNvPr id="802" name="Group 802"/>
                      <wpg:cNvGrpSpPr/>
                      <wpg:grpSpPr>
                        <a:xfrm>
                          <a:off x="0" y="0"/>
                          <a:ext cx="7263130" cy="5723255"/>
                          <a:chExt cx="7263130" cy="5723255"/>
                        </a:xfrm>
                      </wpg:grpSpPr>
                      <pic:pic>
                        <pic:nvPicPr>
                          <pic:cNvPr id="803" name="Image 803"/>
                          <pic:cNvPicPr/>
                        </pic:nvPicPr>
                        <pic:blipFill>
                          <a:blip r:embed="rId90" cstate="print"/>
                          <a:stretch>
                            <a:fillRect/>
                          </a:stretch>
                        </pic:blipFill>
                        <pic:spPr>
                          <a:xfrm>
                            <a:off x="422998" y="1511401"/>
                            <a:ext cx="6839991" cy="4211789"/>
                          </a:xfrm>
                          <a:prstGeom prst="rect">
                            <a:avLst/>
                          </a:prstGeom>
                        </pic:spPr>
                      </pic:pic>
                      <wps:wsp>
                        <wps:cNvPr id="804" name="Graphic 804"/>
                        <wps:cNvSpPr/>
                        <wps:spPr>
                          <a:xfrm>
                            <a:off x="0" y="0"/>
                            <a:ext cx="3609340" cy="1853564"/>
                          </a:xfrm>
                          <a:custGeom>
                            <a:avLst/>
                            <a:gdLst/>
                            <a:ahLst/>
                            <a:cxnLst/>
                            <a:rect l="l" t="t" r="r" b="b"/>
                            <a:pathLst>
                              <a:path w="3609340" h="1853564">
                                <a:moveTo>
                                  <a:pt x="3608997" y="0"/>
                                </a:moveTo>
                                <a:lnTo>
                                  <a:pt x="0" y="0"/>
                                </a:lnTo>
                                <a:lnTo>
                                  <a:pt x="0" y="1853209"/>
                                </a:lnTo>
                                <a:lnTo>
                                  <a:pt x="3608997" y="1853209"/>
                                </a:lnTo>
                                <a:lnTo>
                                  <a:pt x="3608997"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23.386pt;margin-top:334.551025pt;width:571.9pt;height:450.65pt;mso-position-horizontal-relative:page;mso-position-vertical-relative:page;z-index:-30605824" id="docshapegroup521" coordorigin="468,6691" coordsize="11438,9013">
                <v:shape style="position:absolute;left:1133;top:9071;width:10772;height:6633" type="#_x0000_t75" id="docshape522" stroked="false">
                  <v:imagedata r:id="rId90" o:title=""/>
                </v:shape>
                <v:rect style="position:absolute;left:467;top:6691;width:5684;height:2919" id="docshape523" filled="true" fillcolor="#ffffff" stroked="false">
                  <v:fill type="solid"/>
                </v:rect>
                <w10:wrap type="none"/>
              </v:group>
            </w:pict>
          </mc:Fallback>
        </mc:AlternateContent>
      </w:r>
      <w:r>
        <w:rPr>
          <w:rFonts w:ascii="TT Norms Pro"/>
          <w:b/>
          <w:sz w:val="18"/>
        </w:rPr>
        <w:t>Strategic</w:t>
      </w:r>
      <w:r>
        <w:rPr>
          <w:rFonts w:ascii="TT Norms Pro"/>
          <w:b/>
          <w:spacing w:val="8"/>
          <w:sz w:val="18"/>
        </w:rPr>
        <w:t> </w:t>
      </w:r>
      <w:r>
        <w:rPr>
          <w:rFonts w:ascii="TT Norms Pro"/>
          <w:b/>
          <w:spacing w:val="-4"/>
          <w:sz w:val="18"/>
        </w:rPr>
        <w:t>goal</w:t>
      </w:r>
    </w:p>
    <w:p>
      <w:pPr>
        <w:pStyle w:val="BodyText"/>
        <w:spacing w:line="295" w:lineRule="auto" w:before="50"/>
        <w:ind w:left="213" w:right="112"/>
        <w:rPr>
          <w:b w:val="0"/>
        </w:rPr>
      </w:pPr>
      <w:r>
        <w:rPr>
          <w:b w:val="0"/>
        </w:rPr>
        <w:t>UWA will be a remarkable place to work, attracting and</w:t>
      </w:r>
      <w:r>
        <w:rPr>
          <w:b w:val="0"/>
          <w:spacing w:val="40"/>
        </w:rPr>
        <w:t> </w:t>
      </w:r>
      <w:r>
        <w:rPr>
          <w:b w:val="0"/>
        </w:rPr>
        <w:t>retaining world-class staff from diverse backgrounds who</w:t>
      </w:r>
      <w:r>
        <w:rPr>
          <w:b w:val="0"/>
          <w:spacing w:val="40"/>
        </w:rPr>
        <w:t> </w:t>
      </w:r>
      <w:r>
        <w:rPr>
          <w:b w:val="0"/>
        </w:rPr>
        <w:t>want to build careers, drive change, provide leadership</w:t>
      </w:r>
      <w:r>
        <w:rPr>
          <w:b w:val="0"/>
          <w:spacing w:val="40"/>
        </w:rPr>
        <w:t> </w:t>
      </w:r>
      <w:r>
        <w:rPr>
          <w:b w:val="0"/>
        </w:rPr>
        <w:t>and create opportunities in an institution renowned for its</w:t>
      </w:r>
      <w:r>
        <w:rPr>
          <w:b w:val="0"/>
          <w:spacing w:val="40"/>
        </w:rPr>
        <w:t> </w:t>
      </w:r>
      <w:r>
        <w:rPr>
          <w:b w:val="0"/>
          <w:spacing w:val="-2"/>
        </w:rPr>
        <w:t>excellence.</w:t>
      </w:r>
    </w:p>
    <w:p>
      <w:pPr>
        <w:pStyle w:val="BodyText"/>
        <w:spacing w:before="49"/>
        <w:rPr>
          <w:b w:val="0"/>
        </w:rPr>
      </w:pPr>
    </w:p>
    <w:p>
      <w:pPr>
        <w:spacing w:before="0"/>
        <w:ind w:left="213" w:right="0" w:firstLine="0"/>
        <w:jc w:val="left"/>
        <w:rPr>
          <w:rFonts w:ascii="TT Norms Pro"/>
          <w:b/>
          <w:sz w:val="18"/>
        </w:rPr>
      </w:pPr>
      <w:r>
        <w:rPr>
          <w:rFonts w:ascii="TT Norms Pro"/>
          <w:b/>
          <w:sz w:val="18"/>
        </w:rPr>
        <w:t>Key</w:t>
      </w:r>
      <w:r>
        <w:rPr>
          <w:rFonts w:ascii="TT Norms Pro"/>
          <w:b/>
          <w:spacing w:val="3"/>
          <w:sz w:val="18"/>
        </w:rPr>
        <w:t> </w:t>
      </w:r>
      <w:r>
        <w:rPr>
          <w:rFonts w:ascii="TT Norms Pro"/>
          <w:b/>
          <w:sz w:val="18"/>
        </w:rPr>
        <w:t>performance</w:t>
      </w:r>
      <w:r>
        <w:rPr>
          <w:rFonts w:ascii="TT Norms Pro"/>
          <w:b/>
          <w:spacing w:val="6"/>
          <w:sz w:val="18"/>
        </w:rPr>
        <w:t> </w:t>
      </w:r>
      <w:r>
        <w:rPr>
          <w:rFonts w:ascii="TT Norms Pro"/>
          <w:b/>
          <w:spacing w:val="-2"/>
          <w:sz w:val="18"/>
        </w:rPr>
        <w:t>indicator</w:t>
      </w:r>
    </w:p>
    <w:p>
      <w:pPr>
        <w:pStyle w:val="BodyText"/>
        <w:spacing w:line="295" w:lineRule="auto" w:before="49"/>
        <w:ind w:left="213"/>
        <w:rPr>
          <w:b w:val="0"/>
        </w:rPr>
      </w:pPr>
      <w:r>
        <w:rPr>
          <w:b w:val="0"/>
        </w:rPr>
        <w:t>Achievement</w:t>
      </w:r>
      <w:r>
        <w:rPr>
          <w:b w:val="0"/>
          <w:spacing w:val="-2"/>
        </w:rPr>
        <w:t> </w:t>
      </w:r>
      <w:r>
        <w:rPr>
          <w:b w:val="0"/>
        </w:rPr>
        <w:t>of</w:t>
      </w:r>
      <w:r>
        <w:rPr>
          <w:b w:val="0"/>
          <w:spacing w:val="-2"/>
        </w:rPr>
        <w:t> </w:t>
      </w:r>
      <w:r>
        <w:rPr>
          <w:b w:val="0"/>
        </w:rPr>
        <w:t>this</w:t>
      </w:r>
      <w:r>
        <w:rPr>
          <w:b w:val="0"/>
          <w:spacing w:val="-2"/>
        </w:rPr>
        <w:t> </w:t>
      </w:r>
      <w:r>
        <w:rPr>
          <w:b w:val="0"/>
        </w:rPr>
        <w:t>goal</w:t>
      </w:r>
      <w:r>
        <w:rPr>
          <w:b w:val="0"/>
          <w:spacing w:val="-2"/>
        </w:rPr>
        <w:t> </w:t>
      </w:r>
      <w:r>
        <w:rPr>
          <w:b w:val="0"/>
        </w:rPr>
        <w:t>will</w:t>
      </w:r>
      <w:r>
        <w:rPr>
          <w:b w:val="0"/>
          <w:spacing w:val="-2"/>
        </w:rPr>
        <w:t> </w:t>
      </w:r>
      <w:r>
        <w:rPr>
          <w:b w:val="0"/>
        </w:rPr>
        <w:t>be</w:t>
      </w:r>
      <w:r>
        <w:rPr>
          <w:b w:val="0"/>
          <w:spacing w:val="-2"/>
        </w:rPr>
        <w:t> </w:t>
      </w:r>
      <w:r>
        <w:rPr>
          <w:b w:val="0"/>
        </w:rPr>
        <w:t>measured</w:t>
      </w:r>
      <w:r>
        <w:rPr>
          <w:b w:val="0"/>
          <w:spacing w:val="-2"/>
        </w:rPr>
        <w:t> </w:t>
      </w:r>
      <w:r>
        <w:rPr>
          <w:b w:val="0"/>
        </w:rPr>
        <w:t>by</w:t>
      </w:r>
      <w:r>
        <w:rPr>
          <w:b w:val="0"/>
          <w:spacing w:val="-2"/>
        </w:rPr>
        <w:t> </w:t>
      </w:r>
      <w:r>
        <w:rPr>
          <w:b w:val="0"/>
        </w:rPr>
        <w:t>the</w:t>
      </w:r>
      <w:r>
        <w:rPr>
          <w:b w:val="0"/>
          <w:spacing w:val="-2"/>
        </w:rPr>
        <w:t> </w:t>
      </w:r>
      <w:r>
        <w:rPr>
          <w:b w:val="0"/>
        </w:rPr>
        <w:t>following</w:t>
      </w:r>
      <w:r>
        <w:rPr>
          <w:b w:val="0"/>
          <w:spacing w:val="40"/>
        </w:rPr>
        <w:t> </w:t>
      </w:r>
      <w:r>
        <w:rPr>
          <w:b w:val="0"/>
        </w:rPr>
        <w:t>efficiency</w:t>
      </w:r>
      <w:r>
        <w:rPr>
          <w:b w:val="0"/>
          <w:spacing w:val="-5"/>
        </w:rPr>
        <w:t> </w:t>
      </w:r>
      <w:r>
        <w:rPr>
          <w:b w:val="0"/>
        </w:rPr>
        <w:t>indicator:</w:t>
      </w:r>
    </w:p>
    <w:p>
      <w:pPr>
        <w:pStyle w:val="BodyText"/>
        <w:spacing w:before="46"/>
        <w:rPr>
          <w:b w:val="0"/>
        </w:rPr>
      </w:pPr>
    </w:p>
    <w:p>
      <w:pPr>
        <w:pStyle w:val="ListParagraph"/>
        <w:numPr>
          <w:ilvl w:val="1"/>
          <w:numId w:val="8"/>
        </w:numPr>
        <w:tabs>
          <w:tab w:pos="551" w:val="left" w:leader="none"/>
        </w:tabs>
        <w:spacing w:line="240" w:lineRule="auto" w:before="1" w:after="0"/>
        <w:ind w:left="551" w:right="0" w:hanging="338"/>
        <w:jc w:val="left"/>
        <w:rPr>
          <w:rFonts w:ascii="TT Norms Pro Light"/>
          <w:b w:val="0"/>
          <w:sz w:val="18"/>
        </w:rPr>
      </w:pPr>
      <w:r>
        <w:rPr>
          <w:rFonts w:ascii="TT Norms Pro Light"/>
          <w:b w:val="0"/>
          <w:sz w:val="18"/>
        </w:rPr>
        <w:t>Staff</w:t>
      </w:r>
      <w:r>
        <w:rPr>
          <w:rFonts w:ascii="TT Norms Pro Light"/>
          <w:b w:val="0"/>
          <w:spacing w:val="-6"/>
          <w:sz w:val="18"/>
        </w:rPr>
        <w:t> </w:t>
      </w:r>
      <w:r>
        <w:rPr>
          <w:rFonts w:ascii="TT Norms Pro Light"/>
          <w:b w:val="0"/>
          <w:spacing w:val="-2"/>
          <w:sz w:val="18"/>
        </w:rPr>
        <w:t>turnover</w:t>
      </w:r>
    </w:p>
    <w:p>
      <w:pPr>
        <w:pStyle w:val="BodyText"/>
        <w:rPr>
          <w:b w:val="0"/>
        </w:rPr>
      </w:pPr>
    </w:p>
    <w:p>
      <w:pPr>
        <w:pStyle w:val="BodyText"/>
        <w:spacing w:before="177"/>
        <w:rPr>
          <w:b w:val="0"/>
        </w:rPr>
      </w:pPr>
    </w:p>
    <w:p>
      <w:pPr>
        <w:pStyle w:val="Heading9"/>
        <w:ind w:left="213"/>
      </w:pPr>
      <w:r>
        <w:rPr/>
        <w:t>5.1</w:t>
      </w:r>
      <w:r>
        <w:rPr>
          <w:spacing w:val="5"/>
        </w:rPr>
        <w:t> </w:t>
      </w:r>
      <w:r>
        <w:rPr/>
        <w:t>STAFF</w:t>
      </w:r>
      <w:r>
        <w:rPr>
          <w:spacing w:val="6"/>
        </w:rPr>
        <w:t> </w:t>
      </w:r>
      <w:r>
        <w:rPr>
          <w:spacing w:val="-2"/>
        </w:rPr>
        <w:t>TURNOVER</w:t>
      </w:r>
    </w:p>
    <w:p>
      <w:pPr>
        <w:pStyle w:val="BodyText"/>
        <w:spacing w:line="295" w:lineRule="auto" w:before="154"/>
        <w:ind w:left="213" w:right="95"/>
        <w:rPr>
          <w:b w:val="0"/>
        </w:rPr>
      </w:pPr>
      <w:r>
        <w:rPr>
          <w:b w:val="0"/>
        </w:rPr>
        <w:t>Appropriate management of voluntary staff turnover is an</w:t>
      </w:r>
      <w:r>
        <w:rPr>
          <w:b w:val="0"/>
          <w:spacing w:val="40"/>
        </w:rPr>
        <w:t> </w:t>
      </w:r>
      <w:r>
        <w:rPr>
          <w:b w:val="0"/>
        </w:rPr>
        <w:t>important aspect of operations and managing human</w:t>
      </w:r>
      <w:r>
        <w:rPr>
          <w:b w:val="0"/>
          <w:spacing w:val="40"/>
        </w:rPr>
        <w:t> </w:t>
      </w:r>
      <w:r>
        <w:rPr>
          <w:b w:val="0"/>
        </w:rPr>
        <w:t>resources. Although some staff turnover is expected,</w:t>
      </w:r>
      <w:r>
        <w:rPr>
          <w:b w:val="0"/>
          <w:spacing w:val="40"/>
        </w:rPr>
        <w:t> </w:t>
      </w:r>
      <w:r>
        <w:rPr>
          <w:b w:val="0"/>
        </w:rPr>
        <w:t>unplanned levels of voluntary separations can represent</w:t>
      </w:r>
      <w:r>
        <w:rPr>
          <w:b w:val="0"/>
          <w:spacing w:val="40"/>
        </w:rPr>
        <w:t> </w:t>
      </w:r>
      <w:r>
        <w:rPr>
          <w:b w:val="0"/>
        </w:rPr>
        <w:t>loss of key skills, reduced productivity and increased</w:t>
      </w:r>
      <w:r>
        <w:rPr>
          <w:b w:val="0"/>
          <w:spacing w:val="40"/>
        </w:rPr>
        <w:t> </w:t>
      </w:r>
      <w:r>
        <w:rPr>
          <w:b w:val="0"/>
        </w:rPr>
        <w:t>employee search costs. Staff turnover measures voluntary</w:t>
      </w:r>
      <w:r>
        <w:rPr>
          <w:b w:val="0"/>
          <w:spacing w:val="40"/>
        </w:rPr>
        <w:t> </w:t>
      </w:r>
      <w:r>
        <w:rPr>
          <w:b w:val="0"/>
        </w:rPr>
        <w:t>employee-initiated turnover within the University over an</w:t>
      </w:r>
      <w:r>
        <w:rPr>
          <w:b w:val="0"/>
          <w:spacing w:val="40"/>
        </w:rPr>
        <w:t> </w:t>
      </w:r>
      <w:r>
        <w:rPr>
          <w:b w:val="0"/>
        </w:rPr>
        <w:t>annual period and reveals the University’s ability to</w:t>
      </w:r>
      <w:r>
        <w:rPr>
          <w:b w:val="0"/>
          <w:spacing w:val="40"/>
        </w:rPr>
        <w:t> </w:t>
      </w:r>
      <w:r>
        <w:rPr>
          <w:b w:val="0"/>
        </w:rPr>
        <w:t>efficiently plan for staff who choose to leave employment</w:t>
      </w:r>
      <w:r>
        <w:rPr>
          <w:b w:val="0"/>
          <w:spacing w:val="40"/>
        </w:rPr>
        <w:t> </w:t>
      </w:r>
      <w:r>
        <w:rPr>
          <w:b w:val="0"/>
        </w:rPr>
        <w:t>at the University as a proportion of overall staff.</w:t>
      </w:r>
    </w:p>
    <w:p>
      <w:pPr>
        <w:pStyle w:val="BodyText"/>
        <w:spacing w:line="295" w:lineRule="auto" w:before="125"/>
        <w:ind w:left="213" w:right="1182"/>
        <w:rPr>
          <w:b w:val="0"/>
        </w:rPr>
      </w:pPr>
      <w:r>
        <w:rPr/>
        <w:br w:type="column"/>
      </w:r>
      <w:r>
        <w:rPr>
          <w:b w:val="0"/>
        </w:rPr>
        <w:t>The University has managed to maintain its voluntary staff</w:t>
      </w:r>
      <w:r>
        <w:rPr>
          <w:b w:val="0"/>
          <w:spacing w:val="40"/>
        </w:rPr>
        <w:t> </w:t>
      </w:r>
      <w:r>
        <w:rPr>
          <w:b w:val="0"/>
        </w:rPr>
        <w:t>turnover at acceptable levels this year and is also lower</w:t>
      </w:r>
      <w:r>
        <w:rPr>
          <w:b w:val="0"/>
          <w:spacing w:val="40"/>
        </w:rPr>
        <w:t> </w:t>
      </w:r>
      <w:r>
        <w:rPr>
          <w:b w:val="0"/>
        </w:rPr>
        <w:t>than the national average turnover rate of 8.9 per cent.</w:t>
      </w:r>
    </w:p>
    <w:p>
      <w:pPr>
        <w:pStyle w:val="BodyText"/>
        <w:spacing w:line="295" w:lineRule="auto" w:before="3"/>
        <w:ind w:left="213" w:right="1132"/>
        <w:rPr>
          <w:b w:val="0"/>
        </w:rPr>
      </w:pPr>
      <w:r>
        <w:rPr>
          <w:b w:val="0"/>
        </w:rPr>
        <w:t>Appropriate workforce planning and ensuring staff levels</w:t>
      </w:r>
      <w:r>
        <w:rPr>
          <w:b w:val="0"/>
          <w:spacing w:val="40"/>
        </w:rPr>
        <w:t> </w:t>
      </w:r>
      <w:r>
        <w:rPr>
          <w:b w:val="0"/>
        </w:rPr>
        <w:t>are</w:t>
      </w:r>
      <w:r>
        <w:rPr>
          <w:b w:val="0"/>
          <w:spacing w:val="-5"/>
        </w:rPr>
        <w:t> </w:t>
      </w:r>
      <w:r>
        <w:rPr>
          <w:b w:val="0"/>
        </w:rPr>
        <w:t>matched</w:t>
      </w:r>
      <w:r>
        <w:rPr>
          <w:b w:val="0"/>
          <w:spacing w:val="-5"/>
        </w:rPr>
        <w:t> </w:t>
      </w:r>
      <w:r>
        <w:rPr>
          <w:b w:val="0"/>
        </w:rPr>
        <w:t>to</w:t>
      </w:r>
      <w:r>
        <w:rPr>
          <w:b w:val="0"/>
          <w:spacing w:val="-5"/>
        </w:rPr>
        <w:t> </w:t>
      </w:r>
      <w:r>
        <w:rPr>
          <w:b w:val="0"/>
        </w:rPr>
        <w:t>required</w:t>
      </w:r>
      <w:r>
        <w:rPr>
          <w:b w:val="0"/>
          <w:spacing w:val="-5"/>
        </w:rPr>
        <w:t> </w:t>
      </w:r>
      <w:r>
        <w:rPr>
          <w:b w:val="0"/>
        </w:rPr>
        <w:t>workloads</w:t>
      </w:r>
      <w:r>
        <w:rPr>
          <w:b w:val="0"/>
          <w:spacing w:val="-5"/>
        </w:rPr>
        <w:t> </w:t>
      </w:r>
      <w:r>
        <w:rPr>
          <w:b w:val="0"/>
        </w:rPr>
        <w:t>will</w:t>
      </w:r>
      <w:r>
        <w:rPr>
          <w:b w:val="0"/>
          <w:spacing w:val="-5"/>
        </w:rPr>
        <w:t> </w:t>
      </w:r>
      <w:r>
        <w:rPr>
          <w:b w:val="0"/>
        </w:rPr>
        <w:t>be</w:t>
      </w:r>
      <w:r>
        <w:rPr>
          <w:b w:val="0"/>
          <w:spacing w:val="-5"/>
        </w:rPr>
        <w:t> </w:t>
      </w:r>
      <w:r>
        <w:rPr>
          <w:b w:val="0"/>
        </w:rPr>
        <w:t>a</w:t>
      </w:r>
      <w:r>
        <w:rPr>
          <w:b w:val="0"/>
          <w:spacing w:val="-5"/>
        </w:rPr>
        <w:t> </w:t>
      </w:r>
      <w:r>
        <w:rPr>
          <w:b w:val="0"/>
        </w:rPr>
        <w:t>priority</w:t>
      </w:r>
      <w:r>
        <w:rPr>
          <w:b w:val="0"/>
          <w:spacing w:val="-5"/>
        </w:rPr>
        <w:t> </w:t>
      </w:r>
      <w:r>
        <w:rPr>
          <w:b w:val="0"/>
        </w:rPr>
        <w:t>in</w:t>
      </w:r>
      <w:r>
        <w:rPr>
          <w:b w:val="0"/>
          <w:spacing w:val="-5"/>
        </w:rPr>
        <w:t> </w:t>
      </w:r>
      <w:r>
        <w:rPr>
          <w:b w:val="0"/>
        </w:rPr>
        <w:t>2021.</w:t>
      </w:r>
    </w:p>
    <w:p>
      <w:pPr>
        <w:pStyle w:val="BodyText"/>
        <w:spacing w:before="46"/>
        <w:rPr>
          <w:b w:val="0"/>
        </w:rPr>
      </w:pPr>
    </w:p>
    <w:p>
      <w:pPr>
        <w:spacing w:before="1"/>
        <w:ind w:left="213" w:right="0" w:firstLine="0"/>
        <w:jc w:val="left"/>
        <w:rPr>
          <w:rFonts w:ascii="TT Norms Pro"/>
          <w:b/>
          <w:sz w:val="18"/>
        </w:rPr>
      </w:pPr>
      <w:r>
        <w:rPr>
          <w:rFonts w:ascii="TT Norms Pro"/>
          <w:b/>
          <w:sz w:val="18"/>
        </w:rPr>
        <w:t>Staff</w:t>
      </w:r>
      <w:r>
        <w:rPr>
          <w:rFonts w:ascii="TT Norms Pro"/>
          <w:b/>
          <w:spacing w:val="-7"/>
          <w:sz w:val="18"/>
        </w:rPr>
        <w:t> </w:t>
      </w:r>
      <w:r>
        <w:rPr>
          <w:rFonts w:ascii="TT Norms Pro"/>
          <w:b/>
          <w:spacing w:val="-2"/>
          <w:sz w:val="18"/>
        </w:rPr>
        <w:t>turnover</w:t>
      </w:r>
    </w:p>
    <w:p>
      <w:pPr>
        <w:pStyle w:val="BodyText"/>
        <w:spacing w:before="5"/>
        <w:rPr>
          <w:rFonts w:ascii="TT Norms Pro"/>
          <w:b/>
          <w:sz w:val="3"/>
        </w:rPr>
      </w:pPr>
    </w:p>
    <w:p>
      <w:pPr>
        <w:pStyle w:val="BodyText"/>
        <w:spacing w:line="20" w:lineRule="exact"/>
        <w:ind w:left="203"/>
        <w:rPr>
          <w:rFonts w:ascii="TT Norms Pro"/>
          <w:sz w:val="2"/>
        </w:rPr>
      </w:pPr>
      <w:r>
        <w:rPr>
          <w:rFonts w:ascii="TT Norms Pro"/>
          <w:sz w:val="2"/>
        </w:rPr>
        <mc:AlternateContent>
          <mc:Choice Requires="wps">
            <w:drawing>
              <wp:inline distT="0" distB="0" distL="0" distR="0">
                <wp:extent cx="2934335" cy="12700"/>
                <wp:effectExtent l="9525" t="0" r="0" b="6350"/>
                <wp:docPr id="805" name="Group 805"/>
                <wp:cNvGraphicFramePr>
                  <a:graphicFrameLocks/>
                </wp:cNvGraphicFramePr>
                <a:graphic>
                  <a:graphicData uri="http://schemas.microsoft.com/office/word/2010/wordprocessingGroup">
                    <wpg:wgp>
                      <wpg:cNvPr id="805" name="Group 805"/>
                      <wpg:cNvGrpSpPr/>
                      <wpg:grpSpPr>
                        <a:xfrm>
                          <a:off x="0" y="0"/>
                          <a:ext cx="2934335" cy="12700"/>
                          <a:chExt cx="2934335" cy="12700"/>
                        </a:xfrm>
                      </wpg:grpSpPr>
                      <wps:wsp>
                        <wps:cNvPr id="806" name="Graphic 806"/>
                        <wps:cNvSpPr/>
                        <wps:spPr>
                          <a:xfrm>
                            <a:off x="0" y="6350"/>
                            <a:ext cx="978535" cy="1270"/>
                          </a:xfrm>
                          <a:custGeom>
                            <a:avLst/>
                            <a:gdLst/>
                            <a:ahLst/>
                            <a:cxnLst/>
                            <a:rect l="l" t="t" r="r" b="b"/>
                            <a:pathLst>
                              <a:path w="978535" h="0">
                                <a:moveTo>
                                  <a:pt x="0" y="0"/>
                                </a:moveTo>
                                <a:lnTo>
                                  <a:pt x="978001" y="0"/>
                                </a:lnTo>
                              </a:path>
                            </a:pathLst>
                          </a:custGeom>
                          <a:ln w="12700">
                            <a:solidFill>
                              <a:srgbClr val="000000"/>
                            </a:solidFill>
                            <a:prstDash val="solid"/>
                          </a:ln>
                        </wps:spPr>
                        <wps:bodyPr wrap="square" lIns="0" tIns="0" rIns="0" bIns="0" rtlCol="0">
                          <a:prstTxWarp prst="textNoShape">
                            <a:avLst/>
                          </a:prstTxWarp>
                          <a:noAutofit/>
                        </wps:bodyPr>
                      </wps:wsp>
                      <wps:wsp>
                        <wps:cNvPr id="807" name="Graphic 807"/>
                        <wps:cNvSpPr/>
                        <wps:spPr>
                          <a:xfrm>
                            <a:off x="977999" y="6350"/>
                            <a:ext cx="978535" cy="1270"/>
                          </a:xfrm>
                          <a:custGeom>
                            <a:avLst/>
                            <a:gdLst/>
                            <a:ahLst/>
                            <a:cxnLst/>
                            <a:rect l="l" t="t" r="r" b="b"/>
                            <a:pathLst>
                              <a:path w="978535" h="0">
                                <a:moveTo>
                                  <a:pt x="0" y="0"/>
                                </a:moveTo>
                                <a:lnTo>
                                  <a:pt x="978001" y="0"/>
                                </a:lnTo>
                              </a:path>
                            </a:pathLst>
                          </a:custGeom>
                          <a:ln w="12700">
                            <a:solidFill>
                              <a:srgbClr val="000000"/>
                            </a:solidFill>
                            <a:prstDash val="solid"/>
                          </a:ln>
                        </wps:spPr>
                        <wps:bodyPr wrap="square" lIns="0" tIns="0" rIns="0" bIns="0" rtlCol="0">
                          <a:prstTxWarp prst="textNoShape">
                            <a:avLst/>
                          </a:prstTxWarp>
                          <a:noAutofit/>
                        </wps:bodyPr>
                      </wps:wsp>
                      <wps:wsp>
                        <wps:cNvPr id="808" name="Graphic 808"/>
                        <wps:cNvSpPr/>
                        <wps:spPr>
                          <a:xfrm>
                            <a:off x="1955999" y="6350"/>
                            <a:ext cx="978535" cy="1270"/>
                          </a:xfrm>
                          <a:custGeom>
                            <a:avLst/>
                            <a:gdLst/>
                            <a:ahLst/>
                            <a:cxnLst/>
                            <a:rect l="l" t="t" r="r" b="b"/>
                            <a:pathLst>
                              <a:path w="978535" h="0">
                                <a:moveTo>
                                  <a:pt x="0" y="0"/>
                                </a:moveTo>
                                <a:lnTo>
                                  <a:pt x="978001" y="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31.05pt;height:1pt;mso-position-horizontal-relative:char;mso-position-vertical-relative:line" id="docshapegroup524" coordorigin="0,0" coordsize="4621,20">
                <v:line style="position:absolute" from="0,10" to="1540,10" stroked="true" strokeweight="1pt" strokecolor="#000000">
                  <v:stroke dashstyle="solid"/>
                </v:line>
                <v:line style="position:absolute" from="1540,10" to="3080,10" stroked="true" strokeweight="1pt" strokecolor="#000000">
                  <v:stroke dashstyle="solid"/>
                </v:line>
                <v:line style="position:absolute" from="3080,10" to="4620,10" stroked="true" strokeweight="1pt" strokecolor="#000000">
                  <v:stroke dashstyle="solid"/>
                </v:line>
              </v:group>
            </w:pict>
          </mc:Fallback>
        </mc:AlternateContent>
      </w:r>
      <w:r>
        <w:rPr>
          <w:rFonts w:ascii="TT Norms Pro"/>
          <w:sz w:val="2"/>
        </w:rPr>
      </w:r>
    </w:p>
    <w:p>
      <w:pPr>
        <w:tabs>
          <w:tab w:pos="3827" w:val="left" w:leader="none"/>
        </w:tabs>
        <w:spacing w:before="87"/>
        <w:ind w:left="2892" w:right="0" w:firstLine="0"/>
        <w:jc w:val="left"/>
        <w:rPr>
          <w:rFonts w:ascii="TT Norms Pro"/>
          <w:b/>
          <w:sz w:val="14"/>
        </w:rPr>
      </w:pPr>
      <w:r>
        <w:rPr>
          <w:rFonts w:ascii="TT Norms Pro"/>
          <w:b/>
          <w:spacing w:val="-4"/>
          <w:sz w:val="14"/>
        </w:rPr>
        <w:t>2019</w:t>
      </w:r>
      <w:r>
        <w:rPr>
          <w:rFonts w:ascii="TT Norms Pro"/>
          <w:b/>
          <w:sz w:val="14"/>
        </w:rPr>
        <w:tab/>
        <w:t>2019</w:t>
      </w:r>
      <w:r>
        <w:rPr>
          <w:rFonts w:ascii="TT Norms Pro"/>
          <w:b/>
          <w:spacing w:val="2"/>
          <w:sz w:val="14"/>
        </w:rPr>
        <w:t> </w:t>
      </w:r>
      <w:r>
        <w:rPr>
          <w:rFonts w:ascii="TT Norms Pro"/>
          <w:b/>
          <w:spacing w:val="-2"/>
          <w:sz w:val="14"/>
        </w:rPr>
        <w:t>TARGET</w:t>
      </w:r>
    </w:p>
    <w:p>
      <w:pPr>
        <w:pStyle w:val="BodyText"/>
        <w:spacing w:before="3"/>
        <w:rPr>
          <w:rFonts w:ascii="TT Norms Pro"/>
          <w:b/>
          <w:sz w:val="4"/>
        </w:rPr>
      </w:pPr>
      <w:r>
        <w:rPr/>
        <mc:AlternateContent>
          <mc:Choice Requires="wps">
            <w:drawing>
              <wp:anchor distT="0" distB="0" distL="0" distR="0" allowOverlap="1" layoutInCell="1" locked="0" behindDoc="1" simplePos="0" relativeHeight="487715840">
                <wp:simplePos x="0" y="0"/>
                <wp:positionH relativeFrom="page">
                  <wp:posOffset>3905999</wp:posOffset>
                </wp:positionH>
                <wp:positionV relativeFrom="paragraph">
                  <wp:posOffset>47473</wp:posOffset>
                </wp:positionV>
                <wp:extent cx="2934335" cy="278130"/>
                <wp:effectExtent l="0" t="0" r="0" b="0"/>
                <wp:wrapTopAndBottom/>
                <wp:docPr id="809" name="Group 809"/>
                <wp:cNvGraphicFramePr>
                  <a:graphicFrameLocks/>
                </wp:cNvGraphicFramePr>
                <a:graphic>
                  <a:graphicData uri="http://schemas.microsoft.com/office/word/2010/wordprocessingGroup">
                    <wpg:wgp>
                      <wpg:cNvPr id="809" name="Group 809"/>
                      <wpg:cNvGrpSpPr/>
                      <wpg:grpSpPr>
                        <a:xfrm>
                          <a:off x="0" y="0"/>
                          <a:ext cx="2934335" cy="278130"/>
                          <a:chExt cx="2934335" cy="278130"/>
                        </a:xfrm>
                      </wpg:grpSpPr>
                      <wps:wsp>
                        <wps:cNvPr id="810" name="Graphic 810"/>
                        <wps:cNvSpPr/>
                        <wps:spPr>
                          <a:xfrm>
                            <a:off x="0" y="3173"/>
                            <a:ext cx="2934335" cy="274955"/>
                          </a:xfrm>
                          <a:custGeom>
                            <a:avLst/>
                            <a:gdLst/>
                            <a:ahLst/>
                            <a:cxnLst/>
                            <a:rect l="l" t="t" r="r" b="b"/>
                            <a:pathLst>
                              <a:path w="2934335" h="274955">
                                <a:moveTo>
                                  <a:pt x="2934004" y="0"/>
                                </a:moveTo>
                                <a:lnTo>
                                  <a:pt x="1956003" y="0"/>
                                </a:lnTo>
                                <a:lnTo>
                                  <a:pt x="978001" y="0"/>
                                </a:lnTo>
                                <a:lnTo>
                                  <a:pt x="0" y="0"/>
                                </a:lnTo>
                                <a:lnTo>
                                  <a:pt x="0" y="274574"/>
                                </a:lnTo>
                                <a:lnTo>
                                  <a:pt x="978001" y="274574"/>
                                </a:lnTo>
                                <a:lnTo>
                                  <a:pt x="1956003" y="274574"/>
                                </a:lnTo>
                                <a:lnTo>
                                  <a:pt x="2934004" y="274574"/>
                                </a:lnTo>
                                <a:lnTo>
                                  <a:pt x="2934004" y="0"/>
                                </a:lnTo>
                                <a:close/>
                              </a:path>
                            </a:pathLst>
                          </a:custGeom>
                          <a:solidFill>
                            <a:srgbClr val="E6E7E8"/>
                          </a:solidFill>
                        </wps:spPr>
                        <wps:bodyPr wrap="square" lIns="0" tIns="0" rIns="0" bIns="0" rtlCol="0">
                          <a:prstTxWarp prst="textNoShape">
                            <a:avLst/>
                          </a:prstTxWarp>
                          <a:noAutofit/>
                        </wps:bodyPr>
                      </wps:wsp>
                      <wps:wsp>
                        <wps:cNvPr id="811" name="Graphic 811"/>
                        <wps:cNvSpPr/>
                        <wps:spPr>
                          <a:xfrm>
                            <a:off x="1" y="3175"/>
                            <a:ext cx="978535" cy="1270"/>
                          </a:xfrm>
                          <a:custGeom>
                            <a:avLst/>
                            <a:gdLst/>
                            <a:ahLst/>
                            <a:cxnLst/>
                            <a:rect l="l" t="t" r="r" b="b"/>
                            <a:pathLst>
                              <a:path w="978535" h="0">
                                <a:moveTo>
                                  <a:pt x="0" y="0"/>
                                </a:moveTo>
                                <a:lnTo>
                                  <a:pt x="978001" y="0"/>
                                </a:lnTo>
                              </a:path>
                            </a:pathLst>
                          </a:custGeom>
                          <a:ln w="6350">
                            <a:solidFill>
                              <a:srgbClr val="000000"/>
                            </a:solidFill>
                            <a:prstDash val="solid"/>
                          </a:ln>
                        </wps:spPr>
                        <wps:bodyPr wrap="square" lIns="0" tIns="0" rIns="0" bIns="0" rtlCol="0">
                          <a:prstTxWarp prst="textNoShape">
                            <a:avLst/>
                          </a:prstTxWarp>
                          <a:noAutofit/>
                        </wps:bodyPr>
                      </wps:wsp>
                      <wps:wsp>
                        <wps:cNvPr id="812" name="Graphic 812"/>
                        <wps:cNvSpPr/>
                        <wps:spPr>
                          <a:xfrm>
                            <a:off x="978000" y="3175"/>
                            <a:ext cx="978535" cy="1270"/>
                          </a:xfrm>
                          <a:custGeom>
                            <a:avLst/>
                            <a:gdLst/>
                            <a:ahLst/>
                            <a:cxnLst/>
                            <a:rect l="l" t="t" r="r" b="b"/>
                            <a:pathLst>
                              <a:path w="978535" h="0">
                                <a:moveTo>
                                  <a:pt x="0" y="0"/>
                                </a:moveTo>
                                <a:lnTo>
                                  <a:pt x="978001" y="0"/>
                                </a:lnTo>
                              </a:path>
                            </a:pathLst>
                          </a:custGeom>
                          <a:ln w="6350">
                            <a:solidFill>
                              <a:srgbClr val="000000"/>
                            </a:solidFill>
                            <a:prstDash val="solid"/>
                          </a:ln>
                        </wps:spPr>
                        <wps:bodyPr wrap="square" lIns="0" tIns="0" rIns="0" bIns="0" rtlCol="0">
                          <a:prstTxWarp prst="textNoShape">
                            <a:avLst/>
                          </a:prstTxWarp>
                          <a:noAutofit/>
                        </wps:bodyPr>
                      </wps:wsp>
                      <wps:wsp>
                        <wps:cNvPr id="813" name="Graphic 813"/>
                        <wps:cNvSpPr/>
                        <wps:spPr>
                          <a:xfrm>
                            <a:off x="1956000" y="3175"/>
                            <a:ext cx="978535" cy="1270"/>
                          </a:xfrm>
                          <a:custGeom>
                            <a:avLst/>
                            <a:gdLst/>
                            <a:ahLst/>
                            <a:cxnLst/>
                            <a:rect l="l" t="t" r="r" b="b"/>
                            <a:pathLst>
                              <a:path w="978535" h="0">
                                <a:moveTo>
                                  <a:pt x="0" y="0"/>
                                </a:moveTo>
                                <a:lnTo>
                                  <a:pt x="978001" y="0"/>
                                </a:lnTo>
                              </a:path>
                            </a:pathLst>
                          </a:custGeom>
                          <a:ln w="6350">
                            <a:solidFill>
                              <a:srgbClr val="000000"/>
                            </a:solidFill>
                            <a:prstDash val="solid"/>
                          </a:ln>
                        </wps:spPr>
                        <wps:bodyPr wrap="square" lIns="0" tIns="0" rIns="0" bIns="0" rtlCol="0">
                          <a:prstTxWarp prst="textNoShape">
                            <a:avLst/>
                          </a:prstTxWarp>
                          <a:noAutofit/>
                        </wps:bodyPr>
                      </wps:wsp>
                      <wps:wsp>
                        <wps:cNvPr id="814" name="Textbox 814"/>
                        <wps:cNvSpPr txBox="1"/>
                        <wps:spPr>
                          <a:xfrm>
                            <a:off x="36116" y="19634"/>
                            <a:ext cx="612775" cy="241935"/>
                          </a:xfrm>
                          <a:prstGeom prst="rect">
                            <a:avLst/>
                          </a:prstGeom>
                        </wps:spPr>
                        <wps:txbx>
                          <w:txbxContent>
                            <w:p>
                              <w:pPr>
                                <w:spacing w:before="16"/>
                                <w:ind w:left="0" w:right="0" w:firstLine="0"/>
                                <w:jc w:val="left"/>
                                <w:rPr>
                                  <w:rFonts w:ascii="TT Norms Pro Light"/>
                                  <w:b w:val="0"/>
                                  <w:sz w:val="14"/>
                                </w:rPr>
                              </w:pPr>
                              <w:r>
                                <w:rPr>
                                  <w:rFonts w:ascii="TT Norms Pro Light"/>
                                  <w:b w:val="0"/>
                                  <w:spacing w:val="-2"/>
                                  <w:sz w:val="14"/>
                                </w:rPr>
                                <w:t>Voluntary</w:t>
                              </w:r>
                            </w:p>
                            <w:p>
                              <w:pPr>
                                <w:spacing w:before="37"/>
                                <w:ind w:left="0" w:right="0" w:firstLine="0"/>
                                <w:jc w:val="left"/>
                                <w:rPr>
                                  <w:rFonts w:ascii="TT Norms Pro Light"/>
                                  <w:b w:val="0"/>
                                  <w:sz w:val="14"/>
                                </w:rPr>
                              </w:pPr>
                              <w:r>
                                <w:rPr>
                                  <w:rFonts w:ascii="TT Norms Pro Light"/>
                                  <w:b w:val="0"/>
                                  <w:sz w:val="14"/>
                                </w:rPr>
                                <w:t>separation</w:t>
                              </w:r>
                              <w:r>
                                <w:rPr>
                                  <w:rFonts w:ascii="TT Norms Pro Light"/>
                                  <w:b w:val="0"/>
                                  <w:spacing w:val="13"/>
                                  <w:sz w:val="14"/>
                                </w:rPr>
                                <w:t> </w:t>
                              </w:r>
                              <w:r>
                                <w:rPr>
                                  <w:rFonts w:ascii="TT Norms Pro Light"/>
                                  <w:b w:val="0"/>
                                  <w:spacing w:val="-4"/>
                                  <w:sz w:val="14"/>
                                </w:rPr>
                                <w:t>rate</w:t>
                              </w:r>
                            </w:p>
                          </w:txbxContent>
                        </wps:txbx>
                        <wps:bodyPr wrap="square" lIns="0" tIns="0" rIns="0" bIns="0" rtlCol="0">
                          <a:noAutofit/>
                        </wps:bodyPr>
                      </wps:wsp>
                      <wps:wsp>
                        <wps:cNvPr id="815" name="Textbox 815"/>
                        <wps:cNvSpPr txBox="1"/>
                        <wps:spPr>
                          <a:xfrm>
                            <a:off x="1749308" y="83197"/>
                            <a:ext cx="184150" cy="114935"/>
                          </a:xfrm>
                          <a:prstGeom prst="rect">
                            <a:avLst/>
                          </a:prstGeom>
                        </wps:spPr>
                        <wps:txbx>
                          <w:txbxContent>
                            <w:p>
                              <w:pPr>
                                <w:spacing w:before="16"/>
                                <w:ind w:left="0" w:right="0" w:firstLine="0"/>
                                <w:jc w:val="left"/>
                                <w:rPr>
                                  <w:rFonts w:ascii="TT Norms Pro Light"/>
                                  <w:b w:val="0"/>
                                  <w:sz w:val="14"/>
                                </w:rPr>
                              </w:pPr>
                              <w:r>
                                <w:rPr>
                                  <w:rFonts w:ascii="TT Norms Pro Light"/>
                                  <w:b w:val="0"/>
                                  <w:spacing w:val="-4"/>
                                  <w:sz w:val="14"/>
                                </w:rPr>
                                <w:t>7.7%</w:t>
                              </w:r>
                            </w:p>
                          </w:txbxContent>
                        </wps:txbx>
                        <wps:bodyPr wrap="square" lIns="0" tIns="0" rIns="0" bIns="0" rtlCol="0">
                          <a:noAutofit/>
                        </wps:bodyPr>
                      </wps:wsp>
                      <wps:wsp>
                        <wps:cNvPr id="816" name="Textbox 816"/>
                        <wps:cNvSpPr txBox="1"/>
                        <wps:spPr>
                          <a:xfrm>
                            <a:off x="2704538" y="83197"/>
                            <a:ext cx="207010" cy="114935"/>
                          </a:xfrm>
                          <a:prstGeom prst="rect">
                            <a:avLst/>
                          </a:prstGeom>
                        </wps:spPr>
                        <wps:txbx>
                          <w:txbxContent>
                            <w:p>
                              <w:pPr>
                                <w:spacing w:before="16"/>
                                <w:ind w:left="0" w:right="0" w:firstLine="0"/>
                                <w:jc w:val="left"/>
                                <w:rPr>
                                  <w:rFonts w:ascii="TT Norms Pro Light"/>
                                  <w:b w:val="0"/>
                                  <w:sz w:val="14"/>
                                </w:rPr>
                              </w:pPr>
                              <w:r>
                                <w:rPr>
                                  <w:rFonts w:ascii="TT Norms Pro Light"/>
                                  <w:b w:val="0"/>
                                  <w:spacing w:val="-4"/>
                                  <w:sz w:val="14"/>
                                </w:rPr>
                                <w:t>8.5%</w:t>
                              </w:r>
                            </w:p>
                          </w:txbxContent>
                        </wps:txbx>
                        <wps:bodyPr wrap="square" lIns="0" tIns="0" rIns="0" bIns="0" rtlCol="0">
                          <a:noAutofit/>
                        </wps:bodyPr>
                      </wps:wsp>
                    </wpg:wgp>
                  </a:graphicData>
                </a:graphic>
              </wp:anchor>
            </w:drawing>
          </mc:Choice>
          <mc:Fallback>
            <w:pict>
              <v:group style="position:absolute;margin-left:307.55899pt;margin-top:3.7381pt;width:231.05pt;height:21.9pt;mso-position-horizontal-relative:page;mso-position-vertical-relative:paragraph;z-index:-15600640;mso-wrap-distance-left:0;mso-wrap-distance-right:0" id="docshapegroup525" coordorigin="6151,75" coordsize="4621,438">
                <v:shape style="position:absolute;left:6151;top:79;width:4621;height:433" id="docshape526" coordorigin="6151,80" coordsize="4621,433" path="m10772,80l9232,80,7691,80,6151,80,6151,512,7691,512,9232,512,10772,512,10772,80xe" filled="true" fillcolor="#e6e7e8" stroked="false">
                  <v:path arrowok="t"/>
                  <v:fill type="solid"/>
                </v:shape>
                <v:line style="position:absolute" from="6151,80" to="7691,80" stroked="true" strokeweight=".5pt" strokecolor="#000000">
                  <v:stroke dashstyle="solid"/>
                </v:line>
                <v:line style="position:absolute" from="7691,80" to="9231,80" stroked="true" strokeweight=".5pt" strokecolor="#000000">
                  <v:stroke dashstyle="solid"/>
                </v:line>
                <v:line style="position:absolute" from="9231,80" to="10772,80" stroked="true" strokeweight=".5pt" strokecolor="#000000">
                  <v:stroke dashstyle="solid"/>
                </v:line>
                <v:shape style="position:absolute;left:6208;top:105;width:965;height:381" type="#_x0000_t202" id="docshape527" filled="false" stroked="false">
                  <v:textbox inset="0,0,0,0">
                    <w:txbxContent>
                      <w:p>
                        <w:pPr>
                          <w:spacing w:before="16"/>
                          <w:ind w:left="0" w:right="0" w:firstLine="0"/>
                          <w:jc w:val="left"/>
                          <w:rPr>
                            <w:rFonts w:ascii="TT Norms Pro Light"/>
                            <w:b w:val="0"/>
                            <w:sz w:val="14"/>
                          </w:rPr>
                        </w:pPr>
                        <w:r>
                          <w:rPr>
                            <w:rFonts w:ascii="TT Norms Pro Light"/>
                            <w:b w:val="0"/>
                            <w:spacing w:val="-2"/>
                            <w:sz w:val="14"/>
                          </w:rPr>
                          <w:t>Voluntary</w:t>
                        </w:r>
                      </w:p>
                      <w:p>
                        <w:pPr>
                          <w:spacing w:before="37"/>
                          <w:ind w:left="0" w:right="0" w:firstLine="0"/>
                          <w:jc w:val="left"/>
                          <w:rPr>
                            <w:rFonts w:ascii="TT Norms Pro Light"/>
                            <w:b w:val="0"/>
                            <w:sz w:val="14"/>
                          </w:rPr>
                        </w:pPr>
                        <w:r>
                          <w:rPr>
                            <w:rFonts w:ascii="TT Norms Pro Light"/>
                            <w:b w:val="0"/>
                            <w:sz w:val="14"/>
                          </w:rPr>
                          <w:t>separation</w:t>
                        </w:r>
                        <w:r>
                          <w:rPr>
                            <w:rFonts w:ascii="TT Norms Pro Light"/>
                            <w:b w:val="0"/>
                            <w:spacing w:val="13"/>
                            <w:sz w:val="14"/>
                          </w:rPr>
                          <w:t> </w:t>
                        </w:r>
                        <w:r>
                          <w:rPr>
                            <w:rFonts w:ascii="TT Norms Pro Light"/>
                            <w:b w:val="0"/>
                            <w:spacing w:val="-4"/>
                            <w:sz w:val="14"/>
                          </w:rPr>
                          <w:t>rate</w:t>
                        </w:r>
                      </w:p>
                    </w:txbxContent>
                  </v:textbox>
                  <w10:wrap type="none"/>
                </v:shape>
                <v:shape style="position:absolute;left:8906;top:205;width:290;height:181" type="#_x0000_t202" id="docshape528" filled="false" stroked="false">
                  <v:textbox inset="0,0,0,0">
                    <w:txbxContent>
                      <w:p>
                        <w:pPr>
                          <w:spacing w:before="16"/>
                          <w:ind w:left="0" w:right="0" w:firstLine="0"/>
                          <w:jc w:val="left"/>
                          <w:rPr>
                            <w:rFonts w:ascii="TT Norms Pro Light"/>
                            <w:b w:val="0"/>
                            <w:sz w:val="14"/>
                          </w:rPr>
                        </w:pPr>
                        <w:r>
                          <w:rPr>
                            <w:rFonts w:ascii="TT Norms Pro Light"/>
                            <w:b w:val="0"/>
                            <w:spacing w:val="-4"/>
                            <w:sz w:val="14"/>
                          </w:rPr>
                          <w:t>7.7%</w:t>
                        </w:r>
                      </w:p>
                    </w:txbxContent>
                  </v:textbox>
                  <w10:wrap type="none"/>
                </v:shape>
                <v:shape style="position:absolute;left:10410;top:205;width:326;height:181" type="#_x0000_t202" id="docshape529" filled="false" stroked="false">
                  <v:textbox inset="0,0,0,0">
                    <w:txbxContent>
                      <w:p>
                        <w:pPr>
                          <w:spacing w:before="16"/>
                          <w:ind w:left="0" w:right="0" w:firstLine="0"/>
                          <w:jc w:val="left"/>
                          <w:rPr>
                            <w:rFonts w:ascii="TT Norms Pro Light"/>
                            <w:b w:val="0"/>
                            <w:sz w:val="14"/>
                          </w:rPr>
                        </w:pPr>
                        <w:r>
                          <w:rPr>
                            <w:rFonts w:ascii="TT Norms Pro Light"/>
                            <w:b w:val="0"/>
                            <w:spacing w:val="-4"/>
                            <w:sz w:val="14"/>
                          </w:rPr>
                          <w:t>8.5%</w:t>
                        </w:r>
                      </w:p>
                    </w:txbxContent>
                  </v:textbox>
                  <w10:wrap type="none"/>
                </v:shape>
                <w10:wrap type="topAndBottom"/>
              </v:group>
            </w:pict>
          </mc:Fallback>
        </mc:AlternateContent>
      </w:r>
    </w:p>
    <w:p>
      <w:pPr>
        <w:pStyle w:val="BodyText"/>
        <w:spacing w:before="58"/>
        <w:rPr>
          <w:rFonts w:ascii="TT Norms Pro"/>
          <w:b/>
          <w:sz w:val="14"/>
        </w:rPr>
      </w:pPr>
    </w:p>
    <w:p>
      <w:pPr>
        <w:spacing w:line="264" w:lineRule="auto" w:before="0"/>
        <w:ind w:left="214" w:right="1132" w:firstLine="0"/>
        <w:jc w:val="left"/>
        <w:rPr>
          <w:rFonts w:ascii="TT Norms Pro Light"/>
          <w:b w:val="0"/>
          <w:sz w:val="14"/>
        </w:rPr>
      </w:pPr>
      <w:r>
        <w:rPr>
          <w:rFonts w:ascii="TT Norms Pro"/>
          <w:b/>
          <w:sz w:val="14"/>
        </w:rPr>
        <w:t>Data source: </w:t>
      </w:r>
      <w:r>
        <w:rPr>
          <w:rFonts w:ascii="TT Norms Pro Light"/>
          <w:b w:val="0"/>
          <w:sz w:val="14"/>
        </w:rPr>
        <w:t>Australian Higher Education Industrial Association (AHEIA)</w:t>
      </w:r>
      <w:r>
        <w:rPr>
          <w:rFonts w:ascii="TT Norms Pro Light"/>
          <w:b w:val="0"/>
          <w:spacing w:val="40"/>
          <w:sz w:val="14"/>
        </w:rPr>
        <w:t> </w:t>
      </w:r>
      <w:r>
        <w:rPr>
          <w:rFonts w:ascii="TT Norms Pro Light"/>
          <w:b w:val="0"/>
          <w:sz w:val="14"/>
        </w:rPr>
        <w:t>Universities Human Resources (HR) Benchmarking Program 2020:</w:t>
      </w:r>
    </w:p>
    <w:p>
      <w:pPr>
        <w:spacing w:line="264" w:lineRule="auto" w:before="0"/>
        <w:ind w:left="214" w:right="1239" w:firstLine="0"/>
        <w:jc w:val="left"/>
        <w:rPr>
          <w:rFonts w:ascii="TT Norms Pro Light" w:hAnsi="TT Norms Pro Light"/>
          <w:b w:val="0"/>
          <w:sz w:val="14"/>
        </w:rPr>
      </w:pPr>
      <w:r>
        <w:rPr>
          <w:rFonts w:ascii="TT Norms Pro Light" w:hAnsi="TT Norms Pro Light"/>
          <w:b w:val="0"/>
          <w:i/>
          <w:sz w:val="14"/>
        </w:rPr>
        <w:t>HR Performance Indicators for the University of Western Australia</w:t>
      </w:r>
      <w:r>
        <w:rPr>
          <w:rFonts w:ascii="TT Norms Pro Light" w:hAnsi="TT Norms Pro Light"/>
          <w:b w:val="0"/>
          <w:i/>
          <w:spacing w:val="40"/>
          <w:sz w:val="14"/>
        </w:rPr>
        <w:t> </w:t>
      </w:r>
      <w:r>
        <w:rPr>
          <w:rFonts w:ascii="TT Norms Pro Light" w:hAnsi="TT Norms Pro Light"/>
          <w:b w:val="0"/>
          <w:i/>
          <w:sz w:val="14"/>
        </w:rPr>
        <w:t>Compared with Australian Universities For the period 2015 to 2020</w:t>
      </w:r>
      <w:r>
        <w:rPr>
          <w:rFonts w:ascii="TT Norms Pro Light" w:hAnsi="TT Norms Pro Light"/>
          <w:b w:val="0"/>
          <w:i/>
          <w:spacing w:val="80"/>
          <w:sz w:val="14"/>
        </w:rPr>
        <w:t> </w:t>
      </w:r>
      <w:r>
        <w:rPr>
          <w:rFonts w:ascii="TT Norms Pro Light" w:hAnsi="TT Norms Pro Light"/>
          <w:b w:val="0"/>
          <w:i/>
          <w:sz w:val="14"/>
        </w:rPr>
        <w:t>report</w:t>
      </w:r>
      <w:r>
        <w:rPr>
          <w:rFonts w:ascii="TT Norms Pro Light" w:hAnsi="TT Norms Pro Light"/>
          <w:b w:val="0"/>
          <w:sz w:val="14"/>
        </w:rPr>
        <w:t>. This result is classified as “Voluntary Employee Initiated Turnover”</w:t>
      </w:r>
      <w:r>
        <w:rPr>
          <w:rFonts w:ascii="TT Norms Pro Light" w:hAnsi="TT Norms Pro Light"/>
          <w:b w:val="0"/>
          <w:spacing w:val="40"/>
          <w:sz w:val="14"/>
        </w:rPr>
        <w:t> </w:t>
      </w:r>
      <w:r>
        <w:rPr>
          <w:rFonts w:ascii="TT Norms Pro Light" w:hAnsi="TT Norms Pro Light"/>
          <w:b w:val="0"/>
          <w:sz w:val="14"/>
        </w:rPr>
        <w:t>within this report. 2019 is the most current year available for reporting</w:t>
      </w:r>
    </w:p>
    <w:p>
      <w:pPr>
        <w:spacing w:line="163" w:lineRule="exact" w:before="0"/>
        <w:ind w:left="214" w:right="0" w:firstLine="0"/>
        <w:jc w:val="left"/>
        <w:rPr>
          <w:rFonts w:ascii="TT Norms Pro Light"/>
          <w:b w:val="0"/>
          <w:sz w:val="14"/>
        </w:rPr>
      </w:pPr>
      <w:r>
        <w:rPr>
          <w:rFonts w:ascii="TT Norms Pro Light"/>
          <w:b w:val="0"/>
          <w:sz w:val="14"/>
        </w:rPr>
        <w:t>to</w:t>
      </w:r>
      <w:r>
        <w:rPr>
          <w:rFonts w:ascii="TT Norms Pro Light"/>
          <w:b w:val="0"/>
          <w:spacing w:val="-1"/>
          <w:sz w:val="14"/>
        </w:rPr>
        <w:t> </w:t>
      </w:r>
      <w:r>
        <w:rPr>
          <w:rFonts w:ascii="TT Norms Pro Light"/>
          <w:b w:val="0"/>
          <w:spacing w:val="-2"/>
          <w:sz w:val="14"/>
        </w:rPr>
        <w:t>AHEIA.</w:t>
      </w:r>
    </w:p>
    <w:p>
      <w:pPr>
        <w:spacing w:line="264" w:lineRule="auto" w:before="130"/>
        <w:ind w:left="214" w:right="2098" w:firstLine="0"/>
        <w:jc w:val="left"/>
        <w:rPr>
          <w:rFonts w:ascii="TT Norms Pro Light"/>
          <w:b w:val="0"/>
          <w:sz w:val="14"/>
        </w:rPr>
      </w:pPr>
      <w:r>
        <w:rPr>
          <w:rFonts w:ascii="TT Norms Pro"/>
          <w:b/>
          <w:sz w:val="14"/>
        </w:rPr>
        <w:t>Notes: </w:t>
      </w:r>
      <w:r>
        <w:rPr>
          <w:rFonts w:ascii="TT Norms Pro Light"/>
          <w:b w:val="0"/>
          <w:sz w:val="14"/>
        </w:rPr>
        <w:t>This indicator is new and was not included in the</w:t>
      </w:r>
      <w:r>
        <w:rPr>
          <w:rFonts w:ascii="TT Norms Pro Light"/>
          <w:b w:val="0"/>
          <w:spacing w:val="40"/>
          <w:sz w:val="14"/>
        </w:rPr>
        <w:t> </w:t>
      </w:r>
      <w:r>
        <w:rPr>
          <w:rFonts w:ascii="TT Norms Pro Light"/>
          <w:b w:val="0"/>
          <w:sz w:val="14"/>
        </w:rPr>
        <w:t>2019 Annual Report.</w:t>
      </w:r>
    </w:p>
    <w:p>
      <w:pPr>
        <w:spacing w:after="0" w:line="264" w:lineRule="auto"/>
        <w:jc w:val="left"/>
        <w:rPr>
          <w:rFonts w:ascii="TT Norms Pro Light"/>
          <w:sz w:val="14"/>
        </w:rPr>
        <w:sectPr>
          <w:type w:val="continuous"/>
          <w:pgSz w:w="11910" w:h="16840"/>
          <w:pgMar w:header="468" w:footer="0" w:top="980" w:bottom="280" w:left="920" w:right="0"/>
          <w:cols w:num="2" w:equalWidth="0">
            <w:col w:w="4875" w:space="142"/>
            <w:col w:w="5973"/>
          </w:cols>
        </w:sectPr>
      </w:pPr>
    </w:p>
    <w:p>
      <w:pPr>
        <w:pStyle w:val="Heading4"/>
        <w:numPr>
          <w:ilvl w:val="0"/>
          <w:numId w:val="8"/>
        </w:numPr>
        <w:tabs>
          <w:tab w:pos="555" w:val="left" w:leader="none"/>
        </w:tabs>
        <w:spacing w:line="240" w:lineRule="auto" w:before="115" w:after="0"/>
        <w:ind w:left="555" w:right="0" w:hanging="376"/>
        <w:jc w:val="left"/>
      </w:pPr>
      <w:r>
        <w:rPr>
          <w:color w:val="242021"/>
          <w:w w:val="60"/>
          <w:position w:val="2"/>
          <w:sz w:val="69"/>
        </w:rPr>
        <w:t>|</w:t>
      </w:r>
      <w:r>
        <w:rPr>
          <w:color w:val="242021"/>
          <w:spacing w:val="-15"/>
          <w:w w:val="95"/>
          <w:position w:val="2"/>
          <w:sz w:val="69"/>
        </w:rPr>
        <w:t> </w:t>
      </w:r>
      <w:r>
        <w:rPr>
          <w:w w:val="95"/>
        </w:rPr>
        <w:t>Effective</w:t>
      </w:r>
      <w:r>
        <w:rPr>
          <w:spacing w:val="28"/>
        </w:rPr>
        <w:t> </w:t>
      </w:r>
      <w:r>
        <w:rPr>
          <w:w w:val="95"/>
        </w:rPr>
        <w:t>and</w:t>
      </w:r>
      <w:r>
        <w:rPr>
          <w:spacing w:val="28"/>
        </w:rPr>
        <w:t> </w:t>
      </w:r>
      <w:r>
        <w:rPr>
          <w:w w:val="95"/>
        </w:rPr>
        <w:t>sustainable</w:t>
      </w:r>
      <w:r>
        <w:rPr>
          <w:spacing w:val="28"/>
        </w:rPr>
        <w:t> </w:t>
      </w:r>
      <w:r>
        <w:rPr>
          <w:spacing w:val="-2"/>
          <w:w w:val="95"/>
        </w:rPr>
        <w:t>operations</w:t>
      </w:r>
    </w:p>
    <w:p>
      <w:pPr>
        <w:pStyle w:val="BodyText"/>
        <w:spacing w:before="177"/>
        <w:rPr>
          <w:rFonts w:ascii="TT Norms Pro"/>
          <w:b/>
          <w:sz w:val="20"/>
        </w:rPr>
      </w:pPr>
    </w:p>
    <w:p>
      <w:pPr>
        <w:spacing w:after="0"/>
        <w:rPr>
          <w:rFonts w:ascii="TT Norms Pro"/>
          <w:sz w:val="20"/>
        </w:rPr>
        <w:sectPr>
          <w:pgSz w:w="11910" w:h="16840"/>
          <w:pgMar w:header="468" w:footer="0" w:top="720" w:bottom="280" w:left="920" w:right="0"/>
        </w:sectPr>
      </w:pPr>
    </w:p>
    <w:p>
      <w:pPr>
        <w:spacing w:before="125"/>
        <w:ind w:left="213" w:right="0" w:firstLine="0"/>
        <w:jc w:val="left"/>
        <w:rPr>
          <w:rFonts w:ascii="TT Norms Pro"/>
          <w:b/>
          <w:sz w:val="18"/>
        </w:rPr>
      </w:pPr>
      <w:r>
        <w:rPr>
          <w:rFonts w:ascii="TT Norms Pro"/>
          <w:b/>
          <w:sz w:val="18"/>
        </w:rPr>
        <w:t>Strategic</w:t>
      </w:r>
      <w:r>
        <w:rPr>
          <w:rFonts w:ascii="TT Norms Pro"/>
          <w:b/>
          <w:spacing w:val="8"/>
          <w:sz w:val="18"/>
        </w:rPr>
        <w:t> </w:t>
      </w:r>
      <w:r>
        <w:rPr>
          <w:rFonts w:ascii="TT Norms Pro"/>
          <w:b/>
          <w:spacing w:val="-4"/>
          <w:sz w:val="18"/>
        </w:rPr>
        <w:t>goal</w:t>
      </w:r>
    </w:p>
    <w:p>
      <w:pPr>
        <w:pStyle w:val="BodyText"/>
        <w:spacing w:line="295" w:lineRule="auto" w:before="50"/>
        <w:ind w:left="213" w:right="276"/>
        <w:rPr>
          <w:b w:val="0"/>
        </w:rPr>
      </w:pPr>
      <w:r>
        <w:rPr>
          <w:b w:val="0"/>
        </w:rPr>
        <w:t>Offerings (academic and administrative) will be high-</w:t>
      </w:r>
      <w:r>
        <w:rPr>
          <w:b w:val="0"/>
          <w:spacing w:val="40"/>
        </w:rPr>
        <w:t> </w:t>
      </w:r>
      <w:r>
        <w:rPr>
          <w:b w:val="0"/>
        </w:rPr>
        <w:t>quality,</w:t>
      </w:r>
      <w:r>
        <w:rPr>
          <w:b w:val="0"/>
          <w:spacing w:val="-3"/>
        </w:rPr>
        <w:t> </w:t>
      </w:r>
      <w:r>
        <w:rPr>
          <w:b w:val="0"/>
        </w:rPr>
        <w:t>timely</w:t>
      </w:r>
      <w:r>
        <w:rPr>
          <w:b w:val="0"/>
          <w:spacing w:val="-1"/>
        </w:rPr>
        <w:t> </w:t>
      </w:r>
      <w:r>
        <w:rPr>
          <w:b w:val="0"/>
        </w:rPr>
        <w:t>and</w:t>
      </w:r>
      <w:r>
        <w:rPr>
          <w:b w:val="0"/>
          <w:spacing w:val="-1"/>
        </w:rPr>
        <w:t> </w:t>
      </w:r>
      <w:r>
        <w:rPr>
          <w:b w:val="0"/>
        </w:rPr>
        <w:t>user-focused</w:t>
      </w:r>
      <w:r>
        <w:rPr>
          <w:b w:val="0"/>
          <w:spacing w:val="-1"/>
        </w:rPr>
        <w:t> </w:t>
      </w:r>
      <w:r>
        <w:rPr>
          <w:b w:val="0"/>
        </w:rPr>
        <w:t>and</w:t>
      </w:r>
      <w:r>
        <w:rPr>
          <w:b w:val="0"/>
          <w:spacing w:val="-1"/>
        </w:rPr>
        <w:t> </w:t>
      </w:r>
      <w:r>
        <w:rPr>
          <w:b w:val="0"/>
        </w:rPr>
        <w:t>will</w:t>
      </w:r>
      <w:r>
        <w:rPr>
          <w:b w:val="0"/>
          <w:spacing w:val="-1"/>
        </w:rPr>
        <w:t> </w:t>
      </w:r>
      <w:r>
        <w:rPr>
          <w:b w:val="0"/>
        </w:rPr>
        <w:t>be</w:t>
      </w:r>
      <w:r>
        <w:rPr>
          <w:b w:val="0"/>
          <w:spacing w:val="-1"/>
        </w:rPr>
        <w:t> </w:t>
      </w:r>
      <w:r>
        <w:rPr>
          <w:b w:val="0"/>
        </w:rPr>
        <w:t>designed</w:t>
      </w:r>
      <w:r>
        <w:rPr>
          <w:b w:val="0"/>
          <w:spacing w:val="-1"/>
        </w:rPr>
        <w:t> </w:t>
      </w:r>
      <w:r>
        <w:rPr>
          <w:b w:val="0"/>
        </w:rPr>
        <w:t>to</w:t>
      </w:r>
      <w:r>
        <w:rPr>
          <w:b w:val="0"/>
          <w:spacing w:val="40"/>
        </w:rPr>
        <w:t> </w:t>
      </w:r>
      <w:r>
        <w:rPr>
          <w:b w:val="0"/>
        </w:rPr>
        <w:t>enable us to meet our education, research and</w:t>
      </w:r>
      <w:r>
        <w:rPr>
          <w:b w:val="0"/>
          <w:spacing w:val="40"/>
        </w:rPr>
        <w:t> </w:t>
      </w:r>
      <w:r>
        <w:rPr>
          <w:b w:val="0"/>
        </w:rPr>
        <w:t>engagement</w:t>
      </w:r>
      <w:r>
        <w:rPr>
          <w:b w:val="0"/>
          <w:spacing w:val="-5"/>
        </w:rPr>
        <w:t> </w:t>
      </w:r>
      <w:r>
        <w:rPr>
          <w:b w:val="0"/>
        </w:rPr>
        <w:t>aspirations.</w:t>
      </w:r>
    </w:p>
    <w:p>
      <w:pPr>
        <w:pStyle w:val="BodyText"/>
        <w:spacing w:before="48"/>
        <w:rPr>
          <w:b w:val="0"/>
        </w:rPr>
      </w:pPr>
    </w:p>
    <w:p>
      <w:pPr>
        <w:spacing w:before="0"/>
        <w:ind w:left="213" w:right="0" w:firstLine="0"/>
        <w:jc w:val="left"/>
        <w:rPr>
          <w:rFonts w:ascii="TT Norms Pro"/>
          <w:b/>
          <w:sz w:val="18"/>
        </w:rPr>
      </w:pPr>
      <w:r>
        <w:rPr>
          <w:rFonts w:ascii="TT Norms Pro"/>
          <w:b/>
          <w:sz w:val="18"/>
        </w:rPr>
        <w:t>Key</w:t>
      </w:r>
      <w:r>
        <w:rPr>
          <w:rFonts w:ascii="TT Norms Pro"/>
          <w:b/>
          <w:spacing w:val="3"/>
          <w:sz w:val="18"/>
        </w:rPr>
        <w:t> </w:t>
      </w:r>
      <w:r>
        <w:rPr>
          <w:rFonts w:ascii="TT Norms Pro"/>
          <w:b/>
          <w:sz w:val="18"/>
        </w:rPr>
        <w:t>performance</w:t>
      </w:r>
      <w:r>
        <w:rPr>
          <w:rFonts w:ascii="TT Norms Pro"/>
          <w:b/>
          <w:spacing w:val="6"/>
          <w:sz w:val="18"/>
        </w:rPr>
        <w:t> </w:t>
      </w:r>
      <w:r>
        <w:rPr>
          <w:rFonts w:ascii="TT Norms Pro"/>
          <w:b/>
          <w:spacing w:val="-2"/>
          <w:sz w:val="18"/>
        </w:rPr>
        <w:t>indicator</w:t>
      </w:r>
    </w:p>
    <w:p>
      <w:pPr>
        <w:pStyle w:val="BodyText"/>
        <w:spacing w:line="295" w:lineRule="auto" w:before="49"/>
        <w:ind w:left="213"/>
        <w:rPr>
          <w:b w:val="0"/>
        </w:rPr>
      </w:pPr>
      <w:r>
        <w:rPr>
          <w:b w:val="0"/>
        </w:rPr>
        <w:t>Achievement</w:t>
      </w:r>
      <w:r>
        <w:rPr>
          <w:b w:val="0"/>
          <w:spacing w:val="-2"/>
        </w:rPr>
        <w:t> </w:t>
      </w:r>
      <w:r>
        <w:rPr>
          <w:b w:val="0"/>
        </w:rPr>
        <w:t>of</w:t>
      </w:r>
      <w:r>
        <w:rPr>
          <w:b w:val="0"/>
          <w:spacing w:val="-2"/>
        </w:rPr>
        <w:t> </w:t>
      </w:r>
      <w:r>
        <w:rPr>
          <w:b w:val="0"/>
        </w:rPr>
        <w:t>this</w:t>
      </w:r>
      <w:r>
        <w:rPr>
          <w:b w:val="0"/>
          <w:spacing w:val="-2"/>
        </w:rPr>
        <w:t> </w:t>
      </w:r>
      <w:r>
        <w:rPr>
          <w:b w:val="0"/>
        </w:rPr>
        <w:t>goal</w:t>
      </w:r>
      <w:r>
        <w:rPr>
          <w:b w:val="0"/>
          <w:spacing w:val="-2"/>
        </w:rPr>
        <w:t> </w:t>
      </w:r>
      <w:r>
        <w:rPr>
          <w:b w:val="0"/>
        </w:rPr>
        <w:t>will</w:t>
      </w:r>
      <w:r>
        <w:rPr>
          <w:b w:val="0"/>
          <w:spacing w:val="-2"/>
        </w:rPr>
        <w:t> </w:t>
      </w:r>
      <w:r>
        <w:rPr>
          <w:b w:val="0"/>
        </w:rPr>
        <w:t>be</w:t>
      </w:r>
      <w:r>
        <w:rPr>
          <w:b w:val="0"/>
          <w:spacing w:val="-2"/>
        </w:rPr>
        <w:t> </w:t>
      </w:r>
      <w:r>
        <w:rPr>
          <w:b w:val="0"/>
        </w:rPr>
        <w:t>measured</w:t>
      </w:r>
      <w:r>
        <w:rPr>
          <w:b w:val="0"/>
          <w:spacing w:val="-2"/>
        </w:rPr>
        <w:t> </w:t>
      </w:r>
      <w:r>
        <w:rPr>
          <w:b w:val="0"/>
        </w:rPr>
        <w:t>by</w:t>
      </w:r>
      <w:r>
        <w:rPr>
          <w:b w:val="0"/>
          <w:spacing w:val="-2"/>
        </w:rPr>
        <w:t> </w:t>
      </w:r>
      <w:r>
        <w:rPr>
          <w:b w:val="0"/>
        </w:rPr>
        <w:t>the</w:t>
      </w:r>
      <w:r>
        <w:rPr>
          <w:b w:val="0"/>
          <w:spacing w:val="-2"/>
        </w:rPr>
        <w:t> </w:t>
      </w:r>
      <w:r>
        <w:rPr>
          <w:b w:val="0"/>
        </w:rPr>
        <w:t>following</w:t>
      </w:r>
      <w:r>
        <w:rPr>
          <w:b w:val="0"/>
          <w:spacing w:val="40"/>
        </w:rPr>
        <w:t> </w:t>
      </w:r>
      <w:r>
        <w:rPr>
          <w:b w:val="0"/>
        </w:rPr>
        <w:t>efficiency</w:t>
      </w:r>
      <w:r>
        <w:rPr>
          <w:b w:val="0"/>
          <w:spacing w:val="-5"/>
        </w:rPr>
        <w:t> </w:t>
      </w:r>
      <w:r>
        <w:rPr>
          <w:b w:val="0"/>
        </w:rPr>
        <w:t>indicator:</w:t>
      </w:r>
    </w:p>
    <w:p>
      <w:pPr>
        <w:pStyle w:val="BodyText"/>
        <w:spacing w:before="46"/>
        <w:rPr>
          <w:b w:val="0"/>
        </w:rPr>
      </w:pPr>
    </w:p>
    <w:p>
      <w:pPr>
        <w:pStyle w:val="ListParagraph"/>
        <w:numPr>
          <w:ilvl w:val="1"/>
          <w:numId w:val="8"/>
        </w:numPr>
        <w:tabs>
          <w:tab w:pos="551" w:val="left" w:leader="none"/>
        </w:tabs>
        <w:spacing w:line="240" w:lineRule="auto" w:before="1" w:after="0"/>
        <w:ind w:left="551" w:right="0" w:hanging="338"/>
        <w:jc w:val="left"/>
        <w:rPr>
          <w:rFonts w:ascii="TT Norms Pro Light"/>
          <w:b w:val="0"/>
          <w:sz w:val="18"/>
        </w:rPr>
      </w:pPr>
      <w:r>
        <w:rPr>
          <w:rFonts w:ascii="TT Norms Pro Light"/>
          <w:b w:val="0"/>
          <w:sz w:val="18"/>
        </w:rPr>
        <w:t>Operating</w:t>
      </w:r>
      <w:r>
        <w:rPr>
          <w:rFonts w:ascii="TT Norms Pro Light"/>
          <w:b w:val="0"/>
          <w:spacing w:val="4"/>
          <w:sz w:val="18"/>
        </w:rPr>
        <w:t> </w:t>
      </w:r>
      <w:r>
        <w:rPr>
          <w:rFonts w:ascii="TT Norms Pro Light"/>
          <w:b w:val="0"/>
          <w:spacing w:val="-2"/>
          <w:sz w:val="18"/>
        </w:rPr>
        <w:t>margin*</w:t>
      </w:r>
    </w:p>
    <w:p>
      <w:pPr>
        <w:pStyle w:val="BodyText"/>
        <w:rPr>
          <w:b w:val="0"/>
        </w:rPr>
      </w:pPr>
    </w:p>
    <w:p>
      <w:pPr>
        <w:pStyle w:val="BodyText"/>
        <w:spacing w:before="177"/>
        <w:rPr>
          <w:b w:val="0"/>
        </w:rPr>
      </w:pPr>
    </w:p>
    <w:p>
      <w:pPr>
        <w:pStyle w:val="Heading9"/>
        <w:ind w:left="213"/>
      </w:pPr>
      <w:r>
        <w:rPr/>
        <w:t>6.1</w:t>
      </w:r>
      <w:r>
        <w:rPr>
          <w:spacing w:val="11"/>
        </w:rPr>
        <w:t> </w:t>
      </w:r>
      <w:r>
        <w:rPr/>
        <w:t>OPERATING</w:t>
      </w:r>
      <w:r>
        <w:rPr>
          <w:spacing w:val="11"/>
        </w:rPr>
        <w:t> </w:t>
      </w:r>
      <w:r>
        <w:rPr>
          <w:spacing w:val="-2"/>
        </w:rPr>
        <w:t>MARGIN*</w:t>
      </w:r>
    </w:p>
    <w:p>
      <w:pPr>
        <w:pStyle w:val="BodyText"/>
        <w:spacing w:line="295" w:lineRule="auto" w:before="154"/>
        <w:ind w:left="213" w:right="137"/>
        <w:rPr>
          <w:b w:val="0"/>
        </w:rPr>
      </w:pPr>
      <w:r>
        <w:rPr>
          <w:b w:val="0"/>
        </w:rPr>
        <w:t>The indicator used is earnings before interest, taxation,</w:t>
      </w:r>
      <w:r>
        <w:rPr>
          <w:b w:val="0"/>
          <w:spacing w:val="40"/>
        </w:rPr>
        <w:t> </w:t>
      </w:r>
      <w:r>
        <w:rPr>
          <w:b w:val="0"/>
        </w:rPr>
        <w:t>depreciation and amortisation (EBITDA) margin adjusted</w:t>
      </w:r>
      <w:r>
        <w:rPr>
          <w:b w:val="0"/>
          <w:spacing w:val="40"/>
        </w:rPr>
        <w:t> </w:t>
      </w:r>
      <w:r>
        <w:rPr>
          <w:b w:val="0"/>
        </w:rPr>
        <w:t>to remove total investment income to calculate the</w:t>
      </w:r>
      <w:r>
        <w:rPr>
          <w:b w:val="0"/>
          <w:spacing w:val="40"/>
        </w:rPr>
        <w:t> </w:t>
      </w:r>
      <w:r>
        <w:rPr>
          <w:b w:val="0"/>
        </w:rPr>
        <w:t>operating margin and represents the total funding</w:t>
      </w:r>
      <w:r>
        <w:rPr>
          <w:b w:val="0"/>
          <w:spacing w:val="40"/>
        </w:rPr>
        <w:t> </w:t>
      </w:r>
      <w:r>
        <w:rPr>
          <w:b w:val="0"/>
        </w:rPr>
        <w:t>available for servicing debt and investment into physical</w:t>
      </w:r>
      <w:r>
        <w:rPr>
          <w:b w:val="0"/>
          <w:spacing w:val="40"/>
        </w:rPr>
        <w:t> </w:t>
      </w:r>
      <w:r>
        <w:rPr>
          <w:b w:val="0"/>
        </w:rPr>
        <w:t>and capital infrastructure, ensuring sustainable</w:t>
      </w:r>
      <w:r>
        <w:rPr>
          <w:b w:val="0"/>
          <w:spacing w:val="40"/>
        </w:rPr>
        <w:t> </w:t>
      </w:r>
      <w:r>
        <w:rPr>
          <w:b w:val="0"/>
        </w:rPr>
        <w:t>operations. The University has adjusted the EBITDA</w:t>
      </w:r>
      <w:r>
        <w:rPr>
          <w:b w:val="0"/>
          <w:spacing w:val="40"/>
        </w:rPr>
        <w:t> </w:t>
      </w:r>
      <w:r>
        <w:rPr>
          <w:b w:val="0"/>
        </w:rPr>
        <w:t>margin to exclude investment income, removing this</w:t>
      </w:r>
      <w:r>
        <w:rPr>
          <w:b w:val="0"/>
          <w:spacing w:val="40"/>
        </w:rPr>
        <w:t> </w:t>
      </w:r>
      <w:r>
        <w:rPr>
          <w:b w:val="0"/>
        </w:rPr>
        <w:t>volatility in comparing any given year. The University</w:t>
      </w:r>
      <w:r>
        <w:rPr>
          <w:b w:val="0"/>
          <w:spacing w:val="40"/>
        </w:rPr>
        <w:t> </w:t>
      </w:r>
      <w:r>
        <w:rPr>
          <w:b w:val="0"/>
        </w:rPr>
        <w:t>separately monitors the effectiveness of its investment</w:t>
      </w:r>
      <w:r>
        <w:rPr>
          <w:b w:val="0"/>
          <w:spacing w:val="40"/>
        </w:rPr>
        <w:t> </w:t>
      </w:r>
      <w:r>
        <w:rPr>
          <w:b w:val="0"/>
        </w:rPr>
        <w:t>strategy and portfolio.</w:t>
      </w:r>
    </w:p>
    <w:p>
      <w:pPr>
        <w:pStyle w:val="BodyText"/>
        <w:spacing w:before="125"/>
        <w:ind w:left="213"/>
        <w:rPr>
          <w:b w:val="0"/>
        </w:rPr>
      </w:pPr>
      <w:r>
        <w:rPr/>
        <w:br w:type="column"/>
      </w:r>
      <w:r>
        <w:rPr>
          <w:b w:val="0"/>
        </w:rPr>
        <w:t>Performance on</w:t>
      </w:r>
      <w:r>
        <w:rPr>
          <w:b w:val="0"/>
          <w:spacing w:val="2"/>
        </w:rPr>
        <w:t> </w:t>
      </w:r>
      <w:r>
        <w:rPr>
          <w:b w:val="0"/>
        </w:rPr>
        <w:t>this</w:t>
      </w:r>
      <w:r>
        <w:rPr>
          <w:b w:val="0"/>
          <w:spacing w:val="2"/>
        </w:rPr>
        <w:t> </w:t>
      </w:r>
      <w:r>
        <w:rPr>
          <w:b w:val="0"/>
        </w:rPr>
        <w:t>indicator</w:t>
      </w:r>
      <w:r>
        <w:rPr>
          <w:b w:val="0"/>
          <w:spacing w:val="3"/>
        </w:rPr>
        <w:t> </w:t>
      </w:r>
      <w:r>
        <w:rPr>
          <w:b w:val="0"/>
        </w:rPr>
        <w:t>is</w:t>
      </w:r>
      <w:r>
        <w:rPr>
          <w:b w:val="0"/>
          <w:spacing w:val="2"/>
        </w:rPr>
        <w:t> </w:t>
      </w:r>
      <w:r>
        <w:rPr>
          <w:b w:val="0"/>
        </w:rPr>
        <w:t>primarily</w:t>
      </w:r>
      <w:r>
        <w:rPr>
          <w:b w:val="0"/>
          <w:spacing w:val="3"/>
        </w:rPr>
        <w:t> </w:t>
      </w:r>
      <w:r>
        <w:rPr>
          <w:b w:val="0"/>
        </w:rPr>
        <w:t>driven</w:t>
      </w:r>
      <w:r>
        <w:rPr>
          <w:b w:val="0"/>
          <w:spacing w:val="3"/>
        </w:rPr>
        <w:t> </w:t>
      </w:r>
      <w:r>
        <w:rPr>
          <w:b w:val="0"/>
          <w:spacing w:val="-5"/>
        </w:rPr>
        <w:t>by</w:t>
      </w:r>
    </w:p>
    <w:p>
      <w:pPr>
        <w:pStyle w:val="BodyText"/>
        <w:spacing w:line="295" w:lineRule="auto" w:before="49"/>
        <w:ind w:left="213" w:right="1140"/>
        <w:rPr>
          <w:b w:val="0"/>
        </w:rPr>
      </w:pPr>
      <w:r>
        <w:rPr>
          <w:b w:val="0"/>
        </w:rPr>
        <w:t>fee-paying student load and the efficiency in delivering</w:t>
      </w:r>
      <w:r>
        <w:rPr>
          <w:b w:val="0"/>
          <w:spacing w:val="40"/>
        </w:rPr>
        <w:t> </w:t>
      </w:r>
      <w:r>
        <w:rPr>
          <w:b w:val="0"/>
        </w:rPr>
        <w:t>core operations before the cost of servicing debt (interest)</w:t>
      </w:r>
      <w:r>
        <w:rPr>
          <w:b w:val="0"/>
          <w:spacing w:val="40"/>
        </w:rPr>
        <w:t> </w:t>
      </w:r>
      <w:r>
        <w:rPr>
          <w:b w:val="0"/>
        </w:rPr>
        <w:t>and the cost of capital investments (depreciation and</w:t>
      </w:r>
      <w:r>
        <w:rPr>
          <w:b w:val="0"/>
          <w:spacing w:val="40"/>
        </w:rPr>
        <w:t> </w:t>
      </w:r>
      <w:r>
        <w:rPr>
          <w:b w:val="0"/>
        </w:rPr>
        <w:t>amortisation). This indicator is also influenced by the</w:t>
      </w:r>
      <w:r>
        <w:rPr>
          <w:b w:val="0"/>
          <w:spacing w:val="40"/>
        </w:rPr>
        <w:t> </w:t>
      </w:r>
      <w:r>
        <w:rPr>
          <w:b w:val="0"/>
        </w:rPr>
        <w:t>timing of income and expenditure associated capital</w:t>
      </w:r>
      <w:r>
        <w:rPr>
          <w:b w:val="0"/>
          <w:spacing w:val="40"/>
        </w:rPr>
        <w:t> </w:t>
      </w:r>
      <w:r>
        <w:rPr>
          <w:b w:val="0"/>
        </w:rPr>
        <w:t>grants and donations, as well as expenditure associated</w:t>
      </w:r>
      <w:r>
        <w:rPr>
          <w:b w:val="0"/>
          <w:spacing w:val="40"/>
        </w:rPr>
        <w:t> </w:t>
      </w:r>
      <w:r>
        <w:rPr>
          <w:b w:val="0"/>
        </w:rPr>
        <w:t>with investments in academic excellence, student</w:t>
      </w:r>
      <w:r>
        <w:rPr>
          <w:b w:val="0"/>
          <w:spacing w:val="40"/>
        </w:rPr>
        <w:t> </w:t>
      </w:r>
      <w:r>
        <w:rPr>
          <w:b w:val="0"/>
        </w:rPr>
        <w:t>experience and other University strategic priorities.</w:t>
      </w:r>
    </w:p>
    <w:p>
      <w:pPr>
        <w:pStyle w:val="BodyText"/>
        <w:spacing w:before="52"/>
        <w:rPr>
          <w:b w:val="0"/>
        </w:rPr>
      </w:pPr>
    </w:p>
    <w:p>
      <w:pPr>
        <w:pStyle w:val="BodyText"/>
        <w:spacing w:line="295" w:lineRule="auto"/>
        <w:ind w:left="213" w:right="1336"/>
        <w:rPr>
          <w:b w:val="0"/>
        </w:rPr>
      </w:pPr>
      <w:r>
        <w:rPr>
          <w:b w:val="0"/>
        </w:rPr>
        <w:t>The University has exceeded both its 2019 performance</w:t>
      </w:r>
      <w:r>
        <w:rPr>
          <w:b w:val="0"/>
          <w:spacing w:val="40"/>
        </w:rPr>
        <w:t> </w:t>
      </w:r>
      <w:r>
        <w:rPr>
          <w:b w:val="0"/>
        </w:rPr>
        <w:t>and its 2020 target. This outcome was the result of a</w:t>
      </w:r>
      <w:r>
        <w:rPr>
          <w:b w:val="0"/>
          <w:spacing w:val="40"/>
        </w:rPr>
        <w:t> </w:t>
      </w:r>
      <w:r>
        <w:rPr>
          <w:b w:val="0"/>
        </w:rPr>
        <w:t>managed approach to reduce expenditure in light of</w:t>
      </w:r>
      <w:r>
        <w:rPr>
          <w:b w:val="0"/>
          <w:spacing w:val="40"/>
        </w:rPr>
        <w:t> </w:t>
      </w:r>
      <w:r>
        <w:rPr>
          <w:b w:val="0"/>
        </w:rPr>
        <w:t>uncertainty in current and future student revenues, as</w:t>
      </w:r>
    </w:p>
    <w:p>
      <w:pPr>
        <w:pStyle w:val="BodyText"/>
        <w:spacing w:line="295" w:lineRule="auto" w:before="3"/>
        <w:ind w:left="213" w:right="1239"/>
        <w:rPr>
          <w:b w:val="0"/>
        </w:rPr>
      </w:pPr>
      <w:r>
        <w:rPr>
          <w:b w:val="0"/>
        </w:rPr>
        <w:t>a result of the COVID-19 pandemic, as well as an early</w:t>
      </w:r>
      <w:r>
        <w:rPr>
          <w:b w:val="0"/>
          <w:spacing w:val="40"/>
        </w:rPr>
        <w:t> </w:t>
      </w:r>
      <w:r>
        <w:rPr>
          <w:b w:val="0"/>
        </w:rPr>
        <w:t>response in addressing the University’s structural deficit.</w:t>
      </w:r>
      <w:r>
        <w:rPr>
          <w:b w:val="0"/>
          <w:spacing w:val="40"/>
        </w:rPr>
        <w:t> </w:t>
      </w:r>
      <w:r>
        <w:rPr>
          <w:b w:val="0"/>
        </w:rPr>
        <w:t>The favourable uplift in margin against the prior year is</w:t>
      </w:r>
      <w:r>
        <w:rPr>
          <w:b w:val="0"/>
          <w:spacing w:val="40"/>
        </w:rPr>
        <w:t> </w:t>
      </w:r>
      <w:r>
        <w:rPr>
          <w:b w:val="0"/>
        </w:rPr>
        <w:t>also attributable to one-off capital donations receipted in</w:t>
      </w:r>
      <w:r>
        <w:rPr>
          <w:b w:val="0"/>
          <w:spacing w:val="40"/>
        </w:rPr>
        <w:t> </w:t>
      </w:r>
      <w:r>
        <w:rPr>
          <w:b w:val="0"/>
        </w:rPr>
        <w:t>2020 to fund the construction of EZONE Student Hub</w:t>
      </w:r>
      <w:r>
        <w:rPr>
          <w:b w:val="0"/>
          <w:spacing w:val="40"/>
        </w:rPr>
        <w:t> </w:t>
      </w:r>
      <w:r>
        <w:rPr>
          <w:b w:val="0"/>
        </w:rPr>
        <w:t>and Forrest Hall (stage 2). The University’s long-term</w:t>
      </w:r>
      <w:r>
        <w:rPr>
          <w:b w:val="0"/>
          <w:spacing w:val="40"/>
        </w:rPr>
        <w:t> </w:t>
      </w:r>
      <w:r>
        <w:rPr>
          <w:b w:val="0"/>
        </w:rPr>
        <w:t>target for adjusted EBITDA margin is greater than</w:t>
      </w:r>
    </w:p>
    <w:p>
      <w:pPr>
        <w:pStyle w:val="BodyText"/>
        <w:spacing w:line="295" w:lineRule="auto" w:before="9"/>
        <w:ind w:left="213" w:right="1003" w:hanging="1"/>
        <w:rPr>
          <w:b w:val="0"/>
        </w:rPr>
      </w:pPr>
      <w:r>
        <w:rPr>
          <w:b w:val="0"/>
        </w:rPr>
        <w:t>10 per cent to sustain suitable investment into core</w:t>
      </w:r>
      <w:r>
        <w:rPr>
          <w:b w:val="0"/>
          <w:spacing w:val="40"/>
        </w:rPr>
        <w:t> </w:t>
      </w:r>
      <w:r>
        <w:rPr>
          <w:b w:val="0"/>
        </w:rPr>
        <w:t>infrastructure and operations. Continuing to improve</w:t>
      </w:r>
      <w:r>
        <w:rPr>
          <w:b w:val="0"/>
          <w:spacing w:val="40"/>
        </w:rPr>
        <w:t> </w:t>
      </w:r>
      <w:r>
        <w:rPr>
          <w:b w:val="0"/>
        </w:rPr>
        <w:t>operating</w:t>
      </w:r>
      <w:r>
        <w:rPr>
          <w:b w:val="0"/>
          <w:spacing w:val="-5"/>
        </w:rPr>
        <w:t> </w:t>
      </w:r>
      <w:r>
        <w:rPr>
          <w:b w:val="0"/>
        </w:rPr>
        <w:t>margin</w:t>
      </w:r>
      <w:r>
        <w:rPr>
          <w:b w:val="0"/>
          <w:spacing w:val="-6"/>
        </w:rPr>
        <w:t> </w:t>
      </w:r>
      <w:r>
        <w:rPr>
          <w:b w:val="0"/>
        </w:rPr>
        <w:t>over</w:t>
      </w:r>
      <w:r>
        <w:rPr>
          <w:b w:val="0"/>
          <w:spacing w:val="-5"/>
        </w:rPr>
        <w:t> </w:t>
      </w:r>
      <w:r>
        <w:rPr>
          <w:b w:val="0"/>
        </w:rPr>
        <w:t>future</w:t>
      </w:r>
      <w:r>
        <w:rPr>
          <w:b w:val="0"/>
          <w:spacing w:val="-9"/>
        </w:rPr>
        <w:t> </w:t>
      </w:r>
      <w:r>
        <w:rPr>
          <w:b w:val="0"/>
        </w:rPr>
        <w:t>periods</w:t>
      </w:r>
      <w:r>
        <w:rPr>
          <w:b w:val="0"/>
          <w:spacing w:val="-9"/>
        </w:rPr>
        <w:t> </w:t>
      </w:r>
      <w:r>
        <w:rPr>
          <w:b w:val="0"/>
        </w:rPr>
        <w:t>will</w:t>
      </w:r>
      <w:r>
        <w:rPr>
          <w:b w:val="0"/>
          <w:spacing w:val="-9"/>
        </w:rPr>
        <w:t> </w:t>
      </w:r>
      <w:r>
        <w:rPr>
          <w:b w:val="0"/>
        </w:rPr>
        <w:t>be</w:t>
      </w:r>
      <w:r>
        <w:rPr>
          <w:b w:val="0"/>
          <w:spacing w:val="-9"/>
        </w:rPr>
        <w:t> </w:t>
      </w:r>
      <w:r>
        <w:rPr>
          <w:b w:val="0"/>
        </w:rPr>
        <w:t>a</w:t>
      </w:r>
      <w:r>
        <w:rPr>
          <w:b w:val="0"/>
          <w:spacing w:val="-9"/>
        </w:rPr>
        <w:t> </w:t>
      </w:r>
      <w:r>
        <w:rPr>
          <w:b w:val="0"/>
        </w:rPr>
        <w:t>key</w:t>
      </w:r>
      <w:r>
        <w:rPr>
          <w:b w:val="0"/>
          <w:spacing w:val="-9"/>
        </w:rPr>
        <w:t> </w:t>
      </w:r>
      <w:r>
        <w:rPr>
          <w:b w:val="0"/>
        </w:rPr>
        <w:t>strategic</w:t>
      </w:r>
      <w:r>
        <w:rPr>
          <w:b w:val="0"/>
          <w:spacing w:val="40"/>
        </w:rPr>
        <w:t> </w:t>
      </w:r>
      <w:r>
        <w:rPr>
          <w:b w:val="0"/>
        </w:rPr>
        <w:t>focus for the University.</w:t>
      </w:r>
    </w:p>
    <w:p>
      <w:pPr>
        <w:pStyle w:val="BodyText"/>
        <w:spacing w:before="48"/>
        <w:rPr>
          <w:b w:val="0"/>
        </w:rPr>
      </w:pPr>
    </w:p>
    <w:p>
      <w:pPr>
        <w:spacing w:before="0"/>
        <w:ind w:left="213" w:right="0" w:firstLine="0"/>
        <w:jc w:val="left"/>
        <w:rPr>
          <w:rFonts w:ascii="TT Norms Pro"/>
          <w:b/>
          <w:sz w:val="18"/>
        </w:rPr>
      </w:pPr>
      <w:r>
        <w:rPr>
          <w:rFonts w:ascii="TT Norms Pro"/>
          <w:b/>
          <w:sz w:val="18"/>
        </w:rPr>
        <w:t>Operating</w:t>
      </w:r>
      <w:r>
        <w:rPr>
          <w:rFonts w:ascii="TT Norms Pro"/>
          <w:b/>
          <w:spacing w:val="11"/>
          <w:sz w:val="18"/>
        </w:rPr>
        <w:t> </w:t>
      </w:r>
      <w:r>
        <w:rPr>
          <w:rFonts w:ascii="TT Norms Pro"/>
          <w:b/>
          <w:spacing w:val="-2"/>
          <w:sz w:val="18"/>
        </w:rPr>
        <w:t>margin*</w:t>
      </w:r>
    </w:p>
    <w:p>
      <w:pPr>
        <w:spacing w:after="0"/>
        <w:jc w:val="left"/>
        <w:rPr>
          <w:rFonts w:ascii="TT Norms Pro"/>
          <w:sz w:val="18"/>
        </w:rPr>
        <w:sectPr>
          <w:type w:val="continuous"/>
          <w:pgSz w:w="11910" w:h="16840"/>
          <w:pgMar w:header="468" w:footer="0" w:top="980" w:bottom="280" w:left="920" w:right="0"/>
          <w:cols w:num="2" w:equalWidth="0">
            <w:col w:w="4875" w:space="142"/>
            <w:col w:w="5973"/>
          </w:cols>
        </w:sectPr>
      </w:pPr>
    </w:p>
    <w:p>
      <w:pPr>
        <w:tabs>
          <w:tab w:pos="8068" w:val="left" w:leader="none"/>
          <w:tab w:pos="8812" w:val="left" w:leader="none"/>
        </w:tabs>
        <w:spacing w:before="147"/>
        <w:ind w:left="7165" w:right="0" w:firstLine="0"/>
        <w:jc w:val="left"/>
        <w:rPr>
          <w:rFonts w:ascii="TT Norms Pro"/>
          <w:b/>
          <w:sz w:val="14"/>
        </w:rPr>
      </w:pPr>
      <w:r>
        <w:rPr/>
        <mc:AlternateContent>
          <mc:Choice Requires="wps">
            <w:drawing>
              <wp:anchor distT="0" distB="0" distL="0" distR="0" allowOverlap="1" layoutInCell="1" locked="0" behindDoc="1" simplePos="0" relativeHeight="472711168">
                <wp:simplePos x="0" y="0"/>
                <wp:positionH relativeFrom="page">
                  <wp:posOffset>0</wp:posOffset>
                </wp:positionH>
                <wp:positionV relativeFrom="page">
                  <wp:posOffset>4287101</wp:posOffset>
                </wp:positionV>
                <wp:extent cx="7178040" cy="5685155"/>
                <wp:effectExtent l="0" t="0" r="0" b="0"/>
                <wp:wrapNone/>
                <wp:docPr id="817" name="Group 817"/>
                <wp:cNvGraphicFramePr>
                  <a:graphicFrameLocks/>
                </wp:cNvGraphicFramePr>
                <a:graphic>
                  <a:graphicData uri="http://schemas.microsoft.com/office/word/2010/wordprocessingGroup">
                    <wpg:wgp>
                      <wpg:cNvPr id="817" name="Group 817"/>
                      <wpg:cNvGrpSpPr/>
                      <wpg:grpSpPr>
                        <a:xfrm>
                          <a:off x="0" y="0"/>
                          <a:ext cx="7178040" cy="5685155"/>
                          <a:chExt cx="7178040" cy="5685155"/>
                        </a:xfrm>
                      </wpg:grpSpPr>
                      <pic:pic>
                        <pic:nvPicPr>
                          <pic:cNvPr id="818" name="Image 818"/>
                          <pic:cNvPicPr/>
                        </pic:nvPicPr>
                        <pic:blipFill>
                          <a:blip r:embed="rId91" cstate="print"/>
                          <a:stretch>
                            <a:fillRect/>
                          </a:stretch>
                        </pic:blipFill>
                        <pic:spPr>
                          <a:xfrm>
                            <a:off x="0" y="1473098"/>
                            <a:ext cx="6839991" cy="4211789"/>
                          </a:xfrm>
                          <a:prstGeom prst="rect">
                            <a:avLst/>
                          </a:prstGeom>
                        </pic:spPr>
                      </pic:pic>
                      <wps:wsp>
                        <wps:cNvPr id="819" name="Graphic 819"/>
                        <wps:cNvSpPr/>
                        <wps:spPr>
                          <a:xfrm>
                            <a:off x="3653993" y="0"/>
                            <a:ext cx="3523615" cy="3432810"/>
                          </a:xfrm>
                          <a:custGeom>
                            <a:avLst/>
                            <a:gdLst/>
                            <a:ahLst/>
                            <a:cxnLst/>
                            <a:rect l="l" t="t" r="r" b="b"/>
                            <a:pathLst>
                              <a:path w="3523615" h="3432810">
                                <a:moveTo>
                                  <a:pt x="3523500" y="0"/>
                                </a:moveTo>
                                <a:lnTo>
                                  <a:pt x="0" y="0"/>
                                </a:lnTo>
                                <a:lnTo>
                                  <a:pt x="0" y="3432302"/>
                                </a:lnTo>
                                <a:lnTo>
                                  <a:pt x="3523500" y="3432302"/>
                                </a:lnTo>
                                <a:lnTo>
                                  <a:pt x="3523500" y="0"/>
                                </a:lnTo>
                                <a:close/>
                              </a:path>
                            </a:pathLst>
                          </a:custGeom>
                          <a:solidFill>
                            <a:srgbClr val="FFFFFF"/>
                          </a:solidFill>
                        </wps:spPr>
                        <wps:bodyPr wrap="square" lIns="0" tIns="0" rIns="0" bIns="0" rtlCol="0">
                          <a:prstTxWarp prst="textNoShape">
                            <a:avLst/>
                          </a:prstTxWarp>
                          <a:noAutofit/>
                        </wps:bodyPr>
                      </wps:wsp>
                      <wps:wsp>
                        <wps:cNvPr id="820" name="Graphic 820"/>
                        <wps:cNvSpPr/>
                        <wps:spPr>
                          <a:xfrm>
                            <a:off x="3905999" y="1773605"/>
                            <a:ext cx="2934335" cy="401955"/>
                          </a:xfrm>
                          <a:custGeom>
                            <a:avLst/>
                            <a:gdLst/>
                            <a:ahLst/>
                            <a:cxnLst/>
                            <a:rect l="l" t="t" r="r" b="b"/>
                            <a:pathLst>
                              <a:path w="2934335" h="401955">
                                <a:moveTo>
                                  <a:pt x="2934004" y="0"/>
                                </a:moveTo>
                                <a:lnTo>
                                  <a:pt x="2934004" y="0"/>
                                </a:lnTo>
                                <a:lnTo>
                                  <a:pt x="0" y="0"/>
                                </a:lnTo>
                                <a:lnTo>
                                  <a:pt x="0" y="401574"/>
                                </a:lnTo>
                                <a:lnTo>
                                  <a:pt x="2934004" y="401574"/>
                                </a:lnTo>
                                <a:lnTo>
                                  <a:pt x="2934004" y="0"/>
                                </a:lnTo>
                                <a:close/>
                              </a:path>
                            </a:pathLst>
                          </a:custGeom>
                          <a:solidFill>
                            <a:srgbClr val="E6E7E8"/>
                          </a:solidFill>
                        </wps:spPr>
                        <wps:bodyPr wrap="square" lIns="0" tIns="0" rIns="0" bIns="0" rtlCol="0">
                          <a:prstTxWarp prst="textNoShape">
                            <a:avLst/>
                          </a:prstTxWarp>
                          <a:noAutofit/>
                        </wps:bodyPr>
                      </wps:wsp>
                      <wps:wsp>
                        <wps:cNvPr id="821" name="Graphic 821"/>
                        <wps:cNvSpPr/>
                        <wps:spPr>
                          <a:xfrm>
                            <a:off x="3906000" y="1557605"/>
                            <a:ext cx="889635" cy="1270"/>
                          </a:xfrm>
                          <a:custGeom>
                            <a:avLst/>
                            <a:gdLst/>
                            <a:ahLst/>
                            <a:cxnLst/>
                            <a:rect l="l" t="t" r="r" b="b"/>
                            <a:pathLst>
                              <a:path w="889635" h="0">
                                <a:moveTo>
                                  <a:pt x="0" y="0"/>
                                </a:moveTo>
                                <a:lnTo>
                                  <a:pt x="889203" y="0"/>
                                </a:lnTo>
                              </a:path>
                            </a:pathLst>
                          </a:custGeom>
                          <a:ln w="12700">
                            <a:solidFill>
                              <a:srgbClr val="000000"/>
                            </a:solidFill>
                            <a:prstDash val="solid"/>
                          </a:ln>
                        </wps:spPr>
                        <wps:bodyPr wrap="square" lIns="0" tIns="0" rIns="0" bIns="0" rtlCol="0">
                          <a:prstTxWarp prst="textNoShape">
                            <a:avLst/>
                          </a:prstTxWarp>
                          <a:noAutofit/>
                        </wps:bodyPr>
                      </wps:wsp>
                      <wps:wsp>
                        <wps:cNvPr id="822" name="Graphic 822"/>
                        <wps:cNvSpPr/>
                        <wps:spPr>
                          <a:xfrm>
                            <a:off x="4795199" y="1557605"/>
                            <a:ext cx="594360" cy="1270"/>
                          </a:xfrm>
                          <a:custGeom>
                            <a:avLst/>
                            <a:gdLst/>
                            <a:ahLst/>
                            <a:cxnLst/>
                            <a:rect l="l" t="t" r="r" b="b"/>
                            <a:pathLst>
                              <a:path w="594360" h="0">
                                <a:moveTo>
                                  <a:pt x="0" y="0"/>
                                </a:moveTo>
                                <a:lnTo>
                                  <a:pt x="594004" y="0"/>
                                </a:lnTo>
                              </a:path>
                            </a:pathLst>
                          </a:custGeom>
                          <a:ln w="12700">
                            <a:solidFill>
                              <a:srgbClr val="000000"/>
                            </a:solidFill>
                            <a:prstDash val="solid"/>
                          </a:ln>
                        </wps:spPr>
                        <wps:bodyPr wrap="square" lIns="0" tIns="0" rIns="0" bIns="0" rtlCol="0">
                          <a:prstTxWarp prst="textNoShape">
                            <a:avLst/>
                          </a:prstTxWarp>
                          <a:noAutofit/>
                        </wps:bodyPr>
                      </wps:wsp>
                      <wps:wsp>
                        <wps:cNvPr id="823" name="Graphic 823"/>
                        <wps:cNvSpPr/>
                        <wps:spPr>
                          <a:xfrm>
                            <a:off x="5389199" y="1557605"/>
                            <a:ext cx="594360" cy="1270"/>
                          </a:xfrm>
                          <a:custGeom>
                            <a:avLst/>
                            <a:gdLst/>
                            <a:ahLst/>
                            <a:cxnLst/>
                            <a:rect l="l" t="t" r="r" b="b"/>
                            <a:pathLst>
                              <a:path w="594360" h="0">
                                <a:moveTo>
                                  <a:pt x="0" y="0"/>
                                </a:moveTo>
                                <a:lnTo>
                                  <a:pt x="594004" y="0"/>
                                </a:lnTo>
                              </a:path>
                            </a:pathLst>
                          </a:custGeom>
                          <a:ln w="12700">
                            <a:solidFill>
                              <a:srgbClr val="000000"/>
                            </a:solidFill>
                            <a:prstDash val="solid"/>
                          </a:ln>
                        </wps:spPr>
                        <wps:bodyPr wrap="square" lIns="0" tIns="0" rIns="0" bIns="0" rtlCol="0">
                          <a:prstTxWarp prst="textNoShape">
                            <a:avLst/>
                          </a:prstTxWarp>
                          <a:noAutofit/>
                        </wps:bodyPr>
                      </wps:wsp>
                      <wps:wsp>
                        <wps:cNvPr id="824" name="Graphic 824"/>
                        <wps:cNvSpPr/>
                        <wps:spPr>
                          <a:xfrm>
                            <a:off x="5983199" y="1557605"/>
                            <a:ext cx="857250" cy="1270"/>
                          </a:xfrm>
                          <a:custGeom>
                            <a:avLst/>
                            <a:gdLst/>
                            <a:ahLst/>
                            <a:cxnLst/>
                            <a:rect l="l" t="t" r="r" b="b"/>
                            <a:pathLst>
                              <a:path w="857250" h="0">
                                <a:moveTo>
                                  <a:pt x="0" y="0"/>
                                </a:moveTo>
                                <a:lnTo>
                                  <a:pt x="856805" y="0"/>
                                </a:lnTo>
                              </a:path>
                            </a:pathLst>
                          </a:custGeom>
                          <a:ln w="12700">
                            <a:solidFill>
                              <a:srgbClr val="000000"/>
                            </a:solidFill>
                            <a:prstDash val="solid"/>
                          </a:ln>
                        </wps:spPr>
                        <wps:bodyPr wrap="square" lIns="0" tIns="0" rIns="0" bIns="0" rtlCol="0">
                          <a:prstTxWarp prst="textNoShape">
                            <a:avLst/>
                          </a:prstTxWarp>
                          <a:noAutofit/>
                        </wps:bodyPr>
                      </wps:wsp>
                      <wps:wsp>
                        <wps:cNvPr id="825" name="Graphic 825"/>
                        <wps:cNvSpPr/>
                        <wps:spPr>
                          <a:xfrm>
                            <a:off x="3906000" y="1773605"/>
                            <a:ext cx="889635" cy="1270"/>
                          </a:xfrm>
                          <a:custGeom>
                            <a:avLst/>
                            <a:gdLst/>
                            <a:ahLst/>
                            <a:cxnLst/>
                            <a:rect l="l" t="t" r="r" b="b"/>
                            <a:pathLst>
                              <a:path w="889635" h="0">
                                <a:moveTo>
                                  <a:pt x="0" y="0"/>
                                </a:moveTo>
                                <a:lnTo>
                                  <a:pt x="889203" y="0"/>
                                </a:lnTo>
                              </a:path>
                            </a:pathLst>
                          </a:custGeom>
                          <a:ln w="3175">
                            <a:solidFill>
                              <a:srgbClr val="000000"/>
                            </a:solidFill>
                            <a:prstDash val="solid"/>
                          </a:ln>
                        </wps:spPr>
                        <wps:bodyPr wrap="square" lIns="0" tIns="0" rIns="0" bIns="0" rtlCol="0">
                          <a:prstTxWarp prst="textNoShape">
                            <a:avLst/>
                          </a:prstTxWarp>
                          <a:noAutofit/>
                        </wps:bodyPr>
                      </wps:wsp>
                      <wps:wsp>
                        <wps:cNvPr id="826" name="Graphic 826"/>
                        <wps:cNvSpPr/>
                        <wps:spPr>
                          <a:xfrm>
                            <a:off x="4795199" y="1773605"/>
                            <a:ext cx="594360" cy="1270"/>
                          </a:xfrm>
                          <a:custGeom>
                            <a:avLst/>
                            <a:gdLst/>
                            <a:ahLst/>
                            <a:cxnLst/>
                            <a:rect l="l" t="t" r="r" b="b"/>
                            <a:pathLst>
                              <a:path w="594360" h="0">
                                <a:moveTo>
                                  <a:pt x="0" y="0"/>
                                </a:moveTo>
                                <a:lnTo>
                                  <a:pt x="594004" y="0"/>
                                </a:lnTo>
                              </a:path>
                            </a:pathLst>
                          </a:custGeom>
                          <a:ln w="3175">
                            <a:solidFill>
                              <a:srgbClr val="000000"/>
                            </a:solidFill>
                            <a:prstDash val="solid"/>
                          </a:ln>
                        </wps:spPr>
                        <wps:bodyPr wrap="square" lIns="0" tIns="0" rIns="0" bIns="0" rtlCol="0">
                          <a:prstTxWarp prst="textNoShape">
                            <a:avLst/>
                          </a:prstTxWarp>
                          <a:noAutofit/>
                        </wps:bodyPr>
                      </wps:wsp>
                      <wps:wsp>
                        <wps:cNvPr id="827" name="Graphic 827"/>
                        <wps:cNvSpPr/>
                        <wps:spPr>
                          <a:xfrm>
                            <a:off x="5389199" y="1773605"/>
                            <a:ext cx="594360" cy="1270"/>
                          </a:xfrm>
                          <a:custGeom>
                            <a:avLst/>
                            <a:gdLst/>
                            <a:ahLst/>
                            <a:cxnLst/>
                            <a:rect l="l" t="t" r="r" b="b"/>
                            <a:pathLst>
                              <a:path w="594360" h="0">
                                <a:moveTo>
                                  <a:pt x="0" y="0"/>
                                </a:moveTo>
                                <a:lnTo>
                                  <a:pt x="594004" y="0"/>
                                </a:lnTo>
                              </a:path>
                            </a:pathLst>
                          </a:custGeom>
                          <a:ln w="3175">
                            <a:solidFill>
                              <a:srgbClr val="000000"/>
                            </a:solidFill>
                            <a:prstDash val="solid"/>
                          </a:ln>
                        </wps:spPr>
                        <wps:bodyPr wrap="square" lIns="0" tIns="0" rIns="0" bIns="0" rtlCol="0">
                          <a:prstTxWarp prst="textNoShape">
                            <a:avLst/>
                          </a:prstTxWarp>
                          <a:noAutofit/>
                        </wps:bodyPr>
                      </wps:wsp>
                      <wps:wsp>
                        <wps:cNvPr id="828" name="Graphic 828"/>
                        <wps:cNvSpPr/>
                        <wps:spPr>
                          <a:xfrm>
                            <a:off x="5983199" y="1773605"/>
                            <a:ext cx="857250" cy="1270"/>
                          </a:xfrm>
                          <a:custGeom>
                            <a:avLst/>
                            <a:gdLst/>
                            <a:ahLst/>
                            <a:cxnLst/>
                            <a:rect l="l" t="t" r="r" b="b"/>
                            <a:pathLst>
                              <a:path w="857250" h="0">
                                <a:moveTo>
                                  <a:pt x="0" y="0"/>
                                </a:moveTo>
                                <a:lnTo>
                                  <a:pt x="856805" y="0"/>
                                </a:lnTo>
                              </a:path>
                            </a:pathLst>
                          </a:custGeom>
                          <a:ln w="3175">
                            <a:solidFill>
                              <a:srgbClr val="000000"/>
                            </a:solidFill>
                            <a:prstDash val="solid"/>
                          </a:ln>
                        </wps:spPr>
                        <wps:bodyPr wrap="square" lIns="0" tIns="0" rIns="0" bIns="0" rtlCol="0">
                          <a:prstTxWarp prst="textNoShape">
                            <a:avLst/>
                          </a:prstTxWarp>
                          <a:noAutofit/>
                        </wps:bodyPr>
                      </wps:wsp>
                      <wps:wsp>
                        <wps:cNvPr id="829" name="Textbox 829"/>
                        <wps:cNvSpPr txBox="1"/>
                        <wps:spPr>
                          <a:xfrm>
                            <a:off x="3942084" y="1790064"/>
                            <a:ext cx="807720" cy="368935"/>
                          </a:xfrm>
                          <a:prstGeom prst="rect">
                            <a:avLst/>
                          </a:prstGeom>
                        </wps:spPr>
                        <wps:txbx>
                          <w:txbxContent>
                            <w:p>
                              <w:pPr>
                                <w:spacing w:line="292" w:lineRule="auto" w:before="17"/>
                                <w:ind w:left="0" w:right="0" w:firstLine="0"/>
                                <w:jc w:val="left"/>
                                <w:rPr>
                                  <w:rFonts w:ascii="TT Norms Pro Light"/>
                                  <w:b w:val="0"/>
                                  <w:sz w:val="14"/>
                                </w:rPr>
                              </w:pPr>
                              <w:r>
                                <w:rPr>
                                  <w:rFonts w:ascii="TT Norms Pro Light"/>
                                  <w:b w:val="0"/>
                                  <w:sz w:val="14"/>
                                </w:rPr>
                                <w:t>Operating</w:t>
                              </w:r>
                              <w:r>
                                <w:rPr>
                                  <w:rFonts w:ascii="TT Norms Pro Light"/>
                                  <w:b w:val="0"/>
                                  <w:spacing w:val="-7"/>
                                  <w:sz w:val="14"/>
                                </w:rPr>
                                <w:t> </w:t>
                              </w:r>
                              <w:r>
                                <w:rPr>
                                  <w:rFonts w:ascii="TT Norms Pro Light"/>
                                  <w:b w:val="0"/>
                                  <w:sz w:val="14"/>
                                </w:rPr>
                                <w:t>margin*</w:t>
                              </w:r>
                              <w:r>
                                <w:rPr>
                                  <w:rFonts w:ascii="TT Norms Pro Light"/>
                                  <w:b w:val="0"/>
                                  <w:spacing w:val="40"/>
                                  <w:sz w:val="14"/>
                                </w:rPr>
                                <w:t> </w:t>
                              </w:r>
                              <w:r>
                                <w:rPr>
                                  <w:rFonts w:ascii="TT Norms Pro Light"/>
                                  <w:b w:val="0"/>
                                  <w:sz w:val="14"/>
                                </w:rPr>
                                <w:t>(excluding</w:t>
                              </w:r>
                              <w:r>
                                <w:rPr>
                                  <w:rFonts w:ascii="TT Norms Pro Light"/>
                                  <w:b w:val="0"/>
                                  <w:spacing w:val="-7"/>
                                  <w:sz w:val="14"/>
                                </w:rPr>
                                <w:t> </w:t>
                              </w:r>
                              <w:r>
                                <w:rPr>
                                  <w:rFonts w:ascii="TT Norms Pro Light"/>
                                  <w:b w:val="0"/>
                                  <w:sz w:val="14"/>
                                </w:rPr>
                                <w:t>total</w:t>
                              </w:r>
                            </w:p>
                            <w:p>
                              <w:pPr>
                                <w:spacing w:before="0"/>
                                <w:ind w:left="0" w:right="0" w:firstLine="0"/>
                                <w:jc w:val="left"/>
                                <w:rPr>
                                  <w:rFonts w:ascii="TT Norms Pro Light"/>
                                  <w:b w:val="0"/>
                                  <w:sz w:val="14"/>
                                </w:rPr>
                              </w:pPr>
                              <w:r>
                                <w:rPr>
                                  <w:rFonts w:ascii="TT Norms Pro Light"/>
                                  <w:b w:val="0"/>
                                  <w:sz w:val="14"/>
                                </w:rPr>
                                <w:t>investment</w:t>
                              </w:r>
                              <w:r>
                                <w:rPr>
                                  <w:rFonts w:ascii="TT Norms Pro Light"/>
                                  <w:b w:val="0"/>
                                  <w:spacing w:val="13"/>
                                  <w:sz w:val="14"/>
                                </w:rPr>
                                <w:t> </w:t>
                              </w:r>
                              <w:r>
                                <w:rPr>
                                  <w:rFonts w:ascii="TT Norms Pro Light"/>
                                  <w:b w:val="0"/>
                                  <w:spacing w:val="-2"/>
                                  <w:sz w:val="14"/>
                                </w:rPr>
                                <w:t>income)</w:t>
                              </w:r>
                            </w:p>
                          </w:txbxContent>
                        </wps:txbx>
                        <wps:bodyPr wrap="square" lIns="0" tIns="0" rIns="0" bIns="0" rtlCol="0">
                          <a:noAutofit/>
                        </wps:bodyPr>
                      </wps:wsp>
                      <wps:wsp>
                        <wps:cNvPr id="830" name="Textbox 830"/>
                        <wps:cNvSpPr txBox="1"/>
                        <wps:spPr>
                          <a:xfrm>
                            <a:off x="5159303" y="1790153"/>
                            <a:ext cx="209550" cy="114935"/>
                          </a:xfrm>
                          <a:prstGeom prst="rect">
                            <a:avLst/>
                          </a:prstGeom>
                        </wps:spPr>
                        <wps:txbx>
                          <w:txbxContent>
                            <w:p>
                              <w:pPr>
                                <w:spacing w:before="16"/>
                                <w:ind w:left="0" w:right="0" w:firstLine="0"/>
                                <w:jc w:val="left"/>
                                <w:rPr>
                                  <w:rFonts w:ascii="TT Norms Pro Light"/>
                                  <w:b w:val="0"/>
                                  <w:sz w:val="14"/>
                                </w:rPr>
                              </w:pPr>
                              <w:r>
                                <w:rPr>
                                  <w:rFonts w:ascii="TT Norms Pro Light"/>
                                  <w:b w:val="0"/>
                                  <w:spacing w:val="-4"/>
                                  <w:sz w:val="14"/>
                                </w:rPr>
                                <w:t>4.2%</w:t>
                              </w:r>
                            </w:p>
                          </w:txbxContent>
                        </wps:txbx>
                        <wps:bodyPr wrap="square" lIns="0" tIns="0" rIns="0" bIns="0" rtlCol="0">
                          <a:noAutofit/>
                        </wps:bodyPr>
                      </wps:wsp>
                      <wps:wsp>
                        <wps:cNvPr id="831" name="Textbox 831"/>
                        <wps:cNvSpPr txBox="1"/>
                        <wps:spPr>
                          <a:xfrm>
                            <a:off x="5756000" y="1790153"/>
                            <a:ext cx="204470" cy="114935"/>
                          </a:xfrm>
                          <a:prstGeom prst="rect">
                            <a:avLst/>
                          </a:prstGeom>
                        </wps:spPr>
                        <wps:txbx>
                          <w:txbxContent>
                            <w:p>
                              <w:pPr>
                                <w:spacing w:before="16"/>
                                <w:ind w:left="0" w:right="0" w:firstLine="0"/>
                                <w:jc w:val="left"/>
                                <w:rPr>
                                  <w:rFonts w:ascii="TT Norms Pro Light"/>
                                  <w:b w:val="0"/>
                                  <w:sz w:val="14"/>
                                </w:rPr>
                              </w:pPr>
                              <w:r>
                                <w:rPr>
                                  <w:rFonts w:ascii="TT Norms Pro Light"/>
                                  <w:b w:val="0"/>
                                  <w:spacing w:val="-4"/>
                                  <w:sz w:val="14"/>
                                </w:rPr>
                                <w:t>6.6%</w:t>
                              </w:r>
                            </w:p>
                          </w:txbxContent>
                        </wps:txbx>
                        <wps:bodyPr wrap="square" lIns="0" tIns="0" rIns="0" bIns="0" rtlCol="0">
                          <a:noAutofit/>
                        </wps:bodyPr>
                      </wps:wsp>
                      <wps:wsp>
                        <wps:cNvPr id="832" name="Textbox 832"/>
                        <wps:cNvSpPr txBox="1"/>
                        <wps:spPr>
                          <a:xfrm>
                            <a:off x="6609707" y="1790153"/>
                            <a:ext cx="207645" cy="114935"/>
                          </a:xfrm>
                          <a:prstGeom prst="rect">
                            <a:avLst/>
                          </a:prstGeom>
                        </wps:spPr>
                        <wps:txbx>
                          <w:txbxContent>
                            <w:p>
                              <w:pPr>
                                <w:spacing w:before="16"/>
                                <w:ind w:left="0" w:right="0" w:firstLine="0"/>
                                <w:jc w:val="left"/>
                                <w:rPr>
                                  <w:rFonts w:ascii="TT Norms Pro Light"/>
                                  <w:b w:val="0"/>
                                  <w:sz w:val="14"/>
                                </w:rPr>
                              </w:pPr>
                              <w:r>
                                <w:rPr>
                                  <w:rFonts w:ascii="TT Norms Pro Light"/>
                                  <w:b w:val="0"/>
                                  <w:spacing w:val="-4"/>
                                  <w:sz w:val="14"/>
                                </w:rPr>
                                <w:t>5.0%</w:t>
                              </w:r>
                            </w:p>
                          </w:txbxContent>
                        </wps:txbx>
                        <wps:bodyPr wrap="square" lIns="0" tIns="0" rIns="0" bIns="0" rtlCol="0">
                          <a:noAutofit/>
                        </wps:bodyPr>
                      </wps:wsp>
                    </wpg:wgp>
                  </a:graphicData>
                </a:graphic>
              </wp:anchor>
            </w:drawing>
          </mc:Choice>
          <mc:Fallback>
            <w:pict>
              <v:group style="position:absolute;margin-left:0pt;margin-top:337.567017pt;width:565.2pt;height:447.65pt;mso-position-horizontal-relative:page;mso-position-vertical-relative:page;z-index:-30605312" id="docshapegroup530" coordorigin="0,6751" coordsize="11304,8953">
                <v:shape style="position:absolute;left:0;top:9071;width:10772;height:6633" type="#_x0000_t75" id="docshape531" stroked="false">
                  <v:imagedata r:id="rId91" o:title=""/>
                </v:shape>
                <v:rect style="position:absolute;left:5754;top:6751;width:5549;height:5406" id="docshape532" filled="true" fillcolor="#ffffff" stroked="false">
                  <v:fill type="solid"/>
                </v:rect>
                <v:rect style="position:absolute;left:6151;top:9544;width:4621;height:633" id="docshape533" filled="true" fillcolor="#e6e7e8" stroked="false">
                  <v:fill type="solid"/>
                </v:rect>
                <v:line style="position:absolute" from="6151,9204" to="7552,9204" stroked="true" strokeweight="1pt" strokecolor="#000000">
                  <v:stroke dashstyle="solid"/>
                </v:line>
                <v:line style="position:absolute" from="7551,9204" to="8487,9204" stroked="true" strokeweight="1pt" strokecolor="#000000">
                  <v:stroke dashstyle="solid"/>
                </v:line>
                <v:line style="position:absolute" from="8487,9204" to="9422,9204" stroked="true" strokeweight="1pt" strokecolor="#000000">
                  <v:stroke dashstyle="solid"/>
                </v:line>
                <v:line style="position:absolute" from="9422,9204" to="10772,9204" stroked="true" strokeweight="1pt" strokecolor="#000000">
                  <v:stroke dashstyle="solid"/>
                </v:line>
                <v:line style="position:absolute" from="6151,9544" to="7552,9544" stroked="true" strokeweight=".25pt" strokecolor="#000000">
                  <v:stroke dashstyle="solid"/>
                </v:line>
                <v:line style="position:absolute" from="7551,9544" to="8487,9544" stroked="true" strokeweight=".25pt" strokecolor="#000000">
                  <v:stroke dashstyle="solid"/>
                </v:line>
                <v:line style="position:absolute" from="8487,9544" to="9422,9544" stroked="true" strokeweight=".25pt" strokecolor="#000000">
                  <v:stroke dashstyle="solid"/>
                </v:line>
                <v:line style="position:absolute" from="9422,9544" to="10772,9544" stroked="true" strokeweight=".25pt" strokecolor="#000000">
                  <v:stroke dashstyle="solid"/>
                </v:line>
                <v:shape style="position:absolute;left:6208;top:9570;width:1272;height:581" type="#_x0000_t202" id="docshape534" filled="false" stroked="false">
                  <v:textbox inset="0,0,0,0">
                    <w:txbxContent>
                      <w:p>
                        <w:pPr>
                          <w:spacing w:line="292" w:lineRule="auto" w:before="17"/>
                          <w:ind w:left="0" w:right="0" w:firstLine="0"/>
                          <w:jc w:val="left"/>
                          <w:rPr>
                            <w:rFonts w:ascii="TT Norms Pro Light"/>
                            <w:b w:val="0"/>
                            <w:sz w:val="14"/>
                          </w:rPr>
                        </w:pPr>
                        <w:r>
                          <w:rPr>
                            <w:rFonts w:ascii="TT Norms Pro Light"/>
                            <w:b w:val="0"/>
                            <w:sz w:val="14"/>
                          </w:rPr>
                          <w:t>Operating</w:t>
                        </w:r>
                        <w:r>
                          <w:rPr>
                            <w:rFonts w:ascii="TT Norms Pro Light"/>
                            <w:b w:val="0"/>
                            <w:spacing w:val="-7"/>
                            <w:sz w:val="14"/>
                          </w:rPr>
                          <w:t> </w:t>
                        </w:r>
                        <w:r>
                          <w:rPr>
                            <w:rFonts w:ascii="TT Norms Pro Light"/>
                            <w:b w:val="0"/>
                            <w:sz w:val="14"/>
                          </w:rPr>
                          <w:t>margin*</w:t>
                        </w:r>
                        <w:r>
                          <w:rPr>
                            <w:rFonts w:ascii="TT Norms Pro Light"/>
                            <w:b w:val="0"/>
                            <w:spacing w:val="40"/>
                            <w:sz w:val="14"/>
                          </w:rPr>
                          <w:t> </w:t>
                        </w:r>
                        <w:r>
                          <w:rPr>
                            <w:rFonts w:ascii="TT Norms Pro Light"/>
                            <w:b w:val="0"/>
                            <w:sz w:val="14"/>
                          </w:rPr>
                          <w:t>(excluding</w:t>
                        </w:r>
                        <w:r>
                          <w:rPr>
                            <w:rFonts w:ascii="TT Norms Pro Light"/>
                            <w:b w:val="0"/>
                            <w:spacing w:val="-7"/>
                            <w:sz w:val="14"/>
                          </w:rPr>
                          <w:t> </w:t>
                        </w:r>
                        <w:r>
                          <w:rPr>
                            <w:rFonts w:ascii="TT Norms Pro Light"/>
                            <w:b w:val="0"/>
                            <w:sz w:val="14"/>
                          </w:rPr>
                          <w:t>total</w:t>
                        </w:r>
                      </w:p>
                      <w:p>
                        <w:pPr>
                          <w:spacing w:before="0"/>
                          <w:ind w:left="0" w:right="0" w:firstLine="0"/>
                          <w:jc w:val="left"/>
                          <w:rPr>
                            <w:rFonts w:ascii="TT Norms Pro Light"/>
                            <w:b w:val="0"/>
                            <w:sz w:val="14"/>
                          </w:rPr>
                        </w:pPr>
                        <w:r>
                          <w:rPr>
                            <w:rFonts w:ascii="TT Norms Pro Light"/>
                            <w:b w:val="0"/>
                            <w:sz w:val="14"/>
                          </w:rPr>
                          <w:t>investment</w:t>
                        </w:r>
                        <w:r>
                          <w:rPr>
                            <w:rFonts w:ascii="TT Norms Pro Light"/>
                            <w:b w:val="0"/>
                            <w:spacing w:val="13"/>
                            <w:sz w:val="14"/>
                          </w:rPr>
                          <w:t> </w:t>
                        </w:r>
                        <w:r>
                          <w:rPr>
                            <w:rFonts w:ascii="TT Norms Pro Light"/>
                            <w:b w:val="0"/>
                            <w:spacing w:val="-2"/>
                            <w:sz w:val="14"/>
                          </w:rPr>
                          <w:t>income)</w:t>
                        </w:r>
                      </w:p>
                    </w:txbxContent>
                  </v:textbox>
                  <w10:wrap type="none"/>
                </v:shape>
                <v:shape style="position:absolute;left:8124;top:9570;width:330;height:181" type="#_x0000_t202" id="docshape535" filled="false" stroked="false">
                  <v:textbox inset="0,0,0,0">
                    <w:txbxContent>
                      <w:p>
                        <w:pPr>
                          <w:spacing w:before="16"/>
                          <w:ind w:left="0" w:right="0" w:firstLine="0"/>
                          <w:jc w:val="left"/>
                          <w:rPr>
                            <w:rFonts w:ascii="TT Norms Pro Light"/>
                            <w:b w:val="0"/>
                            <w:sz w:val="14"/>
                          </w:rPr>
                        </w:pPr>
                        <w:r>
                          <w:rPr>
                            <w:rFonts w:ascii="TT Norms Pro Light"/>
                            <w:b w:val="0"/>
                            <w:spacing w:val="-4"/>
                            <w:sz w:val="14"/>
                          </w:rPr>
                          <w:t>4.2%</w:t>
                        </w:r>
                      </w:p>
                    </w:txbxContent>
                  </v:textbox>
                  <w10:wrap type="none"/>
                </v:shape>
                <v:shape style="position:absolute;left:9064;top:9570;width:322;height:181" type="#_x0000_t202" id="docshape536" filled="false" stroked="false">
                  <v:textbox inset="0,0,0,0">
                    <w:txbxContent>
                      <w:p>
                        <w:pPr>
                          <w:spacing w:before="16"/>
                          <w:ind w:left="0" w:right="0" w:firstLine="0"/>
                          <w:jc w:val="left"/>
                          <w:rPr>
                            <w:rFonts w:ascii="TT Norms Pro Light"/>
                            <w:b w:val="0"/>
                            <w:sz w:val="14"/>
                          </w:rPr>
                        </w:pPr>
                        <w:r>
                          <w:rPr>
                            <w:rFonts w:ascii="TT Norms Pro Light"/>
                            <w:b w:val="0"/>
                            <w:spacing w:val="-4"/>
                            <w:sz w:val="14"/>
                          </w:rPr>
                          <w:t>6.6%</w:t>
                        </w:r>
                      </w:p>
                    </w:txbxContent>
                  </v:textbox>
                  <w10:wrap type="none"/>
                </v:shape>
                <v:shape style="position:absolute;left:10408;top:9570;width:327;height:181" type="#_x0000_t202" id="docshape537" filled="false" stroked="false">
                  <v:textbox inset="0,0,0,0">
                    <w:txbxContent>
                      <w:p>
                        <w:pPr>
                          <w:spacing w:before="16"/>
                          <w:ind w:left="0" w:right="0" w:firstLine="0"/>
                          <w:jc w:val="left"/>
                          <w:rPr>
                            <w:rFonts w:ascii="TT Norms Pro Light"/>
                            <w:b w:val="0"/>
                            <w:sz w:val="14"/>
                          </w:rPr>
                        </w:pPr>
                        <w:r>
                          <w:rPr>
                            <w:rFonts w:ascii="TT Norms Pro Light"/>
                            <w:b w:val="0"/>
                            <w:spacing w:val="-4"/>
                            <w:sz w:val="14"/>
                          </w:rPr>
                          <w:t>5.0%</w:t>
                        </w:r>
                      </w:p>
                    </w:txbxContent>
                  </v:textbox>
                  <w10:wrap type="none"/>
                </v:shape>
                <w10:wrap type="none"/>
              </v:group>
            </w:pict>
          </mc:Fallback>
        </mc:AlternateContent>
      </w:r>
      <w:r>
        <w:rPr>
          <w:rFonts w:ascii="TT Norms Pro"/>
          <w:b/>
          <w:spacing w:val="-4"/>
          <w:sz w:val="14"/>
        </w:rPr>
        <w:t>2019</w:t>
      </w:r>
      <w:r>
        <w:rPr>
          <w:rFonts w:ascii="TT Norms Pro"/>
          <w:b/>
          <w:sz w:val="14"/>
        </w:rPr>
        <w:tab/>
      </w:r>
      <w:r>
        <w:rPr>
          <w:rFonts w:ascii="TT Norms Pro"/>
          <w:b/>
          <w:spacing w:val="-4"/>
          <w:sz w:val="14"/>
        </w:rPr>
        <w:t>2020</w:t>
      </w:r>
      <w:r>
        <w:rPr>
          <w:rFonts w:ascii="TT Norms Pro"/>
          <w:b/>
          <w:sz w:val="14"/>
        </w:rPr>
        <w:tab/>
        <w:t>2020</w:t>
      </w:r>
      <w:r>
        <w:rPr>
          <w:rFonts w:ascii="TT Norms Pro"/>
          <w:b/>
          <w:spacing w:val="-4"/>
          <w:sz w:val="14"/>
        </w:rPr>
        <w:t> </w:t>
      </w:r>
      <w:r>
        <w:rPr>
          <w:rFonts w:ascii="TT Norms Pro"/>
          <w:b/>
          <w:spacing w:val="-2"/>
          <w:sz w:val="14"/>
        </w:rPr>
        <w:t>TARGET</w:t>
      </w:r>
    </w:p>
    <w:p>
      <w:pPr>
        <w:pStyle w:val="BodyText"/>
        <w:rPr>
          <w:rFonts w:ascii="TT Norms Pro"/>
          <w:b/>
          <w:sz w:val="14"/>
        </w:rPr>
      </w:pPr>
    </w:p>
    <w:p>
      <w:pPr>
        <w:pStyle w:val="BodyText"/>
        <w:rPr>
          <w:rFonts w:ascii="TT Norms Pro"/>
          <w:b/>
          <w:sz w:val="14"/>
        </w:rPr>
      </w:pPr>
    </w:p>
    <w:p>
      <w:pPr>
        <w:pStyle w:val="BodyText"/>
        <w:rPr>
          <w:rFonts w:ascii="TT Norms Pro"/>
          <w:b/>
          <w:sz w:val="14"/>
        </w:rPr>
      </w:pPr>
    </w:p>
    <w:p>
      <w:pPr>
        <w:pStyle w:val="BodyText"/>
        <w:spacing w:before="137"/>
        <w:rPr>
          <w:rFonts w:ascii="TT Norms Pro"/>
          <w:b/>
          <w:sz w:val="14"/>
        </w:rPr>
      </w:pPr>
    </w:p>
    <w:p>
      <w:pPr>
        <w:spacing w:before="0"/>
        <w:ind w:left="5231" w:right="0" w:firstLine="0"/>
        <w:jc w:val="left"/>
        <w:rPr>
          <w:rFonts w:ascii="TT Norms Pro Light"/>
          <w:b w:val="0"/>
          <w:sz w:val="14"/>
        </w:rPr>
      </w:pPr>
      <w:r>
        <w:rPr>
          <w:rFonts w:ascii="TT Norms Pro"/>
          <w:b/>
          <w:sz w:val="14"/>
        </w:rPr>
        <w:t>Data</w:t>
      </w:r>
      <w:r>
        <w:rPr>
          <w:rFonts w:ascii="TT Norms Pro"/>
          <w:b/>
          <w:spacing w:val="9"/>
          <w:sz w:val="14"/>
        </w:rPr>
        <w:t> </w:t>
      </w:r>
      <w:r>
        <w:rPr>
          <w:rFonts w:ascii="TT Norms Pro"/>
          <w:b/>
          <w:sz w:val="14"/>
        </w:rPr>
        <w:t>source:</w:t>
      </w:r>
      <w:r>
        <w:rPr>
          <w:rFonts w:ascii="TT Norms Pro"/>
          <w:b/>
          <w:spacing w:val="10"/>
          <w:sz w:val="14"/>
        </w:rPr>
        <w:t> </w:t>
      </w:r>
      <w:r>
        <w:rPr>
          <w:rFonts w:ascii="TT Norms Pro Light"/>
          <w:b w:val="0"/>
          <w:sz w:val="14"/>
        </w:rPr>
        <w:t>Audited</w:t>
      </w:r>
      <w:r>
        <w:rPr>
          <w:rFonts w:ascii="TT Norms Pro Light"/>
          <w:b w:val="0"/>
          <w:spacing w:val="9"/>
          <w:sz w:val="14"/>
        </w:rPr>
        <w:t> </w:t>
      </w:r>
      <w:r>
        <w:rPr>
          <w:rFonts w:ascii="TT Norms Pro Light"/>
          <w:b w:val="0"/>
          <w:sz w:val="14"/>
        </w:rPr>
        <w:t>financial</w:t>
      </w:r>
      <w:r>
        <w:rPr>
          <w:rFonts w:ascii="TT Norms Pro Light"/>
          <w:b w:val="0"/>
          <w:spacing w:val="9"/>
          <w:sz w:val="14"/>
        </w:rPr>
        <w:t> </w:t>
      </w:r>
      <w:r>
        <w:rPr>
          <w:rFonts w:ascii="TT Norms Pro Light"/>
          <w:b w:val="0"/>
          <w:sz w:val="14"/>
        </w:rPr>
        <w:t>statements</w:t>
      </w:r>
      <w:r>
        <w:rPr>
          <w:rFonts w:ascii="TT Norms Pro Light"/>
          <w:b w:val="0"/>
          <w:spacing w:val="10"/>
          <w:sz w:val="14"/>
        </w:rPr>
        <w:t> </w:t>
      </w:r>
      <w:r>
        <w:rPr>
          <w:rFonts w:ascii="TT Norms Pro Light"/>
          <w:b w:val="0"/>
          <w:sz w:val="14"/>
        </w:rPr>
        <w:t>at</w:t>
      </w:r>
      <w:r>
        <w:rPr>
          <w:rFonts w:ascii="TT Norms Pro Light"/>
          <w:b w:val="0"/>
          <w:spacing w:val="9"/>
          <w:sz w:val="14"/>
        </w:rPr>
        <w:t> </w:t>
      </w:r>
      <w:r>
        <w:rPr>
          <w:rFonts w:ascii="TT Norms Pro Light"/>
          <w:b w:val="0"/>
          <w:sz w:val="14"/>
        </w:rPr>
        <w:t>University</w:t>
      </w:r>
      <w:r>
        <w:rPr>
          <w:rFonts w:ascii="TT Norms Pro Light"/>
          <w:b w:val="0"/>
          <w:spacing w:val="9"/>
          <w:sz w:val="14"/>
        </w:rPr>
        <w:t> </w:t>
      </w:r>
      <w:r>
        <w:rPr>
          <w:rFonts w:ascii="TT Norms Pro Light"/>
          <w:b w:val="0"/>
          <w:spacing w:val="-2"/>
          <w:sz w:val="14"/>
        </w:rPr>
        <w:t>level.</w:t>
      </w:r>
    </w:p>
    <w:p>
      <w:pPr>
        <w:spacing w:line="264" w:lineRule="auto" w:before="130"/>
        <w:ind w:left="5231" w:right="1344" w:firstLine="0"/>
        <w:jc w:val="left"/>
        <w:rPr>
          <w:rFonts w:ascii="TT Norms Pro Light"/>
          <w:b w:val="0"/>
          <w:sz w:val="14"/>
        </w:rPr>
      </w:pPr>
      <w:r>
        <w:rPr>
          <w:rFonts w:ascii="TT Norms Pro"/>
          <w:b/>
          <w:sz w:val="14"/>
        </w:rPr>
        <w:t>Notes: </w:t>
      </w:r>
      <w:r>
        <w:rPr>
          <w:rFonts w:ascii="TT Norms Pro Light"/>
          <w:b w:val="0"/>
          <w:sz w:val="14"/>
        </w:rPr>
        <w:t>This indicator is revised compared to the margin result included</w:t>
      </w:r>
      <w:r>
        <w:rPr>
          <w:rFonts w:ascii="TT Norms Pro Light"/>
          <w:b w:val="0"/>
          <w:spacing w:val="80"/>
          <w:sz w:val="14"/>
        </w:rPr>
        <w:t> </w:t>
      </w:r>
      <w:r>
        <w:rPr>
          <w:rFonts w:ascii="TT Norms Pro Light"/>
          <w:b w:val="0"/>
          <w:sz w:val="14"/>
        </w:rPr>
        <w:t>in the 2019 Annual Report. The previously reported figure included total</w:t>
      </w:r>
      <w:r>
        <w:rPr>
          <w:rFonts w:ascii="TT Norms Pro Light"/>
          <w:b w:val="0"/>
          <w:spacing w:val="40"/>
          <w:sz w:val="14"/>
        </w:rPr>
        <w:t> </w:t>
      </w:r>
      <w:r>
        <w:rPr>
          <w:rFonts w:ascii="TT Norms Pro Light"/>
          <w:b w:val="0"/>
          <w:sz w:val="14"/>
        </w:rPr>
        <w:t>investment income in its calculation which has now been excluded.</w:t>
      </w:r>
    </w:p>
    <w:p>
      <w:pPr>
        <w:spacing w:line="264" w:lineRule="auto" w:before="0"/>
        <w:ind w:left="5231" w:right="1344" w:firstLine="0"/>
        <w:jc w:val="left"/>
        <w:rPr>
          <w:rFonts w:ascii="TT Norms Pro Light" w:hAnsi="TT Norms Pro Light"/>
          <w:b w:val="0"/>
          <w:sz w:val="14"/>
        </w:rPr>
      </w:pPr>
      <w:r>
        <w:rPr/>
        <mc:AlternateContent>
          <mc:Choice Requires="wps">
            <w:drawing>
              <wp:anchor distT="0" distB="0" distL="0" distR="0" allowOverlap="1" layoutInCell="1" locked="0" behindDoc="0" simplePos="0" relativeHeight="15858176">
                <wp:simplePos x="0" y="0"/>
                <wp:positionH relativeFrom="page">
                  <wp:posOffset>7111289</wp:posOffset>
                </wp:positionH>
                <wp:positionV relativeFrom="paragraph">
                  <wp:posOffset>1094126</wp:posOffset>
                </wp:positionV>
                <wp:extent cx="177800" cy="1848485"/>
                <wp:effectExtent l="0" t="0" r="0" b="0"/>
                <wp:wrapNone/>
                <wp:docPr id="833" name="Textbox 833"/>
                <wp:cNvGraphicFramePr>
                  <a:graphicFrameLocks/>
                </wp:cNvGraphicFramePr>
                <a:graphic>
                  <a:graphicData uri="http://schemas.microsoft.com/office/word/2010/wordprocessingShape">
                    <wps:wsp>
                      <wps:cNvPr id="833" name="Textbox 833"/>
                      <wps:cNvSpPr txBox="1"/>
                      <wps:spPr>
                        <a:xfrm>
                          <a:off x="0" y="0"/>
                          <a:ext cx="177800" cy="184848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86.151703pt;width:14pt;height:145.550pt;mso-position-horizontal-relative:page;mso-position-vertical-relative:paragraph;z-index:15858176" type="#_x0000_t202" id="docshape538"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v:textbox>
                <w10:wrap type="none"/>
              </v:shape>
            </w:pict>
          </mc:Fallback>
        </mc:AlternateContent>
      </w:r>
      <w:r>
        <w:rPr>
          <w:rFonts w:ascii="TT Norms Pro Light" w:hAnsi="TT Norms Pro Light"/>
          <w:b w:val="0"/>
          <w:sz w:val="14"/>
        </w:rPr>
        <w:t>*’Operating margin’ refers to the earnings before interest, taxation,</w:t>
      </w:r>
      <w:r>
        <w:rPr>
          <w:rFonts w:ascii="TT Norms Pro Light" w:hAnsi="TT Norms Pro Light"/>
          <w:b w:val="0"/>
          <w:spacing w:val="40"/>
          <w:sz w:val="14"/>
        </w:rPr>
        <w:t> </w:t>
      </w:r>
      <w:r>
        <w:rPr>
          <w:rFonts w:ascii="TT Norms Pro Light" w:hAnsi="TT Norms Pro Light"/>
          <w:b w:val="0"/>
          <w:sz w:val="14"/>
        </w:rPr>
        <w:t>depreciation and amortisation (EBITDA) margin, adjusted to exclude</w:t>
      </w:r>
      <w:r>
        <w:rPr>
          <w:rFonts w:ascii="TT Norms Pro Light" w:hAnsi="TT Norms Pro Light"/>
          <w:b w:val="0"/>
          <w:spacing w:val="40"/>
          <w:sz w:val="14"/>
        </w:rPr>
        <w:t> </w:t>
      </w:r>
      <w:r>
        <w:rPr>
          <w:rFonts w:ascii="TT Norms Pro Light" w:hAnsi="TT Norms Pro Light"/>
          <w:b w:val="0"/>
          <w:sz w:val="14"/>
        </w:rPr>
        <w:t>investment</w:t>
      </w:r>
      <w:r>
        <w:rPr>
          <w:rFonts w:ascii="TT Norms Pro Light" w:hAnsi="TT Norms Pro Light"/>
          <w:b w:val="0"/>
          <w:spacing w:val="-7"/>
          <w:sz w:val="14"/>
        </w:rPr>
        <w:t> </w:t>
      </w:r>
      <w:r>
        <w:rPr>
          <w:rFonts w:ascii="TT Norms Pro Light" w:hAnsi="TT Norms Pro Light"/>
          <w:b w:val="0"/>
          <w:sz w:val="14"/>
        </w:rPr>
        <w:t>income.</w:t>
      </w:r>
    </w:p>
    <w:p>
      <w:pPr>
        <w:spacing w:after="0" w:line="264" w:lineRule="auto"/>
        <w:jc w:val="left"/>
        <w:rPr>
          <w:rFonts w:ascii="TT Norms Pro Light" w:hAnsi="TT Norms Pro Light"/>
          <w:sz w:val="14"/>
        </w:rPr>
        <w:sectPr>
          <w:type w:val="continuous"/>
          <w:pgSz w:w="11910" w:h="16840"/>
          <w:pgMar w:header="468" w:footer="0" w:top="980" w:bottom="280" w:left="920" w:right="0"/>
        </w:sectPr>
      </w:pPr>
    </w:p>
    <w:p>
      <w:pPr>
        <w:pStyle w:val="Heading4"/>
        <w:spacing w:before="354"/>
        <w:ind w:left="206"/>
      </w:pPr>
      <w:r>
        <w:rPr/>
        <w:t>Capital</w:t>
      </w:r>
      <w:r>
        <w:rPr>
          <w:spacing w:val="-10"/>
        </w:rPr>
        <w:t> </w:t>
      </w:r>
      <w:r>
        <w:rPr>
          <w:spacing w:val="-2"/>
        </w:rPr>
        <w:t>projects</w:t>
      </w:r>
    </w:p>
    <w:p>
      <w:pPr>
        <w:pStyle w:val="BodyText"/>
        <w:rPr>
          <w:rFonts w:ascii="TT Norms Pro"/>
          <w:b/>
          <w:sz w:val="20"/>
        </w:rPr>
      </w:pPr>
    </w:p>
    <w:p>
      <w:pPr>
        <w:pStyle w:val="BodyText"/>
        <w:spacing w:before="6"/>
        <w:rPr>
          <w:rFonts w:ascii="TT Norms Pro"/>
          <w:b/>
          <w:sz w:val="20"/>
        </w:rPr>
      </w:pPr>
    </w:p>
    <w:p>
      <w:pPr>
        <w:spacing w:after="0"/>
        <w:rPr>
          <w:rFonts w:ascii="TT Norms Pro"/>
          <w:sz w:val="20"/>
        </w:rPr>
        <w:sectPr>
          <w:pgSz w:w="11910" w:h="16840"/>
          <w:pgMar w:header="468" w:footer="0" w:top="720" w:bottom="0" w:left="920" w:right="0"/>
        </w:sectPr>
      </w:pPr>
    </w:p>
    <w:p>
      <w:pPr>
        <w:spacing w:before="131"/>
        <w:ind w:left="213" w:right="0" w:firstLine="0"/>
        <w:jc w:val="left"/>
        <w:rPr>
          <w:rFonts w:ascii="TT Norms Pro"/>
          <w:b/>
          <w:sz w:val="22"/>
        </w:rPr>
      </w:pPr>
      <w:r>
        <w:rPr/>
        <mc:AlternateContent>
          <mc:Choice Requires="wps">
            <w:drawing>
              <wp:anchor distT="0" distB="0" distL="0" distR="0" allowOverlap="1" layoutInCell="1" locked="0" behindDoc="1" simplePos="0" relativeHeight="472712192">
                <wp:simplePos x="0" y="0"/>
                <wp:positionH relativeFrom="page">
                  <wp:posOffset>0</wp:posOffset>
                </wp:positionH>
                <wp:positionV relativeFrom="page">
                  <wp:posOffset>6231801</wp:posOffset>
                </wp:positionV>
                <wp:extent cx="7560309" cy="4460240"/>
                <wp:effectExtent l="0" t="0" r="0" b="0"/>
                <wp:wrapNone/>
                <wp:docPr id="834" name="Group 834"/>
                <wp:cNvGraphicFramePr>
                  <a:graphicFrameLocks/>
                </wp:cNvGraphicFramePr>
                <a:graphic>
                  <a:graphicData uri="http://schemas.microsoft.com/office/word/2010/wordprocessingGroup">
                    <wpg:wgp>
                      <wpg:cNvPr id="834" name="Group 834"/>
                      <wpg:cNvGrpSpPr/>
                      <wpg:grpSpPr>
                        <a:xfrm>
                          <a:off x="0" y="0"/>
                          <a:ext cx="7560309" cy="4460240"/>
                          <a:chExt cx="7560309" cy="4460240"/>
                        </a:xfrm>
                      </wpg:grpSpPr>
                      <pic:pic>
                        <pic:nvPicPr>
                          <pic:cNvPr id="835" name="Image 835"/>
                          <pic:cNvPicPr/>
                        </pic:nvPicPr>
                        <pic:blipFill>
                          <a:blip r:embed="rId92" cstate="print"/>
                          <a:stretch>
                            <a:fillRect/>
                          </a:stretch>
                        </pic:blipFill>
                        <pic:spPr>
                          <a:xfrm>
                            <a:off x="0" y="518198"/>
                            <a:ext cx="7559992" cy="3942003"/>
                          </a:xfrm>
                          <a:prstGeom prst="rect">
                            <a:avLst/>
                          </a:prstGeom>
                        </pic:spPr>
                      </pic:pic>
                      <wps:wsp>
                        <wps:cNvPr id="836" name="Graphic 836"/>
                        <wps:cNvSpPr/>
                        <wps:spPr>
                          <a:xfrm>
                            <a:off x="0" y="0"/>
                            <a:ext cx="3906520" cy="1805305"/>
                          </a:xfrm>
                          <a:custGeom>
                            <a:avLst/>
                            <a:gdLst/>
                            <a:ahLst/>
                            <a:cxnLst/>
                            <a:rect l="l" t="t" r="r" b="b"/>
                            <a:pathLst>
                              <a:path w="3906520" h="1805305">
                                <a:moveTo>
                                  <a:pt x="3905999" y="0"/>
                                </a:moveTo>
                                <a:lnTo>
                                  <a:pt x="0" y="0"/>
                                </a:lnTo>
                                <a:lnTo>
                                  <a:pt x="0" y="1805190"/>
                                </a:lnTo>
                                <a:lnTo>
                                  <a:pt x="3905999" y="1805190"/>
                                </a:lnTo>
                                <a:lnTo>
                                  <a:pt x="3905999"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490.693024pt;width:595.3pt;height:351.2pt;mso-position-horizontal-relative:page;mso-position-vertical-relative:page;z-index:-30604288" id="docshapegroup539" coordorigin="0,9814" coordsize="11906,7024">
                <v:shape style="position:absolute;left:0;top:10629;width:11906;height:6208" type="#_x0000_t75" id="docshape540" stroked="false">
                  <v:imagedata r:id="rId92" o:title=""/>
                </v:shape>
                <v:rect style="position:absolute;left:0;top:9813;width:6152;height:2843" id="docshape541" filled="true" fillcolor="#ffffff" stroked="false">
                  <v:fill type="solid"/>
                </v:rect>
                <w10:wrap type="none"/>
              </v:group>
            </w:pict>
          </mc:Fallback>
        </mc:AlternateContent>
      </w:r>
      <w:r>
        <w:rPr>
          <w:rFonts w:ascii="TT Norms Pro"/>
          <w:b/>
          <w:color w:val="21409A"/>
          <w:sz w:val="22"/>
        </w:rPr>
        <w:t>PHYSICAL</w:t>
      </w:r>
      <w:r>
        <w:rPr>
          <w:rFonts w:ascii="TT Norms Pro"/>
          <w:b/>
          <w:color w:val="21409A"/>
          <w:spacing w:val="78"/>
          <w:sz w:val="22"/>
        </w:rPr>
        <w:t> </w:t>
      </w:r>
      <w:r>
        <w:rPr>
          <w:rFonts w:ascii="TT Norms Pro"/>
          <w:b/>
          <w:color w:val="21409A"/>
          <w:spacing w:val="7"/>
          <w:sz w:val="22"/>
        </w:rPr>
        <w:t>INFRASTRUCTURE</w:t>
      </w:r>
    </w:p>
    <w:p>
      <w:pPr>
        <w:pStyle w:val="Heading9"/>
        <w:spacing w:before="136"/>
        <w:ind w:left="213"/>
      </w:pPr>
      <w:r>
        <w:rPr/>
        <w:t>MAJOR</w:t>
      </w:r>
      <w:r>
        <w:rPr>
          <w:spacing w:val="14"/>
        </w:rPr>
        <w:t> </w:t>
      </w:r>
      <w:r>
        <w:rPr/>
        <w:t>CAPITAL</w:t>
      </w:r>
      <w:r>
        <w:rPr>
          <w:spacing w:val="14"/>
        </w:rPr>
        <w:t> </w:t>
      </w:r>
      <w:r>
        <w:rPr>
          <w:spacing w:val="-2"/>
        </w:rPr>
        <w:t>PROJECTS</w:t>
      </w:r>
    </w:p>
    <w:p>
      <w:pPr>
        <w:pStyle w:val="BodyText"/>
        <w:spacing w:line="295" w:lineRule="auto" w:before="154"/>
        <w:ind w:left="213" w:right="226"/>
        <w:rPr>
          <w:b w:val="0"/>
        </w:rPr>
      </w:pPr>
      <w:r>
        <w:rPr>
          <w:b w:val="0"/>
        </w:rPr>
        <w:t>The University defines major capital projects as those</w:t>
      </w:r>
      <w:r>
        <w:rPr>
          <w:b w:val="0"/>
          <w:spacing w:val="40"/>
        </w:rPr>
        <w:t> </w:t>
      </w:r>
      <w:r>
        <w:rPr>
          <w:b w:val="0"/>
        </w:rPr>
        <w:t>costing more than $5 million. During 2020 the</w:t>
      </w:r>
      <w:r>
        <w:rPr>
          <w:b w:val="0"/>
          <w:spacing w:val="40"/>
        </w:rPr>
        <w:t> </w:t>
      </w:r>
      <w:r>
        <w:rPr>
          <w:b w:val="0"/>
        </w:rPr>
        <w:t>University spent $28 million ($47 million in 2019) on</w:t>
      </w:r>
      <w:r>
        <w:rPr>
          <w:b w:val="0"/>
          <w:spacing w:val="40"/>
        </w:rPr>
        <w:t> </w:t>
      </w:r>
      <w:r>
        <w:rPr>
          <w:b w:val="0"/>
        </w:rPr>
        <w:t>major capital projects. Total capital expenditure for</w:t>
      </w:r>
      <w:r>
        <w:rPr>
          <w:b w:val="0"/>
          <w:spacing w:val="40"/>
        </w:rPr>
        <w:t> </w:t>
      </w:r>
      <w:r>
        <w:rPr>
          <w:b w:val="0"/>
        </w:rPr>
        <w:t>Campus Management in 2020 was $36 million</w:t>
      </w:r>
    </w:p>
    <w:p>
      <w:pPr>
        <w:pStyle w:val="BodyText"/>
        <w:spacing w:before="5"/>
        <w:ind w:left="213"/>
        <w:rPr>
          <w:b w:val="0"/>
        </w:rPr>
      </w:pPr>
      <w:r>
        <w:rPr>
          <w:b w:val="0"/>
        </w:rPr>
        <w:t>($57 million in</w:t>
      </w:r>
      <w:r>
        <w:rPr>
          <w:b w:val="0"/>
          <w:spacing w:val="1"/>
        </w:rPr>
        <w:t> </w:t>
      </w:r>
      <w:r>
        <w:rPr>
          <w:b w:val="0"/>
          <w:spacing w:val="-2"/>
        </w:rPr>
        <w:t>2019).</w:t>
      </w:r>
    </w:p>
    <w:p>
      <w:pPr>
        <w:pStyle w:val="BodyText"/>
        <w:rPr>
          <w:b w:val="0"/>
        </w:rPr>
      </w:pPr>
    </w:p>
    <w:p>
      <w:pPr>
        <w:pStyle w:val="BodyText"/>
        <w:spacing w:before="177"/>
        <w:rPr>
          <w:b w:val="0"/>
        </w:rPr>
      </w:pPr>
    </w:p>
    <w:p>
      <w:pPr>
        <w:pStyle w:val="Heading9"/>
        <w:ind w:left="213"/>
      </w:pPr>
      <w:r>
        <w:rPr/>
        <w:t>COMPLETED</w:t>
      </w:r>
      <w:r>
        <w:rPr>
          <w:spacing w:val="20"/>
        </w:rPr>
        <w:t> </w:t>
      </w:r>
      <w:r>
        <w:rPr>
          <w:spacing w:val="-2"/>
        </w:rPr>
        <w:t>PROJECTS</w:t>
      </w:r>
    </w:p>
    <w:p>
      <w:pPr>
        <w:pStyle w:val="BodyText"/>
        <w:spacing w:line="295" w:lineRule="auto" w:before="154"/>
        <w:ind w:left="213"/>
        <w:rPr>
          <w:b w:val="0"/>
        </w:rPr>
      </w:pPr>
      <w:r>
        <w:rPr>
          <w:b w:val="0"/>
        </w:rPr>
        <w:t>2020 saw the completion of two significant capital</w:t>
      </w:r>
      <w:r>
        <w:rPr>
          <w:b w:val="0"/>
          <w:spacing w:val="40"/>
        </w:rPr>
        <w:t> </w:t>
      </w:r>
      <w:r>
        <w:rPr>
          <w:b w:val="0"/>
        </w:rPr>
        <w:t>projects, namely EZONE Student Hub and Bilya Marlee.</w:t>
      </w:r>
      <w:r>
        <w:rPr>
          <w:b w:val="0"/>
          <w:spacing w:val="40"/>
        </w:rPr>
        <w:t> </w:t>
      </w:r>
      <w:r>
        <w:rPr>
          <w:b w:val="0"/>
        </w:rPr>
        <w:t>Both projects were completed within budget and met all</w:t>
      </w:r>
      <w:r>
        <w:rPr>
          <w:b w:val="0"/>
          <w:spacing w:val="40"/>
        </w:rPr>
        <w:t> </w:t>
      </w:r>
      <w:r>
        <w:rPr>
          <w:b w:val="0"/>
        </w:rPr>
        <w:t>other project objectives.</w:t>
      </w:r>
    </w:p>
    <w:p>
      <w:pPr>
        <w:pStyle w:val="BodyText"/>
        <w:spacing w:before="48"/>
        <w:rPr>
          <w:b w:val="0"/>
        </w:rPr>
      </w:pPr>
    </w:p>
    <w:p>
      <w:pPr>
        <w:pStyle w:val="BodyText"/>
        <w:spacing w:line="295" w:lineRule="auto"/>
        <w:ind w:left="213" w:right="44"/>
        <w:rPr>
          <w:b w:val="0"/>
        </w:rPr>
      </w:pPr>
      <w:r>
        <w:rPr>
          <w:b w:val="0"/>
        </w:rPr>
        <w:t>Construction of the $80 million transformational EZONE</w:t>
      </w:r>
      <w:r>
        <w:rPr>
          <w:b w:val="0"/>
          <w:spacing w:val="40"/>
        </w:rPr>
        <w:t> </w:t>
      </w:r>
      <w:r>
        <w:rPr>
          <w:b w:val="0"/>
        </w:rPr>
        <w:t>Student Hub project commenced in April 2018 and was</w:t>
      </w:r>
      <w:r>
        <w:rPr>
          <w:b w:val="0"/>
          <w:spacing w:val="40"/>
        </w:rPr>
        <w:t> </w:t>
      </w:r>
      <w:r>
        <w:rPr>
          <w:b w:val="0"/>
        </w:rPr>
        <w:t>completed in April 2020. Activation of the building has</w:t>
      </w:r>
      <w:r>
        <w:rPr>
          <w:b w:val="0"/>
          <w:spacing w:val="40"/>
        </w:rPr>
        <w:t> </w:t>
      </w:r>
      <w:r>
        <w:rPr>
          <w:b w:val="0"/>
        </w:rPr>
        <w:t>been</w:t>
      </w:r>
      <w:r>
        <w:rPr>
          <w:b w:val="0"/>
          <w:spacing w:val="-1"/>
        </w:rPr>
        <w:t> </w:t>
      </w:r>
      <w:r>
        <w:rPr>
          <w:b w:val="0"/>
        </w:rPr>
        <w:t>key</w:t>
      </w:r>
      <w:r>
        <w:rPr>
          <w:b w:val="0"/>
          <w:spacing w:val="-1"/>
        </w:rPr>
        <w:t> </w:t>
      </w:r>
      <w:r>
        <w:rPr>
          <w:b w:val="0"/>
        </w:rPr>
        <w:t>to</w:t>
      </w:r>
      <w:r>
        <w:rPr>
          <w:b w:val="0"/>
          <w:spacing w:val="-1"/>
        </w:rPr>
        <w:t> </w:t>
      </w:r>
      <w:r>
        <w:rPr>
          <w:b w:val="0"/>
        </w:rPr>
        <w:t>its</w:t>
      </w:r>
      <w:r>
        <w:rPr>
          <w:b w:val="0"/>
          <w:spacing w:val="-1"/>
        </w:rPr>
        <w:t> </w:t>
      </w:r>
      <w:r>
        <w:rPr>
          <w:b w:val="0"/>
        </w:rPr>
        <w:t>success</w:t>
      </w:r>
      <w:r>
        <w:rPr>
          <w:b w:val="0"/>
          <w:spacing w:val="-1"/>
        </w:rPr>
        <w:t> </w:t>
      </w:r>
      <w:r>
        <w:rPr>
          <w:b w:val="0"/>
        </w:rPr>
        <w:t>as</w:t>
      </w:r>
      <w:r>
        <w:rPr>
          <w:b w:val="0"/>
          <w:spacing w:val="-1"/>
        </w:rPr>
        <w:t> </w:t>
      </w:r>
      <w:r>
        <w:rPr>
          <w:b w:val="0"/>
        </w:rPr>
        <w:t>a</w:t>
      </w:r>
      <w:r>
        <w:rPr>
          <w:b w:val="0"/>
          <w:spacing w:val="-1"/>
        </w:rPr>
        <w:t> </w:t>
      </w:r>
      <w:r>
        <w:rPr>
          <w:b w:val="0"/>
        </w:rPr>
        <w:t>vibrant</w:t>
      </w:r>
      <w:r>
        <w:rPr>
          <w:b w:val="0"/>
          <w:spacing w:val="-1"/>
        </w:rPr>
        <w:t> </w:t>
      </w:r>
      <w:r>
        <w:rPr>
          <w:b w:val="0"/>
        </w:rPr>
        <w:t>hub,</w:t>
      </w:r>
      <w:r>
        <w:rPr>
          <w:b w:val="0"/>
          <w:spacing w:val="-1"/>
        </w:rPr>
        <w:t> </w:t>
      </w:r>
      <w:r>
        <w:rPr>
          <w:b w:val="0"/>
        </w:rPr>
        <w:t>and</w:t>
      </w:r>
      <w:r>
        <w:rPr>
          <w:b w:val="0"/>
          <w:spacing w:val="-1"/>
        </w:rPr>
        <w:t> </w:t>
      </w:r>
      <w:r>
        <w:rPr>
          <w:b w:val="0"/>
        </w:rPr>
        <w:t>in</w:t>
      </w:r>
      <w:r>
        <w:rPr>
          <w:b w:val="0"/>
          <w:spacing w:val="-1"/>
        </w:rPr>
        <w:t> </w:t>
      </w:r>
      <w:r>
        <w:rPr>
          <w:b w:val="0"/>
        </w:rPr>
        <w:t>spite</w:t>
      </w:r>
      <w:r>
        <w:rPr>
          <w:b w:val="0"/>
          <w:spacing w:val="-1"/>
        </w:rPr>
        <w:t> </w:t>
      </w:r>
      <w:r>
        <w:rPr>
          <w:b w:val="0"/>
        </w:rPr>
        <w:t>of</w:t>
      </w:r>
      <w:r>
        <w:rPr>
          <w:b w:val="0"/>
          <w:spacing w:val="-1"/>
        </w:rPr>
        <w:t> </w:t>
      </w:r>
      <w:r>
        <w:rPr>
          <w:b w:val="0"/>
        </w:rPr>
        <w:t>the</w:t>
      </w:r>
      <w:r>
        <w:rPr>
          <w:b w:val="0"/>
          <w:spacing w:val="40"/>
        </w:rPr>
        <w:t> </w:t>
      </w:r>
      <w:r>
        <w:rPr>
          <w:b w:val="0"/>
        </w:rPr>
        <w:t>wider impact of COVID-19 on the overall level of activity</w:t>
      </w:r>
      <w:r>
        <w:rPr>
          <w:b w:val="0"/>
          <w:spacing w:val="40"/>
        </w:rPr>
        <w:t> </w:t>
      </w:r>
      <w:r>
        <w:rPr>
          <w:b w:val="0"/>
        </w:rPr>
        <w:t>on the campus, the utilisation of the EZONE building</w:t>
      </w:r>
      <w:r>
        <w:rPr>
          <w:b w:val="0"/>
          <w:spacing w:val="40"/>
        </w:rPr>
        <w:t> </w:t>
      </w:r>
      <w:r>
        <w:rPr>
          <w:b w:val="0"/>
        </w:rPr>
        <w:t>since its opening has been very strong.</w:t>
      </w:r>
    </w:p>
    <w:p>
      <w:pPr>
        <w:pStyle w:val="BodyText"/>
        <w:spacing w:before="51"/>
        <w:rPr>
          <w:b w:val="0"/>
        </w:rPr>
      </w:pPr>
    </w:p>
    <w:p>
      <w:pPr>
        <w:pStyle w:val="BodyText"/>
        <w:spacing w:line="295" w:lineRule="auto"/>
        <w:ind w:left="213" w:right="226"/>
        <w:rPr>
          <w:b w:val="0"/>
        </w:rPr>
      </w:pPr>
      <w:r>
        <w:rPr>
          <w:b w:val="0"/>
        </w:rPr>
        <w:t>Construction was also completed on the $17 million</w:t>
      </w:r>
      <w:r>
        <w:rPr>
          <w:b w:val="0"/>
          <w:spacing w:val="40"/>
        </w:rPr>
        <w:t> </w:t>
      </w:r>
      <w:r>
        <w:rPr>
          <w:b w:val="0"/>
        </w:rPr>
        <w:t>Bilya</w:t>
      </w:r>
      <w:r>
        <w:rPr>
          <w:b w:val="0"/>
          <w:spacing w:val="-1"/>
        </w:rPr>
        <w:t> </w:t>
      </w:r>
      <w:r>
        <w:rPr>
          <w:b w:val="0"/>
        </w:rPr>
        <w:t>Marlee</w:t>
      </w:r>
      <w:r>
        <w:rPr>
          <w:b w:val="0"/>
          <w:spacing w:val="-1"/>
        </w:rPr>
        <w:t> </w:t>
      </w:r>
      <w:r>
        <w:rPr>
          <w:b w:val="0"/>
        </w:rPr>
        <w:t>(River</w:t>
      </w:r>
      <w:r>
        <w:rPr>
          <w:b w:val="0"/>
          <w:spacing w:val="-1"/>
        </w:rPr>
        <w:t> </w:t>
      </w:r>
      <w:r>
        <w:rPr>
          <w:b w:val="0"/>
        </w:rPr>
        <w:t>of</w:t>
      </w:r>
      <w:r>
        <w:rPr>
          <w:b w:val="0"/>
          <w:spacing w:val="-1"/>
        </w:rPr>
        <w:t> </w:t>
      </w:r>
      <w:r>
        <w:rPr>
          <w:b w:val="0"/>
        </w:rPr>
        <w:t>the</w:t>
      </w:r>
      <w:r>
        <w:rPr>
          <w:b w:val="0"/>
          <w:spacing w:val="-1"/>
        </w:rPr>
        <w:t> </w:t>
      </w:r>
      <w:r>
        <w:rPr>
          <w:b w:val="0"/>
        </w:rPr>
        <w:t>Swan)</w:t>
      </w:r>
      <w:r>
        <w:rPr>
          <w:b w:val="0"/>
          <w:spacing w:val="-1"/>
        </w:rPr>
        <w:t> </w:t>
      </w:r>
      <w:r>
        <w:rPr>
          <w:b w:val="0"/>
        </w:rPr>
        <w:t>building</w:t>
      </w:r>
      <w:r>
        <w:rPr>
          <w:b w:val="0"/>
          <w:spacing w:val="-1"/>
        </w:rPr>
        <w:t> </w:t>
      </w:r>
      <w:r>
        <w:rPr>
          <w:b w:val="0"/>
        </w:rPr>
        <w:t>for</w:t>
      </w:r>
      <w:r>
        <w:rPr>
          <w:b w:val="0"/>
          <w:spacing w:val="-1"/>
        </w:rPr>
        <w:t> </w:t>
      </w:r>
      <w:r>
        <w:rPr>
          <w:b w:val="0"/>
        </w:rPr>
        <w:t>the</w:t>
      </w:r>
      <w:r>
        <w:rPr>
          <w:b w:val="0"/>
          <w:spacing w:val="-1"/>
        </w:rPr>
        <w:t> </w:t>
      </w:r>
      <w:r>
        <w:rPr>
          <w:b w:val="0"/>
        </w:rPr>
        <w:t>School</w:t>
      </w:r>
    </w:p>
    <w:p>
      <w:pPr>
        <w:pStyle w:val="BodyText"/>
        <w:spacing w:line="295" w:lineRule="auto" w:before="2"/>
        <w:ind w:left="213"/>
        <w:rPr>
          <w:b w:val="0"/>
        </w:rPr>
      </w:pPr>
      <w:r>
        <w:rPr>
          <w:b w:val="0"/>
        </w:rPr>
        <w:t>of Indigenous Studies, Centre for Aboriginal Medical and</w:t>
      </w:r>
      <w:r>
        <w:rPr>
          <w:b w:val="0"/>
          <w:spacing w:val="40"/>
        </w:rPr>
        <w:t> </w:t>
      </w:r>
      <w:r>
        <w:rPr>
          <w:b w:val="0"/>
        </w:rPr>
        <w:t>Dental Health and Poche Centre for Indigenous Health.</w:t>
      </w:r>
      <w:r>
        <w:rPr>
          <w:b w:val="0"/>
          <w:spacing w:val="40"/>
        </w:rPr>
        <w:t> </w:t>
      </w:r>
      <w:r>
        <w:rPr>
          <w:b w:val="0"/>
        </w:rPr>
        <w:t>The precinct includes the expansion of Prescott Court</w:t>
      </w:r>
      <w:r>
        <w:rPr>
          <w:b w:val="0"/>
          <w:spacing w:val="40"/>
        </w:rPr>
        <w:t> </w:t>
      </w:r>
      <w:r>
        <w:rPr>
          <w:b w:val="0"/>
        </w:rPr>
        <w:t>towards Hackett Drive, enhancing internal and external</w:t>
      </w:r>
      <w:r>
        <w:rPr>
          <w:b w:val="0"/>
          <w:spacing w:val="40"/>
        </w:rPr>
        <w:t> </w:t>
      </w:r>
      <w:r>
        <w:rPr>
          <w:b w:val="0"/>
        </w:rPr>
        <w:t>space</w:t>
      </w:r>
      <w:r>
        <w:rPr>
          <w:b w:val="0"/>
          <w:spacing w:val="-5"/>
        </w:rPr>
        <w:t> </w:t>
      </w:r>
      <w:r>
        <w:rPr>
          <w:b w:val="0"/>
        </w:rPr>
        <w:t>integration.</w:t>
      </w:r>
    </w:p>
    <w:p>
      <w:pPr>
        <w:pStyle w:val="BodyText"/>
        <w:spacing w:before="49"/>
        <w:rPr>
          <w:b w:val="0"/>
        </w:rPr>
      </w:pPr>
    </w:p>
    <w:p>
      <w:pPr>
        <w:pStyle w:val="BodyText"/>
        <w:spacing w:line="295" w:lineRule="auto"/>
        <w:ind w:left="213" w:right="60"/>
        <w:rPr>
          <w:b w:val="0"/>
        </w:rPr>
      </w:pPr>
      <w:r>
        <w:rPr>
          <w:b w:val="0"/>
        </w:rPr>
        <w:t>An $11 million Asset Integrity and Minor Works program</w:t>
      </w:r>
      <w:r>
        <w:rPr>
          <w:b w:val="0"/>
          <w:spacing w:val="40"/>
        </w:rPr>
        <w:t> </w:t>
      </w:r>
      <w:r>
        <w:rPr>
          <w:b w:val="0"/>
        </w:rPr>
        <w:t>was also delivered focusing primarily on compliance,</w:t>
      </w:r>
      <w:r>
        <w:rPr>
          <w:b w:val="0"/>
          <w:spacing w:val="40"/>
        </w:rPr>
        <w:t> </w:t>
      </w:r>
      <w:r>
        <w:rPr>
          <w:b w:val="0"/>
        </w:rPr>
        <w:t>safety and essential infrastructure projects as well as an</w:t>
      </w:r>
      <w:r>
        <w:rPr>
          <w:b w:val="0"/>
          <w:spacing w:val="40"/>
        </w:rPr>
        <w:t> </w:t>
      </w:r>
      <w:r>
        <w:rPr>
          <w:b w:val="0"/>
        </w:rPr>
        <w:t>element of teaching and learning space improvements at</w:t>
      </w:r>
      <w:r>
        <w:rPr>
          <w:b w:val="0"/>
          <w:spacing w:val="40"/>
        </w:rPr>
        <w:t> </w:t>
      </w:r>
      <w:r>
        <w:rPr>
          <w:b w:val="0"/>
        </w:rPr>
        <w:t>discrete</w:t>
      </w:r>
      <w:r>
        <w:rPr>
          <w:b w:val="0"/>
          <w:spacing w:val="-5"/>
        </w:rPr>
        <w:t> </w:t>
      </w:r>
      <w:r>
        <w:rPr>
          <w:b w:val="0"/>
        </w:rPr>
        <w:t>locations.</w:t>
      </w:r>
    </w:p>
    <w:p>
      <w:pPr>
        <w:pStyle w:val="Heading9"/>
        <w:spacing w:before="131"/>
        <w:ind w:left="213"/>
      </w:pPr>
      <w:r>
        <w:rPr>
          <w:b w:val="0"/>
        </w:rPr>
        <w:br w:type="column"/>
      </w:r>
      <w:r>
        <w:rPr/>
        <w:t>PROJECTS</w:t>
      </w:r>
      <w:r>
        <w:rPr>
          <w:spacing w:val="12"/>
        </w:rPr>
        <w:t> </w:t>
      </w:r>
      <w:r>
        <w:rPr/>
        <w:t>IN</w:t>
      </w:r>
      <w:r>
        <w:rPr>
          <w:spacing w:val="12"/>
        </w:rPr>
        <w:t> </w:t>
      </w:r>
      <w:r>
        <w:rPr>
          <w:spacing w:val="-2"/>
        </w:rPr>
        <w:t>PROGRESS</w:t>
      </w:r>
    </w:p>
    <w:p>
      <w:pPr>
        <w:pStyle w:val="BodyText"/>
        <w:spacing w:line="295" w:lineRule="auto" w:before="154"/>
        <w:ind w:left="213" w:right="1137"/>
        <w:rPr>
          <w:b w:val="0"/>
        </w:rPr>
      </w:pPr>
      <w:r>
        <w:rPr>
          <w:b w:val="0"/>
        </w:rPr>
        <w:t>Stage 2 of Forrest Hall is now well under way and is</w:t>
      </w:r>
      <w:r>
        <w:rPr>
          <w:b w:val="0"/>
          <w:spacing w:val="40"/>
        </w:rPr>
        <w:t> </w:t>
      </w:r>
      <w:r>
        <w:rPr>
          <w:b w:val="0"/>
        </w:rPr>
        <w:t>expected to be completed in 2021. The building has been</w:t>
      </w:r>
      <w:r>
        <w:rPr>
          <w:b w:val="0"/>
          <w:spacing w:val="40"/>
        </w:rPr>
        <w:t> </w:t>
      </w:r>
      <w:r>
        <w:rPr>
          <w:b w:val="0"/>
        </w:rPr>
        <w:t>designed to keep within the style of the existing Forrest</w:t>
      </w:r>
      <w:r>
        <w:rPr>
          <w:b w:val="0"/>
          <w:spacing w:val="40"/>
        </w:rPr>
        <w:t> </w:t>
      </w:r>
      <w:r>
        <w:rPr>
          <w:b w:val="0"/>
        </w:rPr>
        <w:t>Hall building and has been made possible by a generous</w:t>
      </w:r>
      <w:r>
        <w:rPr>
          <w:b w:val="0"/>
          <w:spacing w:val="40"/>
        </w:rPr>
        <w:t> </w:t>
      </w:r>
      <w:r>
        <w:rPr>
          <w:b w:val="0"/>
        </w:rPr>
        <w:t>donation from the Minderoo Foundation. The fit out of the</w:t>
      </w:r>
      <w:r>
        <w:rPr>
          <w:b w:val="0"/>
          <w:spacing w:val="40"/>
        </w:rPr>
        <w:t> </w:t>
      </w:r>
      <w:r>
        <w:rPr>
          <w:b w:val="0"/>
        </w:rPr>
        <w:t>office space for Minderoo (who will occupy the ground</w:t>
      </w:r>
      <w:r>
        <w:rPr>
          <w:b w:val="0"/>
          <w:spacing w:val="40"/>
        </w:rPr>
        <w:t> </w:t>
      </w:r>
      <w:r>
        <w:rPr>
          <w:b w:val="0"/>
        </w:rPr>
        <w:t>floor) will run concurrently with the main build thereby</w:t>
      </w:r>
      <w:r>
        <w:rPr>
          <w:b w:val="0"/>
          <w:spacing w:val="40"/>
        </w:rPr>
        <w:t> </w:t>
      </w:r>
      <w:r>
        <w:rPr>
          <w:b w:val="0"/>
        </w:rPr>
        <w:t>ensuring all construction works are complete by the</w:t>
      </w:r>
      <w:r>
        <w:rPr>
          <w:b w:val="0"/>
          <w:spacing w:val="40"/>
        </w:rPr>
        <w:t> </w:t>
      </w:r>
      <w:r>
        <w:rPr>
          <w:b w:val="0"/>
        </w:rPr>
        <w:t>aforementioned</w:t>
      </w:r>
      <w:r>
        <w:rPr>
          <w:b w:val="0"/>
          <w:spacing w:val="-5"/>
        </w:rPr>
        <w:t> </w:t>
      </w:r>
      <w:r>
        <w:rPr>
          <w:b w:val="0"/>
        </w:rPr>
        <w:t>date.</w:t>
      </w:r>
    </w:p>
    <w:p>
      <w:pPr>
        <w:pStyle w:val="BodyText"/>
        <w:spacing w:before="53"/>
        <w:rPr>
          <w:b w:val="0"/>
        </w:rPr>
      </w:pPr>
    </w:p>
    <w:p>
      <w:pPr>
        <w:pStyle w:val="BodyText"/>
        <w:spacing w:line="295" w:lineRule="auto"/>
        <w:ind w:left="213" w:right="1132"/>
        <w:rPr>
          <w:b w:val="0"/>
        </w:rPr>
      </w:pPr>
      <w:r>
        <w:rPr>
          <w:b w:val="0"/>
        </w:rPr>
        <w:t>The first stage of works to create accommodation for the</w:t>
      </w:r>
      <w:r>
        <w:rPr>
          <w:b w:val="0"/>
          <w:spacing w:val="40"/>
        </w:rPr>
        <w:t> </w:t>
      </w:r>
      <w:r>
        <w:rPr>
          <w:b w:val="0"/>
        </w:rPr>
        <w:t>new Doctor of Optometry course is now on site at QEII</w:t>
      </w:r>
      <w:r>
        <w:rPr>
          <w:b w:val="0"/>
          <w:spacing w:val="40"/>
        </w:rPr>
        <w:t> </w:t>
      </w:r>
      <w:r>
        <w:rPr>
          <w:b w:val="0"/>
        </w:rPr>
        <w:t>Medical Centre. The course will be taught in N Block and</w:t>
      </w:r>
      <w:r>
        <w:rPr>
          <w:b w:val="0"/>
          <w:spacing w:val="40"/>
        </w:rPr>
        <w:t> </w:t>
      </w:r>
      <w:r>
        <w:rPr>
          <w:b w:val="0"/>
        </w:rPr>
        <w:t>construction works are scheduled in two stages, with a</w:t>
      </w:r>
      <w:r>
        <w:rPr>
          <w:b w:val="0"/>
          <w:spacing w:val="40"/>
        </w:rPr>
        <w:t> </w:t>
      </w:r>
      <w:r>
        <w:rPr>
          <w:b w:val="0"/>
        </w:rPr>
        <w:t>subsequent stage expected to commence in late 2021/22.</w:t>
      </w:r>
      <w:r>
        <w:rPr>
          <w:b w:val="0"/>
          <w:spacing w:val="40"/>
        </w:rPr>
        <w:t> </w:t>
      </w:r>
      <w:r>
        <w:rPr>
          <w:b w:val="0"/>
        </w:rPr>
        <w:t>Total allocated budget for the project is $3.1 million.</w:t>
      </w:r>
    </w:p>
    <w:p>
      <w:pPr>
        <w:pStyle w:val="BodyText"/>
        <w:spacing w:before="50"/>
        <w:rPr>
          <w:b w:val="0"/>
        </w:rPr>
      </w:pPr>
    </w:p>
    <w:p>
      <w:pPr>
        <w:pStyle w:val="BodyText"/>
        <w:spacing w:line="295" w:lineRule="auto"/>
        <w:ind w:left="213" w:right="1336"/>
        <w:rPr>
          <w:b w:val="0"/>
        </w:rPr>
      </w:pPr>
      <w:r>
        <w:rPr>
          <w:b w:val="0"/>
        </w:rPr>
        <w:t>A major infrastructure project is in progress to enhance</w:t>
      </w:r>
      <w:r>
        <w:rPr>
          <w:b w:val="0"/>
          <w:spacing w:val="40"/>
        </w:rPr>
        <w:t> </w:t>
      </w:r>
      <w:r>
        <w:rPr>
          <w:b w:val="0"/>
        </w:rPr>
        <w:t>the University’s building cooling resilience via its central</w:t>
      </w:r>
      <w:r>
        <w:rPr>
          <w:b w:val="0"/>
          <w:spacing w:val="40"/>
        </w:rPr>
        <w:t> </w:t>
      </w:r>
      <w:r>
        <w:rPr>
          <w:b w:val="0"/>
        </w:rPr>
        <w:t>chilled water system, to ensure critical performance</w:t>
      </w:r>
      <w:r>
        <w:rPr>
          <w:b w:val="0"/>
          <w:spacing w:val="40"/>
        </w:rPr>
        <w:t> </w:t>
      </w:r>
      <w:r>
        <w:rPr>
          <w:b w:val="0"/>
        </w:rPr>
        <w:t>criteria are met. The project is highly technical in nature</w:t>
      </w:r>
      <w:r>
        <w:rPr>
          <w:b w:val="0"/>
          <w:spacing w:val="40"/>
        </w:rPr>
        <w:t> </w:t>
      </w:r>
      <w:r>
        <w:rPr>
          <w:b w:val="0"/>
        </w:rPr>
        <w:t>and comprises of three primary components – thermal</w:t>
      </w:r>
      <w:r>
        <w:rPr>
          <w:b w:val="0"/>
          <w:spacing w:val="40"/>
        </w:rPr>
        <w:t> </w:t>
      </w:r>
      <w:r>
        <w:rPr>
          <w:b w:val="0"/>
        </w:rPr>
        <w:t>energy storage capacity, supply and distribution</w:t>
      </w:r>
      <w:r>
        <w:rPr>
          <w:b w:val="0"/>
          <w:spacing w:val="40"/>
        </w:rPr>
        <w:t> </w:t>
      </w:r>
      <w:r>
        <w:rPr>
          <w:b w:val="0"/>
        </w:rPr>
        <w:t>management, and demand management. The total</w:t>
      </w:r>
      <w:r>
        <w:rPr>
          <w:b w:val="0"/>
          <w:spacing w:val="40"/>
        </w:rPr>
        <w:t> </w:t>
      </w:r>
      <w:r>
        <w:rPr>
          <w:b w:val="0"/>
        </w:rPr>
        <w:t>project costs are $5.2 million.</w:t>
      </w:r>
    </w:p>
    <w:p>
      <w:pPr>
        <w:pStyle w:val="BodyText"/>
        <w:spacing w:before="51"/>
        <w:rPr>
          <w:b w:val="0"/>
        </w:rPr>
      </w:pPr>
    </w:p>
    <w:p>
      <w:pPr>
        <w:pStyle w:val="BodyText"/>
        <w:spacing w:line="295" w:lineRule="auto" w:before="1"/>
        <w:ind w:left="213" w:right="1336"/>
        <w:rPr>
          <w:b w:val="0"/>
        </w:rPr>
      </w:pPr>
      <w:r>
        <w:rPr>
          <w:b w:val="0"/>
        </w:rPr>
        <w:t>An</w:t>
      </w:r>
      <w:r>
        <w:rPr>
          <w:b w:val="0"/>
          <w:spacing w:val="-1"/>
        </w:rPr>
        <w:t> </w:t>
      </w:r>
      <w:r>
        <w:rPr>
          <w:b w:val="0"/>
        </w:rPr>
        <w:t>additional</w:t>
      </w:r>
      <w:r>
        <w:rPr>
          <w:b w:val="0"/>
          <w:spacing w:val="-1"/>
        </w:rPr>
        <w:t> </w:t>
      </w:r>
      <w:r>
        <w:rPr>
          <w:b w:val="0"/>
        </w:rPr>
        <w:t>$9.5</w:t>
      </w:r>
      <w:r>
        <w:rPr>
          <w:b w:val="0"/>
          <w:spacing w:val="-1"/>
        </w:rPr>
        <w:t> </w:t>
      </w:r>
      <w:r>
        <w:rPr>
          <w:b w:val="0"/>
        </w:rPr>
        <w:t>million</w:t>
      </w:r>
      <w:r>
        <w:rPr>
          <w:b w:val="0"/>
          <w:spacing w:val="-1"/>
        </w:rPr>
        <w:t> </w:t>
      </w:r>
      <w:r>
        <w:rPr>
          <w:b w:val="0"/>
        </w:rPr>
        <w:t>has</w:t>
      </w:r>
      <w:r>
        <w:rPr>
          <w:b w:val="0"/>
          <w:spacing w:val="-1"/>
        </w:rPr>
        <w:t> </w:t>
      </w:r>
      <w:r>
        <w:rPr>
          <w:b w:val="0"/>
        </w:rPr>
        <w:t>been</w:t>
      </w:r>
      <w:r>
        <w:rPr>
          <w:b w:val="0"/>
          <w:spacing w:val="-1"/>
        </w:rPr>
        <w:t> </w:t>
      </w:r>
      <w:r>
        <w:rPr>
          <w:b w:val="0"/>
        </w:rPr>
        <w:t>allocated</w:t>
      </w:r>
      <w:r>
        <w:rPr>
          <w:b w:val="0"/>
          <w:spacing w:val="-1"/>
        </w:rPr>
        <w:t> </w:t>
      </w:r>
      <w:r>
        <w:rPr>
          <w:b w:val="0"/>
        </w:rPr>
        <w:t>in</w:t>
      </w:r>
      <w:r>
        <w:rPr>
          <w:b w:val="0"/>
          <w:spacing w:val="-1"/>
        </w:rPr>
        <w:t> </w:t>
      </w:r>
      <w:r>
        <w:rPr>
          <w:b w:val="0"/>
        </w:rPr>
        <w:t>2021</w:t>
      </w:r>
      <w:r>
        <w:rPr>
          <w:b w:val="0"/>
          <w:spacing w:val="-1"/>
        </w:rPr>
        <w:t> </w:t>
      </w:r>
      <w:r>
        <w:rPr>
          <w:b w:val="0"/>
        </w:rPr>
        <w:t>to</w:t>
      </w:r>
      <w:r>
        <w:rPr>
          <w:b w:val="0"/>
          <w:spacing w:val="40"/>
        </w:rPr>
        <w:t> </w:t>
      </w:r>
      <w:r>
        <w:rPr>
          <w:b w:val="0"/>
        </w:rPr>
        <w:t>address infrastructure and compliance projects. This</w:t>
      </w:r>
      <w:r>
        <w:rPr>
          <w:b w:val="0"/>
          <w:spacing w:val="40"/>
        </w:rPr>
        <w:t> </w:t>
      </w:r>
      <w:r>
        <w:rPr>
          <w:b w:val="0"/>
        </w:rPr>
        <w:t>work will be delivered through the course of 2021.</w:t>
      </w:r>
    </w:p>
    <w:p>
      <w:pPr>
        <w:spacing w:after="0" w:line="295" w:lineRule="auto"/>
        <w:sectPr>
          <w:type w:val="continuous"/>
          <w:pgSz w:w="11910" w:h="16840"/>
          <w:pgMar w:header="468" w:footer="0" w:top="980" w:bottom="280" w:left="920" w:right="0"/>
          <w:cols w:num="2" w:equalWidth="0">
            <w:col w:w="4817" w:space="200"/>
            <w:col w:w="5973"/>
          </w:cols>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149"/>
        <w:rPr>
          <w:b w:val="0"/>
          <w:sz w:val="20"/>
        </w:rPr>
      </w:pPr>
    </w:p>
    <w:p>
      <w:pPr>
        <w:spacing w:after="0"/>
        <w:rPr>
          <w:sz w:val="20"/>
        </w:rPr>
        <w:sectPr>
          <w:pgSz w:w="11910" w:h="16840"/>
          <w:pgMar w:header="468" w:footer="0" w:top="720" w:bottom="0" w:left="920" w:right="0"/>
        </w:sectPr>
      </w:pPr>
    </w:p>
    <w:p>
      <w:pPr>
        <w:spacing w:before="131"/>
        <w:ind w:left="213" w:right="0" w:firstLine="0"/>
        <w:jc w:val="left"/>
        <w:rPr>
          <w:rFonts w:ascii="TT Norms Pro"/>
          <w:b/>
          <w:sz w:val="22"/>
        </w:rPr>
      </w:pPr>
      <w:r>
        <w:rPr/>
        <mc:AlternateContent>
          <mc:Choice Requires="wps">
            <w:drawing>
              <wp:anchor distT="0" distB="0" distL="0" distR="0" allowOverlap="1" layoutInCell="1" locked="0" behindDoc="1" simplePos="0" relativeHeight="472713216">
                <wp:simplePos x="0" y="0"/>
                <wp:positionH relativeFrom="page">
                  <wp:posOffset>0</wp:posOffset>
                </wp:positionH>
                <wp:positionV relativeFrom="page">
                  <wp:posOffset>6452997</wp:posOffset>
                </wp:positionV>
                <wp:extent cx="7560309" cy="4239260"/>
                <wp:effectExtent l="0" t="0" r="0" b="0"/>
                <wp:wrapNone/>
                <wp:docPr id="837" name="Group 837"/>
                <wp:cNvGraphicFramePr>
                  <a:graphicFrameLocks/>
                </wp:cNvGraphicFramePr>
                <a:graphic>
                  <a:graphicData uri="http://schemas.microsoft.com/office/word/2010/wordprocessingGroup">
                    <wpg:wgp>
                      <wpg:cNvPr id="837" name="Group 837"/>
                      <wpg:cNvGrpSpPr/>
                      <wpg:grpSpPr>
                        <a:xfrm>
                          <a:off x="0" y="0"/>
                          <a:ext cx="7560309" cy="4239260"/>
                          <a:chExt cx="7560309" cy="4239260"/>
                        </a:xfrm>
                      </wpg:grpSpPr>
                      <pic:pic>
                        <pic:nvPicPr>
                          <pic:cNvPr id="838" name="Image 838"/>
                          <pic:cNvPicPr/>
                        </pic:nvPicPr>
                        <pic:blipFill>
                          <a:blip r:embed="rId93" cstate="print"/>
                          <a:stretch>
                            <a:fillRect/>
                          </a:stretch>
                        </pic:blipFill>
                        <pic:spPr>
                          <a:xfrm>
                            <a:off x="0" y="297002"/>
                            <a:ext cx="7559992" cy="3942003"/>
                          </a:xfrm>
                          <a:prstGeom prst="rect">
                            <a:avLst/>
                          </a:prstGeom>
                        </pic:spPr>
                      </pic:pic>
                      <wps:wsp>
                        <wps:cNvPr id="839" name="Graphic 839"/>
                        <wps:cNvSpPr/>
                        <wps:spPr>
                          <a:xfrm>
                            <a:off x="0" y="0"/>
                            <a:ext cx="7560309" cy="2090420"/>
                          </a:xfrm>
                          <a:custGeom>
                            <a:avLst/>
                            <a:gdLst/>
                            <a:ahLst/>
                            <a:cxnLst/>
                            <a:rect l="l" t="t" r="r" b="b"/>
                            <a:pathLst>
                              <a:path w="7560309" h="2090420">
                                <a:moveTo>
                                  <a:pt x="7559992" y="134404"/>
                                </a:moveTo>
                                <a:lnTo>
                                  <a:pt x="4073296" y="134404"/>
                                </a:lnTo>
                                <a:lnTo>
                                  <a:pt x="4073296" y="0"/>
                                </a:lnTo>
                                <a:lnTo>
                                  <a:pt x="0" y="0"/>
                                </a:lnTo>
                                <a:lnTo>
                                  <a:pt x="0" y="1583994"/>
                                </a:lnTo>
                                <a:lnTo>
                                  <a:pt x="3660356" y="1583994"/>
                                </a:lnTo>
                                <a:lnTo>
                                  <a:pt x="3660356" y="2090216"/>
                                </a:lnTo>
                                <a:lnTo>
                                  <a:pt x="7559992" y="2090216"/>
                                </a:lnTo>
                                <a:lnTo>
                                  <a:pt x="7559992" y="134404"/>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508.110016pt;width:595.3pt;height:333.8pt;mso-position-horizontal-relative:page;mso-position-vertical-relative:page;z-index:-30603264" id="docshapegroup542" coordorigin="0,10162" coordsize="11906,6676">
                <v:shape style="position:absolute;left:0;top:10629;width:11906;height:6208" type="#_x0000_t75" id="docshape543" stroked="false">
                  <v:imagedata r:id="rId93" o:title=""/>
                </v:shape>
                <v:shape style="position:absolute;left:0;top:10162;width:11906;height:3292" id="docshape544" coordorigin="0,10162" coordsize="11906,3292" path="m11906,10374l6415,10374,6415,10162,0,10162,0,12657,5764,12657,5764,13454,11906,13454,11906,10374xe" filled="true" fillcolor="#ffffff" stroked="false">
                  <v:path arrowok="t"/>
                  <v:fill type="solid"/>
                </v:shape>
                <w10:wrap type="none"/>
              </v:group>
            </w:pict>
          </mc:Fallback>
        </mc:AlternateContent>
      </w:r>
      <w:r>
        <w:rPr>
          <w:rFonts w:ascii="TT Norms Pro"/>
          <w:b/>
          <w:color w:val="21409A"/>
          <w:sz w:val="22"/>
        </w:rPr>
        <w:t>DIGITAL</w:t>
      </w:r>
      <w:r>
        <w:rPr>
          <w:rFonts w:ascii="TT Norms Pro"/>
          <w:b/>
          <w:color w:val="21409A"/>
          <w:spacing w:val="53"/>
          <w:sz w:val="22"/>
        </w:rPr>
        <w:t> </w:t>
      </w:r>
      <w:r>
        <w:rPr>
          <w:rFonts w:ascii="TT Norms Pro"/>
          <w:b/>
          <w:color w:val="21409A"/>
          <w:spacing w:val="7"/>
          <w:sz w:val="22"/>
        </w:rPr>
        <w:t>INFRASTRUCTURE</w:t>
      </w:r>
    </w:p>
    <w:p>
      <w:pPr>
        <w:pStyle w:val="Heading9"/>
        <w:spacing w:line="261" w:lineRule="auto" w:before="136"/>
        <w:ind w:left="213"/>
      </w:pPr>
      <w:r>
        <w:rPr/>
        <w:t>MAJOR TECHNOLOGY CAPITAL </w:t>
      </w:r>
      <w:r>
        <w:rPr>
          <w:spacing w:val="-2"/>
        </w:rPr>
        <w:t>PROJECTS</w:t>
      </w:r>
    </w:p>
    <w:p>
      <w:pPr>
        <w:pStyle w:val="BodyText"/>
        <w:spacing w:line="295" w:lineRule="auto" w:before="130"/>
        <w:ind w:left="213"/>
        <w:rPr>
          <w:b w:val="0"/>
        </w:rPr>
      </w:pPr>
      <w:r>
        <w:rPr>
          <w:b w:val="0"/>
        </w:rPr>
        <w:t>We continue to advance our information and</w:t>
      </w:r>
      <w:r>
        <w:rPr>
          <w:b w:val="0"/>
          <w:spacing w:val="40"/>
        </w:rPr>
        <w:t> </w:t>
      </w:r>
      <w:r>
        <w:rPr>
          <w:b w:val="0"/>
        </w:rPr>
        <w:t>communications technology infrastructure and digital</w:t>
      </w:r>
      <w:r>
        <w:rPr>
          <w:b w:val="0"/>
          <w:spacing w:val="40"/>
        </w:rPr>
        <w:t> </w:t>
      </w:r>
      <w:r>
        <w:rPr>
          <w:b w:val="0"/>
        </w:rPr>
        <w:t>transformation by optimising products, channels, and</w:t>
      </w:r>
      <w:r>
        <w:rPr>
          <w:b w:val="0"/>
          <w:spacing w:val="40"/>
        </w:rPr>
        <w:t> </w:t>
      </w:r>
      <w:r>
        <w:rPr>
          <w:b w:val="0"/>
        </w:rPr>
        <w:t>platforms, supporting smarter network growth,</w:t>
      </w:r>
      <w:r>
        <w:rPr>
          <w:b w:val="0"/>
          <w:spacing w:val="40"/>
        </w:rPr>
        <w:t> </w:t>
      </w:r>
      <w:r>
        <w:rPr>
          <w:b w:val="0"/>
        </w:rPr>
        <w:t>implementing reliable core business systems, and</w:t>
      </w:r>
      <w:r>
        <w:rPr>
          <w:b w:val="0"/>
          <w:spacing w:val="40"/>
        </w:rPr>
        <w:t> </w:t>
      </w:r>
      <w:r>
        <w:rPr>
          <w:b w:val="0"/>
        </w:rPr>
        <w:t>protecting against cyber threats.</w:t>
      </w:r>
    </w:p>
    <w:p>
      <w:pPr>
        <w:pStyle w:val="BodyText"/>
        <w:rPr>
          <w:b w:val="0"/>
        </w:rPr>
      </w:pPr>
    </w:p>
    <w:p>
      <w:pPr>
        <w:pStyle w:val="BodyText"/>
        <w:spacing w:before="133"/>
        <w:rPr>
          <w:b w:val="0"/>
        </w:rPr>
      </w:pPr>
    </w:p>
    <w:p>
      <w:pPr>
        <w:pStyle w:val="Heading9"/>
        <w:spacing w:before="1"/>
        <w:ind w:left="213"/>
      </w:pPr>
      <w:r>
        <w:rPr/>
        <w:t>COMPLETED</w:t>
      </w:r>
      <w:r>
        <w:rPr>
          <w:spacing w:val="20"/>
        </w:rPr>
        <w:t> </w:t>
      </w:r>
      <w:r>
        <w:rPr>
          <w:spacing w:val="-2"/>
        </w:rPr>
        <w:t>PROJECTS</w:t>
      </w:r>
    </w:p>
    <w:p>
      <w:pPr>
        <w:pStyle w:val="BodyText"/>
        <w:spacing w:line="295" w:lineRule="auto" w:before="154"/>
        <w:ind w:left="213" w:right="147"/>
        <w:rPr>
          <w:b w:val="0"/>
        </w:rPr>
      </w:pPr>
      <w:r>
        <w:rPr>
          <w:b w:val="0"/>
        </w:rPr>
        <w:t>The University spent $9.4 million on major technology</w:t>
      </w:r>
      <w:r>
        <w:rPr>
          <w:b w:val="0"/>
          <w:spacing w:val="40"/>
        </w:rPr>
        <w:t> </w:t>
      </w:r>
      <w:r>
        <w:rPr>
          <w:b w:val="0"/>
        </w:rPr>
        <w:t>projects in 2020 (compared to $8.7 million in 2019),</w:t>
      </w:r>
      <w:r>
        <w:rPr>
          <w:b w:val="0"/>
          <w:spacing w:val="40"/>
        </w:rPr>
        <w:t> </w:t>
      </w:r>
      <w:r>
        <w:rPr>
          <w:b w:val="0"/>
        </w:rPr>
        <w:t>which</w:t>
      </w:r>
      <w:r>
        <w:rPr>
          <w:b w:val="0"/>
          <w:spacing w:val="-1"/>
        </w:rPr>
        <w:t> </w:t>
      </w:r>
      <w:r>
        <w:rPr>
          <w:b w:val="0"/>
        </w:rPr>
        <w:t>delivered</w:t>
      </w:r>
      <w:r>
        <w:rPr>
          <w:b w:val="0"/>
          <w:spacing w:val="-1"/>
        </w:rPr>
        <w:t> </w:t>
      </w:r>
      <w:r>
        <w:rPr>
          <w:b w:val="0"/>
        </w:rPr>
        <w:t>improvements</w:t>
      </w:r>
      <w:r>
        <w:rPr>
          <w:b w:val="0"/>
          <w:spacing w:val="-1"/>
        </w:rPr>
        <w:t> </w:t>
      </w:r>
      <w:r>
        <w:rPr>
          <w:b w:val="0"/>
        </w:rPr>
        <w:t>in</w:t>
      </w:r>
      <w:r>
        <w:rPr>
          <w:b w:val="0"/>
          <w:spacing w:val="-1"/>
        </w:rPr>
        <w:t> </w:t>
      </w:r>
      <w:r>
        <w:rPr>
          <w:b w:val="0"/>
        </w:rPr>
        <w:t>the</w:t>
      </w:r>
      <w:r>
        <w:rPr>
          <w:b w:val="0"/>
          <w:spacing w:val="-1"/>
        </w:rPr>
        <w:t> </w:t>
      </w:r>
      <w:r>
        <w:rPr>
          <w:b w:val="0"/>
        </w:rPr>
        <w:t>following</w:t>
      </w:r>
      <w:r>
        <w:rPr>
          <w:b w:val="0"/>
          <w:spacing w:val="-1"/>
        </w:rPr>
        <w:t> </w:t>
      </w:r>
      <w:r>
        <w:rPr>
          <w:b w:val="0"/>
        </w:rPr>
        <w:t>key</w:t>
      </w:r>
      <w:r>
        <w:rPr>
          <w:b w:val="0"/>
          <w:spacing w:val="-1"/>
        </w:rPr>
        <w:t> </w:t>
      </w:r>
      <w:r>
        <w:rPr>
          <w:b w:val="0"/>
        </w:rPr>
        <w:t>areas.</w:t>
      </w:r>
    </w:p>
    <w:p>
      <w:pPr>
        <w:pStyle w:val="BodyText"/>
        <w:spacing w:before="47"/>
        <w:rPr>
          <w:b w:val="0"/>
        </w:rPr>
      </w:pPr>
    </w:p>
    <w:p>
      <w:pPr>
        <w:spacing w:line="295" w:lineRule="auto" w:before="0"/>
        <w:ind w:left="213" w:right="0" w:firstLine="0"/>
        <w:jc w:val="left"/>
        <w:rPr>
          <w:rFonts w:ascii="TT Norms Pro Light" w:hAnsi="TT Norms Pro Light"/>
          <w:b w:val="0"/>
          <w:sz w:val="18"/>
        </w:rPr>
      </w:pPr>
      <w:r>
        <w:rPr>
          <w:rFonts w:ascii="TT Norms Pro" w:hAnsi="TT Norms Pro"/>
          <w:b/>
          <w:sz w:val="18"/>
        </w:rPr>
        <w:t>Student experience</w:t>
      </w:r>
      <w:r>
        <w:rPr>
          <w:rFonts w:ascii="TT Norms Pro" w:hAnsi="TT Norms Pro"/>
          <w:b/>
          <w:spacing w:val="-2"/>
          <w:sz w:val="18"/>
        </w:rPr>
        <w:t> </w:t>
      </w:r>
      <w:r>
        <w:rPr>
          <w:rFonts w:ascii="TT Norms Pro Light" w:hAnsi="TT Norms Pro Light"/>
          <w:b w:val="0"/>
          <w:sz w:val="18"/>
        </w:rPr>
        <w:t>– </w:t>
      </w:r>
      <w:r>
        <w:rPr>
          <w:rFonts w:ascii="TT Norms Pro Light" w:hAnsi="TT Norms Pro Light"/>
          <w:b w:val="0"/>
          <w:i/>
          <w:sz w:val="18"/>
        </w:rPr>
        <w:t>establish a rich, curated, interactive</w:t>
      </w:r>
      <w:r>
        <w:rPr>
          <w:rFonts w:ascii="TT Norms Pro Light" w:hAnsi="TT Norms Pro Light"/>
          <w:b w:val="0"/>
          <w:i/>
          <w:spacing w:val="40"/>
          <w:sz w:val="18"/>
        </w:rPr>
        <w:t> </w:t>
      </w:r>
      <w:r>
        <w:rPr>
          <w:rFonts w:ascii="TT Norms Pro Light" w:hAnsi="TT Norms Pro Light"/>
          <w:b w:val="0"/>
          <w:i/>
          <w:sz w:val="18"/>
        </w:rPr>
        <w:t>online student experience that matches our campus</w:t>
      </w:r>
      <w:r>
        <w:rPr>
          <w:rFonts w:ascii="TT Norms Pro Light" w:hAnsi="TT Norms Pro Light"/>
          <w:b w:val="0"/>
          <w:i/>
          <w:spacing w:val="40"/>
          <w:sz w:val="18"/>
        </w:rPr>
        <w:t> </w:t>
      </w:r>
      <w:r>
        <w:rPr>
          <w:rFonts w:ascii="TT Norms Pro Light" w:hAnsi="TT Norms Pro Light"/>
          <w:b w:val="0"/>
          <w:i/>
          <w:spacing w:val="-2"/>
          <w:sz w:val="18"/>
        </w:rPr>
        <w:t>environment</w:t>
      </w:r>
      <w:r>
        <w:rPr>
          <w:rFonts w:ascii="TT Norms Pro Light" w:hAnsi="TT Norms Pro Light"/>
          <w:b w:val="0"/>
          <w:spacing w:val="-2"/>
          <w:sz w:val="18"/>
        </w:rPr>
        <w:t>.</w:t>
      </w:r>
    </w:p>
    <w:p>
      <w:pPr>
        <w:pStyle w:val="BodyText"/>
        <w:spacing w:before="47"/>
        <w:rPr>
          <w:b w:val="0"/>
        </w:rPr>
      </w:pPr>
    </w:p>
    <w:p>
      <w:pPr>
        <w:pStyle w:val="BodyText"/>
        <w:spacing w:line="295" w:lineRule="auto"/>
        <w:ind w:left="213"/>
        <w:rPr>
          <w:b w:val="0"/>
        </w:rPr>
      </w:pPr>
      <w:r>
        <w:rPr>
          <w:b w:val="0"/>
        </w:rPr>
        <w:t>Migration of student data and services from the Google</w:t>
      </w:r>
      <w:r>
        <w:rPr>
          <w:b w:val="0"/>
          <w:spacing w:val="40"/>
        </w:rPr>
        <w:t> </w:t>
      </w:r>
      <w:r>
        <w:rPr>
          <w:b w:val="0"/>
        </w:rPr>
        <w:t>Apps platform to Microsoft 365, providing a common</w:t>
      </w:r>
      <w:r>
        <w:rPr>
          <w:b w:val="0"/>
          <w:spacing w:val="40"/>
        </w:rPr>
        <w:t> </w:t>
      </w:r>
      <w:r>
        <w:rPr>
          <w:b w:val="0"/>
        </w:rPr>
        <w:t>collaboration platform for students and staff:</w:t>
      </w:r>
    </w:p>
    <w:p>
      <w:pPr>
        <w:pStyle w:val="ListParagraph"/>
        <w:numPr>
          <w:ilvl w:val="0"/>
          <w:numId w:val="11"/>
        </w:numPr>
        <w:tabs>
          <w:tab w:pos="440" w:val="left" w:leader="none"/>
        </w:tabs>
        <w:spacing w:line="295" w:lineRule="auto" w:before="116" w:after="0"/>
        <w:ind w:left="440" w:right="435" w:hanging="227"/>
        <w:jc w:val="left"/>
        <w:rPr>
          <w:rFonts w:ascii="TT Norms Pro Light" w:hAnsi="TT Norms Pro Light"/>
          <w:b w:val="0"/>
          <w:sz w:val="18"/>
        </w:rPr>
      </w:pPr>
      <w:r>
        <w:rPr>
          <w:rFonts w:ascii="TT Norms Pro Light" w:hAnsi="TT Norms Pro Light"/>
          <w:b w:val="0"/>
          <w:sz w:val="18"/>
        </w:rPr>
        <w:t>a</w:t>
      </w:r>
      <w:r>
        <w:rPr>
          <w:rFonts w:ascii="TT Norms Pro Light" w:hAnsi="TT Norms Pro Light"/>
          <w:b w:val="0"/>
          <w:spacing w:val="-9"/>
          <w:sz w:val="18"/>
        </w:rPr>
        <w:t> </w:t>
      </w:r>
      <w:r>
        <w:rPr>
          <w:rFonts w:ascii="TT Norms Pro Light" w:hAnsi="TT Norms Pro Light"/>
          <w:b w:val="0"/>
          <w:sz w:val="18"/>
        </w:rPr>
        <w:t>holistic</w:t>
      </w:r>
      <w:r>
        <w:rPr>
          <w:rFonts w:ascii="TT Norms Pro Light" w:hAnsi="TT Norms Pro Light"/>
          <w:b w:val="0"/>
          <w:spacing w:val="-8"/>
          <w:sz w:val="18"/>
        </w:rPr>
        <w:t> </w:t>
      </w:r>
      <w:r>
        <w:rPr>
          <w:rFonts w:ascii="TT Norms Pro Light" w:hAnsi="TT Norms Pro Light"/>
          <w:b w:val="0"/>
          <w:sz w:val="18"/>
        </w:rPr>
        <w:t>technology</w:t>
      </w:r>
      <w:r>
        <w:rPr>
          <w:rFonts w:ascii="TT Norms Pro Light" w:hAnsi="TT Norms Pro Light"/>
          <w:b w:val="0"/>
          <w:spacing w:val="-9"/>
          <w:sz w:val="18"/>
        </w:rPr>
        <w:t> </w:t>
      </w:r>
      <w:r>
        <w:rPr>
          <w:rFonts w:ascii="TT Norms Pro Light" w:hAnsi="TT Norms Pro Light"/>
          <w:b w:val="0"/>
          <w:sz w:val="18"/>
        </w:rPr>
        <w:t>refresh</w:t>
      </w:r>
      <w:r>
        <w:rPr>
          <w:rFonts w:ascii="TT Norms Pro Light" w:hAnsi="TT Norms Pro Light"/>
          <w:b w:val="0"/>
          <w:spacing w:val="-8"/>
          <w:sz w:val="18"/>
        </w:rPr>
        <w:t> </w:t>
      </w:r>
      <w:r>
        <w:rPr>
          <w:rFonts w:ascii="TT Norms Pro Light" w:hAnsi="TT Norms Pro Light"/>
          <w:b w:val="0"/>
          <w:sz w:val="18"/>
        </w:rPr>
        <w:t>of</w:t>
      </w:r>
      <w:r>
        <w:rPr>
          <w:rFonts w:ascii="TT Norms Pro Light" w:hAnsi="TT Norms Pro Light"/>
          <w:b w:val="0"/>
          <w:spacing w:val="-8"/>
          <w:sz w:val="18"/>
        </w:rPr>
        <w:t> </w:t>
      </w:r>
      <w:r>
        <w:rPr>
          <w:rFonts w:ascii="TT Norms Pro Light" w:hAnsi="TT Norms Pro Light"/>
          <w:b w:val="0"/>
          <w:sz w:val="18"/>
        </w:rPr>
        <w:t>teaching</w:t>
      </w:r>
      <w:r>
        <w:rPr>
          <w:rFonts w:ascii="TT Norms Pro Light" w:hAnsi="TT Norms Pro Light"/>
          <w:b w:val="0"/>
          <w:spacing w:val="-8"/>
          <w:sz w:val="18"/>
        </w:rPr>
        <w:t> </w:t>
      </w:r>
      <w:r>
        <w:rPr>
          <w:rFonts w:ascii="TT Norms Pro Light" w:hAnsi="TT Norms Pro Light"/>
          <w:b w:val="0"/>
          <w:sz w:val="18"/>
        </w:rPr>
        <w:t>laboratory</w:t>
      </w:r>
      <w:r>
        <w:rPr>
          <w:rFonts w:ascii="TT Norms Pro Light" w:hAnsi="TT Norms Pro Light"/>
          <w:b w:val="0"/>
          <w:spacing w:val="40"/>
          <w:sz w:val="18"/>
        </w:rPr>
        <w:t> </w:t>
      </w:r>
      <w:r>
        <w:rPr>
          <w:rFonts w:ascii="TT Norms Pro Light" w:hAnsi="TT Norms Pro Light"/>
          <w:b w:val="0"/>
          <w:sz w:val="18"/>
        </w:rPr>
        <w:t>spaces to ensure a contemporary experience</w:t>
      </w:r>
    </w:p>
    <w:p>
      <w:pPr>
        <w:pStyle w:val="ListParagraph"/>
        <w:numPr>
          <w:ilvl w:val="0"/>
          <w:numId w:val="11"/>
        </w:numPr>
        <w:tabs>
          <w:tab w:pos="440" w:val="left" w:leader="none"/>
        </w:tabs>
        <w:spacing w:line="295" w:lineRule="auto" w:before="59" w:after="0"/>
        <w:ind w:left="440" w:right="201" w:hanging="227"/>
        <w:jc w:val="left"/>
        <w:rPr>
          <w:rFonts w:ascii="TT Norms Pro Light" w:hAnsi="TT Norms Pro Light"/>
          <w:b w:val="0"/>
          <w:sz w:val="18"/>
        </w:rPr>
      </w:pPr>
      <w:r>
        <w:rPr>
          <w:rFonts w:ascii="TT Norms Pro Light" w:hAnsi="TT Norms Pro Light"/>
          <w:b w:val="0"/>
          <w:sz w:val="18"/>
        </w:rPr>
        <w:t>instant</w:t>
      </w:r>
      <w:r>
        <w:rPr>
          <w:rFonts w:ascii="TT Norms Pro Light" w:hAnsi="TT Norms Pro Light"/>
          <w:b w:val="0"/>
          <w:spacing w:val="-9"/>
          <w:sz w:val="18"/>
        </w:rPr>
        <w:t> </w:t>
      </w:r>
      <w:r>
        <w:rPr>
          <w:rFonts w:ascii="TT Norms Pro Light" w:hAnsi="TT Norms Pro Light"/>
          <w:b w:val="0"/>
          <w:sz w:val="18"/>
        </w:rPr>
        <w:t>course</w:t>
      </w:r>
      <w:r>
        <w:rPr>
          <w:rFonts w:ascii="TT Norms Pro Light" w:hAnsi="TT Norms Pro Light"/>
          <w:b w:val="0"/>
          <w:spacing w:val="-9"/>
          <w:sz w:val="18"/>
        </w:rPr>
        <w:t> </w:t>
      </w:r>
      <w:r>
        <w:rPr>
          <w:rFonts w:ascii="TT Norms Pro Light" w:hAnsi="TT Norms Pro Light"/>
          <w:b w:val="0"/>
          <w:sz w:val="18"/>
        </w:rPr>
        <w:t>offers</w:t>
      </w:r>
      <w:r>
        <w:rPr>
          <w:rFonts w:ascii="TT Norms Pro Light" w:hAnsi="TT Norms Pro Light"/>
          <w:b w:val="0"/>
          <w:spacing w:val="-9"/>
          <w:sz w:val="18"/>
        </w:rPr>
        <w:t> </w:t>
      </w:r>
      <w:r>
        <w:rPr>
          <w:rFonts w:ascii="TT Norms Pro Light" w:hAnsi="TT Norms Pro Light"/>
          <w:b w:val="0"/>
          <w:sz w:val="18"/>
        </w:rPr>
        <w:t>for</w:t>
      </w:r>
      <w:r>
        <w:rPr>
          <w:rFonts w:ascii="TT Norms Pro Light" w:hAnsi="TT Norms Pro Light"/>
          <w:b w:val="0"/>
          <w:spacing w:val="-9"/>
          <w:sz w:val="18"/>
        </w:rPr>
        <w:t> </w:t>
      </w:r>
      <w:r>
        <w:rPr>
          <w:rFonts w:ascii="TT Norms Pro Light" w:hAnsi="TT Norms Pro Light"/>
          <w:b w:val="0"/>
          <w:sz w:val="18"/>
        </w:rPr>
        <w:t>prospective</w:t>
      </w:r>
      <w:r>
        <w:rPr>
          <w:rFonts w:ascii="TT Norms Pro Light" w:hAnsi="TT Norms Pro Light"/>
          <w:b w:val="0"/>
          <w:spacing w:val="-9"/>
          <w:sz w:val="18"/>
        </w:rPr>
        <w:t> </w:t>
      </w:r>
      <w:r>
        <w:rPr>
          <w:rFonts w:ascii="TT Norms Pro Light" w:hAnsi="TT Norms Pro Light"/>
          <w:b w:val="0"/>
          <w:sz w:val="18"/>
        </w:rPr>
        <w:t>students</w:t>
      </w:r>
      <w:r>
        <w:rPr>
          <w:rFonts w:ascii="TT Norms Pro Light" w:hAnsi="TT Norms Pro Light"/>
          <w:b w:val="0"/>
          <w:spacing w:val="-9"/>
          <w:sz w:val="18"/>
        </w:rPr>
        <w:t> </w:t>
      </w:r>
      <w:r>
        <w:rPr>
          <w:rFonts w:ascii="TT Norms Pro Light" w:hAnsi="TT Norms Pro Light"/>
          <w:b w:val="0"/>
          <w:sz w:val="18"/>
        </w:rPr>
        <w:t>through</w:t>
      </w:r>
      <w:r>
        <w:rPr>
          <w:rFonts w:ascii="TT Norms Pro Light" w:hAnsi="TT Norms Pro Light"/>
          <w:b w:val="0"/>
          <w:spacing w:val="40"/>
          <w:sz w:val="18"/>
        </w:rPr>
        <w:t> </w:t>
      </w:r>
      <w:r>
        <w:rPr>
          <w:rFonts w:ascii="TT Norms Pro Light" w:hAnsi="TT Norms Pro Light"/>
          <w:b w:val="0"/>
          <w:sz w:val="18"/>
        </w:rPr>
        <w:t>the streamlining of the application and acceptance</w:t>
      </w:r>
      <w:r>
        <w:rPr>
          <w:rFonts w:ascii="TT Norms Pro Light" w:hAnsi="TT Norms Pro Light"/>
          <w:b w:val="0"/>
          <w:spacing w:val="40"/>
          <w:sz w:val="18"/>
        </w:rPr>
        <w:t> </w:t>
      </w:r>
      <w:r>
        <w:rPr>
          <w:rFonts w:ascii="TT Norms Pro Light" w:hAnsi="TT Norms Pro Light"/>
          <w:b w:val="0"/>
          <w:spacing w:val="-2"/>
          <w:sz w:val="18"/>
        </w:rPr>
        <w:t>processes</w:t>
      </w:r>
    </w:p>
    <w:p>
      <w:pPr>
        <w:pStyle w:val="ListParagraph"/>
        <w:numPr>
          <w:ilvl w:val="0"/>
          <w:numId w:val="11"/>
        </w:numPr>
        <w:tabs>
          <w:tab w:pos="413" w:val="left" w:leader="none"/>
        </w:tabs>
        <w:spacing w:line="295" w:lineRule="auto" w:before="59" w:after="0"/>
        <w:ind w:left="413" w:right="365" w:hanging="200"/>
        <w:jc w:val="left"/>
        <w:rPr>
          <w:rFonts w:ascii="TT Norms Pro Light" w:hAnsi="TT Norms Pro Light"/>
          <w:b w:val="0"/>
          <w:sz w:val="18"/>
        </w:rPr>
      </w:pPr>
      <w:r>
        <w:rPr>
          <w:rFonts w:ascii="TT Norms Pro Light" w:hAnsi="TT Norms Pro Light"/>
          <w:b w:val="0"/>
          <w:sz w:val="18"/>
        </w:rPr>
        <w:t>enhanced</w:t>
      </w:r>
      <w:r>
        <w:rPr>
          <w:rFonts w:ascii="TT Norms Pro Light" w:hAnsi="TT Norms Pro Light"/>
          <w:b w:val="0"/>
          <w:spacing w:val="-9"/>
          <w:sz w:val="18"/>
        </w:rPr>
        <w:t> </w:t>
      </w:r>
      <w:r>
        <w:rPr>
          <w:rFonts w:ascii="TT Norms Pro Light" w:hAnsi="TT Norms Pro Light"/>
          <w:b w:val="0"/>
          <w:sz w:val="18"/>
        </w:rPr>
        <w:t>application</w:t>
      </w:r>
      <w:r>
        <w:rPr>
          <w:rFonts w:ascii="TT Norms Pro Light" w:hAnsi="TT Norms Pro Light"/>
          <w:b w:val="0"/>
          <w:spacing w:val="-9"/>
          <w:sz w:val="18"/>
        </w:rPr>
        <w:t> </w:t>
      </w:r>
      <w:r>
        <w:rPr>
          <w:rFonts w:ascii="TT Norms Pro Light" w:hAnsi="TT Norms Pro Light"/>
          <w:b w:val="0"/>
          <w:sz w:val="18"/>
        </w:rPr>
        <w:t>tracking</w:t>
      </w:r>
      <w:r>
        <w:rPr>
          <w:rFonts w:ascii="TT Norms Pro Light" w:hAnsi="TT Norms Pro Light"/>
          <w:b w:val="0"/>
          <w:spacing w:val="-9"/>
          <w:sz w:val="18"/>
        </w:rPr>
        <w:t> </w:t>
      </w:r>
      <w:r>
        <w:rPr>
          <w:rFonts w:ascii="TT Norms Pro Light" w:hAnsi="TT Norms Pro Light"/>
          <w:b w:val="0"/>
          <w:sz w:val="18"/>
        </w:rPr>
        <w:t>and</w:t>
      </w:r>
      <w:r>
        <w:rPr>
          <w:rFonts w:ascii="TT Norms Pro Light" w:hAnsi="TT Norms Pro Light"/>
          <w:b w:val="0"/>
          <w:spacing w:val="-9"/>
          <w:sz w:val="18"/>
        </w:rPr>
        <w:t> </w:t>
      </w:r>
      <w:r>
        <w:rPr>
          <w:rFonts w:ascii="TT Norms Pro Light" w:hAnsi="TT Norms Pro Light"/>
          <w:b w:val="0"/>
          <w:sz w:val="18"/>
        </w:rPr>
        <w:t>management</w:t>
      </w:r>
      <w:r>
        <w:rPr>
          <w:rFonts w:ascii="TT Norms Pro Light" w:hAnsi="TT Norms Pro Light"/>
          <w:b w:val="0"/>
          <w:spacing w:val="-9"/>
          <w:sz w:val="18"/>
        </w:rPr>
        <w:t> </w:t>
      </w:r>
      <w:r>
        <w:rPr>
          <w:rFonts w:ascii="TT Norms Pro Light" w:hAnsi="TT Norms Pro Light"/>
          <w:b w:val="0"/>
          <w:sz w:val="18"/>
        </w:rPr>
        <w:t>for</w:t>
      </w:r>
      <w:r>
        <w:rPr>
          <w:rFonts w:ascii="TT Norms Pro Light" w:hAnsi="TT Norms Pro Light"/>
          <w:b w:val="0"/>
          <w:spacing w:val="40"/>
          <w:sz w:val="18"/>
        </w:rPr>
        <w:t> </w:t>
      </w:r>
      <w:r>
        <w:rPr>
          <w:rFonts w:ascii="TT Norms Pro Light" w:hAnsi="TT Norms Pro Light"/>
          <w:b w:val="0"/>
          <w:sz w:val="18"/>
        </w:rPr>
        <w:t>our agent network.</w:t>
      </w:r>
    </w:p>
    <w:p>
      <w:pPr>
        <w:pStyle w:val="BodyText"/>
        <w:spacing w:before="18"/>
        <w:rPr>
          <w:b w:val="0"/>
        </w:rPr>
      </w:pPr>
    </w:p>
    <w:p>
      <w:pPr>
        <w:spacing w:line="295" w:lineRule="auto" w:before="0"/>
        <w:ind w:left="213" w:right="163" w:firstLine="0"/>
        <w:jc w:val="left"/>
        <w:rPr>
          <w:rFonts w:ascii="TT Norms Pro Light" w:hAnsi="TT Norms Pro Light"/>
          <w:b w:val="0"/>
          <w:i/>
          <w:sz w:val="18"/>
        </w:rPr>
      </w:pPr>
      <w:r>
        <w:rPr>
          <w:rFonts w:ascii="TT Norms Pro" w:hAnsi="TT Norms Pro"/>
          <w:b/>
          <w:sz w:val="18"/>
        </w:rPr>
        <w:t>Trusted digital campus </w:t>
      </w:r>
      <w:r>
        <w:rPr>
          <w:rFonts w:ascii="TT Norms Pro Light" w:hAnsi="TT Norms Pro Light"/>
          <w:b w:val="0"/>
          <w:sz w:val="18"/>
        </w:rPr>
        <w:t>– </w:t>
      </w:r>
      <w:r>
        <w:rPr>
          <w:rFonts w:ascii="TT Norms Pro Light" w:hAnsi="TT Norms Pro Light"/>
          <w:b w:val="0"/>
          <w:i/>
          <w:sz w:val="18"/>
        </w:rPr>
        <w:t>establish a contemporary</w:t>
      </w:r>
      <w:r>
        <w:rPr>
          <w:rFonts w:ascii="TT Norms Pro Light" w:hAnsi="TT Norms Pro Light"/>
          <w:b w:val="0"/>
          <w:i/>
          <w:spacing w:val="40"/>
          <w:sz w:val="18"/>
        </w:rPr>
        <w:t> </w:t>
      </w:r>
      <w:r>
        <w:rPr>
          <w:rFonts w:ascii="TT Norms Pro Light" w:hAnsi="TT Norms Pro Light"/>
          <w:b w:val="0"/>
          <w:i/>
          <w:sz w:val="18"/>
        </w:rPr>
        <w:t>culture, practice and technical IT security and identity</w:t>
      </w:r>
      <w:r>
        <w:rPr>
          <w:rFonts w:ascii="TT Norms Pro Light" w:hAnsi="TT Norms Pro Light"/>
          <w:b w:val="0"/>
          <w:i/>
          <w:spacing w:val="40"/>
          <w:sz w:val="18"/>
        </w:rPr>
        <w:t> </w:t>
      </w:r>
      <w:r>
        <w:rPr>
          <w:rFonts w:ascii="TT Norms Pro Light" w:hAnsi="TT Norms Pro Light"/>
          <w:b w:val="0"/>
          <w:i/>
          <w:sz w:val="18"/>
        </w:rPr>
        <w:t>capability. Cybersecurity is one of our highest priorities,</w:t>
      </w:r>
      <w:r>
        <w:rPr>
          <w:rFonts w:ascii="TT Norms Pro Light" w:hAnsi="TT Norms Pro Light"/>
          <w:b w:val="0"/>
          <w:i/>
          <w:spacing w:val="40"/>
          <w:sz w:val="18"/>
        </w:rPr>
        <w:t> </w:t>
      </w:r>
      <w:r>
        <w:rPr>
          <w:rFonts w:ascii="TT Norms Pro Light" w:hAnsi="TT Norms Pro Light"/>
          <w:b w:val="0"/>
          <w:i/>
          <w:sz w:val="18"/>
        </w:rPr>
        <w:t>as ensuring the safety of our services and data are</w:t>
      </w:r>
      <w:r>
        <w:rPr>
          <w:rFonts w:ascii="TT Norms Pro Light" w:hAnsi="TT Norms Pro Light"/>
          <w:b w:val="0"/>
          <w:i/>
          <w:spacing w:val="40"/>
          <w:sz w:val="18"/>
        </w:rPr>
        <w:t> </w:t>
      </w:r>
      <w:r>
        <w:rPr>
          <w:rFonts w:ascii="TT Norms Pro Light" w:hAnsi="TT Norms Pro Light"/>
          <w:b w:val="0"/>
          <w:i/>
          <w:sz w:val="18"/>
        </w:rPr>
        <w:t>paramount to our students and staff alike.</w:t>
      </w:r>
    </w:p>
    <w:p>
      <w:pPr>
        <w:pStyle w:val="BodyText"/>
        <w:spacing w:line="295" w:lineRule="auto" w:before="134"/>
        <w:ind w:left="213" w:right="1336"/>
        <w:rPr>
          <w:b w:val="0"/>
        </w:rPr>
      </w:pPr>
      <w:r>
        <w:rPr/>
        <w:br w:type="column"/>
      </w:r>
      <w:r>
        <w:rPr>
          <w:b w:val="0"/>
        </w:rPr>
        <w:t>Introduction</w:t>
      </w:r>
      <w:r>
        <w:rPr>
          <w:b w:val="0"/>
          <w:spacing w:val="-1"/>
        </w:rPr>
        <w:t> </w:t>
      </w:r>
      <w:r>
        <w:rPr>
          <w:b w:val="0"/>
        </w:rPr>
        <w:t>of</w:t>
      </w:r>
      <w:r>
        <w:rPr>
          <w:b w:val="0"/>
          <w:spacing w:val="-1"/>
        </w:rPr>
        <w:t> </w:t>
      </w:r>
      <w:r>
        <w:rPr>
          <w:b w:val="0"/>
        </w:rPr>
        <w:t>multi-factor</w:t>
      </w:r>
      <w:r>
        <w:rPr>
          <w:b w:val="0"/>
          <w:spacing w:val="-1"/>
        </w:rPr>
        <w:t> </w:t>
      </w:r>
      <w:r>
        <w:rPr>
          <w:b w:val="0"/>
        </w:rPr>
        <w:t>authentication</w:t>
      </w:r>
      <w:r>
        <w:rPr>
          <w:b w:val="0"/>
          <w:spacing w:val="-1"/>
        </w:rPr>
        <w:t> </w:t>
      </w:r>
      <w:r>
        <w:rPr>
          <w:b w:val="0"/>
        </w:rPr>
        <w:t>for</w:t>
      </w:r>
      <w:r>
        <w:rPr>
          <w:b w:val="0"/>
          <w:spacing w:val="-2"/>
        </w:rPr>
        <w:t> </w:t>
      </w:r>
      <w:r>
        <w:rPr>
          <w:b w:val="0"/>
        </w:rPr>
        <w:t>staff</w:t>
      </w:r>
      <w:r>
        <w:rPr>
          <w:b w:val="0"/>
          <w:spacing w:val="-1"/>
        </w:rPr>
        <w:t> </w:t>
      </w:r>
      <w:r>
        <w:rPr>
          <w:b w:val="0"/>
        </w:rPr>
        <w:t>and</w:t>
      </w:r>
      <w:r>
        <w:rPr>
          <w:b w:val="0"/>
          <w:spacing w:val="40"/>
        </w:rPr>
        <w:t> </w:t>
      </w:r>
      <w:r>
        <w:rPr>
          <w:b w:val="0"/>
        </w:rPr>
        <w:t>student accounts, to further protect against account</w:t>
      </w:r>
      <w:r>
        <w:rPr>
          <w:b w:val="0"/>
          <w:spacing w:val="40"/>
        </w:rPr>
        <w:t> </w:t>
      </w:r>
      <w:r>
        <w:rPr>
          <w:b w:val="0"/>
          <w:spacing w:val="-2"/>
        </w:rPr>
        <w:t>compromises:</w:t>
      </w:r>
    </w:p>
    <w:p>
      <w:pPr>
        <w:pStyle w:val="ListParagraph"/>
        <w:numPr>
          <w:ilvl w:val="0"/>
          <w:numId w:val="11"/>
        </w:numPr>
        <w:tabs>
          <w:tab w:pos="440" w:val="left" w:leader="none"/>
        </w:tabs>
        <w:spacing w:line="295" w:lineRule="auto" w:before="116" w:after="0"/>
        <w:ind w:left="440" w:right="1131" w:hanging="227"/>
        <w:jc w:val="left"/>
        <w:rPr>
          <w:rFonts w:ascii="TT Norms Pro Light" w:hAnsi="TT Norms Pro Light"/>
          <w:b w:val="0"/>
          <w:sz w:val="18"/>
        </w:rPr>
      </w:pPr>
      <w:r>
        <w:rPr>
          <w:rFonts w:ascii="TT Norms Pro Light" w:hAnsi="TT Norms Pro Light"/>
          <w:b w:val="0"/>
          <w:sz w:val="18"/>
        </w:rPr>
        <w:t>migration</w:t>
      </w:r>
      <w:r>
        <w:rPr>
          <w:rFonts w:ascii="TT Norms Pro Light" w:hAnsi="TT Norms Pro Light"/>
          <w:b w:val="0"/>
          <w:spacing w:val="-7"/>
          <w:sz w:val="18"/>
        </w:rPr>
        <w:t> </w:t>
      </w:r>
      <w:r>
        <w:rPr>
          <w:rFonts w:ascii="TT Norms Pro Light" w:hAnsi="TT Norms Pro Light"/>
          <w:b w:val="0"/>
          <w:sz w:val="18"/>
        </w:rPr>
        <w:t>of</w:t>
      </w:r>
      <w:r>
        <w:rPr>
          <w:rFonts w:ascii="TT Norms Pro Light" w:hAnsi="TT Norms Pro Light"/>
          <w:b w:val="0"/>
          <w:spacing w:val="-7"/>
          <w:sz w:val="18"/>
        </w:rPr>
        <w:t> </w:t>
      </w:r>
      <w:r>
        <w:rPr>
          <w:rFonts w:ascii="TT Norms Pro Light" w:hAnsi="TT Norms Pro Light"/>
          <w:b w:val="0"/>
          <w:sz w:val="18"/>
        </w:rPr>
        <w:t>disparate</w:t>
      </w:r>
      <w:r>
        <w:rPr>
          <w:rFonts w:ascii="TT Norms Pro Light" w:hAnsi="TT Norms Pro Light"/>
          <w:b w:val="0"/>
          <w:spacing w:val="-7"/>
          <w:sz w:val="18"/>
        </w:rPr>
        <w:t> </w:t>
      </w:r>
      <w:r>
        <w:rPr>
          <w:rFonts w:ascii="TT Norms Pro Light" w:hAnsi="TT Norms Pro Light"/>
          <w:b w:val="0"/>
          <w:sz w:val="18"/>
        </w:rPr>
        <w:t>sign-on</w:t>
      </w:r>
      <w:r>
        <w:rPr>
          <w:rFonts w:ascii="TT Norms Pro Light" w:hAnsi="TT Norms Pro Light"/>
          <w:b w:val="0"/>
          <w:spacing w:val="-7"/>
          <w:sz w:val="18"/>
        </w:rPr>
        <w:t> </w:t>
      </w:r>
      <w:r>
        <w:rPr>
          <w:rFonts w:ascii="TT Norms Pro Light" w:hAnsi="TT Norms Pro Light"/>
          <w:b w:val="0"/>
          <w:sz w:val="18"/>
        </w:rPr>
        <w:t>methods</w:t>
      </w:r>
      <w:r>
        <w:rPr>
          <w:rFonts w:ascii="TT Norms Pro Light" w:hAnsi="TT Norms Pro Light"/>
          <w:b w:val="0"/>
          <w:spacing w:val="-7"/>
          <w:sz w:val="18"/>
        </w:rPr>
        <w:t> </w:t>
      </w:r>
      <w:r>
        <w:rPr>
          <w:rFonts w:ascii="TT Norms Pro Light" w:hAnsi="TT Norms Pro Light"/>
          <w:b w:val="0"/>
          <w:sz w:val="18"/>
        </w:rPr>
        <w:t>to</w:t>
      </w:r>
      <w:r>
        <w:rPr>
          <w:rFonts w:ascii="TT Norms Pro Light" w:hAnsi="TT Norms Pro Light"/>
          <w:b w:val="0"/>
          <w:spacing w:val="-7"/>
          <w:sz w:val="18"/>
        </w:rPr>
        <w:t> </w:t>
      </w:r>
      <w:r>
        <w:rPr>
          <w:rFonts w:ascii="TT Norms Pro Light" w:hAnsi="TT Norms Pro Light"/>
          <w:b w:val="0"/>
          <w:sz w:val="18"/>
        </w:rPr>
        <w:t>a</w:t>
      </w:r>
      <w:r>
        <w:rPr>
          <w:rFonts w:ascii="TT Norms Pro Light" w:hAnsi="TT Norms Pro Light"/>
          <w:b w:val="0"/>
          <w:spacing w:val="-7"/>
          <w:sz w:val="18"/>
        </w:rPr>
        <w:t> </w:t>
      </w:r>
      <w:r>
        <w:rPr>
          <w:rFonts w:ascii="TT Norms Pro Light" w:hAnsi="TT Norms Pro Light"/>
          <w:b w:val="0"/>
          <w:sz w:val="18"/>
        </w:rPr>
        <w:t>single-sign-</w:t>
      </w:r>
      <w:r>
        <w:rPr>
          <w:rFonts w:ascii="TT Norms Pro Light" w:hAnsi="TT Norms Pro Light"/>
          <w:b w:val="0"/>
          <w:spacing w:val="40"/>
          <w:sz w:val="18"/>
        </w:rPr>
        <w:t> </w:t>
      </w:r>
      <w:r>
        <w:rPr>
          <w:rFonts w:ascii="TT Norms Pro Light" w:hAnsi="TT Norms Pro Light"/>
          <w:b w:val="0"/>
          <w:sz w:val="18"/>
        </w:rPr>
        <w:t>on</w:t>
      </w:r>
      <w:r>
        <w:rPr>
          <w:rFonts w:ascii="TT Norms Pro Light" w:hAnsi="TT Norms Pro Light"/>
          <w:b w:val="0"/>
          <w:spacing w:val="-5"/>
          <w:sz w:val="18"/>
        </w:rPr>
        <w:t> </w:t>
      </w:r>
      <w:r>
        <w:rPr>
          <w:rFonts w:ascii="TT Norms Pro Light" w:hAnsi="TT Norms Pro Light"/>
          <w:b w:val="0"/>
          <w:sz w:val="18"/>
        </w:rPr>
        <w:t>experience</w:t>
      </w:r>
    </w:p>
    <w:p>
      <w:pPr>
        <w:pStyle w:val="ListParagraph"/>
        <w:numPr>
          <w:ilvl w:val="0"/>
          <w:numId w:val="11"/>
        </w:numPr>
        <w:tabs>
          <w:tab w:pos="413" w:val="left" w:leader="none"/>
        </w:tabs>
        <w:spacing w:line="295" w:lineRule="auto" w:before="58" w:after="0"/>
        <w:ind w:left="413" w:right="1238" w:hanging="200"/>
        <w:jc w:val="left"/>
        <w:rPr>
          <w:rFonts w:ascii="TT Norms Pro Light" w:hAnsi="TT Norms Pro Light"/>
          <w:b w:val="0"/>
          <w:sz w:val="18"/>
        </w:rPr>
      </w:pPr>
      <w:r>
        <w:rPr>
          <w:rFonts w:ascii="TT Norms Pro Light" w:hAnsi="TT Norms Pro Light"/>
          <w:b w:val="0"/>
          <w:sz w:val="18"/>
        </w:rPr>
        <w:t>enhanced</w:t>
      </w:r>
      <w:r>
        <w:rPr>
          <w:rFonts w:ascii="TT Norms Pro Light" w:hAnsi="TT Norms Pro Light"/>
          <w:b w:val="0"/>
          <w:spacing w:val="-8"/>
          <w:sz w:val="18"/>
        </w:rPr>
        <w:t> </w:t>
      </w:r>
      <w:r>
        <w:rPr>
          <w:rFonts w:ascii="TT Norms Pro Light" w:hAnsi="TT Norms Pro Light"/>
          <w:b w:val="0"/>
          <w:sz w:val="18"/>
        </w:rPr>
        <w:t>email</w:t>
      </w:r>
      <w:r>
        <w:rPr>
          <w:rFonts w:ascii="TT Norms Pro Light" w:hAnsi="TT Norms Pro Light"/>
          <w:b w:val="0"/>
          <w:spacing w:val="-8"/>
          <w:sz w:val="18"/>
        </w:rPr>
        <w:t> </w:t>
      </w:r>
      <w:r>
        <w:rPr>
          <w:rFonts w:ascii="TT Norms Pro Light" w:hAnsi="TT Norms Pro Light"/>
          <w:b w:val="0"/>
          <w:sz w:val="18"/>
        </w:rPr>
        <w:t>and</w:t>
      </w:r>
      <w:r>
        <w:rPr>
          <w:rFonts w:ascii="TT Norms Pro Light" w:hAnsi="TT Norms Pro Light"/>
          <w:b w:val="0"/>
          <w:spacing w:val="-8"/>
          <w:sz w:val="18"/>
        </w:rPr>
        <w:t> </w:t>
      </w:r>
      <w:r>
        <w:rPr>
          <w:rFonts w:ascii="TT Norms Pro Light" w:hAnsi="TT Norms Pro Light"/>
          <w:b w:val="0"/>
          <w:sz w:val="18"/>
        </w:rPr>
        <w:t>internet</w:t>
      </w:r>
      <w:r>
        <w:rPr>
          <w:rFonts w:ascii="TT Norms Pro Light" w:hAnsi="TT Norms Pro Light"/>
          <w:b w:val="0"/>
          <w:spacing w:val="-8"/>
          <w:sz w:val="18"/>
        </w:rPr>
        <w:t> </w:t>
      </w:r>
      <w:r>
        <w:rPr>
          <w:rFonts w:ascii="TT Norms Pro Light" w:hAnsi="TT Norms Pro Light"/>
          <w:b w:val="0"/>
          <w:sz w:val="18"/>
        </w:rPr>
        <w:t>threat</w:t>
      </w:r>
      <w:r>
        <w:rPr>
          <w:rFonts w:ascii="TT Norms Pro Light" w:hAnsi="TT Norms Pro Light"/>
          <w:b w:val="0"/>
          <w:spacing w:val="-8"/>
          <w:sz w:val="18"/>
        </w:rPr>
        <w:t> </w:t>
      </w:r>
      <w:r>
        <w:rPr>
          <w:rFonts w:ascii="TT Norms Pro Light" w:hAnsi="TT Norms Pro Light"/>
          <w:b w:val="0"/>
          <w:sz w:val="18"/>
        </w:rPr>
        <w:t>protection</w:t>
      </w:r>
      <w:r>
        <w:rPr>
          <w:rFonts w:ascii="TT Norms Pro Light" w:hAnsi="TT Norms Pro Light"/>
          <w:b w:val="0"/>
          <w:spacing w:val="-8"/>
          <w:sz w:val="18"/>
        </w:rPr>
        <w:t> </w:t>
      </w:r>
      <w:r>
        <w:rPr>
          <w:rFonts w:ascii="TT Norms Pro Light" w:hAnsi="TT Norms Pro Light"/>
          <w:b w:val="0"/>
          <w:sz w:val="18"/>
        </w:rPr>
        <w:t>through</w:t>
      </w:r>
      <w:r>
        <w:rPr>
          <w:rFonts w:ascii="TT Norms Pro Light" w:hAnsi="TT Norms Pro Light"/>
          <w:b w:val="0"/>
          <w:spacing w:val="40"/>
          <w:sz w:val="18"/>
        </w:rPr>
        <w:t> </w:t>
      </w:r>
      <w:r>
        <w:rPr>
          <w:rFonts w:ascii="TT Norms Pro Light" w:hAnsi="TT Norms Pro Light"/>
          <w:b w:val="0"/>
          <w:sz w:val="18"/>
        </w:rPr>
        <w:t>the introduction of a security analytics platform.</w:t>
      </w:r>
    </w:p>
    <w:p>
      <w:pPr>
        <w:pStyle w:val="BodyText"/>
        <w:spacing w:before="18"/>
        <w:rPr>
          <w:b w:val="0"/>
        </w:rPr>
      </w:pPr>
    </w:p>
    <w:p>
      <w:pPr>
        <w:spacing w:before="0"/>
        <w:ind w:left="213" w:right="0" w:firstLine="0"/>
        <w:jc w:val="left"/>
        <w:rPr>
          <w:rFonts w:ascii="TT Norms Pro"/>
          <w:b/>
          <w:sz w:val="18"/>
        </w:rPr>
      </w:pPr>
      <w:r>
        <w:rPr>
          <w:rFonts w:ascii="TT Norms Pro"/>
          <w:b/>
          <w:sz w:val="18"/>
        </w:rPr>
        <w:t>Next</w:t>
      </w:r>
      <w:r>
        <w:rPr>
          <w:rFonts w:ascii="TT Norms Pro"/>
          <w:b/>
          <w:spacing w:val="6"/>
          <w:sz w:val="18"/>
        </w:rPr>
        <w:t> </w:t>
      </w:r>
      <w:r>
        <w:rPr>
          <w:rFonts w:ascii="TT Norms Pro"/>
          <w:b/>
          <w:sz w:val="18"/>
        </w:rPr>
        <w:t>generation</w:t>
      </w:r>
      <w:r>
        <w:rPr>
          <w:rFonts w:ascii="TT Norms Pro"/>
          <w:b/>
          <w:spacing w:val="7"/>
          <w:sz w:val="18"/>
        </w:rPr>
        <w:t> </w:t>
      </w:r>
      <w:r>
        <w:rPr>
          <w:rFonts w:ascii="TT Norms Pro"/>
          <w:b/>
          <w:sz w:val="18"/>
        </w:rPr>
        <w:t>core</w:t>
      </w:r>
      <w:r>
        <w:rPr>
          <w:rFonts w:ascii="TT Norms Pro"/>
          <w:b/>
          <w:spacing w:val="7"/>
          <w:sz w:val="18"/>
        </w:rPr>
        <w:t> </w:t>
      </w:r>
      <w:r>
        <w:rPr>
          <w:rFonts w:ascii="TT Norms Pro"/>
          <w:b/>
          <w:sz w:val="18"/>
        </w:rPr>
        <w:t>digital</w:t>
      </w:r>
      <w:r>
        <w:rPr>
          <w:rFonts w:ascii="TT Norms Pro"/>
          <w:b/>
          <w:spacing w:val="7"/>
          <w:sz w:val="18"/>
        </w:rPr>
        <w:t> </w:t>
      </w:r>
      <w:r>
        <w:rPr>
          <w:rFonts w:ascii="TT Norms Pro"/>
          <w:b/>
          <w:sz w:val="18"/>
        </w:rPr>
        <w:t>refresh</w:t>
      </w:r>
      <w:r>
        <w:rPr>
          <w:rFonts w:ascii="TT Norms Pro"/>
          <w:b/>
          <w:spacing w:val="7"/>
          <w:sz w:val="18"/>
        </w:rPr>
        <w:t> </w:t>
      </w:r>
      <w:r>
        <w:rPr>
          <w:rFonts w:ascii="TT Norms Pro"/>
          <w:b/>
          <w:spacing w:val="-2"/>
          <w:sz w:val="18"/>
        </w:rPr>
        <w:t>program</w:t>
      </w:r>
    </w:p>
    <w:p>
      <w:pPr>
        <w:spacing w:line="295" w:lineRule="auto" w:before="49"/>
        <w:ind w:left="213" w:right="1532" w:firstLine="0"/>
        <w:jc w:val="left"/>
        <w:rPr>
          <w:rFonts w:ascii="TT Norms Pro Light" w:hAnsi="TT Norms Pro Light"/>
          <w:b w:val="0"/>
          <w:i/>
          <w:sz w:val="18"/>
        </w:rPr>
      </w:pPr>
      <w:r>
        <w:rPr>
          <w:rFonts w:ascii="TT Norms Pro Light" w:hAnsi="TT Norms Pro Light"/>
          <w:b w:val="0"/>
          <w:sz w:val="18"/>
        </w:rPr>
        <w:t>– </w:t>
      </w:r>
      <w:r>
        <w:rPr>
          <w:rFonts w:ascii="TT Norms Pro Light" w:hAnsi="TT Norms Pro Light"/>
          <w:b w:val="0"/>
          <w:i/>
          <w:sz w:val="18"/>
        </w:rPr>
        <w:t>build integrated corporate management, analytical</w:t>
      </w:r>
      <w:r>
        <w:rPr>
          <w:rFonts w:ascii="TT Norms Pro Light" w:hAnsi="TT Norms Pro Light"/>
          <w:b w:val="0"/>
          <w:i/>
          <w:spacing w:val="40"/>
          <w:sz w:val="18"/>
        </w:rPr>
        <w:t> </w:t>
      </w:r>
      <w:r>
        <w:rPr>
          <w:rFonts w:ascii="TT Norms Pro Light" w:hAnsi="TT Norms Pro Light"/>
          <w:b w:val="0"/>
          <w:i/>
          <w:sz w:val="18"/>
        </w:rPr>
        <w:t>and automation capabilities.</w:t>
      </w:r>
    </w:p>
    <w:p>
      <w:pPr>
        <w:pStyle w:val="ListParagraph"/>
        <w:numPr>
          <w:ilvl w:val="0"/>
          <w:numId w:val="11"/>
        </w:numPr>
        <w:tabs>
          <w:tab w:pos="413" w:val="left" w:leader="none"/>
        </w:tabs>
        <w:spacing w:line="295" w:lineRule="auto" w:before="116" w:after="0"/>
        <w:ind w:left="413" w:right="1215" w:hanging="200"/>
        <w:jc w:val="left"/>
        <w:rPr>
          <w:rFonts w:ascii="TT Norms Pro Light" w:hAnsi="TT Norms Pro Light"/>
          <w:b w:val="0"/>
          <w:sz w:val="18"/>
        </w:rPr>
      </w:pPr>
      <w:r>
        <w:rPr>
          <w:rFonts w:ascii="TT Norms Pro Light" w:hAnsi="TT Norms Pro Light"/>
          <w:b w:val="0"/>
          <w:sz w:val="18"/>
        </w:rPr>
        <w:t>implementation of a business intelligence and data</w:t>
      </w:r>
      <w:r>
        <w:rPr>
          <w:rFonts w:ascii="TT Norms Pro Light" w:hAnsi="TT Norms Pro Light"/>
          <w:b w:val="0"/>
          <w:spacing w:val="40"/>
          <w:sz w:val="18"/>
        </w:rPr>
        <w:t> </w:t>
      </w:r>
      <w:r>
        <w:rPr>
          <w:rFonts w:ascii="TT Norms Pro Light" w:hAnsi="TT Norms Pro Light"/>
          <w:b w:val="0"/>
          <w:sz w:val="18"/>
        </w:rPr>
        <w:t>platform</w:t>
      </w:r>
      <w:r>
        <w:rPr>
          <w:rFonts w:ascii="TT Norms Pro Light" w:hAnsi="TT Norms Pro Light"/>
          <w:b w:val="0"/>
          <w:spacing w:val="-6"/>
          <w:sz w:val="18"/>
        </w:rPr>
        <w:t> </w:t>
      </w:r>
      <w:r>
        <w:rPr>
          <w:rFonts w:ascii="TT Norms Pro Light" w:hAnsi="TT Norms Pro Light"/>
          <w:b w:val="0"/>
          <w:sz w:val="18"/>
        </w:rPr>
        <w:t>–</w:t>
      </w:r>
      <w:r>
        <w:rPr>
          <w:rFonts w:ascii="TT Norms Pro Light" w:hAnsi="TT Norms Pro Light"/>
          <w:b w:val="0"/>
          <w:spacing w:val="-9"/>
          <w:sz w:val="18"/>
        </w:rPr>
        <w:t> </w:t>
      </w:r>
      <w:r>
        <w:rPr>
          <w:rFonts w:ascii="TT Norms Pro Light" w:hAnsi="TT Norms Pro Light"/>
          <w:b w:val="0"/>
          <w:sz w:val="18"/>
        </w:rPr>
        <w:t>with</w:t>
      </w:r>
      <w:r>
        <w:rPr>
          <w:rFonts w:ascii="TT Norms Pro Light" w:hAnsi="TT Norms Pro Light"/>
          <w:b w:val="0"/>
          <w:spacing w:val="-6"/>
          <w:sz w:val="18"/>
        </w:rPr>
        <w:t> </w:t>
      </w:r>
      <w:r>
        <w:rPr>
          <w:rFonts w:ascii="TT Norms Pro Light" w:hAnsi="TT Norms Pro Light"/>
          <w:b w:val="0"/>
          <w:sz w:val="18"/>
        </w:rPr>
        <w:t>matching</w:t>
      </w:r>
      <w:r>
        <w:rPr>
          <w:rFonts w:ascii="TT Norms Pro Light" w:hAnsi="TT Norms Pro Light"/>
          <w:b w:val="0"/>
          <w:spacing w:val="-6"/>
          <w:sz w:val="18"/>
        </w:rPr>
        <w:t> </w:t>
      </w:r>
      <w:r>
        <w:rPr>
          <w:rFonts w:ascii="TT Norms Pro Light" w:hAnsi="TT Norms Pro Light"/>
          <w:b w:val="0"/>
          <w:sz w:val="18"/>
        </w:rPr>
        <w:t>capability</w:t>
      </w:r>
      <w:r>
        <w:rPr>
          <w:rFonts w:ascii="TT Norms Pro Light" w:hAnsi="TT Norms Pro Light"/>
          <w:b w:val="0"/>
          <w:spacing w:val="-9"/>
          <w:sz w:val="18"/>
        </w:rPr>
        <w:t> </w:t>
      </w:r>
      <w:r>
        <w:rPr>
          <w:rFonts w:ascii="TT Norms Pro Light" w:hAnsi="TT Norms Pro Light"/>
          <w:b w:val="0"/>
          <w:sz w:val="18"/>
        </w:rPr>
        <w:t>–</w:t>
      </w:r>
      <w:r>
        <w:rPr>
          <w:rFonts w:ascii="TT Norms Pro Light" w:hAnsi="TT Norms Pro Light"/>
          <w:b w:val="0"/>
          <w:spacing w:val="-6"/>
          <w:sz w:val="18"/>
        </w:rPr>
        <w:t> </w:t>
      </w:r>
      <w:r>
        <w:rPr>
          <w:rFonts w:ascii="TT Norms Pro Light" w:hAnsi="TT Norms Pro Light"/>
          <w:b w:val="0"/>
          <w:sz w:val="18"/>
        </w:rPr>
        <w:t>to</w:t>
      </w:r>
      <w:r>
        <w:rPr>
          <w:rFonts w:ascii="TT Norms Pro Light" w:hAnsi="TT Norms Pro Light"/>
          <w:b w:val="0"/>
          <w:spacing w:val="-6"/>
          <w:sz w:val="18"/>
        </w:rPr>
        <w:t> </w:t>
      </w:r>
      <w:r>
        <w:rPr>
          <w:rFonts w:ascii="TT Norms Pro Light" w:hAnsi="TT Norms Pro Light"/>
          <w:b w:val="0"/>
          <w:sz w:val="18"/>
        </w:rPr>
        <w:t>provide</w:t>
      </w:r>
      <w:r>
        <w:rPr>
          <w:rFonts w:ascii="TT Norms Pro Light" w:hAnsi="TT Norms Pro Light"/>
          <w:b w:val="0"/>
          <w:spacing w:val="-6"/>
          <w:sz w:val="18"/>
        </w:rPr>
        <w:t> </w:t>
      </w:r>
      <w:r>
        <w:rPr>
          <w:rFonts w:ascii="TT Norms Pro Light" w:hAnsi="TT Norms Pro Light"/>
          <w:b w:val="0"/>
          <w:sz w:val="18"/>
        </w:rPr>
        <w:t>insights</w:t>
      </w:r>
      <w:r>
        <w:rPr>
          <w:rFonts w:ascii="TT Norms Pro Light" w:hAnsi="TT Norms Pro Light"/>
          <w:b w:val="0"/>
          <w:spacing w:val="40"/>
          <w:sz w:val="18"/>
        </w:rPr>
        <w:t> </w:t>
      </w:r>
      <w:r>
        <w:rPr>
          <w:rFonts w:ascii="TT Norms Pro Light" w:hAnsi="TT Norms Pro Light"/>
          <w:b w:val="0"/>
          <w:sz w:val="18"/>
        </w:rPr>
        <w:t>via analytics and visualisation to monitor and improve</w:t>
      </w:r>
      <w:r>
        <w:rPr>
          <w:rFonts w:ascii="TT Norms Pro Light" w:hAnsi="TT Norms Pro Light"/>
          <w:b w:val="0"/>
          <w:spacing w:val="40"/>
          <w:sz w:val="18"/>
        </w:rPr>
        <w:t> </w:t>
      </w:r>
      <w:r>
        <w:rPr>
          <w:rFonts w:ascii="TT Norms Pro Light" w:hAnsi="TT Norms Pro Light"/>
          <w:b w:val="0"/>
          <w:sz w:val="18"/>
        </w:rPr>
        <w:t>institutional</w:t>
      </w:r>
      <w:r>
        <w:rPr>
          <w:rFonts w:ascii="TT Norms Pro Light" w:hAnsi="TT Norms Pro Light"/>
          <w:b w:val="0"/>
          <w:spacing w:val="-5"/>
          <w:sz w:val="18"/>
        </w:rPr>
        <w:t> </w:t>
      </w:r>
      <w:r>
        <w:rPr>
          <w:rFonts w:ascii="TT Norms Pro Light" w:hAnsi="TT Norms Pro Light"/>
          <w:b w:val="0"/>
          <w:sz w:val="18"/>
        </w:rPr>
        <w:t>performance.</w:t>
      </w:r>
    </w:p>
    <w:p>
      <w:pPr>
        <w:pStyle w:val="BodyText"/>
        <w:rPr>
          <w:b w:val="0"/>
        </w:rPr>
      </w:pPr>
    </w:p>
    <w:p>
      <w:pPr>
        <w:pStyle w:val="BodyText"/>
        <w:spacing w:before="133"/>
        <w:rPr>
          <w:b w:val="0"/>
        </w:rPr>
      </w:pPr>
    </w:p>
    <w:p>
      <w:pPr>
        <w:pStyle w:val="Heading9"/>
        <w:ind w:left="213"/>
      </w:pPr>
      <w:r>
        <w:rPr/>
        <w:t>FUTURE</w:t>
      </w:r>
      <w:r>
        <w:rPr>
          <w:spacing w:val="17"/>
        </w:rPr>
        <w:t> </w:t>
      </w:r>
      <w:r>
        <w:rPr>
          <w:spacing w:val="-2"/>
        </w:rPr>
        <w:t>PROJECTS</w:t>
      </w:r>
    </w:p>
    <w:p>
      <w:pPr>
        <w:pStyle w:val="BodyText"/>
        <w:spacing w:line="295" w:lineRule="auto" w:before="154"/>
        <w:ind w:left="213" w:right="1132"/>
        <w:rPr>
          <w:b w:val="0"/>
        </w:rPr>
      </w:pPr>
      <w:r>
        <w:rPr>
          <w:b w:val="0"/>
        </w:rPr>
        <w:t>The</w:t>
      </w:r>
      <w:r>
        <w:rPr>
          <w:b w:val="0"/>
          <w:spacing w:val="-1"/>
        </w:rPr>
        <w:t> </w:t>
      </w:r>
      <w:r>
        <w:rPr>
          <w:b w:val="0"/>
        </w:rPr>
        <w:t>University</w:t>
      </w:r>
      <w:r>
        <w:rPr>
          <w:b w:val="0"/>
          <w:spacing w:val="-1"/>
        </w:rPr>
        <w:t> </w:t>
      </w:r>
      <w:r>
        <w:rPr>
          <w:b w:val="0"/>
        </w:rPr>
        <w:t>has</w:t>
      </w:r>
      <w:r>
        <w:rPr>
          <w:b w:val="0"/>
          <w:spacing w:val="-1"/>
        </w:rPr>
        <w:t> </w:t>
      </w:r>
      <w:r>
        <w:rPr>
          <w:b w:val="0"/>
        </w:rPr>
        <w:t>allocated</w:t>
      </w:r>
      <w:r>
        <w:rPr>
          <w:b w:val="0"/>
          <w:spacing w:val="-1"/>
        </w:rPr>
        <w:t> </w:t>
      </w:r>
      <w:r>
        <w:rPr>
          <w:b w:val="0"/>
        </w:rPr>
        <w:t>$10.65</w:t>
      </w:r>
      <w:r>
        <w:rPr>
          <w:b w:val="0"/>
          <w:spacing w:val="-1"/>
        </w:rPr>
        <w:t> </w:t>
      </w:r>
      <w:r>
        <w:rPr>
          <w:b w:val="0"/>
        </w:rPr>
        <w:t>million</w:t>
      </w:r>
      <w:r>
        <w:rPr>
          <w:b w:val="0"/>
          <w:spacing w:val="-1"/>
        </w:rPr>
        <w:t> </w:t>
      </w:r>
      <w:r>
        <w:rPr>
          <w:b w:val="0"/>
        </w:rPr>
        <w:t>in</w:t>
      </w:r>
      <w:r>
        <w:rPr>
          <w:b w:val="0"/>
          <w:spacing w:val="-1"/>
        </w:rPr>
        <w:t> </w:t>
      </w:r>
      <w:r>
        <w:rPr>
          <w:b w:val="0"/>
        </w:rPr>
        <w:t>2021</w:t>
      </w:r>
      <w:r>
        <w:rPr>
          <w:b w:val="0"/>
          <w:spacing w:val="-1"/>
        </w:rPr>
        <w:t> </w:t>
      </w:r>
      <w:r>
        <w:rPr>
          <w:b w:val="0"/>
        </w:rPr>
        <w:t>for</w:t>
      </w:r>
      <w:r>
        <w:rPr>
          <w:b w:val="0"/>
          <w:spacing w:val="-1"/>
        </w:rPr>
        <w:t> </w:t>
      </w:r>
      <w:r>
        <w:rPr>
          <w:b w:val="0"/>
        </w:rPr>
        <w:t>the</w:t>
      </w:r>
      <w:r>
        <w:rPr>
          <w:b w:val="0"/>
          <w:spacing w:val="40"/>
        </w:rPr>
        <w:t> </w:t>
      </w:r>
      <w:r>
        <w:rPr>
          <w:b w:val="0"/>
        </w:rPr>
        <w:t>delivery of the following digital initiatives:</w:t>
      </w:r>
    </w:p>
    <w:p>
      <w:pPr>
        <w:pStyle w:val="ListParagraph"/>
        <w:numPr>
          <w:ilvl w:val="0"/>
          <w:numId w:val="11"/>
        </w:numPr>
        <w:tabs>
          <w:tab w:pos="440" w:val="left" w:leader="none"/>
        </w:tabs>
        <w:spacing w:line="295" w:lineRule="auto" w:before="115" w:after="0"/>
        <w:ind w:left="440" w:right="1447" w:hanging="227"/>
        <w:jc w:val="left"/>
        <w:rPr>
          <w:rFonts w:ascii="TT Norms Pro Light" w:hAnsi="TT Norms Pro Light"/>
          <w:b w:val="0"/>
          <w:sz w:val="18"/>
        </w:rPr>
      </w:pPr>
      <w:r>
        <w:rPr>
          <w:rFonts w:ascii="TT Norms Pro Light" w:hAnsi="TT Norms Pro Light"/>
          <w:b w:val="0"/>
          <w:sz w:val="18"/>
        </w:rPr>
        <w:t>enhanced</w:t>
      </w:r>
      <w:r>
        <w:rPr>
          <w:rFonts w:ascii="TT Norms Pro Light" w:hAnsi="TT Norms Pro Light"/>
          <w:b w:val="0"/>
          <w:spacing w:val="-8"/>
          <w:sz w:val="18"/>
        </w:rPr>
        <w:t> </w:t>
      </w:r>
      <w:r>
        <w:rPr>
          <w:rFonts w:ascii="TT Norms Pro Light" w:hAnsi="TT Norms Pro Light"/>
          <w:b w:val="0"/>
          <w:sz w:val="18"/>
        </w:rPr>
        <w:t>lead</w:t>
      </w:r>
      <w:r>
        <w:rPr>
          <w:rFonts w:ascii="TT Norms Pro Light" w:hAnsi="TT Norms Pro Light"/>
          <w:b w:val="0"/>
          <w:spacing w:val="-8"/>
          <w:sz w:val="18"/>
        </w:rPr>
        <w:t> </w:t>
      </w:r>
      <w:r>
        <w:rPr>
          <w:rFonts w:ascii="TT Norms Pro Light" w:hAnsi="TT Norms Pro Light"/>
          <w:b w:val="0"/>
          <w:sz w:val="18"/>
        </w:rPr>
        <w:t>management</w:t>
      </w:r>
      <w:r>
        <w:rPr>
          <w:rFonts w:ascii="TT Norms Pro Light" w:hAnsi="TT Norms Pro Light"/>
          <w:b w:val="0"/>
          <w:spacing w:val="-8"/>
          <w:sz w:val="18"/>
        </w:rPr>
        <w:t> </w:t>
      </w:r>
      <w:r>
        <w:rPr>
          <w:rFonts w:ascii="TT Norms Pro Light" w:hAnsi="TT Norms Pro Light"/>
          <w:b w:val="0"/>
          <w:sz w:val="18"/>
        </w:rPr>
        <w:t>capabilities</w:t>
      </w:r>
      <w:r>
        <w:rPr>
          <w:rFonts w:ascii="TT Norms Pro Light" w:hAnsi="TT Norms Pro Light"/>
          <w:b w:val="0"/>
          <w:spacing w:val="-8"/>
          <w:sz w:val="18"/>
        </w:rPr>
        <w:t> </w:t>
      </w:r>
      <w:r>
        <w:rPr>
          <w:rFonts w:ascii="TT Norms Pro Light" w:hAnsi="TT Norms Pro Light"/>
          <w:b w:val="0"/>
          <w:sz w:val="18"/>
        </w:rPr>
        <w:t>to</w:t>
      </w:r>
      <w:r>
        <w:rPr>
          <w:rFonts w:ascii="TT Norms Pro Light" w:hAnsi="TT Norms Pro Light"/>
          <w:b w:val="0"/>
          <w:spacing w:val="-8"/>
          <w:sz w:val="18"/>
        </w:rPr>
        <w:t> </w:t>
      </w:r>
      <w:r>
        <w:rPr>
          <w:rFonts w:ascii="TT Norms Pro Light" w:hAnsi="TT Norms Pro Light"/>
          <w:b w:val="0"/>
          <w:sz w:val="18"/>
        </w:rPr>
        <w:t>improve</w:t>
      </w:r>
      <w:r>
        <w:rPr>
          <w:rFonts w:ascii="TT Norms Pro Light" w:hAnsi="TT Norms Pro Light"/>
          <w:b w:val="0"/>
          <w:spacing w:val="40"/>
          <w:sz w:val="18"/>
        </w:rPr>
        <w:t> </w:t>
      </w:r>
      <w:r>
        <w:rPr>
          <w:rFonts w:ascii="TT Norms Pro Light" w:hAnsi="TT Norms Pro Light"/>
          <w:b w:val="0"/>
          <w:sz w:val="18"/>
        </w:rPr>
        <w:t>student</w:t>
      </w:r>
      <w:r>
        <w:rPr>
          <w:rFonts w:ascii="TT Norms Pro Light" w:hAnsi="TT Norms Pro Light"/>
          <w:b w:val="0"/>
          <w:spacing w:val="-5"/>
          <w:sz w:val="18"/>
        </w:rPr>
        <w:t> </w:t>
      </w:r>
      <w:r>
        <w:rPr>
          <w:rFonts w:ascii="TT Norms Pro Light" w:hAnsi="TT Norms Pro Light"/>
          <w:b w:val="0"/>
          <w:sz w:val="18"/>
        </w:rPr>
        <w:t>conversion</w:t>
      </w:r>
    </w:p>
    <w:p>
      <w:pPr>
        <w:pStyle w:val="ListParagraph"/>
        <w:numPr>
          <w:ilvl w:val="0"/>
          <w:numId w:val="11"/>
        </w:numPr>
        <w:tabs>
          <w:tab w:pos="440" w:val="left" w:leader="none"/>
        </w:tabs>
        <w:spacing w:line="295" w:lineRule="auto" w:before="59" w:after="0"/>
        <w:ind w:left="440" w:right="1147" w:hanging="227"/>
        <w:jc w:val="left"/>
        <w:rPr>
          <w:rFonts w:ascii="TT Norms Pro Light" w:hAnsi="TT Norms Pro Light"/>
          <w:b w:val="0"/>
          <w:sz w:val="18"/>
        </w:rPr>
      </w:pPr>
      <w:r>
        <w:rPr>
          <w:rFonts w:ascii="TT Norms Pro Light" w:hAnsi="TT Norms Pro Light"/>
          <w:b w:val="0"/>
          <w:sz w:val="18"/>
        </w:rPr>
        <w:t>a</w:t>
      </w:r>
      <w:r>
        <w:rPr>
          <w:rFonts w:ascii="TT Norms Pro Light" w:hAnsi="TT Norms Pro Light"/>
          <w:b w:val="0"/>
          <w:spacing w:val="-9"/>
          <w:sz w:val="18"/>
        </w:rPr>
        <w:t> </w:t>
      </w:r>
      <w:r>
        <w:rPr>
          <w:rFonts w:ascii="TT Norms Pro Light" w:hAnsi="TT Norms Pro Light"/>
          <w:b w:val="0"/>
          <w:sz w:val="18"/>
        </w:rPr>
        <w:t>Higher</w:t>
      </w:r>
      <w:r>
        <w:rPr>
          <w:rFonts w:ascii="TT Norms Pro Light" w:hAnsi="TT Norms Pro Light"/>
          <w:b w:val="0"/>
          <w:spacing w:val="-9"/>
          <w:sz w:val="18"/>
        </w:rPr>
        <w:t> </w:t>
      </w:r>
      <w:r>
        <w:rPr>
          <w:rFonts w:ascii="TT Norms Pro Light" w:hAnsi="TT Norms Pro Light"/>
          <w:b w:val="0"/>
          <w:sz w:val="18"/>
        </w:rPr>
        <w:t>Degree</w:t>
      </w:r>
      <w:r>
        <w:rPr>
          <w:rFonts w:ascii="TT Norms Pro Light" w:hAnsi="TT Norms Pro Light"/>
          <w:b w:val="0"/>
          <w:spacing w:val="-9"/>
          <w:sz w:val="18"/>
        </w:rPr>
        <w:t> </w:t>
      </w:r>
      <w:r>
        <w:rPr>
          <w:rFonts w:ascii="TT Norms Pro Light" w:hAnsi="TT Norms Pro Light"/>
          <w:b w:val="0"/>
          <w:sz w:val="18"/>
        </w:rPr>
        <w:t>by</w:t>
      </w:r>
      <w:r>
        <w:rPr>
          <w:rFonts w:ascii="TT Norms Pro Light" w:hAnsi="TT Norms Pro Light"/>
          <w:b w:val="0"/>
          <w:spacing w:val="-9"/>
          <w:sz w:val="18"/>
        </w:rPr>
        <w:t> </w:t>
      </w:r>
      <w:r>
        <w:rPr>
          <w:rFonts w:ascii="TT Norms Pro Light" w:hAnsi="TT Norms Pro Light"/>
          <w:b w:val="0"/>
          <w:sz w:val="18"/>
        </w:rPr>
        <w:t>Research</w:t>
      </w:r>
      <w:r>
        <w:rPr>
          <w:rFonts w:ascii="TT Norms Pro Light" w:hAnsi="TT Norms Pro Light"/>
          <w:b w:val="0"/>
          <w:spacing w:val="-9"/>
          <w:sz w:val="18"/>
        </w:rPr>
        <w:t> </w:t>
      </w:r>
      <w:r>
        <w:rPr>
          <w:rFonts w:ascii="TT Norms Pro Light" w:hAnsi="TT Norms Pro Light"/>
          <w:b w:val="0"/>
          <w:sz w:val="18"/>
        </w:rPr>
        <w:t>candidature</w:t>
      </w:r>
      <w:r>
        <w:rPr>
          <w:rFonts w:ascii="TT Norms Pro Light" w:hAnsi="TT Norms Pro Light"/>
          <w:b w:val="0"/>
          <w:spacing w:val="-8"/>
          <w:sz w:val="18"/>
        </w:rPr>
        <w:t> </w:t>
      </w:r>
      <w:r>
        <w:rPr>
          <w:rFonts w:ascii="TT Norms Pro Light" w:hAnsi="TT Norms Pro Light"/>
          <w:b w:val="0"/>
          <w:sz w:val="18"/>
        </w:rPr>
        <w:t>management</w:t>
      </w:r>
      <w:r>
        <w:rPr>
          <w:rFonts w:ascii="TT Norms Pro Light" w:hAnsi="TT Norms Pro Light"/>
          <w:b w:val="0"/>
          <w:spacing w:val="40"/>
          <w:sz w:val="18"/>
        </w:rPr>
        <w:t> </w:t>
      </w:r>
      <w:r>
        <w:rPr>
          <w:rFonts w:ascii="TT Norms Pro Light" w:hAnsi="TT Norms Pro Light"/>
          <w:b w:val="0"/>
          <w:sz w:val="18"/>
        </w:rPr>
        <w:t>system to support improved completion rate</w:t>
      </w:r>
    </w:p>
    <w:p>
      <w:pPr>
        <w:pStyle w:val="ListParagraph"/>
        <w:numPr>
          <w:ilvl w:val="0"/>
          <w:numId w:val="11"/>
        </w:numPr>
        <w:tabs>
          <w:tab w:pos="440" w:val="left" w:leader="none"/>
        </w:tabs>
        <w:spacing w:line="295" w:lineRule="auto" w:before="58" w:after="0"/>
        <w:ind w:left="440" w:right="1243" w:hanging="227"/>
        <w:jc w:val="left"/>
        <w:rPr>
          <w:rFonts w:ascii="TT Norms Pro Light" w:hAnsi="TT Norms Pro Light"/>
          <w:b w:val="0"/>
          <w:sz w:val="18"/>
        </w:rPr>
      </w:pPr>
      <w:r>
        <w:rPr>
          <w:rFonts w:ascii="TT Norms Pro Light" w:hAnsi="TT Norms Pro Light"/>
          <w:b w:val="0"/>
          <w:sz w:val="18"/>
        </w:rPr>
        <w:t>continuation of major upgrades to the University’s</w:t>
      </w:r>
      <w:r>
        <w:rPr>
          <w:rFonts w:ascii="TT Norms Pro Light" w:hAnsi="TT Norms Pro Light"/>
          <w:b w:val="0"/>
          <w:spacing w:val="40"/>
          <w:sz w:val="18"/>
        </w:rPr>
        <w:t> </w:t>
      </w:r>
      <w:r>
        <w:rPr>
          <w:rFonts w:ascii="TT Norms Pro Light" w:hAnsi="TT Norms Pro Light"/>
          <w:b w:val="0"/>
          <w:sz w:val="18"/>
        </w:rPr>
        <w:t>physical network to support education and research</w:t>
      </w:r>
      <w:r>
        <w:rPr>
          <w:rFonts w:ascii="TT Norms Pro Light" w:hAnsi="TT Norms Pro Light"/>
          <w:b w:val="0"/>
          <w:spacing w:val="40"/>
          <w:sz w:val="18"/>
        </w:rPr>
        <w:t> </w:t>
      </w:r>
      <w:r>
        <w:rPr>
          <w:rFonts w:ascii="TT Norms Pro Light" w:hAnsi="TT Norms Pro Light"/>
          <w:b w:val="0"/>
          <w:sz w:val="18"/>
        </w:rPr>
        <w:t>through</w:t>
      </w:r>
      <w:r>
        <w:rPr>
          <w:rFonts w:ascii="TT Norms Pro Light" w:hAnsi="TT Norms Pro Light"/>
          <w:b w:val="0"/>
          <w:spacing w:val="-11"/>
          <w:sz w:val="18"/>
        </w:rPr>
        <w:t> </w:t>
      </w:r>
      <w:r>
        <w:rPr>
          <w:rFonts w:ascii="TT Norms Pro Light" w:hAnsi="TT Norms Pro Light"/>
          <w:b w:val="0"/>
          <w:sz w:val="18"/>
        </w:rPr>
        <w:t>ubiquitous,</w:t>
      </w:r>
      <w:r>
        <w:rPr>
          <w:rFonts w:ascii="TT Norms Pro Light" w:hAnsi="TT Norms Pro Light"/>
          <w:b w:val="0"/>
          <w:spacing w:val="-9"/>
          <w:sz w:val="18"/>
        </w:rPr>
        <w:t> </w:t>
      </w:r>
      <w:r>
        <w:rPr>
          <w:rFonts w:ascii="TT Norms Pro Light" w:hAnsi="TT Norms Pro Light"/>
          <w:b w:val="0"/>
          <w:sz w:val="18"/>
        </w:rPr>
        <w:t>high</w:t>
      </w:r>
      <w:r>
        <w:rPr>
          <w:rFonts w:ascii="TT Norms Pro Light" w:hAnsi="TT Norms Pro Light"/>
          <w:b w:val="0"/>
          <w:spacing w:val="-9"/>
          <w:sz w:val="18"/>
        </w:rPr>
        <w:t> </w:t>
      </w:r>
      <w:r>
        <w:rPr>
          <w:rFonts w:ascii="TT Norms Pro Light" w:hAnsi="TT Norms Pro Light"/>
          <w:b w:val="0"/>
          <w:sz w:val="18"/>
        </w:rPr>
        <w:t>performance</w:t>
      </w:r>
      <w:r>
        <w:rPr>
          <w:rFonts w:ascii="TT Norms Pro Light" w:hAnsi="TT Norms Pro Light"/>
          <w:b w:val="0"/>
          <w:spacing w:val="-9"/>
          <w:sz w:val="18"/>
        </w:rPr>
        <w:t> </w:t>
      </w:r>
      <w:r>
        <w:rPr>
          <w:rFonts w:ascii="TT Norms Pro Light" w:hAnsi="TT Norms Pro Light"/>
          <w:b w:val="0"/>
          <w:sz w:val="18"/>
        </w:rPr>
        <w:t>network</w:t>
      </w:r>
      <w:r>
        <w:rPr>
          <w:rFonts w:ascii="TT Norms Pro Light" w:hAnsi="TT Norms Pro Light"/>
          <w:b w:val="0"/>
          <w:spacing w:val="-9"/>
          <w:sz w:val="18"/>
        </w:rPr>
        <w:t> </w:t>
      </w:r>
      <w:r>
        <w:rPr>
          <w:rFonts w:ascii="TT Norms Pro Light" w:hAnsi="TT Norms Pro Light"/>
          <w:b w:val="0"/>
          <w:sz w:val="18"/>
        </w:rPr>
        <w:t>access,</w:t>
      </w:r>
      <w:r>
        <w:rPr>
          <w:rFonts w:ascii="TT Norms Pro Light" w:hAnsi="TT Norms Pro Light"/>
          <w:b w:val="0"/>
          <w:spacing w:val="40"/>
          <w:sz w:val="18"/>
        </w:rPr>
        <w:t> </w:t>
      </w:r>
      <w:r>
        <w:rPr>
          <w:rFonts w:ascii="TT Norms Pro Light" w:hAnsi="TT Norms Pro Light"/>
          <w:b w:val="0"/>
          <w:sz w:val="18"/>
        </w:rPr>
        <w:t>allowing study and work anytime/anywhere to enable</w:t>
      </w:r>
      <w:r>
        <w:rPr>
          <w:rFonts w:ascii="TT Norms Pro Light" w:hAnsi="TT Norms Pro Light"/>
          <w:b w:val="0"/>
          <w:spacing w:val="40"/>
          <w:sz w:val="18"/>
        </w:rPr>
        <w:t> </w:t>
      </w:r>
      <w:r>
        <w:rPr>
          <w:rFonts w:ascii="TT Norms Pro Light" w:hAnsi="TT Norms Pro Light"/>
          <w:b w:val="0"/>
          <w:sz w:val="18"/>
        </w:rPr>
        <w:t>national and global collaboration and research</w:t>
      </w:r>
    </w:p>
    <w:p>
      <w:pPr>
        <w:pStyle w:val="ListParagraph"/>
        <w:numPr>
          <w:ilvl w:val="0"/>
          <w:numId w:val="11"/>
        </w:numPr>
        <w:tabs>
          <w:tab w:pos="440" w:val="left" w:leader="none"/>
        </w:tabs>
        <w:spacing w:line="295" w:lineRule="auto" w:before="61" w:after="0"/>
        <w:ind w:left="440" w:right="1256" w:hanging="227"/>
        <w:jc w:val="left"/>
        <w:rPr>
          <w:rFonts w:ascii="TT Norms Pro Light" w:hAnsi="TT Norms Pro Light"/>
          <w:b w:val="0"/>
          <w:sz w:val="18"/>
        </w:rPr>
      </w:pPr>
      <w:r>
        <w:rPr>
          <w:rFonts w:ascii="TT Norms Pro Light" w:hAnsi="TT Norms Pro Light"/>
          <w:b w:val="0"/>
          <w:sz w:val="18"/>
        </w:rPr>
        <w:t>further improvements to cybersecurity and identity</w:t>
      </w:r>
      <w:r>
        <w:rPr>
          <w:rFonts w:ascii="TT Norms Pro Light" w:hAnsi="TT Norms Pro Light"/>
          <w:b w:val="0"/>
          <w:spacing w:val="40"/>
          <w:sz w:val="18"/>
        </w:rPr>
        <w:t> </w:t>
      </w:r>
      <w:r>
        <w:rPr>
          <w:rFonts w:ascii="TT Norms Pro Light" w:hAnsi="TT Norms Pro Light"/>
          <w:b w:val="0"/>
          <w:sz w:val="18"/>
        </w:rPr>
        <w:t>management to address the threats present in higher</w:t>
      </w:r>
      <w:r>
        <w:rPr>
          <w:rFonts w:ascii="TT Norms Pro Light" w:hAnsi="TT Norms Pro Light"/>
          <w:b w:val="0"/>
          <w:spacing w:val="40"/>
          <w:sz w:val="18"/>
        </w:rPr>
        <w:t> </w:t>
      </w:r>
      <w:r>
        <w:rPr>
          <w:rFonts w:ascii="TT Norms Pro Light" w:hAnsi="TT Norms Pro Light"/>
          <w:b w:val="0"/>
          <w:sz w:val="18"/>
        </w:rPr>
        <w:t>education</w:t>
      </w:r>
      <w:r>
        <w:rPr>
          <w:rFonts w:ascii="TT Norms Pro Light" w:hAnsi="TT Norms Pro Light"/>
          <w:b w:val="0"/>
          <w:spacing w:val="-11"/>
          <w:sz w:val="18"/>
        </w:rPr>
        <w:t> </w:t>
      </w:r>
      <w:r>
        <w:rPr>
          <w:rFonts w:ascii="TT Norms Pro Light" w:hAnsi="TT Norms Pro Light"/>
          <w:b w:val="0"/>
          <w:sz w:val="18"/>
        </w:rPr>
        <w:t>sector</w:t>
      </w:r>
      <w:r>
        <w:rPr>
          <w:rFonts w:ascii="TT Norms Pro Light" w:hAnsi="TT Norms Pro Light"/>
          <w:b w:val="0"/>
          <w:spacing w:val="-9"/>
          <w:sz w:val="18"/>
        </w:rPr>
        <w:t> </w:t>
      </w:r>
      <w:r>
        <w:rPr>
          <w:rFonts w:ascii="TT Norms Pro Light" w:hAnsi="TT Norms Pro Light"/>
          <w:b w:val="0"/>
          <w:sz w:val="18"/>
        </w:rPr>
        <w:t>and</w:t>
      </w:r>
      <w:r>
        <w:rPr>
          <w:rFonts w:ascii="TT Norms Pro Light" w:hAnsi="TT Norms Pro Light"/>
          <w:b w:val="0"/>
          <w:spacing w:val="-9"/>
          <w:sz w:val="18"/>
        </w:rPr>
        <w:t> </w:t>
      </w:r>
      <w:r>
        <w:rPr>
          <w:rFonts w:ascii="TT Norms Pro Light" w:hAnsi="TT Norms Pro Light"/>
          <w:b w:val="0"/>
          <w:sz w:val="18"/>
        </w:rPr>
        <w:t>increased</w:t>
      </w:r>
      <w:r>
        <w:rPr>
          <w:rFonts w:ascii="TT Norms Pro Light" w:hAnsi="TT Norms Pro Light"/>
          <w:b w:val="0"/>
          <w:spacing w:val="-9"/>
          <w:sz w:val="18"/>
        </w:rPr>
        <w:t> </w:t>
      </w:r>
      <w:r>
        <w:rPr>
          <w:rFonts w:ascii="TT Norms Pro Light" w:hAnsi="TT Norms Pro Light"/>
          <w:b w:val="0"/>
          <w:sz w:val="18"/>
        </w:rPr>
        <w:t>regulatory</w:t>
      </w:r>
      <w:r>
        <w:rPr>
          <w:rFonts w:ascii="TT Norms Pro Light" w:hAnsi="TT Norms Pro Light"/>
          <w:b w:val="0"/>
          <w:spacing w:val="-9"/>
          <w:sz w:val="18"/>
        </w:rPr>
        <w:t> </w:t>
      </w:r>
      <w:r>
        <w:rPr>
          <w:rFonts w:ascii="TT Norms Pro Light" w:hAnsi="TT Norms Pro Light"/>
          <w:b w:val="0"/>
          <w:sz w:val="18"/>
        </w:rPr>
        <w:t>compliance</w:t>
      </w:r>
      <w:r>
        <w:rPr>
          <w:rFonts w:ascii="TT Norms Pro Light" w:hAnsi="TT Norms Pro Light"/>
          <w:b w:val="0"/>
          <w:spacing w:val="40"/>
          <w:sz w:val="18"/>
        </w:rPr>
        <w:t> </w:t>
      </w:r>
      <w:r>
        <w:rPr>
          <w:rFonts w:ascii="TT Norms Pro Light" w:hAnsi="TT Norms Pro Light"/>
          <w:b w:val="0"/>
          <w:sz w:val="18"/>
        </w:rPr>
        <w:t>requirements,</w:t>
      </w:r>
      <w:r>
        <w:rPr>
          <w:rFonts w:ascii="TT Norms Pro Light" w:hAnsi="TT Norms Pro Light"/>
          <w:b w:val="0"/>
          <w:spacing w:val="-4"/>
          <w:sz w:val="18"/>
        </w:rPr>
        <w:t> </w:t>
      </w:r>
      <w:r>
        <w:rPr>
          <w:rFonts w:ascii="TT Norms Pro Light" w:hAnsi="TT Norms Pro Light"/>
          <w:b w:val="0"/>
          <w:sz w:val="18"/>
        </w:rPr>
        <w:t>such</w:t>
      </w:r>
      <w:r>
        <w:rPr>
          <w:rFonts w:ascii="TT Norms Pro Light" w:hAnsi="TT Norms Pro Light"/>
          <w:b w:val="0"/>
          <w:spacing w:val="-4"/>
          <w:sz w:val="18"/>
        </w:rPr>
        <w:t> </w:t>
      </w:r>
      <w:r>
        <w:rPr>
          <w:rFonts w:ascii="TT Norms Pro Light" w:hAnsi="TT Norms Pro Light"/>
          <w:b w:val="0"/>
          <w:sz w:val="18"/>
        </w:rPr>
        <w:t>as</w:t>
      </w:r>
      <w:r>
        <w:rPr>
          <w:rFonts w:ascii="TT Norms Pro Light" w:hAnsi="TT Norms Pro Light"/>
          <w:b w:val="0"/>
          <w:spacing w:val="-4"/>
          <w:sz w:val="18"/>
        </w:rPr>
        <w:t> </w:t>
      </w:r>
      <w:r>
        <w:rPr>
          <w:rFonts w:ascii="TT Norms Pro Light" w:hAnsi="TT Norms Pro Light"/>
          <w:b w:val="0"/>
          <w:sz w:val="18"/>
        </w:rPr>
        <w:t>Foreign</w:t>
      </w:r>
      <w:r>
        <w:rPr>
          <w:rFonts w:ascii="TT Norms Pro Light" w:hAnsi="TT Norms Pro Light"/>
          <w:b w:val="0"/>
          <w:spacing w:val="-4"/>
          <w:sz w:val="18"/>
        </w:rPr>
        <w:t> </w:t>
      </w:r>
      <w:r>
        <w:rPr>
          <w:rFonts w:ascii="TT Norms Pro Light" w:hAnsi="TT Norms Pro Light"/>
          <w:b w:val="0"/>
          <w:sz w:val="18"/>
        </w:rPr>
        <w:t>Influence</w:t>
      </w:r>
      <w:r>
        <w:rPr>
          <w:rFonts w:ascii="TT Norms Pro Light" w:hAnsi="TT Norms Pro Light"/>
          <w:b w:val="0"/>
          <w:spacing w:val="-9"/>
          <w:sz w:val="18"/>
        </w:rPr>
        <w:t> </w:t>
      </w:r>
      <w:r>
        <w:rPr>
          <w:rFonts w:ascii="TT Norms Pro Light" w:hAnsi="TT Norms Pro Light"/>
          <w:b w:val="0"/>
          <w:sz w:val="18"/>
        </w:rPr>
        <w:t>Transparency</w:t>
      </w:r>
      <w:r>
        <w:rPr>
          <w:rFonts w:ascii="TT Norms Pro Light" w:hAnsi="TT Norms Pro Light"/>
          <w:b w:val="0"/>
          <w:spacing w:val="40"/>
          <w:sz w:val="18"/>
        </w:rPr>
        <w:t> </w:t>
      </w:r>
      <w:r>
        <w:rPr>
          <w:rFonts w:ascii="TT Norms Pro Light" w:hAnsi="TT Norms Pro Light"/>
          <w:b w:val="0"/>
          <w:sz w:val="18"/>
        </w:rPr>
        <w:t>Scheme and the need to protect critical infrastructure</w:t>
      </w:r>
    </w:p>
    <w:p>
      <w:pPr>
        <w:pStyle w:val="ListParagraph"/>
        <w:numPr>
          <w:ilvl w:val="0"/>
          <w:numId w:val="11"/>
        </w:numPr>
        <w:tabs>
          <w:tab w:pos="440" w:val="left" w:leader="none"/>
        </w:tabs>
        <w:spacing w:line="295" w:lineRule="auto" w:before="61" w:after="0"/>
        <w:ind w:left="440" w:right="1301" w:hanging="227"/>
        <w:jc w:val="left"/>
        <w:rPr>
          <w:rFonts w:ascii="TT Norms Pro Light" w:hAnsi="TT Norms Pro Light"/>
          <w:b w:val="0"/>
          <w:sz w:val="18"/>
        </w:rPr>
      </w:pPr>
      <w:r>
        <w:rPr/>
        <mc:AlternateContent>
          <mc:Choice Requires="wps">
            <w:drawing>
              <wp:anchor distT="0" distB="0" distL="0" distR="0" allowOverlap="1" layoutInCell="1" locked="0" behindDoc="1" simplePos="0" relativeHeight="472712704">
                <wp:simplePos x="0" y="0"/>
                <wp:positionH relativeFrom="page">
                  <wp:posOffset>7123989</wp:posOffset>
                </wp:positionH>
                <wp:positionV relativeFrom="paragraph">
                  <wp:posOffset>697259</wp:posOffset>
                </wp:positionV>
                <wp:extent cx="152400" cy="1823085"/>
                <wp:effectExtent l="0" t="0" r="0" b="0"/>
                <wp:wrapNone/>
                <wp:docPr id="840" name="Textbox 840"/>
                <wp:cNvGraphicFramePr>
                  <a:graphicFrameLocks/>
                </wp:cNvGraphicFramePr>
                <a:graphic>
                  <a:graphicData uri="http://schemas.microsoft.com/office/word/2010/wordprocessingShape">
                    <wps:wsp>
                      <wps:cNvPr id="840" name="Textbox 840"/>
                      <wps:cNvSpPr txBox="1"/>
                      <wps:spPr>
                        <a:xfrm>
                          <a:off x="0" y="0"/>
                          <a:ext cx="152400" cy="1823085"/>
                        </a:xfrm>
                        <a:prstGeom prst="rect">
                          <a:avLst/>
                        </a:prstGeom>
                      </wps:spPr>
                      <wps:txbx>
                        <w:txbxContent>
                          <w:p>
                            <w:pPr>
                              <w:spacing w:before="25"/>
                              <w:ind w:left="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60.944092pt;margin-top:54.902302pt;width:12pt;height:143.550pt;mso-position-horizontal-relative:page;mso-position-vertical-relative:paragraph;z-index:-30603776" type="#_x0000_t202" id="docshape545" filled="false" stroked="false">
                <v:textbox inset="0,0,0,0" style="layout-flow:vertical">
                  <w:txbxContent>
                    <w:p>
                      <w:pPr>
                        <w:spacing w:before="25"/>
                        <w:ind w:left="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v:textbox>
                <w10:wrap type="none"/>
              </v:shape>
            </w:pict>
          </mc:Fallback>
        </mc:AlternateContent>
      </w:r>
      <w:r>
        <w:rPr>
          <w:rFonts w:ascii="TT Norms Pro Light" w:hAnsi="TT Norms Pro Light"/>
          <w:b w:val="0"/>
          <w:sz w:val="18"/>
        </w:rPr>
        <w:t>adopting a cloud-first approach, utilising Microsoft</w:t>
      </w:r>
      <w:r>
        <w:rPr>
          <w:rFonts w:ascii="TT Norms Pro Light" w:hAnsi="TT Norms Pro Light"/>
          <w:b w:val="0"/>
          <w:spacing w:val="40"/>
          <w:sz w:val="18"/>
        </w:rPr>
        <w:t> </w:t>
      </w:r>
      <w:r>
        <w:rPr>
          <w:rFonts w:ascii="TT Norms Pro Light" w:hAnsi="TT Norms Pro Light"/>
          <w:b w:val="0"/>
          <w:sz w:val="18"/>
        </w:rPr>
        <w:t>Azure</w:t>
      </w:r>
      <w:r>
        <w:rPr>
          <w:rFonts w:ascii="TT Norms Pro Light" w:hAnsi="TT Norms Pro Light"/>
          <w:b w:val="0"/>
          <w:spacing w:val="-8"/>
          <w:sz w:val="18"/>
        </w:rPr>
        <w:t> </w:t>
      </w:r>
      <w:r>
        <w:rPr>
          <w:rFonts w:ascii="TT Norms Pro Light" w:hAnsi="TT Norms Pro Light"/>
          <w:b w:val="0"/>
          <w:sz w:val="18"/>
        </w:rPr>
        <w:t>and</w:t>
      </w:r>
      <w:r>
        <w:rPr>
          <w:rFonts w:ascii="TT Norms Pro Light" w:hAnsi="TT Norms Pro Light"/>
          <w:b w:val="0"/>
          <w:spacing w:val="-8"/>
          <w:sz w:val="18"/>
        </w:rPr>
        <w:t> </w:t>
      </w:r>
      <w:r>
        <w:rPr>
          <w:rFonts w:ascii="TT Norms Pro Light" w:hAnsi="TT Norms Pro Light"/>
          <w:b w:val="0"/>
          <w:sz w:val="18"/>
        </w:rPr>
        <w:t>external</w:t>
      </w:r>
      <w:r>
        <w:rPr>
          <w:rFonts w:ascii="TT Norms Pro Light" w:hAnsi="TT Norms Pro Light"/>
          <w:b w:val="0"/>
          <w:spacing w:val="-8"/>
          <w:sz w:val="18"/>
        </w:rPr>
        <w:t> </w:t>
      </w:r>
      <w:r>
        <w:rPr>
          <w:rFonts w:ascii="TT Norms Pro Light" w:hAnsi="TT Norms Pro Light"/>
          <w:b w:val="0"/>
          <w:sz w:val="18"/>
        </w:rPr>
        <w:t>hosted</w:t>
      </w:r>
      <w:r>
        <w:rPr>
          <w:rFonts w:ascii="TT Norms Pro Light" w:hAnsi="TT Norms Pro Light"/>
          <w:b w:val="0"/>
          <w:spacing w:val="-8"/>
          <w:sz w:val="18"/>
        </w:rPr>
        <w:t> </w:t>
      </w:r>
      <w:r>
        <w:rPr>
          <w:rFonts w:ascii="TT Norms Pro Light" w:hAnsi="TT Norms Pro Light"/>
          <w:b w:val="0"/>
          <w:sz w:val="18"/>
        </w:rPr>
        <w:t>data</w:t>
      </w:r>
      <w:r>
        <w:rPr>
          <w:rFonts w:ascii="TT Norms Pro Light" w:hAnsi="TT Norms Pro Light"/>
          <w:b w:val="0"/>
          <w:spacing w:val="-8"/>
          <w:sz w:val="18"/>
        </w:rPr>
        <w:t> </w:t>
      </w:r>
      <w:r>
        <w:rPr>
          <w:rFonts w:ascii="TT Norms Pro Light" w:hAnsi="TT Norms Pro Light"/>
          <w:b w:val="0"/>
          <w:sz w:val="18"/>
        </w:rPr>
        <w:t>centres,</w:t>
      </w:r>
      <w:r>
        <w:rPr>
          <w:rFonts w:ascii="TT Norms Pro Light" w:hAnsi="TT Norms Pro Light"/>
          <w:b w:val="0"/>
          <w:spacing w:val="-8"/>
          <w:sz w:val="18"/>
        </w:rPr>
        <w:t> </w:t>
      </w:r>
      <w:r>
        <w:rPr>
          <w:rFonts w:ascii="TT Norms Pro Light" w:hAnsi="TT Norms Pro Light"/>
          <w:b w:val="0"/>
          <w:sz w:val="18"/>
        </w:rPr>
        <w:t>the</w:t>
      </w:r>
      <w:r>
        <w:rPr>
          <w:rFonts w:ascii="TT Norms Pro Light" w:hAnsi="TT Norms Pro Light"/>
          <w:b w:val="0"/>
          <w:spacing w:val="-8"/>
          <w:sz w:val="18"/>
        </w:rPr>
        <w:t> </w:t>
      </w:r>
      <w:r>
        <w:rPr>
          <w:rFonts w:ascii="TT Norms Pro Light" w:hAnsi="TT Norms Pro Light"/>
          <w:b w:val="0"/>
          <w:sz w:val="18"/>
        </w:rPr>
        <w:t>University</w:t>
      </w:r>
      <w:r>
        <w:rPr>
          <w:rFonts w:ascii="TT Norms Pro Light" w:hAnsi="TT Norms Pro Light"/>
          <w:b w:val="0"/>
          <w:spacing w:val="40"/>
          <w:sz w:val="18"/>
        </w:rPr>
        <w:t> </w:t>
      </w:r>
      <w:r>
        <w:rPr>
          <w:rFonts w:ascii="TT Norms Pro Light" w:hAnsi="TT Norms Pro Light"/>
          <w:b w:val="0"/>
          <w:sz w:val="18"/>
        </w:rPr>
        <w:t>will continue to migrate critical application and</w:t>
      </w:r>
      <w:r>
        <w:rPr>
          <w:rFonts w:ascii="TT Norms Pro Light" w:hAnsi="TT Norms Pro Light"/>
          <w:b w:val="0"/>
          <w:spacing w:val="40"/>
          <w:sz w:val="18"/>
        </w:rPr>
        <w:t> </w:t>
      </w:r>
      <w:r>
        <w:rPr>
          <w:rFonts w:ascii="TT Norms Pro Light" w:hAnsi="TT Norms Pro Light"/>
          <w:b w:val="0"/>
          <w:sz w:val="18"/>
        </w:rPr>
        <w:t>integrated</w:t>
      </w:r>
      <w:r>
        <w:rPr>
          <w:rFonts w:ascii="TT Norms Pro Light" w:hAnsi="TT Norms Pro Light"/>
          <w:b w:val="0"/>
          <w:spacing w:val="-5"/>
          <w:sz w:val="18"/>
        </w:rPr>
        <w:t> </w:t>
      </w:r>
      <w:r>
        <w:rPr>
          <w:rFonts w:ascii="TT Norms Pro Light" w:hAnsi="TT Norms Pro Light"/>
          <w:b w:val="0"/>
          <w:sz w:val="18"/>
        </w:rPr>
        <w:t>systems.</w:t>
      </w:r>
    </w:p>
    <w:p>
      <w:pPr>
        <w:spacing w:after="0" w:line="295" w:lineRule="auto"/>
        <w:jc w:val="left"/>
        <w:rPr>
          <w:rFonts w:ascii="TT Norms Pro Light" w:hAnsi="TT Norms Pro Light"/>
          <w:sz w:val="18"/>
        </w:rPr>
        <w:sectPr>
          <w:type w:val="continuous"/>
          <w:pgSz w:w="11910" w:h="16840"/>
          <w:pgMar w:header="468" w:footer="0" w:top="980" w:bottom="280" w:left="920" w:right="0"/>
          <w:cols w:num="2" w:equalWidth="0">
            <w:col w:w="4857" w:space="160"/>
            <w:col w:w="5973"/>
          </w:cols>
        </w:sectPr>
      </w:pPr>
    </w:p>
    <w:p>
      <w:pPr>
        <w:pStyle w:val="Heading4"/>
        <w:spacing w:before="354"/>
        <w:ind w:left="213"/>
      </w:pPr>
      <w:bookmarkStart w:name="_TOC_250003" w:id="1"/>
      <w:r>
        <w:rPr>
          <w:spacing w:val="-2"/>
        </w:rPr>
        <w:t>Workforce</w:t>
      </w:r>
      <w:r>
        <w:rPr>
          <w:spacing w:val="-15"/>
        </w:rPr>
        <w:t> </w:t>
      </w:r>
      <w:bookmarkEnd w:id="1"/>
      <w:r>
        <w:rPr>
          <w:spacing w:val="-2"/>
        </w:rPr>
        <w:t>disclosures</w:t>
      </w:r>
    </w:p>
    <w:p>
      <w:pPr>
        <w:pStyle w:val="BodyText"/>
        <w:rPr>
          <w:rFonts w:ascii="TT Norms Pro"/>
          <w:b/>
          <w:sz w:val="20"/>
        </w:rPr>
      </w:pPr>
    </w:p>
    <w:p>
      <w:pPr>
        <w:pStyle w:val="BodyText"/>
        <w:spacing w:before="9"/>
        <w:rPr>
          <w:rFonts w:ascii="TT Norms Pro"/>
          <w:b/>
          <w:sz w:val="20"/>
        </w:rPr>
      </w:pPr>
    </w:p>
    <w:p>
      <w:pPr>
        <w:spacing w:after="0"/>
        <w:rPr>
          <w:rFonts w:ascii="TT Norms Pro"/>
          <w:sz w:val="20"/>
        </w:rPr>
        <w:sectPr>
          <w:pgSz w:w="11910" w:h="16840"/>
          <w:pgMar w:header="468" w:footer="0" w:top="720" w:bottom="280" w:left="920" w:right="0"/>
        </w:sectPr>
      </w:pPr>
    </w:p>
    <w:p>
      <w:pPr>
        <w:pStyle w:val="Heading9"/>
        <w:spacing w:before="128"/>
        <w:ind w:left="213"/>
      </w:pPr>
      <w:r>
        <w:rPr/>
        <w:t>DIVERSITY</w:t>
      </w:r>
      <w:r>
        <w:rPr>
          <w:spacing w:val="21"/>
        </w:rPr>
        <w:t> </w:t>
      </w:r>
      <w:r>
        <w:rPr/>
        <w:t>AND</w:t>
      </w:r>
      <w:r>
        <w:rPr>
          <w:spacing w:val="21"/>
        </w:rPr>
        <w:t> </w:t>
      </w:r>
      <w:r>
        <w:rPr>
          <w:spacing w:val="-2"/>
        </w:rPr>
        <w:t>INCLUSION</w:t>
      </w:r>
    </w:p>
    <w:p>
      <w:pPr>
        <w:pStyle w:val="BodyText"/>
        <w:spacing w:line="295" w:lineRule="auto" w:before="154"/>
        <w:ind w:left="213" w:right="80"/>
        <w:rPr>
          <w:b w:val="0"/>
        </w:rPr>
      </w:pPr>
      <w:r>
        <w:rPr>
          <w:b w:val="0"/>
        </w:rPr>
        <w:t>In February 2020 the University was one of 11</w:t>
      </w:r>
      <w:r>
        <w:rPr>
          <w:b w:val="0"/>
          <w:spacing w:val="40"/>
        </w:rPr>
        <w:t> </w:t>
      </w:r>
      <w:r>
        <w:rPr>
          <w:b w:val="0"/>
        </w:rPr>
        <w:t>organisations to be awarded an internationally recognised</w:t>
      </w:r>
      <w:r>
        <w:rPr>
          <w:b w:val="0"/>
          <w:spacing w:val="40"/>
        </w:rPr>
        <w:t> </w:t>
      </w:r>
      <w:r>
        <w:rPr>
          <w:b w:val="0"/>
        </w:rPr>
        <w:t>Athena SWAN Bronze Award for its commitment to</w:t>
      </w:r>
      <w:r>
        <w:rPr>
          <w:b w:val="0"/>
          <w:spacing w:val="40"/>
        </w:rPr>
        <w:t> </w:t>
      </w:r>
      <w:r>
        <w:rPr>
          <w:b w:val="0"/>
        </w:rPr>
        <w:t>gender diversity in the STEMM subjects of science,</w:t>
      </w:r>
      <w:r>
        <w:rPr>
          <w:b w:val="0"/>
          <w:spacing w:val="40"/>
        </w:rPr>
        <w:t> </w:t>
      </w:r>
      <w:r>
        <w:rPr>
          <w:b w:val="0"/>
        </w:rPr>
        <w:t>technology, engineering, maths and medicine. In fulfilling</w:t>
      </w:r>
      <w:r>
        <w:rPr>
          <w:b w:val="0"/>
          <w:spacing w:val="40"/>
        </w:rPr>
        <w:t> </w:t>
      </w:r>
      <w:r>
        <w:rPr>
          <w:b w:val="0"/>
        </w:rPr>
        <w:t>the Athena SWAN objectives, UWA’s Gender Equity</w:t>
      </w:r>
      <w:r>
        <w:rPr>
          <w:b w:val="0"/>
          <w:spacing w:val="40"/>
        </w:rPr>
        <w:t> </w:t>
      </w:r>
      <w:r>
        <w:rPr>
          <w:b w:val="0"/>
        </w:rPr>
        <w:t>Working Group, in collaboration with HR, established a</w:t>
      </w:r>
      <w:r>
        <w:rPr>
          <w:b w:val="0"/>
          <w:spacing w:val="40"/>
        </w:rPr>
        <w:t> </w:t>
      </w:r>
      <w:r>
        <w:rPr>
          <w:b w:val="0"/>
        </w:rPr>
        <w:t>three-to-four-year action plan that aims to ensure UWA</w:t>
      </w:r>
      <w:r>
        <w:rPr>
          <w:b w:val="0"/>
          <w:spacing w:val="40"/>
        </w:rPr>
        <w:t> </w:t>
      </w:r>
      <w:r>
        <w:rPr>
          <w:b w:val="0"/>
        </w:rPr>
        <w:t>maintains its bronze accreditation and achieves Athena</w:t>
      </w:r>
      <w:r>
        <w:rPr>
          <w:b w:val="0"/>
          <w:spacing w:val="40"/>
        </w:rPr>
        <w:t> </w:t>
      </w:r>
      <w:r>
        <w:rPr>
          <w:b w:val="0"/>
        </w:rPr>
        <w:t>SWAN silver accreditation in coming years. Other actions</w:t>
      </w:r>
      <w:r>
        <w:rPr>
          <w:b w:val="0"/>
          <w:spacing w:val="40"/>
        </w:rPr>
        <w:t> </w:t>
      </w:r>
      <w:r>
        <w:rPr>
          <w:b w:val="0"/>
        </w:rPr>
        <w:t>implemented in 2020 included a panel pledge on gender</w:t>
      </w:r>
      <w:r>
        <w:rPr>
          <w:b w:val="0"/>
          <w:spacing w:val="40"/>
        </w:rPr>
        <w:t> </w:t>
      </w:r>
      <w:r>
        <w:rPr>
          <w:b w:val="0"/>
        </w:rPr>
        <w:t>equity, by UWA Executive, and the development of a</w:t>
      </w:r>
      <w:r>
        <w:rPr>
          <w:b w:val="0"/>
          <w:spacing w:val="40"/>
        </w:rPr>
        <w:t> </w:t>
      </w:r>
      <w:r>
        <w:rPr>
          <w:b w:val="0"/>
        </w:rPr>
        <w:t>family-friendly meeting times guideline.</w:t>
      </w:r>
    </w:p>
    <w:p>
      <w:pPr>
        <w:pStyle w:val="BodyText"/>
        <w:spacing w:before="56"/>
        <w:rPr>
          <w:b w:val="0"/>
        </w:rPr>
      </w:pPr>
    </w:p>
    <w:p>
      <w:pPr>
        <w:pStyle w:val="BodyText"/>
        <w:spacing w:line="295" w:lineRule="auto" w:before="1"/>
        <w:ind w:left="213" w:right="38"/>
        <w:rPr>
          <w:b w:val="0"/>
        </w:rPr>
      </w:pPr>
      <w:r>
        <w:rPr>
          <w:b w:val="0"/>
        </w:rPr>
        <w:t>UWA has also increased awareness on key topics relating</w:t>
      </w:r>
      <w:r>
        <w:rPr>
          <w:b w:val="0"/>
          <w:spacing w:val="40"/>
        </w:rPr>
        <w:t> </w:t>
      </w:r>
      <w:r>
        <w:rPr>
          <w:b w:val="0"/>
        </w:rPr>
        <w:t>to diversity across the University through the Unconscious</w:t>
      </w:r>
      <w:r>
        <w:rPr>
          <w:b w:val="0"/>
          <w:spacing w:val="40"/>
        </w:rPr>
        <w:t> </w:t>
      </w:r>
      <w:r>
        <w:rPr>
          <w:b w:val="0"/>
        </w:rPr>
        <w:t>Bias training and seminar series. The seminar series</w:t>
      </w:r>
      <w:r>
        <w:rPr>
          <w:b w:val="0"/>
          <w:spacing w:val="40"/>
        </w:rPr>
        <w:t> </w:t>
      </w:r>
      <w:r>
        <w:rPr>
          <w:b w:val="0"/>
        </w:rPr>
        <w:t>improved awareness of key issues in relation to gender</w:t>
      </w:r>
      <w:r>
        <w:rPr>
          <w:b w:val="0"/>
          <w:spacing w:val="40"/>
        </w:rPr>
        <w:t> </w:t>
      </w:r>
      <w:r>
        <w:rPr>
          <w:b w:val="0"/>
        </w:rPr>
        <w:t>equity, LGBTIQA+, disability, and harassment through</w:t>
      </w:r>
      <w:r>
        <w:rPr>
          <w:b w:val="0"/>
          <w:spacing w:val="40"/>
        </w:rPr>
        <w:t> </w:t>
      </w:r>
      <w:r>
        <w:rPr>
          <w:b w:val="0"/>
        </w:rPr>
        <w:t>presentations and panel discussions.</w:t>
      </w:r>
    </w:p>
    <w:p>
      <w:pPr>
        <w:pStyle w:val="BodyText"/>
        <w:spacing w:before="49"/>
        <w:rPr>
          <w:b w:val="0"/>
        </w:rPr>
      </w:pPr>
    </w:p>
    <w:p>
      <w:pPr>
        <w:pStyle w:val="BodyText"/>
        <w:spacing w:line="295" w:lineRule="auto"/>
        <w:ind w:left="213" w:right="137"/>
        <w:rPr>
          <w:b w:val="0"/>
        </w:rPr>
      </w:pPr>
      <w:r>
        <w:rPr>
          <w:b w:val="0"/>
        </w:rPr>
        <w:t>The University also retained its Australia Workplace</w:t>
      </w:r>
      <w:r>
        <w:rPr>
          <w:b w:val="0"/>
          <w:spacing w:val="40"/>
        </w:rPr>
        <w:t> </w:t>
      </w:r>
      <w:r>
        <w:rPr>
          <w:b w:val="0"/>
        </w:rPr>
        <w:t>Equality</w:t>
      </w:r>
      <w:r>
        <w:rPr>
          <w:b w:val="0"/>
          <w:spacing w:val="-2"/>
        </w:rPr>
        <w:t> </w:t>
      </w:r>
      <w:r>
        <w:rPr>
          <w:b w:val="0"/>
        </w:rPr>
        <w:t>Index</w:t>
      </w:r>
      <w:r>
        <w:rPr>
          <w:b w:val="0"/>
          <w:spacing w:val="-2"/>
        </w:rPr>
        <w:t> </w:t>
      </w:r>
      <w:r>
        <w:rPr>
          <w:b w:val="0"/>
        </w:rPr>
        <w:t>platinum</w:t>
      </w:r>
      <w:r>
        <w:rPr>
          <w:b w:val="0"/>
          <w:spacing w:val="-2"/>
        </w:rPr>
        <w:t> </w:t>
      </w:r>
      <w:r>
        <w:rPr>
          <w:b w:val="0"/>
        </w:rPr>
        <w:t>status</w:t>
      </w:r>
      <w:r>
        <w:rPr>
          <w:b w:val="0"/>
          <w:spacing w:val="-2"/>
        </w:rPr>
        <w:t> </w:t>
      </w:r>
      <w:r>
        <w:rPr>
          <w:b w:val="0"/>
        </w:rPr>
        <w:t>this</w:t>
      </w:r>
      <w:r>
        <w:rPr>
          <w:b w:val="0"/>
          <w:spacing w:val="-2"/>
        </w:rPr>
        <w:t> </w:t>
      </w:r>
      <w:r>
        <w:rPr>
          <w:b w:val="0"/>
        </w:rPr>
        <w:t>year,</w:t>
      </w:r>
      <w:r>
        <w:rPr>
          <w:b w:val="0"/>
          <w:spacing w:val="-2"/>
        </w:rPr>
        <w:t> </w:t>
      </w:r>
      <w:r>
        <w:rPr>
          <w:b w:val="0"/>
        </w:rPr>
        <w:t>in</w:t>
      </w:r>
      <w:r>
        <w:rPr>
          <w:b w:val="0"/>
          <w:spacing w:val="-2"/>
        </w:rPr>
        <w:t> </w:t>
      </w:r>
      <w:r>
        <w:rPr>
          <w:b w:val="0"/>
        </w:rPr>
        <w:t>recognition</w:t>
      </w:r>
      <w:r>
        <w:rPr>
          <w:b w:val="0"/>
          <w:spacing w:val="-2"/>
        </w:rPr>
        <w:t> </w:t>
      </w:r>
      <w:r>
        <w:rPr>
          <w:b w:val="0"/>
        </w:rPr>
        <w:t>of</w:t>
      </w:r>
      <w:r>
        <w:rPr>
          <w:b w:val="0"/>
          <w:spacing w:val="40"/>
        </w:rPr>
        <w:t> </w:t>
      </w:r>
      <w:r>
        <w:rPr>
          <w:b w:val="0"/>
        </w:rPr>
        <w:t>its long-term Gold Employer status in 2020.</w:t>
      </w:r>
    </w:p>
    <w:p>
      <w:pPr>
        <w:pStyle w:val="BodyText"/>
        <w:rPr>
          <w:b w:val="0"/>
        </w:rPr>
      </w:pPr>
    </w:p>
    <w:p>
      <w:pPr>
        <w:pStyle w:val="BodyText"/>
        <w:spacing w:before="132"/>
        <w:rPr>
          <w:b w:val="0"/>
        </w:rPr>
      </w:pPr>
    </w:p>
    <w:p>
      <w:pPr>
        <w:pStyle w:val="Heading9"/>
        <w:ind w:left="213"/>
      </w:pPr>
      <w:r>
        <w:rPr/>
        <w:t>EMPLOYEE</w:t>
      </w:r>
      <w:r>
        <w:rPr>
          <w:spacing w:val="6"/>
        </w:rPr>
        <w:t> </w:t>
      </w:r>
      <w:r>
        <w:rPr>
          <w:spacing w:val="-2"/>
        </w:rPr>
        <w:t>RELATIONS</w:t>
      </w:r>
    </w:p>
    <w:p>
      <w:pPr>
        <w:pStyle w:val="BodyText"/>
        <w:spacing w:line="295" w:lineRule="auto" w:before="154"/>
        <w:ind w:left="213" w:right="74"/>
        <w:rPr>
          <w:b w:val="0"/>
        </w:rPr>
      </w:pPr>
      <w:r>
        <w:rPr>
          <w:b w:val="0"/>
        </w:rPr>
        <w:t>Human Resources played a key role in supporting the</w:t>
      </w:r>
      <w:r>
        <w:rPr>
          <w:b w:val="0"/>
          <w:spacing w:val="40"/>
        </w:rPr>
        <w:t> </w:t>
      </w:r>
      <w:r>
        <w:rPr>
          <w:b w:val="0"/>
        </w:rPr>
        <w:t>University through the pandemic and responded to a</w:t>
      </w:r>
      <w:r>
        <w:rPr>
          <w:b w:val="0"/>
          <w:spacing w:val="40"/>
        </w:rPr>
        <w:t> </w:t>
      </w:r>
      <w:r>
        <w:rPr>
          <w:b w:val="0"/>
        </w:rPr>
        <w:t>number of challenges. Significant achievements included</w:t>
      </w:r>
      <w:r>
        <w:rPr>
          <w:b w:val="0"/>
          <w:spacing w:val="40"/>
        </w:rPr>
        <w:t> </w:t>
      </w:r>
      <w:r>
        <w:rPr>
          <w:b w:val="0"/>
        </w:rPr>
        <w:t>developing the UWA COVID-19 Health and Wellbeing</w:t>
      </w:r>
      <w:r>
        <w:rPr>
          <w:b w:val="0"/>
          <w:spacing w:val="40"/>
        </w:rPr>
        <w:t> </w:t>
      </w:r>
      <w:r>
        <w:rPr>
          <w:b w:val="0"/>
        </w:rPr>
        <w:t>Management Plan, streamlining the Home Based Work</w:t>
      </w:r>
      <w:r>
        <w:rPr>
          <w:b w:val="0"/>
          <w:spacing w:val="40"/>
        </w:rPr>
        <w:t> </w:t>
      </w:r>
      <w:r>
        <w:rPr>
          <w:b w:val="0"/>
        </w:rPr>
        <w:t>process, tailoring the UWA Wellbeing program to support</w:t>
      </w:r>
      <w:r>
        <w:rPr>
          <w:b w:val="0"/>
          <w:spacing w:val="40"/>
        </w:rPr>
        <w:t> </w:t>
      </w:r>
      <w:r>
        <w:rPr>
          <w:b w:val="0"/>
        </w:rPr>
        <w:t>staff while working remotely, and establishing the UWA</w:t>
      </w:r>
      <w:r>
        <w:rPr>
          <w:b w:val="0"/>
          <w:spacing w:val="40"/>
        </w:rPr>
        <w:t> </w:t>
      </w:r>
      <w:r>
        <w:rPr>
          <w:b w:val="0"/>
        </w:rPr>
        <w:t>COVID-19 Leader Guide for a safe and productive return</w:t>
      </w:r>
      <w:r>
        <w:rPr>
          <w:b w:val="0"/>
          <w:spacing w:val="40"/>
        </w:rPr>
        <w:t> </w:t>
      </w:r>
      <w:r>
        <w:rPr>
          <w:b w:val="0"/>
        </w:rPr>
        <w:t>to campus. Human Resources also facilitated a swift</w:t>
      </w:r>
      <w:r>
        <w:rPr>
          <w:b w:val="0"/>
          <w:spacing w:val="40"/>
        </w:rPr>
        <w:t> </w:t>
      </w:r>
      <w:r>
        <w:rPr>
          <w:b w:val="0"/>
        </w:rPr>
        <w:t>transition to remote working for University staff, provided</w:t>
      </w:r>
      <w:r>
        <w:rPr>
          <w:b w:val="0"/>
          <w:spacing w:val="40"/>
        </w:rPr>
        <w:t> </w:t>
      </w:r>
      <w:r>
        <w:rPr>
          <w:b w:val="0"/>
        </w:rPr>
        <w:t>guidance on leave entitlements, and worked to minimise</w:t>
      </w:r>
      <w:r>
        <w:rPr>
          <w:b w:val="0"/>
          <w:spacing w:val="40"/>
        </w:rPr>
        <w:t> </w:t>
      </w:r>
      <w:r>
        <w:rPr>
          <w:b w:val="0"/>
        </w:rPr>
        <w:t>the need to stand down staff.</w:t>
      </w:r>
    </w:p>
    <w:p>
      <w:pPr>
        <w:pStyle w:val="BodyText"/>
        <w:spacing w:before="55"/>
        <w:rPr>
          <w:b w:val="0"/>
        </w:rPr>
      </w:pPr>
    </w:p>
    <w:p>
      <w:pPr>
        <w:pStyle w:val="BodyText"/>
        <w:spacing w:line="295" w:lineRule="auto" w:before="1"/>
        <w:ind w:left="213" w:right="95"/>
        <w:rPr>
          <w:b w:val="0"/>
        </w:rPr>
      </w:pPr>
      <w:r>
        <w:rPr>
          <w:b w:val="0"/>
        </w:rPr>
        <w:t>Another key achievement was the successful variation to</w:t>
      </w:r>
      <w:r>
        <w:rPr>
          <w:b w:val="0"/>
          <w:spacing w:val="40"/>
        </w:rPr>
        <w:t> </w:t>
      </w:r>
      <w:r>
        <w:rPr>
          <w:b w:val="0"/>
        </w:rPr>
        <w:t>the University’s two largest enterprise agreements, to</w:t>
      </w:r>
      <w:r>
        <w:rPr>
          <w:b w:val="0"/>
          <w:spacing w:val="40"/>
        </w:rPr>
        <w:t> </w:t>
      </w:r>
      <w:r>
        <w:rPr>
          <w:b w:val="0"/>
        </w:rPr>
        <w:t>respond to the impact of COVID-19 on the University and</w:t>
      </w:r>
      <w:r>
        <w:rPr>
          <w:b w:val="0"/>
          <w:spacing w:val="40"/>
        </w:rPr>
        <w:t> </w:t>
      </w:r>
      <w:r>
        <w:rPr>
          <w:b w:val="0"/>
        </w:rPr>
        <w:t>provide a range of protections to staff during an uncertain</w:t>
      </w:r>
      <w:r>
        <w:rPr>
          <w:b w:val="0"/>
          <w:spacing w:val="40"/>
        </w:rPr>
        <w:t> </w:t>
      </w:r>
      <w:r>
        <w:rPr>
          <w:b w:val="0"/>
        </w:rPr>
        <w:t>time. This required an ambitious strategic communication</w:t>
      </w:r>
      <w:r>
        <w:rPr>
          <w:b w:val="0"/>
          <w:spacing w:val="40"/>
        </w:rPr>
        <w:t> </w:t>
      </w:r>
      <w:r>
        <w:rPr>
          <w:b w:val="0"/>
        </w:rPr>
        <w:t>process, which increased engagement with all staff at a</w:t>
      </w:r>
      <w:r>
        <w:rPr>
          <w:b w:val="0"/>
          <w:spacing w:val="40"/>
        </w:rPr>
        <w:t> </w:t>
      </w:r>
      <w:r>
        <w:rPr>
          <w:b w:val="0"/>
        </w:rPr>
        <w:t>time when they were not physically on campus.</w:t>
      </w:r>
    </w:p>
    <w:p>
      <w:pPr>
        <w:pStyle w:val="BodyText"/>
        <w:spacing w:line="295" w:lineRule="auto" w:before="131"/>
        <w:ind w:left="213" w:right="1132"/>
        <w:rPr>
          <w:b w:val="0"/>
        </w:rPr>
      </w:pPr>
      <w:r>
        <w:rPr/>
        <w:br w:type="column"/>
      </w:r>
      <w:r>
        <w:rPr>
          <w:b w:val="0"/>
        </w:rPr>
        <w:t>Alongside providing COVID-19 support, Human</w:t>
      </w:r>
      <w:r>
        <w:rPr>
          <w:b w:val="0"/>
          <w:spacing w:val="80"/>
        </w:rPr>
        <w:t> </w:t>
      </w:r>
      <w:r>
        <w:rPr>
          <w:b w:val="0"/>
        </w:rPr>
        <w:t>Resources continued to deliver core services in injury</w:t>
      </w:r>
      <w:r>
        <w:rPr>
          <w:b w:val="0"/>
          <w:spacing w:val="40"/>
        </w:rPr>
        <w:t> </w:t>
      </w:r>
      <w:r>
        <w:rPr>
          <w:b w:val="0"/>
        </w:rPr>
        <w:t>prevention and injury management, increasing support for</w:t>
      </w:r>
      <w:r>
        <w:rPr>
          <w:b w:val="0"/>
          <w:spacing w:val="40"/>
        </w:rPr>
        <w:t> </w:t>
      </w:r>
      <w:r>
        <w:rPr>
          <w:b w:val="0"/>
        </w:rPr>
        <w:t>non-work related mental health issues. In 2020, UWA saw</w:t>
      </w:r>
      <w:r>
        <w:rPr>
          <w:b w:val="0"/>
          <w:spacing w:val="40"/>
        </w:rPr>
        <w:t> </w:t>
      </w:r>
      <w:r>
        <w:rPr>
          <w:b w:val="0"/>
        </w:rPr>
        <w:t>a reduction in workers’ compensation claims and costs,</w:t>
      </w:r>
      <w:r>
        <w:rPr>
          <w:b w:val="0"/>
          <w:spacing w:val="40"/>
        </w:rPr>
        <w:t> </w:t>
      </w:r>
      <w:r>
        <w:rPr>
          <w:b w:val="0"/>
        </w:rPr>
        <w:t>potentially linked with provision of preventative services.</w:t>
      </w:r>
      <w:r>
        <w:rPr>
          <w:b w:val="0"/>
          <w:spacing w:val="40"/>
        </w:rPr>
        <w:t> </w:t>
      </w:r>
      <w:r>
        <w:rPr>
          <w:b w:val="0"/>
        </w:rPr>
        <w:t>Having identified mental health as a key risk to people and</w:t>
      </w:r>
      <w:r>
        <w:rPr>
          <w:b w:val="0"/>
          <w:spacing w:val="40"/>
        </w:rPr>
        <w:t> </w:t>
      </w:r>
      <w:r>
        <w:rPr>
          <w:b w:val="0"/>
        </w:rPr>
        <w:t>culture, the team developed a customised training</w:t>
      </w:r>
      <w:r>
        <w:rPr>
          <w:b w:val="0"/>
          <w:spacing w:val="40"/>
        </w:rPr>
        <w:t> </w:t>
      </w:r>
      <w:r>
        <w:rPr>
          <w:b w:val="0"/>
        </w:rPr>
        <w:t>package for leaders in supporting staff through change</w:t>
      </w:r>
      <w:r>
        <w:rPr>
          <w:b w:val="0"/>
          <w:spacing w:val="40"/>
        </w:rPr>
        <w:t> </w:t>
      </w:r>
      <w:r>
        <w:rPr>
          <w:b w:val="0"/>
        </w:rPr>
        <w:t>and managing mental health in the workplace.</w:t>
      </w:r>
    </w:p>
    <w:p>
      <w:pPr>
        <w:pStyle w:val="BodyText"/>
        <w:spacing w:before="53"/>
        <w:rPr>
          <w:b w:val="0"/>
        </w:rPr>
      </w:pPr>
    </w:p>
    <w:p>
      <w:pPr>
        <w:pStyle w:val="BodyText"/>
        <w:spacing w:line="295" w:lineRule="auto" w:before="1"/>
        <w:ind w:left="213" w:right="1195"/>
        <w:rPr>
          <w:b w:val="0"/>
        </w:rPr>
      </w:pPr>
      <w:r>
        <w:rPr>
          <w:b w:val="0"/>
        </w:rPr>
        <w:t>Human Resources also continued its focus on compliance</w:t>
      </w:r>
      <w:r>
        <w:rPr>
          <w:b w:val="0"/>
          <w:spacing w:val="40"/>
        </w:rPr>
        <w:t> </w:t>
      </w:r>
      <w:r>
        <w:rPr>
          <w:b w:val="0"/>
        </w:rPr>
        <w:t>in 2020. This included the establishment of a new service</w:t>
      </w:r>
      <w:r>
        <w:rPr>
          <w:b w:val="0"/>
          <w:spacing w:val="40"/>
        </w:rPr>
        <w:t> </w:t>
      </w:r>
      <w:r>
        <w:rPr>
          <w:b w:val="0"/>
        </w:rPr>
        <w:t>to help staff resolve questions about their pay or other</w:t>
      </w:r>
      <w:r>
        <w:rPr>
          <w:b w:val="0"/>
          <w:spacing w:val="40"/>
        </w:rPr>
        <w:t> </w:t>
      </w:r>
      <w:r>
        <w:rPr>
          <w:b w:val="0"/>
        </w:rPr>
        <w:t>entitlements, in circumstances where they may feel</w:t>
      </w:r>
      <w:r>
        <w:rPr>
          <w:b w:val="0"/>
          <w:spacing w:val="40"/>
        </w:rPr>
        <w:t> </w:t>
      </w:r>
      <w:r>
        <w:rPr>
          <w:b w:val="0"/>
        </w:rPr>
        <w:t>uncomfortable doing so with their manager. This focus</w:t>
      </w:r>
      <w:r>
        <w:rPr>
          <w:b w:val="0"/>
          <w:spacing w:val="80"/>
          <w:w w:val="150"/>
        </w:rPr>
        <w:t> </w:t>
      </w:r>
      <w:r>
        <w:rPr>
          <w:b w:val="0"/>
        </w:rPr>
        <w:t>will continue in 2021.</w:t>
      </w:r>
    </w:p>
    <w:p>
      <w:pPr>
        <w:pStyle w:val="BodyText"/>
        <w:spacing w:before="49"/>
        <w:rPr>
          <w:b w:val="0"/>
        </w:rPr>
      </w:pPr>
    </w:p>
    <w:p>
      <w:pPr>
        <w:pStyle w:val="BodyText"/>
        <w:spacing w:line="295" w:lineRule="auto" w:before="1"/>
        <w:ind w:left="213" w:right="1132"/>
        <w:rPr>
          <w:b w:val="0"/>
        </w:rPr>
      </w:pPr>
      <w:r>
        <w:rPr>
          <w:b w:val="0"/>
        </w:rPr>
        <w:t>In 2021, Human Resources will plan for enterprise</w:t>
      </w:r>
      <w:r>
        <w:rPr>
          <w:b w:val="0"/>
          <w:spacing w:val="40"/>
        </w:rPr>
        <w:t> </w:t>
      </w:r>
      <w:r>
        <w:rPr>
          <w:b w:val="0"/>
        </w:rPr>
        <w:t>bargaining, the introduction of model health and safety</w:t>
      </w:r>
      <w:r>
        <w:rPr>
          <w:b w:val="0"/>
          <w:spacing w:val="40"/>
        </w:rPr>
        <w:t> </w:t>
      </w:r>
      <w:r>
        <w:rPr>
          <w:b w:val="0"/>
        </w:rPr>
        <w:t>laws</w:t>
      </w:r>
      <w:r>
        <w:rPr>
          <w:b w:val="0"/>
          <w:spacing w:val="-1"/>
        </w:rPr>
        <w:t> </w:t>
      </w:r>
      <w:r>
        <w:rPr>
          <w:b w:val="0"/>
        </w:rPr>
        <w:t>with</w:t>
      </w:r>
      <w:r>
        <w:rPr>
          <w:b w:val="0"/>
          <w:spacing w:val="-1"/>
        </w:rPr>
        <w:t> </w:t>
      </w:r>
      <w:r>
        <w:rPr>
          <w:b w:val="0"/>
        </w:rPr>
        <w:t>a</w:t>
      </w:r>
      <w:r>
        <w:rPr>
          <w:b w:val="0"/>
          <w:spacing w:val="-1"/>
        </w:rPr>
        <w:t> </w:t>
      </w:r>
      <w:r>
        <w:rPr>
          <w:b w:val="0"/>
        </w:rPr>
        <w:t>key</w:t>
      </w:r>
      <w:r>
        <w:rPr>
          <w:b w:val="0"/>
          <w:spacing w:val="-1"/>
        </w:rPr>
        <w:t> </w:t>
      </w:r>
      <w:r>
        <w:rPr>
          <w:b w:val="0"/>
        </w:rPr>
        <w:t>focus</w:t>
      </w:r>
      <w:r>
        <w:rPr>
          <w:b w:val="0"/>
          <w:spacing w:val="-1"/>
        </w:rPr>
        <w:t> </w:t>
      </w:r>
      <w:r>
        <w:rPr>
          <w:b w:val="0"/>
        </w:rPr>
        <w:t>on</w:t>
      </w:r>
      <w:r>
        <w:rPr>
          <w:b w:val="0"/>
          <w:spacing w:val="-1"/>
        </w:rPr>
        <w:t> </w:t>
      </w:r>
      <w:r>
        <w:rPr>
          <w:b w:val="0"/>
        </w:rPr>
        <w:t>officer</w:t>
      </w:r>
      <w:r>
        <w:rPr>
          <w:b w:val="0"/>
          <w:spacing w:val="-1"/>
        </w:rPr>
        <w:t> </w:t>
      </w:r>
      <w:r>
        <w:rPr>
          <w:b w:val="0"/>
        </w:rPr>
        <w:t>due</w:t>
      </w:r>
      <w:r>
        <w:rPr>
          <w:b w:val="0"/>
          <w:spacing w:val="-1"/>
        </w:rPr>
        <w:t> </w:t>
      </w:r>
      <w:r>
        <w:rPr>
          <w:b w:val="0"/>
        </w:rPr>
        <w:t>diligence</w:t>
      </w:r>
      <w:r>
        <w:rPr>
          <w:b w:val="0"/>
          <w:spacing w:val="-1"/>
        </w:rPr>
        <w:t> </w:t>
      </w:r>
      <w:r>
        <w:rPr>
          <w:b w:val="0"/>
        </w:rPr>
        <w:t>in</w:t>
      </w:r>
      <w:r>
        <w:rPr>
          <w:b w:val="0"/>
          <w:spacing w:val="-1"/>
        </w:rPr>
        <w:t> </w:t>
      </w:r>
      <w:r>
        <w:rPr>
          <w:b w:val="0"/>
        </w:rPr>
        <w:t>the</w:t>
      </w:r>
      <w:r>
        <w:rPr>
          <w:b w:val="0"/>
          <w:spacing w:val="-1"/>
        </w:rPr>
        <w:t> </w:t>
      </w:r>
      <w:r>
        <w:rPr>
          <w:b w:val="0"/>
        </w:rPr>
        <w:t>mental</w:t>
      </w:r>
      <w:r>
        <w:rPr>
          <w:b w:val="0"/>
          <w:spacing w:val="40"/>
        </w:rPr>
        <w:t> </w:t>
      </w:r>
      <w:r>
        <w:rPr>
          <w:b w:val="0"/>
        </w:rPr>
        <w:t>health space, and continue to actively mitigate risks in</w:t>
      </w:r>
      <w:r>
        <w:rPr>
          <w:b w:val="0"/>
          <w:spacing w:val="40"/>
        </w:rPr>
        <w:t> </w:t>
      </w:r>
      <w:r>
        <w:rPr>
          <w:b w:val="0"/>
        </w:rPr>
        <w:t>relation to staff conduct and industrial relations issues.</w:t>
      </w:r>
    </w:p>
    <w:p>
      <w:pPr>
        <w:pStyle w:val="BodyText"/>
        <w:spacing w:line="297" w:lineRule="auto" w:before="4"/>
        <w:ind w:left="213" w:right="1336"/>
        <w:rPr>
          <w:b w:val="0"/>
        </w:rPr>
      </w:pPr>
      <w:r>
        <w:rPr>
          <w:b w:val="0"/>
        </w:rPr>
        <w:t>It will also continue to support the University on its</w:t>
      </w:r>
      <w:r>
        <w:rPr>
          <w:b w:val="0"/>
          <w:spacing w:val="40"/>
        </w:rPr>
        <w:t> </w:t>
      </w:r>
      <w:r>
        <w:rPr>
          <w:b w:val="0"/>
        </w:rPr>
        <w:t>change journey by providing strategic advice and</w:t>
      </w:r>
      <w:r>
        <w:rPr>
          <w:b w:val="0"/>
          <w:spacing w:val="40"/>
        </w:rPr>
        <w:t> </w:t>
      </w:r>
      <w:r>
        <w:rPr>
          <w:b w:val="0"/>
        </w:rPr>
        <w:t>working</w:t>
      </w:r>
      <w:r>
        <w:rPr>
          <w:b w:val="0"/>
          <w:spacing w:val="-9"/>
        </w:rPr>
        <w:t> </w:t>
      </w:r>
      <w:r>
        <w:rPr>
          <w:b w:val="0"/>
        </w:rPr>
        <w:t>on</w:t>
      </w:r>
      <w:r>
        <w:rPr>
          <w:b w:val="0"/>
          <w:spacing w:val="-9"/>
        </w:rPr>
        <w:t> </w:t>
      </w:r>
      <w:r>
        <w:rPr>
          <w:b w:val="0"/>
        </w:rPr>
        <w:t>fundamental</w:t>
      </w:r>
      <w:r>
        <w:rPr>
          <w:b w:val="0"/>
          <w:spacing w:val="-9"/>
        </w:rPr>
        <w:t> </w:t>
      </w:r>
      <w:r>
        <w:rPr>
          <w:b w:val="0"/>
        </w:rPr>
        <w:t>initiatives</w:t>
      </w:r>
      <w:r>
        <w:rPr>
          <w:b w:val="0"/>
          <w:spacing w:val="-9"/>
        </w:rPr>
        <w:t> </w:t>
      </w:r>
      <w:r>
        <w:rPr>
          <w:b w:val="0"/>
        </w:rPr>
        <w:t>such</w:t>
      </w:r>
      <w:r>
        <w:rPr>
          <w:b w:val="0"/>
          <w:spacing w:val="-9"/>
        </w:rPr>
        <w:t> </w:t>
      </w:r>
      <w:r>
        <w:rPr>
          <w:b w:val="0"/>
        </w:rPr>
        <w:t>as</w:t>
      </w:r>
      <w:r>
        <w:rPr>
          <w:b w:val="0"/>
          <w:spacing w:val="-9"/>
        </w:rPr>
        <w:t> </w:t>
      </w:r>
      <w:r>
        <w:rPr>
          <w:b w:val="0"/>
        </w:rPr>
        <w:t>transitioning</w:t>
      </w:r>
      <w:r>
        <w:rPr>
          <w:b w:val="0"/>
          <w:spacing w:val="40"/>
        </w:rPr>
        <w:t> </w:t>
      </w:r>
      <w:r>
        <w:rPr>
          <w:b w:val="0"/>
        </w:rPr>
        <w:t>HR information to the Staff Intranet and reviewing HR</w:t>
      </w:r>
      <w:r>
        <w:rPr>
          <w:b w:val="0"/>
          <w:spacing w:val="40"/>
        </w:rPr>
        <w:t> </w:t>
      </w:r>
      <w:r>
        <w:rPr>
          <w:b w:val="0"/>
        </w:rPr>
        <w:t>policies and processes.</w:t>
      </w:r>
    </w:p>
    <w:p>
      <w:pPr>
        <w:pStyle w:val="BodyText"/>
        <w:rPr>
          <w:b w:val="0"/>
        </w:rPr>
      </w:pPr>
    </w:p>
    <w:p>
      <w:pPr>
        <w:pStyle w:val="BodyText"/>
        <w:spacing w:before="124"/>
        <w:rPr>
          <w:b w:val="0"/>
        </w:rPr>
      </w:pPr>
    </w:p>
    <w:p>
      <w:pPr>
        <w:pStyle w:val="Heading9"/>
        <w:spacing w:before="1"/>
        <w:ind w:left="213"/>
      </w:pPr>
      <w:r>
        <w:rPr/>
        <w:t>WORK</w:t>
      </w:r>
      <w:r>
        <w:rPr>
          <w:spacing w:val="6"/>
        </w:rPr>
        <w:t> </w:t>
      </w:r>
      <w:r>
        <w:rPr/>
        <w:t>HEALTH</w:t>
      </w:r>
      <w:r>
        <w:rPr>
          <w:spacing w:val="7"/>
        </w:rPr>
        <w:t> </w:t>
      </w:r>
      <w:r>
        <w:rPr/>
        <w:t>AND</w:t>
      </w:r>
      <w:r>
        <w:rPr>
          <w:spacing w:val="7"/>
        </w:rPr>
        <w:t> </w:t>
      </w:r>
      <w:r>
        <w:rPr>
          <w:spacing w:val="-2"/>
        </w:rPr>
        <w:t>SAFETY</w:t>
      </w:r>
    </w:p>
    <w:p>
      <w:pPr>
        <w:spacing w:line="295" w:lineRule="auto" w:before="154"/>
        <w:ind w:left="213" w:right="1336" w:firstLine="0"/>
        <w:jc w:val="left"/>
        <w:rPr>
          <w:rFonts w:ascii="TT Norms Pro"/>
          <w:b/>
          <w:sz w:val="18"/>
        </w:rPr>
      </w:pPr>
      <w:r>
        <w:rPr>
          <w:rFonts w:ascii="TT Norms Pro"/>
          <w:b/>
          <w:sz w:val="18"/>
        </w:rPr>
        <w:t>Executive Commitment to Occupational Safety,</w:t>
      </w:r>
      <w:r>
        <w:rPr>
          <w:rFonts w:ascii="TT Norms Pro"/>
          <w:b/>
          <w:spacing w:val="40"/>
          <w:sz w:val="18"/>
        </w:rPr>
        <w:t> </w:t>
      </w:r>
      <w:r>
        <w:rPr>
          <w:rFonts w:ascii="TT Norms Pro"/>
          <w:b/>
          <w:sz w:val="18"/>
        </w:rPr>
        <w:t>Health and Injury Management</w:t>
      </w:r>
    </w:p>
    <w:p>
      <w:pPr>
        <w:pStyle w:val="BodyText"/>
        <w:spacing w:line="295" w:lineRule="auto" w:before="1"/>
        <w:ind w:left="213" w:right="1137"/>
        <w:rPr>
          <w:b w:val="0"/>
        </w:rPr>
      </w:pPr>
      <w:r>
        <w:rPr>
          <w:b w:val="0"/>
        </w:rPr>
        <w:t>UWA</w:t>
      </w:r>
      <w:r>
        <w:rPr>
          <w:b w:val="0"/>
          <w:spacing w:val="-5"/>
        </w:rPr>
        <w:t> </w:t>
      </w:r>
      <w:r>
        <w:rPr>
          <w:b w:val="0"/>
        </w:rPr>
        <w:t>is</w:t>
      </w:r>
      <w:r>
        <w:rPr>
          <w:b w:val="0"/>
          <w:spacing w:val="-5"/>
        </w:rPr>
        <w:t> </w:t>
      </w:r>
      <w:r>
        <w:rPr>
          <w:b w:val="0"/>
        </w:rPr>
        <w:t>committed</w:t>
      </w:r>
      <w:r>
        <w:rPr>
          <w:b w:val="0"/>
          <w:spacing w:val="-5"/>
        </w:rPr>
        <w:t> </w:t>
      </w:r>
      <w:r>
        <w:rPr>
          <w:b w:val="0"/>
        </w:rPr>
        <w:t>to</w:t>
      </w:r>
      <w:r>
        <w:rPr>
          <w:b w:val="0"/>
          <w:spacing w:val="-5"/>
        </w:rPr>
        <w:t> </w:t>
      </w:r>
      <w:r>
        <w:rPr>
          <w:b w:val="0"/>
        </w:rPr>
        <w:t>providing</w:t>
      </w:r>
      <w:r>
        <w:rPr>
          <w:b w:val="0"/>
          <w:spacing w:val="-5"/>
        </w:rPr>
        <w:t> </w:t>
      </w:r>
      <w:r>
        <w:rPr>
          <w:b w:val="0"/>
        </w:rPr>
        <w:t>a</w:t>
      </w:r>
      <w:r>
        <w:rPr>
          <w:b w:val="0"/>
          <w:spacing w:val="-5"/>
        </w:rPr>
        <w:t> </w:t>
      </w:r>
      <w:r>
        <w:rPr>
          <w:b w:val="0"/>
        </w:rPr>
        <w:t>safe</w:t>
      </w:r>
      <w:r>
        <w:rPr>
          <w:b w:val="0"/>
          <w:spacing w:val="-5"/>
        </w:rPr>
        <w:t> </w:t>
      </w:r>
      <w:r>
        <w:rPr>
          <w:b w:val="0"/>
        </w:rPr>
        <w:t>and</w:t>
      </w:r>
      <w:r>
        <w:rPr>
          <w:b w:val="0"/>
          <w:spacing w:val="-5"/>
        </w:rPr>
        <w:t> </w:t>
      </w:r>
      <w:r>
        <w:rPr>
          <w:b w:val="0"/>
        </w:rPr>
        <w:t>healthy</w:t>
      </w:r>
      <w:r>
        <w:rPr>
          <w:b w:val="0"/>
          <w:spacing w:val="-5"/>
        </w:rPr>
        <w:t> </w:t>
      </w:r>
      <w:r>
        <w:rPr>
          <w:b w:val="0"/>
        </w:rPr>
        <w:t>working</w:t>
      </w:r>
      <w:r>
        <w:rPr>
          <w:b w:val="0"/>
          <w:spacing w:val="40"/>
        </w:rPr>
        <w:t> </w:t>
      </w:r>
      <w:r>
        <w:rPr>
          <w:b w:val="0"/>
        </w:rPr>
        <w:t>and</w:t>
      </w:r>
      <w:r>
        <w:rPr>
          <w:b w:val="0"/>
          <w:spacing w:val="-6"/>
        </w:rPr>
        <w:t> </w:t>
      </w:r>
      <w:r>
        <w:rPr>
          <w:b w:val="0"/>
        </w:rPr>
        <w:t>learning</w:t>
      </w:r>
      <w:r>
        <w:rPr>
          <w:b w:val="0"/>
          <w:spacing w:val="-6"/>
        </w:rPr>
        <w:t> </w:t>
      </w:r>
      <w:r>
        <w:rPr>
          <w:b w:val="0"/>
        </w:rPr>
        <w:t>environment</w:t>
      </w:r>
      <w:r>
        <w:rPr>
          <w:b w:val="0"/>
          <w:spacing w:val="-6"/>
        </w:rPr>
        <w:t> </w:t>
      </w:r>
      <w:r>
        <w:rPr>
          <w:b w:val="0"/>
        </w:rPr>
        <w:t>for</w:t>
      </w:r>
      <w:r>
        <w:rPr>
          <w:b w:val="0"/>
          <w:spacing w:val="-6"/>
        </w:rPr>
        <w:t> </w:t>
      </w:r>
      <w:r>
        <w:rPr>
          <w:b w:val="0"/>
        </w:rPr>
        <w:t>its</w:t>
      </w:r>
      <w:r>
        <w:rPr>
          <w:b w:val="0"/>
          <w:spacing w:val="-6"/>
        </w:rPr>
        <w:t> </w:t>
      </w:r>
      <w:r>
        <w:rPr>
          <w:b w:val="0"/>
        </w:rPr>
        <w:t>staff,</w:t>
      </w:r>
      <w:r>
        <w:rPr>
          <w:b w:val="0"/>
          <w:spacing w:val="-6"/>
        </w:rPr>
        <w:t> </w:t>
      </w:r>
      <w:r>
        <w:rPr>
          <w:b w:val="0"/>
        </w:rPr>
        <w:t>students,</w:t>
      </w:r>
      <w:r>
        <w:rPr>
          <w:b w:val="0"/>
          <w:spacing w:val="-6"/>
        </w:rPr>
        <w:t> </w:t>
      </w:r>
      <w:r>
        <w:rPr>
          <w:b w:val="0"/>
        </w:rPr>
        <w:t>visitors</w:t>
      </w:r>
      <w:r>
        <w:rPr>
          <w:b w:val="0"/>
          <w:spacing w:val="-6"/>
        </w:rPr>
        <w:t> </w:t>
      </w:r>
      <w:r>
        <w:rPr>
          <w:b w:val="0"/>
        </w:rPr>
        <w:t>and</w:t>
      </w:r>
      <w:r>
        <w:rPr>
          <w:b w:val="0"/>
          <w:spacing w:val="40"/>
        </w:rPr>
        <w:t> </w:t>
      </w:r>
      <w:r>
        <w:rPr>
          <w:b w:val="0"/>
        </w:rPr>
        <w:t>contractors and takes a proactive approach to minimising</w:t>
      </w:r>
      <w:r>
        <w:rPr>
          <w:b w:val="0"/>
          <w:spacing w:val="40"/>
        </w:rPr>
        <w:t> </w:t>
      </w:r>
      <w:r>
        <w:rPr>
          <w:b w:val="0"/>
        </w:rPr>
        <w:t>the potential for injury, illness and harm. This commitment</w:t>
      </w:r>
      <w:r>
        <w:rPr>
          <w:b w:val="0"/>
          <w:spacing w:val="40"/>
        </w:rPr>
        <w:t> </w:t>
      </w:r>
      <w:r>
        <w:rPr>
          <w:b w:val="0"/>
        </w:rPr>
        <w:t>is articulated in the University </w:t>
      </w:r>
      <w:r>
        <w:rPr>
          <w:b w:val="0"/>
          <w:i/>
        </w:rPr>
        <w:t>Work Health and Safety</w:t>
      </w:r>
      <w:r>
        <w:rPr>
          <w:b w:val="0"/>
          <w:i/>
          <w:spacing w:val="40"/>
        </w:rPr>
        <w:t> </w:t>
      </w:r>
      <w:r>
        <w:rPr>
          <w:b w:val="0"/>
          <w:i/>
        </w:rPr>
        <w:t>Policy</w:t>
      </w:r>
      <w:r>
        <w:rPr>
          <w:b w:val="0"/>
        </w:rPr>
        <w:t>, and supported by a range of health and safety</w:t>
      </w:r>
      <w:r>
        <w:rPr>
          <w:b w:val="0"/>
          <w:spacing w:val="40"/>
        </w:rPr>
        <w:t> </w:t>
      </w:r>
      <w:r>
        <w:rPr>
          <w:b w:val="0"/>
        </w:rPr>
        <w:t>procedures, guidelines and protocols that meet</w:t>
      </w:r>
    </w:p>
    <w:p>
      <w:pPr>
        <w:pStyle w:val="BodyText"/>
        <w:spacing w:before="7"/>
        <w:ind w:left="213"/>
        <w:rPr>
          <w:b w:val="0"/>
        </w:rPr>
      </w:pPr>
      <w:r>
        <w:rPr>
          <w:b w:val="0"/>
        </w:rPr>
        <w:t>legislative </w:t>
      </w:r>
      <w:r>
        <w:rPr>
          <w:b w:val="0"/>
          <w:spacing w:val="-2"/>
        </w:rPr>
        <w:t>obligations.</w:t>
      </w:r>
    </w:p>
    <w:p>
      <w:pPr>
        <w:pStyle w:val="BodyText"/>
        <w:spacing w:before="93"/>
        <w:rPr>
          <w:b w:val="0"/>
        </w:rPr>
      </w:pPr>
    </w:p>
    <w:p>
      <w:pPr>
        <w:pStyle w:val="BodyText"/>
        <w:spacing w:line="295" w:lineRule="auto" w:before="1"/>
        <w:ind w:left="213" w:right="1593"/>
        <w:rPr>
          <w:b w:val="0"/>
        </w:rPr>
      </w:pPr>
      <w:r>
        <w:rPr>
          <w:b w:val="0"/>
        </w:rPr>
        <w:t>In</w:t>
      </w:r>
      <w:r>
        <w:rPr>
          <w:b w:val="0"/>
          <w:spacing w:val="-4"/>
        </w:rPr>
        <w:t> </w:t>
      </w:r>
      <w:r>
        <w:rPr>
          <w:b w:val="0"/>
        </w:rPr>
        <w:t>2020,</w:t>
      </w:r>
      <w:r>
        <w:rPr>
          <w:b w:val="0"/>
          <w:spacing w:val="-4"/>
        </w:rPr>
        <w:t> </w:t>
      </w:r>
      <w:r>
        <w:rPr>
          <w:b w:val="0"/>
        </w:rPr>
        <w:t>the</w:t>
      </w:r>
      <w:r>
        <w:rPr>
          <w:b w:val="0"/>
          <w:spacing w:val="-4"/>
        </w:rPr>
        <w:t> </w:t>
      </w:r>
      <w:r>
        <w:rPr>
          <w:b w:val="0"/>
        </w:rPr>
        <w:t>UWA</w:t>
      </w:r>
      <w:r>
        <w:rPr>
          <w:b w:val="0"/>
          <w:spacing w:val="-4"/>
        </w:rPr>
        <w:t> </w:t>
      </w:r>
      <w:r>
        <w:rPr>
          <w:b w:val="0"/>
        </w:rPr>
        <w:t>Safety</w:t>
      </w:r>
      <w:r>
        <w:rPr>
          <w:b w:val="0"/>
          <w:spacing w:val="-4"/>
        </w:rPr>
        <w:t> </w:t>
      </w:r>
      <w:r>
        <w:rPr>
          <w:b w:val="0"/>
        </w:rPr>
        <w:t>and</w:t>
      </w:r>
      <w:r>
        <w:rPr>
          <w:b w:val="0"/>
          <w:spacing w:val="-4"/>
        </w:rPr>
        <w:t> </w:t>
      </w:r>
      <w:r>
        <w:rPr>
          <w:b w:val="0"/>
        </w:rPr>
        <w:t>Health</w:t>
      </w:r>
      <w:r>
        <w:rPr>
          <w:b w:val="0"/>
          <w:spacing w:val="-4"/>
        </w:rPr>
        <w:t> </w:t>
      </w:r>
      <w:r>
        <w:rPr>
          <w:b w:val="0"/>
        </w:rPr>
        <w:t>team</w:t>
      </w:r>
      <w:r>
        <w:rPr>
          <w:b w:val="0"/>
          <w:spacing w:val="-4"/>
        </w:rPr>
        <w:t> </w:t>
      </w:r>
      <w:r>
        <w:rPr>
          <w:b w:val="0"/>
        </w:rPr>
        <w:t>worked</w:t>
      </w:r>
      <w:r>
        <w:rPr>
          <w:b w:val="0"/>
          <w:spacing w:val="-4"/>
        </w:rPr>
        <w:t> </w:t>
      </w:r>
      <w:r>
        <w:rPr>
          <w:b w:val="0"/>
        </w:rPr>
        <w:t>on</w:t>
      </w:r>
      <w:r>
        <w:rPr>
          <w:b w:val="0"/>
          <w:spacing w:val="40"/>
        </w:rPr>
        <w:t> </w:t>
      </w:r>
      <w:r>
        <w:rPr>
          <w:b w:val="0"/>
        </w:rPr>
        <w:t>developing the following key documents that will be</w:t>
      </w:r>
      <w:r>
        <w:rPr>
          <w:b w:val="0"/>
          <w:spacing w:val="40"/>
        </w:rPr>
        <w:t> </w:t>
      </w:r>
      <w:r>
        <w:rPr>
          <w:b w:val="0"/>
        </w:rPr>
        <w:t>finalised and endorsed before the end of quarter</w:t>
      </w:r>
      <w:r>
        <w:rPr>
          <w:b w:val="0"/>
          <w:spacing w:val="80"/>
        </w:rPr>
        <w:t> </w:t>
      </w:r>
      <w:r>
        <w:rPr>
          <w:b w:val="0"/>
        </w:rPr>
        <w:t>one,</w:t>
      </w:r>
      <w:r>
        <w:rPr>
          <w:b w:val="0"/>
          <w:spacing w:val="-7"/>
        </w:rPr>
        <w:t> </w:t>
      </w:r>
      <w:r>
        <w:rPr>
          <w:b w:val="0"/>
        </w:rPr>
        <w:t>2021:</w:t>
      </w:r>
    </w:p>
    <w:p>
      <w:pPr>
        <w:pStyle w:val="ListParagraph"/>
        <w:numPr>
          <w:ilvl w:val="0"/>
          <w:numId w:val="11"/>
        </w:numPr>
        <w:tabs>
          <w:tab w:pos="412" w:val="left" w:leader="none"/>
        </w:tabs>
        <w:spacing w:line="240" w:lineRule="auto" w:before="116" w:after="0"/>
        <w:ind w:left="412" w:right="0" w:hanging="199"/>
        <w:jc w:val="left"/>
        <w:rPr>
          <w:rFonts w:ascii="TT Norms Pro Light" w:hAnsi="TT Norms Pro Light"/>
          <w:b w:val="0"/>
          <w:sz w:val="18"/>
        </w:rPr>
      </w:pPr>
      <w:r>
        <w:rPr>
          <w:rFonts w:ascii="TT Norms Pro Light" w:hAnsi="TT Norms Pro Light"/>
          <w:b w:val="0"/>
          <w:sz w:val="18"/>
        </w:rPr>
        <w:t>UWA</w:t>
      </w:r>
      <w:r>
        <w:rPr>
          <w:rFonts w:ascii="TT Norms Pro Light" w:hAnsi="TT Norms Pro Light"/>
          <w:b w:val="0"/>
          <w:spacing w:val="-9"/>
          <w:sz w:val="18"/>
        </w:rPr>
        <w:t> </w:t>
      </w:r>
      <w:r>
        <w:rPr>
          <w:rFonts w:ascii="TT Norms Pro Light" w:hAnsi="TT Norms Pro Light"/>
          <w:b w:val="0"/>
          <w:sz w:val="18"/>
        </w:rPr>
        <w:t>Safety</w:t>
      </w:r>
      <w:r>
        <w:rPr>
          <w:rFonts w:ascii="TT Norms Pro Light" w:hAnsi="TT Norms Pro Light"/>
          <w:b w:val="0"/>
          <w:spacing w:val="-9"/>
          <w:sz w:val="18"/>
        </w:rPr>
        <w:t> </w:t>
      </w:r>
      <w:r>
        <w:rPr>
          <w:rFonts w:ascii="TT Norms Pro Light" w:hAnsi="TT Norms Pro Light"/>
          <w:b w:val="0"/>
          <w:sz w:val="18"/>
        </w:rPr>
        <w:t>and</w:t>
      </w:r>
      <w:r>
        <w:rPr>
          <w:rFonts w:ascii="TT Norms Pro Light" w:hAnsi="TT Norms Pro Light"/>
          <w:b w:val="0"/>
          <w:spacing w:val="-4"/>
          <w:sz w:val="18"/>
        </w:rPr>
        <w:t> </w:t>
      </w:r>
      <w:r>
        <w:rPr>
          <w:rFonts w:ascii="TT Norms Pro Light" w:hAnsi="TT Norms Pro Light"/>
          <w:b w:val="0"/>
          <w:sz w:val="18"/>
        </w:rPr>
        <w:t>Health</w:t>
      </w:r>
      <w:r>
        <w:rPr>
          <w:rFonts w:ascii="TT Norms Pro Light" w:hAnsi="TT Norms Pro Light"/>
          <w:b w:val="0"/>
          <w:spacing w:val="-4"/>
          <w:sz w:val="18"/>
        </w:rPr>
        <w:t> </w:t>
      </w:r>
      <w:r>
        <w:rPr>
          <w:rFonts w:ascii="TT Norms Pro Light" w:hAnsi="TT Norms Pro Light"/>
          <w:b w:val="0"/>
          <w:sz w:val="18"/>
        </w:rPr>
        <w:t>Policy</w:t>
      </w:r>
      <w:r>
        <w:rPr>
          <w:rFonts w:ascii="TT Norms Pro Light" w:hAnsi="TT Norms Pro Light"/>
          <w:b w:val="0"/>
          <w:spacing w:val="-7"/>
          <w:sz w:val="18"/>
        </w:rPr>
        <w:t> </w:t>
      </w:r>
      <w:r>
        <w:rPr>
          <w:rFonts w:ascii="TT Norms Pro Light" w:hAnsi="TT Norms Pro Light"/>
          <w:b w:val="0"/>
          <w:spacing w:val="-2"/>
          <w:sz w:val="18"/>
        </w:rPr>
        <w:t>Statement</w:t>
      </w:r>
    </w:p>
    <w:p>
      <w:pPr>
        <w:pStyle w:val="ListParagraph"/>
        <w:numPr>
          <w:ilvl w:val="0"/>
          <w:numId w:val="11"/>
        </w:numPr>
        <w:tabs>
          <w:tab w:pos="412" w:val="left" w:leader="none"/>
        </w:tabs>
        <w:spacing w:line="240" w:lineRule="auto" w:before="106" w:after="0"/>
        <w:ind w:left="412" w:right="0" w:hanging="199"/>
        <w:jc w:val="left"/>
        <w:rPr>
          <w:rFonts w:ascii="TT Norms Pro Light" w:hAnsi="TT Norms Pro Light"/>
          <w:b w:val="0"/>
          <w:sz w:val="18"/>
        </w:rPr>
      </w:pPr>
      <w:r>
        <w:rPr>
          <w:rFonts w:ascii="TT Norms Pro Light" w:hAnsi="TT Norms Pro Light"/>
          <w:b w:val="0"/>
          <w:spacing w:val="-2"/>
          <w:sz w:val="18"/>
        </w:rPr>
        <w:t>UWA</w:t>
      </w:r>
      <w:r>
        <w:rPr>
          <w:rFonts w:ascii="TT Norms Pro Light" w:hAnsi="TT Norms Pro Light"/>
          <w:b w:val="0"/>
          <w:spacing w:val="-3"/>
          <w:sz w:val="18"/>
        </w:rPr>
        <w:t> </w:t>
      </w:r>
      <w:r>
        <w:rPr>
          <w:rFonts w:ascii="TT Norms Pro Light" w:hAnsi="TT Norms Pro Light"/>
          <w:b w:val="0"/>
          <w:spacing w:val="-2"/>
          <w:sz w:val="18"/>
        </w:rPr>
        <w:t>Safety</w:t>
      </w:r>
      <w:r>
        <w:rPr>
          <w:rFonts w:ascii="TT Norms Pro Light" w:hAnsi="TT Norms Pro Light"/>
          <w:b w:val="0"/>
          <w:spacing w:val="1"/>
          <w:sz w:val="18"/>
        </w:rPr>
        <w:t> </w:t>
      </w:r>
      <w:r>
        <w:rPr>
          <w:rFonts w:ascii="TT Norms Pro Light" w:hAnsi="TT Norms Pro Light"/>
          <w:b w:val="0"/>
          <w:spacing w:val="-2"/>
          <w:sz w:val="18"/>
        </w:rPr>
        <w:t>and</w:t>
      </w:r>
      <w:r>
        <w:rPr>
          <w:rFonts w:ascii="TT Norms Pro Light" w:hAnsi="TT Norms Pro Light"/>
          <w:b w:val="0"/>
          <w:spacing w:val="4"/>
          <w:sz w:val="18"/>
        </w:rPr>
        <w:t> </w:t>
      </w:r>
      <w:r>
        <w:rPr>
          <w:rFonts w:ascii="TT Norms Pro Light" w:hAnsi="TT Norms Pro Light"/>
          <w:b w:val="0"/>
          <w:spacing w:val="-2"/>
          <w:sz w:val="18"/>
        </w:rPr>
        <w:t>Health</w:t>
      </w:r>
      <w:r>
        <w:rPr>
          <w:rFonts w:ascii="TT Norms Pro Light" w:hAnsi="TT Norms Pro Light"/>
          <w:b w:val="0"/>
          <w:spacing w:val="5"/>
          <w:sz w:val="18"/>
        </w:rPr>
        <w:t> </w:t>
      </w:r>
      <w:r>
        <w:rPr>
          <w:rFonts w:ascii="TT Norms Pro Light" w:hAnsi="TT Norms Pro Light"/>
          <w:b w:val="0"/>
          <w:spacing w:val="-2"/>
          <w:sz w:val="18"/>
        </w:rPr>
        <w:t>Strategic</w:t>
      </w:r>
      <w:r>
        <w:rPr>
          <w:rFonts w:ascii="TT Norms Pro Light" w:hAnsi="TT Norms Pro Light"/>
          <w:b w:val="0"/>
          <w:spacing w:val="5"/>
          <w:sz w:val="18"/>
        </w:rPr>
        <w:t> </w:t>
      </w:r>
      <w:r>
        <w:rPr>
          <w:rFonts w:ascii="TT Norms Pro Light" w:hAnsi="TT Norms Pro Light"/>
          <w:b w:val="0"/>
          <w:spacing w:val="-2"/>
          <w:sz w:val="18"/>
        </w:rPr>
        <w:t>Plan</w:t>
      </w:r>
      <w:r>
        <w:rPr>
          <w:rFonts w:ascii="TT Norms Pro Light" w:hAnsi="TT Norms Pro Light"/>
          <w:b w:val="0"/>
          <w:spacing w:val="5"/>
          <w:sz w:val="18"/>
        </w:rPr>
        <w:t> </w:t>
      </w:r>
      <w:r>
        <w:rPr>
          <w:rFonts w:ascii="TT Norms Pro Light" w:hAnsi="TT Norms Pro Light"/>
          <w:b w:val="0"/>
          <w:spacing w:val="-2"/>
          <w:sz w:val="18"/>
        </w:rPr>
        <w:t>2021-</w:t>
      </w:r>
      <w:r>
        <w:rPr>
          <w:rFonts w:ascii="TT Norms Pro Light" w:hAnsi="TT Norms Pro Light"/>
          <w:b w:val="0"/>
          <w:spacing w:val="-5"/>
          <w:sz w:val="18"/>
        </w:rPr>
        <w:t>25</w:t>
      </w:r>
    </w:p>
    <w:p>
      <w:pPr>
        <w:pStyle w:val="ListParagraph"/>
        <w:numPr>
          <w:ilvl w:val="0"/>
          <w:numId w:val="11"/>
        </w:numPr>
        <w:tabs>
          <w:tab w:pos="413" w:val="left" w:leader="none"/>
        </w:tabs>
        <w:spacing w:line="295" w:lineRule="auto" w:before="107" w:after="0"/>
        <w:ind w:left="413" w:right="1434" w:hanging="200"/>
        <w:jc w:val="left"/>
        <w:rPr>
          <w:rFonts w:ascii="TT Norms Pro Light" w:hAnsi="TT Norms Pro Light"/>
          <w:b w:val="0"/>
          <w:sz w:val="18"/>
        </w:rPr>
      </w:pPr>
      <w:r>
        <w:rPr>
          <w:rFonts w:ascii="TT Norms Pro Light" w:hAnsi="TT Norms Pro Light"/>
          <w:b w:val="0"/>
          <w:sz w:val="18"/>
        </w:rPr>
        <w:t>UWA</w:t>
      </w:r>
      <w:r>
        <w:rPr>
          <w:rFonts w:ascii="TT Norms Pro Light" w:hAnsi="TT Norms Pro Light"/>
          <w:b w:val="0"/>
          <w:spacing w:val="-11"/>
          <w:sz w:val="18"/>
        </w:rPr>
        <w:t> </w:t>
      </w:r>
      <w:r>
        <w:rPr>
          <w:rFonts w:ascii="TT Norms Pro Light" w:hAnsi="TT Norms Pro Light"/>
          <w:b w:val="0"/>
          <w:sz w:val="18"/>
        </w:rPr>
        <w:t>Safety</w:t>
      </w:r>
      <w:r>
        <w:rPr>
          <w:rFonts w:ascii="TT Norms Pro Light" w:hAnsi="TT Norms Pro Light"/>
          <w:b w:val="0"/>
          <w:spacing w:val="-9"/>
          <w:sz w:val="18"/>
        </w:rPr>
        <w:t> </w:t>
      </w:r>
      <w:r>
        <w:rPr>
          <w:rFonts w:ascii="TT Norms Pro Light" w:hAnsi="TT Norms Pro Light"/>
          <w:b w:val="0"/>
          <w:sz w:val="18"/>
        </w:rPr>
        <w:t>and</w:t>
      </w:r>
      <w:r>
        <w:rPr>
          <w:rFonts w:ascii="TT Norms Pro Light" w:hAnsi="TT Norms Pro Light"/>
          <w:b w:val="0"/>
          <w:spacing w:val="-9"/>
          <w:sz w:val="18"/>
        </w:rPr>
        <w:t> </w:t>
      </w:r>
      <w:r>
        <w:rPr>
          <w:rFonts w:ascii="TT Norms Pro Light" w:hAnsi="TT Norms Pro Light"/>
          <w:b w:val="0"/>
          <w:sz w:val="18"/>
        </w:rPr>
        <w:t>Health</w:t>
      </w:r>
      <w:r>
        <w:rPr>
          <w:rFonts w:ascii="TT Norms Pro Light" w:hAnsi="TT Norms Pro Light"/>
          <w:b w:val="0"/>
          <w:spacing w:val="-9"/>
          <w:sz w:val="18"/>
        </w:rPr>
        <w:t> </w:t>
      </w:r>
      <w:r>
        <w:rPr>
          <w:rFonts w:ascii="TT Norms Pro Light" w:hAnsi="TT Norms Pro Light"/>
          <w:b w:val="0"/>
          <w:sz w:val="18"/>
        </w:rPr>
        <w:t>Leadership</w:t>
      </w:r>
      <w:r>
        <w:rPr>
          <w:rFonts w:ascii="TT Norms Pro Light" w:hAnsi="TT Norms Pro Light"/>
          <w:b w:val="0"/>
          <w:spacing w:val="-9"/>
          <w:sz w:val="18"/>
        </w:rPr>
        <w:t> </w:t>
      </w:r>
      <w:r>
        <w:rPr>
          <w:rFonts w:ascii="TT Norms Pro Light" w:hAnsi="TT Norms Pro Light"/>
          <w:b w:val="0"/>
          <w:sz w:val="18"/>
        </w:rPr>
        <w:t>and</w:t>
      </w:r>
      <w:r>
        <w:rPr>
          <w:rFonts w:ascii="TT Norms Pro Light" w:hAnsi="TT Norms Pro Light"/>
          <w:b w:val="0"/>
          <w:spacing w:val="-9"/>
          <w:sz w:val="18"/>
        </w:rPr>
        <w:t> </w:t>
      </w:r>
      <w:r>
        <w:rPr>
          <w:rFonts w:ascii="TT Norms Pro Light" w:hAnsi="TT Norms Pro Light"/>
          <w:b w:val="0"/>
          <w:sz w:val="18"/>
        </w:rPr>
        <w:t>Governance</w:t>
      </w:r>
      <w:r>
        <w:rPr>
          <w:rFonts w:ascii="TT Norms Pro Light" w:hAnsi="TT Norms Pro Light"/>
          <w:b w:val="0"/>
          <w:spacing w:val="40"/>
          <w:sz w:val="18"/>
        </w:rPr>
        <w:t> </w:t>
      </w:r>
      <w:r>
        <w:rPr>
          <w:rFonts w:ascii="TT Norms Pro Light" w:hAnsi="TT Norms Pro Light"/>
          <w:b w:val="0"/>
          <w:spacing w:val="-2"/>
          <w:sz w:val="18"/>
        </w:rPr>
        <w:t>Framework.</w:t>
      </w:r>
    </w:p>
    <w:p>
      <w:pPr>
        <w:spacing w:after="0" w:line="295" w:lineRule="auto"/>
        <w:jc w:val="left"/>
        <w:rPr>
          <w:rFonts w:ascii="TT Norms Pro Light" w:hAnsi="TT Norms Pro Light"/>
          <w:sz w:val="18"/>
        </w:rPr>
        <w:sectPr>
          <w:type w:val="continuous"/>
          <w:pgSz w:w="11910" w:h="16840"/>
          <w:pgMar w:header="468" w:footer="0" w:top="980" w:bottom="280" w:left="920" w:right="0"/>
          <w:cols w:num="2" w:equalWidth="0">
            <w:col w:w="4875" w:space="142"/>
            <w:col w:w="5973"/>
          </w:cols>
        </w:sectPr>
      </w:pPr>
    </w:p>
    <w:p>
      <w:pPr>
        <w:pStyle w:val="BodyText"/>
        <w:spacing w:before="21"/>
        <w:rPr>
          <w:b w:val="0"/>
          <w:sz w:val="20"/>
        </w:rPr>
      </w:pPr>
    </w:p>
    <w:p>
      <w:pPr>
        <w:spacing w:after="0"/>
        <w:rPr>
          <w:sz w:val="20"/>
        </w:rPr>
        <w:sectPr>
          <w:pgSz w:w="11910" w:h="16840"/>
          <w:pgMar w:header="468" w:footer="0" w:top="720" w:bottom="280" w:left="920" w:right="0"/>
        </w:sectPr>
      </w:pPr>
    </w:p>
    <w:p>
      <w:pPr>
        <w:pStyle w:val="BodyText"/>
        <w:spacing w:line="295" w:lineRule="auto" w:before="127"/>
        <w:ind w:left="213" w:right="54"/>
        <w:rPr>
          <w:b w:val="0"/>
        </w:rPr>
      </w:pPr>
      <w:r>
        <w:rPr>
          <w:b w:val="0"/>
        </w:rPr>
        <w:t>To ensure safety is embedded throughout all levels of</w:t>
      </w:r>
      <w:r>
        <w:rPr>
          <w:b w:val="0"/>
          <w:spacing w:val="40"/>
        </w:rPr>
        <w:t> </w:t>
      </w:r>
      <w:r>
        <w:rPr>
          <w:b w:val="0"/>
        </w:rPr>
        <w:t>UWA, all staff are required to complete a Health and</w:t>
      </w:r>
      <w:r>
        <w:rPr>
          <w:b w:val="0"/>
          <w:spacing w:val="80"/>
        </w:rPr>
        <w:t> </w:t>
      </w:r>
      <w:r>
        <w:rPr>
          <w:b w:val="0"/>
        </w:rPr>
        <w:t>Safety Induction every three years. Executive and Senior</w:t>
      </w:r>
      <w:r>
        <w:rPr>
          <w:b w:val="0"/>
          <w:spacing w:val="40"/>
        </w:rPr>
        <w:t> </w:t>
      </w:r>
      <w:r>
        <w:rPr>
          <w:b w:val="0"/>
        </w:rPr>
        <w:t>staff are required to complete Safety Due Diligence</w:t>
      </w:r>
      <w:r>
        <w:rPr>
          <w:b w:val="0"/>
          <w:spacing w:val="40"/>
        </w:rPr>
        <w:t> </w:t>
      </w:r>
      <w:r>
        <w:rPr>
          <w:b w:val="0"/>
        </w:rPr>
        <w:t>Training, which is designed to provide an understanding of</w:t>
      </w:r>
      <w:r>
        <w:rPr>
          <w:b w:val="0"/>
          <w:spacing w:val="40"/>
        </w:rPr>
        <w:t> </w:t>
      </w:r>
      <w:r>
        <w:rPr>
          <w:b w:val="0"/>
        </w:rPr>
        <w:t>duty of care obligations, and align with WA’s new Work</w:t>
      </w:r>
      <w:r>
        <w:rPr>
          <w:b w:val="0"/>
          <w:spacing w:val="40"/>
        </w:rPr>
        <w:t> </w:t>
      </w:r>
      <w:r>
        <w:rPr>
          <w:b w:val="0"/>
        </w:rPr>
        <w:t>Health and Safety Bill. Over 85 per cent (77 of 90) of UWA</w:t>
      </w:r>
      <w:r>
        <w:rPr>
          <w:b w:val="0"/>
          <w:spacing w:val="40"/>
        </w:rPr>
        <w:t> </w:t>
      </w:r>
      <w:r>
        <w:rPr>
          <w:b w:val="0"/>
        </w:rPr>
        <w:t>leaders completed Safety Due Diligence Training in 2020.</w:t>
      </w:r>
    </w:p>
    <w:p>
      <w:pPr>
        <w:pStyle w:val="BodyText"/>
        <w:spacing w:before="51"/>
        <w:rPr>
          <w:b w:val="0"/>
        </w:rPr>
      </w:pPr>
    </w:p>
    <w:p>
      <w:pPr>
        <w:spacing w:line="295" w:lineRule="auto" w:before="0"/>
        <w:ind w:left="213" w:right="11" w:firstLine="0"/>
        <w:jc w:val="left"/>
        <w:rPr>
          <w:rFonts w:ascii="TT Norms Pro"/>
          <w:b/>
          <w:sz w:val="18"/>
        </w:rPr>
      </w:pPr>
      <w:r>
        <w:rPr>
          <w:rFonts w:ascii="TT Norms Pro"/>
          <w:b/>
          <w:sz w:val="18"/>
        </w:rPr>
        <w:t>Mechanism for Consultation with Employees on</w:t>
      </w:r>
      <w:r>
        <w:rPr>
          <w:rFonts w:ascii="TT Norms Pro"/>
          <w:b/>
          <w:spacing w:val="40"/>
          <w:sz w:val="18"/>
        </w:rPr>
        <w:t> </w:t>
      </w:r>
      <w:r>
        <w:rPr>
          <w:rFonts w:ascii="TT Norms Pro"/>
          <w:b/>
          <w:sz w:val="18"/>
        </w:rPr>
        <w:t>Occupational Safety and Health and Injury</w:t>
      </w:r>
      <w:r>
        <w:rPr>
          <w:rFonts w:ascii="TT Norms Pro"/>
          <w:b/>
          <w:spacing w:val="40"/>
          <w:sz w:val="18"/>
        </w:rPr>
        <w:t> </w:t>
      </w:r>
      <w:r>
        <w:rPr>
          <w:rFonts w:ascii="TT Norms Pro"/>
          <w:b/>
          <w:sz w:val="18"/>
        </w:rPr>
        <w:t>Management</w:t>
      </w:r>
      <w:r>
        <w:rPr>
          <w:rFonts w:ascii="TT Norms Pro"/>
          <w:b/>
          <w:spacing w:val="-3"/>
          <w:sz w:val="18"/>
        </w:rPr>
        <w:t> </w:t>
      </w:r>
      <w:r>
        <w:rPr>
          <w:rFonts w:ascii="TT Norms Pro"/>
          <w:b/>
          <w:sz w:val="18"/>
        </w:rPr>
        <w:t>Matters</w:t>
      </w:r>
    </w:p>
    <w:p>
      <w:pPr>
        <w:pStyle w:val="BodyText"/>
        <w:spacing w:line="295" w:lineRule="auto" w:before="3"/>
        <w:ind w:left="213" w:right="11"/>
        <w:rPr>
          <w:b w:val="0"/>
        </w:rPr>
      </w:pPr>
      <w:r>
        <w:rPr>
          <w:b w:val="0"/>
        </w:rPr>
        <w:t>The</w:t>
      </w:r>
      <w:r>
        <w:rPr>
          <w:b w:val="0"/>
          <w:spacing w:val="-1"/>
        </w:rPr>
        <w:t> </w:t>
      </w:r>
      <w:r>
        <w:rPr>
          <w:b w:val="0"/>
        </w:rPr>
        <w:t>UWA</w:t>
      </w:r>
      <w:r>
        <w:rPr>
          <w:b w:val="0"/>
          <w:spacing w:val="-1"/>
        </w:rPr>
        <w:t> </w:t>
      </w:r>
      <w:r>
        <w:rPr>
          <w:b w:val="0"/>
        </w:rPr>
        <w:t>Safety</w:t>
      </w:r>
      <w:r>
        <w:rPr>
          <w:b w:val="0"/>
          <w:spacing w:val="-1"/>
        </w:rPr>
        <w:t> </w:t>
      </w:r>
      <w:r>
        <w:rPr>
          <w:b w:val="0"/>
        </w:rPr>
        <w:t>and</w:t>
      </w:r>
      <w:r>
        <w:rPr>
          <w:b w:val="0"/>
          <w:spacing w:val="-1"/>
        </w:rPr>
        <w:t> </w:t>
      </w:r>
      <w:r>
        <w:rPr>
          <w:b w:val="0"/>
        </w:rPr>
        <w:t>Health</w:t>
      </w:r>
      <w:r>
        <w:rPr>
          <w:b w:val="0"/>
          <w:spacing w:val="-1"/>
        </w:rPr>
        <w:t> </w:t>
      </w:r>
      <w:r>
        <w:rPr>
          <w:b w:val="0"/>
        </w:rPr>
        <w:t>Consultative</w:t>
      </w:r>
      <w:r>
        <w:rPr>
          <w:b w:val="0"/>
          <w:spacing w:val="-1"/>
        </w:rPr>
        <w:t> </w:t>
      </w:r>
      <w:r>
        <w:rPr>
          <w:b w:val="0"/>
        </w:rPr>
        <w:t>Committee</w:t>
      </w:r>
      <w:r>
        <w:rPr>
          <w:b w:val="0"/>
          <w:spacing w:val="40"/>
        </w:rPr>
        <w:t> </w:t>
      </w:r>
      <w:r>
        <w:rPr>
          <w:b w:val="0"/>
        </w:rPr>
        <w:t>structure comprises of the following groups:</w:t>
      </w:r>
    </w:p>
    <w:p>
      <w:pPr>
        <w:pStyle w:val="ListParagraph"/>
        <w:numPr>
          <w:ilvl w:val="0"/>
          <w:numId w:val="11"/>
        </w:numPr>
        <w:tabs>
          <w:tab w:pos="413" w:val="left" w:leader="none"/>
        </w:tabs>
        <w:spacing w:line="295" w:lineRule="auto" w:before="115" w:after="0"/>
        <w:ind w:left="413" w:right="366" w:hanging="200"/>
        <w:jc w:val="left"/>
        <w:rPr>
          <w:rFonts w:ascii="TT Norms Pro Light" w:hAnsi="TT Norms Pro Light"/>
          <w:b w:val="0"/>
          <w:sz w:val="18"/>
        </w:rPr>
      </w:pPr>
      <w:r>
        <w:rPr>
          <w:rFonts w:ascii="TT Norms Pro Light" w:hAnsi="TT Norms Pro Light"/>
          <w:b w:val="0"/>
          <w:sz w:val="18"/>
        </w:rPr>
        <w:t>University</w:t>
      </w:r>
      <w:r>
        <w:rPr>
          <w:rFonts w:ascii="TT Norms Pro Light" w:hAnsi="TT Norms Pro Light"/>
          <w:b w:val="0"/>
          <w:spacing w:val="-9"/>
          <w:sz w:val="18"/>
        </w:rPr>
        <w:t> </w:t>
      </w:r>
      <w:r>
        <w:rPr>
          <w:rFonts w:ascii="TT Norms Pro Light" w:hAnsi="TT Norms Pro Light"/>
          <w:b w:val="0"/>
          <w:sz w:val="18"/>
        </w:rPr>
        <w:t>Safety</w:t>
      </w:r>
      <w:r>
        <w:rPr>
          <w:rFonts w:ascii="TT Norms Pro Light" w:hAnsi="TT Norms Pro Light"/>
          <w:b w:val="0"/>
          <w:spacing w:val="-9"/>
          <w:sz w:val="18"/>
        </w:rPr>
        <w:t> </w:t>
      </w:r>
      <w:r>
        <w:rPr>
          <w:rFonts w:ascii="TT Norms Pro Light" w:hAnsi="TT Norms Pro Light"/>
          <w:b w:val="0"/>
          <w:sz w:val="18"/>
        </w:rPr>
        <w:t>and</w:t>
      </w:r>
      <w:r>
        <w:rPr>
          <w:rFonts w:ascii="TT Norms Pro Light" w:hAnsi="TT Norms Pro Light"/>
          <w:b w:val="0"/>
          <w:spacing w:val="-9"/>
          <w:sz w:val="18"/>
        </w:rPr>
        <w:t> </w:t>
      </w:r>
      <w:r>
        <w:rPr>
          <w:rFonts w:ascii="TT Norms Pro Light" w:hAnsi="TT Norms Pro Light"/>
          <w:b w:val="0"/>
          <w:sz w:val="18"/>
        </w:rPr>
        <w:t>Health</w:t>
      </w:r>
      <w:r>
        <w:rPr>
          <w:rFonts w:ascii="TT Norms Pro Light" w:hAnsi="TT Norms Pro Light"/>
          <w:b w:val="0"/>
          <w:spacing w:val="-9"/>
          <w:sz w:val="18"/>
        </w:rPr>
        <w:t> </w:t>
      </w:r>
      <w:r>
        <w:rPr>
          <w:rFonts w:ascii="TT Norms Pro Light" w:hAnsi="TT Norms Pro Light"/>
          <w:b w:val="0"/>
          <w:sz w:val="18"/>
        </w:rPr>
        <w:t>Committee</w:t>
      </w:r>
      <w:r>
        <w:rPr>
          <w:rFonts w:ascii="TT Norms Pro Light" w:hAnsi="TT Norms Pro Light"/>
          <w:b w:val="0"/>
          <w:spacing w:val="-9"/>
          <w:sz w:val="18"/>
        </w:rPr>
        <w:t> </w:t>
      </w:r>
      <w:r>
        <w:rPr>
          <w:rFonts w:ascii="TT Norms Pro Light" w:hAnsi="TT Norms Pro Light"/>
          <w:b w:val="0"/>
          <w:sz w:val="18"/>
        </w:rPr>
        <w:t>(consists</w:t>
      </w:r>
      <w:r>
        <w:rPr>
          <w:rFonts w:ascii="TT Norms Pro Light" w:hAnsi="TT Norms Pro Light"/>
          <w:b w:val="0"/>
          <w:spacing w:val="-8"/>
          <w:sz w:val="18"/>
        </w:rPr>
        <w:t> </w:t>
      </w:r>
      <w:r>
        <w:rPr>
          <w:rFonts w:ascii="TT Norms Pro Light" w:hAnsi="TT Norms Pro Light"/>
          <w:b w:val="0"/>
          <w:sz w:val="18"/>
        </w:rPr>
        <w:t>of</w:t>
      </w:r>
      <w:r>
        <w:rPr>
          <w:rFonts w:ascii="TT Norms Pro Light" w:hAnsi="TT Norms Pro Light"/>
          <w:b w:val="0"/>
          <w:spacing w:val="40"/>
          <w:sz w:val="18"/>
        </w:rPr>
        <w:t> </w:t>
      </w:r>
      <w:r>
        <w:rPr>
          <w:rFonts w:ascii="TT Norms Pro Light" w:hAnsi="TT Norms Pro Light"/>
          <w:b w:val="0"/>
          <w:sz w:val="18"/>
        </w:rPr>
        <w:t>health and safety</w:t>
      </w:r>
      <w:r>
        <w:rPr>
          <w:rFonts w:ascii="TT Norms Pro Light" w:hAnsi="TT Norms Pro Light"/>
          <w:b w:val="0"/>
          <w:spacing w:val="-2"/>
          <w:sz w:val="18"/>
        </w:rPr>
        <w:t> </w:t>
      </w:r>
      <w:r>
        <w:rPr>
          <w:rFonts w:ascii="TT Norms Pro Light" w:hAnsi="TT Norms Pro Light"/>
          <w:b w:val="0"/>
          <w:sz w:val="18"/>
        </w:rPr>
        <w:t>representatives and management</w:t>
      </w:r>
      <w:r>
        <w:rPr>
          <w:rFonts w:ascii="TT Norms Pro Light" w:hAnsi="TT Norms Pro Light"/>
          <w:b w:val="0"/>
          <w:spacing w:val="40"/>
          <w:sz w:val="18"/>
        </w:rPr>
        <w:t> </w:t>
      </w:r>
      <w:r>
        <w:rPr>
          <w:rFonts w:ascii="TT Norms Pro Light" w:hAnsi="TT Norms Pro Light"/>
          <w:b w:val="0"/>
          <w:spacing w:val="-2"/>
          <w:sz w:val="18"/>
        </w:rPr>
        <w:t>representatives).</w:t>
      </w:r>
    </w:p>
    <w:p>
      <w:pPr>
        <w:pStyle w:val="ListParagraph"/>
        <w:numPr>
          <w:ilvl w:val="0"/>
          <w:numId w:val="11"/>
        </w:numPr>
        <w:tabs>
          <w:tab w:pos="413" w:val="left" w:leader="none"/>
        </w:tabs>
        <w:spacing w:line="295" w:lineRule="auto" w:before="59" w:after="0"/>
        <w:ind w:left="413" w:right="474" w:hanging="200"/>
        <w:jc w:val="left"/>
        <w:rPr>
          <w:rFonts w:ascii="TT Norms Pro Light" w:hAnsi="TT Norms Pro Light"/>
          <w:b w:val="0"/>
          <w:sz w:val="18"/>
        </w:rPr>
      </w:pPr>
      <w:r>
        <w:rPr>
          <w:rFonts w:ascii="TT Norms Pro Light" w:hAnsi="TT Norms Pro Light"/>
          <w:b w:val="0"/>
          <w:sz w:val="18"/>
        </w:rPr>
        <w:t>Specialist sub committees for high-risk activities –</w:t>
      </w:r>
      <w:r>
        <w:rPr>
          <w:rFonts w:ascii="TT Norms Pro Light" w:hAnsi="TT Norms Pro Light"/>
          <w:b w:val="0"/>
          <w:spacing w:val="40"/>
          <w:sz w:val="18"/>
        </w:rPr>
        <w:t> </w:t>
      </w:r>
      <w:r>
        <w:rPr>
          <w:rFonts w:ascii="TT Norms Pro Light" w:hAnsi="TT Norms Pro Light"/>
          <w:b w:val="0"/>
          <w:sz w:val="18"/>
        </w:rPr>
        <w:t>Radiation</w:t>
      </w:r>
      <w:r>
        <w:rPr>
          <w:rFonts w:ascii="TT Norms Pro Light" w:hAnsi="TT Norms Pro Light"/>
          <w:b w:val="0"/>
          <w:spacing w:val="-9"/>
          <w:sz w:val="18"/>
        </w:rPr>
        <w:t> </w:t>
      </w:r>
      <w:r>
        <w:rPr>
          <w:rFonts w:ascii="TT Norms Pro Light" w:hAnsi="TT Norms Pro Light"/>
          <w:b w:val="0"/>
          <w:sz w:val="18"/>
        </w:rPr>
        <w:t>Safety</w:t>
      </w:r>
      <w:r>
        <w:rPr>
          <w:rFonts w:ascii="TT Norms Pro Light" w:hAnsi="TT Norms Pro Light"/>
          <w:b w:val="0"/>
          <w:spacing w:val="-9"/>
          <w:sz w:val="18"/>
        </w:rPr>
        <w:t> </w:t>
      </w:r>
      <w:r>
        <w:rPr>
          <w:rFonts w:ascii="TT Norms Pro Light" w:hAnsi="TT Norms Pro Light"/>
          <w:b w:val="0"/>
          <w:sz w:val="18"/>
        </w:rPr>
        <w:t>Committee,</w:t>
      </w:r>
      <w:r>
        <w:rPr>
          <w:rFonts w:ascii="TT Norms Pro Light" w:hAnsi="TT Norms Pro Light"/>
          <w:b w:val="0"/>
          <w:spacing w:val="-9"/>
          <w:sz w:val="18"/>
        </w:rPr>
        <w:t> </w:t>
      </w:r>
      <w:r>
        <w:rPr>
          <w:rFonts w:ascii="TT Norms Pro Light" w:hAnsi="TT Norms Pro Light"/>
          <w:b w:val="0"/>
          <w:sz w:val="18"/>
        </w:rPr>
        <w:t>Biosafety</w:t>
      </w:r>
      <w:r>
        <w:rPr>
          <w:rFonts w:ascii="TT Norms Pro Light" w:hAnsi="TT Norms Pro Light"/>
          <w:b w:val="0"/>
          <w:spacing w:val="-9"/>
          <w:sz w:val="18"/>
        </w:rPr>
        <w:t> </w:t>
      </w:r>
      <w:r>
        <w:rPr>
          <w:rFonts w:ascii="TT Norms Pro Light" w:hAnsi="TT Norms Pro Light"/>
          <w:b w:val="0"/>
          <w:sz w:val="18"/>
        </w:rPr>
        <w:t>Committee</w:t>
      </w:r>
      <w:r>
        <w:rPr>
          <w:rFonts w:ascii="TT Norms Pro Light" w:hAnsi="TT Norms Pro Light"/>
          <w:b w:val="0"/>
          <w:spacing w:val="40"/>
          <w:sz w:val="18"/>
        </w:rPr>
        <w:t> </w:t>
      </w:r>
      <w:r>
        <w:rPr>
          <w:rFonts w:ascii="TT Norms Pro Light" w:hAnsi="TT Norms Pro Light"/>
          <w:b w:val="0"/>
          <w:sz w:val="18"/>
        </w:rPr>
        <w:t>and Diving and Boating Safety Committee.</w:t>
      </w:r>
    </w:p>
    <w:p>
      <w:pPr>
        <w:pStyle w:val="ListParagraph"/>
        <w:numPr>
          <w:ilvl w:val="0"/>
          <w:numId w:val="11"/>
        </w:numPr>
        <w:tabs>
          <w:tab w:pos="413" w:val="left" w:leader="none"/>
        </w:tabs>
        <w:spacing w:line="295" w:lineRule="auto" w:before="60" w:after="0"/>
        <w:ind w:left="413" w:right="871" w:hanging="200"/>
        <w:jc w:val="left"/>
        <w:rPr>
          <w:rFonts w:ascii="TT Norms Pro Light" w:hAnsi="TT Norms Pro Light"/>
          <w:b w:val="0"/>
          <w:sz w:val="18"/>
        </w:rPr>
      </w:pPr>
      <w:r>
        <w:rPr>
          <w:rFonts w:ascii="TT Norms Pro Light" w:hAnsi="TT Norms Pro Light"/>
          <w:b w:val="0"/>
          <w:sz w:val="18"/>
        </w:rPr>
        <w:t>Faculty</w:t>
      </w:r>
      <w:r>
        <w:rPr>
          <w:rFonts w:ascii="TT Norms Pro Light" w:hAnsi="TT Norms Pro Light"/>
          <w:b w:val="0"/>
          <w:spacing w:val="-9"/>
          <w:sz w:val="18"/>
        </w:rPr>
        <w:t> </w:t>
      </w:r>
      <w:r>
        <w:rPr>
          <w:rFonts w:ascii="TT Norms Pro Light" w:hAnsi="TT Norms Pro Light"/>
          <w:b w:val="0"/>
          <w:sz w:val="18"/>
        </w:rPr>
        <w:t>/</w:t>
      </w:r>
      <w:r>
        <w:rPr>
          <w:rFonts w:ascii="TT Norms Pro Light" w:hAnsi="TT Norms Pro Light"/>
          <w:b w:val="0"/>
          <w:spacing w:val="-9"/>
          <w:sz w:val="18"/>
        </w:rPr>
        <w:t> </w:t>
      </w:r>
      <w:r>
        <w:rPr>
          <w:rFonts w:ascii="TT Norms Pro Light" w:hAnsi="TT Norms Pro Light"/>
          <w:b w:val="0"/>
          <w:sz w:val="18"/>
        </w:rPr>
        <w:t>School</w:t>
      </w:r>
      <w:r>
        <w:rPr>
          <w:rFonts w:ascii="TT Norms Pro Light" w:hAnsi="TT Norms Pro Light"/>
          <w:b w:val="0"/>
          <w:spacing w:val="-7"/>
          <w:sz w:val="18"/>
        </w:rPr>
        <w:t> </w:t>
      </w:r>
      <w:r>
        <w:rPr>
          <w:rFonts w:ascii="TT Norms Pro Light" w:hAnsi="TT Norms Pro Light"/>
          <w:b w:val="0"/>
          <w:sz w:val="18"/>
        </w:rPr>
        <w:t>/</w:t>
      </w:r>
      <w:r>
        <w:rPr>
          <w:rFonts w:ascii="TT Norms Pro Light" w:hAnsi="TT Norms Pro Light"/>
          <w:b w:val="0"/>
          <w:spacing w:val="-8"/>
          <w:sz w:val="18"/>
        </w:rPr>
        <w:t> </w:t>
      </w:r>
      <w:r>
        <w:rPr>
          <w:rFonts w:ascii="TT Norms Pro Light" w:hAnsi="TT Norms Pro Light"/>
          <w:b w:val="0"/>
          <w:sz w:val="18"/>
        </w:rPr>
        <w:t>Divisional</w:t>
      </w:r>
      <w:r>
        <w:rPr>
          <w:rFonts w:ascii="TT Norms Pro Light" w:hAnsi="TT Norms Pro Light"/>
          <w:b w:val="0"/>
          <w:spacing w:val="-8"/>
          <w:sz w:val="18"/>
        </w:rPr>
        <w:t> </w:t>
      </w:r>
      <w:r>
        <w:rPr>
          <w:rFonts w:ascii="TT Norms Pro Light" w:hAnsi="TT Norms Pro Light"/>
          <w:b w:val="0"/>
          <w:sz w:val="18"/>
        </w:rPr>
        <w:t>Health</w:t>
      </w:r>
      <w:r>
        <w:rPr>
          <w:rFonts w:ascii="TT Norms Pro Light" w:hAnsi="TT Norms Pro Light"/>
          <w:b w:val="0"/>
          <w:spacing w:val="-8"/>
          <w:sz w:val="18"/>
        </w:rPr>
        <w:t> </w:t>
      </w:r>
      <w:r>
        <w:rPr>
          <w:rFonts w:ascii="TT Norms Pro Light" w:hAnsi="TT Norms Pro Light"/>
          <w:b w:val="0"/>
          <w:sz w:val="18"/>
        </w:rPr>
        <w:t>and</w:t>
      </w:r>
      <w:r>
        <w:rPr>
          <w:rFonts w:ascii="TT Norms Pro Light" w:hAnsi="TT Norms Pro Light"/>
          <w:b w:val="0"/>
          <w:spacing w:val="-8"/>
          <w:sz w:val="18"/>
        </w:rPr>
        <w:t> </w:t>
      </w:r>
      <w:r>
        <w:rPr>
          <w:rFonts w:ascii="TT Norms Pro Light" w:hAnsi="TT Norms Pro Light"/>
          <w:b w:val="0"/>
          <w:sz w:val="18"/>
        </w:rPr>
        <w:t>Safety</w:t>
      </w:r>
      <w:r>
        <w:rPr>
          <w:rFonts w:ascii="TT Norms Pro Light" w:hAnsi="TT Norms Pro Light"/>
          <w:b w:val="0"/>
          <w:spacing w:val="40"/>
          <w:sz w:val="18"/>
        </w:rPr>
        <w:t> </w:t>
      </w:r>
      <w:r>
        <w:rPr>
          <w:rFonts w:ascii="TT Norms Pro Light" w:hAnsi="TT Norms Pro Light"/>
          <w:b w:val="0"/>
          <w:spacing w:val="-2"/>
          <w:sz w:val="18"/>
        </w:rPr>
        <w:t>Committees.</w:t>
      </w:r>
    </w:p>
    <w:p>
      <w:pPr>
        <w:pStyle w:val="BodyText"/>
        <w:spacing w:before="18"/>
        <w:rPr>
          <w:b w:val="0"/>
        </w:rPr>
      </w:pPr>
    </w:p>
    <w:p>
      <w:pPr>
        <w:pStyle w:val="BodyText"/>
        <w:spacing w:line="295" w:lineRule="auto"/>
        <w:ind w:left="213" w:right="11"/>
        <w:rPr>
          <w:b w:val="0"/>
        </w:rPr>
      </w:pPr>
      <w:r>
        <w:rPr>
          <w:b w:val="0"/>
        </w:rPr>
        <w:t>The University has a network of Safety and Health</w:t>
      </w:r>
      <w:r>
        <w:rPr>
          <w:b w:val="0"/>
          <w:spacing w:val="40"/>
        </w:rPr>
        <w:t> </w:t>
      </w:r>
      <w:r>
        <w:rPr>
          <w:b w:val="0"/>
        </w:rPr>
        <w:t>Representatives who support this framework, and provide</w:t>
      </w:r>
      <w:r>
        <w:rPr>
          <w:b w:val="0"/>
          <w:spacing w:val="40"/>
        </w:rPr>
        <w:t> </w:t>
      </w:r>
      <w:r>
        <w:rPr>
          <w:b w:val="0"/>
        </w:rPr>
        <w:t>consultation on safety matters.</w:t>
      </w:r>
    </w:p>
    <w:p>
      <w:pPr>
        <w:pStyle w:val="BodyText"/>
        <w:spacing w:line="295" w:lineRule="auto" w:before="125"/>
        <w:ind w:left="213" w:right="1244"/>
        <w:rPr>
          <w:b w:val="0"/>
        </w:rPr>
      </w:pPr>
      <w:r>
        <w:rPr/>
        <w:br w:type="column"/>
      </w:r>
      <w:r>
        <w:rPr>
          <w:rFonts w:ascii="TT Norms Pro" w:hAnsi="TT Norms Pro"/>
          <w:b/>
        </w:rPr>
        <w:t>Workers’ Compensation and Injury Management</w:t>
      </w:r>
      <w:r>
        <w:rPr>
          <w:rFonts w:ascii="TT Norms Pro" w:hAnsi="TT Norms Pro"/>
          <w:b/>
          <w:spacing w:val="40"/>
        </w:rPr>
        <w:t> </w:t>
      </w:r>
      <w:r>
        <w:rPr>
          <w:b w:val="0"/>
        </w:rPr>
        <w:t>UWA</w:t>
      </w:r>
      <w:r>
        <w:rPr>
          <w:b w:val="0"/>
          <w:spacing w:val="-1"/>
        </w:rPr>
        <w:t> </w:t>
      </w:r>
      <w:r>
        <w:rPr>
          <w:b w:val="0"/>
        </w:rPr>
        <w:t>provides</w:t>
      </w:r>
      <w:r>
        <w:rPr>
          <w:b w:val="0"/>
          <w:spacing w:val="-1"/>
        </w:rPr>
        <w:t> </w:t>
      </w:r>
      <w:r>
        <w:rPr>
          <w:b w:val="0"/>
        </w:rPr>
        <w:t>a</w:t>
      </w:r>
      <w:r>
        <w:rPr>
          <w:b w:val="0"/>
          <w:spacing w:val="-1"/>
        </w:rPr>
        <w:t> </w:t>
      </w:r>
      <w:r>
        <w:rPr>
          <w:b w:val="0"/>
        </w:rPr>
        <w:t>dedicated</w:t>
      </w:r>
      <w:r>
        <w:rPr>
          <w:b w:val="0"/>
          <w:spacing w:val="-1"/>
        </w:rPr>
        <w:t> </w:t>
      </w:r>
      <w:r>
        <w:rPr>
          <w:b w:val="0"/>
        </w:rPr>
        <w:t>service</w:t>
      </w:r>
      <w:r>
        <w:rPr>
          <w:b w:val="0"/>
          <w:spacing w:val="-1"/>
        </w:rPr>
        <w:t> </w:t>
      </w:r>
      <w:r>
        <w:rPr>
          <w:b w:val="0"/>
        </w:rPr>
        <w:t>to</w:t>
      </w:r>
      <w:r>
        <w:rPr>
          <w:b w:val="0"/>
          <w:spacing w:val="-1"/>
        </w:rPr>
        <w:t> </w:t>
      </w:r>
      <w:r>
        <w:rPr>
          <w:b w:val="0"/>
        </w:rPr>
        <w:t>assist</w:t>
      </w:r>
      <w:r>
        <w:rPr>
          <w:b w:val="0"/>
          <w:spacing w:val="-1"/>
        </w:rPr>
        <w:t> </w:t>
      </w:r>
      <w:r>
        <w:rPr>
          <w:b w:val="0"/>
        </w:rPr>
        <w:t>staff</w:t>
      </w:r>
      <w:r>
        <w:rPr>
          <w:b w:val="0"/>
          <w:spacing w:val="-1"/>
        </w:rPr>
        <w:t> </w:t>
      </w:r>
      <w:r>
        <w:rPr>
          <w:b w:val="0"/>
        </w:rPr>
        <w:t>to</w:t>
      </w:r>
      <w:r>
        <w:rPr>
          <w:b w:val="0"/>
          <w:spacing w:val="-1"/>
        </w:rPr>
        <w:t> </w:t>
      </w:r>
      <w:r>
        <w:rPr>
          <w:b w:val="0"/>
        </w:rPr>
        <w:t>return</w:t>
      </w:r>
      <w:r>
        <w:rPr>
          <w:b w:val="0"/>
          <w:spacing w:val="40"/>
        </w:rPr>
        <w:t> </w:t>
      </w:r>
      <w:r>
        <w:rPr>
          <w:b w:val="0"/>
        </w:rPr>
        <w:t>to work following injuries or illness through its Injury</w:t>
      </w:r>
      <w:r>
        <w:rPr>
          <w:b w:val="0"/>
          <w:spacing w:val="40"/>
        </w:rPr>
        <w:t> </w:t>
      </w:r>
      <w:r>
        <w:rPr>
          <w:b w:val="0"/>
        </w:rPr>
        <w:t>Management and Wellbeing team. This team provides</w:t>
      </w:r>
      <w:r>
        <w:rPr>
          <w:b w:val="0"/>
          <w:spacing w:val="40"/>
        </w:rPr>
        <w:t> </w:t>
      </w:r>
      <w:r>
        <w:rPr>
          <w:b w:val="0"/>
        </w:rPr>
        <w:t>best practice injury management services for both</w:t>
      </w:r>
      <w:r>
        <w:rPr>
          <w:b w:val="0"/>
          <w:spacing w:val="40"/>
        </w:rPr>
        <w:t> </w:t>
      </w:r>
      <w:r>
        <w:rPr>
          <w:b w:val="0"/>
        </w:rPr>
        <w:t>compensable and non-compensable conditions, along</w:t>
      </w:r>
      <w:r>
        <w:rPr>
          <w:b w:val="0"/>
          <w:spacing w:val="40"/>
        </w:rPr>
        <w:t> </w:t>
      </w:r>
      <w:r>
        <w:rPr>
          <w:b w:val="0"/>
        </w:rPr>
        <w:t>with targeted interventions for workplace injury risks.</w:t>
      </w:r>
    </w:p>
    <w:p>
      <w:pPr>
        <w:pStyle w:val="BodyText"/>
        <w:spacing w:before="51"/>
        <w:rPr>
          <w:b w:val="0"/>
        </w:rPr>
      </w:pPr>
    </w:p>
    <w:p>
      <w:pPr>
        <w:pStyle w:val="BodyText"/>
        <w:spacing w:line="295" w:lineRule="auto"/>
        <w:ind w:left="213" w:right="1132"/>
        <w:rPr>
          <w:b w:val="0"/>
        </w:rPr>
      </w:pPr>
      <w:r>
        <w:rPr>
          <w:b w:val="0"/>
        </w:rPr>
        <w:t>The Injury Management and Wellbeing Framework and</w:t>
      </w:r>
      <w:r>
        <w:rPr>
          <w:b w:val="0"/>
          <w:spacing w:val="40"/>
        </w:rPr>
        <w:t> </w:t>
      </w:r>
      <w:r>
        <w:rPr>
          <w:b w:val="0"/>
        </w:rPr>
        <w:t>Safety and Health Strategic Plan 2021-25 has been</w:t>
      </w:r>
      <w:r>
        <w:rPr>
          <w:b w:val="0"/>
          <w:spacing w:val="40"/>
        </w:rPr>
        <w:t> </w:t>
      </w:r>
      <w:r>
        <w:rPr>
          <w:b w:val="0"/>
        </w:rPr>
        <w:t>developed to support the broader Human Resources</w:t>
      </w:r>
      <w:r>
        <w:rPr>
          <w:b w:val="0"/>
          <w:spacing w:val="40"/>
        </w:rPr>
        <w:t> </w:t>
      </w:r>
      <w:r>
        <w:rPr>
          <w:b w:val="0"/>
        </w:rPr>
        <w:t>objective to attract and retain world-class staff. The</w:t>
      </w:r>
      <w:r>
        <w:rPr>
          <w:b w:val="0"/>
          <w:spacing w:val="40"/>
        </w:rPr>
        <w:t> </w:t>
      </w:r>
      <w:r>
        <w:rPr>
          <w:b w:val="0"/>
        </w:rPr>
        <w:t>framework and plan also support the University’s</w:t>
      </w:r>
      <w:r>
        <w:rPr>
          <w:b w:val="0"/>
          <w:spacing w:val="40"/>
        </w:rPr>
        <w:t> </w:t>
      </w:r>
      <w:r>
        <w:rPr>
          <w:b w:val="0"/>
        </w:rPr>
        <w:t>obligations articulated in the UWA Injury Management</w:t>
      </w:r>
      <w:r>
        <w:rPr>
          <w:b w:val="0"/>
          <w:spacing w:val="40"/>
        </w:rPr>
        <w:t> </w:t>
      </w:r>
      <w:r>
        <w:rPr>
          <w:b w:val="0"/>
        </w:rPr>
        <w:t>Policy, the </w:t>
      </w:r>
      <w:r>
        <w:rPr>
          <w:b w:val="0"/>
          <w:i/>
        </w:rPr>
        <w:t>Workers’ Compensation and Injury</w:t>
      </w:r>
      <w:r>
        <w:rPr>
          <w:b w:val="0"/>
          <w:i/>
          <w:spacing w:val="40"/>
        </w:rPr>
        <w:t> </w:t>
      </w:r>
      <w:r>
        <w:rPr>
          <w:b w:val="0"/>
          <w:i/>
        </w:rPr>
        <w:t>Management Act</w:t>
      </w:r>
      <w:r>
        <w:rPr>
          <w:b w:val="0"/>
          <w:i/>
          <w:spacing w:val="-1"/>
        </w:rPr>
        <w:t> </w:t>
      </w:r>
      <w:r>
        <w:rPr>
          <w:b w:val="0"/>
          <w:i/>
        </w:rPr>
        <w:t>1981</w:t>
      </w:r>
      <w:r>
        <w:rPr>
          <w:b w:val="0"/>
          <w:i/>
          <w:spacing w:val="-1"/>
        </w:rPr>
        <w:t> </w:t>
      </w:r>
      <w:r>
        <w:rPr>
          <w:b w:val="0"/>
        </w:rPr>
        <w:t>and Model Work Health and Safety</w:t>
      </w:r>
      <w:r>
        <w:rPr>
          <w:b w:val="0"/>
          <w:spacing w:val="40"/>
        </w:rPr>
        <w:t> </w:t>
      </w:r>
      <w:r>
        <w:rPr>
          <w:b w:val="0"/>
        </w:rPr>
        <w:t>Laws, as they relate to psychological hazards and injuries.</w:t>
      </w:r>
    </w:p>
    <w:p>
      <w:pPr>
        <w:pStyle w:val="BodyText"/>
        <w:spacing w:before="52"/>
        <w:rPr>
          <w:b w:val="0"/>
        </w:rPr>
      </w:pPr>
    </w:p>
    <w:p>
      <w:pPr>
        <w:spacing w:before="0"/>
        <w:ind w:left="213" w:right="0" w:firstLine="0"/>
        <w:jc w:val="left"/>
        <w:rPr>
          <w:rFonts w:ascii="TT Norms Pro"/>
          <w:b/>
          <w:sz w:val="18"/>
        </w:rPr>
      </w:pPr>
      <w:r>
        <w:rPr>
          <w:rFonts w:ascii="TT Norms Pro"/>
          <w:b/>
          <w:sz w:val="18"/>
        </w:rPr>
        <w:t>Performance</w:t>
      </w:r>
      <w:r>
        <w:rPr>
          <w:rFonts w:ascii="TT Norms Pro"/>
          <w:b/>
          <w:spacing w:val="7"/>
          <w:sz w:val="18"/>
        </w:rPr>
        <w:t> </w:t>
      </w:r>
      <w:r>
        <w:rPr>
          <w:rFonts w:ascii="TT Norms Pro"/>
          <w:b/>
          <w:spacing w:val="-2"/>
          <w:sz w:val="18"/>
        </w:rPr>
        <w:t>Reporting</w:t>
      </w:r>
    </w:p>
    <w:p>
      <w:pPr>
        <w:spacing w:line="295" w:lineRule="auto" w:before="50"/>
        <w:ind w:left="213" w:right="1334" w:firstLine="0"/>
        <w:jc w:val="left"/>
        <w:rPr>
          <w:rFonts w:ascii="TT Norms Pro Light"/>
          <w:b w:val="0"/>
          <w:sz w:val="18"/>
        </w:rPr>
      </w:pPr>
      <w:r>
        <w:rPr>
          <w:rFonts w:ascii="TT Norms Pro Light"/>
          <w:b w:val="0"/>
          <w:sz w:val="18"/>
        </w:rPr>
        <w:t>Of note in 2020 is the reduction in </w:t>
      </w:r>
      <w:r>
        <w:rPr>
          <w:rFonts w:ascii="TT Norms Pro Light"/>
          <w:b w:val="0"/>
          <w:i/>
          <w:sz w:val="18"/>
        </w:rPr>
        <w:t>incidents, lost time</w:t>
      </w:r>
      <w:r>
        <w:rPr>
          <w:rFonts w:ascii="TT Norms Pro Light"/>
          <w:b w:val="0"/>
          <w:i/>
          <w:spacing w:val="40"/>
          <w:sz w:val="18"/>
        </w:rPr>
        <w:t> </w:t>
      </w:r>
      <w:r>
        <w:rPr>
          <w:rFonts w:ascii="TT Norms Pro Light"/>
          <w:b w:val="0"/>
          <w:i/>
          <w:sz w:val="18"/>
        </w:rPr>
        <w:t>injuries and workers compensation claims </w:t>
      </w:r>
      <w:r>
        <w:rPr>
          <w:rFonts w:ascii="TT Norms Pro Light"/>
          <w:b w:val="0"/>
          <w:sz w:val="18"/>
        </w:rPr>
        <w:t>as compared</w:t>
      </w:r>
      <w:r>
        <w:rPr>
          <w:rFonts w:ascii="TT Norms Pro Light"/>
          <w:b w:val="0"/>
          <w:spacing w:val="40"/>
          <w:sz w:val="18"/>
        </w:rPr>
        <w:t> </w:t>
      </w:r>
      <w:r>
        <w:rPr>
          <w:rFonts w:ascii="TT Norms Pro Light"/>
          <w:b w:val="0"/>
          <w:sz w:val="18"/>
        </w:rPr>
        <w:t>to 2019. This could be partly attributed to the impact of</w:t>
      </w:r>
      <w:r>
        <w:rPr>
          <w:rFonts w:ascii="TT Norms Pro Light"/>
          <w:b w:val="0"/>
          <w:spacing w:val="40"/>
          <w:sz w:val="18"/>
        </w:rPr>
        <w:t> </w:t>
      </w:r>
      <w:r>
        <w:rPr>
          <w:rFonts w:ascii="TT Norms Pro Light"/>
          <w:b w:val="0"/>
          <w:sz w:val="18"/>
        </w:rPr>
        <w:t>COVID-19 and remote work and learning arrangements.</w:t>
      </w:r>
    </w:p>
    <w:p>
      <w:pPr>
        <w:spacing w:after="0" w:line="295" w:lineRule="auto"/>
        <w:jc w:val="left"/>
        <w:rPr>
          <w:rFonts w:ascii="TT Norms Pro Light"/>
          <w:sz w:val="18"/>
        </w:rPr>
        <w:sectPr>
          <w:type w:val="continuous"/>
          <w:pgSz w:w="11910" w:h="16840"/>
          <w:pgMar w:header="468" w:footer="0" w:top="980" w:bottom="280" w:left="920" w:right="0"/>
          <w:cols w:num="2" w:equalWidth="0">
            <w:col w:w="4867" w:space="150"/>
            <w:col w:w="5973"/>
          </w:cols>
        </w:sectPr>
      </w:pPr>
    </w:p>
    <w:p>
      <w:pPr>
        <w:pStyle w:val="BodyText"/>
        <w:spacing w:before="133"/>
        <w:rPr>
          <w:b w:val="0"/>
          <w:sz w:val="16"/>
        </w:rPr>
      </w:pPr>
    </w:p>
    <w:p>
      <w:pPr>
        <w:spacing w:before="1"/>
        <w:ind w:left="213" w:right="0" w:firstLine="0"/>
        <w:jc w:val="left"/>
        <w:rPr>
          <w:rFonts w:ascii="TT Norms Pro"/>
          <w:b/>
          <w:sz w:val="16"/>
        </w:rPr>
      </w:pPr>
      <w:r>
        <w:rPr/>
        <mc:AlternateContent>
          <mc:Choice Requires="wps">
            <w:drawing>
              <wp:anchor distT="0" distB="0" distL="0" distR="0" allowOverlap="1" layoutInCell="1" locked="0" behindDoc="0" simplePos="0" relativeHeight="15860224">
                <wp:simplePos x="0" y="0"/>
                <wp:positionH relativeFrom="page">
                  <wp:posOffset>2843999</wp:posOffset>
                </wp:positionH>
                <wp:positionV relativeFrom="paragraph">
                  <wp:posOffset>224057</wp:posOffset>
                </wp:positionV>
                <wp:extent cx="3990975" cy="12700"/>
                <wp:effectExtent l="0" t="0" r="0" b="0"/>
                <wp:wrapNone/>
                <wp:docPr id="841" name="Group 841"/>
                <wp:cNvGraphicFramePr>
                  <a:graphicFrameLocks/>
                </wp:cNvGraphicFramePr>
                <a:graphic>
                  <a:graphicData uri="http://schemas.microsoft.com/office/word/2010/wordprocessingGroup">
                    <wpg:wgp>
                      <wpg:cNvPr id="841" name="Group 841"/>
                      <wpg:cNvGrpSpPr/>
                      <wpg:grpSpPr>
                        <a:xfrm>
                          <a:off x="0" y="0"/>
                          <a:ext cx="3990975" cy="12700"/>
                          <a:chExt cx="3990975" cy="12700"/>
                        </a:xfrm>
                      </wpg:grpSpPr>
                      <wps:wsp>
                        <wps:cNvPr id="842" name="Graphic 842"/>
                        <wps:cNvSpPr/>
                        <wps:spPr>
                          <a:xfrm>
                            <a:off x="0" y="6350"/>
                            <a:ext cx="1361440" cy="1270"/>
                          </a:xfrm>
                          <a:custGeom>
                            <a:avLst/>
                            <a:gdLst/>
                            <a:ahLst/>
                            <a:cxnLst/>
                            <a:rect l="l" t="t" r="r" b="b"/>
                            <a:pathLst>
                              <a:path w="1361440" h="0">
                                <a:moveTo>
                                  <a:pt x="0" y="0"/>
                                </a:moveTo>
                                <a:lnTo>
                                  <a:pt x="1361325" y="0"/>
                                </a:lnTo>
                              </a:path>
                            </a:pathLst>
                          </a:custGeom>
                          <a:ln w="12700">
                            <a:solidFill>
                              <a:srgbClr val="000000"/>
                            </a:solidFill>
                            <a:prstDash val="solid"/>
                          </a:ln>
                        </wps:spPr>
                        <wps:bodyPr wrap="square" lIns="0" tIns="0" rIns="0" bIns="0" rtlCol="0">
                          <a:prstTxWarp prst="textNoShape">
                            <a:avLst/>
                          </a:prstTxWarp>
                          <a:noAutofit/>
                        </wps:bodyPr>
                      </wps:wsp>
                      <wps:wsp>
                        <wps:cNvPr id="843" name="Graphic 843"/>
                        <wps:cNvSpPr/>
                        <wps:spPr>
                          <a:xfrm>
                            <a:off x="1361330" y="6350"/>
                            <a:ext cx="636905" cy="1270"/>
                          </a:xfrm>
                          <a:custGeom>
                            <a:avLst/>
                            <a:gdLst/>
                            <a:ahLst/>
                            <a:cxnLst/>
                            <a:rect l="l" t="t" r="r" b="b"/>
                            <a:pathLst>
                              <a:path w="636905" h="0">
                                <a:moveTo>
                                  <a:pt x="0" y="0"/>
                                </a:moveTo>
                                <a:lnTo>
                                  <a:pt x="636663" y="0"/>
                                </a:lnTo>
                              </a:path>
                            </a:pathLst>
                          </a:custGeom>
                          <a:ln w="12700">
                            <a:solidFill>
                              <a:srgbClr val="000000"/>
                            </a:solidFill>
                            <a:prstDash val="solid"/>
                          </a:ln>
                        </wps:spPr>
                        <wps:bodyPr wrap="square" lIns="0" tIns="0" rIns="0" bIns="0" rtlCol="0">
                          <a:prstTxWarp prst="textNoShape">
                            <a:avLst/>
                          </a:prstTxWarp>
                          <a:noAutofit/>
                        </wps:bodyPr>
                      </wps:wsp>
                      <wps:wsp>
                        <wps:cNvPr id="844" name="Graphic 844"/>
                        <wps:cNvSpPr/>
                        <wps:spPr>
                          <a:xfrm>
                            <a:off x="1997999" y="6350"/>
                            <a:ext cx="594360" cy="1270"/>
                          </a:xfrm>
                          <a:custGeom>
                            <a:avLst/>
                            <a:gdLst/>
                            <a:ahLst/>
                            <a:cxnLst/>
                            <a:rect l="l" t="t" r="r" b="b"/>
                            <a:pathLst>
                              <a:path w="594360" h="0">
                                <a:moveTo>
                                  <a:pt x="0" y="0"/>
                                </a:moveTo>
                                <a:lnTo>
                                  <a:pt x="594004" y="0"/>
                                </a:lnTo>
                              </a:path>
                            </a:pathLst>
                          </a:custGeom>
                          <a:ln w="12700">
                            <a:solidFill>
                              <a:srgbClr val="000000"/>
                            </a:solidFill>
                            <a:prstDash val="solid"/>
                          </a:ln>
                        </wps:spPr>
                        <wps:bodyPr wrap="square" lIns="0" tIns="0" rIns="0" bIns="0" rtlCol="0">
                          <a:prstTxWarp prst="textNoShape">
                            <a:avLst/>
                          </a:prstTxWarp>
                          <a:noAutofit/>
                        </wps:bodyPr>
                      </wps:wsp>
                      <wps:wsp>
                        <wps:cNvPr id="845" name="Graphic 845"/>
                        <wps:cNvSpPr/>
                        <wps:spPr>
                          <a:xfrm>
                            <a:off x="2592000" y="6350"/>
                            <a:ext cx="684530" cy="1270"/>
                          </a:xfrm>
                          <a:custGeom>
                            <a:avLst/>
                            <a:gdLst/>
                            <a:ahLst/>
                            <a:cxnLst/>
                            <a:rect l="l" t="t" r="r" b="b"/>
                            <a:pathLst>
                              <a:path w="684530" h="0">
                                <a:moveTo>
                                  <a:pt x="0" y="0"/>
                                </a:moveTo>
                                <a:lnTo>
                                  <a:pt x="683996" y="0"/>
                                </a:lnTo>
                              </a:path>
                            </a:pathLst>
                          </a:custGeom>
                          <a:ln w="12700">
                            <a:solidFill>
                              <a:srgbClr val="000000"/>
                            </a:solidFill>
                            <a:prstDash val="solid"/>
                          </a:ln>
                        </wps:spPr>
                        <wps:bodyPr wrap="square" lIns="0" tIns="0" rIns="0" bIns="0" rtlCol="0">
                          <a:prstTxWarp prst="textNoShape">
                            <a:avLst/>
                          </a:prstTxWarp>
                          <a:noAutofit/>
                        </wps:bodyPr>
                      </wps:wsp>
                      <wps:wsp>
                        <wps:cNvPr id="846" name="Graphic 846"/>
                        <wps:cNvSpPr/>
                        <wps:spPr>
                          <a:xfrm>
                            <a:off x="3276000" y="6350"/>
                            <a:ext cx="715010" cy="1270"/>
                          </a:xfrm>
                          <a:custGeom>
                            <a:avLst/>
                            <a:gdLst/>
                            <a:ahLst/>
                            <a:cxnLst/>
                            <a:rect l="l" t="t" r="r" b="b"/>
                            <a:pathLst>
                              <a:path w="715010" h="0">
                                <a:moveTo>
                                  <a:pt x="0" y="0"/>
                                </a:moveTo>
                                <a:lnTo>
                                  <a:pt x="714603" y="0"/>
                                </a:lnTo>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23.936996pt;margin-top:17.6423pt;width:314.25pt;height:1pt;mso-position-horizontal-relative:page;mso-position-vertical-relative:paragraph;z-index:15860224" id="docshapegroup546" coordorigin="4479,353" coordsize="6285,20">
                <v:line style="position:absolute" from="4479,363" to="6623,363" stroked="true" strokeweight="1pt" strokecolor="#000000">
                  <v:stroke dashstyle="solid"/>
                </v:line>
                <v:line style="position:absolute" from="6623,363" to="7625,363" stroked="true" strokeweight="1pt" strokecolor="#000000">
                  <v:stroke dashstyle="solid"/>
                </v:line>
                <v:line style="position:absolute" from="7625,363" to="8561,363" stroked="true" strokeweight="1pt" strokecolor="#000000">
                  <v:stroke dashstyle="solid"/>
                </v:line>
                <v:line style="position:absolute" from="8561,363" to="9638,363" stroked="true" strokeweight="1pt" strokecolor="#000000">
                  <v:stroke dashstyle="solid"/>
                </v:line>
                <v:line style="position:absolute" from="9638,363" to="10763,363" stroked="true" strokeweight="1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860736">
                <wp:simplePos x="0" y="0"/>
                <wp:positionH relativeFrom="page">
                  <wp:posOffset>719999</wp:posOffset>
                </wp:positionH>
                <wp:positionV relativeFrom="paragraph">
                  <wp:posOffset>224057</wp:posOffset>
                </wp:positionV>
                <wp:extent cx="1867535" cy="12700"/>
                <wp:effectExtent l="0" t="0" r="0" b="0"/>
                <wp:wrapNone/>
                <wp:docPr id="847" name="Group 847"/>
                <wp:cNvGraphicFramePr>
                  <a:graphicFrameLocks/>
                </wp:cNvGraphicFramePr>
                <a:graphic>
                  <a:graphicData uri="http://schemas.microsoft.com/office/word/2010/wordprocessingGroup">
                    <wpg:wgp>
                      <wpg:cNvPr id="847" name="Group 847"/>
                      <wpg:cNvGrpSpPr/>
                      <wpg:grpSpPr>
                        <a:xfrm>
                          <a:off x="0" y="0"/>
                          <a:ext cx="1867535" cy="12700"/>
                          <a:chExt cx="1867535" cy="12700"/>
                        </a:xfrm>
                      </wpg:grpSpPr>
                      <wps:wsp>
                        <wps:cNvPr id="848" name="Graphic 848"/>
                        <wps:cNvSpPr/>
                        <wps:spPr>
                          <a:xfrm>
                            <a:off x="0" y="6350"/>
                            <a:ext cx="1062355" cy="1270"/>
                          </a:xfrm>
                          <a:custGeom>
                            <a:avLst/>
                            <a:gdLst/>
                            <a:ahLst/>
                            <a:cxnLst/>
                            <a:rect l="l" t="t" r="r" b="b"/>
                            <a:pathLst>
                              <a:path w="1062355" h="0">
                                <a:moveTo>
                                  <a:pt x="0" y="0"/>
                                </a:moveTo>
                                <a:lnTo>
                                  <a:pt x="1061999" y="0"/>
                                </a:lnTo>
                              </a:path>
                            </a:pathLst>
                          </a:custGeom>
                          <a:ln w="12700">
                            <a:solidFill>
                              <a:srgbClr val="000000"/>
                            </a:solidFill>
                            <a:prstDash val="solid"/>
                          </a:ln>
                        </wps:spPr>
                        <wps:bodyPr wrap="square" lIns="0" tIns="0" rIns="0" bIns="0" rtlCol="0">
                          <a:prstTxWarp prst="textNoShape">
                            <a:avLst/>
                          </a:prstTxWarp>
                          <a:noAutofit/>
                        </wps:bodyPr>
                      </wps:wsp>
                      <wps:wsp>
                        <wps:cNvPr id="849" name="Graphic 849"/>
                        <wps:cNvSpPr/>
                        <wps:spPr>
                          <a:xfrm>
                            <a:off x="1062000" y="6350"/>
                            <a:ext cx="402590" cy="1270"/>
                          </a:xfrm>
                          <a:custGeom>
                            <a:avLst/>
                            <a:gdLst/>
                            <a:ahLst/>
                            <a:cxnLst/>
                            <a:rect l="l" t="t" r="r" b="b"/>
                            <a:pathLst>
                              <a:path w="402590" h="0">
                                <a:moveTo>
                                  <a:pt x="0" y="0"/>
                                </a:moveTo>
                                <a:lnTo>
                                  <a:pt x="402564" y="0"/>
                                </a:lnTo>
                              </a:path>
                            </a:pathLst>
                          </a:custGeom>
                          <a:ln w="12700">
                            <a:solidFill>
                              <a:srgbClr val="000000"/>
                            </a:solidFill>
                            <a:prstDash val="solid"/>
                          </a:ln>
                        </wps:spPr>
                        <wps:bodyPr wrap="square" lIns="0" tIns="0" rIns="0" bIns="0" rtlCol="0">
                          <a:prstTxWarp prst="textNoShape">
                            <a:avLst/>
                          </a:prstTxWarp>
                          <a:noAutofit/>
                        </wps:bodyPr>
                      </wps:wsp>
                      <wps:wsp>
                        <wps:cNvPr id="850" name="Graphic 850"/>
                        <wps:cNvSpPr/>
                        <wps:spPr>
                          <a:xfrm>
                            <a:off x="1464567" y="6350"/>
                            <a:ext cx="402590" cy="1270"/>
                          </a:xfrm>
                          <a:custGeom>
                            <a:avLst/>
                            <a:gdLst/>
                            <a:ahLst/>
                            <a:cxnLst/>
                            <a:rect l="l" t="t" r="r" b="b"/>
                            <a:pathLst>
                              <a:path w="402590" h="0">
                                <a:moveTo>
                                  <a:pt x="0" y="0"/>
                                </a:moveTo>
                                <a:lnTo>
                                  <a:pt x="402564" y="0"/>
                                </a:lnTo>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692902pt;margin-top:17.6423pt;width:147.050pt;height:1pt;mso-position-horizontal-relative:page;mso-position-vertical-relative:paragraph;z-index:15860736" id="docshapegroup547" coordorigin="1134,353" coordsize="2941,20">
                <v:line style="position:absolute" from="1134,363" to="2806,363" stroked="true" strokeweight="1pt" strokecolor="#000000">
                  <v:stroke dashstyle="solid"/>
                </v:line>
                <v:line style="position:absolute" from="2806,363" to="3440,363" stroked="true" strokeweight="1pt" strokecolor="#000000">
                  <v:stroke dashstyle="solid"/>
                </v:line>
                <v:line style="position:absolute" from="3440,363" to="4074,363" stroked="true" strokeweight="1pt" strokecolor="#000000">
                  <v:stroke dashstyle="solid"/>
                </v:line>
                <w10:wrap type="none"/>
              </v:group>
            </w:pict>
          </mc:Fallback>
        </mc:AlternateContent>
      </w:r>
      <w:r>
        <w:rPr>
          <w:rFonts w:ascii="TT Norms Pro"/>
          <w:b/>
          <w:sz w:val="16"/>
        </w:rPr>
        <w:t>PERFORMANCE</w:t>
      </w:r>
      <w:r>
        <w:rPr>
          <w:rFonts w:ascii="TT Norms Pro"/>
          <w:b/>
          <w:spacing w:val="17"/>
          <w:sz w:val="16"/>
        </w:rPr>
        <w:t> </w:t>
      </w:r>
      <w:r>
        <w:rPr>
          <w:rFonts w:ascii="TT Norms Pro"/>
          <w:b/>
          <w:spacing w:val="-2"/>
          <w:sz w:val="16"/>
        </w:rPr>
        <w:t>REPORTING</w:t>
      </w:r>
    </w:p>
    <w:p>
      <w:pPr>
        <w:spacing w:after="0"/>
        <w:jc w:val="left"/>
        <w:rPr>
          <w:rFonts w:ascii="TT Norms Pro"/>
          <w:sz w:val="16"/>
        </w:rPr>
        <w:sectPr>
          <w:type w:val="continuous"/>
          <w:pgSz w:w="11910" w:h="16840"/>
          <w:pgMar w:header="468" w:footer="0" w:top="980" w:bottom="280" w:left="920" w:right="0"/>
        </w:sectPr>
      </w:pPr>
    </w:p>
    <w:p>
      <w:pPr>
        <w:pStyle w:val="BodyText"/>
        <w:spacing w:before="76"/>
        <w:rPr>
          <w:rFonts w:ascii="TT Norms Pro"/>
          <w:b/>
          <w:sz w:val="14"/>
        </w:rPr>
      </w:pPr>
    </w:p>
    <w:p>
      <w:pPr>
        <w:spacing w:line="292" w:lineRule="auto" w:before="1"/>
        <w:ind w:left="293" w:right="38" w:firstLine="0"/>
        <w:jc w:val="left"/>
        <w:rPr>
          <w:rFonts w:ascii="TT Norms Pro" w:hAnsi="TT Norms Pro"/>
          <w:b/>
          <w:sz w:val="14"/>
        </w:rPr>
      </w:pPr>
      <w:r>
        <w:rPr>
          <w:rFonts w:ascii="TT Norms Pro" w:hAnsi="TT Norms Pro"/>
          <w:b/>
          <w:spacing w:val="-2"/>
          <w:sz w:val="14"/>
        </w:rPr>
        <w:t>INCIDENTS,</w:t>
      </w:r>
      <w:r>
        <w:rPr>
          <w:rFonts w:ascii="TT Norms Pro" w:hAnsi="TT Norms Pro"/>
          <w:b/>
          <w:spacing w:val="40"/>
          <w:sz w:val="14"/>
        </w:rPr>
        <w:t> </w:t>
      </w:r>
      <w:r>
        <w:rPr>
          <w:rFonts w:ascii="TT Norms Pro" w:hAnsi="TT Norms Pro"/>
          <w:b/>
          <w:sz w:val="14"/>
        </w:rPr>
        <w:t>INJURIES</w:t>
      </w:r>
      <w:r>
        <w:rPr>
          <w:rFonts w:ascii="TT Norms Pro" w:hAnsi="TT Norms Pro"/>
          <w:b/>
          <w:spacing w:val="-8"/>
          <w:sz w:val="14"/>
        </w:rPr>
        <w:t> </w:t>
      </w:r>
      <w:r>
        <w:rPr>
          <w:rFonts w:ascii="TT Norms Pro" w:hAnsi="TT Norms Pro"/>
          <w:b/>
          <w:sz w:val="14"/>
        </w:rPr>
        <w:t>AND</w:t>
      </w:r>
      <w:r>
        <w:rPr>
          <w:rFonts w:ascii="TT Norms Pro" w:hAnsi="TT Norms Pro"/>
          <w:b/>
          <w:spacing w:val="40"/>
          <w:sz w:val="14"/>
        </w:rPr>
        <w:t> </w:t>
      </w:r>
      <w:r>
        <w:rPr>
          <w:rFonts w:ascii="TT Norms Pro" w:hAnsi="TT Norms Pro"/>
          <w:b/>
          <w:spacing w:val="-2"/>
          <w:sz w:val="14"/>
        </w:rPr>
        <w:t>WORKERS’</w:t>
      </w:r>
      <w:r>
        <w:rPr>
          <w:rFonts w:ascii="TT Norms Pro" w:hAnsi="TT Norms Pro"/>
          <w:b/>
          <w:spacing w:val="40"/>
          <w:sz w:val="14"/>
        </w:rPr>
        <w:t> </w:t>
      </w:r>
      <w:r>
        <w:rPr>
          <w:rFonts w:ascii="TT Norms Pro" w:hAnsi="TT Norms Pro"/>
          <w:b/>
          <w:spacing w:val="-2"/>
          <w:sz w:val="14"/>
        </w:rPr>
        <w:t>COMPENSATION</w:t>
      </w:r>
    </w:p>
    <w:p>
      <w:pPr>
        <w:spacing w:line="240" w:lineRule="auto" w:before="76"/>
        <w:rPr>
          <w:rFonts w:ascii="TT Norms Pro"/>
          <w:b/>
          <w:sz w:val="14"/>
        </w:rPr>
      </w:pPr>
      <w:r>
        <w:rPr/>
        <w:br w:type="column"/>
      </w:r>
      <w:r>
        <w:rPr>
          <w:rFonts w:ascii="TT Norms Pro"/>
          <w:b/>
          <w:sz w:val="14"/>
        </w:rPr>
      </w:r>
    </w:p>
    <w:p>
      <w:pPr>
        <w:tabs>
          <w:tab w:pos="895" w:val="left" w:leader="none"/>
        </w:tabs>
        <w:spacing w:before="1"/>
        <w:ind w:left="293" w:right="0" w:firstLine="0"/>
        <w:jc w:val="left"/>
        <w:rPr>
          <w:rFonts w:ascii="TT Norms Pro"/>
          <w:b/>
          <w:sz w:val="14"/>
        </w:rPr>
      </w:pPr>
      <w:r>
        <w:rPr>
          <w:rFonts w:ascii="TT Norms Pro"/>
          <w:b/>
          <w:spacing w:val="-4"/>
          <w:sz w:val="14"/>
        </w:rPr>
        <w:t>2019</w:t>
      </w:r>
      <w:r>
        <w:rPr>
          <w:rFonts w:ascii="TT Norms Pro"/>
          <w:b/>
          <w:sz w:val="14"/>
        </w:rPr>
        <w:tab/>
      </w:r>
      <w:r>
        <w:rPr>
          <w:rFonts w:ascii="TT Norms Pro"/>
          <w:b/>
          <w:spacing w:val="-4"/>
          <w:sz w:val="14"/>
        </w:rPr>
        <w:t>2020</w:t>
      </w:r>
    </w:p>
    <w:p>
      <w:pPr>
        <w:spacing w:line="240" w:lineRule="auto" w:before="53"/>
        <w:rPr>
          <w:rFonts w:ascii="TT Norms Pro"/>
          <w:b/>
          <w:sz w:val="14"/>
        </w:rPr>
      </w:pPr>
      <w:r>
        <w:rPr/>
        <w:br w:type="column"/>
      </w:r>
      <w:r>
        <w:rPr>
          <w:rFonts w:ascii="TT Norms Pro"/>
          <w:b/>
          <w:sz w:val="14"/>
        </w:rPr>
      </w:r>
    </w:p>
    <w:p>
      <w:pPr>
        <w:tabs>
          <w:tab w:pos="2629" w:val="left" w:leader="none"/>
        </w:tabs>
        <w:spacing w:before="0"/>
        <w:ind w:left="293" w:right="0" w:firstLine="0"/>
        <w:jc w:val="left"/>
        <w:rPr>
          <w:rFonts w:ascii="TT Norms Pro"/>
          <w:b/>
          <w:sz w:val="14"/>
        </w:rPr>
      </w:pPr>
      <w:r>
        <w:rPr>
          <w:rFonts w:ascii="TT Norms Pro"/>
          <w:b/>
          <w:spacing w:val="-2"/>
          <w:sz w:val="14"/>
        </w:rPr>
        <w:t>MEASURES</w:t>
      </w:r>
      <w:r>
        <w:rPr>
          <w:rFonts w:ascii="TT Norms Pro"/>
          <w:b/>
          <w:sz w:val="14"/>
        </w:rPr>
        <w:tab/>
      </w:r>
      <w:r>
        <w:rPr>
          <w:rFonts w:ascii="TT Norms Pro"/>
          <w:b/>
          <w:spacing w:val="-2"/>
          <w:sz w:val="14"/>
        </w:rPr>
        <w:t>RESULTS</w:t>
      </w:r>
    </w:p>
    <w:p>
      <w:pPr>
        <w:spacing w:before="36"/>
        <w:ind w:left="0" w:right="0" w:firstLine="0"/>
        <w:jc w:val="right"/>
        <w:rPr>
          <w:rFonts w:ascii="TT Norms Pro"/>
          <w:b/>
          <w:sz w:val="14"/>
        </w:rPr>
      </w:pPr>
      <w:r>
        <w:rPr>
          <w:rFonts w:ascii="TT Norms Pro"/>
          <w:b/>
          <w:spacing w:val="-4"/>
          <w:sz w:val="14"/>
        </w:rPr>
        <w:t>2019</w:t>
      </w:r>
    </w:p>
    <w:p>
      <w:pPr>
        <w:spacing w:line="240" w:lineRule="auto" w:before="53"/>
        <w:rPr>
          <w:rFonts w:ascii="TT Norms Pro"/>
          <w:b/>
          <w:sz w:val="14"/>
        </w:rPr>
      </w:pPr>
      <w:r>
        <w:rPr/>
        <w:br w:type="column"/>
      </w:r>
      <w:r>
        <w:rPr>
          <w:rFonts w:ascii="TT Norms Pro"/>
          <w:b/>
          <w:sz w:val="14"/>
        </w:rPr>
      </w:r>
    </w:p>
    <w:p>
      <w:pPr>
        <w:spacing w:before="0"/>
        <w:ind w:left="252" w:right="0" w:firstLine="0"/>
        <w:jc w:val="left"/>
        <w:rPr>
          <w:rFonts w:ascii="TT Norms Pro"/>
          <w:b/>
          <w:sz w:val="14"/>
        </w:rPr>
      </w:pPr>
      <w:r>
        <w:rPr>
          <w:rFonts w:ascii="TT Norms Pro"/>
          <w:b/>
          <w:spacing w:val="-2"/>
          <w:sz w:val="14"/>
        </w:rPr>
        <w:t>RESULTS</w:t>
      </w:r>
    </w:p>
    <w:p>
      <w:pPr>
        <w:spacing w:before="36"/>
        <w:ind w:left="539" w:right="0" w:firstLine="0"/>
        <w:jc w:val="left"/>
        <w:rPr>
          <w:rFonts w:ascii="TT Norms Pro"/>
          <w:b/>
          <w:sz w:val="14"/>
        </w:rPr>
      </w:pPr>
      <w:r>
        <w:rPr>
          <w:rFonts w:ascii="TT Norms Pro"/>
          <w:b/>
          <w:spacing w:val="-4"/>
          <w:sz w:val="14"/>
        </w:rPr>
        <w:t>2020</w:t>
      </w:r>
    </w:p>
    <w:p>
      <w:pPr>
        <w:spacing w:line="240" w:lineRule="auto" w:before="53"/>
        <w:rPr>
          <w:rFonts w:ascii="TT Norms Pro"/>
          <w:b/>
          <w:sz w:val="14"/>
        </w:rPr>
      </w:pPr>
      <w:r>
        <w:rPr/>
        <w:br w:type="column"/>
      </w:r>
      <w:r>
        <w:rPr>
          <w:rFonts w:ascii="TT Norms Pro"/>
          <w:b/>
          <w:sz w:val="14"/>
        </w:rPr>
      </w:r>
    </w:p>
    <w:p>
      <w:pPr>
        <w:tabs>
          <w:tab w:pos="1262" w:val="left" w:leader="none"/>
        </w:tabs>
        <w:spacing w:before="0"/>
        <w:ind w:left="293" w:right="0" w:firstLine="0"/>
        <w:jc w:val="left"/>
        <w:rPr>
          <w:rFonts w:ascii="TT Norms Pro"/>
          <w:b/>
          <w:sz w:val="14"/>
        </w:rPr>
      </w:pPr>
      <w:r>
        <w:rPr>
          <w:rFonts w:ascii="TT Norms Pro"/>
          <w:b/>
          <w:spacing w:val="-2"/>
          <w:sz w:val="14"/>
        </w:rPr>
        <w:t>TARGETS</w:t>
      </w:r>
      <w:r>
        <w:rPr>
          <w:rFonts w:ascii="TT Norms Pro"/>
          <w:b/>
          <w:sz w:val="14"/>
        </w:rPr>
        <w:tab/>
      </w:r>
      <w:r>
        <w:rPr>
          <w:rFonts w:ascii="TT Norms Pro"/>
          <w:b/>
          <w:spacing w:val="-2"/>
          <w:sz w:val="14"/>
        </w:rPr>
        <w:t>COMMENTS</w:t>
      </w:r>
    </w:p>
    <w:p>
      <w:pPr>
        <w:spacing w:after="0"/>
        <w:jc w:val="left"/>
        <w:rPr>
          <w:rFonts w:ascii="TT Norms Pro"/>
          <w:sz w:val="14"/>
        </w:rPr>
        <w:sectPr>
          <w:type w:val="continuous"/>
          <w:pgSz w:w="11910" w:h="16840"/>
          <w:pgMar w:header="468" w:footer="0" w:top="980" w:bottom="280" w:left="920" w:right="0"/>
          <w:cols w:num="5" w:equalWidth="0">
            <w:col w:w="1557" w:space="268"/>
            <w:col w:w="1290" w:space="207"/>
            <w:col w:w="3273" w:space="39"/>
            <w:col w:w="934" w:space="81"/>
            <w:col w:w="3341"/>
          </w:cols>
        </w:sectPr>
      </w:pPr>
    </w:p>
    <w:p>
      <w:pPr>
        <w:tabs>
          <w:tab w:pos="3558" w:val="left" w:leader="none"/>
        </w:tabs>
        <w:spacing w:line="240" w:lineRule="auto"/>
        <w:ind w:left="213" w:right="0" w:firstLine="0"/>
        <w:rPr>
          <w:rFonts w:ascii="TT Norms Pro"/>
          <w:sz w:val="20"/>
        </w:rPr>
      </w:pPr>
      <w:r>
        <w:rPr>
          <w:rFonts w:ascii="TT Norms Pro"/>
          <w:position w:val="121"/>
          <w:sz w:val="20"/>
        </w:rPr>
        <mc:AlternateContent>
          <mc:Choice Requires="wps">
            <w:drawing>
              <wp:inline distT="0" distB="0" distL="0" distR="0">
                <wp:extent cx="1867535" cy="1370965"/>
                <wp:effectExtent l="0" t="0" r="0" b="0"/>
                <wp:docPr id="851" name="Textbox 851"/>
                <wp:cNvGraphicFramePr>
                  <a:graphicFrameLocks/>
                </wp:cNvGraphicFramePr>
                <a:graphic>
                  <a:graphicData uri="http://schemas.microsoft.com/office/word/2010/wordprocessingShape">
                    <wps:wsp>
                      <wps:cNvPr id="851" name="Textbox 851"/>
                      <wps:cNvSpPr txBox="1"/>
                      <wps:spPr>
                        <a:xfrm>
                          <a:off x="0" y="0"/>
                          <a:ext cx="1867535" cy="1370965"/>
                        </a:xfrm>
                        <a:prstGeom prst="rect">
                          <a:avLst/>
                        </a:prstGeom>
                      </wps:spPr>
                      <wps:txbx>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72"/>
                              <w:gridCol w:w="634"/>
                              <w:gridCol w:w="634"/>
                            </w:tblGrid>
                            <w:tr>
                              <w:trPr>
                                <w:trHeight w:val="671" w:hRule="atLeast"/>
                              </w:trPr>
                              <w:tc>
                                <w:tcPr>
                                  <w:tcW w:w="1672" w:type="dxa"/>
                                  <w:tcBorders>
                                    <w:top w:val="single" w:sz="4" w:space="0" w:color="000000"/>
                                    <w:bottom w:val="single" w:sz="2" w:space="0" w:color="000000"/>
                                  </w:tcBorders>
                                  <w:shd w:val="clear" w:color="auto" w:fill="E6E7E8"/>
                                </w:tcPr>
                                <w:p>
                                  <w:pPr>
                                    <w:pStyle w:val="TableParagraph"/>
                                    <w:spacing w:line="200" w:lineRule="atLeast" w:before="25"/>
                                    <w:ind w:left="79" w:right="117"/>
                                    <w:rPr>
                                      <w:rFonts w:ascii="TT Norms Pro Light"/>
                                      <w:b w:val="0"/>
                                      <w:sz w:val="14"/>
                                    </w:rPr>
                                  </w:pPr>
                                  <w:r>
                                    <w:rPr>
                                      <w:rFonts w:ascii="TT Norms Pro Light"/>
                                      <w:b w:val="0"/>
                                      <w:sz w:val="14"/>
                                    </w:rPr>
                                    <w:t>Incidents</w:t>
                                  </w:r>
                                  <w:r>
                                    <w:rPr>
                                      <w:rFonts w:ascii="TT Norms Pro Light"/>
                                      <w:b w:val="0"/>
                                      <w:spacing w:val="-9"/>
                                      <w:sz w:val="14"/>
                                    </w:rPr>
                                    <w:t> </w:t>
                                  </w:r>
                                  <w:r>
                                    <w:rPr>
                                      <w:rFonts w:ascii="TT Norms Pro Light"/>
                                      <w:b w:val="0"/>
                                      <w:sz w:val="14"/>
                                    </w:rPr>
                                    <w:t>(staff,</w:t>
                                  </w:r>
                                  <w:r>
                                    <w:rPr>
                                      <w:rFonts w:ascii="TT Norms Pro Light"/>
                                      <w:b w:val="0"/>
                                      <w:spacing w:val="40"/>
                                      <w:sz w:val="14"/>
                                    </w:rPr>
                                    <w:t> </w:t>
                                  </w:r>
                                  <w:r>
                                    <w:rPr>
                                      <w:rFonts w:ascii="TT Norms Pro Light"/>
                                      <w:b w:val="0"/>
                                      <w:sz w:val="14"/>
                                    </w:rPr>
                                    <w:t>students,</w:t>
                                  </w:r>
                                  <w:r>
                                    <w:rPr>
                                      <w:rFonts w:ascii="TT Norms Pro Light"/>
                                      <w:b w:val="0"/>
                                      <w:spacing w:val="-7"/>
                                      <w:sz w:val="14"/>
                                    </w:rPr>
                                    <w:t> </w:t>
                                  </w:r>
                                  <w:r>
                                    <w:rPr>
                                      <w:rFonts w:ascii="TT Norms Pro Light"/>
                                      <w:b w:val="0"/>
                                      <w:sz w:val="14"/>
                                    </w:rPr>
                                    <w:t>contractors,</w:t>
                                  </w:r>
                                  <w:r>
                                    <w:rPr>
                                      <w:rFonts w:ascii="TT Norms Pro Light"/>
                                      <w:b w:val="0"/>
                                      <w:spacing w:val="40"/>
                                      <w:sz w:val="14"/>
                                    </w:rPr>
                                    <w:t> </w:t>
                                  </w:r>
                                  <w:r>
                                    <w:rPr>
                                      <w:rFonts w:ascii="TT Norms Pro Light"/>
                                      <w:b w:val="0"/>
                                      <w:spacing w:val="-2"/>
                                      <w:sz w:val="14"/>
                                    </w:rPr>
                                    <w:t>visitors)</w:t>
                                  </w:r>
                                </w:p>
                              </w:tc>
                              <w:tc>
                                <w:tcPr>
                                  <w:tcW w:w="634" w:type="dxa"/>
                                  <w:tcBorders>
                                    <w:top w:val="single" w:sz="4" w:space="0" w:color="000000"/>
                                    <w:bottom w:val="single" w:sz="2" w:space="0" w:color="000000"/>
                                  </w:tcBorders>
                                </w:tcPr>
                                <w:p>
                                  <w:pPr>
                                    <w:pStyle w:val="TableParagraph"/>
                                    <w:spacing w:before="61"/>
                                    <w:ind w:right="71"/>
                                    <w:jc w:val="right"/>
                                    <w:rPr>
                                      <w:rFonts w:ascii="TT Norms Pro Light"/>
                                      <w:b w:val="0"/>
                                      <w:sz w:val="14"/>
                                    </w:rPr>
                                  </w:pPr>
                                  <w:r>
                                    <w:rPr>
                                      <w:rFonts w:ascii="TT Norms Pro Light"/>
                                      <w:b w:val="0"/>
                                      <w:spacing w:val="-5"/>
                                      <w:sz w:val="14"/>
                                    </w:rPr>
                                    <w:t>305</w:t>
                                  </w:r>
                                </w:p>
                              </w:tc>
                              <w:tc>
                                <w:tcPr>
                                  <w:tcW w:w="634" w:type="dxa"/>
                                  <w:tcBorders>
                                    <w:top w:val="single" w:sz="4" w:space="0" w:color="000000"/>
                                    <w:bottom w:val="single" w:sz="2" w:space="0" w:color="000000"/>
                                  </w:tcBorders>
                                  <w:shd w:val="clear" w:color="auto" w:fill="E6E7E8"/>
                                </w:tcPr>
                                <w:p>
                                  <w:pPr>
                                    <w:pStyle w:val="TableParagraph"/>
                                    <w:spacing w:before="61"/>
                                    <w:ind w:right="75"/>
                                    <w:jc w:val="right"/>
                                    <w:rPr>
                                      <w:rFonts w:ascii="TT Norms Pro Light"/>
                                      <w:b w:val="0"/>
                                      <w:sz w:val="14"/>
                                    </w:rPr>
                                  </w:pPr>
                                  <w:r>
                                    <w:rPr>
                                      <w:rFonts w:ascii="TT Norms Pro Light"/>
                                      <w:b w:val="0"/>
                                      <w:spacing w:val="-5"/>
                                      <w:sz w:val="14"/>
                                    </w:rPr>
                                    <w:t>212</w:t>
                                  </w:r>
                                </w:p>
                              </w:tc>
                            </w:tr>
                            <w:tr>
                              <w:trPr>
                                <w:trHeight w:val="673" w:hRule="atLeast"/>
                              </w:trPr>
                              <w:tc>
                                <w:tcPr>
                                  <w:tcW w:w="1672" w:type="dxa"/>
                                  <w:tcBorders>
                                    <w:top w:val="single" w:sz="2" w:space="0" w:color="000000"/>
                                    <w:bottom w:val="single" w:sz="2" w:space="0" w:color="000000"/>
                                  </w:tcBorders>
                                  <w:shd w:val="clear" w:color="auto" w:fill="E6E7E8"/>
                                </w:tcPr>
                                <w:p>
                                  <w:pPr>
                                    <w:pStyle w:val="TableParagraph"/>
                                    <w:spacing w:line="292" w:lineRule="auto" w:before="63"/>
                                    <w:ind w:left="79" w:right="117"/>
                                    <w:rPr>
                                      <w:rFonts w:ascii="TT Norms Pro Light" w:hAnsi="TT Norms Pro Light"/>
                                      <w:b w:val="0"/>
                                      <w:sz w:val="14"/>
                                    </w:rPr>
                                  </w:pPr>
                                  <w:r>
                                    <w:rPr>
                                      <w:rFonts w:ascii="TT Norms Pro Light" w:hAnsi="TT Norms Pro Light"/>
                                      <w:b w:val="0"/>
                                      <w:sz w:val="14"/>
                                    </w:rPr>
                                    <w:t>Accepted</w:t>
                                  </w:r>
                                  <w:r>
                                    <w:rPr>
                                      <w:rFonts w:ascii="TT Norms Pro Light" w:hAnsi="TT Norms Pro Light"/>
                                      <w:b w:val="0"/>
                                      <w:spacing w:val="-7"/>
                                      <w:sz w:val="14"/>
                                    </w:rPr>
                                    <w:t> </w:t>
                                  </w:r>
                                  <w:r>
                                    <w:rPr>
                                      <w:rFonts w:ascii="TT Norms Pro Light" w:hAnsi="TT Norms Pro Light"/>
                                      <w:b w:val="0"/>
                                      <w:sz w:val="14"/>
                                    </w:rPr>
                                    <w:t>workers’</w:t>
                                  </w:r>
                                  <w:r>
                                    <w:rPr>
                                      <w:rFonts w:ascii="TT Norms Pro Light" w:hAnsi="TT Norms Pro Light"/>
                                      <w:b w:val="0"/>
                                      <w:spacing w:val="40"/>
                                      <w:sz w:val="14"/>
                                    </w:rPr>
                                    <w:t> </w:t>
                                  </w:r>
                                  <w:r>
                                    <w:rPr>
                                      <w:rFonts w:ascii="TT Norms Pro Light" w:hAnsi="TT Norms Pro Light"/>
                                      <w:b w:val="0"/>
                                      <w:sz w:val="14"/>
                                    </w:rPr>
                                    <w:t>compensation</w:t>
                                  </w:r>
                                  <w:r>
                                    <w:rPr>
                                      <w:rFonts w:ascii="TT Norms Pro Light" w:hAnsi="TT Norms Pro Light"/>
                                      <w:b w:val="0"/>
                                      <w:spacing w:val="-7"/>
                                      <w:sz w:val="14"/>
                                    </w:rPr>
                                    <w:t> </w:t>
                                  </w:r>
                                  <w:r>
                                    <w:rPr>
                                      <w:rFonts w:ascii="TT Norms Pro Light" w:hAnsi="TT Norms Pro Light"/>
                                      <w:b w:val="0"/>
                                      <w:sz w:val="14"/>
                                    </w:rPr>
                                    <w:t>claims</w:t>
                                  </w:r>
                                </w:p>
                              </w:tc>
                              <w:tc>
                                <w:tcPr>
                                  <w:tcW w:w="634" w:type="dxa"/>
                                  <w:tcBorders>
                                    <w:top w:val="single" w:sz="2" w:space="0" w:color="000000"/>
                                    <w:bottom w:val="single" w:sz="2" w:space="0" w:color="000000"/>
                                  </w:tcBorders>
                                </w:tcPr>
                                <w:p>
                                  <w:pPr>
                                    <w:pStyle w:val="TableParagraph"/>
                                    <w:spacing w:before="63"/>
                                    <w:ind w:right="74"/>
                                    <w:jc w:val="right"/>
                                    <w:rPr>
                                      <w:rFonts w:ascii="TT Norms Pro Light"/>
                                      <w:b w:val="0"/>
                                      <w:sz w:val="14"/>
                                    </w:rPr>
                                  </w:pPr>
                                  <w:r>
                                    <w:rPr>
                                      <w:rFonts w:ascii="TT Norms Pro Light"/>
                                      <w:b w:val="0"/>
                                      <w:spacing w:val="-5"/>
                                      <w:sz w:val="14"/>
                                    </w:rPr>
                                    <w:t>31</w:t>
                                  </w:r>
                                </w:p>
                              </w:tc>
                              <w:tc>
                                <w:tcPr>
                                  <w:tcW w:w="634" w:type="dxa"/>
                                  <w:tcBorders>
                                    <w:top w:val="single" w:sz="2" w:space="0" w:color="000000"/>
                                    <w:bottom w:val="single" w:sz="2" w:space="0" w:color="000000"/>
                                  </w:tcBorders>
                                  <w:shd w:val="clear" w:color="auto" w:fill="E6E7E8"/>
                                </w:tcPr>
                                <w:p>
                                  <w:pPr>
                                    <w:pStyle w:val="TableParagraph"/>
                                    <w:spacing w:before="63"/>
                                    <w:ind w:right="76"/>
                                    <w:jc w:val="right"/>
                                    <w:rPr>
                                      <w:rFonts w:ascii="TT Norms Pro Light"/>
                                      <w:b w:val="0"/>
                                      <w:sz w:val="14"/>
                                    </w:rPr>
                                  </w:pPr>
                                  <w:r>
                                    <w:rPr>
                                      <w:rFonts w:ascii="TT Norms Pro Light"/>
                                      <w:b w:val="0"/>
                                      <w:spacing w:val="-5"/>
                                      <w:sz w:val="14"/>
                                    </w:rPr>
                                    <w:t>13</w:t>
                                  </w:r>
                                </w:p>
                              </w:tc>
                            </w:tr>
                            <w:tr>
                              <w:trPr>
                                <w:trHeight w:val="390" w:hRule="atLeast"/>
                              </w:trPr>
                              <w:tc>
                                <w:tcPr>
                                  <w:tcW w:w="1672" w:type="dxa"/>
                                  <w:tcBorders>
                                    <w:top w:val="single" w:sz="2" w:space="0" w:color="000000"/>
                                    <w:bottom w:val="single" w:sz="2" w:space="0" w:color="000000"/>
                                  </w:tcBorders>
                                  <w:shd w:val="clear" w:color="auto" w:fill="E6E7E8"/>
                                </w:tcPr>
                                <w:p>
                                  <w:pPr>
                                    <w:pStyle w:val="TableParagraph"/>
                                    <w:spacing w:before="63"/>
                                    <w:ind w:left="79"/>
                                    <w:rPr>
                                      <w:rFonts w:ascii="TT Norms Pro Light"/>
                                      <w:b w:val="0"/>
                                      <w:sz w:val="14"/>
                                    </w:rPr>
                                  </w:pPr>
                                  <w:r>
                                    <w:rPr>
                                      <w:rFonts w:ascii="TT Norms Pro Light"/>
                                      <w:b w:val="0"/>
                                      <w:sz w:val="14"/>
                                    </w:rPr>
                                    <w:t>Lost</w:t>
                                  </w:r>
                                  <w:r>
                                    <w:rPr>
                                      <w:rFonts w:ascii="TT Norms Pro Light"/>
                                      <w:b w:val="0"/>
                                      <w:spacing w:val="5"/>
                                      <w:sz w:val="14"/>
                                    </w:rPr>
                                    <w:t> </w:t>
                                  </w:r>
                                  <w:r>
                                    <w:rPr>
                                      <w:rFonts w:ascii="TT Norms Pro Light"/>
                                      <w:b w:val="0"/>
                                      <w:sz w:val="14"/>
                                    </w:rPr>
                                    <w:t>time</w:t>
                                  </w:r>
                                  <w:r>
                                    <w:rPr>
                                      <w:rFonts w:ascii="TT Norms Pro Light"/>
                                      <w:b w:val="0"/>
                                      <w:spacing w:val="6"/>
                                      <w:sz w:val="14"/>
                                    </w:rPr>
                                    <w:t> </w:t>
                                  </w:r>
                                  <w:r>
                                    <w:rPr>
                                      <w:rFonts w:ascii="TT Norms Pro Light"/>
                                      <w:b w:val="0"/>
                                      <w:spacing w:val="-2"/>
                                      <w:sz w:val="14"/>
                                    </w:rPr>
                                    <w:t>injuries</w:t>
                                  </w:r>
                                </w:p>
                              </w:tc>
                              <w:tc>
                                <w:tcPr>
                                  <w:tcW w:w="634" w:type="dxa"/>
                                  <w:tcBorders>
                                    <w:top w:val="single" w:sz="2" w:space="0" w:color="000000"/>
                                    <w:bottom w:val="single" w:sz="2" w:space="0" w:color="000000"/>
                                  </w:tcBorders>
                                </w:tcPr>
                                <w:p>
                                  <w:pPr>
                                    <w:pStyle w:val="TableParagraph"/>
                                    <w:spacing w:before="63"/>
                                    <w:ind w:right="77"/>
                                    <w:jc w:val="right"/>
                                    <w:rPr>
                                      <w:rFonts w:ascii="TT Norms Pro Light"/>
                                      <w:b w:val="0"/>
                                      <w:sz w:val="14"/>
                                    </w:rPr>
                                  </w:pPr>
                                  <w:r>
                                    <w:rPr>
                                      <w:rFonts w:ascii="TT Norms Pro Light"/>
                                      <w:b w:val="0"/>
                                      <w:spacing w:val="-5"/>
                                      <w:sz w:val="14"/>
                                    </w:rPr>
                                    <w:t>20</w:t>
                                  </w:r>
                                </w:p>
                              </w:tc>
                              <w:tc>
                                <w:tcPr>
                                  <w:tcW w:w="634" w:type="dxa"/>
                                  <w:tcBorders>
                                    <w:top w:val="single" w:sz="2" w:space="0" w:color="000000"/>
                                    <w:bottom w:val="single" w:sz="2" w:space="0" w:color="000000"/>
                                  </w:tcBorders>
                                  <w:shd w:val="clear" w:color="auto" w:fill="E6E7E8"/>
                                </w:tcPr>
                                <w:p>
                                  <w:pPr>
                                    <w:pStyle w:val="TableParagraph"/>
                                    <w:spacing w:before="63"/>
                                    <w:ind w:right="77"/>
                                    <w:jc w:val="right"/>
                                    <w:rPr>
                                      <w:rFonts w:ascii="TT Norms Pro Light"/>
                                      <w:b w:val="0"/>
                                      <w:sz w:val="14"/>
                                    </w:rPr>
                                  </w:pPr>
                                  <w:r>
                                    <w:rPr>
                                      <w:rFonts w:ascii="TT Norms Pro Light"/>
                                      <w:b w:val="0"/>
                                      <w:spacing w:val="-10"/>
                                      <w:sz w:val="14"/>
                                    </w:rPr>
                                    <w:t>6</w:t>
                                  </w:r>
                                </w:p>
                              </w:tc>
                            </w:tr>
                            <w:tr>
                              <w:trPr>
                                <w:trHeight w:val="390" w:hRule="atLeast"/>
                              </w:trPr>
                              <w:tc>
                                <w:tcPr>
                                  <w:tcW w:w="1672" w:type="dxa"/>
                                  <w:tcBorders>
                                    <w:top w:val="single" w:sz="2" w:space="0" w:color="000000"/>
                                    <w:bottom w:val="single" w:sz="2" w:space="0" w:color="000000"/>
                                  </w:tcBorders>
                                  <w:shd w:val="clear" w:color="auto" w:fill="E6E7E8"/>
                                </w:tcPr>
                                <w:p>
                                  <w:pPr>
                                    <w:pStyle w:val="TableParagraph"/>
                                    <w:spacing w:before="63"/>
                                    <w:ind w:left="79"/>
                                    <w:rPr>
                                      <w:rFonts w:ascii="TT Norms Pro Light"/>
                                      <w:b w:val="0"/>
                                      <w:sz w:val="14"/>
                                    </w:rPr>
                                  </w:pPr>
                                  <w:r>
                                    <w:rPr>
                                      <w:rFonts w:ascii="TT Norms Pro Light"/>
                                      <w:b w:val="0"/>
                                      <w:sz w:val="14"/>
                                    </w:rPr>
                                    <w:t>Lost</w:t>
                                  </w:r>
                                  <w:r>
                                    <w:rPr>
                                      <w:rFonts w:ascii="TT Norms Pro Light"/>
                                      <w:b w:val="0"/>
                                      <w:spacing w:val="5"/>
                                      <w:sz w:val="14"/>
                                    </w:rPr>
                                    <w:t> </w:t>
                                  </w:r>
                                  <w:r>
                                    <w:rPr>
                                      <w:rFonts w:ascii="TT Norms Pro Light"/>
                                      <w:b w:val="0"/>
                                      <w:sz w:val="14"/>
                                    </w:rPr>
                                    <w:t>time</w:t>
                                  </w:r>
                                  <w:r>
                                    <w:rPr>
                                      <w:rFonts w:ascii="TT Norms Pro Light"/>
                                      <w:b w:val="0"/>
                                      <w:spacing w:val="6"/>
                                      <w:sz w:val="14"/>
                                    </w:rPr>
                                    <w:t> </w:t>
                                  </w:r>
                                  <w:r>
                                    <w:rPr>
                                      <w:rFonts w:ascii="TT Norms Pro Light"/>
                                      <w:b w:val="0"/>
                                      <w:spacing w:val="-4"/>
                                      <w:sz w:val="14"/>
                                    </w:rPr>
                                    <w:t>days</w:t>
                                  </w:r>
                                </w:p>
                              </w:tc>
                              <w:tc>
                                <w:tcPr>
                                  <w:tcW w:w="634" w:type="dxa"/>
                                  <w:tcBorders>
                                    <w:top w:val="single" w:sz="2" w:space="0" w:color="000000"/>
                                    <w:bottom w:val="single" w:sz="2" w:space="0" w:color="000000"/>
                                  </w:tcBorders>
                                </w:tcPr>
                                <w:p>
                                  <w:pPr>
                                    <w:pStyle w:val="TableParagraph"/>
                                    <w:spacing w:before="63"/>
                                    <w:ind w:right="75"/>
                                    <w:jc w:val="right"/>
                                    <w:rPr>
                                      <w:rFonts w:ascii="TT Norms Pro Light"/>
                                      <w:b w:val="0"/>
                                      <w:sz w:val="14"/>
                                    </w:rPr>
                                  </w:pPr>
                                  <w:r>
                                    <w:rPr>
                                      <w:rFonts w:ascii="TT Norms Pro Light"/>
                                      <w:b w:val="0"/>
                                      <w:spacing w:val="-5"/>
                                      <w:sz w:val="14"/>
                                    </w:rPr>
                                    <w:t>214</w:t>
                                  </w:r>
                                </w:p>
                              </w:tc>
                              <w:tc>
                                <w:tcPr>
                                  <w:tcW w:w="634" w:type="dxa"/>
                                  <w:tcBorders>
                                    <w:top w:val="single" w:sz="2" w:space="0" w:color="000000"/>
                                    <w:bottom w:val="single" w:sz="2" w:space="0" w:color="000000"/>
                                  </w:tcBorders>
                                  <w:shd w:val="clear" w:color="auto" w:fill="E6E7E8"/>
                                </w:tcPr>
                                <w:p>
                                  <w:pPr>
                                    <w:pStyle w:val="TableParagraph"/>
                                    <w:spacing w:before="63"/>
                                    <w:ind w:right="75"/>
                                    <w:jc w:val="right"/>
                                    <w:rPr>
                                      <w:rFonts w:ascii="TT Norms Pro Light"/>
                                      <w:b w:val="0"/>
                                      <w:sz w:val="14"/>
                                    </w:rPr>
                                  </w:pPr>
                                  <w:r>
                                    <w:rPr>
                                      <w:rFonts w:ascii="TT Norms Pro Light"/>
                                      <w:b w:val="0"/>
                                      <w:spacing w:val="-5"/>
                                      <w:sz w:val="14"/>
                                    </w:rPr>
                                    <w:t>39</w:t>
                                  </w:r>
                                </w:p>
                              </w:tc>
                            </w:tr>
                          </w:tbl>
                          <w:p>
                            <w:pPr>
                              <w:pStyle w:val="BodyText"/>
                            </w:pPr>
                          </w:p>
                        </w:txbxContent>
                      </wps:txbx>
                      <wps:bodyPr wrap="square" lIns="0" tIns="0" rIns="0" bIns="0" rtlCol="0">
                        <a:noAutofit/>
                      </wps:bodyPr>
                    </wps:wsp>
                  </a:graphicData>
                </a:graphic>
              </wp:inline>
            </w:drawing>
          </mc:Choice>
          <mc:Fallback>
            <w:pict>
              <v:shape style="width:147.050pt;height:107.95pt;mso-position-horizontal-relative:char;mso-position-vertical-relative:line" type="#_x0000_t202" id="docshape548"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72"/>
                        <w:gridCol w:w="634"/>
                        <w:gridCol w:w="634"/>
                      </w:tblGrid>
                      <w:tr>
                        <w:trPr>
                          <w:trHeight w:val="671" w:hRule="atLeast"/>
                        </w:trPr>
                        <w:tc>
                          <w:tcPr>
                            <w:tcW w:w="1672" w:type="dxa"/>
                            <w:tcBorders>
                              <w:top w:val="single" w:sz="4" w:space="0" w:color="000000"/>
                              <w:bottom w:val="single" w:sz="2" w:space="0" w:color="000000"/>
                            </w:tcBorders>
                            <w:shd w:val="clear" w:color="auto" w:fill="E6E7E8"/>
                          </w:tcPr>
                          <w:p>
                            <w:pPr>
                              <w:pStyle w:val="TableParagraph"/>
                              <w:spacing w:line="200" w:lineRule="atLeast" w:before="25"/>
                              <w:ind w:left="79" w:right="117"/>
                              <w:rPr>
                                <w:rFonts w:ascii="TT Norms Pro Light"/>
                                <w:b w:val="0"/>
                                <w:sz w:val="14"/>
                              </w:rPr>
                            </w:pPr>
                            <w:r>
                              <w:rPr>
                                <w:rFonts w:ascii="TT Norms Pro Light"/>
                                <w:b w:val="0"/>
                                <w:sz w:val="14"/>
                              </w:rPr>
                              <w:t>Incidents</w:t>
                            </w:r>
                            <w:r>
                              <w:rPr>
                                <w:rFonts w:ascii="TT Norms Pro Light"/>
                                <w:b w:val="0"/>
                                <w:spacing w:val="-9"/>
                                <w:sz w:val="14"/>
                              </w:rPr>
                              <w:t> </w:t>
                            </w:r>
                            <w:r>
                              <w:rPr>
                                <w:rFonts w:ascii="TT Norms Pro Light"/>
                                <w:b w:val="0"/>
                                <w:sz w:val="14"/>
                              </w:rPr>
                              <w:t>(staff,</w:t>
                            </w:r>
                            <w:r>
                              <w:rPr>
                                <w:rFonts w:ascii="TT Norms Pro Light"/>
                                <w:b w:val="0"/>
                                <w:spacing w:val="40"/>
                                <w:sz w:val="14"/>
                              </w:rPr>
                              <w:t> </w:t>
                            </w:r>
                            <w:r>
                              <w:rPr>
                                <w:rFonts w:ascii="TT Norms Pro Light"/>
                                <w:b w:val="0"/>
                                <w:sz w:val="14"/>
                              </w:rPr>
                              <w:t>students,</w:t>
                            </w:r>
                            <w:r>
                              <w:rPr>
                                <w:rFonts w:ascii="TT Norms Pro Light"/>
                                <w:b w:val="0"/>
                                <w:spacing w:val="-7"/>
                                <w:sz w:val="14"/>
                              </w:rPr>
                              <w:t> </w:t>
                            </w:r>
                            <w:r>
                              <w:rPr>
                                <w:rFonts w:ascii="TT Norms Pro Light"/>
                                <w:b w:val="0"/>
                                <w:sz w:val="14"/>
                              </w:rPr>
                              <w:t>contractors,</w:t>
                            </w:r>
                            <w:r>
                              <w:rPr>
                                <w:rFonts w:ascii="TT Norms Pro Light"/>
                                <w:b w:val="0"/>
                                <w:spacing w:val="40"/>
                                <w:sz w:val="14"/>
                              </w:rPr>
                              <w:t> </w:t>
                            </w:r>
                            <w:r>
                              <w:rPr>
                                <w:rFonts w:ascii="TT Norms Pro Light"/>
                                <w:b w:val="0"/>
                                <w:spacing w:val="-2"/>
                                <w:sz w:val="14"/>
                              </w:rPr>
                              <w:t>visitors)</w:t>
                            </w:r>
                          </w:p>
                        </w:tc>
                        <w:tc>
                          <w:tcPr>
                            <w:tcW w:w="634" w:type="dxa"/>
                            <w:tcBorders>
                              <w:top w:val="single" w:sz="4" w:space="0" w:color="000000"/>
                              <w:bottom w:val="single" w:sz="2" w:space="0" w:color="000000"/>
                            </w:tcBorders>
                          </w:tcPr>
                          <w:p>
                            <w:pPr>
                              <w:pStyle w:val="TableParagraph"/>
                              <w:spacing w:before="61"/>
                              <w:ind w:right="71"/>
                              <w:jc w:val="right"/>
                              <w:rPr>
                                <w:rFonts w:ascii="TT Norms Pro Light"/>
                                <w:b w:val="0"/>
                                <w:sz w:val="14"/>
                              </w:rPr>
                            </w:pPr>
                            <w:r>
                              <w:rPr>
                                <w:rFonts w:ascii="TT Norms Pro Light"/>
                                <w:b w:val="0"/>
                                <w:spacing w:val="-5"/>
                                <w:sz w:val="14"/>
                              </w:rPr>
                              <w:t>305</w:t>
                            </w:r>
                          </w:p>
                        </w:tc>
                        <w:tc>
                          <w:tcPr>
                            <w:tcW w:w="634" w:type="dxa"/>
                            <w:tcBorders>
                              <w:top w:val="single" w:sz="4" w:space="0" w:color="000000"/>
                              <w:bottom w:val="single" w:sz="2" w:space="0" w:color="000000"/>
                            </w:tcBorders>
                            <w:shd w:val="clear" w:color="auto" w:fill="E6E7E8"/>
                          </w:tcPr>
                          <w:p>
                            <w:pPr>
                              <w:pStyle w:val="TableParagraph"/>
                              <w:spacing w:before="61"/>
                              <w:ind w:right="75"/>
                              <w:jc w:val="right"/>
                              <w:rPr>
                                <w:rFonts w:ascii="TT Norms Pro Light"/>
                                <w:b w:val="0"/>
                                <w:sz w:val="14"/>
                              </w:rPr>
                            </w:pPr>
                            <w:r>
                              <w:rPr>
                                <w:rFonts w:ascii="TT Norms Pro Light"/>
                                <w:b w:val="0"/>
                                <w:spacing w:val="-5"/>
                                <w:sz w:val="14"/>
                              </w:rPr>
                              <w:t>212</w:t>
                            </w:r>
                          </w:p>
                        </w:tc>
                      </w:tr>
                      <w:tr>
                        <w:trPr>
                          <w:trHeight w:val="673" w:hRule="atLeast"/>
                        </w:trPr>
                        <w:tc>
                          <w:tcPr>
                            <w:tcW w:w="1672" w:type="dxa"/>
                            <w:tcBorders>
                              <w:top w:val="single" w:sz="2" w:space="0" w:color="000000"/>
                              <w:bottom w:val="single" w:sz="2" w:space="0" w:color="000000"/>
                            </w:tcBorders>
                            <w:shd w:val="clear" w:color="auto" w:fill="E6E7E8"/>
                          </w:tcPr>
                          <w:p>
                            <w:pPr>
                              <w:pStyle w:val="TableParagraph"/>
                              <w:spacing w:line="292" w:lineRule="auto" w:before="63"/>
                              <w:ind w:left="79" w:right="117"/>
                              <w:rPr>
                                <w:rFonts w:ascii="TT Norms Pro Light" w:hAnsi="TT Norms Pro Light"/>
                                <w:b w:val="0"/>
                                <w:sz w:val="14"/>
                              </w:rPr>
                            </w:pPr>
                            <w:r>
                              <w:rPr>
                                <w:rFonts w:ascii="TT Norms Pro Light" w:hAnsi="TT Norms Pro Light"/>
                                <w:b w:val="0"/>
                                <w:sz w:val="14"/>
                              </w:rPr>
                              <w:t>Accepted</w:t>
                            </w:r>
                            <w:r>
                              <w:rPr>
                                <w:rFonts w:ascii="TT Norms Pro Light" w:hAnsi="TT Norms Pro Light"/>
                                <w:b w:val="0"/>
                                <w:spacing w:val="-7"/>
                                <w:sz w:val="14"/>
                              </w:rPr>
                              <w:t> </w:t>
                            </w:r>
                            <w:r>
                              <w:rPr>
                                <w:rFonts w:ascii="TT Norms Pro Light" w:hAnsi="TT Norms Pro Light"/>
                                <w:b w:val="0"/>
                                <w:sz w:val="14"/>
                              </w:rPr>
                              <w:t>workers’</w:t>
                            </w:r>
                            <w:r>
                              <w:rPr>
                                <w:rFonts w:ascii="TT Norms Pro Light" w:hAnsi="TT Norms Pro Light"/>
                                <w:b w:val="0"/>
                                <w:spacing w:val="40"/>
                                <w:sz w:val="14"/>
                              </w:rPr>
                              <w:t> </w:t>
                            </w:r>
                            <w:r>
                              <w:rPr>
                                <w:rFonts w:ascii="TT Norms Pro Light" w:hAnsi="TT Norms Pro Light"/>
                                <w:b w:val="0"/>
                                <w:sz w:val="14"/>
                              </w:rPr>
                              <w:t>compensation</w:t>
                            </w:r>
                            <w:r>
                              <w:rPr>
                                <w:rFonts w:ascii="TT Norms Pro Light" w:hAnsi="TT Norms Pro Light"/>
                                <w:b w:val="0"/>
                                <w:spacing w:val="-7"/>
                                <w:sz w:val="14"/>
                              </w:rPr>
                              <w:t> </w:t>
                            </w:r>
                            <w:r>
                              <w:rPr>
                                <w:rFonts w:ascii="TT Norms Pro Light" w:hAnsi="TT Norms Pro Light"/>
                                <w:b w:val="0"/>
                                <w:sz w:val="14"/>
                              </w:rPr>
                              <w:t>claims</w:t>
                            </w:r>
                          </w:p>
                        </w:tc>
                        <w:tc>
                          <w:tcPr>
                            <w:tcW w:w="634" w:type="dxa"/>
                            <w:tcBorders>
                              <w:top w:val="single" w:sz="2" w:space="0" w:color="000000"/>
                              <w:bottom w:val="single" w:sz="2" w:space="0" w:color="000000"/>
                            </w:tcBorders>
                          </w:tcPr>
                          <w:p>
                            <w:pPr>
                              <w:pStyle w:val="TableParagraph"/>
                              <w:spacing w:before="63"/>
                              <w:ind w:right="74"/>
                              <w:jc w:val="right"/>
                              <w:rPr>
                                <w:rFonts w:ascii="TT Norms Pro Light"/>
                                <w:b w:val="0"/>
                                <w:sz w:val="14"/>
                              </w:rPr>
                            </w:pPr>
                            <w:r>
                              <w:rPr>
                                <w:rFonts w:ascii="TT Norms Pro Light"/>
                                <w:b w:val="0"/>
                                <w:spacing w:val="-5"/>
                                <w:sz w:val="14"/>
                              </w:rPr>
                              <w:t>31</w:t>
                            </w:r>
                          </w:p>
                        </w:tc>
                        <w:tc>
                          <w:tcPr>
                            <w:tcW w:w="634" w:type="dxa"/>
                            <w:tcBorders>
                              <w:top w:val="single" w:sz="2" w:space="0" w:color="000000"/>
                              <w:bottom w:val="single" w:sz="2" w:space="0" w:color="000000"/>
                            </w:tcBorders>
                            <w:shd w:val="clear" w:color="auto" w:fill="E6E7E8"/>
                          </w:tcPr>
                          <w:p>
                            <w:pPr>
                              <w:pStyle w:val="TableParagraph"/>
                              <w:spacing w:before="63"/>
                              <w:ind w:right="76"/>
                              <w:jc w:val="right"/>
                              <w:rPr>
                                <w:rFonts w:ascii="TT Norms Pro Light"/>
                                <w:b w:val="0"/>
                                <w:sz w:val="14"/>
                              </w:rPr>
                            </w:pPr>
                            <w:r>
                              <w:rPr>
                                <w:rFonts w:ascii="TT Norms Pro Light"/>
                                <w:b w:val="0"/>
                                <w:spacing w:val="-5"/>
                                <w:sz w:val="14"/>
                              </w:rPr>
                              <w:t>13</w:t>
                            </w:r>
                          </w:p>
                        </w:tc>
                      </w:tr>
                      <w:tr>
                        <w:trPr>
                          <w:trHeight w:val="390" w:hRule="atLeast"/>
                        </w:trPr>
                        <w:tc>
                          <w:tcPr>
                            <w:tcW w:w="1672" w:type="dxa"/>
                            <w:tcBorders>
                              <w:top w:val="single" w:sz="2" w:space="0" w:color="000000"/>
                              <w:bottom w:val="single" w:sz="2" w:space="0" w:color="000000"/>
                            </w:tcBorders>
                            <w:shd w:val="clear" w:color="auto" w:fill="E6E7E8"/>
                          </w:tcPr>
                          <w:p>
                            <w:pPr>
                              <w:pStyle w:val="TableParagraph"/>
                              <w:spacing w:before="63"/>
                              <w:ind w:left="79"/>
                              <w:rPr>
                                <w:rFonts w:ascii="TT Norms Pro Light"/>
                                <w:b w:val="0"/>
                                <w:sz w:val="14"/>
                              </w:rPr>
                            </w:pPr>
                            <w:r>
                              <w:rPr>
                                <w:rFonts w:ascii="TT Norms Pro Light"/>
                                <w:b w:val="0"/>
                                <w:sz w:val="14"/>
                              </w:rPr>
                              <w:t>Lost</w:t>
                            </w:r>
                            <w:r>
                              <w:rPr>
                                <w:rFonts w:ascii="TT Norms Pro Light"/>
                                <w:b w:val="0"/>
                                <w:spacing w:val="5"/>
                                <w:sz w:val="14"/>
                              </w:rPr>
                              <w:t> </w:t>
                            </w:r>
                            <w:r>
                              <w:rPr>
                                <w:rFonts w:ascii="TT Norms Pro Light"/>
                                <w:b w:val="0"/>
                                <w:sz w:val="14"/>
                              </w:rPr>
                              <w:t>time</w:t>
                            </w:r>
                            <w:r>
                              <w:rPr>
                                <w:rFonts w:ascii="TT Norms Pro Light"/>
                                <w:b w:val="0"/>
                                <w:spacing w:val="6"/>
                                <w:sz w:val="14"/>
                              </w:rPr>
                              <w:t> </w:t>
                            </w:r>
                            <w:r>
                              <w:rPr>
                                <w:rFonts w:ascii="TT Norms Pro Light"/>
                                <w:b w:val="0"/>
                                <w:spacing w:val="-2"/>
                                <w:sz w:val="14"/>
                              </w:rPr>
                              <w:t>injuries</w:t>
                            </w:r>
                          </w:p>
                        </w:tc>
                        <w:tc>
                          <w:tcPr>
                            <w:tcW w:w="634" w:type="dxa"/>
                            <w:tcBorders>
                              <w:top w:val="single" w:sz="2" w:space="0" w:color="000000"/>
                              <w:bottom w:val="single" w:sz="2" w:space="0" w:color="000000"/>
                            </w:tcBorders>
                          </w:tcPr>
                          <w:p>
                            <w:pPr>
                              <w:pStyle w:val="TableParagraph"/>
                              <w:spacing w:before="63"/>
                              <w:ind w:right="77"/>
                              <w:jc w:val="right"/>
                              <w:rPr>
                                <w:rFonts w:ascii="TT Norms Pro Light"/>
                                <w:b w:val="0"/>
                                <w:sz w:val="14"/>
                              </w:rPr>
                            </w:pPr>
                            <w:r>
                              <w:rPr>
                                <w:rFonts w:ascii="TT Norms Pro Light"/>
                                <w:b w:val="0"/>
                                <w:spacing w:val="-5"/>
                                <w:sz w:val="14"/>
                              </w:rPr>
                              <w:t>20</w:t>
                            </w:r>
                          </w:p>
                        </w:tc>
                        <w:tc>
                          <w:tcPr>
                            <w:tcW w:w="634" w:type="dxa"/>
                            <w:tcBorders>
                              <w:top w:val="single" w:sz="2" w:space="0" w:color="000000"/>
                              <w:bottom w:val="single" w:sz="2" w:space="0" w:color="000000"/>
                            </w:tcBorders>
                            <w:shd w:val="clear" w:color="auto" w:fill="E6E7E8"/>
                          </w:tcPr>
                          <w:p>
                            <w:pPr>
                              <w:pStyle w:val="TableParagraph"/>
                              <w:spacing w:before="63"/>
                              <w:ind w:right="77"/>
                              <w:jc w:val="right"/>
                              <w:rPr>
                                <w:rFonts w:ascii="TT Norms Pro Light"/>
                                <w:b w:val="0"/>
                                <w:sz w:val="14"/>
                              </w:rPr>
                            </w:pPr>
                            <w:r>
                              <w:rPr>
                                <w:rFonts w:ascii="TT Norms Pro Light"/>
                                <w:b w:val="0"/>
                                <w:spacing w:val="-10"/>
                                <w:sz w:val="14"/>
                              </w:rPr>
                              <w:t>6</w:t>
                            </w:r>
                          </w:p>
                        </w:tc>
                      </w:tr>
                      <w:tr>
                        <w:trPr>
                          <w:trHeight w:val="390" w:hRule="atLeast"/>
                        </w:trPr>
                        <w:tc>
                          <w:tcPr>
                            <w:tcW w:w="1672" w:type="dxa"/>
                            <w:tcBorders>
                              <w:top w:val="single" w:sz="2" w:space="0" w:color="000000"/>
                              <w:bottom w:val="single" w:sz="2" w:space="0" w:color="000000"/>
                            </w:tcBorders>
                            <w:shd w:val="clear" w:color="auto" w:fill="E6E7E8"/>
                          </w:tcPr>
                          <w:p>
                            <w:pPr>
                              <w:pStyle w:val="TableParagraph"/>
                              <w:spacing w:before="63"/>
                              <w:ind w:left="79"/>
                              <w:rPr>
                                <w:rFonts w:ascii="TT Norms Pro Light"/>
                                <w:b w:val="0"/>
                                <w:sz w:val="14"/>
                              </w:rPr>
                            </w:pPr>
                            <w:r>
                              <w:rPr>
                                <w:rFonts w:ascii="TT Norms Pro Light"/>
                                <w:b w:val="0"/>
                                <w:sz w:val="14"/>
                              </w:rPr>
                              <w:t>Lost</w:t>
                            </w:r>
                            <w:r>
                              <w:rPr>
                                <w:rFonts w:ascii="TT Norms Pro Light"/>
                                <w:b w:val="0"/>
                                <w:spacing w:val="5"/>
                                <w:sz w:val="14"/>
                              </w:rPr>
                              <w:t> </w:t>
                            </w:r>
                            <w:r>
                              <w:rPr>
                                <w:rFonts w:ascii="TT Norms Pro Light"/>
                                <w:b w:val="0"/>
                                <w:sz w:val="14"/>
                              </w:rPr>
                              <w:t>time</w:t>
                            </w:r>
                            <w:r>
                              <w:rPr>
                                <w:rFonts w:ascii="TT Norms Pro Light"/>
                                <w:b w:val="0"/>
                                <w:spacing w:val="6"/>
                                <w:sz w:val="14"/>
                              </w:rPr>
                              <w:t> </w:t>
                            </w:r>
                            <w:r>
                              <w:rPr>
                                <w:rFonts w:ascii="TT Norms Pro Light"/>
                                <w:b w:val="0"/>
                                <w:spacing w:val="-4"/>
                                <w:sz w:val="14"/>
                              </w:rPr>
                              <w:t>days</w:t>
                            </w:r>
                          </w:p>
                        </w:tc>
                        <w:tc>
                          <w:tcPr>
                            <w:tcW w:w="634" w:type="dxa"/>
                            <w:tcBorders>
                              <w:top w:val="single" w:sz="2" w:space="0" w:color="000000"/>
                              <w:bottom w:val="single" w:sz="2" w:space="0" w:color="000000"/>
                            </w:tcBorders>
                          </w:tcPr>
                          <w:p>
                            <w:pPr>
                              <w:pStyle w:val="TableParagraph"/>
                              <w:spacing w:before="63"/>
                              <w:ind w:right="75"/>
                              <w:jc w:val="right"/>
                              <w:rPr>
                                <w:rFonts w:ascii="TT Norms Pro Light"/>
                                <w:b w:val="0"/>
                                <w:sz w:val="14"/>
                              </w:rPr>
                            </w:pPr>
                            <w:r>
                              <w:rPr>
                                <w:rFonts w:ascii="TT Norms Pro Light"/>
                                <w:b w:val="0"/>
                                <w:spacing w:val="-5"/>
                                <w:sz w:val="14"/>
                              </w:rPr>
                              <w:t>214</w:t>
                            </w:r>
                          </w:p>
                        </w:tc>
                        <w:tc>
                          <w:tcPr>
                            <w:tcW w:w="634" w:type="dxa"/>
                            <w:tcBorders>
                              <w:top w:val="single" w:sz="2" w:space="0" w:color="000000"/>
                              <w:bottom w:val="single" w:sz="2" w:space="0" w:color="000000"/>
                            </w:tcBorders>
                            <w:shd w:val="clear" w:color="auto" w:fill="E6E7E8"/>
                          </w:tcPr>
                          <w:p>
                            <w:pPr>
                              <w:pStyle w:val="TableParagraph"/>
                              <w:spacing w:before="63"/>
                              <w:ind w:right="75"/>
                              <w:jc w:val="right"/>
                              <w:rPr>
                                <w:rFonts w:ascii="TT Norms Pro Light"/>
                                <w:b w:val="0"/>
                                <w:sz w:val="14"/>
                              </w:rPr>
                            </w:pPr>
                            <w:r>
                              <w:rPr>
                                <w:rFonts w:ascii="TT Norms Pro Light"/>
                                <w:b w:val="0"/>
                                <w:spacing w:val="-5"/>
                                <w:sz w:val="14"/>
                              </w:rPr>
                              <w:t>39</w:t>
                            </w:r>
                          </w:p>
                        </w:tc>
                      </w:tr>
                    </w:tbl>
                    <w:p>
                      <w:pPr>
                        <w:pStyle w:val="BodyText"/>
                      </w:pPr>
                    </w:p>
                  </w:txbxContent>
                </v:textbox>
              </v:shape>
            </w:pict>
          </mc:Fallback>
        </mc:AlternateContent>
      </w:r>
      <w:r>
        <w:rPr>
          <w:rFonts w:ascii="TT Norms Pro"/>
          <w:position w:val="121"/>
          <w:sz w:val="20"/>
        </w:rPr>
      </w:r>
      <w:r>
        <w:rPr>
          <w:rFonts w:ascii="TT Norms Pro"/>
          <w:position w:val="121"/>
          <w:sz w:val="20"/>
        </w:rPr>
        <w:tab/>
      </w:r>
      <w:r>
        <w:rPr>
          <w:rFonts w:ascii="TT Norms Pro"/>
          <w:sz w:val="20"/>
        </w:rPr>
        <mc:AlternateContent>
          <mc:Choice Requires="wps">
            <w:drawing>
              <wp:inline distT="0" distB="0" distL="0" distR="0">
                <wp:extent cx="3990975" cy="2144395"/>
                <wp:effectExtent l="0" t="0" r="0" b="0"/>
                <wp:docPr id="852" name="Textbox 852"/>
                <wp:cNvGraphicFramePr>
                  <a:graphicFrameLocks/>
                </wp:cNvGraphicFramePr>
                <a:graphic>
                  <a:graphicData uri="http://schemas.microsoft.com/office/word/2010/wordprocessingShape">
                    <wps:wsp>
                      <wps:cNvPr id="852" name="Textbox 852"/>
                      <wps:cNvSpPr txBox="1"/>
                      <wps:spPr>
                        <a:xfrm>
                          <a:off x="0" y="0"/>
                          <a:ext cx="3990975" cy="2144395"/>
                        </a:xfrm>
                        <a:prstGeom prst="rect">
                          <a:avLst/>
                        </a:prstGeom>
                      </wps:spPr>
                      <wps:txbx>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397"/>
                              <w:gridCol w:w="750"/>
                              <w:gridCol w:w="936"/>
                              <w:gridCol w:w="1078"/>
                              <w:gridCol w:w="1126"/>
                            </w:tblGrid>
                            <w:tr>
                              <w:trPr>
                                <w:trHeight w:val="304" w:hRule="atLeast"/>
                              </w:trPr>
                              <w:tc>
                                <w:tcPr>
                                  <w:tcW w:w="2397" w:type="dxa"/>
                                  <w:tcBorders>
                                    <w:top w:val="single" w:sz="4" w:space="0" w:color="000000"/>
                                    <w:bottom w:val="single" w:sz="2" w:space="0" w:color="000000"/>
                                  </w:tcBorders>
                                  <w:shd w:val="clear" w:color="auto" w:fill="E6E7E8"/>
                                </w:tcPr>
                                <w:p>
                                  <w:pPr>
                                    <w:pStyle w:val="TableParagraph"/>
                                    <w:spacing w:before="37"/>
                                    <w:ind w:left="56"/>
                                    <w:rPr>
                                      <w:rFonts w:ascii="TT Norms Pro Light"/>
                                      <w:b w:val="0"/>
                                      <w:sz w:val="14"/>
                                    </w:rPr>
                                  </w:pPr>
                                  <w:r>
                                    <w:rPr>
                                      <w:rFonts w:ascii="TT Norms Pro Light"/>
                                      <w:b w:val="0"/>
                                      <w:sz w:val="14"/>
                                    </w:rPr>
                                    <w:t>Number</w:t>
                                  </w:r>
                                  <w:r>
                                    <w:rPr>
                                      <w:rFonts w:ascii="TT Norms Pro Light"/>
                                      <w:b w:val="0"/>
                                      <w:spacing w:val="6"/>
                                      <w:sz w:val="14"/>
                                    </w:rPr>
                                    <w:t> </w:t>
                                  </w:r>
                                  <w:r>
                                    <w:rPr>
                                      <w:rFonts w:ascii="TT Norms Pro Light"/>
                                      <w:b w:val="0"/>
                                      <w:sz w:val="14"/>
                                    </w:rPr>
                                    <w:t>of</w:t>
                                  </w:r>
                                  <w:r>
                                    <w:rPr>
                                      <w:rFonts w:ascii="TT Norms Pro Light"/>
                                      <w:b w:val="0"/>
                                      <w:spacing w:val="6"/>
                                      <w:sz w:val="14"/>
                                    </w:rPr>
                                    <w:t> </w:t>
                                  </w:r>
                                  <w:r>
                                    <w:rPr>
                                      <w:rFonts w:ascii="TT Norms Pro Light"/>
                                      <w:b w:val="0"/>
                                      <w:spacing w:val="-2"/>
                                      <w:sz w:val="14"/>
                                    </w:rPr>
                                    <w:t>fatalities</w:t>
                                  </w:r>
                                </w:p>
                              </w:tc>
                              <w:tc>
                                <w:tcPr>
                                  <w:tcW w:w="750" w:type="dxa"/>
                                  <w:tcBorders>
                                    <w:top w:val="single" w:sz="4" w:space="0" w:color="000000"/>
                                    <w:bottom w:val="single" w:sz="2" w:space="0" w:color="000000"/>
                                  </w:tcBorders>
                                  <w:shd w:val="clear" w:color="auto" w:fill="E6E7E8"/>
                                </w:tcPr>
                                <w:p>
                                  <w:pPr>
                                    <w:pStyle w:val="TableParagraph"/>
                                    <w:spacing w:before="37"/>
                                    <w:ind w:right="111"/>
                                    <w:jc w:val="right"/>
                                    <w:rPr>
                                      <w:rFonts w:ascii="TT Norms Pro Light"/>
                                      <w:b w:val="0"/>
                                      <w:sz w:val="14"/>
                                    </w:rPr>
                                  </w:pPr>
                                  <w:r>
                                    <w:rPr>
                                      <w:rFonts w:ascii="TT Norms Pro Light"/>
                                      <w:b w:val="0"/>
                                      <w:spacing w:val="-10"/>
                                      <w:sz w:val="14"/>
                                    </w:rPr>
                                    <w:t>0</w:t>
                                  </w:r>
                                </w:p>
                              </w:tc>
                              <w:tc>
                                <w:tcPr>
                                  <w:tcW w:w="936" w:type="dxa"/>
                                  <w:tcBorders>
                                    <w:top w:val="single" w:sz="4" w:space="0" w:color="000000"/>
                                    <w:bottom w:val="single" w:sz="2" w:space="0" w:color="000000"/>
                                  </w:tcBorders>
                                </w:tcPr>
                                <w:p>
                                  <w:pPr>
                                    <w:pStyle w:val="TableParagraph"/>
                                    <w:spacing w:before="37"/>
                                    <w:ind w:right="112"/>
                                    <w:jc w:val="right"/>
                                    <w:rPr>
                                      <w:rFonts w:ascii="TT Norms Pro Light"/>
                                      <w:b w:val="0"/>
                                      <w:sz w:val="14"/>
                                    </w:rPr>
                                  </w:pPr>
                                  <w:r>
                                    <w:rPr>
                                      <w:rFonts w:ascii="TT Norms Pro Light"/>
                                      <w:b w:val="0"/>
                                      <w:spacing w:val="-10"/>
                                      <w:sz w:val="14"/>
                                    </w:rPr>
                                    <w:t>0</w:t>
                                  </w:r>
                                </w:p>
                              </w:tc>
                              <w:tc>
                                <w:tcPr>
                                  <w:tcW w:w="1078" w:type="dxa"/>
                                  <w:tcBorders>
                                    <w:top w:val="single" w:sz="4" w:space="0" w:color="000000"/>
                                    <w:bottom w:val="single" w:sz="2" w:space="0" w:color="000000"/>
                                  </w:tcBorders>
                                  <w:shd w:val="clear" w:color="auto" w:fill="E6E7E8"/>
                                </w:tcPr>
                                <w:p>
                                  <w:pPr>
                                    <w:pStyle w:val="TableParagraph"/>
                                    <w:spacing w:before="37"/>
                                    <w:ind w:right="113"/>
                                    <w:jc w:val="right"/>
                                    <w:rPr>
                                      <w:rFonts w:ascii="TT Norms Pro Light"/>
                                      <w:b w:val="0"/>
                                      <w:sz w:val="14"/>
                                    </w:rPr>
                                  </w:pPr>
                                  <w:r>
                                    <w:rPr>
                                      <w:rFonts w:ascii="TT Norms Pro Light"/>
                                      <w:b w:val="0"/>
                                      <w:spacing w:val="-10"/>
                                      <w:sz w:val="14"/>
                                    </w:rPr>
                                    <w:t>0</w:t>
                                  </w:r>
                                </w:p>
                              </w:tc>
                              <w:tc>
                                <w:tcPr>
                                  <w:tcW w:w="1126" w:type="dxa"/>
                                  <w:tcBorders>
                                    <w:top w:val="single" w:sz="4" w:space="0" w:color="000000"/>
                                    <w:bottom w:val="single" w:sz="2" w:space="0" w:color="000000"/>
                                  </w:tcBorders>
                                </w:tcPr>
                                <w:p>
                                  <w:pPr>
                                    <w:pStyle w:val="TableParagraph"/>
                                    <w:spacing w:before="37"/>
                                    <w:ind w:right="57"/>
                                    <w:jc w:val="right"/>
                                    <w:rPr>
                                      <w:rFonts w:ascii="TT Norms Pro Light"/>
                                      <w:b w:val="0"/>
                                      <w:sz w:val="14"/>
                                    </w:rPr>
                                  </w:pPr>
                                  <w:r>
                                    <w:rPr>
                                      <w:rFonts w:ascii="TT Norms Pro Light"/>
                                      <w:b w:val="0"/>
                                      <w:spacing w:val="-5"/>
                                      <w:sz w:val="14"/>
                                    </w:rPr>
                                    <w:t>Met</w:t>
                                  </w:r>
                                </w:p>
                              </w:tc>
                            </w:tr>
                            <w:tr>
                              <w:trPr>
                                <w:trHeight w:val="627" w:hRule="atLeast"/>
                              </w:trPr>
                              <w:tc>
                                <w:tcPr>
                                  <w:tcW w:w="2397" w:type="dxa"/>
                                  <w:tcBorders>
                                    <w:top w:val="single" w:sz="2" w:space="0" w:color="000000"/>
                                    <w:bottom w:val="single" w:sz="2" w:space="0" w:color="000000"/>
                                  </w:tcBorders>
                                  <w:shd w:val="clear" w:color="auto" w:fill="E6E7E8"/>
                                </w:tcPr>
                                <w:p>
                                  <w:pPr>
                                    <w:pStyle w:val="TableParagraph"/>
                                    <w:spacing w:line="292" w:lineRule="auto" w:before="40"/>
                                    <w:ind w:left="56" w:right="212"/>
                                    <w:rPr>
                                      <w:rFonts w:ascii="TT Norms Pro Light"/>
                                      <w:b w:val="0"/>
                                      <w:sz w:val="14"/>
                                    </w:rPr>
                                  </w:pPr>
                                  <w:r>
                                    <w:rPr>
                                      <w:rFonts w:ascii="TT Norms Pro Light"/>
                                      <w:b w:val="0"/>
                                      <w:sz w:val="14"/>
                                    </w:rPr>
                                    <w:t>Lost time injury and disease</w:t>
                                  </w:r>
                                  <w:r>
                                    <w:rPr>
                                      <w:rFonts w:ascii="TT Norms Pro Light"/>
                                      <w:b w:val="0"/>
                                      <w:spacing w:val="40"/>
                                      <w:sz w:val="14"/>
                                    </w:rPr>
                                    <w:t> </w:t>
                                  </w:r>
                                  <w:r>
                                    <w:rPr>
                                      <w:rFonts w:ascii="TT Norms Pro Light"/>
                                      <w:b w:val="0"/>
                                      <w:sz w:val="14"/>
                                    </w:rPr>
                                    <w:t>incidence</w:t>
                                  </w:r>
                                  <w:r>
                                    <w:rPr>
                                      <w:rFonts w:ascii="TT Norms Pro Light"/>
                                      <w:b w:val="0"/>
                                      <w:spacing w:val="-7"/>
                                      <w:sz w:val="14"/>
                                    </w:rPr>
                                    <w:t> </w:t>
                                  </w:r>
                                  <w:r>
                                    <w:rPr>
                                      <w:rFonts w:ascii="TT Norms Pro Light"/>
                                      <w:b w:val="0"/>
                                      <w:sz w:val="14"/>
                                    </w:rPr>
                                    <w:t>rate</w:t>
                                  </w:r>
                                </w:p>
                              </w:tc>
                              <w:tc>
                                <w:tcPr>
                                  <w:tcW w:w="750" w:type="dxa"/>
                                  <w:tcBorders>
                                    <w:top w:val="single" w:sz="2" w:space="0" w:color="000000"/>
                                    <w:bottom w:val="single" w:sz="2" w:space="0" w:color="000000"/>
                                  </w:tcBorders>
                                  <w:shd w:val="clear" w:color="auto" w:fill="E6E7E8"/>
                                </w:tcPr>
                                <w:p>
                                  <w:pPr>
                                    <w:pStyle w:val="TableParagraph"/>
                                    <w:spacing w:before="40"/>
                                    <w:ind w:right="111"/>
                                    <w:jc w:val="right"/>
                                    <w:rPr>
                                      <w:rFonts w:ascii="TT Norms Pro Light"/>
                                      <w:b w:val="0"/>
                                      <w:sz w:val="14"/>
                                    </w:rPr>
                                  </w:pPr>
                                  <w:r>
                                    <w:rPr>
                                      <w:rFonts w:ascii="TT Norms Pro Light"/>
                                      <w:b w:val="0"/>
                                      <w:spacing w:val="-5"/>
                                      <w:sz w:val="14"/>
                                    </w:rPr>
                                    <w:t>0.5</w:t>
                                  </w:r>
                                </w:p>
                              </w:tc>
                              <w:tc>
                                <w:tcPr>
                                  <w:tcW w:w="936" w:type="dxa"/>
                                  <w:tcBorders>
                                    <w:top w:val="single" w:sz="2" w:space="0" w:color="000000"/>
                                    <w:bottom w:val="single" w:sz="2" w:space="0" w:color="000000"/>
                                  </w:tcBorders>
                                </w:tcPr>
                                <w:p>
                                  <w:pPr>
                                    <w:pStyle w:val="TableParagraph"/>
                                    <w:spacing w:before="40"/>
                                    <w:ind w:right="112"/>
                                    <w:jc w:val="right"/>
                                    <w:rPr>
                                      <w:rFonts w:ascii="TT Norms Pro Light"/>
                                      <w:b w:val="0"/>
                                      <w:sz w:val="14"/>
                                    </w:rPr>
                                  </w:pPr>
                                  <w:r>
                                    <w:rPr>
                                      <w:rFonts w:ascii="TT Norms Pro Light"/>
                                      <w:b w:val="0"/>
                                      <w:spacing w:val="-5"/>
                                      <w:sz w:val="14"/>
                                    </w:rPr>
                                    <w:t>0.2</w:t>
                                  </w:r>
                                </w:p>
                              </w:tc>
                              <w:tc>
                                <w:tcPr>
                                  <w:tcW w:w="1078" w:type="dxa"/>
                                  <w:tcBorders>
                                    <w:top w:val="single" w:sz="2" w:space="0" w:color="000000"/>
                                    <w:bottom w:val="single" w:sz="2" w:space="0" w:color="000000"/>
                                  </w:tcBorders>
                                  <w:shd w:val="clear" w:color="auto" w:fill="E6E7E8"/>
                                </w:tcPr>
                                <w:p>
                                  <w:pPr>
                                    <w:pStyle w:val="TableParagraph"/>
                                    <w:spacing w:line="200" w:lineRule="atLeast" w:before="4"/>
                                    <w:ind w:left="65" w:right="113" w:firstLine="383"/>
                                    <w:jc w:val="right"/>
                                    <w:rPr>
                                      <w:rFonts w:ascii="TT Norms Pro Light"/>
                                      <w:b w:val="0"/>
                                      <w:sz w:val="14"/>
                                    </w:rPr>
                                  </w:pPr>
                                  <w:r>
                                    <w:rPr>
                                      <w:rFonts w:ascii="TT Norms Pro Light"/>
                                      <w:b w:val="0"/>
                                      <w:spacing w:val="-2"/>
                                      <w:sz w:val="14"/>
                                    </w:rPr>
                                    <w:t>0</w:t>
                                  </w:r>
                                  <w:r>
                                    <w:rPr>
                                      <w:rFonts w:ascii="TT Norms Pro Light"/>
                                      <w:b w:val="0"/>
                                      <w:spacing w:val="-9"/>
                                      <w:sz w:val="14"/>
                                    </w:rPr>
                                    <w:t> </w:t>
                                  </w:r>
                                  <w:r>
                                    <w:rPr>
                                      <w:rFonts w:ascii="TT Norms Pro Light"/>
                                      <w:b w:val="0"/>
                                      <w:spacing w:val="-2"/>
                                      <w:sz w:val="14"/>
                                    </w:rPr>
                                    <w:t>or</w:t>
                                  </w:r>
                                  <w:r>
                                    <w:rPr>
                                      <w:rFonts w:ascii="TT Norms Pro Light"/>
                                      <w:b w:val="0"/>
                                      <w:spacing w:val="-5"/>
                                      <w:sz w:val="14"/>
                                    </w:rPr>
                                    <w:t> </w:t>
                                  </w:r>
                                  <w:r>
                                    <w:rPr>
                                      <w:rFonts w:ascii="TT Norms Pro Light"/>
                                      <w:b w:val="0"/>
                                      <w:spacing w:val="-2"/>
                                      <w:sz w:val="14"/>
                                    </w:rPr>
                                    <w:t>10%</w:t>
                                  </w:r>
                                  <w:r>
                                    <w:rPr>
                                      <w:rFonts w:ascii="TT Norms Pro Light"/>
                                      <w:b w:val="0"/>
                                      <w:spacing w:val="40"/>
                                      <w:sz w:val="14"/>
                                    </w:rPr>
                                    <w:t> </w:t>
                                  </w:r>
                                  <w:r>
                                    <w:rPr>
                                      <w:rFonts w:ascii="TT Norms Pro Light"/>
                                      <w:b w:val="0"/>
                                      <w:sz w:val="14"/>
                                    </w:rPr>
                                    <w:t>reduction</w:t>
                                  </w:r>
                                  <w:r>
                                    <w:rPr>
                                      <w:rFonts w:ascii="TT Norms Pro Light"/>
                                      <w:b w:val="0"/>
                                      <w:spacing w:val="-7"/>
                                      <w:sz w:val="14"/>
                                    </w:rPr>
                                    <w:t> </w:t>
                                  </w:r>
                                  <w:r>
                                    <w:rPr>
                                      <w:rFonts w:ascii="TT Norms Pro Light"/>
                                      <w:b w:val="0"/>
                                      <w:sz w:val="14"/>
                                    </w:rPr>
                                    <w:t>in</w:t>
                                  </w:r>
                                  <w:r>
                                    <w:rPr>
                                      <w:rFonts w:ascii="TT Norms Pro Light"/>
                                      <w:b w:val="0"/>
                                      <w:spacing w:val="40"/>
                                      <w:sz w:val="14"/>
                                    </w:rPr>
                                    <w:t> </w:t>
                                  </w:r>
                                  <w:r>
                                    <w:rPr>
                                      <w:rFonts w:ascii="TT Norms Pro Light"/>
                                      <w:b w:val="0"/>
                                      <w:sz w:val="14"/>
                                    </w:rPr>
                                    <w:t>incidence</w:t>
                                  </w:r>
                                  <w:r>
                                    <w:rPr>
                                      <w:rFonts w:ascii="TT Norms Pro Light"/>
                                      <w:b w:val="0"/>
                                      <w:spacing w:val="14"/>
                                      <w:sz w:val="14"/>
                                    </w:rPr>
                                    <w:t> </w:t>
                                  </w:r>
                                  <w:r>
                                    <w:rPr>
                                      <w:rFonts w:ascii="TT Norms Pro Light"/>
                                      <w:b w:val="0"/>
                                      <w:spacing w:val="-4"/>
                                      <w:sz w:val="14"/>
                                    </w:rPr>
                                    <w:t>rate</w:t>
                                  </w:r>
                                </w:p>
                              </w:tc>
                              <w:tc>
                                <w:tcPr>
                                  <w:tcW w:w="1126" w:type="dxa"/>
                                  <w:tcBorders>
                                    <w:top w:val="single" w:sz="2" w:space="0" w:color="000000"/>
                                    <w:bottom w:val="single" w:sz="2" w:space="0" w:color="000000"/>
                                  </w:tcBorders>
                                </w:tcPr>
                                <w:p>
                                  <w:pPr>
                                    <w:pStyle w:val="TableParagraph"/>
                                    <w:spacing w:before="40"/>
                                    <w:ind w:right="56"/>
                                    <w:jc w:val="right"/>
                                    <w:rPr>
                                      <w:rFonts w:ascii="TT Norms Pro Light"/>
                                      <w:b w:val="0"/>
                                      <w:sz w:val="14"/>
                                    </w:rPr>
                                  </w:pPr>
                                  <w:r>
                                    <w:rPr>
                                      <w:rFonts w:ascii="TT Norms Pro Light"/>
                                      <w:b w:val="0"/>
                                      <w:spacing w:val="-5"/>
                                      <w:sz w:val="14"/>
                                    </w:rPr>
                                    <w:t>Met</w:t>
                                  </w:r>
                                </w:p>
                              </w:tc>
                            </w:tr>
                            <w:tr>
                              <w:trPr>
                                <w:trHeight w:val="728" w:hRule="atLeast"/>
                              </w:trPr>
                              <w:tc>
                                <w:tcPr>
                                  <w:tcW w:w="2397" w:type="dxa"/>
                                  <w:tcBorders>
                                    <w:top w:val="single" w:sz="2" w:space="0" w:color="000000"/>
                                    <w:bottom w:val="single" w:sz="2" w:space="0" w:color="000000"/>
                                  </w:tcBorders>
                                  <w:shd w:val="clear" w:color="auto" w:fill="E6E7E8"/>
                                </w:tcPr>
                                <w:p>
                                  <w:pPr>
                                    <w:pStyle w:val="TableParagraph"/>
                                    <w:spacing w:line="292" w:lineRule="auto" w:before="40"/>
                                    <w:ind w:left="56" w:right="212"/>
                                    <w:rPr>
                                      <w:rFonts w:ascii="TT Norms Pro Light"/>
                                      <w:b w:val="0"/>
                                      <w:sz w:val="14"/>
                                    </w:rPr>
                                  </w:pPr>
                                  <w:r>
                                    <w:rPr>
                                      <w:rFonts w:ascii="TT Norms Pro Light"/>
                                      <w:b w:val="0"/>
                                      <w:sz w:val="14"/>
                                    </w:rPr>
                                    <w:t>Lost time injury and disease</w:t>
                                  </w:r>
                                  <w:r>
                                    <w:rPr>
                                      <w:rFonts w:ascii="TT Norms Pro Light"/>
                                      <w:b w:val="0"/>
                                      <w:spacing w:val="40"/>
                                      <w:sz w:val="14"/>
                                    </w:rPr>
                                    <w:t> </w:t>
                                  </w:r>
                                  <w:r>
                                    <w:rPr>
                                      <w:rFonts w:ascii="TT Norms Pro Light"/>
                                      <w:b w:val="0"/>
                                      <w:sz w:val="14"/>
                                    </w:rPr>
                                    <w:t>severity</w:t>
                                  </w:r>
                                  <w:r>
                                    <w:rPr>
                                      <w:rFonts w:ascii="TT Norms Pro Light"/>
                                      <w:b w:val="0"/>
                                      <w:spacing w:val="-7"/>
                                      <w:sz w:val="14"/>
                                    </w:rPr>
                                    <w:t> </w:t>
                                  </w:r>
                                  <w:r>
                                    <w:rPr>
                                      <w:rFonts w:ascii="TT Norms Pro Light"/>
                                      <w:b w:val="0"/>
                                      <w:sz w:val="14"/>
                                    </w:rPr>
                                    <w:t>rate</w:t>
                                  </w:r>
                                </w:p>
                              </w:tc>
                              <w:tc>
                                <w:tcPr>
                                  <w:tcW w:w="750" w:type="dxa"/>
                                  <w:tcBorders>
                                    <w:top w:val="single" w:sz="2" w:space="0" w:color="000000"/>
                                    <w:bottom w:val="single" w:sz="2" w:space="0" w:color="000000"/>
                                  </w:tcBorders>
                                  <w:shd w:val="clear" w:color="auto" w:fill="E6E7E8"/>
                                </w:tcPr>
                                <w:p>
                                  <w:pPr>
                                    <w:pStyle w:val="TableParagraph"/>
                                    <w:spacing w:before="40"/>
                                    <w:ind w:right="111"/>
                                    <w:jc w:val="right"/>
                                    <w:rPr>
                                      <w:rFonts w:ascii="TT Norms Pro Light"/>
                                      <w:b w:val="0"/>
                                      <w:sz w:val="14"/>
                                    </w:rPr>
                                  </w:pPr>
                                  <w:r>
                                    <w:rPr>
                                      <w:rFonts w:ascii="TT Norms Pro Light"/>
                                      <w:b w:val="0"/>
                                      <w:spacing w:val="-10"/>
                                      <w:sz w:val="14"/>
                                    </w:rPr>
                                    <w:t>0</w:t>
                                  </w:r>
                                </w:p>
                              </w:tc>
                              <w:tc>
                                <w:tcPr>
                                  <w:tcW w:w="936" w:type="dxa"/>
                                  <w:tcBorders>
                                    <w:top w:val="single" w:sz="2" w:space="0" w:color="000000"/>
                                    <w:bottom w:val="single" w:sz="2" w:space="0" w:color="000000"/>
                                  </w:tcBorders>
                                </w:tcPr>
                                <w:p>
                                  <w:pPr>
                                    <w:pStyle w:val="TableParagraph"/>
                                    <w:spacing w:before="40"/>
                                    <w:ind w:right="112"/>
                                    <w:jc w:val="right"/>
                                    <w:rPr>
                                      <w:rFonts w:ascii="TT Norms Pro Light"/>
                                      <w:b w:val="0"/>
                                      <w:sz w:val="14"/>
                                    </w:rPr>
                                  </w:pPr>
                                  <w:r>
                                    <w:rPr>
                                      <w:rFonts w:ascii="TT Norms Pro Light"/>
                                      <w:b w:val="0"/>
                                      <w:spacing w:val="-10"/>
                                      <w:sz w:val="14"/>
                                    </w:rPr>
                                    <w:t>0</w:t>
                                  </w:r>
                                </w:p>
                              </w:tc>
                              <w:tc>
                                <w:tcPr>
                                  <w:tcW w:w="1078" w:type="dxa"/>
                                  <w:tcBorders>
                                    <w:top w:val="single" w:sz="2" w:space="0" w:color="000000"/>
                                    <w:bottom w:val="single" w:sz="2" w:space="0" w:color="000000"/>
                                  </w:tcBorders>
                                  <w:shd w:val="clear" w:color="auto" w:fill="E6E7E8"/>
                                </w:tcPr>
                                <w:p>
                                  <w:pPr>
                                    <w:pStyle w:val="TableParagraph"/>
                                    <w:spacing w:line="292" w:lineRule="auto" w:before="40"/>
                                    <w:ind w:left="197" w:right="112" w:firstLine="252"/>
                                    <w:jc w:val="both"/>
                                    <w:rPr>
                                      <w:rFonts w:ascii="TT Norms Pro Light"/>
                                      <w:b w:val="0"/>
                                      <w:sz w:val="14"/>
                                    </w:rPr>
                                  </w:pPr>
                                  <w:r>
                                    <w:rPr>
                                      <w:rFonts w:ascii="TT Norms Pro Light"/>
                                      <w:b w:val="0"/>
                                      <w:spacing w:val="-2"/>
                                      <w:sz w:val="14"/>
                                    </w:rPr>
                                    <w:t>0</w:t>
                                  </w:r>
                                  <w:r>
                                    <w:rPr>
                                      <w:rFonts w:ascii="TT Norms Pro Light"/>
                                      <w:b w:val="0"/>
                                      <w:spacing w:val="-7"/>
                                      <w:sz w:val="14"/>
                                    </w:rPr>
                                    <w:t> </w:t>
                                  </w:r>
                                  <w:r>
                                    <w:rPr>
                                      <w:rFonts w:ascii="TT Norms Pro Light"/>
                                      <w:b w:val="0"/>
                                      <w:spacing w:val="-2"/>
                                      <w:sz w:val="14"/>
                                    </w:rPr>
                                    <w:t>or</w:t>
                                  </w:r>
                                  <w:r>
                                    <w:rPr>
                                      <w:rFonts w:ascii="TT Norms Pro Light"/>
                                      <w:b w:val="0"/>
                                      <w:spacing w:val="-5"/>
                                      <w:sz w:val="14"/>
                                    </w:rPr>
                                    <w:t> </w:t>
                                  </w:r>
                                  <w:r>
                                    <w:rPr>
                                      <w:rFonts w:ascii="TT Norms Pro Light"/>
                                      <w:b w:val="0"/>
                                      <w:spacing w:val="-2"/>
                                      <w:sz w:val="14"/>
                                    </w:rPr>
                                    <w:t>10%</w:t>
                                  </w:r>
                                  <w:r>
                                    <w:rPr>
                                      <w:rFonts w:ascii="TT Norms Pro Light"/>
                                      <w:b w:val="0"/>
                                      <w:spacing w:val="40"/>
                                      <w:sz w:val="14"/>
                                    </w:rPr>
                                    <w:t> </w:t>
                                  </w:r>
                                  <w:r>
                                    <w:rPr>
                                      <w:rFonts w:ascii="TT Norms Pro Light"/>
                                      <w:b w:val="0"/>
                                      <w:sz w:val="14"/>
                                    </w:rPr>
                                    <w:t>reduction</w:t>
                                  </w:r>
                                  <w:r>
                                    <w:rPr>
                                      <w:rFonts w:ascii="TT Norms Pro Light"/>
                                      <w:b w:val="0"/>
                                      <w:spacing w:val="-7"/>
                                      <w:sz w:val="14"/>
                                    </w:rPr>
                                    <w:t> </w:t>
                                  </w:r>
                                  <w:r>
                                    <w:rPr>
                                      <w:rFonts w:ascii="TT Norms Pro Light"/>
                                      <w:b w:val="0"/>
                                      <w:sz w:val="14"/>
                                    </w:rPr>
                                    <w:t>in</w:t>
                                  </w:r>
                                  <w:r>
                                    <w:rPr>
                                      <w:rFonts w:ascii="TT Norms Pro Light"/>
                                      <w:b w:val="0"/>
                                      <w:spacing w:val="40"/>
                                      <w:sz w:val="14"/>
                                    </w:rPr>
                                    <w:t> </w:t>
                                  </w:r>
                                  <w:r>
                                    <w:rPr>
                                      <w:rFonts w:ascii="TT Norms Pro Light"/>
                                      <w:b w:val="0"/>
                                      <w:sz w:val="14"/>
                                    </w:rPr>
                                    <w:t>severity</w:t>
                                  </w:r>
                                  <w:r>
                                    <w:rPr>
                                      <w:rFonts w:ascii="TT Norms Pro Light"/>
                                      <w:b w:val="0"/>
                                      <w:spacing w:val="9"/>
                                      <w:sz w:val="14"/>
                                    </w:rPr>
                                    <w:t> </w:t>
                                  </w:r>
                                  <w:r>
                                    <w:rPr>
                                      <w:rFonts w:ascii="TT Norms Pro Light"/>
                                      <w:b w:val="0"/>
                                      <w:spacing w:val="-4"/>
                                      <w:sz w:val="14"/>
                                    </w:rPr>
                                    <w:t>rate</w:t>
                                  </w:r>
                                </w:p>
                              </w:tc>
                              <w:tc>
                                <w:tcPr>
                                  <w:tcW w:w="1126" w:type="dxa"/>
                                  <w:tcBorders>
                                    <w:top w:val="single" w:sz="2" w:space="0" w:color="000000"/>
                                    <w:bottom w:val="single" w:sz="2" w:space="0" w:color="000000"/>
                                  </w:tcBorders>
                                </w:tcPr>
                                <w:p>
                                  <w:pPr>
                                    <w:pStyle w:val="TableParagraph"/>
                                    <w:spacing w:before="40"/>
                                    <w:ind w:right="56"/>
                                    <w:jc w:val="right"/>
                                    <w:rPr>
                                      <w:rFonts w:ascii="TT Norms Pro Light"/>
                                      <w:b w:val="0"/>
                                      <w:sz w:val="14"/>
                                    </w:rPr>
                                  </w:pPr>
                                  <w:r>
                                    <w:rPr>
                                      <w:rFonts w:ascii="TT Norms Pro Light"/>
                                      <w:b w:val="0"/>
                                      <w:spacing w:val="-5"/>
                                      <w:sz w:val="14"/>
                                    </w:rPr>
                                    <w:t>Met</w:t>
                                  </w:r>
                                </w:p>
                              </w:tc>
                            </w:tr>
                            <w:tr>
                              <w:trPr>
                                <w:trHeight w:val="826" w:hRule="atLeast"/>
                              </w:trPr>
                              <w:tc>
                                <w:tcPr>
                                  <w:tcW w:w="2397" w:type="dxa"/>
                                  <w:tcBorders>
                                    <w:top w:val="single" w:sz="2" w:space="0" w:color="000000"/>
                                    <w:bottom w:val="single" w:sz="2" w:space="0" w:color="000000"/>
                                  </w:tcBorders>
                                  <w:shd w:val="clear" w:color="auto" w:fill="E6E7E8"/>
                                </w:tcPr>
                                <w:p>
                                  <w:pPr>
                                    <w:pStyle w:val="TableParagraph"/>
                                    <w:spacing w:line="292" w:lineRule="auto" w:before="40"/>
                                    <w:ind w:left="56" w:right="439"/>
                                    <w:jc w:val="both"/>
                                    <w:rPr>
                                      <w:rFonts w:ascii="TT Norms Pro Light"/>
                                      <w:b w:val="0"/>
                                      <w:sz w:val="14"/>
                                    </w:rPr>
                                  </w:pPr>
                                  <w:r>
                                    <w:rPr>
                                      <w:rFonts w:ascii="TT Norms Pro Light"/>
                                      <w:b w:val="0"/>
                                      <w:sz w:val="14"/>
                                    </w:rPr>
                                    <w:t>Percentage of injured workers</w:t>
                                  </w:r>
                                  <w:r>
                                    <w:rPr>
                                      <w:rFonts w:ascii="TT Norms Pro Light"/>
                                      <w:b w:val="0"/>
                                      <w:spacing w:val="40"/>
                                      <w:sz w:val="14"/>
                                    </w:rPr>
                                    <w:t> </w:t>
                                  </w:r>
                                  <w:r>
                                    <w:rPr>
                                      <w:rFonts w:ascii="TT Norms Pro Light"/>
                                      <w:b w:val="0"/>
                                      <w:sz w:val="14"/>
                                    </w:rPr>
                                    <w:t>returned to work (RTW) within</w:t>
                                  </w:r>
                                  <w:r>
                                    <w:rPr>
                                      <w:rFonts w:ascii="TT Norms Pro Light"/>
                                      <w:b w:val="0"/>
                                      <w:spacing w:val="40"/>
                                      <w:sz w:val="14"/>
                                    </w:rPr>
                                    <w:t> </w:t>
                                  </w:r>
                                  <w:r>
                                    <w:rPr>
                                      <w:rFonts w:ascii="TT Norms Pro Light"/>
                                      <w:b w:val="0"/>
                                      <w:sz w:val="14"/>
                                    </w:rPr>
                                    <w:t>13</w:t>
                                  </w:r>
                                  <w:r>
                                    <w:rPr>
                                      <w:rFonts w:ascii="TT Norms Pro Light"/>
                                      <w:b w:val="0"/>
                                      <w:spacing w:val="-7"/>
                                      <w:sz w:val="14"/>
                                    </w:rPr>
                                    <w:t> </w:t>
                                  </w:r>
                                  <w:r>
                                    <w:rPr>
                                      <w:rFonts w:ascii="TT Norms Pro Light"/>
                                      <w:b w:val="0"/>
                                      <w:sz w:val="14"/>
                                    </w:rPr>
                                    <w:t>weeks</w:t>
                                  </w:r>
                                </w:p>
                              </w:tc>
                              <w:tc>
                                <w:tcPr>
                                  <w:tcW w:w="750" w:type="dxa"/>
                                  <w:tcBorders>
                                    <w:top w:val="single" w:sz="2" w:space="0" w:color="000000"/>
                                    <w:bottom w:val="single" w:sz="2" w:space="0" w:color="000000"/>
                                  </w:tcBorders>
                                  <w:shd w:val="clear" w:color="auto" w:fill="E6E7E8"/>
                                </w:tcPr>
                                <w:p>
                                  <w:pPr>
                                    <w:pStyle w:val="TableParagraph"/>
                                    <w:spacing w:before="40"/>
                                    <w:ind w:right="111"/>
                                    <w:jc w:val="right"/>
                                    <w:rPr>
                                      <w:rFonts w:ascii="TT Norms Pro Light"/>
                                      <w:b w:val="0"/>
                                      <w:sz w:val="14"/>
                                    </w:rPr>
                                  </w:pPr>
                                  <w:r>
                                    <w:rPr>
                                      <w:rFonts w:ascii="TT Norms Pro Light"/>
                                      <w:b w:val="0"/>
                                      <w:spacing w:val="-5"/>
                                      <w:sz w:val="14"/>
                                    </w:rPr>
                                    <w:t>58</w:t>
                                  </w:r>
                                </w:p>
                              </w:tc>
                              <w:tc>
                                <w:tcPr>
                                  <w:tcW w:w="936" w:type="dxa"/>
                                  <w:tcBorders>
                                    <w:top w:val="single" w:sz="2" w:space="0" w:color="000000"/>
                                    <w:bottom w:val="single" w:sz="2" w:space="0" w:color="000000"/>
                                  </w:tcBorders>
                                </w:tcPr>
                                <w:p>
                                  <w:pPr>
                                    <w:pStyle w:val="TableParagraph"/>
                                    <w:spacing w:before="40"/>
                                    <w:ind w:right="112"/>
                                    <w:jc w:val="right"/>
                                    <w:rPr>
                                      <w:rFonts w:ascii="TT Norms Pro Light"/>
                                      <w:b w:val="0"/>
                                      <w:sz w:val="8"/>
                                    </w:rPr>
                                  </w:pPr>
                                  <w:r>
                                    <w:rPr>
                                      <w:rFonts w:ascii="TT Norms Pro Light"/>
                                      <w:b w:val="0"/>
                                      <w:spacing w:val="-5"/>
                                      <w:sz w:val="14"/>
                                    </w:rPr>
                                    <w:t>17</w:t>
                                  </w:r>
                                  <w:r>
                                    <w:rPr>
                                      <w:rFonts w:ascii="TT Norms Pro Light"/>
                                      <w:b w:val="0"/>
                                      <w:spacing w:val="-5"/>
                                      <w:position w:val="5"/>
                                      <w:sz w:val="8"/>
                                    </w:rPr>
                                    <w:t>1</w:t>
                                  </w:r>
                                </w:p>
                              </w:tc>
                              <w:tc>
                                <w:tcPr>
                                  <w:tcW w:w="1078" w:type="dxa"/>
                                  <w:vMerge w:val="restart"/>
                                  <w:tcBorders>
                                    <w:top w:val="single" w:sz="2" w:space="0" w:color="000000"/>
                                    <w:bottom w:val="single" w:sz="2" w:space="0" w:color="000000"/>
                                  </w:tcBorders>
                                  <w:shd w:val="clear" w:color="auto" w:fill="E6E7E8"/>
                                </w:tcPr>
                                <w:p>
                                  <w:pPr>
                                    <w:pStyle w:val="TableParagraph"/>
                                    <w:spacing w:line="292" w:lineRule="auto" w:before="40"/>
                                    <w:ind w:left="110" w:right="113" w:firstLine="50"/>
                                    <w:jc w:val="right"/>
                                    <w:rPr>
                                      <w:rFonts w:ascii="TT Norms Pro Light"/>
                                      <w:b w:val="0"/>
                                      <w:sz w:val="14"/>
                                    </w:rPr>
                                  </w:pPr>
                                  <w:r>
                                    <w:rPr>
                                      <w:rFonts w:ascii="TT Norms Pro Light"/>
                                      <w:b w:val="0"/>
                                      <w:sz w:val="14"/>
                                    </w:rPr>
                                    <w:t>Greater</w:t>
                                  </w:r>
                                  <w:r>
                                    <w:rPr>
                                      <w:rFonts w:ascii="TT Norms Pro Light"/>
                                      <w:b w:val="0"/>
                                      <w:spacing w:val="-7"/>
                                      <w:sz w:val="14"/>
                                    </w:rPr>
                                    <w:t> </w:t>
                                  </w:r>
                                  <w:r>
                                    <w:rPr>
                                      <w:rFonts w:ascii="TT Norms Pro Light"/>
                                      <w:b w:val="0"/>
                                      <w:sz w:val="14"/>
                                    </w:rPr>
                                    <w:t>than</w:t>
                                  </w:r>
                                  <w:r>
                                    <w:rPr>
                                      <w:rFonts w:ascii="TT Norms Pro Light"/>
                                      <w:b w:val="0"/>
                                      <w:spacing w:val="40"/>
                                      <w:sz w:val="14"/>
                                    </w:rPr>
                                    <w:t> </w:t>
                                  </w:r>
                                  <w:r>
                                    <w:rPr>
                                      <w:rFonts w:ascii="TT Norms Pro Light"/>
                                      <w:b w:val="0"/>
                                      <w:sz w:val="14"/>
                                    </w:rPr>
                                    <w:t>or equal to</w:t>
                                  </w:r>
                                  <w:r>
                                    <w:rPr>
                                      <w:rFonts w:ascii="TT Norms Pro Light"/>
                                      <w:b w:val="0"/>
                                      <w:spacing w:val="40"/>
                                      <w:sz w:val="14"/>
                                    </w:rPr>
                                    <w:t> </w:t>
                                  </w:r>
                                  <w:r>
                                    <w:rPr>
                                      <w:rFonts w:ascii="TT Norms Pro Light"/>
                                      <w:b w:val="0"/>
                                      <w:sz w:val="14"/>
                                    </w:rPr>
                                    <w:t>80% return </w:t>
                                  </w:r>
                                  <w:r>
                                    <w:rPr>
                                      <w:rFonts w:ascii="TT Norms Pro Light"/>
                                      <w:b w:val="0"/>
                                      <w:spacing w:val="-5"/>
                                      <w:sz w:val="14"/>
                                    </w:rPr>
                                    <w:t>to</w:t>
                                  </w:r>
                                </w:p>
                                <w:p>
                                  <w:pPr>
                                    <w:pStyle w:val="TableParagraph"/>
                                    <w:spacing w:before="1"/>
                                    <w:ind w:right="113"/>
                                    <w:jc w:val="right"/>
                                    <w:rPr>
                                      <w:rFonts w:ascii="TT Norms Pro Light"/>
                                      <w:b w:val="0"/>
                                      <w:sz w:val="14"/>
                                    </w:rPr>
                                  </w:pPr>
                                  <w:r>
                                    <w:rPr>
                                      <w:rFonts w:ascii="TT Norms Pro Light"/>
                                      <w:b w:val="0"/>
                                      <w:sz w:val="14"/>
                                    </w:rPr>
                                    <w:t>work</w:t>
                                  </w:r>
                                  <w:r>
                                    <w:rPr>
                                      <w:rFonts w:ascii="TT Norms Pro Light"/>
                                      <w:b w:val="0"/>
                                      <w:spacing w:val="4"/>
                                      <w:sz w:val="14"/>
                                    </w:rPr>
                                    <w:t> </w:t>
                                  </w:r>
                                  <w:r>
                                    <w:rPr>
                                      <w:rFonts w:ascii="TT Norms Pro Light"/>
                                      <w:b w:val="0"/>
                                      <w:sz w:val="14"/>
                                    </w:rPr>
                                    <w:t>within</w:t>
                                  </w:r>
                                  <w:r>
                                    <w:rPr>
                                      <w:rFonts w:ascii="TT Norms Pro Light"/>
                                      <w:b w:val="0"/>
                                      <w:spacing w:val="7"/>
                                      <w:sz w:val="14"/>
                                    </w:rPr>
                                    <w:t> </w:t>
                                  </w:r>
                                  <w:r>
                                    <w:rPr>
                                      <w:rFonts w:ascii="TT Norms Pro Light"/>
                                      <w:b w:val="0"/>
                                      <w:spacing w:val="-5"/>
                                      <w:sz w:val="14"/>
                                    </w:rPr>
                                    <w:t>26</w:t>
                                  </w:r>
                                </w:p>
                                <w:p>
                                  <w:pPr>
                                    <w:pStyle w:val="TableParagraph"/>
                                    <w:spacing w:before="36"/>
                                    <w:ind w:right="113"/>
                                    <w:jc w:val="right"/>
                                    <w:rPr>
                                      <w:rFonts w:ascii="TT Norms Pro Light"/>
                                      <w:b w:val="0"/>
                                      <w:sz w:val="14"/>
                                    </w:rPr>
                                  </w:pPr>
                                  <w:r>
                                    <w:rPr>
                                      <w:rFonts w:ascii="TT Norms Pro Light"/>
                                      <w:b w:val="0"/>
                                      <w:spacing w:val="-2"/>
                                      <w:sz w:val="14"/>
                                    </w:rPr>
                                    <w:t>weeks</w:t>
                                  </w:r>
                                </w:p>
                              </w:tc>
                              <w:tc>
                                <w:tcPr>
                                  <w:tcW w:w="1126" w:type="dxa"/>
                                  <w:vMerge w:val="restart"/>
                                  <w:tcBorders>
                                    <w:top w:val="single" w:sz="2" w:space="0" w:color="000000"/>
                                    <w:bottom w:val="single" w:sz="2" w:space="0" w:color="000000"/>
                                  </w:tcBorders>
                                </w:tcPr>
                                <w:p>
                                  <w:pPr>
                                    <w:pStyle w:val="TableParagraph"/>
                                    <w:spacing w:before="40"/>
                                    <w:ind w:left="538"/>
                                    <w:rPr>
                                      <w:rFonts w:ascii="TT Norms Pro Light"/>
                                      <w:b w:val="0"/>
                                      <w:sz w:val="14"/>
                                    </w:rPr>
                                  </w:pPr>
                                  <w:r>
                                    <w:rPr>
                                      <w:rFonts w:ascii="TT Norms Pro Light"/>
                                      <w:b w:val="0"/>
                                      <w:sz w:val="14"/>
                                    </w:rPr>
                                    <w:t>Not</w:t>
                                  </w:r>
                                  <w:r>
                                    <w:rPr>
                                      <w:rFonts w:ascii="TT Norms Pro Light"/>
                                      <w:b w:val="0"/>
                                      <w:spacing w:val="2"/>
                                      <w:sz w:val="14"/>
                                    </w:rPr>
                                    <w:t> </w:t>
                                  </w:r>
                                  <w:r>
                                    <w:rPr>
                                      <w:rFonts w:ascii="TT Norms Pro Light"/>
                                      <w:b w:val="0"/>
                                      <w:spacing w:val="-5"/>
                                      <w:sz w:val="14"/>
                                    </w:rPr>
                                    <w:t>Met</w:t>
                                  </w:r>
                                </w:p>
                              </w:tc>
                            </w:tr>
                            <w:tr>
                              <w:trPr>
                                <w:trHeight w:val="853" w:hRule="atLeast"/>
                              </w:trPr>
                              <w:tc>
                                <w:tcPr>
                                  <w:tcW w:w="2397" w:type="dxa"/>
                                  <w:tcBorders>
                                    <w:top w:val="single" w:sz="2" w:space="0" w:color="000000"/>
                                    <w:bottom w:val="single" w:sz="2" w:space="0" w:color="000000"/>
                                  </w:tcBorders>
                                  <w:shd w:val="clear" w:color="auto" w:fill="E6E7E8"/>
                                </w:tcPr>
                                <w:p>
                                  <w:pPr>
                                    <w:pStyle w:val="TableParagraph"/>
                                    <w:spacing w:line="292" w:lineRule="auto" w:before="40"/>
                                    <w:ind w:left="56" w:right="212"/>
                                    <w:rPr>
                                      <w:rFonts w:ascii="TT Norms Pro Light"/>
                                      <w:b w:val="0"/>
                                      <w:sz w:val="14"/>
                                    </w:rPr>
                                  </w:pPr>
                                  <w:r>
                                    <w:rPr>
                                      <w:rFonts w:ascii="TT Norms Pro Light"/>
                                      <w:b w:val="0"/>
                                      <w:sz w:val="14"/>
                                    </w:rPr>
                                    <w:t>Percentage of injured workers</w:t>
                                  </w:r>
                                  <w:r>
                                    <w:rPr>
                                      <w:rFonts w:ascii="TT Norms Pro Light"/>
                                      <w:b w:val="0"/>
                                      <w:spacing w:val="40"/>
                                      <w:sz w:val="14"/>
                                    </w:rPr>
                                    <w:t> </w:t>
                                  </w:r>
                                  <w:r>
                                    <w:rPr>
                                      <w:rFonts w:ascii="TT Norms Pro Light"/>
                                      <w:b w:val="0"/>
                                      <w:sz w:val="14"/>
                                    </w:rPr>
                                    <w:t>RTW within 26 weeks</w:t>
                                  </w:r>
                                </w:p>
                              </w:tc>
                              <w:tc>
                                <w:tcPr>
                                  <w:tcW w:w="750" w:type="dxa"/>
                                  <w:tcBorders>
                                    <w:top w:val="single" w:sz="2" w:space="0" w:color="000000"/>
                                    <w:bottom w:val="single" w:sz="2" w:space="0" w:color="000000"/>
                                  </w:tcBorders>
                                  <w:shd w:val="clear" w:color="auto" w:fill="E6E7E8"/>
                                </w:tcPr>
                                <w:p>
                                  <w:pPr>
                                    <w:pStyle w:val="TableParagraph"/>
                                    <w:spacing w:before="40"/>
                                    <w:ind w:right="106"/>
                                    <w:jc w:val="right"/>
                                    <w:rPr>
                                      <w:rFonts w:ascii="TT Norms Pro Light"/>
                                      <w:b w:val="0"/>
                                      <w:sz w:val="14"/>
                                    </w:rPr>
                                  </w:pPr>
                                  <w:r>
                                    <w:rPr>
                                      <w:rFonts w:ascii="TT Norms Pro Light"/>
                                      <w:b w:val="0"/>
                                      <w:spacing w:val="-5"/>
                                      <w:sz w:val="14"/>
                                    </w:rPr>
                                    <w:t>73</w:t>
                                  </w:r>
                                </w:p>
                              </w:tc>
                              <w:tc>
                                <w:tcPr>
                                  <w:tcW w:w="936" w:type="dxa"/>
                                  <w:tcBorders>
                                    <w:top w:val="single" w:sz="2" w:space="0" w:color="000000"/>
                                    <w:bottom w:val="single" w:sz="2" w:space="0" w:color="000000"/>
                                  </w:tcBorders>
                                </w:tcPr>
                                <w:p>
                                  <w:pPr>
                                    <w:pStyle w:val="TableParagraph"/>
                                    <w:spacing w:before="43"/>
                                    <w:ind w:right="112"/>
                                    <w:jc w:val="right"/>
                                    <w:rPr>
                                      <w:rFonts w:ascii="TT Norms Pro Light"/>
                                      <w:b w:val="0"/>
                                      <w:sz w:val="8"/>
                                    </w:rPr>
                                  </w:pPr>
                                  <w:r>
                                    <w:rPr>
                                      <w:rFonts w:ascii="TT Norms Pro Light"/>
                                      <w:b w:val="0"/>
                                      <w:spacing w:val="-5"/>
                                      <w:position w:val="-4"/>
                                      <w:sz w:val="14"/>
                                    </w:rPr>
                                    <w:t>0</w:t>
                                  </w:r>
                                  <w:r>
                                    <w:rPr>
                                      <w:rFonts w:ascii="TT Norms Pro Light"/>
                                      <w:b w:val="0"/>
                                      <w:spacing w:val="-5"/>
                                      <w:sz w:val="8"/>
                                    </w:rPr>
                                    <w:t>1</w:t>
                                  </w:r>
                                </w:p>
                              </w:tc>
                              <w:tc>
                                <w:tcPr>
                                  <w:tcW w:w="1078" w:type="dxa"/>
                                  <w:vMerge/>
                                  <w:tcBorders>
                                    <w:top w:val="nil"/>
                                    <w:bottom w:val="single" w:sz="2" w:space="0" w:color="000000"/>
                                  </w:tcBorders>
                                  <w:shd w:val="clear" w:color="auto" w:fill="E6E7E8"/>
                                </w:tcPr>
                                <w:p>
                                  <w:pPr>
                                    <w:rPr>
                                      <w:sz w:val="2"/>
                                      <w:szCs w:val="2"/>
                                    </w:rPr>
                                  </w:pPr>
                                </w:p>
                              </w:tc>
                              <w:tc>
                                <w:tcPr>
                                  <w:tcW w:w="1126" w:type="dxa"/>
                                  <w:vMerge/>
                                  <w:tcBorders>
                                    <w:top w:val="nil"/>
                                    <w:bottom w:val="single" w:sz="2" w:space="0" w:color="000000"/>
                                  </w:tcBorders>
                                </w:tcPr>
                                <w:p>
                                  <w:pPr>
                                    <w:rPr>
                                      <w:sz w:val="2"/>
                                      <w:szCs w:val="2"/>
                                    </w:rPr>
                                  </w:pPr>
                                </w:p>
                              </w:tc>
                            </w:tr>
                          </w:tbl>
                          <w:p>
                            <w:pPr>
                              <w:pStyle w:val="BodyText"/>
                            </w:pPr>
                          </w:p>
                        </w:txbxContent>
                      </wps:txbx>
                      <wps:bodyPr wrap="square" lIns="0" tIns="0" rIns="0" bIns="0" rtlCol="0">
                        <a:noAutofit/>
                      </wps:bodyPr>
                    </wps:wsp>
                  </a:graphicData>
                </a:graphic>
              </wp:inline>
            </w:drawing>
          </mc:Choice>
          <mc:Fallback>
            <w:pict>
              <v:shape style="width:314.25pt;height:168.85pt;mso-position-horizontal-relative:char;mso-position-vertical-relative:line" type="#_x0000_t202" id="docshape549"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397"/>
                        <w:gridCol w:w="750"/>
                        <w:gridCol w:w="936"/>
                        <w:gridCol w:w="1078"/>
                        <w:gridCol w:w="1126"/>
                      </w:tblGrid>
                      <w:tr>
                        <w:trPr>
                          <w:trHeight w:val="304" w:hRule="atLeast"/>
                        </w:trPr>
                        <w:tc>
                          <w:tcPr>
                            <w:tcW w:w="2397" w:type="dxa"/>
                            <w:tcBorders>
                              <w:top w:val="single" w:sz="4" w:space="0" w:color="000000"/>
                              <w:bottom w:val="single" w:sz="2" w:space="0" w:color="000000"/>
                            </w:tcBorders>
                            <w:shd w:val="clear" w:color="auto" w:fill="E6E7E8"/>
                          </w:tcPr>
                          <w:p>
                            <w:pPr>
                              <w:pStyle w:val="TableParagraph"/>
                              <w:spacing w:before="37"/>
                              <w:ind w:left="56"/>
                              <w:rPr>
                                <w:rFonts w:ascii="TT Norms Pro Light"/>
                                <w:b w:val="0"/>
                                <w:sz w:val="14"/>
                              </w:rPr>
                            </w:pPr>
                            <w:r>
                              <w:rPr>
                                <w:rFonts w:ascii="TT Norms Pro Light"/>
                                <w:b w:val="0"/>
                                <w:sz w:val="14"/>
                              </w:rPr>
                              <w:t>Number</w:t>
                            </w:r>
                            <w:r>
                              <w:rPr>
                                <w:rFonts w:ascii="TT Norms Pro Light"/>
                                <w:b w:val="0"/>
                                <w:spacing w:val="6"/>
                                <w:sz w:val="14"/>
                              </w:rPr>
                              <w:t> </w:t>
                            </w:r>
                            <w:r>
                              <w:rPr>
                                <w:rFonts w:ascii="TT Norms Pro Light"/>
                                <w:b w:val="0"/>
                                <w:sz w:val="14"/>
                              </w:rPr>
                              <w:t>of</w:t>
                            </w:r>
                            <w:r>
                              <w:rPr>
                                <w:rFonts w:ascii="TT Norms Pro Light"/>
                                <w:b w:val="0"/>
                                <w:spacing w:val="6"/>
                                <w:sz w:val="14"/>
                              </w:rPr>
                              <w:t> </w:t>
                            </w:r>
                            <w:r>
                              <w:rPr>
                                <w:rFonts w:ascii="TT Norms Pro Light"/>
                                <w:b w:val="0"/>
                                <w:spacing w:val="-2"/>
                                <w:sz w:val="14"/>
                              </w:rPr>
                              <w:t>fatalities</w:t>
                            </w:r>
                          </w:p>
                        </w:tc>
                        <w:tc>
                          <w:tcPr>
                            <w:tcW w:w="750" w:type="dxa"/>
                            <w:tcBorders>
                              <w:top w:val="single" w:sz="4" w:space="0" w:color="000000"/>
                              <w:bottom w:val="single" w:sz="2" w:space="0" w:color="000000"/>
                            </w:tcBorders>
                            <w:shd w:val="clear" w:color="auto" w:fill="E6E7E8"/>
                          </w:tcPr>
                          <w:p>
                            <w:pPr>
                              <w:pStyle w:val="TableParagraph"/>
                              <w:spacing w:before="37"/>
                              <w:ind w:right="111"/>
                              <w:jc w:val="right"/>
                              <w:rPr>
                                <w:rFonts w:ascii="TT Norms Pro Light"/>
                                <w:b w:val="0"/>
                                <w:sz w:val="14"/>
                              </w:rPr>
                            </w:pPr>
                            <w:r>
                              <w:rPr>
                                <w:rFonts w:ascii="TT Norms Pro Light"/>
                                <w:b w:val="0"/>
                                <w:spacing w:val="-10"/>
                                <w:sz w:val="14"/>
                              </w:rPr>
                              <w:t>0</w:t>
                            </w:r>
                          </w:p>
                        </w:tc>
                        <w:tc>
                          <w:tcPr>
                            <w:tcW w:w="936" w:type="dxa"/>
                            <w:tcBorders>
                              <w:top w:val="single" w:sz="4" w:space="0" w:color="000000"/>
                              <w:bottom w:val="single" w:sz="2" w:space="0" w:color="000000"/>
                            </w:tcBorders>
                          </w:tcPr>
                          <w:p>
                            <w:pPr>
                              <w:pStyle w:val="TableParagraph"/>
                              <w:spacing w:before="37"/>
                              <w:ind w:right="112"/>
                              <w:jc w:val="right"/>
                              <w:rPr>
                                <w:rFonts w:ascii="TT Norms Pro Light"/>
                                <w:b w:val="0"/>
                                <w:sz w:val="14"/>
                              </w:rPr>
                            </w:pPr>
                            <w:r>
                              <w:rPr>
                                <w:rFonts w:ascii="TT Norms Pro Light"/>
                                <w:b w:val="0"/>
                                <w:spacing w:val="-10"/>
                                <w:sz w:val="14"/>
                              </w:rPr>
                              <w:t>0</w:t>
                            </w:r>
                          </w:p>
                        </w:tc>
                        <w:tc>
                          <w:tcPr>
                            <w:tcW w:w="1078" w:type="dxa"/>
                            <w:tcBorders>
                              <w:top w:val="single" w:sz="4" w:space="0" w:color="000000"/>
                              <w:bottom w:val="single" w:sz="2" w:space="0" w:color="000000"/>
                            </w:tcBorders>
                            <w:shd w:val="clear" w:color="auto" w:fill="E6E7E8"/>
                          </w:tcPr>
                          <w:p>
                            <w:pPr>
                              <w:pStyle w:val="TableParagraph"/>
                              <w:spacing w:before="37"/>
                              <w:ind w:right="113"/>
                              <w:jc w:val="right"/>
                              <w:rPr>
                                <w:rFonts w:ascii="TT Norms Pro Light"/>
                                <w:b w:val="0"/>
                                <w:sz w:val="14"/>
                              </w:rPr>
                            </w:pPr>
                            <w:r>
                              <w:rPr>
                                <w:rFonts w:ascii="TT Norms Pro Light"/>
                                <w:b w:val="0"/>
                                <w:spacing w:val="-10"/>
                                <w:sz w:val="14"/>
                              </w:rPr>
                              <w:t>0</w:t>
                            </w:r>
                          </w:p>
                        </w:tc>
                        <w:tc>
                          <w:tcPr>
                            <w:tcW w:w="1126" w:type="dxa"/>
                            <w:tcBorders>
                              <w:top w:val="single" w:sz="4" w:space="0" w:color="000000"/>
                              <w:bottom w:val="single" w:sz="2" w:space="0" w:color="000000"/>
                            </w:tcBorders>
                          </w:tcPr>
                          <w:p>
                            <w:pPr>
                              <w:pStyle w:val="TableParagraph"/>
                              <w:spacing w:before="37"/>
                              <w:ind w:right="57"/>
                              <w:jc w:val="right"/>
                              <w:rPr>
                                <w:rFonts w:ascii="TT Norms Pro Light"/>
                                <w:b w:val="0"/>
                                <w:sz w:val="14"/>
                              </w:rPr>
                            </w:pPr>
                            <w:r>
                              <w:rPr>
                                <w:rFonts w:ascii="TT Norms Pro Light"/>
                                <w:b w:val="0"/>
                                <w:spacing w:val="-5"/>
                                <w:sz w:val="14"/>
                              </w:rPr>
                              <w:t>Met</w:t>
                            </w:r>
                          </w:p>
                        </w:tc>
                      </w:tr>
                      <w:tr>
                        <w:trPr>
                          <w:trHeight w:val="627" w:hRule="atLeast"/>
                        </w:trPr>
                        <w:tc>
                          <w:tcPr>
                            <w:tcW w:w="2397" w:type="dxa"/>
                            <w:tcBorders>
                              <w:top w:val="single" w:sz="2" w:space="0" w:color="000000"/>
                              <w:bottom w:val="single" w:sz="2" w:space="0" w:color="000000"/>
                            </w:tcBorders>
                            <w:shd w:val="clear" w:color="auto" w:fill="E6E7E8"/>
                          </w:tcPr>
                          <w:p>
                            <w:pPr>
                              <w:pStyle w:val="TableParagraph"/>
                              <w:spacing w:line="292" w:lineRule="auto" w:before="40"/>
                              <w:ind w:left="56" w:right="212"/>
                              <w:rPr>
                                <w:rFonts w:ascii="TT Norms Pro Light"/>
                                <w:b w:val="0"/>
                                <w:sz w:val="14"/>
                              </w:rPr>
                            </w:pPr>
                            <w:r>
                              <w:rPr>
                                <w:rFonts w:ascii="TT Norms Pro Light"/>
                                <w:b w:val="0"/>
                                <w:sz w:val="14"/>
                              </w:rPr>
                              <w:t>Lost time injury and disease</w:t>
                            </w:r>
                            <w:r>
                              <w:rPr>
                                <w:rFonts w:ascii="TT Norms Pro Light"/>
                                <w:b w:val="0"/>
                                <w:spacing w:val="40"/>
                                <w:sz w:val="14"/>
                              </w:rPr>
                              <w:t> </w:t>
                            </w:r>
                            <w:r>
                              <w:rPr>
                                <w:rFonts w:ascii="TT Norms Pro Light"/>
                                <w:b w:val="0"/>
                                <w:sz w:val="14"/>
                              </w:rPr>
                              <w:t>incidence</w:t>
                            </w:r>
                            <w:r>
                              <w:rPr>
                                <w:rFonts w:ascii="TT Norms Pro Light"/>
                                <w:b w:val="0"/>
                                <w:spacing w:val="-7"/>
                                <w:sz w:val="14"/>
                              </w:rPr>
                              <w:t> </w:t>
                            </w:r>
                            <w:r>
                              <w:rPr>
                                <w:rFonts w:ascii="TT Norms Pro Light"/>
                                <w:b w:val="0"/>
                                <w:sz w:val="14"/>
                              </w:rPr>
                              <w:t>rate</w:t>
                            </w:r>
                          </w:p>
                        </w:tc>
                        <w:tc>
                          <w:tcPr>
                            <w:tcW w:w="750" w:type="dxa"/>
                            <w:tcBorders>
                              <w:top w:val="single" w:sz="2" w:space="0" w:color="000000"/>
                              <w:bottom w:val="single" w:sz="2" w:space="0" w:color="000000"/>
                            </w:tcBorders>
                            <w:shd w:val="clear" w:color="auto" w:fill="E6E7E8"/>
                          </w:tcPr>
                          <w:p>
                            <w:pPr>
                              <w:pStyle w:val="TableParagraph"/>
                              <w:spacing w:before="40"/>
                              <w:ind w:right="111"/>
                              <w:jc w:val="right"/>
                              <w:rPr>
                                <w:rFonts w:ascii="TT Norms Pro Light"/>
                                <w:b w:val="0"/>
                                <w:sz w:val="14"/>
                              </w:rPr>
                            </w:pPr>
                            <w:r>
                              <w:rPr>
                                <w:rFonts w:ascii="TT Norms Pro Light"/>
                                <w:b w:val="0"/>
                                <w:spacing w:val="-5"/>
                                <w:sz w:val="14"/>
                              </w:rPr>
                              <w:t>0.5</w:t>
                            </w:r>
                          </w:p>
                        </w:tc>
                        <w:tc>
                          <w:tcPr>
                            <w:tcW w:w="936" w:type="dxa"/>
                            <w:tcBorders>
                              <w:top w:val="single" w:sz="2" w:space="0" w:color="000000"/>
                              <w:bottom w:val="single" w:sz="2" w:space="0" w:color="000000"/>
                            </w:tcBorders>
                          </w:tcPr>
                          <w:p>
                            <w:pPr>
                              <w:pStyle w:val="TableParagraph"/>
                              <w:spacing w:before="40"/>
                              <w:ind w:right="112"/>
                              <w:jc w:val="right"/>
                              <w:rPr>
                                <w:rFonts w:ascii="TT Norms Pro Light"/>
                                <w:b w:val="0"/>
                                <w:sz w:val="14"/>
                              </w:rPr>
                            </w:pPr>
                            <w:r>
                              <w:rPr>
                                <w:rFonts w:ascii="TT Norms Pro Light"/>
                                <w:b w:val="0"/>
                                <w:spacing w:val="-5"/>
                                <w:sz w:val="14"/>
                              </w:rPr>
                              <w:t>0.2</w:t>
                            </w:r>
                          </w:p>
                        </w:tc>
                        <w:tc>
                          <w:tcPr>
                            <w:tcW w:w="1078" w:type="dxa"/>
                            <w:tcBorders>
                              <w:top w:val="single" w:sz="2" w:space="0" w:color="000000"/>
                              <w:bottom w:val="single" w:sz="2" w:space="0" w:color="000000"/>
                            </w:tcBorders>
                            <w:shd w:val="clear" w:color="auto" w:fill="E6E7E8"/>
                          </w:tcPr>
                          <w:p>
                            <w:pPr>
                              <w:pStyle w:val="TableParagraph"/>
                              <w:spacing w:line="200" w:lineRule="atLeast" w:before="4"/>
                              <w:ind w:left="65" w:right="113" w:firstLine="383"/>
                              <w:jc w:val="right"/>
                              <w:rPr>
                                <w:rFonts w:ascii="TT Norms Pro Light"/>
                                <w:b w:val="0"/>
                                <w:sz w:val="14"/>
                              </w:rPr>
                            </w:pPr>
                            <w:r>
                              <w:rPr>
                                <w:rFonts w:ascii="TT Norms Pro Light"/>
                                <w:b w:val="0"/>
                                <w:spacing w:val="-2"/>
                                <w:sz w:val="14"/>
                              </w:rPr>
                              <w:t>0</w:t>
                            </w:r>
                            <w:r>
                              <w:rPr>
                                <w:rFonts w:ascii="TT Norms Pro Light"/>
                                <w:b w:val="0"/>
                                <w:spacing w:val="-9"/>
                                <w:sz w:val="14"/>
                              </w:rPr>
                              <w:t> </w:t>
                            </w:r>
                            <w:r>
                              <w:rPr>
                                <w:rFonts w:ascii="TT Norms Pro Light"/>
                                <w:b w:val="0"/>
                                <w:spacing w:val="-2"/>
                                <w:sz w:val="14"/>
                              </w:rPr>
                              <w:t>or</w:t>
                            </w:r>
                            <w:r>
                              <w:rPr>
                                <w:rFonts w:ascii="TT Norms Pro Light"/>
                                <w:b w:val="0"/>
                                <w:spacing w:val="-5"/>
                                <w:sz w:val="14"/>
                              </w:rPr>
                              <w:t> </w:t>
                            </w:r>
                            <w:r>
                              <w:rPr>
                                <w:rFonts w:ascii="TT Norms Pro Light"/>
                                <w:b w:val="0"/>
                                <w:spacing w:val="-2"/>
                                <w:sz w:val="14"/>
                              </w:rPr>
                              <w:t>10%</w:t>
                            </w:r>
                            <w:r>
                              <w:rPr>
                                <w:rFonts w:ascii="TT Norms Pro Light"/>
                                <w:b w:val="0"/>
                                <w:spacing w:val="40"/>
                                <w:sz w:val="14"/>
                              </w:rPr>
                              <w:t> </w:t>
                            </w:r>
                            <w:r>
                              <w:rPr>
                                <w:rFonts w:ascii="TT Norms Pro Light"/>
                                <w:b w:val="0"/>
                                <w:sz w:val="14"/>
                              </w:rPr>
                              <w:t>reduction</w:t>
                            </w:r>
                            <w:r>
                              <w:rPr>
                                <w:rFonts w:ascii="TT Norms Pro Light"/>
                                <w:b w:val="0"/>
                                <w:spacing w:val="-7"/>
                                <w:sz w:val="14"/>
                              </w:rPr>
                              <w:t> </w:t>
                            </w:r>
                            <w:r>
                              <w:rPr>
                                <w:rFonts w:ascii="TT Norms Pro Light"/>
                                <w:b w:val="0"/>
                                <w:sz w:val="14"/>
                              </w:rPr>
                              <w:t>in</w:t>
                            </w:r>
                            <w:r>
                              <w:rPr>
                                <w:rFonts w:ascii="TT Norms Pro Light"/>
                                <w:b w:val="0"/>
                                <w:spacing w:val="40"/>
                                <w:sz w:val="14"/>
                              </w:rPr>
                              <w:t> </w:t>
                            </w:r>
                            <w:r>
                              <w:rPr>
                                <w:rFonts w:ascii="TT Norms Pro Light"/>
                                <w:b w:val="0"/>
                                <w:sz w:val="14"/>
                              </w:rPr>
                              <w:t>incidence</w:t>
                            </w:r>
                            <w:r>
                              <w:rPr>
                                <w:rFonts w:ascii="TT Norms Pro Light"/>
                                <w:b w:val="0"/>
                                <w:spacing w:val="14"/>
                                <w:sz w:val="14"/>
                              </w:rPr>
                              <w:t> </w:t>
                            </w:r>
                            <w:r>
                              <w:rPr>
                                <w:rFonts w:ascii="TT Norms Pro Light"/>
                                <w:b w:val="0"/>
                                <w:spacing w:val="-4"/>
                                <w:sz w:val="14"/>
                              </w:rPr>
                              <w:t>rate</w:t>
                            </w:r>
                          </w:p>
                        </w:tc>
                        <w:tc>
                          <w:tcPr>
                            <w:tcW w:w="1126" w:type="dxa"/>
                            <w:tcBorders>
                              <w:top w:val="single" w:sz="2" w:space="0" w:color="000000"/>
                              <w:bottom w:val="single" w:sz="2" w:space="0" w:color="000000"/>
                            </w:tcBorders>
                          </w:tcPr>
                          <w:p>
                            <w:pPr>
                              <w:pStyle w:val="TableParagraph"/>
                              <w:spacing w:before="40"/>
                              <w:ind w:right="56"/>
                              <w:jc w:val="right"/>
                              <w:rPr>
                                <w:rFonts w:ascii="TT Norms Pro Light"/>
                                <w:b w:val="0"/>
                                <w:sz w:val="14"/>
                              </w:rPr>
                            </w:pPr>
                            <w:r>
                              <w:rPr>
                                <w:rFonts w:ascii="TT Norms Pro Light"/>
                                <w:b w:val="0"/>
                                <w:spacing w:val="-5"/>
                                <w:sz w:val="14"/>
                              </w:rPr>
                              <w:t>Met</w:t>
                            </w:r>
                          </w:p>
                        </w:tc>
                      </w:tr>
                      <w:tr>
                        <w:trPr>
                          <w:trHeight w:val="728" w:hRule="atLeast"/>
                        </w:trPr>
                        <w:tc>
                          <w:tcPr>
                            <w:tcW w:w="2397" w:type="dxa"/>
                            <w:tcBorders>
                              <w:top w:val="single" w:sz="2" w:space="0" w:color="000000"/>
                              <w:bottom w:val="single" w:sz="2" w:space="0" w:color="000000"/>
                            </w:tcBorders>
                            <w:shd w:val="clear" w:color="auto" w:fill="E6E7E8"/>
                          </w:tcPr>
                          <w:p>
                            <w:pPr>
                              <w:pStyle w:val="TableParagraph"/>
                              <w:spacing w:line="292" w:lineRule="auto" w:before="40"/>
                              <w:ind w:left="56" w:right="212"/>
                              <w:rPr>
                                <w:rFonts w:ascii="TT Norms Pro Light"/>
                                <w:b w:val="0"/>
                                <w:sz w:val="14"/>
                              </w:rPr>
                            </w:pPr>
                            <w:r>
                              <w:rPr>
                                <w:rFonts w:ascii="TT Norms Pro Light"/>
                                <w:b w:val="0"/>
                                <w:sz w:val="14"/>
                              </w:rPr>
                              <w:t>Lost time injury and disease</w:t>
                            </w:r>
                            <w:r>
                              <w:rPr>
                                <w:rFonts w:ascii="TT Norms Pro Light"/>
                                <w:b w:val="0"/>
                                <w:spacing w:val="40"/>
                                <w:sz w:val="14"/>
                              </w:rPr>
                              <w:t> </w:t>
                            </w:r>
                            <w:r>
                              <w:rPr>
                                <w:rFonts w:ascii="TT Norms Pro Light"/>
                                <w:b w:val="0"/>
                                <w:sz w:val="14"/>
                              </w:rPr>
                              <w:t>severity</w:t>
                            </w:r>
                            <w:r>
                              <w:rPr>
                                <w:rFonts w:ascii="TT Norms Pro Light"/>
                                <w:b w:val="0"/>
                                <w:spacing w:val="-7"/>
                                <w:sz w:val="14"/>
                              </w:rPr>
                              <w:t> </w:t>
                            </w:r>
                            <w:r>
                              <w:rPr>
                                <w:rFonts w:ascii="TT Norms Pro Light"/>
                                <w:b w:val="0"/>
                                <w:sz w:val="14"/>
                              </w:rPr>
                              <w:t>rate</w:t>
                            </w:r>
                          </w:p>
                        </w:tc>
                        <w:tc>
                          <w:tcPr>
                            <w:tcW w:w="750" w:type="dxa"/>
                            <w:tcBorders>
                              <w:top w:val="single" w:sz="2" w:space="0" w:color="000000"/>
                              <w:bottom w:val="single" w:sz="2" w:space="0" w:color="000000"/>
                            </w:tcBorders>
                            <w:shd w:val="clear" w:color="auto" w:fill="E6E7E8"/>
                          </w:tcPr>
                          <w:p>
                            <w:pPr>
                              <w:pStyle w:val="TableParagraph"/>
                              <w:spacing w:before="40"/>
                              <w:ind w:right="111"/>
                              <w:jc w:val="right"/>
                              <w:rPr>
                                <w:rFonts w:ascii="TT Norms Pro Light"/>
                                <w:b w:val="0"/>
                                <w:sz w:val="14"/>
                              </w:rPr>
                            </w:pPr>
                            <w:r>
                              <w:rPr>
                                <w:rFonts w:ascii="TT Norms Pro Light"/>
                                <w:b w:val="0"/>
                                <w:spacing w:val="-10"/>
                                <w:sz w:val="14"/>
                              </w:rPr>
                              <w:t>0</w:t>
                            </w:r>
                          </w:p>
                        </w:tc>
                        <w:tc>
                          <w:tcPr>
                            <w:tcW w:w="936" w:type="dxa"/>
                            <w:tcBorders>
                              <w:top w:val="single" w:sz="2" w:space="0" w:color="000000"/>
                              <w:bottom w:val="single" w:sz="2" w:space="0" w:color="000000"/>
                            </w:tcBorders>
                          </w:tcPr>
                          <w:p>
                            <w:pPr>
                              <w:pStyle w:val="TableParagraph"/>
                              <w:spacing w:before="40"/>
                              <w:ind w:right="112"/>
                              <w:jc w:val="right"/>
                              <w:rPr>
                                <w:rFonts w:ascii="TT Norms Pro Light"/>
                                <w:b w:val="0"/>
                                <w:sz w:val="14"/>
                              </w:rPr>
                            </w:pPr>
                            <w:r>
                              <w:rPr>
                                <w:rFonts w:ascii="TT Norms Pro Light"/>
                                <w:b w:val="0"/>
                                <w:spacing w:val="-10"/>
                                <w:sz w:val="14"/>
                              </w:rPr>
                              <w:t>0</w:t>
                            </w:r>
                          </w:p>
                        </w:tc>
                        <w:tc>
                          <w:tcPr>
                            <w:tcW w:w="1078" w:type="dxa"/>
                            <w:tcBorders>
                              <w:top w:val="single" w:sz="2" w:space="0" w:color="000000"/>
                              <w:bottom w:val="single" w:sz="2" w:space="0" w:color="000000"/>
                            </w:tcBorders>
                            <w:shd w:val="clear" w:color="auto" w:fill="E6E7E8"/>
                          </w:tcPr>
                          <w:p>
                            <w:pPr>
                              <w:pStyle w:val="TableParagraph"/>
                              <w:spacing w:line="292" w:lineRule="auto" w:before="40"/>
                              <w:ind w:left="197" w:right="112" w:firstLine="252"/>
                              <w:jc w:val="both"/>
                              <w:rPr>
                                <w:rFonts w:ascii="TT Norms Pro Light"/>
                                <w:b w:val="0"/>
                                <w:sz w:val="14"/>
                              </w:rPr>
                            </w:pPr>
                            <w:r>
                              <w:rPr>
                                <w:rFonts w:ascii="TT Norms Pro Light"/>
                                <w:b w:val="0"/>
                                <w:spacing w:val="-2"/>
                                <w:sz w:val="14"/>
                              </w:rPr>
                              <w:t>0</w:t>
                            </w:r>
                            <w:r>
                              <w:rPr>
                                <w:rFonts w:ascii="TT Norms Pro Light"/>
                                <w:b w:val="0"/>
                                <w:spacing w:val="-7"/>
                                <w:sz w:val="14"/>
                              </w:rPr>
                              <w:t> </w:t>
                            </w:r>
                            <w:r>
                              <w:rPr>
                                <w:rFonts w:ascii="TT Norms Pro Light"/>
                                <w:b w:val="0"/>
                                <w:spacing w:val="-2"/>
                                <w:sz w:val="14"/>
                              </w:rPr>
                              <w:t>or</w:t>
                            </w:r>
                            <w:r>
                              <w:rPr>
                                <w:rFonts w:ascii="TT Norms Pro Light"/>
                                <w:b w:val="0"/>
                                <w:spacing w:val="-5"/>
                                <w:sz w:val="14"/>
                              </w:rPr>
                              <w:t> </w:t>
                            </w:r>
                            <w:r>
                              <w:rPr>
                                <w:rFonts w:ascii="TT Norms Pro Light"/>
                                <w:b w:val="0"/>
                                <w:spacing w:val="-2"/>
                                <w:sz w:val="14"/>
                              </w:rPr>
                              <w:t>10%</w:t>
                            </w:r>
                            <w:r>
                              <w:rPr>
                                <w:rFonts w:ascii="TT Norms Pro Light"/>
                                <w:b w:val="0"/>
                                <w:spacing w:val="40"/>
                                <w:sz w:val="14"/>
                              </w:rPr>
                              <w:t> </w:t>
                            </w:r>
                            <w:r>
                              <w:rPr>
                                <w:rFonts w:ascii="TT Norms Pro Light"/>
                                <w:b w:val="0"/>
                                <w:sz w:val="14"/>
                              </w:rPr>
                              <w:t>reduction</w:t>
                            </w:r>
                            <w:r>
                              <w:rPr>
                                <w:rFonts w:ascii="TT Norms Pro Light"/>
                                <w:b w:val="0"/>
                                <w:spacing w:val="-7"/>
                                <w:sz w:val="14"/>
                              </w:rPr>
                              <w:t> </w:t>
                            </w:r>
                            <w:r>
                              <w:rPr>
                                <w:rFonts w:ascii="TT Norms Pro Light"/>
                                <w:b w:val="0"/>
                                <w:sz w:val="14"/>
                              </w:rPr>
                              <w:t>in</w:t>
                            </w:r>
                            <w:r>
                              <w:rPr>
                                <w:rFonts w:ascii="TT Norms Pro Light"/>
                                <w:b w:val="0"/>
                                <w:spacing w:val="40"/>
                                <w:sz w:val="14"/>
                              </w:rPr>
                              <w:t> </w:t>
                            </w:r>
                            <w:r>
                              <w:rPr>
                                <w:rFonts w:ascii="TT Norms Pro Light"/>
                                <w:b w:val="0"/>
                                <w:sz w:val="14"/>
                              </w:rPr>
                              <w:t>severity</w:t>
                            </w:r>
                            <w:r>
                              <w:rPr>
                                <w:rFonts w:ascii="TT Norms Pro Light"/>
                                <w:b w:val="0"/>
                                <w:spacing w:val="9"/>
                                <w:sz w:val="14"/>
                              </w:rPr>
                              <w:t> </w:t>
                            </w:r>
                            <w:r>
                              <w:rPr>
                                <w:rFonts w:ascii="TT Norms Pro Light"/>
                                <w:b w:val="0"/>
                                <w:spacing w:val="-4"/>
                                <w:sz w:val="14"/>
                              </w:rPr>
                              <w:t>rate</w:t>
                            </w:r>
                          </w:p>
                        </w:tc>
                        <w:tc>
                          <w:tcPr>
                            <w:tcW w:w="1126" w:type="dxa"/>
                            <w:tcBorders>
                              <w:top w:val="single" w:sz="2" w:space="0" w:color="000000"/>
                              <w:bottom w:val="single" w:sz="2" w:space="0" w:color="000000"/>
                            </w:tcBorders>
                          </w:tcPr>
                          <w:p>
                            <w:pPr>
                              <w:pStyle w:val="TableParagraph"/>
                              <w:spacing w:before="40"/>
                              <w:ind w:right="56"/>
                              <w:jc w:val="right"/>
                              <w:rPr>
                                <w:rFonts w:ascii="TT Norms Pro Light"/>
                                <w:b w:val="0"/>
                                <w:sz w:val="14"/>
                              </w:rPr>
                            </w:pPr>
                            <w:r>
                              <w:rPr>
                                <w:rFonts w:ascii="TT Norms Pro Light"/>
                                <w:b w:val="0"/>
                                <w:spacing w:val="-5"/>
                                <w:sz w:val="14"/>
                              </w:rPr>
                              <w:t>Met</w:t>
                            </w:r>
                          </w:p>
                        </w:tc>
                      </w:tr>
                      <w:tr>
                        <w:trPr>
                          <w:trHeight w:val="826" w:hRule="atLeast"/>
                        </w:trPr>
                        <w:tc>
                          <w:tcPr>
                            <w:tcW w:w="2397" w:type="dxa"/>
                            <w:tcBorders>
                              <w:top w:val="single" w:sz="2" w:space="0" w:color="000000"/>
                              <w:bottom w:val="single" w:sz="2" w:space="0" w:color="000000"/>
                            </w:tcBorders>
                            <w:shd w:val="clear" w:color="auto" w:fill="E6E7E8"/>
                          </w:tcPr>
                          <w:p>
                            <w:pPr>
                              <w:pStyle w:val="TableParagraph"/>
                              <w:spacing w:line="292" w:lineRule="auto" w:before="40"/>
                              <w:ind w:left="56" w:right="439"/>
                              <w:jc w:val="both"/>
                              <w:rPr>
                                <w:rFonts w:ascii="TT Norms Pro Light"/>
                                <w:b w:val="0"/>
                                <w:sz w:val="14"/>
                              </w:rPr>
                            </w:pPr>
                            <w:r>
                              <w:rPr>
                                <w:rFonts w:ascii="TT Norms Pro Light"/>
                                <w:b w:val="0"/>
                                <w:sz w:val="14"/>
                              </w:rPr>
                              <w:t>Percentage of injured workers</w:t>
                            </w:r>
                            <w:r>
                              <w:rPr>
                                <w:rFonts w:ascii="TT Norms Pro Light"/>
                                <w:b w:val="0"/>
                                <w:spacing w:val="40"/>
                                <w:sz w:val="14"/>
                              </w:rPr>
                              <w:t> </w:t>
                            </w:r>
                            <w:r>
                              <w:rPr>
                                <w:rFonts w:ascii="TT Norms Pro Light"/>
                                <w:b w:val="0"/>
                                <w:sz w:val="14"/>
                              </w:rPr>
                              <w:t>returned to work (RTW) within</w:t>
                            </w:r>
                            <w:r>
                              <w:rPr>
                                <w:rFonts w:ascii="TT Norms Pro Light"/>
                                <w:b w:val="0"/>
                                <w:spacing w:val="40"/>
                                <w:sz w:val="14"/>
                              </w:rPr>
                              <w:t> </w:t>
                            </w:r>
                            <w:r>
                              <w:rPr>
                                <w:rFonts w:ascii="TT Norms Pro Light"/>
                                <w:b w:val="0"/>
                                <w:sz w:val="14"/>
                              </w:rPr>
                              <w:t>13</w:t>
                            </w:r>
                            <w:r>
                              <w:rPr>
                                <w:rFonts w:ascii="TT Norms Pro Light"/>
                                <w:b w:val="0"/>
                                <w:spacing w:val="-7"/>
                                <w:sz w:val="14"/>
                              </w:rPr>
                              <w:t> </w:t>
                            </w:r>
                            <w:r>
                              <w:rPr>
                                <w:rFonts w:ascii="TT Norms Pro Light"/>
                                <w:b w:val="0"/>
                                <w:sz w:val="14"/>
                              </w:rPr>
                              <w:t>weeks</w:t>
                            </w:r>
                          </w:p>
                        </w:tc>
                        <w:tc>
                          <w:tcPr>
                            <w:tcW w:w="750" w:type="dxa"/>
                            <w:tcBorders>
                              <w:top w:val="single" w:sz="2" w:space="0" w:color="000000"/>
                              <w:bottom w:val="single" w:sz="2" w:space="0" w:color="000000"/>
                            </w:tcBorders>
                            <w:shd w:val="clear" w:color="auto" w:fill="E6E7E8"/>
                          </w:tcPr>
                          <w:p>
                            <w:pPr>
                              <w:pStyle w:val="TableParagraph"/>
                              <w:spacing w:before="40"/>
                              <w:ind w:right="111"/>
                              <w:jc w:val="right"/>
                              <w:rPr>
                                <w:rFonts w:ascii="TT Norms Pro Light"/>
                                <w:b w:val="0"/>
                                <w:sz w:val="14"/>
                              </w:rPr>
                            </w:pPr>
                            <w:r>
                              <w:rPr>
                                <w:rFonts w:ascii="TT Norms Pro Light"/>
                                <w:b w:val="0"/>
                                <w:spacing w:val="-5"/>
                                <w:sz w:val="14"/>
                              </w:rPr>
                              <w:t>58</w:t>
                            </w:r>
                          </w:p>
                        </w:tc>
                        <w:tc>
                          <w:tcPr>
                            <w:tcW w:w="936" w:type="dxa"/>
                            <w:tcBorders>
                              <w:top w:val="single" w:sz="2" w:space="0" w:color="000000"/>
                              <w:bottom w:val="single" w:sz="2" w:space="0" w:color="000000"/>
                            </w:tcBorders>
                          </w:tcPr>
                          <w:p>
                            <w:pPr>
                              <w:pStyle w:val="TableParagraph"/>
                              <w:spacing w:before="40"/>
                              <w:ind w:right="112"/>
                              <w:jc w:val="right"/>
                              <w:rPr>
                                <w:rFonts w:ascii="TT Norms Pro Light"/>
                                <w:b w:val="0"/>
                                <w:sz w:val="8"/>
                              </w:rPr>
                            </w:pPr>
                            <w:r>
                              <w:rPr>
                                <w:rFonts w:ascii="TT Norms Pro Light"/>
                                <w:b w:val="0"/>
                                <w:spacing w:val="-5"/>
                                <w:sz w:val="14"/>
                              </w:rPr>
                              <w:t>17</w:t>
                            </w:r>
                            <w:r>
                              <w:rPr>
                                <w:rFonts w:ascii="TT Norms Pro Light"/>
                                <w:b w:val="0"/>
                                <w:spacing w:val="-5"/>
                                <w:position w:val="5"/>
                                <w:sz w:val="8"/>
                              </w:rPr>
                              <w:t>1</w:t>
                            </w:r>
                          </w:p>
                        </w:tc>
                        <w:tc>
                          <w:tcPr>
                            <w:tcW w:w="1078" w:type="dxa"/>
                            <w:vMerge w:val="restart"/>
                            <w:tcBorders>
                              <w:top w:val="single" w:sz="2" w:space="0" w:color="000000"/>
                              <w:bottom w:val="single" w:sz="2" w:space="0" w:color="000000"/>
                            </w:tcBorders>
                            <w:shd w:val="clear" w:color="auto" w:fill="E6E7E8"/>
                          </w:tcPr>
                          <w:p>
                            <w:pPr>
                              <w:pStyle w:val="TableParagraph"/>
                              <w:spacing w:line="292" w:lineRule="auto" w:before="40"/>
                              <w:ind w:left="110" w:right="113" w:firstLine="50"/>
                              <w:jc w:val="right"/>
                              <w:rPr>
                                <w:rFonts w:ascii="TT Norms Pro Light"/>
                                <w:b w:val="0"/>
                                <w:sz w:val="14"/>
                              </w:rPr>
                            </w:pPr>
                            <w:r>
                              <w:rPr>
                                <w:rFonts w:ascii="TT Norms Pro Light"/>
                                <w:b w:val="0"/>
                                <w:sz w:val="14"/>
                              </w:rPr>
                              <w:t>Greater</w:t>
                            </w:r>
                            <w:r>
                              <w:rPr>
                                <w:rFonts w:ascii="TT Norms Pro Light"/>
                                <w:b w:val="0"/>
                                <w:spacing w:val="-7"/>
                                <w:sz w:val="14"/>
                              </w:rPr>
                              <w:t> </w:t>
                            </w:r>
                            <w:r>
                              <w:rPr>
                                <w:rFonts w:ascii="TT Norms Pro Light"/>
                                <w:b w:val="0"/>
                                <w:sz w:val="14"/>
                              </w:rPr>
                              <w:t>than</w:t>
                            </w:r>
                            <w:r>
                              <w:rPr>
                                <w:rFonts w:ascii="TT Norms Pro Light"/>
                                <w:b w:val="0"/>
                                <w:spacing w:val="40"/>
                                <w:sz w:val="14"/>
                              </w:rPr>
                              <w:t> </w:t>
                            </w:r>
                            <w:r>
                              <w:rPr>
                                <w:rFonts w:ascii="TT Norms Pro Light"/>
                                <w:b w:val="0"/>
                                <w:sz w:val="14"/>
                              </w:rPr>
                              <w:t>or equal to</w:t>
                            </w:r>
                            <w:r>
                              <w:rPr>
                                <w:rFonts w:ascii="TT Norms Pro Light"/>
                                <w:b w:val="0"/>
                                <w:spacing w:val="40"/>
                                <w:sz w:val="14"/>
                              </w:rPr>
                              <w:t> </w:t>
                            </w:r>
                            <w:r>
                              <w:rPr>
                                <w:rFonts w:ascii="TT Norms Pro Light"/>
                                <w:b w:val="0"/>
                                <w:sz w:val="14"/>
                              </w:rPr>
                              <w:t>80% return </w:t>
                            </w:r>
                            <w:r>
                              <w:rPr>
                                <w:rFonts w:ascii="TT Norms Pro Light"/>
                                <w:b w:val="0"/>
                                <w:spacing w:val="-5"/>
                                <w:sz w:val="14"/>
                              </w:rPr>
                              <w:t>to</w:t>
                            </w:r>
                          </w:p>
                          <w:p>
                            <w:pPr>
                              <w:pStyle w:val="TableParagraph"/>
                              <w:spacing w:before="1"/>
                              <w:ind w:right="113"/>
                              <w:jc w:val="right"/>
                              <w:rPr>
                                <w:rFonts w:ascii="TT Norms Pro Light"/>
                                <w:b w:val="0"/>
                                <w:sz w:val="14"/>
                              </w:rPr>
                            </w:pPr>
                            <w:r>
                              <w:rPr>
                                <w:rFonts w:ascii="TT Norms Pro Light"/>
                                <w:b w:val="0"/>
                                <w:sz w:val="14"/>
                              </w:rPr>
                              <w:t>work</w:t>
                            </w:r>
                            <w:r>
                              <w:rPr>
                                <w:rFonts w:ascii="TT Norms Pro Light"/>
                                <w:b w:val="0"/>
                                <w:spacing w:val="4"/>
                                <w:sz w:val="14"/>
                              </w:rPr>
                              <w:t> </w:t>
                            </w:r>
                            <w:r>
                              <w:rPr>
                                <w:rFonts w:ascii="TT Norms Pro Light"/>
                                <w:b w:val="0"/>
                                <w:sz w:val="14"/>
                              </w:rPr>
                              <w:t>within</w:t>
                            </w:r>
                            <w:r>
                              <w:rPr>
                                <w:rFonts w:ascii="TT Norms Pro Light"/>
                                <w:b w:val="0"/>
                                <w:spacing w:val="7"/>
                                <w:sz w:val="14"/>
                              </w:rPr>
                              <w:t> </w:t>
                            </w:r>
                            <w:r>
                              <w:rPr>
                                <w:rFonts w:ascii="TT Norms Pro Light"/>
                                <w:b w:val="0"/>
                                <w:spacing w:val="-5"/>
                                <w:sz w:val="14"/>
                              </w:rPr>
                              <w:t>26</w:t>
                            </w:r>
                          </w:p>
                          <w:p>
                            <w:pPr>
                              <w:pStyle w:val="TableParagraph"/>
                              <w:spacing w:before="36"/>
                              <w:ind w:right="113"/>
                              <w:jc w:val="right"/>
                              <w:rPr>
                                <w:rFonts w:ascii="TT Norms Pro Light"/>
                                <w:b w:val="0"/>
                                <w:sz w:val="14"/>
                              </w:rPr>
                            </w:pPr>
                            <w:r>
                              <w:rPr>
                                <w:rFonts w:ascii="TT Norms Pro Light"/>
                                <w:b w:val="0"/>
                                <w:spacing w:val="-2"/>
                                <w:sz w:val="14"/>
                              </w:rPr>
                              <w:t>weeks</w:t>
                            </w:r>
                          </w:p>
                        </w:tc>
                        <w:tc>
                          <w:tcPr>
                            <w:tcW w:w="1126" w:type="dxa"/>
                            <w:vMerge w:val="restart"/>
                            <w:tcBorders>
                              <w:top w:val="single" w:sz="2" w:space="0" w:color="000000"/>
                              <w:bottom w:val="single" w:sz="2" w:space="0" w:color="000000"/>
                            </w:tcBorders>
                          </w:tcPr>
                          <w:p>
                            <w:pPr>
                              <w:pStyle w:val="TableParagraph"/>
                              <w:spacing w:before="40"/>
                              <w:ind w:left="538"/>
                              <w:rPr>
                                <w:rFonts w:ascii="TT Norms Pro Light"/>
                                <w:b w:val="0"/>
                                <w:sz w:val="14"/>
                              </w:rPr>
                            </w:pPr>
                            <w:r>
                              <w:rPr>
                                <w:rFonts w:ascii="TT Norms Pro Light"/>
                                <w:b w:val="0"/>
                                <w:sz w:val="14"/>
                              </w:rPr>
                              <w:t>Not</w:t>
                            </w:r>
                            <w:r>
                              <w:rPr>
                                <w:rFonts w:ascii="TT Norms Pro Light"/>
                                <w:b w:val="0"/>
                                <w:spacing w:val="2"/>
                                <w:sz w:val="14"/>
                              </w:rPr>
                              <w:t> </w:t>
                            </w:r>
                            <w:r>
                              <w:rPr>
                                <w:rFonts w:ascii="TT Norms Pro Light"/>
                                <w:b w:val="0"/>
                                <w:spacing w:val="-5"/>
                                <w:sz w:val="14"/>
                              </w:rPr>
                              <w:t>Met</w:t>
                            </w:r>
                          </w:p>
                        </w:tc>
                      </w:tr>
                      <w:tr>
                        <w:trPr>
                          <w:trHeight w:val="853" w:hRule="atLeast"/>
                        </w:trPr>
                        <w:tc>
                          <w:tcPr>
                            <w:tcW w:w="2397" w:type="dxa"/>
                            <w:tcBorders>
                              <w:top w:val="single" w:sz="2" w:space="0" w:color="000000"/>
                              <w:bottom w:val="single" w:sz="2" w:space="0" w:color="000000"/>
                            </w:tcBorders>
                            <w:shd w:val="clear" w:color="auto" w:fill="E6E7E8"/>
                          </w:tcPr>
                          <w:p>
                            <w:pPr>
                              <w:pStyle w:val="TableParagraph"/>
                              <w:spacing w:line="292" w:lineRule="auto" w:before="40"/>
                              <w:ind w:left="56" w:right="212"/>
                              <w:rPr>
                                <w:rFonts w:ascii="TT Norms Pro Light"/>
                                <w:b w:val="0"/>
                                <w:sz w:val="14"/>
                              </w:rPr>
                            </w:pPr>
                            <w:r>
                              <w:rPr>
                                <w:rFonts w:ascii="TT Norms Pro Light"/>
                                <w:b w:val="0"/>
                                <w:sz w:val="14"/>
                              </w:rPr>
                              <w:t>Percentage of injured workers</w:t>
                            </w:r>
                            <w:r>
                              <w:rPr>
                                <w:rFonts w:ascii="TT Norms Pro Light"/>
                                <w:b w:val="0"/>
                                <w:spacing w:val="40"/>
                                <w:sz w:val="14"/>
                              </w:rPr>
                              <w:t> </w:t>
                            </w:r>
                            <w:r>
                              <w:rPr>
                                <w:rFonts w:ascii="TT Norms Pro Light"/>
                                <w:b w:val="0"/>
                                <w:sz w:val="14"/>
                              </w:rPr>
                              <w:t>RTW within 26 weeks</w:t>
                            </w:r>
                          </w:p>
                        </w:tc>
                        <w:tc>
                          <w:tcPr>
                            <w:tcW w:w="750" w:type="dxa"/>
                            <w:tcBorders>
                              <w:top w:val="single" w:sz="2" w:space="0" w:color="000000"/>
                              <w:bottom w:val="single" w:sz="2" w:space="0" w:color="000000"/>
                            </w:tcBorders>
                            <w:shd w:val="clear" w:color="auto" w:fill="E6E7E8"/>
                          </w:tcPr>
                          <w:p>
                            <w:pPr>
                              <w:pStyle w:val="TableParagraph"/>
                              <w:spacing w:before="40"/>
                              <w:ind w:right="106"/>
                              <w:jc w:val="right"/>
                              <w:rPr>
                                <w:rFonts w:ascii="TT Norms Pro Light"/>
                                <w:b w:val="0"/>
                                <w:sz w:val="14"/>
                              </w:rPr>
                            </w:pPr>
                            <w:r>
                              <w:rPr>
                                <w:rFonts w:ascii="TT Norms Pro Light"/>
                                <w:b w:val="0"/>
                                <w:spacing w:val="-5"/>
                                <w:sz w:val="14"/>
                              </w:rPr>
                              <w:t>73</w:t>
                            </w:r>
                          </w:p>
                        </w:tc>
                        <w:tc>
                          <w:tcPr>
                            <w:tcW w:w="936" w:type="dxa"/>
                            <w:tcBorders>
                              <w:top w:val="single" w:sz="2" w:space="0" w:color="000000"/>
                              <w:bottom w:val="single" w:sz="2" w:space="0" w:color="000000"/>
                            </w:tcBorders>
                          </w:tcPr>
                          <w:p>
                            <w:pPr>
                              <w:pStyle w:val="TableParagraph"/>
                              <w:spacing w:before="43"/>
                              <w:ind w:right="112"/>
                              <w:jc w:val="right"/>
                              <w:rPr>
                                <w:rFonts w:ascii="TT Norms Pro Light"/>
                                <w:b w:val="0"/>
                                <w:sz w:val="8"/>
                              </w:rPr>
                            </w:pPr>
                            <w:r>
                              <w:rPr>
                                <w:rFonts w:ascii="TT Norms Pro Light"/>
                                <w:b w:val="0"/>
                                <w:spacing w:val="-5"/>
                                <w:position w:val="-4"/>
                                <w:sz w:val="14"/>
                              </w:rPr>
                              <w:t>0</w:t>
                            </w:r>
                            <w:r>
                              <w:rPr>
                                <w:rFonts w:ascii="TT Norms Pro Light"/>
                                <w:b w:val="0"/>
                                <w:spacing w:val="-5"/>
                                <w:sz w:val="8"/>
                              </w:rPr>
                              <w:t>1</w:t>
                            </w:r>
                          </w:p>
                        </w:tc>
                        <w:tc>
                          <w:tcPr>
                            <w:tcW w:w="1078" w:type="dxa"/>
                            <w:vMerge/>
                            <w:tcBorders>
                              <w:top w:val="nil"/>
                              <w:bottom w:val="single" w:sz="2" w:space="0" w:color="000000"/>
                            </w:tcBorders>
                            <w:shd w:val="clear" w:color="auto" w:fill="E6E7E8"/>
                          </w:tcPr>
                          <w:p>
                            <w:pPr>
                              <w:rPr>
                                <w:sz w:val="2"/>
                                <w:szCs w:val="2"/>
                              </w:rPr>
                            </w:pPr>
                          </w:p>
                        </w:tc>
                        <w:tc>
                          <w:tcPr>
                            <w:tcW w:w="1126" w:type="dxa"/>
                            <w:vMerge/>
                            <w:tcBorders>
                              <w:top w:val="nil"/>
                              <w:bottom w:val="single" w:sz="2" w:space="0" w:color="000000"/>
                            </w:tcBorders>
                          </w:tcPr>
                          <w:p>
                            <w:pPr>
                              <w:rPr>
                                <w:sz w:val="2"/>
                                <w:szCs w:val="2"/>
                              </w:rPr>
                            </w:pPr>
                          </w:p>
                        </w:tc>
                      </w:tr>
                    </w:tbl>
                    <w:p>
                      <w:pPr>
                        <w:pStyle w:val="BodyText"/>
                      </w:pPr>
                    </w:p>
                  </w:txbxContent>
                </v:textbox>
              </v:shape>
            </w:pict>
          </mc:Fallback>
        </mc:AlternateContent>
      </w:r>
      <w:r>
        <w:rPr>
          <w:rFonts w:ascii="TT Norms Pro"/>
          <w:sz w:val="20"/>
        </w:rPr>
      </w:r>
    </w:p>
    <w:p>
      <w:pPr>
        <w:pStyle w:val="BodyText"/>
        <w:spacing w:before="35"/>
        <w:rPr>
          <w:rFonts w:ascii="TT Norms Pro"/>
          <w:b/>
          <w:sz w:val="12"/>
        </w:rPr>
      </w:pPr>
    </w:p>
    <w:p>
      <w:pPr>
        <w:spacing w:before="1"/>
        <w:ind w:left="3652" w:right="1344" w:hanging="38"/>
        <w:jc w:val="left"/>
        <w:rPr>
          <w:rFonts w:ascii="TT Norms Pro Light"/>
          <w:b w:val="0"/>
          <w:sz w:val="12"/>
        </w:rPr>
      </w:pPr>
      <w:r>
        <w:rPr/>
        <mc:AlternateContent>
          <mc:Choice Requires="wps">
            <w:drawing>
              <wp:anchor distT="0" distB="0" distL="0" distR="0" allowOverlap="1" layoutInCell="1" locked="0" behindDoc="0" simplePos="0" relativeHeight="15861248">
                <wp:simplePos x="0" y="0"/>
                <wp:positionH relativeFrom="page">
                  <wp:posOffset>7111289</wp:posOffset>
                </wp:positionH>
                <wp:positionV relativeFrom="paragraph">
                  <wp:posOffset>-220413</wp:posOffset>
                </wp:positionV>
                <wp:extent cx="177800" cy="1848485"/>
                <wp:effectExtent l="0" t="0" r="0" b="0"/>
                <wp:wrapNone/>
                <wp:docPr id="853" name="Textbox 853"/>
                <wp:cNvGraphicFramePr>
                  <a:graphicFrameLocks/>
                </wp:cNvGraphicFramePr>
                <a:graphic>
                  <a:graphicData uri="http://schemas.microsoft.com/office/word/2010/wordprocessingShape">
                    <wps:wsp>
                      <wps:cNvPr id="853" name="Textbox 853"/>
                      <wps:cNvSpPr txBox="1"/>
                      <wps:spPr>
                        <a:xfrm>
                          <a:off x="0" y="0"/>
                          <a:ext cx="177800" cy="184848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17.3554pt;width:14pt;height:145.550pt;mso-position-horizontal-relative:page;mso-position-vertical-relative:paragraph;z-index:15861248" type="#_x0000_t202" id="docshape550"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v:textbox>
                <w10:wrap type="none"/>
              </v:shape>
            </w:pict>
          </mc:Fallback>
        </mc:AlternateContent>
      </w:r>
      <w:r>
        <w:rPr>
          <w:rFonts w:ascii="TT Norms Pro Light"/>
          <w:b w:val="0"/>
          <w:position w:val="4"/>
          <w:sz w:val="7"/>
        </w:rPr>
        <w:t>1 </w:t>
      </w:r>
      <w:r>
        <w:rPr>
          <w:rFonts w:ascii="TT Norms Pro Light"/>
          <w:b w:val="0"/>
          <w:sz w:val="12"/>
        </w:rPr>
        <w:t>Five of the six Lost Time Injuries were sustained in Quarter 3 and 4 2020, meaning the 13 and 26 week RTW</w:t>
      </w:r>
      <w:r>
        <w:rPr>
          <w:rFonts w:ascii="TT Norms Pro Light"/>
          <w:b w:val="0"/>
          <w:spacing w:val="40"/>
          <w:sz w:val="12"/>
        </w:rPr>
        <w:t> </w:t>
      </w:r>
      <w:r>
        <w:rPr>
          <w:rFonts w:ascii="TT Norms Pro Light"/>
          <w:b w:val="0"/>
          <w:sz w:val="12"/>
        </w:rPr>
        <w:t>timeframes are outside the current reporting period. Four of the six injured workers are actively engaged in RTW</w:t>
      </w:r>
      <w:r>
        <w:rPr>
          <w:rFonts w:ascii="TT Norms Pro Light"/>
          <w:b w:val="0"/>
          <w:spacing w:val="80"/>
          <w:sz w:val="12"/>
        </w:rPr>
        <w:t> </w:t>
      </w:r>
      <w:r>
        <w:rPr>
          <w:rFonts w:ascii="TT Norms Pro Light"/>
          <w:b w:val="0"/>
          <w:sz w:val="12"/>
        </w:rPr>
        <w:t>programs, aimed at returning to full hours / duties within 13 or 26 weeks from date of injury.</w:t>
      </w:r>
    </w:p>
    <w:p>
      <w:pPr>
        <w:spacing w:after="0"/>
        <w:jc w:val="left"/>
        <w:rPr>
          <w:rFonts w:ascii="TT Norms Pro Light"/>
          <w:sz w:val="12"/>
        </w:rPr>
        <w:sectPr>
          <w:type w:val="continuous"/>
          <w:pgSz w:w="11910" w:h="16840"/>
          <w:pgMar w:header="468" w:footer="0" w:top="980" w:bottom="280" w:left="920" w:right="0"/>
        </w:sectPr>
      </w:pPr>
    </w:p>
    <w:p>
      <w:pPr>
        <w:spacing w:before="138"/>
        <w:ind w:left="3688" w:right="0" w:firstLine="0"/>
        <w:jc w:val="left"/>
        <w:rPr>
          <w:rFonts w:ascii="TT Norms Pro Light"/>
          <w:b w:val="0"/>
          <w:sz w:val="12"/>
        </w:rPr>
      </w:pPr>
      <w:r>
        <w:rPr>
          <w:rFonts w:ascii="TT Norms Pro Light"/>
          <w:b w:val="0"/>
          <w:sz w:val="12"/>
        </w:rPr>
        <w:t>Lost time injury and</w:t>
      </w:r>
      <w:r>
        <w:rPr>
          <w:rFonts w:ascii="TT Norms Pro Light"/>
          <w:b w:val="0"/>
          <w:spacing w:val="40"/>
          <w:sz w:val="12"/>
        </w:rPr>
        <w:t> </w:t>
      </w:r>
      <w:r>
        <w:rPr>
          <w:rFonts w:ascii="TT Norms Pro Light"/>
          <w:b w:val="0"/>
          <w:sz w:val="12"/>
        </w:rPr>
        <w:t>disease incidence </w:t>
      </w:r>
      <w:r>
        <w:rPr>
          <w:rFonts w:ascii="TT Norms Pro Light"/>
          <w:b w:val="0"/>
          <w:sz w:val="12"/>
        </w:rPr>
        <w:t>rate:</w:t>
      </w:r>
    </w:p>
    <w:p>
      <w:pPr>
        <w:tabs>
          <w:tab w:pos="1272" w:val="left" w:leader="none"/>
        </w:tabs>
        <w:spacing w:line="355" w:lineRule="auto" w:before="138"/>
        <w:ind w:left="398" w:right="0" w:firstLine="0"/>
        <w:jc w:val="left"/>
        <w:rPr>
          <w:rFonts w:ascii="TT Norms Pro Light" w:hAnsi="TT Norms Pro Light"/>
          <w:b w:val="0"/>
          <w:sz w:val="12"/>
        </w:rPr>
      </w:pPr>
      <w:r>
        <w:rPr/>
        <w:br w:type="column"/>
      </w:r>
      <w:r>
        <w:rPr>
          <w:rFonts w:ascii="TT Norms Pro Light" w:hAnsi="TT Norms Pro Light"/>
          <w:b w:val="0"/>
          <w:sz w:val="12"/>
          <w:u w:val="single"/>
        </w:rPr>
        <w:t># of LTI/D’s</w:t>
        <w:tab/>
      </w:r>
      <w:r>
        <w:rPr>
          <w:rFonts w:ascii="TT Norms Pro Light" w:hAnsi="TT Norms Pro Light"/>
          <w:b w:val="0"/>
          <w:spacing w:val="40"/>
          <w:sz w:val="12"/>
          <w:u w:val="none"/>
        </w:rPr>
        <w:t> </w:t>
      </w:r>
      <w:r>
        <w:rPr>
          <w:rFonts w:ascii="TT Norms Pro Light" w:hAnsi="TT Norms Pro Light"/>
          <w:b w:val="0"/>
          <w:sz w:val="12"/>
          <w:u w:val="none"/>
        </w:rPr>
        <w:t># of</w:t>
      </w:r>
      <w:r>
        <w:rPr>
          <w:rFonts w:ascii="TT Norms Pro Light" w:hAnsi="TT Norms Pro Light"/>
          <w:b w:val="0"/>
          <w:spacing w:val="1"/>
          <w:sz w:val="12"/>
          <w:u w:val="none"/>
        </w:rPr>
        <w:t> </w:t>
      </w:r>
      <w:r>
        <w:rPr>
          <w:rFonts w:ascii="TT Norms Pro Light" w:hAnsi="TT Norms Pro Light"/>
          <w:b w:val="0"/>
          <w:spacing w:val="-2"/>
          <w:sz w:val="12"/>
          <w:u w:val="none"/>
        </w:rPr>
        <w:t>employees</w:t>
      </w:r>
    </w:p>
    <w:p>
      <w:pPr>
        <w:spacing w:line="240" w:lineRule="auto" w:before="88"/>
        <w:rPr>
          <w:rFonts w:ascii="TT Norms Pro Light"/>
          <w:b w:val="0"/>
          <w:sz w:val="12"/>
        </w:rPr>
      </w:pPr>
      <w:r>
        <w:rPr/>
        <w:br w:type="column"/>
      </w:r>
      <w:r>
        <w:rPr>
          <w:rFonts w:ascii="TT Norms Pro Light"/>
          <w:b w:val="0"/>
          <w:sz w:val="12"/>
        </w:rPr>
      </w:r>
    </w:p>
    <w:p>
      <w:pPr>
        <w:spacing w:before="0"/>
        <w:ind w:left="112" w:right="0" w:firstLine="0"/>
        <w:jc w:val="left"/>
        <w:rPr>
          <w:rFonts w:ascii="TT Norms Pro Light"/>
          <w:b w:val="0"/>
          <w:sz w:val="12"/>
        </w:rPr>
      </w:pPr>
      <w:r>
        <w:rPr>
          <w:rFonts w:ascii="TT Norms Pro Light"/>
          <w:b w:val="0"/>
          <w:sz w:val="12"/>
        </w:rPr>
        <w:t>x </w:t>
      </w:r>
      <w:r>
        <w:rPr>
          <w:rFonts w:ascii="TT Norms Pro Light"/>
          <w:b w:val="0"/>
          <w:spacing w:val="-5"/>
          <w:sz w:val="12"/>
        </w:rPr>
        <w:t>100</w:t>
      </w:r>
    </w:p>
    <w:p>
      <w:pPr>
        <w:spacing w:after="0"/>
        <w:jc w:val="left"/>
        <w:rPr>
          <w:rFonts w:ascii="TT Norms Pro Light"/>
          <w:sz w:val="12"/>
        </w:rPr>
        <w:sectPr>
          <w:type w:val="continuous"/>
          <w:pgSz w:w="11910" w:h="16840"/>
          <w:pgMar w:header="468" w:footer="0" w:top="980" w:bottom="280" w:left="920" w:right="0"/>
          <w:cols w:num="3" w:equalWidth="0">
            <w:col w:w="4923" w:space="40"/>
            <w:col w:w="1273" w:space="39"/>
            <w:col w:w="4715"/>
          </w:cols>
        </w:sectPr>
      </w:pPr>
    </w:p>
    <w:p>
      <w:pPr>
        <w:spacing w:before="80"/>
        <w:ind w:left="3688" w:right="0" w:firstLine="0"/>
        <w:jc w:val="left"/>
        <w:rPr>
          <w:rFonts w:ascii="TT Norms Pro Light"/>
          <w:b w:val="0"/>
          <w:sz w:val="12"/>
        </w:rPr>
      </w:pPr>
      <w:r>
        <w:rPr>
          <w:rFonts w:ascii="TT Norms Pro Light"/>
          <w:b w:val="0"/>
          <w:sz w:val="12"/>
        </w:rPr>
        <w:t>Lost time injury and</w:t>
      </w:r>
      <w:r>
        <w:rPr>
          <w:rFonts w:ascii="TT Norms Pro Light"/>
          <w:b w:val="0"/>
          <w:spacing w:val="40"/>
          <w:sz w:val="12"/>
        </w:rPr>
        <w:t> </w:t>
      </w:r>
      <w:r>
        <w:rPr>
          <w:rFonts w:ascii="TT Norms Pro Light"/>
          <w:b w:val="0"/>
          <w:sz w:val="12"/>
        </w:rPr>
        <w:t>disease</w:t>
      </w:r>
      <w:r>
        <w:rPr>
          <w:rFonts w:ascii="TT Norms Pro Light"/>
          <w:b w:val="0"/>
          <w:spacing w:val="-1"/>
          <w:sz w:val="12"/>
        </w:rPr>
        <w:t> </w:t>
      </w:r>
      <w:r>
        <w:rPr>
          <w:rFonts w:ascii="TT Norms Pro Light"/>
          <w:b w:val="0"/>
          <w:sz w:val="12"/>
        </w:rPr>
        <w:t>severity</w:t>
      </w:r>
      <w:r>
        <w:rPr>
          <w:rFonts w:ascii="TT Norms Pro Light"/>
          <w:b w:val="0"/>
          <w:spacing w:val="-1"/>
          <w:sz w:val="12"/>
        </w:rPr>
        <w:t> </w:t>
      </w:r>
      <w:r>
        <w:rPr>
          <w:rFonts w:ascii="TT Norms Pro Light"/>
          <w:b w:val="0"/>
          <w:sz w:val="12"/>
        </w:rPr>
        <w:t>rate:</w:t>
      </w:r>
    </w:p>
    <w:p>
      <w:pPr>
        <w:spacing w:line="230" w:lineRule="auto" w:before="85"/>
        <w:ind w:left="511" w:right="2855" w:firstLine="0"/>
        <w:jc w:val="left"/>
        <w:rPr>
          <w:rFonts w:ascii="TT Norms Pro Light" w:hAnsi="TT Norms Pro Light"/>
          <w:b w:val="0"/>
          <w:sz w:val="12"/>
        </w:rPr>
      </w:pPr>
      <w:r>
        <w:rPr/>
        <w:br w:type="column"/>
      </w:r>
      <w:r>
        <w:rPr>
          <w:rFonts w:ascii="TT Norms Pro Light" w:hAnsi="TT Norms Pro Light"/>
          <w:b w:val="0"/>
          <w:sz w:val="12"/>
          <w:u w:val="single"/>
        </w:rPr>
        <w:t>#of compensated injuries LTI/D’s</w:t>
      </w:r>
      <w:r>
        <w:rPr>
          <w:rFonts w:ascii="TT Norms Pro Light" w:hAnsi="TT Norms Pro Light"/>
          <w:b w:val="0"/>
          <w:spacing w:val="25"/>
          <w:sz w:val="12"/>
          <w:u w:val="single"/>
        </w:rPr>
        <w:t> </w:t>
      </w:r>
      <w:r>
        <w:rPr>
          <w:rFonts w:ascii="TT Norms Pro Light" w:hAnsi="TT Norms Pro Light"/>
          <w:b w:val="0"/>
          <w:sz w:val="12"/>
          <w:u w:val="single"/>
        </w:rPr>
        <w:t>≥ 60 days</w:t>
      </w:r>
      <w:r>
        <w:rPr>
          <w:rFonts w:ascii="TT Norms Pro Light" w:hAnsi="TT Norms Pro Light"/>
          <w:b w:val="0"/>
          <w:spacing w:val="70"/>
          <w:sz w:val="12"/>
          <w:u w:val="single"/>
        </w:rPr>
        <w:t> </w:t>
      </w:r>
      <w:r>
        <w:rPr>
          <w:rFonts w:ascii="TT Norms Pro Light" w:hAnsi="TT Norms Pro Light"/>
          <w:b w:val="0"/>
          <w:spacing w:val="41"/>
          <w:sz w:val="12"/>
          <w:u w:val="none"/>
        </w:rPr>
        <w:t> </w:t>
      </w:r>
      <w:r>
        <w:rPr>
          <w:rFonts w:ascii="TT Norms Pro Light" w:hAnsi="TT Norms Pro Light"/>
          <w:b w:val="0"/>
          <w:position w:val="-7"/>
          <w:sz w:val="12"/>
          <w:u w:val="none"/>
        </w:rPr>
        <w:t>x 100</w:t>
      </w:r>
      <w:r>
        <w:rPr>
          <w:rFonts w:ascii="TT Norms Pro Light" w:hAnsi="TT Norms Pro Light"/>
          <w:b w:val="0"/>
          <w:spacing w:val="40"/>
          <w:position w:val="-7"/>
          <w:sz w:val="12"/>
          <w:u w:val="none"/>
        </w:rPr>
        <w:t> </w:t>
      </w:r>
      <w:r>
        <w:rPr>
          <w:rFonts w:ascii="TT Norms Pro Light" w:hAnsi="TT Norms Pro Light"/>
          <w:b w:val="0"/>
          <w:sz w:val="12"/>
          <w:u w:val="none"/>
        </w:rPr>
        <w:t># of LTI/D’s</w:t>
      </w:r>
    </w:p>
    <w:p>
      <w:pPr>
        <w:spacing w:after="0" w:line="230" w:lineRule="auto"/>
        <w:jc w:val="left"/>
        <w:rPr>
          <w:rFonts w:ascii="TT Norms Pro Light" w:hAnsi="TT Norms Pro Light"/>
          <w:sz w:val="12"/>
        </w:rPr>
        <w:sectPr>
          <w:type w:val="continuous"/>
          <w:pgSz w:w="11910" w:h="16840"/>
          <w:pgMar w:header="468" w:footer="0" w:top="980" w:bottom="280" w:left="920" w:right="0"/>
          <w:cols w:num="2" w:equalWidth="0">
            <w:col w:w="4810" w:space="40"/>
            <w:col w:w="6140"/>
          </w:cols>
        </w:sectPr>
      </w:pPr>
    </w:p>
    <w:p>
      <w:pPr>
        <w:pStyle w:val="BodyText"/>
        <w:rPr>
          <w:b w:val="0"/>
          <w:sz w:val="12"/>
        </w:rPr>
      </w:pPr>
    </w:p>
    <w:p>
      <w:pPr>
        <w:spacing w:before="1"/>
        <w:ind w:left="3688" w:right="0" w:firstLine="0"/>
        <w:jc w:val="left"/>
        <w:rPr>
          <w:rFonts w:ascii="TT Norms Pro Light"/>
          <w:b w:val="0"/>
          <w:sz w:val="12"/>
        </w:rPr>
      </w:pPr>
      <w:r>
        <w:rPr>
          <w:rFonts w:ascii="TT Norms Pro Light"/>
          <w:b w:val="0"/>
          <w:sz w:val="12"/>
        </w:rPr>
        <w:t>Injury management </w:t>
      </w:r>
      <w:r>
        <w:rPr>
          <w:rFonts w:ascii="TT Norms Pro Light"/>
          <w:b w:val="0"/>
          <w:sz w:val="12"/>
        </w:rPr>
        <w:t>and</w:t>
      </w:r>
      <w:r>
        <w:rPr>
          <w:rFonts w:ascii="TT Norms Pro Light"/>
          <w:b w:val="0"/>
          <w:spacing w:val="40"/>
          <w:sz w:val="12"/>
        </w:rPr>
        <w:t> </w:t>
      </w:r>
      <w:r>
        <w:rPr>
          <w:rFonts w:ascii="TT Norms Pro Light"/>
          <w:b w:val="0"/>
          <w:sz w:val="12"/>
        </w:rPr>
        <w:t>return to work:</w:t>
      </w:r>
    </w:p>
    <w:p>
      <w:pPr>
        <w:spacing w:line="360" w:lineRule="auto" w:before="105"/>
        <w:ind w:left="335" w:right="0" w:firstLine="0"/>
        <w:jc w:val="left"/>
        <w:rPr>
          <w:rFonts w:ascii="TT Norms Pro Light" w:hAnsi="TT Norms Pro Light"/>
          <w:b w:val="0"/>
          <w:sz w:val="12"/>
        </w:rPr>
      </w:pPr>
      <w:r>
        <w:rPr/>
        <w:br w:type="column"/>
      </w:r>
      <w:r>
        <w:rPr>
          <w:rFonts w:ascii="TT Norms Pro Light" w:hAnsi="TT Norms Pro Light"/>
          <w:b w:val="0"/>
          <w:sz w:val="12"/>
          <w:u w:val="single"/>
        </w:rPr>
        <w:t>#of LTI/D’s with RTW outcome in 13/26wks</w:t>
      </w:r>
      <w:r>
        <w:rPr>
          <w:rFonts w:ascii="TT Norms Pro Light" w:hAnsi="TT Norms Pro Light"/>
          <w:b w:val="0"/>
          <w:spacing w:val="-5"/>
          <w:sz w:val="12"/>
          <w:u w:val="single"/>
        </w:rPr>
        <w:t> </w:t>
      </w:r>
      <w:r>
        <w:rPr>
          <w:rFonts w:ascii="TT Norms Pro Light" w:hAnsi="TT Norms Pro Light"/>
          <w:b w:val="0"/>
          <w:spacing w:val="40"/>
          <w:sz w:val="12"/>
          <w:u w:val="none"/>
        </w:rPr>
        <w:t> </w:t>
      </w:r>
      <w:r>
        <w:rPr>
          <w:rFonts w:ascii="TT Norms Pro Light" w:hAnsi="TT Norms Pro Light"/>
          <w:b w:val="0"/>
          <w:sz w:val="12"/>
          <w:u w:val="none"/>
        </w:rPr>
        <w:t># of LTI/D’s reported</w:t>
      </w:r>
    </w:p>
    <w:p>
      <w:pPr>
        <w:spacing w:line="240" w:lineRule="auto" w:before="56"/>
        <w:rPr>
          <w:rFonts w:ascii="TT Norms Pro Light"/>
          <w:b w:val="0"/>
          <w:sz w:val="12"/>
        </w:rPr>
      </w:pPr>
      <w:r>
        <w:rPr/>
        <w:br w:type="column"/>
      </w:r>
      <w:r>
        <w:rPr>
          <w:rFonts w:ascii="TT Norms Pro Light"/>
          <w:b w:val="0"/>
          <w:sz w:val="12"/>
        </w:rPr>
      </w:r>
    </w:p>
    <w:p>
      <w:pPr>
        <w:spacing w:before="0"/>
        <w:ind w:left="91" w:right="0" w:firstLine="0"/>
        <w:jc w:val="left"/>
        <w:rPr>
          <w:rFonts w:ascii="TT Norms Pro Light"/>
          <w:b w:val="0"/>
          <w:sz w:val="12"/>
        </w:rPr>
      </w:pPr>
      <w:r>
        <w:rPr>
          <w:rFonts w:ascii="TT Norms Pro Light"/>
          <w:b w:val="0"/>
          <w:sz w:val="12"/>
        </w:rPr>
        <w:t>x </w:t>
      </w:r>
      <w:r>
        <w:rPr>
          <w:rFonts w:ascii="TT Norms Pro Light"/>
          <w:b w:val="0"/>
          <w:spacing w:val="-5"/>
          <w:sz w:val="12"/>
        </w:rPr>
        <w:t>100</w:t>
      </w:r>
    </w:p>
    <w:p>
      <w:pPr>
        <w:spacing w:after="0"/>
        <w:jc w:val="left"/>
        <w:rPr>
          <w:rFonts w:ascii="TT Norms Pro Light"/>
          <w:sz w:val="12"/>
        </w:rPr>
        <w:sectPr>
          <w:type w:val="continuous"/>
          <w:pgSz w:w="11910" w:h="16840"/>
          <w:pgMar w:header="468" w:footer="0" w:top="980" w:bottom="280" w:left="920" w:right="0"/>
          <w:cols w:num="3" w:equalWidth="0">
            <w:col w:w="4986" w:space="40"/>
            <w:col w:w="2706" w:space="39"/>
            <w:col w:w="3219"/>
          </w:cols>
        </w:sectPr>
      </w:pPr>
    </w:p>
    <w:p>
      <w:pPr>
        <w:spacing w:before="110"/>
        <w:ind w:left="3662" w:right="1344" w:hanging="48"/>
        <w:jc w:val="left"/>
        <w:rPr>
          <w:rFonts w:ascii="TT Norms Pro Light"/>
          <w:b w:val="0"/>
          <w:sz w:val="12"/>
        </w:rPr>
      </w:pPr>
      <w:r>
        <w:rPr>
          <w:rFonts w:ascii="TT Norms Pro Light"/>
          <w:b w:val="0"/>
          <w:sz w:val="12"/>
        </w:rPr>
        <w:t>*The information provided in the table aligns with the requirements of the Public Sector Commission reporting.</w:t>
      </w:r>
      <w:r>
        <w:rPr>
          <w:rFonts w:ascii="TT Norms Pro Light"/>
          <w:b w:val="0"/>
          <w:spacing w:val="80"/>
          <w:sz w:val="12"/>
        </w:rPr>
        <w:t> </w:t>
      </w:r>
      <w:r>
        <w:rPr>
          <w:rFonts w:ascii="TT Norms Pro Light"/>
          <w:b w:val="0"/>
          <w:sz w:val="12"/>
        </w:rPr>
        <w:t>Detailed information on the work health and safety, injury management, and health and wellbeing program</w:t>
      </w:r>
      <w:r>
        <w:rPr>
          <w:rFonts w:ascii="TT Norms Pro Light"/>
          <w:b w:val="0"/>
          <w:spacing w:val="40"/>
          <w:sz w:val="12"/>
        </w:rPr>
        <w:t> </w:t>
      </w:r>
      <w:r>
        <w:rPr>
          <w:rFonts w:ascii="TT Norms Pro Light"/>
          <w:b w:val="0"/>
          <w:sz w:val="12"/>
        </w:rPr>
        <w:t>priorities, activities and reporting is provided in the Work Health and Safety Annual Report to the Audit and Risk</w:t>
      </w:r>
      <w:r>
        <w:rPr>
          <w:rFonts w:ascii="TT Norms Pro Light"/>
          <w:b w:val="0"/>
          <w:spacing w:val="80"/>
          <w:sz w:val="12"/>
        </w:rPr>
        <w:t> </w:t>
      </w:r>
      <w:r>
        <w:rPr>
          <w:rFonts w:ascii="TT Norms Pro Light"/>
          <w:b w:val="0"/>
          <w:spacing w:val="-2"/>
          <w:sz w:val="12"/>
        </w:rPr>
        <w:t>Committee.</w:t>
      </w:r>
    </w:p>
    <w:p>
      <w:pPr>
        <w:spacing w:after="0"/>
        <w:jc w:val="left"/>
        <w:rPr>
          <w:rFonts w:ascii="TT Norms Pro Light"/>
          <w:sz w:val="12"/>
        </w:rPr>
        <w:sectPr>
          <w:type w:val="continuous"/>
          <w:pgSz w:w="11910" w:h="16840"/>
          <w:pgMar w:header="468" w:footer="0" w:top="980" w:bottom="280" w:left="920" w:right="0"/>
        </w:sectPr>
      </w:pPr>
    </w:p>
    <w:p>
      <w:pPr>
        <w:pStyle w:val="BodyText"/>
        <w:rPr>
          <w:b w:val="0"/>
          <w:sz w:val="46"/>
        </w:rPr>
      </w:pPr>
    </w:p>
    <w:p>
      <w:pPr>
        <w:pStyle w:val="BodyText"/>
        <w:spacing w:before="117"/>
        <w:rPr>
          <w:b w:val="0"/>
          <w:sz w:val="46"/>
        </w:rPr>
      </w:pPr>
    </w:p>
    <w:p>
      <w:pPr>
        <w:pStyle w:val="Heading4"/>
      </w:pPr>
      <w:bookmarkStart w:name="_TOC_250002" w:id="2"/>
      <w:r>
        <w:rPr/>
        <w:t>Governance</w:t>
      </w:r>
      <w:r>
        <w:rPr>
          <w:spacing w:val="-7"/>
        </w:rPr>
        <w:t> </w:t>
      </w:r>
      <w:bookmarkEnd w:id="2"/>
      <w:r>
        <w:rPr>
          <w:spacing w:val="-2"/>
        </w:rPr>
        <w:t>disclosures</w:t>
      </w:r>
    </w:p>
    <w:p>
      <w:pPr>
        <w:pStyle w:val="BodyText"/>
        <w:rPr>
          <w:rFonts w:ascii="TT Norms Pro"/>
          <w:b/>
          <w:sz w:val="20"/>
        </w:rPr>
      </w:pPr>
    </w:p>
    <w:p>
      <w:pPr>
        <w:pStyle w:val="BodyText"/>
        <w:spacing w:before="16"/>
        <w:rPr>
          <w:rFonts w:ascii="TT Norms Pro"/>
          <w:b/>
          <w:sz w:val="20"/>
        </w:rPr>
      </w:pPr>
    </w:p>
    <w:p>
      <w:pPr>
        <w:spacing w:after="0"/>
        <w:rPr>
          <w:rFonts w:ascii="TT Norms Pro"/>
          <w:sz w:val="20"/>
        </w:rPr>
        <w:sectPr>
          <w:pgSz w:w="11910" w:h="16840"/>
          <w:pgMar w:header="468" w:footer="0" w:top="720" w:bottom="280" w:left="920" w:right="0"/>
        </w:sectPr>
      </w:pPr>
    </w:p>
    <w:p>
      <w:pPr>
        <w:spacing w:line="295" w:lineRule="auto" w:before="126"/>
        <w:ind w:left="213" w:right="151" w:firstLine="0"/>
        <w:jc w:val="left"/>
        <w:rPr>
          <w:rFonts w:ascii="TT Norms Pro"/>
          <w:b/>
          <w:sz w:val="18"/>
        </w:rPr>
      </w:pPr>
      <w:r>
        <w:rPr>
          <w:rFonts w:ascii="TT Norms Pro"/>
          <w:b/>
          <w:sz w:val="18"/>
        </w:rPr>
        <w:t>Details of shares in any subsidiary body of the agency</w:t>
      </w:r>
      <w:r>
        <w:rPr>
          <w:rFonts w:ascii="TT Norms Pro"/>
          <w:b/>
          <w:spacing w:val="40"/>
          <w:sz w:val="18"/>
        </w:rPr>
        <w:t> </w:t>
      </w:r>
      <w:r>
        <w:rPr>
          <w:rFonts w:ascii="TT Norms Pro"/>
          <w:b/>
          <w:sz w:val="18"/>
        </w:rPr>
        <w:t>held as a nominee or held beneficially by a senior</w:t>
      </w:r>
      <w:r>
        <w:rPr>
          <w:rFonts w:ascii="TT Norms Pro"/>
          <w:b/>
          <w:spacing w:val="40"/>
          <w:sz w:val="18"/>
        </w:rPr>
        <w:t> </w:t>
      </w:r>
      <w:r>
        <w:rPr>
          <w:rFonts w:ascii="TT Norms Pro"/>
          <w:b/>
          <w:sz w:val="18"/>
        </w:rPr>
        <w:t>officer of the agency.</w:t>
      </w:r>
    </w:p>
    <w:p>
      <w:pPr>
        <w:pStyle w:val="BodyText"/>
        <w:spacing w:before="3"/>
        <w:ind w:left="213"/>
        <w:rPr>
          <w:b w:val="0"/>
        </w:rPr>
      </w:pPr>
      <w:r>
        <w:rPr>
          <w:b w:val="0"/>
        </w:rPr>
        <w:t>There</w:t>
      </w:r>
      <w:r>
        <w:rPr>
          <w:b w:val="0"/>
          <w:spacing w:val="-2"/>
        </w:rPr>
        <w:t> </w:t>
      </w:r>
      <w:r>
        <w:rPr>
          <w:b w:val="0"/>
        </w:rPr>
        <w:t>is</w:t>
      </w:r>
      <w:r>
        <w:rPr>
          <w:b w:val="0"/>
          <w:spacing w:val="1"/>
        </w:rPr>
        <w:t> </w:t>
      </w:r>
      <w:r>
        <w:rPr>
          <w:b w:val="0"/>
        </w:rPr>
        <w:t>nothing</w:t>
      </w:r>
      <w:r>
        <w:rPr>
          <w:b w:val="0"/>
          <w:spacing w:val="1"/>
        </w:rPr>
        <w:t> </w:t>
      </w:r>
      <w:r>
        <w:rPr>
          <w:b w:val="0"/>
        </w:rPr>
        <w:t>to</w:t>
      </w:r>
      <w:r>
        <w:rPr>
          <w:b w:val="0"/>
          <w:spacing w:val="1"/>
        </w:rPr>
        <w:t> </w:t>
      </w:r>
      <w:r>
        <w:rPr>
          <w:b w:val="0"/>
        </w:rPr>
        <w:t>report</w:t>
      </w:r>
      <w:r>
        <w:rPr>
          <w:b w:val="0"/>
          <w:spacing w:val="2"/>
        </w:rPr>
        <w:t> </w:t>
      </w:r>
      <w:r>
        <w:rPr>
          <w:b w:val="0"/>
        </w:rPr>
        <w:t>under</w:t>
      </w:r>
      <w:r>
        <w:rPr>
          <w:b w:val="0"/>
          <w:spacing w:val="1"/>
        </w:rPr>
        <w:t> </w:t>
      </w:r>
      <w:r>
        <w:rPr>
          <w:b w:val="0"/>
        </w:rPr>
        <w:t>this</w:t>
      </w:r>
      <w:r>
        <w:rPr>
          <w:b w:val="0"/>
          <w:spacing w:val="1"/>
        </w:rPr>
        <w:t> </w:t>
      </w:r>
      <w:r>
        <w:rPr>
          <w:b w:val="0"/>
          <w:spacing w:val="-2"/>
        </w:rPr>
        <w:t>heading.</w:t>
      </w:r>
    </w:p>
    <w:p>
      <w:pPr>
        <w:pStyle w:val="BodyText"/>
        <w:spacing w:before="93"/>
        <w:rPr>
          <w:b w:val="0"/>
        </w:rPr>
      </w:pPr>
    </w:p>
    <w:p>
      <w:pPr>
        <w:spacing w:line="295" w:lineRule="auto" w:before="1"/>
        <w:ind w:left="213" w:right="151" w:firstLine="0"/>
        <w:jc w:val="left"/>
        <w:rPr>
          <w:rFonts w:ascii="TT Norms Pro"/>
          <w:b/>
          <w:sz w:val="18"/>
        </w:rPr>
      </w:pPr>
      <w:r>
        <w:rPr>
          <w:rFonts w:ascii="TT Norms Pro"/>
          <w:b/>
          <w:sz w:val="18"/>
        </w:rPr>
        <w:t>Particulars of any interest in any existing or proposed</w:t>
      </w:r>
      <w:r>
        <w:rPr>
          <w:rFonts w:ascii="TT Norms Pro"/>
          <w:b/>
          <w:spacing w:val="40"/>
          <w:sz w:val="18"/>
        </w:rPr>
        <w:t> </w:t>
      </w:r>
      <w:r>
        <w:rPr>
          <w:rFonts w:ascii="TT Norms Pro"/>
          <w:b/>
          <w:sz w:val="18"/>
        </w:rPr>
        <w:t>contract which a senior officer, or a firm of which a</w:t>
      </w:r>
      <w:r>
        <w:rPr>
          <w:rFonts w:ascii="TT Norms Pro"/>
          <w:b/>
          <w:spacing w:val="40"/>
          <w:sz w:val="18"/>
        </w:rPr>
        <w:t> </w:t>
      </w:r>
      <w:r>
        <w:rPr>
          <w:rFonts w:ascii="TT Norms Pro"/>
          <w:b/>
          <w:sz w:val="18"/>
        </w:rPr>
        <w:t>senior officer is a member, or any entity in which a</w:t>
      </w:r>
      <w:r>
        <w:rPr>
          <w:rFonts w:ascii="TT Norms Pro"/>
          <w:b/>
          <w:spacing w:val="40"/>
          <w:sz w:val="18"/>
        </w:rPr>
        <w:t> </w:t>
      </w:r>
      <w:r>
        <w:rPr>
          <w:rFonts w:ascii="TT Norms Pro"/>
          <w:b/>
          <w:sz w:val="18"/>
        </w:rPr>
        <w:t>senior officer has a substantial financial interest has</w:t>
      </w:r>
      <w:r>
        <w:rPr>
          <w:rFonts w:ascii="TT Norms Pro"/>
          <w:b/>
          <w:spacing w:val="40"/>
          <w:sz w:val="18"/>
        </w:rPr>
        <w:t> </w:t>
      </w:r>
      <w:r>
        <w:rPr>
          <w:rFonts w:ascii="TT Norms Pro"/>
          <w:b/>
          <w:sz w:val="18"/>
        </w:rPr>
        <w:t>made with the University.</w:t>
      </w:r>
    </w:p>
    <w:p>
      <w:pPr>
        <w:pStyle w:val="BodyText"/>
        <w:spacing w:line="297" w:lineRule="auto" w:before="4"/>
        <w:ind w:left="213" w:hanging="1"/>
        <w:rPr>
          <w:b w:val="0"/>
        </w:rPr>
      </w:pPr>
      <w:r>
        <w:rPr>
          <w:b w:val="0"/>
        </w:rPr>
        <w:t>Ms Michelle Dean is a member of the Senate and the</w:t>
      </w:r>
      <w:r>
        <w:rPr>
          <w:b w:val="0"/>
          <w:spacing w:val="40"/>
        </w:rPr>
        <w:t> </w:t>
      </w:r>
      <w:r>
        <w:rPr>
          <w:b w:val="0"/>
        </w:rPr>
        <w:t>University’s</w:t>
      </w:r>
      <w:r>
        <w:rPr>
          <w:b w:val="0"/>
          <w:spacing w:val="-11"/>
        </w:rPr>
        <w:t> </w:t>
      </w:r>
      <w:r>
        <w:rPr>
          <w:b w:val="0"/>
        </w:rPr>
        <w:t>Audit</w:t>
      </w:r>
      <w:r>
        <w:rPr>
          <w:b w:val="0"/>
          <w:spacing w:val="-9"/>
        </w:rPr>
        <w:t> </w:t>
      </w:r>
      <w:r>
        <w:rPr>
          <w:b w:val="0"/>
        </w:rPr>
        <w:t>and</w:t>
      </w:r>
      <w:r>
        <w:rPr>
          <w:b w:val="0"/>
          <w:spacing w:val="-9"/>
        </w:rPr>
        <w:t> </w:t>
      </w:r>
      <w:r>
        <w:rPr>
          <w:b w:val="0"/>
        </w:rPr>
        <w:t>Risk</w:t>
      </w:r>
      <w:r>
        <w:rPr>
          <w:b w:val="0"/>
          <w:spacing w:val="-9"/>
        </w:rPr>
        <w:t> </w:t>
      </w:r>
      <w:r>
        <w:rPr>
          <w:b w:val="0"/>
        </w:rPr>
        <w:t>Committee,</w:t>
      </w:r>
      <w:r>
        <w:rPr>
          <w:b w:val="0"/>
          <w:spacing w:val="-9"/>
        </w:rPr>
        <w:t> </w:t>
      </w:r>
      <w:r>
        <w:rPr>
          <w:b w:val="0"/>
        </w:rPr>
        <w:t>and</w:t>
      </w:r>
      <w:r>
        <w:rPr>
          <w:b w:val="0"/>
          <w:spacing w:val="-9"/>
        </w:rPr>
        <w:t> </w:t>
      </w:r>
      <w:r>
        <w:rPr>
          <w:b w:val="0"/>
        </w:rPr>
        <w:t>is</w:t>
      </w:r>
      <w:r>
        <w:rPr>
          <w:b w:val="0"/>
          <w:spacing w:val="-9"/>
        </w:rPr>
        <w:t> </w:t>
      </w:r>
      <w:r>
        <w:rPr>
          <w:b w:val="0"/>
        </w:rPr>
        <w:t>also</w:t>
      </w:r>
      <w:r>
        <w:rPr>
          <w:b w:val="0"/>
          <w:spacing w:val="-9"/>
        </w:rPr>
        <w:t> </w:t>
      </w:r>
      <w:r>
        <w:rPr>
          <w:b w:val="0"/>
        </w:rPr>
        <w:t>a</w:t>
      </w:r>
      <w:r>
        <w:rPr>
          <w:b w:val="0"/>
          <w:spacing w:val="-9"/>
        </w:rPr>
        <w:t> </w:t>
      </w:r>
      <w:r>
        <w:rPr>
          <w:b w:val="0"/>
        </w:rPr>
        <w:t>partner</w:t>
      </w:r>
      <w:r>
        <w:rPr>
          <w:b w:val="0"/>
          <w:spacing w:val="40"/>
        </w:rPr>
        <w:t> </w:t>
      </w:r>
      <w:r>
        <w:rPr>
          <w:b w:val="0"/>
        </w:rPr>
        <w:t>in the Australian national law firm Corrs Chambers</w:t>
      </w:r>
      <w:r>
        <w:rPr>
          <w:b w:val="0"/>
          <w:spacing w:val="40"/>
        </w:rPr>
        <w:t> </w:t>
      </w:r>
      <w:r>
        <w:rPr>
          <w:b w:val="0"/>
        </w:rPr>
        <w:t>Westgarth (Corrs). Corrs are instructed to undertake</w:t>
      </w:r>
    </w:p>
    <w:p>
      <w:pPr>
        <w:pStyle w:val="BodyText"/>
        <w:spacing w:line="295" w:lineRule="auto"/>
        <w:ind w:left="213" w:right="151"/>
        <w:rPr>
          <w:b w:val="0"/>
        </w:rPr>
      </w:pPr>
      <w:r>
        <w:rPr>
          <w:b w:val="0"/>
        </w:rPr>
        <w:t>legal work on behalf of the University from time to time.</w:t>
      </w:r>
      <w:r>
        <w:rPr>
          <w:b w:val="0"/>
          <w:spacing w:val="40"/>
        </w:rPr>
        <w:t> </w:t>
      </w:r>
      <w:r>
        <w:rPr>
          <w:b w:val="0"/>
        </w:rPr>
        <w:t>Ms Dean was not involved in any of that legal work.</w:t>
      </w:r>
    </w:p>
    <w:p>
      <w:pPr>
        <w:pStyle w:val="BodyText"/>
        <w:spacing w:line="295" w:lineRule="auto"/>
        <w:ind w:left="213" w:right="151"/>
        <w:rPr>
          <w:b w:val="0"/>
        </w:rPr>
      </w:pPr>
      <w:r>
        <w:rPr>
          <w:b w:val="0"/>
        </w:rPr>
        <w:t>In</w:t>
      </w:r>
      <w:r>
        <w:rPr>
          <w:b w:val="0"/>
          <w:spacing w:val="-2"/>
        </w:rPr>
        <w:t> </w:t>
      </w:r>
      <w:r>
        <w:rPr>
          <w:b w:val="0"/>
        </w:rPr>
        <w:t>2020,</w:t>
      </w:r>
      <w:r>
        <w:rPr>
          <w:b w:val="0"/>
          <w:spacing w:val="-2"/>
        </w:rPr>
        <w:t> </w:t>
      </w:r>
      <w:r>
        <w:rPr>
          <w:b w:val="0"/>
        </w:rPr>
        <w:t>the</w:t>
      </w:r>
      <w:r>
        <w:rPr>
          <w:b w:val="0"/>
          <w:spacing w:val="-2"/>
        </w:rPr>
        <w:t> </w:t>
      </w:r>
      <w:r>
        <w:rPr>
          <w:b w:val="0"/>
        </w:rPr>
        <w:t>University</w:t>
      </w:r>
      <w:r>
        <w:rPr>
          <w:b w:val="0"/>
          <w:spacing w:val="-2"/>
        </w:rPr>
        <w:t> </w:t>
      </w:r>
      <w:r>
        <w:rPr>
          <w:b w:val="0"/>
        </w:rPr>
        <w:t>paid</w:t>
      </w:r>
      <w:r>
        <w:rPr>
          <w:b w:val="0"/>
          <w:spacing w:val="-2"/>
        </w:rPr>
        <w:t> </w:t>
      </w:r>
      <w:r>
        <w:rPr>
          <w:b w:val="0"/>
        </w:rPr>
        <w:t>Corrs</w:t>
      </w:r>
      <w:r>
        <w:rPr>
          <w:b w:val="0"/>
          <w:spacing w:val="-2"/>
        </w:rPr>
        <w:t> </w:t>
      </w:r>
      <w:r>
        <w:rPr>
          <w:b w:val="0"/>
        </w:rPr>
        <w:t>a</w:t>
      </w:r>
      <w:r>
        <w:rPr>
          <w:b w:val="0"/>
          <w:spacing w:val="-2"/>
        </w:rPr>
        <w:t> </w:t>
      </w:r>
      <w:r>
        <w:rPr>
          <w:b w:val="0"/>
        </w:rPr>
        <w:t>total</w:t>
      </w:r>
      <w:r>
        <w:rPr>
          <w:b w:val="0"/>
          <w:spacing w:val="-2"/>
        </w:rPr>
        <w:t> </w:t>
      </w:r>
      <w:r>
        <w:rPr>
          <w:b w:val="0"/>
        </w:rPr>
        <w:t>of</w:t>
      </w:r>
      <w:r>
        <w:rPr>
          <w:b w:val="0"/>
          <w:spacing w:val="-2"/>
        </w:rPr>
        <w:t> </w:t>
      </w:r>
      <w:r>
        <w:rPr>
          <w:b w:val="0"/>
        </w:rPr>
        <w:t>$84,283.50</w:t>
      </w:r>
      <w:r>
        <w:rPr>
          <w:b w:val="0"/>
          <w:spacing w:val="40"/>
        </w:rPr>
        <w:t> </w:t>
      </w:r>
      <w:r>
        <w:rPr>
          <w:b w:val="0"/>
        </w:rPr>
        <w:t>for legal work.</w:t>
      </w:r>
    </w:p>
    <w:p>
      <w:pPr>
        <w:spacing w:line="295" w:lineRule="auto" w:before="125"/>
        <w:ind w:left="213" w:right="1336" w:firstLine="0"/>
        <w:jc w:val="left"/>
        <w:rPr>
          <w:rFonts w:ascii="TT Norms Pro"/>
          <w:b/>
          <w:sz w:val="18"/>
        </w:rPr>
      </w:pPr>
      <w:r>
        <w:rPr/>
        <w:br w:type="column"/>
      </w:r>
      <w:r>
        <w:rPr>
          <w:rFonts w:ascii="TT Norms Pro"/>
          <w:b/>
          <w:sz w:val="18"/>
        </w:rPr>
        <w:t>The amount of any insurance premium paid to</w:t>
      </w:r>
      <w:r>
        <w:rPr>
          <w:rFonts w:ascii="TT Norms Pro"/>
          <w:b/>
          <w:spacing w:val="40"/>
          <w:sz w:val="18"/>
        </w:rPr>
        <w:t> </w:t>
      </w:r>
      <w:r>
        <w:rPr>
          <w:rFonts w:ascii="TT Norms Pro"/>
          <w:b/>
          <w:sz w:val="18"/>
        </w:rPr>
        <w:t>indemnify any director.</w:t>
      </w:r>
    </w:p>
    <w:p>
      <w:pPr>
        <w:pStyle w:val="BodyText"/>
        <w:spacing w:line="295" w:lineRule="auto" w:before="2"/>
        <w:ind w:left="213" w:right="1132"/>
        <w:rPr>
          <w:b w:val="0"/>
        </w:rPr>
      </w:pPr>
      <w:r>
        <w:rPr>
          <w:b w:val="0"/>
        </w:rPr>
        <w:t>In 2020, the University paid a premium of $186,631.25 for</w:t>
      </w:r>
      <w:r>
        <w:rPr>
          <w:b w:val="0"/>
          <w:spacing w:val="40"/>
        </w:rPr>
        <w:t> </w:t>
      </w:r>
      <w:r>
        <w:rPr>
          <w:b w:val="0"/>
        </w:rPr>
        <w:t>Directors’ and Officers’ Liability Insurance, excluding GST.</w:t>
      </w:r>
    </w:p>
    <w:p>
      <w:pPr>
        <w:spacing w:after="0" w:line="295" w:lineRule="auto"/>
        <w:sectPr>
          <w:type w:val="continuous"/>
          <w:pgSz w:w="11910" w:h="16840"/>
          <w:pgMar w:header="468" w:footer="0" w:top="980" w:bottom="280" w:left="920" w:right="0"/>
          <w:cols w:num="2" w:equalWidth="0">
            <w:col w:w="4849" w:space="168"/>
            <w:col w:w="5973"/>
          </w:cols>
        </w:sectPr>
      </w:pPr>
    </w:p>
    <w:p>
      <w:pPr>
        <w:pStyle w:val="BodyText"/>
        <w:rPr>
          <w:b w:val="0"/>
          <w:sz w:val="46"/>
        </w:rPr>
      </w:pPr>
    </w:p>
    <w:p>
      <w:pPr>
        <w:pStyle w:val="BodyText"/>
        <w:spacing w:before="100"/>
        <w:rPr>
          <w:b w:val="0"/>
          <w:sz w:val="46"/>
        </w:rPr>
      </w:pPr>
    </w:p>
    <w:p>
      <w:pPr>
        <w:pStyle w:val="Heading4"/>
      </w:pPr>
      <w:bookmarkStart w:name="_TOC_250001" w:id="3"/>
      <w:r>
        <w:rPr/>
        <w:t>Other</w:t>
      </w:r>
      <w:r>
        <w:rPr>
          <w:spacing w:val="-10"/>
        </w:rPr>
        <w:t> </w:t>
      </w:r>
      <w:r>
        <w:rPr/>
        <w:t>legal </w:t>
      </w:r>
      <w:bookmarkEnd w:id="3"/>
      <w:r>
        <w:rPr>
          <w:spacing w:val="-2"/>
        </w:rPr>
        <w:t>requirements</w:t>
      </w:r>
    </w:p>
    <w:p>
      <w:pPr>
        <w:pStyle w:val="BodyText"/>
        <w:spacing w:before="204"/>
        <w:rPr>
          <w:rFonts w:ascii="TT Norms Pro"/>
          <w:b/>
          <w:sz w:val="20"/>
        </w:rPr>
      </w:pPr>
    </w:p>
    <w:p>
      <w:pPr>
        <w:spacing w:after="0"/>
        <w:rPr>
          <w:rFonts w:ascii="TT Norms Pro"/>
          <w:sz w:val="20"/>
        </w:rPr>
        <w:sectPr>
          <w:type w:val="continuous"/>
          <w:pgSz w:w="11910" w:h="16840"/>
          <w:pgMar w:header="468" w:footer="0" w:top="980" w:bottom="280" w:left="920" w:right="0"/>
        </w:sectPr>
      </w:pPr>
    </w:p>
    <w:p>
      <w:pPr>
        <w:pStyle w:val="Heading9"/>
        <w:spacing w:before="129"/>
        <w:ind w:left="213"/>
      </w:pPr>
      <w:r>
        <w:rPr/>
        <w:t>PUBLIC</w:t>
      </w:r>
      <w:r>
        <w:rPr>
          <w:spacing w:val="23"/>
        </w:rPr>
        <w:t> </w:t>
      </w:r>
      <w:r>
        <w:rPr/>
        <w:t>INTEREST</w:t>
      </w:r>
      <w:r>
        <w:rPr>
          <w:spacing w:val="23"/>
        </w:rPr>
        <w:t> </w:t>
      </w:r>
      <w:r>
        <w:rPr/>
        <w:t>DISCLOSURE</w:t>
      </w:r>
      <w:r>
        <w:rPr>
          <w:spacing w:val="24"/>
        </w:rPr>
        <w:t> </w:t>
      </w:r>
      <w:r>
        <w:rPr>
          <w:spacing w:val="-5"/>
        </w:rPr>
        <w:t>ACT</w:t>
      </w:r>
    </w:p>
    <w:p>
      <w:pPr>
        <w:pStyle w:val="BodyText"/>
        <w:spacing w:line="295" w:lineRule="auto" w:before="154"/>
        <w:ind w:left="213"/>
        <w:rPr>
          <w:b w:val="0"/>
        </w:rPr>
      </w:pPr>
      <w:r>
        <w:rPr>
          <w:b w:val="0"/>
        </w:rPr>
        <w:t>The University complies with the </w:t>
      </w:r>
      <w:r>
        <w:rPr>
          <w:b w:val="0"/>
          <w:i/>
        </w:rPr>
        <w:t>Public Interest</w:t>
      </w:r>
      <w:r>
        <w:rPr>
          <w:b w:val="0"/>
          <w:i/>
          <w:spacing w:val="40"/>
        </w:rPr>
        <w:t> </w:t>
      </w:r>
      <w:r>
        <w:rPr>
          <w:b w:val="0"/>
          <w:i/>
        </w:rPr>
        <w:t>Disclosure Act 2003 </w:t>
      </w:r>
      <w:r>
        <w:rPr>
          <w:b w:val="0"/>
        </w:rPr>
        <w:t>(the PID Act) and has four Public</w:t>
      </w:r>
      <w:r>
        <w:rPr>
          <w:b w:val="0"/>
          <w:spacing w:val="40"/>
        </w:rPr>
        <w:t> </w:t>
      </w:r>
      <w:r>
        <w:rPr>
          <w:b w:val="0"/>
        </w:rPr>
        <w:t>Interest Disclosure Officers. No matters were reported</w:t>
      </w:r>
      <w:r>
        <w:rPr>
          <w:b w:val="0"/>
          <w:spacing w:val="40"/>
        </w:rPr>
        <w:t> </w:t>
      </w:r>
      <w:r>
        <w:rPr>
          <w:b w:val="0"/>
        </w:rPr>
        <w:t>under the PID Act in 2020.</w:t>
      </w:r>
    </w:p>
    <w:p>
      <w:pPr>
        <w:pStyle w:val="Heading9"/>
        <w:spacing w:before="129"/>
        <w:ind w:left="213"/>
      </w:pPr>
      <w:r>
        <w:rPr>
          <w:b w:val="0"/>
        </w:rPr>
        <w:br w:type="column"/>
      </w:r>
      <w:r>
        <w:rPr/>
        <w:t>ENVIRONMENTAL</w:t>
      </w:r>
      <w:r>
        <w:rPr>
          <w:spacing w:val="14"/>
        </w:rPr>
        <w:t> </w:t>
      </w:r>
      <w:r>
        <w:rPr>
          <w:spacing w:val="-2"/>
        </w:rPr>
        <w:t>LEGISLATION</w:t>
      </w:r>
    </w:p>
    <w:p>
      <w:pPr>
        <w:pStyle w:val="BodyText"/>
        <w:spacing w:line="295" w:lineRule="auto" w:before="154"/>
        <w:ind w:left="213" w:right="1163"/>
        <w:rPr>
          <w:b w:val="0"/>
        </w:rPr>
      </w:pPr>
      <w:r>
        <w:rPr>
          <w:b w:val="0"/>
        </w:rPr>
        <w:t>UWA was contacted by the Department of Biodiversity,</w:t>
      </w:r>
      <w:r>
        <w:rPr>
          <w:b w:val="0"/>
          <w:spacing w:val="40"/>
        </w:rPr>
        <w:t> </w:t>
      </w:r>
      <w:r>
        <w:rPr>
          <w:b w:val="0"/>
        </w:rPr>
        <w:t>Conservation and Attractions (DBCA) in January 2020</w:t>
      </w:r>
      <w:r>
        <w:rPr>
          <w:b w:val="0"/>
          <w:spacing w:val="40"/>
        </w:rPr>
        <w:t> </w:t>
      </w:r>
      <w:r>
        <w:rPr>
          <w:b w:val="0"/>
        </w:rPr>
        <w:t>about an alleged breach under S40 of the </w:t>
      </w:r>
      <w:r>
        <w:rPr>
          <w:b w:val="0"/>
          <w:i/>
        </w:rPr>
        <w:t>Biodiversity</w:t>
      </w:r>
      <w:r>
        <w:rPr>
          <w:b w:val="0"/>
          <w:i/>
          <w:spacing w:val="40"/>
        </w:rPr>
        <w:t> </w:t>
      </w:r>
      <w:r>
        <w:rPr>
          <w:b w:val="0"/>
          <w:i/>
        </w:rPr>
        <w:t>Conservation Act 2016</w:t>
      </w:r>
      <w:r>
        <w:rPr>
          <w:b w:val="0"/>
        </w:rPr>
        <w:t>. The alleged breach related to</w:t>
      </w:r>
      <w:r>
        <w:rPr>
          <w:b w:val="0"/>
          <w:spacing w:val="40"/>
        </w:rPr>
        <w:t> </w:t>
      </w:r>
      <w:r>
        <w:rPr>
          <w:b w:val="0"/>
        </w:rPr>
        <w:t>UWA firebreak maintenance work undertaken in response</w:t>
      </w:r>
      <w:r>
        <w:rPr>
          <w:b w:val="0"/>
          <w:spacing w:val="40"/>
        </w:rPr>
        <w:t> </w:t>
      </w:r>
      <w:r>
        <w:rPr>
          <w:b w:val="0"/>
        </w:rPr>
        <w:t>to a notice from the City of Gosnells to UWA to</w:t>
      </w:r>
      <w:r>
        <w:rPr>
          <w:b w:val="0"/>
          <w:spacing w:val="40"/>
        </w:rPr>
        <w:t> </w:t>
      </w:r>
      <w:r>
        <w:rPr>
          <w:b w:val="0"/>
        </w:rPr>
        <w:t>adequately maintain firebreaks. Subsequently, the</w:t>
      </w:r>
      <w:r>
        <w:rPr>
          <w:b w:val="0"/>
          <w:spacing w:val="40"/>
        </w:rPr>
        <w:t> </w:t>
      </w:r>
      <w:r>
        <w:rPr>
          <w:b w:val="0"/>
        </w:rPr>
        <w:t>firebreak maintenance plan was approved and a formal</w:t>
      </w:r>
      <w:r>
        <w:rPr>
          <w:b w:val="0"/>
          <w:spacing w:val="40"/>
        </w:rPr>
        <w:t> </w:t>
      </w:r>
      <w:r>
        <w:rPr>
          <w:b w:val="0"/>
        </w:rPr>
        <w:t>exemption received from DBCA, to continue with such</w:t>
      </w:r>
      <w:r>
        <w:rPr>
          <w:b w:val="0"/>
          <w:spacing w:val="40"/>
        </w:rPr>
        <w:t> </w:t>
      </w:r>
      <w:r>
        <w:rPr>
          <w:b w:val="0"/>
        </w:rPr>
        <w:t>firebreak maintenance in the future.</w:t>
      </w:r>
    </w:p>
    <w:p>
      <w:pPr>
        <w:spacing w:after="0" w:line="295" w:lineRule="auto"/>
        <w:sectPr>
          <w:type w:val="continuous"/>
          <w:pgSz w:w="11910" w:h="16840"/>
          <w:pgMar w:header="468" w:footer="0" w:top="980" w:bottom="280" w:left="920" w:right="0"/>
          <w:cols w:num="2" w:equalWidth="0">
            <w:col w:w="4552" w:space="465"/>
            <w:col w:w="5973"/>
          </w:cols>
        </w:sectPr>
      </w:pPr>
    </w:p>
    <w:p>
      <w:pPr>
        <w:pStyle w:val="BodyText"/>
        <w:rPr>
          <w:b w:val="0"/>
          <w:sz w:val="46"/>
        </w:rPr>
      </w:pPr>
    </w:p>
    <w:p>
      <w:pPr>
        <w:pStyle w:val="BodyText"/>
        <w:spacing w:before="117"/>
        <w:rPr>
          <w:b w:val="0"/>
          <w:sz w:val="46"/>
        </w:rPr>
      </w:pPr>
    </w:p>
    <w:p>
      <w:pPr>
        <w:pStyle w:val="Heading4"/>
        <w:ind w:left="115"/>
      </w:pPr>
      <w:r>
        <w:rPr/>
        <w:t>Statement</w:t>
      </w:r>
      <w:r>
        <w:rPr>
          <w:spacing w:val="-10"/>
        </w:rPr>
        <w:t> </w:t>
      </w:r>
      <w:r>
        <w:rPr/>
        <w:t>of</w:t>
      </w:r>
      <w:r>
        <w:rPr>
          <w:spacing w:val="-10"/>
        </w:rPr>
        <w:t> </w:t>
      </w:r>
      <w:r>
        <w:rPr>
          <w:spacing w:val="-2"/>
        </w:rPr>
        <w:t>compliance</w:t>
      </w:r>
    </w:p>
    <w:p>
      <w:pPr>
        <w:spacing w:before="42"/>
        <w:ind w:left="1886" w:right="0" w:firstLine="0"/>
        <w:jc w:val="left"/>
        <w:rPr>
          <w:rFonts w:ascii="TT Norms Pro Medium"/>
          <w:b/>
          <w:sz w:val="26"/>
        </w:rPr>
      </w:pPr>
      <w:r>
        <w:rPr>
          <w:rFonts w:ascii="TT Norms Pro Medium"/>
          <w:b/>
          <w:spacing w:val="-8"/>
          <w:sz w:val="26"/>
        </w:rPr>
        <w:t>WITH</w:t>
      </w:r>
      <w:r>
        <w:rPr>
          <w:rFonts w:ascii="TT Norms Pro Medium"/>
          <w:b/>
          <w:spacing w:val="-15"/>
          <w:sz w:val="26"/>
        </w:rPr>
        <w:t> </w:t>
      </w:r>
      <w:r>
        <w:rPr>
          <w:rFonts w:ascii="TT Norms Pro Medium"/>
          <w:b/>
          <w:spacing w:val="-8"/>
          <w:sz w:val="26"/>
        </w:rPr>
        <w:t>THE RECORDKEEPING PLAN</w:t>
      </w:r>
    </w:p>
    <w:p>
      <w:pPr>
        <w:pStyle w:val="BodyText"/>
        <w:rPr>
          <w:rFonts w:ascii="TT Norms Pro Medium"/>
          <w:b/>
          <w:sz w:val="20"/>
        </w:rPr>
      </w:pPr>
    </w:p>
    <w:p>
      <w:pPr>
        <w:pStyle w:val="BodyText"/>
        <w:rPr>
          <w:rFonts w:ascii="TT Norms Pro Medium"/>
          <w:b/>
          <w:sz w:val="20"/>
        </w:rPr>
      </w:pPr>
    </w:p>
    <w:p>
      <w:pPr>
        <w:pStyle w:val="BodyText"/>
        <w:rPr>
          <w:rFonts w:ascii="TT Norms Pro Medium"/>
          <w:b/>
          <w:sz w:val="20"/>
        </w:rPr>
      </w:pPr>
    </w:p>
    <w:p>
      <w:pPr>
        <w:spacing w:after="0"/>
        <w:rPr>
          <w:rFonts w:ascii="TT Norms Pro Medium"/>
          <w:sz w:val="20"/>
        </w:rPr>
        <w:sectPr>
          <w:pgSz w:w="11910" w:h="16840"/>
          <w:pgMar w:header="468" w:footer="0" w:top="720" w:bottom="280" w:left="920" w:right="0"/>
        </w:sectPr>
      </w:pPr>
    </w:p>
    <w:p>
      <w:pPr>
        <w:pStyle w:val="BodyText"/>
        <w:spacing w:line="295" w:lineRule="auto" w:before="122"/>
        <w:ind w:left="206" w:right="41"/>
        <w:rPr>
          <w:b w:val="0"/>
        </w:rPr>
      </w:pPr>
      <w:r>
        <w:rPr>
          <w:b w:val="0"/>
        </w:rPr>
        <w:t>The University faced challenges this year due to the</w:t>
      </w:r>
      <w:r>
        <w:rPr>
          <w:b w:val="0"/>
          <w:spacing w:val="40"/>
        </w:rPr>
        <w:t> </w:t>
      </w:r>
      <w:r>
        <w:rPr>
          <w:b w:val="0"/>
        </w:rPr>
        <w:t>impacts of COVID-19. As a result, there has been</w:t>
      </w:r>
      <w:r>
        <w:rPr>
          <w:b w:val="0"/>
          <w:spacing w:val="40"/>
        </w:rPr>
        <w:t> </w:t>
      </w:r>
      <w:r>
        <w:rPr>
          <w:b w:val="0"/>
        </w:rPr>
        <w:t>significant disruption to, and rapid evolution of, UWA’s</w:t>
      </w:r>
      <w:r>
        <w:rPr>
          <w:b w:val="0"/>
          <w:spacing w:val="40"/>
        </w:rPr>
        <w:t> </w:t>
      </w:r>
      <w:r>
        <w:rPr>
          <w:b w:val="0"/>
        </w:rPr>
        <w:t>Information Management (IM) practices and records</w:t>
      </w:r>
      <w:r>
        <w:rPr>
          <w:b w:val="0"/>
          <w:spacing w:val="40"/>
        </w:rPr>
        <w:t> </w:t>
      </w:r>
      <w:r>
        <w:rPr>
          <w:b w:val="0"/>
        </w:rPr>
        <w:t>management and archives services to accommodate</w:t>
      </w:r>
      <w:r>
        <w:rPr>
          <w:b w:val="0"/>
          <w:spacing w:val="40"/>
        </w:rPr>
        <w:t> </w:t>
      </w:r>
      <w:r>
        <w:rPr>
          <w:b w:val="0"/>
        </w:rPr>
        <w:t>remote working, online learning and assessments, and the</w:t>
      </w:r>
      <w:r>
        <w:rPr>
          <w:b w:val="0"/>
          <w:spacing w:val="40"/>
        </w:rPr>
        <w:t> </w:t>
      </w:r>
      <w:r>
        <w:rPr>
          <w:b w:val="0"/>
        </w:rPr>
        <w:t>provision of digital access to physical records collections.</w:t>
      </w:r>
      <w:r>
        <w:rPr>
          <w:b w:val="0"/>
          <w:spacing w:val="40"/>
        </w:rPr>
        <w:t> </w:t>
      </w:r>
      <w:r>
        <w:rPr>
          <w:b w:val="0"/>
        </w:rPr>
        <w:t>Accelerated use of hosted services has required increased</w:t>
      </w:r>
      <w:r>
        <w:rPr>
          <w:b w:val="0"/>
          <w:spacing w:val="40"/>
        </w:rPr>
        <w:t> </w:t>
      </w:r>
      <w:r>
        <w:rPr>
          <w:b w:val="0"/>
        </w:rPr>
        <w:t>emphasis on the custody, control and return of UWA’s</w:t>
      </w:r>
      <w:r>
        <w:rPr>
          <w:b w:val="0"/>
          <w:spacing w:val="40"/>
        </w:rPr>
        <w:t> </w:t>
      </w:r>
      <w:r>
        <w:rPr>
          <w:b w:val="0"/>
        </w:rPr>
        <w:t>records within Agreements, Contracts and Services in</w:t>
      </w:r>
      <w:r>
        <w:rPr>
          <w:b w:val="0"/>
          <w:spacing w:val="40"/>
        </w:rPr>
        <w:t> </w:t>
      </w:r>
      <w:r>
        <w:rPr>
          <w:b w:val="0"/>
        </w:rPr>
        <w:t>accordance with State Records Commission Standard 6.</w:t>
      </w:r>
    </w:p>
    <w:p>
      <w:pPr>
        <w:pStyle w:val="BodyText"/>
        <w:spacing w:before="54"/>
        <w:rPr>
          <w:b w:val="0"/>
        </w:rPr>
      </w:pPr>
    </w:p>
    <w:p>
      <w:pPr>
        <w:pStyle w:val="BodyText"/>
        <w:spacing w:line="295" w:lineRule="auto"/>
        <w:ind w:left="206" w:right="85"/>
        <w:jc w:val="both"/>
        <w:rPr>
          <w:b w:val="0"/>
        </w:rPr>
      </w:pPr>
      <w:r>
        <w:rPr>
          <w:b w:val="0"/>
        </w:rPr>
        <w:t>The</w:t>
      </w:r>
      <w:r>
        <w:rPr>
          <w:b w:val="0"/>
          <w:spacing w:val="-1"/>
        </w:rPr>
        <w:t> </w:t>
      </w:r>
      <w:r>
        <w:rPr>
          <w:b w:val="0"/>
        </w:rPr>
        <w:t>University</w:t>
      </w:r>
      <w:r>
        <w:rPr>
          <w:b w:val="0"/>
          <w:spacing w:val="-1"/>
        </w:rPr>
        <w:t> </w:t>
      </w:r>
      <w:r>
        <w:rPr>
          <w:b w:val="0"/>
        </w:rPr>
        <w:t>has</w:t>
      </w:r>
      <w:r>
        <w:rPr>
          <w:b w:val="0"/>
          <w:spacing w:val="-1"/>
        </w:rPr>
        <w:t> </w:t>
      </w:r>
      <w:r>
        <w:rPr>
          <w:b w:val="0"/>
        </w:rPr>
        <w:t>an</w:t>
      </w:r>
      <w:r>
        <w:rPr>
          <w:b w:val="0"/>
          <w:spacing w:val="-1"/>
        </w:rPr>
        <w:t> </w:t>
      </w:r>
      <w:r>
        <w:rPr>
          <w:b w:val="0"/>
        </w:rPr>
        <w:t>approved</w:t>
      </w:r>
      <w:r>
        <w:rPr>
          <w:b w:val="0"/>
          <w:spacing w:val="-1"/>
        </w:rPr>
        <w:t> </w:t>
      </w:r>
      <w:r>
        <w:rPr>
          <w:b w:val="0"/>
        </w:rPr>
        <w:t>Recordkeeping</w:t>
      </w:r>
      <w:r>
        <w:rPr>
          <w:b w:val="0"/>
          <w:spacing w:val="-1"/>
        </w:rPr>
        <w:t> </w:t>
      </w:r>
      <w:r>
        <w:rPr>
          <w:b w:val="0"/>
        </w:rPr>
        <w:t>Plan</w:t>
      </w:r>
      <w:r>
        <w:rPr>
          <w:b w:val="0"/>
          <w:spacing w:val="-1"/>
        </w:rPr>
        <w:t> </w:t>
      </w:r>
      <w:r>
        <w:rPr>
          <w:b w:val="0"/>
        </w:rPr>
        <w:t>2018</w:t>
      </w:r>
      <w:r>
        <w:rPr>
          <w:b w:val="0"/>
          <w:spacing w:val="40"/>
        </w:rPr>
        <w:t> </w:t>
      </w:r>
      <w:r>
        <w:rPr>
          <w:b w:val="0"/>
        </w:rPr>
        <w:t>(RKP) and Sector Disposal Authority (SDA) in compliance</w:t>
      </w:r>
      <w:r>
        <w:rPr>
          <w:b w:val="0"/>
          <w:spacing w:val="40"/>
        </w:rPr>
        <w:t> </w:t>
      </w:r>
      <w:r>
        <w:rPr>
          <w:b w:val="0"/>
        </w:rPr>
        <w:t>with the </w:t>
      </w:r>
      <w:r>
        <w:rPr>
          <w:b w:val="0"/>
          <w:i/>
        </w:rPr>
        <w:t>State Records Act 2000</w:t>
      </w:r>
      <w:r>
        <w:rPr>
          <w:b w:val="0"/>
        </w:rPr>
        <w:t>.</w:t>
      </w:r>
    </w:p>
    <w:p>
      <w:pPr>
        <w:pStyle w:val="BodyText"/>
        <w:spacing w:before="122"/>
        <w:ind w:left="206"/>
        <w:rPr>
          <w:b w:val="0"/>
        </w:rPr>
      </w:pPr>
      <w:r>
        <w:rPr/>
        <w:br w:type="column"/>
      </w:r>
      <w:r>
        <w:rPr>
          <w:b w:val="0"/>
        </w:rPr>
        <w:t>Key</w:t>
      </w:r>
      <w:r>
        <w:rPr>
          <w:b w:val="0"/>
          <w:spacing w:val="-3"/>
        </w:rPr>
        <w:t> </w:t>
      </w:r>
      <w:r>
        <w:rPr>
          <w:b w:val="0"/>
        </w:rPr>
        <w:t>achievements</w:t>
      </w:r>
      <w:r>
        <w:rPr>
          <w:b w:val="0"/>
          <w:spacing w:val="-2"/>
        </w:rPr>
        <w:t> </w:t>
      </w:r>
      <w:r>
        <w:rPr>
          <w:b w:val="0"/>
        </w:rPr>
        <w:t>and</w:t>
      </w:r>
      <w:r>
        <w:rPr>
          <w:b w:val="0"/>
          <w:spacing w:val="-2"/>
        </w:rPr>
        <w:t> </w:t>
      </w:r>
      <w:r>
        <w:rPr>
          <w:b w:val="0"/>
        </w:rPr>
        <w:t>improvements</w:t>
      </w:r>
      <w:r>
        <w:rPr>
          <w:b w:val="0"/>
          <w:spacing w:val="-3"/>
        </w:rPr>
        <w:t> </w:t>
      </w:r>
      <w:r>
        <w:rPr>
          <w:b w:val="0"/>
        </w:rPr>
        <w:t>for</w:t>
      </w:r>
      <w:r>
        <w:rPr>
          <w:b w:val="0"/>
          <w:spacing w:val="-2"/>
        </w:rPr>
        <w:t> </w:t>
      </w:r>
      <w:r>
        <w:rPr>
          <w:b w:val="0"/>
        </w:rPr>
        <w:t>2020</w:t>
      </w:r>
      <w:r>
        <w:rPr>
          <w:b w:val="0"/>
          <w:spacing w:val="-2"/>
        </w:rPr>
        <w:t> include:</w:t>
      </w:r>
    </w:p>
    <w:p>
      <w:pPr>
        <w:pStyle w:val="ListParagraph"/>
        <w:numPr>
          <w:ilvl w:val="0"/>
          <w:numId w:val="11"/>
        </w:numPr>
        <w:tabs>
          <w:tab w:pos="433" w:val="left" w:leader="none"/>
        </w:tabs>
        <w:spacing w:line="295" w:lineRule="auto" w:before="163" w:after="0"/>
        <w:ind w:left="433" w:right="1687" w:hanging="227"/>
        <w:jc w:val="both"/>
        <w:rPr>
          <w:rFonts w:ascii="TT Norms Pro Light" w:hAnsi="TT Norms Pro Light"/>
          <w:b w:val="0"/>
          <w:sz w:val="18"/>
        </w:rPr>
      </w:pPr>
      <w:r>
        <w:rPr>
          <w:rFonts w:ascii="TT Norms Pro Light" w:hAnsi="TT Norms Pro Light"/>
          <w:b w:val="0"/>
          <w:sz w:val="18"/>
        </w:rPr>
        <w:t>implementation</w:t>
      </w:r>
      <w:r>
        <w:rPr>
          <w:rFonts w:ascii="TT Norms Pro Light" w:hAnsi="TT Norms Pro Light"/>
          <w:b w:val="0"/>
          <w:spacing w:val="-1"/>
          <w:sz w:val="18"/>
        </w:rPr>
        <w:t> </w:t>
      </w:r>
      <w:r>
        <w:rPr>
          <w:rFonts w:ascii="TT Norms Pro Light" w:hAnsi="TT Norms Pro Light"/>
          <w:b w:val="0"/>
          <w:sz w:val="18"/>
        </w:rPr>
        <w:t>of</w:t>
      </w:r>
      <w:r>
        <w:rPr>
          <w:rFonts w:ascii="TT Norms Pro Light" w:hAnsi="TT Norms Pro Light"/>
          <w:b w:val="0"/>
          <w:spacing w:val="-7"/>
          <w:sz w:val="18"/>
        </w:rPr>
        <w:t> </w:t>
      </w:r>
      <w:r>
        <w:rPr>
          <w:rFonts w:ascii="TT Norms Pro Light" w:hAnsi="TT Norms Pro Light"/>
          <w:b w:val="0"/>
          <w:sz w:val="18"/>
        </w:rPr>
        <w:t>TRIM*</w:t>
      </w:r>
      <w:r>
        <w:rPr>
          <w:rFonts w:ascii="TT Norms Pro Light" w:hAnsi="TT Norms Pro Light"/>
          <w:b w:val="0"/>
          <w:spacing w:val="-1"/>
          <w:sz w:val="18"/>
        </w:rPr>
        <w:t> </w:t>
      </w:r>
      <w:r>
        <w:rPr>
          <w:rFonts w:ascii="TT Norms Pro Light" w:hAnsi="TT Norms Pro Light"/>
          <w:b w:val="0"/>
          <w:sz w:val="18"/>
        </w:rPr>
        <w:t>automated</w:t>
      </w:r>
      <w:r>
        <w:rPr>
          <w:rFonts w:ascii="TT Norms Pro Light" w:hAnsi="TT Norms Pro Light"/>
          <w:b w:val="0"/>
          <w:spacing w:val="-1"/>
          <w:sz w:val="18"/>
        </w:rPr>
        <w:t> </w:t>
      </w:r>
      <w:r>
        <w:rPr>
          <w:rFonts w:ascii="TT Norms Pro Light" w:hAnsi="TT Norms Pro Light"/>
          <w:b w:val="0"/>
          <w:sz w:val="18"/>
        </w:rPr>
        <w:t>capture</w:t>
      </w:r>
      <w:r>
        <w:rPr>
          <w:rFonts w:ascii="TT Norms Pro Light" w:hAnsi="TT Norms Pro Light"/>
          <w:b w:val="0"/>
          <w:spacing w:val="-1"/>
          <w:sz w:val="18"/>
        </w:rPr>
        <w:t> </w:t>
      </w:r>
      <w:r>
        <w:rPr>
          <w:rFonts w:ascii="TT Norms Pro Light" w:hAnsi="TT Norms Pro Light"/>
          <w:b w:val="0"/>
          <w:sz w:val="18"/>
        </w:rPr>
        <w:t>for</w:t>
      </w:r>
      <w:r>
        <w:rPr>
          <w:rFonts w:ascii="TT Norms Pro Light" w:hAnsi="TT Norms Pro Light"/>
          <w:b w:val="0"/>
          <w:spacing w:val="40"/>
          <w:sz w:val="18"/>
        </w:rPr>
        <w:t> </w:t>
      </w:r>
      <w:r>
        <w:rPr>
          <w:rFonts w:ascii="TT Norms Pro Light" w:hAnsi="TT Norms Pro Light"/>
          <w:b w:val="0"/>
          <w:sz w:val="18"/>
        </w:rPr>
        <w:t>records</w:t>
      </w:r>
      <w:r>
        <w:rPr>
          <w:rFonts w:ascii="TT Norms Pro Light" w:hAnsi="TT Norms Pro Light"/>
          <w:b w:val="0"/>
          <w:spacing w:val="-9"/>
          <w:sz w:val="18"/>
        </w:rPr>
        <w:t> </w:t>
      </w:r>
      <w:r>
        <w:rPr>
          <w:rFonts w:ascii="TT Norms Pro Light" w:hAnsi="TT Norms Pro Light"/>
          <w:b w:val="0"/>
          <w:sz w:val="18"/>
        </w:rPr>
        <w:t>associated</w:t>
      </w:r>
      <w:r>
        <w:rPr>
          <w:rFonts w:ascii="TT Norms Pro Light" w:hAnsi="TT Norms Pro Light"/>
          <w:b w:val="0"/>
          <w:spacing w:val="-9"/>
          <w:sz w:val="18"/>
        </w:rPr>
        <w:t> </w:t>
      </w:r>
      <w:r>
        <w:rPr>
          <w:rFonts w:ascii="TT Norms Pro Light" w:hAnsi="TT Norms Pro Light"/>
          <w:b w:val="0"/>
          <w:sz w:val="18"/>
        </w:rPr>
        <w:t>with</w:t>
      </w:r>
      <w:r>
        <w:rPr>
          <w:rFonts w:ascii="TT Norms Pro Light" w:hAnsi="TT Norms Pro Light"/>
          <w:b w:val="0"/>
          <w:spacing w:val="-9"/>
          <w:sz w:val="18"/>
        </w:rPr>
        <w:t> </w:t>
      </w:r>
      <w:r>
        <w:rPr>
          <w:rFonts w:ascii="TT Norms Pro Light" w:hAnsi="TT Norms Pro Light"/>
          <w:b w:val="0"/>
          <w:sz w:val="18"/>
        </w:rPr>
        <w:t>the</w:t>
      </w:r>
      <w:r>
        <w:rPr>
          <w:rFonts w:ascii="TT Norms Pro Light" w:hAnsi="TT Norms Pro Light"/>
          <w:b w:val="0"/>
          <w:spacing w:val="-9"/>
          <w:sz w:val="18"/>
        </w:rPr>
        <w:t> </w:t>
      </w:r>
      <w:r>
        <w:rPr>
          <w:rFonts w:ascii="TT Norms Pro Light" w:hAnsi="TT Norms Pro Light"/>
          <w:b w:val="0"/>
          <w:sz w:val="18"/>
        </w:rPr>
        <w:t>UWA’s</w:t>
      </w:r>
      <w:r>
        <w:rPr>
          <w:rFonts w:ascii="TT Norms Pro Light" w:hAnsi="TT Norms Pro Light"/>
          <w:b w:val="0"/>
          <w:spacing w:val="-9"/>
          <w:sz w:val="18"/>
        </w:rPr>
        <w:t> </w:t>
      </w:r>
      <w:r>
        <w:rPr>
          <w:rFonts w:ascii="TT Norms Pro Light" w:hAnsi="TT Norms Pro Light"/>
          <w:b w:val="0"/>
          <w:sz w:val="18"/>
        </w:rPr>
        <w:t>new</w:t>
      </w:r>
      <w:r>
        <w:rPr>
          <w:rFonts w:ascii="TT Norms Pro Light" w:hAnsi="TT Norms Pro Light"/>
          <w:b w:val="0"/>
          <w:spacing w:val="-9"/>
          <w:sz w:val="18"/>
        </w:rPr>
        <w:t> </w:t>
      </w:r>
      <w:r>
        <w:rPr>
          <w:rFonts w:ascii="TT Norms Pro Light" w:hAnsi="TT Norms Pro Light"/>
          <w:b w:val="0"/>
          <w:sz w:val="18"/>
        </w:rPr>
        <w:t>Research</w:t>
      </w:r>
      <w:r>
        <w:rPr>
          <w:rFonts w:ascii="TT Norms Pro Light" w:hAnsi="TT Norms Pro Light"/>
          <w:b w:val="0"/>
          <w:spacing w:val="40"/>
          <w:sz w:val="18"/>
        </w:rPr>
        <w:t> </w:t>
      </w:r>
      <w:r>
        <w:rPr>
          <w:rFonts w:ascii="TT Norms Pro Light" w:hAnsi="TT Norms Pro Light"/>
          <w:b w:val="0"/>
          <w:sz w:val="18"/>
        </w:rPr>
        <w:t>Online Application Portal</w:t>
      </w:r>
    </w:p>
    <w:p>
      <w:pPr>
        <w:pStyle w:val="ListParagraph"/>
        <w:numPr>
          <w:ilvl w:val="0"/>
          <w:numId w:val="11"/>
        </w:numPr>
        <w:tabs>
          <w:tab w:pos="433" w:val="left" w:leader="none"/>
        </w:tabs>
        <w:spacing w:line="295" w:lineRule="auto" w:before="59" w:after="0"/>
        <w:ind w:left="433" w:right="1347" w:hanging="227"/>
        <w:jc w:val="left"/>
        <w:rPr>
          <w:rFonts w:ascii="TT Norms Pro Light" w:hAnsi="TT Norms Pro Light"/>
          <w:b w:val="0"/>
          <w:sz w:val="18"/>
        </w:rPr>
      </w:pPr>
      <w:r>
        <w:rPr>
          <w:rFonts w:ascii="TT Norms Pro Light" w:hAnsi="TT Norms Pro Light"/>
          <w:b w:val="0"/>
          <w:sz w:val="18"/>
        </w:rPr>
        <w:t>completion</w:t>
      </w:r>
      <w:r>
        <w:rPr>
          <w:rFonts w:ascii="TT Norms Pro Light" w:hAnsi="TT Norms Pro Light"/>
          <w:b w:val="0"/>
          <w:spacing w:val="-9"/>
          <w:sz w:val="18"/>
        </w:rPr>
        <w:t> </w:t>
      </w:r>
      <w:r>
        <w:rPr>
          <w:rFonts w:ascii="TT Norms Pro Light" w:hAnsi="TT Norms Pro Light"/>
          <w:b w:val="0"/>
          <w:sz w:val="18"/>
        </w:rPr>
        <w:t>of</w:t>
      </w:r>
      <w:r>
        <w:rPr>
          <w:rFonts w:ascii="TT Norms Pro Light" w:hAnsi="TT Norms Pro Light"/>
          <w:b w:val="0"/>
          <w:spacing w:val="-9"/>
          <w:sz w:val="18"/>
        </w:rPr>
        <w:t> </w:t>
      </w:r>
      <w:r>
        <w:rPr>
          <w:rFonts w:ascii="TT Norms Pro Light" w:hAnsi="TT Norms Pro Light"/>
          <w:b w:val="0"/>
          <w:sz w:val="18"/>
        </w:rPr>
        <w:t>market</w:t>
      </w:r>
      <w:r>
        <w:rPr>
          <w:rFonts w:ascii="TT Norms Pro Light" w:hAnsi="TT Norms Pro Light"/>
          <w:b w:val="0"/>
          <w:spacing w:val="-8"/>
          <w:sz w:val="18"/>
        </w:rPr>
        <w:t> </w:t>
      </w:r>
      <w:r>
        <w:rPr>
          <w:rFonts w:ascii="TT Norms Pro Light" w:hAnsi="TT Norms Pro Light"/>
          <w:b w:val="0"/>
          <w:sz w:val="18"/>
        </w:rPr>
        <w:t>review</w:t>
      </w:r>
      <w:r>
        <w:rPr>
          <w:rFonts w:ascii="TT Norms Pro Light" w:hAnsi="TT Norms Pro Light"/>
          <w:b w:val="0"/>
          <w:spacing w:val="-9"/>
          <w:sz w:val="18"/>
        </w:rPr>
        <w:t> </w:t>
      </w:r>
      <w:r>
        <w:rPr>
          <w:rFonts w:ascii="TT Norms Pro Light" w:hAnsi="TT Norms Pro Light"/>
          <w:b w:val="0"/>
          <w:sz w:val="18"/>
        </w:rPr>
        <w:t>and</w:t>
      </w:r>
      <w:r>
        <w:rPr>
          <w:rFonts w:ascii="TT Norms Pro Light" w:hAnsi="TT Norms Pro Light"/>
          <w:b w:val="0"/>
          <w:spacing w:val="-8"/>
          <w:sz w:val="18"/>
        </w:rPr>
        <w:t> </w:t>
      </w:r>
      <w:r>
        <w:rPr>
          <w:rFonts w:ascii="TT Norms Pro Light" w:hAnsi="TT Norms Pro Light"/>
          <w:b w:val="0"/>
          <w:sz w:val="18"/>
        </w:rPr>
        <w:t>replacement</w:t>
      </w:r>
      <w:r>
        <w:rPr>
          <w:rFonts w:ascii="TT Norms Pro Light" w:hAnsi="TT Norms Pro Light"/>
          <w:b w:val="0"/>
          <w:spacing w:val="-8"/>
          <w:sz w:val="18"/>
        </w:rPr>
        <w:t> </w:t>
      </w:r>
      <w:r>
        <w:rPr>
          <w:rFonts w:ascii="TT Norms Pro Light" w:hAnsi="TT Norms Pro Light"/>
          <w:b w:val="0"/>
          <w:sz w:val="18"/>
        </w:rPr>
        <w:t>choice</w:t>
      </w:r>
      <w:r>
        <w:rPr>
          <w:rFonts w:ascii="TT Norms Pro Light" w:hAnsi="TT Norms Pro Light"/>
          <w:b w:val="0"/>
          <w:spacing w:val="40"/>
          <w:sz w:val="18"/>
        </w:rPr>
        <w:t> </w:t>
      </w:r>
      <w:r>
        <w:rPr>
          <w:rFonts w:ascii="TT Norms Pro Light" w:hAnsi="TT Norms Pro Light"/>
          <w:b w:val="0"/>
          <w:sz w:val="18"/>
        </w:rPr>
        <w:t>for</w:t>
      </w:r>
      <w:r>
        <w:rPr>
          <w:rFonts w:ascii="TT Norms Pro Light" w:hAnsi="TT Norms Pro Light"/>
          <w:b w:val="0"/>
          <w:spacing w:val="-9"/>
          <w:sz w:val="18"/>
        </w:rPr>
        <w:t> </w:t>
      </w:r>
      <w:r>
        <w:rPr>
          <w:rFonts w:ascii="TT Norms Pro Light" w:hAnsi="TT Norms Pro Light"/>
          <w:b w:val="0"/>
          <w:sz w:val="18"/>
        </w:rPr>
        <w:t>Tabularium*</w:t>
      </w:r>
    </w:p>
    <w:p>
      <w:pPr>
        <w:pStyle w:val="ListParagraph"/>
        <w:numPr>
          <w:ilvl w:val="0"/>
          <w:numId w:val="11"/>
        </w:numPr>
        <w:tabs>
          <w:tab w:pos="433" w:val="left" w:leader="none"/>
        </w:tabs>
        <w:spacing w:line="295" w:lineRule="auto" w:before="58" w:after="0"/>
        <w:ind w:left="433" w:right="1987" w:hanging="227"/>
        <w:jc w:val="left"/>
        <w:rPr>
          <w:rFonts w:ascii="TT Norms Pro Light" w:hAnsi="TT Norms Pro Light"/>
          <w:b w:val="0"/>
          <w:sz w:val="18"/>
        </w:rPr>
      </w:pPr>
      <w:r>
        <w:rPr>
          <w:rFonts w:ascii="TT Norms Pro Light" w:hAnsi="TT Norms Pro Light"/>
          <w:b w:val="0"/>
          <w:sz w:val="18"/>
        </w:rPr>
        <w:t>publication</w:t>
      </w:r>
      <w:r>
        <w:rPr>
          <w:rFonts w:ascii="TT Norms Pro Light" w:hAnsi="TT Norms Pro Light"/>
          <w:b w:val="0"/>
          <w:spacing w:val="-9"/>
          <w:sz w:val="18"/>
        </w:rPr>
        <w:t> </w:t>
      </w:r>
      <w:r>
        <w:rPr>
          <w:rFonts w:ascii="TT Norms Pro Light" w:hAnsi="TT Norms Pro Light"/>
          <w:b w:val="0"/>
          <w:sz w:val="18"/>
        </w:rPr>
        <w:t>of</w:t>
      </w:r>
      <w:r>
        <w:rPr>
          <w:rFonts w:ascii="TT Norms Pro Light" w:hAnsi="TT Norms Pro Light"/>
          <w:b w:val="0"/>
          <w:spacing w:val="-9"/>
          <w:sz w:val="18"/>
        </w:rPr>
        <w:t> </w:t>
      </w:r>
      <w:r>
        <w:rPr>
          <w:rFonts w:ascii="TT Norms Pro Light" w:hAnsi="TT Norms Pro Light"/>
          <w:b w:val="0"/>
          <w:sz w:val="18"/>
        </w:rPr>
        <w:t>refreshed</w:t>
      </w:r>
      <w:r>
        <w:rPr>
          <w:rFonts w:ascii="TT Norms Pro Light" w:hAnsi="TT Norms Pro Light"/>
          <w:b w:val="0"/>
          <w:spacing w:val="-9"/>
          <w:sz w:val="18"/>
        </w:rPr>
        <w:t> </w:t>
      </w:r>
      <w:r>
        <w:rPr>
          <w:rFonts w:ascii="TT Norms Pro Light" w:hAnsi="TT Norms Pro Light"/>
          <w:b w:val="0"/>
          <w:sz w:val="18"/>
        </w:rPr>
        <w:t>and</w:t>
      </w:r>
      <w:r>
        <w:rPr>
          <w:rFonts w:ascii="TT Norms Pro Light" w:hAnsi="TT Norms Pro Light"/>
          <w:b w:val="0"/>
          <w:spacing w:val="-8"/>
          <w:sz w:val="18"/>
        </w:rPr>
        <w:t> </w:t>
      </w:r>
      <w:r>
        <w:rPr>
          <w:rFonts w:ascii="TT Norms Pro Light" w:hAnsi="TT Norms Pro Light"/>
          <w:b w:val="0"/>
          <w:sz w:val="18"/>
        </w:rPr>
        <w:t>new</w:t>
      </w:r>
      <w:r>
        <w:rPr>
          <w:rFonts w:ascii="TT Norms Pro Light" w:hAnsi="TT Norms Pro Light"/>
          <w:b w:val="0"/>
          <w:spacing w:val="-9"/>
          <w:sz w:val="18"/>
        </w:rPr>
        <w:t> </w:t>
      </w:r>
      <w:r>
        <w:rPr>
          <w:rFonts w:ascii="TT Norms Pro Light" w:hAnsi="TT Norms Pro Light"/>
          <w:b w:val="0"/>
          <w:sz w:val="18"/>
        </w:rPr>
        <w:t>Information</w:t>
      </w:r>
      <w:r>
        <w:rPr>
          <w:rFonts w:ascii="TT Norms Pro Light" w:hAnsi="TT Norms Pro Light"/>
          <w:b w:val="0"/>
          <w:spacing w:val="40"/>
          <w:sz w:val="18"/>
        </w:rPr>
        <w:t> </w:t>
      </w:r>
      <w:r>
        <w:rPr>
          <w:rFonts w:ascii="TT Norms Pro Light" w:hAnsi="TT Norms Pro Light"/>
          <w:b w:val="0"/>
          <w:sz w:val="18"/>
        </w:rPr>
        <w:t>Governance</w:t>
      </w:r>
      <w:r>
        <w:rPr>
          <w:rFonts w:ascii="TT Norms Pro Light" w:hAnsi="TT Norms Pro Light"/>
          <w:b w:val="0"/>
          <w:spacing w:val="-5"/>
          <w:sz w:val="18"/>
        </w:rPr>
        <w:t> </w:t>
      </w:r>
      <w:r>
        <w:rPr>
          <w:rFonts w:ascii="TT Norms Pro Light" w:hAnsi="TT Norms Pro Light"/>
          <w:b w:val="0"/>
          <w:sz w:val="18"/>
        </w:rPr>
        <w:t>policies</w:t>
      </w:r>
    </w:p>
    <w:p>
      <w:pPr>
        <w:pStyle w:val="ListParagraph"/>
        <w:numPr>
          <w:ilvl w:val="0"/>
          <w:numId w:val="11"/>
        </w:numPr>
        <w:tabs>
          <w:tab w:pos="433" w:val="left" w:leader="none"/>
        </w:tabs>
        <w:spacing w:line="295" w:lineRule="auto" w:before="59" w:after="0"/>
        <w:ind w:left="433" w:right="1722" w:hanging="227"/>
        <w:jc w:val="left"/>
        <w:rPr>
          <w:rFonts w:ascii="TT Norms Pro Light" w:hAnsi="TT Norms Pro Light"/>
          <w:b w:val="0"/>
          <w:sz w:val="18"/>
        </w:rPr>
      </w:pPr>
      <w:r>
        <w:rPr>
          <w:rFonts w:ascii="TT Norms Pro Light" w:hAnsi="TT Norms Pro Light"/>
          <w:b w:val="0"/>
          <w:sz w:val="18"/>
        </w:rPr>
        <w:t>replacement</w:t>
      </w:r>
      <w:r>
        <w:rPr>
          <w:rFonts w:ascii="TT Norms Pro Light" w:hAnsi="TT Norms Pro Light"/>
          <w:b w:val="0"/>
          <w:spacing w:val="-9"/>
          <w:sz w:val="18"/>
        </w:rPr>
        <w:t> </w:t>
      </w:r>
      <w:r>
        <w:rPr>
          <w:rFonts w:ascii="TT Norms Pro Light" w:hAnsi="TT Norms Pro Light"/>
          <w:b w:val="0"/>
          <w:sz w:val="18"/>
        </w:rPr>
        <w:t>of</w:t>
      </w:r>
      <w:r>
        <w:rPr>
          <w:rFonts w:ascii="TT Norms Pro Light" w:hAnsi="TT Norms Pro Light"/>
          <w:b w:val="0"/>
          <w:spacing w:val="-9"/>
          <w:sz w:val="18"/>
        </w:rPr>
        <w:t> </w:t>
      </w:r>
      <w:r>
        <w:rPr>
          <w:rFonts w:ascii="TT Norms Pro Light" w:hAnsi="TT Norms Pro Light"/>
          <w:b w:val="0"/>
          <w:sz w:val="18"/>
        </w:rPr>
        <w:t>the</w:t>
      </w:r>
      <w:r>
        <w:rPr>
          <w:rFonts w:ascii="TT Norms Pro Light" w:hAnsi="TT Norms Pro Light"/>
          <w:b w:val="0"/>
          <w:spacing w:val="-9"/>
          <w:sz w:val="18"/>
        </w:rPr>
        <w:t> </w:t>
      </w:r>
      <w:r>
        <w:rPr>
          <w:rFonts w:ascii="TT Norms Pro Light" w:hAnsi="TT Norms Pro Light"/>
          <w:b w:val="0"/>
          <w:sz w:val="18"/>
        </w:rPr>
        <w:t>Research</w:t>
      </w:r>
      <w:r>
        <w:rPr>
          <w:rFonts w:ascii="TT Norms Pro Light" w:hAnsi="TT Norms Pro Light"/>
          <w:b w:val="0"/>
          <w:spacing w:val="-9"/>
          <w:sz w:val="18"/>
        </w:rPr>
        <w:t> </w:t>
      </w:r>
      <w:r>
        <w:rPr>
          <w:rFonts w:ascii="TT Norms Pro Light" w:hAnsi="TT Norms Pro Light"/>
          <w:b w:val="0"/>
          <w:sz w:val="18"/>
        </w:rPr>
        <w:t>File</w:t>
      </w:r>
      <w:r>
        <w:rPr>
          <w:rFonts w:ascii="TT Norms Pro Light" w:hAnsi="TT Norms Pro Light"/>
          <w:b w:val="0"/>
          <w:spacing w:val="-9"/>
          <w:sz w:val="18"/>
        </w:rPr>
        <w:t> </w:t>
      </w:r>
      <w:r>
        <w:rPr>
          <w:rFonts w:ascii="TT Norms Pro Light" w:hAnsi="TT Norms Pro Light"/>
          <w:b w:val="0"/>
          <w:sz w:val="18"/>
        </w:rPr>
        <w:t>Thesaurus</w:t>
      </w:r>
      <w:r>
        <w:rPr>
          <w:rFonts w:ascii="TT Norms Pro Light" w:hAnsi="TT Norms Pro Light"/>
          <w:b w:val="0"/>
          <w:spacing w:val="-9"/>
          <w:sz w:val="18"/>
        </w:rPr>
        <w:t> </w:t>
      </w:r>
      <w:r>
        <w:rPr>
          <w:rFonts w:ascii="TT Norms Pro Light" w:hAnsi="TT Norms Pro Light"/>
          <w:b w:val="0"/>
          <w:sz w:val="18"/>
        </w:rPr>
        <w:t>with</w:t>
      </w:r>
      <w:r>
        <w:rPr>
          <w:rFonts w:ascii="TT Norms Pro Light" w:hAnsi="TT Norms Pro Light"/>
          <w:b w:val="0"/>
          <w:spacing w:val="40"/>
          <w:sz w:val="18"/>
        </w:rPr>
        <w:t> </w:t>
      </w:r>
      <w:r>
        <w:rPr>
          <w:rFonts w:ascii="TT Norms Pro Light" w:hAnsi="TT Norms Pro Light"/>
          <w:b w:val="0"/>
          <w:sz w:val="18"/>
        </w:rPr>
        <w:t>classification titling for Research Records</w:t>
      </w:r>
    </w:p>
    <w:p>
      <w:pPr>
        <w:pStyle w:val="ListParagraph"/>
        <w:numPr>
          <w:ilvl w:val="0"/>
          <w:numId w:val="11"/>
        </w:numPr>
        <w:tabs>
          <w:tab w:pos="406" w:val="left" w:leader="none"/>
        </w:tabs>
        <w:spacing w:line="295" w:lineRule="auto" w:before="58" w:after="0"/>
        <w:ind w:left="406" w:right="1294" w:hanging="200"/>
        <w:jc w:val="left"/>
        <w:rPr>
          <w:rFonts w:ascii="TT Norms Pro Light" w:hAnsi="TT Norms Pro Light"/>
          <w:b w:val="0"/>
          <w:sz w:val="18"/>
        </w:rPr>
      </w:pPr>
      <w:r>
        <w:rPr>
          <w:rFonts w:ascii="TT Norms Pro Light" w:hAnsi="TT Norms Pro Light"/>
          <w:b w:val="0"/>
          <w:sz w:val="18"/>
        </w:rPr>
        <w:t>migration</w:t>
      </w:r>
      <w:r>
        <w:rPr>
          <w:rFonts w:ascii="TT Norms Pro Light" w:hAnsi="TT Norms Pro Light"/>
          <w:b w:val="0"/>
          <w:spacing w:val="-5"/>
          <w:sz w:val="18"/>
        </w:rPr>
        <w:t> </w:t>
      </w:r>
      <w:r>
        <w:rPr>
          <w:rFonts w:ascii="TT Norms Pro Light" w:hAnsi="TT Norms Pro Light"/>
          <w:b w:val="0"/>
          <w:sz w:val="18"/>
        </w:rPr>
        <w:t>of</w:t>
      </w:r>
      <w:r>
        <w:rPr>
          <w:rFonts w:ascii="TT Norms Pro Light" w:hAnsi="TT Norms Pro Light"/>
          <w:b w:val="0"/>
          <w:spacing w:val="-9"/>
          <w:sz w:val="18"/>
        </w:rPr>
        <w:t> </w:t>
      </w:r>
      <w:r>
        <w:rPr>
          <w:rFonts w:ascii="TT Norms Pro Light" w:hAnsi="TT Norms Pro Light"/>
          <w:b w:val="0"/>
          <w:sz w:val="18"/>
        </w:rPr>
        <w:t>TRIM</w:t>
      </w:r>
      <w:r>
        <w:rPr>
          <w:rFonts w:ascii="TT Norms Pro Light" w:hAnsi="TT Norms Pro Light"/>
          <w:b w:val="0"/>
          <w:spacing w:val="-4"/>
          <w:sz w:val="18"/>
        </w:rPr>
        <w:t> </w:t>
      </w:r>
      <w:r>
        <w:rPr>
          <w:rFonts w:ascii="TT Norms Pro Light" w:hAnsi="TT Norms Pro Light"/>
          <w:b w:val="0"/>
          <w:sz w:val="18"/>
        </w:rPr>
        <w:t>to</w:t>
      </w:r>
      <w:r>
        <w:rPr>
          <w:rFonts w:ascii="TT Norms Pro Light" w:hAnsi="TT Norms Pro Light"/>
          <w:b w:val="0"/>
          <w:spacing w:val="-4"/>
          <w:sz w:val="18"/>
        </w:rPr>
        <w:t> </w:t>
      </w:r>
      <w:r>
        <w:rPr>
          <w:rFonts w:ascii="TT Norms Pro Light" w:hAnsi="TT Norms Pro Light"/>
          <w:b w:val="0"/>
          <w:sz w:val="18"/>
        </w:rPr>
        <w:t>the</w:t>
      </w:r>
      <w:r>
        <w:rPr>
          <w:rFonts w:ascii="TT Norms Pro Light" w:hAnsi="TT Norms Pro Light"/>
          <w:b w:val="0"/>
          <w:spacing w:val="-4"/>
          <w:sz w:val="18"/>
        </w:rPr>
        <w:t> </w:t>
      </w:r>
      <w:r>
        <w:rPr>
          <w:rFonts w:ascii="TT Norms Pro Light" w:hAnsi="TT Norms Pro Light"/>
          <w:b w:val="0"/>
          <w:sz w:val="18"/>
        </w:rPr>
        <w:t>cloud</w:t>
      </w:r>
      <w:r>
        <w:rPr>
          <w:rFonts w:ascii="TT Norms Pro Light" w:hAnsi="TT Norms Pro Light"/>
          <w:b w:val="0"/>
          <w:spacing w:val="-4"/>
          <w:sz w:val="18"/>
        </w:rPr>
        <w:t> </w:t>
      </w:r>
      <w:r>
        <w:rPr>
          <w:rFonts w:ascii="TT Norms Pro Light" w:hAnsi="TT Norms Pro Light"/>
          <w:b w:val="0"/>
          <w:sz w:val="18"/>
        </w:rPr>
        <w:t>as</w:t>
      </w:r>
      <w:r>
        <w:rPr>
          <w:rFonts w:ascii="TT Norms Pro Light" w:hAnsi="TT Norms Pro Light"/>
          <w:b w:val="0"/>
          <w:spacing w:val="-4"/>
          <w:sz w:val="18"/>
        </w:rPr>
        <w:t> </w:t>
      </w:r>
      <w:r>
        <w:rPr>
          <w:rFonts w:ascii="TT Norms Pro Light" w:hAnsi="TT Norms Pro Light"/>
          <w:b w:val="0"/>
          <w:sz w:val="18"/>
        </w:rPr>
        <w:t>part</w:t>
      </w:r>
      <w:r>
        <w:rPr>
          <w:rFonts w:ascii="TT Norms Pro Light" w:hAnsi="TT Norms Pro Light"/>
          <w:b w:val="0"/>
          <w:spacing w:val="-4"/>
          <w:sz w:val="18"/>
        </w:rPr>
        <w:t> </w:t>
      </w:r>
      <w:r>
        <w:rPr>
          <w:rFonts w:ascii="TT Norms Pro Light" w:hAnsi="TT Norms Pro Light"/>
          <w:b w:val="0"/>
          <w:sz w:val="18"/>
        </w:rPr>
        <w:t>of</w:t>
      </w:r>
      <w:r>
        <w:rPr>
          <w:rFonts w:ascii="TT Norms Pro Light" w:hAnsi="TT Norms Pro Light"/>
          <w:b w:val="0"/>
          <w:spacing w:val="-4"/>
          <w:sz w:val="18"/>
        </w:rPr>
        <w:t> </w:t>
      </w:r>
      <w:r>
        <w:rPr>
          <w:rFonts w:ascii="TT Norms Pro Light" w:hAnsi="TT Norms Pro Light"/>
          <w:b w:val="0"/>
          <w:sz w:val="18"/>
        </w:rPr>
        <w:t>the</w:t>
      </w:r>
      <w:r>
        <w:rPr>
          <w:rFonts w:ascii="TT Norms Pro Light" w:hAnsi="TT Norms Pro Light"/>
          <w:b w:val="0"/>
          <w:spacing w:val="-4"/>
          <w:sz w:val="18"/>
        </w:rPr>
        <w:t> </w:t>
      </w:r>
      <w:r>
        <w:rPr>
          <w:rFonts w:ascii="TT Norms Pro Light" w:hAnsi="TT Norms Pro Light"/>
          <w:b w:val="0"/>
          <w:sz w:val="18"/>
        </w:rPr>
        <w:t>migration</w:t>
      </w:r>
      <w:r>
        <w:rPr>
          <w:rFonts w:ascii="TT Norms Pro Light" w:hAnsi="TT Norms Pro Light"/>
          <w:b w:val="0"/>
          <w:spacing w:val="40"/>
          <w:sz w:val="18"/>
        </w:rPr>
        <w:t> </w:t>
      </w:r>
      <w:r>
        <w:rPr>
          <w:rFonts w:ascii="TT Norms Pro Light" w:hAnsi="TT Norms Pro Light"/>
          <w:b w:val="0"/>
          <w:sz w:val="18"/>
        </w:rPr>
        <w:t>of primary University business systems to the cloud.</w:t>
      </w:r>
    </w:p>
    <w:p>
      <w:pPr>
        <w:spacing w:before="167"/>
        <w:ind w:left="254" w:right="1657" w:hanging="48"/>
        <w:jc w:val="left"/>
        <w:rPr>
          <w:rFonts w:ascii="TT Norms Pro Light" w:hAnsi="TT Norms Pro Light"/>
          <w:b w:val="0"/>
          <w:sz w:val="12"/>
        </w:rPr>
      </w:pPr>
      <w:r>
        <w:rPr>
          <w:rFonts w:ascii="TT Norms Pro Light" w:hAnsi="TT Norms Pro Light"/>
          <w:b w:val="0"/>
          <w:sz w:val="12"/>
        </w:rPr>
        <w:t>*TRIM is the University’s official electronic document and records</w:t>
      </w:r>
      <w:r>
        <w:rPr>
          <w:rFonts w:ascii="TT Norms Pro Light" w:hAnsi="TT Norms Pro Light"/>
          <w:b w:val="0"/>
          <w:spacing w:val="40"/>
          <w:sz w:val="12"/>
        </w:rPr>
        <w:t> </w:t>
      </w:r>
      <w:r>
        <w:rPr>
          <w:rFonts w:ascii="TT Norms Pro Light" w:hAnsi="TT Norms Pro Light"/>
          <w:b w:val="0"/>
          <w:sz w:val="12"/>
        </w:rPr>
        <w:t>management</w:t>
      </w:r>
      <w:r>
        <w:rPr>
          <w:rFonts w:ascii="TT Norms Pro Light" w:hAnsi="TT Norms Pro Light"/>
          <w:b w:val="0"/>
          <w:spacing w:val="-6"/>
          <w:sz w:val="12"/>
        </w:rPr>
        <w:t> </w:t>
      </w:r>
      <w:r>
        <w:rPr>
          <w:rFonts w:ascii="TT Norms Pro Light" w:hAnsi="TT Norms Pro Light"/>
          <w:b w:val="0"/>
          <w:sz w:val="12"/>
        </w:rPr>
        <w:t>system.</w:t>
      </w:r>
    </w:p>
    <w:p>
      <w:pPr>
        <w:spacing w:before="56"/>
        <w:ind w:left="206" w:right="0" w:firstLine="0"/>
        <w:jc w:val="left"/>
        <w:rPr>
          <w:rFonts w:ascii="TT Norms Pro Light" w:hAnsi="TT Norms Pro Light"/>
          <w:b w:val="0"/>
          <w:sz w:val="12"/>
        </w:rPr>
      </w:pPr>
      <w:r>
        <w:rPr/>
        <w:drawing>
          <wp:anchor distT="0" distB="0" distL="0" distR="0" allowOverlap="1" layoutInCell="1" locked="0" behindDoc="0" simplePos="0" relativeHeight="15862272">
            <wp:simplePos x="0" y="0"/>
            <wp:positionH relativeFrom="page">
              <wp:posOffset>721753</wp:posOffset>
            </wp:positionH>
            <wp:positionV relativeFrom="paragraph">
              <wp:posOffset>569081</wp:posOffset>
            </wp:positionV>
            <wp:extent cx="6838238" cy="4614659"/>
            <wp:effectExtent l="0" t="0" r="0" b="0"/>
            <wp:wrapNone/>
            <wp:docPr id="854" name="Image 854"/>
            <wp:cNvGraphicFramePr>
              <a:graphicFrameLocks/>
            </wp:cNvGraphicFramePr>
            <a:graphic>
              <a:graphicData uri="http://schemas.openxmlformats.org/drawingml/2006/picture">
                <pic:pic>
                  <pic:nvPicPr>
                    <pic:cNvPr id="854" name="Image 854"/>
                    <pic:cNvPicPr/>
                  </pic:nvPicPr>
                  <pic:blipFill>
                    <a:blip r:embed="rId94" cstate="print"/>
                    <a:stretch>
                      <a:fillRect/>
                    </a:stretch>
                  </pic:blipFill>
                  <pic:spPr>
                    <a:xfrm>
                      <a:off x="0" y="0"/>
                      <a:ext cx="6838238" cy="4614659"/>
                    </a:xfrm>
                    <a:prstGeom prst="rect">
                      <a:avLst/>
                    </a:prstGeom>
                  </pic:spPr>
                </pic:pic>
              </a:graphicData>
            </a:graphic>
          </wp:anchor>
        </w:drawing>
      </w:r>
      <w:r>
        <w:rPr>
          <w:rFonts w:ascii="TT Norms Pro Light" w:hAnsi="TT Norms Pro Light"/>
          <w:b w:val="0"/>
          <w:sz w:val="12"/>
        </w:rPr>
        <w:t>*Tabularium</w:t>
      </w:r>
      <w:r>
        <w:rPr>
          <w:rFonts w:ascii="TT Norms Pro Light" w:hAnsi="TT Norms Pro Light"/>
          <w:b w:val="0"/>
          <w:spacing w:val="8"/>
          <w:sz w:val="12"/>
        </w:rPr>
        <w:t> </w:t>
      </w:r>
      <w:r>
        <w:rPr>
          <w:rFonts w:ascii="TT Norms Pro Light" w:hAnsi="TT Norms Pro Light"/>
          <w:b w:val="0"/>
          <w:sz w:val="12"/>
        </w:rPr>
        <w:t>is</w:t>
      </w:r>
      <w:r>
        <w:rPr>
          <w:rFonts w:ascii="TT Norms Pro Light" w:hAnsi="TT Norms Pro Light"/>
          <w:b w:val="0"/>
          <w:spacing w:val="10"/>
          <w:sz w:val="12"/>
        </w:rPr>
        <w:t> </w:t>
      </w:r>
      <w:r>
        <w:rPr>
          <w:rFonts w:ascii="TT Norms Pro Light" w:hAnsi="TT Norms Pro Light"/>
          <w:b w:val="0"/>
          <w:sz w:val="12"/>
        </w:rPr>
        <w:t>the</w:t>
      </w:r>
      <w:r>
        <w:rPr>
          <w:rFonts w:ascii="TT Norms Pro Light" w:hAnsi="TT Norms Pro Light"/>
          <w:b w:val="0"/>
          <w:spacing w:val="10"/>
          <w:sz w:val="12"/>
        </w:rPr>
        <w:t> </w:t>
      </w:r>
      <w:r>
        <w:rPr>
          <w:rFonts w:ascii="TT Norms Pro Light" w:hAnsi="TT Norms Pro Light"/>
          <w:b w:val="0"/>
          <w:sz w:val="12"/>
        </w:rPr>
        <w:t>University’s</w:t>
      </w:r>
      <w:r>
        <w:rPr>
          <w:rFonts w:ascii="TT Norms Pro Light" w:hAnsi="TT Norms Pro Light"/>
          <w:b w:val="0"/>
          <w:spacing w:val="10"/>
          <w:sz w:val="12"/>
        </w:rPr>
        <w:t> </w:t>
      </w:r>
      <w:r>
        <w:rPr>
          <w:rFonts w:ascii="TT Norms Pro Light" w:hAnsi="TT Norms Pro Light"/>
          <w:b w:val="0"/>
          <w:sz w:val="12"/>
        </w:rPr>
        <w:t>Archives</w:t>
      </w:r>
      <w:r>
        <w:rPr>
          <w:rFonts w:ascii="TT Norms Pro Light" w:hAnsi="TT Norms Pro Light"/>
          <w:b w:val="0"/>
          <w:spacing w:val="10"/>
          <w:sz w:val="12"/>
        </w:rPr>
        <w:t> </w:t>
      </w:r>
      <w:r>
        <w:rPr>
          <w:rFonts w:ascii="TT Norms Pro Light" w:hAnsi="TT Norms Pro Light"/>
          <w:b w:val="0"/>
          <w:spacing w:val="-2"/>
          <w:sz w:val="12"/>
        </w:rPr>
        <w:t>System.</w:t>
      </w:r>
    </w:p>
    <w:p>
      <w:pPr>
        <w:spacing w:after="0"/>
        <w:jc w:val="left"/>
        <w:rPr>
          <w:rFonts w:ascii="TT Norms Pro Light" w:hAnsi="TT Norms Pro Light"/>
          <w:sz w:val="12"/>
        </w:rPr>
        <w:sectPr>
          <w:type w:val="continuous"/>
          <w:pgSz w:w="11910" w:h="16840"/>
          <w:pgMar w:header="468" w:footer="0" w:top="980" w:bottom="280" w:left="920" w:right="0"/>
          <w:cols w:num="2" w:equalWidth="0">
            <w:col w:w="4855" w:space="170"/>
            <w:col w:w="5965"/>
          </w:cols>
        </w:sectPr>
      </w:pPr>
    </w:p>
    <w:p>
      <w:pPr>
        <w:rPr>
          <w:sz w:val="2"/>
          <w:szCs w:val="2"/>
        </w:rPr>
      </w:pPr>
      <w:r>
        <w:rPr/>
        <mc:AlternateContent>
          <mc:Choice Requires="wps">
            <w:drawing>
              <wp:anchor distT="0" distB="0" distL="0" distR="0" allowOverlap="1" layoutInCell="1" locked="0" behindDoc="0" simplePos="0" relativeHeight="15861760">
                <wp:simplePos x="0" y="0"/>
                <wp:positionH relativeFrom="page">
                  <wp:posOffset>7111289</wp:posOffset>
                </wp:positionH>
                <wp:positionV relativeFrom="page">
                  <wp:posOffset>8136825</wp:posOffset>
                </wp:positionV>
                <wp:extent cx="177800" cy="1848485"/>
                <wp:effectExtent l="0" t="0" r="0" b="0"/>
                <wp:wrapNone/>
                <wp:docPr id="855" name="Textbox 855"/>
                <wp:cNvGraphicFramePr>
                  <a:graphicFrameLocks/>
                </wp:cNvGraphicFramePr>
                <a:graphic>
                  <a:graphicData uri="http://schemas.microsoft.com/office/word/2010/wordprocessingShape">
                    <wps:wsp>
                      <wps:cNvPr id="855" name="Textbox 855"/>
                      <wps:cNvSpPr txBox="1"/>
                      <wps:spPr>
                        <a:xfrm>
                          <a:off x="0" y="0"/>
                          <a:ext cx="177800" cy="184848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640.694885pt;width:14pt;height:145.550pt;mso-position-horizontal-relative:page;mso-position-vertical-relative:page;z-index:15861760" type="#_x0000_t202" id="docshape551"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v:textbox>
                <w10:wrap type="none"/>
              </v:shape>
            </w:pict>
          </mc:Fallback>
        </mc:AlternateContent>
      </w:r>
    </w:p>
    <w:p>
      <w:pPr>
        <w:spacing w:after="0"/>
        <w:rPr>
          <w:sz w:val="2"/>
          <w:szCs w:val="2"/>
        </w:rPr>
        <w:sectPr>
          <w:type w:val="continuous"/>
          <w:pgSz w:w="11910" w:h="16840"/>
          <w:pgMar w:header="468" w:footer="0" w:top="980" w:bottom="280" w:left="920" w:right="0"/>
        </w:sectPr>
      </w:pPr>
    </w:p>
    <w:p>
      <w:pPr>
        <w:pStyle w:val="BodyText"/>
        <w:rPr>
          <w:b w:val="0"/>
          <w:sz w:val="46"/>
        </w:rPr>
      </w:pPr>
    </w:p>
    <w:p>
      <w:pPr>
        <w:pStyle w:val="BodyText"/>
        <w:spacing w:before="117"/>
        <w:rPr>
          <w:b w:val="0"/>
          <w:sz w:val="46"/>
        </w:rPr>
      </w:pPr>
    </w:p>
    <w:p>
      <w:pPr>
        <w:pStyle w:val="Heading4"/>
        <w:spacing w:line="256" w:lineRule="auto"/>
        <w:ind w:left="213" w:right="4357"/>
      </w:pPr>
      <w:bookmarkStart w:name="_TOC_250000" w:id="4"/>
      <w:r>
        <w:rPr/>
        <w:t>Media</w:t>
      </w:r>
      <w:r>
        <w:rPr>
          <w:spacing w:val="-17"/>
        </w:rPr>
        <w:t> </w:t>
      </w:r>
      <w:r>
        <w:rPr/>
        <w:t>and</w:t>
      </w:r>
      <w:r>
        <w:rPr>
          <w:spacing w:val="-17"/>
        </w:rPr>
        <w:t> </w:t>
      </w:r>
      <w:r>
        <w:rPr/>
        <w:t>advertising </w:t>
      </w:r>
      <w:bookmarkEnd w:id="4"/>
      <w:r>
        <w:rPr>
          <w:spacing w:val="-2"/>
        </w:rPr>
        <w:t>expenditure</w:t>
      </w:r>
    </w:p>
    <w:p>
      <w:pPr>
        <w:pStyle w:val="BodyText"/>
        <w:spacing w:before="18"/>
        <w:rPr>
          <w:rFonts w:ascii="TT Norms Pro"/>
          <w:b/>
          <w:sz w:val="46"/>
        </w:rPr>
      </w:pPr>
    </w:p>
    <w:p>
      <w:pPr>
        <w:pStyle w:val="BodyText"/>
        <w:spacing w:line="295" w:lineRule="auto"/>
        <w:ind w:left="213" w:right="6164"/>
        <w:rPr>
          <w:b w:val="0"/>
        </w:rPr>
      </w:pPr>
      <w:r>
        <w:rPr/>
        <mc:AlternateContent>
          <mc:Choice Requires="wps">
            <w:drawing>
              <wp:anchor distT="0" distB="0" distL="0" distR="0" allowOverlap="1" layoutInCell="1" locked="0" behindDoc="0" simplePos="0" relativeHeight="15862784">
                <wp:simplePos x="0" y="0"/>
                <wp:positionH relativeFrom="page">
                  <wp:posOffset>3871262</wp:posOffset>
                </wp:positionH>
                <wp:positionV relativeFrom="paragraph">
                  <wp:posOffset>18139</wp:posOffset>
                </wp:positionV>
                <wp:extent cx="3003550" cy="7573009"/>
                <wp:effectExtent l="0" t="0" r="0" b="0"/>
                <wp:wrapNone/>
                <wp:docPr id="856" name="Textbox 856"/>
                <wp:cNvGraphicFramePr>
                  <a:graphicFrameLocks/>
                </wp:cNvGraphicFramePr>
                <a:graphic>
                  <a:graphicData uri="http://schemas.microsoft.com/office/word/2010/wordprocessingShape">
                    <wps:wsp>
                      <wps:cNvPr id="856" name="Textbox 856"/>
                      <wps:cNvSpPr txBox="1"/>
                      <wps:spPr>
                        <a:xfrm>
                          <a:off x="0" y="0"/>
                          <a:ext cx="3003550" cy="7573009"/>
                        </a:xfrm>
                        <a:prstGeom prst="rect">
                          <a:avLst/>
                        </a:prstGeom>
                      </wps:spPr>
                      <wps:txbx>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458"/>
                              <w:gridCol w:w="1153"/>
                            </w:tblGrid>
                            <w:tr>
                              <w:trPr>
                                <w:trHeight w:val="496" w:hRule="atLeast"/>
                              </w:trPr>
                              <w:tc>
                                <w:tcPr>
                                  <w:tcW w:w="3458" w:type="dxa"/>
                                  <w:tcBorders>
                                    <w:top w:val="single" w:sz="8" w:space="0" w:color="000000"/>
                                    <w:bottom w:val="single" w:sz="4" w:space="0" w:color="000000"/>
                                  </w:tcBorders>
                                </w:tcPr>
                                <w:p>
                                  <w:pPr>
                                    <w:pStyle w:val="TableParagraph"/>
                                    <w:spacing w:line="292" w:lineRule="auto" w:before="72"/>
                                    <w:ind w:left="56" w:right="241"/>
                                    <w:rPr>
                                      <w:rFonts w:ascii="TT Norms Pro"/>
                                      <w:b/>
                                      <w:sz w:val="14"/>
                                    </w:rPr>
                                  </w:pPr>
                                  <w:r>
                                    <w:rPr>
                                      <w:rFonts w:ascii="TT Norms Pro"/>
                                      <w:b/>
                                      <w:sz w:val="14"/>
                                    </w:rPr>
                                    <w:t>EXPENDITURE WITH ADVERTISING</w:t>
                                  </w:r>
                                  <w:r>
                                    <w:rPr>
                                      <w:rFonts w:ascii="TT Norms Pro"/>
                                      <w:b/>
                                      <w:spacing w:val="40"/>
                                      <w:sz w:val="14"/>
                                    </w:rPr>
                                    <w:t> </w:t>
                                  </w:r>
                                  <w:r>
                                    <w:rPr>
                                      <w:rFonts w:ascii="TT Norms Pro"/>
                                      <w:b/>
                                      <w:spacing w:val="-2"/>
                                      <w:sz w:val="14"/>
                                    </w:rPr>
                                    <w:t>AGENCIES</w:t>
                                  </w:r>
                                </w:p>
                              </w:tc>
                              <w:tc>
                                <w:tcPr>
                                  <w:tcW w:w="1153" w:type="dxa"/>
                                  <w:tcBorders>
                                    <w:top w:val="single" w:sz="8" w:space="0" w:color="000000"/>
                                    <w:bottom w:val="single" w:sz="4" w:space="0" w:color="000000"/>
                                  </w:tcBorders>
                                </w:tcPr>
                                <w:p>
                                  <w:pPr>
                                    <w:pStyle w:val="TableParagraph"/>
                                    <w:spacing w:before="72"/>
                                    <w:ind w:right="13"/>
                                    <w:jc w:val="right"/>
                                    <w:rPr>
                                      <w:rFonts w:ascii="TT Norms Pro"/>
                                      <w:b/>
                                      <w:sz w:val="14"/>
                                    </w:rPr>
                                  </w:pPr>
                                  <w:r>
                                    <w:rPr>
                                      <w:rFonts w:ascii="TT Norms Pro"/>
                                      <w:b/>
                                      <w:sz w:val="14"/>
                                    </w:rPr>
                                    <w:t>$</w:t>
                                  </w:r>
                                  <w:r>
                                    <w:rPr>
                                      <w:rFonts w:ascii="TT Norms Pro"/>
                                      <w:b/>
                                      <w:spacing w:val="-2"/>
                                      <w:sz w:val="14"/>
                                    </w:rPr>
                                    <w:t> 1,060,361</w:t>
                                  </w:r>
                                </w:p>
                              </w:tc>
                            </w:tr>
                            <w:tr>
                              <w:trPr>
                                <w:trHeight w:val="306" w:hRule="atLeast"/>
                              </w:trPr>
                              <w:tc>
                                <w:tcPr>
                                  <w:tcW w:w="3458" w:type="dxa"/>
                                  <w:tcBorders>
                                    <w:top w:val="single" w:sz="4" w:space="0" w:color="000000"/>
                                  </w:tcBorders>
                                  <w:shd w:val="clear" w:color="auto" w:fill="EFEFF0"/>
                                </w:tcPr>
                                <w:p>
                                  <w:pPr>
                                    <w:pStyle w:val="TableParagraph"/>
                                    <w:spacing w:before="77"/>
                                    <w:ind w:left="56"/>
                                    <w:rPr>
                                      <w:rFonts w:ascii="TT Norms Pro Light"/>
                                      <w:b w:val="0"/>
                                      <w:sz w:val="14"/>
                                    </w:rPr>
                                  </w:pPr>
                                  <w:r>
                                    <w:rPr>
                                      <w:rFonts w:ascii="TT Norms Pro Light"/>
                                      <w:b w:val="0"/>
                                      <w:sz w:val="14"/>
                                    </w:rPr>
                                    <w:t>Buggy</w:t>
                                  </w:r>
                                  <w:r>
                                    <w:rPr>
                                      <w:rFonts w:ascii="TT Norms Pro Light"/>
                                      <w:b w:val="0"/>
                                      <w:spacing w:val="10"/>
                                      <w:sz w:val="14"/>
                                    </w:rPr>
                                    <w:t> </w:t>
                                  </w:r>
                                  <w:r>
                                    <w:rPr>
                                      <w:rFonts w:ascii="TT Norms Pro Light"/>
                                      <w:b w:val="0"/>
                                      <w:spacing w:val="-2"/>
                                      <w:sz w:val="14"/>
                                    </w:rPr>
                                    <w:t>Buddys</w:t>
                                  </w:r>
                                </w:p>
                              </w:tc>
                              <w:tc>
                                <w:tcPr>
                                  <w:tcW w:w="1153" w:type="dxa"/>
                                  <w:tcBorders>
                                    <w:top w:val="single" w:sz="4" w:space="0" w:color="000000"/>
                                  </w:tcBorders>
                                  <w:shd w:val="clear" w:color="auto" w:fill="EFEFF0"/>
                                </w:tcPr>
                                <w:p>
                                  <w:pPr>
                                    <w:pStyle w:val="TableParagraph"/>
                                    <w:rPr>
                                      <w:rFonts w:ascii="Times New Roman"/>
                                      <w:sz w:val="16"/>
                                    </w:rPr>
                                  </w:pPr>
                                </w:p>
                              </w:tc>
                            </w:tr>
                            <w:tr>
                              <w:trPr>
                                <w:trHeight w:val="311" w:hRule="atLeast"/>
                              </w:trPr>
                              <w:tc>
                                <w:tcPr>
                                  <w:tcW w:w="3458" w:type="dxa"/>
                                </w:tcPr>
                                <w:p>
                                  <w:pPr>
                                    <w:pStyle w:val="TableParagraph"/>
                                    <w:spacing w:before="82"/>
                                    <w:ind w:left="56"/>
                                    <w:rPr>
                                      <w:rFonts w:ascii="TT Norms Pro Light"/>
                                      <w:b w:val="0"/>
                                      <w:sz w:val="14"/>
                                    </w:rPr>
                                  </w:pPr>
                                  <w:r>
                                    <w:rPr>
                                      <w:rFonts w:ascii="TT Norms Pro Light"/>
                                      <w:b w:val="0"/>
                                      <w:sz w:val="14"/>
                                    </w:rPr>
                                    <w:t>Hybrid</w:t>
                                  </w:r>
                                  <w:r>
                                    <w:rPr>
                                      <w:rFonts w:ascii="TT Norms Pro Light"/>
                                      <w:b w:val="0"/>
                                      <w:spacing w:val="7"/>
                                      <w:sz w:val="14"/>
                                    </w:rPr>
                                    <w:t> </w:t>
                                  </w:r>
                                  <w:r>
                                    <w:rPr>
                                      <w:rFonts w:ascii="TT Norms Pro Light"/>
                                      <w:b w:val="0"/>
                                      <w:sz w:val="14"/>
                                    </w:rPr>
                                    <w:t>News</w:t>
                                  </w:r>
                                  <w:r>
                                    <w:rPr>
                                      <w:rFonts w:ascii="TT Norms Pro Light"/>
                                      <w:b w:val="0"/>
                                      <w:spacing w:val="9"/>
                                      <w:sz w:val="14"/>
                                    </w:rPr>
                                    <w:t> </w:t>
                                  </w:r>
                                  <w:r>
                                    <w:rPr>
                                      <w:rFonts w:ascii="TT Norms Pro Light"/>
                                      <w:b w:val="0"/>
                                      <w:spacing w:val="-2"/>
                                      <w:sz w:val="14"/>
                                    </w:rPr>
                                    <w:t>Limited</w:t>
                                  </w:r>
                                </w:p>
                              </w:tc>
                              <w:tc>
                                <w:tcPr>
                                  <w:tcW w:w="1153" w:type="dxa"/>
                                </w:tcPr>
                                <w:p>
                                  <w:pPr>
                                    <w:pStyle w:val="TableParagraph"/>
                                    <w:rPr>
                                      <w:rFonts w:ascii="Times New Roman"/>
                                      <w:sz w:val="16"/>
                                    </w:rPr>
                                  </w:pPr>
                                </w:p>
                              </w:tc>
                            </w:tr>
                            <w:tr>
                              <w:trPr>
                                <w:trHeight w:val="311" w:hRule="atLeast"/>
                              </w:trPr>
                              <w:tc>
                                <w:tcPr>
                                  <w:tcW w:w="3458" w:type="dxa"/>
                                  <w:shd w:val="clear" w:color="auto" w:fill="EFEFF0"/>
                                </w:tcPr>
                                <w:p>
                                  <w:pPr>
                                    <w:pStyle w:val="TableParagraph"/>
                                    <w:spacing w:before="82"/>
                                    <w:ind w:left="56"/>
                                    <w:rPr>
                                      <w:rFonts w:ascii="TT Norms Pro Light"/>
                                      <w:b w:val="0"/>
                                      <w:sz w:val="14"/>
                                    </w:rPr>
                                  </w:pPr>
                                  <w:r>
                                    <w:rPr>
                                      <w:rFonts w:ascii="TT Norms Pro Light"/>
                                      <w:b w:val="0"/>
                                      <w:sz w:val="14"/>
                                    </w:rPr>
                                    <w:t>Maxco</w:t>
                                  </w:r>
                                  <w:r>
                                    <w:rPr>
                                      <w:rFonts w:ascii="TT Norms Pro Light"/>
                                      <w:b w:val="0"/>
                                      <w:spacing w:val="7"/>
                                      <w:sz w:val="14"/>
                                    </w:rPr>
                                    <w:t> </w:t>
                                  </w:r>
                                  <w:r>
                                    <w:rPr>
                                      <w:rFonts w:ascii="TT Norms Pro Light"/>
                                      <w:b w:val="0"/>
                                      <w:sz w:val="14"/>
                                    </w:rPr>
                                    <w:t>Australia</w:t>
                                  </w:r>
                                  <w:r>
                                    <w:rPr>
                                      <w:rFonts w:ascii="TT Norms Pro Light"/>
                                      <w:b w:val="0"/>
                                      <w:spacing w:val="9"/>
                                      <w:sz w:val="14"/>
                                    </w:rPr>
                                    <w:t> </w:t>
                                  </w:r>
                                  <w:r>
                                    <w:rPr>
                                      <w:rFonts w:ascii="TT Norms Pro Light"/>
                                      <w:b w:val="0"/>
                                      <w:sz w:val="14"/>
                                    </w:rPr>
                                    <w:t>Pty</w:t>
                                  </w:r>
                                  <w:r>
                                    <w:rPr>
                                      <w:rFonts w:ascii="TT Norms Pro Light"/>
                                      <w:b w:val="0"/>
                                      <w:spacing w:val="9"/>
                                      <w:sz w:val="14"/>
                                    </w:rPr>
                                    <w:t> </w:t>
                                  </w:r>
                                  <w:r>
                                    <w:rPr>
                                      <w:rFonts w:ascii="TT Norms Pro Light"/>
                                      <w:b w:val="0"/>
                                      <w:spacing w:val="-5"/>
                                      <w:sz w:val="14"/>
                                    </w:rPr>
                                    <w:t>Ltd</w:t>
                                  </w:r>
                                </w:p>
                              </w:tc>
                              <w:tc>
                                <w:tcPr>
                                  <w:tcW w:w="1153" w:type="dxa"/>
                                  <w:shd w:val="clear" w:color="auto" w:fill="EFEFF0"/>
                                </w:tcPr>
                                <w:p>
                                  <w:pPr>
                                    <w:pStyle w:val="TableParagraph"/>
                                    <w:rPr>
                                      <w:rFonts w:ascii="Times New Roman"/>
                                      <w:sz w:val="16"/>
                                    </w:rPr>
                                  </w:pPr>
                                </w:p>
                              </w:tc>
                            </w:tr>
                            <w:tr>
                              <w:trPr>
                                <w:trHeight w:val="311" w:hRule="atLeast"/>
                              </w:trPr>
                              <w:tc>
                                <w:tcPr>
                                  <w:tcW w:w="3458" w:type="dxa"/>
                                </w:tcPr>
                                <w:p>
                                  <w:pPr>
                                    <w:pStyle w:val="TableParagraph"/>
                                    <w:spacing w:before="82"/>
                                    <w:ind w:left="56"/>
                                    <w:rPr>
                                      <w:rFonts w:ascii="TT Norms Pro Light"/>
                                      <w:b w:val="0"/>
                                      <w:sz w:val="14"/>
                                    </w:rPr>
                                  </w:pPr>
                                  <w:r>
                                    <w:rPr>
                                      <w:rFonts w:ascii="TT Norms Pro Light"/>
                                      <w:b w:val="0"/>
                                      <w:sz w:val="14"/>
                                    </w:rPr>
                                    <w:t>Medium</w:t>
                                  </w:r>
                                  <w:r>
                                    <w:rPr>
                                      <w:rFonts w:ascii="TT Norms Pro Light"/>
                                      <w:b w:val="0"/>
                                      <w:spacing w:val="7"/>
                                      <w:sz w:val="14"/>
                                    </w:rPr>
                                    <w:t> </w:t>
                                  </w:r>
                                  <w:r>
                                    <w:rPr>
                                      <w:rFonts w:ascii="TT Norms Pro Light"/>
                                      <w:b w:val="0"/>
                                      <w:sz w:val="14"/>
                                    </w:rPr>
                                    <w:t>Rare</w:t>
                                  </w:r>
                                  <w:r>
                                    <w:rPr>
                                      <w:rFonts w:ascii="TT Norms Pro Light"/>
                                      <w:b w:val="0"/>
                                      <w:spacing w:val="8"/>
                                      <w:sz w:val="14"/>
                                    </w:rPr>
                                    <w:t> </w:t>
                                  </w:r>
                                  <w:r>
                                    <w:rPr>
                                      <w:rFonts w:ascii="TT Norms Pro Light"/>
                                      <w:b w:val="0"/>
                                      <w:sz w:val="14"/>
                                    </w:rPr>
                                    <w:t>Content</w:t>
                                  </w:r>
                                  <w:r>
                                    <w:rPr>
                                      <w:rFonts w:ascii="TT Norms Pro Light"/>
                                      <w:b w:val="0"/>
                                      <w:spacing w:val="7"/>
                                      <w:sz w:val="14"/>
                                    </w:rPr>
                                    <w:t> </w:t>
                                  </w:r>
                                  <w:r>
                                    <w:rPr>
                                      <w:rFonts w:ascii="TT Norms Pro Light"/>
                                      <w:b w:val="0"/>
                                      <w:sz w:val="14"/>
                                    </w:rPr>
                                    <w:t>Agency</w:t>
                                  </w:r>
                                  <w:r>
                                    <w:rPr>
                                      <w:rFonts w:ascii="TT Norms Pro Light"/>
                                      <w:b w:val="0"/>
                                      <w:spacing w:val="8"/>
                                      <w:sz w:val="14"/>
                                    </w:rPr>
                                    <w:t> </w:t>
                                  </w:r>
                                  <w:r>
                                    <w:rPr>
                                      <w:rFonts w:ascii="TT Norms Pro Light"/>
                                      <w:b w:val="0"/>
                                      <w:sz w:val="14"/>
                                    </w:rPr>
                                    <w:t>Pty</w:t>
                                  </w:r>
                                  <w:r>
                                    <w:rPr>
                                      <w:rFonts w:ascii="TT Norms Pro Light"/>
                                      <w:b w:val="0"/>
                                      <w:spacing w:val="8"/>
                                      <w:sz w:val="14"/>
                                    </w:rPr>
                                    <w:t> </w:t>
                                  </w:r>
                                  <w:r>
                                    <w:rPr>
                                      <w:rFonts w:ascii="TT Norms Pro Light"/>
                                      <w:b w:val="0"/>
                                      <w:spacing w:val="-5"/>
                                      <w:sz w:val="14"/>
                                    </w:rPr>
                                    <w:t>Ltd</w:t>
                                  </w:r>
                                </w:p>
                              </w:tc>
                              <w:tc>
                                <w:tcPr>
                                  <w:tcW w:w="1153" w:type="dxa"/>
                                </w:tcPr>
                                <w:p>
                                  <w:pPr>
                                    <w:pStyle w:val="TableParagraph"/>
                                    <w:rPr>
                                      <w:rFonts w:ascii="Times New Roman"/>
                                      <w:sz w:val="16"/>
                                    </w:rPr>
                                  </w:pPr>
                                </w:p>
                              </w:tc>
                            </w:tr>
                            <w:tr>
                              <w:trPr>
                                <w:trHeight w:val="311" w:hRule="atLeast"/>
                              </w:trPr>
                              <w:tc>
                                <w:tcPr>
                                  <w:tcW w:w="3458" w:type="dxa"/>
                                  <w:shd w:val="clear" w:color="auto" w:fill="EFEFF0"/>
                                </w:tcPr>
                                <w:p>
                                  <w:pPr>
                                    <w:pStyle w:val="TableParagraph"/>
                                    <w:spacing w:before="82"/>
                                    <w:ind w:left="56"/>
                                    <w:rPr>
                                      <w:rFonts w:ascii="TT Norms Pro Light"/>
                                      <w:b w:val="0"/>
                                      <w:sz w:val="14"/>
                                    </w:rPr>
                                  </w:pPr>
                                  <w:r>
                                    <w:rPr>
                                      <w:rFonts w:ascii="TT Norms Pro Light"/>
                                      <w:b w:val="0"/>
                                      <w:sz w:val="14"/>
                                    </w:rPr>
                                    <w:t>Okmg</w:t>
                                  </w:r>
                                  <w:r>
                                    <w:rPr>
                                      <w:rFonts w:ascii="TT Norms Pro Light"/>
                                      <w:b w:val="0"/>
                                      <w:spacing w:val="6"/>
                                      <w:sz w:val="14"/>
                                    </w:rPr>
                                    <w:t> </w:t>
                                  </w:r>
                                  <w:r>
                                    <w:rPr>
                                      <w:rFonts w:ascii="TT Norms Pro Light"/>
                                      <w:b w:val="0"/>
                                      <w:sz w:val="14"/>
                                    </w:rPr>
                                    <w:t>Pty</w:t>
                                  </w:r>
                                  <w:r>
                                    <w:rPr>
                                      <w:rFonts w:ascii="TT Norms Pro Light"/>
                                      <w:b w:val="0"/>
                                      <w:spacing w:val="8"/>
                                      <w:sz w:val="14"/>
                                    </w:rPr>
                                    <w:t> </w:t>
                                  </w:r>
                                  <w:r>
                                    <w:rPr>
                                      <w:rFonts w:ascii="TT Norms Pro Light"/>
                                      <w:b w:val="0"/>
                                      <w:spacing w:val="-5"/>
                                      <w:sz w:val="14"/>
                                    </w:rPr>
                                    <w:t>Ltd</w:t>
                                  </w:r>
                                </w:p>
                              </w:tc>
                              <w:tc>
                                <w:tcPr>
                                  <w:tcW w:w="1153" w:type="dxa"/>
                                  <w:shd w:val="clear" w:color="auto" w:fill="EFEFF0"/>
                                </w:tcPr>
                                <w:p>
                                  <w:pPr>
                                    <w:pStyle w:val="TableParagraph"/>
                                    <w:rPr>
                                      <w:rFonts w:ascii="Times New Roman"/>
                                      <w:sz w:val="16"/>
                                    </w:rPr>
                                  </w:pPr>
                                </w:p>
                              </w:tc>
                            </w:tr>
                            <w:tr>
                              <w:trPr>
                                <w:trHeight w:val="311" w:hRule="atLeast"/>
                              </w:trPr>
                              <w:tc>
                                <w:tcPr>
                                  <w:tcW w:w="3458" w:type="dxa"/>
                                </w:tcPr>
                                <w:p>
                                  <w:pPr>
                                    <w:pStyle w:val="TableParagraph"/>
                                    <w:spacing w:before="82"/>
                                    <w:ind w:left="56"/>
                                    <w:rPr>
                                      <w:rFonts w:ascii="TT Norms Pro Light"/>
                                      <w:b w:val="0"/>
                                      <w:sz w:val="14"/>
                                    </w:rPr>
                                  </w:pPr>
                                  <w:r>
                                    <w:rPr>
                                      <w:rFonts w:ascii="TT Norms Pro Light"/>
                                      <w:b w:val="0"/>
                                      <w:sz w:val="14"/>
                                    </w:rPr>
                                    <w:t>Paper</w:t>
                                  </w:r>
                                  <w:r>
                                    <w:rPr>
                                      <w:rFonts w:ascii="TT Norms Pro Light"/>
                                      <w:b w:val="0"/>
                                      <w:spacing w:val="8"/>
                                      <w:sz w:val="14"/>
                                    </w:rPr>
                                    <w:t> </w:t>
                                  </w:r>
                                  <w:r>
                                    <w:rPr>
                                      <w:rFonts w:ascii="TT Norms Pro Light"/>
                                      <w:b w:val="0"/>
                                      <w:spacing w:val="-2"/>
                                      <w:sz w:val="14"/>
                                    </w:rPr>
                                    <w:t>Scouts</w:t>
                                  </w:r>
                                </w:p>
                              </w:tc>
                              <w:tc>
                                <w:tcPr>
                                  <w:tcW w:w="1153" w:type="dxa"/>
                                </w:tcPr>
                                <w:p>
                                  <w:pPr>
                                    <w:pStyle w:val="TableParagraph"/>
                                    <w:rPr>
                                      <w:rFonts w:ascii="Times New Roman"/>
                                      <w:sz w:val="16"/>
                                    </w:rPr>
                                  </w:pPr>
                                </w:p>
                              </w:tc>
                            </w:tr>
                            <w:tr>
                              <w:trPr>
                                <w:trHeight w:val="311" w:hRule="atLeast"/>
                              </w:trPr>
                              <w:tc>
                                <w:tcPr>
                                  <w:tcW w:w="3458" w:type="dxa"/>
                                  <w:shd w:val="clear" w:color="auto" w:fill="EFEFF0"/>
                                </w:tcPr>
                                <w:p>
                                  <w:pPr>
                                    <w:pStyle w:val="TableParagraph"/>
                                    <w:spacing w:before="82"/>
                                    <w:ind w:left="56"/>
                                    <w:rPr>
                                      <w:rFonts w:ascii="TT Norms Pro Light"/>
                                      <w:b w:val="0"/>
                                      <w:sz w:val="14"/>
                                    </w:rPr>
                                  </w:pPr>
                                  <w:r>
                                    <w:rPr>
                                      <w:rFonts w:ascii="TT Norms Pro Light"/>
                                      <w:b w:val="0"/>
                                      <w:sz w:val="14"/>
                                    </w:rPr>
                                    <w:t>Studio</w:t>
                                  </w:r>
                                  <w:r>
                                    <w:rPr>
                                      <w:rFonts w:ascii="TT Norms Pro Light"/>
                                      <w:b w:val="0"/>
                                      <w:spacing w:val="5"/>
                                      <w:sz w:val="14"/>
                                    </w:rPr>
                                    <w:t> </w:t>
                                  </w:r>
                                  <w:r>
                                    <w:rPr>
                                      <w:rFonts w:ascii="TT Norms Pro Light"/>
                                      <w:b w:val="0"/>
                                      <w:sz w:val="14"/>
                                    </w:rPr>
                                    <w:t>Bravo</w:t>
                                  </w:r>
                                  <w:r>
                                    <w:rPr>
                                      <w:rFonts w:ascii="TT Norms Pro Light"/>
                                      <w:b w:val="0"/>
                                      <w:spacing w:val="6"/>
                                      <w:sz w:val="14"/>
                                    </w:rPr>
                                    <w:t> </w:t>
                                  </w:r>
                                  <w:r>
                                    <w:rPr>
                                      <w:rFonts w:ascii="TT Norms Pro Light"/>
                                      <w:b w:val="0"/>
                                      <w:sz w:val="14"/>
                                    </w:rPr>
                                    <w:t>Pty</w:t>
                                  </w:r>
                                  <w:r>
                                    <w:rPr>
                                      <w:rFonts w:ascii="TT Norms Pro Light"/>
                                      <w:b w:val="0"/>
                                      <w:spacing w:val="6"/>
                                      <w:sz w:val="14"/>
                                    </w:rPr>
                                    <w:t> </w:t>
                                  </w:r>
                                  <w:r>
                                    <w:rPr>
                                      <w:rFonts w:ascii="TT Norms Pro Light"/>
                                      <w:b w:val="0"/>
                                      <w:spacing w:val="-5"/>
                                      <w:sz w:val="14"/>
                                    </w:rPr>
                                    <w:t>Ltd</w:t>
                                  </w:r>
                                </w:p>
                              </w:tc>
                              <w:tc>
                                <w:tcPr>
                                  <w:tcW w:w="1153" w:type="dxa"/>
                                  <w:shd w:val="clear" w:color="auto" w:fill="EFEFF0"/>
                                </w:tcPr>
                                <w:p>
                                  <w:pPr>
                                    <w:pStyle w:val="TableParagraph"/>
                                    <w:rPr>
                                      <w:rFonts w:ascii="Times New Roman"/>
                                      <w:sz w:val="16"/>
                                    </w:rPr>
                                  </w:pPr>
                                </w:p>
                              </w:tc>
                            </w:tr>
                            <w:tr>
                              <w:trPr>
                                <w:trHeight w:val="301" w:hRule="atLeast"/>
                              </w:trPr>
                              <w:tc>
                                <w:tcPr>
                                  <w:tcW w:w="3458" w:type="dxa"/>
                                  <w:tcBorders>
                                    <w:bottom w:val="single" w:sz="8" w:space="0" w:color="000000"/>
                                  </w:tcBorders>
                                </w:tcPr>
                                <w:p>
                                  <w:pPr>
                                    <w:pStyle w:val="TableParagraph"/>
                                    <w:spacing w:before="82"/>
                                    <w:ind w:left="56"/>
                                    <w:rPr>
                                      <w:rFonts w:ascii="TT Norms Pro Light"/>
                                      <w:b w:val="0"/>
                                      <w:sz w:val="14"/>
                                    </w:rPr>
                                  </w:pPr>
                                  <w:r>
                                    <w:rPr>
                                      <w:rFonts w:ascii="TT Norms Pro Light"/>
                                      <w:b w:val="0"/>
                                      <w:sz w:val="14"/>
                                    </w:rPr>
                                    <w:t>The</w:t>
                                  </w:r>
                                  <w:r>
                                    <w:rPr>
                                      <w:rFonts w:ascii="TT Norms Pro Light"/>
                                      <w:b w:val="0"/>
                                      <w:spacing w:val="7"/>
                                      <w:sz w:val="14"/>
                                    </w:rPr>
                                    <w:t> </w:t>
                                  </w:r>
                                  <w:r>
                                    <w:rPr>
                                      <w:rFonts w:ascii="TT Norms Pro Light"/>
                                      <w:b w:val="0"/>
                                      <w:sz w:val="14"/>
                                    </w:rPr>
                                    <w:t>Brand</w:t>
                                  </w:r>
                                  <w:r>
                                    <w:rPr>
                                      <w:rFonts w:ascii="TT Norms Pro Light"/>
                                      <w:b w:val="0"/>
                                      <w:spacing w:val="6"/>
                                      <w:sz w:val="14"/>
                                    </w:rPr>
                                    <w:t> </w:t>
                                  </w:r>
                                  <w:r>
                                    <w:rPr>
                                      <w:rFonts w:ascii="TT Norms Pro Light"/>
                                      <w:b w:val="0"/>
                                      <w:spacing w:val="-2"/>
                                      <w:sz w:val="14"/>
                                    </w:rPr>
                                    <w:t>Agency</w:t>
                                  </w:r>
                                </w:p>
                              </w:tc>
                              <w:tc>
                                <w:tcPr>
                                  <w:tcW w:w="1153" w:type="dxa"/>
                                  <w:tcBorders>
                                    <w:bottom w:val="single" w:sz="8" w:space="0" w:color="000000"/>
                                  </w:tcBorders>
                                </w:tcPr>
                                <w:p>
                                  <w:pPr>
                                    <w:pStyle w:val="TableParagraph"/>
                                    <w:rPr>
                                      <w:rFonts w:ascii="Times New Roman"/>
                                      <w:sz w:val="16"/>
                                    </w:rPr>
                                  </w:pPr>
                                </w:p>
                              </w:tc>
                            </w:tr>
                            <w:tr>
                              <w:trPr>
                                <w:trHeight w:val="246" w:hRule="atLeast"/>
                              </w:trPr>
                              <w:tc>
                                <w:tcPr>
                                  <w:tcW w:w="3458" w:type="dxa"/>
                                  <w:tcBorders>
                                    <w:top w:val="single" w:sz="8" w:space="0" w:color="000000"/>
                                  </w:tcBorders>
                                </w:tcPr>
                                <w:p>
                                  <w:pPr>
                                    <w:pStyle w:val="TableParagraph"/>
                                    <w:spacing w:line="154" w:lineRule="exact" w:before="72"/>
                                    <w:ind w:left="56"/>
                                    <w:rPr>
                                      <w:rFonts w:ascii="TT Norms Pro"/>
                                      <w:b/>
                                      <w:sz w:val="14"/>
                                    </w:rPr>
                                  </w:pPr>
                                  <w:r>
                                    <w:rPr>
                                      <w:rFonts w:ascii="TT Norms Pro"/>
                                      <w:b/>
                                      <w:sz w:val="14"/>
                                    </w:rPr>
                                    <w:t>EXPENDITURE</w:t>
                                  </w:r>
                                  <w:r>
                                    <w:rPr>
                                      <w:rFonts w:ascii="TT Norms Pro"/>
                                      <w:b/>
                                      <w:spacing w:val="14"/>
                                      <w:sz w:val="14"/>
                                    </w:rPr>
                                    <w:t> </w:t>
                                  </w:r>
                                  <w:r>
                                    <w:rPr>
                                      <w:rFonts w:ascii="TT Norms Pro"/>
                                      <w:b/>
                                      <w:sz w:val="14"/>
                                    </w:rPr>
                                    <w:t>WITH</w:t>
                                  </w:r>
                                  <w:r>
                                    <w:rPr>
                                      <w:rFonts w:ascii="TT Norms Pro"/>
                                      <w:b/>
                                      <w:spacing w:val="16"/>
                                      <w:sz w:val="14"/>
                                    </w:rPr>
                                    <w:t> </w:t>
                                  </w:r>
                                  <w:r>
                                    <w:rPr>
                                      <w:rFonts w:ascii="TT Norms Pro"/>
                                      <w:b/>
                                      <w:spacing w:val="-2"/>
                                      <w:sz w:val="14"/>
                                    </w:rPr>
                                    <w:t>MARKET</w:t>
                                  </w:r>
                                </w:p>
                              </w:tc>
                              <w:tc>
                                <w:tcPr>
                                  <w:tcW w:w="1153" w:type="dxa"/>
                                  <w:tcBorders>
                                    <w:top w:val="single" w:sz="8" w:space="0" w:color="000000"/>
                                  </w:tcBorders>
                                </w:tcPr>
                                <w:p>
                                  <w:pPr>
                                    <w:pStyle w:val="TableParagraph"/>
                                    <w:spacing w:line="154" w:lineRule="exact" w:before="72"/>
                                    <w:ind w:right="13"/>
                                    <w:jc w:val="right"/>
                                    <w:rPr>
                                      <w:rFonts w:ascii="TT Norms Pro"/>
                                      <w:b/>
                                      <w:sz w:val="14"/>
                                    </w:rPr>
                                  </w:pPr>
                                  <w:r>
                                    <w:rPr>
                                      <w:rFonts w:ascii="TT Norms Pro"/>
                                      <w:b/>
                                      <w:spacing w:val="-2"/>
                                      <w:sz w:val="14"/>
                                    </w:rPr>
                                    <w:t>$229,702</w:t>
                                  </w:r>
                                </w:p>
                              </w:tc>
                            </w:tr>
                            <w:tr>
                              <w:trPr>
                                <w:trHeight w:val="250" w:hRule="atLeast"/>
                              </w:trPr>
                              <w:tc>
                                <w:tcPr>
                                  <w:tcW w:w="3458" w:type="dxa"/>
                                  <w:tcBorders>
                                    <w:bottom w:val="single" w:sz="4" w:space="0" w:color="000000"/>
                                  </w:tcBorders>
                                </w:tcPr>
                                <w:p>
                                  <w:pPr>
                                    <w:pStyle w:val="TableParagraph"/>
                                    <w:spacing w:before="26"/>
                                    <w:ind w:left="56"/>
                                    <w:rPr>
                                      <w:rFonts w:ascii="TT Norms Pro"/>
                                      <w:b/>
                                      <w:sz w:val="14"/>
                                    </w:rPr>
                                  </w:pPr>
                                  <w:r>
                                    <w:rPr>
                                      <w:rFonts w:ascii="TT Norms Pro"/>
                                      <w:b/>
                                      <w:sz w:val="14"/>
                                    </w:rPr>
                                    <w:t>RESEARCH</w:t>
                                  </w:r>
                                  <w:r>
                                    <w:rPr>
                                      <w:rFonts w:ascii="TT Norms Pro"/>
                                      <w:b/>
                                      <w:spacing w:val="22"/>
                                      <w:sz w:val="14"/>
                                    </w:rPr>
                                    <w:t> </w:t>
                                  </w:r>
                                  <w:r>
                                    <w:rPr>
                                      <w:rFonts w:ascii="TT Norms Pro"/>
                                      <w:b/>
                                      <w:spacing w:val="-2"/>
                                      <w:sz w:val="14"/>
                                    </w:rPr>
                                    <w:t>ORGANISATIONS</w:t>
                                  </w:r>
                                </w:p>
                              </w:tc>
                              <w:tc>
                                <w:tcPr>
                                  <w:tcW w:w="1153" w:type="dxa"/>
                                  <w:tcBorders>
                                    <w:bottom w:val="single" w:sz="4" w:space="0" w:color="000000"/>
                                  </w:tcBorders>
                                </w:tcPr>
                                <w:p>
                                  <w:pPr>
                                    <w:pStyle w:val="TableParagraph"/>
                                    <w:rPr>
                                      <w:rFonts w:ascii="Times New Roman"/>
                                      <w:sz w:val="16"/>
                                    </w:rPr>
                                  </w:pPr>
                                </w:p>
                              </w:tc>
                            </w:tr>
                            <w:tr>
                              <w:trPr>
                                <w:trHeight w:val="306" w:hRule="atLeast"/>
                              </w:trPr>
                              <w:tc>
                                <w:tcPr>
                                  <w:tcW w:w="3458" w:type="dxa"/>
                                  <w:tcBorders>
                                    <w:top w:val="single" w:sz="4" w:space="0" w:color="000000"/>
                                  </w:tcBorders>
                                </w:tcPr>
                                <w:p>
                                  <w:pPr>
                                    <w:pStyle w:val="TableParagraph"/>
                                    <w:spacing w:before="77"/>
                                    <w:ind w:left="56"/>
                                    <w:rPr>
                                      <w:rFonts w:ascii="TT Norms Pro Light"/>
                                      <w:b w:val="0"/>
                                      <w:sz w:val="14"/>
                                    </w:rPr>
                                  </w:pPr>
                                  <w:r>
                                    <w:rPr>
                                      <w:rFonts w:ascii="TT Norms Pro Light"/>
                                      <w:b w:val="0"/>
                                      <w:sz w:val="14"/>
                                    </w:rPr>
                                    <w:t>Culture</w:t>
                                  </w:r>
                                  <w:r>
                                    <w:rPr>
                                      <w:rFonts w:ascii="TT Norms Pro Light"/>
                                      <w:b w:val="0"/>
                                      <w:spacing w:val="8"/>
                                      <w:sz w:val="14"/>
                                    </w:rPr>
                                    <w:t> </w:t>
                                  </w:r>
                                  <w:r>
                                    <w:rPr>
                                      <w:rFonts w:ascii="TT Norms Pro Light"/>
                                      <w:b w:val="0"/>
                                      <w:sz w:val="14"/>
                                    </w:rPr>
                                    <w:t>Counts</w:t>
                                  </w:r>
                                  <w:r>
                                    <w:rPr>
                                      <w:rFonts w:ascii="TT Norms Pro Light"/>
                                      <w:b w:val="0"/>
                                      <w:spacing w:val="8"/>
                                      <w:sz w:val="14"/>
                                    </w:rPr>
                                    <w:t> </w:t>
                                  </w:r>
                                  <w:r>
                                    <w:rPr>
                                      <w:rFonts w:ascii="TT Norms Pro Light"/>
                                      <w:b w:val="0"/>
                                      <w:spacing w:val="-2"/>
                                      <w:sz w:val="14"/>
                                    </w:rPr>
                                    <w:t>Australia</w:t>
                                  </w:r>
                                </w:p>
                              </w:tc>
                              <w:tc>
                                <w:tcPr>
                                  <w:tcW w:w="1153" w:type="dxa"/>
                                  <w:tcBorders>
                                    <w:top w:val="single" w:sz="4" w:space="0" w:color="000000"/>
                                  </w:tcBorders>
                                </w:tcPr>
                                <w:p>
                                  <w:pPr>
                                    <w:pStyle w:val="TableParagraph"/>
                                    <w:rPr>
                                      <w:rFonts w:ascii="Times New Roman"/>
                                      <w:sz w:val="16"/>
                                    </w:rPr>
                                  </w:pPr>
                                </w:p>
                              </w:tc>
                            </w:tr>
                            <w:tr>
                              <w:trPr>
                                <w:trHeight w:val="311" w:hRule="atLeast"/>
                              </w:trPr>
                              <w:tc>
                                <w:tcPr>
                                  <w:tcW w:w="3458" w:type="dxa"/>
                                  <w:shd w:val="clear" w:color="auto" w:fill="EFEFF0"/>
                                </w:tcPr>
                                <w:p>
                                  <w:pPr>
                                    <w:pStyle w:val="TableParagraph"/>
                                    <w:spacing w:before="82"/>
                                    <w:ind w:left="56"/>
                                    <w:rPr>
                                      <w:rFonts w:ascii="TT Norms Pro Light"/>
                                      <w:b w:val="0"/>
                                      <w:sz w:val="14"/>
                                    </w:rPr>
                                  </w:pPr>
                                  <w:r>
                                    <w:rPr>
                                      <w:rFonts w:ascii="TT Norms Pro Light"/>
                                      <w:b w:val="0"/>
                                      <w:sz w:val="14"/>
                                    </w:rPr>
                                    <w:t>Isentia</w:t>
                                  </w:r>
                                  <w:r>
                                    <w:rPr>
                                      <w:rFonts w:ascii="TT Norms Pro Light"/>
                                      <w:b w:val="0"/>
                                      <w:spacing w:val="5"/>
                                      <w:sz w:val="14"/>
                                    </w:rPr>
                                    <w:t> </w:t>
                                  </w:r>
                                  <w:r>
                                    <w:rPr>
                                      <w:rFonts w:ascii="TT Norms Pro Light"/>
                                      <w:b w:val="0"/>
                                      <w:sz w:val="14"/>
                                    </w:rPr>
                                    <w:t>Pty</w:t>
                                  </w:r>
                                  <w:r>
                                    <w:rPr>
                                      <w:rFonts w:ascii="TT Norms Pro Light"/>
                                      <w:b w:val="0"/>
                                      <w:spacing w:val="8"/>
                                      <w:sz w:val="14"/>
                                    </w:rPr>
                                    <w:t> </w:t>
                                  </w:r>
                                  <w:r>
                                    <w:rPr>
                                      <w:rFonts w:ascii="TT Norms Pro Light"/>
                                      <w:b w:val="0"/>
                                      <w:spacing w:val="-5"/>
                                      <w:sz w:val="14"/>
                                    </w:rPr>
                                    <w:t>Ltd</w:t>
                                  </w:r>
                                </w:p>
                              </w:tc>
                              <w:tc>
                                <w:tcPr>
                                  <w:tcW w:w="1153" w:type="dxa"/>
                                  <w:shd w:val="clear" w:color="auto" w:fill="EFEFF0"/>
                                </w:tcPr>
                                <w:p>
                                  <w:pPr>
                                    <w:pStyle w:val="TableParagraph"/>
                                    <w:rPr>
                                      <w:rFonts w:ascii="Times New Roman"/>
                                      <w:sz w:val="16"/>
                                    </w:rPr>
                                  </w:pPr>
                                </w:p>
                              </w:tc>
                            </w:tr>
                            <w:tr>
                              <w:trPr>
                                <w:trHeight w:val="301" w:hRule="atLeast"/>
                              </w:trPr>
                              <w:tc>
                                <w:tcPr>
                                  <w:tcW w:w="3458" w:type="dxa"/>
                                  <w:tcBorders>
                                    <w:bottom w:val="single" w:sz="8" w:space="0" w:color="000000"/>
                                  </w:tcBorders>
                                </w:tcPr>
                                <w:p>
                                  <w:pPr>
                                    <w:pStyle w:val="TableParagraph"/>
                                    <w:spacing w:before="82"/>
                                    <w:ind w:left="56"/>
                                    <w:rPr>
                                      <w:rFonts w:ascii="TT Norms Pro Light"/>
                                      <w:b w:val="0"/>
                                      <w:sz w:val="14"/>
                                    </w:rPr>
                                  </w:pPr>
                                  <w:r>
                                    <w:rPr>
                                      <w:rFonts w:ascii="TT Norms Pro Light"/>
                                      <w:b w:val="0"/>
                                      <w:sz w:val="14"/>
                                    </w:rPr>
                                    <w:t>Metrix</w:t>
                                  </w:r>
                                  <w:r>
                                    <w:rPr>
                                      <w:rFonts w:ascii="TT Norms Pro Light"/>
                                      <w:b w:val="0"/>
                                      <w:spacing w:val="9"/>
                                      <w:sz w:val="14"/>
                                    </w:rPr>
                                    <w:t> </w:t>
                                  </w:r>
                                  <w:r>
                                    <w:rPr>
                                      <w:rFonts w:ascii="TT Norms Pro Light"/>
                                      <w:b w:val="0"/>
                                      <w:spacing w:val="-2"/>
                                      <w:sz w:val="14"/>
                                    </w:rPr>
                                    <w:t>Consulting</w:t>
                                  </w:r>
                                </w:p>
                              </w:tc>
                              <w:tc>
                                <w:tcPr>
                                  <w:tcW w:w="1153" w:type="dxa"/>
                                  <w:tcBorders>
                                    <w:bottom w:val="single" w:sz="8" w:space="0" w:color="000000"/>
                                  </w:tcBorders>
                                </w:tcPr>
                                <w:p>
                                  <w:pPr>
                                    <w:pStyle w:val="TableParagraph"/>
                                    <w:rPr>
                                      <w:rFonts w:ascii="Times New Roman"/>
                                      <w:sz w:val="16"/>
                                    </w:rPr>
                                  </w:pPr>
                                </w:p>
                              </w:tc>
                            </w:tr>
                            <w:tr>
                              <w:trPr>
                                <w:trHeight w:val="246" w:hRule="atLeast"/>
                              </w:trPr>
                              <w:tc>
                                <w:tcPr>
                                  <w:tcW w:w="3458" w:type="dxa"/>
                                  <w:tcBorders>
                                    <w:top w:val="single" w:sz="8" w:space="0" w:color="000000"/>
                                  </w:tcBorders>
                                </w:tcPr>
                                <w:p>
                                  <w:pPr>
                                    <w:pStyle w:val="TableParagraph"/>
                                    <w:spacing w:line="154" w:lineRule="exact" w:before="72"/>
                                    <w:ind w:left="56"/>
                                    <w:rPr>
                                      <w:rFonts w:ascii="TT Norms Pro"/>
                                      <w:b/>
                                      <w:sz w:val="14"/>
                                    </w:rPr>
                                  </w:pPr>
                                  <w:r>
                                    <w:rPr>
                                      <w:rFonts w:ascii="TT Norms Pro"/>
                                      <w:b/>
                                      <w:sz w:val="14"/>
                                    </w:rPr>
                                    <w:t>EXPENDITURE</w:t>
                                  </w:r>
                                  <w:r>
                                    <w:rPr>
                                      <w:rFonts w:ascii="TT Norms Pro"/>
                                      <w:b/>
                                      <w:spacing w:val="14"/>
                                      <w:sz w:val="14"/>
                                    </w:rPr>
                                    <w:t> </w:t>
                                  </w:r>
                                  <w:r>
                                    <w:rPr>
                                      <w:rFonts w:ascii="TT Norms Pro"/>
                                      <w:b/>
                                      <w:sz w:val="14"/>
                                    </w:rPr>
                                    <w:t>WITH</w:t>
                                  </w:r>
                                  <w:r>
                                    <w:rPr>
                                      <w:rFonts w:ascii="TT Norms Pro"/>
                                      <w:b/>
                                      <w:spacing w:val="16"/>
                                      <w:sz w:val="14"/>
                                    </w:rPr>
                                    <w:t> </w:t>
                                  </w:r>
                                  <w:r>
                                    <w:rPr>
                                      <w:rFonts w:ascii="TT Norms Pro"/>
                                      <w:b/>
                                      <w:spacing w:val="-2"/>
                                      <w:sz w:val="14"/>
                                    </w:rPr>
                                    <w:t>POLLING</w:t>
                                  </w:r>
                                </w:p>
                              </w:tc>
                              <w:tc>
                                <w:tcPr>
                                  <w:tcW w:w="1153" w:type="dxa"/>
                                  <w:tcBorders>
                                    <w:top w:val="single" w:sz="8" w:space="0" w:color="000000"/>
                                  </w:tcBorders>
                                </w:tcPr>
                                <w:p>
                                  <w:pPr>
                                    <w:pStyle w:val="TableParagraph"/>
                                    <w:spacing w:line="154" w:lineRule="exact" w:before="72"/>
                                    <w:ind w:right="13"/>
                                    <w:jc w:val="right"/>
                                    <w:rPr>
                                      <w:rFonts w:ascii="TT Norms Pro"/>
                                      <w:b/>
                                      <w:sz w:val="14"/>
                                    </w:rPr>
                                  </w:pPr>
                                  <w:r>
                                    <w:rPr>
                                      <w:rFonts w:ascii="TT Norms Pro"/>
                                      <w:b/>
                                      <w:sz w:val="14"/>
                                    </w:rPr>
                                    <w:t>$ </w:t>
                                  </w:r>
                                  <w:r>
                                    <w:rPr>
                                      <w:rFonts w:ascii="TT Norms Pro"/>
                                      <w:b/>
                                      <w:spacing w:val="-10"/>
                                      <w:sz w:val="14"/>
                                    </w:rPr>
                                    <w:t>-</w:t>
                                  </w:r>
                                </w:p>
                              </w:tc>
                            </w:tr>
                            <w:tr>
                              <w:trPr>
                                <w:trHeight w:val="250" w:hRule="atLeast"/>
                              </w:trPr>
                              <w:tc>
                                <w:tcPr>
                                  <w:tcW w:w="3458" w:type="dxa"/>
                                  <w:tcBorders>
                                    <w:bottom w:val="single" w:sz="4" w:space="0" w:color="000000"/>
                                  </w:tcBorders>
                                </w:tcPr>
                                <w:p>
                                  <w:pPr>
                                    <w:pStyle w:val="TableParagraph"/>
                                    <w:spacing w:before="26"/>
                                    <w:ind w:left="56"/>
                                    <w:rPr>
                                      <w:rFonts w:ascii="TT Norms Pro"/>
                                      <w:b/>
                                      <w:sz w:val="14"/>
                                    </w:rPr>
                                  </w:pPr>
                                  <w:r>
                                    <w:rPr>
                                      <w:rFonts w:ascii="TT Norms Pro"/>
                                      <w:b/>
                                      <w:spacing w:val="-2"/>
                                      <w:sz w:val="14"/>
                                    </w:rPr>
                                    <w:t>ORGANISATIONS</w:t>
                                  </w:r>
                                </w:p>
                              </w:tc>
                              <w:tc>
                                <w:tcPr>
                                  <w:tcW w:w="1153" w:type="dxa"/>
                                  <w:tcBorders>
                                    <w:bottom w:val="single" w:sz="4" w:space="0" w:color="000000"/>
                                  </w:tcBorders>
                                </w:tcPr>
                                <w:p>
                                  <w:pPr>
                                    <w:pStyle w:val="TableParagraph"/>
                                    <w:rPr>
                                      <w:rFonts w:ascii="Times New Roman"/>
                                      <w:sz w:val="16"/>
                                    </w:rPr>
                                  </w:pPr>
                                </w:p>
                              </w:tc>
                            </w:tr>
                            <w:tr>
                              <w:trPr>
                                <w:trHeight w:val="296" w:hRule="atLeast"/>
                              </w:trPr>
                              <w:tc>
                                <w:tcPr>
                                  <w:tcW w:w="3458" w:type="dxa"/>
                                  <w:tcBorders>
                                    <w:top w:val="single" w:sz="4" w:space="0" w:color="000000"/>
                                    <w:bottom w:val="single" w:sz="8" w:space="0" w:color="000000"/>
                                  </w:tcBorders>
                                </w:tcPr>
                                <w:p>
                                  <w:pPr>
                                    <w:pStyle w:val="TableParagraph"/>
                                    <w:rPr>
                                      <w:rFonts w:ascii="Times New Roman"/>
                                      <w:sz w:val="16"/>
                                    </w:rPr>
                                  </w:pPr>
                                </w:p>
                              </w:tc>
                              <w:tc>
                                <w:tcPr>
                                  <w:tcW w:w="1153" w:type="dxa"/>
                                  <w:tcBorders>
                                    <w:top w:val="single" w:sz="4" w:space="0" w:color="000000"/>
                                    <w:bottom w:val="single" w:sz="8" w:space="0" w:color="000000"/>
                                  </w:tcBorders>
                                </w:tcPr>
                                <w:p>
                                  <w:pPr>
                                    <w:pStyle w:val="TableParagraph"/>
                                    <w:rPr>
                                      <w:rFonts w:ascii="Times New Roman"/>
                                      <w:sz w:val="16"/>
                                    </w:rPr>
                                  </w:pPr>
                                </w:p>
                              </w:tc>
                            </w:tr>
                            <w:tr>
                              <w:trPr>
                                <w:trHeight w:val="513" w:hRule="atLeast"/>
                              </w:trPr>
                              <w:tc>
                                <w:tcPr>
                                  <w:tcW w:w="3458" w:type="dxa"/>
                                  <w:tcBorders>
                                    <w:top w:val="single" w:sz="8" w:space="0" w:color="000000"/>
                                    <w:bottom w:val="single" w:sz="4" w:space="0" w:color="000000"/>
                                  </w:tcBorders>
                                </w:tcPr>
                                <w:p>
                                  <w:pPr>
                                    <w:pStyle w:val="TableParagraph"/>
                                    <w:spacing w:line="256" w:lineRule="auto" w:before="70"/>
                                    <w:ind w:left="56" w:right="241"/>
                                    <w:rPr>
                                      <w:rFonts w:ascii="TT Norms Pro"/>
                                      <w:b/>
                                      <w:sz w:val="16"/>
                                    </w:rPr>
                                  </w:pPr>
                                  <w:r>
                                    <w:rPr>
                                      <w:rFonts w:ascii="TT Norms Pro"/>
                                      <w:b/>
                                      <w:sz w:val="16"/>
                                    </w:rPr>
                                    <w:t>EXPENDITURE WITH DIRECT MAIL</w:t>
                                  </w:r>
                                  <w:r>
                                    <w:rPr>
                                      <w:rFonts w:ascii="TT Norms Pro"/>
                                      <w:b/>
                                      <w:spacing w:val="40"/>
                                      <w:sz w:val="16"/>
                                    </w:rPr>
                                    <w:t> </w:t>
                                  </w:r>
                                  <w:r>
                                    <w:rPr>
                                      <w:rFonts w:ascii="TT Norms Pro"/>
                                      <w:b/>
                                      <w:spacing w:val="-2"/>
                                      <w:sz w:val="16"/>
                                    </w:rPr>
                                    <w:t>ORGANISATIONS</w:t>
                                  </w:r>
                                </w:p>
                              </w:tc>
                              <w:tc>
                                <w:tcPr>
                                  <w:tcW w:w="1153" w:type="dxa"/>
                                  <w:tcBorders>
                                    <w:top w:val="single" w:sz="8" w:space="0" w:color="000000"/>
                                    <w:bottom w:val="single" w:sz="4" w:space="0" w:color="000000"/>
                                  </w:tcBorders>
                                </w:tcPr>
                                <w:p>
                                  <w:pPr>
                                    <w:pStyle w:val="TableParagraph"/>
                                    <w:spacing w:before="70"/>
                                    <w:ind w:right="13"/>
                                    <w:jc w:val="right"/>
                                    <w:rPr>
                                      <w:rFonts w:ascii="TT Norms Pro"/>
                                      <w:b/>
                                      <w:sz w:val="16"/>
                                    </w:rPr>
                                  </w:pPr>
                                  <w:r>
                                    <w:rPr>
                                      <w:rFonts w:ascii="TT Norms Pro"/>
                                      <w:b/>
                                      <w:spacing w:val="-2"/>
                                      <w:sz w:val="16"/>
                                    </w:rPr>
                                    <w:t>$34,398</w:t>
                                  </w:r>
                                </w:p>
                              </w:tc>
                            </w:tr>
                            <w:tr>
                              <w:trPr>
                                <w:trHeight w:val="306" w:hRule="atLeast"/>
                              </w:trPr>
                              <w:tc>
                                <w:tcPr>
                                  <w:tcW w:w="3458" w:type="dxa"/>
                                  <w:tcBorders>
                                    <w:top w:val="single" w:sz="4" w:space="0" w:color="000000"/>
                                  </w:tcBorders>
                                </w:tcPr>
                                <w:p>
                                  <w:pPr>
                                    <w:pStyle w:val="TableParagraph"/>
                                    <w:spacing w:before="77"/>
                                    <w:ind w:left="56"/>
                                    <w:rPr>
                                      <w:rFonts w:ascii="TT Norms Pro Light"/>
                                      <w:b w:val="0"/>
                                      <w:sz w:val="14"/>
                                    </w:rPr>
                                  </w:pPr>
                                  <w:r>
                                    <w:rPr>
                                      <w:rFonts w:ascii="TT Norms Pro Light"/>
                                      <w:b w:val="0"/>
                                      <w:sz w:val="14"/>
                                    </w:rPr>
                                    <w:t>AO</w:t>
                                  </w:r>
                                  <w:r>
                                    <w:rPr>
                                      <w:rFonts w:ascii="TT Norms Pro Light"/>
                                      <w:b w:val="0"/>
                                      <w:spacing w:val="1"/>
                                      <w:sz w:val="14"/>
                                    </w:rPr>
                                    <w:t> </w:t>
                                  </w:r>
                                  <w:r>
                                    <w:rPr>
                                      <w:rFonts w:ascii="TT Norms Pro Light"/>
                                      <w:b w:val="0"/>
                                      <w:sz w:val="14"/>
                                    </w:rPr>
                                    <w:t>Lets</w:t>
                                  </w:r>
                                  <w:r>
                                    <w:rPr>
                                      <w:rFonts w:ascii="TT Norms Pro Light"/>
                                      <w:b w:val="0"/>
                                      <w:spacing w:val="3"/>
                                      <w:sz w:val="14"/>
                                    </w:rPr>
                                    <w:t> </w:t>
                                  </w:r>
                                  <w:r>
                                    <w:rPr>
                                      <w:rFonts w:ascii="TT Norms Pro Light"/>
                                      <w:b w:val="0"/>
                                      <w:sz w:val="14"/>
                                    </w:rPr>
                                    <w:t>Go</w:t>
                                  </w:r>
                                  <w:r>
                                    <w:rPr>
                                      <w:rFonts w:ascii="TT Norms Pro Light"/>
                                      <w:b w:val="0"/>
                                      <w:spacing w:val="3"/>
                                      <w:sz w:val="14"/>
                                    </w:rPr>
                                    <w:t> </w:t>
                                  </w:r>
                                  <w:r>
                                    <w:rPr>
                                      <w:rFonts w:ascii="TT Norms Pro Light"/>
                                      <w:b w:val="0"/>
                                      <w:sz w:val="14"/>
                                    </w:rPr>
                                    <w:t>Poster</w:t>
                                  </w:r>
                                  <w:r>
                                    <w:rPr>
                                      <w:rFonts w:ascii="TT Norms Pro Light"/>
                                      <w:b w:val="0"/>
                                      <w:spacing w:val="3"/>
                                      <w:sz w:val="14"/>
                                    </w:rPr>
                                    <w:t> </w:t>
                                  </w:r>
                                  <w:r>
                                    <w:rPr>
                                      <w:rFonts w:ascii="TT Norms Pro Light"/>
                                      <w:b w:val="0"/>
                                      <w:spacing w:val="-2"/>
                                      <w:sz w:val="14"/>
                                    </w:rPr>
                                    <w:t>Distribution</w:t>
                                  </w:r>
                                </w:p>
                              </w:tc>
                              <w:tc>
                                <w:tcPr>
                                  <w:tcW w:w="1153" w:type="dxa"/>
                                  <w:tcBorders>
                                    <w:top w:val="single" w:sz="4" w:space="0" w:color="000000"/>
                                  </w:tcBorders>
                                </w:tcPr>
                                <w:p>
                                  <w:pPr>
                                    <w:pStyle w:val="TableParagraph"/>
                                    <w:rPr>
                                      <w:rFonts w:ascii="Times New Roman"/>
                                      <w:sz w:val="16"/>
                                    </w:rPr>
                                  </w:pPr>
                                </w:p>
                              </w:tc>
                            </w:tr>
                            <w:tr>
                              <w:trPr>
                                <w:trHeight w:val="311" w:hRule="atLeast"/>
                              </w:trPr>
                              <w:tc>
                                <w:tcPr>
                                  <w:tcW w:w="3458" w:type="dxa"/>
                                  <w:shd w:val="clear" w:color="auto" w:fill="EFEFF0"/>
                                </w:tcPr>
                                <w:p>
                                  <w:pPr>
                                    <w:pStyle w:val="TableParagraph"/>
                                    <w:spacing w:before="82"/>
                                    <w:ind w:left="56"/>
                                    <w:rPr>
                                      <w:rFonts w:ascii="TT Norms Pro Light"/>
                                      <w:b w:val="0"/>
                                      <w:sz w:val="14"/>
                                    </w:rPr>
                                  </w:pPr>
                                  <w:r>
                                    <w:rPr>
                                      <w:rFonts w:ascii="TT Norms Pro Light"/>
                                      <w:b w:val="0"/>
                                      <w:sz w:val="14"/>
                                    </w:rPr>
                                    <w:t>Mueller</w:t>
                                  </w:r>
                                  <w:r>
                                    <w:rPr>
                                      <w:rFonts w:ascii="TT Norms Pro Light"/>
                                      <w:b w:val="0"/>
                                      <w:spacing w:val="12"/>
                                      <w:sz w:val="14"/>
                                    </w:rPr>
                                    <w:t> </w:t>
                                  </w:r>
                                  <w:r>
                                    <w:rPr>
                                      <w:rFonts w:ascii="TT Norms Pro Light"/>
                                      <w:b w:val="0"/>
                                      <w:sz w:val="14"/>
                                    </w:rPr>
                                    <w:t>Marricks</w:t>
                                  </w:r>
                                  <w:r>
                                    <w:rPr>
                                      <w:rFonts w:ascii="TT Norms Pro Light"/>
                                      <w:b w:val="0"/>
                                      <w:spacing w:val="14"/>
                                      <w:sz w:val="14"/>
                                    </w:rPr>
                                    <w:t> </w:t>
                                  </w:r>
                                  <w:r>
                                    <w:rPr>
                                      <w:rFonts w:ascii="TT Norms Pro Light"/>
                                      <w:b w:val="0"/>
                                      <w:spacing w:val="-5"/>
                                      <w:sz w:val="14"/>
                                    </w:rPr>
                                    <w:t>Pty</w:t>
                                  </w:r>
                                </w:p>
                              </w:tc>
                              <w:tc>
                                <w:tcPr>
                                  <w:tcW w:w="1153" w:type="dxa"/>
                                  <w:shd w:val="clear" w:color="auto" w:fill="EFEFF0"/>
                                </w:tcPr>
                                <w:p>
                                  <w:pPr>
                                    <w:pStyle w:val="TableParagraph"/>
                                    <w:rPr>
                                      <w:rFonts w:ascii="Times New Roman"/>
                                      <w:sz w:val="16"/>
                                    </w:rPr>
                                  </w:pPr>
                                </w:p>
                              </w:tc>
                            </w:tr>
                            <w:tr>
                              <w:trPr>
                                <w:trHeight w:val="311" w:hRule="atLeast"/>
                              </w:trPr>
                              <w:tc>
                                <w:tcPr>
                                  <w:tcW w:w="3458" w:type="dxa"/>
                                </w:tcPr>
                                <w:p>
                                  <w:pPr>
                                    <w:pStyle w:val="TableParagraph"/>
                                    <w:spacing w:before="82"/>
                                    <w:ind w:left="56"/>
                                    <w:rPr>
                                      <w:rFonts w:ascii="TT Norms Pro Light"/>
                                      <w:b w:val="0"/>
                                      <w:sz w:val="14"/>
                                    </w:rPr>
                                  </w:pPr>
                                  <w:r>
                                    <w:rPr>
                                      <w:rFonts w:ascii="TT Norms Pro Light"/>
                                      <w:b w:val="0"/>
                                      <w:sz w:val="14"/>
                                    </w:rPr>
                                    <w:t>The</w:t>
                                  </w:r>
                                  <w:r>
                                    <w:rPr>
                                      <w:rFonts w:ascii="TT Norms Pro Light"/>
                                      <w:b w:val="0"/>
                                      <w:spacing w:val="5"/>
                                      <w:sz w:val="14"/>
                                    </w:rPr>
                                    <w:t> </w:t>
                                  </w:r>
                                  <w:r>
                                    <w:rPr>
                                      <w:rFonts w:ascii="TT Norms Pro Light"/>
                                      <w:b w:val="0"/>
                                      <w:sz w:val="14"/>
                                    </w:rPr>
                                    <w:t>Poster</w:t>
                                  </w:r>
                                  <w:r>
                                    <w:rPr>
                                      <w:rFonts w:ascii="TT Norms Pro Light"/>
                                      <w:b w:val="0"/>
                                      <w:spacing w:val="5"/>
                                      <w:sz w:val="14"/>
                                    </w:rPr>
                                    <w:t> </w:t>
                                  </w:r>
                                  <w:r>
                                    <w:rPr>
                                      <w:rFonts w:ascii="TT Norms Pro Light"/>
                                      <w:b w:val="0"/>
                                      <w:spacing w:val="-2"/>
                                      <w:sz w:val="14"/>
                                    </w:rPr>
                                    <w:t>Girls</w:t>
                                  </w:r>
                                </w:p>
                              </w:tc>
                              <w:tc>
                                <w:tcPr>
                                  <w:tcW w:w="1153" w:type="dxa"/>
                                </w:tcPr>
                                <w:p>
                                  <w:pPr>
                                    <w:pStyle w:val="TableParagraph"/>
                                    <w:rPr>
                                      <w:rFonts w:ascii="Times New Roman"/>
                                      <w:sz w:val="16"/>
                                    </w:rPr>
                                  </w:pPr>
                                </w:p>
                              </w:tc>
                            </w:tr>
                            <w:tr>
                              <w:trPr>
                                <w:trHeight w:val="301" w:hRule="atLeast"/>
                              </w:trPr>
                              <w:tc>
                                <w:tcPr>
                                  <w:tcW w:w="3458" w:type="dxa"/>
                                  <w:tcBorders>
                                    <w:bottom w:val="single" w:sz="8" w:space="0" w:color="000000"/>
                                  </w:tcBorders>
                                  <w:shd w:val="clear" w:color="auto" w:fill="EFEFF0"/>
                                </w:tcPr>
                                <w:p>
                                  <w:pPr>
                                    <w:pStyle w:val="TableParagraph"/>
                                    <w:spacing w:before="82"/>
                                    <w:ind w:left="56"/>
                                    <w:rPr>
                                      <w:rFonts w:ascii="TT Norms Pro Light"/>
                                      <w:b w:val="0"/>
                                      <w:sz w:val="14"/>
                                    </w:rPr>
                                  </w:pPr>
                                  <w:r>
                                    <w:rPr>
                                      <w:rFonts w:ascii="TT Norms Pro Light"/>
                                      <w:b w:val="0"/>
                                      <w:spacing w:val="-2"/>
                                      <w:sz w:val="14"/>
                                    </w:rPr>
                                    <w:t>WordFly</w:t>
                                  </w:r>
                                </w:p>
                              </w:tc>
                              <w:tc>
                                <w:tcPr>
                                  <w:tcW w:w="1153" w:type="dxa"/>
                                  <w:tcBorders>
                                    <w:bottom w:val="single" w:sz="8" w:space="0" w:color="000000"/>
                                  </w:tcBorders>
                                  <w:shd w:val="clear" w:color="auto" w:fill="EFEFF0"/>
                                </w:tcPr>
                                <w:p>
                                  <w:pPr>
                                    <w:pStyle w:val="TableParagraph"/>
                                    <w:rPr>
                                      <w:rFonts w:ascii="Times New Roman"/>
                                      <w:sz w:val="16"/>
                                    </w:rPr>
                                  </w:pPr>
                                </w:p>
                              </w:tc>
                            </w:tr>
                            <w:tr>
                              <w:trPr>
                                <w:trHeight w:val="246" w:hRule="atLeast"/>
                              </w:trPr>
                              <w:tc>
                                <w:tcPr>
                                  <w:tcW w:w="3458" w:type="dxa"/>
                                  <w:tcBorders>
                                    <w:top w:val="single" w:sz="8" w:space="0" w:color="000000"/>
                                  </w:tcBorders>
                                </w:tcPr>
                                <w:p>
                                  <w:pPr>
                                    <w:pStyle w:val="TableParagraph"/>
                                    <w:spacing w:line="154" w:lineRule="exact" w:before="72"/>
                                    <w:ind w:left="56"/>
                                    <w:rPr>
                                      <w:rFonts w:ascii="TT Norms Pro"/>
                                      <w:b/>
                                      <w:sz w:val="14"/>
                                    </w:rPr>
                                  </w:pPr>
                                  <w:r>
                                    <w:rPr>
                                      <w:rFonts w:ascii="TT Norms Pro"/>
                                      <w:b/>
                                      <w:sz w:val="14"/>
                                    </w:rPr>
                                    <w:t>EXPENDITURE</w:t>
                                  </w:r>
                                  <w:r>
                                    <w:rPr>
                                      <w:rFonts w:ascii="TT Norms Pro"/>
                                      <w:b/>
                                      <w:spacing w:val="14"/>
                                      <w:sz w:val="14"/>
                                    </w:rPr>
                                    <w:t> </w:t>
                                  </w:r>
                                  <w:r>
                                    <w:rPr>
                                      <w:rFonts w:ascii="TT Norms Pro"/>
                                      <w:b/>
                                      <w:sz w:val="14"/>
                                    </w:rPr>
                                    <w:t>WITH</w:t>
                                  </w:r>
                                  <w:r>
                                    <w:rPr>
                                      <w:rFonts w:ascii="TT Norms Pro"/>
                                      <w:b/>
                                      <w:spacing w:val="15"/>
                                      <w:sz w:val="14"/>
                                    </w:rPr>
                                    <w:t> </w:t>
                                  </w:r>
                                  <w:r>
                                    <w:rPr>
                                      <w:rFonts w:ascii="TT Norms Pro"/>
                                      <w:b/>
                                      <w:sz w:val="14"/>
                                    </w:rPr>
                                    <w:t>MEDIA</w:t>
                                  </w:r>
                                  <w:r>
                                    <w:rPr>
                                      <w:rFonts w:ascii="TT Norms Pro"/>
                                      <w:b/>
                                      <w:spacing w:val="15"/>
                                      <w:sz w:val="14"/>
                                    </w:rPr>
                                    <w:t> </w:t>
                                  </w:r>
                                  <w:r>
                                    <w:rPr>
                                      <w:rFonts w:ascii="TT Norms Pro"/>
                                      <w:b/>
                                      <w:spacing w:val="-2"/>
                                      <w:sz w:val="14"/>
                                    </w:rPr>
                                    <w:t>ADVERTISING</w:t>
                                  </w:r>
                                </w:p>
                              </w:tc>
                              <w:tc>
                                <w:tcPr>
                                  <w:tcW w:w="1153" w:type="dxa"/>
                                  <w:tcBorders>
                                    <w:top w:val="single" w:sz="8" w:space="0" w:color="000000"/>
                                  </w:tcBorders>
                                </w:tcPr>
                                <w:p>
                                  <w:pPr>
                                    <w:pStyle w:val="TableParagraph"/>
                                    <w:spacing w:line="154" w:lineRule="exact" w:before="72"/>
                                    <w:ind w:right="13"/>
                                    <w:jc w:val="right"/>
                                    <w:rPr>
                                      <w:rFonts w:ascii="TT Norms Pro"/>
                                      <w:b/>
                                      <w:sz w:val="14"/>
                                    </w:rPr>
                                  </w:pPr>
                                  <w:r>
                                    <w:rPr>
                                      <w:rFonts w:ascii="TT Norms Pro"/>
                                      <w:b/>
                                      <w:spacing w:val="-2"/>
                                      <w:sz w:val="14"/>
                                    </w:rPr>
                                    <w:t>$2,454,823</w:t>
                                  </w:r>
                                </w:p>
                              </w:tc>
                            </w:tr>
                            <w:tr>
                              <w:trPr>
                                <w:trHeight w:val="250" w:hRule="atLeast"/>
                              </w:trPr>
                              <w:tc>
                                <w:tcPr>
                                  <w:tcW w:w="3458" w:type="dxa"/>
                                  <w:tcBorders>
                                    <w:bottom w:val="single" w:sz="4" w:space="0" w:color="000000"/>
                                  </w:tcBorders>
                                </w:tcPr>
                                <w:p>
                                  <w:pPr>
                                    <w:pStyle w:val="TableParagraph"/>
                                    <w:spacing w:before="26"/>
                                    <w:ind w:left="56"/>
                                    <w:rPr>
                                      <w:rFonts w:ascii="TT Norms Pro"/>
                                      <w:b/>
                                      <w:sz w:val="14"/>
                                    </w:rPr>
                                  </w:pPr>
                                  <w:r>
                                    <w:rPr>
                                      <w:rFonts w:ascii="TT Norms Pro"/>
                                      <w:b/>
                                      <w:spacing w:val="-2"/>
                                      <w:sz w:val="14"/>
                                    </w:rPr>
                                    <w:t>ORGANISATIONS</w:t>
                                  </w:r>
                                </w:p>
                              </w:tc>
                              <w:tc>
                                <w:tcPr>
                                  <w:tcW w:w="1153" w:type="dxa"/>
                                  <w:tcBorders>
                                    <w:bottom w:val="single" w:sz="4" w:space="0" w:color="000000"/>
                                  </w:tcBorders>
                                </w:tcPr>
                                <w:p>
                                  <w:pPr>
                                    <w:pStyle w:val="TableParagraph"/>
                                    <w:rPr>
                                      <w:rFonts w:ascii="Times New Roman"/>
                                      <w:sz w:val="16"/>
                                    </w:rPr>
                                  </w:pPr>
                                </w:p>
                              </w:tc>
                            </w:tr>
                            <w:tr>
                              <w:trPr>
                                <w:trHeight w:val="315" w:hRule="atLeast"/>
                              </w:trPr>
                              <w:tc>
                                <w:tcPr>
                                  <w:tcW w:w="3458" w:type="dxa"/>
                                  <w:tcBorders>
                                    <w:top w:val="single" w:sz="4" w:space="0" w:color="000000"/>
                                  </w:tcBorders>
                                  <w:shd w:val="clear" w:color="auto" w:fill="EFEFF0"/>
                                </w:tcPr>
                                <w:p>
                                  <w:pPr>
                                    <w:pStyle w:val="TableParagraph"/>
                                    <w:spacing w:before="82"/>
                                    <w:ind w:left="56"/>
                                    <w:rPr>
                                      <w:rFonts w:ascii="TT Norms Pro Light"/>
                                      <w:b w:val="0"/>
                                      <w:sz w:val="14"/>
                                    </w:rPr>
                                  </w:pPr>
                                  <w:r>
                                    <w:rPr>
                                      <w:rFonts w:ascii="TT Norms Pro Light"/>
                                      <w:b w:val="0"/>
                                      <w:sz w:val="14"/>
                                    </w:rPr>
                                    <w:t>Albany</w:t>
                                  </w:r>
                                  <w:r>
                                    <w:rPr>
                                      <w:rFonts w:ascii="TT Norms Pro Light"/>
                                      <w:b w:val="0"/>
                                      <w:spacing w:val="7"/>
                                      <w:sz w:val="14"/>
                                    </w:rPr>
                                    <w:t> </w:t>
                                  </w:r>
                                  <w:r>
                                    <w:rPr>
                                      <w:rFonts w:ascii="TT Norms Pro Light"/>
                                      <w:b w:val="0"/>
                                      <w:sz w:val="14"/>
                                    </w:rPr>
                                    <w:t>and</w:t>
                                  </w:r>
                                  <w:r>
                                    <w:rPr>
                                      <w:rFonts w:ascii="TT Norms Pro Light"/>
                                      <w:b w:val="0"/>
                                      <w:spacing w:val="8"/>
                                      <w:sz w:val="14"/>
                                    </w:rPr>
                                    <w:t> </w:t>
                                  </w:r>
                                  <w:r>
                                    <w:rPr>
                                      <w:rFonts w:ascii="TT Norms Pro Light"/>
                                      <w:b w:val="0"/>
                                      <w:sz w:val="14"/>
                                    </w:rPr>
                                    <w:t>Great</w:t>
                                  </w:r>
                                  <w:r>
                                    <w:rPr>
                                      <w:rFonts w:ascii="TT Norms Pro Light"/>
                                      <w:b w:val="0"/>
                                      <w:spacing w:val="8"/>
                                      <w:sz w:val="14"/>
                                    </w:rPr>
                                    <w:t> </w:t>
                                  </w:r>
                                  <w:r>
                                    <w:rPr>
                                      <w:rFonts w:ascii="TT Norms Pro Light"/>
                                      <w:b w:val="0"/>
                                      <w:sz w:val="14"/>
                                    </w:rPr>
                                    <w:t>Southern</w:t>
                                  </w:r>
                                  <w:r>
                                    <w:rPr>
                                      <w:rFonts w:ascii="TT Norms Pro Light"/>
                                      <w:b w:val="0"/>
                                      <w:spacing w:val="8"/>
                                      <w:sz w:val="14"/>
                                    </w:rPr>
                                    <w:t> </w:t>
                                  </w:r>
                                  <w:r>
                                    <w:rPr>
                                      <w:rFonts w:ascii="TT Norms Pro Light"/>
                                      <w:b w:val="0"/>
                                      <w:spacing w:val="-2"/>
                                      <w:sz w:val="14"/>
                                    </w:rPr>
                                    <w:t>Weekender</w:t>
                                  </w:r>
                                </w:p>
                              </w:tc>
                              <w:tc>
                                <w:tcPr>
                                  <w:tcW w:w="1153" w:type="dxa"/>
                                  <w:tcBorders>
                                    <w:top w:val="single" w:sz="4" w:space="0" w:color="000000"/>
                                  </w:tcBorders>
                                  <w:shd w:val="clear" w:color="auto" w:fill="EFEFF0"/>
                                </w:tcPr>
                                <w:p>
                                  <w:pPr>
                                    <w:pStyle w:val="TableParagraph"/>
                                    <w:rPr>
                                      <w:rFonts w:ascii="Times New Roman"/>
                                      <w:sz w:val="16"/>
                                    </w:rPr>
                                  </w:pPr>
                                </w:p>
                              </w:tc>
                            </w:tr>
                            <w:tr>
                              <w:trPr>
                                <w:trHeight w:val="311" w:hRule="atLeast"/>
                              </w:trPr>
                              <w:tc>
                                <w:tcPr>
                                  <w:tcW w:w="3458" w:type="dxa"/>
                                </w:tcPr>
                                <w:p>
                                  <w:pPr>
                                    <w:pStyle w:val="TableParagraph"/>
                                    <w:spacing w:before="82"/>
                                    <w:ind w:left="56"/>
                                    <w:rPr>
                                      <w:rFonts w:ascii="TT Norms Pro Light"/>
                                      <w:b w:val="0"/>
                                      <w:sz w:val="14"/>
                                    </w:rPr>
                                  </w:pPr>
                                  <w:r>
                                    <w:rPr>
                                      <w:rFonts w:ascii="TT Norms Pro Light"/>
                                      <w:b w:val="0"/>
                                      <w:sz w:val="14"/>
                                    </w:rPr>
                                    <w:t>Arts</w:t>
                                  </w:r>
                                  <w:r>
                                    <w:rPr>
                                      <w:rFonts w:ascii="TT Norms Pro Light"/>
                                      <w:b w:val="0"/>
                                      <w:spacing w:val="3"/>
                                      <w:sz w:val="14"/>
                                    </w:rPr>
                                    <w:t> </w:t>
                                  </w:r>
                                  <w:r>
                                    <w:rPr>
                                      <w:rFonts w:ascii="TT Norms Pro Light"/>
                                      <w:b w:val="0"/>
                                      <w:sz w:val="14"/>
                                    </w:rPr>
                                    <w:t>Radio</w:t>
                                  </w:r>
                                  <w:r>
                                    <w:rPr>
                                      <w:rFonts w:ascii="TT Norms Pro Light"/>
                                      <w:b w:val="0"/>
                                      <w:spacing w:val="4"/>
                                      <w:sz w:val="14"/>
                                    </w:rPr>
                                    <w:t> </w:t>
                                  </w:r>
                                  <w:r>
                                    <w:rPr>
                                      <w:rFonts w:ascii="TT Norms Pro Light"/>
                                      <w:b w:val="0"/>
                                      <w:sz w:val="14"/>
                                    </w:rPr>
                                    <w:t>Ltd</w:t>
                                  </w:r>
                                  <w:r>
                                    <w:rPr>
                                      <w:rFonts w:ascii="TT Norms Pro Light"/>
                                      <w:b w:val="0"/>
                                      <w:spacing w:val="3"/>
                                      <w:sz w:val="14"/>
                                    </w:rPr>
                                    <w:t> </w:t>
                                  </w:r>
                                  <w:r>
                                    <w:rPr>
                                      <w:rFonts w:ascii="TT Norms Pro Light"/>
                                      <w:b w:val="0"/>
                                      <w:sz w:val="14"/>
                                    </w:rPr>
                                    <w:t>-</w:t>
                                  </w:r>
                                  <w:r>
                                    <w:rPr>
                                      <w:rFonts w:ascii="TT Norms Pro Light"/>
                                      <w:b w:val="0"/>
                                      <w:spacing w:val="4"/>
                                      <w:sz w:val="14"/>
                                    </w:rPr>
                                    <w:t> </w:t>
                                  </w:r>
                                  <w:r>
                                    <w:rPr>
                                      <w:rFonts w:ascii="TT Norms Pro Light"/>
                                      <w:b w:val="0"/>
                                      <w:sz w:val="14"/>
                                    </w:rPr>
                                    <w:t>Rtr</w:t>
                                  </w:r>
                                  <w:r>
                                    <w:rPr>
                                      <w:rFonts w:ascii="TT Norms Pro Light"/>
                                      <w:b w:val="0"/>
                                      <w:spacing w:val="3"/>
                                      <w:sz w:val="14"/>
                                    </w:rPr>
                                    <w:t> </w:t>
                                  </w:r>
                                  <w:r>
                                    <w:rPr>
                                      <w:rFonts w:ascii="TT Norms Pro Light"/>
                                      <w:b w:val="0"/>
                                      <w:sz w:val="14"/>
                                    </w:rPr>
                                    <w:t>Fm</w:t>
                                  </w:r>
                                  <w:r>
                                    <w:rPr>
                                      <w:rFonts w:ascii="TT Norms Pro Light"/>
                                      <w:b w:val="0"/>
                                      <w:spacing w:val="4"/>
                                      <w:sz w:val="14"/>
                                    </w:rPr>
                                    <w:t> </w:t>
                                  </w:r>
                                  <w:r>
                                    <w:rPr>
                                      <w:rFonts w:ascii="TT Norms Pro Light"/>
                                      <w:b w:val="0"/>
                                      <w:spacing w:val="-4"/>
                                      <w:sz w:val="14"/>
                                    </w:rPr>
                                    <w:t>92.1</w:t>
                                  </w:r>
                                </w:p>
                              </w:tc>
                              <w:tc>
                                <w:tcPr>
                                  <w:tcW w:w="1153" w:type="dxa"/>
                                </w:tcPr>
                                <w:p>
                                  <w:pPr>
                                    <w:pStyle w:val="TableParagraph"/>
                                    <w:rPr>
                                      <w:rFonts w:ascii="Times New Roman"/>
                                      <w:sz w:val="16"/>
                                    </w:rPr>
                                  </w:pPr>
                                </w:p>
                              </w:tc>
                            </w:tr>
                            <w:tr>
                              <w:trPr>
                                <w:trHeight w:val="311" w:hRule="atLeast"/>
                              </w:trPr>
                              <w:tc>
                                <w:tcPr>
                                  <w:tcW w:w="3458" w:type="dxa"/>
                                  <w:shd w:val="clear" w:color="auto" w:fill="EFEFF0"/>
                                </w:tcPr>
                                <w:p>
                                  <w:pPr>
                                    <w:pStyle w:val="TableParagraph"/>
                                    <w:spacing w:before="82"/>
                                    <w:ind w:left="56"/>
                                    <w:rPr>
                                      <w:rFonts w:ascii="TT Norms Pro Light"/>
                                      <w:b w:val="0"/>
                                      <w:sz w:val="14"/>
                                    </w:rPr>
                                  </w:pPr>
                                  <w:r>
                                    <w:rPr>
                                      <w:rFonts w:ascii="TT Norms Pro Light"/>
                                      <w:b w:val="0"/>
                                      <w:sz w:val="14"/>
                                    </w:rPr>
                                    <w:t>Business</w:t>
                                  </w:r>
                                  <w:r>
                                    <w:rPr>
                                      <w:rFonts w:ascii="TT Norms Pro Light"/>
                                      <w:b w:val="0"/>
                                      <w:spacing w:val="9"/>
                                      <w:sz w:val="14"/>
                                    </w:rPr>
                                    <w:t> </w:t>
                                  </w:r>
                                  <w:r>
                                    <w:rPr>
                                      <w:rFonts w:ascii="TT Norms Pro Light"/>
                                      <w:b w:val="0"/>
                                      <w:sz w:val="14"/>
                                    </w:rPr>
                                    <w:t>News</w:t>
                                  </w:r>
                                  <w:r>
                                    <w:rPr>
                                      <w:rFonts w:ascii="TT Norms Pro Light"/>
                                      <w:b w:val="0"/>
                                      <w:spacing w:val="9"/>
                                      <w:sz w:val="14"/>
                                    </w:rPr>
                                    <w:t> </w:t>
                                  </w:r>
                                  <w:r>
                                    <w:rPr>
                                      <w:rFonts w:ascii="TT Norms Pro Light"/>
                                      <w:b w:val="0"/>
                                      <w:sz w:val="14"/>
                                    </w:rPr>
                                    <w:t>Pty</w:t>
                                  </w:r>
                                  <w:r>
                                    <w:rPr>
                                      <w:rFonts w:ascii="TT Norms Pro Light"/>
                                      <w:b w:val="0"/>
                                      <w:spacing w:val="9"/>
                                      <w:sz w:val="14"/>
                                    </w:rPr>
                                    <w:t> </w:t>
                                  </w:r>
                                  <w:r>
                                    <w:rPr>
                                      <w:rFonts w:ascii="TT Norms Pro Light"/>
                                      <w:b w:val="0"/>
                                      <w:spacing w:val="-5"/>
                                      <w:sz w:val="14"/>
                                    </w:rPr>
                                    <w:t>Ltd</w:t>
                                  </w:r>
                                </w:p>
                              </w:tc>
                              <w:tc>
                                <w:tcPr>
                                  <w:tcW w:w="1153" w:type="dxa"/>
                                  <w:shd w:val="clear" w:color="auto" w:fill="EFEFF0"/>
                                </w:tcPr>
                                <w:p>
                                  <w:pPr>
                                    <w:pStyle w:val="TableParagraph"/>
                                    <w:rPr>
                                      <w:rFonts w:ascii="Times New Roman"/>
                                      <w:sz w:val="16"/>
                                    </w:rPr>
                                  </w:pPr>
                                </w:p>
                              </w:tc>
                            </w:tr>
                            <w:tr>
                              <w:trPr>
                                <w:trHeight w:val="311" w:hRule="atLeast"/>
                              </w:trPr>
                              <w:tc>
                                <w:tcPr>
                                  <w:tcW w:w="3458" w:type="dxa"/>
                                </w:tcPr>
                                <w:p>
                                  <w:pPr>
                                    <w:pStyle w:val="TableParagraph"/>
                                    <w:spacing w:before="82"/>
                                    <w:ind w:left="56"/>
                                    <w:rPr>
                                      <w:rFonts w:ascii="TT Norms Pro Light"/>
                                      <w:b w:val="0"/>
                                      <w:sz w:val="14"/>
                                    </w:rPr>
                                  </w:pPr>
                                  <w:r>
                                    <w:rPr>
                                      <w:rFonts w:ascii="TT Norms Pro Light"/>
                                      <w:b w:val="0"/>
                                      <w:sz w:val="14"/>
                                    </w:rPr>
                                    <w:t>Carat</w:t>
                                  </w:r>
                                  <w:r>
                                    <w:rPr>
                                      <w:rFonts w:ascii="TT Norms Pro Light"/>
                                      <w:b w:val="0"/>
                                      <w:spacing w:val="11"/>
                                      <w:sz w:val="14"/>
                                    </w:rPr>
                                    <w:t> </w:t>
                                  </w:r>
                                  <w:r>
                                    <w:rPr>
                                      <w:rFonts w:ascii="TT Norms Pro Light"/>
                                      <w:b w:val="0"/>
                                      <w:sz w:val="14"/>
                                    </w:rPr>
                                    <w:t>Australia</w:t>
                                  </w:r>
                                  <w:r>
                                    <w:rPr>
                                      <w:rFonts w:ascii="TT Norms Pro Light"/>
                                      <w:b w:val="0"/>
                                      <w:spacing w:val="11"/>
                                      <w:sz w:val="14"/>
                                    </w:rPr>
                                    <w:t> </w:t>
                                  </w:r>
                                  <w:r>
                                    <w:rPr>
                                      <w:rFonts w:ascii="TT Norms Pro Light"/>
                                      <w:b w:val="0"/>
                                      <w:sz w:val="14"/>
                                    </w:rPr>
                                    <w:t>Media</w:t>
                                  </w:r>
                                  <w:r>
                                    <w:rPr>
                                      <w:rFonts w:ascii="TT Norms Pro Light"/>
                                      <w:b w:val="0"/>
                                      <w:spacing w:val="11"/>
                                      <w:sz w:val="14"/>
                                    </w:rPr>
                                    <w:t> </w:t>
                                  </w:r>
                                  <w:r>
                                    <w:rPr>
                                      <w:rFonts w:ascii="TT Norms Pro Light"/>
                                      <w:b w:val="0"/>
                                      <w:sz w:val="14"/>
                                    </w:rPr>
                                    <w:t>Services</w:t>
                                  </w:r>
                                  <w:r>
                                    <w:rPr>
                                      <w:rFonts w:ascii="TT Norms Pro Light"/>
                                      <w:b w:val="0"/>
                                      <w:spacing w:val="11"/>
                                      <w:sz w:val="14"/>
                                    </w:rPr>
                                    <w:t> </w:t>
                                  </w:r>
                                  <w:r>
                                    <w:rPr>
                                      <w:rFonts w:ascii="TT Norms Pro Light"/>
                                      <w:b w:val="0"/>
                                      <w:sz w:val="14"/>
                                    </w:rPr>
                                    <w:t>Pty</w:t>
                                  </w:r>
                                  <w:r>
                                    <w:rPr>
                                      <w:rFonts w:ascii="TT Norms Pro Light"/>
                                      <w:b w:val="0"/>
                                      <w:spacing w:val="11"/>
                                      <w:sz w:val="14"/>
                                    </w:rPr>
                                    <w:t> </w:t>
                                  </w:r>
                                  <w:r>
                                    <w:rPr>
                                      <w:rFonts w:ascii="TT Norms Pro Light"/>
                                      <w:b w:val="0"/>
                                      <w:spacing w:val="-5"/>
                                      <w:sz w:val="14"/>
                                    </w:rPr>
                                    <w:t>Ltd</w:t>
                                  </w:r>
                                </w:p>
                              </w:tc>
                              <w:tc>
                                <w:tcPr>
                                  <w:tcW w:w="1153" w:type="dxa"/>
                                </w:tcPr>
                                <w:p>
                                  <w:pPr>
                                    <w:pStyle w:val="TableParagraph"/>
                                    <w:rPr>
                                      <w:rFonts w:ascii="Times New Roman"/>
                                      <w:sz w:val="16"/>
                                    </w:rPr>
                                  </w:pPr>
                                </w:p>
                              </w:tc>
                            </w:tr>
                            <w:tr>
                              <w:trPr>
                                <w:trHeight w:val="311" w:hRule="atLeast"/>
                              </w:trPr>
                              <w:tc>
                                <w:tcPr>
                                  <w:tcW w:w="3458" w:type="dxa"/>
                                  <w:shd w:val="clear" w:color="auto" w:fill="EFEFF0"/>
                                </w:tcPr>
                                <w:p>
                                  <w:pPr>
                                    <w:pStyle w:val="TableParagraph"/>
                                    <w:spacing w:before="82"/>
                                    <w:ind w:left="56"/>
                                    <w:rPr>
                                      <w:rFonts w:ascii="TT Norms Pro Light"/>
                                      <w:b w:val="0"/>
                                      <w:sz w:val="14"/>
                                    </w:rPr>
                                  </w:pPr>
                                  <w:r>
                                    <w:rPr>
                                      <w:rFonts w:ascii="TT Norms Pro Light"/>
                                      <w:b w:val="0"/>
                                      <w:sz w:val="14"/>
                                    </w:rPr>
                                    <w:t>Community</w:t>
                                  </w:r>
                                  <w:r>
                                    <w:rPr>
                                      <w:rFonts w:ascii="TT Norms Pro Light"/>
                                      <w:b w:val="0"/>
                                      <w:spacing w:val="17"/>
                                      <w:sz w:val="14"/>
                                    </w:rPr>
                                    <w:t> </w:t>
                                  </w:r>
                                  <w:r>
                                    <w:rPr>
                                      <w:rFonts w:ascii="TT Norms Pro Light"/>
                                      <w:b w:val="0"/>
                                      <w:sz w:val="14"/>
                                    </w:rPr>
                                    <w:t>Newspaper</w:t>
                                  </w:r>
                                  <w:r>
                                    <w:rPr>
                                      <w:rFonts w:ascii="TT Norms Pro Light"/>
                                      <w:b w:val="0"/>
                                      <w:spacing w:val="17"/>
                                      <w:sz w:val="14"/>
                                    </w:rPr>
                                    <w:t> </w:t>
                                  </w:r>
                                  <w:r>
                                    <w:rPr>
                                      <w:rFonts w:ascii="TT Norms Pro Light"/>
                                      <w:b w:val="0"/>
                                      <w:spacing w:val="-4"/>
                                      <w:sz w:val="14"/>
                                    </w:rPr>
                                    <w:t>Group</w:t>
                                  </w:r>
                                </w:p>
                              </w:tc>
                              <w:tc>
                                <w:tcPr>
                                  <w:tcW w:w="1153" w:type="dxa"/>
                                  <w:shd w:val="clear" w:color="auto" w:fill="EFEFF0"/>
                                </w:tcPr>
                                <w:p>
                                  <w:pPr>
                                    <w:pStyle w:val="TableParagraph"/>
                                    <w:rPr>
                                      <w:rFonts w:ascii="Times New Roman"/>
                                      <w:sz w:val="16"/>
                                    </w:rPr>
                                  </w:pPr>
                                </w:p>
                              </w:tc>
                            </w:tr>
                            <w:tr>
                              <w:trPr>
                                <w:trHeight w:val="311" w:hRule="atLeast"/>
                              </w:trPr>
                              <w:tc>
                                <w:tcPr>
                                  <w:tcW w:w="3458" w:type="dxa"/>
                                </w:tcPr>
                                <w:p>
                                  <w:pPr>
                                    <w:pStyle w:val="TableParagraph"/>
                                    <w:spacing w:before="82"/>
                                    <w:ind w:left="56"/>
                                    <w:rPr>
                                      <w:rFonts w:ascii="TT Norms Pro Light"/>
                                      <w:b w:val="0"/>
                                      <w:sz w:val="14"/>
                                    </w:rPr>
                                  </w:pPr>
                                  <w:r>
                                    <w:rPr>
                                      <w:rFonts w:ascii="TT Norms Pro Light"/>
                                      <w:b w:val="0"/>
                                      <w:sz w:val="14"/>
                                    </w:rPr>
                                    <w:t>Jcdecaux</w:t>
                                  </w:r>
                                  <w:r>
                                    <w:rPr>
                                      <w:rFonts w:ascii="TT Norms Pro Light"/>
                                      <w:b w:val="0"/>
                                      <w:spacing w:val="14"/>
                                      <w:sz w:val="14"/>
                                    </w:rPr>
                                    <w:t> </w:t>
                                  </w:r>
                                  <w:r>
                                    <w:rPr>
                                      <w:rFonts w:ascii="TT Norms Pro Light"/>
                                      <w:b w:val="0"/>
                                      <w:sz w:val="14"/>
                                    </w:rPr>
                                    <w:t>Australia</w:t>
                                  </w:r>
                                  <w:r>
                                    <w:rPr>
                                      <w:rFonts w:ascii="TT Norms Pro Light"/>
                                      <w:b w:val="0"/>
                                      <w:spacing w:val="15"/>
                                      <w:sz w:val="14"/>
                                    </w:rPr>
                                    <w:t> </w:t>
                                  </w:r>
                                  <w:r>
                                    <w:rPr>
                                      <w:rFonts w:ascii="TT Norms Pro Light"/>
                                      <w:b w:val="0"/>
                                      <w:spacing w:val="-2"/>
                                      <w:sz w:val="14"/>
                                    </w:rPr>
                                    <w:t>Trading</w:t>
                                  </w:r>
                                </w:p>
                              </w:tc>
                              <w:tc>
                                <w:tcPr>
                                  <w:tcW w:w="1153" w:type="dxa"/>
                                </w:tcPr>
                                <w:p>
                                  <w:pPr>
                                    <w:pStyle w:val="TableParagraph"/>
                                    <w:rPr>
                                      <w:rFonts w:ascii="Times New Roman"/>
                                      <w:sz w:val="16"/>
                                    </w:rPr>
                                  </w:pPr>
                                </w:p>
                              </w:tc>
                            </w:tr>
                            <w:tr>
                              <w:trPr>
                                <w:trHeight w:val="311" w:hRule="atLeast"/>
                              </w:trPr>
                              <w:tc>
                                <w:tcPr>
                                  <w:tcW w:w="3458" w:type="dxa"/>
                                  <w:shd w:val="clear" w:color="auto" w:fill="EFEFF0"/>
                                </w:tcPr>
                                <w:p>
                                  <w:pPr>
                                    <w:pStyle w:val="TableParagraph"/>
                                    <w:spacing w:before="82"/>
                                    <w:ind w:left="56"/>
                                    <w:rPr>
                                      <w:rFonts w:ascii="TT Norms Pro Light"/>
                                      <w:b w:val="0"/>
                                      <w:sz w:val="14"/>
                                    </w:rPr>
                                  </w:pPr>
                                  <w:r>
                                    <w:rPr>
                                      <w:rFonts w:ascii="TT Norms Pro Light"/>
                                      <w:b w:val="0"/>
                                      <w:sz w:val="14"/>
                                    </w:rPr>
                                    <w:t>Lomax</w:t>
                                  </w:r>
                                  <w:r>
                                    <w:rPr>
                                      <w:rFonts w:ascii="TT Norms Pro Light"/>
                                      <w:b w:val="0"/>
                                      <w:spacing w:val="7"/>
                                      <w:sz w:val="14"/>
                                    </w:rPr>
                                    <w:t> </w:t>
                                  </w:r>
                                  <w:r>
                                    <w:rPr>
                                      <w:rFonts w:ascii="TT Norms Pro Light"/>
                                      <w:b w:val="0"/>
                                      <w:spacing w:val="-2"/>
                                      <w:sz w:val="14"/>
                                    </w:rPr>
                                    <w:t>Media</w:t>
                                  </w:r>
                                </w:p>
                              </w:tc>
                              <w:tc>
                                <w:tcPr>
                                  <w:tcW w:w="1153" w:type="dxa"/>
                                  <w:shd w:val="clear" w:color="auto" w:fill="EFEFF0"/>
                                </w:tcPr>
                                <w:p>
                                  <w:pPr>
                                    <w:pStyle w:val="TableParagraph"/>
                                    <w:rPr>
                                      <w:rFonts w:ascii="Times New Roman"/>
                                      <w:sz w:val="16"/>
                                    </w:rPr>
                                  </w:pPr>
                                </w:p>
                              </w:tc>
                            </w:tr>
                            <w:tr>
                              <w:trPr>
                                <w:trHeight w:val="311" w:hRule="atLeast"/>
                              </w:trPr>
                              <w:tc>
                                <w:tcPr>
                                  <w:tcW w:w="3458" w:type="dxa"/>
                                </w:tcPr>
                                <w:p>
                                  <w:pPr>
                                    <w:pStyle w:val="TableParagraph"/>
                                    <w:spacing w:before="82"/>
                                    <w:ind w:left="56"/>
                                    <w:rPr>
                                      <w:rFonts w:ascii="TT Norms Pro Light"/>
                                      <w:b w:val="0"/>
                                      <w:sz w:val="14"/>
                                    </w:rPr>
                                  </w:pPr>
                                  <w:r>
                                    <w:rPr>
                                      <w:rFonts w:ascii="TT Norms Pro Light"/>
                                      <w:b w:val="0"/>
                                      <w:sz w:val="14"/>
                                    </w:rPr>
                                    <w:t>Seven</w:t>
                                  </w:r>
                                  <w:r>
                                    <w:rPr>
                                      <w:rFonts w:ascii="TT Norms Pro Light"/>
                                      <w:b w:val="0"/>
                                      <w:spacing w:val="8"/>
                                      <w:sz w:val="14"/>
                                    </w:rPr>
                                    <w:t> </w:t>
                                  </w:r>
                                  <w:r>
                                    <w:rPr>
                                      <w:rFonts w:ascii="TT Norms Pro Light"/>
                                      <w:b w:val="0"/>
                                      <w:sz w:val="14"/>
                                    </w:rPr>
                                    <w:t>Network</w:t>
                                  </w:r>
                                  <w:r>
                                    <w:rPr>
                                      <w:rFonts w:ascii="TT Norms Pro Light"/>
                                      <w:b w:val="0"/>
                                      <w:spacing w:val="8"/>
                                      <w:sz w:val="14"/>
                                    </w:rPr>
                                    <w:t> </w:t>
                                  </w:r>
                                  <w:r>
                                    <w:rPr>
                                      <w:rFonts w:ascii="TT Norms Pro Light"/>
                                      <w:b w:val="0"/>
                                      <w:sz w:val="14"/>
                                    </w:rPr>
                                    <w:t>(Operations)</w:t>
                                  </w:r>
                                  <w:r>
                                    <w:rPr>
                                      <w:rFonts w:ascii="TT Norms Pro Light"/>
                                      <w:b w:val="0"/>
                                      <w:spacing w:val="9"/>
                                      <w:sz w:val="14"/>
                                    </w:rPr>
                                    <w:t> </w:t>
                                  </w:r>
                                  <w:r>
                                    <w:rPr>
                                      <w:rFonts w:ascii="TT Norms Pro Light"/>
                                      <w:b w:val="0"/>
                                      <w:spacing w:val="-2"/>
                                      <w:sz w:val="14"/>
                                    </w:rPr>
                                    <w:t>Limited</w:t>
                                  </w:r>
                                </w:p>
                              </w:tc>
                              <w:tc>
                                <w:tcPr>
                                  <w:tcW w:w="1153" w:type="dxa"/>
                                </w:tcPr>
                                <w:p>
                                  <w:pPr>
                                    <w:pStyle w:val="TableParagraph"/>
                                    <w:rPr>
                                      <w:rFonts w:ascii="Times New Roman"/>
                                      <w:sz w:val="16"/>
                                    </w:rPr>
                                  </w:pPr>
                                </w:p>
                              </w:tc>
                            </w:tr>
                            <w:tr>
                              <w:trPr>
                                <w:trHeight w:val="311" w:hRule="atLeast"/>
                              </w:trPr>
                              <w:tc>
                                <w:tcPr>
                                  <w:tcW w:w="3458" w:type="dxa"/>
                                  <w:shd w:val="clear" w:color="auto" w:fill="EFEFF0"/>
                                </w:tcPr>
                                <w:p>
                                  <w:pPr>
                                    <w:pStyle w:val="TableParagraph"/>
                                    <w:spacing w:before="82"/>
                                    <w:ind w:left="56"/>
                                    <w:rPr>
                                      <w:rFonts w:ascii="TT Norms Pro Light"/>
                                      <w:b w:val="0"/>
                                      <w:sz w:val="14"/>
                                    </w:rPr>
                                  </w:pPr>
                                  <w:r>
                                    <w:rPr>
                                      <w:rFonts w:ascii="TT Norms Pro Light"/>
                                      <w:b w:val="0"/>
                                      <w:sz w:val="14"/>
                                    </w:rPr>
                                    <w:t>Southern</w:t>
                                  </w:r>
                                  <w:r>
                                    <w:rPr>
                                      <w:rFonts w:ascii="TT Norms Pro Light"/>
                                      <w:b w:val="0"/>
                                      <w:spacing w:val="9"/>
                                      <w:sz w:val="14"/>
                                    </w:rPr>
                                    <w:t> </w:t>
                                  </w:r>
                                  <w:r>
                                    <w:rPr>
                                      <w:rFonts w:ascii="TT Norms Pro Light"/>
                                      <w:b w:val="0"/>
                                      <w:sz w:val="14"/>
                                    </w:rPr>
                                    <w:t>Cross</w:t>
                                  </w:r>
                                  <w:r>
                                    <w:rPr>
                                      <w:rFonts w:ascii="TT Norms Pro Light"/>
                                      <w:b w:val="0"/>
                                      <w:spacing w:val="10"/>
                                      <w:sz w:val="14"/>
                                    </w:rPr>
                                    <w:t> </w:t>
                                  </w:r>
                                  <w:r>
                                    <w:rPr>
                                      <w:rFonts w:ascii="TT Norms Pro Light"/>
                                      <w:b w:val="0"/>
                                      <w:sz w:val="14"/>
                                    </w:rPr>
                                    <w:t>Austereo</w:t>
                                  </w:r>
                                  <w:r>
                                    <w:rPr>
                                      <w:rFonts w:ascii="TT Norms Pro Light"/>
                                      <w:b w:val="0"/>
                                      <w:spacing w:val="9"/>
                                      <w:sz w:val="14"/>
                                    </w:rPr>
                                    <w:t> </w:t>
                                  </w:r>
                                  <w:r>
                                    <w:rPr>
                                      <w:rFonts w:ascii="TT Norms Pro Light"/>
                                      <w:b w:val="0"/>
                                      <w:sz w:val="14"/>
                                    </w:rPr>
                                    <w:t>Pty</w:t>
                                  </w:r>
                                  <w:r>
                                    <w:rPr>
                                      <w:rFonts w:ascii="TT Norms Pro Light"/>
                                      <w:b w:val="0"/>
                                      <w:spacing w:val="10"/>
                                      <w:sz w:val="14"/>
                                    </w:rPr>
                                    <w:t> </w:t>
                                  </w:r>
                                  <w:r>
                                    <w:rPr>
                                      <w:rFonts w:ascii="TT Norms Pro Light"/>
                                      <w:b w:val="0"/>
                                      <w:spacing w:val="-5"/>
                                      <w:sz w:val="14"/>
                                    </w:rPr>
                                    <w:t>Ltd</w:t>
                                  </w:r>
                                </w:p>
                              </w:tc>
                              <w:tc>
                                <w:tcPr>
                                  <w:tcW w:w="1153" w:type="dxa"/>
                                  <w:shd w:val="clear" w:color="auto" w:fill="EFEFF0"/>
                                </w:tcPr>
                                <w:p>
                                  <w:pPr>
                                    <w:pStyle w:val="TableParagraph"/>
                                    <w:rPr>
                                      <w:rFonts w:ascii="Times New Roman"/>
                                      <w:sz w:val="16"/>
                                    </w:rPr>
                                  </w:pPr>
                                </w:p>
                              </w:tc>
                            </w:tr>
                            <w:tr>
                              <w:trPr>
                                <w:trHeight w:val="311" w:hRule="atLeast"/>
                              </w:trPr>
                              <w:tc>
                                <w:tcPr>
                                  <w:tcW w:w="3458" w:type="dxa"/>
                                </w:tcPr>
                                <w:p>
                                  <w:pPr>
                                    <w:pStyle w:val="TableParagraph"/>
                                    <w:spacing w:before="82"/>
                                    <w:ind w:left="56"/>
                                    <w:rPr>
                                      <w:rFonts w:ascii="TT Norms Pro Light"/>
                                      <w:b w:val="0"/>
                                      <w:sz w:val="14"/>
                                    </w:rPr>
                                  </w:pPr>
                                  <w:r>
                                    <w:rPr>
                                      <w:rFonts w:ascii="TT Norms Pro Light"/>
                                      <w:b w:val="0"/>
                                      <w:sz w:val="14"/>
                                    </w:rPr>
                                    <w:t>The</w:t>
                                  </w:r>
                                  <w:r>
                                    <w:rPr>
                                      <w:rFonts w:ascii="TT Norms Pro Light"/>
                                      <w:b w:val="0"/>
                                      <w:spacing w:val="4"/>
                                      <w:sz w:val="14"/>
                                    </w:rPr>
                                    <w:t> </w:t>
                                  </w:r>
                                  <w:r>
                                    <w:rPr>
                                      <w:rFonts w:ascii="TT Norms Pro Light"/>
                                      <w:b w:val="0"/>
                                      <w:sz w:val="14"/>
                                    </w:rPr>
                                    <w:t>Big</w:t>
                                  </w:r>
                                  <w:r>
                                    <w:rPr>
                                      <w:rFonts w:ascii="TT Norms Pro Light"/>
                                      <w:b w:val="0"/>
                                      <w:spacing w:val="5"/>
                                      <w:sz w:val="14"/>
                                    </w:rPr>
                                    <w:t> </w:t>
                                  </w:r>
                                  <w:r>
                                    <w:rPr>
                                      <w:rFonts w:ascii="TT Norms Pro Light"/>
                                      <w:b w:val="0"/>
                                      <w:spacing w:val="-2"/>
                                      <w:sz w:val="14"/>
                                    </w:rPr>
                                    <w:t>Issue</w:t>
                                  </w:r>
                                </w:p>
                              </w:tc>
                              <w:tc>
                                <w:tcPr>
                                  <w:tcW w:w="1153" w:type="dxa"/>
                                </w:tcPr>
                                <w:p>
                                  <w:pPr>
                                    <w:pStyle w:val="TableParagraph"/>
                                    <w:rPr>
                                      <w:rFonts w:ascii="Times New Roman"/>
                                      <w:sz w:val="16"/>
                                    </w:rPr>
                                  </w:pPr>
                                </w:p>
                              </w:tc>
                            </w:tr>
                            <w:tr>
                              <w:trPr>
                                <w:trHeight w:val="311" w:hRule="atLeast"/>
                              </w:trPr>
                              <w:tc>
                                <w:tcPr>
                                  <w:tcW w:w="3458" w:type="dxa"/>
                                  <w:shd w:val="clear" w:color="auto" w:fill="EFEFF0"/>
                                </w:tcPr>
                                <w:p>
                                  <w:pPr>
                                    <w:pStyle w:val="TableParagraph"/>
                                    <w:spacing w:before="82"/>
                                    <w:ind w:left="56"/>
                                    <w:rPr>
                                      <w:rFonts w:ascii="TT Norms Pro Light"/>
                                      <w:b w:val="0"/>
                                      <w:sz w:val="14"/>
                                    </w:rPr>
                                  </w:pPr>
                                  <w:r>
                                    <w:rPr>
                                      <w:rFonts w:ascii="TT Norms Pro Light"/>
                                      <w:b w:val="0"/>
                                      <w:sz w:val="14"/>
                                    </w:rPr>
                                    <w:t>Tv18</w:t>
                                  </w:r>
                                  <w:r>
                                    <w:rPr>
                                      <w:rFonts w:ascii="TT Norms Pro Light"/>
                                      <w:b w:val="0"/>
                                      <w:spacing w:val="7"/>
                                      <w:sz w:val="14"/>
                                    </w:rPr>
                                    <w:t> </w:t>
                                  </w:r>
                                  <w:r>
                                    <w:rPr>
                                      <w:rFonts w:ascii="TT Norms Pro Light"/>
                                      <w:b w:val="0"/>
                                      <w:sz w:val="14"/>
                                    </w:rPr>
                                    <w:t>Broadcast</w:t>
                                  </w:r>
                                  <w:r>
                                    <w:rPr>
                                      <w:rFonts w:ascii="TT Norms Pro Light"/>
                                      <w:b w:val="0"/>
                                      <w:spacing w:val="8"/>
                                      <w:sz w:val="14"/>
                                    </w:rPr>
                                    <w:t> </w:t>
                                  </w:r>
                                  <w:r>
                                    <w:rPr>
                                      <w:rFonts w:ascii="TT Norms Pro Light"/>
                                      <w:b w:val="0"/>
                                      <w:spacing w:val="-2"/>
                                      <w:sz w:val="14"/>
                                    </w:rPr>
                                    <w:t>Limited</w:t>
                                  </w:r>
                                </w:p>
                              </w:tc>
                              <w:tc>
                                <w:tcPr>
                                  <w:tcW w:w="1153" w:type="dxa"/>
                                  <w:shd w:val="clear" w:color="auto" w:fill="EFEFF0"/>
                                </w:tcPr>
                                <w:p>
                                  <w:pPr>
                                    <w:pStyle w:val="TableParagraph"/>
                                    <w:rPr>
                                      <w:rFonts w:ascii="Times New Roman"/>
                                      <w:sz w:val="16"/>
                                    </w:rPr>
                                  </w:pPr>
                                </w:p>
                              </w:tc>
                            </w:tr>
                            <w:tr>
                              <w:trPr>
                                <w:trHeight w:val="311" w:hRule="atLeast"/>
                              </w:trPr>
                              <w:tc>
                                <w:tcPr>
                                  <w:tcW w:w="3458" w:type="dxa"/>
                                </w:tcPr>
                                <w:p>
                                  <w:pPr>
                                    <w:pStyle w:val="TableParagraph"/>
                                    <w:spacing w:before="82"/>
                                    <w:ind w:left="56"/>
                                    <w:rPr>
                                      <w:rFonts w:ascii="TT Norms Pro Light"/>
                                      <w:b w:val="0"/>
                                      <w:sz w:val="14"/>
                                    </w:rPr>
                                  </w:pPr>
                                  <w:r>
                                    <w:rPr>
                                      <w:rFonts w:ascii="TT Norms Pro Light"/>
                                      <w:b w:val="0"/>
                                      <w:sz w:val="14"/>
                                    </w:rPr>
                                    <w:t>Unruly</w:t>
                                  </w:r>
                                  <w:r>
                                    <w:rPr>
                                      <w:rFonts w:ascii="TT Norms Pro Light"/>
                                      <w:b w:val="0"/>
                                      <w:spacing w:val="6"/>
                                      <w:sz w:val="14"/>
                                    </w:rPr>
                                    <w:t> </w:t>
                                  </w:r>
                                  <w:r>
                                    <w:rPr>
                                      <w:rFonts w:ascii="TT Norms Pro Light"/>
                                      <w:b w:val="0"/>
                                      <w:sz w:val="14"/>
                                    </w:rPr>
                                    <w:t>Media</w:t>
                                  </w:r>
                                  <w:r>
                                    <w:rPr>
                                      <w:rFonts w:ascii="TT Norms Pro Light"/>
                                      <w:b w:val="0"/>
                                      <w:spacing w:val="9"/>
                                      <w:sz w:val="14"/>
                                    </w:rPr>
                                    <w:t> </w:t>
                                  </w:r>
                                  <w:r>
                                    <w:rPr>
                                      <w:rFonts w:ascii="TT Norms Pro Light"/>
                                      <w:b w:val="0"/>
                                      <w:sz w:val="14"/>
                                    </w:rPr>
                                    <w:t>Pty</w:t>
                                  </w:r>
                                  <w:r>
                                    <w:rPr>
                                      <w:rFonts w:ascii="TT Norms Pro Light"/>
                                      <w:b w:val="0"/>
                                      <w:spacing w:val="9"/>
                                      <w:sz w:val="14"/>
                                    </w:rPr>
                                    <w:t> </w:t>
                                  </w:r>
                                  <w:r>
                                    <w:rPr>
                                      <w:rFonts w:ascii="TT Norms Pro Light"/>
                                      <w:b w:val="0"/>
                                      <w:spacing w:val="-5"/>
                                      <w:sz w:val="14"/>
                                    </w:rPr>
                                    <w:t>Ltd</w:t>
                                  </w:r>
                                </w:p>
                              </w:tc>
                              <w:tc>
                                <w:tcPr>
                                  <w:tcW w:w="1153" w:type="dxa"/>
                                </w:tcPr>
                                <w:p>
                                  <w:pPr>
                                    <w:pStyle w:val="TableParagraph"/>
                                    <w:rPr>
                                      <w:rFonts w:ascii="Times New Roman"/>
                                      <w:sz w:val="16"/>
                                    </w:rPr>
                                  </w:pPr>
                                </w:p>
                              </w:tc>
                            </w:tr>
                            <w:tr>
                              <w:trPr>
                                <w:trHeight w:val="301" w:hRule="atLeast"/>
                              </w:trPr>
                              <w:tc>
                                <w:tcPr>
                                  <w:tcW w:w="3458" w:type="dxa"/>
                                  <w:tcBorders>
                                    <w:bottom w:val="single" w:sz="8" w:space="0" w:color="000000"/>
                                  </w:tcBorders>
                                  <w:shd w:val="clear" w:color="auto" w:fill="EFEFF0"/>
                                </w:tcPr>
                                <w:p>
                                  <w:pPr>
                                    <w:pStyle w:val="TableParagraph"/>
                                    <w:spacing w:before="82"/>
                                    <w:ind w:left="56"/>
                                    <w:rPr>
                                      <w:rFonts w:ascii="TT Norms Pro Light"/>
                                      <w:b w:val="0"/>
                                      <w:sz w:val="14"/>
                                    </w:rPr>
                                  </w:pPr>
                                  <w:r>
                                    <w:rPr>
                                      <w:rFonts w:ascii="TT Norms Pro Light"/>
                                      <w:b w:val="0"/>
                                      <w:sz w:val="14"/>
                                    </w:rPr>
                                    <w:t>West</w:t>
                                  </w:r>
                                  <w:r>
                                    <w:rPr>
                                      <w:rFonts w:ascii="TT Norms Pro Light"/>
                                      <w:b w:val="0"/>
                                      <w:spacing w:val="10"/>
                                      <w:sz w:val="14"/>
                                    </w:rPr>
                                    <w:t> </w:t>
                                  </w:r>
                                  <w:r>
                                    <w:rPr>
                                      <w:rFonts w:ascii="TT Norms Pro Light"/>
                                      <w:b w:val="0"/>
                                      <w:sz w:val="14"/>
                                    </w:rPr>
                                    <w:t>Australian</w:t>
                                  </w:r>
                                  <w:r>
                                    <w:rPr>
                                      <w:rFonts w:ascii="TT Norms Pro Light"/>
                                      <w:b w:val="0"/>
                                      <w:spacing w:val="13"/>
                                      <w:sz w:val="14"/>
                                    </w:rPr>
                                    <w:t> </w:t>
                                  </w:r>
                                  <w:r>
                                    <w:rPr>
                                      <w:rFonts w:ascii="TT Norms Pro Light"/>
                                      <w:b w:val="0"/>
                                      <w:sz w:val="14"/>
                                    </w:rPr>
                                    <w:t>Newspapers</w:t>
                                  </w:r>
                                  <w:r>
                                    <w:rPr>
                                      <w:rFonts w:ascii="TT Norms Pro Light"/>
                                      <w:b w:val="0"/>
                                      <w:spacing w:val="13"/>
                                      <w:sz w:val="14"/>
                                    </w:rPr>
                                    <w:t> </w:t>
                                  </w:r>
                                  <w:r>
                                    <w:rPr>
                                      <w:rFonts w:ascii="TT Norms Pro Light"/>
                                      <w:b w:val="0"/>
                                      <w:spacing w:val="-2"/>
                                      <w:sz w:val="14"/>
                                    </w:rPr>
                                    <w:t>Limited</w:t>
                                  </w:r>
                                </w:p>
                              </w:tc>
                              <w:tc>
                                <w:tcPr>
                                  <w:tcW w:w="1153" w:type="dxa"/>
                                  <w:tcBorders>
                                    <w:bottom w:val="single" w:sz="8" w:space="0" w:color="000000"/>
                                  </w:tcBorders>
                                  <w:shd w:val="clear" w:color="auto" w:fill="EFEFF0"/>
                                </w:tcPr>
                                <w:p>
                                  <w:pPr>
                                    <w:pStyle w:val="TableParagraph"/>
                                    <w:rPr>
                                      <w:rFonts w:ascii="Times New Roman"/>
                                      <w:sz w:val="16"/>
                                    </w:rPr>
                                  </w:pPr>
                                </w:p>
                              </w:tc>
                            </w:tr>
                            <w:tr>
                              <w:trPr>
                                <w:trHeight w:val="296" w:hRule="atLeast"/>
                              </w:trPr>
                              <w:tc>
                                <w:tcPr>
                                  <w:tcW w:w="3458" w:type="dxa"/>
                                  <w:tcBorders>
                                    <w:top w:val="single" w:sz="8" w:space="0" w:color="000000"/>
                                    <w:bottom w:val="single" w:sz="4" w:space="0" w:color="000000"/>
                                  </w:tcBorders>
                                </w:tcPr>
                                <w:p>
                                  <w:pPr>
                                    <w:pStyle w:val="TableParagraph"/>
                                    <w:spacing w:before="73"/>
                                    <w:ind w:left="56"/>
                                    <w:rPr>
                                      <w:rFonts w:ascii="TT Norms Pro"/>
                                      <w:b/>
                                      <w:sz w:val="14"/>
                                    </w:rPr>
                                  </w:pPr>
                                  <w:r>
                                    <w:rPr>
                                      <w:rFonts w:ascii="TT Norms Pro"/>
                                      <w:b/>
                                      <w:sz w:val="14"/>
                                    </w:rPr>
                                    <w:t>TOTAL</w:t>
                                  </w:r>
                                  <w:r>
                                    <w:rPr>
                                      <w:rFonts w:ascii="TT Norms Pro"/>
                                      <w:b/>
                                      <w:spacing w:val="-5"/>
                                      <w:sz w:val="14"/>
                                    </w:rPr>
                                    <w:t> </w:t>
                                  </w:r>
                                  <w:r>
                                    <w:rPr>
                                      <w:rFonts w:ascii="TT Norms Pro"/>
                                      <w:b/>
                                      <w:spacing w:val="-2"/>
                                      <w:sz w:val="14"/>
                                    </w:rPr>
                                    <w:t>EXPENDITURE</w:t>
                                  </w:r>
                                </w:p>
                              </w:tc>
                              <w:tc>
                                <w:tcPr>
                                  <w:tcW w:w="1153" w:type="dxa"/>
                                  <w:tcBorders>
                                    <w:top w:val="single" w:sz="8" w:space="0" w:color="000000"/>
                                    <w:bottom w:val="single" w:sz="4" w:space="0" w:color="000000"/>
                                  </w:tcBorders>
                                </w:tcPr>
                                <w:p>
                                  <w:pPr>
                                    <w:pStyle w:val="TableParagraph"/>
                                    <w:spacing w:before="73"/>
                                    <w:ind w:right="13"/>
                                    <w:jc w:val="right"/>
                                    <w:rPr>
                                      <w:rFonts w:ascii="TT Norms Pro"/>
                                      <w:b/>
                                      <w:sz w:val="14"/>
                                    </w:rPr>
                                  </w:pPr>
                                  <w:r>
                                    <w:rPr>
                                      <w:rFonts w:ascii="TT Norms Pro"/>
                                      <w:b/>
                                      <w:spacing w:val="-2"/>
                                      <w:sz w:val="14"/>
                                    </w:rPr>
                                    <w:t>$3,779,284</w:t>
                                  </w:r>
                                </w:p>
                              </w:tc>
                            </w:tr>
                          </w:tbl>
                          <w:p>
                            <w:pPr>
                              <w:pStyle w:val="BodyText"/>
                            </w:pPr>
                          </w:p>
                        </w:txbxContent>
                      </wps:txbx>
                      <wps:bodyPr wrap="square" lIns="0" tIns="0" rIns="0" bIns="0" rtlCol="0">
                        <a:noAutofit/>
                      </wps:bodyPr>
                    </wps:wsp>
                  </a:graphicData>
                </a:graphic>
              </wp:anchor>
            </w:drawing>
          </mc:Choice>
          <mc:Fallback>
            <w:pict>
              <v:shape style="position:absolute;margin-left:304.823853pt;margin-top:1.42830pt;width:236.5pt;height:596.3pt;mso-position-horizontal-relative:page;mso-position-vertical-relative:paragraph;z-index:15862784" type="#_x0000_t202" id="docshape552"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458"/>
                        <w:gridCol w:w="1153"/>
                      </w:tblGrid>
                      <w:tr>
                        <w:trPr>
                          <w:trHeight w:val="496" w:hRule="atLeast"/>
                        </w:trPr>
                        <w:tc>
                          <w:tcPr>
                            <w:tcW w:w="3458" w:type="dxa"/>
                            <w:tcBorders>
                              <w:top w:val="single" w:sz="8" w:space="0" w:color="000000"/>
                              <w:bottom w:val="single" w:sz="4" w:space="0" w:color="000000"/>
                            </w:tcBorders>
                          </w:tcPr>
                          <w:p>
                            <w:pPr>
                              <w:pStyle w:val="TableParagraph"/>
                              <w:spacing w:line="292" w:lineRule="auto" w:before="72"/>
                              <w:ind w:left="56" w:right="241"/>
                              <w:rPr>
                                <w:rFonts w:ascii="TT Norms Pro"/>
                                <w:b/>
                                <w:sz w:val="14"/>
                              </w:rPr>
                            </w:pPr>
                            <w:r>
                              <w:rPr>
                                <w:rFonts w:ascii="TT Norms Pro"/>
                                <w:b/>
                                <w:sz w:val="14"/>
                              </w:rPr>
                              <w:t>EXPENDITURE WITH ADVERTISING</w:t>
                            </w:r>
                            <w:r>
                              <w:rPr>
                                <w:rFonts w:ascii="TT Norms Pro"/>
                                <w:b/>
                                <w:spacing w:val="40"/>
                                <w:sz w:val="14"/>
                              </w:rPr>
                              <w:t> </w:t>
                            </w:r>
                            <w:r>
                              <w:rPr>
                                <w:rFonts w:ascii="TT Norms Pro"/>
                                <w:b/>
                                <w:spacing w:val="-2"/>
                                <w:sz w:val="14"/>
                              </w:rPr>
                              <w:t>AGENCIES</w:t>
                            </w:r>
                          </w:p>
                        </w:tc>
                        <w:tc>
                          <w:tcPr>
                            <w:tcW w:w="1153" w:type="dxa"/>
                            <w:tcBorders>
                              <w:top w:val="single" w:sz="8" w:space="0" w:color="000000"/>
                              <w:bottom w:val="single" w:sz="4" w:space="0" w:color="000000"/>
                            </w:tcBorders>
                          </w:tcPr>
                          <w:p>
                            <w:pPr>
                              <w:pStyle w:val="TableParagraph"/>
                              <w:spacing w:before="72"/>
                              <w:ind w:right="13"/>
                              <w:jc w:val="right"/>
                              <w:rPr>
                                <w:rFonts w:ascii="TT Norms Pro"/>
                                <w:b/>
                                <w:sz w:val="14"/>
                              </w:rPr>
                            </w:pPr>
                            <w:r>
                              <w:rPr>
                                <w:rFonts w:ascii="TT Norms Pro"/>
                                <w:b/>
                                <w:sz w:val="14"/>
                              </w:rPr>
                              <w:t>$</w:t>
                            </w:r>
                            <w:r>
                              <w:rPr>
                                <w:rFonts w:ascii="TT Norms Pro"/>
                                <w:b/>
                                <w:spacing w:val="-2"/>
                                <w:sz w:val="14"/>
                              </w:rPr>
                              <w:t> 1,060,361</w:t>
                            </w:r>
                          </w:p>
                        </w:tc>
                      </w:tr>
                      <w:tr>
                        <w:trPr>
                          <w:trHeight w:val="306" w:hRule="atLeast"/>
                        </w:trPr>
                        <w:tc>
                          <w:tcPr>
                            <w:tcW w:w="3458" w:type="dxa"/>
                            <w:tcBorders>
                              <w:top w:val="single" w:sz="4" w:space="0" w:color="000000"/>
                            </w:tcBorders>
                            <w:shd w:val="clear" w:color="auto" w:fill="EFEFF0"/>
                          </w:tcPr>
                          <w:p>
                            <w:pPr>
                              <w:pStyle w:val="TableParagraph"/>
                              <w:spacing w:before="77"/>
                              <w:ind w:left="56"/>
                              <w:rPr>
                                <w:rFonts w:ascii="TT Norms Pro Light"/>
                                <w:b w:val="0"/>
                                <w:sz w:val="14"/>
                              </w:rPr>
                            </w:pPr>
                            <w:r>
                              <w:rPr>
                                <w:rFonts w:ascii="TT Norms Pro Light"/>
                                <w:b w:val="0"/>
                                <w:sz w:val="14"/>
                              </w:rPr>
                              <w:t>Buggy</w:t>
                            </w:r>
                            <w:r>
                              <w:rPr>
                                <w:rFonts w:ascii="TT Norms Pro Light"/>
                                <w:b w:val="0"/>
                                <w:spacing w:val="10"/>
                                <w:sz w:val="14"/>
                              </w:rPr>
                              <w:t> </w:t>
                            </w:r>
                            <w:r>
                              <w:rPr>
                                <w:rFonts w:ascii="TT Norms Pro Light"/>
                                <w:b w:val="0"/>
                                <w:spacing w:val="-2"/>
                                <w:sz w:val="14"/>
                              </w:rPr>
                              <w:t>Buddys</w:t>
                            </w:r>
                          </w:p>
                        </w:tc>
                        <w:tc>
                          <w:tcPr>
                            <w:tcW w:w="1153" w:type="dxa"/>
                            <w:tcBorders>
                              <w:top w:val="single" w:sz="4" w:space="0" w:color="000000"/>
                            </w:tcBorders>
                            <w:shd w:val="clear" w:color="auto" w:fill="EFEFF0"/>
                          </w:tcPr>
                          <w:p>
                            <w:pPr>
                              <w:pStyle w:val="TableParagraph"/>
                              <w:rPr>
                                <w:rFonts w:ascii="Times New Roman"/>
                                <w:sz w:val="16"/>
                              </w:rPr>
                            </w:pPr>
                          </w:p>
                        </w:tc>
                      </w:tr>
                      <w:tr>
                        <w:trPr>
                          <w:trHeight w:val="311" w:hRule="atLeast"/>
                        </w:trPr>
                        <w:tc>
                          <w:tcPr>
                            <w:tcW w:w="3458" w:type="dxa"/>
                          </w:tcPr>
                          <w:p>
                            <w:pPr>
                              <w:pStyle w:val="TableParagraph"/>
                              <w:spacing w:before="82"/>
                              <w:ind w:left="56"/>
                              <w:rPr>
                                <w:rFonts w:ascii="TT Norms Pro Light"/>
                                <w:b w:val="0"/>
                                <w:sz w:val="14"/>
                              </w:rPr>
                            </w:pPr>
                            <w:r>
                              <w:rPr>
                                <w:rFonts w:ascii="TT Norms Pro Light"/>
                                <w:b w:val="0"/>
                                <w:sz w:val="14"/>
                              </w:rPr>
                              <w:t>Hybrid</w:t>
                            </w:r>
                            <w:r>
                              <w:rPr>
                                <w:rFonts w:ascii="TT Norms Pro Light"/>
                                <w:b w:val="0"/>
                                <w:spacing w:val="7"/>
                                <w:sz w:val="14"/>
                              </w:rPr>
                              <w:t> </w:t>
                            </w:r>
                            <w:r>
                              <w:rPr>
                                <w:rFonts w:ascii="TT Norms Pro Light"/>
                                <w:b w:val="0"/>
                                <w:sz w:val="14"/>
                              </w:rPr>
                              <w:t>News</w:t>
                            </w:r>
                            <w:r>
                              <w:rPr>
                                <w:rFonts w:ascii="TT Norms Pro Light"/>
                                <w:b w:val="0"/>
                                <w:spacing w:val="9"/>
                                <w:sz w:val="14"/>
                              </w:rPr>
                              <w:t> </w:t>
                            </w:r>
                            <w:r>
                              <w:rPr>
                                <w:rFonts w:ascii="TT Norms Pro Light"/>
                                <w:b w:val="0"/>
                                <w:spacing w:val="-2"/>
                                <w:sz w:val="14"/>
                              </w:rPr>
                              <w:t>Limited</w:t>
                            </w:r>
                          </w:p>
                        </w:tc>
                        <w:tc>
                          <w:tcPr>
                            <w:tcW w:w="1153" w:type="dxa"/>
                          </w:tcPr>
                          <w:p>
                            <w:pPr>
                              <w:pStyle w:val="TableParagraph"/>
                              <w:rPr>
                                <w:rFonts w:ascii="Times New Roman"/>
                                <w:sz w:val="16"/>
                              </w:rPr>
                            </w:pPr>
                          </w:p>
                        </w:tc>
                      </w:tr>
                      <w:tr>
                        <w:trPr>
                          <w:trHeight w:val="311" w:hRule="atLeast"/>
                        </w:trPr>
                        <w:tc>
                          <w:tcPr>
                            <w:tcW w:w="3458" w:type="dxa"/>
                            <w:shd w:val="clear" w:color="auto" w:fill="EFEFF0"/>
                          </w:tcPr>
                          <w:p>
                            <w:pPr>
                              <w:pStyle w:val="TableParagraph"/>
                              <w:spacing w:before="82"/>
                              <w:ind w:left="56"/>
                              <w:rPr>
                                <w:rFonts w:ascii="TT Norms Pro Light"/>
                                <w:b w:val="0"/>
                                <w:sz w:val="14"/>
                              </w:rPr>
                            </w:pPr>
                            <w:r>
                              <w:rPr>
                                <w:rFonts w:ascii="TT Norms Pro Light"/>
                                <w:b w:val="0"/>
                                <w:sz w:val="14"/>
                              </w:rPr>
                              <w:t>Maxco</w:t>
                            </w:r>
                            <w:r>
                              <w:rPr>
                                <w:rFonts w:ascii="TT Norms Pro Light"/>
                                <w:b w:val="0"/>
                                <w:spacing w:val="7"/>
                                <w:sz w:val="14"/>
                              </w:rPr>
                              <w:t> </w:t>
                            </w:r>
                            <w:r>
                              <w:rPr>
                                <w:rFonts w:ascii="TT Norms Pro Light"/>
                                <w:b w:val="0"/>
                                <w:sz w:val="14"/>
                              </w:rPr>
                              <w:t>Australia</w:t>
                            </w:r>
                            <w:r>
                              <w:rPr>
                                <w:rFonts w:ascii="TT Norms Pro Light"/>
                                <w:b w:val="0"/>
                                <w:spacing w:val="9"/>
                                <w:sz w:val="14"/>
                              </w:rPr>
                              <w:t> </w:t>
                            </w:r>
                            <w:r>
                              <w:rPr>
                                <w:rFonts w:ascii="TT Norms Pro Light"/>
                                <w:b w:val="0"/>
                                <w:sz w:val="14"/>
                              </w:rPr>
                              <w:t>Pty</w:t>
                            </w:r>
                            <w:r>
                              <w:rPr>
                                <w:rFonts w:ascii="TT Norms Pro Light"/>
                                <w:b w:val="0"/>
                                <w:spacing w:val="9"/>
                                <w:sz w:val="14"/>
                              </w:rPr>
                              <w:t> </w:t>
                            </w:r>
                            <w:r>
                              <w:rPr>
                                <w:rFonts w:ascii="TT Norms Pro Light"/>
                                <w:b w:val="0"/>
                                <w:spacing w:val="-5"/>
                                <w:sz w:val="14"/>
                              </w:rPr>
                              <w:t>Ltd</w:t>
                            </w:r>
                          </w:p>
                        </w:tc>
                        <w:tc>
                          <w:tcPr>
                            <w:tcW w:w="1153" w:type="dxa"/>
                            <w:shd w:val="clear" w:color="auto" w:fill="EFEFF0"/>
                          </w:tcPr>
                          <w:p>
                            <w:pPr>
                              <w:pStyle w:val="TableParagraph"/>
                              <w:rPr>
                                <w:rFonts w:ascii="Times New Roman"/>
                                <w:sz w:val="16"/>
                              </w:rPr>
                            </w:pPr>
                          </w:p>
                        </w:tc>
                      </w:tr>
                      <w:tr>
                        <w:trPr>
                          <w:trHeight w:val="311" w:hRule="atLeast"/>
                        </w:trPr>
                        <w:tc>
                          <w:tcPr>
                            <w:tcW w:w="3458" w:type="dxa"/>
                          </w:tcPr>
                          <w:p>
                            <w:pPr>
                              <w:pStyle w:val="TableParagraph"/>
                              <w:spacing w:before="82"/>
                              <w:ind w:left="56"/>
                              <w:rPr>
                                <w:rFonts w:ascii="TT Norms Pro Light"/>
                                <w:b w:val="0"/>
                                <w:sz w:val="14"/>
                              </w:rPr>
                            </w:pPr>
                            <w:r>
                              <w:rPr>
                                <w:rFonts w:ascii="TT Norms Pro Light"/>
                                <w:b w:val="0"/>
                                <w:sz w:val="14"/>
                              </w:rPr>
                              <w:t>Medium</w:t>
                            </w:r>
                            <w:r>
                              <w:rPr>
                                <w:rFonts w:ascii="TT Norms Pro Light"/>
                                <w:b w:val="0"/>
                                <w:spacing w:val="7"/>
                                <w:sz w:val="14"/>
                              </w:rPr>
                              <w:t> </w:t>
                            </w:r>
                            <w:r>
                              <w:rPr>
                                <w:rFonts w:ascii="TT Norms Pro Light"/>
                                <w:b w:val="0"/>
                                <w:sz w:val="14"/>
                              </w:rPr>
                              <w:t>Rare</w:t>
                            </w:r>
                            <w:r>
                              <w:rPr>
                                <w:rFonts w:ascii="TT Norms Pro Light"/>
                                <w:b w:val="0"/>
                                <w:spacing w:val="8"/>
                                <w:sz w:val="14"/>
                              </w:rPr>
                              <w:t> </w:t>
                            </w:r>
                            <w:r>
                              <w:rPr>
                                <w:rFonts w:ascii="TT Norms Pro Light"/>
                                <w:b w:val="0"/>
                                <w:sz w:val="14"/>
                              </w:rPr>
                              <w:t>Content</w:t>
                            </w:r>
                            <w:r>
                              <w:rPr>
                                <w:rFonts w:ascii="TT Norms Pro Light"/>
                                <w:b w:val="0"/>
                                <w:spacing w:val="7"/>
                                <w:sz w:val="14"/>
                              </w:rPr>
                              <w:t> </w:t>
                            </w:r>
                            <w:r>
                              <w:rPr>
                                <w:rFonts w:ascii="TT Norms Pro Light"/>
                                <w:b w:val="0"/>
                                <w:sz w:val="14"/>
                              </w:rPr>
                              <w:t>Agency</w:t>
                            </w:r>
                            <w:r>
                              <w:rPr>
                                <w:rFonts w:ascii="TT Norms Pro Light"/>
                                <w:b w:val="0"/>
                                <w:spacing w:val="8"/>
                                <w:sz w:val="14"/>
                              </w:rPr>
                              <w:t> </w:t>
                            </w:r>
                            <w:r>
                              <w:rPr>
                                <w:rFonts w:ascii="TT Norms Pro Light"/>
                                <w:b w:val="0"/>
                                <w:sz w:val="14"/>
                              </w:rPr>
                              <w:t>Pty</w:t>
                            </w:r>
                            <w:r>
                              <w:rPr>
                                <w:rFonts w:ascii="TT Norms Pro Light"/>
                                <w:b w:val="0"/>
                                <w:spacing w:val="8"/>
                                <w:sz w:val="14"/>
                              </w:rPr>
                              <w:t> </w:t>
                            </w:r>
                            <w:r>
                              <w:rPr>
                                <w:rFonts w:ascii="TT Norms Pro Light"/>
                                <w:b w:val="0"/>
                                <w:spacing w:val="-5"/>
                                <w:sz w:val="14"/>
                              </w:rPr>
                              <w:t>Ltd</w:t>
                            </w:r>
                          </w:p>
                        </w:tc>
                        <w:tc>
                          <w:tcPr>
                            <w:tcW w:w="1153" w:type="dxa"/>
                          </w:tcPr>
                          <w:p>
                            <w:pPr>
                              <w:pStyle w:val="TableParagraph"/>
                              <w:rPr>
                                <w:rFonts w:ascii="Times New Roman"/>
                                <w:sz w:val="16"/>
                              </w:rPr>
                            </w:pPr>
                          </w:p>
                        </w:tc>
                      </w:tr>
                      <w:tr>
                        <w:trPr>
                          <w:trHeight w:val="311" w:hRule="atLeast"/>
                        </w:trPr>
                        <w:tc>
                          <w:tcPr>
                            <w:tcW w:w="3458" w:type="dxa"/>
                            <w:shd w:val="clear" w:color="auto" w:fill="EFEFF0"/>
                          </w:tcPr>
                          <w:p>
                            <w:pPr>
                              <w:pStyle w:val="TableParagraph"/>
                              <w:spacing w:before="82"/>
                              <w:ind w:left="56"/>
                              <w:rPr>
                                <w:rFonts w:ascii="TT Norms Pro Light"/>
                                <w:b w:val="0"/>
                                <w:sz w:val="14"/>
                              </w:rPr>
                            </w:pPr>
                            <w:r>
                              <w:rPr>
                                <w:rFonts w:ascii="TT Norms Pro Light"/>
                                <w:b w:val="0"/>
                                <w:sz w:val="14"/>
                              </w:rPr>
                              <w:t>Okmg</w:t>
                            </w:r>
                            <w:r>
                              <w:rPr>
                                <w:rFonts w:ascii="TT Norms Pro Light"/>
                                <w:b w:val="0"/>
                                <w:spacing w:val="6"/>
                                <w:sz w:val="14"/>
                              </w:rPr>
                              <w:t> </w:t>
                            </w:r>
                            <w:r>
                              <w:rPr>
                                <w:rFonts w:ascii="TT Norms Pro Light"/>
                                <w:b w:val="0"/>
                                <w:sz w:val="14"/>
                              </w:rPr>
                              <w:t>Pty</w:t>
                            </w:r>
                            <w:r>
                              <w:rPr>
                                <w:rFonts w:ascii="TT Norms Pro Light"/>
                                <w:b w:val="0"/>
                                <w:spacing w:val="8"/>
                                <w:sz w:val="14"/>
                              </w:rPr>
                              <w:t> </w:t>
                            </w:r>
                            <w:r>
                              <w:rPr>
                                <w:rFonts w:ascii="TT Norms Pro Light"/>
                                <w:b w:val="0"/>
                                <w:spacing w:val="-5"/>
                                <w:sz w:val="14"/>
                              </w:rPr>
                              <w:t>Ltd</w:t>
                            </w:r>
                          </w:p>
                        </w:tc>
                        <w:tc>
                          <w:tcPr>
                            <w:tcW w:w="1153" w:type="dxa"/>
                            <w:shd w:val="clear" w:color="auto" w:fill="EFEFF0"/>
                          </w:tcPr>
                          <w:p>
                            <w:pPr>
                              <w:pStyle w:val="TableParagraph"/>
                              <w:rPr>
                                <w:rFonts w:ascii="Times New Roman"/>
                                <w:sz w:val="16"/>
                              </w:rPr>
                            </w:pPr>
                          </w:p>
                        </w:tc>
                      </w:tr>
                      <w:tr>
                        <w:trPr>
                          <w:trHeight w:val="311" w:hRule="atLeast"/>
                        </w:trPr>
                        <w:tc>
                          <w:tcPr>
                            <w:tcW w:w="3458" w:type="dxa"/>
                          </w:tcPr>
                          <w:p>
                            <w:pPr>
                              <w:pStyle w:val="TableParagraph"/>
                              <w:spacing w:before="82"/>
                              <w:ind w:left="56"/>
                              <w:rPr>
                                <w:rFonts w:ascii="TT Norms Pro Light"/>
                                <w:b w:val="0"/>
                                <w:sz w:val="14"/>
                              </w:rPr>
                            </w:pPr>
                            <w:r>
                              <w:rPr>
                                <w:rFonts w:ascii="TT Norms Pro Light"/>
                                <w:b w:val="0"/>
                                <w:sz w:val="14"/>
                              </w:rPr>
                              <w:t>Paper</w:t>
                            </w:r>
                            <w:r>
                              <w:rPr>
                                <w:rFonts w:ascii="TT Norms Pro Light"/>
                                <w:b w:val="0"/>
                                <w:spacing w:val="8"/>
                                <w:sz w:val="14"/>
                              </w:rPr>
                              <w:t> </w:t>
                            </w:r>
                            <w:r>
                              <w:rPr>
                                <w:rFonts w:ascii="TT Norms Pro Light"/>
                                <w:b w:val="0"/>
                                <w:spacing w:val="-2"/>
                                <w:sz w:val="14"/>
                              </w:rPr>
                              <w:t>Scouts</w:t>
                            </w:r>
                          </w:p>
                        </w:tc>
                        <w:tc>
                          <w:tcPr>
                            <w:tcW w:w="1153" w:type="dxa"/>
                          </w:tcPr>
                          <w:p>
                            <w:pPr>
                              <w:pStyle w:val="TableParagraph"/>
                              <w:rPr>
                                <w:rFonts w:ascii="Times New Roman"/>
                                <w:sz w:val="16"/>
                              </w:rPr>
                            </w:pPr>
                          </w:p>
                        </w:tc>
                      </w:tr>
                      <w:tr>
                        <w:trPr>
                          <w:trHeight w:val="311" w:hRule="atLeast"/>
                        </w:trPr>
                        <w:tc>
                          <w:tcPr>
                            <w:tcW w:w="3458" w:type="dxa"/>
                            <w:shd w:val="clear" w:color="auto" w:fill="EFEFF0"/>
                          </w:tcPr>
                          <w:p>
                            <w:pPr>
                              <w:pStyle w:val="TableParagraph"/>
                              <w:spacing w:before="82"/>
                              <w:ind w:left="56"/>
                              <w:rPr>
                                <w:rFonts w:ascii="TT Norms Pro Light"/>
                                <w:b w:val="0"/>
                                <w:sz w:val="14"/>
                              </w:rPr>
                            </w:pPr>
                            <w:r>
                              <w:rPr>
                                <w:rFonts w:ascii="TT Norms Pro Light"/>
                                <w:b w:val="0"/>
                                <w:sz w:val="14"/>
                              </w:rPr>
                              <w:t>Studio</w:t>
                            </w:r>
                            <w:r>
                              <w:rPr>
                                <w:rFonts w:ascii="TT Norms Pro Light"/>
                                <w:b w:val="0"/>
                                <w:spacing w:val="5"/>
                                <w:sz w:val="14"/>
                              </w:rPr>
                              <w:t> </w:t>
                            </w:r>
                            <w:r>
                              <w:rPr>
                                <w:rFonts w:ascii="TT Norms Pro Light"/>
                                <w:b w:val="0"/>
                                <w:sz w:val="14"/>
                              </w:rPr>
                              <w:t>Bravo</w:t>
                            </w:r>
                            <w:r>
                              <w:rPr>
                                <w:rFonts w:ascii="TT Norms Pro Light"/>
                                <w:b w:val="0"/>
                                <w:spacing w:val="6"/>
                                <w:sz w:val="14"/>
                              </w:rPr>
                              <w:t> </w:t>
                            </w:r>
                            <w:r>
                              <w:rPr>
                                <w:rFonts w:ascii="TT Norms Pro Light"/>
                                <w:b w:val="0"/>
                                <w:sz w:val="14"/>
                              </w:rPr>
                              <w:t>Pty</w:t>
                            </w:r>
                            <w:r>
                              <w:rPr>
                                <w:rFonts w:ascii="TT Norms Pro Light"/>
                                <w:b w:val="0"/>
                                <w:spacing w:val="6"/>
                                <w:sz w:val="14"/>
                              </w:rPr>
                              <w:t> </w:t>
                            </w:r>
                            <w:r>
                              <w:rPr>
                                <w:rFonts w:ascii="TT Norms Pro Light"/>
                                <w:b w:val="0"/>
                                <w:spacing w:val="-5"/>
                                <w:sz w:val="14"/>
                              </w:rPr>
                              <w:t>Ltd</w:t>
                            </w:r>
                          </w:p>
                        </w:tc>
                        <w:tc>
                          <w:tcPr>
                            <w:tcW w:w="1153" w:type="dxa"/>
                            <w:shd w:val="clear" w:color="auto" w:fill="EFEFF0"/>
                          </w:tcPr>
                          <w:p>
                            <w:pPr>
                              <w:pStyle w:val="TableParagraph"/>
                              <w:rPr>
                                <w:rFonts w:ascii="Times New Roman"/>
                                <w:sz w:val="16"/>
                              </w:rPr>
                            </w:pPr>
                          </w:p>
                        </w:tc>
                      </w:tr>
                      <w:tr>
                        <w:trPr>
                          <w:trHeight w:val="301" w:hRule="atLeast"/>
                        </w:trPr>
                        <w:tc>
                          <w:tcPr>
                            <w:tcW w:w="3458" w:type="dxa"/>
                            <w:tcBorders>
                              <w:bottom w:val="single" w:sz="8" w:space="0" w:color="000000"/>
                            </w:tcBorders>
                          </w:tcPr>
                          <w:p>
                            <w:pPr>
                              <w:pStyle w:val="TableParagraph"/>
                              <w:spacing w:before="82"/>
                              <w:ind w:left="56"/>
                              <w:rPr>
                                <w:rFonts w:ascii="TT Norms Pro Light"/>
                                <w:b w:val="0"/>
                                <w:sz w:val="14"/>
                              </w:rPr>
                            </w:pPr>
                            <w:r>
                              <w:rPr>
                                <w:rFonts w:ascii="TT Norms Pro Light"/>
                                <w:b w:val="0"/>
                                <w:sz w:val="14"/>
                              </w:rPr>
                              <w:t>The</w:t>
                            </w:r>
                            <w:r>
                              <w:rPr>
                                <w:rFonts w:ascii="TT Norms Pro Light"/>
                                <w:b w:val="0"/>
                                <w:spacing w:val="7"/>
                                <w:sz w:val="14"/>
                              </w:rPr>
                              <w:t> </w:t>
                            </w:r>
                            <w:r>
                              <w:rPr>
                                <w:rFonts w:ascii="TT Norms Pro Light"/>
                                <w:b w:val="0"/>
                                <w:sz w:val="14"/>
                              </w:rPr>
                              <w:t>Brand</w:t>
                            </w:r>
                            <w:r>
                              <w:rPr>
                                <w:rFonts w:ascii="TT Norms Pro Light"/>
                                <w:b w:val="0"/>
                                <w:spacing w:val="6"/>
                                <w:sz w:val="14"/>
                              </w:rPr>
                              <w:t> </w:t>
                            </w:r>
                            <w:r>
                              <w:rPr>
                                <w:rFonts w:ascii="TT Norms Pro Light"/>
                                <w:b w:val="0"/>
                                <w:spacing w:val="-2"/>
                                <w:sz w:val="14"/>
                              </w:rPr>
                              <w:t>Agency</w:t>
                            </w:r>
                          </w:p>
                        </w:tc>
                        <w:tc>
                          <w:tcPr>
                            <w:tcW w:w="1153" w:type="dxa"/>
                            <w:tcBorders>
                              <w:bottom w:val="single" w:sz="8" w:space="0" w:color="000000"/>
                            </w:tcBorders>
                          </w:tcPr>
                          <w:p>
                            <w:pPr>
                              <w:pStyle w:val="TableParagraph"/>
                              <w:rPr>
                                <w:rFonts w:ascii="Times New Roman"/>
                                <w:sz w:val="16"/>
                              </w:rPr>
                            </w:pPr>
                          </w:p>
                        </w:tc>
                      </w:tr>
                      <w:tr>
                        <w:trPr>
                          <w:trHeight w:val="246" w:hRule="atLeast"/>
                        </w:trPr>
                        <w:tc>
                          <w:tcPr>
                            <w:tcW w:w="3458" w:type="dxa"/>
                            <w:tcBorders>
                              <w:top w:val="single" w:sz="8" w:space="0" w:color="000000"/>
                            </w:tcBorders>
                          </w:tcPr>
                          <w:p>
                            <w:pPr>
                              <w:pStyle w:val="TableParagraph"/>
                              <w:spacing w:line="154" w:lineRule="exact" w:before="72"/>
                              <w:ind w:left="56"/>
                              <w:rPr>
                                <w:rFonts w:ascii="TT Norms Pro"/>
                                <w:b/>
                                <w:sz w:val="14"/>
                              </w:rPr>
                            </w:pPr>
                            <w:r>
                              <w:rPr>
                                <w:rFonts w:ascii="TT Norms Pro"/>
                                <w:b/>
                                <w:sz w:val="14"/>
                              </w:rPr>
                              <w:t>EXPENDITURE</w:t>
                            </w:r>
                            <w:r>
                              <w:rPr>
                                <w:rFonts w:ascii="TT Norms Pro"/>
                                <w:b/>
                                <w:spacing w:val="14"/>
                                <w:sz w:val="14"/>
                              </w:rPr>
                              <w:t> </w:t>
                            </w:r>
                            <w:r>
                              <w:rPr>
                                <w:rFonts w:ascii="TT Norms Pro"/>
                                <w:b/>
                                <w:sz w:val="14"/>
                              </w:rPr>
                              <w:t>WITH</w:t>
                            </w:r>
                            <w:r>
                              <w:rPr>
                                <w:rFonts w:ascii="TT Norms Pro"/>
                                <w:b/>
                                <w:spacing w:val="16"/>
                                <w:sz w:val="14"/>
                              </w:rPr>
                              <w:t> </w:t>
                            </w:r>
                            <w:r>
                              <w:rPr>
                                <w:rFonts w:ascii="TT Norms Pro"/>
                                <w:b/>
                                <w:spacing w:val="-2"/>
                                <w:sz w:val="14"/>
                              </w:rPr>
                              <w:t>MARKET</w:t>
                            </w:r>
                          </w:p>
                        </w:tc>
                        <w:tc>
                          <w:tcPr>
                            <w:tcW w:w="1153" w:type="dxa"/>
                            <w:tcBorders>
                              <w:top w:val="single" w:sz="8" w:space="0" w:color="000000"/>
                            </w:tcBorders>
                          </w:tcPr>
                          <w:p>
                            <w:pPr>
                              <w:pStyle w:val="TableParagraph"/>
                              <w:spacing w:line="154" w:lineRule="exact" w:before="72"/>
                              <w:ind w:right="13"/>
                              <w:jc w:val="right"/>
                              <w:rPr>
                                <w:rFonts w:ascii="TT Norms Pro"/>
                                <w:b/>
                                <w:sz w:val="14"/>
                              </w:rPr>
                            </w:pPr>
                            <w:r>
                              <w:rPr>
                                <w:rFonts w:ascii="TT Norms Pro"/>
                                <w:b/>
                                <w:spacing w:val="-2"/>
                                <w:sz w:val="14"/>
                              </w:rPr>
                              <w:t>$229,702</w:t>
                            </w:r>
                          </w:p>
                        </w:tc>
                      </w:tr>
                      <w:tr>
                        <w:trPr>
                          <w:trHeight w:val="250" w:hRule="atLeast"/>
                        </w:trPr>
                        <w:tc>
                          <w:tcPr>
                            <w:tcW w:w="3458" w:type="dxa"/>
                            <w:tcBorders>
                              <w:bottom w:val="single" w:sz="4" w:space="0" w:color="000000"/>
                            </w:tcBorders>
                          </w:tcPr>
                          <w:p>
                            <w:pPr>
                              <w:pStyle w:val="TableParagraph"/>
                              <w:spacing w:before="26"/>
                              <w:ind w:left="56"/>
                              <w:rPr>
                                <w:rFonts w:ascii="TT Norms Pro"/>
                                <w:b/>
                                <w:sz w:val="14"/>
                              </w:rPr>
                            </w:pPr>
                            <w:r>
                              <w:rPr>
                                <w:rFonts w:ascii="TT Norms Pro"/>
                                <w:b/>
                                <w:sz w:val="14"/>
                              </w:rPr>
                              <w:t>RESEARCH</w:t>
                            </w:r>
                            <w:r>
                              <w:rPr>
                                <w:rFonts w:ascii="TT Norms Pro"/>
                                <w:b/>
                                <w:spacing w:val="22"/>
                                <w:sz w:val="14"/>
                              </w:rPr>
                              <w:t> </w:t>
                            </w:r>
                            <w:r>
                              <w:rPr>
                                <w:rFonts w:ascii="TT Norms Pro"/>
                                <w:b/>
                                <w:spacing w:val="-2"/>
                                <w:sz w:val="14"/>
                              </w:rPr>
                              <w:t>ORGANISATIONS</w:t>
                            </w:r>
                          </w:p>
                        </w:tc>
                        <w:tc>
                          <w:tcPr>
                            <w:tcW w:w="1153" w:type="dxa"/>
                            <w:tcBorders>
                              <w:bottom w:val="single" w:sz="4" w:space="0" w:color="000000"/>
                            </w:tcBorders>
                          </w:tcPr>
                          <w:p>
                            <w:pPr>
                              <w:pStyle w:val="TableParagraph"/>
                              <w:rPr>
                                <w:rFonts w:ascii="Times New Roman"/>
                                <w:sz w:val="16"/>
                              </w:rPr>
                            </w:pPr>
                          </w:p>
                        </w:tc>
                      </w:tr>
                      <w:tr>
                        <w:trPr>
                          <w:trHeight w:val="306" w:hRule="atLeast"/>
                        </w:trPr>
                        <w:tc>
                          <w:tcPr>
                            <w:tcW w:w="3458" w:type="dxa"/>
                            <w:tcBorders>
                              <w:top w:val="single" w:sz="4" w:space="0" w:color="000000"/>
                            </w:tcBorders>
                          </w:tcPr>
                          <w:p>
                            <w:pPr>
                              <w:pStyle w:val="TableParagraph"/>
                              <w:spacing w:before="77"/>
                              <w:ind w:left="56"/>
                              <w:rPr>
                                <w:rFonts w:ascii="TT Norms Pro Light"/>
                                <w:b w:val="0"/>
                                <w:sz w:val="14"/>
                              </w:rPr>
                            </w:pPr>
                            <w:r>
                              <w:rPr>
                                <w:rFonts w:ascii="TT Norms Pro Light"/>
                                <w:b w:val="0"/>
                                <w:sz w:val="14"/>
                              </w:rPr>
                              <w:t>Culture</w:t>
                            </w:r>
                            <w:r>
                              <w:rPr>
                                <w:rFonts w:ascii="TT Norms Pro Light"/>
                                <w:b w:val="0"/>
                                <w:spacing w:val="8"/>
                                <w:sz w:val="14"/>
                              </w:rPr>
                              <w:t> </w:t>
                            </w:r>
                            <w:r>
                              <w:rPr>
                                <w:rFonts w:ascii="TT Norms Pro Light"/>
                                <w:b w:val="0"/>
                                <w:sz w:val="14"/>
                              </w:rPr>
                              <w:t>Counts</w:t>
                            </w:r>
                            <w:r>
                              <w:rPr>
                                <w:rFonts w:ascii="TT Norms Pro Light"/>
                                <w:b w:val="0"/>
                                <w:spacing w:val="8"/>
                                <w:sz w:val="14"/>
                              </w:rPr>
                              <w:t> </w:t>
                            </w:r>
                            <w:r>
                              <w:rPr>
                                <w:rFonts w:ascii="TT Norms Pro Light"/>
                                <w:b w:val="0"/>
                                <w:spacing w:val="-2"/>
                                <w:sz w:val="14"/>
                              </w:rPr>
                              <w:t>Australia</w:t>
                            </w:r>
                          </w:p>
                        </w:tc>
                        <w:tc>
                          <w:tcPr>
                            <w:tcW w:w="1153" w:type="dxa"/>
                            <w:tcBorders>
                              <w:top w:val="single" w:sz="4" w:space="0" w:color="000000"/>
                            </w:tcBorders>
                          </w:tcPr>
                          <w:p>
                            <w:pPr>
                              <w:pStyle w:val="TableParagraph"/>
                              <w:rPr>
                                <w:rFonts w:ascii="Times New Roman"/>
                                <w:sz w:val="16"/>
                              </w:rPr>
                            </w:pPr>
                          </w:p>
                        </w:tc>
                      </w:tr>
                      <w:tr>
                        <w:trPr>
                          <w:trHeight w:val="311" w:hRule="atLeast"/>
                        </w:trPr>
                        <w:tc>
                          <w:tcPr>
                            <w:tcW w:w="3458" w:type="dxa"/>
                            <w:shd w:val="clear" w:color="auto" w:fill="EFEFF0"/>
                          </w:tcPr>
                          <w:p>
                            <w:pPr>
                              <w:pStyle w:val="TableParagraph"/>
                              <w:spacing w:before="82"/>
                              <w:ind w:left="56"/>
                              <w:rPr>
                                <w:rFonts w:ascii="TT Norms Pro Light"/>
                                <w:b w:val="0"/>
                                <w:sz w:val="14"/>
                              </w:rPr>
                            </w:pPr>
                            <w:r>
                              <w:rPr>
                                <w:rFonts w:ascii="TT Norms Pro Light"/>
                                <w:b w:val="0"/>
                                <w:sz w:val="14"/>
                              </w:rPr>
                              <w:t>Isentia</w:t>
                            </w:r>
                            <w:r>
                              <w:rPr>
                                <w:rFonts w:ascii="TT Norms Pro Light"/>
                                <w:b w:val="0"/>
                                <w:spacing w:val="5"/>
                                <w:sz w:val="14"/>
                              </w:rPr>
                              <w:t> </w:t>
                            </w:r>
                            <w:r>
                              <w:rPr>
                                <w:rFonts w:ascii="TT Norms Pro Light"/>
                                <w:b w:val="0"/>
                                <w:sz w:val="14"/>
                              </w:rPr>
                              <w:t>Pty</w:t>
                            </w:r>
                            <w:r>
                              <w:rPr>
                                <w:rFonts w:ascii="TT Norms Pro Light"/>
                                <w:b w:val="0"/>
                                <w:spacing w:val="8"/>
                                <w:sz w:val="14"/>
                              </w:rPr>
                              <w:t> </w:t>
                            </w:r>
                            <w:r>
                              <w:rPr>
                                <w:rFonts w:ascii="TT Norms Pro Light"/>
                                <w:b w:val="0"/>
                                <w:spacing w:val="-5"/>
                                <w:sz w:val="14"/>
                              </w:rPr>
                              <w:t>Ltd</w:t>
                            </w:r>
                          </w:p>
                        </w:tc>
                        <w:tc>
                          <w:tcPr>
                            <w:tcW w:w="1153" w:type="dxa"/>
                            <w:shd w:val="clear" w:color="auto" w:fill="EFEFF0"/>
                          </w:tcPr>
                          <w:p>
                            <w:pPr>
                              <w:pStyle w:val="TableParagraph"/>
                              <w:rPr>
                                <w:rFonts w:ascii="Times New Roman"/>
                                <w:sz w:val="16"/>
                              </w:rPr>
                            </w:pPr>
                          </w:p>
                        </w:tc>
                      </w:tr>
                      <w:tr>
                        <w:trPr>
                          <w:trHeight w:val="301" w:hRule="atLeast"/>
                        </w:trPr>
                        <w:tc>
                          <w:tcPr>
                            <w:tcW w:w="3458" w:type="dxa"/>
                            <w:tcBorders>
                              <w:bottom w:val="single" w:sz="8" w:space="0" w:color="000000"/>
                            </w:tcBorders>
                          </w:tcPr>
                          <w:p>
                            <w:pPr>
                              <w:pStyle w:val="TableParagraph"/>
                              <w:spacing w:before="82"/>
                              <w:ind w:left="56"/>
                              <w:rPr>
                                <w:rFonts w:ascii="TT Norms Pro Light"/>
                                <w:b w:val="0"/>
                                <w:sz w:val="14"/>
                              </w:rPr>
                            </w:pPr>
                            <w:r>
                              <w:rPr>
                                <w:rFonts w:ascii="TT Norms Pro Light"/>
                                <w:b w:val="0"/>
                                <w:sz w:val="14"/>
                              </w:rPr>
                              <w:t>Metrix</w:t>
                            </w:r>
                            <w:r>
                              <w:rPr>
                                <w:rFonts w:ascii="TT Norms Pro Light"/>
                                <w:b w:val="0"/>
                                <w:spacing w:val="9"/>
                                <w:sz w:val="14"/>
                              </w:rPr>
                              <w:t> </w:t>
                            </w:r>
                            <w:r>
                              <w:rPr>
                                <w:rFonts w:ascii="TT Norms Pro Light"/>
                                <w:b w:val="0"/>
                                <w:spacing w:val="-2"/>
                                <w:sz w:val="14"/>
                              </w:rPr>
                              <w:t>Consulting</w:t>
                            </w:r>
                          </w:p>
                        </w:tc>
                        <w:tc>
                          <w:tcPr>
                            <w:tcW w:w="1153" w:type="dxa"/>
                            <w:tcBorders>
                              <w:bottom w:val="single" w:sz="8" w:space="0" w:color="000000"/>
                            </w:tcBorders>
                          </w:tcPr>
                          <w:p>
                            <w:pPr>
                              <w:pStyle w:val="TableParagraph"/>
                              <w:rPr>
                                <w:rFonts w:ascii="Times New Roman"/>
                                <w:sz w:val="16"/>
                              </w:rPr>
                            </w:pPr>
                          </w:p>
                        </w:tc>
                      </w:tr>
                      <w:tr>
                        <w:trPr>
                          <w:trHeight w:val="246" w:hRule="atLeast"/>
                        </w:trPr>
                        <w:tc>
                          <w:tcPr>
                            <w:tcW w:w="3458" w:type="dxa"/>
                            <w:tcBorders>
                              <w:top w:val="single" w:sz="8" w:space="0" w:color="000000"/>
                            </w:tcBorders>
                          </w:tcPr>
                          <w:p>
                            <w:pPr>
                              <w:pStyle w:val="TableParagraph"/>
                              <w:spacing w:line="154" w:lineRule="exact" w:before="72"/>
                              <w:ind w:left="56"/>
                              <w:rPr>
                                <w:rFonts w:ascii="TT Norms Pro"/>
                                <w:b/>
                                <w:sz w:val="14"/>
                              </w:rPr>
                            </w:pPr>
                            <w:r>
                              <w:rPr>
                                <w:rFonts w:ascii="TT Norms Pro"/>
                                <w:b/>
                                <w:sz w:val="14"/>
                              </w:rPr>
                              <w:t>EXPENDITURE</w:t>
                            </w:r>
                            <w:r>
                              <w:rPr>
                                <w:rFonts w:ascii="TT Norms Pro"/>
                                <w:b/>
                                <w:spacing w:val="14"/>
                                <w:sz w:val="14"/>
                              </w:rPr>
                              <w:t> </w:t>
                            </w:r>
                            <w:r>
                              <w:rPr>
                                <w:rFonts w:ascii="TT Norms Pro"/>
                                <w:b/>
                                <w:sz w:val="14"/>
                              </w:rPr>
                              <w:t>WITH</w:t>
                            </w:r>
                            <w:r>
                              <w:rPr>
                                <w:rFonts w:ascii="TT Norms Pro"/>
                                <w:b/>
                                <w:spacing w:val="16"/>
                                <w:sz w:val="14"/>
                              </w:rPr>
                              <w:t> </w:t>
                            </w:r>
                            <w:r>
                              <w:rPr>
                                <w:rFonts w:ascii="TT Norms Pro"/>
                                <w:b/>
                                <w:spacing w:val="-2"/>
                                <w:sz w:val="14"/>
                              </w:rPr>
                              <w:t>POLLING</w:t>
                            </w:r>
                          </w:p>
                        </w:tc>
                        <w:tc>
                          <w:tcPr>
                            <w:tcW w:w="1153" w:type="dxa"/>
                            <w:tcBorders>
                              <w:top w:val="single" w:sz="8" w:space="0" w:color="000000"/>
                            </w:tcBorders>
                          </w:tcPr>
                          <w:p>
                            <w:pPr>
                              <w:pStyle w:val="TableParagraph"/>
                              <w:spacing w:line="154" w:lineRule="exact" w:before="72"/>
                              <w:ind w:right="13"/>
                              <w:jc w:val="right"/>
                              <w:rPr>
                                <w:rFonts w:ascii="TT Norms Pro"/>
                                <w:b/>
                                <w:sz w:val="14"/>
                              </w:rPr>
                            </w:pPr>
                            <w:r>
                              <w:rPr>
                                <w:rFonts w:ascii="TT Norms Pro"/>
                                <w:b/>
                                <w:sz w:val="14"/>
                              </w:rPr>
                              <w:t>$ </w:t>
                            </w:r>
                            <w:r>
                              <w:rPr>
                                <w:rFonts w:ascii="TT Norms Pro"/>
                                <w:b/>
                                <w:spacing w:val="-10"/>
                                <w:sz w:val="14"/>
                              </w:rPr>
                              <w:t>-</w:t>
                            </w:r>
                          </w:p>
                        </w:tc>
                      </w:tr>
                      <w:tr>
                        <w:trPr>
                          <w:trHeight w:val="250" w:hRule="atLeast"/>
                        </w:trPr>
                        <w:tc>
                          <w:tcPr>
                            <w:tcW w:w="3458" w:type="dxa"/>
                            <w:tcBorders>
                              <w:bottom w:val="single" w:sz="4" w:space="0" w:color="000000"/>
                            </w:tcBorders>
                          </w:tcPr>
                          <w:p>
                            <w:pPr>
                              <w:pStyle w:val="TableParagraph"/>
                              <w:spacing w:before="26"/>
                              <w:ind w:left="56"/>
                              <w:rPr>
                                <w:rFonts w:ascii="TT Norms Pro"/>
                                <w:b/>
                                <w:sz w:val="14"/>
                              </w:rPr>
                            </w:pPr>
                            <w:r>
                              <w:rPr>
                                <w:rFonts w:ascii="TT Norms Pro"/>
                                <w:b/>
                                <w:spacing w:val="-2"/>
                                <w:sz w:val="14"/>
                              </w:rPr>
                              <w:t>ORGANISATIONS</w:t>
                            </w:r>
                          </w:p>
                        </w:tc>
                        <w:tc>
                          <w:tcPr>
                            <w:tcW w:w="1153" w:type="dxa"/>
                            <w:tcBorders>
                              <w:bottom w:val="single" w:sz="4" w:space="0" w:color="000000"/>
                            </w:tcBorders>
                          </w:tcPr>
                          <w:p>
                            <w:pPr>
                              <w:pStyle w:val="TableParagraph"/>
                              <w:rPr>
                                <w:rFonts w:ascii="Times New Roman"/>
                                <w:sz w:val="16"/>
                              </w:rPr>
                            </w:pPr>
                          </w:p>
                        </w:tc>
                      </w:tr>
                      <w:tr>
                        <w:trPr>
                          <w:trHeight w:val="296" w:hRule="atLeast"/>
                        </w:trPr>
                        <w:tc>
                          <w:tcPr>
                            <w:tcW w:w="3458" w:type="dxa"/>
                            <w:tcBorders>
                              <w:top w:val="single" w:sz="4" w:space="0" w:color="000000"/>
                              <w:bottom w:val="single" w:sz="8" w:space="0" w:color="000000"/>
                            </w:tcBorders>
                          </w:tcPr>
                          <w:p>
                            <w:pPr>
                              <w:pStyle w:val="TableParagraph"/>
                              <w:rPr>
                                <w:rFonts w:ascii="Times New Roman"/>
                                <w:sz w:val="16"/>
                              </w:rPr>
                            </w:pPr>
                          </w:p>
                        </w:tc>
                        <w:tc>
                          <w:tcPr>
                            <w:tcW w:w="1153" w:type="dxa"/>
                            <w:tcBorders>
                              <w:top w:val="single" w:sz="4" w:space="0" w:color="000000"/>
                              <w:bottom w:val="single" w:sz="8" w:space="0" w:color="000000"/>
                            </w:tcBorders>
                          </w:tcPr>
                          <w:p>
                            <w:pPr>
                              <w:pStyle w:val="TableParagraph"/>
                              <w:rPr>
                                <w:rFonts w:ascii="Times New Roman"/>
                                <w:sz w:val="16"/>
                              </w:rPr>
                            </w:pPr>
                          </w:p>
                        </w:tc>
                      </w:tr>
                      <w:tr>
                        <w:trPr>
                          <w:trHeight w:val="513" w:hRule="atLeast"/>
                        </w:trPr>
                        <w:tc>
                          <w:tcPr>
                            <w:tcW w:w="3458" w:type="dxa"/>
                            <w:tcBorders>
                              <w:top w:val="single" w:sz="8" w:space="0" w:color="000000"/>
                              <w:bottom w:val="single" w:sz="4" w:space="0" w:color="000000"/>
                            </w:tcBorders>
                          </w:tcPr>
                          <w:p>
                            <w:pPr>
                              <w:pStyle w:val="TableParagraph"/>
                              <w:spacing w:line="256" w:lineRule="auto" w:before="70"/>
                              <w:ind w:left="56" w:right="241"/>
                              <w:rPr>
                                <w:rFonts w:ascii="TT Norms Pro"/>
                                <w:b/>
                                <w:sz w:val="16"/>
                              </w:rPr>
                            </w:pPr>
                            <w:r>
                              <w:rPr>
                                <w:rFonts w:ascii="TT Norms Pro"/>
                                <w:b/>
                                <w:sz w:val="16"/>
                              </w:rPr>
                              <w:t>EXPENDITURE WITH DIRECT MAIL</w:t>
                            </w:r>
                            <w:r>
                              <w:rPr>
                                <w:rFonts w:ascii="TT Norms Pro"/>
                                <w:b/>
                                <w:spacing w:val="40"/>
                                <w:sz w:val="16"/>
                              </w:rPr>
                              <w:t> </w:t>
                            </w:r>
                            <w:r>
                              <w:rPr>
                                <w:rFonts w:ascii="TT Norms Pro"/>
                                <w:b/>
                                <w:spacing w:val="-2"/>
                                <w:sz w:val="16"/>
                              </w:rPr>
                              <w:t>ORGANISATIONS</w:t>
                            </w:r>
                          </w:p>
                        </w:tc>
                        <w:tc>
                          <w:tcPr>
                            <w:tcW w:w="1153" w:type="dxa"/>
                            <w:tcBorders>
                              <w:top w:val="single" w:sz="8" w:space="0" w:color="000000"/>
                              <w:bottom w:val="single" w:sz="4" w:space="0" w:color="000000"/>
                            </w:tcBorders>
                          </w:tcPr>
                          <w:p>
                            <w:pPr>
                              <w:pStyle w:val="TableParagraph"/>
                              <w:spacing w:before="70"/>
                              <w:ind w:right="13"/>
                              <w:jc w:val="right"/>
                              <w:rPr>
                                <w:rFonts w:ascii="TT Norms Pro"/>
                                <w:b/>
                                <w:sz w:val="16"/>
                              </w:rPr>
                            </w:pPr>
                            <w:r>
                              <w:rPr>
                                <w:rFonts w:ascii="TT Norms Pro"/>
                                <w:b/>
                                <w:spacing w:val="-2"/>
                                <w:sz w:val="16"/>
                              </w:rPr>
                              <w:t>$34,398</w:t>
                            </w:r>
                          </w:p>
                        </w:tc>
                      </w:tr>
                      <w:tr>
                        <w:trPr>
                          <w:trHeight w:val="306" w:hRule="atLeast"/>
                        </w:trPr>
                        <w:tc>
                          <w:tcPr>
                            <w:tcW w:w="3458" w:type="dxa"/>
                            <w:tcBorders>
                              <w:top w:val="single" w:sz="4" w:space="0" w:color="000000"/>
                            </w:tcBorders>
                          </w:tcPr>
                          <w:p>
                            <w:pPr>
                              <w:pStyle w:val="TableParagraph"/>
                              <w:spacing w:before="77"/>
                              <w:ind w:left="56"/>
                              <w:rPr>
                                <w:rFonts w:ascii="TT Norms Pro Light"/>
                                <w:b w:val="0"/>
                                <w:sz w:val="14"/>
                              </w:rPr>
                            </w:pPr>
                            <w:r>
                              <w:rPr>
                                <w:rFonts w:ascii="TT Norms Pro Light"/>
                                <w:b w:val="0"/>
                                <w:sz w:val="14"/>
                              </w:rPr>
                              <w:t>AO</w:t>
                            </w:r>
                            <w:r>
                              <w:rPr>
                                <w:rFonts w:ascii="TT Norms Pro Light"/>
                                <w:b w:val="0"/>
                                <w:spacing w:val="1"/>
                                <w:sz w:val="14"/>
                              </w:rPr>
                              <w:t> </w:t>
                            </w:r>
                            <w:r>
                              <w:rPr>
                                <w:rFonts w:ascii="TT Norms Pro Light"/>
                                <w:b w:val="0"/>
                                <w:sz w:val="14"/>
                              </w:rPr>
                              <w:t>Lets</w:t>
                            </w:r>
                            <w:r>
                              <w:rPr>
                                <w:rFonts w:ascii="TT Norms Pro Light"/>
                                <w:b w:val="0"/>
                                <w:spacing w:val="3"/>
                                <w:sz w:val="14"/>
                              </w:rPr>
                              <w:t> </w:t>
                            </w:r>
                            <w:r>
                              <w:rPr>
                                <w:rFonts w:ascii="TT Norms Pro Light"/>
                                <w:b w:val="0"/>
                                <w:sz w:val="14"/>
                              </w:rPr>
                              <w:t>Go</w:t>
                            </w:r>
                            <w:r>
                              <w:rPr>
                                <w:rFonts w:ascii="TT Norms Pro Light"/>
                                <w:b w:val="0"/>
                                <w:spacing w:val="3"/>
                                <w:sz w:val="14"/>
                              </w:rPr>
                              <w:t> </w:t>
                            </w:r>
                            <w:r>
                              <w:rPr>
                                <w:rFonts w:ascii="TT Norms Pro Light"/>
                                <w:b w:val="0"/>
                                <w:sz w:val="14"/>
                              </w:rPr>
                              <w:t>Poster</w:t>
                            </w:r>
                            <w:r>
                              <w:rPr>
                                <w:rFonts w:ascii="TT Norms Pro Light"/>
                                <w:b w:val="0"/>
                                <w:spacing w:val="3"/>
                                <w:sz w:val="14"/>
                              </w:rPr>
                              <w:t> </w:t>
                            </w:r>
                            <w:r>
                              <w:rPr>
                                <w:rFonts w:ascii="TT Norms Pro Light"/>
                                <w:b w:val="0"/>
                                <w:spacing w:val="-2"/>
                                <w:sz w:val="14"/>
                              </w:rPr>
                              <w:t>Distribution</w:t>
                            </w:r>
                          </w:p>
                        </w:tc>
                        <w:tc>
                          <w:tcPr>
                            <w:tcW w:w="1153" w:type="dxa"/>
                            <w:tcBorders>
                              <w:top w:val="single" w:sz="4" w:space="0" w:color="000000"/>
                            </w:tcBorders>
                          </w:tcPr>
                          <w:p>
                            <w:pPr>
                              <w:pStyle w:val="TableParagraph"/>
                              <w:rPr>
                                <w:rFonts w:ascii="Times New Roman"/>
                                <w:sz w:val="16"/>
                              </w:rPr>
                            </w:pPr>
                          </w:p>
                        </w:tc>
                      </w:tr>
                      <w:tr>
                        <w:trPr>
                          <w:trHeight w:val="311" w:hRule="atLeast"/>
                        </w:trPr>
                        <w:tc>
                          <w:tcPr>
                            <w:tcW w:w="3458" w:type="dxa"/>
                            <w:shd w:val="clear" w:color="auto" w:fill="EFEFF0"/>
                          </w:tcPr>
                          <w:p>
                            <w:pPr>
                              <w:pStyle w:val="TableParagraph"/>
                              <w:spacing w:before="82"/>
                              <w:ind w:left="56"/>
                              <w:rPr>
                                <w:rFonts w:ascii="TT Norms Pro Light"/>
                                <w:b w:val="0"/>
                                <w:sz w:val="14"/>
                              </w:rPr>
                            </w:pPr>
                            <w:r>
                              <w:rPr>
                                <w:rFonts w:ascii="TT Norms Pro Light"/>
                                <w:b w:val="0"/>
                                <w:sz w:val="14"/>
                              </w:rPr>
                              <w:t>Mueller</w:t>
                            </w:r>
                            <w:r>
                              <w:rPr>
                                <w:rFonts w:ascii="TT Norms Pro Light"/>
                                <w:b w:val="0"/>
                                <w:spacing w:val="12"/>
                                <w:sz w:val="14"/>
                              </w:rPr>
                              <w:t> </w:t>
                            </w:r>
                            <w:r>
                              <w:rPr>
                                <w:rFonts w:ascii="TT Norms Pro Light"/>
                                <w:b w:val="0"/>
                                <w:sz w:val="14"/>
                              </w:rPr>
                              <w:t>Marricks</w:t>
                            </w:r>
                            <w:r>
                              <w:rPr>
                                <w:rFonts w:ascii="TT Norms Pro Light"/>
                                <w:b w:val="0"/>
                                <w:spacing w:val="14"/>
                                <w:sz w:val="14"/>
                              </w:rPr>
                              <w:t> </w:t>
                            </w:r>
                            <w:r>
                              <w:rPr>
                                <w:rFonts w:ascii="TT Norms Pro Light"/>
                                <w:b w:val="0"/>
                                <w:spacing w:val="-5"/>
                                <w:sz w:val="14"/>
                              </w:rPr>
                              <w:t>Pty</w:t>
                            </w:r>
                          </w:p>
                        </w:tc>
                        <w:tc>
                          <w:tcPr>
                            <w:tcW w:w="1153" w:type="dxa"/>
                            <w:shd w:val="clear" w:color="auto" w:fill="EFEFF0"/>
                          </w:tcPr>
                          <w:p>
                            <w:pPr>
                              <w:pStyle w:val="TableParagraph"/>
                              <w:rPr>
                                <w:rFonts w:ascii="Times New Roman"/>
                                <w:sz w:val="16"/>
                              </w:rPr>
                            </w:pPr>
                          </w:p>
                        </w:tc>
                      </w:tr>
                      <w:tr>
                        <w:trPr>
                          <w:trHeight w:val="311" w:hRule="atLeast"/>
                        </w:trPr>
                        <w:tc>
                          <w:tcPr>
                            <w:tcW w:w="3458" w:type="dxa"/>
                          </w:tcPr>
                          <w:p>
                            <w:pPr>
                              <w:pStyle w:val="TableParagraph"/>
                              <w:spacing w:before="82"/>
                              <w:ind w:left="56"/>
                              <w:rPr>
                                <w:rFonts w:ascii="TT Norms Pro Light"/>
                                <w:b w:val="0"/>
                                <w:sz w:val="14"/>
                              </w:rPr>
                            </w:pPr>
                            <w:r>
                              <w:rPr>
                                <w:rFonts w:ascii="TT Norms Pro Light"/>
                                <w:b w:val="0"/>
                                <w:sz w:val="14"/>
                              </w:rPr>
                              <w:t>The</w:t>
                            </w:r>
                            <w:r>
                              <w:rPr>
                                <w:rFonts w:ascii="TT Norms Pro Light"/>
                                <w:b w:val="0"/>
                                <w:spacing w:val="5"/>
                                <w:sz w:val="14"/>
                              </w:rPr>
                              <w:t> </w:t>
                            </w:r>
                            <w:r>
                              <w:rPr>
                                <w:rFonts w:ascii="TT Norms Pro Light"/>
                                <w:b w:val="0"/>
                                <w:sz w:val="14"/>
                              </w:rPr>
                              <w:t>Poster</w:t>
                            </w:r>
                            <w:r>
                              <w:rPr>
                                <w:rFonts w:ascii="TT Norms Pro Light"/>
                                <w:b w:val="0"/>
                                <w:spacing w:val="5"/>
                                <w:sz w:val="14"/>
                              </w:rPr>
                              <w:t> </w:t>
                            </w:r>
                            <w:r>
                              <w:rPr>
                                <w:rFonts w:ascii="TT Norms Pro Light"/>
                                <w:b w:val="0"/>
                                <w:spacing w:val="-2"/>
                                <w:sz w:val="14"/>
                              </w:rPr>
                              <w:t>Girls</w:t>
                            </w:r>
                          </w:p>
                        </w:tc>
                        <w:tc>
                          <w:tcPr>
                            <w:tcW w:w="1153" w:type="dxa"/>
                          </w:tcPr>
                          <w:p>
                            <w:pPr>
                              <w:pStyle w:val="TableParagraph"/>
                              <w:rPr>
                                <w:rFonts w:ascii="Times New Roman"/>
                                <w:sz w:val="16"/>
                              </w:rPr>
                            </w:pPr>
                          </w:p>
                        </w:tc>
                      </w:tr>
                      <w:tr>
                        <w:trPr>
                          <w:trHeight w:val="301" w:hRule="atLeast"/>
                        </w:trPr>
                        <w:tc>
                          <w:tcPr>
                            <w:tcW w:w="3458" w:type="dxa"/>
                            <w:tcBorders>
                              <w:bottom w:val="single" w:sz="8" w:space="0" w:color="000000"/>
                            </w:tcBorders>
                            <w:shd w:val="clear" w:color="auto" w:fill="EFEFF0"/>
                          </w:tcPr>
                          <w:p>
                            <w:pPr>
                              <w:pStyle w:val="TableParagraph"/>
                              <w:spacing w:before="82"/>
                              <w:ind w:left="56"/>
                              <w:rPr>
                                <w:rFonts w:ascii="TT Norms Pro Light"/>
                                <w:b w:val="0"/>
                                <w:sz w:val="14"/>
                              </w:rPr>
                            </w:pPr>
                            <w:r>
                              <w:rPr>
                                <w:rFonts w:ascii="TT Norms Pro Light"/>
                                <w:b w:val="0"/>
                                <w:spacing w:val="-2"/>
                                <w:sz w:val="14"/>
                              </w:rPr>
                              <w:t>WordFly</w:t>
                            </w:r>
                          </w:p>
                        </w:tc>
                        <w:tc>
                          <w:tcPr>
                            <w:tcW w:w="1153" w:type="dxa"/>
                            <w:tcBorders>
                              <w:bottom w:val="single" w:sz="8" w:space="0" w:color="000000"/>
                            </w:tcBorders>
                            <w:shd w:val="clear" w:color="auto" w:fill="EFEFF0"/>
                          </w:tcPr>
                          <w:p>
                            <w:pPr>
                              <w:pStyle w:val="TableParagraph"/>
                              <w:rPr>
                                <w:rFonts w:ascii="Times New Roman"/>
                                <w:sz w:val="16"/>
                              </w:rPr>
                            </w:pPr>
                          </w:p>
                        </w:tc>
                      </w:tr>
                      <w:tr>
                        <w:trPr>
                          <w:trHeight w:val="246" w:hRule="atLeast"/>
                        </w:trPr>
                        <w:tc>
                          <w:tcPr>
                            <w:tcW w:w="3458" w:type="dxa"/>
                            <w:tcBorders>
                              <w:top w:val="single" w:sz="8" w:space="0" w:color="000000"/>
                            </w:tcBorders>
                          </w:tcPr>
                          <w:p>
                            <w:pPr>
                              <w:pStyle w:val="TableParagraph"/>
                              <w:spacing w:line="154" w:lineRule="exact" w:before="72"/>
                              <w:ind w:left="56"/>
                              <w:rPr>
                                <w:rFonts w:ascii="TT Norms Pro"/>
                                <w:b/>
                                <w:sz w:val="14"/>
                              </w:rPr>
                            </w:pPr>
                            <w:r>
                              <w:rPr>
                                <w:rFonts w:ascii="TT Norms Pro"/>
                                <w:b/>
                                <w:sz w:val="14"/>
                              </w:rPr>
                              <w:t>EXPENDITURE</w:t>
                            </w:r>
                            <w:r>
                              <w:rPr>
                                <w:rFonts w:ascii="TT Norms Pro"/>
                                <w:b/>
                                <w:spacing w:val="14"/>
                                <w:sz w:val="14"/>
                              </w:rPr>
                              <w:t> </w:t>
                            </w:r>
                            <w:r>
                              <w:rPr>
                                <w:rFonts w:ascii="TT Norms Pro"/>
                                <w:b/>
                                <w:sz w:val="14"/>
                              </w:rPr>
                              <w:t>WITH</w:t>
                            </w:r>
                            <w:r>
                              <w:rPr>
                                <w:rFonts w:ascii="TT Norms Pro"/>
                                <w:b/>
                                <w:spacing w:val="15"/>
                                <w:sz w:val="14"/>
                              </w:rPr>
                              <w:t> </w:t>
                            </w:r>
                            <w:r>
                              <w:rPr>
                                <w:rFonts w:ascii="TT Norms Pro"/>
                                <w:b/>
                                <w:sz w:val="14"/>
                              </w:rPr>
                              <w:t>MEDIA</w:t>
                            </w:r>
                            <w:r>
                              <w:rPr>
                                <w:rFonts w:ascii="TT Norms Pro"/>
                                <w:b/>
                                <w:spacing w:val="15"/>
                                <w:sz w:val="14"/>
                              </w:rPr>
                              <w:t> </w:t>
                            </w:r>
                            <w:r>
                              <w:rPr>
                                <w:rFonts w:ascii="TT Norms Pro"/>
                                <w:b/>
                                <w:spacing w:val="-2"/>
                                <w:sz w:val="14"/>
                              </w:rPr>
                              <w:t>ADVERTISING</w:t>
                            </w:r>
                          </w:p>
                        </w:tc>
                        <w:tc>
                          <w:tcPr>
                            <w:tcW w:w="1153" w:type="dxa"/>
                            <w:tcBorders>
                              <w:top w:val="single" w:sz="8" w:space="0" w:color="000000"/>
                            </w:tcBorders>
                          </w:tcPr>
                          <w:p>
                            <w:pPr>
                              <w:pStyle w:val="TableParagraph"/>
                              <w:spacing w:line="154" w:lineRule="exact" w:before="72"/>
                              <w:ind w:right="13"/>
                              <w:jc w:val="right"/>
                              <w:rPr>
                                <w:rFonts w:ascii="TT Norms Pro"/>
                                <w:b/>
                                <w:sz w:val="14"/>
                              </w:rPr>
                            </w:pPr>
                            <w:r>
                              <w:rPr>
                                <w:rFonts w:ascii="TT Norms Pro"/>
                                <w:b/>
                                <w:spacing w:val="-2"/>
                                <w:sz w:val="14"/>
                              </w:rPr>
                              <w:t>$2,454,823</w:t>
                            </w:r>
                          </w:p>
                        </w:tc>
                      </w:tr>
                      <w:tr>
                        <w:trPr>
                          <w:trHeight w:val="250" w:hRule="atLeast"/>
                        </w:trPr>
                        <w:tc>
                          <w:tcPr>
                            <w:tcW w:w="3458" w:type="dxa"/>
                            <w:tcBorders>
                              <w:bottom w:val="single" w:sz="4" w:space="0" w:color="000000"/>
                            </w:tcBorders>
                          </w:tcPr>
                          <w:p>
                            <w:pPr>
                              <w:pStyle w:val="TableParagraph"/>
                              <w:spacing w:before="26"/>
                              <w:ind w:left="56"/>
                              <w:rPr>
                                <w:rFonts w:ascii="TT Norms Pro"/>
                                <w:b/>
                                <w:sz w:val="14"/>
                              </w:rPr>
                            </w:pPr>
                            <w:r>
                              <w:rPr>
                                <w:rFonts w:ascii="TT Norms Pro"/>
                                <w:b/>
                                <w:spacing w:val="-2"/>
                                <w:sz w:val="14"/>
                              </w:rPr>
                              <w:t>ORGANISATIONS</w:t>
                            </w:r>
                          </w:p>
                        </w:tc>
                        <w:tc>
                          <w:tcPr>
                            <w:tcW w:w="1153" w:type="dxa"/>
                            <w:tcBorders>
                              <w:bottom w:val="single" w:sz="4" w:space="0" w:color="000000"/>
                            </w:tcBorders>
                          </w:tcPr>
                          <w:p>
                            <w:pPr>
                              <w:pStyle w:val="TableParagraph"/>
                              <w:rPr>
                                <w:rFonts w:ascii="Times New Roman"/>
                                <w:sz w:val="16"/>
                              </w:rPr>
                            </w:pPr>
                          </w:p>
                        </w:tc>
                      </w:tr>
                      <w:tr>
                        <w:trPr>
                          <w:trHeight w:val="315" w:hRule="atLeast"/>
                        </w:trPr>
                        <w:tc>
                          <w:tcPr>
                            <w:tcW w:w="3458" w:type="dxa"/>
                            <w:tcBorders>
                              <w:top w:val="single" w:sz="4" w:space="0" w:color="000000"/>
                            </w:tcBorders>
                            <w:shd w:val="clear" w:color="auto" w:fill="EFEFF0"/>
                          </w:tcPr>
                          <w:p>
                            <w:pPr>
                              <w:pStyle w:val="TableParagraph"/>
                              <w:spacing w:before="82"/>
                              <w:ind w:left="56"/>
                              <w:rPr>
                                <w:rFonts w:ascii="TT Norms Pro Light"/>
                                <w:b w:val="0"/>
                                <w:sz w:val="14"/>
                              </w:rPr>
                            </w:pPr>
                            <w:r>
                              <w:rPr>
                                <w:rFonts w:ascii="TT Norms Pro Light"/>
                                <w:b w:val="0"/>
                                <w:sz w:val="14"/>
                              </w:rPr>
                              <w:t>Albany</w:t>
                            </w:r>
                            <w:r>
                              <w:rPr>
                                <w:rFonts w:ascii="TT Norms Pro Light"/>
                                <w:b w:val="0"/>
                                <w:spacing w:val="7"/>
                                <w:sz w:val="14"/>
                              </w:rPr>
                              <w:t> </w:t>
                            </w:r>
                            <w:r>
                              <w:rPr>
                                <w:rFonts w:ascii="TT Norms Pro Light"/>
                                <w:b w:val="0"/>
                                <w:sz w:val="14"/>
                              </w:rPr>
                              <w:t>and</w:t>
                            </w:r>
                            <w:r>
                              <w:rPr>
                                <w:rFonts w:ascii="TT Norms Pro Light"/>
                                <w:b w:val="0"/>
                                <w:spacing w:val="8"/>
                                <w:sz w:val="14"/>
                              </w:rPr>
                              <w:t> </w:t>
                            </w:r>
                            <w:r>
                              <w:rPr>
                                <w:rFonts w:ascii="TT Norms Pro Light"/>
                                <w:b w:val="0"/>
                                <w:sz w:val="14"/>
                              </w:rPr>
                              <w:t>Great</w:t>
                            </w:r>
                            <w:r>
                              <w:rPr>
                                <w:rFonts w:ascii="TT Norms Pro Light"/>
                                <w:b w:val="0"/>
                                <w:spacing w:val="8"/>
                                <w:sz w:val="14"/>
                              </w:rPr>
                              <w:t> </w:t>
                            </w:r>
                            <w:r>
                              <w:rPr>
                                <w:rFonts w:ascii="TT Norms Pro Light"/>
                                <w:b w:val="0"/>
                                <w:sz w:val="14"/>
                              </w:rPr>
                              <w:t>Southern</w:t>
                            </w:r>
                            <w:r>
                              <w:rPr>
                                <w:rFonts w:ascii="TT Norms Pro Light"/>
                                <w:b w:val="0"/>
                                <w:spacing w:val="8"/>
                                <w:sz w:val="14"/>
                              </w:rPr>
                              <w:t> </w:t>
                            </w:r>
                            <w:r>
                              <w:rPr>
                                <w:rFonts w:ascii="TT Norms Pro Light"/>
                                <w:b w:val="0"/>
                                <w:spacing w:val="-2"/>
                                <w:sz w:val="14"/>
                              </w:rPr>
                              <w:t>Weekender</w:t>
                            </w:r>
                          </w:p>
                        </w:tc>
                        <w:tc>
                          <w:tcPr>
                            <w:tcW w:w="1153" w:type="dxa"/>
                            <w:tcBorders>
                              <w:top w:val="single" w:sz="4" w:space="0" w:color="000000"/>
                            </w:tcBorders>
                            <w:shd w:val="clear" w:color="auto" w:fill="EFEFF0"/>
                          </w:tcPr>
                          <w:p>
                            <w:pPr>
                              <w:pStyle w:val="TableParagraph"/>
                              <w:rPr>
                                <w:rFonts w:ascii="Times New Roman"/>
                                <w:sz w:val="16"/>
                              </w:rPr>
                            </w:pPr>
                          </w:p>
                        </w:tc>
                      </w:tr>
                      <w:tr>
                        <w:trPr>
                          <w:trHeight w:val="311" w:hRule="atLeast"/>
                        </w:trPr>
                        <w:tc>
                          <w:tcPr>
                            <w:tcW w:w="3458" w:type="dxa"/>
                          </w:tcPr>
                          <w:p>
                            <w:pPr>
                              <w:pStyle w:val="TableParagraph"/>
                              <w:spacing w:before="82"/>
                              <w:ind w:left="56"/>
                              <w:rPr>
                                <w:rFonts w:ascii="TT Norms Pro Light"/>
                                <w:b w:val="0"/>
                                <w:sz w:val="14"/>
                              </w:rPr>
                            </w:pPr>
                            <w:r>
                              <w:rPr>
                                <w:rFonts w:ascii="TT Norms Pro Light"/>
                                <w:b w:val="0"/>
                                <w:sz w:val="14"/>
                              </w:rPr>
                              <w:t>Arts</w:t>
                            </w:r>
                            <w:r>
                              <w:rPr>
                                <w:rFonts w:ascii="TT Norms Pro Light"/>
                                <w:b w:val="0"/>
                                <w:spacing w:val="3"/>
                                <w:sz w:val="14"/>
                              </w:rPr>
                              <w:t> </w:t>
                            </w:r>
                            <w:r>
                              <w:rPr>
                                <w:rFonts w:ascii="TT Norms Pro Light"/>
                                <w:b w:val="0"/>
                                <w:sz w:val="14"/>
                              </w:rPr>
                              <w:t>Radio</w:t>
                            </w:r>
                            <w:r>
                              <w:rPr>
                                <w:rFonts w:ascii="TT Norms Pro Light"/>
                                <w:b w:val="0"/>
                                <w:spacing w:val="4"/>
                                <w:sz w:val="14"/>
                              </w:rPr>
                              <w:t> </w:t>
                            </w:r>
                            <w:r>
                              <w:rPr>
                                <w:rFonts w:ascii="TT Norms Pro Light"/>
                                <w:b w:val="0"/>
                                <w:sz w:val="14"/>
                              </w:rPr>
                              <w:t>Ltd</w:t>
                            </w:r>
                            <w:r>
                              <w:rPr>
                                <w:rFonts w:ascii="TT Norms Pro Light"/>
                                <w:b w:val="0"/>
                                <w:spacing w:val="3"/>
                                <w:sz w:val="14"/>
                              </w:rPr>
                              <w:t> </w:t>
                            </w:r>
                            <w:r>
                              <w:rPr>
                                <w:rFonts w:ascii="TT Norms Pro Light"/>
                                <w:b w:val="0"/>
                                <w:sz w:val="14"/>
                              </w:rPr>
                              <w:t>-</w:t>
                            </w:r>
                            <w:r>
                              <w:rPr>
                                <w:rFonts w:ascii="TT Norms Pro Light"/>
                                <w:b w:val="0"/>
                                <w:spacing w:val="4"/>
                                <w:sz w:val="14"/>
                              </w:rPr>
                              <w:t> </w:t>
                            </w:r>
                            <w:r>
                              <w:rPr>
                                <w:rFonts w:ascii="TT Norms Pro Light"/>
                                <w:b w:val="0"/>
                                <w:sz w:val="14"/>
                              </w:rPr>
                              <w:t>Rtr</w:t>
                            </w:r>
                            <w:r>
                              <w:rPr>
                                <w:rFonts w:ascii="TT Norms Pro Light"/>
                                <w:b w:val="0"/>
                                <w:spacing w:val="3"/>
                                <w:sz w:val="14"/>
                              </w:rPr>
                              <w:t> </w:t>
                            </w:r>
                            <w:r>
                              <w:rPr>
                                <w:rFonts w:ascii="TT Norms Pro Light"/>
                                <w:b w:val="0"/>
                                <w:sz w:val="14"/>
                              </w:rPr>
                              <w:t>Fm</w:t>
                            </w:r>
                            <w:r>
                              <w:rPr>
                                <w:rFonts w:ascii="TT Norms Pro Light"/>
                                <w:b w:val="0"/>
                                <w:spacing w:val="4"/>
                                <w:sz w:val="14"/>
                              </w:rPr>
                              <w:t> </w:t>
                            </w:r>
                            <w:r>
                              <w:rPr>
                                <w:rFonts w:ascii="TT Norms Pro Light"/>
                                <w:b w:val="0"/>
                                <w:spacing w:val="-4"/>
                                <w:sz w:val="14"/>
                              </w:rPr>
                              <w:t>92.1</w:t>
                            </w:r>
                          </w:p>
                        </w:tc>
                        <w:tc>
                          <w:tcPr>
                            <w:tcW w:w="1153" w:type="dxa"/>
                          </w:tcPr>
                          <w:p>
                            <w:pPr>
                              <w:pStyle w:val="TableParagraph"/>
                              <w:rPr>
                                <w:rFonts w:ascii="Times New Roman"/>
                                <w:sz w:val="16"/>
                              </w:rPr>
                            </w:pPr>
                          </w:p>
                        </w:tc>
                      </w:tr>
                      <w:tr>
                        <w:trPr>
                          <w:trHeight w:val="311" w:hRule="atLeast"/>
                        </w:trPr>
                        <w:tc>
                          <w:tcPr>
                            <w:tcW w:w="3458" w:type="dxa"/>
                            <w:shd w:val="clear" w:color="auto" w:fill="EFEFF0"/>
                          </w:tcPr>
                          <w:p>
                            <w:pPr>
                              <w:pStyle w:val="TableParagraph"/>
                              <w:spacing w:before="82"/>
                              <w:ind w:left="56"/>
                              <w:rPr>
                                <w:rFonts w:ascii="TT Norms Pro Light"/>
                                <w:b w:val="0"/>
                                <w:sz w:val="14"/>
                              </w:rPr>
                            </w:pPr>
                            <w:r>
                              <w:rPr>
                                <w:rFonts w:ascii="TT Norms Pro Light"/>
                                <w:b w:val="0"/>
                                <w:sz w:val="14"/>
                              </w:rPr>
                              <w:t>Business</w:t>
                            </w:r>
                            <w:r>
                              <w:rPr>
                                <w:rFonts w:ascii="TT Norms Pro Light"/>
                                <w:b w:val="0"/>
                                <w:spacing w:val="9"/>
                                <w:sz w:val="14"/>
                              </w:rPr>
                              <w:t> </w:t>
                            </w:r>
                            <w:r>
                              <w:rPr>
                                <w:rFonts w:ascii="TT Norms Pro Light"/>
                                <w:b w:val="0"/>
                                <w:sz w:val="14"/>
                              </w:rPr>
                              <w:t>News</w:t>
                            </w:r>
                            <w:r>
                              <w:rPr>
                                <w:rFonts w:ascii="TT Norms Pro Light"/>
                                <w:b w:val="0"/>
                                <w:spacing w:val="9"/>
                                <w:sz w:val="14"/>
                              </w:rPr>
                              <w:t> </w:t>
                            </w:r>
                            <w:r>
                              <w:rPr>
                                <w:rFonts w:ascii="TT Norms Pro Light"/>
                                <w:b w:val="0"/>
                                <w:sz w:val="14"/>
                              </w:rPr>
                              <w:t>Pty</w:t>
                            </w:r>
                            <w:r>
                              <w:rPr>
                                <w:rFonts w:ascii="TT Norms Pro Light"/>
                                <w:b w:val="0"/>
                                <w:spacing w:val="9"/>
                                <w:sz w:val="14"/>
                              </w:rPr>
                              <w:t> </w:t>
                            </w:r>
                            <w:r>
                              <w:rPr>
                                <w:rFonts w:ascii="TT Norms Pro Light"/>
                                <w:b w:val="0"/>
                                <w:spacing w:val="-5"/>
                                <w:sz w:val="14"/>
                              </w:rPr>
                              <w:t>Ltd</w:t>
                            </w:r>
                          </w:p>
                        </w:tc>
                        <w:tc>
                          <w:tcPr>
                            <w:tcW w:w="1153" w:type="dxa"/>
                            <w:shd w:val="clear" w:color="auto" w:fill="EFEFF0"/>
                          </w:tcPr>
                          <w:p>
                            <w:pPr>
                              <w:pStyle w:val="TableParagraph"/>
                              <w:rPr>
                                <w:rFonts w:ascii="Times New Roman"/>
                                <w:sz w:val="16"/>
                              </w:rPr>
                            </w:pPr>
                          </w:p>
                        </w:tc>
                      </w:tr>
                      <w:tr>
                        <w:trPr>
                          <w:trHeight w:val="311" w:hRule="atLeast"/>
                        </w:trPr>
                        <w:tc>
                          <w:tcPr>
                            <w:tcW w:w="3458" w:type="dxa"/>
                          </w:tcPr>
                          <w:p>
                            <w:pPr>
                              <w:pStyle w:val="TableParagraph"/>
                              <w:spacing w:before="82"/>
                              <w:ind w:left="56"/>
                              <w:rPr>
                                <w:rFonts w:ascii="TT Norms Pro Light"/>
                                <w:b w:val="0"/>
                                <w:sz w:val="14"/>
                              </w:rPr>
                            </w:pPr>
                            <w:r>
                              <w:rPr>
                                <w:rFonts w:ascii="TT Norms Pro Light"/>
                                <w:b w:val="0"/>
                                <w:sz w:val="14"/>
                              </w:rPr>
                              <w:t>Carat</w:t>
                            </w:r>
                            <w:r>
                              <w:rPr>
                                <w:rFonts w:ascii="TT Norms Pro Light"/>
                                <w:b w:val="0"/>
                                <w:spacing w:val="11"/>
                                <w:sz w:val="14"/>
                              </w:rPr>
                              <w:t> </w:t>
                            </w:r>
                            <w:r>
                              <w:rPr>
                                <w:rFonts w:ascii="TT Norms Pro Light"/>
                                <w:b w:val="0"/>
                                <w:sz w:val="14"/>
                              </w:rPr>
                              <w:t>Australia</w:t>
                            </w:r>
                            <w:r>
                              <w:rPr>
                                <w:rFonts w:ascii="TT Norms Pro Light"/>
                                <w:b w:val="0"/>
                                <w:spacing w:val="11"/>
                                <w:sz w:val="14"/>
                              </w:rPr>
                              <w:t> </w:t>
                            </w:r>
                            <w:r>
                              <w:rPr>
                                <w:rFonts w:ascii="TT Norms Pro Light"/>
                                <w:b w:val="0"/>
                                <w:sz w:val="14"/>
                              </w:rPr>
                              <w:t>Media</w:t>
                            </w:r>
                            <w:r>
                              <w:rPr>
                                <w:rFonts w:ascii="TT Norms Pro Light"/>
                                <w:b w:val="0"/>
                                <w:spacing w:val="11"/>
                                <w:sz w:val="14"/>
                              </w:rPr>
                              <w:t> </w:t>
                            </w:r>
                            <w:r>
                              <w:rPr>
                                <w:rFonts w:ascii="TT Norms Pro Light"/>
                                <w:b w:val="0"/>
                                <w:sz w:val="14"/>
                              </w:rPr>
                              <w:t>Services</w:t>
                            </w:r>
                            <w:r>
                              <w:rPr>
                                <w:rFonts w:ascii="TT Norms Pro Light"/>
                                <w:b w:val="0"/>
                                <w:spacing w:val="11"/>
                                <w:sz w:val="14"/>
                              </w:rPr>
                              <w:t> </w:t>
                            </w:r>
                            <w:r>
                              <w:rPr>
                                <w:rFonts w:ascii="TT Norms Pro Light"/>
                                <w:b w:val="0"/>
                                <w:sz w:val="14"/>
                              </w:rPr>
                              <w:t>Pty</w:t>
                            </w:r>
                            <w:r>
                              <w:rPr>
                                <w:rFonts w:ascii="TT Norms Pro Light"/>
                                <w:b w:val="0"/>
                                <w:spacing w:val="11"/>
                                <w:sz w:val="14"/>
                              </w:rPr>
                              <w:t> </w:t>
                            </w:r>
                            <w:r>
                              <w:rPr>
                                <w:rFonts w:ascii="TT Norms Pro Light"/>
                                <w:b w:val="0"/>
                                <w:spacing w:val="-5"/>
                                <w:sz w:val="14"/>
                              </w:rPr>
                              <w:t>Ltd</w:t>
                            </w:r>
                          </w:p>
                        </w:tc>
                        <w:tc>
                          <w:tcPr>
                            <w:tcW w:w="1153" w:type="dxa"/>
                          </w:tcPr>
                          <w:p>
                            <w:pPr>
                              <w:pStyle w:val="TableParagraph"/>
                              <w:rPr>
                                <w:rFonts w:ascii="Times New Roman"/>
                                <w:sz w:val="16"/>
                              </w:rPr>
                            </w:pPr>
                          </w:p>
                        </w:tc>
                      </w:tr>
                      <w:tr>
                        <w:trPr>
                          <w:trHeight w:val="311" w:hRule="atLeast"/>
                        </w:trPr>
                        <w:tc>
                          <w:tcPr>
                            <w:tcW w:w="3458" w:type="dxa"/>
                            <w:shd w:val="clear" w:color="auto" w:fill="EFEFF0"/>
                          </w:tcPr>
                          <w:p>
                            <w:pPr>
                              <w:pStyle w:val="TableParagraph"/>
                              <w:spacing w:before="82"/>
                              <w:ind w:left="56"/>
                              <w:rPr>
                                <w:rFonts w:ascii="TT Norms Pro Light"/>
                                <w:b w:val="0"/>
                                <w:sz w:val="14"/>
                              </w:rPr>
                            </w:pPr>
                            <w:r>
                              <w:rPr>
                                <w:rFonts w:ascii="TT Norms Pro Light"/>
                                <w:b w:val="0"/>
                                <w:sz w:val="14"/>
                              </w:rPr>
                              <w:t>Community</w:t>
                            </w:r>
                            <w:r>
                              <w:rPr>
                                <w:rFonts w:ascii="TT Norms Pro Light"/>
                                <w:b w:val="0"/>
                                <w:spacing w:val="17"/>
                                <w:sz w:val="14"/>
                              </w:rPr>
                              <w:t> </w:t>
                            </w:r>
                            <w:r>
                              <w:rPr>
                                <w:rFonts w:ascii="TT Norms Pro Light"/>
                                <w:b w:val="0"/>
                                <w:sz w:val="14"/>
                              </w:rPr>
                              <w:t>Newspaper</w:t>
                            </w:r>
                            <w:r>
                              <w:rPr>
                                <w:rFonts w:ascii="TT Norms Pro Light"/>
                                <w:b w:val="0"/>
                                <w:spacing w:val="17"/>
                                <w:sz w:val="14"/>
                              </w:rPr>
                              <w:t> </w:t>
                            </w:r>
                            <w:r>
                              <w:rPr>
                                <w:rFonts w:ascii="TT Norms Pro Light"/>
                                <w:b w:val="0"/>
                                <w:spacing w:val="-4"/>
                                <w:sz w:val="14"/>
                              </w:rPr>
                              <w:t>Group</w:t>
                            </w:r>
                          </w:p>
                        </w:tc>
                        <w:tc>
                          <w:tcPr>
                            <w:tcW w:w="1153" w:type="dxa"/>
                            <w:shd w:val="clear" w:color="auto" w:fill="EFEFF0"/>
                          </w:tcPr>
                          <w:p>
                            <w:pPr>
                              <w:pStyle w:val="TableParagraph"/>
                              <w:rPr>
                                <w:rFonts w:ascii="Times New Roman"/>
                                <w:sz w:val="16"/>
                              </w:rPr>
                            </w:pPr>
                          </w:p>
                        </w:tc>
                      </w:tr>
                      <w:tr>
                        <w:trPr>
                          <w:trHeight w:val="311" w:hRule="atLeast"/>
                        </w:trPr>
                        <w:tc>
                          <w:tcPr>
                            <w:tcW w:w="3458" w:type="dxa"/>
                          </w:tcPr>
                          <w:p>
                            <w:pPr>
                              <w:pStyle w:val="TableParagraph"/>
                              <w:spacing w:before="82"/>
                              <w:ind w:left="56"/>
                              <w:rPr>
                                <w:rFonts w:ascii="TT Norms Pro Light"/>
                                <w:b w:val="0"/>
                                <w:sz w:val="14"/>
                              </w:rPr>
                            </w:pPr>
                            <w:r>
                              <w:rPr>
                                <w:rFonts w:ascii="TT Norms Pro Light"/>
                                <w:b w:val="0"/>
                                <w:sz w:val="14"/>
                              </w:rPr>
                              <w:t>Jcdecaux</w:t>
                            </w:r>
                            <w:r>
                              <w:rPr>
                                <w:rFonts w:ascii="TT Norms Pro Light"/>
                                <w:b w:val="0"/>
                                <w:spacing w:val="14"/>
                                <w:sz w:val="14"/>
                              </w:rPr>
                              <w:t> </w:t>
                            </w:r>
                            <w:r>
                              <w:rPr>
                                <w:rFonts w:ascii="TT Norms Pro Light"/>
                                <w:b w:val="0"/>
                                <w:sz w:val="14"/>
                              </w:rPr>
                              <w:t>Australia</w:t>
                            </w:r>
                            <w:r>
                              <w:rPr>
                                <w:rFonts w:ascii="TT Norms Pro Light"/>
                                <w:b w:val="0"/>
                                <w:spacing w:val="15"/>
                                <w:sz w:val="14"/>
                              </w:rPr>
                              <w:t> </w:t>
                            </w:r>
                            <w:r>
                              <w:rPr>
                                <w:rFonts w:ascii="TT Norms Pro Light"/>
                                <w:b w:val="0"/>
                                <w:spacing w:val="-2"/>
                                <w:sz w:val="14"/>
                              </w:rPr>
                              <w:t>Trading</w:t>
                            </w:r>
                          </w:p>
                        </w:tc>
                        <w:tc>
                          <w:tcPr>
                            <w:tcW w:w="1153" w:type="dxa"/>
                          </w:tcPr>
                          <w:p>
                            <w:pPr>
                              <w:pStyle w:val="TableParagraph"/>
                              <w:rPr>
                                <w:rFonts w:ascii="Times New Roman"/>
                                <w:sz w:val="16"/>
                              </w:rPr>
                            </w:pPr>
                          </w:p>
                        </w:tc>
                      </w:tr>
                      <w:tr>
                        <w:trPr>
                          <w:trHeight w:val="311" w:hRule="atLeast"/>
                        </w:trPr>
                        <w:tc>
                          <w:tcPr>
                            <w:tcW w:w="3458" w:type="dxa"/>
                            <w:shd w:val="clear" w:color="auto" w:fill="EFEFF0"/>
                          </w:tcPr>
                          <w:p>
                            <w:pPr>
                              <w:pStyle w:val="TableParagraph"/>
                              <w:spacing w:before="82"/>
                              <w:ind w:left="56"/>
                              <w:rPr>
                                <w:rFonts w:ascii="TT Norms Pro Light"/>
                                <w:b w:val="0"/>
                                <w:sz w:val="14"/>
                              </w:rPr>
                            </w:pPr>
                            <w:r>
                              <w:rPr>
                                <w:rFonts w:ascii="TT Norms Pro Light"/>
                                <w:b w:val="0"/>
                                <w:sz w:val="14"/>
                              </w:rPr>
                              <w:t>Lomax</w:t>
                            </w:r>
                            <w:r>
                              <w:rPr>
                                <w:rFonts w:ascii="TT Norms Pro Light"/>
                                <w:b w:val="0"/>
                                <w:spacing w:val="7"/>
                                <w:sz w:val="14"/>
                              </w:rPr>
                              <w:t> </w:t>
                            </w:r>
                            <w:r>
                              <w:rPr>
                                <w:rFonts w:ascii="TT Norms Pro Light"/>
                                <w:b w:val="0"/>
                                <w:spacing w:val="-2"/>
                                <w:sz w:val="14"/>
                              </w:rPr>
                              <w:t>Media</w:t>
                            </w:r>
                          </w:p>
                        </w:tc>
                        <w:tc>
                          <w:tcPr>
                            <w:tcW w:w="1153" w:type="dxa"/>
                            <w:shd w:val="clear" w:color="auto" w:fill="EFEFF0"/>
                          </w:tcPr>
                          <w:p>
                            <w:pPr>
                              <w:pStyle w:val="TableParagraph"/>
                              <w:rPr>
                                <w:rFonts w:ascii="Times New Roman"/>
                                <w:sz w:val="16"/>
                              </w:rPr>
                            </w:pPr>
                          </w:p>
                        </w:tc>
                      </w:tr>
                      <w:tr>
                        <w:trPr>
                          <w:trHeight w:val="311" w:hRule="atLeast"/>
                        </w:trPr>
                        <w:tc>
                          <w:tcPr>
                            <w:tcW w:w="3458" w:type="dxa"/>
                          </w:tcPr>
                          <w:p>
                            <w:pPr>
                              <w:pStyle w:val="TableParagraph"/>
                              <w:spacing w:before="82"/>
                              <w:ind w:left="56"/>
                              <w:rPr>
                                <w:rFonts w:ascii="TT Norms Pro Light"/>
                                <w:b w:val="0"/>
                                <w:sz w:val="14"/>
                              </w:rPr>
                            </w:pPr>
                            <w:r>
                              <w:rPr>
                                <w:rFonts w:ascii="TT Norms Pro Light"/>
                                <w:b w:val="0"/>
                                <w:sz w:val="14"/>
                              </w:rPr>
                              <w:t>Seven</w:t>
                            </w:r>
                            <w:r>
                              <w:rPr>
                                <w:rFonts w:ascii="TT Norms Pro Light"/>
                                <w:b w:val="0"/>
                                <w:spacing w:val="8"/>
                                <w:sz w:val="14"/>
                              </w:rPr>
                              <w:t> </w:t>
                            </w:r>
                            <w:r>
                              <w:rPr>
                                <w:rFonts w:ascii="TT Norms Pro Light"/>
                                <w:b w:val="0"/>
                                <w:sz w:val="14"/>
                              </w:rPr>
                              <w:t>Network</w:t>
                            </w:r>
                            <w:r>
                              <w:rPr>
                                <w:rFonts w:ascii="TT Norms Pro Light"/>
                                <w:b w:val="0"/>
                                <w:spacing w:val="8"/>
                                <w:sz w:val="14"/>
                              </w:rPr>
                              <w:t> </w:t>
                            </w:r>
                            <w:r>
                              <w:rPr>
                                <w:rFonts w:ascii="TT Norms Pro Light"/>
                                <w:b w:val="0"/>
                                <w:sz w:val="14"/>
                              </w:rPr>
                              <w:t>(Operations)</w:t>
                            </w:r>
                            <w:r>
                              <w:rPr>
                                <w:rFonts w:ascii="TT Norms Pro Light"/>
                                <w:b w:val="0"/>
                                <w:spacing w:val="9"/>
                                <w:sz w:val="14"/>
                              </w:rPr>
                              <w:t> </w:t>
                            </w:r>
                            <w:r>
                              <w:rPr>
                                <w:rFonts w:ascii="TT Norms Pro Light"/>
                                <w:b w:val="0"/>
                                <w:spacing w:val="-2"/>
                                <w:sz w:val="14"/>
                              </w:rPr>
                              <w:t>Limited</w:t>
                            </w:r>
                          </w:p>
                        </w:tc>
                        <w:tc>
                          <w:tcPr>
                            <w:tcW w:w="1153" w:type="dxa"/>
                          </w:tcPr>
                          <w:p>
                            <w:pPr>
                              <w:pStyle w:val="TableParagraph"/>
                              <w:rPr>
                                <w:rFonts w:ascii="Times New Roman"/>
                                <w:sz w:val="16"/>
                              </w:rPr>
                            </w:pPr>
                          </w:p>
                        </w:tc>
                      </w:tr>
                      <w:tr>
                        <w:trPr>
                          <w:trHeight w:val="311" w:hRule="atLeast"/>
                        </w:trPr>
                        <w:tc>
                          <w:tcPr>
                            <w:tcW w:w="3458" w:type="dxa"/>
                            <w:shd w:val="clear" w:color="auto" w:fill="EFEFF0"/>
                          </w:tcPr>
                          <w:p>
                            <w:pPr>
                              <w:pStyle w:val="TableParagraph"/>
                              <w:spacing w:before="82"/>
                              <w:ind w:left="56"/>
                              <w:rPr>
                                <w:rFonts w:ascii="TT Norms Pro Light"/>
                                <w:b w:val="0"/>
                                <w:sz w:val="14"/>
                              </w:rPr>
                            </w:pPr>
                            <w:r>
                              <w:rPr>
                                <w:rFonts w:ascii="TT Norms Pro Light"/>
                                <w:b w:val="0"/>
                                <w:sz w:val="14"/>
                              </w:rPr>
                              <w:t>Southern</w:t>
                            </w:r>
                            <w:r>
                              <w:rPr>
                                <w:rFonts w:ascii="TT Norms Pro Light"/>
                                <w:b w:val="0"/>
                                <w:spacing w:val="9"/>
                                <w:sz w:val="14"/>
                              </w:rPr>
                              <w:t> </w:t>
                            </w:r>
                            <w:r>
                              <w:rPr>
                                <w:rFonts w:ascii="TT Norms Pro Light"/>
                                <w:b w:val="0"/>
                                <w:sz w:val="14"/>
                              </w:rPr>
                              <w:t>Cross</w:t>
                            </w:r>
                            <w:r>
                              <w:rPr>
                                <w:rFonts w:ascii="TT Norms Pro Light"/>
                                <w:b w:val="0"/>
                                <w:spacing w:val="10"/>
                                <w:sz w:val="14"/>
                              </w:rPr>
                              <w:t> </w:t>
                            </w:r>
                            <w:r>
                              <w:rPr>
                                <w:rFonts w:ascii="TT Norms Pro Light"/>
                                <w:b w:val="0"/>
                                <w:sz w:val="14"/>
                              </w:rPr>
                              <w:t>Austereo</w:t>
                            </w:r>
                            <w:r>
                              <w:rPr>
                                <w:rFonts w:ascii="TT Norms Pro Light"/>
                                <w:b w:val="0"/>
                                <w:spacing w:val="9"/>
                                <w:sz w:val="14"/>
                              </w:rPr>
                              <w:t> </w:t>
                            </w:r>
                            <w:r>
                              <w:rPr>
                                <w:rFonts w:ascii="TT Norms Pro Light"/>
                                <w:b w:val="0"/>
                                <w:sz w:val="14"/>
                              </w:rPr>
                              <w:t>Pty</w:t>
                            </w:r>
                            <w:r>
                              <w:rPr>
                                <w:rFonts w:ascii="TT Norms Pro Light"/>
                                <w:b w:val="0"/>
                                <w:spacing w:val="10"/>
                                <w:sz w:val="14"/>
                              </w:rPr>
                              <w:t> </w:t>
                            </w:r>
                            <w:r>
                              <w:rPr>
                                <w:rFonts w:ascii="TT Norms Pro Light"/>
                                <w:b w:val="0"/>
                                <w:spacing w:val="-5"/>
                                <w:sz w:val="14"/>
                              </w:rPr>
                              <w:t>Ltd</w:t>
                            </w:r>
                          </w:p>
                        </w:tc>
                        <w:tc>
                          <w:tcPr>
                            <w:tcW w:w="1153" w:type="dxa"/>
                            <w:shd w:val="clear" w:color="auto" w:fill="EFEFF0"/>
                          </w:tcPr>
                          <w:p>
                            <w:pPr>
                              <w:pStyle w:val="TableParagraph"/>
                              <w:rPr>
                                <w:rFonts w:ascii="Times New Roman"/>
                                <w:sz w:val="16"/>
                              </w:rPr>
                            </w:pPr>
                          </w:p>
                        </w:tc>
                      </w:tr>
                      <w:tr>
                        <w:trPr>
                          <w:trHeight w:val="311" w:hRule="atLeast"/>
                        </w:trPr>
                        <w:tc>
                          <w:tcPr>
                            <w:tcW w:w="3458" w:type="dxa"/>
                          </w:tcPr>
                          <w:p>
                            <w:pPr>
                              <w:pStyle w:val="TableParagraph"/>
                              <w:spacing w:before="82"/>
                              <w:ind w:left="56"/>
                              <w:rPr>
                                <w:rFonts w:ascii="TT Norms Pro Light"/>
                                <w:b w:val="0"/>
                                <w:sz w:val="14"/>
                              </w:rPr>
                            </w:pPr>
                            <w:r>
                              <w:rPr>
                                <w:rFonts w:ascii="TT Norms Pro Light"/>
                                <w:b w:val="0"/>
                                <w:sz w:val="14"/>
                              </w:rPr>
                              <w:t>The</w:t>
                            </w:r>
                            <w:r>
                              <w:rPr>
                                <w:rFonts w:ascii="TT Norms Pro Light"/>
                                <w:b w:val="0"/>
                                <w:spacing w:val="4"/>
                                <w:sz w:val="14"/>
                              </w:rPr>
                              <w:t> </w:t>
                            </w:r>
                            <w:r>
                              <w:rPr>
                                <w:rFonts w:ascii="TT Norms Pro Light"/>
                                <w:b w:val="0"/>
                                <w:sz w:val="14"/>
                              </w:rPr>
                              <w:t>Big</w:t>
                            </w:r>
                            <w:r>
                              <w:rPr>
                                <w:rFonts w:ascii="TT Norms Pro Light"/>
                                <w:b w:val="0"/>
                                <w:spacing w:val="5"/>
                                <w:sz w:val="14"/>
                              </w:rPr>
                              <w:t> </w:t>
                            </w:r>
                            <w:r>
                              <w:rPr>
                                <w:rFonts w:ascii="TT Norms Pro Light"/>
                                <w:b w:val="0"/>
                                <w:spacing w:val="-2"/>
                                <w:sz w:val="14"/>
                              </w:rPr>
                              <w:t>Issue</w:t>
                            </w:r>
                          </w:p>
                        </w:tc>
                        <w:tc>
                          <w:tcPr>
                            <w:tcW w:w="1153" w:type="dxa"/>
                          </w:tcPr>
                          <w:p>
                            <w:pPr>
                              <w:pStyle w:val="TableParagraph"/>
                              <w:rPr>
                                <w:rFonts w:ascii="Times New Roman"/>
                                <w:sz w:val="16"/>
                              </w:rPr>
                            </w:pPr>
                          </w:p>
                        </w:tc>
                      </w:tr>
                      <w:tr>
                        <w:trPr>
                          <w:trHeight w:val="311" w:hRule="atLeast"/>
                        </w:trPr>
                        <w:tc>
                          <w:tcPr>
                            <w:tcW w:w="3458" w:type="dxa"/>
                            <w:shd w:val="clear" w:color="auto" w:fill="EFEFF0"/>
                          </w:tcPr>
                          <w:p>
                            <w:pPr>
                              <w:pStyle w:val="TableParagraph"/>
                              <w:spacing w:before="82"/>
                              <w:ind w:left="56"/>
                              <w:rPr>
                                <w:rFonts w:ascii="TT Norms Pro Light"/>
                                <w:b w:val="0"/>
                                <w:sz w:val="14"/>
                              </w:rPr>
                            </w:pPr>
                            <w:r>
                              <w:rPr>
                                <w:rFonts w:ascii="TT Norms Pro Light"/>
                                <w:b w:val="0"/>
                                <w:sz w:val="14"/>
                              </w:rPr>
                              <w:t>Tv18</w:t>
                            </w:r>
                            <w:r>
                              <w:rPr>
                                <w:rFonts w:ascii="TT Norms Pro Light"/>
                                <w:b w:val="0"/>
                                <w:spacing w:val="7"/>
                                <w:sz w:val="14"/>
                              </w:rPr>
                              <w:t> </w:t>
                            </w:r>
                            <w:r>
                              <w:rPr>
                                <w:rFonts w:ascii="TT Norms Pro Light"/>
                                <w:b w:val="0"/>
                                <w:sz w:val="14"/>
                              </w:rPr>
                              <w:t>Broadcast</w:t>
                            </w:r>
                            <w:r>
                              <w:rPr>
                                <w:rFonts w:ascii="TT Norms Pro Light"/>
                                <w:b w:val="0"/>
                                <w:spacing w:val="8"/>
                                <w:sz w:val="14"/>
                              </w:rPr>
                              <w:t> </w:t>
                            </w:r>
                            <w:r>
                              <w:rPr>
                                <w:rFonts w:ascii="TT Norms Pro Light"/>
                                <w:b w:val="0"/>
                                <w:spacing w:val="-2"/>
                                <w:sz w:val="14"/>
                              </w:rPr>
                              <w:t>Limited</w:t>
                            </w:r>
                          </w:p>
                        </w:tc>
                        <w:tc>
                          <w:tcPr>
                            <w:tcW w:w="1153" w:type="dxa"/>
                            <w:shd w:val="clear" w:color="auto" w:fill="EFEFF0"/>
                          </w:tcPr>
                          <w:p>
                            <w:pPr>
                              <w:pStyle w:val="TableParagraph"/>
                              <w:rPr>
                                <w:rFonts w:ascii="Times New Roman"/>
                                <w:sz w:val="16"/>
                              </w:rPr>
                            </w:pPr>
                          </w:p>
                        </w:tc>
                      </w:tr>
                      <w:tr>
                        <w:trPr>
                          <w:trHeight w:val="311" w:hRule="atLeast"/>
                        </w:trPr>
                        <w:tc>
                          <w:tcPr>
                            <w:tcW w:w="3458" w:type="dxa"/>
                          </w:tcPr>
                          <w:p>
                            <w:pPr>
                              <w:pStyle w:val="TableParagraph"/>
                              <w:spacing w:before="82"/>
                              <w:ind w:left="56"/>
                              <w:rPr>
                                <w:rFonts w:ascii="TT Norms Pro Light"/>
                                <w:b w:val="0"/>
                                <w:sz w:val="14"/>
                              </w:rPr>
                            </w:pPr>
                            <w:r>
                              <w:rPr>
                                <w:rFonts w:ascii="TT Norms Pro Light"/>
                                <w:b w:val="0"/>
                                <w:sz w:val="14"/>
                              </w:rPr>
                              <w:t>Unruly</w:t>
                            </w:r>
                            <w:r>
                              <w:rPr>
                                <w:rFonts w:ascii="TT Norms Pro Light"/>
                                <w:b w:val="0"/>
                                <w:spacing w:val="6"/>
                                <w:sz w:val="14"/>
                              </w:rPr>
                              <w:t> </w:t>
                            </w:r>
                            <w:r>
                              <w:rPr>
                                <w:rFonts w:ascii="TT Norms Pro Light"/>
                                <w:b w:val="0"/>
                                <w:sz w:val="14"/>
                              </w:rPr>
                              <w:t>Media</w:t>
                            </w:r>
                            <w:r>
                              <w:rPr>
                                <w:rFonts w:ascii="TT Norms Pro Light"/>
                                <w:b w:val="0"/>
                                <w:spacing w:val="9"/>
                                <w:sz w:val="14"/>
                              </w:rPr>
                              <w:t> </w:t>
                            </w:r>
                            <w:r>
                              <w:rPr>
                                <w:rFonts w:ascii="TT Norms Pro Light"/>
                                <w:b w:val="0"/>
                                <w:sz w:val="14"/>
                              </w:rPr>
                              <w:t>Pty</w:t>
                            </w:r>
                            <w:r>
                              <w:rPr>
                                <w:rFonts w:ascii="TT Norms Pro Light"/>
                                <w:b w:val="0"/>
                                <w:spacing w:val="9"/>
                                <w:sz w:val="14"/>
                              </w:rPr>
                              <w:t> </w:t>
                            </w:r>
                            <w:r>
                              <w:rPr>
                                <w:rFonts w:ascii="TT Norms Pro Light"/>
                                <w:b w:val="0"/>
                                <w:spacing w:val="-5"/>
                                <w:sz w:val="14"/>
                              </w:rPr>
                              <w:t>Ltd</w:t>
                            </w:r>
                          </w:p>
                        </w:tc>
                        <w:tc>
                          <w:tcPr>
                            <w:tcW w:w="1153" w:type="dxa"/>
                          </w:tcPr>
                          <w:p>
                            <w:pPr>
                              <w:pStyle w:val="TableParagraph"/>
                              <w:rPr>
                                <w:rFonts w:ascii="Times New Roman"/>
                                <w:sz w:val="16"/>
                              </w:rPr>
                            </w:pPr>
                          </w:p>
                        </w:tc>
                      </w:tr>
                      <w:tr>
                        <w:trPr>
                          <w:trHeight w:val="301" w:hRule="atLeast"/>
                        </w:trPr>
                        <w:tc>
                          <w:tcPr>
                            <w:tcW w:w="3458" w:type="dxa"/>
                            <w:tcBorders>
                              <w:bottom w:val="single" w:sz="8" w:space="0" w:color="000000"/>
                            </w:tcBorders>
                            <w:shd w:val="clear" w:color="auto" w:fill="EFEFF0"/>
                          </w:tcPr>
                          <w:p>
                            <w:pPr>
                              <w:pStyle w:val="TableParagraph"/>
                              <w:spacing w:before="82"/>
                              <w:ind w:left="56"/>
                              <w:rPr>
                                <w:rFonts w:ascii="TT Norms Pro Light"/>
                                <w:b w:val="0"/>
                                <w:sz w:val="14"/>
                              </w:rPr>
                            </w:pPr>
                            <w:r>
                              <w:rPr>
                                <w:rFonts w:ascii="TT Norms Pro Light"/>
                                <w:b w:val="0"/>
                                <w:sz w:val="14"/>
                              </w:rPr>
                              <w:t>West</w:t>
                            </w:r>
                            <w:r>
                              <w:rPr>
                                <w:rFonts w:ascii="TT Norms Pro Light"/>
                                <w:b w:val="0"/>
                                <w:spacing w:val="10"/>
                                <w:sz w:val="14"/>
                              </w:rPr>
                              <w:t> </w:t>
                            </w:r>
                            <w:r>
                              <w:rPr>
                                <w:rFonts w:ascii="TT Norms Pro Light"/>
                                <w:b w:val="0"/>
                                <w:sz w:val="14"/>
                              </w:rPr>
                              <w:t>Australian</w:t>
                            </w:r>
                            <w:r>
                              <w:rPr>
                                <w:rFonts w:ascii="TT Norms Pro Light"/>
                                <w:b w:val="0"/>
                                <w:spacing w:val="13"/>
                                <w:sz w:val="14"/>
                              </w:rPr>
                              <w:t> </w:t>
                            </w:r>
                            <w:r>
                              <w:rPr>
                                <w:rFonts w:ascii="TT Norms Pro Light"/>
                                <w:b w:val="0"/>
                                <w:sz w:val="14"/>
                              </w:rPr>
                              <w:t>Newspapers</w:t>
                            </w:r>
                            <w:r>
                              <w:rPr>
                                <w:rFonts w:ascii="TT Norms Pro Light"/>
                                <w:b w:val="0"/>
                                <w:spacing w:val="13"/>
                                <w:sz w:val="14"/>
                              </w:rPr>
                              <w:t> </w:t>
                            </w:r>
                            <w:r>
                              <w:rPr>
                                <w:rFonts w:ascii="TT Norms Pro Light"/>
                                <w:b w:val="0"/>
                                <w:spacing w:val="-2"/>
                                <w:sz w:val="14"/>
                              </w:rPr>
                              <w:t>Limited</w:t>
                            </w:r>
                          </w:p>
                        </w:tc>
                        <w:tc>
                          <w:tcPr>
                            <w:tcW w:w="1153" w:type="dxa"/>
                            <w:tcBorders>
                              <w:bottom w:val="single" w:sz="8" w:space="0" w:color="000000"/>
                            </w:tcBorders>
                            <w:shd w:val="clear" w:color="auto" w:fill="EFEFF0"/>
                          </w:tcPr>
                          <w:p>
                            <w:pPr>
                              <w:pStyle w:val="TableParagraph"/>
                              <w:rPr>
                                <w:rFonts w:ascii="Times New Roman"/>
                                <w:sz w:val="16"/>
                              </w:rPr>
                            </w:pPr>
                          </w:p>
                        </w:tc>
                      </w:tr>
                      <w:tr>
                        <w:trPr>
                          <w:trHeight w:val="296" w:hRule="atLeast"/>
                        </w:trPr>
                        <w:tc>
                          <w:tcPr>
                            <w:tcW w:w="3458" w:type="dxa"/>
                            <w:tcBorders>
                              <w:top w:val="single" w:sz="8" w:space="0" w:color="000000"/>
                              <w:bottom w:val="single" w:sz="4" w:space="0" w:color="000000"/>
                            </w:tcBorders>
                          </w:tcPr>
                          <w:p>
                            <w:pPr>
                              <w:pStyle w:val="TableParagraph"/>
                              <w:spacing w:before="73"/>
                              <w:ind w:left="56"/>
                              <w:rPr>
                                <w:rFonts w:ascii="TT Norms Pro"/>
                                <w:b/>
                                <w:sz w:val="14"/>
                              </w:rPr>
                            </w:pPr>
                            <w:r>
                              <w:rPr>
                                <w:rFonts w:ascii="TT Norms Pro"/>
                                <w:b/>
                                <w:sz w:val="14"/>
                              </w:rPr>
                              <w:t>TOTAL</w:t>
                            </w:r>
                            <w:r>
                              <w:rPr>
                                <w:rFonts w:ascii="TT Norms Pro"/>
                                <w:b/>
                                <w:spacing w:val="-5"/>
                                <w:sz w:val="14"/>
                              </w:rPr>
                              <w:t> </w:t>
                            </w:r>
                            <w:r>
                              <w:rPr>
                                <w:rFonts w:ascii="TT Norms Pro"/>
                                <w:b/>
                                <w:spacing w:val="-2"/>
                                <w:sz w:val="14"/>
                              </w:rPr>
                              <w:t>EXPENDITURE</w:t>
                            </w:r>
                          </w:p>
                        </w:tc>
                        <w:tc>
                          <w:tcPr>
                            <w:tcW w:w="1153" w:type="dxa"/>
                            <w:tcBorders>
                              <w:top w:val="single" w:sz="8" w:space="0" w:color="000000"/>
                              <w:bottom w:val="single" w:sz="4" w:space="0" w:color="000000"/>
                            </w:tcBorders>
                          </w:tcPr>
                          <w:p>
                            <w:pPr>
                              <w:pStyle w:val="TableParagraph"/>
                              <w:spacing w:before="73"/>
                              <w:ind w:right="13"/>
                              <w:jc w:val="right"/>
                              <w:rPr>
                                <w:rFonts w:ascii="TT Norms Pro"/>
                                <w:b/>
                                <w:sz w:val="14"/>
                              </w:rPr>
                            </w:pPr>
                            <w:r>
                              <w:rPr>
                                <w:rFonts w:ascii="TT Norms Pro"/>
                                <w:b/>
                                <w:spacing w:val="-2"/>
                                <w:sz w:val="14"/>
                              </w:rPr>
                              <w:t>$3,779,284</w:t>
                            </w:r>
                          </w:p>
                        </w:tc>
                      </w:tr>
                    </w:tbl>
                    <w:p>
                      <w:pPr>
                        <w:pStyle w:val="BodyText"/>
                      </w:pPr>
                    </w:p>
                  </w:txbxContent>
                </v:textbox>
                <w10:wrap type="none"/>
              </v:shape>
            </w:pict>
          </mc:Fallback>
        </mc:AlternateContent>
      </w:r>
      <w:r>
        <w:rPr>
          <w:b w:val="0"/>
        </w:rPr>
        <w:t>In</w:t>
      </w:r>
      <w:r>
        <w:rPr>
          <w:b w:val="0"/>
          <w:spacing w:val="-2"/>
        </w:rPr>
        <w:t> </w:t>
      </w:r>
      <w:r>
        <w:rPr>
          <w:b w:val="0"/>
        </w:rPr>
        <w:t>compliance</w:t>
      </w:r>
      <w:r>
        <w:rPr>
          <w:b w:val="0"/>
          <w:spacing w:val="-2"/>
        </w:rPr>
        <w:t> </w:t>
      </w:r>
      <w:r>
        <w:rPr>
          <w:b w:val="0"/>
        </w:rPr>
        <w:t>with</w:t>
      </w:r>
      <w:r>
        <w:rPr>
          <w:b w:val="0"/>
          <w:spacing w:val="-2"/>
        </w:rPr>
        <w:t> </w:t>
      </w:r>
      <w:r>
        <w:rPr>
          <w:b w:val="0"/>
        </w:rPr>
        <w:t>section</w:t>
      </w:r>
      <w:r>
        <w:rPr>
          <w:b w:val="0"/>
          <w:spacing w:val="-2"/>
        </w:rPr>
        <w:t> </w:t>
      </w:r>
      <w:r>
        <w:rPr>
          <w:b w:val="0"/>
        </w:rPr>
        <w:t>175ZE</w:t>
      </w:r>
      <w:r>
        <w:rPr>
          <w:b w:val="0"/>
          <w:spacing w:val="-2"/>
        </w:rPr>
        <w:t> </w:t>
      </w:r>
      <w:r>
        <w:rPr>
          <w:b w:val="0"/>
        </w:rPr>
        <w:t>of</w:t>
      </w:r>
      <w:r>
        <w:rPr>
          <w:b w:val="0"/>
          <w:spacing w:val="-2"/>
        </w:rPr>
        <w:t> </w:t>
      </w:r>
      <w:r>
        <w:rPr>
          <w:b w:val="0"/>
        </w:rPr>
        <w:t>the</w:t>
      </w:r>
      <w:r>
        <w:rPr>
          <w:b w:val="0"/>
          <w:spacing w:val="-2"/>
        </w:rPr>
        <w:t> </w:t>
      </w:r>
      <w:r>
        <w:rPr>
          <w:b w:val="0"/>
          <w:i/>
        </w:rPr>
        <w:t>Electoral</w:t>
      </w:r>
      <w:r>
        <w:rPr>
          <w:b w:val="0"/>
          <w:i/>
          <w:spacing w:val="-2"/>
        </w:rPr>
        <w:t> </w:t>
      </w:r>
      <w:r>
        <w:rPr>
          <w:b w:val="0"/>
          <w:i/>
        </w:rPr>
        <w:t>Act</w:t>
      </w:r>
      <w:r>
        <w:rPr>
          <w:b w:val="0"/>
          <w:i/>
          <w:spacing w:val="-2"/>
        </w:rPr>
        <w:t> </w:t>
      </w:r>
      <w:r>
        <w:rPr>
          <w:b w:val="0"/>
          <w:i/>
        </w:rPr>
        <w:t>1907,</w:t>
      </w:r>
      <w:r>
        <w:rPr>
          <w:b w:val="0"/>
          <w:i/>
          <w:spacing w:val="40"/>
        </w:rPr>
        <w:t> </w:t>
      </w:r>
      <w:r>
        <w:rPr>
          <w:b w:val="0"/>
        </w:rPr>
        <w:t>the University is required to report on expenditure</w:t>
      </w:r>
      <w:r>
        <w:rPr>
          <w:b w:val="0"/>
          <w:spacing w:val="40"/>
        </w:rPr>
        <w:t> </w:t>
      </w:r>
      <w:r>
        <w:rPr>
          <w:b w:val="0"/>
        </w:rPr>
        <w:t>incurred during the financial year in relation to advertising</w:t>
      </w:r>
      <w:r>
        <w:rPr>
          <w:b w:val="0"/>
          <w:spacing w:val="40"/>
        </w:rPr>
        <w:t> </w:t>
      </w:r>
      <w:r>
        <w:rPr>
          <w:b w:val="0"/>
        </w:rPr>
        <w:t>agencies, market research organisations, polling</w:t>
      </w:r>
      <w:r>
        <w:rPr>
          <w:b w:val="0"/>
          <w:spacing w:val="40"/>
        </w:rPr>
        <w:t> </w:t>
      </w:r>
      <w:r>
        <w:rPr>
          <w:b w:val="0"/>
        </w:rPr>
        <w:t>organisations, direct mail organisations and media</w:t>
      </w:r>
      <w:r>
        <w:rPr>
          <w:b w:val="0"/>
          <w:spacing w:val="40"/>
        </w:rPr>
        <w:t> </w:t>
      </w:r>
      <w:r>
        <w:rPr>
          <w:b w:val="0"/>
        </w:rPr>
        <w:t>advertising organisations. The details of the report, for the</w:t>
      </w:r>
      <w:r>
        <w:rPr>
          <w:b w:val="0"/>
          <w:spacing w:val="40"/>
        </w:rPr>
        <w:t> </w:t>
      </w:r>
      <w:r>
        <w:rPr>
          <w:b w:val="0"/>
        </w:rPr>
        <w:t>University and its subsidiaries, are as follows:</w:t>
      </w:r>
    </w:p>
    <w:p>
      <w:pPr>
        <w:spacing w:after="0" w:line="295" w:lineRule="auto"/>
        <w:sectPr>
          <w:pgSz w:w="11910" w:h="16840"/>
          <w:pgMar w:header="468" w:footer="0" w:top="720" w:bottom="280" w:left="920" w:right="0"/>
        </w:sectPr>
      </w:pPr>
    </w:p>
    <w:p>
      <w:pPr>
        <w:pStyle w:val="BodyText"/>
        <w:spacing w:before="1"/>
        <w:rPr>
          <w:b w:val="0"/>
          <w:sz w:val="17"/>
        </w:rPr>
      </w:pPr>
      <w:r>
        <w:rPr/>
        <mc:AlternateContent>
          <mc:Choice Requires="wps">
            <w:drawing>
              <wp:anchor distT="0" distB="0" distL="0" distR="0" allowOverlap="1" layoutInCell="1" locked="0" behindDoc="0" simplePos="0" relativeHeight="15863296">
                <wp:simplePos x="0" y="0"/>
                <wp:positionH relativeFrom="page">
                  <wp:posOffset>618350</wp:posOffset>
                </wp:positionH>
                <wp:positionV relativeFrom="page">
                  <wp:posOffset>1702714</wp:posOffset>
                </wp:positionV>
                <wp:extent cx="6941820" cy="8989695"/>
                <wp:effectExtent l="0" t="0" r="0" b="0"/>
                <wp:wrapNone/>
                <wp:docPr id="857" name="Group 857"/>
                <wp:cNvGraphicFramePr>
                  <a:graphicFrameLocks/>
                </wp:cNvGraphicFramePr>
                <a:graphic>
                  <a:graphicData uri="http://schemas.microsoft.com/office/word/2010/wordprocessingGroup">
                    <wpg:wgp>
                      <wpg:cNvPr id="857" name="Group 857"/>
                      <wpg:cNvGrpSpPr/>
                      <wpg:grpSpPr>
                        <a:xfrm>
                          <a:off x="0" y="0"/>
                          <a:ext cx="6941820" cy="8989695"/>
                          <a:chExt cx="6941820" cy="8989695"/>
                        </a:xfrm>
                      </wpg:grpSpPr>
                      <pic:pic>
                        <pic:nvPicPr>
                          <pic:cNvPr id="858" name="Image 858"/>
                          <pic:cNvPicPr/>
                        </pic:nvPicPr>
                        <pic:blipFill>
                          <a:blip r:embed="rId95" cstate="print"/>
                          <a:stretch>
                            <a:fillRect/>
                          </a:stretch>
                        </pic:blipFill>
                        <pic:spPr>
                          <a:xfrm>
                            <a:off x="108000" y="514959"/>
                            <a:ext cx="6833641" cy="8474329"/>
                          </a:xfrm>
                          <a:prstGeom prst="rect">
                            <a:avLst/>
                          </a:prstGeom>
                        </pic:spPr>
                      </pic:pic>
                      <wps:wsp>
                        <wps:cNvPr id="859" name="Graphic 859"/>
                        <wps:cNvSpPr/>
                        <wps:spPr>
                          <a:xfrm>
                            <a:off x="0" y="0"/>
                            <a:ext cx="3342004" cy="973455"/>
                          </a:xfrm>
                          <a:custGeom>
                            <a:avLst/>
                            <a:gdLst/>
                            <a:ahLst/>
                            <a:cxnLst/>
                            <a:rect l="l" t="t" r="r" b="b"/>
                            <a:pathLst>
                              <a:path w="3342004" h="973455">
                                <a:moveTo>
                                  <a:pt x="3341649" y="0"/>
                                </a:moveTo>
                                <a:lnTo>
                                  <a:pt x="0" y="0"/>
                                </a:lnTo>
                                <a:lnTo>
                                  <a:pt x="0" y="973074"/>
                                </a:lnTo>
                                <a:lnTo>
                                  <a:pt x="3341649" y="973074"/>
                                </a:lnTo>
                                <a:lnTo>
                                  <a:pt x="3341649"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48.688999pt;margin-top:134.072021pt;width:546.6pt;height:707.85pt;mso-position-horizontal-relative:page;mso-position-vertical-relative:page;z-index:15863296" id="docshapegroup553" coordorigin="974,2681" coordsize="10932,14157">
                <v:shape style="position:absolute;left:1143;top:3492;width:10762;height:13346" type="#_x0000_t75" id="docshape554" stroked="false">
                  <v:imagedata r:id="rId95" o:title=""/>
                </v:shape>
                <v:rect style="position:absolute;left:973;top:2681;width:5263;height:1533" id="docshape555" filled="true" fillcolor="#ffffff" stroked="false">
                  <v:fill type="solid"/>
                </v:rect>
                <w10:wrap type="none"/>
              </v:group>
            </w:pict>
          </mc:Fallback>
        </mc:AlternateContent>
      </w:r>
    </w:p>
    <w:p>
      <w:pPr>
        <w:spacing w:after="0"/>
        <w:rPr>
          <w:sz w:val="17"/>
        </w:rPr>
        <w:sectPr>
          <w:pgSz w:w="11910" w:h="16840"/>
          <w:pgMar w:header="468" w:footer="0" w:top="720" w:bottom="0" w:left="920" w:right="0"/>
        </w:sectPr>
      </w:pPr>
    </w:p>
    <w:p>
      <w:pPr>
        <w:spacing w:line="875" w:lineRule="exact" w:before="197"/>
        <w:ind w:left="206" w:right="0" w:firstLine="0"/>
        <w:jc w:val="left"/>
        <w:rPr>
          <w:rFonts w:ascii="Palatino Linotype"/>
          <w:sz w:val="70"/>
        </w:rPr>
      </w:pPr>
      <w:r>
        <w:rPr>
          <w:rFonts w:ascii="Palatino Linotype"/>
          <w:spacing w:val="-2"/>
          <w:w w:val="105"/>
          <w:sz w:val="70"/>
        </w:rPr>
        <w:t>Financial</w:t>
      </w:r>
    </w:p>
    <w:p>
      <w:pPr>
        <w:pStyle w:val="Heading2"/>
        <w:ind w:left="926"/>
      </w:pPr>
      <w:r>
        <w:rPr>
          <w:spacing w:val="-2"/>
        </w:rPr>
        <w:t>overview</w:t>
      </w:r>
    </w:p>
    <w:p>
      <w:pPr>
        <w:pStyle w:val="BodyText"/>
        <w:spacing w:before="153"/>
        <w:rPr>
          <w:rFonts w:ascii="TT Norms Pro"/>
          <w:b/>
          <w:sz w:val="20"/>
        </w:rPr>
      </w:pPr>
    </w:p>
    <w:p>
      <w:pPr>
        <w:spacing w:after="0"/>
        <w:rPr>
          <w:rFonts w:ascii="TT Norms Pro"/>
          <w:sz w:val="20"/>
        </w:rPr>
        <w:sectPr>
          <w:pgSz w:w="11910" w:h="16840"/>
          <w:pgMar w:header="468" w:footer="0" w:top="720" w:bottom="0" w:left="920" w:right="0"/>
        </w:sectPr>
      </w:pPr>
    </w:p>
    <w:p>
      <w:pPr>
        <w:pStyle w:val="BodyText"/>
        <w:spacing w:line="295" w:lineRule="auto" w:before="133"/>
        <w:ind w:left="213" w:right="127"/>
        <w:rPr>
          <w:b w:val="0"/>
        </w:rPr>
      </w:pPr>
      <w:r>
        <w:rPr>
          <w:b w:val="0"/>
        </w:rPr>
        <w:t>The 2020 financial year was always going to be a</w:t>
      </w:r>
      <w:r>
        <w:rPr>
          <w:b w:val="0"/>
          <w:spacing w:val="40"/>
        </w:rPr>
        <w:t> </w:t>
      </w:r>
      <w:r>
        <w:rPr>
          <w:b w:val="0"/>
        </w:rPr>
        <w:t>challenging year, as the University planned to address its</w:t>
      </w:r>
      <w:r>
        <w:rPr>
          <w:b w:val="0"/>
          <w:spacing w:val="40"/>
        </w:rPr>
        <w:t> </w:t>
      </w:r>
      <w:r>
        <w:rPr>
          <w:b w:val="0"/>
        </w:rPr>
        <w:t>financial sustainability and operating model, creating</w:t>
      </w:r>
      <w:r>
        <w:rPr>
          <w:b w:val="0"/>
          <w:spacing w:val="40"/>
        </w:rPr>
        <w:t> </w:t>
      </w:r>
      <w:r>
        <w:rPr>
          <w:b w:val="0"/>
        </w:rPr>
        <w:t>financial capacity to invest in digital and physical</w:t>
      </w:r>
      <w:r>
        <w:rPr>
          <w:b w:val="0"/>
          <w:spacing w:val="40"/>
        </w:rPr>
        <w:t> </w:t>
      </w:r>
      <w:r>
        <w:rPr>
          <w:b w:val="0"/>
        </w:rPr>
        <w:t>environments, with a focus on enhancing the excellence</w:t>
      </w:r>
      <w:r>
        <w:rPr>
          <w:b w:val="0"/>
          <w:spacing w:val="40"/>
        </w:rPr>
        <w:t> </w:t>
      </w:r>
      <w:r>
        <w:rPr>
          <w:b w:val="0"/>
        </w:rPr>
        <w:t>of student experience.</w:t>
      </w:r>
    </w:p>
    <w:p>
      <w:pPr>
        <w:pStyle w:val="BodyText"/>
        <w:spacing w:line="295" w:lineRule="auto" w:before="119"/>
        <w:ind w:left="213" w:right="65"/>
        <w:rPr>
          <w:b w:val="0"/>
        </w:rPr>
      </w:pPr>
      <w:r>
        <w:rPr>
          <w:b w:val="0"/>
        </w:rPr>
        <w:t>To achieve our strategy and ensure future financial</w:t>
      </w:r>
      <w:r>
        <w:rPr>
          <w:b w:val="0"/>
          <w:spacing w:val="40"/>
        </w:rPr>
        <w:t> </w:t>
      </w:r>
      <w:r>
        <w:rPr>
          <w:b w:val="0"/>
        </w:rPr>
        <w:t>sustainability and capacity for reinvestment, the University</w:t>
      </w:r>
      <w:r>
        <w:rPr>
          <w:b w:val="0"/>
          <w:spacing w:val="40"/>
        </w:rPr>
        <w:t> </w:t>
      </w:r>
      <w:r>
        <w:rPr>
          <w:b w:val="0"/>
        </w:rPr>
        <w:t>is targeting a 15% cash margin on its underlying operations</w:t>
      </w:r>
      <w:r>
        <w:rPr>
          <w:b w:val="0"/>
          <w:spacing w:val="40"/>
        </w:rPr>
        <w:t> </w:t>
      </w:r>
      <w:r>
        <w:rPr>
          <w:b w:val="0"/>
        </w:rPr>
        <w:t>by 2025. This includes sustainably growing and</w:t>
      </w:r>
      <w:r>
        <w:rPr>
          <w:b w:val="0"/>
          <w:spacing w:val="80"/>
        </w:rPr>
        <w:t> </w:t>
      </w:r>
      <w:r>
        <w:rPr>
          <w:b w:val="0"/>
        </w:rPr>
        <w:t>diversifying underlying revenue by $80 million per annum</w:t>
      </w:r>
      <w:r>
        <w:rPr>
          <w:b w:val="0"/>
          <w:spacing w:val="40"/>
        </w:rPr>
        <w:t> </w:t>
      </w:r>
      <w:r>
        <w:rPr>
          <w:b w:val="0"/>
        </w:rPr>
        <w:t>and addressing an underlying structural deficit of</w:t>
      </w:r>
    </w:p>
    <w:p>
      <w:pPr>
        <w:pStyle w:val="BodyText"/>
        <w:spacing w:line="295" w:lineRule="auto" w:before="5"/>
        <w:ind w:left="213" w:right="127"/>
        <w:rPr>
          <w:b w:val="0"/>
        </w:rPr>
      </w:pPr>
      <w:r>
        <w:rPr>
          <w:b w:val="0"/>
        </w:rPr>
        <w:t>$70 million per annum1. As at the end of 2020, the</w:t>
      </w:r>
      <w:r>
        <w:rPr>
          <w:b w:val="0"/>
          <w:spacing w:val="40"/>
        </w:rPr>
        <w:t> </w:t>
      </w:r>
      <w:r>
        <w:rPr>
          <w:b w:val="0"/>
        </w:rPr>
        <w:t>University has addressed $12 million of the deficit, leaving</w:t>
      </w:r>
    </w:p>
    <w:p>
      <w:pPr>
        <w:pStyle w:val="BodyText"/>
        <w:spacing w:before="2"/>
        <w:ind w:left="213"/>
        <w:rPr>
          <w:b w:val="0"/>
        </w:rPr>
      </w:pPr>
      <w:r>
        <w:rPr>
          <w:b w:val="0"/>
        </w:rPr>
        <w:t>$58 million</w:t>
      </w:r>
      <w:r>
        <w:rPr>
          <w:b w:val="0"/>
          <w:spacing w:val="2"/>
        </w:rPr>
        <w:t> </w:t>
      </w:r>
      <w:r>
        <w:rPr>
          <w:b w:val="0"/>
        </w:rPr>
        <w:t>to</w:t>
      </w:r>
      <w:r>
        <w:rPr>
          <w:b w:val="0"/>
          <w:spacing w:val="2"/>
        </w:rPr>
        <w:t> </w:t>
      </w:r>
      <w:r>
        <w:rPr>
          <w:b w:val="0"/>
        </w:rPr>
        <w:t>be</w:t>
      </w:r>
      <w:r>
        <w:rPr>
          <w:b w:val="0"/>
          <w:spacing w:val="2"/>
        </w:rPr>
        <w:t> </w:t>
      </w:r>
      <w:r>
        <w:rPr>
          <w:b w:val="0"/>
        </w:rPr>
        <w:t>addressed</w:t>
      </w:r>
      <w:r>
        <w:rPr>
          <w:b w:val="0"/>
          <w:spacing w:val="2"/>
        </w:rPr>
        <w:t> </w:t>
      </w:r>
      <w:r>
        <w:rPr>
          <w:b w:val="0"/>
        </w:rPr>
        <w:t>across</w:t>
      </w:r>
      <w:r>
        <w:rPr>
          <w:b w:val="0"/>
          <w:spacing w:val="2"/>
        </w:rPr>
        <w:t> </w:t>
      </w:r>
      <w:r>
        <w:rPr>
          <w:b w:val="0"/>
          <w:spacing w:val="-2"/>
        </w:rPr>
        <w:t>2021/2022.</w:t>
      </w:r>
    </w:p>
    <w:p>
      <w:pPr>
        <w:pStyle w:val="BodyText"/>
        <w:spacing w:line="295" w:lineRule="auto" w:before="163"/>
        <w:ind w:left="213" w:right="56"/>
        <w:rPr>
          <w:b w:val="0"/>
        </w:rPr>
      </w:pPr>
      <w:r>
        <w:rPr>
          <w:b w:val="0"/>
        </w:rPr>
        <w:t>The impact of the uncertainty and disruption of the global</w:t>
      </w:r>
      <w:r>
        <w:rPr>
          <w:b w:val="0"/>
          <w:spacing w:val="40"/>
        </w:rPr>
        <w:t> </w:t>
      </w:r>
      <w:r>
        <w:rPr>
          <w:b w:val="0"/>
        </w:rPr>
        <w:t>pandemic meant the University needed to refocus its</w:t>
      </w:r>
      <w:r>
        <w:rPr>
          <w:b w:val="0"/>
          <w:spacing w:val="40"/>
        </w:rPr>
        <w:t> </w:t>
      </w:r>
      <w:r>
        <w:rPr>
          <w:b w:val="0"/>
        </w:rPr>
        <w:t>attention from longer-term change initiatives to</w:t>
      </w:r>
      <w:r>
        <w:rPr>
          <w:b w:val="0"/>
          <w:spacing w:val="40"/>
        </w:rPr>
        <w:t> </w:t>
      </w:r>
      <w:r>
        <w:rPr>
          <w:b w:val="0"/>
        </w:rPr>
        <w:t>responding to the crisis, which presented the potential for</w:t>
      </w:r>
      <w:r>
        <w:rPr>
          <w:b w:val="0"/>
          <w:spacing w:val="40"/>
        </w:rPr>
        <w:t> </w:t>
      </w:r>
      <w:r>
        <w:rPr>
          <w:b w:val="0"/>
        </w:rPr>
        <w:t>significant risk to liquidity and unrestricted funding over</w:t>
      </w:r>
      <w:r>
        <w:rPr>
          <w:b w:val="0"/>
          <w:spacing w:val="40"/>
        </w:rPr>
        <w:t> </w:t>
      </w:r>
      <w:r>
        <w:rPr>
          <w:b w:val="0"/>
        </w:rPr>
        <w:t>the short-to-medium term.</w:t>
      </w:r>
    </w:p>
    <w:p>
      <w:pPr>
        <w:pStyle w:val="BodyText"/>
        <w:spacing w:line="295" w:lineRule="auto" w:before="118"/>
        <w:ind w:left="213" w:right="38"/>
        <w:rPr>
          <w:b w:val="0"/>
        </w:rPr>
      </w:pPr>
      <w:r>
        <w:rPr>
          <w:b w:val="0"/>
        </w:rPr>
        <w:t>In response to the pandemic the University took</w:t>
      </w:r>
      <w:r>
        <w:rPr>
          <w:b w:val="0"/>
          <w:spacing w:val="40"/>
        </w:rPr>
        <w:t> </w:t>
      </w:r>
      <w:r>
        <w:rPr>
          <w:b w:val="0"/>
        </w:rPr>
        <w:t>immediate steps to grow student recruitment and</w:t>
      </w:r>
      <w:r>
        <w:rPr>
          <w:b w:val="0"/>
          <w:spacing w:val="40"/>
        </w:rPr>
        <w:t> </w:t>
      </w:r>
      <w:r>
        <w:rPr>
          <w:b w:val="0"/>
        </w:rPr>
        <w:t>retention, ensuring course accessibility and student</w:t>
      </w:r>
      <w:r>
        <w:rPr>
          <w:b w:val="0"/>
          <w:spacing w:val="40"/>
        </w:rPr>
        <w:t> </w:t>
      </w:r>
      <w:r>
        <w:rPr>
          <w:b w:val="0"/>
        </w:rPr>
        <w:t>experience, whilst further reducing underlying operational</w:t>
      </w:r>
      <w:r>
        <w:rPr>
          <w:b w:val="0"/>
          <w:spacing w:val="40"/>
        </w:rPr>
        <w:t> </w:t>
      </w:r>
      <w:r>
        <w:rPr>
          <w:b w:val="0"/>
        </w:rPr>
        <w:t>expenditure. This included (but was not limited to) moving</w:t>
      </w:r>
      <w:r>
        <w:rPr>
          <w:b w:val="0"/>
          <w:spacing w:val="40"/>
        </w:rPr>
        <w:t> </w:t>
      </w:r>
      <w:r>
        <w:rPr>
          <w:b w:val="0"/>
        </w:rPr>
        <w:t>all student units and exams online, establishing offshore</w:t>
      </w:r>
      <w:r>
        <w:rPr>
          <w:b w:val="0"/>
          <w:spacing w:val="40"/>
        </w:rPr>
        <w:t> </w:t>
      </w:r>
      <w:r>
        <w:rPr>
          <w:b w:val="0"/>
        </w:rPr>
        <w:t>learning centres, implementation of a job protection</w:t>
      </w:r>
      <w:r>
        <w:rPr>
          <w:b w:val="0"/>
          <w:spacing w:val="40"/>
        </w:rPr>
        <w:t> </w:t>
      </w:r>
      <w:r>
        <w:rPr>
          <w:b w:val="0"/>
        </w:rPr>
        <w:t>framework and implementation of enhanced treasury and</w:t>
      </w:r>
      <w:r>
        <w:rPr>
          <w:b w:val="0"/>
          <w:spacing w:val="40"/>
        </w:rPr>
        <w:t> </w:t>
      </w:r>
      <w:r>
        <w:rPr>
          <w:b w:val="0"/>
        </w:rPr>
        <w:t>debt management measures.</w:t>
      </w:r>
    </w:p>
    <w:p>
      <w:pPr>
        <w:pStyle w:val="Heading9"/>
        <w:spacing w:before="129"/>
        <w:ind w:left="213"/>
      </w:pPr>
      <w:r>
        <w:rPr>
          <w:b w:val="0"/>
        </w:rPr>
        <w:br w:type="column"/>
      </w:r>
      <w:r>
        <w:rPr/>
        <w:t>2020</w:t>
      </w:r>
      <w:r>
        <w:rPr>
          <w:spacing w:val="7"/>
        </w:rPr>
        <w:t> </w:t>
      </w:r>
      <w:r>
        <w:rPr/>
        <w:t>FINANCIAL</w:t>
      </w:r>
      <w:r>
        <w:rPr>
          <w:spacing w:val="7"/>
        </w:rPr>
        <w:t> </w:t>
      </w:r>
      <w:r>
        <w:rPr>
          <w:spacing w:val="-2"/>
        </w:rPr>
        <w:t>PERFORMANCE</w:t>
      </w:r>
    </w:p>
    <w:p>
      <w:pPr>
        <w:pStyle w:val="BodyText"/>
        <w:spacing w:line="295" w:lineRule="auto" w:before="154"/>
        <w:ind w:left="213" w:right="1239"/>
        <w:rPr>
          <w:b w:val="0"/>
        </w:rPr>
      </w:pPr>
      <w:r>
        <w:rPr>
          <w:b w:val="0"/>
        </w:rPr>
        <w:t>While the University’s reported financial statements</w:t>
      </w:r>
      <w:r>
        <w:rPr>
          <w:b w:val="0"/>
          <w:spacing w:val="40"/>
        </w:rPr>
        <w:t> </w:t>
      </w:r>
      <w:r>
        <w:rPr>
          <w:b w:val="0"/>
        </w:rPr>
        <w:t>reflect a true and fair view of the financial performance</w:t>
      </w:r>
      <w:r>
        <w:rPr>
          <w:b w:val="0"/>
          <w:spacing w:val="40"/>
        </w:rPr>
        <w:t> </w:t>
      </w:r>
      <w:r>
        <w:rPr>
          <w:b w:val="0"/>
        </w:rPr>
        <w:t>and position in accordance with applicable accounting</w:t>
      </w:r>
      <w:r>
        <w:rPr>
          <w:b w:val="0"/>
          <w:spacing w:val="40"/>
        </w:rPr>
        <w:t> </w:t>
      </w:r>
      <w:r>
        <w:rPr>
          <w:b w:val="0"/>
        </w:rPr>
        <w:t>standards, the University’s financial focus is on the</w:t>
      </w:r>
      <w:r>
        <w:rPr>
          <w:b w:val="0"/>
          <w:spacing w:val="40"/>
        </w:rPr>
        <w:t> </w:t>
      </w:r>
      <w:r>
        <w:rPr>
          <w:b w:val="0"/>
        </w:rPr>
        <w:t>underlying EBITDA2 margin, adjusted to exclude</w:t>
      </w:r>
      <w:r>
        <w:rPr>
          <w:b w:val="0"/>
          <w:spacing w:val="40"/>
        </w:rPr>
        <w:t> </w:t>
      </w:r>
      <w:r>
        <w:rPr>
          <w:b w:val="0"/>
        </w:rPr>
        <w:t>investment income. This represents the total operational</w:t>
      </w:r>
      <w:r>
        <w:rPr>
          <w:b w:val="0"/>
          <w:spacing w:val="40"/>
        </w:rPr>
        <w:t> </w:t>
      </w:r>
      <w:r>
        <w:rPr>
          <w:b w:val="0"/>
        </w:rPr>
        <w:t>funding available for debt servicing and strategic and</w:t>
      </w:r>
      <w:r>
        <w:rPr>
          <w:b w:val="0"/>
          <w:spacing w:val="40"/>
        </w:rPr>
        <w:t> </w:t>
      </w:r>
      <w:r>
        <w:rPr>
          <w:b w:val="0"/>
        </w:rPr>
        <w:t>capital reinvestment and acknowledges the</w:t>
      </w:r>
      <w:r>
        <w:rPr>
          <w:b w:val="0"/>
          <w:spacing w:val="40"/>
        </w:rPr>
        <w:t> </w:t>
      </w:r>
      <w:r>
        <w:rPr>
          <w:b w:val="0"/>
        </w:rPr>
        <w:t>predominately restricted nature of our investment funds</w:t>
      </w:r>
      <w:r>
        <w:rPr>
          <w:b w:val="0"/>
          <w:spacing w:val="40"/>
        </w:rPr>
        <w:t> </w:t>
      </w:r>
      <w:r>
        <w:rPr>
          <w:b w:val="0"/>
        </w:rPr>
        <w:t>(other financial assets).</w:t>
      </w:r>
    </w:p>
    <w:p>
      <w:pPr>
        <w:pStyle w:val="BodyText"/>
        <w:spacing w:line="295" w:lineRule="auto" w:before="122"/>
        <w:ind w:left="213" w:right="1132"/>
        <w:rPr>
          <w:b w:val="0"/>
        </w:rPr>
      </w:pPr>
      <w:r>
        <w:rPr>
          <w:b w:val="0"/>
        </w:rPr>
        <w:t>The</w:t>
      </w:r>
      <w:r>
        <w:rPr>
          <w:b w:val="0"/>
          <w:spacing w:val="-1"/>
        </w:rPr>
        <w:t> </w:t>
      </w:r>
      <w:r>
        <w:rPr>
          <w:b w:val="0"/>
        </w:rPr>
        <w:t>underlying</w:t>
      </w:r>
      <w:r>
        <w:rPr>
          <w:b w:val="0"/>
          <w:spacing w:val="-1"/>
        </w:rPr>
        <w:t> </w:t>
      </w:r>
      <w:r>
        <w:rPr>
          <w:b w:val="0"/>
        </w:rPr>
        <w:t>EBITDA</w:t>
      </w:r>
      <w:r>
        <w:rPr>
          <w:b w:val="0"/>
          <w:spacing w:val="-1"/>
        </w:rPr>
        <w:t> </w:t>
      </w:r>
      <w:r>
        <w:rPr>
          <w:b w:val="0"/>
        </w:rPr>
        <w:t>(adjusted</w:t>
      </w:r>
      <w:r>
        <w:rPr>
          <w:b w:val="0"/>
          <w:spacing w:val="-1"/>
        </w:rPr>
        <w:t> </w:t>
      </w:r>
      <w:r>
        <w:rPr>
          <w:b w:val="0"/>
        </w:rPr>
        <w:t>to</w:t>
      </w:r>
      <w:r>
        <w:rPr>
          <w:b w:val="0"/>
          <w:spacing w:val="-1"/>
        </w:rPr>
        <w:t> </w:t>
      </w:r>
      <w:r>
        <w:rPr>
          <w:b w:val="0"/>
        </w:rPr>
        <w:t>exclude</w:t>
      </w:r>
      <w:r>
        <w:rPr>
          <w:b w:val="0"/>
          <w:spacing w:val="-1"/>
        </w:rPr>
        <w:t> </w:t>
      </w:r>
      <w:r>
        <w:rPr>
          <w:b w:val="0"/>
        </w:rPr>
        <w:t>investment</w:t>
      </w:r>
      <w:r>
        <w:rPr>
          <w:b w:val="0"/>
          <w:spacing w:val="40"/>
        </w:rPr>
        <w:t> </w:t>
      </w:r>
      <w:r>
        <w:rPr>
          <w:b w:val="0"/>
        </w:rPr>
        <w:t>income) was 6.6% for the year (2019: 4.2%). This rise is</w:t>
      </w:r>
      <w:r>
        <w:rPr>
          <w:b w:val="0"/>
          <w:spacing w:val="40"/>
        </w:rPr>
        <w:t> </w:t>
      </w:r>
      <w:r>
        <w:rPr>
          <w:b w:val="0"/>
        </w:rPr>
        <w:t>largely driven by early responses to the University’s</w:t>
      </w:r>
      <w:r>
        <w:rPr>
          <w:b w:val="0"/>
          <w:spacing w:val="40"/>
        </w:rPr>
        <w:t> </w:t>
      </w:r>
      <w:r>
        <w:rPr>
          <w:b w:val="0"/>
        </w:rPr>
        <w:t>structural deficit and the recognition of one-off capital</w:t>
      </w:r>
      <w:r>
        <w:rPr>
          <w:b w:val="0"/>
          <w:spacing w:val="40"/>
        </w:rPr>
        <w:t> </w:t>
      </w:r>
      <w:r>
        <w:rPr>
          <w:b w:val="0"/>
          <w:spacing w:val="-2"/>
        </w:rPr>
        <w:t>donations.</w:t>
      </w:r>
    </w:p>
    <w:p>
      <w:pPr>
        <w:pStyle w:val="BodyText"/>
        <w:spacing w:line="295" w:lineRule="auto" w:before="118"/>
        <w:ind w:left="213" w:right="1165"/>
        <w:rPr>
          <w:b w:val="0"/>
        </w:rPr>
      </w:pPr>
      <w:r>
        <w:rPr>
          <w:b w:val="0"/>
        </w:rPr>
        <w:t>Other drivers to changes in the operating result was the</w:t>
      </w:r>
      <w:r>
        <w:rPr>
          <w:b w:val="0"/>
          <w:spacing w:val="40"/>
        </w:rPr>
        <w:t> </w:t>
      </w:r>
      <w:r>
        <w:rPr>
          <w:b w:val="0"/>
        </w:rPr>
        <w:t>adoption of the application of AASB 15 to Research</w:t>
      </w:r>
      <w:r>
        <w:rPr>
          <w:b w:val="0"/>
          <w:spacing w:val="80"/>
        </w:rPr>
        <w:t> </w:t>
      </w:r>
      <w:r>
        <w:rPr>
          <w:b w:val="0"/>
        </w:rPr>
        <w:t>Grants. The full impact of the new standards is disclosed in</w:t>
      </w:r>
      <w:r>
        <w:rPr>
          <w:b w:val="0"/>
          <w:spacing w:val="40"/>
        </w:rPr>
        <w:t> </w:t>
      </w:r>
      <w:r>
        <w:rPr>
          <w:b w:val="0"/>
        </w:rPr>
        <w:t>note 1.5 of the financial statements.</w:t>
      </w:r>
    </w:p>
    <w:p>
      <w:pPr>
        <w:pStyle w:val="BodyText"/>
        <w:spacing w:line="295" w:lineRule="auto" w:before="117"/>
        <w:ind w:left="213" w:right="1182"/>
        <w:rPr>
          <w:b w:val="0"/>
        </w:rPr>
      </w:pPr>
      <w:r>
        <w:rPr>
          <w:b w:val="0"/>
        </w:rPr>
        <w:t>The University also monitors its financial performance</w:t>
      </w:r>
      <w:r>
        <w:rPr>
          <w:b w:val="0"/>
          <w:spacing w:val="40"/>
        </w:rPr>
        <w:t> </w:t>
      </w:r>
      <w:r>
        <w:rPr>
          <w:b w:val="0"/>
        </w:rPr>
        <w:t>using a financial measure referred to as the ‘underlying</w:t>
      </w:r>
      <w:r>
        <w:rPr>
          <w:b w:val="0"/>
          <w:spacing w:val="40"/>
        </w:rPr>
        <w:t> </w:t>
      </w:r>
      <w:r>
        <w:rPr>
          <w:b w:val="0"/>
        </w:rPr>
        <w:t>result’, which is widely used by the Australian Group of</w:t>
      </w:r>
      <w:r>
        <w:rPr>
          <w:b w:val="0"/>
          <w:spacing w:val="40"/>
        </w:rPr>
        <w:t> </w:t>
      </w:r>
      <w:r>
        <w:rPr>
          <w:b w:val="0"/>
        </w:rPr>
        <w:t>Eight universities as a measure of a university’s capacity to</w:t>
      </w:r>
      <w:r>
        <w:rPr>
          <w:b w:val="0"/>
          <w:spacing w:val="40"/>
        </w:rPr>
        <w:t> </w:t>
      </w:r>
      <w:r>
        <w:rPr>
          <w:b w:val="0"/>
        </w:rPr>
        <w:t>operate sustainably. The underlying result adjusts the</w:t>
      </w:r>
      <w:r>
        <w:rPr>
          <w:b w:val="0"/>
          <w:spacing w:val="40"/>
        </w:rPr>
        <w:t> </w:t>
      </w:r>
      <w:r>
        <w:rPr>
          <w:b w:val="0"/>
        </w:rPr>
        <w:t>University’s net result for items that are one-off or</w:t>
      </w:r>
      <w:r>
        <w:rPr>
          <w:b w:val="0"/>
          <w:spacing w:val="40"/>
        </w:rPr>
        <w:t> </w:t>
      </w:r>
      <w:r>
        <w:rPr>
          <w:b w:val="0"/>
        </w:rPr>
        <w:t>restricted in nature.</w:t>
      </w:r>
    </w:p>
    <w:p>
      <w:pPr>
        <w:spacing w:after="0" w:line="295" w:lineRule="auto"/>
        <w:sectPr>
          <w:type w:val="continuous"/>
          <w:pgSz w:w="11910" w:h="16840"/>
          <w:pgMar w:header="468" w:footer="0" w:top="980" w:bottom="280" w:left="920" w:right="0"/>
          <w:cols w:num="2" w:equalWidth="0">
            <w:col w:w="4874" w:space="143"/>
            <w:col w:w="5973"/>
          </w:cols>
        </w:sectPr>
      </w:pPr>
    </w:p>
    <w:p>
      <w:pPr>
        <w:pStyle w:val="BodyText"/>
        <w:spacing w:before="110"/>
        <w:rPr>
          <w:b w:val="0"/>
          <w:sz w:val="14"/>
        </w:rPr>
      </w:pPr>
      <w:r>
        <w:rPr/>
        <mc:AlternateContent>
          <mc:Choice Requires="wps">
            <w:drawing>
              <wp:anchor distT="0" distB="0" distL="0" distR="0" allowOverlap="1" layoutInCell="1" locked="0" behindDoc="0" simplePos="0" relativeHeight="15863808">
                <wp:simplePos x="0" y="0"/>
                <wp:positionH relativeFrom="page">
                  <wp:posOffset>720001</wp:posOffset>
                </wp:positionH>
                <wp:positionV relativeFrom="page">
                  <wp:posOffset>7832001</wp:posOffset>
                </wp:positionV>
                <wp:extent cx="6541770" cy="2860040"/>
                <wp:effectExtent l="0" t="0" r="0" b="0"/>
                <wp:wrapNone/>
                <wp:docPr id="860" name="Group 860"/>
                <wp:cNvGraphicFramePr>
                  <a:graphicFrameLocks/>
                </wp:cNvGraphicFramePr>
                <a:graphic>
                  <a:graphicData uri="http://schemas.microsoft.com/office/word/2010/wordprocessingGroup">
                    <wpg:wgp>
                      <wpg:cNvPr id="860" name="Group 860"/>
                      <wpg:cNvGrpSpPr/>
                      <wpg:grpSpPr>
                        <a:xfrm>
                          <a:off x="0" y="0"/>
                          <a:ext cx="6541770" cy="2860040"/>
                          <a:chExt cx="6541770" cy="2860040"/>
                        </a:xfrm>
                      </wpg:grpSpPr>
                      <pic:pic>
                        <pic:nvPicPr>
                          <pic:cNvPr id="861" name="Image 861"/>
                          <pic:cNvPicPr/>
                        </pic:nvPicPr>
                        <pic:blipFill>
                          <a:blip r:embed="rId96" cstate="print"/>
                          <a:stretch>
                            <a:fillRect/>
                          </a:stretch>
                        </pic:blipFill>
                        <pic:spPr>
                          <a:xfrm>
                            <a:off x="0" y="269951"/>
                            <a:ext cx="6111900" cy="2590050"/>
                          </a:xfrm>
                          <a:prstGeom prst="rect">
                            <a:avLst/>
                          </a:prstGeom>
                        </pic:spPr>
                      </pic:pic>
                      <wps:wsp>
                        <wps:cNvPr id="862" name="Graphic 862"/>
                        <wps:cNvSpPr/>
                        <wps:spPr>
                          <a:xfrm>
                            <a:off x="3991952" y="0"/>
                            <a:ext cx="2550160" cy="707390"/>
                          </a:xfrm>
                          <a:custGeom>
                            <a:avLst/>
                            <a:gdLst/>
                            <a:ahLst/>
                            <a:cxnLst/>
                            <a:rect l="l" t="t" r="r" b="b"/>
                            <a:pathLst>
                              <a:path w="2550160" h="707390">
                                <a:moveTo>
                                  <a:pt x="2549652" y="0"/>
                                </a:moveTo>
                                <a:lnTo>
                                  <a:pt x="0" y="0"/>
                                </a:lnTo>
                                <a:lnTo>
                                  <a:pt x="0" y="707301"/>
                                </a:lnTo>
                                <a:lnTo>
                                  <a:pt x="2549652" y="707301"/>
                                </a:lnTo>
                                <a:lnTo>
                                  <a:pt x="254965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56.693001pt;margin-top:616.692993pt;width:515.1pt;height:225.2pt;mso-position-horizontal-relative:page;mso-position-vertical-relative:page;z-index:15863808" id="docshapegroup556" coordorigin="1134,12334" coordsize="10302,4504">
                <v:shape style="position:absolute;left:1133;top:12758;width:9626;height:4079" type="#_x0000_t75" id="docshape557" stroked="false">
                  <v:imagedata r:id="rId96" o:title=""/>
                </v:shape>
                <v:rect style="position:absolute;left:7420;top:12333;width:4016;height:1114" id="docshape558" filled="true" fillcolor="#ffffff" stroked="false">
                  <v:fill type="solid"/>
                </v:rect>
                <w10:wrap type="none"/>
              </v:group>
            </w:pict>
          </mc:Fallback>
        </mc:AlternateContent>
      </w:r>
    </w:p>
    <w:p>
      <w:pPr>
        <w:spacing w:before="1"/>
        <w:ind w:left="213" w:right="0" w:firstLine="0"/>
        <w:jc w:val="left"/>
        <w:rPr>
          <w:rFonts w:ascii="TT Norms Pro Light"/>
          <w:b w:val="0"/>
          <w:sz w:val="14"/>
        </w:rPr>
      </w:pPr>
      <w:r>
        <w:rPr>
          <w:rFonts w:ascii="TT Norms Pro Light"/>
          <w:b w:val="0"/>
          <w:position w:val="5"/>
          <w:sz w:val="8"/>
        </w:rPr>
        <w:t>1</w:t>
      </w:r>
      <w:r>
        <w:rPr>
          <w:rFonts w:ascii="TT Norms Pro Light"/>
          <w:b w:val="0"/>
          <w:spacing w:val="13"/>
          <w:position w:val="5"/>
          <w:sz w:val="8"/>
        </w:rPr>
        <w:t> </w:t>
      </w:r>
      <w:r>
        <w:rPr>
          <w:rFonts w:ascii="TT Norms Pro Light"/>
          <w:b w:val="0"/>
          <w:sz w:val="14"/>
        </w:rPr>
        <w:t>Targets</w:t>
      </w:r>
      <w:r>
        <w:rPr>
          <w:rFonts w:ascii="TT Norms Pro Light"/>
          <w:b w:val="0"/>
          <w:spacing w:val="1"/>
          <w:sz w:val="14"/>
        </w:rPr>
        <w:t> </w:t>
      </w:r>
      <w:r>
        <w:rPr>
          <w:rFonts w:ascii="TT Norms Pro Light"/>
          <w:b w:val="0"/>
          <w:sz w:val="14"/>
        </w:rPr>
        <w:t>were</w:t>
      </w:r>
      <w:r>
        <w:rPr>
          <w:rFonts w:ascii="TT Norms Pro Light"/>
          <w:b w:val="0"/>
          <w:spacing w:val="2"/>
          <w:sz w:val="14"/>
        </w:rPr>
        <w:t> </w:t>
      </w:r>
      <w:r>
        <w:rPr>
          <w:rFonts w:ascii="TT Norms Pro Light"/>
          <w:b w:val="0"/>
          <w:sz w:val="14"/>
        </w:rPr>
        <w:t>set</w:t>
      </w:r>
      <w:r>
        <w:rPr>
          <w:rFonts w:ascii="TT Norms Pro Light"/>
          <w:b w:val="0"/>
          <w:spacing w:val="1"/>
          <w:sz w:val="14"/>
        </w:rPr>
        <w:t> </w:t>
      </w:r>
      <w:r>
        <w:rPr>
          <w:rFonts w:ascii="TT Norms Pro Light"/>
          <w:b w:val="0"/>
          <w:sz w:val="14"/>
        </w:rPr>
        <w:t>in</w:t>
      </w:r>
      <w:r>
        <w:rPr>
          <w:rFonts w:ascii="TT Norms Pro Light"/>
          <w:b w:val="0"/>
          <w:spacing w:val="1"/>
          <w:sz w:val="14"/>
        </w:rPr>
        <w:t> </w:t>
      </w:r>
      <w:r>
        <w:rPr>
          <w:rFonts w:ascii="TT Norms Pro Light"/>
          <w:b w:val="0"/>
          <w:sz w:val="14"/>
        </w:rPr>
        <w:t>reference</w:t>
      </w:r>
      <w:r>
        <w:rPr>
          <w:rFonts w:ascii="TT Norms Pro Light"/>
          <w:b w:val="0"/>
          <w:spacing w:val="2"/>
          <w:sz w:val="14"/>
        </w:rPr>
        <w:t> </w:t>
      </w:r>
      <w:r>
        <w:rPr>
          <w:rFonts w:ascii="TT Norms Pro Light"/>
          <w:b w:val="0"/>
          <w:sz w:val="14"/>
        </w:rPr>
        <w:t>to</w:t>
      </w:r>
      <w:r>
        <w:rPr>
          <w:rFonts w:ascii="TT Norms Pro Light"/>
          <w:b w:val="0"/>
          <w:spacing w:val="1"/>
          <w:sz w:val="14"/>
        </w:rPr>
        <w:t> </w:t>
      </w:r>
      <w:r>
        <w:rPr>
          <w:rFonts w:ascii="TT Norms Pro Light"/>
          <w:b w:val="0"/>
          <w:sz w:val="14"/>
        </w:rPr>
        <w:t>a</w:t>
      </w:r>
      <w:r>
        <w:rPr>
          <w:rFonts w:ascii="TT Norms Pro Light"/>
          <w:b w:val="0"/>
          <w:spacing w:val="2"/>
          <w:sz w:val="14"/>
        </w:rPr>
        <w:t> </w:t>
      </w:r>
      <w:r>
        <w:rPr>
          <w:rFonts w:ascii="TT Norms Pro Light"/>
          <w:b w:val="0"/>
          <w:sz w:val="14"/>
        </w:rPr>
        <w:t>2019</w:t>
      </w:r>
      <w:r>
        <w:rPr>
          <w:rFonts w:ascii="TT Norms Pro Light"/>
          <w:b w:val="0"/>
          <w:spacing w:val="1"/>
          <w:sz w:val="14"/>
        </w:rPr>
        <w:t> </w:t>
      </w:r>
      <w:r>
        <w:rPr>
          <w:rFonts w:ascii="TT Norms Pro Light"/>
          <w:b w:val="0"/>
          <w:spacing w:val="-2"/>
          <w:sz w:val="14"/>
        </w:rPr>
        <w:t>baseline</w:t>
      </w:r>
    </w:p>
    <w:p>
      <w:pPr>
        <w:spacing w:before="129"/>
        <w:ind w:left="213" w:right="0" w:firstLine="0"/>
        <w:jc w:val="left"/>
        <w:rPr>
          <w:rFonts w:ascii="TT Norms Pro Light"/>
          <w:b w:val="0"/>
          <w:sz w:val="14"/>
        </w:rPr>
      </w:pPr>
      <w:r>
        <w:rPr>
          <w:rFonts w:ascii="TT Norms Pro Light"/>
          <w:b w:val="0"/>
          <w:position w:val="5"/>
          <w:sz w:val="8"/>
        </w:rPr>
        <w:t>2</w:t>
      </w:r>
      <w:r>
        <w:rPr>
          <w:rFonts w:ascii="TT Norms Pro Light"/>
          <w:b w:val="0"/>
          <w:spacing w:val="20"/>
          <w:position w:val="5"/>
          <w:sz w:val="8"/>
        </w:rPr>
        <w:t> </w:t>
      </w:r>
      <w:r>
        <w:rPr>
          <w:rFonts w:ascii="TT Norms Pro Light"/>
          <w:b w:val="0"/>
          <w:sz w:val="14"/>
        </w:rPr>
        <w:t>EBITDA</w:t>
      </w:r>
      <w:r>
        <w:rPr>
          <w:rFonts w:ascii="TT Norms Pro Light"/>
          <w:b w:val="0"/>
          <w:spacing w:val="9"/>
          <w:sz w:val="14"/>
        </w:rPr>
        <w:t> </w:t>
      </w:r>
      <w:r>
        <w:rPr>
          <w:rFonts w:ascii="TT Norms Pro Light"/>
          <w:b w:val="0"/>
          <w:sz w:val="14"/>
        </w:rPr>
        <w:t>represents</w:t>
      </w:r>
      <w:r>
        <w:rPr>
          <w:rFonts w:ascii="TT Norms Pro Light"/>
          <w:b w:val="0"/>
          <w:spacing w:val="9"/>
          <w:sz w:val="14"/>
        </w:rPr>
        <w:t> </w:t>
      </w:r>
      <w:r>
        <w:rPr>
          <w:rFonts w:ascii="TT Norms Pro Light"/>
          <w:b w:val="0"/>
          <w:sz w:val="14"/>
        </w:rPr>
        <w:t>the</w:t>
      </w:r>
      <w:r>
        <w:rPr>
          <w:rFonts w:ascii="TT Norms Pro Light"/>
          <w:b w:val="0"/>
          <w:spacing w:val="9"/>
          <w:sz w:val="14"/>
        </w:rPr>
        <w:t> </w:t>
      </w:r>
      <w:r>
        <w:rPr>
          <w:rFonts w:ascii="TT Norms Pro Light"/>
          <w:b w:val="0"/>
          <w:sz w:val="14"/>
        </w:rPr>
        <w:t>earnings</w:t>
      </w:r>
      <w:r>
        <w:rPr>
          <w:rFonts w:ascii="TT Norms Pro Light"/>
          <w:b w:val="0"/>
          <w:spacing w:val="9"/>
          <w:sz w:val="14"/>
        </w:rPr>
        <w:t> </w:t>
      </w:r>
      <w:r>
        <w:rPr>
          <w:rFonts w:ascii="TT Norms Pro Light"/>
          <w:b w:val="0"/>
          <w:sz w:val="14"/>
        </w:rPr>
        <w:t>before</w:t>
      </w:r>
      <w:r>
        <w:rPr>
          <w:rFonts w:ascii="TT Norms Pro Light"/>
          <w:b w:val="0"/>
          <w:spacing w:val="9"/>
          <w:sz w:val="14"/>
        </w:rPr>
        <w:t> </w:t>
      </w:r>
      <w:r>
        <w:rPr>
          <w:rFonts w:ascii="TT Norms Pro Light"/>
          <w:b w:val="0"/>
          <w:sz w:val="14"/>
        </w:rPr>
        <w:t>interest,</w:t>
      </w:r>
      <w:r>
        <w:rPr>
          <w:rFonts w:ascii="TT Norms Pro Light"/>
          <w:b w:val="0"/>
          <w:spacing w:val="9"/>
          <w:sz w:val="14"/>
        </w:rPr>
        <w:t> </w:t>
      </w:r>
      <w:r>
        <w:rPr>
          <w:rFonts w:ascii="TT Norms Pro Light"/>
          <w:b w:val="0"/>
          <w:sz w:val="14"/>
        </w:rPr>
        <w:t>tax,</w:t>
      </w:r>
      <w:r>
        <w:rPr>
          <w:rFonts w:ascii="TT Norms Pro Light"/>
          <w:b w:val="0"/>
          <w:spacing w:val="9"/>
          <w:sz w:val="14"/>
        </w:rPr>
        <w:t> </w:t>
      </w:r>
      <w:r>
        <w:rPr>
          <w:rFonts w:ascii="TT Norms Pro Light"/>
          <w:b w:val="0"/>
          <w:sz w:val="14"/>
        </w:rPr>
        <w:t>depreciation</w:t>
      </w:r>
      <w:r>
        <w:rPr>
          <w:rFonts w:ascii="TT Norms Pro Light"/>
          <w:b w:val="0"/>
          <w:spacing w:val="9"/>
          <w:sz w:val="14"/>
        </w:rPr>
        <w:t> </w:t>
      </w:r>
      <w:r>
        <w:rPr>
          <w:rFonts w:ascii="TT Norms Pro Light"/>
          <w:b w:val="0"/>
          <w:sz w:val="14"/>
        </w:rPr>
        <w:t>and</w:t>
      </w:r>
      <w:r>
        <w:rPr>
          <w:rFonts w:ascii="TT Norms Pro Light"/>
          <w:b w:val="0"/>
          <w:spacing w:val="9"/>
          <w:sz w:val="14"/>
        </w:rPr>
        <w:t> </w:t>
      </w:r>
      <w:r>
        <w:rPr>
          <w:rFonts w:ascii="TT Norms Pro Light"/>
          <w:b w:val="0"/>
          <w:spacing w:val="-2"/>
          <w:sz w:val="14"/>
        </w:rPr>
        <w:t>amortisation</w:t>
      </w:r>
    </w:p>
    <w:p>
      <w:pPr>
        <w:spacing w:after="0"/>
        <w:jc w:val="left"/>
        <w:rPr>
          <w:rFonts w:ascii="TT Norms Pro Light"/>
          <w:sz w:val="14"/>
        </w:rPr>
        <w:sectPr>
          <w:type w:val="continuous"/>
          <w:pgSz w:w="11910" w:h="16840"/>
          <w:pgMar w:header="468" w:footer="0" w:top="980" w:bottom="280" w:left="920" w:right="0"/>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103"/>
        <w:rPr>
          <w:b w:val="0"/>
          <w:sz w:val="20"/>
        </w:rPr>
      </w:pPr>
    </w:p>
    <w:p>
      <w:pPr>
        <w:spacing w:after="0"/>
        <w:rPr>
          <w:sz w:val="20"/>
        </w:rPr>
        <w:sectPr>
          <w:pgSz w:w="11910" w:h="16840"/>
          <w:pgMar w:header="468" w:footer="0" w:top="720" w:bottom="280" w:left="920" w:right="0"/>
        </w:sectPr>
      </w:pPr>
    </w:p>
    <w:p>
      <w:pPr>
        <w:pStyle w:val="Heading9"/>
        <w:spacing w:before="129"/>
        <w:ind w:left="213"/>
      </w:pPr>
      <w:r>
        <w:rPr/>
        <w:t>FINANCIAL</w:t>
      </w:r>
      <w:r>
        <w:rPr>
          <w:spacing w:val="19"/>
        </w:rPr>
        <w:t> </w:t>
      </w:r>
      <w:r>
        <w:rPr>
          <w:spacing w:val="-2"/>
        </w:rPr>
        <w:t>POSITION</w:t>
      </w:r>
    </w:p>
    <w:p>
      <w:pPr>
        <w:pStyle w:val="BodyText"/>
        <w:spacing w:line="295" w:lineRule="auto" w:before="154"/>
        <w:ind w:left="213"/>
        <w:rPr>
          <w:b w:val="0"/>
        </w:rPr>
      </w:pPr>
      <w:r>
        <w:rPr>
          <w:b w:val="0"/>
        </w:rPr>
        <w:t>The University liquidity or current ratio (current liabilities/</w:t>
      </w:r>
      <w:r>
        <w:rPr>
          <w:b w:val="0"/>
          <w:spacing w:val="40"/>
        </w:rPr>
        <w:t> </w:t>
      </w:r>
      <w:r>
        <w:rPr>
          <w:b w:val="0"/>
        </w:rPr>
        <w:t>current assets) is 0.6 (2019: 0.7) which is considered high</w:t>
      </w:r>
      <w:r>
        <w:rPr>
          <w:b w:val="0"/>
          <w:spacing w:val="40"/>
        </w:rPr>
        <w:t> </w:t>
      </w:r>
      <w:r>
        <w:rPr>
          <w:b w:val="0"/>
        </w:rPr>
        <w:t>risk. The University is able to support this liquidity through</w:t>
      </w:r>
      <w:r>
        <w:rPr>
          <w:b w:val="0"/>
          <w:spacing w:val="40"/>
        </w:rPr>
        <w:t> </w:t>
      </w:r>
      <w:r>
        <w:rPr>
          <w:b w:val="0"/>
        </w:rPr>
        <w:t>drawing upon its other financial assets, which are</w:t>
      </w:r>
      <w:r>
        <w:rPr>
          <w:b w:val="0"/>
          <w:spacing w:val="40"/>
        </w:rPr>
        <w:t> </w:t>
      </w:r>
      <w:r>
        <w:rPr>
          <w:b w:val="0"/>
        </w:rPr>
        <w:t>predominately invested in highly liquid unit trust funds.</w:t>
      </w:r>
    </w:p>
    <w:p>
      <w:pPr>
        <w:pStyle w:val="BodyText"/>
        <w:spacing w:line="295" w:lineRule="auto" w:before="4"/>
        <w:ind w:left="213" w:right="56"/>
        <w:rPr>
          <w:b w:val="0"/>
        </w:rPr>
      </w:pPr>
      <w:r>
        <w:rPr>
          <w:b w:val="0"/>
        </w:rPr>
        <w:t>A key driver of the reduction in the current ratio is the</w:t>
      </w:r>
      <w:r>
        <w:rPr>
          <w:b w:val="0"/>
          <w:spacing w:val="40"/>
        </w:rPr>
        <w:t> </w:t>
      </w:r>
      <w:r>
        <w:rPr>
          <w:b w:val="0"/>
        </w:rPr>
        <w:t>recognition</w:t>
      </w:r>
      <w:r>
        <w:rPr>
          <w:b w:val="0"/>
          <w:spacing w:val="-2"/>
        </w:rPr>
        <w:t> </w:t>
      </w:r>
      <w:r>
        <w:rPr>
          <w:b w:val="0"/>
        </w:rPr>
        <w:t>of</w:t>
      </w:r>
      <w:r>
        <w:rPr>
          <w:b w:val="0"/>
          <w:spacing w:val="-2"/>
        </w:rPr>
        <w:t> </w:t>
      </w:r>
      <w:r>
        <w:rPr>
          <w:b w:val="0"/>
        </w:rPr>
        <w:t>research</w:t>
      </w:r>
      <w:r>
        <w:rPr>
          <w:b w:val="0"/>
          <w:spacing w:val="-2"/>
        </w:rPr>
        <w:t> </w:t>
      </w:r>
      <w:r>
        <w:rPr>
          <w:b w:val="0"/>
        </w:rPr>
        <w:t>contract</w:t>
      </w:r>
      <w:r>
        <w:rPr>
          <w:b w:val="0"/>
          <w:spacing w:val="-2"/>
        </w:rPr>
        <w:t> </w:t>
      </w:r>
      <w:r>
        <w:rPr>
          <w:b w:val="0"/>
        </w:rPr>
        <w:t>liabilities</w:t>
      </w:r>
      <w:r>
        <w:rPr>
          <w:b w:val="0"/>
          <w:spacing w:val="-2"/>
        </w:rPr>
        <w:t> </w:t>
      </w:r>
      <w:r>
        <w:rPr>
          <w:b w:val="0"/>
        </w:rPr>
        <w:t>as</w:t>
      </w:r>
      <w:r>
        <w:rPr>
          <w:b w:val="0"/>
          <w:spacing w:val="-2"/>
        </w:rPr>
        <w:t> </w:t>
      </w:r>
      <w:r>
        <w:rPr>
          <w:b w:val="0"/>
        </w:rPr>
        <w:t>a</w:t>
      </w:r>
      <w:r>
        <w:rPr>
          <w:b w:val="0"/>
          <w:spacing w:val="-2"/>
        </w:rPr>
        <w:t> </w:t>
      </w:r>
      <w:r>
        <w:rPr>
          <w:b w:val="0"/>
        </w:rPr>
        <w:t>result</w:t>
      </w:r>
      <w:r>
        <w:rPr>
          <w:b w:val="0"/>
          <w:spacing w:val="-2"/>
        </w:rPr>
        <w:t> </w:t>
      </w:r>
      <w:r>
        <w:rPr>
          <w:b w:val="0"/>
        </w:rPr>
        <w:t>of</w:t>
      </w:r>
    </w:p>
    <w:p>
      <w:pPr>
        <w:pStyle w:val="BodyText"/>
        <w:spacing w:line="295" w:lineRule="auto" w:before="2"/>
        <w:ind w:left="213"/>
        <w:rPr>
          <w:b w:val="0"/>
        </w:rPr>
      </w:pPr>
      <w:r>
        <w:rPr>
          <w:b w:val="0"/>
        </w:rPr>
        <w:t>AASB 15. The current ratio excluding restricted funds is 0.5</w:t>
      </w:r>
      <w:r>
        <w:rPr>
          <w:b w:val="0"/>
          <w:spacing w:val="40"/>
        </w:rPr>
        <w:t> </w:t>
      </w:r>
      <w:r>
        <w:rPr>
          <w:b w:val="0"/>
        </w:rPr>
        <w:t>(2019:</w:t>
      </w:r>
      <w:r>
        <w:rPr>
          <w:b w:val="0"/>
          <w:spacing w:val="-5"/>
        </w:rPr>
        <w:t> </w:t>
      </w:r>
      <w:r>
        <w:rPr>
          <w:b w:val="0"/>
        </w:rPr>
        <w:t>0.4).</w:t>
      </w:r>
    </w:p>
    <w:p>
      <w:pPr>
        <w:pStyle w:val="BodyText"/>
        <w:spacing w:line="295" w:lineRule="auto" w:before="115"/>
        <w:ind w:left="213" w:right="84"/>
        <w:rPr>
          <w:b w:val="0"/>
        </w:rPr>
      </w:pPr>
      <w:r>
        <w:rPr>
          <w:b w:val="0"/>
        </w:rPr>
        <w:t>The</w:t>
      </w:r>
      <w:r>
        <w:rPr>
          <w:b w:val="0"/>
          <w:spacing w:val="-3"/>
        </w:rPr>
        <w:t> </w:t>
      </w:r>
      <w:r>
        <w:rPr>
          <w:b w:val="0"/>
        </w:rPr>
        <w:t>University’s</w:t>
      </w:r>
      <w:r>
        <w:rPr>
          <w:b w:val="0"/>
          <w:spacing w:val="-3"/>
        </w:rPr>
        <w:t> </w:t>
      </w:r>
      <w:r>
        <w:rPr>
          <w:b w:val="0"/>
        </w:rPr>
        <w:t>gearing</w:t>
      </w:r>
      <w:r>
        <w:rPr>
          <w:b w:val="0"/>
          <w:spacing w:val="-3"/>
        </w:rPr>
        <w:t> </w:t>
      </w:r>
      <w:r>
        <w:rPr>
          <w:b w:val="0"/>
        </w:rPr>
        <w:t>(debt)</w:t>
      </w:r>
      <w:r>
        <w:rPr>
          <w:b w:val="0"/>
          <w:spacing w:val="-3"/>
        </w:rPr>
        <w:t> </w:t>
      </w:r>
      <w:r>
        <w:rPr>
          <w:b w:val="0"/>
        </w:rPr>
        <w:t>ratio</w:t>
      </w:r>
      <w:r>
        <w:rPr>
          <w:b w:val="0"/>
          <w:spacing w:val="-3"/>
        </w:rPr>
        <w:t> </w:t>
      </w:r>
      <w:r>
        <w:rPr>
          <w:b w:val="0"/>
        </w:rPr>
        <w:t>is</w:t>
      </w:r>
      <w:r>
        <w:rPr>
          <w:b w:val="0"/>
          <w:spacing w:val="-3"/>
        </w:rPr>
        <w:t> </w:t>
      </w:r>
      <w:r>
        <w:rPr>
          <w:b w:val="0"/>
        </w:rPr>
        <w:t>9%</w:t>
      </w:r>
      <w:r>
        <w:rPr>
          <w:b w:val="0"/>
          <w:spacing w:val="-3"/>
        </w:rPr>
        <w:t> </w:t>
      </w:r>
      <w:r>
        <w:rPr>
          <w:b w:val="0"/>
        </w:rPr>
        <w:t>(2019:</w:t>
      </w:r>
      <w:r>
        <w:rPr>
          <w:b w:val="0"/>
          <w:spacing w:val="-3"/>
        </w:rPr>
        <w:t> </w:t>
      </w:r>
      <w:r>
        <w:rPr>
          <w:b w:val="0"/>
        </w:rPr>
        <w:t>6%)</w:t>
      </w:r>
      <w:r>
        <w:rPr>
          <w:b w:val="0"/>
          <w:spacing w:val="-3"/>
        </w:rPr>
        <w:t> </w:t>
      </w:r>
      <w:r>
        <w:rPr>
          <w:b w:val="0"/>
        </w:rPr>
        <w:t>which</w:t>
      </w:r>
      <w:r>
        <w:rPr>
          <w:b w:val="0"/>
          <w:spacing w:val="40"/>
        </w:rPr>
        <w:t> </w:t>
      </w:r>
      <w:r>
        <w:rPr>
          <w:b w:val="0"/>
        </w:rPr>
        <w:t>is considered low risk, however it is noted that excluding</w:t>
      </w:r>
      <w:r>
        <w:rPr>
          <w:b w:val="0"/>
          <w:spacing w:val="40"/>
        </w:rPr>
        <w:t> </w:t>
      </w:r>
      <w:r>
        <w:rPr>
          <w:b w:val="0"/>
        </w:rPr>
        <w:t>restricted net assets, that this ratio is 19% (2019: 13%)</w:t>
      </w:r>
      <w:r>
        <w:rPr>
          <w:b w:val="0"/>
          <w:spacing w:val="80"/>
        </w:rPr>
        <w:t> </w:t>
      </w:r>
      <w:r>
        <w:rPr>
          <w:b w:val="0"/>
        </w:rPr>
        <w:t>which presents higher risk to the University's ability to</w:t>
      </w:r>
      <w:r>
        <w:rPr>
          <w:b w:val="0"/>
          <w:spacing w:val="40"/>
        </w:rPr>
        <w:t> </w:t>
      </w:r>
      <w:r>
        <w:rPr>
          <w:b w:val="0"/>
        </w:rPr>
        <w:t>sustainably service its debt. During the year the University</w:t>
      </w:r>
      <w:r>
        <w:rPr>
          <w:b w:val="0"/>
          <w:spacing w:val="40"/>
        </w:rPr>
        <w:t> </w:t>
      </w:r>
      <w:r>
        <w:rPr>
          <w:b w:val="0"/>
        </w:rPr>
        <w:t>increased its debt borrowings by $56 million.</w:t>
      </w:r>
    </w:p>
    <w:p>
      <w:pPr>
        <w:pStyle w:val="BodyText"/>
        <w:spacing w:line="295" w:lineRule="auto" w:before="119"/>
        <w:ind w:left="213"/>
        <w:rPr>
          <w:b w:val="0"/>
        </w:rPr>
      </w:pPr>
      <w:r>
        <w:rPr>
          <w:b w:val="0"/>
        </w:rPr>
        <w:t>These metrics will both improve, as the University focuses</w:t>
      </w:r>
      <w:r>
        <w:rPr>
          <w:b w:val="0"/>
          <w:spacing w:val="40"/>
        </w:rPr>
        <w:t> </w:t>
      </w:r>
      <w:r>
        <w:rPr>
          <w:b w:val="0"/>
        </w:rPr>
        <w:t>on financial sustainability and further addresses the</w:t>
      </w:r>
      <w:r>
        <w:rPr>
          <w:b w:val="0"/>
          <w:spacing w:val="40"/>
        </w:rPr>
        <w:t> </w:t>
      </w:r>
      <w:r>
        <w:rPr>
          <w:b w:val="0"/>
        </w:rPr>
        <w:t>underlying structural deficit.</w:t>
      </w:r>
    </w:p>
    <w:p>
      <w:pPr>
        <w:pStyle w:val="Heading9"/>
        <w:spacing w:before="99"/>
        <w:ind w:left="213"/>
      </w:pPr>
      <w:r>
        <w:rPr/>
        <w:t>FINANCIAL</w:t>
      </w:r>
      <w:r>
        <w:rPr>
          <w:spacing w:val="13"/>
        </w:rPr>
        <w:t> </w:t>
      </w:r>
      <w:r>
        <w:rPr/>
        <w:t>IMPACT</w:t>
      </w:r>
      <w:r>
        <w:rPr>
          <w:spacing w:val="14"/>
        </w:rPr>
        <w:t> </w:t>
      </w:r>
      <w:r>
        <w:rPr/>
        <w:t>OF</w:t>
      </w:r>
      <w:r>
        <w:rPr>
          <w:spacing w:val="13"/>
        </w:rPr>
        <w:t> </w:t>
      </w:r>
      <w:r>
        <w:rPr/>
        <w:t>COVID-</w:t>
      </w:r>
      <w:r>
        <w:rPr>
          <w:spacing w:val="-5"/>
        </w:rPr>
        <w:t>19</w:t>
      </w:r>
    </w:p>
    <w:p>
      <w:pPr>
        <w:pStyle w:val="BodyText"/>
        <w:spacing w:line="295" w:lineRule="auto" w:before="154"/>
        <w:ind w:left="213" w:right="38"/>
        <w:rPr>
          <w:b w:val="0"/>
        </w:rPr>
      </w:pPr>
      <w:r>
        <w:rPr>
          <w:b w:val="0"/>
        </w:rPr>
        <w:t>Overall, the University (excluding subsidiaries) recognised</w:t>
      </w:r>
      <w:r>
        <w:rPr>
          <w:b w:val="0"/>
          <w:spacing w:val="40"/>
        </w:rPr>
        <w:t> </w:t>
      </w:r>
      <w:r>
        <w:rPr>
          <w:b w:val="0"/>
        </w:rPr>
        <w:t>a $22 million reduction in international student revenue</w:t>
      </w:r>
      <w:r>
        <w:rPr>
          <w:b w:val="0"/>
          <w:spacing w:val="40"/>
        </w:rPr>
        <w:t> </w:t>
      </w:r>
      <w:r>
        <w:rPr>
          <w:b w:val="0"/>
        </w:rPr>
        <w:t>and</w:t>
      </w:r>
      <w:r>
        <w:rPr>
          <w:b w:val="0"/>
          <w:spacing w:val="-1"/>
        </w:rPr>
        <w:t> </w:t>
      </w:r>
      <w:r>
        <w:rPr>
          <w:b w:val="0"/>
        </w:rPr>
        <w:t>commercial</w:t>
      </w:r>
      <w:r>
        <w:rPr>
          <w:b w:val="0"/>
          <w:spacing w:val="-1"/>
        </w:rPr>
        <w:t> </w:t>
      </w:r>
      <w:r>
        <w:rPr>
          <w:b w:val="0"/>
        </w:rPr>
        <w:t>income</w:t>
      </w:r>
      <w:r>
        <w:rPr>
          <w:b w:val="0"/>
          <w:spacing w:val="-1"/>
        </w:rPr>
        <w:t> </w:t>
      </w:r>
      <w:r>
        <w:rPr>
          <w:b w:val="0"/>
        </w:rPr>
        <w:t>as</w:t>
      </w:r>
      <w:r>
        <w:rPr>
          <w:b w:val="0"/>
          <w:spacing w:val="-1"/>
        </w:rPr>
        <w:t> </w:t>
      </w:r>
      <w:r>
        <w:rPr>
          <w:b w:val="0"/>
        </w:rPr>
        <w:t>a</w:t>
      </w:r>
      <w:r>
        <w:rPr>
          <w:b w:val="0"/>
          <w:spacing w:val="-1"/>
        </w:rPr>
        <w:t> </w:t>
      </w:r>
      <w:r>
        <w:rPr>
          <w:b w:val="0"/>
        </w:rPr>
        <w:t>direct</w:t>
      </w:r>
      <w:r>
        <w:rPr>
          <w:b w:val="0"/>
          <w:spacing w:val="-1"/>
        </w:rPr>
        <w:t> </w:t>
      </w:r>
      <w:r>
        <w:rPr>
          <w:b w:val="0"/>
        </w:rPr>
        <w:t>result</w:t>
      </w:r>
      <w:r>
        <w:rPr>
          <w:b w:val="0"/>
          <w:spacing w:val="-1"/>
        </w:rPr>
        <w:t> </w:t>
      </w:r>
      <w:r>
        <w:rPr>
          <w:b w:val="0"/>
        </w:rPr>
        <w:t>of</w:t>
      </w:r>
      <w:r>
        <w:rPr>
          <w:b w:val="0"/>
          <w:spacing w:val="-1"/>
        </w:rPr>
        <w:t> </w:t>
      </w:r>
      <w:r>
        <w:rPr>
          <w:b w:val="0"/>
        </w:rPr>
        <w:t>COVID-19</w:t>
      </w:r>
      <w:r>
        <w:rPr>
          <w:b w:val="0"/>
          <w:spacing w:val="-1"/>
        </w:rPr>
        <w:t> </w:t>
      </w:r>
      <w:r>
        <w:rPr>
          <w:b w:val="0"/>
        </w:rPr>
        <w:t>and</w:t>
      </w:r>
      <w:r>
        <w:rPr>
          <w:b w:val="0"/>
          <w:spacing w:val="40"/>
        </w:rPr>
        <w:t> </w:t>
      </w:r>
      <w:r>
        <w:rPr>
          <w:b w:val="0"/>
        </w:rPr>
        <w:t>incurred additional one-time costs in response to the</w:t>
      </w:r>
      <w:r>
        <w:rPr>
          <w:b w:val="0"/>
          <w:spacing w:val="40"/>
        </w:rPr>
        <w:t> </w:t>
      </w:r>
      <w:r>
        <w:rPr>
          <w:b w:val="0"/>
        </w:rPr>
        <w:t>pandemic of $5 million.</w:t>
      </w:r>
    </w:p>
    <w:p>
      <w:pPr>
        <w:pStyle w:val="BodyText"/>
        <w:spacing w:line="295" w:lineRule="auto" w:before="133"/>
        <w:ind w:left="213" w:right="1189"/>
        <w:rPr>
          <w:b w:val="0"/>
        </w:rPr>
      </w:pPr>
      <w:r>
        <w:rPr/>
        <w:br w:type="column"/>
      </w:r>
      <w:r>
        <w:rPr>
          <w:b w:val="0"/>
        </w:rPr>
        <w:t>As a direct result of the pandemic, the University achieved</w:t>
      </w:r>
      <w:r>
        <w:rPr>
          <w:b w:val="0"/>
          <w:spacing w:val="40"/>
        </w:rPr>
        <w:t> </w:t>
      </w:r>
      <w:r>
        <w:rPr>
          <w:b w:val="0"/>
        </w:rPr>
        <w:t>considerable savings in travel and other commercial and</w:t>
      </w:r>
      <w:r>
        <w:rPr>
          <w:b w:val="0"/>
          <w:spacing w:val="40"/>
        </w:rPr>
        <w:t> </w:t>
      </w:r>
      <w:r>
        <w:rPr>
          <w:b w:val="0"/>
        </w:rPr>
        <w:t>event related expenditure. Other University measures to</w:t>
      </w:r>
      <w:r>
        <w:rPr>
          <w:b w:val="0"/>
          <w:spacing w:val="40"/>
        </w:rPr>
        <w:t> </w:t>
      </w:r>
      <w:r>
        <w:rPr>
          <w:b w:val="0"/>
        </w:rPr>
        <w:t>reduce costs included delays in strategic and capital</w:t>
      </w:r>
      <w:r>
        <w:rPr>
          <w:b w:val="0"/>
          <w:spacing w:val="40"/>
        </w:rPr>
        <w:t> </w:t>
      </w:r>
      <w:r>
        <w:rPr>
          <w:b w:val="0"/>
        </w:rPr>
        <w:t>expenditure, reduction in Executive salaries and</w:t>
      </w:r>
      <w:r>
        <w:rPr>
          <w:b w:val="0"/>
          <w:spacing w:val="80"/>
        </w:rPr>
        <w:t> </w:t>
      </w:r>
      <w:r>
        <w:rPr>
          <w:b w:val="0"/>
        </w:rPr>
        <w:t>Enterprise Agreement Variations requiring staff to</w:t>
      </w:r>
      <w:r>
        <w:rPr>
          <w:b w:val="0"/>
          <w:spacing w:val="40"/>
        </w:rPr>
        <w:t> </w:t>
      </w:r>
      <w:r>
        <w:rPr>
          <w:b w:val="0"/>
        </w:rPr>
        <w:t>purchase additional leave entitlements. There was a net</w:t>
      </w:r>
      <w:r>
        <w:rPr>
          <w:b w:val="0"/>
          <w:spacing w:val="80"/>
          <w:w w:val="150"/>
        </w:rPr>
        <w:t> </w:t>
      </w:r>
      <w:r>
        <w:rPr>
          <w:b w:val="0"/>
        </w:rPr>
        <w:t>nil impact of COVID-19 on our operating result.</w:t>
      </w:r>
    </w:p>
    <w:p>
      <w:pPr>
        <w:pStyle w:val="BodyText"/>
        <w:spacing w:line="295" w:lineRule="auto" w:before="120"/>
        <w:ind w:left="213" w:right="1258"/>
        <w:rPr>
          <w:b w:val="0"/>
        </w:rPr>
      </w:pPr>
      <w:r>
        <w:rPr>
          <w:b w:val="0"/>
        </w:rPr>
        <w:t>The University's subsidiaries were able to reasonably</w:t>
      </w:r>
      <w:r>
        <w:rPr>
          <w:b w:val="0"/>
          <w:spacing w:val="40"/>
        </w:rPr>
        <w:t> </w:t>
      </w:r>
      <w:r>
        <w:rPr>
          <w:b w:val="0"/>
        </w:rPr>
        <w:t>scale-back operations in support of reduced commercial</w:t>
      </w:r>
      <w:r>
        <w:rPr>
          <w:b w:val="0"/>
          <w:spacing w:val="40"/>
        </w:rPr>
        <w:t> </w:t>
      </w:r>
      <w:r>
        <w:rPr>
          <w:b w:val="0"/>
        </w:rPr>
        <w:t>and ancillary activity and associated revenue,</w:t>
      </w:r>
      <w:r>
        <w:rPr>
          <w:b w:val="0"/>
          <w:spacing w:val="40"/>
        </w:rPr>
        <w:t> </w:t>
      </w:r>
      <w:r>
        <w:rPr>
          <w:b w:val="0"/>
        </w:rPr>
        <w:t>acknowledging a number of our commercial subsidiary</w:t>
      </w:r>
      <w:r>
        <w:rPr>
          <w:b w:val="0"/>
          <w:spacing w:val="40"/>
        </w:rPr>
        <w:t> </w:t>
      </w:r>
      <w:r>
        <w:rPr>
          <w:b w:val="0"/>
        </w:rPr>
        <w:t>entities obtained government relief support, including</w:t>
      </w:r>
      <w:r>
        <w:rPr>
          <w:b w:val="0"/>
          <w:spacing w:val="40"/>
        </w:rPr>
        <w:t> </w:t>
      </w:r>
      <w:r>
        <w:rPr>
          <w:b w:val="0"/>
          <w:spacing w:val="-2"/>
        </w:rPr>
        <w:t>JobKeeper.</w:t>
      </w:r>
    </w:p>
    <w:p>
      <w:pPr>
        <w:pStyle w:val="BodyText"/>
        <w:spacing w:line="295" w:lineRule="auto" w:before="119"/>
        <w:ind w:left="213" w:right="1151"/>
        <w:rPr>
          <w:b w:val="0"/>
        </w:rPr>
      </w:pPr>
      <w:r>
        <w:rPr>
          <w:b w:val="0"/>
        </w:rPr>
        <w:t>In addition, the Federal Government announced</w:t>
      </w:r>
      <w:r>
        <w:rPr>
          <w:b w:val="0"/>
          <w:spacing w:val="40"/>
        </w:rPr>
        <w:t> </w:t>
      </w:r>
      <w:r>
        <w:rPr>
          <w:b w:val="0"/>
        </w:rPr>
        <w:t>considerable one-off funding relief to alleviate the</w:t>
      </w:r>
      <w:r>
        <w:rPr>
          <w:b w:val="0"/>
          <w:spacing w:val="40"/>
        </w:rPr>
        <w:t> </w:t>
      </w:r>
      <w:r>
        <w:rPr>
          <w:b w:val="0"/>
        </w:rPr>
        <w:t>immediate financial pressures on universities during the</w:t>
      </w:r>
      <w:r>
        <w:rPr>
          <w:b w:val="0"/>
          <w:spacing w:val="40"/>
        </w:rPr>
        <w:t> </w:t>
      </w:r>
      <w:r>
        <w:rPr>
          <w:b w:val="0"/>
        </w:rPr>
        <w:t>COVID-19 pandemic. These measures included a $1 billion</w:t>
      </w:r>
      <w:r>
        <w:rPr>
          <w:b w:val="0"/>
          <w:spacing w:val="40"/>
        </w:rPr>
        <w:t> </w:t>
      </w:r>
      <w:r>
        <w:rPr>
          <w:b w:val="0"/>
        </w:rPr>
        <w:t>injection into research support for universities, and the</w:t>
      </w:r>
      <w:r>
        <w:rPr>
          <w:b w:val="0"/>
          <w:spacing w:val="40"/>
        </w:rPr>
        <w:t> </w:t>
      </w:r>
      <w:r>
        <w:rPr>
          <w:b w:val="0"/>
        </w:rPr>
        <w:t>2020 Commonwealth Grant Scheme guarantee.</w:t>
      </w:r>
    </w:p>
    <w:p>
      <w:pPr>
        <w:pStyle w:val="BodyText"/>
        <w:spacing w:line="295" w:lineRule="auto" w:before="5"/>
        <w:ind w:left="213" w:right="1427"/>
        <w:rPr>
          <w:b w:val="0"/>
        </w:rPr>
      </w:pPr>
      <w:r>
        <w:rPr>
          <w:b w:val="0"/>
        </w:rPr>
        <w:t>The University will recognise its share of this additional</w:t>
      </w:r>
      <w:r>
        <w:rPr>
          <w:b w:val="0"/>
          <w:spacing w:val="40"/>
        </w:rPr>
        <w:t> </w:t>
      </w:r>
      <w:r>
        <w:rPr>
          <w:b w:val="0"/>
        </w:rPr>
        <w:t>funding in 2021.</w:t>
      </w:r>
    </w:p>
    <w:p>
      <w:pPr>
        <w:spacing w:after="0" w:line="295" w:lineRule="auto"/>
        <w:sectPr>
          <w:type w:val="continuous"/>
          <w:pgSz w:w="11910" w:h="16840"/>
          <w:pgMar w:header="468" w:footer="0" w:top="980" w:bottom="280" w:left="920" w:right="0"/>
          <w:cols w:num="2" w:equalWidth="0">
            <w:col w:w="4874" w:space="144"/>
            <w:col w:w="5972"/>
          </w:cols>
        </w:sectPr>
      </w:pPr>
    </w:p>
    <w:p>
      <w:pPr>
        <w:pStyle w:val="BodyText"/>
        <w:spacing w:before="62"/>
        <w:rPr>
          <w:b w:val="0"/>
        </w:rPr>
      </w:pPr>
    </w:p>
    <w:p>
      <w:pPr>
        <w:spacing w:before="0"/>
        <w:ind w:left="222" w:right="0" w:firstLine="0"/>
        <w:jc w:val="left"/>
        <w:rPr>
          <w:rFonts w:ascii="TT Norms Pro"/>
          <w:b/>
          <w:sz w:val="18"/>
        </w:rPr>
      </w:pPr>
      <w:r>
        <w:rPr>
          <w:rFonts w:ascii="TT Norms Pro"/>
          <w:b/>
          <w:sz w:val="18"/>
        </w:rPr>
        <w:t>Reconciliation</w:t>
      </w:r>
      <w:r>
        <w:rPr>
          <w:rFonts w:ascii="TT Norms Pro"/>
          <w:b/>
          <w:spacing w:val="5"/>
          <w:sz w:val="18"/>
        </w:rPr>
        <w:t> </w:t>
      </w:r>
      <w:r>
        <w:rPr>
          <w:rFonts w:ascii="TT Norms Pro"/>
          <w:b/>
          <w:sz w:val="18"/>
        </w:rPr>
        <w:t>from</w:t>
      </w:r>
      <w:r>
        <w:rPr>
          <w:rFonts w:ascii="TT Norms Pro"/>
          <w:b/>
          <w:spacing w:val="7"/>
          <w:sz w:val="18"/>
        </w:rPr>
        <w:t> </w:t>
      </w:r>
      <w:r>
        <w:rPr>
          <w:rFonts w:ascii="TT Norms Pro"/>
          <w:b/>
          <w:sz w:val="18"/>
        </w:rPr>
        <w:t>operating</w:t>
      </w:r>
      <w:r>
        <w:rPr>
          <w:rFonts w:ascii="TT Norms Pro"/>
          <w:b/>
          <w:spacing w:val="6"/>
          <w:sz w:val="18"/>
        </w:rPr>
        <w:t> </w:t>
      </w:r>
      <w:r>
        <w:rPr>
          <w:rFonts w:ascii="TT Norms Pro"/>
          <w:b/>
          <w:sz w:val="18"/>
        </w:rPr>
        <w:t>result</w:t>
      </w:r>
      <w:r>
        <w:rPr>
          <w:rFonts w:ascii="TT Norms Pro"/>
          <w:b/>
          <w:spacing w:val="7"/>
          <w:sz w:val="18"/>
        </w:rPr>
        <w:t> </w:t>
      </w:r>
      <w:r>
        <w:rPr>
          <w:rFonts w:ascii="TT Norms Pro"/>
          <w:b/>
          <w:sz w:val="18"/>
        </w:rPr>
        <w:t>to</w:t>
      </w:r>
      <w:r>
        <w:rPr>
          <w:rFonts w:ascii="TT Norms Pro"/>
          <w:b/>
          <w:spacing w:val="6"/>
          <w:sz w:val="18"/>
        </w:rPr>
        <w:t> </w:t>
      </w:r>
      <w:r>
        <w:rPr>
          <w:rFonts w:ascii="TT Norms Pro"/>
          <w:b/>
          <w:sz w:val="18"/>
        </w:rPr>
        <w:t>underlying</w:t>
      </w:r>
      <w:r>
        <w:rPr>
          <w:rFonts w:ascii="TT Norms Pro"/>
          <w:b/>
          <w:spacing w:val="7"/>
          <w:sz w:val="18"/>
        </w:rPr>
        <w:t> </w:t>
      </w:r>
      <w:r>
        <w:rPr>
          <w:rFonts w:ascii="TT Norms Pro"/>
          <w:b/>
          <w:spacing w:val="-2"/>
          <w:sz w:val="18"/>
        </w:rPr>
        <w:t>result</w:t>
      </w:r>
    </w:p>
    <w:p>
      <w:pPr>
        <w:pStyle w:val="BodyText"/>
        <w:spacing w:before="34" w:after="1"/>
        <w:rPr>
          <w:rFonts w:ascii="TT Norms Pro"/>
          <w:b/>
          <w:sz w:val="20"/>
        </w:rPr>
      </w:pPr>
    </w:p>
    <w:tbl>
      <w:tblPr>
        <w:tblW w:w="0" w:type="auto"/>
        <w:jc w:val="left"/>
        <w:tblInd w:w="2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898"/>
        <w:gridCol w:w="1019"/>
        <w:gridCol w:w="884"/>
        <w:gridCol w:w="814"/>
        <w:gridCol w:w="840"/>
        <w:gridCol w:w="833"/>
        <w:gridCol w:w="856"/>
        <w:gridCol w:w="817"/>
        <w:gridCol w:w="657"/>
      </w:tblGrid>
      <w:tr>
        <w:trPr>
          <w:trHeight w:val="212" w:hRule="atLeast"/>
        </w:trPr>
        <w:tc>
          <w:tcPr>
            <w:tcW w:w="2898" w:type="dxa"/>
            <w:vMerge w:val="restart"/>
            <w:tcBorders>
              <w:top w:val="single" w:sz="8" w:space="0" w:color="000000"/>
              <w:bottom w:val="single" w:sz="2" w:space="0" w:color="000000"/>
            </w:tcBorders>
          </w:tcPr>
          <w:p>
            <w:pPr>
              <w:pStyle w:val="TableParagraph"/>
              <w:rPr>
                <w:rFonts w:ascii="Times New Roman"/>
                <w:sz w:val="16"/>
              </w:rPr>
            </w:pPr>
          </w:p>
        </w:tc>
        <w:tc>
          <w:tcPr>
            <w:tcW w:w="1019" w:type="dxa"/>
            <w:tcBorders>
              <w:top w:val="single" w:sz="8" w:space="0" w:color="000000"/>
            </w:tcBorders>
          </w:tcPr>
          <w:p>
            <w:pPr>
              <w:pStyle w:val="TableParagraph"/>
              <w:spacing w:line="131" w:lineRule="exact" w:before="61"/>
              <w:ind w:right="204"/>
              <w:jc w:val="right"/>
              <w:rPr>
                <w:rFonts w:ascii="TT Norms Pro"/>
                <w:b/>
                <w:sz w:val="14"/>
              </w:rPr>
            </w:pPr>
            <w:r>
              <w:rPr>
                <w:rFonts w:ascii="TT Norms Pro"/>
                <w:b/>
                <w:spacing w:val="-4"/>
                <w:sz w:val="14"/>
              </w:rPr>
              <w:t>2020</w:t>
            </w:r>
          </w:p>
        </w:tc>
        <w:tc>
          <w:tcPr>
            <w:tcW w:w="884" w:type="dxa"/>
            <w:tcBorders>
              <w:top w:val="single" w:sz="8" w:space="0" w:color="000000"/>
            </w:tcBorders>
          </w:tcPr>
          <w:p>
            <w:pPr>
              <w:pStyle w:val="TableParagraph"/>
              <w:spacing w:line="131" w:lineRule="exact" w:before="61"/>
              <w:ind w:right="249"/>
              <w:jc w:val="right"/>
              <w:rPr>
                <w:rFonts w:ascii="TT Norms Pro"/>
                <w:b/>
                <w:sz w:val="14"/>
              </w:rPr>
            </w:pPr>
            <w:r>
              <w:rPr>
                <w:rFonts w:ascii="TT Norms Pro"/>
                <w:b/>
                <w:spacing w:val="-4"/>
                <w:sz w:val="14"/>
              </w:rPr>
              <w:t>2019</w:t>
            </w:r>
          </w:p>
        </w:tc>
        <w:tc>
          <w:tcPr>
            <w:tcW w:w="814" w:type="dxa"/>
            <w:tcBorders>
              <w:top w:val="single" w:sz="8" w:space="0" w:color="000000"/>
            </w:tcBorders>
          </w:tcPr>
          <w:p>
            <w:pPr>
              <w:pStyle w:val="TableParagraph"/>
              <w:spacing w:line="131" w:lineRule="exact" w:before="61"/>
              <w:ind w:right="225"/>
              <w:jc w:val="right"/>
              <w:rPr>
                <w:rFonts w:ascii="TT Norms Pro"/>
                <w:b/>
                <w:sz w:val="14"/>
              </w:rPr>
            </w:pPr>
            <w:r>
              <w:rPr>
                <w:rFonts w:ascii="TT Norms Pro"/>
                <w:b/>
                <w:spacing w:val="-4"/>
                <w:sz w:val="14"/>
              </w:rPr>
              <w:t>2018</w:t>
            </w:r>
          </w:p>
        </w:tc>
        <w:tc>
          <w:tcPr>
            <w:tcW w:w="840" w:type="dxa"/>
            <w:tcBorders>
              <w:top w:val="single" w:sz="8" w:space="0" w:color="000000"/>
            </w:tcBorders>
          </w:tcPr>
          <w:p>
            <w:pPr>
              <w:pStyle w:val="TableParagraph"/>
              <w:spacing w:line="131" w:lineRule="exact" w:before="61"/>
              <w:ind w:right="233"/>
              <w:jc w:val="right"/>
              <w:rPr>
                <w:rFonts w:ascii="TT Norms Pro"/>
                <w:b/>
                <w:sz w:val="14"/>
              </w:rPr>
            </w:pPr>
            <w:r>
              <w:rPr>
                <w:rFonts w:ascii="TT Norms Pro"/>
                <w:b/>
                <w:spacing w:val="-4"/>
                <w:sz w:val="14"/>
              </w:rPr>
              <w:t>2017</w:t>
            </w:r>
          </w:p>
        </w:tc>
        <w:tc>
          <w:tcPr>
            <w:tcW w:w="833" w:type="dxa"/>
            <w:tcBorders>
              <w:top w:val="single" w:sz="8" w:space="0" w:color="000000"/>
            </w:tcBorders>
          </w:tcPr>
          <w:p>
            <w:pPr>
              <w:pStyle w:val="TableParagraph"/>
              <w:spacing w:line="131" w:lineRule="exact" w:before="61"/>
              <w:ind w:right="227"/>
              <w:jc w:val="right"/>
              <w:rPr>
                <w:rFonts w:ascii="TT Norms Pro"/>
                <w:b/>
                <w:sz w:val="14"/>
              </w:rPr>
            </w:pPr>
            <w:r>
              <w:rPr>
                <w:rFonts w:ascii="TT Norms Pro"/>
                <w:b/>
                <w:spacing w:val="-4"/>
                <w:sz w:val="14"/>
              </w:rPr>
              <w:t>2016</w:t>
            </w:r>
          </w:p>
        </w:tc>
        <w:tc>
          <w:tcPr>
            <w:tcW w:w="856" w:type="dxa"/>
            <w:tcBorders>
              <w:top w:val="single" w:sz="8" w:space="0" w:color="000000"/>
            </w:tcBorders>
          </w:tcPr>
          <w:p>
            <w:pPr>
              <w:pStyle w:val="TableParagraph"/>
              <w:spacing w:line="131" w:lineRule="exact" w:before="61"/>
              <w:ind w:right="246"/>
              <w:jc w:val="right"/>
              <w:rPr>
                <w:rFonts w:ascii="TT Norms Pro"/>
                <w:b/>
                <w:sz w:val="14"/>
              </w:rPr>
            </w:pPr>
            <w:r>
              <w:rPr>
                <w:rFonts w:ascii="TT Norms Pro"/>
                <w:b/>
                <w:spacing w:val="-4"/>
                <w:sz w:val="14"/>
              </w:rPr>
              <w:t>2015</w:t>
            </w:r>
          </w:p>
        </w:tc>
        <w:tc>
          <w:tcPr>
            <w:tcW w:w="817" w:type="dxa"/>
            <w:tcBorders>
              <w:top w:val="single" w:sz="8" w:space="0" w:color="000000"/>
            </w:tcBorders>
          </w:tcPr>
          <w:p>
            <w:pPr>
              <w:pStyle w:val="TableParagraph"/>
              <w:spacing w:line="131" w:lineRule="exact" w:before="61"/>
              <w:ind w:right="226"/>
              <w:jc w:val="right"/>
              <w:rPr>
                <w:rFonts w:ascii="TT Norms Pro"/>
                <w:b/>
                <w:sz w:val="14"/>
              </w:rPr>
            </w:pPr>
            <w:r>
              <w:rPr>
                <w:rFonts w:ascii="TT Norms Pro"/>
                <w:b/>
                <w:spacing w:val="-4"/>
                <w:sz w:val="14"/>
              </w:rPr>
              <w:t>2014</w:t>
            </w:r>
          </w:p>
        </w:tc>
        <w:tc>
          <w:tcPr>
            <w:tcW w:w="657" w:type="dxa"/>
            <w:tcBorders>
              <w:top w:val="single" w:sz="8" w:space="0" w:color="000000"/>
            </w:tcBorders>
          </w:tcPr>
          <w:p>
            <w:pPr>
              <w:pStyle w:val="TableParagraph"/>
              <w:spacing w:line="131" w:lineRule="exact" w:before="61"/>
              <w:ind w:right="48"/>
              <w:jc w:val="right"/>
              <w:rPr>
                <w:rFonts w:ascii="TT Norms Pro"/>
                <w:b/>
                <w:sz w:val="14"/>
              </w:rPr>
            </w:pPr>
            <w:r>
              <w:rPr>
                <w:rFonts w:ascii="TT Norms Pro"/>
                <w:b/>
                <w:spacing w:val="-4"/>
                <w:sz w:val="14"/>
              </w:rPr>
              <w:t>2013</w:t>
            </w:r>
          </w:p>
        </w:tc>
      </w:tr>
      <w:tr>
        <w:trPr>
          <w:trHeight w:val="219" w:hRule="atLeast"/>
        </w:trPr>
        <w:tc>
          <w:tcPr>
            <w:tcW w:w="2898" w:type="dxa"/>
            <w:vMerge/>
            <w:tcBorders>
              <w:top w:val="nil"/>
              <w:bottom w:val="single" w:sz="2" w:space="0" w:color="000000"/>
            </w:tcBorders>
          </w:tcPr>
          <w:p>
            <w:pPr>
              <w:rPr>
                <w:sz w:val="2"/>
                <w:szCs w:val="2"/>
              </w:rPr>
            </w:pPr>
          </w:p>
        </w:tc>
        <w:tc>
          <w:tcPr>
            <w:tcW w:w="1019" w:type="dxa"/>
            <w:tcBorders>
              <w:bottom w:val="single" w:sz="2" w:space="0" w:color="000000"/>
            </w:tcBorders>
          </w:tcPr>
          <w:p>
            <w:pPr>
              <w:pStyle w:val="TableParagraph"/>
              <w:spacing w:before="4"/>
              <w:ind w:right="200"/>
              <w:jc w:val="right"/>
              <w:rPr>
                <w:rFonts w:ascii="TT Norms Pro"/>
                <w:b/>
                <w:sz w:val="14"/>
              </w:rPr>
            </w:pPr>
            <w:r>
              <w:rPr>
                <w:rFonts w:ascii="TT Norms Pro"/>
                <w:b/>
                <w:spacing w:val="-5"/>
                <w:sz w:val="14"/>
              </w:rPr>
              <w:t>$M</w:t>
            </w:r>
          </w:p>
        </w:tc>
        <w:tc>
          <w:tcPr>
            <w:tcW w:w="884" w:type="dxa"/>
            <w:tcBorders>
              <w:bottom w:val="single" w:sz="2" w:space="0" w:color="000000"/>
            </w:tcBorders>
          </w:tcPr>
          <w:p>
            <w:pPr>
              <w:pStyle w:val="TableParagraph"/>
              <w:spacing w:before="4"/>
              <w:ind w:right="247"/>
              <w:jc w:val="right"/>
              <w:rPr>
                <w:rFonts w:ascii="TT Norms Pro"/>
                <w:b/>
                <w:sz w:val="14"/>
              </w:rPr>
            </w:pPr>
            <w:r>
              <w:rPr>
                <w:rFonts w:ascii="TT Norms Pro"/>
                <w:b/>
                <w:spacing w:val="-5"/>
                <w:sz w:val="14"/>
              </w:rPr>
              <w:t>$M</w:t>
            </w:r>
          </w:p>
        </w:tc>
        <w:tc>
          <w:tcPr>
            <w:tcW w:w="814" w:type="dxa"/>
            <w:tcBorders>
              <w:bottom w:val="single" w:sz="2" w:space="0" w:color="000000"/>
            </w:tcBorders>
          </w:tcPr>
          <w:p>
            <w:pPr>
              <w:pStyle w:val="TableParagraph"/>
              <w:spacing w:before="4"/>
              <w:ind w:right="225"/>
              <w:jc w:val="right"/>
              <w:rPr>
                <w:rFonts w:ascii="TT Norms Pro"/>
                <w:b/>
                <w:sz w:val="14"/>
              </w:rPr>
            </w:pPr>
            <w:r>
              <w:rPr>
                <w:rFonts w:ascii="TT Norms Pro"/>
                <w:b/>
                <w:spacing w:val="-5"/>
                <w:sz w:val="14"/>
              </w:rPr>
              <w:t>$M</w:t>
            </w:r>
          </w:p>
        </w:tc>
        <w:tc>
          <w:tcPr>
            <w:tcW w:w="840" w:type="dxa"/>
            <w:tcBorders>
              <w:bottom w:val="single" w:sz="2" w:space="0" w:color="000000"/>
            </w:tcBorders>
          </w:tcPr>
          <w:p>
            <w:pPr>
              <w:pStyle w:val="TableParagraph"/>
              <w:spacing w:before="4"/>
              <w:ind w:right="229"/>
              <w:jc w:val="right"/>
              <w:rPr>
                <w:rFonts w:ascii="TT Norms Pro"/>
                <w:b/>
                <w:sz w:val="14"/>
              </w:rPr>
            </w:pPr>
            <w:r>
              <w:rPr>
                <w:rFonts w:ascii="TT Norms Pro"/>
                <w:b/>
                <w:spacing w:val="-5"/>
                <w:sz w:val="14"/>
              </w:rPr>
              <w:t>$M</w:t>
            </w:r>
          </w:p>
        </w:tc>
        <w:tc>
          <w:tcPr>
            <w:tcW w:w="833" w:type="dxa"/>
            <w:tcBorders>
              <w:bottom w:val="single" w:sz="2" w:space="0" w:color="000000"/>
            </w:tcBorders>
          </w:tcPr>
          <w:p>
            <w:pPr>
              <w:pStyle w:val="TableParagraph"/>
              <w:spacing w:before="4"/>
              <w:ind w:right="226"/>
              <w:jc w:val="right"/>
              <w:rPr>
                <w:rFonts w:ascii="TT Norms Pro"/>
                <w:b/>
                <w:sz w:val="14"/>
              </w:rPr>
            </w:pPr>
            <w:r>
              <w:rPr>
                <w:rFonts w:ascii="TT Norms Pro"/>
                <w:b/>
                <w:spacing w:val="-5"/>
                <w:sz w:val="14"/>
              </w:rPr>
              <w:t>$M</w:t>
            </w:r>
          </w:p>
        </w:tc>
        <w:tc>
          <w:tcPr>
            <w:tcW w:w="856" w:type="dxa"/>
            <w:tcBorders>
              <w:bottom w:val="single" w:sz="2" w:space="0" w:color="000000"/>
            </w:tcBorders>
          </w:tcPr>
          <w:p>
            <w:pPr>
              <w:pStyle w:val="TableParagraph"/>
              <w:spacing w:before="4"/>
              <w:ind w:right="245"/>
              <w:jc w:val="right"/>
              <w:rPr>
                <w:rFonts w:ascii="TT Norms Pro"/>
                <w:b/>
                <w:sz w:val="14"/>
              </w:rPr>
            </w:pPr>
            <w:r>
              <w:rPr>
                <w:rFonts w:ascii="TT Norms Pro"/>
                <w:b/>
                <w:spacing w:val="-5"/>
                <w:sz w:val="14"/>
              </w:rPr>
              <w:t>$M</w:t>
            </w:r>
          </w:p>
        </w:tc>
        <w:tc>
          <w:tcPr>
            <w:tcW w:w="817" w:type="dxa"/>
            <w:tcBorders>
              <w:bottom w:val="single" w:sz="2" w:space="0" w:color="000000"/>
            </w:tcBorders>
          </w:tcPr>
          <w:p>
            <w:pPr>
              <w:pStyle w:val="TableParagraph"/>
              <w:spacing w:before="4"/>
              <w:ind w:right="226"/>
              <w:jc w:val="right"/>
              <w:rPr>
                <w:rFonts w:ascii="TT Norms Pro"/>
                <w:b/>
                <w:sz w:val="14"/>
              </w:rPr>
            </w:pPr>
            <w:r>
              <w:rPr>
                <w:rFonts w:ascii="TT Norms Pro"/>
                <w:b/>
                <w:spacing w:val="-5"/>
                <w:sz w:val="14"/>
              </w:rPr>
              <w:t>$M</w:t>
            </w:r>
          </w:p>
        </w:tc>
        <w:tc>
          <w:tcPr>
            <w:tcW w:w="657" w:type="dxa"/>
            <w:tcBorders>
              <w:bottom w:val="single" w:sz="2" w:space="0" w:color="000000"/>
            </w:tcBorders>
          </w:tcPr>
          <w:p>
            <w:pPr>
              <w:pStyle w:val="TableParagraph"/>
              <w:spacing w:before="4"/>
              <w:ind w:right="47"/>
              <w:jc w:val="right"/>
              <w:rPr>
                <w:rFonts w:ascii="TT Norms Pro"/>
                <w:b/>
                <w:sz w:val="14"/>
              </w:rPr>
            </w:pPr>
            <w:r>
              <w:rPr>
                <w:rFonts w:ascii="TT Norms Pro"/>
                <w:b/>
                <w:spacing w:val="-5"/>
                <w:sz w:val="14"/>
              </w:rPr>
              <w:t>$M</w:t>
            </w:r>
          </w:p>
        </w:tc>
      </w:tr>
      <w:tr>
        <w:trPr>
          <w:trHeight w:val="295" w:hRule="atLeast"/>
        </w:trPr>
        <w:tc>
          <w:tcPr>
            <w:tcW w:w="2898" w:type="dxa"/>
            <w:tcBorders>
              <w:top w:val="single" w:sz="2" w:space="0" w:color="000000"/>
            </w:tcBorders>
            <w:shd w:val="clear" w:color="auto" w:fill="EFEFF0"/>
          </w:tcPr>
          <w:p>
            <w:pPr>
              <w:pStyle w:val="TableParagraph"/>
              <w:spacing w:before="72"/>
              <w:ind w:left="114"/>
              <w:rPr>
                <w:rFonts w:ascii="TT Norms Pro"/>
                <w:b/>
                <w:sz w:val="14"/>
              </w:rPr>
            </w:pPr>
            <w:r>
              <w:rPr>
                <w:rFonts w:ascii="TT Norms Pro"/>
                <w:b/>
                <w:sz w:val="14"/>
              </w:rPr>
              <w:t>Consolidated</w:t>
            </w:r>
            <w:r>
              <w:rPr>
                <w:rFonts w:ascii="TT Norms Pro"/>
                <w:b/>
                <w:spacing w:val="18"/>
                <w:sz w:val="14"/>
              </w:rPr>
              <w:t> </w:t>
            </w:r>
            <w:r>
              <w:rPr>
                <w:rFonts w:ascii="TT Norms Pro"/>
                <w:b/>
                <w:sz w:val="14"/>
              </w:rPr>
              <w:t>operating</w:t>
            </w:r>
            <w:r>
              <w:rPr>
                <w:rFonts w:ascii="TT Norms Pro"/>
                <w:b/>
                <w:spacing w:val="21"/>
                <w:sz w:val="14"/>
              </w:rPr>
              <w:t> </w:t>
            </w:r>
            <w:r>
              <w:rPr>
                <w:rFonts w:ascii="TT Norms Pro"/>
                <w:b/>
                <w:spacing w:val="-2"/>
                <w:sz w:val="14"/>
              </w:rPr>
              <w:t>result</w:t>
            </w:r>
          </w:p>
        </w:tc>
        <w:tc>
          <w:tcPr>
            <w:tcW w:w="1019" w:type="dxa"/>
            <w:tcBorders>
              <w:top w:val="single" w:sz="2" w:space="0" w:color="000000"/>
            </w:tcBorders>
            <w:shd w:val="clear" w:color="auto" w:fill="EFEFF0"/>
          </w:tcPr>
          <w:p>
            <w:pPr>
              <w:pStyle w:val="TableParagraph"/>
              <w:spacing w:before="72"/>
              <w:ind w:right="202"/>
              <w:jc w:val="right"/>
              <w:rPr>
                <w:rFonts w:ascii="TT Norms Pro"/>
                <w:b/>
                <w:sz w:val="14"/>
              </w:rPr>
            </w:pPr>
            <w:r>
              <w:rPr>
                <w:rFonts w:ascii="TT Norms Pro"/>
                <w:b/>
                <w:spacing w:val="-4"/>
                <w:sz w:val="14"/>
              </w:rPr>
              <w:t>55.1</w:t>
            </w:r>
          </w:p>
        </w:tc>
        <w:tc>
          <w:tcPr>
            <w:tcW w:w="884" w:type="dxa"/>
            <w:tcBorders>
              <w:top w:val="single" w:sz="2" w:space="0" w:color="000000"/>
            </w:tcBorders>
            <w:shd w:val="clear" w:color="auto" w:fill="EFEFF0"/>
          </w:tcPr>
          <w:p>
            <w:pPr>
              <w:pStyle w:val="TableParagraph"/>
              <w:spacing w:before="72"/>
              <w:ind w:right="251"/>
              <w:jc w:val="right"/>
              <w:rPr>
                <w:rFonts w:ascii="TT Norms Pro"/>
                <w:b/>
                <w:sz w:val="14"/>
              </w:rPr>
            </w:pPr>
            <w:r>
              <w:rPr>
                <w:rFonts w:ascii="TT Norms Pro"/>
                <w:b/>
                <w:spacing w:val="-2"/>
                <w:sz w:val="14"/>
              </w:rPr>
              <w:t>121.0</w:t>
            </w:r>
          </w:p>
        </w:tc>
        <w:tc>
          <w:tcPr>
            <w:tcW w:w="814" w:type="dxa"/>
            <w:tcBorders>
              <w:top w:val="single" w:sz="2" w:space="0" w:color="000000"/>
            </w:tcBorders>
            <w:shd w:val="clear" w:color="auto" w:fill="EFEFF0"/>
          </w:tcPr>
          <w:p>
            <w:pPr>
              <w:pStyle w:val="TableParagraph"/>
              <w:spacing w:before="72"/>
              <w:ind w:right="229"/>
              <w:jc w:val="right"/>
              <w:rPr>
                <w:rFonts w:ascii="TT Norms Pro"/>
                <w:b/>
                <w:sz w:val="14"/>
              </w:rPr>
            </w:pPr>
            <w:r>
              <w:rPr>
                <w:rFonts w:ascii="TT Norms Pro"/>
                <w:b/>
                <w:spacing w:val="-4"/>
                <w:sz w:val="14"/>
              </w:rPr>
              <w:t>29.1</w:t>
            </w:r>
          </w:p>
        </w:tc>
        <w:tc>
          <w:tcPr>
            <w:tcW w:w="840" w:type="dxa"/>
            <w:tcBorders>
              <w:top w:val="single" w:sz="2" w:space="0" w:color="000000"/>
            </w:tcBorders>
            <w:shd w:val="clear" w:color="auto" w:fill="EFEFF0"/>
          </w:tcPr>
          <w:p>
            <w:pPr>
              <w:pStyle w:val="TableParagraph"/>
              <w:spacing w:before="72"/>
              <w:ind w:right="232"/>
              <w:jc w:val="right"/>
              <w:rPr>
                <w:rFonts w:ascii="TT Norms Pro"/>
                <w:b/>
                <w:sz w:val="14"/>
              </w:rPr>
            </w:pPr>
            <w:r>
              <w:rPr>
                <w:rFonts w:ascii="TT Norms Pro"/>
                <w:b/>
                <w:spacing w:val="-4"/>
                <w:sz w:val="14"/>
              </w:rPr>
              <w:t>81.8</w:t>
            </w:r>
          </w:p>
        </w:tc>
        <w:tc>
          <w:tcPr>
            <w:tcW w:w="833" w:type="dxa"/>
            <w:tcBorders>
              <w:top w:val="single" w:sz="2" w:space="0" w:color="000000"/>
            </w:tcBorders>
            <w:shd w:val="clear" w:color="auto" w:fill="EFEFF0"/>
          </w:tcPr>
          <w:p>
            <w:pPr>
              <w:pStyle w:val="TableParagraph"/>
              <w:spacing w:before="72"/>
              <w:ind w:right="232"/>
              <w:jc w:val="right"/>
              <w:rPr>
                <w:rFonts w:ascii="TT Norms Pro"/>
                <w:b/>
                <w:sz w:val="14"/>
              </w:rPr>
            </w:pPr>
            <w:r>
              <w:rPr>
                <w:rFonts w:ascii="TT Norms Pro"/>
                <w:b/>
                <w:spacing w:val="-4"/>
                <w:sz w:val="14"/>
              </w:rPr>
              <w:t>25.9</w:t>
            </w:r>
          </w:p>
        </w:tc>
        <w:tc>
          <w:tcPr>
            <w:tcW w:w="856" w:type="dxa"/>
            <w:tcBorders>
              <w:top w:val="single" w:sz="2" w:space="0" w:color="000000"/>
            </w:tcBorders>
            <w:shd w:val="clear" w:color="auto" w:fill="EFEFF0"/>
          </w:tcPr>
          <w:p>
            <w:pPr>
              <w:pStyle w:val="TableParagraph"/>
              <w:spacing w:before="72"/>
              <w:ind w:right="248"/>
              <w:jc w:val="right"/>
              <w:rPr>
                <w:rFonts w:ascii="TT Norms Pro"/>
                <w:b/>
                <w:sz w:val="14"/>
              </w:rPr>
            </w:pPr>
            <w:r>
              <w:rPr>
                <w:rFonts w:ascii="TT Norms Pro"/>
                <w:b/>
                <w:spacing w:val="-4"/>
                <w:sz w:val="14"/>
              </w:rPr>
              <w:t>33.1</w:t>
            </w:r>
          </w:p>
        </w:tc>
        <w:tc>
          <w:tcPr>
            <w:tcW w:w="817" w:type="dxa"/>
            <w:tcBorders>
              <w:top w:val="single" w:sz="2" w:space="0" w:color="000000"/>
            </w:tcBorders>
            <w:shd w:val="clear" w:color="auto" w:fill="EFEFF0"/>
          </w:tcPr>
          <w:p>
            <w:pPr>
              <w:pStyle w:val="TableParagraph"/>
              <w:spacing w:before="72"/>
              <w:ind w:right="226"/>
              <w:jc w:val="right"/>
              <w:rPr>
                <w:rFonts w:ascii="TT Norms Pro"/>
                <w:b/>
                <w:sz w:val="14"/>
              </w:rPr>
            </w:pPr>
            <w:r>
              <w:rPr>
                <w:rFonts w:ascii="TT Norms Pro"/>
                <w:b/>
                <w:spacing w:val="-4"/>
                <w:sz w:val="14"/>
              </w:rPr>
              <w:t>91.7</w:t>
            </w:r>
          </w:p>
        </w:tc>
        <w:tc>
          <w:tcPr>
            <w:tcW w:w="657" w:type="dxa"/>
            <w:tcBorders>
              <w:top w:val="single" w:sz="2" w:space="0" w:color="000000"/>
            </w:tcBorders>
            <w:shd w:val="clear" w:color="auto" w:fill="EFEFF0"/>
          </w:tcPr>
          <w:p>
            <w:pPr>
              <w:pStyle w:val="TableParagraph"/>
              <w:spacing w:before="72"/>
              <w:ind w:right="51"/>
              <w:jc w:val="right"/>
              <w:rPr>
                <w:rFonts w:ascii="TT Norms Pro"/>
                <w:b/>
                <w:sz w:val="14"/>
              </w:rPr>
            </w:pPr>
            <w:r>
              <w:rPr>
                <w:rFonts w:ascii="TT Norms Pro"/>
                <w:b/>
                <w:spacing w:val="-4"/>
                <w:sz w:val="14"/>
              </w:rPr>
              <w:t>124.8</w:t>
            </w:r>
          </w:p>
        </w:tc>
      </w:tr>
      <w:tr>
        <w:trPr>
          <w:trHeight w:val="289" w:hRule="atLeast"/>
        </w:trPr>
        <w:tc>
          <w:tcPr>
            <w:tcW w:w="2898" w:type="dxa"/>
          </w:tcPr>
          <w:p>
            <w:pPr>
              <w:pStyle w:val="TableParagraph"/>
              <w:spacing w:before="71"/>
              <w:ind w:left="113"/>
              <w:rPr>
                <w:rFonts w:ascii="TT Norms Pro Light"/>
                <w:b w:val="0"/>
                <w:sz w:val="14"/>
              </w:rPr>
            </w:pPr>
            <w:r>
              <w:rPr>
                <w:rFonts w:ascii="TT Norms Pro Light"/>
                <w:b w:val="0"/>
                <w:sz w:val="14"/>
              </w:rPr>
              <w:t>Less</w:t>
            </w:r>
            <w:r>
              <w:rPr>
                <w:rFonts w:ascii="TT Norms Pro Light"/>
                <w:b w:val="0"/>
                <w:spacing w:val="6"/>
                <w:sz w:val="14"/>
              </w:rPr>
              <w:t> </w:t>
            </w:r>
            <w:r>
              <w:rPr>
                <w:rFonts w:ascii="TT Norms Pro Light"/>
                <w:b w:val="0"/>
                <w:spacing w:val="-2"/>
                <w:sz w:val="14"/>
              </w:rPr>
              <w:t>subsidiaries</w:t>
            </w:r>
          </w:p>
        </w:tc>
        <w:tc>
          <w:tcPr>
            <w:tcW w:w="1019" w:type="dxa"/>
          </w:tcPr>
          <w:p>
            <w:pPr>
              <w:pStyle w:val="TableParagraph"/>
              <w:spacing w:before="71"/>
              <w:ind w:right="202"/>
              <w:jc w:val="right"/>
              <w:rPr>
                <w:rFonts w:ascii="TT Norms Pro Light"/>
                <w:b w:val="0"/>
                <w:sz w:val="14"/>
              </w:rPr>
            </w:pPr>
            <w:r>
              <w:rPr>
                <w:rFonts w:ascii="TT Norms Pro Light"/>
                <w:b w:val="0"/>
                <w:spacing w:val="-5"/>
                <w:sz w:val="14"/>
              </w:rPr>
              <w:t>3.0</w:t>
            </w:r>
          </w:p>
        </w:tc>
        <w:tc>
          <w:tcPr>
            <w:tcW w:w="884" w:type="dxa"/>
          </w:tcPr>
          <w:p>
            <w:pPr>
              <w:pStyle w:val="TableParagraph"/>
              <w:spacing w:before="71"/>
              <w:ind w:right="251"/>
              <w:jc w:val="right"/>
              <w:rPr>
                <w:rFonts w:ascii="TT Norms Pro Light"/>
                <w:b w:val="0"/>
                <w:sz w:val="14"/>
              </w:rPr>
            </w:pPr>
            <w:r>
              <w:rPr>
                <w:rFonts w:ascii="TT Norms Pro Light"/>
                <w:b w:val="0"/>
                <w:spacing w:val="-2"/>
                <w:sz w:val="14"/>
              </w:rPr>
              <w:t>(9.3)</w:t>
            </w:r>
          </w:p>
        </w:tc>
        <w:tc>
          <w:tcPr>
            <w:tcW w:w="814" w:type="dxa"/>
          </w:tcPr>
          <w:p>
            <w:pPr>
              <w:pStyle w:val="TableParagraph"/>
              <w:spacing w:before="71"/>
              <w:ind w:right="229"/>
              <w:jc w:val="right"/>
              <w:rPr>
                <w:rFonts w:ascii="TT Norms Pro Light"/>
                <w:b w:val="0"/>
                <w:sz w:val="14"/>
              </w:rPr>
            </w:pPr>
            <w:r>
              <w:rPr>
                <w:rFonts w:ascii="TT Norms Pro Light"/>
                <w:b w:val="0"/>
                <w:spacing w:val="-4"/>
                <w:sz w:val="14"/>
              </w:rPr>
              <w:t>(0.5)</w:t>
            </w:r>
          </w:p>
        </w:tc>
        <w:tc>
          <w:tcPr>
            <w:tcW w:w="840" w:type="dxa"/>
          </w:tcPr>
          <w:p>
            <w:pPr>
              <w:pStyle w:val="TableParagraph"/>
              <w:spacing w:before="71"/>
              <w:ind w:right="233"/>
              <w:jc w:val="right"/>
              <w:rPr>
                <w:rFonts w:ascii="TT Norms Pro Light"/>
                <w:b w:val="0"/>
                <w:sz w:val="14"/>
              </w:rPr>
            </w:pPr>
            <w:r>
              <w:rPr>
                <w:rFonts w:ascii="TT Norms Pro Light"/>
                <w:b w:val="0"/>
                <w:spacing w:val="-4"/>
                <w:sz w:val="14"/>
              </w:rPr>
              <w:t>(0.4)</w:t>
            </w:r>
          </w:p>
        </w:tc>
        <w:tc>
          <w:tcPr>
            <w:tcW w:w="833" w:type="dxa"/>
          </w:tcPr>
          <w:p>
            <w:pPr>
              <w:pStyle w:val="TableParagraph"/>
              <w:spacing w:before="71"/>
              <w:ind w:right="229"/>
              <w:jc w:val="right"/>
              <w:rPr>
                <w:rFonts w:ascii="TT Norms Pro Light"/>
                <w:b w:val="0"/>
                <w:sz w:val="14"/>
              </w:rPr>
            </w:pPr>
            <w:r>
              <w:rPr>
                <w:rFonts w:ascii="TT Norms Pro Light"/>
                <w:b w:val="0"/>
                <w:spacing w:val="-4"/>
                <w:sz w:val="14"/>
              </w:rPr>
              <w:t>(0.1)</w:t>
            </w:r>
          </w:p>
        </w:tc>
        <w:tc>
          <w:tcPr>
            <w:tcW w:w="856" w:type="dxa"/>
          </w:tcPr>
          <w:p>
            <w:pPr>
              <w:pStyle w:val="TableParagraph"/>
              <w:spacing w:before="71"/>
              <w:ind w:right="249"/>
              <w:jc w:val="right"/>
              <w:rPr>
                <w:rFonts w:ascii="TT Norms Pro Light"/>
                <w:b w:val="0"/>
                <w:sz w:val="14"/>
              </w:rPr>
            </w:pPr>
            <w:r>
              <w:rPr>
                <w:rFonts w:ascii="TT Norms Pro Light"/>
                <w:b w:val="0"/>
                <w:spacing w:val="-2"/>
                <w:sz w:val="14"/>
              </w:rPr>
              <w:t>(0.7)</w:t>
            </w:r>
          </w:p>
        </w:tc>
        <w:tc>
          <w:tcPr>
            <w:tcW w:w="817" w:type="dxa"/>
          </w:tcPr>
          <w:p>
            <w:pPr>
              <w:pStyle w:val="TableParagraph"/>
              <w:spacing w:before="71"/>
              <w:ind w:right="230"/>
              <w:jc w:val="right"/>
              <w:rPr>
                <w:rFonts w:ascii="TT Norms Pro Light"/>
                <w:b w:val="0"/>
                <w:sz w:val="14"/>
              </w:rPr>
            </w:pPr>
            <w:r>
              <w:rPr>
                <w:rFonts w:ascii="TT Norms Pro Light"/>
                <w:b w:val="0"/>
                <w:spacing w:val="-4"/>
                <w:sz w:val="14"/>
              </w:rPr>
              <w:t>(0.5)</w:t>
            </w:r>
          </w:p>
        </w:tc>
        <w:tc>
          <w:tcPr>
            <w:tcW w:w="657" w:type="dxa"/>
          </w:tcPr>
          <w:p>
            <w:pPr>
              <w:pStyle w:val="TableParagraph"/>
              <w:spacing w:before="71"/>
              <w:ind w:right="51"/>
              <w:jc w:val="right"/>
              <w:rPr>
                <w:rFonts w:ascii="TT Norms Pro Light"/>
                <w:b w:val="0"/>
                <w:sz w:val="14"/>
              </w:rPr>
            </w:pPr>
            <w:r>
              <w:rPr>
                <w:rFonts w:ascii="TT Norms Pro Light"/>
                <w:b w:val="0"/>
                <w:spacing w:val="-4"/>
                <w:sz w:val="14"/>
              </w:rPr>
              <w:t>(0.0)</w:t>
            </w:r>
          </w:p>
        </w:tc>
      </w:tr>
      <w:tr>
        <w:trPr>
          <w:trHeight w:val="289" w:hRule="atLeast"/>
        </w:trPr>
        <w:tc>
          <w:tcPr>
            <w:tcW w:w="2898" w:type="dxa"/>
            <w:shd w:val="clear" w:color="auto" w:fill="EFEFF0"/>
          </w:tcPr>
          <w:p>
            <w:pPr>
              <w:pStyle w:val="TableParagraph"/>
              <w:spacing w:before="71"/>
              <w:ind w:left="113"/>
              <w:rPr>
                <w:rFonts w:ascii="TT Norms Pro"/>
                <w:b/>
                <w:sz w:val="14"/>
              </w:rPr>
            </w:pPr>
            <w:r>
              <w:rPr>
                <w:rFonts w:ascii="TT Norms Pro"/>
                <w:b/>
                <w:sz w:val="14"/>
              </w:rPr>
              <w:t>University</w:t>
            </w:r>
            <w:r>
              <w:rPr>
                <w:rFonts w:ascii="TT Norms Pro"/>
                <w:b/>
                <w:spacing w:val="19"/>
                <w:sz w:val="14"/>
              </w:rPr>
              <w:t> </w:t>
            </w:r>
            <w:r>
              <w:rPr>
                <w:rFonts w:ascii="TT Norms Pro"/>
                <w:b/>
                <w:sz w:val="14"/>
              </w:rPr>
              <w:t>operating</w:t>
            </w:r>
            <w:r>
              <w:rPr>
                <w:rFonts w:ascii="TT Norms Pro"/>
                <w:b/>
                <w:spacing w:val="20"/>
                <w:sz w:val="14"/>
              </w:rPr>
              <w:t> </w:t>
            </w:r>
            <w:r>
              <w:rPr>
                <w:rFonts w:ascii="TT Norms Pro"/>
                <w:b/>
                <w:spacing w:val="-2"/>
                <w:sz w:val="14"/>
              </w:rPr>
              <w:t>result</w:t>
            </w:r>
          </w:p>
        </w:tc>
        <w:tc>
          <w:tcPr>
            <w:tcW w:w="1019" w:type="dxa"/>
            <w:shd w:val="clear" w:color="auto" w:fill="EFEFF0"/>
          </w:tcPr>
          <w:p>
            <w:pPr>
              <w:pStyle w:val="TableParagraph"/>
              <w:spacing w:before="71"/>
              <w:ind w:right="202"/>
              <w:jc w:val="right"/>
              <w:rPr>
                <w:rFonts w:ascii="TT Norms Pro"/>
                <w:b/>
                <w:sz w:val="14"/>
              </w:rPr>
            </w:pPr>
            <w:r>
              <w:rPr>
                <w:rFonts w:ascii="TT Norms Pro"/>
                <w:b/>
                <w:spacing w:val="-4"/>
                <w:sz w:val="14"/>
              </w:rPr>
              <w:t>58.1</w:t>
            </w:r>
          </w:p>
        </w:tc>
        <w:tc>
          <w:tcPr>
            <w:tcW w:w="884" w:type="dxa"/>
            <w:shd w:val="clear" w:color="auto" w:fill="EFEFF0"/>
          </w:tcPr>
          <w:p>
            <w:pPr>
              <w:pStyle w:val="TableParagraph"/>
              <w:spacing w:before="71"/>
              <w:ind w:right="251"/>
              <w:jc w:val="right"/>
              <w:rPr>
                <w:rFonts w:ascii="TT Norms Pro"/>
                <w:b/>
                <w:sz w:val="14"/>
              </w:rPr>
            </w:pPr>
            <w:r>
              <w:rPr>
                <w:rFonts w:ascii="TT Norms Pro"/>
                <w:b/>
                <w:spacing w:val="-2"/>
                <w:sz w:val="14"/>
              </w:rPr>
              <w:t>111.7</w:t>
            </w:r>
          </w:p>
        </w:tc>
        <w:tc>
          <w:tcPr>
            <w:tcW w:w="814" w:type="dxa"/>
            <w:shd w:val="clear" w:color="auto" w:fill="EFEFF0"/>
          </w:tcPr>
          <w:p>
            <w:pPr>
              <w:pStyle w:val="TableParagraph"/>
              <w:spacing w:before="71"/>
              <w:ind w:right="229"/>
              <w:jc w:val="right"/>
              <w:rPr>
                <w:rFonts w:ascii="TT Norms Pro"/>
                <w:b/>
                <w:sz w:val="14"/>
              </w:rPr>
            </w:pPr>
            <w:r>
              <w:rPr>
                <w:rFonts w:ascii="TT Norms Pro"/>
                <w:b/>
                <w:spacing w:val="-4"/>
                <w:sz w:val="14"/>
              </w:rPr>
              <w:t>28.6</w:t>
            </w:r>
          </w:p>
        </w:tc>
        <w:tc>
          <w:tcPr>
            <w:tcW w:w="840" w:type="dxa"/>
            <w:shd w:val="clear" w:color="auto" w:fill="EFEFF0"/>
          </w:tcPr>
          <w:p>
            <w:pPr>
              <w:pStyle w:val="TableParagraph"/>
              <w:spacing w:before="71"/>
              <w:ind w:right="233"/>
              <w:jc w:val="right"/>
              <w:rPr>
                <w:rFonts w:ascii="TT Norms Pro"/>
                <w:b/>
                <w:sz w:val="14"/>
              </w:rPr>
            </w:pPr>
            <w:r>
              <w:rPr>
                <w:rFonts w:ascii="TT Norms Pro"/>
                <w:b/>
                <w:spacing w:val="-4"/>
                <w:sz w:val="14"/>
              </w:rPr>
              <w:t>81.4</w:t>
            </w:r>
          </w:p>
        </w:tc>
        <w:tc>
          <w:tcPr>
            <w:tcW w:w="833" w:type="dxa"/>
            <w:shd w:val="clear" w:color="auto" w:fill="EFEFF0"/>
          </w:tcPr>
          <w:p>
            <w:pPr>
              <w:pStyle w:val="TableParagraph"/>
              <w:spacing w:before="71"/>
              <w:ind w:right="230"/>
              <w:jc w:val="right"/>
              <w:rPr>
                <w:rFonts w:ascii="TT Norms Pro"/>
                <w:b/>
                <w:sz w:val="14"/>
              </w:rPr>
            </w:pPr>
            <w:r>
              <w:rPr>
                <w:rFonts w:ascii="TT Norms Pro"/>
                <w:b/>
                <w:spacing w:val="-4"/>
                <w:sz w:val="14"/>
              </w:rPr>
              <w:t>25.8</w:t>
            </w:r>
          </w:p>
        </w:tc>
        <w:tc>
          <w:tcPr>
            <w:tcW w:w="856" w:type="dxa"/>
            <w:shd w:val="clear" w:color="auto" w:fill="EFEFF0"/>
          </w:tcPr>
          <w:p>
            <w:pPr>
              <w:pStyle w:val="TableParagraph"/>
              <w:spacing w:before="71"/>
              <w:ind w:right="249"/>
              <w:jc w:val="right"/>
              <w:rPr>
                <w:rFonts w:ascii="TT Norms Pro"/>
                <w:b/>
                <w:sz w:val="14"/>
              </w:rPr>
            </w:pPr>
            <w:r>
              <w:rPr>
                <w:rFonts w:ascii="TT Norms Pro"/>
                <w:b/>
                <w:spacing w:val="-4"/>
                <w:sz w:val="14"/>
              </w:rPr>
              <w:t>32.4</w:t>
            </w:r>
          </w:p>
        </w:tc>
        <w:tc>
          <w:tcPr>
            <w:tcW w:w="817" w:type="dxa"/>
            <w:shd w:val="clear" w:color="auto" w:fill="EFEFF0"/>
          </w:tcPr>
          <w:p>
            <w:pPr>
              <w:pStyle w:val="TableParagraph"/>
              <w:spacing w:before="71"/>
              <w:ind w:right="230"/>
              <w:jc w:val="right"/>
              <w:rPr>
                <w:rFonts w:ascii="TT Norms Pro"/>
                <w:b/>
                <w:sz w:val="14"/>
              </w:rPr>
            </w:pPr>
            <w:r>
              <w:rPr>
                <w:rFonts w:ascii="TT Norms Pro"/>
                <w:b/>
                <w:spacing w:val="-4"/>
                <w:sz w:val="14"/>
              </w:rPr>
              <w:t>91.2</w:t>
            </w:r>
          </w:p>
        </w:tc>
        <w:tc>
          <w:tcPr>
            <w:tcW w:w="657" w:type="dxa"/>
            <w:shd w:val="clear" w:color="auto" w:fill="EFEFF0"/>
          </w:tcPr>
          <w:p>
            <w:pPr>
              <w:pStyle w:val="TableParagraph"/>
              <w:spacing w:before="71"/>
              <w:ind w:right="51"/>
              <w:jc w:val="right"/>
              <w:rPr>
                <w:rFonts w:ascii="TT Norms Pro"/>
                <w:b/>
                <w:sz w:val="14"/>
              </w:rPr>
            </w:pPr>
            <w:r>
              <w:rPr>
                <w:rFonts w:ascii="TT Norms Pro"/>
                <w:b/>
                <w:spacing w:val="-4"/>
                <w:sz w:val="14"/>
              </w:rPr>
              <w:t>124.8</w:t>
            </w:r>
          </w:p>
        </w:tc>
      </w:tr>
      <w:tr>
        <w:trPr>
          <w:trHeight w:val="289" w:hRule="atLeast"/>
        </w:trPr>
        <w:tc>
          <w:tcPr>
            <w:tcW w:w="2898" w:type="dxa"/>
          </w:tcPr>
          <w:p>
            <w:pPr>
              <w:pStyle w:val="TableParagraph"/>
              <w:spacing w:before="71"/>
              <w:ind w:left="113"/>
              <w:rPr>
                <w:rFonts w:ascii="TT Norms Pro Light"/>
                <w:b w:val="0"/>
                <w:sz w:val="14"/>
              </w:rPr>
            </w:pPr>
            <w:r>
              <w:rPr>
                <w:rFonts w:ascii="TT Norms Pro Light"/>
                <w:b w:val="0"/>
                <w:sz w:val="14"/>
              </w:rPr>
              <w:t>Adjusted</w:t>
            </w:r>
            <w:r>
              <w:rPr>
                <w:rFonts w:ascii="TT Norms Pro Light"/>
                <w:b w:val="0"/>
                <w:spacing w:val="12"/>
                <w:sz w:val="14"/>
              </w:rPr>
              <w:t> </w:t>
            </w:r>
            <w:r>
              <w:rPr>
                <w:rFonts w:ascii="TT Norms Pro Light"/>
                <w:b w:val="0"/>
                <w:spacing w:val="-4"/>
                <w:sz w:val="14"/>
              </w:rPr>
              <w:t>for:</w:t>
            </w:r>
          </w:p>
        </w:tc>
        <w:tc>
          <w:tcPr>
            <w:tcW w:w="1019" w:type="dxa"/>
          </w:tcPr>
          <w:p>
            <w:pPr>
              <w:pStyle w:val="TableParagraph"/>
              <w:rPr>
                <w:rFonts w:ascii="Times New Roman"/>
                <w:sz w:val="16"/>
              </w:rPr>
            </w:pPr>
          </w:p>
        </w:tc>
        <w:tc>
          <w:tcPr>
            <w:tcW w:w="884" w:type="dxa"/>
          </w:tcPr>
          <w:p>
            <w:pPr>
              <w:pStyle w:val="TableParagraph"/>
              <w:rPr>
                <w:rFonts w:ascii="Times New Roman"/>
                <w:sz w:val="16"/>
              </w:rPr>
            </w:pPr>
          </w:p>
        </w:tc>
        <w:tc>
          <w:tcPr>
            <w:tcW w:w="814" w:type="dxa"/>
          </w:tcPr>
          <w:p>
            <w:pPr>
              <w:pStyle w:val="TableParagraph"/>
              <w:rPr>
                <w:rFonts w:ascii="Times New Roman"/>
                <w:sz w:val="16"/>
              </w:rPr>
            </w:pPr>
          </w:p>
        </w:tc>
        <w:tc>
          <w:tcPr>
            <w:tcW w:w="840" w:type="dxa"/>
          </w:tcPr>
          <w:p>
            <w:pPr>
              <w:pStyle w:val="TableParagraph"/>
              <w:rPr>
                <w:rFonts w:ascii="Times New Roman"/>
                <w:sz w:val="16"/>
              </w:rPr>
            </w:pPr>
          </w:p>
        </w:tc>
        <w:tc>
          <w:tcPr>
            <w:tcW w:w="833" w:type="dxa"/>
          </w:tcPr>
          <w:p>
            <w:pPr>
              <w:pStyle w:val="TableParagraph"/>
              <w:rPr>
                <w:rFonts w:ascii="Times New Roman"/>
                <w:sz w:val="16"/>
              </w:rPr>
            </w:pPr>
          </w:p>
        </w:tc>
        <w:tc>
          <w:tcPr>
            <w:tcW w:w="856" w:type="dxa"/>
          </w:tcPr>
          <w:p>
            <w:pPr>
              <w:pStyle w:val="TableParagraph"/>
              <w:rPr>
                <w:rFonts w:ascii="Times New Roman"/>
                <w:sz w:val="16"/>
              </w:rPr>
            </w:pPr>
          </w:p>
        </w:tc>
        <w:tc>
          <w:tcPr>
            <w:tcW w:w="817" w:type="dxa"/>
          </w:tcPr>
          <w:p>
            <w:pPr>
              <w:pStyle w:val="TableParagraph"/>
              <w:rPr>
                <w:rFonts w:ascii="Times New Roman"/>
                <w:sz w:val="16"/>
              </w:rPr>
            </w:pPr>
          </w:p>
        </w:tc>
        <w:tc>
          <w:tcPr>
            <w:tcW w:w="657" w:type="dxa"/>
          </w:tcPr>
          <w:p>
            <w:pPr>
              <w:pStyle w:val="TableParagraph"/>
              <w:rPr>
                <w:rFonts w:ascii="Times New Roman"/>
                <w:sz w:val="16"/>
              </w:rPr>
            </w:pPr>
          </w:p>
        </w:tc>
      </w:tr>
      <w:tr>
        <w:trPr>
          <w:trHeight w:val="297" w:hRule="atLeast"/>
        </w:trPr>
        <w:tc>
          <w:tcPr>
            <w:tcW w:w="2898" w:type="dxa"/>
            <w:shd w:val="clear" w:color="auto" w:fill="EFEFF0"/>
          </w:tcPr>
          <w:p>
            <w:pPr>
              <w:pStyle w:val="TableParagraph"/>
              <w:spacing w:before="75"/>
              <w:ind w:left="283"/>
              <w:rPr>
                <w:rFonts w:ascii="TT Norms Pro Light"/>
                <w:b w:val="0"/>
                <w:sz w:val="14"/>
              </w:rPr>
            </w:pPr>
            <w:r>
              <w:rPr>
                <w:rFonts w:ascii="TT Norms Pro Light"/>
                <w:b w:val="0"/>
                <w:sz w:val="14"/>
              </w:rPr>
              <w:t>Gifted</w:t>
            </w:r>
            <w:r>
              <w:rPr>
                <w:rFonts w:ascii="TT Norms Pro Light"/>
                <w:b w:val="0"/>
                <w:spacing w:val="9"/>
                <w:sz w:val="14"/>
              </w:rPr>
              <w:t> </w:t>
            </w:r>
            <w:r>
              <w:rPr>
                <w:rFonts w:ascii="TT Norms Pro Light"/>
                <w:b w:val="0"/>
                <w:sz w:val="14"/>
              </w:rPr>
              <w:t>funds</w:t>
            </w:r>
            <w:r>
              <w:rPr>
                <w:rFonts w:ascii="TT Norms Pro Light"/>
                <w:b w:val="0"/>
                <w:spacing w:val="9"/>
                <w:sz w:val="14"/>
              </w:rPr>
              <w:t> </w:t>
            </w:r>
            <w:r>
              <w:rPr>
                <w:rFonts w:ascii="TT Norms Pro Light"/>
                <w:b w:val="0"/>
                <w:sz w:val="14"/>
              </w:rPr>
              <w:t>and</w:t>
            </w:r>
            <w:r>
              <w:rPr>
                <w:rFonts w:ascii="TT Norms Pro Light"/>
                <w:b w:val="0"/>
                <w:spacing w:val="9"/>
                <w:sz w:val="14"/>
              </w:rPr>
              <w:t> </w:t>
            </w:r>
            <w:r>
              <w:rPr>
                <w:rFonts w:ascii="TT Norms Pro Light"/>
                <w:b w:val="0"/>
                <w:sz w:val="14"/>
              </w:rPr>
              <w:t>capital</w:t>
            </w:r>
            <w:r>
              <w:rPr>
                <w:rFonts w:ascii="TT Norms Pro Light"/>
                <w:b w:val="0"/>
                <w:spacing w:val="9"/>
                <w:sz w:val="14"/>
              </w:rPr>
              <w:t> </w:t>
            </w:r>
            <w:r>
              <w:rPr>
                <w:rFonts w:ascii="TT Norms Pro Light"/>
                <w:b w:val="0"/>
                <w:spacing w:val="-2"/>
                <w:sz w:val="14"/>
              </w:rPr>
              <w:t>grants</w:t>
            </w:r>
          </w:p>
        </w:tc>
        <w:tc>
          <w:tcPr>
            <w:tcW w:w="1019" w:type="dxa"/>
            <w:shd w:val="clear" w:color="auto" w:fill="EFEFF0"/>
          </w:tcPr>
          <w:p>
            <w:pPr>
              <w:pStyle w:val="TableParagraph"/>
              <w:spacing w:before="75"/>
              <w:ind w:right="203"/>
              <w:jc w:val="right"/>
              <w:rPr>
                <w:rFonts w:ascii="TT Norms Pro Light"/>
                <w:b w:val="0"/>
                <w:sz w:val="14"/>
              </w:rPr>
            </w:pPr>
            <w:r>
              <w:rPr>
                <w:rFonts w:ascii="TT Norms Pro Light"/>
                <w:b w:val="0"/>
                <w:spacing w:val="-2"/>
                <w:sz w:val="14"/>
              </w:rPr>
              <w:t>(44.6)</w:t>
            </w:r>
          </w:p>
        </w:tc>
        <w:tc>
          <w:tcPr>
            <w:tcW w:w="884" w:type="dxa"/>
            <w:shd w:val="clear" w:color="auto" w:fill="EFEFF0"/>
          </w:tcPr>
          <w:p>
            <w:pPr>
              <w:pStyle w:val="TableParagraph"/>
              <w:spacing w:before="75"/>
              <w:ind w:right="251"/>
              <w:jc w:val="right"/>
              <w:rPr>
                <w:rFonts w:ascii="TT Norms Pro Light"/>
                <w:b w:val="0"/>
                <w:sz w:val="14"/>
              </w:rPr>
            </w:pPr>
            <w:r>
              <w:rPr>
                <w:rFonts w:ascii="TT Norms Pro Light"/>
                <w:b w:val="0"/>
                <w:spacing w:val="-2"/>
                <w:sz w:val="14"/>
              </w:rPr>
              <w:t>(108.3)</w:t>
            </w:r>
          </w:p>
        </w:tc>
        <w:tc>
          <w:tcPr>
            <w:tcW w:w="814" w:type="dxa"/>
            <w:shd w:val="clear" w:color="auto" w:fill="EFEFF0"/>
          </w:tcPr>
          <w:p>
            <w:pPr>
              <w:pStyle w:val="TableParagraph"/>
              <w:spacing w:before="75"/>
              <w:ind w:right="229"/>
              <w:jc w:val="right"/>
              <w:rPr>
                <w:rFonts w:ascii="TT Norms Pro Light"/>
                <w:b w:val="0"/>
                <w:sz w:val="14"/>
              </w:rPr>
            </w:pPr>
            <w:r>
              <w:rPr>
                <w:rFonts w:ascii="TT Norms Pro Light"/>
                <w:b w:val="0"/>
                <w:spacing w:val="-2"/>
                <w:sz w:val="14"/>
              </w:rPr>
              <w:t>(9.5)</w:t>
            </w:r>
          </w:p>
        </w:tc>
        <w:tc>
          <w:tcPr>
            <w:tcW w:w="840" w:type="dxa"/>
            <w:shd w:val="clear" w:color="auto" w:fill="EFEFF0"/>
          </w:tcPr>
          <w:p>
            <w:pPr>
              <w:pStyle w:val="TableParagraph"/>
              <w:spacing w:before="75"/>
              <w:ind w:right="233"/>
              <w:jc w:val="right"/>
              <w:rPr>
                <w:rFonts w:ascii="TT Norms Pro Light"/>
                <w:b w:val="0"/>
                <w:sz w:val="14"/>
              </w:rPr>
            </w:pPr>
            <w:r>
              <w:rPr>
                <w:rFonts w:ascii="TT Norms Pro Light"/>
                <w:b w:val="0"/>
                <w:spacing w:val="-2"/>
                <w:sz w:val="14"/>
              </w:rPr>
              <w:t>(88.5)</w:t>
            </w:r>
          </w:p>
        </w:tc>
        <w:tc>
          <w:tcPr>
            <w:tcW w:w="833" w:type="dxa"/>
            <w:shd w:val="clear" w:color="auto" w:fill="EFEFF0"/>
          </w:tcPr>
          <w:p>
            <w:pPr>
              <w:pStyle w:val="TableParagraph"/>
              <w:spacing w:before="75"/>
              <w:ind w:right="230"/>
              <w:jc w:val="right"/>
              <w:rPr>
                <w:rFonts w:ascii="TT Norms Pro Light"/>
                <w:b w:val="0"/>
                <w:sz w:val="14"/>
              </w:rPr>
            </w:pPr>
            <w:r>
              <w:rPr>
                <w:rFonts w:ascii="TT Norms Pro Light"/>
                <w:b w:val="0"/>
                <w:spacing w:val="-2"/>
                <w:sz w:val="14"/>
              </w:rPr>
              <w:t>(44.3)</w:t>
            </w:r>
          </w:p>
        </w:tc>
        <w:tc>
          <w:tcPr>
            <w:tcW w:w="856" w:type="dxa"/>
            <w:shd w:val="clear" w:color="auto" w:fill="EFEFF0"/>
          </w:tcPr>
          <w:p>
            <w:pPr>
              <w:pStyle w:val="TableParagraph"/>
              <w:spacing w:before="75"/>
              <w:ind w:right="249"/>
              <w:jc w:val="right"/>
              <w:rPr>
                <w:rFonts w:ascii="TT Norms Pro Light"/>
                <w:b w:val="0"/>
                <w:sz w:val="14"/>
              </w:rPr>
            </w:pPr>
            <w:r>
              <w:rPr>
                <w:rFonts w:ascii="TT Norms Pro Light"/>
                <w:b w:val="0"/>
                <w:spacing w:val="-2"/>
                <w:sz w:val="14"/>
              </w:rPr>
              <w:t>(54.4)</w:t>
            </w:r>
          </w:p>
        </w:tc>
        <w:tc>
          <w:tcPr>
            <w:tcW w:w="817" w:type="dxa"/>
            <w:shd w:val="clear" w:color="auto" w:fill="EFEFF0"/>
          </w:tcPr>
          <w:p>
            <w:pPr>
              <w:pStyle w:val="TableParagraph"/>
              <w:spacing w:before="75"/>
              <w:ind w:right="230"/>
              <w:jc w:val="right"/>
              <w:rPr>
                <w:rFonts w:ascii="TT Norms Pro Light"/>
                <w:b w:val="0"/>
                <w:sz w:val="14"/>
              </w:rPr>
            </w:pPr>
            <w:r>
              <w:rPr>
                <w:rFonts w:ascii="TT Norms Pro Light"/>
                <w:b w:val="0"/>
                <w:spacing w:val="-2"/>
                <w:sz w:val="14"/>
              </w:rPr>
              <w:t>(60.1)</w:t>
            </w:r>
          </w:p>
        </w:tc>
        <w:tc>
          <w:tcPr>
            <w:tcW w:w="657" w:type="dxa"/>
            <w:shd w:val="clear" w:color="auto" w:fill="EFEFF0"/>
          </w:tcPr>
          <w:p>
            <w:pPr>
              <w:pStyle w:val="TableParagraph"/>
              <w:spacing w:before="75"/>
              <w:ind w:right="50"/>
              <w:jc w:val="right"/>
              <w:rPr>
                <w:rFonts w:ascii="TT Norms Pro Light"/>
                <w:b w:val="0"/>
                <w:sz w:val="14"/>
              </w:rPr>
            </w:pPr>
            <w:r>
              <w:rPr>
                <w:rFonts w:ascii="TT Norms Pro Light"/>
                <w:b w:val="0"/>
                <w:spacing w:val="-2"/>
                <w:sz w:val="14"/>
              </w:rPr>
              <w:t>(95.1)</w:t>
            </w:r>
          </w:p>
        </w:tc>
      </w:tr>
      <w:tr>
        <w:trPr>
          <w:trHeight w:val="297" w:hRule="atLeast"/>
        </w:trPr>
        <w:tc>
          <w:tcPr>
            <w:tcW w:w="2898" w:type="dxa"/>
          </w:tcPr>
          <w:p>
            <w:pPr>
              <w:pStyle w:val="TableParagraph"/>
              <w:spacing w:before="75"/>
              <w:ind w:left="283"/>
              <w:rPr>
                <w:rFonts w:ascii="TT Norms Pro Light"/>
                <w:b w:val="0"/>
                <w:sz w:val="14"/>
              </w:rPr>
            </w:pPr>
            <w:r>
              <w:rPr>
                <w:rFonts w:ascii="TT Norms Pro Light"/>
                <w:b w:val="0"/>
                <w:sz w:val="14"/>
              </w:rPr>
              <w:t>Investment</w:t>
            </w:r>
            <w:r>
              <w:rPr>
                <w:rFonts w:ascii="TT Norms Pro Light"/>
                <w:b w:val="0"/>
                <w:spacing w:val="8"/>
                <w:sz w:val="14"/>
              </w:rPr>
              <w:t> </w:t>
            </w:r>
            <w:r>
              <w:rPr>
                <w:rFonts w:ascii="TT Norms Pro Light"/>
                <w:b w:val="0"/>
                <w:sz w:val="14"/>
              </w:rPr>
              <w:t>funds</w:t>
            </w:r>
            <w:r>
              <w:rPr>
                <w:rFonts w:ascii="TT Norms Pro Light"/>
                <w:b w:val="0"/>
                <w:spacing w:val="8"/>
                <w:sz w:val="14"/>
              </w:rPr>
              <w:t> </w:t>
            </w:r>
            <w:r>
              <w:rPr>
                <w:rFonts w:ascii="TT Norms Pro Light"/>
                <w:b w:val="0"/>
                <w:sz w:val="14"/>
              </w:rPr>
              <w:t>and</w:t>
            </w:r>
            <w:r>
              <w:rPr>
                <w:rFonts w:ascii="TT Norms Pro Light"/>
                <w:b w:val="0"/>
                <w:spacing w:val="9"/>
                <w:sz w:val="14"/>
              </w:rPr>
              <w:t> </w:t>
            </w:r>
            <w:r>
              <w:rPr>
                <w:rFonts w:ascii="TT Norms Pro Light"/>
                <w:b w:val="0"/>
                <w:spacing w:val="-2"/>
                <w:sz w:val="14"/>
              </w:rPr>
              <w:t>reserves</w:t>
            </w:r>
          </w:p>
        </w:tc>
        <w:tc>
          <w:tcPr>
            <w:tcW w:w="1019" w:type="dxa"/>
          </w:tcPr>
          <w:p>
            <w:pPr>
              <w:pStyle w:val="TableParagraph"/>
              <w:spacing w:before="75"/>
              <w:ind w:right="200"/>
              <w:jc w:val="right"/>
              <w:rPr>
                <w:rFonts w:ascii="TT Norms Pro Light"/>
                <w:b w:val="0"/>
                <w:sz w:val="14"/>
              </w:rPr>
            </w:pPr>
            <w:r>
              <w:rPr>
                <w:rFonts w:ascii="TT Norms Pro Light"/>
                <w:b w:val="0"/>
                <w:spacing w:val="-5"/>
                <w:sz w:val="14"/>
              </w:rPr>
              <w:t>5.7</w:t>
            </w:r>
          </w:p>
        </w:tc>
        <w:tc>
          <w:tcPr>
            <w:tcW w:w="884" w:type="dxa"/>
          </w:tcPr>
          <w:p>
            <w:pPr>
              <w:pStyle w:val="TableParagraph"/>
              <w:spacing w:before="75"/>
              <w:ind w:right="250"/>
              <w:jc w:val="right"/>
              <w:rPr>
                <w:rFonts w:ascii="TT Norms Pro Light"/>
                <w:b w:val="0"/>
                <w:sz w:val="14"/>
              </w:rPr>
            </w:pPr>
            <w:r>
              <w:rPr>
                <w:rFonts w:ascii="TT Norms Pro Light"/>
                <w:b w:val="0"/>
                <w:spacing w:val="-4"/>
                <w:sz w:val="14"/>
              </w:rPr>
              <w:t>20.0</w:t>
            </w:r>
          </w:p>
        </w:tc>
        <w:tc>
          <w:tcPr>
            <w:tcW w:w="814" w:type="dxa"/>
          </w:tcPr>
          <w:p>
            <w:pPr>
              <w:pStyle w:val="TableParagraph"/>
              <w:spacing w:before="75"/>
              <w:ind w:right="228"/>
              <w:jc w:val="right"/>
              <w:rPr>
                <w:rFonts w:ascii="TT Norms Pro Light"/>
                <w:b w:val="0"/>
                <w:sz w:val="14"/>
              </w:rPr>
            </w:pPr>
            <w:r>
              <w:rPr>
                <w:rFonts w:ascii="TT Norms Pro Light"/>
                <w:b w:val="0"/>
                <w:spacing w:val="-5"/>
                <w:sz w:val="14"/>
              </w:rPr>
              <w:t>4.0</w:t>
            </w:r>
          </w:p>
        </w:tc>
        <w:tc>
          <w:tcPr>
            <w:tcW w:w="840" w:type="dxa"/>
          </w:tcPr>
          <w:p>
            <w:pPr>
              <w:pStyle w:val="TableParagraph"/>
              <w:spacing w:before="75"/>
              <w:ind w:right="233"/>
              <w:jc w:val="right"/>
              <w:rPr>
                <w:rFonts w:ascii="TT Norms Pro Light"/>
                <w:b w:val="0"/>
                <w:sz w:val="14"/>
              </w:rPr>
            </w:pPr>
            <w:r>
              <w:rPr>
                <w:rFonts w:ascii="TT Norms Pro Light"/>
                <w:b w:val="0"/>
                <w:spacing w:val="-5"/>
                <w:sz w:val="14"/>
              </w:rPr>
              <w:t>1.1</w:t>
            </w:r>
          </w:p>
        </w:tc>
        <w:tc>
          <w:tcPr>
            <w:tcW w:w="833" w:type="dxa"/>
          </w:tcPr>
          <w:p>
            <w:pPr>
              <w:pStyle w:val="TableParagraph"/>
              <w:spacing w:before="75"/>
              <w:ind w:right="230"/>
              <w:jc w:val="right"/>
              <w:rPr>
                <w:rFonts w:ascii="TT Norms Pro Light"/>
                <w:b w:val="0"/>
                <w:sz w:val="14"/>
              </w:rPr>
            </w:pPr>
            <w:r>
              <w:rPr>
                <w:rFonts w:ascii="TT Norms Pro Light"/>
                <w:b w:val="0"/>
                <w:spacing w:val="-2"/>
                <w:sz w:val="14"/>
              </w:rPr>
              <w:t>(3.2)</w:t>
            </w:r>
          </w:p>
        </w:tc>
        <w:tc>
          <w:tcPr>
            <w:tcW w:w="856" w:type="dxa"/>
          </w:tcPr>
          <w:p>
            <w:pPr>
              <w:pStyle w:val="TableParagraph"/>
              <w:spacing w:before="75"/>
              <w:ind w:right="250"/>
              <w:jc w:val="right"/>
              <w:rPr>
                <w:rFonts w:ascii="TT Norms Pro Light"/>
                <w:b w:val="0"/>
                <w:sz w:val="14"/>
              </w:rPr>
            </w:pPr>
            <w:r>
              <w:rPr>
                <w:rFonts w:ascii="TT Norms Pro Light"/>
                <w:b w:val="0"/>
                <w:spacing w:val="-2"/>
                <w:sz w:val="14"/>
              </w:rPr>
              <w:t>(1.5)</w:t>
            </w:r>
          </w:p>
        </w:tc>
        <w:tc>
          <w:tcPr>
            <w:tcW w:w="817" w:type="dxa"/>
          </w:tcPr>
          <w:p>
            <w:pPr>
              <w:pStyle w:val="TableParagraph"/>
              <w:spacing w:before="75"/>
              <w:ind w:right="230"/>
              <w:jc w:val="right"/>
              <w:rPr>
                <w:rFonts w:ascii="TT Norms Pro Light"/>
                <w:b w:val="0"/>
                <w:sz w:val="14"/>
              </w:rPr>
            </w:pPr>
            <w:r>
              <w:rPr>
                <w:rFonts w:ascii="TT Norms Pro Light"/>
                <w:b w:val="0"/>
                <w:spacing w:val="-2"/>
                <w:sz w:val="14"/>
              </w:rPr>
              <w:t>(12.7)</w:t>
            </w:r>
          </w:p>
        </w:tc>
        <w:tc>
          <w:tcPr>
            <w:tcW w:w="657" w:type="dxa"/>
          </w:tcPr>
          <w:p>
            <w:pPr>
              <w:pStyle w:val="TableParagraph"/>
              <w:spacing w:before="75"/>
              <w:ind w:right="51"/>
              <w:jc w:val="right"/>
              <w:rPr>
                <w:rFonts w:ascii="TT Norms Pro Light"/>
                <w:b w:val="0"/>
                <w:sz w:val="14"/>
              </w:rPr>
            </w:pPr>
            <w:r>
              <w:rPr>
                <w:rFonts w:ascii="TT Norms Pro Light"/>
                <w:b w:val="0"/>
                <w:spacing w:val="-2"/>
                <w:sz w:val="14"/>
              </w:rPr>
              <w:t>(20.5)</w:t>
            </w:r>
          </w:p>
        </w:tc>
      </w:tr>
      <w:tr>
        <w:trPr>
          <w:trHeight w:val="297" w:hRule="atLeast"/>
        </w:trPr>
        <w:tc>
          <w:tcPr>
            <w:tcW w:w="2898" w:type="dxa"/>
            <w:shd w:val="clear" w:color="auto" w:fill="EFEFF0"/>
          </w:tcPr>
          <w:p>
            <w:pPr>
              <w:pStyle w:val="TableParagraph"/>
              <w:spacing w:before="75"/>
              <w:ind w:left="283"/>
              <w:rPr>
                <w:rFonts w:ascii="TT Norms Pro Light"/>
                <w:b w:val="0"/>
                <w:sz w:val="14"/>
              </w:rPr>
            </w:pPr>
            <w:r>
              <w:rPr>
                <w:rFonts w:ascii="TT Norms Pro Light"/>
                <w:b w:val="0"/>
                <w:sz w:val="14"/>
              </w:rPr>
              <w:t>Research</w:t>
            </w:r>
            <w:r>
              <w:rPr>
                <w:rFonts w:ascii="TT Norms Pro Light"/>
                <w:b w:val="0"/>
                <w:spacing w:val="6"/>
                <w:sz w:val="14"/>
              </w:rPr>
              <w:t> </w:t>
            </w:r>
            <w:r>
              <w:rPr>
                <w:rFonts w:ascii="TT Norms Pro Light"/>
                <w:b w:val="0"/>
                <w:sz w:val="14"/>
              </w:rPr>
              <w:t>and</w:t>
            </w:r>
            <w:r>
              <w:rPr>
                <w:rFonts w:ascii="TT Norms Pro Light"/>
                <w:b w:val="0"/>
                <w:spacing w:val="7"/>
                <w:sz w:val="14"/>
              </w:rPr>
              <w:t> </w:t>
            </w:r>
            <w:r>
              <w:rPr>
                <w:rFonts w:ascii="TT Norms Pro Light"/>
                <w:b w:val="0"/>
                <w:sz w:val="14"/>
              </w:rPr>
              <w:t>other</w:t>
            </w:r>
            <w:r>
              <w:rPr>
                <w:rFonts w:ascii="TT Norms Pro Light"/>
                <w:b w:val="0"/>
                <w:spacing w:val="7"/>
                <w:sz w:val="14"/>
              </w:rPr>
              <w:t> </w:t>
            </w:r>
            <w:r>
              <w:rPr>
                <w:rFonts w:ascii="TT Norms Pro Light"/>
                <w:b w:val="0"/>
                <w:sz w:val="14"/>
              </w:rPr>
              <w:t>specific</w:t>
            </w:r>
            <w:r>
              <w:rPr>
                <w:rFonts w:ascii="TT Norms Pro Light"/>
                <w:b w:val="0"/>
                <w:spacing w:val="7"/>
                <w:sz w:val="14"/>
              </w:rPr>
              <w:t> </w:t>
            </w:r>
            <w:r>
              <w:rPr>
                <w:rFonts w:ascii="TT Norms Pro Light"/>
                <w:b w:val="0"/>
                <w:spacing w:val="-2"/>
                <w:sz w:val="14"/>
              </w:rPr>
              <w:t>grants</w:t>
            </w:r>
          </w:p>
        </w:tc>
        <w:tc>
          <w:tcPr>
            <w:tcW w:w="1019" w:type="dxa"/>
            <w:shd w:val="clear" w:color="auto" w:fill="EFEFF0"/>
          </w:tcPr>
          <w:p>
            <w:pPr>
              <w:pStyle w:val="TableParagraph"/>
              <w:spacing w:before="75"/>
              <w:ind w:right="203"/>
              <w:jc w:val="right"/>
              <w:rPr>
                <w:rFonts w:ascii="TT Norms Pro Light"/>
                <w:b w:val="0"/>
                <w:sz w:val="14"/>
              </w:rPr>
            </w:pPr>
            <w:r>
              <w:rPr>
                <w:rFonts w:ascii="TT Norms Pro Light"/>
                <w:b w:val="0"/>
                <w:spacing w:val="-2"/>
                <w:sz w:val="14"/>
              </w:rPr>
              <w:t>(23.7)</w:t>
            </w:r>
          </w:p>
        </w:tc>
        <w:tc>
          <w:tcPr>
            <w:tcW w:w="884" w:type="dxa"/>
            <w:shd w:val="clear" w:color="auto" w:fill="EFEFF0"/>
          </w:tcPr>
          <w:p>
            <w:pPr>
              <w:pStyle w:val="TableParagraph"/>
              <w:spacing w:before="75"/>
              <w:ind w:right="251"/>
              <w:jc w:val="right"/>
              <w:rPr>
                <w:rFonts w:ascii="TT Norms Pro Light"/>
                <w:b w:val="0"/>
                <w:sz w:val="14"/>
              </w:rPr>
            </w:pPr>
            <w:r>
              <w:rPr>
                <w:rFonts w:ascii="TT Norms Pro Light"/>
                <w:b w:val="0"/>
                <w:spacing w:val="-2"/>
                <w:sz w:val="14"/>
              </w:rPr>
              <w:t>(32.4)</w:t>
            </w:r>
          </w:p>
        </w:tc>
        <w:tc>
          <w:tcPr>
            <w:tcW w:w="814" w:type="dxa"/>
            <w:shd w:val="clear" w:color="auto" w:fill="EFEFF0"/>
          </w:tcPr>
          <w:p>
            <w:pPr>
              <w:pStyle w:val="TableParagraph"/>
              <w:spacing w:before="75"/>
              <w:ind w:right="229"/>
              <w:jc w:val="right"/>
              <w:rPr>
                <w:rFonts w:ascii="TT Norms Pro Light"/>
                <w:b w:val="0"/>
                <w:sz w:val="14"/>
              </w:rPr>
            </w:pPr>
            <w:r>
              <w:rPr>
                <w:rFonts w:ascii="TT Norms Pro Light"/>
                <w:b w:val="0"/>
                <w:spacing w:val="-2"/>
                <w:sz w:val="14"/>
              </w:rPr>
              <w:t>(12.3)</w:t>
            </w:r>
          </w:p>
        </w:tc>
        <w:tc>
          <w:tcPr>
            <w:tcW w:w="840" w:type="dxa"/>
            <w:shd w:val="clear" w:color="auto" w:fill="EFEFF0"/>
          </w:tcPr>
          <w:p>
            <w:pPr>
              <w:pStyle w:val="TableParagraph"/>
              <w:spacing w:before="75"/>
              <w:ind w:right="233"/>
              <w:jc w:val="right"/>
              <w:rPr>
                <w:rFonts w:ascii="TT Norms Pro Light"/>
                <w:b w:val="0"/>
                <w:sz w:val="14"/>
              </w:rPr>
            </w:pPr>
            <w:r>
              <w:rPr>
                <w:rFonts w:ascii="TT Norms Pro Light"/>
                <w:b w:val="0"/>
                <w:spacing w:val="-4"/>
                <w:sz w:val="14"/>
              </w:rPr>
              <w:t>14.3</w:t>
            </w:r>
          </w:p>
        </w:tc>
        <w:tc>
          <w:tcPr>
            <w:tcW w:w="833" w:type="dxa"/>
            <w:shd w:val="clear" w:color="auto" w:fill="EFEFF0"/>
          </w:tcPr>
          <w:p>
            <w:pPr>
              <w:pStyle w:val="TableParagraph"/>
              <w:spacing w:before="75"/>
              <w:ind w:right="230"/>
              <w:jc w:val="right"/>
              <w:rPr>
                <w:rFonts w:ascii="TT Norms Pro Light"/>
                <w:b w:val="0"/>
                <w:sz w:val="14"/>
              </w:rPr>
            </w:pPr>
            <w:r>
              <w:rPr>
                <w:rFonts w:ascii="TT Norms Pro Light"/>
                <w:b w:val="0"/>
                <w:spacing w:val="-2"/>
                <w:sz w:val="14"/>
              </w:rPr>
              <w:t>(4.4)</w:t>
            </w:r>
          </w:p>
        </w:tc>
        <w:tc>
          <w:tcPr>
            <w:tcW w:w="856" w:type="dxa"/>
            <w:shd w:val="clear" w:color="auto" w:fill="EFEFF0"/>
          </w:tcPr>
          <w:p>
            <w:pPr>
              <w:pStyle w:val="TableParagraph"/>
              <w:spacing w:before="75"/>
              <w:ind w:right="250"/>
              <w:jc w:val="right"/>
              <w:rPr>
                <w:rFonts w:ascii="TT Norms Pro Light"/>
                <w:b w:val="0"/>
                <w:sz w:val="14"/>
              </w:rPr>
            </w:pPr>
            <w:r>
              <w:rPr>
                <w:rFonts w:ascii="TT Norms Pro Light"/>
                <w:b w:val="0"/>
                <w:spacing w:val="-5"/>
                <w:sz w:val="14"/>
              </w:rPr>
              <w:t>2.5</w:t>
            </w:r>
          </w:p>
        </w:tc>
        <w:tc>
          <w:tcPr>
            <w:tcW w:w="817" w:type="dxa"/>
            <w:shd w:val="clear" w:color="auto" w:fill="EFEFF0"/>
          </w:tcPr>
          <w:p>
            <w:pPr>
              <w:pStyle w:val="TableParagraph"/>
              <w:spacing w:before="75"/>
              <w:ind w:right="231"/>
              <w:jc w:val="right"/>
              <w:rPr>
                <w:rFonts w:ascii="TT Norms Pro Light"/>
                <w:b w:val="0"/>
                <w:sz w:val="14"/>
              </w:rPr>
            </w:pPr>
            <w:r>
              <w:rPr>
                <w:rFonts w:ascii="TT Norms Pro Light"/>
                <w:b w:val="0"/>
                <w:spacing w:val="-2"/>
                <w:sz w:val="14"/>
              </w:rPr>
              <w:t>(2.5)</w:t>
            </w:r>
          </w:p>
        </w:tc>
        <w:tc>
          <w:tcPr>
            <w:tcW w:w="657" w:type="dxa"/>
            <w:shd w:val="clear" w:color="auto" w:fill="EFEFF0"/>
          </w:tcPr>
          <w:p>
            <w:pPr>
              <w:pStyle w:val="TableParagraph"/>
              <w:spacing w:before="75"/>
              <w:ind w:right="51"/>
              <w:jc w:val="right"/>
              <w:rPr>
                <w:rFonts w:ascii="TT Norms Pro Light"/>
                <w:b w:val="0"/>
                <w:sz w:val="14"/>
              </w:rPr>
            </w:pPr>
            <w:r>
              <w:rPr>
                <w:rFonts w:ascii="TT Norms Pro Light"/>
                <w:b w:val="0"/>
                <w:spacing w:val="-2"/>
                <w:sz w:val="14"/>
              </w:rPr>
              <w:t>(8.0)</w:t>
            </w:r>
          </w:p>
        </w:tc>
      </w:tr>
      <w:tr>
        <w:trPr>
          <w:trHeight w:val="297" w:hRule="atLeast"/>
        </w:trPr>
        <w:tc>
          <w:tcPr>
            <w:tcW w:w="2898" w:type="dxa"/>
          </w:tcPr>
          <w:p>
            <w:pPr>
              <w:pStyle w:val="TableParagraph"/>
              <w:spacing w:before="75"/>
              <w:ind w:left="283"/>
              <w:rPr>
                <w:rFonts w:ascii="TT Norms Pro Light"/>
                <w:b w:val="0"/>
                <w:sz w:val="14"/>
              </w:rPr>
            </w:pPr>
            <w:r>
              <w:rPr>
                <w:rFonts w:ascii="TT Norms Pro Light"/>
                <w:b w:val="0"/>
                <w:spacing w:val="2"/>
                <w:sz w:val="14"/>
              </w:rPr>
              <w:t>Extraordinary</w:t>
            </w:r>
            <w:r>
              <w:rPr>
                <w:rFonts w:ascii="TT Norms Pro Light"/>
                <w:b w:val="0"/>
                <w:spacing w:val="8"/>
                <w:sz w:val="14"/>
              </w:rPr>
              <w:t> </w:t>
            </w:r>
            <w:r>
              <w:rPr>
                <w:rFonts w:ascii="TT Norms Pro Light"/>
                <w:b w:val="0"/>
                <w:spacing w:val="-2"/>
                <w:sz w:val="14"/>
              </w:rPr>
              <w:t>items*</w:t>
            </w:r>
          </w:p>
        </w:tc>
        <w:tc>
          <w:tcPr>
            <w:tcW w:w="1019" w:type="dxa"/>
          </w:tcPr>
          <w:p>
            <w:pPr>
              <w:pStyle w:val="TableParagraph"/>
              <w:spacing w:before="75"/>
              <w:ind w:right="204"/>
              <w:jc w:val="right"/>
              <w:rPr>
                <w:rFonts w:ascii="TT Norms Pro Light"/>
                <w:b w:val="0"/>
                <w:sz w:val="14"/>
              </w:rPr>
            </w:pPr>
            <w:r>
              <w:rPr>
                <w:rFonts w:ascii="TT Norms Pro Light"/>
                <w:b w:val="0"/>
                <w:spacing w:val="-5"/>
                <w:sz w:val="14"/>
              </w:rPr>
              <w:t>2.1</w:t>
            </w:r>
          </w:p>
        </w:tc>
        <w:tc>
          <w:tcPr>
            <w:tcW w:w="884" w:type="dxa"/>
          </w:tcPr>
          <w:p>
            <w:pPr>
              <w:pStyle w:val="TableParagraph"/>
              <w:spacing w:before="75"/>
              <w:ind w:right="250"/>
              <w:jc w:val="right"/>
              <w:rPr>
                <w:rFonts w:ascii="TT Norms Pro Light"/>
                <w:b w:val="0"/>
                <w:sz w:val="14"/>
              </w:rPr>
            </w:pPr>
            <w:r>
              <w:rPr>
                <w:rFonts w:ascii="TT Norms Pro Light"/>
                <w:b w:val="0"/>
                <w:spacing w:val="-5"/>
                <w:sz w:val="14"/>
              </w:rPr>
              <w:t>6.0</w:t>
            </w:r>
          </w:p>
        </w:tc>
        <w:tc>
          <w:tcPr>
            <w:tcW w:w="814" w:type="dxa"/>
          </w:tcPr>
          <w:p>
            <w:pPr>
              <w:pStyle w:val="TableParagraph"/>
              <w:spacing w:before="75"/>
              <w:ind w:right="229"/>
              <w:jc w:val="right"/>
              <w:rPr>
                <w:rFonts w:ascii="TT Norms Pro Light"/>
                <w:b w:val="0"/>
                <w:sz w:val="14"/>
              </w:rPr>
            </w:pPr>
            <w:r>
              <w:rPr>
                <w:rFonts w:ascii="TT Norms Pro Light"/>
                <w:b w:val="0"/>
                <w:spacing w:val="-10"/>
                <w:sz w:val="14"/>
              </w:rPr>
              <w:t>-</w:t>
            </w:r>
          </w:p>
        </w:tc>
        <w:tc>
          <w:tcPr>
            <w:tcW w:w="840" w:type="dxa"/>
          </w:tcPr>
          <w:p>
            <w:pPr>
              <w:pStyle w:val="TableParagraph"/>
              <w:spacing w:before="75"/>
              <w:ind w:right="233"/>
              <w:jc w:val="right"/>
              <w:rPr>
                <w:rFonts w:ascii="TT Norms Pro Light"/>
                <w:b w:val="0"/>
                <w:sz w:val="14"/>
              </w:rPr>
            </w:pPr>
            <w:r>
              <w:rPr>
                <w:rFonts w:ascii="TT Norms Pro Light"/>
                <w:b w:val="0"/>
                <w:spacing w:val="-5"/>
                <w:sz w:val="14"/>
              </w:rPr>
              <w:t>9.8</w:t>
            </w:r>
          </w:p>
        </w:tc>
        <w:tc>
          <w:tcPr>
            <w:tcW w:w="833" w:type="dxa"/>
          </w:tcPr>
          <w:p>
            <w:pPr>
              <w:pStyle w:val="TableParagraph"/>
              <w:spacing w:before="75"/>
              <w:ind w:right="230"/>
              <w:jc w:val="right"/>
              <w:rPr>
                <w:rFonts w:ascii="TT Norms Pro Light"/>
                <w:b w:val="0"/>
                <w:sz w:val="14"/>
              </w:rPr>
            </w:pPr>
            <w:r>
              <w:rPr>
                <w:rFonts w:ascii="TT Norms Pro Light"/>
                <w:b w:val="0"/>
                <w:spacing w:val="-4"/>
                <w:sz w:val="14"/>
              </w:rPr>
              <w:t>24.3</w:t>
            </w:r>
          </w:p>
        </w:tc>
        <w:tc>
          <w:tcPr>
            <w:tcW w:w="856" w:type="dxa"/>
          </w:tcPr>
          <w:p>
            <w:pPr>
              <w:pStyle w:val="TableParagraph"/>
              <w:spacing w:before="75"/>
              <w:ind w:right="250"/>
              <w:jc w:val="right"/>
              <w:rPr>
                <w:rFonts w:ascii="TT Norms Pro Light"/>
                <w:b w:val="0"/>
                <w:sz w:val="14"/>
              </w:rPr>
            </w:pPr>
            <w:r>
              <w:rPr>
                <w:rFonts w:ascii="TT Norms Pro Light"/>
                <w:b w:val="0"/>
                <w:spacing w:val="-4"/>
                <w:sz w:val="14"/>
              </w:rPr>
              <w:t>17.0</w:t>
            </w:r>
          </w:p>
        </w:tc>
        <w:tc>
          <w:tcPr>
            <w:tcW w:w="817" w:type="dxa"/>
          </w:tcPr>
          <w:p>
            <w:pPr>
              <w:pStyle w:val="TableParagraph"/>
              <w:spacing w:before="75"/>
              <w:ind w:right="230"/>
              <w:jc w:val="right"/>
              <w:rPr>
                <w:rFonts w:ascii="TT Norms Pro Light"/>
                <w:b w:val="0"/>
                <w:sz w:val="14"/>
              </w:rPr>
            </w:pPr>
            <w:r>
              <w:rPr>
                <w:rFonts w:ascii="TT Norms Pro Light"/>
                <w:b w:val="0"/>
                <w:spacing w:val="-10"/>
                <w:sz w:val="14"/>
              </w:rPr>
              <w:t>-</w:t>
            </w:r>
          </w:p>
        </w:tc>
        <w:tc>
          <w:tcPr>
            <w:tcW w:w="657" w:type="dxa"/>
          </w:tcPr>
          <w:p>
            <w:pPr>
              <w:pStyle w:val="TableParagraph"/>
              <w:spacing w:before="75"/>
              <w:ind w:right="51"/>
              <w:jc w:val="right"/>
              <w:rPr>
                <w:rFonts w:ascii="TT Norms Pro Light"/>
                <w:b w:val="0"/>
                <w:sz w:val="14"/>
              </w:rPr>
            </w:pPr>
            <w:r>
              <w:rPr>
                <w:rFonts w:ascii="TT Norms Pro Light"/>
                <w:b w:val="0"/>
                <w:spacing w:val="-10"/>
                <w:sz w:val="14"/>
              </w:rPr>
              <w:t>_</w:t>
            </w:r>
          </w:p>
        </w:tc>
      </w:tr>
      <w:tr>
        <w:trPr>
          <w:trHeight w:val="325" w:hRule="atLeast"/>
        </w:trPr>
        <w:tc>
          <w:tcPr>
            <w:tcW w:w="2898" w:type="dxa"/>
            <w:shd w:val="clear" w:color="auto" w:fill="EFEFF0"/>
          </w:tcPr>
          <w:p>
            <w:pPr>
              <w:pStyle w:val="TableParagraph"/>
              <w:spacing w:before="89"/>
              <w:ind w:left="85"/>
              <w:rPr>
                <w:rFonts w:ascii="TT Norms Pro"/>
                <w:b/>
                <w:sz w:val="14"/>
              </w:rPr>
            </w:pPr>
            <w:r>
              <w:rPr>
                <w:rFonts w:ascii="TT Norms Pro"/>
                <w:b/>
                <w:sz w:val="14"/>
              </w:rPr>
              <w:t>Underlying</w:t>
            </w:r>
            <w:r>
              <w:rPr>
                <w:rFonts w:ascii="TT Norms Pro"/>
                <w:b/>
                <w:spacing w:val="20"/>
                <w:sz w:val="14"/>
              </w:rPr>
              <w:t> </w:t>
            </w:r>
            <w:r>
              <w:rPr>
                <w:rFonts w:ascii="TT Norms Pro"/>
                <w:b/>
                <w:spacing w:val="-2"/>
                <w:sz w:val="14"/>
              </w:rPr>
              <w:t>result</w:t>
            </w:r>
          </w:p>
        </w:tc>
        <w:tc>
          <w:tcPr>
            <w:tcW w:w="1019" w:type="dxa"/>
            <w:shd w:val="clear" w:color="auto" w:fill="EFEFF0"/>
          </w:tcPr>
          <w:p>
            <w:pPr>
              <w:pStyle w:val="TableParagraph"/>
              <w:spacing w:before="89"/>
              <w:ind w:right="203"/>
              <w:jc w:val="right"/>
              <w:rPr>
                <w:rFonts w:ascii="TT Norms Pro"/>
                <w:b/>
                <w:sz w:val="14"/>
              </w:rPr>
            </w:pPr>
            <w:r>
              <w:rPr>
                <w:rFonts w:ascii="TT Norms Pro"/>
                <w:b/>
                <w:spacing w:val="-4"/>
                <w:sz w:val="14"/>
              </w:rPr>
              <w:t>(2.4)</w:t>
            </w:r>
          </w:p>
        </w:tc>
        <w:tc>
          <w:tcPr>
            <w:tcW w:w="884" w:type="dxa"/>
            <w:shd w:val="clear" w:color="auto" w:fill="EFEFF0"/>
          </w:tcPr>
          <w:p>
            <w:pPr>
              <w:pStyle w:val="TableParagraph"/>
              <w:spacing w:before="89"/>
              <w:ind w:right="251"/>
              <w:jc w:val="right"/>
              <w:rPr>
                <w:rFonts w:ascii="TT Norms Pro"/>
                <w:b/>
                <w:sz w:val="14"/>
              </w:rPr>
            </w:pPr>
            <w:r>
              <w:rPr>
                <w:rFonts w:ascii="TT Norms Pro"/>
                <w:b/>
                <w:spacing w:val="-2"/>
                <w:sz w:val="14"/>
              </w:rPr>
              <w:t>(3.0)</w:t>
            </w:r>
          </w:p>
        </w:tc>
        <w:tc>
          <w:tcPr>
            <w:tcW w:w="814" w:type="dxa"/>
            <w:shd w:val="clear" w:color="auto" w:fill="EFEFF0"/>
          </w:tcPr>
          <w:p>
            <w:pPr>
              <w:pStyle w:val="TableParagraph"/>
              <w:spacing w:before="89"/>
              <w:ind w:right="229"/>
              <w:jc w:val="right"/>
              <w:rPr>
                <w:rFonts w:ascii="TT Norms Pro"/>
                <w:b/>
                <w:sz w:val="14"/>
              </w:rPr>
            </w:pPr>
            <w:r>
              <w:rPr>
                <w:rFonts w:ascii="TT Norms Pro"/>
                <w:b/>
                <w:spacing w:val="-4"/>
                <w:sz w:val="14"/>
              </w:rPr>
              <w:t>10.8</w:t>
            </w:r>
          </w:p>
        </w:tc>
        <w:tc>
          <w:tcPr>
            <w:tcW w:w="840" w:type="dxa"/>
            <w:shd w:val="clear" w:color="auto" w:fill="EFEFF0"/>
          </w:tcPr>
          <w:p>
            <w:pPr>
              <w:pStyle w:val="TableParagraph"/>
              <w:spacing w:before="89"/>
              <w:ind w:right="232"/>
              <w:jc w:val="right"/>
              <w:rPr>
                <w:rFonts w:ascii="TT Norms Pro"/>
                <w:b/>
                <w:sz w:val="14"/>
              </w:rPr>
            </w:pPr>
            <w:r>
              <w:rPr>
                <w:rFonts w:ascii="TT Norms Pro"/>
                <w:b/>
                <w:spacing w:val="-4"/>
                <w:sz w:val="14"/>
              </w:rPr>
              <w:t>18.0</w:t>
            </w:r>
          </w:p>
        </w:tc>
        <w:tc>
          <w:tcPr>
            <w:tcW w:w="833" w:type="dxa"/>
            <w:shd w:val="clear" w:color="auto" w:fill="EFEFF0"/>
          </w:tcPr>
          <w:p>
            <w:pPr>
              <w:pStyle w:val="TableParagraph"/>
              <w:spacing w:before="89"/>
              <w:ind w:right="228"/>
              <w:jc w:val="right"/>
              <w:rPr>
                <w:rFonts w:ascii="TT Norms Pro"/>
                <w:b/>
                <w:sz w:val="14"/>
              </w:rPr>
            </w:pPr>
            <w:r>
              <w:rPr>
                <w:rFonts w:ascii="TT Norms Pro"/>
                <w:b/>
                <w:spacing w:val="-2"/>
                <w:sz w:val="14"/>
              </w:rPr>
              <w:t>(1.8)</w:t>
            </w:r>
          </w:p>
        </w:tc>
        <w:tc>
          <w:tcPr>
            <w:tcW w:w="856" w:type="dxa"/>
            <w:shd w:val="clear" w:color="auto" w:fill="EFEFF0"/>
          </w:tcPr>
          <w:p>
            <w:pPr>
              <w:pStyle w:val="TableParagraph"/>
              <w:spacing w:before="89"/>
              <w:ind w:right="250"/>
              <w:jc w:val="right"/>
              <w:rPr>
                <w:rFonts w:ascii="TT Norms Pro"/>
                <w:b/>
                <w:sz w:val="14"/>
              </w:rPr>
            </w:pPr>
            <w:r>
              <w:rPr>
                <w:rFonts w:ascii="TT Norms Pro"/>
                <w:b/>
                <w:spacing w:val="-2"/>
                <w:sz w:val="14"/>
              </w:rPr>
              <w:t>(4.0)</w:t>
            </w:r>
          </w:p>
        </w:tc>
        <w:tc>
          <w:tcPr>
            <w:tcW w:w="817" w:type="dxa"/>
            <w:shd w:val="clear" w:color="auto" w:fill="EFEFF0"/>
          </w:tcPr>
          <w:p>
            <w:pPr>
              <w:pStyle w:val="TableParagraph"/>
              <w:spacing w:before="89"/>
              <w:ind w:right="233"/>
              <w:jc w:val="right"/>
              <w:rPr>
                <w:rFonts w:ascii="TT Norms Pro"/>
                <w:b/>
                <w:sz w:val="14"/>
              </w:rPr>
            </w:pPr>
            <w:r>
              <w:rPr>
                <w:rFonts w:ascii="TT Norms Pro"/>
                <w:b/>
                <w:spacing w:val="-4"/>
                <w:sz w:val="14"/>
              </w:rPr>
              <w:t>15.9</w:t>
            </w:r>
          </w:p>
        </w:tc>
        <w:tc>
          <w:tcPr>
            <w:tcW w:w="657" w:type="dxa"/>
            <w:shd w:val="clear" w:color="auto" w:fill="EFEFF0"/>
          </w:tcPr>
          <w:p>
            <w:pPr>
              <w:pStyle w:val="TableParagraph"/>
              <w:spacing w:before="89"/>
              <w:ind w:right="51"/>
              <w:jc w:val="right"/>
              <w:rPr>
                <w:rFonts w:ascii="TT Norms Pro"/>
                <w:b/>
                <w:sz w:val="14"/>
              </w:rPr>
            </w:pPr>
            <w:r>
              <w:rPr>
                <w:rFonts w:ascii="TT Norms Pro"/>
                <w:b/>
                <w:spacing w:val="-5"/>
                <w:sz w:val="14"/>
              </w:rPr>
              <w:t>1.2</w:t>
            </w:r>
          </w:p>
        </w:tc>
      </w:tr>
    </w:tbl>
    <w:p>
      <w:pPr>
        <w:pStyle w:val="BodyText"/>
        <w:spacing w:before="79"/>
        <w:rPr>
          <w:rFonts w:ascii="TT Norms Pro"/>
          <w:b/>
        </w:rPr>
      </w:pPr>
    </w:p>
    <w:p>
      <w:pPr>
        <w:spacing w:line="264" w:lineRule="auto" w:before="0"/>
        <w:ind w:left="324" w:right="1990" w:hanging="111"/>
        <w:jc w:val="left"/>
        <w:rPr>
          <w:rFonts w:ascii="TT Norms Pro Light"/>
          <w:b w:val="0"/>
          <w:sz w:val="14"/>
        </w:rPr>
      </w:pPr>
      <w:r>
        <w:rPr/>
        <mc:AlternateContent>
          <mc:Choice Requires="wps">
            <w:drawing>
              <wp:anchor distT="0" distB="0" distL="0" distR="0" allowOverlap="1" layoutInCell="1" locked="0" behindDoc="0" simplePos="0" relativeHeight="15864320">
                <wp:simplePos x="0" y="0"/>
                <wp:positionH relativeFrom="page">
                  <wp:posOffset>7111289</wp:posOffset>
                </wp:positionH>
                <wp:positionV relativeFrom="paragraph">
                  <wp:posOffset>-987694</wp:posOffset>
                </wp:positionV>
                <wp:extent cx="177800" cy="1848485"/>
                <wp:effectExtent l="0" t="0" r="0" b="0"/>
                <wp:wrapNone/>
                <wp:docPr id="863" name="Textbox 863"/>
                <wp:cNvGraphicFramePr>
                  <a:graphicFrameLocks/>
                </wp:cNvGraphicFramePr>
                <a:graphic>
                  <a:graphicData uri="http://schemas.microsoft.com/office/word/2010/wordprocessingShape">
                    <wps:wsp>
                      <wps:cNvPr id="863" name="Textbox 863"/>
                      <wps:cNvSpPr txBox="1"/>
                      <wps:spPr>
                        <a:xfrm>
                          <a:off x="0" y="0"/>
                          <a:ext cx="177800" cy="184848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77.771202pt;width:14pt;height:145.550pt;mso-position-horizontal-relative:page;mso-position-vertical-relative:paragraph;z-index:15864320" type="#_x0000_t202" id="docshape559"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v:textbox>
                <w10:wrap type="none"/>
              </v:shape>
            </w:pict>
          </mc:Fallback>
        </mc:AlternateContent>
      </w:r>
      <w:r>
        <w:rPr>
          <w:rFonts w:ascii="TT Norms Pro Light"/>
          <w:b w:val="0"/>
          <w:sz w:val="14"/>
        </w:rPr>
        <w:t>*</w:t>
      </w:r>
      <w:r>
        <w:rPr>
          <w:rFonts w:ascii="TT Norms Pro Light"/>
          <w:b w:val="0"/>
          <w:spacing w:val="40"/>
          <w:sz w:val="14"/>
        </w:rPr>
        <w:t> </w:t>
      </w:r>
      <w:r>
        <w:rPr>
          <w:rFonts w:ascii="TT Norms Pro Light"/>
          <w:b w:val="0"/>
          <w:sz w:val="14"/>
        </w:rPr>
        <w:t>Extraordinary items from time to time consist of significant impairment charges, losses from discontinued operations and/or costs of</w:t>
      </w:r>
      <w:r>
        <w:rPr>
          <w:rFonts w:ascii="TT Norms Pro Light"/>
          <w:b w:val="0"/>
          <w:spacing w:val="40"/>
          <w:sz w:val="14"/>
        </w:rPr>
        <w:t> </w:t>
      </w:r>
      <w:r>
        <w:rPr>
          <w:rFonts w:ascii="TT Norms Pro Light"/>
          <w:b w:val="0"/>
          <w:sz w:val="14"/>
        </w:rPr>
        <w:t>organisational change. The 2020 extraordinary item relates to costs associated with organisational change.</w:t>
      </w:r>
    </w:p>
    <w:p>
      <w:pPr>
        <w:spacing w:after="0" w:line="264" w:lineRule="auto"/>
        <w:jc w:val="left"/>
        <w:rPr>
          <w:rFonts w:ascii="TT Norms Pro Light"/>
          <w:sz w:val="14"/>
        </w:rPr>
        <w:sectPr>
          <w:type w:val="continuous"/>
          <w:pgSz w:w="11910" w:h="16840"/>
          <w:pgMar w:header="468" w:footer="0" w:top="980" w:bottom="280" w:left="920" w:right="0"/>
        </w:sectPr>
      </w:pPr>
    </w:p>
    <w:p>
      <w:pPr>
        <w:pStyle w:val="BodyText"/>
        <w:rPr>
          <w:b w:val="0"/>
          <w:sz w:val="20"/>
        </w:rPr>
      </w:pPr>
    </w:p>
    <w:p>
      <w:pPr>
        <w:pStyle w:val="BodyText"/>
        <w:rPr>
          <w:b w:val="0"/>
          <w:sz w:val="20"/>
        </w:rPr>
      </w:pPr>
    </w:p>
    <w:p>
      <w:pPr>
        <w:pStyle w:val="BodyText"/>
        <w:rPr>
          <w:b w:val="0"/>
          <w:sz w:val="20"/>
        </w:rPr>
      </w:pPr>
    </w:p>
    <w:p>
      <w:pPr>
        <w:pStyle w:val="BodyText"/>
        <w:spacing w:before="101"/>
        <w:rPr>
          <w:b w:val="0"/>
          <w:sz w:val="20"/>
        </w:rPr>
      </w:pPr>
    </w:p>
    <w:p>
      <w:pPr>
        <w:pStyle w:val="BodyText"/>
        <w:ind w:left="4373"/>
        <w:rPr>
          <w:sz w:val="20"/>
        </w:rPr>
      </w:pPr>
      <w:r>
        <w:rPr>
          <w:sz w:val="20"/>
        </w:rPr>
        <w:drawing>
          <wp:inline distT="0" distB="0" distL="0" distR="0">
            <wp:extent cx="636561" cy="481583"/>
            <wp:effectExtent l="0" t="0" r="0" b="0"/>
            <wp:docPr id="864" name="Image 864"/>
            <wp:cNvGraphicFramePr>
              <a:graphicFrameLocks/>
            </wp:cNvGraphicFramePr>
            <a:graphic>
              <a:graphicData uri="http://schemas.openxmlformats.org/drawingml/2006/picture">
                <pic:pic>
                  <pic:nvPicPr>
                    <pic:cNvPr id="864" name="Image 864"/>
                    <pic:cNvPicPr/>
                  </pic:nvPicPr>
                  <pic:blipFill>
                    <a:blip r:embed="rId97" cstate="print"/>
                    <a:stretch>
                      <a:fillRect/>
                    </a:stretch>
                  </pic:blipFill>
                  <pic:spPr>
                    <a:xfrm>
                      <a:off x="0" y="0"/>
                      <a:ext cx="636561" cy="481583"/>
                    </a:xfrm>
                    <a:prstGeom prst="rect">
                      <a:avLst/>
                    </a:prstGeom>
                  </pic:spPr>
                </pic:pic>
              </a:graphicData>
            </a:graphic>
          </wp:inline>
        </w:drawing>
      </w:r>
      <w:r>
        <w:rPr>
          <w:sz w:val="20"/>
        </w:rPr>
      </w:r>
    </w:p>
    <w:p>
      <w:pPr>
        <w:spacing w:before="135"/>
        <w:ind w:left="0" w:right="1191" w:firstLine="0"/>
        <w:jc w:val="center"/>
        <w:rPr>
          <w:sz w:val="33"/>
        </w:rPr>
      </w:pPr>
      <w:r>
        <w:rPr>
          <w:color w:val="003F77"/>
          <w:sz w:val="33"/>
        </w:rPr>
        <w:t>Auditor</w:t>
      </w:r>
      <w:r>
        <w:rPr>
          <w:color w:val="003F77"/>
          <w:spacing w:val="4"/>
          <w:sz w:val="33"/>
        </w:rPr>
        <w:t> </w:t>
      </w:r>
      <w:r>
        <w:rPr>
          <w:color w:val="003F77"/>
          <w:spacing w:val="-2"/>
          <w:sz w:val="33"/>
        </w:rPr>
        <w:t>General</w:t>
      </w:r>
    </w:p>
    <w:p>
      <w:pPr>
        <w:spacing w:line="240" w:lineRule="auto" w:before="0"/>
        <w:rPr>
          <w:sz w:val="20"/>
        </w:rPr>
      </w:pPr>
    </w:p>
    <w:p>
      <w:pPr>
        <w:spacing w:line="240" w:lineRule="auto" w:before="0"/>
        <w:rPr>
          <w:sz w:val="20"/>
        </w:rPr>
      </w:pPr>
    </w:p>
    <w:p>
      <w:pPr>
        <w:spacing w:line="240" w:lineRule="auto" w:before="16"/>
        <w:rPr>
          <w:sz w:val="20"/>
        </w:rPr>
      </w:pPr>
    </w:p>
    <w:p>
      <w:pPr>
        <w:spacing w:before="0"/>
        <w:ind w:left="431" w:right="0" w:firstLine="0"/>
        <w:jc w:val="left"/>
        <w:rPr>
          <w:b/>
          <w:sz w:val="20"/>
        </w:rPr>
      </w:pPr>
      <w:r>
        <w:rPr>
          <w:b/>
          <w:sz w:val="20"/>
        </w:rPr>
        <w:t>INDEPENDENT</w:t>
      </w:r>
      <w:r>
        <w:rPr>
          <w:b/>
          <w:spacing w:val="20"/>
          <w:sz w:val="20"/>
        </w:rPr>
        <w:t> </w:t>
      </w:r>
      <w:r>
        <w:rPr>
          <w:b/>
          <w:sz w:val="20"/>
        </w:rPr>
        <w:t>AUDITOR’S</w:t>
      </w:r>
      <w:r>
        <w:rPr>
          <w:b/>
          <w:spacing w:val="17"/>
          <w:sz w:val="20"/>
        </w:rPr>
        <w:t> </w:t>
      </w:r>
      <w:r>
        <w:rPr>
          <w:b/>
          <w:spacing w:val="-2"/>
          <w:sz w:val="20"/>
        </w:rPr>
        <w:t>REPORT</w:t>
      </w:r>
    </w:p>
    <w:p>
      <w:pPr>
        <w:spacing w:line="240" w:lineRule="auto" w:before="10"/>
        <w:rPr>
          <w:b/>
          <w:sz w:val="20"/>
        </w:rPr>
      </w:pPr>
    </w:p>
    <w:p>
      <w:pPr>
        <w:spacing w:before="0"/>
        <w:ind w:left="431" w:right="0" w:firstLine="0"/>
        <w:jc w:val="left"/>
        <w:rPr>
          <w:b/>
          <w:sz w:val="20"/>
        </w:rPr>
      </w:pPr>
      <w:r>
        <w:rPr>
          <w:b/>
          <w:sz w:val="20"/>
        </w:rPr>
        <w:t>To</w:t>
      </w:r>
      <w:r>
        <w:rPr>
          <w:b/>
          <w:spacing w:val="7"/>
          <w:sz w:val="20"/>
        </w:rPr>
        <w:t> </w:t>
      </w:r>
      <w:r>
        <w:rPr>
          <w:b/>
          <w:sz w:val="20"/>
        </w:rPr>
        <w:t>the</w:t>
      </w:r>
      <w:r>
        <w:rPr>
          <w:b/>
          <w:spacing w:val="7"/>
          <w:sz w:val="20"/>
        </w:rPr>
        <w:t> </w:t>
      </w:r>
      <w:r>
        <w:rPr>
          <w:b/>
          <w:sz w:val="20"/>
        </w:rPr>
        <w:t>Parliament</w:t>
      </w:r>
      <w:r>
        <w:rPr>
          <w:b/>
          <w:spacing w:val="9"/>
          <w:sz w:val="20"/>
        </w:rPr>
        <w:t> </w:t>
      </w:r>
      <w:r>
        <w:rPr>
          <w:b/>
          <w:sz w:val="20"/>
        </w:rPr>
        <w:t>of</w:t>
      </w:r>
      <w:r>
        <w:rPr>
          <w:b/>
          <w:spacing w:val="6"/>
          <w:sz w:val="20"/>
        </w:rPr>
        <w:t> </w:t>
      </w:r>
      <w:r>
        <w:rPr>
          <w:b/>
          <w:sz w:val="20"/>
        </w:rPr>
        <w:t>Western</w:t>
      </w:r>
      <w:r>
        <w:rPr>
          <w:b/>
          <w:spacing w:val="10"/>
          <w:sz w:val="20"/>
        </w:rPr>
        <w:t> </w:t>
      </w:r>
      <w:r>
        <w:rPr>
          <w:b/>
          <w:spacing w:val="-2"/>
          <w:sz w:val="20"/>
        </w:rPr>
        <w:t>Australia</w:t>
      </w:r>
    </w:p>
    <w:p>
      <w:pPr>
        <w:spacing w:line="240" w:lineRule="auto" w:before="10"/>
        <w:rPr>
          <w:b/>
          <w:sz w:val="20"/>
        </w:rPr>
      </w:pPr>
    </w:p>
    <w:p>
      <w:pPr>
        <w:spacing w:before="0"/>
        <w:ind w:left="431" w:right="0" w:firstLine="0"/>
        <w:jc w:val="left"/>
        <w:rPr>
          <w:b/>
          <w:sz w:val="20"/>
        </w:rPr>
      </w:pPr>
      <w:r>
        <w:rPr>
          <w:b/>
          <w:sz w:val="20"/>
        </w:rPr>
        <w:t>THE</w:t>
      </w:r>
      <w:r>
        <w:rPr>
          <w:b/>
          <w:spacing w:val="11"/>
          <w:sz w:val="20"/>
        </w:rPr>
        <w:t> </w:t>
      </w:r>
      <w:r>
        <w:rPr>
          <w:b/>
          <w:sz w:val="20"/>
        </w:rPr>
        <w:t>UNIVERSITY</w:t>
      </w:r>
      <w:r>
        <w:rPr>
          <w:b/>
          <w:spacing w:val="11"/>
          <w:sz w:val="20"/>
        </w:rPr>
        <w:t> </w:t>
      </w:r>
      <w:r>
        <w:rPr>
          <w:b/>
          <w:sz w:val="20"/>
        </w:rPr>
        <w:t>OF</w:t>
      </w:r>
      <w:r>
        <w:rPr>
          <w:b/>
          <w:spacing w:val="8"/>
          <w:sz w:val="20"/>
        </w:rPr>
        <w:t> </w:t>
      </w:r>
      <w:r>
        <w:rPr>
          <w:b/>
          <w:sz w:val="20"/>
        </w:rPr>
        <w:t>WESTERN</w:t>
      </w:r>
      <w:r>
        <w:rPr>
          <w:b/>
          <w:spacing w:val="16"/>
          <w:sz w:val="20"/>
        </w:rPr>
        <w:t> </w:t>
      </w:r>
      <w:r>
        <w:rPr>
          <w:b/>
          <w:spacing w:val="-2"/>
          <w:sz w:val="20"/>
        </w:rPr>
        <w:t>AUSTRALIA</w:t>
      </w:r>
    </w:p>
    <w:p>
      <w:pPr>
        <w:spacing w:line="240" w:lineRule="auto" w:before="9"/>
        <w:rPr>
          <w:b/>
          <w:sz w:val="20"/>
        </w:rPr>
      </w:pPr>
    </w:p>
    <w:p>
      <w:pPr>
        <w:spacing w:before="1"/>
        <w:ind w:left="431" w:right="0" w:firstLine="0"/>
        <w:jc w:val="left"/>
        <w:rPr>
          <w:b/>
          <w:sz w:val="20"/>
        </w:rPr>
      </w:pPr>
      <w:r>
        <w:rPr>
          <w:b/>
          <w:sz w:val="20"/>
        </w:rPr>
        <w:t>Report</w:t>
      </w:r>
      <w:r>
        <w:rPr>
          <w:b/>
          <w:spacing w:val="10"/>
          <w:sz w:val="20"/>
        </w:rPr>
        <w:t> </w:t>
      </w:r>
      <w:r>
        <w:rPr>
          <w:b/>
          <w:sz w:val="20"/>
        </w:rPr>
        <w:t>on</w:t>
      </w:r>
      <w:r>
        <w:rPr>
          <w:b/>
          <w:spacing w:val="6"/>
          <w:sz w:val="20"/>
        </w:rPr>
        <w:t> </w:t>
      </w:r>
      <w:r>
        <w:rPr>
          <w:b/>
          <w:sz w:val="20"/>
        </w:rPr>
        <w:t>the</w:t>
      </w:r>
      <w:r>
        <w:rPr>
          <w:b/>
          <w:spacing w:val="6"/>
          <w:sz w:val="20"/>
        </w:rPr>
        <w:t> </w:t>
      </w:r>
      <w:r>
        <w:rPr>
          <w:b/>
          <w:sz w:val="20"/>
        </w:rPr>
        <w:t>Financial</w:t>
      </w:r>
      <w:r>
        <w:rPr>
          <w:b/>
          <w:spacing w:val="8"/>
          <w:sz w:val="20"/>
        </w:rPr>
        <w:t> </w:t>
      </w:r>
      <w:r>
        <w:rPr>
          <w:b/>
          <w:spacing w:val="-2"/>
          <w:sz w:val="20"/>
        </w:rPr>
        <w:t>Statements</w:t>
      </w:r>
    </w:p>
    <w:p>
      <w:pPr>
        <w:spacing w:line="240" w:lineRule="auto" w:before="11"/>
        <w:rPr>
          <w:b/>
          <w:sz w:val="20"/>
        </w:rPr>
      </w:pPr>
    </w:p>
    <w:p>
      <w:pPr>
        <w:spacing w:before="1"/>
        <w:ind w:left="431" w:right="0" w:firstLine="0"/>
        <w:jc w:val="left"/>
        <w:rPr>
          <w:b/>
          <w:i/>
          <w:sz w:val="20"/>
        </w:rPr>
      </w:pPr>
      <w:r>
        <w:rPr>
          <w:b/>
          <w:i/>
          <w:spacing w:val="-2"/>
          <w:sz w:val="20"/>
        </w:rPr>
        <w:t>Opinion</w:t>
      </w:r>
    </w:p>
    <w:p>
      <w:pPr>
        <w:spacing w:line="244" w:lineRule="auto" w:before="3"/>
        <w:ind w:left="431" w:right="1763" w:firstLine="0"/>
        <w:jc w:val="left"/>
        <w:rPr>
          <w:sz w:val="20"/>
        </w:rPr>
      </w:pPr>
      <w:r>
        <w:rPr>
          <w:sz w:val="20"/>
        </w:rPr>
        <w:t>I have audited the financial statements of The University of Western Australia which comprises the Statement of Financial Position as at 31 December 2020, the Income Statement, Statement of Comprehensive Income, Statement of Changes in Equity, Statement of Cash Flows for the University and the consolidated entity for the year then ended, as well as notes comprising a summary of significant accounting policies and other explanatory information.</w:t>
      </w:r>
    </w:p>
    <w:p>
      <w:pPr>
        <w:spacing w:line="240" w:lineRule="auto" w:before="4"/>
        <w:rPr>
          <w:sz w:val="20"/>
        </w:rPr>
      </w:pPr>
    </w:p>
    <w:p>
      <w:pPr>
        <w:spacing w:line="244" w:lineRule="auto" w:before="0"/>
        <w:ind w:left="432" w:right="1763" w:firstLine="0"/>
        <w:jc w:val="left"/>
        <w:rPr>
          <w:i/>
          <w:sz w:val="20"/>
        </w:rPr>
      </w:pPr>
      <w:r>
        <w:rPr>
          <w:sz w:val="20"/>
        </w:rPr>
        <w:t>In my opinion, the financial statements are based on proper accounts and present fairly, in all material respects, the operating results and cash flows of The University of Western Australia and the consolidated entity for the year ended 31 December 2020 and the financial position at the end</w:t>
      </w:r>
      <w:r>
        <w:rPr>
          <w:spacing w:val="40"/>
          <w:sz w:val="20"/>
        </w:rPr>
        <w:t> </w:t>
      </w:r>
      <w:r>
        <w:rPr>
          <w:sz w:val="20"/>
        </w:rPr>
        <w:t>of that period. They are in accordance with Australian Accounting Standards, the </w:t>
      </w:r>
      <w:r>
        <w:rPr>
          <w:i/>
          <w:sz w:val="20"/>
        </w:rPr>
        <w:t>Financial</w:t>
      </w:r>
      <w:r>
        <w:rPr>
          <w:i/>
          <w:sz w:val="20"/>
        </w:rPr>
        <w:t> Management Act 2006 </w:t>
      </w:r>
      <w:r>
        <w:rPr>
          <w:sz w:val="20"/>
        </w:rPr>
        <w:t>and relevant Treasurer’s Instructions and Division 60 of the </w:t>
      </w:r>
      <w:r>
        <w:rPr>
          <w:i/>
          <w:sz w:val="20"/>
        </w:rPr>
        <w:t>Australian</w:t>
      </w:r>
      <w:r>
        <w:rPr>
          <w:i/>
          <w:sz w:val="20"/>
        </w:rPr>
        <w:t> Charities and Not-for-profits Commission Act 2012 (ACNC Act), </w:t>
      </w:r>
      <w:r>
        <w:rPr>
          <w:sz w:val="20"/>
        </w:rPr>
        <w:t>Australian Charities and Not-for- profits Commission Regulation 2013</w:t>
      </w:r>
      <w:r>
        <w:rPr>
          <w:i/>
          <w:sz w:val="20"/>
        </w:rPr>
        <w:t>.</w:t>
      </w:r>
    </w:p>
    <w:p>
      <w:pPr>
        <w:spacing w:line="240" w:lineRule="auto" w:before="7"/>
        <w:rPr>
          <w:i/>
          <w:sz w:val="20"/>
        </w:rPr>
      </w:pPr>
    </w:p>
    <w:p>
      <w:pPr>
        <w:spacing w:before="0"/>
        <w:ind w:left="432" w:right="0" w:firstLine="0"/>
        <w:jc w:val="left"/>
        <w:rPr>
          <w:b/>
          <w:i/>
          <w:sz w:val="20"/>
        </w:rPr>
      </w:pPr>
      <w:r>
        <w:rPr>
          <w:b/>
          <w:i/>
          <w:sz w:val="20"/>
        </w:rPr>
        <w:t>Basis</w:t>
      </w:r>
      <w:r>
        <w:rPr>
          <w:b/>
          <w:i/>
          <w:spacing w:val="6"/>
          <w:sz w:val="20"/>
        </w:rPr>
        <w:t> </w:t>
      </w:r>
      <w:r>
        <w:rPr>
          <w:b/>
          <w:i/>
          <w:sz w:val="20"/>
        </w:rPr>
        <w:t>for</w:t>
      </w:r>
      <w:r>
        <w:rPr>
          <w:b/>
          <w:i/>
          <w:spacing w:val="5"/>
          <w:sz w:val="20"/>
        </w:rPr>
        <w:t> </w:t>
      </w:r>
      <w:r>
        <w:rPr>
          <w:b/>
          <w:i/>
          <w:spacing w:val="-2"/>
          <w:sz w:val="20"/>
        </w:rPr>
        <w:t>Opinion</w:t>
      </w:r>
    </w:p>
    <w:p>
      <w:pPr>
        <w:spacing w:line="244" w:lineRule="auto" w:before="4"/>
        <w:ind w:left="432" w:right="1842" w:firstLine="0"/>
        <w:jc w:val="left"/>
        <w:rPr>
          <w:sz w:val="20"/>
        </w:rPr>
      </w:pPr>
      <w:r>
        <w:rPr>
          <w:sz w:val="20"/>
        </w:rPr>
        <w:t>I conducted my audit in accordance with the Australian Auditing Standards. My responsibilities under those standards are further described in the </w:t>
      </w:r>
      <w:r>
        <w:rPr>
          <w:i/>
          <w:sz w:val="20"/>
        </w:rPr>
        <w:t>Auditor’s Responsibilities for the Audit of the</w:t>
      </w:r>
      <w:r>
        <w:rPr>
          <w:i/>
          <w:sz w:val="20"/>
        </w:rPr>
        <w:t> Financial Statements </w:t>
      </w:r>
      <w:r>
        <w:rPr>
          <w:sz w:val="20"/>
        </w:rPr>
        <w:t>section of my report. I am independent of the University in accordance with the </w:t>
      </w:r>
      <w:r>
        <w:rPr>
          <w:i/>
          <w:sz w:val="20"/>
        </w:rPr>
        <w:t>Auditor General Act 2006</w:t>
      </w:r>
      <w:r>
        <w:rPr>
          <w:sz w:val="20"/>
        </w:rPr>
        <w:t>, </w:t>
      </w:r>
      <w:r>
        <w:rPr>
          <w:i/>
          <w:sz w:val="20"/>
        </w:rPr>
        <w:t>ACNC Act </w:t>
      </w:r>
      <w:r>
        <w:rPr>
          <w:sz w:val="20"/>
        </w:rPr>
        <w:t>and the relevant ethical requirements of the Accounting Professional and Ethical Standards Board’s APES 110 </w:t>
      </w:r>
      <w:r>
        <w:rPr>
          <w:i/>
          <w:sz w:val="20"/>
        </w:rPr>
        <w:t>Code of Ethics for Professional</w:t>
      </w:r>
      <w:r>
        <w:rPr>
          <w:i/>
          <w:sz w:val="20"/>
        </w:rPr>
        <w:t> Accountants </w:t>
      </w:r>
      <w:r>
        <w:rPr>
          <w:sz w:val="20"/>
        </w:rPr>
        <w:t>(the Code) that are relevant to my audit of the financial statements. I have also</w:t>
      </w:r>
      <w:r>
        <w:rPr>
          <w:spacing w:val="40"/>
          <w:sz w:val="20"/>
        </w:rPr>
        <w:t> </w:t>
      </w:r>
      <w:r>
        <w:rPr>
          <w:sz w:val="20"/>
        </w:rPr>
        <w:t>fulfilled my other ethical responsibilities in accordance with the Code. I believe that the audit evidence I have obtained is sufficient and appropriate to provide a basis for my opinion.</w:t>
      </w:r>
    </w:p>
    <w:p>
      <w:pPr>
        <w:spacing w:line="240" w:lineRule="auto" w:before="6"/>
        <w:rPr>
          <w:sz w:val="20"/>
        </w:rPr>
      </w:pPr>
    </w:p>
    <w:p>
      <w:pPr>
        <w:spacing w:before="0"/>
        <w:ind w:left="432" w:right="0" w:firstLine="0"/>
        <w:jc w:val="left"/>
        <w:rPr>
          <w:b/>
          <w:i/>
          <w:sz w:val="20"/>
        </w:rPr>
      </w:pPr>
      <w:r>
        <w:rPr>
          <w:b/>
          <w:i/>
          <w:sz w:val="20"/>
        </w:rPr>
        <w:t>The</w:t>
      </w:r>
      <w:r>
        <w:rPr>
          <w:b/>
          <w:i/>
          <w:spacing w:val="10"/>
          <w:sz w:val="20"/>
        </w:rPr>
        <w:t> </w:t>
      </w:r>
      <w:r>
        <w:rPr>
          <w:b/>
          <w:i/>
          <w:sz w:val="20"/>
        </w:rPr>
        <w:t>University</w:t>
      </w:r>
      <w:r>
        <w:rPr>
          <w:b/>
          <w:i/>
          <w:spacing w:val="7"/>
          <w:sz w:val="20"/>
        </w:rPr>
        <w:t> </w:t>
      </w:r>
      <w:r>
        <w:rPr>
          <w:b/>
          <w:i/>
          <w:sz w:val="20"/>
        </w:rPr>
        <w:t>Senate’s</w:t>
      </w:r>
      <w:r>
        <w:rPr>
          <w:b/>
          <w:i/>
          <w:spacing w:val="11"/>
          <w:sz w:val="20"/>
        </w:rPr>
        <w:t> </w:t>
      </w:r>
      <w:r>
        <w:rPr>
          <w:b/>
          <w:i/>
          <w:sz w:val="20"/>
        </w:rPr>
        <w:t>Responsibilities</w:t>
      </w:r>
      <w:r>
        <w:rPr>
          <w:b/>
          <w:i/>
          <w:spacing w:val="7"/>
          <w:sz w:val="20"/>
        </w:rPr>
        <w:t> </w:t>
      </w:r>
      <w:r>
        <w:rPr>
          <w:b/>
          <w:i/>
          <w:sz w:val="20"/>
        </w:rPr>
        <w:t>for</w:t>
      </w:r>
      <w:r>
        <w:rPr>
          <w:b/>
          <w:i/>
          <w:spacing w:val="8"/>
          <w:sz w:val="20"/>
        </w:rPr>
        <w:t> </w:t>
      </w:r>
      <w:r>
        <w:rPr>
          <w:b/>
          <w:i/>
          <w:sz w:val="20"/>
        </w:rPr>
        <w:t>the</w:t>
      </w:r>
      <w:r>
        <w:rPr>
          <w:b/>
          <w:i/>
          <w:spacing w:val="9"/>
          <w:sz w:val="20"/>
        </w:rPr>
        <w:t> </w:t>
      </w:r>
      <w:r>
        <w:rPr>
          <w:b/>
          <w:i/>
          <w:sz w:val="20"/>
        </w:rPr>
        <w:t>Financial</w:t>
      </w:r>
      <w:r>
        <w:rPr>
          <w:b/>
          <w:i/>
          <w:spacing w:val="10"/>
          <w:sz w:val="20"/>
        </w:rPr>
        <w:t> </w:t>
      </w:r>
      <w:r>
        <w:rPr>
          <w:b/>
          <w:i/>
          <w:spacing w:val="-2"/>
          <w:sz w:val="20"/>
        </w:rPr>
        <w:t>Statements</w:t>
      </w:r>
    </w:p>
    <w:p>
      <w:pPr>
        <w:spacing w:line="244" w:lineRule="auto" w:before="4"/>
        <w:ind w:left="432" w:right="1763" w:firstLine="0"/>
        <w:jc w:val="left"/>
        <w:rPr>
          <w:sz w:val="20"/>
        </w:rPr>
      </w:pPr>
      <w:r>
        <w:rPr>
          <w:sz w:val="20"/>
        </w:rPr>
        <w:t>The University Senate is responsible for keeping proper accounts, and the preparation and fair presentation of the financial statements in accordance with Australian Accounting Standards, the </w:t>
      </w:r>
      <w:r>
        <w:rPr>
          <w:i/>
          <w:sz w:val="20"/>
        </w:rPr>
        <w:t>Financial Management Act 2006 </w:t>
      </w:r>
      <w:r>
        <w:rPr>
          <w:sz w:val="20"/>
        </w:rPr>
        <w:t>and relevant Treasurer’s Instructions, and for such internal control as the University Senate determines is necessary to enable the preparation of financial statements that are free from material misstatement, whether due to fraud or error.</w:t>
      </w:r>
    </w:p>
    <w:p>
      <w:pPr>
        <w:spacing w:line="240" w:lineRule="auto" w:before="6"/>
        <w:rPr>
          <w:sz w:val="20"/>
        </w:rPr>
      </w:pPr>
    </w:p>
    <w:p>
      <w:pPr>
        <w:spacing w:line="244" w:lineRule="auto" w:before="0"/>
        <w:ind w:left="433" w:right="1990" w:firstLine="0"/>
        <w:jc w:val="left"/>
        <w:rPr>
          <w:sz w:val="20"/>
        </w:rPr>
      </w:pPr>
      <w:r>
        <w:rPr>
          <w:sz w:val="20"/>
        </w:rPr>
        <w:t>In preparing the financial statements, the University Senate is responsible for assessing the University’s ability to continue as a going concern, disclosing, as applicable, matters related to going concern and using the going concern basis of accounting.</w:t>
      </w:r>
    </w:p>
    <w:p>
      <w:pPr>
        <w:spacing w:after="0" w:line="244" w:lineRule="auto"/>
        <w:jc w:val="left"/>
        <w:rPr>
          <w:sz w:val="20"/>
        </w:rPr>
        <w:sectPr>
          <w:pgSz w:w="11910" w:h="16840"/>
          <w:pgMar w:header="468" w:footer="0" w:top="720" w:bottom="280" w:left="920" w:right="0"/>
        </w:sect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71"/>
        <w:rPr>
          <w:sz w:val="20"/>
        </w:rPr>
      </w:pPr>
    </w:p>
    <w:p>
      <w:pPr>
        <w:spacing w:before="0"/>
        <w:ind w:left="432" w:right="0" w:firstLine="0"/>
        <w:jc w:val="left"/>
        <w:rPr>
          <w:b/>
          <w:i/>
          <w:sz w:val="20"/>
        </w:rPr>
      </w:pPr>
      <w:r>
        <w:rPr>
          <w:b/>
          <w:i/>
          <w:sz w:val="20"/>
        </w:rPr>
        <w:t>Auditor’s</w:t>
      </w:r>
      <w:r>
        <w:rPr>
          <w:b/>
          <w:i/>
          <w:spacing w:val="8"/>
          <w:sz w:val="20"/>
        </w:rPr>
        <w:t> </w:t>
      </w:r>
      <w:r>
        <w:rPr>
          <w:b/>
          <w:i/>
          <w:sz w:val="20"/>
        </w:rPr>
        <w:t>Responsibilities</w:t>
      </w:r>
      <w:r>
        <w:rPr>
          <w:b/>
          <w:i/>
          <w:spacing w:val="6"/>
          <w:sz w:val="20"/>
        </w:rPr>
        <w:t> </w:t>
      </w:r>
      <w:r>
        <w:rPr>
          <w:b/>
          <w:i/>
          <w:sz w:val="20"/>
        </w:rPr>
        <w:t>for</w:t>
      </w:r>
      <w:r>
        <w:rPr>
          <w:b/>
          <w:i/>
          <w:spacing w:val="7"/>
          <w:sz w:val="20"/>
        </w:rPr>
        <w:t> </w:t>
      </w:r>
      <w:r>
        <w:rPr>
          <w:b/>
          <w:i/>
          <w:sz w:val="20"/>
        </w:rPr>
        <w:t>the</w:t>
      </w:r>
      <w:r>
        <w:rPr>
          <w:b/>
          <w:i/>
          <w:spacing w:val="8"/>
          <w:sz w:val="20"/>
        </w:rPr>
        <w:t> </w:t>
      </w:r>
      <w:r>
        <w:rPr>
          <w:b/>
          <w:i/>
          <w:sz w:val="20"/>
        </w:rPr>
        <w:t>Audit</w:t>
      </w:r>
      <w:r>
        <w:rPr>
          <w:b/>
          <w:i/>
          <w:spacing w:val="9"/>
          <w:sz w:val="20"/>
        </w:rPr>
        <w:t> </w:t>
      </w:r>
      <w:r>
        <w:rPr>
          <w:b/>
          <w:i/>
          <w:sz w:val="20"/>
        </w:rPr>
        <w:t>of</w:t>
      </w:r>
      <w:r>
        <w:rPr>
          <w:b/>
          <w:i/>
          <w:spacing w:val="8"/>
          <w:sz w:val="20"/>
        </w:rPr>
        <w:t> </w:t>
      </w:r>
      <w:r>
        <w:rPr>
          <w:b/>
          <w:i/>
          <w:sz w:val="20"/>
        </w:rPr>
        <w:t>the</w:t>
      </w:r>
      <w:r>
        <w:rPr>
          <w:b/>
          <w:i/>
          <w:spacing w:val="4"/>
          <w:sz w:val="20"/>
        </w:rPr>
        <w:t> </w:t>
      </w:r>
      <w:r>
        <w:rPr>
          <w:b/>
          <w:i/>
          <w:sz w:val="20"/>
        </w:rPr>
        <w:t>Financial</w:t>
      </w:r>
      <w:r>
        <w:rPr>
          <w:b/>
          <w:i/>
          <w:spacing w:val="10"/>
          <w:sz w:val="20"/>
        </w:rPr>
        <w:t> </w:t>
      </w:r>
      <w:r>
        <w:rPr>
          <w:b/>
          <w:i/>
          <w:spacing w:val="-2"/>
          <w:sz w:val="20"/>
        </w:rPr>
        <w:t>Statements</w:t>
      </w:r>
    </w:p>
    <w:p>
      <w:pPr>
        <w:spacing w:line="244" w:lineRule="auto" w:before="6"/>
        <w:ind w:left="432" w:right="1763" w:firstLine="0"/>
        <w:jc w:val="left"/>
        <w:rPr>
          <w:sz w:val="20"/>
        </w:rPr>
      </w:pPr>
      <w:r>
        <w:rPr>
          <w:sz w:val="20"/>
        </w:rPr>
        <w:t>As required by the </w:t>
      </w:r>
      <w:r>
        <w:rPr>
          <w:i/>
          <w:sz w:val="20"/>
        </w:rPr>
        <w:t>Auditor General Act 2006</w:t>
      </w:r>
      <w:r>
        <w:rPr>
          <w:sz w:val="20"/>
        </w:rPr>
        <w:t>, my responsibility is to express an opinion on the financial statements. The objectives of my audit are to obtain reasonable assurance about whether the financial statements as a whole are free from material misstatement, whether due to fraud or error, and to issue an auditor’s report that includes my opinion. Reasonable assurance is a high</w:t>
      </w:r>
      <w:r>
        <w:rPr>
          <w:spacing w:val="80"/>
          <w:sz w:val="20"/>
        </w:rPr>
        <w:t> </w:t>
      </w:r>
      <w:r>
        <w:rPr>
          <w:sz w:val="20"/>
        </w:rPr>
        <w:t>level of assurance, but is not a guarantee that an audit conducted in accordance with Australian Auditing Standards will always detect a material misstatement when it exists. Misstatements can arise from fraud or error and are considered material if, individually or in the aggregate, they could reasonably be expected to influence the economic decisions of users taken on the basis of the financial statements.</w:t>
      </w:r>
    </w:p>
    <w:p>
      <w:pPr>
        <w:spacing w:line="240" w:lineRule="auto" w:before="8"/>
        <w:rPr>
          <w:sz w:val="20"/>
        </w:rPr>
      </w:pPr>
    </w:p>
    <w:p>
      <w:pPr>
        <w:spacing w:line="244" w:lineRule="auto" w:before="0"/>
        <w:ind w:left="432" w:right="1763" w:firstLine="0"/>
        <w:jc w:val="left"/>
        <w:rPr>
          <w:sz w:val="20"/>
        </w:rPr>
      </w:pPr>
      <w:r>
        <w:rPr>
          <w:sz w:val="20"/>
        </w:rPr>
        <w:t>A further description of my responsibilities for the audit of the annual financial report is located on</w:t>
      </w:r>
      <w:r>
        <w:rPr>
          <w:spacing w:val="40"/>
          <w:sz w:val="20"/>
        </w:rPr>
        <w:t> </w:t>
      </w:r>
      <w:r>
        <w:rPr>
          <w:sz w:val="20"/>
        </w:rPr>
        <w:t>the Auditing and Assurance Standards Board website at </w:t>
      </w:r>
      <w:r>
        <w:rPr>
          <w:color w:val="0563C1"/>
          <w:sz w:val="20"/>
          <w:u w:val="single" w:color="0563C1"/>
        </w:rPr>
        <w:t>https://</w:t>
      </w:r>
      <w:hyperlink r:id="rId98">
        <w:r>
          <w:rPr>
            <w:color w:val="0563C1"/>
            <w:sz w:val="20"/>
            <w:u w:val="single" w:color="0563C1"/>
          </w:rPr>
          <w:t>www.auasb.gov.au/auditors_responsibilities/ar4.pdf</w:t>
        </w:r>
        <w:r>
          <w:rPr>
            <w:sz w:val="20"/>
            <w:u w:val="none"/>
          </w:rPr>
          <w:t>.</w:t>
        </w:r>
      </w:hyperlink>
      <w:r>
        <w:rPr>
          <w:sz w:val="20"/>
          <w:u w:val="none"/>
        </w:rPr>
        <w:t> This includes the identification and assessment of the risk of material misstatement due to fraud arising from management override of controls. This description forms part of my auditor’s report.</w:t>
      </w:r>
    </w:p>
    <w:p>
      <w:pPr>
        <w:spacing w:line="240" w:lineRule="auto" w:before="4"/>
        <w:rPr>
          <w:sz w:val="20"/>
        </w:rPr>
      </w:pPr>
    </w:p>
    <w:p>
      <w:pPr>
        <w:spacing w:before="0"/>
        <w:ind w:left="432" w:right="0" w:firstLine="0"/>
        <w:jc w:val="left"/>
        <w:rPr>
          <w:b/>
          <w:sz w:val="20"/>
        </w:rPr>
      </w:pPr>
      <w:r>
        <w:rPr>
          <w:b/>
          <w:sz w:val="20"/>
        </w:rPr>
        <w:t>Report</w:t>
      </w:r>
      <w:r>
        <w:rPr>
          <w:b/>
          <w:spacing w:val="9"/>
          <w:sz w:val="20"/>
        </w:rPr>
        <w:t> </w:t>
      </w:r>
      <w:r>
        <w:rPr>
          <w:b/>
          <w:sz w:val="20"/>
        </w:rPr>
        <w:t>on</w:t>
      </w:r>
      <w:r>
        <w:rPr>
          <w:b/>
          <w:spacing w:val="5"/>
          <w:sz w:val="20"/>
        </w:rPr>
        <w:t> </w:t>
      </w:r>
      <w:r>
        <w:rPr>
          <w:b/>
          <w:spacing w:val="-2"/>
          <w:sz w:val="20"/>
        </w:rPr>
        <w:t>Controls</w:t>
      </w:r>
    </w:p>
    <w:p>
      <w:pPr>
        <w:spacing w:line="240" w:lineRule="auto" w:before="12"/>
        <w:rPr>
          <w:b/>
          <w:sz w:val="20"/>
        </w:rPr>
      </w:pPr>
    </w:p>
    <w:p>
      <w:pPr>
        <w:spacing w:before="1"/>
        <w:ind w:left="432" w:right="0" w:firstLine="0"/>
        <w:jc w:val="left"/>
        <w:rPr>
          <w:b/>
          <w:i/>
          <w:sz w:val="20"/>
        </w:rPr>
      </w:pPr>
      <w:r>
        <w:rPr>
          <w:b/>
          <w:i/>
          <w:spacing w:val="-2"/>
          <w:sz w:val="20"/>
        </w:rPr>
        <w:t>Opinion</w:t>
      </w:r>
    </w:p>
    <w:p>
      <w:pPr>
        <w:spacing w:line="244" w:lineRule="auto" w:before="4"/>
        <w:ind w:left="432" w:right="1763" w:firstLine="0"/>
        <w:jc w:val="left"/>
        <w:rPr>
          <w:sz w:val="20"/>
        </w:rPr>
      </w:pPr>
      <w:r>
        <w:rPr>
          <w:sz w:val="20"/>
        </w:rPr>
        <w:t>I have undertaken a reasonable assurance engagement on the design and implementation of controls exercised by The University of Western Australia. The controls exercised by the University are those policies and procedures established by the University Senate to ensure that the receipt, expenditure and investment of money, the acquisition and disposal of property, and the incurring of liabilities have been in accordance with legislative provisions (the overall control objectives).</w:t>
      </w:r>
    </w:p>
    <w:p>
      <w:pPr>
        <w:spacing w:line="240" w:lineRule="auto" w:before="7"/>
        <w:rPr>
          <w:sz w:val="20"/>
        </w:rPr>
      </w:pPr>
    </w:p>
    <w:p>
      <w:pPr>
        <w:spacing w:before="0"/>
        <w:ind w:left="432" w:right="0" w:firstLine="0"/>
        <w:jc w:val="left"/>
        <w:rPr>
          <w:sz w:val="20"/>
        </w:rPr>
      </w:pPr>
      <w:r>
        <w:rPr>
          <w:sz w:val="20"/>
        </w:rPr>
        <w:t>My</w:t>
      </w:r>
      <w:r>
        <w:rPr>
          <w:spacing w:val="5"/>
          <w:sz w:val="20"/>
        </w:rPr>
        <w:t> </w:t>
      </w:r>
      <w:r>
        <w:rPr>
          <w:sz w:val="20"/>
        </w:rPr>
        <w:t>opinion</w:t>
      </w:r>
      <w:r>
        <w:rPr>
          <w:spacing w:val="7"/>
          <w:sz w:val="20"/>
        </w:rPr>
        <w:t> </w:t>
      </w:r>
      <w:r>
        <w:rPr>
          <w:sz w:val="20"/>
        </w:rPr>
        <w:t>has</w:t>
      </w:r>
      <w:r>
        <w:rPr>
          <w:spacing w:val="7"/>
          <w:sz w:val="20"/>
        </w:rPr>
        <w:t> </w:t>
      </w:r>
      <w:r>
        <w:rPr>
          <w:sz w:val="20"/>
        </w:rPr>
        <w:t>been</w:t>
      </w:r>
      <w:r>
        <w:rPr>
          <w:spacing w:val="5"/>
          <w:sz w:val="20"/>
        </w:rPr>
        <w:t> </w:t>
      </w:r>
      <w:r>
        <w:rPr>
          <w:sz w:val="20"/>
        </w:rPr>
        <w:t>formed</w:t>
      </w:r>
      <w:r>
        <w:rPr>
          <w:spacing w:val="7"/>
          <w:sz w:val="20"/>
        </w:rPr>
        <w:t> </w:t>
      </w:r>
      <w:r>
        <w:rPr>
          <w:sz w:val="20"/>
        </w:rPr>
        <w:t>on</w:t>
      </w:r>
      <w:r>
        <w:rPr>
          <w:spacing w:val="4"/>
          <w:sz w:val="20"/>
        </w:rPr>
        <w:t> </w:t>
      </w:r>
      <w:r>
        <w:rPr>
          <w:sz w:val="20"/>
        </w:rPr>
        <w:t>the</w:t>
      </w:r>
      <w:r>
        <w:rPr>
          <w:spacing w:val="4"/>
          <w:sz w:val="20"/>
        </w:rPr>
        <w:t> </w:t>
      </w:r>
      <w:r>
        <w:rPr>
          <w:sz w:val="20"/>
        </w:rPr>
        <w:t>basis</w:t>
      </w:r>
      <w:r>
        <w:rPr>
          <w:spacing w:val="7"/>
          <w:sz w:val="20"/>
        </w:rPr>
        <w:t> </w:t>
      </w:r>
      <w:r>
        <w:rPr>
          <w:sz w:val="20"/>
        </w:rPr>
        <w:t>of</w:t>
      </w:r>
      <w:r>
        <w:rPr>
          <w:spacing w:val="7"/>
          <w:sz w:val="20"/>
        </w:rPr>
        <w:t> </w:t>
      </w:r>
      <w:r>
        <w:rPr>
          <w:sz w:val="20"/>
        </w:rPr>
        <w:t>the</w:t>
      </w:r>
      <w:r>
        <w:rPr>
          <w:spacing w:val="2"/>
          <w:sz w:val="20"/>
        </w:rPr>
        <w:t> </w:t>
      </w:r>
      <w:r>
        <w:rPr>
          <w:sz w:val="20"/>
        </w:rPr>
        <w:t>matters</w:t>
      </w:r>
      <w:r>
        <w:rPr>
          <w:spacing w:val="5"/>
          <w:sz w:val="20"/>
        </w:rPr>
        <w:t> </w:t>
      </w:r>
      <w:r>
        <w:rPr>
          <w:sz w:val="20"/>
        </w:rPr>
        <w:t>outlined</w:t>
      </w:r>
      <w:r>
        <w:rPr>
          <w:spacing w:val="7"/>
          <w:sz w:val="20"/>
        </w:rPr>
        <w:t> </w:t>
      </w:r>
      <w:r>
        <w:rPr>
          <w:sz w:val="20"/>
        </w:rPr>
        <w:t>in</w:t>
      </w:r>
      <w:r>
        <w:rPr>
          <w:spacing w:val="4"/>
          <w:sz w:val="20"/>
        </w:rPr>
        <w:t> </w:t>
      </w:r>
      <w:r>
        <w:rPr>
          <w:sz w:val="20"/>
        </w:rPr>
        <w:t>this</w:t>
      </w:r>
      <w:r>
        <w:rPr>
          <w:spacing w:val="5"/>
          <w:sz w:val="20"/>
        </w:rPr>
        <w:t> </w:t>
      </w:r>
      <w:r>
        <w:rPr>
          <w:spacing w:val="-2"/>
          <w:sz w:val="20"/>
        </w:rPr>
        <w:t>report.</w:t>
      </w:r>
    </w:p>
    <w:p>
      <w:pPr>
        <w:spacing w:line="240" w:lineRule="auto" w:before="10"/>
        <w:rPr>
          <w:sz w:val="20"/>
        </w:rPr>
      </w:pPr>
    </w:p>
    <w:p>
      <w:pPr>
        <w:spacing w:line="244" w:lineRule="auto" w:before="1"/>
        <w:ind w:left="432" w:right="1990" w:firstLine="0"/>
        <w:jc w:val="left"/>
        <w:rPr>
          <w:sz w:val="20"/>
        </w:rPr>
      </w:pPr>
      <w:r>
        <w:rPr>
          <w:sz w:val="20"/>
        </w:rPr>
        <w:t>In my opinion, in all material respects, the controls exercised by The University of Western Australia are sufficiently adequate to provide reasonable assurance that the receipt, expenditure and investment of money, the acquisition and disposal of property and the incurring of liabilities have been in accordance with legislative provisions during the year ended 31 December 2020.</w:t>
      </w:r>
    </w:p>
    <w:p>
      <w:pPr>
        <w:spacing w:line="240" w:lineRule="auto" w:before="6"/>
        <w:rPr>
          <w:sz w:val="20"/>
        </w:rPr>
      </w:pPr>
    </w:p>
    <w:p>
      <w:pPr>
        <w:spacing w:before="0"/>
        <w:ind w:left="432" w:right="0" w:firstLine="0"/>
        <w:jc w:val="left"/>
        <w:rPr>
          <w:b/>
          <w:i/>
          <w:sz w:val="20"/>
        </w:rPr>
      </w:pPr>
      <w:r>
        <w:rPr>
          <w:b/>
          <w:i/>
          <w:sz w:val="20"/>
        </w:rPr>
        <w:t>The</w:t>
      </w:r>
      <w:r>
        <w:rPr>
          <w:b/>
          <w:i/>
          <w:spacing w:val="10"/>
          <w:sz w:val="20"/>
        </w:rPr>
        <w:t> </w:t>
      </w:r>
      <w:r>
        <w:rPr>
          <w:b/>
          <w:i/>
          <w:sz w:val="20"/>
        </w:rPr>
        <w:t>University</w:t>
      </w:r>
      <w:r>
        <w:rPr>
          <w:b/>
          <w:i/>
          <w:spacing w:val="7"/>
          <w:sz w:val="20"/>
        </w:rPr>
        <w:t> </w:t>
      </w:r>
      <w:r>
        <w:rPr>
          <w:b/>
          <w:i/>
          <w:sz w:val="20"/>
        </w:rPr>
        <w:t>Senate's</w:t>
      </w:r>
      <w:r>
        <w:rPr>
          <w:b/>
          <w:i/>
          <w:spacing w:val="10"/>
          <w:sz w:val="20"/>
        </w:rPr>
        <w:t> </w:t>
      </w:r>
      <w:r>
        <w:rPr>
          <w:b/>
          <w:i/>
          <w:spacing w:val="-2"/>
          <w:sz w:val="20"/>
        </w:rPr>
        <w:t>Responsibilities</w:t>
      </w:r>
    </w:p>
    <w:p>
      <w:pPr>
        <w:spacing w:line="244" w:lineRule="auto" w:before="4"/>
        <w:ind w:left="432" w:right="1763" w:firstLine="0"/>
        <w:jc w:val="left"/>
        <w:rPr>
          <w:sz w:val="20"/>
        </w:rPr>
      </w:pPr>
      <w:r>
        <w:rPr>
          <w:sz w:val="20"/>
        </w:rPr>
        <w:t>The</w:t>
      </w:r>
      <w:r>
        <w:rPr>
          <w:spacing w:val="24"/>
          <w:sz w:val="20"/>
        </w:rPr>
        <w:t> </w:t>
      </w:r>
      <w:r>
        <w:rPr>
          <w:sz w:val="20"/>
        </w:rPr>
        <w:t>University</w:t>
      </w:r>
      <w:r>
        <w:rPr>
          <w:spacing w:val="26"/>
          <w:sz w:val="20"/>
        </w:rPr>
        <w:t> </w:t>
      </w:r>
      <w:r>
        <w:rPr>
          <w:sz w:val="20"/>
        </w:rPr>
        <w:t>Senate</w:t>
      </w:r>
      <w:r>
        <w:rPr>
          <w:spacing w:val="29"/>
          <w:sz w:val="20"/>
        </w:rPr>
        <w:t> </w:t>
      </w:r>
      <w:r>
        <w:rPr>
          <w:sz w:val="20"/>
        </w:rPr>
        <w:t>is</w:t>
      </w:r>
      <w:r>
        <w:rPr>
          <w:spacing w:val="26"/>
          <w:sz w:val="20"/>
        </w:rPr>
        <w:t> </w:t>
      </w:r>
      <w:r>
        <w:rPr>
          <w:sz w:val="20"/>
        </w:rPr>
        <w:t>responsible</w:t>
      </w:r>
      <w:r>
        <w:rPr>
          <w:spacing w:val="24"/>
          <w:sz w:val="20"/>
        </w:rPr>
        <w:t> </w:t>
      </w:r>
      <w:r>
        <w:rPr>
          <w:sz w:val="20"/>
        </w:rPr>
        <w:t>for</w:t>
      </w:r>
      <w:r>
        <w:rPr>
          <w:spacing w:val="30"/>
          <w:sz w:val="20"/>
        </w:rPr>
        <w:t> </w:t>
      </w:r>
      <w:r>
        <w:rPr>
          <w:sz w:val="20"/>
        </w:rPr>
        <w:t>designing,</w:t>
      </w:r>
      <w:r>
        <w:rPr>
          <w:spacing w:val="30"/>
          <w:sz w:val="20"/>
        </w:rPr>
        <w:t> </w:t>
      </w:r>
      <w:r>
        <w:rPr>
          <w:sz w:val="20"/>
        </w:rPr>
        <w:t>implementing</w:t>
      </w:r>
      <w:r>
        <w:rPr>
          <w:spacing w:val="32"/>
          <w:sz w:val="20"/>
        </w:rPr>
        <w:t> </w:t>
      </w:r>
      <w:r>
        <w:rPr>
          <w:sz w:val="20"/>
        </w:rPr>
        <w:t>and maintaining</w:t>
      </w:r>
      <w:r>
        <w:rPr>
          <w:spacing w:val="29"/>
          <w:sz w:val="20"/>
        </w:rPr>
        <w:t> </w:t>
      </w:r>
      <w:r>
        <w:rPr>
          <w:sz w:val="20"/>
        </w:rPr>
        <w:t>controls</w:t>
      </w:r>
      <w:r>
        <w:rPr>
          <w:spacing w:val="29"/>
          <w:sz w:val="20"/>
        </w:rPr>
        <w:t> </w:t>
      </w:r>
      <w:r>
        <w:rPr>
          <w:sz w:val="20"/>
        </w:rPr>
        <w:t>to ensure that the receipt, expenditure and investment of money, the acquisition and disposal of property, and the incurring of liabilities are in accordance with the </w:t>
      </w:r>
      <w:r>
        <w:rPr>
          <w:i/>
          <w:sz w:val="20"/>
        </w:rPr>
        <w:t>Financial Management Act 2006</w:t>
      </w:r>
      <w:r>
        <w:rPr>
          <w:sz w:val="20"/>
        </w:rPr>
        <w:t>, relevant Treasurer’s Instructions and other relevant written law.</w:t>
      </w:r>
    </w:p>
    <w:p>
      <w:pPr>
        <w:spacing w:line="240" w:lineRule="auto" w:before="6"/>
        <w:rPr>
          <w:sz w:val="20"/>
        </w:rPr>
      </w:pPr>
    </w:p>
    <w:p>
      <w:pPr>
        <w:spacing w:before="0"/>
        <w:ind w:left="432" w:right="0" w:firstLine="0"/>
        <w:jc w:val="left"/>
        <w:rPr>
          <w:b/>
          <w:i/>
          <w:sz w:val="20"/>
        </w:rPr>
      </w:pPr>
      <w:r>
        <w:rPr>
          <w:b/>
          <w:i/>
          <w:sz w:val="20"/>
        </w:rPr>
        <w:t>Auditor</w:t>
      </w:r>
      <w:r>
        <w:rPr>
          <w:b/>
          <w:i/>
          <w:spacing w:val="10"/>
          <w:sz w:val="20"/>
        </w:rPr>
        <w:t> </w:t>
      </w:r>
      <w:r>
        <w:rPr>
          <w:b/>
          <w:i/>
          <w:sz w:val="20"/>
        </w:rPr>
        <w:t>General’s</w:t>
      </w:r>
      <w:r>
        <w:rPr>
          <w:b/>
          <w:i/>
          <w:spacing w:val="12"/>
          <w:sz w:val="20"/>
        </w:rPr>
        <w:t> </w:t>
      </w:r>
      <w:r>
        <w:rPr>
          <w:b/>
          <w:i/>
          <w:spacing w:val="-2"/>
          <w:sz w:val="20"/>
        </w:rPr>
        <w:t>Responsibilities</w:t>
      </w:r>
    </w:p>
    <w:p>
      <w:pPr>
        <w:spacing w:line="244" w:lineRule="auto" w:before="6"/>
        <w:ind w:left="432" w:right="1842" w:hanging="1"/>
        <w:jc w:val="left"/>
        <w:rPr>
          <w:sz w:val="20"/>
        </w:rPr>
      </w:pPr>
      <w:r>
        <w:rPr/>
        <mc:AlternateContent>
          <mc:Choice Requires="wps">
            <w:drawing>
              <wp:anchor distT="0" distB="0" distL="0" distR="0" allowOverlap="1" layoutInCell="1" locked="0" behindDoc="0" simplePos="0" relativeHeight="15864832">
                <wp:simplePos x="0" y="0"/>
                <wp:positionH relativeFrom="page">
                  <wp:posOffset>7111289</wp:posOffset>
                </wp:positionH>
                <wp:positionV relativeFrom="paragraph">
                  <wp:posOffset>721777</wp:posOffset>
                </wp:positionV>
                <wp:extent cx="177800" cy="1848485"/>
                <wp:effectExtent l="0" t="0" r="0" b="0"/>
                <wp:wrapNone/>
                <wp:docPr id="865" name="Textbox 865"/>
                <wp:cNvGraphicFramePr>
                  <a:graphicFrameLocks/>
                </wp:cNvGraphicFramePr>
                <a:graphic>
                  <a:graphicData uri="http://schemas.microsoft.com/office/word/2010/wordprocessingShape">
                    <wps:wsp>
                      <wps:cNvPr id="865" name="Textbox 865"/>
                      <wps:cNvSpPr txBox="1"/>
                      <wps:spPr>
                        <a:xfrm>
                          <a:off x="0" y="0"/>
                          <a:ext cx="177800" cy="184848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56.832848pt;width:14pt;height:145.550pt;mso-position-horizontal-relative:page;mso-position-vertical-relative:paragraph;z-index:15864832" type="#_x0000_t202" id="docshape560"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v:textbox>
                <w10:wrap type="none"/>
              </v:shape>
            </w:pict>
          </mc:Fallback>
        </mc:AlternateContent>
      </w:r>
      <w:r>
        <w:rPr>
          <w:sz w:val="20"/>
        </w:rPr>
        <w:t>As required by the </w:t>
      </w:r>
      <w:r>
        <w:rPr>
          <w:i/>
          <w:sz w:val="20"/>
        </w:rPr>
        <w:t>Auditor General Act 2006</w:t>
      </w:r>
      <w:r>
        <w:rPr>
          <w:sz w:val="20"/>
        </w:rPr>
        <w:t>, my responsibility as an assurance practitioner is to express an opinion on the suitability of the design of the controls to achieve the overall control objectives, and the implementation of the controls as designed. I conducted my engagement in accordance with Standard on Assurance Engagements ASAE 3150 </w:t>
      </w:r>
      <w:r>
        <w:rPr>
          <w:i/>
          <w:sz w:val="20"/>
        </w:rPr>
        <w:t>Assurance Engagements on</w:t>
      </w:r>
      <w:r>
        <w:rPr>
          <w:i/>
          <w:sz w:val="20"/>
        </w:rPr>
        <w:t> Controls </w:t>
      </w:r>
      <w:r>
        <w:rPr>
          <w:sz w:val="20"/>
        </w:rPr>
        <w:t>issued by the Australian Auditing and Assurance Standards Board. That standard</w:t>
      </w:r>
      <w:r>
        <w:rPr>
          <w:spacing w:val="40"/>
          <w:sz w:val="20"/>
        </w:rPr>
        <w:t> </w:t>
      </w:r>
      <w:r>
        <w:rPr>
          <w:sz w:val="20"/>
        </w:rPr>
        <w:t>requires that I comply with relevant ethical requirements and plan and perform my procedures to obtain reasonable assurance about whether, in all material respects, the controls are suitably designed to achieve the overall control objectives and the controls, necessary to achieve the overall control objectives, were implemented as designed.</w:t>
      </w:r>
    </w:p>
    <w:p>
      <w:pPr>
        <w:spacing w:after="0" w:line="244" w:lineRule="auto"/>
        <w:jc w:val="left"/>
        <w:rPr>
          <w:sz w:val="20"/>
        </w:rPr>
        <w:sectPr>
          <w:pgSz w:w="11910" w:h="16840"/>
          <w:pgMar w:header="468" w:footer="0" w:top="720" w:bottom="280" w:left="920" w:right="0"/>
        </w:sect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40"/>
        <w:rPr>
          <w:sz w:val="20"/>
        </w:rPr>
      </w:pPr>
    </w:p>
    <w:p>
      <w:pPr>
        <w:spacing w:line="244" w:lineRule="auto" w:before="0"/>
        <w:ind w:left="432" w:right="1763" w:firstLine="0"/>
        <w:jc w:val="left"/>
        <w:rPr>
          <w:sz w:val="20"/>
        </w:rPr>
      </w:pPr>
      <w:r>
        <w:rPr>
          <w:sz w:val="20"/>
        </w:rPr>
        <w:t>An assurance engagement to report on the design and implementation of controls involves performing procedures to obtain evidence about the suitability of the design of controls to achieve the overall control objectives, and the implementation of those controls. The procedures selected depend on my judgement, including the assessment of the risks that controls are not suitably designed</w:t>
      </w:r>
      <w:r>
        <w:rPr>
          <w:spacing w:val="29"/>
          <w:sz w:val="20"/>
        </w:rPr>
        <w:t> </w:t>
      </w:r>
      <w:r>
        <w:rPr>
          <w:sz w:val="20"/>
        </w:rPr>
        <w:t>or</w:t>
      </w:r>
      <w:r>
        <w:rPr>
          <w:spacing w:val="31"/>
          <w:sz w:val="20"/>
        </w:rPr>
        <w:t> </w:t>
      </w:r>
      <w:r>
        <w:rPr>
          <w:sz w:val="20"/>
        </w:rPr>
        <w:t>implemented</w:t>
      </w:r>
      <w:r>
        <w:rPr>
          <w:spacing w:val="29"/>
          <w:sz w:val="20"/>
        </w:rPr>
        <w:t> </w:t>
      </w:r>
      <w:r>
        <w:rPr>
          <w:sz w:val="20"/>
        </w:rPr>
        <w:t>as</w:t>
      </w:r>
      <w:r>
        <w:rPr>
          <w:spacing w:val="29"/>
          <w:sz w:val="20"/>
        </w:rPr>
        <w:t> </w:t>
      </w:r>
      <w:r>
        <w:rPr>
          <w:sz w:val="20"/>
        </w:rPr>
        <w:t>designed.</w:t>
      </w:r>
      <w:r>
        <w:rPr>
          <w:spacing w:val="31"/>
          <w:sz w:val="20"/>
        </w:rPr>
        <w:t> </w:t>
      </w:r>
      <w:r>
        <w:rPr>
          <w:sz w:val="20"/>
        </w:rPr>
        <w:t>My procedures</w:t>
      </w:r>
      <w:r>
        <w:rPr>
          <w:spacing w:val="29"/>
          <w:sz w:val="20"/>
        </w:rPr>
        <w:t> </w:t>
      </w:r>
      <w:r>
        <w:rPr>
          <w:sz w:val="20"/>
        </w:rPr>
        <w:t>included testing</w:t>
      </w:r>
      <w:r>
        <w:rPr>
          <w:spacing w:val="29"/>
          <w:sz w:val="20"/>
        </w:rPr>
        <w:t> </w:t>
      </w:r>
      <w:r>
        <w:rPr>
          <w:sz w:val="20"/>
        </w:rPr>
        <w:t>the</w:t>
      </w:r>
      <w:r>
        <w:rPr>
          <w:spacing w:val="29"/>
          <w:sz w:val="20"/>
        </w:rPr>
        <w:t> </w:t>
      </w:r>
      <w:r>
        <w:rPr>
          <w:sz w:val="20"/>
        </w:rPr>
        <w:t>implementation</w:t>
      </w:r>
      <w:r>
        <w:rPr>
          <w:spacing w:val="29"/>
          <w:sz w:val="20"/>
        </w:rPr>
        <w:t> </w:t>
      </w:r>
      <w:r>
        <w:rPr>
          <w:sz w:val="20"/>
        </w:rPr>
        <w:t>of those controls that I consider necessary to achieve the overall control objectives.</w:t>
      </w:r>
    </w:p>
    <w:p>
      <w:pPr>
        <w:spacing w:line="240" w:lineRule="auto" w:before="11"/>
        <w:rPr>
          <w:sz w:val="20"/>
        </w:rPr>
      </w:pPr>
    </w:p>
    <w:p>
      <w:pPr>
        <w:spacing w:line="244" w:lineRule="auto" w:before="0"/>
        <w:ind w:left="433" w:right="1990" w:firstLine="0"/>
        <w:jc w:val="left"/>
        <w:rPr>
          <w:sz w:val="20"/>
        </w:rPr>
      </w:pPr>
      <w:r>
        <w:rPr>
          <w:sz w:val="20"/>
        </w:rPr>
        <w:t>I believe that the evidence I have obtained is sufficient and appropriate to provide a basis for my </w:t>
      </w:r>
      <w:r>
        <w:rPr>
          <w:spacing w:val="-2"/>
          <w:sz w:val="20"/>
        </w:rPr>
        <w:t>opinion.</w:t>
      </w:r>
    </w:p>
    <w:p>
      <w:pPr>
        <w:spacing w:line="240" w:lineRule="auto" w:before="6"/>
        <w:rPr>
          <w:sz w:val="20"/>
        </w:rPr>
      </w:pPr>
    </w:p>
    <w:p>
      <w:pPr>
        <w:spacing w:before="0"/>
        <w:ind w:left="433" w:right="0" w:firstLine="0"/>
        <w:jc w:val="left"/>
        <w:rPr>
          <w:b/>
          <w:i/>
          <w:sz w:val="20"/>
        </w:rPr>
      </w:pPr>
      <w:r>
        <w:rPr>
          <w:b/>
          <w:i/>
          <w:sz w:val="20"/>
        </w:rPr>
        <w:t>Limitations</w:t>
      </w:r>
      <w:r>
        <w:rPr>
          <w:b/>
          <w:i/>
          <w:spacing w:val="8"/>
          <w:sz w:val="20"/>
        </w:rPr>
        <w:t> </w:t>
      </w:r>
      <w:r>
        <w:rPr>
          <w:b/>
          <w:i/>
          <w:sz w:val="20"/>
        </w:rPr>
        <w:t>of</w:t>
      </w:r>
      <w:r>
        <w:rPr>
          <w:b/>
          <w:i/>
          <w:spacing w:val="10"/>
          <w:sz w:val="20"/>
        </w:rPr>
        <w:t> </w:t>
      </w:r>
      <w:r>
        <w:rPr>
          <w:b/>
          <w:i/>
          <w:spacing w:val="-2"/>
          <w:sz w:val="20"/>
        </w:rPr>
        <w:t>Controls</w:t>
      </w:r>
    </w:p>
    <w:p>
      <w:pPr>
        <w:spacing w:line="244" w:lineRule="auto" w:before="5"/>
        <w:ind w:left="433" w:right="1763" w:firstLine="0"/>
        <w:jc w:val="left"/>
        <w:rPr>
          <w:sz w:val="20"/>
        </w:rPr>
      </w:pPr>
      <w:r>
        <w:rPr>
          <w:sz w:val="20"/>
        </w:rPr>
        <w:t>Because of the inherent limitations of any internal control structure, it is possible that, even if the controls</w:t>
      </w:r>
      <w:r>
        <w:rPr>
          <w:spacing w:val="24"/>
          <w:sz w:val="20"/>
        </w:rPr>
        <w:t> </w:t>
      </w:r>
      <w:r>
        <w:rPr>
          <w:sz w:val="20"/>
        </w:rPr>
        <w:t>are</w:t>
      </w:r>
      <w:r>
        <w:rPr>
          <w:spacing w:val="24"/>
          <w:sz w:val="20"/>
        </w:rPr>
        <w:t> </w:t>
      </w:r>
      <w:r>
        <w:rPr>
          <w:sz w:val="20"/>
        </w:rPr>
        <w:t>suitably</w:t>
      </w:r>
      <w:r>
        <w:rPr>
          <w:spacing w:val="24"/>
          <w:sz w:val="20"/>
        </w:rPr>
        <w:t> </w:t>
      </w:r>
      <w:r>
        <w:rPr>
          <w:sz w:val="20"/>
        </w:rPr>
        <w:t>designed and</w:t>
      </w:r>
      <w:r>
        <w:rPr>
          <w:spacing w:val="27"/>
          <w:sz w:val="20"/>
        </w:rPr>
        <w:t> </w:t>
      </w:r>
      <w:r>
        <w:rPr>
          <w:sz w:val="20"/>
        </w:rPr>
        <w:t>implemented as</w:t>
      </w:r>
      <w:r>
        <w:rPr>
          <w:spacing w:val="27"/>
          <w:sz w:val="20"/>
        </w:rPr>
        <w:t> </w:t>
      </w:r>
      <w:r>
        <w:rPr>
          <w:sz w:val="20"/>
        </w:rPr>
        <w:t>designed,</w:t>
      </w:r>
      <w:r>
        <w:rPr>
          <w:spacing w:val="25"/>
          <w:sz w:val="20"/>
        </w:rPr>
        <w:t> </w:t>
      </w:r>
      <w:r>
        <w:rPr>
          <w:sz w:val="20"/>
        </w:rPr>
        <w:t>once the controls</w:t>
      </w:r>
      <w:r>
        <w:rPr>
          <w:spacing w:val="27"/>
          <w:sz w:val="20"/>
        </w:rPr>
        <w:t> </w:t>
      </w:r>
      <w:r>
        <w:rPr>
          <w:sz w:val="20"/>
        </w:rPr>
        <w:t>are</w:t>
      </w:r>
      <w:r>
        <w:rPr>
          <w:spacing w:val="27"/>
          <w:sz w:val="20"/>
        </w:rPr>
        <w:t> </w:t>
      </w:r>
      <w:r>
        <w:rPr>
          <w:sz w:val="20"/>
        </w:rPr>
        <w:t>in</w:t>
      </w:r>
      <w:r>
        <w:rPr>
          <w:spacing w:val="24"/>
          <w:sz w:val="20"/>
        </w:rPr>
        <w:t> </w:t>
      </w:r>
      <w:r>
        <w:rPr>
          <w:sz w:val="20"/>
        </w:rPr>
        <w:t>operation, the overall control objectives may not be achieved so that fraud, error, or noncompliance with laws and regulations may occur and not be detected. Any projection of the outcome of the evaluation of the suitability of the design of controls to future periods is subject to the risk that the controls may become unsuitable because of changes in conditions.</w:t>
      </w:r>
    </w:p>
    <w:p>
      <w:pPr>
        <w:spacing w:line="240" w:lineRule="auto" w:before="9"/>
        <w:rPr>
          <w:sz w:val="20"/>
        </w:rPr>
      </w:pPr>
    </w:p>
    <w:p>
      <w:pPr>
        <w:spacing w:before="0"/>
        <w:ind w:left="433" w:right="0" w:firstLine="0"/>
        <w:jc w:val="left"/>
        <w:rPr>
          <w:b/>
          <w:sz w:val="20"/>
        </w:rPr>
      </w:pPr>
      <w:r>
        <w:rPr>
          <w:b/>
          <w:sz w:val="20"/>
        </w:rPr>
        <w:t>Report</w:t>
      </w:r>
      <w:r>
        <w:rPr>
          <w:b/>
          <w:spacing w:val="11"/>
          <w:sz w:val="20"/>
        </w:rPr>
        <w:t> </w:t>
      </w:r>
      <w:r>
        <w:rPr>
          <w:b/>
          <w:sz w:val="20"/>
        </w:rPr>
        <w:t>on</w:t>
      </w:r>
      <w:r>
        <w:rPr>
          <w:b/>
          <w:spacing w:val="8"/>
          <w:sz w:val="20"/>
        </w:rPr>
        <w:t> </w:t>
      </w:r>
      <w:r>
        <w:rPr>
          <w:b/>
          <w:sz w:val="20"/>
        </w:rPr>
        <w:t>the</w:t>
      </w:r>
      <w:r>
        <w:rPr>
          <w:b/>
          <w:spacing w:val="7"/>
          <w:sz w:val="20"/>
        </w:rPr>
        <w:t> </w:t>
      </w:r>
      <w:r>
        <w:rPr>
          <w:b/>
          <w:sz w:val="20"/>
        </w:rPr>
        <w:t>Key</w:t>
      </w:r>
      <w:r>
        <w:rPr>
          <w:b/>
          <w:spacing w:val="5"/>
          <w:sz w:val="20"/>
        </w:rPr>
        <w:t> </w:t>
      </w:r>
      <w:r>
        <w:rPr>
          <w:b/>
          <w:sz w:val="20"/>
        </w:rPr>
        <w:t>Performance</w:t>
      </w:r>
      <w:r>
        <w:rPr>
          <w:b/>
          <w:spacing w:val="7"/>
          <w:sz w:val="20"/>
        </w:rPr>
        <w:t> </w:t>
      </w:r>
      <w:r>
        <w:rPr>
          <w:b/>
          <w:spacing w:val="-2"/>
          <w:sz w:val="20"/>
        </w:rPr>
        <w:t>Indicators</w:t>
      </w:r>
    </w:p>
    <w:p>
      <w:pPr>
        <w:spacing w:line="240" w:lineRule="auto" w:before="13"/>
        <w:rPr>
          <w:b/>
          <w:sz w:val="20"/>
        </w:rPr>
      </w:pPr>
    </w:p>
    <w:p>
      <w:pPr>
        <w:spacing w:before="0"/>
        <w:ind w:left="433" w:right="0" w:firstLine="0"/>
        <w:jc w:val="left"/>
        <w:rPr>
          <w:b/>
          <w:i/>
          <w:sz w:val="20"/>
        </w:rPr>
      </w:pPr>
      <w:r>
        <w:rPr>
          <w:b/>
          <w:i/>
          <w:spacing w:val="-2"/>
          <w:sz w:val="20"/>
        </w:rPr>
        <w:t>Opinion</w:t>
      </w:r>
    </w:p>
    <w:p>
      <w:pPr>
        <w:spacing w:line="247" w:lineRule="auto" w:before="5"/>
        <w:ind w:left="433" w:right="1839" w:firstLine="0"/>
        <w:jc w:val="left"/>
        <w:rPr>
          <w:sz w:val="20"/>
        </w:rPr>
      </w:pPr>
      <w:r>
        <w:rPr>
          <w:sz w:val="20"/>
        </w:rPr>
        <w:t>I have undertaken a reasonable assurance engagement on the key performance indicators of The University of Western Australia for the year ended 31 December 2020. The key performance indicators are the key effectiveness indicators and the key efficiency indicators that provide performance information about achieving outcomes and delivering services.</w:t>
      </w:r>
    </w:p>
    <w:p>
      <w:pPr>
        <w:spacing w:line="244" w:lineRule="auto" w:before="230"/>
        <w:ind w:left="433" w:right="1763" w:firstLine="0"/>
        <w:jc w:val="left"/>
        <w:rPr>
          <w:sz w:val="20"/>
        </w:rPr>
      </w:pPr>
      <w:r>
        <w:rPr>
          <w:sz w:val="20"/>
        </w:rPr>
        <w:t>In my opinion, in all material respects, the key performance indicators of The University of Western Australia are relevant and appropriate to assist users to assess the University’s performance and fairly represent indicated performance for the year ended 31 December 2020.</w:t>
      </w:r>
    </w:p>
    <w:p>
      <w:pPr>
        <w:spacing w:line="240" w:lineRule="auto" w:before="6"/>
        <w:rPr>
          <w:sz w:val="20"/>
        </w:rPr>
      </w:pPr>
    </w:p>
    <w:p>
      <w:pPr>
        <w:spacing w:before="0"/>
        <w:ind w:left="432" w:right="0" w:firstLine="0"/>
        <w:jc w:val="left"/>
        <w:rPr>
          <w:b/>
          <w:i/>
          <w:sz w:val="20"/>
        </w:rPr>
      </w:pPr>
      <w:r>
        <w:rPr>
          <w:b/>
          <w:sz w:val="20"/>
        </w:rPr>
        <w:t>The</w:t>
      </w:r>
      <w:r>
        <w:rPr>
          <w:b/>
          <w:spacing w:val="11"/>
          <w:sz w:val="20"/>
        </w:rPr>
        <w:t> </w:t>
      </w:r>
      <w:r>
        <w:rPr>
          <w:b/>
          <w:i/>
          <w:sz w:val="20"/>
        </w:rPr>
        <w:t>University</w:t>
      </w:r>
      <w:r>
        <w:rPr>
          <w:b/>
          <w:i/>
          <w:spacing w:val="9"/>
          <w:sz w:val="20"/>
        </w:rPr>
        <w:t> </w:t>
      </w:r>
      <w:r>
        <w:rPr>
          <w:b/>
          <w:i/>
          <w:sz w:val="20"/>
        </w:rPr>
        <w:t>Senate</w:t>
      </w:r>
      <w:r>
        <w:rPr>
          <w:b/>
          <w:sz w:val="20"/>
        </w:rPr>
        <w:t>’s</w:t>
      </w:r>
      <w:r>
        <w:rPr>
          <w:b/>
          <w:spacing w:val="11"/>
          <w:sz w:val="20"/>
        </w:rPr>
        <w:t> </w:t>
      </w:r>
      <w:r>
        <w:rPr>
          <w:b/>
          <w:i/>
          <w:sz w:val="20"/>
        </w:rPr>
        <w:t>Responsibility</w:t>
      </w:r>
      <w:r>
        <w:rPr>
          <w:b/>
          <w:i/>
          <w:spacing w:val="8"/>
          <w:sz w:val="20"/>
        </w:rPr>
        <w:t> </w:t>
      </w:r>
      <w:r>
        <w:rPr>
          <w:b/>
          <w:i/>
          <w:sz w:val="20"/>
        </w:rPr>
        <w:t>for</w:t>
      </w:r>
      <w:r>
        <w:rPr>
          <w:b/>
          <w:i/>
          <w:spacing w:val="9"/>
          <w:sz w:val="20"/>
        </w:rPr>
        <w:t> </w:t>
      </w:r>
      <w:r>
        <w:rPr>
          <w:b/>
          <w:i/>
          <w:sz w:val="20"/>
        </w:rPr>
        <w:t>the</w:t>
      </w:r>
      <w:r>
        <w:rPr>
          <w:b/>
          <w:i/>
          <w:spacing w:val="9"/>
          <w:sz w:val="20"/>
        </w:rPr>
        <w:t> </w:t>
      </w:r>
      <w:r>
        <w:rPr>
          <w:b/>
          <w:i/>
          <w:sz w:val="20"/>
        </w:rPr>
        <w:t>Key</w:t>
      </w:r>
      <w:r>
        <w:rPr>
          <w:b/>
          <w:i/>
          <w:spacing w:val="10"/>
          <w:sz w:val="20"/>
        </w:rPr>
        <w:t> </w:t>
      </w:r>
      <w:r>
        <w:rPr>
          <w:b/>
          <w:i/>
          <w:sz w:val="20"/>
        </w:rPr>
        <w:t>Performance</w:t>
      </w:r>
      <w:r>
        <w:rPr>
          <w:b/>
          <w:i/>
          <w:spacing w:val="9"/>
          <w:sz w:val="20"/>
        </w:rPr>
        <w:t> </w:t>
      </w:r>
      <w:r>
        <w:rPr>
          <w:b/>
          <w:i/>
          <w:spacing w:val="-2"/>
          <w:sz w:val="20"/>
        </w:rPr>
        <w:t>Indicators</w:t>
      </w:r>
    </w:p>
    <w:p>
      <w:pPr>
        <w:spacing w:line="244" w:lineRule="auto" w:before="7"/>
        <w:ind w:left="433" w:right="1839" w:firstLine="0"/>
        <w:jc w:val="left"/>
        <w:rPr>
          <w:sz w:val="20"/>
        </w:rPr>
      </w:pPr>
      <w:r>
        <w:rPr>
          <w:sz w:val="20"/>
        </w:rPr>
        <w:t>The University Senate is responsible for the preparation and fair presentation of the key performance indicators in accordance with the </w:t>
      </w:r>
      <w:r>
        <w:rPr>
          <w:i/>
          <w:sz w:val="20"/>
        </w:rPr>
        <w:t>Financial Management Act 2006 </w:t>
      </w:r>
      <w:r>
        <w:rPr>
          <w:sz w:val="20"/>
        </w:rPr>
        <w:t>and the Treasurer’s Instructions, and for such internal control as the University Senate determines necessary to enable the preparation of key performance indicators that are free from material misstatement, whether due to fraud or error.</w:t>
      </w:r>
    </w:p>
    <w:p>
      <w:pPr>
        <w:spacing w:line="240" w:lineRule="auto" w:before="11"/>
        <w:rPr>
          <w:sz w:val="20"/>
        </w:rPr>
      </w:pPr>
    </w:p>
    <w:p>
      <w:pPr>
        <w:spacing w:line="244" w:lineRule="auto" w:before="0"/>
        <w:ind w:left="433" w:right="1990" w:firstLine="0"/>
        <w:jc w:val="left"/>
        <w:rPr>
          <w:sz w:val="20"/>
        </w:rPr>
      </w:pPr>
      <w:r>
        <w:rPr>
          <w:sz w:val="20"/>
        </w:rPr>
        <w:t>In preparing the key performance indicators, the University Senate is responsible for identifying key performance indicators that are relevant and appropriate having regard to their purpose in accordance with Treasurer’s Instruction 904U </w:t>
      </w:r>
      <w:r>
        <w:rPr>
          <w:i/>
          <w:sz w:val="20"/>
        </w:rPr>
        <w:t>Key Performance Indicators</w:t>
      </w:r>
      <w:r>
        <w:rPr>
          <w:sz w:val="20"/>
        </w:rPr>
        <w:t>.</w:t>
      </w:r>
    </w:p>
    <w:p>
      <w:pPr>
        <w:spacing w:line="240" w:lineRule="auto" w:before="9"/>
        <w:rPr>
          <w:sz w:val="20"/>
        </w:rPr>
      </w:pPr>
    </w:p>
    <w:p>
      <w:pPr>
        <w:spacing w:before="0"/>
        <w:ind w:left="433" w:right="0" w:firstLine="0"/>
        <w:jc w:val="left"/>
        <w:rPr>
          <w:b/>
          <w:i/>
          <w:sz w:val="20"/>
        </w:rPr>
      </w:pPr>
      <w:r>
        <w:rPr>
          <w:b/>
          <w:i/>
          <w:sz w:val="20"/>
        </w:rPr>
        <w:t>Auditor</w:t>
      </w:r>
      <w:r>
        <w:rPr>
          <w:b/>
          <w:i/>
          <w:spacing w:val="10"/>
          <w:sz w:val="20"/>
        </w:rPr>
        <w:t> </w:t>
      </w:r>
      <w:r>
        <w:rPr>
          <w:b/>
          <w:i/>
          <w:sz w:val="20"/>
        </w:rPr>
        <w:t>General’s</w:t>
      </w:r>
      <w:r>
        <w:rPr>
          <w:b/>
          <w:i/>
          <w:spacing w:val="12"/>
          <w:sz w:val="20"/>
        </w:rPr>
        <w:t> </w:t>
      </w:r>
      <w:r>
        <w:rPr>
          <w:b/>
          <w:i/>
          <w:spacing w:val="-2"/>
          <w:sz w:val="20"/>
        </w:rPr>
        <w:t>Responsibility</w:t>
      </w:r>
    </w:p>
    <w:p>
      <w:pPr>
        <w:spacing w:line="244" w:lineRule="auto" w:before="5"/>
        <w:ind w:left="433" w:right="1666" w:hanging="1"/>
        <w:jc w:val="left"/>
        <w:rPr>
          <w:sz w:val="20"/>
        </w:rPr>
      </w:pPr>
      <w:r>
        <w:rPr>
          <w:sz w:val="20"/>
        </w:rPr>
        <w:t>As required by the </w:t>
      </w:r>
      <w:r>
        <w:rPr>
          <w:i/>
          <w:sz w:val="20"/>
        </w:rPr>
        <w:t>Auditor General Act 2006</w:t>
      </w:r>
      <w:r>
        <w:rPr>
          <w:sz w:val="20"/>
        </w:rPr>
        <w:t>, my responsibility as an assurance practitioner is to express an opinion on the key performance indicators. The objectives of my engagement are to obtain reasonable assurance about whether the key performance indicators are relevant and appropriate to assist users to assess the University’s performance, and whether the key</w:t>
      </w:r>
      <w:r>
        <w:rPr>
          <w:spacing w:val="40"/>
          <w:sz w:val="20"/>
        </w:rPr>
        <w:t> </w:t>
      </w:r>
      <w:r>
        <w:rPr>
          <w:sz w:val="20"/>
        </w:rPr>
        <w:t>performance indicators are free from material misstatement, whether due to fraud or error, and to issue an auditor’s report that includes my opinion. I conducted my engagement in accordance with Standard on Assurance Engagements ASAE 3000 </w:t>
      </w:r>
      <w:r>
        <w:rPr>
          <w:i/>
          <w:sz w:val="20"/>
        </w:rPr>
        <w:t>Assurance Engagements Other than Audits or</w:t>
      </w:r>
      <w:r>
        <w:rPr>
          <w:i/>
          <w:sz w:val="20"/>
        </w:rPr>
        <w:t> Reviews of Historical Financial Information </w:t>
      </w:r>
      <w:r>
        <w:rPr>
          <w:sz w:val="20"/>
        </w:rPr>
        <w:t>issued by the Australian Auditing and Assurance Standards</w:t>
      </w:r>
      <w:r>
        <w:rPr>
          <w:spacing w:val="23"/>
          <w:sz w:val="20"/>
        </w:rPr>
        <w:t> </w:t>
      </w:r>
      <w:r>
        <w:rPr>
          <w:sz w:val="20"/>
        </w:rPr>
        <w:t>Board.</w:t>
      </w:r>
      <w:r>
        <w:rPr>
          <w:spacing w:val="24"/>
          <w:sz w:val="20"/>
        </w:rPr>
        <w:t> </w:t>
      </w:r>
      <w:r>
        <w:rPr>
          <w:sz w:val="20"/>
        </w:rPr>
        <w:t>That</w:t>
      </w:r>
      <w:r>
        <w:rPr>
          <w:spacing w:val="27"/>
          <w:sz w:val="20"/>
        </w:rPr>
        <w:t> </w:t>
      </w:r>
      <w:r>
        <w:rPr>
          <w:sz w:val="20"/>
        </w:rPr>
        <w:t>standard</w:t>
      </w:r>
      <w:r>
        <w:rPr>
          <w:spacing w:val="22"/>
          <w:sz w:val="20"/>
        </w:rPr>
        <w:t> </w:t>
      </w:r>
      <w:r>
        <w:rPr>
          <w:sz w:val="20"/>
        </w:rPr>
        <w:t>requires</w:t>
      </w:r>
      <w:r>
        <w:rPr>
          <w:spacing w:val="23"/>
          <w:sz w:val="20"/>
        </w:rPr>
        <w:t> </w:t>
      </w:r>
      <w:r>
        <w:rPr>
          <w:sz w:val="20"/>
        </w:rPr>
        <w:t>that</w:t>
      </w:r>
      <w:r>
        <w:rPr>
          <w:spacing w:val="24"/>
          <w:sz w:val="20"/>
        </w:rPr>
        <w:t> </w:t>
      </w:r>
      <w:r>
        <w:rPr>
          <w:sz w:val="20"/>
        </w:rPr>
        <w:t>I</w:t>
      </w:r>
      <w:r>
        <w:rPr>
          <w:spacing w:val="27"/>
          <w:sz w:val="20"/>
        </w:rPr>
        <w:t> </w:t>
      </w:r>
      <w:r>
        <w:rPr>
          <w:sz w:val="20"/>
        </w:rPr>
        <w:t>comply</w:t>
      </w:r>
      <w:r>
        <w:rPr>
          <w:spacing w:val="23"/>
          <w:sz w:val="20"/>
        </w:rPr>
        <w:t> </w:t>
      </w:r>
      <w:r>
        <w:rPr>
          <w:sz w:val="20"/>
        </w:rPr>
        <w:t>with</w:t>
      </w:r>
      <w:r>
        <w:rPr>
          <w:spacing w:val="26"/>
          <w:sz w:val="20"/>
        </w:rPr>
        <w:t> </w:t>
      </w:r>
      <w:r>
        <w:rPr>
          <w:sz w:val="20"/>
        </w:rPr>
        <w:t>relevant</w:t>
      </w:r>
      <w:r>
        <w:rPr>
          <w:spacing w:val="27"/>
          <w:sz w:val="20"/>
        </w:rPr>
        <w:t> </w:t>
      </w:r>
      <w:r>
        <w:rPr>
          <w:sz w:val="20"/>
        </w:rPr>
        <w:t>ethical</w:t>
      </w:r>
      <w:r>
        <w:rPr>
          <w:spacing w:val="24"/>
          <w:sz w:val="20"/>
        </w:rPr>
        <w:t> </w:t>
      </w:r>
      <w:r>
        <w:rPr>
          <w:sz w:val="20"/>
        </w:rPr>
        <w:t>requirements</w:t>
      </w:r>
      <w:r>
        <w:rPr>
          <w:spacing w:val="23"/>
          <w:sz w:val="20"/>
        </w:rPr>
        <w:t> </w:t>
      </w:r>
      <w:r>
        <w:rPr>
          <w:sz w:val="20"/>
        </w:rPr>
        <w:t>relating to assurance engagements.</w:t>
      </w:r>
    </w:p>
    <w:p>
      <w:pPr>
        <w:spacing w:after="0" w:line="244" w:lineRule="auto"/>
        <w:jc w:val="left"/>
        <w:rPr>
          <w:sz w:val="20"/>
        </w:rPr>
        <w:sectPr>
          <w:pgSz w:w="11910" w:h="16840"/>
          <w:pgMar w:header="468" w:footer="0" w:top="720" w:bottom="280" w:left="920" w:right="0"/>
        </w:sect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32"/>
        <w:rPr>
          <w:sz w:val="20"/>
        </w:rPr>
      </w:pPr>
    </w:p>
    <w:p>
      <w:pPr>
        <w:spacing w:line="247" w:lineRule="auto" w:before="1"/>
        <w:ind w:left="432" w:right="1763" w:firstLine="0"/>
        <w:jc w:val="left"/>
        <w:rPr>
          <w:sz w:val="20"/>
        </w:rPr>
      </w:pPr>
      <w:r>
        <w:rPr>
          <w:sz w:val="20"/>
        </w:rPr>
        <w:t>An assurance engagement involves performing procedures to obtain evidence about the amounts and disclosures in the key performance indicators. It also involves evaluating the relevance and appropriateness of the key performance indicators against the criteria and guidance in Treasurer’s Instruction 904U for measuring the extent of outcome achievement and the efficiency of service delivery. The procedures selected depend on my judgement, including the assessment of the risks</w:t>
      </w:r>
      <w:r>
        <w:rPr>
          <w:spacing w:val="80"/>
          <w:sz w:val="20"/>
        </w:rPr>
        <w:t> </w:t>
      </w:r>
      <w:r>
        <w:rPr>
          <w:sz w:val="20"/>
        </w:rPr>
        <w:t>of material misstatement of the key performance indicators. In making these risk assessments I obtain</w:t>
      </w:r>
      <w:r>
        <w:rPr>
          <w:spacing w:val="25"/>
          <w:sz w:val="20"/>
        </w:rPr>
        <w:t> </w:t>
      </w:r>
      <w:r>
        <w:rPr>
          <w:sz w:val="20"/>
        </w:rPr>
        <w:t>an</w:t>
      </w:r>
      <w:r>
        <w:rPr>
          <w:spacing w:val="25"/>
          <w:sz w:val="20"/>
        </w:rPr>
        <w:t> </w:t>
      </w:r>
      <w:r>
        <w:rPr>
          <w:sz w:val="20"/>
        </w:rPr>
        <w:t>understanding of</w:t>
      </w:r>
      <w:r>
        <w:rPr>
          <w:spacing w:val="30"/>
          <w:sz w:val="20"/>
        </w:rPr>
        <w:t> </w:t>
      </w:r>
      <w:r>
        <w:rPr>
          <w:sz w:val="20"/>
        </w:rPr>
        <w:t>internal control relevant to the</w:t>
      </w:r>
      <w:r>
        <w:rPr>
          <w:spacing w:val="25"/>
          <w:sz w:val="20"/>
        </w:rPr>
        <w:t> </w:t>
      </w:r>
      <w:r>
        <w:rPr>
          <w:sz w:val="20"/>
        </w:rPr>
        <w:t>engagement</w:t>
      </w:r>
      <w:r>
        <w:rPr>
          <w:spacing w:val="27"/>
          <w:sz w:val="20"/>
        </w:rPr>
        <w:t> </w:t>
      </w:r>
      <w:r>
        <w:rPr>
          <w:sz w:val="20"/>
        </w:rPr>
        <w:t>in order to design procedures that are appropriate in the circumstances.</w:t>
      </w:r>
    </w:p>
    <w:p>
      <w:pPr>
        <w:spacing w:line="244" w:lineRule="auto" w:before="227"/>
        <w:ind w:left="432" w:right="1990" w:firstLine="0"/>
        <w:jc w:val="left"/>
        <w:rPr>
          <w:sz w:val="20"/>
        </w:rPr>
      </w:pPr>
      <w:r>
        <w:rPr>
          <w:sz w:val="20"/>
        </w:rPr>
        <w:t>I believe that the evidence I have obtained is sufficient and appropriate to provide a basis for my </w:t>
      </w:r>
      <w:r>
        <w:rPr>
          <w:spacing w:val="-2"/>
          <w:sz w:val="20"/>
        </w:rPr>
        <w:t>opinion.</w:t>
      </w:r>
    </w:p>
    <w:p>
      <w:pPr>
        <w:spacing w:line="240" w:lineRule="auto" w:before="7"/>
        <w:rPr>
          <w:sz w:val="20"/>
        </w:rPr>
      </w:pPr>
    </w:p>
    <w:p>
      <w:pPr>
        <w:spacing w:line="244" w:lineRule="auto" w:before="0"/>
        <w:ind w:left="432" w:right="1990" w:firstLine="0"/>
        <w:jc w:val="left"/>
        <w:rPr>
          <w:b/>
          <w:i/>
          <w:sz w:val="20"/>
        </w:rPr>
      </w:pPr>
      <w:r>
        <w:rPr>
          <w:b/>
          <w:i/>
          <w:sz w:val="20"/>
        </w:rPr>
        <w:t>My Independence and Quality Control Relating to the Reports on Controls and Key</w:t>
      </w:r>
      <w:r>
        <w:rPr>
          <w:b/>
          <w:i/>
          <w:sz w:val="20"/>
        </w:rPr>
        <w:t> Performance Indicators</w:t>
      </w:r>
    </w:p>
    <w:p>
      <w:pPr>
        <w:spacing w:line="244" w:lineRule="auto" w:before="3"/>
        <w:ind w:left="433" w:right="1763" w:hanging="1"/>
        <w:jc w:val="left"/>
        <w:rPr>
          <w:sz w:val="20"/>
        </w:rPr>
      </w:pPr>
      <w:r>
        <w:rPr>
          <w:sz w:val="20"/>
        </w:rPr>
        <w:t>I have complied with the independence requirements of the </w:t>
      </w:r>
      <w:r>
        <w:rPr>
          <w:i/>
          <w:sz w:val="20"/>
        </w:rPr>
        <w:t>Auditor General Act 2006 </w:t>
      </w:r>
      <w:r>
        <w:rPr>
          <w:sz w:val="20"/>
        </w:rPr>
        <w:t>and the relevant ethical requirements relating to assurance engagements. In accordance with ASQC 1 </w:t>
      </w:r>
      <w:r>
        <w:rPr>
          <w:i/>
          <w:sz w:val="20"/>
        </w:rPr>
        <w:t>Quality</w:t>
      </w:r>
      <w:r>
        <w:rPr>
          <w:i/>
          <w:spacing w:val="26"/>
          <w:sz w:val="20"/>
        </w:rPr>
        <w:t> </w:t>
      </w:r>
      <w:r>
        <w:rPr>
          <w:i/>
          <w:sz w:val="20"/>
        </w:rPr>
        <w:t>Control</w:t>
      </w:r>
      <w:r>
        <w:rPr>
          <w:i/>
          <w:spacing w:val="22"/>
          <w:sz w:val="20"/>
        </w:rPr>
        <w:t> </w:t>
      </w:r>
      <w:r>
        <w:rPr>
          <w:i/>
          <w:sz w:val="20"/>
        </w:rPr>
        <w:t>for</w:t>
      </w:r>
      <w:r>
        <w:rPr>
          <w:i/>
          <w:spacing w:val="25"/>
          <w:sz w:val="20"/>
        </w:rPr>
        <w:t> </w:t>
      </w:r>
      <w:r>
        <w:rPr>
          <w:i/>
          <w:sz w:val="20"/>
        </w:rPr>
        <w:t>Firms</w:t>
      </w:r>
      <w:r>
        <w:rPr>
          <w:i/>
          <w:spacing w:val="23"/>
          <w:sz w:val="20"/>
        </w:rPr>
        <w:t> </w:t>
      </w:r>
      <w:r>
        <w:rPr>
          <w:i/>
          <w:sz w:val="20"/>
        </w:rPr>
        <w:t>that</w:t>
      </w:r>
      <w:r>
        <w:rPr>
          <w:i/>
          <w:spacing w:val="25"/>
          <w:sz w:val="20"/>
        </w:rPr>
        <w:t> </w:t>
      </w:r>
      <w:r>
        <w:rPr>
          <w:i/>
          <w:sz w:val="20"/>
        </w:rPr>
        <w:t>Perform</w:t>
      </w:r>
      <w:r>
        <w:rPr>
          <w:i/>
          <w:spacing w:val="28"/>
          <w:sz w:val="20"/>
        </w:rPr>
        <w:t> </w:t>
      </w:r>
      <w:r>
        <w:rPr>
          <w:i/>
          <w:sz w:val="20"/>
        </w:rPr>
        <w:t>Audits</w:t>
      </w:r>
      <w:r>
        <w:rPr>
          <w:i/>
          <w:spacing w:val="23"/>
          <w:sz w:val="20"/>
        </w:rPr>
        <w:t> </w:t>
      </w:r>
      <w:r>
        <w:rPr>
          <w:i/>
          <w:sz w:val="20"/>
        </w:rPr>
        <w:t>and</w:t>
      </w:r>
      <w:r>
        <w:rPr>
          <w:i/>
          <w:spacing w:val="22"/>
          <w:sz w:val="20"/>
        </w:rPr>
        <w:t> </w:t>
      </w:r>
      <w:r>
        <w:rPr>
          <w:i/>
          <w:sz w:val="20"/>
        </w:rPr>
        <w:t>Reviews</w:t>
      </w:r>
      <w:r>
        <w:rPr>
          <w:i/>
          <w:spacing w:val="26"/>
          <w:sz w:val="20"/>
        </w:rPr>
        <w:t> </w:t>
      </w:r>
      <w:r>
        <w:rPr>
          <w:i/>
          <w:sz w:val="20"/>
        </w:rPr>
        <w:t>of</w:t>
      </w:r>
      <w:r>
        <w:rPr>
          <w:i/>
          <w:spacing w:val="28"/>
          <w:sz w:val="20"/>
        </w:rPr>
        <w:t> </w:t>
      </w:r>
      <w:r>
        <w:rPr>
          <w:i/>
          <w:sz w:val="20"/>
        </w:rPr>
        <w:t>Financial</w:t>
      </w:r>
      <w:r>
        <w:rPr>
          <w:i/>
          <w:spacing w:val="25"/>
          <w:sz w:val="20"/>
        </w:rPr>
        <w:t> </w:t>
      </w:r>
      <w:r>
        <w:rPr>
          <w:i/>
          <w:sz w:val="20"/>
        </w:rPr>
        <w:t>Reports</w:t>
      </w:r>
      <w:r>
        <w:rPr>
          <w:i/>
          <w:spacing w:val="23"/>
          <w:sz w:val="20"/>
        </w:rPr>
        <w:t> </w:t>
      </w:r>
      <w:r>
        <w:rPr>
          <w:i/>
          <w:sz w:val="20"/>
        </w:rPr>
        <w:t>and</w:t>
      </w:r>
      <w:r>
        <w:rPr>
          <w:i/>
          <w:spacing w:val="22"/>
          <w:sz w:val="20"/>
        </w:rPr>
        <w:t> </w:t>
      </w:r>
      <w:r>
        <w:rPr>
          <w:i/>
          <w:sz w:val="20"/>
        </w:rPr>
        <w:t>Other</w:t>
      </w:r>
      <w:r>
        <w:rPr>
          <w:i/>
          <w:sz w:val="20"/>
        </w:rPr>
        <w:t> Financial Information, and Other Assurance Engagements</w:t>
      </w:r>
      <w:r>
        <w:rPr>
          <w:sz w:val="20"/>
        </w:rPr>
        <w:t>, the Office of the Auditor General maintains</w:t>
      </w:r>
      <w:r>
        <w:rPr>
          <w:spacing w:val="32"/>
          <w:sz w:val="20"/>
        </w:rPr>
        <w:t> </w:t>
      </w:r>
      <w:r>
        <w:rPr>
          <w:sz w:val="20"/>
        </w:rPr>
        <w:t>a</w:t>
      </w:r>
      <w:r>
        <w:rPr>
          <w:spacing w:val="29"/>
          <w:sz w:val="20"/>
        </w:rPr>
        <w:t> </w:t>
      </w:r>
      <w:r>
        <w:rPr>
          <w:sz w:val="20"/>
        </w:rPr>
        <w:t>comprehensive</w:t>
      </w:r>
      <w:r>
        <w:rPr>
          <w:spacing w:val="32"/>
          <w:sz w:val="20"/>
        </w:rPr>
        <w:t> </w:t>
      </w:r>
      <w:r>
        <w:rPr>
          <w:sz w:val="20"/>
        </w:rPr>
        <w:t>system</w:t>
      </w:r>
      <w:r>
        <w:rPr>
          <w:spacing w:val="34"/>
          <w:sz w:val="20"/>
        </w:rPr>
        <w:t> </w:t>
      </w:r>
      <w:r>
        <w:rPr>
          <w:sz w:val="20"/>
        </w:rPr>
        <w:t>of</w:t>
      </w:r>
      <w:r>
        <w:rPr>
          <w:spacing w:val="31"/>
          <w:sz w:val="20"/>
        </w:rPr>
        <w:t> </w:t>
      </w:r>
      <w:r>
        <w:rPr>
          <w:sz w:val="20"/>
        </w:rPr>
        <w:t>quality</w:t>
      </w:r>
      <w:r>
        <w:rPr>
          <w:spacing w:val="29"/>
          <w:sz w:val="20"/>
        </w:rPr>
        <w:t> </w:t>
      </w:r>
      <w:r>
        <w:rPr>
          <w:sz w:val="20"/>
        </w:rPr>
        <w:t>control</w:t>
      </w:r>
      <w:r>
        <w:rPr>
          <w:spacing w:val="31"/>
          <w:sz w:val="20"/>
        </w:rPr>
        <w:t> </w:t>
      </w:r>
      <w:r>
        <w:rPr>
          <w:sz w:val="20"/>
        </w:rPr>
        <w:t>including</w:t>
      </w:r>
      <w:r>
        <w:rPr>
          <w:spacing w:val="35"/>
          <w:sz w:val="20"/>
        </w:rPr>
        <w:t> </w:t>
      </w:r>
      <w:r>
        <w:rPr>
          <w:sz w:val="20"/>
        </w:rPr>
        <w:t>documented</w:t>
      </w:r>
      <w:r>
        <w:rPr>
          <w:spacing w:val="29"/>
          <w:sz w:val="20"/>
        </w:rPr>
        <w:t> </w:t>
      </w:r>
      <w:r>
        <w:rPr>
          <w:sz w:val="20"/>
        </w:rPr>
        <w:t>policies</w:t>
      </w:r>
      <w:r>
        <w:rPr>
          <w:spacing w:val="32"/>
          <w:sz w:val="20"/>
        </w:rPr>
        <w:t> </w:t>
      </w:r>
      <w:r>
        <w:rPr>
          <w:sz w:val="20"/>
        </w:rPr>
        <w:t>and procedures regarding compliance with ethical requirements, professional standards and applicable legal and regulatory requirements.</w:t>
      </w:r>
    </w:p>
    <w:p>
      <w:pPr>
        <w:spacing w:line="240" w:lineRule="auto" w:before="13"/>
        <w:rPr>
          <w:sz w:val="20"/>
        </w:rPr>
      </w:pPr>
    </w:p>
    <w:p>
      <w:pPr>
        <w:spacing w:line="244" w:lineRule="auto" w:before="0"/>
        <w:ind w:left="433" w:right="1344" w:firstLine="0"/>
        <w:jc w:val="left"/>
        <w:rPr>
          <w:b/>
          <w:i/>
          <w:sz w:val="20"/>
        </w:rPr>
      </w:pPr>
      <w:r>
        <w:rPr>
          <w:b/>
          <w:i/>
          <w:sz w:val="20"/>
        </w:rPr>
        <w:t>Matters Relating to the Electronic Publication of the Audited Financial Statements and Key</w:t>
      </w:r>
      <w:r>
        <w:rPr>
          <w:b/>
          <w:i/>
          <w:sz w:val="20"/>
        </w:rPr>
        <w:t> Performance Indicators</w:t>
      </w:r>
    </w:p>
    <w:p>
      <w:pPr>
        <w:spacing w:line="244" w:lineRule="auto" w:before="3"/>
        <w:ind w:left="433" w:right="1763" w:firstLine="0"/>
        <w:jc w:val="left"/>
        <w:rPr>
          <w:sz w:val="20"/>
        </w:rPr>
      </w:pPr>
      <w:r>
        <w:rPr>
          <w:sz w:val="20"/>
        </w:rPr>
        <w:t>This auditor’s report relates to the financial statements and key performance indicators of The University of Western Australia for the year ended 31 December 2020 included on the University’s website. The University’s management is responsible for the integrity of the University’s website. This audit does not provide assurance on the integrity of the University’s website. The auditor’s report refers only to the financial statements and key performance indicators described above. It does not provide an opinion on any other information which may have been hyperlinked to/from these financial statements or key performance indicators. If users of the financial statements and</w:t>
      </w:r>
      <w:r>
        <w:rPr>
          <w:spacing w:val="40"/>
          <w:sz w:val="20"/>
        </w:rPr>
        <w:t> </w:t>
      </w:r>
      <w:r>
        <w:rPr>
          <w:sz w:val="20"/>
        </w:rPr>
        <w:t>key performance indicators are concerned with the inherent risks arising from publication on a website, they are advised to refer to the hard copy of the audited financial statements and key performance indicators to confirm the information contained in this website version of the financial statements and key performance indicators.</w:t>
      </w:r>
    </w:p>
    <w:p>
      <w:pPr>
        <w:spacing w:line="240" w:lineRule="auto" w:before="229"/>
        <w:rPr>
          <w:sz w:val="20"/>
        </w:rPr>
      </w:pPr>
      <w:r>
        <w:rPr/>
        <w:drawing>
          <wp:anchor distT="0" distB="0" distL="0" distR="0" allowOverlap="1" layoutInCell="1" locked="0" behindDoc="1" simplePos="0" relativeHeight="487724544">
            <wp:simplePos x="0" y="0"/>
            <wp:positionH relativeFrom="page">
              <wp:posOffset>870546</wp:posOffset>
            </wp:positionH>
            <wp:positionV relativeFrom="paragraph">
              <wp:posOffset>306797</wp:posOffset>
            </wp:positionV>
            <wp:extent cx="868348" cy="460628"/>
            <wp:effectExtent l="0" t="0" r="0" b="0"/>
            <wp:wrapTopAndBottom/>
            <wp:docPr id="866" name="Image 866"/>
            <wp:cNvGraphicFramePr>
              <a:graphicFrameLocks/>
            </wp:cNvGraphicFramePr>
            <a:graphic>
              <a:graphicData uri="http://schemas.openxmlformats.org/drawingml/2006/picture">
                <pic:pic>
                  <pic:nvPicPr>
                    <pic:cNvPr id="866" name="Image 866"/>
                    <pic:cNvPicPr/>
                  </pic:nvPicPr>
                  <pic:blipFill>
                    <a:blip r:embed="rId99" cstate="print"/>
                    <a:stretch>
                      <a:fillRect/>
                    </a:stretch>
                  </pic:blipFill>
                  <pic:spPr>
                    <a:xfrm>
                      <a:off x="0" y="0"/>
                      <a:ext cx="868348" cy="460628"/>
                    </a:xfrm>
                    <a:prstGeom prst="rect">
                      <a:avLst/>
                    </a:prstGeom>
                  </pic:spPr>
                </pic:pic>
              </a:graphicData>
            </a:graphic>
          </wp:anchor>
        </w:drawing>
      </w:r>
    </w:p>
    <w:p>
      <w:pPr>
        <w:spacing w:line="244" w:lineRule="auto" w:before="2"/>
        <w:ind w:left="433" w:right="8298" w:firstLine="0"/>
        <w:jc w:val="left"/>
        <w:rPr>
          <w:sz w:val="20"/>
        </w:rPr>
      </w:pPr>
      <w:r>
        <w:rPr>
          <w:sz w:val="20"/>
        </w:rPr>
        <w:t>CAROLINE </w:t>
      </w:r>
      <w:r>
        <w:rPr>
          <w:sz w:val="20"/>
        </w:rPr>
        <w:t>SPENCER AUDITOR GENERAL</w:t>
      </w:r>
    </w:p>
    <w:p>
      <w:pPr>
        <w:spacing w:before="2"/>
        <w:ind w:left="433" w:right="0" w:firstLine="0"/>
        <w:jc w:val="left"/>
        <w:rPr>
          <w:sz w:val="20"/>
        </w:rPr>
      </w:pPr>
      <w:r>
        <w:rPr>
          <w:sz w:val="20"/>
        </w:rPr>
        <w:t>FOR</w:t>
      </w:r>
      <w:r>
        <w:rPr>
          <w:spacing w:val="8"/>
          <w:sz w:val="20"/>
        </w:rPr>
        <w:t> </w:t>
      </w:r>
      <w:r>
        <w:rPr>
          <w:sz w:val="20"/>
        </w:rPr>
        <w:t>WESTERN</w:t>
      </w:r>
      <w:r>
        <w:rPr>
          <w:spacing w:val="14"/>
          <w:sz w:val="20"/>
        </w:rPr>
        <w:t> </w:t>
      </w:r>
      <w:r>
        <w:rPr>
          <w:spacing w:val="-2"/>
          <w:sz w:val="20"/>
        </w:rPr>
        <w:t>AUSTRALIA</w:t>
      </w:r>
    </w:p>
    <w:p>
      <w:pPr>
        <w:spacing w:line="247" w:lineRule="auto" w:before="5"/>
        <w:ind w:left="433" w:right="8298" w:firstLine="0"/>
        <w:jc w:val="left"/>
        <w:rPr>
          <w:sz w:val="20"/>
        </w:rPr>
      </w:pPr>
      <w:r>
        <w:rPr/>
        <mc:AlternateContent>
          <mc:Choice Requires="wps">
            <w:drawing>
              <wp:anchor distT="0" distB="0" distL="0" distR="0" allowOverlap="1" layoutInCell="1" locked="0" behindDoc="0" simplePos="0" relativeHeight="15865856">
                <wp:simplePos x="0" y="0"/>
                <wp:positionH relativeFrom="page">
                  <wp:posOffset>7111289</wp:posOffset>
                </wp:positionH>
                <wp:positionV relativeFrom="paragraph">
                  <wp:posOffset>328585</wp:posOffset>
                </wp:positionV>
                <wp:extent cx="177800" cy="1848485"/>
                <wp:effectExtent l="0" t="0" r="0" b="0"/>
                <wp:wrapNone/>
                <wp:docPr id="867" name="Textbox 867"/>
                <wp:cNvGraphicFramePr>
                  <a:graphicFrameLocks/>
                </wp:cNvGraphicFramePr>
                <a:graphic>
                  <a:graphicData uri="http://schemas.microsoft.com/office/word/2010/wordprocessingShape">
                    <wps:wsp>
                      <wps:cNvPr id="867" name="Textbox 867"/>
                      <wps:cNvSpPr txBox="1"/>
                      <wps:spPr>
                        <a:xfrm>
                          <a:off x="0" y="0"/>
                          <a:ext cx="177800" cy="184848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25.872869pt;width:14pt;height:145.550pt;mso-position-horizontal-relative:page;mso-position-vertical-relative:paragraph;z-index:15865856" type="#_x0000_t202" id="docshape561"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7"/>
                          <w:sz w:val="18"/>
                        </w:rPr>
                        <w:t> </w:t>
                      </w:r>
                      <w:r>
                        <w:rPr>
                          <w:rFonts w:ascii="TT Norms Pro"/>
                          <w:sz w:val="18"/>
                        </w:rPr>
                        <w:t>Annual Report</w:t>
                      </w:r>
                      <w:r>
                        <w:rPr>
                          <w:rFonts w:ascii="TT Norms Pro"/>
                          <w:spacing w:val="69"/>
                          <w:w w:val="150"/>
                          <w:sz w:val="18"/>
                        </w:rPr>
                        <w:t> </w:t>
                      </w:r>
                      <w:r>
                        <w:rPr>
                          <w:rFonts w:ascii="TT Norms Pro Light"/>
                          <w:b w:val="0"/>
                          <w:sz w:val="18"/>
                        </w:rPr>
                        <w:t>|</w:t>
                      </w:r>
                      <w:r>
                        <w:rPr>
                          <w:rFonts w:ascii="TT Norms Pro Light"/>
                          <w:b w:val="0"/>
                          <w:spacing w:val="54"/>
                          <w:sz w:val="18"/>
                        </w:rPr>
                        <w:t> </w:t>
                      </w:r>
                      <w:r>
                        <w:rPr>
                          <w:rFonts w:ascii="TT Norms Pro"/>
                          <w:b/>
                          <w:spacing w:val="-2"/>
                          <w:sz w:val="18"/>
                        </w:rPr>
                        <w:t>uwa.edu.au</w:t>
                      </w:r>
                    </w:p>
                  </w:txbxContent>
                </v:textbox>
                <w10:wrap type="none"/>
              </v:shape>
            </w:pict>
          </mc:Fallback>
        </mc:AlternateContent>
      </w:r>
      <w:r>
        <w:rPr>
          <w:sz w:val="20"/>
        </w:rPr>
        <w:t>Perth, Western Australia 5 March 2021</w:t>
      </w:r>
    </w:p>
    <w:p>
      <w:pPr>
        <w:spacing w:after="0" w:line="247" w:lineRule="auto"/>
        <w:jc w:val="left"/>
        <w:rPr>
          <w:sz w:val="20"/>
        </w:rPr>
        <w:sectPr>
          <w:pgSz w:w="11910" w:h="16840"/>
          <w:pgMar w:header="468" w:footer="0" w:top="720" w:bottom="280" w:left="920" w:right="0"/>
        </w:sect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57" w:after="1"/>
        <w:rPr>
          <w:sz w:val="20"/>
        </w:rPr>
      </w:pPr>
    </w:p>
    <w:p>
      <w:pPr>
        <w:spacing w:line="240" w:lineRule="auto"/>
        <w:ind w:left="213" w:right="0" w:firstLine="0"/>
        <w:rPr>
          <w:sz w:val="20"/>
        </w:rPr>
      </w:pPr>
      <w:r>
        <w:rPr>
          <w:sz w:val="20"/>
        </w:rPr>
        <mc:AlternateContent>
          <mc:Choice Requires="wps">
            <w:drawing>
              <wp:inline distT="0" distB="0" distL="0" distR="0">
                <wp:extent cx="5931535" cy="8848090"/>
                <wp:effectExtent l="0" t="0" r="0" b="634"/>
                <wp:docPr id="868" name="Group 868"/>
                <wp:cNvGraphicFramePr>
                  <a:graphicFrameLocks/>
                </wp:cNvGraphicFramePr>
                <a:graphic>
                  <a:graphicData uri="http://schemas.microsoft.com/office/word/2010/wordprocessingGroup">
                    <wpg:wgp>
                      <wpg:cNvPr id="868" name="Group 868"/>
                      <wpg:cNvGrpSpPr/>
                      <wpg:grpSpPr>
                        <a:xfrm>
                          <a:off x="0" y="0"/>
                          <a:ext cx="5931535" cy="8848090"/>
                          <a:chExt cx="5931535" cy="8848090"/>
                        </a:xfrm>
                      </wpg:grpSpPr>
                      <pic:pic>
                        <pic:nvPicPr>
                          <pic:cNvPr id="869" name="Image 869"/>
                          <pic:cNvPicPr/>
                        </pic:nvPicPr>
                        <pic:blipFill>
                          <a:blip r:embed="rId100" cstate="print"/>
                          <a:stretch>
                            <a:fillRect/>
                          </a:stretch>
                        </pic:blipFill>
                        <pic:spPr>
                          <a:xfrm>
                            <a:off x="0" y="0"/>
                            <a:ext cx="5931056" cy="8847598"/>
                          </a:xfrm>
                          <a:prstGeom prst="rect">
                            <a:avLst/>
                          </a:prstGeom>
                        </pic:spPr>
                      </pic:pic>
                      <pic:pic>
                        <pic:nvPicPr>
                          <pic:cNvPr id="870" name="Image 870"/>
                          <pic:cNvPicPr/>
                        </pic:nvPicPr>
                        <pic:blipFill>
                          <a:blip r:embed="rId101" cstate="print"/>
                          <a:stretch>
                            <a:fillRect/>
                          </a:stretch>
                        </pic:blipFill>
                        <pic:spPr>
                          <a:xfrm>
                            <a:off x="0" y="5048389"/>
                            <a:ext cx="5751068" cy="3265940"/>
                          </a:xfrm>
                          <a:prstGeom prst="rect">
                            <a:avLst/>
                          </a:prstGeom>
                        </pic:spPr>
                      </pic:pic>
                      <pic:pic>
                        <pic:nvPicPr>
                          <pic:cNvPr id="871" name="Image 871"/>
                          <pic:cNvPicPr/>
                        </pic:nvPicPr>
                        <pic:blipFill>
                          <a:blip r:embed="rId102" cstate="print"/>
                          <a:stretch>
                            <a:fillRect/>
                          </a:stretch>
                        </pic:blipFill>
                        <pic:spPr>
                          <a:xfrm>
                            <a:off x="10248" y="3986110"/>
                            <a:ext cx="4904557" cy="350325"/>
                          </a:xfrm>
                          <a:prstGeom prst="rect">
                            <a:avLst/>
                          </a:prstGeom>
                        </pic:spPr>
                      </pic:pic>
                      <pic:pic>
                        <pic:nvPicPr>
                          <pic:cNvPr id="872" name="Image 872"/>
                          <pic:cNvPicPr/>
                        </pic:nvPicPr>
                        <pic:blipFill>
                          <a:blip r:embed="rId103" cstate="print"/>
                          <a:stretch>
                            <a:fillRect/>
                          </a:stretch>
                        </pic:blipFill>
                        <pic:spPr>
                          <a:xfrm>
                            <a:off x="10248" y="8217"/>
                            <a:ext cx="5786022" cy="3887486"/>
                          </a:xfrm>
                          <a:prstGeom prst="rect">
                            <a:avLst/>
                          </a:prstGeom>
                        </pic:spPr>
                      </pic:pic>
                      <pic:pic>
                        <pic:nvPicPr>
                          <pic:cNvPr id="873" name="Image 873"/>
                          <pic:cNvPicPr/>
                        </pic:nvPicPr>
                        <pic:blipFill>
                          <a:blip r:embed="rId104" cstate="print"/>
                          <a:stretch>
                            <a:fillRect/>
                          </a:stretch>
                        </pic:blipFill>
                        <pic:spPr>
                          <a:xfrm>
                            <a:off x="10248" y="4551157"/>
                            <a:ext cx="1197884" cy="124304"/>
                          </a:xfrm>
                          <a:prstGeom prst="rect">
                            <a:avLst/>
                          </a:prstGeom>
                        </pic:spPr>
                      </pic:pic>
                      <pic:pic>
                        <pic:nvPicPr>
                          <pic:cNvPr id="874" name="Image 874"/>
                          <pic:cNvPicPr/>
                        </pic:nvPicPr>
                        <pic:blipFill>
                          <a:blip r:embed="rId105" cstate="print"/>
                          <a:stretch>
                            <a:fillRect/>
                          </a:stretch>
                        </pic:blipFill>
                        <pic:spPr>
                          <a:xfrm>
                            <a:off x="0" y="8517748"/>
                            <a:ext cx="1185531" cy="124305"/>
                          </a:xfrm>
                          <a:prstGeom prst="rect">
                            <a:avLst/>
                          </a:prstGeom>
                        </pic:spPr>
                      </pic:pic>
                    </wpg:wgp>
                  </a:graphicData>
                </a:graphic>
              </wp:inline>
            </w:drawing>
          </mc:Choice>
          <mc:Fallback>
            <w:pict>
              <v:group style="width:467.05pt;height:696.7pt;mso-position-horizontal-relative:char;mso-position-vertical-relative:line" id="docshapegroup562" coordorigin="0,0" coordsize="9341,13934">
                <v:shape style="position:absolute;left:0;top:0;width:9341;height:13934" type="#_x0000_t75" id="docshape563" stroked="false">
                  <v:imagedata r:id="rId100" o:title=""/>
                </v:shape>
                <v:shape style="position:absolute;left:0;top:7950;width:9057;height:5144" type="#_x0000_t75" id="docshape564" stroked="false">
                  <v:imagedata r:id="rId101" o:title=""/>
                </v:shape>
                <v:shape style="position:absolute;left:16;top:6277;width:7724;height:552" type="#_x0000_t75" id="docshape565" stroked="false">
                  <v:imagedata r:id="rId102" o:title=""/>
                </v:shape>
                <v:shape style="position:absolute;left:16;top:12;width:9112;height:6123" type="#_x0000_t75" id="docshape566" stroked="false">
                  <v:imagedata r:id="rId103" o:title=""/>
                </v:shape>
                <v:shape style="position:absolute;left:16;top:7167;width:1887;height:196" type="#_x0000_t75" id="docshape567" stroked="false">
                  <v:imagedata r:id="rId104" o:title=""/>
                </v:shape>
                <v:shape style="position:absolute;left:0;top:13413;width:1867;height:196" type="#_x0000_t75" id="docshape568" stroked="false">
                  <v:imagedata r:id="rId105" o:title=""/>
                </v:shape>
              </v:group>
            </w:pict>
          </mc:Fallback>
        </mc:AlternateContent>
      </w:r>
      <w:r>
        <w:rPr>
          <w:sz w:val="20"/>
        </w:rPr>
      </w:r>
    </w:p>
    <w:p>
      <w:pPr>
        <w:spacing w:after="0" w:line="240" w:lineRule="auto"/>
        <w:rPr>
          <w:sz w:val="20"/>
        </w:rPr>
        <w:sectPr>
          <w:pgSz w:w="11910" w:h="16840"/>
          <w:pgMar w:header="468" w:footer="0" w:top="720" w:bottom="280" w:left="920" w:right="0"/>
        </w:sectPr>
      </w:pPr>
    </w:p>
    <w:p>
      <w:pPr>
        <w:spacing w:line="240" w:lineRule="auto" w:before="0"/>
        <w:rPr>
          <w:sz w:val="21"/>
        </w:rPr>
      </w:pPr>
    </w:p>
    <w:p>
      <w:pPr>
        <w:spacing w:line="240" w:lineRule="auto" w:before="0"/>
        <w:rPr>
          <w:sz w:val="21"/>
        </w:rPr>
      </w:pPr>
    </w:p>
    <w:p>
      <w:pPr>
        <w:spacing w:line="240" w:lineRule="auto" w:before="231"/>
        <w:rPr>
          <w:sz w:val="21"/>
        </w:rPr>
      </w:pPr>
    </w:p>
    <w:p>
      <w:pPr>
        <w:spacing w:before="0"/>
        <w:ind w:left="256" w:right="0" w:firstLine="0"/>
        <w:jc w:val="left"/>
        <w:rPr>
          <w:sz w:val="21"/>
        </w:rPr>
      </w:pPr>
      <w:r>
        <w:rPr>
          <w:color w:val="0070C0"/>
          <w:sz w:val="21"/>
        </w:rPr>
        <w:t>INCOME</w:t>
      </w:r>
      <w:r>
        <w:rPr>
          <w:color w:val="0070C0"/>
          <w:spacing w:val="3"/>
          <w:sz w:val="21"/>
        </w:rPr>
        <w:t> </w:t>
      </w:r>
      <w:r>
        <w:rPr>
          <w:color w:val="0070C0"/>
          <w:spacing w:val="-2"/>
          <w:sz w:val="21"/>
        </w:rPr>
        <w:t>STATEMENT</w:t>
      </w:r>
    </w:p>
    <w:p>
      <w:pPr>
        <w:spacing w:before="29"/>
        <w:ind w:left="245" w:right="0" w:firstLine="0"/>
        <w:jc w:val="left"/>
        <w:rPr>
          <w:sz w:val="12"/>
        </w:rPr>
      </w:pPr>
      <w:r>
        <w:rPr>
          <w:sz w:val="12"/>
        </w:rPr>
        <w:t>for</w:t>
      </w:r>
      <w:r>
        <w:rPr>
          <w:spacing w:val="-5"/>
          <w:sz w:val="12"/>
        </w:rPr>
        <w:t> </w:t>
      </w:r>
      <w:r>
        <w:rPr>
          <w:sz w:val="12"/>
        </w:rPr>
        <w:t>the</w:t>
      </w:r>
      <w:r>
        <w:rPr>
          <w:spacing w:val="-3"/>
          <w:sz w:val="12"/>
        </w:rPr>
        <w:t> </w:t>
      </w:r>
      <w:r>
        <w:rPr>
          <w:sz w:val="12"/>
        </w:rPr>
        <w:t>year</w:t>
      </w:r>
      <w:r>
        <w:rPr>
          <w:spacing w:val="-4"/>
          <w:sz w:val="12"/>
        </w:rPr>
        <w:t> </w:t>
      </w:r>
      <w:r>
        <w:rPr>
          <w:sz w:val="12"/>
        </w:rPr>
        <w:t>ended</w:t>
      </w:r>
      <w:r>
        <w:rPr>
          <w:spacing w:val="-3"/>
          <w:sz w:val="12"/>
        </w:rPr>
        <w:t> </w:t>
      </w:r>
      <w:r>
        <w:rPr>
          <w:sz w:val="12"/>
        </w:rPr>
        <w:t>31</w:t>
      </w:r>
      <w:r>
        <w:rPr>
          <w:spacing w:val="-3"/>
          <w:sz w:val="12"/>
        </w:rPr>
        <w:t> </w:t>
      </w:r>
      <w:r>
        <w:rPr>
          <w:sz w:val="12"/>
        </w:rPr>
        <w:t>December</w:t>
      </w:r>
      <w:r>
        <w:rPr>
          <w:spacing w:val="-4"/>
          <w:sz w:val="12"/>
        </w:rPr>
        <w:t> 2020</w:t>
      </w:r>
    </w:p>
    <w:p>
      <w:pPr>
        <w:tabs>
          <w:tab w:pos="8074" w:val="left" w:leader="none"/>
        </w:tabs>
        <w:spacing w:before="20" w:after="12"/>
        <w:ind w:left="5977" w:right="0" w:firstLine="0"/>
        <w:jc w:val="left"/>
        <w:rPr>
          <w:b/>
          <w:sz w:val="16"/>
        </w:rPr>
      </w:pPr>
      <w:r>
        <w:rPr>
          <w:b/>
          <w:spacing w:val="-2"/>
          <w:sz w:val="16"/>
        </w:rPr>
        <w:t>Consolidated</w:t>
      </w:r>
      <w:r>
        <w:rPr>
          <w:b/>
          <w:sz w:val="16"/>
        </w:rPr>
        <w:tab/>
      </w:r>
      <w:r>
        <w:rPr>
          <w:b/>
          <w:spacing w:val="-2"/>
          <w:sz w:val="16"/>
        </w:rPr>
        <w:t>University</w:t>
      </w:r>
    </w:p>
    <w:tbl>
      <w:tblPr>
        <w:tblW w:w="0" w:type="auto"/>
        <w:jc w:val="left"/>
        <w:tblInd w:w="2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680"/>
        <w:gridCol w:w="589"/>
        <w:gridCol w:w="1140"/>
        <w:gridCol w:w="993"/>
        <w:gridCol w:w="984"/>
        <w:gridCol w:w="840"/>
      </w:tblGrid>
      <w:tr>
        <w:trPr>
          <w:trHeight w:val="352" w:hRule="atLeast"/>
        </w:trPr>
        <w:tc>
          <w:tcPr>
            <w:tcW w:w="4680" w:type="dxa"/>
            <w:tcBorders>
              <w:bottom w:val="single" w:sz="6" w:space="0" w:color="000000"/>
            </w:tcBorders>
          </w:tcPr>
          <w:p>
            <w:pPr>
              <w:pStyle w:val="TableParagraph"/>
              <w:rPr>
                <w:rFonts w:ascii="Times New Roman"/>
                <w:sz w:val="12"/>
              </w:rPr>
            </w:pPr>
          </w:p>
        </w:tc>
        <w:tc>
          <w:tcPr>
            <w:tcW w:w="589" w:type="dxa"/>
            <w:tcBorders>
              <w:bottom w:val="single" w:sz="6" w:space="0" w:color="000000"/>
            </w:tcBorders>
          </w:tcPr>
          <w:p>
            <w:pPr>
              <w:pStyle w:val="TableParagraph"/>
              <w:spacing w:before="50"/>
              <w:rPr>
                <w:b/>
                <w:sz w:val="13"/>
              </w:rPr>
            </w:pPr>
          </w:p>
          <w:p>
            <w:pPr>
              <w:pStyle w:val="TableParagraph"/>
              <w:spacing w:line="133" w:lineRule="exact"/>
              <w:ind w:left="87"/>
              <w:jc w:val="center"/>
              <w:rPr>
                <w:b/>
                <w:sz w:val="13"/>
              </w:rPr>
            </w:pPr>
            <w:r>
              <w:rPr>
                <w:b/>
                <w:spacing w:val="-2"/>
                <w:w w:val="105"/>
                <w:sz w:val="13"/>
              </w:rPr>
              <w:t>Notes</w:t>
            </w:r>
          </w:p>
        </w:tc>
        <w:tc>
          <w:tcPr>
            <w:tcW w:w="1140" w:type="dxa"/>
            <w:tcBorders>
              <w:bottom w:val="single" w:sz="6" w:space="0" w:color="000000"/>
            </w:tcBorders>
          </w:tcPr>
          <w:p>
            <w:pPr>
              <w:pStyle w:val="TableParagraph"/>
              <w:spacing w:before="34"/>
              <w:ind w:left="351"/>
              <w:rPr>
                <w:b/>
                <w:sz w:val="13"/>
              </w:rPr>
            </w:pPr>
            <w:r>
              <w:rPr>
                <w:b/>
                <w:spacing w:val="-4"/>
                <w:w w:val="105"/>
                <w:sz w:val="13"/>
              </w:rPr>
              <w:t>2020</w:t>
            </w:r>
          </w:p>
          <w:p>
            <w:pPr>
              <w:pStyle w:val="TableParagraph"/>
              <w:spacing w:line="133" w:lineRule="exact" w:before="16"/>
              <w:ind w:left="335"/>
              <w:rPr>
                <w:b/>
                <w:sz w:val="13"/>
              </w:rPr>
            </w:pPr>
            <w:r>
              <w:rPr>
                <w:b/>
                <w:spacing w:val="-2"/>
                <w:w w:val="105"/>
                <w:sz w:val="13"/>
              </w:rPr>
              <w:t>$'000</w:t>
            </w:r>
          </w:p>
        </w:tc>
        <w:tc>
          <w:tcPr>
            <w:tcW w:w="993" w:type="dxa"/>
            <w:tcBorders>
              <w:bottom w:val="single" w:sz="6" w:space="0" w:color="000000"/>
            </w:tcBorders>
          </w:tcPr>
          <w:p>
            <w:pPr>
              <w:pStyle w:val="TableParagraph"/>
              <w:spacing w:before="34"/>
              <w:ind w:left="199"/>
              <w:rPr>
                <w:b/>
                <w:sz w:val="13"/>
              </w:rPr>
            </w:pPr>
            <w:r>
              <w:rPr>
                <w:b/>
                <w:spacing w:val="-4"/>
                <w:w w:val="105"/>
                <w:sz w:val="13"/>
              </w:rPr>
              <w:t>2019</w:t>
            </w:r>
          </w:p>
          <w:p>
            <w:pPr>
              <w:pStyle w:val="TableParagraph"/>
              <w:spacing w:line="133" w:lineRule="exact" w:before="16"/>
              <w:ind w:left="183"/>
              <w:rPr>
                <w:b/>
                <w:sz w:val="13"/>
              </w:rPr>
            </w:pPr>
            <w:r>
              <w:rPr>
                <w:b/>
                <w:spacing w:val="-2"/>
                <w:w w:val="105"/>
                <w:sz w:val="13"/>
              </w:rPr>
              <w:t>$'000</w:t>
            </w:r>
          </w:p>
        </w:tc>
        <w:tc>
          <w:tcPr>
            <w:tcW w:w="984" w:type="dxa"/>
            <w:tcBorders>
              <w:bottom w:val="single" w:sz="6" w:space="0" w:color="000000"/>
            </w:tcBorders>
          </w:tcPr>
          <w:p>
            <w:pPr>
              <w:pStyle w:val="TableParagraph"/>
              <w:spacing w:before="34"/>
              <w:ind w:left="195"/>
              <w:rPr>
                <w:b/>
                <w:sz w:val="13"/>
              </w:rPr>
            </w:pPr>
            <w:r>
              <w:rPr>
                <w:b/>
                <w:spacing w:val="-4"/>
                <w:w w:val="105"/>
                <w:sz w:val="13"/>
              </w:rPr>
              <w:t>2020</w:t>
            </w:r>
          </w:p>
          <w:p>
            <w:pPr>
              <w:pStyle w:val="TableParagraph"/>
              <w:spacing w:line="133" w:lineRule="exact" w:before="16"/>
              <w:ind w:left="178"/>
              <w:rPr>
                <w:b/>
                <w:sz w:val="13"/>
              </w:rPr>
            </w:pPr>
            <w:r>
              <w:rPr>
                <w:b/>
                <w:spacing w:val="-2"/>
                <w:w w:val="105"/>
                <w:sz w:val="13"/>
              </w:rPr>
              <w:t>$'000</w:t>
            </w:r>
          </w:p>
        </w:tc>
        <w:tc>
          <w:tcPr>
            <w:tcW w:w="840" w:type="dxa"/>
            <w:tcBorders>
              <w:bottom w:val="single" w:sz="6" w:space="0" w:color="000000"/>
            </w:tcBorders>
          </w:tcPr>
          <w:p>
            <w:pPr>
              <w:pStyle w:val="TableParagraph"/>
              <w:spacing w:before="34"/>
              <w:ind w:left="199"/>
              <w:rPr>
                <w:b/>
                <w:sz w:val="13"/>
              </w:rPr>
            </w:pPr>
            <w:r>
              <w:rPr>
                <w:b/>
                <w:spacing w:val="-4"/>
                <w:w w:val="105"/>
                <w:sz w:val="13"/>
              </w:rPr>
              <w:t>2019</w:t>
            </w:r>
          </w:p>
          <w:p>
            <w:pPr>
              <w:pStyle w:val="TableParagraph"/>
              <w:spacing w:line="133" w:lineRule="exact" w:before="16"/>
              <w:ind w:left="183"/>
              <w:rPr>
                <w:b/>
                <w:sz w:val="13"/>
              </w:rPr>
            </w:pPr>
            <w:r>
              <w:rPr>
                <w:b/>
                <w:spacing w:val="-2"/>
                <w:w w:val="105"/>
                <w:sz w:val="13"/>
              </w:rPr>
              <w:t>$'000</w:t>
            </w:r>
          </w:p>
        </w:tc>
      </w:tr>
      <w:tr>
        <w:trPr>
          <w:trHeight w:val="402" w:hRule="atLeast"/>
        </w:trPr>
        <w:tc>
          <w:tcPr>
            <w:tcW w:w="4680" w:type="dxa"/>
            <w:tcBorders>
              <w:top w:val="single" w:sz="6" w:space="0" w:color="000000"/>
            </w:tcBorders>
          </w:tcPr>
          <w:p>
            <w:pPr>
              <w:pStyle w:val="TableParagraph"/>
              <w:spacing w:before="12"/>
              <w:rPr>
                <w:b/>
                <w:sz w:val="13"/>
              </w:rPr>
            </w:pPr>
          </w:p>
          <w:p>
            <w:pPr>
              <w:pStyle w:val="TableParagraph"/>
              <w:spacing w:before="1"/>
              <w:ind w:left="25"/>
              <w:rPr>
                <w:b/>
                <w:sz w:val="13"/>
              </w:rPr>
            </w:pPr>
            <w:r>
              <w:rPr>
                <w:b/>
                <w:sz w:val="13"/>
              </w:rPr>
              <w:t>Revenue</w:t>
            </w:r>
            <w:r>
              <w:rPr>
                <w:b/>
                <w:spacing w:val="8"/>
                <w:sz w:val="13"/>
              </w:rPr>
              <w:t> </w:t>
            </w:r>
            <w:r>
              <w:rPr>
                <w:b/>
                <w:sz w:val="13"/>
              </w:rPr>
              <w:t>and</w:t>
            </w:r>
            <w:r>
              <w:rPr>
                <w:b/>
                <w:spacing w:val="8"/>
                <w:sz w:val="13"/>
              </w:rPr>
              <w:t> </w:t>
            </w:r>
            <w:r>
              <w:rPr>
                <w:b/>
                <w:sz w:val="13"/>
              </w:rPr>
              <w:t>income</w:t>
            </w:r>
            <w:r>
              <w:rPr>
                <w:b/>
                <w:spacing w:val="8"/>
                <w:sz w:val="13"/>
              </w:rPr>
              <w:t> </w:t>
            </w:r>
            <w:r>
              <w:rPr>
                <w:b/>
                <w:sz w:val="13"/>
              </w:rPr>
              <w:t>from</w:t>
            </w:r>
            <w:r>
              <w:rPr>
                <w:b/>
                <w:spacing w:val="11"/>
                <w:sz w:val="13"/>
              </w:rPr>
              <w:t> </w:t>
            </w:r>
            <w:r>
              <w:rPr>
                <w:b/>
                <w:sz w:val="13"/>
              </w:rPr>
              <w:t>continuing</w:t>
            </w:r>
            <w:r>
              <w:rPr>
                <w:b/>
                <w:spacing w:val="8"/>
                <w:sz w:val="13"/>
              </w:rPr>
              <w:t> </w:t>
            </w:r>
            <w:r>
              <w:rPr>
                <w:b/>
                <w:spacing w:val="-2"/>
                <w:sz w:val="13"/>
              </w:rPr>
              <w:t>operations</w:t>
            </w:r>
          </w:p>
        </w:tc>
        <w:tc>
          <w:tcPr>
            <w:tcW w:w="589" w:type="dxa"/>
            <w:tcBorders>
              <w:top w:val="single" w:sz="6" w:space="0" w:color="000000"/>
            </w:tcBorders>
          </w:tcPr>
          <w:p>
            <w:pPr>
              <w:pStyle w:val="TableParagraph"/>
              <w:rPr>
                <w:rFonts w:ascii="Times New Roman"/>
                <w:sz w:val="12"/>
              </w:rPr>
            </w:pPr>
          </w:p>
        </w:tc>
        <w:tc>
          <w:tcPr>
            <w:tcW w:w="1140" w:type="dxa"/>
            <w:tcBorders>
              <w:top w:val="single" w:sz="6" w:space="0" w:color="000000"/>
            </w:tcBorders>
          </w:tcPr>
          <w:p>
            <w:pPr>
              <w:pStyle w:val="TableParagraph"/>
              <w:rPr>
                <w:rFonts w:ascii="Times New Roman"/>
                <w:sz w:val="12"/>
              </w:rPr>
            </w:pPr>
          </w:p>
        </w:tc>
        <w:tc>
          <w:tcPr>
            <w:tcW w:w="993" w:type="dxa"/>
            <w:tcBorders>
              <w:top w:val="single" w:sz="6" w:space="0" w:color="000000"/>
            </w:tcBorders>
          </w:tcPr>
          <w:p>
            <w:pPr>
              <w:pStyle w:val="TableParagraph"/>
              <w:rPr>
                <w:rFonts w:ascii="Times New Roman"/>
                <w:sz w:val="12"/>
              </w:rPr>
            </w:pPr>
          </w:p>
        </w:tc>
        <w:tc>
          <w:tcPr>
            <w:tcW w:w="984" w:type="dxa"/>
            <w:tcBorders>
              <w:top w:val="single" w:sz="6" w:space="0" w:color="000000"/>
            </w:tcBorders>
          </w:tcPr>
          <w:p>
            <w:pPr>
              <w:pStyle w:val="TableParagraph"/>
              <w:rPr>
                <w:rFonts w:ascii="Times New Roman"/>
                <w:sz w:val="12"/>
              </w:rPr>
            </w:pPr>
          </w:p>
        </w:tc>
        <w:tc>
          <w:tcPr>
            <w:tcW w:w="840" w:type="dxa"/>
            <w:tcBorders>
              <w:top w:val="single" w:sz="6" w:space="0" w:color="000000"/>
            </w:tcBorders>
          </w:tcPr>
          <w:p>
            <w:pPr>
              <w:pStyle w:val="TableParagraph"/>
              <w:rPr>
                <w:rFonts w:ascii="Times New Roman"/>
                <w:sz w:val="12"/>
              </w:rPr>
            </w:pPr>
          </w:p>
        </w:tc>
      </w:tr>
      <w:tr>
        <w:trPr>
          <w:trHeight w:val="247" w:hRule="atLeast"/>
        </w:trPr>
        <w:tc>
          <w:tcPr>
            <w:tcW w:w="4680" w:type="dxa"/>
          </w:tcPr>
          <w:p>
            <w:pPr>
              <w:pStyle w:val="TableParagraph"/>
              <w:spacing w:line="138" w:lineRule="exact" w:before="90"/>
              <w:ind w:left="25"/>
              <w:rPr>
                <w:sz w:val="13"/>
              </w:rPr>
            </w:pPr>
            <w:r>
              <w:rPr>
                <w:sz w:val="13"/>
              </w:rPr>
              <w:t>Australian</w:t>
            </w:r>
            <w:r>
              <w:rPr>
                <w:spacing w:val="12"/>
                <w:sz w:val="13"/>
              </w:rPr>
              <w:t> </w:t>
            </w:r>
            <w:r>
              <w:rPr>
                <w:sz w:val="13"/>
              </w:rPr>
              <w:t>Government</w:t>
            </w:r>
            <w:r>
              <w:rPr>
                <w:spacing w:val="12"/>
                <w:sz w:val="13"/>
              </w:rPr>
              <w:t> </w:t>
            </w:r>
            <w:r>
              <w:rPr>
                <w:sz w:val="13"/>
              </w:rPr>
              <w:t>financial</w:t>
            </w:r>
            <w:r>
              <w:rPr>
                <w:spacing w:val="14"/>
                <w:sz w:val="13"/>
              </w:rPr>
              <w:t> </w:t>
            </w:r>
            <w:r>
              <w:rPr>
                <w:spacing w:val="-2"/>
                <w:sz w:val="13"/>
              </w:rPr>
              <w:t>assistance</w:t>
            </w:r>
          </w:p>
        </w:tc>
        <w:tc>
          <w:tcPr>
            <w:tcW w:w="589" w:type="dxa"/>
          </w:tcPr>
          <w:p>
            <w:pPr>
              <w:pStyle w:val="TableParagraph"/>
              <w:rPr>
                <w:rFonts w:ascii="Times New Roman"/>
                <w:sz w:val="12"/>
              </w:rPr>
            </w:pPr>
          </w:p>
        </w:tc>
        <w:tc>
          <w:tcPr>
            <w:tcW w:w="1140" w:type="dxa"/>
          </w:tcPr>
          <w:p>
            <w:pPr>
              <w:pStyle w:val="TableParagraph"/>
              <w:rPr>
                <w:rFonts w:ascii="Times New Roman"/>
                <w:sz w:val="12"/>
              </w:rPr>
            </w:pPr>
          </w:p>
        </w:tc>
        <w:tc>
          <w:tcPr>
            <w:tcW w:w="993" w:type="dxa"/>
          </w:tcPr>
          <w:p>
            <w:pPr>
              <w:pStyle w:val="TableParagraph"/>
              <w:rPr>
                <w:rFonts w:ascii="Times New Roman"/>
                <w:sz w:val="12"/>
              </w:rPr>
            </w:pPr>
          </w:p>
        </w:tc>
        <w:tc>
          <w:tcPr>
            <w:tcW w:w="984" w:type="dxa"/>
          </w:tcPr>
          <w:p>
            <w:pPr>
              <w:pStyle w:val="TableParagraph"/>
              <w:rPr>
                <w:rFonts w:ascii="Times New Roman"/>
                <w:sz w:val="12"/>
              </w:rPr>
            </w:pPr>
          </w:p>
        </w:tc>
        <w:tc>
          <w:tcPr>
            <w:tcW w:w="840" w:type="dxa"/>
          </w:tcPr>
          <w:p>
            <w:pPr>
              <w:pStyle w:val="TableParagraph"/>
              <w:rPr>
                <w:rFonts w:ascii="Times New Roman"/>
                <w:sz w:val="12"/>
              </w:rPr>
            </w:pPr>
          </w:p>
        </w:tc>
      </w:tr>
      <w:tr>
        <w:trPr>
          <w:trHeight w:val="165" w:hRule="atLeast"/>
        </w:trPr>
        <w:tc>
          <w:tcPr>
            <w:tcW w:w="4680" w:type="dxa"/>
          </w:tcPr>
          <w:p>
            <w:pPr>
              <w:pStyle w:val="TableParagraph"/>
              <w:spacing w:line="138" w:lineRule="exact" w:before="7"/>
              <w:ind w:left="137"/>
              <w:rPr>
                <w:sz w:val="13"/>
              </w:rPr>
            </w:pPr>
            <w:r>
              <w:rPr>
                <w:sz w:val="13"/>
              </w:rPr>
              <w:t>Australian</w:t>
            </w:r>
            <w:r>
              <w:rPr>
                <w:spacing w:val="13"/>
                <w:sz w:val="13"/>
              </w:rPr>
              <w:t> </w:t>
            </w:r>
            <w:r>
              <w:rPr>
                <w:sz w:val="13"/>
              </w:rPr>
              <w:t>Government</w:t>
            </w:r>
            <w:r>
              <w:rPr>
                <w:spacing w:val="14"/>
                <w:sz w:val="13"/>
              </w:rPr>
              <w:t> </w:t>
            </w:r>
            <w:r>
              <w:rPr>
                <w:spacing w:val="-2"/>
                <w:sz w:val="13"/>
              </w:rPr>
              <w:t>grants</w:t>
            </w:r>
          </w:p>
        </w:tc>
        <w:tc>
          <w:tcPr>
            <w:tcW w:w="589" w:type="dxa"/>
          </w:tcPr>
          <w:p>
            <w:pPr>
              <w:pStyle w:val="TableParagraph"/>
              <w:spacing w:line="138" w:lineRule="exact" w:before="7"/>
              <w:ind w:left="87"/>
              <w:jc w:val="center"/>
              <w:rPr>
                <w:sz w:val="13"/>
              </w:rPr>
            </w:pPr>
            <w:r>
              <w:rPr>
                <w:spacing w:val="-5"/>
                <w:w w:val="105"/>
                <w:sz w:val="13"/>
              </w:rPr>
              <w:t>2.1</w:t>
            </w:r>
          </w:p>
        </w:tc>
        <w:tc>
          <w:tcPr>
            <w:tcW w:w="1140" w:type="dxa"/>
          </w:tcPr>
          <w:p>
            <w:pPr>
              <w:pStyle w:val="TableParagraph"/>
              <w:spacing w:line="138" w:lineRule="exact" w:before="7"/>
              <w:ind w:right="216"/>
              <w:jc w:val="right"/>
              <w:rPr>
                <w:sz w:val="13"/>
              </w:rPr>
            </w:pPr>
            <w:r>
              <w:rPr>
                <w:spacing w:val="-2"/>
                <w:w w:val="105"/>
                <w:sz w:val="13"/>
              </w:rPr>
              <w:t>379,598</w:t>
            </w:r>
          </w:p>
        </w:tc>
        <w:tc>
          <w:tcPr>
            <w:tcW w:w="993" w:type="dxa"/>
          </w:tcPr>
          <w:p>
            <w:pPr>
              <w:pStyle w:val="TableParagraph"/>
              <w:spacing w:line="138" w:lineRule="exact" w:before="7"/>
              <w:ind w:right="221"/>
              <w:jc w:val="right"/>
              <w:rPr>
                <w:sz w:val="13"/>
              </w:rPr>
            </w:pPr>
            <w:r>
              <w:rPr>
                <w:spacing w:val="-2"/>
                <w:w w:val="105"/>
                <w:sz w:val="13"/>
              </w:rPr>
              <w:t>385,964</w:t>
            </w:r>
          </w:p>
        </w:tc>
        <w:tc>
          <w:tcPr>
            <w:tcW w:w="984" w:type="dxa"/>
          </w:tcPr>
          <w:p>
            <w:pPr>
              <w:pStyle w:val="TableParagraph"/>
              <w:spacing w:line="138" w:lineRule="exact" w:before="7"/>
              <w:ind w:right="216"/>
              <w:jc w:val="right"/>
              <w:rPr>
                <w:sz w:val="13"/>
              </w:rPr>
            </w:pPr>
            <w:r>
              <w:rPr>
                <w:spacing w:val="-2"/>
                <w:w w:val="105"/>
                <w:sz w:val="13"/>
              </w:rPr>
              <w:t>369,963</w:t>
            </w:r>
          </w:p>
        </w:tc>
        <w:tc>
          <w:tcPr>
            <w:tcW w:w="840" w:type="dxa"/>
          </w:tcPr>
          <w:p>
            <w:pPr>
              <w:pStyle w:val="TableParagraph"/>
              <w:spacing w:line="138" w:lineRule="exact" w:before="7"/>
              <w:ind w:right="68"/>
              <w:jc w:val="right"/>
              <w:rPr>
                <w:sz w:val="13"/>
              </w:rPr>
            </w:pPr>
            <w:r>
              <w:rPr>
                <w:spacing w:val="-2"/>
                <w:w w:val="105"/>
                <w:sz w:val="13"/>
              </w:rPr>
              <w:t>381,564</w:t>
            </w:r>
          </w:p>
        </w:tc>
      </w:tr>
      <w:tr>
        <w:trPr>
          <w:trHeight w:val="165" w:hRule="atLeast"/>
        </w:trPr>
        <w:tc>
          <w:tcPr>
            <w:tcW w:w="4680" w:type="dxa"/>
          </w:tcPr>
          <w:p>
            <w:pPr>
              <w:pStyle w:val="TableParagraph"/>
              <w:spacing w:line="138" w:lineRule="exact" w:before="7"/>
              <w:ind w:left="137"/>
              <w:rPr>
                <w:sz w:val="13"/>
              </w:rPr>
            </w:pPr>
            <w:r>
              <w:rPr>
                <w:sz w:val="13"/>
              </w:rPr>
              <w:t>HELP</w:t>
            </w:r>
            <w:r>
              <w:rPr>
                <w:spacing w:val="10"/>
                <w:sz w:val="13"/>
              </w:rPr>
              <w:t> </w:t>
            </w:r>
            <w:r>
              <w:rPr>
                <w:sz w:val="13"/>
              </w:rPr>
              <w:t>-</w:t>
            </w:r>
            <w:r>
              <w:rPr>
                <w:spacing w:val="10"/>
                <w:sz w:val="13"/>
              </w:rPr>
              <w:t> </w:t>
            </w:r>
            <w:r>
              <w:rPr>
                <w:sz w:val="13"/>
              </w:rPr>
              <w:t>Australian</w:t>
            </w:r>
            <w:r>
              <w:rPr>
                <w:spacing w:val="9"/>
                <w:sz w:val="13"/>
              </w:rPr>
              <w:t> </w:t>
            </w:r>
            <w:r>
              <w:rPr>
                <w:sz w:val="13"/>
              </w:rPr>
              <w:t>Government</w:t>
            </w:r>
            <w:r>
              <w:rPr>
                <w:spacing w:val="10"/>
                <w:sz w:val="13"/>
              </w:rPr>
              <w:t> </w:t>
            </w:r>
            <w:r>
              <w:rPr>
                <w:spacing w:val="-2"/>
                <w:sz w:val="13"/>
              </w:rPr>
              <w:t>payments</w:t>
            </w:r>
          </w:p>
        </w:tc>
        <w:tc>
          <w:tcPr>
            <w:tcW w:w="589" w:type="dxa"/>
          </w:tcPr>
          <w:p>
            <w:pPr>
              <w:pStyle w:val="TableParagraph"/>
              <w:spacing w:line="138" w:lineRule="exact" w:before="7"/>
              <w:ind w:left="87"/>
              <w:jc w:val="center"/>
              <w:rPr>
                <w:sz w:val="13"/>
              </w:rPr>
            </w:pPr>
            <w:r>
              <w:rPr>
                <w:spacing w:val="-5"/>
                <w:w w:val="105"/>
                <w:sz w:val="13"/>
              </w:rPr>
              <w:t>2.1</w:t>
            </w:r>
          </w:p>
        </w:tc>
        <w:tc>
          <w:tcPr>
            <w:tcW w:w="1140" w:type="dxa"/>
          </w:tcPr>
          <w:p>
            <w:pPr>
              <w:pStyle w:val="TableParagraph"/>
              <w:spacing w:line="138" w:lineRule="exact" w:before="7"/>
              <w:ind w:right="216"/>
              <w:jc w:val="right"/>
              <w:rPr>
                <w:sz w:val="13"/>
              </w:rPr>
            </w:pPr>
            <w:r>
              <w:rPr>
                <w:spacing w:val="-2"/>
                <w:w w:val="105"/>
                <w:sz w:val="13"/>
              </w:rPr>
              <w:t>121,021</w:t>
            </w:r>
          </w:p>
        </w:tc>
        <w:tc>
          <w:tcPr>
            <w:tcW w:w="993" w:type="dxa"/>
          </w:tcPr>
          <w:p>
            <w:pPr>
              <w:pStyle w:val="TableParagraph"/>
              <w:spacing w:line="138" w:lineRule="exact" w:before="7"/>
              <w:ind w:right="221"/>
              <w:jc w:val="right"/>
              <w:rPr>
                <w:sz w:val="13"/>
              </w:rPr>
            </w:pPr>
            <w:r>
              <w:rPr>
                <w:spacing w:val="-2"/>
                <w:w w:val="105"/>
                <w:sz w:val="13"/>
              </w:rPr>
              <w:t>118,066</w:t>
            </w:r>
          </w:p>
        </w:tc>
        <w:tc>
          <w:tcPr>
            <w:tcW w:w="984" w:type="dxa"/>
          </w:tcPr>
          <w:p>
            <w:pPr>
              <w:pStyle w:val="TableParagraph"/>
              <w:spacing w:line="138" w:lineRule="exact" w:before="7"/>
              <w:ind w:right="216"/>
              <w:jc w:val="right"/>
              <w:rPr>
                <w:sz w:val="13"/>
              </w:rPr>
            </w:pPr>
            <w:r>
              <w:rPr>
                <w:spacing w:val="-2"/>
                <w:w w:val="105"/>
                <w:sz w:val="13"/>
              </w:rPr>
              <w:t>121,021</w:t>
            </w:r>
          </w:p>
        </w:tc>
        <w:tc>
          <w:tcPr>
            <w:tcW w:w="840" w:type="dxa"/>
          </w:tcPr>
          <w:p>
            <w:pPr>
              <w:pStyle w:val="TableParagraph"/>
              <w:spacing w:line="138" w:lineRule="exact" w:before="7"/>
              <w:ind w:right="68"/>
              <w:jc w:val="right"/>
              <w:rPr>
                <w:sz w:val="13"/>
              </w:rPr>
            </w:pPr>
            <w:r>
              <w:rPr>
                <w:spacing w:val="-2"/>
                <w:w w:val="105"/>
                <w:sz w:val="13"/>
              </w:rPr>
              <w:t>118,066</w:t>
            </w:r>
          </w:p>
        </w:tc>
      </w:tr>
      <w:tr>
        <w:trPr>
          <w:trHeight w:val="165" w:hRule="atLeast"/>
        </w:trPr>
        <w:tc>
          <w:tcPr>
            <w:tcW w:w="4680" w:type="dxa"/>
          </w:tcPr>
          <w:p>
            <w:pPr>
              <w:pStyle w:val="TableParagraph"/>
              <w:spacing w:line="138" w:lineRule="exact" w:before="7"/>
              <w:ind w:left="25"/>
              <w:rPr>
                <w:sz w:val="13"/>
              </w:rPr>
            </w:pPr>
            <w:r>
              <w:rPr>
                <w:sz w:val="13"/>
              </w:rPr>
              <w:t>Western</w:t>
            </w:r>
            <w:r>
              <w:rPr>
                <w:spacing w:val="10"/>
                <w:sz w:val="13"/>
              </w:rPr>
              <w:t> </w:t>
            </w:r>
            <w:r>
              <w:rPr>
                <w:sz w:val="13"/>
              </w:rPr>
              <w:t>Australian</w:t>
            </w:r>
            <w:r>
              <w:rPr>
                <w:spacing w:val="11"/>
                <w:sz w:val="13"/>
              </w:rPr>
              <w:t> </w:t>
            </w:r>
            <w:r>
              <w:rPr>
                <w:sz w:val="13"/>
              </w:rPr>
              <w:t>and</w:t>
            </w:r>
            <w:r>
              <w:rPr>
                <w:spacing w:val="11"/>
                <w:sz w:val="13"/>
              </w:rPr>
              <w:t> </w:t>
            </w:r>
            <w:r>
              <w:rPr>
                <w:sz w:val="13"/>
              </w:rPr>
              <w:t>Local</w:t>
            </w:r>
            <w:r>
              <w:rPr>
                <w:spacing w:val="12"/>
                <w:sz w:val="13"/>
              </w:rPr>
              <w:t> </w:t>
            </w:r>
            <w:r>
              <w:rPr>
                <w:sz w:val="13"/>
              </w:rPr>
              <w:t>Government</w:t>
            </w:r>
            <w:r>
              <w:rPr>
                <w:spacing w:val="11"/>
                <w:sz w:val="13"/>
              </w:rPr>
              <w:t> </w:t>
            </w:r>
            <w:r>
              <w:rPr>
                <w:sz w:val="13"/>
              </w:rPr>
              <w:t>financial</w:t>
            </w:r>
            <w:r>
              <w:rPr>
                <w:spacing w:val="12"/>
                <w:sz w:val="13"/>
              </w:rPr>
              <w:t> </w:t>
            </w:r>
            <w:r>
              <w:rPr>
                <w:spacing w:val="-2"/>
                <w:sz w:val="13"/>
              </w:rPr>
              <w:t>assistance</w:t>
            </w:r>
          </w:p>
        </w:tc>
        <w:tc>
          <w:tcPr>
            <w:tcW w:w="589" w:type="dxa"/>
          </w:tcPr>
          <w:p>
            <w:pPr>
              <w:pStyle w:val="TableParagraph"/>
              <w:spacing w:line="138" w:lineRule="exact" w:before="7"/>
              <w:ind w:left="87"/>
              <w:jc w:val="center"/>
              <w:rPr>
                <w:sz w:val="13"/>
              </w:rPr>
            </w:pPr>
            <w:r>
              <w:rPr>
                <w:spacing w:val="-5"/>
                <w:w w:val="105"/>
                <w:sz w:val="13"/>
              </w:rPr>
              <w:t>2.2</w:t>
            </w:r>
          </w:p>
        </w:tc>
        <w:tc>
          <w:tcPr>
            <w:tcW w:w="1140" w:type="dxa"/>
          </w:tcPr>
          <w:p>
            <w:pPr>
              <w:pStyle w:val="TableParagraph"/>
              <w:spacing w:line="138" w:lineRule="exact" w:before="7"/>
              <w:ind w:right="216"/>
              <w:jc w:val="right"/>
              <w:rPr>
                <w:sz w:val="13"/>
              </w:rPr>
            </w:pPr>
            <w:r>
              <w:rPr>
                <w:spacing w:val="-2"/>
                <w:w w:val="105"/>
                <w:sz w:val="13"/>
              </w:rPr>
              <w:t>46,388</w:t>
            </w:r>
          </w:p>
        </w:tc>
        <w:tc>
          <w:tcPr>
            <w:tcW w:w="993" w:type="dxa"/>
          </w:tcPr>
          <w:p>
            <w:pPr>
              <w:pStyle w:val="TableParagraph"/>
              <w:spacing w:line="138" w:lineRule="exact" w:before="7"/>
              <w:ind w:right="221"/>
              <w:jc w:val="right"/>
              <w:rPr>
                <w:sz w:val="13"/>
              </w:rPr>
            </w:pPr>
            <w:r>
              <w:rPr>
                <w:spacing w:val="-2"/>
                <w:w w:val="105"/>
                <w:sz w:val="13"/>
              </w:rPr>
              <w:t>46,112</w:t>
            </w:r>
          </w:p>
        </w:tc>
        <w:tc>
          <w:tcPr>
            <w:tcW w:w="984" w:type="dxa"/>
          </w:tcPr>
          <w:p>
            <w:pPr>
              <w:pStyle w:val="TableParagraph"/>
              <w:spacing w:line="138" w:lineRule="exact" w:before="7"/>
              <w:ind w:right="216"/>
              <w:jc w:val="right"/>
              <w:rPr>
                <w:sz w:val="13"/>
              </w:rPr>
            </w:pPr>
            <w:r>
              <w:rPr>
                <w:spacing w:val="-2"/>
                <w:w w:val="105"/>
                <w:sz w:val="13"/>
              </w:rPr>
              <w:t>40,975</w:t>
            </w:r>
          </w:p>
        </w:tc>
        <w:tc>
          <w:tcPr>
            <w:tcW w:w="840" w:type="dxa"/>
          </w:tcPr>
          <w:p>
            <w:pPr>
              <w:pStyle w:val="TableParagraph"/>
              <w:spacing w:line="138" w:lineRule="exact" w:before="7"/>
              <w:ind w:right="68"/>
              <w:jc w:val="right"/>
              <w:rPr>
                <w:sz w:val="13"/>
              </w:rPr>
            </w:pPr>
            <w:r>
              <w:rPr>
                <w:spacing w:val="-2"/>
                <w:w w:val="105"/>
                <w:sz w:val="13"/>
              </w:rPr>
              <w:t>36,503</w:t>
            </w:r>
          </w:p>
        </w:tc>
      </w:tr>
      <w:tr>
        <w:trPr>
          <w:trHeight w:val="165" w:hRule="atLeast"/>
        </w:trPr>
        <w:tc>
          <w:tcPr>
            <w:tcW w:w="4680" w:type="dxa"/>
          </w:tcPr>
          <w:p>
            <w:pPr>
              <w:pStyle w:val="TableParagraph"/>
              <w:spacing w:line="138" w:lineRule="exact" w:before="7"/>
              <w:ind w:left="25"/>
              <w:rPr>
                <w:sz w:val="13"/>
              </w:rPr>
            </w:pPr>
            <w:r>
              <w:rPr>
                <w:sz w:val="13"/>
              </w:rPr>
              <w:t>HECS-HELP</w:t>
            </w:r>
            <w:r>
              <w:rPr>
                <w:spacing w:val="10"/>
                <w:sz w:val="13"/>
              </w:rPr>
              <w:t> </w:t>
            </w:r>
            <w:r>
              <w:rPr>
                <w:sz w:val="13"/>
              </w:rPr>
              <w:t>-</w:t>
            </w:r>
            <w:r>
              <w:rPr>
                <w:spacing w:val="10"/>
                <w:sz w:val="13"/>
              </w:rPr>
              <w:t> </w:t>
            </w:r>
            <w:r>
              <w:rPr>
                <w:sz w:val="13"/>
              </w:rPr>
              <w:t>student</w:t>
            </w:r>
            <w:r>
              <w:rPr>
                <w:spacing w:val="10"/>
                <w:sz w:val="13"/>
              </w:rPr>
              <w:t> </w:t>
            </w:r>
            <w:r>
              <w:rPr>
                <w:spacing w:val="-2"/>
                <w:sz w:val="13"/>
              </w:rPr>
              <w:t>payments</w:t>
            </w:r>
          </w:p>
        </w:tc>
        <w:tc>
          <w:tcPr>
            <w:tcW w:w="589" w:type="dxa"/>
          </w:tcPr>
          <w:p>
            <w:pPr>
              <w:pStyle w:val="TableParagraph"/>
              <w:rPr>
                <w:rFonts w:ascii="Times New Roman"/>
                <w:sz w:val="10"/>
              </w:rPr>
            </w:pPr>
          </w:p>
        </w:tc>
        <w:tc>
          <w:tcPr>
            <w:tcW w:w="1140" w:type="dxa"/>
          </w:tcPr>
          <w:p>
            <w:pPr>
              <w:pStyle w:val="TableParagraph"/>
              <w:spacing w:line="138" w:lineRule="exact" w:before="7"/>
              <w:ind w:right="216"/>
              <w:jc w:val="right"/>
              <w:rPr>
                <w:sz w:val="13"/>
              </w:rPr>
            </w:pPr>
            <w:r>
              <w:rPr>
                <w:spacing w:val="-2"/>
                <w:w w:val="105"/>
                <w:sz w:val="13"/>
              </w:rPr>
              <w:t>13,329</w:t>
            </w:r>
          </w:p>
        </w:tc>
        <w:tc>
          <w:tcPr>
            <w:tcW w:w="993" w:type="dxa"/>
          </w:tcPr>
          <w:p>
            <w:pPr>
              <w:pStyle w:val="TableParagraph"/>
              <w:spacing w:line="138" w:lineRule="exact" w:before="7"/>
              <w:ind w:right="221"/>
              <w:jc w:val="right"/>
              <w:rPr>
                <w:sz w:val="13"/>
              </w:rPr>
            </w:pPr>
            <w:r>
              <w:rPr>
                <w:spacing w:val="-2"/>
                <w:w w:val="105"/>
                <w:sz w:val="13"/>
              </w:rPr>
              <w:t>14,078</w:t>
            </w:r>
          </w:p>
        </w:tc>
        <w:tc>
          <w:tcPr>
            <w:tcW w:w="984" w:type="dxa"/>
          </w:tcPr>
          <w:p>
            <w:pPr>
              <w:pStyle w:val="TableParagraph"/>
              <w:spacing w:line="138" w:lineRule="exact" w:before="7"/>
              <w:ind w:right="216"/>
              <w:jc w:val="right"/>
              <w:rPr>
                <w:sz w:val="13"/>
              </w:rPr>
            </w:pPr>
            <w:r>
              <w:rPr>
                <w:spacing w:val="-2"/>
                <w:w w:val="105"/>
                <w:sz w:val="13"/>
              </w:rPr>
              <w:t>13,329</w:t>
            </w:r>
          </w:p>
        </w:tc>
        <w:tc>
          <w:tcPr>
            <w:tcW w:w="840" w:type="dxa"/>
          </w:tcPr>
          <w:p>
            <w:pPr>
              <w:pStyle w:val="TableParagraph"/>
              <w:spacing w:line="138" w:lineRule="exact" w:before="7"/>
              <w:ind w:right="68"/>
              <w:jc w:val="right"/>
              <w:rPr>
                <w:sz w:val="13"/>
              </w:rPr>
            </w:pPr>
            <w:r>
              <w:rPr>
                <w:spacing w:val="-2"/>
                <w:w w:val="105"/>
                <w:sz w:val="13"/>
              </w:rPr>
              <w:t>14,078</w:t>
            </w:r>
          </w:p>
        </w:tc>
      </w:tr>
      <w:tr>
        <w:trPr>
          <w:trHeight w:val="165" w:hRule="atLeast"/>
        </w:trPr>
        <w:tc>
          <w:tcPr>
            <w:tcW w:w="4680" w:type="dxa"/>
          </w:tcPr>
          <w:p>
            <w:pPr>
              <w:pStyle w:val="TableParagraph"/>
              <w:spacing w:line="138" w:lineRule="exact" w:before="7"/>
              <w:ind w:left="25"/>
              <w:rPr>
                <w:sz w:val="13"/>
              </w:rPr>
            </w:pPr>
            <w:r>
              <w:rPr>
                <w:w w:val="105"/>
                <w:sz w:val="13"/>
              </w:rPr>
              <w:t>Fees</w:t>
            </w:r>
            <w:r>
              <w:rPr>
                <w:spacing w:val="-9"/>
                <w:w w:val="105"/>
                <w:sz w:val="13"/>
              </w:rPr>
              <w:t> </w:t>
            </w:r>
            <w:r>
              <w:rPr>
                <w:w w:val="105"/>
                <w:sz w:val="13"/>
              </w:rPr>
              <w:t>and</w:t>
            </w:r>
            <w:r>
              <w:rPr>
                <w:spacing w:val="-9"/>
                <w:w w:val="105"/>
                <w:sz w:val="13"/>
              </w:rPr>
              <w:t> </w:t>
            </w:r>
            <w:r>
              <w:rPr>
                <w:spacing w:val="-2"/>
                <w:w w:val="105"/>
                <w:sz w:val="13"/>
              </w:rPr>
              <w:t>charges</w:t>
            </w:r>
          </w:p>
        </w:tc>
        <w:tc>
          <w:tcPr>
            <w:tcW w:w="589" w:type="dxa"/>
          </w:tcPr>
          <w:p>
            <w:pPr>
              <w:pStyle w:val="TableParagraph"/>
              <w:spacing w:line="138" w:lineRule="exact" w:before="7"/>
              <w:ind w:left="87"/>
              <w:jc w:val="center"/>
              <w:rPr>
                <w:sz w:val="13"/>
              </w:rPr>
            </w:pPr>
            <w:r>
              <w:rPr>
                <w:spacing w:val="-5"/>
                <w:w w:val="105"/>
                <w:sz w:val="13"/>
              </w:rPr>
              <w:t>2.3</w:t>
            </w:r>
          </w:p>
        </w:tc>
        <w:tc>
          <w:tcPr>
            <w:tcW w:w="1140" w:type="dxa"/>
          </w:tcPr>
          <w:p>
            <w:pPr>
              <w:pStyle w:val="TableParagraph"/>
              <w:spacing w:line="138" w:lineRule="exact" w:before="7"/>
              <w:ind w:right="216"/>
              <w:jc w:val="right"/>
              <w:rPr>
                <w:sz w:val="13"/>
              </w:rPr>
            </w:pPr>
            <w:r>
              <w:rPr>
                <w:spacing w:val="-2"/>
                <w:w w:val="105"/>
                <w:sz w:val="13"/>
              </w:rPr>
              <w:t>176,181</w:t>
            </w:r>
          </w:p>
        </w:tc>
        <w:tc>
          <w:tcPr>
            <w:tcW w:w="993" w:type="dxa"/>
          </w:tcPr>
          <w:p>
            <w:pPr>
              <w:pStyle w:val="TableParagraph"/>
              <w:spacing w:line="138" w:lineRule="exact" w:before="7"/>
              <w:ind w:right="221"/>
              <w:jc w:val="right"/>
              <w:rPr>
                <w:sz w:val="13"/>
              </w:rPr>
            </w:pPr>
            <w:r>
              <w:rPr>
                <w:spacing w:val="-2"/>
                <w:w w:val="105"/>
                <w:sz w:val="13"/>
              </w:rPr>
              <w:t>200,249</w:t>
            </w:r>
          </w:p>
        </w:tc>
        <w:tc>
          <w:tcPr>
            <w:tcW w:w="984" w:type="dxa"/>
          </w:tcPr>
          <w:p>
            <w:pPr>
              <w:pStyle w:val="TableParagraph"/>
              <w:spacing w:line="138" w:lineRule="exact" w:before="7"/>
              <w:ind w:right="216"/>
              <w:jc w:val="right"/>
              <w:rPr>
                <w:sz w:val="13"/>
              </w:rPr>
            </w:pPr>
            <w:r>
              <w:rPr>
                <w:spacing w:val="-2"/>
                <w:w w:val="105"/>
                <w:sz w:val="13"/>
              </w:rPr>
              <w:t>174,945</w:t>
            </w:r>
          </w:p>
        </w:tc>
        <w:tc>
          <w:tcPr>
            <w:tcW w:w="840" w:type="dxa"/>
          </w:tcPr>
          <w:p>
            <w:pPr>
              <w:pStyle w:val="TableParagraph"/>
              <w:spacing w:line="138" w:lineRule="exact" w:before="7"/>
              <w:ind w:right="68"/>
              <w:jc w:val="right"/>
              <w:rPr>
                <w:sz w:val="13"/>
              </w:rPr>
            </w:pPr>
            <w:r>
              <w:rPr>
                <w:spacing w:val="-2"/>
                <w:w w:val="105"/>
                <w:sz w:val="13"/>
              </w:rPr>
              <w:t>198,162</w:t>
            </w:r>
          </w:p>
        </w:tc>
      </w:tr>
      <w:tr>
        <w:trPr>
          <w:trHeight w:val="163" w:hRule="atLeast"/>
        </w:trPr>
        <w:tc>
          <w:tcPr>
            <w:tcW w:w="4680" w:type="dxa"/>
          </w:tcPr>
          <w:p>
            <w:pPr>
              <w:pStyle w:val="TableParagraph"/>
              <w:spacing w:line="137" w:lineRule="exact" w:before="7"/>
              <w:ind w:left="25"/>
              <w:rPr>
                <w:sz w:val="13"/>
              </w:rPr>
            </w:pPr>
            <w:r>
              <w:rPr>
                <w:sz w:val="13"/>
              </w:rPr>
              <w:t>Investment</w:t>
            </w:r>
            <w:r>
              <w:rPr>
                <w:spacing w:val="8"/>
                <w:sz w:val="13"/>
              </w:rPr>
              <w:t> </w:t>
            </w:r>
            <w:r>
              <w:rPr>
                <w:sz w:val="13"/>
              </w:rPr>
              <w:t>revenue</w:t>
            </w:r>
            <w:r>
              <w:rPr>
                <w:spacing w:val="9"/>
                <w:sz w:val="13"/>
              </w:rPr>
              <w:t> </w:t>
            </w:r>
            <w:r>
              <w:rPr>
                <w:sz w:val="13"/>
              </w:rPr>
              <w:t>and</w:t>
            </w:r>
            <w:r>
              <w:rPr>
                <w:spacing w:val="8"/>
                <w:sz w:val="13"/>
              </w:rPr>
              <w:t> </w:t>
            </w:r>
            <w:r>
              <w:rPr>
                <w:spacing w:val="-2"/>
                <w:sz w:val="13"/>
              </w:rPr>
              <w:t>income</w:t>
            </w:r>
          </w:p>
        </w:tc>
        <w:tc>
          <w:tcPr>
            <w:tcW w:w="589" w:type="dxa"/>
          </w:tcPr>
          <w:p>
            <w:pPr>
              <w:pStyle w:val="TableParagraph"/>
              <w:spacing w:line="137" w:lineRule="exact" w:before="7"/>
              <w:ind w:left="87"/>
              <w:jc w:val="center"/>
              <w:rPr>
                <w:sz w:val="13"/>
              </w:rPr>
            </w:pPr>
            <w:r>
              <w:rPr>
                <w:spacing w:val="-5"/>
                <w:w w:val="105"/>
                <w:sz w:val="13"/>
              </w:rPr>
              <w:t>2.4</w:t>
            </w:r>
          </w:p>
        </w:tc>
        <w:tc>
          <w:tcPr>
            <w:tcW w:w="1140" w:type="dxa"/>
          </w:tcPr>
          <w:p>
            <w:pPr>
              <w:pStyle w:val="TableParagraph"/>
              <w:spacing w:line="137" w:lineRule="exact" w:before="7"/>
              <w:ind w:right="216"/>
              <w:jc w:val="right"/>
              <w:rPr>
                <w:sz w:val="13"/>
              </w:rPr>
            </w:pPr>
            <w:r>
              <w:rPr>
                <w:spacing w:val="-2"/>
                <w:w w:val="105"/>
                <w:sz w:val="13"/>
              </w:rPr>
              <w:t>58,571</w:t>
            </w:r>
          </w:p>
        </w:tc>
        <w:tc>
          <w:tcPr>
            <w:tcW w:w="993" w:type="dxa"/>
          </w:tcPr>
          <w:p>
            <w:pPr>
              <w:pStyle w:val="TableParagraph"/>
              <w:spacing w:line="137" w:lineRule="exact" w:before="7"/>
              <w:ind w:right="221"/>
              <w:jc w:val="right"/>
              <w:rPr>
                <w:sz w:val="13"/>
              </w:rPr>
            </w:pPr>
            <w:r>
              <w:rPr>
                <w:spacing w:val="-2"/>
                <w:w w:val="105"/>
                <w:sz w:val="13"/>
              </w:rPr>
              <w:t>128,538</w:t>
            </w:r>
          </w:p>
        </w:tc>
        <w:tc>
          <w:tcPr>
            <w:tcW w:w="984" w:type="dxa"/>
          </w:tcPr>
          <w:p>
            <w:pPr>
              <w:pStyle w:val="TableParagraph"/>
              <w:spacing w:line="137" w:lineRule="exact" w:before="7"/>
              <w:ind w:right="217"/>
              <w:jc w:val="right"/>
              <w:rPr>
                <w:sz w:val="13"/>
              </w:rPr>
            </w:pPr>
            <w:r>
              <w:rPr>
                <w:spacing w:val="-2"/>
                <w:w w:val="105"/>
                <w:sz w:val="13"/>
              </w:rPr>
              <w:t>58,556</w:t>
            </w:r>
          </w:p>
        </w:tc>
        <w:tc>
          <w:tcPr>
            <w:tcW w:w="840" w:type="dxa"/>
          </w:tcPr>
          <w:p>
            <w:pPr>
              <w:pStyle w:val="TableParagraph"/>
              <w:spacing w:line="137" w:lineRule="exact" w:before="7"/>
              <w:ind w:right="68"/>
              <w:jc w:val="right"/>
              <w:rPr>
                <w:sz w:val="13"/>
              </w:rPr>
            </w:pPr>
            <w:r>
              <w:rPr>
                <w:spacing w:val="-2"/>
                <w:w w:val="105"/>
                <w:sz w:val="13"/>
              </w:rPr>
              <w:t>128,428</w:t>
            </w:r>
          </w:p>
        </w:tc>
      </w:tr>
      <w:tr>
        <w:trPr>
          <w:trHeight w:val="166" w:hRule="atLeast"/>
        </w:trPr>
        <w:tc>
          <w:tcPr>
            <w:tcW w:w="4680" w:type="dxa"/>
          </w:tcPr>
          <w:p>
            <w:pPr>
              <w:pStyle w:val="TableParagraph"/>
              <w:spacing w:line="140" w:lineRule="exact" w:before="6"/>
              <w:ind w:left="25"/>
              <w:rPr>
                <w:sz w:val="13"/>
              </w:rPr>
            </w:pPr>
            <w:r>
              <w:rPr>
                <w:sz w:val="13"/>
              </w:rPr>
              <w:t>Royalties,</w:t>
            </w:r>
            <w:r>
              <w:rPr>
                <w:spacing w:val="9"/>
                <w:sz w:val="13"/>
              </w:rPr>
              <w:t> </w:t>
            </w:r>
            <w:r>
              <w:rPr>
                <w:sz w:val="13"/>
              </w:rPr>
              <w:t>trademarks</w:t>
            </w:r>
            <w:r>
              <w:rPr>
                <w:spacing w:val="10"/>
                <w:sz w:val="13"/>
              </w:rPr>
              <w:t> </w:t>
            </w:r>
            <w:r>
              <w:rPr>
                <w:sz w:val="13"/>
              </w:rPr>
              <w:t>and</w:t>
            </w:r>
            <w:r>
              <w:rPr>
                <w:spacing w:val="10"/>
                <w:sz w:val="13"/>
              </w:rPr>
              <w:t> </w:t>
            </w:r>
            <w:r>
              <w:rPr>
                <w:spacing w:val="-2"/>
                <w:sz w:val="13"/>
              </w:rPr>
              <w:t>licences</w:t>
            </w:r>
          </w:p>
        </w:tc>
        <w:tc>
          <w:tcPr>
            <w:tcW w:w="589" w:type="dxa"/>
          </w:tcPr>
          <w:p>
            <w:pPr>
              <w:pStyle w:val="TableParagraph"/>
              <w:rPr>
                <w:rFonts w:ascii="Times New Roman"/>
                <w:sz w:val="10"/>
              </w:rPr>
            </w:pPr>
          </w:p>
        </w:tc>
        <w:tc>
          <w:tcPr>
            <w:tcW w:w="1140" w:type="dxa"/>
          </w:tcPr>
          <w:p>
            <w:pPr>
              <w:pStyle w:val="TableParagraph"/>
              <w:spacing w:line="138" w:lineRule="exact" w:before="8"/>
              <w:ind w:right="216"/>
              <w:jc w:val="right"/>
              <w:rPr>
                <w:sz w:val="13"/>
              </w:rPr>
            </w:pPr>
            <w:r>
              <w:rPr>
                <w:spacing w:val="-2"/>
                <w:w w:val="105"/>
                <w:sz w:val="13"/>
              </w:rPr>
              <w:t>7,328</w:t>
            </w:r>
          </w:p>
        </w:tc>
        <w:tc>
          <w:tcPr>
            <w:tcW w:w="993" w:type="dxa"/>
          </w:tcPr>
          <w:p>
            <w:pPr>
              <w:pStyle w:val="TableParagraph"/>
              <w:spacing w:line="138" w:lineRule="exact" w:before="8"/>
              <w:ind w:right="221"/>
              <w:jc w:val="right"/>
              <w:rPr>
                <w:sz w:val="13"/>
              </w:rPr>
            </w:pPr>
            <w:r>
              <w:rPr>
                <w:spacing w:val="-2"/>
                <w:w w:val="105"/>
                <w:sz w:val="13"/>
              </w:rPr>
              <w:t>5,102</w:t>
            </w:r>
          </w:p>
        </w:tc>
        <w:tc>
          <w:tcPr>
            <w:tcW w:w="984" w:type="dxa"/>
          </w:tcPr>
          <w:p>
            <w:pPr>
              <w:pStyle w:val="TableParagraph"/>
              <w:spacing w:line="138" w:lineRule="exact" w:before="8"/>
              <w:ind w:right="218"/>
              <w:jc w:val="right"/>
              <w:rPr>
                <w:sz w:val="13"/>
              </w:rPr>
            </w:pPr>
            <w:r>
              <w:rPr>
                <w:spacing w:val="-2"/>
                <w:w w:val="105"/>
                <w:sz w:val="13"/>
              </w:rPr>
              <w:t>7,328</w:t>
            </w:r>
          </w:p>
        </w:tc>
        <w:tc>
          <w:tcPr>
            <w:tcW w:w="840" w:type="dxa"/>
          </w:tcPr>
          <w:p>
            <w:pPr>
              <w:pStyle w:val="TableParagraph"/>
              <w:spacing w:line="138" w:lineRule="exact" w:before="8"/>
              <w:ind w:right="68"/>
              <w:jc w:val="right"/>
              <w:rPr>
                <w:sz w:val="13"/>
              </w:rPr>
            </w:pPr>
            <w:r>
              <w:rPr>
                <w:spacing w:val="-2"/>
                <w:w w:val="105"/>
                <w:sz w:val="13"/>
              </w:rPr>
              <w:t>5,102</w:t>
            </w:r>
          </w:p>
        </w:tc>
      </w:tr>
      <w:tr>
        <w:trPr>
          <w:trHeight w:val="165" w:hRule="atLeast"/>
        </w:trPr>
        <w:tc>
          <w:tcPr>
            <w:tcW w:w="4680" w:type="dxa"/>
          </w:tcPr>
          <w:p>
            <w:pPr>
              <w:pStyle w:val="TableParagraph"/>
              <w:spacing w:line="138" w:lineRule="exact" w:before="7"/>
              <w:ind w:left="25"/>
              <w:rPr>
                <w:sz w:val="13"/>
              </w:rPr>
            </w:pPr>
            <w:r>
              <w:rPr>
                <w:sz w:val="13"/>
              </w:rPr>
              <w:t>Consultancy</w:t>
            </w:r>
            <w:r>
              <w:rPr>
                <w:spacing w:val="3"/>
                <w:sz w:val="13"/>
              </w:rPr>
              <w:t> </w:t>
            </w:r>
            <w:r>
              <w:rPr>
                <w:sz w:val="13"/>
              </w:rPr>
              <w:t>and</w:t>
            </w:r>
            <w:r>
              <w:rPr>
                <w:spacing w:val="9"/>
                <w:sz w:val="13"/>
              </w:rPr>
              <w:t> </w:t>
            </w:r>
            <w:r>
              <w:rPr>
                <w:sz w:val="13"/>
              </w:rPr>
              <w:t>other</w:t>
            </w:r>
            <w:r>
              <w:rPr>
                <w:spacing w:val="8"/>
                <w:sz w:val="13"/>
              </w:rPr>
              <w:t> </w:t>
            </w:r>
            <w:r>
              <w:rPr>
                <w:spacing w:val="-2"/>
                <w:sz w:val="13"/>
              </w:rPr>
              <w:t>contracts</w:t>
            </w:r>
          </w:p>
        </w:tc>
        <w:tc>
          <w:tcPr>
            <w:tcW w:w="589" w:type="dxa"/>
          </w:tcPr>
          <w:p>
            <w:pPr>
              <w:pStyle w:val="TableParagraph"/>
              <w:spacing w:line="138" w:lineRule="exact" w:before="7"/>
              <w:ind w:left="87"/>
              <w:jc w:val="center"/>
              <w:rPr>
                <w:sz w:val="13"/>
              </w:rPr>
            </w:pPr>
            <w:r>
              <w:rPr>
                <w:spacing w:val="-5"/>
                <w:w w:val="105"/>
                <w:sz w:val="13"/>
              </w:rPr>
              <w:t>2.5</w:t>
            </w:r>
          </w:p>
        </w:tc>
        <w:tc>
          <w:tcPr>
            <w:tcW w:w="1140" w:type="dxa"/>
          </w:tcPr>
          <w:p>
            <w:pPr>
              <w:pStyle w:val="TableParagraph"/>
              <w:spacing w:line="138" w:lineRule="exact" w:before="7"/>
              <w:ind w:right="216"/>
              <w:jc w:val="right"/>
              <w:rPr>
                <w:sz w:val="13"/>
              </w:rPr>
            </w:pPr>
            <w:r>
              <w:rPr>
                <w:spacing w:val="-2"/>
                <w:w w:val="105"/>
                <w:sz w:val="13"/>
              </w:rPr>
              <w:t>80,173</w:t>
            </w:r>
          </w:p>
        </w:tc>
        <w:tc>
          <w:tcPr>
            <w:tcW w:w="993" w:type="dxa"/>
          </w:tcPr>
          <w:p>
            <w:pPr>
              <w:pStyle w:val="TableParagraph"/>
              <w:spacing w:line="138" w:lineRule="exact" w:before="7"/>
              <w:ind w:right="221"/>
              <w:jc w:val="right"/>
              <w:rPr>
                <w:sz w:val="13"/>
              </w:rPr>
            </w:pPr>
            <w:r>
              <w:rPr>
                <w:spacing w:val="-2"/>
                <w:w w:val="105"/>
                <w:sz w:val="13"/>
              </w:rPr>
              <w:t>68,581</w:t>
            </w:r>
          </w:p>
        </w:tc>
        <w:tc>
          <w:tcPr>
            <w:tcW w:w="984" w:type="dxa"/>
          </w:tcPr>
          <w:p>
            <w:pPr>
              <w:pStyle w:val="TableParagraph"/>
              <w:spacing w:line="138" w:lineRule="exact" w:before="7"/>
              <w:ind w:right="216"/>
              <w:jc w:val="right"/>
              <w:rPr>
                <w:sz w:val="13"/>
              </w:rPr>
            </w:pPr>
            <w:r>
              <w:rPr>
                <w:spacing w:val="-2"/>
                <w:w w:val="105"/>
                <w:sz w:val="13"/>
              </w:rPr>
              <w:t>80,173</w:t>
            </w:r>
          </w:p>
        </w:tc>
        <w:tc>
          <w:tcPr>
            <w:tcW w:w="840" w:type="dxa"/>
          </w:tcPr>
          <w:p>
            <w:pPr>
              <w:pStyle w:val="TableParagraph"/>
              <w:spacing w:line="138" w:lineRule="exact" w:before="7"/>
              <w:ind w:right="68"/>
              <w:jc w:val="right"/>
              <w:rPr>
                <w:sz w:val="13"/>
              </w:rPr>
            </w:pPr>
            <w:r>
              <w:rPr>
                <w:spacing w:val="-2"/>
                <w:w w:val="105"/>
                <w:sz w:val="13"/>
              </w:rPr>
              <w:t>68,581</w:t>
            </w:r>
          </w:p>
        </w:tc>
      </w:tr>
      <w:tr>
        <w:trPr>
          <w:trHeight w:val="165" w:hRule="atLeast"/>
        </w:trPr>
        <w:tc>
          <w:tcPr>
            <w:tcW w:w="4680" w:type="dxa"/>
          </w:tcPr>
          <w:p>
            <w:pPr>
              <w:pStyle w:val="TableParagraph"/>
              <w:spacing w:line="138" w:lineRule="exact" w:before="7"/>
              <w:ind w:left="25"/>
              <w:rPr>
                <w:sz w:val="13"/>
              </w:rPr>
            </w:pPr>
            <w:r>
              <w:rPr>
                <w:w w:val="105"/>
                <w:sz w:val="13"/>
              </w:rPr>
              <w:t>Gains</w:t>
            </w:r>
            <w:r>
              <w:rPr>
                <w:spacing w:val="-9"/>
                <w:w w:val="105"/>
                <w:sz w:val="13"/>
              </w:rPr>
              <w:t> </w:t>
            </w:r>
            <w:r>
              <w:rPr>
                <w:w w:val="105"/>
                <w:sz w:val="13"/>
              </w:rPr>
              <w:t>on</w:t>
            </w:r>
            <w:r>
              <w:rPr>
                <w:spacing w:val="-9"/>
                <w:w w:val="105"/>
                <w:sz w:val="13"/>
              </w:rPr>
              <w:t> </w:t>
            </w:r>
            <w:r>
              <w:rPr>
                <w:w w:val="105"/>
                <w:sz w:val="13"/>
              </w:rPr>
              <w:t>disposal</w:t>
            </w:r>
            <w:r>
              <w:rPr>
                <w:spacing w:val="-9"/>
                <w:w w:val="105"/>
                <w:sz w:val="13"/>
              </w:rPr>
              <w:t> </w:t>
            </w:r>
            <w:r>
              <w:rPr>
                <w:w w:val="105"/>
                <w:sz w:val="13"/>
              </w:rPr>
              <w:t>of</w:t>
            </w:r>
            <w:r>
              <w:rPr>
                <w:spacing w:val="-9"/>
                <w:w w:val="105"/>
                <w:sz w:val="13"/>
              </w:rPr>
              <w:t> </w:t>
            </w:r>
            <w:r>
              <w:rPr>
                <w:spacing w:val="-2"/>
                <w:w w:val="105"/>
                <w:sz w:val="13"/>
              </w:rPr>
              <w:t>assets</w:t>
            </w:r>
          </w:p>
        </w:tc>
        <w:tc>
          <w:tcPr>
            <w:tcW w:w="589" w:type="dxa"/>
          </w:tcPr>
          <w:p>
            <w:pPr>
              <w:pStyle w:val="TableParagraph"/>
              <w:rPr>
                <w:rFonts w:ascii="Times New Roman"/>
                <w:sz w:val="10"/>
              </w:rPr>
            </w:pPr>
          </w:p>
        </w:tc>
        <w:tc>
          <w:tcPr>
            <w:tcW w:w="1140" w:type="dxa"/>
          </w:tcPr>
          <w:p>
            <w:pPr>
              <w:pStyle w:val="TableParagraph"/>
              <w:spacing w:line="138" w:lineRule="exact" w:before="7"/>
              <w:ind w:right="216"/>
              <w:jc w:val="right"/>
              <w:rPr>
                <w:sz w:val="13"/>
              </w:rPr>
            </w:pPr>
            <w:r>
              <w:rPr>
                <w:spacing w:val="-5"/>
                <w:w w:val="105"/>
                <w:sz w:val="13"/>
              </w:rPr>
              <w:t>92</w:t>
            </w:r>
          </w:p>
        </w:tc>
        <w:tc>
          <w:tcPr>
            <w:tcW w:w="993" w:type="dxa"/>
          </w:tcPr>
          <w:p>
            <w:pPr>
              <w:pStyle w:val="TableParagraph"/>
              <w:spacing w:line="138" w:lineRule="exact" w:before="7"/>
              <w:ind w:right="176"/>
              <w:jc w:val="right"/>
              <w:rPr>
                <w:sz w:val="13"/>
              </w:rPr>
            </w:pPr>
            <w:r>
              <w:rPr>
                <w:spacing w:val="-10"/>
                <w:w w:val="105"/>
                <w:sz w:val="13"/>
              </w:rPr>
              <w:t>-</w:t>
            </w:r>
          </w:p>
        </w:tc>
        <w:tc>
          <w:tcPr>
            <w:tcW w:w="984" w:type="dxa"/>
          </w:tcPr>
          <w:p>
            <w:pPr>
              <w:pStyle w:val="TableParagraph"/>
              <w:spacing w:line="138" w:lineRule="exact" w:before="7"/>
              <w:ind w:right="217"/>
              <w:jc w:val="right"/>
              <w:rPr>
                <w:sz w:val="13"/>
              </w:rPr>
            </w:pPr>
            <w:r>
              <w:rPr>
                <w:spacing w:val="-5"/>
                <w:w w:val="105"/>
                <w:sz w:val="13"/>
              </w:rPr>
              <w:t>96</w:t>
            </w:r>
          </w:p>
        </w:tc>
        <w:tc>
          <w:tcPr>
            <w:tcW w:w="840" w:type="dxa"/>
          </w:tcPr>
          <w:p>
            <w:pPr>
              <w:pStyle w:val="TableParagraph"/>
              <w:spacing w:line="138" w:lineRule="exact" w:before="7"/>
              <w:ind w:right="24"/>
              <w:jc w:val="right"/>
              <w:rPr>
                <w:sz w:val="13"/>
              </w:rPr>
            </w:pPr>
            <w:r>
              <w:rPr>
                <w:spacing w:val="-10"/>
                <w:w w:val="105"/>
                <w:sz w:val="13"/>
              </w:rPr>
              <w:t>-</w:t>
            </w:r>
          </w:p>
        </w:tc>
      </w:tr>
      <w:tr>
        <w:trPr>
          <w:trHeight w:val="325" w:hRule="atLeast"/>
        </w:trPr>
        <w:tc>
          <w:tcPr>
            <w:tcW w:w="4680" w:type="dxa"/>
          </w:tcPr>
          <w:p>
            <w:pPr>
              <w:pStyle w:val="TableParagraph"/>
              <w:spacing w:before="7"/>
              <w:ind w:left="25"/>
              <w:rPr>
                <w:sz w:val="13"/>
              </w:rPr>
            </w:pPr>
            <w:r>
              <w:rPr>
                <w:spacing w:val="-2"/>
                <w:w w:val="105"/>
                <w:sz w:val="13"/>
              </w:rPr>
              <w:t>Other</w:t>
            </w:r>
            <w:r>
              <w:rPr>
                <w:spacing w:val="-3"/>
                <w:w w:val="105"/>
                <w:sz w:val="13"/>
              </w:rPr>
              <w:t> </w:t>
            </w:r>
            <w:r>
              <w:rPr>
                <w:spacing w:val="-2"/>
                <w:w w:val="105"/>
                <w:sz w:val="13"/>
              </w:rPr>
              <w:t>revenue and income</w:t>
            </w:r>
          </w:p>
        </w:tc>
        <w:tc>
          <w:tcPr>
            <w:tcW w:w="589" w:type="dxa"/>
          </w:tcPr>
          <w:p>
            <w:pPr>
              <w:pStyle w:val="TableParagraph"/>
              <w:spacing w:before="7"/>
              <w:ind w:left="87"/>
              <w:jc w:val="center"/>
              <w:rPr>
                <w:sz w:val="13"/>
              </w:rPr>
            </w:pPr>
            <w:r>
              <w:rPr>
                <w:spacing w:val="-5"/>
                <w:w w:val="105"/>
                <w:sz w:val="13"/>
              </w:rPr>
              <w:t>2.6</w:t>
            </w:r>
          </w:p>
        </w:tc>
        <w:tc>
          <w:tcPr>
            <w:tcW w:w="1140" w:type="dxa"/>
            <w:tcBorders>
              <w:bottom w:val="single" w:sz="6" w:space="0" w:color="000000"/>
            </w:tcBorders>
          </w:tcPr>
          <w:p>
            <w:pPr>
              <w:pStyle w:val="TableParagraph"/>
              <w:spacing w:before="7"/>
              <w:ind w:right="216"/>
              <w:jc w:val="right"/>
              <w:rPr>
                <w:sz w:val="13"/>
              </w:rPr>
            </w:pPr>
            <w:r>
              <w:rPr>
                <w:spacing w:val="-2"/>
                <w:w w:val="105"/>
                <w:sz w:val="13"/>
              </w:rPr>
              <w:t>110,641</w:t>
            </w:r>
          </w:p>
        </w:tc>
        <w:tc>
          <w:tcPr>
            <w:tcW w:w="993" w:type="dxa"/>
            <w:tcBorders>
              <w:bottom w:val="single" w:sz="6" w:space="0" w:color="000000"/>
            </w:tcBorders>
          </w:tcPr>
          <w:p>
            <w:pPr>
              <w:pStyle w:val="TableParagraph"/>
              <w:spacing w:before="7"/>
              <w:ind w:right="221"/>
              <w:jc w:val="right"/>
              <w:rPr>
                <w:sz w:val="13"/>
              </w:rPr>
            </w:pPr>
            <w:r>
              <w:rPr>
                <w:spacing w:val="-2"/>
                <w:w w:val="105"/>
                <w:sz w:val="13"/>
              </w:rPr>
              <w:t>120,805</w:t>
            </w:r>
          </w:p>
        </w:tc>
        <w:tc>
          <w:tcPr>
            <w:tcW w:w="984" w:type="dxa"/>
            <w:tcBorders>
              <w:bottom w:val="single" w:sz="6" w:space="0" w:color="000000"/>
            </w:tcBorders>
          </w:tcPr>
          <w:p>
            <w:pPr>
              <w:pStyle w:val="TableParagraph"/>
              <w:spacing w:before="7"/>
              <w:ind w:right="216"/>
              <w:jc w:val="right"/>
              <w:rPr>
                <w:sz w:val="13"/>
              </w:rPr>
            </w:pPr>
            <w:r>
              <w:rPr>
                <w:spacing w:val="-2"/>
                <w:w w:val="105"/>
                <w:sz w:val="13"/>
              </w:rPr>
              <w:t>102,484</w:t>
            </w:r>
          </w:p>
        </w:tc>
        <w:tc>
          <w:tcPr>
            <w:tcW w:w="840" w:type="dxa"/>
            <w:tcBorders>
              <w:bottom w:val="single" w:sz="6" w:space="0" w:color="000000"/>
            </w:tcBorders>
          </w:tcPr>
          <w:p>
            <w:pPr>
              <w:pStyle w:val="TableParagraph"/>
              <w:spacing w:before="7"/>
              <w:ind w:right="68"/>
              <w:jc w:val="right"/>
              <w:rPr>
                <w:sz w:val="13"/>
              </w:rPr>
            </w:pPr>
            <w:r>
              <w:rPr>
                <w:spacing w:val="-2"/>
                <w:w w:val="105"/>
                <w:sz w:val="13"/>
              </w:rPr>
              <w:t>107,141</w:t>
            </w:r>
          </w:p>
        </w:tc>
      </w:tr>
      <w:tr>
        <w:trPr>
          <w:trHeight w:val="150" w:hRule="atLeast"/>
        </w:trPr>
        <w:tc>
          <w:tcPr>
            <w:tcW w:w="4680" w:type="dxa"/>
          </w:tcPr>
          <w:p>
            <w:pPr>
              <w:pStyle w:val="TableParagraph"/>
              <w:spacing w:line="130" w:lineRule="exact"/>
              <w:ind w:left="25"/>
              <w:rPr>
                <w:b/>
                <w:sz w:val="13"/>
              </w:rPr>
            </w:pPr>
            <w:r>
              <w:rPr>
                <w:b/>
                <w:sz w:val="13"/>
              </w:rPr>
              <w:t>Total</w:t>
            </w:r>
            <w:r>
              <w:rPr>
                <w:b/>
                <w:spacing w:val="7"/>
                <w:sz w:val="13"/>
              </w:rPr>
              <w:t> </w:t>
            </w:r>
            <w:r>
              <w:rPr>
                <w:b/>
                <w:sz w:val="13"/>
              </w:rPr>
              <w:t>revenue</w:t>
            </w:r>
            <w:r>
              <w:rPr>
                <w:b/>
                <w:spacing w:val="8"/>
                <w:sz w:val="13"/>
              </w:rPr>
              <w:t> </w:t>
            </w:r>
            <w:r>
              <w:rPr>
                <w:b/>
                <w:sz w:val="13"/>
              </w:rPr>
              <w:t>and</w:t>
            </w:r>
            <w:r>
              <w:rPr>
                <w:b/>
                <w:spacing w:val="8"/>
                <w:sz w:val="13"/>
              </w:rPr>
              <w:t> </w:t>
            </w:r>
            <w:r>
              <w:rPr>
                <w:b/>
                <w:sz w:val="13"/>
              </w:rPr>
              <w:t>income</w:t>
            </w:r>
            <w:r>
              <w:rPr>
                <w:b/>
                <w:spacing w:val="8"/>
                <w:sz w:val="13"/>
              </w:rPr>
              <w:t> </w:t>
            </w:r>
            <w:r>
              <w:rPr>
                <w:b/>
                <w:sz w:val="13"/>
              </w:rPr>
              <w:t>from</w:t>
            </w:r>
            <w:r>
              <w:rPr>
                <w:b/>
                <w:spacing w:val="10"/>
                <w:sz w:val="13"/>
              </w:rPr>
              <w:t> </w:t>
            </w:r>
            <w:r>
              <w:rPr>
                <w:b/>
                <w:sz w:val="13"/>
              </w:rPr>
              <w:t>continuing</w:t>
            </w:r>
            <w:r>
              <w:rPr>
                <w:b/>
                <w:spacing w:val="8"/>
                <w:sz w:val="13"/>
              </w:rPr>
              <w:t> </w:t>
            </w:r>
            <w:r>
              <w:rPr>
                <w:b/>
                <w:spacing w:val="-2"/>
                <w:sz w:val="13"/>
              </w:rPr>
              <w:t>operations</w:t>
            </w:r>
          </w:p>
        </w:tc>
        <w:tc>
          <w:tcPr>
            <w:tcW w:w="589" w:type="dxa"/>
          </w:tcPr>
          <w:p>
            <w:pPr>
              <w:pStyle w:val="TableParagraph"/>
              <w:rPr>
                <w:rFonts w:ascii="Times New Roman"/>
                <w:sz w:val="8"/>
              </w:rPr>
            </w:pPr>
          </w:p>
        </w:tc>
        <w:tc>
          <w:tcPr>
            <w:tcW w:w="1140" w:type="dxa"/>
            <w:tcBorders>
              <w:top w:val="single" w:sz="6" w:space="0" w:color="000000"/>
              <w:bottom w:val="single" w:sz="6" w:space="0" w:color="000000"/>
            </w:tcBorders>
          </w:tcPr>
          <w:p>
            <w:pPr>
              <w:pStyle w:val="TableParagraph"/>
              <w:spacing w:line="130" w:lineRule="exact"/>
              <w:ind w:right="216"/>
              <w:jc w:val="right"/>
              <w:rPr>
                <w:b/>
                <w:sz w:val="13"/>
              </w:rPr>
            </w:pPr>
            <w:r>
              <w:rPr>
                <w:b/>
                <w:spacing w:val="-2"/>
                <w:w w:val="105"/>
                <w:sz w:val="13"/>
              </w:rPr>
              <w:t>993,322</w:t>
            </w:r>
          </w:p>
        </w:tc>
        <w:tc>
          <w:tcPr>
            <w:tcW w:w="993" w:type="dxa"/>
            <w:tcBorders>
              <w:top w:val="single" w:sz="6" w:space="0" w:color="000000"/>
              <w:bottom w:val="single" w:sz="6" w:space="0" w:color="000000"/>
            </w:tcBorders>
          </w:tcPr>
          <w:p>
            <w:pPr>
              <w:pStyle w:val="TableParagraph"/>
              <w:spacing w:line="130" w:lineRule="exact"/>
              <w:ind w:left="174"/>
              <w:rPr>
                <w:b/>
                <w:sz w:val="13"/>
              </w:rPr>
            </w:pPr>
            <w:r>
              <w:rPr>
                <w:b/>
                <w:spacing w:val="-2"/>
                <w:w w:val="105"/>
                <w:sz w:val="13"/>
              </w:rPr>
              <w:t>1,087,495</w:t>
            </w:r>
          </w:p>
        </w:tc>
        <w:tc>
          <w:tcPr>
            <w:tcW w:w="984" w:type="dxa"/>
            <w:tcBorders>
              <w:top w:val="single" w:sz="6" w:space="0" w:color="000000"/>
              <w:bottom w:val="single" w:sz="6" w:space="0" w:color="000000"/>
            </w:tcBorders>
          </w:tcPr>
          <w:p>
            <w:pPr>
              <w:pStyle w:val="TableParagraph"/>
              <w:spacing w:line="130" w:lineRule="exact"/>
              <w:ind w:right="216"/>
              <w:jc w:val="right"/>
              <w:rPr>
                <w:b/>
                <w:sz w:val="13"/>
              </w:rPr>
            </w:pPr>
            <w:r>
              <w:rPr>
                <w:b/>
                <w:spacing w:val="-2"/>
                <w:w w:val="105"/>
                <w:sz w:val="13"/>
              </w:rPr>
              <w:t>968,870</w:t>
            </w:r>
          </w:p>
        </w:tc>
        <w:tc>
          <w:tcPr>
            <w:tcW w:w="840" w:type="dxa"/>
            <w:tcBorders>
              <w:top w:val="single" w:sz="6" w:space="0" w:color="000000"/>
              <w:bottom w:val="single" w:sz="6" w:space="0" w:color="000000"/>
            </w:tcBorders>
          </w:tcPr>
          <w:p>
            <w:pPr>
              <w:pStyle w:val="TableParagraph"/>
              <w:spacing w:line="130" w:lineRule="exact"/>
              <w:ind w:right="68"/>
              <w:jc w:val="right"/>
              <w:rPr>
                <w:b/>
                <w:sz w:val="13"/>
              </w:rPr>
            </w:pPr>
            <w:r>
              <w:rPr>
                <w:b/>
                <w:spacing w:val="-2"/>
                <w:w w:val="105"/>
                <w:sz w:val="13"/>
              </w:rPr>
              <w:t>1,057,625</w:t>
            </w:r>
          </w:p>
        </w:tc>
      </w:tr>
      <w:tr>
        <w:trPr>
          <w:trHeight w:val="401" w:hRule="atLeast"/>
        </w:trPr>
        <w:tc>
          <w:tcPr>
            <w:tcW w:w="4680" w:type="dxa"/>
          </w:tcPr>
          <w:p>
            <w:pPr>
              <w:pStyle w:val="TableParagraph"/>
              <w:spacing w:before="12"/>
              <w:rPr>
                <w:b/>
                <w:sz w:val="13"/>
              </w:rPr>
            </w:pPr>
          </w:p>
          <w:p>
            <w:pPr>
              <w:pStyle w:val="TableParagraph"/>
              <w:spacing w:before="1"/>
              <w:ind w:left="25"/>
              <w:rPr>
                <w:b/>
                <w:sz w:val="13"/>
              </w:rPr>
            </w:pPr>
            <w:r>
              <w:rPr>
                <w:b/>
                <w:sz w:val="13"/>
              </w:rPr>
              <w:t>Expenses</w:t>
            </w:r>
            <w:r>
              <w:rPr>
                <w:b/>
                <w:spacing w:val="10"/>
                <w:sz w:val="13"/>
              </w:rPr>
              <w:t> </w:t>
            </w:r>
            <w:r>
              <w:rPr>
                <w:b/>
                <w:sz w:val="13"/>
              </w:rPr>
              <w:t>from</w:t>
            </w:r>
            <w:r>
              <w:rPr>
                <w:b/>
                <w:spacing w:val="12"/>
                <w:sz w:val="13"/>
              </w:rPr>
              <w:t> </w:t>
            </w:r>
            <w:r>
              <w:rPr>
                <w:b/>
                <w:sz w:val="13"/>
              </w:rPr>
              <w:t>continuing</w:t>
            </w:r>
            <w:r>
              <w:rPr>
                <w:b/>
                <w:spacing w:val="10"/>
                <w:sz w:val="13"/>
              </w:rPr>
              <w:t> </w:t>
            </w:r>
            <w:r>
              <w:rPr>
                <w:b/>
                <w:spacing w:val="-2"/>
                <w:sz w:val="13"/>
              </w:rPr>
              <w:t>operations</w:t>
            </w:r>
          </w:p>
        </w:tc>
        <w:tc>
          <w:tcPr>
            <w:tcW w:w="589" w:type="dxa"/>
          </w:tcPr>
          <w:p>
            <w:pPr>
              <w:pStyle w:val="TableParagraph"/>
              <w:rPr>
                <w:rFonts w:ascii="Times New Roman"/>
                <w:sz w:val="12"/>
              </w:rPr>
            </w:pPr>
          </w:p>
        </w:tc>
        <w:tc>
          <w:tcPr>
            <w:tcW w:w="1140" w:type="dxa"/>
            <w:tcBorders>
              <w:top w:val="single" w:sz="6" w:space="0" w:color="000000"/>
            </w:tcBorders>
          </w:tcPr>
          <w:p>
            <w:pPr>
              <w:pStyle w:val="TableParagraph"/>
              <w:rPr>
                <w:rFonts w:ascii="Times New Roman"/>
                <w:sz w:val="12"/>
              </w:rPr>
            </w:pPr>
          </w:p>
        </w:tc>
        <w:tc>
          <w:tcPr>
            <w:tcW w:w="993" w:type="dxa"/>
            <w:tcBorders>
              <w:top w:val="single" w:sz="6" w:space="0" w:color="000000"/>
            </w:tcBorders>
          </w:tcPr>
          <w:p>
            <w:pPr>
              <w:pStyle w:val="TableParagraph"/>
              <w:rPr>
                <w:rFonts w:ascii="Times New Roman"/>
                <w:sz w:val="12"/>
              </w:rPr>
            </w:pPr>
          </w:p>
        </w:tc>
        <w:tc>
          <w:tcPr>
            <w:tcW w:w="984" w:type="dxa"/>
            <w:tcBorders>
              <w:top w:val="single" w:sz="6" w:space="0" w:color="000000"/>
            </w:tcBorders>
          </w:tcPr>
          <w:p>
            <w:pPr>
              <w:pStyle w:val="TableParagraph"/>
              <w:rPr>
                <w:rFonts w:ascii="Times New Roman"/>
                <w:sz w:val="12"/>
              </w:rPr>
            </w:pPr>
          </w:p>
        </w:tc>
        <w:tc>
          <w:tcPr>
            <w:tcW w:w="840" w:type="dxa"/>
            <w:tcBorders>
              <w:top w:val="single" w:sz="6" w:space="0" w:color="000000"/>
            </w:tcBorders>
          </w:tcPr>
          <w:p>
            <w:pPr>
              <w:pStyle w:val="TableParagraph"/>
              <w:rPr>
                <w:rFonts w:ascii="Times New Roman"/>
                <w:sz w:val="12"/>
              </w:rPr>
            </w:pPr>
          </w:p>
        </w:tc>
      </w:tr>
      <w:tr>
        <w:trPr>
          <w:trHeight w:val="248" w:hRule="atLeast"/>
        </w:trPr>
        <w:tc>
          <w:tcPr>
            <w:tcW w:w="4680" w:type="dxa"/>
          </w:tcPr>
          <w:p>
            <w:pPr>
              <w:pStyle w:val="TableParagraph"/>
              <w:spacing w:line="140" w:lineRule="exact" w:before="88"/>
              <w:ind w:left="25"/>
              <w:rPr>
                <w:sz w:val="13"/>
              </w:rPr>
            </w:pPr>
            <w:r>
              <w:rPr>
                <w:sz w:val="13"/>
              </w:rPr>
              <w:t>Employee</w:t>
            </w:r>
            <w:r>
              <w:rPr>
                <w:spacing w:val="8"/>
                <w:sz w:val="13"/>
              </w:rPr>
              <w:t> </w:t>
            </w:r>
            <w:r>
              <w:rPr>
                <w:sz w:val="13"/>
              </w:rPr>
              <w:t>related</w:t>
            </w:r>
            <w:r>
              <w:rPr>
                <w:spacing w:val="9"/>
                <w:sz w:val="13"/>
              </w:rPr>
              <w:t> </w:t>
            </w:r>
            <w:r>
              <w:rPr>
                <w:spacing w:val="-2"/>
                <w:sz w:val="13"/>
              </w:rPr>
              <w:t>expenses</w:t>
            </w:r>
          </w:p>
        </w:tc>
        <w:tc>
          <w:tcPr>
            <w:tcW w:w="589" w:type="dxa"/>
          </w:tcPr>
          <w:p>
            <w:pPr>
              <w:pStyle w:val="TableParagraph"/>
              <w:spacing w:line="138" w:lineRule="exact" w:before="91"/>
              <w:ind w:left="87"/>
              <w:jc w:val="center"/>
              <w:rPr>
                <w:sz w:val="13"/>
              </w:rPr>
            </w:pPr>
            <w:r>
              <w:rPr>
                <w:spacing w:val="-5"/>
                <w:w w:val="105"/>
                <w:sz w:val="13"/>
              </w:rPr>
              <w:t>3.1</w:t>
            </w:r>
          </w:p>
        </w:tc>
        <w:tc>
          <w:tcPr>
            <w:tcW w:w="1140" w:type="dxa"/>
          </w:tcPr>
          <w:p>
            <w:pPr>
              <w:pStyle w:val="TableParagraph"/>
              <w:spacing w:line="138" w:lineRule="exact" w:before="91"/>
              <w:ind w:right="216"/>
              <w:jc w:val="right"/>
              <w:rPr>
                <w:sz w:val="13"/>
              </w:rPr>
            </w:pPr>
            <w:r>
              <w:rPr>
                <w:spacing w:val="-2"/>
                <w:w w:val="105"/>
                <w:sz w:val="13"/>
              </w:rPr>
              <w:t>553,345</w:t>
            </w:r>
          </w:p>
        </w:tc>
        <w:tc>
          <w:tcPr>
            <w:tcW w:w="993" w:type="dxa"/>
          </w:tcPr>
          <w:p>
            <w:pPr>
              <w:pStyle w:val="TableParagraph"/>
              <w:spacing w:line="138" w:lineRule="exact" w:before="91"/>
              <w:ind w:right="221"/>
              <w:jc w:val="right"/>
              <w:rPr>
                <w:sz w:val="13"/>
              </w:rPr>
            </w:pPr>
            <w:r>
              <w:rPr>
                <w:spacing w:val="-2"/>
                <w:w w:val="105"/>
                <w:sz w:val="13"/>
              </w:rPr>
              <w:t>556,146</w:t>
            </w:r>
          </w:p>
        </w:tc>
        <w:tc>
          <w:tcPr>
            <w:tcW w:w="984" w:type="dxa"/>
          </w:tcPr>
          <w:p>
            <w:pPr>
              <w:pStyle w:val="TableParagraph"/>
              <w:spacing w:line="138" w:lineRule="exact" w:before="91"/>
              <w:ind w:right="216"/>
              <w:jc w:val="right"/>
              <w:rPr>
                <w:sz w:val="13"/>
              </w:rPr>
            </w:pPr>
            <w:r>
              <w:rPr>
                <w:spacing w:val="-2"/>
                <w:w w:val="105"/>
                <w:sz w:val="13"/>
              </w:rPr>
              <w:t>539,140</w:t>
            </w:r>
          </w:p>
        </w:tc>
        <w:tc>
          <w:tcPr>
            <w:tcW w:w="840" w:type="dxa"/>
          </w:tcPr>
          <w:p>
            <w:pPr>
              <w:pStyle w:val="TableParagraph"/>
              <w:spacing w:line="138" w:lineRule="exact" w:before="91"/>
              <w:ind w:right="68"/>
              <w:jc w:val="right"/>
              <w:rPr>
                <w:sz w:val="13"/>
              </w:rPr>
            </w:pPr>
            <w:r>
              <w:rPr>
                <w:spacing w:val="-2"/>
                <w:w w:val="105"/>
                <w:sz w:val="13"/>
              </w:rPr>
              <w:t>541,076</w:t>
            </w:r>
          </w:p>
        </w:tc>
      </w:tr>
      <w:tr>
        <w:trPr>
          <w:trHeight w:val="163" w:hRule="atLeast"/>
        </w:trPr>
        <w:tc>
          <w:tcPr>
            <w:tcW w:w="4680" w:type="dxa"/>
          </w:tcPr>
          <w:p>
            <w:pPr>
              <w:pStyle w:val="TableParagraph"/>
              <w:spacing w:line="137" w:lineRule="exact" w:before="7"/>
              <w:ind w:left="25"/>
              <w:rPr>
                <w:sz w:val="13"/>
              </w:rPr>
            </w:pPr>
            <w:r>
              <w:rPr>
                <w:sz w:val="13"/>
              </w:rPr>
              <w:t>Depreciation</w:t>
            </w:r>
            <w:r>
              <w:rPr>
                <w:spacing w:val="9"/>
                <w:sz w:val="13"/>
              </w:rPr>
              <w:t> </w:t>
            </w:r>
            <w:r>
              <w:rPr>
                <w:sz w:val="13"/>
              </w:rPr>
              <w:t>and</w:t>
            </w:r>
            <w:r>
              <w:rPr>
                <w:spacing w:val="10"/>
                <w:sz w:val="13"/>
              </w:rPr>
              <w:t> </w:t>
            </w:r>
            <w:r>
              <w:rPr>
                <w:spacing w:val="-2"/>
                <w:sz w:val="13"/>
              </w:rPr>
              <w:t>amortisation</w:t>
            </w:r>
          </w:p>
        </w:tc>
        <w:tc>
          <w:tcPr>
            <w:tcW w:w="589" w:type="dxa"/>
          </w:tcPr>
          <w:p>
            <w:pPr>
              <w:pStyle w:val="TableParagraph"/>
              <w:spacing w:line="137" w:lineRule="exact" w:before="7"/>
              <w:ind w:left="87"/>
              <w:jc w:val="center"/>
              <w:rPr>
                <w:sz w:val="13"/>
              </w:rPr>
            </w:pPr>
            <w:r>
              <w:rPr>
                <w:spacing w:val="-5"/>
                <w:w w:val="105"/>
                <w:sz w:val="13"/>
              </w:rPr>
              <w:t>4.1</w:t>
            </w:r>
          </w:p>
        </w:tc>
        <w:tc>
          <w:tcPr>
            <w:tcW w:w="1140" w:type="dxa"/>
          </w:tcPr>
          <w:p>
            <w:pPr>
              <w:pStyle w:val="TableParagraph"/>
              <w:spacing w:line="137" w:lineRule="exact" w:before="7"/>
              <w:ind w:right="216"/>
              <w:jc w:val="right"/>
              <w:rPr>
                <w:sz w:val="13"/>
              </w:rPr>
            </w:pPr>
            <w:r>
              <w:rPr>
                <w:spacing w:val="-2"/>
                <w:w w:val="105"/>
                <w:sz w:val="13"/>
              </w:rPr>
              <w:t>54,720</w:t>
            </w:r>
          </w:p>
        </w:tc>
        <w:tc>
          <w:tcPr>
            <w:tcW w:w="993" w:type="dxa"/>
          </w:tcPr>
          <w:p>
            <w:pPr>
              <w:pStyle w:val="TableParagraph"/>
              <w:spacing w:line="137" w:lineRule="exact" w:before="7"/>
              <w:ind w:right="221"/>
              <w:jc w:val="right"/>
              <w:rPr>
                <w:sz w:val="13"/>
              </w:rPr>
            </w:pPr>
            <w:r>
              <w:rPr>
                <w:spacing w:val="-2"/>
                <w:w w:val="105"/>
                <w:sz w:val="13"/>
              </w:rPr>
              <w:t>50,286</w:t>
            </w:r>
          </w:p>
        </w:tc>
        <w:tc>
          <w:tcPr>
            <w:tcW w:w="984" w:type="dxa"/>
          </w:tcPr>
          <w:p>
            <w:pPr>
              <w:pStyle w:val="TableParagraph"/>
              <w:spacing w:line="137" w:lineRule="exact" w:before="7"/>
              <w:ind w:right="216"/>
              <w:jc w:val="right"/>
              <w:rPr>
                <w:sz w:val="13"/>
              </w:rPr>
            </w:pPr>
            <w:r>
              <w:rPr>
                <w:spacing w:val="-2"/>
                <w:w w:val="105"/>
                <w:sz w:val="13"/>
              </w:rPr>
              <w:t>54,364</w:t>
            </w:r>
          </w:p>
        </w:tc>
        <w:tc>
          <w:tcPr>
            <w:tcW w:w="840" w:type="dxa"/>
          </w:tcPr>
          <w:p>
            <w:pPr>
              <w:pStyle w:val="TableParagraph"/>
              <w:spacing w:line="137" w:lineRule="exact" w:before="7"/>
              <w:ind w:right="68"/>
              <w:jc w:val="right"/>
              <w:rPr>
                <w:sz w:val="13"/>
              </w:rPr>
            </w:pPr>
            <w:r>
              <w:rPr>
                <w:spacing w:val="-2"/>
                <w:w w:val="105"/>
                <w:sz w:val="13"/>
              </w:rPr>
              <w:t>49,901</w:t>
            </w:r>
          </w:p>
        </w:tc>
      </w:tr>
      <w:tr>
        <w:trPr>
          <w:trHeight w:val="165" w:hRule="atLeast"/>
        </w:trPr>
        <w:tc>
          <w:tcPr>
            <w:tcW w:w="4680" w:type="dxa"/>
          </w:tcPr>
          <w:p>
            <w:pPr>
              <w:pStyle w:val="TableParagraph"/>
              <w:spacing w:line="139" w:lineRule="exact" w:before="6"/>
              <w:ind w:left="25"/>
              <w:rPr>
                <w:sz w:val="13"/>
              </w:rPr>
            </w:pPr>
            <w:r>
              <w:rPr>
                <w:spacing w:val="-2"/>
                <w:w w:val="105"/>
                <w:sz w:val="13"/>
              </w:rPr>
              <w:t>Repairs</w:t>
            </w:r>
            <w:r>
              <w:rPr>
                <w:spacing w:val="-1"/>
                <w:w w:val="105"/>
                <w:sz w:val="13"/>
              </w:rPr>
              <w:t> </w:t>
            </w:r>
            <w:r>
              <w:rPr>
                <w:spacing w:val="-2"/>
                <w:w w:val="105"/>
                <w:sz w:val="13"/>
              </w:rPr>
              <w:t>and</w:t>
            </w:r>
            <w:r>
              <w:rPr>
                <w:spacing w:val="-1"/>
                <w:w w:val="105"/>
                <w:sz w:val="13"/>
              </w:rPr>
              <w:t> </w:t>
            </w:r>
            <w:r>
              <w:rPr>
                <w:spacing w:val="-2"/>
                <w:w w:val="105"/>
                <w:sz w:val="13"/>
              </w:rPr>
              <w:t>maintenance</w:t>
            </w:r>
          </w:p>
        </w:tc>
        <w:tc>
          <w:tcPr>
            <w:tcW w:w="589" w:type="dxa"/>
          </w:tcPr>
          <w:p>
            <w:pPr>
              <w:pStyle w:val="TableParagraph"/>
              <w:spacing w:line="137" w:lineRule="exact" w:before="8"/>
              <w:ind w:left="87"/>
              <w:jc w:val="center"/>
              <w:rPr>
                <w:sz w:val="13"/>
              </w:rPr>
            </w:pPr>
            <w:r>
              <w:rPr>
                <w:spacing w:val="-5"/>
                <w:w w:val="105"/>
                <w:sz w:val="13"/>
              </w:rPr>
              <w:t>4.1</w:t>
            </w:r>
          </w:p>
        </w:tc>
        <w:tc>
          <w:tcPr>
            <w:tcW w:w="1140" w:type="dxa"/>
          </w:tcPr>
          <w:p>
            <w:pPr>
              <w:pStyle w:val="TableParagraph"/>
              <w:spacing w:line="137" w:lineRule="exact" w:before="8"/>
              <w:ind w:right="216"/>
              <w:jc w:val="right"/>
              <w:rPr>
                <w:sz w:val="13"/>
              </w:rPr>
            </w:pPr>
            <w:r>
              <w:rPr>
                <w:spacing w:val="-2"/>
                <w:w w:val="105"/>
                <w:sz w:val="13"/>
              </w:rPr>
              <w:t>20,704</w:t>
            </w:r>
          </w:p>
        </w:tc>
        <w:tc>
          <w:tcPr>
            <w:tcW w:w="993" w:type="dxa"/>
          </w:tcPr>
          <w:p>
            <w:pPr>
              <w:pStyle w:val="TableParagraph"/>
              <w:spacing w:line="137" w:lineRule="exact" w:before="8"/>
              <w:ind w:right="221"/>
              <w:jc w:val="right"/>
              <w:rPr>
                <w:sz w:val="13"/>
              </w:rPr>
            </w:pPr>
            <w:r>
              <w:rPr>
                <w:spacing w:val="-2"/>
                <w:w w:val="105"/>
                <w:sz w:val="13"/>
              </w:rPr>
              <w:t>23,503</w:t>
            </w:r>
          </w:p>
        </w:tc>
        <w:tc>
          <w:tcPr>
            <w:tcW w:w="984" w:type="dxa"/>
          </w:tcPr>
          <w:p>
            <w:pPr>
              <w:pStyle w:val="TableParagraph"/>
              <w:spacing w:line="137" w:lineRule="exact" w:before="8"/>
              <w:ind w:right="216"/>
              <w:jc w:val="right"/>
              <w:rPr>
                <w:sz w:val="13"/>
              </w:rPr>
            </w:pPr>
            <w:r>
              <w:rPr>
                <w:spacing w:val="-2"/>
                <w:w w:val="105"/>
                <w:sz w:val="13"/>
              </w:rPr>
              <w:t>20,506</w:t>
            </w:r>
          </w:p>
        </w:tc>
        <w:tc>
          <w:tcPr>
            <w:tcW w:w="840" w:type="dxa"/>
          </w:tcPr>
          <w:p>
            <w:pPr>
              <w:pStyle w:val="TableParagraph"/>
              <w:spacing w:line="137" w:lineRule="exact" w:before="8"/>
              <w:ind w:right="68"/>
              <w:jc w:val="right"/>
              <w:rPr>
                <w:sz w:val="13"/>
              </w:rPr>
            </w:pPr>
            <w:r>
              <w:rPr>
                <w:spacing w:val="-2"/>
                <w:w w:val="105"/>
                <w:sz w:val="13"/>
              </w:rPr>
              <w:t>23,374</w:t>
            </w:r>
          </w:p>
        </w:tc>
      </w:tr>
      <w:tr>
        <w:trPr>
          <w:trHeight w:val="166" w:hRule="atLeast"/>
        </w:trPr>
        <w:tc>
          <w:tcPr>
            <w:tcW w:w="4680" w:type="dxa"/>
          </w:tcPr>
          <w:p>
            <w:pPr>
              <w:pStyle w:val="TableParagraph"/>
              <w:spacing w:line="140" w:lineRule="exact" w:before="6"/>
              <w:ind w:left="25"/>
              <w:rPr>
                <w:sz w:val="13"/>
              </w:rPr>
            </w:pPr>
            <w:r>
              <w:rPr>
                <w:sz w:val="13"/>
              </w:rPr>
              <w:t>Borrowing</w:t>
            </w:r>
            <w:r>
              <w:rPr>
                <w:spacing w:val="9"/>
                <w:sz w:val="13"/>
              </w:rPr>
              <w:t> </w:t>
            </w:r>
            <w:r>
              <w:rPr>
                <w:spacing w:val="-2"/>
                <w:sz w:val="13"/>
              </w:rPr>
              <w:t>costs</w:t>
            </w:r>
          </w:p>
        </w:tc>
        <w:tc>
          <w:tcPr>
            <w:tcW w:w="589" w:type="dxa"/>
          </w:tcPr>
          <w:p>
            <w:pPr>
              <w:pStyle w:val="TableParagraph"/>
              <w:spacing w:line="138" w:lineRule="exact" w:before="8"/>
              <w:ind w:left="87"/>
              <w:jc w:val="center"/>
              <w:rPr>
                <w:sz w:val="13"/>
              </w:rPr>
            </w:pPr>
            <w:r>
              <w:rPr>
                <w:spacing w:val="-5"/>
                <w:w w:val="105"/>
                <w:sz w:val="13"/>
              </w:rPr>
              <w:t>4.1</w:t>
            </w:r>
          </w:p>
        </w:tc>
        <w:tc>
          <w:tcPr>
            <w:tcW w:w="1140" w:type="dxa"/>
          </w:tcPr>
          <w:p>
            <w:pPr>
              <w:pStyle w:val="TableParagraph"/>
              <w:spacing w:line="138" w:lineRule="exact" w:before="8"/>
              <w:ind w:right="216"/>
              <w:jc w:val="right"/>
              <w:rPr>
                <w:sz w:val="13"/>
              </w:rPr>
            </w:pPr>
            <w:r>
              <w:rPr>
                <w:spacing w:val="-2"/>
                <w:w w:val="105"/>
                <w:sz w:val="13"/>
              </w:rPr>
              <w:t>6,285</w:t>
            </w:r>
          </w:p>
        </w:tc>
        <w:tc>
          <w:tcPr>
            <w:tcW w:w="993" w:type="dxa"/>
          </w:tcPr>
          <w:p>
            <w:pPr>
              <w:pStyle w:val="TableParagraph"/>
              <w:spacing w:line="138" w:lineRule="exact" w:before="8"/>
              <w:ind w:right="221"/>
              <w:jc w:val="right"/>
              <w:rPr>
                <w:sz w:val="13"/>
              </w:rPr>
            </w:pPr>
            <w:r>
              <w:rPr>
                <w:spacing w:val="-2"/>
                <w:w w:val="105"/>
                <w:sz w:val="13"/>
              </w:rPr>
              <w:t>5,942</w:t>
            </w:r>
          </w:p>
        </w:tc>
        <w:tc>
          <w:tcPr>
            <w:tcW w:w="984" w:type="dxa"/>
          </w:tcPr>
          <w:p>
            <w:pPr>
              <w:pStyle w:val="TableParagraph"/>
              <w:spacing w:line="138" w:lineRule="exact" w:before="8"/>
              <w:ind w:right="218"/>
              <w:jc w:val="right"/>
              <w:rPr>
                <w:sz w:val="13"/>
              </w:rPr>
            </w:pPr>
            <w:r>
              <w:rPr>
                <w:spacing w:val="-2"/>
                <w:w w:val="105"/>
                <w:sz w:val="13"/>
              </w:rPr>
              <w:t>6,279</w:t>
            </w:r>
          </w:p>
        </w:tc>
        <w:tc>
          <w:tcPr>
            <w:tcW w:w="840" w:type="dxa"/>
          </w:tcPr>
          <w:p>
            <w:pPr>
              <w:pStyle w:val="TableParagraph"/>
              <w:spacing w:line="138" w:lineRule="exact" w:before="8"/>
              <w:ind w:right="68"/>
              <w:jc w:val="right"/>
              <w:rPr>
                <w:sz w:val="13"/>
              </w:rPr>
            </w:pPr>
            <w:r>
              <w:rPr>
                <w:spacing w:val="-2"/>
                <w:w w:val="105"/>
                <w:sz w:val="13"/>
              </w:rPr>
              <w:t>5,937</w:t>
            </w:r>
          </w:p>
        </w:tc>
      </w:tr>
      <w:tr>
        <w:trPr>
          <w:trHeight w:val="163" w:hRule="atLeast"/>
        </w:trPr>
        <w:tc>
          <w:tcPr>
            <w:tcW w:w="4680" w:type="dxa"/>
          </w:tcPr>
          <w:p>
            <w:pPr>
              <w:pStyle w:val="TableParagraph"/>
              <w:spacing w:line="137" w:lineRule="exact" w:before="7"/>
              <w:ind w:left="25"/>
              <w:rPr>
                <w:sz w:val="13"/>
              </w:rPr>
            </w:pPr>
            <w:r>
              <w:rPr>
                <w:sz w:val="13"/>
              </w:rPr>
              <w:t>Impairment</w:t>
            </w:r>
            <w:r>
              <w:rPr>
                <w:spacing w:val="7"/>
                <w:sz w:val="13"/>
              </w:rPr>
              <w:t> </w:t>
            </w:r>
            <w:r>
              <w:rPr>
                <w:sz w:val="13"/>
              </w:rPr>
              <w:t>of</w:t>
            </w:r>
            <w:r>
              <w:rPr>
                <w:spacing w:val="8"/>
                <w:sz w:val="13"/>
              </w:rPr>
              <w:t> </w:t>
            </w:r>
            <w:r>
              <w:rPr>
                <w:spacing w:val="-2"/>
                <w:sz w:val="13"/>
              </w:rPr>
              <w:t>assets</w:t>
            </w:r>
          </w:p>
        </w:tc>
        <w:tc>
          <w:tcPr>
            <w:tcW w:w="589" w:type="dxa"/>
          </w:tcPr>
          <w:p>
            <w:pPr>
              <w:pStyle w:val="TableParagraph"/>
              <w:spacing w:line="137" w:lineRule="exact" w:before="7"/>
              <w:ind w:left="87"/>
              <w:jc w:val="center"/>
              <w:rPr>
                <w:sz w:val="13"/>
              </w:rPr>
            </w:pPr>
            <w:r>
              <w:rPr>
                <w:spacing w:val="-5"/>
                <w:w w:val="105"/>
                <w:sz w:val="13"/>
              </w:rPr>
              <w:t>4.1</w:t>
            </w:r>
          </w:p>
        </w:tc>
        <w:tc>
          <w:tcPr>
            <w:tcW w:w="1140" w:type="dxa"/>
          </w:tcPr>
          <w:p>
            <w:pPr>
              <w:pStyle w:val="TableParagraph"/>
              <w:spacing w:line="137" w:lineRule="exact" w:before="7"/>
              <w:ind w:right="216"/>
              <w:jc w:val="right"/>
              <w:rPr>
                <w:sz w:val="13"/>
              </w:rPr>
            </w:pPr>
            <w:r>
              <w:rPr>
                <w:spacing w:val="-2"/>
                <w:w w:val="105"/>
                <w:sz w:val="13"/>
              </w:rPr>
              <w:t>3,480</w:t>
            </w:r>
          </w:p>
        </w:tc>
        <w:tc>
          <w:tcPr>
            <w:tcW w:w="993" w:type="dxa"/>
          </w:tcPr>
          <w:p>
            <w:pPr>
              <w:pStyle w:val="TableParagraph"/>
              <w:spacing w:line="137" w:lineRule="exact" w:before="7"/>
              <w:ind w:right="221"/>
              <w:jc w:val="right"/>
              <w:rPr>
                <w:sz w:val="13"/>
              </w:rPr>
            </w:pPr>
            <w:r>
              <w:rPr>
                <w:spacing w:val="-5"/>
                <w:w w:val="105"/>
                <w:sz w:val="13"/>
              </w:rPr>
              <w:t>241</w:t>
            </w:r>
          </w:p>
        </w:tc>
        <w:tc>
          <w:tcPr>
            <w:tcW w:w="984" w:type="dxa"/>
          </w:tcPr>
          <w:p>
            <w:pPr>
              <w:pStyle w:val="TableParagraph"/>
              <w:spacing w:line="137" w:lineRule="exact" w:before="7"/>
              <w:ind w:right="217"/>
              <w:jc w:val="right"/>
              <w:rPr>
                <w:sz w:val="13"/>
              </w:rPr>
            </w:pPr>
            <w:r>
              <w:rPr>
                <w:spacing w:val="-2"/>
                <w:w w:val="105"/>
                <w:sz w:val="13"/>
              </w:rPr>
              <w:t>3,480</w:t>
            </w:r>
          </w:p>
        </w:tc>
        <w:tc>
          <w:tcPr>
            <w:tcW w:w="840" w:type="dxa"/>
          </w:tcPr>
          <w:p>
            <w:pPr>
              <w:pStyle w:val="TableParagraph"/>
              <w:spacing w:line="137" w:lineRule="exact" w:before="7"/>
              <w:ind w:right="68"/>
              <w:jc w:val="right"/>
              <w:rPr>
                <w:sz w:val="13"/>
              </w:rPr>
            </w:pPr>
            <w:r>
              <w:rPr>
                <w:spacing w:val="-5"/>
                <w:w w:val="105"/>
                <w:sz w:val="13"/>
              </w:rPr>
              <w:t>241</w:t>
            </w:r>
          </w:p>
        </w:tc>
      </w:tr>
      <w:tr>
        <w:trPr>
          <w:trHeight w:val="165" w:hRule="atLeast"/>
        </w:trPr>
        <w:tc>
          <w:tcPr>
            <w:tcW w:w="4680" w:type="dxa"/>
          </w:tcPr>
          <w:p>
            <w:pPr>
              <w:pStyle w:val="TableParagraph"/>
              <w:spacing w:line="139" w:lineRule="exact" w:before="6"/>
              <w:ind w:left="25"/>
              <w:rPr>
                <w:sz w:val="13"/>
              </w:rPr>
            </w:pPr>
            <w:r>
              <w:rPr>
                <w:sz w:val="13"/>
              </w:rPr>
              <w:t>Student</w:t>
            </w:r>
            <w:r>
              <w:rPr>
                <w:spacing w:val="8"/>
                <w:sz w:val="13"/>
              </w:rPr>
              <w:t> </w:t>
            </w:r>
            <w:r>
              <w:rPr>
                <w:spacing w:val="-2"/>
                <w:sz w:val="13"/>
              </w:rPr>
              <w:t>expenses</w:t>
            </w:r>
          </w:p>
        </w:tc>
        <w:tc>
          <w:tcPr>
            <w:tcW w:w="589" w:type="dxa"/>
          </w:tcPr>
          <w:p>
            <w:pPr>
              <w:pStyle w:val="TableParagraph"/>
              <w:spacing w:line="137" w:lineRule="exact" w:before="8"/>
              <w:ind w:left="87"/>
              <w:jc w:val="center"/>
              <w:rPr>
                <w:sz w:val="13"/>
              </w:rPr>
            </w:pPr>
            <w:r>
              <w:rPr>
                <w:spacing w:val="-5"/>
                <w:w w:val="105"/>
                <w:sz w:val="13"/>
              </w:rPr>
              <w:t>4.1</w:t>
            </w:r>
          </w:p>
        </w:tc>
        <w:tc>
          <w:tcPr>
            <w:tcW w:w="1140" w:type="dxa"/>
          </w:tcPr>
          <w:p>
            <w:pPr>
              <w:pStyle w:val="TableParagraph"/>
              <w:spacing w:line="137" w:lineRule="exact" w:before="8"/>
              <w:ind w:right="216"/>
              <w:jc w:val="right"/>
              <w:rPr>
                <w:sz w:val="13"/>
              </w:rPr>
            </w:pPr>
            <w:r>
              <w:rPr>
                <w:spacing w:val="-2"/>
                <w:w w:val="105"/>
                <w:sz w:val="13"/>
              </w:rPr>
              <w:t>42,062</w:t>
            </w:r>
          </w:p>
        </w:tc>
        <w:tc>
          <w:tcPr>
            <w:tcW w:w="993" w:type="dxa"/>
          </w:tcPr>
          <w:p>
            <w:pPr>
              <w:pStyle w:val="TableParagraph"/>
              <w:spacing w:line="137" w:lineRule="exact" w:before="8"/>
              <w:ind w:right="221"/>
              <w:jc w:val="right"/>
              <w:rPr>
                <w:sz w:val="13"/>
              </w:rPr>
            </w:pPr>
            <w:r>
              <w:rPr>
                <w:spacing w:val="-2"/>
                <w:w w:val="105"/>
                <w:sz w:val="13"/>
              </w:rPr>
              <w:t>42,980</w:t>
            </w:r>
          </w:p>
        </w:tc>
        <w:tc>
          <w:tcPr>
            <w:tcW w:w="984" w:type="dxa"/>
          </w:tcPr>
          <w:p>
            <w:pPr>
              <w:pStyle w:val="TableParagraph"/>
              <w:spacing w:line="137" w:lineRule="exact" w:before="8"/>
              <w:ind w:right="216"/>
              <w:jc w:val="right"/>
              <w:rPr>
                <w:sz w:val="13"/>
              </w:rPr>
            </w:pPr>
            <w:r>
              <w:rPr>
                <w:spacing w:val="-2"/>
                <w:w w:val="105"/>
                <w:sz w:val="13"/>
              </w:rPr>
              <w:t>42,723</w:t>
            </w:r>
          </w:p>
        </w:tc>
        <w:tc>
          <w:tcPr>
            <w:tcW w:w="840" w:type="dxa"/>
          </w:tcPr>
          <w:p>
            <w:pPr>
              <w:pStyle w:val="TableParagraph"/>
              <w:spacing w:line="137" w:lineRule="exact" w:before="8"/>
              <w:ind w:right="68"/>
              <w:jc w:val="right"/>
              <w:rPr>
                <w:sz w:val="13"/>
              </w:rPr>
            </w:pPr>
            <w:r>
              <w:rPr>
                <w:spacing w:val="-2"/>
                <w:w w:val="105"/>
                <w:sz w:val="13"/>
              </w:rPr>
              <w:t>44,330</w:t>
            </w:r>
          </w:p>
        </w:tc>
      </w:tr>
      <w:tr>
        <w:trPr>
          <w:trHeight w:val="165" w:hRule="atLeast"/>
        </w:trPr>
        <w:tc>
          <w:tcPr>
            <w:tcW w:w="4680" w:type="dxa"/>
          </w:tcPr>
          <w:p>
            <w:pPr>
              <w:pStyle w:val="TableParagraph"/>
              <w:spacing w:line="139" w:lineRule="exact" w:before="6"/>
              <w:ind w:left="25"/>
              <w:rPr>
                <w:sz w:val="13"/>
              </w:rPr>
            </w:pPr>
            <w:r>
              <w:rPr>
                <w:sz w:val="13"/>
              </w:rPr>
              <w:t>Materials</w:t>
            </w:r>
            <w:r>
              <w:rPr>
                <w:spacing w:val="6"/>
                <w:sz w:val="13"/>
              </w:rPr>
              <w:t> </w:t>
            </w:r>
            <w:r>
              <w:rPr>
                <w:sz w:val="13"/>
              </w:rPr>
              <w:t>and</w:t>
            </w:r>
            <w:r>
              <w:rPr>
                <w:spacing w:val="6"/>
                <w:sz w:val="13"/>
              </w:rPr>
              <w:t> </w:t>
            </w:r>
            <w:r>
              <w:rPr>
                <w:spacing w:val="-2"/>
                <w:sz w:val="13"/>
              </w:rPr>
              <w:t>supplies</w:t>
            </w:r>
          </w:p>
        </w:tc>
        <w:tc>
          <w:tcPr>
            <w:tcW w:w="589" w:type="dxa"/>
          </w:tcPr>
          <w:p>
            <w:pPr>
              <w:pStyle w:val="TableParagraph"/>
              <w:spacing w:line="137" w:lineRule="exact" w:before="8"/>
              <w:ind w:left="87"/>
              <w:jc w:val="center"/>
              <w:rPr>
                <w:sz w:val="13"/>
              </w:rPr>
            </w:pPr>
            <w:r>
              <w:rPr>
                <w:spacing w:val="-5"/>
                <w:w w:val="105"/>
                <w:sz w:val="13"/>
              </w:rPr>
              <w:t>4.1</w:t>
            </w:r>
          </w:p>
        </w:tc>
        <w:tc>
          <w:tcPr>
            <w:tcW w:w="1140" w:type="dxa"/>
          </w:tcPr>
          <w:p>
            <w:pPr>
              <w:pStyle w:val="TableParagraph"/>
              <w:spacing w:line="137" w:lineRule="exact" w:before="8"/>
              <w:ind w:right="216"/>
              <w:jc w:val="right"/>
              <w:rPr>
                <w:sz w:val="13"/>
              </w:rPr>
            </w:pPr>
            <w:r>
              <w:rPr>
                <w:spacing w:val="-2"/>
                <w:w w:val="105"/>
                <w:sz w:val="13"/>
              </w:rPr>
              <w:t>26,131</w:t>
            </w:r>
          </w:p>
        </w:tc>
        <w:tc>
          <w:tcPr>
            <w:tcW w:w="993" w:type="dxa"/>
          </w:tcPr>
          <w:p>
            <w:pPr>
              <w:pStyle w:val="TableParagraph"/>
              <w:spacing w:line="137" w:lineRule="exact" w:before="8"/>
              <w:ind w:right="221"/>
              <w:jc w:val="right"/>
              <w:rPr>
                <w:sz w:val="13"/>
              </w:rPr>
            </w:pPr>
            <w:r>
              <w:rPr>
                <w:spacing w:val="-2"/>
                <w:w w:val="105"/>
                <w:sz w:val="13"/>
              </w:rPr>
              <w:t>32,211</w:t>
            </w:r>
          </w:p>
        </w:tc>
        <w:tc>
          <w:tcPr>
            <w:tcW w:w="984" w:type="dxa"/>
          </w:tcPr>
          <w:p>
            <w:pPr>
              <w:pStyle w:val="TableParagraph"/>
              <w:spacing w:line="137" w:lineRule="exact" w:before="8"/>
              <w:ind w:right="216"/>
              <w:jc w:val="right"/>
              <w:rPr>
                <w:sz w:val="13"/>
              </w:rPr>
            </w:pPr>
            <w:r>
              <w:rPr>
                <w:spacing w:val="-2"/>
                <w:w w:val="105"/>
                <w:sz w:val="13"/>
              </w:rPr>
              <w:t>24,100</w:t>
            </w:r>
          </w:p>
        </w:tc>
        <w:tc>
          <w:tcPr>
            <w:tcW w:w="840" w:type="dxa"/>
          </w:tcPr>
          <w:p>
            <w:pPr>
              <w:pStyle w:val="TableParagraph"/>
              <w:spacing w:line="137" w:lineRule="exact" w:before="8"/>
              <w:ind w:right="68"/>
              <w:jc w:val="right"/>
              <w:rPr>
                <w:sz w:val="13"/>
              </w:rPr>
            </w:pPr>
            <w:r>
              <w:rPr>
                <w:spacing w:val="-2"/>
                <w:w w:val="105"/>
                <w:sz w:val="13"/>
              </w:rPr>
              <w:t>28,755</w:t>
            </w:r>
          </w:p>
        </w:tc>
      </w:tr>
      <w:tr>
        <w:trPr>
          <w:trHeight w:val="165" w:hRule="atLeast"/>
        </w:trPr>
        <w:tc>
          <w:tcPr>
            <w:tcW w:w="4680" w:type="dxa"/>
          </w:tcPr>
          <w:p>
            <w:pPr>
              <w:pStyle w:val="TableParagraph"/>
              <w:spacing w:line="139" w:lineRule="exact" w:before="6"/>
              <w:ind w:left="25"/>
              <w:rPr>
                <w:sz w:val="13"/>
              </w:rPr>
            </w:pPr>
            <w:r>
              <w:rPr>
                <w:spacing w:val="-2"/>
                <w:w w:val="105"/>
                <w:sz w:val="13"/>
              </w:rPr>
              <w:t>Grants distributed</w:t>
            </w:r>
          </w:p>
        </w:tc>
        <w:tc>
          <w:tcPr>
            <w:tcW w:w="589" w:type="dxa"/>
          </w:tcPr>
          <w:p>
            <w:pPr>
              <w:pStyle w:val="TableParagraph"/>
              <w:spacing w:line="137" w:lineRule="exact" w:before="8"/>
              <w:ind w:left="87"/>
              <w:jc w:val="center"/>
              <w:rPr>
                <w:sz w:val="13"/>
              </w:rPr>
            </w:pPr>
            <w:r>
              <w:rPr>
                <w:spacing w:val="-5"/>
                <w:w w:val="105"/>
                <w:sz w:val="13"/>
              </w:rPr>
              <w:t>4.1</w:t>
            </w:r>
          </w:p>
        </w:tc>
        <w:tc>
          <w:tcPr>
            <w:tcW w:w="1140" w:type="dxa"/>
          </w:tcPr>
          <w:p>
            <w:pPr>
              <w:pStyle w:val="TableParagraph"/>
              <w:spacing w:line="137" w:lineRule="exact" w:before="8"/>
              <w:ind w:right="216"/>
              <w:jc w:val="right"/>
              <w:rPr>
                <w:sz w:val="13"/>
              </w:rPr>
            </w:pPr>
            <w:r>
              <w:rPr>
                <w:spacing w:val="-2"/>
                <w:w w:val="105"/>
                <w:sz w:val="13"/>
              </w:rPr>
              <w:t>86,525</w:t>
            </w:r>
          </w:p>
        </w:tc>
        <w:tc>
          <w:tcPr>
            <w:tcW w:w="993" w:type="dxa"/>
          </w:tcPr>
          <w:p>
            <w:pPr>
              <w:pStyle w:val="TableParagraph"/>
              <w:spacing w:line="137" w:lineRule="exact" w:before="8"/>
              <w:ind w:right="221"/>
              <w:jc w:val="right"/>
              <w:rPr>
                <w:sz w:val="13"/>
              </w:rPr>
            </w:pPr>
            <w:r>
              <w:rPr>
                <w:spacing w:val="-2"/>
                <w:w w:val="105"/>
                <w:sz w:val="13"/>
              </w:rPr>
              <w:t>70,811</w:t>
            </w:r>
          </w:p>
        </w:tc>
        <w:tc>
          <w:tcPr>
            <w:tcW w:w="984" w:type="dxa"/>
          </w:tcPr>
          <w:p>
            <w:pPr>
              <w:pStyle w:val="TableParagraph"/>
              <w:spacing w:line="137" w:lineRule="exact" w:before="8"/>
              <w:ind w:right="216"/>
              <w:jc w:val="right"/>
              <w:rPr>
                <w:sz w:val="13"/>
              </w:rPr>
            </w:pPr>
            <w:r>
              <w:rPr>
                <w:spacing w:val="-2"/>
                <w:w w:val="105"/>
                <w:sz w:val="13"/>
              </w:rPr>
              <w:t>86,823</w:t>
            </w:r>
          </w:p>
        </w:tc>
        <w:tc>
          <w:tcPr>
            <w:tcW w:w="840" w:type="dxa"/>
          </w:tcPr>
          <w:p>
            <w:pPr>
              <w:pStyle w:val="TableParagraph"/>
              <w:spacing w:line="137" w:lineRule="exact" w:before="8"/>
              <w:ind w:right="68"/>
              <w:jc w:val="right"/>
              <w:rPr>
                <w:sz w:val="13"/>
              </w:rPr>
            </w:pPr>
            <w:r>
              <w:rPr>
                <w:spacing w:val="-2"/>
                <w:w w:val="105"/>
                <w:sz w:val="13"/>
              </w:rPr>
              <w:t>71,286</w:t>
            </w:r>
          </w:p>
        </w:tc>
      </w:tr>
      <w:tr>
        <w:trPr>
          <w:trHeight w:val="165" w:hRule="atLeast"/>
        </w:trPr>
        <w:tc>
          <w:tcPr>
            <w:tcW w:w="4680" w:type="dxa"/>
          </w:tcPr>
          <w:p>
            <w:pPr>
              <w:pStyle w:val="TableParagraph"/>
              <w:spacing w:line="139" w:lineRule="exact" w:before="6"/>
              <w:ind w:left="25"/>
              <w:rPr>
                <w:sz w:val="13"/>
              </w:rPr>
            </w:pPr>
            <w:r>
              <w:rPr>
                <w:spacing w:val="-2"/>
                <w:w w:val="105"/>
                <w:sz w:val="13"/>
              </w:rPr>
              <w:t>Travel</w:t>
            </w:r>
          </w:p>
        </w:tc>
        <w:tc>
          <w:tcPr>
            <w:tcW w:w="589" w:type="dxa"/>
          </w:tcPr>
          <w:p>
            <w:pPr>
              <w:pStyle w:val="TableParagraph"/>
              <w:spacing w:line="137" w:lineRule="exact" w:before="8"/>
              <w:ind w:left="87"/>
              <w:jc w:val="center"/>
              <w:rPr>
                <w:sz w:val="13"/>
              </w:rPr>
            </w:pPr>
            <w:r>
              <w:rPr>
                <w:spacing w:val="-5"/>
                <w:w w:val="105"/>
                <w:sz w:val="13"/>
              </w:rPr>
              <w:t>4.1</w:t>
            </w:r>
          </w:p>
        </w:tc>
        <w:tc>
          <w:tcPr>
            <w:tcW w:w="1140" w:type="dxa"/>
          </w:tcPr>
          <w:p>
            <w:pPr>
              <w:pStyle w:val="TableParagraph"/>
              <w:spacing w:line="137" w:lineRule="exact" w:before="8"/>
              <w:ind w:right="216"/>
              <w:jc w:val="right"/>
              <w:rPr>
                <w:sz w:val="13"/>
              </w:rPr>
            </w:pPr>
            <w:r>
              <w:rPr>
                <w:spacing w:val="-2"/>
                <w:w w:val="105"/>
                <w:sz w:val="13"/>
              </w:rPr>
              <w:t>4,158</w:t>
            </w:r>
          </w:p>
        </w:tc>
        <w:tc>
          <w:tcPr>
            <w:tcW w:w="993" w:type="dxa"/>
          </w:tcPr>
          <w:p>
            <w:pPr>
              <w:pStyle w:val="TableParagraph"/>
              <w:spacing w:line="137" w:lineRule="exact" w:before="8"/>
              <w:ind w:right="221"/>
              <w:jc w:val="right"/>
              <w:rPr>
                <w:sz w:val="13"/>
              </w:rPr>
            </w:pPr>
            <w:r>
              <w:rPr>
                <w:spacing w:val="-2"/>
                <w:w w:val="105"/>
                <w:sz w:val="13"/>
              </w:rPr>
              <w:t>19,140</w:t>
            </w:r>
          </w:p>
        </w:tc>
        <w:tc>
          <w:tcPr>
            <w:tcW w:w="984" w:type="dxa"/>
          </w:tcPr>
          <w:p>
            <w:pPr>
              <w:pStyle w:val="TableParagraph"/>
              <w:spacing w:line="137" w:lineRule="exact" w:before="8"/>
              <w:ind w:right="217"/>
              <w:jc w:val="right"/>
              <w:rPr>
                <w:sz w:val="13"/>
              </w:rPr>
            </w:pPr>
            <w:r>
              <w:rPr>
                <w:spacing w:val="-2"/>
                <w:w w:val="105"/>
                <w:sz w:val="13"/>
              </w:rPr>
              <w:t>4,124</w:t>
            </w:r>
          </w:p>
        </w:tc>
        <w:tc>
          <w:tcPr>
            <w:tcW w:w="840" w:type="dxa"/>
          </w:tcPr>
          <w:p>
            <w:pPr>
              <w:pStyle w:val="TableParagraph"/>
              <w:spacing w:line="137" w:lineRule="exact" w:before="8"/>
              <w:ind w:right="68"/>
              <w:jc w:val="right"/>
              <w:rPr>
                <w:sz w:val="13"/>
              </w:rPr>
            </w:pPr>
            <w:r>
              <w:rPr>
                <w:spacing w:val="-2"/>
                <w:w w:val="105"/>
                <w:sz w:val="13"/>
              </w:rPr>
              <w:t>18,824</w:t>
            </w:r>
          </w:p>
        </w:tc>
      </w:tr>
      <w:tr>
        <w:trPr>
          <w:trHeight w:val="165" w:hRule="atLeast"/>
        </w:trPr>
        <w:tc>
          <w:tcPr>
            <w:tcW w:w="4680" w:type="dxa"/>
          </w:tcPr>
          <w:p>
            <w:pPr>
              <w:pStyle w:val="TableParagraph"/>
              <w:spacing w:line="139" w:lineRule="exact" w:before="6"/>
              <w:ind w:left="25"/>
              <w:rPr>
                <w:sz w:val="13"/>
              </w:rPr>
            </w:pPr>
            <w:r>
              <w:rPr>
                <w:sz w:val="13"/>
              </w:rPr>
              <w:t>Professional</w:t>
            </w:r>
            <w:r>
              <w:rPr>
                <w:spacing w:val="15"/>
                <w:sz w:val="13"/>
              </w:rPr>
              <w:t> </w:t>
            </w:r>
            <w:r>
              <w:rPr>
                <w:spacing w:val="-4"/>
                <w:sz w:val="13"/>
              </w:rPr>
              <w:t>fees</w:t>
            </w:r>
          </w:p>
        </w:tc>
        <w:tc>
          <w:tcPr>
            <w:tcW w:w="589" w:type="dxa"/>
          </w:tcPr>
          <w:p>
            <w:pPr>
              <w:pStyle w:val="TableParagraph"/>
              <w:spacing w:line="137" w:lineRule="exact" w:before="8"/>
              <w:ind w:left="87"/>
              <w:jc w:val="center"/>
              <w:rPr>
                <w:sz w:val="13"/>
              </w:rPr>
            </w:pPr>
            <w:r>
              <w:rPr>
                <w:spacing w:val="-5"/>
                <w:w w:val="105"/>
                <w:sz w:val="13"/>
              </w:rPr>
              <w:t>4.1</w:t>
            </w:r>
          </w:p>
        </w:tc>
        <w:tc>
          <w:tcPr>
            <w:tcW w:w="1140" w:type="dxa"/>
          </w:tcPr>
          <w:p>
            <w:pPr>
              <w:pStyle w:val="TableParagraph"/>
              <w:spacing w:line="137" w:lineRule="exact" w:before="8"/>
              <w:ind w:right="216"/>
              <w:jc w:val="right"/>
              <w:rPr>
                <w:sz w:val="13"/>
              </w:rPr>
            </w:pPr>
            <w:r>
              <w:rPr>
                <w:spacing w:val="-2"/>
                <w:w w:val="105"/>
                <w:sz w:val="13"/>
              </w:rPr>
              <w:t>32,330</w:t>
            </w:r>
          </w:p>
        </w:tc>
        <w:tc>
          <w:tcPr>
            <w:tcW w:w="993" w:type="dxa"/>
          </w:tcPr>
          <w:p>
            <w:pPr>
              <w:pStyle w:val="TableParagraph"/>
              <w:spacing w:line="137" w:lineRule="exact" w:before="8"/>
              <w:ind w:right="221"/>
              <w:jc w:val="right"/>
              <w:rPr>
                <w:sz w:val="13"/>
              </w:rPr>
            </w:pPr>
            <w:r>
              <w:rPr>
                <w:spacing w:val="-2"/>
                <w:w w:val="105"/>
                <w:sz w:val="13"/>
              </w:rPr>
              <w:t>37,054</w:t>
            </w:r>
          </w:p>
        </w:tc>
        <w:tc>
          <w:tcPr>
            <w:tcW w:w="984" w:type="dxa"/>
          </w:tcPr>
          <w:p>
            <w:pPr>
              <w:pStyle w:val="TableParagraph"/>
              <w:spacing w:line="137" w:lineRule="exact" w:before="8"/>
              <w:ind w:right="216"/>
              <w:jc w:val="right"/>
              <w:rPr>
                <w:sz w:val="13"/>
              </w:rPr>
            </w:pPr>
            <w:r>
              <w:rPr>
                <w:spacing w:val="-2"/>
                <w:w w:val="105"/>
                <w:sz w:val="13"/>
              </w:rPr>
              <w:t>32,040</w:t>
            </w:r>
          </w:p>
        </w:tc>
        <w:tc>
          <w:tcPr>
            <w:tcW w:w="840" w:type="dxa"/>
          </w:tcPr>
          <w:p>
            <w:pPr>
              <w:pStyle w:val="TableParagraph"/>
              <w:spacing w:line="137" w:lineRule="exact" w:before="8"/>
              <w:ind w:right="68"/>
              <w:jc w:val="right"/>
              <w:rPr>
                <w:sz w:val="13"/>
              </w:rPr>
            </w:pPr>
            <w:r>
              <w:rPr>
                <w:spacing w:val="-2"/>
                <w:w w:val="105"/>
                <w:sz w:val="13"/>
              </w:rPr>
              <w:t>37,208</w:t>
            </w:r>
          </w:p>
        </w:tc>
      </w:tr>
      <w:tr>
        <w:trPr>
          <w:trHeight w:val="165" w:hRule="atLeast"/>
        </w:trPr>
        <w:tc>
          <w:tcPr>
            <w:tcW w:w="4680" w:type="dxa"/>
          </w:tcPr>
          <w:p>
            <w:pPr>
              <w:pStyle w:val="TableParagraph"/>
              <w:spacing w:line="139" w:lineRule="exact" w:before="6"/>
              <w:ind w:left="25"/>
              <w:rPr>
                <w:sz w:val="13"/>
              </w:rPr>
            </w:pPr>
            <w:r>
              <w:rPr>
                <w:spacing w:val="-2"/>
                <w:w w:val="105"/>
                <w:sz w:val="13"/>
              </w:rPr>
              <w:t>Losses</w:t>
            </w:r>
            <w:r>
              <w:rPr>
                <w:w w:val="105"/>
                <w:sz w:val="13"/>
              </w:rPr>
              <w:t> </w:t>
            </w:r>
            <w:r>
              <w:rPr>
                <w:spacing w:val="-2"/>
                <w:w w:val="105"/>
                <w:sz w:val="13"/>
              </w:rPr>
              <w:t>on disposal</w:t>
            </w:r>
            <w:r>
              <w:rPr>
                <w:w w:val="105"/>
                <w:sz w:val="13"/>
              </w:rPr>
              <w:t> </w:t>
            </w:r>
            <w:r>
              <w:rPr>
                <w:spacing w:val="-2"/>
                <w:w w:val="105"/>
                <w:sz w:val="13"/>
              </w:rPr>
              <w:t>of</w:t>
            </w:r>
            <w:r>
              <w:rPr>
                <w:spacing w:val="-1"/>
                <w:w w:val="105"/>
                <w:sz w:val="13"/>
              </w:rPr>
              <w:t> </w:t>
            </w:r>
            <w:r>
              <w:rPr>
                <w:spacing w:val="-2"/>
                <w:w w:val="105"/>
                <w:sz w:val="13"/>
              </w:rPr>
              <w:t>assets</w:t>
            </w:r>
          </w:p>
        </w:tc>
        <w:tc>
          <w:tcPr>
            <w:tcW w:w="589" w:type="dxa"/>
          </w:tcPr>
          <w:p>
            <w:pPr>
              <w:pStyle w:val="TableParagraph"/>
              <w:spacing w:line="137" w:lineRule="exact" w:before="8"/>
              <w:ind w:left="87"/>
              <w:jc w:val="center"/>
              <w:rPr>
                <w:sz w:val="13"/>
              </w:rPr>
            </w:pPr>
            <w:r>
              <w:rPr>
                <w:spacing w:val="-5"/>
                <w:w w:val="105"/>
                <w:sz w:val="13"/>
              </w:rPr>
              <w:t>4.1</w:t>
            </w:r>
          </w:p>
        </w:tc>
        <w:tc>
          <w:tcPr>
            <w:tcW w:w="1140" w:type="dxa"/>
          </w:tcPr>
          <w:p>
            <w:pPr>
              <w:pStyle w:val="TableParagraph"/>
              <w:spacing w:line="137" w:lineRule="exact" w:before="8"/>
              <w:ind w:right="172"/>
              <w:jc w:val="right"/>
              <w:rPr>
                <w:sz w:val="13"/>
              </w:rPr>
            </w:pPr>
            <w:r>
              <w:rPr>
                <w:spacing w:val="-10"/>
                <w:w w:val="105"/>
                <w:sz w:val="13"/>
              </w:rPr>
              <w:t>-</w:t>
            </w:r>
          </w:p>
        </w:tc>
        <w:tc>
          <w:tcPr>
            <w:tcW w:w="993" w:type="dxa"/>
          </w:tcPr>
          <w:p>
            <w:pPr>
              <w:pStyle w:val="TableParagraph"/>
              <w:spacing w:line="137" w:lineRule="exact" w:before="8"/>
              <w:ind w:right="221"/>
              <w:jc w:val="right"/>
              <w:rPr>
                <w:sz w:val="13"/>
              </w:rPr>
            </w:pPr>
            <w:r>
              <w:rPr>
                <w:spacing w:val="-5"/>
                <w:w w:val="105"/>
                <w:sz w:val="13"/>
              </w:rPr>
              <w:t>176</w:t>
            </w:r>
          </w:p>
        </w:tc>
        <w:tc>
          <w:tcPr>
            <w:tcW w:w="984" w:type="dxa"/>
          </w:tcPr>
          <w:p>
            <w:pPr>
              <w:pStyle w:val="TableParagraph"/>
              <w:spacing w:line="137" w:lineRule="exact" w:before="8"/>
              <w:ind w:right="172"/>
              <w:jc w:val="right"/>
              <w:rPr>
                <w:sz w:val="13"/>
              </w:rPr>
            </w:pPr>
            <w:r>
              <w:rPr>
                <w:spacing w:val="-10"/>
                <w:w w:val="105"/>
                <w:sz w:val="13"/>
              </w:rPr>
              <w:t>-</w:t>
            </w:r>
          </w:p>
        </w:tc>
        <w:tc>
          <w:tcPr>
            <w:tcW w:w="840" w:type="dxa"/>
          </w:tcPr>
          <w:p>
            <w:pPr>
              <w:pStyle w:val="TableParagraph"/>
              <w:spacing w:line="137" w:lineRule="exact" w:before="8"/>
              <w:ind w:right="69"/>
              <w:jc w:val="right"/>
              <w:rPr>
                <w:sz w:val="13"/>
              </w:rPr>
            </w:pPr>
            <w:r>
              <w:rPr>
                <w:spacing w:val="-5"/>
                <w:w w:val="105"/>
                <w:sz w:val="13"/>
              </w:rPr>
              <w:t>101</w:t>
            </w:r>
          </w:p>
        </w:tc>
      </w:tr>
      <w:tr>
        <w:trPr>
          <w:trHeight w:val="326" w:hRule="atLeast"/>
        </w:trPr>
        <w:tc>
          <w:tcPr>
            <w:tcW w:w="4680" w:type="dxa"/>
          </w:tcPr>
          <w:p>
            <w:pPr>
              <w:pStyle w:val="TableParagraph"/>
              <w:spacing w:before="6"/>
              <w:ind w:left="25"/>
              <w:rPr>
                <w:sz w:val="13"/>
              </w:rPr>
            </w:pPr>
            <w:r>
              <w:rPr>
                <w:spacing w:val="-2"/>
                <w:w w:val="105"/>
                <w:sz w:val="13"/>
              </w:rPr>
              <w:t>Other</w:t>
            </w:r>
            <w:r>
              <w:rPr>
                <w:spacing w:val="-3"/>
                <w:w w:val="105"/>
                <w:sz w:val="13"/>
              </w:rPr>
              <w:t> </w:t>
            </w:r>
            <w:r>
              <w:rPr>
                <w:spacing w:val="-2"/>
                <w:w w:val="105"/>
                <w:sz w:val="13"/>
              </w:rPr>
              <w:t>expenses</w:t>
            </w:r>
          </w:p>
        </w:tc>
        <w:tc>
          <w:tcPr>
            <w:tcW w:w="589" w:type="dxa"/>
          </w:tcPr>
          <w:p>
            <w:pPr>
              <w:pStyle w:val="TableParagraph"/>
              <w:spacing w:before="8"/>
              <w:ind w:left="87"/>
              <w:jc w:val="center"/>
              <w:rPr>
                <w:sz w:val="13"/>
              </w:rPr>
            </w:pPr>
            <w:r>
              <w:rPr>
                <w:spacing w:val="-5"/>
                <w:w w:val="105"/>
                <w:sz w:val="13"/>
              </w:rPr>
              <w:t>4.1</w:t>
            </w:r>
          </w:p>
        </w:tc>
        <w:tc>
          <w:tcPr>
            <w:tcW w:w="1140" w:type="dxa"/>
            <w:tcBorders>
              <w:bottom w:val="single" w:sz="6" w:space="0" w:color="000000"/>
            </w:tcBorders>
          </w:tcPr>
          <w:p>
            <w:pPr>
              <w:pStyle w:val="TableParagraph"/>
              <w:spacing w:before="8"/>
              <w:ind w:right="216"/>
              <w:jc w:val="right"/>
              <w:rPr>
                <w:sz w:val="13"/>
              </w:rPr>
            </w:pPr>
            <w:r>
              <w:rPr>
                <w:spacing w:val="-2"/>
                <w:w w:val="105"/>
                <w:sz w:val="13"/>
              </w:rPr>
              <w:t>108,475</w:t>
            </w:r>
          </w:p>
        </w:tc>
        <w:tc>
          <w:tcPr>
            <w:tcW w:w="993" w:type="dxa"/>
            <w:tcBorders>
              <w:bottom w:val="single" w:sz="6" w:space="0" w:color="000000"/>
            </w:tcBorders>
          </w:tcPr>
          <w:p>
            <w:pPr>
              <w:pStyle w:val="TableParagraph"/>
              <w:spacing w:before="8"/>
              <w:ind w:right="221"/>
              <w:jc w:val="right"/>
              <w:rPr>
                <w:sz w:val="13"/>
              </w:rPr>
            </w:pPr>
            <w:r>
              <w:rPr>
                <w:spacing w:val="-2"/>
                <w:w w:val="105"/>
                <w:sz w:val="13"/>
              </w:rPr>
              <w:t>128,024</w:t>
            </w:r>
          </w:p>
        </w:tc>
        <w:tc>
          <w:tcPr>
            <w:tcW w:w="984" w:type="dxa"/>
            <w:tcBorders>
              <w:bottom w:val="single" w:sz="6" w:space="0" w:color="000000"/>
            </w:tcBorders>
          </w:tcPr>
          <w:p>
            <w:pPr>
              <w:pStyle w:val="TableParagraph"/>
              <w:spacing w:before="8"/>
              <w:ind w:right="217"/>
              <w:jc w:val="right"/>
              <w:rPr>
                <w:sz w:val="13"/>
              </w:rPr>
            </w:pPr>
            <w:r>
              <w:rPr>
                <w:spacing w:val="-2"/>
                <w:w w:val="105"/>
                <w:sz w:val="13"/>
              </w:rPr>
              <w:t>97,202</w:t>
            </w:r>
          </w:p>
        </w:tc>
        <w:tc>
          <w:tcPr>
            <w:tcW w:w="840" w:type="dxa"/>
            <w:tcBorders>
              <w:bottom w:val="single" w:sz="6" w:space="0" w:color="000000"/>
            </w:tcBorders>
          </w:tcPr>
          <w:p>
            <w:pPr>
              <w:pStyle w:val="TableParagraph"/>
              <w:spacing w:before="8"/>
              <w:ind w:right="68"/>
              <w:jc w:val="right"/>
              <w:rPr>
                <w:sz w:val="13"/>
              </w:rPr>
            </w:pPr>
            <w:r>
              <w:rPr>
                <w:spacing w:val="-2"/>
                <w:w w:val="105"/>
                <w:sz w:val="13"/>
              </w:rPr>
              <w:t>121,170</w:t>
            </w:r>
          </w:p>
        </w:tc>
      </w:tr>
      <w:tr>
        <w:trPr>
          <w:trHeight w:val="150" w:hRule="atLeast"/>
        </w:trPr>
        <w:tc>
          <w:tcPr>
            <w:tcW w:w="4680" w:type="dxa"/>
          </w:tcPr>
          <w:p>
            <w:pPr>
              <w:pStyle w:val="TableParagraph"/>
              <w:spacing w:line="130" w:lineRule="exact"/>
              <w:ind w:left="25"/>
              <w:rPr>
                <w:b/>
                <w:sz w:val="13"/>
              </w:rPr>
            </w:pPr>
            <w:r>
              <w:rPr>
                <w:b/>
                <w:sz w:val="13"/>
              </w:rPr>
              <w:t>Total</w:t>
            </w:r>
            <w:r>
              <w:rPr>
                <w:b/>
                <w:spacing w:val="8"/>
                <w:sz w:val="13"/>
              </w:rPr>
              <w:t> </w:t>
            </w:r>
            <w:r>
              <w:rPr>
                <w:b/>
                <w:sz w:val="13"/>
              </w:rPr>
              <w:t>expenses</w:t>
            </w:r>
            <w:r>
              <w:rPr>
                <w:b/>
                <w:spacing w:val="8"/>
                <w:sz w:val="13"/>
              </w:rPr>
              <w:t> </w:t>
            </w:r>
            <w:r>
              <w:rPr>
                <w:b/>
                <w:sz w:val="13"/>
              </w:rPr>
              <w:t>from</w:t>
            </w:r>
            <w:r>
              <w:rPr>
                <w:b/>
                <w:spacing w:val="11"/>
                <w:sz w:val="13"/>
              </w:rPr>
              <w:t> </w:t>
            </w:r>
            <w:r>
              <w:rPr>
                <w:b/>
                <w:sz w:val="13"/>
              </w:rPr>
              <w:t>continuing</w:t>
            </w:r>
            <w:r>
              <w:rPr>
                <w:b/>
                <w:spacing w:val="8"/>
                <w:sz w:val="13"/>
              </w:rPr>
              <w:t> </w:t>
            </w:r>
            <w:r>
              <w:rPr>
                <w:b/>
                <w:spacing w:val="-2"/>
                <w:sz w:val="13"/>
              </w:rPr>
              <w:t>operations</w:t>
            </w:r>
          </w:p>
        </w:tc>
        <w:tc>
          <w:tcPr>
            <w:tcW w:w="589" w:type="dxa"/>
          </w:tcPr>
          <w:p>
            <w:pPr>
              <w:pStyle w:val="TableParagraph"/>
              <w:rPr>
                <w:rFonts w:ascii="Times New Roman"/>
                <w:sz w:val="8"/>
              </w:rPr>
            </w:pPr>
          </w:p>
        </w:tc>
        <w:tc>
          <w:tcPr>
            <w:tcW w:w="1140" w:type="dxa"/>
            <w:tcBorders>
              <w:top w:val="single" w:sz="6" w:space="0" w:color="000000"/>
              <w:bottom w:val="single" w:sz="6" w:space="0" w:color="000000"/>
            </w:tcBorders>
          </w:tcPr>
          <w:p>
            <w:pPr>
              <w:pStyle w:val="TableParagraph"/>
              <w:spacing w:line="130" w:lineRule="exact"/>
              <w:ind w:right="216"/>
              <w:jc w:val="right"/>
              <w:rPr>
                <w:b/>
                <w:sz w:val="13"/>
              </w:rPr>
            </w:pPr>
            <w:r>
              <w:rPr>
                <w:b/>
                <w:spacing w:val="-2"/>
                <w:w w:val="105"/>
                <w:sz w:val="13"/>
              </w:rPr>
              <w:t>938,215</w:t>
            </w:r>
          </w:p>
        </w:tc>
        <w:tc>
          <w:tcPr>
            <w:tcW w:w="993" w:type="dxa"/>
            <w:tcBorders>
              <w:top w:val="single" w:sz="6" w:space="0" w:color="000000"/>
              <w:bottom w:val="single" w:sz="6" w:space="0" w:color="000000"/>
            </w:tcBorders>
          </w:tcPr>
          <w:p>
            <w:pPr>
              <w:pStyle w:val="TableParagraph"/>
              <w:spacing w:line="130" w:lineRule="exact"/>
              <w:ind w:right="221"/>
              <w:jc w:val="right"/>
              <w:rPr>
                <w:b/>
                <w:sz w:val="13"/>
              </w:rPr>
            </w:pPr>
            <w:r>
              <w:rPr>
                <w:b/>
                <w:spacing w:val="-2"/>
                <w:w w:val="105"/>
                <w:sz w:val="13"/>
              </w:rPr>
              <w:t>966,514</w:t>
            </w:r>
          </w:p>
        </w:tc>
        <w:tc>
          <w:tcPr>
            <w:tcW w:w="984" w:type="dxa"/>
            <w:tcBorders>
              <w:top w:val="single" w:sz="6" w:space="0" w:color="000000"/>
              <w:bottom w:val="single" w:sz="6" w:space="0" w:color="000000"/>
            </w:tcBorders>
          </w:tcPr>
          <w:p>
            <w:pPr>
              <w:pStyle w:val="TableParagraph"/>
              <w:spacing w:line="130" w:lineRule="exact"/>
              <w:ind w:right="216"/>
              <w:jc w:val="right"/>
              <w:rPr>
                <w:b/>
                <w:sz w:val="13"/>
              </w:rPr>
            </w:pPr>
            <w:r>
              <w:rPr>
                <w:b/>
                <w:spacing w:val="-2"/>
                <w:w w:val="105"/>
                <w:sz w:val="13"/>
              </w:rPr>
              <w:t>910,781</w:t>
            </w:r>
          </w:p>
        </w:tc>
        <w:tc>
          <w:tcPr>
            <w:tcW w:w="840" w:type="dxa"/>
            <w:tcBorders>
              <w:top w:val="single" w:sz="6" w:space="0" w:color="000000"/>
              <w:bottom w:val="single" w:sz="6" w:space="0" w:color="000000"/>
            </w:tcBorders>
          </w:tcPr>
          <w:p>
            <w:pPr>
              <w:pStyle w:val="TableParagraph"/>
              <w:spacing w:line="130" w:lineRule="exact"/>
              <w:ind w:right="68"/>
              <w:jc w:val="right"/>
              <w:rPr>
                <w:b/>
                <w:sz w:val="13"/>
              </w:rPr>
            </w:pPr>
            <w:r>
              <w:rPr>
                <w:b/>
                <w:spacing w:val="-2"/>
                <w:w w:val="105"/>
                <w:sz w:val="13"/>
              </w:rPr>
              <w:t>942,203</w:t>
            </w:r>
          </w:p>
        </w:tc>
      </w:tr>
      <w:tr>
        <w:trPr>
          <w:trHeight w:val="140" w:hRule="atLeast"/>
        </w:trPr>
        <w:tc>
          <w:tcPr>
            <w:tcW w:w="4680" w:type="dxa"/>
          </w:tcPr>
          <w:p>
            <w:pPr>
              <w:pStyle w:val="TableParagraph"/>
              <w:rPr>
                <w:rFonts w:ascii="Times New Roman"/>
                <w:sz w:val="8"/>
              </w:rPr>
            </w:pPr>
          </w:p>
        </w:tc>
        <w:tc>
          <w:tcPr>
            <w:tcW w:w="589" w:type="dxa"/>
          </w:tcPr>
          <w:p>
            <w:pPr>
              <w:pStyle w:val="TableParagraph"/>
              <w:rPr>
                <w:rFonts w:ascii="Times New Roman"/>
                <w:sz w:val="8"/>
              </w:rPr>
            </w:pPr>
          </w:p>
        </w:tc>
        <w:tc>
          <w:tcPr>
            <w:tcW w:w="1140" w:type="dxa"/>
            <w:tcBorders>
              <w:top w:val="single" w:sz="6" w:space="0" w:color="000000"/>
              <w:bottom w:val="single" w:sz="6" w:space="0" w:color="000000"/>
            </w:tcBorders>
          </w:tcPr>
          <w:p>
            <w:pPr>
              <w:pStyle w:val="TableParagraph"/>
              <w:rPr>
                <w:rFonts w:ascii="Times New Roman"/>
                <w:sz w:val="8"/>
              </w:rPr>
            </w:pPr>
          </w:p>
        </w:tc>
        <w:tc>
          <w:tcPr>
            <w:tcW w:w="993" w:type="dxa"/>
            <w:tcBorders>
              <w:top w:val="single" w:sz="6" w:space="0" w:color="000000"/>
              <w:bottom w:val="single" w:sz="6" w:space="0" w:color="000000"/>
            </w:tcBorders>
          </w:tcPr>
          <w:p>
            <w:pPr>
              <w:pStyle w:val="TableParagraph"/>
              <w:rPr>
                <w:rFonts w:ascii="Times New Roman"/>
                <w:sz w:val="8"/>
              </w:rPr>
            </w:pPr>
          </w:p>
        </w:tc>
        <w:tc>
          <w:tcPr>
            <w:tcW w:w="984" w:type="dxa"/>
            <w:tcBorders>
              <w:top w:val="single" w:sz="6" w:space="0" w:color="000000"/>
              <w:bottom w:val="single" w:sz="6" w:space="0" w:color="000000"/>
            </w:tcBorders>
          </w:tcPr>
          <w:p>
            <w:pPr>
              <w:pStyle w:val="TableParagraph"/>
              <w:rPr>
                <w:rFonts w:ascii="Times New Roman"/>
                <w:sz w:val="8"/>
              </w:rPr>
            </w:pPr>
          </w:p>
        </w:tc>
        <w:tc>
          <w:tcPr>
            <w:tcW w:w="840" w:type="dxa"/>
            <w:tcBorders>
              <w:top w:val="single" w:sz="6" w:space="0" w:color="000000"/>
              <w:bottom w:val="single" w:sz="6" w:space="0" w:color="000000"/>
            </w:tcBorders>
          </w:tcPr>
          <w:p>
            <w:pPr>
              <w:pStyle w:val="TableParagraph"/>
              <w:rPr>
                <w:rFonts w:ascii="Times New Roman"/>
                <w:sz w:val="8"/>
              </w:rPr>
            </w:pPr>
          </w:p>
        </w:tc>
      </w:tr>
      <w:tr>
        <w:trPr>
          <w:trHeight w:val="160" w:hRule="atLeast"/>
        </w:trPr>
        <w:tc>
          <w:tcPr>
            <w:tcW w:w="4680" w:type="dxa"/>
            <w:tcBorders>
              <w:bottom w:val="single" w:sz="12" w:space="0" w:color="000000"/>
            </w:tcBorders>
          </w:tcPr>
          <w:p>
            <w:pPr>
              <w:pStyle w:val="TableParagraph"/>
              <w:spacing w:line="140" w:lineRule="exact"/>
              <w:ind w:left="25"/>
              <w:rPr>
                <w:b/>
                <w:sz w:val="13"/>
              </w:rPr>
            </w:pPr>
            <w:r>
              <w:rPr>
                <w:b/>
                <w:sz w:val="13"/>
              </w:rPr>
              <w:t>Net</w:t>
            </w:r>
            <w:r>
              <w:rPr>
                <w:b/>
                <w:spacing w:val="8"/>
                <w:sz w:val="13"/>
              </w:rPr>
              <w:t> </w:t>
            </w:r>
            <w:r>
              <w:rPr>
                <w:b/>
                <w:sz w:val="13"/>
              </w:rPr>
              <w:t>result</w:t>
            </w:r>
            <w:r>
              <w:rPr>
                <w:b/>
                <w:spacing w:val="9"/>
                <w:sz w:val="13"/>
              </w:rPr>
              <w:t> </w:t>
            </w:r>
            <w:r>
              <w:rPr>
                <w:b/>
                <w:sz w:val="13"/>
              </w:rPr>
              <w:t>attributable</w:t>
            </w:r>
            <w:r>
              <w:rPr>
                <w:b/>
                <w:spacing w:val="8"/>
                <w:sz w:val="13"/>
              </w:rPr>
              <w:t> </w:t>
            </w:r>
            <w:r>
              <w:rPr>
                <w:b/>
                <w:sz w:val="13"/>
              </w:rPr>
              <w:t>to</w:t>
            </w:r>
            <w:r>
              <w:rPr>
                <w:b/>
                <w:spacing w:val="9"/>
                <w:sz w:val="13"/>
              </w:rPr>
              <w:t> </w:t>
            </w:r>
            <w:r>
              <w:rPr>
                <w:b/>
                <w:sz w:val="13"/>
              </w:rPr>
              <w:t>members</w:t>
            </w:r>
            <w:r>
              <w:rPr>
                <w:b/>
                <w:spacing w:val="9"/>
                <w:sz w:val="13"/>
              </w:rPr>
              <w:t> </w:t>
            </w:r>
            <w:r>
              <w:rPr>
                <w:b/>
                <w:sz w:val="13"/>
              </w:rPr>
              <w:t>from</w:t>
            </w:r>
            <w:r>
              <w:rPr>
                <w:b/>
                <w:spacing w:val="11"/>
                <w:sz w:val="13"/>
              </w:rPr>
              <w:t> </w:t>
            </w:r>
            <w:r>
              <w:rPr>
                <w:b/>
                <w:sz w:val="13"/>
              </w:rPr>
              <w:t>continuing</w:t>
            </w:r>
            <w:r>
              <w:rPr>
                <w:b/>
                <w:spacing w:val="8"/>
                <w:sz w:val="13"/>
              </w:rPr>
              <w:t> </w:t>
            </w:r>
            <w:r>
              <w:rPr>
                <w:b/>
                <w:spacing w:val="-2"/>
                <w:sz w:val="13"/>
              </w:rPr>
              <w:t>operations</w:t>
            </w:r>
          </w:p>
        </w:tc>
        <w:tc>
          <w:tcPr>
            <w:tcW w:w="589" w:type="dxa"/>
            <w:tcBorders>
              <w:bottom w:val="single" w:sz="12" w:space="0" w:color="000000"/>
            </w:tcBorders>
          </w:tcPr>
          <w:p>
            <w:pPr>
              <w:pStyle w:val="TableParagraph"/>
              <w:rPr>
                <w:rFonts w:ascii="Times New Roman"/>
                <w:sz w:val="10"/>
              </w:rPr>
            </w:pPr>
          </w:p>
        </w:tc>
        <w:tc>
          <w:tcPr>
            <w:tcW w:w="1140" w:type="dxa"/>
            <w:tcBorders>
              <w:top w:val="single" w:sz="6" w:space="0" w:color="000000"/>
              <w:bottom w:val="single" w:sz="12" w:space="0" w:color="000000"/>
            </w:tcBorders>
          </w:tcPr>
          <w:p>
            <w:pPr>
              <w:pStyle w:val="TableParagraph"/>
              <w:spacing w:line="131" w:lineRule="exact"/>
              <w:ind w:right="216"/>
              <w:jc w:val="right"/>
              <w:rPr>
                <w:b/>
                <w:sz w:val="13"/>
              </w:rPr>
            </w:pPr>
            <w:r>
              <w:rPr>
                <w:b/>
                <w:spacing w:val="-2"/>
                <w:w w:val="105"/>
                <w:sz w:val="13"/>
              </w:rPr>
              <w:t>55,107</w:t>
            </w:r>
          </w:p>
        </w:tc>
        <w:tc>
          <w:tcPr>
            <w:tcW w:w="993" w:type="dxa"/>
            <w:tcBorders>
              <w:top w:val="single" w:sz="6" w:space="0" w:color="000000"/>
              <w:bottom w:val="single" w:sz="12" w:space="0" w:color="000000"/>
            </w:tcBorders>
          </w:tcPr>
          <w:p>
            <w:pPr>
              <w:pStyle w:val="TableParagraph"/>
              <w:spacing w:line="131" w:lineRule="exact"/>
              <w:ind w:right="221"/>
              <w:jc w:val="right"/>
              <w:rPr>
                <w:b/>
                <w:sz w:val="13"/>
              </w:rPr>
            </w:pPr>
            <w:r>
              <w:rPr>
                <w:b/>
                <w:spacing w:val="-2"/>
                <w:w w:val="105"/>
                <w:sz w:val="13"/>
              </w:rPr>
              <w:t>120,981</w:t>
            </w:r>
          </w:p>
        </w:tc>
        <w:tc>
          <w:tcPr>
            <w:tcW w:w="984" w:type="dxa"/>
            <w:tcBorders>
              <w:top w:val="single" w:sz="6" w:space="0" w:color="000000"/>
              <w:bottom w:val="single" w:sz="12" w:space="0" w:color="000000"/>
            </w:tcBorders>
          </w:tcPr>
          <w:p>
            <w:pPr>
              <w:pStyle w:val="TableParagraph"/>
              <w:spacing w:line="131" w:lineRule="exact"/>
              <w:ind w:right="217"/>
              <w:jc w:val="right"/>
              <w:rPr>
                <w:b/>
                <w:sz w:val="13"/>
              </w:rPr>
            </w:pPr>
            <w:r>
              <w:rPr>
                <w:b/>
                <w:spacing w:val="-2"/>
                <w:w w:val="105"/>
                <w:sz w:val="13"/>
              </w:rPr>
              <w:t>58,089</w:t>
            </w:r>
          </w:p>
        </w:tc>
        <w:tc>
          <w:tcPr>
            <w:tcW w:w="840" w:type="dxa"/>
            <w:tcBorders>
              <w:top w:val="single" w:sz="6" w:space="0" w:color="000000"/>
              <w:bottom w:val="single" w:sz="12" w:space="0" w:color="000000"/>
            </w:tcBorders>
          </w:tcPr>
          <w:p>
            <w:pPr>
              <w:pStyle w:val="TableParagraph"/>
              <w:spacing w:line="131" w:lineRule="exact"/>
              <w:ind w:right="68"/>
              <w:jc w:val="right"/>
              <w:rPr>
                <w:b/>
                <w:sz w:val="13"/>
              </w:rPr>
            </w:pPr>
            <w:r>
              <w:rPr>
                <w:b/>
                <w:spacing w:val="-2"/>
                <w:w w:val="105"/>
                <w:sz w:val="13"/>
              </w:rPr>
              <w:t>115,422</w:t>
            </w:r>
          </w:p>
        </w:tc>
      </w:tr>
      <w:tr>
        <w:trPr>
          <w:trHeight w:val="312" w:hRule="atLeast"/>
        </w:trPr>
        <w:tc>
          <w:tcPr>
            <w:tcW w:w="4680" w:type="dxa"/>
            <w:tcBorders>
              <w:top w:val="single" w:sz="12" w:space="0" w:color="000000"/>
            </w:tcBorders>
          </w:tcPr>
          <w:p>
            <w:pPr>
              <w:pStyle w:val="TableParagraph"/>
              <w:spacing w:before="4"/>
              <w:rPr>
                <w:b/>
                <w:sz w:val="13"/>
              </w:rPr>
            </w:pPr>
          </w:p>
          <w:p>
            <w:pPr>
              <w:pStyle w:val="TableParagraph"/>
              <w:spacing w:line="139" w:lineRule="exact"/>
              <w:ind w:left="25"/>
              <w:rPr>
                <w:sz w:val="13"/>
              </w:rPr>
            </w:pPr>
            <w:r>
              <w:rPr>
                <w:spacing w:val="-2"/>
                <w:w w:val="105"/>
                <w:sz w:val="13"/>
              </w:rPr>
              <w:t>Net</w:t>
            </w:r>
            <w:r>
              <w:rPr>
                <w:spacing w:val="-1"/>
                <w:w w:val="105"/>
                <w:sz w:val="13"/>
              </w:rPr>
              <w:t> </w:t>
            </w:r>
            <w:r>
              <w:rPr>
                <w:spacing w:val="-2"/>
                <w:w w:val="105"/>
                <w:sz w:val="13"/>
              </w:rPr>
              <w:t>result</w:t>
            </w:r>
            <w:r>
              <w:rPr>
                <w:spacing w:val="-1"/>
                <w:w w:val="105"/>
                <w:sz w:val="13"/>
              </w:rPr>
              <w:t> </w:t>
            </w:r>
            <w:r>
              <w:rPr>
                <w:spacing w:val="-2"/>
                <w:w w:val="105"/>
                <w:sz w:val="13"/>
              </w:rPr>
              <w:t>from</w:t>
            </w:r>
            <w:r>
              <w:rPr>
                <w:spacing w:val="2"/>
                <w:w w:val="105"/>
                <w:sz w:val="13"/>
              </w:rPr>
              <w:t> </w:t>
            </w:r>
            <w:r>
              <w:rPr>
                <w:spacing w:val="-2"/>
                <w:w w:val="105"/>
                <w:sz w:val="13"/>
              </w:rPr>
              <w:t>continuing</w:t>
            </w:r>
            <w:r>
              <w:rPr>
                <w:spacing w:val="-1"/>
                <w:w w:val="105"/>
                <w:sz w:val="13"/>
              </w:rPr>
              <w:t> </w:t>
            </w:r>
            <w:r>
              <w:rPr>
                <w:spacing w:val="-2"/>
                <w:w w:val="105"/>
                <w:sz w:val="13"/>
              </w:rPr>
              <w:t>operation</w:t>
            </w:r>
          </w:p>
        </w:tc>
        <w:tc>
          <w:tcPr>
            <w:tcW w:w="589" w:type="dxa"/>
            <w:tcBorders>
              <w:top w:val="single" w:sz="12" w:space="0" w:color="000000"/>
            </w:tcBorders>
          </w:tcPr>
          <w:p>
            <w:pPr>
              <w:pStyle w:val="TableParagraph"/>
              <w:rPr>
                <w:rFonts w:ascii="Times New Roman"/>
                <w:sz w:val="12"/>
              </w:rPr>
            </w:pPr>
          </w:p>
        </w:tc>
        <w:tc>
          <w:tcPr>
            <w:tcW w:w="1140" w:type="dxa"/>
            <w:tcBorders>
              <w:top w:val="single" w:sz="12" w:space="0" w:color="000000"/>
            </w:tcBorders>
          </w:tcPr>
          <w:p>
            <w:pPr>
              <w:pStyle w:val="TableParagraph"/>
              <w:spacing w:before="6"/>
              <w:rPr>
                <w:b/>
                <w:sz w:val="13"/>
              </w:rPr>
            </w:pPr>
          </w:p>
          <w:p>
            <w:pPr>
              <w:pStyle w:val="TableParagraph"/>
              <w:spacing w:line="137" w:lineRule="exact"/>
              <w:ind w:right="216"/>
              <w:jc w:val="right"/>
              <w:rPr>
                <w:sz w:val="13"/>
              </w:rPr>
            </w:pPr>
            <w:r>
              <w:rPr>
                <w:spacing w:val="-2"/>
                <w:w w:val="105"/>
                <w:sz w:val="13"/>
              </w:rPr>
              <w:t>55,107</w:t>
            </w:r>
          </w:p>
        </w:tc>
        <w:tc>
          <w:tcPr>
            <w:tcW w:w="993" w:type="dxa"/>
            <w:tcBorders>
              <w:top w:val="single" w:sz="12" w:space="0" w:color="000000"/>
            </w:tcBorders>
          </w:tcPr>
          <w:p>
            <w:pPr>
              <w:pStyle w:val="TableParagraph"/>
              <w:spacing w:before="6"/>
              <w:rPr>
                <w:b/>
                <w:sz w:val="13"/>
              </w:rPr>
            </w:pPr>
          </w:p>
          <w:p>
            <w:pPr>
              <w:pStyle w:val="TableParagraph"/>
              <w:spacing w:line="137" w:lineRule="exact"/>
              <w:ind w:right="221"/>
              <w:jc w:val="right"/>
              <w:rPr>
                <w:sz w:val="13"/>
              </w:rPr>
            </w:pPr>
            <w:r>
              <w:rPr>
                <w:spacing w:val="-2"/>
                <w:w w:val="105"/>
                <w:sz w:val="13"/>
              </w:rPr>
              <w:t>120,981</w:t>
            </w:r>
          </w:p>
        </w:tc>
        <w:tc>
          <w:tcPr>
            <w:tcW w:w="984" w:type="dxa"/>
            <w:tcBorders>
              <w:top w:val="single" w:sz="12" w:space="0" w:color="000000"/>
            </w:tcBorders>
          </w:tcPr>
          <w:p>
            <w:pPr>
              <w:pStyle w:val="TableParagraph"/>
              <w:spacing w:before="6"/>
              <w:rPr>
                <w:b/>
                <w:sz w:val="13"/>
              </w:rPr>
            </w:pPr>
          </w:p>
          <w:p>
            <w:pPr>
              <w:pStyle w:val="TableParagraph"/>
              <w:spacing w:line="137" w:lineRule="exact"/>
              <w:ind w:right="217"/>
              <w:jc w:val="right"/>
              <w:rPr>
                <w:sz w:val="13"/>
              </w:rPr>
            </w:pPr>
            <w:r>
              <w:rPr>
                <w:spacing w:val="-2"/>
                <w:w w:val="105"/>
                <w:sz w:val="13"/>
              </w:rPr>
              <w:t>58,089</w:t>
            </w:r>
          </w:p>
        </w:tc>
        <w:tc>
          <w:tcPr>
            <w:tcW w:w="840" w:type="dxa"/>
            <w:tcBorders>
              <w:top w:val="single" w:sz="12" w:space="0" w:color="000000"/>
            </w:tcBorders>
          </w:tcPr>
          <w:p>
            <w:pPr>
              <w:pStyle w:val="TableParagraph"/>
              <w:spacing w:before="6"/>
              <w:rPr>
                <w:b/>
                <w:sz w:val="13"/>
              </w:rPr>
            </w:pPr>
          </w:p>
          <w:p>
            <w:pPr>
              <w:pStyle w:val="TableParagraph"/>
              <w:spacing w:line="137" w:lineRule="exact"/>
              <w:ind w:right="68"/>
              <w:jc w:val="right"/>
              <w:rPr>
                <w:sz w:val="13"/>
              </w:rPr>
            </w:pPr>
            <w:r>
              <w:rPr>
                <w:spacing w:val="-2"/>
                <w:w w:val="105"/>
                <w:sz w:val="13"/>
              </w:rPr>
              <w:t>115,422</w:t>
            </w:r>
          </w:p>
        </w:tc>
      </w:tr>
      <w:tr>
        <w:trPr>
          <w:trHeight w:val="317" w:hRule="atLeast"/>
        </w:trPr>
        <w:tc>
          <w:tcPr>
            <w:tcW w:w="4680" w:type="dxa"/>
          </w:tcPr>
          <w:p>
            <w:pPr>
              <w:pStyle w:val="TableParagraph"/>
              <w:spacing w:before="6"/>
              <w:ind w:left="25"/>
              <w:rPr>
                <w:sz w:val="13"/>
              </w:rPr>
            </w:pPr>
            <w:r>
              <w:rPr>
                <w:spacing w:val="-2"/>
                <w:w w:val="105"/>
                <w:sz w:val="13"/>
              </w:rPr>
              <w:t>Net</w:t>
            </w:r>
            <w:r>
              <w:rPr>
                <w:spacing w:val="-1"/>
                <w:w w:val="105"/>
                <w:sz w:val="13"/>
              </w:rPr>
              <w:t> </w:t>
            </w:r>
            <w:r>
              <w:rPr>
                <w:spacing w:val="-2"/>
                <w:w w:val="105"/>
                <w:sz w:val="13"/>
              </w:rPr>
              <w:t>result</w:t>
            </w:r>
            <w:r>
              <w:rPr>
                <w:w w:val="105"/>
                <w:sz w:val="13"/>
              </w:rPr>
              <w:t> </w:t>
            </w:r>
            <w:r>
              <w:rPr>
                <w:spacing w:val="-2"/>
                <w:w w:val="105"/>
                <w:sz w:val="13"/>
              </w:rPr>
              <w:t>from</w:t>
            </w:r>
            <w:r>
              <w:rPr>
                <w:spacing w:val="1"/>
                <w:w w:val="105"/>
                <w:sz w:val="13"/>
              </w:rPr>
              <w:t> </w:t>
            </w:r>
            <w:r>
              <w:rPr>
                <w:spacing w:val="-2"/>
                <w:w w:val="105"/>
                <w:sz w:val="13"/>
              </w:rPr>
              <w:t>discontinued</w:t>
            </w:r>
            <w:r>
              <w:rPr>
                <w:w w:val="105"/>
                <w:sz w:val="13"/>
              </w:rPr>
              <w:t> </w:t>
            </w:r>
            <w:r>
              <w:rPr>
                <w:spacing w:val="-2"/>
                <w:w w:val="105"/>
                <w:sz w:val="13"/>
              </w:rPr>
              <w:t>operations</w:t>
            </w:r>
          </w:p>
        </w:tc>
        <w:tc>
          <w:tcPr>
            <w:tcW w:w="589" w:type="dxa"/>
          </w:tcPr>
          <w:p>
            <w:pPr>
              <w:pStyle w:val="TableParagraph"/>
              <w:spacing w:before="8"/>
              <w:ind w:left="87"/>
              <w:jc w:val="center"/>
              <w:rPr>
                <w:sz w:val="13"/>
              </w:rPr>
            </w:pPr>
            <w:r>
              <w:rPr>
                <w:spacing w:val="-5"/>
                <w:w w:val="105"/>
                <w:sz w:val="13"/>
              </w:rPr>
              <w:t>7.5</w:t>
            </w:r>
          </w:p>
        </w:tc>
        <w:tc>
          <w:tcPr>
            <w:tcW w:w="1140" w:type="dxa"/>
            <w:tcBorders>
              <w:bottom w:val="single" w:sz="6" w:space="0" w:color="000000"/>
            </w:tcBorders>
          </w:tcPr>
          <w:p>
            <w:pPr>
              <w:pStyle w:val="TableParagraph"/>
              <w:spacing w:before="8"/>
              <w:ind w:right="209"/>
              <w:jc w:val="right"/>
              <w:rPr>
                <w:sz w:val="13"/>
              </w:rPr>
            </w:pPr>
            <w:r>
              <w:rPr>
                <w:spacing w:val="-10"/>
                <w:w w:val="105"/>
                <w:sz w:val="13"/>
              </w:rPr>
              <w:t>-</w:t>
            </w:r>
          </w:p>
        </w:tc>
        <w:tc>
          <w:tcPr>
            <w:tcW w:w="993" w:type="dxa"/>
            <w:tcBorders>
              <w:bottom w:val="single" w:sz="6" w:space="0" w:color="000000"/>
            </w:tcBorders>
          </w:tcPr>
          <w:p>
            <w:pPr>
              <w:pStyle w:val="TableParagraph"/>
              <w:spacing w:before="8"/>
              <w:ind w:right="213"/>
              <w:jc w:val="right"/>
              <w:rPr>
                <w:sz w:val="13"/>
              </w:rPr>
            </w:pPr>
            <w:r>
              <w:rPr>
                <w:spacing w:val="-10"/>
                <w:w w:val="105"/>
                <w:sz w:val="13"/>
              </w:rPr>
              <w:t>-</w:t>
            </w:r>
          </w:p>
        </w:tc>
        <w:tc>
          <w:tcPr>
            <w:tcW w:w="984" w:type="dxa"/>
            <w:tcBorders>
              <w:bottom w:val="single" w:sz="6" w:space="0" w:color="000000"/>
            </w:tcBorders>
          </w:tcPr>
          <w:p>
            <w:pPr>
              <w:pStyle w:val="TableParagraph"/>
              <w:spacing w:before="8"/>
              <w:ind w:right="209"/>
              <w:jc w:val="right"/>
              <w:rPr>
                <w:sz w:val="13"/>
              </w:rPr>
            </w:pPr>
            <w:r>
              <w:rPr>
                <w:spacing w:val="-10"/>
                <w:w w:val="105"/>
                <w:sz w:val="13"/>
              </w:rPr>
              <w:t>-</w:t>
            </w:r>
          </w:p>
        </w:tc>
        <w:tc>
          <w:tcPr>
            <w:tcW w:w="840" w:type="dxa"/>
            <w:tcBorders>
              <w:bottom w:val="single" w:sz="6" w:space="0" w:color="000000"/>
            </w:tcBorders>
          </w:tcPr>
          <w:p>
            <w:pPr>
              <w:pStyle w:val="TableParagraph"/>
              <w:spacing w:before="8"/>
              <w:ind w:right="24"/>
              <w:jc w:val="right"/>
              <w:rPr>
                <w:sz w:val="13"/>
              </w:rPr>
            </w:pPr>
            <w:r>
              <w:rPr>
                <w:spacing w:val="-2"/>
                <w:w w:val="105"/>
                <w:sz w:val="13"/>
              </w:rPr>
              <w:t>(3,740)</w:t>
            </w:r>
          </w:p>
        </w:tc>
      </w:tr>
      <w:tr>
        <w:trPr>
          <w:trHeight w:val="160" w:hRule="atLeast"/>
        </w:trPr>
        <w:tc>
          <w:tcPr>
            <w:tcW w:w="4680" w:type="dxa"/>
            <w:tcBorders>
              <w:bottom w:val="single" w:sz="12" w:space="0" w:color="000000"/>
            </w:tcBorders>
          </w:tcPr>
          <w:p>
            <w:pPr>
              <w:pStyle w:val="TableParagraph"/>
              <w:spacing w:line="140" w:lineRule="exact"/>
              <w:ind w:left="25"/>
              <w:rPr>
                <w:b/>
                <w:sz w:val="13"/>
              </w:rPr>
            </w:pPr>
            <w:r>
              <w:rPr>
                <w:b/>
                <w:spacing w:val="-2"/>
                <w:w w:val="105"/>
                <w:sz w:val="13"/>
              </w:rPr>
              <w:t>Net</w:t>
            </w:r>
            <w:r>
              <w:rPr>
                <w:b/>
                <w:spacing w:val="-1"/>
                <w:w w:val="105"/>
                <w:sz w:val="13"/>
              </w:rPr>
              <w:t> </w:t>
            </w:r>
            <w:r>
              <w:rPr>
                <w:b/>
                <w:spacing w:val="-2"/>
                <w:w w:val="105"/>
                <w:sz w:val="13"/>
              </w:rPr>
              <w:t>result</w:t>
            </w:r>
            <w:r>
              <w:rPr>
                <w:b/>
                <w:spacing w:val="-1"/>
                <w:w w:val="105"/>
                <w:sz w:val="13"/>
              </w:rPr>
              <w:t> </w:t>
            </w:r>
            <w:r>
              <w:rPr>
                <w:b/>
                <w:spacing w:val="-2"/>
                <w:w w:val="105"/>
                <w:sz w:val="13"/>
              </w:rPr>
              <w:t>attributable</w:t>
            </w:r>
            <w:r>
              <w:rPr>
                <w:b/>
                <w:spacing w:val="-1"/>
                <w:w w:val="105"/>
                <w:sz w:val="13"/>
              </w:rPr>
              <w:t> </w:t>
            </w:r>
            <w:r>
              <w:rPr>
                <w:b/>
                <w:spacing w:val="-2"/>
                <w:w w:val="105"/>
                <w:sz w:val="13"/>
              </w:rPr>
              <w:t>to</w:t>
            </w:r>
            <w:r>
              <w:rPr>
                <w:b/>
                <w:spacing w:val="-1"/>
                <w:w w:val="105"/>
                <w:sz w:val="13"/>
              </w:rPr>
              <w:t> </w:t>
            </w:r>
            <w:r>
              <w:rPr>
                <w:b/>
                <w:spacing w:val="-2"/>
                <w:w w:val="105"/>
                <w:sz w:val="13"/>
              </w:rPr>
              <w:t>members</w:t>
            </w:r>
          </w:p>
        </w:tc>
        <w:tc>
          <w:tcPr>
            <w:tcW w:w="589" w:type="dxa"/>
            <w:tcBorders>
              <w:bottom w:val="single" w:sz="12" w:space="0" w:color="000000"/>
            </w:tcBorders>
          </w:tcPr>
          <w:p>
            <w:pPr>
              <w:pStyle w:val="TableParagraph"/>
              <w:rPr>
                <w:rFonts w:ascii="Times New Roman"/>
                <w:sz w:val="10"/>
              </w:rPr>
            </w:pPr>
          </w:p>
        </w:tc>
        <w:tc>
          <w:tcPr>
            <w:tcW w:w="1140" w:type="dxa"/>
            <w:tcBorders>
              <w:top w:val="single" w:sz="6" w:space="0" w:color="000000"/>
              <w:bottom w:val="single" w:sz="12" w:space="0" w:color="000000"/>
            </w:tcBorders>
          </w:tcPr>
          <w:p>
            <w:pPr>
              <w:pStyle w:val="TableParagraph"/>
              <w:spacing w:line="131" w:lineRule="exact"/>
              <w:ind w:right="216"/>
              <w:jc w:val="right"/>
              <w:rPr>
                <w:b/>
                <w:sz w:val="13"/>
              </w:rPr>
            </w:pPr>
            <w:r>
              <w:rPr>
                <w:b/>
                <w:spacing w:val="-2"/>
                <w:w w:val="105"/>
                <w:sz w:val="13"/>
              </w:rPr>
              <w:t>55,107</w:t>
            </w:r>
          </w:p>
        </w:tc>
        <w:tc>
          <w:tcPr>
            <w:tcW w:w="993" w:type="dxa"/>
            <w:tcBorders>
              <w:top w:val="single" w:sz="6" w:space="0" w:color="000000"/>
              <w:bottom w:val="single" w:sz="12" w:space="0" w:color="000000"/>
            </w:tcBorders>
          </w:tcPr>
          <w:p>
            <w:pPr>
              <w:pStyle w:val="TableParagraph"/>
              <w:spacing w:line="131" w:lineRule="exact"/>
              <w:ind w:right="221"/>
              <w:jc w:val="right"/>
              <w:rPr>
                <w:b/>
                <w:sz w:val="13"/>
              </w:rPr>
            </w:pPr>
            <w:r>
              <w:rPr>
                <w:b/>
                <w:spacing w:val="-2"/>
                <w:w w:val="105"/>
                <w:sz w:val="13"/>
              </w:rPr>
              <w:t>120,981</w:t>
            </w:r>
          </w:p>
        </w:tc>
        <w:tc>
          <w:tcPr>
            <w:tcW w:w="984" w:type="dxa"/>
            <w:tcBorders>
              <w:top w:val="single" w:sz="6" w:space="0" w:color="000000"/>
              <w:bottom w:val="single" w:sz="12" w:space="0" w:color="000000"/>
            </w:tcBorders>
          </w:tcPr>
          <w:p>
            <w:pPr>
              <w:pStyle w:val="TableParagraph"/>
              <w:spacing w:line="131" w:lineRule="exact"/>
              <w:ind w:right="217"/>
              <w:jc w:val="right"/>
              <w:rPr>
                <w:b/>
                <w:sz w:val="13"/>
              </w:rPr>
            </w:pPr>
            <w:r>
              <w:rPr>
                <w:b/>
                <w:spacing w:val="-2"/>
                <w:w w:val="105"/>
                <w:sz w:val="13"/>
              </w:rPr>
              <w:t>58,089</w:t>
            </w:r>
          </w:p>
        </w:tc>
        <w:tc>
          <w:tcPr>
            <w:tcW w:w="840" w:type="dxa"/>
            <w:tcBorders>
              <w:top w:val="single" w:sz="6" w:space="0" w:color="000000"/>
              <w:bottom w:val="single" w:sz="12" w:space="0" w:color="000000"/>
            </w:tcBorders>
          </w:tcPr>
          <w:p>
            <w:pPr>
              <w:pStyle w:val="TableParagraph"/>
              <w:spacing w:line="131" w:lineRule="exact"/>
              <w:ind w:right="68"/>
              <w:jc w:val="right"/>
              <w:rPr>
                <w:b/>
                <w:sz w:val="13"/>
              </w:rPr>
            </w:pPr>
            <w:r>
              <w:rPr>
                <w:b/>
                <w:spacing w:val="-2"/>
                <w:w w:val="105"/>
                <w:sz w:val="13"/>
              </w:rPr>
              <w:t>111,682</w:t>
            </w:r>
          </w:p>
        </w:tc>
      </w:tr>
      <w:tr>
        <w:trPr>
          <w:trHeight w:val="580" w:hRule="atLeast"/>
        </w:trPr>
        <w:tc>
          <w:tcPr>
            <w:tcW w:w="4680" w:type="dxa"/>
            <w:tcBorders>
              <w:top w:val="single" w:sz="12" w:space="0" w:color="000000"/>
            </w:tcBorders>
          </w:tcPr>
          <w:p>
            <w:pPr>
              <w:pStyle w:val="TableParagraph"/>
              <w:spacing w:before="81"/>
              <w:rPr>
                <w:b/>
                <w:sz w:val="21"/>
              </w:rPr>
            </w:pPr>
          </w:p>
          <w:p>
            <w:pPr>
              <w:pStyle w:val="TableParagraph"/>
              <w:spacing w:line="238" w:lineRule="exact"/>
              <w:ind w:left="37"/>
              <w:rPr>
                <w:sz w:val="21"/>
              </w:rPr>
            </w:pPr>
            <w:r>
              <w:rPr>
                <w:color w:val="0070C0"/>
                <w:sz w:val="21"/>
              </w:rPr>
              <w:t>STATEMENT</w:t>
            </w:r>
            <w:r>
              <w:rPr>
                <w:color w:val="0070C0"/>
                <w:spacing w:val="8"/>
                <w:sz w:val="21"/>
              </w:rPr>
              <w:t> </w:t>
            </w:r>
            <w:r>
              <w:rPr>
                <w:color w:val="0070C0"/>
                <w:sz w:val="21"/>
              </w:rPr>
              <w:t>OF</w:t>
            </w:r>
            <w:r>
              <w:rPr>
                <w:color w:val="0070C0"/>
                <w:spacing w:val="5"/>
                <w:sz w:val="21"/>
              </w:rPr>
              <w:t> </w:t>
            </w:r>
            <w:r>
              <w:rPr>
                <w:color w:val="0070C0"/>
                <w:sz w:val="21"/>
              </w:rPr>
              <w:t>COMPREHENSIVE</w:t>
            </w:r>
            <w:r>
              <w:rPr>
                <w:color w:val="0070C0"/>
                <w:spacing w:val="6"/>
                <w:sz w:val="21"/>
              </w:rPr>
              <w:t> </w:t>
            </w:r>
            <w:r>
              <w:rPr>
                <w:color w:val="0070C0"/>
                <w:spacing w:val="-2"/>
                <w:sz w:val="21"/>
              </w:rPr>
              <w:t>INCOME</w:t>
            </w:r>
          </w:p>
        </w:tc>
        <w:tc>
          <w:tcPr>
            <w:tcW w:w="589" w:type="dxa"/>
            <w:tcBorders>
              <w:top w:val="single" w:sz="12" w:space="0" w:color="000000"/>
            </w:tcBorders>
          </w:tcPr>
          <w:p>
            <w:pPr>
              <w:pStyle w:val="TableParagraph"/>
              <w:rPr>
                <w:rFonts w:ascii="Times New Roman"/>
                <w:sz w:val="12"/>
              </w:rPr>
            </w:pPr>
          </w:p>
        </w:tc>
        <w:tc>
          <w:tcPr>
            <w:tcW w:w="1140" w:type="dxa"/>
            <w:tcBorders>
              <w:top w:val="single" w:sz="12" w:space="0" w:color="000000"/>
            </w:tcBorders>
          </w:tcPr>
          <w:p>
            <w:pPr>
              <w:pStyle w:val="TableParagraph"/>
              <w:rPr>
                <w:rFonts w:ascii="Times New Roman"/>
                <w:sz w:val="12"/>
              </w:rPr>
            </w:pPr>
          </w:p>
        </w:tc>
        <w:tc>
          <w:tcPr>
            <w:tcW w:w="993" w:type="dxa"/>
            <w:tcBorders>
              <w:top w:val="single" w:sz="12" w:space="0" w:color="000000"/>
            </w:tcBorders>
          </w:tcPr>
          <w:p>
            <w:pPr>
              <w:pStyle w:val="TableParagraph"/>
              <w:rPr>
                <w:rFonts w:ascii="Times New Roman"/>
                <w:sz w:val="12"/>
              </w:rPr>
            </w:pPr>
          </w:p>
        </w:tc>
        <w:tc>
          <w:tcPr>
            <w:tcW w:w="984" w:type="dxa"/>
            <w:tcBorders>
              <w:top w:val="single" w:sz="12" w:space="0" w:color="000000"/>
            </w:tcBorders>
          </w:tcPr>
          <w:p>
            <w:pPr>
              <w:pStyle w:val="TableParagraph"/>
              <w:rPr>
                <w:rFonts w:ascii="Times New Roman"/>
                <w:sz w:val="12"/>
              </w:rPr>
            </w:pPr>
          </w:p>
        </w:tc>
        <w:tc>
          <w:tcPr>
            <w:tcW w:w="840" w:type="dxa"/>
            <w:tcBorders>
              <w:top w:val="single" w:sz="12" w:space="0" w:color="000000"/>
            </w:tcBorders>
          </w:tcPr>
          <w:p>
            <w:pPr>
              <w:pStyle w:val="TableParagraph"/>
              <w:rPr>
                <w:rFonts w:ascii="Times New Roman"/>
                <w:sz w:val="12"/>
              </w:rPr>
            </w:pPr>
          </w:p>
        </w:tc>
      </w:tr>
      <w:tr>
        <w:trPr>
          <w:trHeight w:val="162" w:hRule="atLeast"/>
        </w:trPr>
        <w:tc>
          <w:tcPr>
            <w:tcW w:w="4680" w:type="dxa"/>
          </w:tcPr>
          <w:p>
            <w:pPr>
              <w:pStyle w:val="TableParagraph"/>
              <w:spacing w:line="130" w:lineRule="exact" w:before="12"/>
              <w:ind w:left="25"/>
              <w:rPr>
                <w:sz w:val="12"/>
              </w:rPr>
            </w:pPr>
            <w:r>
              <w:rPr>
                <w:sz w:val="12"/>
              </w:rPr>
              <w:t>for</w:t>
            </w:r>
            <w:r>
              <w:rPr>
                <w:spacing w:val="-5"/>
                <w:sz w:val="12"/>
              </w:rPr>
              <w:t> </w:t>
            </w:r>
            <w:r>
              <w:rPr>
                <w:sz w:val="12"/>
              </w:rPr>
              <w:t>the</w:t>
            </w:r>
            <w:r>
              <w:rPr>
                <w:spacing w:val="-3"/>
                <w:sz w:val="12"/>
              </w:rPr>
              <w:t> </w:t>
            </w:r>
            <w:r>
              <w:rPr>
                <w:sz w:val="12"/>
              </w:rPr>
              <w:t>year</w:t>
            </w:r>
            <w:r>
              <w:rPr>
                <w:spacing w:val="-4"/>
                <w:sz w:val="12"/>
              </w:rPr>
              <w:t> </w:t>
            </w:r>
            <w:r>
              <w:rPr>
                <w:sz w:val="12"/>
              </w:rPr>
              <w:t>ended</w:t>
            </w:r>
            <w:r>
              <w:rPr>
                <w:spacing w:val="-3"/>
                <w:sz w:val="12"/>
              </w:rPr>
              <w:t> </w:t>
            </w:r>
            <w:r>
              <w:rPr>
                <w:sz w:val="12"/>
              </w:rPr>
              <w:t>31</w:t>
            </w:r>
            <w:r>
              <w:rPr>
                <w:spacing w:val="-3"/>
                <w:sz w:val="12"/>
              </w:rPr>
              <w:t> </w:t>
            </w:r>
            <w:r>
              <w:rPr>
                <w:sz w:val="12"/>
              </w:rPr>
              <w:t>December</w:t>
            </w:r>
            <w:r>
              <w:rPr>
                <w:spacing w:val="-4"/>
                <w:sz w:val="12"/>
              </w:rPr>
              <w:t> 2020</w:t>
            </w:r>
          </w:p>
        </w:tc>
        <w:tc>
          <w:tcPr>
            <w:tcW w:w="589" w:type="dxa"/>
          </w:tcPr>
          <w:p>
            <w:pPr>
              <w:pStyle w:val="TableParagraph"/>
              <w:rPr>
                <w:rFonts w:ascii="Times New Roman"/>
                <w:sz w:val="10"/>
              </w:rPr>
            </w:pPr>
          </w:p>
        </w:tc>
        <w:tc>
          <w:tcPr>
            <w:tcW w:w="1140" w:type="dxa"/>
          </w:tcPr>
          <w:p>
            <w:pPr>
              <w:pStyle w:val="TableParagraph"/>
              <w:rPr>
                <w:rFonts w:ascii="Times New Roman"/>
                <w:sz w:val="10"/>
              </w:rPr>
            </w:pPr>
          </w:p>
        </w:tc>
        <w:tc>
          <w:tcPr>
            <w:tcW w:w="993" w:type="dxa"/>
          </w:tcPr>
          <w:p>
            <w:pPr>
              <w:pStyle w:val="TableParagraph"/>
              <w:rPr>
                <w:rFonts w:ascii="Times New Roman"/>
                <w:sz w:val="10"/>
              </w:rPr>
            </w:pPr>
          </w:p>
        </w:tc>
        <w:tc>
          <w:tcPr>
            <w:tcW w:w="984" w:type="dxa"/>
          </w:tcPr>
          <w:p>
            <w:pPr>
              <w:pStyle w:val="TableParagraph"/>
              <w:rPr>
                <w:rFonts w:ascii="Times New Roman"/>
                <w:sz w:val="10"/>
              </w:rPr>
            </w:pPr>
          </w:p>
        </w:tc>
        <w:tc>
          <w:tcPr>
            <w:tcW w:w="840" w:type="dxa"/>
          </w:tcPr>
          <w:p>
            <w:pPr>
              <w:pStyle w:val="TableParagraph"/>
              <w:rPr>
                <w:rFonts w:ascii="Times New Roman"/>
                <w:sz w:val="10"/>
              </w:rPr>
            </w:pPr>
          </w:p>
        </w:tc>
      </w:tr>
      <w:tr>
        <w:trPr>
          <w:trHeight w:val="191" w:hRule="atLeast"/>
        </w:trPr>
        <w:tc>
          <w:tcPr>
            <w:tcW w:w="9226" w:type="dxa"/>
            <w:gridSpan w:val="6"/>
          </w:tcPr>
          <w:p>
            <w:pPr>
              <w:pStyle w:val="TableParagraph"/>
              <w:tabs>
                <w:tab w:pos="7854" w:val="left" w:leader="none"/>
              </w:tabs>
              <w:spacing w:line="164" w:lineRule="exact" w:before="7"/>
              <w:ind w:left="5757"/>
              <w:rPr>
                <w:b/>
                <w:sz w:val="16"/>
              </w:rPr>
            </w:pPr>
            <w:r>
              <w:rPr>
                <w:b/>
                <w:spacing w:val="-2"/>
                <w:sz w:val="16"/>
              </w:rPr>
              <w:t>Consolidated</w:t>
            </w:r>
            <w:r>
              <w:rPr>
                <w:b/>
                <w:sz w:val="16"/>
              </w:rPr>
              <w:tab/>
            </w:r>
            <w:r>
              <w:rPr>
                <w:b/>
                <w:spacing w:val="-2"/>
                <w:sz w:val="16"/>
              </w:rPr>
              <w:t>University</w:t>
            </w:r>
          </w:p>
        </w:tc>
      </w:tr>
      <w:tr>
        <w:trPr>
          <w:trHeight w:val="176" w:hRule="atLeast"/>
        </w:trPr>
        <w:tc>
          <w:tcPr>
            <w:tcW w:w="4680" w:type="dxa"/>
          </w:tcPr>
          <w:p>
            <w:pPr>
              <w:pStyle w:val="TableParagraph"/>
              <w:rPr>
                <w:rFonts w:ascii="Times New Roman"/>
                <w:sz w:val="10"/>
              </w:rPr>
            </w:pPr>
          </w:p>
        </w:tc>
        <w:tc>
          <w:tcPr>
            <w:tcW w:w="589" w:type="dxa"/>
          </w:tcPr>
          <w:p>
            <w:pPr>
              <w:pStyle w:val="TableParagraph"/>
              <w:rPr>
                <w:rFonts w:ascii="Times New Roman"/>
                <w:sz w:val="10"/>
              </w:rPr>
            </w:pPr>
          </w:p>
        </w:tc>
        <w:tc>
          <w:tcPr>
            <w:tcW w:w="1140" w:type="dxa"/>
          </w:tcPr>
          <w:p>
            <w:pPr>
              <w:pStyle w:val="TableParagraph"/>
              <w:spacing w:line="138" w:lineRule="exact" w:before="18"/>
              <w:ind w:left="351"/>
              <w:rPr>
                <w:b/>
                <w:sz w:val="13"/>
              </w:rPr>
            </w:pPr>
            <w:r>
              <w:rPr>
                <w:b/>
                <w:spacing w:val="-4"/>
                <w:w w:val="105"/>
                <w:sz w:val="13"/>
              </w:rPr>
              <w:t>2020</w:t>
            </w:r>
          </w:p>
        </w:tc>
        <w:tc>
          <w:tcPr>
            <w:tcW w:w="993" w:type="dxa"/>
          </w:tcPr>
          <w:p>
            <w:pPr>
              <w:pStyle w:val="TableParagraph"/>
              <w:spacing w:line="138" w:lineRule="exact" w:before="18"/>
              <w:ind w:left="199"/>
              <w:rPr>
                <w:b/>
                <w:sz w:val="13"/>
              </w:rPr>
            </w:pPr>
            <w:r>
              <w:rPr>
                <w:b/>
                <w:spacing w:val="-4"/>
                <w:w w:val="105"/>
                <w:sz w:val="13"/>
              </w:rPr>
              <w:t>2019</w:t>
            </w:r>
          </w:p>
        </w:tc>
        <w:tc>
          <w:tcPr>
            <w:tcW w:w="984" w:type="dxa"/>
          </w:tcPr>
          <w:p>
            <w:pPr>
              <w:pStyle w:val="TableParagraph"/>
              <w:spacing w:line="138" w:lineRule="exact" w:before="18"/>
              <w:ind w:left="195"/>
              <w:rPr>
                <w:b/>
                <w:sz w:val="13"/>
              </w:rPr>
            </w:pPr>
            <w:r>
              <w:rPr>
                <w:b/>
                <w:spacing w:val="-4"/>
                <w:w w:val="105"/>
                <w:sz w:val="13"/>
              </w:rPr>
              <w:t>2020</w:t>
            </w:r>
          </w:p>
        </w:tc>
        <w:tc>
          <w:tcPr>
            <w:tcW w:w="840" w:type="dxa"/>
          </w:tcPr>
          <w:p>
            <w:pPr>
              <w:pStyle w:val="TableParagraph"/>
              <w:spacing w:line="138" w:lineRule="exact" w:before="18"/>
              <w:ind w:left="199"/>
              <w:rPr>
                <w:b/>
                <w:sz w:val="13"/>
              </w:rPr>
            </w:pPr>
            <w:r>
              <w:rPr>
                <w:b/>
                <w:spacing w:val="-4"/>
                <w:w w:val="105"/>
                <w:sz w:val="13"/>
              </w:rPr>
              <w:t>2019</w:t>
            </w:r>
          </w:p>
        </w:tc>
      </w:tr>
      <w:tr>
        <w:trPr>
          <w:trHeight w:val="160" w:hRule="atLeast"/>
        </w:trPr>
        <w:tc>
          <w:tcPr>
            <w:tcW w:w="4680" w:type="dxa"/>
            <w:tcBorders>
              <w:bottom w:val="single" w:sz="6" w:space="0" w:color="000000"/>
            </w:tcBorders>
          </w:tcPr>
          <w:p>
            <w:pPr>
              <w:pStyle w:val="TableParagraph"/>
              <w:rPr>
                <w:rFonts w:ascii="Times New Roman"/>
                <w:sz w:val="10"/>
              </w:rPr>
            </w:pPr>
          </w:p>
        </w:tc>
        <w:tc>
          <w:tcPr>
            <w:tcW w:w="589" w:type="dxa"/>
            <w:tcBorders>
              <w:bottom w:val="single" w:sz="6" w:space="0" w:color="000000"/>
            </w:tcBorders>
          </w:tcPr>
          <w:p>
            <w:pPr>
              <w:pStyle w:val="TableParagraph"/>
              <w:spacing w:line="133" w:lineRule="exact" w:before="7"/>
              <w:ind w:left="87"/>
              <w:jc w:val="center"/>
              <w:rPr>
                <w:b/>
                <w:sz w:val="13"/>
              </w:rPr>
            </w:pPr>
            <w:r>
              <w:rPr>
                <w:b/>
                <w:spacing w:val="-2"/>
                <w:w w:val="105"/>
                <w:sz w:val="13"/>
              </w:rPr>
              <w:t>Notes</w:t>
            </w:r>
          </w:p>
        </w:tc>
        <w:tc>
          <w:tcPr>
            <w:tcW w:w="1140" w:type="dxa"/>
            <w:tcBorders>
              <w:bottom w:val="single" w:sz="6" w:space="0" w:color="000000"/>
            </w:tcBorders>
          </w:tcPr>
          <w:p>
            <w:pPr>
              <w:pStyle w:val="TableParagraph"/>
              <w:spacing w:line="133" w:lineRule="exact" w:before="7"/>
              <w:ind w:left="335"/>
              <w:rPr>
                <w:b/>
                <w:sz w:val="13"/>
              </w:rPr>
            </w:pPr>
            <w:r>
              <w:rPr>
                <w:b/>
                <w:spacing w:val="-2"/>
                <w:w w:val="105"/>
                <w:sz w:val="13"/>
              </w:rPr>
              <w:t>$'000</w:t>
            </w:r>
          </w:p>
        </w:tc>
        <w:tc>
          <w:tcPr>
            <w:tcW w:w="993" w:type="dxa"/>
            <w:tcBorders>
              <w:bottom w:val="single" w:sz="6" w:space="0" w:color="000000"/>
            </w:tcBorders>
          </w:tcPr>
          <w:p>
            <w:pPr>
              <w:pStyle w:val="TableParagraph"/>
              <w:spacing w:line="133" w:lineRule="exact" w:before="7"/>
              <w:ind w:left="183"/>
              <w:rPr>
                <w:b/>
                <w:sz w:val="13"/>
              </w:rPr>
            </w:pPr>
            <w:r>
              <w:rPr>
                <w:b/>
                <w:spacing w:val="-2"/>
                <w:w w:val="105"/>
                <w:sz w:val="13"/>
              </w:rPr>
              <w:t>$'000</w:t>
            </w:r>
          </w:p>
        </w:tc>
        <w:tc>
          <w:tcPr>
            <w:tcW w:w="984" w:type="dxa"/>
            <w:tcBorders>
              <w:bottom w:val="single" w:sz="6" w:space="0" w:color="000000"/>
            </w:tcBorders>
          </w:tcPr>
          <w:p>
            <w:pPr>
              <w:pStyle w:val="TableParagraph"/>
              <w:spacing w:line="133" w:lineRule="exact" w:before="7"/>
              <w:ind w:left="178"/>
              <w:rPr>
                <w:b/>
                <w:sz w:val="13"/>
              </w:rPr>
            </w:pPr>
            <w:r>
              <w:rPr>
                <w:b/>
                <w:spacing w:val="-2"/>
                <w:w w:val="105"/>
                <w:sz w:val="13"/>
              </w:rPr>
              <w:t>$'000</w:t>
            </w:r>
          </w:p>
        </w:tc>
        <w:tc>
          <w:tcPr>
            <w:tcW w:w="840" w:type="dxa"/>
            <w:tcBorders>
              <w:bottom w:val="single" w:sz="6" w:space="0" w:color="000000"/>
            </w:tcBorders>
          </w:tcPr>
          <w:p>
            <w:pPr>
              <w:pStyle w:val="TableParagraph"/>
              <w:spacing w:line="133" w:lineRule="exact" w:before="7"/>
              <w:ind w:left="183"/>
              <w:rPr>
                <w:b/>
                <w:sz w:val="13"/>
              </w:rPr>
            </w:pPr>
            <w:r>
              <w:rPr>
                <w:b/>
                <w:spacing w:val="-2"/>
                <w:w w:val="105"/>
                <w:sz w:val="13"/>
              </w:rPr>
              <w:t>$'000</w:t>
            </w:r>
          </w:p>
        </w:tc>
      </w:tr>
      <w:tr>
        <w:trPr>
          <w:trHeight w:val="480" w:hRule="atLeast"/>
        </w:trPr>
        <w:tc>
          <w:tcPr>
            <w:tcW w:w="4680" w:type="dxa"/>
            <w:tcBorders>
              <w:top w:val="single" w:sz="6" w:space="0" w:color="000000"/>
            </w:tcBorders>
          </w:tcPr>
          <w:p>
            <w:pPr>
              <w:pStyle w:val="TableParagraph"/>
              <w:rPr>
                <w:b/>
                <w:sz w:val="13"/>
              </w:rPr>
            </w:pPr>
          </w:p>
          <w:p>
            <w:pPr>
              <w:pStyle w:val="TableParagraph"/>
              <w:spacing w:before="28"/>
              <w:rPr>
                <w:b/>
                <w:sz w:val="13"/>
              </w:rPr>
            </w:pPr>
          </w:p>
          <w:p>
            <w:pPr>
              <w:pStyle w:val="TableParagraph"/>
              <w:spacing w:line="133" w:lineRule="exact"/>
              <w:ind w:left="25"/>
              <w:rPr>
                <w:b/>
                <w:sz w:val="13"/>
              </w:rPr>
            </w:pPr>
            <w:r>
              <w:rPr>
                <w:b/>
                <w:spacing w:val="-2"/>
                <w:w w:val="105"/>
                <w:sz w:val="13"/>
              </w:rPr>
              <w:t>Net</w:t>
            </w:r>
            <w:r>
              <w:rPr>
                <w:b/>
                <w:spacing w:val="-1"/>
                <w:w w:val="105"/>
                <w:sz w:val="13"/>
              </w:rPr>
              <w:t> </w:t>
            </w:r>
            <w:r>
              <w:rPr>
                <w:b/>
                <w:spacing w:val="-2"/>
                <w:w w:val="105"/>
                <w:sz w:val="13"/>
              </w:rPr>
              <w:t>result</w:t>
            </w:r>
            <w:r>
              <w:rPr>
                <w:b/>
                <w:spacing w:val="-1"/>
                <w:w w:val="105"/>
                <w:sz w:val="13"/>
              </w:rPr>
              <w:t> </w:t>
            </w:r>
            <w:r>
              <w:rPr>
                <w:b/>
                <w:spacing w:val="-2"/>
                <w:w w:val="105"/>
                <w:sz w:val="13"/>
              </w:rPr>
              <w:t>attributable</w:t>
            </w:r>
            <w:r>
              <w:rPr>
                <w:b/>
                <w:spacing w:val="-1"/>
                <w:w w:val="105"/>
                <w:sz w:val="13"/>
              </w:rPr>
              <w:t> </w:t>
            </w:r>
            <w:r>
              <w:rPr>
                <w:b/>
                <w:spacing w:val="-2"/>
                <w:w w:val="105"/>
                <w:sz w:val="13"/>
              </w:rPr>
              <w:t>to</w:t>
            </w:r>
            <w:r>
              <w:rPr>
                <w:b/>
                <w:spacing w:val="-1"/>
                <w:w w:val="105"/>
                <w:sz w:val="13"/>
              </w:rPr>
              <w:t> </w:t>
            </w:r>
            <w:r>
              <w:rPr>
                <w:b/>
                <w:spacing w:val="-2"/>
                <w:w w:val="105"/>
                <w:sz w:val="13"/>
              </w:rPr>
              <w:t>members</w:t>
            </w:r>
          </w:p>
        </w:tc>
        <w:tc>
          <w:tcPr>
            <w:tcW w:w="589" w:type="dxa"/>
            <w:tcBorders>
              <w:top w:val="single" w:sz="6" w:space="0" w:color="000000"/>
            </w:tcBorders>
          </w:tcPr>
          <w:p>
            <w:pPr>
              <w:pStyle w:val="TableParagraph"/>
              <w:rPr>
                <w:rFonts w:ascii="Times New Roman"/>
                <w:sz w:val="12"/>
              </w:rPr>
            </w:pPr>
          </w:p>
        </w:tc>
        <w:tc>
          <w:tcPr>
            <w:tcW w:w="1140" w:type="dxa"/>
            <w:tcBorders>
              <w:top w:val="single" w:sz="6" w:space="0" w:color="000000"/>
              <w:bottom w:val="single" w:sz="6" w:space="0" w:color="000000"/>
            </w:tcBorders>
          </w:tcPr>
          <w:p>
            <w:pPr>
              <w:pStyle w:val="TableParagraph"/>
              <w:rPr>
                <w:b/>
                <w:sz w:val="13"/>
              </w:rPr>
            </w:pPr>
          </w:p>
          <w:p>
            <w:pPr>
              <w:pStyle w:val="TableParagraph"/>
              <w:spacing w:before="28"/>
              <w:rPr>
                <w:b/>
                <w:sz w:val="13"/>
              </w:rPr>
            </w:pPr>
          </w:p>
          <w:p>
            <w:pPr>
              <w:pStyle w:val="TableParagraph"/>
              <w:spacing w:line="133" w:lineRule="exact"/>
              <w:ind w:right="216"/>
              <w:jc w:val="right"/>
              <w:rPr>
                <w:b/>
                <w:sz w:val="13"/>
              </w:rPr>
            </w:pPr>
            <w:r>
              <w:rPr>
                <w:b/>
                <w:spacing w:val="-2"/>
                <w:w w:val="105"/>
                <w:sz w:val="13"/>
              </w:rPr>
              <w:t>55,107</w:t>
            </w:r>
          </w:p>
        </w:tc>
        <w:tc>
          <w:tcPr>
            <w:tcW w:w="993" w:type="dxa"/>
            <w:tcBorders>
              <w:top w:val="single" w:sz="6" w:space="0" w:color="000000"/>
              <w:bottom w:val="single" w:sz="6" w:space="0" w:color="000000"/>
            </w:tcBorders>
          </w:tcPr>
          <w:p>
            <w:pPr>
              <w:pStyle w:val="TableParagraph"/>
              <w:rPr>
                <w:b/>
                <w:sz w:val="13"/>
              </w:rPr>
            </w:pPr>
          </w:p>
          <w:p>
            <w:pPr>
              <w:pStyle w:val="TableParagraph"/>
              <w:spacing w:before="28"/>
              <w:rPr>
                <w:b/>
                <w:sz w:val="13"/>
              </w:rPr>
            </w:pPr>
          </w:p>
          <w:p>
            <w:pPr>
              <w:pStyle w:val="TableParagraph"/>
              <w:spacing w:line="133" w:lineRule="exact"/>
              <w:ind w:right="221"/>
              <w:jc w:val="right"/>
              <w:rPr>
                <w:b/>
                <w:sz w:val="13"/>
              </w:rPr>
            </w:pPr>
            <w:r>
              <w:rPr>
                <w:b/>
                <w:spacing w:val="-2"/>
                <w:w w:val="105"/>
                <w:sz w:val="13"/>
              </w:rPr>
              <w:t>120,981</w:t>
            </w:r>
          </w:p>
        </w:tc>
        <w:tc>
          <w:tcPr>
            <w:tcW w:w="984" w:type="dxa"/>
            <w:tcBorders>
              <w:top w:val="single" w:sz="6" w:space="0" w:color="000000"/>
              <w:bottom w:val="single" w:sz="6" w:space="0" w:color="000000"/>
            </w:tcBorders>
          </w:tcPr>
          <w:p>
            <w:pPr>
              <w:pStyle w:val="TableParagraph"/>
              <w:rPr>
                <w:b/>
                <w:sz w:val="13"/>
              </w:rPr>
            </w:pPr>
          </w:p>
          <w:p>
            <w:pPr>
              <w:pStyle w:val="TableParagraph"/>
              <w:spacing w:before="28"/>
              <w:rPr>
                <w:b/>
                <w:sz w:val="13"/>
              </w:rPr>
            </w:pPr>
          </w:p>
          <w:p>
            <w:pPr>
              <w:pStyle w:val="TableParagraph"/>
              <w:spacing w:line="133" w:lineRule="exact"/>
              <w:ind w:right="217"/>
              <w:jc w:val="right"/>
              <w:rPr>
                <w:b/>
                <w:sz w:val="13"/>
              </w:rPr>
            </w:pPr>
            <w:r>
              <w:rPr>
                <w:b/>
                <w:spacing w:val="-2"/>
                <w:w w:val="105"/>
                <w:sz w:val="13"/>
              </w:rPr>
              <w:t>58,089</w:t>
            </w:r>
          </w:p>
        </w:tc>
        <w:tc>
          <w:tcPr>
            <w:tcW w:w="840" w:type="dxa"/>
            <w:tcBorders>
              <w:top w:val="single" w:sz="6" w:space="0" w:color="000000"/>
              <w:bottom w:val="single" w:sz="6" w:space="0" w:color="000000"/>
            </w:tcBorders>
          </w:tcPr>
          <w:p>
            <w:pPr>
              <w:pStyle w:val="TableParagraph"/>
              <w:rPr>
                <w:b/>
                <w:sz w:val="13"/>
              </w:rPr>
            </w:pPr>
          </w:p>
          <w:p>
            <w:pPr>
              <w:pStyle w:val="TableParagraph"/>
              <w:spacing w:before="28"/>
              <w:rPr>
                <w:b/>
                <w:sz w:val="13"/>
              </w:rPr>
            </w:pPr>
          </w:p>
          <w:p>
            <w:pPr>
              <w:pStyle w:val="TableParagraph"/>
              <w:spacing w:line="133" w:lineRule="exact"/>
              <w:ind w:right="68"/>
              <w:jc w:val="right"/>
              <w:rPr>
                <w:b/>
                <w:sz w:val="13"/>
              </w:rPr>
            </w:pPr>
            <w:r>
              <w:rPr>
                <w:b/>
                <w:spacing w:val="-2"/>
                <w:w w:val="105"/>
                <w:sz w:val="13"/>
              </w:rPr>
              <w:t>111,682</w:t>
            </w:r>
          </w:p>
        </w:tc>
      </w:tr>
      <w:tr>
        <w:trPr>
          <w:trHeight w:val="320" w:hRule="atLeast"/>
        </w:trPr>
        <w:tc>
          <w:tcPr>
            <w:tcW w:w="4680" w:type="dxa"/>
          </w:tcPr>
          <w:p>
            <w:pPr>
              <w:pStyle w:val="TableParagraph"/>
              <w:spacing w:before="12"/>
              <w:rPr>
                <w:b/>
                <w:sz w:val="13"/>
              </w:rPr>
            </w:pPr>
          </w:p>
          <w:p>
            <w:pPr>
              <w:pStyle w:val="TableParagraph"/>
              <w:spacing w:line="138" w:lineRule="exact" w:before="1"/>
              <w:ind w:left="25"/>
              <w:rPr>
                <w:sz w:val="13"/>
              </w:rPr>
            </w:pPr>
            <w:r>
              <w:rPr>
                <w:w w:val="105"/>
                <w:sz w:val="13"/>
              </w:rPr>
              <w:t>Items</w:t>
            </w:r>
            <w:r>
              <w:rPr>
                <w:spacing w:val="-9"/>
                <w:w w:val="105"/>
                <w:sz w:val="13"/>
              </w:rPr>
              <w:t> </w:t>
            </w:r>
            <w:r>
              <w:rPr>
                <w:w w:val="105"/>
                <w:sz w:val="13"/>
              </w:rPr>
              <w:t>that</w:t>
            </w:r>
            <w:r>
              <w:rPr>
                <w:spacing w:val="-9"/>
                <w:w w:val="105"/>
                <w:sz w:val="13"/>
              </w:rPr>
              <w:t> </w:t>
            </w:r>
            <w:r>
              <w:rPr>
                <w:w w:val="105"/>
                <w:sz w:val="13"/>
              </w:rPr>
              <w:t>will</w:t>
            </w:r>
            <w:r>
              <w:rPr>
                <w:spacing w:val="-9"/>
                <w:w w:val="105"/>
                <w:sz w:val="13"/>
              </w:rPr>
              <w:t> </w:t>
            </w:r>
            <w:r>
              <w:rPr>
                <w:w w:val="105"/>
                <w:sz w:val="13"/>
              </w:rPr>
              <w:t>not</w:t>
            </w:r>
            <w:r>
              <w:rPr>
                <w:spacing w:val="-9"/>
                <w:w w:val="105"/>
                <w:sz w:val="13"/>
              </w:rPr>
              <w:t> </w:t>
            </w:r>
            <w:r>
              <w:rPr>
                <w:w w:val="105"/>
                <w:sz w:val="13"/>
              </w:rPr>
              <w:t>be</w:t>
            </w:r>
            <w:r>
              <w:rPr>
                <w:spacing w:val="-10"/>
                <w:w w:val="105"/>
                <w:sz w:val="13"/>
              </w:rPr>
              <w:t> </w:t>
            </w:r>
            <w:r>
              <w:rPr>
                <w:w w:val="105"/>
                <w:sz w:val="13"/>
              </w:rPr>
              <w:t>reclassified</w:t>
            </w:r>
            <w:r>
              <w:rPr>
                <w:spacing w:val="-9"/>
                <w:w w:val="105"/>
                <w:sz w:val="13"/>
              </w:rPr>
              <w:t> </w:t>
            </w:r>
            <w:r>
              <w:rPr>
                <w:w w:val="105"/>
                <w:sz w:val="13"/>
              </w:rPr>
              <w:t>to</w:t>
            </w:r>
            <w:r>
              <w:rPr>
                <w:spacing w:val="-9"/>
                <w:w w:val="105"/>
                <w:sz w:val="13"/>
              </w:rPr>
              <w:t> </w:t>
            </w:r>
            <w:r>
              <w:rPr>
                <w:w w:val="105"/>
                <w:sz w:val="13"/>
              </w:rPr>
              <w:t>profit</w:t>
            </w:r>
            <w:r>
              <w:rPr>
                <w:spacing w:val="-9"/>
                <w:w w:val="105"/>
                <w:sz w:val="13"/>
              </w:rPr>
              <w:t> </w:t>
            </w:r>
            <w:r>
              <w:rPr>
                <w:w w:val="105"/>
                <w:sz w:val="13"/>
              </w:rPr>
              <w:t>or</w:t>
            </w:r>
            <w:r>
              <w:rPr>
                <w:spacing w:val="-10"/>
                <w:w w:val="105"/>
                <w:sz w:val="13"/>
              </w:rPr>
              <w:t> </w:t>
            </w:r>
            <w:r>
              <w:rPr>
                <w:spacing w:val="-4"/>
                <w:w w:val="105"/>
                <w:sz w:val="13"/>
              </w:rPr>
              <w:t>loss</w:t>
            </w:r>
          </w:p>
        </w:tc>
        <w:tc>
          <w:tcPr>
            <w:tcW w:w="589" w:type="dxa"/>
          </w:tcPr>
          <w:p>
            <w:pPr>
              <w:pStyle w:val="TableParagraph"/>
              <w:rPr>
                <w:rFonts w:ascii="Times New Roman"/>
                <w:sz w:val="12"/>
              </w:rPr>
            </w:pPr>
          </w:p>
        </w:tc>
        <w:tc>
          <w:tcPr>
            <w:tcW w:w="1140" w:type="dxa"/>
            <w:tcBorders>
              <w:top w:val="single" w:sz="6" w:space="0" w:color="000000"/>
            </w:tcBorders>
          </w:tcPr>
          <w:p>
            <w:pPr>
              <w:pStyle w:val="TableParagraph"/>
              <w:rPr>
                <w:rFonts w:ascii="Times New Roman"/>
                <w:sz w:val="12"/>
              </w:rPr>
            </w:pPr>
          </w:p>
        </w:tc>
        <w:tc>
          <w:tcPr>
            <w:tcW w:w="993" w:type="dxa"/>
            <w:tcBorders>
              <w:top w:val="single" w:sz="6" w:space="0" w:color="000000"/>
            </w:tcBorders>
          </w:tcPr>
          <w:p>
            <w:pPr>
              <w:pStyle w:val="TableParagraph"/>
              <w:rPr>
                <w:rFonts w:ascii="Times New Roman"/>
                <w:sz w:val="12"/>
              </w:rPr>
            </w:pPr>
          </w:p>
        </w:tc>
        <w:tc>
          <w:tcPr>
            <w:tcW w:w="984" w:type="dxa"/>
            <w:tcBorders>
              <w:top w:val="single" w:sz="6" w:space="0" w:color="000000"/>
            </w:tcBorders>
          </w:tcPr>
          <w:p>
            <w:pPr>
              <w:pStyle w:val="TableParagraph"/>
              <w:rPr>
                <w:rFonts w:ascii="Times New Roman"/>
                <w:sz w:val="12"/>
              </w:rPr>
            </w:pPr>
          </w:p>
        </w:tc>
        <w:tc>
          <w:tcPr>
            <w:tcW w:w="840" w:type="dxa"/>
            <w:tcBorders>
              <w:top w:val="single" w:sz="6" w:space="0" w:color="000000"/>
            </w:tcBorders>
          </w:tcPr>
          <w:p>
            <w:pPr>
              <w:pStyle w:val="TableParagraph"/>
              <w:rPr>
                <w:rFonts w:ascii="Times New Roman"/>
                <w:sz w:val="12"/>
              </w:rPr>
            </w:pPr>
          </w:p>
        </w:tc>
      </w:tr>
      <w:tr>
        <w:trPr>
          <w:trHeight w:val="325" w:hRule="atLeast"/>
        </w:trPr>
        <w:tc>
          <w:tcPr>
            <w:tcW w:w="4680" w:type="dxa"/>
          </w:tcPr>
          <w:p>
            <w:pPr>
              <w:pStyle w:val="TableParagraph"/>
              <w:spacing w:before="7"/>
              <w:ind w:left="25"/>
              <w:rPr>
                <w:sz w:val="13"/>
              </w:rPr>
            </w:pPr>
            <w:r>
              <w:rPr>
                <w:sz w:val="13"/>
              </w:rPr>
              <w:t>Net</w:t>
            </w:r>
            <w:r>
              <w:rPr>
                <w:spacing w:val="8"/>
                <w:sz w:val="13"/>
              </w:rPr>
              <w:t> </w:t>
            </w:r>
            <w:r>
              <w:rPr>
                <w:sz w:val="13"/>
              </w:rPr>
              <w:t>actuarial</w:t>
            </w:r>
            <w:r>
              <w:rPr>
                <w:spacing w:val="9"/>
                <w:sz w:val="13"/>
              </w:rPr>
              <w:t> </w:t>
            </w:r>
            <w:r>
              <w:rPr>
                <w:sz w:val="13"/>
              </w:rPr>
              <w:t>gains/(losses)</w:t>
            </w:r>
            <w:r>
              <w:rPr>
                <w:spacing w:val="9"/>
                <w:sz w:val="13"/>
              </w:rPr>
              <w:t> </w:t>
            </w:r>
            <w:r>
              <w:rPr>
                <w:sz w:val="13"/>
              </w:rPr>
              <w:t>recognised</w:t>
            </w:r>
            <w:r>
              <w:rPr>
                <w:spacing w:val="8"/>
                <w:sz w:val="13"/>
              </w:rPr>
              <w:t> </w:t>
            </w:r>
            <w:r>
              <w:rPr>
                <w:sz w:val="13"/>
              </w:rPr>
              <w:t>in</w:t>
            </w:r>
            <w:r>
              <w:rPr>
                <w:spacing w:val="8"/>
                <w:sz w:val="13"/>
              </w:rPr>
              <w:t> </w:t>
            </w:r>
            <w:r>
              <w:rPr>
                <w:sz w:val="13"/>
              </w:rPr>
              <w:t>respect</w:t>
            </w:r>
            <w:r>
              <w:rPr>
                <w:spacing w:val="8"/>
                <w:sz w:val="13"/>
              </w:rPr>
              <w:t> </w:t>
            </w:r>
            <w:r>
              <w:rPr>
                <w:sz w:val="13"/>
              </w:rPr>
              <w:t>of</w:t>
            </w:r>
            <w:r>
              <w:rPr>
                <w:spacing w:val="9"/>
                <w:sz w:val="13"/>
              </w:rPr>
              <w:t> </w:t>
            </w:r>
            <w:r>
              <w:rPr>
                <w:sz w:val="13"/>
              </w:rPr>
              <w:t>Defined</w:t>
            </w:r>
            <w:r>
              <w:rPr>
                <w:spacing w:val="8"/>
                <w:sz w:val="13"/>
              </w:rPr>
              <w:t> </w:t>
            </w:r>
            <w:r>
              <w:rPr>
                <w:sz w:val="13"/>
              </w:rPr>
              <w:t>Benefit</w:t>
            </w:r>
            <w:r>
              <w:rPr>
                <w:spacing w:val="8"/>
                <w:sz w:val="13"/>
              </w:rPr>
              <w:t> </w:t>
            </w:r>
            <w:r>
              <w:rPr>
                <w:spacing w:val="-4"/>
                <w:sz w:val="13"/>
              </w:rPr>
              <w:t>Plan</w:t>
            </w:r>
          </w:p>
        </w:tc>
        <w:tc>
          <w:tcPr>
            <w:tcW w:w="589" w:type="dxa"/>
          </w:tcPr>
          <w:p>
            <w:pPr>
              <w:pStyle w:val="TableParagraph"/>
              <w:spacing w:before="7"/>
              <w:ind w:left="87"/>
              <w:jc w:val="center"/>
              <w:rPr>
                <w:sz w:val="13"/>
              </w:rPr>
            </w:pPr>
            <w:r>
              <w:rPr>
                <w:spacing w:val="-5"/>
                <w:w w:val="105"/>
                <w:sz w:val="13"/>
              </w:rPr>
              <w:t>3.3</w:t>
            </w:r>
          </w:p>
        </w:tc>
        <w:tc>
          <w:tcPr>
            <w:tcW w:w="1140" w:type="dxa"/>
            <w:tcBorders>
              <w:bottom w:val="single" w:sz="6" w:space="0" w:color="000000"/>
            </w:tcBorders>
          </w:tcPr>
          <w:p>
            <w:pPr>
              <w:pStyle w:val="TableParagraph"/>
              <w:spacing w:before="7"/>
              <w:ind w:right="172"/>
              <w:jc w:val="right"/>
              <w:rPr>
                <w:sz w:val="13"/>
              </w:rPr>
            </w:pPr>
            <w:r>
              <w:rPr>
                <w:spacing w:val="-4"/>
                <w:w w:val="105"/>
                <w:sz w:val="13"/>
              </w:rPr>
              <w:t>(58)</w:t>
            </w:r>
          </w:p>
        </w:tc>
        <w:tc>
          <w:tcPr>
            <w:tcW w:w="993" w:type="dxa"/>
            <w:tcBorders>
              <w:bottom w:val="single" w:sz="6" w:space="0" w:color="000000"/>
            </w:tcBorders>
          </w:tcPr>
          <w:p>
            <w:pPr>
              <w:pStyle w:val="TableParagraph"/>
              <w:spacing w:before="7"/>
              <w:ind w:right="177"/>
              <w:jc w:val="right"/>
              <w:rPr>
                <w:sz w:val="13"/>
              </w:rPr>
            </w:pPr>
            <w:r>
              <w:rPr>
                <w:spacing w:val="-2"/>
                <w:w w:val="105"/>
                <w:sz w:val="13"/>
              </w:rPr>
              <w:t>(230)</w:t>
            </w:r>
          </w:p>
        </w:tc>
        <w:tc>
          <w:tcPr>
            <w:tcW w:w="984" w:type="dxa"/>
            <w:tcBorders>
              <w:bottom w:val="single" w:sz="6" w:space="0" w:color="000000"/>
            </w:tcBorders>
          </w:tcPr>
          <w:p>
            <w:pPr>
              <w:pStyle w:val="TableParagraph"/>
              <w:spacing w:before="7"/>
              <w:ind w:right="172"/>
              <w:jc w:val="right"/>
              <w:rPr>
                <w:sz w:val="13"/>
              </w:rPr>
            </w:pPr>
            <w:r>
              <w:rPr>
                <w:spacing w:val="-4"/>
                <w:w w:val="105"/>
                <w:sz w:val="13"/>
              </w:rPr>
              <w:t>(58)</w:t>
            </w:r>
          </w:p>
        </w:tc>
        <w:tc>
          <w:tcPr>
            <w:tcW w:w="840" w:type="dxa"/>
            <w:tcBorders>
              <w:bottom w:val="single" w:sz="6" w:space="0" w:color="000000"/>
            </w:tcBorders>
          </w:tcPr>
          <w:p>
            <w:pPr>
              <w:pStyle w:val="TableParagraph"/>
              <w:spacing w:before="7"/>
              <w:ind w:right="24"/>
              <w:jc w:val="right"/>
              <w:rPr>
                <w:sz w:val="13"/>
              </w:rPr>
            </w:pPr>
            <w:r>
              <w:rPr>
                <w:spacing w:val="-2"/>
                <w:w w:val="105"/>
                <w:sz w:val="13"/>
              </w:rPr>
              <w:t>(230)</w:t>
            </w:r>
          </w:p>
        </w:tc>
      </w:tr>
      <w:tr>
        <w:trPr>
          <w:trHeight w:val="150" w:hRule="atLeast"/>
        </w:trPr>
        <w:tc>
          <w:tcPr>
            <w:tcW w:w="4680" w:type="dxa"/>
          </w:tcPr>
          <w:p>
            <w:pPr>
              <w:pStyle w:val="TableParagraph"/>
              <w:spacing w:line="130" w:lineRule="exact"/>
              <w:ind w:left="25"/>
              <w:rPr>
                <w:b/>
                <w:sz w:val="13"/>
              </w:rPr>
            </w:pPr>
            <w:r>
              <w:rPr>
                <w:b/>
                <w:sz w:val="13"/>
              </w:rPr>
              <w:t>Total</w:t>
            </w:r>
            <w:r>
              <w:rPr>
                <w:b/>
                <w:spacing w:val="9"/>
                <w:sz w:val="13"/>
              </w:rPr>
              <w:t> </w:t>
            </w:r>
            <w:r>
              <w:rPr>
                <w:b/>
                <w:sz w:val="13"/>
              </w:rPr>
              <w:t>other</w:t>
            </w:r>
            <w:r>
              <w:rPr>
                <w:b/>
                <w:spacing w:val="11"/>
                <w:sz w:val="13"/>
              </w:rPr>
              <w:t> </w:t>
            </w:r>
            <w:r>
              <w:rPr>
                <w:b/>
                <w:sz w:val="13"/>
              </w:rPr>
              <w:t>comprehensive</w:t>
            </w:r>
            <w:r>
              <w:rPr>
                <w:b/>
                <w:spacing w:val="9"/>
                <w:sz w:val="13"/>
              </w:rPr>
              <w:t> </w:t>
            </w:r>
            <w:r>
              <w:rPr>
                <w:b/>
                <w:spacing w:val="-2"/>
                <w:sz w:val="13"/>
              </w:rPr>
              <w:t>income</w:t>
            </w:r>
          </w:p>
        </w:tc>
        <w:tc>
          <w:tcPr>
            <w:tcW w:w="589" w:type="dxa"/>
          </w:tcPr>
          <w:p>
            <w:pPr>
              <w:pStyle w:val="TableParagraph"/>
              <w:rPr>
                <w:rFonts w:ascii="Times New Roman"/>
                <w:sz w:val="8"/>
              </w:rPr>
            </w:pPr>
          </w:p>
        </w:tc>
        <w:tc>
          <w:tcPr>
            <w:tcW w:w="1140" w:type="dxa"/>
            <w:tcBorders>
              <w:top w:val="single" w:sz="6" w:space="0" w:color="000000"/>
              <w:bottom w:val="single" w:sz="6" w:space="0" w:color="000000"/>
            </w:tcBorders>
          </w:tcPr>
          <w:p>
            <w:pPr>
              <w:pStyle w:val="TableParagraph"/>
              <w:spacing w:line="130" w:lineRule="exact"/>
              <w:ind w:right="172"/>
              <w:jc w:val="right"/>
              <w:rPr>
                <w:b/>
                <w:sz w:val="13"/>
              </w:rPr>
            </w:pPr>
            <w:r>
              <w:rPr>
                <w:b/>
                <w:spacing w:val="-4"/>
                <w:w w:val="105"/>
                <w:sz w:val="13"/>
              </w:rPr>
              <w:t>(58)</w:t>
            </w:r>
          </w:p>
        </w:tc>
        <w:tc>
          <w:tcPr>
            <w:tcW w:w="993" w:type="dxa"/>
            <w:tcBorders>
              <w:top w:val="single" w:sz="6" w:space="0" w:color="000000"/>
              <w:bottom w:val="single" w:sz="6" w:space="0" w:color="000000"/>
            </w:tcBorders>
          </w:tcPr>
          <w:p>
            <w:pPr>
              <w:pStyle w:val="TableParagraph"/>
              <w:spacing w:line="130" w:lineRule="exact"/>
              <w:ind w:right="178"/>
              <w:jc w:val="right"/>
              <w:rPr>
                <w:b/>
                <w:sz w:val="13"/>
              </w:rPr>
            </w:pPr>
            <w:r>
              <w:rPr>
                <w:b/>
                <w:spacing w:val="-2"/>
                <w:w w:val="105"/>
                <w:sz w:val="13"/>
              </w:rPr>
              <w:t>(230)</w:t>
            </w:r>
          </w:p>
        </w:tc>
        <w:tc>
          <w:tcPr>
            <w:tcW w:w="984" w:type="dxa"/>
            <w:tcBorders>
              <w:top w:val="single" w:sz="6" w:space="0" w:color="000000"/>
              <w:bottom w:val="single" w:sz="6" w:space="0" w:color="000000"/>
            </w:tcBorders>
          </w:tcPr>
          <w:p>
            <w:pPr>
              <w:pStyle w:val="TableParagraph"/>
              <w:spacing w:line="130" w:lineRule="exact"/>
              <w:ind w:right="172"/>
              <w:jc w:val="right"/>
              <w:rPr>
                <w:b/>
                <w:sz w:val="13"/>
              </w:rPr>
            </w:pPr>
            <w:r>
              <w:rPr>
                <w:b/>
                <w:spacing w:val="-4"/>
                <w:w w:val="105"/>
                <w:sz w:val="13"/>
              </w:rPr>
              <w:t>(58)</w:t>
            </w:r>
          </w:p>
        </w:tc>
        <w:tc>
          <w:tcPr>
            <w:tcW w:w="840" w:type="dxa"/>
            <w:tcBorders>
              <w:top w:val="single" w:sz="6" w:space="0" w:color="000000"/>
              <w:bottom w:val="single" w:sz="6" w:space="0" w:color="000000"/>
            </w:tcBorders>
          </w:tcPr>
          <w:p>
            <w:pPr>
              <w:pStyle w:val="TableParagraph"/>
              <w:spacing w:line="130" w:lineRule="exact"/>
              <w:ind w:right="24"/>
              <w:jc w:val="right"/>
              <w:rPr>
                <w:b/>
                <w:sz w:val="13"/>
              </w:rPr>
            </w:pPr>
            <w:r>
              <w:rPr>
                <w:b/>
                <w:spacing w:val="-2"/>
                <w:w w:val="105"/>
                <w:sz w:val="13"/>
              </w:rPr>
              <w:t>(230)</w:t>
            </w:r>
          </w:p>
        </w:tc>
      </w:tr>
      <w:tr>
        <w:trPr>
          <w:trHeight w:val="318" w:hRule="atLeast"/>
        </w:trPr>
        <w:tc>
          <w:tcPr>
            <w:tcW w:w="4680" w:type="dxa"/>
          </w:tcPr>
          <w:p>
            <w:pPr>
              <w:pStyle w:val="TableParagraph"/>
              <w:spacing w:before="10"/>
              <w:rPr>
                <w:b/>
                <w:sz w:val="13"/>
              </w:rPr>
            </w:pPr>
          </w:p>
          <w:p>
            <w:pPr>
              <w:pStyle w:val="TableParagraph"/>
              <w:spacing w:line="139" w:lineRule="exact"/>
              <w:ind w:left="25"/>
              <w:rPr>
                <w:sz w:val="13"/>
              </w:rPr>
            </w:pPr>
            <w:r>
              <w:rPr>
                <w:sz w:val="13"/>
              </w:rPr>
              <w:t>Total</w:t>
            </w:r>
            <w:r>
              <w:rPr>
                <w:spacing w:val="12"/>
                <w:sz w:val="13"/>
              </w:rPr>
              <w:t> </w:t>
            </w:r>
            <w:r>
              <w:rPr>
                <w:sz w:val="13"/>
              </w:rPr>
              <w:t>comprehensive</w:t>
            </w:r>
            <w:r>
              <w:rPr>
                <w:spacing w:val="11"/>
                <w:sz w:val="13"/>
              </w:rPr>
              <w:t> </w:t>
            </w:r>
            <w:r>
              <w:rPr>
                <w:sz w:val="13"/>
              </w:rPr>
              <w:t>income</w:t>
            </w:r>
            <w:r>
              <w:rPr>
                <w:spacing w:val="10"/>
                <w:sz w:val="13"/>
              </w:rPr>
              <w:t> </w:t>
            </w:r>
            <w:r>
              <w:rPr>
                <w:sz w:val="13"/>
              </w:rPr>
              <w:t>from</w:t>
            </w:r>
            <w:r>
              <w:rPr>
                <w:spacing w:val="14"/>
                <w:sz w:val="13"/>
              </w:rPr>
              <w:t> </w:t>
            </w:r>
            <w:r>
              <w:rPr>
                <w:sz w:val="13"/>
              </w:rPr>
              <w:t>continuing</w:t>
            </w:r>
            <w:r>
              <w:rPr>
                <w:spacing w:val="11"/>
                <w:sz w:val="13"/>
              </w:rPr>
              <w:t> </w:t>
            </w:r>
            <w:r>
              <w:rPr>
                <w:spacing w:val="-2"/>
                <w:sz w:val="13"/>
              </w:rPr>
              <w:t>operation</w:t>
            </w:r>
          </w:p>
        </w:tc>
        <w:tc>
          <w:tcPr>
            <w:tcW w:w="589" w:type="dxa"/>
          </w:tcPr>
          <w:p>
            <w:pPr>
              <w:pStyle w:val="TableParagraph"/>
              <w:rPr>
                <w:rFonts w:ascii="Times New Roman"/>
                <w:sz w:val="12"/>
              </w:rPr>
            </w:pPr>
          </w:p>
        </w:tc>
        <w:tc>
          <w:tcPr>
            <w:tcW w:w="1140" w:type="dxa"/>
            <w:tcBorders>
              <w:top w:val="single" w:sz="6" w:space="0" w:color="000000"/>
            </w:tcBorders>
          </w:tcPr>
          <w:p>
            <w:pPr>
              <w:pStyle w:val="TableParagraph"/>
              <w:spacing w:before="12"/>
              <w:rPr>
                <w:b/>
                <w:sz w:val="13"/>
              </w:rPr>
            </w:pPr>
          </w:p>
          <w:p>
            <w:pPr>
              <w:pStyle w:val="TableParagraph"/>
              <w:spacing w:line="137" w:lineRule="exact" w:before="1"/>
              <w:ind w:right="216"/>
              <w:jc w:val="right"/>
              <w:rPr>
                <w:sz w:val="13"/>
              </w:rPr>
            </w:pPr>
            <w:r>
              <w:rPr>
                <w:spacing w:val="-2"/>
                <w:w w:val="105"/>
                <w:sz w:val="13"/>
              </w:rPr>
              <w:t>55,049</w:t>
            </w:r>
          </w:p>
        </w:tc>
        <w:tc>
          <w:tcPr>
            <w:tcW w:w="993" w:type="dxa"/>
            <w:tcBorders>
              <w:top w:val="single" w:sz="6" w:space="0" w:color="000000"/>
            </w:tcBorders>
          </w:tcPr>
          <w:p>
            <w:pPr>
              <w:pStyle w:val="TableParagraph"/>
              <w:spacing w:before="12"/>
              <w:rPr>
                <w:b/>
                <w:sz w:val="13"/>
              </w:rPr>
            </w:pPr>
          </w:p>
          <w:p>
            <w:pPr>
              <w:pStyle w:val="TableParagraph"/>
              <w:spacing w:line="137" w:lineRule="exact" w:before="1"/>
              <w:ind w:right="221"/>
              <w:jc w:val="right"/>
              <w:rPr>
                <w:sz w:val="13"/>
              </w:rPr>
            </w:pPr>
            <w:r>
              <w:rPr>
                <w:spacing w:val="-2"/>
                <w:w w:val="105"/>
                <w:sz w:val="13"/>
              </w:rPr>
              <w:t>120,751</w:t>
            </w:r>
          </w:p>
        </w:tc>
        <w:tc>
          <w:tcPr>
            <w:tcW w:w="984" w:type="dxa"/>
            <w:tcBorders>
              <w:top w:val="single" w:sz="6" w:space="0" w:color="000000"/>
            </w:tcBorders>
          </w:tcPr>
          <w:p>
            <w:pPr>
              <w:pStyle w:val="TableParagraph"/>
              <w:spacing w:before="12"/>
              <w:rPr>
                <w:b/>
                <w:sz w:val="13"/>
              </w:rPr>
            </w:pPr>
          </w:p>
          <w:p>
            <w:pPr>
              <w:pStyle w:val="TableParagraph"/>
              <w:spacing w:line="137" w:lineRule="exact" w:before="1"/>
              <w:ind w:right="217"/>
              <w:jc w:val="right"/>
              <w:rPr>
                <w:sz w:val="13"/>
              </w:rPr>
            </w:pPr>
            <w:r>
              <w:rPr>
                <w:spacing w:val="-2"/>
                <w:w w:val="105"/>
                <w:sz w:val="13"/>
              </w:rPr>
              <w:t>58,031</w:t>
            </w:r>
          </w:p>
        </w:tc>
        <w:tc>
          <w:tcPr>
            <w:tcW w:w="840" w:type="dxa"/>
            <w:tcBorders>
              <w:top w:val="single" w:sz="6" w:space="0" w:color="000000"/>
            </w:tcBorders>
          </w:tcPr>
          <w:p>
            <w:pPr>
              <w:pStyle w:val="TableParagraph"/>
              <w:spacing w:before="12"/>
              <w:rPr>
                <w:b/>
                <w:sz w:val="13"/>
              </w:rPr>
            </w:pPr>
          </w:p>
          <w:p>
            <w:pPr>
              <w:pStyle w:val="TableParagraph"/>
              <w:spacing w:line="137" w:lineRule="exact" w:before="1"/>
              <w:ind w:right="68"/>
              <w:jc w:val="right"/>
              <w:rPr>
                <w:sz w:val="13"/>
              </w:rPr>
            </w:pPr>
            <w:r>
              <w:rPr>
                <w:spacing w:val="-2"/>
                <w:w w:val="105"/>
                <w:sz w:val="13"/>
              </w:rPr>
              <w:t>115,192</w:t>
            </w:r>
          </w:p>
        </w:tc>
      </w:tr>
      <w:tr>
        <w:trPr>
          <w:trHeight w:val="152" w:hRule="atLeast"/>
        </w:trPr>
        <w:tc>
          <w:tcPr>
            <w:tcW w:w="4680" w:type="dxa"/>
          </w:tcPr>
          <w:p>
            <w:pPr>
              <w:pStyle w:val="TableParagraph"/>
              <w:spacing w:line="126" w:lineRule="exact" w:before="6"/>
              <w:ind w:left="25"/>
              <w:rPr>
                <w:sz w:val="13"/>
              </w:rPr>
            </w:pPr>
            <w:r>
              <w:rPr>
                <w:sz w:val="13"/>
              </w:rPr>
              <w:t>Total</w:t>
            </w:r>
            <w:r>
              <w:rPr>
                <w:spacing w:val="12"/>
                <w:sz w:val="13"/>
              </w:rPr>
              <w:t> </w:t>
            </w:r>
            <w:r>
              <w:rPr>
                <w:sz w:val="13"/>
              </w:rPr>
              <w:t>comprehensive</w:t>
            </w:r>
            <w:r>
              <w:rPr>
                <w:spacing w:val="12"/>
                <w:sz w:val="13"/>
              </w:rPr>
              <w:t> </w:t>
            </w:r>
            <w:r>
              <w:rPr>
                <w:sz w:val="13"/>
              </w:rPr>
              <w:t>income</w:t>
            </w:r>
            <w:r>
              <w:rPr>
                <w:spacing w:val="11"/>
                <w:sz w:val="13"/>
              </w:rPr>
              <w:t> </w:t>
            </w:r>
            <w:r>
              <w:rPr>
                <w:sz w:val="13"/>
              </w:rPr>
              <w:t>from</w:t>
            </w:r>
            <w:r>
              <w:rPr>
                <w:spacing w:val="14"/>
                <w:sz w:val="13"/>
              </w:rPr>
              <w:t> </w:t>
            </w:r>
            <w:r>
              <w:rPr>
                <w:sz w:val="13"/>
              </w:rPr>
              <w:t>discontinued</w:t>
            </w:r>
            <w:r>
              <w:rPr>
                <w:spacing w:val="12"/>
                <w:sz w:val="13"/>
              </w:rPr>
              <w:t> </w:t>
            </w:r>
            <w:r>
              <w:rPr>
                <w:spacing w:val="-2"/>
                <w:sz w:val="13"/>
              </w:rPr>
              <w:t>operation</w:t>
            </w:r>
          </w:p>
        </w:tc>
        <w:tc>
          <w:tcPr>
            <w:tcW w:w="589" w:type="dxa"/>
          </w:tcPr>
          <w:p>
            <w:pPr>
              <w:pStyle w:val="TableParagraph"/>
              <w:spacing w:line="124" w:lineRule="exact" w:before="8"/>
              <w:ind w:left="87"/>
              <w:jc w:val="center"/>
              <w:rPr>
                <w:sz w:val="13"/>
              </w:rPr>
            </w:pPr>
            <w:r>
              <w:rPr>
                <w:spacing w:val="-5"/>
                <w:w w:val="105"/>
                <w:sz w:val="13"/>
              </w:rPr>
              <w:t>7.5</w:t>
            </w:r>
          </w:p>
        </w:tc>
        <w:tc>
          <w:tcPr>
            <w:tcW w:w="1140" w:type="dxa"/>
            <w:tcBorders>
              <w:bottom w:val="single" w:sz="6" w:space="0" w:color="000000"/>
            </w:tcBorders>
          </w:tcPr>
          <w:p>
            <w:pPr>
              <w:pStyle w:val="TableParagraph"/>
              <w:spacing w:line="133" w:lineRule="exact" w:before="8"/>
              <w:ind w:right="172"/>
              <w:jc w:val="right"/>
              <w:rPr>
                <w:sz w:val="13"/>
              </w:rPr>
            </w:pPr>
            <w:r>
              <w:rPr>
                <w:spacing w:val="-10"/>
                <w:w w:val="105"/>
                <w:sz w:val="13"/>
              </w:rPr>
              <w:t>-</w:t>
            </w:r>
          </w:p>
        </w:tc>
        <w:tc>
          <w:tcPr>
            <w:tcW w:w="993" w:type="dxa"/>
            <w:tcBorders>
              <w:bottom w:val="single" w:sz="6" w:space="0" w:color="000000"/>
            </w:tcBorders>
          </w:tcPr>
          <w:p>
            <w:pPr>
              <w:pStyle w:val="TableParagraph"/>
              <w:spacing w:line="133" w:lineRule="exact" w:before="8"/>
              <w:ind w:right="213"/>
              <w:jc w:val="right"/>
              <w:rPr>
                <w:sz w:val="13"/>
              </w:rPr>
            </w:pPr>
            <w:r>
              <w:rPr>
                <w:spacing w:val="-10"/>
                <w:w w:val="105"/>
                <w:sz w:val="13"/>
              </w:rPr>
              <w:t>-</w:t>
            </w:r>
          </w:p>
        </w:tc>
        <w:tc>
          <w:tcPr>
            <w:tcW w:w="984" w:type="dxa"/>
            <w:tcBorders>
              <w:bottom w:val="single" w:sz="6" w:space="0" w:color="000000"/>
            </w:tcBorders>
          </w:tcPr>
          <w:p>
            <w:pPr>
              <w:pStyle w:val="TableParagraph"/>
              <w:spacing w:line="133" w:lineRule="exact" w:before="8"/>
              <w:ind w:right="172"/>
              <w:jc w:val="right"/>
              <w:rPr>
                <w:sz w:val="13"/>
              </w:rPr>
            </w:pPr>
            <w:r>
              <w:rPr>
                <w:spacing w:val="-10"/>
                <w:w w:val="105"/>
                <w:sz w:val="13"/>
              </w:rPr>
              <w:t>-</w:t>
            </w:r>
          </w:p>
        </w:tc>
        <w:tc>
          <w:tcPr>
            <w:tcW w:w="840" w:type="dxa"/>
            <w:tcBorders>
              <w:bottom w:val="single" w:sz="6" w:space="0" w:color="000000"/>
            </w:tcBorders>
          </w:tcPr>
          <w:p>
            <w:pPr>
              <w:pStyle w:val="TableParagraph"/>
              <w:spacing w:line="133" w:lineRule="exact" w:before="8"/>
              <w:ind w:right="24"/>
              <w:jc w:val="right"/>
              <w:rPr>
                <w:sz w:val="13"/>
              </w:rPr>
            </w:pPr>
            <w:r>
              <w:rPr>
                <w:spacing w:val="-2"/>
                <w:w w:val="105"/>
                <w:sz w:val="13"/>
              </w:rPr>
              <w:t>(3,740)</w:t>
            </w:r>
          </w:p>
        </w:tc>
      </w:tr>
      <w:tr>
        <w:trPr>
          <w:trHeight w:val="160" w:hRule="atLeast"/>
        </w:trPr>
        <w:tc>
          <w:tcPr>
            <w:tcW w:w="4680" w:type="dxa"/>
            <w:tcBorders>
              <w:bottom w:val="single" w:sz="12" w:space="0" w:color="000000"/>
            </w:tcBorders>
          </w:tcPr>
          <w:p>
            <w:pPr>
              <w:pStyle w:val="TableParagraph"/>
              <w:spacing w:line="140" w:lineRule="exact"/>
              <w:ind w:left="25"/>
              <w:rPr>
                <w:b/>
                <w:sz w:val="13"/>
              </w:rPr>
            </w:pPr>
            <w:r>
              <w:rPr>
                <w:b/>
                <w:sz w:val="13"/>
              </w:rPr>
              <w:t>Total</w:t>
            </w:r>
            <w:r>
              <w:rPr>
                <w:b/>
                <w:spacing w:val="9"/>
                <w:sz w:val="13"/>
              </w:rPr>
              <w:t> </w:t>
            </w:r>
            <w:r>
              <w:rPr>
                <w:b/>
                <w:sz w:val="13"/>
              </w:rPr>
              <w:t>comprehensive</w:t>
            </w:r>
            <w:r>
              <w:rPr>
                <w:b/>
                <w:spacing w:val="10"/>
                <w:sz w:val="13"/>
              </w:rPr>
              <w:t> </w:t>
            </w:r>
            <w:r>
              <w:rPr>
                <w:b/>
                <w:sz w:val="13"/>
              </w:rPr>
              <w:t>income</w:t>
            </w:r>
            <w:r>
              <w:rPr>
                <w:b/>
                <w:spacing w:val="9"/>
                <w:sz w:val="13"/>
              </w:rPr>
              <w:t> </w:t>
            </w:r>
            <w:r>
              <w:rPr>
                <w:b/>
                <w:sz w:val="13"/>
              </w:rPr>
              <w:t>attributable</w:t>
            </w:r>
            <w:r>
              <w:rPr>
                <w:b/>
                <w:spacing w:val="10"/>
                <w:sz w:val="13"/>
              </w:rPr>
              <w:t> </w:t>
            </w:r>
            <w:r>
              <w:rPr>
                <w:b/>
                <w:sz w:val="13"/>
              </w:rPr>
              <w:t>to</w:t>
            </w:r>
            <w:r>
              <w:rPr>
                <w:b/>
                <w:spacing w:val="9"/>
                <w:sz w:val="13"/>
              </w:rPr>
              <w:t> </w:t>
            </w:r>
            <w:r>
              <w:rPr>
                <w:b/>
                <w:spacing w:val="-2"/>
                <w:sz w:val="13"/>
              </w:rPr>
              <w:t>members</w:t>
            </w:r>
          </w:p>
        </w:tc>
        <w:tc>
          <w:tcPr>
            <w:tcW w:w="589" w:type="dxa"/>
            <w:tcBorders>
              <w:bottom w:val="single" w:sz="12" w:space="0" w:color="000000"/>
            </w:tcBorders>
          </w:tcPr>
          <w:p>
            <w:pPr>
              <w:pStyle w:val="TableParagraph"/>
              <w:rPr>
                <w:rFonts w:ascii="Times New Roman"/>
                <w:sz w:val="10"/>
              </w:rPr>
            </w:pPr>
          </w:p>
        </w:tc>
        <w:tc>
          <w:tcPr>
            <w:tcW w:w="1140" w:type="dxa"/>
            <w:tcBorders>
              <w:top w:val="single" w:sz="6" w:space="0" w:color="000000"/>
              <w:bottom w:val="single" w:sz="12" w:space="0" w:color="000000"/>
            </w:tcBorders>
          </w:tcPr>
          <w:p>
            <w:pPr>
              <w:pStyle w:val="TableParagraph"/>
              <w:spacing w:line="131" w:lineRule="exact"/>
              <w:ind w:right="216"/>
              <w:jc w:val="right"/>
              <w:rPr>
                <w:b/>
                <w:sz w:val="13"/>
              </w:rPr>
            </w:pPr>
            <w:r>
              <w:rPr>
                <w:b/>
                <w:spacing w:val="-2"/>
                <w:w w:val="105"/>
                <w:sz w:val="13"/>
              </w:rPr>
              <w:t>55,049</w:t>
            </w:r>
          </w:p>
        </w:tc>
        <w:tc>
          <w:tcPr>
            <w:tcW w:w="993" w:type="dxa"/>
            <w:tcBorders>
              <w:top w:val="single" w:sz="6" w:space="0" w:color="000000"/>
              <w:bottom w:val="single" w:sz="12" w:space="0" w:color="000000"/>
            </w:tcBorders>
          </w:tcPr>
          <w:p>
            <w:pPr>
              <w:pStyle w:val="TableParagraph"/>
              <w:spacing w:line="131" w:lineRule="exact"/>
              <w:ind w:right="221"/>
              <w:jc w:val="right"/>
              <w:rPr>
                <w:b/>
                <w:sz w:val="13"/>
              </w:rPr>
            </w:pPr>
            <w:r>
              <w:rPr>
                <w:b/>
                <w:spacing w:val="-2"/>
                <w:w w:val="105"/>
                <w:sz w:val="13"/>
              </w:rPr>
              <w:t>120,751</w:t>
            </w:r>
          </w:p>
        </w:tc>
        <w:tc>
          <w:tcPr>
            <w:tcW w:w="984" w:type="dxa"/>
            <w:tcBorders>
              <w:top w:val="single" w:sz="6" w:space="0" w:color="000000"/>
              <w:bottom w:val="single" w:sz="12" w:space="0" w:color="000000"/>
            </w:tcBorders>
          </w:tcPr>
          <w:p>
            <w:pPr>
              <w:pStyle w:val="TableParagraph"/>
              <w:spacing w:line="131" w:lineRule="exact"/>
              <w:ind w:right="217"/>
              <w:jc w:val="right"/>
              <w:rPr>
                <w:b/>
                <w:sz w:val="13"/>
              </w:rPr>
            </w:pPr>
            <w:r>
              <w:rPr>
                <w:b/>
                <w:spacing w:val="-2"/>
                <w:w w:val="105"/>
                <w:sz w:val="13"/>
              </w:rPr>
              <w:t>58,031</w:t>
            </w:r>
          </w:p>
        </w:tc>
        <w:tc>
          <w:tcPr>
            <w:tcW w:w="840" w:type="dxa"/>
            <w:tcBorders>
              <w:top w:val="single" w:sz="6" w:space="0" w:color="000000"/>
              <w:bottom w:val="single" w:sz="12" w:space="0" w:color="000000"/>
            </w:tcBorders>
          </w:tcPr>
          <w:p>
            <w:pPr>
              <w:pStyle w:val="TableParagraph"/>
              <w:spacing w:line="131" w:lineRule="exact"/>
              <w:ind w:right="68"/>
              <w:jc w:val="right"/>
              <w:rPr>
                <w:b/>
                <w:sz w:val="13"/>
              </w:rPr>
            </w:pPr>
            <w:r>
              <w:rPr>
                <w:b/>
                <w:spacing w:val="-2"/>
                <w:w w:val="105"/>
                <w:sz w:val="13"/>
              </w:rPr>
              <w:t>111,452</w:t>
            </w:r>
          </w:p>
        </w:tc>
      </w:tr>
    </w:tbl>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15"/>
        <w:rPr>
          <w:b/>
          <w:sz w:val="13"/>
        </w:rPr>
      </w:pPr>
    </w:p>
    <w:p>
      <w:pPr>
        <w:spacing w:before="0"/>
        <w:ind w:left="2510" w:right="0" w:firstLine="0"/>
        <w:jc w:val="left"/>
        <w:rPr>
          <w:sz w:val="13"/>
        </w:rPr>
      </w:pPr>
      <w:r>
        <w:rPr/>
        <mc:AlternateContent>
          <mc:Choice Requires="wps">
            <w:drawing>
              <wp:anchor distT="0" distB="0" distL="0" distR="0" allowOverlap="1" layoutInCell="1" locked="0" behindDoc="0" simplePos="0" relativeHeight="15866880">
                <wp:simplePos x="0" y="0"/>
                <wp:positionH relativeFrom="page">
                  <wp:posOffset>7111289</wp:posOffset>
                </wp:positionH>
                <wp:positionV relativeFrom="paragraph">
                  <wp:posOffset>-1950207</wp:posOffset>
                </wp:positionV>
                <wp:extent cx="177800" cy="1945005"/>
                <wp:effectExtent l="0" t="0" r="0" b="0"/>
                <wp:wrapNone/>
                <wp:docPr id="875" name="Textbox 875"/>
                <wp:cNvGraphicFramePr>
                  <a:graphicFrameLocks/>
                </wp:cNvGraphicFramePr>
                <a:graphic>
                  <a:graphicData uri="http://schemas.microsoft.com/office/word/2010/wordprocessingShape">
                    <wps:wsp>
                      <wps:cNvPr id="875" name="Textbox 875"/>
                      <wps:cNvSpPr txBox="1"/>
                      <wps:spPr>
                        <a:xfrm>
                          <a:off x="0" y="0"/>
                          <a:ext cx="177800" cy="194500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153.559631pt;width:14pt;height:153.15pt;mso-position-horizontal-relative:page;mso-position-vertical-relative:paragraph;z-index:15866880" type="#_x0000_t202" id="docshape569"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v:textbox>
                <w10:wrap type="none"/>
              </v:shape>
            </w:pict>
          </mc:Fallback>
        </mc:AlternateContent>
      </w:r>
      <w:r>
        <w:rPr>
          <w:sz w:val="13"/>
        </w:rPr>
        <w:t>The</w:t>
      </w:r>
      <w:r>
        <w:rPr>
          <w:spacing w:val="7"/>
          <w:sz w:val="13"/>
        </w:rPr>
        <w:t> </w:t>
      </w:r>
      <w:r>
        <w:rPr>
          <w:sz w:val="13"/>
        </w:rPr>
        <w:t>above</w:t>
      </w:r>
      <w:r>
        <w:rPr>
          <w:spacing w:val="7"/>
          <w:sz w:val="13"/>
        </w:rPr>
        <w:t> </w:t>
      </w:r>
      <w:r>
        <w:rPr>
          <w:sz w:val="13"/>
        </w:rPr>
        <w:t>statement</w:t>
      </w:r>
      <w:r>
        <w:rPr>
          <w:spacing w:val="7"/>
          <w:sz w:val="13"/>
        </w:rPr>
        <w:t> </w:t>
      </w:r>
      <w:r>
        <w:rPr>
          <w:sz w:val="13"/>
        </w:rPr>
        <w:t>should</w:t>
      </w:r>
      <w:r>
        <w:rPr>
          <w:spacing w:val="8"/>
          <w:sz w:val="13"/>
        </w:rPr>
        <w:t> </w:t>
      </w:r>
      <w:r>
        <w:rPr>
          <w:sz w:val="13"/>
        </w:rPr>
        <w:t>be</w:t>
      </w:r>
      <w:r>
        <w:rPr>
          <w:spacing w:val="7"/>
          <w:sz w:val="13"/>
        </w:rPr>
        <w:t> </w:t>
      </w:r>
      <w:r>
        <w:rPr>
          <w:sz w:val="13"/>
        </w:rPr>
        <w:t>read</w:t>
      </w:r>
      <w:r>
        <w:rPr>
          <w:spacing w:val="7"/>
          <w:sz w:val="13"/>
        </w:rPr>
        <w:t> </w:t>
      </w:r>
      <w:r>
        <w:rPr>
          <w:sz w:val="13"/>
        </w:rPr>
        <w:t>in</w:t>
      </w:r>
      <w:r>
        <w:rPr>
          <w:spacing w:val="8"/>
          <w:sz w:val="13"/>
        </w:rPr>
        <w:t> </w:t>
      </w:r>
      <w:r>
        <w:rPr>
          <w:sz w:val="13"/>
        </w:rPr>
        <w:t>conjunction</w:t>
      </w:r>
      <w:r>
        <w:rPr>
          <w:spacing w:val="7"/>
          <w:sz w:val="13"/>
        </w:rPr>
        <w:t> </w:t>
      </w:r>
      <w:r>
        <w:rPr>
          <w:sz w:val="13"/>
        </w:rPr>
        <w:t>with</w:t>
      </w:r>
      <w:r>
        <w:rPr>
          <w:spacing w:val="7"/>
          <w:sz w:val="13"/>
        </w:rPr>
        <w:t> </w:t>
      </w:r>
      <w:r>
        <w:rPr>
          <w:sz w:val="13"/>
        </w:rPr>
        <w:t>the</w:t>
      </w:r>
      <w:r>
        <w:rPr>
          <w:spacing w:val="8"/>
          <w:sz w:val="13"/>
        </w:rPr>
        <w:t> </w:t>
      </w:r>
      <w:r>
        <w:rPr>
          <w:sz w:val="13"/>
        </w:rPr>
        <w:t>accompanying</w:t>
      </w:r>
      <w:r>
        <w:rPr>
          <w:spacing w:val="7"/>
          <w:sz w:val="13"/>
        </w:rPr>
        <w:t> </w:t>
      </w:r>
      <w:r>
        <w:rPr>
          <w:spacing w:val="-2"/>
          <w:sz w:val="13"/>
        </w:rPr>
        <w:t>notes.</w:t>
      </w:r>
    </w:p>
    <w:p>
      <w:pPr>
        <w:spacing w:after="0"/>
        <w:jc w:val="left"/>
        <w:rPr>
          <w:sz w:val="13"/>
        </w:rPr>
        <w:sectPr>
          <w:pgSz w:w="11910" w:h="16840"/>
          <w:pgMar w:header="468" w:footer="0" w:top="720" w:bottom="280" w:left="920" w:right="0"/>
        </w:sectPr>
      </w:pPr>
    </w:p>
    <w:p>
      <w:pPr>
        <w:spacing w:line="240" w:lineRule="auto" w:before="0"/>
        <w:rPr>
          <w:sz w:val="24"/>
        </w:rPr>
      </w:pPr>
    </w:p>
    <w:p>
      <w:pPr>
        <w:spacing w:line="240" w:lineRule="auto" w:before="0"/>
        <w:rPr>
          <w:sz w:val="24"/>
        </w:rPr>
      </w:pPr>
    </w:p>
    <w:p>
      <w:pPr>
        <w:spacing w:line="240" w:lineRule="auto" w:before="124"/>
        <w:rPr>
          <w:sz w:val="24"/>
        </w:rPr>
      </w:pPr>
    </w:p>
    <w:p>
      <w:pPr>
        <w:spacing w:before="1"/>
        <w:ind w:left="264" w:right="0" w:firstLine="0"/>
        <w:jc w:val="left"/>
        <w:rPr>
          <w:sz w:val="24"/>
        </w:rPr>
      </w:pPr>
      <w:r>
        <w:rPr>
          <w:color w:val="0070C0"/>
          <w:sz w:val="24"/>
        </w:rPr>
        <w:t>STATEMENT</w:t>
      </w:r>
      <w:r>
        <w:rPr>
          <w:color w:val="0070C0"/>
          <w:spacing w:val="-5"/>
          <w:sz w:val="24"/>
        </w:rPr>
        <w:t> </w:t>
      </w:r>
      <w:r>
        <w:rPr>
          <w:color w:val="0070C0"/>
          <w:sz w:val="24"/>
        </w:rPr>
        <w:t>OF</w:t>
      </w:r>
      <w:r>
        <w:rPr>
          <w:color w:val="0070C0"/>
          <w:spacing w:val="-4"/>
          <w:sz w:val="24"/>
        </w:rPr>
        <w:t> </w:t>
      </w:r>
      <w:r>
        <w:rPr>
          <w:color w:val="0070C0"/>
          <w:sz w:val="24"/>
        </w:rPr>
        <w:t>FINANCIAL</w:t>
      </w:r>
      <w:r>
        <w:rPr>
          <w:color w:val="0070C0"/>
          <w:spacing w:val="-4"/>
          <w:sz w:val="24"/>
        </w:rPr>
        <w:t> </w:t>
      </w:r>
      <w:r>
        <w:rPr>
          <w:color w:val="0070C0"/>
          <w:spacing w:val="-2"/>
          <w:sz w:val="24"/>
        </w:rPr>
        <w:t>POSITION</w:t>
      </w:r>
    </w:p>
    <w:p>
      <w:pPr>
        <w:spacing w:before="47"/>
        <w:ind w:left="248" w:right="0" w:firstLine="0"/>
        <w:jc w:val="left"/>
        <w:rPr>
          <w:sz w:val="13"/>
        </w:rPr>
      </w:pPr>
      <w:r>
        <w:rPr>
          <w:w w:val="105"/>
          <w:sz w:val="13"/>
        </w:rPr>
        <w:t>as</w:t>
      </w:r>
      <w:r>
        <w:rPr>
          <w:spacing w:val="-7"/>
          <w:w w:val="105"/>
          <w:sz w:val="13"/>
        </w:rPr>
        <w:t> </w:t>
      </w:r>
      <w:r>
        <w:rPr>
          <w:w w:val="105"/>
          <w:sz w:val="13"/>
        </w:rPr>
        <w:t>at</w:t>
      </w:r>
      <w:r>
        <w:rPr>
          <w:spacing w:val="-7"/>
          <w:w w:val="105"/>
          <w:sz w:val="13"/>
        </w:rPr>
        <w:t> </w:t>
      </w:r>
      <w:r>
        <w:rPr>
          <w:w w:val="105"/>
          <w:sz w:val="13"/>
        </w:rPr>
        <w:t>31</w:t>
      </w:r>
      <w:r>
        <w:rPr>
          <w:spacing w:val="-6"/>
          <w:w w:val="105"/>
          <w:sz w:val="13"/>
        </w:rPr>
        <w:t> </w:t>
      </w:r>
      <w:r>
        <w:rPr>
          <w:w w:val="105"/>
          <w:sz w:val="13"/>
        </w:rPr>
        <w:t>December</w:t>
      </w:r>
      <w:r>
        <w:rPr>
          <w:spacing w:val="-7"/>
          <w:w w:val="105"/>
          <w:sz w:val="13"/>
        </w:rPr>
        <w:t> </w:t>
      </w:r>
      <w:r>
        <w:rPr>
          <w:spacing w:val="-4"/>
          <w:w w:val="105"/>
          <w:sz w:val="13"/>
        </w:rPr>
        <w:t>2020</w:t>
      </w:r>
    </w:p>
    <w:p>
      <w:pPr>
        <w:spacing w:line="240" w:lineRule="auto" w:before="165" w:after="0"/>
        <w:rPr>
          <w:sz w:val="20"/>
        </w:rPr>
      </w:pPr>
    </w:p>
    <w:tbl>
      <w:tblPr>
        <w:tblW w:w="0" w:type="auto"/>
        <w:jc w:val="left"/>
        <w:tblInd w:w="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050"/>
        <w:gridCol w:w="1083"/>
        <w:gridCol w:w="1202"/>
        <w:gridCol w:w="1039"/>
        <w:gridCol w:w="1064"/>
        <w:gridCol w:w="952"/>
      </w:tblGrid>
      <w:tr>
        <w:trPr>
          <w:trHeight w:val="223" w:hRule="atLeast"/>
        </w:trPr>
        <w:tc>
          <w:tcPr>
            <w:tcW w:w="8390" w:type="dxa"/>
            <w:gridSpan w:val="6"/>
          </w:tcPr>
          <w:p>
            <w:pPr>
              <w:pStyle w:val="TableParagraph"/>
              <w:tabs>
                <w:tab w:pos="6898" w:val="left" w:leader="none"/>
              </w:tabs>
              <w:spacing w:line="202" w:lineRule="exact"/>
              <w:ind w:left="4634"/>
              <w:rPr>
                <w:b/>
                <w:sz w:val="18"/>
              </w:rPr>
            </w:pPr>
            <w:r>
              <w:rPr>
                <w:b/>
                <w:spacing w:val="-2"/>
                <w:sz w:val="18"/>
              </w:rPr>
              <w:t>Consolidated</w:t>
            </w:r>
            <w:r>
              <w:rPr>
                <w:b/>
                <w:sz w:val="18"/>
              </w:rPr>
              <w:tab/>
            </w:r>
            <w:r>
              <w:rPr>
                <w:b/>
                <w:spacing w:val="-2"/>
                <w:sz w:val="18"/>
              </w:rPr>
              <w:t>University</w:t>
            </w:r>
          </w:p>
        </w:tc>
      </w:tr>
      <w:tr>
        <w:trPr>
          <w:trHeight w:val="177" w:hRule="atLeast"/>
        </w:trPr>
        <w:tc>
          <w:tcPr>
            <w:tcW w:w="3050" w:type="dxa"/>
          </w:tcPr>
          <w:p>
            <w:pPr>
              <w:pStyle w:val="TableParagraph"/>
              <w:rPr>
                <w:rFonts w:ascii="Times New Roman"/>
                <w:sz w:val="10"/>
              </w:rPr>
            </w:pPr>
          </w:p>
        </w:tc>
        <w:tc>
          <w:tcPr>
            <w:tcW w:w="1083" w:type="dxa"/>
          </w:tcPr>
          <w:p>
            <w:pPr>
              <w:pStyle w:val="TableParagraph"/>
              <w:rPr>
                <w:rFonts w:ascii="Times New Roman"/>
                <w:sz w:val="10"/>
              </w:rPr>
            </w:pPr>
          </w:p>
        </w:tc>
        <w:tc>
          <w:tcPr>
            <w:tcW w:w="1202" w:type="dxa"/>
          </w:tcPr>
          <w:p>
            <w:pPr>
              <w:pStyle w:val="TableParagraph"/>
              <w:spacing w:line="157" w:lineRule="exact"/>
              <w:ind w:left="370"/>
              <w:rPr>
                <w:b/>
                <w:sz w:val="15"/>
              </w:rPr>
            </w:pPr>
            <w:r>
              <w:rPr>
                <w:b/>
                <w:spacing w:val="-4"/>
                <w:sz w:val="15"/>
              </w:rPr>
              <w:t>2020</w:t>
            </w:r>
          </w:p>
        </w:tc>
        <w:tc>
          <w:tcPr>
            <w:tcW w:w="1039" w:type="dxa"/>
          </w:tcPr>
          <w:p>
            <w:pPr>
              <w:pStyle w:val="TableParagraph"/>
              <w:spacing w:line="157" w:lineRule="exact"/>
              <w:ind w:left="232"/>
              <w:rPr>
                <w:b/>
                <w:sz w:val="15"/>
              </w:rPr>
            </w:pPr>
            <w:r>
              <w:rPr>
                <w:b/>
                <w:spacing w:val="-4"/>
                <w:sz w:val="15"/>
              </w:rPr>
              <w:t>2019</w:t>
            </w:r>
          </w:p>
        </w:tc>
        <w:tc>
          <w:tcPr>
            <w:tcW w:w="1064" w:type="dxa"/>
          </w:tcPr>
          <w:p>
            <w:pPr>
              <w:pStyle w:val="TableParagraph"/>
              <w:spacing w:line="157" w:lineRule="exact"/>
              <w:ind w:left="256"/>
              <w:rPr>
                <w:b/>
                <w:sz w:val="15"/>
              </w:rPr>
            </w:pPr>
            <w:r>
              <w:rPr>
                <w:b/>
                <w:spacing w:val="-4"/>
                <w:sz w:val="15"/>
              </w:rPr>
              <w:t>2020</w:t>
            </w:r>
          </w:p>
        </w:tc>
        <w:tc>
          <w:tcPr>
            <w:tcW w:w="952" w:type="dxa"/>
          </w:tcPr>
          <w:p>
            <w:pPr>
              <w:pStyle w:val="TableParagraph"/>
              <w:spacing w:line="157" w:lineRule="exact"/>
              <w:ind w:left="256"/>
              <w:rPr>
                <w:b/>
                <w:sz w:val="15"/>
              </w:rPr>
            </w:pPr>
            <w:r>
              <w:rPr>
                <w:b/>
                <w:spacing w:val="-4"/>
                <w:sz w:val="15"/>
              </w:rPr>
              <w:t>2019</w:t>
            </w:r>
          </w:p>
        </w:tc>
      </w:tr>
      <w:tr>
        <w:trPr>
          <w:trHeight w:val="180" w:hRule="atLeast"/>
        </w:trPr>
        <w:tc>
          <w:tcPr>
            <w:tcW w:w="3050" w:type="dxa"/>
            <w:tcBorders>
              <w:bottom w:val="single" w:sz="6" w:space="0" w:color="000000"/>
            </w:tcBorders>
          </w:tcPr>
          <w:p>
            <w:pPr>
              <w:pStyle w:val="TableParagraph"/>
              <w:rPr>
                <w:rFonts w:ascii="Times New Roman"/>
                <w:sz w:val="12"/>
              </w:rPr>
            </w:pPr>
          </w:p>
        </w:tc>
        <w:tc>
          <w:tcPr>
            <w:tcW w:w="1083" w:type="dxa"/>
            <w:tcBorders>
              <w:bottom w:val="single" w:sz="6" w:space="0" w:color="000000"/>
            </w:tcBorders>
          </w:tcPr>
          <w:p>
            <w:pPr>
              <w:pStyle w:val="TableParagraph"/>
              <w:spacing w:line="156" w:lineRule="exact" w:before="4"/>
              <w:ind w:left="515"/>
              <w:jc w:val="center"/>
              <w:rPr>
                <w:b/>
                <w:sz w:val="15"/>
              </w:rPr>
            </w:pPr>
            <w:r>
              <w:rPr>
                <w:b/>
                <w:spacing w:val="-2"/>
                <w:sz w:val="15"/>
              </w:rPr>
              <w:t>Notes</w:t>
            </w:r>
          </w:p>
        </w:tc>
        <w:tc>
          <w:tcPr>
            <w:tcW w:w="1202" w:type="dxa"/>
            <w:tcBorders>
              <w:bottom w:val="single" w:sz="6" w:space="0" w:color="000000"/>
            </w:tcBorders>
          </w:tcPr>
          <w:p>
            <w:pPr>
              <w:pStyle w:val="TableParagraph"/>
              <w:spacing w:line="156" w:lineRule="exact" w:before="4"/>
              <w:ind w:left="351"/>
              <w:rPr>
                <w:b/>
                <w:sz w:val="15"/>
              </w:rPr>
            </w:pPr>
            <w:r>
              <w:rPr>
                <w:b/>
                <w:spacing w:val="-2"/>
                <w:sz w:val="15"/>
              </w:rPr>
              <w:t>$'000</w:t>
            </w:r>
          </w:p>
        </w:tc>
        <w:tc>
          <w:tcPr>
            <w:tcW w:w="1039" w:type="dxa"/>
            <w:tcBorders>
              <w:bottom w:val="single" w:sz="6" w:space="0" w:color="000000"/>
            </w:tcBorders>
          </w:tcPr>
          <w:p>
            <w:pPr>
              <w:pStyle w:val="TableParagraph"/>
              <w:spacing w:line="156" w:lineRule="exact" w:before="4"/>
              <w:ind w:left="213"/>
              <w:rPr>
                <w:b/>
                <w:sz w:val="15"/>
              </w:rPr>
            </w:pPr>
            <w:r>
              <w:rPr>
                <w:b/>
                <w:spacing w:val="-2"/>
                <w:sz w:val="15"/>
              </w:rPr>
              <w:t>$'000</w:t>
            </w:r>
          </w:p>
        </w:tc>
        <w:tc>
          <w:tcPr>
            <w:tcW w:w="1064" w:type="dxa"/>
            <w:tcBorders>
              <w:bottom w:val="single" w:sz="6" w:space="0" w:color="000000"/>
            </w:tcBorders>
          </w:tcPr>
          <w:p>
            <w:pPr>
              <w:pStyle w:val="TableParagraph"/>
              <w:spacing w:line="156" w:lineRule="exact" w:before="4"/>
              <w:ind w:left="238"/>
              <w:rPr>
                <w:b/>
                <w:sz w:val="15"/>
              </w:rPr>
            </w:pPr>
            <w:r>
              <w:rPr>
                <w:b/>
                <w:spacing w:val="-2"/>
                <w:sz w:val="15"/>
              </w:rPr>
              <w:t>$'000</w:t>
            </w:r>
          </w:p>
        </w:tc>
        <w:tc>
          <w:tcPr>
            <w:tcW w:w="952" w:type="dxa"/>
            <w:tcBorders>
              <w:bottom w:val="single" w:sz="6" w:space="0" w:color="000000"/>
            </w:tcBorders>
          </w:tcPr>
          <w:p>
            <w:pPr>
              <w:pStyle w:val="TableParagraph"/>
              <w:spacing w:line="156" w:lineRule="exact" w:before="4"/>
              <w:ind w:left="237"/>
              <w:rPr>
                <w:b/>
                <w:sz w:val="15"/>
              </w:rPr>
            </w:pPr>
            <w:r>
              <w:rPr>
                <w:b/>
                <w:spacing w:val="-2"/>
                <w:sz w:val="15"/>
              </w:rPr>
              <w:t>$'000</w:t>
            </w:r>
          </w:p>
        </w:tc>
      </w:tr>
      <w:tr>
        <w:trPr>
          <w:trHeight w:val="359" w:hRule="atLeast"/>
        </w:trPr>
        <w:tc>
          <w:tcPr>
            <w:tcW w:w="3050" w:type="dxa"/>
            <w:tcBorders>
              <w:top w:val="single" w:sz="6" w:space="0" w:color="000000"/>
            </w:tcBorders>
          </w:tcPr>
          <w:p>
            <w:pPr>
              <w:pStyle w:val="TableParagraph"/>
              <w:spacing w:before="6"/>
              <w:rPr>
                <w:sz w:val="15"/>
              </w:rPr>
            </w:pPr>
          </w:p>
          <w:p>
            <w:pPr>
              <w:pStyle w:val="TableParagraph"/>
              <w:spacing w:line="161" w:lineRule="exact"/>
              <w:ind w:left="50"/>
              <w:rPr>
                <w:b/>
                <w:sz w:val="15"/>
              </w:rPr>
            </w:pPr>
            <w:r>
              <w:rPr>
                <w:b/>
                <w:spacing w:val="-2"/>
                <w:sz w:val="15"/>
              </w:rPr>
              <w:t>ASSETS</w:t>
            </w:r>
          </w:p>
        </w:tc>
        <w:tc>
          <w:tcPr>
            <w:tcW w:w="1083" w:type="dxa"/>
            <w:tcBorders>
              <w:top w:val="single" w:sz="6" w:space="0" w:color="000000"/>
            </w:tcBorders>
          </w:tcPr>
          <w:p>
            <w:pPr>
              <w:pStyle w:val="TableParagraph"/>
              <w:rPr>
                <w:rFonts w:ascii="Times New Roman"/>
                <w:sz w:val="14"/>
              </w:rPr>
            </w:pPr>
          </w:p>
        </w:tc>
        <w:tc>
          <w:tcPr>
            <w:tcW w:w="1202" w:type="dxa"/>
            <w:tcBorders>
              <w:top w:val="single" w:sz="6" w:space="0" w:color="000000"/>
            </w:tcBorders>
          </w:tcPr>
          <w:p>
            <w:pPr>
              <w:pStyle w:val="TableParagraph"/>
              <w:rPr>
                <w:rFonts w:ascii="Times New Roman"/>
                <w:sz w:val="14"/>
              </w:rPr>
            </w:pPr>
          </w:p>
        </w:tc>
        <w:tc>
          <w:tcPr>
            <w:tcW w:w="1039" w:type="dxa"/>
            <w:tcBorders>
              <w:top w:val="single" w:sz="6" w:space="0" w:color="000000"/>
            </w:tcBorders>
          </w:tcPr>
          <w:p>
            <w:pPr>
              <w:pStyle w:val="TableParagraph"/>
              <w:rPr>
                <w:rFonts w:ascii="Times New Roman"/>
                <w:sz w:val="14"/>
              </w:rPr>
            </w:pPr>
          </w:p>
        </w:tc>
        <w:tc>
          <w:tcPr>
            <w:tcW w:w="1064" w:type="dxa"/>
            <w:tcBorders>
              <w:top w:val="single" w:sz="6" w:space="0" w:color="000000"/>
            </w:tcBorders>
          </w:tcPr>
          <w:p>
            <w:pPr>
              <w:pStyle w:val="TableParagraph"/>
              <w:rPr>
                <w:rFonts w:ascii="Times New Roman"/>
                <w:sz w:val="14"/>
              </w:rPr>
            </w:pPr>
          </w:p>
        </w:tc>
        <w:tc>
          <w:tcPr>
            <w:tcW w:w="952" w:type="dxa"/>
            <w:tcBorders>
              <w:top w:val="single" w:sz="6" w:space="0" w:color="000000"/>
            </w:tcBorders>
          </w:tcPr>
          <w:p>
            <w:pPr>
              <w:pStyle w:val="TableParagraph"/>
              <w:rPr>
                <w:rFonts w:ascii="Times New Roman"/>
                <w:sz w:val="14"/>
              </w:rPr>
            </w:pPr>
          </w:p>
        </w:tc>
      </w:tr>
      <w:tr>
        <w:trPr>
          <w:trHeight w:val="184" w:hRule="atLeast"/>
        </w:trPr>
        <w:tc>
          <w:tcPr>
            <w:tcW w:w="3050" w:type="dxa"/>
          </w:tcPr>
          <w:p>
            <w:pPr>
              <w:pStyle w:val="TableParagraph"/>
              <w:spacing w:line="161" w:lineRule="exact" w:before="4"/>
              <w:ind w:left="50"/>
              <w:rPr>
                <w:b/>
                <w:sz w:val="15"/>
              </w:rPr>
            </w:pPr>
            <w:r>
              <w:rPr>
                <w:b/>
                <w:sz w:val="15"/>
              </w:rPr>
              <w:t>Current</w:t>
            </w:r>
            <w:r>
              <w:rPr>
                <w:b/>
                <w:spacing w:val="2"/>
                <w:sz w:val="15"/>
              </w:rPr>
              <w:t> </w:t>
            </w:r>
            <w:r>
              <w:rPr>
                <w:b/>
                <w:spacing w:val="-2"/>
                <w:sz w:val="15"/>
              </w:rPr>
              <w:t>assets</w:t>
            </w:r>
          </w:p>
        </w:tc>
        <w:tc>
          <w:tcPr>
            <w:tcW w:w="1083" w:type="dxa"/>
          </w:tcPr>
          <w:p>
            <w:pPr>
              <w:pStyle w:val="TableParagraph"/>
              <w:rPr>
                <w:rFonts w:ascii="Times New Roman"/>
                <w:sz w:val="12"/>
              </w:rPr>
            </w:pPr>
          </w:p>
        </w:tc>
        <w:tc>
          <w:tcPr>
            <w:tcW w:w="1202" w:type="dxa"/>
          </w:tcPr>
          <w:p>
            <w:pPr>
              <w:pStyle w:val="TableParagraph"/>
              <w:rPr>
                <w:rFonts w:ascii="Times New Roman"/>
                <w:sz w:val="12"/>
              </w:rPr>
            </w:pPr>
          </w:p>
        </w:tc>
        <w:tc>
          <w:tcPr>
            <w:tcW w:w="1039" w:type="dxa"/>
          </w:tcPr>
          <w:p>
            <w:pPr>
              <w:pStyle w:val="TableParagraph"/>
              <w:rPr>
                <w:rFonts w:ascii="Times New Roman"/>
                <w:sz w:val="12"/>
              </w:rPr>
            </w:pPr>
          </w:p>
        </w:tc>
        <w:tc>
          <w:tcPr>
            <w:tcW w:w="1064" w:type="dxa"/>
          </w:tcPr>
          <w:p>
            <w:pPr>
              <w:pStyle w:val="TableParagraph"/>
              <w:rPr>
                <w:rFonts w:ascii="Times New Roman"/>
                <w:sz w:val="12"/>
              </w:rPr>
            </w:pPr>
          </w:p>
        </w:tc>
        <w:tc>
          <w:tcPr>
            <w:tcW w:w="952" w:type="dxa"/>
          </w:tcPr>
          <w:p>
            <w:pPr>
              <w:pStyle w:val="TableParagraph"/>
              <w:rPr>
                <w:rFonts w:ascii="Times New Roman"/>
                <w:sz w:val="12"/>
              </w:rPr>
            </w:pPr>
          </w:p>
        </w:tc>
      </w:tr>
      <w:tr>
        <w:trPr>
          <w:trHeight w:val="184" w:hRule="atLeast"/>
        </w:trPr>
        <w:tc>
          <w:tcPr>
            <w:tcW w:w="3050" w:type="dxa"/>
          </w:tcPr>
          <w:p>
            <w:pPr>
              <w:pStyle w:val="TableParagraph"/>
              <w:spacing w:line="161" w:lineRule="exact" w:before="4"/>
              <w:ind w:left="257"/>
              <w:rPr>
                <w:sz w:val="15"/>
              </w:rPr>
            </w:pPr>
            <w:r>
              <w:rPr>
                <w:sz w:val="15"/>
              </w:rPr>
              <w:t>Cash</w:t>
            </w:r>
            <w:r>
              <w:rPr>
                <w:spacing w:val="4"/>
                <w:sz w:val="15"/>
              </w:rPr>
              <w:t> </w:t>
            </w:r>
            <w:r>
              <w:rPr>
                <w:sz w:val="15"/>
              </w:rPr>
              <w:t>and</w:t>
            </w:r>
            <w:r>
              <w:rPr>
                <w:spacing w:val="4"/>
                <w:sz w:val="15"/>
              </w:rPr>
              <w:t> </w:t>
            </w:r>
            <w:r>
              <w:rPr>
                <w:sz w:val="15"/>
              </w:rPr>
              <w:t>cash</w:t>
            </w:r>
            <w:r>
              <w:rPr>
                <w:spacing w:val="4"/>
                <w:sz w:val="15"/>
              </w:rPr>
              <w:t> </w:t>
            </w:r>
            <w:r>
              <w:rPr>
                <w:spacing w:val="-2"/>
                <w:sz w:val="15"/>
              </w:rPr>
              <w:t>equivalents</w:t>
            </w:r>
          </w:p>
        </w:tc>
        <w:tc>
          <w:tcPr>
            <w:tcW w:w="1083" w:type="dxa"/>
          </w:tcPr>
          <w:p>
            <w:pPr>
              <w:pStyle w:val="TableParagraph"/>
              <w:spacing w:line="161" w:lineRule="exact" w:before="4"/>
              <w:ind w:left="515" w:right="2"/>
              <w:jc w:val="center"/>
              <w:rPr>
                <w:sz w:val="15"/>
              </w:rPr>
            </w:pPr>
            <w:r>
              <w:rPr>
                <w:spacing w:val="-5"/>
                <w:sz w:val="15"/>
              </w:rPr>
              <w:t>6.1</w:t>
            </w:r>
          </w:p>
        </w:tc>
        <w:tc>
          <w:tcPr>
            <w:tcW w:w="1202" w:type="dxa"/>
          </w:tcPr>
          <w:p>
            <w:pPr>
              <w:pStyle w:val="TableParagraph"/>
              <w:spacing w:line="161" w:lineRule="exact" w:before="4"/>
              <w:ind w:right="214"/>
              <w:jc w:val="right"/>
              <w:rPr>
                <w:sz w:val="15"/>
              </w:rPr>
            </w:pPr>
            <w:r>
              <w:rPr>
                <w:spacing w:val="-2"/>
                <w:sz w:val="15"/>
              </w:rPr>
              <w:t>127,090</w:t>
            </w:r>
          </w:p>
        </w:tc>
        <w:tc>
          <w:tcPr>
            <w:tcW w:w="1039" w:type="dxa"/>
          </w:tcPr>
          <w:p>
            <w:pPr>
              <w:pStyle w:val="TableParagraph"/>
              <w:spacing w:line="161" w:lineRule="exact" w:before="4"/>
              <w:ind w:right="189"/>
              <w:jc w:val="right"/>
              <w:rPr>
                <w:sz w:val="15"/>
              </w:rPr>
            </w:pPr>
            <w:r>
              <w:rPr>
                <w:spacing w:val="-2"/>
                <w:sz w:val="15"/>
              </w:rPr>
              <w:t>85,807</w:t>
            </w:r>
          </w:p>
        </w:tc>
        <w:tc>
          <w:tcPr>
            <w:tcW w:w="1064" w:type="dxa"/>
          </w:tcPr>
          <w:p>
            <w:pPr>
              <w:pStyle w:val="TableParagraph"/>
              <w:spacing w:line="161" w:lineRule="exact" w:before="4"/>
              <w:ind w:right="190"/>
              <w:jc w:val="right"/>
              <w:rPr>
                <w:sz w:val="15"/>
              </w:rPr>
            </w:pPr>
            <w:r>
              <w:rPr>
                <w:spacing w:val="-2"/>
                <w:sz w:val="15"/>
              </w:rPr>
              <w:t>116,389</w:t>
            </w:r>
          </w:p>
        </w:tc>
        <w:tc>
          <w:tcPr>
            <w:tcW w:w="952" w:type="dxa"/>
          </w:tcPr>
          <w:p>
            <w:pPr>
              <w:pStyle w:val="TableParagraph"/>
              <w:spacing w:line="161" w:lineRule="exact" w:before="4"/>
              <w:ind w:right="78"/>
              <w:jc w:val="right"/>
              <w:rPr>
                <w:sz w:val="15"/>
              </w:rPr>
            </w:pPr>
            <w:r>
              <w:rPr>
                <w:spacing w:val="-2"/>
                <w:sz w:val="15"/>
              </w:rPr>
              <w:t>72,967</w:t>
            </w:r>
          </w:p>
        </w:tc>
      </w:tr>
      <w:tr>
        <w:trPr>
          <w:trHeight w:val="184" w:hRule="atLeast"/>
        </w:trPr>
        <w:tc>
          <w:tcPr>
            <w:tcW w:w="3050" w:type="dxa"/>
          </w:tcPr>
          <w:p>
            <w:pPr>
              <w:pStyle w:val="TableParagraph"/>
              <w:spacing w:line="161" w:lineRule="exact" w:before="4"/>
              <w:ind w:left="257"/>
              <w:rPr>
                <w:sz w:val="15"/>
              </w:rPr>
            </w:pPr>
            <w:r>
              <w:rPr>
                <w:spacing w:val="-2"/>
                <w:sz w:val="15"/>
              </w:rPr>
              <w:t>Receivables</w:t>
            </w:r>
          </w:p>
        </w:tc>
        <w:tc>
          <w:tcPr>
            <w:tcW w:w="1083" w:type="dxa"/>
          </w:tcPr>
          <w:p>
            <w:pPr>
              <w:pStyle w:val="TableParagraph"/>
              <w:spacing w:line="161" w:lineRule="exact" w:before="4"/>
              <w:ind w:left="515" w:right="2"/>
              <w:jc w:val="center"/>
              <w:rPr>
                <w:sz w:val="15"/>
              </w:rPr>
            </w:pPr>
            <w:r>
              <w:rPr>
                <w:spacing w:val="-5"/>
                <w:sz w:val="15"/>
              </w:rPr>
              <w:t>5.1</w:t>
            </w:r>
          </w:p>
        </w:tc>
        <w:tc>
          <w:tcPr>
            <w:tcW w:w="1202" w:type="dxa"/>
          </w:tcPr>
          <w:p>
            <w:pPr>
              <w:pStyle w:val="TableParagraph"/>
              <w:spacing w:line="161" w:lineRule="exact" w:before="4"/>
              <w:ind w:right="214"/>
              <w:jc w:val="right"/>
              <w:rPr>
                <w:sz w:val="15"/>
              </w:rPr>
            </w:pPr>
            <w:r>
              <w:rPr>
                <w:spacing w:val="-2"/>
                <w:sz w:val="15"/>
              </w:rPr>
              <w:t>41,307</w:t>
            </w:r>
          </w:p>
        </w:tc>
        <w:tc>
          <w:tcPr>
            <w:tcW w:w="1039" w:type="dxa"/>
          </w:tcPr>
          <w:p>
            <w:pPr>
              <w:pStyle w:val="TableParagraph"/>
              <w:spacing w:line="161" w:lineRule="exact" w:before="4"/>
              <w:ind w:right="189"/>
              <w:jc w:val="right"/>
              <w:rPr>
                <w:sz w:val="15"/>
              </w:rPr>
            </w:pPr>
            <w:r>
              <w:rPr>
                <w:spacing w:val="-2"/>
                <w:sz w:val="15"/>
              </w:rPr>
              <w:t>54,078</w:t>
            </w:r>
          </w:p>
        </w:tc>
        <w:tc>
          <w:tcPr>
            <w:tcW w:w="1064" w:type="dxa"/>
          </w:tcPr>
          <w:p>
            <w:pPr>
              <w:pStyle w:val="TableParagraph"/>
              <w:spacing w:line="161" w:lineRule="exact" w:before="4"/>
              <w:ind w:right="190"/>
              <w:jc w:val="right"/>
              <w:rPr>
                <w:sz w:val="15"/>
              </w:rPr>
            </w:pPr>
            <w:r>
              <w:rPr>
                <w:spacing w:val="-2"/>
                <w:sz w:val="15"/>
              </w:rPr>
              <w:t>40,729</w:t>
            </w:r>
          </w:p>
        </w:tc>
        <w:tc>
          <w:tcPr>
            <w:tcW w:w="952" w:type="dxa"/>
          </w:tcPr>
          <w:p>
            <w:pPr>
              <w:pStyle w:val="TableParagraph"/>
              <w:spacing w:line="161" w:lineRule="exact" w:before="4"/>
              <w:ind w:right="78"/>
              <w:jc w:val="right"/>
              <w:rPr>
                <w:sz w:val="15"/>
              </w:rPr>
            </w:pPr>
            <w:r>
              <w:rPr>
                <w:spacing w:val="-2"/>
                <w:sz w:val="15"/>
              </w:rPr>
              <w:t>53,083</w:t>
            </w:r>
          </w:p>
        </w:tc>
      </w:tr>
      <w:tr>
        <w:trPr>
          <w:trHeight w:val="184" w:hRule="atLeast"/>
        </w:trPr>
        <w:tc>
          <w:tcPr>
            <w:tcW w:w="3050" w:type="dxa"/>
          </w:tcPr>
          <w:p>
            <w:pPr>
              <w:pStyle w:val="TableParagraph"/>
              <w:spacing w:line="161" w:lineRule="exact" w:before="4"/>
              <w:ind w:left="257"/>
              <w:rPr>
                <w:sz w:val="15"/>
              </w:rPr>
            </w:pPr>
            <w:r>
              <w:rPr>
                <w:sz w:val="15"/>
              </w:rPr>
              <w:t>Contract</w:t>
            </w:r>
            <w:r>
              <w:rPr>
                <w:spacing w:val="3"/>
                <w:sz w:val="15"/>
              </w:rPr>
              <w:t> </w:t>
            </w:r>
            <w:r>
              <w:rPr>
                <w:spacing w:val="-2"/>
                <w:sz w:val="15"/>
              </w:rPr>
              <w:t>assets</w:t>
            </w:r>
          </w:p>
        </w:tc>
        <w:tc>
          <w:tcPr>
            <w:tcW w:w="1083" w:type="dxa"/>
          </w:tcPr>
          <w:p>
            <w:pPr>
              <w:pStyle w:val="TableParagraph"/>
              <w:spacing w:line="161" w:lineRule="exact" w:before="4"/>
              <w:ind w:left="515" w:right="2"/>
              <w:jc w:val="center"/>
              <w:rPr>
                <w:sz w:val="15"/>
              </w:rPr>
            </w:pPr>
            <w:r>
              <w:rPr>
                <w:spacing w:val="-5"/>
                <w:sz w:val="15"/>
              </w:rPr>
              <w:t>5.1</w:t>
            </w:r>
          </w:p>
        </w:tc>
        <w:tc>
          <w:tcPr>
            <w:tcW w:w="1202" w:type="dxa"/>
          </w:tcPr>
          <w:p>
            <w:pPr>
              <w:pStyle w:val="TableParagraph"/>
              <w:spacing w:line="161" w:lineRule="exact" w:before="4"/>
              <w:ind w:right="214"/>
              <w:jc w:val="right"/>
              <w:rPr>
                <w:sz w:val="15"/>
              </w:rPr>
            </w:pPr>
            <w:r>
              <w:rPr>
                <w:spacing w:val="-2"/>
                <w:sz w:val="15"/>
              </w:rPr>
              <w:t>9,544</w:t>
            </w:r>
          </w:p>
        </w:tc>
        <w:tc>
          <w:tcPr>
            <w:tcW w:w="1039" w:type="dxa"/>
          </w:tcPr>
          <w:p>
            <w:pPr>
              <w:pStyle w:val="TableParagraph"/>
              <w:spacing w:line="161" w:lineRule="exact" w:before="4"/>
              <w:ind w:right="189"/>
              <w:jc w:val="right"/>
              <w:rPr>
                <w:sz w:val="15"/>
              </w:rPr>
            </w:pPr>
            <w:r>
              <w:rPr>
                <w:spacing w:val="-2"/>
                <w:sz w:val="15"/>
              </w:rPr>
              <w:t>1,057</w:t>
            </w:r>
          </w:p>
        </w:tc>
        <w:tc>
          <w:tcPr>
            <w:tcW w:w="1064" w:type="dxa"/>
          </w:tcPr>
          <w:p>
            <w:pPr>
              <w:pStyle w:val="TableParagraph"/>
              <w:spacing w:line="161" w:lineRule="exact" w:before="4"/>
              <w:ind w:right="190"/>
              <w:jc w:val="right"/>
              <w:rPr>
                <w:sz w:val="15"/>
              </w:rPr>
            </w:pPr>
            <w:r>
              <w:rPr>
                <w:spacing w:val="-2"/>
                <w:sz w:val="15"/>
              </w:rPr>
              <w:t>9,544</w:t>
            </w:r>
          </w:p>
        </w:tc>
        <w:tc>
          <w:tcPr>
            <w:tcW w:w="952" w:type="dxa"/>
          </w:tcPr>
          <w:p>
            <w:pPr>
              <w:pStyle w:val="TableParagraph"/>
              <w:spacing w:line="161" w:lineRule="exact" w:before="4"/>
              <w:ind w:right="78"/>
              <w:jc w:val="right"/>
              <w:rPr>
                <w:sz w:val="15"/>
              </w:rPr>
            </w:pPr>
            <w:r>
              <w:rPr>
                <w:spacing w:val="-2"/>
                <w:sz w:val="15"/>
              </w:rPr>
              <w:t>1,057</w:t>
            </w:r>
          </w:p>
        </w:tc>
      </w:tr>
      <w:tr>
        <w:trPr>
          <w:trHeight w:val="184" w:hRule="atLeast"/>
        </w:trPr>
        <w:tc>
          <w:tcPr>
            <w:tcW w:w="3050" w:type="dxa"/>
          </w:tcPr>
          <w:p>
            <w:pPr>
              <w:pStyle w:val="TableParagraph"/>
              <w:spacing w:line="161" w:lineRule="exact" w:before="4"/>
              <w:ind w:left="257"/>
              <w:rPr>
                <w:sz w:val="15"/>
              </w:rPr>
            </w:pPr>
            <w:r>
              <w:rPr>
                <w:spacing w:val="-2"/>
                <w:sz w:val="15"/>
              </w:rPr>
              <w:t>Inventories</w:t>
            </w:r>
          </w:p>
        </w:tc>
        <w:tc>
          <w:tcPr>
            <w:tcW w:w="1083" w:type="dxa"/>
          </w:tcPr>
          <w:p>
            <w:pPr>
              <w:pStyle w:val="TableParagraph"/>
              <w:rPr>
                <w:rFonts w:ascii="Times New Roman"/>
                <w:sz w:val="12"/>
              </w:rPr>
            </w:pPr>
          </w:p>
        </w:tc>
        <w:tc>
          <w:tcPr>
            <w:tcW w:w="1202" w:type="dxa"/>
          </w:tcPr>
          <w:p>
            <w:pPr>
              <w:pStyle w:val="TableParagraph"/>
              <w:spacing w:line="161" w:lineRule="exact" w:before="4"/>
              <w:ind w:right="214"/>
              <w:jc w:val="right"/>
              <w:rPr>
                <w:sz w:val="15"/>
              </w:rPr>
            </w:pPr>
            <w:r>
              <w:rPr>
                <w:spacing w:val="-5"/>
                <w:sz w:val="15"/>
              </w:rPr>
              <w:t>686</w:t>
            </w:r>
          </w:p>
        </w:tc>
        <w:tc>
          <w:tcPr>
            <w:tcW w:w="1039" w:type="dxa"/>
          </w:tcPr>
          <w:p>
            <w:pPr>
              <w:pStyle w:val="TableParagraph"/>
              <w:spacing w:line="161" w:lineRule="exact" w:before="4"/>
              <w:ind w:right="189"/>
              <w:jc w:val="right"/>
              <w:rPr>
                <w:sz w:val="15"/>
              </w:rPr>
            </w:pPr>
            <w:r>
              <w:rPr>
                <w:spacing w:val="-5"/>
                <w:sz w:val="15"/>
              </w:rPr>
              <w:t>986</w:t>
            </w:r>
          </w:p>
        </w:tc>
        <w:tc>
          <w:tcPr>
            <w:tcW w:w="1064" w:type="dxa"/>
          </w:tcPr>
          <w:p>
            <w:pPr>
              <w:pStyle w:val="TableParagraph"/>
              <w:spacing w:line="161" w:lineRule="exact" w:before="4"/>
              <w:ind w:right="190"/>
              <w:jc w:val="right"/>
              <w:rPr>
                <w:sz w:val="15"/>
              </w:rPr>
            </w:pPr>
            <w:r>
              <w:rPr>
                <w:spacing w:val="-5"/>
                <w:sz w:val="15"/>
              </w:rPr>
              <w:t>389</w:t>
            </w:r>
          </w:p>
        </w:tc>
        <w:tc>
          <w:tcPr>
            <w:tcW w:w="952" w:type="dxa"/>
          </w:tcPr>
          <w:p>
            <w:pPr>
              <w:pStyle w:val="TableParagraph"/>
              <w:spacing w:line="161" w:lineRule="exact" w:before="4"/>
              <w:ind w:right="78"/>
              <w:jc w:val="right"/>
              <w:rPr>
                <w:sz w:val="15"/>
              </w:rPr>
            </w:pPr>
            <w:r>
              <w:rPr>
                <w:spacing w:val="-5"/>
                <w:sz w:val="15"/>
              </w:rPr>
              <w:t>755</w:t>
            </w:r>
          </w:p>
        </w:tc>
      </w:tr>
      <w:tr>
        <w:trPr>
          <w:trHeight w:val="186" w:hRule="atLeast"/>
        </w:trPr>
        <w:tc>
          <w:tcPr>
            <w:tcW w:w="3050" w:type="dxa"/>
          </w:tcPr>
          <w:p>
            <w:pPr>
              <w:pStyle w:val="TableParagraph"/>
              <w:spacing w:line="163" w:lineRule="exact" w:before="4"/>
              <w:ind w:left="257"/>
              <w:rPr>
                <w:sz w:val="15"/>
              </w:rPr>
            </w:pPr>
            <w:r>
              <w:rPr>
                <w:sz w:val="15"/>
              </w:rPr>
              <w:t>Assets</w:t>
            </w:r>
            <w:r>
              <w:rPr>
                <w:spacing w:val="3"/>
                <w:sz w:val="15"/>
              </w:rPr>
              <w:t> </w:t>
            </w:r>
            <w:r>
              <w:rPr>
                <w:sz w:val="15"/>
              </w:rPr>
              <w:t>classified</w:t>
            </w:r>
            <w:r>
              <w:rPr>
                <w:spacing w:val="4"/>
                <w:sz w:val="15"/>
              </w:rPr>
              <w:t> </w:t>
            </w:r>
            <w:r>
              <w:rPr>
                <w:sz w:val="15"/>
              </w:rPr>
              <w:t>as</w:t>
            </w:r>
            <w:r>
              <w:rPr>
                <w:spacing w:val="4"/>
                <w:sz w:val="15"/>
              </w:rPr>
              <w:t> </w:t>
            </w:r>
            <w:r>
              <w:rPr>
                <w:sz w:val="15"/>
              </w:rPr>
              <w:t>held</w:t>
            </w:r>
            <w:r>
              <w:rPr>
                <w:spacing w:val="4"/>
                <w:sz w:val="15"/>
              </w:rPr>
              <w:t> </w:t>
            </w:r>
            <w:r>
              <w:rPr>
                <w:sz w:val="15"/>
              </w:rPr>
              <w:t>for</w:t>
            </w:r>
            <w:r>
              <w:rPr>
                <w:spacing w:val="2"/>
                <w:sz w:val="15"/>
              </w:rPr>
              <w:t> </w:t>
            </w:r>
            <w:r>
              <w:rPr>
                <w:spacing w:val="-4"/>
                <w:sz w:val="15"/>
              </w:rPr>
              <w:t>sale</w:t>
            </w:r>
          </w:p>
        </w:tc>
        <w:tc>
          <w:tcPr>
            <w:tcW w:w="1083" w:type="dxa"/>
          </w:tcPr>
          <w:p>
            <w:pPr>
              <w:pStyle w:val="TableParagraph"/>
              <w:spacing w:line="163" w:lineRule="exact" w:before="4"/>
              <w:ind w:left="515" w:right="2"/>
              <w:jc w:val="center"/>
              <w:rPr>
                <w:sz w:val="15"/>
              </w:rPr>
            </w:pPr>
            <w:r>
              <w:rPr>
                <w:spacing w:val="-5"/>
                <w:sz w:val="15"/>
              </w:rPr>
              <w:t>5.5</w:t>
            </w:r>
          </w:p>
        </w:tc>
        <w:tc>
          <w:tcPr>
            <w:tcW w:w="1202" w:type="dxa"/>
          </w:tcPr>
          <w:p>
            <w:pPr>
              <w:pStyle w:val="TableParagraph"/>
              <w:spacing w:line="163" w:lineRule="exact" w:before="4"/>
              <w:ind w:right="164"/>
              <w:jc w:val="right"/>
              <w:rPr>
                <w:sz w:val="15"/>
              </w:rPr>
            </w:pPr>
            <w:r>
              <w:rPr>
                <w:spacing w:val="-10"/>
                <w:sz w:val="15"/>
              </w:rPr>
              <w:t>-</w:t>
            </w:r>
          </w:p>
        </w:tc>
        <w:tc>
          <w:tcPr>
            <w:tcW w:w="1039" w:type="dxa"/>
          </w:tcPr>
          <w:p>
            <w:pPr>
              <w:pStyle w:val="TableParagraph"/>
              <w:spacing w:line="159" w:lineRule="exact" w:before="8"/>
              <w:ind w:right="189"/>
              <w:jc w:val="right"/>
              <w:rPr>
                <w:sz w:val="15"/>
              </w:rPr>
            </w:pPr>
            <w:r>
              <w:rPr>
                <w:spacing w:val="-2"/>
                <w:sz w:val="15"/>
              </w:rPr>
              <w:t>2,288</w:t>
            </w:r>
          </w:p>
        </w:tc>
        <w:tc>
          <w:tcPr>
            <w:tcW w:w="1064" w:type="dxa"/>
          </w:tcPr>
          <w:p>
            <w:pPr>
              <w:pStyle w:val="TableParagraph"/>
              <w:spacing w:line="163" w:lineRule="exact" w:before="4"/>
              <w:ind w:left="288"/>
              <w:jc w:val="center"/>
              <w:rPr>
                <w:sz w:val="15"/>
              </w:rPr>
            </w:pPr>
            <w:r>
              <w:rPr>
                <w:spacing w:val="-10"/>
                <w:sz w:val="15"/>
              </w:rPr>
              <w:t>-</w:t>
            </w:r>
          </w:p>
        </w:tc>
        <w:tc>
          <w:tcPr>
            <w:tcW w:w="952" w:type="dxa"/>
          </w:tcPr>
          <w:p>
            <w:pPr>
              <w:pStyle w:val="TableParagraph"/>
              <w:spacing w:line="159" w:lineRule="exact" w:before="8"/>
              <w:ind w:right="78"/>
              <w:jc w:val="right"/>
              <w:rPr>
                <w:sz w:val="15"/>
              </w:rPr>
            </w:pPr>
            <w:r>
              <w:rPr>
                <w:spacing w:val="-2"/>
                <w:sz w:val="15"/>
              </w:rPr>
              <w:t>2,288</w:t>
            </w:r>
          </w:p>
        </w:tc>
      </w:tr>
      <w:tr>
        <w:trPr>
          <w:trHeight w:val="362" w:hRule="atLeast"/>
        </w:trPr>
        <w:tc>
          <w:tcPr>
            <w:tcW w:w="3050" w:type="dxa"/>
          </w:tcPr>
          <w:p>
            <w:pPr>
              <w:pStyle w:val="TableParagraph"/>
              <w:spacing w:before="2"/>
              <w:ind w:left="257"/>
              <w:rPr>
                <w:sz w:val="15"/>
              </w:rPr>
            </w:pPr>
            <w:r>
              <w:rPr>
                <w:sz w:val="15"/>
              </w:rPr>
              <w:t>Other</w:t>
            </w:r>
            <w:r>
              <w:rPr>
                <w:spacing w:val="4"/>
                <w:sz w:val="15"/>
              </w:rPr>
              <w:t> </w:t>
            </w:r>
            <w:r>
              <w:rPr>
                <w:sz w:val="15"/>
              </w:rPr>
              <w:t>non-financial</w:t>
            </w:r>
            <w:r>
              <w:rPr>
                <w:spacing w:val="4"/>
                <w:sz w:val="15"/>
              </w:rPr>
              <w:t> </w:t>
            </w:r>
            <w:r>
              <w:rPr>
                <w:spacing w:val="-2"/>
                <w:sz w:val="15"/>
              </w:rPr>
              <w:t>assets</w:t>
            </w:r>
          </w:p>
        </w:tc>
        <w:tc>
          <w:tcPr>
            <w:tcW w:w="1083" w:type="dxa"/>
          </w:tcPr>
          <w:p>
            <w:pPr>
              <w:pStyle w:val="TableParagraph"/>
              <w:spacing w:before="2"/>
              <w:ind w:left="515" w:right="2"/>
              <w:jc w:val="center"/>
              <w:rPr>
                <w:sz w:val="15"/>
              </w:rPr>
            </w:pPr>
            <w:r>
              <w:rPr>
                <w:spacing w:val="-5"/>
                <w:sz w:val="15"/>
              </w:rPr>
              <w:t>5.2</w:t>
            </w:r>
          </w:p>
        </w:tc>
        <w:tc>
          <w:tcPr>
            <w:tcW w:w="1202" w:type="dxa"/>
            <w:tcBorders>
              <w:bottom w:val="single" w:sz="6" w:space="0" w:color="000000"/>
            </w:tcBorders>
          </w:tcPr>
          <w:p>
            <w:pPr>
              <w:pStyle w:val="TableParagraph"/>
              <w:spacing w:before="2"/>
              <w:ind w:right="214"/>
              <w:jc w:val="right"/>
              <w:rPr>
                <w:sz w:val="15"/>
              </w:rPr>
            </w:pPr>
            <w:r>
              <w:rPr>
                <w:spacing w:val="-2"/>
                <w:sz w:val="15"/>
              </w:rPr>
              <w:t>22,531</w:t>
            </w:r>
          </w:p>
        </w:tc>
        <w:tc>
          <w:tcPr>
            <w:tcW w:w="1039" w:type="dxa"/>
            <w:tcBorders>
              <w:bottom w:val="single" w:sz="6" w:space="0" w:color="000000"/>
            </w:tcBorders>
          </w:tcPr>
          <w:p>
            <w:pPr>
              <w:pStyle w:val="TableParagraph"/>
              <w:spacing w:before="2"/>
              <w:ind w:right="189"/>
              <w:jc w:val="right"/>
              <w:rPr>
                <w:sz w:val="15"/>
              </w:rPr>
            </w:pPr>
            <w:r>
              <w:rPr>
                <w:spacing w:val="-2"/>
                <w:sz w:val="15"/>
              </w:rPr>
              <w:t>22,182</w:t>
            </w:r>
          </w:p>
        </w:tc>
        <w:tc>
          <w:tcPr>
            <w:tcW w:w="1064" w:type="dxa"/>
            <w:tcBorders>
              <w:bottom w:val="single" w:sz="6" w:space="0" w:color="000000"/>
            </w:tcBorders>
          </w:tcPr>
          <w:p>
            <w:pPr>
              <w:pStyle w:val="TableParagraph"/>
              <w:spacing w:before="2"/>
              <w:ind w:right="190"/>
              <w:jc w:val="right"/>
              <w:rPr>
                <w:sz w:val="15"/>
              </w:rPr>
            </w:pPr>
            <w:r>
              <w:rPr>
                <w:spacing w:val="-2"/>
                <w:sz w:val="15"/>
              </w:rPr>
              <w:t>22,260</w:t>
            </w:r>
          </w:p>
        </w:tc>
        <w:tc>
          <w:tcPr>
            <w:tcW w:w="952" w:type="dxa"/>
            <w:tcBorders>
              <w:bottom w:val="single" w:sz="6" w:space="0" w:color="000000"/>
            </w:tcBorders>
          </w:tcPr>
          <w:p>
            <w:pPr>
              <w:pStyle w:val="TableParagraph"/>
              <w:spacing w:before="2"/>
              <w:ind w:right="78"/>
              <w:jc w:val="right"/>
              <w:rPr>
                <w:sz w:val="15"/>
              </w:rPr>
            </w:pPr>
            <w:r>
              <w:rPr>
                <w:spacing w:val="-2"/>
                <w:sz w:val="15"/>
              </w:rPr>
              <w:t>20,754</w:t>
            </w:r>
          </w:p>
        </w:tc>
      </w:tr>
      <w:tr>
        <w:trPr>
          <w:trHeight w:val="169" w:hRule="atLeast"/>
        </w:trPr>
        <w:tc>
          <w:tcPr>
            <w:tcW w:w="3050" w:type="dxa"/>
          </w:tcPr>
          <w:p>
            <w:pPr>
              <w:pStyle w:val="TableParagraph"/>
              <w:spacing w:line="150" w:lineRule="exact"/>
              <w:ind w:left="50"/>
              <w:rPr>
                <w:sz w:val="15"/>
              </w:rPr>
            </w:pPr>
            <w:r>
              <w:rPr>
                <w:sz w:val="15"/>
              </w:rPr>
              <w:t>Total</w:t>
            </w:r>
            <w:r>
              <w:rPr>
                <w:spacing w:val="2"/>
                <w:sz w:val="15"/>
              </w:rPr>
              <w:t> </w:t>
            </w:r>
            <w:r>
              <w:rPr>
                <w:sz w:val="15"/>
              </w:rPr>
              <w:t>current</w:t>
            </w:r>
            <w:r>
              <w:rPr>
                <w:spacing w:val="2"/>
                <w:sz w:val="15"/>
              </w:rPr>
              <w:t> </w:t>
            </w:r>
            <w:r>
              <w:rPr>
                <w:spacing w:val="-2"/>
                <w:sz w:val="15"/>
              </w:rPr>
              <w:t>assets</w:t>
            </w:r>
          </w:p>
        </w:tc>
        <w:tc>
          <w:tcPr>
            <w:tcW w:w="1083" w:type="dxa"/>
          </w:tcPr>
          <w:p>
            <w:pPr>
              <w:pStyle w:val="TableParagraph"/>
              <w:rPr>
                <w:rFonts w:ascii="Times New Roman"/>
                <w:sz w:val="10"/>
              </w:rPr>
            </w:pPr>
          </w:p>
        </w:tc>
        <w:tc>
          <w:tcPr>
            <w:tcW w:w="1202" w:type="dxa"/>
            <w:tcBorders>
              <w:top w:val="single" w:sz="6" w:space="0" w:color="000000"/>
              <w:bottom w:val="single" w:sz="6" w:space="0" w:color="000000"/>
            </w:tcBorders>
          </w:tcPr>
          <w:p>
            <w:pPr>
              <w:pStyle w:val="TableParagraph"/>
              <w:spacing w:line="150" w:lineRule="exact"/>
              <w:ind w:right="214"/>
              <w:jc w:val="right"/>
              <w:rPr>
                <w:sz w:val="15"/>
              </w:rPr>
            </w:pPr>
            <w:r>
              <w:rPr>
                <w:spacing w:val="-2"/>
                <w:sz w:val="15"/>
              </w:rPr>
              <w:t>201,158</w:t>
            </w:r>
          </w:p>
        </w:tc>
        <w:tc>
          <w:tcPr>
            <w:tcW w:w="1039" w:type="dxa"/>
            <w:tcBorders>
              <w:top w:val="single" w:sz="6" w:space="0" w:color="000000"/>
              <w:bottom w:val="single" w:sz="6" w:space="0" w:color="000000"/>
            </w:tcBorders>
          </w:tcPr>
          <w:p>
            <w:pPr>
              <w:pStyle w:val="TableParagraph"/>
              <w:spacing w:line="150" w:lineRule="exact"/>
              <w:ind w:right="189"/>
              <w:jc w:val="right"/>
              <w:rPr>
                <w:sz w:val="15"/>
              </w:rPr>
            </w:pPr>
            <w:r>
              <w:rPr>
                <w:spacing w:val="-2"/>
                <w:sz w:val="15"/>
              </w:rPr>
              <w:t>166,398</w:t>
            </w:r>
          </w:p>
        </w:tc>
        <w:tc>
          <w:tcPr>
            <w:tcW w:w="1064" w:type="dxa"/>
            <w:tcBorders>
              <w:top w:val="single" w:sz="6" w:space="0" w:color="000000"/>
              <w:bottom w:val="single" w:sz="6" w:space="0" w:color="000000"/>
            </w:tcBorders>
          </w:tcPr>
          <w:p>
            <w:pPr>
              <w:pStyle w:val="TableParagraph"/>
              <w:spacing w:line="150" w:lineRule="exact"/>
              <w:ind w:right="189"/>
              <w:jc w:val="right"/>
              <w:rPr>
                <w:sz w:val="15"/>
              </w:rPr>
            </w:pPr>
            <w:r>
              <w:rPr>
                <w:spacing w:val="-2"/>
                <w:sz w:val="15"/>
              </w:rPr>
              <w:t>189,311</w:t>
            </w:r>
          </w:p>
        </w:tc>
        <w:tc>
          <w:tcPr>
            <w:tcW w:w="952" w:type="dxa"/>
            <w:tcBorders>
              <w:top w:val="single" w:sz="6" w:space="0" w:color="000000"/>
              <w:bottom w:val="single" w:sz="6" w:space="0" w:color="000000"/>
            </w:tcBorders>
          </w:tcPr>
          <w:p>
            <w:pPr>
              <w:pStyle w:val="TableParagraph"/>
              <w:spacing w:line="150" w:lineRule="exact"/>
              <w:ind w:right="78"/>
              <w:jc w:val="right"/>
              <w:rPr>
                <w:sz w:val="15"/>
              </w:rPr>
            </w:pPr>
            <w:r>
              <w:rPr>
                <w:spacing w:val="-2"/>
                <w:sz w:val="15"/>
              </w:rPr>
              <w:t>150,904</w:t>
            </w:r>
          </w:p>
        </w:tc>
      </w:tr>
      <w:tr>
        <w:trPr>
          <w:trHeight w:val="359" w:hRule="atLeast"/>
        </w:trPr>
        <w:tc>
          <w:tcPr>
            <w:tcW w:w="3050" w:type="dxa"/>
          </w:tcPr>
          <w:p>
            <w:pPr>
              <w:pStyle w:val="TableParagraph"/>
              <w:spacing w:before="6"/>
              <w:rPr>
                <w:sz w:val="15"/>
              </w:rPr>
            </w:pPr>
          </w:p>
          <w:p>
            <w:pPr>
              <w:pStyle w:val="TableParagraph"/>
              <w:spacing w:line="161" w:lineRule="exact"/>
              <w:ind w:left="50"/>
              <w:rPr>
                <w:b/>
                <w:sz w:val="15"/>
              </w:rPr>
            </w:pPr>
            <w:r>
              <w:rPr>
                <w:b/>
                <w:sz w:val="15"/>
              </w:rPr>
              <w:t>Non-current</w:t>
            </w:r>
            <w:r>
              <w:rPr>
                <w:b/>
                <w:spacing w:val="4"/>
                <w:sz w:val="15"/>
              </w:rPr>
              <w:t> </w:t>
            </w:r>
            <w:r>
              <w:rPr>
                <w:b/>
                <w:spacing w:val="-2"/>
                <w:sz w:val="15"/>
              </w:rPr>
              <w:t>assets</w:t>
            </w:r>
          </w:p>
        </w:tc>
        <w:tc>
          <w:tcPr>
            <w:tcW w:w="1083" w:type="dxa"/>
          </w:tcPr>
          <w:p>
            <w:pPr>
              <w:pStyle w:val="TableParagraph"/>
              <w:rPr>
                <w:rFonts w:ascii="Times New Roman"/>
                <w:sz w:val="14"/>
              </w:rPr>
            </w:pPr>
          </w:p>
        </w:tc>
        <w:tc>
          <w:tcPr>
            <w:tcW w:w="1202" w:type="dxa"/>
            <w:tcBorders>
              <w:top w:val="single" w:sz="6" w:space="0" w:color="000000"/>
            </w:tcBorders>
          </w:tcPr>
          <w:p>
            <w:pPr>
              <w:pStyle w:val="TableParagraph"/>
              <w:rPr>
                <w:rFonts w:ascii="Times New Roman"/>
                <w:sz w:val="14"/>
              </w:rPr>
            </w:pPr>
          </w:p>
        </w:tc>
        <w:tc>
          <w:tcPr>
            <w:tcW w:w="1039" w:type="dxa"/>
            <w:tcBorders>
              <w:top w:val="single" w:sz="6" w:space="0" w:color="000000"/>
            </w:tcBorders>
          </w:tcPr>
          <w:p>
            <w:pPr>
              <w:pStyle w:val="TableParagraph"/>
              <w:rPr>
                <w:rFonts w:ascii="Times New Roman"/>
                <w:sz w:val="14"/>
              </w:rPr>
            </w:pPr>
          </w:p>
        </w:tc>
        <w:tc>
          <w:tcPr>
            <w:tcW w:w="1064" w:type="dxa"/>
            <w:tcBorders>
              <w:top w:val="single" w:sz="6" w:space="0" w:color="000000"/>
            </w:tcBorders>
          </w:tcPr>
          <w:p>
            <w:pPr>
              <w:pStyle w:val="TableParagraph"/>
              <w:rPr>
                <w:rFonts w:ascii="Times New Roman"/>
                <w:sz w:val="14"/>
              </w:rPr>
            </w:pPr>
          </w:p>
        </w:tc>
        <w:tc>
          <w:tcPr>
            <w:tcW w:w="952" w:type="dxa"/>
            <w:tcBorders>
              <w:top w:val="single" w:sz="6" w:space="0" w:color="000000"/>
            </w:tcBorders>
          </w:tcPr>
          <w:p>
            <w:pPr>
              <w:pStyle w:val="TableParagraph"/>
              <w:rPr>
                <w:rFonts w:ascii="Times New Roman"/>
                <w:sz w:val="14"/>
              </w:rPr>
            </w:pPr>
          </w:p>
        </w:tc>
      </w:tr>
      <w:tr>
        <w:trPr>
          <w:trHeight w:val="184" w:hRule="atLeast"/>
        </w:trPr>
        <w:tc>
          <w:tcPr>
            <w:tcW w:w="3050" w:type="dxa"/>
          </w:tcPr>
          <w:p>
            <w:pPr>
              <w:pStyle w:val="TableParagraph"/>
              <w:spacing w:line="161" w:lineRule="exact" w:before="4"/>
              <w:ind w:left="257"/>
              <w:rPr>
                <w:sz w:val="15"/>
              </w:rPr>
            </w:pPr>
            <w:r>
              <w:rPr>
                <w:spacing w:val="-2"/>
                <w:sz w:val="15"/>
              </w:rPr>
              <w:t>Receivables</w:t>
            </w:r>
          </w:p>
        </w:tc>
        <w:tc>
          <w:tcPr>
            <w:tcW w:w="1083" w:type="dxa"/>
          </w:tcPr>
          <w:p>
            <w:pPr>
              <w:pStyle w:val="TableParagraph"/>
              <w:spacing w:line="161" w:lineRule="exact" w:before="4"/>
              <w:ind w:left="515" w:right="2"/>
              <w:jc w:val="center"/>
              <w:rPr>
                <w:sz w:val="15"/>
              </w:rPr>
            </w:pPr>
            <w:r>
              <w:rPr>
                <w:spacing w:val="-5"/>
                <w:sz w:val="15"/>
              </w:rPr>
              <w:t>5.1</w:t>
            </w:r>
          </w:p>
        </w:tc>
        <w:tc>
          <w:tcPr>
            <w:tcW w:w="1202" w:type="dxa"/>
          </w:tcPr>
          <w:p>
            <w:pPr>
              <w:pStyle w:val="TableParagraph"/>
              <w:spacing w:line="161" w:lineRule="exact" w:before="4"/>
              <w:ind w:right="214"/>
              <w:jc w:val="right"/>
              <w:rPr>
                <w:sz w:val="15"/>
              </w:rPr>
            </w:pPr>
            <w:r>
              <w:rPr>
                <w:spacing w:val="-5"/>
                <w:sz w:val="15"/>
              </w:rPr>
              <w:t>15</w:t>
            </w:r>
          </w:p>
        </w:tc>
        <w:tc>
          <w:tcPr>
            <w:tcW w:w="1039" w:type="dxa"/>
          </w:tcPr>
          <w:p>
            <w:pPr>
              <w:pStyle w:val="TableParagraph"/>
              <w:spacing w:line="161" w:lineRule="exact" w:before="4"/>
              <w:ind w:right="189"/>
              <w:jc w:val="right"/>
              <w:rPr>
                <w:sz w:val="15"/>
              </w:rPr>
            </w:pPr>
            <w:r>
              <w:rPr>
                <w:spacing w:val="-5"/>
                <w:sz w:val="15"/>
              </w:rPr>
              <w:t>53</w:t>
            </w:r>
          </w:p>
        </w:tc>
        <w:tc>
          <w:tcPr>
            <w:tcW w:w="1064" w:type="dxa"/>
          </w:tcPr>
          <w:p>
            <w:pPr>
              <w:pStyle w:val="TableParagraph"/>
              <w:spacing w:line="161" w:lineRule="exact" w:before="4"/>
              <w:ind w:right="190"/>
              <w:jc w:val="right"/>
              <w:rPr>
                <w:sz w:val="15"/>
              </w:rPr>
            </w:pPr>
            <w:r>
              <w:rPr>
                <w:spacing w:val="-5"/>
                <w:sz w:val="15"/>
              </w:rPr>
              <w:t>15</w:t>
            </w:r>
          </w:p>
        </w:tc>
        <w:tc>
          <w:tcPr>
            <w:tcW w:w="952" w:type="dxa"/>
          </w:tcPr>
          <w:p>
            <w:pPr>
              <w:pStyle w:val="TableParagraph"/>
              <w:spacing w:line="161" w:lineRule="exact" w:before="4"/>
              <w:ind w:right="78"/>
              <w:jc w:val="right"/>
              <w:rPr>
                <w:sz w:val="15"/>
              </w:rPr>
            </w:pPr>
            <w:r>
              <w:rPr>
                <w:spacing w:val="-5"/>
                <w:sz w:val="15"/>
              </w:rPr>
              <w:t>53</w:t>
            </w:r>
          </w:p>
        </w:tc>
      </w:tr>
      <w:tr>
        <w:trPr>
          <w:trHeight w:val="184" w:hRule="atLeast"/>
        </w:trPr>
        <w:tc>
          <w:tcPr>
            <w:tcW w:w="3050" w:type="dxa"/>
          </w:tcPr>
          <w:p>
            <w:pPr>
              <w:pStyle w:val="TableParagraph"/>
              <w:spacing w:line="161" w:lineRule="exact" w:before="4"/>
              <w:ind w:left="257"/>
              <w:rPr>
                <w:sz w:val="15"/>
              </w:rPr>
            </w:pPr>
            <w:r>
              <w:rPr>
                <w:sz w:val="15"/>
              </w:rPr>
              <w:t>Investment</w:t>
            </w:r>
            <w:r>
              <w:rPr>
                <w:spacing w:val="4"/>
                <w:sz w:val="15"/>
              </w:rPr>
              <w:t> </w:t>
            </w:r>
            <w:r>
              <w:rPr>
                <w:spacing w:val="-2"/>
                <w:sz w:val="15"/>
              </w:rPr>
              <w:t>properties</w:t>
            </w:r>
          </w:p>
        </w:tc>
        <w:tc>
          <w:tcPr>
            <w:tcW w:w="1083" w:type="dxa"/>
          </w:tcPr>
          <w:p>
            <w:pPr>
              <w:pStyle w:val="TableParagraph"/>
              <w:spacing w:line="161" w:lineRule="exact" w:before="4"/>
              <w:ind w:left="515" w:right="2"/>
              <w:jc w:val="center"/>
              <w:rPr>
                <w:sz w:val="15"/>
              </w:rPr>
            </w:pPr>
            <w:r>
              <w:rPr>
                <w:spacing w:val="-5"/>
                <w:sz w:val="15"/>
              </w:rPr>
              <w:t>5.3</w:t>
            </w:r>
          </w:p>
        </w:tc>
        <w:tc>
          <w:tcPr>
            <w:tcW w:w="1202" w:type="dxa"/>
          </w:tcPr>
          <w:p>
            <w:pPr>
              <w:pStyle w:val="TableParagraph"/>
              <w:spacing w:line="161" w:lineRule="exact" w:before="4"/>
              <w:ind w:right="214"/>
              <w:jc w:val="right"/>
              <w:rPr>
                <w:sz w:val="15"/>
              </w:rPr>
            </w:pPr>
            <w:r>
              <w:rPr>
                <w:spacing w:val="-2"/>
                <w:sz w:val="15"/>
              </w:rPr>
              <w:t>34,958</w:t>
            </w:r>
          </w:p>
        </w:tc>
        <w:tc>
          <w:tcPr>
            <w:tcW w:w="1039" w:type="dxa"/>
          </w:tcPr>
          <w:p>
            <w:pPr>
              <w:pStyle w:val="TableParagraph"/>
              <w:spacing w:line="161" w:lineRule="exact" w:before="4"/>
              <w:ind w:right="189"/>
              <w:jc w:val="right"/>
              <w:rPr>
                <w:sz w:val="15"/>
              </w:rPr>
            </w:pPr>
            <w:r>
              <w:rPr>
                <w:spacing w:val="-2"/>
                <w:sz w:val="15"/>
              </w:rPr>
              <w:t>32,072</w:t>
            </w:r>
          </w:p>
        </w:tc>
        <w:tc>
          <w:tcPr>
            <w:tcW w:w="1064" w:type="dxa"/>
          </w:tcPr>
          <w:p>
            <w:pPr>
              <w:pStyle w:val="TableParagraph"/>
              <w:spacing w:line="161" w:lineRule="exact" w:before="4"/>
              <w:ind w:right="190"/>
              <w:jc w:val="right"/>
              <w:rPr>
                <w:sz w:val="15"/>
              </w:rPr>
            </w:pPr>
            <w:r>
              <w:rPr>
                <w:spacing w:val="-2"/>
                <w:sz w:val="15"/>
              </w:rPr>
              <w:t>34,958</w:t>
            </w:r>
          </w:p>
        </w:tc>
        <w:tc>
          <w:tcPr>
            <w:tcW w:w="952" w:type="dxa"/>
          </w:tcPr>
          <w:p>
            <w:pPr>
              <w:pStyle w:val="TableParagraph"/>
              <w:spacing w:line="161" w:lineRule="exact" w:before="4"/>
              <w:ind w:right="78"/>
              <w:jc w:val="right"/>
              <w:rPr>
                <w:sz w:val="15"/>
              </w:rPr>
            </w:pPr>
            <w:r>
              <w:rPr>
                <w:spacing w:val="-2"/>
                <w:sz w:val="15"/>
              </w:rPr>
              <w:t>32,072</w:t>
            </w:r>
          </w:p>
        </w:tc>
      </w:tr>
      <w:tr>
        <w:trPr>
          <w:trHeight w:val="183" w:hRule="atLeast"/>
        </w:trPr>
        <w:tc>
          <w:tcPr>
            <w:tcW w:w="3050" w:type="dxa"/>
          </w:tcPr>
          <w:p>
            <w:pPr>
              <w:pStyle w:val="TableParagraph"/>
              <w:spacing w:line="160" w:lineRule="exact" w:before="4"/>
              <w:ind w:left="257"/>
              <w:rPr>
                <w:sz w:val="15"/>
              </w:rPr>
            </w:pPr>
            <w:r>
              <w:rPr>
                <w:sz w:val="15"/>
              </w:rPr>
              <w:t>Other</w:t>
            </w:r>
            <w:r>
              <w:rPr>
                <w:spacing w:val="3"/>
                <w:sz w:val="15"/>
              </w:rPr>
              <w:t> </w:t>
            </w:r>
            <w:r>
              <w:rPr>
                <w:sz w:val="15"/>
              </w:rPr>
              <w:t>financial</w:t>
            </w:r>
            <w:r>
              <w:rPr>
                <w:spacing w:val="3"/>
                <w:sz w:val="15"/>
              </w:rPr>
              <w:t> </w:t>
            </w:r>
            <w:r>
              <w:rPr>
                <w:spacing w:val="-2"/>
                <w:sz w:val="15"/>
              </w:rPr>
              <w:t>assets</w:t>
            </w:r>
          </w:p>
        </w:tc>
        <w:tc>
          <w:tcPr>
            <w:tcW w:w="1083" w:type="dxa"/>
          </w:tcPr>
          <w:p>
            <w:pPr>
              <w:pStyle w:val="TableParagraph"/>
              <w:spacing w:line="160" w:lineRule="exact" w:before="4"/>
              <w:ind w:left="515" w:right="2"/>
              <w:jc w:val="center"/>
              <w:rPr>
                <w:sz w:val="15"/>
              </w:rPr>
            </w:pPr>
            <w:r>
              <w:rPr>
                <w:spacing w:val="-5"/>
                <w:sz w:val="15"/>
              </w:rPr>
              <w:t>6.2</w:t>
            </w:r>
          </w:p>
        </w:tc>
        <w:tc>
          <w:tcPr>
            <w:tcW w:w="1202" w:type="dxa"/>
          </w:tcPr>
          <w:p>
            <w:pPr>
              <w:pStyle w:val="TableParagraph"/>
              <w:spacing w:line="160" w:lineRule="exact" w:before="4"/>
              <w:ind w:right="214"/>
              <w:jc w:val="right"/>
              <w:rPr>
                <w:sz w:val="15"/>
              </w:rPr>
            </w:pPr>
            <w:r>
              <w:rPr>
                <w:spacing w:val="-2"/>
                <w:sz w:val="15"/>
              </w:rPr>
              <w:t>940,148</w:t>
            </w:r>
          </w:p>
        </w:tc>
        <w:tc>
          <w:tcPr>
            <w:tcW w:w="1039" w:type="dxa"/>
          </w:tcPr>
          <w:p>
            <w:pPr>
              <w:pStyle w:val="TableParagraph"/>
              <w:spacing w:line="160" w:lineRule="exact" w:before="4"/>
              <w:ind w:right="189"/>
              <w:jc w:val="right"/>
              <w:rPr>
                <w:sz w:val="15"/>
              </w:rPr>
            </w:pPr>
            <w:r>
              <w:rPr>
                <w:spacing w:val="-2"/>
                <w:sz w:val="15"/>
              </w:rPr>
              <w:t>850,044</w:t>
            </w:r>
          </w:p>
        </w:tc>
        <w:tc>
          <w:tcPr>
            <w:tcW w:w="1064" w:type="dxa"/>
          </w:tcPr>
          <w:p>
            <w:pPr>
              <w:pStyle w:val="TableParagraph"/>
              <w:spacing w:line="160" w:lineRule="exact" w:before="4"/>
              <w:ind w:right="189"/>
              <w:jc w:val="right"/>
              <w:rPr>
                <w:sz w:val="15"/>
              </w:rPr>
            </w:pPr>
            <w:r>
              <w:rPr>
                <w:spacing w:val="-2"/>
                <w:sz w:val="15"/>
              </w:rPr>
              <w:t>939,109</w:t>
            </w:r>
          </w:p>
        </w:tc>
        <w:tc>
          <w:tcPr>
            <w:tcW w:w="952" w:type="dxa"/>
          </w:tcPr>
          <w:p>
            <w:pPr>
              <w:pStyle w:val="TableParagraph"/>
              <w:spacing w:line="160" w:lineRule="exact" w:before="4"/>
              <w:ind w:right="78"/>
              <w:jc w:val="right"/>
              <w:rPr>
                <w:sz w:val="15"/>
              </w:rPr>
            </w:pPr>
            <w:r>
              <w:rPr>
                <w:spacing w:val="-2"/>
                <w:sz w:val="15"/>
              </w:rPr>
              <w:t>849,026</w:t>
            </w:r>
          </w:p>
        </w:tc>
      </w:tr>
      <w:tr>
        <w:trPr>
          <w:trHeight w:val="185" w:hRule="atLeast"/>
        </w:trPr>
        <w:tc>
          <w:tcPr>
            <w:tcW w:w="3050" w:type="dxa"/>
          </w:tcPr>
          <w:p>
            <w:pPr>
              <w:pStyle w:val="TableParagraph"/>
              <w:spacing w:line="163" w:lineRule="exact" w:before="3"/>
              <w:ind w:left="257"/>
              <w:rPr>
                <w:sz w:val="15"/>
              </w:rPr>
            </w:pPr>
            <w:r>
              <w:rPr>
                <w:sz w:val="15"/>
              </w:rPr>
              <w:t>Other</w:t>
            </w:r>
            <w:r>
              <w:rPr>
                <w:spacing w:val="4"/>
                <w:sz w:val="15"/>
              </w:rPr>
              <w:t> </w:t>
            </w:r>
            <w:r>
              <w:rPr>
                <w:sz w:val="15"/>
              </w:rPr>
              <w:t>non-financial</w:t>
            </w:r>
            <w:r>
              <w:rPr>
                <w:spacing w:val="4"/>
                <w:sz w:val="15"/>
              </w:rPr>
              <w:t> </w:t>
            </w:r>
            <w:r>
              <w:rPr>
                <w:spacing w:val="-2"/>
                <w:sz w:val="15"/>
              </w:rPr>
              <w:t>assets</w:t>
            </w:r>
          </w:p>
        </w:tc>
        <w:tc>
          <w:tcPr>
            <w:tcW w:w="1083" w:type="dxa"/>
          </w:tcPr>
          <w:p>
            <w:pPr>
              <w:pStyle w:val="TableParagraph"/>
              <w:spacing w:line="161" w:lineRule="exact" w:before="5"/>
              <w:ind w:left="515" w:right="2"/>
              <w:jc w:val="center"/>
              <w:rPr>
                <w:sz w:val="15"/>
              </w:rPr>
            </w:pPr>
            <w:r>
              <w:rPr>
                <w:spacing w:val="-5"/>
                <w:sz w:val="15"/>
              </w:rPr>
              <w:t>5.2</w:t>
            </w:r>
          </w:p>
        </w:tc>
        <w:tc>
          <w:tcPr>
            <w:tcW w:w="1202" w:type="dxa"/>
          </w:tcPr>
          <w:p>
            <w:pPr>
              <w:pStyle w:val="TableParagraph"/>
              <w:spacing w:line="161" w:lineRule="exact" w:before="5"/>
              <w:ind w:right="214"/>
              <w:jc w:val="right"/>
              <w:rPr>
                <w:sz w:val="15"/>
              </w:rPr>
            </w:pPr>
            <w:r>
              <w:rPr>
                <w:spacing w:val="-2"/>
                <w:sz w:val="15"/>
              </w:rPr>
              <w:t>4,267</w:t>
            </w:r>
          </w:p>
        </w:tc>
        <w:tc>
          <w:tcPr>
            <w:tcW w:w="1039" w:type="dxa"/>
          </w:tcPr>
          <w:p>
            <w:pPr>
              <w:pStyle w:val="TableParagraph"/>
              <w:spacing w:line="161" w:lineRule="exact" w:before="5"/>
              <w:ind w:right="189"/>
              <w:jc w:val="right"/>
              <w:rPr>
                <w:sz w:val="15"/>
              </w:rPr>
            </w:pPr>
            <w:r>
              <w:rPr>
                <w:spacing w:val="-2"/>
                <w:sz w:val="15"/>
              </w:rPr>
              <w:t>4,623</w:t>
            </w:r>
          </w:p>
        </w:tc>
        <w:tc>
          <w:tcPr>
            <w:tcW w:w="1064" w:type="dxa"/>
          </w:tcPr>
          <w:p>
            <w:pPr>
              <w:pStyle w:val="TableParagraph"/>
              <w:spacing w:line="161" w:lineRule="exact" w:before="5"/>
              <w:ind w:right="190"/>
              <w:jc w:val="right"/>
              <w:rPr>
                <w:sz w:val="15"/>
              </w:rPr>
            </w:pPr>
            <w:r>
              <w:rPr>
                <w:spacing w:val="-2"/>
                <w:sz w:val="15"/>
              </w:rPr>
              <w:t>4,267</w:t>
            </w:r>
          </w:p>
        </w:tc>
        <w:tc>
          <w:tcPr>
            <w:tcW w:w="952" w:type="dxa"/>
          </w:tcPr>
          <w:p>
            <w:pPr>
              <w:pStyle w:val="TableParagraph"/>
              <w:spacing w:line="161" w:lineRule="exact" w:before="5"/>
              <w:ind w:right="78"/>
              <w:jc w:val="right"/>
              <w:rPr>
                <w:sz w:val="15"/>
              </w:rPr>
            </w:pPr>
            <w:r>
              <w:rPr>
                <w:spacing w:val="-2"/>
                <w:sz w:val="15"/>
              </w:rPr>
              <w:t>4,623</w:t>
            </w:r>
          </w:p>
        </w:tc>
      </w:tr>
      <w:tr>
        <w:trPr>
          <w:trHeight w:val="184" w:hRule="atLeast"/>
        </w:trPr>
        <w:tc>
          <w:tcPr>
            <w:tcW w:w="3050" w:type="dxa"/>
          </w:tcPr>
          <w:p>
            <w:pPr>
              <w:pStyle w:val="TableParagraph"/>
              <w:spacing w:line="161" w:lineRule="exact" w:before="4"/>
              <w:ind w:left="257"/>
              <w:rPr>
                <w:sz w:val="15"/>
              </w:rPr>
            </w:pPr>
            <w:r>
              <w:rPr>
                <w:sz w:val="15"/>
              </w:rPr>
              <w:t>Property, plant and</w:t>
            </w:r>
            <w:r>
              <w:rPr>
                <w:spacing w:val="1"/>
                <w:sz w:val="15"/>
              </w:rPr>
              <w:t> </w:t>
            </w:r>
            <w:r>
              <w:rPr>
                <w:spacing w:val="-2"/>
                <w:sz w:val="15"/>
              </w:rPr>
              <w:t>equipment</w:t>
            </w:r>
          </w:p>
        </w:tc>
        <w:tc>
          <w:tcPr>
            <w:tcW w:w="1083" w:type="dxa"/>
          </w:tcPr>
          <w:p>
            <w:pPr>
              <w:pStyle w:val="TableParagraph"/>
              <w:spacing w:line="161" w:lineRule="exact" w:before="4"/>
              <w:ind w:left="515" w:right="2"/>
              <w:jc w:val="center"/>
              <w:rPr>
                <w:sz w:val="15"/>
              </w:rPr>
            </w:pPr>
            <w:r>
              <w:rPr>
                <w:spacing w:val="-5"/>
                <w:sz w:val="15"/>
              </w:rPr>
              <w:t>5.5</w:t>
            </w:r>
          </w:p>
        </w:tc>
        <w:tc>
          <w:tcPr>
            <w:tcW w:w="1202" w:type="dxa"/>
          </w:tcPr>
          <w:p>
            <w:pPr>
              <w:pStyle w:val="TableParagraph"/>
              <w:spacing w:line="161" w:lineRule="exact" w:before="4"/>
              <w:ind w:right="214"/>
              <w:jc w:val="right"/>
              <w:rPr>
                <w:sz w:val="15"/>
              </w:rPr>
            </w:pPr>
            <w:r>
              <w:rPr>
                <w:spacing w:val="-2"/>
                <w:sz w:val="15"/>
              </w:rPr>
              <w:t>1,364,518</w:t>
            </w:r>
          </w:p>
        </w:tc>
        <w:tc>
          <w:tcPr>
            <w:tcW w:w="1039" w:type="dxa"/>
          </w:tcPr>
          <w:p>
            <w:pPr>
              <w:pStyle w:val="TableParagraph"/>
              <w:spacing w:line="161" w:lineRule="exact" w:before="4"/>
              <w:ind w:left="167"/>
              <w:rPr>
                <w:sz w:val="15"/>
              </w:rPr>
            </w:pPr>
            <w:r>
              <w:rPr>
                <w:spacing w:val="-2"/>
                <w:sz w:val="15"/>
              </w:rPr>
              <w:t>1,358,929</w:t>
            </w:r>
          </w:p>
        </w:tc>
        <w:tc>
          <w:tcPr>
            <w:tcW w:w="1064" w:type="dxa"/>
          </w:tcPr>
          <w:p>
            <w:pPr>
              <w:pStyle w:val="TableParagraph"/>
              <w:spacing w:line="161" w:lineRule="exact" w:before="4"/>
              <w:ind w:left="192"/>
              <w:rPr>
                <w:sz w:val="15"/>
              </w:rPr>
            </w:pPr>
            <w:r>
              <w:rPr>
                <w:spacing w:val="-2"/>
                <w:sz w:val="15"/>
              </w:rPr>
              <w:t>1,363,103</w:t>
            </w:r>
          </w:p>
        </w:tc>
        <w:tc>
          <w:tcPr>
            <w:tcW w:w="952" w:type="dxa"/>
          </w:tcPr>
          <w:p>
            <w:pPr>
              <w:pStyle w:val="TableParagraph"/>
              <w:spacing w:line="161" w:lineRule="exact" w:before="4"/>
              <w:ind w:right="78"/>
              <w:jc w:val="right"/>
              <w:rPr>
                <w:sz w:val="15"/>
              </w:rPr>
            </w:pPr>
            <w:r>
              <w:rPr>
                <w:spacing w:val="-2"/>
                <w:sz w:val="15"/>
              </w:rPr>
              <w:t>1,357,226</w:t>
            </w:r>
          </w:p>
        </w:tc>
      </w:tr>
      <w:tr>
        <w:trPr>
          <w:trHeight w:val="364" w:hRule="atLeast"/>
        </w:trPr>
        <w:tc>
          <w:tcPr>
            <w:tcW w:w="3050" w:type="dxa"/>
          </w:tcPr>
          <w:p>
            <w:pPr>
              <w:pStyle w:val="TableParagraph"/>
              <w:spacing w:before="4"/>
              <w:ind w:left="257"/>
              <w:rPr>
                <w:sz w:val="15"/>
              </w:rPr>
            </w:pPr>
            <w:r>
              <w:rPr>
                <w:sz w:val="15"/>
              </w:rPr>
              <w:t>Intangible</w:t>
            </w:r>
            <w:r>
              <w:rPr>
                <w:spacing w:val="2"/>
                <w:sz w:val="15"/>
              </w:rPr>
              <w:t> </w:t>
            </w:r>
            <w:r>
              <w:rPr>
                <w:spacing w:val="-2"/>
                <w:sz w:val="15"/>
              </w:rPr>
              <w:t>assets</w:t>
            </w:r>
          </w:p>
        </w:tc>
        <w:tc>
          <w:tcPr>
            <w:tcW w:w="1083" w:type="dxa"/>
          </w:tcPr>
          <w:p>
            <w:pPr>
              <w:pStyle w:val="TableParagraph"/>
              <w:spacing w:before="4"/>
              <w:ind w:left="515" w:right="2"/>
              <w:jc w:val="center"/>
              <w:rPr>
                <w:sz w:val="15"/>
              </w:rPr>
            </w:pPr>
            <w:r>
              <w:rPr>
                <w:spacing w:val="-5"/>
                <w:sz w:val="15"/>
              </w:rPr>
              <w:t>5.4</w:t>
            </w:r>
          </w:p>
        </w:tc>
        <w:tc>
          <w:tcPr>
            <w:tcW w:w="1202" w:type="dxa"/>
            <w:tcBorders>
              <w:bottom w:val="single" w:sz="6" w:space="0" w:color="000000"/>
            </w:tcBorders>
          </w:tcPr>
          <w:p>
            <w:pPr>
              <w:pStyle w:val="TableParagraph"/>
              <w:spacing w:before="4"/>
              <w:ind w:right="214"/>
              <w:jc w:val="right"/>
              <w:rPr>
                <w:sz w:val="15"/>
              </w:rPr>
            </w:pPr>
            <w:r>
              <w:rPr>
                <w:spacing w:val="-2"/>
                <w:sz w:val="15"/>
              </w:rPr>
              <w:t>44,023</w:t>
            </w:r>
          </w:p>
        </w:tc>
        <w:tc>
          <w:tcPr>
            <w:tcW w:w="1039" w:type="dxa"/>
            <w:tcBorders>
              <w:bottom w:val="single" w:sz="6" w:space="0" w:color="000000"/>
            </w:tcBorders>
          </w:tcPr>
          <w:p>
            <w:pPr>
              <w:pStyle w:val="TableParagraph"/>
              <w:spacing w:before="4"/>
              <w:ind w:right="189"/>
              <w:jc w:val="right"/>
              <w:rPr>
                <w:sz w:val="15"/>
              </w:rPr>
            </w:pPr>
            <w:r>
              <w:rPr>
                <w:spacing w:val="-2"/>
                <w:sz w:val="15"/>
              </w:rPr>
              <w:t>42,734</w:t>
            </w:r>
          </w:p>
        </w:tc>
        <w:tc>
          <w:tcPr>
            <w:tcW w:w="1064" w:type="dxa"/>
            <w:tcBorders>
              <w:bottom w:val="single" w:sz="6" w:space="0" w:color="000000"/>
            </w:tcBorders>
          </w:tcPr>
          <w:p>
            <w:pPr>
              <w:pStyle w:val="TableParagraph"/>
              <w:spacing w:before="4"/>
              <w:ind w:right="190"/>
              <w:jc w:val="right"/>
              <w:rPr>
                <w:sz w:val="15"/>
              </w:rPr>
            </w:pPr>
            <w:r>
              <w:rPr>
                <w:spacing w:val="-2"/>
                <w:sz w:val="15"/>
              </w:rPr>
              <w:t>44,023</w:t>
            </w:r>
          </w:p>
        </w:tc>
        <w:tc>
          <w:tcPr>
            <w:tcW w:w="952" w:type="dxa"/>
            <w:tcBorders>
              <w:bottom w:val="single" w:sz="6" w:space="0" w:color="000000"/>
            </w:tcBorders>
          </w:tcPr>
          <w:p>
            <w:pPr>
              <w:pStyle w:val="TableParagraph"/>
              <w:spacing w:before="4"/>
              <w:ind w:right="78"/>
              <w:jc w:val="right"/>
              <w:rPr>
                <w:sz w:val="15"/>
              </w:rPr>
            </w:pPr>
            <w:r>
              <w:rPr>
                <w:spacing w:val="-2"/>
                <w:sz w:val="15"/>
              </w:rPr>
              <w:t>42,734</w:t>
            </w:r>
          </w:p>
        </w:tc>
      </w:tr>
      <w:tr>
        <w:trPr>
          <w:trHeight w:val="166" w:hRule="atLeast"/>
        </w:trPr>
        <w:tc>
          <w:tcPr>
            <w:tcW w:w="8390" w:type="dxa"/>
            <w:gridSpan w:val="6"/>
          </w:tcPr>
          <w:p>
            <w:pPr>
              <w:pStyle w:val="TableParagraph"/>
              <w:tabs>
                <w:tab w:pos="4133" w:val="left" w:leader="none"/>
                <w:tab w:pos="4439" w:val="left" w:leader="none"/>
                <w:tab w:pos="5502" w:val="left" w:leader="none"/>
                <w:tab w:pos="6566" w:val="left" w:leader="none"/>
                <w:tab w:pos="7629" w:val="left" w:leader="none"/>
              </w:tabs>
              <w:spacing w:line="147" w:lineRule="exact"/>
              <w:ind w:left="50" w:right="-15"/>
              <w:rPr>
                <w:sz w:val="15"/>
              </w:rPr>
            </w:pPr>
            <w:r>
              <w:rPr>
                <w:sz w:val="15"/>
              </w:rPr>
              <w:t>Total</w:t>
            </w:r>
            <w:r>
              <w:rPr>
                <w:spacing w:val="3"/>
                <w:sz w:val="15"/>
              </w:rPr>
              <w:t> </w:t>
            </w:r>
            <w:r>
              <w:rPr>
                <w:sz w:val="15"/>
              </w:rPr>
              <w:t>non-current</w:t>
            </w:r>
            <w:r>
              <w:rPr>
                <w:spacing w:val="3"/>
                <w:sz w:val="15"/>
              </w:rPr>
              <w:t> </w:t>
            </w:r>
            <w:r>
              <w:rPr>
                <w:spacing w:val="-2"/>
                <w:sz w:val="15"/>
              </w:rPr>
              <w:t>assets</w:t>
            </w:r>
            <w:r>
              <w:rPr>
                <w:sz w:val="15"/>
              </w:rPr>
              <w:tab/>
            </w:r>
            <w:r>
              <w:rPr>
                <w:sz w:val="15"/>
                <w:u w:val="single"/>
              </w:rPr>
              <w:tab/>
            </w:r>
            <w:r>
              <w:rPr>
                <w:spacing w:val="-2"/>
                <w:sz w:val="15"/>
                <w:u w:val="single"/>
              </w:rPr>
              <w:t>2,387,929</w:t>
            </w:r>
            <w:r>
              <w:rPr>
                <w:sz w:val="15"/>
                <w:u w:val="single"/>
              </w:rPr>
              <w:tab/>
            </w:r>
            <w:r>
              <w:rPr>
                <w:spacing w:val="-2"/>
                <w:sz w:val="15"/>
                <w:u w:val="single"/>
              </w:rPr>
              <w:t>2,288,455</w:t>
            </w:r>
            <w:r>
              <w:rPr>
                <w:sz w:val="15"/>
                <w:u w:val="single"/>
              </w:rPr>
              <w:tab/>
            </w:r>
            <w:r>
              <w:rPr>
                <w:spacing w:val="-2"/>
                <w:sz w:val="15"/>
                <w:u w:val="single"/>
              </w:rPr>
              <w:t>2,385,475</w:t>
            </w:r>
            <w:r>
              <w:rPr>
                <w:sz w:val="15"/>
                <w:u w:val="single"/>
              </w:rPr>
              <w:tab/>
            </w:r>
            <w:r>
              <w:rPr>
                <w:spacing w:val="-2"/>
                <w:sz w:val="15"/>
                <w:u w:val="single"/>
              </w:rPr>
              <w:t>2,285,734</w:t>
            </w:r>
            <w:r>
              <w:rPr>
                <w:spacing w:val="80"/>
                <w:sz w:val="15"/>
                <w:u w:val="single"/>
              </w:rPr>
              <w:t> </w:t>
            </w:r>
          </w:p>
        </w:tc>
      </w:tr>
      <w:tr>
        <w:trPr>
          <w:trHeight w:val="374" w:hRule="atLeast"/>
        </w:trPr>
        <w:tc>
          <w:tcPr>
            <w:tcW w:w="3050" w:type="dxa"/>
          </w:tcPr>
          <w:p>
            <w:pPr>
              <w:pStyle w:val="TableParagraph"/>
              <w:spacing w:before="20"/>
              <w:rPr>
                <w:sz w:val="15"/>
              </w:rPr>
            </w:pPr>
          </w:p>
          <w:p>
            <w:pPr>
              <w:pStyle w:val="TableParagraph"/>
              <w:spacing w:line="162" w:lineRule="exact"/>
              <w:ind w:left="50"/>
              <w:rPr>
                <w:b/>
                <w:sz w:val="15"/>
              </w:rPr>
            </w:pPr>
            <w:r>
              <w:rPr>
                <w:b/>
                <w:sz w:val="15"/>
              </w:rPr>
              <w:t>Total</w:t>
            </w:r>
            <w:r>
              <w:rPr>
                <w:b/>
                <w:spacing w:val="-1"/>
                <w:sz w:val="15"/>
              </w:rPr>
              <w:t> </w:t>
            </w:r>
            <w:r>
              <w:rPr>
                <w:b/>
                <w:spacing w:val="-2"/>
                <w:sz w:val="15"/>
              </w:rPr>
              <w:t>assets</w:t>
            </w:r>
          </w:p>
        </w:tc>
        <w:tc>
          <w:tcPr>
            <w:tcW w:w="1083" w:type="dxa"/>
          </w:tcPr>
          <w:p>
            <w:pPr>
              <w:pStyle w:val="TableParagraph"/>
              <w:rPr>
                <w:rFonts w:ascii="Times New Roman"/>
                <w:sz w:val="14"/>
              </w:rPr>
            </w:pPr>
          </w:p>
        </w:tc>
        <w:tc>
          <w:tcPr>
            <w:tcW w:w="1202" w:type="dxa"/>
            <w:tcBorders>
              <w:bottom w:val="single" w:sz="12" w:space="0" w:color="000000"/>
            </w:tcBorders>
          </w:tcPr>
          <w:p>
            <w:pPr>
              <w:pStyle w:val="TableParagraph"/>
              <w:spacing w:before="20"/>
              <w:rPr>
                <w:sz w:val="15"/>
              </w:rPr>
            </w:pPr>
          </w:p>
          <w:p>
            <w:pPr>
              <w:pStyle w:val="TableParagraph"/>
              <w:spacing w:line="162" w:lineRule="exact"/>
              <w:ind w:right="214"/>
              <w:jc w:val="right"/>
              <w:rPr>
                <w:b/>
                <w:sz w:val="15"/>
              </w:rPr>
            </w:pPr>
            <w:r>
              <w:rPr>
                <w:b/>
                <w:spacing w:val="-2"/>
                <w:sz w:val="15"/>
              </w:rPr>
              <w:t>2,589,087</w:t>
            </w:r>
          </w:p>
        </w:tc>
        <w:tc>
          <w:tcPr>
            <w:tcW w:w="1039" w:type="dxa"/>
            <w:tcBorders>
              <w:bottom w:val="single" w:sz="12" w:space="0" w:color="000000"/>
            </w:tcBorders>
          </w:tcPr>
          <w:p>
            <w:pPr>
              <w:pStyle w:val="TableParagraph"/>
              <w:spacing w:before="20"/>
              <w:rPr>
                <w:sz w:val="15"/>
              </w:rPr>
            </w:pPr>
          </w:p>
          <w:p>
            <w:pPr>
              <w:pStyle w:val="TableParagraph"/>
              <w:spacing w:line="162" w:lineRule="exact"/>
              <w:ind w:left="167"/>
              <w:rPr>
                <w:b/>
                <w:sz w:val="15"/>
              </w:rPr>
            </w:pPr>
            <w:r>
              <w:rPr>
                <w:b/>
                <w:spacing w:val="-2"/>
                <w:sz w:val="15"/>
              </w:rPr>
              <w:t>2,454,853</w:t>
            </w:r>
          </w:p>
        </w:tc>
        <w:tc>
          <w:tcPr>
            <w:tcW w:w="1064" w:type="dxa"/>
            <w:tcBorders>
              <w:bottom w:val="single" w:sz="12" w:space="0" w:color="000000"/>
            </w:tcBorders>
          </w:tcPr>
          <w:p>
            <w:pPr>
              <w:pStyle w:val="TableParagraph"/>
              <w:spacing w:before="20"/>
              <w:rPr>
                <w:sz w:val="15"/>
              </w:rPr>
            </w:pPr>
          </w:p>
          <w:p>
            <w:pPr>
              <w:pStyle w:val="TableParagraph"/>
              <w:spacing w:line="162" w:lineRule="exact"/>
              <w:ind w:left="192"/>
              <w:rPr>
                <w:b/>
                <w:sz w:val="15"/>
              </w:rPr>
            </w:pPr>
            <w:r>
              <w:rPr>
                <w:b/>
                <w:spacing w:val="-2"/>
                <w:sz w:val="15"/>
              </w:rPr>
              <w:t>2,574,786</w:t>
            </w:r>
          </w:p>
        </w:tc>
        <w:tc>
          <w:tcPr>
            <w:tcW w:w="952" w:type="dxa"/>
            <w:tcBorders>
              <w:bottom w:val="single" w:sz="12" w:space="0" w:color="000000"/>
            </w:tcBorders>
          </w:tcPr>
          <w:p>
            <w:pPr>
              <w:pStyle w:val="TableParagraph"/>
              <w:spacing w:before="20"/>
              <w:rPr>
                <w:sz w:val="15"/>
              </w:rPr>
            </w:pPr>
          </w:p>
          <w:p>
            <w:pPr>
              <w:pStyle w:val="TableParagraph"/>
              <w:spacing w:line="162" w:lineRule="exact"/>
              <w:ind w:right="78"/>
              <w:jc w:val="right"/>
              <w:rPr>
                <w:b/>
                <w:sz w:val="15"/>
              </w:rPr>
            </w:pPr>
            <w:r>
              <w:rPr>
                <w:b/>
                <w:spacing w:val="-2"/>
                <w:sz w:val="15"/>
              </w:rPr>
              <w:t>2,436,638</w:t>
            </w:r>
          </w:p>
        </w:tc>
      </w:tr>
      <w:tr>
        <w:trPr>
          <w:trHeight w:val="168" w:hRule="atLeast"/>
        </w:trPr>
        <w:tc>
          <w:tcPr>
            <w:tcW w:w="3050" w:type="dxa"/>
          </w:tcPr>
          <w:p>
            <w:pPr>
              <w:pStyle w:val="TableParagraph"/>
              <w:spacing w:line="148" w:lineRule="exact"/>
              <w:ind w:left="257"/>
              <w:rPr>
                <w:sz w:val="15"/>
              </w:rPr>
            </w:pPr>
            <w:r>
              <w:rPr>
                <w:sz w:val="15"/>
              </w:rPr>
              <w:t>Unrestricted</w:t>
            </w:r>
            <w:r>
              <w:rPr>
                <w:spacing w:val="5"/>
                <w:sz w:val="15"/>
              </w:rPr>
              <w:t> </w:t>
            </w:r>
            <w:r>
              <w:rPr>
                <w:spacing w:val="-2"/>
                <w:sz w:val="15"/>
              </w:rPr>
              <w:t>assets</w:t>
            </w:r>
          </w:p>
        </w:tc>
        <w:tc>
          <w:tcPr>
            <w:tcW w:w="1083" w:type="dxa"/>
          </w:tcPr>
          <w:p>
            <w:pPr>
              <w:pStyle w:val="TableParagraph"/>
              <w:spacing w:line="148" w:lineRule="exact"/>
              <w:ind w:left="515" w:right="2"/>
              <w:jc w:val="center"/>
              <w:rPr>
                <w:sz w:val="15"/>
              </w:rPr>
            </w:pPr>
            <w:r>
              <w:rPr>
                <w:spacing w:val="-5"/>
                <w:sz w:val="15"/>
              </w:rPr>
              <w:t>1.4</w:t>
            </w:r>
          </w:p>
        </w:tc>
        <w:tc>
          <w:tcPr>
            <w:tcW w:w="1202" w:type="dxa"/>
            <w:tcBorders>
              <w:top w:val="single" w:sz="12" w:space="0" w:color="000000"/>
            </w:tcBorders>
          </w:tcPr>
          <w:p>
            <w:pPr>
              <w:pStyle w:val="TableParagraph"/>
              <w:spacing w:line="148" w:lineRule="exact"/>
              <w:ind w:right="214"/>
              <w:jc w:val="right"/>
              <w:rPr>
                <w:sz w:val="15"/>
              </w:rPr>
            </w:pPr>
            <w:r>
              <w:rPr>
                <w:spacing w:val="-2"/>
                <w:sz w:val="15"/>
              </w:rPr>
              <w:t>1,380,699</w:t>
            </w:r>
          </w:p>
        </w:tc>
        <w:tc>
          <w:tcPr>
            <w:tcW w:w="1039" w:type="dxa"/>
            <w:tcBorders>
              <w:top w:val="single" w:sz="12" w:space="0" w:color="000000"/>
            </w:tcBorders>
          </w:tcPr>
          <w:p>
            <w:pPr>
              <w:pStyle w:val="TableParagraph"/>
              <w:spacing w:line="148" w:lineRule="exact"/>
              <w:ind w:left="167"/>
              <w:rPr>
                <w:sz w:val="15"/>
              </w:rPr>
            </w:pPr>
            <w:r>
              <w:rPr>
                <w:spacing w:val="-2"/>
                <w:sz w:val="15"/>
              </w:rPr>
              <w:t>1,315,520</w:t>
            </w:r>
          </w:p>
        </w:tc>
        <w:tc>
          <w:tcPr>
            <w:tcW w:w="1064" w:type="dxa"/>
            <w:tcBorders>
              <w:top w:val="single" w:sz="12" w:space="0" w:color="000000"/>
            </w:tcBorders>
          </w:tcPr>
          <w:p>
            <w:pPr>
              <w:pStyle w:val="TableParagraph"/>
              <w:spacing w:line="148" w:lineRule="exact"/>
              <w:ind w:left="192"/>
              <w:rPr>
                <w:sz w:val="15"/>
              </w:rPr>
            </w:pPr>
            <w:r>
              <w:rPr>
                <w:spacing w:val="-2"/>
                <w:sz w:val="15"/>
              </w:rPr>
              <w:t>1,366,398</w:t>
            </w:r>
          </w:p>
        </w:tc>
        <w:tc>
          <w:tcPr>
            <w:tcW w:w="952" w:type="dxa"/>
            <w:tcBorders>
              <w:top w:val="single" w:sz="12" w:space="0" w:color="000000"/>
            </w:tcBorders>
          </w:tcPr>
          <w:p>
            <w:pPr>
              <w:pStyle w:val="TableParagraph"/>
              <w:spacing w:line="148" w:lineRule="exact"/>
              <w:ind w:right="78"/>
              <w:jc w:val="right"/>
              <w:rPr>
                <w:sz w:val="15"/>
              </w:rPr>
            </w:pPr>
            <w:r>
              <w:rPr>
                <w:spacing w:val="-2"/>
                <w:sz w:val="15"/>
              </w:rPr>
              <w:t>1,297,305</w:t>
            </w:r>
          </w:p>
        </w:tc>
      </w:tr>
      <w:tr>
        <w:trPr>
          <w:trHeight w:val="177" w:hRule="atLeast"/>
        </w:trPr>
        <w:tc>
          <w:tcPr>
            <w:tcW w:w="3050" w:type="dxa"/>
          </w:tcPr>
          <w:p>
            <w:pPr>
              <w:pStyle w:val="TableParagraph"/>
              <w:spacing w:line="153" w:lineRule="exact" w:before="4"/>
              <w:ind w:left="257"/>
              <w:rPr>
                <w:sz w:val="15"/>
              </w:rPr>
            </w:pPr>
            <w:r>
              <w:rPr>
                <w:sz w:val="15"/>
              </w:rPr>
              <w:t>Restricted</w:t>
            </w:r>
            <w:r>
              <w:rPr>
                <w:spacing w:val="4"/>
                <w:sz w:val="15"/>
              </w:rPr>
              <w:t> </w:t>
            </w:r>
            <w:r>
              <w:rPr>
                <w:spacing w:val="-2"/>
                <w:sz w:val="15"/>
              </w:rPr>
              <w:t>assets</w:t>
            </w:r>
          </w:p>
        </w:tc>
        <w:tc>
          <w:tcPr>
            <w:tcW w:w="1083" w:type="dxa"/>
          </w:tcPr>
          <w:p>
            <w:pPr>
              <w:pStyle w:val="TableParagraph"/>
              <w:spacing w:line="153" w:lineRule="exact" w:before="4"/>
              <w:ind w:left="515" w:right="2"/>
              <w:jc w:val="center"/>
              <w:rPr>
                <w:sz w:val="15"/>
              </w:rPr>
            </w:pPr>
            <w:r>
              <w:rPr>
                <w:spacing w:val="-5"/>
                <w:sz w:val="15"/>
              </w:rPr>
              <w:t>1.4</w:t>
            </w:r>
          </w:p>
        </w:tc>
        <w:tc>
          <w:tcPr>
            <w:tcW w:w="1202" w:type="dxa"/>
          </w:tcPr>
          <w:p>
            <w:pPr>
              <w:pStyle w:val="TableParagraph"/>
              <w:spacing w:line="153" w:lineRule="exact" w:before="4"/>
              <w:ind w:right="214"/>
              <w:jc w:val="right"/>
              <w:rPr>
                <w:sz w:val="15"/>
              </w:rPr>
            </w:pPr>
            <w:r>
              <w:rPr>
                <w:spacing w:val="-2"/>
                <w:sz w:val="15"/>
              </w:rPr>
              <w:t>1,208,388</w:t>
            </w:r>
          </w:p>
        </w:tc>
        <w:tc>
          <w:tcPr>
            <w:tcW w:w="1039" w:type="dxa"/>
          </w:tcPr>
          <w:p>
            <w:pPr>
              <w:pStyle w:val="TableParagraph"/>
              <w:spacing w:line="153" w:lineRule="exact" w:before="4"/>
              <w:ind w:left="167"/>
              <w:rPr>
                <w:sz w:val="15"/>
              </w:rPr>
            </w:pPr>
            <w:r>
              <w:rPr>
                <w:spacing w:val="-2"/>
                <w:sz w:val="15"/>
              </w:rPr>
              <w:t>1,139,333</w:t>
            </w:r>
          </w:p>
        </w:tc>
        <w:tc>
          <w:tcPr>
            <w:tcW w:w="1064" w:type="dxa"/>
          </w:tcPr>
          <w:p>
            <w:pPr>
              <w:pStyle w:val="TableParagraph"/>
              <w:spacing w:line="153" w:lineRule="exact" w:before="4"/>
              <w:ind w:left="192"/>
              <w:rPr>
                <w:sz w:val="15"/>
              </w:rPr>
            </w:pPr>
            <w:r>
              <w:rPr>
                <w:spacing w:val="-2"/>
                <w:sz w:val="15"/>
              </w:rPr>
              <w:t>1,208,388</w:t>
            </w:r>
          </w:p>
        </w:tc>
        <w:tc>
          <w:tcPr>
            <w:tcW w:w="952" w:type="dxa"/>
          </w:tcPr>
          <w:p>
            <w:pPr>
              <w:pStyle w:val="TableParagraph"/>
              <w:spacing w:line="153" w:lineRule="exact" w:before="4"/>
              <w:ind w:right="78"/>
              <w:jc w:val="right"/>
              <w:rPr>
                <w:sz w:val="15"/>
              </w:rPr>
            </w:pPr>
            <w:r>
              <w:rPr>
                <w:spacing w:val="-2"/>
                <w:sz w:val="15"/>
              </w:rPr>
              <w:t>1,139,333</w:t>
            </w:r>
          </w:p>
        </w:tc>
      </w:tr>
    </w:tbl>
    <w:p>
      <w:pPr>
        <w:spacing w:line="240" w:lineRule="auto" w:before="63"/>
        <w:rPr>
          <w:sz w:val="13"/>
        </w:rPr>
      </w:pPr>
    </w:p>
    <w:p>
      <w:pPr>
        <w:spacing w:before="0"/>
        <w:ind w:left="252" w:right="0" w:firstLine="0"/>
        <w:jc w:val="left"/>
        <w:rPr>
          <w:b/>
          <w:sz w:val="15"/>
        </w:rPr>
      </w:pPr>
      <w:r>
        <w:rPr>
          <w:b/>
          <w:spacing w:val="-2"/>
          <w:sz w:val="15"/>
        </w:rPr>
        <w:t>LIABILITIES</w:t>
      </w:r>
    </w:p>
    <w:p>
      <w:pPr>
        <w:spacing w:before="13" w:after="16"/>
        <w:ind w:left="252" w:right="0" w:firstLine="0"/>
        <w:jc w:val="left"/>
        <w:rPr>
          <w:b/>
          <w:sz w:val="15"/>
        </w:rPr>
      </w:pPr>
      <w:r>
        <w:rPr>
          <w:b/>
          <w:sz w:val="15"/>
        </w:rPr>
        <w:t>Current</w:t>
      </w:r>
      <w:r>
        <w:rPr>
          <w:b/>
          <w:spacing w:val="2"/>
          <w:sz w:val="15"/>
        </w:rPr>
        <w:t> </w:t>
      </w:r>
      <w:r>
        <w:rPr>
          <w:b/>
          <w:spacing w:val="-2"/>
          <w:sz w:val="15"/>
        </w:rPr>
        <w:t>liabilities</w:t>
      </w:r>
    </w:p>
    <w:tbl>
      <w:tblPr>
        <w:tblW w:w="0" w:type="auto"/>
        <w:jc w:val="left"/>
        <w:tblInd w:w="2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72"/>
        <w:gridCol w:w="1143"/>
        <w:gridCol w:w="1181"/>
        <w:gridCol w:w="1084"/>
        <w:gridCol w:w="1063"/>
        <w:gridCol w:w="926"/>
      </w:tblGrid>
      <w:tr>
        <w:trPr>
          <w:trHeight w:val="177" w:hRule="atLeast"/>
        </w:trPr>
        <w:tc>
          <w:tcPr>
            <w:tcW w:w="2972" w:type="dxa"/>
          </w:tcPr>
          <w:p>
            <w:pPr>
              <w:pStyle w:val="TableParagraph"/>
              <w:spacing w:line="157" w:lineRule="exact"/>
              <w:ind w:left="238"/>
              <w:rPr>
                <w:sz w:val="15"/>
              </w:rPr>
            </w:pPr>
            <w:r>
              <w:rPr>
                <w:sz w:val="15"/>
              </w:rPr>
              <w:t>Trade</w:t>
            </w:r>
            <w:r>
              <w:rPr>
                <w:spacing w:val="2"/>
                <w:sz w:val="15"/>
              </w:rPr>
              <w:t> </w:t>
            </w:r>
            <w:r>
              <w:rPr>
                <w:sz w:val="15"/>
              </w:rPr>
              <w:t>and</w:t>
            </w:r>
            <w:r>
              <w:rPr>
                <w:spacing w:val="3"/>
                <w:sz w:val="15"/>
              </w:rPr>
              <w:t> </w:t>
            </w:r>
            <w:r>
              <w:rPr>
                <w:sz w:val="15"/>
              </w:rPr>
              <w:t>other</w:t>
            </w:r>
            <w:r>
              <w:rPr>
                <w:spacing w:val="1"/>
                <w:sz w:val="15"/>
              </w:rPr>
              <w:t> </w:t>
            </w:r>
            <w:r>
              <w:rPr>
                <w:spacing w:val="-2"/>
                <w:sz w:val="15"/>
              </w:rPr>
              <w:t>payables</w:t>
            </w:r>
          </w:p>
        </w:tc>
        <w:tc>
          <w:tcPr>
            <w:tcW w:w="1143" w:type="dxa"/>
          </w:tcPr>
          <w:p>
            <w:pPr>
              <w:pStyle w:val="TableParagraph"/>
              <w:spacing w:line="157" w:lineRule="exact"/>
              <w:ind w:right="178"/>
              <w:jc w:val="right"/>
              <w:rPr>
                <w:sz w:val="15"/>
              </w:rPr>
            </w:pPr>
            <w:r>
              <w:rPr>
                <w:spacing w:val="-5"/>
                <w:sz w:val="15"/>
              </w:rPr>
              <w:t>5.6</w:t>
            </w:r>
          </w:p>
        </w:tc>
        <w:tc>
          <w:tcPr>
            <w:tcW w:w="1181" w:type="dxa"/>
          </w:tcPr>
          <w:p>
            <w:pPr>
              <w:pStyle w:val="TableParagraph"/>
              <w:spacing w:line="157" w:lineRule="exact"/>
              <w:ind w:right="194"/>
              <w:jc w:val="right"/>
              <w:rPr>
                <w:sz w:val="15"/>
              </w:rPr>
            </w:pPr>
            <w:r>
              <w:rPr>
                <w:spacing w:val="-2"/>
                <w:sz w:val="15"/>
              </w:rPr>
              <w:t>48,463</w:t>
            </w:r>
          </w:p>
        </w:tc>
        <w:tc>
          <w:tcPr>
            <w:tcW w:w="1084" w:type="dxa"/>
          </w:tcPr>
          <w:p>
            <w:pPr>
              <w:pStyle w:val="TableParagraph"/>
              <w:spacing w:line="157" w:lineRule="exact"/>
              <w:ind w:right="214"/>
              <w:jc w:val="right"/>
              <w:rPr>
                <w:sz w:val="15"/>
              </w:rPr>
            </w:pPr>
            <w:r>
              <w:rPr>
                <w:spacing w:val="-2"/>
                <w:sz w:val="15"/>
              </w:rPr>
              <w:t>70,084</w:t>
            </w:r>
          </w:p>
        </w:tc>
        <w:tc>
          <w:tcPr>
            <w:tcW w:w="1063" w:type="dxa"/>
          </w:tcPr>
          <w:p>
            <w:pPr>
              <w:pStyle w:val="TableParagraph"/>
              <w:spacing w:line="157" w:lineRule="exact"/>
              <w:ind w:right="213"/>
              <w:jc w:val="right"/>
              <w:rPr>
                <w:sz w:val="15"/>
              </w:rPr>
            </w:pPr>
            <w:r>
              <w:rPr>
                <w:spacing w:val="-2"/>
                <w:sz w:val="15"/>
              </w:rPr>
              <w:t>47,495</w:t>
            </w:r>
          </w:p>
        </w:tc>
        <w:tc>
          <w:tcPr>
            <w:tcW w:w="926" w:type="dxa"/>
          </w:tcPr>
          <w:p>
            <w:pPr>
              <w:pStyle w:val="TableParagraph"/>
              <w:spacing w:line="157" w:lineRule="exact"/>
              <w:ind w:right="76"/>
              <w:jc w:val="right"/>
              <w:rPr>
                <w:sz w:val="15"/>
              </w:rPr>
            </w:pPr>
            <w:r>
              <w:rPr>
                <w:spacing w:val="-2"/>
                <w:sz w:val="15"/>
              </w:rPr>
              <w:t>68,230</w:t>
            </w:r>
          </w:p>
        </w:tc>
      </w:tr>
      <w:tr>
        <w:trPr>
          <w:trHeight w:val="184" w:hRule="atLeast"/>
        </w:trPr>
        <w:tc>
          <w:tcPr>
            <w:tcW w:w="2972" w:type="dxa"/>
          </w:tcPr>
          <w:p>
            <w:pPr>
              <w:pStyle w:val="TableParagraph"/>
              <w:spacing w:line="161" w:lineRule="exact" w:before="4"/>
              <w:ind w:right="750"/>
              <w:jc w:val="right"/>
              <w:rPr>
                <w:sz w:val="15"/>
              </w:rPr>
            </w:pPr>
            <w:r>
              <w:rPr>
                <w:sz w:val="15"/>
              </w:rPr>
              <w:t>Employee</w:t>
            </w:r>
            <w:r>
              <w:rPr>
                <w:spacing w:val="1"/>
                <w:sz w:val="15"/>
              </w:rPr>
              <w:t> </w:t>
            </w:r>
            <w:r>
              <w:rPr>
                <w:sz w:val="15"/>
              </w:rPr>
              <w:t>benefits</w:t>
            </w:r>
            <w:r>
              <w:rPr>
                <w:spacing w:val="2"/>
                <w:sz w:val="15"/>
              </w:rPr>
              <w:t> </w:t>
            </w:r>
            <w:r>
              <w:rPr>
                <w:spacing w:val="-2"/>
                <w:sz w:val="15"/>
              </w:rPr>
              <w:t>provisions</w:t>
            </w:r>
          </w:p>
        </w:tc>
        <w:tc>
          <w:tcPr>
            <w:tcW w:w="1143" w:type="dxa"/>
          </w:tcPr>
          <w:p>
            <w:pPr>
              <w:pStyle w:val="TableParagraph"/>
              <w:spacing w:line="161" w:lineRule="exact" w:before="4"/>
              <w:ind w:right="178"/>
              <w:jc w:val="right"/>
              <w:rPr>
                <w:sz w:val="15"/>
              </w:rPr>
            </w:pPr>
            <w:r>
              <w:rPr>
                <w:spacing w:val="-5"/>
                <w:sz w:val="15"/>
              </w:rPr>
              <w:t>3.2</w:t>
            </w:r>
          </w:p>
        </w:tc>
        <w:tc>
          <w:tcPr>
            <w:tcW w:w="1181" w:type="dxa"/>
          </w:tcPr>
          <w:p>
            <w:pPr>
              <w:pStyle w:val="TableParagraph"/>
              <w:spacing w:line="161" w:lineRule="exact" w:before="4"/>
              <w:ind w:right="194"/>
              <w:jc w:val="right"/>
              <w:rPr>
                <w:sz w:val="15"/>
              </w:rPr>
            </w:pPr>
            <w:r>
              <w:rPr>
                <w:spacing w:val="-2"/>
                <w:sz w:val="15"/>
              </w:rPr>
              <w:t>96,883</w:t>
            </w:r>
          </w:p>
        </w:tc>
        <w:tc>
          <w:tcPr>
            <w:tcW w:w="1084" w:type="dxa"/>
          </w:tcPr>
          <w:p>
            <w:pPr>
              <w:pStyle w:val="TableParagraph"/>
              <w:spacing w:line="161" w:lineRule="exact" w:before="4"/>
              <w:ind w:right="214"/>
              <w:jc w:val="right"/>
              <w:rPr>
                <w:sz w:val="15"/>
              </w:rPr>
            </w:pPr>
            <w:r>
              <w:rPr>
                <w:spacing w:val="-2"/>
                <w:sz w:val="15"/>
              </w:rPr>
              <w:t>90,817</w:t>
            </w:r>
          </w:p>
        </w:tc>
        <w:tc>
          <w:tcPr>
            <w:tcW w:w="1063" w:type="dxa"/>
          </w:tcPr>
          <w:p>
            <w:pPr>
              <w:pStyle w:val="TableParagraph"/>
              <w:spacing w:line="161" w:lineRule="exact" w:before="4"/>
              <w:ind w:right="213"/>
              <w:jc w:val="right"/>
              <w:rPr>
                <w:sz w:val="15"/>
              </w:rPr>
            </w:pPr>
            <w:r>
              <w:rPr>
                <w:spacing w:val="-2"/>
                <w:sz w:val="15"/>
              </w:rPr>
              <w:t>95,469</w:t>
            </w:r>
          </w:p>
        </w:tc>
        <w:tc>
          <w:tcPr>
            <w:tcW w:w="926" w:type="dxa"/>
          </w:tcPr>
          <w:p>
            <w:pPr>
              <w:pStyle w:val="TableParagraph"/>
              <w:spacing w:line="161" w:lineRule="exact" w:before="4"/>
              <w:ind w:right="76"/>
              <w:jc w:val="right"/>
              <w:rPr>
                <w:sz w:val="15"/>
              </w:rPr>
            </w:pPr>
            <w:r>
              <w:rPr>
                <w:spacing w:val="-2"/>
                <w:sz w:val="15"/>
              </w:rPr>
              <w:t>89,448</w:t>
            </w:r>
          </w:p>
        </w:tc>
      </w:tr>
      <w:tr>
        <w:trPr>
          <w:trHeight w:val="184" w:hRule="atLeast"/>
        </w:trPr>
        <w:tc>
          <w:tcPr>
            <w:tcW w:w="2972" w:type="dxa"/>
          </w:tcPr>
          <w:p>
            <w:pPr>
              <w:pStyle w:val="TableParagraph"/>
              <w:spacing w:line="161" w:lineRule="exact" w:before="4"/>
              <w:ind w:left="238"/>
              <w:rPr>
                <w:sz w:val="15"/>
              </w:rPr>
            </w:pPr>
            <w:r>
              <w:rPr>
                <w:spacing w:val="-2"/>
                <w:sz w:val="15"/>
              </w:rPr>
              <w:t>Provisions</w:t>
            </w:r>
          </w:p>
        </w:tc>
        <w:tc>
          <w:tcPr>
            <w:tcW w:w="1143" w:type="dxa"/>
          </w:tcPr>
          <w:p>
            <w:pPr>
              <w:pStyle w:val="TableParagraph"/>
              <w:rPr>
                <w:rFonts w:ascii="Times New Roman"/>
                <w:sz w:val="12"/>
              </w:rPr>
            </w:pPr>
          </w:p>
        </w:tc>
        <w:tc>
          <w:tcPr>
            <w:tcW w:w="1181" w:type="dxa"/>
          </w:tcPr>
          <w:p>
            <w:pPr>
              <w:pStyle w:val="TableParagraph"/>
              <w:spacing w:line="161" w:lineRule="exact" w:before="4"/>
              <w:ind w:right="194"/>
              <w:jc w:val="right"/>
              <w:rPr>
                <w:sz w:val="15"/>
              </w:rPr>
            </w:pPr>
            <w:r>
              <w:rPr>
                <w:spacing w:val="-5"/>
                <w:sz w:val="15"/>
              </w:rPr>
              <w:t>90</w:t>
            </w:r>
          </w:p>
        </w:tc>
        <w:tc>
          <w:tcPr>
            <w:tcW w:w="1084" w:type="dxa"/>
          </w:tcPr>
          <w:p>
            <w:pPr>
              <w:pStyle w:val="TableParagraph"/>
              <w:spacing w:line="161" w:lineRule="exact" w:before="4"/>
              <w:ind w:right="214"/>
              <w:jc w:val="right"/>
              <w:rPr>
                <w:sz w:val="15"/>
              </w:rPr>
            </w:pPr>
            <w:r>
              <w:rPr>
                <w:spacing w:val="-5"/>
                <w:sz w:val="15"/>
              </w:rPr>
              <w:t>90</w:t>
            </w:r>
          </w:p>
        </w:tc>
        <w:tc>
          <w:tcPr>
            <w:tcW w:w="1063" w:type="dxa"/>
          </w:tcPr>
          <w:p>
            <w:pPr>
              <w:pStyle w:val="TableParagraph"/>
              <w:spacing w:line="161" w:lineRule="exact" w:before="4"/>
              <w:ind w:right="214"/>
              <w:jc w:val="right"/>
              <w:rPr>
                <w:sz w:val="15"/>
              </w:rPr>
            </w:pPr>
            <w:r>
              <w:rPr>
                <w:spacing w:val="-5"/>
                <w:sz w:val="15"/>
              </w:rPr>
              <w:t>90</w:t>
            </w:r>
          </w:p>
        </w:tc>
        <w:tc>
          <w:tcPr>
            <w:tcW w:w="926" w:type="dxa"/>
          </w:tcPr>
          <w:p>
            <w:pPr>
              <w:pStyle w:val="TableParagraph"/>
              <w:spacing w:line="161" w:lineRule="exact" w:before="4"/>
              <w:ind w:right="76"/>
              <w:jc w:val="right"/>
              <w:rPr>
                <w:sz w:val="15"/>
              </w:rPr>
            </w:pPr>
            <w:r>
              <w:rPr>
                <w:spacing w:val="-5"/>
                <w:sz w:val="15"/>
              </w:rPr>
              <w:t>90</w:t>
            </w:r>
          </w:p>
        </w:tc>
      </w:tr>
      <w:tr>
        <w:trPr>
          <w:trHeight w:val="184" w:hRule="atLeast"/>
        </w:trPr>
        <w:tc>
          <w:tcPr>
            <w:tcW w:w="2972" w:type="dxa"/>
          </w:tcPr>
          <w:p>
            <w:pPr>
              <w:pStyle w:val="TableParagraph"/>
              <w:spacing w:line="161" w:lineRule="exact" w:before="4"/>
              <w:ind w:left="238"/>
              <w:rPr>
                <w:sz w:val="15"/>
              </w:rPr>
            </w:pPr>
            <w:r>
              <w:rPr>
                <w:sz w:val="15"/>
              </w:rPr>
              <w:t>Other</w:t>
            </w:r>
            <w:r>
              <w:rPr>
                <w:spacing w:val="1"/>
                <w:sz w:val="15"/>
              </w:rPr>
              <w:t> </w:t>
            </w:r>
            <w:r>
              <w:rPr>
                <w:spacing w:val="-2"/>
                <w:sz w:val="15"/>
              </w:rPr>
              <w:t>liabilities</w:t>
            </w:r>
          </w:p>
        </w:tc>
        <w:tc>
          <w:tcPr>
            <w:tcW w:w="1143" w:type="dxa"/>
          </w:tcPr>
          <w:p>
            <w:pPr>
              <w:pStyle w:val="TableParagraph"/>
              <w:spacing w:line="161" w:lineRule="exact" w:before="4"/>
              <w:ind w:right="178"/>
              <w:jc w:val="right"/>
              <w:rPr>
                <w:sz w:val="15"/>
              </w:rPr>
            </w:pPr>
            <w:r>
              <w:rPr>
                <w:spacing w:val="-5"/>
                <w:sz w:val="15"/>
              </w:rPr>
              <w:t>5.7</w:t>
            </w:r>
          </w:p>
        </w:tc>
        <w:tc>
          <w:tcPr>
            <w:tcW w:w="1181" w:type="dxa"/>
          </w:tcPr>
          <w:p>
            <w:pPr>
              <w:pStyle w:val="TableParagraph"/>
              <w:spacing w:line="161" w:lineRule="exact" w:before="4"/>
              <w:ind w:right="194"/>
              <w:jc w:val="right"/>
              <w:rPr>
                <w:sz w:val="15"/>
              </w:rPr>
            </w:pPr>
            <w:r>
              <w:rPr>
                <w:spacing w:val="-2"/>
                <w:sz w:val="15"/>
              </w:rPr>
              <w:t>64,238</w:t>
            </w:r>
          </w:p>
        </w:tc>
        <w:tc>
          <w:tcPr>
            <w:tcW w:w="1084" w:type="dxa"/>
          </w:tcPr>
          <w:p>
            <w:pPr>
              <w:pStyle w:val="TableParagraph"/>
              <w:spacing w:line="161" w:lineRule="exact" w:before="4"/>
              <w:ind w:right="214"/>
              <w:jc w:val="right"/>
              <w:rPr>
                <w:sz w:val="15"/>
              </w:rPr>
            </w:pPr>
            <w:r>
              <w:rPr>
                <w:spacing w:val="-2"/>
                <w:sz w:val="15"/>
              </w:rPr>
              <w:t>43,247</w:t>
            </w:r>
          </w:p>
        </w:tc>
        <w:tc>
          <w:tcPr>
            <w:tcW w:w="1063" w:type="dxa"/>
          </w:tcPr>
          <w:p>
            <w:pPr>
              <w:pStyle w:val="TableParagraph"/>
              <w:spacing w:line="161" w:lineRule="exact" w:before="4"/>
              <w:ind w:right="213"/>
              <w:jc w:val="right"/>
              <w:rPr>
                <w:sz w:val="15"/>
              </w:rPr>
            </w:pPr>
            <w:r>
              <w:rPr>
                <w:spacing w:val="-2"/>
                <w:sz w:val="15"/>
              </w:rPr>
              <w:t>61,379</w:t>
            </w:r>
          </w:p>
        </w:tc>
        <w:tc>
          <w:tcPr>
            <w:tcW w:w="926" w:type="dxa"/>
          </w:tcPr>
          <w:p>
            <w:pPr>
              <w:pStyle w:val="TableParagraph"/>
              <w:spacing w:line="161" w:lineRule="exact" w:before="4"/>
              <w:ind w:right="76"/>
              <w:jc w:val="right"/>
              <w:rPr>
                <w:sz w:val="15"/>
              </w:rPr>
            </w:pPr>
            <w:r>
              <w:rPr>
                <w:spacing w:val="-2"/>
                <w:sz w:val="15"/>
              </w:rPr>
              <w:t>40,266</w:t>
            </w:r>
          </w:p>
        </w:tc>
      </w:tr>
      <w:tr>
        <w:trPr>
          <w:trHeight w:val="184" w:hRule="atLeast"/>
        </w:trPr>
        <w:tc>
          <w:tcPr>
            <w:tcW w:w="2972" w:type="dxa"/>
          </w:tcPr>
          <w:p>
            <w:pPr>
              <w:pStyle w:val="TableParagraph"/>
              <w:spacing w:line="161" w:lineRule="exact" w:before="4"/>
              <w:ind w:left="238"/>
              <w:rPr>
                <w:sz w:val="15"/>
              </w:rPr>
            </w:pPr>
            <w:r>
              <w:rPr>
                <w:sz w:val="15"/>
              </w:rPr>
              <w:t>Contract</w:t>
            </w:r>
            <w:r>
              <w:rPr>
                <w:spacing w:val="3"/>
                <w:sz w:val="15"/>
              </w:rPr>
              <w:t> </w:t>
            </w:r>
            <w:r>
              <w:rPr>
                <w:spacing w:val="-2"/>
                <w:sz w:val="15"/>
              </w:rPr>
              <w:t>liabilities</w:t>
            </w:r>
          </w:p>
        </w:tc>
        <w:tc>
          <w:tcPr>
            <w:tcW w:w="1143" w:type="dxa"/>
          </w:tcPr>
          <w:p>
            <w:pPr>
              <w:pStyle w:val="TableParagraph"/>
              <w:spacing w:line="161" w:lineRule="exact" w:before="4"/>
              <w:ind w:right="178"/>
              <w:jc w:val="right"/>
              <w:rPr>
                <w:sz w:val="15"/>
              </w:rPr>
            </w:pPr>
            <w:r>
              <w:rPr>
                <w:spacing w:val="-5"/>
                <w:sz w:val="15"/>
              </w:rPr>
              <w:t>5.7</w:t>
            </w:r>
          </w:p>
        </w:tc>
        <w:tc>
          <w:tcPr>
            <w:tcW w:w="1181" w:type="dxa"/>
          </w:tcPr>
          <w:p>
            <w:pPr>
              <w:pStyle w:val="TableParagraph"/>
              <w:spacing w:line="161" w:lineRule="exact" w:before="4"/>
              <w:ind w:right="194"/>
              <w:jc w:val="right"/>
              <w:rPr>
                <w:sz w:val="15"/>
              </w:rPr>
            </w:pPr>
            <w:r>
              <w:rPr>
                <w:spacing w:val="-2"/>
                <w:sz w:val="15"/>
              </w:rPr>
              <w:t>89,605</w:t>
            </w:r>
          </w:p>
        </w:tc>
        <w:tc>
          <w:tcPr>
            <w:tcW w:w="1084" w:type="dxa"/>
          </w:tcPr>
          <w:p>
            <w:pPr>
              <w:pStyle w:val="TableParagraph"/>
              <w:spacing w:line="161" w:lineRule="exact" w:before="4"/>
              <w:ind w:right="214"/>
              <w:jc w:val="right"/>
              <w:rPr>
                <w:sz w:val="15"/>
              </w:rPr>
            </w:pPr>
            <w:r>
              <w:rPr>
                <w:spacing w:val="-2"/>
                <w:sz w:val="15"/>
              </w:rPr>
              <w:t>3,004</w:t>
            </w:r>
          </w:p>
        </w:tc>
        <w:tc>
          <w:tcPr>
            <w:tcW w:w="1063" w:type="dxa"/>
          </w:tcPr>
          <w:p>
            <w:pPr>
              <w:pStyle w:val="TableParagraph"/>
              <w:spacing w:line="161" w:lineRule="exact" w:before="4"/>
              <w:ind w:right="214"/>
              <w:jc w:val="right"/>
              <w:rPr>
                <w:sz w:val="15"/>
              </w:rPr>
            </w:pPr>
            <w:r>
              <w:rPr>
                <w:spacing w:val="-2"/>
                <w:sz w:val="15"/>
              </w:rPr>
              <w:t>89,605</w:t>
            </w:r>
          </w:p>
        </w:tc>
        <w:tc>
          <w:tcPr>
            <w:tcW w:w="926" w:type="dxa"/>
          </w:tcPr>
          <w:p>
            <w:pPr>
              <w:pStyle w:val="TableParagraph"/>
              <w:spacing w:line="161" w:lineRule="exact" w:before="4"/>
              <w:ind w:right="76"/>
              <w:jc w:val="right"/>
              <w:rPr>
                <w:sz w:val="15"/>
              </w:rPr>
            </w:pPr>
            <w:r>
              <w:rPr>
                <w:spacing w:val="-2"/>
                <w:sz w:val="15"/>
              </w:rPr>
              <w:t>2,897</w:t>
            </w:r>
          </w:p>
        </w:tc>
      </w:tr>
      <w:tr>
        <w:trPr>
          <w:trHeight w:val="364" w:hRule="atLeast"/>
        </w:trPr>
        <w:tc>
          <w:tcPr>
            <w:tcW w:w="2972" w:type="dxa"/>
          </w:tcPr>
          <w:p>
            <w:pPr>
              <w:pStyle w:val="TableParagraph"/>
              <w:spacing w:before="4"/>
              <w:ind w:left="238"/>
              <w:rPr>
                <w:sz w:val="15"/>
              </w:rPr>
            </w:pPr>
            <w:r>
              <w:rPr>
                <w:spacing w:val="-2"/>
                <w:sz w:val="15"/>
              </w:rPr>
              <w:t>Borrowings</w:t>
            </w:r>
          </w:p>
        </w:tc>
        <w:tc>
          <w:tcPr>
            <w:tcW w:w="1143" w:type="dxa"/>
          </w:tcPr>
          <w:p>
            <w:pPr>
              <w:pStyle w:val="TableParagraph"/>
              <w:spacing w:before="4"/>
              <w:ind w:right="178"/>
              <w:jc w:val="right"/>
              <w:rPr>
                <w:sz w:val="15"/>
              </w:rPr>
            </w:pPr>
            <w:r>
              <w:rPr>
                <w:spacing w:val="-5"/>
                <w:sz w:val="15"/>
              </w:rPr>
              <w:t>6.3</w:t>
            </w:r>
          </w:p>
        </w:tc>
        <w:tc>
          <w:tcPr>
            <w:tcW w:w="1181" w:type="dxa"/>
            <w:tcBorders>
              <w:bottom w:val="single" w:sz="6" w:space="0" w:color="000000"/>
            </w:tcBorders>
          </w:tcPr>
          <w:p>
            <w:pPr>
              <w:pStyle w:val="TableParagraph"/>
              <w:spacing w:before="4"/>
              <w:ind w:right="194"/>
              <w:jc w:val="right"/>
              <w:rPr>
                <w:sz w:val="15"/>
              </w:rPr>
            </w:pPr>
            <w:r>
              <w:rPr>
                <w:spacing w:val="-2"/>
                <w:sz w:val="15"/>
              </w:rPr>
              <w:t>6,242</w:t>
            </w:r>
          </w:p>
        </w:tc>
        <w:tc>
          <w:tcPr>
            <w:tcW w:w="1084" w:type="dxa"/>
            <w:tcBorders>
              <w:bottom w:val="single" w:sz="6" w:space="0" w:color="000000"/>
            </w:tcBorders>
          </w:tcPr>
          <w:p>
            <w:pPr>
              <w:pStyle w:val="TableParagraph"/>
              <w:spacing w:before="4"/>
              <w:ind w:right="214"/>
              <w:jc w:val="right"/>
              <w:rPr>
                <w:sz w:val="15"/>
              </w:rPr>
            </w:pPr>
            <w:r>
              <w:rPr>
                <w:spacing w:val="-2"/>
                <w:sz w:val="15"/>
              </w:rPr>
              <w:t>3,785</w:t>
            </w:r>
          </w:p>
        </w:tc>
        <w:tc>
          <w:tcPr>
            <w:tcW w:w="1063" w:type="dxa"/>
            <w:tcBorders>
              <w:bottom w:val="single" w:sz="6" w:space="0" w:color="000000"/>
            </w:tcBorders>
          </w:tcPr>
          <w:p>
            <w:pPr>
              <w:pStyle w:val="TableParagraph"/>
              <w:spacing w:before="4"/>
              <w:ind w:right="213"/>
              <w:jc w:val="right"/>
              <w:rPr>
                <w:sz w:val="15"/>
              </w:rPr>
            </w:pPr>
            <w:r>
              <w:rPr>
                <w:spacing w:val="-2"/>
                <w:sz w:val="15"/>
              </w:rPr>
              <w:t>6,242</w:t>
            </w:r>
          </w:p>
        </w:tc>
        <w:tc>
          <w:tcPr>
            <w:tcW w:w="926" w:type="dxa"/>
            <w:tcBorders>
              <w:bottom w:val="single" w:sz="6" w:space="0" w:color="000000"/>
            </w:tcBorders>
          </w:tcPr>
          <w:p>
            <w:pPr>
              <w:pStyle w:val="TableParagraph"/>
              <w:spacing w:before="4"/>
              <w:ind w:right="76"/>
              <w:jc w:val="right"/>
              <w:rPr>
                <w:sz w:val="15"/>
              </w:rPr>
            </w:pPr>
            <w:r>
              <w:rPr>
                <w:spacing w:val="-2"/>
                <w:sz w:val="15"/>
              </w:rPr>
              <w:t>3,761</w:t>
            </w:r>
          </w:p>
        </w:tc>
      </w:tr>
      <w:tr>
        <w:trPr>
          <w:trHeight w:val="169" w:hRule="atLeast"/>
        </w:trPr>
        <w:tc>
          <w:tcPr>
            <w:tcW w:w="2972" w:type="dxa"/>
          </w:tcPr>
          <w:p>
            <w:pPr>
              <w:pStyle w:val="TableParagraph"/>
              <w:spacing w:line="150" w:lineRule="exact"/>
              <w:ind w:left="31"/>
              <w:rPr>
                <w:sz w:val="15"/>
              </w:rPr>
            </w:pPr>
            <w:r>
              <w:rPr>
                <w:sz w:val="15"/>
              </w:rPr>
              <w:t>Total</w:t>
            </w:r>
            <w:r>
              <w:rPr>
                <w:spacing w:val="2"/>
                <w:sz w:val="15"/>
              </w:rPr>
              <w:t> </w:t>
            </w:r>
            <w:r>
              <w:rPr>
                <w:sz w:val="15"/>
              </w:rPr>
              <w:t>current</w:t>
            </w:r>
            <w:r>
              <w:rPr>
                <w:spacing w:val="2"/>
                <w:sz w:val="15"/>
              </w:rPr>
              <w:t> </w:t>
            </w:r>
            <w:r>
              <w:rPr>
                <w:spacing w:val="-2"/>
                <w:sz w:val="15"/>
              </w:rPr>
              <w:t>liabilities</w:t>
            </w:r>
          </w:p>
        </w:tc>
        <w:tc>
          <w:tcPr>
            <w:tcW w:w="1143" w:type="dxa"/>
          </w:tcPr>
          <w:p>
            <w:pPr>
              <w:pStyle w:val="TableParagraph"/>
              <w:rPr>
                <w:rFonts w:ascii="Times New Roman"/>
                <w:sz w:val="10"/>
              </w:rPr>
            </w:pPr>
          </w:p>
        </w:tc>
        <w:tc>
          <w:tcPr>
            <w:tcW w:w="1181" w:type="dxa"/>
            <w:tcBorders>
              <w:top w:val="single" w:sz="6" w:space="0" w:color="000000"/>
              <w:bottom w:val="single" w:sz="6" w:space="0" w:color="000000"/>
            </w:tcBorders>
          </w:tcPr>
          <w:p>
            <w:pPr>
              <w:pStyle w:val="TableParagraph"/>
              <w:spacing w:line="150" w:lineRule="exact"/>
              <w:ind w:right="193"/>
              <w:jc w:val="right"/>
              <w:rPr>
                <w:sz w:val="15"/>
              </w:rPr>
            </w:pPr>
            <w:r>
              <w:rPr>
                <w:spacing w:val="-2"/>
                <w:sz w:val="15"/>
              </w:rPr>
              <w:t>305,521</w:t>
            </w:r>
          </w:p>
        </w:tc>
        <w:tc>
          <w:tcPr>
            <w:tcW w:w="1084" w:type="dxa"/>
            <w:tcBorders>
              <w:top w:val="single" w:sz="6" w:space="0" w:color="000000"/>
              <w:bottom w:val="single" w:sz="6" w:space="0" w:color="000000"/>
            </w:tcBorders>
          </w:tcPr>
          <w:p>
            <w:pPr>
              <w:pStyle w:val="TableParagraph"/>
              <w:spacing w:line="150" w:lineRule="exact"/>
              <w:ind w:right="214"/>
              <w:jc w:val="right"/>
              <w:rPr>
                <w:sz w:val="15"/>
              </w:rPr>
            </w:pPr>
            <w:r>
              <w:rPr>
                <w:spacing w:val="-2"/>
                <w:sz w:val="15"/>
              </w:rPr>
              <w:t>211,027</w:t>
            </w:r>
          </w:p>
        </w:tc>
        <w:tc>
          <w:tcPr>
            <w:tcW w:w="1063" w:type="dxa"/>
            <w:tcBorders>
              <w:top w:val="single" w:sz="6" w:space="0" w:color="000000"/>
              <w:bottom w:val="single" w:sz="6" w:space="0" w:color="000000"/>
            </w:tcBorders>
          </w:tcPr>
          <w:p>
            <w:pPr>
              <w:pStyle w:val="TableParagraph"/>
              <w:spacing w:line="150" w:lineRule="exact"/>
              <w:ind w:right="213"/>
              <w:jc w:val="right"/>
              <w:rPr>
                <w:sz w:val="15"/>
              </w:rPr>
            </w:pPr>
            <w:r>
              <w:rPr>
                <w:spacing w:val="-2"/>
                <w:sz w:val="15"/>
              </w:rPr>
              <w:t>300,280</w:t>
            </w:r>
          </w:p>
        </w:tc>
        <w:tc>
          <w:tcPr>
            <w:tcW w:w="926" w:type="dxa"/>
            <w:tcBorders>
              <w:top w:val="single" w:sz="6" w:space="0" w:color="000000"/>
              <w:bottom w:val="single" w:sz="6" w:space="0" w:color="000000"/>
            </w:tcBorders>
          </w:tcPr>
          <w:p>
            <w:pPr>
              <w:pStyle w:val="TableParagraph"/>
              <w:spacing w:line="150" w:lineRule="exact"/>
              <w:ind w:left="294"/>
              <w:rPr>
                <w:sz w:val="15"/>
              </w:rPr>
            </w:pPr>
            <w:r>
              <w:rPr>
                <w:spacing w:val="-2"/>
                <w:sz w:val="15"/>
              </w:rPr>
              <w:t>204,692</w:t>
            </w:r>
          </w:p>
        </w:tc>
      </w:tr>
      <w:tr>
        <w:trPr>
          <w:trHeight w:val="359" w:hRule="atLeast"/>
        </w:trPr>
        <w:tc>
          <w:tcPr>
            <w:tcW w:w="2972" w:type="dxa"/>
          </w:tcPr>
          <w:p>
            <w:pPr>
              <w:pStyle w:val="TableParagraph"/>
              <w:spacing w:before="6"/>
              <w:rPr>
                <w:b/>
                <w:sz w:val="15"/>
              </w:rPr>
            </w:pPr>
          </w:p>
          <w:p>
            <w:pPr>
              <w:pStyle w:val="TableParagraph"/>
              <w:spacing w:line="161" w:lineRule="exact"/>
              <w:ind w:left="31"/>
              <w:rPr>
                <w:b/>
                <w:sz w:val="15"/>
              </w:rPr>
            </w:pPr>
            <w:r>
              <w:rPr>
                <w:b/>
                <w:sz w:val="15"/>
              </w:rPr>
              <w:t>Non-current</w:t>
            </w:r>
            <w:r>
              <w:rPr>
                <w:b/>
                <w:spacing w:val="4"/>
                <w:sz w:val="15"/>
              </w:rPr>
              <w:t> </w:t>
            </w:r>
            <w:r>
              <w:rPr>
                <w:b/>
                <w:spacing w:val="-2"/>
                <w:sz w:val="15"/>
              </w:rPr>
              <w:t>liabilities</w:t>
            </w:r>
          </w:p>
        </w:tc>
        <w:tc>
          <w:tcPr>
            <w:tcW w:w="1143" w:type="dxa"/>
          </w:tcPr>
          <w:p>
            <w:pPr>
              <w:pStyle w:val="TableParagraph"/>
              <w:rPr>
                <w:rFonts w:ascii="Times New Roman"/>
                <w:sz w:val="14"/>
              </w:rPr>
            </w:pPr>
          </w:p>
        </w:tc>
        <w:tc>
          <w:tcPr>
            <w:tcW w:w="1181" w:type="dxa"/>
            <w:tcBorders>
              <w:top w:val="single" w:sz="6" w:space="0" w:color="000000"/>
            </w:tcBorders>
          </w:tcPr>
          <w:p>
            <w:pPr>
              <w:pStyle w:val="TableParagraph"/>
              <w:rPr>
                <w:rFonts w:ascii="Times New Roman"/>
                <w:sz w:val="14"/>
              </w:rPr>
            </w:pPr>
          </w:p>
        </w:tc>
        <w:tc>
          <w:tcPr>
            <w:tcW w:w="1084" w:type="dxa"/>
            <w:tcBorders>
              <w:top w:val="single" w:sz="6" w:space="0" w:color="000000"/>
            </w:tcBorders>
          </w:tcPr>
          <w:p>
            <w:pPr>
              <w:pStyle w:val="TableParagraph"/>
              <w:rPr>
                <w:rFonts w:ascii="Times New Roman"/>
                <w:sz w:val="14"/>
              </w:rPr>
            </w:pPr>
          </w:p>
        </w:tc>
        <w:tc>
          <w:tcPr>
            <w:tcW w:w="1063" w:type="dxa"/>
            <w:tcBorders>
              <w:top w:val="single" w:sz="6" w:space="0" w:color="000000"/>
            </w:tcBorders>
          </w:tcPr>
          <w:p>
            <w:pPr>
              <w:pStyle w:val="TableParagraph"/>
              <w:rPr>
                <w:rFonts w:ascii="Times New Roman"/>
                <w:sz w:val="14"/>
              </w:rPr>
            </w:pPr>
          </w:p>
        </w:tc>
        <w:tc>
          <w:tcPr>
            <w:tcW w:w="926" w:type="dxa"/>
            <w:tcBorders>
              <w:top w:val="single" w:sz="6" w:space="0" w:color="000000"/>
            </w:tcBorders>
          </w:tcPr>
          <w:p>
            <w:pPr>
              <w:pStyle w:val="TableParagraph"/>
              <w:rPr>
                <w:rFonts w:ascii="Times New Roman"/>
                <w:sz w:val="14"/>
              </w:rPr>
            </w:pPr>
          </w:p>
        </w:tc>
      </w:tr>
      <w:tr>
        <w:trPr>
          <w:trHeight w:val="184" w:hRule="atLeast"/>
        </w:trPr>
        <w:tc>
          <w:tcPr>
            <w:tcW w:w="2972" w:type="dxa"/>
          </w:tcPr>
          <w:p>
            <w:pPr>
              <w:pStyle w:val="TableParagraph"/>
              <w:spacing w:line="161" w:lineRule="exact" w:before="4"/>
              <w:ind w:right="750"/>
              <w:jc w:val="right"/>
              <w:rPr>
                <w:sz w:val="15"/>
              </w:rPr>
            </w:pPr>
            <w:r>
              <w:rPr>
                <w:sz w:val="15"/>
              </w:rPr>
              <w:t>Employee</w:t>
            </w:r>
            <w:r>
              <w:rPr>
                <w:spacing w:val="1"/>
                <w:sz w:val="15"/>
              </w:rPr>
              <w:t> </w:t>
            </w:r>
            <w:r>
              <w:rPr>
                <w:sz w:val="15"/>
              </w:rPr>
              <w:t>benefits</w:t>
            </w:r>
            <w:r>
              <w:rPr>
                <w:spacing w:val="2"/>
                <w:sz w:val="15"/>
              </w:rPr>
              <w:t> </w:t>
            </w:r>
            <w:r>
              <w:rPr>
                <w:spacing w:val="-2"/>
                <w:sz w:val="15"/>
              </w:rPr>
              <w:t>provisions</w:t>
            </w:r>
          </w:p>
        </w:tc>
        <w:tc>
          <w:tcPr>
            <w:tcW w:w="1143" w:type="dxa"/>
          </w:tcPr>
          <w:p>
            <w:pPr>
              <w:pStyle w:val="TableParagraph"/>
              <w:spacing w:line="161" w:lineRule="exact" w:before="4"/>
              <w:ind w:right="178"/>
              <w:jc w:val="right"/>
              <w:rPr>
                <w:sz w:val="15"/>
              </w:rPr>
            </w:pPr>
            <w:r>
              <w:rPr>
                <w:spacing w:val="-5"/>
                <w:sz w:val="15"/>
              </w:rPr>
              <w:t>3.2</w:t>
            </w:r>
          </w:p>
        </w:tc>
        <w:tc>
          <w:tcPr>
            <w:tcW w:w="1181" w:type="dxa"/>
          </w:tcPr>
          <w:p>
            <w:pPr>
              <w:pStyle w:val="TableParagraph"/>
              <w:spacing w:line="161" w:lineRule="exact" w:before="4"/>
              <w:ind w:right="194"/>
              <w:jc w:val="right"/>
              <w:rPr>
                <w:sz w:val="15"/>
              </w:rPr>
            </w:pPr>
            <w:r>
              <w:rPr>
                <w:spacing w:val="-2"/>
                <w:sz w:val="15"/>
              </w:rPr>
              <w:t>13,195</w:t>
            </w:r>
          </w:p>
        </w:tc>
        <w:tc>
          <w:tcPr>
            <w:tcW w:w="1084" w:type="dxa"/>
          </w:tcPr>
          <w:p>
            <w:pPr>
              <w:pStyle w:val="TableParagraph"/>
              <w:spacing w:line="161" w:lineRule="exact" w:before="4"/>
              <w:ind w:right="214"/>
              <w:jc w:val="right"/>
              <w:rPr>
                <w:sz w:val="15"/>
              </w:rPr>
            </w:pPr>
            <w:r>
              <w:rPr>
                <w:spacing w:val="-2"/>
                <w:sz w:val="15"/>
              </w:rPr>
              <w:t>13,116</w:t>
            </w:r>
          </w:p>
        </w:tc>
        <w:tc>
          <w:tcPr>
            <w:tcW w:w="1063" w:type="dxa"/>
          </w:tcPr>
          <w:p>
            <w:pPr>
              <w:pStyle w:val="TableParagraph"/>
              <w:spacing w:line="161" w:lineRule="exact" w:before="4"/>
              <w:ind w:right="213"/>
              <w:jc w:val="right"/>
              <w:rPr>
                <w:sz w:val="15"/>
              </w:rPr>
            </w:pPr>
            <w:r>
              <w:rPr>
                <w:spacing w:val="-2"/>
                <w:sz w:val="15"/>
              </w:rPr>
              <w:t>13,121</w:t>
            </w:r>
          </w:p>
        </w:tc>
        <w:tc>
          <w:tcPr>
            <w:tcW w:w="926" w:type="dxa"/>
          </w:tcPr>
          <w:p>
            <w:pPr>
              <w:pStyle w:val="TableParagraph"/>
              <w:spacing w:line="161" w:lineRule="exact" w:before="4"/>
              <w:ind w:right="76"/>
              <w:jc w:val="right"/>
              <w:rPr>
                <w:sz w:val="15"/>
              </w:rPr>
            </w:pPr>
            <w:r>
              <w:rPr>
                <w:spacing w:val="-2"/>
                <w:sz w:val="15"/>
              </w:rPr>
              <w:t>13,061</w:t>
            </w:r>
          </w:p>
        </w:tc>
      </w:tr>
      <w:tr>
        <w:trPr>
          <w:trHeight w:val="184" w:hRule="atLeast"/>
        </w:trPr>
        <w:tc>
          <w:tcPr>
            <w:tcW w:w="2972" w:type="dxa"/>
          </w:tcPr>
          <w:p>
            <w:pPr>
              <w:pStyle w:val="TableParagraph"/>
              <w:spacing w:line="161" w:lineRule="exact" w:before="4"/>
              <w:ind w:left="238"/>
              <w:rPr>
                <w:sz w:val="15"/>
              </w:rPr>
            </w:pPr>
            <w:r>
              <w:rPr>
                <w:sz w:val="15"/>
              </w:rPr>
              <w:t>Contract</w:t>
            </w:r>
            <w:r>
              <w:rPr>
                <w:spacing w:val="3"/>
                <w:sz w:val="15"/>
              </w:rPr>
              <w:t> </w:t>
            </w:r>
            <w:r>
              <w:rPr>
                <w:spacing w:val="-2"/>
                <w:sz w:val="15"/>
              </w:rPr>
              <w:t>liabilities</w:t>
            </w:r>
          </w:p>
        </w:tc>
        <w:tc>
          <w:tcPr>
            <w:tcW w:w="1143" w:type="dxa"/>
          </w:tcPr>
          <w:p>
            <w:pPr>
              <w:pStyle w:val="TableParagraph"/>
              <w:spacing w:line="161" w:lineRule="exact" w:before="4"/>
              <w:ind w:right="178"/>
              <w:jc w:val="right"/>
              <w:rPr>
                <w:sz w:val="15"/>
              </w:rPr>
            </w:pPr>
            <w:r>
              <w:rPr>
                <w:spacing w:val="-5"/>
                <w:sz w:val="15"/>
              </w:rPr>
              <w:t>5.7</w:t>
            </w:r>
          </w:p>
        </w:tc>
        <w:tc>
          <w:tcPr>
            <w:tcW w:w="1181" w:type="dxa"/>
          </w:tcPr>
          <w:p>
            <w:pPr>
              <w:pStyle w:val="TableParagraph"/>
              <w:spacing w:line="161" w:lineRule="exact" w:before="4"/>
              <w:ind w:right="194"/>
              <w:jc w:val="right"/>
              <w:rPr>
                <w:sz w:val="15"/>
              </w:rPr>
            </w:pPr>
            <w:r>
              <w:rPr>
                <w:spacing w:val="-2"/>
                <w:sz w:val="15"/>
              </w:rPr>
              <w:t>30,672</w:t>
            </w:r>
          </w:p>
        </w:tc>
        <w:tc>
          <w:tcPr>
            <w:tcW w:w="1084" w:type="dxa"/>
          </w:tcPr>
          <w:p>
            <w:pPr>
              <w:pStyle w:val="TableParagraph"/>
              <w:spacing w:line="161" w:lineRule="exact" w:before="4"/>
              <w:ind w:right="164"/>
              <w:jc w:val="right"/>
              <w:rPr>
                <w:sz w:val="15"/>
              </w:rPr>
            </w:pPr>
            <w:r>
              <w:rPr>
                <w:spacing w:val="-10"/>
                <w:sz w:val="15"/>
              </w:rPr>
              <w:t>-</w:t>
            </w:r>
          </w:p>
        </w:tc>
        <w:tc>
          <w:tcPr>
            <w:tcW w:w="1063" w:type="dxa"/>
          </w:tcPr>
          <w:p>
            <w:pPr>
              <w:pStyle w:val="TableParagraph"/>
              <w:spacing w:line="161" w:lineRule="exact" w:before="4"/>
              <w:ind w:right="214"/>
              <w:jc w:val="right"/>
              <w:rPr>
                <w:sz w:val="15"/>
              </w:rPr>
            </w:pPr>
            <w:r>
              <w:rPr>
                <w:spacing w:val="-2"/>
                <w:sz w:val="15"/>
              </w:rPr>
              <w:t>30,672</w:t>
            </w:r>
          </w:p>
        </w:tc>
        <w:tc>
          <w:tcPr>
            <w:tcW w:w="926" w:type="dxa"/>
          </w:tcPr>
          <w:p>
            <w:pPr>
              <w:pStyle w:val="TableParagraph"/>
              <w:spacing w:line="161" w:lineRule="exact" w:before="4"/>
              <w:ind w:right="26"/>
              <w:jc w:val="right"/>
              <w:rPr>
                <w:sz w:val="15"/>
              </w:rPr>
            </w:pPr>
            <w:r>
              <w:rPr>
                <w:spacing w:val="-10"/>
                <w:sz w:val="15"/>
              </w:rPr>
              <w:t>-</w:t>
            </w:r>
          </w:p>
        </w:tc>
      </w:tr>
      <w:tr>
        <w:trPr>
          <w:trHeight w:val="364" w:hRule="atLeast"/>
        </w:trPr>
        <w:tc>
          <w:tcPr>
            <w:tcW w:w="2972" w:type="dxa"/>
          </w:tcPr>
          <w:p>
            <w:pPr>
              <w:pStyle w:val="TableParagraph"/>
              <w:spacing w:before="4"/>
              <w:ind w:left="238"/>
              <w:rPr>
                <w:sz w:val="15"/>
              </w:rPr>
            </w:pPr>
            <w:r>
              <w:rPr>
                <w:spacing w:val="-2"/>
                <w:sz w:val="15"/>
              </w:rPr>
              <w:t>Borrowings</w:t>
            </w:r>
          </w:p>
        </w:tc>
        <w:tc>
          <w:tcPr>
            <w:tcW w:w="1143" w:type="dxa"/>
          </w:tcPr>
          <w:p>
            <w:pPr>
              <w:pStyle w:val="TableParagraph"/>
              <w:spacing w:before="4"/>
              <w:ind w:right="178"/>
              <w:jc w:val="right"/>
              <w:rPr>
                <w:sz w:val="15"/>
              </w:rPr>
            </w:pPr>
            <w:r>
              <w:rPr>
                <w:spacing w:val="-5"/>
                <w:sz w:val="15"/>
              </w:rPr>
              <w:t>6.3</w:t>
            </w:r>
          </w:p>
        </w:tc>
        <w:tc>
          <w:tcPr>
            <w:tcW w:w="1181" w:type="dxa"/>
            <w:tcBorders>
              <w:bottom w:val="single" w:sz="6" w:space="0" w:color="000000"/>
            </w:tcBorders>
          </w:tcPr>
          <w:p>
            <w:pPr>
              <w:pStyle w:val="TableParagraph"/>
              <w:spacing w:before="4"/>
              <w:ind w:right="193"/>
              <w:jc w:val="right"/>
              <w:rPr>
                <w:sz w:val="15"/>
              </w:rPr>
            </w:pPr>
            <w:r>
              <w:rPr>
                <w:spacing w:val="-2"/>
                <w:sz w:val="15"/>
              </w:rPr>
              <w:t>181,309</w:t>
            </w:r>
          </w:p>
        </w:tc>
        <w:tc>
          <w:tcPr>
            <w:tcW w:w="1084" w:type="dxa"/>
            <w:tcBorders>
              <w:bottom w:val="single" w:sz="6" w:space="0" w:color="000000"/>
            </w:tcBorders>
          </w:tcPr>
          <w:p>
            <w:pPr>
              <w:pStyle w:val="TableParagraph"/>
              <w:spacing w:before="4"/>
              <w:ind w:right="214"/>
              <w:jc w:val="right"/>
              <w:rPr>
                <w:sz w:val="15"/>
              </w:rPr>
            </w:pPr>
            <w:r>
              <w:rPr>
                <w:spacing w:val="-2"/>
                <w:sz w:val="15"/>
              </w:rPr>
              <w:t>131,011</w:t>
            </w:r>
          </w:p>
        </w:tc>
        <w:tc>
          <w:tcPr>
            <w:tcW w:w="1063" w:type="dxa"/>
            <w:tcBorders>
              <w:bottom w:val="single" w:sz="6" w:space="0" w:color="000000"/>
            </w:tcBorders>
          </w:tcPr>
          <w:p>
            <w:pPr>
              <w:pStyle w:val="TableParagraph"/>
              <w:spacing w:before="4"/>
              <w:ind w:right="213"/>
              <w:jc w:val="right"/>
              <w:rPr>
                <w:sz w:val="15"/>
              </w:rPr>
            </w:pPr>
            <w:r>
              <w:rPr>
                <w:spacing w:val="-2"/>
                <w:sz w:val="15"/>
              </w:rPr>
              <w:t>181,166</w:t>
            </w:r>
          </w:p>
        </w:tc>
        <w:tc>
          <w:tcPr>
            <w:tcW w:w="926" w:type="dxa"/>
            <w:tcBorders>
              <w:bottom w:val="single" w:sz="6" w:space="0" w:color="000000"/>
            </w:tcBorders>
          </w:tcPr>
          <w:p>
            <w:pPr>
              <w:pStyle w:val="TableParagraph"/>
              <w:spacing w:before="4"/>
              <w:ind w:left="294"/>
              <w:rPr>
                <w:sz w:val="15"/>
              </w:rPr>
            </w:pPr>
            <w:r>
              <w:rPr>
                <w:spacing w:val="-2"/>
                <w:sz w:val="15"/>
              </w:rPr>
              <w:t>131,011</w:t>
            </w:r>
          </w:p>
        </w:tc>
      </w:tr>
      <w:tr>
        <w:trPr>
          <w:trHeight w:val="169" w:hRule="atLeast"/>
        </w:trPr>
        <w:tc>
          <w:tcPr>
            <w:tcW w:w="2972" w:type="dxa"/>
          </w:tcPr>
          <w:p>
            <w:pPr>
              <w:pStyle w:val="TableParagraph"/>
              <w:spacing w:line="150" w:lineRule="exact"/>
              <w:ind w:left="31"/>
              <w:rPr>
                <w:sz w:val="15"/>
              </w:rPr>
            </w:pPr>
            <w:r>
              <w:rPr>
                <w:sz w:val="15"/>
              </w:rPr>
              <w:t>Total</w:t>
            </w:r>
            <w:r>
              <w:rPr>
                <w:spacing w:val="3"/>
                <w:sz w:val="15"/>
              </w:rPr>
              <w:t> </w:t>
            </w:r>
            <w:r>
              <w:rPr>
                <w:sz w:val="15"/>
              </w:rPr>
              <w:t>non-current</w:t>
            </w:r>
            <w:r>
              <w:rPr>
                <w:spacing w:val="3"/>
                <w:sz w:val="15"/>
              </w:rPr>
              <w:t> </w:t>
            </w:r>
            <w:r>
              <w:rPr>
                <w:spacing w:val="-2"/>
                <w:sz w:val="15"/>
              </w:rPr>
              <w:t>liabilities</w:t>
            </w:r>
          </w:p>
        </w:tc>
        <w:tc>
          <w:tcPr>
            <w:tcW w:w="1143" w:type="dxa"/>
          </w:tcPr>
          <w:p>
            <w:pPr>
              <w:pStyle w:val="TableParagraph"/>
              <w:rPr>
                <w:rFonts w:ascii="Times New Roman"/>
                <w:sz w:val="10"/>
              </w:rPr>
            </w:pPr>
          </w:p>
        </w:tc>
        <w:tc>
          <w:tcPr>
            <w:tcW w:w="1181" w:type="dxa"/>
            <w:tcBorders>
              <w:top w:val="single" w:sz="6" w:space="0" w:color="000000"/>
              <w:bottom w:val="single" w:sz="6" w:space="0" w:color="000000"/>
            </w:tcBorders>
          </w:tcPr>
          <w:p>
            <w:pPr>
              <w:pStyle w:val="TableParagraph"/>
              <w:spacing w:line="150" w:lineRule="exact"/>
              <w:ind w:right="193"/>
              <w:jc w:val="right"/>
              <w:rPr>
                <w:sz w:val="15"/>
              </w:rPr>
            </w:pPr>
            <w:r>
              <w:rPr>
                <w:spacing w:val="-2"/>
                <w:sz w:val="15"/>
              </w:rPr>
              <w:t>225,176</w:t>
            </w:r>
          </w:p>
        </w:tc>
        <w:tc>
          <w:tcPr>
            <w:tcW w:w="1084" w:type="dxa"/>
            <w:tcBorders>
              <w:top w:val="single" w:sz="6" w:space="0" w:color="000000"/>
              <w:bottom w:val="single" w:sz="6" w:space="0" w:color="000000"/>
            </w:tcBorders>
          </w:tcPr>
          <w:p>
            <w:pPr>
              <w:pStyle w:val="TableParagraph"/>
              <w:spacing w:line="150" w:lineRule="exact"/>
              <w:ind w:right="214"/>
              <w:jc w:val="right"/>
              <w:rPr>
                <w:sz w:val="15"/>
              </w:rPr>
            </w:pPr>
            <w:r>
              <w:rPr>
                <w:spacing w:val="-2"/>
                <w:sz w:val="15"/>
              </w:rPr>
              <w:t>144,127</w:t>
            </w:r>
          </w:p>
        </w:tc>
        <w:tc>
          <w:tcPr>
            <w:tcW w:w="1063" w:type="dxa"/>
            <w:tcBorders>
              <w:top w:val="single" w:sz="6" w:space="0" w:color="000000"/>
              <w:bottom w:val="single" w:sz="6" w:space="0" w:color="000000"/>
            </w:tcBorders>
          </w:tcPr>
          <w:p>
            <w:pPr>
              <w:pStyle w:val="TableParagraph"/>
              <w:spacing w:line="150" w:lineRule="exact"/>
              <w:ind w:right="213"/>
              <w:jc w:val="right"/>
              <w:rPr>
                <w:sz w:val="15"/>
              </w:rPr>
            </w:pPr>
            <w:r>
              <w:rPr>
                <w:spacing w:val="-2"/>
                <w:sz w:val="15"/>
              </w:rPr>
              <w:t>224,959</w:t>
            </w:r>
          </w:p>
        </w:tc>
        <w:tc>
          <w:tcPr>
            <w:tcW w:w="926" w:type="dxa"/>
            <w:tcBorders>
              <w:top w:val="single" w:sz="6" w:space="0" w:color="000000"/>
              <w:bottom w:val="single" w:sz="6" w:space="0" w:color="000000"/>
            </w:tcBorders>
          </w:tcPr>
          <w:p>
            <w:pPr>
              <w:pStyle w:val="TableParagraph"/>
              <w:spacing w:line="150" w:lineRule="exact"/>
              <w:ind w:left="294"/>
              <w:rPr>
                <w:sz w:val="15"/>
              </w:rPr>
            </w:pPr>
            <w:r>
              <w:rPr>
                <w:spacing w:val="-2"/>
                <w:sz w:val="15"/>
              </w:rPr>
              <w:t>144,072</w:t>
            </w:r>
          </w:p>
        </w:tc>
      </w:tr>
      <w:tr>
        <w:trPr>
          <w:trHeight w:val="356" w:hRule="atLeast"/>
        </w:trPr>
        <w:tc>
          <w:tcPr>
            <w:tcW w:w="2972" w:type="dxa"/>
          </w:tcPr>
          <w:p>
            <w:pPr>
              <w:pStyle w:val="TableParagraph"/>
              <w:spacing w:before="2"/>
              <w:rPr>
                <w:b/>
                <w:sz w:val="15"/>
              </w:rPr>
            </w:pPr>
          </w:p>
          <w:p>
            <w:pPr>
              <w:pStyle w:val="TableParagraph"/>
              <w:spacing w:line="162" w:lineRule="exact"/>
              <w:ind w:left="31"/>
              <w:rPr>
                <w:b/>
                <w:sz w:val="15"/>
              </w:rPr>
            </w:pPr>
            <w:r>
              <w:rPr>
                <w:b/>
                <w:sz w:val="15"/>
              </w:rPr>
              <w:t>Total</w:t>
            </w:r>
            <w:r>
              <w:rPr>
                <w:b/>
                <w:spacing w:val="-1"/>
                <w:sz w:val="15"/>
              </w:rPr>
              <w:t> </w:t>
            </w:r>
            <w:r>
              <w:rPr>
                <w:b/>
                <w:spacing w:val="-2"/>
                <w:sz w:val="15"/>
              </w:rPr>
              <w:t>liabilities</w:t>
            </w:r>
          </w:p>
        </w:tc>
        <w:tc>
          <w:tcPr>
            <w:tcW w:w="1143" w:type="dxa"/>
          </w:tcPr>
          <w:p>
            <w:pPr>
              <w:pStyle w:val="TableParagraph"/>
              <w:rPr>
                <w:rFonts w:ascii="Times New Roman"/>
                <w:sz w:val="14"/>
              </w:rPr>
            </w:pPr>
          </w:p>
        </w:tc>
        <w:tc>
          <w:tcPr>
            <w:tcW w:w="1181" w:type="dxa"/>
            <w:tcBorders>
              <w:top w:val="single" w:sz="6" w:space="0" w:color="000000"/>
              <w:bottom w:val="single" w:sz="12" w:space="0" w:color="000000"/>
            </w:tcBorders>
          </w:tcPr>
          <w:p>
            <w:pPr>
              <w:pStyle w:val="TableParagraph"/>
              <w:spacing w:before="2"/>
              <w:rPr>
                <w:b/>
                <w:sz w:val="15"/>
              </w:rPr>
            </w:pPr>
          </w:p>
          <w:p>
            <w:pPr>
              <w:pStyle w:val="TableParagraph"/>
              <w:spacing w:line="162" w:lineRule="exact"/>
              <w:ind w:right="193"/>
              <w:jc w:val="right"/>
              <w:rPr>
                <w:b/>
                <w:sz w:val="15"/>
              </w:rPr>
            </w:pPr>
            <w:r>
              <w:rPr>
                <w:b/>
                <w:spacing w:val="-2"/>
                <w:sz w:val="15"/>
              </w:rPr>
              <w:t>530,697</w:t>
            </w:r>
          </w:p>
        </w:tc>
        <w:tc>
          <w:tcPr>
            <w:tcW w:w="1084" w:type="dxa"/>
            <w:tcBorders>
              <w:top w:val="single" w:sz="6" w:space="0" w:color="000000"/>
              <w:bottom w:val="single" w:sz="12" w:space="0" w:color="000000"/>
            </w:tcBorders>
          </w:tcPr>
          <w:p>
            <w:pPr>
              <w:pStyle w:val="TableParagraph"/>
              <w:spacing w:before="2"/>
              <w:rPr>
                <w:b/>
                <w:sz w:val="15"/>
              </w:rPr>
            </w:pPr>
          </w:p>
          <w:p>
            <w:pPr>
              <w:pStyle w:val="TableParagraph"/>
              <w:spacing w:line="162" w:lineRule="exact"/>
              <w:ind w:right="214"/>
              <w:jc w:val="right"/>
              <w:rPr>
                <w:b/>
                <w:sz w:val="15"/>
              </w:rPr>
            </w:pPr>
            <w:r>
              <w:rPr>
                <w:b/>
                <w:spacing w:val="-2"/>
                <w:sz w:val="15"/>
              </w:rPr>
              <w:t>355,154</w:t>
            </w:r>
          </w:p>
        </w:tc>
        <w:tc>
          <w:tcPr>
            <w:tcW w:w="1063" w:type="dxa"/>
            <w:tcBorders>
              <w:top w:val="single" w:sz="6" w:space="0" w:color="000000"/>
              <w:bottom w:val="single" w:sz="12" w:space="0" w:color="000000"/>
            </w:tcBorders>
          </w:tcPr>
          <w:p>
            <w:pPr>
              <w:pStyle w:val="TableParagraph"/>
              <w:spacing w:before="2"/>
              <w:rPr>
                <w:b/>
                <w:sz w:val="15"/>
              </w:rPr>
            </w:pPr>
          </w:p>
          <w:p>
            <w:pPr>
              <w:pStyle w:val="TableParagraph"/>
              <w:spacing w:line="162" w:lineRule="exact"/>
              <w:ind w:right="213"/>
              <w:jc w:val="right"/>
              <w:rPr>
                <w:b/>
                <w:sz w:val="15"/>
              </w:rPr>
            </w:pPr>
            <w:r>
              <w:rPr>
                <w:b/>
                <w:spacing w:val="-2"/>
                <w:sz w:val="15"/>
              </w:rPr>
              <w:t>525,239</w:t>
            </w:r>
          </w:p>
        </w:tc>
        <w:tc>
          <w:tcPr>
            <w:tcW w:w="926" w:type="dxa"/>
            <w:tcBorders>
              <w:top w:val="single" w:sz="6" w:space="0" w:color="000000"/>
              <w:bottom w:val="single" w:sz="12" w:space="0" w:color="000000"/>
            </w:tcBorders>
          </w:tcPr>
          <w:p>
            <w:pPr>
              <w:pStyle w:val="TableParagraph"/>
              <w:spacing w:before="2"/>
              <w:rPr>
                <w:b/>
                <w:sz w:val="15"/>
              </w:rPr>
            </w:pPr>
          </w:p>
          <w:p>
            <w:pPr>
              <w:pStyle w:val="TableParagraph"/>
              <w:spacing w:line="162" w:lineRule="exact"/>
              <w:ind w:left="294"/>
              <w:rPr>
                <w:b/>
                <w:sz w:val="15"/>
              </w:rPr>
            </w:pPr>
            <w:r>
              <w:rPr>
                <w:b/>
                <w:spacing w:val="-2"/>
                <w:sz w:val="15"/>
              </w:rPr>
              <w:t>348,764</w:t>
            </w:r>
          </w:p>
        </w:tc>
      </w:tr>
      <w:tr>
        <w:trPr>
          <w:trHeight w:val="350" w:hRule="atLeast"/>
        </w:trPr>
        <w:tc>
          <w:tcPr>
            <w:tcW w:w="2972" w:type="dxa"/>
            <w:tcBorders>
              <w:bottom w:val="single" w:sz="12" w:space="0" w:color="000000"/>
            </w:tcBorders>
          </w:tcPr>
          <w:p>
            <w:pPr>
              <w:pStyle w:val="TableParagraph"/>
              <w:spacing w:line="162" w:lineRule="exact" w:before="168"/>
              <w:ind w:left="31"/>
              <w:rPr>
                <w:b/>
                <w:sz w:val="15"/>
              </w:rPr>
            </w:pPr>
            <w:r>
              <w:rPr>
                <w:b/>
                <w:sz w:val="15"/>
              </w:rPr>
              <w:t>Net</w:t>
            </w:r>
            <w:r>
              <w:rPr>
                <w:b/>
                <w:spacing w:val="1"/>
                <w:sz w:val="15"/>
              </w:rPr>
              <w:t> </w:t>
            </w:r>
            <w:r>
              <w:rPr>
                <w:b/>
                <w:spacing w:val="-2"/>
                <w:sz w:val="15"/>
              </w:rPr>
              <w:t>assets</w:t>
            </w:r>
          </w:p>
        </w:tc>
        <w:tc>
          <w:tcPr>
            <w:tcW w:w="1143" w:type="dxa"/>
            <w:tcBorders>
              <w:bottom w:val="single" w:sz="12" w:space="0" w:color="000000"/>
            </w:tcBorders>
          </w:tcPr>
          <w:p>
            <w:pPr>
              <w:pStyle w:val="TableParagraph"/>
              <w:rPr>
                <w:rFonts w:ascii="Times New Roman"/>
                <w:sz w:val="14"/>
              </w:rPr>
            </w:pPr>
          </w:p>
        </w:tc>
        <w:tc>
          <w:tcPr>
            <w:tcW w:w="1181" w:type="dxa"/>
            <w:tcBorders>
              <w:top w:val="single" w:sz="12" w:space="0" w:color="000000"/>
              <w:bottom w:val="single" w:sz="12" w:space="0" w:color="000000"/>
            </w:tcBorders>
          </w:tcPr>
          <w:p>
            <w:pPr>
              <w:pStyle w:val="TableParagraph"/>
              <w:spacing w:line="162" w:lineRule="exact" w:before="168"/>
              <w:ind w:right="193"/>
              <w:jc w:val="right"/>
              <w:rPr>
                <w:b/>
                <w:sz w:val="15"/>
              </w:rPr>
            </w:pPr>
            <w:r>
              <w:rPr>
                <w:b/>
                <w:spacing w:val="-2"/>
                <w:sz w:val="15"/>
              </w:rPr>
              <w:t>2,058,390</w:t>
            </w:r>
          </w:p>
        </w:tc>
        <w:tc>
          <w:tcPr>
            <w:tcW w:w="1084" w:type="dxa"/>
            <w:tcBorders>
              <w:top w:val="single" w:sz="12" w:space="0" w:color="000000"/>
              <w:bottom w:val="single" w:sz="12" w:space="0" w:color="000000"/>
            </w:tcBorders>
          </w:tcPr>
          <w:p>
            <w:pPr>
              <w:pStyle w:val="TableParagraph"/>
              <w:spacing w:line="162" w:lineRule="exact" w:before="168"/>
              <w:ind w:right="214"/>
              <w:jc w:val="right"/>
              <w:rPr>
                <w:b/>
                <w:sz w:val="15"/>
              </w:rPr>
            </w:pPr>
            <w:r>
              <w:rPr>
                <w:b/>
                <w:spacing w:val="-2"/>
                <w:sz w:val="15"/>
              </w:rPr>
              <w:t>2,099,699</w:t>
            </w:r>
          </w:p>
        </w:tc>
        <w:tc>
          <w:tcPr>
            <w:tcW w:w="1063" w:type="dxa"/>
            <w:tcBorders>
              <w:top w:val="single" w:sz="12" w:space="0" w:color="000000"/>
              <w:bottom w:val="single" w:sz="12" w:space="0" w:color="000000"/>
            </w:tcBorders>
          </w:tcPr>
          <w:p>
            <w:pPr>
              <w:pStyle w:val="TableParagraph"/>
              <w:spacing w:line="162" w:lineRule="exact" w:before="168"/>
              <w:ind w:right="213"/>
              <w:jc w:val="right"/>
              <w:rPr>
                <w:b/>
                <w:sz w:val="15"/>
              </w:rPr>
            </w:pPr>
            <w:r>
              <w:rPr>
                <w:b/>
                <w:spacing w:val="-2"/>
                <w:sz w:val="15"/>
              </w:rPr>
              <w:t>2,049,547</w:t>
            </w:r>
          </w:p>
        </w:tc>
        <w:tc>
          <w:tcPr>
            <w:tcW w:w="926" w:type="dxa"/>
            <w:tcBorders>
              <w:top w:val="single" w:sz="12" w:space="0" w:color="000000"/>
              <w:bottom w:val="single" w:sz="12" w:space="0" w:color="000000"/>
            </w:tcBorders>
          </w:tcPr>
          <w:p>
            <w:pPr>
              <w:pStyle w:val="TableParagraph"/>
              <w:spacing w:line="162" w:lineRule="exact" w:before="168"/>
              <w:ind w:left="168"/>
              <w:rPr>
                <w:b/>
                <w:sz w:val="15"/>
              </w:rPr>
            </w:pPr>
            <w:r>
              <w:rPr>
                <w:b/>
                <w:spacing w:val="-2"/>
                <w:sz w:val="15"/>
              </w:rPr>
              <w:t>2,087,874</w:t>
            </w:r>
          </w:p>
        </w:tc>
      </w:tr>
      <w:tr>
        <w:trPr>
          <w:trHeight w:val="353" w:hRule="atLeast"/>
        </w:trPr>
        <w:tc>
          <w:tcPr>
            <w:tcW w:w="2972" w:type="dxa"/>
            <w:tcBorders>
              <w:top w:val="single" w:sz="12" w:space="0" w:color="000000"/>
            </w:tcBorders>
          </w:tcPr>
          <w:p>
            <w:pPr>
              <w:pStyle w:val="TableParagraph"/>
              <w:rPr>
                <w:b/>
                <w:sz w:val="15"/>
              </w:rPr>
            </w:pPr>
          </w:p>
          <w:p>
            <w:pPr>
              <w:pStyle w:val="TableParagraph"/>
              <w:spacing w:line="161" w:lineRule="exact"/>
              <w:ind w:left="31"/>
              <w:rPr>
                <w:b/>
                <w:sz w:val="15"/>
              </w:rPr>
            </w:pPr>
            <w:r>
              <w:rPr>
                <w:b/>
                <w:spacing w:val="-2"/>
                <w:sz w:val="15"/>
              </w:rPr>
              <w:t>EQUITY</w:t>
            </w:r>
          </w:p>
        </w:tc>
        <w:tc>
          <w:tcPr>
            <w:tcW w:w="1143" w:type="dxa"/>
            <w:tcBorders>
              <w:top w:val="single" w:sz="12" w:space="0" w:color="000000"/>
            </w:tcBorders>
          </w:tcPr>
          <w:p>
            <w:pPr>
              <w:pStyle w:val="TableParagraph"/>
              <w:rPr>
                <w:rFonts w:ascii="Times New Roman"/>
                <w:sz w:val="14"/>
              </w:rPr>
            </w:pPr>
          </w:p>
        </w:tc>
        <w:tc>
          <w:tcPr>
            <w:tcW w:w="1181" w:type="dxa"/>
            <w:tcBorders>
              <w:top w:val="single" w:sz="12" w:space="0" w:color="000000"/>
            </w:tcBorders>
          </w:tcPr>
          <w:p>
            <w:pPr>
              <w:pStyle w:val="TableParagraph"/>
              <w:rPr>
                <w:rFonts w:ascii="Times New Roman"/>
                <w:sz w:val="14"/>
              </w:rPr>
            </w:pPr>
          </w:p>
        </w:tc>
        <w:tc>
          <w:tcPr>
            <w:tcW w:w="1084" w:type="dxa"/>
            <w:tcBorders>
              <w:top w:val="single" w:sz="12" w:space="0" w:color="000000"/>
            </w:tcBorders>
          </w:tcPr>
          <w:p>
            <w:pPr>
              <w:pStyle w:val="TableParagraph"/>
              <w:rPr>
                <w:rFonts w:ascii="Times New Roman"/>
                <w:sz w:val="14"/>
              </w:rPr>
            </w:pPr>
          </w:p>
        </w:tc>
        <w:tc>
          <w:tcPr>
            <w:tcW w:w="1063" w:type="dxa"/>
            <w:tcBorders>
              <w:top w:val="single" w:sz="12" w:space="0" w:color="000000"/>
            </w:tcBorders>
          </w:tcPr>
          <w:p>
            <w:pPr>
              <w:pStyle w:val="TableParagraph"/>
              <w:rPr>
                <w:rFonts w:ascii="Times New Roman"/>
                <w:sz w:val="14"/>
              </w:rPr>
            </w:pPr>
          </w:p>
        </w:tc>
        <w:tc>
          <w:tcPr>
            <w:tcW w:w="926" w:type="dxa"/>
            <w:tcBorders>
              <w:top w:val="single" w:sz="12" w:space="0" w:color="000000"/>
            </w:tcBorders>
          </w:tcPr>
          <w:p>
            <w:pPr>
              <w:pStyle w:val="TableParagraph"/>
              <w:rPr>
                <w:rFonts w:ascii="Times New Roman"/>
                <w:sz w:val="14"/>
              </w:rPr>
            </w:pPr>
          </w:p>
        </w:tc>
      </w:tr>
      <w:tr>
        <w:trPr>
          <w:trHeight w:val="364" w:hRule="atLeast"/>
        </w:trPr>
        <w:tc>
          <w:tcPr>
            <w:tcW w:w="2972" w:type="dxa"/>
          </w:tcPr>
          <w:p>
            <w:pPr>
              <w:pStyle w:val="TableParagraph"/>
              <w:spacing w:before="4"/>
              <w:ind w:left="238"/>
              <w:rPr>
                <w:sz w:val="15"/>
              </w:rPr>
            </w:pPr>
            <w:r>
              <w:rPr>
                <w:spacing w:val="-2"/>
                <w:sz w:val="15"/>
              </w:rPr>
              <w:t>Reserves</w:t>
            </w:r>
          </w:p>
          <w:p>
            <w:pPr>
              <w:pStyle w:val="TableParagraph"/>
              <w:spacing w:line="156" w:lineRule="exact" w:before="12"/>
              <w:ind w:left="238"/>
              <w:rPr>
                <w:sz w:val="15"/>
              </w:rPr>
            </w:pPr>
            <w:r>
              <w:rPr>
                <w:sz w:val="15"/>
              </w:rPr>
              <w:t>Retained</w:t>
            </w:r>
            <w:r>
              <w:rPr>
                <w:spacing w:val="4"/>
                <w:sz w:val="15"/>
              </w:rPr>
              <w:t> </w:t>
            </w:r>
            <w:r>
              <w:rPr>
                <w:spacing w:val="-2"/>
                <w:sz w:val="15"/>
              </w:rPr>
              <w:t>earnings</w:t>
            </w:r>
          </w:p>
        </w:tc>
        <w:tc>
          <w:tcPr>
            <w:tcW w:w="1143" w:type="dxa"/>
          </w:tcPr>
          <w:p>
            <w:pPr>
              <w:pStyle w:val="TableParagraph"/>
              <w:spacing w:before="4"/>
              <w:ind w:right="178"/>
              <w:jc w:val="right"/>
              <w:rPr>
                <w:sz w:val="15"/>
              </w:rPr>
            </w:pPr>
            <w:r>
              <w:rPr>
                <w:spacing w:val="-5"/>
                <w:sz w:val="15"/>
              </w:rPr>
              <w:t>6.6</w:t>
            </w:r>
          </w:p>
        </w:tc>
        <w:tc>
          <w:tcPr>
            <w:tcW w:w="1181" w:type="dxa"/>
            <w:tcBorders>
              <w:bottom w:val="single" w:sz="6" w:space="0" w:color="000000"/>
            </w:tcBorders>
          </w:tcPr>
          <w:p>
            <w:pPr>
              <w:pStyle w:val="TableParagraph"/>
              <w:spacing w:line="180" w:lineRule="atLeast"/>
              <w:ind w:left="305" w:right="179" w:firstLine="637"/>
              <w:rPr>
                <w:sz w:val="15"/>
              </w:rPr>
            </w:pPr>
            <w:r>
              <w:rPr>
                <w:spacing w:val="-10"/>
                <w:sz w:val="15"/>
              </w:rPr>
              <w:t>-</w:t>
            </w:r>
            <w:r>
              <w:rPr>
                <w:sz w:val="15"/>
              </w:rPr>
              <w:t> </w:t>
            </w:r>
            <w:r>
              <w:rPr>
                <w:spacing w:val="-2"/>
                <w:sz w:val="15"/>
              </w:rPr>
              <w:t>2,058,390</w:t>
            </w:r>
          </w:p>
        </w:tc>
        <w:tc>
          <w:tcPr>
            <w:tcW w:w="1084" w:type="dxa"/>
            <w:tcBorders>
              <w:bottom w:val="single" w:sz="6" w:space="0" w:color="000000"/>
            </w:tcBorders>
          </w:tcPr>
          <w:p>
            <w:pPr>
              <w:pStyle w:val="TableParagraph"/>
              <w:spacing w:line="180" w:lineRule="atLeast"/>
              <w:ind w:left="187" w:right="200" w:firstLine="637"/>
              <w:rPr>
                <w:sz w:val="15"/>
              </w:rPr>
            </w:pPr>
            <w:r>
              <w:rPr>
                <w:spacing w:val="-10"/>
                <w:sz w:val="15"/>
              </w:rPr>
              <w:t>-</w:t>
            </w:r>
            <w:r>
              <w:rPr>
                <w:sz w:val="15"/>
              </w:rPr>
              <w:t> </w:t>
            </w:r>
            <w:r>
              <w:rPr>
                <w:spacing w:val="-2"/>
                <w:sz w:val="15"/>
              </w:rPr>
              <w:t>2,099,699</w:t>
            </w:r>
          </w:p>
        </w:tc>
        <w:tc>
          <w:tcPr>
            <w:tcW w:w="1063" w:type="dxa"/>
            <w:tcBorders>
              <w:bottom w:val="single" w:sz="6" w:space="0" w:color="000000"/>
            </w:tcBorders>
          </w:tcPr>
          <w:p>
            <w:pPr>
              <w:pStyle w:val="TableParagraph"/>
              <w:spacing w:line="180" w:lineRule="atLeast"/>
              <w:ind w:left="167" w:right="157" w:firstLine="679"/>
              <w:rPr>
                <w:sz w:val="15"/>
              </w:rPr>
            </w:pPr>
            <w:r>
              <w:rPr>
                <w:spacing w:val="-10"/>
                <w:sz w:val="15"/>
              </w:rPr>
              <w:t>-</w:t>
            </w:r>
            <w:r>
              <w:rPr>
                <w:sz w:val="15"/>
              </w:rPr>
              <w:t> </w:t>
            </w:r>
            <w:r>
              <w:rPr>
                <w:spacing w:val="-2"/>
                <w:sz w:val="15"/>
              </w:rPr>
              <w:t>2,049,547</w:t>
            </w:r>
          </w:p>
        </w:tc>
        <w:tc>
          <w:tcPr>
            <w:tcW w:w="926" w:type="dxa"/>
            <w:tcBorders>
              <w:bottom w:val="single" w:sz="6" w:space="0" w:color="000000"/>
            </w:tcBorders>
          </w:tcPr>
          <w:p>
            <w:pPr>
              <w:pStyle w:val="TableParagraph"/>
              <w:spacing w:line="180" w:lineRule="atLeast"/>
              <w:ind w:left="168" w:right="61" w:firstLine="637"/>
              <w:rPr>
                <w:sz w:val="15"/>
              </w:rPr>
            </w:pPr>
            <w:r>
              <w:rPr>
                <w:spacing w:val="-10"/>
                <w:sz w:val="15"/>
              </w:rPr>
              <w:t>-</w:t>
            </w:r>
            <w:r>
              <w:rPr>
                <w:sz w:val="15"/>
              </w:rPr>
              <w:t> </w:t>
            </w:r>
            <w:r>
              <w:rPr>
                <w:spacing w:val="-2"/>
                <w:sz w:val="15"/>
              </w:rPr>
              <w:t>2,087,874</w:t>
            </w:r>
          </w:p>
        </w:tc>
      </w:tr>
      <w:tr>
        <w:trPr>
          <w:trHeight w:val="356" w:hRule="atLeast"/>
        </w:trPr>
        <w:tc>
          <w:tcPr>
            <w:tcW w:w="2972" w:type="dxa"/>
            <w:tcBorders>
              <w:bottom w:val="single" w:sz="12" w:space="0" w:color="000000"/>
            </w:tcBorders>
          </w:tcPr>
          <w:p>
            <w:pPr>
              <w:pStyle w:val="TableParagraph"/>
              <w:spacing w:before="2"/>
              <w:rPr>
                <w:b/>
                <w:sz w:val="15"/>
              </w:rPr>
            </w:pPr>
          </w:p>
          <w:p>
            <w:pPr>
              <w:pStyle w:val="TableParagraph"/>
              <w:spacing w:line="162" w:lineRule="exact"/>
              <w:ind w:left="31"/>
              <w:rPr>
                <w:b/>
                <w:sz w:val="15"/>
              </w:rPr>
            </w:pPr>
            <w:r>
              <w:rPr>
                <w:b/>
                <w:sz w:val="15"/>
              </w:rPr>
              <w:t>Total</w:t>
            </w:r>
            <w:r>
              <w:rPr>
                <w:b/>
                <w:spacing w:val="-1"/>
                <w:sz w:val="15"/>
              </w:rPr>
              <w:t> </w:t>
            </w:r>
            <w:r>
              <w:rPr>
                <w:b/>
                <w:spacing w:val="-2"/>
                <w:sz w:val="15"/>
              </w:rPr>
              <w:t>equity</w:t>
            </w:r>
          </w:p>
        </w:tc>
        <w:tc>
          <w:tcPr>
            <w:tcW w:w="1143" w:type="dxa"/>
            <w:tcBorders>
              <w:bottom w:val="single" w:sz="12" w:space="0" w:color="000000"/>
            </w:tcBorders>
          </w:tcPr>
          <w:p>
            <w:pPr>
              <w:pStyle w:val="TableParagraph"/>
              <w:rPr>
                <w:rFonts w:ascii="Times New Roman"/>
                <w:sz w:val="14"/>
              </w:rPr>
            </w:pPr>
          </w:p>
        </w:tc>
        <w:tc>
          <w:tcPr>
            <w:tcW w:w="1181" w:type="dxa"/>
            <w:tcBorders>
              <w:top w:val="single" w:sz="6" w:space="0" w:color="000000"/>
              <w:bottom w:val="single" w:sz="12" w:space="0" w:color="000000"/>
            </w:tcBorders>
          </w:tcPr>
          <w:p>
            <w:pPr>
              <w:pStyle w:val="TableParagraph"/>
              <w:spacing w:before="2"/>
              <w:rPr>
                <w:b/>
                <w:sz w:val="15"/>
              </w:rPr>
            </w:pPr>
          </w:p>
          <w:p>
            <w:pPr>
              <w:pStyle w:val="TableParagraph"/>
              <w:spacing w:line="162" w:lineRule="exact"/>
              <w:ind w:right="193"/>
              <w:jc w:val="right"/>
              <w:rPr>
                <w:b/>
                <w:sz w:val="15"/>
              </w:rPr>
            </w:pPr>
            <w:r>
              <w:rPr>
                <w:b/>
                <w:spacing w:val="-2"/>
                <w:sz w:val="15"/>
              </w:rPr>
              <w:t>2,058,390</w:t>
            </w:r>
          </w:p>
        </w:tc>
        <w:tc>
          <w:tcPr>
            <w:tcW w:w="1084" w:type="dxa"/>
            <w:tcBorders>
              <w:top w:val="single" w:sz="6" w:space="0" w:color="000000"/>
              <w:bottom w:val="single" w:sz="12" w:space="0" w:color="000000"/>
            </w:tcBorders>
          </w:tcPr>
          <w:p>
            <w:pPr>
              <w:pStyle w:val="TableParagraph"/>
              <w:spacing w:before="2"/>
              <w:rPr>
                <w:b/>
                <w:sz w:val="15"/>
              </w:rPr>
            </w:pPr>
          </w:p>
          <w:p>
            <w:pPr>
              <w:pStyle w:val="TableParagraph"/>
              <w:spacing w:line="162" w:lineRule="exact"/>
              <w:ind w:right="214"/>
              <w:jc w:val="right"/>
              <w:rPr>
                <w:b/>
                <w:sz w:val="15"/>
              </w:rPr>
            </w:pPr>
            <w:r>
              <w:rPr>
                <w:b/>
                <w:spacing w:val="-2"/>
                <w:sz w:val="15"/>
              </w:rPr>
              <w:t>2,099,699</w:t>
            </w:r>
          </w:p>
        </w:tc>
        <w:tc>
          <w:tcPr>
            <w:tcW w:w="1063" w:type="dxa"/>
            <w:tcBorders>
              <w:top w:val="single" w:sz="6" w:space="0" w:color="000000"/>
              <w:bottom w:val="single" w:sz="12" w:space="0" w:color="000000"/>
            </w:tcBorders>
          </w:tcPr>
          <w:p>
            <w:pPr>
              <w:pStyle w:val="TableParagraph"/>
              <w:spacing w:before="2"/>
              <w:rPr>
                <w:b/>
                <w:sz w:val="15"/>
              </w:rPr>
            </w:pPr>
          </w:p>
          <w:p>
            <w:pPr>
              <w:pStyle w:val="TableParagraph"/>
              <w:spacing w:line="162" w:lineRule="exact"/>
              <w:ind w:right="213"/>
              <w:jc w:val="right"/>
              <w:rPr>
                <w:b/>
                <w:sz w:val="15"/>
              </w:rPr>
            </w:pPr>
            <w:r>
              <w:rPr>
                <w:b/>
                <w:spacing w:val="-2"/>
                <w:sz w:val="15"/>
              </w:rPr>
              <w:t>2,049,547</w:t>
            </w:r>
          </w:p>
        </w:tc>
        <w:tc>
          <w:tcPr>
            <w:tcW w:w="926" w:type="dxa"/>
            <w:tcBorders>
              <w:top w:val="single" w:sz="6" w:space="0" w:color="000000"/>
              <w:bottom w:val="single" w:sz="12" w:space="0" w:color="000000"/>
            </w:tcBorders>
          </w:tcPr>
          <w:p>
            <w:pPr>
              <w:pStyle w:val="TableParagraph"/>
              <w:spacing w:before="2"/>
              <w:rPr>
                <w:b/>
                <w:sz w:val="15"/>
              </w:rPr>
            </w:pPr>
          </w:p>
          <w:p>
            <w:pPr>
              <w:pStyle w:val="TableParagraph"/>
              <w:spacing w:line="162" w:lineRule="exact"/>
              <w:ind w:left="168"/>
              <w:rPr>
                <w:b/>
                <w:sz w:val="15"/>
              </w:rPr>
            </w:pPr>
            <w:r>
              <w:rPr>
                <w:b/>
                <w:spacing w:val="-2"/>
                <w:sz w:val="15"/>
              </w:rPr>
              <w:t>2,087,874</w:t>
            </w:r>
          </w:p>
        </w:tc>
      </w:tr>
    </w:tbl>
    <w:p>
      <w:pPr>
        <w:spacing w:line="240" w:lineRule="auto" w:before="0"/>
        <w:rPr>
          <w:b/>
          <w:sz w:val="15"/>
        </w:rPr>
      </w:pPr>
    </w:p>
    <w:p>
      <w:pPr>
        <w:spacing w:line="240" w:lineRule="auto" w:before="0"/>
        <w:rPr>
          <w:b/>
          <w:sz w:val="15"/>
        </w:rPr>
      </w:pPr>
    </w:p>
    <w:p>
      <w:pPr>
        <w:spacing w:line="240" w:lineRule="auto" w:before="0"/>
        <w:rPr>
          <w:b/>
          <w:sz w:val="15"/>
        </w:rPr>
      </w:pPr>
    </w:p>
    <w:p>
      <w:pPr>
        <w:spacing w:line="240" w:lineRule="auto" w:before="0"/>
        <w:rPr>
          <w:b/>
          <w:sz w:val="15"/>
        </w:rPr>
      </w:pPr>
    </w:p>
    <w:p>
      <w:pPr>
        <w:spacing w:line="240" w:lineRule="auto" w:before="0"/>
        <w:rPr>
          <w:b/>
          <w:sz w:val="15"/>
        </w:rPr>
      </w:pPr>
    </w:p>
    <w:p>
      <w:pPr>
        <w:spacing w:line="240" w:lineRule="auto" w:before="169"/>
        <w:rPr>
          <w:b/>
          <w:sz w:val="15"/>
        </w:rPr>
      </w:pPr>
    </w:p>
    <w:p>
      <w:pPr>
        <w:spacing w:before="0"/>
        <w:ind w:left="1677" w:right="0" w:firstLine="0"/>
        <w:jc w:val="left"/>
        <w:rPr>
          <w:sz w:val="15"/>
        </w:rPr>
      </w:pPr>
      <w:r>
        <w:rPr>
          <w:sz w:val="15"/>
        </w:rPr>
        <w:t>The</w:t>
      </w:r>
      <w:r>
        <w:rPr>
          <w:spacing w:val="2"/>
          <w:sz w:val="15"/>
        </w:rPr>
        <w:t> </w:t>
      </w:r>
      <w:r>
        <w:rPr>
          <w:sz w:val="15"/>
        </w:rPr>
        <w:t>above</w:t>
      </w:r>
      <w:r>
        <w:rPr>
          <w:spacing w:val="3"/>
          <w:sz w:val="15"/>
        </w:rPr>
        <w:t> </w:t>
      </w:r>
      <w:r>
        <w:rPr>
          <w:sz w:val="15"/>
        </w:rPr>
        <w:t>statement</w:t>
      </w:r>
      <w:r>
        <w:rPr>
          <w:spacing w:val="2"/>
          <w:sz w:val="15"/>
        </w:rPr>
        <w:t> </w:t>
      </w:r>
      <w:r>
        <w:rPr>
          <w:sz w:val="15"/>
        </w:rPr>
        <w:t>should</w:t>
      </w:r>
      <w:r>
        <w:rPr>
          <w:spacing w:val="3"/>
          <w:sz w:val="15"/>
        </w:rPr>
        <w:t> </w:t>
      </w:r>
      <w:r>
        <w:rPr>
          <w:sz w:val="15"/>
        </w:rPr>
        <w:t>be</w:t>
      </w:r>
      <w:r>
        <w:rPr>
          <w:spacing w:val="3"/>
          <w:sz w:val="15"/>
        </w:rPr>
        <w:t> </w:t>
      </w:r>
      <w:r>
        <w:rPr>
          <w:sz w:val="15"/>
        </w:rPr>
        <w:t>read</w:t>
      </w:r>
      <w:r>
        <w:rPr>
          <w:spacing w:val="3"/>
          <w:sz w:val="15"/>
        </w:rPr>
        <w:t> </w:t>
      </w:r>
      <w:r>
        <w:rPr>
          <w:sz w:val="15"/>
        </w:rPr>
        <w:t>in</w:t>
      </w:r>
      <w:r>
        <w:rPr>
          <w:spacing w:val="3"/>
          <w:sz w:val="15"/>
        </w:rPr>
        <w:t> </w:t>
      </w:r>
      <w:r>
        <w:rPr>
          <w:sz w:val="15"/>
        </w:rPr>
        <w:t>conjunction</w:t>
      </w:r>
      <w:r>
        <w:rPr>
          <w:spacing w:val="3"/>
          <w:sz w:val="15"/>
        </w:rPr>
        <w:t> </w:t>
      </w:r>
      <w:r>
        <w:rPr>
          <w:sz w:val="15"/>
        </w:rPr>
        <w:t>with</w:t>
      </w:r>
      <w:r>
        <w:rPr>
          <w:spacing w:val="3"/>
          <w:sz w:val="15"/>
        </w:rPr>
        <w:t> </w:t>
      </w:r>
      <w:r>
        <w:rPr>
          <w:sz w:val="15"/>
        </w:rPr>
        <w:t>the</w:t>
      </w:r>
      <w:r>
        <w:rPr>
          <w:spacing w:val="3"/>
          <w:sz w:val="15"/>
        </w:rPr>
        <w:t> </w:t>
      </w:r>
      <w:r>
        <w:rPr>
          <w:sz w:val="15"/>
        </w:rPr>
        <w:t>accompanying</w:t>
      </w:r>
      <w:r>
        <w:rPr>
          <w:spacing w:val="3"/>
          <w:sz w:val="15"/>
        </w:rPr>
        <w:t> </w:t>
      </w:r>
      <w:r>
        <w:rPr>
          <w:spacing w:val="-2"/>
          <w:sz w:val="15"/>
        </w:rPr>
        <w:t>notes.</w:t>
      </w:r>
    </w:p>
    <w:p>
      <w:pPr>
        <w:spacing w:after="0"/>
        <w:jc w:val="left"/>
        <w:rPr>
          <w:sz w:val="15"/>
        </w:rPr>
        <w:sectPr>
          <w:pgSz w:w="11910" w:h="16840"/>
          <w:pgMar w:header="468" w:footer="0" w:top="720" w:bottom="280" w:left="920" w:right="0"/>
        </w:sectPr>
      </w:pPr>
    </w:p>
    <w:p>
      <w:pPr>
        <w:spacing w:line="240" w:lineRule="auto" w:before="0"/>
        <w:rPr>
          <w:sz w:val="20"/>
        </w:rPr>
      </w:pPr>
    </w:p>
    <w:p>
      <w:pPr>
        <w:spacing w:line="240" w:lineRule="auto" w:before="0"/>
        <w:rPr>
          <w:sz w:val="20"/>
        </w:rPr>
      </w:pPr>
    </w:p>
    <w:p>
      <w:pPr>
        <w:spacing w:line="240" w:lineRule="auto" w:before="213" w:after="1"/>
        <w:rPr>
          <w:sz w:val="20"/>
        </w:rPr>
      </w:pPr>
    </w:p>
    <w:tbl>
      <w:tblPr>
        <w:tblW w:w="0" w:type="auto"/>
        <w:jc w:val="left"/>
        <w:tblInd w:w="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898"/>
        <w:gridCol w:w="954"/>
        <w:gridCol w:w="1211"/>
        <w:gridCol w:w="1165"/>
        <w:gridCol w:w="943"/>
      </w:tblGrid>
      <w:tr>
        <w:trPr>
          <w:trHeight w:val="335" w:hRule="atLeast"/>
        </w:trPr>
        <w:tc>
          <w:tcPr>
            <w:tcW w:w="4898" w:type="dxa"/>
          </w:tcPr>
          <w:p>
            <w:pPr>
              <w:pStyle w:val="TableParagraph"/>
              <w:spacing w:line="273" w:lineRule="exact" w:before="42"/>
              <w:ind w:left="41"/>
              <w:rPr>
                <w:sz w:val="24"/>
              </w:rPr>
            </w:pPr>
            <w:r>
              <w:rPr>
                <w:color w:val="0070C0"/>
                <w:sz w:val="24"/>
              </w:rPr>
              <w:t>STATEMENT</w:t>
            </w:r>
            <w:r>
              <w:rPr>
                <w:color w:val="0070C0"/>
                <w:spacing w:val="1"/>
                <w:sz w:val="24"/>
              </w:rPr>
              <w:t> </w:t>
            </w:r>
            <w:r>
              <w:rPr>
                <w:color w:val="0070C0"/>
                <w:sz w:val="24"/>
              </w:rPr>
              <w:t>OF CHANGES IN </w:t>
            </w:r>
            <w:r>
              <w:rPr>
                <w:color w:val="0070C0"/>
                <w:spacing w:val="-2"/>
                <w:sz w:val="24"/>
              </w:rPr>
              <w:t>EQUITY</w:t>
            </w:r>
          </w:p>
        </w:tc>
        <w:tc>
          <w:tcPr>
            <w:tcW w:w="4273" w:type="dxa"/>
            <w:gridSpan w:val="4"/>
          </w:tcPr>
          <w:p>
            <w:pPr>
              <w:pStyle w:val="TableParagraph"/>
              <w:rPr>
                <w:rFonts w:ascii="Times New Roman"/>
                <w:sz w:val="14"/>
              </w:rPr>
            </w:pPr>
          </w:p>
        </w:tc>
      </w:tr>
      <w:tr>
        <w:trPr>
          <w:trHeight w:val="359" w:hRule="atLeast"/>
        </w:trPr>
        <w:tc>
          <w:tcPr>
            <w:tcW w:w="4898" w:type="dxa"/>
          </w:tcPr>
          <w:p>
            <w:pPr>
              <w:pStyle w:val="TableParagraph"/>
              <w:spacing w:before="17"/>
              <w:ind w:left="25"/>
              <w:rPr>
                <w:sz w:val="13"/>
              </w:rPr>
            </w:pPr>
            <w:r>
              <w:rPr>
                <w:w w:val="105"/>
                <w:sz w:val="13"/>
              </w:rPr>
              <w:t>for</w:t>
            </w:r>
            <w:r>
              <w:rPr>
                <w:spacing w:val="-8"/>
                <w:w w:val="105"/>
                <w:sz w:val="13"/>
              </w:rPr>
              <w:t> </w:t>
            </w:r>
            <w:r>
              <w:rPr>
                <w:w w:val="105"/>
                <w:sz w:val="13"/>
              </w:rPr>
              <w:t>the</w:t>
            </w:r>
            <w:r>
              <w:rPr>
                <w:spacing w:val="-8"/>
                <w:w w:val="105"/>
                <w:sz w:val="13"/>
              </w:rPr>
              <w:t> </w:t>
            </w:r>
            <w:r>
              <w:rPr>
                <w:w w:val="105"/>
                <w:sz w:val="13"/>
              </w:rPr>
              <w:t>year</w:t>
            </w:r>
            <w:r>
              <w:rPr>
                <w:spacing w:val="-8"/>
                <w:w w:val="105"/>
                <w:sz w:val="13"/>
              </w:rPr>
              <w:t> </w:t>
            </w:r>
            <w:r>
              <w:rPr>
                <w:w w:val="105"/>
                <w:sz w:val="13"/>
              </w:rPr>
              <w:t>ended</w:t>
            </w:r>
            <w:r>
              <w:rPr>
                <w:spacing w:val="-8"/>
                <w:w w:val="105"/>
                <w:sz w:val="13"/>
              </w:rPr>
              <w:t> </w:t>
            </w:r>
            <w:r>
              <w:rPr>
                <w:w w:val="105"/>
                <w:sz w:val="13"/>
              </w:rPr>
              <w:t>31</w:t>
            </w:r>
            <w:r>
              <w:rPr>
                <w:spacing w:val="-7"/>
                <w:w w:val="105"/>
                <w:sz w:val="13"/>
              </w:rPr>
              <w:t> </w:t>
            </w:r>
            <w:r>
              <w:rPr>
                <w:w w:val="105"/>
                <w:sz w:val="13"/>
              </w:rPr>
              <w:t>December</w:t>
            </w:r>
            <w:r>
              <w:rPr>
                <w:spacing w:val="-8"/>
                <w:w w:val="105"/>
                <w:sz w:val="13"/>
              </w:rPr>
              <w:t> </w:t>
            </w:r>
            <w:r>
              <w:rPr>
                <w:spacing w:val="-4"/>
                <w:w w:val="105"/>
                <w:sz w:val="13"/>
              </w:rPr>
              <w:t>2020</w:t>
            </w:r>
          </w:p>
        </w:tc>
        <w:tc>
          <w:tcPr>
            <w:tcW w:w="954" w:type="dxa"/>
          </w:tcPr>
          <w:p>
            <w:pPr>
              <w:pStyle w:val="TableParagraph"/>
              <w:rPr>
                <w:rFonts w:ascii="Times New Roman"/>
                <w:sz w:val="14"/>
              </w:rPr>
            </w:pPr>
          </w:p>
        </w:tc>
        <w:tc>
          <w:tcPr>
            <w:tcW w:w="1211" w:type="dxa"/>
          </w:tcPr>
          <w:p>
            <w:pPr>
              <w:pStyle w:val="TableParagraph"/>
              <w:rPr>
                <w:rFonts w:ascii="Times New Roman"/>
                <w:sz w:val="14"/>
              </w:rPr>
            </w:pPr>
          </w:p>
        </w:tc>
        <w:tc>
          <w:tcPr>
            <w:tcW w:w="1165" w:type="dxa"/>
          </w:tcPr>
          <w:p>
            <w:pPr>
              <w:pStyle w:val="TableParagraph"/>
              <w:rPr>
                <w:rFonts w:ascii="Times New Roman"/>
                <w:sz w:val="14"/>
              </w:rPr>
            </w:pPr>
          </w:p>
        </w:tc>
        <w:tc>
          <w:tcPr>
            <w:tcW w:w="943" w:type="dxa"/>
          </w:tcPr>
          <w:p>
            <w:pPr>
              <w:pStyle w:val="TableParagraph"/>
              <w:rPr>
                <w:rFonts w:ascii="Times New Roman"/>
                <w:sz w:val="14"/>
              </w:rPr>
            </w:pPr>
          </w:p>
        </w:tc>
      </w:tr>
      <w:tr>
        <w:trPr>
          <w:trHeight w:val="371" w:hRule="atLeast"/>
        </w:trPr>
        <w:tc>
          <w:tcPr>
            <w:tcW w:w="4898" w:type="dxa"/>
          </w:tcPr>
          <w:p>
            <w:pPr>
              <w:pStyle w:val="TableParagraph"/>
              <w:rPr>
                <w:rFonts w:ascii="Times New Roman"/>
                <w:sz w:val="14"/>
              </w:rPr>
            </w:pPr>
          </w:p>
        </w:tc>
        <w:tc>
          <w:tcPr>
            <w:tcW w:w="954" w:type="dxa"/>
          </w:tcPr>
          <w:p>
            <w:pPr>
              <w:pStyle w:val="TableParagraph"/>
              <w:rPr>
                <w:rFonts w:ascii="Times New Roman"/>
                <w:sz w:val="14"/>
              </w:rPr>
            </w:pPr>
          </w:p>
        </w:tc>
        <w:tc>
          <w:tcPr>
            <w:tcW w:w="1211" w:type="dxa"/>
          </w:tcPr>
          <w:p>
            <w:pPr>
              <w:pStyle w:val="TableParagraph"/>
              <w:rPr>
                <w:rFonts w:ascii="Times New Roman"/>
                <w:sz w:val="14"/>
              </w:rPr>
            </w:pPr>
          </w:p>
        </w:tc>
        <w:tc>
          <w:tcPr>
            <w:tcW w:w="1165" w:type="dxa"/>
          </w:tcPr>
          <w:p>
            <w:pPr>
              <w:pStyle w:val="TableParagraph"/>
              <w:spacing w:before="12"/>
              <w:rPr>
                <w:sz w:val="15"/>
              </w:rPr>
            </w:pPr>
          </w:p>
          <w:p>
            <w:pPr>
              <w:pStyle w:val="TableParagraph"/>
              <w:spacing w:line="166" w:lineRule="exact" w:before="1"/>
              <w:ind w:left="132"/>
              <w:rPr>
                <w:b/>
                <w:sz w:val="15"/>
              </w:rPr>
            </w:pPr>
            <w:r>
              <w:rPr>
                <w:b/>
                <w:spacing w:val="-2"/>
                <w:sz w:val="15"/>
              </w:rPr>
              <w:t>Retained</w:t>
            </w:r>
          </w:p>
        </w:tc>
        <w:tc>
          <w:tcPr>
            <w:tcW w:w="943" w:type="dxa"/>
          </w:tcPr>
          <w:p>
            <w:pPr>
              <w:pStyle w:val="TableParagraph"/>
              <w:rPr>
                <w:rFonts w:ascii="Times New Roman"/>
                <w:sz w:val="14"/>
              </w:rPr>
            </w:pPr>
          </w:p>
        </w:tc>
      </w:tr>
      <w:tr>
        <w:trPr>
          <w:trHeight w:val="188" w:hRule="atLeast"/>
        </w:trPr>
        <w:tc>
          <w:tcPr>
            <w:tcW w:w="4898" w:type="dxa"/>
          </w:tcPr>
          <w:p>
            <w:pPr>
              <w:pStyle w:val="TableParagraph"/>
              <w:rPr>
                <w:rFonts w:ascii="Times New Roman"/>
                <w:sz w:val="12"/>
              </w:rPr>
            </w:pPr>
          </w:p>
        </w:tc>
        <w:tc>
          <w:tcPr>
            <w:tcW w:w="954" w:type="dxa"/>
          </w:tcPr>
          <w:p>
            <w:pPr>
              <w:pStyle w:val="TableParagraph"/>
              <w:rPr>
                <w:rFonts w:ascii="Times New Roman"/>
                <w:sz w:val="12"/>
              </w:rPr>
            </w:pPr>
          </w:p>
        </w:tc>
        <w:tc>
          <w:tcPr>
            <w:tcW w:w="1211" w:type="dxa"/>
          </w:tcPr>
          <w:p>
            <w:pPr>
              <w:pStyle w:val="TableParagraph"/>
              <w:spacing w:line="161" w:lineRule="exact" w:before="8"/>
              <w:ind w:left="226"/>
              <w:rPr>
                <w:b/>
                <w:sz w:val="15"/>
              </w:rPr>
            </w:pPr>
            <w:r>
              <w:rPr>
                <w:b/>
                <w:spacing w:val="-2"/>
                <w:sz w:val="15"/>
              </w:rPr>
              <w:t>Reserves</w:t>
            </w:r>
          </w:p>
        </w:tc>
        <w:tc>
          <w:tcPr>
            <w:tcW w:w="1165" w:type="dxa"/>
          </w:tcPr>
          <w:p>
            <w:pPr>
              <w:pStyle w:val="TableParagraph"/>
              <w:spacing w:line="161" w:lineRule="exact" w:before="8"/>
              <w:ind w:left="137"/>
              <w:rPr>
                <w:b/>
                <w:sz w:val="15"/>
              </w:rPr>
            </w:pPr>
            <w:r>
              <w:rPr>
                <w:b/>
                <w:spacing w:val="-2"/>
                <w:sz w:val="15"/>
              </w:rPr>
              <w:t>earnings</w:t>
            </w:r>
          </w:p>
        </w:tc>
        <w:tc>
          <w:tcPr>
            <w:tcW w:w="943" w:type="dxa"/>
          </w:tcPr>
          <w:p>
            <w:pPr>
              <w:pStyle w:val="TableParagraph"/>
              <w:spacing w:line="161" w:lineRule="exact" w:before="8"/>
              <w:ind w:left="215"/>
              <w:rPr>
                <w:b/>
                <w:sz w:val="15"/>
              </w:rPr>
            </w:pPr>
            <w:r>
              <w:rPr>
                <w:b/>
                <w:spacing w:val="-2"/>
                <w:sz w:val="15"/>
              </w:rPr>
              <w:t>Total</w:t>
            </w:r>
          </w:p>
        </w:tc>
      </w:tr>
      <w:tr>
        <w:trPr>
          <w:trHeight w:val="178" w:hRule="atLeast"/>
        </w:trPr>
        <w:tc>
          <w:tcPr>
            <w:tcW w:w="4898" w:type="dxa"/>
            <w:tcBorders>
              <w:bottom w:val="single" w:sz="6" w:space="0" w:color="000000"/>
            </w:tcBorders>
          </w:tcPr>
          <w:p>
            <w:pPr>
              <w:pStyle w:val="TableParagraph"/>
              <w:rPr>
                <w:rFonts w:ascii="Times New Roman"/>
                <w:sz w:val="12"/>
              </w:rPr>
            </w:pPr>
          </w:p>
        </w:tc>
        <w:tc>
          <w:tcPr>
            <w:tcW w:w="954" w:type="dxa"/>
            <w:tcBorders>
              <w:bottom w:val="single" w:sz="6" w:space="0" w:color="000000"/>
            </w:tcBorders>
          </w:tcPr>
          <w:p>
            <w:pPr>
              <w:pStyle w:val="TableParagraph"/>
              <w:spacing w:line="155" w:lineRule="exact" w:before="3"/>
              <w:ind w:left="389"/>
              <w:jc w:val="center"/>
              <w:rPr>
                <w:b/>
                <w:sz w:val="15"/>
              </w:rPr>
            </w:pPr>
            <w:r>
              <w:rPr>
                <w:b/>
                <w:spacing w:val="-2"/>
                <w:sz w:val="15"/>
              </w:rPr>
              <w:t>Notes</w:t>
            </w:r>
          </w:p>
        </w:tc>
        <w:tc>
          <w:tcPr>
            <w:tcW w:w="1211" w:type="dxa"/>
            <w:tcBorders>
              <w:bottom w:val="single" w:sz="6" w:space="0" w:color="000000"/>
            </w:tcBorders>
          </w:tcPr>
          <w:p>
            <w:pPr>
              <w:pStyle w:val="TableParagraph"/>
              <w:spacing w:line="155" w:lineRule="exact" w:before="3"/>
              <w:ind w:left="373"/>
              <w:rPr>
                <w:b/>
                <w:sz w:val="15"/>
              </w:rPr>
            </w:pPr>
            <w:r>
              <w:rPr>
                <w:b/>
                <w:spacing w:val="-2"/>
                <w:sz w:val="15"/>
              </w:rPr>
              <w:t>$'000</w:t>
            </w:r>
          </w:p>
        </w:tc>
        <w:tc>
          <w:tcPr>
            <w:tcW w:w="1165" w:type="dxa"/>
            <w:tcBorders>
              <w:bottom w:val="single" w:sz="6" w:space="0" w:color="000000"/>
            </w:tcBorders>
          </w:tcPr>
          <w:p>
            <w:pPr>
              <w:pStyle w:val="TableParagraph"/>
              <w:spacing w:line="155" w:lineRule="exact" w:before="3"/>
              <w:ind w:left="268"/>
              <w:rPr>
                <w:b/>
                <w:sz w:val="15"/>
              </w:rPr>
            </w:pPr>
            <w:r>
              <w:rPr>
                <w:b/>
                <w:spacing w:val="-2"/>
                <w:sz w:val="15"/>
              </w:rPr>
              <w:t>$'000</w:t>
            </w:r>
          </w:p>
        </w:tc>
        <w:tc>
          <w:tcPr>
            <w:tcW w:w="943" w:type="dxa"/>
            <w:tcBorders>
              <w:bottom w:val="single" w:sz="6" w:space="0" w:color="000000"/>
            </w:tcBorders>
          </w:tcPr>
          <w:p>
            <w:pPr>
              <w:pStyle w:val="TableParagraph"/>
              <w:spacing w:line="155" w:lineRule="exact" w:before="3"/>
              <w:ind w:left="208"/>
              <w:rPr>
                <w:b/>
                <w:sz w:val="15"/>
              </w:rPr>
            </w:pPr>
            <w:r>
              <w:rPr>
                <w:b/>
                <w:spacing w:val="-2"/>
                <w:sz w:val="15"/>
              </w:rPr>
              <w:t>$'000</w:t>
            </w:r>
          </w:p>
        </w:tc>
      </w:tr>
      <w:tr>
        <w:trPr>
          <w:trHeight w:val="450" w:hRule="atLeast"/>
        </w:trPr>
        <w:tc>
          <w:tcPr>
            <w:tcW w:w="4898" w:type="dxa"/>
            <w:tcBorders>
              <w:top w:val="single" w:sz="6" w:space="0" w:color="000000"/>
            </w:tcBorders>
          </w:tcPr>
          <w:p>
            <w:pPr>
              <w:pStyle w:val="TableParagraph"/>
              <w:spacing w:before="5"/>
              <w:rPr>
                <w:sz w:val="15"/>
              </w:rPr>
            </w:pPr>
          </w:p>
          <w:p>
            <w:pPr>
              <w:pStyle w:val="TableParagraph"/>
              <w:spacing w:before="1"/>
              <w:ind w:left="27"/>
              <w:rPr>
                <w:b/>
                <w:sz w:val="15"/>
              </w:rPr>
            </w:pPr>
            <w:r>
              <w:rPr>
                <w:b/>
                <w:spacing w:val="-2"/>
                <w:sz w:val="15"/>
              </w:rPr>
              <w:t>Consolidated</w:t>
            </w:r>
          </w:p>
        </w:tc>
        <w:tc>
          <w:tcPr>
            <w:tcW w:w="954" w:type="dxa"/>
            <w:tcBorders>
              <w:top w:val="single" w:sz="6" w:space="0" w:color="000000"/>
            </w:tcBorders>
          </w:tcPr>
          <w:p>
            <w:pPr>
              <w:pStyle w:val="TableParagraph"/>
              <w:rPr>
                <w:rFonts w:ascii="Times New Roman"/>
                <w:sz w:val="14"/>
              </w:rPr>
            </w:pPr>
          </w:p>
        </w:tc>
        <w:tc>
          <w:tcPr>
            <w:tcW w:w="1211" w:type="dxa"/>
            <w:tcBorders>
              <w:top w:val="single" w:sz="6" w:space="0" w:color="000000"/>
            </w:tcBorders>
          </w:tcPr>
          <w:p>
            <w:pPr>
              <w:pStyle w:val="TableParagraph"/>
              <w:rPr>
                <w:rFonts w:ascii="Times New Roman"/>
                <w:sz w:val="14"/>
              </w:rPr>
            </w:pPr>
          </w:p>
        </w:tc>
        <w:tc>
          <w:tcPr>
            <w:tcW w:w="1165" w:type="dxa"/>
            <w:tcBorders>
              <w:top w:val="single" w:sz="6" w:space="0" w:color="000000"/>
            </w:tcBorders>
          </w:tcPr>
          <w:p>
            <w:pPr>
              <w:pStyle w:val="TableParagraph"/>
              <w:rPr>
                <w:rFonts w:ascii="Times New Roman"/>
                <w:sz w:val="14"/>
              </w:rPr>
            </w:pPr>
          </w:p>
        </w:tc>
        <w:tc>
          <w:tcPr>
            <w:tcW w:w="943" w:type="dxa"/>
            <w:tcBorders>
              <w:top w:val="single" w:sz="6" w:space="0" w:color="000000"/>
            </w:tcBorders>
          </w:tcPr>
          <w:p>
            <w:pPr>
              <w:pStyle w:val="TableParagraph"/>
              <w:rPr>
                <w:rFonts w:ascii="Times New Roman"/>
                <w:sz w:val="14"/>
              </w:rPr>
            </w:pPr>
          </w:p>
        </w:tc>
      </w:tr>
      <w:tr>
        <w:trPr>
          <w:trHeight w:val="276" w:hRule="atLeast"/>
        </w:trPr>
        <w:tc>
          <w:tcPr>
            <w:tcW w:w="4898" w:type="dxa"/>
          </w:tcPr>
          <w:p>
            <w:pPr>
              <w:pStyle w:val="TableParagraph"/>
              <w:spacing w:line="162" w:lineRule="exact" w:before="94"/>
              <w:ind w:left="27"/>
              <w:rPr>
                <w:sz w:val="15"/>
              </w:rPr>
            </w:pPr>
            <w:r>
              <w:rPr>
                <w:sz w:val="15"/>
              </w:rPr>
              <w:t>Balance</w:t>
            </w:r>
            <w:r>
              <w:rPr>
                <w:spacing w:val="-3"/>
                <w:sz w:val="15"/>
              </w:rPr>
              <w:t> </w:t>
            </w:r>
            <w:r>
              <w:rPr>
                <w:sz w:val="15"/>
              </w:rPr>
              <w:t>at</w:t>
            </w:r>
            <w:r>
              <w:rPr>
                <w:spacing w:val="-4"/>
                <w:sz w:val="15"/>
              </w:rPr>
              <w:t> </w:t>
            </w:r>
            <w:r>
              <w:rPr>
                <w:sz w:val="15"/>
              </w:rPr>
              <w:t>1</w:t>
            </w:r>
            <w:r>
              <w:rPr>
                <w:spacing w:val="-3"/>
                <w:sz w:val="15"/>
              </w:rPr>
              <w:t> </w:t>
            </w:r>
            <w:r>
              <w:rPr>
                <w:sz w:val="15"/>
              </w:rPr>
              <w:t>January</w:t>
            </w:r>
            <w:r>
              <w:rPr>
                <w:spacing w:val="-6"/>
                <w:sz w:val="15"/>
              </w:rPr>
              <w:t> </w:t>
            </w:r>
            <w:r>
              <w:rPr>
                <w:spacing w:val="-4"/>
                <w:sz w:val="15"/>
              </w:rPr>
              <w:t>2019</w:t>
            </w:r>
          </w:p>
        </w:tc>
        <w:tc>
          <w:tcPr>
            <w:tcW w:w="954" w:type="dxa"/>
          </w:tcPr>
          <w:p>
            <w:pPr>
              <w:pStyle w:val="TableParagraph"/>
              <w:rPr>
                <w:rFonts w:ascii="Times New Roman"/>
                <w:sz w:val="14"/>
              </w:rPr>
            </w:pPr>
          </w:p>
        </w:tc>
        <w:tc>
          <w:tcPr>
            <w:tcW w:w="1211" w:type="dxa"/>
          </w:tcPr>
          <w:p>
            <w:pPr>
              <w:pStyle w:val="TableParagraph"/>
              <w:spacing w:line="160" w:lineRule="exact" w:before="96"/>
              <w:ind w:right="180"/>
              <w:jc w:val="right"/>
              <w:rPr>
                <w:sz w:val="15"/>
              </w:rPr>
            </w:pPr>
            <w:r>
              <w:rPr>
                <w:spacing w:val="-2"/>
                <w:sz w:val="15"/>
              </w:rPr>
              <w:t>32,793</w:t>
            </w:r>
          </w:p>
        </w:tc>
        <w:tc>
          <w:tcPr>
            <w:tcW w:w="1165" w:type="dxa"/>
          </w:tcPr>
          <w:p>
            <w:pPr>
              <w:pStyle w:val="TableParagraph"/>
              <w:spacing w:line="160" w:lineRule="exact" w:before="96"/>
              <w:ind w:right="239"/>
              <w:jc w:val="right"/>
              <w:rPr>
                <w:sz w:val="15"/>
              </w:rPr>
            </w:pPr>
            <w:r>
              <w:rPr>
                <w:spacing w:val="-2"/>
                <w:sz w:val="15"/>
              </w:rPr>
              <w:t>1,954,050</w:t>
            </w:r>
          </w:p>
        </w:tc>
        <w:tc>
          <w:tcPr>
            <w:tcW w:w="943" w:type="dxa"/>
          </w:tcPr>
          <w:p>
            <w:pPr>
              <w:pStyle w:val="TableParagraph"/>
              <w:spacing w:line="160" w:lineRule="exact" w:before="96"/>
              <w:ind w:left="192"/>
              <w:rPr>
                <w:sz w:val="15"/>
              </w:rPr>
            </w:pPr>
            <w:r>
              <w:rPr>
                <w:spacing w:val="-2"/>
                <w:sz w:val="15"/>
              </w:rPr>
              <w:t>1,986,843</w:t>
            </w:r>
          </w:p>
        </w:tc>
      </w:tr>
      <w:tr>
        <w:trPr>
          <w:trHeight w:val="179" w:hRule="atLeast"/>
        </w:trPr>
        <w:tc>
          <w:tcPr>
            <w:tcW w:w="4898" w:type="dxa"/>
          </w:tcPr>
          <w:p>
            <w:pPr>
              <w:pStyle w:val="TableParagraph"/>
              <w:spacing w:line="158" w:lineRule="exact" w:before="2"/>
              <w:ind w:left="27"/>
              <w:rPr>
                <w:sz w:val="15"/>
              </w:rPr>
            </w:pPr>
            <w:r>
              <w:rPr>
                <w:sz w:val="15"/>
              </w:rPr>
              <w:t>Effect</w:t>
            </w:r>
            <w:r>
              <w:rPr>
                <w:spacing w:val="-4"/>
                <w:sz w:val="15"/>
              </w:rPr>
              <w:t> </w:t>
            </w:r>
            <w:r>
              <w:rPr>
                <w:sz w:val="15"/>
              </w:rPr>
              <w:t>of</w:t>
            </w:r>
            <w:r>
              <w:rPr>
                <w:spacing w:val="-4"/>
                <w:sz w:val="15"/>
              </w:rPr>
              <w:t> </w:t>
            </w:r>
            <w:r>
              <w:rPr>
                <w:sz w:val="15"/>
              </w:rPr>
              <w:t>adoption</w:t>
            </w:r>
            <w:r>
              <w:rPr>
                <w:spacing w:val="-3"/>
                <w:sz w:val="15"/>
              </w:rPr>
              <w:t> </w:t>
            </w:r>
            <w:r>
              <w:rPr>
                <w:sz w:val="15"/>
              </w:rPr>
              <w:t>of</w:t>
            </w:r>
            <w:r>
              <w:rPr>
                <w:spacing w:val="-4"/>
                <w:sz w:val="15"/>
              </w:rPr>
              <w:t> </w:t>
            </w:r>
            <w:r>
              <w:rPr>
                <w:sz w:val="15"/>
              </w:rPr>
              <w:t>new</w:t>
            </w:r>
            <w:r>
              <w:rPr>
                <w:spacing w:val="-3"/>
                <w:sz w:val="15"/>
              </w:rPr>
              <w:t> </w:t>
            </w:r>
            <w:r>
              <w:rPr>
                <w:sz w:val="15"/>
              </w:rPr>
              <w:t>accounting</w:t>
            </w:r>
            <w:r>
              <w:rPr>
                <w:spacing w:val="-3"/>
                <w:sz w:val="15"/>
              </w:rPr>
              <w:t> </w:t>
            </w:r>
            <w:r>
              <w:rPr>
                <w:spacing w:val="-2"/>
                <w:sz w:val="15"/>
              </w:rPr>
              <w:t>standards</w:t>
            </w:r>
          </w:p>
        </w:tc>
        <w:tc>
          <w:tcPr>
            <w:tcW w:w="954" w:type="dxa"/>
          </w:tcPr>
          <w:p>
            <w:pPr>
              <w:pStyle w:val="TableParagraph"/>
              <w:rPr>
                <w:rFonts w:ascii="Times New Roman"/>
                <w:sz w:val="12"/>
              </w:rPr>
            </w:pPr>
          </w:p>
        </w:tc>
        <w:tc>
          <w:tcPr>
            <w:tcW w:w="1211" w:type="dxa"/>
            <w:tcBorders>
              <w:bottom w:val="single" w:sz="6" w:space="0" w:color="000000"/>
            </w:tcBorders>
          </w:tcPr>
          <w:p>
            <w:pPr>
              <w:pStyle w:val="TableParagraph"/>
              <w:rPr>
                <w:rFonts w:ascii="Times New Roman"/>
                <w:sz w:val="12"/>
              </w:rPr>
            </w:pPr>
          </w:p>
        </w:tc>
        <w:tc>
          <w:tcPr>
            <w:tcW w:w="1165" w:type="dxa"/>
            <w:tcBorders>
              <w:bottom w:val="single" w:sz="6" w:space="0" w:color="000000"/>
            </w:tcBorders>
          </w:tcPr>
          <w:p>
            <w:pPr>
              <w:pStyle w:val="TableParagraph"/>
              <w:spacing w:line="155" w:lineRule="exact" w:before="4"/>
              <w:ind w:right="189"/>
              <w:jc w:val="right"/>
              <w:rPr>
                <w:sz w:val="15"/>
              </w:rPr>
            </w:pPr>
            <w:r>
              <w:rPr>
                <w:spacing w:val="-2"/>
                <w:sz w:val="15"/>
              </w:rPr>
              <w:t>(7,895)</w:t>
            </w:r>
          </w:p>
        </w:tc>
        <w:tc>
          <w:tcPr>
            <w:tcW w:w="943" w:type="dxa"/>
            <w:tcBorders>
              <w:bottom w:val="single" w:sz="6" w:space="0" w:color="000000"/>
            </w:tcBorders>
          </w:tcPr>
          <w:p>
            <w:pPr>
              <w:pStyle w:val="TableParagraph"/>
              <w:spacing w:line="155" w:lineRule="exact" w:before="4"/>
              <w:ind w:right="26"/>
              <w:jc w:val="right"/>
              <w:rPr>
                <w:sz w:val="15"/>
              </w:rPr>
            </w:pPr>
            <w:r>
              <w:rPr>
                <w:spacing w:val="-2"/>
                <w:sz w:val="15"/>
              </w:rPr>
              <w:t>(7,895)</w:t>
            </w:r>
          </w:p>
        </w:tc>
      </w:tr>
      <w:tr>
        <w:trPr>
          <w:trHeight w:val="174" w:hRule="atLeast"/>
        </w:trPr>
        <w:tc>
          <w:tcPr>
            <w:tcW w:w="4898" w:type="dxa"/>
          </w:tcPr>
          <w:p>
            <w:pPr>
              <w:pStyle w:val="TableParagraph"/>
              <w:spacing w:line="154" w:lineRule="exact"/>
              <w:ind w:left="27"/>
              <w:rPr>
                <w:b/>
                <w:sz w:val="15"/>
              </w:rPr>
            </w:pPr>
            <w:r>
              <w:rPr>
                <w:b/>
                <w:sz w:val="15"/>
              </w:rPr>
              <w:t>Balance</w:t>
            </w:r>
            <w:r>
              <w:rPr>
                <w:b/>
                <w:spacing w:val="-4"/>
                <w:sz w:val="15"/>
              </w:rPr>
              <w:t> </w:t>
            </w:r>
            <w:r>
              <w:rPr>
                <w:b/>
                <w:sz w:val="15"/>
              </w:rPr>
              <w:t>as</w:t>
            </w:r>
            <w:r>
              <w:rPr>
                <w:b/>
                <w:spacing w:val="-4"/>
                <w:sz w:val="15"/>
              </w:rPr>
              <w:t> </w:t>
            </w:r>
            <w:r>
              <w:rPr>
                <w:b/>
                <w:spacing w:val="-2"/>
                <w:sz w:val="15"/>
              </w:rPr>
              <w:t>restated</w:t>
            </w:r>
          </w:p>
        </w:tc>
        <w:tc>
          <w:tcPr>
            <w:tcW w:w="954" w:type="dxa"/>
          </w:tcPr>
          <w:p>
            <w:pPr>
              <w:pStyle w:val="TableParagraph"/>
              <w:rPr>
                <w:rFonts w:ascii="Times New Roman"/>
                <w:sz w:val="10"/>
              </w:rPr>
            </w:pPr>
          </w:p>
        </w:tc>
        <w:tc>
          <w:tcPr>
            <w:tcW w:w="1211" w:type="dxa"/>
            <w:tcBorders>
              <w:top w:val="single" w:sz="6" w:space="0" w:color="000000"/>
            </w:tcBorders>
          </w:tcPr>
          <w:p>
            <w:pPr>
              <w:pStyle w:val="TableParagraph"/>
              <w:spacing w:line="154" w:lineRule="exact"/>
              <w:ind w:right="180"/>
              <w:jc w:val="right"/>
              <w:rPr>
                <w:sz w:val="15"/>
              </w:rPr>
            </w:pPr>
            <w:r>
              <w:rPr>
                <w:spacing w:val="-2"/>
                <w:sz w:val="15"/>
              </w:rPr>
              <w:t>32,793</w:t>
            </w:r>
          </w:p>
        </w:tc>
        <w:tc>
          <w:tcPr>
            <w:tcW w:w="1165" w:type="dxa"/>
            <w:tcBorders>
              <w:top w:val="single" w:sz="6" w:space="0" w:color="000000"/>
            </w:tcBorders>
          </w:tcPr>
          <w:p>
            <w:pPr>
              <w:pStyle w:val="TableParagraph"/>
              <w:spacing w:line="154" w:lineRule="exact"/>
              <w:ind w:right="239"/>
              <w:jc w:val="right"/>
              <w:rPr>
                <w:sz w:val="15"/>
              </w:rPr>
            </w:pPr>
            <w:r>
              <w:rPr>
                <w:spacing w:val="-2"/>
                <w:sz w:val="15"/>
              </w:rPr>
              <w:t>1,946,155</w:t>
            </w:r>
          </w:p>
        </w:tc>
        <w:tc>
          <w:tcPr>
            <w:tcW w:w="943" w:type="dxa"/>
            <w:tcBorders>
              <w:top w:val="single" w:sz="6" w:space="0" w:color="000000"/>
            </w:tcBorders>
          </w:tcPr>
          <w:p>
            <w:pPr>
              <w:pStyle w:val="TableParagraph"/>
              <w:spacing w:line="154" w:lineRule="exact"/>
              <w:ind w:left="192"/>
              <w:rPr>
                <w:sz w:val="15"/>
              </w:rPr>
            </w:pPr>
            <w:r>
              <w:rPr>
                <w:spacing w:val="-2"/>
                <w:sz w:val="15"/>
              </w:rPr>
              <w:t>1,978,948</w:t>
            </w:r>
          </w:p>
        </w:tc>
      </w:tr>
      <w:tr>
        <w:trPr>
          <w:trHeight w:val="367" w:hRule="atLeast"/>
        </w:trPr>
        <w:tc>
          <w:tcPr>
            <w:tcW w:w="4898" w:type="dxa"/>
          </w:tcPr>
          <w:p>
            <w:pPr>
              <w:pStyle w:val="TableParagraph"/>
              <w:spacing w:before="2"/>
              <w:ind w:left="27"/>
              <w:rPr>
                <w:sz w:val="15"/>
              </w:rPr>
            </w:pPr>
            <w:r>
              <w:rPr>
                <w:sz w:val="15"/>
              </w:rPr>
              <w:t>Net</w:t>
            </w:r>
            <w:r>
              <w:rPr>
                <w:spacing w:val="-4"/>
                <w:sz w:val="15"/>
              </w:rPr>
              <w:t> </w:t>
            </w:r>
            <w:r>
              <w:rPr>
                <w:spacing w:val="-2"/>
                <w:sz w:val="15"/>
              </w:rPr>
              <w:t>result</w:t>
            </w:r>
          </w:p>
          <w:p>
            <w:pPr>
              <w:pStyle w:val="TableParagraph"/>
              <w:spacing w:line="161" w:lineRule="exact" w:before="12"/>
              <w:ind w:left="27"/>
              <w:rPr>
                <w:sz w:val="15"/>
              </w:rPr>
            </w:pPr>
            <w:r>
              <w:rPr>
                <w:sz w:val="15"/>
              </w:rPr>
              <w:t>Other</w:t>
            </w:r>
            <w:r>
              <w:rPr>
                <w:spacing w:val="-7"/>
                <w:sz w:val="15"/>
              </w:rPr>
              <w:t> </w:t>
            </w:r>
            <w:r>
              <w:rPr>
                <w:sz w:val="15"/>
              </w:rPr>
              <w:t>comprehensive</w:t>
            </w:r>
            <w:r>
              <w:rPr>
                <w:spacing w:val="-4"/>
                <w:sz w:val="15"/>
              </w:rPr>
              <w:t> </w:t>
            </w:r>
            <w:r>
              <w:rPr>
                <w:spacing w:val="-2"/>
                <w:sz w:val="15"/>
              </w:rPr>
              <w:t>income</w:t>
            </w:r>
          </w:p>
        </w:tc>
        <w:tc>
          <w:tcPr>
            <w:tcW w:w="954" w:type="dxa"/>
          </w:tcPr>
          <w:p>
            <w:pPr>
              <w:pStyle w:val="TableParagraph"/>
              <w:rPr>
                <w:rFonts w:ascii="Times New Roman"/>
                <w:sz w:val="14"/>
              </w:rPr>
            </w:pPr>
          </w:p>
        </w:tc>
        <w:tc>
          <w:tcPr>
            <w:tcW w:w="1211" w:type="dxa"/>
          </w:tcPr>
          <w:p>
            <w:pPr>
              <w:pStyle w:val="TableParagraph"/>
              <w:spacing w:before="6"/>
              <w:ind w:right="172"/>
              <w:jc w:val="right"/>
              <w:rPr>
                <w:sz w:val="15"/>
              </w:rPr>
            </w:pPr>
            <w:r>
              <w:rPr>
                <w:spacing w:val="-10"/>
                <w:sz w:val="15"/>
              </w:rPr>
              <w:t>-</w:t>
            </w:r>
          </w:p>
        </w:tc>
        <w:tc>
          <w:tcPr>
            <w:tcW w:w="1165" w:type="dxa"/>
          </w:tcPr>
          <w:p>
            <w:pPr>
              <w:pStyle w:val="TableParagraph"/>
              <w:spacing w:before="4"/>
              <w:ind w:right="239"/>
              <w:jc w:val="right"/>
              <w:rPr>
                <w:sz w:val="15"/>
              </w:rPr>
            </w:pPr>
            <w:r>
              <w:rPr>
                <w:spacing w:val="-2"/>
                <w:sz w:val="15"/>
              </w:rPr>
              <w:t>120,981</w:t>
            </w:r>
          </w:p>
        </w:tc>
        <w:tc>
          <w:tcPr>
            <w:tcW w:w="943" w:type="dxa"/>
          </w:tcPr>
          <w:p>
            <w:pPr>
              <w:pStyle w:val="TableParagraph"/>
              <w:spacing w:before="4"/>
              <w:ind w:left="318"/>
              <w:rPr>
                <w:sz w:val="15"/>
              </w:rPr>
            </w:pPr>
            <w:r>
              <w:rPr>
                <w:spacing w:val="-2"/>
                <w:sz w:val="15"/>
              </w:rPr>
              <w:t>120,981</w:t>
            </w:r>
          </w:p>
        </w:tc>
      </w:tr>
      <w:tr>
        <w:trPr>
          <w:trHeight w:val="180" w:hRule="atLeast"/>
        </w:trPr>
        <w:tc>
          <w:tcPr>
            <w:tcW w:w="4898" w:type="dxa"/>
          </w:tcPr>
          <w:p>
            <w:pPr>
              <w:pStyle w:val="TableParagraph"/>
              <w:spacing w:line="158" w:lineRule="exact" w:before="3"/>
              <w:ind w:left="27"/>
              <w:rPr>
                <w:sz w:val="15"/>
              </w:rPr>
            </w:pPr>
            <w:r>
              <w:rPr>
                <w:sz w:val="15"/>
              </w:rPr>
              <w:t>-</w:t>
            </w:r>
            <w:r>
              <w:rPr>
                <w:spacing w:val="-6"/>
                <w:sz w:val="15"/>
              </w:rPr>
              <w:t> </w:t>
            </w:r>
            <w:r>
              <w:rPr>
                <w:sz w:val="15"/>
              </w:rPr>
              <w:t>Remeasurement</w:t>
            </w:r>
            <w:r>
              <w:rPr>
                <w:spacing w:val="-4"/>
                <w:sz w:val="15"/>
              </w:rPr>
              <w:t> </w:t>
            </w:r>
            <w:r>
              <w:rPr>
                <w:sz w:val="15"/>
              </w:rPr>
              <w:t>of</w:t>
            </w:r>
            <w:r>
              <w:rPr>
                <w:spacing w:val="-4"/>
                <w:sz w:val="15"/>
              </w:rPr>
              <w:t> </w:t>
            </w:r>
            <w:r>
              <w:rPr>
                <w:sz w:val="15"/>
              </w:rPr>
              <w:t>Defined</w:t>
            </w:r>
            <w:r>
              <w:rPr>
                <w:spacing w:val="-4"/>
                <w:sz w:val="15"/>
              </w:rPr>
              <w:t> </w:t>
            </w:r>
            <w:r>
              <w:rPr>
                <w:sz w:val="15"/>
              </w:rPr>
              <w:t>Benefit</w:t>
            </w:r>
            <w:r>
              <w:rPr>
                <w:spacing w:val="-4"/>
                <w:sz w:val="15"/>
              </w:rPr>
              <w:t> Plan</w:t>
            </w:r>
          </w:p>
        </w:tc>
        <w:tc>
          <w:tcPr>
            <w:tcW w:w="954" w:type="dxa"/>
          </w:tcPr>
          <w:p>
            <w:pPr>
              <w:pStyle w:val="TableParagraph"/>
              <w:spacing w:line="155" w:lineRule="exact" w:before="5"/>
              <w:ind w:left="389" w:right="46"/>
              <w:jc w:val="center"/>
              <w:rPr>
                <w:sz w:val="15"/>
              </w:rPr>
            </w:pPr>
            <w:r>
              <w:rPr>
                <w:spacing w:val="-5"/>
                <w:sz w:val="15"/>
              </w:rPr>
              <w:t>3.3</w:t>
            </w:r>
          </w:p>
        </w:tc>
        <w:tc>
          <w:tcPr>
            <w:tcW w:w="1211" w:type="dxa"/>
            <w:tcBorders>
              <w:bottom w:val="single" w:sz="6" w:space="0" w:color="000000"/>
            </w:tcBorders>
          </w:tcPr>
          <w:p>
            <w:pPr>
              <w:pStyle w:val="TableParagraph"/>
              <w:spacing w:line="153" w:lineRule="exact" w:before="8"/>
              <w:ind w:right="172"/>
              <w:jc w:val="right"/>
              <w:rPr>
                <w:sz w:val="15"/>
              </w:rPr>
            </w:pPr>
            <w:r>
              <w:rPr>
                <w:spacing w:val="-10"/>
                <w:sz w:val="15"/>
              </w:rPr>
              <w:t>-</w:t>
            </w:r>
          </w:p>
        </w:tc>
        <w:tc>
          <w:tcPr>
            <w:tcW w:w="1165" w:type="dxa"/>
            <w:tcBorders>
              <w:bottom w:val="single" w:sz="6" w:space="0" w:color="000000"/>
            </w:tcBorders>
          </w:tcPr>
          <w:p>
            <w:pPr>
              <w:pStyle w:val="TableParagraph"/>
              <w:spacing w:line="155" w:lineRule="exact" w:before="5"/>
              <w:ind w:right="188"/>
              <w:jc w:val="right"/>
              <w:rPr>
                <w:sz w:val="15"/>
              </w:rPr>
            </w:pPr>
            <w:r>
              <w:rPr>
                <w:spacing w:val="-2"/>
                <w:sz w:val="15"/>
              </w:rPr>
              <w:t>(230)</w:t>
            </w:r>
          </w:p>
        </w:tc>
        <w:tc>
          <w:tcPr>
            <w:tcW w:w="943" w:type="dxa"/>
            <w:tcBorders>
              <w:bottom w:val="single" w:sz="6" w:space="0" w:color="000000"/>
            </w:tcBorders>
          </w:tcPr>
          <w:p>
            <w:pPr>
              <w:pStyle w:val="TableParagraph"/>
              <w:spacing w:line="155" w:lineRule="exact" w:before="5"/>
              <w:ind w:right="26"/>
              <w:jc w:val="right"/>
              <w:rPr>
                <w:sz w:val="15"/>
              </w:rPr>
            </w:pPr>
            <w:r>
              <w:rPr>
                <w:spacing w:val="-2"/>
                <w:sz w:val="15"/>
              </w:rPr>
              <w:t>(230)</w:t>
            </w:r>
          </w:p>
        </w:tc>
      </w:tr>
      <w:tr>
        <w:trPr>
          <w:trHeight w:val="175" w:hRule="atLeast"/>
        </w:trPr>
        <w:tc>
          <w:tcPr>
            <w:tcW w:w="4898" w:type="dxa"/>
          </w:tcPr>
          <w:p>
            <w:pPr>
              <w:pStyle w:val="TableParagraph"/>
              <w:spacing w:line="155" w:lineRule="exact"/>
              <w:ind w:left="27"/>
              <w:rPr>
                <w:sz w:val="15"/>
              </w:rPr>
            </w:pPr>
            <w:r>
              <w:rPr>
                <w:sz w:val="15"/>
              </w:rPr>
              <w:t>Total</w:t>
            </w:r>
            <w:r>
              <w:rPr>
                <w:spacing w:val="-6"/>
                <w:sz w:val="15"/>
              </w:rPr>
              <w:t> </w:t>
            </w:r>
            <w:r>
              <w:rPr>
                <w:sz w:val="15"/>
              </w:rPr>
              <w:t>comprehensive</w:t>
            </w:r>
            <w:r>
              <w:rPr>
                <w:spacing w:val="-3"/>
                <w:sz w:val="15"/>
              </w:rPr>
              <w:t> </w:t>
            </w:r>
            <w:r>
              <w:rPr>
                <w:spacing w:val="-2"/>
                <w:sz w:val="15"/>
              </w:rPr>
              <w:t>income</w:t>
            </w:r>
          </w:p>
        </w:tc>
        <w:tc>
          <w:tcPr>
            <w:tcW w:w="954" w:type="dxa"/>
          </w:tcPr>
          <w:p>
            <w:pPr>
              <w:pStyle w:val="TableParagraph"/>
              <w:rPr>
                <w:rFonts w:ascii="Times New Roman"/>
                <w:sz w:val="10"/>
              </w:rPr>
            </w:pPr>
          </w:p>
        </w:tc>
        <w:tc>
          <w:tcPr>
            <w:tcW w:w="1211" w:type="dxa"/>
            <w:tcBorders>
              <w:top w:val="single" w:sz="6" w:space="0" w:color="000000"/>
            </w:tcBorders>
          </w:tcPr>
          <w:p>
            <w:pPr>
              <w:pStyle w:val="TableParagraph"/>
              <w:spacing w:line="155" w:lineRule="exact"/>
              <w:ind w:right="172"/>
              <w:jc w:val="right"/>
              <w:rPr>
                <w:sz w:val="15"/>
              </w:rPr>
            </w:pPr>
            <w:r>
              <w:rPr>
                <w:spacing w:val="-10"/>
                <w:sz w:val="15"/>
              </w:rPr>
              <w:t>-</w:t>
            </w:r>
          </w:p>
        </w:tc>
        <w:tc>
          <w:tcPr>
            <w:tcW w:w="1165" w:type="dxa"/>
            <w:tcBorders>
              <w:top w:val="single" w:sz="6" w:space="0" w:color="000000"/>
            </w:tcBorders>
          </w:tcPr>
          <w:p>
            <w:pPr>
              <w:pStyle w:val="TableParagraph"/>
              <w:spacing w:line="155" w:lineRule="exact"/>
              <w:ind w:right="239"/>
              <w:jc w:val="right"/>
              <w:rPr>
                <w:sz w:val="15"/>
              </w:rPr>
            </w:pPr>
            <w:r>
              <w:rPr>
                <w:spacing w:val="-2"/>
                <w:sz w:val="15"/>
              </w:rPr>
              <w:t>120,751</w:t>
            </w:r>
          </w:p>
        </w:tc>
        <w:tc>
          <w:tcPr>
            <w:tcW w:w="943" w:type="dxa"/>
            <w:tcBorders>
              <w:top w:val="single" w:sz="6" w:space="0" w:color="000000"/>
            </w:tcBorders>
          </w:tcPr>
          <w:p>
            <w:pPr>
              <w:pStyle w:val="TableParagraph"/>
              <w:spacing w:line="155" w:lineRule="exact"/>
              <w:ind w:left="318"/>
              <w:rPr>
                <w:sz w:val="15"/>
              </w:rPr>
            </w:pPr>
            <w:r>
              <w:rPr>
                <w:spacing w:val="-2"/>
                <w:sz w:val="15"/>
              </w:rPr>
              <w:t>120,751</w:t>
            </w:r>
          </w:p>
        </w:tc>
      </w:tr>
      <w:tr>
        <w:trPr>
          <w:trHeight w:val="170" w:hRule="atLeast"/>
        </w:trPr>
        <w:tc>
          <w:tcPr>
            <w:tcW w:w="4898" w:type="dxa"/>
          </w:tcPr>
          <w:p>
            <w:pPr>
              <w:pStyle w:val="TableParagraph"/>
              <w:spacing w:line="150" w:lineRule="exact" w:before="1"/>
              <w:ind w:left="27"/>
              <w:rPr>
                <w:sz w:val="15"/>
              </w:rPr>
            </w:pPr>
            <w:r>
              <w:rPr>
                <w:sz w:val="15"/>
              </w:rPr>
              <w:t>Transfer</w:t>
            </w:r>
            <w:r>
              <w:rPr>
                <w:spacing w:val="-6"/>
                <w:sz w:val="15"/>
              </w:rPr>
              <w:t> </w:t>
            </w:r>
            <w:r>
              <w:rPr>
                <w:sz w:val="15"/>
              </w:rPr>
              <w:t>to/(from)</w:t>
            </w:r>
            <w:r>
              <w:rPr>
                <w:spacing w:val="-6"/>
                <w:sz w:val="15"/>
              </w:rPr>
              <w:t> </w:t>
            </w:r>
            <w:r>
              <w:rPr>
                <w:spacing w:val="-2"/>
                <w:sz w:val="15"/>
              </w:rPr>
              <w:t>reserves</w:t>
            </w:r>
          </w:p>
        </w:tc>
        <w:tc>
          <w:tcPr>
            <w:tcW w:w="954" w:type="dxa"/>
          </w:tcPr>
          <w:p>
            <w:pPr>
              <w:pStyle w:val="TableParagraph"/>
              <w:spacing w:line="147" w:lineRule="exact" w:before="3"/>
              <w:ind w:left="389" w:right="46"/>
              <w:jc w:val="center"/>
              <w:rPr>
                <w:sz w:val="15"/>
              </w:rPr>
            </w:pPr>
            <w:r>
              <w:rPr>
                <w:spacing w:val="-5"/>
                <w:sz w:val="15"/>
              </w:rPr>
              <w:t>6.6</w:t>
            </w:r>
          </w:p>
        </w:tc>
        <w:tc>
          <w:tcPr>
            <w:tcW w:w="1211" w:type="dxa"/>
            <w:tcBorders>
              <w:bottom w:val="single" w:sz="6" w:space="0" w:color="000000"/>
            </w:tcBorders>
          </w:tcPr>
          <w:p>
            <w:pPr>
              <w:pStyle w:val="TableParagraph"/>
              <w:spacing w:line="155" w:lineRule="exact" w:before="3"/>
              <w:ind w:right="129"/>
              <w:jc w:val="right"/>
              <w:rPr>
                <w:sz w:val="15"/>
              </w:rPr>
            </w:pPr>
            <w:r>
              <w:rPr>
                <w:spacing w:val="-2"/>
                <w:sz w:val="15"/>
              </w:rPr>
              <w:t>(32,793)</w:t>
            </w:r>
          </w:p>
        </w:tc>
        <w:tc>
          <w:tcPr>
            <w:tcW w:w="1165" w:type="dxa"/>
            <w:tcBorders>
              <w:bottom w:val="single" w:sz="6" w:space="0" w:color="000000"/>
            </w:tcBorders>
          </w:tcPr>
          <w:p>
            <w:pPr>
              <w:pStyle w:val="TableParagraph"/>
              <w:spacing w:line="155" w:lineRule="exact" w:before="3"/>
              <w:ind w:right="239"/>
              <w:jc w:val="right"/>
              <w:rPr>
                <w:sz w:val="15"/>
              </w:rPr>
            </w:pPr>
            <w:r>
              <w:rPr>
                <w:spacing w:val="-2"/>
                <w:sz w:val="15"/>
              </w:rPr>
              <w:t>32,793</w:t>
            </w:r>
          </w:p>
        </w:tc>
        <w:tc>
          <w:tcPr>
            <w:tcW w:w="943" w:type="dxa"/>
            <w:tcBorders>
              <w:bottom w:val="single" w:sz="6" w:space="0" w:color="000000"/>
            </w:tcBorders>
          </w:tcPr>
          <w:p>
            <w:pPr>
              <w:pStyle w:val="TableParagraph"/>
              <w:spacing w:line="153" w:lineRule="exact" w:before="5"/>
              <w:ind w:right="70"/>
              <w:jc w:val="right"/>
              <w:rPr>
                <w:sz w:val="15"/>
              </w:rPr>
            </w:pPr>
            <w:r>
              <w:rPr>
                <w:spacing w:val="-10"/>
                <w:sz w:val="15"/>
              </w:rPr>
              <w:t>-</w:t>
            </w:r>
          </w:p>
        </w:tc>
      </w:tr>
      <w:tr>
        <w:trPr>
          <w:trHeight w:val="181" w:hRule="atLeast"/>
        </w:trPr>
        <w:tc>
          <w:tcPr>
            <w:tcW w:w="4898" w:type="dxa"/>
          </w:tcPr>
          <w:p>
            <w:pPr>
              <w:pStyle w:val="TableParagraph"/>
              <w:spacing w:line="158" w:lineRule="exact"/>
              <w:ind w:left="27"/>
              <w:rPr>
                <w:b/>
                <w:sz w:val="15"/>
              </w:rPr>
            </w:pPr>
            <w:r>
              <w:rPr>
                <w:b/>
                <w:sz w:val="15"/>
              </w:rPr>
              <w:t>Balance</w:t>
            </w:r>
            <w:r>
              <w:rPr>
                <w:b/>
                <w:spacing w:val="-7"/>
                <w:sz w:val="15"/>
              </w:rPr>
              <w:t> </w:t>
            </w:r>
            <w:r>
              <w:rPr>
                <w:b/>
                <w:sz w:val="15"/>
              </w:rPr>
              <w:t>at</w:t>
            </w:r>
            <w:r>
              <w:rPr>
                <w:b/>
                <w:spacing w:val="-5"/>
                <w:sz w:val="15"/>
              </w:rPr>
              <w:t> </w:t>
            </w:r>
            <w:r>
              <w:rPr>
                <w:b/>
                <w:sz w:val="15"/>
              </w:rPr>
              <w:t>31</w:t>
            </w:r>
            <w:r>
              <w:rPr>
                <w:b/>
                <w:spacing w:val="-5"/>
                <w:sz w:val="15"/>
              </w:rPr>
              <w:t> </w:t>
            </w:r>
            <w:r>
              <w:rPr>
                <w:b/>
                <w:sz w:val="15"/>
              </w:rPr>
              <w:t>December</w:t>
            </w:r>
            <w:r>
              <w:rPr>
                <w:b/>
                <w:spacing w:val="-4"/>
                <w:sz w:val="15"/>
              </w:rPr>
              <w:t> 2019</w:t>
            </w:r>
          </w:p>
        </w:tc>
        <w:tc>
          <w:tcPr>
            <w:tcW w:w="954" w:type="dxa"/>
          </w:tcPr>
          <w:p>
            <w:pPr>
              <w:pStyle w:val="TableParagraph"/>
              <w:rPr>
                <w:rFonts w:ascii="Times New Roman"/>
                <w:sz w:val="12"/>
              </w:rPr>
            </w:pPr>
          </w:p>
        </w:tc>
        <w:tc>
          <w:tcPr>
            <w:tcW w:w="1211" w:type="dxa"/>
            <w:tcBorders>
              <w:top w:val="single" w:sz="6" w:space="0" w:color="000000"/>
              <w:bottom w:val="single" w:sz="12" w:space="0" w:color="000000"/>
            </w:tcBorders>
          </w:tcPr>
          <w:p>
            <w:pPr>
              <w:pStyle w:val="TableParagraph"/>
              <w:spacing w:line="153" w:lineRule="exact"/>
              <w:ind w:right="130"/>
              <w:jc w:val="right"/>
              <w:rPr>
                <w:sz w:val="15"/>
              </w:rPr>
            </w:pPr>
            <w:r>
              <w:rPr>
                <w:spacing w:val="-10"/>
                <w:sz w:val="15"/>
              </w:rPr>
              <w:t>-</w:t>
            </w:r>
          </w:p>
        </w:tc>
        <w:tc>
          <w:tcPr>
            <w:tcW w:w="1165" w:type="dxa"/>
            <w:tcBorders>
              <w:top w:val="single" w:sz="6" w:space="0" w:color="000000"/>
              <w:bottom w:val="single" w:sz="12" w:space="0" w:color="000000"/>
            </w:tcBorders>
          </w:tcPr>
          <w:p>
            <w:pPr>
              <w:pStyle w:val="TableParagraph"/>
              <w:spacing w:line="153" w:lineRule="exact"/>
              <w:ind w:right="239"/>
              <w:jc w:val="right"/>
              <w:rPr>
                <w:sz w:val="15"/>
              </w:rPr>
            </w:pPr>
            <w:r>
              <w:rPr>
                <w:spacing w:val="-2"/>
                <w:sz w:val="15"/>
              </w:rPr>
              <w:t>2,099,699</w:t>
            </w:r>
          </w:p>
        </w:tc>
        <w:tc>
          <w:tcPr>
            <w:tcW w:w="943" w:type="dxa"/>
            <w:tcBorders>
              <w:top w:val="single" w:sz="6" w:space="0" w:color="000000"/>
              <w:bottom w:val="single" w:sz="12" w:space="0" w:color="000000"/>
            </w:tcBorders>
          </w:tcPr>
          <w:p>
            <w:pPr>
              <w:pStyle w:val="TableParagraph"/>
              <w:spacing w:line="153" w:lineRule="exact"/>
              <w:ind w:left="192"/>
              <w:rPr>
                <w:sz w:val="15"/>
              </w:rPr>
            </w:pPr>
            <w:r>
              <w:rPr>
                <w:spacing w:val="-2"/>
                <w:sz w:val="15"/>
              </w:rPr>
              <w:t>2,099,699</w:t>
            </w:r>
          </w:p>
        </w:tc>
      </w:tr>
      <w:tr>
        <w:trPr>
          <w:trHeight w:val="350" w:hRule="atLeast"/>
        </w:trPr>
        <w:tc>
          <w:tcPr>
            <w:tcW w:w="4898" w:type="dxa"/>
          </w:tcPr>
          <w:p>
            <w:pPr>
              <w:pStyle w:val="TableParagraph"/>
              <w:spacing w:line="162" w:lineRule="exact" w:before="168"/>
              <w:ind w:left="27"/>
              <w:rPr>
                <w:sz w:val="15"/>
              </w:rPr>
            </w:pPr>
            <w:r>
              <w:rPr>
                <w:sz w:val="15"/>
              </w:rPr>
              <w:t>Balance</w:t>
            </w:r>
            <w:r>
              <w:rPr>
                <w:spacing w:val="-3"/>
                <w:sz w:val="15"/>
              </w:rPr>
              <w:t> </w:t>
            </w:r>
            <w:r>
              <w:rPr>
                <w:sz w:val="15"/>
              </w:rPr>
              <w:t>at</w:t>
            </w:r>
            <w:r>
              <w:rPr>
                <w:spacing w:val="-4"/>
                <w:sz w:val="15"/>
              </w:rPr>
              <w:t> </w:t>
            </w:r>
            <w:r>
              <w:rPr>
                <w:sz w:val="15"/>
              </w:rPr>
              <w:t>1</w:t>
            </w:r>
            <w:r>
              <w:rPr>
                <w:spacing w:val="-3"/>
                <w:sz w:val="15"/>
              </w:rPr>
              <w:t> </w:t>
            </w:r>
            <w:r>
              <w:rPr>
                <w:sz w:val="15"/>
              </w:rPr>
              <w:t>January</w:t>
            </w:r>
            <w:r>
              <w:rPr>
                <w:spacing w:val="-6"/>
                <w:sz w:val="15"/>
              </w:rPr>
              <w:t> </w:t>
            </w:r>
            <w:r>
              <w:rPr>
                <w:spacing w:val="-4"/>
                <w:sz w:val="15"/>
              </w:rPr>
              <w:t>2020</w:t>
            </w:r>
          </w:p>
        </w:tc>
        <w:tc>
          <w:tcPr>
            <w:tcW w:w="954" w:type="dxa"/>
          </w:tcPr>
          <w:p>
            <w:pPr>
              <w:pStyle w:val="TableParagraph"/>
              <w:rPr>
                <w:rFonts w:ascii="Times New Roman"/>
                <w:sz w:val="14"/>
              </w:rPr>
            </w:pPr>
          </w:p>
        </w:tc>
        <w:tc>
          <w:tcPr>
            <w:tcW w:w="1211" w:type="dxa"/>
            <w:tcBorders>
              <w:top w:val="single" w:sz="12" w:space="0" w:color="000000"/>
            </w:tcBorders>
          </w:tcPr>
          <w:p>
            <w:pPr>
              <w:pStyle w:val="TableParagraph"/>
              <w:spacing w:line="160" w:lineRule="exact" w:before="171"/>
              <w:ind w:right="130"/>
              <w:jc w:val="right"/>
              <w:rPr>
                <w:sz w:val="15"/>
              </w:rPr>
            </w:pPr>
            <w:r>
              <w:rPr>
                <w:spacing w:val="-10"/>
                <w:sz w:val="15"/>
              </w:rPr>
              <w:t>-</w:t>
            </w:r>
          </w:p>
        </w:tc>
        <w:tc>
          <w:tcPr>
            <w:tcW w:w="1165" w:type="dxa"/>
            <w:tcBorders>
              <w:top w:val="single" w:sz="12" w:space="0" w:color="000000"/>
            </w:tcBorders>
          </w:tcPr>
          <w:p>
            <w:pPr>
              <w:pStyle w:val="TableParagraph"/>
              <w:spacing w:line="160" w:lineRule="exact" w:before="171"/>
              <w:ind w:right="239"/>
              <w:jc w:val="right"/>
              <w:rPr>
                <w:sz w:val="15"/>
              </w:rPr>
            </w:pPr>
            <w:r>
              <w:rPr>
                <w:spacing w:val="-2"/>
                <w:sz w:val="15"/>
              </w:rPr>
              <w:t>2,099,699</w:t>
            </w:r>
          </w:p>
        </w:tc>
        <w:tc>
          <w:tcPr>
            <w:tcW w:w="943" w:type="dxa"/>
            <w:tcBorders>
              <w:top w:val="single" w:sz="12" w:space="0" w:color="000000"/>
            </w:tcBorders>
          </w:tcPr>
          <w:p>
            <w:pPr>
              <w:pStyle w:val="TableParagraph"/>
              <w:spacing w:line="160" w:lineRule="exact" w:before="171"/>
              <w:ind w:left="192"/>
              <w:rPr>
                <w:sz w:val="15"/>
              </w:rPr>
            </w:pPr>
            <w:r>
              <w:rPr>
                <w:spacing w:val="-2"/>
                <w:sz w:val="15"/>
              </w:rPr>
              <w:t>2,099,699</w:t>
            </w:r>
          </w:p>
        </w:tc>
      </w:tr>
      <w:tr>
        <w:trPr>
          <w:trHeight w:val="179" w:hRule="atLeast"/>
        </w:trPr>
        <w:tc>
          <w:tcPr>
            <w:tcW w:w="4898" w:type="dxa"/>
          </w:tcPr>
          <w:p>
            <w:pPr>
              <w:pStyle w:val="TableParagraph"/>
              <w:spacing w:line="158" w:lineRule="exact" w:before="2"/>
              <w:ind w:left="27"/>
              <w:rPr>
                <w:sz w:val="15"/>
              </w:rPr>
            </w:pPr>
            <w:r>
              <w:rPr>
                <w:sz w:val="15"/>
              </w:rPr>
              <w:t>Effect</w:t>
            </w:r>
            <w:r>
              <w:rPr>
                <w:spacing w:val="-4"/>
                <w:sz w:val="15"/>
              </w:rPr>
              <w:t> </w:t>
            </w:r>
            <w:r>
              <w:rPr>
                <w:sz w:val="15"/>
              </w:rPr>
              <w:t>of</w:t>
            </w:r>
            <w:r>
              <w:rPr>
                <w:spacing w:val="-4"/>
                <w:sz w:val="15"/>
              </w:rPr>
              <w:t> </w:t>
            </w:r>
            <w:r>
              <w:rPr>
                <w:sz w:val="15"/>
              </w:rPr>
              <w:t>adoption</w:t>
            </w:r>
            <w:r>
              <w:rPr>
                <w:spacing w:val="-3"/>
                <w:sz w:val="15"/>
              </w:rPr>
              <w:t> </w:t>
            </w:r>
            <w:r>
              <w:rPr>
                <w:sz w:val="15"/>
              </w:rPr>
              <w:t>of</w:t>
            </w:r>
            <w:r>
              <w:rPr>
                <w:spacing w:val="-4"/>
                <w:sz w:val="15"/>
              </w:rPr>
              <w:t> </w:t>
            </w:r>
            <w:r>
              <w:rPr>
                <w:sz w:val="15"/>
              </w:rPr>
              <w:t>new</w:t>
            </w:r>
            <w:r>
              <w:rPr>
                <w:spacing w:val="-3"/>
                <w:sz w:val="15"/>
              </w:rPr>
              <w:t> </w:t>
            </w:r>
            <w:r>
              <w:rPr>
                <w:sz w:val="15"/>
              </w:rPr>
              <w:t>accounting</w:t>
            </w:r>
            <w:r>
              <w:rPr>
                <w:spacing w:val="-3"/>
                <w:sz w:val="15"/>
              </w:rPr>
              <w:t> </w:t>
            </w:r>
            <w:r>
              <w:rPr>
                <w:spacing w:val="-2"/>
                <w:sz w:val="15"/>
              </w:rPr>
              <w:t>standards</w:t>
            </w:r>
          </w:p>
        </w:tc>
        <w:tc>
          <w:tcPr>
            <w:tcW w:w="954" w:type="dxa"/>
          </w:tcPr>
          <w:p>
            <w:pPr>
              <w:pStyle w:val="TableParagraph"/>
              <w:spacing w:line="155" w:lineRule="exact" w:before="4"/>
              <w:ind w:left="389" w:right="46"/>
              <w:jc w:val="center"/>
              <w:rPr>
                <w:sz w:val="15"/>
              </w:rPr>
            </w:pPr>
            <w:r>
              <w:rPr>
                <w:spacing w:val="-5"/>
                <w:sz w:val="15"/>
              </w:rPr>
              <w:t>1.5</w:t>
            </w:r>
          </w:p>
        </w:tc>
        <w:tc>
          <w:tcPr>
            <w:tcW w:w="1211" w:type="dxa"/>
            <w:tcBorders>
              <w:bottom w:val="single" w:sz="6" w:space="0" w:color="000000"/>
            </w:tcBorders>
          </w:tcPr>
          <w:p>
            <w:pPr>
              <w:pStyle w:val="TableParagraph"/>
              <w:rPr>
                <w:rFonts w:ascii="Times New Roman"/>
                <w:sz w:val="12"/>
              </w:rPr>
            </w:pPr>
          </w:p>
        </w:tc>
        <w:tc>
          <w:tcPr>
            <w:tcW w:w="1165" w:type="dxa"/>
            <w:tcBorders>
              <w:bottom w:val="single" w:sz="6" w:space="0" w:color="000000"/>
            </w:tcBorders>
          </w:tcPr>
          <w:p>
            <w:pPr>
              <w:pStyle w:val="TableParagraph"/>
              <w:spacing w:line="155" w:lineRule="exact" w:before="4"/>
              <w:ind w:right="188"/>
              <w:jc w:val="right"/>
              <w:rPr>
                <w:sz w:val="15"/>
              </w:rPr>
            </w:pPr>
            <w:r>
              <w:rPr>
                <w:spacing w:val="-2"/>
                <w:sz w:val="15"/>
              </w:rPr>
              <w:t>(96,358)</w:t>
            </w:r>
          </w:p>
        </w:tc>
        <w:tc>
          <w:tcPr>
            <w:tcW w:w="943" w:type="dxa"/>
            <w:tcBorders>
              <w:bottom w:val="single" w:sz="6" w:space="0" w:color="000000"/>
            </w:tcBorders>
          </w:tcPr>
          <w:p>
            <w:pPr>
              <w:pStyle w:val="TableParagraph"/>
              <w:spacing w:line="155" w:lineRule="exact" w:before="4"/>
              <w:ind w:right="26"/>
              <w:jc w:val="right"/>
              <w:rPr>
                <w:sz w:val="15"/>
              </w:rPr>
            </w:pPr>
            <w:r>
              <w:rPr>
                <w:spacing w:val="-2"/>
                <w:sz w:val="15"/>
              </w:rPr>
              <w:t>(96,358)</w:t>
            </w:r>
          </w:p>
        </w:tc>
      </w:tr>
      <w:tr>
        <w:trPr>
          <w:trHeight w:val="173" w:hRule="atLeast"/>
        </w:trPr>
        <w:tc>
          <w:tcPr>
            <w:tcW w:w="4898" w:type="dxa"/>
          </w:tcPr>
          <w:p>
            <w:pPr>
              <w:pStyle w:val="TableParagraph"/>
              <w:spacing w:line="154" w:lineRule="exact"/>
              <w:ind w:left="27"/>
              <w:rPr>
                <w:b/>
                <w:sz w:val="15"/>
              </w:rPr>
            </w:pPr>
            <w:r>
              <w:rPr>
                <w:b/>
                <w:sz w:val="15"/>
              </w:rPr>
              <w:t>Balance</w:t>
            </w:r>
            <w:r>
              <w:rPr>
                <w:b/>
                <w:spacing w:val="-4"/>
                <w:sz w:val="15"/>
              </w:rPr>
              <w:t> </w:t>
            </w:r>
            <w:r>
              <w:rPr>
                <w:b/>
                <w:sz w:val="15"/>
              </w:rPr>
              <w:t>as</w:t>
            </w:r>
            <w:r>
              <w:rPr>
                <w:b/>
                <w:spacing w:val="-4"/>
                <w:sz w:val="15"/>
              </w:rPr>
              <w:t> </w:t>
            </w:r>
            <w:r>
              <w:rPr>
                <w:b/>
                <w:spacing w:val="-2"/>
                <w:sz w:val="15"/>
              </w:rPr>
              <w:t>restated</w:t>
            </w:r>
          </w:p>
        </w:tc>
        <w:tc>
          <w:tcPr>
            <w:tcW w:w="954" w:type="dxa"/>
          </w:tcPr>
          <w:p>
            <w:pPr>
              <w:pStyle w:val="TableParagraph"/>
              <w:rPr>
                <w:rFonts w:ascii="Times New Roman"/>
                <w:sz w:val="10"/>
              </w:rPr>
            </w:pPr>
          </w:p>
        </w:tc>
        <w:tc>
          <w:tcPr>
            <w:tcW w:w="1211" w:type="dxa"/>
            <w:tcBorders>
              <w:top w:val="single" w:sz="6" w:space="0" w:color="000000"/>
            </w:tcBorders>
          </w:tcPr>
          <w:p>
            <w:pPr>
              <w:pStyle w:val="TableParagraph"/>
              <w:spacing w:line="154" w:lineRule="exact"/>
              <w:ind w:right="130"/>
              <w:jc w:val="right"/>
              <w:rPr>
                <w:sz w:val="15"/>
              </w:rPr>
            </w:pPr>
            <w:r>
              <w:rPr>
                <w:spacing w:val="-10"/>
                <w:sz w:val="15"/>
              </w:rPr>
              <w:t>-</w:t>
            </w:r>
          </w:p>
        </w:tc>
        <w:tc>
          <w:tcPr>
            <w:tcW w:w="1165" w:type="dxa"/>
            <w:tcBorders>
              <w:top w:val="single" w:sz="6" w:space="0" w:color="000000"/>
            </w:tcBorders>
          </w:tcPr>
          <w:p>
            <w:pPr>
              <w:pStyle w:val="TableParagraph"/>
              <w:spacing w:line="154" w:lineRule="exact"/>
              <w:ind w:right="239"/>
              <w:jc w:val="right"/>
              <w:rPr>
                <w:sz w:val="15"/>
              </w:rPr>
            </w:pPr>
            <w:r>
              <w:rPr>
                <w:spacing w:val="-2"/>
                <w:sz w:val="15"/>
              </w:rPr>
              <w:t>2,003,341</w:t>
            </w:r>
          </w:p>
        </w:tc>
        <w:tc>
          <w:tcPr>
            <w:tcW w:w="943" w:type="dxa"/>
            <w:tcBorders>
              <w:top w:val="single" w:sz="6" w:space="0" w:color="000000"/>
            </w:tcBorders>
          </w:tcPr>
          <w:p>
            <w:pPr>
              <w:pStyle w:val="TableParagraph"/>
              <w:spacing w:line="154" w:lineRule="exact"/>
              <w:ind w:left="192"/>
              <w:rPr>
                <w:sz w:val="15"/>
              </w:rPr>
            </w:pPr>
            <w:r>
              <w:rPr>
                <w:spacing w:val="-2"/>
                <w:sz w:val="15"/>
              </w:rPr>
              <w:t>2,003,341</w:t>
            </w:r>
          </w:p>
        </w:tc>
      </w:tr>
      <w:tr>
        <w:trPr>
          <w:trHeight w:val="184" w:hRule="atLeast"/>
        </w:trPr>
        <w:tc>
          <w:tcPr>
            <w:tcW w:w="4898" w:type="dxa"/>
          </w:tcPr>
          <w:p>
            <w:pPr>
              <w:pStyle w:val="TableParagraph"/>
              <w:spacing w:line="162" w:lineRule="exact" w:before="2"/>
              <w:ind w:left="27"/>
              <w:rPr>
                <w:sz w:val="15"/>
              </w:rPr>
            </w:pPr>
            <w:r>
              <w:rPr>
                <w:sz w:val="15"/>
              </w:rPr>
              <w:t>Net</w:t>
            </w:r>
            <w:r>
              <w:rPr>
                <w:spacing w:val="-4"/>
                <w:sz w:val="15"/>
              </w:rPr>
              <w:t> </w:t>
            </w:r>
            <w:r>
              <w:rPr>
                <w:spacing w:val="-2"/>
                <w:sz w:val="15"/>
              </w:rPr>
              <w:t>result</w:t>
            </w:r>
          </w:p>
        </w:tc>
        <w:tc>
          <w:tcPr>
            <w:tcW w:w="954" w:type="dxa"/>
          </w:tcPr>
          <w:p>
            <w:pPr>
              <w:pStyle w:val="TableParagraph"/>
              <w:rPr>
                <w:rFonts w:ascii="Times New Roman"/>
                <w:sz w:val="12"/>
              </w:rPr>
            </w:pPr>
          </w:p>
        </w:tc>
        <w:tc>
          <w:tcPr>
            <w:tcW w:w="1211" w:type="dxa"/>
          </w:tcPr>
          <w:p>
            <w:pPr>
              <w:pStyle w:val="TableParagraph"/>
              <w:spacing w:line="160" w:lineRule="exact" w:before="4"/>
              <w:ind w:right="172"/>
              <w:jc w:val="right"/>
              <w:rPr>
                <w:sz w:val="15"/>
              </w:rPr>
            </w:pPr>
            <w:r>
              <w:rPr>
                <w:spacing w:val="-10"/>
                <w:sz w:val="15"/>
              </w:rPr>
              <w:t>-</w:t>
            </w:r>
          </w:p>
        </w:tc>
        <w:tc>
          <w:tcPr>
            <w:tcW w:w="1165" w:type="dxa"/>
          </w:tcPr>
          <w:p>
            <w:pPr>
              <w:pStyle w:val="TableParagraph"/>
              <w:spacing w:line="160" w:lineRule="exact" w:before="4"/>
              <w:ind w:right="239"/>
              <w:jc w:val="right"/>
              <w:rPr>
                <w:sz w:val="15"/>
              </w:rPr>
            </w:pPr>
            <w:r>
              <w:rPr>
                <w:spacing w:val="-2"/>
                <w:sz w:val="15"/>
              </w:rPr>
              <w:t>55,107</w:t>
            </w:r>
          </w:p>
        </w:tc>
        <w:tc>
          <w:tcPr>
            <w:tcW w:w="943" w:type="dxa"/>
          </w:tcPr>
          <w:p>
            <w:pPr>
              <w:pStyle w:val="TableParagraph"/>
              <w:spacing w:line="160" w:lineRule="exact" w:before="4"/>
              <w:ind w:right="77"/>
              <w:jc w:val="right"/>
              <w:rPr>
                <w:sz w:val="15"/>
              </w:rPr>
            </w:pPr>
            <w:r>
              <w:rPr>
                <w:spacing w:val="-2"/>
                <w:sz w:val="15"/>
              </w:rPr>
              <w:t>55,107</w:t>
            </w:r>
          </w:p>
        </w:tc>
      </w:tr>
      <w:tr>
        <w:trPr>
          <w:trHeight w:val="183" w:hRule="atLeast"/>
        </w:trPr>
        <w:tc>
          <w:tcPr>
            <w:tcW w:w="4898" w:type="dxa"/>
          </w:tcPr>
          <w:p>
            <w:pPr>
              <w:pStyle w:val="TableParagraph"/>
              <w:spacing w:line="161" w:lineRule="exact" w:before="2"/>
              <w:ind w:left="27"/>
              <w:rPr>
                <w:sz w:val="15"/>
              </w:rPr>
            </w:pPr>
            <w:r>
              <w:rPr>
                <w:sz w:val="15"/>
              </w:rPr>
              <w:t>Other</w:t>
            </w:r>
            <w:r>
              <w:rPr>
                <w:spacing w:val="-7"/>
                <w:sz w:val="15"/>
              </w:rPr>
              <w:t> </w:t>
            </w:r>
            <w:r>
              <w:rPr>
                <w:sz w:val="15"/>
              </w:rPr>
              <w:t>comprehensive</w:t>
            </w:r>
            <w:r>
              <w:rPr>
                <w:spacing w:val="-4"/>
                <w:sz w:val="15"/>
              </w:rPr>
              <w:t> </w:t>
            </w:r>
            <w:r>
              <w:rPr>
                <w:spacing w:val="-2"/>
                <w:sz w:val="15"/>
              </w:rPr>
              <w:t>income</w:t>
            </w:r>
          </w:p>
        </w:tc>
        <w:tc>
          <w:tcPr>
            <w:tcW w:w="954" w:type="dxa"/>
          </w:tcPr>
          <w:p>
            <w:pPr>
              <w:pStyle w:val="TableParagraph"/>
              <w:rPr>
                <w:rFonts w:ascii="Times New Roman"/>
                <w:sz w:val="12"/>
              </w:rPr>
            </w:pPr>
          </w:p>
        </w:tc>
        <w:tc>
          <w:tcPr>
            <w:tcW w:w="1211" w:type="dxa"/>
          </w:tcPr>
          <w:p>
            <w:pPr>
              <w:pStyle w:val="TableParagraph"/>
              <w:rPr>
                <w:rFonts w:ascii="Times New Roman"/>
                <w:sz w:val="12"/>
              </w:rPr>
            </w:pPr>
          </w:p>
        </w:tc>
        <w:tc>
          <w:tcPr>
            <w:tcW w:w="1165" w:type="dxa"/>
          </w:tcPr>
          <w:p>
            <w:pPr>
              <w:pStyle w:val="TableParagraph"/>
              <w:rPr>
                <w:rFonts w:ascii="Times New Roman"/>
                <w:sz w:val="12"/>
              </w:rPr>
            </w:pPr>
          </w:p>
        </w:tc>
        <w:tc>
          <w:tcPr>
            <w:tcW w:w="943" w:type="dxa"/>
          </w:tcPr>
          <w:p>
            <w:pPr>
              <w:pStyle w:val="TableParagraph"/>
              <w:rPr>
                <w:rFonts w:ascii="Times New Roman"/>
                <w:sz w:val="12"/>
              </w:rPr>
            </w:pPr>
          </w:p>
        </w:tc>
      </w:tr>
      <w:tr>
        <w:trPr>
          <w:trHeight w:val="180" w:hRule="atLeast"/>
        </w:trPr>
        <w:tc>
          <w:tcPr>
            <w:tcW w:w="4898" w:type="dxa"/>
          </w:tcPr>
          <w:p>
            <w:pPr>
              <w:pStyle w:val="TableParagraph"/>
              <w:spacing w:line="158" w:lineRule="exact" w:before="3"/>
              <w:ind w:left="27"/>
              <w:rPr>
                <w:sz w:val="15"/>
              </w:rPr>
            </w:pPr>
            <w:r>
              <w:rPr>
                <w:sz w:val="15"/>
              </w:rPr>
              <w:t>-</w:t>
            </w:r>
            <w:r>
              <w:rPr>
                <w:spacing w:val="-6"/>
                <w:sz w:val="15"/>
              </w:rPr>
              <w:t> </w:t>
            </w:r>
            <w:r>
              <w:rPr>
                <w:sz w:val="15"/>
              </w:rPr>
              <w:t>Remeasurement</w:t>
            </w:r>
            <w:r>
              <w:rPr>
                <w:spacing w:val="-4"/>
                <w:sz w:val="15"/>
              </w:rPr>
              <w:t> </w:t>
            </w:r>
            <w:r>
              <w:rPr>
                <w:sz w:val="15"/>
              </w:rPr>
              <w:t>of</w:t>
            </w:r>
            <w:r>
              <w:rPr>
                <w:spacing w:val="-4"/>
                <w:sz w:val="15"/>
              </w:rPr>
              <w:t> </w:t>
            </w:r>
            <w:r>
              <w:rPr>
                <w:sz w:val="15"/>
              </w:rPr>
              <w:t>Defined</w:t>
            </w:r>
            <w:r>
              <w:rPr>
                <w:spacing w:val="-4"/>
                <w:sz w:val="15"/>
              </w:rPr>
              <w:t> </w:t>
            </w:r>
            <w:r>
              <w:rPr>
                <w:sz w:val="15"/>
              </w:rPr>
              <w:t>Benefit</w:t>
            </w:r>
            <w:r>
              <w:rPr>
                <w:spacing w:val="-4"/>
                <w:sz w:val="15"/>
              </w:rPr>
              <w:t> Plan</w:t>
            </w:r>
          </w:p>
        </w:tc>
        <w:tc>
          <w:tcPr>
            <w:tcW w:w="954" w:type="dxa"/>
          </w:tcPr>
          <w:p>
            <w:pPr>
              <w:pStyle w:val="TableParagraph"/>
              <w:spacing w:line="155" w:lineRule="exact" w:before="5"/>
              <w:ind w:left="389" w:right="46"/>
              <w:jc w:val="center"/>
              <w:rPr>
                <w:sz w:val="15"/>
              </w:rPr>
            </w:pPr>
            <w:r>
              <w:rPr>
                <w:spacing w:val="-5"/>
                <w:sz w:val="15"/>
              </w:rPr>
              <w:t>3.3</w:t>
            </w:r>
          </w:p>
        </w:tc>
        <w:tc>
          <w:tcPr>
            <w:tcW w:w="1211" w:type="dxa"/>
            <w:tcBorders>
              <w:bottom w:val="single" w:sz="6" w:space="0" w:color="000000"/>
            </w:tcBorders>
          </w:tcPr>
          <w:p>
            <w:pPr>
              <w:pStyle w:val="TableParagraph"/>
              <w:spacing w:line="153" w:lineRule="exact" w:before="8"/>
              <w:ind w:right="172"/>
              <w:jc w:val="right"/>
              <w:rPr>
                <w:sz w:val="15"/>
              </w:rPr>
            </w:pPr>
            <w:r>
              <w:rPr>
                <w:spacing w:val="-10"/>
                <w:sz w:val="15"/>
              </w:rPr>
              <w:t>-</w:t>
            </w:r>
          </w:p>
        </w:tc>
        <w:tc>
          <w:tcPr>
            <w:tcW w:w="1165" w:type="dxa"/>
            <w:tcBorders>
              <w:bottom w:val="single" w:sz="6" w:space="0" w:color="000000"/>
            </w:tcBorders>
          </w:tcPr>
          <w:p>
            <w:pPr>
              <w:pStyle w:val="TableParagraph"/>
              <w:spacing w:line="155" w:lineRule="exact" w:before="5"/>
              <w:ind w:right="188"/>
              <w:jc w:val="right"/>
              <w:rPr>
                <w:sz w:val="15"/>
              </w:rPr>
            </w:pPr>
            <w:r>
              <w:rPr>
                <w:spacing w:val="-4"/>
                <w:sz w:val="15"/>
              </w:rPr>
              <w:t>(58)</w:t>
            </w:r>
          </w:p>
        </w:tc>
        <w:tc>
          <w:tcPr>
            <w:tcW w:w="943" w:type="dxa"/>
            <w:tcBorders>
              <w:bottom w:val="single" w:sz="6" w:space="0" w:color="000000"/>
            </w:tcBorders>
          </w:tcPr>
          <w:p>
            <w:pPr>
              <w:pStyle w:val="TableParagraph"/>
              <w:spacing w:line="155" w:lineRule="exact" w:before="5"/>
              <w:ind w:right="26"/>
              <w:jc w:val="right"/>
              <w:rPr>
                <w:sz w:val="15"/>
              </w:rPr>
            </w:pPr>
            <w:r>
              <w:rPr>
                <w:spacing w:val="-4"/>
                <w:sz w:val="15"/>
              </w:rPr>
              <w:t>(58)</w:t>
            </w:r>
          </w:p>
        </w:tc>
      </w:tr>
      <w:tr>
        <w:trPr>
          <w:trHeight w:val="345" w:hRule="atLeast"/>
        </w:trPr>
        <w:tc>
          <w:tcPr>
            <w:tcW w:w="4898" w:type="dxa"/>
          </w:tcPr>
          <w:p>
            <w:pPr>
              <w:pStyle w:val="TableParagraph"/>
              <w:spacing w:line="164" w:lineRule="exact"/>
              <w:ind w:left="27"/>
              <w:rPr>
                <w:sz w:val="15"/>
              </w:rPr>
            </w:pPr>
            <w:r>
              <w:rPr>
                <w:sz w:val="15"/>
              </w:rPr>
              <w:t>Total</w:t>
            </w:r>
            <w:r>
              <w:rPr>
                <w:spacing w:val="-6"/>
                <w:sz w:val="15"/>
              </w:rPr>
              <w:t> </w:t>
            </w:r>
            <w:r>
              <w:rPr>
                <w:sz w:val="15"/>
              </w:rPr>
              <w:t>comprehensive</w:t>
            </w:r>
            <w:r>
              <w:rPr>
                <w:spacing w:val="-3"/>
                <w:sz w:val="15"/>
              </w:rPr>
              <w:t> </w:t>
            </w:r>
            <w:r>
              <w:rPr>
                <w:spacing w:val="-2"/>
                <w:sz w:val="15"/>
              </w:rPr>
              <w:t>income</w:t>
            </w:r>
          </w:p>
          <w:p>
            <w:pPr>
              <w:pStyle w:val="TableParagraph"/>
              <w:spacing w:line="150" w:lineRule="exact" w:before="11"/>
              <w:ind w:left="27"/>
              <w:rPr>
                <w:sz w:val="15"/>
              </w:rPr>
            </w:pPr>
            <w:r>
              <w:rPr>
                <w:sz w:val="15"/>
              </w:rPr>
              <w:t>Transfer</w:t>
            </w:r>
            <w:r>
              <w:rPr>
                <w:spacing w:val="-6"/>
                <w:sz w:val="15"/>
              </w:rPr>
              <w:t> </w:t>
            </w:r>
            <w:r>
              <w:rPr>
                <w:sz w:val="15"/>
              </w:rPr>
              <w:t>to/(from)</w:t>
            </w:r>
            <w:r>
              <w:rPr>
                <w:spacing w:val="-6"/>
                <w:sz w:val="15"/>
              </w:rPr>
              <w:t> </w:t>
            </w:r>
            <w:r>
              <w:rPr>
                <w:spacing w:val="-2"/>
                <w:sz w:val="15"/>
              </w:rPr>
              <w:t>reserves</w:t>
            </w:r>
          </w:p>
        </w:tc>
        <w:tc>
          <w:tcPr>
            <w:tcW w:w="954" w:type="dxa"/>
          </w:tcPr>
          <w:p>
            <w:pPr>
              <w:pStyle w:val="TableParagraph"/>
              <w:spacing w:before="5"/>
              <w:rPr>
                <w:sz w:val="15"/>
              </w:rPr>
            </w:pPr>
          </w:p>
          <w:p>
            <w:pPr>
              <w:pStyle w:val="TableParagraph"/>
              <w:spacing w:line="147" w:lineRule="exact" w:before="1"/>
              <w:ind w:left="389" w:right="46"/>
              <w:jc w:val="center"/>
              <w:rPr>
                <w:sz w:val="15"/>
              </w:rPr>
            </w:pPr>
            <w:r>
              <w:rPr>
                <w:spacing w:val="-5"/>
                <w:sz w:val="15"/>
              </w:rPr>
              <w:t>6.6</w:t>
            </w:r>
          </w:p>
        </w:tc>
        <w:tc>
          <w:tcPr>
            <w:tcW w:w="1211" w:type="dxa"/>
            <w:tcBorders>
              <w:top w:val="single" w:sz="6" w:space="0" w:color="000000"/>
              <w:bottom w:val="single" w:sz="6" w:space="0" w:color="000000"/>
            </w:tcBorders>
          </w:tcPr>
          <w:p>
            <w:pPr>
              <w:pStyle w:val="TableParagraph"/>
              <w:spacing w:line="169" w:lineRule="exact"/>
              <w:ind w:right="172"/>
              <w:jc w:val="right"/>
              <w:rPr>
                <w:sz w:val="15"/>
              </w:rPr>
            </w:pPr>
            <w:r>
              <w:rPr>
                <w:spacing w:val="-10"/>
                <w:sz w:val="15"/>
              </w:rPr>
              <w:t>-</w:t>
            </w:r>
          </w:p>
          <w:p>
            <w:pPr>
              <w:pStyle w:val="TableParagraph"/>
              <w:spacing w:line="153" w:lineRule="exact" w:before="12"/>
              <w:ind w:right="172"/>
              <w:jc w:val="right"/>
              <w:rPr>
                <w:sz w:val="15"/>
              </w:rPr>
            </w:pPr>
            <w:r>
              <w:rPr>
                <w:spacing w:val="-10"/>
                <w:sz w:val="15"/>
              </w:rPr>
              <w:t>-</w:t>
            </w:r>
          </w:p>
        </w:tc>
        <w:tc>
          <w:tcPr>
            <w:tcW w:w="1165" w:type="dxa"/>
            <w:tcBorders>
              <w:top w:val="single" w:sz="6" w:space="0" w:color="000000"/>
              <w:bottom w:val="single" w:sz="6" w:space="0" w:color="000000"/>
            </w:tcBorders>
          </w:tcPr>
          <w:p>
            <w:pPr>
              <w:pStyle w:val="TableParagraph"/>
              <w:spacing w:line="166" w:lineRule="exact"/>
              <w:ind w:right="239"/>
              <w:jc w:val="right"/>
              <w:rPr>
                <w:sz w:val="15"/>
              </w:rPr>
            </w:pPr>
            <w:r>
              <w:rPr>
                <w:spacing w:val="-2"/>
                <w:sz w:val="15"/>
              </w:rPr>
              <w:t>55,049</w:t>
            </w:r>
          </w:p>
          <w:p>
            <w:pPr>
              <w:pStyle w:val="TableParagraph"/>
              <w:spacing w:line="153" w:lineRule="exact" w:before="14"/>
              <w:ind w:right="231"/>
              <w:jc w:val="right"/>
              <w:rPr>
                <w:sz w:val="15"/>
              </w:rPr>
            </w:pPr>
            <w:r>
              <w:rPr>
                <w:spacing w:val="-10"/>
                <w:sz w:val="15"/>
              </w:rPr>
              <w:t>-</w:t>
            </w:r>
          </w:p>
        </w:tc>
        <w:tc>
          <w:tcPr>
            <w:tcW w:w="943" w:type="dxa"/>
            <w:tcBorders>
              <w:top w:val="single" w:sz="6" w:space="0" w:color="000000"/>
              <w:bottom w:val="single" w:sz="6" w:space="0" w:color="000000"/>
            </w:tcBorders>
          </w:tcPr>
          <w:p>
            <w:pPr>
              <w:pStyle w:val="TableParagraph"/>
              <w:spacing w:line="166" w:lineRule="exact"/>
              <w:ind w:right="77"/>
              <w:jc w:val="right"/>
              <w:rPr>
                <w:sz w:val="15"/>
              </w:rPr>
            </w:pPr>
            <w:r>
              <w:rPr>
                <w:spacing w:val="-2"/>
                <w:sz w:val="15"/>
              </w:rPr>
              <w:t>55,049</w:t>
            </w:r>
          </w:p>
          <w:p>
            <w:pPr>
              <w:pStyle w:val="TableParagraph"/>
              <w:spacing w:line="153" w:lineRule="exact" w:before="14"/>
              <w:ind w:right="69"/>
              <w:jc w:val="right"/>
              <w:rPr>
                <w:sz w:val="15"/>
              </w:rPr>
            </w:pPr>
            <w:r>
              <w:rPr>
                <w:spacing w:val="-10"/>
                <w:sz w:val="15"/>
              </w:rPr>
              <w:t>-</w:t>
            </w:r>
          </w:p>
        </w:tc>
      </w:tr>
      <w:tr>
        <w:trPr>
          <w:trHeight w:val="181" w:hRule="atLeast"/>
        </w:trPr>
        <w:tc>
          <w:tcPr>
            <w:tcW w:w="4898" w:type="dxa"/>
            <w:tcBorders>
              <w:bottom w:val="single" w:sz="12" w:space="0" w:color="000000"/>
            </w:tcBorders>
          </w:tcPr>
          <w:p>
            <w:pPr>
              <w:pStyle w:val="TableParagraph"/>
              <w:spacing w:line="158" w:lineRule="exact"/>
              <w:ind w:left="27"/>
              <w:rPr>
                <w:b/>
                <w:sz w:val="15"/>
              </w:rPr>
            </w:pPr>
            <w:r>
              <w:rPr>
                <w:b/>
                <w:sz w:val="15"/>
              </w:rPr>
              <w:t>Balance</w:t>
            </w:r>
            <w:r>
              <w:rPr>
                <w:b/>
                <w:spacing w:val="-7"/>
                <w:sz w:val="15"/>
              </w:rPr>
              <w:t> </w:t>
            </w:r>
            <w:r>
              <w:rPr>
                <w:b/>
                <w:sz w:val="15"/>
              </w:rPr>
              <w:t>at</w:t>
            </w:r>
            <w:r>
              <w:rPr>
                <w:b/>
                <w:spacing w:val="-5"/>
                <w:sz w:val="15"/>
              </w:rPr>
              <w:t> </w:t>
            </w:r>
            <w:r>
              <w:rPr>
                <w:b/>
                <w:sz w:val="15"/>
              </w:rPr>
              <w:t>31</w:t>
            </w:r>
            <w:r>
              <w:rPr>
                <w:b/>
                <w:spacing w:val="-5"/>
                <w:sz w:val="15"/>
              </w:rPr>
              <w:t> </w:t>
            </w:r>
            <w:r>
              <w:rPr>
                <w:b/>
                <w:sz w:val="15"/>
              </w:rPr>
              <w:t>December</w:t>
            </w:r>
            <w:r>
              <w:rPr>
                <w:b/>
                <w:spacing w:val="-4"/>
                <w:sz w:val="15"/>
              </w:rPr>
              <w:t> 2020</w:t>
            </w:r>
          </w:p>
        </w:tc>
        <w:tc>
          <w:tcPr>
            <w:tcW w:w="954" w:type="dxa"/>
            <w:tcBorders>
              <w:bottom w:val="single" w:sz="12" w:space="0" w:color="000000"/>
            </w:tcBorders>
          </w:tcPr>
          <w:p>
            <w:pPr>
              <w:pStyle w:val="TableParagraph"/>
              <w:rPr>
                <w:rFonts w:ascii="Times New Roman"/>
                <w:sz w:val="12"/>
              </w:rPr>
            </w:pPr>
          </w:p>
        </w:tc>
        <w:tc>
          <w:tcPr>
            <w:tcW w:w="1211" w:type="dxa"/>
            <w:tcBorders>
              <w:top w:val="single" w:sz="6" w:space="0" w:color="000000"/>
              <w:bottom w:val="single" w:sz="12" w:space="0" w:color="000000"/>
            </w:tcBorders>
          </w:tcPr>
          <w:p>
            <w:pPr>
              <w:pStyle w:val="TableParagraph"/>
              <w:spacing w:line="150" w:lineRule="exact" w:before="3"/>
              <w:ind w:right="172"/>
              <w:jc w:val="right"/>
              <w:rPr>
                <w:sz w:val="15"/>
              </w:rPr>
            </w:pPr>
            <w:r>
              <w:rPr>
                <w:spacing w:val="-10"/>
                <w:sz w:val="15"/>
              </w:rPr>
              <w:t>-</w:t>
            </w:r>
          </w:p>
        </w:tc>
        <w:tc>
          <w:tcPr>
            <w:tcW w:w="1165" w:type="dxa"/>
            <w:tcBorders>
              <w:top w:val="single" w:sz="6" w:space="0" w:color="000000"/>
              <w:bottom w:val="single" w:sz="12" w:space="0" w:color="000000"/>
            </w:tcBorders>
          </w:tcPr>
          <w:p>
            <w:pPr>
              <w:pStyle w:val="TableParagraph"/>
              <w:spacing w:line="153" w:lineRule="exact"/>
              <w:ind w:right="239"/>
              <w:jc w:val="right"/>
              <w:rPr>
                <w:sz w:val="15"/>
              </w:rPr>
            </w:pPr>
            <w:r>
              <w:rPr>
                <w:spacing w:val="-2"/>
                <w:sz w:val="15"/>
              </w:rPr>
              <w:t>2,058,390</w:t>
            </w:r>
          </w:p>
        </w:tc>
        <w:tc>
          <w:tcPr>
            <w:tcW w:w="943" w:type="dxa"/>
            <w:tcBorders>
              <w:top w:val="single" w:sz="6" w:space="0" w:color="000000"/>
              <w:bottom w:val="single" w:sz="12" w:space="0" w:color="000000"/>
            </w:tcBorders>
          </w:tcPr>
          <w:p>
            <w:pPr>
              <w:pStyle w:val="TableParagraph"/>
              <w:spacing w:line="153" w:lineRule="exact"/>
              <w:ind w:left="192"/>
              <w:rPr>
                <w:sz w:val="15"/>
              </w:rPr>
            </w:pPr>
            <w:r>
              <w:rPr>
                <w:spacing w:val="-2"/>
                <w:sz w:val="15"/>
              </w:rPr>
              <w:t>2,058,390</w:t>
            </w:r>
          </w:p>
        </w:tc>
      </w:tr>
      <w:tr>
        <w:trPr>
          <w:trHeight w:val="628" w:hRule="atLeast"/>
        </w:trPr>
        <w:tc>
          <w:tcPr>
            <w:tcW w:w="4898" w:type="dxa"/>
            <w:tcBorders>
              <w:top w:val="single" w:sz="12" w:space="0" w:color="000000"/>
            </w:tcBorders>
          </w:tcPr>
          <w:p>
            <w:pPr>
              <w:pStyle w:val="TableParagraph"/>
              <w:rPr>
                <w:sz w:val="15"/>
              </w:rPr>
            </w:pPr>
          </w:p>
          <w:p>
            <w:pPr>
              <w:pStyle w:val="TableParagraph"/>
              <w:spacing w:before="10"/>
              <w:rPr>
                <w:sz w:val="15"/>
              </w:rPr>
            </w:pPr>
          </w:p>
          <w:p>
            <w:pPr>
              <w:pStyle w:val="TableParagraph"/>
              <w:ind w:left="27"/>
              <w:rPr>
                <w:b/>
                <w:sz w:val="15"/>
              </w:rPr>
            </w:pPr>
            <w:r>
              <w:rPr>
                <w:b/>
                <w:spacing w:val="-2"/>
                <w:sz w:val="15"/>
              </w:rPr>
              <w:t>University</w:t>
            </w:r>
          </w:p>
        </w:tc>
        <w:tc>
          <w:tcPr>
            <w:tcW w:w="954" w:type="dxa"/>
            <w:tcBorders>
              <w:top w:val="single" w:sz="12" w:space="0" w:color="000000"/>
            </w:tcBorders>
          </w:tcPr>
          <w:p>
            <w:pPr>
              <w:pStyle w:val="TableParagraph"/>
              <w:rPr>
                <w:rFonts w:ascii="Times New Roman"/>
                <w:sz w:val="14"/>
              </w:rPr>
            </w:pPr>
          </w:p>
        </w:tc>
        <w:tc>
          <w:tcPr>
            <w:tcW w:w="1211" w:type="dxa"/>
            <w:tcBorders>
              <w:top w:val="single" w:sz="12" w:space="0" w:color="000000"/>
            </w:tcBorders>
          </w:tcPr>
          <w:p>
            <w:pPr>
              <w:pStyle w:val="TableParagraph"/>
              <w:rPr>
                <w:rFonts w:ascii="Times New Roman"/>
                <w:sz w:val="14"/>
              </w:rPr>
            </w:pPr>
          </w:p>
        </w:tc>
        <w:tc>
          <w:tcPr>
            <w:tcW w:w="1165" w:type="dxa"/>
            <w:tcBorders>
              <w:top w:val="single" w:sz="12" w:space="0" w:color="000000"/>
            </w:tcBorders>
          </w:tcPr>
          <w:p>
            <w:pPr>
              <w:pStyle w:val="TableParagraph"/>
              <w:rPr>
                <w:rFonts w:ascii="Times New Roman"/>
                <w:sz w:val="14"/>
              </w:rPr>
            </w:pPr>
          </w:p>
        </w:tc>
        <w:tc>
          <w:tcPr>
            <w:tcW w:w="943" w:type="dxa"/>
            <w:tcBorders>
              <w:top w:val="single" w:sz="12" w:space="0" w:color="000000"/>
            </w:tcBorders>
          </w:tcPr>
          <w:p>
            <w:pPr>
              <w:pStyle w:val="TableParagraph"/>
              <w:rPr>
                <w:rFonts w:ascii="Times New Roman"/>
                <w:sz w:val="14"/>
              </w:rPr>
            </w:pPr>
          </w:p>
        </w:tc>
      </w:tr>
      <w:tr>
        <w:trPr>
          <w:trHeight w:val="275" w:hRule="atLeast"/>
        </w:trPr>
        <w:tc>
          <w:tcPr>
            <w:tcW w:w="4898" w:type="dxa"/>
          </w:tcPr>
          <w:p>
            <w:pPr>
              <w:pStyle w:val="TableParagraph"/>
              <w:spacing w:line="160" w:lineRule="exact" w:before="95"/>
              <w:ind w:left="27"/>
              <w:rPr>
                <w:sz w:val="15"/>
              </w:rPr>
            </w:pPr>
            <w:r>
              <w:rPr>
                <w:sz w:val="15"/>
              </w:rPr>
              <w:t>Balance</w:t>
            </w:r>
            <w:r>
              <w:rPr>
                <w:spacing w:val="-3"/>
                <w:sz w:val="15"/>
              </w:rPr>
              <w:t> </w:t>
            </w:r>
            <w:r>
              <w:rPr>
                <w:sz w:val="15"/>
              </w:rPr>
              <w:t>at</w:t>
            </w:r>
            <w:r>
              <w:rPr>
                <w:spacing w:val="-4"/>
                <w:sz w:val="15"/>
              </w:rPr>
              <w:t> </w:t>
            </w:r>
            <w:r>
              <w:rPr>
                <w:sz w:val="15"/>
              </w:rPr>
              <w:t>1</w:t>
            </w:r>
            <w:r>
              <w:rPr>
                <w:spacing w:val="-3"/>
                <w:sz w:val="15"/>
              </w:rPr>
              <w:t> </w:t>
            </w:r>
            <w:r>
              <w:rPr>
                <w:sz w:val="15"/>
              </w:rPr>
              <w:t>January</w:t>
            </w:r>
            <w:r>
              <w:rPr>
                <w:spacing w:val="-6"/>
                <w:sz w:val="15"/>
              </w:rPr>
              <w:t> </w:t>
            </w:r>
            <w:r>
              <w:rPr>
                <w:spacing w:val="-4"/>
                <w:sz w:val="15"/>
              </w:rPr>
              <w:t>2019</w:t>
            </w:r>
          </w:p>
        </w:tc>
        <w:tc>
          <w:tcPr>
            <w:tcW w:w="954" w:type="dxa"/>
          </w:tcPr>
          <w:p>
            <w:pPr>
              <w:pStyle w:val="TableParagraph"/>
              <w:rPr>
                <w:rFonts w:ascii="Times New Roman"/>
                <w:sz w:val="14"/>
              </w:rPr>
            </w:pPr>
          </w:p>
        </w:tc>
        <w:tc>
          <w:tcPr>
            <w:tcW w:w="1211" w:type="dxa"/>
          </w:tcPr>
          <w:p>
            <w:pPr>
              <w:pStyle w:val="TableParagraph"/>
              <w:spacing w:line="160" w:lineRule="exact" w:before="95"/>
              <w:ind w:right="180"/>
              <w:jc w:val="right"/>
              <w:rPr>
                <w:sz w:val="15"/>
              </w:rPr>
            </w:pPr>
            <w:r>
              <w:rPr>
                <w:spacing w:val="-2"/>
                <w:sz w:val="15"/>
              </w:rPr>
              <w:t>32,793</w:t>
            </w:r>
          </w:p>
        </w:tc>
        <w:tc>
          <w:tcPr>
            <w:tcW w:w="1165" w:type="dxa"/>
          </w:tcPr>
          <w:p>
            <w:pPr>
              <w:pStyle w:val="TableParagraph"/>
              <w:spacing w:line="160" w:lineRule="exact" w:before="95"/>
              <w:ind w:right="239"/>
              <w:jc w:val="right"/>
              <w:rPr>
                <w:sz w:val="15"/>
              </w:rPr>
            </w:pPr>
            <w:r>
              <w:rPr>
                <w:spacing w:val="-2"/>
                <w:sz w:val="15"/>
              </w:rPr>
              <w:t>1,951,524</w:t>
            </w:r>
          </w:p>
        </w:tc>
        <w:tc>
          <w:tcPr>
            <w:tcW w:w="943" w:type="dxa"/>
          </w:tcPr>
          <w:p>
            <w:pPr>
              <w:pStyle w:val="TableParagraph"/>
              <w:spacing w:line="160" w:lineRule="exact" w:before="95"/>
              <w:ind w:left="192"/>
              <w:rPr>
                <w:sz w:val="15"/>
              </w:rPr>
            </w:pPr>
            <w:r>
              <w:rPr>
                <w:spacing w:val="-2"/>
                <w:sz w:val="15"/>
              </w:rPr>
              <w:t>1,984,317</w:t>
            </w:r>
          </w:p>
        </w:tc>
      </w:tr>
      <w:tr>
        <w:trPr>
          <w:trHeight w:val="179" w:hRule="atLeast"/>
        </w:trPr>
        <w:tc>
          <w:tcPr>
            <w:tcW w:w="4898" w:type="dxa"/>
          </w:tcPr>
          <w:p>
            <w:pPr>
              <w:pStyle w:val="TableParagraph"/>
              <w:spacing w:line="158" w:lineRule="exact" w:before="2"/>
              <w:ind w:left="27"/>
              <w:rPr>
                <w:sz w:val="15"/>
              </w:rPr>
            </w:pPr>
            <w:r>
              <w:rPr>
                <w:sz w:val="15"/>
              </w:rPr>
              <w:t>Effect</w:t>
            </w:r>
            <w:r>
              <w:rPr>
                <w:spacing w:val="-4"/>
                <w:sz w:val="15"/>
              </w:rPr>
              <w:t> </w:t>
            </w:r>
            <w:r>
              <w:rPr>
                <w:sz w:val="15"/>
              </w:rPr>
              <w:t>of</w:t>
            </w:r>
            <w:r>
              <w:rPr>
                <w:spacing w:val="-4"/>
                <w:sz w:val="15"/>
              </w:rPr>
              <w:t> </w:t>
            </w:r>
            <w:r>
              <w:rPr>
                <w:sz w:val="15"/>
              </w:rPr>
              <w:t>adoption</w:t>
            </w:r>
            <w:r>
              <w:rPr>
                <w:spacing w:val="-3"/>
                <w:sz w:val="15"/>
              </w:rPr>
              <w:t> </w:t>
            </w:r>
            <w:r>
              <w:rPr>
                <w:sz w:val="15"/>
              </w:rPr>
              <w:t>of</w:t>
            </w:r>
            <w:r>
              <w:rPr>
                <w:spacing w:val="-4"/>
                <w:sz w:val="15"/>
              </w:rPr>
              <w:t> </w:t>
            </w:r>
            <w:r>
              <w:rPr>
                <w:sz w:val="15"/>
              </w:rPr>
              <w:t>new</w:t>
            </w:r>
            <w:r>
              <w:rPr>
                <w:spacing w:val="-3"/>
                <w:sz w:val="15"/>
              </w:rPr>
              <w:t> </w:t>
            </w:r>
            <w:r>
              <w:rPr>
                <w:sz w:val="15"/>
              </w:rPr>
              <w:t>accounting</w:t>
            </w:r>
            <w:r>
              <w:rPr>
                <w:spacing w:val="-3"/>
                <w:sz w:val="15"/>
              </w:rPr>
              <w:t> </w:t>
            </w:r>
            <w:r>
              <w:rPr>
                <w:spacing w:val="-2"/>
                <w:sz w:val="15"/>
              </w:rPr>
              <w:t>standards</w:t>
            </w:r>
          </w:p>
        </w:tc>
        <w:tc>
          <w:tcPr>
            <w:tcW w:w="954" w:type="dxa"/>
          </w:tcPr>
          <w:p>
            <w:pPr>
              <w:pStyle w:val="TableParagraph"/>
              <w:rPr>
                <w:rFonts w:ascii="Times New Roman"/>
                <w:sz w:val="12"/>
              </w:rPr>
            </w:pPr>
          </w:p>
        </w:tc>
        <w:tc>
          <w:tcPr>
            <w:tcW w:w="1211" w:type="dxa"/>
            <w:tcBorders>
              <w:bottom w:val="single" w:sz="6" w:space="0" w:color="000000"/>
            </w:tcBorders>
          </w:tcPr>
          <w:p>
            <w:pPr>
              <w:pStyle w:val="TableParagraph"/>
              <w:rPr>
                <w:rFonts w:ascii="Times New Roman"/>
                <w:sz w:val="12"/>
              </w:rPr>
            </w:pPr>
          </w:p>
        </w:tc>
        <w:tc>
          <w:tcPr>
            <w:tcW w:w="1165" w:type="dxa"/>
            <w:tcBorders>
              <w:bottom w:val="single" w:sz="6" w:space="0" w:color="000000"/>
            </w:tcBorders>
          </w:tcPr>
          <w:p>
            <w:pPr>
              <w:pStyle w:val="TableParagraph"/>
              <w:spacing w:line="155" w:lineRule="exact" w:before="4"/>
              <w:ind w:right="189"/>
              <w:jc w:val="right"/>
              <w:rPr>
                <w:sz w:val="15"/>
              </w:rPr>
            </w:pPr>
            <w:r>
              <w:rPr>
                <w:spacing w:val="-2"/>
                <w:sz w:val="15"/>
              </w:rPr>
              <w:t>(7,895)</w:t>
            </w:r>
          </w:p>
        </w:tc>
        <w:tc>
          <w:tcPr>
            <w:tcW w:w="943" w:type="dxa"/>
            <w:tcBorders>
              <w:bottom w:val="single" w:sz="6" w:space="0" w:color="000000"/>
            </w:tcBorders>
          </w:tcPr>
          <w:p>
            <w:pPr>
              <w:pStyle w:val="TableParagraph"/>
              <w:spacing w:line="155" w:lineRule="exact" w:before="4"/>
              <w:ind w:right="26"/>
              <w:jc w:val="right"/>
              <w:rPr>
                <w:sz w:val="15"/>
              </w:rPr>
            </w:pPr>
            <w:r>
              <w:rPr>
                <w:spacing w:val="-2"/>
                <w:sz w:val="15"/>
              </w:rPr>
              <w:t>(7,895)</w:t>
            </w:r>
          </w:p>
        </w:tc>
      </w:tr>
      <w:tr>
        <w:trPr>
          <w:trHeight w:val="173" w:hRule="atLeast"/>
        </w:trPr>
        <w:tc>
          <w:tcPr>
            <w:tcW w:w="4898" w:type="dxa"/>
          </w:tcPr>
          <w:p>
            <w:pPr>
              <w:pStyle w:val="TableParagraph"/>
              <w:spacing w:line="154" w:lineRule="exact"/>
              <w:ind w:left="27"/>
              <w:rPr>
                <w:b/>
                <w:sz w:val="15"/>
              </w:rPr>
            </w:pPr>
            <w:r>
              <w:rPr>
                <w:b/>
                <w:sz w:val="15"/>
              </w:rPr>
              <w:t>Balance</w:t>
            </w:r>
            <w:r>
              <w:rPr>
                <w:b/>
                <w:spacing w:val="-4"/>
                <w:sz w:val="15"/>
              </w:rPr>
              <w:t> </w:t>
            </w:r>
            <w:r>
              <w:rPr>
                <w:b/>
                <w:sz w:val="15"/>
              </w:rPr>
              <w:t>as</w:t>
            </w:r>
            <w:r>
              <w:rPr>
                <w:b/>
                <w:spacing w:val="-4"/>
                <w:sz w:val="15"/>
              </w:rPr>
              <w:t> </w:t>
            </w:r>
            <w:r>
              <w:rPr>
                <w:b/>
                <w:spacing w:val="-2"/>
                <w:sz w:val="15"/>
              </w:rPr>
              <w:t>restated</w:t>
            </w:r>
          </w:p>
        </w:tc>
        <w:tc>
          <w:tcPr>
            <w:tcW w:w="954" w:type="dxa"/>
          </w:tcPr>
          <w:p>
            <w:pPr>
              <w:pStyle w:val="TableParagraph"/>
              <w:rPr>
                <w:rFonts w:ascii="Times New Roman"/>
                <w:sz w:val="10"/>
              </w:rPr>
            </w:pPr>
          </w:p>
        </w:tc>
        <w:tc>
          <w:tcPr>
            <w:tcW w:w="1211" w:type="dxa"/>
            <w:tcBorders>
              <w:top w:val="single" w:sz="6" w:space="0" w:color="000000"/>
            </w:tcBorders>
          </w:tcPr>
          <w:p>
            <w:pPr>
              <w:pStyle w:val="TableParagraph"/>
              <w:spacing w:line="154" w:lineRule="exact"/>
              <w:ind w:right="180"/>
              <w:jc w:val="right"/>
              <w:rPr>
                <w:sz w:val="15"/>
              </w:rPr>
            </w:pPr>
            <w:r>
              <w:rPr>
                <w:spacing w:val="-2"/>
                <w:sz w:val="15"/>
              </w:rPr>
              <w:t>32,793</w:t>
            </w:r>
          </w:p>
        </w:tc>
        <w:tc>
          <w:tcPr>
            <w:tcW w:w="1165" w:type="dxa"/>
            <w:tcBorders>
              <w:top w:val="single" w:sz="6" w:space="0" w:color="000000"/>
            </w:tcBorders>
          </w:tcPr>
          <w:p>
            <w:pPr>
              <w:pStyle w:val="TableParagraph"/>
              <w:spacing w:line="154" w:lineRule="exact"/>
              <w:ind w:right="239"/>
              <w:jc w:val="right"/>
              <w:rPr>
                <w:sz w:val="15"/>
              </w:rPr>
            </w:pPr>
            <w:r>
              <w:rPr>
                <w:spacing w:val="-2"/>
                <w:sz w:val="15"/>
              </w:rPr>
              <w:t>1,943,629</w:t>
            </w:r>
          </w:p>
        </w:tc>
        <w:tc>
          <w:tcPr>
            <w:tcW w:w="943" w:type="dxa"/>
            <w:tcBorders>
              <w:top w:val="single" w:sz="6" w:space="0" w:color="000000"/>
            </w:tcBorders>
          </w:tcPr>
          <w:p>
            <w:pPr>
              <w:pStyle w:val="TableParagraph"/>
              <w:spacing w:line="154" w:lineRule="exact"/>
              <w:ind w:left="192"/>
              <w:rPr>
                <w:sz w:val="15"/>
              </w:rPr>
            </w:pPr>
            <w:r>
              <w:rPr>
                <w:spacing w:val="-2"/>
                <w:sz w:val="15"/>
              </w:rPr>
              <w:t>1,976,422</w:t>
            </w:r>
          </w:p>
        </w:tc>
      </w:tr>
      <w:tr>
        <w:trPr>
          <w:trHeight w:val="367" w:hRule="atLeast"/>
        </w:trPr>
        <w:tc>
          <w:tcPr>
            <w:tcW w:w="4898" w:type="dxa"/>
          </w:tcPr>
          <w:p>
            <w:pPr>
              <w:pStyle w:val="TableParagraph"/>
              <w:spacing w:before="2"/>
              <w:ind w:left="27"/>
              <w:rPr>
                <w:sz w:val="15"/>
              </w:rPr>
            </w:pPr>
            <w:r>
              <w:rPr>
                <w:sz w:val="15"/>
              </w:rPr>
              <w:t>Net</w:t>
            </w:r>
            <w:r>
              <w:rPr>
                <w:spacing w:val="-4"/>
                <w:sz w:val="15"/>
              </w:rPr>
              <w:t> </w:t>
            </w:r>
            <w:r>
              <w:rPr>
                <w:spacing w:val="-2"/>
                <w:sz w:val="15"/>
              </w:rPr>
              <w:t>result</w:t>
            </w:r>
          </w:p>
          <w:p>
            <w:pPr>
              <w:pStyle w:val="TableParagraph"/>
              <w:spacing w:line="161" w:lineRule="exact" w:before="12"/>
              <w:ind w:left="27"/>
              <w:rPr>
                <w:sz w:val="15"/>
              </w:rPr>
            </w:pPr>
            <w:r>
              <w:rPr>
                <w:sz w:val="15"/>
              </w:rPr>
              <w:t>Other</w:t>
            </w:r>
            <w:r>
              <w:rPr>
                <w:spacing w:val="-7"/>
                <w:sz w:val="15"/>
              </w:rPr>
              <w:t> </w:t>
            </w:r>
            <w:r>
              <w:rPr>
                <w:sz w:val="15"/>
              </w:rPr>
              <w:t>comprehensive</w:t>
            </w:r>
            <w:r>
              <w:rPr>
                <w:spacing w:val="-4"/>
                <w:sz w:val="15"/>
              </w:rPr>
              <w:t> </w:t>
            </w:r>
            <w:r>
              <w:rPr>
                <w:spacing w:val="-2"/>
                <w:sz w:val="15"/>
              </w:rPr>
              <w:t>income</w:t>
            </w:r>
          </w:p>
        </w:tc>
        <w:tc>
          <w:tcPr>
            <w:tcW w:w="954" w:type="dxa"/>
          </w:tcPr>
          <w:p>
            <w:pPr>
              <w:pStyle w:val="TableParagraph"/>
              <w:rPr>
                <w:rFonts w:ascii="Times New Roman"/>
                <w:sz w:val="14"/>
              </w:rPr>
            </w:pPr>
          </w:p>
        </w:tc>
        <w:tc>
          <w:tcPr>
            <w:tcW w:w="1211" w:type="dxa"/>
          </w:tcPr>
          <w:p>
            <w:pPr>
              <w:pStyle w:val="TableParagraph"/>
              <w:spacing w:before="6"/>
              <w:ind w:right="172"/>
              <w:jc w:val="right"/>
              <w:rPr>
                <w:sz w:val="15"/>
              </w:rPr>
            </w:pPr>
            <w:r>
              <w:rPr>
                <w:spacing w:val="-10"/>
                <w:sz w:val="15"/>
              </w:rPr>
              <w:t>-</w:t>
            </w:r>
          </w:p>
        </w:tc>
        <w:tc>
          <w:tcPr>
            <w:tcW w:w="1165" w:type="dxa"/>
          </w:tcPr>
          <w:p>
            <w:pPr>
              <w:pStyle w:val="TableParagraph"/>
              <w:spacing w:before="4"/>
              <w:ind w:right="239"/>
              <w:jc w:val="right"/>
              <w:rPr>
                <w:sz w:val="15"/>
              </w:rPr>
            </w:pPr>
            <w:r>
              <w:rPr>
                <w:spacing w:val="-2"/>
                <w:sz w:val="15"/>
              </w:rPr>
              <w:t>111,682</w:t>
            </w:r>
          </w:p>
        </w:tc>
        <w:tc>
          <w:tcPr>
            <w:tcW w:w="943" w:type="dxa"/>
          </w:tcPr>
          <w:p>
            <w:pPr>
              <w:pStyle w:val="TableParagraph"/>
              <w:spacing w:before="4"/>
              <w:ind w:left="318"/>
              <w:rPr>
                <w:sz w:val="15"/>
              </w:rPr>
            </w:pPr>
            <w:r>
              <w:rPr>
                <w:spacing w:val="-2"/>
                <w:sz w:val="15"/>
              </w:rPr>
              <w:t>111,682</w:t>
            </w:r>
          </w:p>
        </w:tc>
      </w:tr>
      <w:tr>
        <w:trPr>
          <w:trHeight w:val="180" w:hRule="atLeast"/>
        </w:trPr>
        <w:tc>
          <w:tcPr>
            <w:tcW w:w="4898" w:type="dxa"/>
          </w:tcPr>
          <w:p>
            <w:pPr>
              <w:pStyle w:val="TableParagraph"/>
              <w:spacing w:line="158" w:lineRule="exact" w:before="3"/>
              <w:ind w:left="27"/>
              <w:rPr>
                <w:sz w:val="15"/>
              </w:rPr>
            </w:pPr>
            <w:r>
              <w:rPr>
                <w:sz w:val="15"/>
              </w:rPr>
              <w:t>-</w:t>
            </w:r>
            <w:r>
              <w:rPr>
                <w:spacing w:val="-6"/>
                <w:sz w:val="15"/>
              </w:rPr>
              <w:t> </w:t>
            </w:r>
            <w:r>
              <w:rPr>
                <w:sz w:val="15"/>
              </w:rPr>
              <w:t>Remeasurement</w:t>
            </w:r>
            <w:r>
              <w:rPr>
                <w:spacing w:val="-4"/>
                <w:sz w:val="15"/>
              </w:rPr>
              <w:t> </w:t>
            </w:r>
            <w:r>
              <w:rPr>
                <w:sz w:val="15"/>
              </w:rPr>
              <w:t>of</w:t>
            </w:r>
            <w:r>
              <w:rPr>
                <w:spacing w:val="-4"/>
                <w:sz w:val="15"/>
              </w:rPr>
              <w:t> </w:t>
            </w:r>
            <w:r>
              <w:rPr>
                <w:sz w:val="15"/>
              </w:rPr>
              <w:t>Defined</w:t>
            </w:r>
            <w:r>
              <w:rPr>
                <w:spacing w:val="-4"/>
                <w:sz w:val="15"/>
              </w:rPr>
              <w:t> </w:t>
            </w:r>
            <w:r>
              <w:rPr>
                <w:sz w:val="15"/>
              </w:rPr>
              <w:t>Benefit</w:t>
            </w:r>
            <w:r>
              <w:rPr>
                <w:spacing w:val="-4"/>
                <w:sz w:val="15"/>
              </w:rPr>
              <w:t> Plan</w:t>
            </w:r>
          </w:p>
        </w:tc>
        <w:tc>
          <w:tcPr>
            <w:tcW w:w="954" w:type="dxa"/>
          </w:tcPr>
          <w:p>
            <w:pPr>
              <w:pStyle w:val="TableParagraph"/>
              <w:spacing w:line="155" w:lineRule="exact" w:before="5"/>
              <w:ind w:left="389" w:right="46"/>
              <w:jc w:val="center"/>
              <w:rPr>
                <w:sz w:val="15"/>
              </w:rPr>
            </w:pPr>
            <w:r>
              <w:rPr>
                <w:spacing w:val="-5"/>
                <w:sz w:val="15"/>
              </w:rPr>
              <w:t>3.3</w:t>
            </w:r>
          </w:p>
        </w:tc>
        <w:tc>
          <w:tcPr>
            <w:tcW w:w="1211" w:type="dxa"/>
            <w:tcBorders>
              <w:bottom w:val="single" w:sz="6" w:space="0" w:color="000000"/>
            </w:tcBorders>
          </w:tcPr>
          <w:p>
            <w:pPr>
              <w:pStyle w:val="TableParagraph"/>
              <w:spacing w:line="153" w:lineRule="exact" w:before="8"/>
              <w:ind w:right="172"/>
              <w:jc w:val="right"/>
              <w:rPr>
                <w:sz w:val="15"/>
              </w:rPr>
            </w:pPr>
            <w:r>
              <w:rPr>
                <w:spacing w:val="-10"/>
                <w:sz w:val="15"/>
              </w:rPr>
              <w:t>-</w:t>
            </w:r>
          </w:p>
        </w:tc>
        <w:tc>
          <w:tcPr>
            <w:tcW w:w="1165" w:type="dxa"/>
            <w:tcBorders>
              <w:bottom w:val="single" w:sz="6" w:space="0" w:color="000000"/>
            </w:tcBorders>
          </w:tcPr>
          <w:p>
            <w:pPr>
              <w:pStyle w:val="TableParagraph"/>
              <w:spacing w:line="155" w:lineRule="exact" w:before="5"/>
              <w:ind w:right="188"/>
              <w:jc w:val="right"/>
              <w:rPr>
                <w:sz w:val="15"/>
              </w:rPr>
            </w:pPr>
            <w:r>
              <w:rPr>
                <w:spacing w:val="-2"/>
                <w:sz w:val="15"/>
              </w:rPr>
              <w:t>(230)</w:t>
            </w:r>
          </w:p>
        </w:tc>
        <w:tc>
          <w:tcPr>
            <w:tcW w:w="943" w:type="dxa"/>
            <w:tcBorders>
              <w:bottom w:val="single" w:sz="6" w:space="0" w:color="000000"/>
            </w:tcBorders>
          </w:tcPr>
          <w:p>
            <w:pPr>
              <w:pStyle w:val="TableParagraph"/>
              <w:spacing w:line="155" w:lineRule="exact" w:before="5"/>
              <w:ind w:right="26"/>
              <w:jc w:val="right"/>
              <w:rPr>
                <w:sz w:val="15"/>
              </w:rPr>
            </w:pPr>
            <w:r>
              <w:rPr>
                <w:spacing w:val="-2"/>
                <w:sz w:val="15"/>
              </w:rPr>
              <w:t>(230)</w:t>
            </w:r>
          </w:p>
        </w:tc>
      </w:tr>
      <w:tr>
        <w:trPr>
          <w:trHeight w:val="175" w:hRule="atLeast"/>
        </w:trPr>
        <w:tc>
          <w:tcPr>
            <w:tcW w:w="4898" w:type="dxa"/>
          </w:tcPr>
          <w:p>
            <w:pPr>
              <w:pStyle w:val="TableParagraph"/>
              <w:spacing w:line="155" w:lineRule="exact"/>
              <w:ind w:left="27"/>
              <w:rPr>
                <w:sz w:val="15"/>
              </w:rPr>
            </w:pPr>
            <w:r>
              <w:rPr>
                <w:sz w:val="15"/>
              </w:rPr>
              <w:t>Total</w:t>
            </w:r>
            <w:r>
              <w:rPr>
                <w:spacing w:val="-6"/>
                <w:sz w:val="15"/>
              </w:rPr>
              <w:t> </w:t>
            </w:r>
            <w:r>
              <w:rPr>
                <w:sz w:val="15"/>
              </w:rPr>
              <w:t>comprehensive</w:t>
            </w:r>
            <w:r>
              <w:rPr>
                <w:spacing w:val="-3"/>
                <w:sz w:val="15"/>
              </w:rPr>
              <w:t> </w:t>
            </w:r>
            <w:r>
              <w:rPr>
                <w:spacing w:val="-2"/>
                <w:sz w:val="15"/>
              </w:rPr>
              <w:t>income</w:t>
            </w:r>
          </w:p>
        </w:tc>
        <w:tc>
          <w:tcPr>
            <w:tcW w:w="954" w:type="dxa"/>
          </w:tcPr>
          <w:p>
            <w:pPr>
              <w:pStyle w:val="TableParagraph"/>
              <w:rPr>
                <w:rFonts w:ascii="Times New Roman"/>
                <w:sz w:val="10"/>
              </w:rPr>
            </w:pPr>
          </w:p>
        </w:tc>
        <w:tc>
          <w:tcPr>
            <w:tcW w:w="1211" w:type="dxa"/>
            <w:tcBorders>
              <w:top w:val="single" w:sz="6" w:space="0" w:color="000000"/>
            </w:tcBorders>
          </w:tcPr>
          <w:p>
            <w:pPr>
              <w:pStyle w:val="TableParagraph"/>
              <w:spacing w:line="155" w:lineRule="exact"/>
              <w:ind w:right="172"/>
              <w:jc w:val="right"/>
              <w:rPr>
                <w:sz w:val="15"/>
              </w:rPr>
            </w:pPr>
            <w:r>
              <w:rPr>
                <w:spacing w:val="-10"/>
                <w:sz w:val="15"/>
              </w:rPr>
              <w:t>-</w:t>
            </w:r>
          </w:p>
        </w:tc>
        <w:tc>
          <w:tcPr>
            <w:tcW w:w="1165" w:type="dxa"/>
            <w:tcBorders>
              <w:top w:val="single" w:sz="6" w:space="0" w:color="000000"/>
            </w:tcBorders>
          </w:tcPr>
          <w:p>
            <w:pPr>
              <w:pStyle w:val="TableParagraph"/>
              <w:spacing w:line="155" w:lineRule="exact"/>
              <w:ind w:right="239"/>
              <w:jc w:val="right"/>
              <w:rPr>
                <w:sz w:val="15"/>
              </w:rPr>
            </w:pPr>
            <w:r>
              <w:rPr>
                <w:spacing w:val="-2"/>
                <w:sz w:val="15"/>
              </w:rPr>
              <w:t>111,452</w:t>
            </w:r>
          </w:p>
        </w:tc>
        <w:tc>
          <w:tcPr>
            <w:tcW w:w="943" w:type="dxa"/>
            <w:tcBorders>
              <w:top w:val="single" w:sz="6" w:space="0" w:color="000000"/>
            </w:tcBorders>
          </w:tcPr>
          <w:p>
            <w:pPr>
              <w:pStyle w:val="TableParagraph"/>
              <w:spacing w:line="155" w:lineRule="exact"/>
              <w:ind w:left="318"/>
              <w:rPr>
                <w:sz w:val="15"/>
              </w:rPr>
            </w:pPr>
            <w:r>
              <w:rPr>
                <w:spacing w:val="-2"/>
                <w:sz w:val="15"/>
              </w:rPr>
              <w:t>111,452</w:t>
            </w:r>
          </w:p>
        </w:tc>
      </w:tr>
      <w:tr>
        <w:trPr>
          <w:trHeight w:val="178" w:hRule="atLeast"/>
        </w:trPr>
        <w:tc>
          <w:tcPr>
            <w:tcW w:w="4898" w:type="dxa"/>
          </w:tcPr>
          <w:p>
            <w:pPr>
              <w:pStyle w:val="TableParagraph"/>
              <w:spacing w:line="158" w:lineRule="exact" w:before="1"/>
              <w:ind w:left="27"/>
              <w:rPr>
                <w:sz w:val="15"/>
              </w:rPr>
            </w:pPr>
            <w:r>
              <w:rPr>
                <w:sz w:val="15"/>
              </w:rPr>
              <w:t>Transfer</w:t>
            </w:r>
            <w:r>
              <w:rPr>
                <w:spacing w:val="-6"/>
                <w:sz w:val="15"/>
              </w:rPr>
              <w:t> </w:t>
            </w:r>
            <w:r>
              <w:rPr>
                <w:sz w:val="15"/>
              </w:rPr>
              <w:t>to/(from)</w:t>
            </w:r>
            <w:r>
              <w:rPr>
                <w:spacing w:val="-6"/>
                <w:sz w:val="15"/>
              </w:rPr>
              <w:t> </w:t>
            </w:r>
            <w:r>
              <w:rPr>
                <w:spacing w:val="-2"/>
                <w:sz w:val="15"/>
              </w:rPr>
              <w:t>reserves</w:t>
            </w:r>
          </w:p>
        </w:tc>
        <w:tc>
          <w:tcPr>
            <w:tcW w:w="954" w:type="dxa"/>
          </w:tcPr>
          <w:p>
            <w:pPr>
              <w:pStyle w:val="TableParagraph"/>
              <w:spacing w:line="155" w:lineRule="exact" w:before="3"/>
              <w:ind w:left="389" w:right="46"/>
              <w:jc w:val="center"/>
              <w:rPr>
                <w:sz w:val="15"/>
              </w:rPr>
            </w:pPr>
            <w:r>
              <w:rPr>
                <w:spacing w:val="-5"/>
                <w:sz w:val="15"/>
              </w:rPr>
              <w:t>6.6</w:t>
            </w:r>
          </w:p>
        </w:tc>
        <w:tc>
          <w:tcPr>
            <w:tcW w:w="1211" w:type="dxa"/>
            <w:tcBorders>
              <w:bottom w:val="single" w:sz="6" w:space="0" w:color="000000"/>
            </w:tcBorders>
          </w:tcPr>
          <w:p>
            <w:pPr>
              <w:pStyle w:val="TableParagraph"/>
              <w:spacing w:line="153" w:lineRule="exact" w:before="5"/>
              <w:ind w:right="129"/>
              <w:jc w:val="right"/>
              <w:rPr>
                <w:sz w:val="15"/>
              </w:rPr>
            </w:pPr>
            <w:r>
              <w:rPr>
                <w:spacing w:val="-2"/>
                <w:sz w:val="15"/>
              </w:rPr>
              <w:t>(32,793)</w:t>
            </w:r>
          </w:p>
        </w:tc>
        <w:tc>
          <w:tcPr>
            <w:tcW w:w="1165" w:type="dxa"/>
            <w:tcBorders>
              <w:bottom w:val="single" w:sz="6" w:space="0" w:color="000000"/>
            </w:tcBorders>
          </w:tcPr>
          <w:p>
            <w:pPr>
              <w:pStyle w:val="TableParagraph"/>
              <w:spacing w:line="153" w:lineRule="exact" w:before="5"/>
              <w:ind w:right="239"/>
              <w:jc w:val="right"/>
              <w:rPr>
                <w:sz w:val="15"/>
              </w:rPr>
            </w:pPr>
            <w:r>
              <w:rPr>
                <w:spacing w:val="-2"/>
                <w:sz w:val="15"/>
              </w:rPr>
              <w:t>32,793</w:t>
            </w:r>
          </w:p>
        </w:tc>
        <w:tc>
          <w:tcPr>
            <w:tcW w:w="943" w:type="dxa"/>
            <w:tcBorders>
              <w:bottom w:val="single" w:sz="6" w:space="0" w:color="000000"/>
            </w:tcBorders>
          </w:tcPr>
          <w:p>
            <w:pPr>
              <w:pStyle w:val="TableParagraph"/>
              <w:spacing w:line="153" w:lineRule="exact" w:before="5"/>
              <w:ind w:right="70"/>
              <w:jc w:val="right"/>
              <w:rPr>
                <w:sz w:val="15"/>
              </w:rPr>
            </w:pPr>
            <w:r>
              <w:rPr>
                <w:spacing w:val="-10"/>
                <w:sz w:val="15"/>
              </w:rPr>
              <w:t>-</w:t>
            </w:r>
          </w:p>
        </w:tc>
      </w:tr>
      <w:tr>
        <w:trPr>
          <w:trHeight w:val="173" w:hRule="atLeast"/>
        </w:trPr>
        <w:tc>
          <w:tcPr>
            <w:tcW w:w="4898" w:type="dxa"/>
          </w:tcPr>
          <w:p>
            <w:pPr>
              <w:pStyle w:val="TableParagraph"/>
              <w:spacing w:line="153" w:lineRule="exact"/>
              <w:ind w:left="27"/>
              <w:rPr>
                <w:b/>
                <w:sz w:val="15"/>
              </w:rPr>
            </w:pPr>
            <w:r>
              <w:rPr>
                <w:b/>
                <w:sz w:val="15"/>
              </w:rPr>
              <w:t>Balance</w:t>
            </w:r>
            <w:r>
              <w:rPr>
                <w:b/>
                <w:spacing w:val="-7"/>
                <w:sz w:val="15"/>
              </w:rPr>
              <w:t> </w:t>
            </w:r>
            <w:r>
              <w:rPr>
                <w:b/>
                <w:sz w:val="15"/>
              </w:rPr>
              <w:t>at</w:t>
            </w:r>
            <w:r>
              <w:rPr>
                <w:b/>
                <w:spacing w:val="-5"/>
                <w:sz w:val="15"/>
              </w:rPr>
              <w:t> </w:t>
            </w:r>
            <w:r>
              <w:rPr>
                <w:b/>
                <w:sz w:val="15"/>
              </w:rPr>
              <w:t>31</w:t>
            </w:r>
            <w:r>
              <w:rPr>
                <w:b/>
                <w:spacing w:val="-5"/>
                <w:sz w:val="15"/>
              </w:rPr>
              <w:t> </w:t>
            </w:r>
            <w:r>
              <w:rPr>
                <w:b/>
                <w:sz w:val="15"/>
              </w:rPr>
              <w:t>December</w:t>
            </w:r>
            <w:r>
              <w:rPr>
                <w:b/>
                <w:spacing w:val="-4"/>
                <w:sz w:val="15"/>
              </w:rPr>
              <w:t> 2019</w:t>
            </w:r>
          </w:p>
        </w:tc>
        <w:tc>
          <w:tcPr>
            <w:tcW w:w="954" w:type="dxa"/>
          </w:tcPr>
          <w:p>
            <w:pPr>
              <w:pStyle w:val="TableParagraph"/>
              <w:rPr>
                <w:rFonts w:ascii="Times New Roman"/>
                <w:sz w:val="10"/>
              </w:rPr>
            </w:pPr>
          </w:p>
        </w:tc>
        <w:tc>
          <w:tcPr>
            <w:tcW w:w="1211" w:type="dxa"/>
            <w:tcBorders>
              <w:top w:val="single" w:sz="6" w:space="0" w:color="000000"/>
              <w:bottom w:val="single" w:sz="12" w:space="0" w:color="000000"/>
            </w:tcBorders>
          </w:tcPr>
          <w:p>
            <w:pPr>
              <w:pStyle w:val="TableParagraph"/>
              <w:spacing w:line="153" w:lineRule="exact"/>
              <w:ind w:right="130"/>
              <w:jc w:val="right"/>
              <w:rPr>
                <w:sz w:val="15"/>
              </w:rPr>
            </w:pPr>
            <w:r>
              <w:rPr>
                <w:spacing w:val="-10"/>
                <w:sz w:val="15"/>
              </w:rPr>
              <w:t>-</w:t>
            </w:r>
          </w:p>
        </w:tc>
        <w:tc>
          <w:tcPr>
            <w:tcW w:w="1165" w:type="dxa"/>
            <w:tcBorders>
              <w:top w:val="single" w:sz="6" w:space="0" w:color="000000"/>
              <w:bottom w:val="single" w:sz="12" w:space="0" w:color="000000"/>
            </w:tcBorders>
          </w:tcPr>
          <w:p>
            <w:pPr>
              <w:pStyle w:val="TableParagraph"/>
              <w:spacing w:line="153" w:lineRule="exact"/>
              <w:ind w:right="239"/>
              <w:jc w:val="right"/>
              <w:rPr>
                <w:sz w:val="15"/>
              </w:rPr>
            </w:pPr>
            <w:r>
              <w:rPr>
                <w:spacing w:val="-2"/>
                <w:sz w:val="15"/>
              </w:rPr>
              <w:t>2,087,874</w:t>
            </w:r>
          </w:p>
        </w:tc>
        <w:tc>
          <w:tcPr>
            <w:tcW w:w="943" w:type="dxa"/>
            <w:tcBorders>
              <w:top w:val="single" w:sz="6" w:space="0" w:color="000000"/>
              <w:bottom w:val="single" w:sz="12" w:space="0" w:color="000000"/>
            </w:tcBorders>
          </w:tcPr>
          <w:p>
            <w:pPr>
              <w:pStyle w:val="TableParagraph"/>
              <w:spacing w:line="153" w:lineRule="exact"/>
              <w:ind w:left="192"/>
              <w:rPr>
                <w:sz w:val="15"/>
              </w:rPr>
            </w:pPr>
            <w:r>
              <w:rPr>
                <w:spacing w:val="-2"/>
                <w:sz w:val="15"/>
              </w:rPr>
              <w:t>2,087,874</w:t>
            </w:r>
          </w:p>
        </w:tc>
      </w:tr>
      <w:tr>
        <w:trPr>
          <w:trHeight w:val="350" w:hRule="atLeast"/>
        </w:trPr>
        <w:tc>
          <w:tcPr>
            <w:tcW w:w="4898" w:type="dxa"/>
          </w:tcPr>
          <w:p>
            <w:pPr>
              <w:pStyle w:val="TableParagraph"/>
              <w:spacing w:line="162" w:lineRule="exact" w:before="168"/>
              <w:ind w:left="27"/>
              <w:rPr>
                <w:sz w:val="15"/>
              </w:rPr>
            </w:pPr>
            <w:r>
              <w:rPr>
                <w:sz w:val="15"/>
              </w:rPr>
              <w:t>Balance</w:t>
            </w:r>
            <w:r>
              <w:rPr>
                <w:spacing w:val="-3"/>
                <w:sz w:val="15"/>
              </w:rPr>
              <w:t> </w:t>
            </w:r>
            <w:r>
              <w:rPr>
                <w:sz w:val="15"/>
              </w:rPr>
              <w:t>at</w:t>
            </w:r>
            <w:r>
              <w:rPr>
                <w:spacing w:val="-4"/>
                <w:sz w:val="15"/>
              </w:rPr>
              <w:t> </w:t>
            </w:r>
            <w:r>
              <w:rPr>
                <w:sz w:val="15"/>
              </w:rPr>
              <w:t>1</w:t>
            </w:r>
            <w:r>
              <w:rPr>
                <w:spacing w:val="-3"/>
                <w:sz w:val="15"/>
              </w:rPr>
              <w:t> </w:t>
            </w:r>
            <w:r>
              <w:rPr>
                <w:sz w:val="15"/>
              </w:rPr>
              <w:t>January</w:t>
            </w:r>
            <w:r>
              <w:rPr>
                <w:spacing w:val="-6"/>
                <w:sz w:val="15"/>
              </w:rPr>
              <w:t> </w:t>
            </w:r>
            <w:r>
              <w:rPr>
                <w:spacing w:val="-4"/>
                <w:sz w:val="15"/>
              </w:rPr>
              <w:t>2020</w:t>
            </w:r>
          </w:p>
        </w:tc>
        <w:tc>
          <w:tcPr>
            <w:tcW w:w="954" w:type="dxa"/>
          </w:tcPr>
          <w:p>
            <w:pPr>
              <w:pStyle w:val="TableParagraph"/>
              <w:rPr>
                <w:rFonts w:ascii="Times New Roman"/>
                <w:sz w:val="14"/>
              </w:rPr>
            </w:pPr>
          </w:p>
        </w:tc>
        <w:tc>
          <w:tcPr>
            <w:tcW w:w="1211" w:type="dxa"/>
            <w:tcBorders>
              <w:top w:val="single" w:sz="12" w:space="0" w:color="000000"/>
            </w:tcBorders>
          </w:tcPr>
          <w:p>
            <w:pPr>
              <w:pStyle w:val="TableParagraph"/>
              <w:spacing w:line="160" w:lineRule="exact" w:before="171"/>
              <w:ind w:right="130"/>
              <w:jc w:val="right"/>
              <w:rPr>
                <w:sz w:val="15"/>
              </w:rPr>
            </w:pPr>
            <w:r>
              <w:rPr>
                <w:spacing w:val="-10"/>
                <w:sz w:val="15"/>
              </w:rPr>
              <w:t>-</w:t>
            </w:r>
          </w:p>
        </w:tc>
        <w:tc>
          <w:tcPr>
            <w:tcW w:w="1165" w:type="dxa"/>
            <w:tcBorders>
              <w:top w:val="single" w:sz="12" w:space="0" w:color="000000"/>
            </w:tcBorders>
          </w:tcPr>
          <w:p>
            <w:pPr>
              <w:pStyle w:val="TableParagraph"/>
              <w:spacing w:line="160" w:lineRule="exact" w:before="171"/>
              <w:ind w:right="239"/>
              <w:jc w:val="right"/>
              <w:rPr>
                <w:sz w:val="15"/>
              </w:rPr>
            </w:pPr>
            <w:r>
              <w:rPr>
                <w:spacing w:val="-2"/>
                <w:sz w:val="15"/>
              </w:rPr>
              <w:t>2,087,874</w:t>
            </w:r>
          </w:p>
        </w:tc>
        <w:tc>
          <w:tcPr>
            <w:tcW w:w="943" w:type="dxa"/>
            <w:tcBorders>
              <w:top w:val="single" w:sz="12" w:space="0" w:color="000000"/>
            </w:tcBorders>
          </w:tcPr>
          <w:p>
            <w:pPr>
              <w:pStyle w:val="TableParagraph"/>
              <w:spacing w:line="160" w:lineRule="exact" w:before="171"/>
              <w:ind w:left="192"/>
              <w:rPr>
                <w:sz w:val="15"/>
              </w:rPr>
            </w:pPr>
            <w:r>
              <w:rPr>
                <w:spacing w:val="-2"/>
                <w:sz w:val="15"/>
              </w:rPr>
              <w:t>2,087,874</w:t>
            </w:r>
          </w:p>
        </w:tc>
      </w:tr>
      <w:tr>
        <w:trPr>
          <w:trHeight w:val="179" w:hRule="atLeast"/>
        </w:trPr>
        <w:tc>
          <w:tcPr>
            <w:tcW w:w="4898" w:type="dxa"/>
          </w:tcPr>
          <w:p>
            <w:pPr>
              <w:pStyle w:val="TableParagraph"/>
              <w:spacing w:line="158" w:lineRule="exact" w:before="2"/>
              <w:ind w:left="27"/>
              <w:rPr>
                <w:sz w:val="15"/>
              </w:rPr>
            </w:pPr>
            <w:r>
              <w:rPr>
                <w:sz w:val="15"/>
              </w:rPr>
              <w:t>Effect</w:t>
            </w:r>
            <w:r>
              <w:rPr>
                <w:spacing w:val="-4"/>
                <w:sz w:val="15"/>
              </w:rPr>
              <w:t> </w:t>
            </w:r>
            <w:r>
              <w:rPr>
                <w:sz w:val="15"/>
              </w:rPr>
              <w:t>of</w:t>
            </w:r>
            <w:r>
              <w:rPr>
                <w:spacing w:val="-4"/>
                <w:sz w:val="15"/>
              </w:rPr>
              <w:t> </w:t>
            </w:r>
            <w:r>
              <w:rPr>
                <w:sz w:val="15"/>
              </w:rPr>
              <w:t>adoption</w:t>
            </w:r>
            <w:r>
              <w:rPr>
                <w:spacing w:val="-3"/>
                <w:sz w:val="15"/>
              </w:rPr>
              <w:t> </w:t>
            </w:r>
            <w:r>
              <w:rPr>
                <w:sz w:val="15"/>
              </w:rPr>
              <w:t>of</w:t>
            </w:r>
            <w:r>
              <w:rPr>
                <w:spacing w:val="-4"/>
                <w:sz w:val="15"/>
              </w:rPr>
              <w:t> </w:t>
            </w:r>
            <w:r>
              <w:rPr>
                <w:sz w:val="15"/>
              </w:rPr>
              <w:t>new</w:t>
            </w:r>
            <w:r>
              <w:rPr>
                <w:spacing w:val="-3"/>
                <w:sz w:val="15"/>
              </w:rPr>
              <w:t> </w:t>
            </w:r>
            <w:r>
              <w:rPr>
                <w:sz w:val="15"/>
              </w:rPr>
              <w:t>accounting</w:t>
            </w:r>
            <w:r>
              <w:rPr>
                <w:spacing w:val="-3"/>
                <w:sz w:val="15"/>
              </w:rPr>
              <w:t> </w:t>
            </w:r>
            <w:r>
              <w:rPr>
                <w:spacing w:val="-2"/>
                <w:sz w:val="15"/>
              </w:rPr>
              <w:t>standards</w:t>
            </w:r>
          </w:p>
        </w:tc>
        <w:tc>
          <w:tcPr>
            <w:tcW w:w="954" w:type="dxa"/>
          </w:tcPr>
          <w:p>
            <w:pPr>
              <w:pStyle w:val="TableParagraph"/>
              <w:spacing w:line="155" w:lineRule="exact" w:before="4"/>
              <w:ind w:left="389" w:right="46"/>
              <w:jc w:val="center"/>
              <w:rPr>
                <w:sz w:val="15"/>
              </w:rPr>
            </w:pPr>
            <w:r>
              <w:rPr>
                <w:spacing w:val="-5"/>
                <w:sz w:val="15"/>
              </w:rPr>
              <w:t>1.5</w:t>
            </w:r>
          </w:p>
        </w:tc>
        <w:tc>
          <w:tcPr>
            <w:tcW w:w="1211" w:type="dxa"/>
            <w:tcBorders>
              <w:bottom w:val="single" w:sz="6" w:space="0" w:color="000000"/>
            </w:tcBorders>
          </w:tcPr>
          <w:p>
            <w:pPr>
              <w:pStyle w:val="TableParagraph"/>
              <w:spacing w:line="155" w:lineRule="exact" w:before="4"/>
              <w:ind w:right="130"/>
              <w:jc w:val="right"/>
              <w:rPr>
                <w:sz w:val="15"/>
              </w:rPr>
            </w:pPr>
            <w:r>
              <w:rPr>
                <w:spacing w:val="-10"/>
                <w:sz w:val="15"/>
              </w:rPr>
              <w:t>-</w:t>
            </w:r>
          </w:p>
        </w:tc>
        <w:tc>
          <w:tcPr>
            <w:tcW w:w="1165" w:type="dxa"/>
            <w:tcBorders>
              <w:bottom w:val="single" w:sz="6" w:space="0" w:color="000000"/>
            </w:tcBorders>
          </w:tcPr>
          <w:p>
            <w:pPr>
              <w:pStyle w:val="TableParagraph"/>
              <w:spacing w:line="155" w:lineRule="exact" w:before="4"/>
              <w:ind w:right="188"/>
              <w:jc w:val="right"/>
              <w:rPr>
                <w:sz w:val="15"/>
              </w:rPr>
            </w:pPr>
            <w:r>
              <w:rPr>
                <w:spacing w:val="-2"/>
                <w:sz w:val="15"/>
              </w:rPr>
              <w:t>(96,358)</w:t>
            </w:r>
          </w:p>
        </w:tc>
        <w:tc>
          <w:tcPr>
            <w:tcW w:w="943" w:type="dxa"/>
            <w:tcBorders>
              <w:bottom w:val="single" w:sz="6" w:space="0" w:color="000000"/>
            </w:tcBorders>
          </w:tcPr>
          <w:p>
            <w:pPr>
              <w:pStyle w:val="TableParagraph"/>
              <w:spacing w:line="155" w:lineRule="exact" w:before="4"/>
              <w:ind w:right="26"/>
              <w:jc w:val="right"/>
              <w:rPr>
                <w:sz w:val="15"/>
              </w:rPr>
            </w:pPr>
            <w:r>
              <w:rPr>
                <w:spacing w:val="-2"/>
                <w:sz w:val="15"/>
              </w:rPr>
              <w:t>(96,358)</w:t>
            </w:r>
          </w:p>
        </w:tc>
      </w:tr>
      <w:tr>
        <w:trPr>
          <w:trHeight w:val="174" w:hRule="atLeast"/>
        </w:trPr>
        <w:tc>
          <w:tcPr>
            <w:tcW w:w="4898" w:type="dxa"/>
          </w:tcPr>
          <w:p>
            <w:pPr>
              <w:pStyle w:val="TableParagraph"/>
              <w:spacing w:line="154" w:lineRule="exact"/>
              <w:ind w:left="27"/>
              <w:rPr>
                <w:b/>
                <w:sz w:val="15"/>
              </w:rPr>
            </w:pPr>
            <w:r>
              <w:rPr>
                <w:b/>
                <w:sz w:val="15"/>
              </w:rPr>
              <w:t>Balance</w:t>
            </w:r>
            <w:r>
              <w:rPr>
                <w:b/>
                <w:spacing w:val="-4"/>
                <w:sz w:val="15"/>
              </w:rPr>
              <w:t> </w:t>
            </w:r>
            <w:r>
              <w:rPr>
                <w:b/>
                <w:sz w:val="15"/>
              </w:rPr>
              <w:t>as</w:t>
            </w:r>
            <w:r>
              <w:rPr>
                <w:b/>
                <w:spacing w:val="-4"/>
                <w:sz w:val="15"/>
              </w:rPr>
              <w:t> </w:t>
            </w:r>
            <w:r>
              <w:rPr>
                <w:b/>
                <w:spacing w:val="-2"/>
                <w:sz w:val="15"/>
              </w:rPr>
              <w:t>restated</w:t>
            </w:r>
          </w:p>
        </w:tc>
        <w:tc>
          <w:tcPr>
            <w:tcW w:w="954" w:type="dxa"/>
          </w:tcPr>
          <w:p>
            <w:pPr>
              <w:pStyle w:val="TableParagraph"/>
              <w:rPr>
                <w:rFonts w:ascii="Times New Roman"/>
                <w:sz w:val="10"/>
              </w:rPr>
            </w:pPr>
          </w:p>
        </w:tc>
        <w:tc>
          <w:tcPr>
            <w:tcW w:w="1211" w:type="dxa"/>
            <w:tcBorders>
              <w:top w:val="single" w:sz="6" w:space="0" w:color="000000"/>
            </w:tcBorders>
          </w:tcPr>
          <w:p>
            <w:pPr>
              <w:pStyle w:val="TableParagraph"/>
              <w:spacing w:line="154" w:lineRule="exact"/>
              <w:ind w:right="130"/>
              <w:jc w:val="right"/>
              <w:rPr>
                <w:sz w:val="15"/>
              </w:rPr>
            </w:pPr>
            <w:r>
              <w:rPr>
                <w:spacing w:val="-10"/>
                <w:sz w:val="15"/>
              </w:rPr>
              <w:t>-</w:t>
            </w:r>
          </w:p>
        </w:tc>
        <w:tc>
          <w:tcPr>
            <w:tcW w:w="1165" w:type="dxa"/>
            <w:tcBorders>
              <w:top w:val="single" w:sz="6" w:space="0" w:color="000000"/>
            </w:tcBorders>
          </w:tcPr>
          <w:p>
            <w:pPr>
              <w:pStyle w:val="TableParagraph"/>
              <w:spacing w:line="154" w:lineRule="exact"/>
              <w:ind w:right="239"/>
              <w:jc w:val="right"/>
              <w:rPr>
                <w:sz w:val="15"/>
              </w:rPr>
            </w:pPr>
            <w:r>
              <w:rPr>
                <w:spacing w:val="-2"/>
                <w:sz w:val="15"/>
              </w:rPr>
              <w:t>1,991,516</w:t>
            </w:r>
          </w:p>
        </w:tc>
        <w:tc>
          <w:tcPr>
            <w:tcW w:w="943" w:type="dxa"/>
            <w:tcBorders>
              <w:top w:val="single" w:sz="6" w:space="0" w:color="000000"/>
            </w:tcBorders>
          </w:tcPr>
          <w:p>
            <w:pPr>
              <w:pStyle w:val="TableParagraph"/>
              <w:spacing w:line="154" w:lineRule="exact"/>
              <w:ind w:left="192"/>
              <w:rPr>
                <w:sz w:val="15"/>
              </w:rPr>
            </w:pPr>
            <w:r>
              <w:rPr>
                <w:spacing w:val="-2"/>
                <w:sz w:val="15"/>
              </w:rPr>
              <w:t>1,991,516</w:t>
            </w:r>
          </w:p>
        </w:tc>
      </w:tr>
      <w:tr>
        <w:trPr>
          <w:trHeight w:val="367" w:hRule="atLeast"/>
        </w:trPr>
        <w:tc>
          <w:tcPr>
            <w:tcW w:w="4898" w:type="dxa"/>
          </w:tcPr>
          <w:p>
            <w:pPr>
              <w:pStyle w:val="TableParagraph"/>
              <w:spacing w:before="2"/>
              <w:ind w:left="27"/>
              <w:rPr>
                <w:sz w:val="15"/>
              </w:rPr>
            </w:pPr>
            <w:r>
              <w:rPr>
                <w:sz w:val="15"/>
              </w:rPr>
              <w:t>Net</w:t>
            </w:r>
            <w:r>
              <w:rPr>
                <w:spacing w:val="-4"/>
                <w:sz w:val="15"/>
              </w:rPr>
              <w:t> </w:t>
            </w:r>
            <w:r>
              <w:rPr>
                <w:spacing w:val="-2"/>
                <w:sz w:val="15"/>
              </w:rPr>
              <w:t>result</w:t>
            </w:r>
          </w:p>
          <w:p>
            <w:pPr>
              <w:pStyle w:val="TableParagraph"/>
              <w:spacing w:line="161" w:lineRule="exact" w:before="12"/>
              <w:ind w:left="27"/>
              <w:rPr>
                <w:sz w:val="15"/>
              </w:rPr>
            </w:pPr>
            <w:r>
              <w:rPr>
                <w:sz w:val="15"/>
              </w:rPr>
              <w:t>Other</w:t>
            </w:r>
            <w:r>
              <w:rPr>
                <w:spacing w:val="-7"/>
                <w:sz w:val="15"/>
              </w:rPr>
              <w:t> </w:t>
            </w:r>
            <w:r>
              <w:rPr>
                <w:sz w:val="15"/>
              </w:rPr>
              <w:t>comprehensive</w:t>
            </w:r>
            <w:r>
              <w:rPr>
                <w:spacing w:val="-4"/>
                <w:sz w:val="15"/>
              </w:rPr>
              <w:t> </w:t>
            </w:r>
            <w:r>
              <w:rPr>
                <w:spacing w:val="-2"/>
                <w:sz w:val="15"/>
              </w:rPr>
              <w:t>income</w:t>
            </w:r>
          </w:p>
        </w:tc>
        <w:tc>
          <w:tcPr>
            <w:tcW w:w="954" w:type="dxa"/>
          </w:tcPr>
          <w:p>
            <w:pPr>
              <w:pStyle w:val="TableParagraph"/>
              <w:rPr>
                <w:rFonts w:ascii="Times New Roman"/>
                <w:sz w:val="14"/>
              </w:rPr>
            </w:pPr>
          </w:p>
        </w:tc>
        <w:tc>
          <w:tcPr>
            <w:tcW w:w="1211" w:type="dxa"/>
          </w:tcPr>
          <w:p>
            <w:pPr>
              <w:pStyle w:val="TableParagraph"/>
              <w:spacing w:before="6"/>
              <w:ind w:right="172"/>
              <w:jc w:val="right"/>
              <w:rPr>
                <w:sz w:val="15"/>
              </w:rPr>
            </w:pPr>
            <w:r>
              <w:rPr>
                <w:spacing w:val="-10"/>
                <w:sz w:val="15"/>
              </w:rPr>
              <w:t>-</w:t>
            </w:r>
          </w:p>
        </w:tc>
        <w:tc>
          <w:tcPr>
            <w:tcW w:w="1165" w:type="dxa"/>
          </w:tcPr>
          <w:p>
            <w:pPr>
              <w:pStyle w:val="TableParagraph"/>
              <w:spacing w:before="4"/>
              <w:ind w:right="239"/>
              <w:jc w:val="right"/>
              <w:rPr>
                <w:sz w:val="15"/>
              </w:rPr>
            </w:pPr>
            <w:r>
              <w:rPr>
                <w:spacing w:val="-2"/>
                <w:sz w:val="15"/>
              </w:rPr>
              <w:t>58,089</w:t>
            </w:r>
          </w:p>
        </w:tc>
        <w:tc>
          <w:tcPr>
            <w:tcW w:w="943" w:type="dxa"/>
          </w:tcPr>
          <w:p>
            <w:pPr>
              <w:pStyle w:val="TableParagraph"/>
              <w:spacing w:before="4"/>
              <w:ind w:right="77"/>
              <w:jc w:val="right"/>
              <w:rPr>
                <w:sz w:val="15"/>
              </w:rPr>
            </w:pPr>
            <w:r>
              <w:rPr>
                <w:spacing w:val="-2"/>
                <w:sz w:val="15"/>
              </w:rPr>
              <w:t>58,089</w:t>
            </w:r>
          </w:p>
        </w:tc>
      </w:tr>
      <w:tr>
        <w:trPr>
          <w:trHeight w:val="180" w:hRule="atLeast"/>
        </w:trPr>
        <w:tc>
          <w:tcPr>
            <w:tcW w:w="4898" w:type="dxa"/>
          </w:tcPr>
          <w:p>
            <w:pPr>
              <w:pStyle w:val="TableParagraph"/>
              <w:spacing w:line="158" w:lineRule="exact" w:before="3"/>
              <w:ind w:left="27"/>
              <w:rPr>
                <w:sz w:val="15"/>
              </w:rPr>
            </w:pPr>
            <w:r>
              <w:rPr>
                <w:sz w:val="15"/>
              </w:rPr>
              <w:t>-</w:t>
            </w:r>
            <w:r>
              <w:rPr>
                <w:spacing w:val="-6"/>
                <w:sz w:val="15"/>
              </w:rPr>
              <w:t> </w:t>
            </w:r>
            <w:r>
              <w:rPr>
                <w:sz w:val="15"/>
              </w:rPr>
              <w:t>Remeasurement</w:t>
            </w:r>
            <w:r>
              <w:rPr>
                <w:spacing w:val="-4"/>
                <w:sz w:val="15"/>
              </w:rPr>
              <w:t> </w:t>
            </w:r>
            <w:r>
              <w:rPr>
                <w:sz w:val="15"/>
              </w:rPr>
              <w:t>of</w:t>
            </w:r>
            <w:r>
              <w:rPr>
                <w:spacing w:val="-4"/>
                <w:sz w:val="15"/>
              </w:rPr>
              <w:t> </w:t>
            </w:r>
            <w:r>
              <w:rPr>
                <w:sz w:val="15"/>
              </w:rPr>
              <w:t>Defined</w:t>
            </w:r>
            <w:r>
              <w:rPr>
                <w:spacing w:val="-4"/>
                <w:sz w:val="15"/>
              </w:rPr>
              <w:t> </w:t>
            </w:r>
            <w:r>
              <w:rPr>
                <w:sz w:val="15"/>
              </w:rPr>
              <w:t>Benefit</w:t>
            </w:r>
            <w:r>
              <w:rPr>
                <w:spacing w:val="-4"/>
                <w:sz w:val="15"/>
              </w:rPr>
              <w:t> Plan</w:t>
            </w:r>
          </w:p>
        </w:tc>
        <w:tc>
          <w:tcPr>
            <w:tcW w:w="954" w:type="dxa"/>
          </w:tcPr>
          <w:p>
            <w:pPr>
              <w:pStyle w:val="TableParagraph"/>
              <w:spacing w:line="155" w:lineRule="exact" w:before="5"/>
              <w:ind w:left="389" w:right="46"/>
              <w:jc w:val="center"/>
              <w:rPr>
                <w:sz w:val="15"/>
              </w:rPr>
            </w:pPr>
            <w:r>
              <w:rPr>
                <w:spacing w:val="-5"/>
                <w:sz w:val="15"/>
              </w:rPr>
              <w:t>3.3</w:t>
            </w:r>
          </w:p>
        </w:tc>
        <w:tc>
          <w:tcPr>
            <w:tcW w:w="1211" w:type="dxa"/>
            <w:tcBorders>
              <w:bottom w:val="single" w:sz="6" w:space="0" w:color="000000"/>
            </w:tcBorders>
          </w:tcPr>
          <w:p>
            <w:pPr>
              <w:pStyle w:val="TableParagraph"/>
              <w:spacing w:line="153" w:lineRule="exact" w:before="8"/>
              <w:ind w:right="172"/>
              <w:jc w:val="right"/>
              <w:rPr>
                <w:sz w:val="15"/>
              </w:rPr>
            </w:pPr>
            <w:r>
              <w:rPr>
                <w:spacing w:val="-10"/>
                <w:sz w:val="15"/>
              </w:rPr>
              <w:t>-</w:t>
            </w:r>
          </w:p>
        </w:tc>
        <w:tc>
          <w:tcPr>
            <w:tcW w:w="1165" w:type="dxa"/>
            <w:tcBorders>
              <w:bottom w:val="single" w:sz="6" w:space="0" w:color="000000"/>
            </w:tcBorders>
          </w:tcPr>
          <w:p>
            <w:pPr>
              <w:pStyle w:val="TableParagraph"/>
              <w:spacing w:line="155" w:lineRule="exact" w:before="5"/>
              <w:ind w:right="188"/>
              <w:jc w:val="right"/>
              <w:rPr>
                <w:sz w:val="15"/>
              </w:rPr>
            </w:pPr>
            <w:r>
              <w:rPr>
                <w:spacing w:val="-4"/>
                <w:sz w:val="15"/>
              </w:rPr>
              <w:t>(58)</w:t>
            </w:r>
          </w:p>
        </w:tc>
        <w:tc>
          <w:tcPr>
            <w:tcW w:w="943" w:type="dxa"/>
            <w:tcBorders>
              <w:bottom w:val="single" w:sz="6" w:space="0" w:color="000000"/>
            </w:tcBorders>
          </w:tcPr>
          <w:p>
            <w:pPr>
              <w:pStyle w:val="TableParagraph"/>
              <w:spacing w:line="155" w:lineRule="exact" w:before="5"/>
              <w:ind w:right="26"/>
              <w:jc w:val="right"/>
              <w:rPr>
                <w:sz w:val="15"/>
              </w:rPr>
            </w:pPr>
            <w:r>
              <w:rPr>
                <w:spacing w:val="-4"/>
                <w:sz w:val="15"/>
              </w:rPr>
              <w:t>(58)</w:t>
            </w:r>
          </w:p>
        </w:tc>
      </w:tr>
      <w:tr>
        <w:trPr>
          <w:trHeight w:val="353" w:hRule="atLeast"/>
        </w:trPr>
        <w:tc>
          <w:tcPr>
            <w:tcW w:w="4898" w:type="dxa"/>
          </w:tcPr>
          <w:p>
            <w:pPr>
              <w:pStyle w:val="TableParagraph"/>
              <w:spacing w:line="164" w:lineRule="exact"/>
              <w:ind w:left="27"/>
              <w:rPr>
                <w:sz w:val="15"/>
              </w:rPr>
            </w:pPr>
            <w:r>
              <w:rPr>
                <w:sz w:val="15"/>
              </w:rPr>
              <w:t>Total</w:t>
            </w:r>
            <w:r>
              <w:rPr>
                <w:spacing w:val="-6"/>
                <w:sz w:val="15"/>
              </w:rPr>
              <w:t> </w:t>
            </w:r>
            <w:r>
              <w:rPr>
                <w:sz w:val="15"/>
              </w:rPr>
              <w:t>comprehensive</w:t>
            </w:r>
            <w:r>
              <w:rPr>
                <w:spacing w:val="-3"/>
                <w:sz w:val="15"/>
              </w:rPr>
              <w:t> </w:t>
            </w:r>
            <w:r>
              <w:rPr>
                <w:spacing w:val="-2"/>
                <w:sz w:val="15"/>
              </w:rPr>
              <w:t>income</w:t>
            </w:r>
          </w:p>
          <w:p>
            <w:pPr>
              <w:pStyle w:val="TableParagraph"/>
              <w:spacing w:line="158" w:lineRule="exact" w:before="11"/>
              <w:ind w:left="27"/>
              <w:rPr>
                <w:sz w:val="15"/>
              </w:rPr>
            </w:pPr>
            <w:r>
              <w:rPr>
                <w:sz w:val="15"/>
              </w:rPr>
              <w:t>Transfer</w:t>
            </w:r>
            <w:r>
              <w:rPr>
                <w:spacing w:val="-6"/>
                <w:sz w:val="15"/>
              </w:rPr>
              <w:t> </w:t>
            </w:r>
            <w:r>
              <w:rPr>
                <w:sz w:val="15"/>
              </w:rPr>
              <w:t>to/(from)</w:t>
            </w:r>
            <w:r>
              <w:rPr>
                <w:spacing w:val="-6"/>
                <w:sz w:val="15"/>
              </w:rPr>
              <w:t> </w:t>
            </w:r>
            <w:r>
              <w:rPr>
                <w:spacing w:val="-2"/>
                <w:sz w:val="15"/>
              </w:rPr>
              <w:t>reserves</w:t>
            </w:r>
          </w:p>
        </w:tc>
        <w:tc>
          <w:tcPr>
            <w:tcW w:w="954" w:type="dxa"/>
          </w:tcPr>
          <w:p>
            <w:pPr>
              <w:pStyle w:val="TableParagraph"/>
              <w:spacing w:before="5"/>
              <w:rPr>
                <w:sz w:val="15"/>
              </w:rPr>
            </w:pPr>
          </w:p>
          <w:p>
            <w:pPr>
              <w:pStyle w:val="TableParagraph"/>
              <w:spacing w:line="155" w:lineRule="exact" w:before="1"/>
              <w:ind w:left="389" w:right="46"/>
              <w:jc w:val="center"/>
              <w:rPr>
                <w:sz w:val="15"/>
              </w:rPr>
            </w:pPr>
            <w:r>
              <w:rPr>
                <w:spacing w:val="-5"/>
                <w:sz w:val="15"/>
              </w:rPr>
              <w:t>6.6</w:t>
            </w:r>
          </w:p>
        </w:tc>
        <w:tc>
          <w:tcPr>
            <w:tcW w:w="1211" w:type="dxa"/>
            <w:tcBorders>
              <w:top w:val="single" w:sz="6" w:space="0" w:color="000000"/>
              <w:bottom w:val="single" w:sz="6" w:space="0" w:color="000000"/>
            </w:tcBorders>
          </w:tcPr>
          <w:p>
            <w:pPr>
              <w:pStyle w:val="TableParagraph"/>
              <w:spacing w:line="169" w:lineRule="exact"/>
              <w:ind w:right="172"/>
              <w:jc w:val="right"/>
              <w:rPr>
                <w:sz w:val="15"/>
              </w:rPr>
            </w:pPr>
            <w:r>
              <w:rPr>
                <w:spacing w:val="-10"/>
                <w:sz w:val="15"/>
              </w:rPr>
              <w:t>-</w:t>
            </w:r>
          </w:p>
          <w:p>
            <w:pPr>
              <w:pStyle w:val="TableParagraph"/>
              <w:spacing w:line="153" w:lineRule="exact" w:before="12"/>
              <w:ind w:right="172"/>
              <w:jc w:val="right"/>
              <w:rPr>
                <w:sz w:val="15"/>
              </w:rPr>
            </w:pPr>
            <w:r>
              <w:rPr>
                <w:spacing w:val="-10"/>
                <w:sz w:val="15"/>
              </w:rPr>
              <w:t>-</w:t>
            </w:r>
          </w:p>
        </w:tc>
        <w:tc>
          <w:tcPr>
            <w:tcW w:w="1165" w:type="dxa"/>
            <w:tcBorders>
              <w:top w:val="single" w:sz="6" w:space="0" w:color="000000"/>
              <w:bottom w:val="single" w:sz="6" w:space="0" w:color="000000"/>
            </w:tcBorders>
          </w:tcPr>
          <w:p>
            <w:pPr>
              <w:pStyle w:val="TableParagraph"/>
              <w:spacing w:line="166" w:lineRule="exact"/>
              <w:ind w:right="239"/>
              <w:jc w:val="right"/>
              <w:rPr>
                <w:sz w:val="15"/>
              </w:rPr>
            </w:pPr>
            <w:r>
              <w:rPr>
                <w:spacing w:val="-2"/>
                <w:sz w:val="15"/>
              </w:rPr>
              <w:t>58,031</w:t>
            </w:r>
          </w:p>
          <w:p>
            <w:pPr>
              <w:pStyle w:val="TableParagraph"/>
              <w:spacing w:line="153" w:lineRule="exact" w:before="14"/>
              <w:ind w:right="231"/>
              <w:jc w:val="right"/>
              <w:rPr>
                <w:sz w:val="15"/>
              </w:rPr>
            </w:pPr>
            <w:r>
              <w:rPr>
                <w:spacing w:val="-10"/>
                <w:sz w:val="15"/>
              </w:rPr>
              <w:t>-</w:t>
            </w:r>
          </w:p>
        </w:tc>
        <w:tc>
          <w:tcPr>
            <w:tcW w:w="943" w:type="dxa"/>
            <w:tcBorders>
              <w:top w:val="single" w:sz="6" w:space="0" w:color="000000"/>
              <w:bottom w:val="single" w:sz="6" w:space="0" w:color="000000"/>
            </w:tcBorders>
          </w:tcPr>
          <w:p>
            <w:pPr>
              <w:pStyle w:val="TableParagraph"/>
              <w:spacing w:line="166" w:lineRule="exact"/>
              <w:ind w:right="77"/>
              <w:jc w:val="right"/>
              <w:rPr>
                <w:sz w:val="15"/>
              </w:rPr>
            </w:pPr>
            <w:r>
              <w:rPr>
                <w:spacing w:val="-2"/>
                <w:sz w:val="15"/>
              </w:rPr>
              <w:t>58,031</w:t>
            </w:r>
          </w:p>
          <w:p>
            <w:pPr>
              <w:pStyle w:val="TableParagraph"/>
              <w:spacing w:line="153" w:lineRule="exact" w:before="14"/>
              <w:ind w:right="69"/>
              <w:jc w:val="right"/>
              <w:rPr>
                <w:sz w:val="15"/>
              </w:rPr>
            </w:pPr>
            <w:r>
              <w:rPr>
                <w:spacing w:val="-10"/>
                <w:sz w:val="15"/>
              </w:rPr>
              <w:t>-</w:t>
            </w:r>
          </w:p>
        </w:tc>
      </w:tr>
      <w:tr>
        <w:trPr>
          <w:trHeight w:val="173" w:hRule="atLeast"/>
        </w:trPr>
        <w:tc>
          <w:tcPr>
            <w:tcW w:w="4898" w:type="dxa"/>
            <w:tcBorders>
              <w:bottom w:val="single" w:sz="12" w:space="0" w:color="000000"/>
            </w:tcBorders>
          </w:tcPr>
          <w:p>
            <w:pPr>
              <w:pStyle w:val="TableParagraph"/>
              <w:spacing w:line="153" w:lineRule="exact"/>
              <w:ind w:left="27"/>
              <w:rPr>
                <w:b/>
                <w:sz w:val="15"/>
              </w:rPr>
            </w:pPr>
            <w:r>
              <w:rPr>
                <w:b/>
                <w:sz w:val="15"/>
              </w:rPr>
              <w:t>Balance</w:t>
            </w:r>
            <w:r>
              <w:rPr>
                <w:b/>
                <w:spacing w:val="-7"/>
                <w:sz w:val="15"/>
              </w:rPr>
              <w:t> </w:t>
            </w:r>
            <w:r>
              <w:rPr>
                <w:b/>
                <w:sz w:val="15"/>
              </w:rPr>
              <w:t>at</w:t>
            </w:r>
            <w:r>
              <w:rPr>
                <w:b/>
                <w:spacing w:val="-5"/>
                <w:sz w:val="15"/>
              </w:rPr>
              <w:t> </w:t>
            </w:r>
            <w:r>
              <w:rPr>
                <w:b/>
                <w:sz w:val="15"/>
              </w:rPr>
              <w:t>31</w:t>
            </w:r>
            <w:r>
              <w:rPr>
                <w:b/>
                <w:spacing w:val="-5"/>
                <w:sz w:val="15"/>
              </w:rPr>
              <w:t> </w:t>
            </w:r>
            <w:r>
              <w:rPr>
                <w:b/>
                <w:sz w:val="15"/>
              </w:rPr>
              <w:t>December</w:t>
            </w:r>
            <w:r>
              <w:rPr>
                <w:b/>
                <w:spacing w:val="-4"/>
                <w:sz w:val="15"/>
              </w:rPr>
              <w:t> 2020</w:t>
            </w:r>
          </w:p>
        </w:tc>
        <w:tc>
          <w:tcPr>
            <w:tcW w:w="954" w:type="dxa"/>
            <w:tcBorders>
              <w:bottom w:val="single" w:sz="12" w:space="0" w:color="000000"/>
            </w:tcBorders>
          </w:tcPr>
          <w:p>
            <w:pPr>
              <w:pStyle w:val="TableParagraph"/>
              <w:rPr>
                <w:rFonts w:ascii="Times New Roman"/>
                <w:sz w:val="10"/>
              </w:rPr>
            </w:pPr>
          </w:p>
        </w:tc>
        <w:tc>
          <w:tcPr>
            <w:tcW w:w="1211" w:type="dxa"/>
            <w:tcBorders>
              <w:top w:val="single" w:sz="6" w:space="0" w:color="000000"/>
              <w:bottom w:val="single" w:sz="12" w:space="0" w:color="000000"/>
            </w:tcBorders>
          </w:tcPr>
          <w:p>
            <w:pPr>
              <w:pStyle w:val="TableParagraph"/>
              <w:spacing w:line="153" w:lineRule="exact"/>
              <w:ind w:right="130"/>
              <w:jc w:val="right"/>
              <w:rPr>
                <w:sz w:val="15"/>
              </w:rPr>
            </w:pPr>
            <w:r>
              <w:rPr>
                <w:spacing w:val="-10"/>
                <w:sz w:val="15"/>
              </w:rPr>
              <w:t>-</w:t>
            </w:r>
          </w:p>
        </w:tc>
        <w:tc>
          <w:tcPr>
            <w:tcW w:w="1165" w:type="dxa"/>
            <w:tcBorders>
              <w:top w:val="single" w:sz="6" w:space="0" w:color="000000"/>
              <w:bottom w:val="single" w:sz="12" w:space="0" w:color="000000"/>
            </w:tcBorders>
          </w:tcPr>
          <w:p>
            <w:pPr>
              <w:pStyle w:val="TableParagraph"/>
              <w:spacing w:line="153" w:lineRule="exact"/>
              <w:ind w:right="239"/>
              <w:jc w:val="right"/>
              <w:rPr>
                <w:sz w:val="15"/>
              </w:rPr>
            </w:pPr>
            <w:r>
              <w:rPr>
                <w:spacing w:val="-2"/>
                <w:sz w:val="15"/>
              </w:rPr>
              <w:t>2,049,547</w:t>
            </w:r>
          </w:p>
        </w:tc>
        <w:tc>
          <w:tcPr>
            <w:tcW w:w="943" w:type="dxa"/>
            <w:tcBorders>
              <w:top w:val="single" w:sz="6" w:space="0" w:color="000000"/>
              <w:bottom w:val="single" w:sz="12" w:space="0" w:color="000000"/>
            </w:tcBorders>
          </w:tcPr>
          <w:p>
            <w:pPr>
              <w:pStyle w:val="TableParagraph"/>
              <w:spacing w:line="153" w:lineRule="exact"/>
              <w:ind w:left="192"/>
              <w:rPr>
                <w:sz w:val="15"/>
              </w:rPr>
            </w:pPr>
            <w:r>
              <w:rPr>
                <w:spacing w:val="-2"/>
                <w:sz w:val="15"/>
              </w:rPr>
              <w:t>2,049,547</w:t>
            </w:r>
          </w:p>
        </w:tc>
      </w:tr>
    </w:tbl>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16"/>
        <w:rPr>
          <w:sz w:val="15"/>
        </w:rPr>
      </w:pPr>
    </w:p>
    <w:p>
      <w:pPr>
        <w:spacing w:before="0"/>
        <w:ind w:left="2343" w:right="0" w:firstLine="0"/>
        <w:jc w:val="left"/>
        <w:rPr>
          <w:sz w:val="15"/>
        </w:rPr>
      </w:pPr>
      <w:r>
        <w:rPr/>
        <mc:AlternateContent>
          <mc:Choice Requires="wps">
            <w:drawing>
              <wp:anchor distT="0" distB="0" distL="0" distR="0" allowOverlap="1" layoutInCell="1" locked="0" behindDoc="0" simplePos="0" relativeHeight="15867392">
                <wp:simplePos x="0" y="0"/>
                <wp:positionH relativeFrom="page">
                  <wp:posOffset>7111289</wp:posOffset>
                </wp:positionH>
                <wp:positionV relativeFrom="paragraph">
                  <wp:posOffset>-1956565</wp:posOffset>
                </wp:positionV>
                <wp:extent cx="177800" cy="1945005"/>
                <wp:effectExtent l="0" t="0" r="0" b="0"/>
                <wp:wrapNone/>
                <wp:docPr id="876" name="Textbox 876"/>
                <wp:cNvGraphicFramePr>
                  <a:graphicFrameLocks/>
                </wp:cNvGraphicFramePr>
                <a:graphic>
                  <a:graphicData uri="http://schemas.microsoft.com/office/word/2010/wordprocessingShape">
                    <wps:wsp>
                      <wps:cNvPr id="876" name="Textbox 876"/>
                      <wps:cNvSpPr txBox="1"/>
                      <wps:spPr>
                        <a:xfrm>
                          <a:off x="0" y="0"/>
                          <a:ext cx="177800" cy="194500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154.060303pt;width:14pt;height:153.15pt;mso-position-horizontal-relative:page;mso-position-vertical-relative:paragraph;z-index:15867392" type="#_x0000_t202" id="docshape570"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v:textbox>
                <w10:wrap type="none"/>
              </v:shape>
            </w:pict>
          </mc:Fallback>
        </mc:AlternateContent>
      </w:r>
      <w:r>
        <w:rPr>
          <w:sz w:val="15"/>
        </w:rPr>
        <w:t>The</w:t>
      </w:r>
      <w:r>
        <w:rPr>
          <w:spacing w:val="-3"/>
          <w:sz w:val="15"/>
        </w:rPr>
        <w:t> </w:t>
      </w:r>
      <w:r>
        <w:rPr>
          <w:sz w:val="15"/>
        </w:rPr>
        <w:t>above</w:t>
      </w:r>
      <w:r>
        <w:rPr>
          <w:spacing w:val="-3"/>
          <w:sz w:val="15"/>
        </w:rPr>
        <w:t> </w:t>
      </w:r>
      <w:r>
        <w:rPr>
          <w:sz w:val="15"/>
        </w:rPr>
        <w:t>statement</w:t>
      </w:r>
      <w:r>
        <w:rPr>
          <w:spacing w:val="-4"/>
          <w:sz w:val="15"/>
        </w:rPr>
        <w:t> </w:t>
      </w:r>
      <w:r>
        <w:rPr>
          <w:sz w:val="15"/>
        </w:rPr>
        <w:t>should</w:t>
      </w:r>
      <w:r>
        <w:rPr>
          <w:spacing w:val="-3"/>
          <w:sz w:val="15"/>
        </w:rPr>
        <w:t> </w:t>
      </w:r>
      <w:r>
        <w:rPr>
          <w:sz w:val="15"/>
        </w:rPr>
        <w:t>be</w:t>
      </w:r>
      <w:r>
        <w:rPr>
          <w:spacing w:val="-3"/>
          <w:sz w:val="15"/>
        </w:rPr>
        <w:t> </w:t>
      </w:r>
      <w:r>
        <w:rPr>
          <w:sz w:val="15"/>
        </w:rPr>
        <w:t>read</w:t>
      </w:r>
      <w:r>
        <w:rPr>
          <w:spacing w:val="-3"/>
          <w:sz w:val="15"/>
        </w:rPr>
        <w:t> </w:t>
      </w:r>
      <w:r>
        <w:rPr>
          <w:sz w:val="15"/>
        </w:rPr>
        <w:t>in</w:t>
      </w:r>
      <w:r>
        <w:rPr>
          <w:spacing w:val="-3"/>
          <w:sz w:val="15"/>
        </w:rPr>
        <w:t> </w:t>
      </w:r>
      <w:r>
        <w:rPr>
          <w:sz w:val="15"/>
        </w:rPr>
        <w:t>conjunction</w:t>
      </w:r>
      <w:r>
        <w:rPr>
          <w:spacing w:val="-2"/>
          <w:sz w:val="15"/>
        </w:rPr>
        <w:t> </w:t>
      </w:r>
      <w:r>
        <w:rPr>
          <w:sz w:val="15"/>
        </w:rPr>
        <w:t>with</w:t>
      </w:r>
      <w:r>
        <w:rPr>
          <w:spacing w:val="-3"/>
          <w:sz w:val="15"/>
        </w:rPr>
        <w:t> </w:t>
      </w:r>
      <w:r>
        <w:rPr>
          <w:sz w:val="15"/>
        </w:rPr>
        <w:t>the</w:t>
      </w:r>
      <w:r>
        <w:rPr>
          <w:spacing w:val="-3"/>
          <w:sz w:val="15"/>
        </w:rPr>
        <w:t> </w:t>
      </w:r>
      <w:r>
        <w:rPr>
          <w:sz w:val="15"/>
        </w:rPr>
        <w:t>accompanying</w:t>
      </w:r>
      <w:r>
        <w:rPr>
          <w:spacing w:val="-3"/>
          <w:sz w:val="15"/>
        </w:rPr>
        <w:t> </w:t>
      </w:r>
      <w:r>
        <w:rPr>
          <w:spacing w:val="-2"/>
          <w:sz w:val="15"/>
        </w:rPr>
        <w:t>notes.</w:t>
      </w:r>
    </w:p>
    <w:p>
      <w:pPr>
        <w:spacing w:after="0"/>
        <w:jc w:val="left"/>
        <w:rPr>
          <w:sz w:val="15"/>
        </w:rPr>
        <w:sectPr>
          <w:pgSz w:w="11910" w:h="16840"/>
          <w:pgMar w:header="468" w:footer="0" w:top="720" w:bottom="280" w:left="920" w:right="0"/>
        </w:sectPr>
      </w:pPr>
    </w:p>
    <w:p>
      <w:pPr>
        <w:spacing w:line="240" w:lineRule="auto" w:before="0"/>
        <w:rPr>
          <w:sz w:val="20"/>
        </w:rPr>
      </w:pPr>
    </w:p>
    <w:p>
      <w:pPr>
        <w:spacing w:line="240" w:lineRule="auto" w:before="0"/>
        <w:rPr>
          <w:sz w:val="20"/>
        </w:rPr>
      </w:pPr>
    </w:p>
    <w:p>
      <w:pPr>
        <w:spacing w:line="240" w:lineRule="auto" w:before="163"/>
        <w:rPr>
          <w:sz w:val="20"/>
        </w:rPr>
      </w:pPr>
    </w:p>
    <w:p>
      <w:pPr>
        <w:spacing w:after="0" w:line="240" w:lineRule="auto"/>
        <w:rPr>
          <w:sz w:val="20"/>
        </w:rPr>
        <w:sectPr>
          <w:pgSz w:w="11910" w:h="16840"/>
          <w:pgMar w:header="468" w:footer="0" w:top="720" w:bottom="280" w:left="920" w:right="0"/>
        </w:sectPr>
      </w:pPr>
    </w:p>
    <w:p>
      <w:pPr>
        <w:spacing w:before="93"/>
        <w:ind w:left="250" w:right="0" w:firstLine="0"/>
        <w:jc w:val="left"/>
        <w:rPr>
          <w:sz w:val="21"/>
        </w:rPr>
      </w:pPr>
      <w:r>
        <w:rPr>
          <w:color w:val="0070C0"/>
          <w:sz w:val="21"/>
        </w:rPr>
        <w:t>STATEMENT</w:t>
      </w:r>
      <w:r>
        <w:rPr>
          <w:color w:val="0070C0"/>
          <w:spacing w:val="-9"/>
          <w:sz w:val="21"/>
        </w:rPr>
        <w:t> </w:t>
      </w:r>
      <w:r>
        <w:rPr>
          <w:color w:val="0070C0"/>
          <w:sz w:val="21"/>
        </w:rPr>
        <w:t>OF</w:t>
      </w:r>
      <w:r>
        <w:rPr>
          <w:color w:val="0070C0"/>
          <w:spacing w:val="-11"/>
          <w:sz w:val="21"/>
        </w:rPr>
        <w:t> </w:t>
      </w:r>
      <w:r>
        <w:rPr>
          <w:color w:val="0070C0"/>
          <w:sz w:val="21"/>
        </w:rPr>
        <w:t>CASH</w:t>
      </w:r>
      <w:r>
        <w:rPr>
          <w:color w:val="0070C0"/>
          <w:spacing w:val="-10"/>
          <w:sz w:val="21"/>
        </w:rPr>
        <w:t> </w:t>
      </w:r>
      <w:r>
        <w:rPr>
          <w:color w:val="0070C0"/>
          <w:spacing w:val="-4"/>
          <w:sz w:val="21"/>
        </w:rPr>
        <w:t>FLOWS</w:t>
      </w:r>
    </w:p>
    <w:p>
      <w:pPr>
        <w:spacing w:before="26"/>
        <w:ind w:left="238" w:right="0" w:firstLine="0"/>
        <w:jc w:val="left"/>
        <w:rPr>
          <w:sz w:val="12"/>
        </w:rPr>
      </w:pPr>
      <w:r>
        <w:rPr>
          <w:spacing w:val="-2"/>
          <w:sz w:val="12"/>
        </w:rPr>
        <w:t>for</w:t>
      </w:r>
      <w:r>
        <w:rPr>
          <w:spacing w:val="-3"/>
          <w:sz w:val="12"/>
        </w:rPr>
        <w:t> </w:t>
      </w:r>
      <w:r>
        <w:rPr>
          <w:spacing w:val="-2"/>
          <w:sz w:val="12"/>
        </w:rPr>
        <w:t>the</w:t>
      </w:r>
      <w:r>
        <w:rPr>
          <w:spacing w:val="-1"/>
          <w:sz w:val="12"/>
        </w:rPr>
        <w:t> </w:t>
      </w:r>
      <w:r>
        <w:rPr>
          <w:spacing w:val="-2"/>
          <w:sz w:val="12"/>
        </w:rPr>
        <w:t>year ended</w:t>
      </w:r>
      <w:r>
        <w:rPr>
          <w:spacing w:val="-1"/>
          <w:sz w:val="12"/>
        </w:rPr>
        <w:t> </w:t>
      </w:r>
      <w:r>
        <w:rPr>
          <w:spacing w:val="-2"/>
          <w:sz w:val="12"/>
        </w:rPr>
        <w:t>31</w:t>
      </w:r>
      <w:r>
        <w:rPr>
          <w:spacing w:val="-1"/>
          <w:sz w:val="12"/>
        </w:rPr>
        <w:t> </w:t>
      </w:r>
      <w:r>
        <w:rPr>
          <w:spacing w:val="-2"/>
          <w:sz w:val="12"/>
        </w:rPr>
        <w:t>December </w:t>
      </w:r>
      <w:r>
        <w:rPr>
          <w:spacing w:val="-4"/>
          <w:sz w:val="12"/>
        </w:rPr>
        <w:t>2020</w:t>
      </w:r>
    </w:p>
    <w:p>
      <w:pPr>
        <w:spacing w:line="240" w:lineRule="auto" w:before="0"/>
        <w:rPr>
          <w:sz w:val="15"/>
        </w:rPr>
      </w:pPr>
      <w:r>
        <w:rPr/>
        <w:br w:type="column"/>
      </w:r>
      <w:r>
        <w:rPr>
          <w:sz w:val="15"/>
        </w:rPr>
      </w:r>
    </w:p>
    <w:p>
      <w:pPr>
        <w:spacing w:line="240" w:lineRule="auto" w:before="0"/>
        <w:rPr>
          <w:sz w:val="15"/>
        </w:rPr>
      </w:pPr>
    </w:p>
    <w:p>
      <w:pPr>
        <w:spacing w:line="240" w:lineRule="auto" w:before="158"/>
        <w:rPr>
          <w:sz w:val="15"/>
        </w:rPr>
      </w:pPr>
    </w:p>
    <w:p>
      <w:pPr>
        <w:spacing w:before="1"/>
        <w:ind w:left="238" w:right="0" w:firstLine="0"/>
        <w:jc w:val="left"/>
        <w:rPr>
          <w:b/>
          <w:sz w:val="15"/>
        </w:rPr>
      </w:pPr>
      <w:r>
        <w:rPr>
          <w:b/>
          <w:spacing w:val="-2"/>
          <w:w w:val="105"/>
          <w:sz w:val="15"/>
        </w:rPr>
        <w:t>Consolidated</w:t>
      </w:r>
    </w:p>
    <w:p>
      <w:pPr>
        <w:spacing w:line="240" w:lineRule="auto" w:before="0"/>
        <w:rPr>
          <w:b/>
          <w:sz w:val="15"/>
        </w:rPr>
      </w:pPr>
      <w:r>
        <w:rPr/>
        <w:br w:type="column"/>
      </w:r>
      <w:r>
        <w:rPr>
          <w:b/>
          <w:sz w:val="15"/>
        </w:rPr>
      </w:r>
    </w:p>
    <w:p>
      <w:pPr>
        <w:spacing w:line="240" w:lineRule="auto" w:before="0"/>
        <w:rPr>
          <w:b/>
          <w:sz w:val="15"/>
        </w:rPr>
      </w:pPr>
    </w:p>
    <w:p>
      <w:pPr>
        <w:spacing w:line="240" w:lineRule="auto" w:before="156"/>
        <w:rPr>
          <w:b/>
          <w:sz w:val="15"/>
        </w:rPr>
      </w:pPr>
    </w:p>
    <w:p>
      <w:pPr>
        <w:spacing w:before="0"/>
        <w:ind w:left="238" w:right="0" w:firstLine="0"/>
        <w:jc w:val="left"/>
        <w:rPr>
          <w:b/>
          <w:sz w:val="15"/>
        </w:rPr>
      </w:pPr>
      <w:r>
        <w:rPr>
          <w:b/>
          <w:spacing w:val="-2"/>
          <w:w w:val="105"/>
          <w:sz w:val="15"/>
        </w:rPr>
        <w:t>University</w:t>
      </w:r>
    </w:p>
    <w:p>
      <w:pPr>
        <w:spacing w:after="0"/>
        <w:jc w:val="left"/>
        <w:rPr>
          <w:sz w:val="15"/>
        </w:rPr>
        <w:sectPr>
          <w:type w:val="continuous"/>
          <w:pgSz w:w="11910" w:h="16840"/>
          <w:pgMar w:header="468" w:footer="0" w:top="980" w:bottom="280" w:left="920" w:right="0"/>
          <w:cols w:num="3" w:equalWidth="0">
            <w:col w:w="3362" w:space="2218"/>
            <w:col w:w="1271" w:space="784"/>
            <w:col w:w="3355"/>
          </w:cols>
        </w:sectPr>
      </w:pPr>
    </w:p>
    <w:tbl>
      <w:tblPr>
        <w:tblW w:w="0" w:type="auto"/>
        <w:jc w:val="left"/>
        <w:tblInd w:w="2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584"/>
        <w:gridCol w:w="541"/>
        <w:gridCol w:w="1122"/>
        <w:gridCol w:w="969"/>
        <w:gridCol w:w="969"/>
        <w:gridCol w:w="818"/>
      </w:tblGrid>
      <w:tr>
        <w:trPr>
          <w:trHeight w:val="302" w:hRule="atLeast"/>
        </w:trPr>
        <w:tc>
          <w:tcPr>
            <w:tcW w:w="4584" w:type="dxa"/>
            <w:tcBorders>
              <w:bottom w:val="single" w:sz="6" w:space="0" w:color="000000"/>
            </w:tcBorders>
          </w:tcPr>
          <w:p>
            <w:pPr>
              <w:pStyle w:val="TableParagraph"/>
              <w:rPr>
                <w:rFonts w:ascii="Times New Roman"/>
                <w:sz w:val="12"/>
              </w:rPr>
            </w:pPr>
          </w:p>
        </w:tc>
        <w:tc>
          <w:tcPr>
            <w:tcW w:w="541" w:type="dxa"/>
            <w:tcBorders>
              <w:bottom w:val="single" w:sz="6" w:space="0" w:color="000000"/>
            </w:tcBorders>
          </w:tcPr>
          <w:p>
            <w:pPr>
              <w:pStyle w:val="TableParagraph"/>
              <w:rPr>
                <w:b/>
                <w:sz w:val="13"/>
              </w:rPr>
            </w:pPr>
          </w:p>
          <w:p>
            <w:pPr>
              <w:pStyle w:val="TableParagraph"/>
              <w:spacing w:line="132" w:lineRule="exact" w:before="1"/>
              <w:ind w:left="50"/>
              <w:jc w:val="center"/>
              <w:rPr>
                <w:b/>
                <w:sz w:val="13"/>
              </w:rPr>
            </w:pPr>
            <w:r>
              <w:rPr>
                <w:b/>
                <w:spacing w:val="-2"/>
                <w:sz w:val="13"/>
              </w:rPr>
              <w:t>Notes</w:t>
            </w:r>
          </w:p>
        </w:tc>
        <w:tc>
          <w:tcPr>
            <w:tcW w:w="1122" w:type="dxa"/>
            <w:tcBorders>
              <w:bottom w:val="single" w:sz="6" w:space="0" w:color="000000"/>
            </w:tcBorders>
          </w:tcPr>
          <w:p>
            <w:pPr>
              <w:pStyle w:val="TableParagraph"/>
              <w:spacing w:line="147" w:lineRule="exact"/>
              <w:ind w:left="344"/>
              <w:rPr>
                <w:b/>
                <w:sz w:val="13"/>
              </w:rPr>
            </w:pPr>
            <w:r>
              <w:rPr>
                <w:b/>
                <w:spacing w:val="-4"/>
                <w:sz w:val="13"/>
              </w:rPr>
              <w:t>2020</w:t>
            </w:r>
          </w:p>
          <w:p>
            <w:pPr>
              <w:pStyle w:val="TableParagraph"/>
              <w:spacing w:line="132" w:lineRule="exact" w:before="3"/>
              <w:ind w:left="328"/>
              <w:rPr>
                <w:b/>
                <w:sz w:val="13"/>
              </w:rPr>
            </w:pPr>
            <w:r>
              <w:rPr>
                <w:b/>
                <w:spacing w:val="-2"/>
                <w:sz w:val="13"/>
              </w:rPr>
              <w:t>$'000</w:t>
            </w:r>
          </w:p>
        </w:tc>
        <w:tc>
          <w:tcPr>
            <w:tcW w:w="969" w:type="dxa"/>
            <w:tcBorders>
              <w:bottom w:val="single" w:sz="6" w:space="0" w:color="000000"/>
            </w:tcBorders>
          </w:tcPr>
          <w:p>
            <w:pPr>
              <w:pStyle w:val="TableParagraph"/>
              <w:spacing w:line="147" w:lineRule="exact"/>
              <w:ind w:left="191"/>
              <w:rPr>
                <w:b/>
                <w:sz w:val="13"/>
              </w:rPr>
            </w:pPr>
            <w:r>
              <w:rPr>
                <w:b/>
                <w:spacing w:val="-4"/>
                <w:sz w:val="13"/>
              </w:rPr>
              <w:t>2019</w:t>
            </w:r>
          </w:p>
          <w:p>
            <w:pPr>
              <w:pStyle w:val="TableParagraph"/>
              <w:spacing w:line="132" w:lineRule="exact" w:before="3"/>
              <w:ind w:left="175"/>
              <w:rPr>
                <w:b/>
                <w:sz w:val="13"/>
              </w:rPr>
            </w:pPr>
            <w:r>
              <w:rPr>
                <w:b/>
                <w:spacing w:val="-2"/>
                <w:sz w:val="13"/>
              </w:rPr>
              <w:t>$'000</w:t>
            </w:r>
          </w:p>
        </w:tc>
        <w:tc>
          <w:tcPr>
            <w:tcW w:w="969" w:type="dxa"/>
            <w:tcBorders>
              <w:bottom w:val="single" w:sz="6" w:space="0" w:color="000000"/>
            </w:tcBorders>
          </w:tcPr>
          <w:p>
            <w:pPr>
              <w:pStyle w:val="TableParagraph"/>
              <w:spacing w:line="147" w:lineRule="exact"/>
              <w:ind w:left="191"/>
              <w:rPr>
                <w:b/>
                <w:sz w:val="13"/>
              </w:rPr>
            </w:pPr>
            <w:r>
              <w:rPr>
                <w:b/>
                <w:spacing w:val="-4"/>
                <w:sz w:val="13"/>
              </w:rPr>
              <w:t>2020</w:t>
            </w:r>
          </w:p>
          <w:p>
            <w:pPr>
              <w:pStyle w:val="TableParagraph"/>
              <w:spacing w:line="132" w:lineRule="exact" w:before="3"/>
              <w:ind w:left="175"/>
              <w:rPr>
                <w:b/>
                <w:sz w:val="13"/>
              </w:rPr>
            </w:pPr>
            <w:r>
              <w:rPr>
                <w:b/>
                <w:spacing w:val="-2"/>
                <w:sz w:val="13"/>
              </w:rPr>
              <w:t>$'000</w:t>
            </w:r>
          </w:p>
        </w:tc>
        <w:tc>
          <w:tcPr>
            <w:tcW w:w="818" w:type="dxa"/>
            <w:tcBorders>
              <w:bottom w:val="single" w:sz="6" w:space="0" w:color="000000"/>
            </w:tcBorders>
          </w:tcPr>
          <w:p>
            <w:pPr>
              <w:pStyle w:val="TableParagraph"/>
              <w:spacing w:line="147" w:lineRule="exact"/>
              <w:ind w:left="190"/>
              <w:rPr>
                <w:b/>
                <w:sz w:val="13"/>
              </w:rPr>
            </w:pPr>
            <w:r>
              <w:rPr>
                <w:b/>
                <w:spacing w:val="-4"/>
                <w:sz w:val="13"/>
              </w:rPr>
              <w:t>2019</w:t>
            </w:r>
          </w:p>
          <w:p>
            <w:pPr>
              <w:pStyle w:val="TableParagraph"/>
              <w:spacing w:line="132" w:lineRule="exact" w:before="3"/>
              <w:ind w:left="174"/>
              <w:rPr>
                <w:b/>
                <w:sz w:val="13"/>
              </w:rPr>
            </w:pPr>
            <w:r>
              <w:rPr>
                <w:b/>
                <w:spacing w:val="-2"/>
                <w:sz w:val="13"/>
              </w:rPr>
              <w:t>$'000</w:t>
            </w:r>
          </w:p>
        </w:tc>
      </w:tr>
      <w:tr>
        <w:trPr>
          <w:trHeight w:val="367" w:hRule="atLeast"/>
        </w:trPr>
        <w:tc>
          <w:tcPr>
            <w:tcW w:w="4584" w:type="dxa"/>
            <w:tcBorders>
              <w:top w:val="single" w:sz="6" w:space="0" w:color="000000"/>
            </w:tcBorders>
          </w:tcPr>
          <w:p>
            <w:pPr>
              <w:pStyle w:val="TableParagraph"/>
              <w:spacing w:before="138"/>
              <w:ind w:left="25"/>
              <w:rPr>
                <w:b/>
                <w:sz w:val="13"/>
              </w:rPr>
            </w:pPr>
            <w:r>
              <w:rPr>
                <w:b/>
                <w:sz w:val="13"/>
              </w:rPr>
              <w:t>Cash</w:t>
            </w:r>
            <w:r>
              <w:rPr>
                <w:b/>
                <w:spacing w:val="-1"/>
                <w:sz w:val="13"/>
              </w:rPr>
              <w:t> </w:t>
            </w:r>
            <w:r>
              <w:rPr>
                <w:b/>
                <w:sz w:val="13"/>
              </w:rPr>
              <w:t>flows</w:t>
            </w:r>
            <w:r>
              <w:rPr>
                <w:b/>
                <w:spacing w:val="-1"/>
                <w:sz w:val="13"/>
              </w:rPr>
              <w:t> </w:t>
            </w:r>
            <w:r>
              <w:rPr>
                <w:b/>
                <w:sz w:val="13"/>
              </w:rPr>
              <w:t>from</w:t>
            </w:r>
            <w:r>
              <w:rPr>
                <w:b/>
                <w:spacing w:val="1"/>
                <w:sz w:val="13"/>
              </w:rPr>
              <w:t> </w:t>
            </w:r>
            <w:r>
              <w:rPr>
                <w:b/>
                <w:sz w:val="13"/>
              </w:rPr>
              <w:t>operating</w:t>
            </w:r>
            <w:r>
              <w:rPr>
                <w:b/>
                <w:spacing w:val="-1"/>
                <w:sz w:val="13"/>
              </w:rPr>
              <w:t> </w:t>
            </w:r>
            <w:r>
              <w:rPr>
                <w:b/>
                <w:spacing w:val="-2"/>
                <w:sz w:val="13"/>
              </w:rPr>
              <w:t>activities</w:t>
            </w:r>
          </w:p>
        </w:tc>
        <w:tc>
          <w:tcPr>
            <w:tcW w:w="541" w:type="dxa"/>
            <w:tcBorders>
              <w:top w:val="single" w:sz="6" w:space="0" w:color="000000"/>
            </w:tcBorders>
          </w:tcPr>
          <w:p>
            <w:pPr>
              <w:pStyle w:val="TableParagraph"/>
              <w:rPr>
                <w:rFonts w:ascii="Times New Roman"/>
                <w:sz w:val="12"/>
              </w:rPr>
            </w:pPr>
          </w:p>
        </w:tc>
        <w:tc>
          <w:tcPr>
            <w:tcW w:w="1122" w:type="dxa"/>
            <w:tcBorders>
              <w:top w:val="single" w:sz="6" w:space="0" w:color="000000"/>
            </w:tcBorders>
          </w:tcPr>
          <w:p>
            <w:pPr>
              <w:pStyle w:val="TableParagraph"/>
              <w:rPr>
                <w:rFonts w:ascii="Times New Roman"/>
                <w:sz w:val="12"/>
              </w:rPr>
            </w:pPr>
          </w:p>
        </w:tc>
        <w:tc>
          <w:tcPr>
            <w:tcW w:w="969" w:type="dxa"/>
            <w:tcBorders>
              <w:top w:val="single" w:sz="6" w:space="0" w:color="000000"/>
            </w:tcBorders>
          </w:tcPr>
          <w:p>
            <w:pPr>
              <w:pStyle w:val="TableParagraph"/>
              <w:rPr>
                <w:rFonts w:ascii="Times New Roman"/>
                <w:sz w:val="12"/>
              </w:rPr>
            </w:pPr>
          </w:p>
        </w:tc>
        <w:tc>
          <w:tcPr>
            <w:tcW w:w="969" w:type="dxa"/>
            <w:tcBorders>
              <w:top w:val="single" w:sz="6" w:space="0" w:color="000000"/>
            </w:tcBorders>
          </w:tcPr>
          <w:p>
            <w:pPr>
              <w:pStyle w:val="TableParagraph"/>
              <w:rPr>
                <w:rFonts w:ascii="Times New Roman"/>
                <w:sz w:val="12"/>
              </w:rPr>
            </w:pPr>
          </w:p>
        </w:tc>
        <w:tc>
          <w:tcPr>
            <w:tcW w:w="818" w:type="dxa"/>
            <w:tcBorders>
              <w:top w:val="single" w:sz="6" w:space="0" w:color="000000"/>
            </w:tcBorders>
          </w:tcPr>
          <w:p>
            <w:pPr>
              <w:pStyle w:val="TableParagraph"/>
              <w:rPr>
                <w:rFonts w:ascii="Times New Roman"/>
                <w:sz w:val="12"/>
              </w:rPr>
            </w:pPr>
          </w:p>
        </w:tc>
      </w:tr>
      <w:tr>
        <w:trPr>
          <w:trHeight w:val="229" w:hRule="atLeast"/>
        </w:trPr>
        <w:tc>
          <w:tcPr>
            <w:tcW w:w="4584" w:type="dxa"/>
          </w:tcPr>
          <w:p>
            <w:pPr>
              <w:pStyle w:val="TableParagraph"/>
              <w:spacing w:line="132" w:lineRule="exact" w:before="76"/>
              <w:ind w:left="98"/>
              <w:rPr>
                <w:sz w:val="13"/>
              </w:rPr>
            </w:pPr>
            <w:r>
              <w:rPr>
                <w:sz w:val="13"/>
              </w:rPr>
              <w:t>Australian</w:t>
            </w:r>
            <w:r>
              <w:rPr>
                <w:spacing w:val="-1"/>
                <w:sz w:val="13"/>
              </w:rPr>
              <w:t> </w:t>
            </w:r>
            <w:r>
              <w:rPr>
                <w:sz w:val="13"/>
              </w:rPr>
              <w:t>Government grants </w:t>
            </w:r>
            <w:r>
              <w:rPr>
                <w:spacing w:val="-2"/>
                <w:sz w:val="13"/>
              </w:rPr>
              <w:t>received</w:t>
            </w:r>
          </w:p>
        </w:tc>
        <w:tc>
          <w:tcPr>
            <w:tcW w:w="541" w:type="dxa"/>
          </w:tcPr>
          <w:p>
            <w:pPr>
              <w:pStyle w:val="TableParagraph"/>
              <w:rPr>
                <w:rFonts w:ascii="Times New Roman"/>
                <w:sz w:val="12"/>
              </w:rPr>
            </w:pPr>
          </w:p>
        </w:tc>
        <w:tc>
          <w:tcPr>
            <w:tcW w:w="1122" w:type="dxa"/>
          </w:tcPr>
          <w:p>
            <w:pPr>
              <w:pStyle w:val="TableParagraph"/>
              <w:spacing w:line="132" w:lineRule="exact" w:before="76"/>
              <w:ind w:right="216"/>
              <w:jc w:val="right"/>
              <w:rPr>
                <w:sz w:val="13"/>
              </w:rPr>
            </w:pPr>
            <w:r>
              <w:rPr>
                <w:spacing w:val="-2"/>
                <w:sz w:val="13"/>
              </w:rPr>
              <w:t>522,825</w:t>
            </w:r>
          </w:p>
        </w:tc>
        <w:tc>
          <w:tcPr>
            <w:tcW w:w="969" w:type="dxa"/>
          </w:tcPr>
          <w:p>
            <w:pPr>
              <w:pStyle w:val="TableParagraph"/>
              <w:spacing w:line="132" w:lineRule="exact" w:before="76"/>
              <w:ind w:right="216"/>
              <w:jc w:val="right"/>
              <w:rPr>
                <w:sz w:val="13"/>
              </w:rPr>
            </w:pPr>
            <w:r>
              <w:rPr>
                <w:spacing w:val="-2"/>
                <w:sz w:val="13"/>
              </w:rPr>
              <w:t>507,189</w:t>
            </w:r>
          </w:p>
        </w:tc>
        <w:tc>
          <w:tcPr>
            <w:tcW w:w="969" w:type="dxa"/>
          </w:tcPr>
          <w:p>
            <w:pPr>
              <w:pStyle w:val="TableParagraph"/>
              <w:spacing w:line="132" w:lineRule="exact" w:before="76"/>
              <w:ind w:right="217"/>
              <w:jc w:val="right"/>
              <w:rPr>
                <w:sz w:val="13"/>
              </w:rPr>
            </w:pPr>
            <w:r>
              <w:rPr>
                <w:spacing w:val="-2"/>
                <w:sz w:val="13"/>
              </w:rPr>
              <w:t>513,190</w:t>
            </w:r>
          </w:p>
        </w:tc>
        <w:tc>
          <w:tcPr>
            <w:tcW w:w="818" w:type="dxa"/>
          </w:tcPr>
          <w:p>
            <w:pPr>
              <w:pStyle w:val="TableParagraph"/>
              <w:spacing w:line="132" w:lineRule="exact" w:before="76"/>
              <w:ind w:right="66"/>
              <w:jc w:val="right"/>
              <w:rPr>
                <w:sz w:val="13"/>
              </w:rPr>
            </w:pPr>
            <w:r>
              <w:rPr>
                <w:spacing w:val="-2"/>
                <w:sz w:val="13"/>
              </w:rPr>
              <w:t>502,789</w:t>
            </w:r>
          </w:p>
        </w:tc>
      </w:tr>
      <w:tr>
        <w:trPr>
          <w:trHeight w:val="152" w:hRule="atLeast"/>
        </w:trPr>
        <w:tc>
          <w:tcPr>
            <w:tcW w:w="4584" w:type="dxa"/>
          </w:tcPr>
          <w:p>
            <w:pPr>
              <w:pStyle w:val="TableParagraph"/>
              <w:spacing w:line="132" w:lineRule="exact"/>
              <w:ind w:left="98"/>
              <w:rPr>
                <w:sz w:val="13"/>
              </w:rPr>
            </w:pPr>
            <w:r>
              <w:rPr>
                <w:sz w:val="13"/>
              </w:rPr>
              <w:t>OS-HELP</w:t>
            </w:r>
            <w:r>
              <w:rPr>
                <w:spacing w:val="3"/>
                <w:sz w:val="13"/>
              </w:rPr>
              <w:t> </w:t>
            </w:r>
            <w:r>
              <w:rPr>
                <w:spacing w:val="-2"/>
                <w:sz w:val="13"/>
              </w:rPr>
              <w:t>(net)</w:t>
            </w:r>
          </w:p>
        </w:tc>
        <w:tc>
          <w:tcPr>
            <w:tcW w:w="541" w:type="dxa"/>
          </w:tcPr>
          <w:p>
            <w:pPr>
              <w:pStyle w:val="TableParagraph"/>
              <w:rPr>
                <w:rFonts w:ascii="Times New Roman"/>
                <w:sz w:val="8"/>
              </w:rPr>
            </w:pPr>
          </w:p>
        </w:tc>
        <w:tc>
          <w:tcPr>
            <w:tcW w:w="1122" w:type="dxa"/>
          </w:tcPr>
          <w:p>
            <w:pPr>
              <w:pStyle w:val="TableParagraph"/>
              <w:spacing w:line="132" w:lineRule="exact"/>
              <w:ind w:right="216"/>
              <w:jc w:val="right"/>
              <w:rPr>
                <w:sz w:val="13"/>
              </w:rPr>
            </w:pPr>
            <w:r>
              <w:rPr>
                <w:spacing w:val="-2"/>
                <w:sz w:val="13"/>
              </w:rPr>
              <w:t>3,007</w:t>
            </w:r>
          </w:p>
        </w:tc>
        <w:tc>
          <w:tcPr>
            <w:tcW w:w="969" w:type="dxa"/>
          </w:tcPr>
          <w:p>
            <w:pPr>
              <w:pStyle w:val="TableParagraph"/>
              <w:spacing w:line="132" w:lineRule="exact"/>
              <w:ind w:right="173"/>
              <w:jc w:val="right"/>
              <w:rPr>
                <w:sz w:val="13"/>
              </w:rPr>
            </w:pPr>
            <w:r>
              <w:rPr>
                <w:spacing w:val="-2"/>
                <w:sz w:val="13"/>
              </w:rPr>
              <w:t>(1,055)</w:t>
            </w:r>
          </w:p>
        </w:tc>
        <w:tc>
          <w:tcPr>
            <w:tcW w:w="969" w:type="dxa"/>
          </w:tcPr>
          <w:p>
            <w:pPr>
              <w:pStyle w:val="TableParagraph"/>
              <w:spacing w:line="132" w:lineRule="exact"/>
              <w:ind w:right="217"/>
              <w:jc w:val="right"/>
              <w:rPr>
                <w:sz w:val="13"/>
              </w:rPr>
            </w:pPr>
            <w:r>
              <w:rPr>
                <w:spacing w:val="-2"/>
                <w:sz w:val="13"/>
              </w:rPr>
              <w:t>3,007</w:t>
            </w:r>
          </w:p>
        </w:tc>
        <w:tc>
          <w:tcPr>
            <w:tcW w:w="818" w:type="dxa"/>
          </w:tcPr>
          <w:p>
            <w:pPr>
              <w:pStyle w:val="TableParagraph"/>
              <w:spacing w:line="132" w:lineRule="exact"/>
              <w:ind w:right="23"/>
              <w:jc w:val="right"/>
              <w:rPr>
                <w:sz w:val="13"/>
              </w:rPr>
            </w:pPr>
            <w:r>
              <w:rPr>
                <w:spacing w:val="-2"/>
                <w:sz w:val="13"/>
              </w:rPr>
              <w:t>(1,055)</w:t>
            </w:r>
          </w:p>
        </w:tc>
      </w:tr>
      <w:tr>
        <w:trPr>
          <w:trHeight w:val="152" w:hRule="atLeast"/>
        </w:trPr>
        <w:tc>
          <w:tcPr>
            <w:tcW w:w="4584" w:type="dxa"/>
          </w:tcPr>
          <w:p>
            <w:pPr>
              <w:pStyle w:val="TableParagraph"/>
              <w:spacing w:line="132" w:lineRule="exact"/>
              <w:ind w:left="98"/>
              <w:rPr>
                <w:sz w:val="13"/>
              </w:rPr>
            </w:pPr>
            <w:r>
              <w:rPr>
                <w:sz w:val="13"/>
              </w:rPr>
              <w:t>Western</w:t>
            </w:r>
            <w:r>
              <w:rPr>
                <w:spacing w:val="1"/>
                <w:sz w:val="13"/>
              </w:rPr>
              <w:t> </w:t>
            </w:r>
            <w:r>
              <w:rPr>
                <w:sz w:val="13"/>
              </w:rPr>
              <w:t>Australian</w:t>
            </w:r>
            <w:r>
              <w:rPr>
                <w:spacing w:val="1"/>
                <w:sz w:val="13"/>
              </w:rPr>
              <w:t> </w:t>
            </w:r>
            <w:r>
              <w:rPr>
                <w:sz w:val="13"/>
              </w:rPr>
              <w:t>Government</w:t>
            </w:r>
            <w:r>
              <w:rPr>
                <w:spacing w:val="2"/>
                <w:sz w:val="13"/>
              </w:rPr>
              <w:t> </w:t>
            </w:r>
            <w:r>
              <w:rPr>
                <w:sz w:val="13"/>
              </w:rPr>
              <w:t>grants</w:t>
            </w:r>
            <w:r>
              <w:rPr>
                <w:spacing w:val="2"/>
                <w:sz w:val="13"/>
              </w:rPr>
              <w:t> </w:t>
            </w:r>
            <w:r>
              <w:rPr>
                <w:spacing w:val="-2"/>
                <w:sz w:val="13"/>
              </w:rPr>
              <w:t>received</w:t>
            </w:r>
          </w:p>
        </w:tc>
        <w:tc>
          <w:tcPr>
            <w:tcW w:w="541" w:type="dxa"/>
          </w:tcPr>
          <w:p>
            <w:pPr>
              <w:pStyle w:val="TableParagraph"/>
              <w:rPr>
                <w:rFonts w:ascii="Times New Roman"/>
                <w:sz w:val="8"/>
              </w:rPr>
            </w:pPr>
          </w:p>
        </w:tc>
        <w:tc>
          <w:tcPr>
            <w:tcW w:w="1122" w:type="dxa"/>
          </w:tcPr>
          <w:p>
            <w:pPr>
              <w:pStyle w:val="TableParagraph"/>
              <w:spacing w:line="132" w:lineRule="exact"/>
              <w:ind w:right="216"/>
              <w:jc w:val="right"/>
              <w:rPr>
                <w:sz w:val="13"/>
              </w:rPr>
            </w:pPr>
            <w:r>
              <w:rPr>
                <w:spacing w:val="-2"/>
                <w:sz w:val="13"/>
              </w:rPr>
              <w:t>54,728</w:t>
            </w:r>
          </w:p>
        </w:tc>
        <w:tc>
          <w:tcPr>
            <w:tcW w:w="969" w:type="dxa"/>
          </w:tcPr>
          <w:p>
            <w:pPr>
              <w:pStyle w:val="TableParagraph"/>
              <w:spacing w:line="132" w:lineRule="exact"/>
              <w:ind w:right="216"/>
              <w:jc w:val="right"/>
              <w:rPr>
                <w:sz w:val="13"/>
              </w:rPr>
            </w:pPr>
            <w:r>
              <w:rPr>
                <w:spacing w:val="-2"/>
                <w:sz w:val="13"/>
              </w:rPr>
              <w:t>44,768</w:t>
            </w:r>
          </w:p>
        </w:tc>
        <w:tc>
          <w:tcPr>
            <w:tcW w:w="969" w:type="dxa"/>
          </w:tcPr>
          <w:p>
            <w:pPr>
              <w:pStyle w:val="TableParagraph"/>
              <w:spacing w:line="132" w:lineRule="exact"/>
              <w:ind w:right="217"/>
              <w:jc w:val="right"/>
              <w:rPr>
                <w:sz w:val="13"/>
              </w:rPr>
            </w:pPr>
            <w:r>
              <w:rPr>
                <w:spacing w:val="-2"/>
                <w:sz w:val="13"/>
              </w:rPr>
              <w:t>49,315</w:t>
            </w:r>
          </w:p>
        </w:tc>
        <w:tc>
          <w:tcPr>
            <w:tcW w:w="818" w:type="dxa"/>
          </w:tcPr>
          <w:p>
            <w:pPr>
              <w:pStyle w:val="TableParagraph"/>
              <w:spacing w:line="132" w:lineRule="exact"/>
              <w:ind w:right="66"/>
              <w:jc w:val="right"/>
              <w:rPr>
                <w:sz w:val="13"/>
              </w:rPr>
            </w:pPr>
            <w:r>
              <w:rPr>
                <w:spacing w:val="-2"/>
                <w:sz w:val="13"/>
              </w:rPr>
              <w:t>36,301</w:t>
            </w:r>
          </w:p>
        </w:tc>
      </w:tr>
      <w:tr>
        <w:trPr>
          <w:trHeight w:val="152" w:hRule="atLeast"/>
        </w:trPr>
        <w:tc>
          <w:tcPr>
            <w:tcW w:w="4584" w:type="dxa"/>
          </w:tcPr>
          <w:p>
            <w:pPr>
              <w:pStyle w:val="TableParagraph"/>
              <w:spacing w:line="132" w:lineRule="exact"/>
              <w:ind w:left="98"/>
              <w:rPr>
                <w:sz w:val="13"/>
              </w:rPr>
            </w:pPr>
            <w:r>
              <w:rPr>
                <w:sz w:val="13"/>
              </w:rPr>
              <w:t>Local</w:t>
            </w:r>
            <w:r>
              <w:rPr>
                <w:spacing w:val="-1"/>
                <w:sz w:val="13"/>
              </w:rPr>
              <w:t> </w:t>
            </w:r>
            <w:r>
              <w:rPr>
                <w:sz w:val="13"/>
              </w:rPr>
              <w:t>Government grants </w:t>
            </w:r>
            <w:r>
              <w:rPr>
                <w:spacing w:val="-2"/>
                <w:sz w:val="13"/>
              </w:rPr>
              <w:t>received</w:t>
            </w:r>
          </w:p>
        </w:tc>
        <w:tc>
          <w:tcPr>
            <w:tcW w:w="541" w:type="dxa"/>
          </w:tcPr>
          <w:p>
            <w:pPr>
              <w:pStyle w:val="TableParagraph"/>
              <w:rPr>
                <w:rFonts w:ascii="Times New Roman"/>
                <w:sz w:val="8"/>
              </w:rPr>
            </w:pPr>
          </w:p>
        </w:tc>
        <w:tc>
          <w:tcPr>
            <w:tcW w:w="1122" w:type="dxa"/>
          </w:tcPr>
          <w:p>
            <w:pPr>
              <w:pStyle w:val="TableParagraph"/>
              <w:spacing w:line="132" w:lineRule="exact"/>
              <w:ind w:right="216"/>
              <w:jc w:val="right"/>
              <w:rPr>
                <w:sz w:val="13"/>
              </w:rPr>
            </w:pPr>
            <w:r>
              <w:rPr>
                <w:spacing w:val="-5"/>
                <w:sz w:val="13"/>
              </w:rPr>
              <w:t>10</w:t>
            </w:r>
          </w:p>
        </w:tc>
        <w:tc>
          <w:tcPr>
            <w:tcW w:w="969" w:type="dxa"/>
          </w:tcPr>
          <w:p>
            <w:pPr>
              <w:pStyle w:val="TableParagraph"/>
              <w:spacing w:line="132" w:lineRule="exact"/>
              <w:ind w:right="217"/>
              <w:jc w:val="right"/>
              <w:rPr>
                <w:sz w:val="13"/>
              </w:rPr>
            </w:pPr>
            <w:r>
              <w:rPr>
                <w:spacing w:val="-5"/>
                <w:sz w:val="13"/>
              </w:rPr>
              <w:t>150</w:t>
            </w:r>
          </w:p>
        </w:tc>
        <w:tc>
          <w:tcPr>
            <w:tcW w:w="969" w:type="dxa"/>
          </w:tcPr>
          <w:p>
            <w:pPr>
              <w:pStyle w:val="TableParagraph"/>
              <w:spacing w:line="132" w:lineRule="exact"/>
              <w:ind w:right="217"/>
              <w:jc w:val="right"/>
              <w:rPr>
                <w:sz w:val="13"/>
              </w:rPr>
            </w:pPr>
            <w:r>
              <w:rPr>
                <w:spacing w:val="-5"/>
                <w:sz w:val="13"/>
              </w:rPr>
              <w:t>10</w:t>
            </w:r>
          </w:p>
        </w:tc>
        <w:tc>
          <w:tcPr>
            <w:tcW w:w="818" w:type="dxa"/>
          </w:tcPr>
          <w:p>
            <w:pPr>
              <w:pStyle w:val="TableParagraph"/>
              <w:spacing w:line="132" w:lineRule="exact"/>
              <w:ind w:right="66"/>
              <w:jc w:val="right"/>
              <w:rPr>
                <w:sz w:val="13"/>
              </w:rPr>
            </w:pPr>
            <w:r>
              <w:rPr>
                <w:spacing w:val="-5"/>
                <w:sz w:val="13"/>
              </w:rPr>
              <w:t>150</w:t>
            </w:r>
          </w:p>
        </w:tc>
      </w:tr>
      <w:tr>
        <w:trPr>
          <w:trHeight w:val="152" w:hRule="atLeast"/>
        </w:trPr>
        <w:tc>
          <w:tcPr>
            <w:tcW w:w="4584" w:type="dxa"/>
          </w:tcPr>
          <w:p>
            <w:pPr>
              <w:pStyle w:val="TableParagraph"/>
              <w:spacing w:line="132" w:lineRule="exact"/>
              <w:ind w:left="98"/>
              <w:rPr>
                <w:sz w:val="13"/>
              </w:rPr>
            </w:pPr>
            <w:r>
              <w:rPr>
                <w:sz w:val="13"/>
              </w:rPr>
              <w:t>HECS-HELP</w:t>
            </w:r>
            <w:r>
              <w:rPr>
                <w:spacing w:val="2"/>
                <w:sz w:val="13"/>
              </w:rPr>
              <w:t> </w:t>
            </w:r>
            <w:r>
              <w:rPr>
                <w:sz w:val="13"/>
              </w:rPr>
              <w:t>-</w:t>
            </w:r>
            <w:r>
              <w:rPr>
                <w:spacing w:val="1"/>
                <w:sz w:val="13"/>
              </w:rPr>
              <w:t> </w:t>
            </w:r>
            <w:r>
              <w:rPr>
                <w:sz w:val="13"/>
              </w:rPr>
              <w:t>student</w:t>
            </w:r>
            <w:r>
              <w:rPr>
                <w:spacing w:val="2"/>
                <w:sz w:val="13"/>
              </w:rPr>
              <w:t> </w:t>
            </w:r>
            <w:r>
              <w:rPr>
                <w:spacing w:val="-2"/>
                <w:sz w:val="13"/>
              </w:rPr>
              <w:t>payments</w:t>
            </w:r>
          </w:p>
        </w:tc>
        <w:tc>
          <w:tcPr>
            <w:tcW w:w="541" w:type="dxa"/>
          </w:tcPr>
          <w:p>
            <w:pPr>
              <w:pStyle w:val="TableParagraph"/>
              <w:rPr>
                <w:rFonts w:ascii="Times New Roman"/>
                <w:sz w:val="8"/>
              </w:rPr>
            </w:pPr>
          </w:p>
        </w:tc>
        <w:tc>
          <w:tcPr>
            <w:tcW w:w="1122" w:type="dxa"/>
          </w:tcPr>
          <w:p>
            <w:pPr>
              <w:pStyle w:val="TableParagraph"/>
              <w:spacing w:line="132" w:lineRule="exact"/>
              <w:ind w:right="216"/>
              <w:jc w:val="right"/>
              <w:rPr>
                <w:sz w:val="13"/>
              </w:rPr>
            </w:pPr>
            <w:r>
              <w:rPr>
                <w:spacing w:val="-2"/>
                <w:sz w:val="13"/>
              </w:rPr>
              <w:t>13,329</w:t>
            </w:r>
          </w:p>
        </w:tc>
        <w:tc>
          <w:tcPr>
            <w:tcW w:w="969" w:type="dxa"/>
          </w:tcPr>
          <w:p>
            <w:pPr>
              <w:pStyle w:val="TableParagraph"/>
              <w:spacing w:line="132" w:lineRule="exact"/>
              <w:ind w:right="216"/>
              <w:jc w:val="right"/>
              <w:rPr>
                <w:sz w:val="13"/>
              </w:rPr>
            </w:pPr>
            <w:r>
              <w:rPr>
                <w:spacing w:val="-2"/>
                <w:sz w:val="13"/>
              </w:rPr>
              <w:t>14,078</w:t>
            </w:r>
          </w:p>
        </w:tc>
        <w:tc>
          <w:tcPr>
            <w:tcW w:w="969" w:type="dxa"/>
          </w:tcPr>
          <w:p>
            <w:pPr>
              <w:pStyle w:val="TableParagraph"/>
              <w:spacing w:line="132" w:lineRule="exact"/>
              <w:ind w:right="217"/>
              <w:jc w:val="right"/>
              <w:rPr>
                <w:sz w:val="13"/>
              </w:rPr>
            </w:pPr>
            <w:r>
              <w:rPr>
                <w:spacing w:val="-2"/>
                <w:sz w:val="13"/>
              </w:rPr>
              <w:t>13,329</w:t>
            </w:r>
          </w:p>
        </w:tc>
        <w:tc>
          <w:tcPr>
            <w:tcW w:w="818" w:type="dxa"/>
          </w:tcPr>
          <w:p>
            <w:pPr>
              <w:pStyle w:val="TableParagraph"/>
              <w:spacing w:line="132" w:lineRule="exact"/>
              <w:ind w:right="66"/>
              <w:jc w:val="right"/>
              <w:rPr>
                <w:sz w:val="13"/>
              </w:rPr>
            </w:pPr>
            <w:r>
              <w:rPr>
                <w:spacing w:val="-2"/>
                <w:sz w:val="13"/>
              </w:rPr>
              <w:t>14,078</w:t>
            </w:r>
          </w:p>
        </w:tc>
      </w:tr>
      <w:tr>
        <w:trPr>
          <w:trHeight w:val="152" w:hRule="atLeast"/>
        </w:trPr>
        <w:tc>
          <w:tcPr>
            <w:tcW w:w="4584" w:type="dxa"/>
          </w:tcPr>
          <w:p>
            <w:pPr>
              <w:pStyle w:val="TableParagraph"/>
              <w:spacing w:line="132" w:lineRule="exact"/>
              <w:ind w:left="98"/>
              <w:rPr>
                <w:sz w:val="13"/>
              </w:rPr>
            </w:pPr>
            <w:r>
              <w:rPr>
                <w:sz w:val="13"/>
              </w:rPr>
              <w:t>Receipts</w:t>
            </w:r>
            <w:r>
              <w:rPr>
                <w:spacing w:val="-1"/>
                <w:sz w:val="13"/>
              </w:rPr>
              <w:t> </w:t>
            </w:r>
            <w:r>
              <w:rPr>
                <w:sz w:val="13"/>
              </w:rPr>
              <w:t>from</w:t>
            </w:r>
            <w:r>
              <w:rPr>
                <w:spacing w:val="1"/>
                <w:sz w:val="13"/>
              </w:rPr>
              <w:t> </w:t>
            </w:r>
            <w:r>
              <w:rPr>
                <w:sz w:val="13"/>
              </w:rPr>
              <w:t>student</w:t>
            </w:r>
            <w:r>
              <w:rPr>
                <w:spacing w:val="-1"/>
                <w:sz w:val="13"/>
              </w:rPr>
              <w:t> </w:t>
            </w:r>
            <w:r>
              <w:rPr>
                <w:sz w:val="13"/>
              </w:rPr>
              <w:t>fees and</w:t>
            </w:r>
            <w:r>
              <w:rPr>
                <w:spacing w:val="-2"/>
                <w:sz w:val="13"/>
              </w:rPr>
              <w:t> </w:t>
            </w:r>
            <w:r>
              <w:rPr>
                <w:sz w:val="13"/>
              </w:rPr>
              <w:t>other</w:t>
            </w:r>
            <w:r>
              <w:rPr>
                <w:spacing w:val="-1"/>
                <w:sz w:val="13"/>
              </w:rPr>
              <w:t> </w:t>
            </w:r>
            <w:r>
              <w:rPr>
                <w:spacing w:val="-2"/>
                <w:sz w:val="13"/>
              </w:rPr>
              <w:t>customers</w:t>
            </w:r>
          </w:p>
        </w:tc>
        <w:tc>
          <w:tcPr>
            <w:tcW w:w="541" w:type="dxa"/>
          </w:tcPr>
          <w:p>
            <w:pPr>
              <w:pStyle w:val="TableParagraph"/>
              <w:rPr>
                <w:rFonts w:ascii="Times New Roman"/>
                <w:sz w:val="8"/>
              </w:rPr>
            </w:pPr>
          </w:p>
        </w:tc>
        <w:tc>
          <w:tcPr>
            <w:tcW w:w="1122" w:type="dxa"/>
          </w:tcPr>
          <w:p>
            <w:pPr>
              <w:pStyle w:val="TableParagraph"/>
              <w:spacing w:line="132" w:lineRule="exact"/>
              <w:ind w:right="216"/>
              <w:jc w:val="right"/>
              <w:rPr>
                <w:sz w:val="13"/>
              </w:rPr>
            </w:pPr>
            <w:r>
              <w:rPr>
                <w:spacing w:val="-2"/>
                <w:sz w:val="13"/>
              </w:rPr>
              <w:t>403,089</w:t>
            </w:r>
          </w:p>
        </w:tc>
        <w:tc>
          <w:tcPr>
            <w:tcW w:w="969" w:type="dxa"/>
          </w:tcPr>
          <w:p>
            <w:pPr>
              <w:pStyle w:val="TableParagraph"/>
              <w:spacing w:line="132" w:lineRule="exact"/>
              <w:ind w:right="216"/>
              <w:jc w:val="right"/>
              <w:rPr>
                <w:sz w:val="13"/>
              </w:rPr>
            </w:pPr>
            <w:r>
              <w:rPr>
                <w:spacing w:val="-2"/>
                <w:sz w:val="13"/>
              </w:rPr>
              <w:t>386,311</w:t>
            </w:r>
          </w:p>
        </w:tc>
        <w:tc>
          <w:tcPr>
            <w:tcW w:w="969" w:type="dxa"/>
          </w:tcPr>
          <w:p>
            <w:pPr>
              <w:pStyle w:val="TableParagraph"/>
              <w:spacing w:line="132" w:lineRule="exact"/>
              <w:ind w:right="217"/>
              <w:jc w:val="right"/>
              <w:rPr>
                <w:sz w:val="13"/>
              </w:rPr>
            </w:pPr>
            <w:r>
              <w:rPr>
                <w:spacing w:val="-2"/>
                <w:sz w:val="13"/>
              </w:rPr>
              <w:t>393,885</w:t>
            </w:r>
          </w:p>
        </w:tc>
        <w:tc>
          <w:tcPr>
            <w:tcW w:w="818" w:type="dxa"/>
          </w:tcPr>
          <w:p>
            <w:pPr>
              <w:pStyle w:val="TableParagraph"/>
              <w:spacing w:line="132" w:lineRule="exact"/>
              <w:ind w:right="66"/>
              <w:jc w:val="right"/>
              <w:rPr>
                <w:sz w:val="13"/>
              </w:rPr>
            </w:pPr>
            <w:r>
              <w:rPr>
                <w:spacing w:val="-2"/>
                <w:sz w:val="13"/>
              </w:rPr>
              <w:t>375,466</w:t>
            </w:r>
          </w:p>
        </w:tc>
      </w:tr>
      <w:tr>
        <w:trPr>
          <w:trHeight w:val="152" w:hRule="atLeast"/>
        </w:trPr>
        <w:tc>
          <w:tcPr>
            <w:tcW w:w="4584" w:type="dxa"/>
          </w:tcPr>
          <w:p>
            <w:pPr>
              <w:pStyle w:val="TableParagraph"/>
              <w:spacing w:line="132" w:lineRule="exact"/>
              <w:ind w:left="98"/>
              <w:rPr>
                <w:sz w:val="13"/>
              </w:rPr>
            </w:pPr>
            <w:r>
              <w:rPr>
                <w:sz w:val="13"/>
              </w:rPr>
              <w:t>Dividends</w:t>
            </w:r>
            <w:r>
              <w:rPr>
                <w:spacing w:val="1"/>
                <w:sz w:val="13"/>
              </w:rPr>
              <w:t> </w:t>
            </w:r>
            <w:r>
              <w:rPr>
                <w:spacing w:val="-2"/>
                <w:sz w:val="13"/>
              </w:rPr>
              <w:t>received</w:t>
            </w:r>
          </w:p>
        </w:tc>
        <w:tc>
          <w:tcPr>
            <w:tcW w:w="541" w:type="dxa"/>
          </w:tcPr>
          <w:p>
            <w:pPr>
              <w:pStyle w:val="TableParagraph"/>
              <w:rPr>
                <w:rFonts w:ascii="Times New Roman"/>
                <w:sz w:val="8"/>
              </w:rPr>
            </w:pPr>
          </w:p>
        </w:tc>
        <w:tc>
          <w:tcPr>
            <w:tcW w:w="1122" w:type="dxa"/>
          </w:tcPr>
          <w:p>
            <w:pPr>
              <w:pStyle w:val="TableParagraph"/>
              <w:spacing w:line="132" w:lineRule="exact"/>
              <w:ind w:right="216"/>
              <w:jc w:val="right"/>
              <w:rPr>
                <w:sz w:val="13"/>
              </w:rPr>
            </w:pPr>
            <w:r>
              <w:rPr>
                <w:spacing w:val="-2"/>
                <w:sz w:val="13"/>
              </w:rPr>
              <w:t>3,994</w:t>
            </w:r>
          </w:p>
        </w:tc>
        <w:tc>
          <w:tcPr>
            <w:tcW w:w="969" w:type="dxa"/>
          </w:tcPr>
          <w:p>
            <w:pPr>
              <w:pStyle w:val="TableParagraph"/>
              <w:spacing w:line="132" w:lineRule="exact"/>
              <w:ind w:right="216"/>
              <w:jc w:val="right"/>
              <w:rPr>
                <w:sz w:val="13"/>
              </w:rPr>
            </w:pPr>
            <w:r>
              <w:rPr>
                <w:spacing w:val="-2"/>
                <w:sz w:val="13"/>
              </w:rPr>
              <w:t>2,023</w:t>
            </w:r>
          </w:p>
        </w:tc>
        <w:tc>
          <w:tcPr>
            <w:tcW w:w="969" w:type="dxa"/>
          </w:tcPr>
          <w:p>
            <w:pPr>
              <w:pStyle w:val="TableParagraph"/>
              <w:spacing w:line="132" w:lineRule="exact"/>
              <w:ind w:right="217"/>
              <w:jc w:val="right"/>
              <w:rPr>
                <w:sz w:val="13"/>
              </w:rPr>
            </w:pPr>
            <w:r>
              <w:rPr>
                <w:spacing w:val="-2"/>
                <w:sz w:val="13"/>
              </w:rPr>
              <w:t>3,994</w:t>
            </w:r>
          </w:p>
        </w:tc>
        <w:tc>
          <w:tcPr>
            <w:tcW w:w="818" w:type="dxa"/>
          </w:tcPr>
          <w:p>
            <w:pPr>
              <w:pStyle w:val="TableParagraph"/>
              <w:spacing w:line="132" w:lineRule="exact"/>
              <w:ind w:right="66"/>
              <w:jc w:val="right"/>
              <w:rPr>
                <w:sz w:val="13"/>
              </w:rPr>
            </w:pPr>
            <w:r>
              <w:rPr>
                <w:spacing w:val="-2"/>
                <w:sz w:val="13"/>
              </w:rPr>
              <w:t>2,023</w:t>
            </w:r>
          </w:p>
        </w:tc>
      </w:tr>
      <w:tr>
        <w:trPr>
          <w:trHeight w:val="152" w:hRule="atLeast"/>
        </w:trPr>
        <w:tc>
          <w:tcPr>
            <w:tcW w:w="4584" w:type="dxa"/>
          </w:tcPr>
          <w:p>
            <w:pPr>
              <w:pStyle w:val="TableParagraph"/>
              <w:spacing w:line="132" w:lineRule="exact"/>
              <w:ind w:left="98"/>
              <w:rPr>
                <w:sz w:val="13"/>
              </w:rPr>
            </w:pPr>
            <w:r>
              <w:rPr>
                <w:sz w:val="13"/>
              </w:rPr>
              <w:t>Interest</w:t>
            </w:r>
            <w:r>
              <w:rPr>
                <w:spacing w:val="-4"/>
                <w:sz w:val="13"/>
              </w:rPr>
              <w:t> </w:t>
            </w:r>
            <w:r>
              <w:rPr>
                <w:spacing w:val="-2"/>
                <w:sz w:val="13"/>
              </w:rPr>
              <w:t>received</w:t>
            </w:r>
          </w:p>
        </w:tc>
        <w:tc>
          <w:tcPr>
            <w:tcW w:w="541" w:type="dxa"/>
          </w:tcPr>
          <w:p>
            <w:pPr>
              <w:pStyle w:val="TableParagraph"/>
              <w:rPr>
                <w:rFonts w:ascii="Times New Roman"/>
                <w:sz w:val="8"/>
              </w:rPr>
            </w:pPr>
          </w:p>
        </w:tc>
        <w:tc>
          <w:tcPr>
            <w:tcW w:w="1122" w:type="dxa"/>
          </w:tcPr>
          <w:p>
            <w:pPr>
              <w:pStyle w:val="TableParagraph"/>
              <w:spacing w:line="132" w:lineRule="exact"/>
              <w:ind w:right="216"/>
              <w:jc w:val="right"/>
              <w:rPr>
                <w:sz w:val="13"/>
              </w:rPr>
            </w:pPr>
            <w:r>
              <w:rPr>
                <w:spacing w:val="-2"/>
                <w:sz w:val="13"/>
              </w:rPr>
              <w:t>1,172</w:t>
            </w:r>
          </w:p>
        </w:tc>
        <w:tc>
          <w:tcPr>
            <w:tcW w:w="969" w:type="dxa"/>
          </w:tcPr>
          <w:p>
            <w:pPr>
              <w:pStyle w:val="TableParagraph"/>
              <w:spacing w:line="132" w:lineRule="exact"/>
              <w:ind w:right="216"/>
              <w:jc w:val="right"/>
              <w:rPr>
                <w:sz w:val="13"/>
              </w:rPr>
            </w:pPr>
            <w:r>
              <w:rPr>
                <w:spacing w:val="-2"/>
                <w:sz w:val="13"/>
              </w:rPr>
              <w:t>1,670</w:t>
            </w:r>
          </w:p>
        </w:tc>
        <w:tc>
          <w:tcPr>
            <w:tcW w:w="969" w:type="dxa"/>
          </w:tcPr>
          <w:p>
            <w:pPr>
              <w:pStyle w:val="TableParagraph"/>
              <w:spacing w:line="132" w:lineRule="exact"/>
              <w:ind w:right="217"/>
              <w:jc w:val="right"/>
              <w:rPr>
                <w:sz w:val="13"/>
              </w:rPr>
            </w:pPr>
            <w:r>
              <w:rPr>
                <w:spacing w:val="-2"/>
                <w:sz w:val="13"/>
              </w:rPr>
              <w:t>1,157</w:t>
            </w:r>
          </w:p>
        </w:tc>
        <w:tc>
          <w:tcPr>
            <w:tcW w:w="818" w:type="dxa"/>
          </w:tcPr>
          <w:p>
            <w:pPr>
              <w:pStyle w:val="TableParagraph"/>
              <w:spacing w:line="132" w:lineRule="exact"/>
              <w:ind w:right="66"/>
              <w:jc w:val="right"/>
              <w:rPr>
                <w:sz w:val="13"/>
              </w:rPr>
            </w:pPr>
            <w:r>
              <w:rPr>
                <w:spacing w:val="-2"/>
                <w:sz w:val="13"/>
              </w:rPr>
              <w:t>1,597</w:t>
            </w:r>
          </w:p>
        </w:tc>
      </w:tr>
      <w:tr>
        <w:trPr>
          <w:trHeight w:val="151" w:hRule="atLeast"/>
        </w:trPr>
        <w:tc>
          <w:tcPr>
            <w:tcW w:w="4584" w:type="dxa"/>
          </w:tcPr>
          <w:p>
            <w:pPr>
              <w:pStyle w:val="TableParagraph"/>
              <w:spacing w:line="131" w:lineRule="exact"/>
              <w:ind w:left="98"/>
              <w:rPr>
                <w:sz w:val="13"/>
              </w:rPr>
            </w:pPr>
            <w:r>
              <w:rPr>
                <w:sz w:val="13"/>
              </w:rPr>
              <w:t>Interest</w:t>
            </w:r>
            <w:r>
              <w:rPr>
                <w:spacing w:val="-2"/>
                <w:sz w:val="13"/>
              </w:rPr>
              <w:t> </w:t>
            </w:r>
            <w:r>
              <w:rPr>
                <w:sz w:val="13"/>
              </w:rPr>
              <w:t>and</w:t>
            </w:r>
            <w:r>
              <w:rPr>
                <w:spacing w:val="-3"/>
                <w:sz w:val="13"/>
              </w:rPr>
              <w:t> </w:t>
            </w:r>
            <w:r>
              <w:rPr>
                <w:sz w:val="13"/>
              </w:rPr>
              <w:t>other</w:t>
            </w:r>
            <w:r>
              <w:rPr>
                <w:spacing w:val="-2"/>
                <w:sz w:val="13"/>
              </w:rPr>
              <w:t> </w:t>
            </w:r>
            <w:r>
              <w:rPr>
                <w:sz w:val="13"/>
              </w:rPr>
              <w:t>borrowing</w:t>
            </w:r>
            <w:r>
              <w:rPr>
                <w:spacing w:val="-3"/>
                <w:sz w:val="13"/>
              </w:rPr>
              <w:t> </w:t>
            </w:r>
            <w:r>
              <w:rPr>
                <w:sz w:val="13"/>
              </w:rPr>
              <w:t>costs</w:t>
            </w:r>
            <w:r>
              <w:rPr>
                <w:spacing w:val="-1"/>
                <w:sz w:val="13"/>
              </w:rPr>
              <w:t> </w:t>
            </w:r>
            <w:r>
              <w:rPr>
                <w:spacing w:val="-4"/>
                <w:sz w:val="13"/>
              </w:rPr>
              <w:t>paid</w:t>
            </w:r>
          </w:p>
        </w:tc>
        <w:tc>
          <w:tcPr>
            <w:tcW w:w="541" w:type="dxa"/>
          </w:tcPr>
          <w:p>
            <w:pPr>
              <w:pStyle w:val="TableParagraph"/>
              <w:rPr>
                <w:rFonts w:ascii="Times New Roman"/>
                <w:sz w:val="8"/>
              </w:rPr>
            </w:pPr>
          </w:p>
        </w:tc>
        <w:tc>
          <w:tcPr>
            <w:tcW w:w="1122" w:type="dxa"/>
          </w:tcPr>
          <w:p>
            <w:pPr>
              <w:pStyle w:val="TableParagraph"/>
              <w:spacing w:line="131" w:lineRule="exact"/>
              <w:ind w:right="173"/>
              <w:jc w:val="right"/>
              <w:rPr>
                <w:sz w:val="13"/>
              </w:rPr>
            </w:pPr>
            <w:r>
              <w:rPr>
                <w:spacing w:val="-2"/>
                <w:sz w:val="13"/>
              </w:rPr>
              <w:t>(5,966)</w:t>
            </w:r>
          </w:p>
        </w:tc>
        <w:tc>
          <w:tcPr>
            <w:tcW w:w="969" w:type="dxa"/>
          </w:tcPr>
          <w:p>
            <w:pPr>
              <w:pStyle w:val="TableParagraph"/>
              <w:spacing w:line="131" w:lineRule="exact"/>
              <w:ind w:right="173"/>
              <w:jc w:val="right"/>
              <w:rPr>
                <w:sz w:val="13"/>
              </w:rPr>
            </w:pPr>
            <w:r>
              <w:rPr>
                <w:spacing w:val="-2"/>
                <w:sz w:val="13"/>
              </w:rPr>
              <w:t>(6,097)</w:t>
            </w:r>
          </w:p>
        </w:tc>
        <w:tc>
          <w:tcPr>
            <w:tcW w:w="969" w:type="dxa"/>
          </w:tcPr>
          <w:p>
            <w:pPr>
              <w:pStyle w:val="TableParagraph"/>
              <w:spacing w:line="131" w:lineRule="exact"/>
              <w:ind w:right="173"/>
              <w:jc w:val="right"/>
              <w:rPr>
                <w:sz w:val="13"/>
              </w:rPr>
            </w:pPr>
            <w:r>
              <w:rPr>
                <w:spacing w:val="-2"/>
                <w:sz w:val="13"/>
              </w:rPr>
              <w:t>(5,960)</w:t>
            </w:r>
          </w:p>
        </w:tc>
        <w:tc>
          <w:tcPr>
            <w:tcW w:w="818" w:type="dxa"/>
          </w:tcPr>
          <w:p>
            <w:pPr>
              <w:pStyle w:val="TableParagraph"/>
              <w:spacing w:line="131" w:lineRule="exact"/>
              <w:ind w:right="23"/>
              <w:jc w:val="right"/>
              <w:rPr>
                <w:sz w:val="13"/>
              </w:rPr>
            </w:pPr>
            <w:r>
              <w:rPr>
                <w:spacing w:val="-2"/>
                <w:sz w:val="13"/>
              </w:rPr>
              <w:t>(6,092)</w:t>
            </w:r>
          </w:p>
        </w:tc>
      </w:tr>
      <w:tr>
        <w:trPr>
          <w:trHeight w:val="157" w:hRule="atLeast"/>
        </w:trPr>
        <w:tc>
          <w:tcPr>
            <w:tcW w:w="4584" w:type="dxa"/>
          </w:tcPr>
          <w:p>
            <w:pPr>
              <w:pStyle w:val="TableParagraph"/>
              <w:spacing w:line="137" w:lineRule="exact"/>
              <w:ind w:left="98"/>
              <w:rPr>
                <w:sz w:val="13"/>
              </w:rPr>
            </w:pPr>
            <w:r>
              <w:rPr>
                <w:sz w:val="13"/>
              </w:rPr>
              <w:t>Short-term</w:t>
            </w:r>
            <w:r>
              <w:rPr>
                <w:spacing w:val="1"/>
                <w:sz w:val="13"/>
              </w:rPr>
              <w:t> </w:t>
            </w:r>
            <w:r>
              <w:rPr>
                <w:sz w:val="13"/>
              </w:rPr>
              <w:t>and</w:t>
            </w:r>
            <w:r>
              <w:rPr>
                <w:spacing w:val="-1"/>
                <w:sz w:val="13"/>
              </w:rPr>
              <w:t> </w:t>
            </w:r>
            <w:r>
              <w:rPr>
                <w:sz w:val="13"/>
              </w:rPr>
              <w:t>low</w:t>
            </w:r>
            <w:r>
              <w:rPr>
                <w:spacing w:val="-2"/>
                <w:sz w:val="13"/>
              </w:rPr>
              <w:t> </w:t>
            </w:r>
            <w:r>
              <w:rPr>
                <w:sz w:val="13"/>
              </w:rPr>
              <w:t>value lease</w:t>
            </w:r>
            <w:r>
              <w:rPr>
                <w:spacing w:val="-1"/>
                <w:sz w:val="13"/>
              </w:rPr>
              <w:t> </w:t>
            </w:r>
            <w:r>
              <w:rPr>
                <w:spacing w:val="-2"/>
                <w:sz w:val="13"/>
              </w:rPr>
              <w:t>payments</w:t>
            </w:r>
          </w:p>
        </w:tc>
        <w:tc>
          <w:tcPr>
            <w:tcW w:w="541" w:type="dxa"/>
          </w:tcPr>
          <w:p>
            <w:pPr>
              <w:pStyle w:val="TableParagraph"/>
              <w:rPr>
                <w:rFonts w:ascii="Times New Roman"/>
                <w:sz w:val="10"/>
              </w:rPr>
            </w:pPr>
          </w:p>
        </w:tc>
        <w:tc>
          <w:tcPr>
            <w:tcW w:w="1122" w:type="dxa"/>
          </w:tcPr>
          <w:p>
            <w:pPr>
              <w:pStyle w:val="TableParagraph"/>
              <w:spacing w:line="136" w:lineRule="exact" w:before="1"/>
              <w:ind w:right="173"/>
              <w:jc w:val="right"/>
              <w:rPr>
                <w:sz w:val="13"/>
              </w:rPr>
            </w:pPr>
            <w:r>
              <w:rPr>
                <w:spacing w:val="-2"/>
                <w:sz w:val="13"/>
              </w:rPr>
              <w:t>(2,893)</w:t>
            </w:r>
          </w:p>
        </w:tc>
        <w:tc>
          <w:tcPr>
            <w:tcW w:w="969" w:type="dxa"/>
          </w:tcPr>
          <w:p>
            <w:pPr>
              <w:pStyle w:val="TableParagraph"/>
              <w:spacing w:line="127" w:lineRule="exact" w:before="10"/>
              <w:ind w:right="173"/>
              <w:jc w:val="right"/>
              <w:rPr>
                <w:sz w:val="13"/>
              </w:rPr>
            </w:pPr>
            <w:r>
              <w:rPr>
                <w:spacing w:val="-2"/>
                <w:sz w:val="13"/>
              </w:rPr>
              <w:t>(4,204)</w:t>
            </w:r>
          </w:p>
        </w:tc>
        <w:tc>
          <w:tcPr>
            <w:tcW w:w="969" w:type="dxa"/>
          </w:tcPr>
          <w:p>
            <w:pPr>
              <w:pStyle w:val="TableParagraph"/>
              <w:spacing w:line="136" w:lineRule="exact" w:before="1"/>
              <w:ind w:right="173"/>
              <w:jc w:val="right"/>
              <w:rPr>
                <w:sz w:val="13"/>
              </w:rPr>
            </w:pPr>
            <w:r>
              <w:rPr>
                <w:spacing w:val="-2"/>
                <w:sz w:val="13"/>
              </w:rPr>
              <w:t>(3,074)</w:t>
            </w:r>
          </w:p>
        </w:tc>
        <w:tc>
          <w:tcPr>
            <w:tcW w:w="818" w:type="dxa"/>
          </w:tcPr>
          <w:p>
            <w:pPr>
              <w:pStyle w:val="TableParagraph"/>
              <w:spacing w:line="127" w:lineRule="exact" w:before="10"/>
              <w:ind w:right="23"/>
              <w:jc w:val="right"/>
              <w:rPr>
                <w:sz w:val="13"/>
              </w:rPr>
            </w:pPr>
            <w:r>
              <w:rPr>
                <w:spacing w:val="-2"/>
                <w:sz w:val="13"/>
              </w:rPr>
              <w:t>(4,450)</w:t>
            </w:r>
          </w:p>
        </w:tc>
      </w:tr>
      <w:tr>
        <w:trPr>
          <w:trHeight w:val="297" w:hRule="atLeast"/>
        </w:trPr>
        <w:tc>
          <w:tcPr>
            <w:tcW w:w="4584" w:type="dxa"/>
          </w:tcPr>
          <w:p>
            <w:pPr>
              <w:pStyle w:val="TableParagraph"/>
              <w:spacing w:line="144" w:lineRule="exact"/>
              <w:ind w:left="98"/>
              <w:rPr>
                <w:sz w:val="13"/>
              </w:rPr>
            </w:pPr>
            <w:r>
              <w:rPr>
                <w:sz w:val="13"/>
              </w:rPr>
              <w:t>Payments</w:t>
            </w:r>
            <w:r>
              <w:rPr>
                <w:spacing w:val="-1"/>
                <w:sz w:val="13"/>
              </w:rPr>
              <w:t> </w:t>
            </w:r>
            <w:r>
              <w:rPr>
                <w:sz w:val="13"/>
              </w:rPr>
              <w:t>to</w:t>
            </w:r>
            <w:r>
              <w:rPr>
                <w:spacing w:val="-1"/>
                <w:sz w:val="13"/>
              </w:rPr>
              <w:t> </w:t>
            </w:r>
            <w:r>
              <w:rPr>
                <w:sz w:val="13"/>
              </w:rPr>
              <w:t>suppliers and</w:t>
            </w:r>
            <w:r>
              <w:rPr>
                <w:spacing w:val="-1"/>
                <w:sz w:val="13"/>
              </w:rPr>
              <w:t> </w:t>
            </w:r>
            <w:r>
              <w:rPr>
                <w:sz w:val="13"/>
              </w:rPr>
              <w:t>employees (inclusive</w:t>
            </w:r>
            <w:r>
              <w:rPr>
                <w:spacing w:val="-1"/>
                <w:sz w:val="13"/>
              </w:rPr>
              <w:t> </w:t>
            </w:r>
            <w:r>
              <w:rPr>
                <w:sz w:val="13"/>
              </w:rPr>
              <w:t>of goods and</w:t>
            </w:r>
            <w:r>
              <w:rPr>
                <w:spacing w:val="-1"/>
                <w:sz w:val="13"/>
              </w:rPr>
              <w:t> </w:t>
            </w:r>
            <w:r>
              <w:rPr>
                <w:sz w:val="13"/>
              </w:rPr>
              <w:t>services </w:t>
            </w:r>
            <w:r>
              <w:rPr>
                <w:spacing w:val="-4"/>
                <w:sz w:val="13"/>
              </w:rPr>
              <w:t>tax)</w:t>
            </w:r>
          </w:p>
        </w:tc>
        <w:tc>
          <w:tcPr>
            <w:tcW w:w="541" w:type="dxa"/>
          </w:tcPr>
          <w:p>
            <w:pPr>
              <w:pStyle w:val="TableParagraph"/>
              <w:rPr>
                <w:rFonts w:ascii="Times New Roman"/>
                <w:sz w:val="12"/>
              </w:rPr>
            </w:pPr>
          </w:p>
        </w:tc>
        <w:tc>
          <w:tcPr>
            <w:tcW w:w="1122" w:type="dxa"/>
            <w:tcBorders>
              <w:bottom w:val="single" w:sz="6" w:space="0" w:color="000000"/>
            </w:tcBorders>
          </w:tcPr>
          <w:p>
            <w:pPr>
              <w:pStyle w:val="TableParagraph"/>
              <w:spacing w:line="146" w:lineRule="exact"/>
              <w:ind w:right="172"/>
              <w:jc w:val="right"/>
              <w:rPr>
                <w:sz w:val="13"/>
              </w:rPr>
            </w:pPr>
            <w:r>
              <w:rPr>
                <w:spacing w:val="-2"/>
                <w:sz w:val="13"/>
              </w:rPr>
              <w:t>(893,829)</w:t>
            </w:r>
          </w:p>
        </w:tc>
        <w:tc>
          <w:tcPr>
            <w:tcW w:w="969" w:type="dxa"/>
            <w:tcBorders>
              <w:bottom w:val="single" w:sz="6" w:space="0" w:color="000000"/>
            </w:tcBorders>
          </w:tcPr>
          <w:p>
            <w:pPr>
              <w:pStyle w:val="TableParagraph"/>
              <w:spacing w:line="146" w:lineRule="exact"/>
              <w:ind w:right="173"/>
              <w:jc w:val="right"/>
              <w:rPr>
                <w:sz w:val="13"/>
              </w:rPr>
            </w:pPr>
            <w:r>
              <w:rPr>
                <w:spacing w:val="-2"/>
                <w:sz w:val="13"/>
              </w:rPr>
              <w:t>(905,143)</w:t>
            </w:r>
          </w:p>
        </w:tc>
        <w:tc>
          <w:tcPr>
            <w:tcW w:w="969" w:type="dxa"/>
            <w:tcBorders>
              <w:bottom w:val="single" w:sz="6" w:space="0" w:color="000000"/>
            </w:tcBorders>
          </w:tcPr>
          <w:p>
            <w:pPr>
              <w:pStyle w:val="TableParagraph"/>
              <w:spacing w:line="146" w:lineRule="exact"/>
              <w:ind w:right="173"/>
              <w:jc w:val="right"/>
              <w:rPr>
                <w:sz w:val="13"/>
              </w:rPr>
            </w:pPr>
            <w:r>
              <w:rPr>
                <w:spacing w:val="-2"/>
                <w:sz w:val="13"/>
              </w:rPr>
              <w:t>(867,091)</w:t>
            </w:r>
          </w:p>
        </w:tc>
        <w:tc>
          <w:tcPr>
            <w:tcW w:w="818" w:type="dxa"/>
            <w:tcBorders>
              <w:bottom w:val="single" w:sz="6" w:space="0" w:color="000000"/>
            </w:tcBorders>
          </w:tcPr>
          <w:p>
            <w:pPr>
              <w:pStyle w:val="TableParagraph"/>
              <w:spacing w:line="146" w:lineRule="exact"/>
              <w:ind w:right="22"/>
              <w:jc w:val="right"/>
              <w:rPr>
                <w:sz w:val="13"/>
              </w:rPr>
            </w:pPr>
            <w:r>
              <w:rPr>
                <w:spacing w:val="-2"/>
                <w:sz w:val="13"/>
              </w:rPr>
              <w:t>(890,533)</w:t>
            </w:r>
          </w:p>
        </w:tc>
      </w:tr>
      <w:tr>
        <w:trPr>
          <w:trHeight w:val="142" w:hRule="atLeast"/>
        </w:trPr>
        <w:tc>
          <w:tcPr>
            <w:tcW w:w="4584" w:type="dxa"/>
          </w:tcPr>
          <w:p>
            <w:pPr>
              <w:pStyle w:val="TableParagraph"/>
              <w:spacing w:line="122" w:lineRule="exact"/>
              <w:ind w:left="25"/>
              <w:rPr>
                <w:b/>
                <w:sz w:val="13"/>
              </w:rPr>
            </w:pPr>
            <w:r>
              <w:rPr>
                <w:b/>
                <w:sz w:val="13"/>
              </w:rPr>
              <w:t>Net</w:t>
            </w:r>
            <w:r>
              <w:rPr>
                <w:b/>
                <w:spacing w:val="-3"/>
                <w:sz w:val="13"/>
              </w:rPr>
              <w:t> </w:t>
            </w:r>
            <w:r>
              <w:rPr>
                <w:b/>
                <w:sz w:val="13"/>
              </w:rPr>
              <w:t>cash</w:t>
            </w:r>
            <w:r>
              <w:rPr>
                <w:b/>
                <w:spacing w:val="-3"/>
                <w:sz w:val="13"/>
              </w:rPr>
              <w:t> </w:t>
            </w:r>
            <w:r>
              <w:rPr>
                <w:b/>
                <w:sz w:val="13"/>
              </w:rPr>
              <w:t>provided</w:t>
            </w:r>
            <w:r>
              <w:rPr>
                <w:b/>
                <w:spacing w:val="-2"/>
                <w:sz w:val="13"/>
              </w:rPr>
              <w:t> </w:t>
            </w:r>
            <w:r>
              <w:rPr>
                <w:b/>
                <w:sz w:val="13"/>
              </w:rPr>
              <w:t>by/(used</w:t>
            </w:r>
            <w:r>
              <w:rPr>
                <w:b/>
                <w:spacing w:val="-3"/>
                <w:sz w:val="13"/>
              </w:rPr>
              <w:t> </w:t>
            </w:r>
            <w:r>
              <w:rPr>
                <w:b/>
                <w:sz w:val="13"/>
              </w:rPr>
              <w:t>in)</w:t>
            </w:r>
            <w:r>
              <w:rPr>
                <w:b/>
                <w:spacing w:val="-2"/>
                <w:sz w:val="13"/>
              </w:rPr>
              <w:t> </w:t>
            </w:r>
            <w:r>
              <w:rPr>
                <w:b/>
                <w:sz w:val="13"/>
              </w:rPr>
              <w:t>operating</w:t>
            </w:r>
            <w:r>
              <w:rPr>
                <w:b/>
                <w:spacing w:val="-3"/>
                <w:sz w:val="13"/>
              </w:rPr>
              <w:t> </w:t>
            </w:r>
            <w:r>
              <w:rPr>
                <w:b/>
                <w:spacing w:val="-2"/>
                <w:sz w:val="13"/>
              </w:rPr>
              <w:t>activities</w:t>
            </w:r>
          </w:p>
        </w:tc>
        <w:tc>
          <w:tcPr>
            <w:tcW w:w="541" w:type="dxa"/>
          </w:tcPr>
          <w:p>
            <w:pPr>
              <w:pStyle w:val="TableParagraph"/>
              <w:spacing w:line="122" w:lineRule="exact"/>
              <w:ind w:left="50"/>
              <w:jc w:val="center"/>
              <w:rPr>
                <w:sz w:val="13"/>
              </w:rPr>
            </w:pPr>
            <w:r>
              <w:rPr>
                <w:spacing w:val="-5"/>
                <w:sz w:val="13"/>
              </w:rPr>
              <w:t>6.1</w:t>
            </w:r>
          </w:p>
        </w:tc>
        <w:tc>
          <w:tcPr>
            <w:tcW w:w="1122" w:type="dxa"/>
            <w:tcBorders>
              <w:top w:val="single" w:sz="6" w:space="0" w:color="000000"/>
              <w:bottom w:val="single" w:sz="6" w:space="0" w:color="000000"/>
            </w:tcBorders>
          </w:tcPr>
          <w:p>
            <w:pPr>
              <w:pStyle w:val="TableParagraph"/>
              <w:spacing w:line="118" w:lineRule="exact"/>
              <w:ind w:right="216"/>
              <w:jc w:val="right"/>
              <w:rPr>
                <w:sz w:val="13"/>
              </w:rPr>
            </w:pPr>
            <w:r>
              <w:rPr>
                <w:spacing w:val="-2"/>
                <w:sz w:val="13"/>
              </w:rPr>
              <w:t>99,466</w:t>
            </w:r>
          </w:p>
        </w:tc>
        <w:tc>
          <w:tcPr>
            <w:tcW w:w="969" w:type="dxa"/>
            <w:tcBorders>
              <w:top w:val="single" w:sz="6" w:space="0" w:color="000000"/>
              <w:bottom w:val="single" w:sz="6" w:space="0" w:color="000000"/>
            </w:tcBorders>
          </w:tcPr>
          <w:p>
            <w:pPr>
              <w:pStyle w:val="TableParagraph"/>
              <w:spacing w:line="118" w:lineRule="exact"/>
              <w:ind w:right="216"/>
              <w:jc w:val="right"/>
              <w:rPr>
                <w:sz w:val="13"/>
              </w:rPr>
            </w:pPr>
            <w:r>
              <w:rPr>
                <w:spacing w:val="-2"/>
                <w:sz w:val="13"/>
              </w:rPr>
              <w:t>39,690</w:t>
            </w:r>
          </w:p>
        </w:tc>
        <w:tc>
          <w:tcPr>
            <w:tcW w:w="969" w:type="dxa"/>
            <w:tcBorders>
              <w:top w:val="single" w:sz="6" w:space="0" w:color="000000"/>
              <w:bottom w:val="single" w:sz="6" w:space="0" w:color="000000"/>
            </w:tcBorders>
          </w:tcPr>
          <w:p>
            <w:pPr>
              <w:pStyle w:val="TableParagraph"/>
              <w:spacing w:line="118" w:lineRule="exact"/>
              <w:ind w:right="217"/>
              <w:jc w:val="right"/>
              <w:rPr>
                <w:sz w:val="13"/>
              </w:rPr>
            </w:pPr>
            <w:r>
              <w:rPr>
                <w:spacing w:val="-2"/>
                <w:sz w:val="13"/>
              </w:rPr>
              <w:t>101,762</w:t>
            </w:r>
          </w:p>
        </w:tc>
        <w:tc>
          <w:tcPr>
            <w:tcW w:w="818" w:type="dxa"/>
            <w:tcBorders>
              <w:top w:val="single" w:sz="6" w:space="0" w:color="000000"/>
              <w:bottom w:val="single" w:sz="6" w:space="0" w:color="000000"/>
            </w:tcBorders>
          </w:tcPr>
          <w:p>
            <w:pPr>
              <w:pStyle w:val="TableParagraph"/>
              <w:spacing w:line="118" w:lineRule="exact"/>
              <w:ind w:right="66"/>
              <w:jc w:val="right"/>
              <w:rPr>
                <w:sz w:val="13"/>
              </w:rPr>
            </w:pPr>
            <w:r>
              <w:rPr>
                <w:spacing w:val="-2"/>
                <w:sz w:val="13"/>
              </w:rPr>
              <w:t>30,274</w:t>
            </w:r>
          </w:p>
        </w:tc>
      </w:tr>
      <w:tr>
        <w:trPr>
          <w:trHeight w:val="367" w:hRule="atLeast"/>
        </w:trPr>
        <w:tc>
          <w:tcPr>
            <w:tcW w:w="4584" w:type="dxa"/>
          </w:tcPr>
          <w:p>
            <w:pPr>
              <w:pStyle w:val="TableParagraph"/>
              <w:spacing w:before="138"/>
              <w:ind w:left="25"/>
              <w:rPr>
                <w:b/>
                <w:sz w:val="13"/>
              </w:rPr>
            </w:pPr>
            <w:r>
              <w:rPr>
                <w:b/>
                <w:sz w:val="13"/>
              </w:rPr>
              <w:t>Cash</w:t>
            </w:r>
            <w:r>
              <w:rPr>
                <w:b/>
                <w:spacing w:val="-2"/>
                <w:sz w:val="13"/>
              </w:rPr>
              <w:t> </w:t>
            </w:r>
            <w:r>
              <w:rPr>
                <w:b/>
                <w:sz w:val="13"/>
              </w:rPr>
              <w:t>flows</w:t>
            </w:r>
            <w:r>
              <w:rPr>
                <w:b/>
                <w:spacing w:val="-2"/>
                <w:sz w:val="13"/>
              </w:rPr>
              <w:t> </w:t>
            </w:r>
            <w:r>
              <w:rPr>
                <w:b/>
                <w:sz w:val="13"/>
              </w:rPr>
              <w:t>from investing</w:t>
            </w:r>
            <w:r>
              <w:rPr>
                <w:b/>
                <w:spacing w:val="-1"/>
                <w:sz w:val="13"/>
              </w:rPr>
              <w:t> </w:t>
            </w:r>
            <w:r>
              <w:rPr>
                <w:b/>
                <w:spacing w:val="-2"/>
                <w:sz w:val="13"/>
              </w:rPr>
              <w:t>activities</w:t>
            </w:r>
          </w:p>
        </w:tc>
        <w:tc>
          <w:tcPr>
            <w:tcW w:w="541" w:type="dxa"/>
          </w:tcPr>
          <w:p>
            <w:pPr>
              <w:pStyle w:val="TableParagraph"/>
              <w:rPr>
                <w:rFonts w:ascii="Times New Roman"/>
                <w:sz w:val="12"/>
              </w:rPr>
            </w:pPr>
          </w:p>
        </w:tc>
        <w:tc>
          <w:tcPr>
            <w:tcW w:w="1122" w:type="dxa"/>
            <w:tcBorders>
              <w:top w:val="single" w:sz="6" w:space="0" w:color="000000"/>
            </w:tcBorders>
          </w:tcPr>
          <w:p>
            <w:pPr>
              <w:pStyle w:val="TableParagraph"/>
              <w:rPr>
                <w:rFonts w:ascii="Times New Roman"/>
                <w:sz w:val="12"/>
              </w:rPr>
            </w:pPr>
          </w:p>
        </w:tc>
        <w:tc>
          <w:tcPr>
            <w:tcW w:w="969" w:type="dxa"/>
            <w:tcBorders>
              <w:top w:val="single" w:sz="6" w:space="0" w:color="000000"/>
            </w:tcBorders>
          </w:tcPr>
          <w:p>
            <w:pPr>
              <w:pStyle w:val="TableParagraph"/>
              <w:rPr>
                <w:rFonts w:ascii="Times New Roman"/>
                <w:sz w:val="12"/>
              </w:rPr>
            </w:pPr>
          </w:p>
        </w:tc>
        <w:tc>
          <w:tcPr>
            <w:tcW w:w="969" w:type="dxa"/>
            <w:tcBorders>
              <w:top w:val="single" w:sz="6" w:space="0" w:color="000000"/>
            </w:tcBorders>
          </w:tcPr>
          <w:p>
            <w:pPr>
              <w:pStyle w:val="TableParagraph"/>
              <w:rPr>
                <w:rFonts w:ascii="Times New Roman"/>
                <w:sz w:val="12"/>
              </w:rPr>
            </w:pPr>
          </w:p>
        </w:tc>
        <w:tc>
          <w:tcPr>
            <w:tcW w:w="818" w:type="dxa"/>
            <w:tcBorders>
              <w:top w:val="single" w:sz="6" w:space="0" w:color="000000"/>
            </w:tcBorders>
          </w:tcPr>
          <w:p>
            <w:pPr>
              <w:pStyle w:val="TableParagraph"/>
              <w:rPr>
                <w:rFonts w:ascii="Times New Roman"/>
                <w:sz w:val="12"/>
              </w:rPr>
            </w:pPr>
          </w:p>
        </w:tc>
      </w:tr>
      <w:tr>
        <w:trPr>
          <w:trHeight w:val="229" w:hRule="atLeast"/>
        </w:trPr>
        <w:tc>
          <w:tcPr>
            <w:tcW w:w="4584" w:type="dxa"/>
          </w:tcPr>
          <w:p>
            <w:pPr>
              <w:pStyle w:val="TableParagraph"/>
              <w:spacing w:line="132" w:lineRule="exact" w:before="76"/>
              <w:ind w:left="98"/>
              <w:rPr>
                <w:sz w:val="13"/>
              </w:rPr>
            </w:pPr>
            <w:r>
              <w:rPr>
                <w:sz w:val="13"/>
              </w:rPr>
              <w:t>Proceeds</w:t>
            </w:r>
            <w:r>
              <w:rPr>
                <w:spacing w:val="-1"/>
                <w:sz w:val="13"/>
              </w:rPr>
              <w:t> </w:t>
            </w:r>
            <w:r>
              <w:rPr>
                <w:sz w:val="13"/>
              </w:rPr>
              <w:t>from sale</w:t>
            </w:r>
            <w:r>
              <w:rPr>
                <w:spacing w:val="-2"/>
                <w:sz w:val="13"/>
              </w:rPr>
              <w:t> </w:t>
            </w:r>
            <w:r>
              <w:rPr>
                <w:sz w:val="13"/>
              </w:rPr>
              <w:t>of</w:t>
            </w:r>
            <w:r>
              <w:rPr>
                <w:spacing w:val="-1"/>
                <w:sz w:val="13"/>
              </w:rPr>
              <w:t> </w:t>
            </w:r>
            <w:r>
              <w:rPr>
                <w:sz w:val="13"/>
              </w:rPr>
              <w:t>property, plant</w:t>
            </w:r>
            <w:r>
              <w:rPr>
                <w:spacing w:val="-1"/>
                <w:sz w:val="13"/>
              </w:rPr>
              <w:t> </w:t>
            </w:r>
            <w:r>
              <w:rPr>
                <w:sz w:val="13"/>
              </w:rPr>
              <w:t>and</w:t>
            </w:r>
            <w:r>
              <w:rPr>
                <w:spacing w:val="-2"/>
                <w:sz w:val="13"/>
              </w:rPr>
              <w:t> equipment</w:t>
            </w:r>
          </w:p>
        </w:tc>
        <w:tc>
          <w:tcPr>
            <w:tcW w:w="541" w:type="dxa"/>
          </w:tcPr>
          <w:p>
            <w:pPr>
              <w:pStyle w:val="TableParagraph"/>
              <w:rPr>
                <w:rFonts w:ascii="Times New Roman"/>
                <w:sz w:val="12"/>
              </w:rPr>
            </w:pPr>
          </w:p>
        </w:tc>
        <w:tc>
          <w:tcPr>
            <w:tcW w:w="1122" w:type="dxa"/>
          </w:tcPr>
          <w:p>
            <w:pPr>
              <w:pStyle w:val="TableParagraph"/>
              <w:spacing w:line="132" w:lineRule="exact" w:before="76"/>
              <w:ind w:right="216"/>
              <w:jc w:val="right"/>
              <w:rPr>
                <w:sz w:val="13"/>
              </w:rPr>
            </w:pPr>
            <w:r>
              <w:rPr>
                <w:spacing w:val="-2"/>
                <w:sz w:val="13"/>
              </w:rPr>
              <w:t>3,180</w:t>
            </w:r>
          </w:p>
        </w:tc>
        <w:tc>
          <w:tcPr>
            <w:tcW w:w="969" w:type="dxa"/>
          </w:tcPr>
          <w:p>
            <w:pPr>
              <w:pStyle w:val="TableParagraph"/>
              <w:spacing w:line="132" w:lineRule="exact" w:before="76"/>
              <w:ind w:right="217"/>
              <w:jc w:val="right"/>
              <w:rPr>
                <w:sz w:val="13"/>
              </w:rPr>
            </w:pPr>
            <w:r>
              <w:rPr>
                <w:spacing w:val="-5"/>
                <w:sz w:val="13"/>
              </w:rPr>
              <w:t>168</w:t>
            </w:r>
          </w:p>
        </w:tc>
        <w:tc>
          <w:tcPr>
            <w:tcW w:w="969" w:type="dxa"/>
          </w:tcPr>
          <w:p>
            <w:pPr>
              <w:pStyle w:val="TableParagraph"/>
              <w:spacing w:line="132" w:lineRule="exact" w:before="76"/>
              <w:ind w:right="217"/>
              <w:jc w:val="right"/>
              <w:rPr>
                <w:sz w:val="13"/>
              </w:rPr>
            </w:pPr>
            <w:r>
              <w:rPr>
                <w:spacing w:val="-2"/>
                <w:sz w:val="13"/>
              </w:rPr>
              <w:t>2,720</w:t>
            </w:r>
          </w:p>
        </w:tc>
        <w:tc>
          <w:tcPr>
            <w:tcW w:w="818" w:type="dxa"/>
          </w:tcPr>
          <w:p>
            <w:pPr>
              <w:pStyle w:val="TableParagraph"/>
              <w:spacing w:line="132" w:lineRule="exact" w:before="76"/>
              <w:ind w:right="66"/>
              <w:jc w:val="right"/>
              <w:rPr>
                <w:sz w:val="13"/>
              </w:rPr>
            </w:pPr>
            <w:r>
              <w:rPr>
                <w:spacing w:val="-5"/>
                <w:sz w:val="13"/>
              </w:rPr>
              <w:t>168</w:t>
            </w:r>
          </w:p>
        </w:tc>
      </w:tr>
      <w:tr>
        <w:trPr>
          <w:trHeight w:val="157" w:hRule="atLeast"/>
        </w:trPr>
        <w:tc>
          <w:tcPr>
            <w:tcW w:w="4584" w:type="dxa"/>
          </w:tcPr>
          <w:p>
            <w:pPr>
              <w:pStyle w:val="TableParagraph"/>
              <w:spacing w:line="137" w:lineRule="exact"/>
              <w:ind w:left="98"/>
              <w:rPr>
                <w:sz w:val="13"/>
              </w:rPr>
            </w:pPr>
            <w:r>
              <w:rPr>
                <w:sz w:val="13"/>
              </w:rPr>
              <w:t>Payments</w:t>
            </w:r>
            <w:r>
              <w:rPr>
                <w:spacing w:val="-2"/>
                <w:sz w:val="13"/>
              </w:rPr>
              <w:t> </w:t>
            </w:r>
            <w:r>
              <w:rPr>
                <w:sz w:val="13"/>
              </w:rPr>
              <w:t>for</w:t>
            </w:r>
            <w:r>
              <w:rPr>
                <w:spacing w:val="-3"/>
                <w:sz w:val="13"/>
              </w:rPr>
              <w:t> </w:t>
            </w:r>
            <w:r>
              <w:rPr>
                <w:sz w:val="13"/>
              </w:rPr>
              <w:t>property,</w:t>
            </w:r>
            <w:r>
              <w:rPr>
                <w:spacing w:val="-2"/>
                <w:sz w:val="13"/>
              </w:rPr>
              <w:t> </w:t>
            </w:r>
            <w:r>
              <w:rPr>
                <w:sz w:val="13"/>
              </w:rPr>
              <w:t>plant</w:t>
            </w:r>
            <w:r>
              <w:rPr>
                <w:spacing w:val="-2"/>
                <w:sz w:val="13"/>
              </w:rPr>
              <w:t> </w:t>
            </w:r>
            <w:r>
              <w:rPr>
                <w:sz w:val="13"/>
              </w:rPr>
              <w:t>and</w:t>
            </w:r>
            <w:r>
              <w:rPr>
                <w:spacing w:val="-3"/>
                <w:sz w:val="13"/>
              </w:rPr>
              <w:t> </w:t>
            </w:r>
            <w:r>
              <w:rPr>
                <w:spacing w:val="-2"/>
                <w:sz w:val="13"/>
              </w:rPr>
              <w:t>equipment</w:t>
            </w:r>
          </w:p>
        </w:tc>
        <w:tc>
          <w:tcPr>
            <w:tcW w:w="541" w:type="dxa"/>
          </w:tcPr>
          <w:p>
            <w:pPr>
              <w:pStyle w:val="TableParagraph"/>
              <w:rPr>
                <w:rFonts w:ascii="Times New Roman"/>
                <w:sz w:val="10"/>
              </w:rPr>
            </w:pPr>
          </w:p>
        </w:tc>
        <w:tc>
          <w:tcPr>
            <w:tcW w:w="1122" w:type="dxa"/>
          </w:tcPr>
          <w:p>
            <w:pPr>
              <w:pStyle w:val="TableParagraph"/>
              <w:spacing w:line="137" w:lineRule="exact"/>
              <w:ind w:right="172"/>
              <w:jc w:val="right"/>
              <w:rPr>
                <w:sz w:val="13"/>
              </w:rPr>
            </w:pPr>
            <w:r>
              <w:rPr>
                <w:spacing w:val="-2"/>
                <w:sz w:val="13"/>
              </w:rPr>
              <w:t>(66,793)</w:t>
            </w:r>
          </w:p>
        </w:tc>
        <w:tc>
          <w:tcPr>
            <w:tcW w:w="969" w:type="dxa"/>
          </w:tcPr>
          <w:p>
            <w:pPr>
              <w:pStyle w:val="TableParagraph"/>
              <w:spacing w:line="137" w:lineRule="exact"/>
              <w:ind w:right="173"/>
              <w:jc w:val="right"/>
              <w:rPr>
                <w:sz w:val="13"/>
              </w:rPr>
            </w:pPr>
            <w:r>
              <w:rPr>
                <w:spacing w:val="-2"/>
                <w:sz w:val="13"/>
              </w:rPr>
              <w:t>(90,932)</w:t>
            </w:r>
          </w:p>
        </w:tc>
        <w:tc>
          <w:tcPr>
            <w:tcW w:w="969" w:type="dxa"/>
          </w:tcPr>
          <w:p>
            <w:pPr>
              <w:pStyle w:val="TableParagraph"/>
              <w:spacing w:line="137" w:lineRule="exact"/>
              <w:ind w:right="173"/>
              <w:jc w:val="right"/>
              <w:rPr>
                <w:sz w:val="13"/>
              </w:rPr>
            </w:pPr>
            <w:r>
              <w:rPr>
                <w:spacing w:val="-2"/>
                <w:sz w:val="13"/>
              </w:rPr>
              <w:t>(66,371)</w:t>
            </w:r>
          </w:p>
        </w:tc>
        <w:tc>
          <w:tcPr>
            <w:tcW w:w="818" w:type="dxa"/>
          </w:tcPr>
          <w:p>
            <w:pPr>
              <w:pStyle w:val="TableParagraph"/>
              <w:spacing w:line="137" w:lineRule="exact"/>
              <w:ind w:right="22"/>
              <w:jc w:val="right"/>
              <w:rPr>
                <w:sz w:val="13"/>
              </w:rPr>
            </w:pPr>
            <w:r>
              <w:rPr>
                <w:spacing w:val="-2"/>
                <w:sz w:val="13"/>
              </w:rPr>
              <w:t>(90,278)</w:t>
            </w:r>
          </w:p>
        </w:tc>
      </w:tr>
      <w:tr>
        <w:trPr>
          <w:trHeight w:val="161" w:hRule="atLeast"/>
        </w:trPr>
        <w:tc>
          <w:tcPr>
            <w:tcW w:w="4584" w:type="dxa"/>
          </w:tcPr>
          <w:p>
            <w:pPr>
              <w:pStyle w:val="TableParagraph"/>
              <w:spacing w:line="137" w:lineRule="exact" w:before="4"/>
              <w:ind w:left="98"/>
              <w:rPr>
                <w:sz w:val="13"/>
              </w:rPr>
            </w:pPr>
            <w:r>
              <w:rPr>
                <w:sz w:val="13"/>
              </w:rPr>
              <w:t>Proceeds from</w:t>
            </w:r>
            <w:r>
              <w:rPr>
                <w:spacing w:val="1"/>
                <w:sz w:val="13"/>
              </w:rPr>
              <w:t> </w:t>
            </w:r>
            <w:r>
              <w:rPr>
                <w:sz w:val="13"/>
              </w:rPr>
              <w:t>sale</w:t>
            </w:r>
            <w:r>
              <w:rPr>
                <w:spacing w:val="-1"/>
                <w:sz w:val="13"/>
              </w:rPr>
              <w:t> </w:t>
            </w:r>
            <w:r>
              <w:rPr>
                <w:sz w:val="13"/>
              </w:rPr>
              <w:t>of</w:t>
            </w:r>
            <w:r>
              <w:rPr>
                <w:spacing w:val="1"/>
                <w:sz w:val="13"/>
              </w:rPr>
              <w:t> </w:t>
            </w:r>
            <w:r>
              <w:rPr>
                <w:sz w:val="13"/>
              </w:rPr>
              <w:t>financial </w:t>
            </w:r>
            <w:r>
              <w:rPr>
                <w:spacing w:val="-2"/>
                <w:sz w:val="13"/>
              </w:rPr>
              <w:t>assets</w:t>
            </w:r>
          </w:p>
        </w:tc>
        <w:tc>
          <w:tcPr>
            <w:tcW w:w="541" w:type="dxa"/>
          </w:tcPr>
          <w:p>
            <w:pPr>
              <w:pStyle w:val="TableParagraph"/>
              <w:rPr>
                <w:rFonts w:ascii="Times New Roman"/>
                <w:sz w:val="10"/>
              </w:rPr>
            </w:pPr>
          </w:p>
        </w:tc>
        <w:tc>
          <w:tcPr>
            <w:tcW w:w="1122" w:type="dxa"/>
          </w:tcPr>
          <w:p>
            <w:pPr>
              <w:pStyle w:val="TableParagraph"/>
              <w:spacing w:line="137" w:lineRule="exact" w:before="4"/>
              <w:ind w:right="216"/>
              <w:jc w:val="right"/>
              <w:rPr>
                <w:sz w:val="13"/>
              </w:rPr>
            </w:pPr>
            <w:r>
              <w:rPr>
                <w:spacing w:val="-2"/>
                <w:sz w:val="13"/>
              </w:rPr>
              <w:t>1,960</w:t>
            </w:r>
          </w:p>
        </w:tc>
        <w:tc>
          <w:tcPr>
            <w:tcW w:w="969" w:type="dxa"/>
          </w:tcPr>
          <w:p>
            <w:pPr>
              <w:pStyle w:val="TableParagraph"/>
              <w:spacing w:line="137" w:lineRule="exact" w:before="4"/>
              <w:ind w:right="216"/>
              <w:jc w:val="right"/>
              <w:rPr>
                <w:sz w:val="13"/>
              </w:rPr>
            </w:pPr>
            <w:r>
              <w:rPr>
                <w:spacing w:val="-2"/>
                <w:sz w:val="13"/>
              </w:rPr>
              <w:t>100,000</w:t>
            </w:r>
          </w:p>
        </w:tc>
        <w:tc>
          <w:tcPr>
            <w:tcW w:w="969" w:type="dxa"/>
          </w:tcPr>
          <w:p>
            <w:pPr>
              <w:pStyle w:val="TableParagraph"/>
              <w:spacing w:line="137" w:lineRule="exact" w:before="4"/>
              <w:ind w:right="217"/>
              <w:jc w:val="right"/>
              <w:rPr>
                <w:sz w:val="13"/>
              </w:rPr>
            </w:pPr>
            <w:r>
              <w:rPr>
                <w:spacing w:val="-2"/>
                <w:sz w:val="13"/>
              </w:rPr>
              <w:t>1,960</w:t>
            </w:r>
          </w:p>
        </w:tc>
        <w:tc>
          <w:tcPr>
            <w:tcW w:w="818" w:type="dxa"/>
          </w:tcPr>
          <w:p>
            <w:pPr>
              <w:pStyle w:val="TableParagraph"/>
              <w:spacing w:line="137" w:lineRule="exact" w:before="4"/>
              <w:ind w:right="66"/>
              <w:jc w:val="right"/>
              <w:rPr>
                <w:sz w:val="13"/>
              </w:rPr>
            </w:pPr>
            <w:r>
              <w:rPr>
                <w:spacing w:val="-2"/>
                <w:sz w:val="13"/>
              </w:rPr>
              <w:t>100,000</w:t>
            </w:r>
          </w:p>
        </w:tc>
      </w:tr>
      <w:tr>
        <w:trPr>
          <w:trHeight w:val="314" w:hRule="atLeast"/>
        </w:trPr>
        <w:tc>
          <w:tcPr>
            <w:tcW w:w="4584" w:type="dxa"/>
          </w:tcPr>
          <w:p>
            <w:pPr>
              <w:pStyle w:val="TableParagraph"/>
              <w:spacing w:before="4"/>
              <w:ind w:left="98"/>
              <w:rPr>
                <w:sz w:val="13"/>
              </w:rPr>
            </w:pPr>
            <w:r>
              <w:rPr>
                <w:sz w:val="13"/>
              </w:rPr>
              <w:t>Payments</w:t>
            </w:r>
            <w:r>
              <w:rPr>
                <w:spacing w:val="-2"/>
                <w:sz w:val="13"/>
              </w:rPr>
              <w:t> </w:t>
            </w:r>
            <w:r>
              <w:rPr>
                <w:sz w:val="13"/>
              </w:rPr>
              <w:t>for</w:t>
            </w:r>
            <w:r>
              <w:rPr>
                <w:spacing w:val="-2"/>
                <w:sz w:val="13"/>
              </w:rPr>
              <w:t> </w:t>
            </w:r>
            <w:r>
              <w:rPr>
                <w:sz w:val="13"/>
              </w:rPr>
              <w:t>financial</w:t>
            </w:r>
            <w:r>
              <w:rPr>
                <w:spacing w:val="-1"/>
                <w:sz w:val="13"/>
              </w:rPr>
              <w:t> </w:t>
            </w:r>
            <w:r>
              <w:rPr>
                <w:spacing w:val="-2"/>
                <w:sz w:val="13"/>
              </w:rPr>
              <w:t>assets</w:t>
            </w:r>
          </w:p>
        </w:tc>
        <w:tc>
          <w:tcPr>
            <w:tcW w:w="541" w:type="dxa"/>
          </w:tcPr>
          <w:p>
            <w:pPr>
              <w:pStyle w:val="TableParagraph"/>
              <w:rPr>
                <w:rFonts w:ascii="Times New Roman"/>
                <w:sz w:val="12"/>
              </w:rPr>
            </w:pPr>
          </w:p>
        </w:tc>
        <w:tc>
          <w:tcPr>
            <w:tcW w:w="1122" w:type="dxa"/>
            <w:tcBorders>
              <w:bottom w:val="single" w:sz="6" w:space="0" w:color="000000"/>
            </w:tcBorders>
          </w:tcPr>
          <w:p>
            <w:pPr>
              <w:pStyle w:val="TableParagraph"/>
              <w:spacing w:before="4"/>
              <w:ind w:right="172"/>
              <w:jc w:val="right"/>
              <w:rPr>
                <w:sz w:val="13"/>
              </w:rPr>
            </w:pPr>
            <w:r>
              <w:rPr>
                <w:spacing w:val="-2"/>
                <w:sz w:val="13"/>
              </w:rPr>
              <w:t>(47,667)</w:t>
            </w:r>
          </w:p>
        </w:tc>
        <w:tc>
          <w:tcPr>
            <w:tcW w:w="969" w:type="dxa"/>
            <w:tcBorders>
              <w:bottom w:val="single" w:sz="6" w:space="0" w:color="000000"/>
            </w:tcBorders>
          </w:tcPr>
          <w:p>
            <w:pPr>
              <w:pStyle w:val="TableParagraph"/>
              <w:spacing w:before="4"/>
              <w:ind w:right="173"/>
              <w:jc w:val="right"/>
              <w:rPr>
                <w:sz w:val="13"/>
              </w:rPr>
            </w:pPr>
            <w:r>
              <w:rPr>
                <w:spacing w:val="-2"/>
                <w:sz w:val="13"/>
              </w:rPr>
              <w:t>(5,035)</w:t>
            </w:r>
          </w:p>
        </w:tc>
        <w:tc>
          <w:tcPr>
            <w:tcW w:w="969" w:type="dxa"/>
            <w:tcBorders>
              <w:bottom w:val="single" w:sz="6" w:space="0" w:color="000000"/>
            </w:tcBorders>
          </w:tcPr>
          <w:p>
            <w:pPr>
              <w:pStyle w:val="TableParagraph"/>
              <w:spacing w:before="4"/>
              <w:ind w:right="173"/>
              <w:jc w:val="right"/>
              <w:rPr>
                <w:sz w:val="13"/>
              </w:rPr>
            </w:pPr>
            <w:r>
              <w:rPr>
                <w:spacing w:val="-2"/>
                <w:sz w:val="13"/>
              </w:rPr>
              <w:t>(47,667)</w:t>
            </w:r>
          </w:p>
        </w:tc>
        <w:tc>
          <w:tcPr>
            <w:tcW w:w="818" w:type="dxa"/>
            <w:tcBorders>
              <w:bottom w:val="single" w:sz="6" w:space="0" w:color="000000"/>
            </w:tcBorders>
          </w:tcPr>
          <w:p>
            <w:pPr>
              <w:pStyle w:val="TableParagraph"/>
              <w:spacing w:before="4"/>
              <w:ind w:right="23"/>
              <w:jc w:val="right"/>
              <w:rPr>
                <w:sz w:val="13"/>
              </w:rPr>
            </w:pPr>
            <w:r>
              <w:rPr>
                <w:spacing w:val="-2"/>
                <w:sz w:val="13"/>
              </w:rPr>
              <w:t>(5,035)</w:t>
            </w:r>
          </w:p>
        </w:tc>
      </w:tr>
      <w:tr>
        <w:trPr>
          <w:trHeight w:val="142" w:hRule="atLeast"/>
        </w:trPr>
        <w:tc>
          <w:tcPr>
            <w:tcW w:w="4584" w:type="dxa"/>
          </w:tcPr>
          <w:p>
            <w:pPr>
              <w:pStyle w:val="TableParagraph"/>
              <w:spacing w:line="122" w:lineRule="exact"/>
              <w:ind w:left="25"/>
              <w:rPr>
                <w:b/>
                <w:sz w:val="13"/>
              </w:rPr>
            </w:pPr>
            <w:r>
              <w:rPr>
                <w:b/>
                <w:sz w:val="13"/>
              </w:rPr>
              <w:t>Net</w:t>
            </w:r>
            <w:r>
              <w:rPr>
                <w:b/>
                <w:spacing w:val="-4"/>
                <w:sz w:val="13"/>
              </w:rPr>
              <w:t> </w:t>
            </w:r>
            <w:r>
              <w:rPr>
                <w:b/>
                <w:sz w:val="13"/>
              </w:rPr>
              <w:t>cash</w:t>
            </w:r>
            <w:r>
              <w:rPr>
                <w:b/>
                <w:spacing w:val="-3"/>
                <w:sz w:val="13"/>
              </w:rPr>
              <w:t> </w:t>
            </w:r>
            <w:r>
              <w:rPr>
                <w:b/>
                <w:sz w:val="13"/>
              </w:rPr>
              <w:t>provided</w:t>
            </w:r>
            <w:r>
              <w:rPr>
                <w:b/>
                <w:spacing w:val="-3"/>
                <w:sz w:val="13"/>
              </w:rPr>
              <w:t> </w:t>
            </w:r>
            <w:r>
              <w:rPr>
                <w:b/>
                <w:sz w:val="13"/>
              </w:rPr>
              <w:t>by/(used</w:t>
            </w:r>
            <w:r>
              <w:rPr>
                <w:b/>
                <w:spacing w:val="-3"/>
                <w:sz w:val="13"/>
              </w:rPr>
              <w:t> </w:t>
            </w:r>
            <w:r>
              <w:rPr>
                <w:b/>
                <w:sz w:val="13"/>
              </w:rPr>
              <w:t>in)</w:t>
            </w:r>
            <w:r>
              <w:rPr>
                <w:b/>
                <w:spacing w:val="-3"/>
                <w:sz w:val="13"/>
              </w:rPr>
              <w:t> </w:t>
            </w:r>
            <w:r>
              <w:rPr>
                <w:b/>
                <w:sz w:val="13"/>
              </w:rPr>
              <w:t>investing</w:t>
            </w:r>
            <w:r>
              <w:rPr>
                <w:b/>
                <w:spacing w:val="-3"/>
                <w:sz w:val="13"/>
              </w:rPr>
              <w:t> </w:t>
            </w:r>
            <w:r>
              <w:rPr>
                <w:b/>
                <w:spacing w:val="-2"/>
                <w:sz w:val="13"/>
              </w:rPr>
              <w:t>activities</w:t>
            </w:r>
          </w:p>
        </w:tc>
        <w:tc>
          <w:tcPr>
            <w:tcW w:w="541" w:type="dxa"/>
          </w:tcPr>
          <w:p>
            <w:pPr>
              <w:pStyle w:val="TableParagraph"/>
              <w:rPr>
                <w:rFonts w:ascii="Times New Roman"/>
                <w:sz w:val="8"/>
              </w:rPr>
            </w:pPr>
          </w:p>
        </w:tc>
        <w:tc>
          <w:tcPr>
            <w:tcW w:w="1122" w:type="dxa"/>
            <w:tcBorders>
              <w:top w:val="single" w:sz="6" w:space="0" w:color="000000"/>
              <w:bottom w:val="single" w:sz="6" w:space="0" w:color="000000"/>
            </w:tcBorders>
          </w:tcPr>
          <w:p>
            <w:pPr>
              <w:pStyle w:val="TableParagraph"/>
              <w:spacing w:line="118" w:lineRule="exact"/>
              <w:ind w:right="172"/>
              <w:jc w:val="right"/>
              <w:rPr>
                <w:sz w:val="13"/>
              </w:rPr>
            </w:pPr>
            <w:r>
              <w:rPr>
                <w:spacing w:val="-2"/>
                <w:sz w:val="13"/>
              </w:rPr>
              <w:t>(109,320)</w:t>
            </w:r>
          </w:p>
        </w:tc>
        <w:tc>
          <w:tcPr>
            <w:tcW w:w="969" w:type="dxa"/>
            <w:tcBorders>
              <w:top w:val="single" w:sz="6" w:space="0" w:color="000000"/>
              <w:bottom w:val="single" w:sz="6" w:space="0" w:color="000000"/>
            </w:tcBorders>
          </w:tcPr>
          <w:p>
            <w:pPr>
              <w:pStyle w:val="TableParagraph"/>
              <w:spacing w:line="118" w:lineRule="exact"/>
              <w:ind w:right="216"/>
              <w:jc w:val="right"/>
              <w:rPr>
                <w:sz w:val="13"/>
              </w:rPr>
            </w:pPr>
            <w:r>
              <w:rPr>
                <w:spacing w:val="-2"/>
                <w:sz w:val="13"/>
              </w:rPr>
              <w:t>4,201</w:t>
            </w:r>
          </w:p>
        </w:tc>
        <w:tc>
          <w:tcPr>
            <w:tcW w:w="969" w:type="dxa"/>
            <w:tcBorders>
              <w:top w:val="single" w:sz="6" w:space="0" w:color="000000"/>
              <w:bottom w:val="single" w:sz="6" w:space="0" w:color="000000"/>
            </w:tcBorders>
          </w:tcPr>
          <w:p>
            <w:pPr>
              <w:pStyle w:val="TableParagraph"/>
              <w:spacing w:line="118" w:lineRule="exact"/>
              <w:ind w:right="173"/>
              <w:jc w:val="right"/>
              <w:rPr>
                <w:sz w:val="13"/>
              </w:rPr>
            </w:pPr>
            <w:r>
              <w:rPr>
                <w:spacing w:val="-2"/>
                <w:sz w:val="13"/>
              </w:rPr>
              <w:t>(109,358)</w:t>
            </w:r>
          </w:p>
        </w:tc>
        <w:tc>
          <w:tcPr>
            <w:tcW w:w="818" w:type="dxa"/>
            <w:tcBorders>
              <w:top w:val="single" w:sz="6" w:space="0" w:color="000000"/>
              <w:bottom w:val="single" w:sz="6" w:space="0" w:color="000000"/>
            </w:tcBorders>
          </w:tcPr>
          <w:p>
            <w:pPr>
              <w:pStyle w:val="TableParagraph"/>
              <w:spacing w:line="118" w:lineRule="exact"/>
              <w:ind w:right="66"/>
              <w:jc w:val="right"/>
              <w:rPr>
                <w:sz w:val="13"/>
              </w:rPr>
            </w:pPr>
            <w:r>
              <w:rPr>
                <w:spacing w:val="-2"/>
                <w:sz w:val="13"/>
              </w:rPr>
              <w:t>4,855</w:t>
            </w:r>
          </w:p>
        </w:tc>
      </w:tr>
      <w:tr>
        <w:trPr>
          <w:trHeight w:val="367" w:hRule="atLeast"/>
        </w:trPr>
        <w:tc>
          <w:tcPr>
            <w:tcW w:w="4584" w:type="dxa"/>
          </w:tcPr>
          <w:p>
            <w:pPr>
              <w:pStyle w:val="TableParagraph"/>
              <w:spacing w:before="138"/>
              <w:ind w:left="25"/>
              <w:rPr>
                <w:b/>
                <w:sz w:val="13"/>
              </w:rPr>
            </w:pPr>
            <w:r>
              <w:rPr>
                <w:b/>
                <w:sz w:val="13"/>
              </w:rPr>
              <w:t>Cash</w:t>
            </w:r>
            <w:r>
              <w:rPr>
                <w:b/>
                <w:spacing w:val="-2"/>
                <w:sz w:val="13"/>
              </w:rPr>
              <w:t> </w:t>
            </w:r>
            <w:r>
              <w:rPr>
                <w:b/>
                <w:sz w:val="13"/>
              </w:rPr>
              <w:t>flows</w:t>
            </w:r>
            <w:r>
              <w:rPr>
                <w:b/>
                <w:spacing w:val="-1"/>
                <w:sz w:val="13"/>
              </w:rPr>
              <w:t> </w:t>
            </w:r>
            <w:r>
              <w:rPr>
                <w:b/>
                <w:sz w:val="13"/>
              </w:rPr>
              <w:t>from</w:t>
            </w:r>
            <w:r>
              <w:rPr>
                <w:b/>
                <w:spacing w:val="1"/>
                <w:sz w:val="13"/>
              </w:rPr>
              <w:t> </w:t>
            </w:r>
            <w:r>
              <w:rPr>
                <w:b/>
                <w:sz w:val="13"/>
              </w:rPr>
              <w:t>financing</w:t>
            </w:r>
            <w:r>
              <w:rPr>
                <w:b/>
                <w:spacing w:val="-1"/>
                <w:sz w:val="13"/>
              </w:rPr>
              <w:t> </w:t>
            </w:r>
            <w:r>
              <w:rPr>
                <w:b/>
                <w:spacing w:val="-2"/>
                <w:sz w:val="13"/>
              </w:rPr>
              <w:t>activities</w:t>
            </w:r>
          </w:p>
        </w:tc>
        <w:tc>
          <w:tcPr>
            <w:tcW w:w="541" w:type="dxa"/>
          </w:tcPr>
          <w:p>
            <w:pPr>
              <w:pStyle w:val="TableParagraph"/>
              <w:rPr>
                <w:rFonts w:ascii="Times New Roman"/>
                <w:sz w:val="12"/>
              </w:rPr>
            </w:pPr>
          </w:p>
        </w:tc>
        <w:tc>
          <w:tcPr>
            <w:tcW w:w="1122" w:type="dxa"/>
            <w:tcBorders>
              <w:top w:val="single" w:sz="6" w:space="0" w:color="000000"/>
            </w:tcBorders>
          </w:tcPr>
          <w:p>
            <w:pPr>
              <w:pStyle w:val="TableParagraph"/>
              <w:rPr>
                <w:rFonts w:ascii="Times New Roman"/>
                <w:sz w:val="12"/>
              </w:rPr>
            </w:pPr>
          </w:p>
        </w:tc>
        <w:tc>
          <w:tcPr>
            <w:tcW w:w="969" w:type="dxa"/>
            <w:tcBorders>
              <w:top w:val="single" w:sz="6" w:space="0" w:color="000000"/>
            </w:tcBorders>
          </w:tcPr>
          <w:p>
            <w:pPr>
              <w:pStyle w:val="TableParagraph"/>
              <w:rPr>
                <w:rFonts w:ascii="Times New Roman"/>
                <w:sz w:val="12"/>
              </w:rPr>
            </w:pPr>
          </w:p>
        </w:tc>
        <w:tc>
          <w:tcPr>
            <w:tcW w:w="969" w:type="dxa"/>
            <w:tcBorders>
              <w:top w:val="single" w:sz="6" w:space="0" w:color="000000"/>
            </w:tcBorders>
          </w:tcPr>
          <w:p>
            <w:pPr>
              <w:pStyle w:val="TableParagraph"/>
              <w:rPr>
                <w:rFonts w:ascii="Times New Roman"/>
                <w:sz w:val="12"/>
              </w:rPr>
            </w:pPr>
          </w:p>
        </w:tc>
        <w:tc>
          <w:tcPr>
            <w:tcW w:w="818" w:type="dxa"/>
            <w:tcBorders>
              <w:top w:val="single" w:sz="6" w:space="0" w:color="000000"/>
            </w:tcBorders>
          </w:tcPr>
          <w:p>
            <w:pPr>
              <w:pStyle w:val="TableParagraph"/>
              <w:rPr>
                <w:rFonts w:ascii="Times New Roman"/>
                <w:sz w:val="12"/>
              </w:rPr>
            </w:pPr>
          </w:p>
        </w:tc>
      </w:tr>
      <w:tr>
        <w:trPr>
          <w:trHeight w:val="229" w:hRule="atLeast"/>
        </w:trPr>
        <w:tc>
          <w:tcPr>
            <w:tcW w:w="4584" w:type="dxa"/>
          </w:tcPr>
          <w:p>
            <w:pPr>
              <w:pStyle w:val="TableParagraph"/>
              <w:spacing w:line="132" w:lineRule="exact" w:before="76"/>
              <w:ind w:left="134"/>
              <w:rPr>
                <w:sz w:val="13"/>
              </w:rPr>
            </w:pPr>
            <w:r>
              <w:rPr>
                <w:sz w:val="13"/>
              </w:rPr>
              <w:t>Repayments</w:t>
            </w:r>
            <w:r>
              <w:rPr>
                <w:spacing w:val="-2"/>
                <w:sz w:val="13"/>
              </w:rPr>
              <w:t> </w:t>
            </w:r>
            <w:r>
              <w:rPr>
                <w:sz w:val="13"/>
              </w:rPr>
              <w:t>of</w:t>
            </w:r>
            <w:r>
              <w:rPr>
                <w:spacing w:val="-1"/>
                <w:sz w:val="13"/>
              </w:rPr>
              <w:t> </w:t>
            </w:r>
            <w:r>
              <w:rPr>
                <w:spacing w:val="-2"/>
                <w:sz w:val="13"/>
              </w:rPr>
              <w:t>borrowings</w:t>
            </w:r>
          </w:p>
        </w:tc>
        <w:tc>
          <w:tcPr>
            <w:tcW w:w="541" w:type="dxa"/>
          </w:tcPr>
          <w:p>
            <w:pPr>
              <w:pStyle w:val="TableParagraph"/>
              <w:rPr>
                <w:rFonts w:ascii="Times New Roman"/>
                <w:sz w:val="12"/>
              </w:rPr>
            </w:pPr>
          </w:p>
        </w:tc>
        <w:tc>
          <w:tcPr>
            <w:tcW w:w="1122" w:type="dxa"/>
          </w:tcPr>
          <w:p>
            <w:pPr>
              <w:pStyle w:val="TableParagraph"/>
              <w:spacing w:line="132" w:lineRule="exact" w:before="76"/>
              <w:ind w:right="173"/>
              <w:jc w:val="right"/>
              <w:rPr>
                <w:sz w:val="13"/>
              </w:rPr>
            </w:pPr>
            <w:r>
              <w:rPr>
                <w:spacing w:val="-2"/>
                <w:sz w:val="13"/>
              </w:rPr>
              <w:t>(4,431)</w:t>
            </w:r>
          </w:p>
        </w:tc>
        <w:tc>
          <w:tcPr>
            <w:tcW w:w="969" w:type="dxa"/>
          </w:tcPr>
          <w:p>
            <w:pPr>
              <w:pStyle w:val="TableParagraph"/>
              <w:spacing w:line="132" w:lineRule="exact" w:before="76"/>
              <w:ind w:right="173"/>
              <w:jc w:val="right"/>
              <w:rPr>
                <w:sz w:val="13"/>
              </w:rPr>
            </w:pPr>
            <w:r>
              <w:rPr>
                <w:spacing w:val="-2"/>
                <w:sz w:val="13"/>
              </w:rPr>
              <w:t>(9,544)</w:t>
            </w:r>
          </w:p>
        </w:tc>
        <w:tc>
          <w:tcPr>
            <w:tcW w:w="969" w:type="dxa"/>
          </w:tcPr>
          <w:p>
            <w:pPr>
              <w:pStyle w:val="TableParagraph"/>
              <w:spacing w:line="132" w:lineRule="exact" w:before="76"/>
              <w:ind w:right="173"/>
              <w:jc w:val="right"/>
              <w:rPr>
                <w:sz w:val="13"/>
              </w:rPr>
            </w:pPr>
            <w:r>
              <w:rPr>
                <w:spacing w:val="-2"/>
                <w:sz w:val="13"/>
              </w:rPr>
              <w:t>(4,431)</w:t>
            </w:r>
          </w:p>
        </w:tc>
        <w:tc>
          <w:tcPr>
            <w:tcW w:w="818" w:type="dxa"/>
          </w:tcPr>
          <w:p>
            <w:pPr>
              <w:pStyle w:val="TableParagraph"/>
              <w:spacing w:line="132" w:lineRule="exact" w:before="76"/>
              <w:ind w:right="23"/>
              <w:jc w:val="right"/>
              <w:rPr>
                <w:sz w:val="13"/>
              </w:rPr>
            </w:pPr>
            <w:r>
              <w:rPr>
                <w:spacing w:val="-2"/>
                <w:sz w:val="13"/>
              </w:rPr>
              <w:t>(9,544)</w:t>
            </w:r>
          </w:p>
        </w:tc>
      </w:tr>
      <w:tr>
        <w:trPr>
          <w:trHeight w:val="152" w:hRule="atLeast"/>
        </w:trPr>
        <w:tc>
          <w:tcPr>
            <w:tcW w:w="4584" w:type="dxa"/>
          </w:tcPr>
          <w:p>
            <w:pPr>
              <w:pStyle w:val="TableParagraph"/>
              <w:spacing w:line="132" w:lineRule="exact"/>
              <w:ind w:left="134"/>
              <w:rPr>
                <w:sz w:val="13"/>
              </w:rPr>
            </w:pPr>
            <w:r>
              <w:rPr>
                <w:sz w:val="13"/>
              </w:rPr>
              <w:t>Proceeds from</w:t>
            </w:r>
            <w:r>
              <w:rPr>
                <w:spacing w:val="1"/>
                <w:sz w:val="13"/>
              </w:rPr>
              <w:t> </w:t>
            </w:r>
            <w:r>
              <w:rPr>
                <w:spacing w:val="-2"/>
                <w:sz w:val="13"/>
              </w:rPr>
              <w:t>borrowings</w:t>
            </w:r>
          </w:p>
        </w:tc>
        <w:tc>
          <w:tcPr>
            <w:tcW w:w="541" w:type="dxa"/>
          </w:tcPr>
          <w:p>
            <w:pPr>
              <w:pStyle w:val="TableParagraph"/>
              <w:rPr>
                <w:rFonts w:ascii="Times New Roman"/>
                <w:sz w:val="8"/>
              </w:rPr>
            </w:pPr>
          </w:p>
        </w:tc>
        <w:tc>
          <w:tcPr>
            <w:tcW w:w="1122" w:type="dxa"/>
          </w:tcPr>
          <w:p>
            <w:pPr>
              <w:pStyle w:val="TableParagraph"/>
              <w:spacing w:line="132" w:lineRule="exact"/>
              <w:ind w:right="216"/>
              <w:jc w:val="right"/>
              <w:rPr>
                <w:sz w:val="13"/>
              </w:rPr>
            </w:pPr>
            <w:r>
              <w:rPr>
                <w:spacing w:val="-2"/>
                <w:sz w:val="13"/>
              </w:rPr>
              <w:t>56,000</w:t>
            </w:r>
          </w:p>
        </w:tc>
        <w:tc>
          <w:tcPr>
            <w:tcW w:w="969" w:type="dxa"/>
          </w:tcPr>
          <w:p>
            <w:pPr>
              <w:pStyle w:val="TableParagraph"/>
              <w:spacing w:line="132" w:lineRule="exact"/>
              <w:ind w:right="173"/>
              <w:jc w:val="right"/>
              <w:rPr>
                <w:sz w:val="13"/>
              </w:rPr>
            </w:pPr>
            <w:r>
              <w:rPr>
                <w:spacing w:val="-10"/>
                <w:sz w:val="13"/>
              </w:rPr>
              <w:t>-</w:t>
            </w:r>
          </w:p>
        </w:tc>
        <w:tc>
          <w:tcPr>
            <w:tcW w:w="969" w:type="dxa"/>
          </w:tcPr>
          <w:p>
            <w:pPr>
              <w:pStyle w:val="TableParagraph"/>
              <w:spacing w:line="132" w:lineRule="exact"/>
              <w:ind w:right="217"/>
              <w:jc w:val="right"/>
              <w:rPr>
                <w:sz w:val="13"/>
              </w:rPr>
            </w:pPr>
            <w:r>
              <w:rPr>
                <w:spacing w:val="-2"/>
                <w:sz w:val="13"/>
              </w:rPr>
              <w:t>56,000</w:t>
            </w:r>
          </w:p>
        </w:tc>
        <w:tc>
          <w:tcPr>
            <w:tcW w:w="818" w:type="dxa"/>
          </w:tcPr>
          <w:p>
            <w:pPr>
              <w:pStyle w:val="TableParagraph"/>
              <w:spacing w:line="132" w:lineRule="exact"/>
              <w:ind w:right="22"/>
              <w:jc w:val="right"/>
              <w:rPr>
                <w:sz w:val="13"/>
              </w:rPr>
            </w:pPr>
            <w:r>
              <w:rPr>
                <w:spacing w:val="-10"/>
                <w:sz w:val="13"/>
              </w:rPr>
              <w:t>-</w:t>
            </w:r>
          </w:p>
        </w:tc>
      </w:tr>
      <w:tr>
        <w:trPr>
          <w:trHeight w:val="309" w:hRule="atLeast"/>
        </w:trPr>
        <w:tc>
          <w:tcPr>
            <w:tcW w:w="4584" w:type="dxa"/>
          </w:tcPr>
          <w:p>
            <w:pPr>
              <w:pStyle w:val="TableParagraph"/>
              <w:ind w:left="134"/>
              <w:rPr>
                <w:sz w:val="13"/>
              </w:rPr>
            </w:pPr>
            <w:r>
              <w:rPr>
                <w:sz w:val="13"/>
              </w:rPr>
              <w:t>Repayment</w:t>
            </w:r>
            <w:r>
              <w:rPr>
                <w:spacing w:val="-1"/>
                <w:sz w:val="13"/>
              </w:rPr>
              <w:t> </w:t>
            </w:r>
            <w:r>
              <w:rPr>
                <w:sz w:val="13"/>
              </w:rPr>
              <w:t>of</w:t>
            </w:r>
            <w:r>
              <w:rPr>
                <w:spacing w:val="-1"/>
                <w:sz w:val="13"/>
              </w:rPr>
              <w:t> </w:t>
            </w:r>
            <w:r>
              <w:rPr>
                <w:sz w:val="13"/>
              </w:rPr>
              <w:t>lease</w:t>
            </w:r>
            <w:r>
              <w:rPr>
                <w:spacing w:val="-2"/>
                <w:sz w:val="13"/>
              </w:rPr>
              <w:t> liability</w:t>
            </w:r>
          </w:p>
        </w:tc>
        <w:tc>
          <w:tcPr>
            <w:tcW w:w="541" w:type="dxa"/>
          </w:tcPr>
          <w:p>
            <w:pPr>
              <w:pStyle w:val="TableParagraph"/>
              <w:rPr>
                <w:rFonts w:ascii="Times New Roman"/>
                <w:sz w:val="12"/>
              </w:rPr>
            </w:pPr>
          </w:p>
        </w:tc>
        <w:tc>
          <w:tcPr>
            <w:tcW w:w="1122" w:type="dxa"/>
            <w:tcBorders>
              <w:bottom w:val="single" w:sz="6" w:space="0" w:color="000000"/>
            </w:tcBorders>
          </w:tcPr>
          <w:p>
            <w:pPr>
              <w:pStyle w:val="TableParagraph"/>
              <w:ind w:right="173"/>
              <w:jc w:val="right"/>
              <w:rPr>
                <w:sz w:val="13"/>
              </w:rPr>
            </w:pPr>
            <w:r>
              <w:rPr>
                <w:spacing w:val="-2"/>
                <w:sz w:val="13"/>
              </w:rPr>
              <w:t>(432)</w:t>
            </w:r>
          </w:p>
        </w:tc>
        <w:tc>
          <w:tcPr>
            <w:tcW w:w="969" w:type="dxa"/>
            <w:tcBorders>
              <w:bottom w:val="single" w:sz="6" w:space="0" w:color="000000"/>
            </w:tcBorders>
          </w:tcPr>
          <w:p>
            <w:pPr>
              <w:pStyle w:val="TableParagraph"/>
              <w:spacing w:before="9"/>
              <w:ind w:right="173"/>
              <w:jc w:val="right"/>
              <w:rPr>
                <w:sz w:val="13"/>
              </w:rPr>
            </w:pPr>
            <w:r>
              <w:rPr>
                <w:spacing w:val="-2"/>
                <w:sz w:val="13"/>
              </w:rPr>
              <w:t>(668)</w:t>
            </w:r>
          </w:p>
        </w:tc>
        <w:tc>
          <w:tcPr>
            <w:tcW w:w="969" w:type="dxa"/>
            <w:tcBorders>
              <w:bottom w:val="single" w:sz="6" w:space="0" w:color="000000"/>
            </w:tcBorders>
          </w:tcPr>
          <w:p>
            <w:pPr>
              <w:pStyle w:val="TableParagraph"/>
              <w:ind w:right="173"/>
              <w:jc w:val="right"/>
              <w:rPr>
                <w:sz w:val="13"/>
              </w:rPr>
            </w:pPr>
            <w:r>
              <w:rPr>
                <w:spacing w:val="-2"/>
                <w:sz w:val="13"/>
              </w:rPr>
              <w:t>(551)</w:t>
            </w:r>
          </w:p>
        </w:tc>
        <w:tc>
          <w:tcPr>
            <w:tcW w:w="818" w:type="dxa"/>
            <w:tcBorders>
              <w:bottom w:val="single" w:sz="6" w:space="0" w:color="000000"/>
            </w:tcBorders>
          </w:tcPr>
          <w:p>
            <w:pPr>
              <w:pStyle w:val="TableParagraph"/>
              <w:spacing w:before="9"/>
              <w:ind w:right="23"/>
              <w:jc w:val="right"/>
              <w:rPr>
                <w:sz w:val="13"/>
              </w:rPr>
            </w:pPr>
            <w:r>
              <w:rPr>
                <w:spacing w:val="-2"/>
                <w:sz w:val="13"/>
              </w:rPr>
              <w:t>(668)</w:t>
            </w:r>
          </w:p>
        </w:tc>
      </w:tr>
      <w:tr>
        <w:trPr>
          <w:trHeight w:val="142" w:hRule="atLeast"/>
        </w:trPr>
        <w:tc>
          <w:tcPr>
            <w:tcW w:w="4584" w:type="dxa"/>
          </w:tcPr>
          <w:p>
            <w:pPr>
              <w:pStyle w:val="TableParagraph"/>
              <w:spacing w:line="122" w:lineRule="exact"/>
              <w:ind w:left="25"/>
              <w:rPr>
                <w:b/>
                <w:sz w:val="13"/>
              </w:rPr>
            </w:pPr>
            <w:r>
              <w:rPr>
                <w:b/>
                <w:sz w:val="13"/>
              </w:rPr>
              <w:t>Net</w:t>
            </w:r>
            <w:r>
              <w:rPr>
                <w:b/>
                <w:spacing w:val="-3"/>
                <w:sz w:val="13"/>
              </w:rPr>
              <w:t> </w:t>
            </w:r>
            <w:r>
              <w:rPr>
                <w:b/>
                <w:sz w:val="13"/>
              </w:rPr>
              <w:t>cash</w:t>
            </w:r>
            <w:r>
              <w:rPr>
                <w:b/>
                <w:spacing w:val="-3"/>
                <w:sz w:val="13"/>
              </w:rPr>
              <w:t> </w:t>
            </w:r>
            <w:r>
              <w:rPr>
                <w:b/>
                <w:sz w:val="13"/>
              </w:rPr>
              <w:t>provided</w:t>
            </w:r>
            <w:r>
              <w:rPr>
                <w:b/>
                <w:spacing w:val="-3"/>
                <w:sz w:val="13"/>
              </w:rPr>
              <w:t> </w:t>
            </w:r>
            <w:r>
              <w:rPr>
                <w:b/>
                <w:sz w:val="13"/>
              </w:rPr>
              <w:t>by/(used</w:t>
            </w:r>
            <w:r>
              <w:rPr>
                <w:b/>
                <w:spacing w:val="-3"/>
                <w:sz w:val="13"/>
              </w:rPr>
              <w:t> </w:t>
            </w:r>
            <w:r>
              <w:rPr>
                <w:b/>
                <w:sz w:val="13"/>
              </w:rPr>
              <w:t>in)</w:t>
            </w:r>
            <w:r>
              <w:rPr>
                <w:b/>
                <w:spacing w:val="-2"/>
                <w:sz w:val="13"/>
              </w:rPr>
              <w:t> </w:t>
            </w:r>
            <w:r>
              <w:rPr>
                <w:b/>
                <w:sz w:val="13"/>
              </w:rPr>
              <w:t>financing</w:t>
            </w:r>
            <w:r>
              <w:rPr>
                <w:b/>
                <w:spacing w:val="-3"/>
                <w:sz w:val="13"/>
              </w:rPr>
              <w:t> </w:t>
            </w:r>
            <w:r>
              <w:rPr>
                <w:b/>
                <w:spacing w:val="-2"/>
                <w:sz w:val="13"/>
              </w:rPr>
              <w:t>activities</w:t>
            </w:r>
          </w:p>
        </w:tc>
        <w:tc>
          <w:tcPr>
            <w:tcW w:w="541" w:type="dxa"/>
          </w:tcPr>
          <w:p>
            <w:pPr>
              <w:pStyle w:val="TableParagraph"/>
              <w:rPr>
                <w:rFonts w:ascii="Times New Roman"/>
                <w:sz w:val="8"/>
              </w:rPr>
            </w:pPr>
          </w:p>
        </w:tc>
        <w:tc>
          <w:tcPr>
            <w:tcW w:w="1122" w:type="dxa"/>
            <w:tcBorders>
              <w:top w:val="single" w:sz="6" w:space="0" w:color="000000"/>
              <w:bottom w:val="single" w:sz="6" w:space="0" w:color="000000"/>
            </w:tcBorders>
          </w:tcPr>
          <w:p>
            <w:pPr>
              <w:pStyle w:val="TableParagraph"/>
              <w:spacing w:line="118" w:lineRule="exact"/>
              <w:ind w:right="216"/>
              <w:jc w:val="right"/>
              <w:rPr>
                <w:sz w:val="13"/>
              </w:rPr>
            </w:pPr>
            <w:r>
              <w:rPr>
                <w:spacing w:val="-2"/>
                <w:sz w:val="13"/>
              </w:rPr>
              <w:t>51,137</w:t>
            </w:r>
          </w:p>
        </w:tc>
        <w:tc>
          <w:tcPr>
            <w:tcW w:w="969" w:type="dxa"/>
            <w:tcBorders>
              <w:top w:val="single" w:sz="6" w:space="0" w:color="000000"/>
              <w:bottom w:val="single" w:sz="6" w:space="0" w:color="000000"/>
            </w:tcBorders>
          </w:tcPr>
          <w:p>
            <w:pPr>
              <w:pStyle w:val="TableParagraph"/>
              <w:spacing w:line="118" w:lineRule="exact"/>
              <w:ind w:right="173"/>
              <w:jc w:val="right"/>
              <w:rPr>
                <w:sz w:val="13"/>
              </w:rPr>
            </w:pPr>
            <w:r>
              <w:rPr>
                <w:spacing w:val="-2"/>
                <w:sz w:val="13"/>
              </w:rPr>
              <w:t>(10,212)</w:t>
            </w:r>
          </w:p>
        </w:tc>
        <w:tc>
          <w:tcPr>
            <w:tcW w:w="969" w:type="dxa"/>
            <w:tcBorders>
              <w:top w:val="single" w:sz="6" w:space="0" w:color="000000"/>
              <w:bottom w:val="single" w:sz="6" w:space="0" w:color="000000"/>
            </w:tcBorders>
          </w:tcPr>
          <w:p>
            <w:pPr>
              <w:pStyle w:val="TableParagraph"/>
              <w:spacing w:line="118" w:lineRule="exact"/>
              <w:ind w:right="217"/>
              <w:jc w:val="right"/>
              <w:rPr>
                <w:sz w:val="13"/>
              </w:rPr>
            </w:pPr>
            <w:r>
              <w:rPr>
                <w:spacing w:val="-2"/>
                <w:sz w:val="13"/>
              </w:rPr>
              <w:t>51,018</w:t>
            </w:r>
          </w:p>
        </w:tc>
        <w:tc>
          <w:tcPr>
            <w:tcW w:w="818" w:type="dxa"/>
            <w:tcBorders>
              <w:top w:val="single" w:sz="6" w:space="0" w:color="000000"/>
              <w:bottom w:val="single" w:sz="6" w:space="0" w:color="000000"/>
            </w:tcBorders>
          </w:tcPr>
          <w:p>
            <w:pPr>
              <w:pStyle w:val="TableParagraph"/>
              <w:spacing w:line="118" w:lineRule="exact"/>
              <w:ind w:right="23"/>
              <w:jc w:val="right"/>
              <w:rPr>
                <w:sz w:val="13"/>
              </w:rPr>
            </w:pPr>
            <w:r>
              <w:rPr>
                <w:spacing w:val="-2"/>
                <w:sz w:val="13"/>
              </w:rPr>
              <w:t>(10,212)</w:t>
            </w:r>
          </w:p>
        </w:tc>
      </w:tr>
      <w:tr>
        <w:trPr>
          <w:trHeight w:val="367" w:hRule="atLeast"/>
        </w:trPr>
        <w:tc>
          <w:tcPr>
            <w:tcW w:w="4584" w:type="dxa"/>
          </w:tcPr>
          <w:p>
            <w:pPr>
              <w:pStyle w:val="TableParagraph"/>
              <w:spacing w:before="138"/>
              <w:ind w:left="25"/>
              <w:rPr>
                <w:b/>
                <w:sz w:val="13"/>
              </w:rPr>
            </w:pPr>
            <w:r>
              <w:rPr>
                <w:b/>
                <w:sz w:val="13"/>
              </w:rPr>
              <w:t>Net</w:t>
            </w:r>
            <w:r>
              <w:rPr>
                <w:b/>
                <w:spacing w:val="-2"/>
                <w:sz w:val="13"/>
              </w:rPr>
              <w:t> </w:t>
            </w:r>
            <w:r>
              <w:rPr>
                <w:b/>
                <w:sz w:val="13"/>
              </w:rPr>
              <w:t>increase/(decrease)</w:t>
            </w:r>
            <w:r>
              <w:rPr>
                <w:b/>
                <w:spacing w:val="-1"/>
                <w:sz w:val="13"/>
              </w:rPr>
              <w:t> </w:t>
            </w:r>
            <w:r>
              <w:rPr>
                <w:b/>
                <w:sz w:val="13"/>
              </w:rPr>
              <w:t>in</w:t>
            </w:r>
            <w:r>
              <w:rPr>
                <w:b/>
                <w:spacing w:val="-2"/>
                <w:sz w:val="13"/>
              </w:rPr>
              <w:t> </w:t>
            </w:r>
            <w:r>
              <w:rPr>
                <w:b/>
                <w:sz w:val="13"/>
              </w:rPr>
              <w:t>cash</w:t>
            </w:r>
            <w:r>
              <w:rPr>
                <w:b/>
                <w:spacing w:val="-1"/>
                <w:sz w:val="13"/>
              </w:rPr>
              <w:t> </w:t>
            </w:r>
            <w:r>
              <w:rPr>
                <w:b/>
                <w:sz w:val="13"/>
              </w:rPr>
              <w:t>and</w:t>
            </w:r>
            <w:r>
              <w:rPr>
                <w:b/>
                <w:spacing w:val="-1"/>
                <w:sz w:val="13"/>
              </w:rPr>
              <w:t> </w:t>
            </w:r>
            <w:r>
              <w:rPr>
                <w:b/>
                <w:sz w:val="13"/>
              </w:rPr>
              <w:t>cash</w:t>
            </w:r>
            <w:r>
              <w:rPr>
                <w:b/>
                <w:spacing w:val="-2"/>
                <w:sz w:val="13"/>
              </w:rPr>
              <w:t> equivalents</w:t>
            </w:r>
          </w:p>
        </w:tc>
        <w:tc>
          <w:tcPr>
            <w:tcW w:w="541" w:type="dxa"/>
          </w:tcPr>
          <w:p>
            <w:pPr>
              <w:pStyle w:val="TableParagraph"/>
              <w:rPr>
                <w:rFonts w:ascii="Times New Roman"/>
                <w:sz w:val="12"/>
              </w:rPr>
            </w:pPr>
          </w:p>
        </w:tc>
        <w:tc>
          <w:tcPr>
            <w:tcW w:w="1122" w:type="dxa"/>
            <w:tcBorders>
              <w:top w:val="single" w:sz="6" w:space="0" w:color="000000"/>
            </w:tcBorders>
          </w:tcPr>
          <w:p>
            <w:pPr>
              <w:pStyle w:val="TableParagraph"/>
              <w:spacing w:before="138"/>
              <w:ind w:right="216"/>
              <w:jc w:val="right"/>
              <w:rPr>
                <w:sz w:val="13"/>
              </w:rPr>
            </w:pPr>
            <w:r>
              <w:rPr>
                <w:spacing w:val="-2"/>
                <w:sz w:val="13"/>
              </w:rPr>
              <w:t>41,283</w:t>
            </w:r>
          </w:p>
        </w:tc>
        <w:tc>
          <w:tcPr>
            <w:tcW w:w="969" w:type="dxa"/>
            <w:tcBorders>
              <w:top w:val="single" w:sz="6" w:space="0" w:color="000000"/>
            </w:tcBorders>
          </w:tcPr>
          <w:p>
            <w:pPr>
              <w:pStyle w:val="TableParagraph"/>
              <w:spacing w:before="138"/>
              <w:ind w:right="216"/>
              <w:jc w:val="right"/>
              <w:rPr>
                <w:sz w:val="13"/>
              </w:rPr>
            </w:pPr>
            <w:r>
              <w:rPr>
                <w:spacing w:val="-2"/>
                <w:sz w:val="13"/>
              </w:rPr>
              <w:t>33,679</w:t>
            </w:r>
          </w:p>
        </w:tc>
        <w:tc>
          <w:tcPr>
            <w:tcW w:w="969" w:type="dxa"/>
            <w:tcBorders>
              <w:top w:val="single" w:sz="6" w:space="0" w:color="000000"/>
            </w:tcBorders>
          </w:tcPr>
          <w:p>
            <w:pPr>
              <w:pStyle w:val="TableParagraph"/>
              <w:spacing w:before="138"/>
              <w:ind w:right="217"/>
              <w:jc w:val="right"/>
              <w:rPr>
                <w:sz w:val="13"/>
              </w:rPr>
            </w:pPr>
            <w:r>
              <w:rPr>
                <w:spacing w:val="-2"/>
                <w:sz w:val="13"/>
              </w:rPr>
              <w:t>43,422</w:t>
            </w:r>
          </w:p>
        </w:tc>
        <w:tc>
          <w:tcPr>
            <w:tcW w:w="818" w:type="dxa"/>
            <w:tcBorders>
              <w:top w:val="single" w:sz="6" w:space="0" w:color="000000"/>
            </w:tcBorders>
          </w:tcPr>
          <w:p>
            <w:pPr>
              <w:pStyle w:val="TableParagraph"/>
              <w:spacing w:before="138"/>
              <w:ind w:right="66"/>
              <w:jc w:val="right"/>
              <w:rPr>
                <w:sz w:val="13"/>
              </w:rPr>
            </w:pPr>
            <w:r>
              <w:rPr>
                <w:spacing w:val="-2"/>
                <w:sz w:val="13"/>
              </w:rPr>
              <w:t>24,919</w:t>
            </w:r>
          </w:p>
        </w:tc>
      </w:tr>
      <w:tr>
        <w:trPr>
          <w:trHeight w:val="241" w:hRule="atLeast"/>
        </w:trPr>
        <w:tc>
          <w:tcPr>
            <w:tcW w:w="4584" w:type="dxa"/>
          </w:tcPr>
          <w:p>
            <w:pPr>
              <w:pStyle w:val="TableParagraph"/>
              <w:spacing w:line="145" w:lineRule="exact" w:before="76"/>
              <w:ind w:left="25"/>
              <w:rPr>
                <w:sz w:val="13"/>
              </w:rPr>
            </w:pPr>
            <w:r>
              <w:rPr>
                <w:sz w:val="13"/>
              </w:rPr>
              <w:t>Cash</w:t>
            </w:r>
            <w:r>
              <w:rPr>
                <w:spacing w:val="-1"/>
                <w:sz w:val="13"/>
              </w:rPr>
              <w:t> </w:t>
            </w:r>
            <w:r>
              <w:rPr>
                <w:sz w:val="13"/>
              </w:rPr>
              <w:t>and</w:t>
            </w:r>
            <w:r>
              <w:rPr>
                <w:spacing w:val="-1"/>
                <w:sz w:val="13"/>
              </w:rPr>
              <w:t> </w:t>
            </w:r>
            <w:r>
              <w:rPr>
                <w:sz w:val="13"/>
              </w:rPr>
              <w:t>cash</w:t>
            </w:r>
            <w:r>
              <w:rPr>
                <w:spacing w:val="-1"/>
                <w:sz w:val="13"/>
              </w:rPr>
              <w:t> </w:t>
            </w:r>
            <w:r>
              <w:rPr>
                <w:sz w:val="13"/>
              </w:rPr>
              <w:t>equivalents</w:t>
            </w:r>
            <w:r>
              <w:rPr>
                <w:spacing w:val="1"/>
                <w:sz w:val="13"/>
              </w:rPr>
              <w:t> </w:t>
            </w:r>
            <w:r>
              <w:rPr>
                <w:sz w:val="13"/>
              </w:rPr>
              <w:t>at beginning of </w:t>
            </w:r>
            <w:r>
              <w:rPr>
                <w:spacing w:val="-4"/>
                <w:sz w:val="13"/>
              </w:rPr>
              <w:t>year</w:t>
            </w:r>
          </w:p>
        </w:tc>
        <w:tc>
          <w:tcPr>
            <w:tcW w:w="541" w:type="dxa"/>
          </w:tcPr>
          <w:p>
            <w:pPr>
              <w:pStyle w:val="TableParagraph"/>
              <w:rPr>
                <w:rFonts w:ascii="Times New Roman"/>
                <w:sz w:val="12"/>
              </w:rPr>
            </w:pPr>
          </w:p>
        </w:tc>
        <w:tc>
          <w:tcPr>
            <w:tcW w:w="1122" w:type="dxa"/>
          </w:tcPr>
          <w:p>
            <w:pPr>
              <w:pStyle w:val="TableParagraph"/>
              <w:spacing w:line="145" w:lineRule="exact" w:before="76"/>
              <w:ind w:right="216"/>
              <w:jc w:val="right"/>
              <w:rPr>
                <w:sz w:val="13"/>
              </w:rPr>
            </w:pPr>
            <w:r>
              <w:rPr>
                <w:spacing w:val="-2"/>
                <w:sz w:val="13"/>
              </w:rPr>
              <w:t>85,807</w:t>
            </w:r>
          </w:p>
        </w:tc>
        <w:tc>
          <w:tcPr>
            <w:tcW w:w="969" w:type="dxa"/>
          </w:tcPr>
          <w:p>
            <w:pPr>
              <w:pStyle w:val="TableParagraph"/>
              <w:spacing w:line="145" w:lineRule="exact" w:before="76"/>
              <w:ind w:right="216"/>
              <w:jc w:val="right"/>
              <w:rPr>
                <w:sz w:val="13"/>
              </w:rPr>
            </w:pPr>
            <w:r>
              <w:rPr>
                <w:spacing w:val="-2"/>
                <w:sz w:val="13"/>
              </w:rPr>
              <w:t>52,162</w:t>
            </w:r>
          </w:p>
        </w:tc>
        <w:tc>
          <w:tcPr>
            <w:tcW w:w="969" w:type="dxa"/>
          </w:tcPr>
          <w:p>
            <w:pPr>
              <w:pStyle w:val="TableParagraph"/>
              <w:spacing w:line="145" w:lineRule="exact" w:before="76"/>
              <w:ind w:right="217"/>
              <w:jc w:val="right"/>
              <w:rPr>
                <w:sz w:val="13"/>
              </w:rPr>
            </w:pPr>
            <w:r>
              <w:rPr>
                <w:spacing w:val="-2"/>
                <w:sz w:val="13"/>
              </w:rPr>
              <w:t>72,967</w:t>
            </w:r>
          </w:p>
        </w:tc>
        <w:tc>
          <w:tcPr>
            <w:tcW w:w="818" w:type="dxa"/>
          </w:tcPr>
          <w:p>
            <w:pPr>
              <w:pStyle w:val="TableParagraph"/>
              <w:spacing w:line="145" w:lineRule="exact" w:before="76"/>
              <w:ind w:right="66"/>
              <w:jc w:val="right"/>
              <w:rPr>
                <w:sz w:val="13"/>
              </w:rPr>
            </w:pPr>
            <w:r>
              <w:rPr>
                <w:spacing w:val="-2"/>
                <w:sz w:val="13"/>
              </w:rPr>
              <w:t>48,082</w:t>
            </w:r>
          </w:p>
        </w:tc>
      </w:tr>
      <w:tr>
        <w:trPr>
          <w:trHeight w:val="319" w:hRule="atLeast"/>
        </w:trPr>
        <w:tc>
          <w:tcPr>
            <w:tcW w:w="4584" w:type="dxa"/>
          </w:tcPr>
          <w:p>
            <w:pPr>
              <w:pStyle w:val="TableParagraph"/>
              <w:spacing w:before="12"/>
              <w:ind w:left="25"/>
              <w:rPr>
                <w:sz w:val="13"/>
              </w:rPr>
            </w:pPr>
            <w:r>
              <w:rPr>
                <w:sz w:val="13"/>
              </w:rPr>
              <w:t>Effects of exchange</w:t>
            </w:r>
            <w:r>
              <w:rPr>
                <w:spacing w:val="-1"/>
                <w:sz w:val="13"/>
              </w:rPr>
              <w:t> </w:t>
            </w:r>
            <w:r>
              <w:rPr>
                <w:sz w:val="13"/>
              </w:rPr>
              <w:t>rate</w:t>
            </w:r>
            <w:r>
              <w:rPr>
                <w:spacing w:val="-1"/>
                <w:sz w:val="13"/>
              </w:rPr>
              <w:t> </w:t>
            </w:r>
            <w:r>
              <w:rPr>
                <w:sz w:val="13"/>
              </w:rPr>
              <w:t>changes on</w:t>
            </w:r>
            <w:r>
              <w:rPr>
                <w:spacing w:val="-1"/>
                <w:sz w:val="13"/>
              </w:rPr>
              <w:t> </w:t>
            </w:r>
            <w:r>
              <w:rPr>
                <w:sz w:val="13"/>
              </w:rPr>
              <w:t>cash</w:t>
            </w:r>
            <w:r>
              <w:rPr>
                <w:spacing w:val="-1"/>
                <w:sz w:val="13"/>
              </w:rPr>
              <w:t> </w:t>
            </w:r>
            <w:r>
              <w:rPr>
                <w:sz w:val="13"/>
              </w:rPr>
              <w:t>and</w:t>
            </w:r>
            <w:r>
              <w:rPr>
                <w:spacing w:val="-1"/>
                <w:sz w:val="13"/>
              </w:rPr>
              <w:t> </w:t>
            </w:r>
            <w:r>
              <w:rPr>
                <w:sz w:val="13"/>
              </w:rPr>
              <w:t>cash</w:t>
            </w:r>
            <w:r>
              <w:rPr>
                <w:spacing w:val="-1"/>
                <w:sz w:val="13"/>
              </w:rPr>
              <w:t> </w:t>
            </w:r>
            <w:r>
              <w:rPr>
                <w:spacing w:val="-2"/>
                <w:sz w:val="13"/>
              </w:rPr>
              <w:t>equivalents</w:t>
            </w:r>
          </w:p>
        </w:tc>
        <w:tc>
          <w:tcPr>
            <w:tcW w:w="541" w:type="dxa"/>
          </w:tcPr>
          <w:p>
            <w:pPr>
              <w:pStyle w:val="TableParagraph"/>
              <w:rPr>
                <w:rFonts w:ascii="Times New Roman"/>
                <w:sz w:val="12"/>
              </w:rPr>
            </w:pPr>
          </w:p>
        </w:tc>
        <w:tc>
          <w:tcPr>
            <w:tcW w:w="1122" w:type="dxa"/>
            <w:tcBorders>
              <w:bottom w:val="single" w:sz="6" w:space="0" w:color="000000"/>
            </w:tcBorders>
          </w:tcPr>
          <w:p>
            <w:pPr>
              <w:pStyle w:val="TableParagraph"/>
              <w:spacing w:before="15"/>
              <w:ind w:right="172"/>
              <w:jc w:val="right"/>
              <w:rPr>
                <w:sz w:val="13"/>
              </w:rPr>
            </w:pPr>
            <w:r>
              <w:rPr>
                <w:spacing w:val="-10"/>
                <w:sz w:val="13"/>
              </w:rPr>
              <w:t>-</w:t>
            </w:r>
          </w:p>
        </w:tc>
        <w:tc>
          <w:tcPr>
            <w:tcW w:w="969" w:type="dxa"/>
            <w:tcBorders>
              <w:bottom w:val="single" w:sz="6" w:space="0" w:color="000000"/>
            </w:tcBorders>
          </w:tcPr>
          <w:p>
            <w:pPr>
              <w:pStyle w:val="TableParagraph"/>
              <w:spacing w:before="15"/>
              <w:ind w:right="173"/>
              <w:jc w:val="right"/>
              <w:rPr>
                <w:sz w:val="13"/>
              </w:rPr>
            </w:pPr>
            <w:r>
              <w:rPr>
                <w:spacing w:val="-4"/>
                <w:sz w:val="13"/>
              </w:rPr>
              <w:t>(34)</w:t>
            </w:r>
          </w:p>
        </w:tc>
        <w:tc>
          <w:tcPr>
            <w:tcW w:w="969" w:type="dxa"/>
            <w:tcBorders>
              <w:bottom w:val="single" w:sz="6" w:space="0" w:color="000000"/>
            </w:tcBorders>
          </w:tcPr>
          <w:p>
            <w:pPr>
              <w:pStyle w:val="TableParagraph"/>
              <w:spacing w:before="15"/>
              <w:ind w:right="173"/>
              <w:jc w:val="right"/>
              <w:rPr>
                <w:sz w:val="13"/>
              </w:rPr>
            </w:pPr>
            <w:r>
              <w:rPr>
                <w:spacing w:val="-10"/>
                <w:sz w:val="13"/>
              </w:rPr>
              <w:t>-</w:t>
            </w:r>
          </w:p>
        </w:tc>
        <w:tc>
          <w:tcPr>
            <w:tcW w:w="818" w:type="dxa"/>
            <w:tcBorders>
              <w:bottom w:val="single" w:sz="6" w:space="0" w:color="000000"/>
            </w:tcBorders>
          </w:tcPr>
          <w:p>
            <w:pPr>
              <w:pStyle w:val="TableParagraph"/>
              <w:spacing w:before="15"/>
              <w:ind w:right="23"/>
              <w:jc w:val="right"/>
              <w:rPr>
                <w:sz w:val="13"/>
              </w:rPr>
            </w:pPr>
            <w:r>
              <w:rPr>
                <w:spacing w:val="-4"/>
                <w:sz w:val="13"/>
              </w:rPr>
              <w:t>(34)</w:t>
            </w:r>
          </w:p>
        </w:tc>
      </w:tr>
      <w:tr>
        <w:trPr>
          <w:trHeight w:val="147" w:hRule="atLeast"/>
        </w:trPr>
        <w:tc>
          <w:tcPr>
            <w:tcW w:w="4584" w:type="dxa"/>
            <w:tcBorders>
              <w:bottom w:val="single" w:sz="12" w:space="0" w:color="000000"/>
            </w:tcBorders>
          </w:tcPr>
          <w:p>
            <w:pPr>
              <w:pStyle w:val="TableParagraph"/>
              <w:spacing w:line="126" w:lineRule="exact" w:before="1"/>
              <w:ind w:left="25"/>
              <w:rPr>
                <w:b/>
                <w:sz w:val="13"/>
              </w:rPr>
            </w:pPr>
            <w:r>
              <w:rPr>
                <w:b/>
                <w:sz w:val="13"/>
              </w:rPr>
              <w:t>Cash</w:t>
            </w:r>
            <w:r>
              <w:rPr>
                <w:b/>
                <w:spacing w:val="-2"/>
                <w:sz w:val="13"/>
              </w:rPr>
              <w:t> </w:t>
            </w:r>
            <w:r>
              <w:rPr>
                <w:b/>
                <w:sz w:val="13"/>
              </w:rPr>
              <w:t>and</w:t>
            </w:r>
            <w:r>
              <w:rPr>
                <w:b/>
                <w:spacing w:val="-1"/>
                <w:sz w:val="13"/>
              </w:rPr>
              <w:t> </w:t>
            </w:r>
            <w:r>
              <w:rPr>
                <w:b/>
                <w:sz w:val="13"/>
              </w:rPr>
              <w:t>cash</w:t>
            </w:r>
            <w:r>
              <w:rPr>
                <w:b/>
                <w:spacing w:val="-2"/>
                <w:sz w:val="13"/>
              </w:rPr>
              <w:t> </w:t>
            </w:r>
            <w:r>
              <w:rPr>
                <w:b/>
                <w:sz w:val="13"/>
              </w:rPr>
              <w:t>equivalents</w:t>
            </w:r>
            <w:r>
              <w:rPr>
                <w:b/>
                <w:spacing w:val="-1"/>
                <w:sz w:val="13"/>
              </w:rPr>
              <w:t> </w:t>
            </w:r>
            <w:r>
              <w:rPr>
                <w:b/>
                <w:sz w:val="13"/>
              </w:rPr>
              <w:t>at</w:t>
            </w:r>
            <w:r>
              <w:rPr>
                <w:b/>
                <w:spacing w:val="-1"/>
                <w:sz w:val="13"/>
              </w:rPr>
              <w:t> </w:t>
            </w:r>
            <w:r>
              <w:rPr>
                <w:b/>
                <w:sz w:val="13"/>
              </w:rPr>
              <w:t>end</w:t>
            </w:r>
            <w:r>
              <w:rPr>
                <w:b/>
                <w:spacing w:val="-2"/>
                <w:sz w:val="13"/>
              </w:rPr>
              <w:t> </w:t>
            </w:r>
            <w:r>
              <w:rPr>
                <w:b/>
                <w:sz w:val="13"/>
              </w:rPr>
              <w:t>of</w:t>
            </w:r>
            <w:r>
              <w:rPr>
                <w:b/>
                <w:spacing w:val="-1"/>
                <w:sz w:val="13"/>
              </w:rPr>
              <w:t> </w:t>
            </w:r>
            <w:r>
              <w:rPr>
                <w:b/>
                <w:spacing w:val="-4"/>
                <w:sz w:val="13"/>
              </w:rPr>
              <w:t>year</w:t>
            </w:r>
          </w:p>
        </w:tc>
        <w:tc>
          <w:tcPr>
            <w:tcW w:w="541" w:type="dxa"/>
            <w:tcBorders>
              <w:bottom w:val="single" w:sz="12" w:space="0" w:color="000000"/>
            </w:tcBorders>
          </w:tcPr>
          <w:p>
            <w:pPr>
              <w:pStyle w:val="TableParagraph"/>
              <w:spacing w:line="123" w:lineRule="exact" w:before="4"/>
              <w:ind w:left="50"/>
              <w:jc w:val="center"/>
              <w:rPr>
                <w:sz w:val="13"/>
              </w:rPr>
            </w:pPr>
            <w:r>
              <w:rPr>
                <w:spacing w:val="-5"/>
                <w:sz w:val="13"/>
              </w:rPr>
              <w:t>6.1</w:t>
            </w:r>
          </w:p>
        </w:tc>
        <w:tc>
          <w:tcPr>
            <w:tcW w:w="1122" w:type="dxa"/>
            <w:tcBorders>
              <w:top w:val="single" w:sz="6" w:space="0" w:color="000000"/>
              <w:bottom w:val="single" w:sz="12" w:space="0" w:color="000000"/>
            </w:tcBorders>
          </w:tcPr>
          <w:p>
            <w:pPr>
              <w:pStyle w:val="TableParagraph"/>
              <w:spacing w:line="123" w:lineRule="exact" w:before="4"/>
              <w:ind w:right="216"/>
              <w:jc w:val="right"/>
              <w:rPr>
                <w:sz w:val="13"/>
              </w:rPr>
            </w:pPr>
            <w:r>
              <w:rPr>
                <w:spacing w:val="-2"/>
                <w:sz w:val="13"/>
              </w:rPr>
              <w:t>127,090</w:t>
            </w:r>
          </w:p>
        </w:tc>
        <w:tc>
          <w:tcPr>
            <w:tcW w:w="969" w:type="dxa"/>
            <w:tcBorders>
              <w:top w:val="single" w:sz="6" w:space="0" w:color="000000"/>
              <w:bottom w:val="single" w:sz="12" w:space="0" w:color="000000"/>
            </w:tcBorders>
          </w:tcPr>
          <w:p>
            <w:pPr>
              <w:pStyle w:val="TableParagraph"/>
              <w:spacing w:line="123" w:lineRule="exact" w:before="4"/>
              <w:ind w:right="217"/>
              <w:jc w:val="right"/>
              <w:rPr>
                <w:sz w:val="13"/>
              </w:rPr>
            </w:pPr>
            <w:r>
              <w:rPr>
                <w:spacing w:val="-2"/>
                <w:sz w:val="13"/>
              </w:rPr>
              <w:t>85,807</w:t>
            </w:r>
          </w:p>
        </w:tc>
        <w:tc>
          <w:tcPr>
            <w:tcW w:w="969" w:type="dxa"/>
            <w:tcBorders>
              <w:top w:val="single" w:sz="6" w:space="0" w:color="000000"/>
              <w:bottom w:val="single" w:sz="12" w:space="0" w:color="000000"/>
            </w:tcBorders>
          </w:tcPr>
          <w:p>
            <w:pPr>
              <w:pStyle w:val="TableParagraph"/>
              <w:spacing w:line="123" w:lineRule="exact" w:before="4"/>
              <w:ind w:right="217"/>
              <w:jc w:val="right"/>
              <w:rPr>
                <w:sz w:val="13"/>
              </w:rPr>
            </w:pPr>
            <w:r>
              <w:rPr>
                <w:spacing w:val="-2"/>
                <w:sz w:val="13"/>
              </w:rPr>
              <w:t>116,389</w:t>
            </w:r>
          </w:p>
        </w:tc>
        <w:tc>
          <w:tcPr>
            <w:tcW w:w="818" w:type="dxa"/>
            <w:tcBorders>
              <w:top w:val="single" w:sz="6" w:space="0" w:color="000000"/>
              <w:bottom w:val="single" w:sz="12" w:space="0" w:color="000000"/>
            </w:tcBorders>
          </w:tcPr>
          <w:p>
            <w:pPr>
              <w:pStyle w:val="TableParagraph"/>
              <w:spacing w:line="123" w:lineRule="exact" w:before="4"/>
              <w:ind w:right="66"/>
              <w:jc w:val="right"/>
              <w:rPr>
                <w:sz w:val="13"/>
              </w:rPr>
            </w:pPr>
            <w:r>
              <w:rPr>
                <w:spacing w:val="-2"/>
                <w:sz w:val="13"/>
              </w:rPr>
              <w:t>72,967</w:t>
            </w:r>
          </w:p>
        </w:tc>
      </w:tr>
    </w:tbl>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80"/>
        <w:rPr>
          <w:b/>
          <w:sz w:val="13"/>
        </w:rPr>
      </w:pPr>
    </w:p>
    <w:p>
      <w:pPr>
        <w:spacing w:before="0"/>
        <w:ind w:left="2458" w:right="0" w:firstLine="0"/>
        <w:jc w:val="left"/>
        <w:rPr>
          <w:sz w:val="13"/>
        </w:rPr>
      </w:pPr>
      <w:r>
        <w:rPr>
          <w:sz w:val="13"/>
        </w:rPr>
        <w:t>The</w:t>
      </w:r>
      <w:r>
        <w:rPr>
          <w:spacing w:val="-1"/>
          <w:sz w:val="13"/>
        </w:rPr>
        <w:t> </w:t>
      </w:r>
      <w:r>
        <w:rPr>
          <w:sz w:val="13"/>
        </w:rPr>
        <w:t>above</w:t>
      </w:r>
      <w:r>
        <w:rPr>
          <w:spacing w:val="-1"/>
          <w:sz w:val="13"/>
        </w:rPr>
        <w:t> </w:t>
      </w:r>
      <w:r>
        <w:rPr>
          <w:sz w:val="13"/>
        </w:rPr>
        <w:t>statement should</w:t>
      </w:r>
      <w:r>
        <w:rPr>
          <w:spacing w:val="-1"/>
          <w:sz w:val="13"/>
        </w:rPr>
        <w:t> </w:t>
      </w:r>
      <w:r>
        <w:rPr>
          <w:sz w:val="13"/>
        </w:rPr>
        <w:t>be</w:t>
      </w:r>
      <w:r>
        <w:rPr>
          <w:spacing w:val="-1"/>
          <w:sz w:val="13"/>
        </w:rPr>
        <w:t> </w:t>
      </w:r>
      <w:r>
        <w:rPr>
          <w:sz w:val="13"/>
        </w:rPr>
        <w:t>read</w:t>
      </w:r>
      <w:r>
        <w:rPr>
          <w:spacing w:val="-1"/>
          <w:sz w:val="13"/>
        </w:rPr>
        <w:t> </w:t>
      </w:r>
      <w:r>
        <w:rPr>
          <w:sz w:val="13"/>
        </w:rPr>
        <w:t>in</w:t>
      </w:r>
      <w:r>
        <w:rPr>
          <w:spacing w:val="-1"/>
          <w:sz w:val="13"/>
        </w:rPr>
        <w:t> </w:t>
      </w:r>
      <w:r>
        <w:rPr>
          <w:sz w:val="13"/>
        </w:rPr>
        <w:t>conjunction with</w:t>
      </w:r>
      <w:r>
        <w:rPr>
          <w:spacing w:val="-1"/>
          <w:sz w:val="13"/>
        </w:rPr>
        <w:t> </w:t>
      </w:r>
      <w:r>
        <w:rPr>
          <w:sz w:val="13"/>
        </w:rPr>
        <w:t>the</w:t>
      </w:r>
      <w:r>
        <w:rPr>
          <w:spacing w:val="-1"/>
          <w:sz w:val="13"/>
        </w:rPr>
        <w:t> </w:t>
      </w:r>
      <w:r>
        <w:rPr>
          <w:sz w:val="13"/>
        </w:rPr>
        <w:t>accompanying</w:t>
      </w:r>
      <w:r>
        <w:rPr>
          <w:spacing w:val="-1"/>
          <w:sz w:val="13"/>
        </w:rPr>
        <w:t> </w:t>
      </w:r>
      <w:r>
        <w:rPr>
          <w:spacing w:val="-2"/>
          <w:sz w:val="13"/>
        </w:rPr>
        <w:t>notes.</w:t>
      </w:r>
    </w:p>
    <w:p>
      <w:pPr>
        <w:spacing w:after="0"/>
        <w:jc w:val="left"/>
        <w:rPr>
          <w:sz w:val="13"/>
        </w:rPr>
        <w:sectPr>
          <w:type w:val="continuous"/>
          <w:pgSz w:w="11910" w:h="16840"/>
          <w:pgMar w:header="468" w:footer="0" w:top="980" w:bottom="280" w:left="920" w:right="0"/>
        </w:sect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33"/>
        <w:rPr>
          <w:sz w:val="20"/>
        </w:rPr>
      </w:pPr>
    </w:p>
    <w:p>
      <w:pPr>
        <w:spacing w:before="0"/>
        <w:ind w:left="405" w:right="0" w:firstLine="0"/>
        <w:jc w:val="left"/>
        <w:rPr>
          <w:sz w:val="20"/>
        </w:rPr>
      </w:pPr>
      <w:r>
        <w:rPr>
          <w:color w:val="0070C0"/>
          <w:w w:val="105"/>
          <w:sz w:val="20"/>
        </w:rPr>
        <w:t>NOTES</w:t>
      </w:r>
      <w:r>
        <w:rPr>
          <w:color w:val="0070C0"/>
          <w:spacing w:val="-15"/>
          <w:w w:val="105"/>
          <w:sz w:val="20"/>
        </w:rPr>
        <w:t> </w:t>
      </w:r>
      <w:r>
        <w:rPr>
          <w:color w:val="0070C0"/>
          <w:w w:val="105"/>
          <w:sz w:val="20"/>
        </w:rPr>
        <w:t>TO</w:t>
      </w:r>
      <w:r>
        <w:rPr>
          <w:color w:val="0070C0"/>
          <w:spacing w:val="-13"/>
          <w:w w:val="105"/>
          <w:sz w:val="20"/>
        </w:rPr>
        <w:t> </w:t>
      </w:r>
      <w:r>
        <w:rPr>
          <w:color w:val="0070C0"/>
          <w:w w:val="105"/>
          <w:sz w:val="20"/>
        </w:rPr>
        <w:t>THE</w:t>
      </w:r>
      <w:r>
        <w:rPr>
          <w:color w:val="0070C0"/>
          <w:spacing w:val="-15"/>
          <w:w w:val="105"/>
          <w:sz w:val="20"/>
        </w:rPr>
        <w:t> </w:t>
      </w:r>
      <w:r>
        <w:rPr>
          <w:color w:val="0070C0"/>
          <w:w w:val="105"/>
          <w:sz w:val="20"/>
        </w:rPr>
        <w:t>FINANCIAL</w:t>
      </w:r>
      <w:r>
        <w:rPr>
          <w:color w:val="0070C0"/>
          <w:spacing w:val="-14"/>
          <w:w w:val="105"/>
          <w:sz w:val="20"/>
        </w:rPr>
        <w:t> </w:t>
      </w:r>
      <w:r>
        <w:rPr>
          <w:color w:val="0070C0"/>
          <w:spacing w:val="-2"/>
          <w:w w:val="105"/>
          <w:sz w:val="20"/>
        </w:rPr>
        <w:t>STATEMENTS</w:t>
      </w:r>
    </w:p>
    <w:p>
      <w:pPr>
        <w:spacing w:before="35"/>
        <w:ind w:left="394" w:right="0" w:firstLine="0"/>
        <w:jc w:val="left"/>
        <w:rPr>
          <w:sz w:val="11"/>
        </w:rPr>
      </w:pPr>
      <w:r>
        <w:rPr>
          <w:w w:val="105"/>
          <w:sz w:val="11"/>
        </w:rPr>
        <w:t>for</w:t>
      </w:r>
      <w:r>
        <w:rPr>
          <w:spacing w:val="-2"/>
          <w:w w:val="105"/>
          <w:sz w:val="11"/>
        </w:rPr>
        <w:t> </w:t>
      </w:r>
      <w:r>
        <w:rPr>
          <w:w w:val="105"/>
          <w:sz w:val="11"/>
        </w:rPr>
        <w:t>the year</w:t>
      </w:r>
      <w:r>
        <w:rPr>
          <w:spacing w:val="-1"/>
          <w:w w:val="105"/>
          <w:sz w:val="11"/>
        </w:rPr>
        <w:t> </w:t>
      </w:r>
      <w:r>
        <w:rPr>
          <w:w w:val="105"/>
          <w:sz w:val="11"/>
        </w:rPr>
        <w:t>ended 31 December</w:t>
      </w:r>
      <w:r>
        <w:rPr>
          <w:spacing w:val="-1"/>
          <w:w w:val="105"/>
          <w:sz w:val="11"/>
        </w:rPr>
        <w:t> </w:t>
      </w:r>
      <w:r>
        <w:rPr>
          <w:spacing w:val="-4"/>
          <w:w w:val="105"/>
          <w:sz w:val="11"/>
        </w:rPr>
        <w:t>2020</w:t>
      </w:r>
    </w:p>
    <w:p>
      <w:pPr>
        <w:spacing w:line="240" w:lineRule="auto" w:before="53"/>
        <w:rPr>
          <w:sz w:val="11"/>
        </w:rPr>
      </w:pPr>
    </w:p>
    <w:p>
      <w:pPr>
        <w:spacing w:before="0"/>
        <w:ind w:left="405" w:right="0" w:firstLine="0"/>
        <w:jc w:val="left"/>
        <w:rPr>
          <w:b/>
          <w:sz w:val="20"/>
        </w:rPr>
      </w:pPr>
      <w:r>
        <w:rPr/>
        <mc:AlternateContent>
          <mc:Choice Requires="wps">
            <w:drawing>
              <wp:anchor distT="0" distB="0" distL="0" distR="0" allowOverlap="1" layoutInCell="1" locked="0" behindDoc="1" simplePos="0" relativeHeight="487727104">
                <wp:simplePos x="0" y="0"/>
                <wp:positionH relativeFrom="page">
                  <wp:posOffset>818946</wp:posOffset>
                </wp:positionH>
                <wp:positionV relativeFrom="paragraph">
                  <wp:posOffset>155288</wp:posOffset>
                </wp:positionV>
                <wp:extent cx="5752465" cy="14604"/>
                <wp:effectExtent l="0" t="0" r="0" b="0"/>
                <wp:wrapTopAndBottom/>
                <wp:docPr id="877" name="Graphic 877"/>
                <wp:cNvGraphicFramePr>
                  <a:graphicFrameLocks/>
                </wp:cNvGraphicFramePr>
                <a:graphic>
                  <a:graphicData uri="http://schemas.microsoft.com/office/word/2010/wordprocessingShape">
                    <wps:wsp>
                      <wps:cNvPr id="877" name="Graphic 877"/>
                      <wps:cNvSpPr/>
                      <wps:spPr>
                        <a:xfrm>
                          <a:off x="0" y="0"/>
                          <a:ext cx="5752465" cy="14604"/>
                        </a:xfrm>
                        <a:custGeom>
                          <a:avLst/>
                          <a:gdLst/>
                          <a:ahLst/>
                          <a:cxnLst/>
                          <a:rect l="l" t="t" r="r" b="b"/>
                          <a:pathLst>
                            <a:path w="5752465" h="14604">
                              <a:moveTo>
                                <a:pt x="5752261" y="0"/>
                              </a:moveTo>
                              <a:lnTo>
                                <a:pt x="0" y="0"/>
                              </a:lnTo>
                              <a:lnTo>
                                <a:pt x="0" y="14287"/>
                              </a:lnTo>
                              <a:lnTo>
                                <a:pt x="5752261" y="14287"/>
                              </a:lnTo>
                              <a:lnTo>
                                <a:pt x="5752261"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64.484001pt;margin-top:12.227457pt;width:452.934pt;height:1.125pt;mso-position-horizontal-relative:page;mso-position-vertical-relative:paragraph;z-index:-15589376;mso-wrap-distance-left:0;mso-wrap-distance-right:0" id="docshape571" filled="true" fillcolor="#4f81bd" stroked="false">
                <v:fill type="solid"/>
                <w10:wrap type="topAndBottom"/>
              </v:rect>
            </w:pict>
          </mc:Fallback>
        </mc:AlternateContent>
      </w:r>
      <w:r>
        <w:rPr>
          <w:b/>
          <w:color w:val="0070C0"/>
          <w:w w:val="105"/>
          <w:sz w:val="20"/>
        </w:rPr>
        <w:t>Contents</w:t>
      </w:r>
      <w:r>
        <w:rPr>
          <w:b/>
          <w:color w:val="0070C0"/>
          <w:spacing w:val="-13"/>
          <w:w w:val="105"/>
          <w:sz w:val="20"/>
        </w:rPr>
        <w:t> </w:t>
      </w:r>
      <w:r>
        <w:rPr>
          <w:b/>
          <w:color w:val="0070C0"/>
          <w:w w:val="105"/>
          <w:sz w:val="20"/>
        </w:rPr>
        <w:t>of</w:t>
      </w:r>
      <w:r>
        <w:rPr>
          <w:b/>
          <w:color w:val="0070C0"/>
          <w:spacing w:val="-11"/>
          <w:w w:val="105"/>
          <w:sz w:val="20"/>
        </w:rPr>
        <w:t> </w:t>
      </w:r>
      <w:r>
        <w:rPr>
          <w:b/>
          <w:color w:val="0070C0"/>
          <w:w w:val="105"/>
          <w:sz w:val="20"/>
        </w:rPr>
        <w:t>the</w:t>
      </w:r>
      <w:r>
        <w:rPr>
          <w:b/>
          <w:color w:val="0070C0"/>
          <w:spacing w:val="-12"/>
          <w:w w:val="105"/>
          <w:sz w:val="20"/>
        </w:rPr>
        <w:t> </w:t>
      </w:r>
      <w:r>
        <w:rPr>
          <w:b/>
          <w:color w:val="0070C0"/>
          <w:w w:val="105"/>
          <w:sz w:val="20"/>
        </w:rPr>
        <w:t>notes</w:t>
      </w:r>
      <w:r>
        <w:rPr>
          <w:b/>
          <w:color w:val="0070C0"/>
          <w:spacing w:val="-12"/>
          <w:w w:val="105"/>
          <w:sz w:val="20"/>
        </w:rPr>
        <w:t> </w:t>
      </w:r>
      <w:r>
        <w:rPr>
          <w:b/>
          <w:color w:val="0070C0"/>
          <w:w w:val="105"/>
          <w:sz w:val="20"/>
        </w:rPr>
        <w:t>to</w:t>
      </w:r>
      <w:r>
        <w:rPr>
          <w:b/>
          <w:color w:val="0070C0"/>
          <w:spacing w:val="-12"/>
          <w:w w:val="105"/>
          <w:sz w:val="20"/>
        </w:rPr>
        <w:t> </w:t>
      </w:r>
      <w:r>
        <w:rPr>
          <w:b/>
          <w:color w:val="0070C0"/>
          <w:w w:val="105"/>
          <w:sz w:val="20"/>
        </w:rPr>
        <w:t>the</w:t>
      </w:r>
      <w:r>
        <w:rPr>
          <w:b/>
          <w:color w:val="0070C0"/>
          <w:spacing w:val="-12"/>
          <w:w w:val="105"/>
          <w:sz w:val="20"/>
        </w:rPr>
        <w:t> </w:t>
      </w:r>
      <w:r>
        <w:rPr>
          <w:b/>
          <w:color w:val="0070C0"/>
          <w:w w:val="105"/>
          <w:sz w:val="20"/>
        </w:rPr>
        <w:t>financial</w:t>
      </w:r>
      <w:r>
        <w:rPr>
          <w:b/>
          <w:color w:val="0070C0"/>
          <w:spacing w:val="-12"/>
          <w:w w:val="105"/>
          <w:sz w:val="20"/>
        </w:rPr>
        <w:t> </w:t>
      </w:r>
      <w:r>
        <w:rPr>
          <w:b/>
          <w:color w:val="0070C0"/>
          <w:spacing w:val="-2"/>
          <w:w w:val="105"/>
          <w:sz w:val="20"/>
        </w:rPr>
        <w:t>statements</w:t>
      </w:r>
    </w:p>
    <w:p>
      <w:pPr>
        <w:pStyle w:val="ListParagraph"/>
        <w:numPr>
          <w:ilvl w:val="0"/>
          <w:numId w:val="12"/>
        </w:numPr>
        <w:tabs>
          <w:tab w:pos="974" w:val="left" w:leader="none"/>
        </w:tabs>
        <w:spacing w:line="240" w:lineRule="auto" w:before="160" w:after="0"/>
        <w:ind w:left="974" w:right="0" w:hanging="576"/>
        <w:jc w:val="left"/>
        <w:rPr>
          <w:b/>
          <w:sz w:val="15"/>
        </w:rPr>
      </w:pPr>
      <w:r>
        <w:rPr>
          <w:b/>
          <w:color w:val="0070C0"/>
          <w:spacing w:val="-2"/>
          <w:w w:val="105"/>
          <w:sz w:val="15"/>
        </w:rPr>
        <w:t>About</w:t>
      </w:r>
      <w:r>
        <w:rPr>
          <w:b/>
          <w:color w:val="0070C0"/>
          <w:spacing w:val="-3"/>
          <w:w w:val="105"/>
          <w:sz w:val="15"/>
        </w:rPr>
        <w:t> </w:t>
      </w:r>
      <w:r>
        <w:rPr>
          <w:b/>
          <w:color w:val="0070C0"/>
          <w:spacing w:val="-2"/>
          <w:w w:val="105"/>
          <w:sz w:val="15"/>
        </w:rPr>
        <w:t>this</w:t>
      </w:r>
      <w:r>
        <w:rPr>
          <w:b/>
          <w:color w:val="0070C0"/>
          <w:spacing w:val="-4"/>
          <w:w w:val="105"/>
          <w:sz w:val="15"/>
        </w:rPr>
        <w:t> </w:t>
      </w:r>
      <w:r>
        <w:rPr>
          <w:b/>
          <w:color w:val="0070C0"/>
          <w:spacing w:val="-2"/>
          <w:w w:val="105"/>
          <w:sz w:val="15"/>
        </w:rPr>
        <w:t>report</w:t>
      </w:r>
    </w:p>
    <w:p>
      <w:pPr>
        <w:pStyle w:val="ListParagraph"/>
        <w:numPr>
          <w:ilvl w:val="1"/>
          <w:numId w:val="12"/>
        </w:numPr>
        <w:tabs>
          <w:tab w:pos="972" w:val="left" w:leader="none"/>
        </w:tabs>
        <w:spacing w:line="240" w:lineRule="auto" w:before="24" w:after="0"/>
        <w:ind w:left="972" w:right="0" w:hanging="576"/>
        <w:jc w:val="left"/>
        <w:rPr>
          <w:sz w:val="14"/>
        </w:rPr>
      </w:pPr>
      <w:r>
        <w:rPr>
          <w:sz w:val="14"/>
        </w:rPr>
        <w:t>Basis</w:t>
      </w:r>
      <w:r>
        <w:rPr>
          <w:spacing w:val="3"/>
          <w:sz w:val="14"/>
        </w:rPr>
        <w:t> </w:t>
      </w:r>
      <w:r>
        <w:rPr>
          <w:sz w:val="14"/>
        </w:rPr>
        <w:t>of</w:t>
      </w:r>
      <w:r>
        <w:rPr>
          <w:spacing w:val="3"/>
          <w:sz w:val="14"/>
        </w:rPr>
        <w:t> </w:t>
      </w:r>
      <w:r>
        <w:rPr>
          <w:spacing w:val="-2"/>
          <w:sz w:val="14"/>
        </w:rPr>
        <w:t>preparation</w:t>
      </w:r>
    </w:p>
    <w:p>
      <w:pPr>
        <w:pStyle w:val="ListParagraph"/>
        <w:numPr>
          <w:ilvl w:val="1"/>
          <w:numId w:val="12"/>
        </w:numPr>
        <w:tabs>
          <w:tab w:pos="972" w:val="left" w:leader="none"/>
        </w:tabs>
        <w:spacing w:line="240" w:lineRule="auto" w:before="17" w:after="0"/>
        <w:ind w:left="972" w:right="0" w:hanging="576"/>
        <w:jc w:val="left"/>
        <w:rPr>
          <w:sz w:val="14"/>
        </w:rPr>
      </w:pPr>
      <w:r>
        <w:rPr>
          <w:sz w:val="14"/>
        </w:rPr>
        <w:t>Significant</w:t>
      </w:r>
      <w:r>
        <w:rPr>
          <w:spacing w:val="6"/>
          <w:sz w:val="14"/>
        </w:rPr>
        <w:t> </w:t>
      </w:r>
      <w:r>
        <w:rPr>
          <w:sz w:val="14"/>
        </w:rPr>
        <w:t>accounting</w:t>
      </w:r>
      <w:r>
        <w:rPr>
          <w:spacing w:val="5"/>
          <w:sz w:val="14"/>
        </w:rPr>
        <w:t> </w:t>
      </w:r>
      <w:r>
        <w:rPr>
          <w:spacing w:val="-2"/>
          <w:sz w:val="14"/>
        </w:rPr>
        <w:t>policies</w:t>
      </w:r>
    </w:p>
    <w:p>
      <w:pPr>
        <w:pStyle w:val="ListParagraph"/>
        <w:numPr>
          <w:ilvl w:val="1"/>
          <w:numId w:val="12"/>
        </w:numPr>
        <w:tabs>
          <w:tab w:pos="972" w:val="left" w:leader="none"/>
        </w:tabs>
        <w:spacing w:line="240" w:lineRule="auto" w:before="16" w:after="0"/>
        <w:ind w:left="972" w:right="0" w:hanging="576"/>
        <w:jc w:val="left"/>
        <w:rPr>
          <w:sz w:val="14"/>
        </w:rPr>
      </w:pPr>
      <w:r>
        <w:rPr>
          <w:sz w:val="14"/>
        </w:rPr>
        <w:t>Critical</w:t>
      </w:r>
      <w:r>
        <w:rPr>
          <w:spacing w:val="4"/>
          <w:sz w:val="14"/>
        </w:rPr>
        <w:t> </w:t>
      </w:r>
      <w:r>
        <w:rPr>
          <w:sz w:val="14"/>
        </w:rPr>
        <w:t>estimates</w:t>
      </w:r>
      <w:r>
        <w:rPr>
          <w:spacing w:val="6"/>
          <w:sz w:val="14"/>
        </w:rPr>
        <w:t> </w:t>
      </w:r>
      <w:r>
        <w:rPr>
          <w:sz w:val="14"/>
        </w:rPr>
        <w:t>and</w:t>
      </w:r>
      <w:r>
        <w:rPr>
          <w:spacing w:val="4"/>
          <w:sz w:val="14"/>
        </w:rPr>
        <w:t> </w:t>
      </w:r>
      <w:r>
        <w:rPr>
          <w:spacing w:val="-2"/>
          <w:sz w:val="14"/>
        </w:rPr>
        <w:t>judgements</w:t>
      </w:r>
    </w:p>
    <w:p>
      <w:pPr>
        <w:pStyle w:val="ListParagraph"/>
        <w:numPr>
          <w:ilvl w:val="1"/>
          <w:numId w:val="12"/>
        </w:numPr>
        <w:tabs>
          <w:tab w:pos="972" w:val="left" w:leader="none"/>
        </w:tabs>
        <w:spacing w:line="240" w:lineRule="auto" w:before="17" w:after="0"/>
        <w:ind w:left="972" w:right="0" w:hanging="576"/>
        <w:jc w:val="left"/>
        <w:rPr>
          <w:sz w:val="14"/>
        </w:rPr>
      </w:pPr>
      <w:r>
        <w:rPr>
          <w:sz w:val="14"/>
        </w:rPr>
        <w:t>Unrestricted</w:t>
      </w:r>
      <w:r>
        <w:rPr>
          <w:spacing w:val="5"/>
          <w:sz w:val="14"/>
        </w:rPr>
        <w:t> </w:t>
      </w:r>
      <w:r>
        <w:rPr>
          <w:sz w:val="14"/>
        </w:rPr>
        <w:t>and</w:t>
      </w:r>
      <w:r>
        <w:rPr>
          <w:spacing w:val="6"/>
          <w:sz w:val="14"/>
        </w:rPr>
        <w:t> </w:t>
      </w:r>
      <w:r>
        <w:rPr>
          <w:sz w:val="14"/>
        </w:rPr>
        <w:t>restricted</w:t>
      </w:r>
      <w:r>
        <w:rPr>
          <w:spacing w:val="6"/>
          <w:sz w:val="14"/>
        </w:rPr>
        <w:t> </w:t>
      </w:r>
      <w:r>
        <w:rPr>
          <w:spacing w:val="-2"/>
          <w:sz w:val="14"/>
        </w:rPr>
        <w:t>assets</w:t>
      </w:r>
    </w:p>
    <w:p>
      <w:pPr>
        <w:pStyle w:val="ListParagraph"/>
        <w:numPr>
          <w:ilvl w:val="1"/>
          <w:numId w:val="12"/>
        </w:numPr>
        <w:tabs>
          <w:tab w:pos="972" w:val="left" w:leader="none"/>
        </w:tabs>
        <w:spacing w:line="240" w:lineRule="auto" w:before="17" w:after="0"/>
        <w:ind w:left="972" w:right="0" w:hanging="576"/>
        <w:jc w:val="left"/>
        <w:rPr>
          <w:sz w:val="14"/>
        </w:rPr>
      </w:pPr>
      <w:r>
        <w:rPr>
          <w:sz w:val="14"/>
        </w:rPr>
        <w:t>Initial</w:t>
      </w:r>
      <w:r>
        <w:rPr>
          <w:spacing w:val="3"/>
          <w:sz w:val="14"/>
        </w:rPr>
        <w:t> </w:t>
      </w:r>
      <w:r>
        <w:rPr>
          <w:sz w:val="14"/>
        </w:rPr>
        <w:t>application</w:t>
      </w:r>
      <w:r>
        <w:rPr>
          <w:spacing w:val="3"/>
          <w:sz w:val="14"/>
        </w:rPr>
        <w:t> </w:t>
      </w:r>
      <w:r>
        <w:rPr>
          <w:sz w:val="14"/>
        </w:rPr>
        <w:t>of</w:t>
      </w:r>
      <w:r>
        <w:rPr>
          <w:spacing w:val="5"/>
          <w:sz w:val="14"/>
        </w:rPr>
        <w:t> </w:t>
      </w:r>
      <w:r>
        <w:rPr>
          <w:spacing w:val="-5"/>
          <w:sz w:val="14"/>
        </w:rPr>
        <w:t>AAS</w:t>
      </w:r>
    </w:p>
    <w:p>
      <w:pPr>
        <w:spacing w:line="240" w:lineRule="auto" w:before="55"/>
        <w:rPr>
          <w:sz w:val="14"/>
        </w:rPr>
      </w:pPr>
    </w:p>
    <w:p>
      <w:pPr>
        <w:pStyle w:val="ListParagraph"/>
        <w:numPr>
          <w:ilvl w:val="0"/>
          <w:numId w:val="12"/>
        </w:numPr>
        <w:tabs>
          <w:tab w:pos="974" w:val="left" w:leader="none"/>
        </w:tabs>
        <w:spacing w:line="240" w:lineRule="auto" w:before="0" w:after="0"/>
        <w:ind w:left="974" w:right="0" w:hanging="576"/>
        <w:jc w:val="left"/>
        <w:rPr>
          <w:b/>
          <w:sz w:val="15"/>
        </w:rPr>
      </w:pPr>
      <w:r>
        <w:rPr>
          <w:b/>
          <w:color w:val="0070C0"/>
          <w:w w:val="105"/>
          <w:sz w:val="15"/>
        </w:rPr>
        <w:t>How</w:t>
      </w:r>
      <w:r>
        <w:rPr>
          <w:b/>
          <w:color w:val="0070C0"/>
          <w:spacing w:val="-4"/>
          <w:w w:val="105"/>
          <w:sz w:val="15"/>
        </w:rPr>
        <w:t> </w:t>
      </w:r>
      <w:r>
        <w:rPr>
          <w:b/>
          <w:color w:val="0070C0"/>
          <w:w w:val="105"/>
          <w:sz w:val="15"/>
        </w:rPr>
        <w:t>we</w:t>
      </w:r>
      <w:r>
        <w:rPr>
          <w:b/>
          <w:color w:val="0070C0"/>
          <w:spacing w:val="-7"/>
          <w:w w:val="105"/>
          <w:sz w:val="15"/>
        </w:rPr>
        <w:t> </w:t>
      </w:r>
      <w:r>
        <w:rPr>
          <w:b/>
          <w:color w:val="0070C0"/>
          <w:w w:val="105"/>
          <w:sz w:val="15"/>
        </w:rPr>
        <w:t>are</w:t>
      </w:r>
      <w:r>
        <w:rPr>
          <w:b/>
          <w:color w:val="0070C0"/>
          <w:spacing w:val="-7"/>
          <w:w w:val="105"/>
          <w:sz w:val="15"/>
        </w:rPr>
        <w:t> </w:t>
      </w:r>
      <w:r>
        <w:rPr>
          <w:b/>
          <w:color w:val="0070C0"/>
          <w:spacing w:val="-2"/>
          <w:w w:val="105"/>
          <w:sz w:val="15"/>
        </w:rPr>
        <w:t>funded</w:t>
      </w:r>
    </w:p>
    <w:p>
      <w:pPr>
        <w:pStyle w:val="ListParagraph"/>
        <w:numPr>
          <w:ilvl w:val="1"/>
          <w:numId w:val="12"/>
        </w:numPr>
        <w:tabs>
          <w:tab w:pos="972" w:val="left" w:leader="none"/>
        </w:tabs>
        <w:spacing w:line="240" w:lineRule="auto" w:before="24" w:after="0"/>
        <w:ind w:left="972" w:right="0" w:hanging="576"/>
        <w:jc w:val="left"/>
        <w:rPr>
          <w:sz w:val="14"/>
        </w:rPr>
      </w:pPr>
      <w:r>
        <w:rPr>
          <w:sz w:val="14"/>
        </w:rPr>
        <w:t>Australian</w:t>
      </w:r>
      <w:r>
        <w:rPr>
          <w:spacing w:val="3"/>
          <w:sz w:val="14"/>
        </w:rPr>
        <w:t> </w:t>
      </w:r>
      <w:r>
        <w:rPr>
          <w:sz w:val="14"/>
        </w:rPr>
        <w:t>Government</w:t>
      </w:r>
      <w:r>
        <w:rPr>
          <w:spacing w:val="5"/>
          <w:sz w:val="14"/>
        </w:rPr>
        <w:t> </w:t>
      </w:r>
      <w:r>
        <w:rPr>
          <w:sz w:val="14"/>
        </w:rPr>
        <w:t>financial</w:t>
      </w:r>
      <w:r>
        <w:rPr>
          <w:spacing w:val="4"/>
          <w:sz w:val="14"/>
        </w:rPr>
        <w:t> </w:t>
      </w:r>
      <w:r>
        <w:rPr>
          <w:sz w:val="14"/>
        </w:rPr>
        <w:t>assistance</w:t>
      </w:r>
      <w:r>
        <w:rPr>
          <w:spacing w:val="4"/>
          <w:sz w:val="14"/>
        </w:rPr>
        <w:t> </w:t>
      </w:r>
      <w:r>
        <w:rPr>
          <w:sz w:val="14"/>
        </w:rPr>
        <w:t>including</w:t>
      </w:r>
      <w:r>
        <w:rPr>
          <w:spacing w:val="4"/>
          <w:sz w:val="14"/>
        </w:rPr>
        <w:t> </w:t>
      </w:r>
      <w:r>
        <w:rPr>
          <w:sz w:val="14"/>
        </w:rPr>
        <w:t>HECS</w:t>
      </w:r>
      <w:r>
        <w:rPr>
          <w:spacing w:val="4"/>
          <w:sz w:val="14"/>
        </w:rPr>
        <w:t> </w:t>
      </w:r>
      <w:r>
        <w:rPr>
          <w:sz w:val="14"/>
        </w:rPr>
        <w:t>-</w:t>
      </w:r>
      <w:r>
        <w:rPr>
          <w:spacing w:val="4"/>
          <w:sz w:val="14"/>
        </w:rPr>
        <w:t> </w:t>
      </w:r>
      <w:r>
        <w:rPr>
          <w:sz w:val="14"/>
        </w:rPr>
        <w:t>HELP</w:t>
      </w:r>
      <w:r>
        <w:rPr>
          <w:spacing w:val="3"/>
          <w:sz w:val="14"/>
        </w:rPr>
        <w:t> </w:t>
      </w:r>
      <w:r>
        <w:rPr>
          <w:sz w:val="14"/>
        </w:rPr>
        <w:t>and</w:t>
      </w:r>
      <w:r>
        <w:rPr>
          <w:spacing w:val="4"/>
          <w:sz w:val="14"/>
        </w:rPr>
        <w:t> </w:t>
      </w:r>
      <w:r>
        <w:rPr>
          <w:sz w:val="14"/>
        </w:rPr>
        <w:t>other</w:t>
      </w:r>
      <w:r>
        <w:rPr>
          <w:spacing w:val="4"/>
          <w:sz w:val="14"/>
        </w:rPr>
        <w:t> </w:t>
      </w:r>
      <w:r>
        <w:rPr>
          <w:sz w:val="14"/>
        </w:rPr>
        <w:t>Australian</w:t>
      </w:r>
      <w:r>
        <w:rPr>
          <w:spacing w:val="4"/>
          <w:sz w:val="14"/>
        </w:rPr>
        <w:t> </w:t>
      </w:r>
      <w:r>
        <w:rPr>
          <w:sz w:val="14"/>
        </w:rPr>
        <w:t>Government</w:t>
      </w:r>
      <w:r>
        <w:rPr>
          <w:spacing w:val="5"/>
          <w:sz w:val="14"/>
        </w:rPr>
        <w:t> </w:t>
      </w:r>
      <w:r>
        <w:rPr>
          <w:sz w:val="14"/>
        </w:rPr>
        <w:t>loan</w:t>
      </w:r>
      <w:r>
        <w:rPr>
          <w:spacing w:val="4"/>
          <w:sz w:val="14"/>
        </w:rPr>
        <w:t> </w:t>
      </w:r>
      <w:r>
        <w:rPr>
          <w:spacing w:val="-2"/>
          <w:sz w:val="14"/>
        </w:rPr>
        <w:t>programs</w:t>
      </w:r>
    </w:p>
    <w:p>
      <w:pPr>
        <w:pStyle w:val="ListParagraph"/>
        <w:numPr>
          <w:ilvl w:val="1"/>
          <w:numId w:val="12"/>
        </w:numPr>
        <w:tabs>
          <w:tab w:pos="972" w:val="left" w:leader="none"/>
        </w:tabs>
        <w:spacing w:line="240" w:lineRule="auto" w:before="16" w:after="0"/>
        <w:ind w:left="972" w:right="0" w:hanging="576"/>
        <w:jc w:val="left"/>
        <w:rPr>
          <w:sz w:val="14"/>
        </w:rPr>
      </w:pPr>
      <w:r>
        <w:rPr>
          <w:sz w:val="14"/>
        </w:rPr>
        <w:t>Western</w:t>
      </w:r>
      <w:r>
        <w:rPr>
          <w:spacing w:val="5"/>
          <w:sz w:val="14"/>
        </w:rPr>
        <w:t> </w:t>
      </w:r>
      <w:r>
        <w:rPr>
          <w:sz w:val="14"/>
        </w:rPr>
        <w:t>Australian</w:t>
      </w:r>
      <w:r>
        <w:rPr>
          <w:spacing w:val="5"/>
          <w:sz w:val="14"/>
        </w:rPr>
        <w:t> </w:t>
      </w:r>
      <w:r>
        <w:rPr>
          <w:sz w:val="14"/>
        </w:rPr>
        <w:t>and</w:t>
      </w:r>
      <w:r>
        <w:rPr>
          <w:spacing w:val="5"/>
          <w:sz w:val="14"/>
        </w:rPr>
        <w:t> </w:t>
      </w:r>
      <w:r>
        <w:rPr>
          <w:sz w:val="14"/>
        </w:rPr>
        <w:t>Local</w:t>
      </w:r>
      <w:r>
        <w:rPr>
          <w:spacing w:val="6"/>
          <w:sz w:val="14"/>
        </w:rPr>
        <w:t> </w:t>
      </w:r>
      <w:r>
        <w:rPr>
          <w:sz w:val="14"/>
        </w:rPr>
        <w:t>Government</w:t>
      </w:r>
      <w:r>
        <w:rPr>
          <w:spacing w:val="6"/>
          <w:sz w:val="14"/>
        </w:rPr>
        <w:t> </w:t>
      </w:r>
      <w:r>
        <w:rPr>
          <w:sz w:val="14"/>
        </w:rPr>
        <w:t>financial</w:t>
      </w:r>
      <w:r>
        <w:rPr>
          <w:spacing w:val="5"/>
          <w:sz w:val="14"/>
        </w:rPr>
        <w:t> </w:t>
      </w:r>
      <w:r>
        <w:rPr>
          <w:spacing w:val="-2"/>
          <w:sz w:val="14"/>
        </w:rPr>
        <w:t>assistance</w:t>
      </w:r>
    </w:p>
    <w:p>
      <w:pPr>
        <w:pStyle w:val="ListParagraph"/>
        <w:numPr>
          <w:ilvl w:val="1"/>
          <w:numId w:val="12"/>
        </w:numPr>
        <w:tabs>
          <w:tab w:pos="972" w:val="left" w:leader="none"/>
        </w:tabs>
        <w:spacing w:line="240" w:lineRule="auto" w:before="17" w:after="0"/>
        <w:ind w:left="972" w:right="0" w:hanging="576"/>
        <w:jc w:val="left"/>
        <w:rPr>
          <w:sz w:val="14"/>
        </w:rPr>
      </w:pPr>
      <w:r>
        <w:rPr>
          <w:sz w:val="14"/>
        </w:rPr>
        <w:t>Fees</w:t>
      </w:r>
      <w:r>
        <w:rPr>
          <w:spacing w:val="1"/>
          <w:sz w:val="14"/>
        </w:rPr>
        <w:t> </w:t>
      </w:r>
      <w:r>
        <w:rPr>
          <w:sz w:val="14"/>
        </w:rPr>
        <w:t>and</w:t>
      </w:r>
      <w:r>
        <w:rPr>
          <w:spacing w:val="1"/>
          <w:sz w:val="14"/>
        </w:rPr>
        <w:t> </w:t>
      </w:r>
      <w:r>
        <w:rPr>
          <w:spacing w:val="-2"/>
          <w:sz w:val="14"/>
        </w:rPr>
        <w:t>charges</w:t>
      </w:r>
    </w:p>
    <w:p>
      <w:pPr>
        <w:pStyle w:val="ListParagraph"/>
        <w:numPr>
          <w:ilvl w:val="1"/>
          <w:numId w:val="12"/>
        </w:numPr>
        <w:tabs>
          <w:tab w:pos="972" w:val="left" w:leader="none"/>
        </w:tabs>
        <w:spacing w:line="240" w:lineRule="auto" w:before="17" w:after="0"/>
        <w:ind w:left="972" w:right="0" w:hanging="576"/>
        <w:jc w:val="left"/>
        <w:rPr>
          <w:sz w:val="14"/>
        </w:rPr>
      </w:pPr>
      <w:r>
        <w:rPr>
          <w:sz w:val="14"/>
        </w:rPr>
        <w:t>Net</w:t>
      </w:r>
      <w:r>
        <w:rPr>
          <w:spacing w:val="5"/>
          <w:sz w:val="14"/>
        </w:rPr>
        <w:t> </w:t>
      </w:r>
      <w:r>
        <w:rPr>
          <w:sz w:val="14"/>
        </w:rPr>
        <w:t>investment</w:t>
      </w:r>
      <w:r>
        <w:rPr>
          <w:spacing w:val="5"/>
          <w:sz w:val="14"/>
        </w:rPr>
        <w:t> </w:t>
      </w:r>
      <w:r>
        <w:rPr>
          <w:sz w:val="14"/>
        </w:rPr>
        <w:t>revenue</w:t>
      </w:r>
      <w:r>
        <w:rPr>
          <w:spacing w:val="4"/>
          <w:sz w:val="14"/>
        </w:rPr>
        <w:t> </w:t>
      </w:r>
      <w:r>
        <w:rPr>
          <w:sz w:val="14"/>
        </w:rPr>
        <w:t>and</w:t>
      </w:r>
      <w:r>
        <w:rPr>
          <w:spacing w:val="4"/>
          <w:sz w:val="14"/>
        </w:rPr>
        <w:t> </w:t>
      </w:r>
      <w:r>
        <w:rPr>
          <w:spacing w:val="-2"/>
          <w:sz w:val="14"/>
        </w:rPr>
        <w:t>income</w:t>
      </w:r>
    </w:p>
    <w:p>
      <w:pPr>
        <w:pStyle w:val="ListParagraph"/>
        <w:numPr>
          <w:ilvl w:val="1"/>
          <w:numId w:val="12"/>
        </w:numPr>
        <w:tabs>
          <w:tab w:pos="972" w:val="left" w:leader="none"/>
        </w:tabs>
        <w:spacing w:line="240" w:lineRule="auto" w:before="34" w:after="0"/>
        <w:ind w:left="972" w:right="0" w:hanging="576"/>
        <w:jc w:val="left"/>
        <w:rPr>
          <w:sz w:val="14"/>
        </w:rPr>
      </w:pPr>
      <w:r>
        <w:rPr>
          <w:sz w:val="14"/>
        </w:rPr>
        <w:t>Consultancy</w:t>
      </w:r>
      <w:r>
        <w:rPr>
          <w:spacing w:val="1"/>
          <w:sz w:val="14"/>
        </w:rPr>
        <w:t> </w:t>
      </w:r>
      <w:r>
        <w:rPr>
          <w:sz w:val="14"/>
        </w:rPr>
        <w:t>and</w:t>
      </w:r>
      <w:r>
        <w:rPr>
          <w:spacing w:val="3"/>
          <w:sz w:val="14"/>
        </w:rPr>
        <w:t> </w:t>
      </w:r>
      <w:r>
        <w:rPr>
          <w:sz w:val="14"/>
        </w:rPr>
        <w:t>other</w:t>
      </w:r>
      <w:r>
        <w:rPr>
          <w:spacing w:val="3"/>
          <w:sz w:val="14"/>
        </w:rPr>
        <w:t> </w:t>
      </w:r>
      <w:r>
        <w:rPr>
          <w:spacing w:val="-2"/>
          <w:sz w:val="14"/>
        </w:rPr>
        <w:t>contracts</w:t>
      </w:r>
    </w:p>
    <w:p>
      <w:pPr>
        <w:pStyle w:val="ListParagraph"/>
        <w:numPr>
          <w:ilvl w:val="1"/>
          <w:numId w:val="12"/>
        </w:numPr>
        <w:tabs>
          <w:tab w:pos="972" w:val="left" w:leader="none"/>
        </w:tabs>
        <w:spacing w:line="240" w:lineRule="auto" w:before="17" w:after="0"/>
        <w:ind w:left="972" w:right="0" w:hanging="576"/>
        <w:jc w:val="left"/>
        <w:rPr>
          <w:sz w:val="14"/>
        </w:rPr>
      </w:pPr>
      <w:r>
        <w:rPr>
          <w:sz w:val="14"/>
        </w:rPr>
        <w:t>Other</w:t>
      </w:r>
      <w:r>
        <w:rPr>
          <w:spacing w:val="3"/>
          <w:sz w:val="14"/>
        </w:rPr>
        <w:t> </w:t>
      </w:r>
      <w:r>
        <w:rPr>
          <w:sz w:val="14"/>
        </w:rPr>
        <w:t>revenue</w:t>
      </w:r>
      <w:r>
        <w:rPr>
          <w:spacing w:val="3"/>
          <w:sz w:val="14"/>
        </w:rPr>
        <w:t> </w:t>
      </w:r>
      <w:r>
        <w:rPr>
          <w:sz w:val="14"/>
        </w:rPr>
        <w:t>and</w:t>
      </w:r>
      <w:r>
        <w:rPr>
          <w:spacing w:val="3"/>
          <w:sz w:val="14"/>
        </w:rPr>
        <w:t> </w:t>
      </w:r>
      <w:r>
        <w:rPr>
          <w:spacing w:val="-2"/>
          <w:sz w:val="14"/>
        </w:rPr>
        <w:t>income</w:t>
      </w:r>
    </w:p>
    <w:p>
      <w:pPr>
        <w:spacing w:line="240" w:lineRule="auto" w:before="55"/>
        <w:rPr>
          <w:sz w:val="14"/>
        </w:rPr>
      </w:pPr>
    </w:p>
    <w:p>
      <w:pPr>
        <w:pStyle w:val="ListParagraph"/>
        <w:numPr>
          <w:ilvl w:val="0"/>
          <w:numId w:val="12"/>
        </w:numPr>
        <w:tabs>
          <w:tab w:pos="974" w:val="left" w:leader="none"/>
        </w:tabs>
        <w:spacing w:line="240" w:lineRule="auto" w:before="0" w:after="0"/>
        <w:ind w:left="974" w:right="0" w:hanging="576"/>
        <w:jc w:val="left"/>
        <w:rPr>
          <w:b/>
          <w:sz w:val="15"/>
        </w:rPr>
      </w:pPr>
      <w:r>
        <w:rPr>
          <w:b/>
          <w:color w:val="0070C0"/>
          <w:sz w:val="15"/>
        </w:rPr>
        <w:t>Employee</w:t>
      </w:r>
      <w:r>
        <w:rPr>
          <w:b/>
          <w:color w:val="0070C0"/>
          <w:spacing w:val="14"/>
          <w:sz w:val="15"/>
        </w:rPr>
        <w:t> </w:t>
      </w:r>
      <w:r>
        <w:rPr>
          <w:b/>
          <w:color w:val="0070C0"/>
          <w:spacing w:val="-2"/>
          <w:sz w:val="15"/>
        </w:rPr>
        <w:t>benefits</w:t>
      </w:r>
    </w:p>
    <w:p>
      <w:pPr>
        <w:pStyle w:val="ListParagraph"/>
        <w:numPr>
          <w:ilvl w:val="1"/>
          <w:numId w:val="12"/>
        </w:numPr>
        <w:tabs>
          <w:tab w:pos="972" w:val="left" w:leader="none"/>
        </w:tabs>
        <w:spacing w:line="240" w:lineRule="auto" w:before="24" w:after="0"/>
        <w:ind w:left="972" w:right="0" w:hanging="576"/>
        <w:jc w:val="left"/>
        <w:rPr>
          <w:sz w:val="14"/>
        </w:rPr>
      </w:pPr>
      <w:r>
        <w:rPr>
          <w:sz w:val="14"/>
        </w:rPr>
        <w:t>Employee</w:t>
      </w:r>
      <w:r>
        <w:rPr>
          <w:spacing w:val="2"/>
          <w:sz w:val="14"/>
        </w:rPr>
        <w:t> </w:t>
      </w:r>
      <w:r>
        <w:rPr>
          <w:sz w:val="14"/>
        </w:rPr>
        <w:t>related</w:t>
      </w:r>
      <w:r>
        <w:rPr>
          <w:spacing w:val="3"/>
          <w:sz w:val="14"/>
        </w:rPr>
        <w:t> </w:t>
      </w:r>
      <w:r>
        <w:rPr>
          <w:spacing w:val="-2"/>
          <w:sz w:val="14"/>
        </w:rPr>
        <w:t>expenses</w:t>
      </w:r>
    </w:p>
    <w:p>
      <w:pPr>
        <w:pStyle w:val="ListParagraph"/>
        <w:numPr>
          <w:ilvl w:val="1"/>
          <w:numId w:val="12"/>
        </w:numPr>
        <w:tabs>
          <w:tab w:pos="972" w:val="left" w:leader="none"/>
        </w:tabs>
        <w:spacing w:line="240" w:lineRule="auto" w:before="17" w:after="0"/>
        <w:ind w:left="972" w:right="0" w:hanging="576"/>
        <w:jc w:val="left"/>
        <w:rPr>
          <w:sz w:val="14"/>
        </w:rPr>
      </w:pPr>
      <w:r>
        <w:rPr>
          <w:sz w:val="14"/>
        </w:rPr>
        <w:t>Employee</w:t>
      </w:r>
      <w:r>
        <w:rPr>
          <w:spacing w:val="3"/>
          <w:sz w:val="14"/>
        </w:rPr>
        <w:t> </w:t>
      </w:r>
      <w:r>
        <w:rPr>
          <w:sz w:val="14"/>
        </w:rPr>
        <w:t>benefits</w:t>
      </w:r>
      <w:r>
        <w:rPr>
          <w:spacing w:val="4"/>
          <w:sz w:val="14"/>
        </w:rPr>
        <w:t> </w:t>
      </w:r>
      <w:r>
        <w:rPr>
          <w:spacing w:val="-2"/>
          <w:sz w:val="14"/>
        </w:rPr>
        <w:t>provisions</w:t>
      </w:r>
    </w:p>
    <w:p>
      <w:pPr>
        <w:pStyle w:val="ListParagraph"/>
        <w:numPr>
          <w:ilvl w:val="1"/>
          <w:numId w:val="12"/>
        </w:numPr>
        <w:tabs>
          <w:tab w:pos="972" w:val="left" w:leader="none"/>
        </w:tabs>
        <w:spacing w:line="240" w:lineRule="auto" w:before="16" w:after="0"/>
        <w:ind w:left="972" w:right="0" w:hanging="576"/>
        <w:jc w:val="left"/>
        <w:rPr>
          <w:sz w:val="14"/>
        </w:rPr>
      </w:pPr>
      <w:r>
        <w:rPr>
          <w:sz w:val="14"/>
        </w:rPr>
        <w:t>Defined</w:t>
      </w:r>
      <w:r>
        <w:rPr>
          <w:spacing w:val="2"/>
          <w:sz w:val="14"/>
        </w:rPr>
        <w:t> </w:t>
      </w:r>
      <w:r>
        <w:rPr>
          <w:sz w:val="14"/>
        </w:rPr>
        <w:t>benefit</w:t>
      </w:r>
      <w:r>
        <w:rPr>
          <w:spacing w:val="3"/>
          <w:sz w:val="14"/>
        </w:rPr>
        <w:t> </w:t>
      </w:r>
      <w:r>
        <w:rPr>
          <w:spacing w:val="-4"/>
          <w:sz w:val="14"/>
        </w:rPr>
        <w:t>plan</w:t>
      </w:r>
    </w:p>
    <w:p>
      <w:pPr>
        <w:pStyle w:val="ListParagraph"/>
        <w:numPr>
          <w:ilvl w:val="1"/>
          <w:numId w:val="12"/>
        </w:numPr>
        <w:tabs>
          <w:tab w:pos="972" w:val="left" w:leader="none"/>
        </w:tabs>
        <w:spacing w:line="240" w:lineRule="auto" w:before="17" w:after="0"/>
        <w:ind w:left="972" w:right="0" w:hanging="576"/>
        <w:jc w:val="left"/>
        <w:rPr>
          <w:sz w:val="14"/>
        </w:rPr>
      </w:pPr>
      <w:r>
        <w:rPr>
          <w:sz w:val="14"/>
        </w:rPr>
        <w:t>Remuneration</w:t>
      </w:r>
      <w:r>
        <w:rPr>
          <w:spacing w:val="3"/>
          <w:sz w:val="14"/>
        </w:rPr>
        <w:t> </w:t>
      </w:r>
      <w:r>
        <w:rPr>
          <w:sz w:val="14"/>
        </w:rPr>
        <w:t>of</w:t>
      </w:r>
      <w:r>
        <w:rPr>
          <w:spacing w:val="4"/>
          <w:sz w:val="14"/>
        </w:rPr>
        <w:t> </w:t>
      </w:r>
      <w:r>
        <w:rPr>
          <w:sz w:val="14"/>
        </w:rPr>
        <w:t>key</w:t>
      </w:r>
      <w:r>
        <w:rPr>
          <w:spacing w:val="2"/>
          <w:sz w:val="14"/>
        </w:rPr>
        <w:t> </w:t>
      </w:r>
      <w:r>
        <w:rPr>
          <w:sz w:val="14"/>
        </w:rPr>
        <w:t>management</w:t>
      </w:r>
      <w:r>
        <w:rPr>
          <w:spacing w:val="4"/>
          <w:sz w:val="14"/>
        </w:rPr>
        <w:t> </w:t>
      </w:r>
      <w:r>
        <w:rPr>
          <w:spacing w:val="-2"/>
          <w:sz w:val="14"/>
        </w:rPr>
        <w:t>personnel</w:t>
      </w:r>
    </w:p>
    <w:p>
      <w:pPr>
        <w:spacing w:line="240" w:lineRule="auto" w:before="35"/>
        <w:rPr>
          <w:sz w:val="14"/>
        </w:rPr>
      </w:pPr>
    </w:p>
    <w:p>
      <w:pPr>
        <w:pStyle w:val="ListParagraph"/>
        <w:numPr>
          <w:ilvl w:val="0"/>
          <w:numId w:val="12"/>
        </w:numPr>
        <w:tabs>
          <w:tab w:pos="974" w:val="left" w:leader="none"/>
        </w:tabs>
        <w:spacing w:line="240" w:lineRule="auto" w:before="0" w:after="0"/>
        <w:ind w:left="974" w:right="0" w:hanging="576"/>
        <w:jc w:val="left"/>
        <w:rPr>
          <w:b/>
          <w:sz w:val="15"/>
        </w:rPr>
      </w:pPr>
      <w:r>
        <w:rPr>
          <w:b/>
          <w:color w:val="0070C0"/>
          <w:w w:val="105"/>
          <w:sz w:val="15"/>
        </w:rPr>
        <w:t>Our</w:t>
      </w:r>
      <w:r>
        <w:rPr>
          <w:b/>
          <w:color w:val="0070C0"/>
          <w:spacing w:val="-8"/>
          <w:w w:val="105"/>
          <w:sz w:val="15"/>
        </w:rPr>
        <w:t> </w:t>
      </w:r>
      <w:r>
        <w:rPr>
          <w:b/>
          <w:color w:val="0070C0"/>
          <w:spacing w:val="-2"/>
          <w:w w:val="105"/>
          <w:sz w:val="15"/>
        </w:rPr>
        <w:t>expenditure</w:t>
      </w:r>
    </w:p>
    <w:p>
      <w:pPr>
        <w:pStyle w:val="ListParagraph"/>
        <w:numPr>
          <w:ilvl w:val="1"/>
          <w:numId w:val="12"/>
        </w:numPr>
        <w:tabs>
          <w:tab w:pos="972" w:val="left" w:leader="none"/>
        </w:tabs>
        <w:spacing w:line="240" w:lineRule="auto" w:before="24" w:after="0"/>
        <w:ind w:left="972" w:right="0" w:hanging="576"/>
        <w:jc w:val="left"/>
        <w:rPr>
          <w:sz w:val="14"/>
        </w:rPr>
      </w:pPr>
      <w:r>
        <w:rPr>
          <w:spacing w:val="-2"/>
          <w:sz w:val="14"/>
        </w:rPr>
        <w:t>Expenses</w:t>
      </w:r>
    </w:p>
    <w:p>
      <w:pPr>
        <w:spacing w:line="240" w:lineRule="auto" w:before="35"/>
        <w:rPr>
          <w:sz w:val="14"/>
        </w:rPr>
      </w:pPr>
    </w:p>
    <w:p>
      <w:pPr>
        <w:pStyle w:val="ListParagraph"/>
        <w:numPr>
          <w:ilvl w:val="0"/>
          <w:numId w:val="12"/>
        </w:numPr>
        <w:tabs>
          <w:tab w:pos="974" w:val="left" w:leader="none"/>
        </w:tabs>
        <w:spacing w:line="240" w:lineRule="auto" w:before="0" w:after="0"/>
        <w:ind w:left="974" w:right="0" w:hanging="576"/>
        <w:jc w:val="left"/>
        <w:rPr>
          <w:b/>
          <w:sz w:val="15"/>
        </w:rPr>
      </w:pPr>
      <w:r>
        <w:rPr>
          <w:b/>
          <w:color w:val="0070C0"/>
          <w:sz w:val="15"/>
        </w:rPr>
        <w:t>Operating</w:t>
      </w:r>
      <w:r>
        <w:rPr>
          <w:b/>
          <w:color w:val="0070C0"/>
          <w:spacing w:val="10"/>
          <w:sz w:val="15"/>
        </w:rPr>
        <w:t> </w:t>
      </w:r>
      <w:r>
        <w:rPr>
          <w:b/>
          <w:color w:val="0070C0"/>
          <w:sz w:val="15"/>
        </w:rPr>
        <w:t>assets</w:t>
      </w:r>
      <w:r>
        <w:rPr>
          <w:b/>
          <w:color w:val="0070C0"/>
          <w:spacing w:val="11"/>
          <w:sz w:val="15"/>
        </w:rPr>
        <w:t> </w:t>
      </w:r>
      <w:r>
        <w:rPr>
          <w:b/>
          <w:color w:val="0070C0"/>
          <w:sz w:val="15"/>
        </w:rPr>
        <w:t>and</w:t>
      </w:r>
      <w:r>
        <w:rPr>
          <w:b/>
          <w:color w:val="0070C0"/>
          <w:spacing w:val="11"/>
          <w:sz w:val="15"/>
        </w:rPr>
        <w:t> </w:t>
      </w:r>
      <w:r>
        <w:rPr>
          <w:b/>
          <w:color w:val="0070C0"/>
          <w:spacing w:val="-2"/>
          <w:sz w:val="15"/>
        </w:rPr>
        <w:t>liabilities</w:t>
      </w:r>
    </w:p>
    <w:p>
      <w:pPr>
        <w:pStyle w:val="ListParagraph"/>
        <w:numPr>
          <w:ilvl w:val="1"/>
          <w:numId w:val="12"/>
        </w:numPr>
        <w:tabs>
          <w:tab w:pos="972" w:val="left" w:leader="none"/>
        </w:tabs>
        <w:spacing w:line="240" w:lineRule="auto" w:before="24" w:after="0"/>
        <w:ind w:left="972" w:right="0" w:hanging="576"/>
        <w:jc w:val="left"/>
        <w:rPr>
          <w:sz w:val="14"/>
        </w:rPr>
      </w:pPr>
      <w:r>
        <w:rPr>
          <w:sz w:val="14"/>
        </w:rPr>
        <w:t>Receivables</w:t>
      </w:r>
      <w:r>
        <w:rPr>
          <w:spacing w:val="5"/>
          <w:sz w:val="14"/>
        </w:rPr>
        <w:t> </w:t>
      </w:r>
      <w:r>
        <w:rPr>
          <w:sz w:val="14"/>
        </w:rPr>
        <w:t>and</w:t>
      </w:r>
      <w:r>
        <w:rPr>
          <w:spacing w:val="4"/>
          <w:sz w:val="14"/>
        </w:rPr>
        <w:t> </w:t>
      </w:r>
      <w:r>
        <w:rPr>
          <w:sz w:val="14"/>
        </w:rPr>
        <w:t>contract</w:t>
      </w:r>
      <w:r>
        <w:rPr>
          <w:spacing w:val="5"/>
          <w:sz w:val="14"/>
        </w:rPr>
        <w:t> </w:t>
      </w:r>
      <w:r>
        <w:rPr>
          <w:spacing w:val="-2"/>
          <w:sz w:val="14"/>
        </w:rPr>
        <w:t>assets</w:t>
      </w:r>
    </w:p>
    <w:p>
      <w:pPr>
        <w:pStyle w:val="ListParagraph"/>
        <w:numPr>
          <w:ilvl w:val="1"/>
          <w:numId w:val="12"/>
        </w:numPr>
        <w:tabs>
          <w:tab w:pos="972" w:val="left" w:leader="none"/>
        </w:tabs>
        <w:spacing w:line="240" w:lineRule="auto" w:before="16" w:after="0"/>
        <w:ind w:left="972" w:right="0" w:hanging="576"/>
        <w:jc w:val="left"/>
        <w:rPr>
          <w:sz w:val="14"/>
        </w:rPr>
      </w:pPr>
      <w:r>
        <w:rPr>
          <w:sz w:val="14"/>
        </w:rPr>
        <w:t>Other</w:t>
      </w:r>
      <w:r>
        <w:rPr>
          <w:spacing w:val="3"/>
          <w:sz w:val="14"/>
        </w:rPr>
        <w:t> </w:t>
      </w:r>
      <w:r>
        <w:rPr>
          <w:sz w:val="14"/>
        </w:rPr>
        <w:t>non-financial</w:t>
      </w:r>
      <w:r>
        <w:rPr>
          <w:spacing w:val="4"/>
          <w:sz w:val="14"/>
        </w:rPr>
        <w:t> </w:t>
      </w:r>
      <w:r>
        <w:rPr>
          <w:spacing w:val="-2"/>
          <w:sz w:val="14"/>
        </w:rPr>
        <w:t>assets</w:t>
      </w:r>
    </w:p>
    <w:p>
      <w:pPr>
        <w:pStyle w:val="ListParagraph"/>
        <w:numPr>
          <w:ilvl w:val="1"/>
          <w:numId w:val="12"/>
        </w:numPr>
        <w:tabs>
          <w:tab w:pos="972" w:val="left" w:leader="none"/>
        </w:tabs>
        <w:spacing w:line="240" w:lineRule="auto" w:before="17" w:after="0"/>
        <w:ind w:left="972" w:right="0" w:hanging="576"/>
        <w:jc w:val="left"/>
        <w:rPr>
          <w:sz w:val="14"/>
        </w:rPr>
      </w:pPr>
      <w:r>
        <w:rPr>
          <w:sz w:val="14"/>
        </w:rPr>
        <w:t>Investment</w:t>
      </w:r>
      <w:r>
        <w:rPr>
          <w:spacing w:val="11"/>
          <w:sz w:val="14"/>
        </w:rPr>
        <w:t> </w:t>
      </w:r>
      <w:r>
        <w:rPr>
          <w:spacing w:val="-2"/>
          <w:sz w:val="14"/>
        </w:rPr>
        <w:t>properties</w:t>
      </w:r>
    </w:p>
    <w:p>
      <w:pPr>
        <w:pStyle w:val="ListParagraph"/>
        <w:numPr>
          <w:ilvl w:val="1"/>
          <w:numId w:val="12"/>
        </w:numPr>
        <w:tabs>
          <w:tab w:pos="972" w:val="left" w:leader="none"/>
        </w:tabs>
        <w:spacing w:line="240" w:lineRule="auto" w:before="17" w:after="0"/>
        <w:ind w:left="972" w:right="0" w:hanging="576"/>
        <w:jc w:val="left"/>
        <w:rPr>
          <w:sz w:val="14"/>
        </w:rPr>
      </w:pPr>
      <w:r>
        <w:rPr>
          <w:sz w:val="14"/>
        </w:rPr>
        <w:t>Intangible</w:t>
      </w:r>
      <w:r>
        <w:rPr>
          <w:spacing w:val="4"/>
          <w:sz w:val="14"/>
        </w:rPr>
        <w:t> </w:t>
      </w:r>
      <w:r>
        <w:rPr>
          <w:spacing w:val="-2"/>
          <w:sz w:val="14"/>
        </w:rPr>
        <w:t>assets</w:t>
      </w:r>
    </w:p>
    <w:p>
      <w:pPr>
        <w:pStyle w:val="ListParagraph"/>
        <w:numPr>
          <w:ilvl w:val="1"/>
          <w:numId w:val="12"/>
        </w:numPr>
        <w:tabs>
          <w:tab w:pos="972" w:val="left" w:leader="none"/>
        </w:tabs>
        <w:spacing w:line="240" w:lineRule="auto" w:before="16" w:after="0"/>
        <w:ind w:left="972" w:right="0" w:hanging="576"/>
        <w:jc w:val="left"/>
        <w:rPr>
          <w:sz w:val="14"/>
        </w:rPr>
      </w:pPr>
      <w:r>
        <w:rPr>
          <w:sz w:val="14"/>
        </w:rPr>
        <w:t>Property,</w:t>
      </w:r>
      <w:r>
        <w:rPr>
          <w:spacing w:val="3"/>
          <w:sz w:val="14"/>
        </w:rPr>
        <w:t> </w:t>
      </w:r>
      <w:r>
        <w:rPr>
          <w:sz w:val="14"/>
        </w:rPr>
        <w:t>plant</w:t>
      </w:r>
      <w:r>
        <w:rPr>
          <w:spacing w:val="4"/>
          <w:sz w:val="14"/>
        </w:rPr>
        <w:t> </w:t>
      </w:r>
      <w:r>
        <w:rPr>
          <w:sz w:val="14"/>
        </w:rPr>
        <w:t>and</w:t>
      </w:r>
      <w:r>
        <w:rPr>
          <w:spacing w:val="3"/>
          <w:sz w:val="14"/>
        </w:rPr>
        <w:t> </w:t>
      </w:r>
      <w:r>
        <w:rPr>
          <w:sz w:val="14"/>
        </w:rPr>
        <w:t>equipment</w:t>
      </w:r>
      <w:r>
        <w:rPr>
          <w:spacing w:val="4"/>
          <w:sz w:val="14"/>
        </w:rPr>
        <w:t> </w:t>
      </w:r>
      <w:r>
        <w:rPr>
          <w:sz w:val="14"/>
        </w:rPr>
        <w:t>and</w:t>
      </w:r>
      <w:r>
        <w:rPr>
          <w:spacing w:val="3"/>
          <w:sz w:val="14"/>
        </w:rPr>
        <w:t> </w:t>
      </w:r>
      <w:r>
        <w:rPr>
          <w:sz w:val="14"/>
        </w:rPr>
        <w:t>Assets</w:t>
      </w:r>
      <w:r>
        <w:rPr>
          <w:spacing w:val="4"/>
          <w:sz w:val="14"/>
        </w:rPr>
        <w:t> </w:t>
      </w:r>
      <w:r>
        <w:rPr>
          <w:sz w:val="14"/>
        </w:rPr>
        <w:t>classified</w:t>
      </w:r>
      <w:r>
        <w:rPr>
          <w:spacing w:val="3"/>
          <w:sz w:val="14"/>
        </w:rPr>
        <w:t> </w:t>
      </w:r>
      <w:r>
        <w:rPr>
          <w:sz w:val="14"/>
        </w:rPr>
        <w:t>as</w:t>
      </w:r>
      <w:r>
        <w:rPr>
          <w:spacing w:val="3"/>
          <w:sz w:val="14"/>
        </w:rPr>
        <w:t> </w:t>
      </w:r>
      <w:r>
        <w:rPr>
          <w:sz w:val="14"/>
        </w:rPr>
        <w:t>held</w:t>
      </w:r>
      <w:r>
        <w:rPr>
          <w:spacing w:val="3"/>
          <w:sz w:val="14"/>
        </w:rPr>
        <w:t> </w:t>
      </w:r>
      <w:r>
        <w:rPr>
          <w:sz w:val="14"/>
        </w:rPr>
        <w:t>for</w:t>
      </w:r>
      <w:r>
        <w:rPr>
          <w:spacing w:val="3"/>
          <w:sz w:val="14"/>
        </w:rPr>
        <w:t> </w:t>
      </w:r>
      <w:r>
        <w:rPr>
          <w:spacing w:val="-4"/>
          <w:sz w:val="14"/>
        </w:rPr>
        <w:t>sale</w:t>
      </w:r>
    </w:p>
    <w:p>
      <w:pPr>
        <w:pStyle w:val="ListParagraph"/>
        <w:numPr>
          <w:ilvl w:val="1"/>
          <w:numId w:val="12"/>
        </w:numPr>
        <w:tabs>
          <w:tab w:pos="972" w:val="left" w:leader="none"/>
        </w:tabs>
        <w:spacing w:line="240" w:lineRule="auto" w:before="17" w:after="0"/>
        <w:ind w:left="972" w:right="0" w:hanging="576"/>
        <w:jc w:val="left"/>
        <w:rPr>
          <w:sz w:val="14"/>
        </w:rPr>
      </w:pPr>
      <w:r>
        <w:rPr>
          <w:sz w:val="14"/>
        </w:rPr>
        <w:t>Trade</w:t>
      </w:r>
      <w:r>
        <w:rPr>
          <w:spacing w:val="1"/>
          <w:sz w:val="14"/>
        </w:rPr>
        <w:t> </w:t>
      </w:r>
      <w:r>
        <w:rPr>
          <w:sz w:val="14"/>
        </w:rPr>
        <w:t>and</w:t>
      </w:r>
      <w:r>
        <w:rPr>
          <w:spacing w:val="1"/>
          <w:sz w:val="14"/>
        </w:rPr>
        <w:t> </w:t>
      </w:r>
      <w:r>
        <w:rPr>
          <w:sz w:val="14"/>
        </w:rPr>
        <w:t>other</w:t>
      </w:r>
      <w:r>
        <w:rPr>
          <w:spacing w:val="2"/>
          <w:sz w:val="14"/>
        </w:rPr>
        <w:t> </w:t>
      </w:r>
      <w:r>
        <w:rPr>
          <w:spacing w:val="-2"/>
          <w:sz w:val="14"/>
        </w:rPr>
        <w:t>payables</w:t>
      </w:r>
    </w:p>
    <w:p>
      <w:pPr>
        <w:pStyle w:val="ListParagraph"/>
        <w:numPr>
          <w:ilvl w:val="1"/>
          <w:numId w:val="12"/>
        </w:numPr>
        <w:tabs>
          <w:tab w:pos="972" w:val="left" w:leader="none"/>
        </w:tabs>
        <w:spacing w:line="240" w:lineRule="auto" w:before="17" w:after="0"/>
        <w:ind w:left="972" w:right="0" w:hanging="576"/>
        <w:jc w:val="left"/>
        <w:rPr>
          <w:sz w:val="14"/>
        </w:rPr>
      </w:pPr>
      <w:r>
        <w:rPr>
          <w:sz w:val="14"/>
        </w:rPr>
        <w:t>Contract</w:t>
      </w:r>
      <w:r>
        <w:rPr>
          <w:spacing w:val="3"/>
          <w:sz w:val="14"/>
        </w:rPr>
        <w:t> </w:t>
      </w:r>
      <w:r>
        <w:rPr>
          <w:sz w:val="14"/>
        </w:rPr>
        <w:t>and</w:t>
      </w:r>
      <w:r>
        <w:rPr>
          <w:spacing w:val="2"/>
          <w:sz w:val="14"/>
        </w:rPr>
        <w:t> </w:t>
      </w:r>
      <w:r>
        <w:rPr>
          <w:sz w:val="14"/>
        </w:rPr>
        <w:t>other</w:t>
      </w:r>
      <w:r>
        <w:rPr>
          <w:spacing w:val="2"/>
          <w:sz w:val="14"/>
        </w:rPr>
        <w:t> </w:t>
      </w:r>
      <w:r>
        <w:rPr>
          <w:spacing w:val="-2"/>
          <w:sz w:val="14"/>
        </w:rPr>
        <w:t>liabilities</w:t>
      </w:r>
    </w:p>
    <w:p>
      <w:pPr>
        <w:spacing w:line="240" w:lineRule="auto" w:before="35"/>
        <w:rPr>
          <w:sz w:val="14"/>
        </w:rPr>
      </w:pPr>
    </w:p>
    <w:p>
      <w:pPr>
        <w:pStyle w:val="ListParagraph"/>
        <w:numPr>
          <w:ilvl w:val="0"/>
          <w:numId w:val="12"/>
        </w:numPr>
        <w:tabs>
          <w:tab w:pos="974" w:val="left" w:leader="none"/>
        </w:tabs>
        <w:spacing w:line="240" w:lineRule="auto" w:before="0" w:after="0"/>
        <w:ind w:left="974" w:right="0" w:hanging="576"/>
        <w:jc w:val="left"/>
        <w:rPr>
          <w:b/>
          <w:sz w:val="15"/>
        </w:rPr>
      </w:pPr>
      <w:r>
        <w:rPr>
          <w:b/>
          <w:color w:val="0070C0"/>
          <w:spacing w:val="-2"/>
          <w:w w:val="105"/>
          <w:sz w:val="15"/>
        </w:rPr>
        <w:t>Capital</w:t>
      </w:r>
      <w:r>
        <w:rPr>
          <w:b/>
          <w:color w:val="0070C0"/>
          <w:spacing w:val="-3"/>
          <w:w w:val="105"/>
          <w:sz w:val="15"/>
        </w:rPr>
        <w:t> </w:t>
      </w:r>
      <w:r>
        <w:rPr>
          <w:b/>
          <w:color w:val="0070C0"/>
          <w:spacing w:val="-2"/>
          <w:w w:val="105"/>
          <w:sz w:val="15"/>
        </w:rPr>
        <w:t>and</w:t>
      </w:r>
      <w:r>
        <w:rPr>
          <w:b/>
          <w:color w:val="0070C0"/>
          <w:spacing w:val="-3"/>
          <w:w w:val="105"/>
          <w:sz w:val="15"/>
        </w:rPr>
        <w:t> </w:t>
      </w:r>
      <w:r>
        <w:rPr>
          <w:b/>
          <w:color w:val="0070C0"/>
          <w:spacing w:val="-2"/>
          <w:w w:val="105"/>
          <w:sz w:val="15"/>
        </w:rPr>
        <w:t>financial risk</w:t>
      </w:r>
      <w:r>
        <w:rPr>
          <w:b/>
          <w:color w:val="0070C0"/>
          <w:spacing w:val="-3"/>
          <w:w w:val="105"/>
          <w:sz w:val="15"/>
        </w:rPr>
        <w:t> </w:t>
      </w:r>
      <w:r>
        <w:rPr>
          <w:b/>
          <w:color w:val="0070C0"/>
          <w:spacing w:val="-2"/>
          <w:w w:val="105"/>
          <w:sz w:val="15"/>
        </w:rPr>
        <w:t>management</w:t>
      </w:r>
    </w:p>
    <w:p>
      <w:pPr>
        <w:pStyle w:val="ListParagraph"/>
        <w:numPr>
          <w:ilvl w:val="1"/>
          <w:numId w:val="12"/>
        </w:numPr>
        <w:tabs>
          <w:tab w:pos="972" w:val="left" w:leader="none"/>
        </w:tabs>
        <w:spacing w:line="240" w:lineRule="auto" w:before="23" w:after="0"/>
        <w:ind w:left="972" w:right="0" w:hanging="576"/>
        <w:jc w:val="left"/>
        <w:rPr>
          <w:sz w:val="14"/>
        </w:rPr>
      </w:pPr>
      <w:r>
        <w:rPr>
          <w:sz w:val="14"/>
        </w:rPr>
        <w:t>Cash</w:t>
      </w:r>
      <w:r>
        <w:rPr>
          <w:spacing w:val="2"/>
          <w:sz w:val="14"/>
        </w:rPr>
        <w:t> </w:t>
      </w:r>
      <w:r>
        <w:rPr>
          <w:sz w:val="14"/>
        </w:rPr>
        <w:t>and</w:t>
      </w:r>
      <w:r>
        <w:rPr>
          <w:spacing w:val="3"/>
          <w:sz w:val="14"/>
        </w:rPr>
        <w:t> </w:t>
      </w:r>
      <w:r>
        <w:rPr>
          <w:sz w:val="14"/>
        </w:rPr>
        <w:t>cash</w:t>
      </w:r>
      <w:r>
        <w:rPr>
          <w:spacing w:val="3"/>
          <w:sz w:val="14"/>
        </w:rPr>
        <w:t> </w:t>
      </w:r>
      <w:r>
        <w:rPr>
          <w:spacing w:val="-2"/>
          <w:sz w:val="14"/>
        </w:rPr>
        <w:t>equivalents</w:t>
      </w:r>
    </w:p>
    <w:p>
      <w:pPr>
        <w:pStyle w:val="ListParagraph"/>
        <w:numPr>
          <w:ilvl w:val="1"/>
          <w:numId w:val="12"/>
        </w:numPr>
        <w:tabs>
          <w:tab w:pos="972" w:val="left" w:leader="none"/>
        </w:tabs>
        <w:spacing w:line="240" w:lineRule="auto" w:before="17" w:after="0"/>
        <w:ind w:left="972" w:right="0" w:hanging="576"/>
        <w:jc w:val="left"/>
        <w:rPr>
          <w:sz w:val="14"/>
        </w:rPr>
      </w:pPr>
      <w:r>
        <w:rPr>
          <w:sz w:val="14"/>
        </w:rPr>
        <w:t>Other</w:t>
      </w:r>
      <w:r>
        <w:rPr>
          <w:spacing w:val="3"/>
          <w:sz w:val="14"/>
        </w:rPr>
        <w:t> </w:t>
      </w:r>
      <w:r>
        <w:rPr>
          <w:sz w:val="14"/>
        </w:rPr>
        <w:t>financial</w:t>
      </w:r>
      <w:r>
        <w:rPr>
          <w:spacing w:val="4"/>
          <w:sz w:val="14"/>
        </w:rPr>
        <w:t> </w:t>
      </w:r>
      <w:r>
        <w:rPr>
          <w:spacing w:val="-2"/>
          <w:sz w:val="14"/>
        </w:rPr>
        <w:t>assets</w:t>
      </w:r>
    </w:p>
    <w:p>
      <w:pPr>
        <w:pStyle w:val="ListParagraph"/>
        <w:numPr>
          <w:ilvl w:val="1"/>
          <w:numId w:val="12"/>
        </w:numPr>
        <w:tabs>
          <w:tab w:pos="972" w:val="left" w:leader="none"/>
        </w:tabs>
        <w:spacing w:line="240" w:lineRule="auto" w:before="17" w:after="0"/>
        <w:ind w:left="972" w:right="0" w:hanging="576"/>
        <w:jc w:val="left"/>
        <w:rPr>
          <w:sz w:val="14"/>
        </w:rPr>
      </w:pPr>
      <w:r>
        <w:rPr>
          <w:spacing w:val="-2"/>
          <w:sz w:val="14"/>
        </w:rPr>
        <w:t>Borrowings</w:t>
      </w:r>
    </w:p>
    <w:p>
      <w:pPr>
        <w:pStyle w:val="ListParagraph"/>
        <w:numPr>
          <w:ilvl w:val="1"/>
          <w:numId w:val="12"/>
        </w:numPr>
        <w:tabs>
          <w:tab w:pos="972" w:val="left" w:leader="none"/>
        </w:tabs>
        <w:spacing w:line="240" w:lineRule="auto" w:before="17" w:after="0"/>
        <w:ind w:left="972" w:right="0" w:hanging="576"/>
        <w:jc w:val="left"/>
        <w:rPr>
          <w:sz w:val="14"/>
        </w:rPr>
      </w:pPr>
      <w:r>
        <w:rPr>
          <w:sz w:val="14"/>
        </w:rPr>
        <w:t>Financial</w:t>
      </w:r>
      <w:r>
        <w:rPr>
          <w:spacing w:val="2"/>
          <w:sz w:val="14"/>
        </w:rPr>
        <w:t> </w:t>
      </w:r>
      <w:r>
        <w:rPr>
          <w:sz w:val="14"/>
        </w:rPr>
        <w:t>risk</w:t>
      </w:r>
      <w:r>
        <w:rPr>
          <w:spacing w:val="4"/>
          <w:sz w:val="14"/>
        </w:rPr>
        <w:t> </w:t>
      </w:r>
      <w:r>
        <w:rPr>
          <w:spacing w:val="-2"/>
          <w:sz w:val="14"/>
        </w:rPr>
        <w:t>management</w:t>
      </w:r>
    </w:p>
    <w:p>
      <w:pPr>
        <w:pStyle w:val="ListParagraph"/>
        <w:numPr>
          <w:ilvl w:val="1"/>
          <w:numId w:val="12"/>
        </w:numPr>
        <w:tabs>
          <w:tab w:pos="972" w:val="left" w:leader="none"/>
        </w:tabs>
        <w:spacing w:line="240" w:lineRule="auto" w:before="16" w:after="0"/>
        <w:ind w:left="972" w:right="0" w:hanging="576"/>
        <w:jc w:val="left"/>
        <w:rPr>
          <w:sz w:val="14"/>
        </w:rPr>
      </w:pPr>
      <w:r>
        <w:rPr>
          <w:sz w:val="14"/>
        </w:rPr>
        <w:t>Fair</w:t>
      </w:r>
      <w:r>
        <w:rPr>
          <w:spacing w:val="2"/>
          <w:sz w:val="14"/>
        </w:rPr>
        <w:t> </w:t>
      </w:r>
      <w:r>
        <w:rPr>
          <w:sz w:val="14"/>
        </w:rPr>
        <w:t>value</w:t>
      </w:r>
      <w:r>
        <w:rPr>
          <w:spacing w:val="3"/>
          <w:sz w:val="14"/>
        </w:rPr>
        <w:t> </w:t>
      </w:r>
      <w:r>
        <w:rPr>
          <w:spacing w:val="-2"/>
          <w:sz w:val="14"/>
        </w:rPr>
        <w:t>measurements</w:t>
      </w:r>
    </w:p>
    <w:p>
      <w:pPr>
        <w:pStyle w:val="ListParagraph"/>
        <w:numPr>
          <w:ilvl w:val="1"/>
          <w:numId w:val="12"/>
        </w:numPr>
        <w:tabs>
          <w:tab w:pos="972" w:val="left" w:leader="none"/>
        </w:tabs>
        <w:spacing w:line="240" w:lineRule="auto" w:before="17" w:after="0"/>
        <w:ind w:left="972" w:right="0" w:hanging="576"/>
        <w:jc w:val="left"/>
        <w:rPr>
          <w:sz w:val="14"/>
        </w:rPr>
      </w:pPr>
      <w:r>
        <w:rPr>
          <w:spacing w:val="-2"/>
          <w:sz w:val="14"/>
        </w:rPr>
        <w:t>Reserves</w:t>
      </w:r>
    </w:p>
    <w:p>
      <w:pPr>
        <w:pStyle w:val="ListParagraph"/>
        <w:numPr>
          <w:ilvl w:val="1"/>
          <w:numId w:val="12"/>
        </w:numPr>
        <w:tabs>
          <w:tab w:pos="972" w:val="left" w:leader="none"/>
        </w:tabs>
        <w:spacing w:line="240" w:lineRule="auto" w:before="17" w:after="0"/>
        <w:ind w:left="972" w:right="0" w:hanging="576"/>
        <w:jc w:val="left"/>
        <w:rPr>
          <w:sz w:val="14"/>
        </w:rPr>
      </w:pPr>
      <w:r>
        <w:rPr>
          <w:spacing w:val="-2"/>
          <w:sz w:val="14"/>
        </w:rPr>
        <w:t>Commitments</w:t>
      </w:r>
    </w:p>
    <w:p>
      <w:pPr>
        <w:pStyle w:val="ListParagraph"/>
        <w:numPr>
          <w:ilvl w:val="1"/>
          <w:numId w:val="12"/>
        </w:numPr>
        <w:tabs>
          <w:tab w:pos="972" w:val="left" w:leader="none"/>
        </w:tabs>
        <w:spacing w:line="240" w:lineRule="auto" w:before="16" w:after="0"/>
        <w:ind w:left="972" w:right="0" w:hanging="576"/>
        <w:jc w:val="left"/>
        <w:rPr>
          <w:sz w:val="14"/>
        </w:rPr>
      </w:pPr>
      <w:r>
        <w:rPr>
          <w:spacing w:val="-2"/>
          <w:sz w:val="14"/>
        </w:rPr>
        <w:t>Contingencies</w:t>
      </w:r>
    </w:p>
    <w:p>
      <w:pPr>
        <w:spacing w:line="240" w:lineRule="auto" w:before="56"/>
        <w:rPr>
          <w:sz w:val="14"/>
        </w:rPr>
      </w:pPr>
    </w:p>
    <w:p>
      <w:pPr>
        <w:pStyle w:val="ListParagraph"/>
        <w:numPr>
          <w:ilvl w:val="0"/>
          <w:numId w:val="12"/>
        </w:numPr>
        <w:tabs>
          <w:tab w:pos="974" w:val="left" w:leader="none"/>
        </w:tabs>
        <w:spacing w:line="240" w:lineRule="auto" w:before="0" w:after="0"/>
        <w:ind w:left="974" w:right="0" w:hanging="576"/>
        <w:jc w:val="left"/>
        <w:rPr>
          <w:b/>
          <w:sz w:val="15"/>
        </w:rPr>
      </w:pPr>
      <w:r>
        <w:rPr>
          <w:b/>
          <w:color w:val="0070C0"/>
          <w:spacing w:val="-2"/>
          <w:w w:val="105"/>
          <w:sz w:val="15"/>
        </w:rPr>
        <w:t>Other disclosures</w:t>
      </w:r>
    </w:p>
    <w:p>
      <w:pPr>
        <w:pStyle w:val="ListParagraph"/>
        <w:numPr>
          <w:ilvl w:val="1"/>
          <w:numId w:val="12"/>
        </w:numPr>
        <w:tabs>
          <w:tab w:pos="972" w:val="left" w:leader="none"/>
        </w:tabs>
        <w:spacing w:line="240" w:lineRule="auto" w:before="23" w:after="0"/>
        <w:ind w:left="972" w:right="0" w:hanging="576"/>
        <w:jc w:val="left"/>
        <w:rPr>
          <w:sz w:val="14"/>
        </w:rPr>
      </w:pPr>
      <w:r>
        <w:rPr>
          <w:sz w:val="14"/>
        </w:rPr>
        <w:t>Remuneration</w:t>
      </w:r>
      <w:r>
        <w:rPr>
          <w:spacing w:val="2"/>
          <w:sz w:val="14"/>
        </w:rPr>
        <w:t> </w:t>
      </w:r>
      <w:r>
        <w:rPr>
          <w:sz w:val="14"/>
        </w:rPr>
        <w:t>of</w:t>
      </w:r>
      <w:r>
        <w:rPr>
          <w:spacing w:val="3"/>
          <w:sz w:val="14"/>
        </w:rPr>
        <w:t> </w:t>
      </w:r>
      <w:r>
        <w:rPr>
          <w:spacing w:val="-2"/>
          <w:sz w:val="14"/>
        </w:rPr>
        <w:t>auditors</w:t>
      </w:r>
    </w:p>
    <w:p>
      <w:pPr>
        <w:pStyle w:val="ListParagraph"/>
        <w:numPr>
          <w:ilvl w:val="1"/>
          <w:numId w:val="12"/>
        </w:numPr>
        <w:tabs>
          <w:tab w:pos="972" w:val="left" w:leader="none"/>
        </w:tabs>
        <w:spacing w:line="240" w:lineRule="auto" w:before="17" w:after="0"/>
        <w:ind w:left="972" w:right="0" w:hanging="576"/>
        <w:jc w:val="left"/>
        <w:rPr>
          <w:sz w:val="14"/>
        </w:rPr>
      </w:pPr>
      <w:r>
        <w:rPr>
          <w:sz w:val="14"/>
        </w:rPr>
        <w:t>Subsidiaries</w:t>
      </w:r>
      <w:r>
        <w:rPr>
          <w:spacing w:val="3"/>
          <w:sz w:val="14"/>
        </w:rPr>
        <w:t> </w:t>
      </w:r>
      <w:r>
        <w:rPr>
          <w:sz w:val="14"/>
        </w:rPr>
        <w:t>and</w:t>
      </w:r>
      <w:r>
        <w:rPr>
          <w:spacing w:val="2"/>
          <w:sz w:val="14"/>
        </w:rPr>
        <w:t> </w:t>
      </w:r>
      <w:r>
        <w:rPr>
          <w:spacing w:val="-2"/>
          <w:sz w:val="14"/>
        </w:rPr>
        <w:t>Associates</w:t>
      </w:r>
    </w:p>
    <w:p>
      <w:pPr>
        <w:pStyle w:val="ListParagraph"/>
        <w:numPr>
          <w:ilvl w:val="1"/>
          <w:numId w:val="12"/>
        </w:numPr>
        <w:tabs>
          <w:tab w:pos="972" w:val="left" w:leader="none"/>
        </w:tabs>
        <w:spacing w:line="240" w:lineRule="auto" w:before="17" w:after="0"/>
        <w:ind w:left="972" w:right="0" w:hanging="576"/>
        <w:jc w:val="left"/>
        <w:rPr>
          <w:sz w:val="14"/>
        </w:rPr>
      </w:pPr>
      <w:r>
        <w:rPr>
          <w:sz w:val="14"/>
        </w:rPr>
        <w:t>Related</w:t>
      </w:r>
      <w:r>
        <w:rPr>
          <w:spacing w:val="1"/>
          <w:sz w:val="14"/>
        </w:rPr>
        <w:t> </w:t>
      </w:r>
      <w:r>
        <w:rPr>
          <w:spacing w:val="-2"/>
          <w:sz w:val="14"/>
        </w:rPr>
        <w:t>parties</w:t>
      </w:r>
    </w:p>
    <w:p>
      <w:pPr>
        <w:pStyle w:val="ListParagraph"/>
        <w:numPr>
          <w:ilvl w:val="1"/>
          <w:numId w:val="12"/>
        </w:numPr>
        <w:tabs>
          <w:tab w:pos="972" w:val="left" w:leader="none"/>
        </w:tabs>
        <w:spacing w:line="240" w:lineRule="auto" w:before="16" w:after="0"/>
        <w:ind w:left="972" w:right="0" w:hanging="576"/>
        <w:jc w:val="left"/>
        <w:rPr>
          <w:sz w:val="14"/>
        </w:rPr>
      </w:pPr>
      <w:r>
        <w:rPr>
          <w:sz w:val="14"/>
        </w:rPr>
        <w:t>Supplementary</w:t>
      </w:r>
      <w:r>
        <w:rPr>
          <w:spacing w:val="3"/>
          <w:sz w:val="14"/>
        </w:rPr>
        <w:t> </w:t>
      </w:r>
      <w:r>
        <w:rPr>
          <w:sz w:val="14"/>
        </w:rPr>
        <w:t>financial</w:t>
      </w:r>
      <w:r>
        <w:rPr>
          <w:spacing w:val="4"/>
          <w:sz w:val="14"/>
        </w:rPr>
        <w:t> </w:t>
      </w:r>
      <w:r>
        <w:rPr>
          <w:spacing w:val="-2"/>
          <w:sz w:val="14"/>
        </w:rPr>
        <w:t>information</w:t>
      </w:r>
    </w:p>
    <w:p>
      <w:pPr>
        <w:pStyle w:val="ListParagraph"/>
        <w:numPr>
          <w:ilvl w:val="1"/>
          <w:numId w:val="12"/>
        </w:numPr>
        <w:tabs>
          <w:tab w:pos="972" w:val="left" w:leader="none"/>
        </w:tabs>
        <w:spacing w:line="240" w:lineRule="auto" w:before="17" w:after="0"/>
        <w:ind w:left="972" w:right="0" w:hanging="576"/>
        <w:jc w:val="left"/>
        <w:rPr>
          <w:sz w:val="14"/>
        </w:rPr>
      </w:pPr>
      <w:r>
        <w:rPr>
          <w:sz w:val="14"/>
        </w:rPr>
        <w:t>Discontinued</w:t>
      </w:r>
      <w:r>
        <w:rPr>
          <w:spacing w:val="5"/>
          <w:sz w:val="14"/>
        </w:rPr>
        <w:t> </w:t>
      </w:r>
      <w:r>
        <w:rPr>
          <w:spacing w:val="-2"/>
          <w:sz w:val="14"/>
        </w:rPr>
        <w:t>operations</w:t>
      </w:r>
    </w:p>
    <w:p>
      <w:pPr>
        <w:pStyle w:val="ListParagraph"/>
        <w:numPr>
          <w:ilvl w:val="1"/>
          <w:numId w:val="12"/>
        </w:numPr>
        <w:tabs>
          <w:tab w:pos="972" w:val="left" w:leader="none"/>
        </w:tabs>
        <w:spacing w:line="240" w:lineRule="auto" w:before="17" w:after="0"/>
        <w:ind w:left="972" w:right="0" w:hanging="576"/>
        <w:jc w:val="left"/>
        <w:rPr>
          <w:sz w:val="14"/>
        </w:rPr>
      </w:pPr>
      <w:r>
        <w:rPr>
          <w:sz w:val="14"/>
        </w:rPr>
        <w:t>Events</w:t>
      </w:r>
      <w:r>
        <w:rPr>
          <w:spacing w:val="4"/>
          <w:sz w:val="14"/>
        </w:rPr>
        <w:t> </w:t>
      </w:r>
      <w:r>
        <w:rPr>
          <w:sz w:val="14"/>
        </w:rPr>
        <w:t>occurring</w:t>
      </w:r>
      <w:r>
        <w:rPr>
          <w:spacing w:val="3"/>
          <w:sz w:val="14"/>
        </w:rPr>
        <w:t> </w:t>
      </w:r>
      <w:r>
        <w:rPr>
          <w:sz w:val="14"/>
        </w:rPr>
        <w:t>after</w:t>
      </w:r>
      <w:r>
        <w:rPr>
          <w:spacing w:val="4"/>
          <w:sz w:val="14"/>
        </w:rPr>
        <w:t> </w:t>
      </w:r>
      <w:r>
        <w:rPr>
          <w:sz w:val="14"/>
        </w:rPr>
        <w:t>the</w:t>
      </w:r>
      <w:r>
        <w:rPr>
          <w:spacing w:val="3"/>
          <w:sz w:val="14"/>
        </w:rPr>
        <w:t> </w:t>
      </w:r>
      <w:r>
        <w:rPr>
          <w:sz w:val="14"/>
        </w:rPr>
        <w:t>end</w:t>
      </w:r>
      <w:r>
        <w:rPr>
          <w:spacing w:val="4"/>
          <w:sz w:val="14"/>
        </w:rPr>
        <w:t> </w:t>
      </w:r>
      <w:r>
        <w:rPr>
          <w:sz w:val="14"/>
        </w:rPr>
        <w:t>of</w:t>
      </w:r>
      <w:r>
        <w:rPr>
          <w:spacing w:val="4"/>
          <w:sz w:val="14"/>
        </w:rPr>
        <w:t> </w:t>
      </w:r>
      <w:r>
        <w:rPr>
          <w:sz w:val="14"/>
        </w:rPr>
        <w:t>the</w:t>
      </w:r>
      <w:r>
        <w:rPr>
          <w:spacing w:val="4"/>
          <w:sz w:val="14"/>
        </w:rPr>
        <w:t> </w:t>
      </w:r>
      <w:r>
        <w:rPr>
          <w:sz w:val="14"/>
        </w:rPr>
        <w:t>reporting</w:t>
      </w:r>
      <w:r>
        <w:rPr>
          <w:spacing w:val="3"/>
          <w:sz w:val="14"/>
        </w:rPr>
        <w:t> </w:t>
      </w:r>
      <w:r>
        <w:rPr>
          <w:spacing w:val="-2"/>
          <w:sz w:val="14"/>
        </w:rPr>
        <w:t>period</w:t>
      </w:r>
    </w:p>
    <w:p>
      <w:pPr>
        <w:pStyle w:val="ListParagraph"/>
        <w:numPr>
          <w:ilvl w:val="1"/>
          <w:numId w:val="12"/>
        </w:numPr>
        <w:tabs>
          <w:tab w:pos="972" w:val="left" w:leader="none"/>
        </w:tabs>
        <w:spacing w:line="240" w:lineRule="auto" w:before="16" w:after="0"/>
        <w:ind w:left="972" w:right="0" w:hanging="576"/>
        <w:jc w:val="left"/>
        <w:rPr>
          <w:sz w:val="14"/>
        </w:rPr>
      </w:pPr>
      <w:r>
        <w:rPr>
          <w:sz w:val="14"/>
        </w:rPr>
        <w:t>New</w:t>
      </w:r>
      <w:r>
        <w:rPr>
          <w:spacing w:val="-4"/>
          <w:sz w:val="14"/>
        </w:rPr>
        <w:t> </w:t>
      </w:r>
      <w:r>
        <w:rPr>
          <w:sz w:val="14"/>
        </w:rPr>
        <w:t>standards</w:t>
      </w:r>
      <w:r>
        <w:rPr>
          <w:spacing w:val="3"/>
          <w:sz w:val="14"/>
        </w:rPr>
        <w:t> </w:t>
      </w:r>
      <w:r>
        <w:rPr>
          <w:sz w:val="14"/>
        </w:rPr>
        <w:t>issued</w:t>
      </w:r>
      <w:r>
        <w:rPr>
          <w:spacing w:val="2"/>
          <w:sz w:val="14"/>
        </w:rPr>
        <w:t> </w:t>
      </w:r>
      <w:r>
        <w:rPr>
          <w:sz w:val="14"/>
        </w:rPr>
        <w:t>but</w:t>
      </w:r>
      <w:r>
        <w:rPr>
          <w:spacing w:val="3"/>
          <w:sz w:val="14"/>
        </w:rPr>
        <w:t> </w:t>
      </w:r>
      <w:r>
        <w:rPr>
          <w:sz w:val="14"/>
        </w:rPr>
        <w:t>not</w:t>
      </w:r>
      <w:r>
        <w:rPr>
          <w:spacing w:val="3"/>
          <w:sz w:val="14"/>
        </w:rPr>
        <w:t> </w:t>
      </w:r>
      <w:r>
        <w:rPr>
          <w:sz w:val="14"/>
        </w:rPr>
        <w:t>yet</w:t>
      </w:r>
      <w:r>
        <w:rPr>
          <w:spacing w:val="3"/>
          <w:sz w:val="14"/>
        </w:rPr>
        <w:t> </w:t>
      </w:r>
      <w:r>
        <w:rPr>
          <w:spacing w:val="-2"/>
          <w:sz w:val="14"/>
        </w:rPr>
        <w:t>effective</w:t>
      </w:r>
    </w:p>
    <w:p>
      <w:pPr>
        <w:pStyle w:val="ListParagraph"/>
        <w:numPr>
          <w:ilvl w:val="1"/>
          <w:numId w:val="12"/>
        </w:numPr>
        <w:tabs>
          <w:tab w:pos="972" w:val="left" w:leader="none"/>
        </w:tabs>
        <w:spacing w:line="240" w:lineRule="auto" w:before="17" w:after="0"/>
        <w:ind w:left="972" w:right="0" w:hanging="576"/>
        <w:jc w:val="left"/>
        <w:rPr>
          <w:sz w:val="14"/>
        </w:rPr>
      </w:pPr>
      <w:r>
        <w:rPr/>
        <mc:AlternateContent>
          <mc:Choice Requires="wps">
            <w:drawing>
              <wp:anchor distT="0" distB="0" distL="0" distR="0" allowOverlap="1" layoutInCell="1" locked="0" behindDoc="0" simplePos="0" relativeHeight="15868928">
                <wp:simplePos x="0" y="0"/>
                <wp:positionH relativeFrom="page">
                  <wp:posOffset>7111289</wp:posOffset>
                </wp:positionH>
                <wp:positionV relativeFrom="paragraph">
                  <wp:posOffset>453467</wp:posOffset>
                </wp:positionV>
                <wp:extent cx="177800" cy="1945005"/>
                <wp:effectExtent l="0" t="0" r="0" b="0"/>
                <wp:wrapNone/>
                <wp:docPr id="878" name="Textbox 878"/>
                <wp:cNvGraphicFramePr>
                  <a:graphicFrameLocks/>
                </wp:cNvGraphicFramePr>
                <a:graphic>
                  <a:graphicData uri="http://schemas.microsoft.com/office/word/2010/wordprocessingShape">
                    <wps:wsp>
                      <wps:cNvPr id="878" name="Textbox 878"/>
                      <wps:cNvSpPr txBox="1"/>
                      <wps:spPr>
                        <a:xfrm>
                          <a:off x="0" y="0"/>
                          <a:ext cx="177800" cy="194500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35.706104pt;width:14pt;height:153.15pt;mso-position-horizontal-relative:page;mso-position-vertical-relative:paragraph;z-index:15868928" type="#_x0000_t202" id="docshape572"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v:textbox>
                <w10:wrap type="none"/>
              </v:shape>
            </w:pict>
          </mc:Fallback>
        </mc:AlternateContent>
      </w:r>
      <w:r>
        <w:rPr>
          <w:sz w:val="14"/>
        </w:rPr>
        <w:t>Acquittal</w:t>
      </w:r>
      <w:r>
        <w:rPr>
          <w:spacing w:val="4"/>
          <w:sz w:val="14"/>
        </w:rPr>
        <w:t> </w:t>
      </w:r>
      <w:r>
        <w:rPr>
          <w:sz w:val="14"/>
        </w:rPr>
        <w:t>of</w:t>
      </w:r>
      <w:r>
        <w:rPr>
          <w:spacing w:val="6"/>
          <w:sz w:val="14"/>
        </w:rPr>
        <w:t> </w:t>
      </w:r>
      <w:r>
        <w:rPr>
          <w:sz w:val="14"/>
        </w:rPr>
        <w:t>Australian</w:t>
      </w:r>
      <w:r>
        <w:rPr>
          <w:spacing w:val="5"/>
          <w:sz w:val="14"/>
        </w:rPr>
        <w:t> </w:t>
      </w:r>
      <w:r>
        <w:rPr>
          <w:sz w:val="14"/>
        </w:rPr>
        <w:t>Government</w:t>
      </w:r>
      <w:r>
        <w:rPr>
          <w:spacing w:val="5"/>
          <w:sz w:val="14"/>
        </w:rPr>
        <w:t> </w:t>
      </w:r>
      <w:r>
        <w:rPr>
          <w:sz w:val="14"/>
        </w:rPr>
        <w:t>financial</w:t>
      </w:r>
      <w:r>
        <w:rPr>
          <w:spacing w:val="5"/>
          <w:sz w:val="14"/>
        </w:rPr>
        <w:t> </w:t>
      </w:r>
      <w:r>
        <w:rPr>
          <w:spacing w:val="-2"/>
          <w:sz w:val="14"/>
        </w:rPr>
        <w:t>assistance</w:t>
      </w:r>
    </w:p>
    <w:p>
      <w:pPr>
        <w:spacing w:line="240" w:lineRule="auto" w:before="105"/>
        <w:rPr>
          <w:sz w:val="20"/>
        </w:rPr>
      </w:pPr>
      <w:r>
        <w:rPr/>
        <mc:AlternateContent>
          <mc:Choice Requires="wps">
            <w:drawing>
              <wp:anchor distT="0" distB="0" distL="0" distR="0" allowOverlap="1" layoutInCell="1" locked="0" behindDoc="1" simplePos="0" relativeHeight="487727616">
                <wp:simplePos x="0" y="0"/>
                <wp:positionH relativeFrom="page">
                  <wp:posOffset>818946</wp:posOffset>
                </wp:positionH>
                <wp:positionV relativeFrom="paragraph">
                  <wp:posOffset>227952</wp:posOffset>
                </wp:positionV>
                <wp:extent cx="5752465" cy="14604"/>
                <wp:effectExtent l="0" t="0" r="0" b="0"/>
                <wp:wrapTopAndBottom/>
                <wp:docPr id="879" name="Graphic 879"/>
                <wp:cNvGraphicFramePr>
                  <a:graphicFrameLocks/>
                </wp:cNvGraphicFramePr>
                <a:graphic>
                  <a:graphicData uri="http://schemas.microsoft.com/office/word/2010/wordprocessingShape">
                    <wps:wsp>
                      <wps:cNvPr id="879" name="Graphic 879"/>
                      <wps:cNvSpPr/>
                      <wps:spPr>
                        <a:xfrm>
                          <a:off x="0" y="0"/>
                          <a:ext cx="5752465" cy="14604"/>
                        </a:xfrm>
                        <a:custGeom>
                          <a:avLst/>
                          <a:gdLst/>
                          <a:ahLst/>
                          <a:cxnLst/>
                          <a:rect l="l" t="t" r="r" b="b"/>
                          <a:pathLst>
                            <a:path w="5752465" h="14604">
                              <a:moveTo>
                                <a:pt x="5752261" y="0"/>
                              </a:moveTo>
                              <a:lnTo>
                                <a:pt x="0" y="0"/>
                              </a:lnTo>
                              <a:lnTo>
                                <a:pt x="0" y="14287"/>
                              </a:lnTo>
                              <a:lnTo>
                                <a:pt x="5752261" y="14287"/>
                              </a:lnTo>
                              <a:lnTo>
                                <a:pt x="5752261"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64.484001pt;margin-top:17.949024pt;width:452.934pt;height:1.125pt;mso-position-horizontal-relative:page;mso-position-vertical-relative:paragraph;z-index:-15588864;mso-wrap-distance-left:0;mso-wrap-distance-right:0" id="docshape573" filled="true" fillcolor="#4f81bd" stroked="false">
                <v:fill type="solid"/>
                <w10:wrap type="topAndBottom"/>
              </v:rect>
            </w:pict>
          </mc:Fallback>
        </mc:AlternateContent>
      </w:r>
    </w:p>
    <w:p>
      <w:pPr>
        <w:spacing w:after="0" w:line="240" w:lineRule="auto"/>
        <w:rPr>
          <w:sz w:val="20"/>
        </w:rPr>
        <w:sectPr>
          <w:pgSz w:w="11910" w:h="16840"/>
          <w:pgMar w:header="468" w:footer="0" w:top="720" w:bottom="280" w:left="920" w:right="0"/>
        </w:sectPr>
      </w:pPr>
    </w:p>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82"/>
        <w:rPr>
          <w:sz w:val="19"/>
        </w:rPr>
      </w:pPr>
    </w:p>
    <w:p>
      <w:pPr>
        <w:spacing w:before="1"/>
        <w:ind w:left="486" w:right="0" w:firstLine="0"/>
        <w:jc w:val="left"/>
        <w:rPr>
          <w:sz w:val="19"/>
        </w:rPr>
      </w:pPr>
      <w:r>
        <w:rPr>
          <w:color w:val="0070C0"/>
          <w:sz w:val="19"/>
        </w:rPr>
        <w:t>NOTES</w:t>
      </w:r>
      <w:r>
        <w:rPr>
          <w:color w:val="0070C0"/>
          <w:spacing w:val="-1"/>
          <w:sz w:val="19"/>
        </w:rPr>
        <w:t> </w:t>
      </w:r>
      <w:r>
        <w:rPr>
          <w:color w:val="0070C0"/>
          <w:sz w:val="19"/>
        </w:rPr>
        <w:t>TO</w:t>
      </w:r>
      <w:r>
        <w:rPr>
          <w:color w:val="0070C0"/>
          <w:spacing w:val="-1"/>
          <w:sz w:val="19"/>
        </w:rPr>
        <w:t> </w:t>
      </w:r>
      <w:r>
        <w:rPr>
          <w:color w:val="0070C0"/>
          <w:sz w:val="19"/>
        </w:rPr>
        <w:t>THE</w:t>
      </w:r>
      <w:r>
        <w:rPr>
          <w:color w:val="0070C0"/>
          <w:spacing w:val="-1"/>
          <w:sz w:val="19"/>
        </w:rPr>
        <w:t> </w:t>
      </w:r>
      <w:r>
        <w:rPr>
          <w:color w:val="0070C0"/>
          <w:sz w:val="19"/>
        </w:rPr>
        <w:t>FINANCIAL</w:t>
      </w:r>
      <w:r>
        <w:rPr>
          <w:color w:val="0070C0"/>
          <w:spacing w:val="-1"/>
          <w:sz w:val="19"/>
        </w:rPr>
        <w:t> </w:t>
      </w:r>
      <w:r>
        <w:rPr>
          <w:color w:val="0070C0"/>
          <w:spacing w:val="-2"/>
          <w:sz w:val="19"/>
        </w:rPr>
        <w:t>STATEMENTS</w:t>
      </w:r>
    </w:p>
    <w:p>
      <w:pPr>
        <w:spacing w:before="32"/>
        <w:ind w:left="0" w:right="8205" w:firstLine="0"/>
        <w:jc w:val="center"/>
        <w:rPr>
          <w:sz w:val="10"/>
        </w:rPr>
      </w:pPr>
      <w:r>
        <w:rPr>
          <w:w w:val="105"/>
          <w:sz w:val="10"/>
        </w:rPr>
        <w:t>for</w:t>
      </w:r>
      <w:r>
        <w:rPr>
          <w:spacing w:val="3"/>
          <w:w w:val="105"/>
          <w:sz w:val="10"/>
        </w:rPr>
        <w:t> </w:t>
      </w:r>
      <w:r>
        <w:rPr>
          <w:w w:val="105"/>
          <w:sz w:val="10"/>
        </w:rPr>
        <w:t>the</w:t>
      </w:r>
      <w:r>
        <w:rPr>
          <w:spacing w:val="4"/>
          <w:w w:val="105"/>
          <w:sz w:val="10"/>
        </w:rPr>
        <w:t> </w:t>
      </w:r>
      <w:r>
        <w:rPr>
          <w:w w:val="105"/>
          <w:sz w:val="10"/>
        </w:rPr>
        <w:t>year</w:t>
      </w:r>
      <w:r>
        <w:rPr>
          <w:spacing w:val="3"/>
          <w:w w:val="105"/>
          <w:sz w:val="10"/>
        </w:rPr>
        <w:t> </w:t>
      </w:r>
      <w:r>
        <w:rPr>
          <w:w w:val="105"/>
          <w:sz w:val="10"/>
        </w:rPr>
        <w:t>ended</w:t>
      </w:r>
      <w:r>
        <w:rPr>
          <w:spacing w:val="4"/>
          <w:w w:val="105"/>
          <w:sz w:val="10"/>
        </w:rPr>
        <w:t> </w:t>
      </w:r>
      <w:r>
        <w:rPr>
          <w:w w:val="105"/>
          <w:sz w:val="10"/>
        </w:rPr>
        <w:t>31</w:t>
      </w:r>
      <w:r>
        <w:rPr>
          <w:spacing w:val="4"/>
          <w:w w:val="105"/>
          <w:sz w:val="10"/>
        </w:rPr>
        <w:t> </w:t>
      </w:r>
      <w:r>
        <w:rPr>
          <w:w w:val="105"/>
          <w:sz w:val="10"/>
        </w:rPr>
        <w:t>December</w:t>
      </w:r>
      <w:r>
        <w:rPr>
          <w:spacing w:val="3"/>
          <w:w w:val="105"/>
          <w:sz w:val="10"/>
        </w:rPr>
        <w:t> </w:t>
      </w:r>
      <w:r>
        <w:rPr>
          <w:spacing w:val="-4"/>
          <w:w w:val="105"/>
          <w:sz w:val="10"/>
        </w:rPr>
        <w:t>2020</w:t>
      </w:r>
    </w:p>
    <w:p>
      <w:pPr>
        <w:spacing w:line="240" w:lineRule="auto" w:before="38"/>
        <w:rPr>
          <w:sz w:val="10"/>
        </w:rPr>
      </w:pPr>
    </w:p>
    <w:p>
      <w:pPr>
        <w:pStyle w:val="ListParagraph"/>
        <w:numPr>
          <w:ilvl w:val="0"/>
          <w:numId w:val="13"/>
        </w:numPr>
        <w:tabs>
          <w:tab w:pos="1146" w:val="left" w:leader="none"/>
        </w:tabs>
        <w:spacing w:line="240" w:lineRule="auto" w:before="1" w:after="0"/>
        <w:ind w:left="1146" w:right="0" w:hanging="646"/>
        <w:jc w:val="left"/>
        <w:rPr>
          <w:b/>
          <w:color w:val="0070C0"/>
          <w:sz w:val="28"/>
        </w:rPr>
      </w:pPr>
      <w:r>
        <w:rPr/>
        <mc:AlternateContent>
          <mc:Choice Requires="wps">
            <w:drawing>
              <wp:anchor distT="0" distB="0" distL="0" distR="0" allowOverlap="1" layoutInCell="1" locked="0" behindDoc="1" simplePos="0" relativeHeight="487728640">
                <wp:simplePos x="0" y="0"/>
                <wp:positionH relativeFrom="page">
                  <wp:posOffset>871982</wp:posOffset>
                </wp:positionH>
                <wp:positionV relativeFrom="paragraph">
                  <wp:posOffset>212993</wp:posOffset>
                </wp:positionV>
                <wp:extent cx="5738495" cy="14604"/>
                <wp:effectExtent l="0" t="0" r="0" b="0"/>
                <wp:wrapTopAndBottom/>
                <wp:docPr id="880" name="Graphic 880"/>
                <wp:cNvGraphicFramePr>
                  <a:graphicFrameLocks/>
                </wp:cNvGraphicFramePr>
                <a:graphic>
                  <a:graphicData uri="http://schemas.microsoft.com/office/word/2010/wordprocessingShape">
                    <wps:wsp>
                      <wps:cNvPr id="880" name="Graphic 880"/>
                      <wps:cNvSpPr/>
                      <wps:spPr>
                        <a:xfrm>
                          <a:off x="0" y="0"/>
                          <a:ext cx="5738495" cy="14604"/>
                        </a:xfrm>
                        <a:custGeom>
                          <a:avLst/>
                          <a:gdLst/>
                          <a:ahLst/>
                          <a:cxnLst/>
                          <a:rect l="l" t="t" r="r" b="b"/>
                          <a:pathLst>
                            <a:path w="5738495" h="14604">
                              <a:moveTo>
                                <a:pt x="5738075" y="0"/>
                              </a:moveTo>
                              <a:lnTo>
                                <a:pt x="0" y="0"/>
                              </a:lnTo>
                              <a:lnTo>
                                <a:pt x="0" y="14249"/>
                              </a:lnTo>
                              <a:lnTo>
                                <a:pt x="5738075" y="14249"/>
                              </a:lnTo>
                              <a:lnTo>
                                <a:pt x="5738075"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68.660004pt;margin-top:16.771114pt;width:451.817pt;height:1.122pt;mso-position-horizontal-relative:page;mso-position-vertical-relative:paragraph;z-index:-15587840;mso-wrap-distance-left:0;mso-wrap-distance-right:0" id="docshape574" filled="true" fillcolor="#4f81bd" stroked="false">
                <v:fill type="solid"/>
                <w10:wrap type="topAndBottom"/>
              </v:rect>
            </w:pict>
          </mc:Fallback>
        </mc:AlternateContent>
      </w:r>
      <w:r>
        <w:rPr>
          <w:b/>
          <w:color w:val="0070C0"/>
          <w:sz w:val="28"/>
        </w:rPr>
        <w:t>About</w:t>
      </w:r>
      <w:r>
        <w:rPr>
          <w:b/>
          <w:color w:val="0070C0"/>
          <w:spacing w:val="11"/>
          <w:sz w:val="28"/>
        </w:rPr>
        <w:t> </w:t>
      </w:r>
      <w:r>
        <w:rPr>
          <w:b/>
          <w:color w:val="0070C0"/>
          <w:sz w:val="28"/>
        </w:rPr>
        <w:t>this</w:t>
      </w:r>
      <w:r>
        <w:rPr>
          <w:b/>
          <w:color w:val="0070C0"/>
          <w:spacing w:val="11"/>
          <w:sz w:val="28"/>
        </w:rPr>
        <w:t> </w:t>
      </w:r>
      <w:r>
        <w:rPr>
          <w:b/>
          <w:color w:val="0070C0"/>
          <w:spacing w:val="-2"/>
          <w:sz w:val="28"/>
        </w:rPr>
        <w:t>report</w:t>
      </w:r>
    </w:p>
    <w:p>
      <w:pPr>
        <w:pStyle w:val="ListParagraph"/>
        <w:numPr>
          <w:ilvl w:val="0"/>
          <w:numId w:val="14"/>
        </w:numPr>
        <w:tabs>
          <w:tab w:pos="1091" w:val="left" w:leader="none"/>
          <w:tab w:pos="4287" w:val="left" w:leader="none"/>
        </w:tabs>
        <w:spacing w:line="240" w:lineRule="auto" w:before="129" w:after="0"/>
        <w:ind w:left="1091" w:right="0" w:hanging="82"/>
        <w:jc w:val="left"/>
        <w:rPr>
          <w:sz w:val="13"/>
        </w:rPr>
      </w:pPr>
      <w:r>
        <w:rPr>
          <w:sz w:val="13"/>
        </w:rPr>
        <w:t>1.1</w:t>
      </w:r>
      <w:r>
        <w:rPr>
          <w:spacing w:val="1"/>
          <w:sz w:val="13"/>
        </w:rPr>
        <w:t> </w:t>
      </w:r>
      <w:r>
        <w:rPr>
          <w:sz w:val="13"/>
        </w:rPr>
        <w:t>Basis</w:t>
      </w:r>
      <w:r>
        <w:rPr>
          <w:spacing w:val="1"/>
          <w:sz w:val="13"/>
        </w:rPr>
        <w:t> </w:t>
      </w:r>
      <w:r>
        <w:rPr>
          <w:sz w:val="13"/>
        </w:rPr>
        <w:t>of</w:t>
      </w:r>
      <w:r>
        <w:rPr>
          <w:spacing w:val="3"/>
          <w:sz w:val="13"/>
        </w:rPr>
        <w:t> </w:t>
      </w:r>
      <w:r>
        <w:rPr>
          <w:spacing w:val="-2"/>
          <w:sz w:val="13"/>
        </w:rPr>
        <w:t>preparation</w:t>
      </w:r>
      <w:r>
        <w:rPr>
          <w:sz w:val="13"/>
        </w:rPr>
        <w:tab/>
        <w:t>•</w:t>
      </w:r>
      <w:r>
        <w:rPr>
          <w:spacing w:val="2"/>
          <w:sz w:val="13"/>
        </w:rPr>
        <w:t> </w:t>
      </w:r>
      <w:r>
        <w:rPr>
          <w:sz w:val="13"/>
        </w:rPr>
        <w:t>1.4</w:t>
      </w:r>
      <w:r>
        <w:rPr>
          <w:spacing w:val="3"/>
          <w:sz w:val="13"/>
        </w:rPr>
        <w:t> </w:t>
      </w:r>
      <w:r>
        <w:rPr>
          <w:sz w:val="13"/>
        </w:rPr>
        <w:t>Unrestricted</w:t>
      </w:r>
      <w:r>
        <w:rPr>
          <w:spacing w:val="3"/>
          <w:sz w:val="13"/>
        </w:rPr>
        <w:t> </w:t>
      </w:r>
      <w:r>
        <w:rPr>
          <w:sz w:val="13"/>
        </w:rPr>
        <w:t>and</w:t>
      </w:r>
      <w:r>
        <w:rPr>
          <w:spacing w:val="3"/>
          <w:sz w:val="13"/>
        </w:rPr>
        <w:t> </w:t>
      </w:r>
      <w:r>
        <w:rPr>
          <w:sz w:val="13"/>
        </w:rPr>
        <w:t>restricted</w:t>
      </w:r>
      <w:r>
        <w:rPr>
          <w:spacing w:val="2"/>
          <w:sz w:val="13"/>
        </w:rPr>
        <w:t> </w:t>
      </w:r>
      <w:r>
        <w:rPr>
          <w:spacing w:val="-2"/>
          <w:sz w:val="13"/>
        </w:rPr>
        <w:t>assets</w:t>
      </w:r>
    </w:p>
    <w:p>
      <w:pPr>
        <w:pStyle w:val="ListParagraph"/>
        <w:numPr>
          <w:ilvl w:val="0"/>
          <w:numId w:val="14"/>
        </w:numPr>
        <w:tabs>
          <w:tab w:pos="1091" w:val="left" w:leader="none"/>
          <w:tab w:pos="4287" w:val="left" w:leader="none"/>
        </w:tabs>
        <w:spacing w:line="240" w:lineRule="auto" w:before="15" w:after="0"/>
        <w:ind w:left="1091" w:right="0" w:hanging="82"/>
        <w:jc w:val="left"/>
        <w:rPr>
          <w:sz w:val="13"/>
        </w:rPr>
      </w:pPr>
      <w:r>
        <w:rPr>
          <w:sz w:val="13"/>
        </w:rPr>
        <w:t>1.2</w:t>
      </w:r>
      <w:r>
        <w:rPr>
          <w:spacing w:val="3"/>
          <w:sz w:val="13"/>
        </w:rPr>
        <w:t> </w:t>
      </w:r>
      <w:r>
        <w:rPr>
          <w:sz w:val="13"/>
        </w:rPr>
        <w:t>Significant</w:t>
      </w:r>
      <w:r>
        <w:rPr>
          <w:spacing w:val="2"/>
          <w:sz w:val="13"/>
        </w:rPr>
        <w:t> </w:t>
      </w:r>
      <w:r>
        <w:rPr>
          <w:sz w:val="13"/>
        </w:rPr>
        <w:t>accounting</w:t>
      </w:r>
      <w:r>
        <w:rPr>
          <w:spacing w:val="4"/>
          <w:sz w:val="13"/>
        </w:rPr>
        <w:t> </w:t>
      </w:r>
      <w:r>
        <w:rPr>
          <w:spacing w:val="-2"/>
          <w:sz w:val="13"/>
        </w:rPr>
        <w:t>policies</w:t>
      </w:r>
      <w:r>
        <w:rPr>
          <w:sz w:val="13"/>
        </w:rPr>
        <w:tab/>
        <w:t>• 1.5 Initial</w:t>
      </w:r>
      <w:r>
        <w:rPr>
          <w:spacing w:val="-1"/>
          <w:sz w:val="13"/>
        </w:rPr>
        <w:t> </w:t>
      </w:r>
      <w:r>
        <w:rPr>
          <w:sz w:val="13"/>
        </w:rPr>
        <w:t>application</w:t>
      </w:r>
      <w:r>
        <w:rPr>
          <w:spacing w:val="1"/>
          <w:sz w:val="13"/>
        </w:rPr>
        <w:t> </w:t>
      </w:r>
      <w:r>
        <w:rPr>
          <w:sz w:val="13"/>
        </w:rPr>
        <w:t>of</w:t>
      </w:r>
      <w:r>
        <w:rPr>
          <w:spacing w:val="1"/>
          <w:sz w:val="13"/>
        </w:rPr>
        <w:t> </w:t>
      </w:r>
      <w:r>
        <w:rPr>
          <w:spacing w:val="-5"/>
          <w:sz w:val="13"/>
        </w:rPr>
        <w:t>AAS</w:t>
      </w:r>
    </w:p>
    <w:p>
      <w:pPr>
        <w:pStyle w:val="ListParagraph"/>
        <w:numPr>
          <w:ilvl w:val="0"/>
          <w:numId w:val="14"/>
        </w:numPr>
        <w:tabs>
          <w:tab w:pos="1091" w:val="left" w:leader="none"/>
        </w:tabs>
        <w:spacing w:line="240" w:lineRule="auto" w:before="14" w:after="0"/>
        <w:ind w:left="1091" w:right="0" w:hanging="82"/>
        <w:jc w:val="left"/>
        <w:rPr>
          <w:sz w:val="13"/>
        </w:rPr>
      </w:pPr>
      <w:r>
        <w:rPr>
          <w:sz w:val="13"/>
        </w:rPr>
        <w:t>1.3</w:t>
      </w:r>
      <w:r>
        <w:rPr>
          <w:spacing w:val="1"/>
          <w:sz w:val="13"/>
        </w:rPr>
        <w:t> </w:t>
      </w:r>
      <w:r>
        <w:rPr>
          <w:sz w:val="13"/>
        </w:rPr>
        <w:t>Critical</w:t>
      </w:r>
      <w:r>
        <w:rPr>
          <w:spacing w:val="1"/>
          <w:sz w:val="13"/>
        </w:rPr>
        <w:t> </w:t>
      </w:r>
      <w:r>
        <w:rPr>
          <w:sz w:val="13"/>
        </w:rPr>
        <w:t>estimates</w:t>
      </w:r>
      <w:r>
        <w:rPr>
          <w:spacing w:val="2"/>
          <w:sz w:val="13"/>
        </w:rPr>
        <w:t> </w:t>
      </w:r>
      <w:r>
        <w:rPr>
          <w:sz w:val="13"/>
        </w:rPr>
        <w:t>and</w:t>
      </w:r>
      <w:r>
        <w:rPr>
          <w:spacing w:val="2"/>
          <w:sz w:val="13"/>
        </w:rPr>
        <w:t> </w:t>
      </w:r>
      <w:r>
        <w:rPr>
          <w:spacing w:val="-2"/>
          <w:sz w:val="13"/>
        </w:rPr>
        <w:t>judgements</w:t>
      </w:r>
    </w:p>
    <w:p>
      <w:pPr>
        <w:spacing w:line="240" w:lineRule="auto" w:before="0"/>
        <w:rPr>
          <w:sz w:val="8"/>
        </w:rPr>
      </w:pPr>
      <w:r>
        <w:rPr/>
        <mc:AlternateContent>
          <mc:Choice Requires="wps">
            <w:drawing>
              <wp:anchor distT="0" distB="0" distL="0" distR="0" allowOverlap="1" layoutInCell="1" locked="0" behindDoc="1" simplePos="0" relativeHeight="487729152">
                <wp:simplePos x="0" y="0"/>
                <wp:positionH relativeFrom="page">
                  <wp:posOffset>871982</wp:posOffset>
                </wp:positionH>
                <wp:positionV relativeFrom="paragraph">
                  <wp:posOffset>73938</wp:posOffset>
                </wp:positionV>
                <wp:extent cx="5738495" cy="14604"/>
                <wp:effectExtent l="0" t="0" r="0" b="0"/>
                <wp:wrapTopAndBottom/>
                <wp:docPr id="881" name="Graphic 881"/>
                <wp:cNvGraphicFramePr>
                  <a:graphicFrameLocks/>
                </wp:cNvGraphicFramePr>
                <a:graphic>
                  <a:graphicData uri="http://schemas.microsoft.com/office/word/2010/wordprocessingShape">
                    <wps:wsp>
                      <wps:cNvPr id="881" name="Graphic 881"/>
                      <wps:cNvSpPr/>
                      <wps:spPr>
                        <a:xfrm>
                          <a:off x="0" y="0"/>
                          <a:ext cx="5738495" cy="14604"/>
                        </a:xfrm>
                        <a:custGeom>
                          <a:avLst/>
                          <a:gdLst/>
                          <a:ahLst/>
                          <a:cxnLst/>
                          <a:rect l="l" t="t" r="r" b="b"/>
                          <a:pathLst>
                            <a:path w="5738495" h="14604">
                              <a:moveTo>
                                <a:pt x="5738075" y="0"/>
                              </a:moveTo>
                              <a:lnTo>
                                <a:pt x="0" y="0"/>
                              </a:lnTo>
                              <a:lnTo>
                                <a:pt x="0" y="14262"/>
                              </a:lnTo>
                              <a:lnTo>
                                <a:pt x="5738075" y="14262"/>
                              </a:lnTo>
                              <a:lnTo>
                                <a:pt x="5738075"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68.660004pt;margin-top:5.821904pt;width:451.817pt;height:1.123pt;mso-position-horizontal-relative:page;mso-position-vertical-relative:paragraph;z-index:-15587328;mso-wrap-distance-left:0;mso-wrap-distance-right:0" id="docshape575" filled="true" fillcolor="#4f81bd" stroked="false">
                <v:fill type="solid"/>
                <w10:wrap type="topAndBottom"/>
              </v:rect>
            </w:pict>
          </mc:Fallback>
        </mc:AlternateContent>
      </w:r>
    </w:p>
    <w:p>
      <w:pPr>
        <w:pStyle w:val="ListParagraph"/>
        <w:numPr>
          <w:ilvl w:val="1"/>
          <w:numId w:val="13"/>
        </w:numPr>
        <w:tabs>
          <w:tab w:pos="1009" w:val="left" w:leader="none"/>
        </w:tabs>
        <w:spacing w:line="240" w:lineRule="auto" w:before="127" w:after="0"/>
        <w:ind w:left="1009" w:right="0" w:hanging="529"/>
        <w:jc w:val="left"/>
        <w:rPr>
          <w:b/>
          <w:color w:val="0070C0"/>
          <w:sz w:val="14"/>
        </w:rPr>
      </w:pPr>
      <w:r>
        <w:rPr>
          <w:b/>
          <w:color w:val="0070C0"/>
          <w:sz w:val="14"/>
        </w:rPr>
        <w:t>Basis</w:t>
      </w:r>
      <w:r>
        <w:rPr>
          <w:b/>
          <w:color w:val="0070C0"/>
          <w:spacing w:val="6"/>
          <w:sz w:val="14"/>
        </w:rPr>
        <w:t> </w:t>
      </w:r>
      <w:r>
        <w:rPr>
          <w:b/>
          <w:color w:val="0070C0"/>
          <w:sz w:val="14"/>
        </w:rPr>
        <w:t>of</w:t>
      </w:r>
      <w:r>
        <w:rPr>
          <w:b/>
          <w:color w:val="0070C0"/>
          <w:spacing w:val="4"/>
          <w:sz w:val="14"/>
        </w:rPr>
        <w:t> </w:t>
      </w:r>
      <w:r>
        <w:rPr>
          <w:b/>
          <w:color w:val="0070C0"/>
          <w:spacing w:val="-2"/>
          <w:sz w:val="14"/>
        </w:rPr>
        <w:t>preparation</w:t>
      </w:r>
    </w:p>
    <w:p>
      <w:pPr>
        <w:spacing w:before="39"/>
        <w:ind w:left="0" w:right="8282" w:firstLine="0"/>
        <w:jc w:val="center"/>
        <w:rPr>
          <w:b/>
          <w:sz w:val="12"/>
        </w:rPr>
      </w:pPr>
      <w:r>
        <w:rPr>
          <w:b/>
          <w:spacing w:val="-2"/>
          <w:sz w:val="12"/>
        </w:rPr>
        <w:t>Background</w:t>
      </w:r>
    </w:p>
    <w:p>
      <w:pPr>
        <w:spacing w:line="240" w:lineRule="auto" w:before="74"/>
        <w:rPr>
          <w:b/>
          <w:sz w:val="12"/>
        </w:rPr>
      </w:pPr>
    </w:p>
    <w:p>
      <w:pPr>
        <w:spacing w:line="261" w:lineRule="auto" w:before="0"/>
        <w:ind w:left="1007" w:right="1518" w:firstLine="0"/>
        <w:jc w:val="both"/>
        <w:rPr>
          <w:sz w:val="12"/>
        </w:rPr>
      </w:pPr>
      <w:r>
        <w:rPr>
          <w:sz w:val="12"/>
        </w:rPr>
        <w:t>The</w:t>
      </w:r>
      <w:r>
        <w:rPr>
          <w:spacing w:val="-9"/>
          <w:sz w:val="12"/>
        </w:rPr>
        <w:t> </w:t>
      </w:r>
      <w:r>
        <w:rPr>
          <w:sz w:val="12"/>
        </w:rPr>
        <w:t>financial</w:t>
      </w:r>
      <w:r>
        <w:rPr>
          <w:spacing w:val="-8"/>
          <w:sz w:val="12"/>
        </w:rPr>
        <w:t> </w:t>
      </w:r>
      <w:r>
        <w:rPr>
          <w:sz w:val="12"/>
        </w:rPr>
        <w:t>statements</w:t>
      </w:r>
      <w:r>
        <w:rPr>
          <w:spacing w:val="-8"/>
          <w:sz w:val="12"/>
        </w:rPr>
        <w:t> </w:t>
      </w:r>
      <w:r>
        <w:rPr>
          <w:sz w:val="12"/>
        </w:rPr>
        <w:t>include</w:t>
      </w:r>
      <w:r>
        <w:rPr>
          <w:spacing w:val="-9"/>
          <w:sz w:val="12"/>
        </w:rPr>
        <w:t> </w:t>
      </w:r>
      <w:r>
        <w:rPr>
          <w:sz w:val="12"/>
        </w:rPr>
        <w:t>separate</w:t>
      </w:r>
      <w:r>
        <w:rPr>
          <w:spacing w:val="-8"/>
          <w:sz w:val="12"/>
        </w:rPr>
        <w:t> </w:t>
      </w:r>
      <w:r>
        <w:rPr>
          <w:sz w:val="12"/>
        </w:rPr>
        <w:t>financial</w:t>
      </w:r>
      <w:r>
        <w:rPr>
          <w:spacing w:val="-8"/>
          <w:sz w:val="12"/>
        </w:rPr>
        <w:t> </w:t>
      </w:r>
      <w:r>
        <w:rPr>
          <w:sz w:val="12"/>
        </w:rPr>
        <w:t>statements</w:t>
      </w:r>
      <w:r>
        <w:rPr>
          <w:spacing w:val="-9"/>
          <w:sz w:val="12"/>
        </w:rPr>
        <w:t> </w:t>
      </w:r>
      <w:r>
        <w:rPr>
          <w:sz w:val="12"/>
        </w:rPr>
        <w:t>for</w:t>
      </w:r>
      <w:r>
        <w:rPr>
          <w:spacing w:val="-8"/>
          <w:sz w:val="12"/>
        </w:rPr>
        <w:t> </w:t>
      </w:r>
      <w:r>
        <w:rPr>
          <w:sz w:val="12"/>
        </w:rPr>
        <w:t>The</w:t>
      </w:r>
      <w:r>
        <w:rPr>
          <w:spacing w:val="-9"/>
          <w:sz w:val="12"/>
        </w:rPr>
        <w:t> </w:t>
      </w:r>
      <w:r>
        <w:rPr>
          <w:sz w:val="12"/>
        </w:rPr>
        <w:t>University</w:t>
      </w:r>
      <w:r>
        <w:rPr>
          <w:spacing w:val="-8"/>
          <w:sz w:val="12"/>
        </w:rPr>
        <w:t> </w:t>
      </w:r>
      <w:r>
        <w:rPr>
          <w:sz w:val="12"/>
        </w:rPr>
        <w:t>of</w:t>
      </w:r>
      <w:r>
        <w:rPr>
          <w:spacing w:val="-8"/>
          <w:sz w:val="12"/>
        </w:rPr>
        <w:t> </w:t>
      </w:r>
      <w:r>
        <w:rPr>
          <w:sz w:val="12"/>
        </w:rPr>
        <w:t>Western</w:t>
      </w:r>
      <w:r>
        <w:rPr>
          <w:spacing w:val="-9"/>
          <w:sz w:val="12"/>
        </w:rPr>
        <w:t> </w:t>
      </w:r>
      <w:r>
        <w:rPr>
          <w:sz w:val="12"/>
        </w:rPr>
        <w:t>Australia</w:t>
      </w:r>
      <w:r>
        <w:rPr>
          <w:spacing w:val="-8"/>
          <w:sz w:val="12"/>
        </w:rPr>
        <w:t> </w:t>
      </w:r>
      <w:r>
        <w:rPr>
          <w:sz w:val="12"/>
        </w:rPr>
        <w:t>as</w:t>
      </w:r>
      <w:r>
        <w:rPr>
          <w:spacing w:val="-8"/>
          <w:sz w:val="12"/>
        </w:rPr>
        <w:t> </w:t>
      </w:r>
      <w:r>
        <w:rPr>
          <w:sz w:val="12"/>
        </w:rPr>
        <w:t>the</w:t>
      </w:r>
      <w:r>
        <w:rPr>
          <w:spacing w:val="-9"/>
          <w:sz w:val="12"/>
        </w:rPr>
        <w:t> </w:t>
      </w:r>
      <w:r>
        <w:rPr>
          <w:sz w:val="12"/>
        </w:rPr>
        <w:t>parent</w:t>
      </w:r>
      <w:r>
        <w:rPr>
          <w:spacing w:val="-8"/>
          <w:sz w:val="12"/>
        </w:rPr>
        <w:t> </w:t>
      </w:r>
      <w:r>
        <w:rPr>
          <w:sz w:val="12"/>
        </w:rPr>
        <w:t>entity</w:t>
      </w:r>
      <w:r>
        <w:rPr>
          <w:spacing w:val="-8"/>
          <w:sz w:val="12"/>
        </w:rPr>
        <w:t> </w:t>
      </w:r>
      <w:r>
        <w:rPr>
          <w:sz w:val="12"/>
        </w:rPr>
        <w:t>and</w:t>
      </w:r>
      <w:r>
        <w:rPr>
          <w:spacing w:val="-9"/>
          <w:sz w:val="12"/>
        </w:rPr>
        <w:t> </w:t>
      </w:r>
      <w:r>
        <w:rPr>
          <w:sz w:val="12"/>
        </w:rPr>
        <w:t>the</w:t>
      </w:r>
      <w:r>
        <w:rPr>
          <w:spacing w:val="-8"/>
          <w:sz w:val="12"/>
        </w:rPr>
        <w:t> </w:t>
      </w:r>
      <w:r>
        <w:rPr>
          <w:sz w:val="12"/>
        </w:rPr>
        <w:t>consolidated</w:t>
      </w:r>
      <w:r>
        <w:rPr>
          <w:spacing w:val="-8"/>
          <w:sz w:val="12"/>
        </w:rPr>
        <w:t> </w:t>
      </w:r>
      <w:r>
        <w:rPr>
          <w:sz w:val="12"/>
        </w:rPr>
        <w:t>entity</w:t>
      </w:r>
      <w:r>
        <w:rPr>
          <w:spacing w:val="-9"/>
          <w:sz w:val="12"/>
        </w:rPr>
        <w:t> </w:t>
      </w:r>
      <w:r>
        <w:rPr>
          <w:sz w:val="12"/>
        </w:rPr>
        <w:t>consisting</w:t>
      </w:r>
      <w:r>
        <w:rPr>
          <w:spacing w:val="-8"/>
          <w:sz w:val="12"/>
        </w:rPr>
        <w:t> </w:t>
      </w:r>
      <w:r>
        <w:rPr>
          <w:sz w:val="12"/>
        </w:rPr>
        <w:t>of</w:t>
      </w:r>
      <w:r>
        <w:rPr>
          <w:spacing w:val="40"/>
          <w:sz w:val="12"/>
        </w:rPr>
        <w:t> </w:t>
      </w:r>
      <w:r>
        <w:rPr>
          <w:sz w:val="12"/>
        </w:rPr>
        <w:t>the</w:t>
      </w:r>
      <w:r>
        <w:rPr>
          <w:spacing w:val="-1"/>
          <w:sz w:val="12"/>
        </w:rPr>
        <w:t> </w:t>
      </w:r>
      <w:r>
        <w:rPr>
          <w:sz w:val="12"/>
        </w:rPr>
        <w:t>University</w:t>
      </w:r>
      <w:r>
        <w:rPr>
          <w:spacing w:val="-4"/>
          <w:sz w:val="12"/>
        </w:rPr>
        <w:t> </w:t>
      </w:r>
      <w:r>
        <w:rPr>
          <w:sz w:val="12"/>
        </w:rPr>
        <w:t>and</w:t>
      </w:r>
      <w:r>
        <w:rPr>
          <w:spacing w:val="-1"/>
          <w:sz w:val="12"/>
        </w:rPr>
        <w:t> </w:t>
      </w:r>
      <w:r>
        <w:rPr>
          <w:sz w:val="12"/>
        </w:rPr>
        <w:t>its</w:t>
      </w:r>
      <w:r>
        <w:rPr>
          <w:spacing w:val="-2"/>
          <w:sz w:val="12"/>
        </w:rPr>
        <w:t> </w:t>
      </w:r>
      <w:r>
        <w:rPr>
          <w:sz w:val="12"/>
        </w:rPr>
        <w:t>subsidiaries. The</w:t>
      </w:r>
      <w:r>
        <w:rPr>
          <w:spacing w:val="-4"/>
          <w:sz w:val="12"/>
        </w:rPr>
        <w:t> </w:t>
      </w:r>
      <w:r>
        <w:rPr>
          <w:sz w:val="12"/>
        </w:rPr>
        <w:t>University</w:t>
      </w:r>
      <w:r>
        <w:rPr>
          <w:spacing w:val="-4"/>
          <w:sz w:val="12"/>
        </w:rPr>
        <w:t> </w:t>
      </w:r>
      <w:r>
        <w:rPr>
          <w:sz w:val="12"/>
        </w:rPr>
        <w:t>of</w:t>
      </w:r>
      <w:r>
        <w:rPr>
          <w:spacing w:val="-2"/>
          <w:sz w:val="12"/>
        </w:rPr>
        <w:t> </w:t>
      </w:r>
      <w:r>
        <w:rPr>
          <w:sz w:val="12"/>
        </w:rPr>
        <w:t>Western</w:t>
      </w:r>
      <w:r>
        <w:rPr>
          <w:spacing w:val="-4"/>
          <w:sz w:val="12"/>
        </w:rPr>
        <w:t> </w:t>
      </w:r>
      <w:r>
        <w:rPr>
          <w:sz w:val="12"/>
        </w:rPr>
        <w:t>Australia</w:t>
      </w:r>
      <w:r>
        <w:rPr>
          <w:spacing w:val="-4"/>
          <w:sz w:val="12"/>
        </w:rPr>
        <w:t> </w:t>
      </w:r>
      <w:r>
        <w:rPr>
          <w:sz w:val="12"/>
        </w:rPr>
        <w:t>is a</w:t>
      </w:r>
      <w:r>
        <w:rPr>
          <w:spacing w:val="-4"/>
          <w:sz w:val="12"/>
        </w:rPr>
        <w:t> </w:t>
      </w:r>
      <w:r>
        <w:rPr>
          <w:sz w:val="12"/>
        </w:rPr>
        <w:t>not-for-profit entity</w:t>
      </w:r>
      <w:r>
        <w:rPr>
          <w:spacing w:val="-5"/>
          <w:sz w:val="12"/>
        </w:rPr>
        <w:t> </w:t>
      </w:r>
      <w:r>
        <w:rPr>
          <w:sz w:val="12"/>
        </w:rPr>
        <w:t>and</w:t>
      </w:r>
      <w:r>
        <w:rPr>
          <w:spacing w:val="-1"/>
          <w:sz w:val="12"/>
        </w:rPr>
        <w:t> </w:t>
      </w:r>
      <w:r>
        <w:rPr>
          <w:sz w:val="12"/>
        </w:rPr>
        <w:t>these</w:t>
      </w:r>
      <w:r>
        <w:rPr>
          <w:spacing w:val="-4"/>
          <w:sz w:val="12"/>
        </w:rPr>
        <w:t> </w:t>
      </w:r>
      <w:r>
        <w:rPr>
          <w:sz w:val="12"/>
        </w:rPr>
        <w:t>statements have</w:t>
      </w:r>
      <w:r>
        <w:rPr>
          <w:spacing w:val="-4"/>
          <w:sz w:val="12"/>
        </w:rPr>
        <w:t> </w:t>
      </w:r>
      <w:r>
        <w:rPr>
          <w:sz w:val="12"/>
        </w:rPr>
        <w:t>been</w:t>
      </w:r>
      <w:r>
        <w:rPr>
          <w:spacing w:val="-4"/>
          <w:sz w:val="12"/>
        </w:rPr>
        <w:t> </w:t>
      </w:r>
      <w:r>
        <w:rPr>
          <w:sz w:val="12"/>
        </w:rPr>
        <w:t>prepared</w:t>
      </w:r>
      <w:r>
        <w:rPr>
          <w:spacing w:val="-4"/>
          <w:sz w:val="12"/>
        </w:rPr>
        <w:t> </w:t>
      </w:r>
      <w:r>
        <w:rPr>
          <w:sz w:val="12"/>
        </w:rPr>
        <w:t>on</w:t>
      </w:r>
      <w:r>
        <w:rPr>
          <w:spacing w:val="-4"/>
          <w:sz w:val="12"/>
        </w:rPr>
        <w:t> </w:t>
      </w:r>
      <w:r>
        <w:rPr>
          <w:sz w:val="12"/>
        </w:rPr>
        <w:t>that</w:t>
      </w:r>
      <w:r>
        <w:rPr>
          <w:spacing w:val="-2"/>
          <w:sz w:val="12"/>
        </w:rPr>
        <w:t> </w:t>
      </w:r>
      <w:r>
        <w:rPr>
          <w:sz w:val="12"/>
        </w:rPr>
        <w:t>basis. Some</w:t>
      </w:r>
      <w:r>
        <w:rPr>
          <w:spacing w:val="-4"/>
          <w:sz w:val="12"/>
        </w:rPr>
        <w:t> </w:t>
      </w:r>
      <w:r>
        <w:rPr>
          <w:sz w:val="12"/>
        </w:rPr>
        <w:t>of</w:t>
      </w:r>
      <w:r>
        <w:rPr>
          <w:spacing w:val="40"/>
          <w:sz w:val="12"/>
        </w:rPr>
        <w:t> </w:t>
      </w:r>
      <w:r>
        <w:rPr>
          <w:spacing w:val="-2"/>
          <w:sz w:val="12"/>
        </w:rPr>
        <w:t>the Australian Accounting Standards requirements for not-for-profit entities are inconsistent with International Financial Reporting Standards requirements.</w:t>
      </w:r>
    </w:p>
    <w:p>
      <w:pPr>
        <w:spacing w:line="240" w:lineRule="auto" w:before="28"/>
        <w:rPr>
          <w:sz w:val="12"/>
        </w:rPr>
      </w:pPr>
    </w:p>
    <w:p>
      <w:pPr>
        <w:spacing w:line="456" w:lineRule="auto" w:before="1"/>
        <w:ind w:left="1007" w:right="3105" w:firstLine="0"/>
        <w:jc w:val="both"/>
        <w:rPr>
          <w:sz w:val="12"/>
        </w:rPr>
      </w:pPr>
      <w:r>
        <w:rPr>
          <w:sz w:val="12"/>
        </w:rPr>
        <w:t>The</w:t>
      </w:r>
      <w:r>
        <w:rPr>
          <w:spacing w:val="-9"/>
          <w:sz w:val="12"/>
        </w:rPr>
        <w:t> </w:t>
      </w:r>
      <w:r>
        <w:rPr>
          <w:sz w:val="12"/>
        </w:rPr>
        <w:t>financial</w:t>
      </w:r>
      <w:r>
        <w:rPr>
          <w:spacing w:val="-8"/>
          <w:sz w:val="12"/>
        </w:rPr>
        <w:t> </w:t>
      </w:r>
      <w:r>
        <w:rPr>
          <w:sz w:val="12"/>
        </w:rPr>
        <w:t>statements</w:t>
      </w:r>
      <w:r>
        <w:rPr>
          <w:spacing w:val="-8"/>
          <w:sz w:val="12"/>
        </w:rPr>
        <w:t> </w:t>
      </w:r>
      <w:r>
        <w:rPr>
          <w:sz w:val="12"/>
        </w:rPr>
        <w:t>were</w:t>
      </w:r>
      <w:r>
        <w:rPr>
          <w:spacing w:val="-9"/>
          <w:sz w:val="12"/>
        </w:rPr>
        <w:t> </w:t>
      </w:r>
      <w:r>
        <w:rPr>
          <w:sz w:val="12"/>
        </w:rPr>
        <w:t>authorised</w:t>
      </w:r>
      <w:r>
        <w:rPr>
          <w:spacing w:val="-8"/>
          <w:sz w:val="12"/>
        </w:rPr>
        <w:t> </w:t>
      </w:r>
      <w:r>
        <w:rPr>
          <w:sz w:val="12"/>
        </w:rPr>
        <w:t>for</w:t>
      </w:r>
      <w:r>
        <w:rPr>
          <w:spacing w:val="-8"/>
          <w:sz w:val="12"/>
        </w:rPr>
        <w:t> </w:t>
      </w:r>
      <w:r>
        <w:rPr>
          <w:sz w:val="12"/>
        </w:rPr>
        <w:t>issue</w:t>
      </w:r>
      <w:r>
        <w:rPr>
          <w:spacing w:val="-9"/>
          <w:sz w:val="12"/>
        </w:rPr>
        <w:t> </w:t>
      </w:r>
      <w:r>
        <w:rPr>
          <w:sz w:val="12"/>
        </w:rPr>
        <w:t>by</w:t>
      </w:r>
      <w:r>
        <w:rPr>
          <w:spacing w:val="-8"/>
          <w:sz w:val="12"/>
        </w:rPr>
        <w:t> </w:t>
      </w:r>
      <w:r>
        <w:rPr>
          <w:sz w:val="12"/>
        </w:rPr>
        <w:t>the</w:t>
      </w:r>
      <w:r>
        <w:rPr>
          <w:spacing w:val="-8"/>
          <w:sz w:val="12"/>
        </w:rPr>
        <w:t> </w:t>
      </w:r>
      <w:r>
        <w:rPr>
          <w:sz w:val="12"/>
        </w:rPr>
        <w:t>Senate</w:t>
      </w:r>
      <w:r>
        <w:rPr>
          <w:spacing w:val="-8"/>
          <w:sz w:val="12"/>
        </w:rPr>
        <w:t> </w:t>
      </w:r>
      <w:r>
        <w:rPr>
          <w:sz w:val="12"/>
        </w:rPr>
        <w:t>members</w:t>
      </w:r>
      <w:r>
        <w:rPr>
          <w:spacing w:val="-7"/>
          <w:sz w:val="12"/>
        </w:rPr>
        <w:t> </w:t>
      </w:r>
      <w:r>
        <w:rPr>
          <w:sz w:val="12"/>
        </w:rPr>
        <w:t>of</w:t>
      </w:r>
      <w:r>
        <w:rPr>
          <w:spacing w:val="-7"/>
          <w:sz w:val="12"/>
        </w:rPr>
        <w:t> </w:t>
      </w:r>
      <w:r>
        <w:rPr>
          <w:sz w:val="12"/>
        </w:rPr>
        <w:t>The</w:t>
      </w:r>
      <w:r>
        <w:rPr>
          <w:spacing w:val="-8"/>
          <w:sz w:val="12"/>
        </w:rPr>
        <w:t> </w:t>
      </w:r>
      <w:r>
        <w:rPr>
          <w:sz w:val="12"/>
        </w:rPr>
        <w:t>University</w:t>
      </w:r>
      <w:r>
        <w:rPr>
          <w:spacing w:val="-9"/>
          <w:sz w:val="12"/>
        </w:rPr>
        <w:t> </w:t>
      </w:r>
      <w:r>
        <w:rPr>
          <w:sz w:val="12"/>
        </w:rPr>
        <w:t>of</w:t>
      </w:r>
      <w:r>
        <w:rPr>
          <w:spacing w:val="-7"/>
          <w:sz w:val="12"/>
        </w:rPr>
        <w:t> </w:t>
      </w:r>
      <w:r>
        <w:rPr>
          <w:sz w:val="12"/>
        </w:rPr>
        <w:t>Western</w:t>
      </w:r>
      <w:r>
        <w:rPr>
          <w:spacing w:val="-9"/>
          <w:sz w:val="12"/>
        </w:rPr>
        <w:t> </w:t>
      </w:r>
      <w:r>
        <w:rPr>
          <w:sz w:val="12"/>
        </w:rPr>
        <w:t>Australia</w:t>
      </w:r>
      <w:r>
        <w:rPr>
          <w:spacing w:val="-7"/>
          <w:sz w:val="12"/>
        </w:rPr>
        <w:t> </w:t>
      </w:r>
      <w:r>
        <w:rPr>
          <w:sz w:val="12"/>
        </w:rPr>
        <w:t>on</w:t>
      </w:r>
      <w:r>
        <w:rPr>
          <w:spacing w:val="-9"/>
          <w:sz w:val="12"/>
        </w:rPr>
        <w:t> </w:t>
      </w:r>
      <w:r>
        <w:rPr>
          <w:sz w:val="12"/>
        </w:rPr>
        <w:t>5</w:t>
      </w:r>
      <w:r>
        <w:rPr>
          <w:spacing w:val="-8"/>
          <w:sz w:val="12"/>
        </w:rPr>
        <w:t> </w:t>
      </w:r>
      <w:r>
        <w:rPr>
          <w:sz w:val="12"/>
        </w:rPr>
        <w:t>March</w:t>
      </w:r>
      <w:r>
        <w:rPr>
          <w:spacing w:val="-8"/>
          <w:sz w:val="12"/>
        </w:rPr>
        <w:t> </w:t>
      </w:r>
      <w:r>
        <w:rPr>
          <w:sz w:val="12"/>
        </w:rPr>
        <w:t>2021.</w:t>
      </w:r>
      <w:r>
        <w:rPr>
          <w:spacing w:val="40"/>
          <w:sz w:val="12"/>
        </w:rPr>
        <w:t> </w:t>
      </w:r>
      <w:r>
        <w:rPr>
          <w:sz w:val="12"/>
        </w:rPr>
        <w:t>The</w:t>
      </w:r>
      <w:r>
        <w:rPr>
          <w:spacing w:val="-5"/>
          <w:sz w:val="12"/>
        </w:rPr>
        <w:t> </w:t>
      </w:r>
      <w:r>
        <w:rPr>
          <w:sz w:val="12"/>
        </w:rPr>
        <w:t>principal</w:t>
      </w:r>
      <w:r>
        <w:rPr>
          <w:spacing w:val="-6"/>
          <w:sz w:val="12"/>
        </w:rPr>
        <w:t> </w:t>
      </w:r>
      <w:r>
        <w:rPr>
          <w:sz w:val="12"/>
        </w:rPr>
        <w:t>address</w:t>
      </w:r>
      <w:r>
        <w:rPr>
          <w:spacing w:val="-3"/>
          <w:sz w:val="12"/>
        </w:rPr>
        <w:t> </w:t>
      </w:r>
      <w:r>
        <w:rPr>
          <w:sz w:val="12"/>
        </w:rPr>
        <w:t>of</w:t>
      </w:r>
      <w:r>
        <w:rPr>
          <w:spacing w:val="-4"/>
          <w:sz w:val="12"/>
        </w:rPr>
        <w:t> </w:t>
      </w:r>
      <w:r>
        <w:rPr>
          <w:sz w:val="12"/>
        </w:rPr>
        <w:t>The</w:t>
      </w:r>
      <w:r>
        <w:rPr>
          <w:spacing w:val="-5"/>
          <w:sz w:val="12"/>
        </w:rPr>
        <w:t> </w:t>
      </w:r>
      <w:r>
        <w:rPr>
          <w:sz w:val="12"/>
        </w:rPr>
        <w:t>University</w:t>
      </w:r>
      <w:r>
        <w:rPr>
          <w:spacing w:val="-8"/>
          <w:sz w:val="12"/>
        </w:rPr>
        <w:t> </w:t>
      </w:r>
      <w:r>
        <w:rPr>
          <w:sz w:val="12"/>
        </w:rPr>
        <w:t>of</w:t>
      </w:r>
      <w:r>
        <w:rPr>
          <w:spacing w:val="-4"/>
          <w:sz w:val="12"/>
        </w:rPr>
        <w:t> </w:t>
      </w:r>
      <w:r>
        <w:rPr>
          <w:sz w:val="12"/>
        </w:rPr>
        <w:t>Western</w:t>
      </w:r>
      <w:r>
        <w:rPr>
          <w:spacing w:val="-7"/>
          <w:sz w:val="12"/>
        </w:rPr>
        <w:t> </w:t>
      </w:r>
      <w:r>
        <w:rPr>
          <w:sz w:val="12"/>
        </w:rPr>
        <w:t>Australia</w:t>
      </w:r>
      <w:r>
        <w:rPr>
          <w:spacing w:val="-5"/>
          <w:sz w:val="12"/>
        </w:rPr>
        <w:t> </w:t>
      </w:r>
      <w:r>
        <w:rPr>
          <w:sz w:val="12"/>
        </w:rPr>
        <w:t>is</w:t>
      </w:r>
      <w:r>
        <w:rPr>
          <w:spacing w:val="-3"/>
          <w:sz w:val="12"/>
        </w:rPr>
        <w:t> </w:t>
      </w:r>
      <w:r>
        <w:rPr>
          <w:sz w:val="12"/>
        </w:rPr>
        <w:t>35</w:t>
      </w:r>
      <w:r>
        <w:rPr>
          <w:spacing w:val="-5"/>
          <w:sz w:val="12"/>
        </w:rPr>
        <w:t> </w:t>
      </w:r>
      <w:r>
        <w:rPr>
          <w:sz w:val="12"/>
        </w:rPr>
        <w:t>Stirling</w:t>
      </w:r>
      <w:r>
        <w:rPr>
          <w:spacing w:val="-3"/>
          <w:sz w:val="12"/>
        </w:rPr>
        <w:t> </w:t>
      </w:r>
      <w:r>
        <w:rPr>
          <w:sz w:val="12"/>
        </w:rPr>
        <w:t>Highway,</w:t>
      </w:r>
      <w:r>
        <w:rPr>
          <w:spacing w:val="-4"/>
          <w:sz w:val="12"/>
        </w:rPr>
        <w:t> </w:t>
      </w:r>
      <w:r>
        <w:rPr>
          <w:sz w:val="12"/>
        </w:rPr>
        <w:t>Crawley</w:t>
      </w:r>
      <w:r>
        <w:rPr>
          <w:spacing w:val="-8"/>
          <w:sz w:val="12"/>
        </w:rPr>
        <w:t> </w:t>
      </w:r>
      <w:r>
        <w:rPr>
          <w:sz w:val="12"/>
        </w:rPr>
        <w:t>WA</w:t>
      </w:r>
      <w:r>
        <w:rPr>
          <w:spacing w:val="-5"/>
          <w:sz w:val="12"/>
        </w:rPr>
        <w:t> </w:t>
      </w:r>
      <w:r>
        <w:rPr>
          <w:sz w:val="12"/>
        </w:rPr>
        <w:t>6009,</w:t>
      </w:r>
      <w:r>
        <w:rPr>
          <w:spacing w:val="-4"/>
          <w:sz w:val="12"/>
        </w:rPr>
        <w:t> </w:t>
      </w:r>
      <w:r>
        <w:rPr>
          <w:sz w:val="12"/>
        </w:rPr>
        <w:t>Australia.</w:t>
      </w:r>
    </w:p>
    <w:p>
      <w:pPr>
        <w:spacing w:before="1"/>
        <w:ind w:left="1007" w:right="0" w:firstLine="0"/>
        <w:jc w:val="both"/>
        <w:rPr>
          <w:sz w:val="12"/>
        </w:rPr>
      </w:pPr>
      <w:r>
        <w:rPr>
          <w:spacing w:val="-2"/>
          <w:sz w:val="12"/>
        </w:rPr>
        <w:t>These</w:t>
      </w:r>
      <w:r>
        <w:rPr>
          <w:spacing w:val="-1"/>
          <w:sz w:val="12"/>
        </w:rPr>
        <w:t> </w:t>
      </w:r>
      <w:r>
        <w:rPr>
          <w:spacing w:val="-2"/>
          <w:sz w:val="12"/>
        </w:rPr>
        <w:t>financial</w:t>
      </w:r>
      <w:r>
        <w:rPr>
          <w:spacing w:val="-1"/>
          <w:sz w:val="12"/>
        </w:rPr>
        <w:t> </w:t>
      </w:r>
      <w:r>
        <w:rPr>
          <w:spacing w:val="-2"/>
          <w:sz w:val="12"/>
        </w:rPr>
        <w:t>statements:</w:t>
      </w:r>
    </w:p>
    <w:p>
      <w:pPr>
        <w:pStyle w:val="ListParagraph"/>
        <w:numPr>
          <w:ilvl w:val="2"/>
          <w:numId w:val="13"/>
        </w:numPr>
        <w:tabs>
          <w:tab w:pos="1122" w:val="left" w:leader="none"/>
        </w:tabs>
        <w:spacing w:line="240" w:lineRule="auto" w:before="13" w:after="0"/>
        <w:ind w:left="1122" w:right="0" w:hanging="113"/>
        <w:jc w:val="both"/>
        <w:rPr>
          <w:sz w:val="12"/>
        </w:rPr>
      </w:pPr>
      <w:r>
        <w:rPr>
          <w:spacing w:val="-2"/>
          <w:position w:val="1"/>
          <w:sz w:val="12"/>
        </w:rPr>
        <w:t>constitute</w:t>
      </w:r>
      <w:r>
        <w:rPr>
          <w:position w:val="1"/>
          <w:sz w:val="12"/>
        </w:rPr>
        <w:t> </w:t>
      </w:r>
      <w:r>
        <w:rPr>
          <w:spacing w:val="-2"/>
          <w:position w:val="1"/>
          <w:sz w:val="12"/>
        </w:rPr>
        <w:t>general</w:t>
      </w:r>
      <w:r>
        <w:rPr>
          <w:spacing w:val="-1"/>
          <w:position w:val="1"/>
          <w:sz w:val="12"/>
        </w:rPr>
        <w:t> </w:t>
      </w:r>
      <w:r>
        <w:rPr>
          <w:spacing w:val="-2"/>
          <w:position w:val="1"/>
          <w:sz w:val="12"/>
        </w:rPr>
        <w:t>purpose</w:t>
      </w:r>
      <w:r>
        <w:rPr>
          <w:position w:val="1"/>
          <w:sz w:val="12"/>
        </w:rPr>
        <w:t> </w:t>
      </w:r>
      <w:r>
        <w:rPr>
          <w:spacing w:val="-2"/>
          <w:position w:val="1"/>
          <w:sz w:val="12"/>
        </w:rPr>
        <w:t>financial</w:t>
      </w:r>
      <w:r>
        <w:rPr>
          <w:position w:val="1"/>
          <w:sz w:val="12"/>
        </w:rPr>
        <w:t> </w:t>
      </w:r>
      <w:r>
        <w:rPr>
          <w:spacing w:val="-2"/>
          <w:position w:val="1"/>
          <w:sz w:val="12"/>
        </w:rPr>
        <w:t>statements;</w:t>
      </w:r>
    </w:p>
    <w:p>
      <w:pPr>
        <w:pStyle w:val="ListParagraph"/>
        <w:numPr>
          <w:ilvl w:val="2"/>
          <w:numId w:val="13"/>
        </w:numPr>
        <w:tabs>
          <w:tab w:pos="1122" w:val="left" w:leader="none"/>
          <w:tab w:pos="1124" w:val="left" w:leader="none"/>
        </w:tabs>
        <w:spacing w:line="254" w:lineRule="auto" w:before="1" w:after="0"/>
        <w:ind w:left="1124" w:right="1513" w:hanging="115"/>
        <w:jc w:val="both"/>
        <w:rPr>
          <w:sz w:val="12"/>
        </w:rPr>
      </w:pPr>
      <w:r>
        <w:rPr>
          <w:position w:val="1"/>
          <w:sz w:val="12"/>
        </w:rPr>
        <w:t>have been prepared in accordance with Australian Accounting Standards, the Framework, Statement of Accounting Concepts and other authoritative</w:t>
      </w:r>
      <w:r>
        <w:rPr>
          <w:spacing w:val="40"/>
          <w:position w:val="1"/>
          <w:sz w:val="12"/>
        </w:rPr>
        <w:t> </w:t>
      </w:r>
      <w:r>
        <w:rPr>
          <w:sz w:val="12"/>
        </w:rPr>
        <w:t>pronouncements</w:t>
      </w:r>
      <w:r>
        <w:rPr>
          <w:spacing w:val="-9"/>
          <w:sz w:val="12"/>
        </w:rPr>
        <w:t> </w:t>
      </w:r>
      <w:r>
        <w:rPr>
          <w:sz w:val="12"/>
        </w:rPr>
        <w:t>of</w:t>
      </w:r>
      <w:r>
        <w:rPr>
          <w:spacing w:val="-8"/>
          <w:sz w:val="12"/>
        </w:rPr>
        <w:t> </w:t>
      </w:r>
      <w:r>
        <w:rPr>
          <w:sz w:val="12"/>
        </w:rPr>
        <w:t>the</w:t>
      </w:r>
      <w:r>
        <w:rPr>
          <w:spacing w:val="-8"/>
          <w:sz w:val="12"/>
        </w:rPr>
        <w:t> </w:t>
      </w:r>
      <w:r>
        <w:rPr>
          <w:sz w:val="12"/>
        </w:rPr>
        <w:t>Australian</w:t>
      </w:r>
      <w:r>
        <w:rPr>
          <w:spacing w:val="-9"/>
          <w:sz w:val="12"/>
        </w:rPr>
        <w:t> </w:t>
      </w:r>
      <w:r>
        <w:rPr>
          <w:sz w:val="12"/>
        </w:rPr>
        <w:t>Accounting</w:t>
      </w:r>
      <w:r>
        <w:rPr>
          <w:spacing w:val="-8"/>
          <w:sz w:val="12"/>
        </w:rPr>
        <w:t> </w:t>
      </w:r>
      <w:r>
        <w:rPr>
          <w:sz w:val="12"/>
        </w:rPr>
        <w:t>Standards</w:t>
      </w:r>
      <w:r>
        <w:rPr>
          <w:spacing w:val="-8"/>
          <w:sz w:val="12"/>
        </w:rPr>
        <w:t> </w:t>
      </w:r>
      <w:r>
        <w:rPr>
          <w:sz w:val="12"/>
        </w:rPr>
        <w:t>Board</w:t>
      </w:r>
      <w:r>
        <w:rPr>
          <w:spacing w:val="-9"/>
          <w:sz w:val="12"/>
        </w:rPr>
        <w:t> </w:t>
      </w:r>
      <w:r>
        <w:rPr>
          <w:sz w:val="12"/>
        </w:rPr>
        <w:t>as</w:t>
      </w:r>
      <w:r>
        <w:rPr>
          <w:spacing w:val="-8"/>
          <w:sz w:val="12"/>
        </w:rPr>
        <w:t> </w:t>
      </w:r>
      <w:r>
        <w:rPr>
          <w:sz w:val="12"/>
        </w:rPr>
        <w:t>applied</w:t>
      </w:r>
      <w:r>
        <w:rPr>
          <w:spacing w:val="-9"/>
          <w:sz w:val="12"/>
        </w:rPr>
        <w:t> </w:t>
      </w:r>
      <w:r>
        <w:rPr>
          <w:sz w:val="12"/>
        </w:rPr>
        <w:t>by</w:t>
      </w:r>
      <w:r>
        <w:rPr>
          <w:spacing w:val="-8"/>
          <w:sz w:val="12"/>
        </w:rPr>
        <w:t> </w:t>
      </w:r>
      <w:r>
        <w:rPr>
          <w:sz w:val="12"/>
        </w:rPr>
        <w:t>the</w:t>
      </w:r>
      <w:r>
        <w:rPr>
          <w:spacing w:val="-8"/>
          <w:sz w:val="12"/>
        </w:rPr>
        <w:t> </w:t>
      </w:r>
      <w:r>
        <w:rPr>
          <w:sz w:val="12"/>
        </w:rPr>
        <w:t>Treasurer's</w:t>
      </w:r>
      <w:r>
        <w:rPr>
          <w:spacing w:val="-9"/>
          <w:sz w:val="12"/>
        </w:rPr>
        <w:t> </w:t>
      </w:r>
      <w:r>
        <w:rPr>
          <w:sz w:val="12"/>
        </w:rPr>
        <w:t>Instructions,</w:t>
      </w:r>
      <w:r>
        <w:rPr>
          <w:spacing w:val="-8"/>
          <w:sz w:val="12"/>
        </w:rPr>
        <w:t> </w:t>
      </w:r>
      <w:r>
        <w:rPr>
          <w:sz w:val="12"/>
        </w:rPr>
        <w:t>with</w:t>
      </w:r>
      <w:r>
        <w:rPr>
          <w:spacing w:val="-8"/>
          <w:sz w:val="12"/>
        </w:rPr>
        <w:t> </w:t>
      </w:r>
      <w:r>
        <w:rPr>
          <w:sz w:val="12"/>
        </w:rPr>
        <w:t>the</w:t>
      </w:r>
      <w:r>
        <w:rPr>
          <w:spacing w:val="-9"/>
          <w:sz w:val="12"/>
        </w:rPr>
        <w:t> </w:t>
      </w:r>
      <w:r>
        <w:rPr>
          <w:sz w:val="12"/>
        </w:rPr>
        <w:t>exception</w:t>
      </w:r>
      <w:r>
        <w:rPr>
          <w:spacing w:val="-8"/>
          <w:sz w:val="12"/>
        </w:rPr>
        <w:t> </w:t>
      </w:r>
      <w:r>
        <w:rPr>
          <w:sz w:val="12"/>
        </w:rPr>
        <w:t>of</w:t>
      </w:r>
      <w:r>
        <w:rPr>
          <w:spacing w:val="-8"/>
          <w:sz w:val="12"/>
        </w:rPr>
        <w:t> </w:t>
      </w:r>
      <w:r>
        <w:rPr>
          <w:sz w:val="12"/>
        </w:rPr>
        <w:t>certain</w:t>
      </w:r>
      <w:r>
        <w:rPr>
          <w:spacing w:val="-9"/>
          <w:sz w:val="12"/>
        </w:rPr>
        <w:t> </w:t>
      </w:r>
      <w:r>
        <w:rPr>
          <w:sz w:val="12"/>
        </w:rPr>
        <w:t>Treasurer’s</w:t>
      </w:r>
      <w:r>
        <w:rPr>
          <w:spacing w:val="-8"/>
          <w:sz w:val="12"/>
        </w:rPr>
        <w:t> </w:t>
      </w:r>
      <w:r>
        <w:rPr>
          <w:sz w:val="12"/>
        </w:rPr>
        <w:t>Instructions</w:t>
      </w:r>
      <w:r>
        <w:rPr>
          <w:spacing w:val="-8"/>
          <w:sz w:val="12"/>
        </w:rPr>
        <w:t> </w:t>
      </w:r>
      <w:r>
        <w:rPr>
          <w:sz w:val="12"/>
        </w:rPr>
        <w:t>-</w:t>
      </w:r>
      <w:r>
        <w:rPr>
          <w:spacing w:val="40"/>
          <w:sz w:val="12"/>
        </w:rPr>
        <w:t> </w:t>
      </w:r>
      <w:r>
        <w:rPr>
          <w:sz w:val="12"/>
        </w:rPr>
        <w:t>several</w:t>
      </w:r>
      <w:r>
        <w:rPr>
          <w:spacing w:val="-6"/>
          <w:sz w:val="12"/>
        </w:rPr>
        <w:t> </w:t>
      </w:r>
      <w:r>
        <w:rPr>
          <w:sz w:val="12"/>
        </w:rPr>
        <w:t>of</w:t>
      </w:r>
      <w:r>
        <w:rPr>
          <w:spacing w:val="-4"/>
          <w:sz w:val="12"/>
        </w:rPr>
        <w:t> </w:t>
      </w:r>
      <w:r>
        <w:rPr>
          <w:sz w:val="12"/>
        </w:rPr>
        <w:t>the</w:t>
      </w:r>
      <w:r>
        <w:rPr>
          <w:spacing w:val="-5"/>
          <w:sz w:val="12"/>
        </w:rPr>
        <w:t> </w:t>
      </w:r>
      <w:r>
        <w:rPr>
          <w:sz w:val="12"/>
        </w:rPr>
        <w:t>Australian</w:t>
      </w:r>
      <w:r>
        <w:rPr>
          <w:spacing w:val="-7"/>
          <w:sz w:val="12"/>
        </w:rPr>
        <w:t> </w:t>
      </w:r>
      <w:r>
        <w:rPr>
          <w:sz w:val="12"/>
        </w:rPr>
        <w:t>Accounting</w:t>
      </w:r>
      <w:r>
        <w:rPr>
          <w:spacing w:val="-3"/>
          <w:sz w:val="12"/>
        </w:rPr>
        <w:t> </w:t>
      </w:r>
      <w:r>
        <w:rPr>
          <w:sz w:val="12"/>
        </w:rPr>
        <w:t>Standards,</w:t>
      </w:r>
      <w:r>
        <w:rPr>
          <w:spacing w:val="-4"/>
          <w:sz w:val="12"/>
        </w:rPr>
        <w:t> </w:t>
      </w:r>
      <w:r>
        <w:rPr>
          <w:sz w:val="12"/>
        </w:rPr>
        <w:t>the</w:t>
      </w:r>
      <w:r>
        <w:rPr>
          <w:spacing w:val="-5"/>
          <w:sz w:val="12"/>
        </w:rPr>
        <w:t> </w:t>
      </w:r>
      <w:r>
        <w:rPr>
          <w:sz w:val="12"/>
        </w:rPr>
        <w:t>Framework,</w:t>
      </w:r>
      <w:r>
        <w:rPr>
          <w:spacing w:val="-4"/>
          <w:sz w:val="12"/>
        </w:rPr>
        <w:t> </w:t>
      </w:r>
      <w:r>
        <w:rPr>
          <w:sz w:val="12"/>
        </w:rPr>
        <w:t>Statements</w:t>
      </w:r>
      <w:r>
        <w:rPr>
          <w:spacing w:val="-3"/>
          <w:sz w:val="12"/>
        </w:rPr>
        <w:t> </w:t>
      </w:r>
      <w:r>
        <w:rPr>
          <w:sz w:val="12"/>
        </w:rPr>
        <w:t>of</w:t>
      </w:r>
      <w:r>
        <w:rPr>
          <w:spacing w:val="-4"/>
          <w:sz w:val="12"/>
        </w:rPr>
        <w:t> </w:t>
      </w:r>
      <w:r>
        <w:rPr>
          <w:sz w:val="12"/>
        </w:rPr>
        <w:t>Accounting</w:t>
      </w:r>
      <w:r>
        <w:rPr>
          <w:spacing w:val="-3"/>
          <w:sz w:val="12"/>
        </w:rPr>
        <w:t> </w:t>
      </w:r>
      <w:r>
        <w:rPr>
          <w:sz w:val="12"/>
        </w:rPr>
        <w:t>Concepts</w:t>
      </w:r>
      <w:r>
        <w:rPr>
          <w:spacing w:val="-6"/>
          <w:sz w:val="12"/>
        </w:rPr>
        <w:t> </w:t>
      </w:r>
      <w:r>
        <w:rPr>
          <w:sz w:val="12"/>
        </w:rPr>
        <w:t>and</w:t>
      </w:r>
      <w:r>
        <w:rPr>
          <w:spacing w:val="-5"/>
          <w:sz w:val="12"/>
        </w:rPr>
        <w:t> </w:t>
      </w:r>
      <w:r>
        <w:rPr>
          <w:sz w:val="12"/>
        </w:rPr>
        <w:t>other</w:t>
      </w:r>
      <w:r>
        <w:rPr>
          <w:spacing w:val="-6"/>
          <w:sz w:val="12"/>
        </w:rPr>
        <w:t> </w:t>
      </w:r>
      <w:r>
        <w:rPr>
          <w:sz w:val="12"/>
        </w:rPr>
        <w:t>authoritative</w:t>
      </w:r>
      <w:r>
        <w:rPr>
          <w:spacing w:val="-5"/>
          <w:sz w:val="12"/>
        </w:rPr>
        <w:t> </w:t>
      </w:r>
      <w:r>
        <w:rPr>
          <w:sz w:val="12"/>
        </w:rPr>
        <w:t>pronouncements</w:t>
      </w:r>
      <w:r>
        <w:rPr>
          <w:spacing w:val="-5"/>
          <w:sz w:val="12"/>
        </w:rPr>
        <w:t> </w:t>
      </w:r>
      <w:r>
        <w:rPr>
          <w:sz w:val="12"/>
        </w:rPr>
        <w:t>of</w:t>
      </w:r>
      <w:r>
        <w:rPr>
          <w:spacing w:val="-4"/>
          <w:sz w:val="12"/>
        </w:rPr>
        <w:t> </w:t>
      </w:r>
      <w:r>
        <w:rPr>
          <w:sz w:val="12"/>
        </w:rPr>
        <w:t>the</w:t>
      </w:r>
      <w:r>
        <w:rPr>
          <w:spacing w:val="-7"/>
          <w:sz w:val="12"/>
        </w:rPr>
        <w:t> </w:t>
      </w:r>
      <w:r>
        <w:rPr>
          <w:sz w:val="12"/>
        </w:rPr>
        <w:t>Australian</w:t>
      </w:r>
      <w:r>
        <w:rPr>
          <w:spacing w:val="40"/>
          <w:sz w:val="12"/>
        </w:rPr>
        <w:t> </w:t>
      </w:r>
      <w:r>
        <w:rPr>
          <w:sz w:val="12"/>
        </w:rPr>
        <w:t>Accounting</w:t>
      </w:r>
      <w:r>
        <w:rPr>
          <w:spacing w:val="-5"/>
          <w:sz w:val="12"/>
        </w:rPr>
        <w:t> </w:t>
      </w:r>
      <w:r>
        <w:rPr>
          <w:sz w:val="12"/>
        </w:rPr>
        <w:t>Standards</w:t>
      </w:r>
      <w:r>
        <w:rPr>
          <w:spacing w:val="-5"/>
          <w:sz w:val="12"/>
        </w:rPr>
        <w:t> </w:t>
      </w:r>
      <w:r>
        <w:rPr>
          <w:sz w:val="12"/>
        </w:rPr>
        <w:t>Board</w:t>
      </w:r>
      <w:r>
        <w:rPr>
          <w:spacing w:val="-7"/>
          <w:sz w:val="12"/>
        </w:rPr>
        <w:t> </w:t>
      </w:r>
      <w:r>
        <w:rPr>
          <w:sz w:val="12"/>
        </w:rPr>
        <w:t>are</w:t>
      </w:r>
      <w:r>
        <w:rPr>
          <w:spacing w:val="-7"/>
          <w:sz w:val="12"/>
        </w:rPr>
        <w:t> </w:t>
      </w:r>
      <w:r>
        <w:rPr>
          <w:sz w:val="12"/>
        </w:rPr>
        <w:t>modified</w:t>
      </w:r>
      <w:r>
        <w:rPr>
          <w:spacing w:val="-7"/>
          <w:sz w:val="12"/>
        </w:rPr>
        <w:t> </w:t>
      </w:r>
      <w:r>
        <w:rPr>
          <w:sz w:val="12"/>
        </w:rPr>
        <w:t>by</w:t>
      </w:r>
      <w:r>
        <w:rPr>
          <w:spacing w:val="-9"/>
          <w:sz w:val="12"/>
        </w:rPr>
        <w:t> </w:t>
      </w:r>
      <w:r>
        <w:rPr>
          <w:sz w:val="12"/>
        </w:rPr>
        <w:t>the</w:t>
      </w:r>
      <w:r>
        <w:rPr>
          <w:spacing w:val="-6"/>
          <w:sz w:val="12"/>
        </w:rPr>
        <w:t> </w:t>
      </w:r>
      <w:r>
        <w:rPr>
          <w:sz w:val="12"/>
        </w:rPr>
        <w:t>Treasurer's</w:t>
      </w:r>
      <w:r>
        <w:rPr>
          <w:spacing w:val="-5"/>
          <w:sz w:val="12"/>
        </w:rPr>
        <w:t> </w:t>
      </w:r>
      <w:r>
        <w:rPr>
          <w:sz w:val="12"/>
        </w:rPr>
        <w:t>Instructions</w:t>
      </w:r>
      <w:r>
        <w:rPr>
          <w:spacing w:val="-5"/>
          <w:sz w:val="12"/>
        </w:rPr>
        <w:t> </w:t>
      </w:r>
      <w:r>
        <w:rPr>
          <w:sz w:val="12"/>
        </w:rPr>
        <w:t>to</w:t>
      </w:r>
      <w:r>
        <w:rPr>
          <w:spacing w:val="-7"/>
          <w:sz w:val="12"/>
        </w:rPr>
        <w:t> </w:t>
      </w:r>
      <w:r>
        <w:rPr>
          <w:sz w:val="12"/>
        </w:rPr>
        <w:t>vary</w:t>
      </w:r>
      <w:r>
        <w:rPr>
          <w:spacing w:val="-8"/>
          <w:sz w:val="12"/>
        </w:rPr>
        <w:t> </w:t>
      </w:r>
      <w:r>
        <w:rPr>
          <w:sz w:val="12"/>
        </w:rPr>
        <w:t>application,</w:t>
      </w:r>
      <w:r>
        <w:rPr>
          <w:spacing w:val="-6"/>
          <w:sz w:val="12"/>
        </w:rPr>
        <w:t> </w:t>
      </w:r>
      <w:r>
        <w:rPr>
          <w:sz w:val="12"/>
        </w:rPr>
        <w:t>disclosure,</w:t>
      </w:r>
      <w:r>
        <w:rPr>
          <w:spacing w:val="-6"/>
          <w:sz w:val="12"/>
        </w:rPr>
        <w:t> </w:t>
      </w:r>
      <w:r>
        <w:rPr>
          <w:sz w:val="12"/>
        </w:rPr>
        <w:t>format</w:t>
      </w:r>
      <w:r>
        <w:rPr>
          <w:spacing w:val="-6"/>
          <w:sz w:val="12"/>
        </w:rPr>
        <w:t> </w:t>
      </w:r>
      <w:r>
        <w:rPr>
          <w:sz w:val="12"/>
        </w:rPr>
        <w:t>and</w:t>
      </w:r>
      <w:r>
        <w:rPr>
          <w:spacing w:val="-7"/>
          <w:sz w:val="12"/>
        </w:rPr>
        <w:t> </w:t>
      </w:r>
      <w:r>
        <w:rPr>
          <w:sz w:val="12"/>
        </w:rPr>
        <w:t>wording;</w:t>
      </w:r>
    </w:p>
    <w:p>
      <w:pPr>
        <w:pStyle w:val="ListParagraph"/>
        <w:numPr>
          <w:ilvl w:val="2"/>
          <w:numId w:val="13"/>
        </w:numPr>
        <w:tabs>
          <w:tab w:pos="1122" w:val="left" w:leader="none"/>
        </w:tabs>
        <w:spacing w:line="240" w:lineRule="auto" w:before="37" w:after="0"/>
        <w:ind w:left="1122" w:right="0" w:hanging="113"/>
        <w:jc w:val="left"/>
        <w:rPr>
          <w:sz w:val="12"/>
        </w:rPr>
      </w:pPr>
      <w:r>
        <w:rPr>
          <w:spacing w:val="-2"/>
          <w:position w:val="1"/>
          <w:sz w:val="12"/>
        </w:rPr>
        <w:t>have</w:t>
      </w:r>
      <w:r>
        <w:rPr>
          <w:spacing w:val="1"/>
          <w:position w:val="1"/>
          <w:sz w:val="12"/>
        </w:rPr>
        <w:t> </w:t>
      </w:r>
      <w:r>
        <w:rPr>
          <w:spacing w:val="-2"/>
          <w:position w:val="1"/>
          <w:sz w:val="12"/>
        </w:rPr>
        <w:t>been</w:t>
      </w:r>
      <w:r>
        <w:rPr>
          <w:spacing w:val="-1"/>
          <w:position w:val="1"/>
          <w:sz w:val="12"/>
        </w:rPr>
        <w:t> </w:t>
      </w:r>
      <w:r>
        <w:rPr>
          <w:spacing w:val="-2"/>
          <w:position w:val="1"/>
          <w:sz w:val="12"/>
        </w:rPr>
        <w:t>prepared</w:t>
      </w:r>
      <w:r>
        <w:rPr>
          <w:spacing w:val="1"/>
          <w:position w:val="1"/>
          <w:sz w:val="12"/>
        </w:rPr>
        <w:t> </w:t>
      </w:r>
      <w:r>
        <w:rPr>
          <w:spacing w:val="-2"/>
          <w:position w:val="1"/>
          <w:sz w:val="12"/>
        </w:rPr>
        <w:t>in</w:t>
      </w:r>
      <w:r>
        <w:rPr>
          <w:position w:val="1"/>
          <w:sz w:val="12"/>
        </w:rPr>
        <w:t> </w:t>
      </w:r>
      <w:r>
        <w:rPr>
          <w:spacing w:val="-2"/>
          <w:position w:val="1"/>
          <w:sz w:val="12"/>
        </w:rPr>
        <w:t>accordance</w:t>
      </w:r>
      <w:r>
        <w:rPr>
          <w:spacing w:val="1"/>
          <w:position w:val="1"/>
          <w:sz w:val="12"/>
        </w:rPr>
        <w:t> </w:t>
      </w:r>
      <w:r>
        <w:rPr>
          <w:spacing w:val="-2"/>
          <w:position w:val="1"/>
          <w:sz w:val="12"/>
        </w:rPr>
        <w:t>with</w:t>
      </w:r>
      <w:r>
        <w:rPr>
          <w:spacing w:val="-1"/>
          <w:position w:val="1"/>
          <w:sz w:val="12"/>
        </w:rPr>
        <w:t> </w:t>
      </w:r>
      <w:r>
        <w:rPr>
          <w:spacing w:val="-2"/>
          <w:position w:val="1"/>
          <w:sz w:val="12"/>
        </w:rPr>
        <w:t>the</w:t>
      </w:r>
      <w:r>
        <w:rPr>
          <w:spacing w:val="2"/>
          <w:position w:val="1"/>
          <w:sz w:val="12"/>
        </w:rPr>
        <w:t> </w:t>
      </w:r>
      <w:r>
        <w:rPr>
          <w:spacing w:val="-2"/>
          <w:position w:val="1"/>
          <w:sz w:val="12"/>
        </w:rPr>
        <w:t>requirements</w:t>
      </w:r>
      <w:r>
        <w:rPr>
          <w:spacing w:val="3"/>
          <w:position w:val="1"/>
          <w:sz w:val="12"/>
        </w:rPr>
        <w:t> </w:t>
      </w:r>
      <w:r>
        <w:rPr>
          <w:spacing w:val="-2"/>
          <w:position w:val="1"/>
          <w:sz w:val="12"/>
        </w:rPr>
        <w:t>of</w:t>
      </w:r>
      <w:r>
        <w:rPr>
          <w:spacing w:val="3"/>
          <w:position w:val="1"/>
          <w:sz w:val="12"/>
        </w:rPr>
        <w:t> </w:t>
      </w:r>
      <w:r>
        <w:rPr>
          <w:spacing w:val="-2"/>
          <w:position w:val="1"/>
          <w:sz w:val="12"/>
        </w:rPr>
        <w:t>the</w:t>
      </w:r>
      <w:r>
        <w:rPr>
          <w:spacing w:val="1"/>
          <w:position w:val="1"/>
          <w:sz w:val="12"/>
        </w:rPr>
        <w:t> </w:t>
      </w:r>
      <w:r>
        <w:rPr>
          <w:spacing w:val="-2"/>
          <w:position w:val="1"/>
          <w:sz w:val="12"/>
        </w:rPr>
        <w:t>Australian</w:t>
      </w:r>
      <w:r>
        <w:rPr>
          <w:spacing w:val="-1"/>
          <w:position w:val="1"/>
          <w:sz w:val="12"/>
        </w:rPr>
        <w:t> </w:t>
      </w:r>
      <w:r>
        <w:rPr>
          <w:spacing w:val="-2"/>
          <w:position w:val="1"/>
          <w:sz w:val="12"/>
        </w:rPr>
        <w:t>Charities</w:t>
      </w:r>
      <w:r>
        <w:rPr>
          <w:spacing w:val="4"/>
          <w:position w:val="1"/>
          <w:sz w:val="12"/>
        </w:rPr>
        <w:t> </w:t>
      </w:r>
      <w:r>
        <w:rPr>
          <w:spacing w:val="-2"/>
          <w:position w:val="1"/>
          <w:sz w:val="12"/>
        </w:rPr>
        <w:t>and</w:t>
      </w:r>
      <w:r>
        <w:rPr>
          <w:spacing w:val="1"/>
          <w:position w:val="1"/>
          <w:sz w:val="12"/>
        </w:rPr>
        <w:t> </w:t>
      </w:r>
      <w:r>
        <w:rPr>
          <w:spacing w:val="-2"/>
          <w:position w:val="1"/>
          <w:sz w:val="12"/>
        </w:rPr>
        <w:t>Not-for-profits</w:t>
      </w:r>
      <w:r>
        <w:rPr>
          <w:spacing w:val="3"/>
          <w:position w:val="1"/>
          <w:sz w:val="12"/>
        </w:rPr>
        <w:t> </w:t>
      </w:r>
      <w:r>
        <w:rPr>
          <w:spacing w:val="-2"/>
          <w:position w:val="1"/>
          <w:sz w:val="12"/>
        </w:rPr>
        <w:t>Commission</w:t>
      </w:r>
      <w:r>
        <w:rPr>
          <w:position w:val="1"/>
          <w:sz w:val="12"/>
        </w:rPr>
        <w:t> </w:t>
      </w:r>
      <w:r>
        <w:rPr>
          <w:spacing w:val="-2"/>
          <w:position w:val="1"/>
          <w:sz w:val="12"/>
        </w:rPr>
        <w:t>Act</w:t>
      </w:r>
      <w:r>
        <w:rPr>
          <w:spacing w:val="2"/>
          <w:position w:val="1"/>
          <w:sz w:val="12"/>
        </w:rPr>
        <w:t> </w:t>
      </w:r>
      <w:r>
        <w:rPr>
          <w:spacing w:val="-2"/>
          <w:position w:val="1"/>
          <w:sz w:val="12"/>
        </w:rPr>
        <w:t>2012;</w:t>
      </w:r>
    </w:p>
    <w:p>
      <w:pPr>
        <w:pStyle w:val="ListParagraph"/>
        <w:numPr>
          <w:ilvl w:val="2"/>
          <w:numId w:val="13"/>
        </w:numPr>
        <w:tabs>
          <w:tab w:pos="1122" w:val="left" w:leader="none"/>
          <w:tab w:pos="1124" w:val="left" w:leader="none"/>
        </w:tabs>
        <w:spacing w:line="240" w:lineRule="auto" w:before="41" w:after="0"/>
        <w:ind w:left="1124" w:right="1519" w:hanging="115"/>
        <w:jc w:val="left"/>
        <w:rPr>
          <w:sz w:val="12"/>
        </w:rPr>
      </w:pPr>
      <w:r>
        <w:rPr>
          <w:position w:val="1"/>
          <w:sz w:val="12"/>
        </w:rPr>
        <w:t>have been</w:t>
      </w:r>
      <w:r>
        <w:rPr>
          <w:spacing w:val="-2"/>
          <w:position w:val="1"/>
          <w:sz w:val="12"/>
        </w:rPr>
        <w:t> </w:t>
      </w:r>
      <w:r>
        <w:rPr>
          <w:position w:val="1"/>
          <w:sz w:val="12"/>
        </w:rPr>
        <w:t>prepared on</w:t>
      </w:r>
      <w:r>
        <w:rPr>
          <w:spacing w:val="-2"/>
          <w:position w:val="1"/>
          <w:sz w:val="12"/>
        </w:rPr>
        <w:t> </w:t>
      </w:r>
      <w:r>
        <w:rPr>
          <w:position w:val="1"/>
          <w:sz w:val="12"/>
        </w:rPr>
        <w:t>the accrual</w:t>
      </w:r>
      <w:r>
        <w:rPr>
          <w:spacing w:val="-2"/>
          <w:position w:val="1"/>
          <w:sz w:val="12"/>
        </w:rPr>
        <w:t> </w:t>
      </w:r>
      <w:r>
        <w:rPr>
          <w:position w:val="1"/>
          <w:sz w:val="12"/>
        </w:rPr>
        <w:t>basis of</w:t>
      </w:r>
      <w:r>
        <w:rPr>
          <w:spacing w:val="-1"/>
          <w:position w:val="1"/>
          <w:sz w:val="12"/>
        </w:rPr>
        <w:t> </w:t>
      </w:r>
      <w:r>
        <w:rPr>
          <w:position w:val="1"/>
          <w:sz w:val="12"/>
        </w:rPr>
        <w:t>accounting using the historical</w:t>
      </w:r>
      <w:r>
        <w:rPr>
          <w:spacing w:val="-2"/>
          <w:position w:val="1"/>
          <w:sz w:val="12"/>
        </w:rPr>
        <w:t> </w:t>
      </w:r>
      <w:r>
        <w:rPr>
          <w:position w:val="1"/>
          <w:sz w:val="12"/>
        </w:rPr>
        <w:t>cost convention</w:t>
      </w:r>
      <w:r>
        <w:rPr>
          <w:spacing w:val="-4"/>
          <w:position w:val="1"/>
          <w:sz w:val="12"/>
        </w:rPr>
        <w:t> </w:t>
      </w:r>
      <w:r>
        <w:rPr>
          <w:position w:val="1"/>
          <w:sz w:val="12"/>
        </w:rPr>
        <w:t>except for</w:t>
      </w:r>
      <w:r>
        <w:rPr>
          <w:spacing w:val="-1"/>
          <w:position w:val="1"/>
          <w:sz w:val="12"/>
        </w:rPr>
        <w:t> </w:t>
      </w:r>
      <w:r>
        <w:rPr>
          <w:position w:val="1"/>
          <w:sz w:val="12"/>
        </w:rPr>
        <w:t>equity</w:t>
      </w:r>
      <w:r>
        <w:rPr>
          <w:spacing w:val="-2"/>
          <w:position w:val="1"/>
          <w:sz w:val="12"/>
        </w:rPr>
        <w:t> </w:t>
      </w:r>
      <w:r>
        <w:rPr>
          <w:position w:val="1"/>
          <w:sz w:val="12"/>
        </w:rPr>
        <w:t>financial</w:t>
      </w:r>
      <w:r>
        <w:rPr>
          <w:spacing w:val="-2"/>
          <w:position w:val="1"/>
          <w:sz w:val="12"/>
        </w:rPr>
        <w:t> </w:t>
      </w:r>
      <w:r>
        <w:rPr>
          <w:position w:val="1"/>
          <w:sz w:val="12"/>
        </w:rPr>
        <w:t>assets that</w:t>
      </w:r>
      <w:r>
        <w:rPr>
          <w:spacing w:val="-1"/>
          <w:position w:val="1"/>
          <w:sz w:val="12"/>
        </w:rPr>
        <w:t> </w:t>
      </w:r>
      <w:r>
        <w:rPr>
          <w:position w:val="1"/>
          <w:sz w:val="12"/>
        </w:rPr>
        <w:t>have been</w:t>
      </w:r>
      <w:r>
        <w:rPr>
          <w:spacing w:val="-4"/>
          <w:position w:val="1"/>
          <w:sz w:val="12"/>
        </w:rPr>
        <w:t> </w:t>
      </w:r>
      <w:r>
        <w:rPr>
          <w:position w:val="1"/>
          <w:sz w:val="12"/>
        </w:rPr>
        <w:t>measured at</w:t>
      </w:r>
      <w:r>
        <w:rPr>
          <w:spacing w:val="-1"/>
          <w:position w:val="1"/>
          <w:sz w:val="12"/>
        </w:rPr>
        <w:t> </w:t>
      </w:r>
      <w:r>
        <w:rPr>
          <w:position w:val="1"/>
          <w:sz w:val="12"/>
        </w:rPr>
        <w:t>fair</w:t>
      </w:r>
      <w:r>
        <w:rPr>
          <w:spacing w:val="40"/>
          <w:position w:val="1"/>
          <w:sz w:val="12"/>
        </w:rPr>
        <w:t> </w:t>
      </w:r>
      <w:r>
        <w:rPr>
          <w:sz w:val="12"/>
        </w:rPr>
        <w:t>value through profit or loss and investment properties;</w:t>
      </w:r>
    </w:p>
    <w:p>
      <w:pPr>
        <w:pStyle w:val="ListParagraph"/>
        <w:numPr>
          <w:ilvl w:val="2"/>
          <w:numId w:val="13"/>
        </w:numPr>
        <w:tabs>
          <w:tab w:pos="1122" w:val="left" w:leader="none"/>
        </w:tabs>
        <w:spacing w:line="240" w:lineRule="auto" w:before="17" w:after="0"/>
        <w:ind w:left="1122" w:right="0" w:hanging="113"/>
        <w:jc w:val="left"/>
        <w:rPr>
          <w:sz w:val="12"/>
        </w:rPr>
      </w:pPr>
      <w:r>
        <w:rPr>
          <w:spacing w:val="-2"/>
          <w:position w:val="1"/>
          <w:sz w:val="12"/>
        </w:rPr>
        <w:t>present</w:t>
      </w:r>
      <w:r>
        <w:rPr>
          <w:spacing w:val="2"/>
          <w:position w:val="1"/>
          <w:sz w:val="12"/>
        </w:rPr>
        <w:t> </w:t>
      </w:r>
      <w:r>
        <w:rPr>
          <w:spacing w:val="-2"/>
          <w:position w:val="1"/>
          <w:sz w:val="12"/>
        </w:rPr>
        <w:t>reclassified</w:t>
      </w:r>
      <w:r>
        <w:rPr>
          <w:spacing w:val="2"/>
          <w:position w:val="1"/>
          <w:sz w:val="12"/>
        </w:rPr>
        <w:t> </w:t>
      </w:r>
      <w:r>
        <w:rPr>
          <w:spacing w:val="-2"/>
          <w:position w:val="1"/>
          <w:sz w:val="12"/>
        </w:rPr>
        <w:t>or</w:t>
      </w:r>
      <w:r>
        <w:rPr>
          <w:spacing w:val="4"/>
          <w:position w:val="1"/>
          <w:sz w:val="12"/>
        </w:rPr>
        <w:t> </w:t>
      </w:r>
      <w:r>
        <w:rPr>
          <w:spacing w:val="-2"/>
          <w:position w:val="1"/>
          <w:sz w:val="12"/>
        </w:rPr>
        <w:t>restated</w:t>
      </w:r>
      <w:r>
        <w:rPr>
          <w:spacing w:val="1"/>
          <w:position w:val="1"/>
          <w:sz w:val="12"/>
        </w:rPr>
        <w:t> </w:t>
      </w:r>
      <w:r>
        <w:rPr>
          <w:spacing w:val="-2"/>
          <w:position w:val="1"/>
          <w:sz w:val="12"/>
        </w:rPr>
        <w:t>comparative</w:t>
      </w:r>
      <w:r>
        <w:rPr>
          <w:spacing w:val="2"/>
          <w:position w:val="1"/>
          <w:sz w:val="12"/>
        </w:rPr>
        <w:t> </w:t>
      </w:r>
      <w:r>
        <w:rPr>
          <w:spacing w:val="-2"/>
          <w:position w:val="1"/>
          <w:sz w:val="12"/>
        </w:rPr>
        <w:t>information</w:t>
      </w:r>
      <w:r>
        <w:rPr>
          <w:spacing w:val="-1"/>
          <w:position w:val="1"/>
          <w:sz w:val="12"/>
        </w:rPr>
        <w:t> </w:t>
      </w:r>
      <w:r>
        <w:rPr>
          <w:spacing w:val="-2"/>
          <w:position w:val="1"/>
          <w:sz w:val="12"/>
        </w:rPr>
        <w:t>where</w:t>
      </w:r>
      <w:r>
        <w:rPr>
          <w:spacing w:val="2"/>
          <w:position w:val="1"/>
          <w:sz w:val="12"/>
        </w:rPr>
        <w:t> </w:t>
      </w:r>
      <w:r>
        <w:rPr>
          <w:spacing w:val="-2"/>
          <w:position w:val="1"/>
          <w:sz w:val="12"/>
        </w:rPr>
        <w:t>appropriate</w:t>
      </w:r>
      <w:r>
        <w:rPr>
          <w:spacing w:val="1"/>
          <w:position w:val="1"/>
          <w:sz w:val="12"/>
        </w:rPr>
        <w:t> </w:t>
      </w:r>
      <w:r>
        <w:rPr>
          <w:spacing w:val="-2"/>
          <w:position w:val="1"/>
          <w:sz w:val="12"/>
        </w:rPr>
        <w:t>to</w:t>
      </w:r>
      <w:r>
        <w:rPr>
          <w:spacing w:val="2"/>
          <w:position w:val="1"/>
          <w:sz w:val="12"/>
        </w:rPr>
        <w:t> </w:t>
      </w:r>
      <w:r>
        <w:rPr>
          <w:spacing w:val="-2"/>
          <w:position w:val="1"/>
          <w:sz w:val="12"/>
        </w:rPr>
        <w:t>enhance</w:t>
      </w:r>
      <w:r>
        <w:rPr>
          <w:spacing w:val="2"/>
          <w:position w:val="1"/>
          <w:sz w:val="12"/>
        </w:rPr>
        <w:t> </w:t>
      </w:r>
      <w:r>
        <w:rPr>
          <w:spacing w:val="-2"/>
          <w:position w:val="1"/>
          <w:sz w:val="12"/>
        </w:rPr>
        <w:t>comparability;</w:t>
      </w:r>
      <w:r>
        <w:rPr>
          <w:spacing w:val="2"/>
          <w:position w:val="1"/>
          <w:sz w:val="12"/>
        </w:rPr>
        <w:t> </w:t>
      </w:r>
      <w:r>
        <w:rPr>
          <w:spacing w:val="-5"/>
          <w:position w:val="1"/>
          <w:sz w:val="12"/>
        </w:rPr>
        <w:t>and</w:t>
      </w:r>
    </w:p>
    <w:p>
      <w:pPr>
        <w:pStyle w:val="ListParagraph"/>
        <w:numPr>
          <w:ilvl w:val="2"/>
          <w:numId w:val="13"/>
        </w:numPr>
        <w:tabs>
          <w:tab w:pos="1122" w:val="left" w:leader="none"/>
          <w:tab w:pos="1124" w:val="left" w:leader="none"/>
        </w:tabs>
        <w:spacing w:line="240" w:lineRule="auto" w:before="0" w:after="0"/>
        <w:ind w:left="1124" w:right="1518" w:hanging="115"/>
        <w:jc w:val="left"/>
        <w:rPr>
          <w:sz w:val="12"/>
        </w:rPr>
      </w:pPr>
      <w:r>
        <w:rPr>
          <w:position w:val="1"/>
          <w:sz w:val="12"/>
        </w:rPr>
        <w:t>are</w:t>
      </w:r>
      <w:r>
        <w:rPr>
          <w:spacing w:val="-7"/>
          <w:position w:val="1"/>
          <w:sz w:val="12"/>
        </w:rPr>
        <w:t> </w:t>
      </w:r>
      <w:r>
        <w:rPr>
          <w:position w:val="1"/>
          <w:sz w:val="12"/>
        </w:rPr>
        <w:t>presented</w:t>
      </w:r>
      <w:r>
        <w:rPr>
          <w:spacing w:val="-6"/>
          <w:position w:val="1"/>
          <w:sz w:val="12"/>
        </w:rPr>
        <w:t> </w:t>
      </w:r>
      <w:r>
        <w:rPr>
          <w:position w:val="1"/>
          <w:sz w:val="12"/>
        </w:rPr>
        <w:t>in</w:t>
      </w:r>
      <w:r>
        <w:rPr>
          <w:spacing w:val="-8"/>
          <w:position w:val="1"/>
          <w:sz w:val="12"/>
        </w:rPr>
        <w:t> </w:t>
      </w:r>
      <w:r>
        <w:rPr>
          <w:position w:val="1"/>
          <w:sz w:val="12"/>
        </w:rPr>
        <w:t>Australian</w:t>
      </w:r>
      <w:r>
        <w:rPr>
          <w:spacing w:val="-8"/>
          <w:position w:val="1"/>
          <w:sz w:val="12"/>
        </w:rPr>
        <w:t> </w:t>
      </w:r>
      <w:r>
        <w:rPr>
          <w:position w:val="1"/>
          <w:sz w:val="12"/>
        </w:rPr>
        <w:t>dollars</w:t>
      </w:r>
      <w:r>
        <w:rPr>
          <w:spacing w:val="-6"/>
          <w:position w:val="1"/>
          <w:sz w:val="12"/>
        </w:rPr>
        <w:t> </w:t>
      </w:r>
      <w:r>
        <w:rPr>
          <w:position w:val="1"/>
          <w:sz w:val="12"/>
        </w:rPr>
        <w:t>($),</w:t>
      </w:r>
      <w:r>
        <w:rPr>
          <w:spacing w:val="-5"/>
          <w:position w:val="1"/>
          <w:sz w:val="12"/>
        </w:rPr>
        <w:t> </w:t>
      </w:r>
      <w:r>
        <w:rPr>
          <w:position w:val="1"/>
          <w:sz w:val="12"/>
        </w:rPr>
        <w:t>which</w:t>
      </w:r>
      <w:r>
        <w:rPr>
          <w:spacing w:val="-9"/>
          <w:position w:val="1"/>
          <w:sz w:val="12"/>
        </w:rPr>
        <w:t> </w:t>
      </w:r>
      <w:r>
        <w:rPr>
          <w:position w:val="1"/>
          <w:sz w:val="12"/>
        </w:rPr>
        <w:t>is</w:t>
      </w:r>
      <w:r>
        <w:rPr>
          <w:spacing w:val="-4"/>
          <w:position w:val="1"/>
          <w:sz w:val="12"/>
        </w:rPr>
        <w:t> </w:t>
      </w:r>
      <w:r>
        <w:rPr>
          <w:position w:val="1"/>
          <w:sz w:val="12"/>
        </w:rPr>
        <w:t>the</w:t>
      </w:r>
      <w:r>
        <w:rPr>
          <w:spacing w:val="-8"/>
          <w:position w:val="1"/>
          <w:sz w:val="12"/>
        </w:rPr>
        <w:t> </w:t>
      </w:r>
      <w:r>
        <w:rPr>
          <w:position w:val="1"/>
          <w:sz w:val="12"/>
        </w:rPr>
        <w:t>Group’s</w:t>
      </w:r>
      <w:r>
        <w:rPr>
          <w:spacing w:val="-5"/>
          <w:position w:val="1"/>
          <w:sz w:val="12"/>
        </w:rPr>
        <w:t> </w:t>
      </w:r>
      <w:r>
        <w:rPr>
          <w:position w:val="1"/>
          <w:sz w:val="12"/>
        </w:rPr>
        <w:t>functional</w:t>
      </w:r>
      <w:r>
        <w:rPr>
          <w:spacing w:val="-8"/>
          <w:position w:val="1"/>
          <w:sz w:val="12"/>
        </w:rPr>
        <w:t> </w:t>
      </w:r>
      <w:r>
        <w:rPr>
          <w:position w:val="1"/>
          <w:sz w:val="12"/>
        </w:rPr>
        <w:t>and</w:t>
      </w:r>
      <w:r>
        <w:rPr>
          <w:spacing w:val="-6"/>
          <w:position w:val="1"/>
          <w:sz w:val="12"/>
        </w:rPr>
        <w:t> </w:t>
      </w:r>
      <w:r>
        <w:rPr>
          <w:position w:val="1"/>
          <w:sz w:val="12"/>
        </w:rPr>
        <w:t>presentation</w:t>
      </w:r>
      <w:r>
        <w:rPr>
          <w:spacing w:val="-9"/>
          <w:position w:val="1"/>
          <w:sz w:val="12"/>
        </w:rPr>
        <w:t> </w:t>
      </w:r>
      <w:r>
        <w:rPr>
          <w:position w:val="1"/>
          <w:sz w:val="12"/>
        </w:rPr>
        <w:t>currency</w:t>
      </w:r>
      <w:r>
        <w:rPr>
          <w:spacing w:val="-7"/>
          <w:position w:val="1"/>
          <w:sz w:val="12"/>
        </w:rPr>
        <w:t> </w:t>
      </w:r>
      <w:r>
        <w:rPr>
          <w:position w:val="1"/>
          <w:sz w:val="12"/>
        </w:rPr>
        <w:t>with</w:t>
      </w:r>
      <w:r>
        <w:rPr>
          <w:spacing w:val="-9"/>
          <w:position w:val="1"/>
          <w:sz w:val="12"/>
        </w:rPr>
        <w:t> </w:t>
      </w:r>
      <w:r>
        <w:rPr>
          <w:position w:val="1"/>
          <w:sz w:val="12"/>
        </w:rPr>
        <w:t>all</w:t>
      </w:r>
      <w:r>
        <w:rPr>
          <w:spacing w:val="-5"/>
          <w:position w:val="1"/>
          <w:sz w:val="12"/>
        </w:rPr>
        <w:t> </w:t>
      </w:r>
      <w:r>
        <w:rPr>
          <w:position w:val="1"/>
          <w:sz w:val="12"/>
        </w:rPr>
        <w:t>values</w:t>
      </w:r>
      <w:r>
        <w:rPr>
          <w:spacing w:val="-6"/>
          <w:position w:val="1"/>
          <w:sz w:val="12"/>
        </w:rPr>
        <w:t> </w:t>
      </w:r>
      <w:r>
        <w:rPr>
          <w:position w:val="1"/>
          <w:sz w:val="12"/>
        </w:rPr>
        <w:t>rounded</w:t>
      </w:r>
      <w:r>
        <w:rPr>
          <w:spacing w:val="-6"/>
          <w:position w:val="1"/>
          <w:sz w:val="12"/>
        </w:rPr>
        <w:t> </w:t>
      </w:r>
      <w:r>
        <w:rPr>
          <w:position w:val="1"/>
          <w:sz w:val="12"/>
        </w:rPr>
        <w:t>to</w:t>
      </w:r>
      <w:r>
        <w:rPr>
          <w:spacing w:val="-8"/>
          <w:position w:val="1"/>
          <w:sz w:val="12"/>
        </w:rPr>
        <w:t> </w:t>
      </w:r>
      <w:r>
        <w:rPr>
          <w:position w:val="1"/>
          <w:sz w:val="12"/>
        </w:rPr>
        <w:t>the</w:t>
      </w:r>
      <w:r>
        <w:rPr>
          <w:spacing w:val="-6"/>
          <w:position w:val="1"/>
          <w:sz w:val="12"/>
        </w:rPr>
        <w:t> </w:t>
      </w:r>
      <w:r>
        <w:rPr>
          <w:position w:val="1"/>
          <w:sz w:val="12"/>
        </w:rPr>
        <w:t>nearest</w:t>
      </w:r>
      <w:r>
        <w:rPr>
          <w:spacing w:val="-6"/>
          <w:position w:val="1"/>
          <w:sz w:val="12"/>
        </w:rPr>
        <w:t> </w:t>
      </w:r>
      <w:r>
        <w:rPr>
          <w:position w:val="1"/>
          <w:sz w:val="12"/>
        </w:rPr>
        <w:t>thousand</w:t>
      </w:r>
      <w:r>
        <w:rPr>
          <w:spacing w:val="-6"/>
          <w:position w:val="1"/>
          <w:sz w:val="12"/>
        </w:rPr>
        <w:t> </w:t>
      </w:r>
      <w:r>
        <w:rPr>
          <w:position w:val="1"/>
          <w:sz w:val="12"/>
        </w:rPr>
        <w:t>dollars</w:t>
      </w:r>
      <w:r>
        <w:rPr>
          <w:spacing w:val="-6"/>
          <w:position w:val="1"/>
          <w:sz w:val="12"/>
        </w:rPr>
        <w:t> </w:t>
      </w:r>
      <w:r>
        <w:rPr>
          <w:position w:val="1"/>
          <w:sz w:val="12"/>
        </w:rPr>
        <w:t>($'000)</w:t>
      </w:r>
      <w:r>
        <w:rPr>
          <w:spacing w:val="40"/>
          <w:position w:val="1"/>
          <w:sz w:val="12"/>
        </w:rPr>
        <w:t> </w:t>
      </w:r>
      <w:r>
        <w:rPr>
          <w:sz w:val="12"/>
        </w:rPr>
        <w:t>unless otherwise stated.</w:t>
      </w:r>
    </w:p>
    <w:p>
      <w:pPr>
        <w:spacing w:line="240" w:lineRule="auto" w:before="17"/>
        <w:rPr>
          <w:sz w:val="12"/>
        </w:rPr>
      </w:pPr>
    </w:p>
    <w:p>
      <w:pPr>
        <w:spacing w:line="264" w:lineRule="auto" w:before="1"/>
        <w:ind w:left="1007" w:right="1513" w:firstLine="0"/>
        <w:jc w:val="both"/>
        <w:rPr>
          <w:sz w:val="12"/>
        </w:rPr>
      </w:pPr>
      <w:r>
        <w:rPr>
          <w:sz w:val="12"/>
        </w:rPr>
        <w:t>The </w:t>
      </w:r>
      <w:r>
        <w:rPr>
          <w:i/>
          <w:sz w:val="12"/>
        </w:rPr>
        <w:t>Financial Management Act 2006 </w:t>
      </w:r>
      <w:r>
        <w:rPr>
          <w:sz w:val="12"/>
        </w:rPr>
        <w:t>and the Treasurer's Instructions are legislative provisions governing the preparation of financial statements and take</w:t>
      </w:r>
      <w:r>
        <w:rPr>
          <w:spacing w:val="40"/>
          <w:sz w:val="12"/>
        </w:rPr>
        <w:t> </w:t>
      </w:r>
      <w:r>
        <w:rPr>
          <w:sz w:val="12"/>
        </w:rPr>
        <w:t>precedence</w:t>
      </w:r>
      <w:r>
        <w:rPr>
          <w:spacing w:val="-9"/>
          <w:sz w:val="12"/>
        </w:rPr>
        <w:t> </w:t>
      </w:r>
      <w:r>
        <w:rPr>
          <w:sz w:val="12"/>
        </w:rPr>
        <w:t>over</w:t>
      </w:r>
      <w:r>
        <w:rPr>
          <w:spacing w:val="-8"/>
          <w:sz w:val="12"/>
        </w:rPr>
        <w:t> </w:t>
      </w:r>
      <w:r>
        <w:rPr>
          <w:sz w:val="12"/>
        </w:rPr>
        <w:t>Australian</w:t>
      </w:r>
      <w:r>
        <w:rPr>
          <w:spacing w:val="-8"/>
          <w:sz w:val="12"/>
        </w:rPr>
        <w:t> </w:t>
      </w:r>
      <w:r>
        <w:rPr>
          <w:sz w:val="12"/>
        </w:rPr>
        <w:t>Accounting</w:t>
      </w:r>
      <w:r>
        <w:rPr>
          <w:spacing w:val="-9"/>
          <w:sz w:val="12"/>
        </w:rPr>
        <w:t> </w:t>
      </w:r>
      <w:r>
        <w:rPr>
          <w:sz w:val="12"/>
        </w:rPr>
        <w:t>Standards,</w:t>
      </w:r>
      <w:r>
        <w:rPr>
          <w:spacing w:val="-8"/>
          <w:sz w:val="12"/>
        </w:rPr>
        <w:t> </w:t>
      </w:r>
      <w:r>
        <w:rPr>
          <w:sz w:val="12"/>
        </w:rPr>
        <w:t>the</w:t>
      </w:r>
      <w:r>
        <w:rPr>
          <w:spacing w:val="-8"/>
          <w:sz w:val="12"/>
        </w:rPr>
        <w:t> </w:t>
      </w:r>
      <w:r>
        <w:rPr>
          <w:sz w:val="12"/>
        </w:rPr>
        <w:t>Framework,</w:t>
      </w:r>
      <w:r>
        <w:rPr>
          <w:spacing w:val="-9"/>
          <w:sz w:val="12"/>
        </w:rPr>
        <w:t> </w:t>
      </w:r>
      <w:r>
        <w:rPr>
          <w:sz w:val="12"/>
        </w:rPr>
        <w:t>Statements</w:t>
      </w:r>
      <w:r>
        <w:rPr>
          <w:spacing w:val="-7"/>
          <w:sz w:val="12"/>
        </w:rPr>
        <w:t> </w:t>
      </w:r>
      <w:r>
        <w:rPr>
          <w:sz w:val="12"/>
        </w:rPr>
        <w:t>of</w:t>
      </w:r>
      <w:r>
        <w:rPr>
          <w:spacing w:val="-8"/>
          <w:sz w:val="12"/>
        </w:rPr>
        <w:t> </w:t>
      </w:r>
      <w:r>
        <w:rPr>
          <w:sz w:val="12"/>
        </w:rPr>
        <w:t>Accounting</w:t>
      </w:r>
      <w:r>
        <w:rPr>
          <w:spacing w:val="-6"/>
          <w:sz w:val="12"/>
        </w:rPr>
        <w:t> </w:t>
      </w:r>
      <w:r>
        <w:rPr>
          <w:sz w:val="12"/>
        </w:rPr>
        <w:t>Concepts</w:t>
      </w:r>
      <w:r>
        <w:rPr>
          <w:spacing w:val="-9"/>
          <w:sz w:val="12"/>
        </w:rPr>
        <w:t> </w:t>
      </w:r>
      <w:r>
        <w:rPr>
          <w:sz w:val="12"/>
        </w:rPr>
        <w:t>and</w:t>
      </w:r>
      <w:r>
        <w:rPr>
          <w:spacing w:val="-8"/>
          <w:sz w:val="12"/>
        </w:rPr>
        <w:t> </w:t>
      </w:r>
      <w:r>
        <w:rPr>
          <w:sz w:val="12"/>
        </w:rPr>
        <w:t>other</w:t>
      </w:r>
      <w:r>
        <w:rPr>
          <w:spacing w:val="-8"/>
          <w:sz w:val="12"/>
        </w:rPr>
        <w:t> </w:t>
      </w:r>
      <w:r>
        <w:rPr>
          <w:sz w:val="12"/>
        </w:rPr>
        <w:t>authoritative</w:t>
      </w:r>
      <w:r>
        <w:rPr>
          <w:spacing w:val="-9"/>
          <w:sz w:val="12"/>
        </w:rPr>
        <w:t> </w:t>
      </w:r>
      <w:r>
        <w:rPr>
          <w:sz w:val="12"/>
        </w:rPr>
        <w:t>pronouncements</w:t>
      </w:r>
      <w:r>
        <w:rPr>
          <w:spacing w:val="-8"/>
          <w:sz w:val="12"/>
        </w:rPr>
        <w:t> </w:t>
      </w:r>
      <w:r>
        <w:rPr>
          <w:sz w:val="12"/>
        </w:rPr>
        <w:t>of</w:t>
      </w:r>
      <w:r>
        <w:rPr>
          <w:spacing w:val="-7"/>
          <w:sz w:val="12"/>
        </w:rPr>
        <w:t> </w:t>
      </w:r>
      <w:r>
        <w:rPr>
          <w:sz w:val="12"/>
        </w:rPr>
        <w:t>the</w:t>
      </w:r>
      <w:r>
        <w:rPr>
          <w:spacing w:val="-9"/>
          <w:sz w:val="12"/>
        </w:rPr>
        <w:t> </w:t>
      </w:r>
      <w:r>
        <w:rPr>
          <w:sz w:val="12"/>
        </w:rPr>
        <w:t>Australian</w:t>
      </w:r>
      <w:r>
        <w:rPr>
          <w:spacing w:val="40"/>
          <w:sz w:val="12"/>
        </w:rPr>
        <w:t> </w:t>
      </w:r>
      <w:r>
        <w:rPr>
          <w:sz w:val="12"/>
        </w:rPr>
        <w:t>Accounting Standards Board, the requirements of the Australian Government Department of Education, Skills and Employment and other State/Australian</w:t>
      </w:r>
      <w:r>
        <w:rPr>
          <w:spacing w:val="40"/>
          <w:sz w:val="12"/>
        </w:rPr>
        <w:t> </w:t>
      </w:r>
      <w:r>
        <w:rPr>
          <w:sz w:val="12"/>
        </w:rPr>
        <w:t>Government legislative requirements.</w:t>
      </w:r>
    </w:p>
    <w:p>
      <w:pPr>
        <w:spacing w:line="240" w:lineRule="auto" w:before="8"/>
        <w:rPr>
          <w:sz w:val="12"/>
        </w:rPr>
      </w:pPr>
    </w:p>
    <w:p>
      <w:pPr>
        <w:spacing w:line="261" w:lineRule="auto" w:before="1"/>
        <w:ind w:left="1007" w:right="1344" w:firstLine="0"/>
        <w:jc w:val="left"/>
        <w:rPr>
          <w:sz w:val="12"/>
        </w:rPr>
      </w:pPr>
      <w:r>
        <w:rPr>
          <w:sz w:val="12"/>
        </w:rPr>
        <w:t>Where modification is required and has a material or significant financial effect upon the reported results, details of that modification and the resulting financial</w:t>
      </w:r>
      <w:r>
        <w:rPr>
          <w:spacing w:val="40"/>
          <w:sz w:val="12"/>
        </w:rPr>
        <w:t> </w:t>
      </w:r>
      <w:r>
        <w:rPr>
          <w:sz w:val="12"/>
        </w:rPr>
        <w:t>effect are disclosed in</w:t>
      </w:r>
      <w:r>
        <w:rPr>
          <w:spacing w:val="-1"/>
          <w:sz w:val="12"/>
        </w:rPr>
        <w:t> </w:t>
      </w:r>
      <w:r>
        <w:rPr>
          <w:sz w:val="12"/>
        </w:rPr>
        <w:t>the notes to the financial statements.</w:t>
      </w:r>
    </w:p>
    <w:p>
      <w:pPr>
        <w:spacing w:before="36"/>
        <w:ind w:left="1007" w:right="0" w:firstLine="0"/>
        <w:jc w:val="left"/>
        <w:rPr>
          <w:b/>
          <w:sz w:val="12"/>
        </w:rPr>
      </w:pPr>
      <w:r>
        <w:rPr>
          <w:b/>
          <w:spacing w:val="-2"/>
          <w:sz w:val="12"/>
        </w:rPr>
        <w:t>Covid-</w:t>
      </w:r>
      <w:r>
        <w:rPr>
          <w:b/>
          <w:spacing w:val="-5"/>
          <w:sz w:val="12"/>
        </w:rPr>
        <w:t>19</w:t>
      </w:r>
    </w:p>
    <w:p>
      <w:pPr>
        <w:spacing w:line="261" w:lineRule="auto" w:before="23"/>
        <w:ind w:left="1007" w:right="1513" w:firstLine="0"/>
        <w:jc w:val="both"/>
        <w:rPr>
          <w:sz w:val="12"/>
        </w:rPr>
      </w:pPr>
      <w:r>
        <w:rPr>
          <w:sz w:val="12"/>
        </w:rPr>
        <w:t>The COVID-19 pandemic developed rapidly in 2020, with a significant number of cases. Measures taken by various governments to contain the virus have</w:t>
      </w:r>
      <w:r>
        <w:rPr>
          <w:spacing w:val="40"/>
          <w:sz w:val="12"/>
        </w:rPr>
        <w:t> </w:t>
      </w:r>
      <w:r>
        <w:rPr>
          <w:sz w:val="12"/>
        </w:rPr>
        <w:t>affected economic activity. The Group took active measures, in line with the recommendations of the World Health Organisation (WHO) and national health</w:t>
      </w:r>
      <w:r>
        <w:rPr>
          <w:spacing w:val="40"/>
          <w:sz w:val="12"/>
        </w:rPr>
        <w:t> </w:t>
      </w:r>
      <w:r>
        <w:rPr>
          <w:sz w:val="12"/>
        </w:rPr>
        <w:t>ministries,</w:t>
      </w:r>
      <w:r>
        <w:rPr>
          <w:spacing w:val="-6"/>
          <w:sz w:val="12"/>
        </w:rPr>
        <w:t> </w:t>
      </w:r>
      <w:r>
        <w:rPr>
          <w:sz w:val="12"/>
        </w:rPr>
        <w:t>to</w:t>
      </w:r>
      <w:r>
        <w:rPr>
          <w:spacing w:val="-9"/>
          <w:sz w:val="12"/>
        </w:rPr>
        <w:t> </w:t>
      </w:r>
      <w:r>
        <w:rPr>
          <w:sz w:val="12"/>
        </w:rPr>
        <w:t>preserve</w:t>
      </w:r>
      <w:r>
        <w:rPr>
          <w:spacing w:val="-6"/>
          <w:sz w:val="12"/>
        </w:rPr>
        <w:t> </w:t>
      </w:r>
      <w:r>
        <w:rPr>
          <w:sz w:val="12"/>
        </w:rPr>
        <w:t>the</w:t>
      </w:r>
      <w:r>
        <w:rPr>
          <w:spacing w:val="-9"/>
          <w:sz w:val="12"/>
        </w:rPr>
        <w:t> </w:t>
      </w:r>
      <w:r>
        <w:rPr>
          <w:sz w:val="12"/>
        </w:rPr>
        <w:t>health</w:t>
      </w:r>
      <w:r>
        <w:rPr>
          <w:spacing w:val="-8"/>
          <w:sz w:val="12"/>
        </w:rPr>
        <w:t> </w:t>
      </w:r>
      <w:r>
        <w:rPr>
          <w:sz w:val="12"/>
        </w:rPr>
        <w:t>and</w:t>
      </w:r>
      <w:r>
        <w:rPr>
          <w:spacing w:val="-8"/>
          <w:sz w:val="12"/>
        </w:rPr>
        <w:t> </w:t>
      </w:r>
      <w:r>
        <w:rPr>
          <w:sz w:val="12"/>
        </w:rPr>
        <w:t>well-being</w:t>
      </w:r>
      <w:r>
        <w:rPr>
          <w:spacing w:val="-6"/>
          <w:sz w:val="12"/>
        </w:rPr>
        <w:t> </w:t>
      </w:r>
      <w:r>
        <w:rPr>
          <w:sz w:val="12"/>
        </w:rPr>
        <w:t>of</w:t>
      </w:r>
      <w:r>
        <w:rPr>
          <w:spacing w:val="-8"/>
          <w:sz w:val="12"/>
        </w:rPr>
        <w:t> </w:t>
      </w:r>
      <w:r>
        <w:rPr>
          <w:sz w:val="12"/>
        </w:rPr>
        <w:t>our</w:t>
      </w:r>
      <w:r>
        <w:rPr>
          <w:spacing w:val="-6"/>
          <w:sz w:val="12"/>
        </w:rPr>
        <w:t> </w:t>
      </w:r>
      <w:r>
        <w:rPr>
          <w:sz w:val="12"/>
        </w:rPr>
        <w:t>staff</w:t>
      </w:r>
      <w:r>
        <w:rPr>
          <w:spacing w:val="-7"/>
          <w:sz w:val="12"/>
        </w:rPr>
        <w:t> </w:t>
      </w:r>
      <w:r>
        <w:rPr>
          <w:sz w:val="12"/>
        </w:rPr>
        <w:t>and</w:t>
      </w:r>
      <w:r>
        <w:rPr>
          <w:spacing w:val="-7"/>
          <w:sz w:val="12"/>
        </w:rPr>
        <w:t> </w:t>
      </w:r>
      <w:r>
        <w:rPr>
          <w:sz w:val="12"/>
        </w:rPr>
        <w:t>students,</w:t>
      </w:r>
      <w:r>
        <w:rPr>
          <w:spacing w:val="-7"/>
          <w:sz w:val="12"/>
        </w:rPr>
        <w:t> </w:t>
      </w:r>
      <w:r>
        <w:rPr>
          <w:sz w:val="12"/>
        </w:rPr>
        <w:t>including</w:t>
      </w:r>
      <w:r>
        <w:rPr>
          <w:spacing w:val="-6"/>
          <w:sz w:val="12"/>
        </w:rPr>
        <w:t> </w:t>
      </w:r>
      <w:r>
        <w:rPr>
          <w:sz w:val="12"/>
        </w:rPr>
        <w:t>a</w:t>
      </w:r>
      <w:r>
        <w:rPr>
          <w:spacing w:val="-9"/>
          <w:sz w:val="12"/>
        </w:rPr>
        <w:t> </w:t>
      </w:r>
      <w:r>
        <w:rPr>
          <w:sz w:val="12"/>
        </w:rPr>
        <w:t>move</w:t>
      </w:r>
      <w:r>
        <w:rPr>
          <w:spacing w:val="-6"/>
          <w:sz w:val="12"/>
        </w:rPr>
        <w:t> </w:t>
      </w:r>
      <w:r>
        <w:rPr>
          <w:sz w:val="12"/>
        </w:rPr>
        <w:t>to</w:t>
      </w:r>
      <w:r>
        <w:rPr>
          <w:spacing w:val="-9"/>
          <w:sz w:val="12"/>
        </w:rPr>
        <w:t> </w:t>
      </w:r>
      <w:r>
        <w:rPr>
          <w:sz w:val="12"/>
        </w:rPr>
        <w:t>online</w:t>
      </w:r>
      <w:r>
        <w:rPr>
          <w:spacing w:val="-6"/>
          <w:sz w:val="12"/>
        </w:rPr>
        <w:t> </w:t>
      </w:r>
      <w:r>
        <w:rPr>
          <w:sz w:val="12"/>
        </w:rPr>
        <w:t>teaching</w:t>
      </w:r>
      <w:r>
        <w:rPr>
          <w:spacing w:val="-7"/>
          <w:sz w:val="12"/>
        </w:rPr>
        <w:t> </w:t>
      </w:r>
      <w:r>
        <w:rPr>
          <w:sz w:val="12"/>
        </w:rPr>
        <w:t>and</w:t>
      </w:r>
      <w:r>
        <w:rPr>
          <w:spacing w:val="-7"/>
          <w:sz w:val="12"/>
        </w:rPr>
        <w:t> </w:t>
      </w:r>
      <w:r>
        <w:rPr>
          <w:sz w:val="12"/>
        </w:rPr>
        <w:t>assessments,</w:t>
      </w:r>
      <w:r>
        <w:rPr>
          <w:spacing w:val="-7"/>
          <w:sz w:val="12"/>
        </w:rPr>
        <w:t> </w:t>
      </w:r>
      <w:r>
        <w:rPr>
          <w:sz w:val="12"/>
        </w:rPr>
        <w:t>working</w:t>
      </w:r>
      <w:r>
        <w:rPr>
          <w:spacing w:val="-6"/>
          <w:sz w:val="12"/>
        </w:rPr>
        <w:t> </w:t>
      </w:r>
      <w:r>
        <w:rPr>
          <w:sz w:val="12"/>
        </w:rPr>
        <w:t>from</w:t>
      </w:r>
      <w:r>
        <w:rPr>
          <w:spacing w:val="-6"/>
          <w:sz w:val="12"/>
        </w:rPr>
        <w:t> </w:t>
      </w:r>
      <w:r>
        <w:rPr>
          <w:sz w:val="12"/>
        </w:rPr>
        <w:t>home,</w:t>
      </w:r>
      <w:r>
        <w:rPr>
          <w:spacing w:val="-6"/>
          <w:sz w:val="12"/>
        </w:rPr>
        <w:t> </w:t>
      </w:r>
      <w:r>
        <w:rPr>
          <w:sz w:val="12"/>
        </w:rPr>
        <w:t>and</w:t>
      </w:r>
      <w:r>
        <w:rPr>
          <w:spacing w:val="-9"/>
          <w:sz w:val="12"/>
        </w:rPr>
        <w:t> </w:t>
      </w:r>
      <w:r>
        <w:rPr>
          <w:sz w:val="12"/>
        </w:rPr>
        <w:t>rigorous</w:t>
      </w:r>
      <w:r>
        <w:rPr>
          <w:spacing w:val="40"/>
          <w:sz w:val="12"/>
        </w:rPr>
        <w:t> </w:t>
      </w:r>
      <w:r>
        <w:rPr>
          <w:sz w:val="12"/>
        </w:rPr>
        <w:t>cleaning</w:t>
      </w:r>
      <w:r>
        <w:rPr>
          <w:spacing w:val="-5"/>
          <w:sz w:val="12"/>
        </w:rPr>
        <w:t> </w:t>
      </w:r>
      <w:r>
        <w:rPr>
          <w:sz w:val="12"/>
        </w:rPr>
        <w:t>and</w:t>
      </w:r>
      <w:r>
        <w:rPr>
          <w:spacing w:val="-7"/>
          <w:sz w:val="12"/>
        </w:rPr>
        <w:t> </w:t>
      </w:r>
      <w:r>
        <w:rPr>
          <w:sz w:val="12"/>
        </w:rPr>
        <w:t>sanitation.</w:t>
      </w:r>
      <w:r>
        <w:rPr>
          <w:spacing w:val="-6"/>
          <w:sz w:val="12"/>
        </w:rPr>
        <w:t> </w:t>
      </w:r>
      <w:r>
        <w:rPr>
          <w:sz w:val="12"/>
        </w:rPr>
        <w:t>These</w:t>
      </w:r>
      <w:r>
        <w:rPr>
          <w:spacing w:val="-7"/>
          <w:sz w:val="12"/>
        </w:rPr>
        <w:t> </w:t>
      </w:r>
      <w:r>
        <w:rPr>
          <w:sz w:val="12"/>
        </w:rPr>
        <w:t>adjustments</w:t>
      </w:r>
      <w:r>
        <w:rPr>
          <w:spacing w:val="-5"/>
          <w:sz w:val="12"/>
        </w:rPr>
        <w:t> </w:t>
      </w:r>
      <w:r>
        <w:rPr>
          <w:sz w:val="12"/>
        </w:rPr>
        <w:t>will</w:t>
      </w:r>
      <w:r>
        <w:rPr>
          <w:spacing w:val="-8"/>
          <w:sz w:val="12"/>
        </w:rPr>
        <w:t> </w:t>
      </w:r>
      <w:r>
        <w:rPr>
          <w:sz w:val="12"/>
        </w:rPr>
        <w:t>remain</w:t>
      </w:r>
      <w:r>
        <w:rPr>
          <w:spacing w:val="-9"/>
          <w:sz w:val="12"/>
        </w:rPr>
        <w:t> </w:t>
      </w:r>
      <w:r>
        <w:rPr>
          <w:sz w:val="12"/>
        </w:rPr>
        <w:t>under</w:t>
      </w:r>
      <w:r>
        <w:rPr>
          <w:spacing w:val="-5"/>
          <w:sz w:val="12"/>
        </w:rPr>
        <w:t> </w:t>
      </w:r>
      <w:r>
        <w:rPr>
          <w:sz w:val="12"/>
        </w:rPr>
        <w:t>review</w:t>
      </w:r>
      <w:r>
        <w:rPr>
          <w:spacing w:val="-9"/>
          <w:sz w:val="12"/>
        </w:rPr>
        <w:t> </w:t>
      </w:r>
      <w:r>
        <w:rPr>
          <w:sz w:val="12"/>
        </w:rPr>
        <w:t>as</w:t>
      </w:r>
      <w:r>
        <w:rPr>
          <w:spacing w:val="-5"/>
          <w:sz w:val="12"/>
        </w:rPr>
        <w:t> </w:t>
      </w:r>
      <w:r>
        <w:rPr>
          <w:sz w:val="12"/>
        </w:rPr>
        <w:t>the</w:t>
      </w:r>
      <w:r>
        <w:rPr>
          <w:spacing w:val="-7"/>
          <w:sz w:val="12"/>
        </w:rPr>
        <w:t> </w:t>
      </w:r>
      <w:r>
        <w:rPr>
          <w:sz w:val="12"/>
        </w:rPr>
        <w:t>Group</w:t>
      </w:r>
      <w:r>
        <w:rPr>
          <w:spacing w:val="-7"/>
          <w:sz w:val="12"/>
        </w:rPr>
        <w:t> </w:t>
      </w:r>
      <w:r>
        <w:rPr>
          <w:sz w:val="12"/>
        </w:rPr>
        <w:t>continue</w:t>
      </w:r>
      <w:r>
        <w:rPr>
          <w:spacing w:val="-7"/>
          <w:sz w:val="12"/>
        </w:rPr>
        <w:t> </w:t>
      </w:r>
      <w:r>
        <w:rPr>
          <w:sz w:val="12"/>
        </w:rPr>
        <w:t>to</w:t>
      </w:r>
      <w:r>
        <w:rPr>
          <w:spacing w:val="-7"/>
          <w:sz w:val="12"/>
        </w:rPr>
        <w:t> </w:t>
      </w:r>
      <w:r>
        <w:rPr>
          <w:sz w:val="12"/>
        </w:rPr>
        <w:t>respond</w:t>
      </w:r>
      <w:r>
        <w:rPr>
          <w:spacing w:val="-7"/>
          <w:sz w:val="12"/>
        </w:rPr>
        <w:t> </w:t>
      </w:r>
      <w:r>
        <w:rPr>
          <w:sz w:val="12"/>
        </w:rPr>
        <w:t>to</w:t>
      </w:r>
      <w:r>
        <w:rPr>
          <w:spacing w:val="-7"/>
          <w:sz w:val="12"/>
        </w:rPr>
        <w:t> </w:t>
      </w:r>
      <w:r>
        <w:rPr>
          <w:sz w:val="12"/>
        </w:rPr>
        <w:t>the</w:t>
      </w:r>
      <w:r>
        <w:rPr>
          <w:spacing w:val="-7"/>
          <w:sz w:val="12"/>
        </w:rPr>
        <w:t> </w:t>
      </w:r>
      <w:r>
        <w:rPr>
          <w:sz w:val="12"/>
        </w:rPr>
        <w:t>ongoing</w:t>
      </w:r>
      <w:r>
        <w:rPr>
          <w:spacing w:val="-5"/>
          <w:sz w:val="12"/>
        </w:rPr>
        <w:t> </w:t>
      </w:r>
      <w:r>
        <w:rPr>
          <w:sz w:val="12"/>
        </w:rPr>
        <w:t>impact</w:t>
      </w:r>
      <w:r>
        <w:rPr>
          <w:spacing w:val="-6"/>
          <w:sz w:val="12"/>
        </w:rPr>
        <w:t> </w:t>
      </w:r>
      <w:r>
        <w:rPr>
          <w:sz w:val="12"/>
        </w:rPr>
        <w:t>of</w:t>
      </w:r>
      <w:r>
        <w:rPr>
          <w:spacing w:val="-6"/>
          <w:sz w:val="12"/>
        </w:rPr>
        <w:t> </w:t>
      </w:r>
      <w:r>
        <w:rPr>
          <w:sz w:val="12"/>
        </w:rPr>
        <w:t>Covid-19.</w:t>
      </w:r>
    </w:p>
    <w:p>
      <w:pPr>
        <w:spacing w:line="240" w:lineRule="auto" w:before="13"/>
        <w:rPr>
          <w:sz w:val="12"/>
        </w:rPr>
      </w:pPr>
    </w:p>
    <w:p>
      <w:pPr>
        <w:spacing w:line="261" w:lineRule="auto" w:before="0"/>
        <w:ind w:left="1007" w:right="1515" w:firstLine="0"/>
        <w:jc w:val="both"/>
        <w:rPr>
          <w:sz w:val="12"/>
        </w:rPr>
      </w:pPr>
      <w:r>
        <w:rPr>
          <w:sz w:val="12"/>
        </w:rPr>
        <w:t>At this stage, the impact of Covid-19 on the group’s results has not been significant. This is because we undertook significant action to address both our</w:t>
      </w:r>
      <w:r>
        <w:rPr>
          <w:spacing w:val="40"/>
          <w:sz w:val="12"/>
        </w:rPr>
        <w:t> </w:t>
      </w:r>
      <w:r>
        <w:rPr>
          <w:sz w:val="12"/>
        </w:rPr>
        <w:t>underlying</w:t>
      </w:r>
      <w:r>
        <w:rPr>
          <w:spacing w:val="-9"/>
          <w:sz w:val="12"/>
        </w:rPr>
        <w:t> </w:t>
      </w:r>
      <w:r>
        <w:rPr>
          <w:sz w:val="12"/>
        </w:rPr>
        <w:t>cash</w:t>
      </w:r>
      <w:r>
        <w:rPr>
          <w:spacing w:val="-8"/>
          <w:sz w:val="12"/>
        </w:rPr>
        <w:t> </w:t>
      </w:r>
      <w:r>
        <w:rPr>
          <w:sz w:val="12"/>
        </w:rPr>
        <w:t>position</w:t>
      </w:r>
      <w:r>
        <w:rPr>
          <w:spacing w:val="-8"/>
          <w:sz w:val="12"/>
        </w:rPr>
        <w:t> </w:t>
      </w:r>
      <w:r>
        <w:rPr>
          <w:sz w:val="12"/>
        </w:rPr>
        <w:t>and</w:t>
      </w:r>
      <w:r>
        <w:rPr>
          <w:spacing w:val="-9"/>
          <w:sz w:val="12"/>
        </w:rPr>
        <w:t> </w:t>
      </w:r>
      <w:r>
        <w:rPr>
          <w:sz w:val="12"/>
        </w:rPr>
        <w:t>the</w:t>
      </w:r>
      <w:r>
        <w:rPr>
          <w:spacing w:val="-8"/>
          <w:sz w:val="12"/>
        </w:rPr>
        <w:t> </w:t>
      </w:r>
      <w:r>
        <w:rPr>
          <w:sz w:val="12"/>
        </w:rPr>
        <w:t>shortfall</w:t>
      </w:r>
      <w:r>
        <w:rPr>
          <w:spacing w:val="-8"/>
          <w:sz w:val="12"/>
        </w:rPr>
        <w:t> </w:t>
      </w:r>
      <w:r>
        <w:rPr>
          <w:sz w:val="12"/>
        </w:rPr>
        <w:t>in</w:t>
      </w:r>
      <w:r>
        <w:rPr>
          <w:spacing w:val="-9"/>
          <w:sz w:val="12"/>
        </w:rPr>
        <w:t> </w:t>
      </w:r>
      <w:r>
        <w:rPr>
          <w:sz w:val="12"/>
        </w:rPr>
        <w:t>revenue.</w:t>
      </w:r>
      <w:r>
        <w:rPr>
          <w:spacing w:val="-8"/>
          <w:sz w:val="12"/>
        </w:rPr>
        <w:t> </w:t>
      </w:r>
      <w:r>
        <w:rPr>
          <w:sz w:val="12"/>
        </w:rPr>
        <w:t>This</w:t>
      </w:r>
      <w:r>
        <w:rPr>
          <w:spacing w:val="-9"/>
          <w:sz w:val="12"/>
        </w:rPr>
        <w:t> </w:t>
      </w:r>
      <w:r>
        <w:rPr>
          <w:sz w:val="12"/>
        </w:rPr>
        <w:t>included</w:t>
      </w:r>
      <w:r>
        <w:rPr>
          <w:spacing w:val="-8"/>
          <w:sz w:val="12"/>
        </w:rPr>
        <w:t> </w:t>
      </w:r>
      <w:r>
        <w:rPr>
          <w:sz w:val="12"/>
        </w:rPr>
        <w:t>a</w:t>
      </w:r>
      <w:r>
        <w:rPr>
          <w:spacing w:val="-8"/>
          <w:sz w:val="12"/>
        </w:rPr>
        <w:t> </w:t>
      </w:r>
      <w:r>
        <w:rPr>
          <w:sz w:val="12"/>
        </w:rPr>
        <w:t>series</w:t>
      </w:r>
      <w:r>
        <w:rPr>
          <w:spacing w:val="-9"/>
          <w:sz w:val="12"/>
        </w:rPr>
        <w:t> </w:t>
      </w:r>
      <w:r>
        <w:rPr>
          <w:sz w:val="12"/>
        </w:rPr>
        <w:t>of</w:t>
      </w:r>
      <w:r>
        <w:rPr>
          <w:spacing w:val="-8"/>
          <w:sz w:val="12"/>
        </w:rPr>
        <w:t> </w:t>
      </w:r>
      <w:r>
        <w:rPr>
          <w:sz w:val="12"/>
        </w:rPr>
        <w:t>cost</w:t>
      </w:r>
      <w:r>
        <w:rPr>
          <w:spacing w:val="-8"/>
          <w:sz w:val="12"/>
        </w:rPr>
        <w:t> </w:t>
      </w:r>
      <w:r>
        <w:rPr>
          <w:sz w:val="12"/>
        </w:rPr>
        <w:t>saving</w:t>
      </w:r>
      <w:r>
        <w:rPr>
          <w:spacing w:val="-8"/>
          <w:sz w:val="12"/>
        </w:rPr>
        <w:t> </w:t>
      </w:r>
      <w:r>
        <w:rPr>
          <w:sz w:val="12"/>
        </w:rPr>
        <w:t>measures</w:t>
      </w:r>
      <w:r>
        <w:rPr>
          <w:spacing w:val="-7"/>
          <w:sz w:val="12"/>
        </w:rPr>
        <w:t> </w:t>
      </w:r>
      <w:r>
        <w:rPr>
          <w:sz w:val="12"/>
        </w:rPr>
        <w:t>that</w:t>
      </w:r>
      <w:r>
        <w:rPr>
          <w:spacing w:val="-6"/>
          <w:sz w:val="12"/>
        </w:rPr>
        <w:t> </w:t>
      </w:r>
      <w:r>
        <w:rPr>
          <w:sz w:val="12"/>
        </w:rPr>
        <w:t>include</w:t>
      </w:r>
      <w:r>
        <w:rPr>
          <w:spacing w:val="-9"/>
          <w:sz w:val="12"/>
        </w:rPr>
        <w:t> </w:t>
      </w:r>
      <w:r>
        <w:rPr>
          <w:sz w:val="12"/>
        </w:rPr>
        <w:t>executive</w:t>
      </w:r>
      <w:r>
        <w:rPr>
          <w:spacing w:val="-7"/>
          <w:sz w:val="12"/>
        </w:rPr>
        <w:t> </w:t>
      </w:r>
      <w:r>
        <w:rPr>
          <w:sz w:val="12"/>
        </w:rPr>
        <w:t>staff</w:t>
      </w:r>
      <w:r>
        <w:rPr>
          <w:spacing w:val="-8"/>
          <w:sz w:val="12"/>
        </w:rPr>
        <w:t> </w:t>
      </w:r>
      <w:r>
        <w:rPr>
          <w:sz w:val="12"/>
        </w:rPr>
        <w:t>volunteering</w:t>
      </w:r>
      <w:r>
        <w:rPr>
          <w:spacing w:val="-6"/>
          <w:sz w:val="12"/>
        </w:rPr>
        <w:t> </w:t>
      </w:r>
      <w:r>
        <w:rPr>
          <w:sz w:val="12"/>
        </w:rPr>
        <w:t>a</w:t>
      </w:r>
      <w:r>
        <w:rPr>
          <w:spacing w:val="-9"/>
          <w:sz w:val="12"/>
        </w:rPr>
        <w:t> </w:t>
      </w:r>
      <w:r>
        <w:rPr>
          <w:sz w:val="12"/>
        </w:rPr>
        <w:t>20%</w:t>
      </w:r>
      <w:r>
        <w:rPr>
          <w:spacing w:val="-7"/>
          <w:sz w:val="12"/>
        </w:rPr>
        <w:t> </w:t>
      </w:r>
      <w:r>
        <w:rPr>
          <w:sz w:val="12"/>
        </w:rPr>
        <w:t>pay</w:t>
      </w:r>
      <w:r>
        <w:rPr>
          <w:spacing w:val="-8"/>
          <w:sz w:val="12"/>
        </w:rPr>
        <w:t> </w:t>
      </w:r>
      <w:r>
        <w:rPr>
          <w:sz w:val="12"/>
        </w:rPr>
        <w:t>reduction,</w:t>
      </w:r>
      <w:r>
        <w:rPr>
          <w:spacing w:val="40"/>
          <w:sz w:val="12"/>
        </w:rPr>
        <w:t> </w:t>
      </w:r>
      <w:r>
        <w:rPr>
          <w:sz w:val="12"/>
        </w:rPr>
        <w:t>moratorium on new staff appointments and contract renewals, reduction in travel, entertainment and discretionary spend and deferring all uncommitted capital</w:t>
      </w:r>
      <w:r>
        <w:rPr>
          <w:spacing w:val="40"/>
          <w:sz w:val="12"/>
        </w:rPr>
        <w:t> </w:t>
      </w:r>
      <w:r>
        <w:rPr>
          <w:sz w:val="12"/>
        </w:rPr>
        <w:t>activity. The Group</w:t>
      </w:r>
      <w:r>
        <w:rPr>
          <w:spacing w:val="31"/>
          <w:sz w:val="12"/>
        </w:rPr>
        <w:t> </w:t>
      </w:r>
      <w:r>
        <w:rPr>
          <w:sz w:val="12"/>
        </w:rPr>
        <w:t>entered into an agreement to vary</w:t>
      </w:r>
      <w:r>
        <w:rPr>
          <w:spacing w:val="-1"/>
          <w:sz w:val="12"/>
        </w:rPr>
        <w:t> </w:t>
      </w:r>
      <w:r>
        <w:rPr>
          <w:sz w:val="12"/>
        </w:rPr>
        <w:t>the employee bargaining agreements in order to preserve University jobs. In addition</w:t>
      </w:r>
      <w:r>
        <w:rPr>
          <w:spacing w:val="-1"/>
          <w:sz w:val="12"/>
        </w:rPr>
        <w:t> </w:t>
      </w:r>
      <w:r>
        <w:rPr>
          <w:sz w:val="12"/>
        </w:rPr>
        <w:t>the Group offered</w:t>
      </w:r>
      <w:r>
        <w:rPr>
          <w:spacing w:val="40"/>
          <w:sz w:val="12"/>
        </w:rPr>
        <w:t> </w:t>
      </w:r>
      <w:r>
        <w:rPr>
          <w:sz w:val="12"/>
        </w:rPr>
        <w:t>hardship grants to students affected by Covid-19.</w:t>
      </w:r>
    </w:p>
    <w:p>
      <w:pPr>
        <w:spacing w:line="240" w:lineRule="auto" w:before="12"/>
        <w:rPr>
          <w:sz w:val="12"/>
        </w:rPr>
      </w:pPr>
    </w:p>
    <w:p>
      <w:pPr>
        <w:spacing w:line="261" w:lineRule="auto" w:before="0"/>
        <w:ind w:left="1007" w:right="1344" w:firstLine="0"/>
        <w:jc w:val="left"/>
        <w:rPr>
          <w:sz w:val="12"/>
        </w:rPr>
      </w:pPr>
      <w:r>
        <w:rPr>
          <w:sz w:val="12"/>
        </w:rPr>
        <w:t>The</w:t>
      </w:r>
      <w:r>
        <w:rPr>
          <w:spacing w:val="10"/>
          <w:sz w:val="12"/>
        </w:rPr>
        <w:t> </w:t>
      </w:r>
      <w:r>
        <w:rPr>
          <w:sz w:val="12"/>
        </w:rPr>
        <w:t>impact</w:t>
      </w:r>
      <w:r>
        <w:rPr>
          <w:spacing w:val="12"/>
          <w:sz w:val="12"/>
        </w:rPr>
        <w:t> </w:t>
      </w:r>
      <w:r>
        <w:rPr>
          <w:sz w:val="12"/>
        </w:rPr>
        <w:t>of</w:t>
      </w:r>
      <w:r>
        <w:rPr>
          <w:spacing w:val="12"/>
          <w:sz w:val="12"/>
        </w:rPr>
        <w:t> </w:t>
      </w:r>
      <w:r>
        <w:rPr>
          <w:sz w:val="12"/>
        </w:rPr>
        <w:t>Covid-19</w:t>
      </w:r>
      <w:r>
        <w:rPr>
          <w:spacing w:val="10"/>
          <w:sz w:val="12"/>
        </w:rPr>
        <w:t> </w:t>
      </w:r>
      <w:r>
        <w:rPr>
          <w:sz w:val="12"/>
        </w:rPr>
        <w:t>on future</w:t>
      </w:r>
      <w:r>
        <w:rPr>
          <w:spacing w:val="10"/>
          <w:sz w:val="12"/>
        </w:rPr>
        <w:t> </w:t>
      </w:r>
      <w:r>
        <w:rPr>
          <w:sz w:val="12"/>
        </w:rPr>
        <w:t>performance,</w:t>
      </w:r>
      <w:r>
        <w:rPr>
          <w:spacing w:val="12"/>
          <w:sz w:val="12"/>
        </w:rPr>
        <w:t> </w:t>
      </w:r>
      <w:r>
        <w:rPr>
          <w:sz w:val="12"/>
        </w:rPr>
        <w:t>will</w:t>
      </w:r>
      <w:r>
        <w:rPr>
          <w:spacing w:val="10"/>
          <w:sz w:val="12"/>
        </w:rPr>
        <w:t> </w:t>
      </w:r>
      <w:r>
        <w:rPr>
          <w:sz w:val="12"/>
        </w:rPr>
        <w:t>inform</w:t>
      </w:r>
      <w:r>
        <w:rPr>
          <w:spacing w:val="13"/>
          <w:sz w:val="12"/>
        </w:rPr>
        <w:t> </w:t>
      </w:r>
      <w:r>
        <w:rPr>
          <w:sz w:val="12"/>
        </w:rPr>
        <w:t>our</w:t>
      </w:r>
      <w:r>
        <w:rPr>
          <w:spacing w:val="12"/>
          <w:sz w:val="12"/>
        </w:rPr>
        <w:t> </w:t>
      </w:r>
      <w:r>
        <w:rPr>
          <w:sz w:val="12"/>
        </w:rPr>
        <w:t>capacity to</w:t>
      </w:r>
      <w:r>
        <w:rPr>
          <w:spacing w:val="10"/>
          <w:sz w:val="12"/>
        </w:rPr>
        <w:t> </w:t>
      </w:r>
      <w:r>
        <w:rPr>
          <w:sz w:val="12"/>
        </w:rPr>
        <w:t>respond</w:t>
      </w:r>
      <w:r>
        <w:rPr>
          <w:spacing w:val="10"/>
          <w:sz w:val="12"/>
        </w:rPr>
        <w:t> </w:t>
      </w:r>
      <w:r>
        <w:rPr>
          <w:sz w:val="12"/>
        </w:rPr>
        <w:t>to</w:t>
      </w:r>
      <w:r>
        <w:rPr>
          <w:spacing w:val="10"/>
          <w:sz w:val="12"/>
        </w:rPr>
        <w:t> </w:t>
      </w:r>
      <w:r>
        <w:rPr>
          <w:sz w:val="12"/>
        </w:rPr>
        <w:t>the</w:t>
      </w:r>
      <w:r>
        <w:rPr>
          <w:spacing w:val="10"/>
          <w:sz w:val="12"/>
        </w:rPr>
        <w:t> </w:t>
      </w:r>
      <w:r>
        <w:rPr>
          <w:sz w:val="12"/>
        </w:rPr>
        <w:t>challenges</w:t>
      </w:r>
      <w:r>
        <w:rPr>
          <w:spacing w:val="13"/>
          <w:sz w:val="12"/>
        </w:rPr>
        <w:t> </w:t>
      </w:r>
      <w:r>
        <w:rPr>
          <w:sz w:val="12"/>
        </w:rPr>
        <w:t>ahead</w:t>
      </w:r>
      <w:r>
        <w:rPr>
          <w:spacing w:val="10"/>
          <w:sz w:val="12"/>
        </w:rPr>
        <w:t> </w:t>
      </w:r>
      <w:r>
        <w:rPr>
          <w:sz w:val="12"/>
        </w:rPr>
        <w:t>and</w:t>
      </w:r>
      <w:r>
        <w:rPr>
          <w:spacing w:val="10"/>
          <w:sz w:val="12"/>
        </w:rPr>
        <w:t> </w:t>
      </w:r>
      <w:r>
        <w:rPr>
          <w:sz w:val="12"/>
        </w:rPr>
        <w:t>the</w:t>
      </w:r>
      <w:r>
        <w:rPr>
          <w:spacing w:val="10"/>
          <w:sz w:val="12"/>
        </w:rPr>
        <w:t> </w:t>
      </w:r>
      <w:r>
        <w:rPr>
          <w:sz w:val="12"/>
        </w:rPr>
        <w:t>active</w:t>
      </w:r>
      <w:r>
        <w:rPr>
          <w:spacing w:val="11"/>
          <w:sz w:val="12"/>
        </w:rPr>
        <w:t> </w:t>
      </w:r>
      <w:r>
        <w:rPr>
          <w:sz w:val="12"/>
        </w:rPr>
        <w:t>measure</w:t>
      </w:r>
      <w:r>
        <w:rPr>
          <w:spacing w:val="10"/>
          <w:sz w:val="12"/>
        </w:rPr>
        <w:t> </w:t>
      </w:r>
      <w:r>
        <w:rPr>
          <w:sz w:val="12"/>
        </w:rPr>
        <w:t>required</w:t>
      </w:r>
      <w:r>
        <w:rPr>
          <w:spacing w:val="10"/>
          <w:sz w:val="12"/>
        </w:rPr>
        <w:t> </w:t>
      </w:r>
      <w:r>
        <w:rPr>
          <w:sz w:val="12"/>
        </w:rPr>
        <w:t>to</w:t>
      </w:r>
      <w:r>
        <w:rPr>
          <w:spacing w:val="10"/>
          <w:sz w:val="12"/>
        </w:rPr>
        <w:t> </w:t>
      </w:r>
      <w:r>
        <w:rPr>
          <w:sz w:val="12"/>
        </w:rPr>
        <w:t>be</w:t>
      </w:r>
      <w:r>
        <w:rPr>
          <w:spacing w:val="10"/>
          <w:sz w:val="12"/>
        </w:rPr>
        <w:t> </w:t>
      </w:r>
      <w:r>
        <w:rPr>
          <w:sz w:val="12"/>
        </w:rPr>
        <w:t>taken to</w:t>
      </w:r>
      <w:r>
        <w:rPr>
          <w:spacing w:val="40"/>
          <w:sz w:val="12"/>
        </w:rPr>
        <w:t> </w:t>
      </w:r>
      <w:r>
        <w:rPr>
          <w:sz w:val="12"/>
        </w:rPr>
        <w:t>preserve</w:t>
      </w:r>
      <w:r>
        <w:rPr>
          <w:spacing w:val="-6"/>
          <w:sz w:val="12"/>
        </w:rPr>
        <w:t> </w:t>
      </w:r>
      <w:r>
        <w:rPr>
          <w:sz w:val="12"/>
        </w:rPr>
        <w:t>liquidity.</w:t>
      </w:r>
      <w:r>
        <w:rPr>
          <w:spacing w:val="-5"/>
          <w:sz w:val="12"/>
        </w:rPr>
        <w:t> </w:t>
      </w:r>
      <w:r>
        <w:rPr>
          <w:sz w:val="12"/>
        </w:rPr>
        <w:t>At</w:t>
      </w:r>
      <w:r>
        <w:rPr>
          <w:spacing w:val="-5"/>
          <w:sz w:val="12"/>
        </w:rPr>
        <w:t> </w:t>
      </w:r>
      <w:r>
        <w:rPr>
          <w:sz w:val="12"/>
        </w:rPr>
        <w:t>this</w:t>
      </w:r>
      <w:r>
        <w:rPr>
          <w:spacing w:val="-4"/>
          <w:sz w:val="12"/>
        </w:rPr>
        <w:t> </w:t>
      </w:r>
      <w:r>
        <w:rPr>
          <w:sz w:val="12"/>
        </w:rPr>
        <w:t>stage,</w:t>
      </w:r>
      <w:r>
        <w:rPr>
          <w:spacing w:val="-5"/>
          <w:sz w:val="12"/>
        </w:rPr>
        <w:t> </w:t>
      </w:r>
      <w:r>
        <w:rPr>
          <w:sz w:val="12"/>
        </w:rPr>
        <w:t>the</w:t>
      </w:r>
      <w:r>
        <w:rPr>
          <w:spacing w:val="-6"/>
          <w:sz w:val="12"/>
        </w:rPr>
        <w:t> </w:t>
      </w:r>
      <w:r>
        <w:rPr>
          <w:sz w:val="12"/>
        </w:rPr>
        <w:t>Group</w:t>
      </w:r>
      <w:r>
        <w:rPr>
          <w:spacing w:val="-6"/>
          <w:sz w:val="12"/>
        </w:rPr>
        <w:t> </w:t>
      </w:r>
      <w:r>
        <w:rPr>
          <w:sz w:val="12"/>
        </w:rPr>
        <w:t>has</w:t>
      </w:r>
      <w:r>
        <w:rPr>
          <w:spacing w:val="-4"/>
          <w:sz w:val="12"/>
        </w:rPr>
        <w:t> </w:t>
      </w:r>
      <w:r>
        <w:rPr>
          <w:sz w:val="12"/>
        </w:rPr>
        <w:t>sufficient</w:t>
      </w:r>
      <w:r>
        <w:rPr>
          <w:spacing w:val="-5"/>
          <w:sz w:val="12"/>
        </w:rPr>
        <w:t> </w:t>
      </w:r>
      <w:r>
        <w:rPr>
          <w:sz w:val="12"/>
        </w:rPr>
        <w:t>cash</w:t>
      </w:r>
      <w:r>
        <w:rPr>
          <w:spacing w:val="-8"/>
          <w:sz w:val="12"/>
        </w:rPr>
        <w:t> </w:t>
      </w:r>
      <w:r>
        <w:rPr>
          <w:sz w:val="12"/>
        </w:rPr>
        <w:t>reserves</w:t>
      </w:r>
      <w:r>
        <w:rPr>
          <w:spacing w:val="-4"/>
          <w:sz w:val="12"/>
        </w:rPr>
        <w:t> </w:t>
      </w:r>
      <w:r>
        <w:rPr>
          <w:sz w:val="12"/>
        </w:rPr>
        <w:t>to</w:t>
      </w:r>
      <w:r>
        <w:rPr>
          <w:spacing w:val="-6"/>
          <w:sz w:val="12"/>
        </w:rPr>
        <w:t> </w:t>
      </w:r>
      <w:r>
        <w:rPr>
          <w:sz w:val="12"/>
        </w:rPr>
        <w:t>meet</w:t>
      </w:r>
      <w:r>
        <w:rPr>
          <w:spacing w:val="-5"/>
          <w:sz w:val="12"/>
        </w:rPr>
        <w:t> </w:t>
      </w:r>
      <w:r>
        <w:rPr>
          <w:sz w:val="12"/>
        </w:rPr>
        <w:t>our</w:t>
      </w:r>
      <w:r>
        <w:rPr>
          <w:spacing w:val="-4"/>
          <w:sz w:val="12"/>
        </w:rPr>
        <w:t> </w:t>
      </w:r>
      <w:r>
        <w:rPr>
          <w:sz w:val="12"/>
        </w:rPr>
        <w:t>obligations</w:t>
      </w:r>
      <w:r>
        <w:rPr>
          <w:spacing w:val="-4"/>
          <w:sz w:val="12"/>
        </w:rPr>
        <w:t> </w:t>
      </w:r>
      <w:r>
        <w:rPr>
          <w:sz w:val="12"/>
        </w:rPr>
        <w:t>as</w:t>
      </w:r>
      <w:r>
        <w:rPr>
          <w:spacing w:val="-4"/>
          <w:sz w:val="12"/>
        </w:rPr>
        <w:t> </w:t>
      </w:r>
      <w:r>
        <w:rPr>
          <w:sz w:val="12"/>
        </w:rPr>
        <w:t>and</w:t>
      </w:r>
      <w:r>
        <w:rPr>
          <w:spacing w:val="-6"/>
          <w:sz w:val="12"/>
        </w:rPr>
        <w:t> </w:t>
      </w:r>
      <w:r>
        <w:rPr>
          <w:sz w:val="12"/>
        </w:rPr>
        <w:t>when</w:t>
      </w:r>
      <w:r>
        <w:rPr>
          <w:spacing w:val="-8"/>
          <w:sz w:val="12"/>
        </w:rPr>
        <w:t> </w:t>
      </w:r>
      <w:r>
        <w:rPr>
          <w:sz w:val="12"/>
        </w:rPr>
        <w:t>they</w:t>
      </w:r>
      <w:r>
        <w:rPr>
          <w:spacing w:val="-9"/>
          <w:sz w:val="12"/>
        </w:rPr>
        <w:t> </w:t>
      </w:r>
      <w:r>
        <w:rPr>
          <w:sz w:val="12"/>
        </w:rPr>
        <w:t>become</w:t>
      </w:r>
      <w:r>
        <w:rPr>
          <w:spacing w:val="-5"/>
          <w:sz w:val="12"/>
        </w:rPr>
        <w:t> </w:t>
      </w:r>
      <w:r>
        <w:rPr>
          <w:sz w:val="12"/>
        </w:rPr>
        <w:t>due</w:t>
      </w:r>
      <w:r>
        <w:rPr>
          <w:spacing w:val="-6"/>
          <w:sz w:val="12"/>
        </w:rPr>
        <w:t> </w:t>
      </w:r>
      <w:r>
        <w:rPr>
          <w:sz w:val="12"/>
        </w:rPr>
        <w:t>and</w:t>
      </w:r>
      <w:r>
        <w:rPr>
          <w:spacing w:val="-6"/>
          <w:sz w:val="12"/>
        </w:rPr>
        <w:t> </w:t>
      </w:r>
      <w:r>
        <w:rPr>
          <w:sz w:val="12"/>
        </w:rPr>
        <w:t>payable.</w:t>
      </w:r>
    </w:p>
    <w:p>
      <w:pPr>
        <w:spacing w:line="240" w:lineRule="auto" w:before="12"/>
        <w:rPr>
          <w:sz w:val="12"/>
        </w:rPr>
      </w:pPr>
    </w:p>
    <w:p>
      <w:pPr>
        <w:spacing w:line="261" w:lineRule="auto" w:before="1"/>
        <w:ind w:left="1007" w:right="1344" w:firstLine="0"/>
        <w:jc w:val="left"/>
        <w:rPr>
          <w:sz w:val="12"/>
        </w:rPr>
      </w:pPr>
      <w:r>
        <w:rPr>
          <w:sz w:val="12"/>
        </w:rPr>
        <w:t>We</w:t>
      </w:r>
      <w:r>
        <w:rPr>
          <w:spacing w:val="-4"/>
          <w:sz w:val="12"/>
        </w:rPr>
        <w:t> </w:t>
      </w:r>
      <w:r>
        <w:rPr>
          <w:sz w:val="12"/>
        </w:rPr>
        <w:t>will</w:t>
      </w:r>
      <w:r>
        <w:rPr>
          <w:spacing w:val="-4"/>
          <w:sz w:val="12"/>
        </w:rPr>
        <w:t> </w:t>
      </w:r>
      <w:r>
        <w:rPr>
          <w:sz w:val="12"/>
        </w:rPr>
        <w:t>continue</w:t>
      </w:r>
      <w:r>
        <w:rPr>
          <w:spacing w:val="-4"/>
          <w:sz w:val="12"/>
        </w:rPr>
        <w:t> </w:t>
      </w:r>
      <w:r>
        <w:rPr>
          <w:sz w:val="12"/>
        </w:rPr>
        <w:t>to</w:t>
      </w:r>
      <w:r>
        <w:rPr>
          <w:spacing w:val="-4"/>
          <w:sz w:val="12"/>
        </w:rPr>
        <w:t> </w:t>
      </w:r>
      <w:r>
        <w:rPr>
          <w:sz w:val="12"/>
        </w:rPr>
        <w:t>follow</w:t>
      </w:r>
      <w:r>
        <w:rPr>
          <w:spacing w:val="-6"/>
          <w:sz w:val="12"/>
        </w:rPr>
        <w:t> </w:t>
      </w:r>
      <w:r>
        <w:rPr>
          <w:sz w:val="12"/>
        </w:rPr>
        <w:t>the</w:t>
      </w:r>
      <w:r>
        <w:rPr>
          <w:spacing w:val="-4"/>
          <w:sz w:val="12"/>
        </w:rPr>
        <w:t> </w:t>
      </w:r>
      <w:r>
        <w:rPr>
          <w:sz w:val="12"/>
        </w:rPr>
        <w:t>various</w:t>
      </w:r>
      <w:r>
        <w:rPr>
          <w:spacing w:val="-3"/>
          <w:sz w:val="12"/>
        </w:rPr>
        <w:t> </w:t>
      </w:r>
      <w:r>
        <w:rPr>
          <w:sz w:val="12"/>
        </w:rPr>
        <w:t>government</w:t>
      </w:r>
      <w:r>
        <w:rPr>
          <w:spacing w:val="-3"/>
          <w:sz w:val="12"/>
        </w:rPr>
        <w:t> </w:t>
      </w:r>
      <w:r>
        <w:rPr>
          <w:sz w:val="12"/>
        </w:rPr>
        <w:t>policies</w:t>
      </w:r>
      <w:r>
        <w:rPr>
          <w:spacing w:val="-2"/>
          <w:sz w:val="12"/>
        </w:rPr>
        <w:t> </w:t>
      </w:r>
      <w:r>
        <w:rPr>
          <w:sz w:val="12"/>
        </w:rPr>
        <w:t>and</w:t>
      </w:r>
      <w:r>
        <w:rPr>
          <w:spacing w:val="-4"/>
          <w:sz w:val="12"/>
        </w:rPr>
        <w:t> </w:t>
      </w:r>
      <w:r>
        <w:rPr>
          <w:sz w:val="12"/>
        </w:rPr>
        <w:t>advice</w:t>
      </w:r>
      <w:r>
        <w:rPr>
          <w:spacing w:val="-4"/>
          <w:sz w:val="12"/>
        </w:rPr>
        <w:t> </w:t>
      </w:r>
      <w:r>
        <w:rPr>
          <w:sz w:val="12"/>
        </w:rPr>
        <w:t>and,</w:t>
      </w:r>
      <w:r>
        <w:rPr>
          <w:spacing w:val="-3"/>
          <w:sz w:val="12"/>
        </w:rPr>
        <w:t> </w:t>
      </w:r>
      <w:r>
        <w:rPr>
          <w:sz w:val="12"/>
        </w:rPr>
        <w:t>in</w:t>
      </w:r>
      <w:r>
        <w:rPr>
          <w:spacing w:val="-6"/>
          <w:sz w:val="12"/>
        </w:rPr>
        <w:t> </w:t>
      </w:r>
      <w:r>
        <w:rPr>
          <w:sz w:val="12"/>
        </w:rPr>
        <w:t>parallel,</w:t>
      </w:r>
      <w:r>
        <w:rPr>
          <w:spacing w:val="-3"/>
          <w:sz w:val="12"/>
        </w:rPr>
        <w:t> </w:t>
      </w:r>
      <w:r>
        <w:rPr>
          <w:sz w:val="12"/>
        </w:rPr>
        <w:t>we</w:t>
      </w:r>
      <w:r>
        <w:rPr>
          <w:spacing w:val="-4"/>
          <w:sz w:val="12"/>
        </w:rPr>
        <w:t> </w:t>
      </w:r>
      <w:r>
        <w:rPr>
          <w:sz w:val="12"/>
        </w:rPr>
        <w:t>will</w:t>
      </w:r>
      <w:r>
        <w:rPr>
          <w:spacing w:val="-4"/>
          <w:sz w:val="12"/>
        </w:rPr>
        <w:t> </w:t>
      </w:r>
      <w:r>
        <w:rPr>
          <w:sz w:val="12"/>
        </w:rPr>
        <w:t>do</w:t>
      </w:r>
      <w:r>
        <w:rPr>
          <w:spacing w:val="-4"/>
          <w:sz w:val="12"/>
        </w:rPr>
        <w:t> </w:t>
      </w:r>
      <w:r>
        <w:rPr>
          <w:sz w:val="12"/>
        </w:rPr>
        <w:t>our</w:t>
      </w:r>
      <w:r>
        <w:rPr>
          <w:spacing w:val="-3"/>
          <w:sz w:val="12"/>
        </w:rPr>
        <w:t> </w:t>
      </w:r>
      <w:r>
        <w:rPr>
          <w:sz w:val="12"/>
        </w:rPr>
        <w:t>utmost</w:t>
      </w:r>
      <w:r>
        <w:rPr>
          <w:spacing w:val="-3"/>
          <w:sz w:val="12"/>
        </w:rPr>
        <w:t> </w:t>
      </w:r>
      <w:r>
        <w:rPr>
          <w:sz w:val="12"/>
        </w:rPr>
        <w:t>to</w:t>
      </w:r>
      <w:r>
        <w:rPr>
          <w:spacing w:val="-4"/>
          <w:sz w:val="12"/>
        </w:rPr>
        <w:t> </w:t>
      </w:r>
      <w:r>
        <w:rPr>
          <w:sz w:val="12"/>
        </w:rPr>
        <w:t>continue</w:t>
      </w:r>
      <w:r>
        <w:rPr>
          <w:spacing w:val="-4"/>
          <w:sz w:val="12"/>
        </w:rPr>
        <w:t> </w:t>
      </w:r>
      <w:r>
        <w:rPr>
          <w:sz w:val="12"/>
        </w:rPr>
        <w:t>our</w:t>
      </w:r>
      <w:r>
        <w:rPr>
          <w:spacing w:val="-3"/>
          <w:sz w:val="12"/>
        </w:rPr>
        <w:t> </w:t>
      </w:r>
      <w:r>
        <w:rPr>
          <w:sz w:val="12"/>
        </w:rPr>
        <w:t>operations</w:t>
      </w:r>
      <w:r>
        <w:rPr>
          <w:spacing w:val="-2"/>
          <w:sz w:val="12"/>
        </w:rPr>
        <w:t> </w:t>
      </w:r>
      <w:r>
        <w:rPr>
          <w:sz w:val="12"/>
        </w:rPr>
        <w:t>in</w:t>
      </w:r>
      <w:r>
        <w:rPr>
          <w:spacing w:val="-6"/>
          <w:sz w:val="12"/>
        </w:rPr>
        <w:t> </w:t>
      </w:r>
      <w:r>
        <w:rPr>
          <w:sz w:val="12"/>
        </w:rPr>
        <w:t>the</w:t>
      </w:r>
      <w:r>
        <w:rPr>
          <w:spacing w:val="-4"/>
          <w:sz w:val="12"/>
        </w:rPr>
        <w:t> </w:t>
      </w:r>
      <w:r>
        <w:rPr>
          <w:sz w:val="12"/>
        </w:rPr>
        <w:t>best</w:t>
      </w:r>
      <w:r>
        <w:rPr>
          <w:spacing w:val="-3"/>
          <w:sz w:val="12"/>
        </w:rPr>
        <w:t> </w:t>
      </w:r>
      <w:r>
        <w:rPr>
          <w:sz w:val="12"/>
        </w:rPr>
        <w:t>and</w:t>
      </w:r>
      <w:r>
        <w:rPr>
          <w:spacing w:val="-2"/>
          <w:sz w:val="12"/>
        </w:rPr>
        <w:t> </w:t>
      </w:r>
      <w:r>
        <w:rPr>
          <w:sz w:val="12"/>
        </w:rPr>
        <w:t>safest</w:t>
      </w:r>
      <w:r>
        <w:rPr>
          <w:spacing w:val="-3"/>
          <w:sz w:val="12"/>
        </w:rPr>
        <w:t> </w:t>
      </w:r>
      <w:r>
        <w:rPr>
          <w:sz w:val="12"/>
        </w:rPr>
        <w:t>way</w:t>
      </w:r>
      <w:r>
        <w:rPr>
          <w:spacing w:val="40"/>
          <w:sz w:val="12"/>
        </w:rPr>
        <w:t> </w:t>
      </w:r>
      <w:r>
        <w:rPr>
          <w:sz w:val="12"/>
        </w:rPr>
        <w:t>possible</w:t>
      </w:r>
      <w:r>
        <w:rPr>
          <w:spacing w:val="-2"/>
          <w:sz w:val="12"/>
        </w:rPr>
        <w:t> </w:t>
      </w:r>
      <w:r>
        <w:rPr>
          <w:sz w:val="12"/>
        </w:rPr>
        <w:t>without</w:t>
      </w:r>
      <w:r>
        <w:rPr>
          <w:spacing w:val="-1"/>
          <w:sz w:val="12"/>
        </w:rPr>
        <w:t> </w:t>
      </w:r>
      <w:r>
        <w:rPr>
          <w:sz w:val="12"/>
        </w:rPr>
        <w:t>jeopardising the</w:t>
      </w:r>
      <w:r>
        <w:rPr>
          <w:spacing w:val="-2"/>
          <w:sz w:val="12"/>
        </w:rPr>
        <w:t> </w:t>
      </w:r>
      <w:r>
        <w:rPr>
          <w:sz w:val="12"/>
        </w:rPr>
        <w:t>health</w:t>
      </w:r>
      <w:r>
        <w:rPr>
          <w:spacing w:val="-4"/>
          <w:sz w:val="12"/>
        </w:rPr>
        <w:t> </w:t>
      </w:r>
      <w:r>
        <w:rPr>
          <w:sz w:val="12"/>
        </w:rPr>
        <w:t>of</w:t>
      </w:r>
      <w:r>
        <w:rPr>
          <w:spacing w:val="-1"/>
          <w:sz w:val="12"/>
        </w:rPr>
        <w:t> </w:t>
      </w:r>
      <w:r>
        <w:rPr>
          <w:sz w:val="12"/>
        </w:rPr>
        <w:t>our staff</w:t>
      </w:r>
      <w:r>
        <w:rPr>
          <w:spacing w:val="-1"/>
          <w:sz w:val="12"/>
        </w:rPr>
        <w:t> </w:t>
      </w:r>
      <w:r>
        <w:rPr>
          <w:sz w:val="12"/>
        </w:rPr>
        <w:t>and</w:t>
      </w:r>
      <w:r>
        <w:rPr>
          <w:spacing w:val="-2"/>
          <w:sz w:val="12"/>
        </w:rPr>
        <w:t> </w:t>
      </w:r>
      <w:r>
        <w:rPr>
          <w:sz w:val="12"/>
        </w:rPr>
        <w:t>students.</w:t>
      </w:r>
    </w:p>
    <w:p>
      <w:pPr>
        <w:spacing w:line="240" w:lineRule="auto" w:before="15"/>
        <w:rPr>
          <w:sz w:val="20"/>
        </w:rPr>
      </w:pPr>
      <w:r>
        <w:rPr/>
        <mc:AlternateContent>
          <mc:Choice Requires="wps">
            <w:drawing>
              <wp:anchor distT="0" distB="0" distL="0" distR="0" allowOverlap="1" layoutInCell="1" locked="0" behindDoc="1" simplePos="0" relativeHeight="487729664">
                <wp:simplePos x="0" y="0"/>
                <wp:positionH relativeFrom="page">
                  <wp:posOffset>871982</wp:posOffset>
                </wp:positionH>
                <wp:positionV relativeFrom="paragraph">
                  <wp:posOffset>171300</wp:posOffset>
                </wp:positionV>
                <wp:extent cx="5738495" cy="14604"/>
                <wp:effectExtent l="0" t="0" r="0" b="0"/>
                <wp:wrapTopAndBottom/>
                <wp:docPr id="882" name="Graphic 882"/>
                <wp:cNvGraphicFramePr>
                  <a:graphicFrameLocks/>
                </wp:cNvGraphicFramePr>
                <a:graphic>
                  <a:graphicData uri="http://schemas.microsoft.com/office/word/2010/wordprocessingShape">
                    <wps:wsp>
                      <wps:cNvPr id="882" name="Graphic 882"/>
                      <wps:cNvSpPr/>
                      <wps:spPr>
                        <a:xfrm>
                          <a:off x="0" y="0"/>
                          <a:ext cx="5738495" cy="14604"/>
                        </a:xfrm>
                        <a:custGeom>
                          <a:avLst/>
                          <a:gdLst/>
                          <a:ahLst/>
                          <a:cxnLst/>
                          <a:rect l="l" t="t" r="r" b="b"/>
                          <a:pathLst>
                            <a:path w="5738495" h="14604">
                              <a:moveTo>
                                <a:pt x="5738075" y="0"/>
                              </a:moveTo>
                              <a:lnTo>
                                <a:pt x="0" y="0"/>
                              </a:lnTo>
                              <a:lnTo>
                                <a:pt x="0" y="14262"/>
                              </a:lnTo>
                              <a:lnTo>
                                <a:pt x="5738075" y="14262"/>
                              </a:lnTo>
                              <a:lnTo>
                                <a:pt x="5738075"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68.660004pt;margin-top:13.488191pt;width:451.817pt;height:1.123pt;mso-position-horizontal-relative:page;mso-position-vertical-relative:paragraph;z-index:-15586816;mso-wrap-distance-left:0;mso-wrap-distance-right:0" id="docshape576" filled="true" fillcolor="#4f81bd" stroked="false">
                <v:fill type="solid"/>
                <w10:wrap type="topAndBottom"/>
              </v:rect>
            </w:pict>
          </mc:Fallback>
        </mc:AlternateContent>
      </w:r>
    </w:p>
    <w:p>
      <w:pPr>
        <w:pStyle w:val="ListParagraph"/>
        <w:numPr>
          <w:ilvl w:val="1"/>
          <w:numId w:val="13"/>
        </w:numPr>
        <w:tabs>
          <w:tab w:pos="1009" w:val="left" w:leader="none"/>
        </w:tabs>
        <w:spacing w:line="240" w:lineRule="auto" w:before="145" w:after="0"/>
        <w:ind w:left="1009" w:right="0" w:hanging="529"/>
        <w:jc w:val="left"/>
        <w:rPr>
          <w:b/>
          <w:color w:val="0070C0"/>
          <w:sz w:val="14"/>
        </w:rPr>
      </w:pPr>
      <w:r>
        <w:rPr>
          <w:b/>
          <w:color w:val="0070C0"/>
          <w:sz w:val="14"/>
        </w:rPr>
        <w:t>Significant</w:t>
      </w:r>
      <w:r>
        <w:rPr>
          <w:b/>
          <w:color w:val="0070C0"/>
          <w:spacing w:val="10"/>
          <w:sz w:val="14"/>
        </w:rPr>
        <w:t> </w:t>
      </w:r>
      <w:r>
        <w:rPr>
          <w:b/>
          <w:color w:val="0070C0"/>
          <w:sz w:val="14"/>
        </w:rPr>
        <w:t>accounting</w:t>
      </w:r>
      <w:r>
        <w:rPr>
          <w:b/>
          <w:color w:val="0070C0"/>
          <w:spacing w:val="11"/>
          <w:sz w:val="14"/>
        </w:rPr>
        <w:t> </w:t>
      </w:r>
      <w:r>
        <w:rPr>
          <w:b/>
          <w:color w:val="0070C0"/>
          <w:spacing w:val="-2"/>
          <w:sz w:val="14"/>
        </w:rPr>
        <w:t>policies</w:t>
      </w:r>
    </w:p>
    <w:p>
      <w:pPr>
        <w:spacing w:line="261" w:lineRule="auto" w:before="19"/>
        <w:ind w:left="1007" w:right="1514" w:firstLine="0"/>
        <w:jc w:val="both"/>
        <w:rPr>
          <w:sz w:val="12"/>
        </w:rPr>
      </w:pPr>
      <w:r>
        <w:rPr>
          <w:sz w:val="12"/>
        </w:rPr>
        <w:t>These</w:t>
      </w:r>
      <w:r>
        <w:rPr>
          <w:spacing w:val="-9"/>
          <w:sz w:val="12"/>
        </w:rPr>
        <w:t> </w:t>
      </w:r>
      <w:r>
        <w:rPr>
          <w:sz w:val="12"/>
        </w:rPr>
        <w:t>financial</w:t>
      </w:r>
      <w:r>
        <w:rPr>
          <w:spacing w:val="-8"/>
          <w:sz w:val="12"/>
        </w:rPr>
        <w:t> </w:t>
      </w:r>
      <w:r>
        <w:rPr>
          <w:sz w:val="12"/>
        </w:rPr>
        <w:t>statements</w:t>
      </w:r>
      <w:r>
        <w:rPr>
          <w:spacing w:val="-8"/>
          <w:sz w:val="12"/>
        </w:rPr>
        <w:t> </w:t>
      </w:r>
      <w:r>
        <w:rPr>
          <w:sz w:val="12"/>
        </w:rPr>
        <w:t>contain</w:t>
      </w:r>
      <w:r>
        <w:rPr>
          <w:spacing w:val="-9"/>
          <w:sz w:val="12"/>
        </w:rPr>
        <w:t> </w:t>
      </w:r>
      <w:r>
        <w:rPr>
          <w:sz w:val="12"/>
        </w:rPr>
        <w:t>all</w:t>
      </w:r>
      <w:r>
        <w:rPr>
          <w:spacing w:val="-8"/>
          <w:sz w:val="12"/>
        </w:rPr>
        <w:t> </w:t>
      </w:r>
      <w:r>
        <w:rPr>
          <w:sz w:val="12"/>
        </w:rPr>
        <w:t>significant</w:t>
      </w:r>
      <w:r>
        <w:rPr>
          <w:spacing w:val="-8"/>
          <w:sz w:val="12"/>
        </w:rPr>
        <w:t> </w:t>
      </w:r>
      <w:r>
        <w:rPr>
          <w:sz w:val="12"/>
        </w:rPr>
        <w:t>accounting</w:t>
      </w:r>
      <w:r>
        <w:rPr>
          <w:spacing w:val="-9"/>
          <w:sz w:val="12"/>
        </w:rPr>
        <w:t> </w:t>
      </w:r>
      <w:r>
        <w:rPr>
          <w:sz w:val="12"/>
        </w:rPr>
        <w:t>policies</w:t>
      </w:r>
      <w:r>
        <w:rPr>
          <w:spacing w:val="-8"/>
          <w:sz w:val="12"/>
        </w:rPr>
        <w:t> </w:t>
      </w:r>
      <w:r>
        <w:rPr>
          <w:sz w:val="12"/>
        </w:rPr>
        <w:t>that</w:t>
      </w:r>
      <w:r>
        <w:rPr>
          <w:spacing w:val="-9"/>
          <w:sz w:val="12"/>
        </w:rPr>
        <w:t> </w:t>
      </w:r>
      <w:r>
        <w:rPr>
          <w:sz w:val="12"/>
        </w:rPr>
        <w:t>summarise</w:t>
      </w:r>
      <w:r>
        <w:rPr>
          <w:spacing w:val="-8"/>
          <w:sz w:val="12"/>
        </w:rPr>
        <w:t> </w:t>
      </w:r>
      <w:r>
        <w:rPr>
          <w:sz w:val="12"/>
        </w:rPr>
        <w:t>the</w:t>
      </w:r>
      <w:r>
        <w:rPr>
          <w:spacing w:val="-8"/>
          <w:sz w:val="12"/>
        </w:rPr>
        <w:t> </w:t>
      </w:r>
      <w:r>
        <w:rPr>
          <w:sz w:val="12"/>
        </w:rPr>
        <w:t>recognition</w:t>
      </w:r>
      <w:r>
        <w:rPr>
          <w:spacing w:val="-9"/>
          <w:sz w:val="12"/>
        </w:rPr>
        <w:t> </w:t>
      </w:r>
      <w:r>
        <w:rPr>
          <w:sz w:val="12"/>
        </w:rPr>
        <w:t>and</w:t>
      </w:r>
      <w:r>
        <w:rPr>
          <w:spacing w:val="-8"/>
          <w:sz w:val="12"/>
        </w:rPr>
        <w:t> </w:t>
      </w:r>
      <w:r>
        <w:rPr>
          <w:sz w:val="12"/>
        </w:rPr>
        <w:t>measurement</w:t>
      </w:r>
      <w:r>
        <w:rPr>
          <w:spacing w:val="-8"/>
          <w:sz w:val="12"/>
        </w:rPr>
        <w:t> </w:t>
      </w:r>
      <w:r>
        <w:rPr>
          <w:sz w:val="12"/>
        </w:rPr>
        <w:t>basis</w:t>
      </w:r>
      <w:r>
        <w:rPr>
          <w:spacing w:val="-9"/>
          <w:sz w:val="12"/>
        </w:rPr>
        <w:t> </w:t>
      </w:r>
      <w:r>
        <w:rPr>
          <w:sz w:val="12"/>
        </w:rPr>
        <w:t>used</w:t>
      </w:r>
      <w:r>
        <w:rPr>
          <w:spacing w:val="-8"/>
          <w:sz w:val="12"/>
        </w:rPr>
        <w:t> </w:t>
      </w:r>
      <w:r>
        <w:rPr>
          <w:sz w:val="12"/>
        </w:rPr>
        <w:t>and</w:t>
      </w:r>
      <w:r>
        <w:rPr>
          <w:spacing w:val="-8"/>
          <w:sz w:val="12"/>
        </w:rPr>
        <w:t> </w:t>
      </w:r>
      <w:r>
        <w:rPr>
          <w:sz w:val="12"/>
        </w:rPr>
        <w:t>are</w:t>
      </w:r>
      <w:r>
        <w:rPr>
          <w:spacing w:val="-9"/>
          <w:sz w:val="12"/>
        </w:rPr>
        <w:t> </w:t>
      </w:r>
      <w:r>
        <w:rPr>
          <w:sz w:val="12"/>
        </w:rPr>
        <w:t>relevant</w:t>
      </w:r>
      <w:r>
        <w:rPr>
          <w:spacing w:val="-8"/>
          <w:sz w:val="12"/>
        </w:rPr>
        <w:t> </w:t>
      </w:r>
      <w:r>
        <w:rPr>
          <w:sz w:val="12"/>
        </w:rPr>
        <w:t>to</w:t>
      </w:r>
      <w:r>
        <w:rPr>
          <w:spacing w:val="-8"/>
          <w:sz w:val="12"/>
        </w:rPr>
        <w:t> </w:t>
      </w:r>
      <w:r>
        <w:rPr>
          <w:sz w:val="12"/>
        </w:rPr>
        <w:t>providing</w:t>
      </w:r>
      <w:r>
        <w:rPr>
          <w:spacing w:val="-9"/>
          <w:sz w:val="12"/>
        </w:rPr>
        <w:t> </w:t>
      </w:r>
      <w:r>
        <w:rPr>
          <w:sz w:val="12"/>
        </w:rPr>
        <w:t>an</w:t>
      </w:r>
      <w:r>
        <w:rPr>
          <w:spacing w:val="40"/>
          <w:sz w:val="12"/>
        </w:rPr>
        <w:t> </w:t>
      </w:r>
      <w:r>
        <w:rPr>
          <w:sz w:val="12"/>
        </w:rPr>
        <w:t>understanding</w:t>
      </w:r>
      <w:r>
        <w:rPr>
          <w:spacing w:val="-5"/>
          <w:sz w:val="12"/>
        </w:rPr>
        <w:t> </w:t>
      </w:r>
      <w:r>
        <w:rPr>
          <w:sz w:val="12"/>
        </w:rPr>
        <w:t>of</w:t>
      </w:r>
      <w:r>
        <w:rPr>
          <w:spacing w:val="-5"/>
          <w:sz w:val="12"/>
        </w:rPr>
        <w:t> </w:t>
      </w:r>
      <w:r>
        <w:rPr>
          <w:sz w:val="12"/>
        </w:rPr>
        <w:t>the</w:t>
      </w:r>
      <w:r>
        <w:rPr>
          <w:spacing w:val="-6"/>
          <w:sz w:val="12"/>
        </w:rPr>
        <w:t> </w:t>
      </w:r>
      <w:r>
        <w:rPr>
          <w:sz w:val="12"/>
        </w:rPr>
        <w:t>financial</w:t>
      </w:r>
      <w:r>
        <w:rPr>
          <w:spacing w:val="-7"/>
          <w:sz w:val="12"/>
        </w:rPr>
        <w:t> </w:t>
      </w:r>
      <w:r>
        <w:rPr>
          <w:sz w:val="12"/>
        </w:rPr>
        <w:t>statements.</w:t>
      </w:r>
      <w:r>
        <w:rPr>
          <w:spacing w:val="22"/>
          <w:sz w:val="12"/>
        </w:rPr>
        <w:t> </w:t>
      </w:r>
      <w:r>
        <w:rPr>
          <w:sz w:val="12"/>
        </w:rPr>
        <w:t>Accounting</w:t>
      </w:r>
      <w:r>
        <w:rPr>
          <w:spacing w:val="-5"/>
          <w:sz w:val="12"/>
        </w:rPr>
        <w:t> </w:t>
      </w:r>
      <w:r>
        <w:rPr>
          <w:sz w:val="12"/>
        </w:rPr>
        <w:t>policies</w:t>
      </w:r>
      <w:r>
        <w:rPr>
          <w:spacing w:val="-5"/>
          <w:sz w:val="12"/>
        </w:rPr>
        <w:t> </w:t>
      </w:r>
      <w:r>
        <w:rPr>
          <w:sz w:val="12"/>
        </w:rPr>
        <w:t>that</w:t>
      </w:r>
      <w:r>
        <w:rPr>
          <w:spacing w:val="-5"/>
          <w:sz w:val="12"/>
        </w:rPr>
        <w:t> </w:t>
      </w:r>
      <w:r>
        <w:rPr>
          <w:sz w:val="12"/>
        </w:rPr>
        <w:t>are</w:t>
      </w:r>
      <w:r>
        <w:rPr>
          <w:spacing w:val="-6"/>
          <w:sz w:val="12"/>
        </w:rPr>
        <w:t> </w:t>
      </w:r>
      <w:r>
        <w:rPr>
          <w:sz w:val="12"/>
        </w:rPr>
        <w:t>specific</w:t>
      </w:r>
      <w:r>
        <w:rPr>
          <w:spacing w:val="-5"/>
          <w:sz w:val="12"/>
        </w:rPr>
        <w:t> </w:t>
      </w:r>
      <w:r>
        <w:rPr>
          <w:sz w:val="12"/>
        </w:rPr>
        <w:t>to</w:t>
      </w:r>
      <w:r>
        <w:rPr>
          <w:spacing w:val="-6"/>
          <w:sz w:val="12"/>
        </w:rPr>
        <w:t> </w:t>
      </w:r>
      <w:r>
        <w:rPr>
          <w:sz w:val="12"/>
        </w:rPr>
        <w:t>a</w:t>
      </w:r>
      <w:r>
        <w:rPr>
          <w:spacing w:val="-6"/>
          <w:sz w:val="12"/>
        </w:rPr>
        <w:t> </w:t>
      </w:r>
      <w:r>
        <w:rPr>
          <w:sz w:val="12"/>
        </w:rPr>
        <w:t>note</w:t>
      </w:r>
      <w:r>
        <w:rPr>
          <w:spacing w:val="-6"/>
          <w:sz w:val="12"/>
        </w:rPr>
        <w:t> </w:t>
      </w:r>
      <w:r>
        <w:rPr>
          <w:sz w:val="12"/>
        </w:rPr>
        <w:t>to</w:t>
      </w:r>
      <w:r>
        <w:rPr>
          <w:spacing w:val="-6"/>
          <w:sz w:val="12"/>
        </w:rPr>
        <w:t> </w:t>
      </w:r>
      <w:r>
        <w:rPr>
          <w:sz w:val="12"/>
        </w:rPr>
        <w:t>the</w:t>
      </w:r>
      <w:r>
        <w:rPr>
          <w:spacing w:val="-6"/>
          <w:sz w:val="12"/>
        </w:rPr>
        <w:t> </w:t>
      </w:r>
      <w:r>
        <w:rPr>
          <w:sz w:val="12"/>
        </w:rPr>
        <w:t>financial</w:t>
      </w:r>
      <w:r>
        <w:rPr>
          <w:spacing w:val="-7"/>
          <w:sz w:val="12"/>
        </w:rPr>
        <w:t> </w:t>
      </w:r>
      <w:r>
        <w:rPr>
          <w:sz w:val="12"/>
        </w:rPr>
        <w:t>statements</w:t>
      </w:r>
      <w:r>
        <w:rPr>
          <w:spacing w:val="-5"/>
          <w:sz w:val="12"/>
        </w:rPr>
        <w:t> </w:t>
      </w:r>
      <w:r>
        <w:rPr>
          <w:sz w:val="12"/>
        </w:rPr>
        <w:t>are</w:t>
      </w:r>
      <w:r>
        <w:rPr>
          <w:spacing w:val="-6"/>
          <w:sz w:val="12"/>
        </w:rPr>
        <w:t> </w:t>
      </w:r>
      <w:r>
        <w:rPr>
          <w:sz w:val="12"/>
        </w:rPr>
        <w:t>described</w:t>
      </w:r>
      <w:r>
        <w:rPr>
          <w:spacing w:val="-6"/>
          <w:sz w:val="12"/>
        </w:rPr>
        <w:t> </w:t>
      </w:r>
      <w:r>
        <w:rPr>
          <w:sz w:val="12"/>
        </w:rPr>
        <w:t>in</w:t>
      </w:r>
      <w:r>
        <w:rPr>
          <w:spacing w:val="-8"/>
          <w:sz w:val="12"/>
        </w:rPr>
        <w:t> </w:t>
      </w:r>
      <w:r>
        <w:rPr>
          <w:sz w:val="12"/>
        </w:rPr>
        <w:t>the</w:t>
      </w:r>
      <w:r>
        <w:rPr>
          <w:spacing w:val="-6"/>
          <w:sz w:val="12"/>
        </w:rPr>
        <w:t> </w:t>
      </w:r>
      <w:r>
        <w:rPr>
          <w:sz w:val="12"/>
        </w:rPr>
        <w:t>note</w:t>
      </w:r>
      <w:r>
        <w:rPr>
          <w:spacing w:val="-5"/>
          <w:sz w:val="12"/>
        </w:rPr>
        <w:t> </w:t>
      </w:r>
      <w:r>
        <w:rPr>
          <w:sz w:val="12"/>
        </w:rPr>
        <w:t>to</w:t>
      </w:r>
      <w:r>
        <w:rPr>
          <w:spacing w:val="-6"/>
          <w:sz w:val="12"/>
        </w:rPr>
        <w:t> </w:t>
      </w:r>
      <w:r>
        <w:rPr>
          <w:sz w:val="12"/>
        </w:rPr>
        <w:t>which</w:t>
      </w:r>
      <w:r>
        <w:rPr>
          <w:spacing w:val="-6"/>
          <w:sz w:val="12"/>
        </w:rPr>
        <w:t> </w:t>
      </w:r>
      <w:r>
        <w:rPr>
          <w:sz w:val="12"/>
        </w:rPr>
        <w:t>they</w:t>
      </w:r>
      <w:r>
        <w:rPr>
          <w:spacing w:val="-8"/>
          <w:sz w:val="12"/>
        </w:rPr>
        <w:t> </w:t>
      </w:r>
      <w:r>
        <w:rPr>
          <w:sz w:val="12"/>
        </w:rPr>
        <w:t>relate.</w:t>
      </w:r>
      <w:r>
        <w:rPr>
          <w:spacing w:val="40"/>
          <w:sz w:val="12"/>
        </w:rPr>
        <w:t> </w:t>
      </w:r>
      <w:r>
        <w:rPr>
          <w:sz w:val="12"/>
        </w:rPr>
        <w:t>Other accounting policies are set out below.</w:t>
      </w:r>
    </w:p>
    <w:p>
      <w:pPr>
        <w:spacing w:line="240" w:lineRule="auto" w:before="12"/>
        <w:rPr>
          <w:sz w:val="12"/>
        </w:rPr>
      </w:pPr>
    </w:p>
    <w:p>
      <w:pPr>
        <w:spacing w:before="0"/>
        <w:ind w:left="1007" w:right="0" w:firstLine="0"/>
        <w:jc w:val="both"/>
        <w:rPr>
          <w:sz w:val="12"/>
        </w:rPr>
      </w:pPr>
      <w:r>
        <w:rPr>
          <w:spacing w:val="-2"/>
          <w:sz w:val="12"/>
        </w:rPr>
        <w:t>The</w:t>
      </w:r>
      <w:r>
        <w:rPr>
          <w:spacing w:val="-1"/>
          <w:sz w:val="12"/>
        </w:rPr>
        <w:t> </w:t>
      </w:r>
      <w:r>
        <w:rPr>
          <w:spacing w:val="-2"/>
          <w:sz w:val="12"/>
        </w:rPr>
        <w:t>Group</w:t>
      </w:r>
      <w:r>
        <w:rPr>
          <w:sz w:val="12"/>
        </w:rPr>
        <w:t> </w:t>
      </w:r>
      <w:r>
        <w:rPr>
          <w:spacing w:val="-2"/>
          <w:sz w:val="12"/>
        </w:rPr>
        <w:t>has</w:t>
      </w:r>
      <w:r>
        <w:rPr>
          <w:spacing w:val="2"/>
          <w:sz w:val="12"/>
        </w:rPr>
        <w:t> </w:t>
      </w:r>
      <w:r>
        <w:rPr>
          <w:spacing w:val="-2"/>
          <w:sz w:val="12"/>
        </w:rPr>
        <w:t>consistently</w:t>
      </w:r>
      <w:r>
        <w:rPr>
          <w:spacing w:val="-3"/>
          <w:sz w:val="12"/>
        </w:rPr>
        <w:t> </w:t>
      </w:r>
      <w:r>
        <w:rPr>
          <w:spacing w:val="-2"/>
          <w:sz w:val="12"/>
        </w:rPr>
        <w:t>applied</w:t>
      </w:r>
      <w:r>
        <w:rPr>
          <w:sz w:val="12"/>
        </w:rPr>
        <w:t> </w:t>
      </w:r>
      <w:r>
        <w:rPr>
          <w:spacing w:val="-2"/>
          <w:sz w:val="12"/>
        </w:rPr>
        <w:t>the</w:t>
      </w:r>
      <w:r>
        <w:rPr>
          <w:sz w:val="12"/>
        </w:rPr>
        <w:t> </w:t>
      </w:r>
      <w:r>
        <w:rPr>
          <w:spacing w:val="-2"/>
          <w:sz w:val="12"/>
        </w:rPr>
        <w:t>accounting</w:t>
      </w:r>
      <w:r>
        <w:rPr>
          <w:spacing w:val="2"/>
          <w:sz w:val="12"/>
        </w:rPr>
        <w:t> </w:t>
      </w:r>
      <w:r>
        <w:rPr>
          <w:spacing w:val="-2"/>
          <w:sz w:val="12"/>
        </w:rPr>
        <w:t>policies</w:t>
      </w:r>
      <w:r>
        <w:rPr>
          <w:spacing w:val="2"/>
          <w:sz w:val="12"/>
        </w:rPr>
        <w:t> </w:t>
      </w:r>
      <w:r>
        <w:rPr>
          <w:spacing w:val="-2"/>
          <w:sz w:val="12"/>
        </w:rPr>
        <w:t>to</w:t>
      </w:r>
      <w:r>
        <w:rPr>
          <w:sz w:val="12"/>
        </w:rPr>
        <w:t> </w:t>
      </w:r>
      <w:r>
        <w:rPr>
          <w:spacing w:val="-2"/>
          <w:sz w:val="12"/>
        </w:rPr>
        <w:t>all</w:t>
      </w:r>
      <w:r>
        <w:rPr>
          <w:spacing w:val="-1"/>
          <w:sz w:val="12"/>
        </w:rPr>
        <w:t> </w:t>
      </w:r>
      <w:r>
        <w:rPr>
          <w:spacing w:val="-2"/>
          <w:sz w:val="12"/>
        </w:rPr>
        <w:t>periods</w:t>
      </w:r>
      <w:r>
        <w:rPr>
          <w:spacing w:val="2"/>
          <w:sz w:val="12"/>
        </w:rPr>
        <w:t> </w:t>
      </w:r>
      <w:r>
        <w:rPr>
          <w:spacing w:val="-2"/>
          <w:sz w:val="12"/>
        </w:rPr>
        <w:t>presented</w:t>
      </w:r>
      <w:r>
        <w:rPr>
          <w:sz w:val="12"/>
        </w:rPr>
        <w:t> </w:t>
      </w:r>
      <w:r>
        <w:rPr>
          <w:spacing w:val="-2"/>
          <w:sz w:val="12"/>
        </w:rPr>
        <w:t>in these</w:t>
      </w:r>
      <w:r>
        <w:rPr>
          <w:sz w:val="12"/>
        </w:rPr>
        <w:t> </w:t>
      </w:r>
      <w:r>
        <w:rPr>
          <w:spacing w:val="-2"/>
          <w:sz w:val="12"/>
        </w:rPr>
        <w:t>consolidated</w:t>
      </w:r>
      <w:r>
        <w:rPr>
          <w:spacing w:val="-1"/>
          <w:sz w:val="12"/>
        </w:rPr>
        <w:t> </w:t>
      </w:r>
      <w:r>
        <w:rPr>
          <w:spacing w:val="-2"/>
          <w:sz w:val="12"/>
        </w:rPr>
        <w:t>financial</w:t>
      </w:r>
      <w:r>
        <w:rPr>
          <w:spacing w:val="-1"/>
          <w:sz w:val="12"/>
        </w:rPr>
        <w:t> </w:t>
      </w:r>
      <w:r>
        <w:rPr>
          <w:spacing w:val="-2"/>
          <w:sz w:val="12"/>
        </w:rPr>
        <w:t>statements,</w:t>
      </w:r>
      <w:r>
        <w:rPr>
          <w:spacing w:val="1"/>
          <w:sz w:val="12"/>
        </w:rPr>
        <w:t> </w:t>
      </w:r>
      <w:r>
        <w:rPr>
          <w:spacing w:val="-2"/>
          <w:sz w:val="12"/>
        </w:rPr>
        <w:t>except</w:t>
      </w:r>
      <w:r>
        <w:rPr>
          <w:spacing w:val="1"/>
          <w:sz w:val="12"/>
        </w:rPr>
        <w:t> </w:t>
      </w:r>
      <w:r>
        <w:rPr>
          <w:spacing w:val="-2"/>
          <w:sz w:val="12"/>
        </w:rPr>
        <w:t>if</w:t>
      </w:r>
      <w:r>
        <w:rPr>
          <w:spacing w:val="1"/>
          <w:sz w:val="12"/>
        </w:rPr>
        <w:t> </w:t>
      </w:r>
      <w:r>
        <w:rPr>
          <w:spacing w:val="-2"/>
          <w:sz w:val="12"/>
        </w:rPr>
        <w:t>mentioned</w:t>
      </w:r>
      <w:r>
        <w:rPr>
          <w:sz w:val="12"/>
        </w:rPr>
        <w:t> </w:t>
      </w:r>
      <w:r>
        <w:rPr>
          <w:spacing w:val="-2"/>
          <w:sz w:val="12"/>
        </w:rPr>
        <w:t>otherwise.</w:t>
      </w:r>
    </w:p>
    <w:p>
      <w:pPr>
        <w:spacing w:line="240" w:lineRule="auto" w:before="13"/>
        <w:rPr>
          <w:sz w:val="12"/>
        </w:rPr>
      </w:pPr>
    </w:p>
    <w:p>
      <w:pPr>
        <w:pStyle w:val="ListParagraph"/>
        <w:numPr>
          <w:ilvl w:val="0"/>
          <w:numId w:val="15"/>
        </w:numPr>
        <w:tabs>
          <w:tab w:pos="1007" w:val="left" w:leader="none"/>
        </w:tabs>
        <w:spacing w:line="190" w:lineRule="atLeast" w:before="1" w:after="0"/>
        <w:ind w:left="1007" w:right="9358" w:hanging="530"/>
        <w:jc w:val="left"/>
        <w:rPr>
          <w:b/>
          <w:sz w:val="12"/>
        </w:rPr>
      </w:pPr>
      <w:r>
        <w:rPr>
          <w:b/>
          <w:spacing w:val="-2"/>
          <w:sz w:val="12"/>
        </w:rPr>
        <w:t>Taxation</w:t>
      </w:r>
      <w:r>
        <w:rPr>
          <w:b/>
          <w:spacing w:val="40"/>
          <w:sz w:val="12"/>
        </w:rPr>
        <w:t> </w:t>
      </w:r>
      <w:r>
        <w:rPr>
          <w:b/>
          <w:spacing w:val="-2"/>
          <w:sz w:val="12"/>
        </w:rPr>
        <w:t>Income</w:t>
      </w:r>
      <w:r>
        <w:rPr>
          <w:b/>
          <w:spacing w:val="-7"/>
          <w:sz w:val="12"/>
        </w:rPr>
        <w:t> </w:t>
      </w:r>
      <w:r>
        <w:rPr>
          <w:b/>
          <w:spacing w:val="-2"/>
          <w:sz w:val="12"/>
        </w:rPr>
        <w:t>tax</w:t>
      </w:r>
    </w:p>
    <w:p>
      <w:pPr>
        <w:spacing w:before="20"/>
        <w:ind w:left="1007" w:right="0" w:firstLine="0"/>
        <w:jc w:val="left"/>
        <w:rPr>
          <w:sz w:val="12"/>
        </w:rPr>
      </w:pPr>
      <w:r>
        <w:rPr>
          <w:sz w:val="12"/>
        </w:rPr>
        <w:t>The</w:t>
      </w:r>
      <w:r>
        <w:rPr>
          <w:spacing w:val="-9"/>
          <w:sz w:val="12"/>
        </w:rPr>
        <w:t> </w:t>
      </w:r>
      <w:r>
        <w:rPr>
          <w:sz w:val="12"/>
        </w:rPr>
        <w:t>Group</w:t>
      </w:r>
      <w:r>
        <w:rPr>
          <w:spacing w:val="-8"/>
          <w:sz w:val="12"/>
        </w:rPr>
        <w:t> </w:t>
      </w:r>
      <w:r>
        <w:rPr>
          <w:sz w:val="12"/>
        </w:rPr>
        <w:t>is</w:t>
      </w:r>
      <w:r>
        <w:rPr>
          <w:spacing w:val="-6"/>
          <w:sz w:val="12"/>
        </w:rPr>
        <w:t> </w:t>
      </w:r>
      <w:r>
        <w:rPr>
          <w:sz w:val="12"/>
        </w:rPr>
        <w:t>exempt</w:t>
      </w:r>
      <w:r>
        <w:rPr>
          <w:spacing w:val="-7"/>
          <w:sz w:val="12"/>
        </w:rPr>
        <w:t> </w:t>
      </w:r>
      <w:r>
        <w:rPr>
          <w:sz w:val="12"/>
        </w:rPr>
        <w:t>from</w:t>
      </w:r>
      <w:r>
        <w:rPr>
          <w:spacing w:val="-5"/>
          <w:sz w:val="12"/>
        </w:rPr>
        <w:t> </w:t>
      </w:r>
      <w:r>
        <w:rPr>
          <w:sz w:val="12"/>
        </w:rPr>
        <w:t>income</w:t>
      </w:r>
      <w:r>
        <w:rPr>
          <w:spacing w:val="-8"/>
          <w:sz w:val="12"/>
        </w:rPr>
        <w:t> </w:t>
      </w:r>
      <w:r>
        <w:rPr>
          <w:sz w:val="12"/>
        </w:rPr>
        <w:t>tax</w:t>
      </w:r>
      <w:r>
        <w:rPr>
          <w:spacing w:val="-7"/>
          <w:sz w:val="12"/>
        </w:rPr>
        <w:t> </w:t>
      </w:r>
      <w:r>
        <w:rPr>
          <w:sz w:val="12"/>
        </w:rPr>
        <w:t>as</w:t>
      </w:r>
      <w:r>
        <w:rPr>
          <w:spacing w:val="-6"/>
          <w:sz w:val="12"/>
        </w:rPr>
        <w:t> </w:t>
      </w:r>
      <w:r>
        <w:rPr>
          <w:sz w:val="12"/>
        </w:rPr>
        <w:t>per</w:t>
      </w:r>
      <w:r>
        <w:rPr>
          <w:spacing w:val="-6"/>
          <w:sz w:val="12"/>
        </w:rPr>
        <w:t> </w:t>
      </w:r>
      <w:r>
        <w:rPr>
          <w:sz w:val="12"/>
        </w:rPr>
        <w:t>Subdivision</w:t>
      </w:r>
      <w:r>
        <w:rPr>
          <w:spacing w:val="-9"/>
          <w:sz w:val="12"/>
        </w:rPr>
        <w:t> </w:t>
      </w:r>
      <w:r>
        <w:rPr>
          <w:sz w:val="12"/>
        </w:rPr>
        <w:t>50-B</w:t>
      </w:r>
      <w:r>
        <w:rPr>
          <w:spacing w:val="-7"/>
          <w:sz w:val="12"/>
        </w:rPr>
        <w:t> </w:t>
      </w:r>
      <w:r>
        <w:rPr>
          <w:sz w:val="12"/>
        </w:rPr>
        <w:t>of</w:t>
      </w:r>
      <w:r>
        <w:rPr>
          <w:spacing w:val="-7"/>
          <w:sz w:val="12"/>
        </w:rPr>
        <w:t> </w:t>
      </w:r>
      <w:r>
        <w:rPr>
          <w:sz w:val="12"/>
        </w:rPr>
        <w:t>the</w:t>
      </w:r>
      <w:r>
        <w:rPr>
          <w:spacing w:val="-8"/>
          <w:sz w:val="12"/>
        </w:rPr>
        <w:t> </w:t>
      </w:r>
      <w:r>
        <w:rPr>
          <w:sz w:val="12"/>
        </w:rPr>
        <w:t>Income</w:t>
      </w:r>
      <w:r>
        <w:rPr>
          <w:spacing w:val="-8"/>
          <w:sz w:val="12"/>
        </w:rPr>
        <w:t> </w:t>
      </w:r>
      <w:r>
        <w:rPr>
          <w:sz w:val="12"/>
        </w:rPr>
        <w:t>Tax</w:t>
      </w:r>
      <w:r>
        <w:rPr>
          <w:spacing w:val="-7"/>
          <w:sz w:val="12"/>
        </w:rPr>
        <w:t> </w:t>
      </w:r>
      <w:r>
        <w:rPr>
          <w:sz w:val="12"/>
        </w:rPr>
        <w:t>Assessment</w:t>
      </w:r>
      <w:r>
        <w:rPr>
          <w:spacing w:val="-7"/>
          <w:sz w:val="12"/>
        </w:rPr>
        <w:t> </w:t>
      </w:r>
      <w:r>
        <w:rPr>
          <w:sz w:val="12"/>
        </w:rPr>
        <w:t>Act</w:t>
      </w:r>
      <w:r>
        <w:rPr>
          <w:spacing w:val="-7"/>
          <w:sz w:val="12"/>
        </w:rPr>
        <w:t> </w:t>
      </w:r>
      <w:r>
        <w:rPr>
          <w:spacing w:val="-2"/>
          <w:sz w:val="12"/>
        </w:rPr>
        <w:t>1997.</w:t>
      </w:r>
    </w:p>
    <w:p>
      <w:pPr>
        <w:spacing w:before="113"/>
        <w:ind w:left="1007" w:right="0" w:firstLine="0"/>
        <w:jc w:val="left"/>
        <w:rPr>
          <w:b/>
          <w:sz w:val="12"/>
        </w:rPr>
      </w:pPr>
      <w:r>
        <w:rPr>
          <w:b/>
          <w:spacing w:val="-2"/>
          <w:sz w:val="12"/>
        </w:rPr>
        <w:t>Goods</w:t>
      </w:r>
      <w:r>
        <w:rPr>
          <w:b/>
          <w:sz w:val="12"/>
        </w:rPr>
        <w:t> </w:t>
      </w:r>
      <w:r>
        <w:rPr>
          <w:b/>
          <w:spacing w:val="-2"/>
          <w:sz w:val="12"/>
        </w:rPr>
        <w:t>and</w:t>
      </w:r>
      <w:r>
        <w:rPr>
          <w:b/>
          <w:spacing w:val="1"/>
          <w:sz w:val="12"/>
        </w:rPr>
        <w:t> </w:t>
      </w:r>
      <w:r>
        <w:rPr>
          <w:b/>
          <w:spacing w:val="-2"/>
          <w:sz w:val="12"/>
        </w:rPr>
        <w:t>services</w:t>
      </w:r>
      <w:r>
        <w:rPr>
          <w:b/>
          <w:sz w:val="12"/>
        </w:rPr>
        <w:t> </w:t>
      </w:r>
      <w:r>
        <w:rPr>
          <w:b/>
          <w:spacing w:val="-2"/>
          <w:sz w:val="12"/>
        </w:rPr>
        <w:t>tax</w:t>
      </w:r>
      <w:r>
        <w:rPr>
          <w:b/>
          <w:spacing w:val="1"/>
          <w:sz w:val="12"/>
        </w:rPr>
        <w:t> </w:t>
      </w:r>
      <w:r>
        <w:rPr>
          <w:b/>
          <w:spacing w:val="-4"/>
          <w:sz w:val="12"/>
        </w:rPr>
        <w:t>(GST)</w:t>
      </w:r>
    </w:p>
    <w:p>
      <w:pPr>
        <w:spacing w:before="15"/>
        <w:ind w:left="1007" w:right="0" w:firstLine="0"/>
        <w:jc w:val="left"/>
        <w:rPr>
          <w:sz w:val="12"/>
        </w:rPr>
      </w:pPr>
      <w:r>
        <w:rPr>
          <w:spacing w:val="-2"/>
          <w:sz w:val="12"/>
        </w:rPr>
        <w:t>Revenue,</w:t>
      </w:r>
      <w:r>
        <w:rPr>
          <w:sz w:val="12"/>
        </w:rPr>
        <w:t> </w:t>
      </w:r>
      <w:r>
        <w:rPr>
          <w:spacing w:val="-2"/>
          <w:sz w:val="12"/>
        </w:rPr>
        <w:t>expenses</w:t>
      </w:r>
      <w:r>
        <w:rPr>
          <w:spacing w:val="2"/>
          <w:sz w:val="12"/>
        </w:rPr>
        <w:t> </w:t>
      </w:r>
      <w:r>
        <w:rPr>
          <w:spacing w:val="-2"/>
          <w:sz w:val="12"/>
        </w:rPr>
        <w:t>and</w:t>
      </w:r>
      <w:r>
        <w:rPr>
          <w:spacing w:val="-1"/>
          <w:sz w:val="12"/>
        </w:rPr>
        <w:t> </w:t>
      </w:r>
      <w:r>
        <w:rPr>
          <w:spacing w:val="-2"/>
          <w:sz w:val="12"/>
        </w:rPr>
        <w:t>assets</w:t>
      </w:r>
      <w:r>
        <w:rPr>
          <w:spacing w:val="1"/>
          <w:sz w:val="12"/>
        </w:rPr>
        <w:t> </w:t>
      </w:r>
      <w:r>
        <w:rPr>
          <w:spacing w:val="-2"/>
          <w:sz w:val="12"/>
        </w:rPr>
        <w:t>are</w:t>
      </w:r>
      <w:r>
        <w:rPr>
          <w:sz w:val="12"/>
        </w:rPr>
        <w:t> </w:t>
      </w:r>
      <w:r>
        <w:rPr>
          <w:spacing w:val="-2"/>
          <w:sz w:val="12"/>
        </w:rPr>
        <w:t>recognised</w:t>
      </w:r>
      <w:r>
        <w:rPr>
          <w:spacing w:val="-1"/>
          <w:sz w:val="12"/>
        </w:rPr>
        <w:t> </w:t>
      </w:r>
      <w:r>
        <w:rPr>
          <w:spacing w:val="-2"/>
          <w:sz w:val="12"/>
        </w:rPr>
        <w:t>net</w:t>
      </w:r>
      <w:r>
        <w:rPr>
          <w:spacing w:val="1"/>
          <w:sz w:val="12"/>
        </w:rPr>
        <w:t> </w:t>
      </w:r>
      <w:r>
        <w:rPr>
          <w:spacing w:val="-2"/>
          <w:sz w:val="12"/>
        </w:rPr>
        <w:t>of</w:t>
      </w:r>
      <w:r>
        <w:rPr>
          <w:sz w:val="12"/>
        </w:rPr>
        <w:t> </w:t>
      </w:r>
      <w:r>
        <w:rPr>
          <w:spacing w:val="-2"/>
          <w:sz w:val="12"/>
        </w:rPr>
        <w:t>the</w:t>
      </w:r>
      <w:r>
        <w:rPr>
          <w:sz w:val="12"/>
        </w:rPr>
        <w:t> </w:t>
      </w:r>
      <w:r>
        <w:rPr>
          <w:spacing w:val="-2"/>
          <w:sz w:val="12"/>
        </w:rPr>
        <w:t>amount</w:t>
      </w:r>
      <w:r>
        <w:rPr>
          <w:sz w:val="12"/>
        </w:rPr>
        <w:t> </w:t>
      </w:r>
      <w:r>
        <w:rPr>
          <w:spacing w:val="-2"/>
          <w:sz w:val="12"/>
        </w:rPr>
        <w:t>of</w:t>
      </w:r>
      <w:r>
        <w:rPr>
          <w:spacing w:val="1"/>
          <w:sz w:val="12"/>
        </w:rPr>
        <w:t> </w:t>
      </w:r>
      <w:r>
        <w:rPr>
          <w:spacing w:val="-2"/>
          <w:sz w:val="12"/>
        </w:rPr>
        <w:t>GST</w:t>
      </w:r>
      <w:r>
        <w:rPr>
          <w:spacing w:val="1"/>
          <w:sz w:val="12"/>
        </w:rPr>
        <w:t> </w:t>
      </w:r>
      <w:r>
        <w:rPr>
          <w:spacing w:val="-2"/>
          <w:sz w:val="12"/>
        </w:rPr>
        <w:t>except:</w:t>
      </w:r>
    </w:p>
    <w:p>
      <w:pPr>
        <w:pStyle w:val="ListParagraph"/>
        <w:numPr>
          <w:ilvl w:val="1"/>
          <w:numId w:val="15"/>
        </w:numPr>
        <w:tabs>
          <w:tab w:pos="1122" w:val="left" w:leader="none"/>
          <w:tab w:pos="1124" w:val="left" w:leader="none"/>
        </w:tabs>
        <w:spacing w:line="240" w:lineRule="auto" w:before="13" w:after="0"/>
        <w:ind w:left="1124" w:right="1518" w:hanging="115"/>
        <w:jc w:val="left"/>
        <w:rPr>
          <w:sz w:val="12"/>
        </w:rPr>
      </w:pPr>
      <w:r>
        <w:rPr>
          <w:position w:val="1"/>
          <w:sz w:val="12"/>
        </w:rPr>
        <w:t>Where</w:t>
      </w:r>
      <w:r>
        <w:rPr>
          <w:spacing w:val="-3"/>
          <w:position w:val="1"/>
          <w:sz w:val="12"/>
        </w:rPr>
        <w:t> </w:t>
      </w:r>
      <w:r>
        <w:rPr>
          <w:position w:val="1"/>
          <w:sz w:val="12"/>
        </w:rPr>
        <w:t>the</w:t>
      </w:r>
      <w:r>
        <w:rPr>
          <w:spacing w:val="-3"/>
          <w:position w:val="1"/>
          <w:sz w:val="12"/>
        </w:rPr>
        <w:t> </w:t>
      </w:r>
      <w:r>
        <w:rPr>
          <w:position w:val="1"/>
          <w:sz w:val="12"/>
        </w:rPr>
        <w:t>GST incurred</w:t>
      </w:r>
      <w:r>
        <w:rPr>
          <w:spacing w:val="-3"/>
          <w:position w:val="1"/>
          <w:sz w:val="12"/>
        </w:rPr>
        <w:t> </w:t>
      </w:r>
      <w:r>
        <w:rPr>
          <w:position w:val="1"/>
          <w:sz w:val="12"/>
        </w:rPr>
        <w:t>on</w:t>
      </w:r>
      <w:r>
        <w:rPr>
          <w:spacing w:val="-4"/>
          <w:position w:val="1"/>
          <w:sz w:val="12"/>
        </w:rPr>
        <w:t> </w:t>
      </w:r>
      <w:r>
        <w:rPr>
          <w:position w:val="1"/>
          <w:sz w:val="12"/>
        </w:rPr>
        <w:t>a</w:t>
      </w:r>
      <w:r>
        <w:rPr>
          <w:spacing w:val="-3"/>
          <w:position w:val="1"/>
          <w:sz w:val="12"/>
        </w:rPr>
        <w:t> </w:t>
      </w:r>
      <w:r>
        <w:rPr>
          <w:position w:val="1"/>
          <w:sz w:val="12"/>
        </w:rPr>
        <w:t>purchase</w:t>
      </w:r>
      <w:r>
        <w:rPr>
          <w:spacing w:val="-3"/>
          <w:position w:val="1"/>
          <w:sz w:val="12"/>
        </w:rPr>
        <w:t> </w:t>
      </w:r>
      <w:r>
        <w:rPr>
          <w:position w:val="1"/>
          <w:sz w:val="12"/>
        </w:rPr>
        <w:t>of</w:t>
      </w:r>
      <w:r>
        <w:rPr>
          <w:spacing w:val="-1"/>
          <w:position w:val="1"/>
          <w:sz w:val="12"/>
        </w:rPr>
        <w:t> </w:t>
      </w:r>
      <w:r>
        <w:rPr>
          <w:position w:val="1"/>
          <w:sz w:val="12"/>
        </w:rPr>
        <w:t>goods</w:t>
      </w:r>
      <w:r>
        <w:rPr>
          <w:spacing w:val="-1"/>
          <w:position w:val="1"/>
          <w:sz w:val="12"/>
        </w:rPr>
        <w:t> </w:t>
      </w:r>
      <w:r>
        <w:rPr>
          <w:position w:val="1"/>
          <w:sz w:val="12"/>
        </w:rPr>
        <w:t>and</w:t>
      </w:r>
      <w:r>
        <w:rPr>
          <w:spacing w:val="-3"/>
          <w:position w:val="1"/>
          <w:sz w:val="12"/>
        </w:rPr>
        <w:t> </w:t>
      </w:r>
      <w:r>
        <w:rPr>
          <w:position w:val="1"/>
          <w:sz w:val="12"/>
        </w:rPr>
        <w:t>services is</w:t>
      </w:r>
      <w:r>
        <w:rPr>
          <w:spacing w:val="-1"/>
          <w:position w:val="1"/>
          <w:sz w:val="12"/>
        </w:rPr>
        <w:t> </w:t>
      </w:r>
      <w:r>
        <w:rPr>
          <w:position w:val="1"/>
          <w:sz w:val="12"/>
        </w:rPr>
        <w:t>not</w:t>
      </w:r>
      <w:r>
        <w:rPr>
          <w:spacing w:val="-1"/>
          <w:position w:val="1"/>
          <w:sz w:val="12"/>
        </w:rPr>
        <w:t> </w:t>
      </w:r>
      <w:r>
        <w:rPr>
          <w:position w:val="1"/>
          <w:sz w:val="12"/>
        </w:rPr>
        <w:t>recoverable</w:t>
      </w:r>
      <w:r>
        <w:rPr>
          <w:spacing w:val="-3"/>
          <w:position w:val="1"/>
          <w:sz w:val="12"/>
        </w:rPr>
        <w:t> </w:t>
      </w:r>
      <w:r>
        <w:rPr>
          <w:position w:val="1"/>
          <w:sz w:val="12"/>
        </w:rPr>
        <w:t>from the</w:t>
      </w:r>
      <w:r>
        <w:rPr>
          <w:spacing w:val="-3"/>
          <w:position w:val="1"/>
          <w:sz w:val="12"/>
        </w:rPr>
        <w:t> </w:t>
      </w:r>
      <w:r>
        <w:rPr>
          <w:position w:val="1"/>
          <w:sz w:val="12"/>
        </w:rPr>
        <w:t>taxation</w:t>
      </w:r>
      <w:r>
        <w:rPr>
          <w:spacing w:val="-4"/>
          <w:position w:val="1"/>
          <w:sz w:val="12"/>
        </w:rPr>
        <w:t> </w:t>
      </w:r>
      <w:r>
        <w:rPr>
          <w:position w:val="1"/>
          <w:sz w:val="12"/>
        </w:rPr>
        <w:t>authority,</w:t>
      </w:r>
      <w:r>
        <w:rPr>
          <w:spacing w:val="-1"/>
          <w:position w:val="1"/>
          <w:sz w:val="12"/>
        </w:rPr>
        <w:t> </w:t>
      </w:r>
      <w:r>
        <w:rPr>
          <w:position w:val="1"/>
          <w:sz w:val="12"/>
        </w:rPr>
        <w:t>then</w:t>
      </w:r>
      <w:r>
        <w:rPr>
          <w:spacing w:val="-3"/>
          <w:position w:val="1"/>
          <w:sz w:val="12"/>
        </w:rPr>
        <w:t> </w:t>
      </w:r>
      <w:r>
        <w:rPr>
          <w:position w:val="1"/>
          <w:sz w:val="12"/>
        </w:rPr>
        <w:t>the</w:t>
      </w:r>
      <w:r>
        <w:rPr>
          <w:spacing w:val="-3"/>
          <w:position w:val="1"/>
          <w:sz w:val="12"/>
        </w:rPr>
        <w:t> </w:t>
      </w:r>
      <w:r>
        <w:rPr>
          <w:position w:val="1"/>
          <w:sz w:val="12"/>
        </w:rPr>
        <w:t>GST is</w:t>
      </w:r>
      <w:r>
        <w:rPr>
          <w:spacing w:val="-1"/>
          <w:position w:val="1"/>
          <w:sz w:val="12"/>
        </w:rPr>
        <w:t> </w:t>
      </w:r>
      <w:r>
        <w:rPr>
          <w:position w:val="1"/>
          <w:sz w:val="12"/>
        </w:rPr>
        <w:t>recognised as</w:t>
      </w:r>
      <w:r>
        <w:rPr>
          <w:spacing w:val="-1"/>
          <w:position w:val="1"/>
          <w:sz w:val="12"/>
        </w:rPr>
        <w:t> </w:t>
      </w:r>
      <w:r>
        <w:rPr>
          <w:position w:val="1"/>
          <w:sz w:val="12"/>
        </w:rPr>
        <w:t>part of</w:t>
      </w:r>
      <w:r>
        <w:rPr>
          <w:spacing w:val="-1"/>
          <w:position w:val="1"/>
          <w:sz w:val="12"/>
        </w:rPr>
        <w:t> </w:t>
      </w:r>
      <w:r>
        <w:rPr>
          <w:position w:val="1"/>
          <w:sz w:val="12"/>
        </w:rPr>
        <w:t>the cost</w:t>
      </w:r>
      <w:r>
        <w:rPr>
          <w:spacing w:val="-1"/>
          <w:position w:val="1"/>
          <w:sz w:val="12"/>
        </w:rPr>
        <w:t> </w:t>
      </w:r>
      <w:r>
        <w:rPr>
          <w:position w:val="1"/>
          <w:sz w:val="12"/>
        </w:rPr>
        <w:t>of</w:t>
      </w:r>
      <w:r>
        <w:rPr>
          <w:spacing w:val="40"/>
          <w:position w:val="1"/>
          <w:sz w:val="12"/>
        </w:rPr>
        <w:t> </w:t>
      </w:r>
      <w:r>
        <w:rPr>
          <w:sz w:val="12"/>
        </w:rPr>
        <w:t>acquisition</w:t>
      </w:r>
      <w:r>
        <w:rPr>
          <w:spacing w:val="-2"/>
          <w:sz w:val="12"/>
        </w:rPr>
        <w:t> </w:t>
      </w:r>
      <w:r>
        <w:rPr>
          <w:sz w:val="12"/>
        </w:rPr>
        <w:t>or as part of the expense item as applicable; and</w:t>
      </w:r>
    </w:p>
    <w:p>
      <w:pPr>
        <w:pStyle w:val="ListParagraph"/>
        <w:numPr>
          <w:ilvl w:val="1"/>
          <w:numId w:val="15"/>
        </w:numPr>
        <w:tabs>
          <w:tab w:pos="1122" w:val="left" w:leader="none"/>
        </w:tabs>
        <w:spacing w:line="240" w:lineRule="auto" w:before="42" w:after="0"/>
        <w:ind w:left="1122" w:right="0" w:hanging="113"/>
        <w:jc w:val="left"/>
        <w:rPr>
          <w:sz w:val="12"/>
        </w:rPr>
      </w:pPr>
      <w:r>
        <w:rPr>
          <w:spacing w:val="-2"/>
          <w:position w:val="1"/>
          <w:sz w:val="12"/>
        </w:rPr>
        <w:t>Receivables</w:t>
      </w:r>
      <w:r>
        <w:rPr>
          <w:spacing w:val="1"/>
          <w:position w:val="1"/>
          <w:sz w:val="12"/>
        </w:rPr>
        <w:t> </w:t>
      </w:r>
      <w:r>
        <w:rPr>
          <w:spacing w:val="-2"/>
          <w:position w:val="1"/>
          <w:sz w:val="12"/>
        </w:rPr>
        <w:t>and</w:t>
      </w:r>
      <w:r>
        <w:rPr>
          <w:spacing w:val="-1"/>
          <w:position w:val="1"/>
          <w:sz w:val="12"/>
        </w:rPr>
        <w:t> </w:t>
      </w:r>
      <w:r>
        <w:rPr>
          <w:spacing w:val="-2"/>
          <w:position w:val="1"/>
          <w:sz w:val="12"/>
        </w:rPr>
        <w:t>payables</w:t>
      </w:r>
      <w:r>
        <w:rPr>
          <w:spacing w:val="2"/>
          <w:position w:val="1"/>
          <w:sz w:val="12"/>
        </w:rPr>
        <w:t> </w:t>
      </w:r>
      <w:r>
        <w:rPr>
          <w:spacing w:val="-2"/>
          <w:position w:val="1"/>
          <w:sz w:val="12"/>
        </w:rPr>
        <w:t>are</w:t>
      </w:r>
      <w:r>
        <w:rPr>
          <w:spacing w:val="-1"/>
          <w:position w:val="1"/>
          <w:sz w:val="12"/>
        </w:rPr>
        <w:t> </w:t>
      </w:r>
      <w:r>
        <w:rPr>
          <w:spacing w:val="-2"/>
          <w:position w:val="1"/>
          <w:sz w:val="12"/>
        </w:rPr>
        <w:t>stated</w:t>
      </w:r>
      <w:r>
        <w:rPr>
          <w:position w:val="1"/>
          <w:sz w:val="12"/>
        </w:rPr>
        <w:t> </w:t>
      </w:r>
      <w:r>
        <w:rPr>
          <w:spacing w:val="-2"/>
          <w:position w:val="1"/>
          <w:sz w:val="12"/>
        </w:rPr>
        <w:t>with</w:t>
      </w:r>
      <w:r>
        <w:rPr>
          <w:spacing w:val="-3"/>
          <w:position w:val="1"/>
          <w:sz w:val="12"/>
        </w:rPr>
        <w:t> </w:t>
      </w:r>
      <w:r>
        <w:rPr>
          <w:spacing w:val="-2"/>
          <w:position w:val="1"/>
          <w:sz w:val="12"/>
        </w:rPr>
        <w:t>the</w:t>
      </w:r>
      <w:r>
        <w:rPr>
          <w:position w:val="1"/>
          <w:sz w:val="12"/>
        </w:rPr>
        <w:t> </w:t>
      </w:r>
      <w:r>
        <w:rPr>
          <w:spacing w:val="-2"/>
          <w:position w:val="1"/>
          <w:sz w:val="12"/>
        </w:rPr>
        <w:t>amount</w:t>
      </w:r>
      <w:r>
        <w:rPr>
          <w:position w:val="1"/>
          <w:sz w:val="12"/>
        </w:rPr>
        <w:t> </w:t>
      </w:r>
      <w:r>
        <w:rPr>
          <w:spacing w:val="-2"/>
          <w:position w:val="1"/>
          <w:sz w:val="12"/>
        </w:rPr>
        <w:t>of</w:t>
      </w:r>
      <w:r>
        <w:rPr>
          <w:position w:val="1"/>
          <w:sz w:val="12"/>
        </w:rPr>
        <w:t> </w:t>
      </w:r>
      <w:r>
        <w:rPr>
          <w:spacing w:val="-2"/>
          <w:position w:val="1"/>
          <w:sz w:val="12"/>
        </w:rPr>
        <w:t>GST</w:t>
      </w:r>
      <w:r>
        <w:rPr>
          <w:spacing w:val="2"/>
          <w:position w:val="1"/>
          <w:sz w:val="12"/>
        </w:rPr>
        <w:t> </w:t>
      </w:r>
      <w:r>
        <w:rPr>
          <w:spacing w:val="-2"/>
          <w:position w:val="1"/>
          <w:sz w:val="12"/>
        </w:rPr>
        <w:t>included.</w:t>
      </w:r>
    </w:p>
    <w:p>
      <w:pPr>
        <w:spacing w:before="74"/>
        <w:ind w:left="1007" w:right="0" w:firstLine="0"/>
        <w:jc w:val="left"/>
        <w:rPr>
          <w:sz w:val="12"/>
        </w:rPr>
      </w:pPr>
      <w:r>
        <w:rPr>
          <w:spacing w:val="-2"/>
          <w:sz w:val="12"/>
        </w:rPr>
        <w:t>The</w:t>
      </w:r>
      <w:r>
        <w:rPr>
          <w:spacing w:val="-1"/>
          <w:sz w:val="12"/>
        </w:rPr>
        <w:t> </w:t>
      </w:r>
      <w:r>
        <w:rPr>
          <w:spacing w:val="-2"/>
          <w:sz w:val="12"/>
        </w:rPr>
        <w:t>net</w:t>
      </w:r>
      <w:r>
        <w:rPr>
          <w:spacing w:val="1"/>
          <w:sz w:val="12"/>
        </w:rPr>
        <w:t> </w:t>
      </w:r>
      <w:r>
        <w:rPr>
          <w:spacing w:val="-2"/>
          <w:sz w:val="12"/>
        </w:rPr>
        <w:t>amount</w:t>
      </w:r>
      <w:r>
        <w:rPr>
          <w:sz w:val="12"/>
        </w:rPr>
        <w:t> </w:t>
      </w:r>
      <w:r>
        <w:rPr>
          <w:spacing w:val="-2"/>
          <w:sz w:val="12"/>
        </w:rPr>
        <w:t>of</w:t>
      </w:r>
      <w:r>
        <w:rPr>
          <w:spacing w:val="1"/>
          <w:sz w:val="12"/>
        </w:rPr>
        <w:t> </w:t>
      </w:r>
      <w:r>
        <w:rPr>
          <w:spacing w:val="-2"/>
          <w:sz w:val="12"/>
        </w:rPr>
        <w:t>GST</w:t>
      </w:r>
      <w:r>
        <w:rPr>
          <w:spacing w:val="1"/>
          <w:sz w:val="12"/>
        </w:rPr>
        <w:t> </w:t>
      </w:r>
      <w:r>
        <w:rPr>
          <w:spacing w:val="-2"/>
          <w:sz w:val="12"/>
        </w:rPr>
        <w:t>recoverable</w:t>
      </w:r>
      <w:r>
        <w:rPr>
          <w:sz w:val="12"/>
        </w:rPr>
        <w:t> </w:t>
      </w:r>
      <w:r>
        <w:rPr>
          <w:spacing w:val="-2"/>
          <w:sz w:val="12"/>
        </w:rPr>
        <w:t>from,</w:t>
      </w:r>
      <w:r>
        <w:rPr>
          <w:spacing w:val="1"/>
          <w:sz w:val="12"/>
        </w:rPr>
        <w:t> </w:t>
      </w:r>
      <w:r>
        <w:rPr>
          <w:spacing w:val="-2"/>
          <w:sz w:val="12"/>
        </w:rPr>
        <w:t>or</w:t>
      </w:r>
      <w:r>
        <w:rPr>
          <w:spacing w:val="1"/>
          <w:sz w:val="12"/>
        </w:rPr>
        <w:t> </w:t>
      </w:r>
      <w:r>
        <w:rPr>
          <w:spacing w:val="-2"/>
          <w:sz w:val="12"/>
        </w:rPr>
        <w:t>payable</w:t>
      </w:r>
      <w:r>
        <w:rPr>
          <w:sz w:val="12"/>
        </w:rPr>
        <w:t> </w:t>
      </w:r>
      <w:r>
        <w:rPr>
          <w:spacing w:val="-2"/>
          <w:sz w:val="12"/>
        </w:rPr>
        <w:t>to,</w:t>
      </w:r>
      <w:r>
        <w:rPr>
          <w:sz w:val="12"/>
        </w:rPr>
        <w:t> </w:t>
      </w:r>
      <w:r>
        <w:rPr>
          <w:spacing w:val="-2"/>
          <w:sz w:val="12"/>
        </w:rPr>
        <w:t>the</w:t>
      </w:r>
      <w:r>
        <w:rPr>
          <w:sz w:val="12"/>
        </w:rPr>
        <w:t> </w:t>
      </w:r>
      <w:r>
        <w:rPr>
          <w:spacing w:val="-2"/>
          <w:sz w:val="12"/>
        </w:rPr>
        <w:t>taxation authority</w:t>
      </w:r>
      <w:r>
        <w:rPr>
          <w:spacing w:val="-4"/>
          <w:sz w:val="12"/>
        </w:rPr>
        <w:t> </w:t>
      </w:r>
      <w:r>
        <w:rPr>
          <w:spacing w:val="-2"/>
          <w:sz w:val="12"/>
        </w:rPr>
        <w:t>is</w:t>
      </w:r>
      <w:r>
        <w:rPr>
          <w:spacing w:val="2"/>
          <w:sz w:val="12"/>
        </w:rPr>
        <w:t> </w:t>
      </w:r>
      <w:r>
        <w:rPr>
          <w:spacing w:val="-2"/>
          <w:sz w:val="12"/>
        </w:rPr>
        <w:t>included</w:t>
      </w:r>
      <w:r>
        <w:rPr>
          <w:spacing w:val="-1"/>
          <w:sz w:val="12"/>
        </w:rPr>
        <w:t> </w:t>
      </w:r>
      <w:r>
        <w:rPr>
          <w:spacing w:val="-2"/>
          <w:sz w:val="12"/>
        </w:rPr>
        <w:t>as</w:t>
      </w:r>
      <w:r>
        <w:rPr>
          <w:spacing w:val="2"/>
          <w:sz w:val="12"/>
        </w:rPr>
        <w:t> </w:t>
      </w:r>
      <w:r>
        <w:rPr>
          <w:spacing w:val="-2"/>
          <w:sz w:val="12"/>
        </w:rPr>
        <w:t>part</w:t>
      </w:r>
      <w:r>
        <w:rPr>
          <w:sz w:val="12"/>
        </w:rPr>
        <w:t> </w:t>
      </w:r>
      <w:r>
        <w:rPr>
          <w:spacing w:val="-2"/>
          <w:sz w:val="12"/>
        </w:rPr>
        <w:t>of</w:t>
      </w:r>
      <w:r>
        <w:rPr>
          <w:spacing w:val="1"/>
          <w:sz w:val="12"/>
        </w:rPr>
        <w:t> </w:t>
      </w:r>
      <w:r>
        <w:rPr>
          <w:spacing w:val="-2"/>
          <w:sz w:val="12"/>
        </w:rPr>
        <w:t>receivables</w:t>
      </w:r>
      <w:r>
        <w:rPr>
          <w:spacing w:val="2"/>
          <w:sz w:val="12"/>
        </w:rPr>
        <w:t> </w:t>
      </w:r>
      <w:r>
        <w:rPr>
          <w:spacing w:val="-2"/>
          <w:sz w:val="12"/>
        </w:rPr>
        <w:t>or</w:t>
      </w:r>
      <w:r>
        <w:rPr>
          <w:spacing w:val="1"/>
          <w:sz w:val="12"/>
        </w:rPr>
        <w:t> </w:t>
      </w:r>
      <w:r>
        <w:rPr>
          <w:spacing w:val="-2"/>
          <w:sz w:val="12"/>
        </w:rPr>
        <w:t>payables</w:t>
      </w:r>
      <w:r>
        <w:rPr>
          <w:spacing w:val="2"/>
          <w:sz w:val="12"/>
        </w:rPr>
        <w:t> </w:t>
      </w:r>
      <w:r>
        <w:rPr>
          <w:spacing w:val="-2"/>
          <w:sz w:val="12"/>
        </w:rPr>
        <w:t>in</w:t>
      </w:r>
      <w:r>
        <w:rPr>
          <w:spacing w:val="-3"/>
          <w:sz w:val="12"/>
        </w:rPr>
        <w:t> </w:t>
      </w:r>
      <w:r>
        <w:rPr>
          <w:spacing w:val="-2"/>
          <w:sz w:val="12"/>
        </w:rPr>
        <w:t>the</w:t>
      </w:r>
      <w:r>
        <w:rPr>
          <w:sz w:val="12"/>
        </w:rPr>
        <w:t> </w:t>
      </w:r>
      <w:r>
        <w:rPr>
          <w:spacing w:val="-2"/>
          <w:sz w:val="12"/>
        </w:rPr>
        <w:t>Statement</w:t>
      </w:r>
      <w:r>
        <w:rPr>
          <w:spacing w:val="1"/>
          <w:sz w:val="12"/>
        </w:rPr>
        <w:t> </w:t>
      </w:r>
      <w:r>
        <w:rPr>
          <w:spacing w:val="-2"/>
          <w:sz w:val="12"/>
        </w:rPr>
        <w:t>of</w:t>
      </w:r>
      <w:r>
        <w:rPr>
          <w:sz w:val="12"/>
        </w:rPr>
        <w:t> </w:t>
      </w:r>
      <w:r>
        <w:rPr>
          <w:spacing w:val="-2"/>
          <w:sz w:val="12"/>
        </w:rPr>
        <w:t>Financial</w:t>
      </w:r>
      <w:r>
        <w:rPr>
          <w:spacing w:val="-1"/>
          <w:sz w:val="12"/>
        </w:rPr>
        <w:t> </w:t>
      </w:r>
      <w:r>
        <w:rPr>
          <w:spacing w:val="-2"/>
          <w:sz w:val="12"/>
        </w:rPr>
        <w:t>Position.</w:t>
      </w:r>
    </w:p>
    <w:p>
      <w:pPr>
        <w:spacing w:line="261" w:lineRule="auto" w:before="77"/>
        <w:ind w:left="1007" w:right="1486" w:firstLine="0"/>
        <w:jc w:val="left"/>
        <w:rPr>
          <w:sz w:val="12"/>
        </w:rPr>
      </w:pPr>
      <w:r>
        <w:rPr>
          <w:sz w:val="12"/>
        </w:rPr>
        <w:t>The</w:t>
      </w:r>
      <w:r>
        <w:rPr>
          <w:spacing w:val="-2"/>
          <w:sz w:val="12"/>
        </w:rPr>
        <w:t> </w:t>
      </w:r>
      <w:r>
        <w:rPr>
          <w:sz w:val="12"/>
        </w:rPr>
        <w:t>GST</w:t>
      </w:r>
      <w:r>
        <w:rPr>
          <w:spacing w:val="-1"/>
          <w:sz w:val="12"/>
        </w:rPr>
        <w:t> </w:t>
      </w:r>
      <w:r>
        <w:rPr>
          <w:sz w:val="12"/>
        </w:rPr>
        <w:t>component</w:t>
      </w:r>
      <w:r>
        <w:rPr>
          <w:spacing w:val="-1"/>
          <w:sz w:val="12"/>
        </w:rPr>
        <w:t> </w:t>
      </w:r>
      <w:r>
        <w:rPr>
          <w:sz w:val="12"/>
        </w:rPr>
        <w:t>of</w:t>
      </w:r>
      <w:r>
        <w:rPr>
          <w:spacing w:val="-3"/>
          <w:sz w:val="12"/>
        </w:rPr>
        <w:t> </w:t>
      </w:r>
      <w:r>
        <w:rPr>
          <w:sz w:val="12"/>
        </w:rPr>
        <w:t>cash</w:t>
      </w:r>
      <w:r>
        <w:rPr>
          <w:spacing w:val="-5"/>
          <w:sz w:val="12"/>
        </w:rPr>
        <w:t> </w:t>
      </w:r>
      <w:r>
        <w:rPr>
          <w:sz w:val="12"/>
        </w:rPr>
        <w:t>flows</w:t>
      </w:r>
      <w:r>
        <w:rPr>
          <w:spacing w:val="-3"/>
          <w:sz w:val="12"/>
        </w:rPr>
        <w:t> </w:t>
      </w:r>
      <w:r>
        <w:rPr>
          <w:sz w:val="12"/>
        </w:rPr>
        <w:t>arising</w:t>
      </w:r>
      <w:r>
        <w:rPr>
          <w:spacing w:val="-1"/>
          <w:sz w:val="12"/>
        </w:rPr>
        <w:t> </w:t>
      </w:r>
      <w:r>
        <w:rPr>
          <w:sz w:val="12"/>
        </w:rPr>
        <w:t>from</w:t>
      </w:r>
      <w:r>
        <w:rPr>
          <w:spacing w:val="-2"/>
          <w:sz w:val="12"/>
        </w:rPr>
        <w:t> </w:t>
      </w:r>
      <w:r>
        <w:rPr>
          <w:sz w:val="12"/>
        </w:rPr>
        <w:t>investing</w:t>
      </w:r>
      <w:r>
        <w:rPr>
          <w:spacing w:val="-1"/>
          <w:sz w:val="12"/>
        </w:rPr>
        <w:t> </w:t>
      </w:r>
      <w:r>
        <w:rPr>
          <w:sz w:val="12"/>
        </w:rPr>
        <w:t>and</w:t>
      </w:r>
      <w:r>
        <w:rPr>
          <w:spacing w:val="-5"/>
          <w:sz w:val="12"/>
        </w:rPr>
        <w:t> </w:t>
      </w:r>
      <w:r>
        <w:rPr>
          <w:sz w:val="12"/>
        </w:rPr>
        <w:t>financing</w:t>
      </w:r>
      <w:r>
        <w:rPr>
          <w:spacing w:val="-1"/>
          <w:sz w:val="12"/>
        </w:rPr>
        <w:t> </w:t>
      </w:r>
      <w:r>
        <w:rPr>
          <w:sz w:val="12"/>
        </w:rPr>
        <w:t>activities,</w:t>
      </w:r>
      <w:r>
        <w:rPr>
          <w:spacing w:val="-3"/>
          <w:sz w:val="12"/>
        </w:rPr>
        <w:t> </w:t>
      </w:r>
      <w:r>
        <w:rPr>
          <w:sz w:val="12"/>
        </w:rPr>
        <w:t>which</w:t>
      </w:r>
      <w:r>
        <w:rPr>
          <w:spacing w:val="-5"/>
          <w:sz w:val="12"/>
        </w:rPr>
        <w:t> </w:t>
      </w:r>
      <w:r>
        <w:rPr>
          <w:sz w:val="12"/>
        </w:rPr>
        <w:t>are</w:t>
      </w:r>
      <w:r>
        <w:rPr>
          <w:spacing w:val="-5"/>
          <w:sz w:val="12"/>
        </w:rPr>
        <w:t> </w:t>
      </w:r>
      <w:r>
        <w:rPr>
          <w:sz w:val="12"/>
        </w:rPr>
        <w:t>recoverable</w:t>
      </w:r>
      <w:r>
        <w:rPr>
          <w:spacing w:val="-2"/>
          <w:sz w:val="12"/>
        </w:rPr>
        <w:t> </w:t>
      </w:r>
      <w:r>
        <w:rPr>
          <w:sz w:val="12"/>
        </w:rPr>
        <w:t>from</w:t>
      </w:r>
      <w:r>
        <w:rPr>
          <w:spacing w:val="-2"/>
          <w:sz w:val="12"/>
        </w:rPr>
        <w:t> </w:t>
      </w:r>
      <w:r>
        <w:rPr>
          <w:sz w:val="12"/>
        </w:rPr>
        <w:t>or</w:t>
      </w:r>
      <w:r>
        <w:rPr>
          <w:spacing w:val="-1"/>
          <w:sz w:val="12"/>
        </w:rPr>
        <w:t> </w:t>
      </w:r>
      <w:r>
        <w:rPr>
          <w:sz w:val="12"/>
        </w:rPr>
        <w:t>payable</w:t>
      </w:r>
      <w:r>
        <w:rPr>
          <w:spacing w:val="-5"/>
          <w:sz w:val="12"/>
        </w:rPr>
        <w:t> </w:t>
      </w:r>
      <w:r>
        <w:rPr>
          <w:sz w:val="12"/>
        </w:rPr>
        <w:t>to</w:t>
      </w:r>
      <w:r>
        <w:rPr>
          <w:spacing w:val="-2"/>
          <w:sz w:val="12"/>
        </w:rPr>
        <w:t> </w:t>
      </w:r>
      <w:r>
        <w:rPr>
          <w:sz w:val="12"/>
        </w:rPr>
        <w:t>the</w:t>
      </w:r>
      <w:r>
        <w:rPr>
          <w:spacing w:val="-5"/>
          <w:sz w:val="12"/>
        </w:rPr>
        <w:t> </w:t>
      </w:r>
      <w:r>
        <w:rPr>
          <w:sz w:val="12"/>
        </w:rPr>
        <w:t>taxation</w:t>
      </w:r>
      <w:r>
        <w:rPr>
          <w:spacing w:val="-5"/>
          <w:sz w:val="12"/>
        </w:rPr>
        <w:t> </w:t>
      </w:r>
      <w:r>
        <w:rPr>
          <w:sz w:val="12"/>
        </w:rPr>
        <w:t>authority,</w:t>
      </w:r>
      <w:r>
        <w:rPr>
          <w:spacing w:val="-3"/>
          <w:sz w:val="12"/>
        </w:rPr>
        <w:t> </w:t>
      </w:r>
      <w:r>
        <w:rPr>
          <w:sz w:val="12"/>
        </w:rPr>
        <w:t>is</w:t>
      </w:r>
      <w:r>
        <w:rPr>
          <w:spacing w:val="-1"/>
          <w:sz w:val="12"/>
        </w:rPr>
        <w:t> </w:t>
      </w:r>
      <w:r>
        <w:rPr>
          <w:sz w:val="12"/>
        </w:rPr>
        <w:t>classified</w:t>
      </w:r>
      <w:r>
        <w:rPr>
          <w:spacing w:val="-5"/>
          <w:sz w:val="12"/>
        </w:rPr>
        <w:t> </w:t>
      </w:r>
      <w:r>
        <w:rPr>
          <w:sz w:val="12"/>
        </w:rPr>
        <w:t>as</w:t>
      </w:r>
      <w:r>
        <w:rPr>
          <w:spacing w:val="40"/>
          <w:sz w:val="12"/>
        </w:rPr>
        <w:t> </w:t>
      </w:r>
      <w:r>
        <w:rPr>
          <w:sz w:val="12"/>
        </w:rPr>
        <w:t>an operating cash flow.</w:t>
      </w:r>
    </w:p>
    <w:p>
      <w:pPr>
        <w:spacing w:before="74"/>
        <w:ind w:left="1007" w:right="0" w:firstLine="0"/>
        <w:jc w:val="left"/>
        <w:rPr>
          <w:b/>
          <w:sz w:val="12"/>
        </w:rPr>
      </w:pPr>
      <w:r>
        <w:rPr>
          <w:b/>
          <w:spacing w:val="-2"/>
          <w:sz w:val="12"/>
        </w:rPr>
        <w:t>Fringe</w:t>
      </w:r>
      <w:r>
        <w:rPr>
          <w:b/>
          <w:spacing w:val="4"/>
          <w:sz w:val="12"/>
        </w:rPr>
        <w:t> </w:t>
      </w:r>
      <w:r>
        <w:rPr>
          <w:b/>
          <w:spacing w:val="-2"/>
          <w:sz w:val="12"/>
        </w:rPr>
        <w:t>benefits</w:t>
      </w:r>
      <w:r>
        <w:rPr>
          <w:b/>
          <w:spacing w:val="4"/>
          <w:sz w:val="12"/>
        </w:rPr>
        <w:t> </w:t>
      </w:r>
      <w:r>
        <w:rPr>
          <w:b/>
          <w:spacing w:val="-5"/>
          <w:sz w:val="12"/>
        </w:rPr>
        <w:t>tax</w:t>
      </w:r>
    </w:p>
    <w:p>
      <w:pPr>
        <w:spacing w:before="15"/>
        <w:ind w:left="1007" w:right="0" w:firstLine="0"/>
        <w:jc w:val="left"/>
        <w:rPr>
          <w:sz w:val="12"/>
        </w:rPr>
      </w:pPr>
      <w:r>
        <w:rPr>
          <w:spacing w:val="-2"/>
          <w:sz w:val="12"/>
        </w:rPr>
        <w:t>The</w:t>
      </w:r>
      <w:r>
        <w:rPr>
          <w:sz w:val="12"/>
        </w:rPr>
        <w:t> </w:t>
      </w:r>
      <w:r>
        <w:rPr>
          <w:spacing w:val="-2"/>
          <w:sz w:val="12"/>
        </w:rPr>
        <w:t>University</w:t>
      </w:r>
      <w:r>
        <w:rPr>
          <w:spacing w:val="-4"/>
          <w:sz w:val="12"/>
        </w:rPr>
        <w:t> </w:t>
      </w:r>
      <w:r>
        <w:rPr>
          <w:spacing w:val="-2"/>
          <w:sz w:val="12"/>
        </w:rPr>
        <w:t>is</w:t>
      </w:r>
      <w:r>
        <w:rPr>
          <w:spacing w:val="3"/>
          <w:sz w:val="12"/>
        </w:rPr>
        <w:t> </w:t>
      </w:r>
      <w:r>
        <w:rPr>
          <w:spacing w:val="-2"/>
          <w:sz w:val="12"/>
        </w:rPr>
        <w:t>liable</w:t>
      </w:r>
      <w:r>
        <w:rPr>
          <w:sz w:val="12"/>
        </w:rPr>
        <w:t> </w:t>
      </w:r>
      <w:r>
        <w:rPr>
          <w:spacing w:val="-2"/>
          <w:sz w:val="12"/>
        </w:rPr>
        <w:t>to</w:t>
      </w:r>
      <w:r>
        <w:rPr>
          <w:sz w:val="12"/>
        </w:rPr>
        <w:t> </w:t>
      </w:r>
      <w:r>
        <w:rPr>
          <w:spacing w:val="-2"/>
          <w:sz w:val="12"/>
        </w:rPr>
        <w:t>pay</w:t>
      </w:r>
      <w:r>
        <w:rPr>
          <w:spacing w:val="-3"/>
          <w:sz w:val="12"/>
        </w:rPr>
        <w:t> </w:t>
      </w:r>
      <w:r>
        <w:rPr>
          <w:spacing w:val="-2"/>
          <w:sz w:val="12"/>
        </w:rPr>
        <w:t>Fringe</w:t>
      </w:r>
      <w:r>
        <w:rPr>
          <w:sz w:val="12"/>
        </w:rPr>
        <w:t> </w:t>
      </w:r>
      <w:r>
        <w:rPr>
          <w:spacing w:val="-2"/>
          <w:sz w:val="12"/>
        </w:rPr>
        <w:t>Benefits</w:t>
      </w:r>
      <w:r>
        <w:rPr>
          <w:spacing w:val="2"/>
          <w:sz w:val="12"/>
        </w:rPr>
        <w:t> </w:t>
      </w:r>
      <w:r>
        <w:rPr>
          <w:spacing w:val="-2"/>
          <w:sz w:val="12"/>
        </w:rPr>
        <w:t>Tax,</w:t>
      </w:r>
      <w:r>
        <w:rPr>
          <w:spacing w:val="1"/>
          <w:sz w:val="12"/>
        </w:rPr>
        <w:t> </w:t>
      </w:r>
      <w:r>
        <w:rPr>
          <w:spacing w:val="-2"/>
          <w:sz w:val="12"/>
        </w:rPr>
        <w:t>and</w:t>
      </w:r>
      <w:r>
        <w:rPr>
          <w:sz w:val="12"/>
        </w:rPr>
        <w:t> </w:t>
      </w:r>
      <w:r>
        <w:rPr>
          <w:spacing w:val="-2"/>
          <w:sz w:val="12"/>
        </w:rPr>
        <w:t>it</w:t>
      </w:r>
      <w:r>
        <w:rPr>
          <w:spacing w:val="1"/>
          <w:sz w:val="12"/>
        </w:rPr>
        <w:t> </w:t>
      </w:r>
      <w:r>
        <w:rPr>
          <w:spacing w:val="-2"/>
          <w:sz w:val="12"/>
        </w:rPr>
        <w:t>is</w:t>
      </w:r>
      <w:r>
        <w:rPr>
          <w:spacing w:val="2"/>
          <w:sz w:val="12"/>
        </w:rPr>
        <w:t> </w:t>
      </w:r>
      <w:r>
        <w:rPr>
          <w:spacing w:val="-2"/>
          <w:sz w:val="12"/>
        </w:rPr>
        <w:t>included</w:t>
      </w:r>
      <w:r>
        <w:rPr>
          <w:sz w:val="12"/>
        </w:rPr>
        <w:t> </w:t>
      </w:r>
      <w:r>
        <w:rPr>
          <w:spacing w:val="-2"/>
          <w:sz w:val="12"/>
        </w:rPr>
        <w:t>in ‘Employee</w:t>
      </w:r>
      <w:r>
        <w:rPr>
          <w:sz w:val="12"/>
        </w:rPr>
        <w:t> </w:t>
      </w:r>
      <w:r>
        <w:rPr>
          <w:spacing w:val="-2"/>
          <w:sz w:val="12"/>
        </w:rPr>
        <w:t>related</w:t>
      </w:r>
      <w:r>
        <w:rPr>
          <w:sz w:val="12"/>
        </w:rPr>
        <w:t> </w:t>
      </w:r>
      <w:r>
        <w:rPr>
          <w:spacing w:val="-2"/>
          <w:sz w:val="12"/>
        </w:rPr>
        <w:t>expense’</w:t>
      </w:r>
      <w:r>
        <w:rPr>
          <w:spacing w:val="1"/>
          <w:sz w:val="12"/>
        </w:rPr>
        <w:t> </w:t>
      </w:r>
      <w:r>
        <w:rPr>
          <w:spacing w:val="-2"/>
          <w:sz w:val="12"/>
        </w:rPr>
        <w:t>in the</w:t>
      </w:r>
      <w:r>
        <w:rPr>
          <w:sz w:val="12"/>
        </w:rPr>
        <w:t> </w:t>
      </w:r>
      <w:r>
        <w:rPr>
          <w:spacing w:val="-2"/>
          <w:sz w:val="12"/>
        </w:rPr>
        <w:t>Income</w:t>
      </w:r>
      <w:r>
        <w:rPr>
          <w:sz w:val="12"/>
        </w:rPr>
        <w:t> </w:t>
      </w:r>
      <w:r>
        <w:rPr>
          <w:spacing w:val="-2"/>
          <w:sz w:val="12"/>
        </w:rPr>
        <w:t>Statement.</w:t>
      </w:r>
    </w:p>
    <w:p>
      <w:pPr>
        <w:spacing w:before="100"/>
        <w:ind w:left="1007" w:right="0" w:firstLine="0"/>
        <w:jc w:val="left"/>
        <w:rPr>
          <w:b/>
          <w:sz w:val="12"/>
        </w:rPr>
      </w:pPr>
      <w:r>
        <w:rPr>
          <w:b/>
          <w:spacing w:val="-2"/>
          <w:sz w:val="12"/>
        </w:rPr>
        <w:t>Payroll</w:t>
      </w:r>
      <w:r>
        <w:rPr>
          <w:b/>
          <w:spacing w:val="2"/>
          <w:sz w:val="12"/>
        </w:rPr>
        <w:t> </w:t>
      </w:r>
      <w:r>
        <w:rPr>
          <w:b/>
          <w:spacing w:val="-5"/>
          <w:sz w:val="12"/>
        </w:rPr>
        <w:t>tax</w:t>
      </w:r>
    </w:p>
    <w:p>
      <w:pPr>
        <w:spacing w:before="15"/>
        <w:ind w:left="1007" w:right="0" w:firstLine="0"/>
        <w:jc w:val="left"/>
        <w:rPr>
          <w:sz w:val="12"/>
        </w:rPr>
      </w:pPr>
      <w:r>
        <w:rPr>
          <w:spacing w:val="-2"/>
          <w:sz w:val="12"/>
        </w:rPr>
        <w:t>The</w:t>
      </w:r>
      <w:r>
        <w:rPr>
          <w:sz w:val="12"/>
        </w:rPr>
        <w:t> </w:t>
      </w:r>
      <w:r>
        <w:rPr>
          <w:spacing w:val="-2"/>
          <w:sz w:val="12"/>
        </w:rPr>
        <w:t>University</w:t>
      </w:r>
      <w:r>
        <w:rPr>
          <w:spacing w:val="-4"/>
          <w:sz w:val="12"/>
        </w:rPr>
        <w:t> </w:t>
      </w:r>
      <w:r>
        <w:rPr>
          <w:spacing w:val="-2"/>
          <w:sz w:val="12"/>
        </w:rPr>
        <w:t>is</w:t>
      </w:r>
      <w:r>
        <w:rPr>
          <w:spacing w:val="2"/>
          <w:sz w:val="12"/>
        </w:rPr>
        <w:t> </w:t>
      </w:r>
      <w:r>
        <w:rPr>
          <w:spacing w:val="-2"/>
          <w:sz w:val="12"/>
        </w:rPr>
        <w:t>liable</w:t>
      </w:r>
      <w:r>
        <w:rPr>
          <w:sz w:val="12"/>
        </w:rPr>
        <w:t> </w:t>
      </w:r>
      <w:r>
        <w:rPr>
          <w:spacing w:val="-2"/>
          <w:sz w:val="12"/>
        </w:rPr>
        <w:t>to</w:t>
      </w:r>
      <w:r>
        <w:rPr>
          <w:spacing w:val="1"/>
          <w:sz w:val="12"/>
        </w:rPr>
        <w:t> </w:t>
      </w:r>
      <w:r>
        <w:rPr>
          <w:spacing w:val="-2"/>
          <w:sz w:val="12"/>
        </w:rPr>
        <w:t>pay</w:t>
      </w:r>
      <w:r>
        <w:rPr>
          <w:spacing w:val="-4"/>
          <w:sz w:val="12"/>
        </w:rPr>
        <w:t> </w:t>
      </w:r>
      <w:r>
        <w:rPr>
          <w:spacing w:val="-2"/>
          <w:sz w:val="12"/>
        </w:rPr>
        <w:t>Payroll</w:t>
      </w:r>
      <w:r>
        <w:rPr>
          <w:spacing w:val="-1"/>
          <w:sz w:val="12"/>
        </w:rPr>
        <w:t> </w:t>
      </w:r>
      <w:r>
        <w:rPr>
          <w:spacing w:val="-2"/>
          <w:sz w:val="12"/>
        </w:rPr>
        <w:t>Tax,</w:t>
      </w:r>
      <w:r>
        <w:rPr>
          <w:spacing w:val="1"/>
          <w:sz w:val="12"/>
        </w:rPr>
        <w:t> </w:t>
      </w:r>
      <w:r>
        <w:rPr>
          <w:spacing w:val="-2"/>
          <w:sz w:val="12"/>
        </w:rPr>
        <w:t>and</w:t>
      </w:r>
      <w:r>
        <w:rPr>
          <w:sz w:val="12"/>
        </w:rPr>
        <w:t> </w:t>
      </w:r>
      <w:r>
        <w:rPr>
          <w:spacing w:val="-2"/>
          <w:sz w:val="12"/>
        </w:rPr>
        <w:t>it</w:t>
      </w:r>
      <w:r>
        <w:rPr>
          <w:spacing w:val="1"/>
          <w:sz w:val="12"/>
        </w:rPr>
        <w:t> </w:t>
      </w:r>
      <w:r>
        <w:rPr>
          <w:spacing w:val="-2"/>
          <w:sz w:val="12"/>
        </w:rPr>
        <w:t>is</w:t>
      </w:r>
      <w:r>
        <w:rPr>
          <w:spacing w:val="3"/>
          <w:sz w:val="12"/>
        </w:rPr>
        <w:t> </w:t>
      </w:r>
      <w:r>
        <w:rPr>
          <w:spacing w:val="-2"/>
          <w:sz w:val="12"/>
        </w:rPr>
        <w:t>included</w:t>
      </w:r>
      <w:r>
        <w:rPr>
          <w:sz w:val="12"/>
        </w:rPr>
        <w:t> </w:t>
      </w:r>
      <w:r>
        <w:rPr>
          <w:spacing w:val="-2"/>
          <w:sz w:val="12"/>
        </w:rPr>
        <w:t>in</w:t>
      </w:r>
      <w:r>
        <w:rPr>
          <w:spacing w:val="-3"/>
          <w:sz w:val="12"/>
        </w:rPr>
        <w:t> </w:t>
      </w:r>
      <w:r>
        <w:rPr>
          <w:spacing w:val="-2"/>
          <w:sz w:val="12"/>
        </w:rPr>
        <w:t>‘Employee</w:t>
      </w:r>
      <w:r>
        <w:rPr>
          <w:sz w:val="12"/>
        </w:rPr>
        <w:t> </w:t>
      </w:r>
      <w:r>
        <w:rPr>
          <w:spacing w:val="-2"/>
          <w:sz w:val="12"/>
        </w:rPr>
        <w:t>related</w:t>
      </w:r>
      <w:r>
        <w:rPr>
          <w:sz w:val="12"/>
        </w:rPr>
        <w:t> </w:t>
      </w:r>
      <w:r>
        <w:rPr>
          <w:spacing w:val="-2"/>
          <w:sz w:val="12"/>
        </w:rPr>
        <w:t>expenses’</w:t>
      </w:r>
      <w:r>
        <w:rPr>
          <w:spacing w:val="2"/>
          <w:sz w:val="12"/>
        </w:rPr>
        <w:t> </w:t>
      </w:r>
      <w:r>
        <w:rPr>
          <w:spacing w:val="-2"/>
          <w:sz w:val="12"/>
        </w:rPr>
        <w:t>in</w:t>
      </w:r>
      <w:r>
        <w:rPr>
          <w:spacing w:val="-3"/>
          <w:sz w:val="12"/>
        </w:rPr>
        <w:t> </w:t>
      </w:r>
      <w:r>
        <w:rPr>
          <w:spacing w:val="-2"/>
          <w:sz w:val="12"/>
        </w:rPr>
        <w:t>the</w:t>
      </w:r>
      <w:r>
        <w:rPr>
          <w:sz w:val="12"/>
        </w:rPr>
        <w:t> </w:t>
      </w:r>
      <w:r>
        <w:rPr>
          <w:spacing w:val="-2"/>
          <w:sz w:val="12"/>
        </w:rPr>
        <w:t>Income</w:t>
      </w:r>
      <w:r>
        <w:rPr>
          <w:sz w:val="12"/>
        </w:rPr>
        <w:t> </w:t>
      </w:r>
      <w:r>
        <w:rPr>
          <w:spacing w:val="-2"/>
          <w:sz w:val="12"/>
        </w:rPr>
        <w:t>Statement.</w:t>
      </w:r>
    </w:p>
    <w:p>
      <w:pPr>
        <w:spacing w:line="240" w:lineRule="auto" w:before="24"/>
        <w:rPr>
          <w:sz w:val="12"/>
        </w:rPr>
      </w:pPr>
    </w:p>
    <w:p>
      <w:pPr>
        <w:pStyle w:val="ListParagraph"/>
        <w:numPr>
          <w:ilvl w:val="0"/>
          <w:numId w:val="15"/>
        </w:numPr>
        <w:tabs>
          <w:tab w:pos="1007" w:val="left" w:leader="none"/>
        </w:tabs>
        <w:spacing w:line="240" w:lineRule="auto" w:before="0" w:after="0"/>
        <w:ind w:left="1007" w:right="0" w:hanging="530"/>
        <w:jc w:val="both"/>
        <w:rPr>
          <w:b/>
          <w:sz w:val="12"/>
        </w:rPr>
      </w:pPr>
      <w:r>
        <w:rPr>
          <w:b/>
          <w:spacing w:val="-2"/>
          <w:sz w:val="12"/>
        </w:rPr>
        <w:t>Foreign</w:t>
      </w:r>
      <w:r>
        <w:rPr>
          <w:b/>
          <w:spacing w:val="2"/>
          <w:sz w:val="12"/>
        </w:rPr>
        <w:t> </w:t>
      </w:r>
      <w:r>
        <w:rPr>
          <w:b/>
          <w:spacing w:val="-2"/>
          <w:sz w:val="12"/>
        </w:rPr>
        <w:t>currency</w:t>
      </w:r>
      <w:r>
        <w:rPr>
          <w:b/>
          <w:spacing w:val="3"/>
          <w:sz w:val="12"/>
        </w:rPr>
        <w:t> </w:t>
      </w:r>
      <w:r>
        <w:rPr>
          <w:b/>
          <w:spacing w:val="-2"/>
          <w:sz w:val="12"/>
        </w:rPr>
        <w:t>transactions</w:t>
      </w:r>
    </w:p>
    <w:p>
      <w:pPr>
        <w:spacing w:line="261" w:lineRule="auto" w:before="11"/>
        <w:ind w:left="1007" w:right="1515" w:firstLine="0"/>
        <w:jc w:val="both"/>
        <w:rPr>
          <w:sz w:val="12"/>
        </w:rPr>
      </w:pPr>
      <w:r>
        <w:rPr>
          <w:sz w:val="12"/>
        </w:rPr>
        <w:t>Foreign</w:t>
      </w:r>
      <w:r>
        <w:rPr>
          <w:spacing w:val="-6"/>
          <w:sz w:val="12"/>
        </w:rPr>
        <w:t> </w:t>
      </w:r>
      <w:r>
        <w:rPr>
          <w:sz w:val="12"/>
        </w:rPr>
        <w:t>currency</w:t>
      </w:r>
      <w:r>
        <w:rPr>
          <w:spacing w:val="-6"/>
          <w:sz w:val="12"/>
        </w:rPr>
        <w:t> </w:t>
      </w:r>
      <w:r>
        <w:rPr>
          <w:sz w:val="12"/>
        </w:rPr>
        <w:t>transactions</w:t>
      </w:r>
      <w:r>
        <w:rPr>
          <w:spacing w:val="-3"/>
          <w:sz w:val="12"/>
        </w:rPr>
        <w:t> </w:t>
      </w:r>
      <w:r>
        <w:rPr>
          <w:sz w:val="12"/>
        </w:rPr>
        <w:t>are</w:t>
      </w:r>
      <w:r>
        <w:rPr>
          <w:spacing w:val="-5"/>
          <w:sz w:val="12"/>
        </w:rPr>
        <w:t> </w:t>
      </w:r>
      <w:r>
        <w:rPr>
          <w:sz w:val="12"/>
        </w:rPr>
        <w:t>initially</w:t>
      </w:r>
      <w:r>
        <w:rPr>
          <w:spacing w:val="-6"/>
          <w:sz w:val="12"/>
        </w:rPr>
        <w:t> </w:t>
      </w:r>
      <w:r>
        <w:rPr>
          <w:sz w:val="12"/>
        </w:rPr>
        <w:t>translated</w:t>
      </w:r>
      <w:r>
        <w:rPr>
          <w:spacing w:val="-5"/>
          <w:sz w:val="12"/>
        </w:rPr>
        <w:t> </w:t>
      </w:r>
      <w:r>
        <w:rPr>
          <w:sz w:val="12"/>
        </w:rPr>
        <w:t>into</w:t>
      </w:r>
      <w:r>
        <w:rPr>
          <w:spacing w:val="-5"/>
          <w:sz w:val="12"/>
        </w:rPr>
        <w:t> </w:t>
      </w:r>
      <w:r>
        <w:rPr>
          <w:sz w:val="12"/>
        </w:rPr>
        <w:t>Australian</w:t>
      </w:r>
      <w:r>
        <w:rPr>
          <w:spacing w:val="-6"/>
          <w:sz w:val="12"/>
        </w:rPr>
        <w:t> </w:t>
      </w:r>
      <w:r>
        <w:rPr>
          <w:sz w:val="12"/>
        </w:rPr>
        <w:t>currency</w:t>
      </w:r>
      <w:r>
        <w:rPr>
          <w:spacing w:val="-6"/>
          <w:sz w:val="12"/>
        </w:rPr>
        <w:t> </w:t>
      </w:r>
      <w:r>
        <w:rPr>
          <w:sz w:val="12"/>
        </w:rPr>
        <w:t>at</w:t>
      </w:r>
      <w:r>
        <w:rPr>
          <w:spacing w:val="-3"/>
          <w:sz w:val="12"/>
        </w:rPr>
        <w:t> </w:t>
      </w:r>
      <w:r>
        <w:rPr>
          <w:sz w:val="12"/>
        </w:rPr>
        <w:t>the</w:t>
      </w:r>
      <w:r>
        <w:rPr>
          <w:spacing w:val="-5"/>
          <w:sz w:val="12"/>
        </w:rPr>
        <w:t> </w:t>
      </w:r>
      <w:r>
        <w:rPr>
          <w:sz w:val="12"/>
        </w:rPr>
        <w:t>rate</w:t>
      </w:r>
      <w:r>
        <w:rPr>
          <w:spacing w:val="-5"/>
          <w:sz w:val="12"/>
        </w:rPr>
        <w:t> </w:t>
      </w:r>
      <w:r>
        <w:rPr>
          <w:sz w:val="12"/>
        </w:rPr>
        <w:t>of</w:t>
      </w:r>
      <w:r>
        <w:rPr>
          <w:spacing w:val="-3"/>
          <w:sz w:val="12"/>
        </w:rPr>
        <w:t> </w:t>
      </w:r>
      <w:r>
        <w:rPr>
          <w:sz w:val="12"/>
        </w:rPr>
        <w:t>exchange</w:t>
      </w:r>
      <w:r>
        <w:rPr>
          <w:spacing w:val="-5"/>
          <w:sz w:val="12"/>
        </w:rPr>
        <w:t> </w:t>
      </w:r>
      <w:r>
        <w:rPr>
          <w:sz w:val="12"/>
        </w:rPr>
        <w:t>at</w:t>
      </w:r>
      <w:r>
        <w:rPr>
          <w:spacing w:val="-3"/>
          <w:sz w:val="12"/>
        </w:rPr>
        <w:t> </w:t>
      </w:r>
      <w:r>
        <w:rPr>
          <w:sz w:val="12"/>
        </w:rPr>
        <w:t>the</w:t>
      </w:r>
      <w:r>
        <w:rPr>
          <w:spacing w:val="-5"/>
          <w:sz w:val="12"/>
        </w:rPr>
        <w:t> </w:t>
      </w:r>
      <w:r>
        <w:rPr>
          <w:sz w:val="12"/>
        </w:rPr>
        <w:t>date</w:t>
      </w:r>
      <w:r>
        <w:rPr>
          <w:spacing w:val="-5"/>
          <w:sz w:val="12"/>
        </w:rPr>
        <w:t> </w:t>
      </w:r>
      <w:r>
        <w:rPr>
          <w:sz w:val="12"/>
        </w:rPr>
        <w:t>of</w:t>
      </w:r>
      <w:r>
        <w:rPr>
          <w:spacing w:val="-3"/>
          <w:sz w:val="12"/>
        </w:rPr>
        <w:t> </w:t>
      </w:r>
      <w:r>
        <w:rPr>
          <w:sz w:val="12"/>
        </w:rPr>
        <w:t>the</w:t>
      </w:r>
      <w:r>
        <w:rPr>
          <w:spacing w:val="-5"/>
          <w:sz w:val="12"/>
        </w:rPr>
        <w:t> </w:t>
      </w:r>
      <w:r>
        <w:rPr>
          <w:sz w:val="12"/>
        </w:rPr>
        <w:t>transaction.</w:t>
      </w:r>
      <w:r>
        <w:rPr>
          <w:spacing w:val="-3"/>
          <w:sz w:val="12"/>
        </w:rPr>
        <w:t> </w:t>
      </w:r>
      <w:r>
        <w:rPr>
          <w:sz w:val="12"/>
        </w:rPr>
        <w:t>At</w:t>
      </w:r>
      <w:r>
        <w:rPr>
          <w:spacing w:val="-3"/>
          <w:sz w:val="12"/>
        </w:rPr>
        <w:t> </w:t>
      </w:r>
      <w:r>
        <w:rPr>
          <w:sz w:val="12"/>
        </w:rPr>
        <w:t>the</w:t>
      </w:r>
      <w:r>
        <w:rPr>
          <w:spacing w:val="-5"/>
          <w:sz w:val="12"/>
        </w:rPr>
        <w:t> </w:t>
      </w:r>
      <w:r>
        <w:rPr>
          <w:sz w:val="12"/>
        </w:rPr>
        <w:t>reporting</w:t>
      </w:r>
      <w:r>
        <w:rPr>
          <w:spacing w:val="-2"/>
          <w:sz w:val="12"/>
        </w:rPr>
        <w:t> </w:t>
      </w:r>
      <w:r>
        <w:rPr>
          <w:sz w:val="12"/>
        </w:rPr>
        <w:t>date,</w:t>
      </w:r>
      <w:r>
        <w:rPr>
          <w:spacing w:val="-5"/>
          <w:sz w:val="12"/>
        </w:rPr>
        <w:t> </w:t>
      </w:r>
      <w:r>
        <w:rPr>
          <w:sz w:val="12"/>
        </w:rPr>
        <w:t>amounts</w:t>
      </w:r>
      <w:r>
        <w:rPr>
          <w:spacing w:val="40"/>
          <w:sz w:val="12"/>
        </w:rPr>
        <w:t> </w:t>
      </w:r>
      <w:r>
        <w:rPr>
          <w:sz w:val="12"/>
        </w:rPr>
        <w:t>payable</w:t>
      </w:r>
      <w:r>
        <w:rPr>
          <w:spacing w:val="-7"/>
          <w:sz w:val="12"/>
        </w:rPr>
        <w:t> </w:t>
      </w:r>
      <w:r>
        <w:rPr>
          <w:sz w:val="12"/>
        </w:rPr>
        <w:t>and</w:t>
      </w:r>
      <w:r>
        <w:rPr>
          <w:spacing w:val="-7"/>
          <w:sz w:val="12"/>
        </w:rPr>
        <w:t> </w:t>
      </w:r>
      <w:r>
        <w:rPr>
          <w:sz w:val="12"/>
        </w:rPr>
        <w:t>receivable</w:t>
      </w:r>
      <w:r>
        <w:rPr>
          <w:spacing w:val="-7"/>
          <w:sz w:val="12"/>
        </w:rPr>
        <w:t> </w:t>
      </w:r>
      <w:r>
        <w:rPr>
          <w:sz w:val="12"/>
        </w:rPr>
        <w:t>in</w:t>
      </w:r>
      <w:r>
        <w:rPr>
          <w:spacing w:val="-8"/>
          <w:sz w:val="12"/>
        </w:rPr>
        <w:t> </w:t>
      </w:r>
      <w:r>
        <w:rPr>
          <w:sz w:val="12"/>
        </w:rPr>
        <w:t>foreign</w:t>
      </w:r>
      <w:r>
        <w:rPr>
          <w:spacing w:val="-8"/>
          <w:sz w:val="12"/>
        </w:rPr>
        <w:t> </w:t>
      </w:r>
      <w:r>
        <w:rPr>
          <w:sz w:val="12"/>
        </w:rPr>
        <w:t>currencies</w:t>
      </w:r>
      <w:r>
        <w:rPr>
          <w:spacing w:val="-5"/>
          <w:sz w:val="12"/>
        </w:rPr>
        <w:t> </w:t>
      </w:r>
      <w:r>
        <w:rPr>
          <w:sz w:val="12"/>
        </w:rPr>
        <w:t>are</w:t>
      </w:r>
      <w:r>
        <w:rPr>
          <w:spacing w:val="-7"/>
          <w:sz w:val="12"/>
        </w:rPr>
        <w:t> </w:t>
      </w:r>
      <w:r>
        <w:rPr>
          <w:sz w:val="12"/>
        </w:rPr>
        <w:t>translated</w:t>
      </w:r>
      <w:r>
        <w:rPr>
          <w:spacing w:val="-7"/>
          <w:sz w:val="12"/>
        </w:rPr>
        <w:t> </w:t>
      </w:r>
      <w:r>
        <w:rPr>
          <w:sz w:val="12"/>
        </w:rPr>
        <w:t>to</w:t>
      </w:r>
      <w:r>
        <w:rPr>
          <w:spacing w:val="-7"/>
          <w:sz w:val="12"/>
        </w:rPr>
        <w:t> </w:t>
      </w:r>
      <w:r>
        <w:rPr>
          <w:sz w:val="12"/>
        </w:rPr>
        <w:t>Australian</w:t>
      </w:r>
      <w:r>
        <w:rPr>
          <w:spacing w:val="-8"/>
          <w:sz w:val="12"/>
        </w:rPr>
        <w:t> </w:t>
      </w:r>
      <w:r>
        <w:rPr>
          <w:sz w:val="12"/>
        </w:rPr>
        <w:t>currency</w:t>
      </w:r>
      <w:r>
        <w:rPr>
          <w:spacing w:val="-8"/>
          <w:sz w:val="12"/>
        </w:rPr>
        <w:t> </w:t>
      </w:r>
      <w:r>
        <w:rPr>
          <w:sz w:val="12"/>
        </w:rPr>
        <w:t>at</w:t>
      </w:r>
      <w:r>
        <w:rPr>
          <w:spacing w:val="-5"/>
          <w:sz w:val="12"/>
        </w:rPr>
        <w:t> </w:t>
      </w:r>
      <w:r>
        <w:rPr>
          <w:sz w:val="12"/>
        </w:rPr>
        <w:t>rates</w:t>
      </w:r>
      <w:r>
        <w:rPr>
          <w:spacing w:val="-5"/>
          <w:sz w:val="12"/>
        </w:rPr>
        <w:t> </w:t>
      </w:r>
      <w:r>
        <w:rPr>
          <w:sz w:val="12"/>
        </w:rPr>
        <w:t>of</w:t>
      </w:r>
      <w:r>
        <w:rPr>
          <w:spacing w:val="-5"/>
          <w:sz w:val="12"/>
        </w:rPr>
        <w:t> </w:t>
      </w:r>
      <w:r>
        <w:rPr>
          <w:sz w:val="12"/>
        </w:rPr>
        <w:t>exchange</w:t>
      </w:r>
      <w:r>
        <w:rPr>
          <w:spacing w:val="-7"/>
          <w:sz w:val="12"/>
        </w:rPr>
        <w:t> </w:t>
      </w:r>
      <w:r>
        <w:rPr>
          <w:sz w:val="12"/>
        </w:rPr>
        <w:t>at</w:t>
      </w:r>
      <w:r>
        <w:rPr>
          <w:spacing w:val="-5"/>
          <w:sz w:val="12"/>
        </w:rPr>
        <w:t> </w:t>
      </w:r>
      <w:r>
        <w:rPr>
          <w:sz w:val="12"/>
        </w:rPr>
        <w:t>that</w:t>
      </w:r>
      <w:r>
        <w:rPr>
          <w:spacing w:val="-5"/>
          <w:sz w:val="12"/>
        </w:rPr>
        <w:t> </w:t>
      </w:r>
      <w:r>
        <w:rPr>
          <w:sz w:val="12"/>
        </w:rPr>
        <w:t>date.</w:t>
      </w:r>
      <w:r>
        <w:rPr>
          <w:spacing w:val="-7"/>
          <w:sz w:val="12"/>
        </w:rPr>
        <w:t> </w:t>
      </w:r>
      <w:r>
        <w:rPr>
          <w:sz w:val="12"/>
        </w:rPr>
        <w:t>Non-monetary</w:t>
      </w:r>
      <w:r>
        <w:rPr>
          <w:spacing w:val="-8"/>
          <w:sz w:val="12"/>
        </w:rPr>
        <w:t> </w:t>
      </w:r>
      <w:r>
        <w:rPr>
          <w:sz w:val="12"/>
        </w:rPr>
        <w:t>items</w:t>
      </w:r>
      <w:r>
        <w:rPr>
          <w:spacing w:val="-7"/>
          <w:sz w:val="12"/>
        </w:rPr>
        <w:t> </w:t>
      </w:r>
      <w:r>
        <w:rPr>
          <w:sz w:val="12"/>
        </w:rPr>
        <w:t>held</w:t>
      </w:r>
      <w:r>
        <w:rPr>
          <w:spacing w:val="-7"/>
          <w:sz w:val="12"/>
        </w:rPr>
        <w:t> </w:t>
      </w:r>
      <w:r>
        <w:rPr>
          <w:sz w:val="12"/>
        </w:rPr>
        <w:t>at</w:t>
      </w:r>
      <w:r>
        <w:rPr>
          <w:spacing w:val="-8"/>
          <w:sz w:val="12"/>
        </w:rPr>
        <w:t> </w:t>
      </w:r>
      <w:r>
        <w:rPr>
          <w:sz w:val="12"/>
        </w:rPr>
        <w:t>the</w:t>
      </w:r>
      <w:r>
        <w:rPr>
          <w:spacing w:val="-7"/>
          <w:sz w:val="12"/>
        </w:rPr>
        <w:t> </w:t>
      </w:r>
      <w:r>
        <w:rPr>
          <w:sz w:val="12"/>
        </w:rPr>
        <w:t>reporting</w:t>
      </w:r>
      <w:r>
        <w:rPr>
          <w:spacing w:val="-7"/>
          <w:sz w:val="12"/>
        </w:rPr>
        <w:t> </w:t>
      </w:r>
      <w:r>
        <w:rPr>
          <w:sz w:val="12"/>
        </w:rPr>
        <w:t>date</w:t>
      </w:r>
      <w:r>
        <w:rPr>
          <w:spacing w:val="40"/>
          <w:sz w:val="12"/>
        </w:rPr>
        <w:t> </w:t>
      </w:r>
      <w:r>
        <w:rPr>
          <w:sz w:val="12"/>
        </w:rPr>
        <w:t>are</w:t>
      </w:r>
      <w:r>
        <w:rPr>
          <w:spacing w:val="-7"/>
          <w:sz w:val="12"/>
        </w:rPr>
        <w:t> </w:t>
      </w:r>
      <w:r>
        <w:rPr>
          <w:sz w:val="12"/>
        </w:rPr>
        <w:t>measured</w:t>
      </w:r>
      <w:r>
        <w:rPr>
          <w:spacing w:val="-7"/>
          <w:sz w:val="12"/>
        </w:rPr>
        <w:t> </w:t>
      </w:r>
      <w:r>
        <w:rPr>
          <w:sz w:val="12"/>
        </w:rPr>
        <w:t>using</w:t>
      </w:r>
      <w:r>
        <w:rPr>
          <w:spacing w:val="-5"/>
          <w:sz w:val="12"/>
        </w:rPr>
        <w:t> </w:t>
      </w:r>
      <w:r>
        <w:rPr>
          <w:sz w:val="12"/>
        </w:rPr>
        <w:t>the</w:t>
      </w:r>
      <w:r>
        <w:rPr>
          <w:spacing w:val="-7"/>
          <w:sz w:val="12"/>
        </w:rPr>
        <w:t> </w:t>
      </w:r>
      <w:r>
        <w:rPr>
          <w:sz w:val="12"/>
        </w:rPr>
        <w:t>exchange</w:t>
      </w:r>
      <w:r>
        <w:rPr>
          <w:spacing w:val="-7"/>
          <w:sz w:val="12"/>
        </w:rPr>
        <w:t> </w:t>
      </w:r>
      <w:r>
        <w:rPr>
          <w:sz w:val="12"/>
        </w:rPr>
        <w:t>rate</w:t>
      </w:r>
      <w:r>
        <w:rPr>
          <w:spacing w:val="-7"/>
          <w:sz w:val="12"/>
        </w:rPr>
        <w:t> </w:t>
      </w:r>
      <w:r>
        <w:rPr>
          <w:sz w:val="12"/>
        </w:rPr>
        <w:t>at</w:t>
      </w:r>
      <w:r>
        <w:rPr>
          <w:spacing w:val="-6"/>
          <w:sz w:val="12"/>
        </w:rPr>
        <w:t> </w:t>
      </w:r>
      <w:r>
        <w:rPr>
          <w:sz w:val="12"/>
        </w:rPr>
        <w:t>the</w:t>
      </w:r>
      <w:r>
        <w:rPr>
          <w:spacing w:val="-7"/>
          <w:sz w:val="12"/>
        </w:rPr>
        <w:t> </w:t>
      </w:r>
      <w:r>
        <w:rPr>
          <w:sz w:val="12"/>
        </w:rPr>
        <w:t>date</w:t>
      </w:r>
      <w:r>
        <w:rPr>
          <w:spacing w:val="-7"/>
          <w:sz w:val="12"/>
        </w:rPr>
        <w:t> </w:t>
      </w:r>
      <w:r>
        <w:rPr>
          <w:sz w:val="12"/>
        </w:rPr>
        <w:t>of</w:t>
      </w:r>
      <w:r>
        <w:rPr>
          <w:spacing w:val="-6"/>
          <w:sz w:val="12"/>
        </w:rPr>
        <w:t> </w:t>
      </w:r>
      <w:r>
        <w:rPr>
          <w:sz w:val="12"/>
        </w:rPr>
        <w:t>the</w:t>
      </w:r>
      <w:r>
        <w:rPr>
          <w:spacing w:val="-7"/>
          <w:sz w:val="12"/>
        </w:rPr>
        <w:t> </w:t>
      </w:r>
      <w:r>
        <w:rPr>
          <w:sz w:val="12"/>
        </w:rPr>
        <w:t>initial</w:t>
      </w:r>
      <w:r>
        <w:rPr>
          <w:spacing w:val="-8"/>
          <w:sz w:val="12"/>
        </w:rPr>
        <w:t> </w:t>
      </w:r>
      <w:r>
        <w:rPr>
          <w:sz w:val="12"/>
        </w:rPr>
        <w:t>transaction.</w:t>
      </w:r>
      <w:r>
        <w:rPr>
          <w:spacing w:val="-6"/>
          <w:sz w:val="12"/>
        </w:rPr>
        <w:t> </w:t>
      </w:r>
      <w:r>
        <w:rPr>
          <w:sz w:val="12"/>
        </w:rPr>
        <w:t>Resulting</w:t>
      </w:r>
      <w:r>
        <w:rPr>
          <w:spacing w:val="-5"/>
          <w:sz w:val="12"/>
        </w:rPr>
        <w:t> </w:t>
      </w:r>
      <w:r>
        <w:rPr>
          <w:sz w:val="12"/>
        </w:rPr>
        <w:t>exchange</w:t>
      </w:r>
      <w:r>
        <w:rPr>
          <w:spacing w:val="-7"/>
          <w:sz w:val="12"/>
        </w:rPr>
        <w:t> </w:t>
      </w:r>
      <w:r>
        <w:rPr>
          <w:sz w:val="12"/>
        </w:rPr>
        <w:t>differences</w:t>
      </w:r>
      <w:r>
        <w:rPr>
          <w:spacing w:val="-5"/>
          <w:sz w:val="12"/>
        </w:rPr>
        <w:t> </w:t>
      </w:r>
      <w:r>
        <w:rPr>
          <w:sz w:val="12"/>
        </w:rPr>
        <w:t>are</w:t>
      </w:r>
      <w:r>
        <w:rPr>
          <w:spacing w:val="-7"/>
          <w:sz w:val="12"/>
        </w:rPr>
        <w:t> </w:t>
      </w:r>
      <w:r>
        <w:rPr>
          <w:sz w:val="12"/>
        </w:rPr>
        <w:t>recognised</w:t>
      </w:r>
      <w:r>
        <w:rPr>
          <w:spacing w:val="-7"/>
          <w:sz w:val="12"/>
        </w:rPr>
        <w:t> </w:t>
      </w:r>
      <w:r>
        <w:rPr>
          <w:sz w:val="12"/>
        </w:rPr>
        <w:t>in</w:t>
      </w:r>
      <w:r>
        <w:rPr>
          <w:spacing w:val="-8"/>
          <w:sz w:val="12"/>
        </w:rPr>
        <w:t> </w:t>
      </w:r>
      <w:r>
        <w:rPr>
          <w:sz w:val="12"/>
        </w:rPr>
        <w:t>the</w:t>
      </w:r>
      <w:r>
        <w:rPr>
          <w:spacing w:val="-7"/>
          <w:sz w:val="12"/>
        </w:rPr>
        <w:t> </w:t>
      </w:r>
      <w:r>
        <w:rPr>
          <w:sz w:val="12"/>
        </w:rPr>
        <w:t>income</w:t>
      </w:r>
      <w:r>
        <w:rPr>
          <w:spacing w:val="-7"/>
          <w:sz w:val="12"/>
        </w:rPr>
        <w:t> </w:t>
      </w:r>
      <w:r>
        <w:rPr>
          <w:sz w:val="12"/>
        </w:rPr>
        <w:t>statement.</w:t>
      </w:r>
    </w:p>
    <w:p>
      <w:pPr>
        <w:spacing w:after="0" w:line="261" w:lineRule="auto"/>
        <w:jc w:val="both"/>
        <w:rPr>
          <w:sz w:val="12"/>
        </w:rPr>
        <w:sectPr>
          <w:pgSz w:w="11910" w:h="16840"/>
          <w:pgMar w:header="468" w:footer="0" w:top="720" w:bottom="280" w:left="920" w:right="0"/>
        </w:sectPr>
      </w:pPr>
    </w:p>
    <w:p>
      <w:pPr>
        <w:spacing w:line="240" w:lineRule="auto" w:before="0"/>
        <w:rPr>
          <w:sz w:val="19"/>
        </w:rPr>
      </w:pPr>
      <w:r>
        <w:rPr/>
        <mc:AlternateContent>
          <mc:Choice Requires="wps">
            <w:drawing>
              <wp:anchor distT="0" distB="0" distL="0" distR="0" allowOverlap="1" layoutInCell="1" locked="0" behindDoc="0" simplePos="0" relativeHeight="15872512">
                <wp:simplePos x="0" y="0"/>
                <wp:positionH relativeFrom="page">
                  <wp:posOffset>7111289</wp:posOffset>
                </wp:positionH>
                <wp:positionV relativeFrom="page">
                  <wp:posOffset>8040241</wp:posOffset>
                </wp:positionV>
                <wp:extent cx="177800" cy="1945005"/>
                <wp:effectExtent l="0" t="0" r="0" b="0"/>
                <wp:wrapNone/>
                <wp:docPr id="883" name="Textbox 883"/>
                <wp:cNvGraphicFramePr>
                  <a:graphicFrameLocks/>
                </wp:cNvGraphicFramePr>
                <a:graphic>
                  <a:graphicData uri="http://schemas.microsoft.com/office/word/2010/wordprocessingShape">
                    <wps:wsp>
                      <wps:cNvPr id="883" name="Textbox 883"/>
                      <wps:cNvSpPr txBox="1"/>
                      <wps:spPr>
                        <a:xfrm>
                          <a:off x="0" y="0"/>
                          <a:ext cx="177800" cy="194500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633.089905pt;width:14pt;height:153.15pt;mso-position-horizontal-relative:page;mso-position-vertical-relative:page;z-index:15872512" type="#_x0000_t202" id="docshape577"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v:textbox>
                <w10:wrap type="none"/>
              </v:shape>
            </w:pict>
          </mc:Fallback>
        </mc:AlternateContent>
      </w:r>
    </w:p>
    <w:p>
      <w:pPr>
        <w:spacing w:line="240" w:lineRule="auto" w:before="0"/>
        <w:rPr>
          <w:sz w:val="19"/>
        </w:rPr>
      </w:pPr>
    </w:p>
    <w:p>
      <w:pPr>
        <w:spacing w:line="240" w:lineRule="auto" w:before="0"/>
        <w:rPr>
          <w:sz w:val="19"/>
        </w:rPr>
      </w:pPr>
    </w:p>
    <w:p>
      <w:pPr>
        <w:spacing w:line="240" w:lineRule="auto" w:before="72"/>
        <w:rPr>
          <w:sz w:val="19"/>
        </w:rPr>
      </w:pPr>
    </w:p>
    <w:p>
      <w:pPr>
        <w:spacing w:before="1"/>
        <w:ind w:left="247" w:right="0" w:firstLine="0"/>
        <w:jc w:val="left"/>
        <w:rPr>
          <w:sz w:val="19"/>
        </w:rPr>
      </w:pPr>
      <w:r>
        <w:rPr>
          <w:color w:val="0070C0"/>
          <w:sz w:val="19"/>
        </w:rPr>
        <w:t>NOTES</w:t>
      </w:r>
      <w:r>
        <w:rPr>
          <w:color w:val="0070C0"/>
          <w:spacing w:val="-1"/>
          <w:sz w:val="19"/>
        </w:rPr>
        <w:t> </w:t>
      </w:r>
      <w:r>
        <w:rPr>
          <w:color w:val="0070C0"/>
          <w:sz w:val="19"/>
        </w:rPr>
        <w:t>TO</w:t>
      </w:r>
      <w:r>
        <w:rPr>
          <w:color w:val="0070C0"/>
          <w:spacing w:val="-1"/>
          <w:sz w:val="19"/>
        </w:rPr>
        <w:t> </w:t>
      </w:r>
      <w:r>
        <w:rPr>
          <w:color w:val="0070C0"/>
          <w:sz w:val="19"/>
        </w:rPr>
        <w:t>THE</w:t>
      </w:r>
      <w:r>
        <w:rPr>
          <w:color w:val="0070C0"/>
          <w:spacing w:val="-1"/>
          <w:sz w:val="19"/>
        </w:rPr>
        <w:t> </w:t>
      </w:r>
      <w:r>
        <w:rPr>
          <w:color w:val="0070C0"/>
          <w:sz w:val="19"/>
        </w:rPr>
        <w:t>FINANCIAL</w:t>
      </w:r>
      <w:r>
        <w:rPr>
          <w:color w:val="0070C0"/>
          <w:spacing w:val="-1"/>
          <w:sz w:val="19"/>
        </w:rPr>
        <w:t> </w:t>
      </w:r>
      <w:r>
        <w:rPr>
          <w:color w:val="0070C0"/>
          <w:spacing w:val="-2"/>
          <w:sz w:val="19"/>
        </w:rPr>
        <w:t>STATEMENTS</w:t>
      </w:r>
    </w:p>
    <w:p>
      <w:pPr>
        <w:spacing w:before="32"/>
        <w:ind w:left="236" w:right="0" w:firstLine="0"/>
        <w:jc w:val="left"/>
        <w:rPr>
          <w:sz w:val="10"/>
        </w:rPr>
      </w:pPr>
      <w:r>
        <w:rPr>
          <w:w w:val="105"/>
          <w:sz w:val="10"/>
        </w:rPr>
        <w:t>for</w:t>
      </w:r>
      <w:r>
        <w:rPr>
          <w:spacing w:val="3"/>
          <w:w w:val="105"/>
          <w:sz w:val="10"/>
        </w:rPr>
        <w:t> </w:t>
      </w:r>
      <w:r>
        <w:rPr>
          <w:w w:val="105"/>
          <w:sz w:val="10"/>
        </w:rPr>
        <w:t>the</w:t>
      </w:r>
      <w:r>
        <w:rPr>
          <w:spacing w:val="4"/>
          <w:w w:val="105"/>
          <w:sz w:val="10"/>
        </w:rPr>
        <w:t> </w:t>
      </w:r>
      <w:r>
        <w:rPr>
          <w:w w:val="105"/>
          <w:sz w:val="10"/>
        </w:rPr>
        <w:t>year</w:t>
      </w:r>
      <w:r>
        <w:rPr>
          <w:spacing w:val="3"/>
          <w:w w:val="105"/>
          <w:sz w:val="10"/>
        </w:rPr>
        <w:t> </w:t>
      </w:r>
      <w:r>
        <w:rPr>
          <w:w w:val="105"/>
          <w:sz w:val="10"/>
        </w:rPr>
        <w:t>ended</w:t>
      </w:r>
      <w:r>
        <w:rPr>
          <w:spacing w:val="4"/>
          <w:w w:val="105"/>
          <w:sz w:val="10"/>
        </w:rPr>
        <w:t> </w:t>
      </w:r>
      <w:r>
        <w:rPr>
          <w:w w:val="105"/>
          <w:sz w:val="10"/>
        </w:rPr>
        <w:t>31</w:t>
      </w:r>
      <w:r>
        <w:rPr>
          <w:spacing w:val="4"/>
          <w:w w:val="105"/>
          <w:sz w:val="10"/>
        </w:rPr>
        <w:t> </w:t>
      </w:r>
      <w:r>
        <w:rPr>
          <w:w w:val="105"/>
          <w:sz w:val="10"/>
        </w:rPr>
        <w:t>December</w:t>
      </w:r>
      <w:r>
        <w:rPr>
          <w:spacing w:val="3"/>
          <w:w w:val="105"/>
          <w:sz w:val="10"/>
        </w:rPr>
        <w:t> </w:t>
      </w:r>
      <w:r>
        <w:rPr>
          <w:spacing w:val="-4"/>
          <w:w w:val="105"/>
          <w:sz w:val="10"/>
        </w:rPr>
        <w:t>2020</w:t>
      </w:r>
    </w:p>
    <w:p>
      <w:pPr>
        <w:spacing w:line="240" w:lineRule="auto" w:before="27"/>
        <w:rPr>
          <w:sz w:val="20"/>
        </w:rPr>
      </w:pPr>
      <w:r>
        <w:rPr/>
        <mc:AlternateContent>
          <mc:Choice Requires="wps">
            <w:drawing>
              <wp:anchor distT="0" distB="0" distL="0" distR="0" allowOverlap="1" layoutInCell="1" locked="0" behindDoc="1" simplePos="0" relativeHeight="487730176">
                <wp:simplePos x="0" y="0"/>
                <wp:positionH relativeFrom="page">
                  <wp:posOffset>720001</wp:posOffset>
                </wp:positionH>
                <wp:positionV relativeFrom="paragraph">
                  <wp:posOffset>178938</wp:posOffset>
                </wp:positionV>
                <wp:extent cx="5738495" cy="14604"/>
                <wp:effectExtent l="0" t="0" r="0" b="0"/>
                <wp:wrapTopAndBottom/>
                <wp:docPr id="884" name="Graphic 884"/>
                <wp:cNvGraphicFramePr>
                  <a:graphicFrameLocks/>
                </wp:cNvGraphicFramePr>
                <a:graphic>
                  <a:graphicData uri="http://schemas.microsoft.com/office/word/2010/wordprocessingShape">
                    <wps:wsp>
                      <wps:cNvPr id="884" name="Graphic 884"/>
                      <wps:cNvSpPr/>
                      <wps:spPr>
                        <a:xfrm>
                          <a:off x="0" y="0"/>
                          <a:ext cx="5738495" cy="14604"/>
                        </a:xfrm>
                        <a:custGeom>
                          <a:avLst/>
                          <a:gdLst/>
                          <a:ahLst/>
                          <a:cxnLst/>
                          <a:rect l="l" t="t" r="r" b="b"/>
                          <a:pathLst>
                            <a:path w="5738495" h="14604">
                              <a:moveTo>
                                <a:pt x="5738075" y="0"/>
                              </a:moveTo>
                              <a:lnTo>
                                <a:pt x="0" y="0"/>
                              </a:lnTo>
                              <a:lnTo>
                                <a:pt x="0" y="14249"/>
                              </a:lnTo>
                              <a:lnTo>
                                <a:pt x="5738075" y="14249"/>
                              </a:lnTo>
                              <a:lnTo>
                                <a:pt x="5738075"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6.693001pt;margin-top:14.089627pt;width:451.817pt;height:1.122pt;mso-position-horizontal-relative:page;mso-position-vertical-relative:paragraph;z-index:-15586304;mso-wrap-distance-left:0;mso-wrap-distance-right:0" id="docshape578" filled="true" fillcolor="#4f81bd" stroked="false">
                <v:fill type="solid"/>
                <w10:wrap type="topAndBottom"/>
              </v:rect>
            </w:pict>
          </mc:Fallback>
        </mc:AlternateContent>
      </w:r>
    </w:p>
    <w:p>
      <w:pPr>
        <w:pStyle w:val="ListParagraph"/>
        <w:numPr>
          <w:ilvl w:val="1"/>
          <w:numId w:val="13"/>
        </w:numPr>
        <w:tabs>
          <w:tab w:pos="770" w:val="left" w:leader="none"/>
        </w:tabs>
        <w:spacing w:line="240" w:lineRule="auto" w:before="127" w:after="0"/>
        <w:ind w:left="770" w:right="0" w:hanging="530"/>
        <w:jc w:val="left"/>
        <w:rPr>
          <w:b/>
          <w:color w:val="0070C0"/>
          <w:sz w:val="14"/>
        </w:rPr>
      </w:pPr>
      <w:r>
        <w:rPr>
          <w:b/>
          <w:color w:val="0070C0"/>
          <w:sz w:val="14"/>
        </w:rPr>
        <w:t>Critical</w:t>
      </w:r>
      <w:r>
        <w:rPr>
          <w:b/>
          <w:color w:val="0070C0"/>
          <w:spacing w:val="8"/>
          <w:sz w:val="14"/>
        </w:rPr>
        <w:t> </w:t>
      </w:r>
      <w:r>
        <w:rPr>
          <w:b/>
          <w:color w:val="0070C0"/>
          <w:sz w:val="14"/>
        </w:rPr>
        <w:t>estimates</w:t>
      </w:r>
      <w:r>
        <w:rPr>
          <w:b/>
          <w:color w:val="0070C0"/>
          <w:spacing w:val="9"/>
          <w:sz w:val="14"/>
        </w:rPr>
        <w:t> </w:t>
      </w:r>
      <w:r>
        <w:rPr>
          <w:b/>
          <w:color w:val="0070C0"/>
          <w:sz w:val="14"/>
        </w:rPr>
        <w:t>and</w:t>
      </w:r>
      <w:r>
        <w:rPr>
          <w:b/>
          <w:color w:val="0070C0"/>
          <w:spacing w:val="9"/>
          <w:sz w:val="14"/>
        </w:rPr>
        <w:t> </w:t>
      </w:r>
      <w:r>
        <w:rPr>
          <w:b/>
          <w:color w:val="0070C0"/>
          <w:spacing w:val="-2"/>
          <w:sz w:val="14"/>
        </w:rPr>
        <w:t>judgements</w:t>
      </w:r>
    </w:p>
    <w:p>
      <w:pPr>
        <w:spacing w:line="261" w:lineRule="auto" w:before="19"/>
        <w:ind w:left="768" w:right="1754" w:firstLine="0"/>
        <w:jc w:val="both"/>
        <w:rPr>
          <w:sz w:val="12"/>
        </w:rPr>
      </w:pPr>
      <w:r>
        <w:rPr>
          <w:sz w:val="12"/>
        </w:rPr>
        <w:t>In</w:t>
      </w:r>
      <w:r>
        <w:rPr>
          <w:spacing w:val="-9"/>
          <w:sz w:val="12"/>
        </w:rPr>
        <w:t> </w:t>
      </w:r>
      <w:r>
        <w:rPr>
          <w:sz w:val="12"/>
        </w:rPr>
        <w:t>preparation</w:t>
      </w:r>
      <w:r>
        <w:rPr>
          <w:spacing w:val="-8"/>
          <w:sz w:val="12"/>
        </w:rPr>
        <w:t> </w:t>
      </w:r>
      <w:r>
        <w:rPr>
          <w:sz w:val="12"/>
        </w:rPr>
        <w:t>of</w:t>
      </w:r>
      <w:r>
        <w:rPr>
          <w:spacing w:val="-8"/>
          <w:sz w:val="12"/>
        </w:rPr>
        <w:t> </w:t>
      </w:r>
      <w:r>
        <w:rPr>
          <w:sz w:val="12"/>
        </w:rPr>
        <w:t>the</w:t>
      </w:r>
      <w:r>
        <w:rPr>
          <w:spacing w:val="-9"/>
          <w:sz w:val="12"/>
        </w:rPr>
        <w:t> </w:t>
      </w:r>
      <w:r>
        <w:rPr>
          <w:sz w:val="12"/>
        </w:rPr>
        <w:t>financial</w:t>
      </w:r>
      <w:r>
        <w:rPr>
          <w:spacing w:val="-8"/>
          <w:sz w:val="12"/>
        </w:rPr>
        <w:t> </w:t>
      </w:r>
      <w:r>
        <w:rPr>
          <w:sz w:val="12"/>
        </w:rPr>
        <w:t>statements,</w:t>
      </w:r>
      <w:r>
        <w:rPr>
          <w:spacing w:val="-7"/>
          <w:sz w:val="12"/>
        </w:rPr>
        <w:t> </w:t>
      </w:r>
      <w:r>
        <w:rPr>
          <w:sz w:val="12"/>
        </w:rPr>
        <w:t>management</w:t>
      </w:r>
      <w:r>
        <w:rPr>
          <w:spacing w:val="-7"/>
          <w:sz w:val="12"/>
        </w:rPr>
        <w:t> </w:t>
      </w:r>
      <w:r>
        <w:rPr>
          <w:sz w:val="12"/>
        </w:rPr>
        <w:t>is</w:t>
      </w:r>
      <w:r>
        <w:rPr>
          <w:spacing w:val="-7"/>
          <w:sz w:val="12"/>
        </w:rPr>
        <w:t> </w:t>
      </w:r>
      <w:r>
        <w:rPr>
          <w:sz w:val="12"/>
        </w:rPr>
        <w:t>required</w:t>
      </w:r>
      <w:r>
        <w:rPr>
          <w:spacing w:val="-8"/>
          <w:sz w:val="12"/>
        </w:rPr>
        <w:t> </w:t>
      </w:r>
      <w:r>
        <w:rPr>
          <w:sz w:val="12"/>
        </w:rPr>
        <w:t>to</w:t>
      </w:r>
      <w:r>
        <w:rPr>
          <w:spacing w:val="-8"/>
          <w:sz w:val="12"/>
        </w:rPr>
        <w:t> </w:t>
      </w:r>
      <w:r>
        <w:rPr>
          <w:sz w:val="12"/>
        </w:rPr>
        <w:t>exercise</w:t>
      </w:r>
      <w:r>
        <w:rPr>
          <w:spacing w:val="-8"/>
          <w:sz w:val="12"/>
        </w:rPr>
        <w:t> </w:t>
      </w:r>
      <w:r>
        <w:rPr>
          <w:sz w:val="12"/>
        </w:rPr>
        <w:t>its</w:t>
      </w:r>
      <w:r>
        <w:rPr>
          <w:spacing w:val="-7"/>
          <w:sz w:val="12"/>
        </w:rPr>
        <w:t> </w:t>
      </w:r>
      <w:r>
        <w:rPr>
          <w:sz w:val="12"/>
        </w:rPr>
        <w:t>judgement</w:t>
      </w:r>
      <w:r>
        <w:rPr>
          <w:spacing w:val="-7"/>
          <w:sz w:val="12"/>
        </w:rPr>
        <w:t> </w:t>
      </w:r>
      <w:r>
        <w:rPr>
          <w:sz w:val="12"/>
        </w:rPr>
        <w:t>when</w:t>
      </w:r>
      <w:r>
        <w:rPr>
          <w:spacing w:val="-9"/>
          <w:sz w:val="12"/>
        </w:rPr>
        <w:t> </w:t>
      </w:r>
      <w:r>
        <w:rPr>
          <w:sz w:val="12"/>
        </w:rPr>
        <w:t>applying</w:t>
      </w:r>
      <w:r>
        <w:rPr>
          <w:spacing w:val="-6"/>
          <w:sz w:val="12"/>
        </w:rPr>
        <w:t> </w:t>
      </w:r>
      <w:r>
        <w:rPr>
          <w:sz w:val="12"/>
        </w:rPr>
        <w:t>the</w:t>
      </w:r>
      <w:r>
        <w:rPr>
          <w:spacing w:val="-7"/>
          <w:sz w:val="12"/>
        </w:rPr>
        <w:t> </w:t>
      </w:r>
      <w:r>
        <w:rPr>
          <w:sz w:val="12"/>
        </w:rPr>
        <w:t>accounting</w:t>
      </w:r>
      <w:r>
        <w:rPr>
          <w:spacing w:val="-7"/>
          <w:sz w:val="12"/>
        </w:rPr>
        <w:t> </w:t>
      </w:r>
      <w:r>
        <w:rPr>
          <w:sz w:val="12"/>
        </w:rPr>
        <w:t>policies.</w:t>
      </w:r>
      <w:r>
        <w:rPr>
          <w:spacing w:val="-5"/>
          <w:sz w:val="12"/>
        </w:rPr>
        <w:t> </w:t>
      </w:r>
      <w:r>
        <w:rPr>
          <w:sz w:val="12"/>
        </w:rPr>
        <w:t>The</w:t>
      </w:r>
      <w:r>
        <w:rPr>
          <w:spacing w:val="-8"/>
          <w:sz w:val="12"/>
        </w:rPr>
        <w:t> </w:t>
      </w:r>
      <w:r>
        <w:rPr>
          <w:sz w:val="12"/>
        </w:rPr>
        <w:t>estimates</w:t>
      </w:r>
      <w:r>
        <w:rPr>
          <w:spacing w:val="-5"/>
          <w:sz w:val="12"/>
        </w:rPr>
        <w:t> </w:t>
      </w:r>
      <w:r>
        <w:rPr>
          <w:sz w:val="12"/>
        </w:rPr>
        <w:t>and</w:t>
      </w:r>
      <w:r>
        <w:rPr>
          <w:spacing w:val="-8"/>
          <w:sz w:val="12"/>
        </w:rPr>
        <w:t> </w:t>
      </w:r>
      <w:r>
        <w:rPr>
          <w:sz w:val="12"/>
        </w:rPr>
        <w:t>underlying</w:t>
      </w:r>
      <w:r>
        <w:rPr>
          <w:spacing w:val="40"/>
          <w:sz w:val="12"/>
        </w:rPr>
        <w:t> </w:t>
      </w:r>
      <w:r>
        <w:rPr>
          <w:sz w:val="12"/>
        </w:rPr>
        <w:t>assumptions are reviewed on an ongoing basis. When there is a higher degree of judgement or complexity or areas where assumptions and estimates are</w:t>
      </w:r>
      <w:r>
        <w:rPr>
          <w:spacing w:val="40"/>
          <w:sz w:val="12"/>
        </w:rPr>
        <w:t> </w:t>
      </w:r>
      <w:r>
        <w:rPr>
          <w:sz w:val="12"/>
        </w:rPr>
        <w:t>significant to the financial statements, these are disclosed separately. The areas involving a higher degree of judgement or complexity, or areas where</w:t>
      </w:r>
      <w:r>
        <w:rPr>
          <w:spacing w:val="40"/>
          <w:sz w:val="12"/>
        </w:rPr>
        <w:t> </w:t>
      </w:r>
      <w:r>
        <w:rPr>
          <w:sz w:val="12"/>
        </w:rPr>
        <w:t>assumptions</w:t>
      </w:r>
      <w:r>
        <w:rPr>
          <w:spacing w:val="-3"/>
          <w:sz w:val="12"/>
        </w:rPr>
        <w:t> </w:t>
      </w:r>
      <w:r>
        <w:rPr>
          <w:sz w:val="12"/>
        </w:rPr>
        <w:t>and</w:t>
      </w:r>
      <w:r>
        <w:rPr>
          <w:spacing w:val="-5"/>
          <w:sz w:val="12"/>
        </w:rPr>
        <w:t> </w:t>
      </w:r>
      <w:r>
        <w:rPr>
          <w:sz w:val="12"/>
        </w:rPr>
        <w:t>estimates</w:t>
      </w:r>
      <w:r>
        <w:rPr>
          <w:spacing w:val="-3"/>
          <w:sz w:val="12"/>
        </w:rPr>
        <w:t> </w:t>
      </w:r>
      <w:r>
        <w:rPr>
          <w:sz w:val="12"/>
        </w:rPr>
        <w:t>are</w:t>
      </w:r>
      <w:r>
        <w:rPr>
          <w:spacing w:val="-5"/>
          <w:sz w:val="12"/>
        </w:rPr>
        <w:t> </w:t>
      </w:r>
      <w:r>
        <w:rPr>
          <w:sz w:val="12"/>
        </w:rPr>
        <w:t>significant</w:t>
      </w:r>
      <w:r>
        <w:rPr>
          <w:spacing w:val="-4"/>
          <w:sz w:val="12"/>
        </w:rPr>
        <w:t> </w:t>
      </w:r>
      <w:r>
        <w:rPr>
          <w:sz w:val="12"/>
        </w:rPr>
        <w:t>to</w:t>
      </w:r>
      <w:r>
        <w:rPr>
          <w:spacing w:val="-5"/>
          <w:sz w:val="12"/>
        </w:rPr>
        <w:t> </w:t>
      </w:r>
      <w:r>
        <w:rPr>
          <w:sz w:val="12"/>
        </w:rPr>
        <w:t>the</w:t>
      </w:r>
      <w:r>
        <w:rPr>
          <w:spacing w:val="-5"/>
          <w:sz w:val="12"/>
        </w:rPr>
        <w:t> </w:t>
      </w:r>
      <w:r>
        <w:rPr>
          <w:sz w:val="12"/>
        </w:rPr>
        <w:t>financial</w:t>
      </w:r>
      <w:r>
        <w:rPr>
          <w:spacing w:val="-6"/>
          <w:sz w:val="12"/>
        </w:rPr>
        <w:t> </w:t>
      </w:r>
      <w:r>
        <w:rPr>
          <w:sz w:val="12"/>
        </w:rPr>
        <w:t>statements,</w:t>
      </w:r>
      <w:r>
        <w:rPr>
          <w:spacing w:val="-4"/>
          <w:sz w:val="12"/>
        </w:rPr>
        <w:t> </w:t>
      </w:r>
      <w:r>
        <w:rPr>
          <w:sz w:val="12"/>
        </w:rPr>
        <w:t>are</w:t>
      </w:r>
      <w:r>
        <w:rPr>
          <w:spacing w:val="-5"/>
          <w:sz w:val="12"/>
        </w:rPr>
        <w:t> </w:t>
      </w:r>
      <w:r>
        <w:rPr>
          <w:sz w:val="12"/>
        </w:rPr>
        <w:t>described</w:t>
      </w:r>
      <w:r>
        <w:rPr>
          <w:spacing w:val="-5"/>
          <w:sz w:val="12"/>
        </w:rPr>
        <w:t> </w:t>
      </w:r>
      <w:r>
        <w:rPr>
          <w:sz w:val="12"/>
        </w:rPr>
        <w:t>in</w:t>
      </w:r>
      <w:r>
        <w:rPr>
          <w:spacing w:val="-7"/>
          <w:sz w:val="12"/>
        </w:rPr>
        <w:t> </w:t>
      </w:r>
      <w:r>
        <w:rPr>
          <w:sz w:val="12"/>
        </w:rPr>
        <w:t>the</w:t>
      </w:r>
      <w:r>
        <w:rPr>
          <w:spacing w:val="-5"/>
          <w:sz w:val="12"/>
        </w:rPr>
        <w:t> </w:t>
      </w:r>
      <w:r>
        <w:rPr>
          <w:sz w:val="12"/>
        </w:rPr>
        <w:t>notes</w:t>
      </w:r>
      <w:r>
        <w:rPr>
          <w:spacing w:val="-3"/>
          <w:sz w:val="12"/>
        </w:rPr>
        <w:t> </w:t>
      </w:r>
      <w:r>
        <w:rPr>
          <w:sz w:val="12"/>
        </w:rPr>
        <w:t>below:</w:t>
      </w:r>
    </w:p>
    <w:p>
      <w:pPr>
        <w:spacing w:line="240" w:lineRule="auto" w:before="10"/>
        <w:rPr>
          <w:sz w:val="12"/>
        </w:rPr>
      </w:pPr>
    </w:p>
    <w:p>
      <w:pPr>
        <w:spacing w:before="0"/>
        <w:ind w:left="5575" w:right="3572" w:firstLine="0"/>
        <w:jc w:val="center"/>
        <w:rPr>
          <w:sz w:val="12"/>
        </w:rPr>
      </w:pPr>
      <w:r>
        <w:rPr>
          <w:spacing w:val="-2"/>
          <w:sz w:val="12"/>
        </w:rPr>
        <w:t>Section</w:t>
      </w:r>
    </w:p>
    <w:p>
      <w:pPr>
        <w:spacing w:before="13"/>
        <w:ind w:left="0" w:right="6612" w:firstLine="0"/>
        <w:jc w:val="center"/>
        <w:rPr>
          <w:sz w:val="12"/>
        </w:rPr>
      </w:pPr>
      <w:r>
        <w:rPr>
          <w:spacing w:val="-2"/>
          <w:sz w:val="12"/>
        </w:rPr>
        <w:t>AASB15</w:t>
      </w:r>
      <w:r>
        <w:rPr>
          <w:spacing w:val="1"/>
          <w:sz w:val="12"/>
        </w:rPr>
        <w:t> </w:t>
      </w:r>
      <w:r>
        <w:rPr>
          <w:spacing w:val="-2"/>
          <w:sz w:val="12"/>
        </w:rPr>
        <w:t>Revenue</w:t>
      </w:r>
      <w:r>
        <w:rPr>
          <w:spacing w:val="1"/>
          <w:sz w:val="12"/>
        </w:rPr>
        <w:t> </w:t>
      </w:r>
      <w:r>
        <w:rPr>
          <w:spacing w:val="-2"/>
          <w:sz w:val="12"/>
        </w:rPr>
        <w:t>from</w:t>
      </w:r>
      <w:r>
        <w:rPr>
          <w:spacing w:val="4"/>
          <w:sz w:val="12"/>
        </w:rPr>
        <w:t> </w:t>
      </w:r>
      <w:r>
        <w:rPr>
          <w:spacing w:val="-2"/>
          <w:sz w:val="12"/>
        </w:rPr>
        <w:t>Contracts</w:t>
      </w:r>
      <w:r>
        <w:rPr>
          <w:spacing w:val="3"/>
          <w:sz w:val="12"/>
        </w:rPr>
        <w:t> </w:t>
      </w:r>
      <w:r>
        <w:rPr>
          <w:spacing w:val="-2"/>
          <w:sz w:val="12"/>
        </w:rPr>
        <w:t>with</w:t>
      </w:r>
      <w:r>
        <w:rPr>
          <w:spacing w:val="-1"/>
          <w:sz w:val="12"/>
        </w:rPr>
        <w:t> </w:t>
      </w:r>
      <w:r>
        <w:rPr>
          <w:spacing w:val="-2"/>
          <w:sz w:val="12"/>
        </w:rPr>
        <w:t>Customers</w:t>
      </w:r>
      <w:r>
        <w:rPr>
          <w:spacing w:val="4"/>
          <w:sz w:val="12"/>
        </w:rPr>
        <w:t> </w:t>
      </w:r>
      <w:r>
        <w:rPr>
          <w:spacing w:val="-5"/>
          <w:sz w:val="12"/>
        </w:rPr>
        <w:t>and</w:t>
      </w:r>
    </w:p>
    <w:p>
      <w:pPr>
        <w:tabs>
          <w:tab w:pos="5574" w:val="left" w:leader="none"/>
        </w:tabs>
        <w:spacing w:before="12"/>
        <w:ind w:left="0" w:right="3572" w:firstLine="0"/>
        <w:jc w:val="center"/>
        <w:rPr>
          <w:sz w:val="12"/>
        </w:rPr>
      </w:pPr>
      <w:r>
        <w:rPr>
          <w:spacing w:val="-2"/>
          <w:sz w:val="12"/>
        </w:rPr>
        <w:t>AASB</w:t>
      </w:r>
      <w:r>
        <w:rPr>
          <w:spacing w:val="1"/>
          <w:sz w:val="12"/>
        </w:rPr>
        <w:t> </w:t>
      </w:r>
      <w:r>
        <w:rPr>
          <w:spacing w:val="-2"/>
          <w:sz w:val="12"/>
        </w:rPr>
        <w:t>1058</w:t>
      </w:r>
      <w:r>
        <w:rPr>
          <w:spacing w:val="1"/>
          <w:sz w:val="12"/>
        </w:rPr>
        <w:t> </w:t>
      </w:r>
      <w:r>
        <w:rPr>
          <w:spacing w:val="-2"/>
          <w:sz w:val="12"/>
        </w:rPr>
        <w:t>Income</w:t>
      </w:r>
      <w:r>
        <w:rPr>
          <w:spacing w:val="1"/>
          <w:sz w:val="12"/>
        </w:rPr>
        <w:t> </w:t>
      </w:r>
      <w:r>
        <w:rPr>
          <w:spacing w:val="-2"/>
          <w:sz w:val="12"/>
        </w:rPr>
        <w:t>of</w:t>
      </w:r>
      <w:r>
        <w:rPr>
          <w:spacing w:val="2"/>
          <w:sz w:val="12"/>
        </w:rPr>
        <w:t> </w:t>
      </w:r>
      <w:r>
        <w:rPr>
          <w:spacing w:val="-2"/>
          <w:sz w:val="12"/>
        </w:rPr>
        <w:t>Not-for-Profit</w:t>
      </w:r>
      <w:r>
        <w:rPr>
          <w:spacing w:val="2"/>
          <w:sz w:val="12"/>
        </w:rPr>
        <w:t> </w:t>
      </w:r>
      <w:r>
        <w:rPr>
          <w:spacing w:val="-2"/>
          <w:sz w:val="12"/>
        </w:rPr>
        <w:t>Entities</w:t>
      </w:r>
      <w:r>
        <w:rPr>
          <w:spacing w:val="3"/>
          <w:sz w:val="12"/>
        </w:rPr>
        <w:t> </w:t>
      </w:r>
      <w:r>
        <w:rPr>
          <w:spacing w:val="-2"/>
          <w:sz w:val="12"/>
        </w:rPr>
        <w:t>-</w:t>
      </w:r>
      <w:r>
        <w:rPr>
          <w:spacing w:val="4"/>
          <w:sz w:val="12"/>
        </w:rPr>
        <w:t> </w:t>
      </w:r>
      <w:r>
        <w:rPr>
          <w:spacing w:val="-2"/>
          <w:sz w:val="12"/>
        </w:rPr>
        <w:t>Revenue</w:t>
      </w:r>
      <w:r>
        <w:rPr>
          <w:spacing w:val="1"/>
          <w:sz w:val="12"/>
        </w:rPr>
        <w:t> </w:t>
      </w:r>
      <w:r>
        <w:rPr>
          <w:spacing w:val="-2"/>
          <w:sz w:val="12"/>
        </w:rPr>
        <w:t>recognition</w:t>
      </w:r>
      <w:r>
        <w:rPr>
          <w:sz w:val="12"/>
        </w:rPr>
        <w:tab/>
      </w:r>
      <w:r>
        <w:rPr>
          <w:spacing w:val="-10"/>
          <w:sz w:val="12"/>
        </w:rPr>
        <w:t>2</w:t>
      </w:r>
    </w:p>
    <w:p>
      <w:pPr>
        <w:tabs>
          <w:tab w:pos="5637" w:val="left" w:leader="none"/>
        </w:tabs>
        <w:spacing w:before="12"/>
        <w:ind w:left="0" w:right="3644" w:firstLine="0"/>
        <w:jc w:val="center"/>
        <w:rPr>
          <w:sz w:val="12"/>
        </w:rPr>
      </w:pPr>
      <w:r>
        <w:rPr>
          <w:spacing w:val="-2"/>
          <w:sz w:val="12"/>
        </w:rPr>
        <w:t>Unrestricted</w:t>
      </w:r>
      <w:r>
        <w:rPr>
          <w:spacing w:val="4"/>
          <w:sz w:val="12"/>
        </w:rPr>
        <w:t> </w:t>
      </w:r>
      <w:r>
        <w:rPr>
          <w:spacing w:val="-2"/>
          <w:sz w:val="12"/>
        </w:rPr>
        <w:t>and</w:t>
      </w:r>
      <w:r>
        <w:rPr>
          <w:spacing w:val="5"/>
          <w:sz w:val="12"/>
        </w:rPr>
        <w:t> </w:t>
      </w:r>
      <w:r>
        <w:rPr>
          <w:spacing w:val="-2"/>
          <w:sz w:val="12"/>
        </w:rPr>
        <w:t>restricted</w:t>
      </w:r>
      <w:r>
        <w:rPr>
          <w:spacing w:val="5"/>
          <w:sz w:val="12"/>
        </w:rPr>
        <w:t> </w:t>
      </w:r>
      <w:r>
        <w:rPr>
          <w:spacing w:val="-2"/>
          <w:sz w:val="12"/>
        </w:rPr>
        <w:t>assets</w:t>
      </w:r>
      <w:r>
        <w:rPr>
          <w:sz w:val="12"/>
        </w:rPr>
        <w:tab/>
      </w:r>
      <w:r>
        <w:rPr>
          <w:spacing w:val="-5"/>
          <w:sz w:val="12"/>
        </w:rPr>
        <w:t>1.4</w:t>
      </w:r>
    </w:p>
    <w:p>
      <w:pPr>
        <w:tabs>
          <w:tab w:pos="5637" w:val="left" w:leader="none"/>
        </w:tabs>
        <w:spacing w:before="13"/>
        <w:ind w:left="0" w:right="3644" w:firstLine="0"/>
        <w:jc w:val="center"/>
        <w:rPr>
          <w:sz w:val="12"/>
        </w:rPr>
      </w:pPr>
      <w:r>
        <w:rPr>
          <w:spacing w:val="-2"/>
          <w:sz w:val="12"/>
        </w:rPr>
        <w:t>Classification</w:t>
      </w:r>
      <w:r>
        <w:rPr>
          <w:spacing w:val="-4"/>
          <w:sz w:val="12"/>
        </w:rPr>
        <w:t> </w:t>
      </w:r>
      <w:r>
        <w:rPr>
          <w:spacing w:val="-2"/>
          <w:sz w:val="12"/>
        </w:rPr>
        <w:t>of</w:t>
      </w:r>
      <w:r>
        <w:rPr>
          <w:spacing w:val="1"/>
          <w:sz w:val="12"/>
        </w:rPr>
        <w:t> </w:t>
      </w:r>
      <w:r>
        <w:rPr>
          <w:spacing w:val="-2"/>
          <w:sz w:val="12"/>
        </w:rPr>
        <w:t>funding</w:t>
      </w:r>
      <w:r>
        <w:rPr>
          <w:spacing w:val="3"/>
          <w:sz w:val="12"/>
        </w:rPr>
        <w:t> </w:t>
      </w:r>
      <w:r>
        <w:rPr>
          <w:spacing w:val="-2"/>
          <w:sz w:val="12"/>
        </w:rPr>
        <w:t>received</w:t>
      </w:r>
      <w:r>
        <w:rPr>
          <w:sz w:val="12"/>
        </w:rPr>
        <w:tab/>
      </w:r>
      <w:r>
        <w:rPr>
          <w:spacing w:val="-5"/>
          <w:sz w:val="12"/>
        </w:rPr>
        <w:t>2.6</w:t>
      </w:r>
    </w:p>
    <w:p>
      <w:pPr>
        <w:tabs>
          <w:tab w:pos="5637" w:val="left" w:leader="none"/>
        </w:tabs>
        <w:spacing w:before="12"/>
        <w:ind w:left="0" w:right="3644" w:firstLine="0"/>
        <w:jc w:val="center"/>
        <w:rPr>
          <w:sz w:val="12"/>
        </w:rPr>
      </w:pPr>
      <w:r>
        <w:rPr>
          <w:sz w:val="12"/>
        </w:rPr>
        <w:t>Long</w:t>
      </w:r>
      <w:r>
        <w:rPr>
          <w:spacing w:val="-8"/>
          <w:sz w:val="12"/>
        </w:rPr>
        <w:t> </w:t>
      </w:r>
      <w:r>
        <w:rPr>
          <w:sz w:val="12"/>
        </w:rPr>
        <w:t>service</w:t>
      </w:r>
      <w:r>
        <w:rPr>
          <w:spacing w:val="-8"/>
          <w:sz w:val="12"/>
        </w:rPr>
        <w:t> </w:t>
      </w:r>
      <w:r>
        <w:rPr>
          <w:spacing w:val="-2"/>
          <w:sz w:val="12"/>
        </w:rPr>
        <w:t>leave</w:t>
      </w:r>
      <w:r>
        <w:rPr>
          <w:sz w:val="12"/>
        </w:rPr>
        <w:tab/>
      </w:r>
      <w:r>
        <w:rPr>
          <w:spacing w:val="-5"/>
          <w:sz w:val="12"/>
        </w:rPr>
        <w:t>3.2</w:t>
      </w:r>
    </w:p>
    <w:p>
      <w:pPr>
        <w:tabs>
          <w:tab w:pos="5637" w:val="left" w:leader="none"/>
        </w:tabs>
        <w:spacing w:before="13"/>
        <w:ind w:left="0" w:right="3644" w:firstLine="0"/>
        <w:jc w:val="center"/>
        <w:rPr>
          <w:sz w:val="12"/>
        </w:rPr>
      </w:pPr>
      <w:r>
        <w:rPr>
          <w:spacing w:val="-2"/>
          <w:sz w:val="12"/>
        </w:rPr>
        <w:t>Valuation</w:t>
      </w:r>
      <w:r>
        <w:rPr>
          <w:spacing w:val="-3"/>
          <w:sz w:val="12"/>
        </w:rPr>
        <w:t> </w:t>
      </w:r>
      <w:r>
        <w:rPr>
          <w:spacing w:val="-2"/>
          <w:sz w:val="12"/>
        </w:rPr>
        <w:t>of</w:t>
      </w:r>
      <w:r>
        <w:rPr>
          <w:spacing w:val="1"/>
          <w:sz w:val="12"/>
        </w:rPr>
        <w:t> </w:t>
      </w:r>
      <w:r>
        <w:rPr>
          <w:spacing w:val="-2"/>
          <w:sz w:val="12"/>
        </w:rPr>
        <w:t>investment</w:t>
      </w:r>
      <w:r>
        <w:rPr>
          <w:spacing w:val="1"/>
          <w:sz w:val="12"/>
        </w:rPr>
        <w:t> </w:t>
      </w:r>
      <w:r>
        <w:rPr>
          <w:spacing w:val="-2"/>
          <w:sz w:val="12"/>
        </w:rPr>
        <w:t>properties</w:t>
      </w:r>
      <w:r>
        <w:rPr>
          <w:sz w:val="12"/>
        </w:rPr>
        <w:tab/>
      </w:r>
      <w:r>
        <w:rPr>
          <w:spacing w:val="-5"/>
          <w:sz w:val="12"/>
        </w:rPr>
        <w:t>5.3</w:t>
      </w:r>
    </w:p>
    <w:p>
      <w:pPr>
        <w:tabs>
          <w:tab w:pos="5637" w:val="left" w:leader="none"/>
        </w:tabs>
        <w:spacing w:before="12"/>
        <w:ind w:left="0" w:right="3644" w:firstLine="0"/>
        <w:jc w:val="center"/>
        <w:rPr>
          <w:sz w:val="12"/>
        </w:rPr>
      </w:pPr>
      <w:r>
        <w:rPr>
          <w:spacing w:val="-2"/>
          <w:sz w:val="12"/>
        </w:rPr>
        <w:t>Property,</w:t>
      </w:r>
      <w:r>
        <w:rPr>
          <w:spacing w:val="-1"/>
          <w:sz w:val="12"/>
        </w:rPr>
        <w:t> </w:t>
      </w:r>
      <w:r>
        <w:rPr>
          <w:spacing w:val="-2"/>
          <w:sz w:val="12"/>
        </w:rPr>
        <w:t>plant</w:t>
      </w:r>
      <w:r>
        <w:rPr>
          <w:spacing w:val="-1"/>
          <w:sz w:val="12"/>
        </w:rPr>
        <w:t> </w:t>
      </w:r>
      <w:r>
        <w:rPr>
          <w:spacing w:val="-2"/>
          <w:sz w:val="12"/>
        </w:rPr>
        <w:t>and equipment</w:t>
      </w:r>
      <w:r>
        <w:rPr>
          <w:sz w:val="12"/>
        </w:rPr>
        <w:tab/>
      </w:r>
      <w:r>
        <w:rPr>
          <w:spacing w:val="-5"/>
          <w:sz w:val="12"/>
        </w:rPr>
        <w:t>5.5</w:t>
      </w:r>
    </w:p>
    <w:p>
      <w:pPr>
        <w:tabs>
          <w:tab w:pos="5637" w:val="left" w:leader="none"/>
        </w:tabs>
        <w:spacing w:before="13"/>
        <w:ind w:left="0" w:right="3644" w:firstLine="0"/>
        <w:jc w:val="center"/>
        <w:rPr>
          <w:sz w:val="12"/>
        </w:rPr>
      </w:pPr>
      <w:r>
        <w:rPr>
          <w:spacing w:val="-2"/>
          <w:sz w:val="12"/>
        </w:rPr>
        <w:t>Impairment</w:t>
      </w:r>
      <w:r>
        <w:rPr>
          <w:sz w:val="12"/>
        </w:rPr>
        <w:tab/>
      </w:r>
      <w:r>
        <w:rPr>
          <w:spacing w:val="-5"/>
          <w:sz w:val="12"/>
        </w:rPr>
        <w:t>5.5</w:t>
      </w:r>
    </w:p>
    <w:p>
      <w:pPr>
        <w:pStyle w:val="ListParagraph"/>
        <w:numPr>
          <w:ilvl w:val="1"/>
          <w:numId w:val="13"/>
        </w:numPr>
        <w:tabs>
          <w:tab w:pos="770" w:val="left" w:leader="none"/>
          <w:tab w:pos="5565" w:val="left" w:leader="none"/>
          <w:tab w:pos="7862" w:val="left" w:leader="none"/>
        </w:tabs>
        <w:spacing w:line="240" w:lineRule="auto" w:before="460" w:after="0"/>
        <w:ind w:left="770" w:right="0" w:hanging="530"/>
        <w:jc w:val="left"/>
        <w:rPr>
          <w:b/>
          <w:color w:val="0070C0"/>
          <w:sz w:val="14"/>
        </w:rPr>
      </w:pPr>
      <w:r>
        <w:rPr/>
        <mc:AlternateContent>
          <mc:Choice Requires="wps">
            <w:drawing>
              <wp:anchor distT="0" distB="0" distL="0" distR="0" allowOverlap="1" layoutInCell="1" locked="0" behindDoc="0" simplePos="0" relativeHeight="15872000">
                <wp:simplePos x="0" y="0"/>
                <wp:positionH relativeFrom="page">
                  <wp:posOffset>720001</wp:posOffset>
                </wp:positionH>
                <wp:positionV relativeFrom="paragraph">
                  <wp:posOffset>186259</wp:posOffset>
                </wp:positionV>
                <wp:extent cx="5738495" cy="14604"/>
                <wp:effectExtent l="0" t="0" r="0" b="0"/>
                <wp:wrapNone/>
                <wp:docPr id="885" name="Graphic 885"/>
                <wp:cNvGraphicFramePr>
                  <a:graphicFrameLocks/>
                </wp:cNvGraphicFramePr>
                <a:graphic>
                  <a:graphicData uri="http://schemas.microsoft.com/office/word/2010/wordprocessingShape">
                    <wps:wsp>
                      <wps:cNvPr id="885" name="Graphic 885"/>
                      <wps:cNvSpPr/>
                      <wps:spPr>
                        <a:xfrm>
                          <a:off x="0" y="0"/>
                          <a:ext cx="5738495" cy="14604"/>
                        </a:xfrm>
                        <a:custGeom>
                          <a:avLst/>
                          <a:gdLst/>
                          <a:ahLst/>
                          <a:cxnLst/>
                          <a:rect l="l" t="t" r="r" b="b"/>
                          <a:pathLst>
                            <a:path w="5738495" h="14604">
                              <a:moveTo>
                                <a:pt x="5738075" y="0"/>
                              </a:moveTo>
                              <a:lnTo>
                                <a:pt x="0" y="0"/>
                              </a:lnTo>
                              <a:lnTo>
                                <a:pt x="0" y="14249"/>
                              </a:lnTo>
                              <a:lnTo>
                                <a:pt x="5738075" y="14249"/>
                              </a:lnTo>
                              <a:lnTo>
                                <a:pt x="5738075"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6.693001pt;margin-top:14.666098pt;width:451.817pt;height:1.122pt;mso-position-horizontal-relative:page;mso-position-vertical-relative:paragraph;z-index:15872000" id="docshape579" filled="true" fillcolor="#4f81bd" stroked="false">
                <v:fill type="solid"/>
                <w10:wrap type="none"/>
              </v:rect>
            </w:pict>
          </mc:Fallback>
        </mc:AlternateContent>
      </w:r>
      <w:r>
        <w:rPr>
          <w:b/>
          <w:color w:val="0070C0"/>
          <w:sz w:val="14"/>
        </w:rPr>
        <w:t>Unrestricted</w:t>
      </w:r>
      <w:r>
        <w:rPr>
          <w:b/>
          <w:color w:val="0070C0"/>
          <w:spacing w:val="10"/>
          <w:sz w:val="14"/>
        </w:rPr>
        <w:t> </w:t>
      </w:r>
      <w:r>
        <w:rPr>
          <w:b/>
          <w:color w:val="0070C0"/>
          <w:sz w:val="14"/>
        </w:rPr>
        <w:t>and</w:t>
      </w:r>
      <w:r>
        <w:rPr>
          <w:b/>
          <w:color w:val="0070C0"/>
          <w:spacing w:val="10"/>
          <w:sz w:val="14"/>
        </w:rPr>
        <w:t> </w:t>
      </w:r>
      <w:r>
        <w:rPr>
          <w:b/>
          <w:color w:val="0070C0"/>
          <w:sz w:val="14"/>
        </w:rPr>
        <w:t>restricted</w:t>
      </w:r>
      <w:r>
        <w:rPr>
          <w:b/>
          <w:color w:val="0070C0"/>
          <w:spacing w:val="10"/>
          <w:sz w:val="14"/>
        </w:rPr>
        <w:t> </w:t>
      </w:r>
      <w:r>
        <w:rPr>
          <w:b/>
          <w:color w:val="0070C0"/>
          <w:spacing w:val="-2"/>
          <w:sz w:val="14"/>
        </w:rPr>
        <w:t>assets</w:t>
      </w:r>
      <w:r>
        <w:rPr>
          <w:b/>
          <w:color w:val="0070C0"/>
          <w:sz w:val="14"/>
        </w:rPr>
        <w:tab/>
      </w:r>
      <w:r>
        <w:rPr>
          <w:b/>
          <w:spacing w:val="-2"/>
          <w:sz w:val="12"/>
        </w:rPr>
        <w:t>Consolidated</w:t>
      </w:r>
      <w:r>
        <w:rPr>
          <w:b/>
          <w:sz w:val="12"/>
        </w:rPr>
        <w:tab/>
      </w:r>
      <w:r>
        <w:rPr>
          <w:b/>
          <w:spacing w:val="-2"/>
          <w:sz w:val="12"/>
        </w:rPr>
        <w:t>University</w:t>
      </w:r>
    </w:p>
    <w:tbl>
      <w:tblPr>
        <w:tblW w:w="0" w:type="auto"/>
        <w:jc w:val="left"/>
        <w:tblInd w:w="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092"/>
        <w:gridCol w:w="1300"/>
        <w:gridCol w:w="1105"/>
        <w:gridCol w:w="1105"/>
        <w:gridCol w:w="912"/>
      </w:tblGrid>
      <w:tr>
        <w:trPr>
          <w:trHeight w:val="313" w:hRule="atLeast"/>
        </w:trPr>
        <w:tc>
          <w:tcPr>
            <w:tcW w:w="5392" w:type="dxa"/>
            <w:gridSpan w:val="2"/>
          </w:tcPr>
          <w:p>
            <w:pPr>
              <w:pStyle w:val="TableParagraph"/>
              <w:spacing w:before="15"/>
              <w:ind w:right="609"/>
              <w:jc w:val="right"/>
              <w:rPr>
                <w:b/>
                <w:sz w:val="12"/>
              </w:rPr>
            </w:pPr>
            <w:r>
              <w:rPr>
                <w:b/>
                <w:spacing w:val="-4"/>
                <w:sz w:val="12"/>
              </w:rPr>
              <w:t>2020</w:t>
            </w:r>
          </w:p>
          <w:p>
            <w:pPr>
              <w:pStyle w:val="TableParagraph"/>
              <w:spacing w:line="130" w:lineRule="exact" w:before="10"/>
              <w:ind w:right="595"/>
              <w:jc w:val="right"/>
              <w:rPr>
                <w:b/>
                <w:sz w:val="12"/>
              </w:rPr>
            </w:pPr>
            <w:r>
              <w:rPr>
                <w:b/>
                <w:spacing w:val="-2"/>
                <w:sz w:val="12"/>
              </w:rPr>
              <w:t>$'000</w:t>
            </w:r>
          </w:p>
        </w:tc>
        <w:tc>
          <w:tcPr>
            <w:tcW w:w="1105" w:type="dxa"/>
            <w:tcBorders>
              <w:bottom w:val="single" w:sz="6" w:space="0" w:color="000000"/>
            </w:tcBorders>
          </w:tcPr>
          <w:p>
            <w:pPr>
              <w:pStyle w:val="TableParagraph"/>
              <w:spacing w:before="15"/>
              <w:ind w:left="232"/>
              <w:rPr>
                <w:b/>
                <w:sz w:val="12"/>
              </w:rPr>
            </w:pPr>
            <w:r>
              <w:rPr>
                <w:b/>
                <w:spacing w:val="-4"/>
                <w:sz w:val="12"/>
              </w:rPr>
              <w:t>2019</w:t>
            </w:r>
          </w:p>
          <w:p>
            <w:pPr>
              <w:pStyle w:val="TableParagraph"/>
              <w:spacing w:line="130" w:lineRule="exact" w:before="10"/>
              <w:ind w:left="217"/>
              <w:rPr>
                <w:b/>
                <w:sz w:val="12"/>
              </w:rPr>
            </w:pPr>
            <w:r>
              <w:rPr>
                <w:b/>
                <w:spacing w:val="-2"/>
                <w:sz w:val="12"/>
              </w:rPr>
              <w:t>$'000</w:t>
            </w:r>
          </w:p>
        </w:tc>
        <w:tc>
          <w:tcPr>
            <w:tcW w:w="1105" w:type="dxa"/>
            <w:tcBorders>
              <w:bottom w:val="single" w:sz="6" w:space="0" w:color="000000"/>
            </w:tcBorders>
          </w:tcPr>
          <w:p>
            <w:pPr>
              <w:pStyle w:val="TableParagraph"/>
              <w:spacing w:before="15"/>
              <w:ind w:left="232"/>
              <w:rPr>
                <w:b/>
                <w:sz w:val="12"/>
              </w:rPr>
            </w:pPr>
            <w:r>
              <w:rPr>
                <w:b/>
                <w:spacing w:val="-4"/>
                <w:sz w:val="12"/>
              </w:rPr>
              <w:t>2020</w:t>
            </w:r>
          </w:p>
          <w:p>
            <w:pPr>
              <w:pStyle w:val="TableParagraph"/>
              <w:spacing w:line="130" w:lineRule="exact" w:before="10"/>
              <w:ind w:left="216"/>
              <w:rPr>
                <w:b/>
                <w:sz w:val="12"/>
              </w:rPr>
            </w:pPr>
            <w:r>
              <w:rPr>
                <w:b/>
                <w:spacing w:val="-2"/>
                <w:sz w:val="12"/>
              </w:rPr>
              <w:t>$'000</w:t>
            </w:r>
          </w:p>
        </w:tc>
        <w:tc>
          <w:tcPr>
            <w:tcW w:w="912" w:type="dxa"/>
            <w:tcBorders>
              <w:bottom w:val="single" w:sz="6" w:space="0" w:color="000000"/>
            </w:tcBorders>
          </w:tcPr>
          <w:p>
            <w:pPr>
              <w:pStyle w:val="TableParagraph"/>
              <w:spacing w:before="15"/>
              <w:ind w:left="232"/>
              <w:rPr>
                <w:b/>
                <w:sz w:val="12"/>
              </w:rPr>
            </w:pPr>
            <w:r>
              <w:rPr>
                <w:b/>
                <w:spacing w:val="-4"/>
                <w:sz w:val="12"/>
              </w:rPr>
              <w:t>2019</w:t>
            </w:r>
          </w:p>
          <w:p>
            <w:pPr>
              <w:pStyle w:val="TableParagraph"/>
              <w:spacing w:line="130" w:lineRule="exact" w:before="10"/>
              <w:ind w:left="216"/>
              <w:rPr>
                <w:b/>
                <w:sz w:val="12"/>
              </w:rPr>
            </w:pPr>
            <w:r>
              <w:rPr>
                <w:b/>
                <w:spacing w:val="-2"/>
                <w:sz w:val="12"/>
              </w:rPr>
              <w:t>$'000</w:t>
            </w:r>
          </w:p>
        </w:tc>
      </w:tr>
      <w:tr>
        <w:trPr>
          <w:trHeight w:val="138" w:hRule="atLeast"/>
        </w:trPr>
        <w:tc>
          <w:tcPr>
            <w:tcW w:w="4092" w:type="dxa"/>
          </w:tcPr>
          <w:p>
            <w:pPr>
              <w:pStyle w:val="TableParagraph"/>
              <w:spacing w:line="119" w:lineRule="exact"/>
              <w:ind w:left="30"/>
              <w:rPr>
                <w:b/>
                <w:sz w:val="12"/>
              </w:rPr>
            </w:pPr>
            <w:r>
              <w:rPr>
                <w:b/>
                <w:spacing w:val="-2"/>
                <w:sz w:val="12"/>
              </w:rPr>
              <w:t>Unrestricted</w:t>
            </w:r>
            <w:r>
              <w:rPr>
                <w:b/>
                <w:spacing w:val="5"/>
                <w:sz w:val="12"/>
              </w:rPr>
              <w:t> </w:t>
            </w:r>
            <w:r>
              <w:rPr>
                <w:b/>
                <w:spacing w:val="-2"/>
                <w:sz w:val="12"/>
              </w:rPr>
              <w:t>assets</w:t>
            </w:r>
          </w:p>
        </w:tc>
        <w:tc>
          <w:tcPr>
            <w:tcW w:w="1300" w:type="dxa"/>
            <w:tcBorders>
              <w:top w:val="single" w:sz="6" w:space="0" w:color="000000"/>
            </w:tcBorders>
          </w:tcPr>
          <w:p>
            <w:pPr>
              <w:pStyle w:val="TableParagraph"/>
              <w:rPr>
                <w:rFonts w:ascii="Times New Roman"/>
                <w:sz w:val="8"/>
              </w:rPr>
            </w:pPr>
          </w:p>
        </w:tc>
        <w:tc>
          <w:tcPr>
            <w:tcW w:w="1105" w:type="dxa"/>
            <w:tcBorders>
              <w:top w:val="single" w:sz="6" w:space="0" w:color="000000"/>
            </w:tcBorders>
          </w:tcPr>
          <w:p>
            <w:pPr>
              <w:pStyle w:val="TableParagraph"/>
              <w:rPr>
                <w:rFonts w:ascii="Times New Roman"/>
                <w:sz w:val="8"/>
              </w:rPr>
            </w:pPr>
          </w:p>
        </w:tc>
        <w:tc>
          <w:tcPr>
            <w:tcW w:w="1105" w:type="dxa"/>
            <w:tcBorders>
              <w:top w:val="single" w:sz="6" w:space="0" w:color="000000"/>
            </w:tcBorders>
          </w:tcPr>
          <w:p>
            <w:pPr>
              <w:pStyle w:val="TableParagraph"/>
              <w:rPr>
                <w:rFonts w:ascii="Times New Roman"/>
                <w:sz w:val="8"/>
              </w:rPr>
            </w:pPr>
          </w:p>
        </w:tc>
        <w:tc>
          <w:tcPr>
            <w:tcW w:w="912" w:type="dxa"/>
            <w:tcBorders>
              <w:top w:val="single" w:sz="6" w:space="0" w:color="000000"/>
            </w:tcBorders>
          </w:tcPr>
          <w:p>
            <w:pPr>
              <w:pStyle w:val="TableParagraph"/>
              <w:rPr>
                <w:rFonts w:ascii="Times New Roman"/>
                <w:sz w:val="8"/>
              </w:rPr>
            </w:pPr>
          </w:p>
        </w:tc>
      </w:tr>
      <w:tr>
        <w:trPr>
          <w:trHeight w:val="148" w:hRule="atLeast"/>
        </w:trPr>
        <w:tc>
          <w:tcPr>
            <w:tcW w:w="4092" w:type="dxa"/>
          </w:tcPr>
          <w:p>
            <w:pPr>
              <w:pStyle w:val="TableParagraph"/>
              <w:spacing w:line="128" w:lineRule="exact"/>
              <w:ind w:left="30"/>
              <w:rPr>
                <w:sz w:val="12"/>
              </w:rPr>
            </w:pPr>
            <w:r>
              <w:rPr>
                <w:sz w:val="12"/>
              </w:rPr>
              <w:t>Cash</w:t>
            </w:r>
            <w:r>
              <w:rPr>
                <w:spacing w:val="-8"/>
                <w:sz w:val="12"/>
              </w:rPr>
              <w:t> </w:t>
            </w:r>
            <w:r>
              <w:rPr>
                <w:sz w:val="12"/>
              </w:rPr>
              <w:t>and</w:t>
            </w:r>
            <w:r>
              <w:rPr>
                <w:spacing w:val="-7"/>
                <w:sz w:val="12"/>
              </w:rPr>
              <w:t> </w:t>
            </w:r>
            <w:r>
              <w:rPr>
                <w:sz w:val="12"/>
              </w:rPr>
              <w:t>cash</w:t>
            </w:r>
            <w:r>
              <w:rPr>
                <w:spacing w:val="-8"/>
                <w:sz w:val="12"/>
              </w:rPr>
              <w:t> </w:t>
            </w:r>
            <w:r>
              <w:rPr>
                <w:spacing w:val="-2"/>
                <w:sz w:val="12"/>
              </w:rPr>
              <w:t>equivalents</w:t>
            </w:r>
          </w:p>
        </w:tc>
        <w:tc>
          <w:tcPr>
            <w:tcW w:w="1300" w:type="dxa"/>
          </w:tcPr>
          <w:p>
            <w:pPr>
              <w:pStyle w:val="TableParagraph"/>
              <w:spacing w:line="128" w:lineRule="exact"/>
              <w:ind w:right="256"/>
              <w:jc w:val="right"/>
              <w:rPr>
                <w:sz w:val="12"/>
              </w:rPr>
            </w:pPr>
            <w:r>
              <w:rPr>
                <w:spacing w:val="-2"/>
                <w:sz w:val="12"/>
              </w:rPr>
              <w:t>62,996</w:t>
            </w:r>
          </w:p>
        </w:tc>
        <w:tc>
          <w:tcPr>
            <w:tcW w:w="1105" w:type="dxa"/>
          </w:tcPr>
          <w:p>
            <w:pPr>
              <w:pStyle w:val="TableParagraph"/>
              <w:spacing w:line="128" w:lineRule="exact"/>
              <w:ind w:right="257"/>
              <w:jc w:val="right"/>
              <w:rPr>
                <w:sz w:val="12"/>
              </w:rPr>
            </w:pPr>
            <w:r>
              <w:rPr>
                <w:spacing w:val="-2"/>
                <w:sz w:val="12"/>
              </w:rPr>
              <w:t>43,687</w:t>
            </w:r>
          </w:p>
        </w:tc>
        <w:tc>
          <w:tcPr>
            <w:tcW w:w="1105" w:type="dxa"/>
          </w:tcPr>
          <w:p>
            <w:pPr>
              <w:pStyle w:val="TableParagraph"/>
              <w:spacing w:line="128" w:lineRule="exact"/>
              <w:ind w:right="257"/>
              <w:jc w:val="right"/>
              <w:rPr>
                <w:sz w:val="12"/>
              </w:rPr>
            </w:pPr>
            <w:r>
              <w:rPr>
                <w:spacing w:val="-2"/>
                <w:sz w:val="12"/>
              </w:rPr>
              <w:t>52,295</w:t>
            </w:r>
          </w:p>
        </w:tc>
        <w:tc>
          <w:tcPr>
            <w:tcW w:w="912" w:type="dxa"/>
          </w:tcPr>
          <w:p>
            <w:pPr>
              <w:pStyle w:val="TableParagraph"/>
              <w:spacing w:line="128" w:lineRule="exact"/>
              <w:ind w:right="65"/>
              <w:jc w:val="right"/>
              <w:rPr>
                <w:sz w:val="12"/>
              </w:rPr>
            </w:pPr>
            <w:r>
              <w:rPr>
                <w:spacing w:val="-2"/>
                <w:sz w:val="12"/>
              </w:rPr>
              <w:t>30,847</w:t>
            </w:r>
          </w:p>
        </w:tc>
      </w:tr>
      <w:tr>
        <w:trPr>
          <w:trHeight w:val="148" w:hRule="atLeast"/>
        </w:trPr>
        <w:tc>
          <w:tcPr>
            <w:tcW w:w="4092" w:type="dxa"/>
          </w:tcPr>
          <w:p>
            <w:pPr>
              <w:pStyle w:val="TableParagraph"/>
              <w:spacing w:line="128" w:lineRule="exact"/>
              <w:ind w:left="30"/>
              <w:rPr>
                <w:sz w:val="12"/>
              </w:rPr>
            </w:pPr>
            <w:r>
              <w:rPr>
                <w:spacing w:val="-2"/>
                <w:sz w:val="12"/>
              </w:rPr>
              <w:t>Receivables</w:t>
            </w:r>
          </w:p>
        </w:tc>
        <w:tc>
          <w:tcPr>
            <w:tcW w:w="1300" w:type="dxa"/>
          </w:tcPr>
          <w:p>
            <w:pPr>
              <w:pStyle w:val="TableParagraph"/>
              <w:spacing w:line="128" w:lineRule="exact"/>
              <w:ind w:right="256"/>
              <w:jc w:val="right"/>
              <w:rPr>
                <w:sz w:val="12"/>
              </w:rPr>
            </w:pPr>
            <w:r>
              <w:rPr>
                <w:spacing w:val="-2"/>
                <w:sz w:val="12"/>
              </w:rPr>
              <w:t>41,322</w:t>
            </w:r>
          </w:p>
        </w:tc>
        <w:tc>
          <w:tcPr>
            <w:tcW w:w="1105" w:type="dxa"/>
          </w:tcPr>
          <w:p>
            <w:pPr>
              <w:pStyle w:val="TableParagraph"/>
              <w:spacing w:line="128" w:lineRule="exact"/>
              <w:ind w:right="257"/>
              <w:jc w:val="right"/>
              <w:rPr>
                <w:sz w:val="12"/>
              </w:rPr>
            </w:pPr>
            <w:r>
              <w:rPr>
                <w:spacing w:val="-2"/>
                <w:sz w:val="12"/>
              </w:rPr>
              <w:t>54,131</w:t>
            </w:r>
          </w:p>
        </w:tc>
        <w:tc>
          <w:tcPr>
            <w:tcW w:w="1105" w:type="dxa"/>
          </w:tcPr>
          <w:p>
            <w:pPr>
              <w:pStyle w:val="TableParagraph"/>
              <w:spacing w:line="128" w:lineRule="exact"/>
              <w:ind w:right="257"/>
              <w:jc w:val="right"/>
              <w:rPr>
                <w:sz w:val="12"/>
              </w:rPr>
            </w:pPr>
            <w:r>
              <w:rPr>
                <w:spacing w:val="-2"/>
                <w:sz w:val="12"/>
              </w:rPr>
              <w:t>40,744</w:t>
            </w:r>
          </w:p>
        </w:tc>
        <w:tc>
          <w:tcPr>
            <w:tcW w:w="912" w:type="dxa"/>
          </w:tcPr>
          <w:p>
            <w:pPr>
              <w:pStyle w:val="TableParagraph"/>
              <w:spacing w:line="128" w:lineRule="exact"/>
              <w:ind w:right="65"/>
              <w:jc w:val="right"/>
              <w:rPr>
                <w:sz w:val="12"/>
              </w:rPr>
            </w:pPr>
            <w:r>
              <w:rPr>
                <w:spacing w:val="-2"/>
                <w:sz w:val="12"/>
              </w:rPr>
              <w:t>53,136</w:t>
            </w:r>
          </w:p>
        </w:tc>
      </w:tr>
      <w:tr>
        <w:trPr>
          <w:trHeight w:val="148" w:hRule="atLeast"/>
        </w:trPr>
        <w:tc>
          <w:tcPr>
            <w:tcW w:w="4092" w:type="dxa"/>
          </w:tcPr>
          <w:p>
            <w:pPr>
              <w:pStyle w:val="TableParagraph"/>
              <w:spacing w:line="128" w:lineRule="exact"/>
              <w:ind w:left="30"/>
              <w:rPr>
                <w:sz w:val="12"/>
              </w:rPr>
            </w:pPr>
            <w:r>
              <w:rPr>
                <w:spacing w:val="-2"/>
                <w:sz w:val="12"/>
              </w:rPr>
              <w:t>Contract</w:t>
            </w:r>
            <w:r>
              <w:rPr>
                <w:spacing w:val="3"/>
                <w:sz w:val="12"/>
              </w:rPr>
              <w:t> </w:t>
            </w:r>
            <w:r>
              <w:rPr>
                <w:spacing w:val="-2"/>
                <w:sz w:val="12"/>
              </w:rPr>
              <w:t>assets</w:t>
            </w:r>
          </w:p>
        </w:tc>
        <w:tc>
          <w:tcPr>
            <w:tcW w:w="1300" w:type="dxa"/>
          </w:tcPr>
          <w:p>
            <w:pPr>
              <w:pStyle w:val="TableParagraph"/>
              <w:spacing w:line="128" w:lineRule="exact"/>
              <w:ind w:right="256"/>
              <w:jc w:val="right"/>
              <w:rPr>
                <w:sz w:val="12"/>
              </w:rPr>
            </w:pPr>
            <w:r>
              <w:rPr>
                <w:spacing w:val="-5"/>
                <w:sz w:val="12"/>
              </w:rPr>
              <w:t>310</w:t>
            </w:r>
          </w:p>
        </w:tc>
        <w:tc>
          <w:tcPr>
            <w:tcW w:w="1105" w:type="dxa"/>
          </w:tcPr>
          <w:p>
            <w:pPr>
              <w:pStyle w:val="TableParagraph"/>
              <w:spacing w:line="128" w:lineRule="exact"/>
              <w:ind w:right="257"/>
              <w:jc w:val="right"/>
              <w:rPr>
                <w:sz w:val="12"/>
              </w:rPr>
            </w:pPr>
            <w:r>
              <w:rPr>
                <w:spacing w:val="-2"/>
                <w:sz w:val="12"/>
              </w:rPr>
              <w:t>1,057</w:t>
            </w:r>
          </w:p>
        </w:tc>
        <w:tc>
          <w:tcPr>
            <w:tcW w:w="1105" w:type="dxa"/>
          </w:tcPr>
          <w:p>
            <w:pPr>
              <w:pStyle w:val="TableParagraph"/>
              <w:spacing w:line="128" w:lineRule="exact"/>
              <w:ind w:right="257"/>
              <w:jc w:val="right"/>
              <w:rPr>
                <w:sz w:val="12"/>
              </w:rPr>
            </w:pPr>
            <w:r>
              <w:rPr>
                <w:spacing w:val="-5"/>
                <w:sz w:val="12"/>
              </w:rPr>
              <w:t>310</w:t>
            </w:r>
          </w:p>
        </w:tc>
        <w:tc>
          <w:tcPr>
            <w:tcW w:w="912" w:type="dxa"/>
          </w:tcPr>
          <w:p>
            <w:pPr>
              <w:pStyle w:val="TableParagraph"/>
              <w:spacing w:line="128" w:lineRule="exact"/>
              <w:ind w:right="65"/>
              <w:jc w:val="right"/>
              <w:rPr>
                <w:sz w:val="12"/>
              </w:rPr>
            </w:pPr>
            <w:r>
              <w:rPr>
                <w:spacing w:val="-2"/>
                <w:sz w:val="12"/>
              </w:rPr>
              <w:t>1,057</w:t>
            </w:r>
          </w:p>
        </w:tc>
      </w:tr>
      <w:tr>
        <w:trPr>
          <w:trHeight w:val="148" w:hRule="atLeast"/>
        </w:trPr>
        <w:tc>
          <w:tcPr>
            <w:tcW w:w="4092" w:type="dxa"/>
          </w:tcPr>
          <w:p>
            <w:pPr>
              <w:pStyle w:val="TableParagraph"/>
              <w:spacing w:line="128" w:lineRule="exact"/>
              <w:ind w:left="30"/>
              <w:rPr>
                <w:sz w:val="12"/>
              </w:rPr>
            </w:pPr>
            <w:r>
              <w:rPr>
                <w:spacing w:val="-2"/>
                <w:sz w:val="12"/>
              </w:rPr>
              <w:t>Inventories</w:t>
            </w:r>
          </w:p>
        </w:tc>
        <w:tc>
          <w:tcPr>
            <w:tcW w:w="1300" w:type="dxa"/>
          </w:tcPr>
          <w:p>
            <w:pPr>
              <w:pStyle w:val="TableParagraph"/>
              <w:spacing w:line="128" w:lineRule="exact"/>
              <w:ind w:right="256"/>
              <w:jc w:val="right"/>
              <w:rPr>
                <w:sz w:val="12"/>
              </w:rPr>
            </w:pPr>
            <w:r>
              <w:rPr>
                <w:spacing w:val="-5"/>
                <w:sz w:val="12"/>
              </w:rPr>
              <w:t>686</w:t>
            </w:r>
          </w:p>
        </w:tc>
        <w:tc>
          <w:tcPr>
            <w:tcW w:w="1105" w:type="dxa"/>
          </w:tcPr>
          <w:p>
            <w:pPr>
              <w:pStyle w:val="TableParagraph"/>
              <w:spacing w:line="128" w:lineRule="exact"/>
              <w:ind w:right="257"/>
              <w:jc w:val="right"/>
              <w:rPr>
                <w:sz w:val="12"/>
              </w:rPr>
            </w:pPr>
            <w:r>
              <w:rPr>
                <w:spacing w:val="-5"/>
                <w:sz w:val="12"/>
              </w:rPr>
              <w:t>986</w:t>
            </w:r>
          </w:p>
        </w:tc>
        <w:tc>
          <w:tcPr>
            <w:tcW w:w="1105" w:type="dxa"/>
          </w:tcPr>
          <w:p>
            <w:pPr>
              <w:pStyle w:val="TableParagraph"/>
              <w:spacing w:line="128" w:lineRule="exact"/>
              <w:ind w:right="257"/>
              <w:jc w:val="right"/>
              <w:rPr>
                <w:sz w:val="12"/>
              </w:rPr>
            </w:pPr>
            <w:r>
              <w:rPr>
                <w:spacing w:val="-5"/>
                <w:sz w:val="12"/>
              </w:rPr>
              <w:t>389</w:t>
            </w:r>
          </w:p>
        </w:tc>
        <w:tc>
          <w:tcPr>
            <w:tcW w:w="912" w:type="dxa"/>
          </w:tcPr>
          <w:p>
            <w:pPr>
              <w:pStyle w:val="TableParagraph"/>
              <w:spacing w:line="128" w:lineRule="exact"/>
              <w:ind w:right="65"/>
              <w:jc w:val="right"/>
              <w:rPr>
                <w:sz w:val="12"/>
              </w:rPr>
            </w:pPr>
            <w:r>
              <w:rPr>
                <w:spacing w:val="-5"/>
                <w:sz w:val="12"/>
              </w:rPr>
              <w:t>755</w:t>
            </w:r>
          </w:p>
        </w:tc>
      </w:tr>
      <w:tr>
        <w:trPr>
          <w:trHeight w:val="148" w:hRule="atLeast"/>
        </w:trPr>
        <w:tc>
          <w:tcPr>
            <w:tcW w:w="4092" w:type="dxa"/>
          </w:tcPr>
          <w:p>
            <w:pPr>
              <w:pStyle w:val="TableParagraph"/>
              <w:spacing w:line="128" w:lineRule="exact"/>
              <w:ind w:left="30"/>
              <w:rPr>
                <w:sz w:val="12"/>
              </w:rPr>
            </w:pPr>
            <w:r>
              <w:rPr>
                <w:spacing w:val="-2"/>
                <w:sz w:val="12"/>
              </w:rPr>
              <w:t>Other</w:t>
            </w:r>
            <w:r>
              <w:rPr>
                <w:spacing w:val="-3"/>
                <w:sz w:val="12"/>
              </w:rPr>
              <w:t> </w:t>
            </w:r>
            <w:r>
              <w:rPr>
                <w:spacing w:val="-2"/>
                <w:sz w:val="12"/>
              </w:rPr>
              <w:t>non-financial</w:t>
            </w:r>
            <w:r>
              <w:rPr>
                <w:spacing w:val="-4"/>
                <w:sz w:val="12"/>
              </w:rPr>
              <w:t> </w:t>
            </w:r>
            <w:r>
              <w:rPr>
                <w:spacing w:val="-2"/>
                <w:sz w:val="12"/>
              </w:rPr>
              <w:t>assets</w:t>
            </w:r>
          </w:p>
        </w:tc>
        <w:tc>
          <w:tcPr>
            <w:tcW w:w="1300" w:type="dxa"/>
          </w:tcPr>
          <w:p>
            <w:pPr>
              <w:pStyle w:val="TableParagraph"/>
              <w:spacing w:line="128" w:lineRule="exact"/>
              <w:ind w:right="256"/>
              <w:jc w:val="right"/>
              <w:rPr>
                <w:sz w:val="12"/>
              </w:rPr>
            </w:pPr>
            <w:r>
              <w:rPr>
                <w:spacing w:val="-2"/>
                <w:sz w:val="12"/>
              </w:rPr>
              <w:t>26,798</w:t>
            </w:r>
          </w:p>
        </w:tc>
        <w:tc>
          <w:tcPr>
            <w:tcW w:w="1105" w:type="dxa"/>
          </w:tcPr>
          <w:p>
            <w:pPr>
              <w:pStyle w:val="TableParagraph"/>
              <w:spacing w:line="128" w:lineRule="exact"/>
              <w:ind w:right="257"/>
              <w:jc w:val="right"/>
              <w:rPr>
                <w:sz w:val="12"/>
              </w:rPr>
            </w:pPr>
            <w:r>
              <w:rPr>
                <w:spacing w:val="-2"/>
                <w:sz w:val="12"/>
              </w:rPr>
              <w:t>26,805</w:t>
            </w:r>
          </w:p>
        </w:tc>
        <w:tc>
          <w:tcPr>
            <w:tcW w:w="1105" w:type="dxa"/>
          </w:tcPr>
          <w:p>
            <w:pPr>
              <w:pStyle w:val="TableParagraph"/>
              <w:spacing w:line="128" w:lineRule="exact"/>
              <w:ind w:right="257"/>
              <w:jc w:val="right"/>
              <w:rPr>
                <w:sz w:val="12"/>
              </w:rPr>
            </w:pPr>
            <w:r>
              <w:rPr>
                <w:spacing w:val="-2"/>
                <w:sz w:val="12"/>
              </w:rPr>
              <w:t>26,527</w:t>
            </w:r>
          </w:p>
        </w:tc>
        <w:tc>
          <w:tcPr>
            <w:tcW w:w="912" w:type="dxa"/>
          </w:tcPr>
          <w:p>
            <w:pPr>
              <w:pStyle w:val="TableParagraph"/>
              <w:spacing w:line="128" w:lineRule="exact"/>
              <w:ind w:right="66"/>
              <w:jc w:val="right"/>
              <w:rPr>
                <w:sz w:val="12"/>
              </w:rPr>
            </w:pPr>
            <w:r>
              <w:rPr>
                <w:spacing w:val="-2"/>
                <w:sz w:val="12"/>
              </w:rPr>
              <w:t>25,377</w:t>
            </w:r>
          </w:p>
        </w:tc>
      </w:tr>
      <w:tr>
        <w:trPr>
          <w:trHeight w:val="148" w:hRule="atLeast"/>
        </w:trPr>
        <w:tc>
          <w:tcPr>
            <w:tcW w:w="4092" w:type="dxa"/>
          </w:tcPr>
          <w:p>
            <w:pPr>
              <w:pStyle w:val="TableParagraph"/>
              <w:spacing w:line="128" w:lineRule="exact"/>
              <w:ind w:left="30"/>
              <w:rPr>
                <w:sz w:val="12"/>
              </w:rPr>
            </w:pPr>
            <w:r>
              <w:rPr>
                <w:spacing w:val="-2"/>
                <w:sz w:val="12"/>
              </w:rPr>
              <w:t>Other</w:t>
            </w:r>
            <w:r>
              <w:rPr>
                <w:sz w:val="12"/>
              </w:rPr>
              <w:t> </w:t>
            </w:r>
            <w:r>
              <w:rPr>
                <w:spacing w:val="-2"/>
                <w:sz w:val="12"/>
              </w:rPr>
              <w:t>financial</w:t>
            </w:r>
            <w:r>
              <w:rPr>
                <w:spacing w:val="-3"/>
                <w:sz w:val="12"/>
              </w:rPr>
              <w:t> </w:t>
            </w:r>
            <w:r>
              <w:rPr>
                <w:spacing w:val="-2"/>
                <w:sz w:val="12"/>
              </w:rPr>
              <w:t>assets</w:t>
            </w:r>
          </w:p>
        </w:tc>
        <w:tc>
          <w:tcPr>
            <w:tcW w:w="1300" w:type="dxa"/>
          </w:tcPr>
          <w:p>
            <w:pPr>
              <w:pStyle w:val="TableParagraph"/>
              <w:spacing w:line="128" w:lineRule="exact"/>
              <w:ind w:right="256"/>
              <w:jc w:val="right"/>
              <w:rPr>
                <w:sz w:val="12"/>
              </w:rPr>
            </w:pPr>
            <w:r>
              <w:rPr>
                <w:spacing w:val="-2"/>
                <w:sz w:val="12"/>
              </w:rPr>
              <w:t>116,973</w:t>
            </w:r>
          </w:p>
        </w:tc>
        <w:tc>
          <w:tcPr>
            <w:tcW w:w="1105" w:type="dxa"/>
          </w:tcPr>
          <w:p>
            <w:pPr>
              <w:pStyle w:val="TableParagraph"/>
              <w:spacing w:line="128" w:lineRule="exact"/>
              <w:ind w:right="257"/>
              <w:jc w:val="right"/>
              <w:rPr>
                <w:sz w:val="12"/>
              </w:rPr>
            </w:pPr>
            <w:r>
              <w:rPr>
                <w:spacing w:val="-2"/>
                <w:sz w:val="12"/>
              </w:rPr>
              <w:t>68,957</w:t>
            </w:r>
          </w:p>
        </w:tc>
        <w:tc>
          <w:tcPr>
            <w:tcW w:w="1105" w:type="dxa"/>
          </w:tcPr>
          <w:p>
            <w:pPr>
              <w:pStyle w:val="TableParagraph"/>
              <w:spacing w:line="128" w:lineRule="exact"/>
              <w:ind w:right="257"/>
              <w:jc w:val="right"/>
              <w:rPr>
                <w:sz w:val="12"/>
              </w:rPr>
            </w:pPr>
            <w:r>
              <w:rPr>
                <w:spacing w:val="-2"/>
                <w:sz w:val="12"/>
              </w:rPr>
              <w:t>115,934</w:t>
            </w:r>
          </w:p>
        </w:tc>
        <w:tc>
          <w:tcPr>
            <w:tcW w:w="912" w:type="dxa"/>
          </w:tcPr>
          <w:p>
            <w:pPr>
              <w:pStyle w:val="TableParagraph"/>
              <w:spacing w:line="128" w:lineRule="exact"/>
              <w:ind w:right="66"/>
              <w:jc w:val="right"/>
              <w:rPr>
                <w:sz w:val="12"/>
              </w:rPr>
            </w:pPr>
            <w:r>
              <w:rPr>
                <w:spacing w:val="-2"/>
                <w:sz w:val="12"/>
              </w:rPr>
              <w:t>67,939</w:t>
            </w:r>
          </w:p>
        </w:tc>
      </w:tr>
      <w:tr>
        <w:trPr>
          <w:trHeight w:val="148" w:hRule="atLeast"/>
        </w:trPr>
        <w:tc>
          <w:tcPr>
            <w:tcW w:w="4092" w:type="dxa"/>
          </w:tcPr>
          <w:p>
            <w:pPr>
              <w:pStyle w:val="TableParagraph"/>
              <w:spacing w:line="128" w:lineRule="exact"/>
              <w:ind w:left="30"/>
              <w:rPr>
                <w:sz w:val="12"/>
              </w:rPr>
            </w:pPr>
            <w:r>
              <w:rPr>
                <w:spacing w:val="-2"/>
                <w:sz w:val="12"/>
              </w:rPr>
              <w:t>Properties,</w:t>
            </w:r>
            <w:r>
              <w:rPr>
                <w:sz w:val="12"/>
              </w:rPr>
              <w:t> </w:t>
            </w:r>
            <w:r>
              <w:rPr>
                <w:spacing w:val="-2"/>
                <w:sz w:val="12"/>
              </w:rPr>
              <w:t>plant</w:t>
            </w:r>
            <w:r>
              <w:rPr>
                <w:spacing w:val="1"/>
                <w:sz w:val="12"/>
              </w:rPr>
              <w:t> </w:t>
            </w:r>
            <w:r>
              <w:rPr>
                <w:spacing w:val="-2"/>
                <w:sz w:val="12"/>
              </w:rPr>
              <w:t>and</w:t>
            </w:r>
            <w:r>
              <w:rPr>
                <w:spacing w:val="-1"/>
                <w:sz w:val="12"/>
              </w:rPr>
              <w:t> </w:t>
            </w:r>
            <w:r>
              <w:rPr>
                <w:spacing w:val="-2"/>
                <w:sz w:val="12"/>
              </w:rPr>
              <w:t>equipment</w:t>
            </w:r>
          </w:p>
        </w:tc>
        <w:tc>
          <w:tcPr>
            <w:tcW w:w="1300" w:type="dxa"/>
          </w:tcPr>
          <w:p>
            <w:pPr>
              <w:pStyle w:val="TableParagraph"/>
              <w:spacing w:line="128" w:lineRule="exact"/>
              <w:ind w:right="256"/>
              <w:jc w:val="right"/>
              <w:rPr>
                <w:sz w:val="12"/>
              </w:rPr>
            </w:pPr>
            <w:r>
              <w:rPr>
                <w:spacing w:val="-2"/>
                <w:sz w:val="12"/>
              </w:rPr>
              <w:t>1,087,591</w:t>
            </w:r>
          </w:p>
        </w:tc>
        <w:tc>
          <w:tcPr>
            <w:tcW w:w="1105" w:type="dxa"/>
          </w:tcPr>
          <w:p>
            <w:pPr>
              <w:pStyle w:val="TableParagraph"/>
              <w:spacing w:line="128" w:lineRule="exact"/>
              <w:ind w:right="257"/>
              <w:jc w:val="right"/>
              <w:rPr>
                <w:sz w:val="12"/>
              </w:rPr>
            </w:pPr>
            <w:r>
              <w:rPr>
                <w:spacing w:val="-2"/>
                <w:sz w:val="12"/>
              </w:rPr>
              <w:t>1,077,163</w:t>
            </w:r>
          </w:p>
        </w:tc>
        <w:tc>
          <w:tcPr>
            <w:tcW w:w="1105" w:type="dxa"/>
          </w:tcPr>
          <w:p>
            <w:pPr>
              <w:pStyle w:val="TableParagraph"/>
              <w:spacing w:line="128" w:lineRule="exact"/>
              <w:ind w:right="257"/>
              <w:jc w:val="right"/>
              <w:rPr>
                <w:sz w:val="12"/>
              </w:rPr>
            </w:pPr>
            <w:r>
              <w:rPr>
                <w:spacing w:val="-2"/>
                <w:sz w:val="12"/>
              </w:rPr>
              <w:t>1,086,176</w:t>
            </w:r>
          </w:p>
        </w:tc>
        <w:tc>
          <w:tcPr>
            <w:tcW w:w="912" w:type="dxa"/>
          </w:tcPr>
          <w:p>
            <w:pPr>
              <w:pStyle w:val="TableParagraph"/>
              <w:spacing w:line="128" w:lineRule="exact"/>
              <w:ind w:right="64"/>
              <w:jc w:val="right"/>
              <w:rPr>
                <w:sz w:val="12"/>
              </w:rPr>
            </w:pPr>
            <w:r>
              <w:rPr>
                <w:spacing w:val="-2"/>
                <w:sz w:val="12"/>
              </w:rPr>
              <w:t>1,075,460</w:t>
            </w:r>
          </w:p>
        </w:tc>
      </w:tr>
      <w:tr>
        <w:trPr>
          <w:trHeight w:val="142" w:hRule="atLeast"/>
        </w:trPr>
        <w:tc>
          <w:tcPr>
            <w:tcW w:w="4092" w:type="dxa"/>
          </w:tcPr>
          <w:p>
            <w:pPr>
              <w:pStyle w:val="TableParagraph"/>
              <w:spacing w:line="123" w:lineRule="exact"/>
              <w:ind w:left="30"/>
              <w:rPr>
                <w:sz w:val="12"/>
              </w:rPr>
            </w:pPr>
            <w:r>
              <w:rPr>
                <w:spacing w:val="-2"/>
                <w:sz w:val="12"/>
              </w:rPr>
              <w:t>Intangible assets</w:t>
            </w:r>
          </w:p>
        </w:tc>
        <w:tc>
          <w:tcPr>
            <w:tcW w:w="1300" w:type="dxa"/>
            <w:tcBorders>
              <w:bottom w:val="single" w:sz="6" w:space="0" w:color="000000"/>
            </w:tcBorders>
          </w:tcPr>
          <w:p>
            <w:pPr>
              <w:pStyle w:val="TableParagraph"/>
              <w:spacing w:line="123" w:lineRule="exact"/>
              <w:ind w:right="256"/>
              <w:jc w:val="right"/>
              <w:rPr>
                <w:sz w:val="12"/>
              </w:rPr>
            </w:pPr>
            <w:r>
              <w:rPr>
                <w:spacing w:val="-2"/>
                <w:sz w:val="12"/>
              </w:rPr>
              <w:t>44,023</w:t>
            </w:r>
          </w:p>
        </w:tc>
        <w:tc>
          <w:tcPr>
            <w:tcW w:w="1105" w:type="dxa"/>
            <w:tcBorders>
              <w:bottom w:val="single" w:sz="6" w:space="0" w:color="000000"/>
            </w:tcBorders>
          </w:tcPr>
          <w:p>
            <w:pPr>
              <w:pStyle w:val="TableParagraph"/>
              <w:spacing w:line="123" w:lineRule="exact"/>
              <w:ind w:right="257"/>
              <w:jc w:val="right"/>
              <w:rPr>
                <w:sz w:val="12"/>
              </w:rPr>
            </w:pPr>
            <w:r>
              <w:rPr>
                <w:spacing w:val="-2"/>
                <w:sz w:val="12"/>
              </w:rPr>
              <w:t>42,734</w:t>
            </w:r>
          </w:p>
        </w:tc>
        <w:tc>
          <w:tcPr>
            <w:tcW w:w="1105" w:type="dxa"/>
            <w:tcBorders>
              <w:bottom w:val="single" w:sz="6" w:space="0" w:color="000000"/>
            </w:tcBorders>
          </w:tcPr>
          <w:p>
            <w:pPr>
              <w:pStyle w:val="TableParagraph"/>
              <w:spacing w:line="123" w:lineRule="exact"/>
              <w:ind w:right="257"/>
              <w:jc w:val="right"/>
              <w:rPr>
                <w:sz w:val="12"/>
              </w:rPr>
            </w:pPr>
            <w:r>
              <w:rPr>
                <w:spacing w:val="-2"/>
                <w:sz w:val="12"/>
              </w:rPr>
              <w:t>44,023</w:t>
            </w:r>
          </w:p>
        </w:tc>
        <w:tc>
          <w:tcPr>
            <w:tcW w:w="912" w:type="dxa"/>
            <w:tcBorders>
              <w:bottom w:val="single" w:sz="6" w:space="0" w:color="000000"/>
            </w:tcBorders>
          </w:tcPr>
          <w:p>
            <w:pPr>
              <w:pStyle w:val="TableParagraph"/>
              <w:spacing w:line="123" w:lineRule="exact"/>
              <w:ind w:right="65"/>
              <w:jc w:val="right"/>
              <w:rPr>
                <w:sz w:val="12"/>
              </w:rPr>
            </w:pPr>
            <w:r>
              <w:rPr>
                <w:spacing w:val="-2"/>
                <w:sz w:val="12"/>
              </w:rPr>
              <w:t>42,734</w:t>
            </w:r>
          </w:p>
        </w:tc>
      </w:tr>
      <w:tr>
        <w:trPr>
          <w:trHeight w:val="133" w:hRule="atLeast"/>
        </w:trPr>
        <w:tc>
          <w:tcPr>
            <w:tcW w:w="4092" w:type="dxa"/>
          </w:tcPr>
          <w:p>
            <w:pPr>
              <w:pStyle w:val="TableParagraph"/>
              <w:spacing w:line="113" w:lineRule="exact"/>
              <w:ind w:left="30"/>
              <w:rPr>
                <w:b/>
                <w:sz w:val="12"/>
              </w:rPr>
            </w:pPr>
            <w:r>
              <w:rPr>
                <w:b/>
                <w:spacing w:val="-2"/>
                <w:sz w:val="12"/>
              </w:rPr>
              <w:t>Total</w:t>
            </w:r>
            <w:r>
              <w:rPr>
                <w:b/>
                <w:spacing w:val="5"/>
                <w:sz w:val="12"/>
              </w:rPr>
              <w:t> </w:t>
            </w:r>
            <w:r>
              <w:rPr>
                <w:b/>
                <w:spacing w:val="-2"/>
                <w:sz w:val="12"/>
              </w:rPr>
              <w:t>unrestricted</w:t>
            </w:r>
            <w:r>
              <w:rPr>
                <w:b/>
                <w:spacing w:val="4"/>
                <w:sz w:val="12"/>
              </w:rPr>
              <w:t> </w:t>
            </w:r>
            <w:r>
              <w:rPr>
                <w:b/>
                <w:spacing w:val="-2"/>
                <w:sz w:val="12"/>
              </w:rPr>
              <w:t>assets</w:t>
            </w:r>
          </w:p>
        </w:tc>
        <w:tc>
          <w:tcPr>
            <w:tcW w:w="1300" w:type="dxa"/>
            <w:tcBorders>
              <w:top w:val="single" w:sz="6" w:space="0" w:color="000000"/>
              <w:bottom w:val="single" w:sz="6" w:space="0" w:color="000000"/>
            </w:tcBorders>
          </w:tcPr>
          <w:p>
            <w:pPr>
              <w:pStyle w:val="TableParagraph"/>
              <w:spacing w:line="113" w:lineRule="exact"/>
              <w:ind w:right="256"/>
              <w:jc w:val="right"/>
              <w:rPr>
                <w:b/>
                <w:sz w:val="12"/>
              </w:rPr>
            </w:pPr>
            <w:r>
              <w:rPr>
                <w:b/>
                <w:spacing w:val="-2"/>
                <w:sz w:val="12"/>
              </w:rPr>
              <w:t>1,380,699</w:t>
            </w:r>
          </w:p>
        </w:tc>
        <w:tc>
          <w:tcPr>
            <w:tcW w:w="1105" w:type="dxa"/>
            <w:tcBorders>
              <w:top w:val="single" w:sz="6" w:space="0" w:color="000000"/>
              <w:bottom w:val="single" w:sz="6" w:space="0" w:color="000000"/>
            </w:tcBorders>
          </w:tcPr>
          <w:p>
            <w:pPr>
              <w:pStyle w:val="TableParagraph"/>
              <w:spacing w:line="113" w:lineRule="exact"/>
              <w:ind w:right="257"/>
              <w:jc w:val="right"/>
              <w:rPr>
                <w:b/>
                <w:sz w:val="12"/>
              </w:rPr>
            </w:pPr>
            <w:r>
              <w:rPr>
                <w:b/>
                <w:spacing w:val="-2"/>
                <w:sz w:val="12"/>
              </w:rPr>
              <w:t>1,315,520</w:t>
            </w:r>
          </w:p>
        </w:tc>
        <w:tc>
          <w:tcPr>
            <w:tcW w:w="1105" w:type="dxa"/>
            <w:tcBorders>
              <w:top w:val="single" w:sz="6" w:space="0" w:color="000000"/>
              <w:bottom w:val="single" w:sz="6" w:space="0" w:color="000000"/>
            </w:tcBorders>
          </w:tcPr>
          <w:p>
            <w:pPr>
              <w:pStyle w:val="TableParagraph"/>
              <w:spacing w:line="113" w:lineRule="exact"/>
              <w:ind w:right="257"/>
              <w:jc w:val="right"/>
              <w:rPr>
                <w:b/>
                <w:sz w:val="12"/>
              </w:rPr>
            </w:pPr>
            <w:r>
              <w:rPr>
                <w:b/>
                <w:spacing w:val="-2"/>
                <w:sz w:val="12"/>
              </w:rPr>
              <w:t>1,366,398</w:t>
            </w:r>
          </w:p>
        </w:tc>
        <w:tc>
          <w:tcPr>
            <w:tcW w:w="912" w:type="dxa"/>
            <w:tcBorders>
              <w:top w:val="single" w:sz="6" w:space="0" w:color="000000"/>
              <w:bottom w:val="single" w:sz="6" w:space="0" w:color="000000"/>
            </w:tcBorders>
          </w:tcPr>
          <w:p>
            <w:pPr>
              <w:pStyle w:val="TableParagraph"/>
              <w:spacing w:line="113" w:lineRule="exact"/>
              <w:ind w:right="64"/>
              <w:jc w:val="right"/>
              <w:rPr>
                <w:b/>
                <w:sz w:val="12"/>
              </w:rPr>
            </w:pPr>
            <w:r>
              <w:rPr>
                <w:b/>
                <w:spacing w:val="-2"/>
                <w:sz w:val="12"/>
              </w:rPr>
              <w:t>1,297,305</w:t>
            </w:r>
          </w:p>
        </w:tc>
      </w:tr>
      <w:tr>
        <w:trPr>
          <w:trHeight w:val="302" w:hRule="atLeast"/>
        </w:trPr>
        <w:tc>
          <w:tcPr>
            <w:tcW w:w="4092" w:type="dxa"/>
          </w:tcPr>
          <w:p>
            <w:pPr>
              <w:pStyle w:val="TableParagraph"/>
              <w:spacing w:before="9"/>
              <w:rPr>
                <w:b/>
                <w:sz w:val="12"/>
              </w:rPr>
            </w:pPr>
          </w:p>
          <w:p>
            <w:pPr>
              <w:pStyle w:val="TableParagraph"/>
              <w:spacing w:line="135" w:lineRule="exact"/>
              <w:ind w:left="30"/>
              <w:rPr>
                <w:b/>
                <w:sz w:val="12"/>
              </w:rPr>
            </w:pPr>
            <w:r>
              <w:rPr>
                <w:b/>
                <w:spacing w:val="-2"/>
                <w:sz w:val="12"/>
              </w:rPr>
              <w:t>Restricted</w:t>
            </w:r>
            <w:r>
              <w:rPr>
                <w:b/>
                <w:spacing w:val="4"/>
                <w:sz w:val="12"/>
              </w:rPr>
              <w:t> </w:t>
            </w:r>
            <w:r>
              <w:rPr>
                <w:b/>
                <w:spacing w:val="-2"/>
                <w:sz w:val="12"/>
              </w:rPr>
              <w:t>Assets</w:t>
            </w:r>
          </w:p>
        </w:tc>
        <w:tc>
          <w:tcPr>
            <w:tcW w:w="1300" w:type="dxa"/>
            <w:tcBorders>
              <w:top w:val="single" w:sz="6" w:space="0" w:color="000000"/>
            </w:tcBorders>
          </w:tcPr>
          <w:p>
            <w:pPr>
              <w:pStyle w:val="TableParagraph"/>
              <w:rPr>
                <w:rFonts w:ascii="Times New Roman"/>
                <w:sz w:val="12"/>
              </w:rPr>
            </w:pPr>
          </w:p>
        </w:tc>
        <w:tc>
          <w:tcPr>
            <w:tcW w:w="1105" w:type="dxa"/>
            <w:tcBorders>
              <w:top w:val="single" w:sz="6" w:space="0" w:color="000000"/>
            </w:tcBorders>
          </w:tcPr>
          <w:p>
            <w:pPr>
              <w:pStyle w:val="TableParagraph"/>
              <w:rPr>
                <w:rFonts w:ascii="Times New Roman"/>
                <w:sz w:val="12"/>
              </w:rPr>
            </w:pPr>
          </w:p>
        </w:tc>
        <w:tc>
          <w:tcPr>
            <w:tcW w:w="1105" w:type="dxa"/>
            <w:tcBorders>
              <w:top w:val="single" w:sz="6" w:space="0" w:color="000000"/>
            </w:tcBorders>
          </w:tcPr>
          <w:p>
            <w:pPr>
              <w:pStyle w:val="TableParagraph"/>
              <w:rPr>
                <w:rFonts w:ascii="Times New Roman"/>
                <w:sz w:val="12"/>
              </w:rPr>
            </w:pPr>
          </w:p>
        </w:tc>
        <w:tc>
          <w:tcPr>
            <w:tcW w:w="912" w:type="dxa"/>
            <w:tcBorders>
              <w:top w:val="single" w:sz="6" w:space="0" w:color="000000"/>
            </w:tcBorders>
          </w:tcPr>
          <w:p>
            <w:pPr>
              <w:pStyle w:val="TableParagraph"/>
              <w:rPr>
                <w:rFonts w:ascii="Times New Roman"/>
                <w:sz w:val="12"/>
              </w:rPr>
            </w:pPr>
          </w:p>
        </w:tc>
      </w:tr>
      <w:tr>
        <w:trPr>
          <w:trHeight w:val="148" w:hRule="atLeast"/>
        </w:trPr>
        <w:tc>
          <w:tcPr>
            <w:tcW w:w="4092" w:type="dxa"/>
          </w:tcPr>
          <w:p>
            <w:pPr>
              <w:pStyle w:val="TableParagraph"/>
              <w:spacing w:line="128" w:lineRule="exact"/>
              <w:ind w:left="30"/>
              <w:rPr>
                <w:sz w:val="12"/>
              </w:rPr>
            </w:pPr>
            <w:r>
              <w:rPr>
                <w:sz w:val="12"/>
              </w:rPr>
              <w:t>Cash</w:t>
            </w:r>
            <w:r>
              <w:rPr>
                <w:spacing w:val="-8"/>
                <w:sz w:val="12"/>
              </w:rPr>
              <w:t> </w:t>
            </w:r>
            <w:r>
              <w:rPr>
                <w:sz w:val="12"/>
              </w:rPr>
              <w:t>and</w:t>
            </w:r>
            <w:r>
              <w:rPr>
                <w:spacing w:val="-7"/>
                <w:sz w:val="12"/>
              </w:rPr>
              <w:t> </w:t>
            </w:r>
            <w:r>
              <w:rPr>
                <w:sz w:val="12"/>
              </w:rPr>
              <w:t>cash</w:t>
            </w:r>
            <w:r>
              <w:rPr>
                <w:spacing w:val="-8"/>
                <w:sz w:val="12"/>
              </w:rPr>
              <w:t> </w:t>
            </w:r>
            <w:r>
              <w:rPr>
                <w:spacing w:val="-2"/>
                <w:sz w:val="12"/>
              </w:rPr>
              <w:t>equivalents</w:t>
            </w:r>
          </w:p>
        </w:tc>
        <w:tc>
          <w:tcPr>
            <w:tcW w:w="1300" w:type="dxa"/>
          </w:tcPr>
          <w:p>
            <w:pPr>
              <w:pStyle w:val="TableParagraph"/>
              <w:spacing w:line="128" w:lineRule="exact"/>
              <w:ind w:right="256"/>
              <w:jc w:val="right"/>
              <w:rPr>
                <w:sz w:val="12"/>
              </w:rPr>
            </w:pPr>
            <w:r>
              <w:rPr>
                <w:spacing w:val="-2"/>
                <w:sz w:val="12"/>
              </w:rPr>
              <w:t>64,094</w:t>
            </w:r>
          </w:p>
        </w:tc>
        <w:tc>
          <w:tcPr>
            <w:tcW w:w="1105" w:type="dxa"/>
          </w:tcPr>
          <w:p>
            <w:pPr>
              <w:pStyle w:val="TableParagraph"/>
              <w:spacing w:line="128" w:lineRule="exact"/>
              <w:ind w:right="257"/>
              <w:jc w:val="right"/>
              <w:rPr>
                <w:sz w:val="12"/>
              </w:rPr>
            </w:pPr>
            <w:r>
              <w:rPr>
                <w:spacing w:val="-2"/>
                <w:sz w:val="12"/>
              </w:rPr>
              <w:t>42,120</w:t>
            </w:r>
          </w:p>
        </w:tc>
        <w:tc>
          <w:tcPr>
            <w:tcW w:w="1105" w:type="dxa"/>
          </w:tcPr>
          <w:p>
            <w:pPr>
              <w:pStyle w:val="TableParagraph"/>
              <w:spacing w:line="128" w:lineRule="exact"/>
              <w:ind w:right="257"/>
              <w:jc w:val="right"/>
              <w:rPr>
                <w:sz w:val="12"/>
              </w:rPr>
            </w:pPr>
            <w:r>
              <w:rPr>
                <w:spacing w:val="-2"/>
                <w:sz w:val="12"/>
              </w:rPr>
              <w:t>64,094</w:t>
            </w:r>
          </w:p>
        </w:tc>
        <w:tc>
          <w:tcPr>
            <w:tcW w:w="912" w:type="dxa"/>
          </w:tcPr>
          <w:p>
            <w:pPr>
              <w:pStyle w:val="TableParagraph"/>
              <w:spacing w:line="128" w:lineRule="exact"/>
              <w:ind w:right="65"/>
              <w:jc w:val="right"/>
              <w:rPr>
                <w:sz w:val="12"/>
              </w:rPr>
            </w:pPr>
            <w:r>
              <w:rPr>
                <w:spacing w:val="-2"/>
                <w:sz w:val="12"/>
              </w:rPr>
              <w:t>42,120</w:t>
            </w:r>
          </w:p>
        </w:tc>
      </w:tr>
      <w:tr>
        <w:trPr>
          <w:trHeight w:val="148" w:hRule="atLeast"/>
        </w:trPr>
        <w:tc>
          <w:tcPr>
            <w:tcW w:w="4092" w:type="dxa"/>
          </w:tcPr>
          <w:p>
            <w:pPr>
              <w:pStyle w:val="TableParagraph"/>
              <w:spacing w:line="128" w:lineRule="exact"/>
              <w:ind w:left="30"/>
              <w:rPr>
                <w:sz w:val="12"/>
              </w:rPr>
            </w:pPr>
            <w:r>
              <w:rPr>
                <w:spacing w:val="-2"/>
                <w:sz w:val="12"/>
              </w:rPr>
              <w:t>Contract</w:t>
            </w:r>
            <w:r>
              <w:rPr>
                <w:spacing w:val="3"/>
                <w:sz w:val="12"/>
              </w:rPr>
              <w:t> </w:t>
            </w:r>
            <w:r>
              <w:rPr>
                <w:spacing w:val="-2"/>
                <w:sz w:val="12"/>
              </w:rPr>
              <w:t>assets</w:t>
            </w:r>
          </w:p>
        </w:tc>
        <w:tc>
          <w:tcPr>
            <w:tcW w:w="1300" w:type="dxa"/>
          </w:tcPr>
          <w:p>
            <w:pPr>
              <w:pStyle w:val="TableParagraph"/>
              <w:spacing w:line="128" w:lineRule="exact"/>
              <w:ind w:right="256"/>
              <w:jc w:val="right"/>
              <w:rPr>
                <w:sz w:val="12"/>
              </w:rPr>
            </w:pPr>
            <w:r>
              <w:rPr>
                <w:spacing w:val="-2"/>
                <w:sz w:val="12"/>
              </w:rPr>
              <w:t>9,234</w:t>
            </w:r>
          </w:p>
        </w:tc>
        <w:tc>
          <w:tcPr>
            <w:tcW w:w="1105" w:type="dxa"/>
          </w:tcPr>
          <w:p>
            <w:pPr>
              <w:pStyle w:val="TableParagraph"/>
              <w:spacing w:line="128" w:lineRule="exact"/>
              <w:ind w:right="217"/>
              <w:jc w:val="right"/>
              <w:rPr>
                <w:sz w:val="12"/>
              </w:rPr>
            </w:pPr>
            <w:r>
              <w:rPr>
                <w:spacing w:val="-10"/>
                <w:sz w:val="12"/>
              </w:rPr>
              <w:t>-</w:t>
            </w:r>
          </w:p>
        </w:tc>
        <w:tc>
          <w:tcPr>
            <w:tcW w:w="1105" w:type="dxa"/>
          </w:tcPr>
          <w:p>
            <w:pPr>
              <w:pStyle w:val="TableParagraph"/>
              <w:spacing w:line="128" w:lineRule="exact"/>
              <w:ind w:right="257"/>
              <w:jc w:val="right"/>
              <w:rPr>
                <w:sz w:val="12"/>
              </w:rPr>
            </w:pPr>
            <w:r>
              <w:rPr>
                <w:spacing w:val="-2"/>
                <w:sz w:val="12"/>
              </w:rPr>
              <w:t>9,234</w:t>
            </w:r>
          </w:p>
        </w:tc>
        <w:tc>
          <w:tcPr>
            <w:tcW w:w="912" w:type="dxa"/>
          </w:tcPr>
          <w:p>
            <w:pPr>
              <w:pStyle w:val="TableParagraph"/>
              <w:spacing w:line="128" w:lineRule="exact"/>
              <w:ind w:right="25"/>
              <w:jc w:val="right"/>
              <w:rPr>
                <w:sz w:val="12"/>
              </w:rPr>
            </w:pPr>
            <w:r>
              <w:rPr>
                <w:spacing w:val="-10"/>
                <w:sz w:val="12"/>
              </w:rPr>
              <w:t>-</w:t>
            </w:r>
          </w:p>
        </w:tc>
      </w:tr>
      <w:tr>
        <w:trPr>
          <w:trHeight w:val="148" w:hRule="atLeast"/>
        </w:trPr>
        <w:tc>
          <w:tcPr>
            <w:tcW w:w="4092" w:type="dxa"/>
          </w:tcPr>
          <w:p>
            <w:pPr>
              <w:pStyle w:val="TableParagraph"/>
              <w:spacing w:line="128" w:lineRule="exact"/>
              <w:ind w:left="30"/>
              <w:rPr>
                <w:sz w:val="12"/>
              </w:rPr>
            </w:pPr>
            <w:r>
              <w:rPr>
                <w:sz w:val="12"/>
              </w:rPr>
              <w:t>Assets</w:t>
            </w:r>
            <w:r>
              <w:rPr>
                <w:spacing w:val="-6"/>
                <w:sz w:val="12"/>
              </w:rPr>
              <w:t> </w:t>
            </w:r>
            <w:r>
              <w:rPr>
                <w:sz w:val="12"/>
              </w:rPr>
              <w:t>classified</w:t>
            </w:r>
            <w:r>
              <w:rPr>
                <w:spacing w:val="-8"/>
                <w:sz w:val="12"/>
              </w:rPr>
              <w:t> </w:t>
            </w:r>
            <w:r>
              <w:rPr>
                <w:sz w:val="12"/>
              </w:rPr>
              <w:t>as</w:t>
            </w:r>
            <w:r>
              <w:rPr>
                <w:spacing w:val="-6"/>
                <w:sz w:val="12"/>
              </w:rPr>
              <w:t> </w:t>
            </w:r>
            <w:r>
              <w:rPr>
                <w:sz w:val="12"/>
              </w:rPr>
              <w:t>held</w:t>
            </w:r>
            <w:r>
              <w:rPr>
                <w:spacing w:val="-7"/>
                <w:sz w:val="12"/>
              </w:rPr>
              <w:t> </w:t>
            </w:r>
            <w:r>
              <w:rPr>
                <w:sz w:val="12"/>
              </w:rPr>
              <w:t>for</w:t>
            </w:r>
            <w:r>
              <w:rPr>
                <w:spacing w:val="-6"/>
                <w:sz w:val="12"/>
              </w:rPr>
              <w:t> </w:t>
            </w:r>
            <w:r>
              <w:rPr>
                <w:spacing w:val="-4"/>
                <w:sz w:val="12"/>
              </w:rPr>
              <w:t>sale</w:t>
            </w:r>
          </w:p>
        </w:tc>
        <w:tc>
          <w:tcPr>
            <w:tcW w:w="1300" w:type="dxa"/>
          </w:tcPr>
          <w:p>
            <w:pPr>
              <w:pStyle w:val="TableParagraph"/>
              <w:spacing w:line="128" w:lineRule="exact"/>
              <w:ind w:right="217"/>
              <w:jc w:val="right"/>
              <w:rPr>
                <w:sz w:val="12"/>
              </w:rPr>
            </w:pPr>
            <w:r>
              <w:rPr>
                <w:spacing w:val="-10"/>
                <w:sz w:val="12"/>
              </w:rPr>
              <w:t>-</w:t>
            </w:r>
          </w:p>
        </w:tc>
        <w:tc>
          <w:tcPr>
            <w:tcW w:w="1105" w:type="dxa"/>
          </w:tcPr>
          <w:p>
            <w:pPr>
              <w:pStyle w:val="TableParagraph"/>
              <w:spacing w:line="128" w:lineRule="exact"/>
              <w:ind w:right="257"/>
              <w:jc w:val="right"/>
              <w:rPr>
                <w:sz w:val="12"/>
              </w:rPr>
            </w:pPr>
            <w:r>
              <w:rPr>
                <w:spacing w:val="-2"/>
                <w:sz w:val="12"/>
              </w:rPr>
              <w:t>2,288</w:t>
            </w:r>
          </w:p>
        </w:tc>
        <w:tc>
          <w:tcPr>
            <w:tcW w:w="1105" w:type="dxa"/>
          </w:tcPr>
          <w:p>
            <w:pPr>
              <w:pStyle w:val="TableParagraph"/>
              <w:spacing w:line="128" w:lineRule="exact"/>
              <w:ind w:right="217"/>
              <w:jc w:val="right"/>
              <w:rPr>
                <w:sz w:val="12"/>
              </w:rPr>
            </w:pPr>
            <w:r>
              <w:rPr>
                <w:spacing w:val="-10"/>
                <w:sz w:val="12"/>
              </w:rPr>
              <w:t>-</w:t>
            </w:r>
          </w:p>
        </w:tc>
        <w:tc>
          <w:tcPr>
            <w:tcW w:w="912" w:type="dxa"/>
          </w:tcPr>
          <w:p>
            <w:pPr>
              <w:pStyle w:val="TableParagraph"/>
              <w:spacing w:line="128" w:lineRule="exact"/>
              <w:ind w:right="65"/>
              <w:jc w:val="right"/>
              <w:rPr>
                <w:sz w:val="12"/>
              </w:rPr>
            </w:pPr>
            <w:r>
              <w:rPr>
                <w:spacing w:val="-2"/>
                <w:sz w:val="12"/>
              </w:rPr>
              <w:t>2,288</w:t>
            </w:r>
          </w:p>
        </w:tc>
      </w:tr>
      <w:tr>
        <w:trPr>
          <w:trHeight w:val="148" w:hRule="atLeast"/>
        </w:trPr>
        <w:tc>
          <w:tcPr>
            <w:tcW w:w="4092" w:type="dxa"/>
          </w:tcPr>
          <w:p>
            <w:pPr>
              <w:pStyle w:val="TableParagraph"/>
              <w:spacing w:line="128" w:lineRule="exact"/>
              <w:ind w:left="30"/>
              <w:rPr>
                <w:sz w:val="12"/>
              </w:rPr>
            </w:pPr>
            <w:r>
              <w:rPr>
                <w:spacing w:val="-2"/>
                <w:sz w:val="12"/>
              </w:rPr>
              <w:t>Investment</w:t>
            </w:r>
            <w:r>
              <w:rPr>
                <w:spacing w:val="5"/>
                <w:sz w:val="12"/>
              </w:rPr>
              <w:t> </w:t>
            </w:r>
            <w:r>
              <w:rPr>
                <w:spacing w:val="-2"/>
                <w:sz w:val="12"/>
              </w:rPr>
              <w:t>properties</w:t>
            </w:r>
          </w:p>
        </w:tc>
        <w:tc>
          <w:tcPr>
            <w:tcW w:w="1300" w:type="dxa"/>
          </w:tcPr>
          <w:p>
            <w:pPr>
              <w:pStyle w:val="TableParagraph"/>
              <w:spacing w:line="128" w:lineRule="exact"/>
              <w:ind w:right="256"/>
              <w:jc w:val="right"/>
              <w:rPr>
                <w:sz w:val="12"/>
              </w:rPr>
            </w:pPr>
            <w:r>
              <w:rPr>
                <w:spacing w:val="-2"/>
                <w:sz w:val="12"/>
              </w:rPr>
              <w:t>34,958</w:t>
            </w:r>
          </w:p>
        </w:tc>
        <w:tc>
          <w:tcPr>
            <w:tcW w:w="1105" w:type="dxa"/>
          </w:tcPr>
          <w:p>
            <w:pPr>
              <w:pStyle w:val="TableParagraph"/>
              <w:spacing w:line="128" w:lineRule="exact"/>
              <w:ind w:right="257"/>
              <w:jc w:val="right"/>
              <w:rPr>
                <w:sz w:val="12"/>
              </w:rPr>
            </w:pPr>
            <w:r>
              <w:rPr>
                <w:spacing w:val="-2"/>
                <w:sz w:val="12"/>
              </w:rPr>
              <w:t>32,072</w:t>
            </w:r>
          </w:p>
        </w:tc>
        <w:tc>
          <w:tcPr>
            <w:tcW w:w="1105" w:type="dxa"/>
          </w:tcPr>
          <w:p>
            <w:pPr>
              <w:pStyle w:val="TableParagraph"/>
              <w:spacing w:line="128" w:lineRule="exact"/>
              <w:ind w:right="257"/>
              <w:jc w:val="right"/>
              <w:rPr>
                <w:sz w:val="12"/>
              </w:rPr>
            </w:pPr>
            <w:r>
              <w:rPr>
                <w:spacing w:val="-2"/>
                <w:sz w:val="12"/>
              </w:rPr>
              <w:t>34,958</w:t>
            </w:r>
          </w:p>
        </w:tc>
        <w:tc>
          <w:tcPr>
            <w:tcW w:w="912" w:type="dxa"/>
          </w:tcPr>
          <w:p>
            <w:pPr>
              <w:pStyle w:val="TableParagraph"/>
              <w:spacing w:line="128" w:lineRule="exact"/>
              <w:ind w:right="65"/>
              <w:jc w:val="right"/>
              <w:rPr>
                <w:sz w:val="12"/>
              </w:rPr>
            </w:pPr>
            <w:r>
              <w:rPr>
                <w:spacing w:val="-2"/>
                <w:sz w:val="12"/>
              </w:rPr>
              <w:t>32,072</w:t>
            </w:r>
          </w:p>
        </w:tc>
      </w:tr>
      <w:tr>
        <w:trPr>
          <w:trHeight w:val="148" w:hRule="atLeast"/>
        </w:trPr>
        <w:tc>
          <w:tcPr>
            <w:tcW w:w="4092" w:type="dxa"/>
          </w:tcPr>
          <w:p>
            <w:pPr>
              <w:pStyle w:val="TableParagraph"/>
              <w:spacing w:line="128" w:lineRule="exact"/>
              <w:ind w:left="30"/>
              <w:rPr>
                <w:sz w:val="12"/>
              </w:rPr>
            </w:pPr>
            <w:r>
              <w:rPr>
                <w:spacing w:val="-2"/>
                <w:sz w:val="12"/>
              </w:rPr>
              <w:t>Other</w:t>
            </w:r>
            <w:r>
              <w:rPr>
                <w:sz w:val="12"/>
              </w:rPr>
              <w:t> </w:t>
            </w:r>
            <w:r>
              <w:rPr>
                <w:spacing w:val="-2"/>
                <w:sz w:val="12"/>
              </w:rPr>
              <w:t>financial</w:t>
            </w:r>
            <w:r>
              <w:rPr>
                <w:spacing w:val="-3"/>
                <w:sz w:val="12"/>
              </w:rPr>
              <w:t> </w:t>
            </w:r>
            <w:r>
              <w:rPr>
                <w:spacing w:val="-2"/>
                <w:sz w:val="12"/>
              </w:rPr>
              <w:t>assets</w:t>
            </w:r>
          </w:p>
        </w:tc>
        <w:tc>
          <w:tcPr>
            <w:tcW w:w="1300" w:type="dxa"/>
          </w:tcPr>
          <w:p>
            <w:pPr>
              <w:pStyle w:val="TableParagraph"/>
              <w:spacing w:line="128" w:lineRule="exact"/>
              <w:ind w:right="256"/>
              <w:jc w:val="right"/>
              <w:rPr>
                <w:sz w:val="12"/>
              </w:rPr>
            </w:pPr>
            <w:r>
              <w:rPr>
                <w:spacing w:val="-2"/>
                <w:sz w:val="12"/>
              </w:rPr>
              <w:t>823,175</w:t>
            </w:r>
          </w:p>
        </w:tc>
        <w:tc>
          <w:tcPr>
            <w:tcW w:w="1105" w:type="dxa"/>
          </w:tcPr>
          <w:p>
            <w:pPr>
              <w:pStyle w:val="TableParagraph"/>
              <w:spacing w:line="128" w:lineRule="exact"/>
              <w:ind w:right="257"/>
              <w:jc w:val="right"/>
              <w:rPr>
                <w:sz w:val="12"/>
              </w:rPr>
            </w:pPr>
            <w:r>
              <w:rPr>
                <w:spacing w:val="-2"/>
                <w:sz w:val="12"/>
              </w:rPr>
              <w:t>781,087</w:t>
            </w:r>
          </w:p>
        </w:tc>
        <w:tc>
          <w:tcPr>
            <w:tcW w:w="1105" w:type="dxa"/>
          </w:tcPr>
          <w:p>
            <w:pPr>
              <w:pStyle w:val="TableParagraph"/>
              <w:spacing w:line="128" w:lineRule="exact"/>
              <w:ind w:right="257"/>
              <w:jc w:val="right"/>
              <w:rPr>
                <w:sz w:val="12"/>
              </w:rPr>
            </w:pPr>
            <w:r>
              <w:rPr>
                <w:spacing w:val="-2"/>
                <w:sz w:val="12"/>
              </w:rPr>
              <w:t>823,175</w:t>
            </w:r>
          </w:p>
        </w:tc>
        <w:tc>
          <w:tcPr>
            <w:tcW w:w="912" w:type="dxa"/>
          </w:tcPr>
          <w:p>
            <w:pPr>
              <w:pStyle w:val="TableParagraph"/>
              <w:spacing w:line="128" w:lineRule="exact"/>
              <w:ind w:right="64"/>
              <w:jc w:val="right"/>
              <w:rPr>
                <w:sz w:val="12"/>
              </w:rPr>
            </w:pPr>
            <w:r>
              <w:rPr>
                <w:spacing w:val="-2"/>
                <w:sz w:val="12"/>
              </w:rPr>
              <w:t>781,087</w:t>
            </w:r>
          </w:p>
        </w:tc>
      </w:tr>
      <w:tr>
        <w:trPr>
          <w:trHeight w:val="142" w:hRule="atLeast"/>
        </w:trPr>
        <w:tc>
          <w:tcPr>
            <w:tcW w:w="4092" w:type="dxa"/>
          </w:tcPr>
          <w:p>
            <w:pPr>
              <w:pStyle w:val="TableParagraph"/>
              <w:spacing w:line="123" w:lineRule="exact"/>
              <w:ind w:left="30"/>
              <w:rPr>
                <w:sz w:val="12"/>
              </w:rPr>
            </w:pPr>
            <w:r>
              <w:rPr>
                <w:spacing w:val="-2"/>
                <w:sz w:val="12"/>
              </w:rPr>
              <w:t>Property,</w:t>
            </w:r>
            <w:r>
              <w:rPr>
                <w:spacing w:val="-1"/>
                <w:sz w:val="12"/>
              </w:rPr>
              <w:t> </w:t>
            </w:r>
            <w:r>
              <w:rPr>
                <w:spacing w:val="-2"/>
                <w:sz w:val="12"/>
              </w:rPr>
              <w:t>plant</w:t>
            </w:r>
            <w:r>
              <w:rPr>
                <w:spacing w:val="-1"/>
                <w:sz w:val="12"/>
              </w:rPr>
              <w:t> </w:t>
            </w:r>
            <w:r>
              <w:rPr>
                <w:spacing w:val="-2"/>
                <w:sz w:val="12"/>
              </w:rPr>
              <w:t>and equipment</w:t>
            </w:r>
          </w:p>
        </w:tc>
        <w:tc>
          <w:tcPr>
            <w:tcW w:w="1300" w:type="dxa"/>
            <w:tcBorders>
              <w:bottom w:val="single" w:sz="6" w:space="0" w:color="000000"/>
            </w:tcBorders>
          </w:tcPr>
          <w:p>
            <w:pPr>
              <w:pStyle w:val="TableParagraph"/>
              <w:spacing w:line="123" w:lineRule="exact"/>
              <w:ind w:right="256"/>
              <w:jc w:val="right"/>
              <w:rPr>
                <w:sz w:val="12"/>
              </w:rPr>
            </w:pPr>
            <w:r>
              <w:rPr>
                <w:spacing w:val="-2"/>
                <w:sz w:val="12"/>
              </w:rPr>
              <w:t>276,927</w:t>
            </w:r>
          </w:p>
        </w:tc>
        <w:tc>
          <w:tcPr>
            <w:tcW w:w="1105" w:type="dxa"/>
            <w:tcBorders>
              <w:bottom w:val="single" w:sz="6" w:space="0" w:color="000000"/>
            </w:tcBorders>
          </w:tcPr>
          <w:p>
            <w:pPr>
              <w:pStyle w:val="TableParagraph"/>
              <w:spacing w:line="123" w:lineRule="exact"/>
              <w:ind w:right="257"/>
              <w:jc w:val="right"/>
              <w:rPr>
                <w:sz w:val="12"/>
              </w:rPr>
            </w:pPr>
            <w:r>
              <w:rPr>
                <w:spacing w:val="-2"/>
                <w:sz w:val="12"/>
              </w:rPr>
              <w:t>281,766</w:t>
            </w:r>
          </w:p>
        </w:tc>
        <w:tc>
          <w:tcPr>
            <w:tcW w:w="1105" w:type="dxa"/>
            <w:tcBorders>
              <w:bottom w:val="single" w:sz="6" w:space="0" w:color="000000"/>
            </w:tcBorders>
          </w:tcPr>
          <w:p>
            <w:pPr>
              <w:pStyle w:val="TableParagraph"/>
              <w:spacing w:line="123" w:lineRule="exact"/>
              <w:ind w:right="257"/>
              <w:jc w:val="right"/>
              <w:rPr>
                <w:sz w:val="12"/>
              </w:rPr>
            </w:pPr>
            <w:r>
              <w:rPr>
                <w:spacing w:val="-2"/>
                <w:sz w:val="12"/>
              </w:rPr>
              <w:t>276,927</w:t>
            </w:r>
          </w:p>
        </w:tc>
        <w:tc>
          <w:tcPr>
            <w:tcW w:w="912" w:type="dxa"/>
            <w:tcBorders>
              <w:bottom w:val="single" w:sz="6" w:space="0" w:color="000000"/>
            </w:tcBorders>
          </w:tcPr>
          <w:p>
            <w:pPr>
              <w:pStyle w:val="TableParagraph"/>
              <w:spacing w:line="123" w:lineRule="exact"/>
              <w:ind w:right="64"/>
              <w:jc w:val="right"/>
              <w:rPr>
                <w:sz w:val="12"/>
              </w:rPr>
            </w:pPr>
            <w:r>
              <w:rPr>
                <w:spacing w:val="-2"/>
                <w:sz w:val="12"/>
              </w:rPr>
              <w:t>281,766</w:t>
            </w:r>
          </w:p>
        </w:tc>
      </w:tr>
      <w:tr>
        <w:trPr>
          <w:trHeight w:val="133" w:hRule="atLeast"/>
        </w:trPr>
        <w:tc>
          <w:tcPr>
            <w:tcW w:w="4092" w:type="dxa"/>
          </w:tcPr>
          <w:p>
            <w:pPr>
              <w:pStyle w:val="TableParagraph"/>
              <w:spacing w:line="113" w:lineRule="exact"/>
              <w:ind w:left="30"/>
              <w:rPr>
                <w:b/>
                <w:sz w:val="12"/>
              </w:rPr>
            </w:pPr>
            <w:r>
              <w:rPr>
                <w:b/>
                <w:spacing w:val="-2"/>
                <w:sz w:val="12"/>
              </w:rPr>
              <w:t>Total</w:t>
            </w:r>
            <w:r>
              <w:rPr>
                <w:b/>
                <w:spacing w:val="4"/>
                <w:sz w:val="12"/>
              </w:rPr>
              <w:t> </w:t>
            </w:r>
            <w:r>
              <w:rPr>
                <w:b/>
                <w:spacing w:val="-2"/>
                <w:sz w:val="12"/>
              </w:rPr>
              <w:t>restricted</w:t>
            </w:r>
            <w:r>
              <w:rPr>
                <w:b/>
                <w:spacing w:val="4"/>
                <w:sz w:val="12"/>
              </w:rPr>
              <w:t> </w:t>
            </w:r>
            <w:r>
              <w:rPr>
                <w:b/>
                <w:spacing w:val="-2"/>
                <w:sz w:val="12"/>
              </w:rPr>
              <w:t>assets</w:t>
            </w:r>
          </w:p>
        </w:tc>
        <w:tc>
          <w:tcPr>
            <w:tcW w:w="1300" w:type="dxa"/>
            <w:tcBorders>
              <w:top w:val="single" w:sz="6" w:space="0" w:color="000000"/>
              <w:bottom w:val="single" w:sz="6" w:space="0" w:color="000000"/>
            </w:tcBorders>
          </w:tcPr>
          <w:p>
            <w:pPr>
              <w:pStyle w:val="TableParagraph"/>
              <w:spacing w:line="113" w:lineRule="exact"/>
              <w:ind w:right="256"/>
              <w:jc w:val="right"/>
              <w:rPr>
                <w:b/>
                <w:sz w:val="12"/>
              </w:rPr>
            </w:pPr>
            <w:r>
              <w:rPr>
                <w:b/>
                <w:spacing w:val="-2"/>
                <w:sz w:val="12"/>
              </w:rPr>
              <w:t>1,208,388</w:t>
            </w:r>
          </w:p>
        </w:tc>
        <w:tc>
          <w:tcPr>
            <w:tcW w:w="1105" w:type="dxa"/>
            <w:tcBorders>
              <w:top w:val="single" w:sz="6" w:space="0" w:color="000000"/>
              <w:bottom w:val="single" w:sz="6" w:space="0" w:color="000000"/>
            </w:tcBorders>
          </w:tcPr>
          <w:p>
            <w:pPr>
              <w:pStyle w:val="TableParagraph"/>
              <w:spacing w:line="113" w:lineRule="exact"/>
              <w:ind w:right="257"/>
              <w:jc w:val="right"/>
              <w:rPr>
                <w:b/>
                <w:sz w:val="12"/>
              </w:rPr>
            </w:pPr>
            <w:r>
              <w:rPr>
                <w:b/>
                <w:spacing w:val="-2"/>
                <w:sz w:val="12"/>
              </w:rPr>
              <w:t>1,139,333</w:t>
            </w:r>
          </w:p>
        </w:tc>
        <w:tc>
          <w:tcPr>
            <w:tcW w:w="1105" w:type="dxa"/>
            <w:tcBorders>
              <w:top w:val="single" w:sz="6" w:space="0" w:color="000000"/>
              <w:bottom w:val="single" w:sz="6" w:space="0" w:color="000000"/>
            </w:tcBorders>
          </w:tcPr>
          <w:p>
            <w:pPr>
              <w:pStyle w:val="TableParagraph"/>
              <w:spacing w:line="113" w:lineRule="exact"/>
              <w:ind w:right="257"/>
              <w:jc w:val="right"/>
              <w:rPr>
                <w:b/>
                <w:sz w:val="12"/>
              </w:rPr>
            </w:pPr>
            <w:r>
              <w:rPr>
                <w:b/>
                <w:spacing w:val="-2"/>
                <w:sz w:val="12"/>
              </w:rPr>
              <w:t>1,208,388</w:t>
            </w:r>
          </w:p>
        </w:tc>
        <w:tc>
          <w:tcPr>
            <w:tcW w:w="912" w:type="dxa"/>
            <w:tcBorders>
              <w:top w:val="single" w:sz="6" w:space="0" w:color="000000"/>
              <w:bottom w:val="single" w:sz="6" w:space="0" w:color="000000"/>
            </w:tcBorders>
          </w:tcPr>
          <w:p>
            <w:pPr>
              <w:pStyle w:val="TableParagraph"/>
              <w:spacing w:line="113" w:lineRule="exact"/>
              <w:ind w:right="64"/>
              <w:jc w:val="right"/>
              <w:rPr>
                <w:b/>
                <w:sz w:val="12"/>
              </w:rPr>
            </w:pPr>
            <w:r>
              <w:rPr>
                <w:b/>
                <w:spacing w:val="-2"/>
                <w:sz w:val="12"/>
              </w:rPr>
              <w:t>1,139,333</w:t>
            </w:r>
          </w:p>
        </w:tc>
      </w:tr>
    </w:tbl>
    <w:p>
      <w:pPr>
        <w:spacing w:line="261" w:lineRule="auto" w:before="148"/>
        <w:ind w:left="768" w:right="1842" w:firstLine="0"/>
        <w:jc w:val="left"/>
        <w:rPr>
          <w:sz w:val="12"/>
        </w:rPr>
      </w:pPr>
      <w:r>
        <w:rPr>
          <w:sz w:val="12"/>
        </w:rPr>
        <w:t>In</w:t>
      </w:r>
      <w:r>
        <w:rPr>
          <w:spacing w:val="-9"/>
          <w:sz w:val="12"/>
        </w:rPr>
        <w:t> </w:t>
      </w:r>
      <w:r>
        <w:rPr>
          <w:sz w:val="12"/>
        </w:rPr>
        <w:t>the</w:t>
      </w:r>
      <w:r>
        <w:rPr>
          <w:spacing w:val="-8"/>
          <w:sz w:val="12"/>
        </w:rPr>
        <w:t> </w:t>
      </w:r>
      <w:r>
        <w:rPr>
          <w:sz w:val="12"/>
        </w:rPr>
        <w:t>classification</w:t>
      </w:r>
      <w:r>
        <w:rPr>
          <w:spacing w:val="-8"/>
          <w:sz w:val="12"/>
        </w:rPr>
        <w:t> </w:t>
      </w:r>
      <w:r>
        <w:rPr>
          <w:sz w:val="12"/>
        </w:rPr>
        <w:t>between</w:t>
      </w:r>
      <w:r>
        <w:rPr>
          <w:spacing w:val="-9"/>
          <w:sz w:val="12"/>
        </w:rPr>
        <w:t> </w:t>
      </w:r>
      <w:r>
        <w:rPr>
          <w:sz w:val="12"/>
        </w:rPr>
        <w:t>unrestricted</w:t>
      </w:r>
      <w:r>
        <w:rPr>
          <w:spacing w:val="-8"/>
          <w:sz w:val="12"/>
        </w:rPr>
        <w:t> </w:t>
      </w:r>
      <w:r>
        <w:rPr>
          <w:sz w:val="12"/>
        </w:rPr>
        <w:t>and</w:t>
      </w:r>
      <w:r>
        <w:rPr>
          <w:spacing w:val="-8"/>
          <w:sz w:val="12"/>
        </w:rPr>
        <w:t> </w:t>
      </w:r>
      <w:r>
        <w:rPr>
          <w:sz w:val="12"/>
        </w:rPr>
        <w:t>restricted</w:t>
      </w:r>
      <w:r>
        <w:rPr>
          <w:spacing w:val="-9"/>
          <w:sz w:val="12"/>
        </w:rPr>
        <w:t> </w:t>
      </w:r>
      <w:r>
        <w:rPr>
          <w:sz w:val="12"/>
        </w:rPr>
        <w:t>assets,</w:t>
      </w:r>
      <w:r>
        <w:rPr>
          <w:spacing w:val="-8"/>
          <w:sz w:val="12"/>
        </w:rPr>
        <w:t> </w:t>
      </w:r>
      <w:r>
        <w:rPr>
          <w:sz w:val="12"/>
        </w:rPr>
        <w:t>the</w:t>
      </w:r>
      <w:r>
        <w:rPr>
          <w:spacing w:val="-9"/>
          <w:sz w:val="12"/>
        </w:rPr>
        <w:t> </w:t>
      </w:r>
      <w:r>
        <w:rPr>
          <w:sz w:val="12"/>
        </w:rPr>
        <w:t>Group</w:t>
      </w:r>
      <w:r>
        <w:rPr>
          <w:spacing w:val="-8"/>
          <w:sz w:val="12"/>
        </w:rPr>
        <w:t> </w:t>
      </w:r>
      <w:r>
        <w:rPr>
          <w:sz w:val="12"/>
        </w:rPr>
        <w:t>has</w:t>
      </w:r>
      <w:r>
        <w:rPr>
          <w:spacing w:val="-8"/>
          <w:sz w:val="12"/>
        </w:rPr>
        <w:t> </w:t>
      </w:r>
      <w:r>
        <w:rPr>
          <w:sz w:val="12"/>
        </w:rPr>
        <w:t>classified</w:t>
      </w:r>
      <w:r>
        <w:rPr>
          <w:spacing w:val="-9"/>
          <w:sz w:val="12"/>
        </w:rPr>
        <w:t> </w:t>
      </w:r>
      <w:r>
        <w:rPr>
          <w:sz w:val="12"/>
        </w:rPr>
        <w:t>receivables</w:t>
      </w:r>
      <w:r>
        <w:rPr>
          <w:spacing w:val="-8"/>
          <w:sz w:val="12"/>
        </w:rPr>
        <w:t> </w:t>
      </w:r>
      <w:r>
        <w:rPr>
          <w:sz w:val="12"/>
        </w:rPr>
        <w:t>as</w:t>
      </w:r>
      <w:r>
        <w:rPr>
          <w:spacing w:val="-8"/>
          <w:sz w:val="12"/>
        </w:rPr>
        <w:t> </w:t>
      </w:r>
      <w:r>
        <w:rPr>
          <w:sz w:val="12"/>
        </w:rPr>
        <w:t>unrestricted,</w:t>
      </w:r>
      <w:r>
        <w:rPr>
          <w:spacing w:val="-9"/>
          <w:sz w:val="12"/>
        </w:rPr>
        <w:t> </w:t>
      </w:r>
      <w:r>
        <w:rPr>
          <w:sz w:val="12"/>
        </w:rPr>
        <w:t>acknowledging</w:t>
      </w:r>
      <w:r>
        <w:rPr>
          <w:spacing w:val="-8"/>
          <w:sz w:val="12"/>
        </w:rPr>
        <w:t> </w:t>
      </w:r>
      <w:r>
        <w:rPr>
          <w:sz w:val="12"/>
        </w:rPr>
        <w:t>a</w:t>
      </w:r>
      <w:r>
        <w:rPr>
          <w:spacing w:val="-8"/>
          <w:sz w:val="12"/>
        </w:rPr>
        <w:t> </w:t>
      </w:r>
      <w:r>
        <w:rPr>
          <w:sz w:val="12"/>
        </w:rPr>
        <w:t>portion</w:t>
      </w:r>
      <w:r>
        <w:rPr>
          <w:spacing w:val="-9"/>
          <w:sz w:val="12"/>
        </w:rPr>
        <w:t> </w:t>
      </w:r>
      <w:r>
        <w:rPr>
          <w:sz w:val="12"/>
        </w:rPr>
        <w:t>of</w:t>
      </w:r>
      <w:r>
        <w:rPr>
          <w:spacing w:val="-8"/>
          <w:sz w:val="12"/>
        </w:rPr>
        <w:t> </w:t>
      </w:r>
      <w:r>
        <w:rPr>
          <w:sz w:val="12"/>
        </w:rPr>
        <w:t>the</w:t>
      </w:r>
      <w:r>
        <w:rPr>
          <w:spacing w:val="-8"/>
          <w:sz w:val="12"/>
        </w:rPr>
        <w:t> </w:t>
      </w:r>
      <w:r>
        <w:rPr>
          <w:sz w:val="12"/>
        </w:rPr>
        <w:t>receivables</w:t>
      </w:r>
      <w:r>
        <w:rPr>
          <w:spacing w:val="40"/>
          <w:sz w:val="12"/>
        </w:rPr>
        <w:t> </w:t>
      </w:r>
      <w:r>
        <w:rPr>
          <w:sz w:val="12"/>
        </w:rPr>
        <w:t>are</w:t>
      </w:r>
      <w:r>
        <w:rPr>
          <w:spacing w:val="-2"/>
          <w:sz w:val="12"/>
        </w:rPr>
        <w:t> </w:t>
      </w:r>
      <w:r>
        <w:rPr>
          <w:sz w:val="12"/>
        </w:rPr>
        <w:t>attributable</w:t>
      </w:r>
      <w:r>
        <w:rPr>
          <w:spacing w:val="-2"/>
          <w:sz w:val="12"/>
        </w:rPr>
        <w:t> </w:t>
      </w:r>
      <w:r>
        <w:rPr>
          <w:sz w:val="12"/>
        </w:rPr>
        <w:t>to</w:t>
      </w:r>
      <w:r>
        <w:rPr>
          <w:spacing w:val="-2"/>
          <w:sz w:val="12"/>
        </w:rPr>
        <w:t> </w:t>
      </w:r>
      <w:r>
        <w:rPr>
          <w:sz w:val="12"/>
        </w:rPr>
        <w:t>restricted</w:t>
      </w:r>
      <w:r>
        <w:rPr>
          <w:spacing w:val="-2"/>
          <w:sz w:val="12"/>
        </w:rPr>
        <w:t> </w:t>
      </w:r>
      <w:r>
        <w:rPr>
          <w:sz w:val="12"/>
        </w:rPr>
        <w:t>activity.</w:t>
      </w:r>
      <w:r>
        <w:rPr>
          <w:spacing w:val="-1"/>
          <w:sz w:val="12"/>
        </w:rPr>
        <w:t> </w:t>
      </w:r>
      <w:r>
        <w:rPr>
          <w:sz w:val="12"/>
        </w:rPr>
        <w:t>They</w:t>
      </w:r>
      <w:r>
        <w:rPr>
          <w:spacing w:val="-5"/>
          <w:sz w:val="12"/>
        </w:rPr>
        <w:t> </w:t>
      </w:r>
      <w:r>
        <w:rPr>
          <w:sz w:val="12"/>
        </w:rPr>
        <w:t>will</w:t>
      </w:r>
      <w:r>
        <w:rPr>
          <w:spacing w:val="-3"/>
          <w:sz w:val="12"/>
        </w:rPr>
        <w:t> </w:t>
      </w:r>
      <w:r>
        <w:rPr>
          <w:sz w:val="12"/>
        </w:rPr>
        <w:t>be</w:t>
      </w:r>
      <w:r>
        <w:rPr>
          <w:spacing w:val="-2"/>
          <w:sz w:val="12"/>
        </w:rPr>
        <w:t> </w:t>
      </w:r>
      <w:r>
        <w:rPr>
          <w:sz w:val="12"/>
        </w:rPr>
        <w:t>reclassified</w:t>
      </w:r>
      <w:r>
        <w:rPr>
          <w:spacing w:val="-2"/>
          <w:sz w:val="12"/>
        </w:rPr>
        <w:t> </w:t>
      </w:r>
      <w:r>
        <w:rPr>
          <w:sz w:val="12"/>
        </w:rPr>
        <w:t>as restricted</w:t>
      </w:r>
      <w:r>
        <w:rPr>
          <w:spacing w:val="-2"/>
          <w:sz w:val="12"/>
        </w:rPr>
        <w:t> </w:t>
      </w:r>
      <w:r>
        <w:rPr>
          <w:sz w:val="12"/>
        </w:rPr>
        <w:t>on</w:t>
      </w:r>
      <w:r>
        <w:rPr>
          <w:spacing w:val="-4"/>
          <w:sz w:val="12"/>
        </w:rPr>
        <w:t> </w:t>
      </w:r>
      <w:r>
        <w:rPr>
          <w:sz w:val="12"/>
        </w:rPr>
        <w:t>receipt.</w:t>
      </w:r>
    </w:p>
    <w:p>
      <w:pPr>
        <w:spacing w:line="240" w:lineRule="auto" w:before="4"/>
        <w:rPr>
          <w:sz w:val="13"/>
        </w:rPr>
      </w:pPr>
      <w:r>
        <w:rPr/>
        <mc:AlternateContent>
          <mc:Choice Requires="wps">
            <w:drawing>
              <wp:anchor distT="0" distB="0" distL="0" distR="0" allowOverlap="1" layoutInCell="1" locked="0" behindDoc="1" simplePos="0" relativeHeight="487730688">
                <wp:simplePos x="0" y="0"/>
                <wp:positionH relativeFrom="page">
                  <wp:posOffset>1056449</wp:posOffset>
                </wp:positionH>
                <wp:positionV relativeFrom="paragraph">
                  <wp:posOffset>112704</wp:posOffset>
                </wp:positionV>
                <wp:extent cx="5401945" cy="659130"/>
                <wp:effectExtent l="0" t="0" r="0" b="0"/>
                <wp:wrapTopAndBottom/>
                <wp:docPr id="886" name="Textbox 886"/>
                <wp:cNvGraphicFramePr>
                  <a:graphicFrameLocks/>
                </wp:cNvGraphicFramePr>
                <a:graphic>
                  <a:graphicData uri="http://schemas.microsoft.com/office/word/2010/wordprocessingShape">
                    <wps:wsp>
                      <wps:cNvPr id="886" name="Textbox 886"/>
                      <wps:cNvSpPr txBox="1"/>
                      <wps:spPr>
                        <a:xfrm>
                          <a:off x="0" y="0"/>
                          <a:ext cx="5401945" cy="659130"/>
                        </a:xfrm>
                        <a:prstGeom prst="rect">
                          <a:avLst/>
                        </a:prstGeom>
                        <a:solidFill>
                          <a:srgbClr val="DCE6F1"/>
                        </a:solidFill>
                      </wps:spPr>
                      <wps:txbx>
                        <w:txbxContent>
                          <w:p>
                            <w:pPr>
                              <w:spacing w:before="2"/>
                              <w:ind w:left="24" w:right="0" w:firstLine="0"/>
                              <w:jc w:val="left"/>
                              <w:rPr>
                                <w:b/>
                                <w:color w:val="000000"/>
                                <w:sz w:val="12"/>
                              </w:rPr>
                            </w:pPr>
                            <w:r>
                              <w:rPr>
                                <w:b/>
                                <w:color w:val="0070C0"/>
                                <w:spacing w:val="-2"/>
                                <w:sz w:val="12"/>
                              </w:rPr>
                              <w:t>Critical</w:t>
                            </w:r>
                            <w:r>
                              <w:rPr>
                                <w:b/>
                                <w:color w:val="0070C0"/>
                                <w:spacing w:val="4"/>
                                <w:sz w:val="12"/>
                              </w:rPr>
                              <w:t> </w:t>
                            </w:r>
                            <w:r>
                              <w:rPr>
                                <w:b/>
                                <w:color w:val="0070C0"/>
                                <w:spacing w:val="-2"/>
                                <w:sz w:val="12"/>
                              </w:rPr>
                              <w:t>accounting</w:t>
                            </w:r>
                            <w:r>
                              <w:rPr>
                                <w:b/>
                                <w:color w:val="0070C0"/>
                                <w:spacing w:val="3"/>
                                <w:sz w:val="12"/>
                              </w:rPr>
                              <w:t> </w:t>
                            </w:r>
                            <w:r>
                              <w:rPr>
                                <w:b/>
                                <w:color w:val="0070C0"/>
                                <w:spacing w:val="-2"/>
                                <w:sz w:val="12"/>
                              </w:rPr>
                              <w:t>estimates</w:t>
                            </w:r>
                            <w:r>
                              <w:rPr>
                                <w:b/>
                                <w:color w:val="0070C0"/>
                                <w:spacing w:val="3"/>
                                <w:sz w:val="12"/>
                              </w:rPr>
                              <w:t> </w:t>
                            </w:r>
                            <w:r>
                              <w:rPr>
                                <w:b/>
                                <w:color w:val="0070C0"/>
                                <w:spacing w:val="-2"/>
                                <w:sz w:val="12"/>
                              </w:rPr>
                              <w:t>and</w:t>
                            </w:r>
                            <w:r>
                              <w:rPr>
                                <w:b/>
                                <w:color w:val="0070C0"/>
                                <w:spacing w:val="3"/>
                                <w:sz w:val="12"/>
                              </w:rPr>
                              <w:t> </w:t>
                            </w:r>
                            <w:r>
                              <w:rPr>
                                <w:b/>
                                <w:color w:val="0070C0"/>
                                <w:spacing w:val="-2"/>
                                <w:sz w:val="12"/>
                              </w:rPr>
                              <w:t>judgements:</w:t>
                            </w:r>
                            <w:r>
                              <w:rPr>
                                <w:b/>
                                <w:color w:val="0070C0"/>
                                <w:spacing w:val="1"/>
                                <w:sz w:val="12"/>
                              </w:rPr>
                              <w:t> </w:t>
                            </w:r>
                            <w:r>
                              <w:rPr>
                                <w:b/>
                                <w:color w:val="0070C0"/>
                                <w:spacing w:val="-2"/>
                                <w:sz w:val="12"/>
                              </w:rPr>
                              <w:t>Restricted</w:t>
                            </w:r>
                            <w:r>
                              <w:rPr>
                                <w:b/>
                                <w:color w:val="0070C0"/>
                                <w:spacing w:val="3"/>
                                <w:sz w:val="12"/>
                              </w:rPr>
                              <w:t> </w:t>
                            </w:r>
                            <w:r>
                              <w:rPr>
                                <w:b/>
                                <w:color w:val="0070C0"/>
                                <w:spacing w:val="-2"/>
                                <w:sz w:val="12"/>
                              </w:rPr>
                              <w:t>assets</w:t>
                            </w:r>
                          </w:p>
                          <w:p>
                            <w:pPr>
                              <w:spacing w:line="261" w:lineRule="auto" w:before="14"/>
                              <w:ind w:left="24" w:right="63" w:firstLine="0"/>
                              <w:jc w:val="left"/>
                              <w:rPr>
                                <w:color w:val="000000"/>
                                <w:sz w:val="12"/>
                              </w:rPr>
                            </w:pPr>
                            <w:r>
                              <w:rPr>
                                <w:color w:val="000000"/>
                                <w:sz w:val="12"/>
                              </w:rPr>
                              <w:t>The</w:t>
                            </w:r>
                            <w:r>
                              <w:rPr>
                                <w:color w:val="000000"/>
                                <w:spacing w:val="-9"/>
                                <w:sz w:val="12"/>
                              </w:rPr>
                              <w:t> </w:t>
                            </w:r>
                            <w:r>
                              <w:rPr>
                                <w:color w:val="000000"/>
                                <w:sz w:val="12"/>
                              </w:rPr>
                              <w:t>University</w:t>
                            </w:r>
                            <w:r>
                              <w:rPr>
                                <w:color w:val="000000"/>
                                <w:spacing w:val="-8"/>
                                <w:sz w:val="12"/>
                              </w:rPr>
                              <w:t> </w:t>
                            </w:r>
                            <w:r>
                              <w:rPr>
                                <w:color w:val="000000"/>
                                <w:sz w:val="12"/>
                              </w:rPr>
                              <w:t>receives</w:t>
                            </w:r>
                            <w:r>
                              <w:rPr>
                                <w:color w:val="000000"/>
                                <w:spacing w:val="-8"/>
                                <w:sz w:val="12"/>
                              </w:rPr>
                              <w:t> </w:t>
                            </w:r>
                            <w:r>
                              <w:rPr>
                                <w:color w:val="000000"/>
                                <w:sz w:val="12"/>
                              </w:rPr>
                              <w:t>assets</w:t>
                            </w:r>
                            <w:r>
                              <w:rPr>
                                <w:color w:val="000000"/>
                                <w:spacing w:val="-9"/>
                                <w:sz w:val="12"/>
                              </w:rPr>
                              <w:t> </w:t>
                            </w:r>
                            <w:r>
                              <w:rPr>
                                <w:color w:val="000000"/>
                                <w:sz w:val="12"/>
                              </w:rPr>
                              <w:t>from</w:t>
                            </w:r>
                            <w:r>
                              <w:rPr>
                                <w:color w:val="000000"/>
                                <w:spacing w:val="-8"/>
                                <w:sz w:val="12"/>
                              </w:rPr>
                              <w:t> </w:t>
                            </w:r>
                            <w:r>
                              <w:rPr>
                                <w:color w:val="000000"/>
                                <w:sz w:val="12"/>
                              </w:rPr>
                              <w:t>a</w:t>
                            </w:r>
                            <w:r>
                              <w:rPr>
                                <w:color w:val="000000"/>
                                <w:spacing w:val="-8"/>
                                <w:sz w:val="12"/>
                              </w:rPr>
                              <w:t> </w:t>
                            </w:r>
                            <w:r>
                              <w:rPr>
                                <w:color w:val="000000"/>
                                <w:sz w:val="12"/>
                              </w:rPr>
                              <w:t>large</w:t>
                            </w:r>
                            <w:r>
                              <w:rPr>
                                <w:color w:val="000000"/>
                                <w:spacing w:val="-9"/>
                                <w:sz w:val="12"/>
                              </w:rPr>
                              <w:t> </w:t>
                            </w:r>
                            <w:r>
                              <w:rPr>
                                <w:color w:val="000000"/>
                                <w:sz w:val="12"/>
                              </w:rPr>
                              <w:t>number</w:t>
                            </w:r>
                            <w:r>
                              <w:rPr>
                                <w:color w:val="000000"/>
                                <w:spacing w:val="-6"/>
                                <w:sz w:val="12"/>
                              </w:rPr>
                              <w:t> </w:t>
                            </w:r>
                            <w:r>
                              <w:rPr>
                                <w:color w:val="000000"/>
                                <w:sz w:val="12"/>
                              </w:rPr>
                              <w:t>of</w:t>
                            </w:r>
                            <w:r>
                              <w:rPr>
                                <w:color w:val="000000"/>
                                <w:spacing w:val="-8"/>
                                <w:sz w:val="12"/>
                              </w:rPr>
                              <w:t> </w:t>
                            </w:r>
                            <w:r>
                              <w:rPr>
                                <w:color w:val="000000"/>
                                <w:sz w:val="12"/>
                              </w:rPr>
                              <w:t>diverse</w:t>
                            </w:r>
                            <w:r>
                              <w:rPr>
                                <w:color w:val="000000"/>
                                <w:spacing w:val="-8"/>
                                <w:sz w:val="12"/>
                              </w:rPr>
                              <w:t> </w:t>
                            </w:r>
                            <w:r>
                              <w:rPr>
                                <w:color w:val="000000"/>
                                <w:sz w:val="12"/>
                              </w:rPr>
                              <w:t>and</w:t>
                            </w:r>
                            <w:r>
                              <w:rPr>
                                <w:color w:val="000000"/>
                                <w:spacing w:val="-9"/>
                                <w:sz w:val="12"/>
                              </w:rPr>
                              <w:t> </w:t>
                            </w:r>
                            <w:r>
                              <w:rPr>
                                <w:color w:val="000000"/>
                                <w:sz w:val="12"/>
                              </w:rPr>
                              <w:t>variable</w:t>
                            </w:r>
                            <w:r>
                              <w:rPr>
                                <w:color w:val="000000"/>
                                <w:spacing w:val="-8"/>
                                <w:sz w:val="12"/>
                              </w:rPr>
                              <w:t> </w:t>
                            </w:r>
                            <w:r>
                              <w:rPr>
                                <w:color w:val="000000"/>
                                <w:sz w:val="12"/>
                              </w:rPr>
                              <w:t>sources</w:t>
                            </w:r>
                            <w:r>
                              <w:rPr>
                                <w:color w:val="000000"/>
                                <w:spacing w:val="-7"/>
                                <w:sz w:val="12"/>
                              </w:rPr>
                              <w:t> </w:t>
                            </w:r>
                            <w:r>
                              <w:rPr>
                                <w:color w:val="000000"/>
                                <w:sz w:val="12"/>
                              </w:rPr>
                              <w:t>with</w:t>
                            </w:r>
                            <w:r>
                              <w:rPr>
                                <w:color w:val="000000"/>
                                <w:spacing w:val="-9"/>
                                <w:sz w:val="12"/>
                              </w:rPr>
                              <w:t> </w:t>
                            </w:r>
                            <w:r>
                              <w:rPr>
                                <w:color w:val="000000"/>
                                <w:sz w:val="12"/>
                              </w:rPr>
                              <w:t>a</w:t>
                            </w:r>
                            <w:r>
                              <w:rPr>
                                <w:color w:val="000000"/>
                                <w:spacing w:val="-8"/>
                                <w:sz w:val="12"/>
                              </w:rPr>
                              <w:t> </w:t>
                            </w:r>
                            <w:r>
                              <w:rPr>
                                <w:color w:val="000000"/>
                                <w:sz w:val="12"/>
                              </w:rPr>
                              <w:t>variety</w:t>
                            </w:r>
                            <w:r>
                              <w:rPr>
                                <w:color w:val="000000"/>
                                <w:spacing w:val="-8"/>
                                <w:sz w:val="12"/>
                              </w:rPr>
                              <w:t> </w:t>
                            </w:r>
                            <w:r>
                              <w:rPr>
                                <w:color w:val="000000"/>
                                <w:sz w:val="12"/>
                              </w:rPr>
                              <w:t>of</w:t>
                            </w:r>
                            <w:r>
                              <w:rPr>
                                <w:color w:val="000000"/>
                                <w:spacing w:val="-8"/>
                                <w:sz w:val="12"/>
                              </w:rPr>
                              <w:t> </w:t>
                            </w:r>
                            <w:r>
                              <w:rPr>
                                <w:color w:val="000000"/>
                                <w:sz w:val="12"/>
                              </w:rPr>
                              <w:t>legislative,</w:t>
                            </w:r>
                            <w:r>
                              <w:rPr>
                                <w:color w:val="000000"/>
                                <w:spacing w:val="-7"/>
                                <w:sz w:val="12"/>
                              </w:rPr>
                              <w:t> </w:t>
                            </w:r>
                            <w:r>
                              <w:rPr>
                                <w:color w:val="000000"/>
                                <w:sz w:val="12"/>
                              </w:rPr>
                              <w:t>contractual</w:t>
                            </w:r>
                            <w:r>
                              <w:rPr>
                                <w:color w:val="000000"/>
                                <w:spacing w:val="-9"/>
                                <w:sz w:val="12"/>
                              </w:rPr>
                              <w:t> </w:t>
                            </w:r>
                            <w:r>
                              <w:rPr>
                                <w:color w:val="000000"/>
                                <w:sz w:val="12"/>
                              </w:rPr>
                              <w:t>and</w:t>
                            </w:r>
                            <w:r>
                              <w:rPr>
                                <w:color w:val="000000"/>
                                <w:spacing w:val="-8"/>
                                <w:sz w:val="12"/>
                              </w:rPr>
                              <w:t> </w:t>
                            </w:r>
                            <w:r>
                              <w:rPr>
                                <w:color w:val="000000"/>
                                <w:sz w:val="12"/>
                              </w:rPr>
                              <w:t>compliance</w:t>
                            </w:r>
                            <w:r>
                              <w:rPr>
                                <w:color w:val="000000"/>
                                <w:spacing w:val="-8"/>
                                <w:sz w:val="12"/>
                              </w:rPr>
                              <w:t> </w:t>
                            </w:r>
                            <w:r>
                              <w:rPr>
                                <w:color w:val="000000"/>
                                <w:sz w:val="12"/>
                              </w:rPr>
                              <w:t>obligations.</w:t>
                            </w:r>
                            <w:r>
                              <w:rPr>
                                <w:color w:val="000000"/>
                                <w:spacing w:val="-8"/>
                                <w:sz w:val="12"/>
                              </w:rPr>
                              <w:t> </w:t>
                            </w:r>
                            <w:r>
                              <w:rPr>
                                <w:color w:val="000000"/>
                                <w:sz w:val="12"/>
                              </w:rPr>
                              <w:t>The</w:t>
                            </w:r>
                            <w:r>
                              <w:rPr>
                                <w:color w:val="000000"/>
                                <w:spacing w:val="40"/>
                                <w:sz w:val="12"/>
                              </w:rPr>
                              <w:t> </w:t>
                            </w:r>
                            <w:r>
                              <w:rPr>
                                <w:color w:val="000000"/>
                                <w:sz w:val="12"/>
                              </w:rPr>
                              <w:t>assets</w:t>
                            </w:r>
                            <w:r>
                              <w:rPr>
                                <w:color w:val="000000"/>
                                <w:spacing w:val="-5"/>
                                <w:sz w:val="12"/>
                              </w:rPr>
                              <w:t> </w:t>
                            </w:r>
                            <w:r>
                              <w:rPr>
                                <w:color w:val="000000"/>
                                <w:sz w:val="12"/>
                              </w:rPr>
                              <w:t>that</w:t>
                            </w:r>
                            <w:r>
                              <w:rPr>
                                <w:color w:val="000000"/>
                                <w:spacing w:val="-5"/>
                                <w:sz w:val="12"/>
                              </w:rPr>
                              <w:t> </w:t>
                            </w:r>
                            <w:r>
                              <w:rPr>
                                <w:color w:val="000000"/>
                                <w:sz w:val="12"/>
                              </w:rPr>
                              <w:t>are</w:t>
                            </w:r>
                            <w:r>
                              <w:rPr>
                                <w:color w:val="000000"/>
                                <w:spacing w:val="-6"/>
                                <w:sz w:val="12"/>
                              </w:rPr>
                              <w:t> </w:t>
                            </w:r>
                            <w:r>
                              <w:rPr>
                                <w:color w:val="000000"/>
                                <w:sz w:val="12"/>
                              </w:rPr>
                              <w:t>not</w:t>
                            </w:r>
                            <w:r>
                              <w:rPr>
                                <w:color w:val="000000"/>
                                <w:spacing w:val="-5"/>
                                <w:sz w:val="12"/>
                              </w:rPr>
                              <w:t> </w:t>
                            </w:r>
                            <w:r>
                              <w:rPr>
                                <w:color w:val="000000"/>
                                <w:sz w:val="12"/>
                              </w:rPr>
                              <w:t>available</w:t>
                            </w:r>
                            <w:r>
                              <w:rPr>
                                <w:color w:val="000000"/>
                                <w:spacing w:val="-6"/>
                                <w:sz w:val="12"/>
                              </w:rPr>
                              <w:t> </w:t>
                            </w:r>
                            <w:r>
                              <w:rPr>
                                <w:color w:val="000000"/>
                                <w:sz w:val="12"/>
                              </w:rPr>
                              <w:t>for</w:t>
                            </w:r>
                            <w:r>
                              <w:rPr>
                                <w:color w:val="000000"/>
                                <w:spacing w:val="-5"/>
                                <w:sz w:val="12"/>
                              </w:rPr>
                              <w:t> </w:t>
                            </w:r>
                            <w:r>
                              <w:rPr>
                                <w:color w:val="000000"/>
                                <w:sz w:val="12"/>
                              </w:rPr>
                              <w:t>discretionary</w:t>
                            </w:r>
                            <w:r>
                              <w:rPr>
                                <w:color w:val="000000"/>
                                <w:spacing w:val="-9"/>
                                <w:sz w:val="12"/>
                              </w:rPr>
                              <w:t> </w:t>
                            </w:r>
                            <w:r>
                              <w:rPr>
                                <w:color w:val="000000"/>
                                <w:sz w:val="12"/>
                              </w:rPr>
                              <w:t>use</w:t>
                            </w:r>
                            <w:r>
                              <w:rPr>
                                <w:color w:val="000000"/>
                                <w:spacing w:val="-6"/>
                                <w:sz w:val="12"/>
                              </w:rPr>
                              <w:t> </w:t>
                            </w:r>
                            <w:r>
                              <w:rPr>
                                <w:color w:val="000000"/>
                                <w:sz w:val="12"/>
                              </w:rPr>
                              <w:t>by</w:t>
                            </w:r>
                            <w:r>
                              <w:rPr>
                                <w:color w:val="000000"/>
                                <w:spacing w:val="-9"/>
                                <w:sz w:val="12"/>
                              </w:rPr>
                              <w:t> </w:t>
                            </w:r>
                            <w:r>
                              <w:rPr>
                                <w:color w:val="000000"/>
                                <w:sz w:val="12"/>
                              </w:rPr>
                              <w:t>the</w:t>
                            </w:r>
                            <w:r>
                              <w:rPr>
                                <w:color w:val="000000"/>
                                <w:spacing w:val="-6"/>
                                <w:sz w:val="12"/>
                              </w:rPr>
                              <w:t> </w:t>
                            </w:r>
                            <w:r>
                              <w:rPr>
                                <w:color w:val="000000"/>
                                <w:sz w:val="12"/>
                              </w:rPr>
                              <w:t>University</w:t>
                            </w:r>
                            <w:r>
                              <w:rPr>
                                <w:color w:val="000000"/>
                                <w:spacing w:val="-9"/>
                                <w:sz w:val="12"/>
                              </w:rPr>
                              <w:t> </w:t>
                            </w:r>
                            <w:r>
                              <w:rPr>
                                <w:color w:val="000000"/>
                                <w:sz w:val="12"/>
                              </w:rPr>
                              <w:t>and</w:t>
                            </w:r>
                            <w:r>
                              <w:rPr>
                                <w:color w:val="000000"/>
                                <w:spacing w:val="-6"/>
                                <w:sz w:val="12"/>
                              </w:rPr>
                              <w:t> </w:t>
                            </w:r>
                            <w:r>
                              <w:rPr>
                                <w:color w:val="000000"/>
                                <w:sz w:val="12"/>
                              </w:rPr>
                              <w:t>must</w:t>
                            </w:r>
                            <w:r>
                              <w:rPr>
                                <w:color w:val="000000"/>
                                <w:spacing w:val="-5"/>
                                <w:sz w:val="12"/>
                              </w:rPr>
                              <w:t> </w:t>
                            </w:r>
                            <w:r>
                              <w:rPr>
                                <w:color w:val="000000"/>
                                <w:sz w:val="12"/>
                              </w:rPr>
                              <w:t>be</w:t>
                            </w:r>
                            <w:r>
                              <w:rPr>
                                <w:color w:val="000000"/>
                                <w:spacing w:val="-6"/>
                                <w:sz w:val="12"/>
                              </w:rPr>
                              <w:t> </w:t>
                            </w:r>
                            <w:r>
                              <w:rPr>
                                <w:color w:val="000000"/>
                                <w:sz w:val="12"/>
                              </w:rPr>
                              <w:t>used</w:t>
                            </w:r>
                            <w:r>
                              <w:rPr>
                                <w:color w:val="000000"/>
                                <w:spacing w:val="-6"/>
                                <w:sz w:val="12"/>
                              </w:rPr>
                              <w:t> </w:t>
                            </w:r>
                            <w:r>
                              <w:rPr>
                                <w:color w:val="000000"/>
                                <w:sz w:val="12"/>
                              </w:rPr>
                              <w:t>for</w:t>
                            </w:r>
                            <w:r>
                              <w:rPr>
                                <w:color w:val="000000"/>
                                <w:spacing w:val="-5"/>
                                <w:sz w:val="12"/>
                              </w:rPr>
                              <w:t> </w:t>
                            </w:r>
                            <w:r>
                              <w:rPr>
                                <w:color w:val="000000"/>
                                <w:sz w:val="12"/>
                              </w:rPr>
                              <w:t>the</w:t>
                            </w:r>
                            <w:r>
                              <w:rPr>
                                <w:color w:val="000000"/>
                                <w:spacing w:val="-6"/>
                                <w:sz w:val="12"/>
                              </w:rPr>
                              <w:t> </w:t>
                            </w:r>
                            <w:r>
                              <w:rPr>
                                <w:color w:val="000000"/>
                                <w:sz w:val="12"/>
                              </w:rPr>
                              <w:t>purposes</w:t>
                            </w:r>
                            <w:r>
                              <w:rPr>
                                <w:color w:val="000000"/>
                                <w:spacing w:val="-5"/>
                                <w:sz w:val="12"/>
                              </w:rPr>
                              <w:t> </w:t>
                            </w:r>
                            <w:r>
                              <w:rPr>
                                <w:color w:val="000000"/>
                                <w:sz w:val="12"/>
                              </w:rPr>
                              <w:t>stipulated</w:t>
                            </w:r>
                            <w:r>
                              <w:rPr>
                                <w:color w:val="000000"/>
                                <w:spacing w:val="-6"/>
                                <w:sz w:val="12"/>
                              </w:rPr>
                              <w:t> </w:t>
                            </w:r>
                            <w:r>
                              <w:rPr>
                                <w:color w:val="000000"/>
                                <w:sz w:val="12"/>
                              </w:rPr>
                              <w:t>are</w:t>
                            </w:r>
                            <w:r>
                              <w:rPr>
                                <w:color w:val="000000"/>
                                <w:spacing w:val="-6"/>
                                <w:sz w:val="12"/>
                              </w:rPr>
                              <w:t> </w:t>
                            </w:r>
                            <w:r>
                              <w:rPr>
                                <w:color w:val="000000"/>
                                <w:sz w:val="12"/>
                              </w:rPr>
                              <w:t>considered</w:t>
                            </w:r>
                            <w:r>
                              <w:rPr>
                                <w:color w:val="000000"/>
                                <w:spacing w:val="-6"/>
                                <w:sz w:val="12"/>
                              </w:rPr>
                              <w:t> </w:t>
                            </w:r>
                            <w:r>
                              <w:rPr>
                                <w:color w:val="000000"/>
                                <w:sz w:val="12"/>
                              </w:rPr>
                              <w:t>restricted</w:t>
                            </w:r>
                            <w:r>
                              <w:rPr>
                                <w:color w:val="000000"/>
                                <w:spacing w:val="-6"/>
                                <w:sz w:val="12"/>
                              </w:rPr>
                              <w:t> </w:t>
                            </w:r>
                            <w:r>
                              <w:rPr>
                                <w:color w:val="000000"/>
                                <w:sz w:val="12"/>
                              </w:rPr>
                              <w:t>and</w:t>
                            </w:r>
                            <w:r>
                              <w:rPr>
                                <w:color w:val="000000"/>
                                <w:spacing w:val="-6"/>
                                <w:sz w:val="12"/>
                              </w:rPr>
                              <w:t> </w:t>
                            </w:r>
                            <w:r>
                              <w:rPr>
                                <w:color w:val="000000"/>
                                <w:sz w:val="12"/>
                              </w:rPr>
                              <w:t>includes:</w:t>
                            </w:r>
                          </w:p>
                          <w:p>
                            <w:pPr>
                              <w:numPr>
                                <w:ilvl w:val="0"/>
                                <w:numId w:val="16"/>
                              </w:numPr>
                              <w:tabs>
                                <w:tab w:pos="100" w:val="left" w:leader="none"/>
                              </w:tabs>
                              <w:spacing w:before="0"/>
                              <w:ind w:left="100" w:right="0" w:hanging="76"/>
                              <w:jc w:val="left"/>
                              <w:rPr>
                                <w:color w:val="000000"/>
                                <w:sz w:val="12"/>
                              </w:rPr>
                            </w:pPr>
                            <w:r>
                              <w:rPr>
                                <w:color w:val="000000"/>
                                <w:spacing w:val="-2"/>
                                <w:sz w:val="12"/>
                              </w:rPr>
                              <w:t>Research</w:t>
                            </w:r>
                            <w:r>
                              <w:rPr>
                                <w:color w:val="000000"/>
                                <w:spacing w:val="-1"/>
                                <w:sz w:val="12"/>
                              </w:rPr>
                              <w:t> </w:t>
                            </w:r>
                            <w:r>
                              <w:rPr>
                                <w:color w:val="000000"/>
                                <w:spacing w:val="-2"/>
                                <w:sz w:val="12"/>
                              </w:rPr>
                              <w:t>funds;</w:t>
                            </w:r>
                            <w:r>
                              <w:rPr>
                                <w:color w:val="000000"/>
                                <w:spacing w:val="3"/>
                                <w:sz w:val="12"/>
                              </w:rPr>
                              <w:t> </w:t>
                            </w:r>
                            <w:r>
                              <w:rPr>
                                <w:color w:val="000000"/>
                                <w:spacing w:val="-5"/>
                                <w:sz w:val="12"/>
                              </w:rPr>
                              <w:t>and</w:t>
                            </w:r>
                          </w:p>
                          <w:p>
                            <w:pPr>
                              <w:numPr>
                                <w:ilvl w:val="0"/>
                                <w:numId w:val="16"/>
                              </w:numPr>
                              <w:tabs>
                                <w:tab w:pos="80" w:val="left" w:leader="none"/>
                              </w:tabs>
                              <w:spacing w:line="261" w:lineRule="auto" w:before="13"/>
                              <w:ind w:left="24" w:right="149" w:firstLine="0"/>
                              <w:jc w:val="left"/>
                              <w:rPr>
                                <w:color w:val="000000"/>
                                <w:sz w:val="12"/>
                              </w:rPr>
                            </w:pPr>
                            <w:r>
                              <w:rPr>
                                <w:color w:val="000000"/>
                                <w:sz w:val="12"/>
                              </w:rPr>
                              <w:t>Endowment</w:t>
                            </w:r>
                            <w:r>
                              <w:rPr>
                                <w:color w:val="000000"/>
                                <w:spacing w:val="-9"/>
                                <w:sz w:val="12"/>
                              </w:rPr>
                              <w:t> </w:t>
                            </w:r>
                            <w:r>
                              <w:rPr>
                                <w:color w:val="000000"/>
                                <w:sz w:val="12"/>
                              </w:rPr>
                              <w:t>and</w:t>
                            </w:r>
                            <w:r>
                              <w:rPr>
                                <w:color w:val="000000"/>
                                <w:spacing w:val="-8"/>
                                <w:sz w:val="12"/>
                              </w:rPr>
                              <w:t> </w:t>
                            </w:r>
                            <w:r>
                              <w:rPr>
                                <w:color w:val="000000"/>
                                <w:sz w:val="12"/>
                              </w:rPr>
                              <w:t>gifted</w:t>
                            </w:r>
                            <w:r>
                              <w:rPr>
                                <w:color w:val="000000"/>
                                <w:spacing w:val="-8"/>
                                <w:sz w:val="12"/>
                              </w:rPr>
                              <w:t> </w:t>
                            </w:r>
                            <w:r>
                              <w:rPr>
                                <w:color w:val="000000"/>
                                <w:sz w:val="12"/>
                              </w:rPr>
                              <w:t>funds,</w:t>
                            </w:r>
                            <w:r>
                              <w:rPr>
                                <w:color w:val="000000"/>
                                <w:spacing w:val="-9"/>
                                <w:sz w:val="12"/>
                              </w:rPr>
                              <w:t> </w:t>
                            </w:r>
                            <w:r>
                              <w:rPr>
                                <w:color w:val="000000"/>
                                <w:sz w:val="12"/>
                              </w:rPr>
                              <w:t>including</w:t>
                            </w:r>
                            <w:r>
                              <w:rPr>
                                <w:color w:val="000000"/>
                                <w:spacing w:val="-8"/>
                                <w:sz w:val="12"/>
                              </w:rPr>
                              <w:t> </w:t>
                            </w:r>
                            <w:r>
                              <w:rPr>
                                <w:color w:val="000000"/>
                                <w:sz w:val="12"/>
                              </w:rPr>
                              <w:t>land</w:t>
                            </w:r>
                            <w:r>
                              <w:rPr>
                                <w:color w:val="000000"/>
                                <w:spacing w:val="-8"/>
                                <w:sz w:val="12"/>
                              </w:rPr>
                              <w:t> </w:t>
                            </w:r>
                            <w:r>
                              <w:rPr>
                                <w:color w:val="000000"/>
                                <w:sz w:val="12"/>
                              </w:rPr>
                              <w:t>endowed</w:t>
                            </w:r>
                            <w:r>
                              <w:rPr>
                                <w:color w:val="000000"/>
                                <w:spacing w:val="-9"/>
                                <w:sz w:val="12"/>
                              </w:rPr>
                              <w:t> </w:t>
                            </w:r>
                            <w:r>
                              <w:rPr>
                                <w:color w:val="000000"/>
                                <w:sz w:val="12"/>
                              </w:rPr>
                              <w:t>by</w:t>
                            </w:r>
                            <w:r>
                              <w:rPr>
                                <w:color w:val="000000"/>
                                <w:spacing w:val="-8"/>
                                <w:sz w:val="12"/>
                              </w:rPr>
                              <w:t> </w:t>
                            </w:r>
                            <w:r>
                              <w:rPr>
                                <w:color w:val="000000"/>
                                <w:sz w:val="12"/>
                              </w:rPr>
                              <w:t>the</w:t>
                            </w:r>
                            <w:r>
                              <w:rPr>
                                <w:color w:val="000000"/>
                                <w:spacing w:val="-9"/>
                                <w:sz w:val="12"/>
                              </w:rPr>
                              <w:t> </w:t>
                            </w:r>
                            <w:r>
                              <w:rPr>
                                <w:color w:val="000000"/>
                                <w:sz w:val="12"/>
                              </w:rPr>
                              <w:t>State</w:t>
                            </w:r>
                            <w:r>
                              <w:rPr>
                                <w:color w:val="000000"/>
                                <w:spacing w:val="-8"/>
                                <w:sz w:val="12"/>
                              </w:rPr>
                              <w:t> </w:t>
                            </w:r>
                            <w:r>
                              <w:rPr>
                                <w:color w:val="000000"/>
                                <w:sz w:val="12"/>
                              </w:rPr>
                              <w:t>Government</w:t>
                            </w:r>
                            <w:r>
                              <w:rPr>
                                <w:color w:val="000000"/>
                                <w:spacing w:val="-8"/>
                                <w:sz w:val="12"/>
                              </w:rPr>
                              <w:t> </w:t>
                            </w:r>
                            <w:r>
                              <w:rPr>
                                <w:color w:val="000000"/>
                                <w:sz w:val="12"/>
                              </w:rPr>
                              <w:t>and</w:t>
                            </w:r>
                            <w:r>
                              <w:rPr>
                                <w:color w:val="000000"/>
                                <w:spacing w:val="-9"/>
                                <w:sz w:val="12"/>
                              </w:rPr>
                              <w:t> </w:t>
                            </w:r>
                            <w:r>
                              <w:rPr>
                                <w:color w:val="000000"/>
                                <w:sz w:val="12"/>
                              </w:rPr>
                              <w:t>gifts</w:t>
                            </w:r>
                            <w:r>
                              <w:rPr>
                                <w:color w:val="000000"/>
                                <w:spacing w:val="-8"/>
                                <w:sz w:val="12"/>
                              </w:rPr>
                              <w:t> </w:t>
                            </w:r>
                            <w:r>
                              <w:rPr>
                                <w:color w:val="000000"/>
                                <w:sz w:val="12"/>
                              </w:rPr>
                              <w:t>and</w:t>
                            </w:r>
                            <w:r>
                              <w:rPr>
                                <w:color w:val="000000"/>
                                <w:spacing w:val="-8"/>
                                <w:sz w:val="12"/>
                              </w:rPr>
                              <w:t> </w:t>
                            </w:r>
                            <w:r>
                              <w:rPr>
                                <w:color w:val="000000"/>
                                <w:sz w:val="12"/>
                              </w:rPr>
                              <w:t>bequests</w:t>
                            </w:r>
                            <w:r>
                              <w:rPr>
                                <w:color w:val="000000"/>
                                <w:spacing w:val="-9"/>
                                <w:sz w:val="12"/>
                              </w:rPr>
                              <w:t> </w:t>
                            </w:r>
                            <w:r>
                              <w:rPr>
                                <w:color w:val="000000"/>
                                <w:sz w:val="12"/>
                              </w:rPr>
                              <w:t>subject</w:t>
                            </w:r>
                            <w:r>
                              <w:rPr>
                                <w:color w:val="000000"/>
                                <w:spacing w:val="-8"/>
                                <w:sz w:val="12"/>
                              </w:rPr>
                              <w:t> </w:t>
                            </w:r>
                            <w:r>
                              <w:rPr>
                                <w:color w:val="000000"/>
                                <w:sz w:val="12"/>
                              </w:rPr>
                              <w:t>to</w:t>
                            </w:r>
                            <w:r>
                              <w:rPr>
                                <w:color w:val="000000"/>
                                <w:spacing w:val="-8"/>
                                <w:sz w:val="12"/>
                              </w:rPr>
                              <w:t> </w:t>
                            </w:r>
                            <w:r>
                              <w:rPr>
                                <w:color w:val="000000"/>
                                <w:sz w:val="12"/>
                              </w:rPr>
                              <w:t>external</w:t>
                            </w:r>
                            <w:r>
                              <w:rPr>
                                <w:color w:val="000000"/>
                                <w:spacing w:val="-9"/>
                                <w:sz w:val="12"/>
                              </w:rPr>
                              <w:t> </w:t>
                            </w:r>
                            <w:r>
                              <w:rPr>
                                <w:color w:val="000000"/>
                                <w:sz w:val="12"/>
                              </w:rPr>
                              <w:t>requirements</w:t>
                            </w:r>
                            <w:r>
                              <w:rPr>
                                <w:color w:val="000000"/>
                                <w:spacing w:val="-8"/>
                                <w:sz w:val="12"/>
                              </w:rPr>
                              <w:t> </w:t>
                            </w:r>
                            <w:r>
                              <w:rPr>
                                <w:color w:val="000000"/>
                                <w:sz w:val="12"/>
                              </w:rPr>
                              <w:t>formalised</w:t>
                            </w:r>
                            <w:r>
                              <w:rPr>
                                <w:color w:val="000000"/>
                                <w:spacing w:val="-8"/>
                                <w:sz w:val="12"/>
                              </w:rPr>
                              <w:t> </w:t>
                            </w:r>
                            <w:r>
                              <w:rPr>
                                <w:color w:val="000000"/>
                                <w:sz w:val="12"/>
                              </w:rPr>
                              <w:t>within</w:t>
                            </w:r>
                            <w:r>
                              <w:rPr>
                                <w:color w:val="000000"/>
                                <w:spacing w:val="-9"/>
                                <w:sz w:val="12"/>
                              </w:rPr>
                              <w:t> </w:t>
                            </w:r>
                            <w:r>
                              <w:rPr>
                                <w:color w:val="000000"/>
                                <w:sz w:val="12"/>
                              </w:rPr>
                              <w:t>a</w:t>
                            </w:r>
                            <w:r>
                              <w:rPr>
                                <w:color w:val="000000"/>
                                <w:spacing w:val="-8"/>
                                <w:sz w:val="12"/>
                              </w:rPr>
                              <w:t> </w:t>
                            </w:r>
                            <w:r>
                              <w:rPr>
                                <w:color w:val="000000"/>
                                <w:sz w:val="12"/>
                              </w:rPr>
                              <w:t>Will</w:t>
                            </w:r>
                            <w:r>
                              <w:rPr>
                                <w:color w:val="000000"/>
                                <w:spacing w:val="40"/>
                                <w:sz w:val="12"/>
                              </w:rPr>
                              <w:t> </w:t>
                            </w:r>
                            <w:r>
                              <w:rPr>
                                <w:color w:val="000000"/>
                                <w:sz w:val="12"/>
                              </w:rPr>
                              <w:t>or Deed of Gift.</w:t>
                            </w:r>
                          </w:p>
                        </w:txbxContent>
                      </wps:txbx>
                      <wps:bodyPr wrap="square" lIns="0" tIns="0" rIns="0" bIns="0" rtlCol="0">
                        <a:noAutofit/>
                      </wps:bodyPr>
                    </wps:wsp>
                  </a:graphicData>
                </a:graphic>
              </wp:anchor>
            </w:drawing>
          </mc:Choice>
          <mc:Fallback>
            <w:pict>
              <v:shape style="position:absolute;margin-left:83.184998pt;margin-top:8.874365pt;width:425.35pt;height:51.9pt;mso-position-horizontal-relative:page;mso-position-vertical-relative:paragraph;z-index:-15585792;mso-wrap-distance-left:0;mso-wrap-distance-right:0" type="#_x0000_t202" id="docshape580" filled="true" fillcolor="#dce6f1" stroked="false">
                <v:textbox inset="0,0,0,0">
                  <w:txbxContent>
                    <w:p>
                      <w:pPr>
                        <w:spacing w:before="2"/>
                        <w:ind w:left="24" w:right="0" w:firstLine="0"/>
                        <w:jc w:val="left"/>
                        <w:rPr>
                          <w:b/>
                          <w:color w:val="000000"/>
                          <w:sz w:val="12"/>
                        </w:rPr>
                      </w:pPr>
                      <w:r>
                        <w:rPr>
                          <w:b/>
                          <w:color w:val="0070C0"/>
                          <w:spacing w:val="-2"/>
                          <w:sz w:val="12"/>
                        </w:rPr>
                        <w:t>Critical</w:t>
                      </w:r>
                      <w:r>
                        <w:rPr>
                          <w:b/>
                          <w:color w:val="0070C0"/>
                          <w:spacing w:val="4"/>
                          <w:sz w:val="12"/>
                        </w:rPr>
                        <w:t> </w:t>
                      </w:r>
                      <w:r>
                        <w:rPr>
                          <w:b/>
                          <w:color w:val="0070C0"/>
                          <w:spacing w:val="-2"/>
                          <w:sz w:val="12"/>
                        </w:rPr>
                        <w:t>accounting</w:t>
                      </w:r>
                      <w:r>
                        <w:rPr>
                          <w:b/>
                          <w:color w:val="0070C0"/>
                          <w:spacing w:val="3"/>
                          <w:sz w:val="12"/>
                        </w:rPr>
                        <w:t> </w:t>
                      </w:r>
                      <w:r>
                        <w:rPr>
                          <w:b/>
                          <w:color w:val="0070C0"/>
                          <w:spacing w:val="-2"/>
                          <w:sz w:val="12"/>
                        </w:rPr>
                        <w:t>estimates</w:t>
                      </w:r>
                      <w:r>
                        <w:rPr>
                          <w:b/>
                          <w:color w:val="0070C0"/>
                          <w:spacing w:val="3"/>
                          <w:sz w:val="12"/>
                        </w:rPr>
                        <w:t> </w:t>
                      </w:r>
                      <w:r>
                        <w:rPr>
                          <w:b/>
                          <w:color w:val="0070C0"/>
                          <w:spacing w:val="-2"/>
                          <w:sz w:val="12"/>
                        </w:rPr>
                        <w:t>and</w:t>
                      </w:r>
                      <w:r>
                        <w:rPr>
                          <w:b/>
                          <w:color w:val="0070C0"/>
                          <w:spacing w:val="3"/>
                          <w:sz w:val="12"/>
                        </w:rPr>
                        <w:t> </w:t>
                      </w:r>
                      <w:r>
                        <w:rPr>
                          <w:b/>
                          <w:color w:val="0070C0"/>
                          <w:spacing w:val="-2"/>
                          <w:sz w:val="12"/>
                        </w:rPr>
                        <w:t>judgements:</w:t>
                      </w:r>
                      <w:r>
                        <w:rPr>
                          <w:b/>
                          <w:color w:val="0070C0"/>
                          <w:spacing w:val="1"/>
                          <w:sz w:val="12"/>
                        </w:rPr>
                        <w:t> </w:t>
                      </w:r>
                      <w:r>
                        <w:rPr>
                          <w:b/>
                          <w:color w:val="0070C0"/>
                          <w:spacing w:val="-2"/>
                          <w:sz w:val="12"/>
                        </w:rPr>
                        <w:t>Restricted</w:t>
                      </w:r>
                      <w:r>
                        <w:rPr>
                          <w:b/>
                          <w:color w:val="0070C0"/>
                          <w:spacing w:val="3"/>
                          <w:sz w:val="12"/>
                        </w:rPr>
                        <w:t> </w:t>
                      </w:r>
                      <w:r>
                        <w:rPr>
                          <w:b/>
                          <w:color w:val="0070C0"/>
                          <w:spacing w:val="-2"/>
                          <w:sz w:val="12"/>
                        </w:rPr>
                        <w:t>assets</w:t>
                      </w:r>
                    </w:p>
                    <w:p>
                      <w:pPr>
                        <w:spacing w:line="261" w:lineRule="auto" w:before="14"/>
                        <w:ind w:left="24" w:right="63" w:firstLine="0"/>
                        <w:jc w:val="left"/>
                        <w:rPr>
                          <w:color w:val="000000"/>
                          <w:sz w:val="12"/>
                        </w:rPr>
                      </w:pPr>
                      <w:r>
                        <w:rPr>
                          <w:color w:val="000000"/>
                          <w:sz w:val="12"/>
                        </w:rPr>
                        <w:t>The</w:t>
                      </w:r>
                      <w:r>
                        <w:rPr>
                          <w:color w:val="000000"/>
                          <w:spacing w:val="-9"/>
                          <w:sz w:val="12"/>
                        </w:rPr>
                        <w:t> </w:t>
                      </w:r>
                      <w:r>
                        <w:rPr>
                          <w:color w:val="000000"/>
                          <w:sz w:val="12"/>
                        </w:rPr>
                        <w:t>University</w:t>
                      </w:r>
                      <w:r>
                        <w:rPr>
                          <w:color w:val="000000"/>
                          <w:spacing w:val="-8"/>
                          <w:sz w:val="12"/>
                        </w:rPr>
                        <w:t> </w:t>
                      </w:r>
                      <w:r>
                        <w:rPr>
                          <w:color w:val="000000"/>
                          <w:sz w:val="12"/>
                        </w:rPr>
                        <w:t>receives</w:t>
                      </w:r>
                      <w:r>
                        <w:rPr>
                          <w:color w:val="000000"/>
                          <w:spacing w:val="-8"/>
                          <w:sz w:val="12"/>
                        </w:rPr>
                        <w:t> </w:t>
                      </w:r>
                      <w:r>
                        <w:rPr>
                          <w:color w:val="000000"/>
                          <w:sz w:val="12"/>
                        </w:rPr>
                        <w:t>assets</w:t>
                      </w:r>
                      <w:r>
                        <w:rPr>
                          <w:color w:val="000000"/>
                          <w:spacing w:val="-9"/>
                          <w:sz w:val="12"/>
                        </w:rPr>
                        <w:t> </w:t>
                      </w:r>
                      <w:r>
                        <w:rPr>
                          <w:color w:val="000000"/>
                          <w:sz w:val="12"/>
                        </w:rPr>
                        <w:t>from</w:t>
                      </w:r>
                      <w:r>
                        <w:rPr>
                          <w:color w:val="000000"/>
                          <w:spacing w:val="-8"/>
                          <w:sz w:val="12"/>
                        </w:rPr>
                        <w:t> </w:t>
                      </w:r>
                      <w:r>
                        <w:rPr>
                          <w:color w:val="000000"/>
                          <w:sz w:val="12"/>
                        </w:rPr>
                        <w:t>a</w:t>
                      </w:r>
                      <w:r>
                        <w:rPr>
                          <w:color w:val="000000"/>
                          <w:spacing w:val="-8"/>
                          <w:sz w:val="12"/>
                        </w:rPr>
                        <w:t> </w:t>
                      </w:r>
                      <w:r>
                        <w:rPr>
                          <w:color w:val="000000"/>
                          <w:sz w:val="12"/>
                        </w:rPr>
                        <w:t>large</w:t>
                      </w:r>
                      <w:r>
                        <w:rPr>
                          <w:color w:val="000000"/>
                          <w:spacing w:val="-9"/>
                          <w:sz w:val="12"/>
                        </w:rPr>
                        <w:t> </w:t>
                      </w:r>
                      <w:r>
                        <w:rPr>
                          <w:color w:val="000000"/>
                          <w:sz w:val="12"/>
                        </w:rPr>
                        <w:t>number</w:t>
                      </w:r>
                      <w:r>
                        <w:rPr>
                          <w:color w:val="000000"/>
                          <w:spacing w:val="-6"/>
                          <w:sz w:val="12"/>
                        </w:rPr>
                        <w:t> </w:t>
                      </w:r>
                      <w:r>
                        <w:rPr>
                          <w:color w:val="000000"/>
                          <w:sz w:val="12"/>
                        </w:rPr>
                        <w:t>of</w:t>
                      </w:r>
                      <w:r>
                        <w:rPr>
                          <w:color w:val="000000"/>
                          <w:spacing w:val="-8"/>
                          <w:sz w:val="12"/>
                        </w:rPr>
                        <w:t> </w:t>
                      </w:r>
                      <w:r>
                        <w:rPr>
                          <w:color w:val="000000"/>
                          <w:sz w:val="12"/>
                        </w:rPr>
                        <w:t>diverse</w:t>
                      </w:r>
                      <w:r>
                        <w:rPr>
                          <w:color w:val="000000"/>
                          <w:spacing w:val="-8"/>
                          <w:sz w:val="12"/>
                        </w:rPr>
                        <w:t> </w:t>
                      </w:r>
                      <w:r>
                        <w:rPr>
                          <w:color w:val="000000"/>
                          <w:sz w:val="12"/>
                        </w:rPr>
                        <w:t>and</w:t>
                      </w:r>
                      <w:r>
                        <w:rPr>
                          <w:color w:val="000000"/>
                          <w:spacing w:val="-9"/>
                          <w:sz w:val="12"/>
                        </w:rPr>
                        <w:t> </w:t>
                      </w:r>
                      <w:r>
                        <w:rPr>
                          <w:color w:val="000000"/>
                          <w:sz w:val="12"/>
                        </w:rPr>
                        <w:t>variable</w:t>
                      </w:r>
                      <w:r>
                        <w:rPr>
                          <w:color w:val="000000"/>
                          <w:spacing w:val="-8"/>
                          <w:sz w:val="12"/>
                        </w:rPr>
                        <w:t> </w:t>
                      </w:r>
                      <w:r>
                        <w:rPr>
                          <w:color w:val="000000"/>
                          <w:sz w:val="12"/>
                        </w:rPr>
                        <w:t>sources</w:t>
                      </w:r>
                      <w:r>
                        <w:rPr>
                          <w:color w:val="000000"/>
                          <w:spacing w:val="-7"/>
                          <w:sz w:val="12"/>
                        </w:rPr>
                        <w:t> </w:t>
                      </w:r>
                      <w:r>
                        <w:rPr>
                          <w:color w:val="000000"/>
                          <w:sz w:val="12"/>
                        </w:rPr>
                        <w:t>with</w:t>
                      </w:r>
                      <w:r>
                        <w:rPr>
                          <w:color w:val="000000"/>
                          <w:spacing w:val="-9"/>
                          <w:sz w:val="12"/>
                        </w:rPr>
                        <w:t> </w:t>
                      </w:r>
                      <w:r>
                        <w:rPr>
                          <w:color w:val="000000"/>
                          <w:sz w:val="12"/>
                        </w:rPr>
                        <w:t>a</w:t>
                      </w:r>
                      <w:r>
                        <w:rPr>
                          <w:color w:val="000000"/>
                          <w:spacing w:val="-8"/>
                          <w:sz w:val="12"/>
                        </w:rPr>
                        <w:t> </w:t>
                      </w:r>
                      <w:r>
                        <w:rPr>
                          <w:color w:val="000000"/>
                          <w:sz w:val="12"/>
                        </w:rPr>
                        <w:t>variety</w:t>
                      </w:r>
                      <w:r>
                        <w:rPr>
                          <w:color w:val="000000"/>
                          <w:spacing w:val="-8"/>
                          <w:sz w:val="12"/>
                        </w:rPr>
                        <w:t> </w:t>
                      </w:r>
                      <w:r>
                        <w:rPr>
                          <w:color w:val="000000"/>
                          <w:sz w:val="12"/>
                        </w:rPr>
                        <w:t>of</w:t>
                      </w:r>
                      <w:r>
                        <w:rPr>
                          <w:color w:val="000000"/>
                          <w:spacing w:val="-8"/>
                          <w:sz w:val="12"/>
                        </w:rPr>
                        <w:t> </w:t>
                      </w:r>
                      <w:r>
                        <w:rPr>
                          <w:color w:val="000000"/>
                          <w:sz w:val="12"/>
                        </w:rPr>
                        <w:t>legislative,</w:t>
                      </w:r>
                      <w:r>
                        <w:rPr>
                          <w:color w:val="000000"/>
                          <w:spacing w:val="-7"/>
                          <w:sz w:val="12"/>
                        </w:rPr>
                        <w:t> </w:t>
                      </w:r>
                      <w:r>
                        <w:rPr>
                          <w:color w:val="000000"/>
                          <w:sz w:val="12"/>
                        </w:rPr>
                        <w:t>contractual</w:t>
                      </w:r>
                      <w:r>
                        <w:rPr>
                          <w:color w:val="000000"/>
                          <w:spacing w:val="-9"/>
                          <w:sz w:val="12"/>
                        </w:rPr>
                        <w:t> </w:t>
                      </w:r>
                      <w:r>
                        <w:rPr>
                          <w:color w:val="000000"/>
                          <w:sz w:val="12"/>
                        </w:rPr>
                        <w:t>and</w:t>
                      </w:r>
                      <w:r>
                        <w:rPr>
                          <w:color w:val="000000"/>
                          <w:spacing w:val="-8"/>
                          <w:sz w:val="12"/>
                        </w:rPr>
                        <w:t> </w:t>
                      </w:r>
                      <w:r>
                        <w:rPr>
                          <w:color w:val="000000"/>
                          <w:sz w:val="12"/>
                        </w:rPr>
                        <w:t>compliance</w:t>
                      </w:r>
                      <w:r>
                        <w:rPr>
                          <w:color w:val="000000"/>
                          <w:spacing w:val="-8"/>
                          <w:sz w:val="12"/>
                        </w:rPr>
                        <w:t> </w:t>
                      </w:r>
                      <w:r>
                        <w:rPr>
                          <w:color w:val="000000"/>
                          <w:sz w:val="12"/>
                        </w:rPr>
                        <w:t>obligations.</w:t>
                      </w:r>
                      <w:r>
                        <w:rPr>
                          <w:color w:val="000000"/>
                          <w:spacing w:val="-8"/>
                          <w:sz w:val="12"/>
                        </w:rPr>
                        <w:t> </w:t>
                      </w:r>
                      <w:r>
                        <w:rPr>
                          <w:color w:val="000000"/>
                          <w:sz w:val="12"/>
                        </w:rPr>
                        <w:t>The</w:t>
                      </w:r>
                      <w:r>
                        <w:rPr>
                          <w:color w:val="000000"/>
                          <w:spacing w:val="40"/>
                          <w:sz w:val="12"/>
                        </w:rPr>
                        <w:t> </w:t>
                      </w:r>
                      <w:r>
                        <w:rPr>
                          <w:color w:val="000000"/>
                          <w:sz w:val="12"/>
                        </w:rPr>
                        <w:t>assets</w:t>
                      </w:r>
                      <w:r>
                        <w:rPr>
                          <w:color w:val="000000"/>
                          <w:spacing w:val="-5"/>
                          <w:sz w:val="12"/>
                        </w:rPr>
                        <w:t> </w:t>
                      </w:r>
                      <w:r>
                        <w:rPr>
                          <w:color w:val="000000"/>
                          <w:sz w:val="12"/>
                        </w:rPr>
                        <w:t>that</w:t>
                      </w:r>
                      <w:r>
                        <w:rPr>
                          <w:color w:val="000000"/>
                          <w:spacing w:val="-5"/>
                          <w:sz w:val="12"/>
                        </w:rPr>
                        <w:t> </w:t>
                      </w:r>
                      <w:r>
                        <w:rPr>
                          <w:color w:val="000000"/>
                          <w:sz w:val="12"/>
                        </w:rPr>
                        <w:t>are</w:t>
                      </w:r>
                      <w:r>
                        <w:rPr>
                          <w:color w:val="000000"/>
                          <w:spacing w:val="-6"/>
                          <w:sz w:val="12"/>
                        </w:rPr>
                        <w:t> </w:t>
                      </w:r>
                      <w:r>
                        <w:rPr>
                          <w:color w:val="000000"/>
                          <w:sz w:val="12"/>
                        </w:rPr>
                        <w:t>not</w:t>
                      </w:r>
                      <w:r>
                        <w:rPr>
                          <w:color w:val="000000"/>
                          <w:spacing w:val="-5"/>
                          <w:sz w:val="12"/>
                        </w:rPr>
                        <w:t> </w:t>
                      </w:r>
                      <w:r>
                        <w:rPr>
                          <w:color w:val="000000"/>
                          <w:sz w:val="12"/>
                        </w:rPr>
                        <w:t>available</w:t>
                      </w:r>
                      <w:r>
                        <w:rPr>
                          <w:color w:val="000000"/>
                          <w:spacing w:val="-6"/>
                          <w:sz w:val="12"/>
                        </w:rPr>
                        <w:t> </w:t>
                      </w:r>
                      <w:r>
                        <w:rPr>
                          <w:color w:val="000000"/>
                          <w:sz w:val="12"/>
                        </w:rPr>
                        <w:t>for</w:t>
                      </w:r>
                      <w:r>
                        <w:rPr>
                          <w:color w:val="000000"/>
                          <w:spacing w:val="-5"/>
                          <w:sz w:val="12"/>
                        </w:rPr>
                        <w:t> </w:t>
                      </w:r>
                      <w:r>
                        <w:rPr>
                          <w:color w:val="000000"/>
                          <w:sz w:val="12"/>
                        </w:rPr>
                        <w:t>discretionary</w:t>
                      </w:r>
                      <w:r>
                        <w:rPr>
                          <w:color w:val="000000"/>
                          <w:spacing w:val="-9"/>
                          <w:sz w:val="12"/>
                        </w:rPr>
                        <w:t> </w:t>
                      </w:r>
                      <w:r>
                        <w:rPr>
                          <w:color w:val="000000"/>
                          <w:sz w:val="12"/>
                        </w:rPr>
                        <w:t>use</w:t>
                      </w:r>
                      <w:r>
                        <w:rPr>
                          <w:color w:val="000000"/>
                          <w:spacing w:val="-6"/>
                          <w:sz w:val="12"/>
                        </w:rPr>
                        <w:t> </w:t>
                      </w:r>
                      <w:r>
                        <w:rPr>
                          <w:color w:val="000000"/>
                          <w:sz w:val="12"/>
                        </w:rPr>
                        <w:t>by</w:t>
                      </w:r>
                      <w:r>
                        <w:rPr>
                          <w:color w:val="000000"/>
                          <w:spacing w:val="-9"/>
                          <w:sz w:val="12"/>
                        </w:rPr>
                        <w:t> </w:t>
                      </w:r>
                      <w:r>
                        <w:rPr>
                          <w:color w:val="000000"/>
                          <w:sz w:val="12"/>
                        </w:rPr>
                        <w:t>the</w:t>
                      </w:r>
                      <w:r>
                        <w:rPr>
                          <w:color w:val="000000"/>
                          <w:spacing w:val="-6"/>
                          <w:sz w:val="12"/>
                        </w:rPr>
                        <w:t> </w:t>
                      </w:r>
                      <w:r>
                        <w:rPr>
                          <w:color w:val="000000"/>
                          <w:sz w:val="12"/>
                        </w:rPr>
                        <w:t>University</w:t>
                      </w:r>
                      <w:r>
                        <w:rPr>
                          <w:color w:val="000000"/>
                          <w:spacing w:val="-9"/>
                          <w:sz w:val="12"/>
                        </w:rPr>
                        <w:t> </w:t>
                      </w:r>
                      <w:r>
                        <w:rPr>
                          <w:color w:val="000000"/>
                          <w:sz w:val="12"/>
                        </w:rPr>
                        <w:t>and</w:t>
                      </w:r>
                      <w:r>
                        <w:rPr>
                          <w:color w:val="000000"/>
                          <w:spacing w:val="-6"/>
                          <w:sz w:val="12"/>
                        </w:rPr>
                        <w:t> </w:t>
                      </w:r>
                      <w:r>
                        <w:rPr>
                          <w:color w:val="000000"/>
                          <w:sz w:val="12"/>
                        </w:rPr>
                        <w:t>must</w:t>
                      </w:r>
                      <w:r>
                        <w:rPr>
                          <w:color w:val="000000"/>
                          <w:spacing w:val="-5"/>
                          <w:sz w:val="12"/>
                        </w:rPr>
                        <w:t> </w:t>
                      </w:r>
                      <w:r>
                        <w:rPr>
                          <w:color w:val="000000"/>
                          <w:sz w:val="12"/>
                        </w:rPr>
                        <w:t>be</w:t>
                      </w:r>
                      <w:r>
                        <w:rPr>
                          <w:color w:val="000000"/>
                          <w:spacing w:val="-6"/>
                          <w:sz w:val="12"/>
                        </w:rPr>
                        <w:t> </w:t>
                      </w:r>
                      <w:r>
                        <w:rPr>
                          <w:color w:val="000000"/>
                          <w:sz w:val="12"/>
                        </w:rPr>
                        <w:t>used</w:t>
                      </w:r>
                      <w:r>
                        <w:rPr>
                          <w:color w:val="000000"/>
                          <w:spacing w:val="-6"/>
                          <w:sz w:val="12"/>
                        </w:rPr>
                        <w:t> </w:t>
                      </w:r>
                      <w:r>
                        <w:rPr>
                          <w:color w:val="000000"/>
                          <w:sz w:val="12"/>
                        </w:rPr>
                        <w:t>for</w:t>
                      </w:r>
                      <w:r>
                        <w:rPr>
                          <w:color w:val="000000"/>
                          <w:spacing w:val="-5"/>
                          <w:sz w:val="12"/>
                        </w:rPr>
                        <w:t> </w:t>
                      </w:r>
                      <w:r>
                        <w:rPr>
                          <w:color w:val="000000"/>
                          <w:sz w:val="12"/>
                        </w:rPr>
                        <w:t>the</w:t>
                      </w:r>
                      <w:r>
                        <w:rPr>
                          <w:color w:val="000000"/>
                          <w:spacing w:val="-6"/>
                          <w:sz w:val="12"/>
                        </w:rPr>
                        <w:t> </w:t>
                      </w:r>
                      <w:r>
                        <w:rPr>
                          <w:color w:val="000000"/>
                          <w:sz w:val="12"/>
                        </w:rPr>
                        <w:t>purposes</w:t>
                      </w:r>
                      <w:r>
                        <w:rPr>
                          <w:color w:val="000000"/>
                          <w:spacing w:val="-5"/>
                          <w:sz w:val="12"/>
                        </w:rPr>
                        <w:t> </w:t>
                      </w:r>
                      <w:r>
                        <w:rPr>
                          <w:color w:val="000000"/>
                          <w:sz w:val="12"/>
                        </w:rPr>
                        <w:t>stipulated</w:t>
                      </w:r>
                      <w:r>
                        <w:rPr>
                          <w:color w:val="000000"/>
                          <w:spacing w:val="-6"/>
                          <w:sz w:val="12"/>
                        </w:rPr>
                        <w:t> </w:t>
                      </w:r>
                      <w:r>
                        <w:rPr>
                          <w:color w:val="000000"/>
                          <w:sz w:val="12"/>
                        </w:rPr>
                        <w:t>are</w:t>
                      </w:r>
                      <w:r>
                        <w:rPr>
                          <w:color w:val="000000"/>
                          <w:spacing w:val="-6"/>
                          <w:sz w:val="12"/>
                        </w:rPr>
                        <w:t> </w:t>
                      </w:r>
                      <w:r>
                        <w:rPr>
                          <w:color w:val="000000"/>
                          <w:sz w:val="12"/>
                        </w:rPr>
                        <w:t>considered</w:t>
                      </w:r>
                      <w:r>
                        <w:rPr>
                          <w:color w:val="000000"/>
                          <w:spacing w:val="-6"/>
                          <w:sz w:val="12"/>
                        </w:rPr>
                        <w:t> </w:t>
                      </w:r>
                      <w:r>
                        <w:rPr>
                          <w:color w:val="000000"/>
                          <w:sz w:val="12"/>
                        </w:rPr>
                        <w:t>restricted</w:t>
                      </w:r>
                      <w:r>
                        <w:rPr>
                          <w:color w:val="000000"/>
                          <w:spacing w:val="-6"/>
                          <w:sz w:val="12"/>
                        </w:rPr>
                        <w:t> </w:t>
                      </w:r>
                      <w:r>
                        <w:rPr>
                          <w:color w:val="000000"/>
                          <w:sz w:val="12"/>
                        </w:rPr>
                        <w:t>and</w:t>
                      </w:r>
                      <w:r>
                        <w:rPr>
                          <w:color w:val="000000"/>
                          <w:spacing w:val="-6"/>
                          <w:sz w:val="12"/>
                        </w:rPr>
                        <w:t> </w:t>
                      </w:r>
                      <w:r>
                        <w:rPr>
                          <w:color w:val="000000"/>
                          <w:sz w:val="12"/>
                        </w:rPr>
                        <w:t>includes:</w:t>
                      </w:r>
                    </w:p>
                    <w:p>
                      <w:pPr>
                        <w:numPr>
                          <w:ilvl w:val="0"/>
                          <w:numId w:val="16"/>
                        </w:numPr>
                        <w:tabs>
                          <w:tab w:pos="100" w:val="left" w:leader="none"/>
                        </w:tabs>
                        <w:spacing w:before="0"/>
                        <w:ind w:left="100" w:right="0" w:hanging="76"/>
                        <w:jc w:val="left"/>
                        <w:rPr>
                          <w:color w:val="000000"/>
                          <w:sz w:val="12"/>
                        </w:rPr>
                      </w:pPr>
                      <w:r>
                        <w:rPr>
                          <w:color w:val="000000"/>
                          <w:spacing w:val="-2"/>
                          <w:sz w:val="12"/>
                        </w:rPr>
                        <w:t>Research</w:t>
                      </w:r>
                      <w:r>
                        <w:rPr>
                          <w:color w:val="000000"/>
                          <w:spacing w:val="-1"/>
                          <w:sz w:val="12"/>
                        </w:rPr>
                        <w:t> </w:t>
                      </w:r>
                      <w:r>
                        <w:rPr>
                          <w:color w:val="000000"/>
                          <w:spacing w:val="-2"/>
                          <w:sz w:val="12"/>
                        </w:rPr>
                        <w:t>funds;</w:t>
                      </w:r>
                      <w:r>
                        <w:rPr>
                          <w:color w:val="000000"/>
                          <w:spacing w:val="3"/>
                          <w:sz w:val="12"/>
                        </w:rPr>
                        <w:t> </w:t>
                      </w:r>
                      <w:r>
                        <w:rPr>
                          <w:color w:val="000000"/>
                          <w:spacing w:val="-5"/>
                          <w:sz w:val="12"/>
                        </w:rPr>
                        <w:t>and</w:t>
                      </w:r>
                    </w:p>
                    <w:p>
                      <w:pPr>
                        <w:numPr>
                          <w:ilvl w:val="0"/>
                          <w:numId w:val="16"/>
                        </w:numPr>
                        <w:tabs>
                          <w:tab w:pos="80" w:val="left" w:leader="none"/>
                        </w:tabs>
                        <w:spacing w:line="261" w:lineRule="auto" w:before="13"/>
                        <w:ind w:left="24" w:right="149" w:firstLine="0"/>
                        <w:jc w:val="left"/>
                        <w:rPr>
                          <w:color w:val="000000"/>
                          <w:sz w:val="12"/>
                        </w:rPr>
                      </w:pPr>
                      <w:r>
                        <w:rPr>
                          <w:color w:val="000000"/>
                          <w:sz w:val="12"/>
                        </w:rPr>
                        <w:t>Endowment</w:t>
                      </w:r>
                      <w:r>
                        <w:rPr>
                          <w:color w:val="000000"/>
                          <w:spacing w:val="-9"/>
                          <w:sz w:val="12"/>
                        </w:rPr>
                        <w:t> </w:t>
                      </w:r>
                      <w:r>
                        <w:rPr>
                          <w:color w:val="000000"/>
                          <w:sz w:val="12"/>
                        </w:rPr>
                        <w:t>and</w:t>
                      </w:r>
                      <w:r>
                        <w:rPr>
                          <w:color w:val="000000"/>
                          <w:spacing w:val="-8"/>
                          <w:sz w:val="12"/>
                        </w:rPr>
                        <w:t> </w:t>
                      </w:r>
                      <w:r>
                        <w:rPr>
                          <w:color w:val="000000"/>
                          <w:sz w:val="12"/>
                        </w:rPr>
                        <w:t>gifted</w:t>
                      </w:r>
                      <w:r>
                        <w:rPr>
                          <w:color w:val="000000"/>
                          <w:spacing w:val="-8"/>
                          <w:sz w:val="12"/>
                        </w:rPr>
                        <w:t> </w:t>
                      </w:r>
                      <w:r>
                        <w:rPr>
                          <w:color w:val="000000"/>
                          <w:sz w:val="12"/>
                        </w:rPr>
                        <w:t>funds,</w:t>
                      </w:r>
                      <w:r>
                        <w:rPr>
                          <w:color w:val="000000"/>
                          <w:spacing w:val="-9"/>
                          <w:sz w:val="12"/>
                        </w:rPr>
                        <w:t> </w:t>
                      </w:r>
                      <w:r>
                        <w:rPr>
                          <w:color w:val="000000"/>
                          <w:sz w:val="12"/>
                        </w:rPr>
                        <w:t>including</w:t>
                      </w:r>
                      <w:r>
                        <w:rPr>
                          <w:color w:val="000000"/>
                          <w:spacing w:val="-8"/>
                          <w:sz w:val="12"/>
                        </w:rPr>
                        <w:t> </w:t>
                      </w:r>
                      <w:r>
                        <w:rPr>
                          <w:color w:val="000000"/>
                          <w:sz w:val="12"/>
                        </w:rPr>
                        <w:t>land</w:t>
                      </w:r>
                      <w:r>
                        <w:rPr>
                          <w:color w:val="000000"/>
                          <w:spacing w:val="-8"/>
                          <w:sz w:val="12"/>
                        </w:rPr>
                        <w:t> </w:t>
                      </w:r>
                      <w:r>
                        <w:rPr>
                          <w:color w:val="000000"/>
                          <w:sz w:val="12"/>
                        </w:rPr>
                        <w:t>endowed</w:t>
                      </w:r>
                      <w:r>
                        <w:rPr>
                          <w:color w:val="000000"/>
                          <w:spacing w:val="-9"/>
                          <w:sz w:val="12"/>
                        </w:rPr>
                        <w:t> </w:t>
                      </w:r>
                      <w:r>
                        <w:rPr>
                          <w:color w:val="000000"/>
                          <w:sz w:val="12"/>
                        </w:rPr>
                        <w:t>by</w:t>
                      </w:r>
                      <w:r>
                        <w:rPr>
                          <w:color w:val="000000"/>
                          <w:spacing w:val="-8"/>
                          <w:sz w:val="12"/>
                        </w:rPr>
                        <w:t> </w:t>
                      </w:r>
                      <w:r>
                        <w:rPr>
                          <w:color w:val="000000"/>
                          <w:sz w:val="12"/>
                        </w:rPr>
                        <w:t>the</w:t>
                      </w:r>
                      <w:r>
                        <w:rPr>
                          <w:color w:val="000000"/>
                          <w:spacing w:val="-9"/>
                          <w:sz w:val="12"/>
                        </w:rPr>
                        <w:t> </w:t>
                      </w:r>
                      <w:r>
                        <w:rPr>
                          <w:color w:val="000000"/>
                          <w:sz w:val="12"/>
                        </w:rPr>
                        <w:t>State</w:t>
                      </w:r>
                      <w:r>
                        <w:rPr>
                          <w:color w:val="000000"/>
                          <w:spacing w:val="-8"/>
                          <w:sz w:val="12"/>
                        </w:rPr>
                        <w:t> </w:t>
                      </w:r>
                      <w:r>
                        <w:rPr>
                          <w:color w:val="000000"/>
                          <w:sz w:val="12"/>
                        </w:rPr>
                        <w:t>Government</w:t>
                      </w:r>
                      <w:r>
                        <w:rPr>
                          <w:color w:val="000000"/>
                          <w:spacing w:val="-8"/>
                          <w:sz w:val="12"/>
                        </w:rPr>
                        <w:t> </w:t>
                      </w:r>
                      <w:r>
                        <w:rPr>
                          <w:color w:val="000000"/>
                          <w:sz w:val="12"/>
                        </w:rPr>
                        <w:t>and</w:t>
                      </w:r>
                      <w:r>
                        <w:rPr>
                          <w:color w:val="000000"/>
                          <w:spacing w:val="-9"/>
                          <w:sz w:val="12"/>
                        </w:rPr>
                        <w:t> </w:t>
                      </w:r>
                      <w:r>
                        <w:rPr>
                          <w:color w:val="000000"/>
                          <w:sz w:val="12"/>
                        </w:rPr>
                        <w:t>gifts</w:t>
                      </w:r>
                      <w:r>
                        <w:rPr>
                          <w:color w:val="000000"/>
                          <w:spacing w:val="-8"/>
                          <w:sz w:val="12"/>
                        </w:rPr>
                        <w:t> </w:t>
                      </w:r>
                      <w:r>
                        <w:rPr>
                          <w:color w:val="000000"/>
                          <w:sz w:val="12"/>
                        </w:rPr>
                        <w:t>and</w:t>
                      </w:r>
                      <w:r>
                        <w:rPr>
                          <w:color w:val="000000"/>
                          <w:spacing w:val="-8"/>
                          <w:sz w:val="12"/>
                        </w:rPr>
                        <w:t> </w:t>
                      </w:r>
                      <w:r>
                        <w:rPr>
                          <w:color w:val="000000"/>
                          <w:sz w:val="12"/>
                        </w:rPr>
                        <w:t>bequests</w:t>
                      </w:r>
                      <w:r>
                        <w:rPr>
                          <w:color w:val="000000"/>
                          <w:spacing w:val="-9"/>
                          <w:sz w:val="12"/>
                        </w:rPr>
                        <w:t> </w:t>
                      </w:r>
                      <w:r>
                        <w:rPr>
                          <w:color w:val="000000"/>
                          <w:sz w:val="12"/>
                        </w:rPr>
                        <w:t>subject</w:t>
                      </w:r>
                      <w:r>
                        <w:rPr>
                          <w:color w:val="000000"/>
                          <w:spacing w:val="-8"/>
                          <w:sz w:val="12"/>
                        </w:rPr>
                        <w:t> </w:t>
                      </w:r>
                      <w:r>
                        <w:rPr>
                          <w:color w:val="000000"/>
                          <w:sz w:val="12"/>
                        </w:rPr>
                        <w:t>to</w:t>
                      </w:r>
                      <w:r>
                        <w:rPr>
                          <w:color w:val="000000"/>
                          <w:spacing w:val="-8"/>
                          <w:sz w:val="12"/>
                        </w:rPr>
                        <w:t> </w:t>
                      </w:r>
                      <w:r>
                        <w:rPr>
                          <w:color w:val="000000"/>
                          <w:sz w:val="12"/>
                        </w:rPr>
                        <w:t>external</w:t>
                      </w:r>
                      <w:r>
                        <w:rPr>
                          <w:color w:val="000000"/>
                          <w:spacing w:val="-9"/>
                          <w:sz w:val="12"/>
                        </w:rPr>
                        <w:t> </w:t>
                      </w:r>
                      <w:r>
                        <w:rPr>
                          <w:color w:val="000000"/>
                          <w:sz w:val="12"/>
                        </w:rPr>
                        <w:t>requirements</w:t>
                      </w:r>
                      <w:r>
                        <w:rPr>
                          <w:color w:val="000000"/>
                          <w:spacing w:val="-8"/>
                          <w:sz w:val="12"/>
                        </w:rPr>
                        <w:t> </w:t>
                      </w:r>
                      <w:r>
                        <w:rPr>
                          <w:color w:val="000000"/>
                          <w:sz w:val="12"/>
                        </w:rPr>
                        <w:t>formalised</w:t>
                      </w:r>
                      <w:r>
                        <w:rPr>
                          <w:color w:val="000000"/>
                          <w:spacing w:val="-8"/>
                          <w:sz w:val="12"/>
                        </w:rPr>
                        <w:t> </w:t>
                      </w:r>
                      <w:r>
                        <w:rPr>
                          <w:color w:val="000000"/>
                          <w:sz w:val="12"/>
                        </w:rPr>
                        <w:t>within</w:t>
                      </w:r>
                      <w:r>
                        <w:rPr>
                          <w:color w:val="000000"/>
                          <w:spacing w:val="-9"/>
                          <w:sz w:val="12"/>
                        </w:rPr>
                        <w:t> </w:t>
                      </w:r>
                      <w:r>
                        <w:rPr>
                          <w:color w:val="000000"/>
                          <w:sz w:val="12"/>
                        </w:rPr>
                        <w:t>a</w:t>
                      </w:r>
                      <w:r>
                        <w:rPr>
                          <w:color w:val="000000"/>
                          <w:spacing w:val="-8"/>
                          <w:sz w:val="12"/>
                        </w:rPr>
                        <w:t> </w:t>
                      </w:r>
                      <w:r>
                        <w:rPr>
                          <w:color w:val="000000"/>
                          <w:sz w:val="12"/>
                        </w:rPr>
                        <w:t>Will</w:t>
                      </w:r>
                      <w:r>
                        <w:rPr>
                          <w:color w:val="000000"/>
                          <w:spacing w:val="40"/>
                          <w:sz w:val="12"/>
                        </w:rPr>
                        <w:t> </w:t>
                      </w:r>
                      <w:r>
                        <w:rPr>
                          <w:color w:val="000000"/>
                          <w:sz w:val="12"/>
                        </w:rPr>
                        <w:t>or Deed of Gift.</w:t>
                      </w:r>
                    </w:p>
                  </w:txbxContent>
                </v:textbox>
                <v:fill type="solid"/>
                <w10:wrap type="topAndBottom"/>
              </v:shape>
            </w:pict>
          </mc:Fallback>
        </mc:AlternateContent>
      </w:r>
    </w:p>
    <w:p>
      <w:pPr>
        <w:spacing w:after="0" w:line="240" w:lineRule="auto"/>
        <w:rPr>
          <w:sz w:val="13"/>
        </w:rPr>
        <w:sectPr>
          <w:pgSz w:w="11910" w:h="16840"/>
          <w:pgMar w:header="468" w:footer="0" w:top="720" w:bottom="280" w:left="920" w:right="0"/>
        </w:sect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131"/>
        <w:rPr>
          <w:sz w:val="18"/>
        </w:rPr>
      </w:pPr>
    </w:p>
    <w:p>
      <w:pPr>
        <w:pStyle w:val="BodyText"/>
        <w:spacing w:before="1"/>
        <w:ind w:left="351"/>
        <w:rPr>
          <w:rFonts w:ascii="Arial"/>
        </w:rPr>
      </w:pPr>
      <w:r>
        <w:rPr>
          <w:rFonts w:ascii="Arial"/>
          <w:color w:val="0070C0"/>
        </w:rPr>
        <w:t>NOTES</w:t>
      </w:r>
      <w:r>
        <w:rPr>
          <w:rFonts w:ascii="Arial"/>
          <w:color w:val="0070C0"/>
          <w:spacing w:val="-2"/>
        </w:rPr>
        <w:t> </w:t>
      </w:r>
      <w:r>
        <w:rPr>
          <w:rFonts w:ascii="Arial"/>
          <w:color w:val="0070C0"/>
        </w:rPr>
        <w:t>TO</w:t>
      </w:r>
      <w:r>
        <w:rPr>
          <w:rFonts w:ascii="Arial"/>
          <w:color w:val="0070C0"/>
          <w:spacing w:val="-1"/>
        </w:rPr>
        <w:t> </w:t>
      </w:r>
      <w:r>
        <w:rPr>
          <w:rFonts w:ascii="Arial"/>
          <w:color w:val="0070C0"/>
        </w:rPr>
        <w:t>THE</w:t>
      </w:r>
      <w:r>
        <w:rPr>
          <w:rFonts w:ascii="Arial"/>
          <w:color w:val="0070C0"/>
          <w:spacing w:val="-1"/>
        </w:rPr>
        <w:t> </w:t>
      </w:r>
      <w:r>
        <w:rPr>
          <w:rFonts w:ascii="Arial"/>
          <w:color w:val="0070C0"/>
        </w:rPr>
        <w:t>FINANCIAL</w:t>
      </w:r>
      <w:r>
        <w:rPr>
          <w:rFonts w:ascii="Arial"/>
          <w:color w:val="0070C0"/>
          <w:spacing w:val="-1"/>
        </w:rPr>
        <w:t> </w:t>
      </w:r>
      <w:r>
        <w:rPr>
          <w:rFonts w:ascii="Arial"/>
          <w:color w:val="0070C0"/>
          <w:spacing w:val="-2"/>
        </w:rPr>
        <w:t>STATEMENTS</w:t>
      </w:r>
    </w:p>
    <w:p>
      <w:pPr>
        <w:spacing w:before="26"/>
        <w:ind w:left="340" w:right="0" w:firstLine="0"/>
        <w:jc w:val="left"/>
        <w:rPr>
          <w:sz w:val="10"/>
        </w:rPr>
      </w:pPr>
      <w:r>
        <w:rPr>
          <w:sz w:val="10"/>
        </w:rPr>
        <w:t>for</w:t>
      </w:r>
      <w:r>
        <w:rPr>
          <w:spacing w:val="4"/>
          <w:sz w:val="10"/>
        </w:rPr>
        <w:t> </w:t>
      </w:r>
      <w:r>
        <w:rPr>
          <w:sz w:val="10"/>
        </w:rPr>
        <w:t>the</w:t>
      </w:r>
      <w:r>
        <w:rPr>
          <w:spacing w:val="6"/>
          <w:sz w:val="10"/>
        </w:rPr>
        <w:t> </w:t>
      </w:r>
      <w:r>
        <w:rPr>
          <w:sz w:val="10"/>
        </w:rPr>
        <w:t>year</w:t>
      </w:r>
      <w:r>
        <w:rPr>
          <w:spacing w:val="4"/>
          <w:sz w:val="10"/>
        </w:rPr>
        <w:t> </w:t>
      </w:r>
      <w:r>
        <w:rPr>
          <w:sz w:val="10"/>
        </w:rPr>
        <w:t>ended</w:t>
      </w:r>
      <w:r>
        <w:rPr>
          <w:spacing w:val="7"/>
          <w:sz w:val="10"/>
        </w:rPr>
        <w:t> </w:t>
      </w:r>
      <w:r>
        <w:rPr>
          <w:sz w:val="10"/>
        </w:rPr>
        <w:t>31</w:t>
      </w:r>
      <w:r>
        <w:rPr>
          <w:spacing w:val="6"/>
          <w:sz w:val="10"/>
        </w:rPr>
        <w:t> </w:t>
      </w:r>
      <w:r>
        <w:rPr>
          <w:sz w:val="10"/>
        </w:rPr>
        <w:t>December</w:t>
      </w:r>
      <w:r>
        <w:rPr>
          <w:spacing w:val="5"/>
          <w:sz w:val="10"/>
        </w:rPr>
        <w:t> </w:t>
      </w:r>
      <w:r>
        <w:rPr>
          <w:spacing w:val="-4"/>
          <w:sz w:val="10"/>
        </w:rPr>
        <w:t>2020</w:t>
      </w:r>
    </w:p>
    <w:p>
      <w:pPr>
        <w:spacing w:line="240" w:lineRule="auto" w:before="31"/>
        <w:rPr>
          <w:sz w:val="10"/>
        </w:rPr>
      </w:pPr>
    </w:p>
    <w:p>
      <w:pPr>
        <w:pStyle w:val="ListParagraph"/>
        <w:numPr>
          <w:ilvl w:val="1"/>
          <w:numId w:val="17"/>
        </w:numPr>
        <w:tabs>
          <w:tab w:pos="669" w:val="left" w:leader="none"/>
        </w:tabs>
        <w:spacing w:line="240" w:lineRule="auto" w:before="0" w:after="0"/>
        <w:ind w:left="669" w:right="0" w:hanging="324"/>
        <w:jc w:val="left"/>
        <w:rPr>
          <w:b/>
          <w:sz w:val="13"/>
        </w:rPr>
      </w:pPr>
      <w:r>
        <w:rPr>
          <w:b/>
          <w:color w:val="0070C0"/>
          <w:w w:val="105"/>
          <w:sz w:val="13"/>
        </w:rPr>
        <w:t>Initial</w:t>
      </w:r>
      <w:r>
        <w:rPr>
          <w:b/>
          <w:color w:val="0070C0"/>
          <w:spacing w:val="-7"/>
          <w:w w:val="105"/>
          <w:sz w:val="13"/>
        </w:rPr>
        <w:t> </w:t>
      </w:r>
      <w:r>
        <w:rPr>
          <w:b/>
          <w:color w:val="0070C0"/>
          <w:w w:val="105"/>
          <w:sz w:val="13"/>
        </w:rPr>
        <w:t>application</w:t>
      </w:r>
      <w:r>
        <w:rPr>
          <w:b/>
          <w:color w:val="0070C0"/>
          <w:spacing w:val="-7"/>
          <w:w w:val="105"/>
          <w:sz w:val="13"/>
        </w:rPr>
        <w:t> </w:t>
      </w:r>
      <w:r>
        <w:rPr>
          <w:b/>
          <w:color w:val="0070C0"/>
          <w:w w:val="105"/>
          <w:sz w:val="13"/>
        </w:rPr>
        <w:t>of</w:t>
      </w:r>
      <w:r>
        <w:rPr>
          <w:b/>
          <w:color w:val="0070C0"/>
          <w:spacing w:val="-7"/>
          <w:w w:val="105"/>
          <w:sz w:val="13"/>
        </w:rPr>
        <w:t> </w:t>
      </w:r>
      <w:r>
        <w:rPr>
          <w:b/>
          <w:color w:val="0070C0"/>
          <w:spacing w:val="-5"/>
          <w:w w:val="105"/>
          <w:sz w:val="13"/>
        </w:rPr>
        <w:t>AAS</w:t>
      </w:r>
    </w:p>
    <w:p>
      <w:pPr>
        <w:spacing w:line="240" w:lineRule="auto" w:before="13"/>
        <w:rPr>
          <w:b/>
          <w:sz w:val="13"/>
        </w:rPr>
      </w:pPr>
    </w:p>
    <w:p>
      <w:pPr>
        <w:spacing w:before="0"/>
        <w:ind w:left="665" w:right="0" w:firstLine="0"/>
        <w:jc w:val="both"/>
        <w:rPr>
          <w:b/>
          <w:sz w:val="11"/>
        </w:rPr>
      </w:pPr>
      <w:r>
        <w:rPr>
          <w:b/>
          <w:sz w:val="11"/>
        </w:rPr>
        <w:t>AASB15</w:t>
      </w:r>
      <w:r>
        <w:rPr>
          <w:b/>
          <w:spacing w:val="2"/>
          <w:sz w:val="11"/>
        </w:rPr>
        <w:t> </w:t>
      </w:r>
      <w:r>
        <w:rPr>
          <w:b/>
          <w:sz w:val="11"/>
        </w:rPr>
        <w:t>/</w:t>
      </w:r>
      <w:r>
        <w:rPr>
          <w:b/>
          <w:spacing w:val="4"/>
          <w:sz w:val="11"/>
        </w:rPr>
        <w:t> </w:t>
      </w:r>
      <w:r>
        <w:rPr>
          <w:b/>
          <w:sz w:val="11"/>
        </w:rPr>
        <w:t>AASB1058</w:t>
      </w:r>
      <w:r>
        <w:rPr>
          <w:b/>
          <w:spacing w:val="3"/>
          <w:sz w:val="11"/>
        </w:rPr>
        <w:t> </w:t>
      </w:r>
      <w:r>
        <w:rPr>
          <w:b/>
          <w:sz w:val="11"/>
        </w:rPr>
        <w:t>-</w:t>
      </w:r>
      <w:r>
        <w:rPr>
          <w:b/>
          <w:spacing w:val="4"/>
          <w:sz w:val="11"/>
        </w:rPr>
        <w:t> </w:t>
      </w:r>
      <w:r>
        <w:rPr>
          <w:b/>
          <w:sz w:val="11"/>
        </w:rPr>
        <w:t>Research</w:t>
      </w:r>
      <w:r>
        <w:rPr>
          <w:b/>
          <w:spacing w:val="2"/>
          <w:sz w:val="11"/>
        </w:rPr>
        <w:t> </w:t>
      </w:r>
      <w:r>
        <w:rPr>
          <w:b/>
          <w:sz w:val="11"/>
        </w:rPr>
        <w:t>Grants</w:t>
      </w:r>
      <w:r>
        <w:rPr>
          <w:b/>
          <w:spacing w:val="3"/>
          <w:sz w:val="11"/>
        </w:rPr>
        <w:t> </w:t>
      </w:r>
      <w:r>
        <w:rPr>
          <w:b/>
          <w:sz w:val="11"/>
        </w:rPr>
        <w:t>(where</w:t>
      </w:r>
      <w:r>
        <w:rPr>
          <w:b/>
          <w:spacing w:val="3"/>
          <w:sz w:val="11"/>
        </w:rPr>
        <w:t> </w:t>
      </w:r>
      <w:r>
        <w:rPr>
          <w:b/>
          <w:sz w:val="11"/>
        </w:rPr>
        <w:t>deferral</w:t>
      </w:r>
      <w:r>
        <w:rPr>
          <w:b/>
          <w:spacing w:val="4"/>
          <w:sz w:val="11"/>
        </w:rPr>
        <w:t> </w:t>
      </w:r>
      <w:r>
        <w:rPr>
          <w:b/>
          <w:sz w:val="11"/>
        </w:rPr>
        <w:t>was</w:t>
      </w:r>
      <w:r>
        <w:rPr>
          <w:b/>
          <w:spacing w:val="3"/>
          <w:sz w:val="11"/>
        </w:rPr>
        <w:t> </w:t>
      </w:r>
      <w:r>
        <w:rPr>
          <w:b/>
          <w:sz w:val="11"/>
        </w:rPr>
        <w:t>applied</w:t>
      </w:r>
      <w:r>
        <w:rPr>
          <w:b/>
          <w:spacing w:val="4"/>
          <w:sz w:val="11"/>
        </w:rPr>
        <w:t> </w:t>
      </w:r>
      <w:r>
        <w:rPr>
          <w:b/>
          <w:sz w:val="11"/>
        </w:rPr>
        <w:t>as</w:t>
      </w:r>
      <w:r>
        <w:rPr>
          <w:b/>
          <w:spacing w:val="3"/>
          <w:sz w:val="11"/>
        </w:rPr>
        <w:t> </w:t>
      </w:r>
      <w:r>
        <w:rPr>
          <w:b/>
          <w:sz w:val="11"/>
        </w:rPr>
        <w:t>part</w:t>
      </w:r>
      <w:r>
        <w:rPr>
          <w:b/>
          <w:spacing w:val="4"/>
          <w:sz w:val="11"/>
        </w:rPr>
        <w:t> </w:t>
      </w:r>
      <w:r>
        <w:rPr>
          <w:b/>
          <w:sz w:val="11"/>
        </w:rPr>
        <w:t>of</w:t>
      </w:r>
      <w:r>
        <w:rPr>
          <w:b/>
          <w:spacing w:val="4"/>
          <w:sz w:val="11"/>
        </w:rPr>
        <w:t> </w:t>
      </w:r>
      <w:r>
        <w:rPr>
          <w:b/>
          <w:sz w:val="11"/>
        </w:rPr>
        <w:t>AASB</w:t>
      </w:r>
      <w:r>
        <w:rPr>
          <w:b/>
          <w:spacing w:val="4"/>
          <w:sz w:val="11"/>
        </w:rPr>
        <w:t> </w:t>
      </w:r>
      <w:r>
        <w:rPr>
          <w:b/>
          <w:sz w:val="11"/>
        </w:rPr>
        <w:t>2019-</w:t>
      </w:r>
      <w:r>
        <w:rPr>
          <w:b/>
          <w:spacing w:val="-5"/>
          <w:sz w:val="11"/>
        </w:rPr>
        <w:t>6)</w:t>
      </w:r>
    </w:p>
    <w:p>
      <w:pPr>
        <w:spacing w:line="273" w:lineRule="auto" w:before="49"/>
        <w:ind w:left="665" w:right="1723" w:firstLine="0"/>
        <w:jc w:val="both"/>
        <w:rPr>
          <w:sz w:val="11"/>
        </w:rPr>
      </w:pPr>
      <w:r>
        <w:rPr>
          <w:w w:val="105"/>
          <w:sz w:val="11"/>
        </w:rPr>
        <w:t>For</w:t>
      </w:r>
      <w:r>
        <w:rPr>
          <w:w w:val="105"/>
          <w:sz w:val="11"/>
        </w:rPr>
        <w:t> research</w:t>
      </w:r>
      <w:r>
        <w:rPr>
          <w:w w:val="105"/>
          <w:sz w:val="11"/>
        </w:rPr>
        <w:t> grants</w:t>
      </w:r>
      <w:r>
        <w:rPr>
          <w:w w:val="105"/>
          <w:sz w:val="11"/>
        </w:rPr>
        <w:t> income,</w:t>
      </w:r>
      <w:r>
        <w:rPr>
          <w:w w:val="105"/>
          <w:sz w:val="11"/>
        </w:rPr>
        <w:t> the</w:t>
      </w:r>
      <w:r>
        <w:rPr>
          <w:w w:val="105"/>
          <w:sz w:val="11"/>
        </w:rPr>
        <w:t> Group</w:t>
      </w:r>
      <w:r>
        <w:rPr>
          <w:w w:val="105"/>
          <w:sz w:val="11"/>
        </w:rPr>
        <w:t> adopted</w:t>
      </w:r>
      <w:r>
        <w:rPr>
          <w:w w:val="105"/>
          <w:sz w:val="11"/>
        </w:rPr>
        <w:t> AASB15</w:t>
      </w:r>
      <w:r>
        <w:rPr>
          <w:w w:val="105"/>
          <w:sz w:val="11"/>
        </w:rPr>
        <w:t> and</w:t>
      </w:r>
      <w:r>
        <w:rPr>
          <w:w w:val="105"/>
          <w:sz w:val="11"/>
        </w:rPr>
        <w:t> AASB1058</w:t>
      </w:r>
      <w:r>
        <w:rPr>
          <w:w w:val="105"/>
          <w:sz w:val="11"/>
        </w:rPr>
        <w:t> using</w:t>
      </w:r>
      <w:r>
        <w:rPr>
          <w:w w:val="105"/>
          <w:sz w:val="11"/>
        </w:rPr>
        <w:t> the</w:t>
      </w:r>
      <w:r>
        <w:rPr>
          <w:w w:val="105"/>
          <w:sz w:val="11"/>
        </w:rPr>
        <w:t> modified</w:t>
      </w:r>
      <w:r>
        <w:rPr>
          <w:w w:val="105"/>
          <w:sz w:val="11"/>
        </w:rPr>
        <w:t> retrospective</w:t>
      </w:r>
      <w:r>
        <w:rPr>
          <w:w w:val="105"/>
          <w:sz w:val="11"/>
        </w:rPr>
        <w:t> method</w:t>
      </w:r>
      <w:r>
        <w:rPr>
          <w:w w:val="105"/>
          <w:sz w:val="11"/>
        </w:rPr>
        <w:t> of</w:t>
      </w:r>
      <w:r>
        <w:rPr>
          <w:w w:val="105"/>
          <w:sz w:val="11"/>
        </w:rPr>
        <w:t> transition,</w:t>
      </w:r>
      <w:r>
        <w:rPr>
          <w:w w:val="105"/>
          <w:sz w:val="11"/>
        </w:rPr>
        <w:t> with the</w:t>
      </w:r>
      <w:r>
        <w:rPr>
          <w:w w:val="105"/>
          <w:sz w:val="11"/>
        </w:rPr>
        <w:t> date</w:t>
      </w:r>
      <w:r>
        <w:rPr>
          <w:w w:val="105"/>
          <w:sz w:val="11"/>
        </w:rPr>
        <w:t> of</w:t>
      </w:r>
      <w:r>
        <w:rPr>
          <w:w w:val="105"/>
          <w:sz w:val="11"/>
        </w:rPr>
        <w:t> initial application</w:t>
      </w:r>
      <w:r>
        <w:rPr>
          <w:w w:val="105"/>
          <w:sz w:val="11"/>
        </w:rPr>
        <w:t> of</w:t>
      </w:r>
      <w:r>
        <w:rPr>
          <w:w w:val="105"/>
          <w:sz w:val="11"/>
        </w:rPr>
        <w:t> 1</w:t>
      </w:r>
      <w:r>
        <w:rPr>
          <w:spacing w:val="40"/>
          <w:w w:val="105"/>
          <w:sz w:val="11"/>
        </w:rPr>
        <w:t> </w:t>
      </w:r>
      <w:r>
        <w:rPr>
          <w:w w:val="105"/>
          <w:sz w:val="11"/>
        </w:rPr>
        <w:t>January</w:t>
      </w:r>
      <w:r>
        <w:rPr>
          <w:spacing w:val="-7"/>
          <w:w w:val="105"/>
          <w:sz w:val="11"/>
        </w:rPr>
        <w:t> </w:t>
      </w:r>
      <w:r>
        <w:rPr>
          <w:w w:val="105"/>
          <w:sz w:val="11"/>
        </w:rPr>
        <w:t>2020.</w:t>
      </w:r>
      <w:r>
        <w:rPr>
          <w:spacing w:val="-6"/>
          <w:w w:val="105"/>
          <w:sz w:val="11"/>
        </w:rPr>
        <w:t> </w:t>
      </w:r>
      <w:r>
        <w:rPr>
          <w:w w:val="105"/>
          <w:sz w:val="11"/>
        </w:rPr>
        <w:t>In</w:t>
      </w:r>
      <w:r>
        <w:rPr>
          <w:spacing w:val="-6"/>
          <w:w w:val="105"/>
          <w:sz w:val="11"/>
        </w:rPr>
        <w:t> </w:t>
      </w:r>
      <w:r>
        <w:rPr>
          <w:w w:val="105"/>
          <w:sz w:val="11"/>
        </w:rPr>
        <w:t>accordance</w:t>
      </w:r>
      <w:r>
        <w:rPr>
          <w:spacing w:val="-6"/>
          <w:w w:val="105"/>
          <w:sz w:val="11"/>
        </w:rPr>
        <w:t> </w:t>
      </w:r>
      <w:r>
        <w:rPr>
          <w:w w:val="105"/>
          <w:sz w:val="11"/>
        </w:rPr>
        <w:t>with</w:t>
      </w:r>
      <w:r>
        <w:rPr>
          <w:spacing w:val="-6"/>
          <w:w w:val="105"/>
          <w:sz w:val="11"/>
        </w:rPr>
        <w:t> </w:t>
      </w:r>
      <w:r>
        <w:rPr>
          <w:w w:val="105"/>
          <w:sz w:val="11"/>
        </w:rPr>
        <w:t>the</w:t>
      </w:r>
      <w:r>
        <w:rPr>
          <w:spacing w:val="-6"/>
          <w:w w:val="105"/>
          <w:sz w:val="11"/>
        </w:rPr>
        <w:t> </w:t>
      </w:r>
      <w:r>
        <w:rPr>
          <w:w w:val="105"/>
          <w:sz w:val="11"/>
        </w:rPr>
        <w:t>provisions</w:t>
      </w:r>
      <w:r>
        <w:rPr>
          <w:spacing w:val="-5"/>
          <w:w w:val="105"/>
          <w:sz w:val="11"/>
        </w:rPr>
        <w:t> </w:t>
      </w:r>
      <w:r>
        <w:rPr>
          <w:w w:val="105"/>
          <w:sz w:val="11"/>
        </w:rPr>
        <w:t>of</w:t>
      </w:r>
      <w:r>
        <w:rPr>
          <w:spacing w:val="-6"/>
          <w:w w:val="105"/>
          <w:sz w:val="11"/>
        </w:rPr>
        <w:t> </w:t>
      </w:r>
      <w:r>
        <w:rPr>
          <w:w w:val="105"/>
          <w:sz w:val="11"/>
        </w:rPr>
        <w:t>this</w:t>
      </w:r>
      <w:r>
        <w:rPr>
          <w:spacing w:val="-5"/>
          <w:w w:val="105"/>
          <w:sz w:val="11"/>
        </w:rPr>
        <w:t> </w:t>
      </w:r>
      <w:r>
        <w:rPr>
          <w:w w:val="105"/>
          <w:sz w:val="11"/>
        </w:rPr>
        <w:t>transition</w:t>
      </w:r>
      <w:r>
        <w:rPr>
          <w:spacing w:val="-6"/>
          <w:w w:val="105"/>
          <w:sz w:val="11"/>
        </w:rPr>
        <w:t> </w:t>
      </w:r>
      <w:r>
        <w:rPr>
          <w:w w:val="105"/>
          <w:sz w:val="11"/>
        </w:rPr>
        <w:t>approach,</w:t>
      </w:r>
      <w:r>
        <w:rPr>
          <w:spacing w:val="-6"/>
          <w:w w:val="105"/>
          <w:sz w:val="11"/>
        </w:rPr>
        <w:t> </w:t>
      </w:r>
      <w:r>
        <w:rPr>
          <w:w w:val="105"/>
          <w:sz w:val="11"/>
        </w:rPr>
        <w:t>the</w:t>
      </w:r>
      <w:r>
        <w:rPr>
          <w:spacing w:val="-6"/>
          <w:w w:val="105"/>
          <w:sz w:val="11"/>
        </w:rPr>
        <w:t> </w:t>
      </w:r>
      <w:r>
        <w:rPr>
          <w:w w:val="105"/>
          <w:sz w:val="11"/>
        </w:rPr>
        <w:t>Group</w:t>
      </w:r>
      <w:r>
        <w:rPr>
          <w:spacing w:val="-6"/>
          <w:w w:val="105"/>
          <w:sz w:val="11"/>
        </w:rPr>
        <w:t> </w:t>
      </w:r>
      <w:r>
        <w:rPr>
          <w:w w:val="105"/>
          <w:sz w:val="11"/>
        </w:rPr>
        <w:t>recognised</w:t>
      </w:r>
      <w:r>
        <w:rPr>
          <w:spacing w:val="-6"/>
          <w:w w:val="105"/>
          <w:sz w:val="11"/>
        </w:rPr>
        <w:t> </w:t>
      </w:r>
      <w:r>
        <w:rPr>
          <w:w w:val="105"/>
          <w:sz w:val="11"/>
        </w:rPr>
        <w:t>the</w:t>
      </w:r>
      <w:r>
        <w:rPr>
          <w:spacing w:val="-6"/>
          <w:w w:val="105"/>
          <w:sz w:val="11"/>
        </w:rPr>
        <w:t> </w:t>
      </w:r>
      <w:r>
        <w:rPr>
          <w:w w:val="105"/>
          <w:sz w:val="11"/>
        </w:rPr>
        <w:t>cumulative</w:t>
      </w:r>
      <w:r>
        <w:rPr>
          <w:spacing w:val="-6"/>
          <w:w w:val="105"/>
          <w:sz w:val="11"/>
        </w:rPr>
        <w:t> </w:t>
      </w:r>
      <w:r>
        <w:rPr>
          <w:w w:val="105"/>
          <w:sz w:val="11"/>
        </w:rPr>
        <w:t>effect</w:t>
      </w:r>
      <w:r>
        <w:rPr>
          <w:spacing w:val="-5"/>
          <w:w w:val="105"/>
          <w:sz w:val="11"/>
        </w:rPr>
        <w:t> </w:t>
      </w:r>
      <w:r>
        <w:rPr>
          <w:w w:val="105"/>
          <w:sz w:val="11"/>
        </w:rPr>
        <w:t>of</w:t>
      </w:r>
      <w:r>
        <w:rPr>
          <w:spacing w:val="-6"/>
          <w:w w:val="105"/>
          <w:sz w:val="11"/>
        </w:rPr>
        <w:t> </w:t>
      </w:r>
      <w:r>
        <w:rPr>
          <w:w w:val="105"/>
          <w:sz w:val="11"/>
        </w:rPr>
        <w:t>applying</w:t>
      </w:r>
      <w:r>
        <w:rPr>
          <w:spacing w:val="-5"/>
          <w:w w:val="105"/>
          <w:sz w:val="11"/>
        </w:rPr>
        <w:t> </w:t>
      </w:r>
      <w:r>
        <w:rPr>
          <w:w w:val="105"/>
          <w:sz w:val="11"/>
        </w:rPr>
        <w:t>these</w:t>
      </w:r>
      <w:r>
        <w:rPr>
          <w:spacing w:val="-6"/>
          <w:w w:val="105"/>
          <w:sz w:val="11"/>
        </w:rPr>
        <w:t> </w:t>
      </w:r>
      <w:r>
        <w:rPr>
          <w:w w:val="105"/>
          <w:sz w:val="11"/>
        </w:rPr>
        <w:t>new</w:t>
      </w:r>
      <w:r>
        <w:rPr>
          <w:spacing w:val="-4"/>
          <w:w w:val="105"/>
          <w:sz w:val="11"/>
        </w:rPr>
        <w:t> </w:t>
      </w:r>
      <w:r>
        <w:rPr>
          <w:w w:val="105"/>
          <w:sz w:val="11"/>
        </w:rPr>
        <w:t>standards</w:t>
      </w:r>
      <w:r>
        <w:rPr>
          <w:spacing w:val="-5"/>
          <w:w w:val="105"/>
          <w:sz w:val="11"/>
        </w:rPr>
        <w:t> </w:t>
      </w:r>
      <w:r>
        <w:rPr>
          <w:w w:val="105"/>
          <w:sz w:val="11"/>
        </w:rPr>
        <w:t>as</w:t>
      </w:r>
      <w:r>
        <w:rPr>
          <w:spacing w:val="-3"/>
          <w:w w:val="105"/>
          <w:sz w:val="11"/>
        </w:rPr>
        <w:t> </w:t>
      </w:r>
      <w:r>
        <w:rPr>
          <w:w w:val="105"/>
          <w:sz w:val="11"/>
        </w:rPr>
        <w:t>an</w:t>
      </w:r>
      <w:r>
        <w:rPr>
          <w:spacing w:val="-6"/>
          <w:w w:val="105"/>
          <w:sz w:val="11"/>
        </w:rPr>
        <w:t> </w:t>
      </w:r>
      <w:r>
        <w:rPr>
          <w:w w:val="105"/>
          <w:sz w:val="11"/>
        </w:rPr>
        <w:t>adjustment</w:t>
      </w:r>
      <w:r>
        <w:rPr>
          <w:spacing w:val="40"/>
          <w:w w:val="105"/>
          <w:sz w:val="11"/>
        </w:rPr>
        <w:t> </w:t>
      </w:r>
      <w:r>
        <w:rPr>
          <w:spacing w:val="-2"/>
          <w:w w:val="105"/>
          <w:sz w:val="11"/>
        </w:rPr>
        <w:t>to opening retained earnings at the date of initial application, i.e., 1 January 2020. Consequently, the comparative information presented has not been restated and continues</w:t>
      </w:r>
      <w:r>
        <w:rPr>
          <w:spacing w:val="40"/>
          <w:w w:val="105"/>
          <w:sz w:val="11"/>
        </w:rPr>
        <w:t> </w:t>
      </w:r>
      <w:r>
        <w:rPr>
          <w:w w:val="105"/>
          <w:sz w:val="11"/>
        </w:rPr>
        <w:t>to</w:t>
      </w:r>
      <w:r>
        <w:rPr>
          <w:w w:val="105"/>
          <w:sz w:val="11"/>
        </w:rPr>
        <w:t> be</w:t>
      </w:r>
      <w:r>
        <w:rPr>
          <w:w w:val="105"/>
          <w:sz w:val="11"/>
        </w:rPr>
        <w:t> reported</w:t>
      </w:r>
      <w:r>
        <w:rPr>
          <w:w w:val="105"/>
          <w:sz w:val="11"/>
        </w:rPr>
        <w:t> under</w:t>
      </w:r>
      <w:r>
        <w:rPr>
          <w:w w:val="105"/>
          <w:sz w:val="11"/>
        </w:rPr>
        <w:t> the</w:t>
      </w:r>
      <w:r>
        <w:rPr>
          <w:w w:val="105"/>
          <w:sz w:val="11"/>
        </w:rPr>
        <w:t> previous</w:t>
      </w:r>
      <w:r>
        <w:rPr>
          <w:w w:val="105"/>
          <w:sz w:val="11"/>
        </w:rPr>
        <w:t> standards</w:t>
      </w:r>
      <w:r>
        <w:rPr>
          <w:w w:val="105"/>
          <w:sz w:val="11"/>
        </w:rPr>
        <w:t> on</w:t>
      </w:r>
      <w:r>
        <w:rPr>
          <w:w w:val="105"/>
          <w:sz w:val="11"/>
        </w:rPr>
        <w:t> revenue</w:t>
      </w:r>
      <w:r>
        <w:rPr>
          <w:w w:val="105"/>
          <w:sz w:val="11"/>
        </w:rPr>
        <w:t> and</w:t>
      </w:r>
      <w:r>
        <w:rPr>
          <w:w w:val="105"/>
          <w:sz w:val="11"/>
        </w:rPr>
        <w:t> income.</w:t>
      </w:r>
      <w:r>
        <w:rPr>
          <w:w w:val="105"/>
          <w:sz w:val="11"/>
        </w:rPr>
        <w:t> In</w:t>
      </w:r>
      <w:r>
        <w:rPr>
          <w:w w:val="105"/>
          <w:sz w:val="11"/>
        </w:rPr>
        <w:t> addition,</w:t>
      </w:r>
      <w:r>
        <w:rPr>
          <w:w w:val="105"/>
          <w:sz w:val="11"/>
        </w:rPr>
        <w:t> the</w:t>
      </w:r>
      <w:r>
        <w:rPr>
          <w:w w:val="105"/>
          <w:sz w:val="11"/>
        </w:rPr>
        <w:t> Group</w:t>
      </w:r>
      <w:r>
        <w:rPr>
          <w:w w:val="105"/>
          <w:sz w:val="11"/>
        </w:rPr>
        <w:t> has</w:t>
      </w:r>
      <w:r>
        <w:rPr>
          <w:w w:val="105"/>
          <w:sz w:val="11"/>
        </w:rPr>
        <w:t> applied the</w:t>
      </w:r>
      <w:r>
        <w:rPr>
          <w:w w:val="105"/>
          <w:sz w:val="11"/>
        </w:rPr>
        <w:t> practical</w:t>
      </w:r>
      <w:r>
        <w:rPr>
          <w:w w:val="105"/>
          <w:sz w:val="11"/>
        </w:rPr>
        <w:t> expedient</w:t>
      </w:r>
      <w:r>
        <w:rPr>
          <w:w w:val="105"/>
          <w:sz w:val="11"/>
        </w:rPr>
        <w:t> and</w:t>
      </w:r>
      <w:r>
        <w:rPr>
          <w:w w:val="105"/>
          <w:sz w:val="11"/>
        </w:rPr>
        <w:t> elected</w:t>
      </w:r>
      <w:r>
        <w:rPr>
          <w:w w:val="105"/>
          <w:sz w:val="11"/>
        </w:rPr>
        <w:t> to</w:t>
      </w:r>
      <w:r>
        <w:rPr>
          <w:w w:val="105"/>
          <w:sz w:val="11"/>
        </w:rPr>
        <w:t> apply</w:t>
      </w:r>
      <w:r>
        <w:rPr>
          <w:w w:val="105"/>
          <w:sz w:val="11"/>
        </w:rPr>
        <w:t> these</w:t>
      </w:r>
      <w:r>
        <w:rPr>
          <w:w w:val="105"/>
          <w:sz w:val="11"/>
        </w:rPr>
        <w:t> standards</w:t>
      </w:r>
      <w:r>
        <w:rPr>
          <w:spacing w:val="40"/>
          <w:w w:val="105"/>
          <w:sz w:val="11"/>
        </w:rPr>
        <w:t> </w:t>
      </w:r>
      <w:r>
        <w:rPr>
          <w:w w:val="105"/>
          <w:sz w:val="11"/>
        </w:rPr>
        <w:t>retrospectively</w:t>
      </w:r>
      <w:r>
        <w:rPr>
          <w:spacing w:val="-7"/>
          <w:w w:val="105"/>
          <w:sz w:val="11"/>
        </w:rPr>
        <w:t> </w:t>
      </w:r>
      <w:r>
        <w:rPr>
          <w:w w:val="105"/>
          <w:sz w:val="11"/>
        </w:rPr>
        <w:t>only</w:t>
      </w:r>
      <w:r>
        <w:rPr>
          <w:spacing w:val="-7"/>
          <w:w w:val="105"/>
          <w:sz w:val="11"/>
        </w:rPr>
        <w:t> </w:t>
      </w:r>
      <w:r>
        <w:rPr>
          <w:w w:val="105"/>
          <w:sz w:val="11"/>
        </w:rPr>
        <w:t>to</w:t>
      </w:r>
      <w:r>
        <w:rPr>
          <w:spacing w:val="-7"/>
          <w:w w:val="105"/>
          <w:sz w:val="11"/>
        </w:rPr>
        <w:t> </w:t>
      </w:r>
      <w:r>
        <w:rPr>
          <w:w w:val="105"/>
          <w:sz w:val="11"/>
        </w:rPr>
        <w:t>contracts</w:t>
      </w:r>
      <w:r>
        <w:rPr>
          <w:spacing w:val="-6"/>
          <w:w w:val="105"/>
          <w:sz w:val="11"/>
        </w:rPr>
        <w:t> </w:t>
      </w:r>
      <w:r>
        <w:rPr>
          <w:w w:val="105"/>
          <w:sz w:val="11"/>
        </w:rPr>
        <w:t>and</w:t>
      </w:r>
      <w:r>
        <w:rPr>
          <w:spacing w:val="-7"/>
          <w:w w:val="105"/>
          <w:sz w:val="11"/>
        </w:rPr>
        <w:t> </w:t>
      </w:r>
      <w:r>
        <w:rPr>
          <w:w w:val="105"/>
          <w:sz w:val="11"/>
        </w:rPr>
        <w:t>transactions</w:t>
      </w:r>
      <w:r>
        <w:rPr>
          <w:spacing w:val="-6"/>
          <w:w w:val="105"/>
          <w:sz w:val="11"/>
        </w:rPr>
        <w:t> </w:t>
      </w:r>
      <w:r>
        <w:rPr>
          <w:w w:val="105"/>
          <w:sz w:val="11"/>
        </w:rPr>
        <w:t>that</w:t>
      </w:r>
      <w:r>
        <w:rPr>
          <w:spacing w:val="-7"/>
          <w:w w:val="105"/>
          <w:sz w:val="11"/>
        </w:rPr>
        <w:t> </w:t>
      </w:r>
      <w:r>
        <w:rPr>
          <w:w w:val="105"/>
          <w:sz w:val="11"/>
        </w:rPr>
        <w:t>were</w:t>
      </w:r>
      <w:r>
        <w:rPr>
          <w:spacing w:val="-7"/>
          <w:w w:val="105"/>
          <w:sz w:val="11"/>
        </w:rPr>
        <w:t> </w:t>
      </w:r>
      <w:r>
        <w:rPr>
          <w:w w:val="105"/>
          <w:sz w:val="11"/>
        </w:rPr>
        <w:t>not</w:t>
      </w:r>
      <w:r>
        <w:rPr>
          <w:spacing w:val="-7"/>
          <w:w w:val="105"/>
          <w:sz w:val="11"/>
        </w:rPr>
        <w:t> </w:t>
      </w:r>
      <w:r>
        <w:rPr>
          <w:w w:val="105"/>
          <w:sz w:val="11"/>
        </w:rPr>
        <w:t>completed</w:t>
      </w:r>
      <w:r>
        <w:rPr>
          <w:spacing w:val="-7"/>
          <w:w w:val="105"/>
          <w:sz w:val="11"/>
        </w:rPr>
        <w:t> </w:t>
      </w:r>
      <w:r>
        <w:rPr>
          <w:w w:val="105"/>
          <w:sz w:val="11"/>
        </w:rPr>
        <w:t>contracts</w:t>
      </w:r>
      <w:r>
        <w:rPr>
          <w:spacing w:val="-6"/>
          <w:w w:val="105"/>
          <w:sz w:val="11"/>
        </w:rPr>
        <w:t> </w:t>
      </w:r>
      <w:r>
        <w:rPr>
          <w:w w:val="105"/>
          <w:sz w:val="11"/>
        </w:rPr>
        <w:t>at</w:t>
      </w:r>
      <w:r>
        <w:rPr>
          <w:spacing w:val="-7"/>
          <w:w w:val="105"/>
          <w:sz w:val="11"/>
        </w:rPr>
        <w:t> </w:t>
      </w:r>
      <w:r>
        <w:rPr>
          <w:w w:val="105"/>
          <w:sz w:val="11"/>
        </w:rPr>
        <w:t>the</w:t>
      </w:r>
      <w:r>
        <w:rPr>
          <w:spacing w:val="-7"/>
          <w:w w:val="105"/>
          <w:sz w:val="11"/>
        </w:rPr>
        <w:t> </w:t>
      </w:r>
      <w:r>
        <w:rPr>
          <w:w w:val="105"/>
          <w:sz w:val="11"/>
        </w:rPr>
        <w:t>date</w:t>
      </w:r>
      <w:r>
        <w:rPr>
          <w:spacing w:val="-7"/>
          <w:w w:val="105"/>
          <w:sz w:val="11"/>
        </w:rPr>
        <w:t> </w:t>
      </w:r>
      <w:r>
        <w:rPr>
          <w:w w:val="105"/>
          <w:sz w:val="11"/>
        </w:rPr>
        <w:t>of</w:t>
      </w:r>
      <w:r>
        <w:rPr>
          <w:spacing w:val="-7"/>
          <w:w w:val="105"/>
          <w:sz w:val="11"/>
        </w:rPr>
        <w:t> </w:t>
      </w:r>
      <w:r>
        <w:rPr>
          <w:w w:val="105"/>
          <w:sz w:val="11"/>
        </w:rPr>
        <w:t>initial</w:t>
      </w:r>
      <w:r>
        <w:rPr>
          <w:spacing w:val="-7"/>
          <w:w w:val="105"/>
          <w:sz w:val="11"/>
        </w:rPr>
        <w:t> </w:t>
      </w:r>
      <w:r>
        <w:rPr>
          <w:w w:val="105"/>
          <w:sz w:val="11"/>
        </w:rPr>
        <w:t>application,</w:t>
      </w:r>
      <w:r>
        <w:rPr>
          <w:spacing w:val="-7"/>
          <w:w w:val="105"/>
          <w:sz w:val="11"/>
        </w:rPr>
        <w:t> </w:t>
      </w:r>
      <w:r>
        <w:rPr>
          <w:w w:val="105"/>
          <w:sz w:val="11"/>
        </w:rPr>
        <w:t>i.e.,</w:t>
      </w:r>
      <w:r>
        <w:rPr>
          <w:spacing w:val="-7"/>
          <w:w w:val="105"/>
          <w:sz w:val="11"/>
        </w:rPr>
        <w:t> </w:t>
      </w:r>
      <w:r>
        <w:rPr>
          <w:w w:val="105"/>
          <w:sz w:val="11"/>
        </w:rPr>
        <w:t>as</w:t>
      </w:r>
      <w:r>
        <w:rPr>
          <w:spacing w:val="-6"/>
          <w:w w:val="105"/>
          <w:sz w:val="11"/>
        </w:rPr>
        <w:t> </w:t>
      </w:r>
      <w:r>
        <w:rPr>
          <w:w w:val="105"/>
          <w:sz w:val="11"/>
        </w:rPr>
        <w:t>at</w:t>
      </w:r>
      <w:r>
        <w:rPr>
          <w:spacing w:val="-7"/>
          <w:w w:val="105"/>
          <w:sz w:val="11"/>
        </w:rPr>
        <w:t> </w:t>
      </w:r>
      <w:r>
        <w:rPr>
          <w:w w:val="105"/>
          <w:sz w:val="11"/>
        </w:rPr>
        <w:t>1</w:t>
      </w:r>
      <w:r>
        <w:rPr>
          <w:spacing w:val="-7"/>
          <w:w w:val="105"/>
          <w:sz w:val="11"/>
        </w:rPr>
        <w:t> </w:t>
      </w:r>
      <w:r>
        <w:rPr>
          <w:w w:val="105"/>
          <w:sz w:val="11"/>
        </w:rPr>
        <w:t>January</w:t>
      </w:r>
      <w:r>
        <w:rPr>
          <w:spacing w:val="-7"/>
          <w:w w:val="105"/>
          <w:sz w:val="11"/>
        </w:rPr>
        <w:t> </w:t>
      </w:r>
      <w:r>
        <w:rPr>
          <w:w w:val="105"/>
          <w:sz w:val="11"/>
        </w:rPr>
        <w:t>2020.</w:t>
      </w:r>
    </w:p>
    <w:p>
      <w:pPr>
        <w:spacing w:line="273" w:lineRule="auto" w:before="80"/>
        <w:ind w:left="665" w:right="1724" w:firstLine="0"/>
        <w:jc w:val="both"/>
        <w:rPr>
          <w:sz w:val="11"/>
        </w:rPr>
      </w:pPr>
      <w:r>
        <w:rPr>
          <w:w w:val="105"/>
          <w:sz w:val="11"/>
        </w:rPr>
        <w:t>As the Group is applying the modified retrospective approach, the Group did apply the practical expedient described in AASB15.C5(c), for contracts that were modified</w:t>
      </w:r>
      <w:r>
        <w:rPr>
          <w:spacing w:val="40"/>
          <w:w w:val="105"/>
          <w:sz w:val="11"/>
        </w:rPr>
        <w:t> </w:t>
      </w:r>
      <w:r>
        <w:rPr>
          <w:w w:val="105"/>
          <w:sz w:val="11"/>
        </w:rPr>
        <w:t>before</w:t>
      </w:r>
      <w:r>
        <w:rPr>
          <w:spacing w:val="-2"/>
          <w:w w:val="105"/>
          <w:sz w:val="11"/>
        </w:rPr>
        <w:t> </w:t>
      </w:r>
      <w:r>
        <w:rPr>
          <w:w w:val="105"/>
          <w:sz w:val="11"/>
        </w:rPr>
        <w:t>the</w:t>
      </w:r>
      <w:r>
        <w:rPr>
          <w:spacing w:val="-2"/>
          <w:w w:val="105"/>
          <w:sz w:val="11"/>
        </w:rPr>
        <w:t> </w:t>
      </w:r>
      <w:r>
        <w:rPr>
          <w:w w:val="105"/>
          <w:sz w:val="11"/>
        </w:rPr>
        <w:t>beginning</w:t>
      </w:r>
      <w:r>
        <w:rPr>
          <w:spacing w:val="-2"/>
          <w:w w:val="105"/>
          <w:sz w:val="11"/>
        </w:rPr>
        <w:t> </w:t>
      </w:r>
      <w:r>
        <w:rPr>
          <w:w w:val="105"/>
          <w:sz w:val="11"/>
        </w:rPr>
        <w:t>of</w:t>
      </w:r>
      <w:r>
        <w:rPr>
          <w:spacing w:val="-1"/>
          <w:w w:val="105"/>
          <w:sz w:val="11"/>
        </w:rPr>
        <w:t> </w:t>
      </w:r>
      <w:r>
        <w:rPr>
          <w:w w:val="105"/>
          <w:sz w:val="11"/>
        </w:rPr>
        <w:t>the</w:t>
      </w:r>
      <w:r>
        <w:rPr>
          <w:spacing w:val="-2"/>
          <w:w w:val="105"/>
          <w:sz w:val="11"/>
        </w:rPr>
        <w:t> </w:t>
      </w:r>
      <w:r>
        <w:rPr>
          <w:w w:val="105"/>
          <w:sz w:val="11"/>
        </w:rPr>
        <w:t>earliest</w:t>
      </w:r>
      <w:r>
        <w:rPr>
          <w:spacing w:val="-1"/>
          <w:w w:val="105"/>
          <w:sz w:val="11"/>
        </w:rPr>
        <w:t> </w:t>
      </w:r>
      <w:r>
        <w:rPr>
          <w:w w:val="105"/>
          <w:sz w:val="11"/>
        </w:rPr>
        <w:t>period</w:t>
      </w:r>
      <w:r>
        <w:rPr>
          <w:spacing w:val="-2"/>
          <w:w w:val="105"/>
          <w:sz w:val="11"/>
        </w:rPr>
        <w:t> </w:t>
      </w:r>
      <w:r>
        <w:rPr>
          <w:w w:val="105"/>
          <w:sz w:val="11"/>
        </w:rPr>
        <w:t>presented.</w:t>
      </w:r>
    </w:p>
    <w:p>
      <w:pPr>
        <w:spacing w:line="240" w:lineRule="auto" w:before="19"/>
        <w:rPr>
          <w:sz w:val="11"/>
        </w:rPr>
      </w:pPr>
    </w:p>
    <w:p>
      <w:pPr>
        <w:spacing w:line="273" w:lineRule="auto" w:before="0"/>
        <w:ind w:left="665" w:right="1724" w:hanging="1"/>
        <w:jc w:val="both"/>
        <w:rPr>
          <w:sz w:val="11"/>
        </w:rPr>
      </w:pPr>
      <w:r>
        <w:rPr>
          <w:w w:val="105"/>
          <w:sz w:val="11"/>
        </w:rPr>
        <w:t>The</w:t>
      </w:r>
      <w:r>
        <w:rPr>
          <w:spacing w:val="-5"/>
          <w:w w:val="105"/>
          <w:sz w:val="11"/>
        </w:rPr>
        <w:t> </w:t>
      </w:r>
      <w:r>
        <w:rPr>
          <w:w w:val="105"/>
          <w:sz w:val="11"/>
        </w:rPr>
        <w:t>Group</w:t>
      </w:r>
      <w:r>
        <w:rPr>
          <w:spacing w:val="-5"/>
          <w:w w:val="105"/>
          <w:sz w:val="11"/>
        </w:rPr>
        <w:t> </w:t>
      </w:r>
      <w:r>
        <w:rPr>
          <w:w w:val="105"/>
          <w:sz w:val="11"/>
        </w:rPr>
        <w:t>did</w:t>
      </w:r>
      <w:r>
        <w:rPr>
          <w:spacing w:val="-5"/>
          <w:w w:val="105"/>
          <w:sz w:val="11"/>
        </w:rPr>
        <w:t> </w:t>
      </w:r>
      <w:r>
        <w:rPr>
          <w:w w:val="105"/>
          <w:sz w:val="11"/>
        </w:rPr>
        <w:t>not</w:t>
      </w:r>
      <w:r>
        <w:rPr>
          <w:spacing w:val="-5"/>
          <w:w w:val="105"/>
          <w:sz w:val="11"/>
        </w:rPr>
        <w:t> </w:t>
      </w:r>
      <w:r>
        <w:rPr>
          <w:w w:val="105"/>
          <w:sz w:val="11"/>
        </w:rPr>
        <w:t>retrospectively</w:t>
      </w:r>
      <w:r>
        <w:rPr>
          <w:spacing w:val="-5"/>
          <w:w w:val="105"/>
          <w:sz w:val="11"/>
        </w:rPr>
        <w:t> </w:t>
      </w:r>
      <w:r>
        <w:rPr>
          <w:w w:val="105"/>
          <w:sz w:val="11"/>
        </w:rPr>
        <w:t>restate</w:t>
      </w:r>
      <w:r>
        <w:rPr>
          <w:spacing w:val="-5"/>
          <w:w w:val="105"/>
          <w:sz w:val="11"/>
        </w:rPr>
        <w:t> </w:t>
      </w:r>
      <w:r>
        <w:rPr>
          <w:w w:val="105"/>
          <w:sz w:val="11"/>
        </w:rPr>
        <w:t>the</w:t>
      </w:r>
      <w:r>
        <w:rPr>
          <w:spacing w:val="-5"/>
          <w:w w:val="105"/>
          <w:sz w:val="11"/>
        </w:rPr>
        <w:t> </w:t>
      </w:r>
      <w:r>
        <w:rPr>
          <w:w w:val="105"/>
          <w:sz w:val="11"/>
        </w:rPr>
        <w:t>contract</w:t>
      </w:r>
      <w:r>
        <w:rPr>
          <w:spacing w:val="-5"/>
          <w:w w:val="105"/>
          <w:sz w:val="11"/>
        </w:rPr>
        <w:t> </w:t>
      </w:r>
      <w:r>
        <w:rPr>
          <w:w w:val="105"/>
          <w:sz w:val="11"/>
        </w:rPr>
        <w:t>for</w:t>
      </w:r>
      <w:r>
        <w:rPr>
          <w:spacing w:val="-4"/>
          <w:w w:val="105"/>
          <w:sz w:val="11"/>
        </w:rPr>
        <w:t> </w:t>
      </w:r>
      <w:r>
        <w:rPr>
          <w:w w:val="105"/>
          <w:sz w:val="11"/>
        </w:rPr>
        <w:t>those</w:t>
      </w:r>
      <w:r>
        <w:rPr>
          <w:spacing w:val="-5"/>
          <w:w w:val="105"/>
          <w:sz w:val="11"/>
        </w:rPr>
        <w:t> </w:t>
      </w:r>
      <w:r>
        <w:rPr>
          <w:w w:val="105"/>
          <w:sz w:val="11"/>
        </w:rPr>
        <w:t>modifications</w:t>
      </w:r>
      <w:r>
        <w:rPr>
          <w:spacing w:val="-3"/>
          <w:w w:val="105"/>
          <w:sz w:val="11"/>
        </w:rPr>
        <w:t> </w:t>
      </w:r>
      <w:r>
        <w:rPr>
          <w:w w:val="105"/>
          <w:sz w:val="11"/>
        </w:rPr>
        <w:t>in</w:t>
      </w:r>
      <w:r>
        <w:rPr>
          <w:spacing w:val="-5"/>
          <w:w w:val="105"/>
          <w:sz w:val="11"/>
        </w:rPr>
        <w:t> </w:t>
      </w:r>
      <w:r>
        <w:rPr>
          <w:w w:val="105"/>
          <w:sz w:val="11"/>
        </w:rPr>
        <w:t>accordance</w:t>
      </w:r>
      <w:r>
        <w:rPr>
          <w:spacing w:val="-5"/>
          <w:w w:val="105"/>
          <w:sz w:val="11"/>
        </w:rPr>
        <w:t> </w:t>
      </w:r>
      <w:r>
        <w:rPr>
          <w:w w:val="105"/>
          <w:sz w:val="11"/>
        </w:rPr>
        <w:t>with</w:t>
      </w:r>
      <w:r>
        <w:rPr>
          <w:spacing w:val="-5"/>
          <w:w w:val="105"/>
          <w:sz w:val="11"/>
        </w:rPr>
        <w:t> </w:t>
      </w:r>
      <w:r>
        <w:rPr>
          <w:w w:val="105"/>
          <w:sz w:val="11"/>
        </w:rPr>
        <w:t>AASB15.20-21.</w:t>
      </w:r>
      <w:r>
        <w:rPr>
          <w:spacing w:val="-5"/>
          <w:w w:val="105"/>
          <w:sz w:val="11"/>
        </w:rPr>
        <w:t> </w:t>
      </w:r>
      <w:r>
        <w:rPr>
          <w:w w:val="105"/>
          <w:sz w:val="11"/>
        </w:rPr>
        <w:t>Instead,</w:t>
      </w:r>
      <w:r>
        <w:rPr>
          <w:spacing w:val="-5"/>
          <w:w w:val="105"/>
          <w:sz w:val="11"/>
        </w:rPr>
        <w:t> </w:t>
      </w:r>
      <w:r>
        <w:rPr>
          <w:w w:val="105"/>
          <w:sz w:val="11"/>
        </w:rPr>
        <w:t>the</w:t>
      </w:r>
      <w:r>
        <w:rPr>
          <w:spacing w:val="-5"/>
          <w:w w:val="105"/>
          <w:sz w:val="11"/>
        </w:rPr>
        <w:t> </w:t>
      </w:r>
      <w:r>
        <w:rPr>
          <w:w w:val="105"/>
          <w:sz w:val="11"/>
        </w:rPr>
        <w:t>Group</w:t>
      </w:r>
      <w:r>
        <w:rPr>
          <w:spacing w:val="-5"/>
          <w:w w:val="105"/>
          <w:sz w:val="11"/>
        </w:rPr>
        <w:t> </w:t>
      </w:r>
      <w:r>
        <w:rPr>
          <w:w w:val="105"/>
          <w:sz w:val="11"/>
        </w:rPr>
        <w:t>reflected</w:t>
      </w:r>
      <w:r>
        <w:rPr>
          <w:spacing w:val="-5"/>
          <w:w w:val="105"/>
          <w:sz w:val="11"/>
        </w:rPr>
        <w:t> </w:t>
      </w:r>
      <w:r>
        <w:rPr>
          <w:w w:val="105"/>
          <w:sz w:val="11"/>
        </w:rPr>
        <w:t>the</w:t>
      </w:r>
      <w:r>
        <w:rPr>
          <w:spacing w:val="-6"/>
          <w:w w:val="105"/>
          <w:sz w:val="11"/>
        </w:rPr>
        <w:t> </w:t>
      </w:r>
      <w:r>
        <w:rPr>
          <w:w w:val="105"/>
          <w:sz w:val="11"/>
        </w:rPr>
        <w:t>aggregate</w:t>
      </w:r>
      <w:r>
        <w:rPr>
          <w:spacing w:val="-5"/>
          <w:w w:val="105"/>
          <w:sz w:val="11"/>
        </w:rPr>
        <w:t> </w:t>
      </w:r>
      <w:r>
        <w:rPr>
          <w:w w:val="105"/>
          <w:sz w:val="11"/>
        </w:rPr>
        <w:t>effect</w:t>
      </w:r>
      <w:r>
        <w:rPr>
          <w:spacing w:val="-6"/>
          <w:w w:val="105"/>
          <w:sz w:val="11"/>
        </w:rPr>
        <w:t> </w:t>
      </w:r>
      <w:r>
        <w:rPr>
          <w:w w:val="105"/>
          <w:sz w:val="11"/>
        </w:rPr>
        <w:t>of</w:t>
      </w:r>
      <w:r>
        <w:rPr>
          <w:spacing w:val="-5"/>
          <w:w w:val="105"/>
          <w:sz w:val="11"/>
        </w:rPr>
        <w:t> </w:t>
      </w:r>
      <w:r>
        <w:rPr>
          <w:w w:val="105"/>
          <w:sz w:val="11"/>
        </w:rPr>
        <w:t>all</w:t>
      </w:r>
      <w:r>
        <w:rPr>
          <w:spacing w:val="-6"/>
          <w:w w:val="105"/>
          <w:sz w:val="11"/>
        </w:rPr>
        <w:t> </w:t>
      </w:r>
      <w:r>
        <w:rPr>
          <w:w w:val="105"/>
          <w:sz w:val="11"/>
        </w:rPr>
        <w:t>of</w:t>
      </w:r>
      <w:r>
        <w:rPr>
          <w:spacing w:val="40"/>
          <w:w w:val="105"/>
          <w:sz w:val="11"/>
        </w:rPr>
        <w:t> </w:t>
      </w:r>
      <w:r>
        <w:rPr>
          <w:w w:val="105"/>
          <w:sz w:val="11"/>
        </w:rPr>
        <w:t>the</w:t>
      </w:r>
      <w:r>
        <w:rPr>
          <w:spacing w:val="-6"/>
          <w:w w:val="105"/>
          <w:sz w:val="11"/>
        </w:rPr>
        <w:t> </w:t>
      </w:r>
      <w:r>
        <w:rPr>
          <w:w w:val="105"/>
          <w:sz w:val="11"/>
        </w:rPr>
        <w:t>modifications</w:t>
      </w:r>
      <w:r>
        <w:rPr>
          <w:spacing w:val="-4"/>
          <w:w w:val="105"/>
          <w:sz w:val="11"/>
        </w:rPr>
        <w:t> </w:t>
      </w:r>
      <w:r>
        <w:rPr>
          <w:w w:val="105"/>
          <w:sz w:val="11"/>
        </w:rPr>
        <w:t>that</w:t>
      </w:r>
      <w:r>
        <w:rPr>
          <w:spacing w:val="-5"/>
          <w:w w:val="105"/>
          <w:sz w:val="11"/>
        </w:rPr>
        <w:t> </w:t>
      </w:r>
      <w:r>
        <w:rPr>
          <w:w w:val="105"/>
          <w:sz w:val="11"/>
        </w:rPr>
        <w:t>occur</w:t>
      </w:r>
      <w:r>
        <w:rPr>
          <w:spacing w:val="-5"/>
          <w:w w:val="105"/>
          <w:sz w:val="11"/>
        </w:rPr>
        <w:t> </w:t>
      </w:r>
      <w:r>
        <w:rPr>
          <w:w w:val="105"/>
          <w:sz w:val="11"/>
        </w:rPr>
        <w:t>before</w:t>
      </w:r>
      <w:r>
        <w:rPr>
          <w:spacing w:val="-6"/>
          <w:w w:val="105"/>
          <w:sz w:val="11"/>
        </w:rPr>
        <w:t> </w:t>
      </w:r>
      <w:r>
        <w:rPr>
          <w:w w:val="105"/>
          <w:sz w:val="11"/>
        </w:rPr>
        <w:t>the</w:t>
      </w:r>
      <w:r>
        <w:rPr>
          <w:spacing w:val="-6"/>
          <w:w w:val="105"/>
          <w:sz w:val="11"/>
        </w:rPr>
        <w:t> </w:t>
      </w:r>
      <w:r>
        <w:rPr>
          <w:w w:val="105"/>
          <w:sz w:val="11"/>
        </w:rPr>
        <w:t>beginning</w:t>
      </w:r>
      <w:r>
        <w:rPr>
          <w:spacing w:val="-6"/>
          <w:w w:val="105"/>
          <w:sz w:val="11"/>
        </w:rPr>
        <w:t> </w:t>
      </w:r>
      <w:r>
        <w:rPr>
          <w:w w:val="105"/>
          <w:sz w:val="11"/>
        </w:rPr>
        <w:t>of</w:t>
      </w:r>
      <w:r>
        <w:rPr>
          <w:spacing w:val="-5"/>
          <w:w w:val="105"/>
          <w:sz w:val="11"/>
        </w:rPr>
        <w:t> </w:t>
      </w:r>
      <w:r>
        <w:rPr>
          <w:w w:val="105"/>
          <w:sz w:val="11"/>
        </w:rPr>
        <w:t>the</w:t>
      </w:r>
      <w:r>
        <w:rPr>
          <w:spacing w:val="-6"/>
          <w:w w:val="105"/>
          <w:sz w:val="11"/>
        </w:rPr>
        <w:t> </w:t>
      </w:r>
      <w:r>
        <w:rPr>
          <w:w w:val="105"/>
          <w:sz w:val="11"/>
        </w:rPr>
        <w:t>earliest</w:t>
      </w:r>
      <w:r>
        <w:rPr>
          <w:spacing w:val="-5"/>
          <w:w w:val="105"/>
          <w:sz w:val="11"/>
        </w:rPr>
        <w:t> </w:t>
      </w:r>
      <w:r>
        <w:rPr>
          <w:w w:val="105"/>
          <w:sz w:val="11"/>
        </w:rPr>
        <w:t>period</w:t>
      </w:r>
      <w:r>
        <w:rPr>
          <w:spacing w:val="-6"/>
          <w:w w:val="105"/>
          <w:sz w:val="11"/>
        </w:rPr>
        <w:t> </w:t>
      </w:r>
      <w:r>
        <w:rPr>
          <w:w w:val="105"/>
          <w:sz w:val="11"/>
        </w:rPr>
        <w:t>presented</w:t>
      </w:r>
      <w:r>
        <w:rPr>
          <w:spacing w:val="-6"/>
          <w:w w:val="105"/>
          <w:sz w:val="11"/>
        </w:rPr>
        <w:t> </w:t>
      </w:r>
      <w:r>
        <w:rPr>
          <w:w w:val="105"/>
          <w:sz w:val="11"/>
        </w:rPr>
        <w:t>when:</w:t>
      </w:r>
    </w:p>
    <w:p>
      <w:pPr>
        <w:spacing w:line="240" w:lineRule="auto" w:before="19"/>
        <w:rPr>
          <w:sz w:val="11"/>
        </w:rPr>
      </w:pPr>
    </w:p>
    <w:p>
      <w:pPr>
        <w:pStyle w:val="ListParagraph"/>
        <w:numPr>
          <w:ilvl w:val="2"/>
          <w:numId w:val="17"/>
        </w:numPr>
        <w:tabs>
          <w:tab w:pos="735" w:val="left" w:leader="none"/>
        </w:tabs>
        <w:spacing w:line="240" w:lineRule="auto" w:before="0" w:after="0"/>
        <w:ind w:left="735" w:right="0" w:hanging="70"/>
        <w:jc w:val="left"/>
        <w:rPr>
          <w:sz w:val="11"/>
        </w:rPr>
      </w:pPr>
      <w:r>
        <w:rPr>
          <w:sz w:val="11"/>
        </w:rPr>
        <w:t>Identifying</w:t>
      </w:r>
      <w:r>
        <w:rPr>
          <w:spacing w:val="5"/>
          <w:sz w:val="11"/>
        </w:rPr>
        <w:t> </w:t>
      </w:r>
      <w:r>
        <w:rPr>
          <w:sz w:val="11"/>
        </w:rPr>
        <w:t>the</w:t>
      </w:r>
      <w:r>
        <w:rPr>
          <w:spacing w:val="6"/>
          <w:sz w:val="11"/>
        </w:rPr>
        <w:t> </w:t>
      </w:r>
      <w:r>
        <w:rPr>
          <w:sz w:val="11"/>
        </w:rPr>
        <w:t>satisfied</w:t>
      </w:r>
      <w:r>
        <w:rPr>
          <w:spacing w:val="6"/>
          <w:sz w:val="11"/>
        </w:rPr>
        <w:t> </w:t>
      </w:r>
      <w:r>
        <w:rPr>
          <w:sz w:val="11"/>
        </w:rPr>
        <w:t>and</w:t>
      </w:r>
      <w:r>
        <w:rPr>
          <w:spacing w:val="6"/>
          <w:sz w:val="11"/>
        </w:rPr>
        <w:t> </w:t>
      </w:r>
      <w:r>
        <w:rPr>
          <w:sz w:val="11"/>
        </w:rPr>
        <w:t>unsatisfied</w:t>
      </w:r>
      <w:r>
        <w:rPr>
          <w:spacing w:val="5"/>
          <w:sz w:val="11"/>
        </w:rPr>
        <w:t> </w:t>
      </w:r>
      <w:r>
        <w:rPr>
          <w:sz w:val="11"/>
        </w:rPr>
        <w:t>performance</w:t>
      </w:r>
      <w:r>
        <w:rPr>
          <w:spacing w:val="6"/>
          <w:sz w:val="11"/>
        </w:rPr>
        <w:t> </w:t>
      </w:r>
      <w:r>
        <w:rPr>
          <w:spacing w:val="-2"/>
          <w:sz w:val="11"/>
        </w:rPr>
        <w:t>obligations</w:t>
      </w:r>
    </w:p>
    <w:p>
      <w:pPr>
        <w:pStyle w:val="ListParagraph"/>
        <w:numPr>
          <w:ilvl w:val="2"/>
          <w:numId w:val="17"/>
        </w:numPr>
        <w:tabs>
          <w:tab w:pos="735" w:val="left" w:leader="none"/>
        </w:tabs>
        <w:spacing w:line="240" w:lineRule="auto" w:before="18" w:after="0"/>
        <w:ind w:left="735" w:right="0" w:hanging="70"/>
        <w:jc w:val="left"/>
        <w:rPr>
          <w:sz w:val="11"/>
        </w:rPr>
      </w:pPr>
      <w:r>
        <w:rPr>
          <w:sz w:val="11"/>
        </w:rPr>
        <w:t>Determining</w:t>
      </w:r>
      <w:r>
        <w:rPr>
          <w:spacing w:val="7"/>
          <w:sz w:val="11"/>
        </w:rPr>
        <w:t> </w:t>
      </w:r>
      <w:r>
        <w:rPr>
          <w:sz w:val="11"/>
        </w:rPr>
        <w:t>the</w:t>
      </w:r>
      <w:r>
        <w:rPr>
          <w:spacing w:val="8"/>
          <w:sz w:val="11"/>
        </w:rPr>
        <w:t> </w:t>
      </w:r>
      <w:r>
        <w:rPr>
          <w:sz w:val="11"/>
        </w:rPr>
        <w:t>transaction</w:t>
      </w:r>
      <w:r>
        <w:rPr>
          <w:spacing w:val="7"/>
          <w:sz w:val="11"/>
        </w:rPr>
        <w:t> </w:t>
      </w:r>
      <w:r>
        <w:rPr>
          <w:spacing w:val="-4"/>
          <w:sz w:val="11"/>
        </w:rPr>
        <w:t>price</w:t>
      </w:r>
    </w:p>
    <w:p>
      <w:pPr>
        <w:pStyle w:val="ListParagraph"/>
        <w:numPr>
          <w:ilvl w:val="2"/>
          <w:numId w:val="17"/>
        </w:numPr>
        <w:tabs>
          <w:tab w:pos="735" w:val="left" w:leader="none"/>
        </w:tabs>
        <w:spacing w:line="240" w:lineRule="auto" w:before="18" w:after="0"/>
        <w:ind w:left="735" w:right="0" w:hanging="70"/>
        <w:jc w:val="left"/>
        <w:rPr>
          <w:sz w:val="11"/>
        </w:rPr>
      </w:pPr>
      <w:r>
        <w:rPr>
          <w:sz w:val="11"/>
        </w:rPr>
        <w:t>Allocating</w:t>
      </w:r>
      <w:r>
        <w:rPr>
          <w:spacing w:val="5"/>
          <w:sz w:val="11"/>
        </w:rPr>
        <w:t> </w:t>
      </w:r>
      <w:r>
        <w:rPr>
          <w:sz w:val="11"/>
        </w:rPr>
        <w:t>the</w:t>
      </w:r>
      <w:r>
        <w:rPr>
          <w:spacing w:val="6"/>
          <w:sz w:val="11"/>
        </w:rPr>
        <w:t> </w:t>
      </w:r>
      <w:r>
        <w:rPr>
          <w:sz w:val="11"/>
        </w:rPr>
        <w:t>transaction</w:t>
      </w:r>
      <w:r>
        <w:rPr>
          <w:spacing w:val="6"/>
          <w:sz w:val="11"/>
        </w:rPr>
        <w:t> </w:t>
      </w:r>
      <w:r>
        <w:rPr>
          <w:sz w:val="11"/>
        </w:rPr>
        <w:t>price</w:t>
      </w:r>
      <w:r>
        <w:rPr>
          <w:spacing w:val="5"/>
          <w:sz w:val="11"/>
        </w:rPr>
        <w:t> </w:t>
      </w:r>
      <w:r>
        <w:rPr>
          <w:sz w:val="11"/>
        </w:rPr>
        <w:t>to</w:t>
      </w:r>
      <w:r>
        <w:rPr>
          <w:spacing w:val="6"/>
          <w:sz w:val="11"/>
        </w:rPr>
        <w:t> </w:t>
      </w:r>
      <w:r>
        <w:rPr>
          <w:sz w:val="11"/>
        </w:rPr>
        <w:t>the</w:t>
      </w:r>
      <w:r>
        <w:rPr>
          <w:spacing w:val="6"/>
          <w:sz w:val="11"/>
        </w:rPr>
        <w:t> </w:t>
      </w:r>
      <w:r>
        <w:rPr>
          <w:sz w:val="11"/>
        </w:rPr>
        <w:t>satisfied</w:t>
      </w:r>
      <w:r>
        <w:rPr>
          <w:spacing w:val="6"/>
          <w:sz w:val="11"/>
        </w:rPr>
        <w:t> </w:t>
      </w:r>
      <w:r>
        <w:rPr>
          <w:sz w:val="11"/>
        </w:rPr>
        <w:t>and</w:t>
      </w:r>
      <w:r>
        <w:rPr>
          <w:spacing w:val="5"/>
          <w:sz w:val="11"/>
        </w:rPr>
        <w:t> </w:t>
      </w:r>
      <w:r>
        <w:rPr>
          <w:sz w:val="11"/>
        </w:rPr>
        <w:t>unsatisfied</w:t>
      </w:r>
      <w:r>
        <w:rPr>
          <w:spacing w:val="6"/>
          <w:sz w:val="11"/>
        </w:rPr>
        <w:t> </w:t>
      </w:r>
      <w:r>
        <w:rPr>
          <w:sz w:val="11"/>
        </w:rPr>
        <w:t>performance</w:t>
      </w:r>
      <w:r>
        <w:rPr>
          <w:spacing w:val="6"/>
          <w:sz w:val="11"/>
        </w:rPr>
        <w:t> </w:t>
      </w:r>
      <w:r>
        <w:rPr>
          <w:spacing w:val="-2"/>
          <w:sz w:val="11"/>
        </w:rPr>
        <w:t>obligation.</w:t>
      </w:r>
    </w:p>
    <w:p>
      <w:pPr>
        <w:spacing w:line="240" w:lineRule="auto" w:before="36"/>
        <w:rPr>
          <w:sz w:val="11"/>
        </w:rPr>
      </w:pPr>
    </w:p>
    <w:p>
      <w:pPr>
        <w:spacing w:line="273" w:lineRule="auto" w:before="0"/>
        <w:ind w:left="665" w:right="1723" w:hanging="1"/>
        <w:jc w:val="both"/>
        <w:rPr>
          <w:sz w:val="11"/>
        </w:rPr>
      </w:pPr>
      <w:r>
        <w:rPr>
          <w:w w:val="105"/>
          <w:sz w:val="11"/>
        </w:rPr>
        <w:t>Under</w:t>
      </w:r>
      <w:r>
        <w:rPr>
          <w:w w:val="105"/>
          <w:sz w:val="11"/>
        </w:rPr>
        <w:t> the</w:t>
      </w:r>
      <w:r>
        <w:rPr>
          <w:w w:val="105"/>
          <w:sz w:val="11"/>
        </w:rPr>
        <w:t> new</w:t>
      </w:r>
      <w:r>
        <w:rPr>
          <w:w w:val="105"/>
          <w:sz w:val="11"/>
        </w:rPr>
        <w:t> income</w:t>
      </w:r>
      <w:r>
        <w:rPr>
          <w:w w:val="105"/>
          <w:sz w:val="11"/>
        </w:rPr>
        <w:t> recognition</w:t>
      </w:r>
      <w:r>
        <w:rPr>
          <w:w w:val="105"/>
          <w:sz w:val="11"/>
        </w:rPr>
        <w:t> model</w:t>
      </w:r>
      <w:r>
        <w:rPr>
          <w:w w:val="105"/>
          <w:sz w:val="11"/>
        </w:rPr>
        <w:t> applicable</w:t>
      </w:r>
      <w:r>
        <w:rPr>
          <w:w w:val="105"/>
          <w:sz w:val="11"/>
        </w:rPr>
        <w:t> to</w:t>
      </w:r>
      <w:r>
        <w:rPr>
          <w:w w:val="105"/>
          <w:sz w:val="11"/>
        </w:rPr>
        <w:t> not-for-profit</w:t>
      </w:r>
      <w:r>
        <w:rPr>
          <w:w w:val="105"/>
          <w:sz w:val="11"/>
        </w:rPr>
        <w:t> entities</w:t>
      </w:r>
      <w:r>
        <w:rPr>
          <w:w w:val="105"/>
          <w:sz w:val="11"/>
        </w:rPr>
        <w:t> in</w:t>
      </w:r>
      <w:r>
        <w:rPr>
          <w:w w:val="105"/>
          <w:sz w:val="11"/>
        </w:rPr>
        <w:t> accounting</w:t>
      </w:r>
      <w:r>
        <w:rPr>
          <w:w w:val="105"/>
          <w:sz w:val="11"/>
        </w:rPr>
        <w:t> for</w:t>
      </w:r>
      <w:r>
        <w:rPr>
          <w:w w:val="105"/>
          <w:sz w:val="11"/>
        </w:rPr>
        <w:t> research</w:t>
      </w:r>
      <w:r>
        <w:rPr>
          <w:w w:val="105"/>
          <w:sz w:val="11"/>
        </w:rPr>
        <w:t> grants,</w:t>
      </w:r>
      <w:r>
        <w:rPr>
          <w:w w:val="105"/>
          <w:sz w:val="11"/>
        </w:rPr>
        <w:t> the</w:t>
      </w:r>
      <w:r>
        <w:rPr>
          <w:w w:val="105"/>
          <w:sz w:val="11"/>
        </w:rPr>
        <w:t> Group</w:t>
      </w:r>
      <w:r>
        <w:rPr>
          <w:w w:val="105"/>
          <w:sz w:val="11"/>
        </w:rPr>
        <w:t> shall</w:t>
      </w:r>
      <w:r>
        <w:rPr>
          <w:w w:val="105"/>
          <w:sz w:val="11"/>
        </w:rPr>
        <w:t> first</w:t>
      </w:r>
      <w:r>
        <w:rPr>
          <w:w w:val="105"/>
          <w:sz w:val="11"/>
        </w:rPr>
        <w:t> determine</w:t>
      </w:r>
      <w:r>
        <w:rPr>
          <w:w w:val="105"/>
          <w:sz w:val="11"/>
        </w:rPr>
        <w:t> whether</w:t>
      </w:r>
      <w:r>
        <w:rPr>
          <w:w w:val="105"/>
          <w:sz w:val="11"/>
        </w:rPr>
        <w:t> an</w:t>
      </w:r>
      <w:r>
        <w:rPr>
          <w:w w:val="105"/>
          <w:sz w:val="11"/>
        </w:rPr>
        <w:t> enforceable</w:t>
      </w:r>
      <w:r>
        <w:rPr>
          <w:spacing w:val="40"/>
          <w:w w:val="105"/>
          <w:sz w:val="11"/>
        </w:rPr>
        <w:t> </w:t>
      </w:r>
      <w:r>
        <w:rPr>
          <w:w w:val="105"/>
          <w:sz w:val="11"/>
        </w:rPr>
        <w:t>agreement</w:t>
      </w:r>
      <w:r>
        <w:rPr>
          <w:spacing w:val="-5"/>
          <w:w w:val="105"/>
          <w:sz w:val="11"/>
        </w:rPr>
        <w:t> </w:t>
      </w:r>
      <w:r>
        <w:rPr>
          <w:w w:val="105"/>
          <w:sz w:val="11"/>
        </w:rPr>
        <w:t>exists</w:t>
      </w:r>
      <w:r>
        <w:rPr>
          <w:spacing w:val="-4"/>
          <w:w w:val="105"/>
          <w:sz w:val="11"/>
        </w:rPr>
        <w:t> </w:t>
      </w:r>
      <w:r>
        <w:rPr>
          <w:w w:val="105"/>
          <w:sz w:val="11"/>
        </w:rPr>
        <w:t>and</w:t>
      </w:r>
      <w:r>
        <w:rPr>
          <w:spacing w:val="-6"/>
          <w:w w:val="105"/>
          <w:sz w:val="11"/>
        </w:rPr>
        <w:t> </w:t>
      </w:r>
      <w:r>
        <w:rPr>
          <w:w w:val="105"/>
          <w:sz w:val="11"/>
        </w:rPr>
        <w:t>whether</w:t>
      </w:r>
      <w:r>
        <w:rPr>
          <w:spacing w:val="-5"/>
          <w:w w:val="105"/>
          <w:sz w:val="11"/>
        </w:rPr>
        <w:t> </w:t>
      </w:r>
      <w:r>
        <w:rPr>
          <w:w w:val="105"/>
          <w:sz w:val="11"/>
        </w:rPr>
        <w:t>the</w:t>
      </w:r>
      <w:r>
        <w:rPr>
          <w:spacing w:val="-6"/>
          <w:w w:val="105"/>
          <w:sz w:val="11"/>
        </w:rPr>
        <w:t> </w:t>
      </w:r>
      <w:r>
        <w:rPr>
          <w:w w:val="105"/>
          <w:sz w:val="11"/>
        </w:rPr>
        <w:t>promises</w:t>
      </w:r>
      <w:r>
        <w:rPr>
          <w:spacing w:val="-4"/>
          <w:w w:val="105"/>
          <w:sz w:val="11"/>
        </w:rPr>
        <w:t> </w:t>
      </w:r>
      <w:r>
        <w:rPr>
          <w:w w:val="105"/>
          <w:sz w:val="11"/>
        </w:rPr>
        <w:t>to</w:t>
      </w:r>
      <w:r>
        <w:rPr>
          <w:spacing w:val="-6"/>
          <w:w w:val="105"/>
          <w:sz w:val="11"/>
        </w:rPr>
        <w:t> </w:t>
      </w:r>
      <w:r>
        <w:rPr>
          <w:w w:val="105"/>
          <w:sz w:val="11"/>
        </w:rPr>
        <w:t>transfer</w:t>
      </w:r>
      <w:r>
        <w:rPr>
          <w:spacing w:val="-5"/>
          <w:w w:val="105"/>
          <w:sz w:val="11"/>
        </w:rPr>
        <w:t> </w:t>
      </w:r>
      <w:r>
        <w:rPr>
          <w:w w:val="105"/>
          <w:sz w:val="11"/>
        </w:rPr>
        <w:t>goods</w:t>
      </w:r>
      <w:r>
        <w:rPr>
          <w:spacing w:val="-4"/>
          <w:w w:val="105"/>
          <w:sz w:val="11"/>
        </w:rPr>
        <w:t> </w:t>
      </w:r>
      <w:r>
        <w:rPr>
          <w:w w:val="105"/>
          <w:sz w:val="11"/>
        </w:rPr>
        <w:t>or</w:t>
      </w:r>
      <w:r>
        <w:rPr>
          <w:spacing w:val="-5"/>
          <w:w w:val="105"/>
          <w:sz w:val="11"/>
        </w:rPr>
        <w:t> </w:t>
      </w:r>
      <w:r>
        <w:rPr>
          <w:w w:val="105"/>
          <w:sz w:val="11"/>
        </w:rPr>
        <w:t>services</w:t>
      </w:r>
      <w:r>
        <w:rPr>
          <w:spacing w:val="-4"/>
          <w:w w:val="105"/>
          <w:sz w:val="11"/>
        </w:rPr>
        <w:t> </w:t>
      </w:r>
      <w:r>
        <w:rPr>
          <w:w w:val="105"/>
          <w:sz w:val="11"/>
        </w:rPr>
        <w:t>to</w:t>
      </w:r>
      <w:r>
        <w:rPr>
          <w:spacing w:val="-6"/>
          <w:w w:val="105"/>
          <w:sz w:val="11"/>
        </w:rPr>
        <w:t> </w:t>
      </w:r>
      <w:r>
        <w:rPr>
          <w:w w:val="105"/>
          <w:sz w:val="11"/>
        </w:rPr>
        <w:t>the</w:t>
      </w:r>
      <w:r>
        <w:rPr>
          <w:spacing w:val="-6"/>
          <w:w w:val="105"/>
          <w:sz w:val="11"/>
        </w:rPr>
        <w:t> </w:t>
      </w:r>
      <w:r>
        <w:rPr>
          <w:w w:val="105"/>
          <w:sz w:val="11"/>
        </w:rPr>
        <w:t>customer</w:t>
      </w:r>
      <w:r>
        <w:rPr>
          <w:spacing w:val="-5"/>
          <w:w w:val="105"/>
          <w:sz w:val="11"/>
        </w:rPr>
        <w:t> </w:t>
      </w:r>
      <w:r>
        <w:rPr>
          <w:w w:val="105"/>
          <w:sz w:val="11"/>
        </w:rPr>
        <w:t>are</w:t>
      </w:r>
      <w:r>
        <w:rPr>
          <w:spacing w:val="-6"/>
          <w:w w:val="105"/>
          <w:sz w:val="11"/>
        </w:rPr>
        <w:t> </w:t>
      </w:r>
      <w:r>
        <w:rPr>
          <w:w w:val="105"/>
          <w:sz w:val="11"/>
        </w:rPr>
        <w:t>‘sufficiently</w:t>
      </w:r>
      <w:r>
        <w:rPr>
          <w:spacing w:val="-6"/>
          <w:w w:val="105"/>
          <w:sz w:val="11"/>
        </w:rPr>
        <w:t> </w:t>
      </w:r>
      <w:r>
        <w:rPr>
          <w:w w:val="105"/>
          <w:sz w:val="11"/>
        </w:rPr>
        <w:t>specific’.</w:t>
      </w:r>
    </w:p>
    <w:p>
      <w:pPr>
        <w:spacing w:line="273" w:lineRule="auto" w:before="1"/>
        <w:ind w:left="665" w:right="1723" w:firstLine="0"/>
        <w:jc w:val="both"/>
        <w:rPr>
          <w:sz w:val="11"/>
        </w:rPr>
      </w:pPr>
      <w:r>
        <w:rPr>
          <w:w w:val="105"/>
          <w:sz w:val="11"/>
        </w:rPr>
        <w:t>If</w:t>
      </w:r>
      <w:r>
        <w:rPr>
          <w:spacing w:val="-6"/>
          <w:w w:val="105"/>
          <w:sz w:val="11"/>
        </w:rPr>
        <w:t> </w:t>
      </w:r>
      <w:r>
        <w:rPr>
          <w:w w:val="105"/>
          <w:sz w:val="11"/>
        </w:rPr>
        <w:t>an</w:t>
      </w:r>
      <w:r>
        <w:rPr>
          <w:spacing w:val="-6"/>
          <w:w w:val="105"/>
          <w:sz w:val="11"/>
        </w:rPr>
        <w:t> </w:t>
      </w:r>
      <w:r>
        <w:rPr>
          <w:w w:val="105"/>
          <w:sz w:val="11"/>
        </w:rPr>
        <w:t>enforceable</w:t>
      </w:r>
      <w:r>
        <w:rPr>
          <w:spacing w:val="-6"/>
          <w:w w:val="105"/>
          <w:sz w:val="11"/>
        </w:rPr>
        <w:t> </w:t>
      </w:r>
      <w:r>
        <w:rPr>
          <w:w w:val="105"/>
          <w:sz w:val="11"/>
        </w:rPr>
        <w:t>agreement</w:t>
      </w:r>
      <w:r>
        <w:rPr>
          <w:spacing w:val="-6"/>
          <w:w w:val="105"/>
          <w:sz w:val="11"/>
        </w:rPr>
        <w:t> </w:t>
      </w:r>
      <w:r>
        <w:rPr>
          <w:w w:val="105"/>
          <w:sz w:val="11"/>
        </w:rPr>
        <w:t>exists</w:t>
      </w:r>
      <w:r>
        <w:rPr>
          <w:spacing w:val="-5"/>
          <w:w w:val="105"/>
          <w:sz w:val="11"/>
        </w:rPr>
        <w:t> </w:t>
      </w:r>
      <w:r>
        <w:rPr>
          <w:w w:val="105"/>
          <w:sz w:val="11"/>
        </w:rPr>
        <w:t>and</w:t>
      </w:r>
      <w:r>
        <w:rPr>
          <w:spacing w:val="-6"/>
          <w:w w:val="105"/>
          <w:sz w:val="11"/>
        </w:rPr>
        <w:t> </w:t>
      </w:r>
      <w:r>
        <w:rPr>
          <w:w w:val="105"/>
          <w:sz w:val="11"/>
        </w:rPr>
        <w:t>the</w:t>
      </w:r>
      <w:r>
        <w:rPr>
          <w:spacing w:val="-6"/>
          <w:w w:val="105"/>
          <w:sz w:val="11"/>
        </w:rPr>
        <w:t> </w:t>
      </w:r>
      <w:r>
        <w:rPr>
          <w:w w:val="105"/>
          <w:sz w:val="11"/>
        </w:rPr>
        <w:t>promises</w:t>
      </w:r>
      <w:r>
        <w:rPr>
          <w:spacing w:val="-5"/>
          <w:w w:val="105"/>
          <w:sz w:val="11"/>
        </w:rPr>
        <w:t> </w:t>
      </w:r>
      <w:r>
        <w:rPr>
          <w:w w:val="105"/>
          <w:sz w:val="11"/>
        </w:rPr>
        <w:t>are</w:t>
      </w:r>
      <w:r>
        <w:rPr>
          <w:spacing w:val="-6"/>
          <w:w w:val="105"/>
          <w:sz w:val="11"/>
        </w:rPr>
        <w:t> </w:t>
      </w:r>
      <w:r>
        <w:rPr>
          <w:w w:val="105"/>
          <w:sz w:val="11"/>
        </w:rPr>
        <w:t>‘sufficiently</w:t>
      </w:r>
      <w:r>
        <w:rPr>
          <w:spacing w:val="-7"/>
          <w:w w:val="105"/>
          <w:sz w:val="11"/>
        </w:rPr>
        <w:t> </w:t>
      </w:r>
      <w:r>
        <w:rPr>
          <w:w w:val="105"/>
          <w:sz w:val="11"/>
        </w:rPr>
        <w:t>specific’</w:t>
      </w:r>
      <w:r>
        <w:rPr>
          <w:spacing w:val="-6"/>
          <w:w w:val="105"/>
          <w:sz w:val="11"/>
        </w:rPr>
        <w:t> </w:t>
      </w:r>
      <w:r>
        <w:rPr>
          <w:w w:val="105"/>
          <w:sz w:val="11"/>
        </w:rPr>
        <w:t>(to</w:t>
      </w:r>
      <w:r>
        <w:rPr>
          <w:spacing w:val="-8"/>
          <w:w w:val="105"/>
          <w:sz w:val="11"/>
        </w:rPr>
        <w:t> </w:t>
      </w:r>
      <w:r>
        <w:rPr>
          <w:w w:val="105"/>
          <w:sz w:val="11"/>
        </w:rPr>
        <w:t>a</w:t>
      </w:r>
      <w:r>
        <w:rPr>
          <w:spacing w:val="-6"/>
          <w:w w:val="105"/>
          <w:sz w:val="11"/>
        </w:rPr>
        <w:t> </w:t>
      </w:r>
      <w:r>
        <w:rPr>
          <w:w w:val="105"/>
          <w:sz w:val="11"/>
        </w:rPr>
        <w:t>transaction</w:t>
      </w:r>
      <w:r>
        <w:rPr>
          <w:spacing w:val="-8"/>
          <w:w w:val="105"/>
          <w:sz w:val="11"/>
        </w:rPr>
        <w:t> </w:t>
      </w:r>
      <w:r>
        <w:rPr>
          <w:w w:val="105"/>
          <w:sz w:val="11"/>
        </w:rPr>
        <w:t>or</w:t>
      </w:r>
      <w:r>
        <w:rPr>
          <w:spacing w:val="-5"/>
          <w:w w:val="105"/>
          <w:sz w:val="11"/>
        </w:rPr>
        <w:t> </w:t>
      </w:r>
      <w:r>
        <w:rPr>
          <w:w w:val="105"/>
          <w:sz w:val="11"/>
        </w:rPr>
        <w:t>part</w:t>
      </w:r>
      <w:r>
        <w:rPr>
          <w:spacing w:val="-8"/>
          <w:w w:val="105"/>
          <w:sz w:val="11"/>
        </w:rPr>
        <w:t> </w:t>
      </w:r>
      <w:r>
        <w:rPr>
          <w:w w:val="105"/>
          <w:sz w:val="11"/>
        </w:rPr>
        <w:t>of</w:t>
      </w:r>
      <w:r>
        <w:rPr>
          <w:spacing w:val="-6"/>
          <w:w w:val="105"/>
          <w:sz w:val="11"/>
        </w:rPr>
        <w:t> </w:t>
      </w:r>
      <w:r>
        <w:rPr>
          <w:w w:val="105"/>
          <w:sz w:val="11"/>
        </w:rPr>
        <w:t>a</w:t>
      </w:r>
      <w:r>
        <w:rPr>
          <w:spacing w:val="-8"/>
          <w:w w:val="105"/>
          <w:sz w:val="11"/>
        </w:rPr>
        <w:t> </w:t>
      </w:r>
      <w:r>
        <w:rPr>
          <w:w w:val="105"/>
          <w:sz w:val="11"/>
        </w:rPr>
        <w:t>transaction),</w:t>
      </w:r>
      <w:r>
        <w:rPr>
          <w:spacing w:val="-6"/>
          <w:w w:val="105"/>
          <w:sz w:val="11"/>
        </w:rPr>
        <w:t> </w:t>
      </w:r>
      <w:r>
        <w:rPr>
          <w:w w:val="105"/>
          <w:sz w:val="11"/>
        </w:rPr>
        <w:t>the</w:t>
      </w:r>
      <w:r>
        <w:rPr>
          <w:spacing w:val="-8"/>
          <w:w w:val="105"/>
          <w:sz w:val="11"/>
        </w:rPr>
        <w:t> </w:t>
      </w:r>
      <w:r>
        <w:rPr>
          <w:w w:val="105"/>
          <w:sz w:val="11"/>
        </w:rPr>
        <w:t>Group</w:t>
      </w:r>
      <w:r>
        <w:rPr>
          <w:spacing w:val="-6"/>
          <w:w w:val="105"/>
          <w:sz w:val="11"/>
        </w:rPr>
        <w:t> </w:t>
      </w:r>
      <w:r>
        <w:rPr>
          <w:w w:val="105"/>
          <w:sz w:val="11"/>
        </w:rPr>
        <w:t>applies</w:t>
      </w:r>
      <w:r>
        <w:rPr>
          <w:spacing w:val="-7"/>
          <w:w w:val="105"/>
          <w:sz w:val="11"/>
        </w:rPr>
        <w:t> </w:t>
      </w:r>
      <w:r>
        <w:rPr>
          <w:w w:val="105"/>
          <w:sz w:val="11"/>
        </w:rPr>
        <w:t>the</w:t>
      </w:r>
      <w:r>
        <w:rPr>
          <w:spacing w:val="-6"/>
          <w:w w:val="105"/>
          <w:sz w:val="11"/>
        </w:rPr>
        <w:t> </w:t>
      </w:r>
      <w:r>
        <w:rPr>
          <w:w w:val="105"/>
          <w:sz w:val="11"/>
        </w:rPr>
        <w:t>general</w:t>
      </w:r>
      <w:r>
        <w:rPr>
          <w:spacing w:val="-8"/>
          <w:w w:val="105"/>
          <w:sz w:val="11"/>
        </w:rPr>
        <w:t> </w:t>
      </w:r>
      <w:r>
        <w:rPr>
          <w:w w:val="105"/>
          <w:sz w:val="11"/>
        </w:rPr>
        <w:t>AASB15</w:t>
      </w:r>
      <w:r>
        <w:rPr>
          <w:spacing w:val="-6"/>
          <w:w w:val="105"/>
          <w:sz w:val="11"/>
        </w:rPr>
        <w:t> </w:t>
      </w:r>
      <w:r>
        <w:rPr>
          <w:w w:val="105"/>
          <w:sz w:val="11"/>
        </w:rPr>
        <w:t>principles</w:t>
      </w:r>
      <w:r>
        <w:rPr>
          <w:spacing w:val="-7"/>
          <w:w w:val="105"/>
          <w:sz w:val="11"/>
        </w:rPr>
        <w:t> </w:t>
      </w:r>
      <w:r>
        <w:rPr>
          <w:w w:val="105"/>
          <w:sz w:val="11"/>
        </w:rPr>
        <w:t>to</w:t>
      </w:r>
      <w:r>
        <w:rPr>
          <w:spacing w:val="40"/>
          <w:w w:val="105"/>
          <w:sz w:val="11"/>
        </w:rPr>
        <w:t> </w:t>
      </w:r>
      <w:r>
        <w:rPr>
          <w:w w:val="105"/>
          <w:sz w:val="11"/>
        </w:rPr>
        <w:t>determine</w:t>
      </w:r>
      <w:r>
        <w:rPr>
          <w:spacing w:val="-8"/>
          <w:w w:val="105"/>
          <w:sz w:val="11"/>
        </w:rPr>
        <w:t> </w:t>
      </w:r>
      <w:r>
        <w:rPr>
          <w:w w:val="105"/>
          <w:sz w:val="11"/>
        </w:rPr>
        <w:t>the</w:t>
      </w:r>
      <w:r>
        <w:rPr>
          <w:spacing w:val="-8"/>
          <w:w w:val="105"/>
          <w:sz w:val="11"/>
        </w:rPr>
        <w:t> </w:t>
      </w:r>
      <w:r>
        <w:rPr>
          <w:w w:val="105"/>
          <w:sz w:val="11"/>
        </w:rPr>
        <w:t>appropriate</w:t>
      </w:r>
      <w:r>
        <w:rPr>
          <w:spacing w:val="-8"/>
          <w:w w:val="105"/>
          <w:sz w:val="11"/>
        </w:rPr>
        <w:t> </w:t>
      </w:r>
      <w:r>
        <w:rPr>
          <w:w w:val="105"/>
          <w:sz w:val="11"/>
        </w:rPr>
        <w:t>revenue</w:t>
      </w:r>
      <w:r>
        <w:rPr>
          <w:spacing w:val="-8"/>
          <w:w w:val="105"/>
          <w:sz w:val="11"/>
        </w:rPr>
        <w:t> </w:t>
      </w:r>
      <w:r>
        <w:rPr>
          <w:w w:val="105"/>
          <w:sz w:val="11"/>
        </w:rPr>
        <w:t>recognition.</w:t>
      </w:r>
      <w:r>
        <w:rPr>
          <w:spacing w:val="-7"/>
          <w:w w:val="105"/>
          <w:sz w:val="11"/>
        </w:rPr>
        <w:t> </w:t>
      </w:r>
      <w:r>
        <w:rPr>
          <w:w w:val="105"/>
          <w:sz w:val="11"/>
        </w:rPr>
        <w:t>If</w:t>
      </w:r>
      <w:r>
        <w:rPr>
          <w:spacing w:val="-7"/>
          <w:w w:val="105"/>
          <w:sz w:val="11"/>
        </w:rPr>
        <w:t> </w:t>
      </w:r>
      <w:r>
        <w:rPr>
          <w:w w:val="105"/>
          <w:sz w:val="11"/>
        </w:rPr>
        <w:t>these</w:t>
      </w:r>
      <w:r>
        <w:rPr>
          <w:spacing w:val="-8"/>
          <w:w w:val="105"/>
          <w:sz w:val="11"/>
        </w:rPr>
        <w:t> </w:t>
      </w:r>
      <w:r>
        <w:rPr>
          <w:w w:val="105"/>
          <w:sz w:val="11"/>
        </w:rPr>
        <w:t>criteria</w:t>
      </w:r>
      <w:r>
        <w:rPr>
          <w:spacing w:val="-8"/>
          <w:w w:val="105"/>
          <w:sz w:val="11"/>
        </w:rPr>
        <w:t> </w:t>
      </w:r>
      <w:r>
        <w:rPr>
          <w:w w:val="105"/>
          <w:sz w:val="11"/>
        </w:rPr>
        <w:t>are</w:t>
      </w:r>
      <w:r>
        <w:rPr>
          <w:spacing w:val="-8"/>
          <w:w w:val="105"/>
          <w:sz w:val="11"/>
        </w:rPr>
        <w:t> </w:t>
      </w:r>
      <w:r>
        <w:rPr>
          <w:w w:val="105"/>
          <w:sz w:val="11"/>
        </w:rPr>
        <w:t>not</w:t>
      </w:r>
      <w:r>
        <w:rPr>
          <w:spacing w:val="-7"/>
          <w:w w:val="105"/>
          <w:sz w:val="11"/>
        </w:rPr>
        <w:t> </w:t>
      </w:r>
      <w:r>
        <w:rPr>
          <w:w w:val="105"/>
          <w:sz w:val="11"/>
        </w:rPr>
        <w:t>met,</w:t>
      </w:r>
      <w:r>
        <w:rPr>
          <w:spacing w:val="-7"/>
          <w:w w:val="105"/>
          <w:sz w:val="11"/>
        </w:rPr>
        <w:t> </w:t>
      </w:r>
      <w:r>
        <w:rPr>
          <w:w w:val="105"/>
          <w:sz w:val="11"/>
        </w:rPr>
        <w:t>the</w:t>
      </w:r>
      <w:r>
        <w:rPr>
          <w:spacing w:val="-8"/>
          <w:w w:val="105"/>
          <w:sz w:val="11"/>
        </w:rPr>
        <w:t> </w:t>
      </w:r>
      <w:r>
        <w:rPr>
          <w:w w:val="105"/>
          <w:sz w:val="11"/>
        </w:rPr>
        <w:t>Group</w:t>
      </w:r>
      <w:r>
        <w:rPr>
          <w:spacing w:val="-8"/>
          <w:w w:val="105"/>
          <w:sz w:val="11"/>
        </w:rPr>
        <w:t> </w:t>
      </w:r>
      <w:r>
        <w:rPr>
          <w:w w:val="105"/>
          <w:sz w:val="11"/>
        </w:rPr>
        <w:t>shall</w:t>
      </w:r>
      <w:r>
        <w:rPr>
          <w:spacing w:val="-8"/>
          <w:w w:val="105"/>
          <w:sz w:val="11"/>
        </w:rPr>
        <w:t> </w:t>
      </w:r>
      <w:r>
        <w:rPr>
          <w:w w:val="105"/>
          <w:sz w:val="11"/>
        </w:rPr>
        <w:t>consider</w:t>
      </w:r>
      <w:r>
        <w:rPr>
          <w:spacing w:val="-7"/>
          <w:w w:val="105"/>
          <w:sz w:val="11"/>
        </w:rPr>
        <w:t> </w:t>
      </w:r>
      <w:r>
        <w:rPr>
          <w:w w:val="105"/>
          <w:sz w:val="11"/>
        </w:rPr>
        <w:t>whether</w:t>
      </w:r>
      <w:r>
        <w:rPr>
          <w:spacing w:val="-7"/>
          <w:w w:val="105"/>
          <w:sz w:val="11"/>
        </w:rPr>
        <w:t> </w:t>
      </w:r>
      <w:r>
        <w:rPr>
          <w:w w:val="105"/>
          <w:sz w:val="11"/>
        </w:rPr>
        <w:t>AASB1058</w:t>
      </w:r>
      <w:r>
        <w:rPr>
          <w:spacing w:val="-8"/>
          <w:w w:val="105"/>
          <w:sz w:val="11"/>
        </w:rPr>
        <w:t> </w:t>
      </w:r>
      <w:r>
        <w:rPr>
          <w:w w:val="105"/>
          <w:sz w:val="11"/>
        </w:rPr>
        <w:t>applies.</w:t>
      </w:r>
    </w:p>
    <w:p>
      <w:pPr>
        <w:spacing w:before="110"/>
        <w:ind w:left="665" w:right="0" w:firstLine="0"/>
        <w:jc w:val="left"/>
        <w:rPr>
          <w:sz w:val="11"/>
        </w:rPr>
      </w:pPr>
      <w:r>
        <w:rPr>
          <w:spacing w:val="-2"/>
          <w:w w:val="105"/>
          <w:sz w:val="11"/>
        </w:rPr>
        <w:t>The nature</w:t>
      </w:r>
      <w:r>
        <w:rPr>
          <w:spacing w:val="-1"/>
          <w:w w:val="105"/>
          <w:sz w:val="11"/>
        </w:rPr>
        <w:t> </w:t>
      </w:r>
      <w:r>
        <w:rPr>
          <w:spacing w:val="-2"/>
          <w:w w:val="105"/>
          <w:sz w:val="11"/>
        </w:rPr>
        <w:t>and</w:t>
      </w:r>
      <w:r>
        <w:rPr>
          <w:spacing w:val="-1"/>
          <w:w w:val="105"/>
          <w:sz w:val="11"/>
        </w:rPr>
        <w:t> </w:t>
      </w:r>
      <w:r>
        <w:rPr>
          <w:spacing w:val="-2"/>
          <w:w w:val="105"/>
          <w:sz w:val="11"/>
        </w:rPr>
        <w:t>effect</w:t>
      </w:r>
      <w:r>
        <w:rPr>
          <w:spacing w:val="-1"/>
          <w:w w:val="105"/>
          <w:sz w:val="11"/>
        </w:rPr>
        <w:t> </w:t>
      </w:r>
      <w:r>
        <w:rPr>
          <w:spacing w:val="-2"/>
          <w:w w:val="105"/>
          <w:sz w:val="11"/>
        </w:rPr>
        <w:t>of</w:t>
      </w:r>
      <w:r>
        <w:rPr>
          <w:w w:val="105"/>
          <w:sz w:val="11"/>
        </w:rPr>
        <w:t> </w:t>
      </w:r>
      <w:r>
        <w:rPr>
          <w:spacing w:val="-2"/>
          <w:w w:val="105"/>
          <w:sz w:val="11"/>
        </w:rPr>
        <w:t>the</w:t>
      </w:r>
      <w:r>
        <w:rPr>
          <w:spacing w:val="-1"/>
          <w:w w:val="105"/>
          <w:sz w:val="11"/>
        </w:rPr>
        <w:t> </w:t>
      </w:r>
      <w:r>
        <w:rPr>
          <w:spacing w:val="-2"/>
          <w:w w:val="105"/>
          <w:sz w:val="11"/>
        </w:rPr>
        <w:t>changes</w:t>
      </w:r>
      <w:r>
        <w:rPr>
          <w:spacing w:val="1"/>
          <w:w w:val="105"/>
          <w:sz w:val="11"/>
        </w:rPr>
        <w:t> </w:t>
      </w:r>
      <w:r>
        <w:rPr>
          <w:spacing w:val="-2"/>
          <w:w w:val="105"/>
          <w:sz w:val="11"/>
        </w:rPr>
        <w:t>as</w:t>
      </w:r>
      <w:r>
        <w:rPr>
          <w:w w:val="105"/>
          <w:sz w:val="11"/>
        </w:rPr>
        <w:t> </w:t>
      </w:r>
      <w:r>
        <w:rPr>
          <w:spacing w:val="-2"/>
          <w:w w:val="105"/>
          <w:sz w:val="11"/>
        </w:rPr>
        <w:t>a</w:t>
      </w:r>
      <w:r>
        <w:rPr>
          <w:spacing w:val="-1"/>
          <w:w w:val="105"/>
          <w:sz w:val="11"/>
        </w:rPr>
        <w:t> </w:t>
      </w:r>
      <w:r>
        <w:rPr>
          <w:spacing w:val="-2"/>
          <w:w w:val="105"/>
          <w:sz w:val="11"/>
        </w:rPr>
        <w:t>result</w:t>
      </w:r>
      <w:r>
        <w:rPr>
          <w:w w:val="105"/>
          <w:sz w:val="11"/>
        </w:rPr>
        <w:t> </w:t>
      </w:r>
      <w:r>
        <w:rPr>
          <w:spacing w:val="-2"/>
          <w:w w:val="105"/>
          <w:sz w:val="11"/>
        </w:rPr>
        <w:t>of</w:t>
      </w:r>
      <w:r>
        <w:rPr>
          <w:w w:val="105"/>
          <w:sz w:val="11"/>
        </w:rPr>
        <w:t> </w:t>
      </w:r>
      <w:r>
        <w:rPr>
          <w:spacing w:val="-2"/>
          <w:w w:val="105"/>
          <w:sz w:val="11"/>
        </w:rPr>
        <w:t>adoption of</w:t>
      </w:r>
      <w:r>
        <w:rPr>
          <w:w w:val="105"/>
          <w:sz w:val="11"/>
        </w:rPr>
        <w:t> </w:t>
      </w:r>
      <w:r>
        <w:rPr>
          <w:spacing w:val="-2"/>
          <w:w w:val="105"/>
          <w:sz w:val="11"/>
        </w:rPr>
        <w:t>AASB15</w:t>
      </w:r>
      <w:r>
        <w:rPr>
          <w:spacing w:val="-1"/>
          <w:w w:val="105"/>
          <w:sz w:val="11"/>
        </w:rPr>
        <w:t> </w:t>
      </w:r>
      <w:r>
        <w:rPr>
          <w:spacing w:val="-2"/>
          <w:w w:val="105"/>
          <w:sz w:val="11"/>
        </w:rPr>
        <w:t>and AASB1058</w:t>
      </w:r>
      <w:r>
        <w:rPr>
          <w:spacing w:val="-1"/>
          <w:w w:val="105"/>
          <w:sz w:val="11"/>
        </w:rPr>
        <w:t> </w:t>
      </w:r>
      <w:r>
        <w:rPr>
          <w:spacing w:val="-2"/>
          <w:w w:val="105"/>
          <w:sz w:val="11"/>
        </w:rPr>
        <w:t>are</w:t>
      </w:r>
      <w:r>
        <w:rPr>
          <w:spacing w:val="-1"/>
          <w:w w:val="105"/>
          <w:sz w:val="11"/>
        </w:rPr>
        <w:t> </w:t>
      </w:r>
      <w:r>
        <w:rPr>
          <w:spacing w:val="-2"/>
          <w:w w:val="105"/>
          <w:sz w:val="11"/>
        </w:rPr>
        <w:t>described</w:t>
      </w:r>
      <w:r>
        <w:rPr>
          <w:spacing w:val="-1"/>
          <w:w w:val="105"/>
          <w:sz w:val="11"/>
        </w:rPr>
        <w:t> </w:t>
      </w:r>
      <w:r>
        <w:rPr>
          <w:spacing w:val="-2"/>
          <w:w w:val="105"/>
          <w:sz w:val="11"/>
        </w:rPr>
        <w:t>as</w:t>
      </w:r>
      <w:r>
        <w:rPr>
          <w:w w:val="105"/>
          <w:sz w:val="11"/>
        </w:rPr>
        <w:t> </w:t>
      </w:r>
      <w:r>
        <w:rPr>
          <w:spacing w:val="-2"/>
          <w:w w:val="105"/>
          <w:sz w:val="11"/>
        </w:rPr>
        <w:t>follows:</w:t>
      </w:r>
    </w:p>
    <w:p>
      <w:pPr>
        <w:spacing w:line="240" w:lineRule="auto" w:before="49"/>
        <w:rPr>
          <w:sz w:val="11"/>
        </w:rPr>
      </w:pPr>
    </w:p>
    <w:p>
      <w:pPr>
        <w:tabs>
          <w:tab w:pos="1661" w:val="left" w:leader="none"/>
        </w:tabs>
        <w:spacing w:before="1" w:after="14"/>
        <w:ind w:left="0" w:right="352" w:firstLine="0"/>
        <w:jc w:val="center"/>
        <w:rPr>
          <w:b/>
          <w:sz w:val="11"/>
        </w:rPr>
      </w:pPr>
      <w:r>
        <w:rPr>
          <w:b/>
          <w:spacing w:val="-2"/>
          <w:w w:val="105"/>
          <w:sz w:val="11"/>
        </w:rPr>
        <w:t>Consolidated</w:t>
      </w:r>
      <w:r>
        <w:rPr>
          <w:b/>
          <w:sz w:val="11"/>
        </w:rPr>
        <w:tab/>
      </w:r>
      <w:r>
        <w:rPr>
          <w:b/>
          <w:spacing w:val="-2"/>
          <w:w w:val="105"/>
          <w:sz w:val="11"/>
        </w:rPr>
        <w:t>University</w:t>
      </w:r>
    </w:p>
    <w:tbl>
      <w:tblPr>
        <w:tblW w:w="0" w:type="auto"/>
        <w:jc w:val="left"/>
        <w:tblInd w:w="6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54"/>
        <w:gridCol w:w="833"/>
        <w:gridCol w:w="750"/>
        <w:gridCol w:w="839"/>
        <w:gridCol w:w="734"/>
      </w:tblGrid>
      <w:tr>
        <w:trPr>
          <w:trHeight w:val="605" w:hRule="atLeast"/>
        </w:trPr>
        <w:tc>
          <w:tcPr>
            <w:tcW w:w="3154" w:type="dxa"/>
          </w:tcPr>
          <w:p>
            <w:pPr>
              <w:pStyle w:val="TableParagraph"/>
              <w:rPr>
                <w:b/>
                <w:sz w:val="11"/>
              </w:rPr>
            </w:pPr>
          </w:p>
          <w:p>
            <w:pPr>
              <w:pStyle w:val="TableParagraph"/>
              <w:spacing w:before="37"/>
              <w:rPr>
                <w:b/>
                <w:sz w:val="11"/>
              </w:rPr>
            </w:pPr>
          </w:p>
          <w:p>
            <w:pPr>
              <w:pStyle w:val="TableParagraph"/>
              <w:spacing w:before="1"/>
              <w:ind w:left="28"/>
              <w:rPr>
                <w:b/>
                <w:sz w:val="11"/>
              </w:rPr>
            </w:pPr>
            <w:r>
              <w:rPr>
                <w:b/>
                <w:spacing w:val="-2"/>
                <w:w w:val="105"/>
                <w:sz w:val="11"/>
              </w:rPr>
              <w:t>Assets</w:t>
            </w:r>
          </w:p>
          <w:p>
            <w:pPr>
              <w:pStyle w:val="TableParagraph"/>
              <w:spacing w:line="121" w:lineRule="exact" w:before="47"/>
              <w:ind w:left="28"/>
              <w:rPr>
                <w:sz w:val="11"/>
              </w:rPr>
            </w:pPr>
            <w:r>
              <w:rPr>
                <w:sz w:val="11"/>
              </w:rPr>
              <w:t>Contract</w:t>
            </w:r>
            <w:r>
              <w:rPr>
                <w:spacing w:val="9"/>
                <w:sz w:val="11"/>
              </w:rPr>
              <w:t> </w:t>
            </w:r>
            <w:r>
              <w:rPr>
                <w:spacing w:val="-2"/>
                <w:sz w:val="11"/>
              </w:rPr>
              <w:t>assets</w:t>
            </w:r>
          </w:p>
        </w:tc>
        <w:tc>
          <w:tcPr>
            <w:tcW w:w="833" w:type="dxa"/>
            <w:tcBorders>
              <w:bottom w:val="single" w:sz="6" w:space="0" w:color="000000"/>
            </w:tcBorders>
          </w:tcPr>
          <w:p>
            <w:pPr>
              <w:pStyle w:val="TableParagraph"/>
              <w:spacing w:line="266" w:lineRule="auto"/>
              <w:ind w:left="60" w:right="109" w:hanging="4"/>
              <w:jc w:val="center"/>
              <w:rPr>
                <w:b/>
                <w:sz w:val="11"/>
              </w:rPr>
            </w:pPr>
            <w:r>
              <w:rPr>
                <w:b/>
                <w:spacing w:val="-4"/>
                <w:w w:val="105"/>
                <w:sz w:val="11"/>
              </w:rPr>
              <w:t>Ref</w:t>
            </w:r>
            <w:r>
              <w:rPr>
                <w:b/>
                <w:spacing w:val="40"/>
                <w:w w:val="105"/>
                <w:sz w:val="11"/>
              </w:rPr>
              <w:t> </w:t>
            </w:r>
            <w:r>
              <w:rPr>
                <w:b/>
                <w:spacing w:val="-2"/>
                <w:sz w:val="11"/>
              </w:rPr>
              <w:t>adjustments</w:t>
            </w:r>
          </w:p>
          <w:p>
            <w:pPr>
              <w:pStyle w:val="TableParagraph"/>
              <w:spacing w:before="57"/>
              <w:rPr>
                <w:b/>
                <w:sz w:val="11"/>
              </w:rPr>
            </w:pPr>
          </w:p>
          <w:p>
            <w:pPr>
              <w:pStyle w:val="TableParagraph"/>
              <w:spacing w:line="121" w:lineRule="exact"/>
              <w:ind w:right="51"/>
              <w:jc w:val="center"/>
              <w:rPr>
                <w:b/>
                <w:sz w:val="11"/>
              </w:rPr>
            </w:pPr>
            <w:r>
              <w:rPr>
                <w:b/>
                <w:spacing w:val="-10"/>
                <w:w w:val="105"/>
                <w:sz w:val="11"/>
              </w:rPr>
              <w:t>a</w:t>
            </w:r>
          </w:p>
        </w:tc>
        <w:tc>
          <w:tcPr>
            <w:tcW w:w="750" w:type="dxa"/>
            <w:tcBorders>
              <w:bottom w:val="single" w:sz="6" w:space="0" w:color="000000"/>
            </w:tcBorders>
          </w:tcPr>
          <w:p>
            <w:pPr>
              <w:pStyle w:val="TableParagraph"/>
              <w:spacing w:line="126" w:lineRule="exact"/>
              <w:ind w:left="112"/>
              <w:rPr>
                <w:b/>
                <w:sz w:val="11"/>
              </w:rPr>
            </w:pPr>
            <w:r>
              <w:rPr>
                <w:b/>
                <w:w w:val="105"/>
                <w:sz w:val="11"/>
              </w:rPr>
              <w:t>1</w:t>
            </w:r>
            <w:r>
              <w:rPr>
                <w:b/>
                <w:spacing w:val="-7"/>
                <w:w w:val="105"/>
                <w:sz w:val="11"/>
              </w:rPr>
              <w:t> </w:t>
            </w:r>
            <w:r>
              <w:rPr>
                <w:b/>
                <w:w w:val="105"/>
                <w:sz w:val="11"/>
              </w:rPr>
              <w:t>Jan</w:t>
            </w:r>
            <w:r>
              <w:rPr>
                <w:b/>
                <w:spacing w:val="-7"/>
                <w:w w:val="105"/>
                <w:sz w:val="11"/>
              </w:rPr>
              <w:t> 20</w:t>
            </w:r>
          </w:p>
          <w:p>
            <w:pPr>
              <w:pStyle w:val="TableParagraph"/>
              <w:spacing w:before="13"/>
              <w:ind w:left="192"/>
              <w:rPr>
                <w:b/>
                <w:sz w:val="11"/>
              </w:rPr>
            </w:pPr>
            <w:r>
              <w:rPr>
                <w:b/>
                <w:spacing w:val="-2"/>
                <w:w w:val="105"/>
                <w:sz w:val="11"/>
              </w:rPr>
              <w:t>$’000</w:t>
            </w:r>
          </w:p>
          <w:p>
            <w:pPr>
              <w:pStyle w:val="TableParagraph"/>
              <w:spacing w:before="85"/>
              <w:rPr>
                <w:b/>
                <w:sz w:val="11"/>
              </w:rPr>
            </w:pPr>
          </w:p>
          <w:p>
            <w:pPr>
              <w:pStyle w:val="TableParagraph"/>
              <w:spacing w:line="108" w:lineRule="exact" w:before="1"/>
              <w:ind w:left="381"/>
              <w:rPr>
                <w:sz w:val="11"/>
              </w:rPr>
            </w:pPr>
            <w:r>
              <w:rPr>
                <w:spacing w:val="-2"/>
                <w:w w:val="105"/>
                <w:sz w:val="11"/>
              </w:rPr>
              <w:t>8,900</w:t>
            </w:r>
          </w:p>
        </w:tc>
        <w:tc>
          <w:tcPr>
            <w:tcW w:w="839" w:type="dxa"/>
            <w:tcBorders>
              <w:bottom w:val="single" w:sz="6" w:space="0" w:color="000000"/>
            </w:tcBorders>
          </w:tcPr>
          <w:p>
            <w:pPr>
              <w:pStyle w:val="TableParagraph"/>
              <w:spacing w:line="266" w:lineRule="auto"/>
              <w:ind w:left="6" w:right="72"/>
              <w:jc w:val="center"/>
              <w:rPr>
                <w:b/>
                <w:sz w:val="11"/>
              </w:rPr>
            </w:pPr>
            <w:r>
              <w:rPr>
                <w:b/>
                <w:spacing w:val="-4"/>
                <w:w w:val="105"/>
                <w:sz w:val="11"/>
              </w:rPr>
              <w:t>Ref</w:t>
            </w:r>
            <w:r>
              <w:rPr>
                <w:b/>
                <w:spacing w:val="40"/>
                <w:w w:val="105"/>
                <w:sz w:val="11"/>
              </w:rPr>
              <w:t> </w:t>
            </w:r>
            <w:r>
              <w:rPr>
                <w:b/>
                <w:spacing w:val="-2"/>
                <w:sz w:val="11"/>
              </w:rPr>
              <w:t>adjustments</w:t>
            </w:r>
          </w:p>
          <w:p>
            <w:pPr>
              <w:pStyle w:val="TableParagraph"/>
              <w:spacing w:before="57"/>
              <w:rPr>
                <w:b/>
                <w:sz w:val="11"/>
              </w:rPr>
            </w:pPr>
          </w:p>
          <w:p>
            <w:pPr>
              <w:pStyle w:val="TableParagraph"/>
              <w:spacing w:line="121" w:lineRule="exact"/>
              <w:ind w:left="8" w:right="72"/>
              <w:jc w:val="center"/>
              <w:rPr>
                <w:b/>
                <w:sz w:val="11"/>
              </w:rPr>
            </w:pPr>
            <w:r>
              <w:rPr>
                <w:b/>
                <w:spacing w:val="-10"/>
                <w:w w:val="105"/>
                <w:sz w:val="11"/>
              </w:rPr>
              <w:t>a</w:t>
            </w:r>
          </w:p>
        </w:tc>
        <w:tc>
          <w:tcPr>
            <w:tcW w:w="734" w:type="dxa"/>
            <w:tcBorders>
              <w:bottom w:val="single" w:sz="6" w:space="0" w:color="000000"/>
            </w:tcBorders>
          </w:tcPr>
          <w:p>
            <w:pPr>
              <w:pStyle w:val="TableParagraph"/>
              <w:spacing w:line="126" w:lineRule="exact"/>
              <w:ind w:left="127"/>
              <w:rPr>
                <w:b/>
                <w:sz w:val="11"/>
              </w:rPr>
            </w:pPr>
            <w:r>
              <w:rPr>
                <w:b/>
                <w:w w:val="105"/>
                <w:sz w:val="11"/>
              </w:rPr>
              <w:t>1</w:t>
            </w:r>
            <w:r>
              <w:rPr>
                <w:b/>
                <w:spacing w:val="-7"/>
                <w:w w:val="105"/>
                <w:sz w:val="11"/>
              </w:rPr>
              <w:t> </w:t>
            </w:r>
            <w:r>
              <w:rPr>
                <w:b/>
                <w:w w:val="105"/>
                <w:sz w:val="11"/>
              </w:rPr>
              <w:t>Jan</w:t>
            </w:r>
            <w:r>
              <w:rPr>
                <w:b/>
                <w:spacing w:val="-7"/>
                <w:w w:val="105"/>
                <w:sz w:val="11"/>
              </w:rPr>
              <w:t> 20</w:t>
            </w:r>
          </w:p>
          <w:p>
            <w:pPr>
              <w:pStyle w:val="TableParagraph"/>
              <w:spacing w:before="13"/>
              <w:ind w:left="207"/>
              <w:rPr>
                <w:b/>
                <w:sz w:val="11"/>
              </w:rPr>
            </w:pPr>
            <w:r>
              <w:rPr>
                <w:b/>
                <w:spacing w:val="-2"/>
                <w:w w:val="105"/>
                <w:sz w:val="11"/>
              </w:rPr>
              <w:t>$’000</w:t>
            </w:r>
          </w:p>
          <w:p>
            <w:pPr>
              <w:pStyle w:val="TableParagraph"/>
              <w:spacing w:before="85"/>
              <w:rPr>
                <w:b/>
                <w:sz w:val="11"/>
              </w:rPr>
            </w:pPr>
          </w:p>
          <w:p>
            <w:pPr>
              <w:pStyle w:val="TableParagraph"/>
              <w:spacing w:line="108" w:lineRule="exact" w:before="1"/>
              <w:ind w:left="396"/>
              <w:rPr>
                <w:sz w:val="11"/>
              </w:rPr>
            </w:pPr>
            <w:r>
              <w:rPr>
                <w:spacing w:val="-2"/>
                <w:w w:val="105"/>
                <w:sz w:val="11"/>
              </w:rPr>
              <w:t>8,900</w:t>
            </w:r>
          </w:p>
        </w:tc>
      </w:tr>
      <w:tr>
        <w:trPr>
          <w:trHeight w:val="267" w:hRule="atLeast"/>
        </w:trPr>
        <w:tc>
          <w:tcPr>
            <w:tcW w:w="3154" w:type="dxa"/>
          </w:tcPr>
          <w:p>
            <w:pPr>
              <w:pStyle w:val="TableParagraph"/>
              <w:spacing w:before="30"/>
              <w:ind w:left="28"/>
              <w:rPr>
                <w:b/>
                <w:sz w:val="11"/>
              </w:rPr>
            </w:pPr>
            <w:r>
              <w:rPr>
                <w:b/>
                <w:w w:val="105"/>
                <w:sz w:val="11"/>
              </w:rPr>
              <w:t>Total</w:t>
            </w:r>
            <w:r>
              <w:rPr>
                <w:b/>
                <w:spacing w:val="-8"/>
                <w:w w:val="105"/>
                <w:sz w:val="11"/>
              </w:rPr>
              <w:t> </w:t>
            </w:r>
            <w:r>
              <w:rPr>
                <w:b/>
                <w:spacing w:val="-2"/>
                <w:w w:val="105"/>
                <w:sz w:val="11"/>
              </w:rPr>
              <w:t>assets</w:t>
            </w:r>
          </w:p>
        </w:tc>
        <w:tc>
          <w:tcPr>
            <w:tcW w:w="833" w:type="dxa"/>
            <w:tcBorders>
              <w:top w:val="single" w:sz="6" w:space="0" w:color="000000"/>
            </w:tcBorders>
          </w:tcPr>
          <w:p>
            <w:pPr>
              <w:pStyle w:val="TableParagraph"/>
              <w:rPr>
                <w:rFonts w:ascii="Times New Roman"/>
                <w:sz w:val="10"/>
              </w:rPr>
            </w:pPr>
          </w:p>
        </w:tc>
        <w:tc>
          <w:tcPr>
            <w:tcW w:w="750" w:type="dxa"/>
            <w:tcBorders>
              <w:top w:val="single" w:sz="6" w:space="0" w:color="000000"/>
            </w:tcBorders>
          </w:tcPr>
          <w:p>
            <w:pPr>
              <w:pStyle w:val="TableParagraph"/>
              <w:spacing w:before="30"/>
              <w:ind w:right="85"/>
              <w:jc w:val="right"/>
              <w:rPr>
                <w:b/>
                <w:sz w:val="11"/>
              </w:rPr>
            </w:pPr>
            <w:r>
              <w:rPr>
                <w:b/>
                <w:spacing w:val="-2"/>
                <w:w w:val="105"/>
                <w:sz w:val="11"/>
              </w:rPr>
              <w:t>8,900</w:t>
            </w:r>
          </w:p>
        </w:tc>
        <w:tc>
          <w:tcPr>
            <w:tcW w:w="839" w:type="dxa"/>
            <w:tcBorders>
              <w:top w:val="single" w:sz="6" w:space="0" w:color="000000"/>
            </w:tcBorders>
          </w:tcPr>
          <w:p>
            <w:pPr>
              <w:pStyle w:val="TableParagraph"/>
              <w:rPr>
                <w:rFonts w:ascii="Times New Roman"/>
                <w:sz w:val="10"/>
              </w:rPr>
            </w:pPr>
          </w:p>
        </w:tc>
        <w:tc>
          <w:tcPr>
            <w:tcW w:w="734" w:type="dxa"/>
            <w:tcBorders>
              <w:top w:val="single" w:sz="6" w:space="0" w:color="000000"/>
            </w:tcBorders>
          </w:tcPr>
          <w:p>
            <w:pPr>
              <w:pStyle w:val="TableParagraph"/>
              <w:spacing w:before="30"/>
              <w:ind w:right="55"/>
              <w:jc w:val="right"/>
              <w:rPr>
                <w:b/>
                <w:sz w:val="11"/>
              </w:rPr>
            </w:pPr>
            <w:r>
              <w:rPr>
                <w:b/>
                <w:spacing w:val="-2"/>
                <w:w w:val="105"/>
                <w:sz w:val="11"/>
              </w:rPr>
              <w:t>8,900</w:t>
            </w:r>
          </w:p>
        </w:tc>
      </w:tr>
      <w:tr>
        <w:trPr>
          <w:trHeight w:val="260" w:hRule="atLeast"/>
        </w:trPr>
        <w:tc>
          <w:tcPr>
            <w:tcW w:w="3154" w:type="dxa"/>
          </w:tcPr>
          <w:p>
            <w:pPr>
              <w:pStyle w:val="TableParagraph"/>
              <w:spacing w:before="109"/>
              <w:ind w:left="28"/>
              <w:rPr>
                <w:sz w:val="11"/>
              </w:rPr>
            </w:pPr>
            <w:r>
              <w:rPr>
                <w:sz w:val="11"/>
              </w:rPr>
              <w:t>Contract</w:t>
            </w:r>
            <w:r>
              <w:rPr>
                <w:spacing w:val="9"/>
                <w:sz w:val="11"/>
              </w:rPr>
              <w:t> </w:t>
            </w:r>
            <w:r>
              <w:rPr>
                <w:spacing w:val="-2"/>
                <w:sz w:val="11"/>
              </w:rPr>
              <w:t>liabilities</w:t>
            </w:r>
          </w:p>
        </w:tc>
        <w:tc>
          <w:tcPr>
            <w:tcW w:w="833" w:type="dxa"/>
          </w:tcPr>
          <w:p>
            <w:pPr>
              <w:pStyle w:val="TableParagraph"/>
              <w:spacing w:before="109"/>
              <w:ind w:left="11" w:right="51"/>
              <w:jc w:val="center"/>
              <w:rPr>
                <w:b/>
                <w:sz w:val="11"/>
              </w:rPr>
            </w:pPr>
            <w:r>
              <w:rPr>
                <w:b/>
                <w:spacing w:val="-10"/>
                <w:w w:val="105"/>
                <w:sz w:val="11"/>
              </w:rPr>
              <w:t>b</w:t>
            </w:r>
          </w:p>
        </w:tc>
        <w:tc>
          <w:tcPr>
            <w:tcW w:w="750" w:type="dxa"/>
          </w:tcPr>
          <w:p>
            <w:pPr>
              <w:pStyle w:val="TableParagraph"/>
              <w:spacing w:before="109"/>
              <w:ind w:right="85"/>
              <w:jc w:val="right"/>
              <w:rPr>
                <w:sz w:val="11"/>
              </w:rPr>
            </w:pPr>
            <w:r>
              <w:rPr>
                <w:spacing w:val="-2"/>
                <w:w w:val="105"/>
                <w:sz w:val="11"/>
              </w:rPr>
              <w:t>104,687</w:t>
            </w:r>
          </w:p>
        </w:tc>
        <w:tc>
          <w:tcPr>
            <w:tcW w:w="839" w:type="dxa"/>
          </w:tcPr>
          <w:p>
            <w:pPr>
              <w:pStyle w:val="TableParagraph"/>
              <w:spacing w:before="109"/>
              <w:ind w:left="14" w:right="72"/>
              <w:jc w:val="center"/>
              <w:rPr>
                <w:b/>
                <w:sz w:val="11"/>
              </w:rPr>
            </w:pPr>
            <w:r>
              <w:rPr>
                <w:b/>
                <w:spacing w:val="-10"/>
                <w:w w:val="105"/>
                <w:sz w:val="11"/>
              </w:rPr>
              <w:t>b</w:t>
            </w:r>
          </w:p>
        </w:tc>
        <w:tc>
          <w:tcPr>
            <w:tcW w:w="734" w:type="dxa"/>
          </w:tcPr>
          <w:p>
            <w:pPr>
              <w:pStyle w:val="TableParagraph"/>
              <w:spacing w:before="109"/>
              <w:ind w:right="54"/>
              <w:jc w:val="right"/>
              <w:rPr>
                <w:sz w:val="11"/>
              </w:rPr>
            </w:pPr>
            <w:r>
              <w:rPr>
                <w:spacing w:val="-2"/>
                <w:w w:val="105"/>
                <w:sz w:val="11"/>
              </w:rPr>
              <w:t>104,687</w:t>
            </w:r>
          </w:p>
        </w:tc>
      </w:tr>
      <w:tr>
        <w:trPr>
          <w:trHeight w:val="150" w:hRule="atLeast"/>
        </w:trPr>
        <w:tc>
          <w:tcPr>
            <w:tcW w:w="3154" w:type="dxa"/>
          </w:tcPr>
          <w:p>
            <w:pPr>
              <w:pStyle w:val="TableParagraph"/>
              <w:spacing w:line="108" w:lineRule="exact" w:before="23"/>
              <w:ind w:left="28"/>
              <w:rPr>
                <w:sz w:val="11"/>
              </w:rPr>
            </w:pPr>
            <w:r>
              <w:rPr>
                <w:spacing w:val="-2"/>
                <w:w w:val="105"/>
                <w:sz w:val="11"/>
              </w:rPr>
              <w:t>Other</w:t>
            </w:r>
            <w:r>
              <w:rPr>
                <w:spacing w:val="-1"/>
                <w:w w:val="105"/>
                <w:sz w:val="11"/>
              </w:rPr>
              <w:t> </w:t>
            </w:r>
            <w:r>
              <w:rPr>
                <w:spacing w:val="-2"/>
                <w:w w:val="105"/>
                <w:sz w:val="11"/>
              </w:rPr>
              <w:t>liabilities</w:t>
            </w:r>
          </w:p>
        </w:tc>
        <w:tc>
          <w:tcPr>
            <w:tcW w:w="833" w:type="dxa"/>
            <w:tcBorders>
              <w:bottom w:val="single" w:sz="6" w:space="0" w:color="000000"/>
            </w:tcBorders>
          </w:tcPr>
          <w:p>
            <w:pPr>
              <w:pStyle w:val="TableParagraph"/>
              <w:spacing w:line="108" w:lineRule="exact" w:before="23"/>
              <w:ind w:left="9" w:right="51"/>
              <w:jc w:val="center"/>
              <w:rPr>
                <w:b/>
                <w:sz w:val="11"/>
              </w:rPr>
            </w:pPr>
            <w:r>
              <w:rPr>
                <w:b/>
                <w:spacing w:val="-10"/>
                <w:w w:val="105"/>
                <w:sz w:val="11"/>
              </w:rPr>
              <w:t>c</w:t>
            </w:r>
          </w:p>
        </w:tc>
        <w:tc>
          <w:tcPr>
            <w:tcW w:w="750" w:type="dxa"/>
            <w:tcBorders>
              <w:bottom w:val="single" w:sz="6" w:space="0" w:color="000000"/>
            </w:tcBorders>
          </w:tcPr>
          <w:p>
            <w:pPr>
              <w:pStyle w:val="TableParagraph"/>
              <w:spacing w:line="108" w:lineRule="exact" w:before="23"/>
              <w:ind w:right="85"/>
              <w:jc w:val="right"/>
              <w:rPr>
                <w:sz w:val="11"/>
              </w:rPr>
            </w:pPr>
            <w:r>
              <w:rPr>
                <w:spacing w:val="-5"/>
                <w:w w:val="105"/>
                <w:sz w:val="11"/>
              </w:rPr>
              <w:t>571</w:t>
            </w:r>
          </w:p>
        </w:tc>
        <w:tc>
          <w:tcPr>
            <w:tcW w:w="839" w:type="dxa"/>
            <w:tcBorders>
              <w:bottom w:val="single" w:sz="6" w:space="0" w:color="000000"/>
            </w:tcBorders>
          </w:tcPr>
          <w:p>
            <w:pPr>
              <w:pStyle w:val="TableParagraph"/>
              <w:spacing w:line="108" w:lineRule="exact" w:before="23"/>
              <w:ind w:left="17" w:right="72"/>
              <w:jc w:val="center"/>
              <w:rPr>
                <w:b/>
                <w:sz w:val="11"/>
              </w:rPr>
            </w:pPr>
            <w:r>
              <w:rPr>
                <w:b/>
                <w:spacing w:val="-10"/>
                <w:w w:val="105"/>
                <w:sz w:val="11"/>
              </w:rPr>
              <w:t>c</w:t>
            </w:r>
          </w:p>
        </w:tc>
        <w:tc>
          <w:tcPr>
            <w:tcW w:w="734" w:type="dxa"/>
            <w:tcBorders>
              <w:bottom w:val="single" w:sz="6" w:space="0" w:color="000000"/>
            </w:tcBorders>
          </w:tcPr>
          <w:p>
            <w:pPr>
              <w:pStyle w:val="TableParagraph"/>
              <w:spacing w:line="108" w:lineRule="exact" w:before="23"/>
              <w:ind w:right="55"/>
              <w:jc w:val="right"/>
              <w:rPr>
                <w:sz w:val="11"/>
              </w:rPr>
            </w:pPr>
            <w:r>
              <w:rPr>
                <w:spacing w:val="-5"/>
                <w:w w:val="105"/>
                <w:sz w:val="11"/>
              </w:rPr>
              <w:t>571</w:t>
            </w:r>
          </w:p>
        </w:tc>
      </w:tr>
      <w:tr>
        <w:trPr>
          <w:trHeight w:val="267" w:hRule="atLeast"/>
        </w:trPr>
        <w:tc>
          <w:tcPr>
            <w:tcW w:w="3154" w:type="dxa"/>
          </w:tcPr>
          <w:p>
            <w:pPr>
              <w:pStyle w:val="TableParagraph"/>
              <w:spacing w:before="30"/>
              <w:ind w:left="28"/>
              <w:rPr>
                <w:b/>
                <w:sz w:val="11"/>
              </w:rPr>
            </w:pPr>
            <w:r>
              <w:rPr>
                <w:b/>
                <w:w w:val="105"/>
                <w:sz w:val="11"/>
              </w:rPr>
              <w:t>Total</w:t>
            </w:r>
            <w:r>
              <w:rPr>
                <w:b/>
                <w:spacing w:val="-8"/>
                <w:w w:val="105"/>
                <w:sz w:val="11"/>
              </w:rPr>
              <w:t> </w:t>
            </w:r>
            <w:r>
              <w:rPr>
                <w:b/>
                <w:spacing w:val="-2"/>
                <w:w w:val="105"/>
                <w:sz w:val="11"/>
              </w:rPr>
              <w:t>liabilities</w:t>
            </w:r>
          </w:p>
        </w:tc>
        <w:tc>
          <w:tcPr>
            <w:tcW w:w="833" w:type="dxa"/>
            <w:tcBorders>
              <w:top w:val="single" w:sz="6" w:space="0" w:color="000000"/>
            </w:tcBorders>
          </w:tcPr>
          <w:p>
            <w:pPr>
              <w:pStyle w:val="TableParagraph"/>
              <w:rPr>
                <w:rFonts w:ascii="Times New Roman"/>
                <w:sz w:val="10"/>
              </w:rPr>
            </w:pPr>
          </w:p>
        </w:tc>
        <w:tc>
          <w:tcPr>
            <w:tcW w:w="750" w:type="dxa"/>
            <w:tcBorders>
              <w:top w:val="single" w:sz="6" w:space="0" w:color="000000"/>
            </w:tcBorders>
          </w:tcPr>
          <w:p>
            <w:pPr>
              <w:pStyle w:val="TableParagraph"/>
              <w:spacing w:before="30"/>
              <w:ind w:right="85"/>
              <w:jc w:val="right"/>
              <w:rPr>
                <w:b/>
                <w:sz w:val="11"/>
              </w:rPr>
            </w:pPr>
            <w:r>
              <w:rPr>
                <w:b/>
                <w:spacing w:val="-2"/>
                <w:w w:val="105"/>
                <w:sz w:val="11"/>
              </w:rPr>
              <w:t>105,258</w:t>
            </w:r>
          </w:p>
        </w:tc>
        <w:tc>
          <w:tcPr>
            <w:tcW w:w="839" w:type="dxa"/>
            <w:tcBorders>
              <w:top w:val="single" w:sz="6" w:space="0" w:color="000000"/>
            </w:tcBorders>
          </w:tcPr>
          <w:p>
            <w:pPr>
              <w:pStyle w:val="TableParagraph"/>
              <w:rPr>
                <w:rFonts w:ascii="Times New Roman"/>
                <w:sz w:val="10"/>
              </w:rPr>
            </w:pPr>
          </w:p>
        </w:tc>
        <w:tc>
          <w:tcPr>
            <w:tcW w:w="734" w:type="dxa"/>
            <w:tcBorders>
              <w:top w:val="single" w:sz="6" w:space="0" w:color="000000"/>
            </w:tcBorders>
          </w:tcPr>
          <w:p>
            <w:pPr>
              <w:pStyle w:val="TableParagraph"/>
              <w:spacing w:before="30"/>
              <w:ind w:right="55"/>
              <w:jc w:val="right"/>
              <w:rPr>
                <w:b/>
                <w:sz w:val="11"/>
              </w:rPr>
            </w:pPr>
            <w:r>
              <w:rPr>
                <w:b/>
                <w:spacing w:val="-2"/>
                <w:w w:val="105"/>
                <w:sz w:val="11"/>
              </w:rPr>
              <w:t>105,258</w:t>
            </w:r>
          </w:p>
        </w:tc>
      </w:tr>
      <w:tr>
        <w:trPr>
          <w:trHeight w:val="237" w:hRule="atLeast"/>
        </w:trPr>
        <w:tc>
          <w:tcPr>
            <w:tcW w:w="3154" w:type="dxa"/>
          </w:tcPr>
          <w:p>
            <w:pPr>
              <w:pStyle w:val="TableParagraph"/>
              <w:spacing w:line="108" w:lineRule="exact" w:before="109"/>
              <w:ind w:left="28"/>
              <w:rPr>
                <w:sz w:val="11"/>
              </w:rPr>
            </w:pPr>
            <w:r>
              <w:rPr>
                <w:sz w:val="11"/>
              </w:rPr>
              <w:t>Total</w:t>
            </w:r>
            <w:r>
              <w:rPr>
                <w:spacing w:val="4"/>
                <w:sz w:val="11"/>
              </w:rPr>
              <w:t> </w:t>
            </w:r>
            <w:r>
              <w:rPr>
                <w:sz w:val="11"/>
              </w:rPr>
              <w:t>adjustment</w:t>
            </w:r>
            <w:r>
              <w:rPr>
                <w:spacing w:val="6"/>
                <w:sz w:val="11"/>
              </w:rPr>
              <w:t> </w:t>
            </w:r>
            <w:r>
              <w:rPr>
                <w:sz w:val="11"/>
              </w:rPr>
              <w:t>on</w:t>
            </w:r>
            <w:r>
              <w:rPr>
                <w:spacing w:val="5"/>
                <w:sz w:val="11"/>
              </w:rPr>
              <w:t> </w:t>
            </w:r>
            <w:r>
              <w:rPr>
                <w:spacing w:val="-2"/>
                <w:sz w:val="11"/>
              </w:rPr>
              <w:t>equity</w:t>
            </w:r>
          </w:p>
        </w:tc>
        <w:tc>
          <w:tcPr>
            <w:tcW w:w="833" w:type="dxa"/>
            <w:tcBorders>
              <w:bottom w:val="single" w:sz="6" w:space="0" w:color="000000"/>
            </w:tcBorders>
          </w:tcPr>
          <w:p>
            <w:pPr>
              <w:pStyle w:val="TableParagraph"/>
              <w:rPr>
                <w:rFonts w:ascii="Times New Roman"/>
                <w:sz w:val="10"/>
              </w:rPr>
            </w:pPr>
          </w:p>
        </w:tc>
        <w:tc>
          <w:tcPr>
            <w:tcW w:w="750" w:type="dxa"/>
            <w:tcBorders>
              <w:bottom w:val="single" w:sz="6" w:space="0" w:color="000000"/>
            </w:tcBorders>
          </w:tcPr>
          <w:p>
            <w:pPr>
              <w:pStyle w:val="TableParagraph"/>
              <w:spacing w:line="108" w:lineRule="exact" w:before="109"/>
              <w:ind w:right="48"/>
              <w:jc w:val="right"/>
              <w:rPr>
                <w:sz w:val="11"/>
              </w:rPr>
            </w:pPr>
            <w:r>
              <w:rPr>
                <w:spacing w:val="-2"/>
                <w:w w:val="105"/>
                <w:sz w:val="11"/>
              </w:rPr>
              <w:t>(96,358)</w:t>
            </w:r>
          </w:p>
        </w:tc>
        <w:tc>
          <w:tcPr>
            <w:tcW w:w="839" w:type="dxa"/>
            <w:tcBorders>
              <w:bottom w:val="single" w:sz="6" w:space="0" w:color="000000"/>
            </w:tcBorders>
          </w:tcPr>
          <w:p>
            <w:pPr>
              <w:pStyle w:val="TableParagraph"/>
              <w:rPr>
                <w:rFonts w:ascii="Times New Roman"/>
                <w:sz w:val="10"/>
              </w:rPr>
            </w:pPr>
          </w:p>
        </w:tc>
        <w:tc>
          <w:tcPr>
            <w:tcW w:w="734" w:type="dxa"/>
            <w:tcBorders>
              <w:bottom w:val="single" w:sz="6" w:space="0" w:color="000000"/>
            </w:tcBorders>
          </w:tcPr>
          <w:p>
            <w:pPr>
              <w:pStyle w:val="TableParagraph"/>
              <w:spacing w:line="108" w:lineRule="exact" w:before="109"/>
              <w:ind w:right="18"/>
              <w:jc w:val="right"/>
              <w:rPr>
                <w:sz w:val="11"/>
              </w:rPr>
            </w:pPr>
            <w:r>
              <w:rPr>
                <w:spacing w:val="-2"/>
                <w:w w:val="105"/>
                <w:sz w:val="11"/>
              </w:rPr>
              <w:t>(96,358)</w:t>
            </w:r>
          </w:p>
        </w:tc>
      </w:tr>
      <w:tr>
        <w:trPr>
          <w:trHeight w:val="158" w:hRule="atLeast"/>
        </w:trPr>
        <w:tc>
          <w:tcPr>
            <w:tcW w:w="3154" w:type="dxa"/>
          </w:tcPr>
          <w:p>
            <w:pPr>
              <w:pStyle w:val="TableParagraph"/>
              <w:spacing w:line="108" w:lineRule="exact" w:before="30"/>
              <w:ind w:left="28"/>
              <w:rPr>
                <w:b/>
                <w:sz w:val="11"/>
              </w:rPr>
            </w:pPr>
            <w:r>
              <w:rPr>
                <w:b/>
                <w:sz w:val="11"/>
              </w:rPr>
              <w:t>Retained</w:t>
            </w:r>
            <w:r>
              <w:rPr>
                <w:b/>
                <w:spacing w:val="6"/>
                <w:sz w:val="11"/>
              </w:rPr>
              <w:t> </w:t>
            </w:r>
            <w:r>
              <w:rPr>
                <w:b/>
                <w:spacing w:val="-2"/>
                <w:sz w:val="11"/>
              </w:rPr>
              <w:t>earnings</w:t>
            </w:r>
          </w:p>
        </w:tc>
        <w:tc>
          <w:tcPr>
            <w:tcW w:w="833" w:type="dxa"/>
            <w:tcBorders>
              <w:top w:val="single" w:sz="6" w:space="0" w:color="000000"/>
              <w:bottom w:val="single" w:sz="6" w:space="0" w:color="000000"/>
            </w:tcBorders>
          </w:tcPr>
          <w:p>
            <w:pPr>
              <w:pStyle w:val="TableParagraph"/>
              <w:rPr>
                <w:rFonts w:ascii="Times New Roman"/>
                <w:sz w:val="10"/>
              </w:rPr>
            </w:pPr>
          </w:p>
        </w:tc>
        <w:tc>
          <w:tcPr>
            <w:tcW w:w="750" w:type="dxa"/>
            <w:tcBorders>
              <w:top w:val="single" w:sz="6" w:space="0" w:color="000000"/>
              <w:bottom w:val="single" w:sz="6" w:space="0" w:color="000000"/>
            </w:tcBorders>
          </w:tcPr>
          <w:p>
            <w:pPr>
              <w:pStyle w:val="TableParagraph"/>
              <w:spacing w:line="108" w:lineRule="exact" w:before="30"/>
              <w:ind w:right="48"/>
              <w:jc w:val="right"/>
              <w:rPr>
                <w:b/>
                <w:sz w:val="11"/>
              </w:rPr>
            </w:pPr>
            <w:r>
              <w:rPr>
                <w:b/>
                <w:spacing w:val="-2"/>
                <w:w w:val="105"/>
                <w:sz w:val="11"/>
              </w:rPr>
              <w:t>(96,358)</w:t>
            </w:r>
          </w:p>
        </w:tc>
        <w:tc>
          <w:tcPr>
            <w:tcW w:w="839" w:type="dxa"/>
            <w:tcBorders>
              <w:top w:val="single" w:sz="6" w:space="0" w:color="000000"/>
              <w:bottom w:val="single" w:sz="6" w:space="0" w:color="000000"/>
            </w:tcBorders>
          </w:tcPr>
          <w:p>
            <w:pPr>
              <w:pStyle w:val="TableParagraph"/>
              <w:rPr>
                <w:rFonts w:ascii="Times New Roman"/>
                <w:sz w:val="10"/>
              </w:rPr>
            </w:pPr>
          </w:p>
        </w:tc>
        <w:tc>
          <w:tcPr>
            <w:tcW w:w="734" w:type="dxa"/>
            <w:tcBorders>
              <w:top w:val="single" w:sz="6" w:space="0" w:color="000000"/>
              <w:bottom w:val="single" w:sz="6" w:space="0" w:color="000000"/>
            </w:tcBorders>
          </w:tcPr>
          <w:p>
            <w:pPr>
              <w:pStyle w:val="TableParagraph"/>
              <w:spacing w:line="108" w:lineRule="exact" w:before="30"/>
              <w:ind w:right="18"/>
              <w:jc w:val="right"/>
              <w:rPr>
                <w:b/>
                <w:sz w:val="11"/>
              </w:rPr>
            </w:pPr>
            <w:r>
              <w:rPr>
                <w:b/>
                <w:spacing w:val="-2"/>
                <w:w w:val="105"/>
                <w:sz w:val="11"/>
              </w:rPr>
              <w:t>(96,358)</w:t>
            </w:r>
          </w:p>
        </w:tc>
      </w:tr>
    </w:tbl>
    <w:p>
      <w:pPr>
        <w:spacing w:line="240" w:lineRule="auto" w:before="22"/>
        <w:rPr>
          <w:b/>
          <w:sz w:val="11"/>
        </w:rPr>
      </w:pPr>
    </w:p>
    <w:p>
      <w:pPr>
        <w:spacing w:line="273" w:lineRule="auto" w:before="0"/>
        <w:ind w:left="665" w:right="1723" w:firstLine="0"/>
        <w:jc w:val="both"/>
        <w:rPr>
          <w:sz w:val="11"/>
        </w:rPr>
      </w:pPr>
      <w:r>
        <w:rPr>
          <w:w w:val="105"/>
          <w:sz w:val="11"/>
        </w:rPr>
        <w:t>Set</w:t>
      </w:r>
      <w:r>
        <w:rPr>
          <w:spacing w:val="-9"/>
          <w:w w:val="105"/>
          <w:sz w:val="11"/>
        </w:rPr>
        <w:t> </w:t>
      </w:r>
      <w:r>
        <w:rPr>
          <w:w w:val="105"/>
          <w:sz w:val="11"/>
        </w:rPr>
        <w:t>out</w:t>
      </w:r>
      <w:r>
        <w:rPr>
          <w:spacing w:val="-8"/>
          <w:w w:val="105"/>
          <w:sz w:val="11"/>
        </w:rPr>
        <w:t> </w:t>
      </w:r>
      <w:r>
        <w:rPr>
          <w:w w:val="105"/>
          <w:sz w:val="11"/>
        </w:rPr>
        <w:t>below</w:t>
      </w:r>
      <w:r>
        <w:rPr>
          <w:spacing w:val="-8"/>
          <w:w w:val="105"/>
          <w:sz w:val="11"/>
        </w:rPr>
        <w:t> </w:t>
      </w:r>
      <w:r>
        <w:rPr>
          <w:w w:val="105"/>
          <w:sz w:val="11"/>
        </w:rPr>
        <w:t>are</w:t>
      </w:r>
      <w:r>
        <w:rPr>
          <w:spacing w:val="-8"/>
          <w:w w:val="105"/>
          <w:sz w:val="11"/>
        </w:rPr>
        <w:t> </w:t>
      </w:r>
      <w:r>
        <w:rPr>
          <w:w w:val="105"/>
          <w:sz w:val="11"/>
        </w:rPr>
        <w:t>the</w:t>
      </w:r>
      <w:r>
        <w:rPr>
          <w:spacing w:val="-8"/>
          <w:w w:val="105"/>
          <w:sz w:val="11"/>
        </w:rPr>
        <w:t> </w:t>
      </w:r>
      <w:r>
        <w:rPr>
          <w:w w:val="105"/>
          <w:sz w:val="11"/>
        </w:rPr>
        <w:t>amounts</w:t>
      </w:r>
      <w:r>
        <w:rPr>
          <w:spacing w:val="-8"/>
          <w:w w:val="105"/>
          <w:sz w:val="11"/>
        </w:rPr>
        <w:t> </w:t>
      </w:r>
      <w:r>
        <w:rPr>
          <w:w w:val="105"/>
          <w:sz w:val="11"/>
        </w:rPr>
        <w:t>by</w:t>
      </w:r>
      <w:r>
        <w:rPr>
          <w:spacing w:val="-8"/>
          <w:w w:val="105"/>
          <w:sz w:val="11"/>
        </w:rPr>
        <w:t> </w:t>
      </w:r>
      <w:r>
        <w:rPr>
          <w:w w:val="105"/>
          <w:sz w:val="11"/>
        </w:rPr>
        <w:t>which</w:t>
      </w:r>
      <w:r>
        <w:rPr>
          <w:spacing w:val="-8"/>
          <w:w w:val="105"/>
          <w:sz w:val="11"/>
        </w:rPr>
        <w:t> </w:t>
      </w:r>
      <w:r>
        <w:rPr>
          <w:w w:val="105"/>
          <w:sz w:val="11"/>
        </w:rPr>
        <w:t>each</w:t>
      </w:r>
      <w:r>
        <w:rPr>
          <w:spacing w:val="-8"/>
          <w:w w:val="105"/>
          <w:sz w:val="11"/>
        </w:rPr>
        <w:t> </w:t>
      </w:r>
      <w:r>
        <w:rPr>
          <w:w w:val="105"/>
          <w:sz w:val="11"/>
        </w:rPr>
        <w:t>financial</w:t>
      </w:r>
      <w:r>
        <w:rPr>
          <w:spacing w:val="-8"/>
          <w:w w:val="105"/>
          <w:sz w:val="11"/>
        </w:rPr>
        <w:t> </w:t>
      </w:r>
      <w:r>
        <w:rPr>
          <w:w w:val="105"/>
          <w:sz w:val="11"/>
        </w:rPr>
        <w:t>statement</w:t>
      </w:r>
      <w:r>
        <w:rPr>
          <w:spacing w:val="-8"/>
          <w:w w:val="105"/>
          <w:sz w:val="11"/>
        </w:rPr>
        <w:t> </w:t>
      </w:r>
      <w:r>
        <w:rPr>
          <w:w w:val="105"/>
          <w:sz w:val="11"/>
        </w:rPr>
        <w:t>line</w:t>
      </w:r>
      <w:r>
        <w:rPr>
          <w:spacing w:val="-8"/>
          <w:w w:val="105"/>
          <w:sz w:val="11"/>
        </w:rPr>
        <w:t> </w:t>
      </w:r>
      <w:r>
        <w:rPr>
          <w:w w:val="105"/>
          <w:sz w:val="11"/>
        </w:rPr>
        <w:t>item</w:t>
      </w:r>
      <w:r>
        <w:rPr>
          <w:spacing w:val="-6"/>
          <w:w w:val="105"/>
          <w:sz w:val="11"/>
        </w:rPr>
        <w:t> </w:t>
      </w:r>
      <w:r>
        <w:rPr>
          <w:w w:val="105"/>
          <w:sz w:val="11"/>
        </w:rPr>
        <w:t>is</w:t>
      </w:r>
      <w:r>
        <w:rPr>
          <w:spacing w:val="-7"/>
          <w:w w:val="105"/>
          <w:sz w:val="11"/>
        </w:rPr>
        <w:t> </w:t>
      </w:r>
      <w:r>
        <w:rPr>
          <w:w w:val="105"/>
          <w:sz w:val="11"/>
        </w:rPr>
        <w:t>affected</w:t>
      </w:r>
      <w:r>
        <w:rPr>
          <w:spacing w:val="-7"/>
          <w:w w:val="105"/>
          <w:sz w:val="11"/>
        </w:rPr>
        <w:t> </w:t>
      </w:r>
      <w:r>
        <w:rPr>
          <w:w w:val="105"/>
          <w:sz w:val="11"/>
        </w:rPr>
        <w:t>as</w:t>
      </w:r>
      <w:r>
        <w:rPr>
          <w:spacing w:val="-7"/>
          <w:w w:val="105"/>
          <w:sz w:val="11"/>
        </w:rPr>
        <w:t> </w:t>
      </w:r>
      <w:r>
        <w:rPr>
          <w:w w:val="105"/>
          <w:sz w:val="11"/>
        </w:rPr>
        <w:t>at</w:t>
      </w:r>
      <w:r>
        <w:rPr>
          <w:spacing w:val="-7"/>
          <w:w w:val="105"/>
          <w:sz w:val="11"/>
        </w:rPr>
        <w:t> </w:t>
      </w:r>
      <w:r>
        <w:rPr>
          <w:w w:val="105"/>
          <w:sz w:val="11"/>
        </w:rPr>
        <w:t>and</w:t>
      </w:r>
      <w:r>
        <w:rPr>
          <w:spacing w:val="-8"/>
          <w:w w:val="105"/>
          <w:sz w:val="11"/>
        </w:rPr>
        <w:t> </w:t>
      </w:r>
      <w:r>
        <w:rPr>
          <w:w w:val="105"/>
          <w:sz w:val="11"/>
        </w:rPr>
        <w:t>for</w:t>
      </w:r>
      <w:r>
        <w:rPr>
          <w:spacing w:val="-7"/>
          <w:w w:val="105"/>
          <w:sz w:val="11"/>
        </w:rPr>
        <w:t> </w:t>
      </w:r>
      <w:r>
        <w:rPr>
          <w:w w:val="105"/>
          <w:sz w:val="11"/>
        </w:rPr>
        <w:t>the</w:t>
      </w:r>
      <w:r>
        <w:rPr>
          <w:spacing w:val="-8"/>
          <w:w w:val="105"/>
          <w:sz w:val="11"/>
        </w:rPr>
        <w:t> </w:t>
      </w:r>
      <w:r>
        <w:rPr>
          <w:w w:val="105"/>
          <w:sz w:val="11"/>
        </w:rPr>
        <w:t>year</w:t>
      </w:r>
      <w:r>
        <w:rPr>
          <w:spacing w:val="-6"/>
          <w:w w:val="105"/>
          <w:sz w:val="11"/>
        </w:rPr>
        <w:t> </w:t>
      </w:r>
      <w:r>
        <w:rPr>
          <w:w w:val="105"/>
          <w:sz w:val="11"/>
        </w:rPr>
        <w:t>ended</w:t>
      </w:r>
      <w:r>
        <w:rPr>
          <w:spacing w:val="-9"/>
          <w:w w:val="105"/>
          <w:sz w:val="11"/>
        </w:rPr>
        <w:t> </w:t>
      </w:r>
      <w:r>
        <w:rPr>
          <w:w w:val="105"/>
          <w:sz w:val="11"/>
        </w:rPr>
        <w:t>31</w:t>
      </w:r>
      <w:r>
        <w:rPr>
          <w:spacing w:val="-6"/>
          <w:w w:val="105"/>
          <w:sz w:val="11"/>
        </w:rPr>
        <w:t> </w:t>
      </w:r>
      <w:r>
        <w:rPr>
          <w:w w:val="105"/>
          <w:sz w:val="11"/>
        </w:rPr>
        <w:t>December</w:t>
      </w:r>
      <w:r>
        <w:rPr>
          <w:spacing w:val="-8"/>
          <w:w w:val="105"/>
          <w:sz w:val="11"/>
        </w:rPr>
        <w:t> </w:t>
      </w:r>
      <w:r>
        <w:rPr>
          <w:w w:val="105"/>
          <w:sz w:val="11"/>
        </w:rPr>
        <w:t>2020</w:t>
      </w:r>
      <w:r>
        <w:rPr>
          <w:spacing w:val="-7"/>
          <w:w w:val="105"/>
          <w:sz w:val="11"/>
        </w:rPr>
        <w:t> </w:t>
      </w:r>
      <w:r>
        <w:rPr>
          <w:w w:val="105"/>
          <w:sz w:val="11"/>
        </w:rPr>
        <w:t>as</w:t>
      </w:r>
      <w:r>
        <w:rPr>
          <w:spacing w:val="-7"/>
          <w:w w:val="105"/>
          <w:sz w:val="11"/>
        </w:rPr>
        <w:t> </w:t>
      </w:r>
      <w:r>
        <w:rPr>
          <w:w w:val="105"/>
          <w:sz w:val="11"/>
        </w:rPr>
        <w:t>a</w:t>
      </w:r>
      <w:r>
        <w:rPr>
          <w:spacing w:val="-7"/>
          <w:w w:val="105"/>
          <w:sz w:val="11"/>
        </w:rPr>
        <w:t> </w:t>
      </w:r>
      <w:r>
        <w:rPr>
          <w:w w:val="105"/>
          <w:sz w:val="11"/>
        </w:rPr>
        <w:t>result</w:t>
      </w:r>
      <w:r>
        <w:rPr>
          <w:spacing w:val="-8"/>
          <w:w w:val="105"/>
          <w:sz w:val="11"/>
        </w:rPr>
        <w:t> </w:t>
      </w:r>
      <w:r>
        <w:rPr>
          <w:w w:val="105"/>
          <w:sz w:val="11"/>
        </w:rPr>
        <w:t>of</w:t>
      </w:r>
      <w:r>
        <w:rPr>
          <w:spacing w:val="-7"/>
          <w:w w:val="105"/>
          <w:sz w:val="11"/>
        </w:rPr>
        <w:t> </w:t>
      </w:r>
      <w:r>
        <w:rPr>
          <w:w w:val="105"/>
          <w:sz w:val="11"/>
        </w:rPr>
        <w:t>the</w:t>
      </w:r>
      <w:r>
        <w:rPr>
          <w:spacing w:val="-8"/>
          <w:w w:val="105"/>
          <w:sz w:val="11"/>
        </w:rPr>
        <w:t> </w:t>
      </w:r>
      <w:r>
        <w:rPr>
          <w:w w:val="105"/>
          <w:sz w:val="11"/>
        </w:rPr>
        <w:t>adoption</w:t>
      </w:r>
      <w:r>
        <w:rPr>
          <w:spacing w:val="-7"/>
          <w:w w:val="105"/>
          <w:sz w:val="11"/>
        </w:rPr>
        <w:t> </w:t>
      </w:r>
      <w:r>
        <w:rPr>
          <w:w w:val="105"/>
          <w:sz w:val="11"/>
        </w:rPr>
        <w:t>of</w:t>
      </w:r>
      <w:r>
        <w:rPr>
          <w:spacing w:val="-8"/>
          <w:w w:val="105"/>
          <w:sz w:val="11"/>
        </w:rPr>
        <w:t> </w:t>
      </w:r>
      <w:r>
        <w:rPr>
          <w:w w:val="105"/>
          <w:sz w:val="11"/>
        </w:rPr>
        <w:t>AASB15</w:t>
      </w:r>
      <w:r>
        <w:rPr>
          <w:spacing w:val="40"/>
          <w:w w:val="105"/>
          <w:sz w:val="11"/>
        </w:rPr>
        <w:t> </w:t>
      </w:r>
      <w:r>
        <w:rPr>
          <w:w w:val="105"/>
          <w:sz w:val="11"/>
        </w:rPr>
        <w:t>and</w:t>
      </w:r>
      <w:r>
        <w:rPr>
          <w:spacing w:val="-6"/>
          <w:w w:val="105"/>
          <w:sz w:val="11"/>
        </w:rPr>
        <w:t> </w:t>
      </w:r>
      <w:r>
        <w:rPr>
          <w:w w:val="105"/>
          <w:sz w:val="11"/>
        </w:rPr>
        <w:t>AASB1058</w:t>
      </w:r>
      <w:r>
        <w:rPr>
          <w:spacing w:val="-6"/>
          <w:w w:val="105"/>
          <w:sz w:val="11"/>
        </w:rPr>
        <w:t> </w:t>
      </w:r>
      <w:r>
        <w:rPr>
          <w:w w:val="105"/>
          <w:sz w:val="11"/>
        </w:rPr>
        <w:t>in</w:t>
      </w:r>
      <w:r>
        <w:rPr>
          <w:spacing w:val="-6"/>
          <w:w w:val="105"/>
          <w:sz w:val="11"/>
        </w:rPr>
        <w:t> </w:t>
      </w:r>
      <w:r>
        <w:rPr>
          <w:w w:val="105"/>
          <w:sz w:val="11"/>
        </w:rPr>
        <w:t>relation</w:t>
      </w:r>
      <w:r>
        <w:rPr>
          <w:spacing w:val="-6"/>
          <w:w w:val="105"/>
          <w:sz w:val="11"/>
        </w:rPr>
        <w:t> </w:t>
      </w:r>
      <w:r>
        <w:rPr>
          <w:w w:val="105"/>
          <w:sz w:val="11"/>
        </w:rPr>
        <w:t>to</w:t>
      </w:r>
      <w:r>
        <w:rPr>
          <w:spacing w:val="-6"/>
          <w:w w:val="105"/>
          <w:sz w:val="11"/>
        </w:rPr>
        <w:t> </w:t>
      </w:r>
      <w:r>
        <w:rPr>
          <w:w w:val="105"/>
          <w:sz w:val="11"/>
        </w:rPr>
        <w:t>research</w:t>
      </w:r>
      <w:r>
        <w:rPr>
          <w:spacing w:val="-6"/>
          <w:w w:val="105"/>
          <w:sz w:val="11"/>
        </w:rPr>
        <w:t> </w:t>
      </w:r>
      <w:r>
        <w:rPr>
          <w:w w:val="105"/>
          <w:sz w:val="11"/>
        </w:rPr>
        <w:t>grants.</w:t>
      </w:r>
      <w:r>
        <w:rPr>
          <w:spacing w:val="-6"/>
          <w:w w:val="105"/>
          <w:sz w:val="11"/>
        </w:rPr>
        <w:t> </w:t>
      </w:r>
      <w:r>
        <w:rPr>
          <w:w w:val="105"/>
          <w:sz w:val="11"/>
        </w:rPr>
        <w:t>The</w:t>
      </w:r>
      <w:r>
        <w:rPr>
          <w:spacing w:val="-6"/>
          <w:w w:val="105"/>
          <w:sz w:val="11"/>
        </w:rPr>
        <w:t> </w:t>
      </w:r>
      <w:r>
        <w:rPr>
          <w:w w:val="105"/>
          <w:sz w:val="11"/>
        </w:rPr>
        <w:t>first</w:t>
      </w:r>
      <w:r>
        <w:rPr>
          <w:spacing w:val="-6"/>
          <w:w w:val="105"/>
          <w:sz w:val="11"/>
        </w:rPr>
        <w:t> </w:t>
      </w:r>
      <w:r>
        <w:rPr>
          <w:w w:val="105"/>
          <w:sz w:val="11"/>
        </w:rPr>
        <w:t>column</w:t>
      </w:r>
      <w:r>
        <w:rPr>
          <w:spacing w:val="-6"/>
          <w:w w:val="105"/>
          <w:sz w:val="11"/>
        </w:rPr>
        <w:t> </w:t>
      </w:r>
      <w:r>
        <w:rPr>
          <w:w w:val="105"/>
          <w:sz w:val="11"/>
        </w:rPr>
        <w:t>shows</w:t>
      </w:r>
      <w:r>
        <w:rPr>
          <w:spacing w:val="-5"/>
          <w:w w:val="105"/>
          <w:sz w:val="11"/>
        </w:rPr>
        <w:t> </w:t>
      </w:r>
      <w:r>
        <w:rPr>
          <w:w w:val="105"/>
          <w:sz w:val="11"/>
        </w:rPr>
        <w:t>amounts</w:t>
      </w:r>
      <w:r>
        <w:rPr>
          <w:spacing w:val="-5"/>
          <w:w w:val="105"/>
          <w:sz w:val="11"/>
        </w:rPr>
        <w:t> </w:t>
      </w:r>
      <w:r>
        <w:rPr>
          <w:w w:val="105"/>
          <w:sz w:val="11"/>
        </w:rPr>
        <w:t>prepared</w:t>
      </w:r>
      <w:r>
        <w:rPr>
          <w:spacing w:val="-6"/>
          <w:w w:val="105"/>
          <w:sz w:val="11"/>
        </w:rPr>
        <w:t> </w:t>
      </w:r>
      <w:r>
        <w:rPr>
          <w:w w:val="105"/>
          <w:sz w:val="11"/>
        </w:rPr>
        <w:t>under</w:t>
      </w:r>
      <w:r>
        <w:rPr>
          <w:spacing w:val="-6"/>
          <w:w w:val="105"/>
          <w:sz w:val="11"/>
        </w:rPr>
        <w:t> </w:t>
      </w:r>
      <w:r>
        <w:rPr>
          <w:w w:val="105"/>
          <w:sz w:val="11"/>
        </w:rPr>
        <w:t>AASB15</w:t>
      </w:r>
      <w:r>
        <w:rPr>
          <w:spacing w:val="-6"/>
          <w:w w:val="105"/>
          <w:sz w:val="11"/>
        </w:rPr>
        <w:t> </w:t>
      </w:r>
      <w:r>
        <w:rPr>
          <w:w w:val="105"/>
          <w:sz w:val="11"/>
        </w:rPr>
        <w:t>and</w:t>
      </w:r>
      <w:r>
        <w:rPr>
          <w:spacing w:val="-9"/>
          <w:w w:val="105"/>
          <w:sz w:val="11"/>
        </w:rPr>
        <w:t> </w:t>
      </w:r>
      <w:r>
        <w:rPr>
          <w:w w:val="105"/>
          <w:sz w:val="11"/>
        </w:rPr>
        <w:t>AASB1058</w:t>
      </w:r>
      <w:r>
        <w:rPr>
          <w:spacing w:val="-5"/>
          <w:w w:val="105"/>
          <w:sz w:val="11"/>
        </w:rPr>
        <w:t> </w:t>
      </w:r>
      <w:r>
        <w:rPr>
          <w:w w:val="105"/>
          <w:sz w:val="11"/>
        </w:rPr>
        <w:t>for</w:t>
      </w:r>
      <w:r>
        <w:rPr>
          <w:spacing w:val="-8"/>
          <w:w w:val="105"/>
          <w:sz w:val="11"/>
        </w:rPr>
        <w:t> </w:t>
      </w:r>
      <w:r>
        <w:rPr>
          <w:w w:val="105"/>
          <w:sz w:val="11"/>
        </w:rPr>
        <w:t>research</w:t>
      </w:r>
      <w:r>
        <w:rPr>
          <w:spacing w:val="-6"/>
          <w:w w:val="105"/>
          <w:sz w:val="11"/>
        </w:rPr>
        <w:t> </w:t>
      </w:r>
      <w:r>
        <w:rPr>
          <w:w w:val="105"/>
          <w:sz w:val="11"/>
        </w:rPr>
        <w:t>grants</w:t>
      </w:r>
      <w:r>
        <w:rPr>
          <w:spacing w:val="-7"/>
          <w:w w:val="105"/>
          <w:sz w:val="11"/>
        </w:rPr>
        <w:t> </w:t>
      </w:r>
      <w:r>
        <w:rPr>
          <w:w w:val="105"/>
          <w:sz w:val="11"/>
        </w:rPr>
        <w:t>and</w:t>
      </w:r>
      <w:r>
        <w:rPr>
          <w:spacing w:val="-6"/>
          <w:w w:val="105"/>
          <w:sz w:val="11"/>
        </w:rPr>
        <w:t> </w:t>
      </w:r>
      <w:r>
        <w:rPr>
          <w:w w:val="105"/>
          <w:sz w:val="11"/>
        </w:rPr>
        <w:t>the</w:t>
      </w:r>
      <w:r>
        <w:rPr>
          <w:spacing w:val="-8"/>
          <w:w w:val="105"/>
          <w:sz w:val="11"/>
        </w:rPr>
        <w:t> </w:t>
      </w:r>
      <w:r>
        <w:rPr>
          <w:w w:val="105"/>
          <w:sz w:val="11"/>
        </w:rPr>
        <w:t>second</w:t>
      </w:r>
      <w:r>
        <w:rPr>
          <w:spacing w:val="-6"/>
          <w:w w:val="105"/>
          <w:sz w:val="11"/>
        </w:rPr>
        <w:t> </w:t>
      </w:r>
      <w:r>
        <w:rPr>
          <w:w w:val="105"/>
          <w:sz w:val="11"/>
        </w:rPr>
        <w:t>column</w:t>
      </w:r>
      <w:r>
        <w:rPr>
          <w:spacing w:val="-8"/>
          <w:w w:val="105"/>
          <w:sz w:val="11"/>
        </w:rPr>
        <w:t> </w:t>
      </w:r>
      <w:r>
        <w:rPr>
          <w:w w:val="105"/>
          <w:sz w:val="11"/>
        </w:rPr>
        <w:t>shows</w:t>
      </w:r>
      <w:r>
        <w:rPr>
          <w:spacing w:val="40"/>
          <w:w w:val="105"/>
          <w:sz w:val="11"/>
        </w:rPr>
        <w:t> </w:t>
      </w:r>
      <w:r>
        <w:rPr>
          <w:w w:val="105"/>
          <w:sz w:val="11"/>
        </w:rPr>
        <w:t>what</w:t>
      </w:r>
      <w:r>
        <w:rPr>
          <w:spacing w:val="-4"/>
          <w:w w:val="105"/>
          <w:sz w:val="11"/>
        </w:rPr>
        <w:t> </w:t>
      </w:r>
      <w:r>
        <w:rPr>
          <w:w w:val="105"/>
          <w:sz w:val="11"/>
        </w:rPr>
        <w:t>the</w:t>
      </w:r>
      <w:r>
        <w:rPr>
          <w:spacing w:val="-5"/>
          <w:w w:val="105"/>
          <w:sz w:val="11"/>
        </w:rPr>
        <w:t> </w:t>
      </w:r>
      <w:r>
        <w:rPr>
          <w:w w:val="105"/>
          <w:sz w:val="11"/>
        </w:rPr>
        <w:t>amounts</w:t>
      </w:r>
      <w:r>
        <w:rPr>
          <w:spacing w:val="-3"/>
          <w:w w:val="105"/>
          <w:sz w:val="11"/>
        </w:rPr>
        <w:t> </w:t>
      </w:r>
      <w:r>
        <w:rPr>
          <w:w w:val="105"/>
          <w:sz w:val="11"/>
        </w:rPr>
        <w:t>would</w:t>
      </w:r>
      <w:r>
        <w:rPr>
          <w:spacing w:val="-5"/>
          <w:w w:val="105"/>
          <w:sz w:val="11"/>
        </w:rPr>
        <w:t> </w:t>
      </w:r>
      <w:r>
        <w:rPr>
          <w:w w:val="105"/>
          <w:sz w:val="11"/>
        </w:rPr>
        <w:t>have</w:t>
      </w:r>
      <w:r>
        <w:rPr>
          <w:spacing w:val="-5"/>
          <w:w w:val="105"/>
          <w:sz w:val="11"/>
        </w:rPr>
        <w:t> </w:t>
      </w:r>
      <w:r>
        <w:rPr>
          <w:w w:val="105"/>
          <w:sz w:val="11"/>
        </w:rPr>
        <w:t>been</w:t>
      </w:r>
      <w:r>
        <w:rPr>
          <w:spacing w:val="-5"/>
          <w:w w:val="105"/>
          <w:sz w:val="11"/>
        </w:rPr>
        <w:t> </w:t>
      </w:r>
      <w:r>
        <w:rPr>
          <w:w w:val="105"/>
          <w:sz w:val="11"/>
        </w:rPr>
        <w:t>had</w:t>
      </w:r>
      <w:r>
        <w:rPr>
          <w:spacing w:val="-5"/>
          <w:w w:val="105"/>
          <w:sz w:val="11"/>
        </w:rPr>
        <w:t> </w:t>
      </w:r>
      <w:r>
        <w:rPr>
          <w:w w:val="105"/>
          <w:sz w:val="11"/>
        </w:rPr>
        <w:t>AASB15</w:t>
      </w:r>
      <w:r>
        <w:rPr>
          <w:spacing w:val="-5"/>
          <w:w w:val="105"/>
          <w:sz w:val="11"/>
        </w:rPr>
        <w:t> </w:t>
      </w:r>
      <w:r>
        <w:rPr>
          <w:w w:val="105"/>
          <w:sz w:val="11"/>
        </w:rPr>
        <w:t>and</w:t>
      </w:r>
      <w:r>
        <w:rPr>
          <w:spacing w:val="-5"/>
          <w:w w:val="105"/>
          <w:sz w:val="11"/>
        </w:rPr>
        <w:t> </w:t>
      </w:r>
      <w:r>
        <w:rPr>
          <w:w w:val="105"/>
          <w:sz w:val="11"/>
        </w:rPr>
        <w:t>AASB1058</w:t>
      </w:r>
      <w:r>
        <w:rPr>
          <w:spacing w:val="-5"/>
          <w:w w:val="105"/>
          <w:sz w:val="11"/>
        </w:rPr>
        <w:t> </w:t>
      </w:r>
      <w:r>
        <w:rPr>
          <w:w w:val="105"/>
          <w:sz w:val="11"/>
        </w:rPr>
        <w:t>not</w:t>
      </w:r>
      <w:r>
        <w:rPr>
          <w:spacing w:val="-4"/>
          <w:w w:val="105"/>
          <w:sz w:val="11"/>
        </w:rPr>
        <w:t> </w:t>
      </w:r>
      <w:r>
        <w:rPr>
          <w:w w:val="105"/>
          <w:sz w:val="11"/>
        </w:rPr>
        <w:t>been</w:t>
      </w:r>
      <w:r>
        <w:rPr>
          <w:spacing w:val="-5"/>
          <w:w w:val="105"/>
          <w:sz w:val="11"/>
        </w:rPr>
        <w:t> </w:t>
      </w:r>
      <w:r>
        <w:rPr>
          <w:w w:val="105"/>
          <w:sz w:val="11"/>
        </w:rPr>
        <w:t>adopted:</w:t>
      </w:r>
    </w:p>
    <w:p>
      <w:pPr>
        <w:spacing w:after="0" w:line="273" w:lineRule="auto"/>
        <w:jc w:val="both"/>
        <w:rPr>
          <w:sz w:val="11"/>
        </w:rPr>
        <w:sectPr>
          <w:pgSz w:w="11910" w:h="16840"/>
          <w:pgMar w:header="468" w:footer="0" w:top="720" w:bottom="280" w:left="920" w:right="0"/>
        </w:sectPr>
      </w:pPr>
    </w:p>
    <w:p>
      <w:pPr>
        <w:spacing w:before="73"/>
        <w:ind w:left="672" w:right="0" w:firstLine="0"/>
        <w:jc w:val="left"/>
        <w:rPr>
          <w:b/>
          <w:sz w:val="15"/>
        </w:rPr>
      </w:pPr>
      <w:r>
        <w:rPr>
          <w:b/>
          <w:w w:val="105"/>
          <w:sz w:val="15"/>
        </w:rPr>
        <w:t>Income</w:t>
      </w:r>
      <w:r>
        <w:rPr>
          <w:b/>
          <w:spacing w:val="-7"/>
          <w:w w:val="105"/>
          <w:sz w:val="15"/>
        </w:rPr>
        <w:t> </w:t>
      </w:r>
      <w:r>
        <w:rPr>
          <w:b/>
          <w:spacing w:val="-2"/>
          <w:w w:val="105"/>
          <w:sz w:val="15"/>
        </w:rPr>
        <w:t>Statement</w:t>
      </w:r>
    </w:p>
    <w:p>
      <w:pPr>
        <w:spacing w:before="110"/>
        <w:ind w:left="672" w:right="0" w:firstLine="0"/>
        <w:jc w:val="left"/>
        <w:rPr>
          <w:b/>
          <w:sz w:val="11"/>
        </w:rPr>
      </w:pPr>
      <w:r>
        <w:rPr/>
        <w:br w:type="column"/>
      </w:r>
      <w:r>
        <w:rPr>
          <w:b/>
          <w:sz w:val="11"/>
        </w:rPr>
        <w:t>Amounts</w:t>
      </w:r>
      <w:r>
        <w:rPr>
          <w:b/>
          <w:spacing w:val="4"/>
          <w:sz w:val="11"/>
        </w:rPr>
        <w:t> </w:t>
      </w:r>
      <w:r>
        <w:rPr>
          <w:b/>
          <w:sz w:val="11"/>
        </w:rPr>
        <w:t>prepared</w:t>
      </w:r>
      <w:r>
        <w:rPr>
          <w:b/>
          <w:spacing w:val="5"/>
          <w:sz w:val="11"/>
        </w:rPr>
        <w:t> </w:t>
      </w:r>
      <w:r>
        <w:rPr>
          <w:b/>
          <w:spacing w:val="-2"/>
          <w:sz w:val="11"/>
        </w:rPr>
        <w:t>under</w:t>
      </w:r>
    </w:p>
    <w:p>
      <w:pPr>
        <w:spacing w:after="0"/>
        <w:jc w:val="left"/>
        <w:rPr>
          <w:sz w:val="11"/>
        </w:rPr>
        <w:sectPr>
          <w:type w:val="continuous"/>
          <w:pgSz w:w="11910" w:h="16840"/>
          <w:pgMar w:header="468" w:footer="0" w:top="980" w:bottom="280" w:left="920" w:right="0"/>
          <w:cols w:num="2" w:equalWidth="0">
            <w:col w:w="2067" w:space="3521"/>
            <w:col w:w="5402"/>
          </w:cols>
        </w:sectPr>
      </w:pPr>
    </w:p>
    <w:tbl>
      <w:tblPr>
        <w:tblW w:w="0" w:type="auto"/>
        <w:jc w:val="left"/>
        <w:tblInd w:w="6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92"/>
        <w:gridCol w:w="737"/>
        <w:gridCol w:w="779"/>
        <w:gridCol w:w="892"/>
        <w:gridCol w:w="753"/>
        <w:gridCol w:w="720"/>
        <w:gridCol w:w="853"/>
        <w:gridCol w:w="708"/>
      </w:tblGrid>
      <w:tr>
        <w:trPr>
          <w:trHeight w:val="632" w:hRule="atLeast"/>
        </w:trPr>
        <w:tc>
          <w:tcPr>
            <w:tcW w:w="3192" w:type="dxa"/>
          </w:tcPr>
          <w:p>
            <w:pPr>
              <w:pStyle w:val="TableParagraph"/>
              <w:spacing w:before="41"/>
              <w:ind w:left="28"/>
              <w:rPr>
                <w:b/>
                <w:sz w:val="11"/>
              </w:rPr>
            </w:pPr>
            <w:r>
              <w:rPr>
                <w:b/>
                <w:spacing w:val="-2"/>
                <w:w w:val="105"/>
                <w:sz w:val="11"/>
              </w:rPr>
              <w:t>For year</w:t>
            </w:r>
            <w:r>
              <w:rPr>
                <w:b/>
                <w:spacing w:val="-1"/>
                <w:w w:val="105"/>
                <w:sz w:val="11"/>
              </w:rPr>
              <w:t> </w:t>
            </w:r>
            <w:r>
              <w:rPr>
                <w:b/>
                <w:spacing w:val="-2"/>
                <w:w w:val="105"/>
                <w:sz w:val="11"/>
              </w:rPr>
              <w:t>ended 31</w:t>
            </w:r>
            <w:r>
              <w:rPr>
                <w:b/>
                <w:spacing w:val="-1"/>
                <w:sz w:val="11"/>
              </w:rPr>
              <w:t> </w:t>
            </w:r>
            <w:r>
              <w:rPr>
                <w:b/>
                <w:spacing w:val="-2"/>
                <w:w w:val="105"/>
                <w:sz w:val="11"/>
              </w:rPr>
              <w:t>December</w:t>
            </w:r>
            <w:r>
              <w:rPr>
                <w:b/>
                <w:spacing w:val="-1"/>
                <w:w w:val="105"/>
                <w:sz w:val="11"/>
              </w:rPr>
              <w:t> </w:t>
            </w:r>
            <w:r>
              <w:rPr>
                <w:b/>
                <w:spacing w:val="-4"/>
                <w:w w:val="105"/>
                <w:sz w:val="11"/>
              </w:rPr>
              <w:t>2020</w:t>
            </w:r>
          </w:p>
        </w:tc>
        <w:tc>
          <w:tcPr>
            <w:tcW w:w="737" w:type="dxa"/>
          </w:tcPr>
          <w:p>
            <w:pPr>
              <w:pStyle w:val="TableParagraph"/>
              <w:spacing w:line="362" w:lineRule="auto"/>
              <w:ind w:left="22" w:firstLine="238"/>
              <w:rPr>
                <w:b/>
                <w:sz w:val="11"/>
              </w:rPr>
            </w:pPr>
            <w:r>
              <w:rPr>
                <w:b/>
                <w:spacing w:val="-4"/>
                <w:w w:val="105"/>
                <w:sz w:val="11"/>
              </w:rPr>
              <w:t>Ref</w:t>
            </w:r>
            <w:r>
              <w:rPr>
                <w:b/>
                <w:spacing w:val="40"/>
                <w:w w:val="105"/>
                <w:sz w:val="11"/>
              </w:rPr>
              <w:t> </w:t>
            </w:r>
            <w:r>
              <w:rPr>
                <w:b/>
                <w:spacing w:val="-2"/>
                <w:sz w:val="11"/>
              </w:rPr>
              <w:t>adjustments</w:t>
            </w:r>
          </w:p>
        </w:tc>
        <w:tc>
          <w:tcPr>
            <w:tcW w:w="779" w:type="dxa"/>
          </w:tcPr>
          <w:p>
            <w:pPr>
              <w:pStyle w:val="TableParagraph"/>
              <w:spacing w:before="62"/>
              <w:rPr>
                <w:b/>
                <w:sz w:val="11"/>
              </w:rPr>
            </w:pPr>
          </w:p>
          <w:p>
            <w:pPr>
              <w:pStyle w:val="TableParagraph"/>
              <w:spacing w:line="273" w:lineRule="auto"/>
              <w:ind w:left="114" w:right="109" w:hanging="1"/>
              <w:jc w:val="center"/>
              <w:rPr>
                <w:sz w:val="11"/>
              </w:rPr>
            </w:pPr>
            <w:r>
              <w:rPr>
                <w:spacing w:val="-2"/>
                <w:w w:val="105"/>
                <w:sz w:val="11"/>
              </w:rPr>
              <w:t>AASB15/</w:t>
            </w:r>
            <w:r>
              <w:rPr>
                <w:spacing w:val="40"/>
                <w:w w:val="105"/>
                <w:sz w:val="11"/>
              </w:rPr>
              <w:t> </w:t>
            </w:r>
            <w:r>
              <w:rPr>
                <w:spacing w:val="-2"/>
                <w:sz w:val="11"/>
              </w:rPr>
              <w:t>AASB1058</w:t>
            </w:r>
          </w:p>
          <w:p>
            <w:pPr>
              <w:pStyle w:val="TableParagraph"/>
              <w:spacing w:line="123" w:lineRule="exact"/>
              <w:ind w:left="2"/>
              <w:jc w:val="center"/>
              <w:rPr>
                <w:b/>
                <w:sz w:val="11"/>
              </w:rPr>
            </w:pPr>
            <w:r>
              <w:rPr>
                <w:b/>
                <w:spacing w:val="-2"/>
                <w:w w:val="105"/>
                <w:sz w:val="11"/>
              </w:rPr>
              <w:t>$’000</w:t>
            </w:r>
          </w:p>
        </w:tc>
        <w:tc>
          <w:tcPr>
            <w:tcW w:w="892" w:type="dxa"/>
          </w:tcPr>
          <w:p>
            <w:pPr>
              <w:pStyle w:val="TableParagraph"/>
              <w:spacing w:before="15"/>
              <w:ind w:left="11" w:right="62"/>
              <w:jc w:val="center"/>
              <w:rPr>
                <w:b/>
                <w:sz w:val="11"/>
              </w:rPr>
            </w:pPr>
            <w:r>
              <w:rPr>
                <w:b/>
                <w:spacing w:val="-2"/>
                <w:w w:val="105"/>
                <w:sz w:val="11"/>
              </w:rPr>
              <w:t>Consolidated</w:t>
            </w:r>
          </w:p>
          <w:p>
            <w:pPr>
              <w:pStyle w:val="TableParagraph"/>
              <w:spacing w:before="47"/>
              <w:ind w:right="62"/>
              <w:jc w:val="center"/>
              <w:rPr>
                <w:sz w:val="11"/>
              </w:rPr>
            </w:pPr>
            <w:r>
              <w:rPr>
                <w:sz w:val="11"/>
              </w:rPr>
              <w:t>Previous</w:t>
            </w:r>
            <w:r>
              <w:rPr>
                <w:spacing w:val="10"/>
                <w:sz w:val="11"/>
              </w:rPr>
              <w:t> </w:t>
            </w:r>
            <w:r>
              <w:rPr>
                <w:spacing w:val="-5"/>
                <w:sz w:val="11"/>
              </w:rPr>
              <w:t>AAS</w:t>
            </w:r>
          </w:p>
          <w:p>
            <w:pPr>
              <w:pStyle w:val="TableParagraph"/>
              <w:spacing w:before="31"/>
              <w:rPr>
                <w:b/>
                <w:sz w:val="11"/>
              </w:rPr>
            </w:pPr>
          </w:p>
          <w:p>
            <w:pPr>
              <w:pStyle w:val="TableParagraph"/>
              <w:spacing w:before="1"/>
              <w:ind w:left="2" w:right="62"/>
              <w:jc w:val="center"/>
              <w:rPr>
                <w:b/>
                <w:sz w:val="11"/>
              </w:rPr>
            </w:pPr>
            <w:r>
              <w:rPr>
                <w:b/>
                <w:spacing w:val="-2"/>
                <w:w w:val="105"/>
                <w:sz w:val="11"/>
              </w:rPr>
              <w:t>$’000</w:t>
            </w:r>
          </w:p>
        </w:tc>
        <w:tc>
          <w:tcPr>
            <w:tcW w:w="753" w:type="dxa"/>
          </w:tcPr>
          <w:p>
            <w:pPr>
              <w:pStyle w:val="TableParagraph"/>
              <w:spacing w:before="62"/>
              <w:rPr>
                <w:b/>
                <w:sz w:val="11"/>
              </w:rPr>
            </w:pPr>
          </w:p>
          <w:p>
            <w:pPr>
              <w:pStyle w:val="TableParagraph"/>
              <w:spacing w:line="273" w:lineRule="auto"/>
              <w:ind w:left="92" w:firstLine="2"/>
              <w:rPr>
                <w:sz w:val="11"/>
              </w:rPr>
            </w:pPr>
            <w:r>
              <w:rPr>
                <w:spacing w:val="-2"/>
                <w:sz w:val="11"/>
              </w:rPr>
              <w:t>Increase/</w:t>
            </w:r>
            <w:r>
              <w:rPr>
                <w:spacing w:val="40"/>
                <w:sz w:val="11"/>
              </w:rPr>
              <w:t> </w:t>
            </w:r>
            <w:r>
              <w:rPr>
                <w:spacing w:val="-2"/>
                <w:sz w:val="11"/>
              </w:rPr>
              <w:t>decrease</w:t>
            </w:r>
          </w:p>
          <w:p>
            <w:pPr>
              <w:pStyle w:val="TableParagraph"/>
              <w:spacing w:line="123" w:lineRule="exact"/>
              <w:ind w:left="183"/>
              <w:rPr>
                <w:b/>
                <w:sz w:val="11"/>
              </w:rPr>
            </w:pPr>
            <w:r>
              <w:rPr>
                <w:b/>
                <w:spacing w:val="-2"/>
                <w:w w:val="105"/>
                <w:sz w:val="11"/>
              </w:rPr>
              <w:t>$’000</w:t>
            </w:r>
          </w:p>
        </w:tc>
        <w:tc>
          <w:tcPr>
            <w:tcW w:w="720" w:type="dxa"/>
          </w:tcPr>
          <w:p>
            <w:pPr>
              <w:pStyle w:val="TableParagraph"/>
              <w:spacing w:before="62"/>
              <w:rPr>
                <w:b/>
                <w:sz w:val="11"/>
              </w:rPr>
            </w:pPr>
          </w:p>
          <w:p>
            <w:pPr>
              <w:pStyle w:val="TableParagraph"/>
              <w:spacing w:line="273" w:lineRule="auto"/>
              <w:ind w:left="71" w:right="94" w:hanging="1"/>
              <w:jc w:val="center"/>
              <w:rPr>
                <w:sz w:val="11"/>
              </w:rPr>
            </w:pPr>
            <w:r>
              <w:rPr>
                <w:spacing w:val="-2"/>
                <w:w w:val="105"/>
                <w:sz w:val="11"/>
              </w:rPr>
              <w:t>AASB15/</w:t>
            </w:r>
            <w:r>
              <w:rPr>
                <w:spacing w:val="40"/>
                <w:w w:val="105"/>
                <w:sz w:val="11"/>
              </w:rPr>
              <w:t> </w:t>
            </w:r>
            <w:r>
              <w:rPr>
                <w:spacing w:val="-2"/>
                <w:sz w:val="11"/>
              </w:rPr>
              <w:t>AASB1058</w:t>
            </w:r>
          </w:p>
          <w:p>
            <w:pPr>
              <w:pStyle w:val="TableParagraph"/>
              <w:spacing w:line="123" w:lineRule="exact"/>
              <w:ind w:right="24"/>
              <w:jc w:val="center"/>
              <w:rPr>
                <w:b/>
                <w:sz w:val="11"/>
              </w:rPr>
            </w:pPr>
            <w:r>
              <w:rPr>
                <w:b/>
                <w:spacing w:val="-2"/>
                <w:w w:val="105"/>
                <w:sz w:val="11"/>
              </w:rPr>
              <w:t>$’000</w:t>
            </w:r>
          </w:p>
        </w:tc>
        <w:tc>
          <w:tcPr>
            <w:tcW w:w="853" w:type="dxa"/>
          </w:tcPr>
          <w:p>
            <w:pPr>
              <w:pStyle w:val="TableParagraph"/>
              <w:spacing w:before="15"/>
              <w:ind w:right="45"/>
              <w:jc w:val="center"/>
              <w:rPr>
                <w:b/>
                <w:sz w:val="11"/>
              </w:rPr>
            </w:pPr>
            <w:r>
              <w:rPr>
                <w:b/>
                <w:spacing w:val="-2"/>
                <w:w w:val="105"/>
                <w:sz w:val="11"/>
              </w:rPr>
              <w:t>University</w:t>
            </w:r>
          </w:p>
          <w:p>
            <w:pPr>
              <w:pStyle w:val="TableParagraph"/>
              <w:spacing w:before="47"/>
              <w:ind w:left="4" w:right="45"/>
              <w:jc w:val="center"/>
              <w:rPr>
                <w:sz w:val="11"/>
              </w:rPr>
            </w:pPr>
            <w:r>
              <w:rPr>
                <w:sz w:val="11"/>
              </w:rPr>
              <w:t>Previous</w:t>
            </w:r>
            <w:r>
              <w:rPr>
                <w:spacing w:val="10"/>
                <w:sz w:val="11"/>
              </w:rPr>
              <w:t> </w:t>
            </w:r>
            <w:r>
              <w:rPr>
                <w:spacing w:val="-5"/>
                <w:sz w:val="11"/>
              </w:rPr>
              <w:t>AAS</w:t>
            </w:r>
          </w:p>
          <w:p>
            <w:pPr>
              <w:pStyle w:val="TableParagraph"/>
              <w:spacing w:before="31"/>
              <w:rPr>
                <w:b/>
                <w:sz w:val="11"/>
              </w:rPr>
            </w:pPr>
          </w:p>
          <w:p>
            <w:pPr>
              <w:pStyle w:val="TableParagraph"/>
              <w:spacing w:before="1"/>
              <w:ind w:left="1" w:right="45"/>
              <w:jc w:val="center"/>
              <w:rPr>
                <w:b/>
                <w:sz w:val="11"/>
              </w:rPr>
            </w:pPr>
            <w:r>
              <w:rPr>
                <w:b/>
                <w:spacing w:val="-2"/>
                <w:w w:val="105"/>
                <w:sz w:val="11"/>
              </w:rPr>
              <w:t>$’000</w:t>
            </w:r>
          </w:p>
        </w:tc>
        <w:tc>
          <w:tcPr>
            <w:tcW w:w="708" w:type="dxa"/>
          </w:tcPr>
          <w:p>
            <w:pPr>
              <w:pStyle w:val="TableParagraph"/>
              <w:spacing w:before="62"/>
              <w:rPr>
                <w:b/>
                <w:sz w:val="11"/>
              </w:rPr>
            </w:pPr>
          </w:p>
          <w:p>
            <w:pPr>
              <w:pStyle w:val="TableParagraph"/>
              <w:spacing w:line="273" w:lineRule="auto"/>
              <w:ind w:left="95" w:firstLine="2"/>
              <w:rPr>
                <w:sz w:val="11"/>
              </w:rPr>
            </w:pPr>
            <w:r>
              <w:rPr>
                <w:spacing w:val="-2"/>
                <w:sz w:val="11"/>
              </w:rPr>
              <w:t>Increase/</w:t>
            </w:r>
            <w:r>
              <w:rPr>
                <w:spacing w:val="40"/>
                <w:sz w:val="11"/>
              </w:rPr>
              <w:t> </w:t>
            </w:r>
            <w:r>
              <w:rPr>
                <w:spacing w:val="-2"/>
                <w:sz w:val="11"/>
              </w:rPr>
              <w:t>decrease</w:t>
            </w:r>
          </w:p>
          <w:p>
            <w:pPr>
              <w:pStyle w:val="TableParagraph"/>
              <w:spacing w:line="123" w:lineRule="exact"/>
              <w:ind w:left="186"/>
              <w:rPr>
                <w:b/>
                <w:sz w:val="11"/>
              </w:rPr>
            </w:pPr>
            <w:r>
              <w:rPr>
                <w:b/>
                <w:spacing w:val="-2"/>
                <w:w w:val="105"/>
                <w:sz w:val="11"/>
              </w:rPr>
              <w:t>$’000</w:t>
            </w:r>
          </w:p>
        </w:tc>
      </w:tr>
      <w:tr>
        <w:trPr>
          <w:trHeight w:val="174" w:hRule="atLeast"/>
        </w:trPr>
        <w:tc>
          <w:tcPr>
            <w:tcW w:w="3192" w:type="dxa"/>
          </w:tcPr>
          <w:p>
            <w:pPr>
              <w:pStyle w:val="TableParagraph"/>
              <w:spacing w:line="123" w:lineRule="exact" w:before="32"/>
              <w:ind w:left="28"/>
              <w:rPr>
                <w:b/>
                <w:sz w:val="11"/>
              </w:rPr>
            </w:pPr>
            <w:r>
              <w:rPr>
                <w:b/>
                <w:sz w:val="11"/>
              </w:rPr>
              <w:t>Revenue</w:t>
            </w:r>
            <w:r>
              <w:rPr>
                <w:b/>
                <w:spacing w:val="2"/>
                <w:sz w:val="11"/>
              </w:rPr>
              <w:t> </w:t>
            </w:r>
            <w:r>
              <w:rPr>
                <w:b/>
                <w:sz w:val="11"/>
              </w:rPr>
              <w:t>and</w:t>
            </w:r>
            <w:r>
              <w:rPr>
                <w:b/>
                <w:spacing w:val="3"/>
                <w:sz w:val="11"/>
              </w:rPr>
              <w:t> </w:t>
            </w:r>
            <w:r>
              <w:rPr>
                <w:b/>
                <w:sz w:val="11"/>
              </w:rPr>
              <w:t>income</w:t>
            </w:r>
            <w:r>
              <w:rPr>
                <w:b/>
                <w:spacing w:val="2"/>
                <w:sz w:val="11"/>
              </w:rPr>
              <w:t> </w:t>
            </w:r>
            <w:r>
              <w:rPr>
                <w:b/>
                <w:sz w:val="11"/>
              </w:rPr>
              <w:t>from</w:t>
            </w:r>
            <w:r>
              <w:rPr>
                <w:b/>
                <w:spacing w:val="2"/>
                <w:sz w:val="11"/>
              </w:rPr>
              <w:t> </w:t>
            </w:r>
            <w:r>
              <w:rPr>
                <w:b/>
                <w:sz w:val="11"/>
              </w:rPr>
              <w:t>continuing</w:t>
            </w:r>
            <w:r>
              <w:rPr>
                <w:b/>
                <w:spacing w:val="3"/>
                <w:sz w:val="11"/>
              </w:rPr>
              <w:t> </w:t>
            </w:r>
            <w:r>
              <w:rPr>
                <w:b/>
                <w:spacing w:val="-2"/>
                <w:sz w:val="11"/>
              </w:rPr>
              <w:t>operations</w:t>
            </w:r>
          </w:p>
        </w:tc>
        <w:tc>
          <w:tcPr>
            <w:tcW w:w="737" w:type="dxa"/>
          </w:tcPr>
          <w:p>
            <w:pPr>
              <w:pStyle w:val="TableParagraph"/>
              <w:rPr>
                <w:rFonts w:ascii="Times New Roman"/>
                <w:sz w:val="10"/>
              </w:rPr>
            </w:pPr>
          </w:p>
        </w:tc>
        <w:tc>
          <w:tcPr>
            <w:tcW w:w="779" w:type="dxa"/>
          </w:tcPr>
          <w:p>
            <w:pPr>
              <w:pStyle w:val="TableParagraph"/>
              <w:rPr>
                <w:rFonts w:ascii="Times New Roman"/>
                <w:sz w:val="10"/>
              </w:rPr>
            </w:pPr>
          </w:p>
        </w:tc>
        <w:tc>
          <w:tcPr>
            <w:tcW w:w="892" w:type="dxa"/>
          </w:tcPr>
          <w:p>
            <w:pPr>
              <w:pStyle w:val="TableParagraph"/>
              <w:rPr>
                <w:rFonts w:ascii="Times New Roman"/>
                <w:sz w:val="10"/>
              </w:rPr>
            </w:pPr>
          </w:p>
        </w:tc>
        <w:tc>
          <w:tcPr>
            <w:tcW w:w="753" w:type="dxa"/>
          </w:tcPr>
          <w:p>
            <w:pPr>
              <w:pStyle w:val="TableParagraph"/>
              <w:rPr>
                <w:rFonts w:ascii="Times New Roman"/>
                <w:sz w:val="10"/>
              </w:rPr>
            </w:pPr>
          </w:p>
        </w:tc>
        <w:tc>
          <w:tcPr>
            <w:tcW w:w="720" w:type="dxa"/>
          </w:tcPr>
          <w:p>
            <w:pPr>
              <w:pStyle w:val="TableParagraph"/>
              <w:rPr>
                <w:rFonts w:ascii="Times New Roman"/>
                <w:sz w:val="10"/>
              </w:rPr>
            </w:pPr>
          </w:p>
        </w:tc>
        <w:tc>
          <w:tcPr>
            <w:tcW w:w="853" w:type="dxa"/>
          </w:tcPr>
          <w:p>
            <w:pPr>
              <w:pStyle w:val="TableParagraph"/>
              <w:rPr>
                <w:rFonts w:ascii="Times New Roman"/>
                <w:sz w:val="10"/>
              </w:rPr>
            </w:pPr>
          </w:p>
        </w:tc>
        <w:tc>
          <w:tcPr>
            <w:tcW w:w="708" w:type="dxa"/>
          </w:tcPr>
          <w:p>
            <w:pPr>
              <w:pStyle w:val="TableParagraph"/>
              <w:rPr>
                <w:rFonts w:ascii="Times New Roman"/>
                <w:sz w:val="10"/>
              </w:rPr>
            </w:pPr>
          </w:p>
        </w:tc>
      </w:tr>
      <w:tr>
        <w:trPr>
          <w:trHeight w:val="153" w:hRule="atLeast"/>
        </w:trPr>
        <w:tc>
          <w:tcPr>
            <w:tcW w:w="3192" w:type="dxa"/>
          </w:tcPr>
          <w:p>
            <w:pPr>
              <w:pStyle w:val="TableParagraph"/>
              <w:spacing w:line="118" w:lineRule="exact" w:before="15"/>
              <w:ind w:left="122"/>
              <w:rPr>
                <w:sz w:val="11"/>
              </w:rPr>
            </w:pPr>
            <w:r>
              <w:rPr>
                <w:sz w:val="11"/>
              </w:rPr>
              <w:t>Australian</w:t>
            </w:r>
            <w:r>
              <w:rPr>
                <w:spacing w:val="11"/>
                <w:sz w:val="11"/>
              </w:rPr>
              <w:t> </w:t>
            </w:r>
            <w:r>
              <w:rPr>
                <w:sz w:val="11"/>
              </w:rPr>
              <w:t>Government</w:t>
            </w:r>
            <w:r>
              <w:rPr>
                <w:spacing w:val="13"/>
                <w:sz w:val="11"/>
              </w:rPr>
              <w:t> </w:t>
            </w:r>
            <w:r>
              <w:rPr>
                <w:spacing w:val="-2"/>
                <w:sz w:val="11"/>
              </w:rPr>
              <w:t>grants</w:t>
            </w:r>
          </w:p>
        </w:tc>
        <w:tc>
          <w:tcPr>
            <w:tcW w:w="737" w:type="dxa"/>
          </w:tcPr>
          <w:p>
            <w:pPr>
              <w:pStyle w:val="TableParagraph"/>
              <w:spacing w:line="118" w:lineRule="exact" w:before="15"/>
              <w:ind w:left="2" w:right="22"/>
              <w:jc w:val="center"/>
              <w:rPr>
                <w:b/>
                <w:sz w:val="11"/>
              </w:rPr>
            </w:pPr>
            <w:r>
              <w:rPr>
                <w:b/>
                <w:w w:val="105"/>
                <w:sz w:val="11"/>
              </w:rPr>
              <w:t>a,</w:t>
            </w:r>
            <w:r>
              <w:rPr>
                <w:b/>
                <w:spacing w:val="-5"/>
                <w:w w:val="105"/>
                <w:sz w:val="11"/>
              </w:rPr>
              <w:t> </w:t>
            </w:r>
            <w:r>
              <w:rPr>
                <w:b/>
                <w:w w:val="105"/>
                <w:sz w:val="11"/>
              </w:rPr>
              <w:t>b,</w:t>
            </w:r>
            <w:r>
              <w:rPr>
                <w:b/>
                <w:spacing w:val="-4"/>
                <w:w w:val="105"/>
                <w:sz w:val="11"/>
              </w:rPr>
              <w:t> </w:t>
            </w:r>
            <w:r>
              <w:rPr>
                <w:b/>
                <w:spacing w:val="-12"/>
                <w:w w:val="105"/>
                <w:sz w:val="11"/>
              </w:rPr>
              <w:t>c</w:t>
            </w:r>
          </w:p>
        </w:tc>
        <w:tc>
          <w:tcPr>
            <w:tcW w:w="779" w:type="dxa"/>
          </w:tcPr>
          <w:p>
            <w:pPr>
              <w:pStyle w:val="TableParagraph"/>
              <w:spacing w:line="118" w:lineRule="exact" w:before="15"/>
              <w:ind w:right="67"/>
              <w:jc w:val="right"/>
              <w:rPr>
                <w:sz w:val="11"/>
              </w:rPr>
            </w:pPr>
            <w:r>
              <w:rPr>
                <w:spacing w:val="-2"/>
                <w:w w:val="105"/>
                <w:sz w:val="11"/>
              </w:rPr>
              <w:t>379,598</w:t>
            </w:r>
          </w:p>
        </w:tc>
        <w:tc>
          <w:tcPr>
            <w:tcW w:w="892" w:type="dxa"/>
          </w:tcPr>
          <w:p>
            <w:pPr>
              <w:pStyle w:val="TableParagraph"/>
              <w:spacing w:line="118" w:lineRule="exact" w:before="15"/>
              <w:ind w:right="121"/>
              <w:jc w:val="right"/>
              <w:rPr>
                <w:sz w:val="11"/>
              </w:rPr>
            </w:pPr>
            <w:r>
              <w:rPr>
                <w:spacing w:val="-2"/>
                <w:w w:val="105"/>
                <w:sz w:val="11"/>
              </w:rPr>
              <w:t>379,950</w:t>
            </w:r>
          </w:p>
        </w:tc>
        <w:tc>
          <w:tcPr>
            <w:tcW w:w="753" w:type="dxa"/>
          </w:tcPr>
          <w:p>
            <w:pPr>
              <w:pStyle w:val="TableParagraph"/>
              <w:spacing w:line="118" w:lineRule="exact" w:before="15"/>
              <w:ind w:right="61"/>
              <w:jc w:val="right"/>
              <w:rPr>
                <w:sz w:val="11"/>
              </w:rPr>
            </w:pPr>
            <w:r>
              <w:rPr>
                <w:spacing w:val="-2"/>
                <w:w w:val="105"/>
                <w:sz w:val="11"/>
              </w:rPr>
              <w:t>(352)</w:t>
            </w:r>
          </w:p>
        </w:tc>
        <w:tc>
          <w:tcPr>
            <w:tcW w:w="720" w:type="dxa"/>
          </w:tcPr>
          <w:p>
            <w:pPr>
              <w:pStyle w:val="TableParagraph"/>
              <w:spacing w:line="118" w:lineRule="exact" w:before="15"/>
              <w:ind w:right="41"/>
              <w:jc w:val="right"/>
              <w:rPr>
                <w:sz w:val="11"/>
              </w:rPr>
            </w:pPr>
            <w:r>
              <w:rPr>
                <w:spacing w:val="-2"/>
                <w:w w:val="105"/>
                <w:sz w:val="11"/>
              </w:rPr>
              <w:t>369,963</w:t>
            </w:r>
          </w:p>
        </w:tc>
        <w:tc>
          <w:tcPr>
            <w:tcW w:w="853" w:type="dxa"/>
          </w:tcPr>
          <w:p>
            <w:pPr>
              <w:pStyle w:val="TableParagraph"/>
              <w:spacing w:line="118" w:lineRule="exact" w:before="15"/>
              <w:ind w:right="118"/>
              <w:jc w:val="right"/>
              <w:rPr>
                <w:sz w:val="11"/>
              </w:rPr>
            </w:pPr>
            <w:r>
              <w:rPr>
                <w:spacing w:val="-2"/>
                <w:w w:val="105"/>
                <w:sz w:val="11"/>
              </w:rPr>
              <w:t>370,315</w:t>
            </w:r>
          </w:p>
        </w:tc>
        <w:tc>
          <w:tcPr>
            <w:tcW w:w="708" w:type="dxa"/>
          </w:tcPr>
          <w:p>
            <w:pPr>
              <w:pStyle w:val="TableParagraph"/>
              <w:spacing w:line="118" w:lineRule="exact" w:before="15"/>
              <w:ind w:right="13"/>
              <w:jc w:val="right"/>
              <w:rPr>
                <w:sz w:val="11"/>
              </w:rPr>
            </w:pPr>
            <w:r>
              <w:rPr>
                <w:spacing w:val="-2"/>
                <w:w w:val="105"/>
                <w:sz w:val="11"/>
              </w:rPr>
              <w:t>(352)</w:t>
            </w:r>
          </w:p>
        </w:tc>
      </w:tr>
      <w:tr>
        <w:trPr>
          <w:trHeight w:val="149" w:hRule="atLeast"/>
        </w:trPr>
        <w:tc>
          <w:tcPr>
            <w:tcW w:w="3192" w:type="dxa"/>
          </w:tcPr>
          <w:p>
            <w:pPr>
              <w:pStyle w:val="TableParagraph"/>
              <w:spacing w:line="118" w:lineRule="exact" w:before="10"/>
              <w:ind w:left="122"/>
              <w:rPr>
                <w:sz w:val="11"/>
              </w:rPr>
            </w:pPr>
            <w:r>
              <w:rPr>
                <w:sz w:val="11"/>
              </w:rPr>
              <w:t>HELP</w:t>
            </w:r>
            <w:r>
              <w:rPr>
                <w:spacing w:val="8"/>
                <w:sz w:val="11"/>
              </w:rPr>
              <w:t> </w:t>
            </w:r>
            <w:r>
              <w:rPr>
                <w:sz w:val="11"/>
              </w:rPr>
              <w:t>-</w:t>
            </w:r>
            <w:r>
              <w:rPr>
                <w:spacing w:val="8"/>
                <w:sz w:val="11"/>
              </w:rPr>
              <w:t> </w:t>
            </w:r>
            <w:r>
              <w:rPr>
                <w:sz w:val="11"/>
              </w:rPr>
              <w:t>Australian</w:t>
            </w:r>
            <w:r>
              <w:rPr>
                <w:spacing w:val="8"/>
                <w:sz w:val="11"/>
              </w:rPr>
              <w:t> </w:t>
            </w:r>
            <w:r>
              <w:rPr>
                <w:sz w:val="11"/>
              </w:rPr>
              <w:t>Government</w:t>
            </w:r>
            <w:r>
              <w:rPr>
                <w:spacing w:val="8"/>
                <w:sz w:val="11"/>
              </w:rPr>
              <w:t> </w:t>
            </w:r>
            <w:r>
              <w:rPr>
                <w:spacing w:val="-2"/>
                <w:sz w:val="11"/>
              </w:rPr>
              <w:t>payments</w:t>
            </w:r>
          </w:p>
        </w:tc>
        <w:tc>
          <w:tcPr>
            <w:tcW w:w="737" w:type="dxa"/>
          </w:tcPr>
          <w:p>
            <w:pPr>
              <w:pStyle w:val="TableParagraph"/>
              <w:rPr>
                <w:rFonts w:ascii="Times New Roman"/>
                <w:sz w:val="8"/>
              </w:rPr>
            </w:pPr>
          </w:p>
        </w:tc>
        <w:tc>
          <w:tcPr>
            <w:tcW w:w="779" w:type="dxa"/>
          </w:tcPr>
          <w:p>
            <w:pPr>
              <w:pStyle w:val="TableParagraph"/>
              <w:spacing w:line="118" w:lineRule="exact" w:before="10"/>
              <w:ind w:right="67"/>
              <w:jc w:val="right"/>
              <w:rPr>
                <w:sz w:val="11"/>
              </w:rPr>
            </w:pPr>
            <w:r>
              <w:rPr>
                <w:spacing w:val="-2"/>
                <w:w w:val="105"/>
                <w:sz w:val="11"/>
              </w:rPr>
              <w:t>121,021</w:t>
            </w:r>
          </w:p>
        </w:tc>
        <w:tc>
          <w:tcPr>
            <w:tcW w:w="892" w:type="dxa"/>
          </w:tcPr>
          <w:p>
            <w:pPr>
              <w:pStyle w:val="TableParagraph"/>
              <w:spacing w:line="118" w:lineRule="exact" w:before="10"/>
              <w:ind w:right="121"/>
              <w:jc w:val="right"/>
              <w:rPr>
                <w:sz w:val="11"/>
              </w:rPr>
            </w:pPr>
            <w:r>
              <w:rPr>
                <w:spacing w:val="-2"/>
                <w:w w:val="105"/>
                <w:sz w:val="11"/>
              </w:rPr>
              <w:t>121,021</w:t>
            </w:r>
          </w:p>
        </w:tc>
        <w:tc>
          <w:tcPr>
            <w:tcW w:w="753" w:type="dxa"/>
          </w:tcPr>
          <w:p>
            <w:pPr>
              <w:pStyle w:val="TableParagraph"/>
              <w:rPr>
                <w:rFonts w:ascii="Times New Roman"/>
                <w:sz w:val="8"/>
              </w:rPr>
            </w:pPr>
          </w:p>
        </w:tc>
        <w:tc>
          <w:tcPr>
            <w:tcW w:w="720" w:type="dxa"/>
          </w:tcPr>
          <w:p>
            <w:pPr>
              <w:pStyle w:val="TableParagraph"/>
              <w:spacing w:line="118" w:lineRule="exact" w:before="10"/>
              <w:ind w:right="41"/>
              <w:jc w:val="right"/>
              <w:rPr>
                <w:sz w:val="11"/>
              </w:rPr>
            </w:pPr>
            <w:r>
              <w:rPr>
                <w:spacing w:val="-2"/>
                <w:w w:val="105"/>
                <w:sz w:val="11"/>
              </w:rPr>
              <w:t>121,021</w:t>
            </w:r>
          </w:p>
        </w:tc>
        <w:tc>
          <w:tcPr>
            <w:tcW w:w="853" w:type="dxa"/>
          </w:tcPr>
          <w:p>
            <w:pPr>
              <w:pStyle w:val="TableParagraph"/>
              <w:spacing w:line="118" w:lineRule="exact" w:before="10"/>
              <w:ind w:right="118"/>
              <w:jc w:val="right"/>
              <w:rPr>
                <w:sz w:val="11"/>
              </w:rPr>
            </w:pPr>
            <w:r>
              <w:rPr>
                <w:spacing w:val="-2"/>
                <w:w w:val="105"/>
                <w:sz w:val="11"/>
              </w:rPr>
              <w:t>121,021</w:t>
            </w:r>
          </w:p>
        </w:tc>
        <w:tc>
          <w:tcPr>
            <w:tcW w:w="708" w:type="dxa"/>
          </w:tcPr>
          <w:p>
            <w:pPr>
              <w:pStyle w:val="TableParagraph"/>
              <w:spacing w:line="118" w:lineRule="exact" w:before="10"/>
              <w:ind w:right="12"/>
              <w:jc w:val="right"/>
              <w:rPr>
                <w:sz w:val="11"/>
              </w:rPr>
            </w:pPr>
            <w:r>
              <w:rPr>
                <w:spacing w:val="-10"/>
                <w:w w:val="105"/>
                <w:sz w:val="11"/>
              </w:rPr>
              <w:t>-</w:t>
            </w:r>
          </w:p>
        </w:tc>
      </w:tr>
      <w:tr>
        <w:trPr>
          <w:trHeight w:val="149" w:hRule="atLeast"/>
        </w:trPr>
        <w:tc>
          <w:tcPr>
            <w:tcW w:w="3192" w:type="dxa"/>
          </w:tcPr>
          <w:p>
            <w:pPr>
              <w:pStyle w:val="TableParagraph"/>
              <w:spacing w:line="118" w:lineRule="exact" w:before="10"/>
              <w:ind w:left="28"/>
              <w:rPr>
                <w:sz w:val="11"/>
              </w:rPr>
            </w:pPr>
            <w:r>
              <w:rPr>
                <w:sz w:val="11"/>
              </w:rPr>
              <w:t>Western</w:t>
            </w:r>
            <w:r>
              <w:rPr>
                <w:spacing w:val="8"/>
                <w:sz w:val="11"/>
              </w:rPr>
              <w:t> </w:t>
            </w:r>
            <w:r>
              <w:rPr>
                <w:sz w:val="11"/>
              </w:rPr>
              <w:t>Australian</w:t>
            </w:r>
            <w:r>
              <w:rPr>
                <w:spacing w:val="8"/>
                <w:sz w:val="11"/>
              </w:rPr>
              <w:t> </w:t>
            </w:r>
            <w:r>
              <w:rPr>
                <w:sz w:val="11"/>
              </w:rPr>
              <w:t>and</w:t>
            </w:r>
            <w:r>
              <w:rPr>
                <w:spacing w:val="8"/>
                <w:sz w:val="11"/>
              </w:rPr>
              <w:t> </w:t>
            </w:r>
            <w:r>
              <w:rPr>
                <w:sz w:val="11"/>
              </w:rPr>
              <w:t>Local</w:t>
            </w:r>
            <w:r>
              <w:rPr>
                <w:spacing w:val="8"/>
                <w:sz w:val="11"/>
              </w:rPr>
              <w:t> </w:t>
            </w:r>
            <w:r>
              <w:rPr>
                <w:sz w:val="11"/>
              </w:rPr>
              <w:t>Government</w:t>
            </w:r>
            <w:r>
              <w:rPr>
                <w:spacing w:val="10"/>
                <w:sz w:val="11"/>
              </w:rPr>
              <w:t> </w:t>
            </w:r>
            <w:r>
              <w:rPr>
                <w:sz w:val="11"/>
              </w:rPr>
              <w:t>financial</w:t>
            </w:r>
            <w:r>
              <w:rPr>
                <w:spacing w:val="8"/>
                <w:sz w:val="11"/>
              </w:rPr>
              <w:t> </w:t>
            </w:r>
            <w:r>
              <w:rPr>
                <w:spacing w:val="-2"/>
                <w:sz w:val="11"/>
              </w:rPr>
              <w:t>assistance</w:t>
            </w:r>
          </w:p>
        </w:tc>
        <w:tc>
          <w:tcPr>
            <w:tcW w:w="737" w:type="dxa"/>
          </w:tcPr>
          <w:p>
            <w:pPr>
              <w:pStyle w:val="TableParagraph"/>
              <w:spacing w:line="118" w:lineRule="exact" w:before="10"/>
              <w:ind w:left="2" w:right="22"/>
              <w:jc w:val="center"/>
              <w:rPr>
                <w:b/>
                <w:sz w:val="11"/>
              </w:rPr>
            </w:pPr>
            <w:r>
              <w:rPr>
                <w:b/>
                <w:w w:val="105"/>
                <w:sz w:val="11"/>
              </w:rPr>
              <w:t>a,</w:t>
            </w:r>
            <w:r>
              <w:rPr>
                <w:b/>
                <w:spacing w:val="-5"/>
                <w:w w:val="105"/>
                <w:sz w:val="11"/>
              </w:rPr>
              <w:t> </w:t>
            </w:r>
            <w:r>
              <w:rPr>
                <w:b/>
                <w:w w:val="105"/>
                <w:sz w:val="11"/>
              </w:rPr>
              <w:t>b,</w:t>
            </w:r>
            <w:r>
              <w:rPr>
                <w:b/>
                <w:spacing w:val="-4"/>
                <w:w w:val="105"/>
                <w:sz w:val="11"/>
              </w:rPr>
              <w:t> </w:t>
            </w:r>
            <w:r>
              <w:rPr>
                <w:b/>
                <w:spacing w:val="-12"/>
                <w:w w:val="105"/>
                <w:sz w:val="11"/>
              </w:rPr>
              <w:t>c</w:t>
            </w:r>
          </w:p>
        </w:tc>
        <w:tc>
          <w:tcPr>
            <w:tcW w:w="779" w:type="dxa"/>
          </w:tcPr>
          <w:p>
            <w:pPr>
              <w:pStyle w:val="TableParagraph"/>
              <w:spacing w:line="118" w:lineRule="exact" w:before="10"/>
              <w:ind w:right="67"/>
              <w:jc w:val="right"/>
              <w:rPr>
                <w:sz w:val="11"/>
              </w:rPr>
            </w:pPr>
            <w:r>
              <w:rPr>
                <w:spacing w:val="-2"/>
                <w:w w:val="105"/>
                <w:sz w:val="11"/>
              </w:rPr>
              <w:t>46,388</w:t>
            </w:r>
          </w:p>
        </w:tc>
        <w:tc>
          <w:tcPr>
            <w:tcW w:w="892" w:type="dxa"/>
          </w:tcPr>
          <w:p>
            <w:pPr>
              <w:pStyle w:val="TableParagraph"/>
              <w:spacing w:line="118" w:lineRule="exact" w:before="10"/>
              <w:ind w:right="121"/>
              <w:jc w:val="right"/>
              <w:rPr>
                <w:sz w:val="11"/>
              </w:rPr>
            </w:pPr>
            <w:r>
              <w:rPr>
                <w:spacing w:val="-2"/>
                <w:w w:val="105"/>
                <w:sz w:val="11"/>
              </w:rPr>
              <w:t>52,892</w:t>
            </w:r>
          </w:p>
        </w:tc>
        <w:tc>
          <w:tcPr>
            <w:tcW w:w="753" w:type="dxa"/>
          </w:tcPr>
          <w:p>
            <w:pPr>
              <w:pStyle w:val="TableParagraph"/>
              <w:spacing w:line="118" w:lineRule="exact" w:before="10"/>
              <w:ind w:right="61"/>
              <w:jc w:val="right"/>
              <w:rPr>
                <w:sz w:val="11"/>
              </w:rPr>
            </w:pPr>
            <w:r>
              <w:rPr>
                <w:spacing w:val="-2"/>
                <w:w w:val="105"/>
                <w:sz w:val="11"/>
              </w:rPr>
              <w:t>(6,504)</w:t>
            </w:r>
          </w:p>
        </w:tc>
        <w:tc>
          <w:tcPr>
            <w:tcW w:w="720" w:type="dxa"/>
          </w:tcPr>
          <w:p>
            <w:pPr>
              <w:pStyle w:val="TableParagraph"/>
              <w:spacing w:line="118" w:lineRule="exact" w:before="10"/>
              <w:ind w:right="41"/>
              <w:jc w:val="right"/>
              <w:rPr>
                <w:sz w:val="11"/>
              </w:rPr>
            </w:pPr>
            <w:r>
              <w:rPr>
                <w:spacing w:val="-2"/>
                <w:w w:val="105"/>
                <w:sz w:val="11"/>
              </w:rPr>
              <w:t>40,975</w:t>
            </w:r>
          </w:p>
        </w:tc>
        <w:tc>
          <w:tcPr>
            <w:tcW w:w="853" w:type="dxa"/>
          </w:tcPr>
          <w:p>
            <w:pPr>
              <w:pStyle w:val="TableParagraph"/>
              <w:spacing w:line="118" w:lineRule="exact" w:before="10"/>
              <w:ind w:right="118"/>
              <w:jc w:val="right"/>
              <w:rPr>
                <w:sz w:val="11"/>
              </w:rPr>
            </w:pPr>
            <w:r>
              <w:rPr>
                <w:spacing w:val="-2"/>
                <w:w w:val="105"/>
                <w:sz w:val="11"/>
              </w:rPr>
              <w:t>47,479</w:t>
            </w:r>
          </w:p>
        </w:tc>
        <w:tc>
          <w:tcPr>
            <w:tcW w:w="708" w:type="dxa"/>
          </w:tcPr>
          <w:p>
            <w:pPr>
              <w:pStyle w:val="TableParagraph"/>
              <w:spacing w:line="118" w:lineRule="exact" w:before="10"/>
              <w:ind w:right="13"/>
              <w:jc w:val="right"/>
              <w:rPr>
                <w:sz w:val="11"/>
              </w:rPr>
            </w:pPr>
            <w:r>
              <w:rPr>
                <w:spacing w:val="-2"/>
                <w:w w:val="105"/>
                <w:sz w:val="11"/>
              </w:rPr>
              <w:t>(6,504)</w:t>
            </w:r>
          </w:p>
        </w:tc>
      </w:tr>
      <w:tr>
        <w:trPr>
          <w:trHeight w:val="149" w:hRule="atLeast"/>
        </w:trPr>
        <w:tc>
          <w:tcPr>
            <w:tcW w:w="3192" w:type="dxa"/>
          </w:tcPr>
          <w:p>
            <w:pPr>
              <w:pStyle w:val="TableParagraph"/>
              <w:spacing w:line="118" w:lineRule="exact" w:before="10"/>
              <w:ind w:left="28"/>
              <w:rPr>
                <w:sz w:val="11"/>
              </w:rPr>
            </w:pPr>
            <w:r>
              <w:rPr>
                <w:sz w:val="11"/>
              </w:rPr>
              <w:t>HECS-HELP</w:t>
            </w:r>
            <w:r>
              <w:rPr>
                <w:spacing w:val="7"/>
                <w:sz w:val="11"/>
              </w:rPr>
              <w:t> </w:t>
            </w:r>
            <w:r>
              <w:rPr>
                <w:sz w:val="11"/>
              </w:rPr>
              <w:t>-</w:t>
            </w:r>
            <w:r>
              <w:rPr>
                <w:spacing w:val="8"/>
                <w:sz w:val="11"/>
              </w:rPr>
              <w:t> </w:t>
            </w:r>
            <w:r>
              <w:rPr>
                <w:sz w:val="11"/>
              </w:rPr>
              <w:t>student</w:t>
            </w:r>
            <w:r>
              <w:rPr>
                <w:spacing w:val="7"/>
                <w:sz w:val="11"/>
              </w:rPr>
              <w:t> </w:t>
            </w:r>
            <w:r>
              <w:rPr>
                <w:spacing w:val="-2"/>
                <w:sz w:val="11"/>
              </w:rPr>
              <w:t>payments</w:t>
            </w:r>
          </w:p>
        </w:tc>
        <w:tc>
          <w:tcPr>
            <w:tcW w:w="737" w:type="dxa"/>
          </w:tcPr>
          <w:p>
            <w:pPr>
              <w:pStyle w:val="TableParagraph"/>
              <w:rPr>
                <w:rFonts w:ascii="Times New Roman"/>
                <w:sz w:val="8"/>
              </w:rPr>
            </w:pPr>
          </w:p>
        </w:tc>
        <w:tc>
          <w:tcPr>
            <w:tcW w:w="779" w:type="dxa"/>
          </w:tcPr>
          <w:p>
            <w:pPr>
              <w:pStyle w:val="TableParagraph"/>
              <w:spacing w:line="118" w:lineRule="exact" w:before="10"/>
              <w:ind w:right="67"/>
              <w:jc w:val="right"/>
              <w:rPr>
                <w:sz w:val="11"/>
              </w:rPr>
            </w:pPr>
            <w:r>
              <w:rPr>
                <w:spacing w:val="-2"/>
                <w:w w:val="105"/>
                <w:sz w:val="11"/>
              </w:rPr>
              <w:t>13,329</w:t>
            </w:r>
          </w:p>
        </w:tc>
        <w:tc>
          <w:tcPr>
            <w:tcW w:w="892" w:type="dxa"/>
          </w:tcPr>
          <w:p>
            <w:pPr>
              <w:pStyle w:val="TableParagraph"/>
              <w:spacing w:line="118" w:lineRule="exact" w:before="10"/>
              <w:ind w:right="121"/>
              <w:jc w:val="right"/>
              <w:rPr>
                <w:sz w:val="11"/>
              </w:rPr>
            </w:pPr>
            <w:r>
              <w:rPr>
                <w:spacing w:val="-2"/>
                <w:w w:val="105"/>
                <w:sz w:val="11"/>
              </w:rPr>
              <w:t>13,329</w:t>
            </w:r>
          </w:p>
        </w:tc>
        <w:tc>
          <w:tcPr>
            <w:tcW w:w="753" w:type="dxa"/>
          </w:tcPr>
          <w:p>
            <w:pPr>
              <w:pStyle w:val="TableParagraph"/>
              <w:rPr>
                <w:rFonts w:ascii="Times New Roman"/>
                <w:sz w:val="8"/>
              </w:rPr>
            </w:pPr>
          </w:p>
        </w:tc>
        <w:tc>
          <w:tcPr>
            <w:tcW w:w="720" w:type="dxa"/>
          </w:tcPr>
          <w:p>
            <w:pPr>
              <w:pStyle w:val="TableParagraph"/>
              <w:spacing w:line="118" w:lineRule="exact" w:before="10"/>
              <w:ind w:right="41"/>
              <w:jc w:val="right"/>
              <w:rPr>
                <w:sz w:val="11"/>
              </w:rPr>
            </w:pPr>
            <w:r>
              <w:rPr>
                <w:spacing w:val="-2"/>
                <w:w w:val="105"/>
                <w:sz w:val="11"/>
              </w:rPr>
              <w:t>13,329</w:t>
            </w:r>
          </w:p>
        </w:tc>
        <w:tc>
          <w:tcPr>
            <w:tcW w:w="853" w:type="dxa"/>
          </w:tcPr>
          <w:p>
            <w:pPr>
              <w:pStyle w:val="TableParagraph"/>
              <w:spacing w:line="118" w:lineRule="exact" w:before="10"/>
              <w:ind w:right="118"/>
              <w:jc w:val="right"/>
              <w:rPr>
                <w:sz w:val="11"/>
              </w:rPr>
            </w:pPr>
            <w:r>
              <w:rPr>
                <w:spacing w:val="-2"/>
                <w:w w:val="105"/>
                <w:sz w:val="11"/>
              </w:rPr>
              <w:t>13,329</w:t>
            </w:r>
          </w:p>
        </w:tc>
        <w:tc>
          <w:tcPr>
            <w:tcW w:w="708" w:type="dxa"/>
          </w:tcPr>
          <w:p>
            <w:pPr>
              <w:pStyle w:val="TableParagraph"/>
              <w:spacing w:line="118" w:lineRule="exact" w:before="10"/>
              <w:ind w:right="12"/>
              <w:jc w:val="right"/>
              <w:rPr>
                <w:sz w:val="11"/>
              </w:rPr>
            </w:pPr>
            <w:r>
              <w:rPr>
                <w:spacing w:val="-10"/>
                <w:w w:val="105"/>
                <w:sz w:val="11"/>
              </w:rPr>
              <w:t>-</w:t>
            </w:r>
          </w:p>
        </w:tc>
      </w:tr>
      <w:tr>
        <w:trPr>
          <w:trHeight w:val="149" w:hRule="atLeast"/>
        </w:trPr>
        <w:tc>
          <w:tcPr>
            <w:tcW w:w="3192" w:type="dxa"/>
          </w:tcPr>
          <w:p>
            <w:pPr>
              <w:pStyle w:val="TableParagraph"/>
              <w:spacing w:line="118" w:lineRule="exact" w:before="10"/>
              <w:ind w:left="28"/>
              <w:rPr>
                <w:sz w:val="11"/>
              </w:rPr>
            </w:pPr>
            <w:r>
              <w:rPr>
                <w:spacing w:val="-2"/>
                <w:w w:val="105"/>
                <w:sz w:val="11"/>
              </w:rPr>
              <w:t>Fees</w:t>
            </w:r>
            <w:r>
              <w:rPr>
                <w:spacing w:val="-1"/>
                <w:w w:val="105"/>
                <w:sz w:val="11"/>
              </w:rPr>
              <w:t> </w:t>
            </w:r>
            <w:r>
              <w:rPr>
                <w:spacing w:val="-2"/>
                <w:w w:val="105"/>
                <w:sz w:val="11"/>
              </w:rPr>
              <w:t>and</w:t>
            </w:r>
            <w:r>
              <w:rPr>
                <w:spacing w:val="-1"/>
                <w:sz w:val="11"/>
              </w:rPr>
              <w:t> </w:t>
            </w:r>
            <w:r>
              <w:rPr>
                <w:spacing w:val="-2"/>
                <w:w w:val="105"/>
                <w:sz w:val="11"/>
              </w:rPr>
              <w:t>charges</w:t>
            </w:r>
          </w:p>
        </w:tc>
        <w:tc>
          <w:tcPr>
            <w:tcW w:w="737" w:type="dxa"/>
          </w:tcPr>
          <w:p>
            <w:pPr>
              <w:pStyle w:val="TableParagraph"/>
              <w:rPr>
                <w:rFonts w:ascii="Times New Roman"/>
                <w:sz w:val="8"/>
              </w:rPr>
            </w:pPr>
          </w:p>
        </w:tc>
        <w:tc>
          <w:tcPr>
            <w:tcW w:w="779" w:type="dxa"/>
          </w:tcPr>
          <w:p>
            <w:pPr>
              <w:pStyle w:val="TableParagraph"/>
              <w:spacing w:line="118" w:lineRule="exact" w:before="10"/>
              <w:ind w:right="67"/>
              <w:jc w:val="right"/>
              <w:rPr>
                <w:sz w:val="11"/>
              </w:rPr>
            </w:pPr>
            <w:r>
              <w:rPr>
                <w:spacing w:val="-2"/>
                <w:w w:val="105"/>
                <w:sz w:val="11"/>
              </w:rPr>
              <w:t>176,181</w:t>
            </w:r>
          </w:p>
        </w:tc>
        <w:tc>
          <w:tcPr>
            <w:tcW w:w="892" w:type="dxa"/>
          </w:tcPr>
          <w:p>
            <w:pPr>
              <w:pStyle w:val="TableParagraph"/>
              <w:spacing w:line="118" w:lineRule="exact" w:before="10"/>
              <w:ind w:right="121"/>
              <w:jc w:val="right"/>
              <w:rPr>
                <w:sz w:val="11"/>
              </w:rPr>
            </w:pPr>
            <w:r>
              <w:rPr>
                <w:spacing w:val="-2"/>
                <w:w w:val="105"/>
                <w:sz w:val="11"/>
              </w:rPr>
              <w:t>176,181</w:t>
            </w:r>
          </w:p>
        </w:tc>
        <w:tc>
          <w:tcPr>
            <w:tcW w:w="753" w:type="dxa"/>
          </w:tcPr>
          <w:p>
            <w:pPr>
              <w:pStyle w:val="TableParagraph"/>
              <w:rPr>
                <w:rFonts w:ascii="Times New Roman"/>
                <w:sz w:val="8"/>
              </w:rPr>
            </w:pPr>
          </w:p>
        </w:tc>
        <w:tc>
          <w:tcPr>
            <w:tcW w:w="720" w:type="dxa"/>
          </w:tcPr>
          <w:p>
            <w:pPr>
              <w:pStyle w:val="TableParagraph"/>
              <w:spacing w:line="118" w:lineRule="exact" w:before="10"/>
              <w:ind w:right="41"/>
              <w:jc w:val="right"/>
              <w:rPr>
                <w:sz w:val="11"/>
              </w:rPr>
            </w:pPr>
            <w:r>
              <w:rPr>
                <w:spacing w:val="-2"/>
                <w:w w:val="105"/>
                <w:sz w:val="11"/>
              </w:rPr>
              <w:t>174,945</w:t>
            </w:r>
          </w:p>
        </w:tc>
        <w:tc>
          <w:tcPr>
            <w:tcW w:w="853" w:type="dxa"/>
          </w:tcPr>
          <w:p>
            <w:pPr>
              <w:pStyle w:val="TableParagraph"/>
              <w:spacing w:line="118" w:lineRule="exact" w:before="10"/>
              <w:ind w:right="118"/>
              <w:jc w:val="right"/>
              <w:rPr>
                <w:sz w:val="11"/>
              </w:rPr>
            </w:pPr>
            <w:r>
              <w:rPr>
                <w:spacing w:val="-2"/>
                <w:w w:val="105"/>
                <w:sz w:val="11"/>
              </w:rPr>
              <w:t>174,945</w:t>
            </w:r>
          </w:p>
        </w:tc>
        <w:tc>
          <w:tcPr>
            <w:tcW w:w="708" w:type="dxa"/>
          </w:tcPr>
          <w:p>
            <w:pPr>
              <w:pStyle w:val="TableParagraph"/>
              <w:spacing w:line="118" w:lineRule="exact" w:before="10"/>
              <w:ind w:right="12"/>
              <w:jc w:val="right"/>
              <w:rPr>
                <w:sz w:val="11"/>
              </w:rPr>
            </w:pPr>
            <w:r>
              <w:rPr>
                <w:spacing w:val="-10"/>
                <w:w w:val="105"/>
                <w:sz w:val="11"/>
              </w:rPr>
              <w:t>-</w:t>
            </w:r>
          </w:p>
        </w:tc>
      </w:tr>
      <w:tr>
        <w:trPr>
          <w:trHeight w:val="149" w:hRule="atLeast"/>
        </w:trPr>
        <w:tc>
          <w:tcPr>
            <w:tcW w:w="3192" w:type="dxa"/>
          </w:tcPr>
          <w:p>
            <w:pPr>
              <w:pStyle w:val="TableParagraph"/>
              <w:spacing w:line="118" w:lineRule="exact" w:before="10"/>
              <w:ind w:left="28"/>
              <w:rPr>
                <w:sz w:val="11"/>
              </w:rPr>
            </w:pPr>
            <w:r>
              <w:rPr>
                <w:sz w:val="11"/>
              </w:rPr>
              <w:t>Investment</w:t>
            </w:r>
            <w:r>
              <w:rPr>
                <w:spacing w:val="9"/>
                <w:sz w:val="11"/>
              </w:rPr>
              <w:t> </w:t>
            </w:r>
            <w:r>
              <w:rPr>
                <w:sz w:val="11"/>
              </w:rPr>
              <w:t>revenue</w:t>
            </w:r>
            <w:r>
              <w:rPr>
                <w:spacing w:val="8"/>
                <w:sz w:val="11"/>
              </w:rPr>
              <w:t> </w:t>
            </w:r>
            <w:r>
              <w:rPr>
                <w:sz w:val="11"/>
              </w:rPr>
              <w:t>and</w:t>
            </w:r>
            <w:r>
              <w:rPr>
                <w:spacing w:val="8"/>
                <w:sz w:val="11"/>
              </w:rPr>
              <w:t> </w:t>
            </w:r>
            <w:r>
              <w:rPr>
                <w:spacing w:val="-2"/>
                <w:sz w:val="11"/>
              </w:rPr>
              <w:t>income</w:t>
            </w:r>
          </w:p>
        </w:tc>
        <w:tc>
          <w:tcPr>
            <w:tcW w:w="737" w:type="dxa"/>
          </w:tcPr>
          <w:p>
            <w:pPr>
              <w:pStyle w:val="TableParagraph"/>
              <w:rPr>
                <w:rFonts w:ascii="Times New Roman"/>
                <w:sz w:val="8"/>
              </w:rPr>
            </w:pPr>
          </w:p>
        </w:tc>
        <w:tc>
          <w:tcPr>
            <w:tcW w:w="779" w:type="dxa"/>
          </w:tcPr>
          <w:p>
            <w:pPr>
              <w:pStyle w:val="TableParagraph"/>
              <w:spacing w:line="118" w:lineRule="exact" w:before="10"/>
              <w:ind w:right="67"/>
              <w:jc w:val="right"/>
              <w:rPr>
                <w:sz w:val="11"/>
              </w:rPr>
            </w:pPr>
            <w:r>
              <w:rPr>
                <w:spacing w:val="-2"/>
                <w:w w:val="105"/>
                <w:sz w:val="11"/>
              </w:rPr>
              <w:t>58,571</w:t>
            </w:r>
          </w:p>
        </w:tc>
        <w:tc>
          <w:tcPr>
            <w:tcW w:w="892" w:type="dxa"/>
          </w:tcPr>
          <w:p>
            <w:pPr>
              <w:pStyle w:val="TableParagraph"/>
              <w:spacing w:line="118" w:lineRule="exact" w:before="10"/>
              <w:ind w:right="121"/>
              <w:jc w:val="right"/>
              <w:rPr>
                <w:sz w:val="11"/>
              </w:rPr>
            </w:pPr>
            <w:r>
              <w:rPr>
                <w:spacing w:val="-2"/>
                <w:w w:val="105"/>
                <w:sz w:val="11"/>
              </w:rPr>
              <w:t>58,571</w:t>
            </w:r>
          </w:p>
        </w:tc>
        <w:tc>
          <w:tcPr>
            <w:tcW w:w="753" w:type="dxa"/>
          </w:tcPr>
          <w:p>
            <w:pPr>
              <w:pStyle w:val="TableParagraph"/>
              <w:rPr>
                <w:rFonts w:ascii="Times New Roman"/>
                <w:sz w:val="8"/>
              </w:rPr>
            </w:pPr>
          </w:p>
        </w:tc>
        <w:tc>
          <w:tcPr>
            <w:tcW w:w="720" w:type="dxa"/>
          </w:tcPr>
          <w:p>
            <w:pPr>
              <w:pStyle w:val="TableParagraph"/>
              <w:spacing w:line="118" w:lineRule="exact" w:before="10"/>
              <w:ind w:right="41"/>
              <w:jc w:val="right"/>
              <w:rPr>
                <w:sz w:val="11"/>
              </w:rPr>
            </w:pPr>
            <w:r>
              <w:rPr>
                <w:spacing w:val="-2"/>
                <w:w w:val="105"/>
                <w:sz w:val="11"/>
              </w:rPr>
              <w:t>58,556</w:t>
            </w:r>
          </w:p>
        </w:tc>
        <w:tc>
          <w:tcPr>
            <w:tcW w:w="853" w:type="dxa"/>
          </w:tcPr>
          <w:p>
            <w:pPr>
              <w:pStyle w:val="TableParagraph"/>
              <w:spacing w:line="118" w:lineRule="exact" w:before="10"/>
              <w:ind w:right="118"/>
              <w:jc w:val="right"/>
              <w:rPr>
                <w:sz w:val="11"/>
              </w:rPr>
            </w:pPr>
            <w:r>
              <w:rPr>
                <w:spacing w:val="-2"/>
                <w:w w:val="105"/>
                <w:sz w:val="11"/>
              </w:rPr>
              <w:t>58,556</w:t>
            </w:r>
          </w:p>
        </w:tc>
        <w:tc>
          <w:tcPr>
            <w:tcW w:w="708" w:type="dxa"/>
          </w:tcPr>
          <w:p>
            <w:pPr>
              <w:pStyle w:val="TableParagraph"/>
              <w:spacing w:line="118" w:lineRule="exact" w:before="10"/>
              <w:ind w:right="12"/>
              <w:jc w:val="right"/>
              <w:rPr>
                <w:sz w:val="11"/>
              </w:rPr>
            </w:pPr>
            <w:r>
              <w:rPr>
                <w:spacing w:val="-10"/>
                <w:w w:val="105"/>
                <w:sz w:val="11"/>
              </w:rPr>
              <w:t>-</w:t>
            </w:r>
          </w:p>
        </w:tc>
      </w:tr>
      <w:tr>
        <w:trPr>
          <w:trHeight w:val="149" w:hRule="atLeast"/>
        </w:trPr>
        <w:tc>
          <w:tcPr>
            <w:tcW w:w="3192" w:type="dxa"/>
          </w:tcPr>
          <w:p>
            <w:pPr>
              <w:pStyle w:val="TableParagraph"/>
              <w:spacing w:line="118" w:lineRule="exact" w:before="10"/>
              <w:ind w:left="28"/>
              <w:rPr>
                <w:sz w:val="11"/>
              </w:rPr>
            </w:pPr>
            <w:r>
              <w:rPr>
                <w:sz w:val="11"/>
              </w:rPr>
              <w:t>Royalties,</w:t>
            </w:r>
            <w:r>
              <w:rPr>
                <w:spacing w:val="7"/>
                <w:sz w:val="11"/>
              </w:rPr>
              <w:t> </w:t>
            </w:r>
            <w:r>
              <w:rPr>
                <w:sz w:val="11"/>
              </w:rPr>
              <w:t>trademarks</w:t>
            </w:r>
            <w:r>
              <w:rPr>
                <w:spacing w:val="8"/>
                <w:sz w:val="11"/>
              </w:rPr>
              <w:t> </w:t>
            </w:r>
            <w:r>
              <w:rPr>
                <w:sz w:val="11"/>
              </w:rPr>
              <w:t>and</w:t>
            </w:r>
            <w:r>
              <w:rPr>
                <w:spacing w:val="6"/>
                <w:sz w:val="11"/>
              </w:rPr>
              <w:t> </w:t>
            </w:r>
            <w:r>
              <w:rPr>
                <w:spacing w:val="-2"/>
                <w:sz w:val="11"/>
              </w:rPr>
              <w:t>licences</w:t>
            </w:r>
          </w:p>
        </w:tc>
        <w:tc>
          <w:tcPr>
            <w:tcW w:w="737" w:type="dxa"/>
          </w:tcPr>
          <w:p>
            <w:pPr>
              <w:pStyle w:val="TableParagraph"/>
              <w:rPr>
                <w:rFonts w:ascii="Times New Roman"/>
                <w:sz w:val="8"/>
              </w:rPr>
            </w:pPr>
          </w:p>
        </w:tc>
        <w:tc>
          <w:tcPr>
            <w:tcW w:w="779" w:type="dxa"/>
          </w:tcPr>
          <w:p>
            <w:pPr>
              <w:pStyle w:val="TableParagraph"/>
              <w:spacing w:line="118" w:lineRule="exact" w:before="10"/>
              <w:ind w:right="67"/>
              <w:jc w:val="right"/>
              <w:rPr>
                <w:sz w:val="11"/>
              </w:rPr>
            </w:pPr>
            <w:r>
              <w:rPr>
                <w:spacing w:val="-2"/>
                <w:w w:val="105"/>
                <w:sz w:val="11"/>
              </w:rPr>
              <w:t>7,328</w:t>
            </w:r>
          </w:p>
        </w:tc>
        <w:tc>
          <w:tcPr>
            <w:tcW w:w="892" w:type="dxa"/>
          </w:tcPr>
          <w:p>
            <w:pPr>
              <w:pStyle w:val="TableParagraph"/>
              <w:spacing w:line="118" w:lineRule="exact" w:before="10"/>
              <w:ind w:right="121"/>
              <w:jc w:val="right"/>
              <w:rPr>
                <w:sz w:val="11"/>
              </w:rPr>
            </w:pPr>
            <w:r>
              <w:rPr>
                <w:spacing w:val="-2"/>
                <w:w w:val="105"/>
                <w:sz w:val="11"/>
              </w:rPr>
              <w:t>7,328</w:t>
            </w:r>
          </w:p>
        </w:tc>
        <w:tc>
          <w:tcPr>
            <w:tcW w:w="753" w:type="dxa"/>
          </w:tcPr>
          <w:p>
            <w:pPr>
              <w:pStyle w:val="TableParagraph"/>
              <w:rPr>
                <w:rFonts w:ascii="Times New Roman"/>
                <w:sz w:val="8"/>
              </w:rPr>
            </w:pPr>
          </w:p>
        </w:tc>
        <w:tc>
          <w:tcPr>
            <w:tcW w:w="720" w:type="dxa"/>
          </w:tcPr>
          <w:p>
            <w:pPr>
              <w:pStyle w:val="TableParagraph"/>
              <w:spacing w:line="118" w:lineRule="exact" w:before="10"/>
              <w:ind w:right="41"/>
              <w:jc w:val="right"/>
              <w:rPr>
                <w:sz w:val="11"/>
              </w:rPr>
            </w:pPr>
            <w:r>
              <w:rPr>
                <w:spacing w:val="-2"/>
                <w:w w:val="105"/>
                <w:sz w:val="11"/>
              </w:rPr>
              <w:t>7,328</w:t>
            </w:r>
          </w:p>
        </w:tc>
        <w:tc>
          <w:tcPr>
            <w:tcW w:w="853" w:type="dxa"/>
          </w:tcPr>
          <w:p>
            <w:pPr>
              <w:pStyle w:val="TableParagraph"/>
              <w:spacing w:line="118" w:lineRule="exact" w:before="10"/>
              <w:ind w:right="118"/>
              <w:jc w:val="right"/>
              <w:rPr>
                <w:sz w:val="11"/>
              </w:rPr>
            </w:pPr>
            <w:r>
              <w:rPr>
                <w:spacing w:val="-2"/>
                <w:w w:val="105"/>
                <w:sz w:val="11"/>
              </w:rPr>
              <w:t>7,328</w:t>
            </w:r>
          </w:p>
        </w:tc>
        <w:tc>
          <w:tcPr>
            <w:tcW w:w="708" w:type="dxa"/>
          </w:tcPr>
          <w:p>
            <w:pPr>
              <w:pStyle w:val="TableParagraph"/>
              <w:spacing w:line="118" w:lineRule="exact" w:before="10"/>
              <w:ind w:right="12"/>
              <w:jc w:val="right"/>
              <w:rPr>
                <w:sz w:val="11"/>
              </w:rPr>
            </w:pPr>
            <w:r>
              <w:rPr>
                <w:spacing w:val="-10"/>
                <w:w w:val="105"/>
                <w:sz w:val="11"/>
              </w:rPr>
              <w:t>-</w:t>
            </w:r>
          </w:p>
        </w:tc>
      </w:tr>
      <w:tr>
        <w:trPr>
          <w:trHeight w:val="149" w:hRule="atLeast"/>
        </w:trPr>
        <w:tc>
          <w:tcPr>
            <w:tcW w:w="3192" w:type="dxa"/>
          </w:tcPr>
          <w:p>
            <w:pPr>
              <w:pStyle w:val="TableParagraph"/>
              <w:spacing w:line="118" w:lineRule="exact" w:before="10"/>
              <w:ind w:left="28"/>
              <w:rPr>
                <w:sz w:val="11"/>
              </w:rPr>
            </w:pPr>
            <w:r>
              <w:rPr>
                <w:sz w:val="11"/>
              </w:rPr>
              <w:t>Consultancy</w:t>
            </w:r>
            <w:r>
              <w:rPr>
                <w:spacing w:val="7"/>
                <w:sz w:val="11"/>
              </w:rPr>
              <w:t> </w:t>
            </w:r>
            <w:r>
              <w:rPr>
                <w:sz w:val="11"/>
              </w:rPr>
              <w:t>and</w:t>
            </w:r>
            <w:r>
              <w:rPr>
                <w:spacing w:val="7"/>
                <w:sz w:val="11"/>
              </w:rPr>
              <w:t> </w:t>
            </w:r>
            <w:r>
              <w:rPr>
                <w:spacing w:val="-2"/>
                <w:sz w:val="11"/>
              </w:rPr>
              <w:t>contracts</w:t>
            </w:r>
          </w:p>
        </w:tc>
        <w:tc>
          <w:tcPr>
            <w:tcW w:w="737" w:type="dxa"/>
          </w:tcPr>
          <w:p>
            <w:pPr>
              <w:pStyle w:val="TableParagraph"/>
              <w:spacing w:line="118" w:lineRule="exact" w:before="10"/>
              <w:ind w:left="2" w:right="22"/>
              <w:jc w:val="center"/>
              <w:rPr>
                <w:b/>
                <w:sz w:val="11"/>
              </w:rPr>
            </w:pPr>
            <w:r>
              <w:rPr>
                <w:b/>
                <w:w w:val="105"/>
                <w:sz w:val="11"/>
              </w:rPr>
              <w:t>a,</w:t>
            </w:r>
            <w:r>
              <w:rPr>
                <w:b/>
                <w:spacing w:val="-5"/>
                <w:w w:val="105"/>
                <w:sz w:val="11"/>
              </w:rPr>
              <w:t> </w:t>
            </w:r>
            <w:r>
              <w:rPr>
                <w:b/>
                <w:w w:val="105"/>
                <w:sz w:val="11"/>
              </w:rPr>
              <w:t>b,</w:t>
            </w:r>
            <w:r>
              <w:rPr>
                <w:b/>
                <w:spacing w:val="-4"/>
                <w:w w:val="105"/>
                <w:sz w:val="11"/>
              </w:rPr>
              <w:t> </w:t>
            </w:r>
            <w:r>
              <w:rPr>
                <w:b/>
                <w:spacing w:val="-12"/>
                <w:w w:val="105"/>
                <w:sz w:val="11"/>
              </w:rPr>
              <w:t>c</w:t>
            </w:r>
          </w:p>
        </w:tc>
        <w:tc>
          <w:tcPr>
            <w:tcW w:w="779" w:type="dxa"/>
          </w:tcPr>
          <w:p>
            <w:pPr>
              <w:pStyle w:val="TableParagraph"/>
              <w:spacing w:line="118" w:lineRule="exact" w:before="10"/>
              <w:ind w:right="67"/>
              <w:jc w:val="right"/>
              <w:rPr>
                <w:sz w:val="11"/>
              </w:rPr>
            </w:pPr>
            <w:r>
              <w:rPr>
                <w:spacing w:val="-2"/>
                <w:w w:val="105"/>
                <w:sz w:val="11"/>
              </w:rPr>
              <w:t>80,173</w:t>
            </w:r>
          </w:p>
        </w:tc>
        <w:tc>
          <w:tcPr>
            <w:tcW w:w="892" w:type="dxa"/>
          </w:tcPr>
          <w:p>
            <w:pPr>
              <w:pStyle w:val="TableParagraph"/>
              <w:spacing w:line="118" w:lineRule="exact" w:before="10"/>
              <w:ind w:right="121"/>
              <w:jc w:val="right"/>
              <w:rPr>
                <w:sz w:val="11"/>
              </w:rPr>
            </w:pPr>
            <w:r>
              <w:rPr>
                <w:spacing w:val="-2"/>
                <w:w w:val="105"/>
                <w:sz w:val="11"/>
              </w:rPr>
              <w:t>83,366</w:t>
            </w:r>
          </w:p>
        </w:tc>
        <w:tc>
          <w:tcPr>
            <w:tcW w:w="753" w:type="dxa"/>
          </w:tcPr>
          <w:p>
            <w:pPr>
              <w:pStyle w:val="TableParagraph"/>
              <w:spacing w:line="118" w:lineRule="exact" w:before="10"/>
              <w:ind w:right="61"/>
              <w:jc w:val="right"/>
              <w:rPr>
                <w:sz w:val="11"/>
              </w:rPr>
            </w:pPr>
            <w:r>
              <w:rPr>
                <w:spacing w:val="-2"/>
                <w:w w:val="105"/>
                <w:sz w:val="11"/>
              </w:rPr>
              <w:t>(3,193)</w:t>
            </w:r>
          </w:p>
        </w:tc>
        <w:tc>
          <w:tcPr>
            <w:tcW w:w="720" w:type="dxa"/>
          </w:tcPr>
          <w:p>
            <w:pPr>
              <w:pStyle w:val="TableParagraph"/>
              <w:spacing w:line="118" w:lineRule="exact" w:before="10"/>
              <w:ind w:right="41"/>
              <w:jc w:val="right"/>
              <w:rPr>
                <w:sz w:val="11"/>
              </w:rPr>
            </w:pPr>
            <w:r>
              <w:rPr>
                <w:spacing w:val="-2"/>
                <w:w w:val="105"/>
                <w:sz w:val="11"/>
              </w:rPr>
              <w:t>80,173</w:t>
            </w:r>
          </w:p>
        </w:tc>
        <w:tc>
          <w:tcPr>
            <w:tcW w:w="853" w:type="dxa"/>
          </w:tcPr>
          <w:p>
            <w:pPr>
              <w:pStyle w:val="TableParagraph"/>
              <w:spacing w:line="118" w:lineRule="exact" w:before="10"/>
              <w:ind w:right="118"/>
              <w:jc w:val="right"/>
              <w:rPr>
                <w:sz w:val="11"/>
              </w:rPr>
            </w:pPr>
            <w:r>
              <w:rPr>
                <w:spacing w:val="-2"/>
                <w:w w:val="105"/>
                <w:sz w:val="11"/>
              </w:rPr>
              <w:t>83,366</w:t>
            </w:r>
          </w:p>
        </w:tc>
        <w:tc>
          <w:tcPr>
            <w:tcW w:w="708" w:type="dxa"/>
          </w:tcPr>
          <w:p>
            <w:pPr>
              <w:pStyle w:val="TableParagraph"/>
              <w:spacing w:line="118" w:lineRule="exact" w:before="10"/>
              <w:ind w:right="13"/>
              <w:jc w:val="right"/>
              <w:rPr>
                <w:sz w:val="11"/>
              </w:rPr>
            </w:pPr>
            <w:r>
              <w:rPr>
                <w:spacing w:val="-2"/>
                <w:w w:val="105"/>
                <w:sz w:val="11"/>
              </w:rPr>
              <w:t>(3,193)</w:t>
            </w:r>
          </w:p>
        </w:tc>
      </w:tr>
      <w:tr>
        <w:trPr>
          <w:trHeight w:val="149" w:hRule="atLeast"/>
        </w:trPr>
        <w:tc>
          <w:tcPr>
            <w:tcW w:w="3192" w:type="dxa"/>
          </w:tcPr>
          <w:p>
            <w:pPr>
              <w:pStyle w:val="TableParagraph"/>
              <w:spacing w:line="118" w:lineRule="exact" w:before="10"/>
              <w:ind w:left="28"/>
              <w:rPr>
                <w:sz w:val="11"/>
              </w:rPr>
            </w:pPr>
            <w:r>
              <w:rPr>
                <w:spacing w:val="-2"/>
                <w:w w:val="105"/>
                <w:sz w:val="11"/>
              </w:rPr>
              <w:t>Gains</w:t>
            </w:r>
            <w:r>
              <w:rPr>
                <w:spacing w:val="1"/>
                <w:w w:val="105"/>
                <w:sz w:val="11"/>
              </w:rPr>
              <w:t> </w:t>
            </w:r>
            <w:r>
              <w:rPr>
                <w:spacing w:val="-2"/>
                <w:w w:val="105"/>
                <w:sz w:val="11"/>
              </w:rPr>
              <w:t>on</w:t>
            </w:r>
            <w:r>
              <w:rPr>
                <w:spacing w:val="-1"/>
                <w:w w:val="105"/>
                <w:sz w:val="11"/>
              </w:rPr>
              <w:t> </w:t>
            </w:r>
            <w:r>
              <w:rPr>
                <w:spacing w:val="-2"/>
                <w:w w:val="105"/>
                <w:sz w:val="11"/>
              </w:rPr>
              <w:t>disposal</w:t>
            </w:r>
            <w:r>
              <w:rPr>
                <w:w w:val="105"/>
                <w:sz w:val="11"/>
              </w:rPr>
              <w:t> </w:t>
            </w:r>
            <w:r>
              <w:rPr>
                <w:spacing w:val="-2"/>
                <w:w w:val="105"/>
                <w:sz w:val="11"/>
              </w:rPr>
              <w:t>of</w:t>
            </w:r>
            <w:r>
              <w:rPr>
                <w:w w:val="105"/>
                <w:sz w:val="11"/>
              </w:rPr>
              <w:t> </w:t>
            </w:r>
            <w:r>
              <w:rPr>
                <w:spacing w:val="-2"/>
                <w:w w:val="105"/>
                <w:sz w:val="11"/>
              </w:rPr>
              <w:t>assets</w:t>
            </w:r>
          </w:p>
        </w:tc>
        <w:tc>
          <w:tcPr>
            <w:tcW w:w="737" w:type="dxa"/>
          </w:tcPr>
          <w:p>
            <w:pPr>
              <w:pStyle w:val="TableParagraph"/>
              <w:rPr>
                <w:rFonts w:ascii="Times New Roman"/>
                <w:sz w:val="8"/>
              </w:rPr>
            </w:pPr>
          </w:p>
        </w:tc>
        <w:tc>
          <w:tcPr>
            <w:tcW w:w="779" w:type="dxa"/>
          </w:tcPr>
          <w:p>
            <w:pPr>
              <w:pStyle w:val="TableParagraph"/>
              <w:spacing w:line="118" w:lineRule="exact" w:before="10"/>
              <w:ind w:right="67"/>
              <w:jc w:val="right"/>
              <w:rPr>
                <w:sz w:val="11"/>
              </w:rPr>
            </w:pPr>
            <w:r>
              <w:rPr>
                <w:spacing w:val="-5"/>
                <w:w w:val="105"/>
                <w:sz w:val="11"/>
              </w:rPr>
              <w:t>92</w:t>
            </w:r>
          </w:p>
        </w:tc>
        <w:tc>
          <w:tcPr>
            <w:tcW w:w="892" w:type="dxa"/>
          </w:tcPr>
          <w:p>
            <w:pPr>
              <w:pStyle w:val="TableParagraph"/>
              <w:spacing w:line="118" w:lineRule="exact" w:before="10"/>
              <w:ind w:right="121"/>
              <w:jc w:val="right"/>
              <w:rPr>
                <w:sz w:val="11"/>
              </w:rPr>
            </w:pPr>
            <w:r>
              <w:rPr>
                <w:spacing w:val="-5"/>
                <w:w w:val="105"/>
                <w:sz w:val="11"/>
              </w:rPr>
              <w:t>92</w:t>
            </w:r>
          </w:p>
        </w:tc>
        <w:tc>
          <w:tcPr>
            <w:tcW w:w="753" w:type="dxa"/>
          </w:tcPr>
          <w:p>
            <w:pPr>
              <w:pStyle w:val="TableParagraph"/>
              <w:rPr>
                <w:rFonts w:ascii="Times New Roman"/>
                <w:sz w:val="8"/>
              </w:rPr>
            </w:pPr>
          </w:p>
        </w:tc>
        <w:tc>
          <w:tcPr>
            <w:tcW w:w="720" w:type="dxa"/>
          </w:tcPr>
          <w:p>
            <w:pPr>
              <w:pStyle w:val="TableParagraph"/>
              <w:spacing w:line="118" w:lineRule="exact" w:before="10"/>
              <w:ind w:right="41"/>
              <w:jc w:val="right"/>
              <w:rPr>
                <w:sz w:val="11"/>
              </w:rPr>
            </w:pPr>
            <w:r>
              <w:rPr>
                <w:spacing w:val="-5"/>
                <w:w w:val="105"/>
                <w:sz w:val="11"/>
              </w:rPr>
              <w:t>96</w:t>
            </w:r>
          </w:p>
        </w:tc>
        <w:tc>
          <w:tcPr>
            <w:tcW w:w="853" w:type="dxa"/>
          </w:tcPr>
          <w:p>
            <w:pPr>
              <w:pStyle w:val="TableParagraph"/>
              <w:spacing w:line="118" w:lineRule="exact" w:before="10"/>
              <w:ind w:right="118"/>
              <w:jc w:val="right"/>
              <w:rPr>
                <w:sz w:val="11"/>
              </w:rPr>
            </w:pPr>
            <w:r>
              <w:rPr>
                <w:spacing w:val="-5"/>
                <w:w w:val="105"/>
                <w:sz w:val="11"/>
              </w:rPr>
              <w:t>96</w:t>
            </w:r>
          </w:p>
        </w:tc>
        <w:tc>
          <w:tcPr>
            <w:tcW w:w="708" w:type="dxa"/>
          </w:tcPr>
          <w:p>
            <w:pPr>
              <w:pStyle w:val="TableParagraph"/>
              <w:rPr>
                <w:rFonts w:ascii="Times New Roman"/>
                <w:sz w:val="8"/>
              </w:rPr>
            </w:pPr>
          </w:p>
        </w:tc>
      </w:tr>
      <w:tr>
        <w:trPr>
          <w:trHeight w:val="138" w:hRule="atLeast"/>
        </w:trPr>
        <w:tc>
          <w:tcPr>
            <w:tcW w:w="3192" w:type="dxa"/>
          </w:tcPr>
          <w:p>
            <w:pPr>
              <w:pStyle w:val="TableParagraph"/>
              <w:spacing w:line="108" w:lineRule="exact" w:before="10"/>
              <w:ind w:left="28"/>
              <w:rPr>
                <w:sz w:val="11"/>
              </w:rPr>
            </w:pPr>
            <w:r>
              <w:rPr>
                <w:sz w:val="11"/>
              </w:rPr>
              <w:t>Other</w:t>
            </w:r>
            <w:r>
              <w:rPr>
                <w:spacing w:val="6"/>
                <w:sz w:val="11"/>
              </w:rPr>
              <w:t> </w:t>
            </w:r>
            <w:r>
              <w:rPr>
                <w:sz w:val="11"/>
              </w:rPr>
              <w:t>revenue</w:t>
            </w:r>
            <w:r>
              <w:rPr>
                <w:spacing w:val="6"/>
                <w:sz w:val="11"/>
              </w:rPr>
              <w:t> </w:t>
            </w:r>
            <w:r>
              <w:rPr>
                <w:sz w:val="11"/>
              </w:rPr>
              <w:t>and</w:t>
            </w:r>
            <w:r>
              <w:rPr>
                <w:spacing w:val="5"/>
                <w:sz w:val="11"/>
              </w:rPr>
              <w:t> </w:t>
            </w:r>
            <w:r>
              <w:rPr>
                <w:spacing w:val="-2"/>
                <w:sz w:val="11"/>
              </w:rPr>
              <w:t>income</w:t>
            </w:r>
          </w:p>
        </w:tc>
        <w:tc>
          <w:tcPr>
            <w:tcW w:w="737" w:type="dxa"/>
          </w:tcPr>
          <w:p>
            <w:pPr>
              <w:pStyle w:val="TableParagraph"/>
              <w:spacing w:line="108" w:lineRule="exact" w:before="10"/>
              <w:ind w:left="2" w:right="22"/>
              <w:jc w:val="center"/>
              <w:rPr>
                <w:b/>
                <w:sz w:val="11"/>
              </w:rPr>
            </w:pPr>
            <w:r>
              <w:rPr>
                <w:b/>
                <w:w w:val="105"/>
                <w:sz w:val="11"/>
              </w:rPr>
              <w:t>b,</w:t>
            </w:r>
            <w:r>
              <w:rPr>
                <w:b/>
                <w:spacing w:val="-5"/>
                <w:w w:val="105"/>
                <w:sz w:val="11"/>
              </w:rPr>
              <w:t> </w:t>
            </w:r>
            <w:r>
              <w:rPr>
                <w:b/>
                <w:spacing w:val="-12"/>
                <w:w w:val="105"/>
                <w:sz w:val="11"/>
              </w:rPr>
              <w:t>c</w:t>
            </w:r>
          </w:p>
        </w:tc>
        <w:tc>
          <w:tcPr>
            <w:tcW w:w="779" w:type="dxa"/>
            <w:tcBorders>
              <w:bottom w:val="single" w:sz="6" w:space="0" w:color="000000"/>
            </w:tcBorders>
          </w:tcPr>
          <w:p>
            <w:pPr>
              <w:pStyle w:val="TableParagraph"/>
              <w:spacing w:line="108" w:lineRule="exact" w:before="10"/>
              <w:ind w:right="67"/>
              <w:jc w:val="right"/>
              <w:rPr>
                <w:sz w:val="11"/>
              </w:rPr>
            </w:pPr>
            <w:r>
              <w:rPr>
                <w:spacing w:val="-2"/>
                <w:w w:val="105"/>
                <w:sz w:val="11"/>
              </w:rPr>
              <w:t>110,641</w:t>
            </w:r>
          </w:p>
        </w:tc>
        <w:tc>
          <w:tcPr>
            <w:tcW w:w="892" w:type="dxa"/>
            <w:tcBorders>
              <w:bottom w:val="single" w:sz="6" w:space="0" w:color="000000"/>
            </w:tcBorders>
          </w:tcPr>
          <w:p>
            <w:pPr>
              <w:pStyle w:val="TableParagraph"/>
              <w:spacing w:line="108" w:lineRule="exact" w:before="10"/>
              <w:ind w:right="121"/>
              <w:jc w:val="right"/>
              <w:rPr>
                <w:sz w:val="11"/>
              </w:rPr>
            </w:pPr>
            <w:r>
              <w:rPr>
                <w:spacing w:val="-2"/>
                <w:w w:val="105"/>
                <w:sz w:val="11"/>
              </w:rPr>
              <w:t>115,779</w:t>
            </w:r>
          </w:p>
        </w:tc>
        <w:tc>
          <w:tcPr>
            <w:tcW w:w="753" w:type="dxa"/>
            <w:tcBorders>
              <w:bottom w:val="single" w:sz="6" w:space="0" w:color="000000"/>
            </w:tcBorders>
          </w:tcPr>
          <w:p>
            <w:pPr>
              <w:pStyle w:val="TableParagraph"/>
              <w:spacing w:line="108" w:lineRule="exact" w:before="10"/>
              <w:ind w:right="61"/>
              <w:jc w:val="right"/>
              <w:rPr>
                <w:sz w:val="11"/>
              </w:rPr>
            </w:pPr>
            <w:r>
              <w:rPr>
                <w:spacing w:val="-2"/>
                <w:w w:val="105"/>
                <w:sz w:val="11"/>
              </w:rPr>
              <w:t>(5,138)</w:t>
            </w:r>
          </w:p>
        </w:tc>
        <w:tc>
          <w:tcPr>
            <w:tcW w:w="720" w:type="dxa"/>
            <w:tcBorders>
              <w:bottom w:val="single" w:sz="6" w:space="0" w:color="000000"/>
            </w:tcBorders>
          </w:tcPr>
          <w:p>
            <w:pPr>
              <w:pStyle w:val="TableParagraph"/>
              <w:spacing w:line="108" w:lineRule="exact" w:before="10"/>
              <w:ind w:right="41"/>
              <w:jc w:val="right"/>
              <w:rPr>
                <w:sz w:val="11"/>
              </w:rPr>
            </w:pPr>
            <w:r>
              <w:rPr>
                <w:spacing w:val="-2"/>
                <w:w w:val="105"/>
                <w:sz w:val="11"/>
              </w:rPr>
              <w:t>102,484</w:t>
            </w:r>
          </w:p>
        </w:tc>
        <w:tc>
          <w:tcPr>
            <w:tcW w:w="853" w:type="dxa"/>
            <w:tcBorders>
              <w:bottom w:val="single" w:sz="6" w:space="0" w:color="000000"/>
            </w:tcBorders>
          </w:tcPr>
          <w:p>
            <w:pPr>
              <w:pStyle w:val="TableParagraph"/>
              <w:spacing w:line="108" w:lineRule="exact" w:before="10"/>
              <w:ind w:right="118"/>
              <w:jc w:val="right"/>
              <w:rPr>
                <w:sz w:val="11"/>
              </w:rPr>
            </w:pPr>
            <w:r>
              <w:rPr>
                <w:spacing w:val="-2"/>
                <w:w w:val="105"/>
                <w:sz w:val="11"/>
              </w:rPr>
              <w:t>107,622</w:t>
            </w:r>
          </w:p>
        </w:tc>
        <w:tc>
          <w:tcPr>
            <w:tcW w:w="708" w:type="dxa"/>
            <w:tcBorders>
              <w:bottom w:val="single" w:sz="6" w:space="0" w:color="000000"/>
            </w:tcBorders>
          </w:tcPr>
          <w:p>
            <w:pPr>
              <w:pStyle w:val="TableParagraph"/>
              <w:spacing w:line="108" w:lineRule="exact" w:before="10"/>
              <w:ind w:right="13"/>
              <w:jc w:val="right"/>
              <w:rPr>
                <w:sz w:val="11"/>
              </w:rPr>
            </w:pPr>
            <w:r>
              <w:rPr>
                <w:spacing w:val="-2"/>
                <w:w w:val="105"/>
                <w:sz w:val="11"/>
              </w:rPr>
              <w:t>(5,138)</w:t>
            </w:r>
          </w:p>
        </w:tc>
      </w:tr>
      <w:tr>
        <w:trPr>
          <w:trHeight w:val="151" w:hRule="atLeast"/>
        </w:trPr>
        <w:tc>
          <w:tcPr>
            <w:tcW w:w="3192" w:type="dxa"/>
          </w:tcPr>
          <w:p>
            <w:pPr>
              <w:pStyle w:val="TableParagraph"/>
              <w:spacing w:line="117" w:lineRule="exact" w:before="15"/>
              <w:ind w:left="28"/>
              <w:rPr>
                <w:b/>
                <w:sz w:val="11"/>
              </w:rPr>
            </w:pPr>
            <w:r>
              <w:rPr>
                <w:b/>
                <w:sz w:val="11"/>
              </w:rPr>
              <w:t>Total</w:t>
            </w:r>
            <w:r>
              <w:rPr>
                <w:b/>
                <w:spacing w:val="3"/>
                <w:sz w:val="11"/>
              </w:rPr>
              <w:t> </w:t>
            </w:r>
            <w:r>
              <w:rPr>
                <w:b/>
                <w:sz w:val="11"/>
              </w:rPr>
              <w:t>revenue</w:t>
            </w:r>
            <w:r>
              <w:rPr>
                <w:b/>
                <w:spacing w:val="3"/>
                <w:sz w:val="11"/>
              </w:rPr>
              <w:t> </w:t>
            </w:r>
            <w:r>
              <w:rPr>
                <w:b/>
                <w:sz w:val="11"/>
              </w:rPr>
              <w:t>and</w:t>
            </w:r>
            <w:r>
              <w:rPr>
                <w:b/>
                <w:spacing w:val="3"/>
                <w:sz w:val="11"/>
              </w:rPr>
              <w:t> </w:t>
            </w:r>
            <w:r>
              <w:rPr>
                <w:b/>
                <w:sz w:val="11"/>
              </w:rPr>
              <w:t>income</w:t>
            </w:r>
            <w:r>
              <w:rPr>
                <w:b/>
                <w:spacing w:val="3"/>
                <w:sz w:val="11"/>
              </w:rPr>
              <w:t> </w:t>
            </w:r>
            <w:r>
              <w:rPr>
                <w:b/>
                <w:sz w:val="11"/>
              </w:rPr>
              <w:t>from</w:t>
            </w:r>
            <w:r>
              <w:rPr>
                <w:b/>
                <w:spacing w:val="2"/>
                <w:sz w:val="11"/>
              </w:rPr>
              <w:t> </w:t>
            </w:r>
            <w:r>
              <w:rPr>
                <w:b/>
                <w:sz w:val="11"/>
              </w:rPr>
              <w:t>continuing</w:t>
            </w:r>
            <w:r>
              <w:rPr>
                <w:b/>
                <w:spacing w:val="4"/>
                <w:sz w:val="11"/>
              </w:rPr>
              <w:t> </w:t>
            </w:r>
            <w:r>
              <w:rPr>
                <w:b/>
                <w:spacing w:val="-2"/>
                <w:sz w:val="11"/>
              </w:rPr>
              <w:t>operations</w:t>
            </w:r>
          </w:p>
        </w:tc>
        <w:tc>
          <w:tcPr>
            <w:tcW w:w="737" w:type="dxa"/>
          </w:tcPr>
          <w:p>
            <w:pPr>
              <w:pStyle w:val="TableParagraph"/>
              <w:rPr>
                <w:rFonts w:ascii="Times New Roman"/>
                <w:sz w:val="8"/>
              </w:rPr>
            </w:pPr>
          </w:p>
        </w:tc>
        <w:tc>
          <w:tcPr>
            <w:tcW w:w="779" w:type="dxa"/>
            <w:tcBorders>
              <w:top w:val="single" w:sz="6" w:space="0" w:color="000000"/>
              <w:bottom w:val="single" w:sz="6" w:space="0" w:color="000000"/>
            </w:tcBorders>
          </w:tcPr>
          <w:p>
            <w:pPr>
              <w:pStyle w:val="TableParagraph"/>
              <w:spacing w:line="117" w:lineRule="exact" w:before="15"/>
              <w:ind w:right="67"/>
              <w:jc w:val="right"/>
              <w:rPr>
                <w:b/>
                <w:sz w:val="11"/>
              </w:rPr>
            </w:pPr>
            <w:r>
              <w:rPr>
                <w:b/>
                <w:spacing w:val="-2"/>
                <w:w w:val="105"/>
                <w:sz w:val="11"/>
              </w:rPr>
              <w:t>993,322</w:t>
            </w:r>
          </w:p>
        </w:tc>
        <w:tc>
          <w:tcPr>
            <w:tcW w:w="892" w:type="dxa"/>
            <w:tcBorders>
              <w:top w:val="single" w:sz="6" w:space="0" w:color="000000"/>
              <w:bottom w:val="single" w:sz="6" w:space="0" w:color="000000"/>
            </w:tcBorders>
          </w:tcPr>
          <w:p>
            <w:pPr>
              <w:pStyle w:val="TableParagraph"/>
              <w:spacing w:line="117" w:lineRule="exact" w:before="15"/>
              <w:ind w:right="121"/>
              <w:jc w:val="right"/>
              <w:rPr>
                <w:b/>
                <w:sz w:val="11"/>
              </w:rPr>
            </w:pPr>
            <w:r>
              <w:rPr>
                <w:b/>
                <w:spacing w:val="-2"/>
                <w:w w:val="105"/>
                <w:sz w:val="11"/>
              </w:rPr>
              <w:t>1,008,509</w:t>
            </w:r>
          </w:p>
        </w:tc>
        <w:tc>
          <w:tcPr>
            <w:tcW w:w="753" w:type="dxa"/>
            <w:tcBorders>
              <w:top w:val="single" w:sz="6" w:space="0" w:color="000000"/>
              <w:bottom w:val="single" w:sz="6" w:space="0" w:color="000000"/>
            </w:tcBorders>
          </w:tcPr>
          <w:p>
            <w:pPr>
              <w:pStyle w:val="TableParagraph"/>
              <w:spacing w:line="117" w:lineRule="exact" w:before="15"/>
              <w:ind w:right="65"/>
              <w:jc w:val="right"/>
              <w:rPr>
                <w:b/>
                <w:sz w:val="11"/>
              </w:rPr>
            </w:pPr>
            <w:r>
              <w:rPr>
                <w:b/>
                <w:spacing w:val="-2"/>
                <w:w w:val="105"/>
                <w:sz w:val="11"/>
              </w:rPr>
              <w:t>(15,187)</w:t>
            </w:r>
          </w:p>
        </w:tc>
        <w:tc>
          <w:tcPr>
            <w:tcW w:w="720" w:type="dxa"/>
            <w:tcBorders>
              <w:top w:val="single" w:sz="6" w:space="0" w:color="000000"/>
              <w:bottom w:val="single" w:sz="6" w:space="0" w:color="000000"/>
            </w:tcBorders>
          </w:tcPr>
          <w:p>
            <w:pPr>
              <w:pStyle w:val="TableParagraph"/>
              <w:spacing w:line="117" w:lineRule="exact" w:before="15"/>
              <w:ind w:right="52"/>
              <w:jc w:val="right"/>
              <w:rPr>
                <w:b/>
                <w:sz w:val="11"/>
              </w:rPr>
            </w:pPr>
            <w:r>
              <w:rPr>
                <w:b/>
                <w:spacing w:val="-2"/>
                <w:w w:val="105"/>
                <w:sz w:val="11"/>
              </w:rPr>
              <w:t>968,870</w:t>
            </w:r>
          </w:p>
        </w:tc>
        <w:tc>
          <w:tcPr>
            <w:tcW w:w="853" w:type="dxa"/>
            <w:tcBorders>
              <w:top w:val="single" w:sz="6" w:space="0" w:color="000000"/>
              <w:bottom w:val="single" w:sz="6" w:space="0" w:color="000000"/>
            </w:tcBorders>
          </w:tcPr>
          <w:p>
            <w:pPr>
              <w:pStyle w:val="TableParagraph"/>
              <w:spacing w:line="117" w:lineRule="exact" w:before="15"/>
              <w:ind w:right="129"/>
              <w:jc w:val="right"/>
              <w:rPr>
                <w:b/>
                <w:sz w:val="11"/>
              </w:rPr>
            </w:pPr>
            <w:r>
              <w:rPr>
                <w:b/>
                <w:spacing w:val="-2"/>
                <w:w w:val="105"/>
                <w:sz w:val="11"/>
              </w:rPr>
              <w:t>984,057</w:t>
            </w:r>
          </w:p>
        </w:tc>
        <w:tc>
          <w:tcPr>
            <w:tcW w:w="708" w:type="dxa"/>
            <w:tcBorders>
              <w:top w:val="single" w:sz="6" w:space="0" w:color="000000"/>
              <w:bottom w:val="single" w:sz="6" w:space="0" w:color="000000"/>
            </w:tcBorders>
          </w:tcPr>
          <w:p>
            <w:pPr>
              <w:pStyle w:val="TableParagraph"/>
              <w:spacing w:line="117" w:lineRule="exact" w:before="15"/>
              <w:ind w:right="17"/>
              <w:jc w:val="right"/>
              <w:rPr>
                <w:b/>
                <w:sz w:val="11"/>
              </w:rPr>
            </w:pPr>
            <w:r>
              <w:rPr>
                <w:b/>
                <w:spacing w:val="-2"/>
                <w:w w:val="105"/>
                <w:sz w:val="11"/>
              </w:rPr>
              <w:t>(15,187)</w:t>
            </w:r>
          </w:p>
        </w:tc>
      </w:tr>
      <w:tr>
        <w:trPr>
          <w:trHeight w:val="269" w:hRule="atLeast"/>
        </w:trPr>
        <w:tc>
          <w:tcPr>
            <w:tcW w:w="3192" w:type="dxa"/>
          </w:tcPr>
          <w:p>
            <w:pPr>
              <w:pStyle w:val="TableParagraph"/>
              <w:spacing w:line="125" w:lineRule="exact" w:before="124"/>
              <w:ind w:left="28"/>
              <w:rPr>
                <w:b/>
                <w:sz w:val="11"/>
              </w:rPr>
            </w:pPr>
            <w:r>
              <w:rPr>
                <w:b/>
                <w:sz w:val="11"/>
              </w:rPr>
              <w:t>Expenses</w:t>
            </w:r>
            <w:r>
              <w:rPr>
                <w:b/>
                <w:spacing w:val="3"/>
                <w:sz w:val="11"/>
              </w:rPr>
              <w:t> </w:t>
            </w:r>
            <w:r>
              <w:rPr>
                <w:b/>
                <w:sz w:val="11"/>
              </w:rPr>
              <w:t>from</w:t>
            </w:r>
            <w:r>
              <w:rPr>
                <w:b/>
                <w:spacing w:val="3"/>
                <w:sz w:val="11"/>
              </w:rPr>
              <w:t> </w:t>
            </w:r>
            <w:r>
              <w:rPr>
                <w:b/>
                <w:sz w:val="11"/>
              </w:rPr>
              <w:t>continuing</w:t>
            </w:r>
            <w:r>
              <w:rPr>
                <w:b/>
                <w:spacing w:val="5"/>
                <w:sz w:val="11"/>
              </w:rPr>
              <w:t> </w:t>
            </w:r>
            <w:r>
              <w:rPr>
                <w:b/>
                <w:spacing w:val="-2"/>
                <w:sz w:val="11"/>
              </w:rPr>
              <w:t>operations</w:t>
            </w:r>
          </w:p>
        </w:tc>
        <w:tc>
          <w:tcPr>
            <w:tcW w:w="737" w:type="dxa"/>
          </w:tcPr>
          <w:p>
            <w:pPr>
              <w:pStyle w:val="TableParagraph"/>
              <w:rPr>
                <w:rFonts w:ascii="Times New Roman"/>
                <w:sz w:val="10"/>
              </w:rPr>
            </w:pPr>
          </w:p>
        </w:tc>
        <w:tc>
          <w:tcPr>
            <w:tcW w:w="779" w:type="dxa"/>
            <w:tcBorders>
              <w:top w:val="single" w:sz="6" w:space="0" w:color="000000"/>
            </w:tcBorders>
          </w:tcPr>
          <w:p>
            <w:pPr>
              <w:pStyle w:val="TableParagraph"/>
              <w:rPr>
                <w:rFonts w:ascii="Times New Roman"/>
                <w:sz w:val="10"/>
              </w:rPr>
            </w:pPr>
          </w:p>
        </w:tc>
        <w:tc>
          <w:tcPr>
            <w:tcW w:w="892" w:type="dxa"/>
            <w:tcBorders>
              <w:top w:val="single" w:sz="6" w:space="0" w:color="000000"/>
            </w:tcBorders>
          </w:tcPr>
          <w:p>
            <w:pPr>
              <w:pStyle w:val="TableParagraph"/>
              <w:rPr>
                <w:rFonts w:ascii="Times New Roman"/>
                <w:sz w:val="10"/>
              </w:rPr>
            </w:pPr>
          </w:p>
        </w:tc>
        <w:tc>
          <w:tcPr>
            <w:tcW w:w="753" w:type="dxa"/>
            <w:tcBorders>
              <w:top w:val="single" w:sz="6" w:space="0" w:color="000000"/>
            </w:tcBorders>
          </w:tcPr>
          <w:p>
            <w:pPr>
              <w:pStyle w:val="TableParagraph"/>
              <w:rPr>
                <w:rFonts w:ascii="Times New Roman"/>
                <w:sz w:val="10"/>
              </w:rPr>
            </w:pPr>
          </w:p>
        </w:tc>
        <w:tc>
          <w:tcPr>
            <w:tcW w:w="720" w:type="dxa"/>
            <w:tcBorders>
              <w:top w:val="single" w:sz="6" w:space="0" w:color="000000"/>
            </w:tcBorders>
          </w:tcPr>
          <w:p>
            <w:pPr>
              <w:pStyle w:val="TableParagraph"/>
              <w:rPr>
                <w:rFonts w:ascii="Times New Roman"/>
                <w:sz w:val="10"/>
              </w:rPr>
            </w:pPr>
          </w:p>
        </w:tc>
        <w:tc>
          <w:tcPr>
            <w:tcW w:w="853" w:type="dxa"/>
            <w:tcBorders>
              <w:top w:val="single" w:sz="6" w:space="0" w:color="000000"/>
            </w:tcBorders>
          </w:tcPr>
          <w:p>
            <w:pPr>
              <w:pStyle w:val="TableParagraph"/>
              <w:rPr>
                <w:rFonts w:ascii="Times New Roman"/>
                <w:sz w:val="10"/>
              </w:rPr>
            </w:pPr>
          </w:p>
        </w:tc>
        <w:tc>
          <w:tcPr>
            <w:tcW w:w="708" w:type="dxa"/>
            <w:tcBorders>
              <w:top w:val="single" w:sz="6" w:space="0" w:color="000000"/>
            </w:tcBorders>
          </w:tcPr>
          <w:p>
            <w:pPr>
              <w:pStyle w:val="TableParagraph"/>
              <w:rPr>
                <w:rFonts w:ascii="Times New Roman"/>
                <w:sz w:val="10"/>
              </w:rPr>
            </w:pPr>
          </w:p>
        </w:tc>
      </w:tr>
      <w:tr>
        <w:trPr>
          <w:trHeight w:val="155" w:hRule="atLeast"/>
        </w:trPr>
        <w:tc>
          <w:tcPr>
            <w:tcW w:w="3192" w:type="dxa"/>
          </w:tcPr>
          <w:p>
            <w:pPr>
              <w:pStyle w:val="TableParagraph"/>
              <w:spacing w:line="118" w:lineRule="exact" w:before="17"/>
              <w:ind w:left="28"/>
              <w:rPr>
                <w:sz w:val="11"/>
              </w:rPr>
            </w:pPr>
            <w:r>
              <w:rPr>
                <w:sz w:val="11"/>
              </w:rPr>
              <w:t>Employee-related</w:t>
            </w:r>
            <w:r>
              <w:rPr>
                <w:spacing w:val="12"/>
                <w:sz w:val="11"/>
              </w:rPr>
              <w:t> </w:t>
            </w:r>
            <w:r>
              <w:rPr>
                <w:spacing w:val="-2"/>
                <w:sz w:val="11"/>
              </w:rPr>
              <w:t>expenses</w:t>
            </w:r>
          </w:p>
        </w:tc>
        <w:tc>
          <w:tcPr>
            <w:tcW w:w="737" w:type="dxa"/>
          </w:tcPr>
          <w:p>
            <w:pPr>
              <w:pStyle w:val="TableParagraph"/>
              <w:rPr>
                <w:rFonts w:ascii="Times New Roman"/>
                <w:sz w:val="10"/>
              </w:rPr>
            </w:pPr>
          </w:p>
        </w:tc>
        <w:tc>
          <w:tcPr>
            <w:tcW w:w="779" w:type="dxa"/>
          </w:tcPr>
          <w:p>
            <w:pPr>
              <w:pStyle w:val="TableParagraph"/>
              <w:spacing w:line="118" w:lineRule="exact" w:before="17"/>
              <w:ind w:right="67"/>
              <w:jc w:val="right"/>
              <w:rPr>
                <w:sz w:val="11"/>
              </w:rPr>
            </w:pPr>
            <w:r>
              <w:rPr>
                <w:spacing w:val="-2"/>
                <w:w w:val="105"/>
                <w:sz w:val="11"/>
              </w:rPr>
              <w:t>553,345</w:t>
            </w:r>
          </w:p>
        </w:tc>
        <w:tc>
          <w:tcPr>
            <w:tcW w:w="892" w:type="dxa"/>
          </w:tcPr>
          <w:p>
            <w:pPr>
              <w:pStyle w:val="TableParagraph"/>
              <w:spacing w:line="118" w:lineRule="exact" w:before="17"/>
              <w:ind w:right="83"/>
              <w:jc w:val="right"/>
              <w:rPr>
                <w:sz w:val="11"/>
              </w:rPr>
            </w:pPr>
            <w:r>
              <w:rPr>
                <w:spacing w:val="-2"/>
                <w:w w:val="105"/>
                <w:sz w:val="11"/>
              </w:rPr>
              <w:t>553,348</w:t>
            </w:r>
          </w:p>
        </w:tc>
        <w:tc>
          <w:tcPr>
            <w:tcW w:w="753" w:type="dxa"/>
          </w:tcPr>
          <w:p>
            <w:pPr>
              <w:pStyle w:val="TableParagraph"/>
              <w:spacing w:line="118" w:lineRule="exact" w:before="17"/>
              <w:ind w:right="61"/>
              <w:jc w:val="right"/>
              <w:rPr>
                <w:sz w:val="11"/>
              </w:rPr>
            </w:pPr>
            <w:r>
              <w:rPr>
                <w:spacing w:val="-5"/>
                <w:w w:val="105"/>
                <w:sz w:val="11"/>
              </w:rPr>
              <w:t>(3)</w:t>
            </w:r>
          </w:p>
        </w:tc>
        <w:tc>
          <w:tcPr>
            <w:tcW w:w="720" w:type="dxa"/>
          </w:tcPr>
          <w:p>
            <w:pPr>
              <w:pStyle w:val="TableParagraph"/>
              <w:spacing w:line="118" w:lineRule="exact" w:before="17"/>
              <w:ind w:right="41"/>
              <w:jc w:val="right"/>
              <w:rPr>
                <w:sz w:val="11"/>
              </w:rPr>
            </w:pPr>
            <w:r>
              <w:rPr>
                <w:spacing w:val="-2"/>
                <w:w w:val="105"/>
                <w:sz w:val="11"/>
              </w:rPr>
              <w:t>539,140</w:t>
            </w:r>
          </w:p>
        </w:tc>
        <w:tc>
          <w:tcPr>
            <w:tcW w:w="853" w:type="dxa"/>
          </w:tcPr>
          <w:p>
            <w:pPr>
              <w:pStyle w:val="TableParagraph"/>
              <w:spacing w:line="118" w:lineRule="exact" w:before="17"/>
              <w:ind w:right="80"/>
              <w:jc w:val="right"/>
              <w:rPr>
                <w:sz w:val="11"/>
              </w:rPr>
            </w:pPr>
            <w:r>
              <w:rPr>
                <w:spacing w:val="-2"/>
                <w:w w:val="105"/>
                <w:sz w:val="11"/>
              </w:rPr>
              <w:t>539,143</w:t>
            </w:r>
          </w:p>
        </w:tc>
        <w:tc>
          <w:tcPr>
            <w:tcW w:w="708" w:type="dxa"/>
          </w:tcPr>
          <w:p>
            <w:pPr>
              <w:pStyle w:val="TableParagraph"/>
              <w:spacing w:line="118" w:lineRule="exact" w:before="17"/>
              <w:ind w:right="13"/>
              <w:jc w:val="right"/>
              <w:rPr>
                <w:sz w:val="11"/>
              </w:rPr>
            </w:pPr>
            <w:r>
              <w:rPr>
                <w:spacing w:val="-5"/>
                <w:w w:val="105"/>
                <w:sz w:val="11"/>
              </w:rPr>
              <w:t>(3)</w:t>
            </w:r>
          </w:p>
        </w:tc>
      </w:tr>
      <w:tr>
        <w:trPr>
          <w:trHeight w:val="149" w:hRule="atLeast"/>
        </w:trPr>
        <w:tc>
          <w:tcPr>
            <w:tcW w:w="3192" w:type="dxa"/>
          </w:tcPr>
          <w:p>
            <w:pPr>
              <w:pStyle w:val="TableParagraph"/>
              <w:spacing w:line="118" w:lineRule="exact" w:before="10"/>
              <w:ind w:left="28"/>
              <w:rPr>
                <w:sz w:val="11"/>
              </w:rPr>
            </w:pPr>
            <w:r>
              <w:rPr>
                <w:sz w:val="11"/>
              </w:rPr>
              <w:t>Depreciation</w:t>
            </w:r>
            <w:r>
              <w:rPr>
                <w:spacing w:val="6"/>
                <w:sz w:val="11"/>
              </w:rPr>
              <w:t> </w:t>
            </w:r>
            <w:r>
              <w:rPr>
                <w:sz w:val="11"/>
              </w:rPr>
              <w:t>and</w:t>
            </w:r>
            <w:r>
              <w:rPr>
                <w:spacing w:val="7"/>
                <w:sz w:val="11"/>
              </w:rPr>
              <w:t> </w:t>
            </w:r>
            <w:r>
              <w:rPr>
                <w:spacing w:val="-2"/>
                <w:sz w:val="11"/>
              </w:rPr>
              <w:t>amortisation</w:t>
            </w:r>
          </w:p>
        </w:tc>
        <w:tc>
          <w:tcPr>
            <w:tcW w:w="737" w:type="dxa"/>
          </w:tcPr>
          <w:p>
            <w:pPr>
              <w:pStyle w:val="TableParagraph"/>
              <w:rPr>
                <w:rFonts w:ascii="Times New Roman"/>
                <w:sz w:val="8"/>
              </w:rPr>
            </w:pPr>
          </w:p>
        </w:tc>
        <w:tc>
          <w:tcPr>
            <w:tcW w:w="779" w:type="dxa"/>
          </w:tcPr>
          <w:p>
            <w:pPr>
              <w:pStyle w:val="TableParagraph"/>
              <w:spacing w:line="118" w:lineRule="exact" w:before="10"/>
              <w:ind w:right="67"/>
              <w:jc w:val="right"/>
              <w:rPr>
                <w:sz w:val="11"/>
              </w:rPr>
            </w:pPr>
            <w:r>
              <w:rPr>
                <w:spacing w:val="-2"/>
                <w:w w:val="105"/>
                <w:sz w:val="11"/>
              </w:rPr>
              <w:t>54,720</w:t>
            </w:r>
          </w:p>
        </w:tc>
        <w:tc>
          <w:tcPr>
            <w:tcW w:w="892" w:type="dxa"/>
          </w:tcPr>
          <w:p>
            <w:pPr>
              <w:pStyle w:val="TableParagraph"/>
              <w:spacing w:line="118" w:lineRule="exact" w:before="10"/>
              <w:ind w:right="83"/>
              <w:jc w:val="right"/>
              <w:rPr>
                <w:sz w:val="11"/>
              </w:rPr>
            </w:pPr>
            <w:r>
              <w:rPr>
                <w:spacing w:val="-2"/>
                <w:w w:val="105"/>
                <w:sz w:val="11"/>
              </w:rPr>
              <w:t>54,720</w:t>
            </w:r>
          </w:p>
        </w:tc>
        <w:tc>
          <w:tcPr>
            <w:tcW w:w="753" w:type="dxa"/>
          </w:tcPr>
          <w:p>
            <w:pPr>
              <w:pStyle w:val="TableParagraph"/>
              <w:rPr>
                <w:rFonts w:ascii="Times New Roman"/>
                <w:sz w:val="8"/>
              </w:rPr>
            </w:pPr>
          </w:p>
        </w:tc>
        <w:tc>
          <w:tcPr>
            <w:tcW w:w="720" w:type="dxa"/>
          </w:tcPr>
          <w:p>
            <w:pPr>
              <w:pStyle w:val="TableParagraph"/>
              <w:spacing w:line="118" w:lineRule="exact" w:before="10"/>
              <w:ind w:right="41"/>
              <w:jc w:val="right"/>
              <w:rPr>
                <w:sz w:val="11"/>
              </w:rPr>
            </w:pPr>
            <w:r>
              <w:rPr>
                <w:spacing w:val="-2"/>
                <w:w w:val="105"/>
                <w:sz w:val="11"/>
              </w:rPr>
              <w:t>54,364</w:t>
            </w:r>
          </w:p>
        </w:tc>
        <w:tc>
          <w:tcPr>
            <w:tcW w:w="853" w:type="dxa"/>
          </w:tcPr>
          <w:p>
            <w:pPr>
              <w:pStyle w:val="TableParagraph"/>
              <w:spacing w:line="118" w:lineRule="exact" w:before="10"/>
              <w:ind w:right="80"/>
              <w:jc w:val="right"/>
              <w:rPr>
                <w:sz w:val="11"/>
              </w:rPr>
            </w:pPr>
            <w:r>
              <w:rPr>
                <w:spacing w:val="-2"/>
                <w:w w:val="105"/>
                <w:sz w:val="11"/>
              </w:rPr>
              <w:t>54,364</w:t>
            </w:r>
          </w:p>
        </w:tc>
        <w:tc>
          <w:tcPr>
            <w:tcW w:w="708" w:type="dxa"/>
          </w:tcPr>
          <w:p>
            <w:pPr>
              <w:pStyle w:val="TableParagraph"/>
              <w:spacing w:line="118" w:lineRule="exact" w:before="10"/>
              <w:ind w:right="12"/>
              <w:jc w:val="right"/>
              <w:rPr>
                <w:sz w:val="11"/>
              </w:rPr>
            </w:pPr>
            <w:r>
              <w:rPr>
                <w:spacing w:val="-10"/>
                <w:w w:val="105"/>
                <w:sz w:val="11"/>
              </w:rPr>
              <w:t>-</w:t>
            </w:r>
          </w:p>
        </w:tc>
      </w:tr>
      <w:tr>
        <w:trPr>
          <w:trHeight w:val="149" w:hRule="atLeast"/>
        </w:trPr>
        <w:tc>
          <w:tcPr>
            <w:tcW w:w="3192" w:type="dxa"/>
          </w:tcPr>
          <w:p>
            <w:pPr>
              <w:pStyle w:val="TableParagraph"/>
              <w:spacing w:line="118" w:lineRule="exact" w:before="10"/>
              <w:ind w:left="28"/>
              <w:rPr>
                <w:sz w:val="11"/>
              </w:rPr>
            </w:pPr>
            <w:r>
              <w:rPr>
                <w:spacing w:val="-2"/>
                <w:w w:val="105"/>
                <w:sz w:val="11"/>
              </w:rPr>
              <w:t>Repairs</w:t>
            </w:r>
            <w:r>
              <w:rPr>
                <w:w w:val="105"/>
                <w:sz w:val="11"/>
              </w:rPr>
              <w:t> </w:t>
            </w:r>
            <w:r>
              <w:rPr>
                <w:spacing w:val="-2"/>
                <w:w w:val="105"/>
                <w:sz w:val="11"/>
              </w:rPr>
              <w:t>and</w:t>
            </w:r>
            <w:r>
              <w:rPr>
                <w:spacing w:val="-1"/>
                <w:w w:val="105"/>
                <w:sz w:val="11"/>
              </w:rPr>
              <w:t> </w:t>
            </w:r>
            <w:r>
              <w:rPr>
                <w:spacing w:val="-2"/>
                <w:w w:val="105"/>
                <w:sz w:val="11"/>
              </w:rPr>
              <w:t>maintenance</w:t>
            </w:r>
          </w:p>
        </w:tc>
        <w:tc>
          <w:tcPr>
            <w:tcW w:w="737" w:type="dxa"/>
          </w:tcPr>
          <w:p>
            <w:pPr>
              <w:pStyle w:val="TableParagraph"/>
              <w:rPr>
                <w:rFonts w:ascii="Times New Roman"/>
                <w:sz w:val="8"/>
              </w:rPr>
            </w:pPr>
          </w:p>
        </w:tc>
        <w:tc>
          <w:tcPr>
            <w:tcW w:w="779" w:type="dxa"/>
          </w:tcPr>
          <w:p>
            <w:pPr>
              <w:pStyle w:val="TableParagraph"/>
              <w:spacing w:line="118" w:lineRule="exact" w:before="10"/>
              <w:ind w:right="67"/>
              <w:jc w:val="right"/>
              <w:rPr>
                <w:sz w:val="11"/>
              </w:rPr>
            </w:pPr>
            <w:r>
              <w:rPr>
                <w:spacing w:val="-2"/>
                <w:w w:val="105"/>
                <w:sz w:val="11"/>
              </w:rPr>
              <w:t>20,704</w:t>
            </w:r>
          </w:p>
        </w:tc>
        <w:tc>
          <w:tcPr>
            <w:tcW w:w="892" w:type="dxa"/>
          </w:tcPr>
          <w:p>
            <w:pPr>
              <w:pStyle w:val="TableParagraph"/>
              <w:spacing w:line="118" w:lineRule="exact" w:before="10"/>
              <w:ind w:right="83"/>
              <w:jc w:val="right"/>
              <w:rPr>
                <w:sz w:val="11"/>
              </w:rPr>
            </w:pPr>
            <w:r>
              <w:rPr>
                <w:spacing w:val="-2"/>
                <w:w w:val="105"/>
                <w:sz w:val="11"/>
              </w:rPr>
              <w:t>20,705</w:t>
            </w:r>
          </w:p>
        </w:tc>
        <w:tc>
          <w:tcPr>
            <w:tcW w:w="753" w:type="dxa"/>
          </w:tcPr>
          <w:p>
            <w:pPr>
              <w:pStyle w:val="TableParagraph"/>
              <w:spacing w:line="118" w:lineRule="exact" w:before="10"/>
              <w:ind w:right="61"/>
              <w:jc w:val="right"/>
              <w:rPr>
                <w:sz w:val="11"/>
              </w:rPr>
            </w:pPr>
            <w:r>
              <w:rPr>
                <w:spacing w:val="-5"/>
                <w:w w:val="105"/>
                <w:sz w:val="11"/>
              </w:rPr>
              <w:t>(1)</w:t>
            </w:r>
          </w:p>
        </w:tc>
        <w:tc>
          <w:tcPr>
            <w:tcW w:w="720" w:type="dxa"/>
          </w:tcPr>
          <w:p>
            <w:pPr>
              <w:pStyle w:val="TableParagraph"/>
              <w:spacing w:line="118" w:lineRule="exact" w:before="10"/>
              <w:ind w:right="41"/>
              <w:jc w:val="right"/>
              <w:rPr>
                <w:sz w:val="11"/>
              </w:rPr>
            </w:pPr>
            <w:r>
              <w:rPr>
                <w:spacing w:val="-2"/>
                <w:w w:val="105"/>
                <w:sz w:val="11"/>
              </w:rPr>
              <w:t>20,506</w:t>
            </w:r>
          </w:p>
        </w:tc>
        <w:tc>
          <w:tcPr>
            <w:tcW w:w="853" w:type="dxa"/>
          </w:tcPr>
          <w:p>
            <w:pPr>
              <w:pStyle w:val="TableParagraph"/>
              <w:spacing w:line="118" w:lineRule="exact" w:before="10"/>
              <w:ind w:right="80"/>
              <w:jc w:val="right"/>
              <w:rPr>
                <w:sz w:val="11"/>
              </w:rPr>
            </w:pPr>
            <w:r>
              <w:rPr>
                <w:spacing w:val="-2"/>
                <w:w w:val="105"/>
                <w:sz w:val="11"/>
              </w:rPr>
              <w:t>20,507</w:t>
            </w:r>
          </w:p>
        </w:tc>
        <w:tc>
          <w:tcPr>
            <w:tcW w:w="708" w:type="dxa"/>
          </w:tcPr>
          <w:p>
            <w:pPr>
              <w:pStyle w:val="TableParagraph"/>
              <w:spacing w:line="118" w:lineRule="exact" w:before="10"/>
              <w:ind w:right="13"/>
              <w:jc w:val="right"/>
              <w:rPr>
                <w:sz w:val="11"/>
              </w:rPr>
            </w:pPr>
            <w:r>
              <w:rPr>
                <w:spacing w:val="-5"/>
                <w:w w:val="105"/>
                <w:sz w:val="11"/>
              </w:rPr>
              <w:t>(1)</w:t>
            </w:r>
          </w:p>
        </w:tc>
      </w:tr>
      <w:tr>
        <w:trPr>
          <w:trHeight w:val="149" w:hRule="atLeast"/>
        </w:trPr>
        <w:tc>
          <w:tcPr>
            <w:tcW w:w="3192" w:type="dxa"/>
          </w:tcPr>
          <w:p>
            <w:pPr>
              <w:pStyle w:val="TableParagraph"/>
              <w:spacing w:line="118" w:lineRule="exact" w:before="10"/>
              <w:ind w:left="28"/>
              <w:rPr>
                <w:sz w:val="11"/>
              </w:rPr>
            </w:pPr>
            <w:r>
              <w:rPr>
                <w:sz w:val="11"/>
              </w:rPr>
              <w:t>Borrowing</w:t>
            </w:r>
            <w:r>
              <w:rPr>
                <w:spacing w:val="8"/>
                <w:sz w:val="11"/>
              </w:rPr>
              <w:t> </w:t>
            </w:r>
            <w:r>
              <w:rPr>
                <w:spacing w:val="-2"/>
                <w:sz w:val="11"/>
              </w:rPr>
              <w:t>costs</w:t>
            </w:r>
          </w:p>
        </w:tc>
        <w:tc>
          <w:tcPr>
            <w:tcW w:w="737" w:type="dxa"/>
          </w:tcPr>
          <w:p>
            <w:pPr>
              <w:pStyle w:val="TableParagraph"/>
              <w:rPr>
                <w:rFonts w:ascii="Times New Roman"/>
                <w:sz w:val="8"/>
              </w:rPr>
            </w:pPr>
          </w:p>
        </w:tc>
        <w:tc>
          <w:tcPr>
            <w:tcW w:w="779" w:type="dxa"/>
          </w:tcPr>
          <w:p>
            <w:pPr>
              <w:pStyle w:val="TableParagraph"/>
              <w:spacing w:line="118" w:lineRule="exact" w:before="10"/>
              <w:ind w:right="67"/>
              <w:jc w:val="right"/>
              <w:rPr>
                <w:sz w:val="11"/>
              </w:rPr>
            </w:pPr>
            <w:r>
              <w:rPr>
                <w:spacing w:val="-2"/>
                <w:w w:val="105"/>
                <w:sz w:val="11"/>
              </w:rPr>
              <w:t>6,285</w:t>
            </w:r>
          </w:p>
        </w:tc>
        <w:tc>
          <w:tcPr>
            <w:tcW w:w="892" w:type="dxa"/>
          </w:tcPr>
          <w:p>
            <w:pPr>
              <w:pStyle w:val="TableParagraph"/>
              <w:spacing w:line="118" w:lineRule="exact" w:before="10"/>
              <w:ind w:right="83"/>
              <w:jc w:val="right"/>
              <w:rPr>
                <w:sz w:val="11"/>
              </w:rPr>
            </w:pPr>
            <w:r>
              <w:rPr>
                <w:spacing w:val="-2"/>
                <w:w w:val="105"/>
                <w:sz w:val="11"/>
              </w:rPr>
              <w:t>6,285</w:t>
            </w:r>
          </w:p>
        </w:tc>
        <w:tc>
          <w:tcPr>
            <w:tcW w:w="753" w:type="dxa"/>
          </w:tcPr>
          <w:p>
            <w:pPr>
              <w:pStyle w:val="TableParagraph"/>
              <w:rPr>
                <w:rFonts w:ascii="Times New Roman"/>
                <w:sz w:val="8"/>
              </w:rPr>
            </w:pPr>
          </w:p>
        </w:tc>
        <w:tc>
          <w:tcPr>
            <w:tcW w:w="720" w:type="dxa"/>
          </w:tcPr>
          <w:p>
            <w:pPr>
              <w:pStyle w:val="TableParagraph"/>
              <w:spacing w:line="118" w:lineRule="exact" w:before="10"/>
              <w:ind w:right="41"/>
              <w:jc w:val="right"/>
              <w:rPr>
                <w:sz w:val="11"/>
              </w:rPr>
            </w:pPr>
            <w:r>
              <w:rPr>
                <w:spacing w:val="-2"/>
                <w:w w:val="105"/>
                <w:sz w:val="11"/>
              </w:rPr>
              <w:t>6,279</w:t>
            </w:r>
          </w:p>
        </w:tc>
        <w:tc>
          <w:tcPr>
            <w:tcW w:w="853" w:type="dxa"/>
          </w:tcPr>
          <w:p>
            <w:pPr>
              <w:pStyle w:val="TableParagraph"/>
              <w:spacing w:line="118" w:lineRule="exact" w:before="10"/>
              <w:ind w:right="80"/>
              <w:jc w:val="right"/>
              <w:rPr>
                <w:sz w:val="11"/>
              </w:rPr>
            </w:pPr>
            <w:r>
              <w:rPr>
                <w:spacing w:val="-2"/>
                <w:w w:val="105"/>
                <w:sz w:val="11"/>
              </w:rPr>
              <w:t>6,279</w:t>
            </w:r>
          </w:p>
        </w:tc>
        <w:tc>
          <w:tcPr>
            <w:tcW w:w="708" w:type="dxa"/>
          </w:tcPr>
          <w:p>
            <w:pPr>
              <w:pStyle w:val="TableParagraph"/>
              <w:spacing w:line="118" w:lineRule="exact" w:before="10"/>
              <w:ind w:right="12"/>
              <w:jc w:val="right"/>
              <w:rPr>
                <w:sz w:val="11"/>
              </w:rPr>
            </w:pPr>
            <w:r>
              <w:rPr>
                <w:spacing w:val="-10"/>
                <w:w w:val="105"/>
                <w:sz w:val="11"/>
              </w:rPr>
              <w:t>-</w:t>
            </w:r>
          </w:p>
        </w:tc>
      </w:tr>
      <w:tr>
        <w:trPr>
          <w:trHeight w:val="149" w:hRule="atLeast"/>
        </w:trPr>
        <w:tc>
          <w:tcPr>
            <w:tcW w:w="3192" w:type="dxa"/>
          </w:tcPr>
          <w:p>
            <w:pPr>
              <w:pStyle w:val="TableParagraph"/>
              <w:spacing w:line="118" w:lineRule="exact" w:before="10"/>
              <w:ind w:left="28"/>
              <w:rPr>
                <w:sz w:val="11"/>
              </w:rPr>
            </w:pPr>
            <w:r>
              <w:rPr>
                <w:sz w:val="11"/>
              </w:rPr>
              <w:t>Impairment</w:t>
            </w:r>
            <w:r>
              <w:rPr>
                <w:spacing w:val="6"/>
                <w:sz w:val="11"/>
              </w:rPr>
              <w:t> </w:t>
            </w:r>
            <w:r>
              <w:rPr>
                <w:sz w:val="11"/>
              </w:rPr>
              <w:t>of</w:t>
            </w:r>
            <w:r>
              <w:rPr>
                <w:spacing w:val="6"/>
                <w:sz w:val="11"/>
              </w:rPr>
              <w:t> </w:t>
            </w:r>
            <w:r>
              <w:rPr>
                <w:spacing w:val="-2"/>
                <w:sz w:val="11"/>
              </w:rPr>
              <w:t>assets</w:t>
            </w:r>
          </w:p>
        </w:tc>
        <w:tc>
          <w:tcPr>
            <w:tcW w:w="737" w:type="dxa"/>
          </w:tcPr>
          <w:p>
            <w:pPr>
              <w:pStyle w:val="TableParagraph"/>
              <w:rPr>
                <w:rFonts w:ascii="Times New Roman"/>
                <w:sz w:val="8"/>
              </w:rPr>
            </w:pPr>
          </w:p>
        </w:tc>
        <w:tc>
          <w:tcPr>
            <w:tcW w:w="779" w:type="dxa"/>
          </w:tcPr>
          <w:p>
            <w:pPr>
              <w:pStyle w:val="TableParagraph"/>
              <w:spacing w:line="118" w:lineRule="exact" w:before="10"/>
              <w:ind w:right="67"/>
              <w:jc w:val="right"/>
              <w:rPr>
                <w:sz w:val="11"/>
              </w:rPr>
            </w:pPr>
            <w:r>
              <w:rPr>
                <w:spacing w:val="-2"/>
                <w:w w:val="105"/>
                <w:sz w:val="11"/>
              </w:rPr>
              <w:t>3,480</w:t>
            </w:r>
          </w:p>
        </w:tc>
        <w:tc>
          <w:tcPr>
            <w:tcW w:w="892" w:type="dxa"/>
          </w:tcPr>
          <w:p>
            <w:pPr>
              <w:pStyle w:val="TableParagraph"/>
              <w:spacing w:line="118" w:lineRule="exact" w:before="10"/>
              <w:ind w:right="83"/>
              <w:jc w:val="right"/>
              <w:rPr>
                <w:sz w:val="11"/>
              </w:rPr>
            </w:pPr>
            <w:r>
              <w:rPr>
                <w:spacing w:val="-2"/>
                <w:w w:val="105"/>
                <w:sz w:val="11"/>
              </w:rPr>
              <w:t>3,480</w:t>
            </w:r>
          </w:p>
        </w:tc>
        <w:tc>
          <w:tcPr>
            <w:tcW w:w="753" w:type="dxa"/>
          </w:tcPr>
          <w:p>
            <w:pPr>
              <w:pStyle w:val="TableParagraph"/>
              <w:rPr>
                <w:rFonts w:ascii="Times New Roman"/>
                <w:sz w:val="8"/>
              </w:rPr>
            </w:pPr>
          </w:p>
        </w:tc>
        <w:tc>
          <w:tcPr>
            <w:tcW w:w="720" w:type="dxa"/>
          </w:tcPr>
          <w:p>
            <w:pPr>
              <w:pStyle w:val="TableParagraph"/>
              <w:spacing w:line="118" w:lineRule="exact" w:before="10"/>
              <w:ind w:right="41"/>
              <w:jc w:val="right"/>
              <w:rPr>
                <w:sz w:val="11"/>
              </w:rPr>
            </w:pPr>
            <w:r>
              <w:rPr>
                <w:spacing w:val="-2"/>
                <w:w w:val="105"/>
                <w:sz w:val="11"/>
              </w:rPr>
              <w:t>3,480</w:t>
            </w:r>
          </w:p>
        </w:tc>
        <w:tc>
          <w:tcPr>
            <w:tcW w:w="853" w:type="dxa"/>
          </w:tcPr>
          <w:p>
            <w:pPr>
              <w:pStyle w:val="TableParagraph"/>
              <w:spacing w:line="118" w:lineRule="exact" w:before="10"/>
              <w:ind w:right="80"/>
              <w:jc w:val="right"/>
              <w:rPr>
                <w:sz w:val="11"/>
              </w:rPr>
            </w:pPr>
            <w:r>
              <w:rPr>
                <w:spacing w:val="-2"/>
                <w:w w:val="105"/>
                <w:sz w:val="11"/>
              </w:rPr>
              <w:t>3,480</w:t>
            </w:r>
          </w:p>
        </w:tc>
        <w:tc>
          <w:tcPr>
            <w:tcW w:w="708" w:type="dxa"/>
          </w:tcPr>
          <w:p>
            <w:pPr>
              <w:pStyle w:val="TableParagraph"/>
              <w:spacing w:line="118" w:lineRule="exact" w:before="10"/>
              <w:ind w:right="12"/>
              <w:jc w:val="right"/>
              <w:rPr>
                <w:sz w:val="11"/>
              </w:rPr>
            </w:pPr>
            <w:r>
              <w:rPr>
                <w:spacing w:val="-10"/>
                <w:w w:val="105"/>
                <w:sz w:val="11"/>
              </w:rPr>
              <w:t>-</w:t>
            </w:r>
          </w:p>
        </w:tc>
      </w:tr>
      <w:tr>
        <w:trPr>
          <w:trHeight w:val="149" w:hRule="atLeast"/>
        </w:trPr>
        <w:tc>
          <w:tcPr>
            <w:tcW w:w="3192" w:type="dxa"/>
          </w:tcPr>
          <w:p>
            <w:pPr>
              <w:pStyle w:val="TableParagraph"/>
              <w:spacing w:line="118" w:lineRule="exact" w:before="10"/>
              <w:ind w:left="28"/>
              <w:rPr>
                <w:sz w:val="11"/>
              </w:rPr>
            </w:pPr>
            <w:r>
              <w:rPr>
                <w:sz w:val="11"/>
              </w:rPr>
              <w:t>Student</w:t>
            </w:r>
            <w:r>
              <w:rPr>
                <w:spacing w:val="5"/>
                <w:sz w:val="11"/>
              </w:rPr>
              <w:t> </w:t>
            </w:r>
            <w:r>
              <w:rPr>
                <w:spacing w:val="-2"/>
                <w:sz w:val="11"/>
              </w:rPr>
              <w:t>expenses</w:t>
            </w:r>
          </w:p>
        </w:tc>
        <w:tc>
          <w:tcPr>
            <w:tcW w:w="737" w:type="dxa"/>
          </w:tcPr>
          <w:p>
            <w:pPr>
              <w:pStyle w:val="TableParagraph"/>
              <w:spacing w:line="118" w:lineRule="exact" w:before="10"/>
              <w:ind w:right="22"/>
              <w:jc w:val="center"/>
              <w:rPr>
                <w:b/>
                <w:sz w:val="11"/>
              </w:rPr>
            </w:pPr>
            <w:r>
              <w:rPr>
                <w:b/>
                <w:spacing w:val="-10"/>
                <w:w w:val="105"/>
                <w:sz w:val="11"/>
              </w:rPr>
              <w:t>c</w:t>
            </w:r>
          </w:p>
        </w:tc>
        <w:tc>
          <w:tcPr>
            <w:tcW w:w="779" w:type="dxa"/>
          </w:tcPr>
          <w:p>
            <w:pPr>
              <w:pStyle w:val="TableParagraph"/>
              <w:spacing w:line="118" w:lineRule="exact" w:before="10"/>
              <w:ind w:right="67"/>
              <w:jc w:val="right"/>
              <w:rPr>
                <w:sz w:val="11"/>
              </w:rPr>
            </w:pPr>
            <w:r>
              <w:rPr>
                <w:spacing w:val="-2"/>
                <w:w w:val="105"/>
                <w:sz w:val="11"/>
              </w:rPr>
              <w:t>42,062</w:t>
            </w:r>
          </w:p>
        </w:tc>
        <w:tc>
          <w:tcPr>
            <w:tcW w:w="892" w:type="dxa"/>
          </w:tcPr>
          <w:p>
            <w:pPr>
              <w:pStyle w:val="TableParagraph"/>
              <w:spacing w:line="118" w:lineRule="exact" w:before="10"/>
              <w:ind w:right="83"/>
              <w:jc w:val="right"/>
              <w:rPr>
                <w:sz w:val="11"/>
              </w:rPr>
            </w:pPr>
            <w:r>
              <w:rPr>
                <w:spacing w:val="-2"/>
                <w:w w:val="105"/>
                <w:sz w:val="11"/>
              </w:rPr>
              <w:t>43,820</w:t>
            </w:r>
          </w:p>
        </w:tc>
        <w:tc>
          <w:tcPr>
            <w:tcW w:w="753" w:type="dxa"/>
          </w:tcPr>
          <w:p>
            <w:pPr>
              <w:pStyle w:val="TableParagraph"/>
              <w:spacing w:line="118" w:lineRule="exact" w:before="10"/>
              <w:ind w:right="61"/>
              <w:jc w:val="right"/>
              <w:rPr>
                <w:sz w:val="11"/>
              </w:rPr>
            </w:pPr>
            <w:r>
              <w:rPr>
                <w:spacing w:val="-2"/>
                <w:w w:val="105"/>
                <w:sz w:val="11"/>
              </w:rPr>
              <w:t>(1,758)</w:t>
            </w:r>
          </w:p>
        </w:tc>
        <w:tc>
          <w:tcPr>
            <w:tcW w:w="720" w:type="dxa"/>
          </w:tcPr>
          <w:p>
            <w:pPr>
              <w:pStyle w:val="TableParagraph"/>
              <w:spacing w:line="118" w:lineRule="exact" w:before="10"/>
              <w:ind w:right="41"/>
              <w:jc w:val="right"/>
              <w:rPr>
                <w:sz w:val="11"/>
              </w:rPr>
            </w:pPr>
            <w:r>
              <w:rPr>
                <w:spacing w:val="-2"/>
                <w:w w:val="105"/>
                <w:sz w:val="11"/>
              </w:rPr>
              <w:t>42,723</w:t>
            </w:r>
          </w:p>
        </w:tc>
        <w:tc>
          <w:tcPr>
            <w:tcW w:w="853" w:type="dxa"/>
          </w:tcPr>
          <w:p>
            <w:pPr>
              <w:pStyle w:val="TableParagraph"/>
              <w:spacing w:line="118" w:lineRule="exact" w:before="10"/>
              <w:ind w:right="80"/>
              <w:jc w:val="right"/>
              <w:rPr>
                <w:sz w:val="11"/>
              </w:rPr>
            </w:pPr>
            <w:r>
              <w:rPr>
                <w:spacing w:val="-2"/>
                <w:w w:val="105"/>
                <w:sz w:val="11"/>
              </w:rPr>
              <w:t>44,481</w:t>
            </w:r>
          </w:p>
        </w:tc>
        <w:tc>
          <w:tcPr>
            <w:tcW w:w="708" w:type="dxa"/>
          </w:tcPr>
          <w:p>
            <w:pPr>
              <w:pStyle w:val="TableParagraph"/>
              <w:spacing w:line="118" w:lineRule="exact" w:before="10"/>
              <w:ind w:right="13"/>
              <w:jc w:val="right"/>
              <w:rPr>
                <w:sz w:val="11"/>
              </w:rPr>
            </w:pPr>
            <w:r>
              <w:rPr>
                <w:spacing w:val="-2"/>
                <w:w w:val="105"/>
                <w:sz w:val="11"/>
              </w:rPr>
              <w:t>(1,758)</w:t>
            </w:r>
          </w:p>
        </w:tc>
      </w:tr>
      <w:tr>
        <w:trPr>
          <w:trHeight w:val="149" w:hRule="atLeast"/>
        </w:trPr>
        <w:tc>
          <w:tcPr>
            <w:tcW w:w="3192" w:type="dxa"/>
          </w:tcPr>
          <w:p>
            <w:pPr>
              <w:pStyle w:val="TableParagraph"/>
              <w:spacing w:line="118" w:lineRule="exact" w:before="10"/>
              <w:ind w:left="28"/>
              <w:rPr>
                <w:sz w:val="11"/>
              </w:rPr>
            </w:pPr>
            <w:r>
              <w:rPr>
                <w:sz w:val="11"/>
              </w:rPr>
              <w:t>Materials</w:t>
            </w:r>
            <w:r>
              <w:rPr>
                <w:spacing w:val="7"/>
                <w:sz w:val="11"/>
              </w:rPr>
              <w:t> </w:t>
            </w:r>
            <w:r>
              <w:rPr>
                <w:sz w:val="11"/>
              </w:rPr>
              <w:t>and</w:t>
            </w:r>
            <w:r>
              <w:rPr>
                <w:spacing w:val="4"/>
                <w:sz w:val="11"/>
              </w:rPr>
              <w:t> </w:t>
            </w:r>
            <w:r>
              <w:rPr>
                <w:spacing w:val="-2"/>
                <w:sz w:val="11"/>
              </w:rPr>
              <w:t>supplies</w:t>
            </w:r>
          </w:p>
        </w:tc>
        <w:tc>
          <w:tcPr>
            <w:tcW w:w="737" w:type="dxa"/>
          </w:tcPr>
          <w:p>
            <w:pPr>
              <w:pStyle w:val="TableParagraph"/>
              <w:rPr>
                <w:rFonts w:ascii="Times New Roman"/>
                <w:sz w:val="8"/>
              </w:rPr>
            </w:pPr>
          </w:p>
        </w:tc>
        <w:tc>
          <w:tcPr>
            <w:tcW w:w="779" w:type="dxa"/>
          </w:tcPr>
          <w:p>
            <w:pPr>
              <w:pStyle w:val="TableParagraph"/>
              <w:spacing w:line="118" w:lineRule="exact" w:before="10"/>
              <w:ind w:right="67"/>
              <w:jc w:val="right"/>
              <w:rPr>
                <w:sz w:val="11"/>
              </w:rPr>
            </w:pPr>
            <w:r>
              <w:rPr>
                <w:spacing w:val="-2"/>
                <w:w w:val="105"/>
                <w:sz w:val="11"/>
              </w:rPr>
              <w:t>26,131</w:t>
            </w:r>
          </w:p>
        </w:tc>
        <w:tc>
          <w:tcPr>
            <w:tcW w:w="892" w:type="dxa"/>
          </w:tcPr>
          <w:p>
            <w:pPr>
              <w:pStyle w:val="TableParagraph"/>
              <w:spacing w:line="118" w:lineRule="exact" w:before="10"/>
              <w:ind w:right="83"/>
              <w:jc w:val="right"/>
              <w:rPr>
                <w:sz w:val="11"/>
              </w:rPr>
            </w:pPr>
            <w:r>
              <w:rPr>
                <w:spacing w:val="-2"/>
                <w:w w:val="105"/>
                <w:sz w:val="11"/>
              </w:rPr>
              <w:t>26,142</w:t>
            </w:r>
          </w:p>
        </w:tc>
        <w:tc>
          <w:tcPr>
            <w:tcW w:w="753" w:type="dxa"/>
          </w:tcPr>
          <w:p>
            <w:pPr>
              <w:pStyle w:val="TableParagraph"/>
              <w:spacing w:line="118" w:lineRule="exact" w:before="10"/>
              <w:ind w:right="61"/>
              <w:jc w:val="right"/>
              <w:rPr>
                <w:sz w:val="11"/>
              </w:rPr>
            </w:pPr>
            <w:r>
              <w:rPr>
                <w:spacing w:val="-4"/>
                <w:w w:val="105"/>
                <w:sz w:val="11"/>
              </w:rPr>
              <w:t>(11)</w:t>
            </w:r>
          </w:p>
        </w:tc>
        <w:tc>
          <w:tcPr>
            <w:tcW w:w="720" w:type="dxa"/>
          </w:tcPr>
          <w:p>
            <w:pPr>
              <w:pStyle w:val="TableParagraph"/>
              <w:spacing w:line="118" w:lineRule="exact" w:before="10"/>
              <w:ind w:right="41"/>
              <w:jc w:val="right"/>
              <w:rPr>
                <w:sz w:val="11"/>
              </w:rPr>
            </w:pPr>
            <w:r>
              <w:rPr>
                <w:spacing w:val="-2"/>
                <w:w w:val="105"/>
                <w:sz w:val="11"/>
              </w:rPr>
              <w:t>24,100</w:t>
            </w:r>
          </w:p>
        </w:tc>
        <w:tc>
          <w:tcPr>
            <w:tcW w:w="853" w:type="dxa"/>
          </w:tcPr>
          <w:p>
            <w:pPr>
              <w:pStyle w:val="TableParagraph"/>
              <w:spacing w:line="118" w:lineRule="exact" w:before="10"/>
              <w:ind w:right="80"/>
              <w:jc w:val="right"/>
              <w:rPr>
                <w:sz w:val="11"/>
              </w:rPr>
            </w:pPr>
            <w:r>
              <w:rPr>
                <w:spacing w:val="-2"/>
                <w:w w:val="105"/>
                <w:sz w:val="11"/>
              </w:rPr>
              <w:t>24,111</w:t>
            </w:r>
          </w:p>
        </w:tc>
        <w:tc>
          <w:tcPr>
            <w:tcW w:w="708" w:type="dxa"/>
          </w:tcPr>
          <w:p>
            <w:pPr>
              <w:pStyle w:val="TableParagraph"/>
              <w:spacing w:line="118" w:lineRule="exact" w:before="10"/>
              <w:ind w:right="13"/>
              <w:jc w:val="right"/>
              <w:rPr>
                <w:sz w:val="11"/>
              </w:rPr>
            </w:pPr>
            <w:r>
              <w:rPr>
                <w:spacing w:val="-4"/>
                <w:w w:val="105"/>
                <w:sz w:val="11"/>
              </w:rPr>
              <w:t>(11)</w:t>
            </w:r>
          </w:p>
        </w:tc>
      </w:tr>
      <w:tr>
        <w:trPr>
          <w:trHeight w:val="149" w:hRule="atLeast"/>
        </w:trPr>
        <w:tc>
          <w:tcPr>
            <w:tcW w:w="3192" w:type="dxa"/>
          </w:tcPr>
          <w:p>
            <w:pPr>
              <w:pStyle w:val="TableParagraph"/>
              <w:spacing w:line="118" w:lineRule="exact" w:before="10"/>
              <w:ind w:left="28"/>
              <w:rPr>
                <w:sz w:val="11"/>
              </w:rPr>
            </w:pPr>
            <w:r>
              <w:rPr>
                <w:spacing w:val="-2"/>
                <w:w w:val="105"/>
                <w:sz w:val="11"/>
              </w:rPr>
              <w:t>Grants</w:t>
            </w:r>
            <w:r>
              <w:rPr>
                <w:spacing w:val="1"/>
                <w:w w:val="105"/>
                <w:sz w:val="11"/>
              </w:rPr>
              <w:t> </w:t>
            </w:r>
            <w:r>
              <w:rPr>
                <w:spacing w:val="-2"/>
                <w:w w:val="105"/>
                <w:sz w:val="11"/>
              </w:rPr>
              <w:t>distributed</w:t>
            </w:r>
          </w:p>
        </w:tc>
        <w:tc>
          <w:tcPr>
            <w:tcW w:w="737" w:type="dxa"/>
          </w:tcPr>
          <w:p>
            <w:pPr>
              <w:pStyle w:val="TableParagraph"/>
              <w:rPr>
                <w:rFonts w:ascii="Times New Roman"/>
                <w:sz w:val="8"/>
              </w:rPr>
            </w:pPr>
          </w:p>
        </w:tc>
        <w:tc>
          <w:tcPr>
            <w:tcW w:w="779" w:type="dxa"/>
          </w:tcPr>
          <w:p>
            <w:pPr>
              <w:pStyle w:val="TableParagraph"/>
              <w:spacing w:line="118" w:lineRule="exact" w:before="10"/>
              <w:ind w:right="67"/>
              <w:jc w:val="right"/>
              <w:rPr>
                <w:sz w:val="11"/>
              </w:rPr>
            </w:pPr>
            <w:r>
              <w:rPr>
                <w:spacing w:val="-2"/>
                <w:w w:val="105"/>
                <w:sz w:val="11"/>
              </w:rPr>
              <w:t>86,525</w:t>
            </w:r>
          </w:p>
        </w:tc>
        <w:tc>
          <w:tcPr>
            <w:tcW w:w="892" w:type="dxa"/>
          </w:tcPr>
          <w:p>
            <w:pPr>
              <w:pStyle w:val="TableParagraph"/>
              <w:spacing w:line="118" w:lineRule="exact" w:before="10"/>
              <w:ind w:right="83"/>
              <w:jc w:val="right"/>
              <w:rPr>
                <w:sz w:val="11"/>
              </w:rPr>
            </w:pPr>
            <w:r>
              <w:rPr>
                <w:spacing w:val="-2"/>
                <w:w w:val="105"/>
                <w:sz w:val="11"/>
              </w:rPr>
              <w:t>86,525</w:t>
            </w:r>
          </w:p>
        </w:tc>
        <w:tc>
          <w:tcPr>
            <w:tcW w:w="753" w:type="dxa"/>
          </w:tcPr>
          <w:p>
            <w:pPr>
              <w:pStyle w:val="TableParagraph"/>
              <w:rPr>
                <w:rFonts w:ascii="Times New Roman"/>
                <w:sz w:val="8"/>
              </w:rPr>
            </w:pPr>
          </w:p>
        </w:tc>
        <w:tc>
          <w:tcPr>
            <w:tcW w:w="720" w:type="dxa"/>
          </w:tcPr>
          <w:p>
            <w:pPr>
              <w:pStyle w:val="TableParagraph"/>
              <w:spacing w:line="118" w:lineRule="exact" w:before="10"/>
              <w:ind w:right="41"/>
              <w:jc w:val="right"/>
              <w:rPr>
                <w:sz w:val="11"/>
              </w:rPr>
            </w:pPr>
            <w:r>
              <w:rPr>
                <w:spacing w:val="-2"/>
                <w:w w:val="105"/>
                <w:sz w:val="11"/>
              </w:rPr>
              <w:t>86,823</w:t>
            </w:r>
          </w:p>
        </w:tc>
        <w:tc>
          <w:tcPr>
            <w:tcW w:w="853" w:type="dxa"/>
          </w:tcPr>
          <w:p>
            <w:pPr>
              <w:pStyle w:val="TableParagraph"/>
              <w:spacing w:line="118" w:lineRule="exact" w:before="10"/>
              <w:ind w:right="80"/>
              <w:jc w:val="right"/>
              <w:rPr>
                <w:sz w:val="11"/>
              </w:rPr>
            </w:pPr>
            <w:r>
              <w:rPr>
                <w:spacing w:val="-2"/>
                <w:w w:val="105"/>
                <w:sz w:val="11"/>
              </w:rPr>
              <w:t>86,823</w:t>
            </w:r>
          </w:p>
        </w:tc>
        <w:tc>
          <w:tcPr>
            <w:tcW w:w="708" w:type="dxa"/>
          </w:tcPr>
          <w:p>
            <w:pPr>
              <w:pStyle w:val="TableParagraph"/>
              <w:spacing w:line="118" w:lineRule="exact" w:before="10"/>
              <w:ind w:right="12"/>
              <w:jc w:val="right"/>
              <w:rPr>
                <w:sz w:val="11"/>
              </w:rPr>
            </w:pPr>
            <w:r>
              <w:rPr>
                <w:spacing w:val="-10"/>
                <w:w w:val="105"/>
                <w:sz w:val="11"/>
              </w:rPr>
              <w:t>-</w:t>
            </w:r>
          </w:p>
        </w:tc>
      </w:tr>
      <w:tr>
        <w:trPr>
          <w:trHeight w:val="149" w:hRule="atLeast"/>
        </w:trPr>
        <w:tc>
          <w:tcPr>
            <w:tcW w:w="3192" w:type="dxa"/>
          </w:tcPr>
          <w:p>
            <w:pPr>
              <w:pStyle w:val="TableParagraph"/>
              <w:spacing w:line="118" w:lineRule="exact" w:before="10"/>
              <w:ind w:left="28"/>
              <w:rPr>
                <w:sz w:val="11"/>
              </w:rPr>
            </w:pPr>
            <w:r>
              <w:rPr>
                <w:spacing w:val="-2"/>
                <w:w w:val="105"/>
                <w:sz w:val="11"/>
              </w:rPr>
              <w:t>Travel</w:t>
            </w:r>
          </w:p>
        </w:tc>
        <w:tc>
          <w:tcPr>
            <w:tcW w:w="737" w:type="dxa"/>
          </w:tcPr>
          <w:p>
            <w:pPr>
              <w:pStyle w:val="TableParagraph"/>
              <w:rPr>
                <w:rFonts w:ascii="Times New Roman"/>
                <w:sz w:val="8"/>
              </w:rPr>
            </w:pPr>
          </w:p>
        </w:tc>
        <w:tc>
          <w:tcPr>
            <w:tcW w:w="779" w:type="dxa"/>
          </w:tcPr>
          <w:p>
            <w:pPr>
              <w:pStyle w:val="TableParagraph"/>
              <w:spacing w:line="118" w:lineRule="exact" w:before="10"/>
              <w:ind w:right="67"/>
              <w:jc w:val="right"/>
              <w:rPr>
                <w:sz w:val="11"/>
              </w:rPr>
            </w:pPr>
            <w:r>
              <w:rPr>
                <w:spacing w:val="-2"/>
                <w:w w:val="105"/>
                <w:sz w:val="11"/>
              </w:rPr>
              <w:t>4,158</w:t>
            </w:r>
          </w:p>
        </w:tc>
        <w:tc>
          <w:tcPr>
            <w:tcW w:w="892" w:type="dxa"/>
          </w:tcPr>
          <w:p>
            <w:pPr>
              <w:pStyle w:val="TableParagraph"/>
              <w:spacing w:line="118" w:lineRule="exact" w:before="10"/>
              <w:ind w:right="83"/>
              <w:jc w:val="right"/>
              <w:rPr>
                <w:sz w:val="11"/>
              </w:rPr>
            </w:pPr>
            <w:r>
              <w:rPr>
                <w:spacing w:val="-2"/>
                <w:w w:val="105"/>
                <w:sz w:val="11"/>
              </w:rPr>
              <w:t>4,157</w:t>
            </w:r>
          </w:p>
        </w:tc>
        <w:tc>
          <w:tcPr>
            <w:tcW w:w="753" w:type="dxa"/>
          </w:tcPr>
          <w:p>
            <w:pPr>
              <w:pStyle w:val="TableParagraph"/>
              <w:spacing w:line="118" w:lineRule="exact" w:before="10"/>
              <w:ind w:right="97"/>
              <w:jc w:val="right"/>
              <w:rPr>
                <w:sz w:val="11"/>
              </w:rPr>
            </w:pPr>
            <w:r>
              <w:rPr>
                <w:spacing w:val="-10"/>
                <w:w w:val="105"/>
                <w:sz w:val="11"/>
              </w:rPr>
              <w:t>1</w:t>
            </w:r>
          </w:p>
        </w:tc>
        <w:tc>
          <w:tcPr>
            <w:tcW w:w="720" w:type="dxa"/>
          </w:tcPr>
          <w:p>
            <w:pPr>
              <w:pStyle w:val="TableParagraph"/>
              <w:spacing w:line="118" w:lineRule="exact" w:before="10"/>
              <w:ind w:right="41"/>
              <w:jc w:val="right"/>
              <w:rPr>
                <w:sz w:val="11"/>
              </w:rPr>
            </w:pPr>
            <w:r>
              <w:rPr>
                <w:spacing w:val="-2"/>
                <w:w w:val="105"/>
                <w:sz w:val="11"/>
              </w:rPr>
              <w:t>4,124</w:t>
            </w:r>
          </w:p>
        </w:tc>
        <w:tc>
          <w:tcPr>
            <w:tcW w:w="853" w:type="dxa"/>
          </w:tcPr>
          <w:p>
            <w:pPr>
              <w:pStyle w:val="TableParagraph"/>
              <w:spacing w:line="118" w:lineRule="exact" w:before="10"/>
              <w:ind w:right="80"/>
              <w:jc w:val="right"/>
              <w:rPr>
                <w:sz w:val="11"/>
              </w:rPr>
            </w:pPr>
            <w:r>
              <w:rPr>
                <w:spacing w:val="-2"/>
                <w:w w:val="105"/>
                <w:sz w:val="11"/>
              </w:rPr>
              <w:t>4,123</w:t>
            </w:r>
          </w:p>
        </w:tc>
        <w:tc>
          <w:tcPr>
            <w:tcW w:w="708" w:type="dxa"/>
          </w:tcPr>
          <w:p>
            <w:pPr>
              <w:pStyle w:val="TableParagraph"/>
              <w:spacing w:line="118" w:lineRule="exact" w:before="10"/>
              <w:ind w:right="49"/>
              <w:jc w:val="right"/>
              <w:rPr>
                <w:sz w:val="11"/>
              </w:rPr>
            </w:pPr>
            <w:r>
              <w:rPr>
                <w:spacing w:val="-10"/>
                <w:w w:val="105"/>
                <w:sz w:val="11"/>
              </w:rPr>
              <w:t>1</w:t>
            </w:r>
          </w:p>
        </w:tc>
      </w:tr>
      <w:tr>
        <w:trPr>
          <w:trHeight w:val="149" w:hRule="atLeast"/>
        </w:trPr>
        <w:tc>
          <w:tcPr>
            <w:tcW w:w="3192" w:type="dxa"/>
          </w:tcPr>
          <w:p>
            <w:pPr>
              <w:pStyle w:val="TableParagraph"/>
              <w:spacing w:line="118" w:lineRule="exact" w:before="10"/>
              <w:ind w:left="28"/>
              <w:rPr>
                <w:sz w:val="11"/>
              </w:rPr>
            </w:pPr>
            <w:r>
              <w:rPr>
                <w:sz w:val="11"/>
              </w:rPr>
              <w:t>Professional</w:t>
            </w:r>
            <w:r>
              <w:rPr>
                <w:spacing w:val="11"/>
                <w:sz w:val="11"/>
              </w:rPr>
              <w:t> </w:t>
            </w:r>
            <w:r>
              <w:rPr>
                <w:spacing w:val="-4"/>
                <w:sz w:val="11"/>
              </w:rPr>
              <w:t>fees</w:t>
            </w:r>
          </w:p>
        </w:tc>
        <w:tc>
          <w:tcPr>
            <w:tcW w:w="737" w:type="dxa"/>
          </w:tcPr>
          <w:p>
            <w:pPr>
              <w:pStyle w:val="TableParagraph"/>
              <w:rPr>
                <w:rFonts w:ascii="Times New Roman"/>
                <w:sz w:val="8"/>
              </w:rPr>
            </w:pPr>
          </w:p>
        </w:tc>
        <w:tc>
          <w:tcPr>
            <w:tcW w:w="779" w:type="dxa"/>
          </w:tcPr>
          <w:p>
            <w:pPr>
              <w:pStyle w:val="TableParagraph"/>
              <w:spacing w:line="118" w:lineRule="exact" w:before="10"/>
              <w:ind w:right="67"/>
              <w:jc w:val="right"/>
              <w:rPr>
                <w:sz w:val="11"/>
              </w:rPr>
            </w:pPr>
            <w:r>
              <w:rPr>
                <w:spacing w:val="-2"/>
                <w:w w:val="105"/>
                <w:sz w:val="11"/>
              </w:rPr>
              <w:t>32,330</w:t>
            </w:r>
          </w:p>
        </w:tc>
        <w:tc>
          <w:tcPr>
            <w:tcW w:w="892" w:type="dxa"/>
          </w:tcPr>
          <w:p>
            <w:pPr>
              <w:pStyle w:val="TableParagraph"/>
              <w:spacing w:line="118" w:lineRule="exact" w:before="10"/>
              <w:ind w:right="83"/>
              <w:jc w:val="right"/>
              <w:rPr>
                <w:sz w:val="11"/>
              </w:rPr>
            </w:pPr>
            <w:r>
              <w:rPr>
                <w:spacing w:val="-2"/>
                <w:w w:val="105"/>
                <w:sz w:val="11"/>
              </w:rPr>
              <w:t>32,331</w:t>
            </w:r>
          </w:p>
        </w:tc>
        <w:tc>
          <w:tcPr>
            <w:tcW w:w="753" w:type="dxa"/>
          </w:tcPr>
          <w:p>
            <w:pPr>
              <w:pStyle w:val="TableParagraph"/>
              <w:spacing w:line="118" w:lineRule="exact" w:before="10"/>
              <w:ind w:right="61"/>
              <w:jc w:val="right"/>
              <w:rPr>
                <w:sz w:val="11"/>
              </w:rPr>
            </w:pPr>
            <w:r>
              <w:rPr>
                <w:spacing w:val="-5"/>
                <w:w w:val="105"/>
                <w:sz w:val="11"/>
              </w:rPr>
              <w:t>(1)</w:t>
            </w:r>
          </w:p>
        </w:tc>
        <w:tc>
          <w:tcPr>
            <w:tcW w:w="720" w:type="dxa"/>
          </w:tcPr>
          <w:p>
            <w:pPr>
              <w:pStyle w:val="TableParagraph"/>
              <w:spacing w:line="118" w:lineRule="exact" w:before="10"/>
              <w:ind w:right="41"/>
              <w:jc w:val="right"/>
              <w:rPr>
                <w:sz w:val="11"/>
              </w:rPr>
            </w:pPr>
            <w:r>
              <w:rPr>
                <w:spacing w:val="-2"/>
                <w:w w:val="105"/>
                <w:sz w:val="11"/>
              </w:rPr>
              <w:t>32,040</w:t>
            </w:r>
          </w:p>
        </w:tc>
        <w:tc>
          <w:tcPr>
            <w:tcW w:w="853" w:type="dxa"/>
          </w:tcPr>
          <w:p>
            <w:pPr>
              <w:pStyle w:val="TableParagraph"/>
              <w:spacing w:line="118" w:lineRule="exact" w:before="10"/>
              <w:ind w:right="80"/>
              <w:jc w:val="right"/>
              <w:rPr>
                <w:sz w:val="11"/>
              </w:rPr>
            </w:pPr>
            <w:r>
              <w:rPr>
                <w:spacing w:val="-2"/>
                <w:w w:val="105"/>
                <w:sz w:val="11"/>
              </w:rPr>
              <w:t>32,041</w:t>
            </w:r>
          </w:p>
        </w:tc>
        <w:tc>
          <w:tcPr>
            <w:tcW w:w="708" w:type="dxa"/>
          </w:tcPr>
          <w:p>
            <w:pPr>
              <w:pStyle w:val="TableParagraph"/>
              <w:spacing w:line="118" w:lineRule="exact" w:before="10"/>
              <w:ind w:right="13"/>
              <w:jc w:val="right"/>
              <w:rPr>
                <w:sz w:val="11"/>
              </w:rPr>
            </w:pPr>
            <w:r>
              <w:rPr>
                <w:spacing w:val="-5"/>
                <w:w w:val="105"/>
                <w:sz w:val="11"/>
              </w:rPr>
              <w:t>(1)</w:t>
            </w:r>
          </w:p>
        </w:tc>
      </w:tr>
      <w:tr>
        <w:trPr>
          <w:trHeight w:val="138" w:hRule="atLeast"/>
        </w:trPr>
        <w:tc>
          <w:tcPr>
            <w:tcW w:w="3192" w:type="dxa"/>
          </w:tcPr>
          <w:p>
            <w:pPr>
              <w:pStyle w:val="TableParagraph"/>
              <w:spacing w:line="108" w:lineRule="exact" w:before="10"/>
              <w:ind w:left="28"/>
              <w:rPr>
                <w:sz w:val="11"/>
              </w:rPr>
            </w:pPr>
            <w:r>
              <w:rPr>
                <w:spacing w:val="-2"/>
                <w:w w:val="105"/>
                <w:sz w:val="11"/>
              </w:rPr>
              <w:t>Other</w:t>
            </w:r>
            <w:r>
              <w:rPr>
                <w:spacing w:val="-1"/>
                <w:w w:val="105"/>
                <w:sz w:val="11"/>
              </w:rPr>
              <w:t> </w:t>
            </w:r>
            <w:r>
              <w:rPr>
                <w:spacing w:val="-2"/>
                <w:w w:val="105"/>
                <w:sz w:val="11"/>
              </w:rPr>
              <w:t>expenses</w:t>
            </w:r>
          </w:p>
        </w:tc>
        <w:tc>
          <w:tcPr>
            <w:tcW w:w="737" w:type="dxa"/>
          </w:tcPr>
          <w:p>
            <w:pPr>
              <w:pStyle w:val="TableParagraph"/>
              <w:rPr>
                <w:rFonts w:ascii="Times New Roman"/>
                <w:sz w:val="8"/>
              </w:rPr>
            </w:pPr>
          </w:p>
        </w:tc>
        <w:tc>
          <w:tcPr>
            <w:tcW w:w="779" w:type="dxa"/>
            <w:tcBorders>
              <w:bottom w:val="single" w:sz="6" w:space="0" w:color="000000"/>
            </w:tcBorders>
          </w:tcPr>
          <w:p>
            <w:pPr>
              <w:pStyle w:val="TableParagraph"/>
              <w:spacing w:line="108" w:lineRule="exact" w:before="10"/>
              <w:ind w:right="67"/>
              <w:jc w:val="right"/>
              <w:rPr>
                <w:sz w:val="11"/>
              </w:rPr>
            </w:pPr>
            <w:r>
              <w:rPr>
                <w:spacing w:val="-2"/>
                <w:w w:val="105"/>
                <w:sz w:val="11"/>
              </w:rPr>
              <w:t>108,475</w:t>
            </w:r>
          </w:p>
        </w:tc>
        <w:tc>
          <w:tcPr>
            <w:tcW w:w="892" w:type="dxa"/>
            <w:tcBorders>
              <w:bottom w:val="single" w:sz="6" w:space="0" w:color="000000"/>
            </w:tcBorders>
          </w:tcPr>
          <w:p>
            <w:pPr>
              <w:pStyle w:val="TableParagraph"/>
              <w:spacing w:line="108" w:lineRule="exact" w:before="10"/>
              <w:ind w:right="83"/>
              <w:jc w:val="right"/>
              <w:rPr>
                <w:sz w:val="11"/>
              </w:rPr>
            </w:pPr>
            <w:r>
              <w:rPr>
                <w:spacing w:val="-2"/>
                <w:w w:val="105"/>
                <w:sz w:val="11"/>
              </w:rPr>
              <w:t>108,479</w:t>
            </w:r>
          </w:p>
        </w:tc>
        <w:tc>
          <w:tcPr>
            <w:tcW w:w="753" w:type="dxa"/>
            <w:tcBorders>
              <w:bottom w:val="single" w:sz="6" w:space="0" w:color="000000"/>
            </w:tcBorders>
          </w:tcPr>
          <w:p>
            <w:pPr>
              <w:pStyle w:val="TableParagraph"/>
              <w:spacing w:line="108" w:lineRule="exact" w:before="10"/>
              <w:ind w:right="61"/>
              <w:jc w:val="right"/>
              <w:rPr>
                <w:sz w:val="11"/>
              </w:rPr>
            </w:pPr>
            <w:r>
              <w:rPr>
                <w:spacing w:val="-5"/>
                <w:w w:val="105"/>
                <w:sz w:val="11"/>
              </w:rPr>
              <w:t>(4)</w:t>
            </w:r>
          </w:p>
        </w:tc>
        <w:tc>
          <w:tcPr>
            <w:tcW w:w="720" w:type="dxa"/>
            <w:tcBorders>
              <w:bottom w:val="single" w:sz="6" w:space="0" w:color="000000"/>
            </w:tcBorders>
          </w:tcPr>
          <w:p>
            <w:pPr>
              <w:pStyle w:val="TableParagraph"/>
              <w:spacing w:line="108" w:lineRule="exact" w:before="10"/>
              <w:ind w:right="41"/>
              <w:jc w:val="right"/>
              <w:rPr>
                <w:sz w:val="11"/>
              </w:rPr>
            </w:pPr>
            <w:r>
              <w:rPr>
                <w:spacing w:val="-2"/>
                <w:w w:val="105"/>
                <w:sz w:val="11"/>
              </w:rPr>
              <w:t>97,202</w:t>
            </w:r>
          </w:p>
        </w:tc>
        <w:tc>
          <w:tcPr>
            <w:tcW w:w="853" w:type="dxa"/>
            <w:tcBorders>
              <w:bottom w:val="single" w:sz="6" w:space="0" w:color="000000"/>
            </w:tcBorders>
          </w:tcPr>
          <w:p>
            <w:pPr>
              <w:pStyle w:val="TableParagraph"/>
              <w:spacing w:line="108" w:lineRule="exact" w:before="10"/>
              <w:ind w:right="80"/>
              <w:jc w:val="right"/>
              <w:rPr>
                <w:sz w:val="11"/>
              </w:rPr>
            </w:pPr>
            <w:r>
              <w:rPr>
                <w:spacing w:val="-2"/>
                <w:w w:val="105"/>
                <w:sz w:val="11"/>
              </w:rPr>
              <w:t>97,206</w:t>
            </w:r>
          </w:p>
        </w:tc>
        <w:tc>
          <w:tcPr>
            <w:tcW w:w="708" w:type="dxa"/>
            <w:tcBorders>
              <w:bottom w:val="single" w:sz="6" w:space="0" w:color="000000"/>
            </w:tcBorders>
          </w:tcPr>
          <w:p>
            <w:pPr>
              <w:pStyle w:val="TableParagraph"/>
              <w:spacing w:line="108" w:lineRule="exact" w:before="10"/>
              <w:ind w:right="13"/>
              <w:jc w:val="right"/>
              <w:rPr>
                <w:sz w:val="11"/>
              </w:rPr>
            </w:pPr>
            <w:r>
              <w:rPr>
                <w:spacing w:val="-5"/>
                <w:w w:val="105"/>
                <w:sz w:val="11"/>
              </w:rPr>
              <w:t>(4)</w:t>
            </w:r>
          </w:p>
        </w:tc>
      </w:tr>
      <w:tr>
        <w:trPr>
          <w:trHeight w:val="151" w:hRule="atLeast"/>
        </w:trPr>
        <w:tc>
          <w:tcPr>
            <w:tcW w:w="3192" w:type="dxa"/>
          </w:tcPr>
          <w:p>
            <w:pPr>
              <w:pStyle w:val="TableParagraph"/>
              <w:spacing w:line="117" w:lineRule="exact" w:before="15"/>
              <w:ind w:left="28"/>
              <w:rPr>
                <w:b/>
                <w:sz w:val="11"/>
              </w:rPr>
            </w:pPr>
            <w:r>
              <w:rPr>
                <w:b/>
                <w:sz w:val="11"/>
              </w:rPr>
              <w:t>Total</w:t>
            </w:r>
            <w:r>
              <w:rPr>
                <w:b/>
                <w:spacing w:val="5"/>
                <w:sz w:val="11"/>
              </w:rPr>
              <w:t> </w:t>
            </w:r>
            <w:r>
              <w:rPr>
                <w:b/>
                <w:sz w:val="11"/>
              </w:rPr>
              <w:t>expenses</w:t>
            </w:r>
            <w:r>
              <w:rPr>
                <w:b/>
                <w:spacing w:val="4"/>
                <w:sz w:val="11"/>
              </w:rPr>
              <w:t> </w:t>
            </w:r>
            <w:r>
              <w:rPr>
                <w:b/>
                <w:sz w:val="11"/>
              </w:rPr>
              <w:t>from</w:t>
            </w:r>
            <w:r>
              <w:rPr>
                <w:b/>
                <w:spacing w:val="4"/>
                <w:sz w:val="11"/>
              </w:rPr>
              <w:t> </w:t>
            </w:r>
            <w:r>
              <w:rPr>
                <w:b/>
                <w:sz w:val="11"/>
              </w:rPr>
              <w:t>continuing</w:t>
            </w:r>
            <w:r>
              <w:rPr>
                <w:b/>
                <w:spacing w:val="5"/>
                <w:sz w:val="11"/>
              </w:rPr>
              <w:t> </w:t>
            </w:r>
            <w:r>
              <w:rPr>
                <w:b/>
                <w:spacing w:val="-2"/>
                <w:sz w:val="11"/>
              </w:rPr>
              <w:t>operations</w:t>
            </w:r>
          </w:p>
        </w:tc>
        <w:tc>
          <w:tcPr>
            <w:tcW w:w="737" w:type="dxa"/>
          </w:tcPr>
          <w:p>
            <w:pPr>
              <w:pStyle w:val="TableParagraph"/>
              <w:rPr>
                <w:rFonts w:ascii="Times New Roman"/>
                <w:sz w:val="8"/>
              </w:rPr>
            </w:pPr>
          </w:p>
        </w:tc>
        <w:tc>
          <w:tcPr>
            <w:tcW w:w="779" w:type="dxa"/>
            <w:tcBorders>
              <w:top w:val="single" w:sz="6" w:space="0" w:color="000000"/>
              <w:bottom w:val="single" w:sz="6" w:space="0" w:color="000000"/>
            </w:tcBorders>
          </w:tcPr>
          <w:p>
            <w:pPr>
              <w:pStyle w:val="TableParagraph"/>
              <w:spacing w:line="117" w:lineRule="exact" w:before="15"/>
              <w:ind w:right="67"/>
              <w:jc w:val="right"/>
              <w:rPr>
                <w:b/>
                <w:sz w:val="11"/>
              </w:rPr>
            </w:pPr>
            <w:r>
              <w:rPr>
                <w:b/>
                <w:spacing w:val="-2"/>
                <w:w w:val="105"/>
                <w:sz w:val="11"/>
              </w:rPr>
              <w:t>938,215</w:t>
            </w:r>
          </w:p>
        </w:tc>
        <w:tc>
          <w:tcPr>
            <w:tcW w:w="892" w:type="dxa"/>
            <w:tcBorders>
              <w:top w:val="single" w:sz="6" w:space="0" w:color="000000"/>
              <w:bottom w:val="single" w:sz="6" w:space="0" w:color="000000"/>
            </w:tcBorders>
          </w:tcPr>
          <w:p>
            <w:pPr>
              <w:pStyle w:val="TableParagraph"/>
              <w:spacing w:line="117" w:lineRule="exact" w:before="15"/>
              <w:ind w:right="121"/>
              <w:jc w:val="right"/>
              <w:rPr>
                <w:b/>
                <w:sz w:val="11"/>
              </w:rPr>
            </w:pPr>
            <w:r>
              <w:rPr>
                <w:b/>
                <w:spacing w:val="-2"/>
                <w:w w:val="105"/>
                <w:sz w:val="11"/>
              </w:rPr>
              <w:t>939,992</w:t>
            </w:r>
          </w:p>
        </w:tc>
        <w:tc>
          <w:tcPr>
            <w:tcW w:w="753" w:type="dxa"/>
            <w:tcBorders>
              <w:top w:val="single" w:sz="6" w:space="0" w:color="000000"/>
              <w:bottom w:val="single" w:sz="6" w:space="0" w:color="000000"/>
            </w:tcBorders>
          </w:tcPr>
          <w:p>
            <w:pPr>
              <w:pStyle w:val="TableParagraph"/>
              <w:spacing w:line="117" w:lineRule="exact" w:before="15"/>
              <w:ind w:right="65"/>
              <w:jc w:val="right"/>
              <w:rPr>
                <w:b/>
                <w:sz w:val="11"/>
              </w:rPr>
            </w:pPr>
            <w:r>
              <w:rPr>
                <w:b/>
                <w:spacing w:val="-2"/>
                <w:w w:val="105"/>
                <w:sz w:val="11"/>
              </w:rPr>
              <w:t>(1,777)</w:t>
            </w:r>
          </w:p>
        </w:tc>
        <w:tc>
          <w:tcPr>
            <w:tcW w:w="720" w:type="dxa"/>
            <w:tcBorders>
              <w:top w:val="single" w:sz="6" w:space="0" w:color="000000"/>
              <w:bottom w:val="single" w:sz="6" w:space="0" w:color="000000"/>
            </w:tcBorders>
          </w:tcPr>
          <w:p>
            <w:pPr>
              <w:pStyle w:val="TableParagraph"/>
              <w:spacing w:line="117" w:lineRule="exact" w:before="15"/>
              <w:ind w:right="52"/>
              <w:jc w:val="right"/>
              <w:rPr>
                <w:b/>
                <w:sz w:val="11"/>
              </w:rPr>
            </w:pPr>
            <w:r>
              <w:rPr>
                <w:b/>
                <w:spacing w:val="-2"/>
                <w:w w:val="105"/>
                <w:sz w:val="11"/>
              </w:rPr>
              <w:t>910,781</w:t>
            </w:r>
          </w:p>
        </w:tc>
        <w:tc>
          <w:tcPr>
            <w:tcW w:w="853" w:type="dxa"/>
            <w:tcBorders>
              <w:top w:val="single" w:sz="6" w:space="0" w:color="000000"/>
              <w:bottom w:val="single" w:sz="6" w:space="0" w:color="000000"/>
            </w:tcBorders>
          </w:tcPr>
          <w:p>
            <w:pPr>
              <w:pStyle w:val="TableParagraph"/>
              <w:spacing w:line="117" w:lineRule="exact" w:before="15"/>
              <w:ind w:right="80"/>
              <w:jc w:val="right"/>
              <w:rPr>
                <w:b/>
                <w:sz w:val="11"/>
              </w:rPr>
            </w:pPr>
            <w:r>
              <w:rPr>
                <w:b/>
                <w:spacing w:val="-2"/>
                <w:w w:val="105"/>
                <w:sz w:val="11"/>
              </w:rPr>
              <w:t>912,558</w:t>
            </w:r>
          </w:p>
        </w:tc>
        <w:tc>
          <w:tcPr>
            <w:tcW w:w="708" w:type="dxa"/>
            <w:tcBorders>
              <w:top w:val="single" w:sz="6" w:space="0" w:color="000000"/>
              <w:bottom w:val="single" w:sz="6" w:space="0" w:color="000000"/>
            </w:tcBorders>
          </w:tcPr>
          <w:p>
            <w:pPr>
              <w:pStyle w:val="TableParagraph"/>
              <w:spacing w:line="117" w:lineRule="exact" w:before="15"/>
              <w:ind w:right="17"/>
              <w:jc w:val="right"/>
              <w:rPr>
                <w:b/>
                <w:sz w:val="11"/>
              </w:rPr>
            </w:pPr>
            <w:r>
              <w:rPr>
                <w:b/>
                <w:spacing w:val="-2"/>
                <w:w w:val="105"/>
                <w:sz w:val="11"/>
              </w:rPr>
              <w:t>(1,777)</w:t>
            </w:r>
          </w:p>
        </w:tc>
      </w:tr>
      <w:tr>
        <w:trPr>
          <w:trHeight w:val="125" w:hRule="atLeast"/>
        </w:trPr>
        <w:tc>
          <w:tcPr>
            <w:tcW w:w="3192" w:type="dxa"/>
          </w:tcPr>
          <w:p>
            <w:pPr>
              <w:pStyle w:val="TableParagraph"/>
              <w:rPr>
                <w:rFonts w:ascii="Times New Roman"/>
                <w:sz w:val="6"/>
              </w:rPr>
            </w:pPr>
          </w:p>
        </w:tc>
        <w:tc>
          <w:tcPr>
            <w:tcW w:w="737" w:type="dxa"/>
          </w:tcPr>
          <w:p>
            <w:pPr>
              <w:pStyle w:val="TableParagraph"/>
              <w:rPr>
                <w:rFonts w:ascii="Times New Roman"/>
                <w:sz w:val="6"/>
              </w:rPr>
            </w:pPr>
          </w:p>
        </w:tc>
        <w:tc>
          <w:tcPr>
            <w:tcW w:w="779" w:type="dxa"/>
            <w:tcBorders>
              <w:top w:val="single" w:sz="6" w:space="0" w:color="000000"/>
              <w:bottom w:val="single" w:sz="6" w:space="0" w:color="000000"/>
            </w:tcBorders>
          </w:tcPr>
          <w:p>
            <w:pPr>
              <w:pStyle w:val="TableParagraph"/>
              <w:rPr>
                <w:rFonts w:ascii="Times New Roman"/>
                <w:sz w:val="6"/>
              </w:rPr>
            </w:pPr>
          </w:p>
        </w:tc>
        <w:tc>
          <w:tcPr>
            <w:tcW w:w="892" w:type="dxa"/>
            <w:tcBorders>
              <w:top w:val="single" w:sz="6" w:space="0" w:color="000000"/>
              <w:bottom w:val="single" w:sz="6" w:space="0" w:color="000000"/>
            </w:tcBorders>
          </w:tcPr>
          <w:p>
            <w:pPr>
              <w:pStyle w:val="TableParagraph"/>
              <w:rPr>
                <w:rFonts w:ascii="Times New Roman"/>
                <w:sz w:val="6"/>
              </w:rPr>
            </w:pPr>
          </w:p>
        </w:tc>
        <w:tc>
          <w:tcPr>
            <w:tcW w:w="753" w:type="dxa"/>
            <w:tcBorders>
              <w:top w:val="single" w:sz="6" w:space="0" w:color="000000"/>
              <w:bottom w:val="single" w:sz="6" w:space="0" w:color="000000"/>
            </w:tcBorders>
          </w:tcPr>
          <w:p>
            <w:pPr>
              <w:pStyle w:val="TableParagraph"/>
              <w:rPr>
                <w:rFonts w:ascii="Times New Roman"/>
                <w:sz w:val="6"/>
              </w:rPr>
            </w:pPr>
          </w:p>
        </w:tc>
        <w:tc>
          <w:tcPr>
            <w:tcW w:w="720" w:type="dxa"/>
            <w:tcBorders>
              <w:top w:val="single" w:sz="6" w:space="0" w:color="000000"/>
              <w:bottom w:val="single" w:sz="6" w:space="0" w:color="000000"/>
            </w:tcBorders>
          </w:tcPr>
          <w:p>
            <w:pPr>
              <w:pStyle w:val="TableParagraph"/>
              <w:rPr>
                <w:rFonts w:ascii="Times New Roman"/>
                <w:sz w:val="6"/>
              </w:rPr>
            </w:pPr>
          </w:p>
        </w:tc>
        <w:tc>
          <w:tcPr>
            <w:tcW w:w="853" w:type="dxa"/>
            <w:tcBorders>
              <w:top w:val="single" w:sz="6" w:space="0" w:color="000000"/>
              <w:bottom w:val="single" w:sz="6" w:space="0" w:color="000000"/>
            </w:tcBorders>
          </w:tcPr>
          <w:p>
            <w:pPr>
              <w:pStyle w:val="TableParagraph"/>
              <w:rPr>
                <w:rFonts w:ascii="Times New Roman"/>
                <w:sz w:val="6"/>
              </w:rPr>
            </w:pPr>
          </w:p>
        </w:tc>
        <w:tc>
          <w:tcPr>
            <w:tcW w:w="708" w:type="dxa"/>
            <w:tcBorders>
              <w:top w:val="single" w:sz="6" w:space="0" w:color="000000"/>
              <w:bottom w:val="single" w:sz="6" w:space="0" w:color="000000"/>
            </w:tcBorders>
          </w:tcPr>
          <w:p>
            <w:pPr>
              <w:pStyle w:val="TableParagraph"/>
              <w:rPr>
                <w:rFonts w:ascii="Times New Roman"/>
                <w:sz w:val="6"/>
              </w:rPr>
            </w:pPr>
          </w:p>
        </w:tc>
      </w:tr>
      <w:tr>
        <w:trPr>
          <w:trHeight w:val="149" w:hRule="atLeast"/>
        </w:trPr>
        <w:tc>
          <w:tcPr>
            <w:tcW w:w="3192" w:type="dxa"/>
          </w:tcPr>
          <w:p>
            <w:pPr>
              <w:pStyle w:val="TableParagraph"/>
              <w:spacing w:line="110" w:lineRule="exact" w:before="19"/>
              <w:ind w:left="28"/>
              <w:rPr>
                <w:b/>
                <w:sz w:val="11"/>
              </w:rPr>
            </w:pPr>
            <w:r>
              <w:rPr>
                <w:b/>
                <w:sz w:val="11"/>
              </w:rPr>
              <w:t>Net</w:t>
            </w:r>
            <w:r>
              <w:rPr>
                <w:b/>
                <w:spacing w:val="3"/>
                <w:sz w:val="11"/>
              </w:rPr>
              <w:t> </w:t>
            </w:r>
            <w:r>
              <w:rPr>
                <w:b/>
                <w:sz w:val="11"/>
              </w:rPr>
              <w:t>result</w:t>
            </w:r>
            <w:r>
              <w:rPr>
                <w:b/>
                <w:spacing w:val="4"/>
                <w:sz w:val="11"/>
              </w:rPr>
              <w:t> </w:t>
            </w:r>
            <w:r>
              <w:rPr>
                <w:b/>
                <w:sz w:val="11"/>
              </w:rPr>
              <w:t>from</w:t>
            </w:r>
            <w:r>
              <w:rPr>
                <w:b/>
                <w:spacing w:val="2"/>
                <w:sz w:val="11"/>
              </w:rPr>
              <w:t> </w:t>
            </w:r>
            <w:r>
              <w:rPr>
                <w:b/>
                <w:sz w:val="11"/>
              </w:rPr>
              <w:t>continuing</w:t>
            </w:r>
            <w:r>
              <w:rPr>
                <w:b/>
                <w:spacing w:val="4"/>
                <w:sz w:val="11"/>
              </w:rPr>
              <w:t> </w:t>
            </w:r>
            <w:r>
              <w:rPr>
                <w:b/>
                <w:spacing w:val="-2"/>
                <w:sz w:val="11"/>
              </w:rPr>
              <w:t>operations</w:t>
            </w:r>
          </w:p>
        </w:tc>
        <w:tc>
          <w:tcPr>
            <w:tcW w:w="737" w:type="dxa"/>
          </w:tcPr>
          <w:p>
            <w:pPr>
              <w:pStyle w:val="TableParagraph"/>
              <w:rPr>
                <w:rFonts w:ascii="Times New Roman"/>
                <w:sz w:val="8"/>
              </w:rPr>
            </w:pPr>
          </w:p>
        </w:tc>
        <w:tc>
          <w:tcPr>
            <w:tcW w:w="779" w:type="dxa"/>
            <w:tcBorders>
              <w:top w:val="single" w:sz="6" w:space="0" w:color="000000"/>
              <w:bottom w:val="single" w:sz="12" w:space="0" w:color="000000"/>
            </w:tcBorders>
          </w:tcPr>
          <w:p>
            <w:pPr>
              <w:pStyle w:val="TableParagraph"/>
              <w:spacing w:line="113" w:lineRule="exact" w:before="17"/>
              <w:ind w:right="56"/>
              <w:jc w:val="right"/>
              <w:rPr>
                <w:b/>
                <w:sz w:val="11"/>
              </w:rPr>
            </w:pPr>
            <w:r>
              <w:rPr>
                <w:b/>
                <w:spacing w:val="-2"/>
                <w:w w:val="105"/>
                <w:sz w:val="11"/>
              </w:rPr>
              <w:t>55,107</w:t>
            </w:r>
          </w:p>
        </w:tc>
        <w:tc>
          <w:tcPr>
            <w:tcW w:w="892" w:type="dxa"/>
            <w:tcBorders>
              <w:top w:val="single" w:sz="6" w:space="0" w:color="000000"/>
              <w:bottom w:val="single" w:sz="12" w:space="0" w:color="000000"/>
            </w:tcBorders>
          </w:tcPr>
          <w:p>
            <w:pPr>
              <w:pStyle w:val="TableParagraph"/>
              <w:spacing w:line="113" w:lineRule="exact" w:before="17"/>
              <w:ind w:right="121"/>
              <w:jc w:val="right"/>
              <w:rPr>
                <w:b/>
                <w:sz w:val="11"/>
              </w:rPr>
            </w:pPr>
            <w:r>
              <w:rPr>
                <w:b/>
                <w:spacing w:val="-2"/>
                <w:w w:val="105"/>
                <w:sz w:val="11"/>
              </w:rPr>
              <w:t>68,517</w:t>
            </w:r>
          </w:p>
        </w:tc>
        <w:tc>
          <w:tcPr>
            <w:tcW w:w="753" w:type="dxa"/>
            <w:tcBorders>
              <w:top w:val="single" w:sz="6" w:space="0" w:color="000000"/>
              <w:bottom w:val="single" w:sz="12" w:space="0" w:color="000000"/>
            </w:tcBorders>
          </w:tcPr>
          <w:p>
            <w:pPr>
              <w:pStyle w:val="TableParagraph"/>
              <w:spacing w:line="113" w:lineRule="exact" w:before="17"/>
              <w:ind w:right="61"/>
              <w:jc w:val="right"/>
              <w:rPr>
                <w:b/>
                <w:sz w:val="11"/>
              </w:rPr>
            </w:pPr>
            <w:r>
              <w:rPr>
                <w:b/>
                <w:spacing w:val="-2"/>
                <w:w w:val="105"/>
                <w:sz w:val="11"/>
              </w:rPr>
              <w:t>(13,410)</w:t>
            </w:r>
          </w:p>
        </w:tc>
        <w:tc>
          <w:tcPr>
            <w:tcW w:w="720" w:type="dxa"/>
            <w:tcBorders>
              <w:top w:val="single" w:sz="6" w:space="0" w:color="000000"/>
              <w:bottom w:val="single" w:sz="12" w:space="0" w:color="000000"/>
            </w:tcBorders>
          </w:tcPr>
          <w:p>
            <w:pPr>
              <w:pStyle w:val="TableParagraph"/>
              <w:spacing w:line="113" w:lineRule="exact" w:before="17"/>
              <w:ind w:right="41"/>
              <w:jc w:val="right"/>
              <w:rPr>
                <w:b/>
                <w:sz w:val="11"/>
              </w:rPr>
            </w:pPr>
            <w:r>
              <w:rPr>
                <w:b/>
                <w:spacing w:val="-2"/>
                <w:w w:val="105"/>
                <w:sz w:val="11"/>
              </w:rPr>
              <w:t>58,089</w:t>
            </w:r>
          </w:p>
        </w:tc>
        <w:tc>
          <w:tcPr>
            <w:tcW w:w="853" w:type="dxa"/>
            <w:tcBorders>
              <w:top w:val="single" w:sz="6" w:space="0" w:color="000000"/>
              <w:bottom w:val="single" w:sz="12" w:space="0" w:color="000000"/>
            </w:tcBorders>
          </w:tcPr>
          <w:p>
            <w:pPr>
              <w:pStyle w:val="TableParagraph"/>
              <w:spacing w:line="113" w:lineRule="exact" w:before="17"/>
              <w:ind w:right="118"/>
              <w:jc w:val="right"/>
              <w:rPr>
                <w:b/>
                <w:sz w:val="11"/>
              </w:rPr>
            </w:pPr>
            <w:r>
              <w:rPr>
                <w:b/>
                <w:spacing w:val="-2"/>
                <w:w w:val="105"/>
                <w:sz w:val="11"/>
              </w:rPr>
              <w:t>71,499</w:t>
            </w:r>
          </w:p>
        </w:tc>
        <w:tc>
          <w:tcPr>
            <w:tcW w:w="708" w:type="dxa"/>
            <w:tcBorders>
              <w:top w:val="single" w:sz="6" w:space="0" w:color="000000"/>
              <w:bottom w:val="single" w:sz="12" w:space="0" w:color="000000"/>
            </w:tcBorders>
          </w:tcPr>
          <w:p>
            <w:pPr>
              <w:pStyle w:val="TableParagraph"/>
              <w:spacing w:line="113" w:lineRule="exact" w:before="17"/>
              <w:ind w:right="13"/>
              <w:jc w:val="right"/>
              <w:rPr>
                <w:b/>
                <w:sz w:val="11"/>
              </w:rPr>
            </w:pPr>
            <w:r>
              <w:rPr>
                <w:b/>
                <w:spacing w:val="-2"/>
                <w:w w:val="105"/>
                <w:sz w:val="11"/>
              </w:rPr>
              <w:t>(13,410)</w:t>
            </w:r>
          </w:p>
        </w:tc>
      </w:tr>
    </w:tbl>
    <w:p>
      <w:pPr>
        <w:spacing w:line="240" w:lineRule="auto" w:before="2"/>
        <w:rPr>
          <w:b/>
          <w:sz w:val="11"/>
        </w:rPr>
      </w:pPr>
    </w:p>
    <w:p>
      <w:pPr>
        <w:spacing w:line="273" w:lineRule="auto" w:before="0"/>
        <w:ind w:left="665" w:right="1344" w:firstLine="0"/>
        <w:jc w:val="left"/>
        <w:rPr>
          <w:sz w:val="11"/>
        </w:rPr>
      </w:pPr>
      <w:r>
        <w:rPr>
          <w:w w:val="105"/>
          <w:sz w:val="11"/>
        </w:rPr>
        <w:t>The</w:t>
      </w:r>
      <w:r>
        <w:rPr>
          <w:spacing w:val="8"/>
          <w:w w:val="105"/>
          <w:sz w:val="11"/>
        </w:rPr>
        <w:t> </w:t>
      </w:r>
      <w:r>
        <w:rPr>
          <w:w w:val="105"/>
          <w:sz w:val="11"/>
        </w:rPr>
        <w:t>nature</w:t>
      </w:r>
      <w:r>
        <w:rPr>
          <w:spacing w:val="8"/>
          <w:w w:val="105"/>
          <w:sz w:val="11"/>
        </w:rPr>
        <w:t> </w:t>
      </w:r>
      <w:r>
        <w:rPr>
          <w:w w:val="105"/>
          <w:sz w:val="11"/>
        </w:rPr>
        <w:t>of</w:t>
      </w:r>
      <w:r>
        <w:rPr>
          <w:spacing w:val="8"/>
          <w:w w:val="105"/>
          <w:sz w:val="11"/>
        </w:rPr>
        <w:t> </w:t>
      </w:r>
      <w:r>
        <w:rPr>
          <w:w w:val="105"/>
          <w:sz w:val="11"/>
        </w:rPr>
        <w:t>the</w:t>
      </w:r>
      <w:r>
        <w:rPr>
          <w:spacing w:val="8"/>
          <w:w w:val="105"/>
          <w:sz w:val="11"/>
        </w:rPr>
        <w:t> </w:t>
      </w:r>
      <w:r>
        <w:rPr>
          <w:w w:val="105"/>
          <w:sz w:val="11"/>
        </w:rPr>
        <w:t>adjustments</w:t>
      </w:r>
      <w:r>
        <w:rPr>
          <w:spacing w:val="9"/>
          <w:w w:val="105"/>
          <w:sz w:val="11"/>
        </w:rPr>
        <w:t> </w:t>
      </w:r>
      <w:r>
        <w:rPr>
          <w:w w:val="105"/>
          <w:sz w:val="11"/>
        </w:rPr>
        <w:t>as</w:t>
      </w:r>
      <w:r>
        <w:rPr>
          <w:spacing w:val="9"/>
          <w:w w:val="105"/>
          <w:sz w:val="11"/>
        </w:rPr>
        <w:t> </w:t>
      </w:r>
      <w:r>
        <w:rPr>
          <w:w w:val="105"/>
          <w:sz w:val="11"/>
        </w:rPr>
        <w:t>at</w:t>
      </w:r>
      <w:r>
        <w:rPr>
          <w:spacing w:val="8"/>
          <w:w w:val="105"/>
          <w:sz w:val="11"/>
        </w:rPr>
        <w:t> </w:t>
      </w:r>
      <w:r>
        <w:rPr>
          <w:w w:val="105"/>
          <w:sz w:val="11"/>
        </w:rPr>
        <w:t>1</w:t>
      </w:r>
      <w:r>
        <w:rPr>
          <w:spacing w:val="8"/>
          <w:w w:val="105"/>
          <w:sz w:val="11"/>
        </w:rPr>
        <w:t> </w:t>
      </w:r>
      <w:r>
        <w:rPr>
          <w:w w:val="105"/>
          <w:sz w:val="11"/>
        </w:rPr>
        <w:t>January</w:t>
      </w:r>
      <w:r>
        <w:rPr>
          <w:spacing w:val="8"/>
          <w:w w:val="105"/>
          <w:sz w:val="11"/>
        </w:rPr>
        <w:t> </w:t>
      </w:r>
      <w:r>
        <w:rPr>
          <w:w w:val="105"/>
          <w:sz w:val="11"/>
        </w:rPr>
        <w:t>2020</w:t>
      </w:r>
      <w:r>
        <w:rPr>
          <w:spacing w:val="8"/>
          <w:w w:val="105"/>
          <w:sz w:val="11"/>
        </w:rPr>
        <w:t> </w:t>
      </w:r>
      <w:r>
        <w:rPr>
          <w:w w:val="105"/>
          <w:sz w:val="11"/>
        </w:rPr>
        <w:t>and</w:t>
      </w:r>
      <w:r>
        <w:rPr>
          <w:spacing w:val="8"/>
          <w:w w:val="105"/>
          <w:sz w:val="11"/>
        </w:rPr>
        <w:t> </w:t>
      </w:r>
      <w:r>
        <w:rPr>
          <w:w w:val="105"/>
          <w:sz w:val="11"/>
        </w:rPr>
        <w:t>the</w:t>
      </w:r>
      <w:r>
        <w:rPr>
          <w:spacing w:val="8"/>
          <w:w w:val="105"/>
          <w:sz w:val="11"/>
        </w:rPr>
        <w:t> </w:t>
      </w:r>
      <w:r>
        <w:rPr>
          <w:w w:val="105"/>
          <w:sz w:val="11"/>
        </w:rPr>
        <w:t>reasons</w:t>
      </w:r>
      <w:r>
        <w:rPr>
          <w:spacing w:val="9"/>
          <w:w w:val="105"/>
          <w:sz w:val="11"/>
        </w:rPr>
        <w:t> </w:t>
      </w:r>
      <w:r>
        <w:rPr>
          <w:w w:val="105"/>
          <w:sz w:val="11"/>
        </w:rPr>
        <w:t>for</w:t>
      </w:r>
      <w:r>
        <w:rPr>
          <w:spacing w:val="8"/>
          <w:w w:val="105"/>
          <w:sz w:val="11"/>
        </w:rPr>
        <w:t> </w:t>
      </w:r>
      <w:r>
        <w:rPr>
          <w:w w:val="105"/>
          <w:sz w:val="11"/>
        </w:rPr>
        <w:t>the</w:t>
      </w:r>
      <w:r>
        <w:rPr>
          <w:spacing w:val="8"/>
          <w:w w:val="105"/>
          <w:sz w:val="11"/>
        </w:rPr>
        <w:t> </w:t>
      </w:r>
      <w:r>
        <w:rPr>
          <w:w w:val="105"/>
          <w:sz w:val="11"/>
        </w:rPr>
        <w:t>significant</w:t>
      </w:r>
      <w:r>
        <w:rPr>
          <w:spacing w:val="8"/>
          <w:w w:val="105"/>
          <w:sz w:val="11"/>
        </w:rPr>
        <w:t> </w:t>
      </w:r>
      <w:r>
        <w:rPr>
          <w:w w:val="105"/>
          <w:sz w:val="11"/>
        </w:rPr>
        <w:t>changes</w:t>
      </w:r>
      <w:r>
        <w:rPr>
          <w:spacing w:val="9"/>
          <w:w w:val="105"/>
          <w:sz w:val="11"/>
        </w:rPr>
        <w:t> </w:t>
      </w:r>
      <w:r>
        <w:rPr>
          <w:w w:val="105"/>
          <w:sz w:val="11"/>
        </w:rPr>
        <w:t>in</w:t>
      </w:r>
      <w:r>
        <w:rPr>
          <w:spacing w:val="8"/>
          <w:w w:val="105"/>
          <w:sz w:val="11"/>
        </w:rPr>
        <w:t> </w:t>
      </w:r>
      <w:r>
        <w:rPr>
          <w:w w:val="105"/>
          <w:sz w:val="11"/>
        </w:rPr>
        <w:t>the</w:t>
      </w:r>
      <w:r>
        <w:rPr>
          <w:spacing w:val="8"/>
          <w:w w:val="105"/>
          <w:sz w:val="11"/>
        </w:rPr>
        <w:t> </w:t>
      </w:r>
      <w:r>
        <w:rPr>
          <w:w w:val="105"/>
          <w:sz w:val="11"/>
        </w:rPr>
        <w:t>income</w:t>
      </w:r>
      <w:r>
        <w:rPr>
          <w:spacing w:val="6"/>
          <w:w w:val="105"/>
          <w:sz w:val="11"/>
        </w:rPr>
        <w:t> </w:t>
      </w:r>
      <w:r>
        <w:rPr>
          <w:w w:val="105"/>
          <w:sz w:val="11"/>
        </w:rPr>
        <w:t>statement</w:t>
      </w:r>
      <w:r>
        <w:rPr>
          <w:spacing w:val="8"/>
          <w:w w:val="105"/>
          <w:sz w:val="11"/>
        </w:rPr>
        <w:t> </w:t>
      </w:r>
      <w:r>
        <w:rPr>
          <w:w w:val="105"/>
          <w:sz w:val="11"/>
        </w:rPr>
        <w:t>for</w:t>
      </w:r>
      <w:r>
        <w:rPr>
          <w:spacing w:val="7"/>
          <w:w w:val="105"/>
          <w:sz w:val="11"/>
        </w:rPr>
        <w:t> </w:t>
      </w:r>
      <w:r>
        <w:rPr>
          <w:w w:val="105"/>
          <w:sz w:val="11"/>
        </w:rPr>
        <w:t>the</w:t>
      </w:r>
      <w:r>
        <w:rPr>
          <w:spacing w:val="8"/>
          <w:w w:val="105"/>
          <w:sz w:val="11"/>
        </w:rPr>
        <w:t> </w:t>
      </w:r>
      <w:r>
        <w:rPr>
          <w:w w:val="105"/>
          <w:sz w:val="11"/>
        </w:rPr>
        <w:t>year</w:t>
      </w:r>
      <w:r>
        <w:rPr>
          <w:spacing w:val="7"/>
          <w:w w:val="105"/>
          <w:sz w:val="11"/>
        </w:rPr>
        <w:t> </w:t>
      </w:r>
      <w:r>
        <w:rPr>
          <w:w w:val="105"/>
          <w:sz w:val="11"/>
        </w:rPr>
        <w:t>ended</w:t>
      </w:r>
      <w:r>
        <w:rPr>
          <w:spacing w:val="8"/>
          <w:w w:val="105"/>
          <w:sz w:val="11"/>
        </w:rPr>
        <w:t> </w:t>
      </w:r>
      <w:r>
        <w:rPr>
          <w:w w:val="105"/>
          <w:sz w:val="11"/>
        </w:rPr>
        <w:t>31</w:t>
      </w:r>
      <w:r>
        <w:rPr>
          <w:spacing w:val="6"/>
          <w:w w:val="105"/>
          <w:sz w:val="11"/>
        </w:rPr>
        <w:t> </w:t>
      </w:r>
      <w:r>
        <w:rPr>
          <w:w w:val="105"/>
          <w:sz w:val="11"/>
        </w:rPr>
        <w:t>December</w:t>
      </w:r>
      <w:r>
        <w:rPr>
          <w:spacing w:val="8"/>
          <w:w w:val="105"/>
          <w:sz w:val="11"/>
        </w:rPr>
        <w:t> </w:t>
      </w:r>
      <w:r>
        <w:rPr>
          <w:w w:val="105"/>
          <w:sz w:val="11"/>
        </w:rPr>
        <w:t>2020</w:t>
      </w:r>
      <w:r>
        <w:rPr>
          <w:spacing w:val="6"/>
          <w:w w:val="105"/>
          <w:sz w:val="11"/>
        </w:rPr>
        <w:t> </w:t>
      </w:r>
      <w:r>
        <w:rPr>
          <w:w w:val="105"/>
          <w:sz w:val="11"/>
        </w:rPr>
        <w:t>are</w:t>
      </w:r>
      <w:r>
        <w:rPr>
          <w:spacing w:val="40"/>
          <w:w w:val="105"/>
          <w:sz w:val="11"/>
        </w:rPr>
        <w:t> </w:t>
      </w:r>
      <w:r>
        <w:rPr>
          <w:w w:val="105"/>
          <w:sz w:val="11"/>
        </w:rPr>
        <w:t>described</w:t>
      </w:r>
      <w:r>
        <w:rPr>
          <w:spacing w:val="-9"/>
          <w:w w:val="105"/>
          <w:sz w:val="11"/>
        </w:rPr>
        <w:t> </w:t>
      </w:r>
      <w:r>
        <w:rPr>
          <w:w w:val="105"/>
          <w:sz w:val="11"/>
        </w:rPr>
        <w:t>below:</w:t>
      </w:r>
    </w:p>
    <w:p>
      <w:pPr>
        <w:spacing w:line="278" w:lineRule="auto" w:before="14"/>
        <w:ind w:left="665" w:right="1719" w:firstLine="0"/>
        <w:jc w:val="left"/>
        <w:rPr>
          <w:sz w:val="11"/>
        </w:rPr>
      </w:pPr>
      <w:r>
        <w:rPr>
          <w:b/>
          <w:w w:val="105"/>
          <w:sz w:val="11"/>
        </w:rPr>
        <w:t>a</w:t>
      </w:r>
      <w:r>
        <w:rPr>
          <w:b/>
          <w:spacing w:val="-9"/>
          <w:w w:val="105"/>
          <w:sz w:val="11"/>
        </w:rPr>
        <w:t> </w:t>
      </w:r>
      <w:r>
        <w:rPr>
          <w:b/>
          <w:w w:val="105"/>
          <w:sz w:val="11"/>
        </w:rPr>
        <w:t>-</w:t>
      </w:r>
      <w:r>
        <w:rPr>
          <w:b/>
          <w:spacing w:val="-4"/>
          <w:w w:val="105"/>
          <w:sz w:val="11"/>
        </w:rPr>
        <w:t> </w:t>
      </w:r>
      <w:r>
        <w:rPr>
          <w:w w:val="105"/>
          <w:sz w:val="11"/>
        </w:rPr>
        <w:t>contract</w:t>
      </w:r>
      <w:r>
        <w:rPr>
          <w:spacing w:val="-5"/>
          <w:w w:val="105"/>
          <w:sz w:val="11"/>
        </w:rPr>
        <w:t> </w:t>
      </w:r>
      <w:r>
        <w:rPr>
          <w:w w:val="105"/>
          <w:sz w:val="11"/>
        </w:rPr>
        <w:t>assets</w:t>
      </w:r>
      <w:r>
        <w:rPr>
          <w:spacing w:val="-4"/>
          <w:w w:val="105"/>
          <w:sz w:val="11"/>
        </w:rPr>
        <w:t> </w:t>
      </w:r>
      <w:r>
        <w:rPr>
          <w:w w:val="105"/>
          <w:sz w:val="11"/>
        </w:rPr>
        <w:t>are</w:t>
      </w:r>
      <w:r>
        <w:rPr>
          <w:spacing w:val="-5"/>
          <w:w w:val="105"/>
          <w:sz w:val="11"/>
        </w:rPr>
        <w:t> </w:t>
      </w:r>
      <w:r>
        <w:rPr>
          <w:w w:val="105"/>
          <w:sz w:val="11"/>
        </w:rPr>
        <w:t>revenue</w:t>
      </w:r>
      <w:r>
        <w:rPr>
          <w:spacing w:val="-5"/>
          <w:w w:val="105"/>
          <w:sz w:val="11"/>
        </w:rPr>
        <w:t> </w:t>
      </w:r>
      <w:r>
        <w:rPr>
          <w:w w:val="105"/>
          <w:sz w:val="11"/>
        </w:rPr>
        <w:t>receivables</w:t>
      </w:r>
      <w:r>
        <w:rPr>
          <w:spacing w:val="-4"/>
          <w:w w:val="105"/>
          <w:sz w:val="11"/>
        </w:rPr>
        <w:t> </w:t>
      </w:r>
      <w:r>
        <w:rPr>
          <w:w w:val="105"/>
          <w:sz w:val="11"/>
        </w:rPr>
        <w:t>and</w:t>
      </w:r>
      <w:r>
        <w:rPr>
          <w:spacing w:val="-5"/>
          <w:w w:val="105"/>
          <w:sz w:val="11"/>
        </w:rPr>
        <w:t> </w:t>
      </w:r>
      <w:r>
        <w:rPr>
          <w:w w:val="105"/>
          <w:sz w:val="11"/>
        </w:rPr>
        <w:t>the</w:t>
      </w:r>
      <w:r>
        <w:rPr>
          <w:spacing w:val="-5"/>
          <w:w w:val="105"/>
          <w:sz w:val="11"/>
        </w:rPr>
        <w:t> </w:t>
      </w:r>
      <w:r>
        <w:rPr>
          <w:w w:val="105"/>
          <w:sz w:val="11"/>
        </w:rPr>
        <w:t>adjustment</w:t>
      </w:r>
      <w:r>
        <w:rPr>
          <w:spacing w:val="-5"/>
          <w:w w:val="105"/>
          <w:sz w:val="11"/>
        </w:rPr>
        <w:t> </w:t>
      </w:r>
      <w:r>
        <w:rPr>
          <w:w w:val="105"/>
          <w:sz w:val="11"/>
        </w:rPr>
        <w:t>reflect</w:t>
      </w:r>
      <w:r>
        <w:rPr>
          <w:spacing w:val="-5"/>
          <w:w w:val="105"/>
          <w:sz w:val="11"/>
        </w:rPr>
        <w:t> </w:t>
      </w:r>
      <w:r>
        <w:rPr>
          <w:w w:val="105"/>
          <w:sz w:val="11"/>
        </w:rPr>
        <w:t>research</w:t>
      </w:r>
      <w:r>
        <w:rPr>
          <w:spacing w:val="-5"/>
          <w:w w:val="105"/>
          <w:sz w:val="11"/>
        </w:rPr>
        <w:t> </w:t>
      </w:r>
      <w:r>
        <w:rPr>
          <w:w w:val="105"/>
          <w:sz w:val="11"/>
        </w:rPr>
        <w:t>output</w:t>
      </w:r>
      <w:r>
        <w:rPr>
          <w:spacing w:val="-5"/>
          <w:w w:val="105"/>
          <w:sz w:val="11"/>
        </w:rPr>
        <w:t> </w:t>
      </w:r>
      <w:r>
        <w:rPr>
          <w:w w:val="105"/>
          <w:sz w:val="11"/>
        </w:rPr>
        <w:t>that</w:t>
      </w:r>
      <w:r>
        <w:rPr>
          <w:spacing w:val="-5"/>
          <w:w w:val="105"/>
          <w:sz w:val="11"/>
        </w:rPr>
        <w:t> </w:t>
      </w:r>
      <w:r>
        <w:rPr>
          <w:w w:val="105"/>
          <w:sz w:val="11"/>
        </w:rPr>
        <w:t>have</w:t>
      </w:r>
      <w:r>
        <w:rPr>
          <w:spacing w:val="-5"/>
          <w:w w:val="105"/>
          <w:sz w:val="11"/>
        </w:rPr>
        <w:t> </w:t>
      </w:r>
      <w:r>
        <w:rPr>
          <w:w w:val="105"/>
          <w:sz w:val="11"/>
        </w:rPr>
        <w:t>been</w:t>
      </w:r>
      <w:r>
        <w:rPr>
          <w:spacing w:val="-4"/>
          <w:w w:val="105"/>
          <w:sz w:val="11"/>
        </w:rPr>
        <w:t> </w:t>
      </w:r>
      <w:r>
        <w:rPr>
          <w:w w:val="105"/>
          <w:sz w:val="11"/>
        </w:rPr>
        <w:t>delivered</w:t>
      </w:r>
      <w:r>
        <w:rPr>
          <w:spacing w:val="-5"/>
          <w:w w:val="105"/>
          <w:sz w:val="11"/>
        </w:rPr>
        <w:t> </w:t>
      </w:r>
      <w:r>
        <w:rPr>
          <w:w w:val="105"/>
          <w:sz w:val="11"/>
        </w:rPr>
        <w:t>but</w:t>
      </w:r>
      <w:r>
        <w:rPr>
          <w:spacing w:val="-4"/>
          <w:w w:val="105"/>
          <w:sz w:val="11"/>
        </w:rPr>
        <w:t> </w:t>
      </w:r>
      <w:r>
        <w:rPr>
          <w:w w:val="105"/>
          <w:sz w:val="11"/>
        </w:rPr>
        <w:t>considerations</w:t>
      </w:r>
      <w:r>
        <w:rPr>
          <w:spacing w:val="-4"/>
          <w:w w:val="105"/>
          <w:sz w:val="11"/>
        </w:rPr>
        <w:t> </w:t>
      </w:r>
      <w:r>
        <w:rPr>
          <w:w w:val="105"/>
          <w:sz w:val="11"/>
        </w:rPr>
        <w:t>have</w:t>
      </w:r>
      <w:r>
        <w:rPr>
          <w:spacing w:val="-4"/>
          <w:w w:val="105"/>
          <w:sz w:val="11"/>
        </w:rPr>
        <w:t> </w:t>
      </w:r>
      <w:r>
        <w:rPr>
          <w:w w:val="105"/>
          <w:sz w:val="11"/>
        </w:rPr>
        <w:t>not</w:t>
      </w:r>
      <w:r>
        <w:rPr>
          <w:spacing w:val="-5"/>
          <w:w w:val="105"/>
          <w:sz w:val="11"/>
        </w:rPr>
        <w:t> </w:t>
      </w:r>
      <w:r>
        <w:rPr>
          <w:w w:val="105"/>
          <w:sz w:val="11"/>
        </w:rPr>
        <w:t>been</w:t>
      </w:r>
      <w:r>
        <w:rPr>
          <w:spacing w:val="-4"/>
          <w:w w:val="105"/>
          <w:sz w:val="11"/>
        </w:rPr>
        <w:t> </w:t>
      </w:r>
      <w:r>
        <w:rPr>
          <w:w w:val="105"/>
          <w:sz w:val="11"/>
        </w:rPr>
        <w:t>received</w:t>
      </w:r>
      <w:r>
        <w:rPr>
          <w:spacing w:val="-5"/>
          <w:w w:val="105"/>
          <w:sz w:val="11"/>
        </w:rPr>
        <w:t> </w:t>
      </w:r>
      <w:r>
        <w:rPr>
          <w:w w:val="105"/>
          <w:sz w:val="11"/>
        </w:rPr>
        <w:t>as</w:t>
      </w:r>
      <w:r>
        <w:rPr>
          <w:spacing w:val="-2"/>
          <w:w w:val="105"/>
          <w:sz w:val="11"/>
        </w:rPr>
        <w:t> </w:t>
      </w:r>
      <w:r>
        <w:rPr>
          <w:w w:val="105"/>
          <w:sz w:val="11"/>
        </w:rPr>
        <w:t>at</w:t>
      </w:r>
      <w:r>
        <w:rPr>
          <w:spacing w:val="-5"/>
          <w:w w:val="105"/>
          <w:sz w:val="11"/>
        </w:rPr>
        <w:t> </w:t>
      </w:r>
      <w:r>
        <w:rPr>
          <w:w w:val="105"/>
          <w:sz w:val="11"/>
        </w:rPr>
        <w:t>reporting</w:t>
      </w:r>
      <w:r>
        <w:rPr>
          <w:spacing w:val="40"/>
          <w:w w:val="105"/>
          <w:sz w:val="11"/>
        </w:rPr>
        <w:t> </w:t>
      </w:r>
      <w:r>
        <w:rPr>
          <w:spacing w:val="-2"/>
          <w:w w:val="105"/>
          <w:sz w:val="11"/>
        </w:rPr>
        <w:t>date.</w:t>
      </w:r>
    </w:p>
    <w:p>
      <w:pPr>
        <w:spacing w:line="278" w:lineRule="auto" w:before="49"/>
        <w:ind w:left="665" w:right="1486" w:firstLine="0"/>
        <w:jc w:val="left"/>
        <w:rPr>
          <w:sz w:val="11"/>
        </w:rPr>
      </w:pPr>
      <w:r>
        <w:rPr>
          <w:b/>
          <w:w w:val="105"/>
          <w:sz w:val="11"/>
        </w:rPr>
        <w:t>b</w:t>
      </w:r>
      <w:r>
        <w:rPr>
          <w:b/>
          <w:spacing w:val="-1"/>
          <w:w w:val="105"/>
          <w:sz w:val="11"/>
        </w:rPr>
        <w:t> </w:t>
      </w:r>
      <w:r>
        <w:rPr>
          <w:w w:val="105"/>
          <w:sz w:val="11"/>
        </w:rPr>
        <w:t>-</w:t>
      </w:r>
      <w:r>
        <w:rPr>
          <w:spacing w:val="-1"/>
          <w:w w:val="105"/>
          <w:sz w:val="11"/>
        </w:rPr>
        <w:t> </w:t>
      </w:r>
      <w:r>
        <w:rPr>
          <w:w w:val="105"/>
          <w:sz w:val="11"/>
        </w:rPr>
        <w:t>contract</w:t>
      </w:r>
      <w:r>
        <w:rPr>
          <w:spacing w:val="-1"/>
          <w:w w:val="105"/>
          <w:sz w:val="11"/>
        </w:rPr>
        <w:t> </w:t>
      </w:r>
      <w:r>
        <w:rPr>
          <w:w w:val="105"/>
          <w:sz w:val="11"/>
        </w:rPr>
        <w:t>liabilities are</w:t>
      </w:r>
      <w:r>
        <w:rPr>
          <w:spacing w:val="-2"/>
          <w:w w:val="105"/>
          <w:sz w:val="11"/>
        </w:rPr>
        <w:t> </w:t>
      </w:r>
      <w:r>
        <w:rPr>
          <w:w w:val="105"/>
          <w:sz w:val="11"/>
        </w:rPr>
        <w:t>deferred</w:t>
      </w:r>
      <w:r>
        <w:rPr>
          <w:spacing w:val="-2"/>
          <w:w w:val="105"/>
          <w:sz w:val="11"/>
        </w:rPr>
        <w:t> </w:t>
      </w:r>
      <w:r>
        <w:rPr>
          <w:w w:val="105"/>
          <w:sz w:val="11"/>
        </w:rPr>
        <w:t>revenue</w:t>
      </w:r>
      <w:r>
        <w:rPr>
          <w:spacing w:val="-2"/>
          <w:w w:val="105"/>
          <w:sz w:val="11"/>
        </w:rPr>
        <w:t> </w:t>
      </w:r>
      <w:r>
        <w:rPr>
          <w:w w:val="105"/>
          <w:sz w:val="11"/>
        </w:rPr>
        <w:t>as a</w:t>
      </w:r>
      <w:r>
        <w:rPr>
          <w:spacing w:val="-2"/>
          <w:w w:val="105"/>
          <w:sz w:val="11"/>
        </w:rPr>
        <w:t> </w:t>
      </w:r>
      <w:r>
        <w:rPr>
          <w:w w:val="105"/>
          <w:sz w:val="11"/>
        </w:rPr>
        <w:t>result</w:t>
      </w:r>
      <w:r>
        <w:rPr>
          <w:spacing w:val="-1"/>
          <w:w w:val="105"/>
          <w:sz w:val="11"/>
        </w:rPr>
        <w:t> </w:t>
      </w:r>
      <w:r>
        <w:rPr>
          <w:w w:val="105"/>
          <w:sz w:val="11"/>
        </w:rPr>
        <w:t>of</w:t>
      </w:r>
      <w:r>
        <w:rPr>
          <w:spacing w:val="-1"/>
          <w:w w:val="105"/>
          <w:sz w:val="11"/>
        </w:rPr>
        <w:t> </w:t>
      </w:r>
      <w:r>
        <w:rPr>
          <w:w w:val="105"/>
          <w:sz w:val="11"/>
        </w:rPr>
        <w:t>consideration</w:t>
      </w:r>
      <w:r>
        <w:rPr>
          <w:spacing w:val="-2"/>
          <w:w w:val="105"/>
          <w:sz w:val="11"/>
        </w:rPr>
        <w:t> </w:t>
      </w:r>
      <w:r>
        <w:rPr>
          <w:w w:val="105"/>
          <w:sz w:val="11"/>
        </w:rPr>
        <w:t>received</w:t>
      </w:r>
      <w:r>
        <w:rPr>
          <w:spacing w:val="-2"/>
          <w:w w:val="105"/>
          <w:sz w:val="11"/>
        </w:rPr>
        <w:t> </w:t>
      </w:r>
      <w:r>
        <w:rPr>
          <w:w w:val="105"/>
          <w:sz w:val="11"/>
        </w:rPr>
        <w:t>in</w:t>
      </w:r>
      <w:r>
        <w:rPr>
          <w:spacing w:val="-3"/>
          <w:w w:val="105"/>
          <w:sz w:val="11"/>
        </w:rPr>
        <w:t> </w:t>
      </w:r>
      <w:r>
        <w:rPr>
          <w:w w:val="105"/>
          <w:sz w:val="11"/>
        </w:rPr>
        <w:t>advance</w:t>
      </w:r>
      <w:r>
        <w:rPr>
          <w:spacing w:val="-2"/>
          <w:w w:val="105"/>
          <w:sz w:val="11"/>
        </w:rPr>
        <w:t> </w:t>
      </w:r>
      <w:r>
        <w:rPr>
          <w:w w:val="105"/>
          <w:sz w:val="11"/>
        </w:rPr>
        <w:t>but</w:t>
      </w:r>
      <w:r>
        <w:rPr>
          <w:spacing w:val="-3"/>
          <w:w w:val="105"/>
          <w:sz w:val="11"/>
        </w:rPr>
        <w:t> </w:t>
      </w:r>
      <w:r>
        <w:rPr>
          <w:w w:val="105"/>
          <w:sz w:val="11"/>
        </w:rPr>
        <w:t>research</w:t>
      </w:r>
      <w:r>
        <w:rPr>
          <w:spacing w:val="-2"/>
          <w:w w:val="105"/>
          <w:sz w:val="11"/>
        </w:rPr>
        <w:t> </w:t>
      </w:r>
      <w:r>
        <w:rPr>
          <w:w w:val="105"/>
          <w:sz w:val="11"/>
        </w:rPr>
        <w:t>output</w:t>
      </w:r>
      <w:r>
        <w:rPr>
          <w:spacing w:val="-3"/>
          <w:w w:val="105"/>
          <w:sz w:val="11"/>
        </w:rPr>
        <w:t> </w:t>
      </w:r>
      <w:r>
        <w:rPr>
          <w:w w:val="105"/>
          <w:sz w:val="11"/>
        </w:rPr>
        <w:t>not</w:t>
      </w:r>
      <w:r>
        <w:rPr>
          <w:spacing w:val="-1"/>
          <w:w w:val="105"/>
          <w:sz w:val="11"/>
        </w:rPr>
        <w:t> </w:t>
      </w:r>
      <w:r>
        <w:rPr>
          <w:w w:val="105"/>
          <w:sz w:val="11"/>
        </w:rPr>
        <w:t>been</w:t>
      </w:r>
      <w:r>
        <w:rPr>
          <w:spacing w:val="-3"/>
          <w:w w:val="105"/>
          <w:sz w:val="11"/>
        </w:rPr>
        <w:t> </w:t>
      </w:r>
      <w:r>
        <w:rPr>
          <w:w w:val="105"/>
          <w:sz w:val="11"/>
        </w:rPr>
        <w:t>delivered</w:t>
      </w:r>
      <w:r>
        <w:rPr>
          <w:spacing w:val="-2"/>
          <w:w w:val="105"/>
          <w:sz w:val="11"/>
        </w:rPr>
        <w:t> </w:t>
      </w:r>
      <w:r>
        <w:rPr>
          <w:w w:val="105"/>
          <w:sz w:val="11"/>
        </w:rPr>
        <w:t>as</w:t>
      </w:r>
      <w:r>
        <w:rPr>
          <w:spacing w:val="-2"/>
          <w:w w:val="105"/>
          <w:sz w:val="11"/>
        </w:rPr>
        <w:t> </w:t>
      </w:r>
      <w:r>
        <w:rPr>
          <w:w w:val="105"/>
          <w:sz w:val="11"/>
        </w:rPr>
        <w:t>at</w:t>
      </w:r>
      <w:r>
        <w:rPr>
          <w:spacing w:val="-1"/>
          <w:w w:val="105"/>
          <w:sz w:val="11"/>
        </w:rPr>
        <w:t> </w:t>
      </w:r>
      <w:r>
        <w:rPr>
          <w:w w:val="105"/>
          <w:sz w:val="11"/>
        </w:rPr>
        <w:t>reporting</w:t>
      </w:r>
      <w:r>
        <w:rPr>
          <w:spacing w:val="-3"/>
          <w:w w:val="105"/>
          <w:sz w:val="11"/>
        </w:rPr>
        <w:t> </w:t>
      </w:r>
      <w:r>
        <w:rPr>
          <w:w w:val="105"/>
          <w:sz w:val="11"/>
        </w:rPr>
        <w:t>date.</w:t>
      </w:r>
      <w:r>
        <w:rPr>
          <w:spacing w:val="-1"/>
          <w:w w:val="105"/>
          <w:sz w:val="11"/>
        </w:rPr>
        <w:t> </w:t>
      </w:r>
      <w:r>
        <w:rPr>
          <w:w w:val="105"/>
          <w:sz w:val="11"/>
        </w:rPr>
        <w:t>The</w:t>
      </w:r>
      <w:r>
        <w:rPr>
          <w:spacing w:val="-3"/>
          <w:w w:val="105"/>
          <w:sz w:val="11"/>
        </w:rPr>
        <w:t> </w:t>
      </w:r>
      <w:r>
        <w:rPr>
          <w:w w:val="105"/>
          <w:sz w:val="11"/>
        </w:rPr>
        <w:t>adjustments</w:t>
      </w:r>
      <w:r>
        <w:rPr>
          <w:spacing w:val="40"/>
          <w:w w:val="105"/>
          <w:sz w:val="11"/>
        </w:rPr>
        <w:t> </w:t>
      </w:r>
      <w:r>
        <w:rPr>
          <w:w w:val="105"/>
          <w:sz w:val="11"/>
        </w:rPr>
        <w:t>reflect</w:t>
      </w:r>
      <w:r>
        <w:rPr>
          <w:spacing w:val="-5"/>
          <w:w w:val="105"/>
          <w:sz w:val="11"/>
        </w:rPr>
        <w:t> </w:t>
      </w:r>
      <w:r>
        <w:rPr>
          <w:w w:val="105"/>
          <w:sz w:val="11"/>
        </w:rPr>
        <w:t>the</w:t>
      </w:r>
      <w:r>
        <w:rPr>
          <w:spacing w:val="-6"/>
          <w:w w:val="105"/>
          <w:sz w:val="11"/>
        </w:rPr>
        <w:t> </w:t>
      </w:r>
      <w:r>
        <w:rPr>
          <w:w w:val="105"/>
          <w:sz w:val="11"/>
        </w:rPr>
        <w:t>University's</w:t>
      </w:r>
      <w:r>
        <w:rPr>
          <w:spacing w:val="-4"/>
          <w:w w:val="105"/>
          <w:sz w:val="11"/>
        </w:rPr>
        <w:t> </w:t>
      </w:r>
      <w:r>
        <w:rPr>
          <w:w w:val="105"/>
          <w:sz w:val="11"/>
        </w:rPr>
        <w:t>future</w:t>
      </w:r>
      <w:r>
        <w:rPr>
          <w:spacing w:val="-6"/>
          <w:w w:val="105"/>
          <w:sz w:val="11"/>
        </w:rPr>
        <w:t> </w:t>
      </w:r>
      <w:r>
        <w:rPr>
          <w:w w:val="105"/>
          <w:sz w:val="11"/>
        </w:rPr>
        <w:t>obligations</w:t>
      </w:r>
      <w:r>
        <w:rPr>
          <w:spacing w:val="-4"/>
          <w:w w:val="105"/>
          <w:sz w:val="11"/>
        </w:rPr>
        <w:t> </w:t>
      </w:r>
      <w:r>
        <w:rPr>
          <w:w w:val="105"/>
          <w:sz w:val="11"/>
        </w:rPr>
        <w:t>to</w:t>
      </w:r>
      <w:r>
        <w:rPr>
          <w:spacing w:val="-6"/>
          <w:w w:val="105"/>
          <w:sz w:val="11"/>
        </w:rPr>
        <w:t> </w:t>
      </w:r>
      <w:r>
        <w:rPr>
          <w:w w:val="105"/>
          <w:sz w:val="11"/>
        </w:rPr>
        <w:t>deliver</w:t>
      </w:r>
      <w:r>
        <w:rPr>
          <w:spacing w:val="-5"/>
          <w:w w:val="105"/>
          <w:sz w:val="11"/>
        </w:rPr>
        <w:t> </w:t>
      </w:r>
      <w:r>
        <w:rPr>
          <w:w w:val="105"/>
          <w:sz w:val="11"/>
        </w:rPr>
        <w:t>research</w:t>
      </w:r>
      <w:r>
        <w:rPr>
          <w:spacing w:val="-6"/>
          <w:w w:val="105"/>
          <w:sz w:val="11"/>
        </w:rPr>
        <w:t> </w:t>
      </w:r>
      <w:r>
        <w:rPr>
          <w:w w:val="105"/>
          <w:sz w:val="11"/>
        </w:rPr>
        <w:t>outputs</w:t>
      </w:r>
      <w:r>
        <w:rPr>
          <w:spacing w:val="-4"/>
          <w:w w:val="105"/>
          <w:sz w:val="11"/>
        </w:rPr>
        <w:t> </w:t>
      </w:r>
      <w:r>
        <w:rPr>
          <w:w w:val="105"/>
          <w:sz w:val="11"/>
        </w:rPr>
        <w:t>to</w:t>
      </w:r>
      <w:r>
        <w:rPr>
          <w:spacing w:val="-6"/>
          <w:w w:val="105"/>
          <w:sz w:val="11"/>
        </w:rPr>
        <w:t> </w:t>
      </w:r>
      <w:r>
        <w:rPr>
          <w:w w:val="105"/>
          <w:sz w:val="11"/>
        </w:rPr>
        <w:t>the</w:t>
      </w:r>
      <w:r>
        <w:rPr>
          <w:spacing w:val="-6"/>
          <w:w w:val="105"/>
          <w:sz w:val="11"/>
        </w:rPr>
        <w:t> </w:t>
      </w:r>
      <w:r>
        <w:rPr>
          <w:w w:val="105"/>
          <w:sz w:val="11"/>
        </w:rPr>
        <w:t>grantors/customers.</w:t>
      </w:r>
    </w:p>
    <w:p>
      <w:pPr>
        <w:spacing w:line="278" w:lineRule="auto" w:before="0"/>
        <w:ind w:left="665" w:right="1719" w:firstLine="0"/>
        <w:jc w:val="left"/>
        <w:rPr>
          <w:sz w:val="11"/>
        </w:rPr>
      </w:pPr>
      <w:r>
        <w:rPr>
          <w:b/>
          <w:w w:val="105"/>
          <w:sz w:val="11"/>
        </w:rPr>
        <w:t>c</w:t>
      </w:r>
      <w:r>
        <w:rPr>
          <w:b/>
          <w:spacing w:val="-9"/>
          <w:w w:val="105"/>
          <w:sz w:val="11"/>
        </w:rPr>
        <w:t> </w:t>
      </w:r>
      <w:r>
        <w:rPr>
          <w:w w:val="105"/>
          <w:sz w:val="11"/>
        </w:rPr>
        <w:t>-</w:t>
      </w:r>
      <w:r>
        <w:rPr>
          <w:spacing w:val="-8"/>
          <w:w w:val="105"/>
          <w:sz w:val="11"/>
        </w:rPr>
        <w:t> </w:t>
      </w:r>
      <w:r>
        <w:rPr>
          <w:w w:val="105"/>
          <w:sz w:val="11"/>
        </w:rPr>
        <w:t>other</w:t>
      </w:r>
      <w:r>
        <w:rPr>
          <w:spacing w:val="-8"/>
          <w:w w:val="105"/>
          <w:sz w:val="11"/>
        </w:rPr>
        <w:t> </w:t>
      </w:r>
      <w:r>
        <w:rPr>
          <w:w w:val="105"/>
          <w:sz w:val="11"/>
        </w:rPr>
        <w:t>liabilities</w:t>
      </w:r>
      <w:r>
        <w:rPr>
          <w:spacing w:val="-8"/>
          <w:w w:val="105"/>
          <w:sz w:val="11"/>
        </w:rPr>
        <w:t> </w:t>
      </w:r>
      <w:r>
        <w:rPr>
          <w:w w:val="105"/>
          <w:sz w:val="11"/>
        </w:rPr>
        <w:t>adjustments</w:t>
      </w:r>
      <w:r>
        <w:rPr>
          <w:spacing w:val="-8"/>
          <w:w w:val="105"/>
          <w:sz w:val="11"/>
        </w:rPr>
        <w:t> </w:t>
      </w:r>
      <w:r>
        <w:rPr>
          <w:w w:val="105"/>
          <w:sz w:val="11"/>
        </w:rPr>
        <w:t>relates</w:t>
      </w:r>
      <w:r>
        <w:rPr>
          <w:spacing w:val="-8"/>
          <w:w w:val="105"/>
          <w:sz w:val="11"/>
        </w:rPr>
        <w:t> </w:t>
      </w:r>
      <w:r>
        <w:rPr>
          <w:w w:val="105"/>
          <w:sz w:val="11"/>
        </w:rPr>
        <w:t>to</w:t>
      </w:r>
      <w:r>
        <w:rPr>
          <w:spacing w:val="-8"/>
          <w:w w:val="105"/>
          <w:sz w:val="11"/>
        </w:rPr>
        <w:t> </w:t>
      </w:r>
      <w:r>
        <w:rPr>
          <w:w w:val="105"/>
          <w:sz w:val="11"/>
        </w:rPr>
        <w:t>scholarships</w:t>
      </w:r>
      <w:r>
        <w:rPr>
          <w:spacing w:val="-8"/>
          <w:w w:val="105"/>
          <w:sz w:val="11"/>
        </w:rPr>
        <w:t> </w:t>
      </w:r>
      <w:r>
        <w:rPr>
          <w:w w:val="105"/>
          <w:sz w:val="11"/>
        </w:rPr>
        <w:t>recognised</w:t>
      </w:r>
      <w:r>
        <w:rPr>
          <w:spacing w:val="-8"/>
          <w:w w:val="105"/>
          <w:sz w:val="11"/>
        </w:rPr>
        <w:t> </w:t>
      </w:r>
      <w:r>
        <w:rPr>
          <w:w w:val="105"/>
          <w:sz w:val="11"/>
        </w:rPr>
        <w:t>as</w:t>
      </w:r>
      <w:r>
        <w:rPr>
          <w:spacing w:val="-8"/>
          <w:w w:val="105"/>
          <w:sz w:val="11"/>
        </w:rPr>
        <w:t> </w:t>
      </w:r>
      <w:r>
        <w:rPr>
          <w:w w:val="105"/>
          <w:sz w:val="11"/>
        </w:rPr>
        <w:t>a</w:t>
      </w:r>
      <w:r>
        <w:rPr>
          <w:spacing w:val="-8"/>
          <w:w w:val="105"/>
          <w:sz w:val="11"/>
        </w:rPr>
        <w:t> </w:t>
      </w:r>
      <w:r>
        <w:rPr>
          <w:w w:val="105"/>
          <w:sz w:val="11"/>
        </w:rPr>
        <w:t>financial</w:t>
      </w:r>
      <w:r>
        <w:rPr>
          <w:spacing w:val="-8"/>
          <w:w w:val="105"/>
          <w:sz w:val="11"/>
        </w:rPr>
        <w:t> </w:t>
      </w:r>
      <w:r>
        <w:rPr>
          <w:w w:val="105"/>
          <w:sz w:val="11"/>
        </w:rPr>
        <w:t>liability</w:t>
      </w:r>
      <w:r>
        <w:rPr>
          <w:spacing w:val="-8"/>
          <w:w w:val="105"/>
          <w:sz w:val="11"/>
        </w:rPr>
        <w:t> </w:t>
      </w:r>
      <w:r>
        <w:rPr>
          <w:w w:val="105"/>
          <w:sz w:val="11"/>
        </w:rPr>
        <w:t>under</w:t>
      </w:r>
      <w:r>
        <w:rPr>
          <w:spacing w:val="-8"/>
          <w:w w:val="105"/>
          <w:sz w:val="11"/>
        </w:rPr>
        <w:t> </w:t>
      </w:r>
      <w:r>
        <w:rPr>
          <w:w w:val="105"/>
          <w:sz w:val="11"/>
        </w:rPr>
        <w:t>AASB9,</w:t>
      </w:r>
      <w:r>
        <w:rPr>
          <w:spacing w:val="-8"/>
          <w:w w:val="105"/>
          <w:sz w:val="11"/>
        </w:rPr>
        <w:t> </w:t>
      </w:r>
      <w:r>
        <w:rPr>
          <w:w w:val="105"/>
          <w:sz w:val="11"/>
        </w:rPr>
        <w:t>as</w:t>
      </w:r>
      <w:r>
        <w:rPr>
          <w:spacing w:val="-8"/>
          <w:w w:val="105"/>
          <w:sz w:val="11"/>
        </w:rPr>
        <w:t> </w:t>
      </w:r>
      <w:r>
        <w:rPr>
          <w:w w:val="105"/>
          <w:sz w:val="11"/>
        </w:rPr>
        <w:t>funding</w:t>
      </w:r>
      <w:r>
        <w:rPr>
          <w:spacing w:val="-8"/>
          <w:w w:val="105"/>
          <w:sz w:val="11"/>
        </w:rPr>
        <w:t> </w:t>
      </w:r>
      <w:r>
        <w:rPr>
          <w:w w:val="105"/>
          <w:sz w:val="11"/>
        </w:rPr>
        <w:t>provided</w:t>
      </w:r>
      <w:r>
        <w:rPr>
          <w:spacing w:val="-8"/>
          <w:w w:val="105"/>
          <w:sz w:val="11"/>
        </w:rPr>
        <w:t> </w:t>
      </w:r>
      <w:r>
        <w:rPr>
          <w:w w:val="105"/>
          <w:sz w:val="11"/>
        </w:rPr>
        <w:t>to</w:t>
      </w:r>
      <w:r>
        <w:rPr>
          <w:spacing w:val="-8"/>
          <w:w w:val="105"/>
          <w:sz w:val="11"/>
        </w:rPr>
        <w:t> </w:t>
      </w:r>
      <w:r>
        <w:rPr>
          <w:w w:val="105"/>
          <w:sz w:val="11"/>
        </w:rPr>
        <w:t>the</w:t>
      </w:r>
      <w:r>
        <w:rPr>
          <w:spacing w:val="-8"/>
          <w:w w:val="105"/>
          <w:sz w:val="11"/>
        </w:rPr>
        <w:t> </w:t>
      </w:r>
      <w:r>
        <w:rPr>
          <w:w w:val="105"/>
          <w:sz w:val="11"/>
        </w:rPr>
        <w:t>University</w:t>
      </w:r>
      <w:r>
        <w:rPr>
          <w:spacing w:val="-8"/>
          <w:w w:val="105"/>
          <w:sz w:val="11"/>
        </w:rPr>
        <w:t> </w:t>
      </w:r>
      <w:r>
        <w:rPr>
          <w:w w:val="105"/>
          <w:sz w:val="11"/>
        </w:rPr>
        <w:t>for</w:t>
      </w:r>
      <w:r>
        <w:rPr>
          <w:spacing w:val="-8"/>
          <w:w w:val="105"/>
          <w:sz w:val="11"/>
        </w:rPr>
        <w:t> </w:t>
      </w:r>
      <w:r>
        <w:rPr>
          <w:w w:val="105"/>
          <w:sz w:val="11"/>
        </w:rPr>
        <w:t>the</w:t>
      </w:r>
      <w:r>
        <w:rPr>
          <w:spacing w:val="-8"/>
          <w:w w:val="105"/>
          <w:sz w:val="11"/>
        </w:rPr>
        <w:t> </w:t>
      </w:r>
      <w:r>
        <w:rPr>
          <w:w w:val="105"/>
          <w:sz w:val="11"/>
        </w:rPr>
        <w:t>purpose</w:t>
      </w:r>
      <w:r>
        <w:rPr>
          <w:spacing w:val="-8"/>
          <w:w w:val="105"/>
          <w:sz w:val="11"/>
        </w:rPr>
        <w:t> </w:t>
      </w:r>
      <w:r>
        <w:rPr>
          <w:w w:val="105"/>
          <w:sz w:val="11"/>
        </w:rPr>
        <w:t>of</w:t>
      </w:r>
      <w:r>
        <w:rPr>
          <w:spacing w:val="-8"/>
          <w:w w:val="105"/>
          <w:sz w:val="11"/>
        </w:rPr>
        <w:t> </w:t>
      </w:r>
      <w:r>
        <w:rPr>
          <w:w w:val="105"/>
          <w:sz w:val="11"/>
        </w:rPr>
        <w:t>paying</w:t>
      </w:r>
      <w:r>
        <w:rPr>
          <w:spacing w:val="-8"/>
          <w:w w:val="105"/>
          <w:sz w:val="11"/>
        </w:rPr>
        <w:t> </w:t>
      </w:r>
      <w:r>
        <w:rPr>
          <w:w w:val="105"/>
          <w:sz w:val="11"/>
        </w:rPr>
        <w:t>cash</w:t>
      </w:r>
      <w:r>
        <w:rPr>
          <w:spacing w:val="-8"/>
          <w:w w:val="105"/>
          <w:sz w:val="11"/>
        </w:rPr>
        <w:t> </w:t>
      </w:r>
      <w:r>
        <w:rPr>
          <w:w w:val="105"/>
          <w:sz w:val="11"/>
        </w:rPr>
        <w:t>or</w:t>
      </w:r>
      <w:r>
        <w:rPr>
          <w:spacing w:val="40"/>
          <w:w w:val="105"/>
          <w:sz w:val="11"/>
        </w:rPr>
        <w:t> </w:t>
      </w:r>
      <w:r>
        <w:rPr>
          <w:w w:val="105"/>
          <w:sz w:val="11"/>
        </w:rPr>
        <w:t>stipends</w:t>
      </w:r>
      <w:r>
        <w:rPr>
          <w:spacing w:val="-7"/>
          <w:w w:val="105"/>
          <w:sz w:val="11"/>
        </w:rPr>
        <w:t> </w:t>
      </w:r>
      <w:r>
        <w:rPr>
          <w:w w:val="105"/>
          <w:sz w:val="11"/>
        </w:rPr>
        <w:t>to</w:t>
      </w:r>
      <w:r>
        <w:rPr>
          <w:spacing w:val="-8"/>
          <w:w w:val="105"/>
          <w:sz w:val="11"/>
        </w:rPr>
        <w:t> </w:t>
      </w:r>
      <w:r>
        <w:rPr>
          <w:w w:val="105"/>
          <w:sz w:val="11"/>
        </w:rPr>
        <w:t>students</w:t>
      </w:r>
      <w:r>
        <w:rPr>
          <w:spacing w:val="-7"/>
          <w:w w:val="105"/>
          <w:sz w:val="11"/>
        </w:rPr>
        <w:t> </w:t>
      </w:r>
      <w:r>
        <w:rPr>
          <w:w w:val="105"/>
          <w:sz w:val="11"/>
        </w:rPr>
        <w:t>and</w:t>
      </w:r>
      <w:r>
        <w:rPr>
          <w:spacing w:val="-8"/>
          <w:w w:val="105"/>
          <w:sz w:val="11"/>
        </w:rPr>
        <w:t> </w:t>
      </w:r>
      <w:r>
        <w:rPr>
          <w:w w:val="105"/>
          <w:sz w:val="11"/>
        </w:rPr>
        <w:t>other</w:t>
      </w:r>
      <w:r>
        <w:rPr>
          <w:spacing w:val="-8"/>
          <w:w w:val="105"/>
          <w:sz w:val="11"/>
        </w:rPr>
        <w:t> </w:t>
      </w:r>
      <w:r>
        <w:rPr>
          <w:w w:val="105"/>
          <w:sz w:val="11"/>
        </w:rPr>
        <w:t>parties.</w:t>
      </w:r>
      <w:r>
        <w:rPr>
          <w:spacing w:val="-7"/>
          <w:w w:val="105"/>
          <w:sz w:val="11"/>
        </w:rPr>
        <w:t> </w:t>
      </w:r>
      <w:r>
        <w:rPr>
          <w:w w:val="105"/>
          <w:sz w:val="11"/>
        </w:rPr>
        <w:t>Income</w:t>
      </w:r>
      <w:r>
        <w:rPr>
          <w:spacing w:val="-8"/>
          <w:w w:val="105"/>
          <w:sz w:val="11"/>
        </w:rPr>
        <w:t> </w:t>
      </w:r>
      <w:r>
        <w:rPr>
          <w:w w:val="105"/>
          <w:sz w:val="11"/>
        </w:rPr>
        <w:t>and</w:t>
      </w:r>
      <w:r>
        <w:rPr>
          <w:spacing w:val="-8"/>
          <w:w w:val="105"/>
          <w:sz w:val="11"/>
        </w:rPr>
        <w:t> </w:t>
      </w:r>
      <w:r>
        <w:rPr>
          <w:w w:val="105"/>
          <w:sz w:val="11"/>
        </w:rPr>
        <w:t>associated</w:t>
      </w:r>
      <w:r>
        <w:rPr>
          <w:spacing w:val="-8"/>
          <w:w w:val="105"/>
          <w:sz w:val="11"/>
        </w:rPr>
        <w:t> </w:t>
      </w:r>
      <w:r>
        <w:rPr>
          <w:w w:val="105"/>
          <w:sz w:val="11"/>
        </w:rPr>
        <w:t>expenditure</w:t>
      </w:r>
      <w:r>
        <w:rPr>
          <w:spacing w:val="-8"/>
          <w:w w:val="105"/>
          <w:sz w:val="11"/>
        </w:rPr>
        <w:t> </w:t>
      </w:r>
      <w:r>
        <w:rPr>
          <w:w w:val="105"/>
          <w:sz w:val="11"/>
        </w:rPr>
        <w:t>is</w:t>
      </w:r>
      <w:r>
        <w:rPr>
          <w:spacing w:val="-7"/>
          <w:w w:val="105"/>
          <w:sz w:val="11"/>
        </w:rPr>
        <w:t> </w:t>
      </w:r>
      <w:r>
        <w:rPr>
          <w:w w:val="105"/>
          <w:sz w:val="11"/>
        </w:rPr>
        <w:t>no</w:t>
      </w:r>
      <w:r>
        <w:rPr>
          <w:spacing w:val="-8"/>
          <w:w w:val="105"/>
          <w:sz w:val="11"/>
        </w:rPr>
        <w:t> </w:t>
      </w:r>
      <w:r>
        <w:rPr>
          <w:w w:val="105"/>
          <w:sz w:val="11"/>
        </w:rPr>
        <w:t>longer</w:t>
      </w:r>
      <w:r>
        <w:rPr>
          <w:spacing w:val="-8"/>
          <w:w w:val="105"/>
          <w:sz w:val="11"/>
        </w:rPr>
        <w:t> </w:t>
      </w:r>
      <w:r>
        <w:rPr>
          <w:w w:val="105"/>
          <w:sz w:val="11"/>
        </w:rPr>
        <w:t>recognised</w:t>
      </w:r>
      <w:r>
        <w:rPr>
          <w:spacing w:val="-8"/>
          <w:w w:val="105"/>
          <w:sz w:val="11"/>
        </w:rPr>
        <w:t> </w:t>
      </w:r>
      <w:r>
        <w:rPr>
          <w:w w:val="105"/>
          <w:sz w:val="11"/>
        </w:rPr>
        <w:t>for</w:t>
      </w:r>
      <w:r>
        <w:rPr>
          <w:spacing w:val="-7"/>
          <w:w w:val="105"/>
          <w:sz w:val="11"/>
        </w:rPr>
        <w:t> </w:t>
      </w:r>
      <w:r>
        <w:rPr>
          <w:w w:val="105"/>
          <w:sz w:val="11"/>
        </w:rPr>
        <w:t>these</w:t>
      </w:r>
      <w:r>
        <w:rPr>
          <w:spacing w:val="-8"/>
          <w:w w:val="105"/>
          <w:sz w:val="11"/>
        </w:rPr>
        <w:t> </w:t>
      </w:r>
      <w:r>
        <w:rPr>
          <w:w w:val="105"/>
          <w:sz w:val="11"/>
        </w:rPr>
        <w:t>activities,</w:t>
      </w:r>
      <w:r>
        <w:rPr>
          <w:spacing w:val="-8"/>
          <w:w w:val="105"/>
          <w:sz w:val="11"/>
        </w:rPr>
        <w:t> </w:t>
      </w:r>
      <w:r>
        <w:rPr>
          <w:w w:val="105"/>
          <w:sz w:val="11"/>
        </w:rPr>
        <w:t>as</w:t>
      </w:r>
      <w:r>
        <w:rPr>
          <w:spacing w:val="-7"/>
          <w:w w:val="105"/>
          <w:sz w:val="11"/>
        </w:rPr>
        <w:t> </w:t>
      </w:r>
      <w:r>
        <w:rPr>
          <w:w w:val="105"/>
          <w:sz w:val="11"/>
        </w:rPr>
        <w:t>previously</w:t>
      </w:r>
      <w:r>
        <w:rPr>
          <w:spacing w:val="-8"/>
          <w:w w:val="105"/>
          <w:sz w:val="11"/>
        </w:rPr>
        <w:t> </w:t>
      </w:r>
      <w:r>
        <w:rPr>
          <w:w w:val="105"/>
          <w:sz w:val="11"/>
        </w:rPr>
        <w:t>reported</w:t>
      </w:r>
      <w:r>
        <w:rPr>
          <w:spacing w:val="-8"/>
          <w:w w:val="105"/>
          <w:sz w:val="11"/>
        </w:rPr>
        <w:t> </w:t>
      </w:r>
      <w:r>
        <w:rPr>
          <w:w w:val="105"/>
          <w:sz w:val="11"/>
        </w:rPr>
        <w:t>under</w:t>
      </w:r>
      <w:r>
        <w:rPr>
          <w:spacing w:val="-7"/>
          <w:w w:val="105"/>
          <w:sz w:val="11"/>
        </w:rPr>
        <w:t> </w:t>
      </w:r>
      <w:r>
        <w:rPr>
          <w:w w:val="105"/>
          <w:sz w:val="11"/>
        </w:rPr>
        <w:t>AASB1004.</w:t>
      </w:r>
    </w:p>
    <w:p>
      <w:pPr>
        <w:spacing w:after="0" w:line="278" w:lineRule="auto"/>
        <w:jc w:val="left"/>
        <w:rPr>
          <w:sz w:val="11"/>
        </w:rPr>
        <w:sectPr>
          <w:type w:val="continuous"/>
          <w:pgSz w:w="11910" w:h="16840"/>
          <w:pgMar w:header="468" w:footer="0" w:top="980" w:bottom="280" w:left="920" w:right="0"/>
        </w:sect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123"/>
        <w:rPr>
          <w:sz w:val="18"/>
        </w:rPr>
      </w:pPr>
    </w:p>
    <w:p>
      <w:pPr>
        <w:pStyle w:val="BodyText"/>
        <w:ind w:left="240"/>
        <w:rPr>
          <w:rFonts w:ascii="Arial"/>
        </w:rPr>
      </w:pPr>
      <w:r>
        <w:rPr>
          <w:rFonts w:ascii="Arial"/>
          <w:color w:val="0070C0"/>
        </w:rPr>
        <w:t>NOTES</w:t>
      </w:r>
      <w:r>
        <w:rPr>
          <w:rFonts w:ascii="Arial"/>
          <w:color w:val="0070C0"/>
          <w:spacing w:val="-2"/>
        </w:rPr>
        <w:t> </w:t>
      </w:r>
      <w:r>
        <w:rPr>
          <w:rFonts w:ascii="Arial"/>
          <w:color w:val="0070C0"/>
        </w:rPr>
        <w:t>TO</w:t>
      </w:r>
      <w:r>
        <w:rPr>
          <w:rFonts w:ascii="Arial"/>
          <w:color w:val="0070C0"/>
          <w:spacing w:val="-1"/>
        </w:rPr>
        <w:t> </w:t>
      </w:r>
      <w:r>
        <w:rPr>
          <w:rFonts w:ascii="Arial"/>
          <w:color w:val="0070C0"/>
        </w:rPr>
        <w:t>THE</w:t>
      </w:r>
      <w:r>
        <w:rPr>
          <w:rFonts w:ascii="Arial"/>
          <w:color w:val="0070C0"/>
          <w:spacing w:val="-1"/>
        </w:rPr>
        <w:t> </w:t>
      </w:r>
      <w:r>
        <w:rPr>
          <w:rFonts w:ascii="Arial"/>
          <w:color w:val="0070C0"/>
        </w:rPr>
        <w:t>FINANCIAL</w:t>
      </w:r>
      <w:r>
        <w:rPr>
          <w:rFonts w:ascii="Arial"/>
          <w:color w:val="0070C0"/>
          <w:spacing w:val="-1"/>
        </w:rPr>
        <w:t> </w:t>
      </w:r>
      <w:r>
        <w:rPr>
          <w:rFonts w:ascii="Arial"/>
          <w:color w:val="0070C0"/>
          <w:spacing w:val="-2"/>
        </w:rPr>
        <w:t>STATEMENTS</w:t>
      </w:r>
    </w:p>
    <w:p>
      <w:pPr>
        <w:spacing w:before="27"/>
        <w:ind w:left="229" w:right="0" w:firstLine="0"/>
        <w:jc w:val="left"/>
        <w:rPr>
          <w:sz w:val="10"/>
        </w:rPr>
      </w:pPr>
      <w:r>
        <w:rPr>
          <w:w w:val="105"/>
          <w:sz w:val="10"/>
        </w:rPr>
        <w:t>for</w:t>
      </w:r>
      <w:r>
        <w:rPr>
          <w:spacing w:val="-6"/>
          <w:w w:val="105"/>
          <w:sz w:val="10"/>
        </w:rPr>
        <w:t> </w:t>
      </w:r>
      <w:r>
        <w:rPr>
          <w:w w:val="105"/>
          <w:sz w:val="10"/>
        </w:rPr>
        <w:t>the</w:t>
      </w:r>
      <w:r>
        <w:rPr>
          <w:spacing w:val="-4"/>
          <w:w w:val="105"/>
          <w:sz w:val="10"/>
        </w:rPr>
        <w:t> </w:t>
      </w:r>
      <w:r>
        <w:rPr>
          <w:w w:val="105"/>
          <w:sz w:val="10"/>
        </w:rPr>
        <w:t>year</w:t>
      </w:r>
      <w:r>
        <w:rPr>
          <w:spacing w:val="-6"/>
          <w:w w:val="105"/>
          <w:sz w:val="10"/>
        </w:rPr>
        <w:t> </w:t>
      </w:r>
      <w:r>
        <w:rPr>
          <w:w w:val="105"/>
          <w:sz w:val="10"/>
        </w:rPr>
        <w:t>ended</w:t>
      </w:r>
      <w:r>
        <w:rPr>
          <w:spacing w:val="-3"/>
          <w:w w:val="105"/>
          <w:sz w:val="10"/>
        </w:rPr>
        <w:t> </w:t>
      </w:r>
      <w:r>
        <w:rPr>
          <w:w w:val="105"/>
          <w:sz w:val="10"/>
        </w:rPr>
        <w:t>31</w:t>
      </w:r>
      <w:r>
        <w:rPr>
          <w:spacing w:val="-4"/>
          <w:w w:val="105"/>
          <w:sz w:val="10"/>
        </w:rPr>
        <w:t> </w:t>
      </w:r>
      <w:r>
        <w:rPr>
          <w:w w:val="105"/>
          <w:sz w:val="10"/>
        </w:rPr>
        <w:t>December</w:t>
      </w:r>
      <w:r>
        <w:rPr>
          <w:spacing w:val="-6"/>
          <w:w w:val="105"/>
          <w:sz w:val="10"/>
        </w:rPr>
        <w:t> </w:t>
      </w:r>
      <w:r>
        <w:rPr>
          <w:spacing w:val="-4"/>
          <w:w w:val="105"/>
          <w:sz w:val="10"/>
        </w:rPr>
        <w:t>2020</w:t>
      </w:r>
    </w:p>
    <w:p>
      <w:pPr>
        <w:spacing w:line="240" w:lineRule="auto" w:before="5"/>
        <w:rPr>
          <w:sz w:val="20"/>
        </w:rPr>
      </w:pPr>
    </w:p>
    <w:p>
      <w:pPr>
        <w:spacing w:after="0" w:line="240" w:lineRule="auto"/>
        <w:rPr>
          <w:sz w:val="20"/>
        </w:rPr>
        <w:sectPr>
          <w:pgSz w:w="11910" w:h="16840"/>
          <w:pgMar w:header="468" w:footer="0" w:top="720" w:bottom="280" w:left="920" w:right="0"/>
        </w:sectPr>
      </w:pPr>
    </w:p>
    <w:p>
      <w:pPr>
        <w:spacing w:before="94"/>
        <w:ind w:left="563" w:right="0" w:firstLine="0"/>
        <w:jc w:val="left"/>
        <w:rPr>
          <w:b/>
          <w:sz w:val="16"/>
        </w:rPr>
      </w:pPr>
      <w:r>
        <w:rPr>
          <w:b/>
          <w:sz w:val="16"/>
        </w:rPr>
        <w:t>Statement</w:t>
      </w:r>
      <w:r>
        <w:rPr>
          <w:b/>
          <w:spacing w:val="-11"/>
          <w:sz w:val="16"/>
        </w:rPr>
        <w:t> </w:t>
      </w:r>
      <w:r>
        <w:rPr>
          <w:b/>
          <w:sz w:val="16"/>
        </w:rPr>
        <w:t>of</w:t>
      </w:r>
      <w:r>
        <w:rPr>
          <w:b/>
          <w:spacing w:val="-10"/>
          <w:sz w:val="16"/>
        </w:rPr>
        <w:t> </w:t>
      </w:r>
      <w:r>
        <w:rPr>
          <w:b/>
          <w:sz w:val="16"/>
        </w:rPr>
        <w:t>financial</w:t>
      </w:r>
      <w:r>
        <w:rPr>
          <w:b/>
          <w:spacing w:val="-10"/>
          <w:sz w:val="16"/>
        </w:rPr>
        <w:t> </w:t>
      </w:r>
      <w:r>
        <w:rPr>
          <w:b/>
          <w:spacing w:val="-2"/>
          <w:sz w:val="16"/>
        </w:rPr>
        <w:t>position</w:t>
      </w:r>
    </w:p>
    <w:p>
      <w:pPr>
        <w:spacing w:line="240" w:lineRule="auto" w:before="15"/>
        <w:rPr>
          <w:b/>
          <w:sz w:val="11"/>
        </w:rPr>
      </w:pPr>
      <w:r>
        <w:rPr/>
        <w:br w:type="column"/>
      </w:r>
      <w:r>
        <w:rPr>
          <w:b/>
          <w:sz w:val="11"/>
        </w:rPr>
      </w:r>
    </w:p>
    <w:p>
      <w:pPr>
        <w:spacing w:before="0"/>
        <w:ind w:left="0" w:right="2019" w:firstLine="0"/>
        <w:jc w:val="center"/>
        <w:rPr>
          <w:b/>
          <w:sz w:val="11"/>
        </w:rPr>
      </w:pPr>
      <w:r>
        <w:rPr>
          <w:b/>
          <w:sz w:val="11"/>
        </w:rPr>
        <w:t>Amounts</w:t>
      </w:r>
      <w:r>
        <w:rPr>
          <w:b/>
          <w:spacing w:val="5"/>
          <w:sz w:val="11"/>
        </w:rPr>
        <w:t> </w:t>
      </w:r>
      <w:r>
        <w:rPr>
          <w:b/>
          <w:sz w:val="11"/>
        </w:rPr>
        <w:t>prepared</w:t>
      </w:r>
      <w:r>
        <w:rPr>
          <w:b/>
          <w:spacing w:val="5"/>
          <w:sz w:val="11"/>
        </w:rPr>
        <w:t> </w:t>
      </w:r>
      <w:r>
        <w:rPr>
          <w:b/>
          <w:spacing w:val="-2"/>
          <w:sz w:val="11"/>
        </w:rPr>
        <w:t>under</w:t>
      </w:r>
    </w:p>
    <w:p>
      <w:pPr>
        <w:tabs>
          <w:tab w:pos="2453" w:val="left" w:leader="none"/>
        </w:tabs>
        <w:spacing w:before="73"/>
        <w:ind w:left="0" w:right="2082" w:firstLine="0"/>
        <w:jc w:val="center"/>
        <w:rPr>
          <w:b/>
          <w:sz w:val="11"/>
        </w:rPr>
      </w:pPr>
      <w:r>
        <w:rPr>
          <w:b/>
          <w:spacing w:val="-2"/>
          <w:w w:val="105"/>
          <w:sz w:val="11"/>
        </w:rPr>
        <w:t>Consolidated</w:t>
      </w:r>
      <w:r>
        <w:rPr>
          <w:b/>
          <w:sz w:val="11"/>
        </w:rPr>
        <w:tab/>
      </w:r>
      <w:r>
        <w:rPr>
          <w:b/>
          <w:spacing w:val="-2"/>
          <w:w w:val="105"/>
          <w:sz w:val="11"/>
        </w:rPr>
        <w:t>University</w:t>
      </w:r>
    </w:p>
    <w:p>
      <w:pPr>
        <w:spacing w:after="0"/>
        <w:jc w:val="center"/>
        <w:rPr>
          <w:sz w:val="11"/>
        </w:rPr>
        <w:sectPr>
          <w:type w:val="continuous"/>
          <w:pgSz w:w="11910" w:h="16840"/>
          <w:pgMar w:header="468" w:footer="0" w:top="980" w:bottom="280" w:left="920" w:right="0"/>
          <w:cols w:num="2" w:equalWidth="0">
            <w:col w:w="2917" w:space="1858"/>
            <w:col w:w="6215"/>
          </w:cols>
        </w:sectPr>
      </w:pPr>
    </w:p>
    <w:p>
      <w:pPr>
        <w:spacing w:line="240" w:lineRule="auto" w:before="9"/>
        <w:rPr>
          <w:b/>
          <w:sz w:val="3"/>
        </w:rPr>
      </w:pPr>
      <w:r>
        <w:rPr/>
        <mc:AlternateContent>
          <mc:Choice Requires="wps">
            <w:drawing>
              <wp:anchor distT="0" distB="0" distL="0" distR="0" allowOverlap="1" layoutInCell="1" locked="0" behindDoc="0" simplePos="0" relativeHeight="15873024">
                <wp:simplePos x="0" y="0"/>
                <wp:positionH relativeFrom="page">
                  <wp:posOffset>7111289</wp:posOffset>
                </wp:positionH>
                <wp:positionV relativeFrom="page">
                  <wp:posOffset>8040241</wp:posOffset>
                </wp:positionV>
                <wp:extent cx="177800" cy="1945005"/>
                <wp:effectExtent l="0" t="0" r="0" b="0"/>
                <wp:wrapNone/>
                <wp:docPr id="887" name="Textbox 887"/>
                <wp:cNvGraphicFramePr>
                  <a:graphicFrameLocks/>
                </wp:cNvGraphicFramePr>
                <a:graphic>
                  <a:graphicData uri="http://schemas.microsoft.com/office/word/2010/wordprocessingShape">
                    <wps:wsp>
                      <wps:cNvPr id="887" name="Textbox 887"/>
                      <wps:cNvSpPr txBox="1"/>
                      <wps:spPr>
                        <a:xfrm>
                          <a:off x="0" y="0"/>
                          <a:ext cx="177800" cy="194500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633.089905pt;width:14pt;height:153.15pt;mso-position-horizontal-relative:page;mso-position-vertical-relative:page;z-index:15873024" type="#_x0000_t202" id="docshape581"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v:textbox>
                <w10:wrap type="none"/>
              </v:shape>
            </w:pict>
          </mc:Fallback>
        </mc:AlternateContent>
      </w:r>
    </w:p>
    <w:tbl>
      <w:tblPr>
        <w:tblW w:w="0" w:type="auto"/>
        <w:jc w:val="left"/>
        <w:tblInd w:w="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31"/>
        <w:gridCol w:w="1532"/>
        <w:gridCol w:w="786"/>
        <w:gridCol w:w="881"/>
        <w:gridCol w:w="779"/>
        <w:gridCol w:w="727"/>
        <w:gridCol w:w="853"/>
        <w:gridCol w:w="723"/>
      </w:tblGrid>
      <w:tr>
        <w:trPr>
          <w:trHeight w:val="335" w:hRule="atLeast"/>
        </w:trPr>
        <w:tc>
          <w:tcPr>
            <w:tcW w:w="3963" w:type="dxa"/>
            <w:gridSpan w:val="2"/>
          </w:tcPr>
          <w:p>
            <w:pPr>
              <w:pStyle w:val="TableParagraph"/>
              <w:rPr>
                <w:rFonts w:ascii="Times New Roman"/>
                <w:sz w:val="10"/>
              </w:rPr>
            </w:pPr>
          </w:p>
        </w:tc>
        <w:tc>
          <w:tcPr>
            <w:tcW w:w="786" w:type="dxa"/>
          </w:tcPr>
          <w:p>
            <w:pPr>
              <w:pStyle w:val="TableParagraph"/>
              <w:spacing w:line="140" w:lineRule="atLeast" w:before="16"/>
              <w:ind w:left="114" w:right="102" w:firstLine="47"/>
              <w:rPr>
                <w:sz w:val="11"/>
              </w:rPr>
            </w:pPr>
            <w:r>
              <w:rPr>
                <w:spacing w:val="-2"/>
                <w:w w:val="105"/>
                <w:sz w:val="11"/>
              </w:rPr>
              <w:t>AASB15/</w:t>
            </w:r>
            <w:r>
              <w:rPr>
                <w:spacing w:val="40"/>
                <w:w w:val="105"/>
                <w:sz w:val="11"/>
              </w:rPr>
              <w:t> </w:t>
            </w:r>
            <w:r>
              <w:rPr>
                <w:spacing w:val="-2"/>
                <w:w w:val="105"/>
                <w:sz w:val="11"/>
              </w:rPr>
              <w:t>AASB1058</w:t>
            </w:r>
          </w:p>
        </w:tc>
        <w:tc>
          <w:tcPr>
            <w:tcW w:w="881" w:type="dxa"/>
          </w:tcPr>
          <w:p>
            <w:pPr>
              <w:pStyle w:val="TableParagraph"/>
              <w:spacing w:before="29"/>
              <w:ind w:right="110"/>
              <w:jc w:val="right"/>
              <w:rPr>
                <w:sz w:val="11"/>
              </w:rPr>
            </w:pPr>
            <w:r>
              <w:rPr>
                <w:sz w:val="11"/>
              </w:rPr>
              <w:t>Previous</w:t>
            </w:r>
            <w:r>
              <w:rPr>
                <w:spacing w:val="10"/>
                <w:sz w:val="11"/>
              </w:rPr>
              <w:t> </w:t>
            </w:r>
            <w:r>
              <w:rPr>
                <w:spacing w:val="-5"/>
                <w:sz w:val="11"/>
              </w:rPr>
              <w:t>AAS</w:t>
            </w:r>
          </w:p>
        </w:tc>
        <w:tc>
          <w:tcPr>
            <w:tcW w:w="779" w:type="dxa"/>
          </w:tcPr>
          <w:p>
            <w:pPr>
              <w:pStyle w:val="TableParagraph"/>
              <w:spacing w:line="140" w:lineRule="atLeast" w:before="16"/>
              <w:ind w:left="109" w:right="190" w:firstLine="2"/>
              <w:rPr>
                <w:sz w:val="11"/>
              </w:rPr>
            </w:pPr>
            <w:r>
              <w:rPr>
                <w:spacing w:val="-2"/>
                <w:w w:val="105"/>
                <w:sz w:val="11"/>
              </w:rPr>
              <w:t>Increase/</w:t>
            </w:r>
            <w:r>
              <w:rPr>
                <w:spacing w:val="40"/>
                <w:w w:val="105"/>
                <w:sz w:val="11"/>
              </w:rPr>
              <w:t> </w:t>
            </w:r>
            <w:r>
              <w:rPr>
                <w:spacing w:val="-2"/>
                <w:sz w:val="11"/>
              </w:rPr>
              <w:t>decrease</w:t>
            </w:r>
          </w:p>
        </w:tc>
        <w:tc>
          <w:tcPr>
            <w:tcW w:w="727" w:type="dxa"/>
          </w:tcPr>
          <w:p>
            <w:pPr>
              <w:pStyle w:val="TableParagraph"/>
              <w:spacing w:line="140" w:lineRule="atLeast" w:before="16"/>
              <w:ind w:left="67" w:right="90" w:firstLine="47"/>
              <w:rPr>
                <w:sz w:val="11"/>
              </w:rPr>
            </w:pPr>
            <w:r>
              <w:rPr>
                <w:spacing w:val="-2"/>
                <w:w w:val="105"/>
                <w:sz w:val="11"/>
              </w:rPr>
              <w:t>AASB15/</w:t>
            </w:r>
            <w:r>
              <w:rPr>
                <w:spacing w:val="40"/>
                <w:w w:val="105"/>
                <w:sz w:val="11"/>
              </w:rPr>
              <w:t> </w:t>
            </w:r>
            <w:r>
              <w:rPr>
                <w:spacing w:val="-2"/>
                <w:w w:val="105"/>
                <w:sz w:val="11"/>
              </w:rPr>
              <w:t>AASB1058</w:t>
            </w:r>
          </w:p>
        </w:tc>
        <w:tc>
          <w:tcPr>
            <w:tcW w:w="853" w:type="dxa"/>
          </w:tcPr>
          <w:p>
            <w:pPr>
              <w:pStyle w:val="TableParagraph"/>
              <w:spacing w:before="29"/>
              <w:ind w:right="94"/>
              <w:jc w:val="right"/>
              <w:rPr>
                <w:sz w:val="11"/>
              </w:rPr>
            </w:pPr>
            <w:r>
              <w:rPr>
                <w:sz w:val="11"/>
              </w:rPr>
              <w:t>Previous</w:t>
            </w:r>
            <w:r>
              <w:rPr>
                <w:spacing w:val="10"/>
                <w:sz w:val="11"/>
              </w:rPr>
              <w:t> </w:t>
            </w:r>
            <w:r>
              <w:rPr>
                <w:spacing w:val="-5"/>
                <w:sz w:val="11"/>
              </w:rPr>
              <w:t>AAS</w:t>
            </w:r>
          </w:p>
        </w:tc>
        <w:tc>
          <w:tcPr>
            <w:tcW w:w="723" w:type="dxa"/>
          </w:tcPr>
          <w:p>
            <w:pPr>
              <w:pStyle w:val="TableParagraph"/>
              <w:spacing w:line="140" w:lineRule="atLeast" w:before="16"/>
              <w:ind w:left="98" w:right="145" w:firstLine="2"/>
              <w:rPr>
                <w:sz w:val="11"/>
              </w:rPr>
            </w:pPr>
            <w:r>
              <w:rPr>
                <w:spacing w:val="-2"/>
                <w:w w:val="105"/>
                <w:sz w:val="11"/>
              </w:rPr>
              <w:t>Increase/</w:t>
            </w:r>
            <w:r>
              <w:rPr>
                <w:spacing w:val="40"/>
                <w:w w:val="105"/>
                <w:sz w:val="11"/>
              </w:rPr>
              <w:t> </w:t>
            </w:r>
            <w:r>
              <w:rPr>
                <w:spacing w:val="-2"/>
                <w:sz w:val="11"/>
              </w:rPr>
              <w:t>decrease</w:t>
            </w:r>
          </w:p>
        </w:tc>
      </w:tr>
      <w:tr>
        <w:trPr>
          <w:trHeight w:val="553" w:hRule="atLeast"/>
        </w:trPr>
        <w:tc>
          <w:tcPr>
            <w:tcW w:w="2431" w:type="dxa"/>
          </w:tcPr>
          <w:p>
            <w:pPr>
              <w:pStyle w:val="TableParagraph"/>
              <w:spacing w:line="340" w:lineRule="auto" w:before="48"/>
              <w:ind w:left="29" w:right="793"/>
              <w:rPr>
                <w:b/>
                <w:sz w:val="11"/>
              </w:rPr>
            </w:pPr>
            <w:r>
              <w:rPr>
                <w:b/>
                <w:spacing w:val="-2"/>
                <w:w w:val="105"/>
                <w:sz w:val="11"/>
              </w:rPr>
              <w:t>As</w:t>
            </w:r>
            <w:r>
              <w:rPr>
                <w:b/>
                <w:spacing w:val="-7"/>
                <w:w w:val="105"/>
                <w:sz w:val="11"/>
              </w:rPr>
              <w:t> </w:t>
            </w:r>
            <w:r>
              <w:rPr>
                <w:b/>
                <w:spacing w:val="-2"/>
                <w:w w:val="105"/>
                <w:sz w:val="11"/>
              </w:rPr>
              <w:t>at</w:t>
            </w:r>
            <w:r>
              <w:rPr>
                <w:b/>
                <w:spacing w:val="-6"/>
                <w:w w:val="105"/>
                <w:sz w:val="11"/>
              </w:rPr>
              <w:t> </w:t>
            </w:r>
            <w:r>
              <w:rPr>
                <w:b/>
                <w:spacing w:val="-2"/>
                <w:w w:val="105"/>
                <w:sz w:val="11"/>
              </w:rPr>
              <w:t>31</w:t>
            </w:r>
            <w:r>
              <w:rPr>
                <w:b/>
                <w:spacing w:val="-6"/>
                <w:w w:val="105"/>
                <w:sz w:val="11"/>
              </w:rPr>
              <w:t> </w:t>
            </w:r>
            <w:r>
              <w:rPr>
                <w:b/>
                <w:spacing w:val="-2"/>
                <w:w w:val="105"/>
                <w:sz w:val="11"/>
              </w:rPr>
              <w:t>December</w:t>
            </w:r>
            <w:r>
              <w:rPr>
                <w:b/>
                <w:spacing w:val="-6"/>
                <w:w w:val="105"/>
                <w:sz w:val="11"/>
              </w:rPr>
              <w:t> </w:t>
            </w:r>
            <w:r>
              <w:rPr>
                <w:b/>
                <w:spacing w:val="-2"/>
                <w:w w:val="105"/>
                <w:sz w:val="11"/>
              </w:rPr>
              <w:t>2020</w:t>
            </w:r>
            <w:r>
              <w:rPr>
                <w:b/>
                <w:spacing w:val="40"/>
                <w:w w:val="105"/>
                <w:sz w:val="11"/>
              </w:rPr>
              <w:t> </w:t>
            </w:r>
            <w:r>
              <w:rPr>
                <w:b/>
                <w:spacing w:val="-2"/>
                <w:w w:val="105"/>
                <w:sz w:val="11"/>
              </w:rPr>
              <w:t>Assets</w:t>
            </w:r>
          </w:p>
          <w:p>
            <w:pPr>
              <w:pStyle w:val="TableParagraph"/>
              <w:spacing w:line="122" w:lineRule="exact"/>
              <w:ind w:left="29"/>
              <w:rPr>
                <w:sz w:val="11"/>
              </w:rPr>
            </w:pPr>
            <w:r>
              <w:rPr>
                <w:sz w:val="11"/>
              </w:rPr>
              <w:t>Contract</w:t>
            </w:r>
            <w:r>
              <w:rPr>
                <w:spacing w:val="9"/>
                <w:sz w:val="11"/>
              </w:rPr>
              <w:t> </w:t>
            </w:r>
            <w:r>
              <w:rPr>
                <w:spacing w:val="-2"/>
                <w:sz w:val="11"/>
              </w:rPr>
              <w:t>assets</w:t>
            </w:r>
          </w:p>
        </w:tc>
        <w:tc>
          <w:tcPr>
            <w:tcW w:w="1532" w:type="dxa"/>
          </w:tcPr>
          <w:p>
            <w:pPr>
              <w:pStyle w:val="TableParagraph"/>
              <w:rPr>
                <w:b/>
                <w:sz w:val="11"/>
              </w:rPr>
            </w:pPr>
          </w:p>
          <w:p>
            <w:pPr>
              <w:pStyle w:val="TableParagraph"/>
              <w:rPr>
                <w:b/>
                <w:sz w:val="11"/>
              </w:rPr>
            </w:pPr>
          </w:p>
          <w:p>
            <w:pPr>
              <w:pStyle w:val="TableParagraph"/>
              <w:spacing w:before="23"/>
              <w:rPr>
                <w:b/>
                <w:sz w:val="11"/>
              </w:rPr>
            </w:pPr>
          </w:p>
          <w:p>
            <w:pPr>
              <w:pStyle w:val="TableParagraph"/>
              <w:ind w:right="356"/>
              <w:jc w:val="right"/>
              <w:rPr>
                <w:b/>
                <w:sz w:val="11"/>
              </w:rPr>
            </w:pPr>
            <w:r>
              <w:rPr>
                <w:b/>
                <w:spacing w:val="-10"/>
                <w:w w:val="105"/>
                <w:sz w:val="11"/>
              </w:rPr>
              <w:t>a</w:t>
            </w:r>
          </w:p>
        </w:tc>
        <w:tc>
          <w:tcPr>
            <w:tcW w:w="786" w:type="dxa"/>
          </w:tcPr>
          <w:p>
            <w:pPr>
              <w:pStyle w:val="TableParagraph"/>
              <w:spacing w:before="33"/>
              <w:ind w:left="250"/>
              <w:rPr>
                <w:b/>
                <w:sz w:val="11"/>
              </w:rPr>
            </w:pPr>
            <w:r>
              <w:rPr>
                <w:b/>
                <w:spacing w:val="-2"/>
                <w:w w:val="105"/>
                <w:sz w:val="11"/>
              </w:rPr>
              <w:t>$’000</w:t>
            </w:r>
          </w:p>
          <w:p>
            <w:pPr>
              <w:pStyle w:val="TableParagraph"/>
              <w:spacing w:before="116"/>
              <w:rPr>
                <w:b/>
                <w:sz w:val="11"/>
              </w:rPr>
            </w:pPr>
          </w:p>
          <w:p>
            <w:pPr>
              <w:pStyle w:val="TableParagraph"/>
              <w:spacing w:before="1"/>
              <w:ind w:left="441"/>
              <w:rPr>
                <w:sz w:val="11"/>
              </w:rPr>
            </w:pPr>
            <w:r>
              <w:rPr>
                <w:spacing w:val="-2"/>
                <w:w w:val="105"/>
                <w:sz w:val="11"/>
              </w:rPr>
              <w:t>9,544</w:t>
            </w:r>
          </w:p>
        </w:tc>
        <w:tc>
          <w:tcPr>
            <w:tcW w:w="881" w:type="dxa"/>
          </w:tcPr>
          <w:p>
            <w:pPr>
              <w:pStyle w:val="TableParagraph"/>
              <w:spacing w:before="33"/>
              <w:ind w:left="274"/>
              <w:rPr>
                <w:b/>
                <w:sz w:val="11"/>
              </w:rPr>
            </w:pPr>
            <w:r>
              <w:rPr>
                <w:b/>
                <w:spacing w:val="-2"/>
                <w:w w:val="105"/>
                <w:sz w:val="11"/>
              </w:rPr>
              <w:t>$’000</w:t>
            </w:r>
          </w:p>
          <w:p>
            <w:pPr>
              <w:pStyle w:val="TableParagraph"/>
              <w:spacing w:before="116"/>
              <w:rPr>
                <w:b/>
                <w:sz w:val="11"/>
              </w:rPr>
            </w:pPr>
          </w:p>
          <w:p>
            <w:pPr>
              <w:pStyle w:val="TableParagraph"/>
              <w:spacing w:before="1"/>
              <w:ind w:left="584"/>
              <w:rPr>
                <w:sz w:val="11"/>
              </w:rPr>
            </w:pPr>
            <w:r>
              <w:rPr>
                <w:spacing w:val="-5"/>
                <w:w w:val="105"/>
                <w:sz w:val="11"/>
              </w:rPr>
              <w:t>899</w:t>
            </w:r>
          </w:p>
        </w:tc>
        <w:tc>
          <w:tcPr>
            <w:tcW w:w="779" w:type="dxa"/>
          </w:tcPr>
          <w:p>
            <w:pPr>
              <w:pStyle w:val="TableParagraph"/>
              <w:spacing w:before="33"/>
              <w:ind w:left="200"/>
              <w:rPr>
                <w:b/>
                <w:sz w:val="11"/>
              </w:rPr>
            </w:pPr>
            <w:r>
              <w:rPr>
                <w:b/>
                <w:spacing w:val="-2"/>
                <w:w w:val="105"/>
                <w:sz w:val="11"/>
              </w:rPr>
              <w:t>$’000</w:t>
            </w:r>
          </w:p>
          <w:p>
            <w:pPr>
              <w:pStyle w:val="TableParagraph"/>
              <w:spacing w:before="116"/>
              <w:rPr>
                <w:b/>
                <w:sz w:val="11"/>
              </w:rPr>
            </w:pPr>
          </w:p>
          <w:p>
            <w:pPr>
              <w:pStyle w:val="TableParagraph"/>
              <w:spacing w:before="1"/>
              <w:ind w:left="391"/>
              <w:rPr>
                <w:sz w:val="11"/>
              </w:rPr>
            </w:pPr>
            <w:r>
              <w:rPr>
                <w:spacing w:val="-2"/>
                <w:w w:val="105"/>
                <w:sz w:val="11"/>
              </w:rPr>
              <w:t>8,645</w:t>
            </w:r>
          </w:p>
        </w:tc>
        <w:tc>
          <w:tcPr>
            <w:tcW w:w="727" w:type="dxa"/>
          </w:tcPr>
          <w:p>
            <w:pPr>
              <w:pStyle w:val="TableParagraph"/>
              <w:spacing w:before="33"/>
              <w:ind w:left="204"/>
              <w:rPr>
                <w:b/>
                <w:sz w:val="11"/>
              </w:rPr>
            </w:pPr>
            <w:r>
              <w:rPr>
                <w:b/>
                <w:spacing w:val="-2"/>
                <w:w w:val="105"/>
                <w:sz w:val="11"/>
              </w:rPr>
              <w:t>$’000</w:t>
            </w:r>
          </w:p>
          <w:p>
            <w:pPr>
              <w:pStyle w:val="TableParagraph"/>
              <w:spacing w:before="116"/>
              <w:rPr>
                <w:b/>
                <w:sz w:val="11"/>
              </w:rPr>
            </w:pPr>
          </w:p>
          <w:p>
            <w:pPr>
              <w:pStyle w:val="TableParagraph"/>
              <w:spacing w:before="1"/>
              <w:ind w:left="395"/>
              <w:rPr>
                <w:sz w:val="11"/>
              </w:rPr>
            </w:pPr>
            <w:r>
              <w:rPr>
                <w:spacing w:val="-2"/>
                <w:w w:val="105"/>
                <w:sz w:val="11"/>
              </w:rPr>
              <w:t>9,544</w:t>
            </w:r>
          </w:p>
        </w:tc>
        <w:tc>
          <w:tcPr>
            <w:tcW w:w="853" w:type="dxa"/>
          </w:tcPr>
          <w:p>
            <w:pPr>
              <w:pStyle w:val="TableParagraph"/>
              <w:spacing w:before="33"/>
              <w:ind w:left="260"/>
              <w:rPr>
                <w:b/>
                <w:sz w:val="11"/>
              </w:rPr>
            </w:pPr>
            <w:r>
              <w:rPr>
                <w:b/>
                <w:spacing w:val="-2"/>
                <w:w w:val="105"/>
                <w:sz w:val="11"/>
              </w:rPr>
              <w:t>$’000</w:t>
            </w:r>
          </w:p>
          <w:p>
            <w:pPr>
              <w:pStyle w:val="TableParagraph"/>
              <w:spacing w:before="116"/>
              <w:rPr>
                <w:b/>
                <w:sz w:val="11"/>
              </w:rPr>
            </w:pPr>
          </w:p>
          <w:p>
            <w:pPr>
              <w:pStyle w:val="TableParagraph"/>
              <w:spacing w:before="1"/>
              <w:ind w:left="545"/>
              <w:rPr>
                <w:sz w:val="11"/>
              </w:rPr>
            </w:pPr>
            <w:r>
              <w:rPr>
                <w:spacing w:val="-5"/>
                <w:w w:val="105"/>
                <w:sz w:val="11"/>
              </w:rPr>
              <w:t>899</w:t>
            </w:r>
          </w:p>
        </w:tc>
        <w:tc>
          <w:tcPr>
            <w:tcW w:w="723" w:type="dxa"/>
          </w:tcPr>
          <w:p>
            <w:pPr>
              <w:pStyle w:val="TableParagraph"/>
              <w:spacing w:before="33"/>
              <w:ind w:left="189"/>
              <w:rPr>
                <w:b/>
                <w:sz w:val="11"/>
              </w:rPr>
            </w:pPr>
            <w:r>
              <w:rPr>
                <w:b/>
                <w:spacing w:val="-2"/>
                <w:w w:val="105"/>
                <w:sz w:val="11"/>
              </w:rPr>
              <w:t>$’000</w:t>
            </w:r>
          </w:p>
          <w:p>
            <w:pPr>
              <w:pStyle w:val="TableParagraph"/>
              <w:spacing w:before="116"/>
              <w:rPr>
                <w:b/>
                <w:sz w:val="11"/>
              </w:rPr>
            </w:pPr>
          </w:p>
          <w:p>
            <w:pPr>
              <w:pStyle w:val="TableParagraph"/>
              <w:spacing w:before="1"/>
              <w:ind w:left="380"/>
              <w:rPr>
                <w:sz w:val="11"/>
              </w:rPr>
            </w:pPr>
            <w:r>
              <w:rPr>
                <w:spacing w:val="-2"/>
                <w:w w:val="105"/>
                <w:sz w:val="11"/>
              </w:rPr>
              <w:t>8,645</w:t>
            </w:r>
          </w:p>
        </w:tc>
      </w:tr>
      <w:tr>
        <w:trPr>
          <w:trHeight w:val="165" w:hRule="atLeast"/>
        </w:trPr>
        <w:tc>
          <w:tcPr>
            <w:tcW w:w="2431" w:type="dxa"/>
          </w:tcPr>
          <w:p>
            <w:pPr>
              <w:pStyle w:val="TableParagraph"/>
              <w:spacing w:line="122" w:lineRule="exact" w:before="24"/>
              <w:ind w:left="29"/>
              <w:rPr>
                <w:sz w:val="11"/>
              </w:rPr>
            </w:pPr>
            <w:r>
              <w:rPr>
                <w:spacing w:val="-2"/>
                <w:w w:val="105"/>
                <w:sz w:val="11"/>
              </w:rPr>
              <w:t>Other</w:t>
            </w:r>
            <w:r>
              <w:rPr>
                <w:spacing w:val="-1"/>
                <w:w w:val="105"/>
                <w:sz w:val="11"/>
              </w:rPr>
              <w:t> </w:t>
            </w:r>
            <w:r>
              <w:rPr>
                <w:spacing w:val="-2"/>
                <w:w w:val="105"/>
                <w:sz w:val="11"/>
              </w:rPr>
              <w:t>assets</w:t>
            </w:r>
          </w:p>
        </w:tc>
        <w:tc>
          <w:tcPr>
            <w:tcW w:w="1532" w:type="dxa"/>
          </w:tcPr>
          <w:p>
            <w:pPr>
              <w:pStyle w:val="TableParagraph"/>
              <w:rPr>
                <w:rFonts w:ascii="Times New Roman"/>
                <w:sz w:val="10"/>
              </w:rPr>
            </w:pPr>
          </w:p>
        </w:tc>
        <w:tc>
          <w:tcPr>
            <w:tcW w:w="786" w:type="dxa"/>
            <w:tcBorders>
              <w:bottom w:val="single" w:sz="6" w:space="0" w:color="000000"/>
            </w:tcBorders>
          </w:tcPr>
          <w:p>
            <w:pPr>
              <w:pStyle w:val="TableParagraph"/>
              <w:spacing w:line="122" w:lineRule="exact" w:before="24"/>
              <w:ind w:right="59"/>
              <w:jc w:val="right"/>
              <w:rPr>
                <w:sz w:val="11"/>
              </w:rPr>
            </w:pPr>
            <w:r>
              <w:rPr>
                <w:spacing w:val="-2"/>
                <w:w w:val="105"/>
                <w:sz w:val="11"/>
              </w:rPr>
              <w:t>2,579,543</w:t>
            </w:r>
          </w:p>
        </w:tc>
        <w:tc>
          <w:tcPr>
            <w:tcW w:w="881" w:type="dxa"/>
            <w:tcBorders>
              <w:bottom w:val="single" w:sz="6" w:space="0" w:color="000000"/>
            </w:tcBorders>
          </w:tcPr>
          <w:p>
            <w:pPr>
              <w:pStyle w:val="TableParagraph"/>
              <w:spacing w:line="122" w:lineRule="exact" w:before="24"/>
              <w:ind w:right="106"/>
              <w:jc w:val="right"/>
              <w:rPr>
                <w:sz w:val="11"/>
              </w:rPr>
            </w:pPr>
            <w:r>
              <w:rPr>
                <w:spacing w:val="-2"/>
                <w:w w:val="105"/>
                <w:sz w:val="11"/>
              </w:rPr>
              <w:t>2,579,543</w:t>
            </w:r>
          </w:p>
        </w:tc>
        <w:tc>
          <w:tcPr>
            <w:tcW w:w="779" w:type="dxa"/>
            <w:tcBorders>
              <w:bottom w:val="single" w:sz="6" w:space="0" w:color="000000"/>
            </w:tcBorders>
          </w:tcPr>
          <w:p>
            <w:pPr>
              <w:pStyle w:val="TableParagraph"/>
              <w:spacing w:line="122" w:lineRule="exact" w:before="24"/>
              <w:ind w:right="96"/>
              <w:jc w:val="right"/>
              <w:rPr>
                <w:sz w:val="11"/>
              </w:rPr>
            </w:pPr>
            <w:r>
              <w:rPr>
                <w:spacing w:val="-10"/>
                <w:w w:val="105"/>
                <w:sz w:val="11"/>
              </w:rPr>
              <w:t>-</w:t>
            </w:r>
          </w:p>
        </w:tc>
        <w:tc>
          <w:tcPr>
            <w:tcW w:w="727" w:type="dxa"/>
            <w:tcBorders>
              <w:bottom w:val="single" w:sz="6" w:space="0" w:color="000000"/>
            </w:tcBorders>
          </w:tcPr>
          <w:p>
            <w:pPr>
              <w:pStyle w:val="TableParagraph"/>
              <w:spacing w:line="122" w:lineRule="exact" w:before="24"/>
              <w:ind w:right="47"/>
              <w:jc w:val="right"/>
              <w:rPr>
                <w:sz w:val="11"/>
              </w:rPr>
            </w:pPr>
            <w:r>
              <w:rPr>
                <w:spacing w:val="-2"/>
                <w:w w:val="105"/>
                <w:sz w:val="11"/>
              </w:rPr>
              <w:t>2,565,242</w:t>
            </w:r>
          </w:p>
        </w:tc>
        <w:tc>
          <w:tcPr>
            <w:tcW w:w="853" w:type="dxa"/>
            <w:tcBorders>
              <w:bottom w:val="single" w:sz="6" w:space="0" w:color="000000"/>
            </w:tcBorders>
          </w:tcPr>
          <w:p>
            <w:pPr>
              <w:pStyle w:val="TableParagraph"/>
              <w:spacing w:line="122" w:lineRule="exact" w:before="24"/>
              <w:ind w:right="117"/>
              <w:jc w:val="right"/>
              <w:rPr>
                <w:sz w:val="11"/>
              </w:rPr>
            </w:pPr>
            <w:r>
              <w:rPr>
                <w:spacing w:val="-2"/>
                <w:w w:val="105"/>
                <w:sz w:val="11"/>
              </w:rPr>
              <w:t>2,565,242</w:t>
            </w:r>
          </w:p>
        </w:tc>
        <w:tc>
          <w:tcPr>
            <w:tcW w:w="723" w:type="dxa"/>
            <w:tcBorders>
              <w:bottom w:val="single" w:sz="6" w:space="0" w:color="000000"/>
            </w:tcBorders>
          </w:tcPr>
          <w:p>
            <w:pPr>
              <w:pStyle w:val="TableParagraph"/>
              <w:spacing w:line="122" w:lineRule="exact" w:before="24"/>
              <w:ind w:right="51"/>
              <w:jc w:val="right"/>
              <w:rPr>
                <w:sz w:val="11"/>
              </w:rPr>
            </w:pPr>
            <w:r>
              <w:rPr>
                <w:spacing w:val="-10"/>
                <w:w w:val="105"/>
                <w:sz w:val="11"/>
              </w:rPr>
              <w:t>-</w:t>
            </w:r>
          </w:p>
        </w:tc>
      </w:tr>
      <w:tr>
        <w:trPr>
          <w:trHeight w:val="159" w:hRule="atLeast"/>
        </w:trPr>
        <w:tc>
          <w:tcPr>
            <w:tcW w:w="2431" w:type="dxa"/>
          </w:tcPr>
          <w:p>
            <w:pPr>
              <w:pStyle w:val="TableParagraph"/>
              <w:spacing w:line="122" w:lineRule="exact" w:before="18"/>
              <w:ind w:left="29"/>
              <w:rPr>
                <w:b/>
                <w:sz w:val="11"/>
              </w:rPr>
            </w:pPr>
            <w:r>
              <w:rPr>
                <w:b/>
                <w:w w:val="105"/>
                <w:sz w:val="11"/>
              </w:rPr>
              <w:t>Total</w:t>
            </w:r>
            <w:r>
              <w:rPr>
                <w:b/>
                <w:spacing w:val="-8"/>
                <w:w w:val="105"/>
                <w:sz w:val="11"/>
              </w:rPr>
              <w:t> </w:t>
            </w:r>
            <w:r>
              <w:rPr>
                <w:b/>
                <w:spacing w:val="-2"/>
                <w:w w:val="105"/>
                <w:sz w:val="11"/>
              </w:rPr>
              <w:t>assets</w:t>
            </w:r>
          </w:p>
        </w:tc>
        <w:tc>
          <w:tcPr>
            <w:tcW w:w="1532" w:type="dxa"/>
          </w:tcPr>
          <w:p>
            <w:pPr>
              <w:pStyle w:val="TableParagraph"/>
              <w:rPr>
                <w:rFonts w:ascii="Times New Roman"/>
                <w:sz w:val="10"/>
              </w:rPr>
            </w:pPr>
          </w:p>
        </w:tc>
        <w:tc>
          <w:tcPr>
            <w:tcW w:w="786" w:type="dxa"/>
            <w:tcBorders>
              <w:top w:val="single" w:sz="6" w:space="0" w:color="000000"/>
              <w:bottom w:val="single" w:sz="6" w:space="0" w:color="000000"/>
            </w:tcBorders>
          </w:tcPr>
          <w:p>
            <w:pPr>
              <w:pStyle w:val="TableParagraph"/>
              <w:spacing w:line="122" w:lineRule="exact" w:before="18"/>
              <w:ind w:right="59"/>
              <w:jc w:val="right"/>
              <w:rPr>
                <w:b/>
                <w:sz w:val="11"/>
              </w:rPr>
            </w:pPr>
            <w:r>
              <w:rPr>
                <w:b/>
                <w:spacing w:val="-2"/>
                <w:w w:val="105"/>
                <w:sz w:val="11"/>
              </w:rPr>
              <w:t>2,589,087</w:t>
            </w:r>
          </w:p>
        </w:tc>
        <w:tc>
          <w:tcPr>
            <w:tcW w:w="881" w:type="dxa"/>
            <w:tcBorders>
              <w:top w:val="single" w:sz="6" w:space="0" w:color="000000"/>
              <w:bottom w:val="single" w:sz="6" w:space="0" w:color="000000"/>
            </w:tcBorders>
          </w:tcPr>
          <w:p>
            <w:pPr>
              <w:pStyle w:val="TableParagraph"/>
              <w:spacing w:line="122" w:lineRule="exact" w:before="18"/>
              <w:ind w:right="106"/>
              <w:jc w:val="right"/>
              <w:rPr>
                <w:b/>
                <w:sz w:val="11"/>
              </w:rPr>
            </w:pPr>
            <w:r>
              <w:rPr>
                <w:b/>
                <w:spacing w:val="-2"/>
                <w:w w:val="105"/>
                <w:sz w:val="11"/>
              </w:rPr>
              <w:t>2,580,442</w:t>
            </w:r>
          </w:p>
        </w:tc>
        <w:tc>
          <w:tcPr>
            <w:tcW w:w="779" w:type="dxa"/>
            <w:tcBorders>
              <w:top w:val="single" w:sz="6" w:space="0" w:color="000000"/>
              <w:bottom w:val="single" w:sz="6" w:space="0" w:color="000000"/>
            </w:tcBorders>
          </w:tcPr>
          <w:p>
            <w:pPr>
              <w:pStyle w:val="TableParagraph"/>
              <w:spacing w:line="122" w:lineRule="exact" w:before="18"/>
              <w:ind w:right="102"/>
              <w:jc w:val="right"/>
              <w:rPr>
                <w:b/>
                <w:sz w:val="11"/>
              </w:rPr>
            </w:pPr>
            <w:r>
              <w:rPr>
                <w:b/>
                <w:spacing w:val="-2"/>
                <w:w w:val="105"/>
                <w:sz w:val="11"/>
              </w:rPr>
              <w:t>8,645</w:t>
            </w:r>
          </w:p>
        </w:tc>
        <w:tc>
          <w:tcPr>
            <w:tcW w:w="727" w:type="dxa"/>
            <w:tcBorders>
              <w:top w:val="single" w:sz="6" w:space="0" w:color="000000"/>
              <w:bottom w:val="single" w:sz="6" w:space="0" w:color="000000"/>
            </w:tcBorders>
          </w:tcPr>
          <w:p>
            <w:pPr>
              <w:pStyle w:val="TableParagraph"/>
              <w:spacing w:line="122" w:lineRule="exact" w:before="18"/>
              <w:ind w:right="46"/>
              <w:jc w:val="right"/>
              <w:rPr>
                <w:b/>
                <w:sz w:val="11"/>
              </w:rPr>
            </w:pPr>
            <w:r>
              <w:rPr>
                <w:b/>
                <w:spacing w:val="-2"/>
                <w:w w:val="105"/>
                <w:sz w:val="11"/>
              </w:rPr>
              <w:t>2,574,786</w:t>
            </w:r>
          </w:p>
        </w:tc>
        <w:tc>
          <w:tcPr>
            <w:tcW w:w="853" w:type="dxa"/>
            <w:tcBorders>
              <w:top w:val="single" w:sz="6" w:space="0" w:color="000000"/>
              <w:bottom w:val="single" w:sz="6" w:space="0" w:color="000000"/>
            </w:tcBorders>
          </w:tcPr>
          <w:p>
            <w:pPr>
              <w:pStyle w:val="TableParagraph"/>
              <w:spacing w:line="122" w:lineRule="exact" w:before="18"/>
              <w:ind w:right="117"/>
              <w:jc w:val="right"/>
              <w:rPr>
                <w:b/>
                <w:sz w:val="11"/>
              </w:rPr>
            </w:pPr>
            <w:r>
              <w:rPr>
                <w:b/>
                <w:spacing w:val="-2"/>
                <w:w w:val="105"/>
                <w:sz w:val="11"/>
              </w:rPr>
              <w:t>2,566,141</w:t>
            </w:r>
          </w:p>
        </w:tc>
        <w:tc>
          <w:tcPr>
            <w:tcW w:w="723" w:type="dxa"/>
            <w:tcBorders>
              <w:top w:val="single" w:sz="6" w:space="0" w:color="000000"/>
              <w:bottom w:val="single" w:sz="6" w:space="0" w:color="000000"/>
            </w:tcBorders>
          </w:tcPr>
          <w:p>
            <w:pPr>
              <w:pStyle w:val="TableParagraph"/>
              <w:spacing w:line="122" w:lineRule="exact" w:before="18"/>
              <w:ind w:right="57"/>
              <w:jc w:val="right"/>
              <w:rPr>
                <w:b/>
                <w:sz w:val="11"/>
              </w:rPr>
            </w:pPr>
            <w:r>
              <w:rPr>
                <w:b/>
                <w:spacing w:val="-2"/>
                <w:w w:val="105"/>
                <w:sz w:val="11"/>
              </w:rPr>
              <w:t>8,645</w:t>
            </w:r>
          </w:p>
        </w:tc>
      </w:tr>
      <w:tr>
        <w:trPr>
          <w:trHeight w:val="344" w:hRule="atLeast"/>
        </w:trPr>
        <w:tc>
          <w:tcPr>
            <w:tcW w:w="2431" w:type="dxa"/>
          </w:tcPr>
          <w:p>
            <w:pPr>
              <w:pStyle w:val="TableParagraph"/>
              <w:spacing w:before="66"/>
              <w:rPr>
                <w:b/>
                <w:sz w:val="11"/>
              </w:rPr>
            </w:pPr>
          </w:p>
          <w:p>
            <w:pPr>
              <w:pStyle w:val="TableParagraph"/>
              <w:ind w:left="29"/>
              <w:rPr>
                <w:sz w:val="11"/>
              </w:rPr>
            </w:pPr>
            <w:r>
              <w:rPr>
                <w:sz w:val="11"/>
              </w:rPr>
              <w:t>Contract</w:t>
            </w:r>
            <w:r>
              <w:rPr>
                <w:spacing w:val="9"/>
                <w:sz w:val="11"/>
              </w:rPr>
              <w:t> </w:t>
            </w:r>
            <w:r>
              <w:rPr>
                <w:spacing w:val="-2"/>
                <w:sz w:val="11"/>
              </w:rPr>
              <w:t>liabilities</w:t>
            </w:r>
          </w:p>
        </w:tc>
        <w:tc>
          <w:tcPr>
            <w:tcW w:w="1532" w:type="dxa"/>
          </w:tcPr>
          <w:p>
            <w:pPr>
              <w:pStyle w:val="TableParagraph"/>
              <w:spacing w:before="66"/>
              <w:rPr>
                <w:b/>
                <w:sz w:val="11"/>
              </w:rPr>
            </w:pPr>
          </w:p>
          <w:p>
            <w:pPr>
              <w:pStyle w:val="TableParagraph"/>
              <w:ind w:right="352"/>
              <w:jc w:val="right"/>
              <w:rPr>
                <w:b/>
                <w:sz w:val="11"/>
              </w:rPr>
            </w:pPr>
            <w:r>
              <w:rPr>
                <w:b/>
                <w:spacing w:val="-10"/>
                <w:w w:val="105"/>
                <w:sz w:val="11"/>
              </w:rPr>
              <w:t>b</w:t>
            </w:r>
          </w:p>
        </w:tc>
        <w:tc>
          <w:tcPr>
            <w:tcW w:w="786" w:type="dxa"/>
            <w:tcBorders>
              <w:top w:val="single" w:sz="6" w:space="0" w:color="000000"/>
            </w:tcBorders>
          </w:tcPr>
          <w:p>
            <w:pPr>
              <w:pStyle w:val="TableParagraph"/>
              <w:spacing w:before="66"/>
              <w:rPr>
                <w:b/>
                <w:sz w:val="11"/>
              </w:rPr>
            </w:pPr>
          </w:p>
          <w:p>
            <w:pPr>
              <w:pStyle w:val="TableParagraph"/>
              <w:ind w:right="59"/>
              <w:jc w:val="right"/>
              <w:rPr>
                <w:sz w:val="11"/>
              </w:rPr>
            </w:pPr>
            <w:r>
              <w:rPr>
                <w:spacing w:val="-2"/>
                <w:w w:val="105"/>
                <w:sz w:val="11"/>
              </w:rPr>
              <w:t>120,277</w:t>
            </w:r>
          </w:p>
        </w:tc>
        <w:tc>
          <w:tcPr>
            <w:tcW w:w="881" w:type="dxa"/>
            <w:tcBorders>
              <w:top w:val="single" w:sz="6" w:space="0" w:color="000000"/>
            </w:tcBorders>
          </w:tcPr>
          <w:p>
            <w:pPr>
              <w:pStyle w:val="TableParagraph"/>
              <w:spacing w:before="66"/>
              <w:rPr>
                <w:b/>
                <w:sz w:val="11"/>
              </w:rPr>
            </w:pPr>
          </w:p>
          <w:p>
            <w:pPr>
              <w:pStyle w:val="TableParagraph"/>
              <w:ind w:right="106"/>
              <w:jc w:val="right"/>
              <w:rPr>
                <w:sz w:val="11"/>
              </w:rPr>
            </w:pPr>
            <w:r>
              <w:rPr>
                <w:spacing w:val="-2"/>
                <w:w w:val="105"/>
                <w:sz w:val="11"/>
              </w:rPr>
              <w:t>2,817</w:t>
            </w:r>
          </w:p>
        </w:tc>
        <w:tc>
          <w:tcPr>
            <w:tcW w:w="779" w:type="dxa"/>
            <w:tcBorders>
              <w:top w:val="single" w:sz="6" w:space="0" w:color="000000"/>
            </w:tcBorders>
          </w:tcPr>
          <w:p>
            <w:pPr>
              <w:pStyle w:val="TableParagraph"/>
              <w:spacing w:before="66"/>
              <w:rPr>
                <w:b/>
                <w:sz w:val="11"/>
              </w:rPr>
            </w:pPr>
          </w:p>
          <w:p>
            <w:pPr>
              <w:pStyle w:val="TableParagraph"/>
              <w:ind w:right="65"/>
              <w:jc w:val="right"/>
              <w:rPr>
                <w:sz w:val="11"/>
              </w:rPr>
            </w:pPr>
            <w:r>
              <w:rPr>
                <w:spacing w:val="-2"/>
                <w:w w:val="105"/>
                <w:sz w:val="11"/>
              </w:rPr>
              <w:t>(117,460)</w:t>
            </w:r>
          </w:p>
        </w:tc>
        <w:tc>
          <w:tcPr>
            <w:tcW w:w="727" w:type="dxa"/>
            <w:tcBorders>
              <w:top w:val="single" w:sz="6" w:space="0" w:color="000000"/>
            </w:tcBorders>
          </w:tcPr>
          <w:p>
            <w:pPr>
              <w:pStyle w:val="TableParagraph"/>
              <w:spacing w:before="66"/>
              <w:rPr>
                <w:b/>
                <w:sz w:val="11"/>
              </w:rPr>
            </w:pPr>
          </w:p>
          <w:p>
            <w:pPr>
              <w:pStyle w:val="TableParagraph"/>
              <w:ind w:right="47"/>
              <w:jc w:val="right"/>
              <w:rPr>
                <w:sz w:val="11"/>
              </w:rPr>
            </w:pPr>
            <w:r>
              <w:rPr>
                <w:spacing w:val="-2"/>
                <w:w w:val="105"/>
                <w:sz w:val="11"/>
              </w:rPr>
              <w:t>120,277</w:t>
            </w:r>
          </w:p>
        </w:tc>
        <w:tc>
          <w:tcPr>
            <w:tcW w:w="853" w:type="dxa"/>
            <w:tcBorders>
              <w:top w:val="single" w:sz="6" w:space="0" w:color="000000"/>
            </w:tcBorders>
          </w:tcPr>
          <w:p>
            <w:pPr>
              <w:pStyle w:val="TableParagraph"/>
              <w:spacing w:before="66"/>
              <w:rPr>
                <w:b/>
                <w:sz w:val="11"/>
              </w:rPr>
            </w:pPr>
          </w:p>
          <w:p>
            <w:pPr>
              <w:pStyle w:val="TableParagraph"/>
              <w:ind w:right="117"/>
              <w:jc w:val="right"/>
              <w:rPr>
                <w:sz w:val="11"/>
              </w:rPr>
            </w:pPr>
            <w:r>
              <w:rPr>
                <w:spacing w:val="-2"/>
                <w:w w:val="105"/>
                <w:sz w:val="11"/>
              </w:rPr>
              <w:t>2,817</w:t>
            </w:r>
          </w:p>
        </w:tc>
        <w:tc>
          <w:tcPr>
            <w:tcW w:w="723" w:type="dxa"/>
            <w:tcBorders>
              <w:top w:val="single" w:sz="6" w:space="0" w:color="000000"/>
            </w:tcBorders>
          </w:tcPr>
          <w:p>
            <w:pPr>
              <w:pStyle w:val="TableParagraph"/>
              <w:spacing w:before="66"/>
              <w:rPr>
                <w:b/>
                <w:sz w:val="11"/>
              </w:rPr>
            </w:pPr>
          </w:p>
          <w:p>
            <w:pPr>
              <w:pStyle w:val="TableParagraph"/>
              <w:ind w:right="20"/>
              <w:jc w:val="right"/>
              <w:rPr>
                <w:sz w:val="11"/>
              </w:rPr>
            </w:pPr>
            <w:r>
              <w:rPr>
                <w:spacing w:val="-2"/>
                <w:w w:val="105"/>
                <w:sz w:val="11"/>
              </w:rPr>
              <w:t>(117,460)</w:t>
            </w:r>
          </w:p>
        </w:tc>
      </w:tr>
      <w:tr>
        <w:trPr>
          <w:trHeight w:val="165" w:hRule="atLeast"/>
        </w:trPr>
        <w:tc>
          <w:tcPr>
            <w:tcW w:w="2431" w:type="dxa"/>
          </w:tcPr>
          <w:p>
            <w:pPr>
              <w:pStyle w:val="TableParagraph"/>
              <w:spacing w:line="122" w:lineRule="exact" w:before="24"/>
              <w:ind w:left="29"/>
              <w:rPr>
                <w:sz w:val="11"/>
              </w:rPr>
            </w:pPr>
            <w:r>
              <w:rPr>
                <w:spacing w:val="-2"/>
                <w:w w:val="105"/>
                <w:sz w:val="11"/>
              </w:rPr>
              <w:t>Other</w:t>
            </w:r>
            <w:r>
              <w:rPr>
                <w:spacing w:val="-1"/>
                <w:w w:val="105"/>
                <w:sz w:val="11"/>
              </w:rPr>
              <w:t> </w:t>
            </w:r>
            <w:r>
              <w:rPr>
                <w:spacing w:val="-2"/>
                <w:w w:val="105"/>
                <w:sz w:val="11"/>
              </w:rPr>
              <w:t>liabilities</w:t>
            </w:r>
          </w:p>
        </w:tc>
        <w:tc>
          <w:tcPr>
            <w:tcW w:w="1532" w:type="dxa"/>
          </w:tcPr>
          <w:p>
            <w:pPr>
              <w:pStyle w:val="TableParagraph"/>
              <w:spacing w:line="122" w:lineRule="exact" w:before="24"/>
              <w:ind w:right="356"/>
              <w:jc w:val="right"/>
              <w:rPr>
                <w:b/>
                <w:sz w:val="11"/>
              </w:rPr>
            </w:pPr>
            <w:r>
              <w:rPr>
                <w:b/>
                <w:spacing w:val="-10"/>
                <w:w w:val="105"/>
                <w:sz w:val="11"/>
              </w:rPr>
              <w:t>c</w:t>
            </w:r>
          </w:p>
        </w:tc>
        <w:tc>
          <w:tcPr>
            <w:tcW w:w="786" w:type="dxa"/>
            <w:tcBorders>
              <w:bottom w:val="single" w:sz="6" w:space="0" w:color="000000"/>
            </w:tcBorders>
          </w:tcPr>
          <w:p>
            <w:pPr>
              <w:pStyle w:val="TableParagraph"/>
              <w:spacing w:line="122" w:lineRule="exact" w:before="24"/>
              <w:ind w:right="59"/>
              <w:jc w:val="right"/>
              <w:rPr>
                <w:sz w:val="11"/>
              </w:rPr>
            </w:pPr>
            <w:r>
              <w:rPr>
                <w:spacing w:val="-2"/>
                <w:w w:val="105"/>
                <w:sz w:val="11"/>
              </w:rPr>
              <w:t>410,420</w:t>
            </w:r>
          </w:p>
        </w:tc>
        <w:tc>
          <w:tcPr>
            <w:tcW w:w="881" w:type="dxa"/>
            <w:tcBorders>
              <w:bottom w:val="single" w:sz="6" w:space="0" w:color="000000"/>
            </w:tcBorders>
          </w:tcPr>
          <w:p>
            <w:pPr>
              <w:pStyle w:val="TableParagraph"/>
              <w:spacing w:line="122" w:lineRule="exact" w:before="24"/>
              <w:ind w:right="106"/>
              <w:jc w:val="right"/>
              <w:rPr>
                <w:sz w:val="11"/>
              </w:rPr>
            </w:pPr>
            <w:r>
              <w:rPr>
                <w:spacing w:val="-2"/>
                <w:w w:val="105"/>
                <w:sz w:val="11"/>
              </w:rPr>
              <w:t>409,467</w:t>
            </w:r>
          </w:p>
        </w:tc>
        <w:tc>
          <w:tcPr>
            <w:tcW w:w="779" w:type="dxa"/>
            <w:tcBorders>
              <w:bottom w:val="single" w:sz="6" w:space="0" w:color="000000"/>
            </w:tcBorders>
          </w:tcPr>
          <w:p>
            <w:pPr>
              <w:pStyle w:val="TableParagraph"/>
              <w:spacing w:line="122" w:lineRule="exact" w:before="24"/>
              <w:ind w:right="65"/>
              <w:jc w:val="right"/>
              <w:rPr>
                <w:sz w:val="11"/>
              </w:rPr>
            </w:pPr>
            <w:r>
              <w:rPr>
                <w:spacing w:val="-2"/>
                <w:w w:val="105"/>
                <w:sz w:val="11"/>
              </w:rPr>
              <w:t>(953)</w:t>
            </w:r>
          </w:p>
        </w:tc>
        <w:tc>
          <w:tcPr>
            <w:tcW w:w="727" w:type="dxa"/>
            <w:tcBorders>
              <w:bottom w:val="single" w:sz="6" w:space="0" w:color="000000"/>
            </w:tcBorders>
          </w:tcPr>
          <w:p>
            <w:pPr>
              <w:pStyle w:val="TableParagraph"/>
              <w:spacing w:line="122" w:lineRule="exact" w:before="24"/>
              <w:ind w:right="47"/>
              <w:jc w:val="right"/>
              <w:rPr>
                <w:sz w:val="11"/>
              </w:rPr>
            </w:pPr>
            <w:r>
              <w:rPr>
                <w:spacing w:val="-2"/>
                <w:w w:val="105"/>
                <w:sz w:val="11"/>
              </w:rPr>
              <w:t>404,962</w:t>
            </w:r>
          </w:p>
        </w:tc>
        <w:tc>
          <w:tcPr>
            <w:tcW w:w="853" w:type="dxa"/>
            <w:tcBorders>
              <w:bottom w:val="single" w:sz="6" w:space="0" w:color="000000"/>
            </w:tcBorders>
          </w:tcPr>
          <w:p>
            <w:pPr>
              <w:pStyle w:val="TableParagraph"/>
              <w:spacing w:line="122" w:lineRule="exact" w:before="24"/>
              <w:ind w:right="117"/>
              <w:jc w:val="right"/>
              <w:rPr>
                <w:sz w:val="11"/>
              </w:rPr>
            </w:pPr>
            <w:r>
              <w:rPr>
                <w:spacing w:val="-2"/>
                <w:w w:val="105"/>
                <w:sz w:val="11"/>
              </w:rPr>
              <w:t>404,009</w:t>
            </w:r>
          </w:p>
        </w:tc>
        <w:tc>
          <w:tcPr>
            <w:tcW w:w="723" w:type="dxa"/>
            <w:tcBorders>
              <w:bottom w:val="single" w:sz="6" w:space="0" w:color="000000"/>
            </w:tcBorders>
          </w:tcPr>
          <w:p>
            <w:pPr>
              <w:pStyle w:val="TableParagraph"/>
              <w:spacing w:line="122" w:lineRule="exact" w:before="24"/>
              <w:ind w:right="20"/>
              <w:jc w:val="right"/>
              <w:rPr>
                <w:sz w:val="11"/>
              </w:rPr>
            </w:pPr>
            <w:r>
              <w:rPr>
                <w:spacing w:val="-2"/>
                <w:w w:val="105"/>
                <w:sz w:val="11"/>
              </w:rPr>
              <w:t>(953)</w:t>
            </w:r>
          </w:p>
        </w:tc>
      </w:tr>
      <w:tr>
        <w:trPr>
          <w:trHeight w:val="159" w:hRule="atLeast"/>
        </w:trPr>
        <w:tc>
          <w:tcPr>
            <w:tcW w:w="2431" w:type="dxa"/>
          </w:tcPr>
          <w:p>
            <w:pPr>
              <w:pStyle w:val="TableParagraph"/>
              <w:spacing w:line="122" w:lineRule="exact" w:before="18"/>
              <w:ind w:left="29"/>
              <w:rPr>
                <w:b/>
                <w:sz w:val="11"/>
              </w:rPr>
            </w:pPr>
            <w:r>
              <w:rPr>
                <w:b/>
                <w:w w:val="105"/>
                <w:sz w:val="11"/>
              </w:rPr>
              <w:t>Total</w:t>
            </w:r>
            <w:r>
              <w:rPr>
                <w:b/>
                <w:spacing w:val="-8"/>
                <w:w w:val="105"/>
                <w:sz w:val="11"/>
              </w:rPr>
              <w:t> </w:t>
            </w:r>
            <w:r>
              <w:rPr>
                <w:b/>
                <w:spacing w:val="-2"/>
                <w:w w:val="105"/>
                <w:sz w:val="11"/>
              </w:rPr>
              <w:t>liabilities</w:t>
            </w:r>
          </w:p>
        </w:tc>
        <w:tc>
          <w:tcPr>
            <w:tcW w:w="1532" w:type="dxa"/>
          </w:tcPr>
          <w:p>
            <w:pPr>
              <w:pStyle w:val="TableParagraph"/>
              <w:rPr>
                <w:rFonts w:ascii="Times New Roman"/>
                <w:sz w:val="10"/>
              </w:rPr>
            </w:pPr>
          </w:p>
        </w:tc>
        <w:tc>
          <w:tcPr>
            <w:tcW w:w="786" w:type="dxa"/>
            <w:tcBorders>
              <w:top w:val="single" w:sz="6" w:space="0" w:color="000000"/>
              <w:bottom w:val="single" w:sz="6" w:space="0" w:color="000000"/>
            </w:tcBorders>
          </w:tcPr>
          <w:p>
            <w:pPr>
              <w:pStyle w:val="TableParagraph"/>
              <w:spacing w:line="122" w:lineRule="exact" w:before="18"/>
              <w:ind w:right="59"/>
              <w:jc w:val="right"/>
              <w:rPr>
                <w:b/>
                <w:sz w:val="11"/>
              </w:rPr>
            </w:pPr>
            <w:r>
              <w:rPr>
                <w:b/>
                <w:spacing w:val="-2"/>
                <w:w w:val="105"/>
                <w:sz w:val="11"/>
              </w:rPr>
              <w:t>530,697</w:t>
            </w:r>
          </w:p>
        </w:tc>
        <w:tc>
          <w:tcPr>
            <w:tcW w:w="881" w:type="dxa"/>
            <w:tcBorders>
              <w:top w:val="single" w:sz="6" w:space="0" w:color="000000"/>
              <w:bottom w:val="single" w:sz="6" w:space="0" w:color="000000"/>
            </w:tcBorders>
          </w:tcPr>
          <w:p>
            <w:pPr>
              <w:pStyle w:val="TableParagraph"/>
              <w:spacing w:line="122" w:lineRule="exact" w:before="18"/>
              <w:ind w:right="106"/>
              <w:jc w:val="right"/>
              <w:rPr>
                <w:b/>
                <w:sz w:val="11"/>
              </w:rPr>
            </w:pPr>
            <w:r>
              <w:rPr>
                <w:b/>
                <w:spacing w:val="-2"/>
                <w:w w:val="105"/>
                <w:sz w:val="11"/>
              </w:rPr>
              <w:t>412,284</w:t>
            </w:r>
          </w:p>
        </w:tc>
        <w:tc>
          <w:tcPr>
            <w:tcW w:w="779" w:type="dxa"/>
            <w:tcBorders>
              <w:top w:val="single" w:sz="6" w:space="0" w:color="000000"/>
              <w:bottom w:val="single" w:sz="6" w:space="0" w:color="000000"/>
            </w:tcBorders>
          </w:tcPr>
          <w:p>
            <w:pPr>
              <w:pStyle w:val="TableParagraph"/>
              <w:spacing w:line="122" w:lineRule="exact" w:before="18"/>
              <w:ind w:right="65"/>
              <w:jc w:val="right"/>
              <w:rPr>
                <w:b/>
                <w:sz w:val="11"/>
              </w:rPr>
            </w:pPr>
            <w:r>
              <w:rPr>
                <w:b/>
                <w:spacing w:val="-2"/>
                <w:w w:val="105"/>
                <w:sz w:val="11"/>
              </w:rPr>
              <w:t>(118,413)</w:t>
            </w:r>
          </w:p>
        </w:tc>
        <w:tc>
          <w:tcPr>
            <w:tcW w:w="727" w:type="dxa"/>
            <w:tcBorders>
              <w:top w:val="single" w:sz="6" w:space="0" w:color="000000"/>
              <w:bottom w:val="single" w:sz="6" w:space="0" w:color="000000"/>
            </w:tcBorders>
          </w:tcPr>
          <w:p>
            <w:pPr>
              <w:pStyle w:val="TableParagraph"/>
              <w:spacing w:line="122" w:lineRule="exact" w:before="18"/>
              <w:ind w:right="47"/>
              <w:jc w:val="right"/>
              <w:rPr>
                <w:b/>
                <w:sz w:val="11"/>
              </w:rPr>
            </w:pPr>
            <w:r>
              <w:rPr>
                <w:b/>
                <w:spacing w:val="-2"/>
                <w:w w:val="105"/>
                <w:sz w:val="11"/>
              </w:rPr>
              <w:t>525,239</w:t>
            </w:r>
          </w:p>
        </w:tc>
        <w:tc>
          <w:tcPr>
            <w:tcW w:w="853" w:type="dxa"/>
            <w:tcBorders>
              <w:top w:val="single" w:sz="6" w:space="0" w:color="000000"/>
              <w:bottom w:val="single" w:sz="6" w:space="0" w:color="000000"/>
            </w:tcBorders>
          </w:tcPr>
          <w:p>
            <w:pPr>
              <w:pStyle w:val="TableParagraph"/>
              <w:spacing w:line="122" w:lineRule="exact" w:before="18"/>
              <w:ind w:right="117"/>
              <w:jc w:val="right"/>
              <w:rPr>
                <w:b/>
                <w:sz w:val="11"/>
              </w:rPr>
            </w:pPr>
            <w:r>
              <w:rPr>
                <w:b/>
                <w:spacing w:val="-2"/>
                <w:w w:val="105"/>
                <w:sz w:val="11"/>
              </w:rPr>
              <w:t>406,826</w:t>
            </w:r>
          </w:p>
        </w:tc>
        <w:tc>
          <w:tcPr>
            <w:tcW w:w="723" w:type="dxa"/>
            <w:tcBorders>
              <w:top w:val="single" w:sz="6" w:space="0" w:color="000000"/>
              <w:bottom w:val="single" w:sz="6" w:space="0" w:color="000000"/>
            </w:tcBorders>
          </w:tcPr>
          <w:p>
            <w:pPr>
              <w:pStyle w:val="TableParagraph"/>
              <w:spacing w:line="122" w:lineRule="exact" w:before="18"/>
              <w:ind w:right="20"/>
              <w:jc w:val="right"/>
              <w:rPr>
                <w:b/>
                <w:sz w:val="11"/>
              </w:rPr>
            </w:pPr>
            <w:r>
              <w:rPr>
                <w:b/>
                <w:spacing w:val="-2"/>
                <w:w w:val="105"/>
                <w:sz w:val="11"/>
              </w:rPr>
              <w:t>(118,413)</w:t>
            </w:r>
          </w:p>
        </w:tc>
      </w:tr>
      <w:tr>
        <w:trPr>
          <w:trHeight w:val="509" w:hRule="atLeast"/>
        </w:trPr>
        <w:tc>
          <w:tcPr>
            <w:tcW w:w="2431" w:type="dxa"/>
          </w:tcPr>
          <w:p>
            <w:pPr>
              <w:pStyle w:val="TableParagraph"/>
              <w:spacing w:before="66"/>
              <w:rPr>
                <w:b/>
                <w:sz w:val="11"/>
              </w:rPr>
            </w:pPr>
          </w:p>
          <w:p>
            <w:pPr>
              <w:pStyle w:val="TableParagraph"/>
              <w:ind w:left="29"/>
              <w:rPr>
                <w:b/>
                <w:sz w:val="11"/>
              </w:rPr>
            </w:pPr>
            <w:r>
              <w:rPr>
                <w:b/>
                <w:spacing w:val="-2"/>
                <w:w w:val="105"/>
                <w:sz w:val="11"/>
              </w:rPr>
              <w:t>Equity</w:t>
            </w:r>
          </w:p>
          <w:p>
            <w:pPr>
              <w:pStyle w:val="TableParagraph"/>
              <w:spacing w:line="122" w:lineRule="exact" w:before="49"/>
              <w:ind w:left="29"/>
              <w:rPr>
                <w:sz w:val="11"/>
              </w:rPr>
            </w:pPr>
            <w:r>
              <w:rPr>
                <w:sz w:val="11"/>
              </w:rPr>
              <w:t>Retained</w:t>
            </w:r>
            <w:r>
              <w:rPr>
                <w:spacing w:val="7"/>
                <w:sz w:val="11"/>
              </w:rPr>
              <w:t> </w:t>
            </w:r>
            <w:r>
              <w:rPr>
                <w:spacing w:val="-2"/>
                <w:sz w:val="11"/>
              </w:rPr>
              <w:t>earnings</w:t>
            </w:r>
          </w:p>
        </w:tc>
        <w:tc>
          <w:tcPr>
            <w:tcW w:w="1532" w:type="dxa"/>
          </w:tcPr>
          <w:p>
            <w:pPr>
              <w:pStyle w:val="TableParagraph"/>
              <w:rPr>
                <w:rFonts w:ascii="Times New Roman"/>
                <w:sz w:val="10"/>
              </w:rPr>
            </w:pPr>
          </w:p>
        </w:tc>
        <w:tc>
          <w:tcPr>
            <w:tcW w:w="786" w:type="dxa"/>
            <w:tcBorders>
              <w:top w:val="single" w:sz="6" w:space="0" w:color="000000"/>
              <w:bottom w:val="single" w:sz="6" w:space="0" w:color="000000"/>
            </w:tcBorders>
          </w:tcPr>
          <w:p>
            <w:pPr>
              <w:pStyle w:val="TableParagraph"/>
              <w:rPr>
                <w:b/>
                <w:sz w:val="11"/>
              </w:rPr>
            </w:pPr>
          </w:p>
          <w:p>
            <w:pPr>
              <w:pStyle w:val="TableParagraph"/>
              <w:spacing w:before="115"/>
              <w:rPr>
                <w:b/>
                <w:sz w:val="11"/>
              </w:rPr>
            </w:pPr>
          </w:p>
          <w:p>
            <w:pPr>
              <w:pStyle w:val="TableParagraph"/>
              <w:spacing w:line="122" w:lineRule="exact"/>
              <w:ind w:right="59"/>
              <w:jc w:val="right"/>
              <w:rPr>
                <w:sz w:val="11"/>
              </w:rPr>
            </w:pPr>
            <w:r>
              <w:rPr>
                <w:spacing w:val="-2"/>
                <w:w w:val="105"/>
                <w:sz w:val="11"/>
              </w:rPr>
              <w:t>2,058,390</w:t>
            </w:r>
          </w:p>
        </w:tc>
        <w:tc>
          <w:tcPr>
            <w:tcW w:w="881" w:type="dxa"/>
            <w:tcBorders>
              <w:top w:val="single" w:sz="6" w:space="0" w:color="000000"/>
              <w:bottom w:val="single" w:sz="6" w:space="0" w:color="000000"/>
            </w:tcBorders>
          </w:tcPr>
          <w:p>
            <w:pPr>
              <w:pStyle w:val="TableParagraph"/>
              <w:rPr>
                <w:b/>
                <w:sz w:val="11"/>
              </w:rPr>
            </w:pPr>
          </w:p>
          <w:p>
            <w:pPr>
              <w:pStyle w:val="TableParagraph"/>
              <w:spacing w:before="115"/>
              <w:rPr>
                <w:b/>
                <w:sz w:val="11"/>
              </w:rPr>
            </w:pPr>
          </w:p>
          <w:p>
            <w:pPr>
              <w:pStyle w:val="TableParagraph"/>
              <w:spacing w:line="122" w:lineRule="exact"/>
              <w:ind w:right="106"/>
              <w:jc w:val="right"/>
              <w:rPr>
                <w:sz w:val="11"/>
              </w:rPr>
            </w:pPr>
            <w:r>
              <w:rPr>
                <w:spacing w:val="-2"/>
                <w:w w:val="105"/>
                <w:sz w:val="11"/>
              </w:rPr>
              <w:t>2,168,158</w:t>
            </w:r>
          </w:p>
        </w:tc>
        <w:tc>
          <w:tcPr>
            <w:tcW w:w="779" w:type="dxa"/>
            <w:tcBorders>
              <w:top w:val="single" w:sz="6" w:space="0" w:color="000000"/>
              <w:bottom w:val="single" w:sz="6" w:space="0" w:color="000000"/>
            </w:tcBorders>
          </w:tcPr>
          <w:p>
            <w:pPr>
              <w:pStyle w:val="TableParagraph"/>
              <w:rPr>
                <w:b/>
                <w:sz w:val="11"/>
              </w:rPr>
            </w:pPr>
          </w:p>
          <w:p>
            <w:pPr>
              <w:pStyle w:val="TableParagraph"/>
              <w:spacing w:before="115"/>
              <w:rPr>
                <w:b/>
                <w:sz w:val="11"/>
              </w:rPr>
            </w:pPr>
          </w:p>
          <w:p>
            <w:pPr>
              <w:pStyle w:val="TableParagraph"/>
              <w:spacing w:line="122" w:lineRule="exact"/>
              <w:ind w:right="65"/>
              <w:jc w:val="right"/>
              <w:rPr>
                <w:sz w:val="11"/>
              </w:rPr>
            </w:pPr>
            <w:r>
              <w:rPr>
                <w:spacing w:val="-2"/>
                <w:w w:val="105"/>
                <w:sz w:val="11"/>
              </w:rPr>
              <w:t>(109,768)</w:t>
            </w:r>
          </w:p>
        </w:tc>
        <w:tc>
          <w:tcPr>
            <w:tcW w:w="727" w:type="dxa"/>
            <w:tcBorders>
              <w:top w:val="single" w:sz="6" w:space="0" w:color="000000"/>
              <w:bottom w:val="single" w:sz="6" w:space="0" w:color="000000"/>
            </w:tcBorders>
          </w:tcPr>
          <w:p>
            <w:pPr>
              <w:pStyle w:val="TableParagraph"/>
              <w:rPr>
                <w:b/>
                <w:sz w:val="11"/>
              </w:rPr>
            </w:pPr>
          </w:p>
          <w:p>
            <w:pPr>
              <w:pStyle w:val="TableParagraph"/>
              <w:spacing w:before="115"/>
              <w:rPr>
                <w:b/>
                <w:sz w:val="11"/>
              </w:rPr>
            </w:pPr>
          </w:p>
          <w:p>
            <w:pPr>
              <w:pStyle w:val="TableParagraph"/>
              <w:spacing w:line="122" w:lineRule="exact"/>
              <w:ind w:right="47"/>
              <w:jc w:val="right"/>
              <w:rPr>
                <w:sz w:val="11"/>
              </w:rPr>
            </w:pPr>
            <w:r>
              <w:rPr>
                <w:spacing w:val="-2"/>
                <w:w w:val="105"/>
                <w:sz w:val="11"/>
              </w:rPr>
              <w:t>2,049,547</w:t>
            </w:r>
          </w:p>
        </w:tc>
        <w:tc>
          <w:tcPr>
            <w:tcW w:w="853" w:type="dxa"/>
            <w:tcBorders>
              <w:top w:val="single" w:sz="6" w:space="0" w:color="000000"/>
              <w:bottom w:val="single" w:sz="6" w:space="0" w:color="000000"/>
            </w:tcBorders>
          </w:tcPr>
          <w:p>
            <w:pPr>
              <w:pStyle w:val="TableParagraph"/>
              <w:rPr>
                <w:b/>
                <w:sz w:val="11"/>
              </w:rPr>
            </w:pPr>
          </w:p>
          <w:p>
            <w:pPr>
              <w:pStyle w:val="TableParagraph"/>
              <w:spacing w:before="115"/>
              <w:rPr>
                <w:b/>
                <w:sz w:val="11"/>
              </w:rPr>
            </w:pPr>
          </w:p>
          <w:p>
            <w:pPr>
              <w:pStyle w:val="TableParagraph"/>
              <w:spacing w:line="122" w:lineRule="exact"/>
              <w:ind w:right="117"/>
              <w:jc w:val="right"/>
              <w:rPr>
                <w:sz w:val="11"/>
              </w:rPr>
            </w:pPr>
            <w:r>
              <w:rPr>
                <w:spacing w:val="-2"/>
                <w:w w:val="105"/>
                <w:sz w:val="11"/>
              </w:rPr>
              <w:t>2,159,315</w:t>
            </w:r>
          </w:p>
        </w:tc>
        <w:tc>
          <w:tcPr>
            <w:tcW w:w="723" w:type="dxa"/>
            <w:tcBorders>
              <w:top w:val="single" w:sz="6" w:space="0" w:color="000000"/>
              <w:bottom w:val="single" w:sz="6" w:space="0" w:color="000000"/>
            </w:tcBorders>
          </w:tcPr>
          <w:p>
            <w:pPr>
              <w:pStyle w:val="TableParagraph"/>
              <w:rPr>
                <w:b/>
                <w:sz w:val="11"/>
              </w:rPr>
            </w:pPr>
          </w:p>
          <w:p>
            <w:pPr>
              <w:pStyle w:val="TableParagraph"/>
              <w:spacing w:before="115"/>
              <w:rPr>
                <w:b/>
                <w:sz w:val="11"/>
              </w:rPr>
            </w:pPr>
          </w:p>
          <w:p>
            <w:pPr>
              <w:pStyle w:val="TableParagraph"/>
              <w:spacing w:line="122" w:lineRule="exact"/>
              <w:ind w:right="20"/>
              <w:jc w:val="right"/>
              <w:rPr>
                <w:sz w:val="11"/>
              </w:rPr>
            </w:pPr>
            <w:r>
              <w:rPr>
                <w:spacing w:val="-2"/>
                <w:w w:val="105"/>
                <w:sz w:val="11"/>
              </w:rPr>
              <w:t>(109,768)</w:t>
            </w:r>
          </w:p>
        </w:tc>
      </w:tr>
      <w:tr>
        <w:trPr>
          <w:trHeight w:val="151" w:hRule="atLeast"/>
        </w:trPr>
        <w:tc>
          <w:tcPr>
            <w:tcW w:w="2431" w:type="dxa"/>
          </w:tcPr>
          <w:p>
            <w:pPr>
              <w:pStyle w:val="TableParagraph"/>
              <w:spacing w:line="113" w:lineRule="exact" w:before="18"/>
              <w:ind w:left="29"/>
              <w:rPr>
                <w:b/>
                <w:sz w:val="11"/>
              </w:rPr>
            </w:pPr>
            <w:r>
              <w:rPr>
                <w:b/>
                <w:w w:val="105"/>
                <w:sz w:val="11"/>
              </w:rPr>
              <w:t>Total</w:t>
            </w:r>
            <w:r>
              <w:rPr>
                <w:b/>
                <w:spacing w:val="-8"/>
                <w:w w:val="105"/>
                <w:sz w:val="11"/>
              </w:rPr>
              <w:t> </w:t>
            </w:r>
            <w:r>
              <w:rPr>
                <w:b/>
                <w:spacing w:val="-2"/>
                <w:w w:val="105"/>
                <w:sz w:val="11"/>
              </w:rPr>
              <w:t>equity</w:t>
            </w:r>
          </w:p>
        </w:tc>
        <w:tc>
          <w:tcPr>
            <w:tcW w:w="1532" w:type="dxa"/>
          </w:tcPr>
          <w:p>
            <w:pPr>
              <w:pStyle w:val="TableParagraph"/>
              <w:rPr>
                <w:rFonts w:ascii="Times New Roman"/>
                <w:sz w:val="8"/>
              </w:rPr>
            </w:pPr>
          </w:p>
        </w:tc>
        <w:tc>
          <w:tcPr>
            <w:tcW w:w="786" w:type="dxa"/>
            <w:tcBorders>
              <w:top w:val="single" w:sz="6" w:space="0" w:color="000000"/>
              <w:bottom w:val="single" w:sz="12" w:space="0" w:color="000000"/>
            </w:tcBorders>
          </w:tcPr>
          <w:p>
            <w:pPr>
              <w:pStyle w:val="TableParagraph"/>
              <w:spacing w:line="113" w:lineRule="exact" w:before="18"/>
              <w:ind w:right="59"/>
              <w:jc w:val="right"/>
              <w:rPr>
                <w:b/>
                <w:sz w:val="11"/>
              </w:rPr>
            </w:pPr>
            <w:r>
              <w:rPr>
                <w:b/>
                <w:spacing w:val="-2"/>
                <w:w w:val="105"/>
                <w:sz w:val="11"/>
              </w:rPr>
              <w:t>2,058,390</w:t>
            </w:r>
          </w:p>
        </w:tc>
        <w:tc>
          <w:tcPr>
            <w:tcW w:w="881" w:type="dxa"/>
            <w:tcBorders>
              <w:top w:val="single" w:sz="6" w:space="0" w:color="000000"/>
              <w:bottom w:val="single" w:sz="12" w:space="0" w:color="000000"/>
            </w:tcBorders>
          </w:tcPr>
          <w:p>
            <w:pPr>
              <w:pStyle w:val="TableParagraph"/>
              <w:spacing w:line="113" w:lineRule="exact" w:before="18"/>
              <w:ind w:right="106"/>
              <w:jc w:val="right"/>
              <w:rPr>
                <w:b/>
                <w:sz w:val="11"/>
              </w:rPr>
            </w:pPr>
            <w:r>
              <w:rPr>
                <w:b/>
                <w:spacing w:val="-2"/>
                <w:w w:val="105"/>
                <w:sz w:val="11"/>
              </w:rPr>
              <w:t>2,168,158</w:t>
            </w:r>
          </w:p>
        </w:tc>
        <w:tc>
          <w:tcPr>
            <w:tcW w:w="779" w:type="dxa"/>
            <w:tcBorders>
              <w:top w:val="single" w:sz="6" w:space="0" w:color="000000"/>
              <w:bottom w:val="single" w:sz="12" w:space="0" w:color="000000"/>
            </w:tcBorders>
          </w:tcPr>
          <w:p>
            <w:pPr>
              <w:pStyle w:val="TableParagraph"/>
              <w:spacing w:line="113" w:lineRule="exact" w:before="18"/>
              <w:ind w:right="65"/>
              <w:jc w:val="right"/>
              <w:rPr>
                <w:b/>
                <w:sz w:val="11"/>
              </w:rPr>
            </w:pPr>
            <w:r>
              <w:rPr>
                <w:b/>
                <w:spacing w:val="-2"/>
                <w:w w:val="105"/>
                <w:sz w:val="11"/>
              </w:rPr>
              <w:t>(109,768)</w:t>
            </w:r>
          </w:p>
        </w:tc>
        <w:tc>
          <w:tcPr>
            <w:tcW w:w="727" w:type="dxa"/>
            <w:tcBorders>
              <w:top w:val="single" w:sz="6" w:space="0" w:color="000000"/>
              <w:bottom w:val="single" w:sz="12" w:space="0" w:color="000000"/>
            </w:tcBorders>
          </w:tcPr>
          <w:p>
            <w:pPr>
              <w:pStyle w:val="TableParagraph"/>
              <w:spacing w:line="113" w:lineRule="exact" w:before="18"/>
              <w:ind w:right="47"/>
              <w:jc w:val="right"/>
              <w:rPr>
                <w:b/>
                <w:sz w:val="11"/>
              </w:rPr>
            </w:pPr>
            <w:r>
              <w:rPr>
                <w:b/>
                <w:spacing w:val="-2"/>
                <w:w w:val="105"/>
                <w:sz w:val="11"/>
              </w:rPr>
              <w:t>2,049,547</w:t>
            </w:r>
          </w:p>
        </w:tc>
        <w:tc>
          <w:tcPr>
            <w:tcW w:w="853" w:type="dxa"/>
            <w:tcBorders>
              <w:top w:val="single" w:sz="6" w:space="0" w:color="000000"/>
              <w:bottom w:val="single" w:sz="12" w:space="0" w:color="000000"/>
            </w:tcBorders>
          </w:tcPr>
          <w:p>
            <w:pPr>
              <w:pStyle w:val="TableParagraph"/>
              <w:spacing w:line="113" w:lineRule="exact" w:before="18"/>
              <w:ind w:right="117"/>
              <w:jc w:val="right"/>
              <w:rPr>
                <w:b/>
                <w:sz w:val="11"/>
              </w:rPr>
            </w:pPr>
            <w:r>
              <w:rPr>
                <w:b/>
                <w:spacing w:val="-2"/>
                <w:w w:val="105"/>
                <w:sz w:val="11"/>
              </w:rPr>
              <w:t>2,159,315</w:t>
            </w:r>
          </w:p>
        </w:tc>
        <w:tc>
          <w:tcPr>
            <w:tcW w:w="723" w:type="dxa"/>
            <w:tcBorders>
              <w:top w:val="single" w:sz="6" w:space="0" w:color="000000"/>
              <w:bottom w:val="single" w:sz="12" w:space="0" w:color="000000"/>
            </w:tcBorders>
          </w:tcPr>
          <w:p>
            <w:pPr>
              <w:pStyle w:val="TableParagraph"/>
              <w:spacing w:line="113" w:lineRule="exact" w:before="18"/>
              <w:ind w:right="20"/>
              <w:jc w:val="right"/>
              <w:rPr>
                <w:b/>
                <w:sz w:val="11"/>
              </w:rPr>
            </w:pPr>
            <w:r>
              <w:rPr>
                <w:b/>
                <w:spacing w:val="-2"/>
                <w:w w:val="105"/>
                <w:sz w:val="11"/>
              </w:rPr>
              <w:t>(109,768)</w:t>
            </w:r>
          </w:p>
        </w:tc>
      </w:tr>
    </w:tbl>
    <w:p>
      <w:pPr>
        <w:spacing w:line="240" w:lineRule="auto" w:before="0"/>
        <w:rPr>
          <w:b/>
          <w:sz w:val="11"/>
        </w:rPr>
      </w:pPr>
    </w:p>
    <w:p>
      <w:pPr>
        <w:spacing w:line="240" w:lineRule="auto" w:before="116"/>
        <w:rPr>
          <w:b/>
          <w:sz w:val="11"/>
        </w:rPr>
      </w:pPr>
    </w:p>
    <w:p>
      <w:pPr>
        <w:spacing w:line="276" w:lineRule="auto" w:before="1"/>
        <w:ind w:left="556" w:right="1344" w:firstLine="0"/>
        <w:jc w:val="left"/>
        <w:rPr>
          <w:sz w:val="11"/>
        </w:rPr>
      </w:pPr>
      <w:r>
        <w:rPr>
          <w:w w:val="105"/>
          <w:sz w:val="11"/>
        </w:rPr>
        <w:t>The</w:t>
      </w:r>
      <w:r>
        <w:rPr>
          <w:spacing w:val="11"/>
          <w:w w:val="105"/>
          <w:sz w:val="11"/>
        </w:rPr>
        <w:t> </w:t>
      </w:r>
      <w:r>
        <w:rPr>
          <w:w w:val="105"/>
          <w:sz w:val="11"/>
        </w:rPr>
        <w:t>nature</w:t>
      </w:r>
      <w:r>
        <w:rPr>
          <w:spacing w:val="11"/>
          <w:w w:val="105"/>
          <w:sz w:val="11"/>
        </w:rPr>
        <w:t> </w:t>
      </w:r>
      <w:r>
        <w:rPr>
          <w:w w:val="105"/>
          <w:sz w:val="11"/>
        </w:rPr>
        <w:t>of</w:t>
      </w:r>
      <w:r>
        <w:rPr>
          <w:spacing w:val="11"/>
          <w:w w:val="105"/>
          <w:sz w:val="11"/>
        </w:rPr>
        <w:t> </w:t>
      </w:r>
      <w:r>
        <w:rPr>
          <w:w w:val="105"/>
          <w:sz w:val="11"/>
        </w:rPr>
        <w:t>the</w:t>
      </w:r>
      <w:r>
        <w:rPr>
          <w:spacing w:val="11"/>
          <w:w w:val="105"/>
          <w:sz w:val="11"/>
        </w:rPr>
        <w:t> </w:t>
      </w:r>
      <w:r>
        <w:rPr>
          <w:w w:val="105"/>
          <w:sz w:val="11"/>
        </w:rPr>
        <w:t>adjustments</w:t>
      </w:r>
      <w:r>
        <w:rPr>
          <w:spacing w:val="12"/>
          <w:w w:val="105"/>
          <w:sz w:val="11"/>
        </w:rPr>
        <w:t> </w:t>
      </w:r>
      <w:r>
        <w:rPr>
          <w:w w:val="105"/>
          <w:sz w:val="11"/>
        </w:rPr>
        <w:t>as</w:t>
      </w:r>
      <w:r>
        <w:rPr>
          <w:spacing w:val="12"/>
          <w:w w:val="105"/>
          <w:sz w:val="11"/>
        </w:rPr>
        <w:t> </w:t>
      </w:r>
      <w:r>
        <w:rPr>
          <w:w w:val="105"/>
          <w:sz w:val="11"/>
        </w:rPr>
        <w:t>at</w:t>
      </w:r>
      <w:r>
        <w:rPr>
          <w:spacing w:val="11"/>
          <w:w w:val="105"/>
          <w:sz w:val="11"/>
        </w:rPr>
        <w:t> </w:t>
      </w:r>
      <w:r>
        <w:rPr>
          <w:w w:val="105"/>
          <w:sz w:val="11"/>
        </w:rPr>
        <w:t>1</w:t>
      </w:r>
      <w:r>
        <w:rPr>
          <w:spacing w:val="11"/>
          <w:w w:val="105"/>
          <w:sz w:val="11"/>
        </w:rPr>
        <w:t> </w:t>
      </w:r>
      <w:r>
        <w:rPr>
          <w:w w:val="105"/>
          <w:sz w:val="11"/>
        </w:rPr>
        <w:t>January</w:t>
      </w:r>
      <w:r>
        <w:rPr>
          <w:spacing w:val="11"/>
          <w:w w:val="105"/>
          <w:sz w:val="11"/>
        </w:rPr>
        <w:t> </w:t>
      </w:r>
      <w:r>
        <w:rPr>
          <w:w w:val="105"/>
          <w:sz w:val="11"/>
        </w:rPr>
        <w:t>2020</w:t>
      </w:r>
      <w:r>
        <w:rPr>
          <w:spacing w:val="11"/>
          <w:w w:val="105"/>
          <w:sz w:val="11"/>
        </w:rPr>
        <w:t> </w:t>
      </w:r>
      <w:r>
        <w:rPr>
          <w:w w:val="105"/>
          <w:sz w:val="11"/>
        </w:rPr>
        <w:t>and</w:t>
      </w:r>
      <w:r>
        <w:rPr>
          <w:spacing w:val="11"/>
          <w:w w:val="105"/>
          <w:sz w:val="11"/>
        </w:rPr>
        <w:t> </w:t>
      </w:r>
      <w:r>
        <w:rPr>
          <w:w w:val="105"/>
          <w:sz w:val="11"/>
        </w:rPr>
        <w:t>the</w:t>
      </w:r>
      <w:r>
        <w:rPr>
          <w:spacing w:val="11"/>
          <w:w w:val="105"/>
          <w:sz w:val="11"/>
        </w:rPr>
        <w:t> </w:t>
      </w:r>
      <w:r>
        <w:rPr>
          <w:w w:val="105"/>
          <w:sz w:val="11"/>
        </w:rPr>
        <w:t>reasons</w:t>
      </w:r>
      <w:r>
        <w:rPr>
          <w:spacing w:val="12"/>
          <w:w w:val="105"/>
          <w:sz w:val="11"/>
        </w:rPr>
        <w:t> </w:t>
      </w:r>
      <w:r>
        <w:rPr>
          <w:w w:val="105"/>
          <w:sz w:val="11"/>
        </w:rPr>
        <w:t>for</w:t>
      </w:r>
      <w:r>
        <w:rPr>
          <w:spacing w:val="11"/>
          <w:w w:val="105"/>
          <w:sz w:val="11"/>
        </w:rPr>
        <w:t> </w:t>
      </w:r>
      <w:r>
        <w:rPr>
          <w:w w:val="105"/>
          <w:sz w:val="11"/>
        </w:rPr>
        <w:t>the</w:t>
      </w:r>
      <w:r>
        <w:rPr>
          <w:spacing w:val="11"/>
          <w:w w:val="105"/>
          <w:sz w:val="11"/>
        </w:rPr>
        <w:t> </w:t>
      </w:r>
      <w:r>
        <w:rPr>
          <w:w w:val="105"/>
          <w:sz w:val="11"/>
        </w:rPr>
        <w:t>significant</w:t>
      </w:r>
      <w:r>
        <w:rPr>
          <w:spacing w:val="11"/>
          <w:w w:val="105"/>
          <w:sz w:val="11"/>
        </w:rPr>
        <w:t> </w:t>
      </w:r>
      <w:r>
        <w:rPr>
          <w:w w:val="105"/>
          <w:sz w:val="11"/>
        </w:rPr>
        <w:t>changes</w:t>
      </w:r>
      <w:r>
        <w:rPr>
          <w:spacing w:val="11"/>
          <w:w w:val="105"/>
          <w:sz w:val="11"/>
        </w:rPr>
        <w:t> </w:t>
      </w:r>
      <w:r>
        <w:rPr>
          <w:w w:val="105"/>
          <w:sz w:val="11"/>
        </w:rPr>
        <w:t>in</w:t>
      </w:r>
      <w:r>
        <w:rPr>
          <w:spacing w:val="11"/>
          <w:w w:val="105"/>
          <w:sz w:val="11"/>
        </w:rPr>
        <w:t> </w:t>
      </w:r>
      <w:r>
        <w:rPr>
          <w:w w:val="105"/>
          <w:sz w:val="11"/>
        </w:rPr>
        <w:t>the</w:t>
      </w:r>
      <w:r>
        <w:rPr>
          <w:spacing w:val="11"/>
          <w:w w:val="105"/>
          <w:sz w:val="11"/>
        </w:rPr>
        <w:t> </w:t>
      </w:r>
      <w:r>
        <w:rPr>
          <w:w w:val="105"/>
          <w:sz w:val="11"/>
        </w:rPr>
        <w:t>income</w:t>
      </w:r>
      <w:r>
        <w:rPr>
          <w:spacing w:val="9"/>
          <w:w w:val="105"/>
          <w:sz w:val="11"/>
        </w:rPr>
        <w:t> </w:t>
      </w:r>
      <w:r>
        <w:rPr>
          <w:w w:val="105"/>
          <w:sz w:val="11"/>
        </w:rPr>
        <w:t>statement</w:t>
      </w:r>
      <w:r>
        <w:rPr>
          <w:spacing w:val="11"/>
          <w:w w:val="105"/>
          <w:sz w:val="11"/>
        </w:rPr>
        <w:t> </w:t>
      </w:r>
      <w:r>
        <w:rPr>
          <w:w w:val="105"/>
          <w:sz w:val="11"/>
        </w:rPr>
        <w:t>for</w:t>
      </w:r>
      <w:r>
        <w:rPr>
          <w:spacing w:val="10"/>
          <w:w w:val="105"/>
          <w:sz w:val="11"/>
        </w:rPr>
        <w:t> </w:t>
      </w:r>
      <w:r>
        <w:rPr>
          <w:w w:val="105"/>
          <w:sz w:val="11"/>
        </w:rPr>
        <w:t>the</w:t>
      </w:r>
      <w:r>
        <w:rPr>
          <w:spacing w:val="11"/>
          <w:w w:val="105"/>
          <w:sz w:val="11"/>
        </w:rPr>
        <w:t> </w:t>
      </w:r>
      <w:r>
        <w:rPr>
          <w:w w:val="105"/>
          <w:sz w:val="11"/>
        </w:rPr>
        <w:t>year</w:t>
      </w:r>
      <w:r>
        <w:rPr>
          <w:spacing w:val="10"/>
          <w:w w:val="105"/>
          <w:sz w:val="11"/>
        </w:rPr>
        <w:t> </w:t>
      </w:r>
      <w:r>
        <w:rPr>
          <w:w w:val="105"/>
          <w:sz w:val="11"/>
        </w:rPr>
        <w:t>ended</w:t>
      </w:r>
      <w:r>
        <w:rPr>
          <w:spacing w:val="11"/>
          <w:w w:val="105"/>
          <w:sz w:val="11"/>
        </w:rPr>
        <w:t> </w:t>
      </w:r>
      <w:r>
        <w:rPr>
          <w:w w:val="105"/>
          <w:sz w:val="11"/>
        </w:rPr>
        <w:t>31</w:t>
      </w:r>
      <w:r>
        <w:rPr>
          <w:spacing w:val="9"/>
          <w:w w:val="105"/>
          <w:sz w:val="11"/>
        </w:rPr>
        <w:t> </w:t>
      </w:r>
      <w:r>
        <w:rPr>
          <w:w w:val="105"/>
          <w:sz w:val="11"/>
        </w:rPr>
        <w:t>December</w:t>
      </w:r>
      <w:r>
        <w:rPr>
          <w:spacing w:val="11"/>
          <w:w w:val="105"/>
          <w:sz w:val="11"/>
        </w:rPr>
        <w:t> </w:t>
      </w:r>
      <w:r>
        <w:rPr>
          <w:w w:val="105"/>
          <w:sz w:val="11"/>
        </w:rPr>
        <w:t>2020</w:t>
      </w:r>
      <w:r>
        <w:rPr>
          <w:spacing w:val="9"/>
          <w:w w:val="105"/>
          <w:sz w:val="11"/>
        </w:rPr>
        <w:t> </w:t>
      </w:r>
      <w:r>
        <w:rPr>
          <w:w w:val="105"/>
          <w:sz w:val="11"/>
        </w:rPr>
        <w:t>are</w:t>
      </w:r>
      <w:r>
        <w:rPr>
          <w:spacing w:val="40"/>
          <w:w w:val="105"/>
          <w:sz w:val="11"/>
        </w:rPr>
        <w:t> </w:t>
      </w:r>
      <w:r>
        <w:rPr>
          <w:w w:val="105"/>
          <w:sz w:val="11"/>
        </w:rPr>
        <w:t>described</w:t>
      </w:r>
      <w:r>
        <w:rPr>
          <w:spacing w:val="-9"/>
          <w:w w:val="105"/>
          <w:sz w:val="11"/>
        </w:rPr>
        <w:t> </w:t>
      </w:r>
      <w:r>
        <w:rPr>
          <w:w w:val="105"/>
          <w:sz w:val="11"/>
        </w:rPr>
        <w:t>below:</w:t>
      </w:r>
    </w:p>
    <w:p>
      <w:pPr>
        <w:spacing w:line="280" w:lineRule="auto" w:before="18"/>
        <w:ind w:left="556" w:right="1763" w:firstLine="0"/>
        <w:jc w:val="left"/>
        <w:rPr>
          <w:sz w:val="11"/>
        </w:rPr>
      </w:pPr>
      <w:r>
        <w:rPr>
          <w:b/>
          <w:w w:val="105"/>
          <w:sz w:val="11"/>
        </w:rPr>
        <w:t>a</w:t>
      </w:r>
      <w:r>
        <w:rPr>
          <w:b/>
          <w:spacing w:val="-6"/>
          <w:w w:val="105"/>
          <w:sz w:val="11"/>
        </w:rPr>
        <w:t> </w:t>
      </w:r>
      <w:r>
        <w:rPr>
          <w:b/>
          <w:w w:val="105"/>
          <w:sz w:val="11"/>
        </w:rPr>
        <w:t>-</w:t>
      </w:r>
      <w:r>
        <w:rPr>
          <w:b/>
          <w:spacing w:val="-2"/>
          <w:w w:val="105"/>
          <w:sz w:val="11"/>
        </w:rPr>
        <w:t> </w:t>
      </w:r>
      <w:r>
        <w:rPr>
          <w:w w:val="105"/>
          <w:sz w:val="11"/>
        </w:rPr>
        <w:t>contract</w:t>
      </w:r>
      <w:r>
        <w:rPr>
          <w:spacing w:val="-3"/>
          <w:w w:val="105"/>
          <w:sz w:val="11"/>
        </w:rPr>
        <w:t> </w:t>
      </w:r>
      <w:r>
        <w:rPr>
          <w:w w:val="105"/>
          <w:sz w:val="11"/>
        </w:rPr>
        <w:t>assets</w:t>
      </w:r>
      <w:r>
        <w:rPr>
          <w:spacing w:val="-1"/>
          <w:w w:val="105"/>
          <w:sz w:val="11"/>
        </w:rPr>
        <w:t> </w:t>
      </w:r>
      <w:r>
        <w:rPr>
          <w:w w:val="105"/>
          <w:sz w:val="11"/>
        </w:rPr>
        <w:t>are</w:t>
      </w:r>
      <w:r>
        <w:rPr>
          <w:spacing w:val="-3"/>
          <w:w w:val="105"/>
          <w:sz w:val="11"/>
        </w:rPr>
        <w:t> </w:t>
      </w:r>
      <w:r>
        <w:rPr>
          <w:w w:val="105"/>
          <w:sz w:val="11"/>
        </w:rPr>
        <w:t>revenue</w:t>
      </w:r>
      <w:r>
        <w:rPr>
          <w:spacing w:val="-3"/>
          <w:w w:val="105"/>
          <w:sz w:val="11"/>
        </w:rPr>
        <w:t> </w:t>
      </w:r>
      <w:r>
        <w:rPr>
          <w:w w:val="105"/>
          <w:sz w:val="11"/>
        </w:rPr>
        <w:t>receivables</w:t>
      </w:r>
      <w:r>
        <w:rPr>
          <w:spacing w:val="-1"/>
          <w:w w:val="105"/>
          <w:sz w:val="11"/>
        </w:rPr>
        <w:t> </w:t>
      </w:r>
      <w:r>
        <w:rPr>
          <w:w w:val="105"/>
          <w:sz w:val="11"/>
        </w:rPr>
        <w:t>and</w:t>
      </w:r>
      <w:r>
        <w:rPr>
          <w:spacing w:val="-3"/>
          <w:w w:val="105"/>
          <w:sz w:val="11"/>
        </w:rPr>
        <w:t> </w:t>
      </w:r>
      <w:r>
        <w:rPr>
          <w:w w:val="105"/>
          <w:sz w:val="11"/>
        </w:rPr>
        <w:t>the</w:t>
      </w:r>
      <w:r>
        <w:rPr>
          <w:spacing w:val="-3"/>
          <w:w w:val="105"/>
          <w:sz w:val="11"/>
        </w:rPr>
        <w:t> </w:t>
      </w:r>
      <w:r>
        <w:rPr>
          <w:w w:val="105"/>
          <w:sz w:val="11"/>
        </w:rPr>
        <w:t>adjustment</w:t>
      </w:r>
      <w:r>
        <w:rPr>
          <w:spacing w:val="-3"/>
          <w:w w:val="105"/>
          <w:sz w:val="11"/>
        </w:rPr>
        <w:t> </w:t>
      </w:r>
      <w:r>
        <w:rPr>
          <w:w w:val="105"/>
          <w:sz w:val="11"/>
        </w:rPr>
        <w:t>reflect</w:t>
      </w:r>
      <w:r>
        <w:rPr>
          <w:spacing w:val="-3"/>
          <w:w w:val="105"/>
          <w:sz w:val="11"/>
        </w:rPr>
        <w:t> </w:t>
      </w:r>
      <w:r>
        <w:rPr>
          <w:w w:val="105"/>
          <w:sz w:val="11"/>
        </w:rPr>
        <w:t>research</w:t>
      </w:r>
      <w:r>
        <w:rPr>
          <w:spacing w:val="-3"/>
          <w:w w:val="105"/>
          <w:sz w:val="11"/>
        </w:rPr>
        <w:t> </w:t>
      </w:r>
      <w:r>
        <w:rPr>
          <w:w w:val="105"/>
          <w:sz w:val="11"/>
        </w:rPr>
        <w:t>output</w:t>
      </w:r>
      <w:r>
        <w:rPr>
          <w:spacing w:val="-3"/>
          <w:w w:val="105"/>
          <w:sz w:val="11"/>
        </w:rPr>
        <w:t> </w:t>
      </w:r>
      <w:r>
        <w:rPr>
          <w:w w:val="105"/>
          <w:sz w:val="11"/>
        </w:rPr>
        <w:t>that</w:t>
      </w:r>
      <w:r>
        <w:rPr>
          <w:spacing w:val="-3"/>
          <w:w w:val="105"/>
          <w:sz w:val="11"/>
        </w:rPr>
        <w:t> </w:t>
      </w:r>
      <w:r>
        <w:rPr>
          <w:w w:val="105"/>
          <w:sz w:val="11"/>
        </w:rPr>
        <w:t>have</w:t>
      </w:r>
      <w:r>
        <w:rPr>
          <w:spacing w:val="-3"/>
          <w:w w:val="105"/>
          <w:sz w:val="11"/>
        </w:rPr>
        <w:t> </w:t>
      </w:r>
      <w:r>
        <w:rPr>
          <w:w w:val="105"/>
          <w:sz w:val="11"/>
        </w:rPr>
        <w:t>been</w:t>
      </w:r>
      <w:r>
        <w:rPr>
          <w:spacing w:val="-1"/>
          <w:w w:val="105"/>
          <w:sz w:val="11"/>
        </w:rPr>
        <w:t> </w:t>
      </w:r>
      <w:r>
        <w:rPr>
          <w:w w:val="105"/>
          <w:sz w:val="11"/>
        </w:rPr>
        <w:t>delivered</w:t>
      </w:r>
      <w:r>
        <w:rPr>
          <w:spacing w:val="-3"/>
          <w:w w:val="105"/>
          <w:sz w:val="11"/>
        </w:rPr>
        <w:t> </w:t>
      </w:r>
      <w:r>
        <w:rPr>
          <w:w w:val="105"/>
          <w:sz w:val="11"/>
        </w:rPr>
        <w:t>but considerations</w:t>
      </w:r>
      <w:r>
        <w:rPr>
          <w:spacing w:val="-1"/>
          <w:w w:val="105"/>
          <w:sz w:val="11"/>
        </w:rPr>
        <w:t> </w:t>
      </w:r>
      <w:r>
        <w:rPr>
          <w:w w:val="105"/>
          <w:sz w:val="11"/>
        </w:rPr>
        <w:t>have</w:t>
      </w:r>
      <w:r>
        <w:rPr>
          <w:spacing w:val="-1"/>
          <w:w w:val="105"/>
          <w:sz w:val="11"/>
        </w:rPr>
        <w:t> </w:t>
      </w:r>
      <w:r>
        <w:rPr>
          <w:w w:val="105"/>
          <w:sz w:val="11"/>
        </w:rPr>
        <w:t>not</w:t>
      </w:r>
      <w:r>
        <w:rPr>
          <w:spacing w:val="-3"/>
          <w:w w:val="105"/>
          <w:sz w:val="11"/>
        </w:rPr>
        <w:t> </w:t>
      </w:r>
      <w:r>
        <w:rPr>
          <w:w w:val="105"/>
          <w:sz w:val="11"/>
        </w:rPr>
        <w:t>been</w:t>
      </w:r>
      <w:r>
        <w:rPr>
          <w:spacing w:val="-1"/>
          <w:w w:val="105"/>
          <w:sz w:val="11"/>
        </w:rPr>
        <w:t> </w:t>
      </w:r>
      <w:r>
        <w:rPr>
          <w:w w:val="105"/>
          <w:sz w:val="11"/>
        </w:rPr>
        <w:t>received</w:t>
      </w:r>
      <w:r>
        <w:rPr>
          <w:spacing w:val="-3"/>
          <w:w w:val="105"/>
          <w:sz w:val="11"/>
        </w:rPr>
        <w:t> </w:t>
      </w:r>
      <w:r>
        <w:rPr>
          <w:w w:val="105"/>
          <w:sz w:val="11"/>
        </w:rPr>
        <w:t>as at</w:t>
      </w:r>
      <w:r>
        <w:rPr>
          <w:spacing w:val="-3"/>
          <w:w w:val="105"/>
          <w:sz w:val="11"/>
        </w:rPr>
        <w:t> </w:t>
      </w:r>
      <w:r>
        <w:rPr>
          <w:w w:val="105"/>
          <w:sz w:val="11"/>
        </w:rPr>
        <w:t>reporting</w:t>
      </w:r>
      <w:r>
        <w:rPr>
          <w:spacing w:val="40"/>
          <w:w w:val="105"/>
          <w:sz w:val="11"/>
        </w:rPr>
        <w:t> </w:t>
      </w:r>
      <w:r>
        <w:rPr>
          <w:spacing w:val="-2"/>
          <w:w w:val="105"/>
          <w:sz w:val="11"/>
        </w:rPr>
        <w:t>date.</w:t>
      </w:r>
    </w:p>
    <w:p>
      <w:pPr>
        <w:spacing w:line="280" w:lineRule="auto" w:before="7"/>
        <w:ind w:left="556" w:right="1763" w:firstLine="0"/>
        <w:jc w:val="left"/>
        <w:rPr>
          <w:sz w:val="11"/>
        </w:rPr>
      </w:pPr>
      <w:r>
        <w:rPr>
          <w:b/>
          <w:w w:val="105"/>
          <w:sz w:val="11"/>
        </w:rPr>
        <w:t>b</w:t>
      </w:r>
      <w:r>
        <w:rPr>
          <w:b/>
          <w:spacing w:val="-7"/>
          <w:w w:val="105"/>
          <w:sz w:val="11"/>
        </w:rPr>
        <w:t> </w:t>
      </w:r>
      <w:r>
        <w:rPr>
          <w:w w:val="105"/>
          <w:sz w:val="11"/>
        </w:rPr>
        <w:t>-</w:t>
      </w:r>
      <w:r>
        <w:rPr>
          <w:spacing w:val="-7"/>
          <w:w w:val="105"/>
          <w:sz w:val="11"/>
        </w:rPr>
        <w:t> </w:t>
      </w:r>
      <w:r>
        <w:rPr>
          <w:w w:val="105"/>
          <w:sz w:val="11"/>
        </w:rPr>
        <w:t>contract</w:t>
      </w:r>
      <w:r>
        <w:rPr>
          <w:spacing w:val="-7"/>
          <w:w w:val="105"/>
          <w:sz w:val="11"/>
        </w:rPr>
        <w:t> </w:t>
      </w:r>
      <w:r>
        <w:rPr>
          <w:w w:val="105"/>
          <w:sz w:val="11"/>
        </w:rPr>
        <w:t>liabilities</w:t>
      </w:r>
      <w:r>
        <w:rPr>
          <w:spacing w:val="-6"/>
          <w:w w:val="105"/>
          <w:sz w:val="11"/>
        </w:rPr>
        <w:t> </w:t>
      </w:r>
      <w:r>
        <w:rPr>
          <w:w w:val="105"/>
          <w:sz w:val="11"/>
        </w:rPr>
        <w:t>are</w:t>
      </w:r>
      <w:r>
        <w:rPr>
          <w:spacing w:val="-7"/>
          <w:w w:val="105"/>
          <w:sz w:val="11"/>
        </w:rPr>
        <w:t> </w:t>
      </w:r>
      <w:r>
        <w:rPr>
          <w:w w:val="105"/>
          <w:sz w:val="11"/>
        </w:rPr>
        <w:t>deferred</w:t>
      </w:r>
      <w:r>
        <w:rPr>
          <w:spacing w:val="-7"/>
          <w:w w:val="105"/>
          <w:sz w:val="11"/>
        </w:rPr>
        <w:t> </w:t>
      </w:r>
      <w:r>
        <w:rPr>
          <w:w w:val="105"/>
          <w:sz w:val="11"/>
        </w:rPr>
        <w:t>revenue</w:t>
      </w:r>
      <w:r>
        <w:rPr>
          <w:spacing w:val="-7"/>
          <w:w w:val="105"/>
          <w:sz w:val="11"/>
        </w:rPr>
        <w:t> </w:t>
      </w:r>
      <w:r>
        <w:rPr>
          <w:w w:val="105"/>
          <w:sz w:val="11"/>
        </w:rPr>
        <w:t>as</w:t>
      </w:r>
      <w:r>
        <w:rPr>
          <w:spacing w:val="-6"/>
          <w:w w:val="105"/>
          <w:sz w:val="11"/>
        </w:rPr>
        <w:t> </w:t>
      </w:r>
      <w:r>
        <w:rPr>
          <w:w w:val="105"/>
          <w:sz w:val="11"/>
        </w:rPr>
        <w:t>a</w:t>
      </w:r>
      <w:r>
        <w:rPr>
          <w:spacing w:val="-7"/>
          <w:w w:val="105"/>
          <w:sz w:val="11"/>
        </w:rPr>
        <w:t> </w:t>
      </w:r>
      <w:r>
        <w:rPr>
          <w:w w:val="105"/>
          <w:sz w:val="11"/>
        </w:rPr>
        <w:t>result</w:t>
      </w:r>
      <w:r>
        <w:rPr>
          <w:spacing w:val="-7"/>
          <w:w w:val="105"/>
          <w:sz w:val="11"/>
        </w:rPr>
        <w:t> </w:t>
      </w:r>
      <w:r>
        <w:rPr>
          <w:w w:val="105"/>
          <w:sz w:val="11"/>
        </w:rPr>
        <w:t>of</w:t>
      </w:r>
      <w:r>
        <w:rPr>
          <w:spacing w:val="-7"/>
          <w:w w:val="105"/>
          <w:sz w:val="11"/>
        </w:rPr>
        <w:t> </w:t>
      </w:r>
      <w:r>
        <w:rPr>
          <w:w w:val="105"/>
          <w:sz w:val="11"/>
        </w:rPr>
        <w:t>consideration</w:t>
      </w:r>
      <w:r>
        <w:rPr>
          <w:spacing w:val="-7"/>
          <w:w w:val="105"/>
          <w:sz w:val="11"/>
        </w:rPr>
        <w:t> </w:t>
      </w:r>
      <w:r>
        <w:rPr>
          <w:w w:val="105"/>
          <w:sz w:val="11"/>
        </w:rPr>
        <w:t>received</w:t>
      </w:r>
      <w:r>
        <w:rPr>
          <w:spacing w:val="-8"/>
          <w:w w:val="105"/>
          <w:sz w:val="11"/>
        </w:rPr>
        <w:t> </w:t>
      </w:r>
      <w:r>
        <w:rPr>
          <w:w w:val="105"/>
          <w:sz w:val="11"/>
        </w:rPr>
        <w:t>in</w:t>
      </w:r>
      <w:r>
        <w:rPr>
          <w:spacing w:val="-8"/>
          <w:w w:val="105"/>
          <w:sz w:val="11"/>
        </w:rPr>
        <w:t> </w:t>
      </w:r>
      <w:r>
        <w:rPr>
          <w:w w:val="105"/>
          <w:sz w:val="11"/>
        </w:rPr>
        <w:t>advance</w:t>
      </w:r>
      <w:r>
        <w:rPr>
          <w:spacing w:val="-7"/>
          <w:w w:val="105"/>
          <w:sz w:val="11"/>
        </w:rPr>
        <w:t> </w:t>
      </w:r>
      <w:r>
        <w:rPr>
          <w:w w:val="105"/>
          <w:sz w:val="11"/>
        </w:rPr>
        <w:t>but</w:t>
      </w:r>
      <w:r>
        <w:rPr>
          <w:spacing w:val="-7"/>
          <w:w w:val="105"/>
          <w:sz w:val="11"/>
        </w:rPr>
        <w:t> </w:t>
      </w:r>
      <w:r>
        <w:rPr>
          <w:w w:val="105"/>
          <w:sz w:val="11"/>
        </w:rPr>
        <w:t>research</w:t>
      </w:r>
      <w:r>
        <w:rPr>
          <w:spacing w:val="-7"/>
          <w:w w:val="105"/>
          <w:sz w:val="11"/>
        </w:rPr>
        <w:t> </w:t>
      </w:r>
      <w:r>
        <w:rPr>
          <w:w w:val="105"/>
          <w:sz w:val="11"/>
        </w:rPr>
        <w:t>output</w:t>
      </w:r>
      <w:r>
        <w:rPr>
          <w:spacing w:val="-7"/>
          <w:w w:val="105"/>
          <w:sz w:val="11"/>
        </w:rPr>
        <w:t> </w:t>
      </w:r>
      <w:r>
        <w:rPr>
          <w:w w:val="105"/>
          <w:sz w:val="11"/>
        </w:rPr>
        <w:t>has</w:t>
      </w:r>
      <w:r>
        <w:rPr>
          <w:spacing w:val="-6"/>
          <w:w w:val="105"/>
          <w:sz w:val="11"/>
        </w:rPr>
        <w:t> </w:t>
      </w:r>
      <w:r>
        <w:rPr>
          <w:w w:val="105"/>
          <w:sz w:val="11"/>
        </w:rPr>
        <w:t>not</w:t>
      </w:r>
      <w:r>
        <w:rPr>
          <w:spacing w:val="-7"/>
          <w:w w:val="105"/>
          <w:sz w:val="11"/>
        </w:rPr>
        <w:t> </w:t>
      </w:r>
      <w:r>
        <w:rPr>
          <w:w w:val="105"/>
          <w:sz w:val="11"/>
        </w:rPr>
        <w:t>been</w:t>
      </w:r>
      <w:r>
        <w:rPr>
          <w:spacing w:val="-7"/>
          <w:w w:val="105"/>
          <w:sz w:val="11"/>
        </w:rPr>
        <w:t> </w:t>
      </w:r>
      <w:r>
        <w:rPr>
          <w:w w:val="105"/>
          <w:sz w:val="11"/>
        </w:rPr>
        <w:t>delivered</w:t>
      </w:r>
      <w:r>
        <w:rPr>
          <w:spacing w:val="-7"/>
          <w:w w:val="105"/>
          <w:sz w:val="11"/>
        </w:rPr>
        <w:t> </w:t>
      </w:r>
      <w:r>
        <w:rPr>
          <w:w w:val="105"/>
          <w:sz w:val="11"/>
        </w:rPr>
        <w:t>as</w:t>
      </w:r>
      <w:r>
        <w:rPr>
          <w:spacing w:val="-6"/>
          <w:w w:val="105"/>
          <w:sz w:val="11"/>
        </w:rPr>
        <w:t> </w:t>
      </w:r>
      <w:r>
        <w:rPr>
          <w:w w:val="105"/>
          <w:sz w:val="11"/>
        </w:rPr>
        <w:t>at</w:t>
      </w:r>
      <w:r>
        <w:rPr>
          <w:spacing w:val="-7"/>
          <w:w w:val="105"/>
          <w:sz w:val="11"/>
        </w:rPr>
        <w:t> </w:t>
      </w:r>
      <w:r>
        <w:rPr>
          <w:w w:val="105"/>
          <w:sz w:val="11"/>
        </w:rPr>
        <w:t>reporting</w:t>
      </w:r>
      <w:r>
        <w:rPr>
          <w:spacing w:val="-8"/>
          <w:w w:val="105"/>
          <w:sz w:val="11"/>
        </w:rPr>
        <w:t> </w:t>
      </w:r>
      <w:r>
        <w:rPr>
          <w:w w:val="105"/>
          <w:sz w:val="11"/>
        </w:rPr>
        <w:t>date.</w:t>
      </w:r>
      <w:r>
        <w:rPr>
          <w:spacing w:val="-6"/>
          <w:w w:val="105"/>
          <w:sz w:val="11"/>
        </w:rPr>
        <w:t> </w:t>
      </w:r>
      <w:r>
        <w:rPr>
          <w:w w:val="105"/>
          <w:sz w:val="11"/>
        </w:rPr>
        <w:t>The</w:t>
      </w:r>
      <w:r>
        <w:rPr>
          <w:spacing w:val="-7"/>
          <w:w w:val="105"/>
          <w:sz w:val="11"/>
        </w:rPr>
        <w:t> </w:t>
      </w:r>
      <w:r>
        <w:rPr>
          <w:w w:val="105"/>
          <w:sz w:val="11"/>
        </w:rPr>
        <w:t>adjustments</w:t>
      </w:r>
      <w:r>
        <w:rPr>
          <w:spacing w:val="40"/>
          <w:w w:val="105"/>
          <w:sz w:val="11"/>
        </w:rPr>
        <w:t> </w:t>
      </w:r>
      <w:r>
        <w:rPr>
          <w:w w:val="105"/>
          <w:sz w:val="11"/>
        </w:rPr>
        <w:t>reflect</w:t>
      </w:r>
      <w:r>
        <w:rPr>
          <w:spacing w:val="-1"/>
          <w:w w:val="105"/>
          <w:sz w:val="11"/>
        </w:rPr>
        <w:t> </w:t>
      </w:r>
      <w:r>
        <w:rPr>
          <w:w w:val="105"/>
          <w:sz w:val="11"/>
        </w:rPr>
        <w:t>the</w:t>
      </w:r>
      <w:r>
        <w:rPr>
          <w:spacing w:val="-1"/>
          <w:w w:val="105"/>
          <w:sz w:val="11"/>
        </w:rPr>
        <w:t> </w:t>
      </w:r>
      <w:r>
        <w:rPr>
          <w:w w:val="105"/>
          <w:sz w:val="11"/>
        </w:rPr>
        <w:t>University's future</w:t>
      </w:r>
      <w:r>
        <w:rPr>
          <w:spacing w:val="-1"/>
          <w:w w:val="105"/>
          <w:sz w:val="11"/>
        </w:rPr>
        <w:t> </w:t>
      </w:r>
      <w:r>
        <w:rPr>
          <w:w w:val="105"/>
          <w:sz w:val="11"/>
        </w:rPr>
        <w:t>obligations to</w:t>
      </w:r>
      <w:r>
        <w:rPr>
          <w:spacing w:val="-1"/>
          <w:w w:val="105"/>
          <w:sz w:val="11"/>
        </w:rPr>
        <w:t> </w:t>
      </w:r>
      <w:r>
        <w:rPr>
          <w:w w:val="105"/>
          <w:sz w:val="11"/>
        </w:rPr>
        <w:t>deliver</w:t>
      </w:r>
      <w:r>
        <w:rPr>
          <w:spacing w:val="-1"/>
          <w:w w:val="105"/>
          <w:sz w:val="11"/>
        </w:rPr>
        <w:t> </w:t>
      </w:r>
      <w:r>
        <w:rPr>
          <w:w w:val="105"/>
          <w:sz w:val="11"/>
        </w:rPr>
        <w:t>research</w:t>
      </w:r>
      <w:r>
        <w:rPr>
          <w:spacing w:val="-1"/>
          <w:w w:val="105"/>
          <w:sz w:val="11"/>
        </w:rPr>
        <w:t> </w:t>
      </w:r>
      <w:r>
        <w:rPr>
          <w:w w:val="105"/>
          <w:sz w:val="11"/>
        </w:rPr>
        <w:t>outputs to</w:t>
      </w:r>
      <w:r>
        <w:rPr>
          <w:spacing w:val="-1"/>
          <w:w w:val="105"/>
          <w:sz w:val="11"/>
        </w:rPr>
        <w:t> </w:t>
      </w:r>
      <w:r>
        <w:rPr>
          <w:w w:val="105"/>
          <w:sz w:val="11"/>
        </w:rPr>
        <w:t>the</w:t>
      </w:r>
      <w:r>
        <w:rPr>
          <w:spacing w:val="-1"/>
          <w:w w:val="105"/>
          <w:sz w:val="11"/>
        </w:rPr>
        <w:t> </w:t>
      </w:r>
      <w:r>
        <w:rPr>
          <w:w w:val="105"/>
          <w:sz w:val="11"/>
        </w:rPr>
        <w:t>grantors/customers.</w:t>
      </w:r>
    </w:p>
    <w:p>
      <w:pPr>
        <w:spacing w:line="280" w:lineRule="auto" w:before="13"/>
        <w:ind w:left="556" w:right="1763" w:firstLine="0"/>
        <w:jc w:val="left"/>
        <w:rPr>
          <w:sz w:val="11"/>
        </w:rPr>
      </w:pPr>
      <w:r>
        <w:rPr>
          <w:b/>
          <w:w w:val="105"/>
          <w:sz w:val="11"/>
        </w:rPr>
        <w:t>c</w:t>
      </w:r>
      <w:r>
        <w:rPr>
          <w:b/>
          <w:spacing w:val="-7"/>
          <w:w w:val="105"/>
          <w:sz w:val="11"/>
        </w:rPr>
        <w:t> </w:t>
      </w:r>
      <w:r>
        <w:rPr>
          <w:w w:val="105"/>
          <w:sz w:val="11"/>
        </w:rPr>
        <w:t>-</w:t>
      </w:r>
      <w:r>
        <w:rPr>
          <w:spacing w:val="-7"/>
          <w:w w:val="105"/>
          <w:sz w:val="11"/>
        </w:rPr>
        <w:t> </w:t>
      </w:r>
      <w:r>
        <w:rPr>
          <w:w w:val="105"/>
          <w:sz w:val="11"/>
        </w:rPr>
        <w:t>other</w:t>
      </w:r>
      <w:r>
        <w:rPr>
          <w:spacing w:val="-7"/>
          <w:w w:val="105"/>
          <w:sz w:val="11"/>
        </w:rPr>
        <w:t> </w:t>
      </w:r>
      <w:r>
        <w:rPr>
          <w:w w:val="105"/>
          <w:sz w:val="11"/>
        </w:rPr>
        <w:t>liabilities</w:t>
      </w:r>
      <w:r>
        <w:rPr>
          <w:spacing w:val="-7"/>
          <w:w w:val="105"/>
          <w:sz w:val="11"/>
        </w:rPr>
        <w:t> </w:t>
      </w:r>
      <w:r>
        <w:rPr>
          <w:w w:val="105"/>
          <w:sz w:val="11"/>
        </w:rPr>
        <w:t>adjustments</w:t>
      </w:r>
      <w:r>
        <w:rPr>
          <w:spacing w:val="-7"/>
          <w:w w:val="105"/>
          <w:sz w:val="11"/>
        </w:rPr>
        <w:t> </w:t>
      </w:r>
      <w:r>
        <w:rPr>
          <w:w w:val="105"/>
          <w:sz w:val="11"/>
        </w:rPr>
        <w:t>relates</w:t>
      </w:r>
      <w:r>
        <w:rPr>
          <w:spacing w:val="-7"/>
          <w:w w:val="105"/>
          <w:sz w:val="11"/>
        </w:rPr>
        <w:t> </w:t>
      </w:r>
      <w:r>
        <w:rPr>
          <w:w w:val="105"/>
          <w:sz w:val="11"/>
        </w:rPr>
        <w:t>to</w:t>
      </w:r>
      <w:r>
        <w:rPr>
          <w:spacing w:val="-7"/>
          <w:w w:val="105"/>
          <w:sz w:val="11"/>
        </w:rPr>
        <w:t> </w:t>
      </w:r>
      <w:r>
        <w:rPr>
          <w:w w:val="105"/>
          <w:sz w:val="11"/>
        </w:rPr>
        <w:t>scholarships</w:t>
      </w:r>
      <w:r>
        <w:rPr>
          <w:spacing w:val="-7"/>
          <w:w w:val="105"/>
          <w:sz w:val="11"/>
        </w:rPr>
        <w:t> </w:t>
      </w:r>
      <w:r>
        <w:rPr>
          <w:w w:val="105"/>
          <w:sz w:val="11"/>
        </w:rPr>
        <w:t>recognised</w:t>
      </w:r>
      <w:r>
        <w:rPr>
          <w:spacing w:val="-7"/>
          <w:w w:val="105"/>
          <w:sz w:val="11"/>
        </w:rPr>
        <w:t> </w:t>
      </w:r>
      <w:r>
        <w:rPr>
          <w:w w:val="105"/>
          <w:sz w:val="11"/>
        </w:rPr>
        <w:t>as</w:t>
      </w:r>
      <w:r>
        <w:rPr>
          <w:spacing w:val="-7"/>
          <w:w w:val="105"/>
          <w:sz w:val="11"/>
        </w:rPr>
        <w:t> </w:t>
      </w:r>
      <w:r>
        <w:rPr>
          <w:w w:val="105"/>
          <w:sz w:val="11"/>
        </w:rPr>
        <w:t>a</w:t>
      </w:r>
      <w:r>
        <w:rPr>
          <w:spacing w:val="-7"/>
          <w:w w:val="105"/>
          <w:sz w:val="11"/>
        </w:rPr>
        <w:t> </w:t>
      </w:r>
      <w:r>
        <w:rPr>
          <w:w w:val="105"/>
          <w:sz w:val="11"/>
        </w:rPr>
        <w:t>financial</w:t>
      </w:r>
      <w:r>
        <w:rPr>
          <w:spacing w:val="-7"/>
          <w:w w:val="105"/>
          <w:sz w:val="11"/>
        </w:rPr>
        <w:t> </w:t>
      </w:r>
      <w:r>
        <w:rPr>
          <w:w w:val="105"/>
          <w:sz w:val="11"/>
        </w:rPr>
        <w:t>liability</w:t>
      </w:r>
      <w:r>
        <w:rPr>
          <w:spacing w:val="-8"/>
          <w:w w:val="105"/>
          <w:sz w:val="11"/>
        </w:rPr>
        <w:t> </w:t>
      </w:r>
      <w:r>
        <w:rPr>
          <w:w w:val="105"/>
          <w:sz w:val="11"/>
        </w:rPr>
        <w:t>under</w:t>
      </w:r>
      <w:r>
        <w:rPr>
          <w:spacing w:val="-5"/>
          <w:w w:val="105"/>
          <w:sz w:val="11"/>
        </w:rPr>
        <w:t> </w:t>
      </w:r>
      <w:r>
        <w:rPr>
          <w:w w:val="105"/>
          <w:sz w:val="11"/>
        </w:rPr>
        <w:t>AASB9,</w:t>
      </w:r>
      <w:r>
        <w:rPr>
          <w:spacing w:val="-7"/>
          <w:w w:val="105"/>
          <w:sz w:val="11"/>
        </w:rPr>
        <w:t> </w:t>
      </w:r>
      <w:r>
        <w:rPr>
          <w:w w:val="105"/>
          <w:sz w:val="11"/>
        </w:rPr>
        <w:t>as</w:t>
      </w:r>
      <w:r>
        <w:rPr>
          <w:spacing w:val="-4"/>
          <w:w w:val="105"/>
          <w:sz w:val="11"/>
        </w:rPr>
        <w:t> </w:t>
      </w:r>
      <w:r>
        <w:rPr>
          <w:w w:val="105"/>
          <w:sz w:val="11"/>
        </w:rPr>
        <w:t>funding</w:t>
      </w:r>
      <w:r>
        <w:rPr>
          <w:spacing w:val="-7"/>
          <w:w w:val="105"/>
          <w:sz w:val="11"/>
        </w:rPr>
        <w:t> </w:t>
      </w:r>
      <w:r>
        <w:rPr>
          <w:w w:val="105"/>
          <w:sz w:val="11"/>
        </w:rPr>
        <w:t>provided</w:t>
      </w:r>
      <w:r>
        <w:rPr>
          <w:spacing w:val="-6"/>
          <w:w w:val="105"/>
          <w:sz w:val="11"/>
        </w:rPr>
        <w:t> </w:t>
      </w:r>
      <w:r>
        <w:rPr>
          <w:w w:val="105"/>
          <w:sz w:val="11"/>
        </w:rPr>
        <w:t>to</w:t>
      </w:r>
      <w:r>
        <w:rPr>
          <w:spacing w:val="-7"/>
          <w:w w:val="105"/>
          <w:sz w:val="11"/>
        </w:rPr>
        <w:t> </w:t>
      </w:r>
      <w:r>
        <w:rPr>
          <w:w w:val="105"/>
          <w:sz w:val="11"/>
        </w:rPr>
        <w:t>the</w:t>
      </w:r>
      <w:r>
        <w:rPr>
          <w:spacing w:val="-6"/>
          <w:w w:val="105"/>
          <w:sz w:val="11"/>
        </w:rPr>
        <w:t> </w:t>
      </w:r>
      <w:r>
        <w:rPr>
          <w:w w:val="105"/>
          <w:sz w:val="11"/>
        </w:rPr>
        <w:t>University</w:t>
      </w:r>
      <w:r>
        <w:rPr>
          <w:spacing w:val="-8"/>
          <w:w w:val="105"/>
          <w:sz w:val="11"/>
        </w:rPr>
        <w:t> </w:t>
      </w:r>
      <w:r>
        <w:rPr>
          <w:w w:val="105"/>
          <w:sz w:val="11"/>
        </w:rPr>
        <w:t>for</w:t>
      </w:r>
      <w:r>
        <w:rPr>
          <w:spacing w:val="-5"/>
          <w:w w:val="105"/>
          <w:sz w:val="11"/>
        </w:rPr>
        <w:t> </w:t>
      </w:r>
      <w:r>
        <w:rPr>
          <w:w w:val="105"/>
          <w:sz w:val="11"/>
        </w:rPr>
        <w:t>the</w:t>
      </w:r>
      <w:r>
        <w:rPr>
          <w:spacing w:val="-7"/>
          <w:w w:val="105"/>
          <w:sz w:val="11"/>
        </w:rPr>
        <w:t> </w:t>
      </w:r>
      <w:r>
        <w:rPr>
          <w:w w:val="105"/>
          <w:sz w:val="11"/>
        </w:rPr>
        <w:t>purpose</w:t>
      </w:r>
      <w:r>
        <w:rPr>
          <w:spacing w:val="-6"/>
          <w:w w:val="105"/>
          <w:sz w:val="11"/>
        </w:rPr>
        <w:t> </w:t>
      </w:r>
      <w:r>
        <w:rPr>
          <w:w w:val="105"/>
          <w:sz w:val="11"/>
        </w:rPr>
        <w:t>of</w:t>
      </w:r>
      <w:r>
        <w:rPr>
          <w:spacing w:val="-7"/>
          <w:w w:val="105"/>
          <w:sz w:val="11"/>
        </w:rPr>
        <w:t> </w:t>
      </w:r>
      <w:r>
        <w:rPr>
          <w:w w:val="105"/>
          <w:sz w:val="11"/>
        </w:rPr>
        <w:t>paying</w:t>
      </w:r>
      <w:r>
        <w:rPr>
          <w:spacing w:val="-6"/>
          <w:w w:val="105"/>
          <w:sz w:val="11"/>
        </w:rPr>
        <w:t> </w:t>
      </w:r>
      <w:r>
        <w:rPr>
          <w:w w:val="105"/>
          <w:sz w:val="11"/>
        </w:rPr>
        <w:t>cash</w:t>
      </w:r>
      <w:r>
        <w:rPr>
          <w:spacing w:val="-7"/>
          <w:w w:val="105"/>
          <w:sz w:val="11"/>
        </w:rPr>
        <w:t> </w:t>
      </w:r>
      <w:r>
        <w:rPr>
          <w:w w:val="105"/>
          <w:sz w:val="11"/>
        </w:rPr>
        <w:t>or</w:t>
      </w:r>
      <w:r>
        <w:rPr>
          <w:spacing w:val="40"/>
          <w:w w:val="105"/>
          <w:sz w:val="11"/>
        </w:rPr>
        <w:t> </w:t>
      </w:r>
      <w:r>
        <w:rPr>
          <w:w w:val="105"/>
          <w:sz w:val="11"/>
        </w:rPr>
        <w:t>stipends</w:t>
      </w:r>
      <w:r>
        <w:rPr>
          <w:spacing w:val="-4"/>
          <w:w w:val="105"/>
          <w:sz w:val="11"/>
        </w:rPr>
        <w:t> </w:t>
      </w:r>
      <w:r>
        <w:rPr>
          <w:w w:val="105"/>
          <w:sz w:val="11"/>
        </w:rPr>
        <w:t>to</w:t>
      </w:r>
      <w:r>
        <w:rPr>
          <w:spacing w:val="-5"/>
          <w:w w:val="105"/>
          <w:sz w:val="11"/>
        </w:rPr>
        <w:t> </w:t>
      </w:r>
      <w:r>
        <w:rPr>
          <w:w w:val="105"/>
          <w:sz w:val="11"/>
        </w:rPr>
        <w:t>students</w:t>
      </w:r>
      <w:r>
        <w:rPr>
          <w:spacing w:val="-4"/>
          <w:w w:val="105"/>
          <w:sz w:val="11"/>
        </w:rPr>
        <w:t> </w:t>
      </w:r>
      <w:r>
        <w:rPr>
          <w:w w:val="105"/>
          <w:sz w:val="11"/>
        </w:rPr>
        <w:t>and</w:t>
      </w:r>
      <w:r>
        <w:rPr>
          <w:spacing w:val="-5"/>
          <w:w w:val="105"/>
          <w:sz w:val="11"/>
        </w:rPr>
        <w:t> </w:t>
      </w:r>
      <w:r>
        <w:rPr>
          <w:w w:val="105"/>
          <w:sz w:val="11"/>
        </w:rPr>
        <w:t>other</w:t>
      </w:r>
      <w:r>
        <w:rPr>
          <w:spacing w:val="-5"/>
          <w:w w:val="105"/>
          <w:sz w:val="11"/>
        </w:rPr>
        <w:t> </w:t>
      </w:r>
      <w:r>
        <w:rPr>
          <w:w w:val="105"/>
          <w:sz w:val="11"/>
        </w:rPr>
        <w:t>parties.</w:t>
      </w:r>
      <w:r>
        <w:rPr>
          <w:spacing w:val="-5"/>
          <w:w w:val="105"/>
          <w:sz w:val="11"/>
        </w:rPr>
        <w:t> </w:t>
      </w:r>
      <w:r>
        <w:rPr>
          <w:w w:val="105"/>
          <w:sz w:val="11"/>
        </w:rPr>
        <w:t>Income</w:t>
      </w:r>
      <w:r>
        <w:rPr>
          <w:spacing w:val="-5"/>
          <w:w w:val="105"/>
          <w:sz w:val="11"/>
        </w:rPr>
        <w:t> </w:t>
      </w:r>
      <w:r>
        <w:rPr>
          <w:w w:val="105"/>
          <w:sz w:val="11"/>
        </w:rPr>
        <w:t>and</w:t>
      </w:r>
      <w:r>
        <w:rPr>
          <w:spacing w:val="-5"/>
          <w:w w:val="105"/>
          <w:sz w:val="11"/>
        </w:rPr>
        <w:t> </w:t>
      </w:r>
      <w:r>
        <w:rPr>
          <w:w w:val="105"/>
          <w:sz w:val="11"/>
        </w:rPr>
        <w:t>associated</w:t>
      </w:r>
      <w:r>
        <w:rPr>
          <w:spacing w:val="-5"/>
          <w:w w:val="105"/>
          <w:sz w:val="11"/>
        </w:rPr>
        <w:t> </w:t>
      </w:r>
      <w:r>
        <w:rPr>
          <w:w w:val="105"/>
          <w:sz w:val="11"/>
        </w:rPr>
        <w:t>expenditure</w:t>
      </w:r>
      <w:r>
        <w:rPr>
          <w:spacing w:val="-5"/>
          <w:w w:val="105"/>
          <w:sz w:val="11"/>
        </w:rPr>
        <w:t> </w:t>
      </w:r>
      <w:r>
        <w:rPr>
          <w:w w:val="105"/>
          <w:sz w:val="11"/>
        </w:rPr>
        <w:t>is</w:t>
      </w:r>
      <w:r>
        <w:rPr>
          <w:spacing w:val="-4"/>
          <w:w w:val="105"/>
          <w:sz w:val="11"/>
        </w:rPr>
        <w:t> </w:t>
      </w:r>
      <w:r>
        <w:rPr>
          <w:w w:val="105"/>
          <w:sz w:val="11"/>
        </w:rPr>
        <w:t>no</w:t>
      </w:r>
      <w:r>
        <w:rPr>
          <w:spacing w:val="-5"/>
          <w:w w:val="105"/>
          <w:sz w:val="11"/>
        </w:rPr>
        <w:t> </w:t>
      </w:r>
      <w:r>
        <w:rPr>
          <w:w w:val="105"/>
          <w:sz w:val="11"/>
        </w:rPr>
        <w:t>longer</w:t>
      </w:r>
      <w:r>
        <w:rPr>
          <w:spacing w:val="-5"/>
          <w:w w:val="105"/>
          <w:sz w:val="11"/>
        </w:rPr>
        <w:t> </w:t>
      </w:r>
      <w:r>
        <w:rPr>
          <w:w w:val="105"/>
          <w:sz w:val="11"/>
        </w:rPr>
        <w:t>recognised</w:t>
      </w:r>
      <w:r>
        <w:rPr>
          <w:spacing w:val="-5"/>
          <w:w w:val="105"/>
          <w:sz w:val="11"/>
        </w:rPr>
        <w:t> </w:t>
      </w:r>
      <w:r>
        <w:rPr>
          <w:w w:val="105"/>
          <w:sz w:val="11"/>
        </w:rPr>
        <w:t>for</w:t>
      </w:r>
      <w:r>
        <w:rPr>
          <w:spacing w:val="-5"/>
          <w:w w:val="105"/>
          <w:sz w:val="11"/>
        </w:rPr>
        <w:t> </w:t>
      </w:r>
      <w:r>
        <w:rPr>
          <w:w w:val="105"/>
          <w:sz w:val="11"/>
        </w:rPr>
        <w:t>these</w:t>
      </w:r>
      <w:r>
        <w:rPr>
          <w:spacing w:val="-5"/>
          <w:w w:val="105"/>
          <w:sz w:val="11"/>
        </w:rPr>
        <w:t> </w:t>
      </w:r>
      <w:r>
        <w:rPr>
          <w:w w:val="105"/>
          <w:sz w:val="11"/>
        </w:rPr>
        <w:t>activities,</w:t>
      </w:r>
      <w:r>
        <w:rPr>
          <w:spacing w:val="-5"/>
          <w:w w:val="105"/>
          <w:sz w:val="11"/>
        </w:rPr>
        <w:t> </w:t>
      </w:r>
      <w:r>
        <w:rPr>
          <w:w w:val="105"/>
          <w:sz w:val="11"/>
        </w:rPr>
        <w:t>as</w:t>
      </w:r>
      <w:r>
        <w:rPr>
          <w:spacing w:val="-4"/>
          <w:w w:val="105"/>
          <w:sz w:val="11"/>
        </w:rPr>
        <w:t> </w:t>
      </w:r>
      <w:r>
        <w:rPr>
          <w:w w:val="105"/>
          <w:sz w:val="11"/>
        </w:rPr>
        <w:t>previously</w:t>
      </w:r>
      <w:r>
        <w:rPr>
          <w:spacing w:val="-6"/>
          <w:w w:val="105"/>
          <w:sz w:val="11"/>
        </w:rPr>
        <w:t> </w:t>
      </w:r>
      <w:r>
        <w:rPr>
          <w:w w:val="105"/>
          <w:sz w:val="11"/>
        </w:rPr>
        <w:t>reported</w:t>
      </w:r>
      <w:r>
        <w:rPr>
          <w:spacing w:val="-5"/>
          <w:w w:val="105"/>
          <w:sz w:val="11"/>
        </w:rPr>
        <w:t> </w:t>
      </w:r>
      <w:r>
        <w:rPr>
          <w:w w:val="105"/>
          <w:sz w:val="11"/>
        </w:rPr>
        <w:t>under</w:t>
      </w:r>
      <w:r>
        <w:rPr>
          <w:spacing w:val="-5"/>
          <w:w w:val="105"/>
          <w:sz w:val="11"/>
        </w:rPr>
        <w:t> </w:t>
      </w:r>
      <w:r>
        <w:rPr>
          <w:w w:val="105"/>
          <w:sz w:val="11"/>
        </w:rPr>
        <w:t>AASB1004.</w:t>
      </w:r>
    </w:p>
    <w:p>
      <w:pPr>
        <w:spacing w:line="240" w:lineRule="auto" w:before="116"/>
        <w:rPr>
          <w:sz w:val="11"/>
        </w:rPr>
      </w:pPr>
    </w:p>
    <w:p>
      <w:pPr>
        <w:spacing w:before="0"/>
        <w:ind w:left="556" w:right="0" w:firstLine="0"/>
        <w:jc w:val="both"/>
        <w:rPr>
          <w:b/>
          <w:sz w:val="11"/>
        </w:rPr>
      </w:pPr>
      <w:r>
        <w:rPr>
          <w:b/>
          <w:sz w:val="11"/>
        </w:rPr>
        <w:t>AASB</w:t>
      </w:r>
      <w:r>
        <w:rPr>
          <w:b/>
          <w:spacing w:val="4"/>
          <w:sz w:val="11"/>
        </w:rPr>
        <w:t> </w:t>
      </w:r>
      <w:r>
        <w:rPr>
          <w:b/>
          <w:sz w:val="11"/>
        </w:rPr>
        <w:t>1059</w:t>
      </w:r>
      <w:r>
        <w:rPr>
          <w:b/>
          <w:spacing w:val="4"/>
          <w:sz w:val="11"/>
        </w:rPr>
        <w:t> </w:t>
      </w:r>
      <w:r>
        <w:rPr>
          <w:b/>
          <w:sz w:val="11"/>
        </w:rPr>
        <w:t>-</w:t>
      </w:r>
      <w:r>
        <w:rPr>
          <w:b/>
          <w:spacing w:val="4"/>
          <w:sz w:val="11"/>
        </w:rPr>
        <w:t> </w:t>
      </w:r>
      <w:r>
        <w:rPr>
          <w:b/>
          <w:sz w:val="11"/>
        </w:rPr>
        <w:t>Service</w:t>
      </w:r>
      <w:r>
        <w:rPr>
          <w:b/>
          <w:spacing w:val="4"/>
          <w:sz w:val="11"/>
        </w:rPr>
        <w:t> </w:t>
      </w:r>
      <w:r>
        <w:rPr>
          <w:b/>
          <w:sz w:val="11"/>
        </w:rPr>
        <w:t>Concession</w:t>
      </w:r>
      <w:r>
        <w:rPr>
          <w:b/>
          <w:spacing w:val="1"/>
          <w:sz w:val="11"/>
        </w:rPr>
        <w:t> </w:t>
      </w:r>
      <w:r>
        <w:rPr>
          <w:b/>
          <w:sz w:val="11"/>
        </w:rPr>
        <w:t>Arrangements:</w:t>
      </w:r>
      <w:r>
        <w:rPr>
          <w:b/>
          <w:spacing w:val="4"/>
          <w:sz w:val="11"/>
        </w:rPr>
        <w:t> </w:t>
      </w:r>
      <w:r>
        <w:rPr>
          <w:b/>
          <w:spacing w:val="-2"/>
          <w:sz w:val="11"/>
        </w:rPr>
        <w:t>Grantor</w:t>
      </w:r>
    </w:p>
    <w:p>
      <w:pPr>
        <w:spacing w:line="276" w:lineRule="auto" w:before="22"/>
        <w:ind w:left="556" w:right="1763" w:firstLine="0"/>
        <w:jc w:val="both"/>
        <w:rPr>
          <w:sz w:val="11"/>
        </w:rPr>
      </w:pPr>
      <w:r>
        <w:rPr>
          <w:w w:val="105"/>
          <w:sz w:val="11"/>
        </w:rPr>
        <w:t>Australian Accounting Standard AASB 1059 addresses the accounting for a service concession arrangement by a grantor that is a public sector entity. This arrangement</w:t>
      </w:r>
      <w:r>
        <w:rPr>
          <w:spacing w:val="40"/>
          <w:w w:val="105"/>
          <w:sz w:val="11"/>
        </w:rPr>
        <w:t> </w:t>
      </w:r>
      <w:r>
        <w:rPr>
          <w:w w:val="105"/>
          <w:sz w:val="11"/>
        </w:rPr>
        <w:t>typically</w:t>
      </w:r>
      <w:r>
        <w:rPr>
          <w:spacing w:val="-6"/>
          <w:w w:val="105"/>
          <w:sz w:val="11"/>
        </w:rPr>
        <w:t> </w:t>
      </w:r>
      <w:r>
        <w:rPr>
          <w:w w:val="105"/>
          <w:sz w:val="11"/>
        </w:rPr>
        <w:t>involves</w:t>
      </w:r>
      <w:r>
        <w:rPr>
          <w:spacing w:val="-6"/>
          <w:w w:val="105"/>
          <w:sz w:val="11"/>
        </w:rPr>
        <w:t> </w:t>
      </w:r>
      <w:r>
        <w:rPr>
          <w:w w:val="105"/>
          <w:sz w:val="11"/>
        </w:rPr>
        <w:t>an</w:t>
      </w:r>
      <w:r>
        <w:rPr>
          <w:spacing w:val="-5"/>
          <w:w w:val="105"/>
          <w:sz w:val="11"/>
        </w:rPr>
        <w:t> </w:t>
      </w:r>
      <w:r>
        <w:rPr>
          <w:w w:val="105"/>
          <w:sz w:val="11"/>
        </w:rPr>
        <w:t>operator</w:t>
      </w:r>
      <w:r>
        <w:rPr>
          <w:spacing w:val="-7"/>
          <w:w w:val="105"/>
          <w:sz w:val="11"/>
        </w:rPr>
        <w:t> </w:t>
      </w:r>
      <w:r>
        <w:rPr>
          <w:w w:val="105"/>
          <w:sz w:val="11"/>
        </w:rPr>
        <w:t>constructing</w:t>
      </w:r>
      <w:r>
        <w:rPr>
          <w:spacing w:val="-5"/>
          <w:w w:val="105"/>
          <w:sz w:val="11"/>
        </w:rPr>
        <w:t> </w:t>
      </w:r>
      <w:r>
        <w:rPr>
          <w:w w:val="105"/>
          <w:sz w:val="11"/>
        </w:rPr>
        <w:t>assets</w:t>
      </w:r>
      <w:r>
        <w:rPr>
          <w:spacing w:val="-6"/>
          <w:w w:val="105"/>
          <w:sz w:val="11"/>
        </w:rPr>
        <w:t> </w:t>
      </w:r>
      <w:r>
        <w:rPr>
          <w:w w:val="105"/>
          <w:sz w:val="11"/>
        </w:rPr>
        <w:t>used</w:t>
      </w:r>
      <w:r>
        <w:rPr>
          <w:spacing w:val="-5"/>
          <w:w w:val="105"/>
          <w:sz w:val="11"/>
        </w:rPr>
        <w:t> </w:t>
      </w:r>
      <w:r>
        <w:rPr>
          <w:w w:val="105"/>
          <w:sz w:val="11"/>
        </w:rPr>
        <w:t>to</w:t>
      </w:r>
      <w:r>
        <w:rPr>
          <w:spacing w:val="-7"/>
          <w:w w:val="105"/>
          <w:sz w:val="11"/>
        </w:rPr>
        <w:t> </w:t>
      </w:r>
      <w:r>
        <w:rPr>
          <w:w w:val="105"/>
          <w:sz w:val="11"/>
        </w:rPr>
        <w:t>provide</w:t>
      </w:r>
      <w:r>
        <w:rPr>
          <w:spacing w:val="-5"/>
          <w:w w:val="105"/>
          <w:sz w:val="11"/>
        </w:rPr>
        <w:t> </w:t>
      </w:r>
      <w:r>
        <w:rPr>
          <w:w w:val="105"/>
          <w:sz w:val="11"/>
        </w:rPr>
        <w:t>the</w:t>
      </w:r>
      <w:r>
        <w:rPr>
          <w:spacing w:val="-7"/>
          <w:w w:val="105"/>
          <w:sz w:val="11"/>
        </w:rPr>
        <w:t> </w:t>
      </w:r>
      <w:r>
        <w:rPr>
          <w:w w:val="105"/>
          <w:sz w:val="11"/>
        </w:rPr>
        <w:t>public</w:t>
      </w:r>
      <w:r>
        <w:rPr>
          <w:spacing w:val="-4"/>
          <w:w w:val="105"/>
          <w:sz w:val="11"/>
        </w:rPr>
        <w:t> </w:t>
      </w:r>
      <w:r>
        <w:rPr>
          <w:w w:val="105"/>
          <w:sz w:val="11"/>
        </w:rPr>
        <w:t>service</w:t>
      </w:r>
      <w:r>
        <w:rPr>
          <w:spacing w:val="-7"/>
          <w:w w:val="105"/>
          <w:sz w:val="11"/>
        </w:rPr>
        <w:t> </w:t>
      </w:r>
      <w:r>
        <w:rPr>
          <w:w w:val="105"/>
          <w:sz w:val="11"/>
        </w:rPr>
        <w:t>or</w:t>
      </w:r>
      <w:r>
        <w:rPr>
          <w:spacing w:val="-5"/>
          <w:w w:val="105"/>
          <w:sz w:val="11"/>
        </w:rPr>
        <w:t> </w:t>
      </w:r>
      <w:r>
        <w:rPr>
          <w:w w:val="105"/>
          <w:sz w:val="11"/>
        </w:rPr>
        <w:t>upgrading</w:t>
      </w:r>
      <w:r>
        <w:rPr>
          <w:spacing w:val="-7"/>
          <w:w w:val="105"/>
          <w:sz w:val="11"/>
        </w:rPr>
        <w:t> </w:t>
      </w:r>
      <w:r>
        <w:rPr>
          <w:w w:val="105"/>
          <w:sz w:val="11"/>
        </w:rPr>
        <w:t>the</w:t>
      </w:r>
      <w:r>
        <w:rPr>
          <w:spacing w:val="-5"/>
          <w:w w:val="105"/>
          <w:sz w:val="11"/>
        </w:rPr>
        <w:t> </w:t>
      </w:r>
      <w:r>
        <w:rPr>
          <w:w w:val="105"/>
          <w:sz w:val="11"/>
        </w:rPr>
        <w:t>assets</w:t>
      </w:r>
      <w:r>
        <w:rPr>
          <w:spacing w:val="-6"/>
          <w:w w:val="105"/>
          <w:sz w:val="11"/>
        </w:rPr>
        <w:t> </w:t>
      </w:r>
      <w:r>
        <w:rPr>
          <w:w w:val="105"/>
          <w:sz w:val="11"/>
        </w:rPr>
        <w:t>and</w:t>
      </w:r>
      <w:r>
        <w:rPr>
          <w:spacing w:val="-5"/>
          <w:w w:val="105"/>
          <w:sz w:val="11"/>
        </w:rPr>
        <w:t> </w:t>
      </w:r>
      <w:r>
        <w:rPr>
          <w:w w:val="105"/>
          <w:sz w:val="11"/>
        </w:rPr>
        <w:t>operate</w:t>
      </w:r>
      <w:r>
        <w:rPr>
          <w:spacing w:val="-7"/>
          <w:w w:val="105"/>
          <w:sz w:val="11"/>
        </w:rPr>
        <w:t> </w:t>
      </w:r>
      <w:r>
        <w:rPr>
          <w:w w:val="105"/>
          <w:sz w:val="11"/>
        </w:rPr>
        <w:t>and</w:t>
      </w:r>
      <w:r>
        <w:rPr>
          <w:spacing w:val="-5"/>
          <w:w w:val="105"/>
          <w:sz w:val="11"/>
        </w:rPr>
        <w:t> </w:t>
      </w:r>
      <w:r>
        <w:rPr>
          <w:w w:val="105"/>
          <w:sz w:val="11"/>
        </w:rPr>
        <w:t>maintaining</w:t>
      </w:r>
      <w:r>
        <w:rPr>
          <w:spacing w:val="-7"/>
          <w:w w:val="105"/>
          <w:sz w:val="11"/>
        </w:rPr>
        <w:t> </w:t>
      </w:r>
      <w:r>
        <w:rPr>
          <w:w w:val="105"/>
          <w:sz w:val="11"/>
        </w:rPr>
        <w:t>the</w:t>
      </w:r>
      <w:r>
        <w:rPr>
          <w:spacing w:val="-5"/>
          <w:w w:val="105"/>
          <w:sz w:val="11"/>
        </w:rPr>
        <w:t> </w:t>
      </w:r>
      <w:r>
        <w:rPr>
          <w:w w:val="105"/>
          <w:sz w:val="11"/>
        </w:rPr>
        <w:t>assets</w:t>
      </w:r>
      <w:r>
        <w:rPr>
          <w:spacing w:val="-6"/>
          <w:w w:val="105"/>
          <w:sz w:val="11"/>
        </w:rPr>
        <w:t> </w:t>
      </w:r>
      <w:r>
        <w:rPr>
          <w:w w:val="105"/>
          <w:sz w:val="11"/>
        </w:rPr>
        <w:t>for</w:t>
      </w:r>
      <w:r>
        <w:rPr>
          <w:spacing w:val="-5"/>
          <w:w w:val="105"/>
          <w:sz w:val="11"/>
        </w:rPr>
        <w:t> </w:t>
      </w:r>
      <w:r>
        <w:rPr>
          <w:w w:val="105"/>
          <w:sz w:val="11"/>
        </w:rPr>
        <w:t>a</w:t>
      </w:r>
      <w:r>
        <w:rPr>
          <w:spacing w:val="-7"/>
          <w:w w:val="105"/>
          <w:sz w:val="11"/>
        </w:rPr>
        <w:t> </w:t>
      </w:r>
      <w:r>
        <w:rPr>
          <w:w w:val="105"/>
          <w:sz w:val="11"/>
        </w:rPr>
        <w:t>specified</w:t>
      </w:r>
      <w:r>
        <w:rPr>
          <w:spacing w:val="-5"/>
          <w:w w:val="105"/>
          <w:sz w:val="11"/>
        </w:rPr>
        <w:t> </w:t>
      </w:r>
      <w:r>
        <w:rPr>
          <w:w w:val="105"/>
          <w:sz w:val="11"/>
        </w:rPr>
        <w:t>period</w:t>
      </w:r>
      <w:r>
        <w:rPr>
          <w:spacing w:val="-7"/>
          <w:w w:val="105"/>
          <w:sz w:val="11"/>
        </w:rPr>
        <w:t> </w:t>
      </w:r>
      <w:r>
        <w:rPr>
          <w:w w:val="105"/>
          <w:sz w:val="11"/>
        </w:rPr>
        <w:t>of</w:t>
      </w:r>
      <w:r>
        <w:rPr>
          <w:spacing w:val="40"/>
          <w:w w:val="105"/>
          <w:sz w:val="11"/>
        </w:rPr>
        <w:t> </w:t>
      </w:r>
      <w:r>
        <w:rPr>
          <w:w w:val="105"/>
          <w:sz w:val="11"/>
        </w:rPr>
        <w:t>time e.g. student accommodation.</w:t>
      </w:r>
    </w:p>
    <w:p>
      <w:pPr>
        <w:spacing w:line="240" w:lineRule="auto" w:before="20"/>
        <w:rPr>
          <w:sz w:val="11"/>
        </w:rPr>
      </w:pPr>
    </w:p>
    <w:p>
      <w:pPr>
        <w:spacing w:line="552" w:lineRule="auto" w:before="0"/>
        <w:ind w:left="557" w:right="5922" w:firstLine="0"/>
        <w:jc w:val="left"/>
        <w:rPr>
          <w:sz w:val="11"/>
        </w:rPr>
      </w:pPr>
      <w:r>
        <w:rPr>
          <w:w w:val="105"/>
          <w:sz w:val="11"/>
        </w:rPr>
        <w:t>The</w:t>
      </w:r>
      <w:r>
        <w:rPr>
          <w:spacing w:val="-9"/>
          <w:w w:val="105"/>
          <w:sz w:val="11"/>
        </w:rPr>
        <w:t> </w:t>
      </w:r>
      <w:r>
        <w:rPr>
          <w:w w:val="105"/>
          <w:sz w:val="11"/>
        </w:rPr>
        <w:t>standard</w:t>
      </w:r>
      <w:r>
        <w:rPr>
          <w:spacing w:val="-8"/>
          <w:w w:val="105"/>
          <w:sz w:val="11"/>
        </w:rPr>
        <w:t> </w:t>
      </w:r>
      <w:r>
        <w:rPr>
          <w:w w:val="105"/>
          <w:sz w:val="11"/>
        </w:rPr>
        <w:t>applies</w:t>
      </w:r>
      <w:r>
        <w:rPr>
          <w:spacing w:val="-8"/>
          <w:w w:val="105"/>
          <w:sz w:val="11"/>
        </w:rPr>
        <w:t> </w:t>
      </w:r>
      <w:r>
        <w:rPr>
          <w:w w:val="105"/>
          <w:sz w:val="11"/>
        </w:rPr>
        <w:t>to</w:t>
      </w:r>
      <w:r>
        <w:rPr>
          <w:spacing w:val="-8"/>
          <w:w w:val="105"/>
          <w:sz w:val="11"/>
        </w:rPr>
        <w:t> </w:t>
      </w:r>
      <w:r>
        <w:rPr>
          <w:w w:val="105"/>
          <w:sz w:val="11"/>
        </w:rPr>
        <w:t>annual</w:t>
      </w:r>
      <w:r>
        <w:rPr>
          <w:spacing w:val="-8"/>
          <w:w w:val="105"/>
          <w:sz w:val="11"/>
        </w:rPr>
        <w:t> </w:t>
      </w:r>
      <w:r>
        <w:rPr>
          <w:w w:val="105"/>
          <w:sz w:val="11"/>
        </w:rPr>
        <w:t>reporting</w:t>
      </w:r>
      <w:r>
        <w:rPr>
          <w:spacing w:val="-8"/>
          <w:w w:val="105"/>
          <w:sz w:val="11"/>
        </w:rPr>
        <w:t> </w:t>
      </w:r>
      <w:r>
        <w:rPr>
          <w:w w:val="105"/>
          <w:sz w:val="11"/>
        </w:rPr>
        <w:t>periods</w:t>
      </w:r>
      <w:r>
        <w:rPr>
          <w:spacing w:val="-8"/>
          <w:w w:val="105"/>
          <w:sz w:val="11"/>
        </w:rPr>
        <w:t> </w:t>
      </w:r>
      <w:r>
        <w:rPr>
          <w:w w:val="105"/>
          <w:sz w:val="11"/>
        </w:rPr>
        <w:t>beginning</w:t>
      </w:r>
      <w:r>
        <w:rPr>
          <w:spacing w:val="-8"/>
          <w:w w:val="105"/>
          <w:sz w:val="11"/>
        </w:rPr>
        <w:t> </w:t>
      </w:r>
      <w:r>
        <w:rPr>
          <w:w w:val="105"/>
          <w:sz w:val="11"/>
        </w:rPr>
        <w:t>on</w:t>
      </w:r>
      <w:r>
        <w:rPr>
          <w:spacing w:val="-8"/>
          <w:w w:val="105"/>
          <w:sz w:val="11"/>
        </w:rPr>
        <w:t> </w:t>
      </w:r>
      <w:r>
        <w:rPr>
          <w:w w:val="105"/>
          <w:sz w:val="11"/>
        </w:rPr>
        <w:t>or</w:t>
      </w:r>
      <w:r>
        <w:rPr>
          <w:spacing w:val="-8"/>
          <w:w w:val="105"/>
          <w:sz w:val="11"/>
        </w:rPr>
        <w:t> </w:t>
      </w:r>
      <w:r>
        <w:rPr>
          <w:w w:val="105"/>
          <w:sz w:val="11"/>
        </w:rPr>
        <w:t>after</w:t>
      </w:r>
      <w:r>
        <w:rPr>
          <w:spacing w:val="-8"/>
          <w:w w:val="105"/>
          <w:sz w:val="11"/>
        </w:rPr>
        <w:t> </w:t>
      </w:r>
      <w:r>
        <w:rPr>
          <w:w w:val="105"/>
          <w:sz w:val="11"/>
        </w:rPr>
        <w:t>1</w:t>
      </w:r>
      <w:r>
        <w:rPr>
          <w:spacing w:val="-8"/>
          <w:w w:val="105"/>
          <w:sz w:val="11"/>
        </w:rPr>
        <w:t> </w:t>
      </w:r>
      <w:r>
        <w:rPr>
          <w:w w:val="105"/>
          <w:sz w:val="11"/>
        </w:rPr>
        <w:t>January</w:t>
      </w:r>
      <w:r>
        <w:rPr>
          <w:spacing w:val="-8"/>
          <w:w w:val="105"/>
          <w:sz w:val="11"/>
        </w:rPr>
        <w:t> </w:t>
      </w:r>
      <w:r>
        <w:rPr>
          <w:w w:val="105"/>
          <w:sz w:val="11"/>
        </w:rPr>
        <w:t>2020.</w:t>
      </w:r>
      <w:r>
        <w:rPr>
          <w:spacing w:val="40"/>
          <w:w w:val="105"/>
          <w:sz w:val="11"/>
        </w:rPr>
        <w:t> </w:t>
      </w:r>
      <w:r>
        <w:rPr>
          <w:w w:val="105"/>
          <w:sz w:val="11"/>
        </w:rPr>
        <w:t>The Group do not have any service concession asset or arrangement in 2020.</w:t>
      </w:r>
    </w:p>
    <w:p>
      <w:pPr>
        <w:spacing w:after="0" w:line="552" w:lineRule="auto"/>
        <w:jc w:val="left"/>
        <w:rPr>
          <w:sz w:val="11"/>
        </w:rPr>
        <w:sectPr>
          <w:type w:val="continuous"/>
          <w:pgSz w:w="11910" w:h="16840"/>
          <w:pgMar w:header="468" w:footer="0" w:top="980" w:bottom="280" w:left="920" w:right="0"/>
        </w:sectPr>
      </w:pPr>
    </w:p>
    <w:p>
      <w:pPr>
        <w:spacing w:line="240" w:lineRule="auto" w:before="0"/>
        <w:rPr>
          <w:sz w:val="22"/>
        </w:rPr>
      </w:pPr>
    </w:p>
    <w:p>
      <w:pPr>
        <w:spacing w:line="240" w:lineRule="auto" w:before="0"/>
        <w:rPr>
          <w:sz w:val="22"/>
        </w:rPr>
      </w:pPr>
    </w:p>
    <w:p>
      <w:pPr>
        <w:spacing w:line="240" w:lineRule="auto" w:before="193"/>
        <w:rPr>
          <w:sz w:val="22"/>
        </w:rPr>
      </w:pPr>
    </w:p>
    <w:p>
      <w:pPr>
        <w:spacing w:before="0"/>
        <w:ind w:left="260" w:right="0" w:firstLine="0"/>
        <w:jc w:val="left"/>
        <w:rPr>
          <w:sz w:val="22"/>
        </w:rPr>
      </w:pPr>
      <w:r>
        <w:rPr>
          <w:color w:val="0070C0"/>
          <w:sz w:val="22"/>
        </w:rPr>
        <w:t>NOTES</w:t>
      </w:r>
      <w:r>
        <w:rPr>
          <w:color w:val="0070C0"/>
          <w:spacing w:val="-9"/>
          <w:sz w:val="22"/>
        </w:rPr>
        <w:t> </w:t>
      </w:r>
      <w:r>
        <w:rPr>
          <w:color w:val="0070C0"/>
          <w:sz w:val="22"/>
        </w:rPr>
        <w:t>TO</w:t>
      </w:r>
      <w:r>
        <w:rPr>
          <w:color w:val="0070C0"/>
          <w:spacing w:val="-9"/>
          <w:sz w:val="22"/>
        </w:rPr>
        <w:t> </w:t>
      </w:r>
      <w:r>
        <w:rPr>
          <w:color w:val="0070C0"/>
          <w:sz w:val="22"/>
        </w:rPr>
        <w:t>THE</w:t>
      </w:r>
      <w:r>
        <w:rPr>
          <w:color w:val="0070C0"/>
          <w:spacing w:val="-9"/>
          <w:sz w:val="22"/>
        </w:rPr>
        <w:t> </w:t>
      </w:r>
      <w:r>
        <w:rPr>
          <w:color w:val="0070C0"/>
          <w:sz w:val="22"/>
        </w:rPr>
        <w:t>FINANCIAL</w:t>
      </w:r>
      <w:r>
        <w:rPr>
          <w:color w:val="0070C0"/>
          <w:spacing w:val="-9"/>
          <w:sz w:val="22"/>
        </w:rPr>
        <w:t> </w:t>
      </w:r>
      <w:r>
        <w:rPr>
          <w:color w:val="0070C0"/>
          <w:spacing w:val="-2"/>
          <w:sz w:val="22"/>
        </w:rPr>
        <w:t>STATEMENTS</w:t>
      </w:r>
    </w:p>
    <w:p>
      <w:pPr>
        <w:spacing w:before="31"/>
        <w:ind w:left="247" w:right="0" w:firstLine="0"/>
        <w:jc w:val="left"/>
        <w:rPr>
          <w:sz w:val="12"/>
        </w:rPr>
      </w:pPr>
      <w:r>
        <w:rPr>
          <w:sz w:val="12"/>
        </w:rPr>
        <w:t>for</w:t>
      </w:r>
      <w:r>
        <w:rPr>
          <w:spacing w:val="4"/>
          <w:sz w:val="12"/>
        </w:rPr>
        <w:t> </w:t>
      </w:r>
      <w:r>
        <w:rPr>
          <w:sz w:val="12"/>
        </w:rPr>
        <w:t>the</w:t>
      </w:r>
      <w:r>
        <w:rPr>
          <w:spacing w:val="3"/>
          <w:sz w:val="12"/>
        </w:rPr>
        <w:t> </w:t>
      </w:r>
      <w:r>
        <w:rPr>
          <w:sz w:val="12"/>
        </w:rPr>
        <w:t>year</w:t>
      </w:r>
      <w:r>
        <w:rPr>
          <w:spacing w:val="5"/>
          <w:sz w:val="12"/>
        </w:rPr>
        <w:t> </w:t>
      </w:r>
      <w:r>
        <w:rPr>
          <w:sz w:val="12"/>
        </w:rPr>
        <w:t>ended</w:t>
      </w:r>
      <w:r>
        <w:rPr>
          <w:spacing w:val="3"/>
          <w:sz w:val="12"/>
        </w:rPr>
        <w:t> </w:t>
      </w:r>
      <w:r>
        <w:rPr>
          <w:sz w:val="12"/>
        </w:rPr>
        <w:t>31</w:t>
      </w:r>
      <w:r>
        <w:rPr>
          <w:spacing w:val="3"/>
          <w:sz w:val="12"/>
        </w:rPr>
        <w:t> </w:t>
      </w:r>
      <w:r>
        <w:rPr>
          <w:sz w:val="12"/>
        </w:rPr>
        <w:t>December</w:t>
      </w:r>
      <w:r>
        <w:rPr>
          <w:spacing w:val="5"/>
          <w:sz w:val="12"/>
        </w:rPr>
        <w:t> </w:t>
      </w:r>
      <w:r>
        <w:rPr>
          <w:spacing w:val="-4"/>
          <w:sz w:val="12"/>
        </w:rPr>
        <w:t>2020</w:t>
      </w:r>
    </w:p>
    <w:p>
      <w:pPr>
        <w:spacing w:line="240" w:lineRule="auto" w:before="43"/>
        <w:rPr>
          <w:sz w:val="12"/>
        </w:rPr>
      </w:pPr>
    </w:p>
    <w:p>
      <w:pPr>
        <w:pStyle w:val="Heading6"/>
        <w:numPr>
          <w:ilvl w:val="0"/>
          <w:numId w:val="13"/>
        </w:numPr>
        <w:tabs>
          <w:tab w:pos="883" w:val="left" w:leader="none"/>
        </w:tabs>
        <w:spacing w:line="240" w:lineRule="auto" w:before="1" w:after="0"/>
        <w:ind w:left="883" w:right="0" w:hanging="607"/>
        <w:jc w:val="left"/>
        <w:rPr>
          <w:color w:val="0070C0"/>
        </w:rPr>
      </w:pPr>
      <w:r>
        <w:rPr/>
        <mc:AlternateContent>
          <mc:Choice Requires="wps">
            <w:drawing>
              <wp:anchor distT="0" distB="0" distL="0" distR="0" allowOverlap="1" layoutInCell="1" locked="0" behindDoc="1" simplePos="0" relativeHeight="487732736">
                <wp:simplePos x="0" y="0"/>
                <wp:positionH relativeFrom="page">
                  <wp:posOffset>726008</wp:posOffset>
                </wp:positionH>
                <wp:positionV relativeFrom="paragraph">
                  <wp:posOffset>244385</wp:posOffset>
                </wp:positionV>
                <wp:extent cx="5688330" cy="17145"/>
                <wp:effectExtent l="0" t="0" r="0" b="0"/>
                <wp:wrapTopAndBottom/>
                <wp:docPr id="888" name="Graphic 888"/>
                <wp:cNvGraphicFramePr>
                  <a:graphicFrameLocks/>
                </wp:cNvGraphicFramePr>
                <a:graphic>
                  <a:graphicData uri="http://schemas.microsoft.com/office/word/2010/wordprocessingShape">
                    <wps:wsp>
                      <wps:cNvPr id="888" name="Graphic 888"/>
                      <wps:cNvSpPr/>
                      <wps:spPr>
                        <a:xfrm>
                          <a:off x="0" y="0"/>
                          <a:ext cx="5688330" cy="17145"/>
                        </a:xfrm>
                        <a:custGeom>
                          <a:avLst/>
                          <a:gdLst/>
                          <a:ahLst/>
                          <a:cxnLst/>
                          <a:rect l="l" t="t" r="r" b="b"/>
                          <a:pathLst>
                            <a:path w="5688330" h="17145">
                              <a:moveTo>
                                <a:pt x="5688076" y="0"/>
                              </a:moveTo>
                              <a:lnTo>
                                <a:pt x="0" y="0"/>
                              </a:lnTo>
                              <a:lnTo>
                                <a:pt x="0" y="16814"/>
                              </a:lnTo>
                              <a:lnTo>
                                <a:pt x="5688076" y="16814"/>
                              </a:lnTo>
                              <a:lnTo>
                                <a:pt x="5688076"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7.166pt;margin-top:19.24297pt;width:447.88pt;height:1.324pt;mso-position-horizontal-relative:page;mso-position-vertical-relative:paragraph;z-index:-15583744;mso-wrap-distance-left:0;mso-wrap-distance-right:0" id="docshape582" filled="true" fillcolor="#4f81bd" stroked="false">
                <v:fill type="solid"/>
                <w10:wrap type="topAndBottom"/>
              </v:rect>
            </w:pict>
          </mc:Fallback>
        </mc:AlternateContent>
      </w:r>
      <w:r>
        <w:rPr>
          <w:color w:val="0070C0"/>
        </w:rPr>
        <w:t>How</w:t>
      </w:r>
      <w:r>
        <w:rPr>
          <w:color w:val="0070C0"/>
          <w:spacing w:val="23"/>
        </w:rPr>
        <w:t> </w:t>
      </w:r>
      <w:r>
        <w:rPr>
          <w:color w:val="0070C0"/>
        </w:rPr>
        <w:t>we</w:t>
      </w:r>
      <w:r>
        <w:rPr>
          <w:color w:val="0070C0"/>
          <w:spacing w:val="12"/>
        </w:rPr>
        <w:t> </w:t>
      </w:r>
      <w:r>
        <w:rPr>
          <w:color w:val="0070C0"/>
        </w:rPr>
        <w:t>are</w:t>
      </w:r>
      <w:r>
        <w:rPr>
          <w:color w:val="0070C0"/>
          <w:spacing w:val="12"/>
        </w:rPr>
        <w:t> </w:t>
      </w:r>
      <w:r>
        <w:rPr>
          <w:color w:val="0070C0"/>
          <w:spacing w:val="-2"/>
        </w:rPr>
        <w:t>funded</w:t>
      </w:r>
    </w:p>
    <w:p>
      <w:pPr>
        <w:spacing w:line="256" w:lineRule="auto" w:before="141"/>
        <w:ind w:left="858" w:right="1763" w:firstLine="0"/>
        <w:jc w:val="left"/>
        <w:rPr>
          <w:sz w:val="15"/>
        </w:rPr>
      </w:pPr>
      <w:r>
        <w:rPr>
          <w:sz w:val="15"/>
        </w:rPr>
        <w:t>This section</w:t>
      </w:r>
      <w:r>
        <w:rPr>
          <w:spacing w:val="16"/>
          <w:sz w:val="15"/>
        </w:rPr>
        <w:t> </w:t>
      </w:r>
      <w:r>
        <w:rPr>
          <w:sz w:val="15"/>
        </w:rPr>
        <w:t>provides information</w:t>
      </w:r>
      <w:r>
        <w:rPr>
          <w:spacing w:val="16"/>
          <w:sz w:val="15"/>
        </w:rPr>
        <w:t> </w:t>
      </w:r>
      <w:r>
        <w:rPr>
          <w:sz w:val="15"/>
        </w:rPr>
        <w:t>on</w:t>
      </w:r>
      <w:r>
        <w:rPr>
          <w:spacing w:val="16"/>
          <w:sz w:val="15"/>
        </w:rPr>
        <w:t> </w:t>
      </w:r>
      <w:r>
        <w:rPr>
          <w:sz w:val="15"/>
        </w:rPr>
        <w:t>how the</w:t>
      </w:r>
      <w:r>
        <w:rPr>
          <w:spacing w:val="18"/>
          <w:sz w:val="15"/>
        </w:rPr>
        <w:t> </w:t>
      </w:r>
      <w:r>
        <w:rPr>
          <w:sz w:val="15"/>
        </w:rPr>
        <w:t>University and</w:t>
      </w:r>
      <w:r>
        <w:rPr>
          <w:spacing w:val="18"/>
          <w:sz w:val="15"/>
        </w:rPr>
        <w:t> </w:t>
      </w:r>
      <w:r>
        <w:rPr>
          <w:sz w:val="15"/>
        </w:rPr>
        <w:t>its subsidiaries</w:t>
      </w:r>
      <w:r>
        <w:rPr>
          <w:spacing w:val="17"/>
          <w:sz w:val="15"/>
        </w:rPr>
        <w:t> </w:t>
      </w:r>
      <w:r>
        <w:rPr>
          <w:sz w:val="15"/>
        </w:rPr>
        <w:t>are</w:t>
      </w:r>
      <w:r>
        <w:rPr>
          <w:spacing w:val="16"/>
          <w:sz w:val="15"/>
        </w:rPr>
        <w:t> </w:t>
      </w:r>
      <w:r>
        <w:rPr>
          <w:sz w:val="15"/>
        </w:rPr>
        <w:t>funded,</w:t>
      </w:r>
      <w:r>
        <w:rPr>
          <w:spacing w:val="18"/>
          <w:sz w:val="15"/>
        </w:rPr>
        <w:t> </w:t>
      </w:r>
      <w:r>
        <w:rPr>
          <w:sz w:val="15"/>
        </w:rPr>
        <w:t>through both</w:t>
      </w:r>
      <w:r>
        <w:rPr>
          <w:spacing w:val="18"/>
          <w:sz w:val="15"/>
        </w:rPr>
        <w:t> </w:t>
      </w:r>
      <w:r>
        <w:rPr>
          <w:sz w:val="15"/>
        </w:rPr>
        <w:t>Government grants and investment income.</w:t>
      </w:r>
    </w:p>
    <w:p>
      <w:pPr>
        <w:pStyle w:val="ListParagraph"/>
        <w:numPr>
          <w:ilvl w:val="0"/>
          <w:numId w:val="18"/>
        </w:numPr>
        <w:tabs>
          <w:tab w:pos="952" w:val="left" w:leader="none"/>
          <w:tab w:pos="5049" w:val="left" w:leader="none"/>
        </w:tabs>
        <w:spacing w:line="240" w:lineRule="auto" w:before="40" w:after="0"/>
        <w:ind w:left="952" w:right="0" w:hanging="94"/>
        <w:jc w:val="left"/>
        <w:rPr>
          <w:sz w:val="15"/>
        </w:rPr>
      </w:pPr>
      <w:r>
        <w:rPr>
          <w:sz w:val="15"/>
        </w:rPr>
        <w:t>2.1</w:t>
      </w:r>
      <w:r>
        <w:rPr>
          <w:spacing w:val="-2"/>
          <w:sz w:val="15"/>
        </w:rPr>
        <w:t> </w:t>
      </w:r>
      <w:r>
        <w:rPr>
          <w:sz w:val="15"/>
        </w:rPr>
        <w:t>Australian</w:t>
      </w:r>
      <w:r>
        <w:rPr>
          <w:spacing w:val="-1"/>
          <w:sz w:val="15"/>
        </w:rPr>
        <w:t> </w:t>
      </w:r>
      <w:r>
        <w:rPr>
          <w:sz w:val="15"/>
        </w:rPr>
        <w:t>Government</w:t>
      </w:r>
      <w:r>
        <w:rPr>
          <w:spacing w:val="-1"/>
          <w:sz w:val="15"/>
        </w:rPr>
        <w:t> </w:t>
      </w:r>
      <w:r>
        <w:rPr>
          <w:sz w:val="15"/>
        </w:rPr>
        <w:t>financial</w:t>
      </w:r>
      <w:r>
        <w:rPr>
          <w:spacing w:val="-1"/>
          <w:sz w:val="15"/>
        </w:rPr>
        <w:t> </w:t>
      </w:r>
      <w:r>
        <w:rPr>
          <w:sz w:val="15"/>
        </w:rPr>
        <w:t>assistance</w:t>
      </w:r>
      <w:r>
        <w:rPr>
          <w:spacing w:val="-1"/>
          <w:sz w:val="15"/>
        </w:rPr>
        <w:t> </w:t>
      </w:r>
      <w:r>
        <w:rPr>
          <w:spacing w:val="-2"/>
          <w:sz w:val="15"/>
        </w:rPr>
        <w:t>including</w:t>
      </w:r>
      <w:r>
        <w:rPr>
          <w:sz w:val="15"/>
        </w:rPr>
        <w:tab/>
        <w:t>• 2.3 Fees and</w:t>
      </w:r>
      <w:r>
        <w:rPr>
          <w:spacing w:val="1"/>
          <w:sz w:val="15"/>
        </w:rPr>
        <w:t> </w:t>
      </w:r>
      <w:r>
        <w:rPr>
          <w:spacing w:val="-2"/>
          <w:sz w:val="15"/>
        </w:rPr>
        <w:t>charges</w:t>
      </w:r>
    </w:p>
    <w:p>
      <w:pPr>
        <w:spacing w:before="12"/>
        <w:ind w:left="858" w:right="0" w:firstLine="0"/>
        <w:jc w:val="left"/>
        <w:rPr>
          <w:sz w:val="15"/>
        </w:rPr>
      </w:pPr>
      <w:r>
        <w:rPr>
          <w:sz w:val="15"/>
        </w:rPr>
        <w:t>HECS-HELP</w:t>
      </w:r>
      <w:r>
        <w:rPr>
          <w:spacing w:val="-2"/>
          <w:sz w:val="15"/>
        </w:rPr>
        <w:t> </w:t>
      </w:r>
      <w:r>
        <w:rPr>
          <w:sz w:val="15"/>
        </w:rPr>
        <w:t>and other Australian Government</w:t>
      </w:r>
      <w:r>
        <w:rPr>
          <w:spacing w:val="-1"/>
          <w:sz w:val="15"/>
        </w:rPr>
        <w:t> </w:t>
      </w:r>
      <w:r>
        <w:rPr>
          <w:sz w:val="15"/>
        </w:rPr>
        <w:t>loan programs</w:t>
      </w:r>
      <w:r>
        <w:rPr>
          <w:spacing w:val="19"/>
          <w:sz w:val="15"/>
        </w:rPr>
        <w:t> </w:t>
      </w:r>
      <w:r>
        <w:rPr>
          <w:sz w:val="15"/>
        </w:rPr>
        <w:t>• 2.4</w:t>
      </w:r>
      <w:r>
        <w:rPr>
          <w:spacing w:val="-1"/>
          <w:sz w:val="15"/>
        </w:rPr>
        <w:t> </w:t>
      </w:r>
      <w:r>
        <w:rPr>
          <w:sz w:val="15"/>
        </w:rPr>
        <w:t>Net investment</w:t>
      </w:r>
      <w:r>
        <w:rPr>
          <w:spacing w:val="-1"/>
          <w:sz w:val="15"/>
        </w:rPr>
        <w:t> </w:t>
      </w:r>
      <w:r>
        <w:rPr>
          <w:sz w:val="15"/>
        </w:rPr>
        <w:t>revenue and </w:t>
      </w:r>
      <w:r>
        <w:rPr>
          <w:spacing w:val="-2"/>
          <w:sz w:val="15"/>
        </w:rPr>
        <w:t>income</w:t>
      </w:r>
    </w:p>
    <w:p>
      <w:pPr>
        <w:spacing w:after="0"/>
        <w:jc w:val="left"/>
        <w:rPr>
          <w:sz w:val="15"/>
        </w:rPr>
        <w:sectPr>
          <w:pgSz w:w="11910" w:h="16840"/>
          <w:pgMar w:header="468" w:footer="0" w:top="720" w:bottom="280" w:left="920" w:right="0"/>
        </w:sectPr>
      </w:pPr>
    </w:p>
    <w:p>
      <w:pPr>
        <w:pStyle w:val="ListParagraph"/>
        <w:numPr>
          <w:ilvl w:val="0"/>
          <w:numId w:val="18"/>
        </w:numPr>
        <w:tabs>
          <w:tab w:pos="952" w:val="left" w:leader="none"/>
        </w:tabs>
        <w:spacing w:line="256" w:lineRule="auto" w:before="27" w:after="0"/>
        <w:ind w:left="858" w:right="0" w:firstLine="0"/>
        <w:jc w:val="left"/>
        <w:rPr>
          <w:sz w:val="15"/>
        </w:rPr>
      </w:pPr>
      <w:r>
        <w:rPr>
          <w:sz w:val="15"/>
        </w:rPr>
        <w:t>2.2</w:t>
      </w:r>
      <w:r>
        <w:rPr>
          <w:spacing w:val="-2"/>
          <w:sz w:val="15"/>
        </w:rPr>
        <w:t> </w:t>
      </w:r>
      <w:r>
        <w:rPr>
          <w:sz w:val="15"/>
        </w:rPr>
        <w:t>Western</w:t>
      </w:r>
      <w:r>
        <w:rPr>
          <w:spacing w:val="-2"/>
          <w:sz w:val="15"/>
        </w:rPr>
        <w:t> </w:t>
      </w:r>
      <w:r>
        <w:rPr>
          <w:sz w:val="15"/>
        </w:rPr>
        <w:t>Australian</w:t>
      </w:r>
      <w:r>
        <w:rPr>
          <w:spacing w:val="-2"/>
          <w:sz w:val="15"/>
        </w:rPr>
        <w:t> </w:t>
      </w:r>
      <w:r>
        <w:rPr>
          <w:sz w:val="15"/>
        </w:rPr>
        <w:t>and</w:t>
      </w:r>
      <w:r>
        <w:rPr>
          <w:spacing w:val="-2"/>
          <w:sz w:val="15"/>
        </w:rPr>
        <w:t> </w:t>
      </w:r>
      <w:r>
        <w:rPr>
          <w:sz w:val="15"/>
        </w:rPr>
        <w:t>Local</w:t>
      </w:r>
      <w:r>
        <w:rPr>
          <w:spacing w:val="-2"/>
          <w:sz w:val="15"/>
        </w:rPr>
        <w:t> </w:t>
      </w:r>
      <w:r>
        <w:rPr>
          <w:sz w:val="15"/>
        </w:rPr>
        <w:t>Government</w:t>
      </w:r>
      <w:r>
        <w:rPr>
          <w:spacing w:val="-2"/>
          <w:sz w:val="15"/>
        </w:rPr>
        <w:t> </w:t>
      </w:r>
      <w:r>
        <w:rPr>
          <w:sz w:val="15"/>
        </w:rPr>
        <w:t>financial </w:t>
      </w:r>
      <w:r>
        <w:rPr>
          <w:spacing w:val="-2"/>
          <w:sz w:val="15"/>
        </w:rPr>
        <w:t>assistance</w:t>
      </w:r>
    </w:p>
    <w:p>
      <w:pPr>
        <w:pStyle w:val="ListParagraph"/>
        <w:numPr>
          <w:ilvl w:val="0"/>
          <w:numId w:val="18"/>
        </w:numPr>
        <w:tabs>
          <w:tab w:pos="453" w:val="left" w:leader="none"/>
        </w:tabs>
        <w:spacing w:line="240" w:lineRule="auto" w:before="27" w:after="0"/>
        <w:ind w:left="453" w:right="0" w:hanging="94"/>
        <w:jc w:val="left"/>
        <w:rPr>
          <w:sz w:val="15"/>
        </w:rPr>
      </w:pPr>
      <w:r>
        <w:rPr/>
        <w:br w:type="column"/>
      </w:r>
      <w:r>
        <w:rPr>
          <w:sz w:val="15"/>
        </w:rPr>
        <w:t>2.5</w:t>
      </w:r>
      <w:r>
        <w:rPr>
          <w:spacing w:val="-1"/>
          <w:sz w:val="15"/>
        </w:rPr>
        <w:t> </w:t>
      </w:r>
      <w:r>
        <w:rPr>
          <w:sz w:val="15"/>
        </w:rPr>
        <w:t>Consultancy</w:t>
      </w:r>
      <w:r>
        <w:rPr>
          <w:spacing w:val="-2"/>
          <w:sz w:val="15"/>
        </w:rPr>
        <w:t> </w:t>
      </w:r>
      <w:r>
        <w:rPr>
          <w:sz w:val="15"/>
        </w:rPr>
        <w:t>and</w:t>
      </w:r>
      <w:r>
        <w:rPr>
          <w:spacing w:val="-1"/>
          <w:sz w:val="15"/>
        </w:rPr>
        <w:t> </w:t>
      </w:r>
      <w:r>
        <w:rPr>
          <w:sz w:val="15"/>
        </w:rPr>
        <w:t>other</w:t>
      </w:r>
      <w:r>
        <w:rPr>
          <w:spacing w:val="1"/>
          <w:sz w:val="15"/>
        </w:rPr>
        <w:t> </w:t>
      </w:r>
      <w:r>
        <w:rPr>
          <w:spacing w:val="-2"/>
          <w:sz w:val="15"/>
        </w:rPr>
        <w:t>contracts</w:t>
      </w:r>
    </w:p>
    <w:p>
      <w:pPr>
        <w:pStyle w:val="ListParagraph"/>
        <w:numPr>
          <w:ilvl w:val="0"/>
          <w:numId w:val="18"/>
        </w:numPr>
        <w:tabs>
          <w:tab w:pos="453" w:val="left" w:leader="none"/>
        </w:tabs>
        <w:spacing w:line="240" w:lineRule="auto" w:before="15" w:after="0"/>
        <w:ind w:left="453" w:right="0" w:hanging="94"/>
        <w:jc w:val="left"/>
        <w:rPr>
          <w:sz w:val="15"/>
        </w:rPr>
      </w:pPr>
      <w:r>
        <w:rPr>
          <w:sz w:val="15"/>
        </w:rPr>
        <w:t>2.6 Other</w:t>
      </w:r>
      <w:r>
        <w:rPr>
          <w:spacing w:val="2"/>
          <w:sz w:val="15"/>
        </w:rPr>
        <w:t> </w:t>
      </w:r>
      <w:r>
        <w:rPr>
          <w:sz w:val="15"/>
        </w:rPr>
        <w:t>revenue and</w:t>
      </w:r>
      <w:r>
        <w:rPr>
          <w:spacing w:val="1"/>
          <w:sz w:val="15"/>
        </w:rPr>
        <w:t> </w:t>
      </w:r>
      <w:r>
        <w:rPr>
          <w:spacing w:val="-2"/>
          <w:sz w:val="15"/>
        </w:rPr>
        <w:t>income</w:t>
      </w:r>
    </w:p>
    <w:p>
      <w:pPr>
        <w:spacing w:after="0" w:line="240" w:lineRule="auto"/>
        <w:jc w:val="left"/>
        <w:rPr>
          <w:sz w:val="15"/>
        </w:rPr>
        <w:sectPr>
          <w:type w:val="continuous"/>
          <w:pgSz w:w="11910" w:h="16840"/>
          <w:pgMar w:header="468" w:footer="0" w:top="980" w:bottom="280" w:left="920" w:right="0"/>
          <w:cols w:num="2" w:equalWidth="0">
            <w:col w:w="4650" w:space="40"/>
            <w:col w:w="6300"/>
          </w:cols>
        </w:sectPr>
      </w:pPr>
    </w:p>
    <w:p>
      <w:pPr>
        <w:spacing w:line="240" w:lineRule="auto" w:before="4" w:after="1"/>
        <w:rPr>
          <w:sz w:val="16"/>
        </w:rPr>
      </w:pPr>
    </w:p>
    <w:p>
      <w:pPr>
        <w:spacing w:line="240" w:lineRule="auto"/>
        <w:ind w:left="830" w:right="0" w:firstLine="0"/>
        <w:rPr>
          <w:sz w:val="20"/>
        </w:rPr>
      </w:pPr>
      <w:r>
        <w:rPr>
          <w:sz w:val="20"/>
        </w:rPr>
        <mc:AlternateContent>
          <mc:Choice Requires="wps">
            <w:drawing>
              <wp:inline distT="0" distB="0" distL="0" distR="0">
                <wp:extent cx="5302885" cy="593090"/>
                <wp:effectExtent l="0" t="0" r="0" b="0"/>
                <wp:docPr id="889" name="Textbox 889"/>
                <wp:cNvGraphicFramePr>
                  <a:graphicFrameLocks/>
                </wp:cNvGraphicFramePr>
                <a:graphic>
                  <a:graphicData uri="http://schemas.microsoft.com/office/word/2010/wordprocessingShape">
                    <wps:wsp>
                      <wps:cNvPr id="889" name="Textbox 889"/>
                      <wps:cNvSpPr txBox="1"/>
                      <wps:spPr>
                        <a:xfrm>
                          <a:off x="0" y="0"/>
                          <a:ext cx="5302885" cy="593090"/>
                        </a:xfrm>
                        <a:prstGeom prst="rect">
                          <a:avLst/>
                        </a:prstGeom>
                        <a:solidFill>
                          <a:srgbClr val="DCE6F1"/>
                        </a:solidFill>
                      </wps:spPr>
                      <wps:txbx>
                        <w:txbxContent>
                          <w:p>
                            <w:pPr>
                              <w:spacing w:before="6"/>
                              <w:ind w:left="26" w:right="0" w:firstLine="0"/>
                              <w:jc w:val="both"/>
                              <w:rPr>
                                <w:b/>
                                <w:color w:val="000000"/>
                                <w:sz w:val="13"/>
                              </w:rPr>
                            </w:pPr>
                            <w:r>
                              <w:rPr>
                                <w:b/>
                                <w:color w:val="0070C0"/>
                                <w:w w:val="105"/>
                                <w:sz w:val="13"/>
                              </w:rPr>
                              <w:t>Critical</w:t>
                            </w:r>
                            <w:r>
                              <w:rPr>
                                <w:b/>
                                <w:color w:val="0070C0"/>
                                <w:spacing w:val="-9"/>
                                <w:w w:val="105"/>
                                <w:sz w:val="13"/>
                              </w:rPr>
                              <w:t> </w:t>
                            </w:r>
                            <w:r>
                              <w:rPr>
                                <w:b/>
                                <w:color w:val="0070C0"/>
                                <w:w w:val="105"/>
                                <w:sz w:val="13"/>
                              </w:rPr>
                              <w:t>accounting</w:t>
                            </w:r>
                            <w:r>
                              <w:rPr>
                                <w:b/>
                                <w:color w:val="0070C0"/>
                                <w:spacing w:val="-7"/>
                                <w:w w:val="105"/>
                                <w:sz w:val="13"/>
                              </w:rPr>
                              <w:t> </w:t>
                            </w:r>
                            <w:r>
                              <w:rPr>
                                <w:b/>
                                <w:color w:val="0070C0"/>
                                <w:w w:val="105"/>
                                <w:sz w:val="13"/>
                              </w:rPr>
                              <w:t>estimates</w:t>
                            </w:r>
                            <w:r>
                              <w:rPr>
                                <w:b/>
                                <w:color w:val="0070C0"/>
                                <w:spacing w:val="-8"/>
                                <w:w w:val="105"/>
                                <w:sz w:val="13"/>
                              </w:rPr>
                              <w:t> </w:t>
                            </w:r>
                            <w:r>
                              <w:rPr>
                                <w:b/>
                                <w:color w:val="0070C0"/>
                                <w:w w:val="105"/>
                                <w:sz w:val="13"/>
                              </w:rPr>
                              <w:t>and</w:t>
                            </w:r>
                            <w:r>
                              <w:rPr>
                                <w:b/>
                                <w:color w:val="0070C0"/>
                                <w:spacing w:val="-8"/>
                                <w:w w:val="105"/>
                                <w:sz w:val="13"/>
                              </w:rPr>
                              <w:t> </w:t>
                            </w:r>
                            <w:r>
                              <w:rPr>
                                <w:b/>
                                <w:color w:val="0070C0"/>
                                <w:spacing w:val="-2"/>
                                <w:w w:val="105"/>
                                <w:sz w:val="13"/>
                              </w:rPr>
                              <w:t>judgements:</w:t>
                            </w:r>
                          </w:p>
                          <w:p>
                            <w:pPr>
                              <w:spacing w:before="18"/>
                              <w:ind w:left="26" w:right="0" w:firstLine="0"/>
                              <w:jc w:val="both"/>
                              <w:rPr>
                                <w:color w:val="000000"/>
                                <w:sz w:val="13"/>
                              </w:rPr>
                            </w:pPr>
                            <w:r>
                              <w:rPr>
                                <w:color w:val="000000"/>
                                <w:w w:val="105"/>
                                <w:sz w:val="13"/>
                              </w:rPr>
                              <w:t>AASB</w:t>
                            </w:r>
                            <w:r>
                              <w:rPr>
                                <w:color w:val="000000"/>
                                <w:spacing w:val="-7"/>
                                <w:w w:val="105"/>
                                <w:sz w:val="13"/>
                              </w:rPr>
                              <w:t> </w:t>
                            </w:r>
                            <w:r>
                              <w:rPr>
                                <w:color w:val="000000"/>
                                <w:w w:val="105"/>
                                <w:sz w:val="13"/>
                              </w:rPr>
                              <w:t>15</w:t>
                            </w:r>
                            <w:r>
                              <w:rPr>
                                <w:color w:val="000000"/>
                                <w:spacing w:val="-6"/>
                                <w:w w:val="105"/>
                                <w:sz w:val="13"/>
                              </w:rPr>
                              <w:t> </w:t>
                            </w:r>
                            <w:r>
                              <w:rPr>
                                <w:color w:val="000000"/>
                                <w:w w:val="105"/>
                                <w:sz w:val="13"/>
                              </w:rPr>
                              <w:t>Revenue</w:t>
                            </w:r>
                            <w:r>
                              <w:rPr>
                                <w:color w:val="000000"/>
                                <w:spacing w:val="-7"/>
                                <w:w w:val="105"/>
                                <w:sz w:val="13"/>
                              </w:rPr>
                              <w:t> </w:t>
                            </w:r>
                            <w:r>
                              <w:rPr>
                                <w:color w:val="000000"/>
                                <w:w w:val="105"/>
                                <w:sz w:val="13"/>
                              </w:rPr>
                              <w:t>from</w:t>
                            </w:r>
                            <w:r>
                              <w:rPr>
                                <w:color w:val="000000"/>
                                <w:spacing w:val="-5"/>
                                <w:w w:val="105"/>
                                <w:sz w:val="13"/>
                              </w:rPr>
                              <w:t> </w:t>
                            </w:r>
                            <w:r>
                              <w:rPr>
                                <w:color w:val="000000"/>
                                <w:w w:val="105"/>
                                <w:sz w:val="13"/>
                              </w:rPr>
                              <w:t>Contracts</w:t>
                            </w:r>
                            <w:r>
                              <w:rPr>
                                <w:color w:val="000000"/>
                                <w:spacing w:val="-5"/>
                                <w:w w:val="105"/>
                                <w:sz w:val="13"/>
                              </w:rPr>
                              <w:t> </w:t>
                            </w:r>
                            <w:r>
                              <w:rPr>
                                <w:color w:val="000000"/>
                                <w:w w:val="105"/>
                                <w:sz w:val="13"/>
                              </w:rPr>
                              <w:t>with</w:t>
                            </w:r>
                            <w:r>
                              <w:rPr>
                                <w:color w:val="000000"/>
                                <w:spacing w:val="-7"/>
                                <w:w w:val="105"/>
                                <w:sz w:val="13"/>
                              </w:rPr>
                              <w:t> </w:t>
                            </w:r>
                            <w:r>
                              <w:rPr>
                                <w:color w:val="000000"/>
                                <w:w w:val="105"/>
                                <w:sz w:val="13"/>
                              </w:rPr>
                              <w:t>Customers</w:t>
                            </w:r>
                            <w:r>
                              <w:rPr>
                                <w:color w:val="000000"/>
                                <w:spacing w:val="-5"/>
                                <w:w w:val="105"/>
                                <w:sz w:val="13"/>
                              </w:rPr>
                              <w:t> </w:t>
                            </w:r>
                            <w:r>
                              <w:rPr>
                                <w:color w:val="000000"/>
                                <w:w w:val="105"/>
                                <w:sz w:val="13"/>
                              </w:rPr>
                              <w:t>and</w:t>
                            </w:r>
                            <w:r>
                              <w:rPr>
                                <w:color w:val="000000"/>
                                <w:spacing w:val="-7"/>
                                <w:w w:val="105"/>
                                <w:sz w:val="13"/>
                              </w:rPr>
                              <w:t> </w:t>
                            </w:r>
                            <w:r>
                              <w:rPr>
                                <w:color w:val="000000"/>
                                <w:w w:val="105"/>
                                <w:sz w:val="13"/>
                              </w:rPr>
                              <w:t>AASB</w:t>
                            </w:r>
                            <w:r>
                              <w:rPr>
                                <w:color w:val="000000"/>
                                <w:spacing w:val="-6"/>
                                <w:w w:val="105"/>
                                <w:sz w:val="13"/>
                              </w:rPr>
                              <w:t> </w:t>
                            </w:r>
                            <w:r>
                              <w:rPr>
                                <w:color w:val="000000"/>
                                <w:w w:val="105"/>
                                <w:sz w:val="13"/>
                              </w:rPr>
                              <w:t>1058</w:t>
                            </w:r>
                            <w:r>
                              <w:rPr>
                                <w:color w:val="000000"/>
                                <w:spacing w:val="-7"/>
                                <w:w w:val="105"/>
                                <w:sz w:val="13"/>
                              </w:rPr>
                              <w:t> </w:t>
                            </w:r>
                            <w:r>
                              <w:rPr>
                                <w:color w:val="000000"/>
                                <w:w w:val="105"/>
                                <w:sz w:val="13"/>
                              </w:rPr>
                              <w:t>Income</w:t>
                            </w:r>
                            <w:r>
                              <w:rPr>
                                <w:color w:val="000000"/>
                                <w:spacing w:val="-6"/>
                                <w:w w:val="105"/>
                                <w:sz w:val="13"/>
                              </w:rPr>
                              <w:t> </w:t>
                            </w:r>
                            <w:r>
                              <w:rPr>
                                <w:color w:val="000000"/>
                                <w:w w:val="105"/>
                                <w:sz w:val="13"/>
                              </w:rPr>
                              <w:t>of</w:t>
                            </w:r>
                            <w:r>
                              <w:rPr>
                                <w:color w:val="000000"/>
                                <w:spacing w:val="-4"/>
                                <w:w w:val="105"/>
                                <w:sz w:val="13"/>
                              </w:rPr>
                              <w:t> </w:t>
                            </w:r>
                            <w:r>
                              <w:rPr>
                                <w:color w:val="000000"/>
                                <w:w w:val="105"/>
                                <w:sz w:val="13"/>
                              </w:rPr>
                              <w:t>Non-for-Profit</w:t>
                            </w:r>
                            <w:r>
                              <w:rPr>
                                <w:color w:val="000000"/>
                                <w:spacing w:val="-7"/>
                                <w:w w:val="105"/>
                                <w:sz w:val="13"/>
                              </w:rPr>
                              <w:t> </w:t>
                            </w:r>
                            <w:r>
                              <w:rPr>
                                <w:color w:val="000000"/>
                                <w:w w:val="105"/>
                                <w:sz w:val="13"/>
                              </w:rPr>
                              <w:t>Entities</w:t>
                            </w:r>
                            <w:r>
                              <w:rPr>
                                <w:color w:val="000000"/>
                                <w:spacing w:val="-5"/>
                                <w:w w:val="105"/>
                                <w:sz w:val="13"/>
                              </w:rPr>
                              <w:t> </w:t>
                            </w:r>
                            <w:r>
                              <w:rPr>
                                <w:color w:val="000000"/>
                                <w:w w:val="105"/>
                                <w:sz w:val="13"/>
                              </w:rPr>
                              <w:t>-</w:t>
                            </w:r>
                            <w:r>
                              <w:rPr>
                                <w:color w:val="000000"/>
                                <w:spacing w:val="-5"/>
                                <w:w w:val="105"/>
                                <w:sz w:val="13"/>
                              </w:rPr>
                              <w:t> </w:t>
                            </w:r>
                            <w:r>
                              <w:rPr>
                                <w:color w:val="000000"/>
                                <w:w w:val="105"/>
                                <w:sz w:val="13"/>
                              </w:rPr>
                              <w:t>Revenue</w:t>
                            </w:r>
                            <w:r>
                              <w:rPr>
                                <w:color w:val="000000"/>
                                <w:spacing w:val="-6"/>
                                <w:w w:val="105"/>
                                <w:sz w:val="13"/>
                              </w:rPr>
                              <w:t> </w:t>
                            </w:r>
                            <w:r>
                              <w:rPr>
                                <w:color w:val="000000"/>
                                <w:spacing w:val="-2"/>
                                <w:w w:val="105"/>
                                <w:sz w:val="13"/>
                              </w:rPr>
                              <w:t>recognition</w:t>
                            </w:r>
                          </w:p>
                          <w:p>
                            <w:pPr>
                              <w:spacing w:line="273" w:lineRule="auto" w:before="25"/>
                              <w:ind w:left="26" w:right="22" w:firstLine="0"/>
                              <w:jc w:val="both"/>
                              <w:rPr>
                                <w:color w:val="000000"/>
                                <w:sz w:val="13"/>
                              </w:rPr>
                            </w:pPr>
                            <w:r>
                              <w:rPr>
                                <w:color w:val="000000"/>
                                <w:w w:val="105"/>
                                <w:sz w:val="13"/>
                              </w:rPr>
                              <w:t>The adoption of the above standards required significant judgement to identify and assess the performance obligations and whether the</w:t>
                            </w:r>
                            <w:r>
                              <w:rPr>
                                <w:color w:val="000000"/>
                                <w:spacing w:val="40"/>
                                <w:w w:val="105"/>
                                <w:sz w:val="13"/>
                              </w:rPr>
                              <w:t> </w:t>
                            </w:r>
                            <w:r>
                              <w:rPr>
                                <w:color w:val="000000"/>
                                <w:w w:val="105"/>
                                <w:sz w:val="13"/>
                              </w:rPr>
                              <w:t>promises to transfer goods or services to the customer are ‘sufficiently specific’ which determine whether the contracts are recognised in</w:t>
                            </w:r>
                            <w:r>
                              <w:rPr>
                                <w:color w:val="000000"/>
                                <w:spacing w:val="40"/>
                                <w:w w:val="105"/>
                                <w:sz w:val="13"/>
                              </w:rPr>
                              <w:t> </w:t>
                            </w:r>
                            <w:r>
                              <w:rPr>
                                <w:color w:val="000000"/>
                                <w:w w:val="105"/>
                                <w:sz w:val="13"/>
                              </w:rPr>
                              <w:t>accordance with AASB 15 or alternatively under another standard such as AASB 1058.</w:t>
                            </w:r>
                          </w:p>
                        </w:txbxContent>
                      </wps:txbx>
                      <wps:bodyPr wrap="square" lIns="0" tIns="0" rIns="0" bIns="0" rtlCol="0">
                        <a:noAutofit/>
                      </wps:bodyPr>
                    </wps:wsp>
                  </a:graphicData>
                </a:graphic>
              </wp:inline>
            </w:drawing>
          </mc:Choice>
          <mc:Fallback>
            <w:pict>
              <v:shape style="width:417.55pt;height:46.7pt;mso-position-horizontal-relative:char;mso-position-vertical-relative:line" type="#_x0000_t202" id="docshape583" filled="true" fillcolor="#dce6f1" stroked="false">
                <w10:anchorlock/>
                <v:textbox inset="0,0,0,0">
                  <w:txbxContent>
                    <w:p>
                      <w:pPr>
                        <w:spacing w:before="6"/>
                        <w:ind w:left="26" w:right="0" w:firstLine="0"/>
                        <w:jc w:val="both"/>
                        <w:rPr>
                          <w:b/>
                          <w:color w:val="000000"/>
                          <w:sz w:val="13"/>
                        </w:rPr>
                      </w:pPr>
                      <w:r>
                        <w:rPr>
                          <w:b/>
                          <w:color w:val="0070C0"/>
                          <w:w w:val="105"/>
                          <w:sz w:val="13"/>
                        </w:rPr>
                        <w:t>Critical</w:t>
                      </w:r>
                      <w:r>
                        <w:rPr>
                          <w:b/>
                          <w:color w:val="0070C0"/>
                          <w:spacing w:val="-9"/>
                          <w:w w:val="105"/>
                          <w:sz w:val="13"/>
                        </w:rPr>
                        <w:t> </w:t>
                      </w:r>
                      <w:r>
                        <w:rPr>
                          <w:b/>
                          <w:color w:val="0070C0"/>
                          <w:w w:val="105"/>
                          <w:sz w:val="13"/>
                        </w:rPr>
                        <w:t>accounting</w:t>
                      </w:r>
                      <w:r>
                        <w:rPr>
                          <w:b/>
                          <w:color w:val="0070C0"/>
                          <w:spacing w:val="-7"/>
                          <w:w w:val="105"/>
                          <w:sz w:val="13"/>
                        </w:rPr>
                        <w:t> </w:t>
                      </w:r>
                      <w:r>
                        <w:rPr>
                          <w:b/>
                          <w:color w:val="0070C0"/>
                          <w:w w:val="105"/>
                          <w:sz w:val="13"/>
                        </w:rPr>
                        <w:t>estimates</w:t>
                      </w:r>
                      <w:r>
                        <w:rPr>
                          <w:b/>
                          <w:color w:val="0070C0"/>
                          <w:spacing w:val="-8"/>
                          <w:w w:val="105"/>
                          <w:sz w:val="13"/>
                        </w:rPr>
                        <w:t> </w:t>
                      </w:r>
                      <w:r>
                        <w:rPr>
                          <w:b/>
                          <w:color w:val="0070C0"/>
                          <w:w w:val="105"/>
                          <w:sz w:val="13"/>
                        </w:rPr>
                        <w:t>and</w:t>
                      </w:r>
                      <w:r>
                        <w:rPr>
                          <w:b/>
                          <w:color w:val="0070C0"/>
                          <w:spacing w:val="-8"/>
                          <w:w w:val="105"/>
                          <w:sz w:val="13"/>
                        </w:rPr>
                        <w:t> </w:t>
                      </w:r>
                      <w:r>
                        <w:rPr>
                          <w:b/>
                          <w:color w:val="0070C0"/>
                          <w:spacing w:val="-2"/>
                          <w:w w:val="105"/>
                          <w:sz w:val="13"/>
                        </w:rPr>
                        <w:t>judgements:</w:t>
                      </w:r>
                    </w:p>
                    <w:p>
                      <w:pPr>
                        <w:spacing w:before="18"/>
                        <w:ind w:left="26" w:right="0" w:firstLine="0"/>
                        <w:jc w:val="both"/>
                        <w:rPr>
                          <w:color w:val="000000"/>
                          <w:sz w:val="13"/>
                        </w:rPr>
                      </w:pPr>
                      <w:r>
                        <w:rPr>
                          <w:color w:val="000000"/>
                          <w:w w:val="105"/>
                          <w:sz w:val="13"/>
                        </w:rPr>
                        <w:t>AASB</w:t>
                      </w:r>
                      <w:r>
                        <w:rPr>
                          <w:color w:val="000000"/>
                          <w:spacing w:val="-7"/>
                          <w:w w:val="105"/>
                          <w:sz w:val="13"/>
                        </w:rPr>
                        <w:t> </w:t>
                      </w:r>
                      <w:r>
                        <w:rPr>
                          <w:color w:val="000000"/>
                          <w:w w:val="105"/>
                          <w:sz w:val="13"/>
                        </w:rPr>
                        <w:t>15</w:t>
                      </w:r>
                      <w:r>
                        <w:rPr>
                          <w:color w:val="000000"/>
                          <w:spacing w:val="-6"/>
                          <w:w w:val="105"/>
                          <w:sz w:val="13"/>
                        </w:rPr>
                        <w:t> </w:t>
                      </w:r>
                      <w:r>
                        <w:rPr>
                          <w:color w:val="000000"/>
                          <w:w w:val="105"/>
                          <w:sz w:val="13"/>
                        </w:rPr>
                        <w:t>Revenue</w:t>
                      </w:r>
                      <w:r>
                        <w:rPr>
                          <w:color w:val="000000"/>
                          <w:spacing w:val="-7"/>
                          <w:w w:val="105"/>
                          <w:sz w:val="13"/>
                        </w:rPr>
                        <w:t> </w:t>
                      </w:r>
                      <w:r>
                        <w:rPr>
                          <w:color w:val="000000"/>
                          <w:w w:val="105"/>
                          <w:sz w:val="13"/>
                        </w:rPr>
                        <w:t>from</w:t>
                      </w:r>
                      <w:r>
                        <w:rPr>
                          <w:color w:val="000000"/>
                          <w:spacing w:val="-5"/>
                          <w:w w:val="105"/>
                          <w:sz w:val="13"/>
                        </w:rPr>
                        <w:t> </w:t>
                      </w:r>
                      <w:r>
                        <w:rPr>
                          <w:color w:val="000000"/>
                          <w:w w:val="105"/>
                          <w:sz w:val="13"/>
                        </w:rPr>
                        <w:t>Contracts</w:t>
                      </w:r>
                      <w:r>
                        <w:rPr>
                          <w:color w:val="000000"/>
                          <w:spacing w:val="-5"/>
                          <w:w w:val="105"/>
                          <w:sz w:val="13"/>
                        </w:rPr>
                        <w:t> </w:t>
                      </w:r>
                      <w:r>
                        <w:rPr>
                          <w:color w:val="000000"/>
                          <w:w w:val="105"/>
                          <w:sz w:val="13"/>
                        </w:rPr>
                        <w:t>with</w:t>
                      </w:r>
                      <w:r>
                        <w:rPr>
                          <w:color w:val="000000"/>
                          <w:spacing w:val="-7"/>
                          <w:w w:val="105"/>
                          <w:sz w:val="13"/>
                        </w:rPr>
                        <w:t> </w:t>
                      </w:r>
                      <w:r>
                        <w:rPr>
                          <w:color w:val="000000"/>
                          <w:w w:val="105"/>
                          <w:sz w:val="13"/>
                        </w:rPr>
                        <w:t>Customers</w:t>
                      </w:r>
                      <w:r>
                        <w:rPr>
                          <w:color w:val="000000"/>
                          <w:spacing w:val="-5"/>
                          <w:w w:val="105"/>
                          <w:sz w:val="13"/>
                        </w:rPr>
                        <w:t> </w:t>
                      </w:r>
                      <w:r>
                        <w:rPr>
                          <w:color w:val="000000"/>
                          <w:w w:val="105"/>
                          <w:sz w:val="13"/>
                        </w:rPr>
                        <w:t>and</w:t>
                      </w:r>
                      <w:r>
                        <w:rPr>
                          <w:color w:val="000000"/>
                          <w:spacing w:val="-7"/>
                          <w:w w:val="105"/>
                          <w:sz w:val="13"/>
                        </w:rPr>
                        <w:t> </w:t>
                      </w:r>
                      <w:r>
                        <w:rPr>
                          <w:color w:val="000000"/>
                          <w:w w:val="105"/>
                          <w:sz w:val="13"/>
                        </w:rPr>
                        <w:t>AASB</w:t>
                      </w:r>
                      <w:r>
                        <w:rPr>
                          <w:color w:val="000000"/>
                          <w:spacing w:val="-6"/>
                          <w:w w:val="105"/>
                          <w:sz w:val="13"/>
                        </w:rPr>
                        <w:t> </w:t>
                      </w:r>
                      <w:r>
                        <w:rPr>
                          <w:color w:val="000000"/>
                          <w:w w:val="105"/>
                          <w:sz w:val="13"/>
                        </w:rPr>
                        <w:t>1058</w:t>
                      </w:r>
                      <w:r>
                        <w:rPr>
                          <w:color w:val="000000"/>
                          <w:spacing w:val="-7"/>
                          <w:w w:val="105"/>
                          <w:sz w:val="13"/>
                        </w:rPr>
                        <w:t> </w:t>
                      </w:r>
                      <w:r>
                        <w:rPr>
                          <w:color w:val="000000"/>
                          <w:w w:val="105"/>
                          <w:sz w:val="13"/>
                        </w:rPr>
                        <w:t>Income</w:t>
                      </w:r>
                      <w:r>
                        <w:rPr>
                          <w:color w:val="000000"/>
                          <w:spacing w:val="-6"/>
                          <w:w w:val="105"/>
                          <w:sz w:val="13"/>
                        </w:rPr>
                        <w:t> </w:t>
                      </w:r>
                      <w:r>
                        <w:rPr>
                          <w:color w:val="000000"/>
                          <w:w w:val="105"/>
                          <w:sz w:val="13"/>
                        </w:rPr>
                        <w:t>of</w:t>
                      </w:r>
                      <w:r>
                        <w:rPr>
                          <w:color w:val="000000"/>
                          <w:spacing w:val="-4"/>
                          <w:w w:val="105"/>
                          <w:sz w:val="13"/>
                        </w:rPr>
                        <w:t> </w:t>
                      </w:r>
                      <w:r>
                        <w:rPr>
                          <w:color w:val="000000"/>
                          <w:w w:val="105"/>
                          <w:sz w:val="13"/>
                        </w:rPr>
                        <w:t>Non-for-Profit</w:t>
                      </w:r>
                      <w:r>
                        <w:rPr>
                          <w:color w:val="000000"/>
                          <w:spacing w:val="-7"/>
                          <w:w w:val="105"/>
                          <w:sz w:val="13"/>
                        </w:rPr>
                        <w:t> </w:t>
                      </w:r>
                      <w:r>
                        <w:rPr>
                          <w:color w:val="000000"/>
                          <w:w w:val="105"/>
                          <w:sz w:val="13"/>
                        </w:rPr>
                        <w:t>Entities</w:t>
                      </w:r>
                      <w:r>
                        <w:rPr>
                          <w:color w:val="000000"/>
                          <w:spacing w:val="-5"/>
                          <w:w w:val="105"/>
                          <w:sz w:val="13"/>
                        </w:rPr>
                        <w:t> </w:t>
                      </w:r>
                      <w:r>
                        <w:rPr>
                          <w:color w:val="000000"/>
                          <w:w w:val="105"/>
                          <w:sz w:val="13"/>
                        </w:rPr>
                        <w:t>-</w:t>
                      </w:r>
                      <w:r>
                        <w:rPr>
                          <w:color w:val="000000"/>
                          <w:spacing w:val="-5"/>
                          <w:w w:val="105"/>
                          <w:sz w:val="13"/>
                        </w:rPr>
                        <w:t> </w:t>
                      </w:r>
                      <w:r>
                        <w:rPr>
                          <w:color w:val="000000"/>
                          <w:w w:val="105"/>
                          <w:sz w:val="13"/>
                        </w:rPr>
                        <w:t>Revenue</w:t>
                      </w:r>
                      <w:r>
                        <w:rPr>
                          <w:color w:val="000000"/>
                          <w:spacing w:val="-6"/>
                          <w:w w:val="105"/>
                          <w:sz w:val="13"/>
                        </w:rPr>
                        <w:t> </w:t>
                      </w:r>
                      <w:r>
                        <w:rPr>
                          <w:color w:val="000000"/>
                          <w:spacing w:val="-2"/>
                          <w:w w:val="105"/>
                          <w:sz w:val="13"/>
                        </w:rPr>
                        <w:t>recognition</w:t>
                      </w:r>
                    </w:p>
                    <w:p>
                      <w:pPr>
                        <w:spacing w:line="273" w:lineRule="auto" w:before="25"/>
                        <w:ind w:left="26" w:right="22" w:firstLine="0"/>
                        <w:jc w:val="both"/>
                        <w:rPr>
                          <w:color w:val="000000"/>
                          <w:sz w:val="13"/>
                        </w:rPr>
                      </w:pPr>
                      <w:r>
                        <w:rPr>
                          <w:color w:val="000000"/>
                          <w:w w:val="105"/>
                          <w:sz w:val="13"/>
                        </w:rPr>
                        <w:t>The adoption of the above standards required significant judgement to identify and assess the performance obligations and whether the</w:t>
                      </w:r>
                      <w:r>
                        <w:rPr>
                          <w:color w:val="000000"/>
                          <w:spacing w:val="40"/>
                          <w:w w:val="105"/>
                          <w:sz w:val="13"/>
                        </w:rPr>
                        <w:t> </w:t>
                      </w:r>
                      <w:r>
                        <w:rPr>
                          <w:color w:val="000000"/>
                          <w:w w:val="105"/>
                          <w:sz w:val="13"/>
                        </w:rPr>
                        <w:t>promises to transfer goods or services to the customer are ‘sufficiently specific’ which determine whether the contracts are recognised in</w:t>
                      </w:r>
                      <w:r>
                        <w:rPr>
                          <w:color w:val="000000"/>
                          <w:spacing w:val="40"/>
                          <w:w w:val="105"/>
                          <w:sz w:val="13"/>
                        </w:rPr>
                        <w:t> </w:t>
                      </w:r>
                      <w:r>
                        <w:rPr>
                          <w:color w:val="000000"/>
                          <w:w w:val="105"/>
                          <w:sz w:val="13"/>
                        </w:rPr>
                        <w:t>accordance with AASB 15 or alternatively under another standard such as AASB 1058.</w:t>
                      </w:r>
                    </w:p>
                  </w:txbxContent>
                </v:textbox>
                <v:fill type="solid"/>
              </v:shape>
            </w:pict>
          </mc:Fallback>
        </mc:AlternateContent>
      </w:r>
      <w:r>
        <w:rPr>
          <w:sz w:val="20"/>
        </w:rPr>
      </w:r>
    </w:p>
    <w:p>
      <w:pPr>
        <w:spacing w:line="240" w:lineRule="auto" w:before="90"/>
        <w:rPr>
          <w:sz w:val="20"/>
        </w:rPr>
      </w:pPr>
      <w:r>
        <w:rPr/>
        <mc:AlternateContent>
          <mc:Choice Requires="wps">
            <w:drawing>
              <wp:anchor distT="0" distB="0" distL="0" distR="0" allowOverlap="1" layoutInCell="1" locked="0" behindDoc="1" simplePos="0" relativeHeight="487733760">
                <wp:simplePos x="0" y="0"/>
                <wp:positionH relativeFrom="page">
                  <wp:posOffset>726008</wp:posOffset>
                </wp:positionH>
                <wp:positionV relativeFrom="paragraph">
                  <wp:posOffset>218566</wp:posOffset>
                </wp:positionV>
                <wp:extent cx="5688330" cy="17145"/>
                <wp:effectExtent l="0" t="0" r="0" b="0"/>
                <wp:wrapTopAndBottom/>
                <wp:docPr id="890" name="Graphic 890"/>
                <wp:cNvGraphicFramePr>
                  <a:graphicFrameLocks/>
                </wp:cNvGraphicFramePr>
                <a:graphic>
                  <a:graphicData uri="http://schemas.microsoft.com/office/word/2010/wordprocessingShape">
                    <wps:wsp>
                      <wps:cNvPr id="890" name="Graphic 890"/>
                      <wps:cNvSpPr/>
                      <wps:spPr>
                        <a:xfrm>
                          <a:off x="0" y="0"/>
                          <a:ext cx="5688330" cy="17145"/>
                        </a:xfrm>
                        <a:custGeom>
                          <a:avLst/>
                          <a:gdLst/>
                          <a:ahLst/>
                          <a:cxnLst/>
                          <a:rect l="l" t="t" r="r" b="b"/>
                          <a:pathLst>
                            <a:path w="5688330" h="17145">
                              <a:moveTo>
                                <a:pt x="5688076" y="0"/>
                              </a:moveTo>
                              <a:lnTo>
                                <a:pt x="0" y="0"/>
                              </a:lnTo>
                              <a:lnTo>
                                <a:pt x="0" y="16827"/>
                              </a:lnTo>
                              <a:lnTo>
                                <a:pt x="5688076" y="16827"/>
                              </a:lnTo>
                              <a:lnTo>
                                <a:pt x="5688076"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7.166pt;margin-top:17.209999pt;width:447.88pt;height:1.325pt;mso-position-horizontal-relative:page;mso-position-vertical-relative:paragraph;z-index:-15582720;mso-wrap-distance-left:0;mso-wrap-distance-right:0" id="docshape584" filled="true" fillcolor="#4f81bd" stroked="false">
                <v:fill type="solid"/>
                <w10:wrap type="topAndBottom"/>
              </v:rect>
            </w:pict>
          </mc:Fallback>
        </mc:AlternateContent>
      </w:r>
    </w:p>
    <w:p>
      <w:pPr>
        <w:spacing w:line="240" w:lineRule="auto" w:before="1"/>
        <w:rPr>
          <w:sz w:val="6"/>
        </w:rPr>
      </w:pPr>
    </w:p>
    <w:p>
      <w:pPr>
        <w:spacing w:after="0" w:line="240" w:lineRule="auto"/>
        <w:rPr>
          <w:sz w:val="6"/>
        </w:rPr>
        <w:sectPr>
          <w:type w:val="continuous"/>
          <w:pgSz w:w="11910" w:h="16840"/>
          <w:pgMar w:header="468" w:footer="0" w:top="980" w:bottom="280" w:left="920" w:right="0"/>
        </w:sectPr>
      </w:pPr>
    </w:p>
    <w:p>
      <w:pPr>
        <w:pStyle w:val="ListParagraph"/>
        <w:numPr>
          <w:ilvl w:val="1"/>
          <w:numId w:val="13"/>
        </w:numPr>
        <w:tabs>
          <w:tab w:pos="480" w:val="left" w:leader="none"/>
        </w:tabs>
        <w:spacing w:line="240" w:lineRule="auto" w:before="91" w:after="0"/>
        <w:ind w:left="480" w:right="0" w:hanging="226"/>
        <w:jc w:val="left"/>
        <w:rPr>
          <w:b/>
          <w:color w:val="0070C0"/>
          <w:sz w:val="14"/>
        </w:rPr>
      </w:pPr>
    </w:p>
    <w:p>
      <w:pPr>
        <w:spacing w:line="273" w:lineRule="auto" w:before="69"/>
        <w:ind w:left="254" w:right="38" w:firstLine="0"/>
        <w:jc w:val="left"/>
        <w:rPr>
          <w:b/>
          <w:sz w:val="16"/>
        </w:rPr>
      </w:pPr>
      <w:r>
        <w:rPr/>
        <w:br w:type="column"/>
      </w:r>
      <w:r>
        <w:rPr>
          <w:b/>
          <w:color w:val="0070C0"/>
          <w:sz w:val="16"/>
        </w:rPr>
        <w:t>Australian Government financial assistance including HECS-HELP and other Australian Government loan </w:t>
      </w:r>
      <w:r>
        <w:rPr>
          <w:b/>
          <w:color w:val="0070C0"/>
          <w:spacing w:val="-2"/>
          <w:sz w:val="16"/>
        </w:rPr>
        <w:t>programs</w:t>
      </w:r>
    </w:p>
    <w:p>
      <w:pPr>
        <w:tabs>
          <w:tab w:pos="1185" w:val="left" w:leader="none"/>
          <w:tab w:pos="2101" w:val="left" w:leader="none"/>
          <w:tab w:pos="2381" w:val="left" w:leader="none"/>
          <w:tab w:pos="3317" w:val="right" w:leader="none"/>
        </w:tabs>
        <w:spacing w:line="328" w:lineRule="auto" w:before="119"/>
        <w:ind w:left="269" w:right="2107" w:firstLine="176"/>
        <w:jc w:val="left"/>
        <w:rPr>
          <w:b/>
          <w:sz w:val="13"/>
        </w:rPr>
      </w:pPr>
      <w:r>
        <w:rPr/>
        <w:br w:type="column"/>
      </w:r>
      <w:r>
        <w:rPr>
          <w:b/>
          <w:spacing w:val="-2"/>
          <w:w w:val="105"/>
          <w:sz w:val="13"/>
        </w:rPr>
        <w:t>Consolidated</w:t>
      </w:r>
      <w:r>
        <w:rPr>
          <w:b/>
          <w:sz w:val="13"/>
        </w:rPr>
        <w:tab/>
        <w:tab/>
      </w:r>
      <w:r>
        <w:rPr>
          <w:b/>
          <w:spacing w:val="-2"/>
          <w:w w:val="105"/>
          <w:sz w:val="13"/>
        </w:rPr>
        <w:t>University</w:t>
      </w:r>
      <w:r>
        <w:rPr>
          <w:b/>
          <w:spacing w:val="40"/>
          <w:w w:val="105"/>
          <w:sz w:val="13"/>
        </w:rPr>
        <w:t> </w:t>
      </w:r>
      <w:r>
        <w:rPr>
          <w:b/>
          <w:spacing w:val="-4"/>
          <w:sz w:val="13"/>
        </w:rPr>
        <w:t>2020</w:t>
      </w:r>
      <w:r>
        <w:rPr>
          <w:b/>
          <w:sz w:val="13"/>
        </w:rPr>
        <w:tab/>
      </w:r>
      <w:r>
        <w:rPr>
          <w:b/>
          <w:spacing w:val="-4"/>
          <w:sz w:val="13"/>
        </w:rPr>
        <w:t>2019</w:t>
      </w:r>
      <w:r>
        <w:rPr>
          <w:b/>
          <w:sz w:val="13"/>
        </w:rPr>
        <w:tab/>
      </w:r>
      <w:r>
        <w:rPr>
          <w:b/>
          <w:spacing w:val="-4"/>
          <w:sz w:val="13"/>
        </w:rPr>
        <w:t>2020</w:t>
      </w:r>
      <w:r>
        <w:rPr>
          <w:b/>
          <w:sz w:val="13"/>
        </w:rPr>
        <w:tab/>
        <w:tab/>
      </w:r>
      <w:r>
        <w:rPr>
          <w:b/>
          <w:spacing w:val="-4"/>
          <w:sz w:val="13"/>
        </w:rPr>
        <w:t>2019</w:t>
      </w:r>
    </w:p>
    <w:p>
      <w:pPr>
        <w:tabs>
          <w:tab w:pos="1170" w:val="left" w:leader="none"/>
          <w:tab w:pos="2085" w:val="left" w:leader="none"/>
          <w:tab w:pos="3001" w:val="left" w:leader="none"/>
        </w:tabs>
        <w:spacing w:line="128" w:lineRule="exact" w:before="0"/>
        <w:ind w:left="254" w:right="0" w:firstLine="0"/>
        <w:jc w:val="left"/>
        <w:rPr>
          <w:b/>
          <w:sz w:val="13"/>
        </w:rPr>
      </w:pPr>
      <w:r>
        <w:rPr>
          <w:b/>
          <w:spacing w:val="-2"/>
          <w:w w:val="105"/>
          <w:sz w:val="13"/>
        </w:rPr>
        <w:t>$'000</w:t>
      </w:r>
      <w:r>
        <w:rPr>
          <w:b/>
          <w:sz w:val="13"/>
        </w:rPr>
        <w:tab/>
      </w:r>
      <w:r>
        <w:rPr>
          <w:b/>
          <w:spacing w:val="-2"/>
          <w:w w:val="105"/>
          <w:sz w:val="13"/>
        </w:rPr>
        <w:t>$'000</w:t>
      </w:r>
      <w:r>
        <w:rPr>
          <w:b/>
          <w:sz w:val="13"/>
        </w:rPr>
        <w:tab/>
      </w:r>
      <w:r>
        <w:rPr>
          <w:b/>
          <w:spacing w:val="-4"/>
          <w:w w:val="105"/>
          <w:sz w:val="13"/>
        </w:rPr>
        <w:t>$'000</w:t>
      </w:r>
      <w:r>
        <w:rPr>
          <w:b/>
          <w:sz w:val="13"/>
        </w:rPr>
        <w:tab/>
      </w:r>
      <w:r>
        <w:rPr>
          <w:b/>
          <w:spacing w:val="-2"/>
          <w:w w:val="105"/>
          <w:sz w:val="13"/>
        </w:rPr>
        <w:t>$'000</w:t>
      </w:r>
    </w:p>
    <w:p>
      <w:pPr>
        <w:spacing w:line="20" w:lineRule="exact"/>
        <w:ind w:left="-44" w:right="0" w:firstLine="0"/>
        <w:rPr>
          <w:sz w:val="2"/>
        </w:rPr>
      </w:pPr>
      <w:r>
        <w:rPr>
          <w:sz w:val="2"/>
        </w:rPr>
        <mc:AlternateContent>
          <mc:Choice Requires="wps">
            <w:drawing>
              <wp:inline distT="0" distB="0" distL="0" distR="0">
                <wp:extent cx="2327910" cy="8890"/>
                <wp:effectExtent l="0" t="0" r="0" b="0"/>
                <wp:docPr id="891" name="Group 891"/>
                <wp:cNvGraphicFramePr>
                  <a:graphicFrameLocks/>
                </wp:cNvGraphicFramePr>
                <a:graphic>
                  <a:graphicData uri="http://schemas.microsoft.com/office/word/2010/wordprocessingGroup">
                    <wpg:wgp>
                      <wpg:cNvPr id="891" name="Group 891"/>
                      <wpg:cNvGrpSpPr/>
                      <wpg:grpSpPr>
                        <a:xfrm>
                          <a:off x="0" y="0"/>
                          <a:ext cx="2327910" cy="8890"/>
                          <a:chExt cx="2327910" cy="8890"/>
                        </a:xfrm>
                      </wpg:grpSpPr>
                      <wps:wsp>
                        <wps:cNvPr id="892" name="Graphic 892"/>
                        <wps:cNvSpPr/>
                        <wps:spPr>
                          <a:xfrm>
                            <a:off x="0" y="0"/>
                            <a:ext cx="2327910" cy="8890"/>
                          </a:xfrm>
                          <a:custGeom>
                            <a:avLst/>
                            <a:gdLst/>
                            <a:ahLst/>
                            <a:cxnLst/>
                            <a:rect l="l" t="t" r="r" b="b"/>
                            <a:pathLst>
                              <a:path w="2327910" h="8890">
                                <a:moveTo>
                                  <a:pt x="2327643" y="0"/>
                                </a:moveTo>
                                <a:lnTo>
                                  <a:pt x="0" y="0"/>
                                </a:lnTo>
                                <a:lnTo>
                                  <a:pt x="0" y="8407"/>
                                </a:lnTo>
                                <a:lnTo>
                                  <a:pt x="2327643" y="8407"/>
                                </a:lnTo>
                                <a:lnTo>
                                  <a:pt x="2327643"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83.3pt;height:.7pt;mso-position-horizontal-relative:char;mso-position-vertical-relative:line" id="docshapegroup585" coordorigin="0,0" coordsize="3666,14">
                <v:rect style="position:absolute;left:0;top:0;width:3666;height:14" id="docshape586" filled="true" fillcolor="#000000" stroked="false">
                  <v:fill type="solid"/>
                </v:rect>
              </v:group>
            </w:pict>
          </mc:Fallback>
        </mc:AlternateContent>
      </w:r>
      <w:r>
        <w:rPr>
          <w:sz w:val="2"/>
        </w:rPr>
      </w:r>
    </w:p>
    <w:p>
      <w:pPr>
        <w:spacing w:after="0" w:line="20" w:lineRule="exact"/>
        <w:rPr>
          <w:sz w:val="2"/>
        </w:rPr>
        <w:sectPr>
          <w:type w:val="continuous"/>
          <w:pgSz w:w="11910" w:h="16840"/>
          <w:pgMar w:header="468" w:footer="0" w:top="980" w:bottom="280" w:left="920" w:right="0"/>
          <w:cols w:num="3" w:equalWidth="0">
            <w:col w:w="522" w:space="84"/>
            <w:col w:w="4458" w:space="495"/>
            <w:col w:w="5431"/>
          </w:cols>
        </w:sectPr>
      </w:pPr>
    </w:p>
    <w:p>
      <w:pPr>
        <w:spacing w:line="240" w:lineRule="auto" w:before="8"/>
        <w:rPr>
          <w:b/>
          <w:sz w:val="13"/>
        </w:rPr>
      </w:pPr>
    </w:p>
    <w:p>
      <w:pPr>
        <w:pStyle w:val="ListParagraph"/>
        <w:numPr>
          <w:ilvl w:val="0"/>
          <w:numId w:val="19"/>
        </w:numPr>
        <w:tabs>
          <w:tab w:pos="856" w:val="left" w:leader="none"/>
        </w:tabs>
        <w:spacing w:line="240" w:lineRule="auto" w:before="0" w:after="0"/>
        <w:ind w:left="856" w:right="0" w:hanging="607"/>
        <w:jc w:val="left"/>
        <w:rPr>
          <w:b/>
          <w:sz w:val="13"/>
        </w:rPr>
      </w:pPr>
      <w:r>
        <w:rPr>
          <w:b/>
          <w:w w:val="105"/>
          <w:sz w:val="13"/>
        </w:rPr>
        <w:t>Commonwealth</w:t>
      </w:r>
      <w:r>
        <w:rPr>
          <w:b/>
          <w:spacing w:val="-5"/>
          <w:w w:val="105"/>
          <w:sz w:val="13"/>
        </w:rPr>
        <w:t> </w:t>
      </w:r>
      <w:r>
        <w:rPr>
          <w:b/>
          <w:w w:val="105"/>
          <w:sz w:val="13"/>
        </w:rPr>
        <w:t>Grant</w:t>
      </w:r>
      <w:r>
        <w:rPr>
          <w:b/>
          <w:spacing w:val="-4"/>
          <w:w w:val="105"/>
          <w:sz w:val="13"/>
        </w:rPr>
        <w:t> </w:t>
      </w:r>
      <w:r>
        <w:rPr>
          <w:b/>
          <w:w w:val="105"/>
          <w:sz w:val="13"/>
        </w:rPr>
        <w:t>Scheme</w:t>
      </w:r>
      <w:r>
        <w:rPr>
          <w:b/>
          <w:spacing w:val="-6"/>
          <w:w w:val="105"/>
          <w:sz w:val="13"/>
        </w:rPr>
        <w:t> </w:t>
      </w:r>
      <w:r>
        <w:rPr>
          <w:b/>
          <w:w w:val="105"/>
          <w:sz w:val="13"/>
        </w:rPr>
        <w:t>and</w:t>
      </w:r>
      <w:r>
        <w:rPr>
          <w:b/>
          <w:spacing w:val="-5"/>
          <w:w w:val="105"/>
          <w:sz w:val="13"/>
        </w:rPr>
        <w:t> </w:t>
      </w:r>
      <w:r>
        <w:rPr>
          <w:b/>
          <w:w w:val="105"/>
          <w:sz w:val="13"/>
        </w:rPr>
        <w:t>other</w:t>
      </w:r>
      <w:r>
        <w:rPr>
          <w:b/>
          <w:spacing w:val="-5"/>
          <w:w w:val="105"/>
          <w:sz w:val="13"/>
        </w:rPr>
        <w:t> </w:t>
      </w:r>
      <w:r>
        <w:rPr>
          <w:b/>
          <w:spacing w:val="-2"/>
          <w:w w:val="105"/>
          <w:sz w:val="13"/>
        </w:rPr>
        <w:t>grants</w:t>
      </w:r>
    </w:p>
    <w:p>
      <w:pPr>
        <w:tabs>
          <w:tab w:pos="5096" w:val="left" w:leader="none"/>
          <w:tab w:pos="5870" w:val="left" w:leader="none"/>
          <w:tab w:pos="6786" w:val="left" w:leader="none"/>
          <w:tab w:pos="7702" w:val="left" w:leader="none"/>
          <w:tab w:pos="8618" w:val="left" w:leader="none"/>
        </w:tabs>
        <w:spacing w:before="25"/>
        <w:ind w:left="1044" w:right="0" w:firstLine="0"/>
        <w:jc w:val="left"/>
        <w:rPr>
          <w:sz w:val="13"/>
        </w:rPr>
      </w:pPr>
      <w:r>
        <w:rPr>
          <w:spacing w:val="-2"/>
          <w:w w:val="105"/>
          <w:sz w:val="13"/>
        </w:rPr>
        <w:t>Commonwealth</w:t>
      </w:r>
      <w:r>
        <w:rPr>
          <w:spacing w:val="5"/>
          <w:w w:val="105"/>
          <w:sz w:val="13"/>
        </w:rPr>
        <w:t> </w:t>
      </w:r>
      <w:r>
        <w:rPr>
          <w:spacing w:val="-2"/>
          <w:w w:val="105"/>
          <w:sz w:val="13"/>
        </w:rPr>
        <w:t>Grant</w:t>
      </w:r>
      <w:r>
        <w:rPr>
          <w:spacing w:val="5"/>
          <w:w w:val="105"/>
          <w:sz w:val="13"/>
        </w:rPr>
        <w:t> </w:t>
      </w:r>
      <w:r>
        <w:rPr>
          <w:spacing w:val="-2"/>
          <w:w w:val="105"/>
          <w:sz w:val="13"/>
        </w:rPr>
        <w:t>Scheme</w:t>
      </w:r>
      <w:r>
        <w:rPr>
          <w:sz w:val="13"/>
        </w:rPr>
        <w:tab/>
      </w:r>
      <w:r>
        <w:rPr>
          <w:spacing w:val="-2"/>
          <w:w w:val="105"/>
          <w:sz w:val="13"/>
        </w:rPr>
        <w:t>7.8(a)</w:t>
      </w:r>
      <w:r>
        <w:rPr>
          <w:sz w:val="13"/>
        </w:rPr>
        <w:tab/>
      </w:r>
      <w:r>
        <w:rPr>
          <w:spacing w:val="-2"/>
          <w:w w:val="105"/>
          <w:sz w:val="13"/>
        </w:rPr>
        <w:t>155,191</w:t>
      </w:r>
      <w:r>
        <w:rPr>
          <w:sz w:val="13"/>
        </w:rPr>
        <w:tab/>
      </w:r>
      <w:r>
        <w:rPr>
          <w:spacing w:val="-2"/>
          <w:w w:val="105"/>
          <w:sz w:val="13"/>
        </w:rPr>
        <w:t>146,520</w:t>
      </w:r>
      <w:r>
        <w:rPr>
          <w:sz w:val="13"/>
        </w:rPr>
        <w:tab/>
      </w:r>
      <w:r>
        <w:rPr>
          <w:spacing w:val="-2"/>
          <w:w w:val="105"/>
          <w:sz w:val="13"/>
        </w:rPr>
        <w:t>155,191</w:t>
      </w:r>
      <w:r>
        <w:rPr>
          <w:sz w:val="13"/>
        </w:rPr>
        <w:tab/>
      </w:r>
      <w:r>
        <w:rPr>
          <w:spacing w:val="-2"/>
          <w:w w:val="105"/>
          <w:sz w:val="13"/>
        </w:rPr>
        <w:t>146,520</w:t>
      </w:r>
    </w:p>
    <w:p>
      <w:pPr>
        <w:tabs>
          <w:tab w:pos="5096" w:val="left" w:leader="none"/>
          <w:tab w:pos="6020" w:val="left" w:leader="none"/>
          <w:tab w:pos="6936" w:val="left" w:leader="none"/>
          <w:tab w:pos="7852" w:val="left" w:leader="none"/>
          <w:tab w:pos="8768" w:val="left" w:leader="none"/>
        </w:tabs>
        <w:spacing w:before="29"/>
        <w:ind w:left="1044" w:right="0" w:firstLine="0"/>
        <w:jc w:val="left"/>
        <w:rPr>
          <w:sz w:val="13"/>
        </w:rPr>
      </w:pPr>
      <w:r>
        <w:rPr>
          <w:spacing w:val="-2"/>
          <w:w w:val="105"/>
          <w:sz w:val="13"/>
        </w:rPr>
        <w:t>Indigenous</w:t>
      </w:r>
      <w:r>
        <w:rPr>
          <w:spacing w:val="5"/>
          <w:w w:val="105"/>
          <w:sz w:val="13"/>
        </w:rPr>
        <w:t> </w:t>
      </w:r>
      <w:r>
        <w:rPr>
          <w:spacing w:val="-2"/>
          <w:w w:val="105"/>
          <w:sz w:val="13"/>
        </w:rPr>
        <w:t>Student</w:t>
      </w:r>
      <w:r>
        <w:rPr>
          <w:spacing w:val="4"/>
          <w:w w:val="105"/>
          <w:sz w:val="13"/>
        </w:rPr>
        <w:t> </w:t>
      </w:r>
      <w:r>
        <w:rPr>
          <w:spacing w:val="-2"/>
          <w:w w:val="105"/>
          <w:sz w:val="13"/>
        </w:rPr>
        <w:t>Success</w:t>
      </w:r>
      <w:r>
        <w:rPr>
          <w:spacing w:val="5"/>
          <w:w w:val="105"/>
          <w:sz w:val="13"/>
        </w:rPr>
        <w:t> </w:t>
      </w:r>
      <w:r>
        <w:rPr>
          <w:spacing w:val="-2"/>
          <w:w w:val="105"/>
          <w:sz w:val="13"/>
        </w:rPr>
        <w:t>Program</w:t>
      </w:r>
      <w:r>
        <w:rPr>
          <w:sz w:val="13"/>
        </w:rPr>
        <w:tab/>
      </w:r>
      <w:r>
        <w:rPr>
          <w:spacing w:val="-2"/>
          <w:w w:val="105"/>
          <w:sz w:val="13"/>
        </w:rPr>
        <w:t>7.8(a)</w:t>
      </w:r>
      <w:r>
        <w:rPr>
          <w:sz w:val="13"/>
        </w:rPr>
        <w:tab/>
      </w:r>
      <w:r>
        <w:rPr>
          <w:spacing w:val="-4"/>
          <w:w w:val="105"/>
          <w:sz w:val="13"/>
        </w:rPr>
        <w:t>1,303</w:t>
      </w:r>
      <w:r>
        <w:rPr>
          <w:sz w:val="13"/>
        </w:rPr>
        <w:tab/>
      </w:r>
      <w:r>
        <w:rPr>
          <w:spacing w:val="-2"/>
          <w:w w:val="105"/>
          <w:sz w:val="13"/>
        </w:rPr>
        <w:t>1,454</w:t>
      </w:r>
      <w:r>
        <w:rPr>
          <w:sz w:val="13"/>
        </w:rPr>
        <w:tab/>
      </w:r>
      <w:r>
        <w:rPr>
          <w:spacing w:val="-2"/>
          <w:w w:val="105"/>
          <w:sz w:val="13"/>
        </w:rPr>
        <w:t>1,303</w:t>
      </w:r>
      <w:r>
        <w:rPr>
          <w:sz w:val="13"/>
        </w:rPr>
        <w:tab/>
      </w:r>
      <w:r>
        <w:rPr>
          <w:spacing w:val="-2"/>
          <w:w w:val="105"/>
          <w:sz w:val="13"/>
        </w:rPr>
        <w:t>1,454</w:t>
      </w:r>
    </w:p>
    <w:p>
      <w:pPr>
        <w:tabs>
          <w:tab w:pos="5096" w:val="left" w:leader="none"/>
          <w:tab w:pos="6020" w:val="left" w:leader="none"/>
          <w:tab w:pos="6936" w:val="left" w:leader="none"/>
          <w:tab w:pos="7852" w:val="left" w:leader="none"/>
          <w:tab w:pos="8768" w:val="left" w:leader="none"/>
        </w:tabs>
        <w:spacing w:before="30"/>
        <w:ind w:left="1044" w:right="0" w:firstLine="0"/>
        <w:jc w:val="left"/>
        <w:rPr>
          <w:sz w:val="13"/>
        </w:rPr>
      </w:pPr>
      <w:r>
        <w:rPr>
          <w:w w:val="105"/>
          <w:sz w:val="13"/>
        </w:rPr>
        <w:t>Access</w:t>
      </w:r>
      <w:r>
        <w:rPr>
          <w:spacing w:val="-7"/>
          <w:w w:val="105"/>
          <w:sz w:val="13"/>
        </w:rPr>
        <w:t> </w:t>
      </w:r>
      <w:r>
        <w:rPr>
          <w:w w:val="105"/>
          <w:sz w:val="13"/>
        </w:rPr>
        <w:t>and</w:t>
      </w:r>
      <w:r>
        <w:rPr>
          <w:spacing w:val="-8"/>
          <w:w w:val="105"/>
          <w:sz w:val="13"/>
        </w:rPr>
        <w:t> </w:t>
      </w:r>
      <w:r>
        <w:rPr>
          <w:w w:val="105"/>
          <w:sz w:val="13"/>
        </w:rPr>
        <w:t>Participation</w:t>
      </w:r>
      <w:r>
        <w:rPr>
          <w:spacing w:val="-8"/>
          <w:w w:val="105"/>
          <w:sz w:val="13"/>
        </w:rPr>
        <w:t> </w:t>
      </w:r>
      <w:r>
        <w:rPr>
          <w:spacing w:val="-4"/>
          <w:w w:val="105"/>
          <w:sz w:val="13"/>
        </w:rPr>
        <w:t>Fund</w:t>
      </w:r>
      <w:r>
        <w:rPr>
          <w:sz w:val="13"/>
        </w:rPr>
        <w:tab/>
      </w:r>
      <w:r>
        <w:rPr>
          <w:spacing w:val="-2"/>
          <w:w w:val="105"/>
          <w:sz w:val="13"/>
        </w:rPr>
        <w:t>7.8(a)</w:t>
      </w:r>
      <w:r>
        <w:rPr>
          <w:sz w:val="13"/>
        </w:rPr>
        <w:tab/>
      </w:r>
      <w:r>
        <w:rPr>
          <w:spacing w:val="-4"/>
          <w:w w:val="105"/>
          <w:sz w:val="13"/>
        </w:rPr>
        <w:t>1,135</w:t>
      </w:r>
      <w:r>
        <w:rPr>
          <w:sz w:val="13"/>
        </w:rPr>
        <w:tab/>
      </w:r>
      <w:r>
        <w:rPr>
          <w:spacing w:val="-2"/>
          <w:w w:val="105"/>
          <w:sz w:val="13"/>
        </w:rPr>
        <w:t>1,162</w:t>
      </w:r>
      <w:r>
        <w:rPr>
          <w:sz w:val="13"/>
        </w:rPr>
        <w:tab/>
      </w:r>
      <w:r>
        <w:rPr>
          <w:spacing w:val="-2"/>
          <w:w w:val="105"/>
          <w:sz w:val="13"/>
        </w:rPr>
        <w:t>1,135</w:t>
      </w:r>
      <w:r>
        <w:rPr>
          <w:sz w:val="13"/>
        </w:rPr>
        <w:tab/>
      </w:r>
      <w:r>
        <w:rPr>
          <w:spacing w:val="-2"/>
          <w:w w:val="105"/>
          <w:sz w:val="13"/>
        </w:rPr>
        <w:t>1,162</w:t>
      </w:r>
    </w:p>
    <w:p>
      <w:pPr>
        <w:tabs>
          <w:tab w:pos="5096" w:val="left" w:leader="none"/>
          <w:tab w:pos="6133" w:val="left" w:leader="none"/>
          <w:tab w:pos="7049" w:val="left" w:leader="none"/>
          <w:tab w:pos="7965" w:val="left" w:leader="none"/>
          <w:tab w:pos="9106" w:val="right" w:leader="none"/>
        </w:tabs>
        <w:spacing w:before="29"/>
        <w:ind w:left="1044" w:right="0" w:firstLine="0"/>
        <w:jc w:val="left"/>
        <w:rPr>
          <w:sz w:val="13"/>
        </w:rPr>
      </w:pPr>
      <w:r>
        <w:rPr>
          <w:sz w:val="13"/>
        </w:rPr>
        <w:t>Disability</w:t>
      </w:r>
      <w:r>
        <w:rPr>
          <w:spacing w:val="19"/>
          <w:sz w:val="13"/>
        </w:rPr>
        <w:t> </w:t>
      </w:r>
      <w:r>
        <w:rPr>
          <w:sz w:val="13"/>
        </w:rPr>
        <w:t>Performance</w:t>
      </w:r>
      <w:r>
        <w:rPr>
          <w:spacing w:val="27"/>
          <w:sz w:val="13"/>
        </w:rPr>
        <w:t> </w:t>
      </w:r>
      <w:r>
        <w:rPr>
          <w:spacing w:val="-2"/>
          <w:sz w:val="13"/>
        </w:rPr>
        <w:t>Funding</w:t>
      </w:r>
      <w:r>
        <w:rPr>
          <w:sz w:val="13"/>
        </w:rPr>
        <w:tab/>
      </w:r>
      <w:r>
        <w:rPr>
          <w:spacing w:val="-2"/>
          <w:sz w:val="13"/>
        </w:rPr>
        <w:t>7.8(a)</w:t>
      </w:r>
      <w:r>
        <w:rPr>
          <w:sz w:val="13"/>
        </w:rPr>
        <w:tab/>
      </w:r>
      <w:r>
        <w:rPr>
          <w:spacing w:val="-5"/>
          <w:sz w:val="13"/>
        </w:rPr>
        <w:t>118</w:t>
      </w:r>
      <w:r>
        <w:rPr>
          <w:sz w:val="13"/>
        </w:rPr>
        <w:tab/>
      </w:r>
      <w:r>
        <w:rPr>
          <w:spacing w:val="-5"/>
          <w:sz w:val="13"/>
        </w:rPr>
        <w:t>131</w:t>
      </w:r>
      <w:r>
        <w:rPr>
          <w:sz w:val="13"/>
        </w:rPr>
        <w:tab/>
      </w:r>
      <w:r>
        <w:rPr>
          <w:spacing w:val="-5"/>
          <w:sz w:val="13"/>
        </w:rPr>
        <w:t>118</w:t>
      </w:r>
      <w:r>
        <w:rPr>
          <w:sz w:val="13"/>
        </w:rPr>
        <w:tab/>
      </w:r>
      <w:r>
        <w:rPr>
          <w:spacing w:val="-5"/>
          <w:sz w:val="13"/>
        </w:rPr>
        <w:t>131</w:t>
      </w:r>
    </w:p>
    <w:p>
      <w:pPr>
        <w:tabs>
          <w:tab w:pos="4910" w:val="left" w:leader="none"/>
          <w:tab w:pos="5096" w:val="left" w:leader="none"/>
          <w:tab w:pos="5872" w:val="left" w:leader="none"/>
          <w:tab w:pos="6134" w:val="left" w:leader="none"/>
          <w:tab w:pos="6321" w:val="left" w:leader="none"/>
          <w:tab w:pos="6788" w:val="left" w:leader="none"/>
          <w:tab w:pos="7050" w:val="left" w:leader="none"/>
          <w:tab w:pos="7237" w:val="left" w:leader="none"/>
          <w:tab w:pos="7703" w:val="left" w:leader="none"/>
          <w:tab w:pos="7966" w:val="left" w:leader="none"/>
          <w:tab w:pos="8153" w:val="left" w:leader="none"/>
          <w:tab w:pos="8619" w:val="left" w:leader="none"/>
          <w:tab w:pos="8882" w:val="left" w:leader="none"/>
          <w:tab w:pos="9069" w:val="left" w:leader="none"/>
        </w:tabs>
        <w:spacing w:line="288" w:lineRule="auto" w:before="29"/>
        <w:ind w:left="858" w:right="1868" w:firstLine="186"/>
        <w:jc w:val="right"/>
        <w:rPr>
          <w:sz w:val="13"/>
        </w:rPr>
      </w:pPr>
      <w:r>
        <w:rPr/>
        <mc:AlternateContent>
          <mc:Choice Requires="wps">
            <w:drawing>
              <wp:anchor distT="0" distB="0" distL="0" distR="0" allowOverlap="1" layoutInCell="1" locked="0" behindDoc="0" simplePos="0" relativeHeight="15875584">
                <wp:simplePos x="0" y="0"/>
                <wp:positionH relativeFrom="page">
                  <wp:posOffset>4086453</wp:posOffset>
                </wp:positionH>
                <wp:positionV relativeFrom="paragraph">
                  <wp:posOffset>344230</wp:posOffset>
                </wp:positionV>
                <wp:extent cx="2327910" cy="8890"/>
                <wp:effectExtent l="0" t="0" r="0" b="0"/>
                <wp:wrapNone/>
                <wp:docPr id="893" name="Graphic 893"/>
                <wp:cNvGraphicFramePr>
                  <a:graphicFrameLocks/>
                </wp:cNvGraphicFramePr>
                <a:graphic>
                  <a:graphicData uri="http://schemas.microsoft.com/office/word/2010/wordprocessingShape">
                    <wps:wsp>
                      <wps:cNvPr id="893" name="Graphic 893"/>
                      <wps:cNvSpPr/>
                      <wps:spPr>
                        <a:xfrm>
                          <a:off x="0" y="0"/>
                          <a:ext cx="2327910" cy="8890"/>
                        </a:xfrm>
                        <a:custGeom>
                          <a:avLst/>
                          <a:gdLst/>
                          <a:ahLst/>
                          <a:cxnLst/>
                          <a:rect l="l" t="t" r="r" b="b"/>
                          <a:pathLst>
                            <a:path w="2327910" h="8890">
                              <a:moveTo>
                                <a:pt x="2327643" y="0"/>
                              </a:moveTo>
                              <a:lnTo>
                                <a:pt x="0" y="0"/>
                              </a:lnTo>
                              <a:lnTo>
                                <a:pt x="0" y="8394"/>
                              </a:lnTo>
                              <a:lnTo>
                                <a:pt x="2327643" y="8394"/>
                              </a:lnTo>
                              <a:lnTo>
                                <a:pt x="232764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321.768005pt;margin-top:27.104773pt;width:183.279pt;height:.661pt;mso-position-horizontal-relative:page;mso-position-vertical-relative:paragraph;z-index:15875584" id="docshape587"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5876096">
                <wp:simplePos x="0" y="0"/>
                <wp:positionH relativeFrom="page">
                  <wp:posOffset>4086453</wp:posOffset>
                </wp:positionH>
                <wp:positionV relativeFrom="paragraph">
                  <wp:posOffset>457730</wp:posOffset>
                </wp:positionV>
                <wp:extent cx="2327910" cy="8890"/>
                <wp:effectExtent l="0" t="0" r="0" b="0"/>
                <wp:wrapNone/>
                <wp:docPr id="894" name="Graphic 894"/>
                <wp:cNvGraphicFramePr>
                  <a:graphicFrameLocks/>
                </wp:cNvGraphicFramePr>
                <a:graphic>
                  <a:graphicData uri="http://schemas.microsoft.com/office/word/2010/wordprocessingShape">
                    <wps:wsp>
                      <wps:cNvPr id="894" name="Graphic 894"/>
                      <wps:cNvSpPr/>
                      <wps:spPr>
                        <a:xfrm>
                          <a:off x="0" y="0"/>
                          <a:ext cx="2327910" cy="8890"/>
                        </a:xfrm>
                        <a:custGeom>
                          <a:avLst/>
                          <a:gdLst/>
                          <a:ahLst/>
                          <a:cxnLst/>
                          <a:rect l="l" t="t" r="r" b="b"/>
                          <a:pathLst>
                            <a:path w="2327910" h="8890">
                              <a:moveTo>
                                <a:pt x="2327643" y="0"/>
                              </a:moveTo>
                              <a:lnTo>
                                <a:pt x="0" y="0"/>
                              </a:lnTo>
                              <a:lnTo>
                                <a:pt x="0" y="8407"/>
                              </a:lnTo>
                              <a:lnTo>
                                <a:pt x="2327643" y="8407"/>
                              </a:lnTo>
                              <a:lnTo>
                                <a:pt x="232764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321.768005pt;margin-top:36.041775pt;width:183.279pt;height:.662pt;mso-position-horizontal-relative:page;mso-position-vertical-relative:paragraph;z-index:15876096" id="docshape588" filled="true" fillcolor="#000000" stroked="false">
                <v:fill type="solid"/>
                <w10:wrap type="none"/>
              </v:rect>
            </w:pict>
          </mc:Fallback>
        </mc:AlternateContent>
      </w:r>
      <w:r>
        <w:rPr>
          <w:w w:val="105"/>
          <w:sz w:val="13"/>
        </w:rPr>
        <w:t>Learning and Teaching Performance Fund</w:t>
      </w:r>
      <w:r>
        <w:rPr>
          <w:sz w:val="13"/>
        </w:rPr>
        <w:tab/>
        <w:tab/>
      </w:r>
      <w:r>
        <w:rPr>
          <w:spacing w:val="-2"/>
          <w:w w:val="105"/>
          <w:sz w:val="13"/>
        </w:rPr>
        <w:t>7.8(a)</w:t>
      </w:r>
      <w:r>
        <w:rPr>
          <w:sz w:val="13"/>
        </w:rPr>
        <w:tab/>
        <w:tab/>
        <w:tab/>
      </w:r>
      <w:r>
        <w:rPr>
          <w:spacing w:val="-10"/>
          <w:w w:val="105"/>
          <w:sz w:val="13"/>
        </w:rPr>
        <w:t>-</w:t>
      </w:r>
      <w:r>
        <w:rPr>
          <w:sz w:val="13"/>
        </w:rPr>
        <w:tab/>
        <w:tab/>
        <w:tab/>
      </w:r>
      <w:r>
        <w:rPr>
          <w:spacing w:val="-10"/>
          <w:w w:val="105"/>
          <w:sz w:val="13"/>
        </w:rPr>
        <w:t>-</w:t>
      </w:r>
      <w:r>
        <w:rPr>
          <w:sz w:val="13"/>
        </w:rPr>
        <w:tab/>
        <w:tab/>
        <w:tab/>
      </w:r>
      <w:r>
        <w:rPr>
          <w:spacing w:val="-10"/>
          <w:w w:val="105"/>
          <w:sz w:val="13"/>
        </w:rPr>
        <w:t>-</w:t>
      </w:r>
      <w:r>
        <w:rPr>
          <w:sz w:val="13"/>
        </w:rPr>
        <w:tab/>
        <w:tab/>
        <w:tab/>
      </w:r>
      <w:r>
        <w:rPr>
          <w:spacing w:val="-10"/>
          <w:w w:val="105"/>
          <w:sz w:val="13"/>
        </w:rPr>
        <w:t>-</w:t>
      </w:r>
      <w:r>
        <w:rPr>
          <w:spacing w:val="40"/>
          <w:w w:val="105"/>
          <w:sz w:val="13"/>
        </w:rPr>
        <w:t> </w:t>
      </w:r>
      <w:r>
        <w:rPr>
          <w:w w:val="105"/>
          <w:sz w:val="13"/>
        </w:rPr>
        <w:t>Diversity and Structural Adjustment</w:t>
      </w:r>
      <w:r>
        <w:rPr>
          <w:sz w:val="13"/>
        </w:rPr>
        <w:tab/>
      </w:r>
      <w:r>
        <w:rPr>
          <w:spacing w:val="-2"/>
          <w:w w:val="105"/>
          <w:sz w:val="13"/>
        </w:rPr>
        <w:t>7.8(a)</w:t>
      </w:r>
      <w:r>
        <w:rPr>
          <w:sz w:val="13"/>
        </w:rPr>
        <w:tab/>
        <w:tab/>
      </w:r>
      <w:r>
        <w:rPr>
          <w:spacing w:val="-10"/>
          <w:w w:val="105"/>
          <w:sz w:val="13"/>
        </w:rPr>
        <w:t>-</w:t>
      </w:r>
      <w:r>
        <w:rPr>
          <w:sz w:val="13"/>
        </w:rPr>
        <w:tab/>
        <w:tab/>
        <w:tab/>
      </w:r>
      <w:r>
        <w:rPr>
          <w:spacing w:val="-10"/>
          <w:w w:val="105"/>
          <w:sz w:val="13"/>
        </w:rPr>
        <w:t>-</w:t>
      </w:r>
      <w:r>
        <w:rPr>
          <w:sz w:val="13"/>
        </w:rPr>
        <w:tab/>
        <w:tab/>
        <w:tab/>
      </w:r>
      <w:r>
        <w:rPr>
          <w:spacing w:val="-10"/>
          <w:w w:val="105"/>
          <w:sz w:val="13"/>
        </w:rPr>
        <w:t>-</w:t>
      </w:r>
      <w:r>
        <w:rPr>
          <w:sz w:val="13"/>
        </w:rPr>
        <w:tab/>
        <w:tab/>
        <w:tab/>
      </w:r>
      <w:r>
        <w:rPr>
          <w:spacing w:val="-10"/>
          <w:w w:val="105"/>
          <w:sz w:val="13"/>
        </w:rPr>
        <w:t>-</w:t>
      </w:r>
      <w:r>
        <w:rPr>
          <w:spacing w:val="40"/>
          <w:w w:val="105"/>
          <w:sz w:val="13"/>
        </w:rPr>
        <w:t> </w:t>
      </w:r>
      <w:r>
        <w:rPr>
          <w:w w:val="105"/>
          <w:sz w:val="13"/>
        </w:rPr>
        <w:t>Promotion of Excellence in Learning and Teaching</w:t>
      </w:r>
      <w:r>
        <w:rPr>
          <w:sz w:val="13"/>
        </w:rPr>
        <w:tab/>
      </w:r>
      <w:r>
        <w:rPr>
          <w:spacing w:val="-2"/>
          <w:w w:val="105"/>
          <w:sz w:val="13"/>
        </w:rPr>
        <w:t>7.8(a)</w:t>
      </w:r>
      <w:r>
        <w:rPr>
          <w:sz w:val="13"/>
        </w:rPr>
        <w:tab/>
        <w:tab/>
      </w:r>
      <w:r>
        <w:rPr>
          <w:spacing w:val="-10"/>
          <w:w w:val="105"/>
          <w:sz w:val="13"/>
        </w:rPr>
        <w:t>-</w:t>
      </w:r>
      <w:r>
        <w:rPr>
          <w:sz w:val="13"/>
        </w:rPr>
        <w:tab/>
        <w:tab/>
        <w:tab/>
      </w:r>
      <w:r>
        <w:rPr>
          <w:spacing w:val="-10"/>
          <w:w w:val="105"/>
          <w:sz w:val="13"/>
        </w:rPr>
        <w:t>-</w:t>
      </w:r>
      <w:r>
        <w:rPr>
          <w:sz w:val="13"/>
        </w:rPr>
        <w:tab/>
        <w:tab/>
        <w:tab/>
      </w:r>
      <w:r>
        <w:rPr>
          <w:spacing w:val="-10"/>
          <w:w w:val="105"/>
          <w:sz w:val="13"/>
        </w:rPr>
        <w:t>-</w:t>
      </w:r>
      <w:r>
        <w:rPr>
          <w:sz w:val="13"/>
        </w:rPr>
        <w:tab/>
        <w:tab/>
        <w:tab/>
      </w:r>
      <w:r>
        <w:rPr>
          <w:spacing w:val="-10"/>
          <w:w w:val="105"/>
          <w:sz w:val="13"/>
        </w:rPr>
        <w:t>-</w:t>
      </w:r>
      <w:r>
        <w:rPr>
          <w:spacing w:val="40"/>
          <w:w w:val="105"/>
          <w:sz w:val="13"/>
        </w:rPr>
        <w:t> </w:t>
      </w:r>
      <w:r>
        <w:rPr>
          <w:w w:val="105"/>
          <w:sz w:val="13"/>
        </w:rPr>
        <w:t>Total</w:t>
      </w:r>
      <w:r>
        <w:rPr>
          <w:spacing w:val="-8"/>
          <w:w w:val="105"/>
          <w:sz w:val="13"/>
        </w:rPr>
        <w:t> </w:t>
      </w:r>
      <w:r>
        <w:rPr>
          <w:w w:val="105"/>
          <w:sz w:val="13"/>
        </w:rPr>
        <w:t>Commonwealth</w:t>
      </w:r>
      <w:r>
        <w:rPr>
          <w:spacing w:val="-9"/>
          <w:w w:val="105"/>
          <w:sz w:val="13"/>
        </w:rPr>
        <w:t> </w:t>
      </w:r>
      <w:r>
        <w:rPr>
          <w:w w:val="105"/>
          <w:sz w:val="13"/>
        </w:rPr>
        <w:t>Grant</w:t>
      </w:r>
      <w:r>
        <w:rPr>
          <w:spacing w:val="-8"/>
          <w:w w:val="105"/>
          <w:sz w:val="13"/>
        </w:rPr>
        <w:t> </w:t>
      </w:r>
      <w:r>
        <w:rPr>
          <w:w w:val="105"/>
          <w:sz w:val="13"/>
        </w:rPr>
        <w:t>Scheme</w:t>
      </w:r>
      <w:r>
        <w:rPr>
          <w:spacing w:val="-9"/>
          <w:w w:val="105"/>
          <w:sz w:val="13"/>
        </w:rPr>
        <w:t> </w:t>
      </w:r>
      <w:r>
        <w:rPr>
          <w:w w:val="105"/>
          <w:sz w:val="13"/>
        </w:rPr>
        <w:t>and</w:t>
      </w:r>
      <w:r>
        <w:rPr>
          <w:spacing w:val="-8"/>
          <w:w w:val="105"/>
          <w:sz w:val="13"/>
        </w:rPr>
        <w:t> </w:t>
      </w:r>
      <w:r>
        <w:rPr>
          <w:w w:val="105"/>
          <w:sz w:val="13"/>
        </w:rPr>
        <w:t>other</w:t>
      </w:r>
      <w:r>
        <w:rPr>
          <w:spacing w:val="-7"/>
          <w:w w:val="105"/>
          <w:sz w:val="13"/>
        </w:rPr>
        <w:t> </w:t>
      </w:r>
      <w:r>
        <w:rPr>
          <w:spacing w:val="-2"/>
          <w:w w:val="105"/>
          <w:sz w:val="13"/>
        </w:rPr>
        <w:t>grants</w:t>
      </w:r>
      <w:r>
        <w:rPr>
          <w:sz w:val="13"/>
        </w:rPr>
        <w:tab/>
        <w:tab/>
        <w:tab/>
      </w:r>
      <w:r>
        <w:rPr>
          <w:spacing w:val="-2"/>
          <w:w w:val="105"/>
          <w:sz w:val="13"/>
        </w:rPr>
        <w:t>157,747</w:t>
      </w:r>
      <w:r>
        <w:rPr>
          <w:sz w:val="13"/>
        </w:rPr>
        <w:tab/>
      </w:r>
      <w:r>
        <w:rPr>
          <w:spacing w:val="-2"/>
          <w:w w:val="105"/>
          <w:sz w:val="13"/>
        </w:rPr>
        <w:t>149,267</w:t>
      </w:r>
      <w:r>
        <w:rPr>
          <w:sz w:val="13"/>
        </w:rPr>
        <w:tab/>
      </w:r>
      <w:r>
        <w:rPr>
          <w:spacing w:val="-2"/>
          <w:w w:val="105"/>
          <w:sz w:val="13"/>
        </w:rPr>
        <w:t>157,747</w:t>
      </w:r>
      <w:r>
        <w:rPr>
          <w:sz w:val="13"/>
        </w:rPr>
        <w:tab/>
      </w:r>
      <w:r>
        <w:rPr>
          <w:spacing w:val="-2"/>
          <w:w w:val="105"/>
          <w:sz w:val="13"/>
        </w:rPr>
        <w:t>149,267</w:t>
      </w:r>
    </w:p>
    <w:p>
      <w:pPr>
        <w:spacing w:line="240" w:lineRule="auto" w:before="26"/>
        <w:rPr>
          <w:sz w:val="13"/>
        </w:rPr>
      </w:pPr>
    </w:p>
    <w:p>
      <w:pPr>
        <w:spacing w:before="1"/>
        <w:ind w:left="858" w:right="0" w:firstLine="0"/>
        <w:jc w:val="both"/>
        <w:rPr>
          <w:b/>
          <w:i/>
          <w:sz w:val="13"/>
        </w:rPr>
      </w:pPr>
      <w:r>
        <w:rPr>
          <w:b/>
          <w:i/>
          <w:color w:val="0070C0"/>
          <w:w w:val="105"/>
          <w:sz w:val="13"/>
        </w:rPr>
        <w:t>Accounting</w:t>
      </w:r>
      <w:r>
        <w:rPr>
          <w:b/>
          <w:i/>
          <w:color w:val="0070C0"/>
          <w:spacing w:val="-6"/>
          <w:w w:val="105"/>
          <w:sz w:val="13"/>
        </w:rPr>
        <w:t> </w:t>
      </w:r>
      <w:r>
        <w:rPr>
          <w:b/>
          <w:i/>
          <w:color w:val="0070C0"/>
          <w:spacing w:val="-2"/>
          <w:w w:val="105"/>
          <w:sz w:val="13"/>
        </w:rPr>
        <w:t>policy</w:t>
      </w:r>
    </w:p>
    <w:p>
      <w:pPr>
        <w:spacing w:line="273" w:lineRule="auto" w:before="25"/>
        <w:ind w:left="856" w:right="1828" w:firstLine="0"/>
        <w:jc w:val="both"/>
        <w:rPr>
          <w:sz w:val="13"/>
        </w:rPr>
      </w:pPr>
      <w:r>
        <w:rPr>
          <w:w w:val="105"/>
          <w:sz w:val="13"/>
        </w:rPr>
        <w:t>Commonwealth Grant Scheme funding represents subsidies for tuition costs for higher education students. This falls under AASB15 and</w:t>
      </w:r>
      <w:r>
        <w:rPr>
          <w:spacing w:val="40"/>
          <w:w w:val="105"/>
          <w:sz w:val="13"/>
        </w:rPr>
        <w:t> </w:t>
      </w:r>
      <w:r>
        <w:rPr>
          <w:w w:val="105"/>
          <w:sz w:val="13"/>
        </w:rPr>
        <w:t>the revenue is recognised over time as the students receive the tuition services.</w:t>
      </w:r>
    </w:p>
    <w:p>
      <w:pPr>
        <w:spacing w:line="240" w:lineRule="auto" w:before="19"/>
        <w:rPr>
          <w:sz w:val="13"/>
        </w:rPr>
      </w:pPr>
    </w:p>
    <w:p>
      <w:pPr>
        <w:spacing w:line="273" w:lineRule="auto" w:before="0"/>
        <w:ind w:left="856" w:right="1828" w:hanging="1"/>
        <w:jc w:val="both"/>
        <w:rPr>
          <w:sz w:val="13"/>
        </w:rPr>
      </w:pPr>
      <w:r>
        <w:rPr>
          <w:w w:val="105"/>
          <w:sz w:val="13"/>
        </w:rPr>
        <w:t>Indigenous Support</w:t>
      </w:r>
      <w:r>
        <w:rPr>
          <w:spacing w:val="-1"/>
          <w:w w:val="105"/>
          <w:sz w:val="13"/>
        </w:rPr>
        <w:t> </w:t>
      </w:r>
      <w:r>
        <w:rPr>
          <w:w w:val="105"/>
          <w:sz w:val="13"/>
        </w:rPr>
        <w:t>Program</w:t>
      </w:r>
      <w:r>
        <w:rPr>
          <w:spacing w:val="-2"/>
          <w:w w:val="105"/>
          <w:sz w:val="13"/>
        </w:rPr>
        <w:t> </w:t>
      </w:r>
      <w:r>
        <w:rPr>
          <w:w w:val="105"/>
          <w:sz w:val="13"/>
        </w:rPr>
        <w:t>funding</w:t>
      </w:r>
      <w:r>
        <w:rPr>
          <w:spacing w:val="-1"/>
          <w:w w:val="105"/>
          <w:sz w:val="13"/>
        </w:rPr>
        <w:t> </w:t>
      </w:r>
      <w:r>
        <w:rPr>
          <w:w w:val="105"/>
          <w:sz w:val="13"/>
        </w:rPr>
        <w:t>represents</w:t>
      </w:r>
      <w:r>
        <w:rPr>
          <w:spacing w:val="-3"/>
          <w:w w:val="105"/>
          <w:sz w:val="13"/>
        </w:rPr>
        <w:t> </w:t>
      </w:r>
      <w:r>
        <w:rPr>
          <w:w w:val="105"/>
          <w:sz w:val="13"/>
        </w:rPr>
        <w:t>grants provided</w:t>
      </w:r>
      <w:r>
        <w:rPr>
          <w:spacing w:val="-4"/>
          <w:w w:val="105"/>
          <w:sz w:val="13"/>
        </w:rPr>
        <w:t> </w:t>
      </w:r>
      <w:r>
        <w:rPr>
          <w:w w:val="105"/>
          <w:sz w:val="13"/>
        </w:rPr>
        <w:t>to</w:t>
      </w:r>
      <w:r>
        <w:rPr>
          <w:spacing w:val="-2"/>
          <w:w w:val="105"/>
          <w:sz w:val="13"/>
        </w:rPr>
        <w:t> </w:t>
      </w:r>
      <w:r>
        <w:rPr>
          <w:w w:val="105"/>
          <w:sz w:val="13"/>
        </w:rPr>
        <w:t>accelerate</w:t>
      </w:r>
      <w:r>
        <w:rPr>
          <w:spacing w:val="-4"/>
          <w:w w:val="105"/>
          <w:sz w:val="13"/>
        </w:rPr>
        <w:t> </w:t>
      </w:r>
      <w:r>
        <w:rPr>
          <w:w w:val="105"/>
          <w:sz w:val="13"/>
        </w:rPr>
        <w:t>improvements</w:t>
      </w:r>
      <w:r>
        <w:rPr>
          <w:spacing w:val="-1"/>
          <w:w w:val="105"/>
          <w:sz w:val="13"/>
        </w:rPr>
        <w:t> </w:t>
      </w:r>
      <w:r>
        <w:rPr>
          <w:w w:val="105"/>
          <w:sz w:val="13"/>
        </w:rPr>
        <w:t>in</w:t>
      </w:r>
      <w:r>
        <w:rPr>
          <w:spacing w:val="-4"/>
          <w:w w:val="105"/>
          <w:sz w:val="13"/>
        </w:rPr>
        <w:t> </w:t>
      </w:r>
      <w:r>
        <w:rPr>
          <w:w w:val="105"/>
          <w:sz w:val="13"/>
        </w:rPr>
        <w:t>the</w:t>
      </w:r>
      <w:r>
        <w:rPr>
          <w:spacing w:val="-2"/>
          <w:w w:val="105"/>
          <w:sz w:val="13"/>
        </w:rPr>
        <w:t> </w:t>
      </w:r>
      <w:r>
        <w:rPr>
          <w:w w:val="105"/>
          <w:sz w:val="13"/>
        </w:rPr>
        <w:t>university</w:t>
      </w:r>
      <w:r>
        <w:rPr>
          <w:spacing w:val="-6"/>
          <w:w w:val="105"/>
          <w:sz w:val="13"/>
        </w:rPr>
        <w:t> </w:t>
      </w:r>
      <w:r>
        <w:rPr>
          <w:w w:val="105"/>
          <w:sz w:val="13"/>
        </w:rPr>
        <w:t>enrolment,</w:t>
      </w:r>
      <w:r>
        <w:rPr>
          <w:spacing w:val="-1"/>
          <w:w w:val="105"/>
          <w:sz w:val="13"/>
        </w:rPr>
        <w:t> </w:t>
      </w:r>
      <w:r>
        <w:rPr>
          <w:w w:val="105"/>
          <w:sz w:val="13"/>
        </w:rPr>
        <w:t>progression</w:t>
      </w:r>
      <w:r>
        <w:rPr>
          <w:spacing w:val="-4"/>
          <w:w w:val="105"/>
          <w:sz w:val="13"/>
        </w:rPr>
        <w:t> </w:t>
      </w:r>
      <w:r>
        <w:rPr>
          <w:w w:val="105"/>
          <w:sz w:val="13"/>
        </w:rPr>
        <w:t>and</w:t>
      </w:r>
      <w:r>
        <w:rPr>
          <w:spacing w:val="40"/>
          <w:w w:val="105"/>
          <w:sz w:val="13"/>
        </w:rPr>
        <w:t> </w:t>
      </w:r>
      <w:r>
        <w:rPr>
          <w:w w:val="105"/>
          <w:sz w:val="13"/>
        </w:rPr>
        <w:t>award completions of</w:t>
      </w:r>
      <w:r>
        <w:rPr>
          <w:w w:val="105"/>
          <w:sz w:val="13"/>
        </w:rPr>
        <w:t> Indigenous Australians. This falls under AASB1058 (as the performance obligations are not ‘sufficiently specific’)</w:t>
      </w:r>
      <w:r>
        <w:rPr>
          <w:spacing w:val="40"/>
          <w:w w:val="105"/>
          <w:sz w:val="13"/>
        </w:rPr>
        <w:t> </w:t>
      </w:r>
      <w:r>
        <w:rPr>
          <w:w w:val="105"/>
          <w:sz w:val="13"/>
        </w:rPr>
        <w:t>and the revenue is recognised when received.</w:t>
      </w:r>
    </w:p>
    <w:p>
      <w:pPr>
        <w:spacing w:line="240" w:lineRule="auto" w:before="19"/>
        <w:rPr>
          <w:sz w:val="13"/>
        </w:rPr>
      </w:pPr>
    </w:p>
    <w:p>
      <w:pPr>
        <w:spacing w:line="273" w:lineRule="auto" w:before="0"/>
        <w:ind w:left="856" w:right="1827" w:firstLine="0"/>
        <w:jc w:val="both"/>
        <w:rPr>
          <w:sz w:val="13"/>
        </w:rPr>
      </w:pPr>
      <w:r>
        <w:rPr>
          <w:w w:val="105"/>
          <w:sz w:val="13"/>
        </w:rPr>
        <w:t>Access</w:t>
      </w:r>
      <w:r>
        <w:rPr>
          <w:w w:val="105"/>
          <w:sz w:val="13"/>
        </w:rPr>
        <w:t> and</w:t>
      </w:r>
      <w:r>
        <w:rPr>
          <w:w w:val="105"/>
          <w:sz w:val="13"/>
        </w:rPr>
        <w:t> Participation</w:t>
      </w:r>
      <w:r>
        <w:rPr>
          <w:w w:val="105"/>
          <w:sz w:val="13"/>
        </w:rPr>
        <w:t> Funding</w:t>
      </w:r>
      <w:r>
        <w:rPr>
          <w:w w:val="105"/>
          <w:sz w:val="13"/>
        </w:rPr>
        <w:t> represents</w:t>
      </w:r>
      <w:r>
        <w:rPr>
          <w:w w:val="105"/>
          <w:sz w:val="13"/>
        </w:rPr>
        <w:t> grants</w:t>
      </w:r>
      <w:r>
        <w:rPr>
          <w:w w:val="105"/>
          <w:sz w:val="13"/>
        </w:rPr>
        <w:t> provided</w:t>
      </w:r>
      <w:r>
        <w:rPr>
          <w:w w:val="105"/>
          <w:sz w:val="13"/>
        </w:rPr>
        <w:t> to</w:t>
      </w:r>
      <w:r>
        <w:rPr>
          <w:w w:val="105"/>
          <w:sz w:val="13"/>
        </w:rPr>
        <w:t> undertake</w:t>
      </w:r>
      <w:r>
        <w:rPr>
          <w:w w:val="105"/>
          <w:sz w:val="13"/>
        </w:rPr>
        <w:t> activities</w:t>
      </w:r>
      <w:r>
        <w:rPr>
          <w:w w:val="105"/>
          <w:sz w:val="13"/>
        </w:rPr>
        <w:t> and</w:t>
      </w:r>
      <w:r>
        <w:rPr>
          <w:w w:val="105"/>
          <w:sz w:val="13"/>
        </w:rPr>
        <w:t> implement</w:t>
      </w:r>
      <w:r>
        <w:rPr>
          <w:w w:val="105"/>
          <w:sz w:val="13"/>
        </w:rPr>
        <w:t> strategies</w:t>
      </w:r>
      <w:r>
        <w:rPr>
          <w:w w:val="105"/>
          <w:sz w:val="13"/>
        </w:rPr>
        <w:t> that</w:t>
      </w:r>
      <w:r>
        <w:rPr>
          <w:w w:val="105"/>
          <w:sz w:val="13"/>
        </w:rPr>
        <w:t> improve</w:t>
      </w:r>
      <w:r>
        <w:rPr>
          <w:w w:val="105"/>
          <w:sz w:val="13"/>
        </w:rPr>
        <w:t> access</w:t>
      </w:r>
      <w:r>
        <w:rPr>
          <w:w w:val="105"/>
          <w:sz w:val="13"/>
        </w:rPr>
        <w:t> to</w:t>
      </w:r>
      <w:r>
        <w:rPr>
          <w:spacing w:val="40"/>
          <w:w w:val="105"/>
          <w:sz w:val="13"/>
        </w:rPr>
        <w:t> </w:t>
      </w:r>
      <w:r>
        <w:rPr>
          <w:w w:val="105"/>
          <w:sz w:val="13"/>
        </w:rPr>
        <w:t>undergraduate courses for people</w:t>
      </w:r>
      <w:r>
        <w:rPr>
          <w:spacing w:val="-1"/>
          <w:w w:val="105"/>
          <w:sz w:val="13"/>
        </w:rPr>
        <w:t> </w:t>
      </w:r>
      <w:r>
        <w:rPr>
          <w:w w:val="105"/>
          <w:sz w:val="13"/>
        </w:rPr>
        <w:t>from low</w:t>
      </w:r>
      <w:r>
        <w:rPr>
          <w:spacing w:val="-4"/>
          <w:w w:val="105"/>
          <w:sz w:val="13"/>
        </w:rPr>
        <w:t> </w:t>
      </w:r>
      <w:r>
        <w:rPr>
          <w:w w:val="105"/>
          <w:sz w:val="13"/>
        </w:rPr>
        <w:t>SES backgrounds, as well as improving</w:t>
      </w:r>
      <w:r>
        <w:rPr>
          <w:spacing w:val="-1"/>
          <w:w w:val="105"/>
          <w:sz w:val="13"/>
        </w:rPr>
        <w:t> </w:t>
      </w:r>
      <w:r>
        <w:rPr>
          <w:w w:val="105"/>
          <w:sz w:val="13"/>
        </w:rPr>
        <w:t>the</w:t>
      </w:r>
      <w:r>
        <w:rPr>
          <w:spacing w:val="-1"/>
          <w:w w:val="105"/>
          <w:sz w:val="13"/>
        </w:rPr>
        <w:t> </w:t>
      </w:r>
      <w:r>
        <w:rPr>
          <w:w w:val="105"/>
          <w:sz w:val="13"/>
        </w:rPr>
        <w:t>retention and</w:t>
      </w:r>
      <w:r>
        <w:rPr>
          <w:spacing w:val="-1"/>
          <w:w w:val="105"/>
          <w:sz w:val="13"/>
        </w:rPr>
        <w:t> </w:t>
      </w:r>
      <w:r>
        <w:rPr>
          <w:w w:val="105"/>
          <w:sz w:val="13"/>
        </w:rPr>
        <w:t>completion rates of those</w:t>
      </w:r>
      <w:r>
        <w:rPr>
          <w:spacing w:val="-1"/>
          <w:w w:val="105"/>
          <w:sz w:val="13"/>
        </w:rPr>
        <w:t> </w:t>
      </w:r>
      <w:r>
        <w:rPr>
          <w:w w:val="105"/>
          <w:sz w:val="13"/>
        </w:rPr>
        <w:t>students.</w:t>
      </w:r>
      <w:r>
        <w:rPr>
          <w:spacing w:val="40"/>
          <w:w w:val="105"/>
          <w:sz w:val="13"/>
        </w:rPr>
        <w:t> </w:t>
      </w:r>
      <w:r>
        <w:rPr>
          <w:w w:val="105"/>
          <w:sz w:val="13"/>
        </w:rPr>
        <w:t>This falls under AASB15 and the revenue is recognised over time as the grant funds are expended.</w:t>
      </w:r>
    </w:p>
    <w:p>
      <w:pPr>
        <w:spacing w:line="240" w:lineRule="auto" w:before="19"/>
        <w:rPr>
          <w:sz w:val="13"/>
        </w:rPr>
      </w:pPr>
    </w:p>
    <w:p>
      <w:pPr>
        <w:spacing w:before="0"/>
        <w:ind w:left="856" w:right="0" w:firstLine="0"/>
        <w:jc w:val="both"/>
        <w:rPr>
          <w:sz w:val="13"/>
        </w:rPr>
      </w:pPr>
      <w:r>
        <w:rPr>
          <w:w w:val="105"/>
          <w:sz w:val="13"/>
        </w:rPr>
        <w:t>The</w:t>
      </w:r>
      <w:r>
        <w:rPr>
          <w:spacing w:val="-9"/>
          <w:w w:val="105"/>
          <w:sz w:val="13"/>
        </w:rPr>
        <w:t> </w:t>
      </w:r>
      <w:r>
        <w:rPr>
          <w:w w:val="105"/>
          <w:sz w:val="13"/>
        </w:rPr>
        <w:t>remaining</w:t>
      </w:r>
      <w:r>
        <w:rPr>
          <w:spacing w:val="-7"/>
          <w:w w:val="105"/>
          <w:sz w:val="13"/>
        </w:rPr>
        <w:t> </w:t>
      </w:r>
      <w:r>
        <w:rPr>
          <w:w w:val="105"/>
          <w:sz w:val="13"/>
        </w:rPr>
        <w:t>revenue</w:t>
      </w:r>
      <w:r>
        <w:rPr>
          <w:spacing w:val="-8"/>
          <w:w w:val="105"/>
          <w:sz w:val="13"/>
        </w:rPr>
        <w:t> </w:t>
      </w:r>
      <w:r>
        <w:rPr>
          <w:w w:val="105"/>
          <w:sz w:val="13"/>
        </w:rPr>
        <w:t>in</w:t>
      </w:r>
      <w:r>
        <w:rPr>
          <w:spacing w:val="-7"/>
          <w:w w:val="105"/>
          <w:sz w:val="13"/>
        </w:rPr>
        <w:t> </w:t>
      </w:r>
      <w:r>
        <w:rPr>
          <w:w w:val="105"/>
          <w:sz w:val="13"/>
        </w:rPr>
        <w:t>this</w:t>
      </w:r>
      <w:r>
        <w:rPr>
          <w:spacing w:val="-7"/>
          <w:w w:val="105"/>
          <w:sz w:val="13"/>
        </w:rPr>
        <w:t> </w:t>
      </w:r>
      <w:r>
        <w:rPr>
          <w:w w:val="105"/>
          <w:sz w:val="13"/>
        </w:rPr>
        <w:t>category</w:t>
      </w:r>
      <w:r>
        <w:rPr>
          <w:spacing w:val="-9"/>
          <w:w w:val="105"/>
          <w:sz w:val="13"/>
        </w:rPr>
        <w:t> </w:t>
      </w:r>
      <w:r>
        <w:rPr>
          <w:w w:val="105"/>
          <w:sz w:val="13"/>
        </w:rPr>
        <w:t>falls</w:t>
      </w:r>
      <w:r>
        <w:rPr>
          <w:spacing w:val="-6"/>
          <w:w w:val="105"/>
          <w:sz w:val="13"/>
        </w:rPr>
        <w:t> </w:t>
      </w:r>
      <w:r>
        <w:rPr>
          <w:w w:val="105"/>
          <w:sz w:val="13"/>
        </w:rPr>
        <w:t>under</w:t>
      </w:r>
      <w:r>
        <w:rPr>
          <w:spacing w:val="-6"/>
          <w:w w:val="105"/>
          <w:sz w:val="13"/>
        </w:rPr>
        <w:t> </w:t>
      </w:r>
      <w:r>
        <w:rPr>
          <w:w w:val="105"/>
          <w:sz w:val="13"/>
        </w:rPr>
        <w:t>AASB1058</w:t>
      </w:r>
      <w:r>
        <w:rPr>
          <w:spacing w:val="-7"/>
          <w:w w:val="105"/>
          <w:sz w:val="13"/>
        </w:rPr>
        <w:t> </w:t>
      </w:r>
      <w:r>
        <w:rPr>
          <w:w w:val="105"/>
          <w:sz w:val="13"/>
        </w:rPr>
        <w:t>and</w:t>
      </w:r>
      <w:r>
        <w:rPr>
          <w:spacing w:val="-8"/>
          <w:w w:val="105"/>
          <w:sz w:val="13"/>
        </w:rPr>
        <w:t> </w:t>
      </w:r>
      <w:r>
        <w:rPr>
          <w:w w:val="105"/>
          <w:sz w:val="13"/>
        </w:rPr>
        <w:t>the</w:t>
      </w:r>
      <w:r>
        <w:rPr>
          <w:spacing w:val="-7"/>
          <w:w w:val="105"/>
          <w:sz w:val="13"/>
        </w:rPr>
        <w:t> </w:t>
      </w:r>
      <w:r>
        <w:rPr>
          <w:w w:val="105"/>
          <w:sz w:val="13"/>
        </w:rPr>
        <w:t>revenue</w:t>
      </w:r>
      <w:r>
        <w:rPr>
          <w:spacing w:val="-7"/>
          <w:w w:val="105"/>
          <w:sz w:val="13"/>
        </w:rPr>
        <w:t> </w:t>
      </w:r>
      <w:r>
        <w:rPr>
          <w:w w:val="105"/>
          <w:sz w:val="13"/>
        </w:rPr>
        <w:t>is</w:t>
      </w:r>
      <w:r>
        <w:rPr>
          <w:spacing w:val="-7"/>
          <w:w w:val="105"/>
          <w:sz w:val="13"/>
        </w:rPr>
        <w:t> </w:t>
      </w:r>
      <w:r>
        <w:rPr>
          <w:w w:val="105"/>
          <w:sz w:val="13"/>
        </w:rPr>
        <w:t>recognised</w:t>
      </w:r>
      <w:r>
        <w:rPr>
          <w:spacing w:val="-7"/>
          <w:w w:val="105"/>
          <w:sz w:val="13"/>
        </w:rPr>
        <w:t> </w:t>
      </w:r>
      <w:r>
        <w:rPr>
          <w:w w:val="105"/>
          <w:sz w:val="13"/>
        </w:rPr>
        <w:t>when</w:t>
      </w:r>
      <w:r>
        <w:rPr>
          <w:spacing w:val="-8"/>
          <w:w w:val="105"/>
          <w:sz w:val="13"/>
        </w:rPr>
        <w:t> </w:t>
      </w:r>
      <w:r>
        <w:rPr>
          <w:spacing w:val="-2"/>
          <w:w w:val="105"/>
          <w:sz w:val="13"/>
        </w:rPr>
        <w:t>received.</w:t>
      </w:r>
    </w:p>
    <w:p>
      <w:pPr>
        <w:spacing w:line="240" w:lineRule="auto" w:before="8"/>
        <w:rPr>
          <w:sz w:val="13"/>
        </w:rPr>
      </w:pPr>
    </w:p>
    <w:p>
      <w:pPr>
        <w:pStyle w:val="ListParagraph"/>
        <w:numPr>
          <w:ilvl w:val="0"/>
          <w:numId w:val="19"/>
        </w:numPr>
        <w:tabs>
          <w:tab w:pos="856" w:val="left" w:leader="none"/>
        </w:tabs>
        <w:spacing w:line="240" w:lineRule="auto" w:before="0" w:after="17"/>
        <w:ind w:left="856" w:right="0" w:hanging="607"/>
        <w:jc w:val="left"/>
        <w:rPr>
          <w:b/>
          <w:sz w:val="13"/>
        </w:rPr>
      </w:pPr>
      <w:r>
        <w:rPr>
          <w:b/>
          <w:w w:val="105"/>
          <w:sz w:val="13"/>
        </w:rPr>
        <w:t>EDUCATION</w:t>
      </w:r>
      <w:r>
        <w:rPr>
          <w:b/>
          <w:spacing w:val="-8"/>
          <w:w w:val="105"/>
          <w:sz w:val="13"/>
        </w:rPr>
        <w:t> </w:t>
      </w:r>
      <w:r>
        <w:rPr>
          <w:b/>
          <w:spacing w:val="-2"/>
          <w:w w:val="105"/>
          <w:sz w:val="13"/>
        </w:rPr>
        <w:t>research</w:t>
      </w:r>
    </w:p>
    <w:tbl>
      <w:tblPr>
        <w:tblW w:w="0" w:type="auto"/>
        <w:jc w:val="left"/>
        <w:tblInd w:w="8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235"/>
        <w:gridCol w:w="1473"/>
        <w:gridCol w:w="1095"/>
        <w:gridCol w:w="916"/>
        <w:gridCol w:w="916"/>
        <w:gridCol w:w="739"/>
      </w:tblGrid>
      <w:tr>
        <w:trPr>
          <w:trHeight w:val="162" w:hRule="atLeast"/>
        </w:trPr>
        <w:tc>
          <w:tcPr>
            <w:tcW w:w="3235" w:type="dxa"/>
          </w:tcPr>
          <w:p>
            <w:pPr>
              <w:pStyle w:val="TableParagraph"/>
              <w:spacing w:line="141" w:lineRule="exact" w:before="2"/>
              <w:ind w:left="237"/>
              <w:rPr>
                <w:sz w:val="13"/>
              </w:rPr>
            </w:pPr>
            <w:r>
              <w:rPr>
                <w:w w:val="105"/>
                <w:sz w:val="13"/>
              </w:rPr>
              <w:t>Research</w:t>
            </w:r>
            <w:r>
              <w:rPr>
                <w:spacing w:val="-10"/>
                <w:w w:val="105"/>
                <w:sz w:val="13"/>
              </w:rPr>
              <w:t> </w:t>
            </w:r>
            <w:r>
              <w:rPr>
                <w:w w:val="105"/>
                <w:sz w:val="13"/>
              </w:rPr>
              <w:t>Support</w:t>
            </w:r>
            <w:r>
              <w:rPr>
                <w:spacing w:val="-9"/>
                <w:w w:val="105"/>
                <w:sz w:val="13"/>
              </w:rPr>
              <w:t> </w:t>
            </w:r>
            <w:r>
              <w:rPr>
                <w:spacing w:val="-2"/>
                <w:w w:val="105"/>
                <w:sz w:val="13"/>
              </w:rPr>
              <w:t>Program</w:t>
            </w:r>
          </w:p>
        </w:tc>
        <w:tc>
          <w:tcPr>
            <w:tcW w:w="1473" w:type="dxa"/>
          </w:tcPr>
          <w:p>
            <w:pPr>
              <w:pStyle w:val="TableParagraph"/>
              <w:spacing w:line="141" w:lineRule="exact" w:before="2"/>
              <w:ind w:right="64"/>
              <w:jc w:val="right"/>
              <w:rPr>
                <w:sz w:val="13"/>
              </w:rPr>
            </w:pPr>
            <w:r>
              <w:rPr>
                <w:spacing w:val="-2"/>
                <w:w w:val="105"/>
                <w:sz w:val="13"/>
              </w:rPr>
              <w:t>7.8(c)</w:t>
            </w:r>
          </w:p>
        </w:tc>
        <w:tc>
          <w:tcPr>
            <w:tcW w:w="1095" w:type="dxa"/>
          </w:tcPr>
          <w:p>
            <w:pPr>
              <w:pStyle w:val="TableParagraph"/>
              <w:spacing w:line="141" w:lineRule="exact" w:before="2"/>
              <w:ind w:right="249"/>
              <w:jc w:val="right"/>
              <w:rPr>
                <w:sz w:val="13"/>
              </w:rPr>
            </w:pPr>
            <w:r>
              <w:rPr>
                <w:spacing w:val="-2"/>
                <w:w w:val="105"/>
                <w:sz w:val="13"/>
              </w:rPr>
              <w:t>42,276</w:t>
            </w:r>
          </w:p>
        </w:tc>
        <w:tc>
          <w:tcPr>
            <w:tcW w:w="916" w:type="dxa"/>
          </w:tcPr>
          <w:p>
            <w:pPr>
              <w:pStyle w:val="TableParagraph"/>
              <w:spacing w:line="141" w:lineRule="exact" w:before="2"/>
              <w:jc w:val="center"/>
              <w:rPr>
                <w:sz w:val="13"/>
              </w:rPr>
            </w:pPr>
            <w:r>
              <w:rPr>
                <w:spacing w:val="-2"/>
                <w:w w:val="105"/>
                <w:sz w:val="13"/>
              </w:rPr>
              <w:t>43,720</w:t>
            </w:r>
          </w:p>
        </w:tc>
        <w:tc>
          <w:tcPr>
            <w:tcW w:w="916" w:type="dxa"/>
          </w:tcPr>
          <w:p>
            <w:pPr>
              <w:pStyle w:val="TableParagraph"/>
              <w:spacing w:line="141" w:lineRule="exact" w:before="2"/>
              <w:jc w:val="center"/>
              <w:rPr>
                <w:sz w:val="13"/>
              </w:rPr>
            </w:pPr>
            <w:r>
              <w:rPr>
                <w:spacing w:val="-2"/>
                <w:w w:val="105"/>
                <w:sz w:val="13"/>
              </w:rPr>
              <w:t>42,276</w:t>
            </w:r>
          </w:p>
        </w:tc>
        <w:tc>
          <w:tcPr>
            <w:tcW w:w="739" w:type="dxa"/>
          </w:tcPr>
          <w:p>
            <w:pPr>
              <w:pStyle w:val="TableParagraph"/>
              <w:spacing w:line="141" w:lineRule="exact" w:before="2"/>
              <w:ind w:right="73"/>
              <w:jc w:val="right"/>
              <w:rPr>
                <w:sz w:val="13"/>
              </w:rPr>
            </w:pPr>
            <w:r>
              <w:rPr>
                <w:spacing w:val="-2"/>
                <w:w w:val="105"/>
                <w:sz w:val="13"/>
              </w:rPr>
              <w:t>43,720</w:t>
            </w:r>
          </w:p>
        </w:tc>
      </w:tr>
      <w:tr>
        <w:trPr>
          <w:trHeight w:val="165" w:hRule="atLeast"/>
        </w:trPr>
        <w:tc>
          <w:tcPr>
            <w:tcW w:w="3235" w:type="dxa"/>
          </w:tcPr>
          <w:p>
            <w:pPr>
              <w:pStyle w:val="TableParagraph"/>
              <w:spacing w:line="134" w:lineRule="exact" w:before="11"/>
              <w:ind w:left="237"/>
              <w:rPr>
                <w:sz w:val="13"/>
              </w:rPr>
            </w:pPr>
            <w:r>
              <w:rPr>
                <w:w w:val="105"/>
                <w:sz w:val="13"/>
              </w:rPr>
              <w:t>Research</w:t>
            </w:r>
            <w:r>
              <w:rPr>
                <w:spacing w:val="-8"/>
                <w:w w:val="105"/>
                <w:sz w:val="13"/>
              </w:rPr>
              <w:t> </w:t>
            </w:r>
            <w:r>
              <w:rPr>
                <w:w w:val="105"/>
                <w:sz w:val="13"/>
              </w:rPr>
              <w:t>Training</w:t>
            </w:r>
            <w:r>
              <w:rPr>
                <w:spacing w:val="-8"/>
                <w:w w:val="105"/>
                <w:sz w:val="13"/>
              </w:rPr>
              <w:t> </w:t>
            </w:r>
            <w:r>
              <w:rPr>
                <w:spacing w:val="-2"/>
                <w:w w:val="105"/>
                <w:sz w:val="13"/>
              </w:rPr>
              <w:t>Program</w:t>
            </w:r>
          </w:p>
        </w:tc>
        <w:tc>
          <w:tcPr>
            <w:tcW w:w="1473" w:type="dxa"/>
          </w:tcPr>
          <w:p>
            <w:pPr>
              <w:pStyle w:val="TableParagraph"/>
              <w:spacing w:line="134" w:lineRule="exact" w:before="11"/>
              <w:ind w:right="64"/>
              <w:jc w:val="right"/>
              <w:rPr>
                <w:sz w:val="13"/>
              </w:rPr>
            </w:pPr>
            <w:r>
              <w:rPr>
                <w:spacing w:val="-2"/>
                <w:w w:val="105"/>
                <w:sz w:val="13"/>
              </w:rPr>
              <w:t>7.8(c)</w:t>
            </w:r>
          </w:p>
        </w:tc>
        <w:tc>
          <w:tcPr>
            <w:tcW w:w="1095" w:type="dxa"/>
            <w:tcBorders>
              <w:bottom w:val="single" w:sz="6" w:space="0" w:color="000000"/>
            </w:tcBorders>
          </w:tcPr>
          <w:p>
            <w:pPr>
              <w:pStyle w:val="TableParagraph"/>
              <w:spacing w:line="134" w:lineRule="exact" w:before="11"/>
              <w:ind w:right="249"/>
              <w:jc w:val="right"/>
              <w:rPr>
                <w:sz w:val="13"/>
              </w:rPr>
            </w:pPr>
            <w:r>
              <w:rPr>
                <w:spacing w:val="-2"/>
                <w:w w:val="105"/>
                <w:sz w:val="13"/>
              </w:rPr>
              <w:t>46,594</w:t>
            </w:r>
          </w:p>
        </w:tc>
        <w:tc>
          <w:tcPr>
            <w:tcW w:w="916" w:type="dxa"/>
            <w:tcBorders>
              <w:bottom w:val="single" w:sz="6" w:space="0" w:color="000000"/>
            </w:tcBorders>
          </w:tcPr>
          <w:p>
            <w:pPr>
              <w:pStyle w:val="TableParagraph"/>
              <w:spacing w:line="134" w:lineRule="exact" w:before="11"/>
              <w:jc w:val="center"/>
              <w:rPr>
                <w:sz w:val="13"/>
              </w:rPr>
            </w:pPr>
            <w:r>
              <w:rPr>
                <w:spacing w:val="-2"/>
                <w:w w:val="105"/>
                <w:sz w:val="13"/>
              </w:rPr>
              <w:t>47,407</w:t>
            </w:r>
          </w:p>
        </w:tc>
        <w:tc>
          <w:tcPr>
            <w:tcW w:w="916" w:type="dxa"/>
            <w:tcBorders>
              <w:bottom w:val="single" w:sz="6" w:space="0" w:color="000000"/>
            </w:tcBorders>
          </w:tcPr>
          <w:p>
            <w:pPr>
              <w:pStyle w:val="TableParagraph"/>
              <w:spacing w:line="134" w:lineRule="exact" w:before="11"/>
              <w:jc w:val="center"/>
              <w:rPr>
                <w:sz w:val="13"/>
              </w:rPr>
            </w:pPr>
            <w:r>
              <w:rPr>
                <w:spacing w:val="-2"/>
                <w:w w:val="105"/>
                <w:sz w:val="13"/>
              </w:rPr>
              <w:t>46,594</w:t>
            </w:r>
          </w:p>
        </w:tc>
        <w:tc>
          <w:tcPr>
            <w:tcW w:w="739" w:type="dxa"/>
            <w:tcBorders>
              <w:bottom w:val="single" w:sz="6" w:space="0" w:color="000000"/>
            </w:tcBorders>
          </w:tcPr>
          <w:p>
            <w:pPr>
              <w:pStyle w:val="TableParagraph"/>
              <w:spacing w:line="134" w:lineRule="exact" w:before="11"/>
              <w:ind w:right="72"/>
              <w:jc w:val="right"/>
              <w:rPr>
                <w:sz w:val="13"/>
              </w:rPr>
            </w:pPr>
            <w:r>
              <w:rPr>
                <w:spacing w:val="-2"/>
                <w:w w:val="105"/>
                <w:sz w:val="13"/>
              </w:rPr>
              <w:t>47,407</w:t>
            </w:r>
          </w:p>
        </w:tc>
      </w:tr>
      <w:tr>
        <w:trPr>
          <w:trHeight w:val="157" w:hRule="atLeast"/>
        </w:trPr>
        <w:tc>
          <w:tcPr>
            <w:tcW w:w="3235" w:type="dxa"/>
          </w:tcPr>
          <w:p>
            <w:pPr>
              <w:pStyle w:val="TableParagraph"/>
              <w:spacing w:line="134" w:lineRule="exact" w:before="3"/>
              <w:ind w:left="50"/>
              <w:rPr>
                <w:sz w:val="13"/>
              </w:rPr>
            </w:pPr>
            <w:r>
              <w:rPr>
                <w:w w:val="105"/>
                <w:sz w:val="13"/>
              </w:rPr>
              <w:t>Total</w:t>
            </w:r>
            <w:r>
              <w:rPr>
                <w:spacing w:val="-6"/>
                <w:w w:val="105"/>
                <w:sz w:val="13"/>
              </w:rPr>
              <w:t> </w:t>
            </w:r>
            <w:r>
              <w:rPr>
                <w:w w:val="105"/>
                <w:sz w:val="13"/>
              </w:rPr>
              <w:t>EDUCATION</w:t>
            </w:r>
            <w:r>
              <w:rPr>
                <w:spacing w:val="-6"/>
                <w:w w:val="105"/>
                <w:sz w:val="13"/>
              </w:rPr>
              <w:t> </w:t>
            </w:r>
            <w:r>
              <w:rPr>
                <w:w w:val="105"/>
                <w:sz w:val="13"/>
              </w:rPr>
              <w:t>research</w:t>
            </w:r>
            <w:r>
              <w:rPr>
                <w:spacing w:val="-7"/>
                <w:w w:val="105"/>
                <w:sz w:val="13"/>
              </w:rPr>
              <w:t> </w:t>
            </w:r>
            <w:r>
              <w:rPr>
                <w:spacing w:val="-2"/>
                <w:w w:val="105"/>
                <w:sz w:val="13"/>
              </w:rPr>
              <w:t>grants</w:t>
            </w:r>
          </w:p>
        </w:tc>
        <w:tc>
          <w:tcPr>
            <w:tcW w:w="1473" w:type="dxa"/>
          </w:tcPr>
          <w:p>
            <w:pPr>
              <w:pStyle w:val="TableParagraph"/>
              <w:rPr>
                <w:rFonts w:ascii="Times New Roman"/>
                <w:sz w:val="10"/>
              </w:rPr>
            </w:pPr>
          </w:p>
        </w:tc>
        <w:tc>
          <w:tcPr>
            <w:tcW w:w="1095" w:type="dxa"/>
            <w:tcBorders>
              <w:top w:val="single" w:sz="6" w:space="0" w:color="000000"/>
              <w:bottom w:val="single" w:sz="6" w:space="0" w:color="000000"/>
            </w:tcBorders>
          </w:tcPr>
          <w:p>
            <w:pPr>
              <w:pStyle w:val="TableParagraph"/>
              <w:spacing w:line="134" w:lineRule="exact" w:before="3"/>
              <w:ind w:right="249"/>
              <w:jc w:val="right"/>
              <w:rPr>
                <w:sz w:val="13"/>
              </w:rPr>
            </w:pPr>
            <w:r>
              <w:rPr>
                <w:spacing w:val="-2"/>
                <w:w w:val="105"/>
                <w:sz w:val="13"/>
              </w:rPr>
              <w:t>88,870</w:t>
            </w:r>
          </w:p>
        </w:tc>
        <w:tc>
          <w:tcPr>
            <w:tcW w:w="916" w:type="dxa"/>
            <w:tcBorders>
              <w:top w:val="single" w:sz="6" w:space="0" w:color="000000"/>
              <w:bottom w:val="single" w:sz="6" w:space="0" w:color="000000"/>
            </w:tcBorders>
          </w:tcPr>
          <w:p>
            <w:pPr>
              <w:pStyle w:val="TableParagraph"/>
              <w:spacing w:line="134" w:lineRule="exact" w:before="3"/>
              <w:jc w:val="center"/>
              <w:rPr>
                <w:sz w:val="13"/>
              </w:rPr>
            </w:pPr>
            <w:r>
              <w:rPr>
                <w:spacing w:val="-2"/>
                <w:w w:val="105"/>
                <w:sz w:val="13"/>
              </w:rPr>
              <w:t>91,127</w:t>
            </w:r>
          </w:p>
        </w:tc>
        <w:tc>
          <w:tcPr>
            <w:tcW w:w="916" w:type="dxa"/>
            <w:tcBorders>
              <w:top w:val="single" w:sz="6" w:space="0" w:color="000000"/>
              <w:bottom w:val="single" w:sz="6" w:space="0" w:color="000000"/>
            </w:tcBorders>
          </w:tcPr>
          <w:p>
            <w:pPr>
              <w:pStyle w:val="TableParagraph"/>
              <w:spacing w:line="134" w:lineRule="exact" w:before="3"/>
              <w:jc w:val="center"/>
              <w:rPr>
                <w:sz w:val="13"/>
              </w:rPr>
            </w:pPr>
            <w:r>
              <w:rPr>
                <w:spacing w:val="-2"/>
                <w:w w:val="105"/>
                <w:sz w:val="13"/>
              </w:rPr>
              <w:t>88,870</w:t>
            </w:r>
          </w:p>
        </w:tc>
        <w:tc>
          <w:tcPr>
            <w:tcW w:w="739" w:type="dxa"/>
            <w:tcBorders>
              <w:top w:val="single" w:sz="6" w:space="0" w:color="000000"/>
              <w:bottom w:val="single" w:sz="6" w:space="0" w:color="000000"/>
            </w:tcBorders>
          </w:tcPr>
          <w:p>
            <w:pPr>
              <w:pStyle w:val="TableParagraph"/>
              <w:spacing w:line="134" w:lineRule="exact" w:before="3"/>
              <w:ind w:right="72"/>
              <w:jc w:val="right"/>
              <w:rPr>
                <w:sz w:val="13"/>
              </w:rPr>
            </w:pPr>
            <w:r>
              <w:rPr>
                <w:spacing w:val="-2"/>
                <w:w w:val="105"/>
                <w:sz w:val="13"/>
              </w:rPr>
              <w:t>91,127</w:t>
            </w:r>
          </w:p>
        </w:tc>
      </w:tr>
    </w:tbl>
    <w:p>
      <w:pPr>
        <w:spacing w:line="240" w:lineRule="auto" w:before="26"/>
        <w:rPr>
          <w:b/>
          <w:sz w:val="13"/>
        </w:rPr>
      </w:pPr>
    </w:p>
    <w:p>
      <w:pPr>
        <w:spacing w:before="1"/>
        <w:ind w:left="857" w:right="0" w:firstLine="0"/>
        <w:jc w:val="both"/>
        <w:rPr>
          <w:b/>
          <w:i/>
          <w:sz w:val="13"/>
        </w:rPr>
      </w:pPr>
      <w:r>
        <w:rPr>
          <w:b/>
          <w:i/>
          <w:color w:val="0070C0"/>
          <w:w w:val="105"/>
          <w:sz w:val="13"/>
        </w:rPr>
        <w:t>Accounting</w:t>
      </w:r>
      <w:r>
        <w:rPr>
          <w:b/>
          <w:i/>
          <w:color w:val="0070C0"/>
          <w:spacing w:val="-6"/>
          <w:w w:val="105"/>
          <w:sz w:val="13"/>
        </w:rPr>
        <w:t> </w:t>
      </w:r>
      <w:r>
        <w:rPr>
          <w:b/>
          <w:i/>
          <w:color w:val="0070C0"/>
          <w:spacing w:val="-2"/>
          <w:w w:val="105"/>
          <w:sz w:val="13"/>
        </w:rPr>
        <w:t>policy</w:t>
      </w:r>
    </w:p>
    <w:p>
      <w:pPr>
        <w:spacing w:line="273" w:lineRule="auto" w:before="25"/>
        <w:ind w:left="856" w:right="1828" w:firstLine="0"/>
        <w:jc w:val="both"/>
        <w:rPr>
          <w:sz w:val="13"/>
        </w:rPr>
      </w:pPr>
      <w:r>
        <w:rPr>
          <w:w w:val="105"/>
          <w:sz w:val="13"/>
        </w:rPr>
        <w:t>Research Support Program funding represents grants provided to support the systemic costs of research not supported directly through</w:t>
      </w:r>
      <w:r>
        <w:rPr>
          <w:spacing w:val="40"/>
          <w:w w:val="105"/>
          <w:sz w:val="13"/>
        </w:rPr>
        <w:t> </w:t>
      </w:r>
      <w:r>
        <w:rPr>
          <w:w w:val="105"/>
          <w:sz w:val="13"/>
        </w:rPr>
        <w:t>competitive</w:t>
      </w:r>
      <w:r>
        <w:rPr>
          <w:spacing w:val="-2"/>
          <w:w w:val="105"/>
          <w:sz w:val="13"/>
        </w:rPr>
        <w:t> </w:t>
      </w:r>
      <w:r>
        <w:rPr>
          <w:w w:val="105"/>
          <w:sz w:val="13"/>
        </w:rPr>
        <w:t>and</w:t>
      </w:r>
      <w:r>
        <w:rPr>
          <w:spacing w:val="-2"/>
          <w:w w:val="105"/>
          <w:sz w:val="13"/>
        </w:rPr>
        <w:t> </w:t>
      </w:r>
      <w:r>
        <w:rPr>
          <w:w w:val="105"/>
          <w:sz w:val="13"/>
        </w:rPr>
        <w:t>other grants.</w:t>
      </w:r>
      <w:r>
        <w:rPr>
          <w:spacing w:val="-1"/>
          <w:w w:val="105"/>
          <w:sz w:val="13"/>
        </w:rPr>
        <w:t> </w:t>
      </w:r>
      <w:r>
        <w:rPr>
          <w:w w:val="105"/>
          <w:sz w:val="13"/>
        </w:rPr>
        <w:t>This</w:t>
      </w:r>
      <w:r>
        <w:rPr>
          <w:spacing w:val="-1"/>
          <w:w w:val="105"/>
          <w:sz w:val="13"/>
        </w:rPr>
        <w:t> </w:t>
      </w:r>
      <w:r>
        <w:rPr>
          <w:w w:val="105"/>
          <w:sz w:val="13"/>
        </w:rPr>
        <w:t>falls under AASB1058 (as</w:t>
      </w:r>
      <w:r>
        <w:rPr>
          <w:spacing w:val="-1"/>
          <w:w w:val="105"/>
          <w:sz w:val="13"/>
        </w:rPr>
        <w:t> </w:t>
      </w:r>
      <w:r>
        <w:rPr>
          <w:w w:val="105"/>
          <w:sz w:val="13"/>
        </w:rPr>
        <w:t>the performance</w:t>
      </w:r>
      <w:r>
        <w:rPr>
          <w:spacing w:val="-2"/>
          <w:w w:val="105"/>
          <w:sz w:val="13"/>
        </w:rPr>
        <w:t> </w:t>
      </w:r>
      <w:r>
        <w:rPr>
          <w:w w:val="105"/>
          <w:sz w:val="13"/>
        </w:rPr>
        <w:t>obligations are</w:t>
      </w:r>
      <w:r>
        <w:rPr>
          <w:spacing w:val="-2"/>
          <w:w w:val="105"/>
          <w:sz w:val="13"/>
        </w:rPr>
        <w:t> </w:t>
      </w:r>
      <w:r>
        <w:rPr>
          <w:w w:val="105"/>
          <w:sz w:val="13"/>
        </w:rPr>
        <w:t>not ‘sufficiently</w:t>
      </w:r>
      <w:r>
        <w:rPr>
          <w:spacing w:val="-6"/>
          <w:w w:val="105"/>
          <w:sz w:val="13"/>
        </w:rPr>
        <w:t> </w:t>
      </w:r>
      <w:r>
        <w:rPr>
          <w:w w:val="105"/>
          <w:sz w:val="13"/>
        </w:rPr>
        <w:t>specific’) and</w:t>
      </w:r>
      <w:r>
        <w:rPr>
          <w:spacing w:val="-2"/>
          <w:w w:val="105"/>
          <w:sz w:val="13"/>
        </w:rPr>
        <w:t> </w:t>
      </w:r>
      <w:r>
        <w:rPr>
          <w:w w:val="105"/>
          <w:sz w:val="13"/>
        </w:rPr>
        <w:t>the revenue</w:t>
      </w:r>
      <w:r>
        <w:rPr>
          <w:spacing w:val="-2"/>
          <w:w w:val="105"/>
          <w:sz w:val="13"/>
        </w:rPr>
        <w:t> </w:t>
      </w:r>
      <w:r>
        <w:rPr>
          <w:w w:val="105"/>
          <w:sz w:val="13"/>
        </w:rPr>
        <w:t>is</w:t>
      </w:r>
      <w:r>
        <w:rPr>
          <w:spacing w:val="40"/>
          <w:w w:val="105"/>
          <w:sz w:val="13"/>
        </w:rPr>
        <w:t> </w:t>
      </w:r>
      <w:r>
        <w:rPr>
          <w:w w:val="105"/>
          <w:sz w:val="13"/>
        </w:rPr>
        <w:t>recognised when received.</w:t>
      </w:r>
    </w:p>
    <w:p>
      <w:pPr>
        <w:spacing w:line="240" w:lineRule="auto" w:before="18"/>
        <w:rPr>
          <w:sz w:val="13"/>
        </w:rPr>
      </w:pPr>
    </w:p>
    <w:p>
      <w:pPr>
        <w:spacing w:line="273" w:lineRule="auto" w:before="1"/>
        <w:ind w:left="856" w:right="1827" w:firstLine="0"/>
        <w:jc w:val="both"/>
        <w:rPr>
          <w:sz w:val="13"/>
        </w:rPr>
      </w:pPr>
      <w:r>
        <w:rPr>
          <w:w w:val="105"/>
          <w:sz w:val="13"/>
        </w:rPr>
        <w:t>Research Training Program funding represents grants provided to support both domestic and overseas students undertaking Research</w:t>
      </w:r>
      <w:r>
        <w:rPr>
          <w:spacing w:val="40"/>
          <w:w w:val="105"/>
          <w:sz w:val="13"/>
        </w:rPr>
        <w:t> </w:t>
      </w:r>
      <w:r>
        <w:rPr>
          <w:w w:val="105"/>
          <w:sz w:val="13"/>
        </w:rPr>
        <w:t>Doctorate and Research Masters degrees. This falls under AASB1058 (as the performance obligations are not ‘sufficiently specific’) and</w:t>
      </w:r>
      <w:r>
        <w:rPr>
          <w:spacing w:val="40"/>
          <w:w w:val="105"/>
          <w:sz w:val="13"/>
        </w:rPr>
        <w:t> </w:t>
      </w:r>
      <w:r>
        <w:rPr>
          <w:w w:val="105"/>
          <w:sz w:val="13"/>
        </w:rPr>
        <w:t>the revenue is recognised when received.</w:t>
      </w:r>
    </w:p>
    <w:p>
      <w:pPr>
        <w:spacing w:line="240" w:lineRule="auto" w:before="144"/>
        <w:rPr>
          <w:sz w:val="13"/>
        </w:rPr>
      </w:pPr>
    </w:p>
    <w:p>
      <w:pPr>
        <w:pStyle w:val="ListParagraph"/>
        <w:numPr>
          <w:ilvl w:val="0"/>
          <w:numId w:val="19"/>
        </w:numPr>
        <w:tabs>
          <w:tab w:pos="856" w:val="left" w:leader="none"/>
        </w:tabs>
        <w:spacing w:line="240" w:lineRule="auto" w:before="0" w:after="17"/>
        <w:ind w:left="856" w:right="0" w:hanging="607"/>
        <w:jc w:val="left"/>
        <w:rPr>
          <w:b/>
          <w:sz w:val="13"/>
        </w:rPr>
      </w:pPr>
      <w:r>
        <w:rPr>
          <w:b/>
          <w:w w:val="105"/>
          <w:sz w:val="13"/>
        </w:rPr>
        <w:t>Other</w:t>
      </w:r>
      <w:r>
        <w:rPr>
          <w:b/>
          <w:spacing w:val="-6"/>
          <w:w w:val="105"/>
          <w:sz w:val="13"/>
        </w:rPr>
        <w:t> </w:t>
      </w:r>
      <w:r>
        <w:rPr>
          <w:b/>
          <w:w w:val="105"/>
          <w:sz w:val="13"/>
        </w:rPr>
        <w:t>capital</w:t>
      </w:r>
      <w:r>
        <w:rPr>
          <w:b/>
          <w:spacing w:val="-7"/>
          <w:w w:val="105"/>
          <w:sz w:val="13"/>
        </w:rPr>
        <w:t> </w:t>
      </w:r>
      <w:r>
        <w:rPr>
          <w:b/>
          <w:spacing w:val="-2"/>
          <w:w w:val="105"/>
          <w:sz w:val="13"/>
        </w:rPr>
        <w:t>funding</w:t>
      </w:r>
    </w:p>
    <w:tbl>
      <w:tblPr>
        <w:tblW w:w="0" w:type="auto"/>
        <w:jc w:val="left"/>
        <w:tblInd w:w="8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873"/>
        <w:gridCol w:w="837"/>
        <w:gridCol w:w="1189"/>
        <w:gridCol w:w="860"/>
        <w:gridCol w:w="973"/>
        <w:gridCol w:w="646"/>
      </w:tblGrid>
      <w:tr>
        <w:trPr>
          <w:trHeight w:val="156" w:hRule="atLeast"/>
        </w:trPr>
        <w:tc>
          <w:tcPr>
            <w:tcW w:w="3873" w:type="dxa"/>
          </w:tcPr>
          <w:p>
            <w:pPr>
              <w:pStyle w:val="TableParagraph"/>
              <w:spacing w:line="134" w:lineRule="exact" w:before="2"/>
              <w:ind w:left="237"/>
              <w:rPr>
                <w:sz w:val="13"/>
              </w:rPr>
            </w:pPr>
            <w:r>
              <w:rPr>
                <w:w w:val="105"/>
                <w:sz w:val="13"/>
              </w:rPr>
              <w:t>Linkage</w:t>
            </w:r>
            <w:r>
              <w:rPr>
                <w:spacing w:val="-10"/>
                <w:w w:val="105"/>
                <w:sz w:val="13"/>
              </w:rPr>
              <w:t> </w:t>
            </w:r>
            <w:r>
              <w:rPr>
                <w:w w:val="105"/>
                <w:sz w:val="13"/>
              </w:rPr>
              <w:t>Infrastructure,</w:t>
            </w:r>
            <w:r>
              <w:rPr>
                <w:spacing w:val="-9"/>
                <w:w w:val="105"/>
                <w:sz w:val="13"/>
              </w:rPr>
              <w:t> </w:t>
            </w:r>
            <w:r>
              <w:rPr>
                <w:w w:val="105"/>
                <w:sz w:val="13"/>
              </w:rPr>
              <w:t>Equipment</w:t>
            </w:r>
            <w:r>
              <w:rPr>
                <w:spacing w:val="-10"/>
                <w:w w:val="105"/>
                <w:sz w:val="13"/>
              </w:rPr>
              <w:t> </w:t>
            </w:r>
            <w:r>
              <w:rPr>
                <w:w w:val="105"/>
                <w:sz w:val="13"/>
              </w:rPr>
              <w:t>and</w:t>
            </w:r>
            <w:r>
              <w:rPr>
                <w:spacing w:val="-9"/>
                <w:w w:val="105"/>
                <w:sz w:val="13"/>
              </w:rPr>
              <w:t> </w:t>
            </w:r>
            <w:r>
              <w:rPr>
                <w:w w:val="105"/>
                <w:sz w:val="13"/>
              </w:rPr>
              <w:t>Facilities</w:t>
            </w:r>
            <w:r>
              <w:rPr>
                <w:spacing w:val="-9"/>
                <w:w w:val="105"/>
                <w:sz w:val="13"/>
              </w:rPr>
              <w:t> </w:t>
            </w:r>
            <w:r>
              <w:rPr>
                <w:spacing w:val="-2"/>
                <w:w w:val="105"/>
                <w:sz w:val="13"/>
              </w:rPr>
              <w:t>grant</w:t>
            </w:r>
          </w:p>
        </w:tc>
        <w:tc>
          <w:tcPr>
            <w:tcW w:w="837" w:type="dxa"/>
          </w:tcPr>
          <w:p>
            <w:pPr>
              <w:pStyle w:val="TableParagraph"/>
              <w:spacing w:line="134" w:lineRule="exact" w:before="2"/>
              <w:ind w:left="416"/>
              <w:rPr>
                <w:sz w:val="13"/>
              </w:rPr>
            </w:pPr>
            <w:r>
              <w:rPr>
                <w:spacing w:val="-2"/>
                <w:w w:val="105"/>
                <w:sz w:val="13"/>
              </w:rPr>
              <w:t>7.8(e)</w:t>
            </w:r>
          </w:p>
        </w:tc>
        <w:tc>
          <w:tcPr>
            <w:tcW w:w="1189" w:type="dxa"/>
            <w:tcBorders>
              <w:bottom w:val="single" w:sz="6" w:space="0" w:color="000000"/>
            </w:tcBorders>
          </w:tcPr>
          <w:p>
            <w:pPr>
              <w:pStyle w:val="TableParagraph"/>
              <w:spacing w:line="134" w:lineRule="exact" w:before="2"/>
              <w:ind w:right="345"/>
              <w:jc w:val="right"/>
              <w:rPr>
                <w:sz w:val="13"/>
              </w:rPr>
            </w:pPr>
            <w:r>
              <w:rPr>
                <w:spacing w:val="-2"/>
                <w:w w:val="105"/>
                <w:sz w:val="13"/>
              </w:rPr>
              <w:t>2,819</w:t>
            </w:r>
          </w:p>
        </w:tc>
        <w:tc>
          <w:tcPr>
            <w:tcW w:w="860" w:type="dxa"/>
            <w:tcBorders>
              <w:bottom w:val="single" w:sz="6" w:space="0" w:color="000000"/>
            </w:tcBorders>
          </w:tcPr>
          <w:p>
            <w:pPr>
              <w:pStyle w:val="TableParagraph"/>
              <w:spacing w:line="134" w:lineRule="exact" w:before="2"/>
              <w:ind w:left="51"/>
              <w:jc w:val="center"/>
              <w:rPr>
                <w:sz w:val="13"/>
              </w:rPr>
            </w:pPr>
            <w:r>
              <w:rPr>
                <w:spacing w:val="-5"/>
                <w:w w:val="105"/>
                <w:sz w:val="13"/>
              </w:rPr>
              <w:t>415</w:t>
            </w:r>
          </w:p>
        </w:tc>
        <w:tc>
          <w:tcPr>
            <w:tcW w:w="973" w:type="dxa"/>
            <w:tcBorders>
              <w:bottom w:val="single" w:sz="6" w:space="0" w:color="000000"/>
            </w:tcBorders>
          </w:tcPr>
          <w:p>
            <w:pPr>
              <w:pStyle w:val="TableParagraph"/>
              <w:spacing w:line="134" w:lineRule="exact" w:before="2"/>
              <w:ind w:right="59"/>
              <w:jc w:val="center"/>
              <w:rPr>
                <w:sz w:val="13"/>
              </w:rPr>
            </w:pPr>
            <w:r>
              <w:rPr>
                <w:spacing w:val="-2"/>
                <w:w w:val="105"/>
                <w:sz w:val="13"/>
              </w:rPr>
              <w:t>2,819</w:t>
            </w:r>
          </w:p>
        </w:tc>
        <w:tc>
          <w:tcPr>
            <w:tcW w:w="646" w:type="dxa"/>
            <w:tcBorders>
              <w:bottom w:val="single" w:sz="6" w:space="0" w:color="000000"/>
            </w:tcBorders>
          </w:tcPr>
          <w:p>
            <w:pPr>
              <w:pStyle w:val="TableParagraph"/>
              <w:spacing w:line="134" w:lineRule="exact" w:before="2"/>
              <w:ind w:right="76"/>
              <w:jc w:val="right"/>
              <w:rPr>
                <w:sz w:val="13"/>
              </w:rPr>
            </w:pPr>
            <w:r>
              <w:rPr>
                <w:spacing w:val="-5"/>
                <w:w w:val="105"/>
                <w:sz w:val="13"/>
              </w:rPr>
              <w:t>415</w:t>
            </w:r>
          </w:p>
        </w:tc>
      </w:tr>
      <w:tr>
        <w:trPr>
          <w:trHeight w:val="157" w:hRule="atLeast"/>
        </w:trPr>
        <w:tc>
          <w:tcPr>
            <w:tcW w:w="3873" w:type="dxa"/>
          </w:tcPr>
          <w:p>
            <w:pPr>
              <w:pStyle w:val="TableParagraph"/>
              <w:spacing w:line="134" w:lineRule="exact" w:before="3"/>
              <w:ind w:left="50"/>
              <w:rPr>
                <w:sz w:val="13"/>
              </w:rPr>
            </w:pPr>
            <w:r>
              <w:rPr>
                <w:w w:val="105"/>
                <w:sz w:val="13"/>
              </w:rPr>
              <w:t>Total</w:t>
            </w:r>
            <w:r>
              <w:rPr>
                <w:spacing w:val="-8"/>
                <w:w w:val="105"/>
                <w:sz w:val="13"/>
              </w:rPr>
              <w:t> </w:t>
            </w:r>
            <w:r>
              <w:rPr>
                <w:w w:val="105"/>
                <w:sz w:val="13"/>
              </w:rPr>
              <w:t>other</w:t>
            </w:r>
            <w:r>
              <w:rPr>
                <w:spacing w:val="-6"/>
                <w:w w:val="105"/>
                <w:sz w:val="13"/>
              </w:rPr>
              <w:t> </w:t>
            </w:r>
            <w:r>
              <w:rPr>
                <w:w w:val="105"/>
                <w:sz w:val="13"/>
              </w:rPr>
              <w:t>capital</w:t>
            </w:r>
            <w:r>
              <w:rPr>
                <w:spacing w:val="-7"/>
                <w:w w:val="105"/>
                <w:sz w:val="13"/>
              </w:rPr>
              <w:t> </w:t>
            </w:r>
            <w:r>
              <w:rPr>
                <w:spacing w:val="-2"/>
                <w:w w:val="105"/>
                <w:sz w:val="13"/>
              </w:rPr>
              <w:t>funding</w:t>
            </w:r>
          </w:p>
        </w:tc>
        <w:tc>
          <w:tcPr>
            <w:tcW w:w="837" w:type="dxa"/>
          </w:tcPr>
          <w:p>
            <w:pPr>
              <w:pStyle w:val="TableParagraph"/>
              <w:rPr>
                <w:rFonts w:ascii="Times New Roman"/>
                <w:sz w:val="10"/>
              </w:rPr>
            </w:pPr>
          </w:p>
        </w:tc>
        <w:tc>
          <w:tcPr>
            <w:tcW w:w="1189" w:type="dxa"/>
            <w:tcBorders>
              <w:top w:val="single" w:sz="6" w:space="0" w:color="000000"/>
              <w:bottom w:val="single" w:sz="6" w:space="0" w:color="000000"/>
            </w:tcBorders>
          </w:tcPr>
          <w:p>
            <w:pPr>
              <w:pStyle w:val="TableParagraph"/>
              <w:spacing w:line="134" w:lineRule="exact" w:before="3"/>
              <w:ind w:right="345"/>
              <w:jc w:val="right"/>
              <w:rPr>
                <w:sz w:val="13"/>
              </w:rPr>
            </w:pPr>
            <w:r>
              <w:rPr>
                <w:spacing w:val="-2"/>
                <w:w w:val="105"/>
                <w:sz w:val="13"/>
              </w:rPr>
              <w:t>2,819</w:t>
            </w:r>
          </w:p>
        </w:tc>
        <w:tc>
          <w:tcPr>
            <w:tcW w:w="860" w:type="dxa"/>
            <w:tcBorders>
              <w:top w:val="single" w:sz="6" w:space="0" w:color="000000"/>
              <w:bottom w:val="single" w:sz="6" w:space="0" w:color="000000"/>
            </w:tcBorders>
          </w:tcPr>
          <w:p>
            <w:pPr>
              <w:pStyle w:val="TableParagraph"/>
              <w:spacing w:line="134" w:lineRule="exact" w:before="3"/>
              <w:ind w:left="51"/>
              <w:jc w:val="center"/>
              <w:rPr>
                <w:sz w:val="13"/>
              </w:rPr>
            </w:pPr>
            <w:r>
              <w:rPr>
                <w:spacing w:val="-5"/>
                <w:w w:val="105"/>
                <w:sz w:val="13"/>
              </w:rPr>
              <w:t>415</w:t>
            </w:r>
          </w:p>
        </w:tc>
        <w:tc>
          <w:tcPr>
            <w:tcW w:w="973" w:type="dxa"/>
            <w:tcBorders>
              <w:top w:val="single" w:sz="6" w:space="0" w:color="000000"/>
              <w:bottom w:val="single" w:sz="6" w:space="0" w:color="000000"/>
            </w:tcBorders>
          </w:tcPr>
          <w:p>
            <w:pPr>
              <w:pStyle w:val="TableParagraph"/>
              <w:spacing w:line="134" w:lineRule="exact" w:before="3"/>
              <w:ind w:right="59"/>
              <w:jc w:val="center"/>
              <w:rPr>
                <w:sz w:val="13"/>
              </w:rPr>
            </w:pPr>
            <w:r>
              <w:rPr>
                <w:spacing w:val="-2"/>
                <w:w w:val="105"/>
                <w:sz w:val="13"/>
              </w:rPr>
              <w:t>2,819</w:t>
            </w:r>
          </w:p>
        </w:tc>
        <w:tc>
          <w:tcPr>
            <w:tcW w:w="646" w:type="dxa"/>
            <w:tcBorders>
              <w:top w:val="single" w:sz="6" w:space="0" w:color="000000"/>
              <w:bottom w:val="single" w:sz="6" w:space="0" w:color="000000"/>
            </w:tcBorders>
          </w:tcPr>
          <w:p>
            <w:pPr>
              <w:pStyle w:val="TableParagraph"/>
              <w:spacing w:line="134" w:lineRule="exact" w:before="3"/>
              <w:ind w:right="76"/>
              <w:jc w:val="right"/>
              <w:rPr>
                <w:sz w:val="13"/>
              </w:rPr>
            </w:pPr>
            <w:r>
              <w:rPr>
                <w:spacing w:val="-5"/>
                <w:w w:val="105"/>
                <w:sz w:val="13"/>
              </w:rPr>
              <w:t>415</w:t>
            </w:r>
          </w:p>
        </w:tc>
      </w:tr>
    </w:tbl>
    <w:p>
      <w:pPr>
        <w:spacing w:line="240" w:lineRule="auto" w:before="25"/>
        <w:rPr>
          <w:b/>
          <w:sz w:val="13"/>
        </w:rPr>
      </w:pPr>
    </w:p>
    <w:p>
      <w:pPr>
        <w:spacing w:before="1"/>
        <w:ind w:left="856" w:right="0" w:firstLine="0"/>
        <w:jc w:val="both"/>
        <w:rPr>
          <w:b/>
          <w:i/>
          <w:sz w:val="13"/>
        </w:rPr>
      </w:pPr>
      <w:r>
        <w:rPr>
          <w:b/>
          <w:i/>
          <w:color w:val="0070C0"/>
          <w:w w:val="105"/>
          <w:sz w:val="13"/>
        </w:rPr>
        <w:t>Accounting</w:t>
      </w:r>
      <w:r>
        <w:rPr>
          <w:b/>
          <w:i/>
          <w:color w:val="0070C0"/>
          <w:spacing w:val="-6"/>
          <w:w w:val="105"/>
          <w:sz w:val="13"/>
        </w:rPr>
        <w:t> </w:t>
      </w:r>
      <w:r>
        <w:rPr>
          <w:b/>
          <w:i/>
          <w:color w:val="0070C0"/>
          <w:spacing w:val="-2"/>
          <w:w w:val="105"/>
          <w:sz w:val="13"/>
        </w:rPr>
        <w:t>policy</w:t>
      </w:r>
    </w:p>
    <w:p>
      <w:pPr>
        <w:spacing w:line="273" w:lineRule="auto" w:before="24"/>
        <w:ind w:left="856" w:right="1828" w:firstLine="0"/>
        <w:jc w:val="both"/>
        <w:rPr>
          <w:sz w:val="13"/>
        </w:rPr>
      </w:pPr>
      <w:r>
        <w:rPr>
          <w:w w:val="105"/>
          <w:sz w:val="13"/>
        </w:rPr>
        <w:t>Other</w:t>
      </w:r>
      <w:r>
        <w:rPr>
          <w:w w:val="105"/>
          <w:sz w:val="13"/>
        </w:rPr>
        <w:t> capital</w:t>
      </w:r>
      <w:r>
        <w:rPr>
          <w:w w:val="105"/>
          <w:sz w:val="13"/>
        </w:rPr>
        <w:t> funding</w:t>
      </w:r>
      <w:r>
        <w:rPr>
          <w:w w:val="105"/>
          <w:sz w:val="13"/>
        </w:rPr>
        <w:t> represents</w:t>
      </w:r>
      <w:r>
        <w:rPr>
          <w:w w:val="105"/>
          <w:sz w:val="13"/>
        </w:rPr>
        <w:t> grants</w:t>
      </w:r>
      <w:r>
        <w:rPr>
          <w:w w:val="105"/>
          <w:sz w:val="13"/>
        </w:rPr>
        <w:t> provided</w:t>
      </w:r>
      <w:r>
        <w:rPr>
          <w:w w:val="105"/>
          <w:sz w:val="13"/>
        </w:rPr>
        <w:t> to</w:t>
      </w:r>
      <w:r>
        <w:rPr>
          <w:w w:val="105"/>
          <w:sz w:val="13"/>
        </w:rPr>
        <w:t> acquire</w:t>
      </w:r>
      <w:r>
        <w:rPr>
          <w:w w:val="105"/>
          <w:sz w:val="13"/>
        </w:rPr>
        <w:t> or</w:t>
      </w:r>
      <w:r>
        <w:rPr>
          <w:w w:val="105"/>
          <w:sz w:val="13"/>
        </w:rPr>
        <w:t> construct</w:t>
      </w:r>
      <w:r>
        <w:rPr>
          <w:w w:val="105"/>
          <w:sz w:val="13"/>
        </w:rPr>
        <w:t> a</w:t>
      </w:r>
      <w:r>
        <w:rPr>
          <w:w w:val="105"/>
          <w:sz w:val="13"/>
        </w:rPr>
        <w:t> recognisable</w:t>
      </w:r>
      <w:r>
        <w:rPr>
          <w:w w:val="105"/>
          <w:sz w:val="13"/>
        </w:rPr>
        <w:t> non-financial</w:t>
      </w:r>
      <w:r>
        <w:rPr>
          <w:w w:val="105"/>
          <w:sz w:val="13"/>
        </w:rPr>
        <w:t> asset</w:t>
      </w:r>
      <w:r>
        <w:rPr>
          <w:w w:val="105"/>
          <w:sz w:val="13"/>
        </w:rPr>
        <w:t> (e.g.</w:t>
      </w:r>
      <w:r>
        <w:rPr>
          <w:w w:val="105"/>
          <w:sz w:val="13"/>
        </w:rPr>
        <w:t> land,</w:t>
      </w:r>
      <w:r>
        <w:rPr>
          <w:w w:val="105"/>
          <w:sz w:val="13"/>
        </w:rPr>
        <w:t> buildings,</w:t>
      </w:r>
      <w:r>
        <w:rPr>
          <w:spacing w:val="40"/>
          <w:w w:val="105"/>
          <w:sz w:val="13"/>
        </w:rPr>
        <w:t> </w:t>
      </w:r>
      <w:r>
        <w:rPr>
          <w:w w:val="105"/>
          <w:sz w:val="13"/>
        </w:rPr>
        <w:t>infrastructure,</w:t>
      </w:r>
      <w:r>
        <w:rPr>
          <w:spacing w:val="-2"/>
          <w:w w:val="105"/>
          <w:sz w:val="13"/>
        </w:rPr>
        <w:t> </w:t>
      </w:r>
      <w:r>
        <w:rPr>
          <w:w w:val="105"/>
          <w:sz w:val="13"/>
        </w:rPr>
        <w:t>plant</w:t>
      </w:r>
      <w:r>
        <w:rPr>
          <w:spacing w:val="-2"/>
          <w:w w:val="105"/>
          <w:sz w:val="13"/>
        </w:rPr>
        <w:t> </w:t>
      </w:r>
      <w:r>
        <w:rPr>
          <w:w w:val="105"/>
          <w:sz w:val="13"/>
        </w:rPr>
        <w:t>and</w:t>
      </w:r>
      <w:r>
        <w:rPr>
          <w:spacing w:val="-3"/>
          <w:w w:val="105"/>
          <w:sz w:val="13"/>
        </w:rPr>
        <w:t> </w:t>
      </w:r>
      <w:r>
        <w:rPr>
          <w:w w:val="105"/>
          <w:sz w:val="13"/>
        </w:rPr>
        <w:t>equipment)</w:t>
      </w:r>
      <w:r>
        <w:rPr>
          <w:spacing w:val="-1"/>
          <w:w w:val="105"/>
          <w:sz w:val="13"/>
        </w:rPr>
        <w:t> </w:t>
      </w:r>
      <w:r>
        <w:rPr>
          <w:w w:val="105"/>
          <w:sz w:val="13"/>
        </w:rPr>
        <w:t>to</w:t>
      </w:r>
      <w:r>
        <w:rPr>
          <w:spacing w:val="-3"/>
          <w:w w:val="105"/>
          <w:sz w:val="13"/>
        </w:rPr>
        <w:t> </w:t>
      </w:r>
      <w:r>
        <w:rPr>
          <w:w w:val="105"/>
          <w:sz w:val="13"/>
        </w:rPr>
        <w:t>be</w:t>
      </w:r>
      <w:r>
        <w:rPr>
          <w:spacing w:val="-3"/>
          <w:w w:val="105"/>
          <w:sz w:val="13"/>
        </w:rPr>
        <w:t> </w:t>
      </w:r>
      <w:r>
        <w:rPr>
          <w:w w:val="105"/>
          <w:sz w:val="13"/>
        </w:rPr>
        <w:t>controlled</w:t>
      </w:r>
      <w:r>
        <w:rPr>
          <w:spacing w:val="-3"/>
          <w:w w:val="105"/>
          <w:sz w:val="13"/>
        </w:rPr>
        <w:t> </w:t>
      </w:r>
      <w:r>
        <w:rPr>
          <w:w w:val="105"/>
          <w:sz w:val="13"/>
        </w:rPr>
        <w:t>by</w:t>
      </w:r>
      <w:r>
        <w:rPr>
          <w:spacing w:val="-5"/>
          <w:w w:val="105"/>
          <w:sz w:val="13"/>
        </w:rPr>
        <w:t> </w:t>
      </w:r>
      <w:r>
        <w:rPr>
          <w:w w:val="105"/>
          <w:sz w:val="13"/>
        </w:rPr>
        <w:t>the</w:t>
      </w:r>
      <w:r>
        <w:rPr>
          <w:spacing w:val="-3"/>
          <w:w w:val="105"/>
          <w:sz w:val="13"/>
        </w:rPr>
        <w:t> </w:t>
      </w:r>
      <w:r>
        <w:rPr>
          <w:w w:val="105"/>
          <w:sz w:val="13"/>
        </w:rPr>
        <w:t>Group.</w:t>
      </w:r>
      <w:r>
        <w:rPr>
          <w:spacing w:val="-2"/>
          <w:w w:val="105"/>
          <w:sz w:val="13"/>
        </w:rPr>
        <w:t> </w:t>
      </w:r>
      <w:r>
        <w:rPr>
          <w:w w:val="105"/>
          <w:sz w:val="13"/>
        </w:rPr>
        <w:t>This</w:t>
      </w:r>
      <w:r>
        <w:rPr>
          <w:spacing w:val="-2"/>
          <w:w w:val="105"/>
          <w:sz w:val="13"/>
        </w:rPr>
        <w:t> </w:t>
      </w:r>
      <w:r>
        <w:rPr>
          <w:w w:val="105"/>
          <w:sz w:val="13"/>
        </w:rPr>
        <w:t>falls</w:t>
      </w:r>
      <w:r>
        <w:rPr>
          <w:spacing w:val="-2"/>
          <w:w w:val="105"/>
          <w:sz w:val="13"/>
        </w:rPr>
        <w:t> </w:t>
      </w:r>
      <w:r>
        <w:rPr>
          <w:w w:val="105"/>
          <w:sz w:val="13"/>
        </w:rPr>
        <w:t>under</w:t>
      </w:r>
      <w:r>
        <w:rPr>
          <w:spacing w:val="-1"/>
          <w:w w:val="105"/>
          <w:sz w:val="13"/>
        </w:rPr>
        <w:t> </w:t>
      </w:r>
      <w:r>
        <w:rPr>
          <w:w w:val="105"/>
          <w:sz w:val="13"/>
        </w:rPr>
        <w:t>AASB1058</w:t>
      </w:r>
      <w:r>
        <w:rPr>
          <w:spacing w:val="-3"/>
          <w:w w:val="105"/>
          <w:sz w:val="13"/>
        </w:rPr>
        <w:t> </w:t>
      </w:r>
      <w:r>
        <w:rPr>
          <w:w w:val="105"/>
          <w:sz w:val="13"/>
        </w:rPr>
        <w:t>and</w:t>
      </w:r>
      <w:r>
        <w:rPr>
          <w:spacing w:val="-3"/>
          <w:w w:val="105"/>
          <w:sz w:val="13"/>
        </w:rPr>
        <w:t> </w:t>
      </w:r>
      <w:r>
        <w:rPr>
          <w:w w:val="105"/>
          <w:sz w:val="13"/>
        </w:rPr>
        <w:t>the</w:t>
      </w:r>
      <w:r>
        <w:rPr>
          <w:spacing w:val="-3"/>
          <w:w w:val="105"/>
          <w:sz w:val="13"/>
        </w:rPr>
        <w:t> </w:t>
      </w:r>
      <w:r>
        <w:rPr>
          <w:w w:val="105"/>
          <w:sz w:val="13"/>
        </w:rPr>
        <w:t>revenue</w:t>
      </w:r>
      <w:r>
        <w:rPr>
          <w:spacing w:val="-5"/>
          <w:w w:val="105"/>
          <w:sz w:val="13"/>
        </w:rPr>
        <w:t> </w:t>
      </w:r>
      <w:r>
        <w:rPr>
          <w:w w:val="105"/>
          <w:sz w:val="13"/>
        </w:rPr>
        <w:t>is</w:t>
      </w:r>
      <w:r>
        <w:rPr>
          <w:spacing w:val="-2"/>
          <w:w w:val="105"/>
          <w:sz w:val="13"/>
        </w:rPr>
        <w:t> </w:t>
      </w:r>
      <w:r>
        <w:rPr>
          <w:w w:val="105"/>
          <w:sz w:val="13"/>
        </w:rPr>
        <w:t>recognised</w:t>
      </w:r>
      <w:r>
        <w:rPr>
          <w:spacing w:val="-5"/>
          <w:w w:val="105"/>
          <w:sz w:val="13"/>
        </w:rPr>
        <w:t> </w:t>
      </w:r>
      <w:r>
        <w:rPr>
          <w:w w:val="105"/>
          <w:sz w:val="13"/>
        </w:rPr>
        <w:t>over</w:t>
      </w:r>
      <w:r>
        <w:rPr>
          <w:spacing w:val="-1"/>
          <w:w w:val="105"/>
          <w:sz w:val="13"/>
        </w:rPr>
        <w:t> </w:t>
      </w:r>
      <w:r>
        <w:rPr>
          <w:w w:val="105"/>
          <w:sz w:val="13"/>
        </w:rPr>
        <w:t>time</w:t>
      </w:r>
      <w:r>
        <w:rPr>
          <w:spacing w:val="-5"/>
          <w:w w:val="105"/>
          <w:sz w:val="13"/>
        </w:rPr>
        <w:t> </w:t>
      </w:r>
      <w:r>
        <w:rPr>
          <w:w w:val="105"/>
          <w:sz w:val="13"/>
        </w:rPr>
        <w:t>as</w:t>
      </w:r>
      <w:r>
        <w:rPr>
          <w:spacing w:val="40"/>
          <w:w w:val="105"/>
          <w:sz w:val="13"/>
        </w:rPr>
        <w:t> </w:t>
      </w:r>
      <w:r>
        <w:rPr>
          <w:w w:val="105"/>
          <w:sz w:val="13"/>
        </w:rPr>
        <w:t>the asset is acquired or constructed.</w:t>
      </w:r>
    </w:p>
    <w:p>
      <w:pPr>
        <w:spacing w:line="240" w:lineRule="auto" w:before="85"/>
        <w:rPr>
          <w:sz w:val="13"/>
        </w:rPr>
      </w:pPr>
    </w:p>
    <w:p>
      <w:pPr>
        <w:pStyle w:val="ListParagraph"/>
        <w:numPr>
          <w:ilvl w:val="0"/>
          <w:numId w:val="19"/>
        </w:numPr>
        <w:tabs>
          <w:tab w:pos="856" w:val="left" w:leader="none"/>
        </w:tabs>
        <w:spacing w:line="240" w:lineRule="auto" w:before="1" w:after="16"/>
        <w:ind w:left="856" w:right="0" w:hanging="607"/>
        <w:jc w:val="left"/>
        <w:rPr>
          <w:b/>
          <w:sz w:val="13"/>
        </w:rPr>
      </w:pPr>
      <w:r>
        <w:rPr>
          <w:b/>
          <w:spacing w:val="-2"/>
          <w:w w:val="105"/>
          <w:sz w:val="13"/>
        </w:rPr>
        <w:t>Australian</w:t>
      </w:r>
      <w:r>
        <w:rPr>
          <w:b/>
          <w:spacing w:val="5"/>
          <w:w w:val="105"/>
          <w:sz w:val="13"/>
        </w:rPr>
        <w:t> </w:t>
      </w:r>
      <w:r>
        <w:rPr>
          <w:b/>
          <w:spacing w:val="-2"/>
          <w:w w:val="105"/>
          <w:sz w:val="13"/>
        </w:rPr>
        <w:t>Research</w:t>
      </w:r>
      <w:r>
        <w:rPr>
          <w:b/>
          <w:spacing w:val="5"/>
          <w:w w:val="105"/>
          <w:sz w:val="13"/>
        </w:rPr>
        <w:t> </w:t>
      </w:r>
      <w:r>
        <w:rPr>
          <w:b/>
          <w:spacing w:val="-2"/>
          <w:w w:val="105"/>
          <w:sz w:val="13"/>
        </w:rPr>
        <w:t>Council</w:t>
      </w:r>
    </w:p>
    <w:tbl>
      <w:tblPr>
        <w:tblW w:w="0" w:type="auto"/>
        <w:jc w:val="left"/>
        <w:tblInd w:w="8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206"/>
        <w:gridCol w:w="1502"/>
        <w:gridCol w:w="1094"/>
        <w:gridCol w:w="915"/>
        <w:gridCol w:w="915"/>
        <w:gridCol w:w="738"/>
      </w:tblGrid>
      <w:tr>
        <w:trPr>
          <w:trHeight w:val="162" w:hRule="atLeast"/>
        </w:trPr>
        <w:tc>
          <w:tcPr>
            <w:tcW w:w="3206" w:type="dxa"/>
          </w:tcPr>
          <w:p>
            <w:pPr>
              <w:pStyle w:val="TableParagraph"/>
              <w:spacing w:line="141" w:lineRule="exact" w:before="2"/>
              <w:ind w:left="237"/>
              <w:rPr>
                <w:sz w:val="13"/>
              </w:rPr>
            </w:pPr>
            <w:r>
              <w:rPr>
                <w:spacing w:val="-2"/>
                <w:w w:val="105"/>
                <w:sz w:val="13"/>
              </w:rPr>
              <w:t>Discovery</w:t>
            </w:r>
          </w:p>
        </w:tc>
        <w:tc>
          <w:tcPr>
            <w:tcW w:w="1502" w:type="dxa"/>
          </w:tcPr>
          <w:p>
            <w:pPr>
              <w:pStyle w:val="TableParagraph"/>
              <w:spacing w:line="141" w:lineRule="exact" w:before="2"/>
              <w:ind w:right="79"/>
              <w:jc w:val="right"/>
              <w:rPr>
                <w:sz w:val="13"/>
              </w:rPr>
            </w:pPr>
            <w:r>
              <w:rPr>
                <w:spacing w:val="-2"/>
                <w:w w:val="105"/>
                <w:sz w:val="13"/>
              </w:rPr>
              <w:t>7.8(f)</w:t>
            </w:r>
          </w:p>
        </w:tc>
        <w:tc>
          <w:tcPr>
            <w:tcW w:w="1094" w:type="dxa"/>
          </w:tcPr>
          <w:p>
            <w:pPr>
              <w:pStyle w:val="TableParagraph"/>
              <w:spacing w:line="141" w:lineRule="exact" w:before="2"/>
              <w:ind w:right="248"/>
              <w:jc w:val="right"/>
              <w:rPr>
                <w:sz w:val="13"/>
              </w:rPr>
            </w:pPr>
            <w:r>
              <w:rPr>
                <w:spacing w:val="-2"/>
                <w:w w:val="105"/>
                <w:sz w:val="13"/>
              </w:rPr>
              <w:t>17,826</w:t>
            </w:r>
          </w:p>
        </w:tc>
        <w:tc>
          <w:tcPr>
            <w:tcW w:w="915" w:type="dxa"/>
          </w:tcPr>
          <w:p>
            <w:pPr>
              <w:pStyle w:val="TableParagraph"/>
              <w:spacing w:line="141" w:lineRule="exact" w:before="2"/>
              <w:ind w:left="81" w:right="78"/>
              <w:jc w:val="center"/>
              <w:rPr>
                <w:sz w:val="13"/>
              </w:rPr>
            </w:pPr>
            <w:r>
              <w:rPr>
                <w:spacing w:val="-2"/>
                <w:w w:val="105"/>
                <w:sz w:val="13"/>
              </w:rPr>
              <w:t>18,231</w:t>
            </w:r>
          </w:p>
        </w:tc>
        <w:tc>
          <w:tcPr>
            <w:tcW w:w="915" w:type="dxa"/>
          </w:tcPr>
          <w:p>
            <w:pPr>
              <w:pStyle w:val="TableParagraph"/>
              <w:spacing w:line="141" w:lineRule="exact" w:before="2"/>
              <w:ind w:left="81" w:right="76"/>
              <w:jc w:val="center"/>
              <w:rPr>
                <w:sz w:val="13"/>
              </w:rPr>
            </w:pPr>
            <w:r>
              <w:rPr>
                <w:spacing w:val="-2"/>
                <w:w w:val="105"/>
                <w:sz w:val="13"/>
              </w:rPr>
              <w:t>17,826</w:t>
            </w:r>
          </w:p>
        </w:tc>
        <w:tc>
          <w:tcPr>
            <w:tcW w:w="738" w:type="dxa"/>
          </w:tcPr>
          <w:p>
            <w:pPr>
              <w:pStyle w:val="TableParagraph"/>
              <w:spacing w:line="141" w:lineRule="exact" w:before="2"/>
              <w:ind w:right="68"/>
              <w:jc w:val="right"/>
              <w:rPr>
                <w:sz w:val="13"/>
              </w:rPr>
            </w:pPr>
            <w:r>
              <w:rPr>
                <w:spacing w:val="-2"/>
                <w:w w:val="105"/>
                <w:sz w:val="13"/>
              </w:rPr>
              <w:t>18,231</w:t>
            </w:r>
          </w:p>
        </w:tc>
      </w:tr>
      <w:tr>
        <w:trPr>
          <w:trHeight w:val="172" w:hRule="atLeast"/>
        </w:trPr>
        <w:tc>
          <w:tcPr>
            <w:tcW w:w="3206" w:type="dxa"/>
          </w:tcPr>
          <w:p>
            <w:pPr>
              <w:pStyle w:val="TableParagraph"/>
              <w:spacing w:line="141" w:lineRule="exact" w:before="11"/>
              <w:ind w:left="237"/>
              <w:rPr>
                <w:sz w:val="13"/>
              </w:rPr>
            </w:pPr>
            <w:r>
              <w:rPr>
                <w:spacing w:val="-2"/>
                <w:w w:val="105"/>
                <w:sz w:val="13"/>
              </w:rPr>
              <w:t>Linkages</w:t>
            </w:r>
          </w:p>
        </w:tc>
        <w:tc>
          <w:tcPr>
            <w:tcW w:w="1502" w:type="dxa"/>
          </w:tcPr>
          <w:p>
            <w:pPr>
              <w:pStyle w:val="TableParagraph"/>
              <w:spacing w:line="141" w:lineRule="exact" w:before="11"/>
              <w:ind w:right="79"/>
              <w:jc w:val="right"/>
              <w:rPr>
                <w:sz w:val="13"/>
              </w:rPr>
            </w:pPr>
            <w:r>
              <w:rPr>
                <w:spacing w:val="-2"/>
                <w:w w:val="105"/>
                <w:sz w:val="13"/>
              </w:rPr>
              <w:t>7.8(f)</w:t>
            </w:r>
          </w:p>
        </w:tc>
        <w:tc>
          <w:tcPr>
            <w:tcW w:w="1094" w:type="dxa"/>
          </w:tcPr>
          <w:p>
            <w:pPr>
              <w:pStyle w:val="TableParagraph"/>
              <w:spacing w:line="141" w:lineRule="exact" w:before="11"/>
              <w:ind w:right="248"/>
              <w:jc w:val="right"/>
              <w:rPr>
                <w:sz w:val="13"/>
              </w:rPr>
            </w:pPr>
            <w:r>
              <w:rPr>
                <w:spacing w:val="-2"/>
                <w:w w:val="105"/>
                <w:sz w:val="13"/>
              </w:rPr>
              <w:t>3,233</w:t>
            </w:r>
          </w:p>
        </w:tc>
        <w:tc>
          <w:tcPr>
            <w:tcW w:w="915" w:type="dxa"/>
          </w:tcPr>
          <w:p>
            <w:pPr>
              <w:pStyle w:val="TableParagraph"/>
              <w:spacing w:line="141" w:lineRule="exact" w:before="11"/>
              <w:ind w:left="81" w:right="2"/>
              <w:jc w:val="center"/>
              <w:rPr>
                <w:sz w:val="13"/>
              </w:rPr>
            </w:pPr>
            <w:r>
              <w:rPr>
                <w:spacing w:val="-2"/>
                <w:w w:val="105"/>
                <w:sz w:val="13"/>
              </w:rPr>
              <w:t>3,514</w:t>
            </w:r>
          </w:p>
        </w:tc>
        <w:tc>
          <w:tcPr>
            <w:tcW w:w="915" w:type="dxa"/>
          </w:tcPr>
          <w:p>
            <w:pPr>
              <w:pStyle w:val="TableParagraph"/>
              <w:spacing w:line="141" w:lineRule="exact" w:before="11"/>
              <w:ind w:left="81" w:right="1"/>
              <w:jc w:val="center"/>
              <w:rPr>
                <w:sz w:val="13"/>
              </w:rPr>
            </w:pPr>
            <w:r>
              <w:rPr>
                <w:spacing w:val="-2"/>
                <w:w w:val="105"/>
                <w:sz w:val="13"/>
              </w:rPr>
              <w:t>3,233</w:t>
            </w:r>
          </w:p>
        </w:tc>
        <w:tc>
          <w:tcPr>
            <w:tcW w:w="738" w:type="dxa"/>
          </w:tcPr>
          <w:p>
            <w:pPr>
              <w:pStyle w:val="TableParagraph"/>
              <w:spacing w:line="141" w:lineRule="exact" w:before="11"/>
              <w:ind w:right="68"/>
              <w:jc w:val="right"/>
              <w:rPr>
                <w:sz w:val="13"/>
              </w:rPr>
            </w:pPr>
            <w:r>
              <w:rPr>
                <w:spacing w:val="-2"/>
                <w:w w:val="105"/>
                <w:sz w:val="13"/>
              </w:rPr>
              <w:t>3,514</w:t>
            </w:r>
          </w:p>
        </w:tc>
      </w:tr>
      <w:tr>
        <w:trPr>
          <w:trHeight w:val="165" w:hRule="atLeast"/>
        </w:trPr>
        <w:tc>
          <w:tcPr>
            <w:tcW w:w="3206" w:type="dxa"/>
          </w:tcPr>
          <w:p>
            <w:pPr>
              <w:pStyle w:val="TableParagraph"/>
              <w:spacing w:line="134" w:lineRule="exact" w:before="11"/>
              <w:ind w:left="237"/>
              <w:rPr>
                <w:sz w:val="13"/>
              </w:rPr>
            </w:pPr>
            <w:r>
              <w:rPr>
                <w:w w:val="105"/>
                <w:sz w:val="13"/>
              </w:rPr>
              <w:t>Networks</w:t>
            </w:r>
            <w:r>
              <w:rPr>
                <w:spacing w:val="-7"/>
                <w:w w:val="105"/>
                <w:sz w:val="13"/>
              </w:rPr>
              <w:t> </w:t>
            </w:r>
            <w:r>
              <w:rPr>
                <w:w w:val="105"/>
                <w:sz w:val="13"/>
              </w:rPr>
              <w:t>and</w:t>
            </w:r>
            <w:r>
              <w:rPr>
                <w:spacing w:val="-7"/>
                <w:w w:val="105"/>
                <w:sz w:val="13"/>
              </w:rPr>
              <w:t> </w:t>
            </w:r>
            <w:r>
              <w:rPr>
                <w:spacing w:val="-2"/>
                <w:w w:val="105"/>
                <w:sz w:val="13"/>
              </w:rPr>
              <w:t>Centres</w:t>
            </w:r>
          </w:p>
        </w:tc>
        <w:tc>
          <w:tcPr>
            <w:tcW w:w="1502" w:type="dxa"/>
          </w:tcPr>
          <w:p>
            <w:pPr>
              <w:pStyle w:val="TableParagraph"/>
              <w:spacing w:line="134" w:lineRule="exact" w:before="11"/>
              <w:ind w:right="79"/>
              <w:jc w:val="right"/>
              <w:rPr>
                <w:sz w:val="13"/>
              </w:rPr>
            </w:pPr>
            <w:r>
              <w:rPr>
                <w:spacing w:val="-2"/>
                <w:w w:val="105"/>
                <w:sz w:val="13"/>
              </w:rPr>
              <w:t>7.8(f)</w:t>
            </w:r>
          </w:p>
        </w:tc>
        <w:tc>
          <w:tcPr>
            <w:tcW w:w="1094" w:type="dxa"/>
            <w:tcBorders>
              <w:bottom w:val="single" w:sz="6" w:space="0" w:color="000000"/>
            </w:tcBorders>
          </w:tcPr>
          <w:p>
            <w:pPr>
              <w:pStyle w:val="TableParagraph"/>
              <w:spacing w:line="134" w:lineRule="exact" w:before="11"/>
              <w:ind w:right="248"/>
              <w:jc w:val="right"/>
              <w:rPr>
                <w:sz w:val="13"/>
              </w:rPr>
            </w:pPr>
            <w:r>
              <w:rPr>
                <w:spacing w:val="-2"/>
                <w:w w:val="105"/>
                <w:sz w:val="13"/>
              </w:rPr>
              <w:t>4,073</w:t>
            </w:r>
          </w:p>
        </w:tc>
        <w:tc>
          <w:tcPr>
            <w:tcW w:w="915" w:type="dxa"/>
            <w:tcBorders>
              <w:bottom w:val="single" w:sz="6" w:space="0" w:color="000000"/>
            </w:tcBorders>
          </w:tcPr>
          <w:p>
            <w:pPr>
              <w:pStyle w:val="TableParagraph"/>
              <w:spacing w:line="134" w:lineRule="exact" w:before="11"/>
              <w:ind w:left="81" w:right="2"/>
              <w:jc w:val="center"/>
              <w:rPr>
                <w:sz w:val="13"/>
              </w:rPr>
            </w:pPr>
            <w:r>
              <w:rPr>
                <w:spacing w:val="-2"/>
                <w:w w:val="105"/>
                <w:sz w:val="13"/>
              </w:rPr>
              <w:t>4,159</w:t>
            </w:r>
          </w:p>
        </w:tc>
        <w:tc>
          <w:tcPr>
            <w:tcW w:w="915" w:type="dxa"/>
            <w:tcBorders>
              <w:bottom w:val="single" w:sz="6" w:space="0" w:color="000000"/>
            </w:tcBorders>
          </w:tcPr>
          <w:p>
            <w:pPr>
              <w:pStyle w:val="TableParagraph"/>
              <w:spacing w:line="134" w:lineRule="exact" w:before="11"/>
              <w:ind w:left="81"/>
              <w:jc w:val="center"/>
              <w:rPr>
                <w:sz w:val="13"/>
              </w:rPr>
            </w:pPr>
            <w:r>
              <w:rPr>
                <w:spacing w:val="-2"/>
                <w:w w:val="105"/>
                <w:sz w:val="13"/>
              </w:rPr>
              <w:t>4,073</w:t>
            </w:r>
          </w:p>
        </w:tc>
        <w:tc>
          <w:tcPr>
            <w:tcW w:w="738" w:type="dxa"/>
            <w:tcBorders>
              <w:bottom w:val="single" w:sz="6" w:space="0" w:color="000000"/>
            </w:tcBorders>
          </w:tcPr>
          <w:p>
            <w:pPr>
              <w:pStyle w:val="TableParagraph"/>
              <w:spacing w:line="134" w:lineRule="exact" w:before="11"/>
              <w:ind w:right="68"/>
              <w:jc w:val="right"/>
              <w:rPr>
                <w:sz w:val="13"/>
              </w:rPr>
            </w:pPr>
            <w:r>
              <w:rPr>
                <w:spacing w:val="-2"/>
                <w:w w:val="105"/>
                <w:sz w:val="13"/>
              </w:rPr>
              <w:t>4,159</w:t>
            </w:r>
          </w:p>
        </w:tc>
      </w:tr>
      <w:tr>
        <w:trPr>
          <w:trHeight w:val="157" w:hRule="atLeast"/>
        </w:trPr>
        <w:tc>
          <w:tcPr>
            <w:tcW w:w="3206" w:type="dxa"/>
          </w:tcPr>
          <w:p>
            <w:pPr>
              <w:pStyle w:val="TableParagraph"/>
              <w:spacing w:line="134" w:lineRule="exact" w:before="3"/>
              <w:ind w:left="50"/>
              <w:rPr>
                <w:sz w:val="13"/>
              </w:rPr>
            </w:pPr>
            <w:r>
              <w:rPr>
                <w:w w:val="105"/>
                <w:sz w:val="13"/>
              </w:rPr>
              <w:t>Total</w:t>
            </w:r>
            <w:r>
              <w:rPr>
                <w:spacing w:val="-8"/>
                <w:w w:val="105"/>
                <w:sz w:val="13"/>
              </w:rPr>
              <w:t> </w:t>
            </w:r>
            <w:r>
              <w:rPr>
                <w:w w:val="105"/>
                <w:sz w:val="13"/>
              </w:rPr>
              <w:t>Australian</w:t>
            </w:r>
            <w:r>
              <w:rPr>
                <w:spacing w:val="-8"/>
                <w:w w:val="105"/>
                <w:sz w:val="13"/>
              </w:rPr>
              <w:t> </w:t>
            </w:r>
            <w:r>
              <w:rPr>
                <w:w w:val="105"/>
                <w:sz w:val="13"/>
              </w:rPr>
              <w:t>Research</w:t>
            </w:r>
            <w:r>
              <w:rPr>
                <w:spacing w:val="-8"/>
                <w:w w:val="105"/>
                <w:sz w:val="13"/>
              </w:rPr>
              <w:t> </w:t>
            </w:r>
            <w:r>
              <w:rPr>
                <w:spacing w:val="-2"/>
                <w:w w:val="105"/>
                <w:sz w:val="13"/>
              </w:rPr>
              <w:t>Council</w:t>
            </w:r>
          </w:p>
        </w:tc>
        <w:tc>
          <w:tcPr>
            <w:tcW w:w="1502" w:type="dxa"/>
          </w:tcPr>
          <w:p>
            <w:pPr>
              <w:pStyle w:val="TableParagraph"/>
              <w:rPr>
                <w:rFonts w:ascii="Times New Roman"/>
                <w:sz w:val="10"/>
              </w:rPr>
            </w:pPr>
          </w:p>
        </w:tc>
        <w:tc>
          <w:tcPr>
            <w:tcW w:w="1094" w:type="dxa"/>
            <w:tcBorders>
              <w:top w:val="single" w:sz="6" w:space="0" w:color="000000"/>
              <w:bottom w:val="single" w:sz="6" w:space="0" w:color="000000"/>
            </w:tcBorders>
          </w:tcPr>
          <w:p>
            <w:pPr>
              <w:pStyle w:val="TableParagraph"/>
              <w:spacing w:line="134" w:lineRule="exact" w:before="3"/>
              <w:ind w:right="248"/>
              <w:jc w:val="right"/>
              <w:rPr>
                <w:sz w:val="13"/>
              </w:rPr>
            </w:pPr>
            <w:r>
              <w:rPr>
                <w:spacing w:val="-2"/>
                <w:w w:val="105"/>
                <w:sz w:val="13"/>
              </w:rPr>
              <w:t>25,132</w:t>
            </w:r>
          </w:p>
        </w:tc>
        <w:tc>
          <w:tcPr>
            <w:tcW w:w="915" w:type="dxa"/>
            <w:tcBorders>
              <w:top w:val="single" w:sz="6" w:space="0" w:color="000000"/>
              <w:bottom w:val="single" w:sz="6" w:space="0" w:color="000000"/>
            </w:tcBorders>
          </w:tcPr>
          <w:p>
            <w:pPr>
              <w:pStyle w:val="TableParagraph"/>
              <w:spacing w:line="134" w:lineRule="exact" w:before="3"/>
              <w:ind w:left="81" w:right="78"/>
              <w:jc w:val="center"/>
              <w:rPr>
                <w:sz w:val="13"/>
              </w:rPr>
            </w:pPr>
            <w:r>
              <w:rPr>
                <w:spacing w:val="-2"/>
                <w:w w:val="105"/>
                <w:sz w:val="13"/>
              </w:rPr>
              <w:t>25,904</w:t>
            </w:r>
          </w:p>
        </w:tc>
        <w:tc>
          <w:tcPr>
            <w:tcW w:w="915" w:type="dxa"/>
            <w:tcBorders>
              <w:top w:val="single" w:sz="6" w:space="0" w:color="000000"/>
              <w:bottom w:val="single" w:sz="6" w:space="0" w:color="000000"/>
            </w:tcBorders>
          </w:tcPr>
          <w:p>
            <w:pPr>
              <w:pStyle w:val="TableParagraph"/>
              <w:spacing w:line="134" w:lineRule="exact" w:before="3"/>
              <w:ind w:left="81" w:right="76"/>
              <w:jc w:val="center"/>
              <w:rPr>
                <w:sz w:val="13"/>
              </w:rPr>
            </w:pPr>
            <w:r>
              <w:rPr>
                <w:spacing w:val="-2"/>
                <w:w w:val="105"/>
                <w:sz w:val="13"/>
              </w:rPr>
              <w:t>25,132</w:t>
            </w:r>
          </w:p>
        </w:tc>
        <w:tc>
          <w:tcPr>
            <w:tcW w:w="738" w:type="dxa"/>
            <w:tcBorders>
              <w:top w:val="single" w:sz="6" w:space="0" w:color="000000"/>
              <w:bottom w:val="single" w:sz="6" w:space="0" w:color="000000"/>
            </w:tcBorders>
          </w:tcPr>
          <w:p>
            <w:pPr>
              <w:pStyle w:val="TableParagraph"/>
              <w:spacing w:line="134" w:lineRule="exact" w:before="3"/>
              <w:ind w:right="68"/>
              <w:jc w:val="right"/>
              <w:rPr>
                <w:sz w:val="13"/>
              </w:rPr>
            </w:pPr>
            <w:r>
              <w:rPr>
                <w:spacing w:val="-2"/>
                <w:w w:val="105"/>
                <w:sz w:val="13"/>
              </w:rPr>
              <w:t>25,904</w:t>
            </w:r>
          </w:p>
        </w:tc>
      </w:tr>
    </w:tbl>
    <w:p>
      <w:pPr>
        <w:spacing w:after="0" w:line="134" w:lineRule="exact"/>
        <w:jc w:val="right"/>
        <w:rPr>
          <w:sz w:val="13"/>
        </w:rPr>
        <w:sectPr>
          <w:type w:val="continuous"/>
          <w:pgSz w:w="11910" w:h="16840"/>
          <w:pgMar w:header="468" w:footer="0" w:top="980" w:bottom="280" w:left="920" w:right="0"/>
        </w:sectPr>
      </w:pPr>
    </w:p>
    <w:p>
      <w:pPr>
        <w:spacing w:line="240" w:lineRule="auto" w:before="0"/>
        <w:rPr>
          <w:b/>
          <w:sz w:val="22"/>
        </w:rPr>
      </w:pPr>
      <w:r>
        <w:rPr/>
        <mc:AlternateContent>
          <mc:Choice Requires="wps">
            <w:drawing>
              <wp:anchor distT="0" distB="0" distL="0" distR="0" allowOverlap="1" layoutInCell="1" locked="0" behindDoc="0" simplePos="0" relativeHeight="15876608">
                <wp:simplePos x="0" y="0"/>
                <wp:positionH relativeFrom="page">
                  <wp:posOffset>7111289</wp:posOffset>
                </wp:positionH>
                <wp:positionV relativeFrom="page">
                  <wp:posOffset>8040241</wp:posOffset>
                </wp:positionV>
                <wp:extent cx="177800" cy="1945005"/>
                <wp:effectExtent l="0" t="0" r="0" b="0"/>
                <wp:wrapNone/>
                <wp:docPr id="895" name="Textbox 895"/>
                <wp:cNvGraphicFramePr>
                  <a:graphicFrameLocks/>
                </wp:cNvGraphicFramePr>
                <a:graphic>
                  <a:graphicData uri="http://schemas.microsoft.com/office/word/2010/wordprocessingShape">
                    <wps:wsp>
                      <wps:cNvPr id="895" name="Textbox 895"/>
                      <wps:cNvSpPr txBox="1"/>
                      <wps:spPr>
                        <a:xfrm>
                          <a:off x="0" y="0"/>
                          <a:ext cx="177800" cy="194500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633.089905pt;width:14pt;height:153.15pt;mso-position-horizontal-relative:page;mso-position-vertical-relative:page;z-index:15876608" type="#_x0000_t202" id="docshape589"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v:textbox>
                <w10:wrap type="none"/>
              </v:shape>
            </w:pict>
          </mc:Fallback>
        </mc:AlternateContent>
      </w:r>
    </w:p>
    <w:p>
      <w:pPr>
        <w:spacing w:line="240" w:lineRule="auto" w:before="0"/>
        <w:rPr>
          <w:b/>
          <w:sz w:val="22"/>
        </w:rPr>
      </w:pPr>
    </w:p>
    <w:p>
      <w:pPr>
        <w:spacing w:line="240" w:lineRule="auto" w:before="192"/>
        <w:rPr>
          <w:b/>
          <w:sz w:val="22"/>
        </w:rPr>
      </w:pPr>
    </w:p>
    <w:p>
      <w:pPr>
        <w:spacing w:before="1"/>
        <w:ind w:left="253" w:right="0" w:firstLine="0"/>
        <w:jc w:val="left"/>
        <w:rPr>
          <w:sz w:val="22"/>
        </w:rPr>
      </w:pPr>
      <w:r>
        <w:rPr>
          <w:color w:val="0070C0"/>
          <w:sz w:val="22"/>
        </w:rPr>
        <w:t>NOTES</w:t>
      </w:r>
      <w:r>
        <w:rPr>
          <w:color w:val="0070C0"/>
          <w:spacing w:val="-9"/>
          <w:sz w:val="22"/>
        </w:rPr>
        <w:t> </w:t>
      </w:r>
      <w:r>
        <w:rPr>
          <w:color w:val="0070C0"/>
          <w:sz w:val="22"/>
        </w:rPr>
        <w:t>TO</w:t>
      </w:r>
      <w:r>
        <w:rPr>
          <w:color w:val="0070C0"/>
          <w:spacing w:val="-9"/>
          <w:sz w:val="22"/>
        </w:rPr>
        <w:t> </w:t>
      </w:r>
      <w:r>
        <w:rPr>
          <w:color w:val="0070C0"/>
          <w:sz w:val="22"/>
        </w:rPr>
        <w:t>THE</w:t>
      </w:r>
      <w:r>
        <w:rPr>
          <w:color w:val="0070C0"/>
          <w:spacing w:val="-9"/>
          <w:sz w:val="22"/>
        </w:rPr>
        <w:t> </w:t>
      </w:r>
      <w:r>
        <w:rPr>
          <w:color w:val="0070C0"/>
          <w:sz w:val="22"/>
        </w:rPr>
        <w:t>FINANCIAL</w:t>
      </w:r>
      <w:r>
        <w:rPr>
          <w:color w:val="0070C0"/>
          <w:spacing w:val="-9"/>
          <w:sz w:val="22"/>
        </w:rPr>
        <w:t> </w:t>
      </w:r>
      <w:r>
        <w:rPr>
          <w:color w:val="0070C0"/>
          <w:spacing w:val="-2"/>
          <w:sz w:val="22"/>
        </w:rPr>
        <w:t>STATEMENTS</w:t>
      </w:r>
    </w:p>
    <w:p>
      <w:pPr>
        <w:spacing w:before="30"/>
        <w:ind w:left="239" w:right="0" w:firstLine="0"/>
        <w:jc w:val="left"/>
        <w:rPr>
          <w:sz w:val="12"/>
        </w:rPr>
      </w:pPr>
      <w:r>
        <w:rPr>
          <w:sz w:val="12"/>
        </w:rPr>
        <w:t>for</w:t>
      </w:r>
      <w:r>
        <w:rPr>
          <w:spacing w:val="4"/>
          <w:sz w:val="12"/>
        </w:rPr>
        <w:t> </w:t>
      </w:r>
      <w:r>
        <w:rPr>
          <w:sz w:val="12"/>
        </w:rPr>
        <w:t>the</w:t>
      </w:r>
      <w:r>
        <w:rPr>
          <w:spacing w:val="3"/>
          <w:sz w:val="12"/>
        </w:rPr>
        <w:t> </w:t>
      </w:r>
      <w:r>
        <w:rPr>
          <w:sz w:val="12"/>
        </w:rPr>
        <w:t>year</w:t>
      </w:r>
      <w:r>
        <w:rPr>
          <w:spacing w:val="5"/>
          <w:sz w:val="12"/>
        </w:rPr>
        <w:t> </w:t>
      </w:r>
      <w:r>
        <w:rPr>
          <w:sz w:val="12"/>
        </w:rPr>
        <w:t>ended</w:t>
      </w:r>
      <w:r>
        <w:rPr>
          <w:spacing w:val="3"/>
          <w:sz w:val="12"/>
        </w:rPr>
        <w:t> </w:t>
      </w:r>
      <w:r>
        <w:rPr>
          <w:sz w:val="12"/>
        </w:rPr>
        <w:t>31</w:t>
      </w:r>
      <w:r>
        <w:rPr>
          <w:spacing w:val="3"/>
          <w:sz w:val="12"/>
        </w:rPr>
        <w:t> </w:t>
      </w:r>
      <w:r>
        <w:rPr>
          <w:sz w:val="12"/>
        </w:rPr>
        <w:t>December</w:t>
      </w:r>
      <w:r>
        <w:rPr>
          <w:spacing w:val="5"/>
          <w:sz w:val="12"/>
        </w:rPr>
        <w:t> </w:t>
      </w:r>
      <w:r>
        <w:rPr>
          <w:spacing w:val="-4"/>
          <w:sz w:val="12"/>
        </w:rPr>
        <w:t>2020</w:t>
      </w:r>
    </w:p>
    <w:p>
      <w:pPr>
        <w:spacing w:line="240" w:lineRule="auto" w:before="0"/>
        <w:rPr>
          <w:sz w:val="12"/>
        </w:rPr>
      </w:pPr>
    </w:p>
    <w:p>
      <w:pPr>
        <w:spacing w:line="240" w:lineRule="auto" w:before="74"/>
        <w:rPr>
          <w:sz w:val="12"/>
        </w:rPr>
      </w:pPr>
    </w:p>
    <w:p>
      <w:pPr>
        <w:spacing w:before="0"/>
        <w:ind w:left="847" w:right="0" w:firstLine="0"/>
        <w:jc w:val="both"/>
        <w:rPr>
          <w:b/>
          <w:i/>
          <w:sz w:val="13"/>
        </w:rPr>
      </w:pPr>
      <w:r>
        <w:rPr>
          <w:b/>
          <w:i/>
          <w:color w:val="0070C0"/>
          <w:w w:val="105"/>
          <w:sz w:val="13"/>
        </w:rPr>
        <w:t>Accounting</w:t>
      </w:r>
      <w:r>
        <w:rPr>
          <w:b/>
          <w:i/>
          <w:color w:val="0070C0"/>
          <w:spacing w:val="-6"/>
          <w:w w:val="105"/>
          <w:sz w:val="13"/>
        </w:rPr>
        <w:t> </w:t>
      </w:r>
      <w:r>
        <w:rPr>
          <w:b/>
          <w:i/>
          <w:color w:val="0070C0"/>
          <w:spacing w:val="-2"/>
          <w:w w:val="105"/>
          <w:sz w:val="13"/>
        </w:rPr>
        <w:t>policy</w:t>
      </w:r>
    </w:p>
    <w:p>
      <w:pPr>
        <w:spacing w:line="271" w:lineRule="auto" w:before="25"/>
        <w:ind w:left="847" w:right="1850" w:firstLine="0"/>
        <w:jc w:val="both"/>
        <w:rPr>
          <w:sz w:val="13"/>
        </w:rPr>
      </w:pPr>
      <w:r>
        <w:rPr>
          <w:w w:val="105"/>
          <w:sz w:val="13"/>
        </w:rPr>
        <w:t>Australian</w:t>
      </w:r>
      <w:r>
        <w:rPr>
          <w:w w:val="105"/>
          <w:sz w:val="13"/>
        </w:rPr>
        <w:t> Research</w:t>
      </w:r>
      <w:r>
        <w:rPr>
          <w:w w:val="105"/>
          <w:sz w:val="13"/>
        </w:rPr>
        <w:t> Council</w:t>
      </w:r>
      <w:r>
        <w:rPr>
          <w:w w:val="105"/>
          <w:sz w:val="13"/>
        </w:rPr>
        <w:t> funding</w:t>
      </w:r>
      <w:r>
        <w:rPr>
          <w:w w:val="105"/>
          <w:sz w:val="13"/>
        </w:rPr>
        <w:t> represents</w:t>
      </w:r>
      <w:r>
        <w:rPr>
          <w:w w:val="105"/>
          <w:sz w:val="13"/>
        </w:rPr>
        <w:t> grants</w:t>
      </w:r>
      <w:r>
        <w:rPr>
          <w:w w:val="105"/>
          <w:sz w:val="13"/>
        </w:rPr>
        <w:t> to</w:t>
      </w:r>
      <w:r>
        <w:rPr>
          <w:w w:val="105"/>
          <w:sz w:val="13"/>
        </w:rPr>
        <w:t> support</w:t>
      </w:r>
      <w:r>
        <w:rPr>
          <w:w w:val="105"/>
          <w:sz w:val="13"/>
        </w:rPr>
        <w:t> the</w:t>
      </w:r>
      <w:r>
        <w:rPr>
          <w:w w:val="105"/>
          <w:sz w:val="13"/>
        </w:rPr>
        <w:t> highest-quality</w:t>
      </w:r>
      <w:r>
        <w:rPr>
          <w:w w:val="105"/>
          <w:sz w:val="13"/>
        </w:rPr>
        <w:t> fundamental</w:t>
      </w:r>
      <w:r>
        <w:rPr>
          <w:w w:val="105"/>
          <w:sz w:val="13"/>
        </w:rPr>
        <w:t> and</w:t>
      </w:r>
      <w:r>
        <w:rPr>
          <w:w w:val="105"/>
          <w:sz w:val="13"/>
        </w:rPr>
        <w:t> applied</w:t>
      </w:r>
      <w:r>
        <w:rPr>
          <w:w w:val="105"/>
          <w:sz w:val="13"/>
        </w:rPr>
        <w:t> research</w:t>
      </w:r>
      <w:r>
        <w:rPr>
          <w:w w:val="105"/>
          <w:sz w:val="13"/>
        </w:rPr>
        <w:t> and</w:t>
      </w:r>
      <w:r>
        <w:rPr>
          <w:w w:val="105"/>
          <w:sz w:val="13"/>
        </w:rPr>
        <w:t> research</w:t>
      </w:r>
      <w:r>
        <w:rPr>
          <w:spacing w:val="40"/>
          <w:w w:val="105"/>
          <w:sz w:val="13"/>
        </w:rPr>
        <w:t> </w:t>
      </w:r>
      <w:r>
        <w:rPr>
          <w:w w:val="105"/>
          <w:sz w:val="13"/>
        </w:rPr>
        <w:t>training. This falls under AASB15 and the revenue</w:t>
      </w:r>
      <w:r>
        <w:rPr>
          <w:spacing w:val="-1"/>
          <w:w w:val="105"/>
          <w:sz w:val="13"/>
        </w:rPr>
        <w:t> </w:t>
      </w:r>
      <w:r>
        <w:rPr>
          <w:w w:val="105"/>
          <w:sz w:val="13"/>
        </w:rPr>
        <w:t>is recognised</w:t>
      </w:r>
      <w:r>
        <w:rPr>
          <w:spacing w:val="-1"/>
          <w:w w:val="105"/>
          <w:sz w:val="13"/>
        </w:rPr>
        <w:t> </w:t>
      </w:r>
      <w:r>
        <w:rPr>
          <w:w w:val="105"/>
          <w:sz w:val="13"/>
        </w:rPr>
        <w:t>over time</w:t>
      </w:r>
      <w:r>
        <w:rPr>
          <w:spacing w:val="-1"/>
          <w:w w:val="105"/>
          <w:sz w:val="13"/>
        </w:rPr>
        <w:t> </w:t>
      </w:r>
      <w:r>
        <w:rPr>
          <w:w w:val="105"/>
          <w:sz w:val="13"/>
        </w:rPr>
        <w:t>as the</w:t>
      </w:r>
      <w:r>
        <w:rPr>
          <w:spacing w:val="-1"/>
          <w:w w:val="105"/>
          <w:sz w:val="13"/>
        </w:rPr>
        <w:t> </w:t>
      </w:r>
      <w:r>
        <w:rPr>
          <w:w w:val="105"/>
          <w:sz w:val="13"/>
        </w:rPr>
        <w:t>grant funds are expended. This is on the</w:t>
      </w:r>
      <w:r>
        <w:rPr>
          <w:spacing w:val="-1"/>
          <w:w w:val="105"/>
          <w:sz w:val="13"/>
        </w:rPr>
        <w:t> </w:t>
      </w:r>
      <w:r>
        <w:rPr>
          <w:w w:val="105"/>
          <w:sz w:val="13"/>
        </w:rPr>
        <w:t>basis that the</w:t>
      </w:r>
      <w:r>
        <w:rPr>
          <w:spacing w:val="40"/>
          <w:w w:val="105"/>
          <w:sz w:val="13"/>
        </w:rPr>
        <w:t> </w:t>
      </w:r>
      <w:r>
        <w:rPr>
          <w:w w:val="105"/>
          <w:sz w:val="13"/>
        </w:rPr>
        <w:t>grant</w:t>
      </w:r>
      <w:r>
        <w:rPr>
          <w:spacing w:val="-3"/>
          <w:w w:val="105"/>
          <w:sz w:val="13"/>
        </w:rPr>
        <w:t> </w:t>
      </w:r>
      <w:r>
        <w:rPr>
          <w:w w:val="105"/>
          <w:sz w:val="13"/>
        </w:rPr>
        <w:t>agreements</w:t>
      </w:r>
      <w:r>
        <w:rPr>
          <w:spacing w:val="-3"/>
          <w:w w:val="105"/>
          <w:sz w:val="13"/>
        </w:rPr>
        <w:t> </w:t>
      </w:r>
      <w:r>
        <w:rPr>
          <w:w w:val="105"/>
          <w:sz w:val="13"/>
        </w:rPr>
        <w:t>contain</w:t>
      </w:r>
      <w:r>
        <w:rPr>
          <w:spacing w:val="-4"/>
          <w:w w:val="105"/>
          <w:sz w:val="13"/>
        </w:rPr>
        <w:t> </w:t>
      </w:r>
      <w:r>
        <w:rPr>
          <w:w w:val="105"/>
          <w:sz w:val="13"/>
        </w:rPr>
        <w:t>specific</w:t>
      </w:r>
      <w:r>
        <w:rPr>
          <w:spacing w:val="-3"/>
          <w:w w:val="105"/>
          <w:sz w:val="13"/>
        </w:rPr>
        <w:t> </w:t>
      </w:r>
      <w:r>
        <w:rPr>
          <w:w w:val="105"/>
          <w:sz w:val="13"/>
        </w:rPr>
        <w:t>performance</w:t>
      </w:r>
      <w:r>
        <w:rPr>
          <w:spacing w:val="-4"/>
          <w:w w:val="105"/>
          <w:sz w:val="13"/>
        </w:rPr>
        <w:t> </w:t>
      </w:r>
      <w:r>
        <w:rPr>
          <w:w w:val="105"/>
          <w:sz w:val="13"/>
        </w:rPr>
        <w:t>obligations</w:t>
      </w:r>
      <w:r>
        <w:rPr>
          <w:spacing w:val="-3"/>
          <w:w w:val="105"/>
          <w:sz w:val="13"/>
        </w:rPr>
        <w:t> </w:t>
      </w:r>
      <w:r>
        <w:rPr>
          <w:w w:val="105"/>
          <w:sz w:val="13"/>
        </w:rPr>
        <w:t>including</w:t>
      </w:r>
      <w:r>
        <w:rPr>
          <w:spacing w:val="-4"/>
          <w:w w:val="105"/>
          <w:sz w:val="13"/>
        </w:rPr>
        <w:t> </w:t>
      </w:r>
      <w:r>
        <w:rPr>
          <w:w w:val="105"/>
          <w:sz w:val="13"/>
        </w:rPr>
        <w:t>research</w:t>
      </w:r>
      <w:r>
        <w:rPr>
          <w:spacing w:val="-4"/>
          <w:w w:val="105"/>
          <w:sz w:val="13"/>
        </w:rPr>
        <w:t> </w:t>
      </w:r>
      <w:r>
        <w:rPr>
          <w:w w:val="105"/>
          <w:sz w:val="13"/>
        </w:rPr>
        <w:t>data</w:t>
      </w:r>
      <w:r>
        <w:rPr>
          <w:spacing w:val="-4"/>
          <w:w w:val="105"/>
          <w:sz w:val="13"/>
        </w:rPr>
        <w:t> </w:t>
      </w:r>
      <w:r>
        <w:rPr>
          <w:w w:val="105"/>
          <w:sz w:val="13"/>
        </w:rPr>
        <w:t>being</w:t>
      </w:r>
      <w:r>
        <w:rPr>
          <w:spacing w:val="-4"/>
          <w:w w:val="105"/>
          <w:sz w:val="13"/>
        </w:rPr>
        <w:t> </w:t>
      </w:r>
      <w:r>
        <w:rPr>
          <w:w w:val="105"/>
          <w:sz w:val="13"/>
        </w:rPr>
        <w:t>made</w:t>
      </w:r>
      <w:r>
        <w:rPr>
          <w:spacing w:val="-4"/>
          <w:w w:val="105"/>
          <w:sz w:val="13"/>
        </w:rPr>
        <w:t> </w:t>
      </w:r>
      <w:r>
        <w:rPr>
          <w:w w:val="105"/>
          <w:sz w:val="13"/>
        </w:rPr>
        <w:t>available</w:t>
      </w:r>
      <w:r>
        <w:rPr>
          <w:spacing w:val="-4"/>
          <w:w w:val="105"/>
          <w:sz w:val="13"/>
        </w:rPr>
        <w:t> </w:t>
      </w:r>
      <w:r>
        <w:rPr>
          <w:w w:val="105"/>
          <w:sz w:val="13"/>
        </w:rPr>
        <w:t>to</w:t>
      </w:r>
      <w:r>
        <w:rPr>
          <w:spacing w:val="-4"/>
          <w:w w:val="105"/>
          <w:sz w:val="13"/>
        </w:rPr>
        <w:t> </w:t>
      </w:r>
      <w:r>
        <w:rPr>
          <w:w w:val="105"/>
          <w:sz w:val="13"/>
        </w:rPr>
        <w:t>grantors</w:t>
      </w:r>
      <w:r>
        <w:rPr>
          <w:spacing w:val="-3"/>
          <w:w w:val="105"/>
          <w:sz w:val="13"/>
        </w:rPr>
        <w:t> </w:t>
      </w:r>
      <w:r>
        <w:rPr>
          <w:w w:val="105"/>
          <w:sz w:val="13"/>
        </w:rPr>
        <w:t>on</w:t>
      </w:r>
      <w:r>
        <w:rPr>
          <w:spacing w:val="-4"/>
          <w:w w:val="105"/>
          <w:sz w:val="13"/>
        </w:rPr>
        <w:t> </w:t>
      </w:r>
      <w:r>
        <w:rPr>
          <w:w w:val="105"/>
          <w:sz w:val="13"/>
        </w:rPr>
        <w:t>at</w:t>
      </w:r>
      <w:r>
        <w:rPr>
          <w:spacing w:val="-6"/>
          <w:w w:val="105"/>
          <w:sz w:val="13"/>
        </w:rPr>
        <w:t> </w:t>
      </w:r>
      <w:r>
        <w:rPr>
          <w:w w:val="105"/>
          <w:sz w:val="13"/>
        </w:rPr>
        <w:t>least</w:t>
      </w:r>
      <w:r>
        <w:rPr>
          <w:spacing w:val="-3"/>
          <w:w w:val="105"/>
          <w:sz w:val="13"/>
        </w:rPr>
        <w:t> </w:t>
      </w:r>
      <w:r>
        <w:rPr>
          <w:w w:val="105"/>
          <w:sz w:val="13"/>
        </w:rPr>
        <w:t>an</w:t>
      </w:r>
      <w:r>
        <w:rPr>
          <w:spacing w:val="-6"/>
          <w:w w:val="105"/>
          <w:sz w:val="13"/>
        </w:rPr>
        <w:t> </w:t>
      </w:r>
      <w:r>
        <w:rPr>
          <w:w w:val="105"/>
          <w:sz w:val="13"/>
        </w:rPr>
        <w:t>annual</w:t>
      </w:r>
      <w:r>
        <w:rPr>
          <w:spacing w:val="40"/>
          <w:w w:val="105"/>
          <w:sz w:val="13"/>
        </w:rPr>
        <w:t> </w:t>
      </w:r>
      <w:r>
        <w:rPr>
          <w:spacing w:val="-2"/>
          <w:w w:val="105"/>
          <w:sz w:val="13"/>
        </w:rPr>
        <w:t>basis.</w:t>
      </w:r>
    </w:p>
    <w:p>
      <w:pPr>
        <w:spacing w:line="240" w:lineRule="auto" w:before="23"/>
        <w:rPr>
          <w:sz w:val="13"/>
        </w:rPr>
      </w:pPr>
    </w:p>
    <w:p>
      <w:pPr>
        <w:spacing w:line="271" w:lineRule="auto" w:before="0"/>
        <w:ind w:left="848" w:right="1851" w:firstLine="0"/>
        <w:jc w:val="both"/>
        <w:rPr>
          <w:sz w:val="13"/>
        </w:rPr>
      </w:pPr>
      <w:r>
        <w:rPr>
          <w:w w:val="105"/>
          <w:sz w:val="13"/>
        </w:rPr>
        <w:t>Grant that is considered "shared" if part of a payment is passed from the primary</w:t>
      </w:r>
      <w:r>
        <w:rPr>
          <w:spacing w:val="-4"/>
          <w:w w:val="105"/>
          <w:sz w:val="13"/>
        </w:rPr>
        <w:t> </w:t>
      </w:r>
      <w:r>
        <w:rPr>
          <w:w w:val="105"/>
          <w:sz w:val="13"/>
        </w:rPr>
        <w:t>recipient to</w:t>
      </w:r>
      <w:r>
        <w:rPr>
          <w:spacing w:val="-1"/>
          <w:w w:val="105"/>
          <w:sz w:val="13"/>
        </w:rPr>
        <w:t> </w:t>
      </w:r>
      <w:r>
        <w:rPr>
          <w:w w:val="105"/>
          <w:sz w:val="13"/>
        </w:rPr>
        <w:t>another party</w:t>
      </w:r>
      <w:r>
        <w:rPr>
          <w:spacing w:val="-4"/>
          <w:w w:val="105"/>
          <w:sz w:val="13"/>
        </w:rPr>
        <w:t> </w:t>
      </w:r>
      <w:r>
        <w:rPr>
          <w:w w:val="105"/>
          <w:sz w:val="13"/>
        </w:rPr>
        <w:t>according to</w:t>
      </w:r>
      <w:r>
        <w:rPr>
          <w:spacing w:val="-1"/>
          <w:w w:val="105"/>
          <w:sz w:val="13"/>
        </w:rPr>
        <w:t> </w:t>
      </w:r>
      <w:r>
        <w:rPr>
          <w:w w:val="105"/>
          <w:sz w:val="13"/>
        </w:rPr>
        <w:t>a grant, contract</w:t>
      </w:r>
      <w:r>
        <w:rPr>
          <w:spacing w:val="40"/>
          <w:w w:val="105"/>
          <w:sz w:val="13"/>
        </w:rPr>
        <w:t> </w:t>
      </w:r>
      <w:r>
        <w:rPr>
          <w:w w:val="105"/>
          <w:sz w:val="13"/>
        </w:rPr>
        <w:t>or other enforceable</w:t>
      </w:r>
      <w:r>
        <w:rPr>
          <w:spacing w:val="-2"/>
          <w:w w:val="105"/>
          <w:sz w:val="13"/>
        </w:rPr>
        <w:t> </w:t>
      </w:r>
      <w:r>
        <w:rPr>
          <w:w w:val="105"/>
          <w:sz w:val="13"/>
        </w:rPr>
        <w:t>agreement.</w:t>
      </w:r>
      <w:r>
        <w:rPr>
          <w:spacing w:val="-2"/>
          <w:w w:val="105"/>
          <w:sz w:val="13"/>
        </w:rPr>
        <w:t> </w:t>
      </w:r>
      <w:r>
        <w:rPr>
          <w:w w:val="105"/>
          <w:sz w:val="13"/>
        </w:rPr>
        <w:t>This</w:t>
      </w:r>
      <w:r>
        <w:rPr>
          <w:spacing w:val="-1"/>
          <w:w w:val="105"/>
          <w:sz w:val="13"/>
        </w:rPr>
        <w:t> </w:t>
      </w:r>
      <w:r>
        <w:rPr>
          <w:w w:val="105"/>
          <w:sz w:val="13"/>
        </w:rPr>
        <w:t>falls</w:t>
      </w:r>
      <w:r>
        <w:rPr>
          <w:spacing w:val="-1"/>
          <w:w w:val="105"/>
          <w:sz w:val="13"/>
        </w:rPr>
        <w:t> </w:t>
      </w:r>
      <w:r>
        <w:rPr>
          <w:w w:val="105"/>
          <w:sz w:val="13"/>
        </w:rPr>
        <w:t>under AASB9</w:t>
      </w:r>
      <w:r>
        <w:rPr>
          <w:spacing w:val="-2"/>
          <w:w w:val="105"/>
          <w:sz w:val="13"/>
        </w:rPr>
        <w:t> </w:t>
      </w:r>
      <w:r>
        <w:rPr>
          <w:w w:val="105"/>
          <w:sz w:val="13"/>
        </w:rPr>
        <w:t>and</w:t>
      </w:r>
      <w:r>
        <w:rPr>
          <w:spacing w:val="-2"/>
          <w:w w:val="105"/>
          <w:sz w:val="13"/>
        </w:rPr>
        <w:t> </w:t>
      </w:r>
      <w:r>
        <w:rPr>
          <w:w w:val="105"/>
          <w:sz w:val="13"/>
        </w:rPr>
        <w:t>recognise</w:t>
      </w:r>
      <w:r>
        <w:rPr>
          <w:spacing w:val="-2"/>
          <w:w w:val="105"/>
          <w:sz w:val="13"/>
        </w:rPr>
        <w:t> </w:t>
      </w:r>
      <w:r>
        <w:rPr>
          <w:w w:val="105"/>
          <w:sz w:val="13"/>
        </w:rPr>
        <w:t>as</w:t>
      </w:r>
      <w:r>
        <w:rPr>
          <w:spacing w:val="-1"/>
          <w:w w:val="105"/>
          <w:sz w:val="13"/>
        </w:rPr>
        <w:t> </w:t>
      </w:r>
      <w:r>
        <w:rPr>
          <w:w w:val="105"/>
          <w:sz w:val="13"/>
        </w:rPr>
        <w:t>a</w:t>
      </w:r>
      <w:r>
        <w:rPr>
          <w:spacing w:val="-2"/>
          <w:w w:val="105"/>
          <w:sz w:val="13"/>
        </w:rPr>
        <w:t> </w:t>
      </w:r>
      <w:r>
        <w:rPr>
          <w:w w:val="105"/>
          <w:sz w:val="13"/>
        </w:rPr>
        <w:t>liability</w:t>
      </w:r>
      <w:r>
        <w:rPr>
          <w:spacing w:val="-6"/>
          <w:w w:val="105"/>
          <w:sz w:val="13"/>
        </w:rPr>
        <w:t> </w:t>
      </w:r>
      <w:r>
        <w:rPr>
          <w:w w:val="105"/>
          <w:sz w:val="13"/>
        </w:rPr>
        <w:t>which</w:t>
      </w:r>
      <w:r>
        <w:rPr>
          <w:spacing w:val="-2"/>
          <w:w w:val="105"/>
          <w:sz w:val="13"/>
        </w:rPr>
        <w:t> </w:t>
      </w:r>
      <w:r>
        <w:rPr>
          <w:w w:val="105"/>
          <w:sz w:val="13"/>
        </w:rPr>
        <w:t>extinguishes</w:t>
      </w:r>
      <w:r>
        <w:rPr>
          <w:spacing w:val="-1"/>
          <w:w w:val="105"/>
          <w:sz w:val="13"/>
        </w:rPr>
        <w:t> </w:t>
      </w:r>
      <w:r>
        <w:rPr>
          <w:w w:val="105"/>
          <w:sz w:val="13"/>
        </w:rPr>
        <w:t>as</w:t>
      </w:r>
      <w:r>
        <w:rPr>
          <w:spacing w:val="-1"/>
          <w:w w:val="105"/>
          <w:sz w:val="13"/>
        </w:rPr>
        <w:t> </w:t>
      </w:r>
      <w:r>
        <w:rPr>
          <w:w w:val="105"/>
          <w:sz w:val="13"/>
        </w:rPr>
        <w:t>the</w:t>
      </w:r>
      <w:r>
        <w:rPr>
          <w:spacing w:val="-2"/>
          <w:w w:val="105"/>
          <w:sz w:val="13"/>
        </w:rPr>
        <w:t> </w:t>
      </w:r>
      <w:r>
        <w:rPr>
          <w:w w:val="105"/>
          <w:sz w:val="13"/>
        </w:rPr>
        <w:t>Group</w:t>
      </w:r>
      <w:r>
        <w:rPr>
          <w:spacing w:val="-2"/>
          <w:w w:val="105"/>
          <w:sz w:val="13"/>
        </w:rPr>
        <w:t> </w:t>
      </w:r>
      <w:r>
        <w:rPr>
          <w:w w:val="105"/>
          <w:sz w:val="13"/>
        </w:rPr>
        <w:t>transfer the</w:t>
      </w:r>
      <w:r>
        <w:rPr>
          <w:spacing w:val="-2"/>
          <w:w w:val="105"/>
          <w:sz w:val="13"/>
        </w:rPr>
        <w:t> </w:t>
      </w:r>
      <w:r>
        <w:rPr>
          <w:w w:val="105"/>
          <w:sz w:val="13"/>
        </w:rPr>
        <w:t>grant.</w:t>
      </w:r>
    </w:p>
    <w:p>
      <w:pPr>
        <w:spacing w:line="240" w:lineRule="auto" w:before="0"/>
        <w:rPr>
          <w:sz w:val="13"/>
        </w:rPr>
      </w:pPr>
    </w:p>
    <w:p>
      <w:pPr>
        <w:spacing w:line="240" w:lineRule="auto" w:before="77"/>
        <w:rPr>
          <w:sz w:val="13"/>
        </w:rPr>
      </w:pPr>
    </w:p>
    <w:p>
      <w:pPr>
        <w:pStyle w:val="ListParagraph"/>
        <w:numPr>
          <w:ilvl w:val="0"/>
          <w:numId w:val="19"/>
        </w:numPr>
        <w:tabs>
          <w:tab w:pos="847" w:val="left" w:leader="none"/>
        </w:tabs>
        <w:spacing w:line="544" w:lineRule="auto" w:before="0" w:after="0"/>
        <w:ind w:left="847" w:right="6919" w:hanging="606"/>
        <w:jc w:val="left"/>
        <w:rPr>
          <w:b/>
          <w:sz w:val="13"/>
        </w:rPr>
      </w:pPr>
      <w:r>
        <w:rPr/>
        <mc:AlternateContent>
          <mc:Choice Requires="wps">
            <w:drawing>
              <wp:anchor distT="0" distB="0" distL="0" distR="0" allowOverlap="1" layoutInCell="1" locked="0" behindDoc="0" simplePos="0" relativeHeight="15877120">
                <wp:simplePos x="0" y="0"/>
                <wp:positionH relativeFrom="page">
                  <wp:posOffset>1063114</wp:posOffset>
                </wp:positionH>
                <wp:positionV relativeFrom="paragraph">
                  <wp:posOffset>301675</wp:posOffset>
                </wp:positionV>
                <wp:extent cx="5374640" cy="1325880"/>
                <wp:effectExtent l="0" t="0" r="0" b="0"/>
                <wp:wrapNone/>
                <wp:docPr id="896" name="Textbox 896"/>
                <wp:cNvGraphicFramePr>
                  <a:graphicFrameLocks/>
                </wp:cNvGraphicFramePr>
                <a:graphic>
                  <a:graphicData uri="http://schemas.microsoft.com/office/word/2010/wordprocessingShape">
                    <wps:wsp>
                      <wps:cNvPr id="896" name="Textbox 896"/>
                      <wps:cNvSpPr txBox="1"/>
                      <wps:spPr>
                        <a:xfrm>
                          <a:off x="0" y="0"/>
                          <a:ext cx="5374640" cy="1325880"/>
                        </a:xfrm>
                        <a:prstGeom prst="rect">
                          <a:avLst/>
                        </a:prstGeom>
                      </wps:spPr>
                      <wps:txbx>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684"/>
                              <w:gridCol w:w="1060"/>
                              <w:gridCol w:w="914"/>
                              <w:gridCol w:w="914"/>
                              <w:gridCol w:w="770"/>
                            </w:tblGrid>
                            <w:tr>
                              <w:trPr>
                                <w:trHeight w:val="196" w:hRule="atLeast"/>
                              </w:trPr>
                              <w:tc>
                                <w:tcPr>
                                  <w:tcW w:w="4684" w:type="dxa"/>
                                </w:tcPr>
                                <w:p>
                                  <w:pPr>
                                    <w:pStyle w:val="TableParagraph"/>
                                    <w:spacing w:line="141" w:lineRule="exact" w:before="36"/>
                                    <w:ind w:left="220"/>
                                    <w:rPr>
                                      <w:sz w:val="13"/>
                                    </w:rPr>
                                  </w:pPr>
                                  <w:r>
                                    <w:rPr>
                                      <w:w w:val="105"/>
                                      <w:sz w:val="13"/>
                                    </w:rPr>
                                    <w:t>National</w:t>
                                  </w:r>
                                  <w:r>
                                    <w:rPr>
                                      <w:spacing w:val="-8"/>
                                      <w:w w:val="105"/>
                                      <w:sz w:val="13"/>
                                    </w:rPr>
                                    <w:t> </w:t>
                                  </w:r>
                                  <w:r>
                                    <w:rPr>
                                      <w:w w:val="105"/>
                                      <w:sz w:val="13"/>
                                    </w:rPr>
                                    <w:t>Health</w:t>
                                  </w:r>
                                  <w:r>
                                    <w:rPr>
                                      <w:spacing w:val="-8"/>
                                      <w:w w:val="105"/>
                                      <w:sz w:val="13"/>
                                    </w:rPr>
                                    <w:t> </w:t>
                                  </w:r>
                                  <w:r>
                                    <w:rPr>
                                      <w:w w:val="105"/>
                                      <w:sz w:val="13"/>
                                    </w:rPr>
                                    <w:t>and</w:t>
                                  </w:r>
                                  <w:r>
                                    <w:rPr>
                                      <w:spacing w:val="-9"/>
                                      <w:w w:val="105"/>
                                      <w:sz w:val="13"/>
                                    </w:rPr>
                                    <w:t> </w:t>
                                  </w:r>
                                  <w:r>
                                    <w:rPr>
                                      <w:w w:val="105"/>
                                      <w:sz w:val="13"/>
                                    </w:rPr>
                                    <w:t>Medical</w:t>
                                  </w:r>
                                  <w:r>
                                    <w:rPr>
                                      <w:spacing w:val="-7"/>
                                      <w:w w:val="105"/>
                                      <w:sz w:val="13"/>
                                    </w:rPr>
                                    <w:t> </w:t>
                                  </w:r>
                                  <w:r>
                                    <w:rPr>
                                      <w:w w:val="105"/>
                                      <w:sz w:val="13"/>
                                    </w:rPr>
                                    <w:t>Research</w:t>
                                  </w:r>
                                  <w:r>
                                    <w:rPr>
                                      <w:spacing w:val="-9"/>
                                      <w:w w:val="105"/>
                                      <w:sz w:val="13"/>
                                    </w:rPr>
                                    <w:t> </w:t>
                                  </w:r>
                                  <w:r>
                                    <w:rPr>
                                      <w:spacing w:val="-2"/>
                                      <w:w w:val="105"/>
                                      <w:sz w:val="13"/>
                                    </w:rPr>
                                    <w:t>Council</w:t>
                                  </w:r>
                                </w:p>
                              </w:tc>
                              <w:tc>
                                <w:tcPr>
                                  <w:tcW w:w="1060" w:type="dxa"/>
                                </w:tcPr>
                                <w:p>
                                  <w:pPr>
                                    <w:pStyle w:val="TableParagraph"/>
                                    <w:spacing w:line="141" w:lineRule="exact" w:before="36"/>
                                    <w:ind w:right="216"/>
                                    <w:jc w:val="right"/>
                                    <w:rPr>
                                      <w:sz w:val="13"/>
                                    </w:rPr>
                                  </w:pPr>
                                  <w:r>
                                    <w:rPr>
                                      <w:spacing w:val="-2"/>
                                      <w:w w:val="105"/>
                                      <w:sz w:val="13"/>
                                    </w:rPr>
                                    <w:t>29,851</w:t>
                                  </w:r>
                                </w:p>
                              </w:tc>
                              <w:tc>
                                <w:tcPr>
                                  <w:tcW w:w="914" w:type="dxa"/>
                                </w:tcPr>
                                <w:p>
                                  <w:pPr>
                                    <w:pStyle w:val="TableParagraph"/>
                                    <w:spacing w:line="141" w:lineRule="exact" w:before="36"/>
                                    <w:ind w:right="215"/>
                                    <w:jc w:val="right"/>
                                    <w:rPr>
                                      <w:sz w:val="13"/>
                                    </w:rPr>
                                  </w:pPr>
                                  <w:r>
                                    <w:rPr>
                                      <w:spacing w:val="-2"/>
                                      <w:w w:val="105"/>
                                      <w:sz w:val="13"/>
                                    </w:rPr>
                                    <w:t>36,585</w:t>
                                  </w:r>
                                </w:p>
                              </w:tc>
                              <w:tc>
                                <w:tcPr>
                                  <w:tcW w:w="914" w:type="dxa"/>
                                </w:tcPr>
                                <w:p>
                                  <w:pPr>
                                    <w:pStyle w:val="TableParagraph"/>
                                    <w:spacing w:line="141" w:lineRule="exact" w:before="36"/>
                                    <w:ind w:right="215"/>
                                    <w:jc w:val="right"/>
                                    <w:rPr>
                                      <w:sz w:val="13"/>
                                    </w:rPr>
                                  </w:pPr>
                                  <w:r>
                                    <w:rPr>
                                      <w:spacing w:val="-2"/>
                                      <w:w w:val="105"/>
                                      <w:sz w:val="13"/>
                                    </w:rPr>
                                    <w:t>29,851</w:t>
                                  </w:r>
                                </w:p>
                              </w:tc>
                              <w:tc>
                                <w:tcPr>
                                  <w:tcW w:w="770" w:type="dxa"/>
                                </w:tcPr>
                                <w:p>
                                  <w:pPr>
                                    <w:pStyle w:val="TableParagraph"/>
                                    <w:spacing w:line="141" w:lineRule="exact" w:before="36"/>
                                    <w:ind w:right="71"/>
                                    <w:jc w:val="right"/>
                                    <w:rPr>
                                      <w:sz w:val="13"/>
                                    </w:rPr>
                                  </w:pPr>
                                  <w:r>
                                    <w:rPr>
                                      <w:spacing w:val="-2"/>
                                      <w:w w:val="105"/>
                                      <w:sz w:val="13"/>
                                    </w:rPr>
                                    <w:t>36,585</w:t>
                                  </w:r>
                                </w:p>
                              </w:tc>
                            </w:tr>
                            <w:tr>
                              <w:trPr>
                                <w:trHeight w:val="171" w:hRule="atLeast"/>
                              </w:trPr>
                              <w:tc>
                                <w:tcPr>
                                  <w:tcW w:w="4684" w:type="dxa"/>
                                </w:tcPr>
                                <w:p>
                                  <w:pPr>
                                    <w:pStyle w:val="TableParagraph"/>
                                    <w:spacing w:line="141" w:lineRule="exact" w:before="11"/>
                                    <w:ind w:left="221"/>
                                    <w:rPr>
                                      <w:sz w:val="13"/>
                                    </w:rPr>
                                  </w:pPr>
                                  <w:r>
                                    <w:rPr>
                                      <w:spacing w:val="-2"/>
                                      <w:w w:val="105"/>
                                      <w:sz w:val="13"/>
                                    </w:rPr>
                                    <w:t>Other</w:t>
                                  </w:r>
                                  <w:r>
                                    <w:rPr>
                                      <w:spacing w:val="8"/>
                                      <w:w w:val="105"/>
                                      <w:sz w:val="13"/>
                                    </w:rPr>
                                    <w:t> </w:t>
                                  </w:r>
                                  <w:r>
                                    <w:rPr>
                                      <w:spacing w:val="-2"/>
                                      <w:w w:val="105"/>
                                      <w:sz w:val="13"/>
                                    </w:rPr>
                                    <w:t>Commonwealth</w:t>
                                  </w:r>
                                  <w:r>
                                    <w:rPr>
                                      <w:spacing w:val="5"/>
                                      <w:w w:val="105"/>
                                      <w:sz w:val="13"/>
                                    </w:rPr>
                                    <w:t> </w:t>
                                  </w:r>
                                  <w:r>
                                    <w:rPr>
                                      <w:spacing w:val="-2"/>
                                      <w:w w:val="105"/>
                                      <w:sz w:val="13"/>
                                    </w:rPr>
                                    <w:t>research</w:t>
                                  </w:r>
                                  <w:r>
                                    <w:rPr>
                                      <w:spacing w:val="6"/>
                                      <w:w w:val="105"/>
                                      <w:sz w:val="13"/>
                                    </w:rPr>
                                    <w:t> </w:t>
                                  </w:r>
                                  <w:r>
                                    <w:rPr>
                                      <w:spacing w:val="-2"/>
                                      <w:w w:val="105"/>
                                      <w:sz w:val="13"/>
                                    </w:rPr>
                                    <w:t>grants</w:t>
                                  </w:r>
                                </w:p>
                              </w:tc>
                              <w:tc>
                                <w:tcPr>
                                  <w:tcW w:w="1060" w:type="dxa"/>
                                </w:tcPr>
                                <w:p>
                                  <w:pPr>
                                    <w:pStyle w:val="TableParagraph"/>
                                    <w:spacing w:line="141" w:lineRule="exact" w:before="11"/>
                                    <w:ind w:right="215"/>
                                    <w:jc w:val="right"/>
                                    <w:rPr>
                                      <w:sz w:val="13"/>
                                    </w:rPr>
                                  </w:pPr>
                                  <w:r>
                                    <w:rPr>
                                      <w:spacing w:val="-2"/>
                                      <w:w w:val="105"/>
                                      <w:sz w:val="13"/>
                                    </w:rPr>
                                    <w:t>48,559</w:t>
                                  </w:r>
                                </w:p>
                              </w:tc>
                              <w:tc>
                                <w:tcPr>
                                  <w:tcW w:w="914" w:type="dxa"/>
                                </w:tcPr>
                                <w:p>
                                  <w:pPr>
                                    <w:pStyle w:val="TableParagraph"/>
                                    <w:spacing w:line="141" w:lineRule="exact" w:before="11"/>
                                    <w:ind w:right="215"/>
                                    <w:jc w:val="right"/>
                                    <w:rPr>
                                      <w:sz w:val="13"/>
                                    </w:rPr>
                                  </w:pPr>
                                  <w:r>
                                    <w:rPr>
                                      <w:spacing w:val="-2"/>
                                      <w:w w:val="105"/>
                                      <w:sz w:val="13"/>
                                    </w:rPr>
                                    <w:t>58,249</w:t>
                                  </w:r>
                                </w:p>
                              </w:tc>
                              <w:tc>
                                <w:tcPr>
                                  <w:tcW w:w="914" w:type="dxa"/>
                                </w:tcPr>
                                <w:p>
                                  <w:pPr>
                                    <w:pStyle w:val="TableParagraph"/>
                                    <w:spacing w:line="141" w:lineRule="exact" w:before="11"/>
                                    <w:ind w:right="215"/>
                                    <w:jc w:val="right"/>
                                    <w:rPr>
                                      <w:sz w:val="13"/>
                                    </w:rPr>
                                  </w:pPr>
                                  <w:r>
                                    <w:rPr>
                                      <w:spacing w:val="-2"/>
                                      <w:w w:val="105"/>
                                      <w:sz w:val="13"/>
                                    </w:rPr>
                                    <w:t>48,559</w:t>
                                  </w:r>
                                </w:p>
                              </w:tc>
                              <w:tc>
                                <w:tcPr>
                                  <w:tcW w:w="770" w:type="dxa"/>
                                </w:tcPr>
                                <w:p>
                                  <w:pPr>
                                    <w:pStyle w:val="TableParagraph"/>
                                    <w:spacing w:line="141" w:lineRule="exact" w:before="11"/>
                                    <w:ind w:right="70"/>
                                    <w:jc w:val="right"/>
                                    <w:rPr>
                                      <w:sz w:val="13"/>
                                    </w:rPr>
                                  </w:pPr>
                                  <w:r>
                                    <w:rPr>
                                      <w:spacing w:val="-2"/>
                                      <w:w w:val="105"/>
                                      <w:sz w:val="13"/>
                                    </w:rPr>
                                    <w:t>58,249</w:t>
                                  </w:r>
                                </w:p>
                              </w:tc>
                            </w:tr>
                            <w:tr>
                              <w:trPr>
                                <w:trHeight w:val="165" w:hRule="atLeast"/>
                              </w:trPr>
                              <w:tc>
                                <w:tcPr>
                                  <w:tcW w:w="4684" w:type="dxa"/>
                                </w:tcPr>
                                <w:p>
                                  <w:pPr>
                                    <w:pStyle w:val="TableParagraph"/>
                                    <w:spacing w:line="134" w:lineRule="exact" w:before="11"/>
                                    <w:ind w:left="221"/>
                                    <w:rPr>
                                      <w:sz w:val="13"/>
                                    </w:rPr>
                                  </w:pPr>
                                  <w:r>
                                    <w:rPr>
                                      <w:spacing w:val="-2"/>
                                      <w:w w:val="105"/>
                                      <w:sz w:val="13"/>
                                    </w:rPr>
                                    <w:t>Other</w:t>
                                  </w:r>
                                  <w:r>
                                    <w:rPr>
                                      <w:spacing w:val="6"/>
                                      <w:w w:val="105"/>
                                      <w:sz w:val="13"/>
                                    </w:rPr>
                                    <w:t> </w:t>
                                  </w:r>
                                  <w:r>
                                    <w:rPr>
                                      <w:spacing w:val="-2"/>
                                      <w:w w:val="105"/>
                                      <w:sz w:val="13"/>
                                    </w:rPr>
                                    <w:t>Commonwealth</w:t>
                                  </w:r>
                                  <w:r>
                                    <w:rPr>
                                      <w:spacing w:val="5"/>
                                      <w:w w:val="105"/>
                                      <w:sz w:val="13"/>
                                    </w:rPr>
                                    <w:t> </w:t>
                                  </w:r>
                                  <w:r>
                                    <w:rPr>
                                      <w:spacing w:val="-2"/>
                                      <w:w w:val="105"/>
                                      <w:sz w:val="13"/>
                                    </w:rPr>
                                    <w:t>grants</w:t>
                                  </w:r>
                                </w:p>
                              </w:tc>
                              <w:tc>
                                <w:tcPr>
                                  <w:tcW w:w="1060" w:type="dxa"/>
                                  <w:tcBorders>
                                    <w:bottom w:val="single" w:sz="6" w:space="0" w:color="000000"/>
                                  </w:tcBorders>
                                </w:tcPr>
                                <w:p>
                                  <w:pPr>
                                    <w:pStyle w:val="TableParagraph"/>
                                    <w:spacing w:line="134" w:lineRule="exact" w:before="11"/>
                                    <w:ind w:right="215"/>
                                    <w:jc w:val="right"/>
                                    <w:rPr>
                                      <w:sz w:val="13"/>
                                    </w:rPr>
                                  </w:pPr>
                                  <w:r>
                                    <w:rPr>
                                      <w:spacing w:val="-2"/>
                                      <w:w w:val="105"/>
                                      <w:sz w:val="13"/>
                                    </w:rPr>
                                    <w:t>26,620</w:t>
                                  </w:r>
                                </w:p>
                              </w:tc>
                              <w:tc>
                                <w:tcPr>
                                  <w:tcW w:w="914" w:type="dxa"/>
                                  <w:tcBorders>
                                    <w:bottom w:val="single" w:sz="6" w:space="0" w:color="000000"/>
                                  </w:tcBorders>
                                </w:tcPr>
                                <w:p>
                                  <w:pPr>
                                    <w:pStyle w:val="TableParagraph"/>
                                    <w:spacing w:line="134" w:lineRule="exact" w:before="11"/>
                                    <w:ind w:right="215"/>
                                    <w:jc w:val="right"/>
                                    <w:rPr>
                                      <w:sz w:val="13"/>
                                    </w:rPr>
                                  </w:pPr>
                                  <w:r>
                                    <w:rPr>
                                      <w:spacing w:val="-2"/>
                                      <w:w w:val="105"/>
                                      <w:sz w:val="13"/>
                                    </w:rPr>
                                    <w:t>24,417</w:t>
                                  </w:r>
                                </w:p>
                              </w:tc>
                              <w:tc>
                                <w:tcPr>
                                  <w:tcW w:w="914" w:type="dxa"/>
                                  <w:tcBorders>
                                    <w:bottom w:val="single" w:sz="6" w:space="0" w:color="000000"/>
                                  </w:tcBorders>
                                </w:tcPr>
                                <w:p>
                                  <w:pPr>
                                    <w:pStyle w:val="TableParagraph"/>
                                    <w:spacing w:line="134" w:lineRule="exact" w:before="11"/>
                                    <w:ind w:right="214"/>
                                    <w:jc w:val="right"/>
                                    <w:rPr>
                                      <w:sz w:val="13"/>
                                    </w:rPr>
                                  </w:pPr>
                                  <w:r>
                                    <w:rPr>
                                      <w:spacing w:val="-2"/>
                                      <w:w w:val="105"/>
                                      <w:sz w:val="13"/>
                                    </w:rPr>
                                    <w:t>16,985</w:t>
                                  </w:r>
                                </w:p>
                              </w:tc>
                              <w:tc>
                                <w:tcPr>
                                  <w:tcW w:w="770" w:type="dxa"/>
                                  <w:tcBorders>
                                    <w:bottom w:val="single" w:sz="6" w:space="0" w:color="000000"/>
                                  </w:tcBorders>
                                </w:tcPr>
                                <w:p>
                                  <w:pPr>
                                    <w:pStyle w:val="TableParagraph"/>
                                    <w:spacing w:line="134" w:lineRule="exact" w:before="11"/>
                                    <w:ind w:right="70"/>
                                    <w:jc w:val="right"/>
                                    <w:rPr>
                                      <w:sz w:val="13"/>
                                    </w:rPr>
                                  </w:pPr>
                                  <w:r>
                                    <w:rPr>
                                      <w:spacing w:val="-2"/>
                                      <w:w w:val="105"/>
                                      <w:sz w:val="13"/>
                                    </w:rPr>
                                    <w:t>20,017</w:t>
                                  </w:r>
                                </w:p>
                              </w:tc>
                            </w:tr>
                            <w:tr>
                              <w:trPr>
                                <w:trHeight w:val="156" w:hRule="atLeast"/>
                              </w:trPr>
                              <w:tc>
                                <w:tcPr>
                                  <w:tcW w:w="4684" w:type="dxa"/>
                                </w:tcPr>
                                <w:p>
                                  <w:pPr>
                                    <w:pStyle w:val="TableParagraph"/>
                                    <w:spacing w:line="134" w:lineRule="exact" w:before="2"/>
                                    <w:ind w:left="34"/>
                                    <w:rPr>
                                      <w:sz w:val="13"/>
                                    </w:rPr>
                                  </w:pPr>
                                  <w:r>
                                    <w:rPr>
                                      <w:spacing w:val="-2"/>
                                      <w:w w:val="105"/>
                                      <w:sz w:val="13"/>
                                    </w:rPr>
                                    <w:t>Total</w:t>
                                  </w:r>
                                  <w:r>
                                    <w:rPr>
                                      <w:spacing w:val="6"/>
                                      <w:w w:val="105"/>
                                      <w:sz w:val="13"/>
                                    </w:rPr>
                                    <w:t> </w:t>
                                  </w:r>
                                  <w:r>
                                    <w:rPr>
                                      <w:spacing w:val="-2"/>
                                      <w:w w:val="105"/>
                                      <w:sz w:val="13"/>
                                    </w:rPr>
                                    <w:t>non-capital</w:t>
                                  </w:r>
                                  <w:r>
                                    <w:rPr>
                                      <w:spacing w:val="6"/>
                                      <w:w w:val="105"/>
                                      <w:sz w:val="13"/>
                                    </w:rPr>
                                    <w:t> </w:t>
                                  </w:r>
                                  <w:r>
                                    <w:rPr>
                                      <w:spacing w:val="-2"/>
                                      <w:w w:val="105"/>
                                      <w:sz w:val="13"/>
                                    </w:rPr>
                                    <w:t>grants</w:t>
                                  </w:r>
                                </w:p>
                              </w:tc>
                              <w:tc>
                                <w:tcPr>
                                  <w:tcW w:w="1060" w:type="dxa"/>
                                  <w:tcBorders>
                                    <w:top w:val="single" w:sz="6" w:space="0" w:color="000000"/>
                                    <w:bottom w:val="single" w:sz="6" w:space="0" w:color="000000"/>
                                  </w:tcBorders>
                                </w:tcPr>
                                <w:p>
                                  <w:pPr>
                                    <w:pStyle w:val="TableParagraph"/>
                                    <w:spacing w:line="134" w:lineRule="exact" w:before="2"/>
                                    <w:ind w:right="215"/>
                                    <w:jc w:val="right"/>
                                    <w:rPr>
                                      <w:sz w:val="13"/>
                                    </w:rPr>
                                  </w:pPr>
                                  <w:r>
                                    <w:rPr>
                                      <w:spacing w:val="-2"/>
                                      <w:w w:val="105"/>
                                      <w:sz w:val="13"/>
                                    </w:rPr>
                                    <w:t>105,030</w:t>
                                  </w:r>
                                </w:p>
                              </w:tc>
                              <w:tc>
                                <w:tcPr>
                                  <w:tcW w:w="914" w:type="dxa"/>
                                  <w:tcBorders>
                                    <w:top w:val="single" w:sz="6" w:space="0" w:color="000000"/>
                                    <w:bottom w:val="single" w:sz="6" w:space="0" w:color="000000"/>
                                  </w:tcBorders>
                                </w:tcPr>
                                <w:p>
                                  <w:pPr>
                                    <w:pStyle w:val="TableParagraph"/>
                                    <w:spacing w:line="134" w:lineRule="exact" w:before="2"/>
                                    <w:ind w:right="215"/>
                                    <w:jc w:val="right"/>
                                    <w:rPr>
                                      <w:sz w:val="13"/>
                                    </w:rPr>
                                  </w:pPr>
                                  <w:r>
                                    <w:rPr>
                                      <w:spacing w:val="-2"/>
                                      <w:w w:val="105"/>
                                      <w:sz w:val="13"/>
                                    </w:rPr>
                                    <w:t>119,251</w:t>
                                  </w:r>
                                </w:p>
                              </w:tc>
                              <w:tc>
                                <w:tcPr>
                                  <w:tcW w:w="914" w:type="dxa"/>
                                  <w:tcBorders>
                                    <w:top w:val="single" w:sz="6" w:space="0" w:color="000000"/>
                                    <w:bottom w:val="single" w:sz="6" w:space="0" w:color="000000"/>
                                  </w:tcBorders>
                                </w:tcPr>
                                <w:p>
                                  <w:pPr>
                                    <w:pStyle w:val="TableParagraph"/>
                                    <w:spacing w:line="134" w:lineRule="exact" w:before="2"/>
                                    <w:ind w:right="214"/>
                                    <w:jc w:val="right"/>
                                    <w:rPr>
                                      <w:sz w:val="13"/>
                                    </w:rPr>
                                  </w:pPr>
                                  <w:r>
                                    <w:rPr>
                                      <w:spacing w:val="-2"/>
                                      <w:w w:val="105"/>
                                      <w:sz w:val="13"/>
                                    </w:rPr>
                                    <w:t>95,395</w:t>
                                  </w:r>
                                </w:p>
                              </w:tc>
                              <w:tc>
                                <w:tcPr>
                                  <w:tcW w:w="770" w:type="dxa"/>
                                  <w:tcBorders>
                                    <w:top w:val="single" w:sz="6" w:space="0" w:color="000000"/>
                                    <w:bottom w:val="single" w:sz="6" w:space="0" w:color="000000"/>
                                  </w:tcBorders>
                                </w:tcPr>
                                <w:p>
                                  <w:pPr>
                                    <w:pStyle w:val="TableParagraph"/>
                                    <w:spacing w:line="134" w:lineRule="exact" w:before="2"/>
                                    <w:ind w:right="70"/>
                                    <w:jc w:val="right"/>
                                    <w:rPr>
                                      <w:sz w:val="13"/>
                                    </w:rPr>
                                  </w:pPr>
                                  <w:r>
                                    <w:rPr>
                                      <w:spacing w:val="-2"/>
                                      <w:w w:val="105"/>
                                      <w:sz w:val="13"/>
                                    </w:rPr>
                                    <w:t>114,851</w:t>
                                  </w:r>
                                </w:p>
                              </w:tc>
                            </w:tr>
                            <w:tr>
                              <w:trPr>
                                <w:trHeight w:val="336" w:hRule="atLeast"/>
                              </w:trPr>
                              <w:tc>
                                <w:tcPr>
                                  <w:tcW w:w="4684" w:type="dxa"/>
                                </w:tcPr>
                                <w:p>
                                  <w:pPr>
                                    <w:pStyle w:val="TableParagraph"/>
                                    <w:spacing w:before="25"/>
                                    <w:rPr>
                                      <w:sz w:val="13"/>
                                    </w:rPr>
                                  </w:pPr>
                                </w:p>
                                <w:p>
                                  <w:pPr>
                                    <w:pStyle w:val="TableParagraph"/>
                                    <w:spacing w:line="142" w:lineRule="exact"/>
                                    <w:ind w:left="34"/>
                                    <w:rPr>
                                      <w:b/>
                                      <w:sz w:val="13"/>
                                    </w:rPr>
                                  </w:pPr>
                                  <w:r>
                                    <w:rPr>
                                      <w:b/>
                                      <w:spacing w:val="-2"/>
                                      <w:w w:val="105"/>
                                      <w:sz w:val="13"/>
                                    </w:rPr>
                                    <w:t>Capital</w:t>
                                  </w:r>
                                </w:p>
                              </w:tc>
                              <w:tc>
                                <w:tcPr>
                                  <w:tcW w:w="1060" w:type="dxa"/>
                                  <w:tcBorders>
                                    <w:top w:val="single" w:sz="6" w:space="0" w:color="000000"/>
                                  </w:tcBorders>
                                </w:tcPr>
                                <w:p>
                                  <w:pPr>
                                    <w:pStyle w:val="TableParagraph"/>
                                    <w:rPr>
                                      <w:rFonts w:ascii="Times New Roman"/>
                                      <w:sz w:val="12"/>
                                    </w:rPr>
                                  </w:pPr>
                                </w:p>
                              </w:tc>
                              <w:tc>
                                <w:tcPr>
                                  <w:tcW w:w="914" w:type="dxa"/>
                                  <w:tcBorders>
                                    <w:top w:val="single" w:sz="6" w:space="0" w:color="000000"/>
                                  </w:tcBorders>
                                </w:tcPr>
                                <w:p>
                                  <w:pPr>
                                    <w:pStyle w:val="TableParagraph"/>
                                    <w:rPr>
                                      <w:rFonts w:ascii="Times New Roman"/>
                                      <w:sz w:val="12"/>
                                    </w:rPr>
                                  </w:pPr>
                                </w:p>
                              </w:tc>
                              <w:tc>
                                <w:tcPr>
                                  <w:tcW w:w="914" w:type="dxa"/>
                                  <w:tcBorders>
                                    <w:top w:val="single" w:sz="6" w:space="0" w:color="000000"/>
                                  </w:tcBorders>
                                </w:tcPr>
                                <w:p>
                                  <w:pPr>
                                    <w:pStyle w:val="TableParagraph"/>
                                    <w:rPr>
                                      <w:rFonts w:ascii="Times New Roman"/>
                                      <w:sz w:val="12"/>
                                    </w:rPr>
                                  </w:pPr>
                                </w:p>
                              </w:tc>
                              <w:tc>
                                <w:tcPr>
                                  <w:tcW w:w="770" w:type="dxa"/>
                                  <w:tcBorders>
                                    <w:top w:val="single" w:sz="6" w:space="0" w:color="000000"/>
                                  </w:tcBorders>
                                </w:tcPr>
                                <w:p>
                                  <w:pPr>
                                    <w:pStyle w:val="TableParagraph"/>
                                    <w:rPr>
                                      <w:rFonts w:ascii="Times New Roman"/>
                                      <w:sz w:val="12"/>
                                    </w:rPr>
                                  </w:pPr>
                                </w:p>
                              </w:tc>
                            </w:tr>
                            <w:tr>
                              <w:trPr>
                                <w:trHeight w:val="164" w:hRule="atLeast"/>
                              </w:trPr>
                              <w:tc>
                                <w:tcPr>
                                  <w:tcW w:w="5744" w:type="dxa"/>
                                  <w:gridSpan w:val="2"/>
                                </w:tcPr>
                                <w:p>
                                  <w:pPr>
                                    <w:pStyle w:val="TableParagraph"/>
                                    <w:tabs>
                                      <w:tab w:pos="5489" w:val="left" w:leader="none"/>
                                    </w:tabs>
                                    <w:spacing w:line="132" w:lineRule="exact" w:before="12"/>
                                    <w:ind w:left="221"/>
                                    <w:rPr>
                                      <w:sz w:val="13"/>
                                    </w:rPr>
                                  </w:pPr>
                                  <w:r>
                                    <w:rPr>
                                      <w:w w:val="105"/>
                                      <w:sz w:val="13"/>
                                    </w:rPr>
                                    <w:t>Other</w:t>
                                  </w:r>
                                  <w:r>
                                    <w:rPr>
                                      <w:spacing w:val="-6"/>
                                      <w:w w:val="105"/>
                                      <w:sz w:val="13"/>
                                    </w:rPr>
                                    <w:t> </w:t>
                                  </w:r>
                                  <w:r>
                                    <w:rPr>
                                      <w:spacing w:val="-2"/>
                                      <w:w w:val="105"/>
                                      <w:sz w:val="13"/>
                                    </w:rPr>
                                    <w:t>grants</w:t>
                                  </w:r>
                                  <w:r>
                                    <w:rPr>
                                      <w:sz w:val="13"/>
                                    </w:rPr>
                                    <w:tab/>
                                  </w:r>
                                  <w:r>
                                    <w:rPr>
                                      <w:spacing w:val="-10"/>
                                      <w:w w:val="105"/>
                                      <w:sz w:val="13"/>
                                    </w:rPr>
                                    <w:t>-</w:t>
                                  </w:r>
                                </w:p>
                              </w:tc>
                              <w:tc>
                                <w:tcPr>
                                  <w:tcW w:w="914" w:type="dxa"/>
                                  <w:tcBorders>
                                    <w:bottom w:val="single" w:sz="6" w:space="0" w:color="000000"/>
                                  </w:tcBorders>
                                </w:tcPr>
                                <w:p>
                                  <w:pPr>
                                    <w:pStyle w:val="TableParagraph"/>
                                    <w:spacing w:line="132" w:lineRule="exact" w:before="12"/>
                                    <w:ind w:right="206"/>
                                    <w:jc w:val="right"/>
                                    <w:rPr>
                                      <w:sz w:val="13"/>
                                    </w:rPr>
                                  </w:pPr>
                                  <w:r>
                                    <w:rPr>
                                      <w:spacing w:val="-10"/>
                                      <w:w w:val="105"/>
                                      <w:sz w:val="13"/>
                                    </w:rPr>
                                    <w:t>-</w:t>
                                  </w:r>
                                </w:p>
                              </w:tc>
                              <w:tc>
                                <w:tcPr>
                                  <w:tcW w:w="914" w:type="dxa"/>
                                  <w:tcBorders>
                                    <w:bottom w:val="single" w:sz="6" w:space="0" w:color="000000"/>
                                  </w:tcBorders>
                                </w:tcPr>
                                <w:p>
                                  <w:pPr>
                                    <w:pStyle w:val="TableParagraph"/>
                                    <w:spacing w:line="132" w:lineRule="exact" w:before="12"/>
                                    <w:ind w:right="206"/>
                                    <w:jc w:val="right"/>
                                    <w:rPr>
                                      <w:sz w:val="13"/>
                                    </w:rPr>
                                  </w:pPr>
                                  <w:r>
                                    <w:rPr>
                                      <w:spacing w:val="-10"/>
                                      <w:w w:val="105"/>
                                      <w:sz w:val="13"/>
                                    </w:rPr>
                                    <w:t>-</w:t>
                                  </w:r>
                                </w:p>
                              </w:tc>
                              <w:tc>
                                <w:tcPr>
                                  <w:tcW w:w="770" w:type="dxa"/>
                                  <w:tcBorders>
                                    <w:bottom w:val="single" w:sz="6" w:space="0" w:color="000000"/>
                                  </w:tcBorders>
                                </w:tcPr>
                                <w:p>
                                  <w:pPr>
                                    <w:pStyle w:val="TableParagraph"/>
                                    <w:spacing w:line="132" w:lineRule="exact" w:before="12"/>
                                    <w:ind w:right="62"/>
                                    <w:jc w:val="right"/>
                                    <w:rPr>
                                      <w:sz w:val="13"/>
                                    </w:rPr>
                                  </w:pPr>
                                  <w:r>
                                    <w:rPr>
                                      <w:spacing w:val="-10"/>
                                      <w:w w:val="105"/>
                                      <w:sz w:val="13"/>
                                    </w:rPr>
                                    <w:t>-</w:t>
                                  </w:r>
                                </w:p>
                              </w:tc>
                            </w:tr>
                            <w:tr>
                              <w:trPr>
                                <w:trHeight w:val="156" w:hRule="atLeast"/>
                              </w:trPr>
                              <w:tc>
                                <w:tcPr>
                                  <w:tcW w:w="4684" w:type="dxa"/>
                                </w:tcPr>
                                <w:p>
                                  <w:pPr>
                                    <w:pStyle w:val="TableParagraph"/>
                                    <w:spacing w:line="134" w:lineRule="exact" w:before="2"/>
                                    <w:ind w:left="34"/>
                                    <w:rPr>
                                      <w:sz w:val="13"/>
                                    </w:rPr>
                                  </w:pPr>
                                  <w:r>
                                    <w:rPr>
                                      <w:w w:val="105"/>
                                      <w:sz w:val="13"/>
                                    </w:rPr>
                                    <w:t>Total</w:t>
                                  </w:r>
                                  <w:r>
                                    <w:rPr>
                                      <w:spacing w:val="-8"/>
                                      <w:w w:val="105"/>
                                      <w:sz w:val="13"/>
                                    </w:rPr>
                                    <w:t> </w:t>
                                  </w:r>
                                  <w:r>
                                    <w:rPr>
                                      <w:w w:val="105"/>
                                      <w:sz w:val="13"/>
                                    </w:rPr>
                                    <w:t>capital</w:t>
                                  </w:r>
                                  <w:r>
                                    <w:rPr>
                                      <w:spacing w:val="-7"/>
                                      <w:w w:val="105"/>
                                      <w:sz w:val="13"/>
                                    </w:rPr>
                                    <w:t> </w:t>
                                  </w:r>
                                  <w:r>
                                    <w:rPr>
                                      <w:spacing w:val="-2"/>
                                      <w:w w:val="105"/>
                                      <w:sz w:val="13"/>
                                    </w:rPr>
                                    <w:t>grants</w:t>
                                  </w:r>
                                </w:p>
                              </w:tc>
                              <w:tc>
                                <w:tcPr>
                                  <w:tcW w:w="1060" w:type="dxa"/>
                                  <w:tcBorders>
                                    <w:top w:val="single" w:sz="6" w:space="0" w:color="000000"/>
                                    <w:bottom w:val="single" w:sz="6" w:space="0" w:color="000000"/>
                                  </w:tcBorders>
                                </w:tcPr>
                                <w:p>
                                  <w:pPr>
                                    <w:pStyle w:val="TableParagraph"/>
                                    <w:spacing w:line="134" w:lineRule="exact" w:before="2"/>
                                    <w:ind w:right="207"/>
                                    <w:jc w:val="right"/>
                                    <w:rPr>
                                      <w:sz w:val="13"/>
                                    </w:rPr>
                                  </w:pPr>
                                  <w:r>
                                    <w:rPr>
                                      <w:spacing w:val="-10"/>
                                      <w:w w:val="105"/>
                                      <w:sz w:val="13"/>
                                    </w:rPr>
                                    <w:t>-</w:t>
                                  </w:r>
                                </w:p>
                              </w:tc>
                              <w:tc>
                                <w:tcPr>
                                  <w:tcW w:w="914" w:type="dxa"/>
                                  <w:tcBorders>
                                    <w:top w:val="single" w:sz="6" w:space="0" w:color="000000"/>
                                    <w:bottom w:val="single" w:sz="6" w:space="0" w:color="000000"/>
                                  </w:tcBorders>
                                </w:tcPr>
                                <w:p>
                                  <w:pPr>
                                    <w:pStyle w:val="TableParagraph"/>
                                    <w:spacing w:line="134" w:lineRule="exact" w:before="2"/>
                                    <w:ind w:right="206"/>
                                    <w:jc w:val="right"/>
                                    <w:rPr>
                                      <w:sz w:val="13"/>
                                    </w:rPr>
                                  </w:pPr>
                                  <w:r>
                                    <w:rPr>
                                      <w:spacing w:val="-10"/>
                                      <w:w w:val="105"/>
                                      <w:sz w:val="13"/>
                                    </w:rPr>
                                    <w:t>-</w:t>
                                  </w:r>
                                </w:p>
                              </w:tc>
                              <w:tc>
                                <w:tcPr>
                                  <w:tcW w:w="914" w:type="dxa"/>
                                  <w:tcBorders>
                                    <w:top w:val="single" w:sz="6" w:space="0" w:color="000000"/>
                                    <w:bottom w:val="single" w:sz="6" w:space="0" w:color="000000"/>
                                  </w:tcBorders>
                                </w:tcPr>
                                <w:p>
                                  <w:pPr>
                                    <w:pStyle w:val="TableParagraph"/>
                                    <w:spacing w:line="134" w:lineRule="exact" w:before="2"/>
                                    <w:ind w:right="206"/>
                                    <w:jc w:val="right"/>
                                    <w:rPr>
                                      <w:sz w:val="13"/>
                                    </w:rPr>
                                  </w:pPr>
                                  <w:r>
                                    <w:rPr>
                                      <w:spacing w:val="-10"/>
                                      <w:w w:val="105"/>
                                      <w:sz w:val="13"/>
                                    </w:rPr>
                                    <w:t>-</w:t>
                                  </w:r>
                                </w:p>
                              </w:tc>
                              <w:tc>
                                <w:tcPr>
                                  <w:tcW w:w="770" w:type="dxa"/>
                                  <w:tcBorders>
                                    <w:top w:val="single" w:sz="6" w:space="0" w:color="000000"/>
                                    <w:bottom w:val="single" w:sz="6" w:space="0" w:color="000000"/>
                                  </w:tcBorders>
                                </w:tcPr>
                                <w:p>
                                  <w:pPr>
                                    <w:pStyle w:val="TableParagraph"/>
                                    <w:spacing w:line="134" w:lineRule="exact" w:before="2"/>
                                    <w:ind w:right="62"/>
                                    <w:jc w:val="right"/>
                                    <w:rPr>
                                      <w:sz w:val="13"/>
                                    </w:rPr>
                                  </w:pPr>
                                  <w:r>
                                    <w:rPr>
                                      <w:spacing w:val="-10"/>
                                      <w:w w:val="105"/>
                                      <w:sz w:val="13"/>
                                    </w:rPr>
                                    <w:t>-</w:t>
                                  </w:r>
                                </w:p>
                              </w:tc>
                            </w:tr>
                            <w:tr>
                              <w:trPr>
                                <w:trHeight w:val="156" w:hRule="atLeast"/>
                              </w:trPr>
                              <w:tc>
                                <w:tcPr>
                                  <w:tcW w:w="4684" w:type="dxa"/>
                                </w:tcPr>
                                <w:p>
                                  <w:pPr>
                                    <w:pStyle w:val="TableParagraph"/>
                                    <w:rPr>
                                      <w:rFonts w:ascii="Times New Roman"/>
                                      <w:sz w:val="10"/>
                                    </w:rPr>
                                  </w:pPr>
                                </w:p>
                              </w:tc>
                              <w:tc>
                                <w:tcPr>
                                  <w:tcW w:w="1060" w:type="dxa"/>
                                  <w:tcBorders>
                                    <w:top w:val="single" w:sz="6" w:space="0" w:color="000000"/>
                                    <w:bottom w:val="single" w:sz="6" w:space="0" w:color="000000"/>
                                  </w:tcBorders>
                                </w:tcPr>
                                <w:p>
                                  <w:pPr>
                                    <w:pStyle w:val="TableParagraph"/>
                                    <w:rPr>
                                      <w:rFonts w:ascii="Times New Roman"/>
                                      <w:sz w:val="10"/>
                                    </w:rPr>
                                  </w:pPr>
                                </w:p>
                              </w:tc>
                              <w:tc>
                                <w:tcPr>
                                  <w:tcW w:w="914" w:type="dxa"/>
                                  <w:tcBorders>
                                    <w:top w:val="single" w:sz="6" w:space="0" w:color="000000"/>
                                    <w:bottom w:val="single" w:sz="6" w:space="0" w:color="000000"/>
                                  </w:tcBorders>
                                </w:tcPr>
                                <w:p>
                                  <w:pPr>
                                    <w:pStyle w:val="TableParagraph"/>
                                    <w:rPr>
                                      <w:rFonts w:ascii="Times New Roman"/>
                                      <w:sz w:val="10"/>
                                    </w:rPr>
                                  </w:pPr>
                                </w:p>
                              </w:tc>
                              <w:tc>
                                <w:tcPr>
                                  <w:tcW w:w="914" w:type="dxa"/>
                                  <w:tcBorders>
                                    <w:top w:val="single" w:sz="6" w:space="0" w:color="000000"/>
                                    <w:bottom w:val="single" w:sz="6" w:space="0" w:color="000000"/>
                                  </w:tcBorders>
                                </w:tcPr>
                                <w:p>
                                  <w:pPr>
                                    <w:pStyle w:val="TableParagraph"/>
                                    <w:rPr>
                                      <w:rFonts w:ascii="Times New Roman"/>
                                      <w:sz w:val="10"/>
                                    </w:rPr>
                                  </w:pPr>
                                </w:p>
                              </w:tc>
                              <w:tc>
                                <w:tcPr>
                                  <w:tcW w:w="770" w:type="dxa"/>
                                  <w:tcBorders>
                                    <w:top w:val="single" w:sz="6" w:space="0" w:color="000000"/>
                                    <w:bottom w:val="single" w:sz="6" w:space="0" w:color="000000"/>
                                  </w:tcBorders>
                                </w:tcPr>
                                <w:p>
                                  <w:pPr>
                                    <w:pStyle w:val="TableParagraph"/>
                                    <w:rPr>
                                      <w:rFonts w:ascii="Times New Roman"/>
                                      <w:sz w:val="10"/>
                                    </w:rPr>
                                  </w:pPr>
                                </w:p>
                              </w:tc>
                            </w:tr>
                            <w:tr>
                              <w:trPr>
                                <w:trHeight w:val="156" w:hRule="atLeast"/>
                              </w:trPr>
                              <w:tc>
                                <w:tcPr>
                                  <w:tcW w:w="4684" w:type="dxa"/>
                                </w:tcPr>
                                <w:p>
                                  <w:pPr>
                                    <w:pStyle w:val="TableParagraph"/>
                                    <w:spacing w:line="134" w:lineRule="exact" w:before="2"/>
                                    <w:ind w:left="34"/>
                                    <w:rPr>
                                      <w:sz w:val="13"/>
                                    </w:rPr>
                                  </w:pPr>
                                  <w:r>
                                    <w:rPr>
                                      <w:w w:val="105"/>
                                      <w:sz w:val="13"/>
                                    </w:rPr>
                                    <w:t>Total</w:t>
                                  </w:r>
                                  <w:r>
                                    <w:rPr>
                                      <w:spacing w:val="-9"/>
                                      <w:w w:val="105"/>
                                      <w:sz w:val="13"/>
                                    </w:rPr>
                                    <w:t> </w:t>
                                  </w:r>
                                  <w:r>
                                    <w:rPr>
                                      <w:w w:val="105"/>
                                      <w:sz w:val="13"/>
                                    </w:rPr>
                                    <w:t>other</w:t>
                                  </w:r>
                                  <w:r>
                                    <w:rPr>
                                      <w:spacing w:val="-8"/>
                                      <w:w w:val="105"/>
                                      <w:sz w:val="13"/>
                                    </w:rPr>
                                    <w:t> </w:t>
                                  </w:r>
                                  <w:r>
                                    <w:rPr>
                                      <w:w w:val="105"/>
                                      <w:sz w:val="13"/>
                                    </w:rPr>
                                    <w:t>Australian</w:t>
                                  </w:r>
                                  <w:r>
                                    <w:rPr>
                                      <w:spacing w:val="-9"/>
                                      <w:w w:val="105"/>
                                      <w:sz w:val="13"/>
                                    </w:rPr>
                                    <w:t> </w:t>
                                  </w:r>
                                  <w:r>
                                    <w:rPr>
                                      <w:w w:val="105"/>
                                      <w:sz w:val="13"/>
                                    </w:rPr>
                                    <w:t>Government</w:t>
                                  </w:r>
                                  <w:r>
                                    <w:rPr>
                                      <w:spacing w:val="-9"/>
                                      <w:w w:val="105"/>
                                      <w:sz w:val="13"/>
                                    </w:rPr>
                                    <w:t> </w:t>
                                  </w:r>
                                  <w:r>
                                    <w:rPr>
                                      <w:w w:val="105"/>
                                      <w:sz w:val="13"/>
                                    </w:rPr>
                                    <w:t>financial</w:t>
                                  </w:r>
                                  <w:r>
                                    <w:rPr>
                                      <w:spacing w:val="-9"/>
                                      <w:w w:val="105"/>
                                      <w:sz w:val="13"/>
                                    </w:rPr>
                                    <w:t> </w:t>
                                  </w:r>
                                  <w:r>
                                    <w:rPr>
                                      <w:spacing w:val="-2"/>
                                      <w:w w:val="105"/>
                                      <w:sz w:val="13"/>
                                    </w:rPr>
                                    <w:t>assistance</w:t>
                                  </w:r>
                                </w:p>
                              </w:tc>
                              <w:tc>
                                <w:tcPr>
                                  <w:tcW w:w="1060" w:type="dxa"/>
                                  <w:tcBorders>
                                    <w:top w:val="single" w:sz="6" w:space="0" w:color="000000"/>
                                    <w:bottom w:val="single" w:sz="6" w:space="0" w:color="000000"/>
                                  </w:tcBorders>
                                </w:tcPr>
                                <w:p>
                                  <w:pPr>
                                    <w:pStyle w:val="TableParagraph"/>
                                    <w:spacing w:line="134" w:lineRule="exact" w:before="2"/>
                                    <w:ind w:right="215"/>
                                    <w:jc w:val="right"/>
                                    <w:rPr>
                                      <w:sz w:val="13"/>
                                    </w:rPr>
                                  </w:pPr>
                                  <w:r>
                                    <w:rPr>
                                      <w:spacing w:val="-2"/>
                                      <w:w w:val="105"/>
                                      <w:sz w:val="13"/>
                                    </w:rPr>
                                    <w:t>105,030</w:t>
                                  </w:r>
                                </w:p>
                              </w:tc>
                              <w:tc>
                                <w:tcPr>
                                  <w:tcW w:w="914" w:type="dxa"/>
                                  <w:tcBorders>
                                    <w:top w:val="single" w:sz="6" w:space="0" w:color="000000"/>
                                    <w:bottom w:val="single" w:sz="6" w:space="0" w:color="000000"/>
                                  </w:tcBorders>
                                </w:tcPr>
                                <w:p>
                                  <w:pPr>
                                    <w:pStyle w:val="TableParagraph"/>
                                    <w:spacing w:line="134" w:lineRule="exact" w:before="2"/>
                                    <w:ind w:right="214"/>
                                    <w:jc w:val="right"/>
                                    <w:rPr>
                                      <w:sz w:val="13"/>
                                    </w:rPr>
                                  </w:pPr>
                                  <w:r>
                                    <w:rPr>
                                      <w:spacing w:val="-2"/>
                                      <w:w w:val="105"/>
                                      <w:sz w:val="13"/>
                                    </w:rPr>
                                    <w:t>119,251</w:t>
                                  </w:r>
                                </w:p>
                              </w:tc>
                              <w:tc>
                                <w:tcPr>
                                  <w:tcW w:w="914" w:type="dxa"/>
                                  <w:tcBorders>
                                    <w:top w:val="single" w:sz="6" w:space="0" w:color="000000"/>
                                    <w:bottom w:val="single" w:sz="6" w:space="0" w:color="000000"/>
                                  </w:tcBorders>
                                </w:tcPr>
                                <w:p>
                                  <w:pPr>
                                    <w:pStyle w:val="TableParagraph"/>
                                    <w:spacing w:line="134" w:lineRule="exact" w:before="2"/>
                                    <w:ind w:right="214"/>
                                    <w:jc w:val="right"/>
                                    <w:rPr>
                                      <w:sz w:val="13"/>
                                    </w:rPr>
                                  </w:pPr>
                                  <w:r>
                                    <w:rPr>
                                      <w:spacing w:val="-2"/>
                                      <w:w w:val="105"/>
                                      <w:sz w:val="13"/>
                                    </w:rPr>
                                    <w:t>95,395</w:t>
                                  </w:r>
                                </w:p>
                              </w:tc>
                              <w:tc>
                                <w:tcPr>
                                  <w:tcW w:w="770" w:type="dxa"/>
                                  <w:tcBorders>
                                    <w:top w:val="single" w:sz="6" w:space="0" w:color="000000"/>
                                    <w:bottom w:val="single" w:sz="6" w:space="0" w:color="000000"/>
                                  </w:tcBorders>
                                </w:tcPr>
                                <w:p>
                                  <w:pPr>
                                    <w:pStyle w:val="TableParagraph"/>
                                    <w:spacing w:line="134" w:lineRule="exact" w:before="2"/>
                                    <w:ind w:right="70"/>
                                    <w:jc w:val="right"/>
                                    <w:rPr>
                                      <w:sz w:val="13"/>
                                    </w:rPr>
                                  </w:pPr>
                                  <w:r>
                                    <w:rPr>
                                      <w:spacing w:val="-2"/>
                                      <w:w w:val="105"/>
                                      <w:sz w:val="13"/>
                                    </w:rPr>
                                    <w:t>114,851</w:t>
                                  </w:r>
                                </w:p>
                              </w:tc>
                            </w:tr>
                            <w:tr>
                              <w:trPr>
                                <w:trHeight w:val="156" w:hRule="atLeast"/>
                              </w:trPr>
                              <w:tc>
                                <w:tcPr>
                                  <w:tcW w:w="4684" w:type="dxa"/>
                                </w:tcPr>
                                <w:p>
                                  <w:pPr>
                                    <w:pStyle w:val="TableParagraph"/>
                                    <w:rPr>
                                      <w:rFonts w:ascii="Times New Roman"/>
                                      <w:sz w:val="10"/>
                                    </w:rPr>
                                  </w:pPr>
                                </w:p>
                              </w:tc>
                              <w:tc>
                                <w:tcPr>
                                  <w:tcW w:w="1060" w:type="dxa"/>
                                  <w:tcBorders>
                                    <w:top w:val="single" w:sz="6" w:space="0" w:color="000000"/>
                                    <w:bottom w:val="single" w:sz="6" w:space="0" w:color="000000"/>
                                  </w:tcBorders>
                                </w:tcPr>
                                <w:p>
                                  <w:pPr>
                                    <w:pStyle w:val="TableParagraph"/>
                                    <w:rPr>
                                      <w:rFonts w:ascii="Times New Roman"/>
                                      <w:sz w:val="10"/>
                                    </w:rPr>
                                  </w:pPr>
                                </w:p>
                              </w:tc>
                              <w:tc>
                                <w:tcPr>
                                  <w:tcW w:w="914" w:type="dxa"/>
                                  <w:tcBorders>
                                    <w:top w:val="single" w:sz="6" w:space="0" w:color="000000"/>
                                    <w:bottom w:val="single" w:sz="6" w:space="0" w:color="000000"/>
                                  </w:tcBorders>
                                </w:tcPr>
                                <w:p>
                                  <w:pPr>
                                    <w:pStyle w:val="TableParagraph"/>
                                    <w:rPr>
                                      <w:rFonts w:ascii="Times New Roman"/>
                                      <w:sz w:val="10"/>
                                    </w:rPr>
                                  </w:pPr>
                                </w:p>
                              </w:tc>
                              <w:tc>
                                <w:tcPr>
                                  <w:tcW w:w="914" w:type="dxa"/>
                                  <w:tcBorders>
                                    <w:top w:val="single" w:sz="6" w:space="0" w:color="000000"/>
                                    <w:bottom w:val="single" w:sz="6" w:space="0" w:color="000000"/>
                                  </w:tcBorders>
                                </w:tcPr>
                                <w:p>
                                  <w:pPr>
                                    <w:pStyle w:val="TableParagraph"/>
                                    <w:rPr>
                                      <w:rFonts w:ascii="Times New Roman"/>
                                      <w:sz w:val="10"/>
                                    </w:rPr>
                                  </w:pPr>
                                </w:p>
                              </w:tc>
                              <w:tc>
                                <w:tcPr>
                                  <w:tcW w:w="770" w:type="dxa"/>
                                  <w:tcBorders>
                                    <w:top w:val="single" w:sz="6" w:space="0" w:color="000000"/>
                                    <w:bottom w:val="single" w:sz="6" w:space="0" w:color="000000"/>
                                  </w:tcBorders>
                                </w:tcPr>
                                <w:p>
                                  <w:pPr>
                                    <w:pStyle w:val="TableParagraph"/>
                                    <w:rPr>
                                      <w:rFonts w:ascii="Times New Roman"/>
                                      <w:sz w:val="10"/>
                                    </w:rPr>
                                  </w:pPr>
                                </w:p>
                              </w:tc>
                            </w:tr>
                            <w:tr>
                              <w:trPr>
                                <w:trHeight w:val="156" w:hRule="atLeast"/>
                              </w:trPr>
                              <w:tc>
                                <w:tcPr>
                                  <w:tcW w:w="4684" w:type="dxa"/>
                                </w:tcPr>
                                <w:p>
                                  <w:pPr>
                                    <w:pStyle w:val="TableParagraph"/>
                                    <w:spacing w:line="134" w:lineRule="exact" w:before="2"/>
                                    <w:ind w:left="34"/>
                                    <w:rPr>
                                      <w:b/>
                                      <w:sz w:val="13"/>
                                    </w:rPr>
                                  </w:pPr>
                                  <w:r>
                                    <w:rPr>
                                      <w:b/>
                                      <w:w w:val="105"/>
                                      <w:sz w:val="13"/>
                                    </w:rPr>
                                    <w:t>Total</w:t>
                                  </w:r>
                                  <w:r>
                                    <w:rPr>
                                      <w:b/>
                                      <w:spacing w:val="-10"/>
                                      <w:w w:val="105"/>
                                      <w:sz w:val="13"/>
                                    </w:rPr>
                                    <w:t> </w:t>
                                  </w:r>
                                  <w:r>
                                    <w:rPr>
                                      <w:b/>
                                      <w:w w:val="105"/>
                                      <w:sz w:val="13"/>
                                    </w:rPr>
                                    <w:t>Australian</w:t>
                                  </w:r>
                                  <w:r>
                                    <w:rPr>
                                      <w:b/>
                                      <w:spacing w:val="-9"/>
                                      <w:w w:val="105"/>
                                      <w:sz w:val="13"/>
                                    </w:rPr>
                                    <w:t> </w:t>
                                  </w:r>
                                  <w:r>
                                    <w:rPr>
                                      <w:b/>
                                      <w:w w:val="105"/>
                                      <w:sz w:val="13"/>
                                    </w:rPr>
                                    <w:t>Government</w:t>
                                  </w:r>
                                  <w:r>
                                    <w:rPr>
                                      <w:b/>
                                      <w:spacing w:val="-10"/>
                                      <w:w w:val="105"/>
                                      <w:sz w:val="13"/>
                                    </w:rPr>
                                    <w:t> </w:t>
                                  </w:r>
                                  <w:r>
                                    <w:rPr>
                                      <w:b/>
                                      <w:spacing w:val="-2"/>
                                      <w:w w:val="105"/>
                                      <w:sz w:val="13"/>
                                    </w:rPr>
                                    <w:t>grants</w:t>
                                  </w:r>
                                </w:p>
                              </w:tc>
                              <w:tc>
                                <w:tcPr>
                                  <w:tcW w:w="1060" w:type="dxa"/>
                                  <w:tcBorders>
                                    <w:top w:val="single" w:sz="6" w:space="0" w:color="000000"/>
                                    <w:bottom w:val="single" w:sz="6" w:space="0" w:color="000000"/>
                                  </w:tcBorders>
                                </w:tcPr>
                                <w:p>
                                  <w:pPr>
                                    <w:pStyle w:val="TableParagraph"/>
                                    <w:spacing w:line="134" w:lineRule="exact" w:before="2"/>
                                    <w:ind w:right="215"/>
                                    <w:jc w:val="right"/>
                                    <w:rPr>
                                      <w:b/>
                                      <w:sz w:val="13"/>
                                    </w:rPr>
                                  </w:pPr>
                                  <w:r>
                                    <w:rPr>
                                      <w:b/>
                                      <w:spacing w:val="-2"/>
                                      <w:w w:val="105"/>
                                      <w:sz w:val="13"/>
                                    </w:rPr>
                                    <w:t>379,598</w:t>
                                  </w:r>
                                </w:p>
                              </w:tc>
                              <w:tc>
                                <w:tcPr>
                                  <w:tcW w:w="914" w:type="dxa"/>
                                  <w:tcBorders>
                                    <w:top w:val="single" w:sz="6" w:space="0" w:color="000000"/>
                                    <w:bottom w:val="single" w:sz="6" w:space="0" w:color="000000"/>
                                  </w:tcBorders>
                                </w:tcPr>
                                <w:p>
                                  <w:pPr>
                                    <w:pStyle w:val="TableParagraph"/>
                                    <w:spacing w:line="134" w:lineRule="exact" w:before="2"/>
                                    <w:ind w:right="214"/>
                                    <w:jc w:val="right"/>
                                    <w:rPr>
                                      <w:b/>
                                      <w:sz w:val="13"/>
                                    </w:rPr>
                                  </w:pPr>
                                  <w:r>
                                    <w:rPr>
                                      <w:b/>
                                      <w:spacing w:val="-2"/>
                                      <w:w w:val="105"/>
                                      <w:sz w:val="13"/>
                                    </w:rPr>
                                    <w:t>385,964</w:t>
                                  </w:r>
                                </w:p>
                              </w:tc>
                              <w:tc>
                                <w:tcPr>
                                  <w:tcW w:w="914" w:type="dxa"/>
                                  <w:tcBorders>
                                    <w:top w:val="single" w:sz="6" w:space="0" w:color="000000"/>
                                    <w:bottom w:val="single" w:sz="6" w:space="0" w:color="000000"/>
                                  </w:tcBorders>
                                </w:tcPr>
                                <w:p>
                                  <w:pPr>
                                    <w:pStyle w:val="TableParagraph"/>
                                    <w:spacing w:line="134" w:lineRule="exact" w:before="2"/>
                                    <w:ind w:right="214"/>
                                    <w:jc w:val="right"/>
                                    <w:rPr>
                                      <w:b/>
                                      <w:sz w:val="13"/>
                                    </w:rPr>
                                  </w:pPr>
                                  <w:r>
                                    <w:rPr>
                                      <w:b/>
                                      <w:spacing w:val="-2"/>
                                      <w:w w:val="105"/>
                                      <w:sz w:val="13"/>
                                    </w:rPr>
                                    <w:t>369,963</w:t>
                                  </w:r>
                                </w:p>
                              </w:tc>
                              <w:tc>
                                <w:tcPr>
                                  <w:tcW w:w="770" w:type="dxa"/>
                                  <w:tcBorders>
                                    <w:top w:val="single" w:sz="6" w:space="0" w:color="000000"/>
                                    <w:bottom w:val="single" w:sz="6" w:space="0" w:color="000000"/>
                                  </w:tcBorders>
                                </w:tcPr>
                                <w:p>
                                  <w:pPr>
                                    <w:pStyle w:val="TableParagraph"/>
                                    <w:spacing w:line="134" w:lineRule="exact" w:before="2"/>
                                    <w:ind w:right="70"/>
                                    <w:jc w:val="right"/>
                                    <w:rPr>
                                      <w:b/>
                                      <w:sz w:val="13"/>
                                    </w:rPr>
                                  </w:pPr>
                                  <w:r>
                                    <w:rPr>
                                      <w:b/>
                                      <w:spacing w:val="-2"/>
                                      <w:w w:val="105"/>
                                      <w:sz w:val="13"/>
                                    </w:rPr>
                                    <w:t>381,564</w:t>
                                  </w:r>
                                </w:p>
                              </w:tc>
                            </w:tr>
                          </w:tbl>
                          <w:p>
                            <w:pPr>
                              <w:pStyle w:val="BodyText"/>
                            </w:pPr>
                          </w:p>
                        </w:txbxContent>
                      </wps:txbx>
                      <wps:bodyPr wrap="square" lIns="0" tIns="0" rIns="0" bIns="0" rtlCol="0">
                        <a:noAutofit/>
                      </wps:bodyPr>
                    </wps:wsp>
                  </a:graphicData>
                </a:graphic>
              </wp:anchor>
            </w:drawing>
          </mc:Choice>
          <mc:Fallback>
            <w:pict>
              <v:shape style="position:absolute;margin-left:83.709831pt;margin-top:23.754pt;width:423.2pt;height:104.4pt;mso-position-horizontal-relative:page;mso-position-vertical-relative:paragraph;z-index:15877120" type="#_x0000_t202" id="docshape590"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684"/>
                        <w:gridCol w:w="1060"/>
                        <w:gridCol w:w="914"/>
                        <w:gridCol w:w="914"/>
                        <w:gridCol w:w="770"/>
                      </w:tblGrid>
                      <w:tr>
                        <w:trPr>
                          <w:trHeight w:val="196" w:hRule="atLeast"/>
                        </w:trPr>
                        <w:tc>
                          <w:tcPr>
                            <w:tcW w:w="4684" w:type="dxa"/>
                          </w:tcPr>
                          <w:p>
                            <w:pPr>
                              <w:pStyle w:val="TableParagraph"/>
                              <w:spacing w:line="141" w:lineRule="exact" w:before="36"/>
                              <w:ind w:left="220"/>
                              <w:rPr>
                                <w:sz w:val="13"/>
                              </w:rPr>
                            </w:pPr>
                            <w:r>
                              <w:rPr>
                                <w:w w:val="105"/>
                                <w:sz w:val="13"/>
                              </w:rPr>
                              <w:t>National</w:t>
                            </w:r>
                            <w:r>
                              <w:rPr>
                                <w:spacing w:val="-8"/>
                                <w:w w:val="105"/>
                                <w:sz w:val="13"/>
                              </w:rPr>
                              <w:t> </w:t>
                            </w:r>
                            <w:r>
                              <w:rPr>
                                <w:w w:val="105"/>
                                <w:sz w:val="13"/>
                              </w:rPr>
                              <w:t>Health</w:t>
                            </w:r>
                            <w:r>
                              <w:rPr>
                                <w:spacing w:val="-8"/>
                                <w:w w:val="105"/>
                                <w:sz w:val="13"/>
                              </w:rPr>
                              <w:t> </w:t>
                            </w:r>
                            <w:r>
                              <w:rPr>
                                <w:w w:val="105"/>
                                <w:sz w:val="13"/>
                              </w:rPr>
                              <w:t>and</w:t>
                            </w:r>
                            <w:r>
                              <w:rPr>
                                <w:spacing w:val="-9"/>
                                <w:w w:val="105"/>
                                <w:sz w:val="13"/>
                              </w:rPr>
                              <w:t> </w:t>
                            </w:r>
                            <w:r>
                              <w:rPr>
                                <w:w w:val="105"/>
                                <w:sz w:val="13"/>
                              </w:rPr>
                              <w:t>Medical</w:t>
                            </w:r>
                            <w:r>
                              <w:rPr>
                                <w:spacing w:val="-7"/>
                                <w:w w:val="105"/>
                                <w:sz w:val="13"/>
                              </w:rPr>
                              <w:t> </w:t>
                            </w:r>
                            <w:r>
                              <w:rPr>
                                <w:w w:val="105"/>
                                <w:sz w:val="13"/>
                              </w:rPr>
                              <w:t>Research</w:t>
                            </w:r>
                            <w:r>
                              <w:rPr>
                                <w:spacing w:val="-9"/>
                                <w:w w:val="105"/>
                                <w:sz w:val="13"/>
                              </w:rPr>
                              <w:t> </w:t>
                            </w:r>
                            <w:r>
                              <w:rPr>
                                <w:spacing w:val="-2"/>
                                <w:w w:val="105"/>
                                <w:sz w:val="13"/>
                              </w:rPr>
                              <w:t>Council</w:t>
                            </w:r>
                          </w:p>
                        </w:tc>
                        <w:tc>
                          <w:tcPr>
                            <w:tcW w:w="1060" w:type="dxa"/>
                          </w:tcPr>
                          <w:p>
                            <w:pPr>
                              <w:pStyle w:val="TableParagraph"/>
                              <w:spacing w:line="141" w:lineRule="exact" w:before="36"/>
                              <w:ind w:right="216"/>
                              <w:jc w:val="right"/>
                              <w:rPr>
                                <w:sz w:val="13"/>
                              </w:rPr>
                            </w:pPr>
                            <w:r>
                              <w:rPr>
                                <w:spacing w:val="-2"/>
                                <w:w w:val="105"/>
                                <w:sz w:val="13"/>
                              </w:rPr>
                              <w:t>29,851</w:t>
                            </w:r>
                          </w:p>
                        </w:tc>
                        <w:tc>
                          <w:tcPr>
                            <w:tcW w:w="914" w:type="dxa"/>
                          </w:tcPr>
                          <w:p>
                            <w:pPr>
                              <w:pStyle w:val="TableParagraph"/>
                              <w:spacing w:line="141" w:lineRule="exact" w:before="36"/>
                              <w:ind w:right="215"/>
                              <w:jc w:val="right"/>
                              <w:rPr>
                                <w:sz w:val="13"/>
                              </w:rPr>
                            </w:pPr>
                            <w:r>
                              <w:rPr>
                                <w:spacing w:val="-2"/>
                                <w:w w:val="105"/>
                                <w:sz w:val="13"/>
                              </w:rPr>
                              <w:t>36,585</w:t>
                            </w:r>
                          </w:p>
                        </w:tc>
                        <w:tc>
                          <w:tcPr>
                            <w:tcW w:w="914" w:type="dxa"/>
                          </w:tcPr>
                          <w:p>
                            <w:pPr>
                              <w:pStyle w:val="TableParagraph"/>
                              <w:spacing w:line="141" w:lineRule="exact" w:before="36"/>
                              <w:ind w:right="215"/>
                              <w:jc w:val="right"/>
                              <w:rPr>
                                <w:sz w:val="13"/>
                              </w:rPr>
                            </w:pPr>
                            <w:r>
                              <w:rPr>
                                <w:spacing w:val="-2"/>
                                <w:w w:val="105"/>
                                <w:sz w:val="13"/>
                              </w:rPr>
                              <w:t>29,851</w:t>
                            </w:r>
                          </w:p>
                        </w:tc>
                        <w:tc>
                          <w:tcPr>
                            <w:tcW w:w="770" w:type="dxa"/>
                          </w:tcPr>
                          <w:p>
                            <w:pPr>
                              <w:pStyle w:val="TableParagraph"/>
                              <w:spacing w:line="141" w:lineRule="exact" w:before="36"/>
                              <w:ind w:right="71"/>
                              <w:jc w:val="right"/>
                              <w:rPr>
                                <w:sz w:val="13"/>
                              </w:rPr>
                            </w:pPr>
                            <w:r>
                              <w:rPr>
                                <w:spacing w:val="-2"/>
                                <w:w w:val="105"/>
                                <w:sz w:val="13"/>
                              </w:rPr>
                              <w:t>36,585</w:t>
                            </w:r>
                          </w:p>
                        </w:tc>
                      </w:tr>
                      <w:tr>
                        <w:trPr>
                          <w:trHeight w:val="171" w:hRule="atLeast"/>
                        </w:trPr>
                        <w:tc>
                          <w:tcPr>
                            <w:tcW w:w="4684" w:type="dxa"/>
                          </w:tcPr>
                          <w:p>
                            <w:pPr>
                              <w:pStyle w:val="TableParagraph"/>
                              <w:spacing w:line="141" w:lineRule="exact" w:before="11"/>
                              <w:ind w:left="221"/>
                              <w:rPr>
                                <w:sz w:val="13"/>
                              </w:rPr>
                            </w:pPr>
                            <w:r>
                              <w:rPr>
                                <w:spacing w:val="-2"/>
                                <w:w w:val="105"/>
                                <w:sz w:val="13"/>
                              </w:rPr>
                              <w:t>Other</w:t>
                            </w:r>
                            <w:r>
                              <w:rPr>
                                <w:spacing w:val="8"/>
                                <w:w w:val="105"/>
                                <w:sz w:val="13"/>
                              </w:rPr>
                              <w:t> </w:t>
                            </w:r>
                            <w:r>
                              <w:rPr>
                                <w:spacing w:val="-2"/>
                                <w:w w:val="105"/>
                                <w:sz w:val="13"/>
                              </w:rPr>
                              <w:t>Commonwealth</w:t>
                            </w:r>
                            <w:r>
                              <w:rPr>
                                <w:spacing w:val="5"/>
                                <w:w w:val="105"/>
                                <w:sz w:val="13"/>
                              </w:rPr>
                              <w:t> </w:t>
                            </w:r>
                            <w:r>
                              <w:rPr>
                                <w:spacing w:val="-2"/>
                                <w:w w:val="105"/>
                                <w:sz w:val="13"/>
                              </w:rPr>
                              <w:t>research</w:t>
                            </w:r>
                            <w:r>
                              <w:rPr>
                                <w:spacing w:val="6"/>
                                <w:w w:val="105"/>
                                <w:sz w:val="13"/>
                              </w:rPr>
                              <w:t> </w:t>
                            </w:r>
                            <w:r>
                              <w:rPr>
                                <w:spacing w:val="-2"/>
                                <w:w w:val="105"/>
                                <w:sz w:val="13"/>
                              </w:rPr>
                              <w:t>grants</w:t>
                            </w:r>
                          </w:p>
                        </w:tc>
                        <w:tc>
                          <w:tcPr>
                            <w:tcW w:w="1060" w:type="dxa"/>
                          </w:tcPr>
                          <w:p>
                            <w:pPr>
                              <w:pStyle w:val="TableParagraph"/>
                              <w:spacing w:line="141" w:lineRule="exact" w:before="11"/>
                              <w:ind w:right="215"/>
                              <w:jc w:val="right"/>
                              <w:rPr>
                                <w:sz w:val="13"/>
                              </w:rPr>
                            </w:pPr>
                            <w:r>
                              <w:rPr>
                                <w:spacing w:val="-2"/>
                                <w:w w:val="105"/>
                                <w:sz w:val="13"/>
                              </w:rPr>
                              <w:t>48,559</w:t>
                            </w:r>
                          </w:p>
                        </w:tc>
                        <w:tc>
                          <w:tcPr>
                            <w:tcW w:w="914" w:type="dxa"/>
                          </w:tcPr>
                          <w:p>
                            <w:pPr>
                              <w:pStyle w:val="TableParagraph"/>
                              <w:spacing w:line="141" w:lineRule="exact" w:before="11"/>
                              <w:ind w:right="215"/>
                              <w:jc w:val="right"/>
                              <w:rPr>
                                <w:sz w:val="13"/>
                              </w:rPr>
                            </w:pPr>
                            <w:r>
                              <w:rPr>
                                <w:spacing w:val="-2"/>
                                <w:w w:val="105"/>
                                <w:sz w:val="13"/>
                              </w:rPr>
                              <w:t>58,249</w:t>
                            </w:r>
                          </w:p>
                        </w:tc>
                        <w:tc>
                          <w:tcPr>
                            <w:tcW w:w="914" w:type="dxa"/>
                          </w:tcPr>
                          <w:p>
                            <w:pPr>
                              <w:pStyle w:val="TableParagraph"/>
                              <w:spacing w:line="141" w:lineRule="exact" w:before="11"/>
                              <w:ind w:right="215"/>
                              <w:jc w:val="right"/>
                              <w:rPr>
                                <w:sz w:val="13"/>
                              </w:rPr>
                            </w:pPr>
                            <w:r>
                              <w:rPr>
                                <w:spacing w:val="-2"/>
                                <w:w w:val="105"/>
                                <w:sz w:val="13"/>
                              </w:rPr>
                              <w:t>48,559</w:t>
                            </w:r>
                          </w:p>
                        </w:tc>
                        <w:tc>
                          <w:tcPr>
                            <w:tcW w:w="770" w:type="dxa"/>
                          </w:tcPr>
                          <w:p>
                            <w:pPr>
                              <w:pStyle w:val="TableParagraph"/>
                              <w:spacing w:line="141" w:lineRule="exact" w:before="11"/>
                              <w:ind w:right="70"/>
                              <w:jc w:val="right"/>
                              <w:rPr>
                                <w:sz w:val="13"/>
                              </w:rPr>
                            </w:pPr>
                            <w:r>
                              <w:rPr>
                                <w:spacing w:val="-2"/>
                                <w:w w:val="105"/>
                                <w:sz w:val="13"/>
                              </w:rPr>
                              <w:t>58,249</w:t>
                            </w:r>
                          </w:p>
                        </w:tc>
                      </w:tr>
                      <w:tr>
                        <w:trPr>
                          <w:trHeight w:val="165" w:hRule="atLeast"/>
                        </w:trPr>
                        <w:tc>
                          <w:tcPr>
                            <w:tcW w:w="4684" w:type="dxa"/>
                          </w:tcPr>
                          <w:p>
                            <w:pPr>
                              <w:pStyle w:val="TableParagraph"/>
                              <w:spacing w:line="134" w:lineRule="exact" w:before="11"/>
                              <w:ind w:left="221"/>
                              <w:rPr>
                                <w:sz w:val="13"/>
                              </w:rPr>
                            </w:pPr>
                            <w:r>
                              <w:rPr>
                                <w:spacing w:val="-2"/>
                                <w:w w:val="105"/>
                                <w:sz w:val="13"/>
                              </w:rPr>
                              <w:t>Other</w:t>
                            </w:r>
                            <w:r>
                              <w:rPr>
                                <w:spacing w:val="6"/>
                                <w:w w:val="105"/>
                                <w:sz w:val="13"/>
                              </w:rPr>
                              <w:t> </w:t>
                            </w:r>
                            <w:r>
                              <w:rPr>
                                <w:spacing w:val="-2"/>
                                <w:w w:val="105"/>
                                <w:sz w:val="13"/>
                              </w:rPr>
                              <w:t>Commonwealth</w:t>
                            </w:r>
                            <w:r>
                              <w:rPr>
                                <w:spacing w:val="5"/>
                                <w:w w:val="105"/>
                                <w:sz w:val="13"/>
                              </w:rPr>
                              <w:t> </w:t>
                            </w:r>
                            <w:r>
                              <w:rPr>
                                <w:spacing w:val="-2"/>
                                <w:w w:val="105"/>
                                <w:sz w:val="13"/>
                              </w:rPr>
                              <w:t>grants</w:t>
                            </w:r>
                          </w:p>
                        </w:tc>
                        <w:tc>
                          <w:tcPr>
                            <w:tcW w:w="1060" w:type="dxa"/>
                            <w:tcBorders>
                              <w:bottom w:val="single" w:sz="6" w:space="0" w:color="000000"/>
                            </w:tcBorders>
                          </w:tcPr>
                          <w:p>
                            <w:pPr>
                              <w:pStyle w:val="TableParagraph"/>
                              <w:spacing w:line="134" w:lineRule="exact" w:before="11"/>
                              <w:ind w:right="215"/>
                              <w:jc w:val="right"/>
                              <w:rPr>
                                <w:sz w:val="13"/>
                              </w:rPr>
                            </w:pPr>
                            <w:r>
                              <w:rPr>
                                <w:spacing w:val="-2"/>
                                <w:w w:val="105"/>
                                <w:sz w:val="13"/>
                              </w:rPr>
                              <w:t>26,620</w:t>
                            </w:r>
                          </w:p>
                        </w:tc>
                        <w:tc>
                          <w:tcPr>
                            <w:tcW w:w="914" w:type="dxa"/>
                            <w:tcBorders>
                              <w:bottom w:val="single" w:sz="6" w:space="0" w:color="000000"/>
                            </w:tcBorders>
                          </w:tcPr>
                          <w:p>
                            <w:pPr>
                              <w:pStyle w:val="TableParagraph"/>
                              <w:spacing w:line="134" w:lineRule="exact" w:before="11"/>
                              <w:ind w:right="215"/>
                              <w:jc w:val="right"/>
                              <w:rPr>
                                <w:sz w:val="13"/>
                              </w:rPr>
                            </w:pPr>
                            <w:r>
                              <w:rPr>
                                <w:spacing w:val="-2"/>
                                <w:w w:val="105"/>
                                <w:sz w:val="13"/>
                              </w:rPr>
                              <w:t>24,417</w:t>
                            </w:r>
                          </w:p>
                        </w:tc>
                        <w:tc>
                          <w:tcPr>
                            <w:tcW w:w="914" w:type="dxa"/>
                            <w:tcBorders>
                              <w:bottom w:val="single" w:sz="6" w:space="0" w:color="000000"/>
                            </w:tcBorders>
                          </w:tcPr>
                          <w:p>
                            <w:pPr>
                              <w:pStyle w:val="TableParagraph"/>
                              <w:spacing w:line="134" w:lineRule="exact" w:before="11"/>
                              <w:ind w:right="214"/>
                              <w:jc w:val="right"/>
                              <w:rPr>
                                <w:sz w:val="13"/>
                              </w:rPr>
                            </w:pPr>
                            <w:r>
                              <w:rPr>
                                <w:spacing w:val="-2"/>
                                <w:w w:val="105"/>
                                <w:sz w:val="13"/>
                              </w:rPr>
                              <w:t>16,985</w:t>
                            </w:r>
                          </w:p>
                        </w:tc>
                        <w:tc>
                          <w:tcPr>
                            <w:tcW w:w="770" w:type="dxa"/>
                            <w:tcBorders>
                              <w:bottom w:val="single" w:sz="6" w:space="0" w:color="000000"/>
                            </w:tcBorders>
                          </w:tcPr>
                          <w:p>
                            <w:pPr>
                              <w:pStyle w:val="TableParagraph"/>
                              <w:spacing w:line="134" w:lineRule="exact" w:before="11"/>
                              <w:ind w:right="70"/>
                              <w:jc w:val="right"/>
                              <w:rPr>
                                <w:sz w:val="13"/>
                              </w:rPr>
                            </w:pPr>
                            <w:r>
                              <w:rPr>
                                <w:spacing w:val="-2"/>
                                <w:w w:val="105"/>
                                <w:sz w:val="13"/>
                              </w:rPr>
                              <w:t>20,017</w:t>
                            </w:r>
                          </w:p>
                        </w:tc>
                      </w:tr>
                      <w:tr>
                        <w:trPr>
                          <w:trHeight w:val="156" w:hRule="atLeast"/>
                        </w:trPr>
                        <w:tc>
                          <w:tcPr>
                            <w:tcW w:w="4684" w:type="dxa"/>
                          </w:tcPr>
                          <w:p>
                            <w:pPr>
                              <w:pStyle w:val="TableParagraph"/>
                              <w:spacing w:line="134" w:lineRule="exact" w:before="2"/>
                              <w:ind w:left="34"/>
                              <w:rPr>
                                <w:sz w:val="13"/>
                              </w:rPr>
                            </w:pPr>
                            <w:r>
                              <w:rPr>
                                <w:spacing w:val="-2"/>
                                <w:w w:val="105"/>
                                <w:sz w:val="13"/>
                              </w:rPr>
                              <w:t>Total</w:t>
                            </w:r>
                            <w:r>
                              <w:rPr>
                                <w:spacing w:val="6"/>
                                <w:w w:val="105"/>
                                <w:sz w:val="13"/>
                              </w:rPr>
                              <w:t> </w:t>
                            </w:r>
                            <w:r>
                              <w:rPr>
                                <w:spacing w:val="-2"/>
                                <w:w w:val="105"/>
                                <w:sz w:val="13"/>
                              </w:rPr>
                              <w:t>non-capital</w:t>
                            </w:r>
                            <w:r>
                              <w:rPr>
                                <w:spacing w:val="6"/>
                                <w:w w:val="105"/>
                                <w:sz w:val="13"/>
                              </w:rPr>
                              <w:t> </w:t>
                            </w:r>
                            <w:r>
                              <w:rPr>
                                <w:spacing w:val="-2"/>
                                <w:w w:val="105"/>
                                <w:sz w:val="13"/>
                              </w:rPr>
                              <w:t>grants</w:t>
                            </w:r>
                          </w:p>
                        </w:tc>
                        <w:tc>
                          <w:tcPr>
                            <w:tcW w:w="1060" w:type="dxa"/>
                            <w:tcBorders>
                              <w:top w:val="single" w:sz="6" w:space="0" w:color="000000"/>
                              <w:bottom w:val="single" w:sz="6" w:space="0" w:color="000000"/>
                            </w:tcBorders>
                          </w:tcPr>
                          <w:p>
                            <w:pPr>
                              <w:pStyle w:val="TableParagraph"/>
                              <w:spacing w:line="134" w:lineRule="exact" w:before="2"/>
                              <w:ind w:right="215"/>
                              <w:jc w:val="right"/>
                              <w:rPr>
                                <w:sz w:val="13"/>
                              </w:rPr>
                            </w:pPr>
                            <w:r>
                              <w:rPr>
                                <w:spacing w:val="-2"/>
                                <w:w w:val="105"/>
                                <w:sz w:val="13"/>
                              </w:rPr>
                              <w:t>105,030</w:t>
                            </w:r>
                          </w:p>
                        </w:tc>
                        <w:tc>
                          <w:tcPr>
                            <w:tcW w:w="914" w:type="dxa"/>
                            <w:tcBorders>
                              <w:top w:val="single" w:sz="6" w:space="0" w:color="000000"/>
                              <w:bottom w:val="single" w:sz="6" w:space="0" w:color="000000"/>
                            </w:tcBorders>
                          </w:tcPr>
                          <w:p>
                            <w:pPr>
                              <w:pStyle w:val="TableParagraph"/>
                              <w:spacing w:line="134" w:lineRule="exact" w:before="2"/>
                              <w:ind w:right="215"/>
                              <w:jc w:val="right"/>
                              <w:rPr>
                                <w:sz w:val="13"/>
                              </w:rPr>
                            </w:pPr>
                            <w:r>
                              <w:rPr>
                                <w:spacing w:val="-2"/>
                                <w:w w:val="105"/>
                                <w:sz w:val="13"/>
                              </w:rPr>
                              <w:t>119,251</w:t>
                            </w:r>
                          </w:p>
                        </w:tc>
                        <w:tc>
                          <w:tcPr>
                            <w:tcW w:w="914" w:type="dxa"/>
                            <w:tcBorders>
                              <w:top w:val="single" w:sz="6" w:space="0" w:color="000000"/>
                              <w:bottom w:val="single" w:sz="6" w:space="0" w:color="000000"/>
                            </w:tcBorders>
                          </w:tcPr>
                          <w:p>
                            <w:pPr>
                              <w:pStyle w:val="TableParagraph"/>
                              <w:spacing w:line="134" w:lineRule="exact" w:before="2"/>
                              <w:ind w:right="214"/>
                              <w:jc w:val="right"/>
                              <w:rPr>
                                <w:sz w:val="13"/>
                              </w:rPr>
                            </w:pPr>
                            <w:r>
                              <w:rPr>
                                <w:spacing w:val="-2"/>
                                <w:w w:val="105"/>
                                <w:sz w:val="13"/>
                              </w:rPr>
                              <w:t>95,395</w:t>
                            </w:r>
                          </w:p>
                        </w:tc>
                        <w:tc>
                          <w:tcPr>
                            <w:tcW w:w="770" w:type="dxa"/>
                            <w:tcBorders>
                              <w:top w:val="single" w:sz="6" w:space="0" w:color="000000"/>
                              <w:bottom w:val="single" w:sz="6" w:space="0" w:color="000000"/>
                            </w:tcBorders>
                          </w:tcPr>
                          <w:p>
                            <w:pPr>
                              <w:pStyle w:val="TableParagraph"/>
                              <w:spacing w:line="134" w:lineRule="exact" w:before="2"/>
                              <w:ind w:right="70"/>
                              <w:jc w:val="right"/>
                              <w:rPr>
                                <w:sz w:val="13"/>
                              </w:rPr>
                            </w:pPr>
                            <w:r>
                              <w:rPr>
                                <w:spacing w:val="-2"/>
                                <w:w w:val="105"/>
                                <w:sz w:val="13"/>
                              </w:rPr>
                              <w:t>114,851</w:t>
                            </w:r>
                          </w:p>
                        </w:tc>
                      </w:tr>
                      <w:tr>
                        <w:trPr>
                          <w:trHeight w:val="336" w:hRule="atLeast"/>
                        </w:trPr>
                        <w:tc>
                          <w:tcPr>
                            <w:tcW w:w="4684" w:type="dxa"/>
                          </w:tcPr>
                          <w:p>
                            <w:pPr>
                              <w:pStyle w:val="TableParagraph"/>
                              <w:spacing w:before="25"/>
                              <w:rPr>
                                <w:sz w:val="13"/>
                              </w:rPr>
                            </w:pPr>
                          </w:p>
                          <w:p>
                            <w:pPr>
                              <w:pStyle w:val="TableParagraph"/>
                              <w:spacing w:line="142" w:lineRule="exact"/>
                              <w:ind w:left="34"/>
                              <w:rPr>
                                <w:b/>
                                <w:sz w:val="13"/>
                              </w:rPr>
                            </w:pPr>
                            <w:r>
                              <w:rPr>
                                <w:b/>
                                <w:spacing w:val="-2"/>
                                <w:w w:val="105"/>
                                <w:sz w:val="13"/>
                              </w:rPr>
                              <w:t>Capital</w:t>
                            </w:r>
                          </w:p>
                        </w:tc>
                        <w:tc>
                          <w:tcPr>
                            <w:tcW w:w="1060" w:type="dxa"/>
                            <w:tcBorders>
                              <w:top w:val="single" w:sz="6" w:space="0" w:color="000000"/>
                            </w:tcBorders>
                          </w:tcPr>
                          <w:p>
                            <w:pPr>
                              <w:pStyle w:val="TableParagraph"/>
                              <w:rPr>
                                <w:rFonts w:ascii="Times New Roman"/>
                                <w:sz w:val="12"/>
                              </w:rPr>
                            </w:pPr>
                          </w:p>
                        </w:tc>
                        <w:tc>
                          <w:tcPr>
                            <w:tcW w:w="914" w:type="dxa"/>
                            <w:tcBorders>
                              <w:top w:val="single" w:sz="6" w:space="0" w:color="000000"/>
                            </w:tcBorders>
                          </w:tcPr>
                          <w:p>
                            <w:pPr>
                              <w:pStyle w:val="TableParagraph"/>
                              <w:rPr>
                                <w:rFonts w:ascii="Times New Roman"/>
                                <w:sz w:val="12"/>
                              </w:rPr>
                            </w:pPr>
                          </w:p>
                        </w:tc>
                        <w:tc>
                          <w:tcPr>
                            <w:tcW w:w="914" w:type="dxa"/>
                            <w:tcBorders>
                              <w:top w:val="single" w:sz="6" w:space="0" w:color="000000"/>
                            </w:tcBorders>
                          </w:tcPr>
                          <w:p>
                            <w:pPr>
                              <w:pStyle w:val="TableParagraph"/>
                              <w:rPr>
                                <w:rFonts w:ascii="Times New Roman"/>
                                <w:sz w:val="12"/>
                              </w:rPr>
                            </w:pPr>
                          </w:p>
                        </w:tc>
                        <w:tc>
                          <w:tcPr>
                            <w:tcW w:w="770" w:type="dxa"/>
                            <w:tcBorders>
                              <w:top w:val="single" w:sz="6" w:space="0" w:color="000000"/>
                            </w:tcBorders>
                          </w:tcPr>
                          <w:p>
                            <w:pPr>
                              <w:pStyle w:val="TableParagraph"/>
                              <w:rPr>
                                <w:rFonts w:ascii="Times New Roman"/>
                                <w:sz w:val="12"/>
                              </w:rPr>
                            </w:pPr>
                          </w:p>
                        </w:tc>
                      </w:tr>
                      <w:tr>
                        <w:trPr>
                          <w:trHeight w:val="164" w:hRule="atLeast"/>
                        </w:trPr>
                        <w:tc>
                          <w:tcPr>
                            <w:tcW w:w="5744" w:type="dxa"/>
                            <w:gridSpan w:val="2"/>
                          </w:tcPr>
                          <w:p>
                            <w:pPr>
                              <w:pStyle w:val="TableParagraph"/>
                              <w:tabs>
                                <w:tab w:pos="5489" w:val="left" w:leader="none"/>
                              </w:tabs>
                              <w:spacing w:line="132" w:lineRule="exact" w:before="12"/>
                              <w:ind w:left="221"/>
                              <w:rPr>
                                <w:sz w:val="13"/>
                              </w:rPr>
                            </w:pPr>
                            <w:r>
                              <w:rPr>
                                <w:w w:val="105"/>
                                <w:sz w:val="13"/>
                              </w:rPr>
                              <w:t>Other</w:t>
                            </w:r>
                            <w:r>
                              <w:rPr>
                                <w:spacing w:val="-6"/>
                                <w:w w:val="105"/>
                                <w:sz w:val="13"/>
                              </w:rPr>
                              <w:t> </w:t>
                            </w:r>
                            <w:r>
                              <w:rPr>
                                <w:spacing w:val="-2"/>
                                <w:w w:val="105"/>
                                <w:sz w:val="13"/>
                              </w:rPr>
                              <w:t>grants</w:t>
                            </w:r>
                            <w:r>
                              <w:rPr>
                                <w:sz w:val="13"/>
                              </w:rPr>
                              <w:tab/>
                            </w:r>
                            <w:r>
                              <w:rPr>
                                <w:spacing w:val="-10"/>
                                <w:w w:val="105"/>
                                <w:sz w:val="13"/>
                              </w:rPr>
                              <w:t>-</w:t>
                            </w:r>
                          </w:p>
                        </w:tc>
                        <w:tc>
                          <w:tcPr>
                            <w:tcW w:w="914" w:type="dxa"/>
                            <w:tcBorders>
                              <w:bottom w:val="single" w:sz="6" w:space="0" w:color="000000"/>
                            </w:tcBorders>
                          </w:tcPr>
                          <w:p>
                            <w:pPr>
                              <w:pStyle w:val="TableParagraph"/>
                              <w:spacing w:line="132" w:lineRule="exact" w:before="12"/>
                              <w:ind w:right="206"/>
                              <w:jc w:val="right"/>
                              <w:rPr>
                                <w:sz w:val="13"/>
                              </w:rPr>
                            </w:pPr>
                            <w:r>
                              <w:rPr>
                                <w:spacing w:val="-10"/>
                                <w:w w:val="105"/>
                                <w:sz w:val="13"/>
                              </w:rPr>
                              <w:t>-</w:t>
                            </w:r>
                          </w:p>
                        </w:tc>
                        <w:tc>
                          <w:tcPr>
                            <w:tcW w:w="914" w:type="dxa"/>
                            <w:tcBorders>
                              <w:bottom w:val="single" w:sz="6" w:space="0" w:color="000000"/>
                            </w:tcBorders>
                          </w:tcPr>
                          <w:p>
                            <w:pPr>
                              <w:pStyle w:val="TableParagraph"/>
                              <w:spacing w:line="132" w:lineRule="exact" w:before="12"/>
                              <w:ind w:right="206"/>
                              <w:jc w:val="right"/>
                              <w:rPr>
                                <w:sz w:val="13"/>
                              </w:rPr>
                            </w:pPr>
                            <w:r>
                              <w:rPr>
                                <w:spacing w:val="-10"/>
                                <w:w w:val="105"/>
                                <w:sz w:val="13"/>
                              </w:rPr>
                              <w:t>-</w:t>
                            </w:r>
                          </w:p>
                        </w:tc>
                        <w:tc>
                          <w:tcPr>
                            <w:tcW w:w="770" w:type="dxa"/>
                            <w:tcBorders>
                              <w:bottom w:val="single" w:sz="6" w:space="0" w:color="000000"/>
                            </w:tcBorders>
                          </w:tcPr>
                          <w:p>
                            <w:pPr>
                              <w:pStyle w:val="TableParagraph"/>
                              <w:spacing w:line="132" w:lineRule="exact" w:before="12"/>
                              <w:ind w:right="62"/>
                              <w:jc w:val="right"/>
                              <w:rPr>
                                <w:sz w:val="13"/>
                              </w:rPr>
                            </w:pPr>
                            <w:r>
                              <w:rPr>
                                <w:spacing w:val="-10"/>
                                <w:w w:val="105"/>
                                <w:sz w:val="13"/>
                              </w:rPr>
                              <w:t>-</w:t>
                            </w:r>
                          </w:p>
                        </w:tc>
                      </w:tr>
                      <w:tr>
                        <w:trPr>
                          <w:trHeight w:val="156" w:hRule="atLeast"/>
                        </w:trPr>
                        <w:tc>
                          <w:tcPr>
                            <w:tcW w:w="4684" w:type="dxa"/>
                          </w:tcPr>
                          <w:p>
                            <w:pPr>
                              <w:pStyle w:val="TableParagraph"/>
                              <w:spacing w:line="134" w:lineRule="exact" w:before="2"/>
                              <w:ind w:left="34"/>
                              <w:rPr>
                                <w:sz w:val="13"/>
                              </w:rPr>
                            </w:pPr>
                            <w:r>
                              <w:rPr>
                                <w:w w:val="105"/>
                                <w:sz w:val="13"/>
                              </w:rPr>
                              <w:t>Total</w:t>
                            </w:r>
                            <w:r>
                              <w:rPr>
                                <w:spacing w:val="-8"/>
                                <w:w w:val="105"/>
                                <w:sz w:val="13"/>
                              </w:rPr>
                              <w:t> </w:t>
                            </w:r>
                            <w:r>
                              <w:rPr>
                                <w:w w:val="105"/>
                                <w:sz w:val="13"/>
                              </w:rPr>
                              <w:t>capital</w:t>
                            </w:r>
                            <w:r>
                              <w:rPr>
                                <w:spacing w:val="-7"/>
                                <w:w w:val="105"/>
                                <w:sz w:val="13"/>
                              </w:rPr>
                              <w:t> </w:t>
                            </w:r>
                            <w:r>
                              <w:rPr>
                                <w:spacing w:val="-2"/>
                                <w:w w:val="105"/>
                                <w:sz w:val="13"/>
                              </w:rPr>
                              <w:t>grants</w:t>
                            </w:r>
                          </w:p>
                        </w:tc>
                        <w:tc>
                          <w:tcPr>
                            <w:tcW w:w="1060" w:type="dxa"/>
                            <w:tcBorders>
                              <w:top w:val="single" w:sz="6" w:space="0" w:color="000000"/>
                              <w:bottom w:val="single" w:sz="6" w:space="0" w:color="000000"/>
                            </w:tcBorders>
                          </w:tcPr>
                          <w:p>
                            <w:pPr>
                              <w:pStyle w:val="TableParagraph"/>
                              <w:spacing w:line="134" w:lineRule="exact" w:before="2"/>
                              <w:ind w:right="207"/>
                              <w:jc w:val="right"/>
                              <w:rPr>
                                <w:sz w:val="13"/>
                              </w:rPr>
                            </w:pPr>
                            <w:r>
                              <w:rPr>
                                <w:spacing w:val="-10"/>
                                <w:w w:val="105"/>
                                <w:sz w:val="13"/>
                              </w:rPr>
                              <w:t>-</w:t>
                            </w:r>
                          </w:p>
                        </w:tc>
                        <w:tc>
                          <w:tcPr>
                            <w:tcW w:w="914" w:type="dxa"/>
                            <w:tcBorders>
                              <w:top w:val="single" w:sz="6" w:space="0" w:color="000000"/>
                              <w:bottom w:val="single" w:sz="6" w:space="0" w:color="000000"/>
                            </w:tcBorders>
                          </w:tcPr>
                          <w:p>
                            <w:pPr>
                              <w:pStyle w:val="TableParagraph"/>
                              <w:spacing w:line="134" w:lineRule="exact" w:before="2"/>
                              <w:ind w:right="206"/>
                              <w:jc w:val="right"/>
                              <w:rPr>
                                <w:sz w:val="13"/>
                              </w:rPr>
                            </w:pPr>
                            <w:r>
                              <w:rPr>
                                <w:spacing w:val="-10"/>
                                <w:w w:val="105"/>
                                <w:sz w:val="13"/>
                              </w:rPr>
                              <w:t>-</w:t>
                            </w:r>
                          </w:p>
                        </w:tc>
                        <w:tc>
                          <w:tcPr>
                            <w:tcW w:w="914" w:type="dxa"/>
                            <w:tcBorders>
                              <w:top w:val="single" w:sz="6" w:space="0" w:color="000000"/>
                              <w:bottom w:val="single" w:sz="6" w:space="0" w:color="000000"/>
                            </w:tcBorders>
                          </w:tcPr>
                          <w:p>
                            <w:pPr>
                              <w:pStyle w:val="TableParagraph"/>
                              <w:spacing w:line="134" w:lineRule="exact" w:before="2"/>
                              <w:ind w:right="206"/>
                              <w:jc w:val="right"/>
                              <w:rPr>
                                <w:sz w:val="13"/>
                              </w:rPr>
                            </w:pPr>
                            <w:r>
                              <w:rPr>
                                <w:spacing w:val="-10"/>
                                <w:w w:val="105"/>
                                <w:sz w:val="13"/>
                              </w:rPr>
                              <w:t>-</w:t>
                            </w:r>
                          </w:p>
                        </w:tc>
                        <w:tc>
                          <w:tcPr>
                            <w:tcW w:w="770" w:type="dxa"/>
                            <w:tcBorders>
                              <w:top w:val="single" w:sz="6" w:space="0" w:color="000000"/>
                              <w:bottom w:val="single" w:sz="6" w:space="0" w:color="000000"/>
                            </w:tcBorders>
                          </w:tcPr>
                          <w:p>
                            <w:pPr>
                              <w:pStyle w:val="TableParagraph"/>
                              <w:spacing w:line="134" w:lineRule="exact" w:before="2"/>
                              <w:ind w:right="62"/>
                              <w:jc w:val="right"/>
                              <w:rPr>
                                <w:sz w:val="13"/>
                              </w:rPr>
                            </w:pPr>
                            <w:r>
                              <w:rPr>
                                <w:spacing w:val="-10"/>
                                <w:w w:val="105"/>
                                <w:sz w:val="13"/>
                              </w:rPr>
                              <w:t>-</w:t>
                            </w:r>
                          </w:p>
                        </w:tc>
                      </w:tr>
                      <w:tr>
                        <w:trPr>
                          <w:trHeight w:val="156" w:hRule="atLeast"/>
                        </w:trPr>
                        <w:tc>
                          <w:tcPr>
                            <w:tcW w:w="4684" w:type="dxa"/>
                          </w:tcPr>
                          <w:p>
                            <w:pPr>
                              <w:pStyle w:val="TableParagraph"/>
                              <w:rPr>
                                <w:rFonts w:ascii="Times New Roman"/>
                                <w:sz w:val="10"/>
                              </w:rPr>
                            </w:pPr>
                          </w:p>
                        </w:tc>
                        <w:tc>
                          <w:tcPr>
                            <w:tcW w:w="1060" w:type="dxa"/>
                            <w:tcBorders>
                              <w:top w:val="single" w:sz="6" w:space="0" w:color="000000"/>
                              <w:bottom w:val="single" w:sz="6" w:space="0" w:color="000000"/>
                            </w:tcBorders>
                          </w:tcPr>
                          <w:p>
                            <w:pPr>
                              <w:pStyle w:val="TableParagraph"/>
                              <w:rPr>
                                <w:rFonts w:ascii="Times New Roman"/>
                                <w:sz w:val="10"/>
                              </w:rPr>
                            </w:pPr>
                          </w:p>
                        </w:tc>
                        <w:tc>
                          <w:tcPr>
                            <w:tcW w:w="914" w:type="dxa"/>
                            <w:tcBorders>
                              <w:top w:val="single" w:sz="6" w:space="0" w:color="000000"/>
                              <w:bottom w:val="single" w:sz="6" w:space="0" w:color="000000"/>
                            </w:tcBorders>
                          </w:tcPr>
                          <w:p>
                            <w:pPr>
                              <w:pStyle w:val="TableParagraph"/>
                              <w:rPr>
                                <w:rFonts w:ascii="Times New Roman"/>
                                <w:sz w:val="10"/>
                              </w:rPr>
                            </w:pPr>
                          </w:p>
                        </w:tc>
                        <w:tc>
                          <w:tcPr>
                            <w:tcW w:w="914" w:type="dxa"/>
                            <w:tcBorders>
                              <w:top w:val="single" w:sz="6" w:space="0" w:color="000000"/>
                              <w:bottom w:val="single" w:sz="6" w:space="0" w:color="000000"/>
                            </w:tcBorders>
                          </w:tcPr>
                          <w:p>
                            <w:pPr>
                              <w:pStyle w:val="TableParagraph"/>
                              <w:rPr>
                                <w:rFonts w:ascii="Times New Roman"/>
                                <w:sz w:val="10"/>
                              </w:rPr>
                            </w:pPr>
                          </w:p>
                        </w:tc>
                        <w:tc>
                          <w:tcPr>
                            <w:tcW w:w="770" w:type="dxa"/>
                            <w:tcBorders>
                              <w:top w:val="single" w:sz="6" w:space="0" w:color="000000"/>
                              <w:bottom w:val="single" w:sz="6" w:space="0" w:color="000000"/>
                            </w:tcBorders>
                          </w:tcPr>
                          <w:p>
                            <w:pPr>
                              <w:pStyle w:val="TableParagraph"/>
                              <w:rPr>
                                <w:rFonts w:ascii="Times New Roman"/>
                                <w:sz w:val="10"/>
                              </w:rPr>
                            </w:pPr>
                          </w:p>
                        </w:tc>
                      </w:tr>
                      <w:tr>
                        <w:trPr>
                          <w:trHeight w:val="156" w:hRule="atLeast"/>
                        </w:trPr>
                        <w:tc>
                          <w:tcPr>
                            <w:tcW w:w="4684" w:type="dxa"/>
                          </w:tcPr>
                          <w:p>
                            <w:pPr>
                              <w:pStyle w:val="TableParagraph"/>
                              <w:spacing w:line="134" w:lineRule="exact" w:before="2"/>
                              <w:ind w:left="34"/>
                              <w:rPr>
                                <w:sz w:val="13"/>
                              </w:rPr>
                            </w:pPr>
                            <w:r>
                              <w:rPr>
                                <w:w w:val="105"/>
                                <w:sz w:val="13"/>
                              </w:rPr>
                              <w:t>Total</w:t>
                            </w:r>
                            <w:r>
                              <w:rPr>
                                <w:spacing w:val="-9"/>
                                <w:w w:val="105"/>
                                <w:sz w:val="13"/>
                              </w:rPr>
                              <w:t> </w:t>
                            </w:r>
                            <w:r>
                              <w:rPr>
                                <w:w w:val="105"/>
                                <w:sz w:val="13"/>
                              </w:rPr>
                              <w:t>other</w:t>
                            </w:r>
                            <w:r>
                              <w:rPr>
                                <w:spacing w:val="-8"/>
                                <w:w w:val="105"/>
                                <w:sz w:val="13"/>
                              </w:rPr>
                              <w:t> </w:t>
                            </w:r>
                            <w:r>
                              <w:rPr>
                                <w:w w:val="105"/>
                                <w:sz w:val="13"/>
                              </w:rPr>
                              <w:t>Australian</w:t>
                            </w:r>
                            <w:r>
                              <w:rPr>
                                <w:spacing w:val="-9"/>
                                <w:w w:val="105"/>
                                <w:sz w:val="13"/>
                              </w:rPr>
                              <w:t> </w:t>
                            </w:r>
                            <w:r>
                              <w:rPr>
                                <w:w w:val="105"/>
                                <w:sz w:val="13"/>
                              </w:rPr>
                              <w:t>Government</w:t>
                            </w:r>
                            <w:r>
                              <w:rPr>
                                <w:spacing w:val="-9"/>
                                <w:w w:val="105"/>
                                <w:sz w:val="13"/>
                              </w:rPr>
                              <w:t> </w:t>
                            </w:r>
                            <w:r>
                              <w:rPr>
                                <w:w w:val="105"/>
                                <w:sz w:val="13"/>
                              </w:rPr>
                              <w:t>financial</w:t>
                            </w:r>
                            <w:r>
                              <w:rPr>
                                <w:spacing w:val="-9"/>
                                <w:w w:val="105"/>
                                <w:sz w:val="13"/>
                              </w:rPr>
                              <w:t> </w:t>
                            </w:r>
                            <w:r>
                              <w:rPr>
                                <w:spacing w:val="-2"/>
                                <w:w w:val="105"/>
                                <w:sz w:val="13"/>
                              </w:rPr>
                              <w:t>assistance</w:t>
                            </w:r>
                          </w:p>
                        </w:tc>
                        <w:tc>
                          <w:tcPr>
                            <w:tcW w:w="1060" w:type="dxa"/>
                            <w:tcBorders>
                              <w:top w:val="single" w:sz="6" w:space="0" w:color="000000"/>
                              <w:bottom w:val="single" w:sz="6" w:space="0" w:color="000000"/>
                            </w:tcBorders>
                          </w:tcPr>
                          <w:p>
                            <w:pPr>
                              <w:pStyle w:val="TableParagraph"/>
                              <w:spacing w:line="134" w:lineRule="exact" w:before="2"/>
                              <w:ind w:right="215"/>
                              <w:jc w:val="right"/>
                              <w:rPr>
                                <w:sz w:val="13"/>
                              </w:rPr>
                            </w:pPr>
                            <w:r>
                              <w:rPr>
                                <w:spacing w:val="-2"/>
                                <w:w w:val="105"/>
                                <w:sz w:val="13"/>
                              </w:rPr>
                              <w:t>105,030</w:t>
                            </w:r>
                          </w:p>
                        </w:tc>
                        <w:tc>
                          <w:tcPr>
                            <w:tcW w:w="914" w:type="dxa"/>
                            <w:tcBorders>
                              <w:top w:val="single" w:sz="6" w:space="0" w:color="000000"/>
                              <w:bottom w:val="single" w:sz="6" w:space="0" w:color="000000"/>
                            </w:tcBorders>
                          </w:tcPr>
                          <w:p>
                            <w:pPr>
                              <w:pStyle w:val="TableParagraph"/>
                              <w:spacing w:line="134" w:lineRule="exact" w:before="2"/>
                              <w:ind w:right="214"/>
                              <w:jc w:val="right"/>
                              <w:rPr>
                                <w:sz w:val="13"/>
                              </w:rPr>
                            </w:pPr>
                            <w:r>
                              <w:rPr>
                                <w:spacing w:val="-2"/>
                                <w:w w:val="105"/>
                                <w:sz w:val="13"/>
                              </w:rPr>
                              <w:t>119,251</w:t>
                            </w:r>
                          </w:p>
                        </w:tc>
                        <w:tc>
                          <w:tcPr>
                            <w:tcW w:w="914" w:type="dxa"/>
                            <w:tcBorders>
                              <w:top w:val="single" w:sz="6" w:space="0" w:color="000000"/>
                              <w:bottom w:val="single" w:sz="6" w:space="0" w:color="000000"/>
                            </w:tcBorders>
                          </w:tcPr>
                          <w:p>
                            <w:pPr>
                              <w:pStyle w:val="TableParagraph"/>
                              <w:spacing w:line="134" w:lineRule="exact" w:before="2"/>
                              <w:ind w:right="214"/>
                              <w:jc w:val="right"/>
                              <w:rPr>
                                <w:sz w:val="13"/>
                              </w:rPr>
                            </w:pPr>
                            <w:r>
                              <w:rPr>
                                <w:spacing w:val="-2"/>
                                <w:w w:val="105"/>
                                <w:sz w:val="13"/>
                              </w:rPr>
                              <w:t>95,395</w:t>
                            </w:r>
                          </w:p>
                        </w:tc>
                        <w:tc>
                          <w:tcPr>
                            <w:tcW w:w="770" w:type="dxa"/>
                            <w:tcBorders>
                              <w:top w:val="single" w:sz="6" w:space="0" w:color="000000"/>
                              <w:bottom w:val="single" w:sz="6" w:space="0" w:color="000000"/>
                            </w:tcBorders>
                          </w:tcPr>
                          <w:p>
                            <w:pPr>
                              <w:pStyle w:val="TableParagraph"/>
                              <w:spacing w:line="134" w:lineRule="exact" w:before="2"/>
                              <w:ind w:right="70"/>
                              <w:jc w:val="right"/>
                              <w:rPr>
                                <w:sz w:val="13"/>
                              </w:rPr>
                            </w:pPr>
                            <w:r>
                              <w:rPr>
                                <w:spacing w:val="-2"/>
                                <w:w w:val="105"/>
                                <w:sz w:val="13"/>
                              </w:rPr>
                              <w:t>114,851</w:t>
                            </w:r>
                          </w:p>
                        </w:tc>
                      </w:tr>
                      <w:tr>
                        <w:trPr>
                          <w:trHeight w:val="156" w:hRule="atLeast"/>
                        </w:trPr>
                        <w:tc>
                          <w:tcPr>
                            <w:tcW w:w="4684" w:type="dxa"/>
                          </w:tcPr>
                          <w:p>
                            <w:pPr>
                              <w:pStyle w:val="TableParagraph"/>
                              <w:rPr>
                                <w:rFonts w:ascii="Times New Roman"/>
                                <w:sz w:val="10"/>
                              </w:rPr>
                            </w:pPr>
                          </w:p>
                        </w:tc>
                        <w:tc>
                          <w:tcPr>
                            <w:tcW w:w="1060" w:type="dxa"/>
                            <w:tcBorders>
                              <w:top w:val="single" w:sz="6" w:space="0" w:color="000000"/>
                              <w:bottom w:val="single" w:sz="6" w:space="0" w:color="000000"/>
                            </w:tcBorders>
                          </w:tcPr>
                          <w:p>
                            <w:pPr>
                              <w:pStyle w:val="TableParagraph"/>
                              <w:rPr>
                                <w:rFonts w:ascii="Times New Roman"/>
                                <w:sz w:val="10"/>
                              </w:rPr>
                            </w:pPr>
                          </w:p>
                        </w:tc>
                        <w:tc>
                          <w:tcPr>
                            <w:tcW w:w="914" w:type="dxa"/>
                            <w:tcBorders>
                              <w:top w:val="single" w:sz="6" w:space="0" w:color="000000"/>
                              <w:bottom w:val="single" w:sz="6" w:space="0" w:color="000000"/>
                            </w:tcBorders>
                          </w:tcPr>
                          <w:p>
                            <w:pPr>
                              <w:pStyle w:val="TableParagraph"/>
                              <w:rPr>
                                <w:rFonts w:ascii="Times New Roman"/>
                                <w:sz w:val="10"/>
                              </w:rPr>
                            </w:pPr>
                          </w:p>
                        </w:tc>
                        <w:tc>
                          <w:tcPr>
                            <w:tcW w:w="914" w:type="dxa"/>
                            <w:tcBorders>
                              <w:top w:val="single" w:sz="6" w:space="0" w:color="000000"/>
                              <w:bottom w:val="single" w:sz="6" w:space="0" w:color="000000"/>
                            </w:tcBorders>
                          </w:tcPr>
                          <w:p>
                            <w:pPr>
                              <w:pStyle w:val="TableParagraph"/>
                              <w:rPr>
                                <w:rFonts w:ascii="Times New Roman"/>
                                <w:sz w:val="10"/>
                              </w:rPr>
                            </w:pPr>
                          </w:p>
                        </w:tc>
                        <w:tc>
                          <w:tcPr>
                            <w:tcW w:w="770" w:type="dxa"/>
                            <w:tcBorders>
                              <w:top w:val="single" w:sz="6" w:space="0" w:color="000000"/>
                              <w:bottom w:val="single" w:sz="6" w:space="0" w:color="000000"/>
                            </w:tcBorders>
                          </w:tcPr>
                          <w:p>
                            <w:pPr>
                              <w:pStyle w:val="TableParagraph"/>
                              <w:rPr>
                                <w:rFonts w:ascii="Times New Roman"/>
                                <w:sz w:val="10"/>
                              </w:rPr>
                            </w:pPr>
                          </w:p>
                        </w:tc>
                      </w:tr>
                      <w:tr>
                        <w:trPr>
                          <w:trHeight w:val="156" w:hRule="atLeast"/>
                        </w:trPr>
                        <w:tc>
                          <w:tcPr>
                            <w:tcW w:w="4684" w:type="dxa"/>
                          </w:tcPr>
                          <w:p>
                            <w:pPr>
                              <w:pStyle w:val="TableParagraph"/>
                              <w:spacing w:line="134" w:lineRule="exact" w:before="2"/>
                              <w:ind w:left="34"/>
                              <w:rPr>
                                <w:b/>
                                <w:sz w:val="13"/>
                              </w:rPr>
                            </w:pPr>
                            <w:r>
                              <w:rPr>
                                <w:b/>
                                <w:w w:val="105"/>
                                <w:sz w:val="13"/>
                              </w:rPr>
                              <w:t>Total</w:t>
                            </w:r>
                            <w:r>
                              <w:rPr>
                                <w:b/>
                                <w:spacing w:val="-10"/>
                                <w:w w:val="105"/>
                                <w:sz w:val="13"/>
                              </w:rPr>
                              <w:t> </w:t>
                            </w:r>
                            <w:r>
                              <w:rPr>
                                <w:b/>
                                <w:w w:val="105"/>
                                <w:sz w:val="13"/>
                              </w:rPr>
                              <w:t>Australian</w:t>
                            </w:r>
                            <w:r>
                              <w:rPr>
                                <w:b/>
                                <w:spacing w:val="-9"/>
                                <w:w w:val="105"/>
                                <w:sz w:val="13"/>
                              </w:rPr>
                              <w:t> </w:t>
                            </w:r>
                            <w:r>
                              <w:rPr>
                                <w:b/>
                                <w:w w:val="105"/>
                                <w:sz w:val="13"/>
                              </w:rPr>
                              <w:t>Government</w:t>
                            </w:r>
                            <w:r>
                              <w:rPr>
                                <w:b/>
                                <w:spacing w:val="-10"/>
                                <w:w w:val="105"/>
                                <w:sz w:val="13"/>
                              </w:rPr>
                              <w:t> </w:t>
                            </w:r>
                            <w:r>
                              <w:rPr>
                                <w:b/>
                                <w:spacing w:val="-2"/>
                                <w:w w:val="105"/>
                                <w:sz w:val="13"/>
                              </w:rPr>
                              <w:t>grants</w:t>
                            </w:r>
                          </w:p>
                        </w:tc>
                        <w:tc>
                          <w:tcPr>
                            <w:tcW w:w="1060" w:type="dxa"/>
                            <w:tcBorders>
                              <w:top w:val="single" w:sz="6" w:space="0" w:color="000000"/>
                              <w:bottom w:val="single" w:sz="6" w:space="0" w:color="000000"/>
                            </w:tcBorders>
                          </w:tcPr>
                          <w:p>
                            <w:pPr>
                              <w:pStyle w:val="TableParagraph"/>
                              <w:spacing w:line="134" w:lineRule="exact" w:before="2"/>
                              <w:ind w:right="215"/>
                              <w:jc w:val="right"/>
                              <w:rPr>
                                <w:b/>
                                <w:sz w:val="13"/>
                              </w:rPr>
                            </w:pPr>
                            <w:r>
                              <w:rPr>
                                <w:b/>
                                <w:spacing w:val="-2"/>
                                <w:w w:val="105"/>
                                <w:sz w:val="13"/>
                              </w:rPr>
                              <w:t>379,598</w:t>
                            </w:r>
                          </w:p>
                        </w:tc>
                        <w:tc>
                          <w:tcPr>
                            <w:tcW w:w="914" w:type="dxa"/>
                            <w:tcBorders>
                              <w:top w:val="single" w:sz="6" w:space="0" w:color="000000"/>
                              <w:bottom w:val="single" w:sz="6" w:space="0" w:color="000000"/>
                            </w:tcBorders>
                          </w:tcPr>
                          <w:p>
                            <w:pPr>
                              <w:pStyle w:val="TableParagraph"/>
                              <w:spacing w:line="134" w:lineRule="exact" w:before="2"/>
                              <w:ind w:right="214"/>
                              <w:jc w:val="right"/>
                              <w:rPr>
                                <w:b/>
                                <w:sz w:val="13"/>
                              </w:rPr>
                            </w:pPr>
                            <w:r>
                              <w:rPr>
                                <w:b/>
                                <w:spacing w:val="-2"/>
                                <w:w w:val="105"/>
                                <w:sz w:val="13"/>
                              </w:rPr>
                              <w:t>385,964</w:t>
                            </w:r>
                          </w:p>
                        </w:tc>
                        <w:tc>
                          <w:tcPr>
                            <w:tcW w:w="914" w:type="dxa"/>
                            <w:tcBorders>
                              <w:top w:val="single" w:sz="6" w:space="0" w:color="000000"/>
                              <w:bottom w:val="single" w:sz="6" w:space="0" w:color="000000"/>
                            </w:tcBorders>
                          </w:tcPr>
                          <w:p>
                            <w:pPr>
                              <w:pStyle w:val="TableParagraph"/>
                              <w:spacing w:line="134" w:lineRule="exact" w:before="2"/>
                              <w:ind w:right="214"/>
                              <w:jc w:val="right"/>
                              <w:rPr>
                                <w:b/>
                                <w:sz w:val="13"/>
                              </w:rPr>
                            </w:pPr>
                            <w:r>
                              <w:rPr>
                                <w:b/>
                                <w:spacing w:val="-2"/>
                                <w:w w:val="105"/>
                                <w:sz w:val="13"/>
                              </w:rPr>
                              <w:t>369,963</w:t>
                            </w:r>
                          </w:p>
                        </w:tc>
                        <w:tc>
                          <w:tcPr>
                            <w:tcW w:w="770" w:type="dxa"/>
                            <w:tcBorders>
                              <w:top w:val="single" w:sz="6" w:space="0" w:color="000000"/>
                              <w:bottom w:val="single" w:sz="6" w:space="0" w:color="000000"/>
                            </w:tcBorders>
                          </w:tcPr>
                          <w:p>
                            <w:pPr>
                              <w:pStyle w:val="TableParagraph"/>
                              <w:spacing w:line="134" w:lineRule="exact" w:before="2"/>
                              <w:ind w:right="70"/>
                              <w:jc w:val="right"/>
                              <w:rPr>
                                <w:b/>
                                <w:sz w:val="13"/>
                              </w:rPr>
                            </w:pPr>
                            <w:r>
                              <w:rPr>
                                <w:b/>
                                <w:spacing w:val="-2"/>
                                <w:w w:val="105"/>
                                <w:sz w:val="13"/>
                              </w:rPr>
                              <w:t>381,564</w:t>
                            </w:r>
                          </w:p>
                        </w:tc>
                      </w:tr>
                    </w:tbl>
                    <w:p>
                      <w:pPr>
                        <w:pStyle w:val="BodyText"/>
                      </w:pPr>
                    </w:p>
                  </w:txbxContent>
                </v:textbox>
                <w10:wrap type="none"/>
              </v:shape>
            </w:pict>
          </mc:Fallback>
        </mc:AlternateContent>
      </w:r>
      <w:r>
        <w:rPr>
          <w:b/>
          <w:w w:val="105"/>
          <w:sz w:val="13"/>
        </w:rPr>
        <w:t>Other</w:t>
      </w:r>
      <w:r>
        <w:rPr>
          <w:b/>
          <w:spacing w:val="-10"/>
          <w:w w:val="105"/>
          <w:sz w:val="13"/>
        </w:rPr>
        <w:t> </w:t>
      </w:r>
      <w:r>
        <w:rPr>
          <w:b/>
          <w:w w:val="105"/>
          <w:sz w:val="13"/>
        </w:rPr>
        <w:t>Australian</w:t>
      </w:r>
      <w:r>
        <w:rPr>
          <w:b/>
          <w:spacing w:val="-9"/>
          <w:w w:val="105"/>
          <w:sz w:val="13"/>
        </w:rPr>
        <w:t> </w:t>
      </w:r>
      <w:r>
        <w:rPr>
          <w:b/>
          <w:w w:val="105"/>
          <w:sz w:val="13"/>
        </w:rPr>
        <w:t>Government</w:t>
      </w:r>
      <w:r>
        <w:rPr>
          <w:b/>
          <w:spacing w:val="-10"/>
          <w:w w:val="105"/>
          <w:sz w:val="13"/>
        </w:rPr>
        <w:t> </w:t>
      </w:r>
      <w:r>
        <w:rPr>
          <w:b/>
          <w:w w:val="105"/>
          <w:sz w:val="13"/>
        </w:rPr>
        <w:t>financial</w:t>
      </w:r>
      <w:r>
        <w:rPr>
          <w:b/>
          <w:spacing w:val="-9"/>
          <w:w w:val="105"/>
          <w:sz w:val="13"/>
        </w:rPr>
        <w:t> </w:t>
      </w:r>
      <w:r>
        <w:rPr>
          <w:b/>
          <w:w w:val="105"/>
          <w:sz w:val="13"/>
        </w:rPr>
        <w:t>assistance</w:t>
      </w:r>
      <w:r>
        <w:rPr>
          <w:b/>
          <w:spacing w:val="40"/>
          <w:w w:val="105"/>
          <w:sz w:val="13"/>
        </w:rPr>
        <w:t> </w:t>
      </w:r>
      <w:r>
        <w:rPr>
          <w:b/>
          <w:spacing w:val="-2"/>
          <w:w w:val="105"/>
          <w:sz w:val="13"/>
        </w:rPr>
        <w:t>Non-capital</w:t>
      </w: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123"/>
        <w:rPr>
          <w:b/>
          <w:sz w:val="13"/>
        </w:rPr>
      </w:pPr>
    </w:p>
    <w:p>
      <w:pPr>
        <w:spacing w:before="0"/>
        <w:ind w:left="849" w:right="0" w:firstLine="0"/>
        <w:jc w:val="both"/>
        <w:rPr>
          <w:b/>
          <w:i/>
          <w:sz w:val="13"/>
        </w:rPr>
      </w:pPr>
      <w:r>
        <w:rPr>
          <w:b/>
          <w:i/>
          <w:color w:val="0070C0"/>
          <w:w w:val="105"/>
          <w:sz w:val="13"/>
        </w:rPr>
        <w:t>Accounting</w:t>
      </w:r>
      <w:r>
        <w:rPr>
          <w:b/>
          <w:i/>
          <w:color w:val="0070C0"/>
          <w:spacing w:val="-6"/>
          <w:w w:val="105"/>
          <w:sz w:val="13"/>
        </w:rPr>
        <w:t> </w:t>
      </w:r>
      <w:r>
        <w:rPr>
          <w:b/>
          <w:i/>
          <w:color w:val="0070C0"/>
          <w:spacing w:val="-2"/>
          <w:w w:val="105"/>
          <w:sz w:val="13"/>
        </w:rPr>
        <w:t>policy</w:t>
      </w:r>
    </w:p>
    <w:p>
      <w:pPr>
        <w:spacing w:line="271" w:lineRule="auto" w:before="25"/>
        <w:ind w:left="847" w:right="1850" w:firstLine="0"/>
        <w:jc w:val="both"/>
        <w:rPr>
          <w:sz w:val="13"/>
        </w:rPr>
      </w:pPr>
      <w:r>
        <w:rPr>
          <w:w w:val="105"/>
          <w:sz w:val="13"/>
        </w:rPr>
        <w:t>National Health and Medical Research Council funding represents research grants to advance health and medical knowledge to</w:t>
      </w:r>
      <w:r>
        <w:rPr>
          <w:spacing w:val="-2"/>
          <w:w w:val="105"/>
          <w:sz w:val="13"/>
        </w:rPr>
        <w:t> </w:t>
      </w:r>
      <w:r>
        <w:rPr>
          <w:w w:val="105"/>
          <w:sz w:val="13"/>
        </w:rPr>
        <w:t>improve</w:t>
      </w:r>
      <w:r>
        <w:rPr>
          <w:spacing w:val="40"/>
          <w:w w:val="105"/>
          <w:sz w:val="13"/>
        </w:rPr>
        <w:t> </w:t>
      </w:r>
      <w:r>
        <w:rPr>
          <w:w w:val="105"/>
          <w:sz w:val="13"/>
        </w:rPr>
        <w:t>the health status of all Australians. This falls under AASB15 and the revenue is recognised over time as the grant funds are expended.</w:t>
      </w:r>
      <w:r>
        <w:rPr>
          <w:spacing w:val="40"/>
          <w:w w:val="105"/>
          <w:sz w:val="13"/>
        </w:rPr>
        <w:t> </w:t>
      </w:r>
      <w:r>
        <w:rPr>
          <w:w w:val="105"/>
          <w:sz w:val="13"/>
        </w:rPr>
        <w:t>This is on the basis that the grant agreements contain specific performance obligations including research data being made available to</w:t>
      </w:r>
      <w:r>
        <w:rPr>
          <w:spacing w:val="40"/>
          <w:w w:val="105"/>
          <w:sz w:val="13"/>
        </w:rPr>
        <w:t> </w:t>
      </w:r>
      <w:r>
        <w:rPr>
          <w:w w:val="105"/>
          <w:sz w:val="13"/>
        </w:rPr>
        <w:t>grantors on at least an annual basis.</w:t>
      </w:r>
    </w:p>
    <w:p>
      <w:pPr>
        <w:spacing w:line="240" w:lineRule="auto" w:before="22"/>
        <w:rPr>
          <w:sz w:val="13"/>
        </w:rPr>
      </w:pPr>
    </w:p>
    <w:p>
      <w:pPr>
        <w:spacing w:line="271" w:lineRule="auto" w:before="1"/>
        <w:ind w:left="848" w:right="1850" w:firstLine="0"/>
        <w:jc w:val="both"/>
        <w:rPr>
          <w:sz w:val="13"/>
        </w:rPr>
      </w:pPr>
      <w:r>
        <w:rPr>
          <w:w w:val="105"/>
          <w:sz w:val="13"/>
        </w:rPr>
        <w:t>The</w:t>
      </w:r>
      <w:r>
        <w:rPr>
          <w:w w:val="105"/>
          <w:sz w:val="13"/>
        </w:rPr>
        <w:t> remaining</w:t>
      </w:r>
      <w:r>
        <w:rPr>
          <w:w w:val="105"/>
          <w:sz w:val="13"/>
        </w:rPr>
        <w:t> revenue</w:t>
      </w:r>
      <w:r>
        <w:rPr>
          <w:w w:val="105"/>
          <w:sz w:val="13"/>
        </w:rPr>
        <w:t> in</w:t>
      </w:r>
      <w:r>
        <w:rPr>
          <w:w w:val="105"/>
          <w:sz w:val="13"/>
        </w:rPr>
        <w:t> this</w:t>
      </w:r>
      <w:r>
        <w:rPr>
          <w:w w:val="105"/>
          <w:sz w:val="13"/>
        </w:rPr>
        <w:t> category</w:t>
      </w:r>
      <w:r>
        <w:rPr>
          <w:w w:val="105"/>
          <w:sz w:val="13"/>
        </w:rPr>
        <w:t> consists</w:t>
      </w:r>
      <w:r>
        <w:rPr>
          <w:w w:val="105"/>
          <w:sz w:val="13"/>
        </w:rPr>
        <w:t> of a</w:t>
      </w:r>
      <w:r>
        <w:rPr>
          <w:w w:val="105"/>
          <w:sz w:val="13"/>
        </w:rPr>
        <w:t> mix</w:t>
      </w:r>
      <w:r>
        <w:rPr>
          <w:w w:val="105"/>
          <w:sz w:val="13"/>
        </w:rPr>
        <w:t> of other</w:t>
      </w:r>
      <w:r>
        <w:rPr>
          <w:w w:val="105"/>
          <w:sz w:val="13"/>
        </w:rPr>
        <w:t> operating</w:t>
      </w:r>
      <w:r>
        <w:rPr>
          <w:w w:val="105"/>
          <w:sz w:val="13"/>
        </w:rPr>
        <w:t> and</w:t>
      </w:r>
      <w:r>
        <w:rPr>
          <w:w w:val="105"/>
          <w:sz w:val="13"/>
        </w:rPr>
        <w:t> research</w:t>
      </w:r>
      <w:r>
        <w:rPr>
          <w:w w:val="105"/>
          <w:sz w:val="13"/>
        </w:rPr>
        <w:t> grants</w:t>
      </w:r>
      <w:r>
        <w:rPr>
          <w:w w:val="105"/>
          <w:sz w:val="13"/>
        </w:rPr>
        <w:t> provided</w:t>
      </w:r>
      <w:r>
        <w:rPr>
          <w:w w:val="105"/>
          <w:sz w:val="13"/>
        </w:rPr>
        <w:t> by</w:t>
      </w:r>
      <w:r>
        <w:rPr>
          <w:w w:val="105"/>
          <w:sz w:val="13"/>
        </w:rPr>
        <w:t> the</w:t>
      </w:r>
      <w:r>
        <w:rPr>
          <w:w w:val="105"/>
          <w:sz w:val="13"/>
        </w:rPr>
        <w:t> Commonwealth</w:t>
      </w:r>
      <w:r>
        <w:rPr>
          <w:spacing w:val="40"/>
          <w:w w:val="105"/>
          <w:sz w:val="13"/>
        </w:rPr>
        <w:t> </w:t>
      </w:r>
      <w:r>
        <w:rPr>
          <w:spacing w:val="-2"/>
          <w:w w:val="105"/>
          <w:sz w:val="13"/>
        </w:rPr>
        <w:t>Government.</w:t>
      </w:r>
    </w:p>
    <w:p>
      <w:pPr>
        <w:spacing w:line="240" w:lineRule="auto" w:before="21"/>
        <w:rPr>
          <w:sz w:val="13"/>
        </w:rPr>
      </w:pPr>
    </w:p>
    <w:p>
      <w:pPr>
        <w:spacing w:line="271" w:lineRule="auto" w:before="0"/>
        <w:ind w:left="848" w:right="1847" w:firstLine="0"/>
        <w:jc w:val="both"/>
        <w:rPr>
          <w:sz w:val="13"/>
        </w:rPr>
      </w:pPr>
      <w:r>
        <w:rPr>
          <w:w w:val="105"/>
          <w:sz w:val="13"/>
        </w:rPr>
        <w:t>Grants revenue recognition is determined by reference to the specific contract terms including enforceability and existence of sufficiently</w:t>
      </w:r>
      <w:r>
        <w:rPr>
          <w:spacing w:val="40"/>
          <w:w w:val="105"/>
          <w:sz w:val="13"/>
        </w:rPr>
        <w:t> </w:t>
      </w:r>
      <w:r>
        <w:rPr>
          <w:w w:val="105"/>
          <w:sz w:val="13"/>
        </w:rPr>
        <w:t>specific</w:t>
      </w:r>
      <w:r>
        <w:rPr>
          <w:w w:val="105"/>
          <w:sz w:val="13"/>
        </w:rPr>
        <w:t> performance</w:t>
      </w:r>
      <w:r>
        <w:rPr>
          <w:w w:val="105"/>
          <w:sz w:val="13"/>
        </w:rPr>
        <w:t> obligations.</w:t>
      </w:r>
      <w:r>
        <w:rPr>
          <w:spacing w:val="40"/>
          <w:w w:val="105"/>
          <w:sz w:val="13"/>
        </w:rPr>
        <w:t> </w:t>
      </w:r>
      <w:r>
        <w:rPr>
          <w:w w:val="105"/>
          <w:sz w:val="13"/>
        </w:rPr>
        <w:t>Grant</w:t>
      </w:r>
      <w:r>
        <w:rPr>
          <w:w w:val="105"/>
          <w:sz w:val="13"/>
        </w:rPr>
        <w:t> agreements</w:t>
      </w:r>
      <w:r>
        <w:rPr>
          <w:w w:val="105"/>
          <w:sz w:val="13"/>
        </w:rPr>
        <w:t> that contain</w:t>
      </w:r>
      <w:r>
        <w:rPr>
          <w:w w:val="105"/>
          <w:sz w:val="13"/>
        </w:rPr>
        <w:t> specific performance</w:t>
      </w:r>
      <w:r>
        <w:rPr>
          <w:w w:val="105"/>
          <w:sz w:val="13"/>
        </w:rPr>
        <w:t> obligations including</w:t>
      </w:r>
      <w:r>
        <w:rPr>
          <w:w w:val="105"/>
          <w:sz w:val="13"/>
        </w:rPr>
        <w:t> research data</w:t>
      </w:r>
      <w:r>
        <w:rPr>
          <w:w w:val="105"/>
          <w:sz w:val="13"/>
        </w:rPr>
        <w:t> being made</w:t>
      </w:r>
      <w:r>
        <w:rPr>
          <w:spacing w:val="40"/>
          <w:w w:val="105"/>
          <w:sz w:val="13"/>
        </w:rPr>
        <w:t> </w:t>
      </w:r>
      <w:r>
        <w:rPr>
          <w:w w:val="105"/>
          <w:sz w:val="13"/>
        </w:rPr>
        <w:t>available</w:t>
      </w:r>
      <w:r>
        <w:rPr>
          <w:w w:val="105"/>
          <w:sz w:val="13"/>
        </w:rPr>
        <w:t> to grantors</w:t>
      </w:r>
      <w:r>
        <w:rPr>
          <w:w w:val="105"/>
          <w:sz w:val="13"/>
        </w:rPr>
        <w:t> on at</w:t>
      </w:r>
      <w:r>
        <w:rPr>
          <w:w w:val="105"/>
          <w:sz w:val="13"/>
        </w:rPr>
        <w:t> least</w:t>
      </w:r>
      <w:r>
        <w:rPr>
          <w:w w:val="105"/>
          <w:sz w:val="13"/>
        </w:rPr>
        <w:t> an annual</w:t>
      </w:r>
      <w:r>
        <w:rPr>
          <w:w w:val="105"/>
          <w:sz w:val="13"/>
        </w:rPr>
        <w:t> basis</w:t>
      </w:r>
      <w:r>
        <w:rPr>
          <w:w w:val="105"/>
          <w:sz w:val="13"/>
        </w:rPr>
        <w:t> falls</w:t>
      </w:r>
      <w:r>
        <w:rPr>
          <w:w w:val="105"/>
          <w:sz w:val="13"/>
        </w:rPr>
        <w:t> under</w:t>
      </w:r>
      <w:r>
        <w:rPr>
          <w:w w:val="105"/>
          <w:sz w:val="13"/>
        </w:rPr>
        <w:t> AASB15</w:t>
      </w:r>
      <w:r>
        <w:rPr>
          <w:w w:val="105"/>
          <w:sz w:val="13"/>
        </w:rPr>
        <w:t> and the revenue</w:t>
      </w:r>
      <w:r>
        <w:rPr>
          <w:w w:val="105"/>
          <w:sz w:val="13"/>
        </w:rPr>
        <w:t> is</w:t>
      </w:r>
      <w:r>
        <w:rPr>
          <w:w w:val="105"/>
          <w:sz w:val="13"/>
        </w:rPr>
        <w:t> recognised</w:t>
      </w:r>
      <w:r>
        <w:rPr>
          <w:w w:val="105"/>
          <w:sz w:val="13"/>
        </w:rPr>
        <w:t> over</w:t>
      </w:r>
      <w:r>
        <w:rPr>
          <w:w w:val="105"/>
          <w:sz w:val="13"/>
        </w:rPr>
        <w:t> time as</w:t>
      </w:r>
      <w:r>
        <w:rPr>
          <w:w w:val="105"/>
          <w:sz w:val="13"/>
        </w:rPr>
        <w:t> the grant</w:t>
      </w:r>
      <w:r>
        <w:rPr>
          <w:w w:val="105"/>
          <w:sz w:val="13"/>
        </w:rPr>
        <w:t> funds are</w:t>
      </w:r>
      <w:r>
        <w:rPr>
          <w:spacing w:val="40"/>
          <w:w w:val="105"/>
          <w:sz w:val="13"/>
        </w:rPr>
        <w:t> </w:t>
      </w:r>
      <w:r>
        <w:rPr>
          <w:w w:val="105"/>
          <w:sz w:val="13"/>
        </w:rPr>
        <w:t>expended. If not, this falls under AASB1058 and revenue is recognised when received.</w:t>
      </w:r>
    </w:p>
    <w:p>
      <w:pPr>
        <w:spacing w:after="0" w:line="271" w:lineRule="auto"/>
        <w:jc w:val="both"/>
        <w:rPr>
          <w:sz w:val="13"/>
        </w:rPr>
        <w:sectPr>
          <w:pgSz w:w="11910" w:h="16840"/>
          <w:pgMar w:header="468" w:footer="0" w:top="720" w:bottom="280" w:left="920" w:right="0"/>
        </w:sectPr>
      </w:pPr>
    </w:p>
    <w:p>
      <w:pPr>
        <w:spacing w:line="240" w:lineRule="auto" w:before="0"/>
        <w:rPr>
          <w:sz w:val="21"/>
        </w:rPr>
      </w:pPr>
    </w:p>
    <w:p>
      <w:pPr>
        <w:spacing w:line="240" w:lineRule="auto" w:before="0"/>
        <w:rPr>
          <w:sz w:val="21"/>
        </w:rPr>
      </w:pPr>
    </w:p>
    <w:p>
      <w:pPr>
        <w:spacing w:line="240" w:lineRule="auto" w:before="223"/>
        <w:rPr>
          <w:sz w:val="21"/>
        </w:rPr>
      </w:pPr>
    </w:p>
    <w:p>
      <w:pPr>
        <w:spacing w:before="0"/>
        <w:ind w:left="250" w:right="0" w:firstLine="0"/>
        <w:jc w:val="left"/>
        <w:rPr>
          <w:sz w:val="21"/>
        </w:rPr>
      </w:pPr>
      <w:r>
        <w:rPr>
          <w:color w:val="0070C0"/>
          <w:sz w:val="21"/>
        </w:rPr>
        <w:t>NOTES</w:t>
      </w:r>
      <w:r>
        <w:rPr>
          <w:color w:val="0070C0"/>
          <w:spacing w:val="12"/>
          <w:sz w:val="21"/>
        </w:rPr>
        <w:t> </w:t>
      </w:r>
      <w:r>
        <w:rPr>
          <w:color w:val="0070C0"/>
          <w:sz w:val="21"/>
        </w:rPr>
        <w:t>TO</w:t>
      </w:r>
      <w:r>
        <w:rPr>
          <w:color w:val="0070C0"/>
          <w:spacing w:val="12"/>
          <w:sz w:val="21"/>
        </w:rPr>
        <w:t> </w:t>
      </w:r>
      <w:r>
        <w:rPr>
          <w:color w:val="0070C0"/>
          <w:sz w:val="21"/>
        </w:rPr>
        <w:t>THE</w:t>
      </w:r>
      <w:r>
        <w:rPr>
          <w:color w:val="0070C0"/>
          <w:spacing w:val="13"/>
          <w:sz w:val="21"/>
        </w:rPr>
        <w:t> </w:t>
      </w:r>
      <w:r>
        <w:rPr>
          <w:color w:val="0070C0"/>
          <w:sz w:val="21"/>
        </w:rPr>
        <w:t>FINANCIAL</w:t>
      </w:r>
      <w:r>
        <w:rPr>
          <w:color w:val="0070C0"/>
          <w:spacing w:val="12"/>
          <w:sz w:val="21"/>
        </w:rPr>
        <w:t> </w:t>
      </w:r>
      <w:r>
        <w:rPr>
          <w:color w:val="0070C0"/>
          <w:spacing w:val="-2"/>
          <w:sz w:val="21"/>
        </w:rPr>
        <w:t>STATEMENTS</w:t>
      </w:r>
    </w:p>
    <w:p>
      <w:pPr>
        <w:spacing w:before="29"/>
        <w:ind w:left="237" w:right="0" w:firstLine="0"/>
        <w:jc w:val="left"/>
        <w:rPr>
          <w:sz w:val="12"/>
        </w:rPr>
      </w:pPr>
      <w:r>
        <w:rPr>
          <w:sz w:val="12"/>
        </w:rPr>
        <w:t>for</w:t>
      </w:r>
      <w:r>
        <w:rPr>
          <w:spacing w:val="1"/>
          <w:sz w:val="12"/>
        </w:rPr>
        <w:t> </w:t>
      </w:r>
      <w:r>
        <w:rPr>
          <w:sz w:val="12"/>
        </w:rPr>
        <w:t>the</w:t>
      </w:r>
      <w:r>
        <w:rPr>
          <w:spacing w:val="1"/>
          <w:sz w:val="12"/>
        </w:rPr>
        <w:t> </w:t>
      </w:r>
      <w:r>
        <w:rPr>
          <w:sz w:val="12"/>
        </w:rPr>
        <w:t>year</w:t>
      </w:r>
      <w:r>
        <w:rPr>
          <w:spacing w:val="2"/>
          <w:sz w:val="12"/>
        </w:rPr>
        <w:t> </w:t>
      </w:r>
      <w:r>
        <w:rPr>
          <w:sz w:val="12"/>
        </w:rPr>
        <w:t>ended</w:t>
      </w:r>
      <w:r>
        <w:rPr>
          <w:spacing w:val="1"/>
          <w:sz w:val="12"/>
        </w:rPr>
        <w:t> </w:t>
      </w:r>
      <w:r>
        <w:rPr>
          <w:sz w:val="12"/>
        </w:rPr>
        <w:t>31 December</w:t>
      </w:r>
      <w:r>
        <w:rPr>
          <w:spacing w:val="2"/>
          <w:sz w:val="12"/>
        </w:rPr>
        <w:t> </w:t>
      </w:r>
      <w:r>
        <w:rPr>
          <w:spacing w:val="-4"/>
          <w:sz w:val="12"/>
        </w:rPr>
        <w:t>2020</w:t>
      </w:r>
    </w:p>
    <w:p>
      <w:pPr>
        <w:spacing w:line="240" w:lineRule="auto" w:before="6" w:after="0"/>
        <w:rPr>
          <w:sz w:val="15"/>
        </w:rPr>
      </w:pPr>
    </w:p>
    <w:tbl>
      <w:tblPr>
        <w:tblW w:w="0" w:type="auto"/>
        <w:jc w:val="left"/>
        <w:tblInd w:w="2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01"/>
        <w:gridCol w:w="3874"/>
        <w:gridCol w:w="929"/>
        <w:gridCol w:w="1038"/>
        <w:gridCol w:w="899"/>
        <w:gridCol w:w="900"/>
        <w:gridCol w:w="763"/>
      </w:tblGrid>
      <w:tr>
        <w:trPr>
          <w:trHeight w:val="161" w:hRule="atLeast"/>
        </w:trPr>
        <w:tc>
          <w:tcPr>
            <w:tcW w:w="401" w:type="dxa"/>
          </w:tcPr>
          <w:p>
            <w:pPr>
              <w:pStyle w:val="TableParagraph"/>
              <w:spacing w:line="138" w:lineRule="exact" w:before="4"/>
              <w:ind w:left="34"/>
              <w:rPr>
                <w:b/>
                <w:sz w:val="13"/>
              </w:rPr>
            </w:pPr>
            <w:r>
              <w:rPr>
                <w:b/>
                <w:spacing w:val="-5"/>
                <w:w w:val="105"/>
                <w:sz w:val="13"/>
              </w:rPr>
              <w:t>(f)</w:t>
            </w:r>
          </w:p>
        </w:tc>
        <w:tc>
          <w:tcPr>
            <w:tcW w:w="3874" w:type="dxa"/>
          </w:tcPr>
          <w:p>
            <w:pPr>
              <w:pStyle w:val="TableParagraph"/>
              <w:spacing w:line="142" w:lineRule="exact"/>
              <w:ind w:left="229"/>
              <w:rPr>
                <w:b/>
                <w:sz w:val="13"/>
              </w:rPr>
            </w:pPr>
            <w:r>
              <w:rPr>
                <w:b/>
                <w:sz w:val="13"/>
              </w:rPr>
              <w:t>Higher</w:t>
            </w:r>
            <w:r>
              <w:rPr>
                <w:b/>
                <w:spacing w:val="9"/>
                <w:sz w:val="13"/>
              </w:rPr>
              <w:t> </w:t>
            </w:r>
            <w:r>
              <w:rPr>
                <w:b/>
                <w:sz w:val="13"/>
              </w:rPr>
              <w:t>Education</w:t>
            </w:r>
            <w:r>
              <w:rPr>
                <w:b/>
                <w:spacing w:val="10"/>
                <w:sz w:val="13"/>
              </w:rPr>
              <w:t> </w:t>
            </w:r>
            <w:r>
              <w:rPr>
                <w:b/>
                <w:sz w:val="13"/>
              </w:rPr>
              <w:t>Loan</w:t>
            </w:r>
            <w:r>
              <w:rPr>
                <w:b/>
                <w:spacing w:val="10"/>
                <w:sz w:val="13"/>
              </w:rPr>
              <w:t> </w:t>
            </w:r>
            <w:r>
              <w:rPr>
                <w:b/>
                <w:spacing w:val="-2"/>
                <w:sz w:val="13"/>
              </w:rPr>
              <w:t>Programs</w:t>
            </w:r>
          </w:p>
        </w:tc>
        <w:tc>
          <w:tcPr>
            <w:tcW w:w="4529" w:type="dxa"/>
            <w:gridSpan w:val="5"/>
          </w:tcPr>
          <w:p>
            <w:pPr>
              <w:pStyle w:val="TableParagraph"/>
              <w:rPr>
                <w:rFonts w:ascii="Times New Roman"/>
                <w:sz w:val="10"/>
              </w:rPr>
            </w:pPr>
          </w:p>
        </w:tc>
      </w:tr>
      <w:tr>
        <w:trPr>
          <w:trHeight w:val="166" w:hRule="atLeast"/>
        </w:trPr>
        <w:tc>
          <w:tcPr>
            <w:tcW w:w="401" w:type="dxa"/>
          </w:tcPr>
          <w:p>
            <w:pPr>
              <w:pStyle w:val="TableParagraph"/>
              <w:rPr>
                <w:rFonts w:ascii="Times New Roman"/>
                <w:sz w:val="10"/>
              </w:rPr>
            </w:pPr>
          </w:p>
        </w:tc>
        <w:tc>
          <w:tcPr>
            <w:tcW w:w="3874" w:type="dxa"/>
          </w:tcPr>
          <w:p>
            <w:pPr>
              <w:pStyle w:val="TableParagraph"/>
              <w:spacing w:line="140" w:lineRule="exact" w:before="7"/>
              <w:ind w:left="450"/>
              <w:rPr>
                <w:sz w:val="13"/>
              </w:rPr>
            </w:pPr>
            <w:r>
              <w:rPr>
                <w:sz w:val="13"/>
              </w:rPr>
              <w:t>HECS-</w:t>
            </w:r>
            <w:r>
              <w:rPr>
                <w:spacing w:val="-4"/>
                <w:sz w:val="13"/>
              </w:rPr>
              <w:t>HELP</w:t>
            </w:r>
          </w:p>
        </w:tc>
        <w:tc>
          <w:tcPr>
            <w:tcW w:w="929" w:type="dxa"/>
          </w:tcPr>
          <w:p>
            <w:pPr>
              <w:pStyle w:val="TableParagraph"/>
              <w:spacing w:line="140" w:lineRule="exact" w:before="7"/>
              <w:ind w:right="62"/>
              <w:jc w:val="right"/>
              <w:rPr>
                <w:sz w:val="13"/>
              </w:rPr>
            </w:pPr>
            <w:r>
              <w:rPr>
                <w:spacing w:val="-2"/>
                <w:w w:val="105"/>
                <w:sz w:val="13"/>
              </w:rPr>
              <w:t>7.8(b)</w:t>
            </w:r>
          </w:p>
        </w:tc>
        <w:tc>
          <w:tcPr>
            <w:tcW w:w="1038" w:type="dxa"/>
          </w:tcPr>
          <w:p>
            <w:pPr>
              <w:pStyle w:val="TableParagraph"/>
              <w:spacing w:line="140" w:lineRule="exact" w:before="7"/>
              <w:ind w:right="208"/>
              <w:jc w:val="right"/>
              <w:rPr>
                <w:sz w:val="13"/>
              </w:rPr>
            </w:pPr>
            <w:r>
              <w:rPr>
                <w:spacing w:val="-2"/>
                <w:w w:val="105"/>
                <w:sz w:val="13"/>
              </w:rPr>
              <w:t>102,172</w:t>
            </w:r>
          </w:p>
        </w:tc>
        <w:tc>
          <w:tcPr>
            <w:tcW w:w="899" w:type="dxa"/>
          </w:tcPr>
          <w:p>
            <w:pPr>
              <w:pStyle w:val="TableParagraph"/>
              <w:spacing w:line="140" w:lineRule="exact" w:before="7"/>
              <w:ind w:left="147" w:right="74"/>
              <w:jc w:val="center"/>
              <w:rPr>
                <w:sz w:val="13"/>
              </w:rPr>
            </w:pPr>
            <w:r>
              <w:rPr>
                <w:spacing w:val="-2"/>
                <w:w w:val="105"/>
                <w:sz w:val="13"/>
              </w:rPr>
              <w:t>98,112</w:t>
            </w:r>
          </w:p>
        </w:tc>
        <w:tc>
          <w:tcPr>
            <w:tcW w:w="900" w:type="dxa"/>
          </w:tcPr>
          <w:p>
            <w:pPr>
              <w:pStyle w:val="TableParagraph"/>
              <w:spacing w:line="140" w:lineRule="exact" w:before="7"/>
              <w:ind w:left="147" w:right="148"/>
              <w:jc w:val="center"/>
              <w:rPr>
                <w:sz w:val="13"/>
              </w:rPr>
            </w:pPr>
            <w:r>
              <w:rPr>
                <w:spacing w:val="-2"/>
                <w:w w:val="105"/>
                <w:sz w:val="13"/>
              </w:rPr>
              <w:t>102,172</w:t>
            </w:r>
          </w:p>
        </w:tc>
        <w:tc>
          <w:tcPr>
            <w:tcW w:w="763" w:type="dxa"/>
          </w:tcPr>
          <w:p>
            <w:pPr>
              <w:pStyle w:val="TableParagraph"/>
              <w:spacing w:line="140" w:lineRule="exact" w:before="7"/>
              <w:ind w:right="73"/>
              <w:jc w:val="right"/>
              <w:rPr>
                <w:sz w:val="13"/>
              </w:rPr>
            </w:pPr>
            <w:r>
              <w:rPr>
                <w:spacing w:val="-2"/>
                <w:w w:val="105"/>
                <w:sz w:val="13"/>
              </w:rPr>
              <w:t>98,112</w:t>
            </w:r>
          </w:p>
        </w:tc>
      </w:tr>
      <w:tr>
        <w:trPr>
          <w:trHeight w:val="168" w:hRule="atLeast"/>
        </w:trPr>
        <w:tc>
          <w:tcPr>
            <w:tcW w:w="401" w:type="dxa"/>
          </w:tcPr>
          <w:p>
            <w:pPr>
              <w:pStyle w:val="TableParagraph"/>
              <w:rPr>
                <w:rFonts w:ascii="Times New Roman"/>
                <w:sz w:val="10"/>
              </w:rPr>
            </w:pPr>
          </w:p>
        </w:tc>
        <w:tc>
          <w:tcPr>
            <w:tcW w:w="3874" w:type="dxa"/>
          </w:tcPr>
          <w:p>
            <w:pPr>
              <w:pStyle w:val="TableParagraph"/>
              <w:spacing w:line="140" w:lineRule="exact" w:before="9"/>
              <w:ind w:left="450"/>
              <w:rPr>
                <w:sz w:val="13"/>
              </w:rPr>
            </w:pPr>
            <w:r>
              <w:rPr>
                <w:sz w:val="13"/>
              </w:rPr>
              <w:t>FEE-</w:t>
            </w:r>
            <w:r>
              <w:rPr>
                <w:spacing w:val="-4"/>
                <w:sz w:val="13"/>
              </w:rPr>
              <w:t>HELP</w:t>
            </w:r>
          </w:p>
        </w:tc>
        <w:tc>
          <w:tcPr>
            <w:tcW w:w="929" w:type="dxa"/>
          </w:tcPr>
          <w:p>
            <w:pPr>
              <w:pStyle w:val="TableParagraph"/>
              <w:spacing w:line="140" w:lineRule="exact" w:before="9"/>
              <w:ind w:right="62"/>
              <w:jc w:val="right"/>
              <w:rPr>
                <w:sz w:val="13"/>
              </w:rPr>
            </w:pPr>
            <w:r>
              <w:rPr>
                <w:spacing w:val="-2"/>
                <w:w w:val="105"/>
                <w:sz w:val="13"/>
              </w:rPr>
              <w:t>7.8(b)</w:t>
            </w:r>
          </w:p>
        </w:tc>
        <w:tc>
          <w:tcPr>
            <w:tcW w:w="1038" w:type="dxa"/>
          </w:tcPr>
          <w:p>
            <w:pPr>
              <w:pStyle w:val="TableParagraph"/>
              <w:spacing w:line="140" w:lineRule="exact" w:before="9"/>
              <w:ind w:right="208"/>
              <w:jc w:val="right"/>
              <w:rPr>
                <w:sz w:val="13"/>
              </w:rPr>
            </w:pPr>
            <w:r>
              <w:rPr>
                <w:spacing w:val="-2"/>
                <w:w w:val="105"/>
                <w:sz w:val="13"/>
              </w:rPr>
              <w:t>16,707</w:t>
            </w:r>
          </w:p>
        </w:tc>
        <w:tc>
          <w:tcPr>
            <w:tcW w:w="899" w:type="dxa"/>
          </w:tcPr>
          <w:p>
            <w:pPr>
              <w:pStyle w:val="TableParagraph"/>
              <w:spacing w:line="140" w:lineRule="exact" w:before="9"/>
              <w:ind w:left="147" w:right="74"/>
              <w:jc w:val="center"/>
              <w:rPr>
                <w:sz w:val="13"/>
              </w:rPr>
            </w:pPr>
            <w:r>
              <w:rPr>
                <w:spacing w:val="-2"/>
                <w:w w:val="105"/>
                <w:sz w:val="13"/>
              </w:rPr>
              <w:t>18,474</w:t>
            </w:r>
          </w:p>
        </w:tc>
        <w:tc>
          <w:tcPr>
            <w:tcW w:w="900" w:type="dxa"/>
          </w:tcPr>
          <w:p>
            <w:pPr>
              <w:pStyle w:val="TableParagraph"/>
              <w:spacing w:line="140" w:lineRule="exact" w:before="9"/>
              <w:ind w:left="147" w:right="75"/>
              <w:jc w:val="center"/>
              <w:rPr>
                <w:sz w:val="13"/>
              </w:rPr>
            </w:pPr>
            <w:r>
              <w:rPr>
                <w:spacing w:val="-2"/>
                <w:w w:val="105"/>
                <w:sz w:val="13"/>
              </w:rPr>
              <w:t>16,707</w:t>
            </w:r>
          </w:p>
        </w:tc>
        <w:tc>
          <w:tcPr>
            <w:tcW w:w="763" w:type="dxa"/>
          </w:tcPr>
          <w:p>
            <w:pPr>
              <w:pStyle w:val="TableParagraph"/>
              <w:spacing w:line="140" w:lineRule="exact" w:before="9"/>
              <w:ind w:right="72"/>
              <w:jc w:val="right"/>
              <w:rPr>
                <w:sz w:val="13"/>
              </w:rPr>
            </w:pPr>
            <w:r>
              <w:rPr>
                <w:spacing w:val="-2"/>
                <w:w w:val="105"/>
                <w:sz w:val="13"/>
              </w:rPr>
              <w:t>18,474</w:t>
            </w:r>
          </w:p>
        </w:tc>
      </w:tr>
      <w:tr>
        <w:trPr>
          <w:trHeight w:val="162" w:hRule="atLeast"/>
        </w:trPr>
        <w:tc>
          <w:tcPr>
            <w:tcW w:w="401" w:type="dxa"/>
          </w:tcPr>
          <w:p>
            <w:pPr>
              <w:pStyle w:val="TableParagraph"/>
              <w:rPr>
                <w:rFonts w:ascii="Times New Roman"/>
                <w:sz w:val="10"/>
              </w:rPr>
            </w:pPr>
          </w:p>
        </w:tc>
        <w:tc>
          <w:tcPr>
            <w:tcW w:w="3874" w:type="dxa"/>
          </w:tcPr>
          <w:p>
            <w:pPr>
              <w:pStyle w:val="TableParagraph"/>
              <w:spacing w:line="133" w:lineRule="exact" w:before="9"/>
              <w:ind w:left="450"/>
              <w:rPr>
                <w:sz w:val="13"/>
              </w:rPr>
            </w:pPr>
            <w:r>
              <w:rPr>
                <w:sz w:val="13"/>
              </w:rPr>
              <w:t>SA-</w:t>
            </w:r>
            <w:r>
              <w:rPr>
                <w:spacing w:val="-4"/>
                <w:sz w:val="13"/>
              </w:rPr>
              <w:t>HELP</w:t>
            </w:r>
          </w:p>
        </w:tc>
        <w:tc>
          <w:tcPr>
            <w:tcW w:w="929" w:type="dxa"/>
          </w:tcPr>
          <w:p>
            <w:pPr>
              <w:pStyle w:val="TableParagraph"/>
              <w:spacing w:line="133" w:lineRule="exact" w:before="9"/>
              <w:ind w:right="62"/>
              <w:jc w:val="right"/>
              <w:rPr>
                <w:sz w:val="13"/>
              </w:rPr>
            </w:pPr>
            <w:r>
              <w:rPr>
                <w:spacing w:val="-2"/>
                <w:w w:val="105"/>
                <w:sz w:val="13"/>
              </w:rPr>
              <w:t>7.8(b)</w:t>
            </w:r>
          </w:p>
        </w:tc>
        <w:tc>
          <w:tcPr>
            <w:tcW w:w="1038" w:type="dxa"/>
            <w:tcBorders>
              <w:bottom w:val="single" w:sz="6" w:space="0" w:color="000000"/>
            </w:tcBorders>
          </w:tcPr>
          <w:p>
            <w:pPr>
              <w:pStyle w:val="TableParagraph"/>
              <w:spacing w:line="133" w:lineRule="exact" w:before="9"/>
              <w:ind w:right="208"/>
              <w:jc w:val="right"/>
              <w:rPr>
                <w:sz w:val="13"/>
              </w:rPr>
            </w:pPr>
            <w:r>
              <w:rPr>
                <w:spacing w:val="-2"/>
                <w:w w:val="105"/>
                <w:sz w:val="13"/>
              </w:rPr>
              <w:t>2,142</w:t>
            </w:r>
          </w:p>
        </w:tc>
        <w:tc>
          <w:tcPr>
            <w:tcW w:w="899" w:type="dxa"/>
            <w:tcBorders>
              <w:bottom w:val="single" w:sz="6" w:space="0" w:color="000000"/>
            </w:tcBorders>
          </w:tcPr>
          <w:p>
            <w:pPr>
              <w:pStyle w:val="TableParagraph"/>
              <w:spacing w:line="133" w:lineRule="exact" w:before="9"/>
              <w:ind w:left="147"/>
              <w:jc w:val="center"/>
              <w:rPr>
                <w:sz w:val="13"/>
              </w:rPr>
            </w:pPr>
            <w:r>
              <w:rPr>
                <w:spacing w:val="-2"/>
                <w:w w:val="105"/>
                <w:sz w:val="13"/>
              </w:rPr>
              <w:t>1,480</w:t>
            </w:r>
          </w:p>
        </w:tc>
        <w:tc>
          <w:tcPr>
            <w:tcW w:w="900" w:type="dxa"/>
            <w:tcBorders>
              <w:bottom w:val="single" w:sz="6" w:space="0" w:color="000000"/>
            </w:tcBorders>
          </w:tcPr>
          <w:p>
            <w:pPr>
              <w:pStyle w:val="TableParagraph"/>
              <w:spacing w:line="133" w:lineRule="exact" w:before="9"/>
              <w:ind w:left="148" w:right="1"/>
              <w:jc w:val="center"/>
              <w:rPr>
                <w:sz w:val="13"/>
              </w:rPr>
            </w:pPr>
            <w:r>
              <w:rPr>
                <w:spacing w:val="-2"/>
                <w:w w:val="105"/>
                <w:sz w:val="13"/>
              </w:rPr>
              <w:t>2,142</w:t>
            </w:r>
          </w:p>
        </w:tc>
        <w:tc>
          <w:tcPr>
            <w:tcW w:w="763" w:type="dxa"/>
            <w:tcBorders>
              <w:bottom w:val="single" w:sz="6" w:space="0" w:color="000000"/>
            </w:tcBorders>
          </w:tcPr>
          <w:p>
            <w:pPr>
              <w:pStyle w:val="TableParagraph"/>
              <w:spacing w:line="133" w:lineRule="exact" w:before="9"/>
              <w:ind w:right="72"/>
              <w:jc w:val="right"/>
              <w:rPr>
                <w:sz w:val="13"/>
              </w:rPr>
            </w:pPr>
            <w:r>
              <w:rPr>
                <w:spacing w:val="-2"/>
                <w:w w:val="105"/>
                <w:sz w:val="13"/>
              </w:rPr>
              <w:t>1,480</w:t>
            </w:r>
          </w:p>
        </w:tc>
      </w:tr>
      <w:tr>
        <w:trPr>
          <w:trHeight w:val="154" w:hRule="atLeast"/>
        </w:trPr>
        <w:tc>
          <w:tcPr>
            <w:tcW w:w="401" w:type="dxa"/>
          </w:tcPr>
          <w:p>
            <w:pPr>
              <w:pStyle w:val="TableParagraph"/>
              <w:rPr>
                <w:rFonts w:ascii="Times New Roman"/>
                <w:sz w:val="8"/>
              </w:rPr>
            </w:pPr>
          </w:p>
        </w:tc>
        <w:tc>
          <w:tcPr>
            <w:tcW w:w="3874" w:type="dxa"/>
          </w:tcPr>
          <w:p>
            <w:pPr>
              <w:pStyle w:val="TableParagraph"/>
              <w:spacing w:line="133" w:lineRule="exact"/>
              <w:ind w:left="229"/>
              <w:rPr>
                <w:b/>
                <w:sz w:val="13"/>
              </w:rPr>
            </w:pPr>
            <w:r>
              <w:rPr>
                <w:b/>
                <w:sz w:val="13"/>
              </w:rPr>
              <w:t>Total</w:t>
            </w:r>
            <w:r>
              <w:rPr>
                <w:b/>
                <w:spacing w:val="9"/>
                <w:sz w:val="13"/>
              </w:rPr>
              <w:t> </w:t>
            </w:r>
            <w:r>
              <w:rPr>
                <w:b/>
                <w:sz w:val="13"/>
              </w:rPr>
              <w:t>Higher</w:t>
            </w:r>
            <w:r>
              <w:rPr>
                <w:b/>
                <w:spacing w:val="9"/>
                <w:sz w:val="13"/>
              </w:rPr>
              <w:t> </w:t>
            </w:r>
            <w:r>
              <w:rPr>
                <w:b/>
                <w:sz w:val="13"/>
              </w:rPr>
              <w:t>Education</w:t>
            </w:r>
            <w:r>
              <w:rPr>
                <w:b/>
                <w:spacing w:val="9"/>
                <w:sz w:val="13"/>
              </w:rPr>
              <w:t> </w:t>
            </w:r>
            <w:r>
              <w:rPr>
                <w:b/>
                <w:sz w:val="13"/>
              </w:rPr>
              <w:t>Loan</w:t>
            </w:r>
            <w:r>
              <w:rPr>
                <w:b/>
                <w:spacing w:val="9"/>
                <w:sz w:val="13"/>
              </w:rPr>
              <w:t> </w:t>
            </w:r>
            <w:r>
              <w:rPr>
                <w:b/>
                <w:spacing w:val="-2"/>
                <w:sz w:val="13"/>
              </w:rPr>
              <w:t>Programs</w:t>
            </w:r>
          </w:p>
        </w:tc>
        <w:tc>
          <w:tcPr>
            <w:tcW w:w="929" w:type="dxa"/>
          </w:tcPr>
          <w:p>
            <w:pPr>
              <w:pStyle w:val="TableParagraph"/>
              <w:rPr>
                <w:rFonts w:ascii="Times New Roman"/>
                <w:sz w:val="8"/>
              </w:rPr>
            </w:pPr>
          </w:p>
        </w:tc>
        <w:tc>
          <w:tcPr>
            <w:tcW w:w="1038" w:type="dxa"/>
            <w:tcBorders>
              <w:top w:val="single" w:sz="6" w:space="0" w:color="000000"/>
              <w:bottom w:val="single" w:sz="6" w:space="0" w:color="000000"/>
            </w:tcBorders>
          </w:tcPr>
          <w:p>
            <w:pPr>
              <w:pStyle w:val="TableParagraph"/>
              <w:spacing w:line="133" w:lineRule="exact"/>
              <w:ind w:right="208"/>
              <w:jc w:val="right"/>
              <w:rPr>
                <w:b/>
                <w:sz w:val="13"/>
              </w:rPr>
            </w:pPr>
            <w:r>
              <w:rPr>
                <w:b/>
                <w:spacing w:val="-2"/>
                <w:w w:val="105"/>
                <w:sz w:val="13"/>
              </w:rPr>
              <w:t>121,021</w:t>
            </w:r>
          </w:p>
        </w:tc>
        <w:tc>
          <w:tcPr>
            <w:tcW w:w="899" w:type="dxa"/>
            <w:tcBorders>
              <w:top w:val="single" w:sz="6" w:space="0" w:color="000000"/>
              <w:bottom w:val="single" w:sz="6" w:space="0" w:color="000000"/>
            </w:tcBorders>
          </w:tcPr>
          <w:p>
            <w:pPr>
              <w:pStyle w:val="TableParagraph"/>
              <w:spacing w:line="133" w:lineRule="exact"/>
              <w:jc w:val="center"/>
              <w:rPr>
                <w:b/>
                <w:sz w:val="13"/>
              </w:rPr>
            </w:pPr>
            <w:r>
              <w:rPr>
                <w:b/>
                <w:spacing w:val="-2"/>
                <w:w w:val="105"/>
                <w:sz w:val="13"/>
              </w:rPr>
              <w:t>118,066</w:t>
            </w:r>
          </w:p>
        </w:tc>
        <w:tc>
          <w:tcPr>
            <w:tcW w:w="900" w:type="dxa"/>
            <w:tcBorders>
              <w:top w:val="single" w:sz="6" w:space="0" w:color="000000"/>
              <w:bottom w:val="single" w:sz="6" w:space="0" w:color="000000"/>
            </w:tcBorders>
          </w:tcPr>
          <w:p>
            <w:pPr>
              <w:pStyle w:val="TableParagraph"/>
              <w:spacing w:line="133" w:lineRule="exact"/>
              <w:ind w:left="147" w:right="147"/>
              <w:jc w:val="center"/>
              <w:rPr>
                <w:b/>
                <w:sz w:val="13"/>
              </w:rPr>
            </w:pPr>
            <w:r>
              <w:rPr>
                <w:b/>
                <w:spacing w:val="-2"/>
                <w:w w:val="105"/>
                <w:sz w:val="13"/>
              </w:rPr>
              <w:t>121,021</w:t>
            </w:r>
          </w:p>
        </w:tc>
        <w:tc>
          <w:tcPr>
            <w:tcW w:w="763" w:type="dxa"/>
            <w:tcBorders>
              <w:top w:val="single" w:sz="6" w:space="0" w:color="000000"/>
              <w:bottom w:val="single" w:sz="6" w:space="0" w:color="000000"/>
            </w:tcBorders>
          </w:tcPr>
          <w:p>
            <w:pPr>
              <w:pStyle w:val="TableParagraph"/>
              <w:spacing w:line="133" w:lineRule="exact"/>
              <w:ind w:right="72"/>
              <w:jc w:val="right"/>
              <w:rPr>
                <w:b/>
                <w:sz w:val="13"/>
              </w:rPr>
            </w:pPr>
            <w:r>
              <w:rPr>
                <w:b/>
                <w:spacing w:val="-2"/>
                <w:w w:val="105"/>
                <w:sz w:val="13"/>
              </w:rPr>
              <w:t>118,066</w:t>
            </w:r>
          </w:p>
        </w:tc>
      </w:tr>
      <w:tr>
        <w:trPr>
          <w:trHeight w:val="153" w:hRule="atLeast"/>
        </w:trPr>
        <w:tc>
          <w:tcPr>
            <w:tcW w:w="401" w:type="dxa"/>
          </w:tcPr>
          <w:p>
            <w:pPr>
              <w:pStyle w:val="TableParagraph"/>
              <w:rPr>
                <w:rFonts w:ascii="Times New Roman"/>
                <w:sz w:val="8"/>
              </w:rPr>
            </w:pPr>
          </w:p>
        </w:tc>
        <w:tc>
          <w:tcPr>
            <w:tcW w:w="3874" w:type="dxa"/>
          </w:tcPr>
          <w:p>
            <w:pPr>
              <w:pStyle w:val="TableParagraph"/>
              <w:rPr>
                <w:rFonts w:ascii="Times New Roman"/>
                <w:sz w:val="8"/>
              </w:rPr>
            </w:pPr>
          </w:p>
        </w:tc>
        <w:tc>
          <w:tcPr>
            <w:tcW w:w="929" w:type="dxa"/>
          </w:tcPr>
          <w:p>
            <w:pPr>
              <w:pStyle w:val="TableParagraph"/>
              <w:rPr>
                <w:rFonts w:ascii="Times New Roman"/>
                <w:sz w:val="8"/>
              </w:rPr>
            </w:pPr>
          </w:p>
        </w:tc>
        <w:tc>
          <w:tcPr>
            <w:tcW w:w="1038" w:type="dxa"/>
            <w:tcBorders>
              <w:top w:val="single" w:sz="6" w:space="0" w:color="000000"/>
              <w:bottom w:val="single" w:sz="6" w:space="0" w:color="000000"/>
            </w:tcBorders>
          </w:tcPr>
          <w:p>
            <w:pPr>
              <w:pStyle w:val="TableParagraph"/>
              <w:rPr>
                <w:rFonts w:ascii="Times New Roman"/>
                <w:sz w:val="8"/>
              </w:rPr>
            </w:pPr>
          </w:p>
        </w:tc>
        <w:tc>
          <w:tcPr>
            <w:tcW w:w="899" w:type="dxa"/>
            <w:tcBorders>
              <w:top w:val="single" w:sz="6" w:space="0" w:color="000000"/>
              <w:bottom w:val="single" w:sz="6" w:space="0" w:color="000000"/>
            </w:tcBorders>
          </w:tcPr>
          <w:p>
            <w:pPr>
              <w:pStyle w:val="TableParagraph"/>
              <w:rPr>
                <w:rFonts w:ascii="Times New Roman"/>
                <w:sz w:val="8"/>
              </w:rPr>
            </w:pPr>
          </w:p>
        </w:tc>
        <w:tc>
          <w:tcPr>
            <w:tcW w:w="900" w:type="dxa"/>
            <w:tcBorders>
              <w:top w:val="single" w:sz="6" w:space="0" w:color="000000"/>
              <w:bottom w:val="single" w:sz="6" w:space="0" w:color="000000"/>
            </w:tcBorders>
          </w:tcPr>
          <w:p>
            <w:pPr>
              <w:pStyle w:val="TableParagraph"/>
              <w:rPr>
                <w:rFonts w:ascii="Times New Roman"/>
                <w:sz w:val="8"/>
              </w:rPr>
            </w:pPr>
          </w:p>
        </w:tc>
        <w:tc>
          <w:tcPr>
            <w:tcW w:w="763" w:type="dxa"/>
            <w:tcBorders>
              <w:top w:val="single" w:sz="6" w:space="0" w:color="000000"/>
              <w:bottom w:val="single" w:sz="6" w:space="0" w:color="000000"/>
            </w:tcBorders>
          </w:tcPr>
          <w:p>
            <w:pPr>
              <w:pStyle w:val="TableParagraph"/>
              <w:rPr>
                <w:rFonts w:ascii="Times New Roman"/>
                <w:sz w:val="8"/>
              </w:rPr>
            </w:pPr>
          </w:p>
        </w:tc>
      </w:tr>
      <w:tr>
        <w:trPr>
          <w:trHeight w:val="154" w:hRule="atLeast"/>
        </w:trPr>
        <w:tc>
          <w:tcPr>
            <w:tcW w:w="401" w:type="dxa"/>
          </w:tcPr>
          <w:p>
            <w:pPr>
              <w:pStyle w:val="TableParagraph"/>
              <w:rPr>
                <w:rFonts w:ascii="Times New Roman"/>
                <w:sz w:val="8"/>
              </w:rPr>
            </w:pPr>
          </w:p>
        </w:tc>
        <w:tc>
          <w:tcPr>
            <w:tcW w:w="3874" w:type="dxa"/>
          </w:tcPr>
          <w:p>
            <w:pPr>
              <w:pStyle w:val="TableParagraph"/>
              <w:spacing w:line="133" w:lineRule="exact"/>
              <w:ind w:left="229"/>
              <w:rPr>
                <w:b/>
                <w:sz w:val="13"/>
              </w:rPr>
            </w:pPr>
            <w:r>
              <w:rPr>
                <w:b/>
                <w:sz w:val="13"/>
              </w:rPr>
              <w:t>Total</w:t>
            </w:r>
            <w:r>
              <w:rPr>
                <w:b/>
                <w:spacing w:val="8"/>
                <w:sz w:val="13"/>
              </w:rPr>
              <w:t> </w:t>
            </w:r>
            <w:r>
              <w:rPr>
                <w:b/>
                <w:sz w:val="13"/>
              </w:rPr>
              <w:t>Australian</w:t>
            </w:r>
            <w:r>
              <w:rPr>
                <w:b/>
                <w:spacing w:val="8"/>
                <w:sz w:val="13"/>
              </w:rPr>
              <w:t> </w:t>
            </w:r>
            <w:r>
              <w:rPr>
                <w:b/>
                <w:sz w:val="13"/>
              </w:rPr>
              <w:t>Government</w:t>
            </w:r>
            <w:r>
              <w:rPr>
                <w:b/>
                <w:spacing w:val="9"/>
                <w:sz w:val="13"/>
              </w:rPr>
              <w:t> </w:t>
            </w:r>
            <w:r>
              <w:rPr>
                <w:b/>
                <w:sz w:val="13"/>
              </w:rPr>
              <w:t>financial</w:t>
            </w:r>
            <w:r>
              <w:rPr>
                <w:b/>
                <w:spacing w:val="9"/>
                <w:sz w:val="13"/>
              </w:rPr>
              <w:t> </w:t>
            </w:r>
            <w:r>
              <w:rPr>
                <w:b/>
                <w:spacing w:val="-2"/>
                <w:sz w:val="13"/>
              </w:rPr>
              <w:t>assistance</w:t>
            </w:r>
          </w:p>
        </w:tc>
        <w:tc>
          <w:tcPr>
            <w:tcW w:w="929" w:type="dxa"/>
          </w:tcPr>
          <w:p>
            <w:pPr>
              <w:pStyle w:val="TableParagraph"/>
              <w:rPr>
                <w:rFonts w:ascii="Times New Roman"/>
                <w:sz w:val="8"/>
              </w:rPr>
            </w:pPr>
          </w:p>
        </w:tc>
        <w:tc>
          <w:tcPr>
            <w:tcW w:w="1038" w:type="dxa"/>
            <w:tcBorders>
              <w:top w:val="single" w:sz="6" w:space="0" w:color="000000"/>
              <w:bottom w:val="single" w:sz="6" w:space="0" w:color="000000"/>
            </w:tcBorders>
          </w:tcPr>
          <w:p>
            <w:pPr>
              <w:pStyle w:val="TableParagraph"/>
              <w:spacing w:line="133" w:lineRule="exact"/>
              <w:ind w:right="208"/>
              <w:jc w:val="right"/>
              <w:rPr>
                <w:b/>
                <w:sz w:val="13"/>
              </w:rPr>
            </w:pPr>
            <w:r>
              <w:rPr>
                <w:b/>
                <w:spacing w:val="-2"/>
                <w:w w:val="105"/>
                <w:sz w:val="13"/>
              </w:rPr>
              <w:t>500,619</w:t>
            </w:r>
          </w:p>
        </w:tc>
        <w:tc>
          <w:tcPr>
            <w:tcW w:w="899" w:type="dxa"/>
            <w:tcBorders>
              <w:top w:val="single" w:sz="6" w:space="0" w:color="000000"/>
              <w:bottom w:val="single" w:sz="6" w:space="0" w:color="000000"/>
            </w:tcBorders>
          </w:tcPr>
          <w:p>
            <w:pPr>
              <w:pStyle w:val="TableParagraph"/>
              <w:spacing w:line="133" w:lineRule="exact"/>
              <w:jc w:val="center"/>
              <w:rPr>
                <w:b/>
                <w:sz w:val="13"/>
              </w:rPr>
            </w:pPr>
            <w:r>
              <w:rPr>
                <w:b/>
                <w:spacing w:val="-2"/>
                <w:w w:val="105"/>
                <w:sz w:val="13"/>
              </w:rPr>
              <w:t>504,030</w:t>
            </w:r>
          </w:p>
        </w:tc>
        <w:tc>
          <w:tcPr>
            <w:tcW w:w="900" w:type="dxa"/>
            <w:tcBorders>
              <w:top w:val="single" w:sz="6" w:space="0" w:color="000000"/>
              <w:bottom w:val="single" w:sz="6" w:space="0" w:color="000000"/>
            </w:tcBorders>
          </w:tcPr>
          <w:p>
            <w:pPr>
              <w:pStyle w:val="TableParagraph"/>
              <w:spacing w:line="133" w:lineRule="exact"/>
              <w:ind w:left="147" w:right="147"/>
              <w:jc w:val="center"/>
              <w:rPr>
                <w:b/>
                <w:sz w:val="13"/>
              </w:rPr>
            </w:pPr>
            <w:r>
              <w:rPr>
                <w:b/>
                <w:spacing w:val="-2"/>
                <w:w w:val="105"/>
                <w:sz w:val="13"/>
              </w:rPr>
              <w:t>490,984</w:t>
            </w:r>
          </w:p>
        </w:tc>
        <w:tc>
          <w:tcPr>
            <w:tcW w:w="763" w:type="dxa"/>
            <w:tcBorders>
              <w:top w:val="single" w:sz="6" w:space="0" w:color="000000"/>
              <w:bottom w:val="single" w:sz="6" w:space="0" w:color="000000"/>
            </w:tcBorders>
          </w:tcPr>
          <w:p>
            <w:pPr>
              <w:pStyle w:val="TableParagraph"/>
              <w:spacing w:line="133" w:lineRule="exact"/>
              <w:ind w:right="72"/>
              <w:jc w:val="right"/>
              <w:rPr>
                <w:b/>
                <w:sz w:val="13"/>
              </w:rPr>
            </w:pPr>
            <w:r>
              <w:rPr>
                <w:b/>
                <w:spacing w:val="-2"/>
                <w:w w:val="105"/>
                <w:sz w:val="13"/>
              </w:rPr>
              <w:t>499,630</w:t>
            </w:r>
          </w:p>
        </w:tc>
      </w:tr>
    </w:tbl>
    <w:p>
      <w:pPr>
        <w:spacing w:line="240" w:lineRule="auto" w:before="31"/>
        <w:rPr>
          <w:sz w:val="12"/>
        </w:rPr>
      </w:pPr>
    </w:p>
    <w:p>
      <w:pPr>
        <w:spacing w:before="0"/>
        <w:ind w:left="835" w:right="0" w:firstLine="0"/>
        <w:jc w:val="both"/>
        <w:rPr>
          <w:b/>
          <w:i/>
          <w:sz w:val="13"/>
        </w:rPr>
      </w:pPr>
      <w:r>
        <w:rPr>
          <w:b/>
          <w:i/>
          <w:color w:val="0070C0"/>
          <w:sz w:val="13"/>
        </w:rPr>
        <w:t>Accounting</w:t>
      </w:r>
      <w:r>
        <w:rPr>
          <w:b/>
          <w:i/>
          <w:color w:val="0070C0"/>
          <w:spacing w:val="16"/>
          <w:sz w:val="13"/>
        </w:rPr>
        <w:t> </w:t>
      </w:r>
      <w:r>
        <w:rPr>
          <w:b/>
          <w:i/>
          <w:color w:val="0070C0"/>
          <w:spacing w:val="-2"/>
          <w:sz w:val="13"/>
        </w:rPr>
        <w:t>policy</w:t>
      </w:r>
    </w:p>
    <w:p>
      <w:pPr>
        <w:spacing w:line="268" w:lineRule="auto" w:before="22"/>
        <w:ind w:left="835" w:right="2001" w:firstLine="0"/>
        <w:jc w:val="both"/>
        <w:rPr>
          <w:sz w:val="13"/>
        </w:rPr>
      </w:pPr>
      <w:r>
        <w:rPr>
          <w:spacing w:val="-2"/>
          <w:w w:val="105"/>
          <w:sz w:val="13"/>
        </w:rPr>
        <w:t>HELP represents financial assistance provided by</w:t>
      </w:r>
      <w:r>
        <w:rPr>
          <w:spacing w:val="-3"/>
          <w:w w:val="105"/>
          <w:sz w:val="13"/>
        </w:rPr>
        <w:t> </w:t>
      </w:r>
      <w:r>
        <w:rPr>
          <w:spacing w:val="-2"/>
          <w:w w:val="105"/>
          <w:sz w:val="13"/>
        </w:rPr>
        <w:t>the Commonwealth Government (in the form of a loan between the government and the</w:t>
      </w:r>
      <w:r>
        <w:rPr>
          <w:spacing w:val="40"/>
          <w:w w:val="105"/>
          <w:sz w:val="13"/>
        </w:rPr>
        <w:t> </w:t>
      </w:r>
      <w:r>
        <w:rPr>
          <w:w w:val="105"/>
          <w:sz w:val="13"/>
        </w:rPr>
        <w:t>student)</w:t>
      </w:r>
      <w:r>
        <w:rPr>
          <w:w w:val="105"/>
          <w:sz w:val="13"/>
        </w:rPr>
        <w:t> that</w:t>
      </w:r>
      <w:r>
        <w:rPr>
          <w:w w:val="105"/>
          <w:sz w:val="13"/>
        </w:rPr>
        <w:t> allows</w:t>
      </w:r>
      <w:r>
        <w:rPr>
          <w:w w:val="105"/>
          <w:sz w:val="13"/>
        </w:rPr>
        <w:t> eligible</w:t>
      </w:r>
      <w:r>
        <w:rPr>
          <w:w w:val="105"/>
          <w:sz w:val="13"/>
        </w:rPr>
        <w:t> students</w:t>
      </w:r>
      <w:r>
        <w:rPr>
          <w:w w:val="105"/>
          <w:sz w:val="13"/>
        </w:rPr>
        <w:t> to</w:t>
      </w:r>
      <w:r>
        <w:rPr>
          <w:w w:val="105"/>
          <w:sz w:val="13"/>
        </w:rPr>
        <w:t> pay</w:t>
      </w:r>
      <w:r>
        <w:rPr>
          <w:w w:val="105"/>
          <w:sz w:val="13"/>
        </w:rPr>
        <w:t> their</w:t>
      </w:r>
      <w:r>
        <w:rPr>
          <w:w w:val="105"/>
          <w:sz w:val="13"/>
        </w:rPr>
        <w:t> student</w:t>
      </w:r>
      <w:r>
        <w:rPr>
          <w:w w:val="105"/>
          <w:sz w:val="13"/>
        </w:rPr>
        <w:t> contribution</w:t>
      </w:r>
      <w:r>
        <w:rPr>
          <w:w w:val="105"/>
          <w:sz w:val="13"/>
        </w:rPr>
        <w:t> amounts</w:t>
      </w:r>
      <w:r>
        <w:rPr>
          <w:w w:val="105"/>
          <w:sz w:val="13"/>
        </w:rPr>
        <w:t> (HECS-HELP),</w:t>
      </w:r>
      <w:r>
        <w:rPr>
          <w:w w:val="105"/>
          <w:sz w:val="13"/>
        </w:rPr>
        <w:t> tuition</w:t>
      </w:r>
      <w:r>
        <w:rPr>
          <w:w w:val="105"/>
          <w:sz w:val="13"/>
        </w:rPr>
        <w:t> fees</w:t>
      </w:r>
      <w:r>
        <w:rPr>
          <w:w w:val="105"/>
          <w:sz w:val="13"/>
        </w:rPr>
        <w:t> (FEE-HELP),</w:t>
      </w:r>
      <w:r>
        <w:rPr>
          <w:w w:val="105"/>
          <w:sz w:val="13"/>
        </w:rPr>
        <w:t> and</w:t>
      </w:r>
      <w:r>
        <w:rPr>
          <w:w w:val="105"/>
          <w:sz w:val="13"/>
        </w:rPr>
        <w:t> student</w:t>
      </w:r>
      <w:r>
        <w:rPr>
          <w:spacing w:val="40"/>
          <w:w w:val="105"/>
          <w:sz w:val="13"/>
        </w:rPr>
        <w:t> </w:t>
      </w:r>
      <w:r>
        <w:rPr>
          <w:w w:val="105"/>
          <w:sz w:val="13"/>
        </w:rPr>
        <w:t>services and amenities fee (SA-HELP). This falls under AASB15 and the revenue is recognised over</w:t>
      </w:r>
      <w:r>
        <w:rPr>
          <w:w w:val="105"/>
          <w:sz w:val="13"/>
        </w:rPr>
        <w:t> time as</w:t>
      </w:r>
      <w:r>
        <w:rPr>
          <w:w w:val="105"/>
          <w:sz w:val="13"/>
        </w:rPr>
        <w:t> the students</w:t>
      </w:r>
      <w:r>
        <w:rPr>
          <w:w w:val="105"/>
          <w:sz w:val="13"/>
        </w:rPr>
        <w:t> receive the</w:t>
      </w:r>
      <w:r>
        <w:rPr>
          <w:spacing w:val="40"/>
          <w:w w:val="105"/>
          <w:sz w:val="13"/>
        </w:rPr>
        <w:t> </w:t>
      </w:r>
      <w:r>
        <w:rPr>
          <w:w w:val="105"/>
          <w:sz w:val="13"/>
        </w:rPr>
        <w:t>tuition services and the amenities.</w:t>
      </w:r>
    </w:p>
    <w:p>
      <w:pPr>
        <w:spacing w:line="240" w:lineRule="auto" w:before="1"/>
        <w:rPr>
          <w:sz w:val="15"/>
        </w:rPr>
      </w:pPr>
      <w:r>
        <w:rPr/>
        <mc:AlternateContent>
          <mc:Choice Requires="wps">
            <w:drawing>
              <wp:anchor distT="0" distB="0" distL="0" distR="0" allowOverlap="1" layoutInCell="1" locked="0" behindDoc="1" simplePos="0" relativeHeight="487736832">
                <wp:simplePos x="0" y="0"/>
                <wp:positionH relativeFrom="page">
                  <wp:posOffset>720001</wp:posOffset>
                </wp:positionH>
                <wp:positionV relativeFrom="paragraph">
                  <wp:posOffset>125427</wp:posOffset>
                </wp:positionV>
                <wp:extent cx="5584825" cy="16510"/>
                <wp:effectExtent l="0" t="0" r="0" b="0"/>
                <wp:wrapTopAndBottom/>
                <wp:docPr id="897" name="Graphic 897"/>
                <wp:cNvGraphicFramePr>
                  <a:graphicFrameLocks/>
                </wp:cNvGraphicFramePr>
                <a:graphic>
                  <a:graphicData uri="http://schemas.microsoft.com/office/word/2010/wordprocessingShape">
                    <wps:wsp>
                      <wps:cNvPr id="897" name="Graphic 897"/>
                      <wps:cNvSpPr/>
                      <wps:spPr>
                        <a:xfrm>
                          <a:off x="0" y="0"/>
                          <a:ext cx="5584825" cy="16510"/>
                        </a:xfrm>
                        <a:custGeom>
                          <a:avLst/>
                          <a:gdLst/>
                          <a:ahLst/>
                          <a:cxnLst/>
                          <a:rect l="l" t="t" r="r" b="b"/>
                          <a:pathLst>
                            <a:path w="5584825" h="16510">
                              <a:moveTo>
                                <a:pt x="5584431" y="0"/>
                              </a:moveTo>
                              <a:lnTo>
                                <a:pt x="0" y="0"/>
                              </a:lnTo>
                              <a:lnTo>
                                <a:pt x="0" y="16509"/>
                              </a:lnTo>
                              <a:lnTo>
                                <a:pt x="5584431" y="16509"/>
                              </a:lnTo>
                              <a:lnTo>
                                <a:pt x="5584431"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6.693001pt;margin-top:9.876155pt;width:439.719pt;height:1.3pt;mso-position-horizontal-relative:page;mso-position-vertical-relative:paragraph;z-index:-15579648;mso-wrap-distance-left:0;mso-wrap-distance-right:0" id="docshape591" filled="true" fillcolor="#4f81bd" stroked="false">
                <v:fill type="solid"/>
                <w10:wrap type="topAndBottom"/>
              </v:rect>
            </w:pict>
          </mc:Fallback>
        </mc:AlternateContent>
      </w:r>
    </w:p>
    <w:p>
      <w:pPr>
        <w:spacing w:line="240" w:lineRule="auto" w:before="1"/>
        <w:rPr>
          <w:sz w:val="6"/>
        </w:rPr>
      </w:pPr>
    </w:p>
    <w:p>
      <w:pPr>
        <w:spacing w:after="0" w:line="240" w:lineRule="auto"/>
        <w:rPr>
          <w:sz w:val="6"/>
        </w:rPr>
        <w:sectPr>
          <w:pgSz w:w="11910" w:h="16840"/>
          <w:pgMar w:header="468" w:footer="0" w:top="720" w:bottom="280" w:left="920" w:right="0"/>
        </w:sectPr>
      </w:pPr>
    </w:p>
    <w:p>
      <w:pPr>
        <w:pStyle w:val="ListParagraph"/>
        <w:numPr>
          <w:ilvl w:val="1"/>
          <w:numId w:val="13"/>
        </w:numPr>
        <w:tabs>
          <w:tab w:pos="465" w:val="left" w:leader="none"/>
        </w:tabs>
        <w:spacing w:line="240" w:lineRule="auto" w:before="85" w:after="0"/>
        <w:ind w:left="465" w:right="0" w:hanging="221"/>
        <w:jc w:val="left"/>
        <w:rPr>
          <w:b/>
          <w:color w:val="0070C0"/>
          <w:sz w:val="14"/>
        </w:rPr>
      </w:pPr>
    </w:p>
    <w:p>
      <w:pPr>
        <w:spacing w:before="48"/>
        <w:ind w:left="244" w:right="0" w:firstLine="0"/>
        <w:jc w:val="left"/>
        <w:rPr>
          <w:b/>
          <w:sz w:val="16"/>
        </w:rPr>
      </w:pPr>
      <w:r>
        <w:rPr/>
        <w:br w:type="column"/>
      </w:r>
      <w:r>
        <w:rPr>
          <w:b/>
          <w:color w:val="0070C0"/>
          <w:sz w:val="16"/>
        </w:rPr>
        <w:t>Western</w:t>
      </w:r>
      <w:r>
        <w:rPr>
          <w:b/>
          <w:color w:val="0070C0"/>
          <w:spacing w:val="-7"/>
          <w:sz w:val="16"/>
        </w:rPr>
        <w:t> </w:t>
      </w:r>
      <w:r>
        <w:rPr>
          <w:b/>
          <w:color w:val="0070C0"/>
          <w:sz w:val="16"/>
        </w:rPr>
        <w:t>Australian</w:t>
      </w:r>
      <w:r>
        <w:rPr>
          <w:b/>
          <w:color w:val="0070C0"/>
          <w:spacing w:val="-6"/>
          <w:sz w:val="16"/>
        </w:rPr>
        <w:t> </w:t>
      </w:r>
      <w:r>
        <w:rPr>
          <w:b/>
          <w:color w:val="0070C0"/>
          <w:sz w:val="16"/>
        </w:rPr>
        <w:t>and</w:t>
      </w:r>
      <w:r>
        <w:rPr>
          <w:b/>
          <w:color w:val="0070C0"/>
          <w:spacing w:val="-6"/>
          <w:sz w:val="16"/>
        </w:rPr>
        <w:t> </w:t>
      </w:r>
      <w:r>
        <w:rPr>
          <w:b/>
          <w:color w:val="0070C0"/>
          <w:sz w:val="16"/>
        </w:rPr>
        <w:t>Local</w:t>
      </w:r>
      <w:r>
        <w:rPr>
          <w:b/>
          <w:color w:val="0070C0"/>
          <w:spacing w:val="-4"/>
          <w:sz w:val="16"/>
        </w:rPr>
        <w:t> </w:t>
      </w:r>
      <w:r>
        <w:rPr>
          <w:b/>
          <w:color w:val="0070C0"/>
          <w:sz w:val="16"/>
        </w:rPr>
        <w:t>Government</w:t>
      </w:r>
      <w:r>
        <w:rPr>
          <w:b/>
          <w:color w:val="0070C0"/>
          <w:spacing w:val="-5"/>
          <w:sz w:val="16"/>
        </w:rPr>
        <w:t> </w:t>
      </w:r>
      <w:r>
        <w:rPr>
          <w:b/>
          <w:color w:val="0070C0"/>
          <w:spacing w:val="-2"/>
          <w:sz w:val="16"/>
        </w:rPr>
        <w:t>financial</w:t>
      </w:r>
    </w:p>
    <w:p>
      <w:pPr>
        <w:tabs>
          <w:tab w:pos="2144" w:val="left" w:leader="none"/>
        </w:tabs>
        <w:spacing w:before="113"/>
        <w:ind w:left="244" w:right="0" w:firstLine="0"/>
        <w:jc w:val="left"/>
        <w:rPr>
          <w:b/>
          <w:sz w:val="13"/>
        </w:rPr>
      </w:pPr>
      <w:r>
        <w:rPr/>
        <w:br w:type="column"/>
      </w:r>
      <w:r>
        <w:rPr>
          <w:b/>
          <w:spacing w:val="-2"/>
          <w:w w:val="105"/>
          <w:sz w:val="13"/>
        </w:rPr>
        <w:t>Consolidated</w:t>
      </w:r>
      <w:r>
        <w:rPr>
          <w:b/>
          <w:sz w:val="13"/>
        </w:rPr>
        <w:tab/>
      </w:r>
      <w:r>
        <w:rPr>
          <w:b/>
          <w:spacing w:val="-2"/>
          <w:w w:val="105"/>
          <w:sz w:val="13"/>
        </w:rPr>
        <w:t>University</w:t>
      </w:r>
    </w:p>
    <w:p>
      <w:pPr>
        <w:spacing w:after="0"/>
        <w:jc w:val="left"/>
        <w:rPr>
          <w:sz w:val="13"/>
        </w:rPr>
        <w:sectPr>
          <w:type w:val="continuous"/>
          <w:pgSz w:w="11910" w:h="16840"/>
          <w:pgMar w:header="468" w:footer="0" w:top="980" w:bottom="280" w:left="920" w:right="0"/>
          <w:cols w:num="3" w:equalWidth="0">
            <w:col w:w="508" w:space="88"/>
            <w:col w:w="4216" w:space="834"/>
            <w:col w:w="5344"/>
          </w:cols>
        </w:sectPr>
      </w:pPr>
    </w:p>
    <w:tbl>
      <w:tblPr>
        <w:tblW w:w="0" w:type="auto"/>
        <w:jc w:val="left"/>
        <w:tblInd w:w="8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608"/>
        <w:gridCol w:w="1014"/>
        <w:gridCol w:w="899"/>
        <w:gridCol w:w="899"/>
        <w:gridCol w:w="786"/>
      </w:tblGrid>
      <w:tr>
        <w:trPr>
          <w:trHeight w:val="356" w:hRule="atLeast"/>
        </w:trPr>
        <w:tc>
          <w:tcPr>
            <w:tcW w:w="4608" w:type="dxa"/>
          </w:tcPr>
          <w:p>
            <w:pPr>
              <w:pStyle w:val="TableParagraph"/>
              <w:spacing w:line="169" w:lineRule="exact"/>
              <w:ind w:left="38"/>
              <w:rPr>
                <w:b/>
                <w:sz w:val="16"/>
              </w:rPr>
            </w:pPr>
            <w:r>
              <w:rPr>
                <w:b/>
                <w:color w:val="0070C0"/>
                <w:spacing w:val="-2"/>
                <w:sz w:val="16"/>
              </w:rPr>
              <w:t>assistance</w:t>
            </w:r>
          </w:p>
        </w:tc>
        <w:tc>
          <w:tcPr>
            <w:tcW w:w="1014" w:type="dxa"/>
            <w:tcBorders>
              <w:bottom w:val="single" w:sz="6" w:space="0" w:color="000000"/>
            </w:tcBorders>
          </w:tcPr>
          <w:p>
            <w:pPr>
              <w:pStyle w:val="TableParagraph"/>
              <w:spacing w:before="24"/>
              <w:ind w:left="307"/>
              <w:rPr>
                <w:b/>
                <w:sz w:val="13"/>
              </w:rPr>
            </w:pPr>
            <w:r>
              <w:rPr>
                <w:b/>
                <w:spacing w:val="-4"/>
                <w:w w:val="105"/>
                <w:sz w:val="13"/>
              </w:rPr>
              <w:t>2020</w:t>
            </w:r>
          </w:p>
          <w:p>
            <w:pPr>
              <w:pStyle w:val="TableParagraph"/>
              <w:spacing w:line="143" w:lineRule="exact" w:before="20"/>
              <w:ind w:left="292"/>
              <w:rPr>
                <w:b/>
                <w:sz w:val="13"/>
              </w:rPr>
            </w:pPr>
            <w:r>
              <w:rPr>
                <w:b/>
                <w:spacing w:val="-2"/>
                <w:w w:val="105"/>
                <w:sz w:val="13"/>
              </w:rPr>
              <w:t>$'000</w:t>
            </w:r>
          </w:p>
        </w:tc>
        <w:tc>
          <w:tcPr>
            <w:tcW w:w="899" w:type="dxa"/>
            <w:tcBorders>
              <w:bottom w:val="single" w:sz="6" w:space="0" w:color="000000"/>
            </w:tcBorders>
          </w:tcPr>
          <w:p>
            <w:pPr>
              <w:pStyle w:val="TableParagraph"/>
              <w:spacing w:before="24"/>
              <w:ind w:left="193"/>
              <w:rPr>
                <w:b/>
                <w:sz w:val="13"/>
              </w:rPr>
            </w:pPr>
            <w:r>
              <w:rPr>
                <w:b/>
                <w:spacing w:val="-4"/>
                <w:w w:val="105"/>
                <w:sz w:val="13"/>
              </w:rPr>
              <w:t>2019</w:t>
            </w:r>
          </w:p>
          <w:p>
            <w:pPr>
              <w:pStyle w:val="TableParagraph"/>
              <w:spacing w:line="143" w:lineRule="exact" w:before="20"/>
              <w:ind w:left="177"/>
              <w:rPr>
                <w:b/>
                <w:sz w:val="13"/>
              </w:rPr>
            </w:pPr>
            <w:r>
              <w:rPr>
                <w:b/>
                <w:spacing w:val="-2"/>
                <w:w w:val="105"/>
                <w:sz w:val="13"/>
              </w:rPr>
              <w:t>$'000</w:t>
            </w:r>
          </w:p>
        </w:tc>
        <w:tc>
          <w:tcPr>
            <w:tcW w:w="899" w:type="dxa"/>
            <w:tcBorders>
              <w:bottom w:val="single" w:sz="6" w:space="0" w:color="000000"/>
            </w:tcBorders>
          </w:tcPr>
          <w:p>
            <w:pPr>
              <w:pStyle w:val="TableParagraph"/>
              <w:spacing w:before="24"/>
              <w:ind w:left="193"/>
              <w:rPr>
                <w:b/>
                <w:sz w:val="13"/>
              </w:rPr>
            </w:pPr>
            <w:r>
              <w:rPr>
                <w:b/>
                <w:spacing w:val="-4"/>
                <w:w w:val="105"/>
                <w:sz w:val="13"/>
              </w:rPr>
              <w:t>2020</w:t>
            </w:r>
          </w:p>
          <w:p>
            <w:pPr>
              <w:pStyle w:val="TableParagraph"/>
              <w:spacing w:line="143" w:lineRule="exact" w:before="20"/>
              <w:ind w:left="178"/>
              <w:rPr>
                <w:b/>
                <w:sz w:val="13"/>
              </w:rPr>
            </w:pPr>
            <w:r>
              <w:rPr>
                <w:b/>
                <w:spacing w:val="-2"/>
                <w:w w:val="105"/>
                <w:sz w:val="13"/>
              </w:rPr>
              <w:t>$'000</w:t>
            </w:r>
          </w:p>
        </w:tc>
        <w:tc>
          <w:tcPr>
            <w:tcW w:w="786" w:type="dxa"/>
            <w:tcBorders>
              <w:bottom w:val="single" w:sz="6" w:space="0" w:color="000000"/>
            </w:tcBorders>
          </w:tcPr>
          <w:p>
            <w:pPr>
              <w:pStyle w:val="TableParagraph"/>
              <w:spacing w:before="24"/>
              <w:ind w:left="193"/>
              <w:rPr>
                <w:b/>
                <w:sz w:val="13"/>
              </w:rPr>
            </w:pPr>
            <w:r>
              <w:rPr>
                <w:b/>
                <w:spacing w:val="-4"/>
                <w:w w:val="105"/>
                <w:sz w:val="13"/>
              </w:rPr>
              <w:t>2019</w:t>
            </w:r>
          </w:p>
          <w:p>
            <w:pPr>
              <w:pStyle w:val="TableParagraph"/>
              <w:spacing w:line="143" w:lineRule="exact" w:before="20"/>
              <w:ind w:left="178"/>
              <w:rPr>
                <w:b/>
                <w:sz w:val="13"/>
              </w:rPr>
            </w:pPr>
            <w:r>
              <w:rPr>
                <w:b/>
                <w:spacing w:val="-2"/>
                <w:w w:val="105"/>
                <w:sz w:val="13"/>
              </w:rPr>
              <w:t>$'000</w:t>
            </w:r>
          </w:p>
        </w:tc>
      </w:tr>
      <w:tr>
        <w:trPr>
          <w:trHeight w:val="329" w:hRule="atLeast"/>
        </w:trPr>
        <w:tc>
          <w:tcPr>
            <w:tcW w:w="4608" w:type="dxa"/>
          </w:tcPr>
          <w:p>
            <w:pPr>
              <w:pStyle w:val="TableParagraph"/>
              <w:spacing w:line="140" w:lineRule="exact"/>
              <w:ind w:left="34"/>
              <w:rPr>
                <w:b/>
                <w:sz w:val="13"/>
              </w:rPr>
            </w:pPr>
            <w:r>
              <w:rPr>
                <w:b/>
                <w:sz w:val="13"/>
              </w:rPr>
              <w:t>Non-</w:t>
            </w:r>
            <w:r>
              <w:rPr>
                <w:b/>
                <w:spacing w:val="-2"/>
                <w:sz w:val="13"/>
              </w:rPr>
              <w:t>capital</w:t>
            </w:r>
          </w:p>
          <w:p>
            <w:pPr>
              <w:pStyle w:val="TableParagraph"/>
              <w:spacing w:before="19"/>
              <w:ind w:left="34"/>
              <w:rPr>
                <w:sz w:val="13"/>
              </w:rPr>
            </w:pPr>
            <w:r>
              <w:rPr>
                <w:sz w:val="13"/>
              </w:rPr>
              <w:t>Western</w:t>
            </w:r>
            <w:r>
              <w:rPr>
                <w:spacing w:val="10"/>
                <w:sz w:val="13"/>
              </w:rPr>
              <w:t> </w:t>
            </w:r>
            <w:r>
              <w:rPr>
                <w:sz w:val="13"/>
              </w:rPr>
              <w:t>Australian</w:t>
            </w:r>
            <w:r>
              <w:rPr>
                <w:spacing w:val="10"/>
                <w:sz w:val="13"/>
              </w:rPr>
              <w:t> </w:t>
            </w:r>
            <w:r>
              <w:rPr>
                <w:sz w:val="13"/>
              </w:rPr>
              <w:t>research</w:t>
            </w:r>
            <w:r>
              <w:rPr>
                <w:spacing w:val="11"/>
                <w:sz w:val="13"/>
              </w:rPr>
              <w:t> </w:t>
            </w:r>
            <w:r>
              <w:rPr>
                <w:spacing w:val="-2"/>
                <w:sz w:val="13"/>
              </w:rPr>
              <w:t>grants</w:t>
            </w:r>
          </w:p>
        </w:tc>
        <w:tc>
          <w:tcPr>
            <w:tcW w:w="1014" w:type="dxa"/>
            <w:tcBorders>
              <w:top w:val="single" w:sz="6" w:space="0" w:color="000000"/>
            </w:tcBorders>
          </w:tcPr>
          <w:p>
            <w:pPr>
              <w:pStyle w:val="TableParagraph"/>
              <w:spacing w:before="10"/>
              <w:rPr>
                <w:b/>
                <w:sz w:val="13"/>
              </w:rPr>
            </w:pPr>
          </w:p>
          <w:p>
            <w:pPr>
              <w:pStyle w:val="TableParagraph"/>
              <w:ind w:right="183"/>
              <w:jc w:val="right"/>
              <w:rPr>
                <w:sz w:val="13"/>
              </w:rPr>
            </w:pPr>
            <w:r>
              <w:rPr>
                <w:spacing w:val="-2"/>
                <w:w w:val="105"/>
                <w:sz w:val="13"/>
              </w:rPr>
              <w:t>17,145</w:t>
            </w:r>
          </w:p>
        </w:tc>
        <w:tc>
          <w:tcPr>
            <w:tcW w:w="899" w:type="dxa"/>
            <w:tcBorders>
              <w:top w:val="single" w:sz="6" w:space="0" w:color="000000"/>
            </w:tcBorders>
          </w:tcPr>
          <w:p>
            <w:pPr>
              <w:pStyle w:val="TableParagraph"/>
              <w:spacing w:before="10"/>
              <w:rPr>
                <w:b/>
                <w:sz w:val="13"/>
              </w:rPr>
            </w:pPr>
          </w:p>
          <w:p>
            <w:pPr>
              <w:pStyle w:val="TableParagraph"/>
              <w:ind w:right="183"/>
              <w:jc w:val="right"/>
              <w:rPr>
                <w:sz w:val="13"/>
              </w:rPr>
            </w:pPr>
            <w:r>
              <w:rPr>
                <w:spacing w:val="-2"/>
                <w:w w:val="105"/>
                <w:sz w:val="13"/>
              </w:rPr>
              <w:t>16,872</w:t>
            </w:r>
          </w:p>
        </w:tc>
        <w:tc>
          <w:tcPr>
            <w:tcW w:w="899" w:type="dxa"/>
            <w:tcBorders>
              <w:top w:val="single" w:sz="6" w:space="0" w:color="000000"/>
            </w:tcBorders>
          </w:tcPr>
          <w:p>
            <w:pPr>
              <w:pStyle w:val="TableParagraph"/>
              <w:spacing w:before="10"/>
              <w:rPr>
                <w:b/>
                <w:sz w:val="13"/>
              </w:rPr>
            </w:pPr>
          </w:p>
          <w:p>
            <w:pPr>
              <w:pStyle w:val="TableParagraph"/>
              <w:ind w:right="183"/>
              <w:jc w:val="right"/>
              <w:rPr>
                <w:sz w:val="13"/>
              </w:rPr>
            </w:pPr>
            <w:r>
              <w:rPr>
                <w:spacing w:val="-2"/>
                <w:w w:val="105"/>
                <w:sz w:val="13"/>
              </w:rPr>
              <w:t>17,145</w:t>
            </w:r>
          </w:p>
        </w:tc>
        <w:tc>
          <w:tcPr>
            <w:tcW w:w="786" w:type="dxa"/>
            <w:tcBorders>
              <w:top w:val="single" w:sz="6" w:space="0" w:color="000000"/>
            </w:tcBorders>
          </w:tcPr>
          <w:p>
            <w:pPr>
              <w:pStyle w:val="TableParagraph"/>
              <w:spacing w:before="10"/>
              <w:rPr>
                <w:b/>
                <w:sz w:val="13"/>
              </w:rPr>
            </w:pPr>
          </w:p>
          <w:p>
            <w:pPr>
              <w:pStyle w:val="TableParagraph"/>
              <w:ind w:right="70"/>
              <w:jc w:val="right"/>
              <w:rPr>
                <w:sz w:val="13"/>
              </w:rPr>
            </w:pPr>
            <w:r>
              <w:rPr>
                <w:spacing w:val="-2"/>
                <w:w w:val="105"/>
                <w:sz w:val="13"/>
              </w:rPr>
              <w:t>16,872</w:t>
            </w:r>
          </w:p>
        </w:tc>
      </w:tr>
      <w:tr>
        <w:trPr>
          <w:trHeight w:val="168" w:hRule="atLeast"/>
        </w:trPr>
        <w:tc>
          <w:tcPr>
            <w:tcW w:w="4608" w:type="dxa"/>
          </w:tcPr>
          <w:p>
            <w:pPr>
              <w:pStyle w:val="TableParagraph"/>
              <w:spacing w:line="149" w:lineRule="exact"/>
              <w:ind w:left="34"/>
              <w:rPr>
                <w:sz w:val="13"/>
              </w:rPr>
            </w:pPr>
            <w:r>
              <w:rPr>
                <w:sz w:val="13"/>
              </w:rPr>
              <w:t>Western</w:t>
            </w:r>
            <w:r>
              <w:rPr>
                <w:spacing w:val="8"/>
                <w:sz w:val="13"/>
              </w:rPr>
              <w:t> </w:t>
            </w:r>
            <w:r>
              <w:rPr>
                <w:sz w:val="13"/>
              </w:rPr>
              <w:t>Australian</w:t>
            </w:r>
            <w:r>
              <w:rPr>
                <w:spacing w:val="8"/>
                <w:sz w:val="13"/>
              </w:rPr>
              <w:t> </w:t>
            </w:r>
            <w:r>
              <w:rPr>
                <w:sz w:val="13"/>
              </w:rPr>
              <w:t>other</w:t>
            </w:r>
            <w:r>
              <w:rPr>
                <w:spacing w:val="10"/>
                <w:sz w:val="13"/>
              </w:rPr>
              <w:t> </w:t>
            </w:r>
            <w:r>
              <w:rPr>
                <w:spacing w:val="-2"/>
                <w:sz w:val="13"/>
              </w:rPr>
              <w:t>grants</w:t>
            </w:r>
          </w:p>
        </w:tc>
        <w:tc>
          <w:tcPr>
            <w:tcW w:w="1014" w:type="dxa"/>
          </w:tcPr>
          <w:p>
            <w:pPr>
              <w:pStyle w:val="TableParagraph"/>
              <w:spacing w:line="149" w:lineRule="exact"/>
              <w:ind w:right="183"/>
              <w:jc w:val="right"/>
              <w:rPr>
                <w:sz w:val="13"/>
              </w:rPr>
            </w:pPr>
            <w:r>
              <w:rPr>
                <w:spacing w:val="-2"/>
                <w:w w:val="105"/>
                <w:sz w:val="13"/>
              </w:rPr>
              <w:t>29,237</w:t>
            </w:r>
          </w:p>
        </w:tc>
        <w:tc>
          <w:tcPr>
            <w:tcW w:w="899" w:type="dxa"/>
          </w:tcPr>
          <w:p>
            <w:pPr>
              <w:pStyle w:val="TableParagraph"/>
              <w:spacing w:line="149" w:lineRule="exact"/>
              <w:ind w:right="183"/>
              <w:jc w:val="right"/>
              <w:rPr>
                <w:sz w:val="13"/>
              </w:rPr>
            </w:pPr>
            <w:r>
              <w:rPr>
                <w:spacing w:val="-2"/>
                <w:w w:val="105"/>
                <w:sz w:val="13"/>
              </w:rPr>
              <w:t>29,090</w:t>
            </w:r>
          </w:p>
        </w:tc>
        <w:tc>
          <w:tcPr>
            <w:tcW w:w="899" w:type="dxa"/>
          </w:tcPr>
          <w:p>
            <w:pPr>
              <w:pStyle w:val="TableParagraph"/>
              <w:spacing w:line="149" w:lineRule="exact"/>
              <w:ind w:right="183"/>
              <w:jc w:val="right"/>
              <w:rPr>
                <w:sz w:val="13"/>
              </w:rPr>
            </w:pPr>
            <w:r>
              <w:rPr>
                <w:spacing w:val="-2"/>
                <w:w w:val="105"/>
                <w:sz w:val="13"/>
              </w:rPr>
              <w:t>23,824</w:t>
            </w:r>
          </w:p>
        </w:tc>
        <w:tc>
          <w:tcPr>
            <w:tcW w:w="786" w:type="dxa"/>
          </w:tcPr>
          <w:p>
            <w:pPr>
              <w:pStyle w:val="TableParagraph"/>
              <w:spacing w:line="149" w:lineRule="exact"/>
              <w:ind w:right="70"/>
              <w:jc w:val="right"/>
              <w:rPr>
                <w:sz w:val="13"/>
              </w:rPr>
            </w:pPr>
            <w:r>
              <w:rPr>
                <w:spacing w:val="-2"/>
                <w:w w:val="105"/>
                <w:sz w:val="13"/>
              </w:rPr>
              <w:t>19,481</w:t>
            </w:r>
          </w:p>
        </w:tc>
      </w:tr>
      <w:tr>
        <w:trPr>
          <w:trHeight w:val="162" w:hRule="atLeast"/>
        </w:trPr>
        <w:tc>
          <w:tcPr>
            <w:tcW w:w="4608" w:type="dxa"/>
          </w:tcPr>
          <w:p>
            <w:pPr>
              <w:pStyle w:val="TableParagraph"/>
              <w:spacing w:line="143" w:lineRule="exact"/>
              <w:ind w:left="35"/>
              <w:rPr>
                <w:sz w:val="13"/>
              </w:rPr>
            </w:pPr>
            <w:r>
              <w:rPr>
                <w:sz w:val="13"/>
              </w:rPr>
              <w:t>Local</w:t>
            </w:r>
            <w:r>
              <w:rPr>
                <w:spacing w:val="8"/>
                <w:sz w:val="13"/>
              </w:rPr>
              <w:t> </w:t>
            </w:r>
            <w:r>
              <w:rPr>
                <w:sz w:val="13"/>
              </w:rPr>
              <w:t>Government</w:t>
            </w:r>
            <w:r>
              <w:rPr>
                <w:spacing w:val="8"/>
                <w:sz w:val="13"/>
              </w:rPr>
              <w:t> </w:t>
            </w:r>
            <w:r>
              <w:rPr>
                <w:sz w:val="13"/>
              </w:rPr>
              <w:t>research</w:t>
            </w:r>
            <w:r>
              <w:rPr>
                <w:spacing w:val="6"/>
                <w:sz w:val="13"/>
              </w:rPr>
              <w:t> </w:t>
            </w:r>
            <w:r>
              <w:rPr>
                <w:spacing w:val="-2"/>
                <w:sz w:val="13"/>
              </w:rPr>
              <w:t>grants</w:t>
            </w:r>
          </w:p>
        </w:tc>
        <w:tc>
          <w:tcPr>
            <w:tcW w:w="1014" w:type="dxa"/>
            <w:tcBorders>
              <w:bottom w:val="single" w:sz="6" w:space="0" w:color="000000"/>
            </w:tcBorders>
          </w:tcPr>
          <w:p>
            <w:pPr>
              <w:pStyle w:val="TableParagraph"/>
              <w:spacing w:line="143" w:lineRule="exact"/>
              <w:ind w:right="182"/>
              <w:jc w:val="right"/>
              <w:rPr>
                <w:sz w:val="13"/>
              </w:rPr>
            </w:pPr>
            <w:r>
              <w:rPr>
                <w:spacing w:val="-10"/>
                <w:w w:val="105"/>
                <w:sz w:val="13"/>
              </w:rPr>
              <w:t>6</w:t>
            </w:r>
          </w:p>
        </w:tc>
        <w:tc>
          <w:tcPr>
            <w:tcW w:w="899" w:type="dxa"/>
            <w:tcBorders>
              <w:bottom w:val="single" w:sz="6" w:space="0" w:color="000000"/>
            </w:tcBorders>
          </w:tcPr>
          <w:p>
            <w:pPr>
              <w:pStyle w:val="TableParagraph"/>
              <w:spacing w:line="143" w:lineRule="exact"/>
              <w:ind w:right="183"/>
              <w:jc w:val="right"/>
              <w:rPr>
                <w:sz w:val="13"/>
              </w:rPr>
            </w:pPr>
            <w:r>
              <w:rPr>
                <w:spacing w:val="-5"/>
                <w:w w:val="105"/>
                <w:sz w:val="13"/>
              </w:rPr>
              <w:t>150</w:t>
            </w:r>
          </w:p>
        </w:tc>
        <w:tc>
          <w:tcPr>
            <w:tcW w:w="899" w:type="dxa"/>
            <w:tcBorders>
              <w:bottom w:val="single" w:sz="6" w:space="0" w:color="000000"/>
            </w:tcBorders>
          </w:tcPr>
          <w:p>
            <w:pPr>
              <w:pStyle w:val="TableParagraph"/>
              <w:spacing w:line="143" w:lineRule="exact"/>
              <w:ind w:right="183"/>
              <w:jc w:val="right"/>
              <w:rPr>
                <w:sz w:val="13"/>
              </w:rPr>
            </w:pPr>
            <w:r>
              <w:rPr>
                <w:spacing w:val="-10"/>
                <w:w w:val="105"/>
                <w:sz w:val="13"/>
              </w:rPr>
              <w:t>6</w:t>
            </w:r>
          </w:p>
        </w:tc>
        <w:tc>
          <w:tcPr>
            <w:tcW w:w="786" w:type="dxa"/>
            <w:tcBorders>
              <w:bottom w:val="single" w:sz="6" w:space="0" w:color="000000"/>
            </w:tcBorders>
          </w:tcPr>
          <w:p>
            <w:pPr>
              <w:pStyle w:val="TableParagraph"/>
              <w:spacing w:line="143" w:lineRule="exact"/>
              <w:ind w:right="70"/>
              <w:jc w:val="right"/>
              <w:rPr>
                <w:sz w:val="13"/>
              </w:rPr>
            </w:pPr>
            <w:r>
              <w:rPr>
                <w:spacing w:val="-5"/>
                <w:w w:val="105"/>
                <w:sz w:val="13"/>
              </w:rPr>
              <w:t>150</w:t>
            </w:r>
          </w:p>
        </w:tc>
      </w:tr>
      <w:tr>
        <w:trPr>
          <w:trHeight w:val="154" w:hRule="atLeast"/>
        </w:trPr>
        <w:tc>
          <w:tcPr>
            <w:tcW w:w="4608" w:type="dxa"/>
          </w:tcPr>
          <w:p>
            <w:pPr>
              <w:pStyle w:val="TableParagraph"/>
              <w:spacing w:line="134" w:lineRule="exact"/>
              <w:ind w:left="35"/>
              <w:rPr>
                <w:b/>
                <w:sz w:val="13"/>
              </w:rPr>
            </w:pPr>
            <w:r>
              <w:rPr>
                <w:b/>
                <w:sz w:val="13"/>
              </w:rPr>
              <w:t>Total</w:t>
            </w:r>
            <w:r>
              <w:rPr>
                <w:b/>
                <w:spacing w:val="10"/>
                <w:sz w:val="13"/>
              </w:rPr>
              <w:t> </w:t>
            </w:r>
            <w:r>
              <w:rPr>
                <w:b/>
                <w:sz w:val="13"/>
              </w:rPr>
              <w:t>non-capital</w:t>
            </w:r>
            <w:r>
              <w:rPr>
                <w:b/>
                <w:spacing w:val="11"/>
                <w:sz w:val="13"/>
              </w:rPr>
              <w:t> </w:t>
            </w:r>
            <w:r>
              <w:rPr>
                <w:b/>
                <w:spacing w:val="-2"/>
                <w:sz w:val="13"/>
              </w:rPr>
              <w:t>grants</w:t>
            </w:r>
          </w:p>
        </w:tc>
        <w:tc>
          <w:tcPr>
            <w:tcW w:w="1014" w:type="dxa"/>
            <w:tcBorders>
              <w:top w:val="single" w:sz="6" w:space="0" w:color="000000"/>
              <w:bottom w:val="single" w:sz="6" w:space="0" w:color="000000"/>
            </w:tcBorders>
          </w:tcPr>
          <w:p>
            <w:pPr>
              <w:pStyle w:val="TableParagraph"/>
              <w:spacing w:line="134" w:lineRule="exact"/>
              <w:ind w:right="183"/>
              <w:jc w:val="right"/>
              <w:rPr>
                <w:b/>
                <w:sz w:val="13"/>
              </w:rPr>
            </w:pPr>
            <w:r>
              <w:rPr>
                <w:b/>
                <w:spacing w:val="-2"/>
                <w:w w:val="105"/>
                <w:sz w:val="13"/>
              </w:rPr>
              <w:t>46,388</w:t>
            </w:r>
          </w:p>
        </w:tc>
        <w:tc>
          <w:tcPr>
            <w:tcW w:w="899" w:type="dxa"/>
            <w:tcBorders>
              <w:top w:val="single" w:sz="6" w:space="0" w:color="000000"/>
              <w:bottom w:val="single" w:sz="6" w:space="0" w:color="000000"/>
            </w:tcBorders>
          </w:tcPr>
          <w:p>
            <w:pPr>
              <w:pStyle w:val="TableParagraph"/>
              <w:spacing w:line="134" w:lineRule="exact"/>
              <w:ind w:right="183"/>
              <w:jc w:val="right"/>
              <w:rPr>
                <w:b/>
                <w:sz w:val="13"/>
              </w:rPr>
            </w:pPr>
            <w:r>
              <w:rPr>
                <w:b/>
                <w:spacing w:val="-2"/>
                <w:w w:val="105"/>
                <w:sz w:val="13"/>
              </w:rPr>
              <w:t>46,112</w:t>
            </w:r>
          </w:p>
        </w:tc>
        <w:tc>
          <w:tcPr>
            <w:tcW w:w="899" w:type="dxa"/>
            <w:tcBorders>
              <w:top w:val="single" w:sz="6" w:space="0" w:color="000000"/>
              <w:bottom w:val="single" w:sz="6" w:space="0" w:color="000000"/>
            </w:tcBorders>
          </w:tcPr>
          <w:p>
            <w:pPr>
              <w:pStyle w:val="TableParagraph"/>
              <w:spacing w:line="134" w:lineRule="exact"/>
              <w:ind w:right="182"/>
              <w:jc w:val="right"/>
              <w:rPr>
                <w:b/>
                <w:sz w:val="13"/>
              </w:rPr>
            </w:pPr>
            <w:r>
              <w:rPr>
                <w:b/>
                <w:spacing w:val="-2"/>
                <w:w w:val="105"/>
                <w:sz w:val="13"/>
              </w:rPr>
              <w:t>40,975</w:t>
            </w:r>
          </w:p>
        </w:tc>
        <w:tc>
          <w:tcPr>
            <w:tcW w:w="786" w:type="dxa"/>
            <w:tcBorders>
              <w:top w:val="single" w:sz="6" w:space="0" w:color="000000"/>
              <w:bottom w:val="single" w:sz="6" w:space="0" w:color="000000"/>
            </w:tcBorders>
          </w:tcPr>
          <w:p>
            <w:pPr>
              <w:pStyle w:val="TableParagraph"/>
              <w:spacing w:line="134" w:lineRule="exact"/>
              <w:ind w:right="69"/>
              <w:jc w:val="right"/>
              <w:rPr>
                <w:b/>
                <w:sz w:val="13"/>
              </w:rPr>
            </w:pPr>
            <w:r>
              <w:rPr>
                <w:b/>
                <w:spacing w:val="-2"/>
                <w:w w:val="105"/>
                <w:sz w:val="13"/>
              </w:rPr>
              <w:t>36,503</w:t>
            </w:r>
          </w:p>
        </w:tc>
      </w:tr>
      <w:tr>
        <w:trPr>
          <w:trHeight w:val="491" w:hRule="atLeast"/>
        </w:trPr>
        <w:tc>
          <w:tcPr>
            <w:tcW w:w="4608" w:type="dxa"/>
          </w:tcPr>
          <w:p>
            <w:pPr>
              <w:pStyle w:val="TableParagraph"/>
              <w:spacing w:before="10"/>
              <w:rPr>
                <w:b/>
                <w:sz w:val="13"/>
              </w:rPr>
            </w:pPr>
          </w:p>
          <w:p>
            <w:pPr>
              <w:pStyle w:val="TableParagraph"/>
              <w:ind w:left="35"/>
              <w:rPr>
                <w:b/>
                <w:sz w:val="13"/>
              </w:rPr>
            </w:pPr>
            <w:r>
              <w:rPr>
                <w:b/>
                <w:spacing w:val="-2"/>
                <w:w w:val="105"/>
                <w:sz w:val="13"/>
              </w:rPr>
              <w:t>Capital</w:t>
            </w:r>
          </w:p>
          <w:p>
            <w:pPr>
              <w:pStyle w:val="TableParagraph"/>
              <w:spacing w:line="143" w:lineRule="exact" w:before="20"/>
              <w:ind w:left="35"/>
              <w:rPr>
                <w:sz w:val="13"/>
              </w:rPr>
            </w:pPr>
            <w:r>
              <w:rPr>
                <w:spacing w:val="-2"/>
                <w:w w:val="105"/>
                <w:sz w:val="13"/>
              </w:rPr>
              <w:t>Other</w:t>
            </w:r>
            <w:r>
              <w:rPr>
                <w:spacing w:val="-4"/>
                <w:w w:val="105"/>
                <w:sz w:val="13"/>
              </w:rPr>
              <w:t> </w:t>
            </w:r>
            <w:r>
              <w:rPr>
                <w:spacing w:val="-2"/>
                <w:w w:val="105"/>
                <w:sz w:val="13"/>
              </w:rPr>
              <w:t>grants</w:t>
            </w:r>
          </w:p>
        </w:tc>
        <w:tc>
          <w:tcPr>
            <w:tcW w:w="1014" w:type="dxa"/>
            <w:tcBorders>
              <w:top w:val="single" w:sz="6" w:space="0" w:color="000000"/>
              <w:bottom w:val="single" w:sz="6" w:space="0" w:color="000000"/>
            </w:tcBorders>
          </w:tcPr>
          <w:p>
            <w:pPr>
              <w:pStyle w:val="TableParagraph"/>
              <w:rPr>
                <w:b/>
                <w:sz w:val="13"/>
              </w:rPr>
            </w:pPr>
          </w:p>
          <w:p>
            <w:pPr>
              <w:pStyle w:val="TableParagraph"/>
              <w:spacing w:before="32"/>
              <w:rPr>
                <w:b/>
                <w:sz w:val="13"/>
              </w:rPr>
            </w:pPr>
          </w:p>
          <w:p>
            <w:pPr>
              <w:pStyle w:val="TableParagraph"/>
              <w:spacing w:line="141" w:lineRule="exact"/>
              <w:ind w:right="175"/>
              <w:jc w:val="right"/>
              <w:rPr>
                <w:sz w:val="13"/>
              </w:rPr>
            </w:pPr>
            <w:r>
              <w:rPr>
                <w:spacing w:val="-10"/>
                <w:w w:val="105"/>
                <w:sz w:val="13"/>
              </w:rPr>
              <w:t>-</w:t>
            </w:r>
          </w:p>
        </w:tc>
        <w:tc>
          <w:tcPr>
            <w:tcW w:w="899" w:type="dxa"/>
            <w:tcBorders>
              <w:top w:val="single" w:sz="6" w:space="0" w:color="000000"/>
              <w:bottom w:val="single" w:sz="6" w:space="0" w:color="000000"/>
            </w:tcBorders>
          </w:tcPr>
          <w:p>
            <w:pPr>
              <w:pStyle w:val="TableParagraph"/>
              <w:rPr>
                <w:b/>
                <w:sz w:val="13"/>
              </w:rPr>
            </w:pPr>
          </w:p>
          <w:p>
            <w:pPr>
              <w:pStyle w:val="TableParagraph"/>
              <w:spacing w:before="32"/>
              <w:rPr>
                <w:b/>
                <w:sz w:val="13"/>
              </w:rPr>
            </w:pPr>
          </w:p>
          <w:p>
            <w:pPr>
              <w:pStyle w:val="TableParagraph"/>
              <w:spacing w:line="141" w:lineRule="exact"/>
              <w:ind w:right="174"/>
              <w:jc w:val="right"/>
              <w:rPr>
                <w:sz w:val="13"/>
              </w:rPr>
            </w:pPr>
            <w:r>
              <w:rPr>
                <w:spacing w:val="-10"/>
                <w:w w:val="105"/>
                <w:sz w:val="13"/>
              </w:rPr>
              <w:t>-</w:t>
            </w:r>
          </w:p>
        </w:tc>
        <w:tc>
          <w:tcPr>
            <w:tcW w:w="899" w:type="dxa"/>
            <w:tcBorders>
              <w:top w:val="single" w:sz="6" w:space="0" w:color="000000"/>
              <w:bottom w:val="single" w:sz="6" w:space="0" w:color="000000"/>
            </w:tcBorders>
          </w:tcPr>
          <w:p>
            <w:pPr>
              <w:pStyle w:val="TableParagraph"/>
              <w:rPr>
                <w:b/>
                <w:sz w:val="13"/>
              </w:rPr>
            </w:pPr>
          </w:p>
          <w:p>
            <w:pPr>
              <w:pStyle w:val="TableParagraph"/>
              <w:spacing w:before="32"/>
              <w:rPr>
                <w:b/>
                <w:sz w:val="13"/>
              </w:rPr>
            </w:pPr>
          </w:p>
          <w:p>
            <w:pPr>
              <w:pStyle w:val="TableParagraph"/>
              <w:spacing w:line="141" w:lineRule="exact"/>
              <w:ind w:right="174"/>
              <w:jc w:val="right"/>
              <w:rPr>
                <w:sz w:val="13"/>
              </w:rPr>
            </w:pPr>
            <w:r>
              <w:rPr>
                <w:spacing w:val="-10"/>
                <w:w w:val="105"/>
                <w:sz w:val="13"/>
              </w:rPr>
              <w:t>-</w:t>
            </w:r>
          </w:p>
        </w:tc>
        <w:tc>
          <w:tcPr>
            <w:tcW w:w="786" w:type="dxa"/>
            <w:tcBorders>
              <w:top w:val="single" w:sz="6" w:space="0" w:color="000000"/>
              <w:bottom w:val="single" w:sz="6" w:space="0" w:color="000000"/>
            </w:tcBorders>
          </w:tcPr>
          <w:p>
            <w:pPr>
              <w:pStyle w:val="TableParagraph"/>
              <w:rPr>
                <w:b/>
                <w:sz w:val="13"/>
              </w:rPr>
            </w:pPr>
          </w:p>
          <w:p>
            <w:pPr>
              <w:pStyle w:val="TableParagraph"/>
              <w:spacing w:before="32"/>
              <w:rPr>
                <w:b/>
                <w:sz w:val="13"/>
              </w:rPr>
            </w:pPr>
          </w:p>
          <w:p>
            <w:pPr>
              <w:pStyle w:val="TableParagraph"/>
              <w:spacing w:line="141" w:lineRule="exact"/>
              <w:ind w:right="61"/>
              <w:jc w:val="right"/>
              <w:rPr>
                <w:sz w:val="13"/>
              </w:rPr>
            </w:pPr>
            <w:r>
              <w:rPr>
                <w:spacing w:val="-10"/>
                <w:w w:val="105"/>
                <w:sz w:val="13"/>
              </w:rPr>
              <w:t>-</w:t>
            </w:r>
          </w:p>
        </w:tc>
      </w:tr>
      <w:tr>
        <w:trPr>
          <w:trHeight w:val="154" w:hRule="atLeast"/>
        </w:trPr>
        <w:tc>
          <w:tcPr>
            <w:tcW w:w="4608" w:type="dxa"/>
          </w:tcPr>
          <w:p>
            <w:pPr>
              <w:pStyle w:val="TableParagraph"/>
              <w:spacing w:line="134" w:lineRule="exact"/>
              <w:ind w:left="35"/>
              <w:rPr>
                <w:b/>
                <w:sz w:val="13"/>
              </w:rPr>
            </w:pPr>
            <w:r>
              <w:rPr>
                <w:b/>
                <w:sz w:val="13"/>
              </w:rPr>
              <w:t>Total</w:t>
            </w:r>
            <w:r>
              <w:rPr>
                <w:b/>
                <w:spacing w:val="6"/>
                <w:sz w:val="13"/>
              </w:rPr>
              <w:t> </w:t>
            </w:r>
            <w:r>
              <w:rPr>
                <w:b/>
                <w:sz w:val="13"/>
              </w:rPr>
              <w:t>capital</w:t>
            </w:r>
            <w:r>
              <w:rPr>
                <w:b/>
                <w:spacing w:val="6"/>
                <w:sz w:val="13"/>
              </w:rPr>
              <w:t> </w:t>
            </w:r>
            <w:r>
              <w:rPr>
                <w:b/>
                <w:spacing w:val="-2"/>
                <w:sz w:val="13"/>
              </w:rPr>
              <w:t>grants</w:t>
            </w:r>
          </w:p>
        </w:tc>
        <w:tc>
          <w:tcPr>
            <w:tcW w:w="1014" w:type="dxa"/>
            <w:tcBorders>
              <w:top w:val="single" w:sz="6" w:space="0" w:color="000000"/>
              <w:bottom w:val="single" w:sz="6" w:space="0" w:color="000000"/>
            </w:tcBorders>
          </w:tcPr>
          <w:p>
            <w:pPr>
              <w:pStyle w:val="TableParagraph"/>
              <w:spacing w:line="134" w:lineRule="exact"/>
              <w:ind w:right="175"/>
              <w:jc w:val="right"/>
              <w:rPr>
                <w:b/>
                <w:sz w:val="13"/>
              </w:rPr>
            </w:pPr>
            <w:r>
              <w:rPr>
                <w:b/>
                <w:spacing w:val="-10"/>
                <w:w w:val="105"/>
                <w:sz w:val="13"/>
              </w:rPr>
              <w:t>-</w:t>
            </w:r>
          </w:p>
        </w:tc>
        <w:tc>
          <w:tcPr>
            <w:tcW w:w="899" w:type="dxa"/>
            <w:tcBorders>
              <w:top w:val="single" w:sz="6" w:space="0" w:color="000000"/>
              <w:bottom w:val="single" w:sz="6" w:space="0" w:color="000000"/>
            </w:tcBorders>
          </w:tcPr>
          <w:p>
            <w:pPr>
              <w:pStyle w:val="TableParagraph"/>
              <w:spacing w:line="134" w:lineRule="exact"/>
              <w:ind w:right="174"/>
              <w:jc w:val="right"/>
              <w:rPr>
                <w:b/>
                <w:sz w:val="13"/>
              </w:rPr>
            </w:pPr>
            <w:r>
              <w:rPr>
                <w:b/>
                <w:spacing w:val="-10"/>
                <w:w w:val="105"/>
                <w:sz w:val="13"/>
              </w:rPr>
              <w:t>-</w:t>
            </w:r>
          </w:p>
        </w:tc>
        <w:tc>
          <w:tcPr>
            <w:tcW w:w="899" w:type="dxa"/>
            <w:tcBorders>
              <w:top w:val="single" w:sz="6" w:space="0" w:color="000000"/>
              <w:bottom w:val="single" w:sz="6" w:space="0" w:color="000000"/>
            </w:tcBorders>
          </w:tcPr>
          <w:p>
            <w:pPr>
              <w:pStyle w:val="TableParagraph"/>
              <w:spacing w:line="134" w:lineRule="exact"/>
              <w:ind w:right="174"/>
              <w:jc w:val="right"/>
              <w:rPr>
                <w:b/>
                <w:sz w:val="13"/>
              </w:rPr>
            </w:pPr>
            <w:r>
              <w:rPr>
                <w:b/>
                <w:spacing w:val="-10"/>
                <w:w w:val="105"/>
                <w:sz w:val="13"/>
              </w:rPr>
              <w:t>-</w:t>
            </w:r>
          </w:p>
        </w:tc>
        <w:tc>
          <w:tcPr>
            <w:tcW w:w="786" w:type="dxa"/>
            <w:tcBorders>
              <w:top w:val="single" w:sz="6" w:space="0" w:color="000000"/>
              <w:bottom w:val="single" w:sz="6" w:space="0" w:color="000000"/>
            </w:tcBorders>
          </w:tcPr>
          <w:p>
            <w:pPr>
              <w:pStyle w:val="TableParagraph"/>
              <w:spacing w:line="134" w:lineRule="exact"/>
              <w:ind w:right="61"/>
              <w:jc w:val="right"/>
              <w:rPr>
                <w:b/>
                <w:sz w:val="13"/>
              </w:rPr>
            </w:pPr>
            <w:r>
              <w:rPr>
                <w:b/>
                <w:spacing w:val="-10"/>
                <w:w w:val="105"/>
                <w:sz w:val="13"/>
              </w:rPr>
              <w:t>-</w:t>
            </w:r>
          </w:p>
        </w:tc>
      </w:tr>
      <w:tr>
        <w:trPr>
          <w:trHeight w:val="153" w:hRule="atLeast"/>
        </w:trPr>
        <w:tc>
          <w:tcPr>
            <w:tcW w:w="4608" w:type="dxa"/>
          </w:tcPr>
          <w:p>
            <w:pPr>
              <w:pStyle w:val="TableParagraph"/>
              <w:rPr>
                <w:rFonts w:ascii="Times New Roman"/>
                <w:sz w:val="8"/>
              </w:rPr>
            </w:pPr>
          </w:p>
        </w:tc>
        <w:tc>
          <w:tcPr>
            <w:tcW w:w="1014" w:type="dxa"/>
            <w:tcBorders>
              <w:top w:val="single" w:sz="6" w:space="0" w:color="000000"/>
              <w:bottom w:val="single" w:sz="6" w:space="0" w:color="000000"/>
            </w:tcBorders>
          </w:tcPr>
          <w:p>
            <w:pPr>
              <w:pStyle w:val="TableParagraph"/>
              <w:rPr>
                <w:rFonts w:ascii="Times New Roman"/>
                <w:sz w:val="8"/>
              </w:rPr>
            </w:pPr>
          </w:p>
        </w:tc>
        <w:tc>
          <w:tcPr>
            <w:tcW w:w="899" w:type="dxa"/>
            <w:tcBorders>
              <w:top w:val="single" w:sz="6" w:space="0" w:color="000000"/>
              <w:bottom w:val="single" w:sz="6" w:space="0" w:color="000000"/>
            </w:tcBorders>
          </w:tcPr>
          <w:p>
            <w:pPr>
              <w:pStyle w:val="TableParagraph"/>
              <w:rPr>
                <w:rFonts w:ascii="Times New Roman"/>
                <w:sz w:val="8"/>
              </w:rPr>
            </w:pPr>
          </w:p>
        </w:tc>
        <w:tc>
          <w:tcPr>
            <w:tcW w:w="899" w:type="dxa"/>
            <w:tcBorders>
              <w:top w:val="single" w:sz="6" w:space="0" w:color="000000"/>
              <w:bottom w:val="single" w:sz="6" w:space="0" w:color="000000"/>
            </w:tcBorders>
          </w:tcPr>
          <w:p>
            <w:pPr>
              <w:pStyle w:val="TableParagraph"/>
              <w:rPr>
                <w:rFonts w:ascii="Times New Roman"/>
                <w:sz w:val="8"/>
              </w:rPr>
            </w:pPr>
          </w:p>
        </w:tc>
        <w:tc>
          <w:tcPr>
            <w:tcW w:w="786" w:type="dxa"/>
            <w:tcBorders>
              <w:top w:val="single" w:sz="6" w:space="0" w:color="000000"/>
              <w:bottom w:val="single" w:sz="6" w:space="0" w:color="000000"/>
            </w:tcBorders>
          </w:tcPr>
          <w:p>
            <w:pPr>
              <w:pStyle w:val="TableParagraph"/>
              <w:rPr>
                <w:rFonts w:ascii="Times New Roman"/>
                <w:sz w:val="8"/>
              </w:rPr>
            </w:pPr>
          </w:p>
        </w:tc>
      </w:tr>
      <w:tr>
        <w:trPr>
          <w:trHeight w:val="153" w:hRule="atLeast"/>
        </w:trPr>
        <w:tc>
          <w:tcPr>
            <w:tcW w:w="4608" w:type="dxa"/>
          </w:tcPr>
          <w:p>
            <w:pPr>
              <w:pStyle w:val="TableParagraph"/>
              <w:spacing w:line="134" w:lineRule="exact"/>
              <w:ind w:left="34"/>
              <w:rPr>
                <w:b/>
                <w:sz w:val="13"/>
              </w:rPr>
            </w:pPr>
            <w:r>
              <w:rPr>
                <w:b/>
                <w:sz w:val="13"/>
              </w:rPr>
              <w:t>Total</w:t>
            </w:r>
            <w:r>
              <w:rPr>
                <w:b/>
                <w:spacing w:val="6"/>
                <w:sz w:val="13"/>
              </w:rPr>
              <w:t> </w:t>
            </w:r>
            <w:r>
              <w:rPr>
                <w:b/>
                <w:sz w:val="13"/>
              </w:rPr>
              <w:t>Western</w:t>
            </w:r>
            <w:r>
              <w:rPr>
                <w:b/>
                <w:spacing w:val="7"/>
                <w:sz w:val="13"/>
              </w:rPr>
              <w:t> </w:t>
            </w:r>
            <w:r>
              <w:rPr>
                <w:b/>
                <w:sz w:val="13"/>
              </w:rPr>
              <w:t>Australian</w:t>
            </w:r>
            <w:r>
              <w:rPr>
                <w:b/>
                <w:spacing w:val="7"/>
                <w:sz w:val="13"/>
              </w:rPr>
              <w:t> </w:t>
            </w:r>
            <w:r>
              <w:rPr>
                <w:b/>
                <w:sz w:val="13"/>
              </w:rPr>
              <w:t>and</w:t>
            </w:r>
            <w:r>
              <w:rPr>
                <w:b/>
                <w:spacing w:val="7"/>
                <w:sz w:val="13"/>
              </w:rPr>
              <w:t> </w:t>
            </w:r>
            <w:r>
              <w:rPr>
                <w:b/>
                <w:sz w:val="13"/>
              </w:rPr>
              <w:t>Local</w:t>
            </w:r>
            <w:r>
              <w:rPr>
                <w:b/>
                <w:spacing w:val="7"/>
                <w:sz w:val="13"/>
              </w:rPr>
              <w:t> </w:t>
            </w:r>
            <w:r>
              <w:rPr>
                <w:b/>
                <w:sz w:val="13"/>
              </w:rPr>
              <w:t>Government</w:t>
            </w:r>
            <w:r>
              <w:rPr>
                <w:b/>
                <w:spacing w:val="8"/>
                <w:sz w:val="13"/>
              </w:rPr>
              <w:t> </w:t>
            </w:r>
            <w:r>
              <w:rPr>
                <w:b/>
                <w:sz w:val="13"/>
              </w:rPr>
              <w:t>financial</w:t>
            </w:r>
            <w:r>
              <w:rPr>
                <w:b/>
                <w:spacing w:val="7"/>
                <w:sz w:val="13"/>
              </w:rPr>
              <w:t> </w:t>
            </w:r>
            <w:r>
              <w:rPr>
                <w:b/>
                <w:spacing w:val="-2"/>
                <w:sz w:val="13"/>
              </w:rPr>
              <w:t>assistance</w:t>
            </w:r>
          </w:p>
        </w:tc>
        <w:tc>
          <w:tcPr>
            <w:tcW w:w="1014" w:type="dxa"/>
            <w:tcBorders>
              <w:top w:val="single" w:sz="6" w:space="0" w:color="000000"/>
              <w:bottom w:val="single" w:sz="6" w:space="0" w:color="000000"/>
            </w:tcBorders>
          </w:tcPr>
          <w:p>
            <w:pPr>
              <w:pStyle w:val="TableParagraph"/>
              <w:spacing w:line="134" w:lineRule="exact"/>
              <w:ind w:right="183"/>
              <w:jc w:val="right"/>
              <w:rPr>
                <w:b/>
                <w:sz w:val="13"/>
              </w:rPr>
            </w:pPr>
            <w:r>
              <w:rPr>
                <w:b/>
                <w:spacing w:val="-2"/>
                <w:w w:val="105"/>
                <w:sz w:val="13"/>
              </w:rPr>
              <w:t>46,388</w:t>
            </w:r>
          </w:p>
        </w:tc>
        <w:tc>
          <w:tcPr>
            <w:tcW w:w="899" w:type="dxa"/>
            <w:tcBorders>
              <w:top w:val="single" w:sz="6" w:space="0" w:color="000000"/>
              <w:bottom w:val="single" w:sz="6" w:space="0" w:color="000000"/>
            </w:tcBorders>
          </w:tcPr>
          <w:p>
            <w:pPr>
              <w:pStyle w:val="TableParagraph"/>
              <w:spacing w:line="134" w:lineRule="exact"/>
              <w:ind w:right="182"/>
              <w:jc w:val="right"/>
              <w:rPr>
                <w:b/>
                <w:sz w:val="13"/>
              </w:rPr>
            </w:pPr>
            <w:r>
              <w:rPr>
                <w:b/>
                <w:spacing w:val="-2"/>
                <w:w w:val="105"/>
                <w:sz w:val="13"/>
              </w:rPr>
              <w:t>46,112</w:t>
            </w:r>
          </w:p>
        </w:tc>
        <w:tc>
          <w:tcPr>
            <w:tcW w:w="899" w:type="dxa"/>
            <w:tcBorders>
              <w:top w:val="single" w:sz="6" w:space="0" w:color="000000"/>
              <w:bottom w:val="single" w:sz="6" w:space="0" w:color="000000"/>
            </w:tcBorders>
          </w:tcPr>
          <w:p>
            <w:pPr>
              <w:pStyle w:val="TableParagraph"/>
              <w:spacing w:line="134" w:lineRule="exact"/>
              <w:ind w:right="182"/>
              <w:jc w:val="right"/>
              <w:rPr>
                <w:b/>
                <w:sz w:val="13"/>
              </w:rPr>
            </w:pPr>
            <w:r>
              <w:rPr>
                <w:b/>
                <w:spacing w:val="-2"/>
                <w:w w:val="105"/>
                <w:sz w:val="13"/>
              </w:rPr>
              <w:t>40,975</w:t>
            </w:r>
          </w:p>
        </w:tc>
        <w:tc>
          <w:tcPr>
            <w:tcW w:w="786" w:type="dxa"/>
            <w:tcBorders>
              <w:top w:val="single" w:sz="6" w:space="0" w:color="000000"/>
              <w:bottom w:val="single" w:sz="6" w:space="0" w:color="000000"/>
            </w:tcBorders>
          </w:tcPr>
          <w:p>
            <w:pPr>
              <w:pStyle w:val="TableParagraph"/>
              <w:spacing w:line="134" w:lineRule="exact"/>
              <w:ind w:right="69"/>
              <w:jc w:val="right"/>
              <w:rPr>
                <w:b/>
                <w:sz w:val="13"/>
              </w:rPr>
            </w:pPr>
            <w:r>
              <w:rPr>
                <w:b/>
                <w:spacing w:val="-2"/>
                <w:w w:val="105"/>
                <w:sz w:val="13"/>
              </w:rPr>
              <w:t>36,503</w:t>
            </w:r>
          </w:p>
        </w:tc>
      </w:tr>
    </w:tbl>
    <w:p>
      <w:pPr>
        <w:spacing w:line="240" w:lineRule="auto" w:before="15"/>
        <w:rPr>
          <w:b/>
          <w:sz w:val="13"/>
        </w:rPr>
      </w:pPr>
    </w:p>
    <w:p>
      <w:pPr>
        <w:spacing w:before="0"/>
        <w:ind w:left="837" w:right="0" w:firstLine="0"/>
        <w:jc w:val="left"/>
        <w:rPr>
          <w:b/>
          <w:i/>
          <w:sz w:val="13"/>
        </w:rPr>
      </w:pPr>
      <w:r>
        <w:rPr>
          <w:b/>
          <w:i/>
          <w:color w:val="0070C0"/>
          <w:sz w:val="13"/>
        </w:rPr>
        <w:t>Accounting</w:t>
      </w:r>
      <w:r>
        <w:rPr>
          <w:b/>
          <w:i/>
          <w:color w:val="0070C0"/>
          <w:spacing w:val="16"/>
          <w:sz w:val="13"/>
        </w:rPr>
        <w:t> </w:t>
      </w:r>
      <w:r>
        <w:rPr>
          <w:b/>
          <w:i/>
          <w:color w:val="0070C0"/>
          <w:spacing w:val="-2"/>
          <w:sz w:val="13"/>
        </w:rPr>
        <w:t>policy</w:t>
      </w:r>
    </w:p>
    <w:p>
      <w:pPr>
        <w:spacing w:before="22"/>
        <w:ind w:left="835" w:right="0" w:firstLine="0"/>
        <w:jc w:val="left"/>
        <w:rPr>
          <w:sz w:val="13"/>
        </w:rPr>
      </w:pPr>
      <w:r>
        <w:rPr>
          <w:spacing w:val="-2"/>
          <w:w w:val="105"/>
          <w:sz w:val="13"/>
        </w:rPr>
        <w:t>The</w:t>
      </w:r>
      <w:r>
        <w:rPr>
          <w:spacing w:val="-4"/>
          <w:w w:val="105"/>
          <w:sz w:val="13"/>
        </w:rPr>
        <w:t> </w:t>
      </w:r>
      <w:r>
        <w:rPr>
          <w:spacing w:val="-2"/>
          <w:w w:val="105"/>
          <w:sz w:val="13"/>
        </w:rPr>
        <w:t>revenue</w:t>
      </w:r>
      <w:r>
        <w:rPr>
          <w:spacing w:val="-4"/>
          <w:w w:val="105"/>
          <w:sz w:val="13"/>
        </w:rPr>
        <w:t> </w:t>
      </w:r>
      <w:r>
        <w:rPr>
          <w:spacing w:val="-2"/>
          <w:w w:val="105"/>
          <w:sz w:val="13"/>
        </w:rPr>
        <w:t>in</w:t>
      </w:r>
      <w:r>
        <w:rPr>
          <w:spacing w:val="-3"/>
          <w:w w:val="105"/>
          <w:sz w:val="13"/>
        </w:rPr>
        <w:t> </w:t>
      </w:r>
      <w:r>
        <w:rPr>
          <w:spacing w:val="-2"/>
          <w:w w:val="105"/>
          <w:sz w:val="13"/>
        </w:rPr>
        <w:t>this</w:t>
      </w:r>
      <w:r>
        <w:rPr>
          <w:spacing w:val="-3"/>
          <w:w w:val="105"/>
          <w:sz w:val="13"/>
        </w:rPr>
        <w:t> </w:t>
      </w:r>
      <w:r>
        <w:rPr>
          <w:spacing w:val="-2"/>
          <w:w w:val="105"/>
          <w:sz w:val="13"/>
        </w:rPr>
        <w:t>category</w:t>
      </w:r>
      <w:r>
        <w:rPr>
          <w:spacing w:val="-6"/>
          <w:w w:val="105"/>
          <w:sz w:val="13"/>
        </w:rPr>
        <w:t> </w:t>
      </w:r>
      <w:r>
        <w:rPr>
          <w:spacing w:val="-2"/>
          <w:w w:val="105"/>
          <w:sz w:val="13"/>
        </w:rPr>
        <w:t>consists</w:t>
      </w:r>
      <w:r>
        <w:rPr>
          <w:spacing w:val="-3"/>
          <w:w w:val="105"/>
          <w:sz w:val="13"/>
        </w:rPr>
        <w:t> </w:t>
      </w:r>
      <w:r>
        <w:rPr>
          <w:spacing w:val="-2"/>
          <w:w w:val="105"/>
          <w:sz w:val="13"/>
        </w:rPr>
        <w:t>of</w:t>
      </w:r>
      <w:r>
        <w:rPr>
          <w:spacing w:val="-1"/>
          <w:w w:val="105"/>
          <w:sz w:val="13"/>
        </w:rPr>
        <w:t> </w:t>
      </w:r>
      <w:r>
        <w:rPr>
          <w:spacing w:val="-2"/>
          <w:w w:val="105"/>
          <w:sz w:val="13"/>
        </w:rPr>
        <w:t>a</w:t>
      </w:r>
      <w:r>
        <w:rPr>
          <w:spacing w:val="-3"/>
          <w:w w:val="105"/>
          <w:sz w:val="13"/>
        </w:rPr>
        <w:t> </w:t>
      </w:r>
      <w:r>
        <w:rPr>
          <w:spacing w:val="-2"/>
          <w:w w:val="105"/>
          <w:sz w:val="13"/>
        </w:rPr>
        <w:t>mix</w:t>
      </w:r>
      <w:r>
        <w:rPr>
          <w:spacing w:val="-5"/>
          <w:w w:val="105"/>
          <w:sz w:val="13"/>
        </w:rPr>
        <w:t> </w:t>
      </w:r>
      <w:r>
        <w:rPr>
          <w:spacing w:val="-2"/>
          <w:w w:val="105"/>
          <w:sz w:val="13"/>
        </w:rPr>
        <w:t>of</w:t>
      </w:r>
      <w:r>
        <w:rPr>
          <w:w w:val="105"/>
          <w:sz w:val="13"/>
        </w:rPr>
        <w:t> </w:t>
      </w:r>
      <w:r>
        <w:rPr>
          <w:spacing w:val="-2"/>
          <w:w w:val="105"/>
          <w:sz w:val="13"/>
        </w:rPr>
        <w:t>operating</w:t>
      </w:r>
      <w:r>
        <w:rPr>
          <w:spacing w:val="-4"/>
          <w:w w:val="105"/>
          <w:sz w:val="13"/>
        </w:rPr>
        <w:t> </w:t>
      </w:r>
      <w:r>
        <w:rPr>
          <w:spacing w:val="-2"/>
          <w:w w:val="105"/>
          <w:sz w:val="13"/>
        </w:rPr>
        <w:t>and</w:t>
      </w:r>
      <w:r>
        <w:rPr>
          <w:spacing w:val="-3"/>
          <w:w w:val="105"/>
          <w:sz w:val="13"/>
        </w:rPr>
        <w:t> </w:t>
      </w:r>
      <w:r>
        <w:rPr>
          <w:spacing w:val="-2"/>
          <w:w w:val="105"/>
          <w:sz w:val="13"/>
        </w:rPr>
        <w:t>research</w:t>
      </w:r>
      <w:r>
        <w:rPr>
          <w:spacing w:val="-4"/>
          <w:w w:val="105"/>
          <w:sz w:val="13"/>
        </w:rPr>
        <w:t> </w:t>
      </w:r>
      <w:r>
        <w:rPr>
          <w:spacing w:val="-2"/>
          <w:w w:val="105"/>
          <w:sz w:val="13"/>
        </w:rPr>
        <w:t>grants</w:t>
      </w:r>
      <w:r>
        <w:rPr>
          <w:spacing w:val="-3"/>
          <w:w w:val="105"/>
          <w:sz w:val="13"/>
        </w:rPr>
        <w:t> </w:t>
      </w:r>
      <w:r>
        <w:rPr>
          <w:spacing w:val="-2"/>
          <w:w w:val="105"/>
          <w:sz w:val="13"/>
        </w:rPr>
        <w:t>provided</w:t>
      </w:r>
      <w:r>
        <w:rPr>
          <w:spacing w:val="-3"/>
          <w:w w:val="105"/>
          <w:sz w:val="13"/>
        </w:rPr>
        <w:t> </w:t>
      </w:r>
      <w:r>
        <w:rPr>
          <w:spacing w:val="-2"/>
          <w:w w:val="105"/>
          <w:sz w:val="13"/>
        </w:rPr>
        <w:t>by</w:t>
      </w:r>
      <w:r>
        <w:rPr>
          <w:spacing w:val="-7"/>
          <w:w w:val="105"/>
          <w:sz w:val="13"/>
        </w:rPr>
        <w:t> </w:t>
      </w:r>
      <w:r>
        <w:rPr>
          <w:spacing w:val="-2"/>
          <w:w w:val="105"/>
          <w:sz w:val="13"/>
        </w:rPr>
        <w:t>state</w:t>
      </w:r>
      <w:r>
        <w:rPr>
          <w:spacing w:val="-3"/>
          <w:w w:val="105"/>
          <w:sz w:val="13"/>
        </w:rPr>
        <w:t> </w:t>
      </w:r>
      <w:r>
        <w:rPr>
          <w:spacing w:val="-2"/>
          <w:w w:val="105"/>
          <w:sz w:val="13"/>
        </w:rPr>
        <w:t>and</w:t>
      </w:r>
      <w:r>
        <w:rPr>
          <w:spacing w:val="-4"/>
          <w:w w:val="105"/>
          <w:sz w:val="13"/>
        </w:rPr>
        <w:t> </w:t>
      </w:r>
      <w:r>
        <w:rPr>
          <w:spacing w:val="-2"/>
          <w:w w:val="105"/>
          <w:sz w:val="13"/>
        </w:rPr>
        <w:t>local governments.</w:t>
      </w:r>
    </w:p>
    <w:p>
      <w:pPr>
        <w:spacing w:line="240" w:lineRule="auto" w:before="35"/>
        <w:rPr>
          <w:sz w:val="13"/>
        </w:rPr>
      </w:pPr>
    </w:p>
    <w:p>
      <w:pPr>
        <w:spacing w:line="268" w:lineRule="auto" w:before="0"/>
        <w:ind w:left="835" w:right="1996" w:firstLine="0"/>
        <w:jc w:val="both"/>
        <w:rPr>
          <w:sz w:val="13"/>
        </w:rPr>
      </w:pPr>
      <w:r>
        <w:rPr>
          <w:w w:val="105"/>
          <w:sz w:val="13"/>
        </w:rPr>
        <w:t>Grants</w:t>
      </w:r>
      <w:r>
        <w:rPr>
          <w:spacing w:val="-4"/>
          <w:w w:val="105"/>
          <w:sz w:val="13"/>
        </w:rPr>
        <w:t> </w:t>
      </w:r>
      <w:r>
        <w:rPr>
          <w:w w:val="105"/>
          <w:sz w:val="13"/>
        </w:rPr>
        <w:t>revenue</w:t>
      </w:r>
      <w:r>
        <w:rPr>
          <w:spacing w:val="-5"/>
          <w:w w:val="105"/>
          <w:sz w:val="13"/>
        </w:rPr>
        <w:t> </w:t>
      </w:r>
      <w:r>
        <w:rPr>
          <w:w w:val="105"/>
          <w:sz w:val="13"/>
        </w:rPr>
        <w:t>recognition</w:t>
      </w:r>
      <w:r>
        <w:rPr>
          <w:spacing w:val="-5"/>
          <w:w w:val="105"/>
          <w:sz w:val="13"/>
        </w:rPr>
        <w:t> </w:t>
      </w:r>
      <w:r>
        <w:rPr>
          <w:w w:val="105"/>
          <w:sz w:val="13"/>
        </w:rPr>
        <w:t>is</w:t>
      </w:r>
      <w:r>
        <w:rPr>
          <w:spacing w:val="-4"/>
          <w:w w:val="105"/>
          <w:sz w:val="13"/>
        </w:rPr>
        <w:t> </w:t>
      </w:r>
      <w:r>
        <w:rPr>
          <w:w w:val="105"/>
          <w:sz w:val="13"/>
        </w:rPr>
        <w:t>determined</w:t>
      </w:r>
      <w:r>
        <w:rPr>
          <w:spacing w:val="-5"/>
          <w:w w:val="105"/>
          <w:sz w:val="13"/>
        </w:rPr>
        <w:t> </w:t>
      </w:r>
      <w:r>
        <w:rPr>
          <w:w w:val="105"/>
          <w:sz w:val="13"/>
        </w:rPr>
        <w:t>by</w:t>
      </w:r>
      <w:r>
        <w:rPr>
          <w:spacing w:val="-7"/>
          <w:w w:val="105"/>
          <w:sz w:val="13"/>
        </w:rPr>
        <w:t> </w:t>
      </w:r>
      <w:r>
        <w:rPr>
          <w:w w:val="105"/>
          <w:sz w:val="13"/>
        </w:rPr>
        <w:t>reference</w:t>
      </w:r>
      <w:r>
        <w:rPr>
          <w:spacing w:val="-5"/>
          <w:w w:val="105"/>
          <w:sz w:val="13"/>
        </w:rPr>
        <w:t> </w:t>
      </w:r>
      <w:r>
        <w:rPr>
          <w:w w:val="105"/>
          <w:sz w:val="13"/>
        </w:rPr>
        <w:t>to</w:t>
      </w:r>
      <w:r>
        <w:rPr>
          <w:spacing w:val="-5"/>
          <w:w w:val="105"/>
          <w:sz w:val="13"/>
        </w:rPr>
        <w:t> </w:t>
      </w:r>
      <w:r>
        <w:rPr>
          <w:w w:val="105"/>
          <w:sz w:val="13"/>
        </w:rPr>
        <w:t>the</w:t>
      </w:r>
      <w:r>
        <w:rPr>
          <w:spacing w:val="-6"/>
          <w:w w:val="105"/>
          <w:sz w:val="13"/>
        </w:rPr>
        <w:t> </w:t>
      </w:r>
      <w:r>
        <w:rPr>
          <w:w w:val="105"/>
          <w:sz w:val="13"/>
        </w:rPr>
        <w:t>specific</w:t>
      </w:r>
      <w:r>
        <w:rPr>
          <w:spacing w:val="-4"/>
          <w:w w:val="105"/>
          <w:sz w:val="13"/>
        </w:rPr>
        <w:t> </w:t>
      </w:r>
      <w:r>
        <w:rPr>
          <w:w w:val="105"/>
          <w:sz w:val="13"/>
        </w:rPr>
        <w:t>contract</w:t>
      </w:r>
      <w:r>
        <w:rPr>
          <w:spacing w:val="-6"/>
          <w:w w:val="105"/>
          <w:sz w:val="13"/>
        </w:rPr>
        <w:t> </w:t>
      </w:r>
      <w:r>
        <w:rPr>
          <w:w w:val="105"/>
          <w:sz w:val="13"/>
        </w:rPr>
        <w:t>terms</w:t>
      </w:r>
      <w:r>
        <w:rPr>
          <w:spacing w:val="-4"/>
          <w:w w:val="105"/>
          <w:sz w:val="13"/>
        </w:rPr>
        <w:t> </w:t>
      </w:r>
      <w:r>
        <w:rPr>
          <w:w w:val="105"/>
          <w:sz w:val="13"/>
        </w:rPr>
        <w:t>including</w:t>
      </w:r>
      <w:r>
        <w:rPr>
          <w:spacing w:val="-6"/>
          <w:w w:val="105"/>
          <w:sz w:val="13"/>
        </w:rPr>
        <w:t> </w:t>
      </w:r>
      <w:r>
        <w:rPr>
          <w:w w:val="105"/>
          <w:sz w:val="13"/>
        </w:rPr>
        <w:t>enforceability</w:t>
      </w:r>
      <w:r>
        <w:rPr>
          <w:spacing w:val="-7"/>
          <w:w w:val="105"/>
          <w:sz w:val="13"/>
        </w:rPr>
        <w:t> </w:t>
      </w:r>
      <w:r>
        <w:rPr>
          <w:w w:val="105"/>
          <w:sz w:val="13"/>
        </w:rPr>
        <w:t>and</w:t>
      </w:r>
      <w:r>
        <w:rPr>
          <w:spacing w:val="-6"/>
          <w:w w:val="105"/>
          <w:sz w:val="13"/>
        </w:rPr>
        <w:t> </w:t>
      </w:r>
      <w:r>
        <w:rPr>
          <w:w w:val="105"/>
          <w:sz w:val="13"/>
        </w:rPr>
        <w:t>existence</w:t>
      </w:r>
      <w:r>
        <w:rPr>
          <w:spacing w:val="-5"/>
          <w:w w:val="105"/>
          <w:sz w:val="13"/>
        </w:rPr>
        <w:t> </w:t>
      </w:r>
      <w:r>
        <w:rPr>
          <w:w w:val="105"/>
          <w:sz w:val="13"/>
        </w:rPr>
        <w:t>of</w:t>
      </w:r>
      <w:r>
        <w:rPr>
          <w:spacing w:val="-5"/>
          <w:w w:val="105"/>
          <w:sz w:val="13"/>
        </w:rPr>
        <w:t> </w:t>
      </w:r>
      <w:r>
        <w:rPr>
          <w:w w:val="105"/>
          <w:sz w:val="13"/>
        </w:rPr>
        <w:t>sufficiently</w:t>
      </w:r>
      <w:r>
        <w:rPr>
          <w:spacing w:val="40"/>
          <w:w w:val="105"/>
          <w:sz w:val="13"/>
        </w:rPr>
        <w:t> </w:t>
      </w:r>
      <w:r>
        <w:rPr>
          <w:w w:val="105"/>
          <w:sz w:val="13"/>
        </w:rPr>
        <w:t>specific</w:t>
      </w:r>
      <w:r>
        <w:rPr>
          <w:w w:val="105"/>
          <w:sz w:val="13"/>
        </w:rPr>
        <w:t> performance obligations.</w:t>
      </w:r>
      <w:r>
        <w:rPr>
          <w:spacing w:val="31"/>
          <w:w w:val="105"/>
          <w:sz w:val="13"/>
        </w:rPr>
        <w:t> </w:t>
      </w:r>
      <w:r>
        <w:rPr>
          <w:w w:val="105"/>
          <w:sz w:val="13"/>
        </w:rPr>
        <w:t>Grant agreements</w:t>
      </w:r>
      <w:r>
        <w:rPr>
          <w:w w:val="105"/>
          <w:sz w:val="13"/>
        </w:rPr>
        <w:t> that contain specific performance obligations including research data being made</w:t>
      </w:r>
      <w:r>
        <w:rPr>
          <w:spacing w:val="40"/>
          <w:w w:val="105"/>
          <w:sz w:val="13"/>
        </w:rPr>
        <w:t> </w:t>
      </w:r>
      <w:r>
        <w:rPr>
          <w:w w:val="105"/>
          <w:sz w:val="13"/>
        </w:rPr>
        <w:t>available to grantors</w:t>
      </w:r>
      <w:r>
        <w:rPr>
          <w:w w:val="105"/>
          <w:sz w:val="13"/>
        </w:rPr>
        <w:t> on at least an annual</w:t>
      </w:r>
      <w:r>
        <w:rPr>
          <w:w w:val="105"/>
          <w:sz w:val="13"/>
        </w:rPr>
        <w:t> basis falls under</w:t>
      </w:r>
      <w:r>
        <w:rPr>
          <w:w w:val="105"/>
          <w:sz w:val="13"/>
        </w:rPr>
        <w:t> AASB15 and the revenue is recognised over</w:t>
      </w:r>
      <w:r>
        <w:rPr>
          <w:w w:val="105"/>
          <w:sz w:val="13"/>
        </w:rPr>
        <w:t> time as</w:t>
      </w:r>
      <w:r>
        <w:rPr>
          <w:w w:val="105"/>
          <w:sz w:val="13"/>
        </w:rPr>
        <w:t> the grant funds are</w:t>
      </w:r>
      <w:r>
        <w:rPr>
          <w:spacing w:val="40"/>
          <w:w w:val="105"/>
          <w:sz w:val="13"/>
        </w:rPr>
        <w:t> </w:t>
      </w:r>
      <w:r>
        <w:rPr>
          <w:w w:val="105"/>
          <w:sz w:val="13"/>
        </w:rPr>
        <w:t>expended.</w:t>
      </w:r>
      <w:r>
        <w:rPr>
          <w:spacing w:val="-7"/>
          <w:w w:val="105"/>
          <w:sz w:val="13"/>
        </w:rPr>
        <w:t> </w:t>
      </w:r>
      <w:r>
        <w:rPr>
          <w:w w:val="105"/>
          <w:sz w:val="13"/>
        </w:rPr>
        <w:t>If</w:t>
      </w:r>
      <w:r>
        <w:rPr>
          <w:spacing w:val="-5"/>
          <w:w w:val="105"/>
          <w:sz w:val="13"/>
        </w:rPr>
        <w:t> </w:t>
      </w:r>
      <w:r>
        <w:rPr>
          <w:w w:val="105"/>
          <w:sz w:val="13"/>
        </w:rPr>
        <w:t>not,</w:t>
      </w:r>
      <w:r>
        <w:rPr>
          <w:spacing w:val="-7"/>
          <w:w w:val="105"/>
          <w:sz w:val="13"/>
        </w:rPr>
        <w:t> </w:t>
      </w:r>
      <w:r>
        <w:rPr>
          <w:w w:val="105"/>
          <w:sz w:val="13"/>
        </w:rPr>
        <w:t>this</w:t>
      </w:r>
      <w:r>
        <w:rPr>
          <w:spacing w:val="-7"/>
          <w:w w:val="105"/>
          <w:sz w:val="13"/>
        </w:rPr>
        <w:t> </w:t>
      </w:r>
      <w:r>
        <w:rPr>
          <w:w w:val="105"/>
          <w:sz w:val="13"/>
        </w:rPr>
        <w:t>falls</w:t>
      </w:r>
      <w:r>
        <w:rPr>
          <w:spacing w:val="-7"/>
          <w:w w:val="105"/>
          <w:sz w:val="13"/>
        </w:rPr>
        <w:t> </w:t>
      </w:r>
      <w:r>
        <w:rPr>
          <w:w w:val="105"/>
          <w:sz w:val="13"/>
        </w:rPr>
        <w:t>under</w:t>
      </w:r>
      <w:r>
        <w:rPr>
          <w:spacing w:val="-6"/>
          <w:w w:val="105"/>
          <w:sz w:val="13"/>
        </w:rPr>
        <w:t> </w:t>
      </w:r>
      <w:r>
        <w:rPr>
          <w:w w:val="105"/>
          <w:sz w:val="13"/>
        </w:rPr>
        <w:t>AASB1058</w:t>
      </w:r>
      <w:r>
        <w:rPr>
          <w:spacing w:val="-8"/>
          <w:w w:val="105"/>
          <w:sz w:val="13"/>
        </w:rPr>
        <w:t> </w:t>
      </w:r>
      <w:r>
        <w:rPr>
          <w:w w:val="105"/>
          <w:sz w:val="13"/>
        </w:rPr>
        <w:t>and</w:t>
      </w:r>
      <w:r>
        <w:rPr>
          <w:spacing w:val="-8"/>
          <w:w w:val="105"/>
          <w:sz w:val="13"/>
        </w:rPr>
        <w:t> </w:t>
      </w:r>
      <w:r>
        <w:rPr>
          <w:w w:val="105"/>
          <w:sz w:val="13"/>
        </w:rPr>
        <w:t>revenue</w:t>
      </w:r>
      <w:r>
        <w:rPr>
          <w:spacing w:val="-8"/>
          <w:w w:val="105"/>
          <w:sz w:val="13"/>
        </w:rPr>
        <w:t> </w:t>
      </w:r>
      <w:r>
        <w:rPr>
          <w:w w:val="105"/>
          <w:sz w:val="13"/>
        </w:rPr>
        <w:t>is</w:t>
      </w:r>
      <w:r>
        <w:rPr>
          <w:spacing w:val="-7"/>
          <w:w w:val="105"/>
          <w:sz w:val="13"/>
        </w:rPr>
        <w:t> </w:t>
      </w:r>
      <w:r>
        <w:rPr>
          <w:w w:val="105"/>
          <w:sz w:val="13"/>
        </w:rPr>
        <w:t>recognised</w:t>
      </w:r>
      <w:r>
        <w:rPr>
          <w:spacing w:val="-8"/>
          <w:w w:val="105"/>
          <w:sz w:val="13"/>
        </w:rPr>
        <w:t> </w:t>
      </w:r>
      <w:r>
        <w:rPr>
          <w:w w:val="105"/>
          <w:sz w:val="13"/>
        </w:rPr>
        <w:t>when</w:t>
      </w:r>
      <w:r>
        <w:rPr>
          <w:spacing w:val="-8"/>
          <w:w w:val="105"/>
          <w:sz w:val="13"/>
        </w:rPr>
        <w:t> </w:t>
      </w:r>
      <w:r>
        <w:rPr>
          <w:w w:val="105"/>
          <w:sz w:val="13"/>
        </w:rPr>
        <w:t>received.</w:t>
      </w:r>
    </w:p>
    <w:p>
      <w:pPr>
        <w:spacing w:line="240" w:lineRule="auto" w:before="0"/>
        <w:rPr>
          <w:sz w:val="20"/>
        </w:rPr>
      </w:pPr>
    </w:p>
    <w:p>
      <w:pPr>
        <w:spacing w:line="240" w:lineRule="auto" w:before="75"/>
        <w:rPr>
          <w:sz w:val="20"/>
        </w:rPr>
      </w:pPr>
      <w:r>
        <w:rPr/>
        <mc:AlternateContent>
          <mc:Choice Requires="wps">
            <w:drawing>
              <wp:anchor distT="0" distB="0" distL="0" distR="0" allowOverlap="1" layoutInCell="1" locked="0" behindDoc="1" simplePos="0" relativeHeight="487737344">
                <wp:simplePos x="0" y="0"/>
                <wp:positionH relativeFrom="page">
                  <wp:posOffset>720001</wp:posOffset>
                </wp:positionH>
                <wp:positionV relativeFrom="paragraph">
                  <wp:posOffset>208902</wp:posOffset>
                </wp:positionV>
                <wp:extent cx="5584825" cy="16510"/>
                <wp:effectExtent l="0" t="0" r="0" b="0"/>
                <wp:wrapTopAndBottom/>
                <wp:docPr id="898" name="Graphic 898"/>
                <wp:cNvGraphicFramePr>
                  <a:graphicFrameLocks/>
                </wp:cNvGraphicFramePr>
                <a:graphic>
                  <a:graphicData uri="http://schemas.microsoft.com/office/word/2010/wordprocessingShape">
                    <wps:wsp>
                      <wps:cNvPr id="898" name="Graphic 898"/>
                      <wps:cNvSpPr/>
                      <wps:spPr>
                        <a:xfrm>
                          <a:off x="0" y="0"/>
                          <a:ext cx="5584825" cy="16510"/>
                        </a:xfrm>
                        <a:custGeom>
                          <a:avLst/>
                          <a:gdLst/>
                          <a:ahLst/>
                          <a:cxnLst/>
                          <a:rect l="l" t="t" r="r" b="b"/>
                          <a:pathLst>
                            <a:path w="5584825" h="16510">
                              <a:moveTo>
                                <a:pt x="5584431" y="0"/>
                              </a:moveTo>
                              <a:lnTo>
                                <a:pt x="0" y="0"/>
                              </a:lnTo>
                              <a:lnTo>
                                <a:pt x="0" y="16510"/>
                              </a:lnTo>
                              <a:lnTo>
                                <a:pt x="5584431" y="16510"/>
                              </a:lnTo>
                              <a:lnTo>
                                <a:pt x="5584431"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6.693001pt;margin-top:16.449024pt;width:439.719pt;height:1.3pt;mso-position-horizontal-relative:page;mso-position-vertical-relative:paragraph;z-index:-15579136;mso-wrap-distance-left:0;mso-wrap-distance-right:0" id="docshape592" filled="true" fillcolor="#4f81bd" stroked="false">
                <v:fill type="solid"/>
                <w10:wrap type="topAndBottom"/>
              </v:rect>
            </w:pict>
          </mc:Fallback>
        </mc:AlternateContent>
      </w:r>
    </w:p>
    <w:p>
      <w:pPr>
        <w:spacing w:after="0" w:line="240" w:lineRule="auto"/>
        <w:rPr>
          <w:sz w:val="20"/>
        </w:rPr>
        <w:sectPr>
          <w:type w:val="continuous"/>
          <w:pgSz w:w="11910" w:h="16840"/>
          <w:pgMar w:header="468" w:footer="0" w:top="980" w:bottom="280" w:left="920" w:right="0"/>
        </w:sectPr>
      </w:pPr>
    </w:p>
    <w:p>
      <w:pPr>
        <w:spacing w:line="240" w:lineRule="auto" w:before="0"/>
        <w:rPr>
          <w:sz w:val="22"/>
        </w:rPr>
      </w:pPr>
    </w:p>
    <w:p>
      <w:pPr>
        <w:spacing w:line="240" w:lineRule="auto" w:before="0"/>
        <w:rPr>
          <w:sz w:val="22"/>
        </w:rPr>
      </w:pPr>
    </w:p>
    <w:p>
      <w:pPr>
        <w:spacing w:line="240" w:lineRule="auto" w:before="193"/>
        <w:rPr>
          <w:sz w:val="22"/>
        </w:rPr>
      </w:pPr>
    </w:p>
    <w:p>
      <w:pPr>
        <w:spacing w:before="1"/>
        <w:ind w:left="251" w:right="0" w:firstLine="0"/>
        <w:jc w:val="left"/>
        <w:rPr>
          <w:sz w:val="22"/>
        </w:rPr>
      </w:pPr>
      <w:r>
        <w:rPr>
          <w:color w:val="0070C0"/>
          <w:sz w:val="22"/>
        </w:rPr>
        <w:t>NOTES</w:t>
      </w:r>
      <w:r>
        <w:rPr>
          <w:color w:val="0070C0"/>
          <w:spacing w:val="-9"/>
          <w:sz w:val="22"/>
        </w:rPr>
        <w:t> </w:t>
      </w:r>
      <w:r>
        <w:rPr>
          <w:color w:val="0070C0"/>
          <w:sz w:val="22"/>
        </w:rPr>
        <w:t>TO</w:t>
      </w:r>
      <w:r>
        <w:rPr>
          <w:color w:val="0070C0"/>
          <w:spacing w:val="-9"/>
          <w:sz w:val="22"/>
        </w:rPr>
        <w:t> </w:t>
      </w:r>
      <w:r>
        <w:rPr>
          <w:color w:val="0070C0"/>
          <w:sz w:val="22"/>
        </w:rPr>
        <w:t>THE</w:t>
      </w:r>
      <w:r>
        <w:rPr>
          <w:color w:val="0070C0"/>
          <w:spacing w:val="-9"/>
          <w:sz w:val="22"/>
        </w:rPr>
        <w:t> </w:t>
      </w:r>
      <w:r>
        <w:rPr>
          <w:color w:val="0070C0"/>
          <w:sz w:val="22"/>
        </w:rPr>
        <w:t>FINANCIAL</w:t>
      </w:r>
      <w:r>
        <w:rPr>
          <w:color w:val="0070C0"/>
          <w:spacing w:val="-9"/>
          <w:sz w:val="22"/>
        </w:rPr>
        <w:t> </w:t>
      </w:r>
      <w:r>
        <w:rPr>
          <w:color w:val="0070C0"/>
          <w:spacing w:val="-2"/>
          <w:sz w:val="22"/>
        </w:rPr>
        <w:t>STATEMENTS</w:t>
      </w:r>
    </w:p>
    <w:p>
      <w:pPr>
        <w:spacing w:before="31"/>
        <w:ind w:left="238" w:right="0" w:firstLine="0"/>
        <w:jc w:val="left"/>
        <w:rPr>
          <w:sz w:val="12"/>
        </w:rPr>
      </w:pPr>
      <w:r>
        <w:rPr>
          <w:w w:val="105"/>
          <w:sz w:val="12"/>
        </w:rPr>
        <w:t>for</w:t>
      </w:r>
      <w:r>
        <w:rPr>
          <w:spacing w:val="-8"/>
          <w:w w:val="105"/>
          <w:sz w:val="12"/>
        </w:rPr>
        <w:t> </w:t>
      </w:r>
      <w:r>
        <w:rPr>
          <w:w w:val="105"/>
          <w:sz w:val="12"/>
        </w:rPr>
        <w:t>the</w:t>
      </w:r>
      <w:r>
        <w:rPr>
          <w:spacing w:val="-9"/>
          <w:w w:val="105"/>
          <w:sz w:val="12"/>
        </w:rPr>
        <w:t> </w:t>
      </w:r>
      <w:r>
        <w:rPr>
          <w:w w:val="105"/>
          <w:sz w:val="12"/>
        </w:rPr>
        <w:t>year</w:t>
      </w:r>
      <w:r>
        <w:rPr>
          <w:spacing w:val="-8"/>
          <w:w w:val="105"/>
          <w:sz w:val="12"/>
        </w:rPr>
        <w:t> </w:t>
      </w:r>
      <w:r>
        <w:rPr>
          <w:w w:val="105"/>
          <w:sz w:val="12"/>
        </w:rPr>
        <w:t>ended</w:t>
      </w:r>
      <w:r>
        <w:rPr>
          <w:spacing w:val="-8"/>
          <w:w w:val="105"/>
          <w:sz w:val="12"/>
        </w:rPr>
        <w:t> </w:t>
      </w:r>
      <w:r>
        <w:rPr>
          <w:w w:val="105"/>
          <w:sz w:val="12"/>
        </w:rPr>
        <w:t>31</w:t>
      </w:r>
      <w:r>
        <w:rPr>
          <w:spacing w:val="-9"/>
          <w:w w:val="105"/>
          <w:sz w:val="12"/>
        </w:rPr>
        <w:t> </w:t>
      </w:r>
      <w:r>
        <w:rPr>
          <w:w w:val="105"/>
          <w:sz w:val="12"/>
        </w:rPr>
        <w:t>December</w:t>
      </w:r>
      <w:r>
        <w:rPr>
          <w:spacing w:val="-8"/>
          <w:w w:val="105"/>
          <w:sz w:val="12"/>
        </w:rPr>
        <w:t> </w:t>
      </w:r>
      <w:r>
        <w:rPr>
          <w:spacing w:val="-4"/>
          <w:w w:val="105"/>
          <w:sz w:val="12"/>
        </w:rPr>
        <w:t>2020</w:t>
      </w:r>
    </w:p>
    <w:p>
      <w:pPr>
        <w:spacing w:line="240" w:lineRule="auto" w:before="0"/>
        <w:rPr>
          <w:sz w:val="12"/>
        </w:rPr>
      </w:pPr>
    </w:p>
    <w:p>
      <w:pPr>
        <w:spacing w:line="240" w:lineRule="auto" w:before="42"/>
        <w:rPr>
          <w:sz w:val="12"/>
        </w:rPr>
      </w:pPr>
    </w:p>
    <w:p>
      <w:pPr>
        <w:pStyle w:val="ListParagraph"/>
        <w:numPr>
          <w:ilvl w:val="1"/>
          <w:numId w:val="13"/>
        </w:numPr>
        <w:tabs>
          <w:tab w:pos="853" w:val="left" w:leader="none"/>
          <w:tab w:pos="6013" w:val="left" w:leader="none"/>
          <w:tab w:pos="7955" w:val="left" w:leader="none"/>
        </w:tabs>
        <w:spacing w:line="240" w:lineRule="auto" w:before="0" w:after="0"/>
        <w:ind w:left="853" w:right="0" w:hanging="609"/>
        <w:jc w:val="left"/>
        <w:rPr>
          <w:b/>
          <w:color w:val="0070C0"/>
          <w:sz w:val="16"/>
        </w:rPr>
      </w:pPr>
      <w:r>
        <w:rPr>
          <w:b/>
          <w:color w:val="0070C0"/>
          <w:spacing w:val="-2"/>
          <w:w w:val="105"/>
          <w:sz w:val="16"/>
        </w:rPr>
        <w:t>Fees</w:t>
      </w:r>
      <w:r>
        <w:rPr>
          <w:b/>
          <w:color w:val="0070C0"/>
          <w:spacing w:val="-7"/>
          <w:w w:val="105"/>
          <w:sz w:val="16"/>
        </w:rPr>
        <w:t> </w:t>
      </w:r>
      <w:r>
        <w:rPr>
          <w:b/>
          <w:color w:val="0070C0"/>
          <w:spacing w:val="-2"/>
          <w:w w:val="105"/>
          <w:sz w:val="16"/>
        </w:rPr>
        <w:t>and</w:t>
      </w:r>
      <w:r>
        <w:rPr>
          <w:b/>
          <w:color w:val="0070C0"/>
          <w:spacing w:val="-6"/>
          <w:w w:val="105"/>
          <w:sz w:val="16"/>
        </w:rPr>
        <w:t> </w:t>
      </w:r>
      <w:r>
        <w:rPr>
          <w:b/>
          <w:color w:val="0070C0"/>
          <w:spacing w:val="-2"/>
          <w:w w:val="105"/>
          <w:sz w:val="16"/>
        </w:rPr>
        <w:t>charges</w:t>
      </w:r>
      <w:r>
        <w:rPr>
          <w:b/>
          <w:color w:val="0070C0"/>
          <w:sz w:val="16"/>
        </w:rPr>
        <w:tab/>
      </w:r>
      <w:r>
        <w:rPr>
          <w:b/>
          <w:spacing w:val="-2"/>
          <w:w w:val="105"/>
          <w:sz w:val="13"/>
        </w:rPr>
        <w:t>Consolidated</w:t>
      </w:r>
      <w:r>
        <w:rPr>
          <w:b/>
          <w:sz w:val="13"/>
        </w:rPr>
        <w:tab/>
      </w:r>
      <w:r>
        <w:rPr>
          <w:b/>
          <w:spacing w:val="-2"/>
          <w:w w:val="105"/>
          <w:sz w:val="13"/>
        </w:rPr>
        <w:t>University</w:t>
      </w:r>
    </w:p>
    <w:tbl>
      <w:tblPr>
        <w:tblW w:w="0" w:type="auto"/>
        <w:jc w:val="left"/>
        <w:tblInd w:w="8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708"/>
        <w:gridCol w:w="1033"/>
        <w:gridCol w:w="919"/>
        <w:gridCol w:w="919"/>
        <w:gridCol w:w="807"/>
      </w:tblGrid>
      <w:tr>
        <w:trPr>
          <w:trHeight w:val="363" w:hRule="atLeast"/>
        </w:trPr>
        <w:tc>
          <w:tcPr>
            <w:tcW w:w="4708" w:type="dxa"/>
          </w:tcPr>
          <w:p>
            <w:pPr>
              <w:pStyle w:val="TableParagraph"/>
              <w:rPr>
                <w:rFonts w:ascii="Times New Roman"/>
                <w:sz w:val="12"/>
              </w:rPr>
            </w:pPr>
          </w:p>
        </w:tc>
        <w:tc>
          <w:tcPr>
            <w:tcW w:w="1033" w:type="dxa"/>
            <w:tcBorders>
              <w:bottom w:val="single" w:sz="6" w:space="0" w:color="000000"/>
            </w:tcBorders>
          </w:tcPr>
          <w:p>
            <w:pPr>
              <w:pStyle w:val="TableParagraph"/>
              <w:spacing w:before="28"/>
              <w:ind w:left="314"/>
              <w:rPr>
                <w:b/>
                <w:sz w:val="13"/>
              </w:rPr>
            </w:pPr>
            <w:r>
              <w:rPr>
                <w:b/>
                <w:spacing w:val="-4"/>
                <w:w w:val="105"/>
                <w:sz w:val="13"/>
              </w:rPr>
              <w:t>2020</w:t>
            </w:r>
          </w:p>
          <w:p>
            <w:pPr>
              <w:pStyle w:val="TableParagraph"/>
              <w:spacing w:line="143" w:lineRule="exact" w:before="23"/>
              <w:ind w:left="298"/>
              <w:rPr>
                <w:b/>
                <w:sz w:val="13"/>
              </w:rPr>
            </w:pPr>
            <w:r>
              <w:rPr>
                <w:b/>
                <w:spacing w:val="-2"/>
                <w:w w:val="105"/>
                <w:sz w:val="13"/>
              </w:rPr>
              <w:t>$'000</w:t>
            </w:r>
          </w:p>
        </w:tc>
        <w:tc>
          <w:tcPr>
            <w:tcW w:w="919" w:type="dxa"/>
            <w:tcBorders>
              <w:bottom w:val="single" w:sz="6" w:space="0" w:color="000000"/>
            </w:tcBorders>
          </w:tcPr>
          <w:p>
            <w:pPr>
              <w:pStyle w:val="TableParagraph"/>
              <w:spacing w:before="28"/>
              <w:ind w:left="199"/>
              <w:rPr>
                <w:b/>
                <w:sz w:val="13"/>
              </w:rPr>
            </w:pPr>
            <w:r>
              <w:rPr>
                <w:b/>
                <w:spacing w:val="-4"/>
                <w:w w:val="105"/>
                <w:sz w:val="13"/>
              </w:rPr>
              <w:t>2019</w:t>
            </w:r>
          </w:p>
          <w:p>
            <w:pPr>
              <w:pStyle w:val="TableParagraph"/>
              <w:spacing w:line="143" w:lineRule="exact" w:before="23"/>
              <w:ind w:left="184"/>
              <w:rPr>
                <w:b/>
                <w:sz w:val="13"/>
              </w:rPr>
            </w:pPr>
            <w:r>
              <w:rPr>
                <w:b/>
                <w:spacing w:val="-2"/>
                <w:w w:val="105"/>
                <w:sz w:val="13"/>
              </w:rPr>
              <w:t>$'000</w:t>
            </w:r>
          </w:p>
        </w:tc>
        <w:tc>
          <w:tcPr>
            <w:tcW w:w="919" w:type="dxa"/>
            <w:tcBorders>
              <w:bottom w:val="single" w:sz="6" w:space="0" w:color="000000"/>
            </w:tcBorders>
          </w:tcPr>
          <w:p>
            <w:pPr>
              <w:pStyle w:val="TableParagraph"/>
              <w:spacing w:before="28"/>
              <w:ind w:left="199"/>
              <w:rPr>
                <w:b/>
                <w:sz w:val="13"/>
              </w:rPr>
            </w:pPr>
            <w:r>
              <w:rPr>
                <w:b/>
                <w:spacing w:val="-4"/>
                <w:w w:val="105"/>
                <w:sz w:val="13"/>
              </w:rPr>
              <w:t>2020</w:t>
            </w:r>
          </w:p>
          <w:p>
            <w:pPr>
              <w:pStyle w:val="TableParagraph"/>
              <w:spacing w:line="143" w:lineRule="exact" w:before="23"/>
              <w:ind w:left="184"/>
              <w:rPr>
                <w:b/>
                <w:sz w:val="13"/>
              </w:rPr>
            </w:pPr>
            <w:r>
              <w:rPr>
                <w:b/>
                <w:spacing w:val="-2"/>
                <w:w w:val="105"/>
                <w:sz w:val="13"/>
              </w:rPr>
              <w:t>$'000</w:t>
            </w:r>
          </w:p>
        </w:tc>
        <w:tc>
          <w:tcPr>
            <w:tcW w:w="807" w:type="dxa"/>
            <w:tcBorders>
              <w:bottom w:val="single" w:sz="6" w:space="0" w:color="000000"/>
            </w:tcBorders>
          </w:tcPr>
          <w:p>
            <w:pPr>
              <w:pStyle w:val="TableParagraph"/>
              <w:spacing w:before="28"/>
              <w:ind w:left="199"/>
              <w:rPr>
                <w:b/>
                <w:sz w:val="13"/>
              </w:rPr>
            </w:pPr>
            <w:r>
              <w:rPr>
                <w:b/>
                <w:spacing w:val="-4"/>
                <w:w w:val="105"/>
                <w:sz w:val="13"/>
              </w:rPr>
              <w:t>2019</w:t>
            </w:r>
          </w:p>
          <w:p>
            <w:pPr>
              <w:pStyle w:val="TableParagraph"/>
              <w:spacing w:line="143" w:lineRule="exact" w:before="23"/>
              <w:ind w:left="184"/>
              <w:rPr>
                <w:b/>
                <w:sz w:val="13"/>
              </w:rPr>
            </w:pPr>
            <w:r>
              <w:rPr>
                <w:b/>
                <w:spacing w:val="-2"/>
                <w:w w:val="105"/>
                <w:sz w:val="13"/>
              </w:rPr>
              <w:t>$'000</w:t>
            </w:r>
          </w:p>
        </w:tc>
      </w:tr>
      <w:tr>
        <w:trPr>
          <w:trHeight w:val="164" w:hRule="atLeast"/>
        </w:trPr>
        <w:tc>
          <w:tcPr>
            <w:tcW w:w="4708" w:type="dxa"/>
          </w:tcPr>
          <w:p>
            <w:pPr>
              <w:pStyle w:val="TableParagraph"/>
              <w:spacing w:line="144" w:lineRule="exact"/>
              <w:ind w:left="34"/>
              <w:rPr>
                <w:b/>
                <w:sz w:val="13"/>
              </w:rPr>
            </w:pPr>
            <w:r>
              <w:rPr>
                <w:b/>
                <w:w w:val="105"/>
                <w:sz w:val="13"/>
              </w:rPr>
              <w:t>Course</w:t>
            </w:r>
            <w:r>
              <w:rPr>
                <w:b/>
                <w:spacing w:val="-5"/>
                <w:w w:val="105"/>
                <w:sz w:val="13"/>
              </w:rPr>
              <w:t> </w:t>
            </w:r>
            <w:r>
              <w:rPr>
                <w:b/>
                <w:w w:val="105"/>
                <w:sz w:val="13"/>
              </w:rPr>
              <w:t>fees</w:t>
            </w:r>
            <w:r>
              <w:rPr>
                <w:b/>
                <w:spacing w:val="-5"/>
                <w:w w:val="105"/>
                <w:sz w:val="13"/>
              </w:rPr>
              <w:t> </w:t>
            </w:r>
            <w:r>
              <w:rPr>
                <w:b/>
                <w:w w:val="105"/>
                <w:sz w:val="13"/>
              </w:rPr>
              <w:t>and</w:t>
            </w:r>
            <w:r>
              <w:rPr>
                <w:b/>
                <w:spacing w:val="-4"/>
                <w:w w:val="105"/>
                <w:sz w:val="13"/>
              </w:rPr>
              <w:t> </w:t>
            </w:r>
            <w:r>
              <w:rPr>
                <w:b/>
                <w:spacing w:val="-2"/>
                <w:w w:val="105"/>
                <w:sz w:val="13"/>
              </w:rPr>
              <w:t>charges</w:t>
            </w:r>
          </w:p>
        </w:tc>
        <w:tc>
          <w:tcPr>
            <w:tcW w:w="1033" w:type="dxa"/>
            <w:tcBorders>
              <w:top w:val="single" w:sz="6" w:space="0" w:color="000000"/>
            </w:tcBorders>
          </w:tcPr>
          <w:p>
            <w:pPr>
              <w:pStyle w:val="TableParagraph"/>
              <w:rPr>
                <w:rFonts w:ascii="Times New Roman"/>
                <w:sz w:val="10"/>
              </w:rPr>
            </w:pPr>
          </w:p>
        </w:tc>
        <w:tc>
          <w:tcPr>
            <w:tcW w:w="919" w:type="dxa"/>
            <w:tcBorders>
              <w:top w:val="single" w:sz="6" w:space="0" w:color="000000"/>
            </w:tcBorders>
          </w:tcPr>
          <w:p>
            <w:pPr>
              <w:pStyle w:val="TableParagraph"/>
              <w:rPr>
                <w:rFonts w:ascii="Times New Roman"/>
                <w:sz w:val="10"/>
              </w:rPr>
            </w:pPr>
          </w:p>
        </w:tc>
        <w:tc>
          <w:tcPr>
            <w:tcW w:w="919" w:type="dxa"/>
            <w:tcBorders>
              <w:top w:val="single" w:sz="6" w:space="0" w:color="000000"/>
            </w:tcBorders>
          </w:tcPr>
          <w:p>
            <w:pPr>
              <w:pStyle w:val="TableParagraph"/>
              <w:rPr>
                <w:rFonts w:ascii="Times New Roman"/>
                <w:sz w:val="10"/>
              </w:rPr>
            </w:pPr>
          </w:p>
        </w:tc>
        <w:tc>
          <w:tcPr>
            <w:tcW w:w="807" w:type="dxa"/>
            <w:tcBorders>
              <w:top w:val="single" w:sz="6" w:space="0" w:color="000000"/>
            </w:tcBorders>
          </w:tcPr>
          <w:p>
            <w:pPr>
              <w:pStyle w:val="TableParagraph"/>
              <w:rPr>
                <w:rFonts w:ascii="Times New Roman"/>
                <w:sz w:val="10"/>
              </w:rPr>
            </w:pPr>
          </w:p>
        </w:tc>
      </w:tr>
      <w:tr>
        <w:trPr>
          <w:trHeight w:val="172" w:hRule="atLeast"/>
        </w:trPr>
        <w:tc>
          <w:tcPr>
            <w:tcW w:w="4708" w:type="dxa"/>
          </w:tcPr>
          <w:p>
            <w:pPr>
              <w:pStyle w:val="TableParagraph"/>
              <w:spacing w:before="3"/>
              <w:ind w:left="34"/>
              <w:rPr>
                <w:sz w:val="13"/>
              </w:rPr>
            </w:pPr>
            <w:r>
              <w:rPr>
                <w:w w:val="105"/>
                <w:sz w:val="13"/>
              </w:rPr>
              <w:t>Fee-paying</w:t>
            </w:r>
            <w:r>
              <w:rPr>
                <w:spacing w:val="-10"/>
                <w:w w:val="105"/>
                <w:sz w:val="13"/>
              </w:rPr>
              <w:t> </w:t>
            </w:r>
            <w:r>
              <w:rPr>
                <w:w w:val="105"/>
                <w:sz w:val="13"/>
              </w:rPr>
              <w:t>overseas</w:t>
            </w:r>
            <w:r>
              <w:rPr>
                <w:spacing w:val="-9"/>
                <w:w w:val="105"/>
                <w:sz w:val="13"/>
              </w:rPr>
              <w:t> </w:t>
            </w:r>
            <w:r>
              <w:rPr>
                <w:w w:val="105"/>
                <w:sz w:val="13"/>
              </w:rPr>
              <w:t>students</w:t>
            </w:r>
            <w:r>
              <w:rPr>
                <w:spacing w:val="-10"/>
                <w:w w:val="105"/>
                <w:sz w:val="13"/>
              </w:rPr>
              <w:t> </w:t>
            </w:r>
            <w:r>
              <w:rPr>
                <w:w w:val="105"/>
                <w:sz w:val="13"/>
              </w:rPr>
              <w:t>-</w:t>
            </w:r>
            <w:r>
              <w:rPr>
                <w:spacing w:val="-8"/>
                <w:w w:val="105"/>
                <w:sz w:val="13"/>
              </w:rPr>
              <w:t> </w:t>
            </w:r>
            <w:r>
              <w:rPr>
                <w:w w:val="105"/>
                <w:sz w:val="13"/>
              </w:rPr>
              <w:t>onshore</w:t>
            </w:r>
            <w:r>
              <w:rPr>
                <w:spacing w:val="-10"/>
                <w:w w:val="105"/>
                <w:sz w:val="13"/>
              </w:rPr>
              <w:t> </w:t>
            </w:r>
            <w:r>
              <w:rPr>
                <w:spacing w:val="-2"/>
                <w:w w:val="105"/>
                <w:sz w:val="13"/>
              </w:rPr>
              <w:t>courses</w:t>
            </w:r>
          </w:p>
        </w:tc>
        <w:tc>
          <w:tcPr>
            <w:tcW w:w="1033" w:type="dxa"/>
          </w:tcPr>
          <w:p>
            <w:pPr>
              <w:pStyle w:val="TableParagraph"/>
              <w:spacing w:before="3"/>
              <w:ind w:right="185"/>
              <w:jc w:val="right"/>
              <w:rPr>
                <w:sz w:val="13"/>
              </w:rPr>
            </w:pPr>
            <w:r>
              <w:rPr>
                <w:spacing w:val="-2"/>
                <w:w w:val="105"/>
                <w:sz w:val="13"/>
              </w:rPr>
              <w:t>138,227</w:t>
            </w:r>
          </w:p>
        </w:tc>
        <w:tc>
          <w:tcPr>
            <w:tcW w:w="919" w:type="dxa"/>
          </w:tcPr>
          <w:p>
            <w:pPr>
              <w:pStyle w:val="TableParagraph"/>
              <w:spacing w:before="3"/>
              <w:ind w:right="185"/>
              <w:jc w:val="right"/>
              <w:rPr>
                <w:sz w:val="13"/>
              </w:rPr>
            </w:pPr>
            <w:r>
              <w:rPr>
                <w:spacing w:val="-2"/>
                <w:w w:val="105"/>
                <w:sz w:val="13"/>
              </w:rPr>
              <w:t>149,576</w:t>
            </w:r>
          </w:p>
        </w:tc>
        <w:tc>
          <w:tcPr>
            <w:tcW w:w="919" w:type="dxa"/>
          </w:tcPr>
          <w:p>
            <w:pPr>
              <w:pStyle w:val="TableParagraph"/>
              <w:spacing w:before="3"/>
              <w:ind w:right="185"/>
              <w:jc w:val="right"/>
              <w:rPr>
                <w:sz w:val="13"/>
              </w:rPr>
            </w:pPr>
            <w:r>
              <w:rPr>
                <w:spacing w:val="-2"/>
                <w:w w:val="105"/>
                <w:sz w:val="13"/>
              </w:rPr>
              <w:t>138,227</w:t>
            </w:r>
          </w:p>
        </w:tc>
        <w:tc>
          <w:tcPr>
            <w:tcW w:w="807" w:type="dxa"/>
          </w:tcPr>
          <w:p>
            <w:pPr>
              <w:pStyle w:val="TableParagraph"/>
              <w:spacing w:before="3"/>
              <w:ind w:right="74"/>
              <w:jc w:val="right"/>
              <w:rPr>
                <w:sz w:val="13"/>
              </w:rPr>
            </w:pPr>
            <w:r>
              <w:rPr>
                <w:spacing w:val="-2"/>
                <w:w w:val="105"/>
                <w:sz w:val="13"/>
              </w:rPr>
              <w:t>149,576</w:t>
            </w:r>
          </w:p>
        </w:tc>
      </w:tr>
      <w:tr>
        <w:trPr>
          <w:trHeight w:val="172" w:hRule="atLeast"/>
        </w:trPr>
        <w:tc>
          <w:tcPr>
            <w:tcW w:w="4708" w:type="dxa"/>
          </w:tcPr>
          <w:p>
            <w:pPr>
              <w:pStyle w:val="TableParagraph"/>
              <w:spacing w:before="3"/>
              <w:ind w:left="34"/>
              <w:rPr>
                <w:sz w:val="13"/>
              </w:rPr>
            </w:pPr>
            <w:r>
              <w:rPr>
                <w:w w:val="105"/>
                <w:sz w:val="13"/>
              </w:rPr>
              <w:t>Fee-paying</w:t>
            </w:r>
            <w:r>
              <w:rPr>
                <w:spacing w:val="-10"/>
                <w:w w:val="105"/>
                <w:sz w:val="13"/>
              </w:rPr>
              <w:t> </w:t>
            </w:r>
            <w:r>
              <w:rPr>
                <w:w w:val="105"/>
                <w:sz w:val="13"/>
              </w:rPr>
              <w:t>overseas</w:t>
            </w:r>
            <w:r>
              <w:rPr>
                <w:spacing w:val="-8"/>
                <w:w w:val="105"/>
                <w:sz w:val="13"/>
              </w:rPr>
              <w:t> </w:t>
            </w:r>
            <w:r>
              <w:rPr>
                <w:w w:val="105"/>
                <w:sz w:val="13"/>
              </w:rPr>
              <w:t>students</w:t>
            </w:r>
            <w:r>
              <w:rPr>
                <w:spacing w:val="-8"/>
                <w:w w:val="105"/>
                <w:sz w:val="13"/>
              </w:rPr>
              <w:t> </w:t>
            </w:r>
            <w:r>
              <w:rPr>
                <w:w w:val="105"/>
                <w:sz w:val="13"/>
              </w:rPr>
              <w:t>-</w:t>
            </w:r>
            <w:r>
              <w:rPr>
                <w:spacing w:val="-7"/>
                <w:w w:val="105"/>
                <w:sz w:val="13"/>
              </w:rPr>
              <w:t> </w:t>
            </w:r>
            <w:r>
              <w:rPr>
                <w:w w:val="105"/>
                <w:sz w:val="13"/>
              </w:rPr>
              <w:t>offshore</w:t>
            </w:r>
            <w:r>
              <w:rPr>
                <w:spacing w:val="-10"/>
                <w:w w:val="105"/>
                <w:sz w:val="13"/>
              </w:rPr>
              <w:t> </w:t>
            </w:r>
            <w:r>
              <w:rPr>
                <w:spacing w:val="-2"/>
                <w:w w:val="105"/>
                <w:sz w:val="13"/>
              </w:rPr>
              <w:t>courses</w:t>
            </w:r>
          </w:p>
        </w:tc>
        <w:tc>
          <w:tcPr>
            <w:tcW w:w="1033" w:type="dxa"/>
          </w:tcPr>
          <w:p>
            <w:pPr>
              <w:pStyle w:val="TableParagraph"/>
              <w:spacing w:before="3"/>
              <w:ind w:right="185"/>
              <w:jc w:val="right"/>
              <w:rPr>
                <w:sz w:val="13"/>
              </w:rPr>
            </w:pPr>
            <w:r>
              <w:rPr>
                <w:spacing w:val="-2"/>
                <w:w w:val="105"/>
                <w:sz w:val="13"/>
              </w:rPr>
              <w:t>1,510</w:t>
            </w:r>
          </w:p>
        </w:tc>
        <w:tc>
          <w:tcPr>
            <w:tcW w:w="919" w:type="dxa"/>
          </w:tcPr>
          <w:p>
            <w:pPr>
              <w:pStyle w:val="TableParagraph"/>
              <w:spacing w:before="3"/>
              <w:ind w:right="185"/>
              <w:jc w:val="right"/>
              <w:rPr>
                <w:sz w:val="13"/>
              </w:rPr>
            </w:pPr>
            <w:r>
              <w:rPr>
                <w:spacing w:val="-2"/>
                <w:w w:val="105"/>
                <w:sz w:val="13"/>
              </w:rPr>
              <w:t>1,442</w:t>
            </w:r>
          </w:p>
        </w:tc>
        <w:tc>
          <w:tcPr>
            <w:tcW w:w="919" w:type="dxa"/>
          </w:tcPr>
          <w:p>
            <w:pPr>
              <w:pStyle w:val="TableParagraph"/>
              <w:spacing w:before="3"/>
              <w:ind w:right="185"/>
              <w:jc w:val="right"/>
              <w:rPr>
                <w:sz w:val="13"/>
              </w:rPr>
            </w:pPr>
            <w:r>
              <w:rPr>
                <w:spacing w:val="-2"/>
                <w:w w:val="105"/>
                <w:sz w:val="13"/>
              </w:rPr>
              <w:t>1,510</w:t>
            </w:r>
          </w:p>
        </w:tc>
        <w:tc>
          <w:tcPr>
            <w:tcW w:w="807" w:type="dxa"/>
          </w:tcPr>
          <w:p>
            <w:pPr>
              <w:pStyle w:val="TableParagraph"/>
              <w:spacing w:before="3"/>
              <w:ind w:right="73"/>
              <w:jc w:val="right"/>
              <w:rPr>
                <w:sz w:val="13"/>
              </w:rPr>
            </w:pPr>
            <w:r>
              <w:rPr>
                <w:spacing w:val="-2"/>
                <w:w w:val="105"/>
                <w:sz w:val="13"/>
              </w:rPr>
              <w:t>1,442</w:t>
            </w:r>
          </w:p>
        </w:tc>
      </w:tr>
      <w:tr>
        <w:trPr>
          <w:trHeight w:val="172" w:hRule="atLeast"/>
        </w:trPr>
        <w:tc>
          <w:tcPr>
            <w:tcW w:w="4708" w:type="dxa"/>
          </w:tcPr>
          <w:p>
            <w:pPr>
              <w:pStyle w:val="TableParagraph"/>
              <w:spacing w:before="3"/>
              <w:ind w:left="34"/>
              <w:rPr>
                <w:sz w:val="13"/>
              </w:rPr>
            </w:pPr>
            <w:r>
              <w:rPr>
                <w:w w:val="105"/>
                <w:sz w:val="13"/>
              </w:rPr>
              <w:t>Continuing</w:t>
            </w:r>
            <w:r>
              <w:rPr>
                <w:spacing w:val="-10"/>
                <w:w w:val="105"/>
                <w:sz w:val="13"/>
              </w:rPr>
              <w:t> </w:t>
            </w:r>
            <w:r>
              <w:rPr>
                <w:w w:val="105"/>
                <w:sz w:val="13"/>
              </w:rPr>
              <w:t>education</w:t>
            </w:r>
            <w:r>
              <w:rPr>
                <w:spacing w:val="-9"/>
                <w:w w:val="105"/>
                <w:sz w:val="13"/>
              </w:rPr>
              <w:t> </w:t>
            </w:r>
            <w:r>
              <w:rPr>
                <w:w w:val="105"/>
                <w:sz w:val="13"/>
              </w:rPr>
              <w:t>and</w:t>
            </w:r>
            <w:r>
              <w:rPr>
                <w:spacing w:val="-9"/>
                <w:w w:val="105"/>
                <w:sz w:val="13"/>
              </w:rPr>
              <w:t> </w:t>
            </w:r>
            <w:r>
              <w:rPr>
                <w:w w:val="105"/>
                <w:sz w:val="13"/>
              </w:rPr>
              <w:t>short</w:t>
            </w:r>
            <w:r>
              <w:rPr>
                <w:spacing w:val="-10"/>
                <w:w w:val="105"/>
                <w:sz w:val="13"/>
              </w:rPr>
              <w:t> </w:t>
            </w:r>
            <w:r>
              <w:rPr>
                <w:spacing w:val="-2"/>
                <w:w w:val="105"/>
                <w:sz w:val="13"/>
              </w:rPr>
              <w:t>courses</w:t>
            </w:r>
          </w:p>
        </w:tc>
        <w:tc>
          <w:tcPr>
            <w:tcW w:w="1033" w:type="dxa"/>
          </w:tcPr>
          <w:p>
            <w:pPr>
              <w:pStyle w:val="TableParagraph"/>
              <w:spacing w:before="3"/>
              <w:ind w:right="185"/>
              <w:jc w:val="right"/>
              <w:rPr>
                <w:sz w:val="13"/>
              </w:rPr>
            </w:pPr>
            <w:r>
              <w:rPr>
                <w:spacing w:val="-2"/>
                <w:w w:val="105"/>
                <w:sz w:val="13"/>
              </w:rPr>
              <w:t>6,442</w:t>
            </w:r>
          </w:p>
        </w:tc>
        <w:tc>
          <w:tcPr>
            <w:tcW w:w="919" w:type="dxa"/>
          </w:tcPr>
          <w:p>
            <w:pPr>
              <w:pStyle w:val="TableParagraph"/>
              <w:spacing w:before="3"/>
              <w:ind w:right="185"/>
              <w:jc w:val="right"/>
              <w:rPr>
                <w:sz w:val="13"/>
              </w:rPr>
            </w:pPr>
            <w:r>
              <w:rPr>
                <w:spacing w:val="-2"/>
                <w:w w:val="105"/>
                <w:sz w:val="13"/>
              </w:rPr>
              <w:t>11,659</w:t>
            </w:r>
          </w:p>
        </w:tc>
        <w:tc>
          <w:tcPr>
            <w:tcW w:w="919" w:type="dxa"/>
          </w:tcPr>
          <w:p>
            <w:pPr>
              <w:pStyle w:val="TableParagraph"/>
              <w:spacing w:before="3"/>
              <w:ind w:right="185"/>
              <w:jc w:val="right"/>
              <w:rPr>
                <w:sz w:val="13"/>
              </w:rPr>
            </w:pPr>
            <w:r>
              <w:rPr>
                <w:spacing w:val="-2"/>
                <w:w w:val="105"/>
                <w:sz w:val="13"/>
              </w:rPr>
              <w:t>6,442</w:t>
            </w:r>
          </w:p>
        </w:tc>
        <w:tc>
          <w:tcPr>
            <w:tcW w:w="807" w:type="dxa"/>
          </w:tcPr>
          <w:p>
            <w:pPr>
              <w:pStyle w:val="TableParagraph"/>
              <w:spacing w:before="3"/>
              <w:ind w:right="74"/>
              <w:jc w:val="right"/>
              <w:rPr>
                <w:sz w:val="13"/>
              </w:rPr>
            </w:pPr>
            <w:r>
              <w:rPr>
                <w:spacing w:val="-2"/>
                <w:w w:val="105"/>
                <w:sz w:val="13"/>
              </w:rPr>
              <w:t>11,659</w:t>
            </w:r>
          </w:p>
        </w:tc>
      </w:tr>
      <w:tr>
        <w:trPr>
          <w:trHeight w:val="166" w:hRule="atLeast"/>
        </w:trPr>
        <w:tc>
          <w:tcPr>
            <w:tcW w:w="4708" w:type="dxa"/>
          </w:tcPr>
          <w:p>
            <w:pPr>
              <w:pStyle w:val="TableParagraph"/>
              <w:spacing w:line="143" w:lineRule="exact" w:before="3"/>
              <w:ind w:left="34"/>
              <w:rPr>
                <w:sz w:val="13"/>
              </w:rPr>
            </w:pPr>
            <w:r>
              <w:rPr>
                <w:spacing w:val="-2"/>
                <w:w w:val="105"/>
                <w:sz w:val="13"/>
              </w:rPr>
              <w:t>Fee-paying</w:t>
            </w:r>
            <w:r>
              <w:rPr>
                <w:spacing w:val="5"/>
                <w:w w:val="105"/>
                <w:sz w:val="13"/>
              </w:rPr>
              <w:t> </w:t>
            </w:r>
            <w:r>
              <w:rPr>
                <w:spacing w:val="-2"/>
                <w:w w:val="105"/>
                <w:sz w:val="13"/>
              </w:rPr>
              <w:t>domestic</w:t>
            </w:r>
            <w:r>
              <w:rPr>
                <w:spacing w:val="7"/>
                <w:w w:val="105"/>
                <w:sz w:val="13"/>
              </w:rPr>
              <w:t> </w:t>
            </w:r>
            <w:r>
              <w:rPr>
                <w:spacing w:val="-2"/>
                <w:w w:val="105"/>
                <w:sz w:val="13"/>
              </w:rPr>
              <w:t>postgraduate</w:t>
            </w:r>
            <w:r>
              <w:rPr>
                <w:spacing w:val="5"/>
                <w:w w:val="105"/>
                <w:sz w:val="13"/>
              </w:rPr>
              <w:t> </w:t>
            </w:r>
            <w:r>
              <w:rPr>
                <w:spacing w:val="-2"/>
                <w:w w:val="105"/>
                <w:sz w:val="13"/>
              </w:rPr>
              <w:t>students</w:t>
            </w:r>
          </w:p>
        </w:tc>
        <w:tc>
          <w:tcPr>
            <w:tcW w:w="1033" w:type="dxa"/>
            <w:tcBorders>
              <w:bottom w:val="single" w:sz="6" w:space="0" w:color="000000"/>
            </w:tcBorders>
          </w:tcPr>
          <w:p>
            <w:pPr>
              <w:pStyle w:val="TableParagraph"/>
              <w:spacing w:line="143" w:lineRule="exact" w:before="3"/>
              <w:ind w:right="185"/>
              <w:jc w:val="right"/>
              <w:rPr>
                <w:sz w:val="13"/>
              </w:rPr>
            </w:pPr>
            <w:r>
              <w:rPr>
                <w:spacing w:val="-2"/>
                <w:w w:val="105"/>
                <w:sz w:val="13"/>
              </w:rPr>
              <w:t>5,730</w:t>
            </w:r>
          </w:p>
        </w:tc>
        <w:tc>
          <w:tcPr>
            <w:tcW w:w="919" w:type="dxa"/>
            <w:tcBorders>
              <w:bottom w:val="single" w:sz="6" w:space="0" w:color="000000"/>
            </w:tcBorders>
          </w:tcPr>
          <w:p>
            <w:pPr>
              <w:pStyle w:val="TableParagraph"/>
              <w:spacing w:line="143" w:lineRule="exact" w:before="3"/>
              <w:ind w:right="185"/>
              <w:jc w:val="right"/>
              <w:rPr>
                <w:sz w:val="13"/>
              </w:rPr>
            </w:pPr>
            <w:r>
              <w:rPr>
                <w:spacing w:val="-2"/>
                <w:w w:val="105"/>
                <w:sz w:val="13"/>
              </w:rPr>
              <w:t>6,489</w:t>
            </w:r>
          </w:p>
        </w:tc>
        <w:tc>
          <w:tcPr>
            <w:tcW w:w="919" w:type="dxa"/>
            <w:tcBorders>
              <w:bottom w:val="single" w:sz="6" w:space="0" w:color="000000"/>
            </w:tcBorders>
          </w:tcPr>
          <w:p>
            <w:pPr>
              <w:pStyle w:val="TableParagraph"/>
              <w:spacing w:line="143" w:lineRule="exact" w:before="3"/>
              <w:ind w:right="185"/>
              <w:jc w:val="right"/>
              <w:rPr>
                <w:sz w:val="13"/>
              </w:rPr>
            </w:pPr>
            <w:r>
              <w:rPr>
                <w:spacing w:val="-2"/>
                <w:w w:val="105"/>
                <w:sz w:val="13"/>
              </w:rPr>
              <w:t>5,730</w:t>
            </w:r>
          </w:p>
        </w:tc>
        <w:tc>
          <w:tcPr>
            <w:tcW w:w="807" w:type="dxa"/>
            <w:tcBorders>
              <w:bottom w:val="single" w:sz="6" w:space="0" w:color="000000"/>
            </w:tcBorders>
          </w:tcPr>
          <w:p>
            <w:pPr>
              <w:pStyle w:val="TableParagraph"/>
              <w:spacing w:line="143" w:lineRule="exact" w:before="3"/>
              <w:ind w:right="73"/>
              <w:jc w:val="right"/>
              <w:rPr>
                <w:sz w:val="13"/>
              </w:rPr>
            </w:pPr>
            <w:r>
              <w:rPr>
                <w:spacing w:val="-2"/>
                <w:w w:val="105"/>
                <w:sz w:val="13"/>
              </w:rPr>
              <w:t>6,489</w:t>
            </w:r>
          </w:p>
        </w:tc>
      </w:tr>
      <w:tr>
        <w:trPr>
          <w:trHeight w:val="157" w:hRule="atLeast"/>
        </w:trPr>
        <w:tc>
          <w:tcPr>
            <w:tcW w:w="4708" w:type="dxa"/>
          </w:tcPr>
          <w:p>
            <w:pPr>
              <w:pStyle w:val="TableParagraph"/>
              <w:spacing w:line="138" w:lineRule="exact"/>
              <w:ind w:left="35"/>
              <w:rPr>
                <w:b/>
                <w:sz w:val="13"/>
              </w:rPr>
            </w:pPr>
            <w:r>
              <w:rPr>
                <w:b/>
                <w:w w:val="105"/>
                <w:sz w:val="13"/>
              </w:rPr>
              <w:t>Total</w:t>
            </w:r>
            <w:r>
              <w:rPr>
                <w:b/>
                <w:spacing w:val="-5"/>
                <w:w w:val="105"/>
                <w:sz w:val="13"/>
              </w:rPr>
              <w:t> </w:t>
            </w:r>
            <w:r>
              <w:rPr>
                <w:b/>
                <w:w w:val="105"/>
                <w:sz w:val="13"/>
              </w:rPr>
              <w:t>course</w:t>
            </w:r>
            <w:r>
              <w:rPr>
                <w:b/>
                <w:spacing w:val="-5"/>
                <w:w w:val="105"/>
                <w:sz w:val="13"/>
              </w:rPr>
              <w:t> </w:t>
            </w:r>
            <w:r>
              <w:rPr>
                <w:b/>
                <w:w w:val="105"/>
                <w:sz w:val="13"/>
              </w:rPr>
              <w:t>fees</w:t>
            </w:r>
            <w:r>
              <w:rPr>
                <w:b/>
                <w:spacing w:val="-5"/>
                <w:w w:val="105"/>
                <w:sz w:val="13"/>
              </w:rPr>
              <w:t> </w:t>
            </w:r>
            <w:r>
              <w:rPr>
                <w:b/>
                <w:w w:val="105"/>
                <w:sz w:val="13"/>
              </w:rPr>
              <w:t>and</w:t>
            </w:r>
            <w:r>
              <w:rPr>
                <w:b/>
                <w:spacing w:val="-4"/>
                <w:w w:val="105"/>
                <w:sz w:val="13"/>
              </w:rPr>
              <w:t> </w:t>
            </w:r>
            <w:r>
              <w:rPr>
                <w:b/>
                <w:spacing w:val="-2"/>
                <w:w w:val="105"/>
                <w:sz w:val="13"/>
              </w:rPr>
              <w:t>charges</w:t>
            </w:r>
          </w:p>
        </w:tc>
        <w:tc>
          <w:tcPr>
            <w:tcW w:w="1033" w:type="dxa"/>
            <w:tcBorders>
              <w:top w:val="single" w:sz="6" w:space="0" w:color="000000"/>
              <w:bottom w:val="single" w:sz="6" w:space="0" w:color="000000"/>
            </w:tcBorders>
          </w:tcPr>
          <w:p>
            <w:pPr>
              <w:pStyle w:val="TableParagraph"/>
              <w:spacing w:line="138" w:lineRule="exact"/>
              <w:ind w:right="185"/>
              <w:jc w:val="right"/>
              <w:rPr>
                <w:b/>
                <w:sz w:val="13"/>
              </w:rPr>
            </w:pPr>
            <w:r>
              <w:rPr>
                <w:b/>
                <w:spacing w:val="-2"/>
                <w:w w:val="105"/>
                <w:sz w:val="13"/>
              </w:rPr>
              <w:t>151,909</w:t>
            </w:r>
          </w:p>
        </w:tc>
        <w:tc>
          <w:tcPr>
            <w:tcW w:w="919" w:type="dxa"/>
            <w:tcBorders>
              <w:top w:val="single" w:sz="6" w:space="0" w:color="000000"/>
              <w:bottom w:val="single" w:sz="6" w:space="0" w:color="000000"/>
            </w:tcBorders>
          </w:tcPr>
          <w:p>
            <w:pPr>
              <w:pStyle w:val="TableParagraph"/>
              <w:spacing w:line="138" w:lineRule="exact"/>
              <w:ind w:right="185"/>
              <w:jc w:val="right"/>
              <w:rPr>
                <w:b/>
                <w:sz w:val="13"/>
              </w:rPr>
            </w:pPr>
            <w:r>
              <w:rPr>
                <w:b/>
                <w:spacing w:val="-2"/>
                <w:w w:val="105"/>
                <w:sz w:val="13"/>
              </w:rPr>
              <w:t>169,166</w:t>
            </w:r>
          </w:p>
        </w:tc>
        <w:tc>
          <w:tcPr>
            <w:tcW w:w="919" w:type="dxa"/>
            <w:tcBorders>
              <w:top w:val="single" w:sz="6" w:space="0" w:color="000000"/>
              <w:bottom w:val="single" w:sz="6" w:space="0" w:color="000000"/>
            </w:tcBorders>
          </w:tcPr>
          <w:p>
            <w:pPr>
              <w:pStyle w:val="TableParagraph"/>
              <w:spacing w:line="138" w:lineRule="exact"/>
              <w:ind w:right="185"/>
              <w:jc w:val="right"/>
              <w:rPr>
                <w:b/>
                <w:sz w:val="13"/>
              </w:rPr>
            </w:pPr>
            <w:r>
              <w:rPr>
                <w:b/>
                <w:spacing w:val="-2"/>
                <w:w w:val="105"/>
                <w:sz w:val="13"/>
              </w:rPr>
              <w:t>151,909</w:t>
            </w:r>
          </w:p>
        </w:tc>
        <w:tc>
          <w:tcPr>
            <w:tcW w:w="807" w:type="dxa"/>
            <w:tcBorders>
              <w:top w:val="single" w:sz="6" w:space="0" w:color="000000"/>
              <w:bottom w:val="single" w:sz="6" w:space="0" w:color="000000"/>
            </w:tcBorders>
          </w:tcPr>
          <w:p>
            <w:pPr>
              <w:pStyle w:val="TableParagraph"/>
              <w:spacing w:line="138" w:lineRule="exact"/>
              <w:ind w:right="73"/>
              <w:jc w:val="right"/>
              <w:rPr>
                <w:b/>
                <w:sz w:val="13"/>
              </w:rPr>
            </w:pPr>
            <w:r>
              <w:rPr>
                <w:b/>
                <w:spacing w:val="-2"/>
                <w:w w:val="105"/>
                <w:sz w:val="13"/>
              </w:rPr>
              <w:t>169,166</w:t>
            </w:r>
          </w:p>
        </w:tc>
      </w:tr>
      <w:tr>
        <w:trPr>
          <w:trHeight w:val="336" w:hRule="atLeast"/>
        </w:trPr>
        <w:tc>
          <w:tcPr>
            <w:tcW w:w="4708" w:type="dxa"/>
          </w:tcPr>
          <w:p>
            <w:pPr>
              <w:pStyle w:val="TableParagraph"/>
              <w:spacing w:before="17"/>
              <w:rPr>
                <w:b/>
                <w:sz w:val="13"/>
              </w:rPr>
            </w:pPr>
          </w:p>
          <w:p>
            <w:pPr>
              <w:pStyle w:val="TableParagraph"/>
              <w:ind w:left="35"/>
              <w:rPr>
                <w:b/>
                <w:sz w:val="13"/>
              </w:rPr>
            </w:pPr>
            <w:r>
              <w:rPr>
                <w:b/>
                <w:w w:val="105"/>
                <w:sz w:val="13"/>
              </w:rPr>
              <w:t>Other</w:t>
            </w:r>
            <w:r>
              <w:rPr>
                <w:b/>
                <w:spacing w:val="-5"/>
                <w:w w:val="105"/>
                <w:sz w:val="13"/>
              </w:rPr>
              <w:t> </w:t>
            </w:r>
            <w:r>
              <w:rPr>
                <w:b/>
                <w:w w:val="105"/>
                <w:sz w:val="13"/>
              </w:rPr>
              <w:t>non-course</w:t>
            </w:r>
            <w:r>
              <w:rPr>
                <w:b/>
                <w:spacing w:val="-5"/>
                <w:w w:val="105"/>
                <w:sz w:val="13"/>
              </w:rPr>
              <w:t> </w:t>
            </w:r>
            <w:r>
              <w:rPr>
                <w:b/>
                <w:w w:val="105"/>
                <w:sz w:val="13"/>
              </w:rPr>
              <w:t>fees</w:t>
            </w:r>
            <w:r>
              <w:rPr>
                <w:b/>
                <w:spacing w:val="-5"/>
                <w:w w:val="105"/>
                <w:sz w:val="13"/>
              </w:rPr>
              <w:t> </w:t>
            </w:r>
            <w:r>
              <w:rPr>
                <w:b/>
                <w:w w:val="105"/>
                <w:sz w:val="13"/>
              </w:rPr>
              <w:t>and</w:t>
            </w:r>
            <w:r>
              <w:rPr>
                <w:b/>
                <w:spacing w:val="-5"/>
                <w:w w:val="105"/>
                <w:sz w:val="13"/>
              </w:rPr>
              <w:t> </w:t>
            </w:r>
            <w:r>
              <w:rPr>
                <w:b/>
                <w:spacing w:val="-2"/>
                <w:w w:val="105"/>
                <w:sz w:val="13"/>
              </w:rPr>
              <w:t>charges</w:t>
            </w:r>
          </w:p>
        </w:tc>
        <w:tc>
          <w:tcPr>
            <w:tcW w:w="1033" w:type="dxa"/>
            <w:tcBorders>
              <w:top w:val="single" w:sz="6" w:space="0" w:color="000000"/>
            </w:tcBorders>
          </w:tcPr>
          <w:p>
            <w:pPr>
              <w:pStyle w:val="TableParagraph"/>
              <w:rPr>
                <w:rFonts w:ascii="Times New Roman"/>
                <w:sz w:val="12"/>
              </w:rPr>
            </w:pPr>
          </w:p>
        </w:tc>
        <w:tc>
          <w:tcPr>
            <w:tcW w:w="919" w:type="dxa"/>
            <w:tcBorders>
              <w:top w:val="single" w:sz="6" w:space="0" w:color="000000"/>
            </w:tcBorders>
          </w:tcPr>
          <w:p>
            <w:pPr>
              <w:pStyle w:val="TableParagraph"/>
              <w:rPr>
                <w:rFonts w:ascii="Times New Roman"/>
                <w:sz w:val="12"/>
              </w:rPr>
            </w:pPr>
          </w:p>
        </w:tc>
        <w:tc>
          <w:tcPr>
            <w:tcW w:w="919" w:type="dxa"/>
            <w:tcBorders>
              <w:top w:val="single" w:sz="6" w:space="0" w:color="000000"/>
            </w:tcBorders>
          </w:tcPr>
          <w:p>
            <w:pPr>
              <w:pStyle w:val="TableParagraph"/>
              <w:rPr>
                <w:rFonts w:ascii="Times New Roman"/>
                <w:sz w:val="12"/>
              </w:rPr>
            </w:pPr>
          </w:p>
        </w:tc>
        <w:tc>
          <w:tcPr>
            <w:tcW w:w="807" w:type="dxa"/>
            <w:tcBorders>
              <w:top w:val="single" w:sz="6" w:space="0" w:color="000000"/>
            </w:tcBorders>
          </w:tcPr>
          <w:p>
            <w:pPr>
              <w:pStyle w:val="TableParagraph"/>
              <w:rPr>
                <w:rFonts w:ascii="Times New Roman"/>
                <w:sz w:val="12"/>
              </w:rPr>
            </w:pPr>
          </w:p>
        </w:tc>
      </w:tr>
      <w:tr>
        <w:trPr>
          <w:trHeight w:val="172" w:hRule="atLeast"/>
        </w:trPr>
        <w:tc>
          <w:tcPr>
            <w:tcW w:w="4708" w:type="dxa"/>
          </w:tcPr>
          <w:p>
            <w:pPr>
              <w:pStyle w:val="TableParagraph"/>
              <w:spacing w:before="3"/>
              <w:ind w:left="35"/>
              <w:rPr>
                <w:sz w:val="13"/>
              </w:rPr>
            </w:pPr>
            <w:r>
              <w:rPr>
                <w:w w:val="105"/>
                <w:sz w:val="13"/>
              </w:rPr>
              <w:t>Student</w:t>
            </w:r>
            <w:r>
              <w:rPr>
                <w:spacing w:val="-7"/>
                <w:w w:val="105"/>
                <w:sz w:val="13"/>
              </w:rPr>
              <w:t> </w:t>
            </w:r>
            <w:r>
              <w:rPr>
                <w:w w:val="105"/>
                <w:sz w:val="13"/>
              </w:rPr>
              <w:t>Services</w:t>
            </w:r>
            <w:r>
              <w:rPr>
                <w:spacing w:val="-6"/>
                <w:w w:val="105"/>
                <w:sz w:val="13"/>
              </w:rPr>
              <w:t> </w:t>
            </w:r>
            <w:r>
              <w:rPr>
                <w:w w:val="105"/>
                <w:sz w:val="13"/>
              </w:rPr>
              <w:t>and</w:t>
            </w:r>
            <w:r>
              <w:rPr>
                <w:spacing w:val="-7"/>
                <w:w w:val="105"/>
                <w:sz w:val="13"/>
              </w:rPr>
              <w:t> </w:t>
            </w:r>
            <w:r>
              <w:rPr>
                <w:w w:val="105"/>
                <w:sz w:val="13"/>
              </w:rPr>
              <w:t>Amenities</w:t>
            </w:r>
            <w:r>
              <w:rPr>
                <w:spacing w:val="-6"/>
                <w:w w:val="105"/>
                <w:sz w:val="13"/>
              </w:rPr>
              <w:t> </w:t>
            </w:r>
            <w:r>
              <w:rPr>
                <w:w w:val="105"/>
                <w:sz w:val="13"/>
              </w:rPr>
              <w:t>Fees</w:t>
            </w:r>
            <w:r>
              <w:rPr>
                <w:spacing w:val="-6"/>
                <w:w w:val="105"/>
                <w:sz w:val="13"/>
              </w:rPr>
              <w:t> </w:t>
            </w:r>
            <w:r>
              <w:rPr>
                <w:w w:val="105"/>
                <w:sz w:val="13"/>
              </w:rPr>
              <w:t>from</w:t>
            </w:r>
            <w:r>
              <w:rPr>
                <w:spacing w:val="-5"/>
                <w:w w:val="105"/>
                <w:sz w:val="13"/>
              </w:rPr>
              <w:t> </w:t>
            </w:r>
            <w:r>
              <w:rPr>
                <w:spacing w:val="-2"/>
                <w:w w:val="105"/>
                <w:sz w:val="13"/>
              </w:rPr>
              <w:t>students</w:t>
            </w:r>
          </w:p>
        </w:tc>
        <w:tc>
          <w:tcPr>
            <w:tcW w:w="1033" w:type="dxa"/>
          </w:tcPr>
          <w:p>
            <w:pPr>
              <w:pStyle w:val="TableParagraph"/>
              <w:spacing w:before="3"/>
              <w:ind w:right="184"/>
              <w:jc w:val="right"/>
              <w:rPr>
                <w:sz w:val="13"/>
              </w:rPr>
            </w:pPr>
            <w:r>
              <w:rPr>
                <w:spacing w:val="-2"/>
                <w:w w:val="105"/>
                <w:sz w:val="13"/>
              </w:rPr>
              <w:t>3,312</w:t>
            </w:r>
          </w:p>
        </w:tc>
        <w:tc>
          <w:tcPr>
            <w:tcW w:w="919" w:type="dxa"/>
          </w:tcPr>
          <w:p>
            <w:pPr>
              <w:pStyle w:val="TableParagraph"/>
              <w:spacing w:before="3"/>
              <w:ind w:right="185"/>
              <w:jc w:val="right"/>
              <w:rPr>
                <w:sz w:val="13"/>
              </w:rPr>
            </w:pPr>
            <w:r>
              <w:rPr>
                <w:spacing w:val="-2"/>
                <w:w w:val="105"/>
                <w:sz w:val="13"/>
              </w:rPr>
              <w:t>4,090</w:t>
            </w:r>
          </w:p>
        </w:tc>
        <w:tc>
          <w:tcPr>
            <w:tcW w:w="919" w:type="dxa"/>
          </w:tcPr>
          <w:p>
            <w:pPr>
              <w:pStyle w:val="TableParagraph"/>
              <w:spacing w:before="3"/>
              <w:ind w:right="185"/>
              <w:jc w:val="right"/>
              <w:rPr>
                <w:sz w:val="13"/>
              </w:rPr>
            </w:pPr>
            <w:r>
              <w:rPr>
                <w:spacing w:val="-2"/>
                <w:w w:val="105"/>
                <w:sz w:val="13"/>
              </w:rPr>
              <w:t>3,312</w:t>
            </w:r>
          </w:p>
        </w:tc>
        <w:tc>
          <w:tcPr>
            <w:tcW w:w="807" w:type="dxa"/>
          </w:tcPr>
          <w:p>
            <w:pPr>
              <w:pStyle w:val="TableParagraph"/>
              <w:spacing w:before="3"/>
              <w:ind w:right="73"/>
              <w:jc w:val="right"/>
              <w:rPr>
                <w:sz w:val="13"/>
              </w:rPr>
            </w:pPr>
            <w:r>
              <w:rPr>
                <w:spacing w:val="-2"/>
                <w:w w:val="105"/>
                <w:sz w:val="13"/>
              </w:rPr>
              <w:t>4,090</w:t>
            </w:r>
          </w:p>
        </w:tc>
      </w:tr>
      <w:tr>
        <w:trPr>
          <w:trHeight w:val="172" w:hRule="atLeast"/>
        </w:trPr>
        <w:tc>
          <w:tcPr>
            <w:tcW w:w="4708" w:type="dxa"/>
          </w:tcPr>
          <w:p>
            <w:pPr>
              <w:pStyle w:val="TableParagraph"/>
              <w:spacing w:before="3"/>
              <w:ind w:left="35"/>
              <w:rPr>
                <w:sz w:val="13"/>
              </w:rPr>
            </w:pPr>
            <w:r>
              <w:rPr>
                <w:spacing w:val="-2"/>
                <w:w w:val="105"/>
                <w:sz w:val="13"/>
              </w:rPr>
              <w:t>Student</w:t>
            </w:r>
            <w:r>
              <w:rPr>
                <w:spacing w:val="3"/>
                <w:w w:val="105"/>
                <w:sz w:val="13"/>
              </w:rPr>
              <w:t> </w:t>
            </w:r>
            <w:r>
              <w:rPr>
                <w:spacing w:val="-2"/>
                <w:w w:val="105"/>
                <w:sz w:val="13"/>
              </w:rPr>
              <w:t>accommodation</w:t>
            </w:r>
          </w:p>
        </w:tc>
        <w:tc>
          <w:tcPr>
            <w:tcW w:w="1033" w:type="dxa"/>
          </w:tcPr>
          <w:p>
            <w:pPr>
              <w:pStyle w:val="TableParagraph"/>
              <w:spacing w:before="3"/>
              <w:ind w:right="184"/>
              <w:jc w:val="right"/>
              <w:rPr>
                <w:sz w:val="13"/>
              </w:rPr>
            </w:pPr>
            <w:r>
              <w:rPr>
                <w:spacing w:val="-2"/>
                <w:w w:val="105"/>
                <w:sz w:val="13"/>
              </w:rPr>
              <w:t>7,071</w:t>
            </w:r>
          </w:p>
        </w:tc>
        <w:tc>
          <w:tcPr>
            <w:tcW w:w="919" w:type="dxa"/>
          </w:tcPr>
          <w:p>
            <w:pPr>
              <w:pStyle w:val="TableParagraph"/>
              <w:spacing w:before="3"/>
              <w:ind w:right="184"/>
              <w:jc w:val="right"/>
              <w:rPr>
                <w:sz w:val="13"/>
              </w:rPr>
            </w:pPr>
            <w:r>
              <w:rPr>
                <w:spacing w:val="-2"/>
                <w:w w:val="105"/>
                <w:sz w:val="13"/>
              </w:rPr>
              <w:t>8,637</w:t>
            </w:r>
          </w:p>
        </w:tc>
        <w:tc>
          <w:tcPr>
            <w:tcW w:w="919" w:type="dxa"/>
          </w:tcPr>
          <w:p>
            <w:pPr>
              <w:pStyle w:val="TableParagraph"/>
              <w:spacing w:before="3"/>
              <w:ind w:right="185"/>
              <w:jc w:val="right"/>
              <w:rPr>
                <w:sz w:val="13"/>
              </w:rPr>
            </w:pPr>
            <w:r>
              <w:rPr>
                <w:spacing w:val="-2"/>
                <w:w w:val="105"/>
                <w:sz w:val="13"/>
              </w:rPr>
              <w:t>7,071</w:t>
            </w:r>
          </w:p>
        </w:tc>
        <w:tc>
          <w:tcPr>
            <w:tcW w:w="807" w:type="dxa"/>
          </w:tcPr>
          <w:p>
            <w:pPr>
              <w:pStyle w:val="TableParagraph"/>
              <w:spacing w:before="3"/>
              <w:ind w:right="73"/>
              <w:jc w:val="right"/>
              <w:rPr>
                <w:sz w:val="13"/>
              </w:rPr>
            </w:pPr>
            <w:r>
              <w:rPr>
                <w:spacing w:val="-2"/>
                <w:w w:val="105"/>
                <w:sz w:val="13"/>
              </w:rPr>
              <w:t>8,637</w:t>
            </w:r>
          </w:p>
        </w:tc>
      </w:tr>
      <w:tr>
        <w:trPr>
          <w:trHeight w:val="172" w:hRule="atLeast"/>
        </w:trPr>
        <w:tc>
          <w:tcPr>
            <w:tcW w:w="4708" w:type="dxa"/>
          </w:tcPr>
          <w:p>
            <w:pPr>
              <w:pStyle w:val="TableParagraph"/>
              <w:spacing w:before="3"/>
              <w:ind w:left="35"/>
              <w:rPr>
                <w:sz w:val="13"/>
              </w:rPr>
            </w:pPr>
            <w:r>
              <w:rPr>
                <w:w w:val="105"/>
                <w:sz w:val="13"/>
              </w:rPr>
              <w:t>Parking</w:t>
            </w:r>
            <w:r>
              <w:rPr>
                <w:spacing w:val="-5"/>
                <w:w w:val="105"/>
                <w:sz w:val="13"/>
              </w:rPr>
              <w:t> </w:t>
            </w:r>
            <w:r>
              <w:rPr>
                <w:spacing w:val="-4"/>
                <w:w w:val="105"/>
                <w:sz w:val="13"/>
              </w:rPr>
              <w:t>fees</w:t>
            </w:r>
          </w:p>
        </w:tc>
        <w:tc>
          <w:tcPr>
            <w:tcW w:w="1033" w:type="dxa"/>
          </w:tcPr>
          <w:p>
            <w:pPr>
              <w:pStyle w:val="TableParagraph"/>
              <w:spacing w:before="3"/>
              <w:ind w:right="184"/>
              <w:jc w:val="right"/>
              <w:rPr>
                <w:sz w:val="13"/>
              </w:rPr>
            </w:pPr>
            <w:r>
              <w:rPr>
                <w:spacing w:val="-2"/>
                <w:w w:val="105"/>
                <w:sz w:val="13"/>
              </w:rPr>
              <w:t>2,412</w:t>
            </w:r>
          </w:p>
        </w:tc>
        <w:tc>
          <w:tcPr>
            <w:tcW w:w="919" w:type="dxa"/>
          </w:tcPr>
          <w:p>
            <w:pPr>
              <w:pStyle w:val="TableParagraph"/>
              <w:spacing w:before="3"/>
              <w:ind w:right="184"/>
              <w:jc w:val="right"/>
              <w:rPr>
                <w:sz w:val="13"/>
              </w:rPr>
            </w:pPr>
            <w:r>
              <w:rPr>
                <w:spacing w:val="-2"/>
                <w:w w:val="105"/>
                <w:sz w:val="13"/>
              </w:rPr>
              <w:t>3,334</w:t>
            </w:r>
          </w:p>
        </w:tc>
        <w:tc>
          <w:tcPr>
            <w:tcW w:w="919" w:type="dxa"/>
          </w:tcPr>
          <w:p>
            <w:pPr>
              <w:pStyle w:val="TableParagraph"/>
              <w:spacing w:before="3"/>
              <w:ind w:right="185"/>
              <w:jc w:val="right"/>
              <w:rPr>
                <w:sz w:val="13"/>
              </w:rPr>
            </w:pPr>
            <w:r>
              <w:rPr>
                <w:spacing w:val="-2"/>
                <w:w w:val="105"/>
                <w:sz w:val="13"/>
              </w:rPr>
              <w:t>2,410</w:t>
            </w:r>
          </w:p>
        </w:tc>
        <w:tc>
          <w:tcPr>
            <w:tcW w:w="807" w:type="dxa"/>
          </w:tcPr>
          <w:p>
            <w:pPr>
              <w:pStyle w:val="TableParagraph"/>
              <w:spacing w:before="3"/>
              <w:ind w:right="73"/>
              <w:jc w:val="right"/>
              <w:rPr>
                <w:sz w:val="13"/>
              </w:rPr>
            </w:pPr>
            <w:r>
              <w:rPr>
                <w:spacing w:val="-2"/>
                <w:w w:val="105"/>
                <w:sz w:val="13"/>
              </w:rPr>
              <w:t>3,334</w:t>
            </w:r>
          </w:p>
        </w:tc>
      </w:tr>
      <w:tr>
        <w:trPr>
          <w:trHeight w:val="172" w:hRule="atLeast"/>
        </w:trPr>
        <w:tc>
          <w:tcPr>
            <w:tcW w:w="4708" w:type="dxa"/>
          </w:tcPr>
          <w:p>
            <w:pPr>
              <w:pStyle w:val="TableParagraph"/>
              <w:spacing w:before="3"/>
              <w:ind w:left="35"/>
              <w:rPr>
                <w:sz w:val="13"/>
              </w:rPr>
            </w:pPr>
            <w:r>
              <w:rPr>
                <w:spacing w:val="-2"/>
                <w:w w:val="105"/>
                <w:sz w:val="13"/>
              </w:rPr>
              <w:t>Registration</w:t>
            </w:r>
            <w:r>
              <w:rPr>
                <w:spacing w:val="12"/>
                <w:w w:val="105"/>
                <w:sz w:val="13"/>
              </w:rPr>
              <w:t> </w:t>
            </w:r>
            <w:r>
              <w:rPr>
                <w:spacing w:val="-4"/>
                <w:w w:val="105"/>
                <w:sz w:val="13"/>
              </w:rPr>
              <w:t>fees</w:t>
            </w:r>
          </w:p>
        </w:tc>
        <w:tc>
          <w:tcPr>
            <w:tcW w:w="1033" w:type="dxa"/>
          </w:tcPr>
          <w:p>
            <w:pPr>
              <w:pStyle w:val="TableParagraph"/>
              <w:spacing w:before="3"/>
              <w:ind w:right="184"/>
              <w:jc w:val="right"/>
              <w:rPr>
                <w:sz w:val="13"/>
              </w:rPr>
            </w:pPr>
            <w:r>
              <w:rPr>
                <w:spacing w:val="-2"/>
                <w:w w:val="105"/>
                <w:sz w:val="13"/>
              </w:rPr>
              <w:t>8,545</w:t>
            </w:r>
          </w:p>
        </w:tc>
        <w:tc>
          <w:tcPr>
            <w:tcW w:w="919" w:type="dxa"/>
          </w:tcPr>
          <w:p>
            <w:pPr>
              <w:pStyle w:val="TableParagraph"/>
              <w:spacing w:before="3"/>
              <w:ind w:right="184"/>
              <w:jc w:val="right"/>
              <w:rPr>
                <w:sz w:val="13"/>
              </w:rPr>
            </w:pPr>
            <w:r>
              <w:rPr>
                <w:spacing w:val="-2"/>
                <w:w w:val="105"/>
                <w:sz w:val="13"/>
              </w:rPr>
              <w:t>11,034</w:t>
            </w:r>
          </w:p>
        </w:tc>
        <w:tc>
          <w:tcPr>
            <w:tcW w:w="919" w:type="dxa"/>
          </w:tcPr>
          <w:p>
            <w:pPr>
              <w:pStyle w:val="TableParagraph"/>
              <w:spacing w:before="3"/>
              <w:ind w:right="185"/>
              <w:jc w:val="right"/>
              <w:rPr>
                <w:sz w:val="13"/>
              </w:rPr>
            </w:pPr>
            <w:r>
              <w:rPr>
                <w:spacing w:val="-2"/>
                <w:w w:val="105"/>
                <w:sz w:val="13"/>
              </w:rPr>
              <w:t>8,526</w:t>
            </w:r>
          </w:p>
        </w:tc>
        <w:tc>
          <w:tcPr>
            <w:tcW w:w="807" w:type="dxa"/>
          </w:tcPr>
          <w:p>
            <w:pPr>
              <w:pStyle w:val="TableParagraph"/>
              <w:spacing w:before="3"/>
              <w:ind w:right="73"/>
              <w:jc w:val="right"/>
              <w:rPr>
                <w:sz w:val="13"/>
              </w:rPr>
            </w:pPr>
            <w:r>
              <w:rPr>
                <w:spacing w:val="-2"/>
                <w:w w:val="105"/>
                <w:sz w:val="13"/>
              </w:rPr>
              <w:t>10,900</w:t>
            </w:r>
          </w:p>
        </w:tc>
      </w:tr>
      <w:tr>
        <w:trPr>
          <w:trHeight w:val="172" w:hRule="atLeast"/>
        </w:trPr>
        <w:tc>
          <w:tcPr>
            <w:tcW w:w="4708" w:type="dxa"/>
          </w:tcPr>
          <w:p>
            <w:pPr>
              <w:pStyle w:val="TableParagraph"/>
              <w:spacing w:before="3"/>
              <w:ind w:left="35"/>
              <w:rPr>
                <w:sz w:val="13"/>
              </w:rPr>
            </w:pPr>
            <w:r>
              <w:rPr>
                <w:w w:val="105"/>
                <w:sz w:val="13"/>
              </w:rPr>
              <w:t>Rental</w:t>
            </w:r>
            <w:r>
              <w:rPr>
                <w:spacing w:val="-6"/>
                <w:w w:val="105"/>
                <w:sz w:val="13"/>
              </w:rPr>
              <w:t> </w:t>
            </w:r>
            <w:r>
              <w:rPr>
                <w:w w:val="105"/>
                <w:sz w:val="13"/>
              </w:rPr>
              <w:t>and</w:t>
            </w:r>
            <w:r>
              <w:rPr>
                <w:spacing w:val="-6"/>
                <w:w w:val="105"/>
                <w:sz w:val="13"/>
              </w:rPr>
              <w:t> </w:t>
            </w:r>
            <w:r>
              <w:rPr>
                <w:w w:val="105"/>
                <w:sz w:val="13"/>
              </w:rPr>
              <w:t>hire</w:t>
            </w:r>
            <w:r>
              <w:rPr>
                <w:spacing w:val="-6"/>
                <w:w w:val="105"/>
                <w:sz w:val="13"/>
              </w:rPr>
              <w:t> </w:t>
            </w:r>
            <w:r>
              <w:rPr>
                <w:spacing w:val="-2"/>
                <w:w w:val="105"/>
                <w:sz w:val="13"/>
              </w:rPr>
              <w:t>charges</w:t>
            </w:r>
          </w:p>
        </w:tc>
        <w:tc>
          <w:tcPr>
            <w:tcW w:w="1033" w:type="dxa"/>
          </w:tcPr>
          <w:p>
            <w:pPr>
              <w:pStyle w:val="TableParagraph"/>
              <w:spacing w:before="3"/>
              <w:ind w:right="184"/>
              <w:jc w:val="right"/>
              <w:rPr>
                <w:sz w:val="13"/>
              </w:rPr>
            </w:pPr>
            <w:r>
              <w:rPr>
                <w:spacing w:val="-2"/>
                <w:w w:val="105"/>
                <w:sz w:val="13"/>
              </w:rPr>
              <w:t>2,174</w:t>
            </w:r>
          </w:p>
        </w:tc>
        <w:tc>
          <w:tcPr>
            <w:tcW w:w="919" w:type="dxa"/>
          </w:tcPr>
          <w:p>
            <w:pPr>
              <w:pStyle w:val="TableParagraph"/>
              <w:spacing w:before="3"/>
              <w:ind w:right="184"/>
              <w:jc w:val="right"/>
              <w:rPr>
                <w:sz w:val="13"/>
              </w:rPr>
            </w:pPr>
            <w:r>
              <w:rPr>
                <w:spacing w:val="-2"/>
                <w:w w:val="105"/>
                <w:sz w:val="13"/>
              </w:rPr>
              <w:t>3,093</w:t>
            </w:r>
          </w:p>
        </w:tc>
        <w:tc>
          <w:tcPr>
            <w:tcW w:w="919" w:type="dxa"/>
          </w:tcPr>
          <w:p>
            <w:pPr>
              <w:pStyle w:val="TableParagraph"/>
              <w:spacing w:before="3"/>
              <w:ind w:right="184"/>
              <w:jc w:val="right"/>
              <w:rPr>
                <w:sz w:val="13"/>
              </w:rPr>
            </w:pPr>
            <w:r>
              <w:rPr>
                <w:spacing w:val="-5"/>
                <w:w w:val="105"/>
                <w:sz w:val="13"/>
              </w:rPr>
              <w:t>959</w:t>
            </w:r>
          </w:p>
        </w:tc>
        <w:tc>
          <w:tcPr>
            <w:tcW w:w="807" w:type="dxa"/>
          </w:tcPr>
          <w:p>
            <w:pPr>
              <w:pStyle w:val="TableParagraph"/>
              <w:spacing w:before="3"/>
              <w:ind w:right="73"/>
              <w:jc w:val="right"/>
              <w:rPr>
                <w:sz w:val="13"/>
              </w:rPr>
            </w:pPr>
            <w:r>
              <w:rPr>
                <w:spacing w:val="-2"/>
                <w:w w:val="105"/>
                <w:sz w:val="13"/>
              </w:rPr>
              <w:t>1,140</w:t>
            </w:r>
          </w:p>
        </w:tc>
      </w:tr>
      <w:tr>
        <w:trPr>
          <w:trHeight w:val="166" w:hRule="atLeast"/>
        </w:trPr>
        <w:tc>
          <w:tcPr>
            <w:tcW w:w="4708" w:type="dxa"/>
          </w:tcPr>
          <w:p>
            <w:pPr>
              <w:pStyle w:val="TableParagraph"/>
              <w:spacing w:line="143" w:lineRule="exact" w:before="3"/>
              <w:ind w:left="35"/>
              <w:rPr>
                <w:sz w:val="13"/>
              </w:rPr>
            </w:pPr>
            <w:r>
              <w:rPr>
                <w:spacing w:val="-2"/>
                <w:w w:val="105"/>
                <w:sz w:val="13"/>
              </w:rPr>
              <w:t>Other</w:t>
            </w:r>
          </w:p>
        </w:tc>
        <w:tc>
          <w:tcPr>
            <w:tcW w:w="1033" w:type="dxa"/>
            <w:tcBorders>
              <w:bottom w:val="single" w:sz="6" w:space="0" w:color="000000"/>
            </w:tcBorders>
          </w:tcPr>
          <w:p>
            <w:pPr>
              <w:pStyle w:val="TableParagraph"/>
              <w:spacing w:line="143" w:lineRule="exact" w:before="3"/>
              <w:ind w:right="184"/>
              <w:jc w:val="right"/>
              <w:rPr>
                <w:sz w:val="13"/>
              </w:rPr>
            </w:pPr>
            <w:r>
              <w:rPr>
                <w:spacing w:val="-5"/>
                <w:w w:val="105"/>
                <w:sz w:val="13"/>
              </w:rPr>
              <w:t>758</w:t>
            </w:r>
          </w:p>
        </w:tc>
        <w:tc>
          <w:tcPr>
            <w:tcW w:w="919" w:type="dxa"/>
            <w:tcBorders>
              <w:bottom w:val="single" w:sz="6" w:space="0" w:color="000000"/>
            </w:tcBorders>
          </w:tcPr>
          <w:p>
            <w:pPr>
              <w:pStyle w:val="TableParagraph"/>
              <w:spacing w:line="143" w:lineRule="exact" w:before="3"/>
              <w:ind w:right="184"/>
              <w:jc w:val="right"/>
              <w:rPr>
                <w:sz w:val="13"/>
              </w:rPr>
            </w:pPr>
            <w:r>
              <w:rPr>
                <w:spacing w:val="-5"/>
                <w:w w:val="105"/>
                <w:sz w:val="13"/>
              </w:rPr>
              <w:t>895</w:t>
            </w:r>
          </w:p>
        </w:tc>
        <w:tc>
          <w:tcPr>
            <w:tcW w:w="919" w:type="dxa"/>
            <w:tcBorders>
              <w:bottom w:val="single" w:sz="6" w:space="0" w:color="000000"/>
            </w:tcBorders>
          </w:tcPr>
          <w:p>
            <w:pPr>
              <w:pStyle w:val="TableParagraph"/>
              <w:spacing w:line="143" w:lineRule="exact" w:before="3"/>
              <w:ind w:right="184"/>
              <w:jc w:val="right"/>
              <w:rPr>
                <w:sz w:val="13"/>
              </w:rPr>
            </w:pPr>
            <w:r>
              <w:rPr>
                <w:spacing w:val="-5"/>
                <w:w w:val="105"/>
                <w:sz w:val="13"/>
              </w:rPr>
              <w:t>758</w:t>
            </w:r>
          </w:p>
        </w:tc>
        <w:tc>
          <w:tcPr>
            <w:tcW w:w="807" w:type="dxa"/>
            <w:tcBorders>
              <w:bottom w:val="single" w:sz="6" w:space="0" w:color="000000"/>
            </w:tcBorders>
          </w:tcPr>
          <w:p>
            <w:pPr>
              <w:pStyle w:val="TableParagraph"/>
              <w:spacing w:line="143" w:lineRule="exact" w:before="3"/>
              <w:ind w:right="73"/>
              <w:jc w:val="right"/>
              <w:rPr>
                <w:sz w:val="13"/>
              </w:rPr>
            </w:pPr>
            <w:r>
              <w:rPr>
                <w:spacing w:val="-5"/>
                <w:w w:val="105"/>
                <w:sz w:val="13"/>
              </w:rPr>
              <w:t>895</w:t>
            </w:r>
          </w:p>
        </w:tc>
      </w:tr>
      <w:tr>
        <w:trPr>
          <w:trHeight w:val="157" w:hRule="atLeast"/>
        </w:trPr>
        <w:tc>
          <w:tcPr>
            <w:tcW w:w="4708" w:type="dxa"/>
          </w:tcPr>
          <w:p>
            <w:pPr>
              <w:pStyle w:val="TableParagraph"/>
              <w:spacing w:line="138" w:lineRule="exact"/>
              <w:ind w:left="35"/>
              <w:rPr>
                <w:b/>
                <w:sz w:val="13"/>
              </w:rPr>
            </w:pPr>
            <w:r>
              <w:rPr>
                <w:b/>
                <w:w w:val="105"/>
                <w:sz w:val="13"/>
              </w:rPr>
              <w:t>Total</w:t>
            </w:r>
            <w:r>
              <w:rPr>
                <w:b/>
                <w:spacing w:val="-5"/>
                <w:w w:val="105"/>
                <w:sz w:val="13"/>
              </w:rPr>
              <w:t> </w:t>
            </w:r>
            <w:r>
              <w:rPr>
                <w:b/>
                <w:w w:val="105"/>
                <w:sz w:val="13"/>
              </w:rPr>
              <w:t>non-course</w:t>
            </w:r>
            <w:r>
              <w:rPr>
                <w:b/>
                <w:spacing w:val="-5"/>
                <w:w w:val="105"/>
                <w:sz w:val="13"/>
              </w:rPr>
              <w:t> </w:t>
            </w:r>
            <w:r>
              <w:rPr>
                <w:b/>
                <w:w w:val="105"/>
                <w:sz w:val="13"/>
              </w:rPr>
              <w:t>fees</w:t>
            </w:r>
            <w:r>
              <w:rPr>
                <w:b/>
                <w:spacing w:val="-5"/>
                <w:w w:val="105"/>
                <w:sz w:val="13"/>
              </w:rPr>
              <w:t> </w:t>
            </w:r>
            <w:r>
              <w:rPr>
                <w:b/>
                <w:w w:val="105"/>
                <w:sz w:val="13"/>
              </w:rPr>
              <w:t>and</w:t>
            </w:r>
            <w:r>
              <w:rPr>
                <w:b/>
                <w:spacing w:val="-4"/>
                <w:w w:val="105"/>
                <w:sz w:val="13"/>
              </w:rPr>
              <w:t> </w:t>
            </w:r>
            <w:r>
              <w:rPr>
                <w:b/>
                <w:spacing w:val="-2"/>
                <w:w w:val="105"/>
                <w:sz w:val="13"/>
              </w:rPr>
              <w:t>charges</w:t>
            </w:r>
          </w:p>
        </w:tc>
        <w:tc>
          <w:tcPr>
            <w:tcW w:w="1033" w:type="dxa"/>
            <w:tcBorders>
              <w:top w:val="single" w:sz="6" w:space="0" w:color="000000"/>
              <w:bottom w:val="single" w:sz="6" w:space="0" w:color="000000"/>
            </w:tcBorders>
          </w:tcPr>
          <w:p>
            <w:pPr>
              <w:pStyle w:val="TableParagraph"/>
              <w:spacing w:line="138" w:lineRule="exact"/>
              <w:ind w:right="184"/>
              <w:jc w:val="right"/>
              <w:rPr>
                <w:b/>
                <w:sz w:val="13"/>
              </w:rPr>
            </w:pPr>
            <w:r>
              <w:rPr>
                <w:b/>
                <w:spacing w:val="-2"/>
                <w:w w:val="105"/>
                <w:sz w:val="13"/>
              </w:rPr>
              <w:t>24,272</w:t>
            </w:r>
          </w:p>
        </w:tc>
        <w:tc>
          <w:tcPr>
            <w:tcW w:w="919" w:type="dxa"/>
            <w:tcBorders>
              <w:top w:val="single" w:sz="6" w:space="0" w:color="000000"/>
              <w:bottom w:val="single" w:sz="6" w:space="0" w:color="000000"/>
            </w:tcBorders>
          </w:tcPr>
          <w:p>
            <w:pPr>
              <w:pStyle w:val="TableParagraph"/>
              <w:spacing w:line="138" w:lineRule="exact"/>
              <w:ind w:right="184"/>
              <w:jc w:val="right"/>
              <w:rPr>
                <w:b/>
                <w:sz w:val="13"/>
              </w:rPr>
            </w:pPr>
            <w:r>
              <w:rPr>
                <w:b/>
                <w:spacing w:val="-2"/>
                <w:w w:val="105"/>
                <w:sz w:val="13"/>
              </w:rPr>
              <w:t>31,083</w:t>
            </w:r>
          </w:p>
        </w:tc>
        <w:tc>
          <w:tcPr>
            <w:tcW w:w="919" w:type="dxa"/>
            <w:tcBorders>
              <w:top w:val="single" w:sz="6" w:space="0" w:color="000000"/>
              <w:bottom w:val="single" w:sz="6" w:space="0" w:color="000000"/>
            </w:tcBorders>
          </w:tcPr>
          <w:p>
            <w:pPr>
              <w:pStyle w:val="TableParagraph"/>
              <w:spacing w:line="138" w:lineRule="exact"/>
              <w:ind w:right="184"/>
              <w:jc w:val="right"/>
              <w:rPr>
                <w:b/>
                <w:sz w:val="13"/>
              </w:rPr>
            </w:pPr>
            <w:r>
              <w:rPr>
                <w:b/>
                <w:spacing w:val="-2"/>
                <w:w w:val="105"/>
                <w:sz w:val="13"/>
              </w:rPr>
              <w:t>23,036</w:t>
            </w:r>
          </w:p>
        </w:tc>
        <w:tc>
          <w:tcPr>
            <w:tcW w:w="807" w:type="dxa"/>
            <w:tcBorders>
              <w:top w:val="single" w:sz="6" w:space="0" w:color="000000"/>
              <w:bottom w:val="single" w:sz="6" w:space="0" w:color="000000"/>
            </w:tcBorders>
          </w:tcPr>
          <w:p>
            <w:pPr>
              <w:pStyle w:val="TableParagraph"/>
              <w:spacing w:line="138" w:lineRule="exact"/>
              <w:ind w:right="72"/>
              <w:jc w:val="right"/>
              <w:rPr>
                <w:b/>
                <w:sz w:val="13"/>
              </w:rPr>
            </w:pPr>
            <w:r>
              <w:rPr>
                <w:b/>
                <w:spacing w:val="-2"/>
                <w:w w:val="105"/>
                <w:sz w:val="13"/>
              </w:rPr>
              <w:t>28,996</w:t>
            </w:r>
          </w:p>
        </w:tc>
      </w:tr>
      <w:tr>
        <w:trPr>
          <w:trHeight w:val="157" w:hRule="atLeast"/>
        </w:trPr>
        <w:tc>
          <w:tcPr>
            <w:tcW w:w="4708" w:type="dxa"/>
          </w:tcPr>
          <w:p>
            <w:pPr>
              <w:pStyle w:val="TableParagraph"/>
              <w:rPr>
                <w:rFonts w:ascii="Times New Roman"/>
                <w:sz w:val="10"/>
              </w:rPr>
            </w:pPr>
          </w:p>
        </w:tc>
        <w:tc>
          <w:tcPr>
            <w:tcW w:w="1033" w:type="dxa"/>
            <w:tcBorders>
              <w:top w:val="single" w:sz="6" w:space="0" w:color="000000"/>
              <w:bottom w:val="single" w:sz="6" w:space="0" w:color="000000"/>
            </w:tcBorders>
          </w:tcPr>
          <w:p>
            <w:pPr>
              <w:pStyle w:val="TableParagraph"/>
              <w:rPr>
                <w:rFonts w:ascii="Times New Roman"/>
                <w:sz w:val="10"/>
              </w:rPr>
            </w:pPr>
          </w:p>
        </w:tc>
        <w:tc>
          <w:tcPr>
            <w:tcW w:w="919" w:type="dxa"/>
            <w:tcBorders>
              <w:top w:val="single" w:sz="6" w:space="0" w:color="000000"/>
              <w:bottom w:val="single" w:sz="6" w:space="0" w:color="000000"/>
            </w:tcBorders>
          </w:tcPr>
          <w:p>
            <w:pPr>
              <w:pStyle w:val="TableParagraph"/>
              <w:rPr>
                <w:rFonts w:ascii="Times New Roman"/>
                <w:sz w:val="10"/>
              </w:rPr>
            </w:pPr>
          </w:p>
        </w:tc>
        <w:tc>
          <w:tcPr>
            <w:tcW w:w="919" w:type="dxa"/>
            <w:tcBorders>
              <w:top w:val="single" w:sz="6" w:space="0" w:color="000000"/>
              <w:bottom w:val="single" w:sz="6" w:space="0" w:color="000000"/>
            </w:tcBorders>
          </w:tcPr>
          <w:p>
            <w:pPr>
              <w:pStyle w:val="TableParagraph"/>
              <w:rPr>
                <w:rFonts w:ascii="Times New Roman"/>
                <w:sz w:val="10"/>
              </w:rPr>
            </w:pPr>
          </w:p>
        </w:tc>
        <w:tc>
          <w:tcPr>
            <w:tcW w:w="807" w:type="dxa"/>
            <w:tcBorders>
              <w:top w:val="single" w:sz="6" w:space="0" w:color="000000"/>
              <w:bottom w:val="single" w:sz="6" w:space="0" w:color="000000"/>
            </w:tcBorders>
          </w:tcPr>
          <w:p>
            <w:pPr>
              <w:pStyle w:val="TableParagraph"/>
              <w:rPr>
                <w:rFonts w:ascii="Times New Roman"/>
                <w:sz w:val="10"/>
              </w:rPr>
            </w:pPr>
          </w:p>
        </w:tc>
      </w:tr>
      <w:tr>
        <w:trPr>
          <w:trHeight w:val="157" w:hRule="atLeast"/>
        </w:trPr>
        <w:tc>
          <w:tcPr>
            <w:tcW w:w="4708" w:type="dxa"/>
          </w:tcPr>
          <w:p>
            <w:pPr>
              <w:pStyle w:val="TableParagraph"/>
              <w:spacing w:line="138" w:lineRule="exact"/>
              <w:ind w:left="36"/>
              <w:rPr>
                <w:b/>
                <w:sz w:val="13"/>
              </w:rPr>
            </w:pPr>
            <w:r>
              <w:rPr>
                <w:b/>
                <w:w w:val="105"/>
                <w:sz w:val="13"/>
              </w:rPr>
              <w:t>Total</w:t>
            </w:r>
            <w:r>
              <w:rPr>
                <w:b/>
                <w:spacing w:val="-4"/>
                <w:w w:val="105"/>
                <w:sz w:val="13"/>
              </w:rPr>
              <w:t> </w:t>
            </w:r>
            <w:r>
              <w:rPr>
                <w:b/>
                <w:w w:val="105"/>
                <w:sz w:val="13"/>
              </w:rPr>
              <w:t>fees</w:t>
            </w:r>
            <w:r>
              <w:rPr>
                <w:b/>
                <w:spacing w:val="-4"/>
                <w:w w:val="105"/>
                <w:sz w:val="13"/>
              </w:rPr>
              <w:t> </w:t>
            </w:r>
            <w:r>
              <w:rPr>
                <w:b/>
                <w:w w:val="105"/>
                <w:sz w:val="13"/>
              </w:rPr>
              <w:t>and</w:t>
            </w:r>
            <w:r>
              <w:rPr>
                <w:b/>
                <w:spacing w:val="-4"/>
                <w:w w:val="105"/>
                <w:sz w:val="13"/>
              </w:rPr>
              <w:t> </w:t>
            </w:r>
            <w:r>
              <w:rPr>
                <w:b/>
                <w:spacing w:val="-2"/>
                <w:w w:val="105"/>
                <w:sz w:val="13"/>
              </w:rPr>
              <w:t>charges</w:t>
            </w:r>
          </w:p>
        </w:tc>
        <w:tc>
          <w:tcPr>
            <w:tcW w:w="1033" w:type="dxa"/>
            <w:tcBorders>
              <w:top w:val="single" w:sz="6" w:space="0" w:color="000000"/>
              <w:bottom w:val="single" w:sz="6" w:space="0" w:color="000000"/>
            </w:tcBorders>
          </w:tcPr>
          <w:p>
            <w:pPr>
              <w:pStyle w:val="TableParagraph"/>
              <w:spacing w:line="138" w:lineRule="exact"/>
              <w:ind w:right="183"/>
              <w:jc w:val="right"/>
              <w:rPr>
                <w:b/>
                <w:sz w:val="13"/>
              </w:rPr>
            </w:pPr>
            <w:r>
              <w:rPr>
                <w:b/>
                <w:spacing w:val="-2"/>
                <w:w w:val="105"/>
                <w:sz w:val="13"/>
              </w:rPr>
              <w:t>176,181</w:t>
            </w:r>
          </w:p>
        </w:tc>
        <w:tc>
          <w:tcPr>
            <w:tcW w:w="919" w:type="dxa"/>
            <w:tcBorders>
              <w:top w:val="single" w:sz="6" w:space="0" w:color="000000"/>
              <w:bottom w:val="single" w:sz="6" w:space="0" w:color="000000"/>
            </w:tcBorders>
          </w:tcPr>
          <w:p>
            <w:pPr>
              <w:pStyle w:val="TableParagraph"/>
              <w:spacing w:line="138" w:lineRule="exact"/>
              <w:ind w:right="184"/>
              <w:jc w:val="right"/>
              <w:rPr>
                <w:b/>
                <w:sz w:val="13"/>
              </w:rPr>
            </w:pPr>
            <w:r>
              <w:rPr>
                <w:b/>
                <w:spacing w:val="-2"/>
                <w:w w:val="105"/>
                <w:sz w:val="13"/>
              </w:rPr>
              <w:t>200,249</w:t>
            </w:r>
          </w:p>
        </w:tc>
        <w:tc>
          <w:tcPr>
            <w:tcW w:w="919" w:type="dxa"/>
            <w:tcBorders>
              <w:top w:val="single" w:sz="6" w:space="0" w:color="000000"/>
              <w:bottom w:val="single" w:sz="6" w:space="0" w:color="000000"/>
            </w:tcBorders>
          </w:tcPr>
          <w:p>
            <w:pPr>
              <w:pStyle w:val="TableParagraph"/>
              <w:spacing w:line="138" w:lineRule="exact"/>
              <w:ind w:right="184"/>
              <w:jc w:val="right"/>
              <w:rPr>
                <w:b/>
                <w:sz w:val="13"/>
              </w:rPr>
            </w:pPr>
            <w:r>
              <w:rPr>
                <w:b/>
                <w:spacing w:val="-2"/>
                <w:w w:val="105"/>
                <w:sz w:val="13"/>
              </w:rPr>
              <w:t>174,945</w:t>
            </w:r>
          </w:p>
        </w:tc>
        <w:tc>
          <w:tcPr>
            <w:tcW w:w="807" w:type="dxa"/>
            <w:tcBorders>
              <w:top w:val="single" w:sz="6" w:space="0" w:color="000000"/>
              <w:bottom w:val="single" w:sz="6" w:space="0" w:color="000000"/>
            </w:tcBorders>
          </w:tcPr>
          <w:p>
            <w:pPr>
              <w:pStyle w:val="TableParagraph"/>
              <w:spacing w:line="138" w:lineRule="exact"/>
              <w:ind w:right="72"/>
              <w:jc w:val="right"/>
              <w:rPr>
                <w:b/>
                <w:sz w:val="13"/>
              </w:rPr>
            </w:pPr>
            <w:r>
              <w:rPr>
                <w:b/>
                <w:spacing w:val="-2"/>
                <w:w w:val="105"/>
                <w:sz w:val="13"/>
              </w:rPr>
              <w:t>198,162</w:t>
            </w:r>
          </w:p>
        </w:tc>
      </w:tr>
    </w:tbl>
    <w:p>
      <w:pPr>
        <w:spacing w:line="240" w:lineRule="auto" w:before="28"/>
        <w:rPr>
          <w:b/>
          <w:sz w:val="13"/>
        </w:rPr>
      </w:pPr>
    </w:p>
    <w:p>
      <w:pPr>
        <w:spacing w:before="0"/>
        <w:ind w:left="851" w:right="0" w:firstLine="0"/>
        <w:jc w:val="both"/>
        <w:rPr>
          <w:b/>
          <w:i/>
          <w:sz w:val="13"/>
        </w:rPr>
      </w:pPr>
      <w:r>
        <w:rPr>
          <w:b/>
          <w:i/>
          <w:color w:val="0070C0"/>
          <w:w w:val="105"/>
          <w:sz w:val="13"/>
        </w:rPr>
        <w:t>Accounting</w:t>
      </w:r>
      <w:r>
        <w:rPr>
          <w:b/>
          <w:i/>
          <w:color w:val="0070C0"/>
          <w:spacing w:val="-6"/>
          <w:w w:val="105"/>
          <w:sz w:val="13"/>
        </w:rPr>
        <w:t> </w:t>
      </w:r>
      <w:r>
        <w:rPr>
          <w:b/>
          <w:i/>
          <w:color w:val="0070C0"/>
          <w:spacing w:val="-2"/>
          <w:w w:val="105"/>
          <w:sz w:val="13"/>
        </w:rPr>
        <w:t>policy</w:t>
      </w:r>
    </w:p>
    <w:p>
      <w:pPr>
        <w:spacing w:line="273" w:lineRule="auto" w:before="25"/>
        <w:ind w:left="849" w:right="1808" w:firstLine="0"/>
        <w:jc w:val="both"/>
        <w:rPr>
          <w:sz w:val="13"/>
        </w:rPr>
      </w:pPr>
      <w:r>
        <w:rPr>
          <w:w w:val="105"/>
          <w:sz w:val="13"/>
        </w:rPr>
        <w:t>Course fees and charges relate to undergraduate programs, graduate and professional degree programs, and continuing education and</w:t>
      </w:r>
      <w:r>
        <w:rPr>
          <w:spacing w:val="40"/>
          <w:w w:val="105"/>
          <w:sz w:val="13"/>
        </w:rPr>
        <w:t> </w:t>
      </w:r>
      <w:r>
        <w:rPr>
          <w:w w:val="105"/>
          <w:sz w:val="13"/>
        </w:rPr>
        <w:t>executive</w:t>
      </w:r>
      <w:r>
        <w:rPr>
          <w:w w:val="105"/>
          <w:sz w:val="13"/>
        </w:rPr>
        <w:t> programs.</w:t>
      </w:r>
      <w:r>
        <w:rPr>
          <w:w w:val="105"/>
          <w:sz w:val="13"/>
        </w:rPr>
        <w:t> It</w:t>
      </w:r>
      <w:r>
        <w:rPr>
          <w:w w:val="105"/>
          <w:sz w:val="13"/>
        </w:rPr>
        <w:t> excludes</w:t>
      </w:r>
      <w:r>
        <w:rPr>
          <w:w w:val="105"/>
          <w:sz w:val="13"/>
        </w:rPr>
        <w:t> fees</w:t>
      </w:r>
      <w:r>
        <w:rPr>
          <w:w w:val="105"/>
          <w:sz w:val="13"/>
        </w:rPr>
        <w:t> and</w:t>
      </w:r>
      <w:r>
        <w:rPr>
          <w:w w:val="105"/>
          <w:sz w:val="13"/>
        </w:rPr>
        <w:t> charges</w:t>
      </w:r>
      <w:r>
        <w:rPr>
          <w:w w:val="105"/>
          <w:sz w:val="13"/>
        </w:rPr>
        <w:t> for</w:t>
      </w:r>
      <w:r>
        <w:rPr>
          <w:w w:val="105"/>
          <w:sz w:val="13"/>
        </w:rPr>
        <w:t> Commonwealth</w:t>
      </w:r>
      <w:r>
        <w:rPr>
          <w:w w:val="105"/>
          <w:sz w:val="13"/>
        </w:rPr>
        <w:t> Government</w:t>
      </w:r>
      <w:r>
        <w:rPr>
          <w:w w:val="105"/>
          <w:sz w:val="13"/>
        </w:rPr>
        <w:t> funded</w:t>
      </w:r>
      <w:r>
        <w:rPr>
          <w:w w:val="105"/>
          <w:sz w:val="13"/>
        </w:rPr>
        <w:t> courses</w:t>
      </w:r>
      <w:r>
        <w:rPr>
          <w:w w:val="105"/>
          <w:sz w:val="13"/>
        </w:rPr>
        <w:t> (this</w:t>
      </w:r>
      <w:r>
        <w:rPr>
          <w:w w:val="105"/>
          <w:sz w:val="13"/>
        </w:rPr>
        <w:t> is</w:t>
      </w:r>
      <w:r>
        <w:rPr>
          <w:w w:val="105"/>
          <w:sz w:val="13"/>
        </w:rPr>
        <w:t> categorised</w:t>
      </w:r>
      <w:r>
        <w:rPr>
          <w:w w:val="105"/>
          <w:sz w:val="13"/>
        </w:rPr>
        <w:t> separately</w:t>
      </w:r>
      <w:r>
        <w:rPr>
          <w:w w:val="105"/>
          <w:sz w:val="13"/>
        </w:rPr>
        <w:t> as</w:t>
      </w:r>
      <w:r>
        <w:rPr>
          <w:spacing w:val="40"/>
          <w:w w:val="105"/>
          <w:sz w:val="13"/>
        </w:rPr>
        <w:t> </w:t>
      </w:r>
      <w:r>
        <w:rPr>
          <w:w w:val="105"/>
          <w:sz w:val="13"/>
        </w:rPr>
        <w:t>Australian Government Financial Assistance). This falls under AASB15 and the revenue is recognised over time as the students receive</w:t>
      </w:r>
      <w:r>
        <w:rPr>
          <w:spacing w:val="40"/>
          <w:w w:val="105"/>
          <w:sz w:val="13"/>
        </w:rPr>
        <w:t> </w:t>
      </w:r>
      <w:r>
        <w:rPr>
          <w:w w:val="105"/>
          <w:sz w:val="13"/>
        </w:rPr>
        <w:t>the tuition services.</w:t>
      </w:r>
    </w:p>
    <w:p>
      <w:pPr>
        <w:spacing w:line="240" w:lineRule="auto" w:before="21"/>
        <w:rPr>
          <w:sz w:val="13"/>
        </w:rPr>
      </w:pPr>
    </w:p>
    <w:p>
      <w:pPr>
        <w:spacing w:line="273" w:lineRule="auto" w:before="0"/>
        <w:ind w:left="849" w:right="1808" w:firstLine="0"/>
        <w:jc w:val="both"/>
        <w:rPr>
          <w:sz w:val="13"/>
        </w:rPr>
      </w:pPr>
      <w:r>
        <w:rPr>
          <w:w w:val="105"/>
          <w:sz w:val="13"/>
        </w:rPr>
        <w:t>Student services and amenities fee revenue is derived when a student pays their fee up-front to the University</w:t>
      </w:r>
      <w:r>
        <w:rPr>
          <w:spacing w:val="-1"/>
          <w:w w:val="105"/>
          <w:sz w:val="13"/>
        </w:rPr>
        <w:t> </w:t>
      </w:r>
      <w:r>
        <w:rPr>
          <w:w w:val="105"/>
          <w:sz w:val="13"/>
        </w:rPr>
        <w:t>(and does not enter into a</w:t>
      </w:r>
      <w:r>
        <w:rPr>
          <w:spacing w:val="40"/>
          <w:w w:val="105"/>
          <w:sz w:val="13"/>
        </w:rPr>
        <w:t> </w:t>
      </w:r>
      <w:r>
        <w:rPr>
          <w:w w:val="105"/>
          <w:sz w:val="13"/>
        </w:rPr>
        <w:t>SA-HELP</w:t>
      </w:r>
      <w:r>
        <w:rPr>
          <w:w w:val="105"/>
          <w:sz w:val="13"/>
        </w:rPr>
        <w:t> loan</w:t>
      </w:r>
      <w:r>
        <w:rPr>
          <w:w w:val="105"/>
          <w:sz w:val="13"/>
        </w:rPr>
        <w:t> arrangement</w:t>
      </w:r>
      <w:r>
        <w:rPr>
          <w:w w:val="105"/>
          <w:sz w:val="13"/>
        </w:rPr>
        <w:t> with</w:t>
      </w:r>
      <w:r>
        <w:rPr>
          <w:w w:val="105"/>
          <w:sz w:val="13"/>
        </w:rPr>
        <w:t> the</w:t>
      </w:r>
      <w:r>
        <w:rPr>
          <w:w w:val="105"/>
          <w:sz w:val="13"/>
        </w:rPr>
        <w:t> Commonwealth</w:t>
      </w:r>
      <w:r>
        <w:rPr>
          <w:w w:val="105"/>
          <w:sz w:val="13"/>
        </w:rPr>
        <w:t> Government</w:t>
      </w:r>
      <w:r>
        <w:rPr>
          <w:w w:val="105"/>
          <w:sz w:val="13"/>
        </w:rPr>
        <w:t> if</w:t>
      </w:r>
      <w:r>
        <w:rPr>
          <w:w w:val="105"/>
          <w:sz w:val="13"/>
        </w:rPr>
        <w:t> eligible</w:t>
      </w:r>
      <w:r>
        <w:rPr>
          <w:w w:val="105"/>
          <w:sz w:val="13"/>
        </w:rPr>
        <w:t> to</w:t>
      </w:r>
      <w:r>
        <w:rPr>
          <w:w w:val="105"/>
          <w:sz w:val="13"/>
        </w:rPr>
        <w:t> do</w:t>
      </w:r>
      <w:r>
        <w:rPr>
          <w:w w:val="105"/>
          <w:sz w:val="13"/>
        </w:rPr>
        <w:t> so).</w:t>
      </w:r>
      <w:r>
        <w:rPr>
          <w:w w:val="105"/>
          <w:sz w:val="13"/>
        </w:rPr>
        <w:t> This</w:t>
      </w:r>
      <w:r>
        <w:rPr>
          <w:w w:val="105"/>
          <w:sz w:val="13"/>
        </w:rPr>
        <w:t> falls</w:t>
      </w:r>
      <w:r>
        <w:rPr>
          <w:w w:val="105"/>
          <w:sz w:val="13"/>
        </w:rPr>
        <w:t> under</w:t>
      </w:r>
      <w:r>
        <w:rPr>
          <w:w w:val="105"/>
          <w:sz w:val="13"/>
        </w:rPr>
        <w:t> AASB15</w:t>
      </w:r>
      <w:r>
        <w:rPr>
          <w:w w:val="105"/>
          <w:sz w:val="13"/>
        </w:rPr>
        <w:t> and</w:t>
      </w:r>
      <w:r>
        <w:rPr>
          <w:w w:val="105"/>
          <w:sz w:val="13"/>
        </w:rPr>
        <w:t> the</w:t>
      </w:r>
      <w:r>
        <w:rPr>
          <w:w w:val="105"/>
          <w:sz w:val="13"/>
        </w:rPr>
        <w:t> revenue</w:t>
      </w:r>
      <w:r>
        <w:rPr>
          <w:w w:val="105"/>
          <w:sz w:val="13"/>
        </w:rPr>
        <w:t> is</w:t>
      </w:r>
      <w:r>
        <w:rPr>
          <w:spacing w:val="40"/>
          <w:w w:val="105"/>
          <w:sz w:val="13"/>
        </w:rPr>
        <w:t> </w:t>
      </w:r>
      <w:r>
        <w:rPr>
          <w:w w:val="105"/>
          <w:sz w:val="13"/>
        </w:rPr>
        <w:t>recognised over time as the students receive the student services and amenities.</w:t>
      </w:r>
    </w:p>
    <w:p>
      <w:pPr>
        <w:spacing w:line="240" w:lineRule="auto" w:before="21"/>
        <w:rPr>
          <w:sz w:val="13"/>
        </w:rPr>
      </w:pPr>
    </w:p>
    <w:p>
      <w:pPr>
        <w:spacing w:line="273" w:lineRule="auto" w:before="1"/>
        <w:ind w:left="849" w:right="4475" w:firstLine="0"/>
        <w:jc w:val="left"/>
        <w:rPr>
          <w:sz w:val="13"/>
        </w:rPr>
      </w:pPr>
      <w:r>
        <w:rPr>
          <w:w w:val="105"/>
          <w:sz w:val="13"/>
        </w:rPr>
        <w:t>Other</w:t>
      </w:r>
      <w:r>
        <w:rPr>
          <w:spacing w:val="-3"/>
          <w:w w:val="105"/>
          <w:sz w:val="13"/>
        </w:rPr>
        <w:t> </w:t>
      </w:r>
      <w:r>
        <w:rPr>
          <w:w w:val="105"/>
          <w:sz w:val="13"/>
        </w:rPr>
        <w:t>non-course</w:t>
      </w:r>
      <w:r>
        <w:rPr>
          <w:spacing w:val="-5"/>
          <w:w w:val="105"/>
          <w:sz w:val="13"/>
        </w:rPr>
        <w:t> </w:t>
      </w:r>
      <w:r>
        <w:rPr>
          <w:w w:val="105"/>
          <w:sz w:val="13"/>
        </w:rPr>
        <w:t>fees</w:t>
      </w:r>
      <w:r>
        <w:rPr>
          <w:spacing w:val="-4"/>
          <w:w w:val="105"/>
          <w:sz w:val="13"/>
        </w:rPr>
        <w:t> </w:t>
      </w:r>
      <w:r>
        <w:rPr>
          <w:w w:val="105"/>
          <w:sz w:val="13"/>
        </w:rPr>
        <w:t>and</w:t>
      </w:r>
      <w:r>
        <w:rPr>
          <w:spacing w:val="-5"/>
          <w:w w:val="105"/>
          <w:sz w:val="13"/>
        </w:rPr>
        <w:t> </w:t>
      </w:r>
      <w:r>
        <w:rPr>
          <w:w w:val="105"/>
          <w:sz w:val="13"/>
        </w:rPr>
        <w:t>charges</w:t>
      </w:r>
      <w:r>
        <w:rPr>
          <w:spacing w:val="-4"/>
          <w:w w:val="105"/>
          <w:sz w:val="13"/>
        </w:rPr>
        <w:t> </w:t>
      </w:r>
      <w:r>
        <w:rPr>
          <w:w w:val="105"/>
          <w:sz w:val="13"/>
        </w:rPr>
        <w:t>include</w:t>
      </w:r>
      <w:r>
        <w:rPr>
          <w:spacing w:val="-5"/>
          <w:w w:val="105"/>
          <w:sz w:val="13"/>
        </w:rPr>
        <w:t> </w:t>
      </w:r>
      <w:r>
        <w:rPr>
          <w:w w:val="105"/>
          <w:sz w:val="13"/>
        </w:rPr>
        <w:t>student</w:t>
      </w:r>
      <w:r>
        <w:rPr>
          <w:spacing w:val="-4"/>
          <w:w w:val="105"/>
          <w:sz w:val="13"/>
        </w:rPr>
        <w:t> </w:t>
      </w:r>
      <w:r>
        <w:rPr>
          <w:w w:val="105"/>
          <w:sz w:val="13"/>
        </w:rPr>
        <w:t>accommodation,</w:t>
      </w:r>
      <w:r>
        <w:rPr>
          <w:spacing w:val="-4"/>
          <w:w w:val="105"/>
          <w:sz w:val="13"/>
        </w:rPr>
        <w:t> </w:t>
      </w:r>
      <w:r>
        <w:rPr>
          <w:w w:val="105"/>
          <w:sz w:val="13"/>
        </w:rPr>
        <w:t>parking</w:t>
      </w:r>
      <w:r>
        <w:rPr>
          <w:spacing w:val="-5"/>
          <w:w w:val="105"/>
          <w:sz w:val="13"/>
        </w:rPr>
        <w:t> </w:t>
      </w:r>
      <w:r>
        <w:rPr>
          <w:w w:val="105"/>
          <w:sz w:val="13"/>
        </w:rPr>
        <w:t>fees</w:t>
      </w:r>
      <w:r>
        <w:rPr>
          <w:spacing w:val="-4"/>
          <w:w w:val="105"/>
          <w:sz w:val="13"/>
        </w:rPr>
        <w:t> </w:t>
      </w:r>
      <w:r>
        <w:rPr>
          <w:w w:val="105"/>
          <w:sz w:val="13"/>
        </w:rPr>
        <w:t>etc.</w:t>
      </w:r>
      <w:r>
        <w:rPr>
          <w:spacing w:val="40"/>
          <w:w w:val="105"/>
          <w:sz w:val="13"/>
        </w:rPr>
        <w:t> </w:t>
      </w:r>
      <w:r>
        <w:rPr>
          <w:w w:val="105"/>
          <w:sz w:val="13"/>
        </w:rPr>
        <w:t>Revenue is recognised:</w:t>
      </w:r>
    </w:p>
    <w:p>
      <w:pPr>
        <w:pStyle w:val="ListParagraph"/>
        <w:numPr>
          <w:ilvl w:val="0"/>
          <w:numId w:val="20"/>
        </w:numPr>
        <w:tabs>
          <w:tab w:pos="932" w:val="left" w:leader="none"/>
        </w:tabs>
        <w:spacing w:line="240" w:lineRule="auto" w:before="0" w:after="0"/>
        <w:ind w:left="932" w:right="0" w:hanging="83"/>
        <w:jc w:val="left"/>
        <w:rPr>
          <w:sz w:val="13"/>
        </w:rPr>
      </w:pPr>
      <w:r>
        <w:rPr>
          <w:w w:val="105"/>
          <w:sz w:val="13"/>
        </w:rPr>
        <w:t>Over</w:t>
      </w:r>
      <w:r>
        <w:rPr>
          <w:spacing w:val="-4"/>
          <w:w w:val="105"/>
          <w:sz w:val="13"/>
        </w:rPr>
        <w:t> </w:t>
      </w:r>
      <w:r>
        <w:rPr>
          <w:w w:val="105"/>
          <w:sz w:val="13"/>
        </w:rPr>
        <w:t>time</w:t>
      </w:r>
      <w:r>
        <w:rPr>
          <w:spacing w:val="-6"/>
          <w:w w:val="105"/>
          <w:sz w:val="13"/>
        </w:rPr>
        <w:t> </w:t>
      </w:r>
      <w:r>
        <w:rPr>
          <w:w w:val="105"/>
          <w:sz w:val="13"/>
        </w:rPr>
        <w:t>as</w:t>
      </w:r>
      <w:r>
        <w:rPr>
          <w:spacing w:val="-5"/>
          <w:w w:val="105"/>
          <w:sz w:val="13"/>
        </w:rPr>
        <w:t> </w:t>
      </w:r>
      <w:r>
        <w:rPr>
          <w:w w:val="105"/>
          <w:sz w:val="13"/>
        </w:rPr>
        <w:t>and</w:t>
      </w:r>
      <w:r>
        <w:rPr>
          <w:spacing w:val="-5"/>
          <w:w w:val="105"/>
          <w:sz w:val="13"/>
        </w:rPr>
        <w:t> </w:t>
      </w:r>
      <w:r>
        <w:rPr>
          <w:w w:val="105"/>
          <w:sz w:val="13"/>
        </w:rPr>
        <w:t>when</w:t>
      </w:r>
      <w:r>
        <w:rPr>
          <w:spacing w:val="-6"/>
          <w:w w:val="105"/>
          <w:sz w:val="13"/>
        </w:rPr>
        <w:t> </w:t>
      </w:r>
      <w:r>
        <w:rPr>
          <w:w w:val="105"/>
          <w:sz w:val="13"/>
        </w:rPr>
        <w:t>the</w:t>
      </w:r>
      <w:r>
        <w:rPr>
          <w:spacing w:val="-6"/>
          <w:w w:val="105"/>
          <w:sz w:val="13"/>
        </w:rPr>
        <w:t> </w:t>
      </w:r>
      <w:r>
        <w:rPr>
          <w:w w:val="105"/>
          <w:sz w:val="13"/>
        </w:rPr>
        <w:t>service</w:t>
      </w:r>
      <w:r>
        <w:rPr>
          <w:spacing w:val="-5"/>
          <w:w w:val="105"/>
          <w:sz w:val="13"/>
        </w:rPr>
        <w:t> </w:t>
      </w:r>
      <w:r>
        <w:rPr>
          <w:w w:val="105"/>
          <w:sz w:val="13"/>
        </w:rPr>
        <w:t>is</w:t>
      </w:r>
      <w:r>
        <w:rPr>
          <w:spacing w:val="-5"/>
          <w:w w:val="105"/>
          <w:sz w:val="13"/>
        </w:rPr>
        <w:t> </w:t>
      </w:r>
      <w:r>
        <w:rPr>
          <w:w w:val="105"/>
          <w:sz w:val="13"/>
        </w:rPr>
        <w:t>provided,</w:t>
      </w:r>
      <w:r>
        <w:rPr>
          <w:spacing w:val="-5"/>
          <w:w w:val="105"/>
          <w:sz w:val="13"/>
        </w:rPr>
        <w:t> </w:t>
      </w:r>
      <w:r>
        <w:rPr>
          <w:w w:val="105"/>
          <w:sz w:val="13"/>
        </w:rPr>
        <w:t>such</w:t>
      </w:r>
      <w:r>
        <w:rPr>
          <w:spacing w:val="-6"/>
          <w:w w:val="105"/>
          <w:sz w:val="13"/>
        </w:rPr>
        <w:t> </w:t>
      </w:r>
      <w:r>
        <w:rPr>
          <w:w w:val="105"/>
          <w:sz w:val="13"/>
        </w:rPr>
        <w:t>as</w:t>
      </w:r>
      <w:r>
        <w:rPr>
          <w:spacing w:val="-4"/>
          <w:w w:val="105"/>
          <w:sz w:val="13"/>
        </w:rPr>
        <w:t> </w:t>
      </w:r>
      <w:r>
        <w:rPr>
          <w:w w:val="105"/>
          <w:sz w:val="13"/>
        </w:rPr>
        <w:t>student</w:t>
      </w:r>
      <w:r>
        <w:rPr>
          <w:spacing w:val="-5"/>
          <w:w w:val="105"/>
          <w:sz w:val="13"/>
        </w:rPr>
        <w:t> </w:t>
      </w:r>
      <w:r>
        <w:rPr>
          <w:spacing w:val="-2"/>
          <w:w w:val="105"/>
          <w:sz w:val="13"/>
        </w:rPr>
        <w:t>accommodation.</w:t>
      </w:r>
    </w:p>
    <w:p>
      <w:pPr>
        <w:pStyle w:val="ListParagraph"/>
        <w:numPr>
          <w:ilvl w:val="0"/>
          <w:numId w:val="20"/>
        </w:numPr>
        <w:tabs>
          <w:tab w:pos="932" w:val="left" w:leader="none"/>
        </w:tabs>
        <w:spacing w:line="240" w:lineRule="auto" w:before="21" w:after="0"/>
        <w:ind w:left="932" w:right="0" w:hanging="83"/>
        <w:jc w:val="left"/>
        <w:rPr>
          <w:sz w:val="13"/>
        </w:rPr>
      </w:pPr>
      <w:r>
        <w:rPr>
          <w:w w:val="105"/>
          <w:sz w:val="13"/>
        </w:rPr>
        <w:t>At</w:t>
      </w:r>
      <w:r>
        <w:rPr>
          <w:spacing w:val="-5"/>
          <w:w w:val="105"/>
          <w:sz w:val="13"/>
        </w:rPr>
        <w:t> </w:t>
      </w:r>
      <w:r>
        <w:rPr>
          <w:w w:val="105"/>
          <w:sz w:val="13"/>
        </w:rPr>
        <w:t>a</w:t>
      </w:r>
      <w:r>
        <w:rPr>
          <w:spacing w:val="-6"/>
          <w:w w:val="105"/>
          <w:sz w:val="13"/>
        </w:rPr>
        <w:t> </w:t>
      </w:r>
      <w:r>
        <w:rPr>
          <w:w w:val="105"/>
          <w:sz w:val="13"/>
        </w:rPr>
        <w:t>point</w:t>
      </w:r>
      <w:r>
        <w:rPr>
          <w:spacing w:val="-6"/>
          <w:w w:val="105"/>
          <w:sz w:val="13"/>
        </w:rPr>
        <w:t> </w:t>
      </w:r>
      <w:r>
        <w:rPr>
          <w:w w:val="105"/>
          <w:sz w:val="13"/>
        </w:rPr>
        <w:t>in</w:t>
      </w:r>
      <w:r>
        <w:rPr>
          <w:spacing w:val="-5"/>
          <w:w w:val="105"/>
          <w:sz w:val="13"/>
        </w:rPr>
        <w:t> </w:t>
      </w:r>
      <w:r>
        <w:rPr>
          <w:w w:val="105"/>
          <w:sz w:val="13"/>
        </w:rPr>
        <w:t>time</w:t>
      </w:r>
      <w:r>
        <w:rPr>
          <w:spacing w:val="-6"/>
          <w:w w:val="105"/>
          <w:sz w:val="13"/>
        </w:rPr>
        <w:t> </w:t>
      </w:r>
      <w:r>
        <w:rPr>
          <w:w w:val="105"/>
          <w:sz w:val="13"/>
        </w:rPr>
        <w:t>when</w:t>
      </w:r>
      <w:r>
        <w:rPr>
          <w:spacing w:val="-6"/>
          <w:w w:val="105"/>
          <w:sz w:val="13"/>
        </w:rPr>
        <w:t> </w:t>
      </w:r>
      <w:r>
        <w:rPr>
          <w:w w:val="105"/>
          <w:sz w:val="13"/>
        </w:rPr>
        <w:t>the</w:t>
      </w:r>
      <w:r>
        <w:rPr>
          <w:spacing w:val="-6"/>
          <w:w w:val="105"/>
          <w:sz w:val="13"/>
        </w:rPr>
        <w:t> </w:t>
      </w:r>
      <w:r>
        <w:rPr>
          <w:w w:val="105"/>
          <w:sz w:val="13"/>
        </w:rPr>
        <w:t>income</w:t>
      </w:r>
      <w:r>
        <w:rPr>
          <w:spacing w:val="-5"/>
          <w:w w:val="105"/>
          <w:sz w:val="13"/>
        </w:rPr>
        <w:t> </w:t>
      </w:r>
      <w:r>
        <w:rPr>
          <w:w w:val="105"/>
          <w:sz w:val="13"/>
        </w:rPr>
        <w:t>has</w:t>
      </w:r>
      <w:r>
        <w:rPr>
          <w:spacing w:val="-5"/>
          <w:w w:val="105"/>
          <w:sz w:val="13"/>
        </w:rPr>
        <w:t> </w:t>
      </w:r>
      <w:r>
        <w:rPr>
          <w:w w:val="105"/>
          <w:sz w:val="13"/>
        </w:rPr>
        <w:t>been</w:t>
      </w:r>
      <w:r>
        <w:rPr>
          <w:spacing w:val="-6"/>
          <w:w w:val="105"/>
          <w:sz w:val="13"/>
        </w:rPr>
        <w:t> </w:t>
      </w:r>
      <w:r>
        <w:rPr>
          <w:w w:val="105"/>
          <w:sz w:val="13"/>
        </w:rPr>
        <w:t>received</w:t>
      </w:r>
      <w:r>
        <w:rPr>
          <w:spacing w:val="-6"/>
          <w:w w:val="105"/>
          <w:sz w:val="13"/>
        </w:rPr>
        <w:t> </w:t>
      </w:r>
      <w:r>
        <w:rPr>
          <w:w w:val="105"/>
          <w:sz w:val="13"/>
        </w:rPr>
        <w:t>from</w:t>
      </w:r>
      <w:r>
        <w:rPr>
          <w:spacing w:val="-4"/>
          <w:w w:val="105"/>
          <w:sz w:val="13"/>
        </w:rPr>
        <w:t> </w:t>
      </w:r>
      <w:r>
        <w:rPr>
          <w:w w:val="105"/>
          <w:sz w:val="13"/>
        </w:rPr>
        <w:t>the</w:t>
      </w:r>
      <w:r>
        <w:rPr>
          <w:spacing w:val="-5"/>
          <w:w w:val="105"/>
          <w:sz w:val="13"/>
        </w:rPr>
        <w:t> </w:t>
      </w:r>
      <w:r>
        <w:rPr>
          <w:w w:val="105"/>
          <w:sz w:val="13"/>
        </w:rPr>
        <w:t>student,</w:t>
      </w:r>
      <w:r>
        <w:rPr>
          <w:spacing w:val="-5"/>
          <w:w w:val="105"/>
          <w:sz w:val="13"/>
        </w:rPr>
        <w:t> </w:t>
      </w:r>
      <w:r>
        <w:rPr>
          <w:w w:val="105"/>
          <w:sz w:val="13"/>
        </w:rPr>
        <w:t>such</w:t>
      </w:r>
      <w:r>
        <w:rPr>
          <w:spacing w:val="-6"/>
          <w:w w:val="105"/>
          <w:sz w:val="13"/>
        </w:rPr>
        <w:t> </w:t>
      </w:r>
      <w:r>
        <w:rPr>
          <w:w w:val="105"/>
          <w:sz w:val="13"/>
        </w:rPr>
        <w:t>as</w:t>
      </w:r>
      <w:r>
        <w:rPr>
          <w:spacing w:val="-5"/>
          <w:w w:val="105"/>
          <w:sz w:val="13"/>
        </w:rPr>
        <w:t> </w:t>
      </w:r>
      <w:r>
        <w:rPr>
          <w:w w:val="105"/>
          <w:sz w:val="13"/>
        </w:rPr>
        <w:t>parking</w:t>
      </w:r>
      <w:r>
        <w:rPr>
          <w:spacing w:val="-5"/>
          <w:w w:val="105"/>
          <w:sz w:val="13"/>
        </w:rPr>
        <w:t> </w:t>
      </w:r>
      <w:r>
        <w:rPr>
          <w:w w:val="105"/>
          <w:sz w:val="13"/>
        </w:rPr>
        <w:t>fees</w:t>
      </w:r>
      <w:r>
        <w:rPr>
          <w:spacing w:val="-5"/>
          <w:w w:val="105"/>
          <w:sz w:val="13"/>
        </w:rPr>
        <w:t> </w:t>
      </w:r>
      <w:r>
        <w:rPr>
          <w:w w:val="105"/>
          <w:sz w:val="13"/>
        </w:rPr>
        <w:t>and</w:t>
      </w:r>
      <w:r>
        <w:rPr>
          <w:spacing w:val="-6"/>
          <w:w w:val="105"/>
          <w:sz w:val="13"/>
        </w:rPr>
        <w:t> </w:t>
      </w:r>
      <w:r>
        <w:rPr>
          <w:w w:val="105"/>
          <w:sz w:val="13"/>
        </w:rPr>
        <w:t>registration</w:t>
      </w:r>
      <w:r>
        <w:rPr>
          <w:spacing w:val="-6"/>
          <w:w w:val="105"/>
          <w:sz w:val="13"/>
        </w:rPr>
        <w:t> </w:t>
      </w:r>
      <w:r>
        <w:rPr>
          <w:spacing w:val="-2"/>
          <w:w w:val="105"/>
          <w:sz w:val="13"/>
        </w:rPr>
        <w:t>fees.</w:t>
      </w:r>
    </w:p>
    <w:p>
      <w:pPr>
        <w:spacing w:line="240" w:lineRule="auto" w:before="194"/>
        <w:rPr>
          <w:sz w:val="20"/>
        </w:rPr>
      </w:pPr>
      <w:r>
        <w:rPr/>
        <mc:AlternateContent>
          <mc:Choice Requires="wps">
            <w:drawing>
              <wp:anchor distT="0" distB="0" distL="0" distR="0" allowOverlap="1" layoutInCell="1" locked="0" behindDoc="1" simplePos="0" relativeHeight="487737856">
                <wp:simplePos x="0" y="0"/>
                <wp:positionH relativeFrom="page">
                  <wp:posOffset>720001</wp:posOffset>
                </wp:positionH>
                <wp:positionV relativeFrom="paragraph">
                  <wp:posOffset>284710</wp:posOffset>
                </wp:positionV>
                <wp:extent cx="5706110" cy="17145"/>
                <wp:effectExtent l="0" t="0" r="0" b="0"/>
                <wp:wrapTopAndBottom/>
                <wp:docPr id="899" name="Graphic 899"/>
                <wp:cNvGraphicFramePr>
                  <a:graphicFrameLocks/>
                </wp:cNvGraphicFramePr>
                <a:graphic>
                  <a:graphicData uri="http://schemas.microsoft.com/office/word/2010/wordprocessingShape">
                    <wps:wsp>
                      <wps:cNvPr id="899" name="Graphic 899"/>
                      <wps:cNvSpPr/>
                      <wps:spPr>
                        <a:xfrm>
                          <a:off x="0" y="0"/>
                          <a:ext cx="5706110" cy="17145"/>
                        </a:xfrm>
                        <a:custGeom>
                          <a:avLst/>
                          <a:gdLst/>
                          <a:ahLst/>
                          <a:cxnLst/>
                          <a:rect l="l" t="t" r="r" b="b"/>
                          <a:pathLst>
                            <a:path w="5706110" h="17145">
                              <a:moveTo>
                                <a:pt x="5705983" y="0"/>
                              </a:moveTo>
                              <a:lnTo>
                                <a:pt x="0" y="0"/>
                              </a:lnTo>
                              <a:lnTo>
                                <a:pt x="0" y="16865"/>
                              </a:lnTo>
                              <a:lnTo>
                                <a:pt x="5705983" y="16865"/>
                              </a:lnTo>
                              <a:lnTo>
                                <a:pt x="5705983"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6.693001pt;margin-top:22.418158pt;width:449.29pt;height:1.328pt;mso-position-horizontal-relative:page;mso-position-vertical-relative:paragraph;z-index:-15578624;mso-wrap-distance-left:0;mso-wrap-distance-right:0" id="docshape593" filled="true" fillcolor="#4f81bd" stroked="false">
                <v:fill type="solid"/>
                <w10:wrap type="topAndBottom"/>
              </v:rect>
            </w:pict>
          </mc:Fallback>
        </mc:AlternateContent>
      </w:r>
    </w:p>
    <w:p>
      <w:pPr>
        <w:pStyle w:val="ListParagraph"/>
        <w:numPr>
          <w:ilvl w:val="1"/>
          <w:numId w:val="13"/>
        </w:numPr>
        <w:tabs>
          <w:tab w:pos="853" w:val="left" w:leader="none"/>
          <w:tab w:pos="6013" w:val="left" w:leader="none"/>
          <w:tab w:pos="7955" w:val="left" w:leader="none"/>
        </w:tabs>
        <w:spacing w:line="240" w:lineRule="auto" w:before="126" w:after="0"/>
        <w:ind w:left="853" w:right="0" w:hanging="609"/>
        <w:jc w:val="left"/>
        <w:rPr>
          <w:b/>
          <w:color w:val="0070C0"/>
          <w:sz w:val="16"/>
        </w:rPr>
      </w:pPr>
      <w:r>
        <w:rPr>
          <w:b/>
          <w:color w:val="0070C0"/>
          <w:sz w:val="16"/>
        </w:rPr>
        <w:t>Net</w:t>
      </w:r>
      <w:r>
        <w:rPr>
          <w:b/>
          <w:color w:val="0070C0"/>
          <w:spacing w:val="6"/>
          <w:sz w:val="16"/>
        </w:rPr>
        <w:t> </w:t>
      </w:r>
      <w:r>
        <w:rPr>
          <w:b/>
          <w:color w:val="0070C0"/>
          <w:sz w:val="16"/>
        </w:rPr>
        <w:t>investment</w:t>
      </w:r>
      <w:r>
        <w:rPr>
          <w:b/>
          <w:color w:val="0070C0"/>
          <w:spacing w:val="6"/>
          <w:sz w:val="16"/>
        </w:rPr>
        <w:t> </w:t>
      </w:r>
      <w:r>
        <w:rPr>
          <w:b/>
          <w:color w:val="0070C0"/>
          <w:sz w:val="16"/>
        </w:rPr>
        <w:t>revenue</w:t>
      </w:r>
      <w:r>
        <w:rPr>
          <w:b/>
          <w:color w:val="0070C0"/>
          <w:spacing w:val="5"/>
          <w:sz w:val="16"/>
        </w:rPr>
        <w:t> </w:t>
      </w:r>
      <w:r>
        <w:rPr>
          <w:b/>
          <w:color w:val="0070C0"/>
          <w:sz w:val="16"/>
        </w:rPr>
        <w:t>and</w:t>
      </w:r>
      <w:r>
        <w:rPr>
          <w:b/>
          <w:color w:val="0070C0"/>
          <w:spacing w:val="6"/>
          <w:sz w:val="16"/>
        </w:rPr>
        <w:t> </w:t>
      </w:r>
      <w:r>
        <w:rPr>
          <w:b/>
          <w:color w:val="0070C0"/>
          <w:spacing w:val="-2"/>
          <w:sz w:val="16"/>
        </w:rPr>
        <w:t>income</w:t>
      </w:r>
      <w:r>
        <w:rPr>
          <w:b/>
          <w:color w:val="0070C0"/>
          <w:sz w:val="16"/>
        </w:rPr>
        <w:tab/>
      </w:r>
      <w:r>
        <w:rPr>
          <w:b/>
          <w:spacing w:val="-2"/>
          <w:sz w:val="13"/>
        </w:rPr>
        <w:t>Consolidated</w:t>
      </w:r>
      <w:r>
        <w:rPr>
          <w:b/>
          <w:sz w:val="13"/>
        </w:rPr>
        <w:tab/>
      </w:r>
      <w:r>
        <w:rPr>
          <w:b/>
          <w:spacing w:val="-2"/>
          <w:sz w:val="13"/>
        </w:rPr>
        <w:t>University</w:t>
      </w:r>
    </w:p>
    <w:tbl>
      <w:tblPr>
        <w:tblW w:w="0" w:type="auto"/>
        <w:jc w:val="left"/>
        <w:tblInd w:w="8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708"/>
        <w:gridCol w:w="1033"/>
        <w:gridCol w:w="919"/>
        <w:gridCol w:w="919"/>
        <w:gridCol w:w="807"/>
      </w:tblGrid>
      <w:tr>
        <w:trPr>
          <w:trHeight w:val="363" w:hRule="atLeast"/>
        </w:trPr>
        <w:tc>
          <w:tcPr>
            <w:tcW w:w="4708" w:type="dxa"/>
          </w:tcPr>
          <w:p>
            <w:pPr>
              <w:pStyle w:val="TableParagraph"/>
              <w:rPr>
                <w:rFonts w:ascii="Times New Roman"/>
                <w:sz w:val="12"/>
              </w:rPr>
            </w:pPr>
          </w:p>
        </w:tc>
        <w:tc>
          <w:tcPr>
            <w:tcW w:w="1033" w:type="dxa"/>
            <w:tcBorders>
              <w:bottom w:val="single" w:sz="6" w:space="0" w:color="000000"/>
            </w:tcBorders>
          </w:tcPr>
          <w:p>
            <w:pPr>
              <w:pStyle w:val="TableParagraph"/>
              <w:spacing w:before="28"/>
              <w:ind w:left="314"/>
              <w:rPr>
                <w:b/>
                <w:sz w:val="13"/>
              </w:rPr>
            </w:pPr>
            <w:r>
              <w:rPr>
                <w:b/>
                <w:spacing w:val="-4"/>
                <w:w w:val="105"/>
                <w:sz w:val="13"/>
              </w:rPr>
              <w:t>2020</w:t>
            </w:r>
          </w:p>
          <w:p>
            <w:pPr>
              <w:pStyle w:val="TableParagraph"/>
              <w:spacing w:line="143" w:lineRule="exact" w:before="23"/>
              <w:ind w:left="298"/>
              <w:rPr>
                <w:b/>
                <w:sz w:val="13"/>
              </w:rPr>
            </w:pPr>
            <w:r>
              <w:rPr>
                <w:b/>
                <w:spacing w:val="-2"/>
                <w:w w:val="105"/>
                <w:sz w:val="13"/>
              </w:rPr>
              <w:t>$'000</w:t>
            </w:r>
          </w:p>
        </w:tc>
        <w:tc>
          <w:tcPr>
            <w:tcW w:w="919" w:type="dxa"/>
            <w:tcBorders>
              <w:bottom w:val="single" w:sz="6" w:space="0" w:color="000000"/>
            </w:tcBorders>
          </w:tcPr>
          <w:p>
            <w:pPr>
              <w:pStyle w:val="TableParagraph"/>
              <w:spacing w:before="28"/>
              <w:ind w:left="199"/>
              <w:rPr>
                <w:b/>
                <w:sz w:val="13"/>
              </w:rPr>
            </w:pPr>
            <w:r>
              <w:rPr>
                <w:b/>
                <w:spacing w:val="-4"/>
                <w:w w:val="105"/>
                <w:sz w:val="13"/>
              </w:rPr>
              <w:t>2019</w:t>
            </w:r>
          </w:p>
          <w:p>
            <w:pPr>
              <w:pStyle w:val="TableParagraph"/>
              <w:spacing w:line="143" w:lineRule="exact" w:before="23"/>
              <w:ind w:left="184"/>
              <w:rPr>
                <w:b/>
                <w:sz w:val="13"/>
              </w:rPr>
            </w:pPr>
            <w:r>
              <w:rPr>
                <w:b/>
                <w:spacing w:val="-2"/>
                <w:w w:val="105"/>
                <w:sz w:val="13"/>
              </w:rPr>
              <w:t>$'000</w:t>
            </w:r>
          </w:p>
        </w:tc>
        <w:tc>
          <w:tcPr>
            <w:tcW w:w="919" w:type="dxa"/>
            <w:tcBorders>
              <w:bottom w:val="single" w:sz="6" w:space="0" w:color="000000"/>
            </w:tcBorders>
          </w:tcPr>
          <w:p>
            <w:pPr>
              <w:pStyle w:val="TableParagraph"/>
              <w:spacing w:before="28"/>
              <w:ind w:left="199"/>
              <w:rPr>
                <w:b/>
                <w:sz w:val="13"/>
              </w:rPr>
            </w:pPr>
            <w:r>
              <w:rPr>
                <w:b/>
                <w:spacing w:val="-4"/>
                <w:w w:val="105"/>
                <w:sz w:val="13"/>
              </w:rPr>
              <w:t>2020</w:t>
            </w:r>
          </w:p>
          <w:p>
            <w:pPr>
              <w:pStyle w:val="TableParagraph"/>
              <w:spacing w:line="143" w:lineRule="exact" w:before="23"/>
              <w:ind w:left="184"/>
              <w:rPr>
                <w:b/>
                <w:sz w:val="13"/>
              </w:rPr>
            </w:pPr>
            <w:r>
              <w:rPr>
                <w:b/>
                <w:spacing w:val="-2"/>
                <w:w w:val="105"/>
                <w:sz w:val="13"/>
              </w:rPr>
              <w:t>$'000</w:t>
            </w:r>
          </w:p>
        </w:tc>
        <w:tc>
          <w:tcPr>
            <w:tcW w:w="807" w:type="dxa"/>
            <w:tcBorders>
              <w:bottom w:val="single" w:sz="6" w:space="0" w:color="000000"/>
            </w:tcBorders>
          </w:tcPr>
          <w:p>
            <w:pPr>
              <w:pStyle w:val="TableParagraph"/>
              <w:spacing w:before="28"/>
              <w:ind w:left="199"/>
              <w:rPr>
                <w:b/>
                <w:sz w:val="13"/>
              </w:rPr>
            </w:pPr>
            <w:r>
              <w:rPr>
                <w:b/>
                <w:spacing w:val="-4"/>
                <w:w w:val="105"/>
                <w:sz w:val="13"/>
              </w:rPr>
              <w:t>2019</w:t>
            </w:r>
          </w:p>
          <w:p>
            <w:pPr>
              <w:pStyle w:val="TableParagraph"/>
              <w:spacing w:line="143" w:lineRule="exact" w:before="23"/>
              <w:ind w:left="184"/>
              <w:rPr>
                <w:b/>
                <w:sz w:val="13"/>
              </w:rPr>
            </w:pPr>
            <w:r>
              <w:rPr>
                <w:b/>
                <w:spacing w:val="-2"/>
                <w:w w:val="105"/>
                <w:sz w:val="13"/>
              </w:rPr>
              <w:t>$'000</w:t>
            </w:r>
          </w:p>
        </w:tc>
      </w:tr>
      <w:tr>
        <w:trPr>
          <w:trHeight w:val="336" w:hRule="atLeast"/>
        </w:trPr>
        <w:tc>
          <w:tcPr>
            <w:tcW w:w="4708" w:type="dxa"/>
          </w:tcPr>
          <w:p>
            <w:pPr>
              <w:pStyle w:val="TableParagraph"/>
              <w:spacing w:line="144" w:lineRule="exact"/>
              <w:ind w:left="34"/>
              <w:rPr>
                <w:b/>
                <w:sz w:val="13"/>
              </w:rPr>
            </w:pPr>
            <w:r>
              <w:rPr>
                <w:b/>
                <w:spacing w:val="-2"/>
                <w:w w:val="105"/>
                <w:sz w:val="13"/>
              </w:rPr>
              <w:t>Investment</w:t>
            </w:r>
            <w:r>
              <w:rPr>
                <w:b/>
                <w:spacing w:val="8"/>
                <w:w w:val="105"/>
                <w:sz w:val="13"/>
              </w:rPr>
              <w:t> </w:t>
            </w:r>
            <w:r>
              <w:rPr>
                <w:b/>
                <w:spacing w:val="-2"/>
                <w:w w:val="105"/>
                <w:sz w:val="13"/>
              </w:rPr>
              <w:t>revenue</w:t>
            </w:r>
          </w:p>
          <w:p>
            <w:pPr>
              <w:pStyle w:val="TableParagraph"/>
              <w:spacing w:line="149" w:lineRule="exact" w:before="23"/>
              <w:ind w:left="34"/>
              <w:rPr>
                <w:sz w:val="13"/>
              </w:rPr>
            </w:pPr>
            <w:r>
              <w:rPr>
                <w:w w:val="105"/>
                <w:sz w:val="13"/>
              </w:rPr>
              <w:t>Dividend</w:t>
            </w:r>
            <w:r>
              <w:rPr>
                <w:spacing w:val="-8"/>
                <w:w w:val="105"/>
                <w:sz w:val="13"/>
              </w:rPr>
              <w:t> </w:t>
            </w:r>
            <w:r>
              <w:rPr>
                <w:spacing w:val="-2"/>
                <w:w w:val="105"/>
                <w:sz w:val="13"/>
              </w:rPr>
              <w:t>income</w:t>
            </w:r>
          </w:p>
        </w:tc>
        <w:tc>
          <w:tcPr>
            <w:tcW w:w="1033" w:type="dxa"/>
            <w:tcBorders>
              <w:top w:val="single" w:sz="6" w:space="0" w:color="000000"/>
            </w:tcBorders>
          </w:tcPr>
          <w:p>
            <w:pPr>
              <w:pStyle w:val="TableParagraph"/>
              <w:spacing w:before="18"/>
              <w:rPr>
                <w:b/>
                <w:sz w:val="13"/>
              </w:rPr>
            </w:pPr>
          </w:p>
          <w:p>
            <w:pPr>
              <w:pStyle w:val="TableParagraph"/>
              <w:spacing w:line="149" w:lineRule="exact"/>
              <w:ind w:right="185"/>
              <w:jc w:val="right"/>
              <w:rPr>
                <w:sz w:val="13"/>
              </w:rPr>
            </w:pPr>
            <w:r>
              <w:rPr>
                <w:spacing w:val="-2"/>
                <w:w w:val="105"/>
                <w:sz w:val="13"/>
              </w:rPr>
              <w:t>3,994</w:t>
            </w:r>
          </w:p>
        </w:tc>
        <w:tc>
          <w:tcPr>
            <w:tcW w:w="919" w:type="dxa"/>
            <w:tcBorders>
              <w:top w:val="single" w:sz="6" w:space="0" w:color="000000"/>
            </w:tcBorders>
          </w:tcPr>
          <w:p>
            <w:pPr>
              <w:pStyle w:val="TableParagraph"/>
              <w:spacing w:before="18"/>
              <w:rPr>
                <w:b/>
                <w:sz w:val="13"/>
              </w:rPr>
            </w:pPr>
          </w:p>
          <w:p>
            <w:pPr>
              <w:pStyle w:val="TableParagraph"/>
              <w:spacing w:line="149" w:lineRule="exact"/>
              <w:ind w:right="185"/>
              <w:jc w:val="right"/>
              <w:rPr>
                <w:sz w:val="13"/>
              </w:rPr>
            </w:pPr>
            <w:r>
              <w:rPr>
                <w:spacing w:val="-5"/>
                <w:w w:val="105"/>
                <w:sz w:val="13"/>
              </w:rPr>
              <w:t>693</w:t>
            </w:r>
          </w:p>
        </w:tc>
        <w:tc>
          <w:tcPr>
            <w:tcW w:w="919" w:type="dxa"/>
            <w:tcBorders>
              <w:top w:val="single" w:sz="6" w:space="0" w:color="000000"/>
            </w:tcBorders>
          </w:tcPr>
          <w:p>
            <w:pPr>
              <w:pStyle w:val="TableParagraph"/>
              <w:spacing w:before="18"/>
              <w:rPr>
                <w:b/>
                <w:sz w:val="13"/>
              </w:rPr>
            </w:pPr>
          </w:p>
          <w:p>
            <w:pPr>
              <w:pStyle w:val="TableParagraph"/>
              <w:spacing w:line="149" w:lineRule="exact"/>
              <w:ind w:right="185"/>
              <w:jc w:val="right"/>
              <w:rPr>
                <w:sz w:val="13"/>
              </w:rPr>
            </w:pPr>
            <w:r>
              <w:rPr>
                <w:spacing w:val="-2"/>
                <w:w w:val="105"/>
                <w:sz w:val="13"/>
              </w:rPr>
              <w:t>3,994</w:t>
            </w:r>
          </w:p>
        </w:tc>
        <w:tc>
          <w:tcPr>
            <w:tcW w:w="807" w:type="dxa"/>
            <w:tcBorders>
              <w:top w:val="single" w:sz="6" w:space="0" w:color="000000"/>
            </w:tcBorders>
          </w:tcPr>
          <w:p>
            <w:pPr>
              <w:pStyle w:val="TableParagraph"/>
              <w:spacing w:before="18"/>
              <w:rPr>
                <w:b/>
                <w:sz w:val="13"/>
              </w:rPr>
            </w:pPr>
          </w:p>
          <w:p>
            <w:pPr>
              <w:pStyle w:val="TableParagraph"/>
              <w:spacing w:line="149" w:lineRule="exact"/>
              <w:ind w:right="74"/>
              <w:jc w:val="right"/>
              <w:rPr>
                <w:sz w:val="13"/>
              </w:rPr>
            </w:pPr>
            <w:r>
              <w:rPr>
                <w:spacing w:val="-5"/>
                <w:w w:val="105"/>
                <w:sz w:val="13"/>
              </w:rPr>
              <w:t>693</w:t>
            </w:r>
          </w:p>
        </w:tc>
      </w:tr>
      <w:tr>
        <w:trPr>
          <w:trHeight w:val="172" w:hRule="atLeast"/>
        </w:trPr>
        <w:tc>
          <w:tcPr>
            <w:tcW w:w="4708" w:type="dxa"/>
          </w:tcPr>
          <w:p>
            <w:pPr>
              <w:pStyle w:val="TableParagraph"/>
              <w:spacing w:line="149" w:lineRule="exact" w:before="3"/>
              <w:ind w:left="34"/>
              <w:rPr>
                <w:sz w:val="13"/>
              </w:rPr>
            </w:pPr>
            <w:r>
              <w:rPr>
                <w:spacing w:val="-2"/>
                <w:w w:val="105"/>
                <w:sz w:val="13"/>
              </w:rPr>
              <w:t>Interest</w:t>
            </w:r>
            <w:r>
              <w:rPr>
                <w:spacing w:val="6"/>
                <w:w w:val="105"/>
                <w:sz w:val="13"/>
              </w:rPr>
              <w:t> </w:t>
            </w:r>
            <w:r>
              <w:rPr>
                <w:spacing w:val="-2"/>
                <w:w w:val="105"/>
                <w:sz w:val="13"/>
              </w:rPr>
              <w:t>income</w:t>
            </w:r>
          </w:p>
        </w:tc>
        <w:tc>
          <w:tcPr>
            <w:tcW w:w="1033" w:type="dxa"/>
          </w:tcPr>
          <w:p>
            <w:pPr>
              <w:pStyle w:val="TableParagraph"/>
              <w:spacing w:line="149" w:lineRule="exact" w:before="3"/>
              <w:ind w:right="185"/>
              <w:jc w:val="right"/>
              <w:rPr>
                <w:sz w:val="13"/>
              </w:rPr>
            </w:pPr>
            <w:r>
              <w:rPr>
                <w:spacing w:val="-2"/>
                <w:w w:val="105"/>
                <w:sz w:val="13"/>
              </w:rPr>
              <w:t>1,172</w:t>
            </w:r>
          </w:p>
        </w:tc>
        <w:tc>
          <w:tcPr>
            <w:tcW w:w="919" w:type="dxa"/>
          </w:tcPr>
          <w:p>
            <w:pPr>
              <w:pStyle w:val="TableParagraph"/>
              <w:spacing w:line="149" w:lineRule="exact" w:before="3"/>
              <w:ind w:right="185"/>
              <w:jc w:val="right"/>
              <w:rPr>
                <w:sz w:val="13"/>
              </w:rPr>
            </w:pPr>
            <w:r>
              <w:rPr>
                <w:spacing w:val="-2"/>
                <w:w w:val="105"/>
                <w:sz w:val="13"/>
              </w:rPr>
              <w:t>1,670</w:t>
            </w:r>
          </w:p>
        </w:tc>
        <w:tc>
          <w:tcPr>
            <w:tcW w:w="919" w:type="dxa"/>
          </w:tcPr>
          <w:p>
            <w:pPr>
              <w:pStyle w:val="TableParagraph"/>
              <w:spacing w:line="149" w:lineRule="exact" w:before="3"/>
              <w:ind w:right="185"/>
              <w:jc w:val="right"/>
              <w:rPr>
                <w:sz w:val="13"/>
              </w:rPr>
            </w:pPr>
            <w:r>
              <w:rPr>
                <w:spacing w:val="-2"/>
                <w:w w:val="105"/>
                <w:sz w:val="13"/>
              </w:rPr>
              <w:t>1,157</w:t>
            </w:r>
          </w:p>
        </w:tc>
        <w:tc>
          <w:tcPr>
            <w:tcW w:w="807" w:type="dxa"/>
          </w:tcPr>
          <w:p>
            <w:pPr>
              <w:pStyle w:val="TableParagraph"/>
              <w:spacing w:line="149" w:lineRule="exact" w:before="3"/>
              <w:ind w:right="74"/>
              <w:jc w:val="right"/>
              <w:rPr>
                <w:sz w:val="13"/>
              </w:rPr>
            </w:pPr>
            <w:r>
              <w:rPr>
                <w:spacing w:val="-2"/>
                <w:w w:val="105"/>
                <w:sz w:val="13"/>
              </w:rPr>
              <w:t>1,560</w:t>
            </w:r>
          </w:p>
        </w:tc>
      </w:tr>
      <w:tr>
        <w:trPr>
          <w:trHeight w:val="172" w:hRule="atLeast"/>
        </w:trPr>
        <w:tc>
          <w:tcPr>
            <w:tcW w:w="4708" w:type="dxa"/>
          </w:tcPr>
          <w:p>
            <w:pPr>
              <w:pStyle w:val="TableParagraph"/>
              <w:spacing w:line="149" w:lineRule="exact" w:before="3"/>
              <w:ind w:left="34"/>
              <w:rPr>
                <w:sz w:val="13"/>
              </w:rPr>
            </w:pPr>
            <w:r>
              <w:rPr>
                <w:w w:val="105"/>
                <w:sz w:val="13"/>
              </w:rPr>
              <w:t>Trust</w:t>
            </w:r>
            <w:r>
              <w:rPr>
                <w:spacing w:val="-3"/>
                <w:w w:val="105"/>
                <w:sz w:val="13"/>
              </w:rPr>
              <w:t> </w:t>
            </w:r>
            <w:r>
              <w:rPr>
                <w:spacing w:val="-2"/>
                <w:w w:val="105"/>
                <w:sz w:val="13"/>
              </w:rPr>
              <w:t>distributions</w:t>
            </w:r>
          </w:p>
        </w:tc>
        <w:tc>
          <w:tcPr>
            <w:tcW w:w="1033" w:type="dxa"/>
          </w:tcPr>
          <w:p>
            <w:pPr>
              <w:pStyle w:val="TableParagraph"/>
              <w:spacing w:line="149" w:lineRule="exact" w:before="3"/>
              <w:ind w:right="185"/>
              <w:jc w:val="right"/>
              <w:rPr>
                <w:sz w:val="13"/>
              </w:rPr>
            </w:pPr>
            <w:r>
              <w:rPr>
                <w:spacing w:val="-2"/>
                <w:w w:val="105"/>
                <w:sz w:val="13"/>
              </w:rPr>
              <w:t>21,315</w:t>
            </w:r>
          </w:p>
        </w:tc>
        <w:tc>
          <w:tcPr>
            <w:tcW w:w="919" w:type="dxa"/>
          </w:tcPr>
          <w:p>
            <w:pPr>
              <w:pStyle w:val="TableParagraph"/>
              <w:spacing w:line="149" w:lineRule="exact" w:before="3"/>
              <w:ind w:right="185"/>
              <w:jc w:val="right"/>
              <w:rPr>
                <w:sz w:val="13"/>
              </w:rPr>
            </w:pPr>
            <w:r>
              <w:rPr>
                <w:spacing w:val="-2"/>
                <w:w w:val="105"/>
                <w:sz w:val="13"/>
              </w:rPr>
              <w:t>30,471</w:t>
            </w:r>
          </w:p>
        </w:tc>
        <w:tc>
          <w:tcPr>
            <w:tcW w:w="919" w:type="dxa"/>
          </w:tcPr>
          <w:p>
            <w:pPr>
              <w:pStyle w:val="TableParagraph"/>
              <w:spacing w:line="149" w:lineRule="exact" w:before="3"/>
              <w:ind w:right="185"/>
              <w:jc w:val="right"/>
              <w:rPr>
                <w:sz w:val="13"/>
              </w:rPr>
            </w:pPr>
            <w:r>
              <w:rPr>
                <w:spacing w:val="-2"/>
                <w:w w:val="105"/>
                <w:sz w:val="13"/>
              </w:rPr>
              <w:t>21,315</w:t>
            </w:r>
          </w:p>
        </w:tc>
        <w:tc>
          <w:tcPr>
            <w:tcW w:w="807" w:type="dxa"/>
          </w:tcPr>
          <w:p>
            <w:pPr>
              <w:pStyle w:val="TableParagraph"/>
              <w:spacing w:line="149" w:lineRule="exact" w:before="3"/>
              <w:ind w:right="73"/>
              <w:jc w:val="right"/>
              <w:rPr>
                <w:sz w:val="13"/>
              </w:rPr>
            </w:pPr>
            <w:r>
              <w:rPr>
                <w:spacing w:val="-2"/>
                <w:w w:val="105"/>
                <w:sz w:val="13"/>
              </w:rPr>
              <w:t>30,471</w:t>
            </w:r>
          </w:p>
        </w:tc>
      </w:tr>
      <w:tr>
        <w:trPr>
          <w:trHeight w:val="166" w:hRule="atLeast"/>
        </w:trPr>
        <w:tc>
          <w:tcPr>
            <w:tcW w:w="4708" w:type="dxa"/>
          </w:tcPr>
          <w:p>
            <w:pPr>
              <w:pStyle w:val="TableParagraph"/>
              <w:spacing w:line="143" w:lineRule="exact" w:before="3"/>
              <w:ind w:left="35"/>
              <w:rPr>
                <w:sz w:val="13"/>
              </w:rPr>
            </w:pPr>
            <w:r>
              <w:rPr>
                <w:spacing w:val="-2"/>
                <w:w w:val="105"/>
                <w:sz w:val="13"/>
              </w:rPr>
              <w:t>Imputation</w:t>
            </w:r>
            <w:r>
              <w:rPr>
                <w:spacing w:val="7"/>
                <w:w w:val="105"/>
                <w:sz w:val="13"/>
              </w:rPr>
              <w:t> </w:t>
            </w:r>
            <w:r>
              <w:rPr>
                <w:spacing w:val="-2"/>
                <w:w w:val="105"/>
                <w:sz w:val="13"/>
              </w:rPr>
              <w:t>credits</w:t>
            </w:r>
          </w:p>
        </w:tc>
        <w:tc>
          <w:tcPr>
            <w:tcW w:w="1033" w:type="dxa"/>
            <w:tcBorders>
              <w:bottom w:val="single" w:sz="6" w:space="0" w:color="000000"/>
            </w:tcBorders>
          </w:tcPr>
          <w:p>
            <w:pPr>
              <w:pStyle w:val="TableParagraph"/>
              <w:spacing w:line="143" w:lineRule="exact" w:before="3"/>
              <w:ind w:right="185"/>
              <w:jc w:val="right"/>
              <w:rPr>
                <w:sz w:val="13"/>
              </w:rPr>
            </w:pPr>
            <w:r>
              <w:rPr>
                <w:spacing w:val="-2"/>
                <w:w w:val="105"/>
                <w:sz w:val="13"/>
              </w:rPr>
              <w:t>3,547</w:t>
            </w:r>
          </w:p>
        </w:tc>
        <w:tc>
          <w:tcPr>
            <w:tcW w:w="919" w:type="dxa"/>
            <w:tcBorders>
              <w:bottom w:val="single" w:sz="6" w:space="0" w:color="000000"/>
            </w:tcBorders>
          </w:tcPr>
          <w:p>
            <w:pPr>
              <w:pStyle w:val="TableParagraph"/>
              <w:spacing w:line="143" w:lineRule="exact" w:before="3"/>
              <w:ind w:right="185"/>
              <w:jc w:val="right"/>
              <w:rPr>
                <w:sz w:val="13"/>
              </w:rPr>
            </w:pPr>
            <w:r>
              <w:rPr>
                <w:spacing w:val="-2"/>
                <w:w w:val="105"/>
                <w:sz w:val="13"/>
              </w:rPr>
              <w:t>6,542</w:t>
            </w:r>
          </w:p>
        </w:tc>
        <w:tc>
          <w:tcPr>
            <w:tcW w:w="919" w:type="dxa"/>
            <w:tcBorders>
              <w:bottom w:val="single" w:sz="6" w:space="0" w:color="000000"/>
            </w:tcBorders>
          </w:tcPr>
          <w:p>
            <w:pPr>
              <w:pStyle w:val="TableParagraph"/>
              <w:spacing w:line="143" w:lineRule="exact" w:before="3"/>
              <w:ind w:right="185"/>
              <w:jc w:val="right"/>
              <w:rPr>
                <w:sz w:val="13"/>
              </w:rPr>
            </w:pPr>
            <w:r>
              <w:rPr>
                <w:spacing w:val="-2"/>
                <w:w w:val="105"/>
                <w:sz w:val="13"/>
              </w:rPr>
              <w:t>3,547</w:t>
            </w:r>
          </w:p>
        </w:tc>
        <w:tc>
          <w:tcPr>
            <w:tcW w:w="807" w:type="dxa"/>
            <w:tcBorders>
              <w:bottom w:val="single" w:sz="6" w:space="0" w:color="000000"/>
            </w:tcBorders>
          </w:tcPr>
          <w:p>
            <w:pPr>
              <w:pStyle w:val="TableParagraph"/>
              <w:spacing w:line="143" w:lineRule="exact" w:before="3"/>
              <w:ind w:right="73"/>
              <w:jc w:val="right"/>
              <w:rPr>
                <w:sz w:val="13"/>
              </w:rPr>
            </w:pPr>
            <w:r>
              <w:rPr>
                <w:spacing w:val="-2"/>
                <w:w w:val="105"/>
                <w:sz w:val="13"/>
              </w:rPr>
              <w:t>6,542</w:t>
            </w:r>
          </w:p>
        </w:tc>
      </w:tr>
      <w:tr>
        <w:trPr>
          <w:trHeight w:val="157" w:hRule="atLeast"/>
        </w:trPr>
        <w:tc>
          <w:tcPr>
            <w:tcW w:w="4708" w:type="dxa"/>
          </w:tcPr>
          <w:p>
            <w:pPr>
              <w:pStyle w:val="TableParagraph"/>
              <w:spacing w:line="138" w:lineRule="exact"/>
              <w:ind w:left="35"/>
              <w:rPr>
                <w:b/>
                <w:sz w:val="13"/>
              </w:rPr>
            </w:pPr>
            <w:r>
              <w:rPr>
                <w:b/>
                <w:w w:val="105"/>
                <w:sz w:val="13"/>
              </w:rPr>
              <w:t>Total</w:t>
            </w:r>
            <w:r>
              <w:rPr>
                <w:b/>
                <w:spacing w:val="-8"/>
                <w:w w:val="105"/>
                <w:sz w:val="13"/>
              </w:rPr>
              <w:t> </w:t>
            </w:r>
            <w:r>
              <w:rPr>
                <w:b/>
                <w:w w:val="105"/>
                <w:sz w:val="13"/>
              </w:rPr>
              <w:t>investment</w:t>
            </w:r>
            <w:r>
              <w:rPr>
                <w:b/>
                <w:spacing w:val="-7"/>
                <w:w w:val="105"/>
                <w:sz w:val="13"/>
              </w:rPr>
              <w:t> </w:t>
            </w:r>
            <w:r>
              <w:rPr>
                <w:b/>
                <w:spacing w:val="-2"/>
                <w:w w:val="105"/>
                <w:sz w:val="13"/>
              </w:rPr>
              <w:t>revenue</w:t>
            </w:r>
          </w:p>
        </w:tc>
        <w:tc>
          <w:tcPr>
            <w:tcW w:w="1033" w:type="dxa"/>
            <w:tcBorders>
              <w:top w:val="single" w:sz="6" w:space="0" w:color="000000"/>
              <w:bottom w:val="single" w:sz="6" w:space="0" w:color="000000"/>
            </w:tcBorders>
          </w:tcPr>
          <w:p>
            <w:pPr>
              <w:pStyle w:val="TableParagraph"/>
              <w:spacing w:line="138" w:lineRule="exact"/>
              <w:ind w:right="184"/>
              <w:jc w:val="right"/>
              <w:rPr>
                <w:b/>
                <w:sz w:val="13"/>
              </w:rPr>
            </w:pPr>
            <w:r>
              <w:rPr>
                <w:b/>
                <w:spacing w:val="-2"/>
                <w:w w:val="105"/>
                <w:sz w:val="13"/>
              </w:rPr>
              <w:t>30,028</w:t>
            </w:r>
          </w:p>
        </w:tc>
        <w:tc>
          <w:tcPr>
            <w:tcW w:w="919" w:type="dxa"/>
            <w:tcBorders>
              <w:top w:val="single" w:sz="6" w:space="0" w:color="000000"/>
              <w:bottom w:val="single" w:sz="6" w:space="0" w:color="000000"/>
            </w:tcBorders>
          </w:tcPr>
          <w:p>
            <w:pPr>
              <w:pStyle w:val="TableParagraph"/>
              <w:spacing w:line="138" w:lineRule="exact"/>
              <w:ind w:right="185"/>
              <w:jc w:val="right"/>
              <w:rPr>
                <w:b/>
                <w:sz w:val="13"/>
              </w:rPr>
            </w:pPr>
            <w:r>
              <w:rPr>
                <w:b/>
                <w:spacing w:val="-2"/>
                <w:w w:val="105"/>
                <w:sz w:val="13"/>
              </w:rPr>
              <w:t>39,376</w:t>
            </w:r>
          </w:p>
        </w:tc>
        <w:tc>
          <w:tcPr>
            <w:tcW w:w="919" w:type="dxa"/>
            <w:tcBorders>
              <w:top w:val="single" w:sz="6" w:space="0" w:color="000000"/>
              <w:bottom w:val="single" w:sz="6" w:space="0" w:color="000000"/>
            </w:tcBorders>
          </w:tcPr>
          <w:p>
            <w:pPr>
              <w:pStyle w:val="TableParagraph"/>
              <w:spacing w:line="138" w:lineRule="exact"/>
              <w:ind w:right="185"/>
              <w:jc w:val="right"/>
              <w:rPr>
                <w:b/>
                <w:sz w:val="13"/>
              </w:rPr>
            </w:pPr>
            <w:r>
              <w:rPr>
                <w:b/>
                <w:spacing w:val="-2"/>
                <w:w w:val="105"/>
                <w:sz w:val="13"/>
              </w:rPr>
              <w:t>30,013</w:t>
            </w:r>
          </w:p>
        </w:tc>
        <w:tc>
          <w:tcPr>
            <w:tcW w:w="807" w:type="dxa"/>
            <w:tcBorders>
              <w:top w:val="single" w:sz="6" w:space="0" w:color="000000"/>
              <w:bottom w:val="single" w:sz="6" w:space="0" w:color="000000"/>
            </w:tcBorders>
          </w:tcPr>
          <w:p>
            <w:pPr>
              <w:pStyle w:val="TableParagraph"/>
              <w:spacing w:line="138" w:lineRule="exact"/>
              <w:ind w:right="73"/>
              <w:jc w:val="right"/>
              <w:rPr>
                <w:b/>
                <w:sz w:val="13"/>
              </w:rPr>
            </w:pPr>
            <w:r>
              <w:rPr>
                <w:b/>
                <w:spacing w:val="-2"/>
                <w:w w:val="105"/>
                <w:sz w:val="13"/>
              </w:rPr>
              <w:t>39,266</w:t>
            </w:r>
          </w:p>
        </w:tc>
      </w:tr>
      <w:tr>
        <w:trPr>
          <w:trHeight w:val="503" w:hRule="atLeast"/>
        </w:trPr>
        <w:tc>
          <w:tcPr>
            <w:tcW w:w="4708" w:type="dxa"/>
          </w:tcPr>
          <w:p>
            <w:pPr>
              <w:pStyle w:val="TableParagraph"/>
              <w:spacing w:before="18"/>
              <w:rPr>
                <w:b/>
                <w:sz w:val="13"/>
              </w:rPr>
            </w:pPr>
          </w:p>
          <w:p>
            <w:pPr>
              <w:pStyle w:val="TableParagraph"/>
              <w:ind w:left="35"/>
              <w:rPr>
                <w:b/>
                <w:sz w:val="13"/>
              </w:rPr>
            </w:pPr>
            <w:r>
              <w:rPr>
                <w:b/>
                <w:w w:val="105"/>
                <w:sz w:val="13"/>
              </w:rPr>
              <w:t>Other</w:t>
            </w:r>
            <w:r>
              <w:rPr>
                <w:b/>
                <w:spacing w:val="-9"/>
                <w:w w:val="105"/>
                <w:sz w:val="13"/>
              </w:rPr>
              <w:t> </w:t>
            </w:r>
            <w:r>
              <w:rPr>
                <w:b/>
                <w:w w:val="105"/>
                <w:sz w:val="13"/>
              </w:rPr>
              <w:t>investment</w:t>
            </w:r>
            <w:r>
              <w:rPr>
                <w:b/>
                <w:spacing w:val="-7"/>
                <w:w w:val="105"/>
                <w:sz w:val="13"/>
              </w:rPr>
              <w:t> </w:t>
            </w:r>
            <w:r>
              <w:rPr>
                <w:b/>
                <w:spacing w:val="-2"/>
                <w:w w:val="105"/>
                <w:sz w:val="13"/>
              </w:rPr>
              <w:t>income</w:t>
            </w:r>
          </w:p>
          <w:p>
            <w:pPr>
              <w:pStyle w:val="TableParagraph"/>
              <w:spacing w:line="143" w:lineRule="exact" w:before="23"/>
              <w:ind w:left="35"/>
              <w:rPr>
                <w:sz w:val="13"/>
              </w:rPr>
            </w:pPr>
            <w:r>
              <w:rPr>
                <w:w w:val="105"/>
                <w:sz w:val="13"/>
              </w:rPr>
              <w:t>Other</w:t>
            </w:r>
            <w:r>
              <w:rPr>
                <w:spacing w:val="-8"/>
                <w:w w:val="105"/>
                <w:sz w:val="13"/>
              </w:rPr>
              <w:t> </w:t>
            </w:r>
            <w:r>
              <w:rPr>
                <w:w w:val="105"/>
                <w:sz w:val="13"/>
              </w:rPr>
              <w:t>investment</w:t>
            </w:r>
            <w:r>
              <w:rPr>
                <w:spacing w:val="-9"/>
                <w:w w:val="105"/>
                <w:sz w:val="13"/>
              </w:rPr>
              <w:t> </w:t>
            </w:r>
            <w:r>
              <w:rPr>
                <w:spacing w:val="-2"/>
                <w:w w:val="105"/>
                <w:sz w:val="13"/>
              </w:rPr>
              <w:t>income</w:t>
            </w:r>
          </w:p>
        </w:tc>
        <w:tc>
          <w:tcPr>
            <w:tcW w:w="1033" w:type="dxa"/>
            <w:tcBorders>
              <w:top w:val="single" w:sz="6" w:space="0" w:color="000000"/>
              <w:bottom w:val="single" w:sz="6" w:space="0" w:color="000000"/>
            </w:tcBorders>
          </w:tcPr>
          <w:p>
            <w:pPr>
              <w:pStyle w:val="TableParagraph"/>
              <w:rPr>
                <w:b/>
                <w:sz w:val="13"/>
              </w:rPr>
            </w:pPr>
          </w:p>
          <w:p>
            <w:pPr>
              <w:pStyle w:val="TableParagraph"/>
              <w:spacing w:before="41"/>
              <w:rPr>
                <w:b/>
                <w:sz w:val="13"/>
              </w:rPr>
            </w:pPr>
          </w:p>
          <w:p>
            <w:pPr>
              <w:pStyle w:val="TableParagraph"/>
              <w:spacing w:line="143" w:lineRule="exact"/>
              <w:ind w:right="184"/>
              <w:jc w:val="right"/>
              <w:rPr>
                <w:sz w:val="13"/>
              </w:rPr>
            </w:pPr>
            <w:r>
              <w:rPr>
                <w:spacing w:val="-2"/>
                <w:w w:val="105"/>
                <w:sz w:val="13"/>
              </w:rPr>
              <w:t>2,632</w:t>
            </w:r>
          </w:p>
        </w:tc>
        <w:tc>
          <w:tcPr>
            <w:tcW w:w="919" w:type="dxa"/>
            <w:tcBorders>
              <w:top w:val="single" w:sz="6" w:space="0" w:color="000000"/>
              <w:bottom w:val="single" w:sz="6" w:space="0" w:color="000000"/>
            </w:tcBorders>
          </w:tcPr>
          <w:p>
            <w:pPr>
              <w:pStyle w:val="TableParagraph"/>
              <w:rPr>
                <w:b/>
                <w:sz w:val="13"/>
              </w:rPr>
            </w:pPr>
          </w:p>
          <w:p>
            <w:pPr>
              <w:pStyle w:val="TableParagraph"/>
              <w:spacing w:before="41"/>
              <w:rPr>
                <w:b/>
                <w:sz w:val="13"/>
              </w:rPr>
            </w:pPr>
          </w:p>
          <w:p>
            <w:pPr>
              <w:pStyle w:val="TableParagraph"/>
              <w:spacing w:line="143" w:lineRule="exact"/>
              <w:ind w:right="184"/>
              <w:jc w:val="right"/>
              <w:rPr>
                <w:sz w:val="13"/>
              </w:rPr>
            </w:pPr>
            <w:r>
              <w:rPr>
                <w:spacing w:val="-2"/>
                <w:w w:val="105"/>
                <w:sz w:val="13"/>
              </w:rPr>
              <w:t>2,890</w:t>
            </w:r>
          </w:p>
        </w:tc>
        <w:tc>
          <w:tcPr>
            <w:tcW w:w="919" w:type="dxa"/>
            <w:tcBorders>
              <w:top w:val="single" w:sz="6" w:space="0" w:color="000000"/>
              <w:bottom w:val="single" w:sz="6" w:space="0" w:color="000000"/>
            </w:tcBorders>
          </w:tcPr>
          <w:p>
            <w:pPr>
              <w:pStyle w:val="TableParagraph"/>
              <w:rPr>
                <w:b/>
                <w:sz w:val="13"/>
              </w:rPr>
            </w:pPr>
          </w:p>
          <w:p>
            <w:pPr>
              <w:pStyle w:val="TableParagraph"/>
              <w:spacing w:before="41"/>
              <w:rPr>
                <w:b/>
                <w:sz w:val="13"/>
              </w:rPr>
            </w:pPr>
          </w:p>
          <w:p>
            <w:pPr>
              <w:pStyle w:val="TableParagraph"/>
              <w:spacing w:line="143" w:lineRule="exact"/>
              <w:ind w:right="185"/>
              <w:jc w:val="right"/>
              <w:rPr>
                <w:sz w:val="13"/>
              </w:rPr>
            </w:pPr>
            <w:r>
              <w:rPr>
                <w:spacing w:val="-2"/>
                <w:w w:val="105"/>
                <w:sz w:val="13"/>
              </w:rPr>
              <w:t>2,632</w:t>
            </w:r>
          </w:p>
        </w:tc>
        <w:tc>
          <w:tcPr>
            <w:tcW w:w="807" w:type="dxa"/>
            <w:tcBorders>
              <w:top w:val="single" w:sz="6" w:space="0" w:color="000000"/>
              <w:bottom w:val="single" w:sz="6" w:space="0" w:color="000000"/>
            </w:tcBorders>
          </w:tcPr>
          <w:p>
            <w:pPr>
              <w:pStyle w:val="TableParagraph"/>
              <w:rPr>
                <w:b/>
                <w:sz w:val="13"/>
              </w:rPr>
            </w:pPr>
          </w:p>
          <w:p>
            <w:pPr>
              <w:pStyle w:val="TableParagraph"/>
              <w:spacing w:before="41"/>
              <w:rPr>
                <w:b/>
                <w:sz w:val="13"/>
              </w:rPr>
            </w:pPr>
          </w:p>
          <w:p>
            <w:pPr>
              <w:pStyle w:val="TableParagraph"/>
              <w:spacing w:line="143" w:lineRule="exact"/>
              <w:ind w:right="73"/>
              <w:jc w:val="right"/>
              <w:rPr>
                <w:sz w:val="13"/>
              </w:rPr>
            </w:pPr>
            <w:r>
              <w:rPr>
                <w:spacing w:val="-2"/>
                <w:w w:val="105"/>
                <w:sz w:val="13"/>
              </w:rPr>
              <w:t>2,890</w:t>
            </w:r>
          </w:p>
        </w:tc>
      </w:tr>
      <w:tr>
        <w:trPr>
          <w:trHeight w:val="157" w:hRule="atLeast"/>
        </w:trPr>
        <w:tc>
          <w:tcPr>
            <w:tcW w:w="4708" w:type="dxa"/>
          </w:tcPr>
          <w:p>
            <w:pPr>
              <w:pStyle w:val="TableParagraph"/>
              <w:spacing w:line="138" w:lineRule="exact"/>
              <w:ind w:left="35"/>
              <w:rPr>
                <w:b/>
                <w:sz w:val="13"/>
              </w:rPr>
            </w:pPr>
            <w:r>
              <w:rPr>
                <w:b/>
                <w:w w:val="105"/>
                <w:sz w:val="13"/>
              </w:rPr>
              <w:t>Total</w:t>
            </w:r>
            <w:r>
              <w:rPr>
                <w:b/>
                <w:spacing w:val="-7"/>
                <w:w w:val="105"/>
                <w:sz w:val="13"/>
              </w:rPr>
              <w:t> </w:t>
            </w:r>
            <w:r>
              <w:rPr>
                <w:b/>
                <w:w w:val="105"/>
                <w:sz w:val="13"/>
              </w:rPr>
              <w:t>other</w:t>
            </w:r>
            <w:r>
              <w:rPr>
                <w:b/>
                <w:spacing w:val="-6"/>
                <w:w w:val="105"/>
                <w:sz w:val="13"/>
              </w:rPr>
              <w:t> </w:t>
            </w:r>
            <w:r>
              <w:rPr>
                <w:b/>
                <w:w w:val="105"/>
                <w:sz w:val="13"/>
              </w:rPr>
              <w:t>investment</w:t>
            </w:r>
            <w:r>
              <w:rPr>
                <w:b/>
                <w:spacing w:val="-5"/>
                <w:w w:val="105"/>
                <w:sz w:val="13"/>
              </w:rPr>
              <w:t> </w:t>
            </w:r>
            <w:r>
              <w:rPr>
                <w:b/>
                <w:spacing w:val="-2"/>
                <w:w w:val="105"/>
                <w:sz w:val="13"/>
              </w:rPr>
              <w:t>income</w:t>
            </w:r>
          </w:p>
        </w:tc>
        <w:tc>
          <w:tcPr>
            <w:tcW w:w="1033" w:type="dxa"/>
            <w:tcBorders>
              <w:top w:val="single" w:sz="6" w:space="0" w:color="000000"/>
              <w:bottom w:val="single" w:sz="6" w:space="0" w:color="000000"/>
            </w:tcBorders>
          </w:tcPr>
          <w:p>
            <w:pPr>
              <w:pStyle w:val="TableParagraph"/>
              <w:spacing w:line="138" w:lineRule="exact"/>
              <w:ind w:right="184"/>
              <w:jc w:val="right"/>
              <w:rPr>
                <w:b/>
                <w:sz w:val="13"/>
              </w:rPr>
            </w:pPr>
            <w:r>
              <w:rPr>
                <w:b/>
                <w:spacing w:val="-2"/>
                <w:w w:val="105"/>
                <w:sz w:val="13"/>
              </w:rPr>
              <w:t>2,632</w:t>
            </w:r>
          </w:p>
        </w:tc>
        <w:tc>
          <w:tcPr>
            <w:tcW w:w="919" w:type="dxa"/>
            <w:tcBorders>
              <w:top w:val="single" w:sz="6" w:space="0" w:color="000000"/>
              <w:bottom w:val="single" w:sz="6" w:space="0" w:color="000000"/>
            </w:tcBorders>
          </w:tcPr>
          <w:p>
            <w:pPr>
              <w:pStyle w:val="TableParagraph"/>
              <w:spacing w:line="138" w:lineRule="exact"/>
              <w:ind w:right="184"/>
              <w:jc w:val="right"/>
              <w:rPr>
                <w:b/>
                <w:sz w:val="13"/>
              </w:rPr>
            </w:pPr>
            <w:r>
              <w:rPr>
                <w:b/>
                <w:spacing w:val="-2"/>
                <w:w w:val="105"/>
                <w:sz w:val="13"/>
              </w:rPr>
              <w:t>2,890</w:t>
            </w:r>
          </w:p>
        </w:tc>
        <w:tc>
          <w:tcPr>
            <w:tcW w:w="919" w:type="dxa"/>
            <w:tcBorders>
              <w:top w:val="single" w:sz="6" w:space="0" w:color="000000"/>
              <w:bottom w:val="single" w:sz="6" w:space="0" w:color="000000"/>
            </w:tcBorders>
          </w:tcPr>
          <w:p>
            <w:pPr>
              <w:pStyle w:val="TableParagraph"/>
              <w:spacing w:line="138" w:lineRule="exact"/>
              <w:ind w:right="184"/>
              <w:jc w:val="right"/>
              <w:rPr>
                <w:b/>
                <w:sz w:val="13"/>
              </w:rPr>
            </w:pPr>
            <w:r>
              <w:rPr>
                <w:b/>
                <w:spacing w:val="-2"/>
                <w:w w:val="105"/>
                <w:sz w:val="13"/>
              </w:rPr>
              <w:t>2,632</w:t>
            </w:r>
          </w:p>
        </w:tc>
        <w:tc>
          <w:tcPr>
            <w:tcW w:w="807" w:type="dxa"/>
            <w:tcBorders>
              <w:top w:val="single" w:sz="6" w:space="0" w:color="000000"/>
              <w:bottom w:val="single" w:sz="6" w:space="0" w:color="000000"/>
            </w:tcBorders>
          </w:tcPr>
          <w:p>
            <w:pPr>
              <w:pStyle w:val="TableParagraph"/>
              <w:spacing w:line="138" w:lineRule="exact"/>
              <w:ind w:right="73"/>
              <w:jc w:val="right"/>
              <w:rPr>
                <w:b/>
                <w:sz w:val="13"/>
              </w:rPr>
            </w:pPr>
            <w:r>
              <w:rPr>
                <w:b/>
                <w:spacing w:val="-2"/>
                <w:w w:val="105"/>
                <w:sz w:val="13"/>
              </w:rPr>
              <w:t>2,890</w:t>
            </w:r>
          </w:p>
        </w:tc>
      </w:tr>
      <w:tr>
        <w:trPr>
          <w:trHeight w:val="509" w:hRule="atLeast"/>
        </w:trPr>
        <w:tc>
          <w:tcPr>
            <w:tcW w:w="4708" w:type="dxa"/>
          </w:tcPr>
          <w:p>
            <w:pPr>
              <w:pStyle w:val="TableParagraph"/>
              <w:spacing w:before="17"/>
              <w:rPr>
                <w:b/>
                <w:sz w:val="13"/>
              </w:rPr>
            </w:pPr>
          </w:p>
          <w:p>
            <w:pPr>
              <w:pStyle w:val="TableParagraph"/>
              <w:spacing w:before="1"/>
              <w:ind w:left="35"/>
              <w:rPr>
                <w:b/>
                <w:sz w:val="13"/>
              </w:rPr>
            </w:pPr>
            <w:r>
              <w:rPr>
                <w:b/>
                <w:spacing w:val="-2"/>
                <w:w w:val="105"/>
                <w:sz w:val="13"/>
              </w:rPr>
              <w:t>Investment</w:t>
            </w:r>
            <w:r>
              <w:rPr>
                <w:b/>
                <w:spacing w:val="8"/>
                <w:w w:val="105"/>
                <w:sz w:val="13"/>
              </w:rPr>
              <w:t> </w:t>
            </w:r>
            <w:r>
              <w:rPr>
                <w:b/>
                <w:spacing w:val="-2"/>
                <w:w w:val="105"/>
                <w:sz w:val="13"/>
              </w:rPr>
              <w:t>gains/(losses)</w:t>
            </w:r>
          </w:p>
          <w:p>
            <w:pPr>
              <w:pStyle w:val="TableParagraph"/>
              <w:spacing w:line="149" w:lineRule="exact" w:before="23"/>
              <w:ind w:left="35"/>
              <w:rPr>
                <w:sz w:val="13"/>
              </w:rPr>
            </w:pPr>
            <w:r>
              <w:rPr>
                <w:w w:val="105"/>
                <w:sz w:val="13"/>
              </w:rPr>
              <w:t>Fair</w:t>
            </w:r>
            <w:r>
              <w:rPr>
                <w:spacing w:val="-6"/>
                <w:w w:val="105"/>
                <w:sz w:val="13"/>
              </w:rPr>
              <w:t> </w:t>
            </w:r>
            <w:r>
              <w:rPr>
                <w:w w:val="105"/>
                <w:sz w:val="13"/>
              </w:rPr>
              <w:t>value</w:t>
            </w:r>
            <w:r>
              <w:rPr>
                <w:spacing w:val="-6"/>
                <w:w w:val="105"/>
                <w:sz w:val="13"/>
              </w:rPr>
              <w:t> </w:t>
            </w:r>
            <w:r>
              <w:rPr>
                <w:w w:val="105"/>
                <w:sz w:val="13"/>
              </w:rPr>
              <w:t>gain/(loss)</w:t>
            </w:r>
            <w:r>
              <w:rPr>
                <w:spacing w:val="-5"/>
                <w:w w:val="105"/>
                <w:sz w:val="13"/>
              </w:rPr>
              <w:t> </w:t>
            </w:r>
            <w:r>
              <w:rPr>
                <w:w w:val="105"/>
                <w:sz w:val="13"/>
              </w:rPr>
              <w:t>on</w:t>
            </w:r>
            <w:r>
              <w:rPr>
                <w:spacing w:val="-7"/>
                <w:w w:val="105"/>
                <w:sz w:val="13"/>
              </w:rPr>
              <w:t> </w:t>
            </w:r>
            <w:r>
              <w:rPr>
                <w:w w:val="105"/>
                <w:sz w:val="13"/>
              </w:rPr>
              <w:t>other</w:t>
            </w:r>
            <w:r>
              <w:rPr>
                <w:spacing w:val="-5"/>
                <w:w w:val="105"/>
                <w:sz w:val="13"/>
              </w:rPr>
              <w:t> </w:t>
            </w:r>
            <w:r>
              <w:rPr>
                <w:w w:val="105"/>
                <w:sz w:val="13"/>
              </w:rPr>
              <w:t>financial</w:t>
            </w:r>
            <w:r>
              <w:rPr>
                <w:spacing w:val="-6"/>
                <w:w w:val="105"/>
                <w:sz w:val="13"/>
              </w:rPr>
              <w:t> </w:t>
            </w:r>
            <w:r>
              <w:rPr>
                <w:spacing w:val="-2"/>
                <w:w w:val="105"/>
                <w:sz w:val="13"/>
              </w:rPr>
              <w:t>assets</w:t>
            </w:r>
          </w:p>
        </w:tc>
        <w:tc>
          <w:tcPr>
            <w:tcW w:w="1033" w:type="dxa"/>
            <w:tcBorders>
              <w:top w:val="single" w:sz="6" w:space="0" w:color="000000"/>
            </w:tcBorders>
          </w:tcPr>
          <w:p>
            <w:pPr>
              <w:pStyle w:val="TableParagraph"/>
              <w:rPr>
                <w:b/>
                <w:sz w:val="13"/>
              </w:rPr>
            </w:pPr>
          </w:p>
          <w:p>
            <w:pPr>
              <w:pStyle w:val="TableParagraph"/>
              <w:spacing w:before="41"/>
              <w:rPr>
                <w:b/>
                <w:sz w:val="13"/>
              </w:rPr>
            </w:pPr>
          </w:p>
          <w:p>
            <w:pPr>
              <w:pStyle w:val="TableParagraph"/>
              <w:spacing w:line="149" w:lineRule="exact"/>
              <w:ind w:right="184"/>
              <w:jc w:val="right"/>
              <w:rPr>
                <w:sz w:val="13"/>
              </w:rPr>
            </w:pPr>
            <w:r>
              <w:rPr>
                <w:spacing w:val="-2"/>
                <w:w w:val="105"/>
                <w:sz w:val="13"/>
              </w:rPr>
              <w:t>23,025</w:t>
            </w:r>
          </w:p>
        </w:tc>
        <w:tc>
          <w:tcPr>
            <w:tcW w:w="919" w:type="dxa"/>
            <w:tcBorders>
              <w:top w:val="single" w:sz="6" w:space="0" w:color="000000"/>
            </w:tcBorders>
          </w:tcPr>
          <w:p>
            <w:pPr>
              <w:pStyle w:val="TableParagraph"/>
              <w:rPr>
                <w:b/>
                <w:sz w:val="13"/>
              </w:rPr>
            </w:pPr>
          </w:p>
          <w:p>
            <w:pPr>
              <w:pStyle w:val="TableParagraph"/>
              <w:spacing w:before="41"/>
              <w:rPr>
                <w:b/>
                <w:sz w:val="13"/>
              </w:rPr>
            </w:pPr>
          </w:p>
          <w:p>
            <w:pPr>
              <w:pStyle w:val="TableParagraph"/>
              <w:spacing w:line="149" w:lineRule="exact"/>
              <w:ind w:right="184"/>
              <w:jc w:val="right"/>
              <w:rPr>
                <w:sz w:val="13"/>
              </w:rPr>
            </w:pPr>
            <w:r>
              <w:rPr>
                <w:spacing w:val="-2"/>
                <w:w w:val="105"/>
                <w:sz w:val="13"/>
              </w:rPr>
              <w:t>81,432</w:t>
            </w:r>
          </w:p>
        </w:tc>
        <w:tc>
          <w:tcPr>
            <w:tcW w:w="919" w:type="dxa"/>
            <w:tcBorders>
              <w:top w:val="single" w:sz="6" w:space="0" w:color="000000"/>
            </w:tcBorders>
          </w:tcPr>
          <w:p>
            <w:pPr>
              <w:pStyle w:val="TableParagraph"/>
              <w:rPr>
                <w:b/>
                <w:sz w:val="13"/>
              </w:rPr>
            </w:pPr>
          </w:p>
          <w:p>
            <w:pPr>
              <w:pStyle w:val="TableParagraph"/>
              <w:spacing w:before="41"/>
              <w:rPr>
                <w:b/>
                <w:sz w:val="13"/>
              </w:rPr>
            </w:pPr>
          </w:p>
          <w:p>
            <w:pPr>
              <w:pStyle w:val="TableParagraph"/>
              <w:spacing w:line="149" w:lineRule="exact"/>
              <w:ind w:right="184"/>
              <w:jc w:val="right"/>
              <w:rPr>
                <w:sz w:val="13"/>
              </w:rPr>
            </w:pPr>
            <w:r>
              <w:rPr>
                <w:spacing w:val="-2"/>
                <w:w w:val="105"/>
                <w:sz w:val="13"/>
              </w:rPr>
              <w:t>23,025</w:t>
            </w:r>
          </w:p>
        </w:tc>
        <w:tc>
          <w:tcPr>
            <w:tcW w:w="807" w:type="dxa"/>
            <w:tcBorders>
              <w:top w:val="single" w:sz="6" w:space="0" w:color="000000"/>
            </w:tcBorders>
          </w:tcPr>
          <w:p>
            <w:pPr>
              <w:pStyle w:val="TableParagraph"/>
              <w:rPr>
                <w:b/>
                <w:sz w:val="13"/>
              </w:rPr>
            </w:pPr>
          </w:p>
          <w:p>
            <w:pPr>
              <w:pStyle w:val="TableParagraph"/>
              <w:spacing w:before="41"/>
              <w:rPr>
                <w:b/>
                <w:sz w:val="13"/>
              </w:rPr>
            </w:pPr>
          </w:p>
          <w:p>
            <w:pPr>
              <w:pStyle w:val="TableParagraph"/>
              <w:spacing w:line="149" w:lineRule="exact"/>
              <w:ind w:right="72"/>
              <w:jc w:val="right"/>
              <w:rPr>
                <w:sz w:val="13"/>
              </w:rPr>
            </w:pPr>
            <w:r>
              <w:rPr>
                <w:spacing w:val="-2"/>
                <w:w w:val="105"/>
                <w:sz w:val="13"/>
              </w:rPr>
              <w:t>81,432</w:t>
            </w:r>
          </w:p>
        </w:tc>
      </w:tr>
      <w:tr>
        <w:trPr>
          <w:trHeight w:val="166" w:hRule="atLeast"/>
        </w:trPr>
        <w:tc>
          <w:tcPr>
            <w:tcW w:w="4708" w:type="dxa"/>
          </w:tcPr>
          <w:p>
            <w:pPr>
              <w:pStyle w:val="TableParagraph"/>
              <w:spacing w:line="143" w:lineRule="exact" w:before="3"/>
              <w:ind w:left="36"/>
              <w:rPr>
                <w:sz w:val="13"/>
              </w:rPr>
            </w:pPr>
            <w:r>
              <w:rPr>
                <w:w w:val="105"/>
                <w:sz w:val="13"/>
              </w:rPr>
              <w:t>Fair</w:t>
            </w:r>
            <w:r>
              <w:rPr>
                <w:spacing w:val="-6"/>
                <w:w w:val="105"/>
                <w:sz w:val="13"/>
              </w:rPr>
              <w:t> </w:t>
            </w:r>
            <w:r>
              <w:rPr>
                <w:w w:val="105"/>
                <w:sz w:val="13"/>
              </w:rPr>
              <w:t>value</w:t>
            </w:r>
            <w:r>
              <w:rPr>
                <w:spacing w:val="-7"/>
                <w:w w:val="105"/>
                <w:sz w:val="13"/>
              </w:rPr>
              <w:t> </w:t>
            </w:r>
            <w:r>
              <w:rPr>
                <w:w w:val="105"/>
                <w:sz w:val="13"/>
              </w:rPr>
              <w:t>gain/(loss)</w:t>
            </w:r>
            <w:r>
              <w:rPr>
                <w:spacing w:val="-5"/>
                <w:w w:val="105"/>
                <w:sz w:val="13"/>
              </w:rPr>
              <w:t> </w:t>
            </w:r>
            <w:r>
              <w:rPr>
                <w:w w:val="105"/>
                <w:sz w:val="13"/>
              </w:rPr>
              <w:t>on</w:t>
            </w:r>
            <w:r>
              <w:rPr>
                <w:spacing w:val="-7"/>
                <w:w w:val="105"/>
                <w:sz w:val="13"/>
              </w:rPr>
              <w:t> </w:t>
            </w:r>
            <w:r>
              <w:rPr>
                <w:w w:val="105"/>
                <w:sz w:val="13"/>
              </w:rPr>
              <w:t>investment</w:t>
            </w:r>
            <w:r>
              <w:rPr>
                <w:spacing w:val="-7"/>
                <w:w w:val="105"/>
                <w:sz w:val="13"/>
              </w:rPr>
              <w:t> </w:t>
            </w:r>
            <w:r>
              <w:rPr>
                <w:spacing w:val="-2"/>
                <w:w w:val="105"/>
                <w:sz w:val="13"/>
              </w:rPr>
              <w:t>properties</w:t>
            </w:r>
          </w:p>
        </w:tc>
        <w:tc>
          <w:tcPr>
            <w:tcW w:w="1033" w:type="dxa"/>
            <w:tcBorders>
              <w:bottom w:val="single" w:sz="6" w:space="0" w:color="000000"/>
            </w:tcBorders>
          </w:tcPr>
          <w:p>
            <w:pPr>
              <w:pStyle w:val="TableParagraph"/>
              <w:spacing w:line="143" w:lineRule="exact" w:before="3"/>
              <w:ind w:right="184"/>
              <w:jc w:val="right"/>
              <w:rPr>
                <w:sz w:val="13"/>
              </w:rPr>
            </w:pPr>
            <w:r>
              <w:rPr>
                <w:spacing w:val="-2"/>
                <w:w w:val="105"/>
                <w:sz w:val="13"/>
              </w:rPr>
              <w:t>2,886</w:t>
            </w:r>
          </w:p>
        </w:tc>
        <w:tc>
          <w:tcPr>
            <w:tcW w:w="919" w:type="dxa"/>
            <w:tcBorders>
              <w:bottom w:val="single" w:sz="6" w:space="0" w:color="000000"/>
            </w:tcBorders>
          </w:tcPr>
          <w:p>
            <w:pPr>
              <w:pStyle w:val="TableParagraph"/>
              <w:spacing w:line="143" w:lineRule="exact" w:before="3"/>
              <w:ind w:right="184"/>
              <w:jc w:val="right"/>
              <w:rPr>
                <w:sz w:val="13"/>
              </w:rPr>
            </w:pPr>
            <w:r>
              <w:rPr>
                <w:spacing w:val="-2"/>
                <w:w w:val="105"/>
                <w:sz w:val="13"/>
              </w:rPr>
              <w:t>4,840</w:t>
            </w:r>
          </w:p>
        </w:tc>
        <w:tc>
          <w:tcPr>
            <w:tcW w:w="919" w:type="dxa"/>
            <w:tcBorders>
              <w:bottom w:val="single" w:sz="6" w:space="0" w:color="000000"/>
            </w:tcBorders>
          </w:tcPr>
          <w:p>
            <w:pPr>
              <w:pStyle w:val="TableParagraph"/>
              <w:spacing w:line="143" w:lineRule="exact" w:before="3"/>
              <w:ind w:right="184"/>
              <w:jc w:val="right"/>
              <w:rPr>
                <w:sz w:val="13"/>
              </w:rPr>
            </w:pPr>
            <w:r>
              <w:rPr>
                <w:spacing w:val="-2"/>
                <w:w w:val="105"/>
                <w:sz w:val="13"/>
              </w:rPr>
              <w:t>2,886</w:t>
            </w:r>
          </w:p>
        </w:tc>
        <w:tc>
          <w:tcPr>
            <w:tcW w:w="807" w:type="dxa"/>
            <w:tcBorders>
              <w:bottom w:val="single" w:sz="6" w:space="0" w:color="000000"/>
            </w:tcBorders>
          </w:tcPr>
          <w:p>
            <w:pPr>
              <w:pStyle w:val="TableParagraph"/>
              <w:spacing w:line="143" w:lineRule="exact" w:before="3"/>
              <w:ind w:right="72"/>
              <w:jc w:val="right"/>
              <w:rPr>
                <w:sz w:val="13"/>
              </w:rPr>
            </w:pPr>
            <w:r>
              <w:rPr>
                <w:spacing w:val="-2"/>
                <w:w w:val="105"/>
                <w:sz w:val="13"/>
              </w:rPr>
              <w:t>4,840</w:t>
            </w:r>
          </w:p>
        </w:tc>
      </w:tr>
      <w:tr>
        <w:trPr>
          <w:trHeight w:val="157" w:hRule="atLeast"/>
        </w:trPr>
        <w:tc>
          <w:tcPr>
            <w:tcW w:w="4708" w:type="dxa"/>
          </w:tcPr>
          <w:p>
            <w:pPr>
              <w:pStyle w:val="TableParagraph"/>
              <w:spacing w:line="138" w:lineRule="exact"/>
              <w:ind w:left="36"/>
              <w:rPr>
                <w:b/>
                <w:sz w:val="13"/>
              </w:rPr>
            </w:pPr>
            <w:r>
              <w:rPr>
                <w:b/>
                <w:w w:val="105"/>
                <w:sz w:val="13"/>
              </w:rPr>
              <w:t>Total</w:t>
            </w:r>
            <w:r>
              <w:rPr>
                <w:b/>
                <w:spacing w:val="-8"/>
                <w:w w:val="105"/>
                <w:sz w:val="13"/>
              </w:rPr>
              <w:t> </w:t>
            </w:r>
            <w:r>
              <w:rPr>
                <w:b/>
                <w:w w:val="105"/>
                <w:sz w:val="13"/>
              </w:rPr>
              <w:t>investment</w:t>
            </w:r>
            <w:r>
              <w:rPr>
                <w:b/>
                <w:spacing w:val="-7"/>
                <w:w w:val="105"/>
                <w:sz w:val="13"/>
              </w:rPr>
              <w:t> </w:t>
            </w:r>
            <w:r>
              <w:rPr>
                <w:b/>
                <w:spacing w:val="-2"/>
                <w:w w:val="105"/>
                <w:sz w:val="13"/>
              </w:rPr>
              <w:t>gains/(losses)</w:t>
            </w:r>
          </w:p>
        </w:tc>
        <w:tc>
          <w:tcPr>
            <w:tcW w:w="1033" w:type="dxa"/>
            <w:tcBorders>
              <w:top w:val="single" w:sz="6" w:space="0" w:color="000000"/>
              <w:bottom w:val="single" w:sz="6" w:space="0" w:color="000000"/>
            </w:tcBorders>
          </w:tcPr>
          <w:p>
            <w:pPr>
              <w:pStyle w:val="TableParagraph"/>
              <w:spacing w:line="138" w:lineRule="exact"/>
              <w:ind w:right="183"/>
              <w:jc w:val="right"/>
              <w:rPr>
                <w:b/>
                <w:sz w:val="13"/>
              </w:rPr>
            </w:pPr>
            <w:r>
              <w:rPr>
                <w:b/>
                <w:spacing w:val="-2"/>
                <w:w w:val="105"/>
                <w:sz w:val="13"/>
              </w:rPr>
              <w:t>25,911</w:t>
            </w:r>
          </w:p>
        </w:tc>
        <w:tc>
          <w:tcPr>
            <w:tcW w:w="919" w:type="dxa"/>
            <w:tcBorders>
              <w:top w:val="single" w:sz="6" w:space="0" w:color="000000"/>
              <w:bottom w:val="single" w:sz="6" w:space="0" w:color="000000"/>
            </w:tcBorders>
          </w:tcPr>
          <w:p>
            <w:pPr>
              <w:pStyle w:val="TableParagraph"/>
              <w:spacing w:line="138" w:lineRule="exact"/>
              <w:ind w:right="184"/>
              <w:jc w:val="right"/>
              <w:rPr>
                <w:b/>
                <w:sz w:val="13"/>
              </w:rPr>
            </w:pPr>
            <w:r>
              <w:rPr>
                <w:b/>
                <w:spacing w:val="-2"/>
                <w:w w:val="105"/>
                <w:sz w:val="13"/>
              </w:rPr>
              <w:t>86,272</w:t>
            </w:r>
          </w:p>
        </w:tc>
        <w:tc>
          <w:tcPr>
            <w:tcW w:w="919" w:type="dxa"/>
            <w:tcBorders>
              <w:top w:val="single" w:sz="6" w:space="0" w:color="000000"/>
              <w:bottom w:val="single" w:sz="6" w:space="0" w:color="000000"/>
            </w:tcBorders>
          </w:tcPr>
          <w:p>
            <w:pPr>
              <w:pStyle w:val="TableParagraph"/>
              <w:spacing w:line="138" w:lineRule="exact"/>
              <w:ind w:right="184"/>
              <w:jc w:val="right"/>
              <w:rPr>
                <w:b/>
                <w:sz w:val="13"/>
              </w:rPr>
            </w:pPr>
            <w:r>
              <w:rPr>
                <w:b/>
                <w:spacing w:val="-2"/>
                <w:w w:val="105"/>
                <w:sz w:val="13"/>
              </w:rPr>
              <w:t>25,911</w:t>
            </w:r>
          </w:p>
        </w:tc>
        <w:tc>
          <w:tcPr>
            <w:tcW w:w="807" w:type="dxa"/>
            <w:tcBorders>
              <w:top w:val="single" w:sz="6" w:space="0" w:color="000000"/>
              <w:bottom w:val="single" w:sz="6" w:space="0" w:color="000000"/>
            </w:tcBorders>
          </w:tcPr>
          <w:p>
            <w:pPr>
              <w:pStyle w:val="TableParagraph"/>
              <w:spacing w:line="138" w:lineRule="exact"/>
              <w:ind w:right="72"/>
              <w:jc w:val="right"/>
              <w:rPr>
                <w:b/>
                <w:sz w:val="13"/>
              </w:rPr>
            </w:pPr>
            <w:r>
              <w:rPr>
                <w:b/>
                <w:spacing w:val="-2"/>
                <w:w w:val="105"/>
                <w:sz w:val="13"/>
              </w:rPr>
              <w:t>86,272</w:t>
            </w:r>
          </w:p>
        </w:tc>
      </w:tr>
      <w:tr>
        <w:trPr>
          <w:trHeight w:val="157" w:hRule="atLeast"/>
        </w:trPr>
        <w:tc>
          <w:tcPr>
            <w:tcW w:w="4708" w:type="dxa"/>
          </w:tcPr>
          <w:p>
            <w:pPr>
              <w:pStyle w:val="TableParagraph"/>
              <w:rPr>
                <w:rFonts w:ascii="Times New Roman"/>
                <w:sz w:val="10"/>
              </w:rPr>
            </w:pPr>
          </w:p>
        </w:tc>
        <w:tc>
          <w:tcPr>
            <w:tcW w:w="1033" w:type="dxa"/>
            <w:tcBorders>
              <w:top w:val="single" w:sz="6" w:space="0" w:color="000000"/>
              <w:bottom w:val="single" w:sz="6" w:space="0" w:color="000000"/>
            </w:tcBorders>
          </w:tcPr>
          <w:p>
            <w:pPr>
              <w:pStyle w:val="TableParagraph"/>
              <w:rPr>
                <w:rFonts w:ascii="Times New Roman"/>
                <w:sz w:val="10"/>
              </w:rPr>
            </w:pPr>
          </w:p>
        </w:tc>
        <w:tc>
          <w:tcPr>
            <w:tcW w:w="919" w:type="dxa"/>
            <w:tcBorders>
              <w:top w:val="single" w:sz="6" w:space="0" w:color="000000"/>
              <w:bottom w:val="single" w:sz="6" w:space="0" w:color="000000"/>
            </w:tcBorders>
          </w:tcPr>
          <w:p>
            <w:pPr>
              <w:pStyle w:val="TableParagraph"/>
              <w:rPr>
                <w:rFonts w:ascii="Times New Roman"/>
                <w:sz w:val="10"/>
              </w:rPr>
            </w:pPr>
          </w:p>
        </w:tc>
        <w:tc>
          <w:tcPr>
            <w:tcW w:w="919" w:type="dxa"/>
            <w:tcBorders>
              <w:top w:val="single" w:sz="6" w:space="0" w:color="000000"/>
              <w:bottom w:val="single" w:sz="6" w:space="0" w:color="000000"/>
            </w:tcBorders>
          </w:tcPr>
          <w:p>
            <w:pPr>
              <w:pStyle w:val="TableParagraph"/>
              <w:rPr>
                <w:rFonts w:ascii="Times New Roman"/>
                <w:sz w:val="10"/>
              </w:rPr>
            </w:pPr>
          </w:p>
        </w:tc>
        <w:tc>
          <w:tcPr>
            <w:tcW w:w="807" w:type="dxa"/>
            <w:tcBorders>
              <w:top w:val="single" w:sz="6" w:space="0" w:color="000000"/>
              <w:bottom w:val="single" w:sz="6" w:space="0" w:color="000000"/>
            </w:tcBorders>
          </w:tcPr>
          <w:p>
            <w:pPr>
              <w:pStyle w:val="TableParagraph"/>
              <w:rPr>
                <w:rFonts w:ascii="Times New Roman"/>
                <w:sz w:val="10"/>
              </w:rPr>
            </w:pPr>
          </w:p>
        </w:tc>
      </w:tr>
      <w:tr>
        <w:trPr>
          <w:trHeight w:val="157" w:hRule="atLeast"/>
        </w:trPr>
        <w:tc>
          <w:tcPr>
            <w:tcW w:w="4708" w:type="dxa"/>
          </w:tcPr>
          <w:p>
            <w:pPr>
              <w:pStyle w:val="TableParagraph"/>
              <w:spacing w:line="138" w:lineRule="exact"/>
              <w:ind w:left="36"/>
              <w:rPr>
                <w:b/>
                <w:sz w:val="13"/>
              </w:rPr>
            </w:pPr>
            <w:r>
              <w:rPr>
                <w:b/>
                <w:w w:val="105"/>
                <w:sz w:val="13"/>
              </w:rPr>
              <w:t>Net</w:t>
            </w:r>
            <w:r>
              <w:rPr>
                <w:b/>
                <w:spacing w:val="-7"/>
                <w:w w:val="105"/>
                <w:sz w:val="13"/>
              </w:rPr>
              <w:t> </w:t>
            </w:r>
            <w:r>
              <w:rPr>
                <w:b/>
                <w:w w:val="105"/>
                <w:sz w:val="13"/>
              </w:rPr>
              <w:t>investment</w:t>
            </w:r>
            <w:r>
              <w:rPr>
                <w:b/>
                <w:spacing w:val="-6"/>
                <w:w w:val="105"/>
                <w:sz w:val="13"/>
              </w:rPr>
              <w:t> </w:t>
            </w:r>
            <w:r>
              <w:rPr>
                <w:b/>
                <w:w w:val="105"/>
                <w:sz w:val="13"/>
              </w:rPr>
              <w:t>revenue</w:t>
            </w:r>
            <w:r>
              <w:rPr>
                <w:b/>
                <w:spacing w:val="-8"/>
                <w:w w:val="105"/>
                <w:sz w:val="13"/>
              </w:rPr>
              <w:t> </w:t>
            </w:r>
            <w:r>
              <w:rPr>
                <w:b/>
                <w:w w:val="105"/>
                <w:sz w:val="13"/>
              </w:rPr>
              <w:t>and</w:t>
            </w:r>
            <w:r>
              <w:rPr>
                <w:b/>
                <w:spacing w:val="-7"/>
                <w:w w:val="105"/>
                <w:sz w:val="13"/>
              </w:rPr>
              <w:t> </w:t>
            </w:r>
            <w:r>
              <w:rPr>
                <w:b/>
                <w:spacing w:val="-2"/>
                <w:w w:val="105"/>
                <w:sz w:val="13"/>
              </w:rPr>
              <w:t>income</w:t>
            </w:r>
          </w:p>
        </w:tc>
        <w:tc>
          <w:tcPr>
            <w:tcW w:w="1033" w:type="dxa"/>
            <w:tcBorders>
              <w:top w:val="single" w:sz="6" w:space="0" w:color="000000"/>
              <w:bottom w:val="single" w:sz="6" w:space="0" w:color="000000"/>
            </w:tcBorders>
          </w:tcPr>
          <w:p>
            <w:pPr>
              <w:pStyle w:val="TableParagraph"/>
              <w:spacing w:line="138" w:lineRule="exact"/>
              <w:ind w:right="183"/>
              <w:jc w:val="right"/>
              <w:rPr>
                <w:b/>
                <w:sz w:val="13"/>
              </w:rPr>
            </w:pPr>
            <w:r>
              <w:rPr>
                <w:b/>
                <w:spacing w:val="-2"/>
                <w:w w:val="105"/>
                <w:sz w:val="13"/>
              </w:rPr>
              <w:t>58,571</w:t>
            </w:r>
          </w:p>
        </w:tc>
        <w:tc>
          <w:tcPr>
            <w:tcW w:w="919" w:type="dxa"/>
            <w:tcBorders>
              <w:top w:val="single" w:sz="6" w:space="0" w:color="000000"/>
              <w:bottom w:val="single" w:sz="6" w:space="0" w:color="000000"/>
            </w:tcBorders>
          </w:tcPr>
          <w:p>
            <w:pPr>
              <w:pStyle w:val="TableParagraph"/>
              <w:spacing w:line="138" w:lineRule="exact"/>
              <w:ind w:right="183"/>
              <w:jc w:val="right"/>
              <w:rPr>
                <w:b/>
                <w:sz w:val="13"/>
              </w:rPr>
            </w:pPr>
            <w:r>
              <w:rPr>
                <w:b/>
                <w:spacing w:val="-2"/>
                <w:w w:val="105"/>
                <w:sz w:val="13"/>
              </w:rPr>
              <w:t>128,538</w:t>
            </w:r>
          </w:p>
        </w:tc>
        <w:tc>
          <w:tcPr>
            <w:tcW w:w="919" w:type="dxa"/>
            <w:tcBorders>
              <w:top w:val="single" w:sz="6" w:space="0" w:color="000000"/>
              <w:bottom w:val="single" w:sz="6" w:space="0" w:color="000000"/>
            </w:tcBorders>
          </w:tcPr>
          <w:p>
            <w:pPr>
              <w:pStyle w:val="TableParagraph"/>
              <w:spacing w:line="138" w:lineRule="exact"/>
              <w:ind w:right="184"/>
              <w:jc w:val="right"/>
              <w:rPr>
                <w:b/>
                <w:sz w:val="13"/>
              </w:rPr>
            </w:pPr>
            <w:r>
              <w:rPr>
                <w:b/>
                <w:spacing w:val="-2"/>
                <w:w w:val="105"/>
                <w:sz w:val="13"/>
              </w:rPr>
              <w:t>58,556</w:t>
            </w:r>
          </w:p>
        </w:tc>
        <w:tc>
          <w:tcPr>
            <w:tcW w:w="807" w:type="dxa"/>
            <w:tcBorders>
              <w:top w:val="single" w:sz="6" w:space="0" w:color="000000"/>
              <w:bottom w:val="single" w:sz="6" w:space="0" w:color="000000"/>
            </w:tcBorders>
          </w:tcPr>
          <w:p>
            <w:pPr>
              <w:pStyle w:val="TableParagraph"/>
              <w:spacing w:line="138" w:lineRule="exact"/>
              <w:ind w:right="72"/>
              <w:jc w:val="right"/>
              <w:rPr>
                <w:b/>
                <w:sz w:val="13"/>
              </w:rPr>
            </w:pPr>
            <w:r>
              <w:rPr>
                <w:b/>
                <w:spacing w:val="-2"/>
                <w:w w:val="105"/>
                <w:sz w:val="13"/>
              </w:rPr>
              <w:t>128,428</w:t>
            </w:r>
          </w:p>
        </w:tc>
      </w:tr>
    </w:tbl>
    <w:p>
      <w:pPr>
        <w:spacing w:before="175"/>
        <w:ind w:left="851" w:right="0" w:firstLine="0"/>
        <w:jc w:val="left"/>
        <w:rPr>
          <w:b/>
          <w:i/>
          <w:sz w:val="13"/>
        </w:rPr>
      </w:pPr>
      <w:r>
        <w:rPr/>
        <mc:AlternateContent>
          <mc:Choice Requires="wps">
            <w:drawing>
              <wp:anchor distT="0" distB="0" distL="0" distR="0" allowOverlap="1" layoutInCell="1" locked="0" behindDoc="0" simplePos="0" relativeHeight="15879680">
                <wp:simplePos x="0" y="0"/>
                <wp:positionH relativeFrom="page">
                  <wp:posOffset>7111289</wp:posOffset>
                </wp:positionH>
                <wp:positionV relativeFrom="paragraph">
                  <wp:posOffset>68207</wp:posOffset>
                </wp:positionV>
                <wp:extent cx="177800" cy="1945005"/>
                <wp:effectExtent l="0" t="0" r="0" b="0"/>
                <wp:wrapNone/>
                <wp:docPr id="900" name="Textbox 900"/>
                <wp:cNvGraphicFramePr>
                  <a:graphicFrameLocks/>
                </wp:cNvGraphicFramePr>
                <a:graphic>
                  <a:graphicData uri="http://schemas.microsoft.com/office/word/2010/wordprocessingShape">
                    <wps:wsp>
                      <wps:cNvPr id="900" name="Textbox 900"/>
                      <wps:cNvSpPr txBox="1"/>
                      <wps:spPr>
                        <a:xfrm>
                          <a:off x="0" y="0"/>
                          <a:ext cx="177800" cy="194500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5.370681pt;width:14pt;height:153.15pt;mso-position-horizontal-relative:page;mso-position-vertical-relative:paragraph;z-index:15879680" type="#_x0000_t202" id="docshape594"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v:textbox>
                <w10:wrap type="none"/>
              </v:shape>
            </w:pict>
          </mc:Fallback>
        </mc:AlternateContent>
      </w:r>
      <w:r>
        <w:rPr>
          <w:b/>
          <w:i/>
          <w:color w:val="0070C0"/>
          <w:w w:val="105"/>
          <w:sz w:val="13"/>
        </w:rPr>
        <w:t>Accounting</w:t>
      </w:r>
      <w:r>
        <w:rPr>
          <w:b/>
          <w:i/>
          <w:color w:val="0070C0"/>
          <w:spacing w:val="-6"/>
          <w:w w:val="105"/>
          <w:sz w:val="13"/>
        </w:rPr>
        <w:t> </w:t>
      </w:r>
      <w:r>
        <w:rPr>
          <w:b/>
          <w:i/>
          <w:color w:val="0070C0"/>
          <w:spacing w:val="-2"/>
          <w:w w:val="105"/>
          <w:sz w:val="13"/>
        </w:rPr>
        <w:t>policy</w:t>
      </w:r>
    </w:p>
    <w:p>
      <w:pPr>
        <w:spacing w:before="23"/>
        <w:ind w:left="851" w:right="0" w:firstLine="0"/>
        <w:jc w:val="left"/>
        <w:rPr>
          <w:b/>
          <w:sz w:val="13"/>
        </w:rPr>
      </w:pPr>
      <w:r>
        <w:rPr>
          <w:b/>
          <w:spacing w:val="-2"/>
          <w:w w:val="105"/>
          <w:sz w:val="13"/>
        </w:rPr>
        <w:t>Interest</w:t>
      </w:r>
    </w:p>
    <w:p>
      <w:pPr>
        <w:spacing w:before="25"/>
        <w:ind w:left="849" w:right="0" w:firstLine="0"/>
        <w:jc w:val="left"/>
        <w:rPr>
          <w:sz w:val="13"/>
        </w:rPr>
      </w:pPr>
      <w:r>
        <w:rPr>
          <w:w w:val="105"/>
          <w:sz w:val="13"/>
        </w:rPr>
        <w:t>Recognised</w:t>
      </w:r>
      <w:r>
        <w:rPr>
          <w:spacing w:val="-7"/>
          <w:w w:val="105"/>
          <w:sz w:val="13"/>
        </w:rPr>
        <w:t> </w:t>
      </w:r>
      <w:r>
        <w:rPr>
          <w:w w:val="105"/>
          <w:sz w:val="13"/>
        </w:rPr>
        <w:t>on</w:t>
      </w:r>
      <w:r>
        <w:rPr>
          <w:spacing w:val="-7"/>
          <w:w w:val="105"/>
          <w:sz w:val="13"/>
        </w:rPr>
        <w:t> </w:t>
      </w:r>
      <w:r>
        <w:rPr>
          <w:w w:val="105"/>
          <w:sz w:val="13"/>
        </w:rPr>
        <w:t>an</w:t>
      </w:r>
      <w:r>
        <w:rPr>
          <w:spacing w:val="-7"/>
          <w:w w:val="105"/>
          <w:sz w:val="13"/>
        </w:rPr>
        <w:t> </w:t>
      </w:r>
      <w:r>
        <w:rPr>
          <w:w w:val="105"/>
          <w:sz w:val="13"/>
        </w:rPr>
        <w:t>accruals</w:t>
      </w:r>
      <w:r>
        <w:rPr>
          <w:spacing w:val="-6"/>
          <w:w w:val="105"/>
          <w:sz w:val="13"/>
        </w:rPr>
        <w:t> </w:t>
      </w:r>
      <w:r>
        <w:rPr>
          <w:w w:val="105"/>
          <w:sz w:val="13"/>
        </w:rPr>
        <w:t>basis</w:t>
      </w:r>
      <w:r>
        <w:rPr>
          <w:spacing w:val="-6"/>
          <w:w w:val="105"/>
          <w:sz w:val="13"/>
        </w:rPr>
        <w:t> </w:t>
      </w:r>
      <w:r>
        <w:rPr>
          <w:w w:val="105"/>
          <w:sz w:val="13"/>
        </w:rPr>
        <w:t>taking</w:t>
      </w:r>
      <w:r>
        <w:rPr>
          <w:spacing w:val="-7"/>
          <w:w w:val="105"/>
          <w:sz w:val="13"/>
        </w:rPr>
        <w:t> </w:t>
      </w:r>
      <w:r>
        <w:rPr>
          <w:w w:val="105"/>
          <w:sz w:val="13"/>
        </w:rPr>
        <w:t>into</w:t>
      </w:r>
      <w:r>
        <w:rPr>
          <w:spacing w:val="-6"/>
          <w:w w:val="105"/>
          <w:sz w:val="13"/>
        </w:rPr>
        <w:t> </w:t>
      </w:r>
      <w:r>
        <w:rPr>
          <w:w w:val="105"/>
          <w:sz w:val="13"/>
        </w:rPr>
        <w:t>account</w:t>
      </w:r>
      <w:r>
        <w:rPr>
          <w:spacing w:val="-6"/>
          <w:w w:val="105"/>
          <w:sz w:val="13"/>
        </w:rPr>
        <w:t> </w:t>
      </w:r>
      <w:r>
        <w:rPr>
          <w:w w:val="105"/>
          <w:sz w:val="13"/>
        </w:rPr>
        <w:t>interest</w:t>
      </w:r>
      <w:r>
        <w:rPr>
          <w:spacing w:val="-6"/>
          <w:w w:val="105"/>
          <w:sz w:val="13"/>
        </w:rPr>
        <w:t> </w:t>
      </w:r>
      <w:r>
        <w:rPr>
          <w:w w:val="105"/>
          <w:sz w:val="13"/>
        </w:rPr>
        <w:t>rates</w:t>
      </w:r>
      <w:r>
        <w:rPr>
          <w:spacing w:val="-6"/>
          <w:w w:val="105"/>
          <w:sz w:val="13"/>
        </w:rPr>
        <w:t> </w:t>
      </w:r>
      <w:r>
        <w:rPr>
          <w:w w:val="105"/>
          <w:sz w:val="13"/>
        </w:rPr>
        <w:t>applicable</w:t>
      </w:r>
      <w:r>
        <w:rPr>
          <w:spacing w:val="-7"/>
          <w:w w:val="105"/>
          <w:sz w:val="13"/>
        </w:rPr>
        <w:t> </w:t>
      </w:r>
      <w:r>
        <w:rPr>
          <w:w w:val="105"/>
          <w:sz w:val="13"/>
        </w:rPr>
        <w:t>to</w:t>
      </w:r>
      <w:r>
        <w:rPr>
          <w:spacing w:val="-7"/>
          <w:w w:val="105"/>
          <w:sz w:val="13"/>
        </w:rPr>
        <w:t> </w:t>
      </w:r>
      <w:r>
        <w:rPr>
          <w:w w:val="105"/>
          <w:sz w:val="13"/>
        </w:rPr>
        <w:t>the</w:t>
      </w:r>
      <w:r>
        <w:rPr>
          <w:spacing w:val="-7"/>
          <w:w w:val="105"/>
          <w:sz w:val="13"/>
        </w:rPr>
        <w:t> </w:t>
      </w:r>
      <w:r>
        <w:rPr>
          <w:w w:val="105"/>
          <w:sz w:val="13"/>
        </w:rPr>
        <w:t>financial</w:t>
      </w:r>
      <w:r>
        <w:rPr>
          <w:spacing w:val="-6"/>
          <w:w w:val="105"/>
          <w:sz w:val="13"/>
        </w:rPr>
        <w:t> </w:t>
      </w:r>
      <w:r>
        <w:rPr>
          <w:spacing w:val="-2"/>
          <w:w w:val="105"/>
          <w:sz w:val="13"/>
        </w:rPr>
        <w:t>assets.</w:t>
      </w:r>
    </w:p>
    <w:p>
      <w:pPr>
        <w:spacing w:line="240" w:lineRule="auto" w:before="40"/>
        <w:rPr>
          <w:sz w:val="13"/>
        </w:rPr>
      </w:pPr>
    </w:p>
    <w:p>
      <w:pPr>
        <w:spacing w:before="0"/>
        <w:ind w:left="851" w:right="0" w:firstLine="0"/>
        <w:jc w:val="both"/>
        <w:rPr>
          <w:b/>
          <w:sz w:val="13"/>
        </w:rPr>
      </w:pPr>
      <w:r>
        <w:rPr>
          <w:b/>
          <w:w w:val="105"/>
          <w:sz w:val="13"/>
        </w:rPr>
        <w:t>Dividends,</w:t>
      </w:r>
      <w:r>
        <w:rPr>
          <w:b/>
          <w:spacing w:val="-6"/>
          <w:w w:val="105"/>
          <w:sz w:val="13"/>
        </w:rPr>
        <w:t> </w:t>
      </w:r>
      <w:r>
        <w:rPr>
          <w:b/>
          <w:w w:val="105"/>
          <w:sz w:val="13"/>
        </w:rPr>
        <w:t>trust</w:t>
      </w:r>
      <w:r>
        <w:rPr>
          <w:b/>
          <w:spacing w:val="-6"/>
          <w:w w:val="105"/>
          <w:sz w:val="13"/>
        </w:rPr>
        <w:t> </w:t>
      </w:r>
      <w:r>
        <w:rPr>
          <w:b/>
          <w:w w:val="105"/>
          <w:sz w:val="13"/>
        </w:rPr>
        <w:t>distributions</w:t>
      </w:r>
      <w:r>
        <w:rPr>
          <w:b/>
          <w:spacing w:val="-7"/>
          <w:w w:val="105"/>
          <w:sz w:val="13"/>
        </w:rPr>
        <w:t> </w:t>
      </w:r>
      <w:r>
        <w:rPr>
          <w:b/>
          <w:w w:val="105"/>
          <w:sz w:val="13"/>
        </w:rPr>
        <w:t>and</w:t>
      </w:r>
      <w:r>
        <w:rPr>
          <w:b/>
          <w:spacing w:val="-6"/>
          <w:w w:val="105"/>
          <w:sz w:val="13"/>
        </w:rPr>
        <w:t> </w:t>
      </w:r>
      <w:r>
        <w:rPr>
          <w:b/>
          <w:w w:val="105"/>
          <w:sz w:val="13"/>
        </w:rPr>
        <w:t>imputation</w:t>
      </w:r>
      <w:r>
        <w:rPr>
          <w:b/>
          <w:spacing w:val="-6"/>
          <w:w w:val="105"/>
          <w:sz w:val="13"/>
        </w:rPr>
        <w:t> </w:t>
      </w:r>
      <w:r>
        <w:rPr>
          <w:b/>
          <w:spacing w:val="-2"/>
          <w:w w:val="105"/>
          <w:sz w:val="13"/>
        </w:rPr>
        <w:t>credits</w:t>
      </w:r>
    </w:p>
    <w:p>
      <w:pPr>
        <w:spacing w:line="273" w:lineRule="auto" w:before="26"/>
        <w:ind w:left="849" w:right="1808" w:firstLine="0"/>
        <w:jc w:val="both"/>
        <w:rPr>
          <w:sz w:val="13"/>
        </w:rPr>
      </w:pPr>
      <w:r>
        <w:rPr>
          <w:w w:val="105"/>
          <w:sz w:val="13"/>
        </w:rPr>
        <w:t>Revenue is recognised when (a) the Group's right to receive the payment is established, which is generally when shareholders approve</w:t>
      </w:r>
      <w:r>
        <w:rPr>
          <w:spacing w:val="40"/>
          <w:w w:val="105"/>
          <w:sz w:val="13"/>
        </w:rPr>
        <w:t> </w:t>
      </w:r>
      <w:r>
        <w:rPr>
          <w:w w:val="105"/>
          <w:sz w:val="13"/>
        </w:rPr>
        <w:t>the dividend, (b) it is probable that the economic benefits associated with the dividend will flow to the entity; and (c) the amount of the</w:t>
      </w:r>
      <w:r>
        <w:rPr>
          <w:spacing w:val="40"/>
          <w:w w:val="105"/>
          <w:sz w:val="13"/>
        </w:rPr>
        <w:t> </w:t>
      </w:r>
      <w:r>
        <w:rPr>
          <w:w w:val="105"/>
          <w:sz w:val="13"/>
        </w:rPr>
        <w:t>dividend can be measured reliably.</w:t>
      </w:r>
    </w:p>
    <w:p>
      <w:pPr>
        <w:spacing w:line="240" w:lineRule="auto" w:before="107"/>
        <w:rPr>
          <w:sz w:val="13"/>
        </w:rPr>
      </w:pPr>
    </w:p>
    <w:p>
      <w:pPr>
        <w:spacing w:before="0"/>
        <w:ind w:left="849" w:right="0" w:firstLine="0"/>
        <w:jc w:val="left"/>
        <w:rPr>
          <w:b/>
          <w:sz w:val="13"/>
        </w:rPr>
      </w:pPr>
      <w:r>
        <w:rPr>
          <w:b/>
          <w:spacing w:val="-2"/>
          <w:w w:val="105"/>
          <w:sz w:val="13"/>
        </w:rPr>
        <w:t>Investment</w:t>
      </w:r>
      <w:r>
        <w:rPr>
          <w:b/>
          <w:spacing w:val="8"/>
          <w:w w:val="105"/>
          <w:sz w:val="13"/>
        </w:rPr>
        <w:t> </w:t>
      </w:r>
      <w:r>
        <w:rPr>
          <w:b/>
          <w:spacing w:val="-2"/>
          <w:w w:val="105"/>
          <w:sz w:val="13"/>
        </w:rPr>
        <w:t>gains/(losses)</w:t>
      </w:r>
    </w:p>
    <w:p>
      <w:pPr>
        <w:spacing w:before="25"/>
        <w:ind w:left="849" w:right="0" w:firstLine="0"/>
        <w:jc w:val="left"/>
        <w:rPr>
          <w:sz w:val="13"/>
        </w:rPr>
      </w:pPr>
      <w:r>
        <w:rPr>
          <w:w w:val="105"/>
          <w:sz w:val="13"/>
        </w:rPr>
        <w:t>Refer</w:t>
      </w:r>
      <w:r>
        <w:rPr>
          <w:spacing w:val="-4"/>
          <w:w w:val="105"/>
          <w:sz w:val="13"/>
        </w:rPr>
        <w:t> </w:t>
      </w:r>
      <w:r>
        <w:rPr>
          <w:w w:val="105"/>
          <w:sz w:val="13"/>
        </w:rPr>
        <w:t>to</w:t>
      </w:r>
      <w:r>
        <w:rPr>
          <w:spacing w:val="-6"/>
          <w:w w:val="105"/>
          <w:sz w:val="13"/>
        </w:rPr>
        <w:t> </w:t>
      </w:r>
      <w:r>
        <w:rPr>
          <w:w w:val="105"/>
          <w:sz w:val="13"/>
        </w:rPr>
        <w:t>note</w:t>
      </w:r>
      <w:r>
        <w:rPr>
          <w:spacing w:val="-6"/>
          <w:w w:val="105"/>
          <w:sz w:val="13"/>
        </w:rPr>
        <w:t> </w:t>
      </w:r>
      <w:r>
        <w:rPr>
          <w:w w:val="105"/>
          <w:sz w:val="13"/>
        </w:rPr>
        <w:t>5.3</w:t>
      </w:r>
      <w:r>
        <w:rPr>
          <w:spacing w:val="-6"/>
          <w:w w:val="105"/>
          <w:sz w:val="13"/>
        </w:rPr>
        <w:t> </w:t>
      </w:r>
      <w:r>
        <w:rPr>
          <w:w w:val="105"/>
          <w:sz w:val="13"/>
        </w:rPr>
        <w:t>and</w:t>
      </w:r>
      <w:r>
        <w:rPr>
          <w:spacing w:val="-6"/>
          <w:w w:val="105"/>
          <w:sz w:val="13"/>
        </w:rPr>
        <w:t> </w:t>
      </w:r>
      <w:r>
        <w:rPr>
          <w:w w:val="105"/>
          <w:sz w:val="13"/>
        </w:rPr>
        <w:t>6.2</w:t>
      </w:r>
      <w:r>
        <w:rPr>
          <w:spacing w:val="-5"/>
          <w:w w:val="105"/>
          <w:sz w:val="13"/>
        </w:rPr>
        <w:t> </w:t>
      </w:r>
      <w:r>
        <w:rPr>
          <w:w w:val="105"/>
          <w:sz w:val="13"/>
        </w:rPr>
        <w:t>for</w:t>
      </w:r>
      <w:r>
        <w:rPr>
          <w:spacing w:val="-4"/>
          <w:w w:val="105"/>
          <w:sz w:val="13"/>
        </w:rPr>
        <w:t> </w:t>
      </w:r>
      <w:r>
        <w:rPr>
          <w:w w:val="105"/>
          <w:sz w:val="13"/>
        </w:rPr>
        <w:t>the</w:t>
      </w:r>
      <w:r>
        <w:rPr>
          <w:spacing w:val="-6"/>
          <w:w w:val="105"/>
          <w:sz w:val="13"/>
        </w:rPr>
        <w:t> </w:t>
      </w:r>
      <w:r>
        <w:rPr>
          <w:w w:val="105"/>
          <w:sz w:val="13"/>
        </w:rPr>
        <w:t>accounting</w:t>
      </w:r>
      <w:r>
        <w:rPr>
          <w:spacing w:val="-6"/>
          <w:w w:val="105"/>
          <w:sz w:val="13"/>
        </w:rPr>
        <w:t> </w:t>
      </w:r>
      <w:r>
        <w:rPr>
          <w:w w:val="105"/>
          <w:sz w:val="13"/>
        </w:rPr>
        <w:t>policy</w:t>
      </w:r>
      <w:r>
        <w:rPr>
          <w:spacing w:val="-8"/>
          <w:w w:val="105"/>
          <w:sz w:val="13"/>
        </w:rPr>
        <w:t> </w:t>
      </w:r>
      <w:r>
        <w:rPr>
          <w:w w:val="105"/>
          <w:sz w:val="13"/>
        </w:rPr>
        <w:t>for</w:t>
      </w:r>
      <w:r>
        <w:rPr>
          <w:spacing w:val="-4"/>
          <w:w w:val="105"/>
          <w:sz w:val="13"/>
        </w:rPr>
        <w:t> </w:t>
      </w:r>
      <w:r>
        <w:rPr>
          <w:w w:val="105"/>
          <w:sz w:val="13"/>
        </w:rPr>
        <w:t>investment</w:t>
      </w:r>
      <w:r>
        <w:rPr>
          <w:spacing w:val="-5"/>
          <w:w w:val="105"/>
          <w:sz w:val="13"/>
        </w:rPr>
        <w:t> </w:t>
      </w:r>
      <w:r>
        <w:rPr>
          <w:spacing w:val="-2"/>
          <w:w w:val="105"/>
          <w:sz w:val="13"/>
        </w:rPr>
        <w:t>gains/(losses).</w:t>
      </w:r>
    </w:p>
    <w:p>
      <w:pPr>
        <w:spacing w:line="240" w:lineRule="auto" w:before="80"/>
        <w:rPr>
          <w:sz w:val="20"/>
        </w:rPr>
      </w:pPr>
      <w:r>
        <w:rPr/>
        <mc:AlternateContent>
          <mc:Choice Requires="wps">
            <w:drawing>
              <wp:anchor distT="0" distB="0" distL="0" distR="0" allowOverlap="1" layoutInCell="1" locked="0" behindDoc="1" simplePos="0" relativeHeight="487738368">
                <wp:simplePos x="0" y="0"/>
                <wp:positionH relativeFrom="page">
                  <wp:posOffset>720001</wp:posOffset>
                </wp:positionH>
                <wp:positionV relativeFrom="paragraph">
                  <wp:posOffset>212071</wp:posOffset>
                </wp:positionV>
                <wp:extent cx="5706110" cy="17145"/>
                <wp:effectExtent l="0" t="0" r="0" b="0"/>
                <wp:wrapTopAndBottom/>
                <wp:docPr id="901" name="Graphic 901"/>
                <wp:cNvGraphicFramePr>
                  <a:graphicFrameLocks/>
                </wp:cNvGraphicFramePr>
                <a:graphic>
                  <a:graphicData uri="http://schemas.microsoft.com/office/word/2010/wordprocessingShape">
                    <wps:wsp>
                      <wps:cNvPr id="901" name="Graphic 901"/>
                      <wps:cNvSpPr/>
                      <wps:spPr>
                        <a:xfrm>
                          <a:off x="0" y="0"/>
                          <a:ext cx="5706110" cy="17145"/>
                        </a:xfrm>
                        <a:custGeom>
                          <a:avLst/>
                          <a:gdLst/>
                          <a:ahLst/>
                          <a:cxnLst/>
                          <a:rect l="l" t="t" r="r" b="b"/>
                          <a:pathLst>
                            <a:path w="5706110" h="17145">
                              <a:moveTo>
                                <a:pt x="5705983" y="0"/>
                              </a:moveTo>
                              <a:lnTo>
                                <a:pt x="0" y="0"/>
                              </a:lnTo>
                              <a:lnTo>
                                <a:pt x="0" y="16865"/>
                              </a:lnTo>
                              <a:lnTo>
                                <a:pt x="5705983" y="16865"/>
                              </a:lnTo>
                              <a:lnTo>
                                <a:pt x="5705983"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6.693001pt;margin-top:16.698530pt;width:449.29pt;height:1.328pt;mso-position-horizontal-relative:page;mso-position-vertical-relative:paragraph;z-index:-15578112;mso-wrap-distance-left:0;mso-wrap-distance-right:0" id="docshape595" filled="true" fillcolor="#4f81bd" stroked="false">
                <v:fill type="solid"/>
                <w10:wrap type="topAndBottom"/>
              </v:rect>
            </w:pict>
          </mc:Fallback>
        </mc:AlternateContent>
      </w:r>
    </w:p>
    <w:p>
      <w:pPr>
        <w:spacing w:after="0" w:line="240" w:lineRule="auto"/>
        <w:rPr>
          <w:sz w:val="20"/>
        </w:rPr>
        <w:sectPr>
          <w:pgSz w:w="11910" w:h="16840"/>
          <w:pgMar w:header="468" w:footer="0" w:top="720" w:bottom="280" w:left="920" w:right="0"/>
        </w:sectPr>
      </w:pPr>
    </w:p>
    <w:p>
      <w:pPr>
        <w:spacing w:line="240" w:lineRule="auto" w:before="141"/>
        <w:rPr>
          <w:sz w:val="16"/>
        </w:rPr>
      </w:pPr>
    </w:p>
    <w:p>
      <w:pPr>
        <w:pStyle w:val="ListParagraph"/>
        <w:numPr>
          <w:ilvl w:val="1"/>
          <w:numId w:val="13"/>
        </w:numPr>
        <w:tabs>
          <w:tab w:pos="850" w:val="left" w:leader="none"/>
          <w:tab w:pos="5982" w:val="left" w:leader="none"/>
          <w:tab w:pos="7913" w:val="left" w:leader="none"/>
        </w:tabs>
        <w:spacing w:line="240" w:lineRule="auto" w:before="0" w:after="26"/>
        <w:ind w:left="850" w:right="0" w:hanging="605"/>
        <w:jc w:val="left"/>
        <w:rPr>
          <w:b/>
          <w:color w:val="0070C0"/>
          <w:sz w:val="16"/>
        </w:rPr>
      </w:pPr>
      <w:r>
        <w:rPr>
          <w:b/>
          <w:color w:val="0070C0"/>
          <w:sz w:val="16"/>
        </w:rPr>
        <w:t>Consultancy</w:t>
      </w:r>
      <w:r>
        <w:rPr>
          <w:b/>
          <w:color w:val="0070C0"/>
          <w:spacing w:val="-5"/>
          <w:sz w:val="16"/>
        </w:rPr>
        <w:t> </w:t>
      </w:r>
      <w:r>
        <w:rPr>
          <w:b/>
          <w:color w:val="0070C0"/>
          <w:sz w:val="16"/>
        </w:rPr>
        <w:t>and</w:t>
      </w:r>
      <w:r>
        <w:rPr>
          <w:b/>
          <w:color w:val="0070C0"/>
          <w:spacing w:val="2"/>
          <w:sz w:val="16"/>
        </w:rPr>
        <w:t> </w:t>
      </w:r>
      <w:r>
        <w:rPr>
          <w:b/>
          <w:color w:val="0070C0"/>
          <w:sz w:val="16"/>
        </w:rPr>
        <w:t>other</w:t>
      </w:r>
      <w:r>
        <w:rPr>
          <w:b/>
          <w:color w:val="0070C0"/>
          <w:spacing w:val="3"/>
          <w:sz w:val="16"/>
        </w:rPr>
        <w:t> </w:t>
      </w:r>
      <w:r>
        <w:rPr>
          <w:b/>
          <w:color w:val="0070C0"/>
          <w:spacing w:val="-2"/>
          <w:sz w:val="16"/>
        </w:rPr>
        <w:t>contracts</w:t>
      </w:r>
      <w:r>
        <w:rPr>
          <w:b/>
          <w:color w:val="0070C0"/>
          <w:sz w:val="16"/>
        </w:rPr>
        <w:tab/>
      </w:r>
      <w:r>
        <w:rPr>
          <w:b/>
          <w:spacing w:val="-2"/>
          <w:sz w:val="13"/>
        </w:rPr>
        <w:t>Consolidated</w:t>
      </w:r>
      <w:r>
        <w:rPr>
          <w:b/>
          <w:sz w:val="13"/>
        </w:rPr>
        <w:tab/>
      </w:r>
      <w:r>
        <w:rPr>
          <w:b/>
          <w:spacing w:val="-2"/>
          <w:sz w:val="13"/>
        </w:rPr>
        <w:t>University</w:t>
      </w:r>
    </w:p>
    <w:tbl>
      <w:tblPr>
        <w:tblW w:w="0" w:type="auto"/>
        <w:jc w:val="left"/>
        <w:tblInd w:w="8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682"/>
        <w:gridCol w:w="1026"/>
        <w:gridCol w:w="913"/>
        <w:gridCol w:w="913"/>
        <w:gridCol w:w="802"/>
      </w:tblGrid>
      <w:tr>
        <w:trPr>
          <w:trHeight w:val="327" w:hRule="atLeast"/>
        </w:trPr>
        <w:tc>
          <w:tcPr>
            <w:tcW w:w="5708" w:type="dxa"/>
            <w:gridSpan w:val="2"/>
          </w:tcPr>
          <w:p>
            <w:pPr>
              <w:pStyle w:val="TableParagraph"/>
              <w:spacing w:before="1"/>
              <w:ind w:right="412"/>
              <w:jc w:val="right"/>
              <w:rPr>
                <w:b/>
                <w:sz w:val="13"/>
              </w:rPr>
            </w:pPr>
            <w:r>
              <w:rPr>
                <w:b/>
                <w:spacing w:val="-4"/>
                <w:w w:val="105"/>
                <w:sz w:val="13"/>
              </w:rPr>
              <w:t>2020</w:t>
            </w:r>
          </w:p>
          <w:p>
            <w:pPr>
              <w:pStyle w:val="TableParagraph"/>
              <w:spacing w:line="134" w:lineRule="exact" w:before="23"/>
              <w:ind w:right="394"/>
              <w:jc w:val="right"/>
              <w:rPr>
                <w:b/>
                <w:sz w:val="13"/>
              </w:rPr>
            </w:pPr>
            <w:r>
              <w:rPr>
                <w:b/>
                <w:spacing w:val="-2"/>
                <w:w w:val="105"/>
                <w:sz w:val="13"/>
              </w:rPr>
              <w:t>$'000</w:t>
            </w:r>
          </w:p>
        </w:tc>
        <w:tc>
          <w:tcPr>
            <w:tcW w:w="913" w:type="dxa"/>
            <w:tcBorders>
              <w:bottom w:val="single" w:sz="6" w:space="0" w:color="000000"/>
            </w:tcBorders>
          </w:tcPr>
          <w:p>
            <w:pPr>
              <w:pStyle w:val="TableParagraph"/>
              <w:spacing w:before="1"/>
              <w:ind w:left="200"/>
              <w:rPr>
                <w:b/>
                <w:sz w:val="13"/>
              </w:rPr>
            </w:pPr>
            <w:r>
              <w:rPr>
                <w:b/>
                <w:spacing w:val="-4"/>
                <w:w w:val="105"/>
                <w:sz w:val="13"/>
              </w:rPr>
              <w:t>2019</w:t>
            </w:r>
          </w:p>
          <w:p>
            <w:pPr>
              <w:pStyle w:val="TableParagraph"/>
              <w:spacing w:line="134" w:lineRule="exact" w:before="23"/>
              <w:ind w:left="185"/>
              <w:rPr>
                <w:b/>
                <w:sz w:val="13"/>
              </w:rPr>
            </w:pPr>
            <w:r>
              <w:rPr>
                <w:b/>
                <w:spacing w:val="-2"/>
                <w:w w:val="105"/>
                <w:sz w:val="13"/>
              </w:rPr>
              <w:t>$'000</w:t>
            </w:r>
          </w:p>
        </w:tc>
        <w:tc>
          <w:tcPr>
            <w:tcW w:w="913" w:type="dxa"/>
            <w:tcBorders>
              <w:bottom w:val="single" w:sz="6" w:space="0" w:color="000000"/>
            </w:tcBorders>
          </w:tcPr>
          <w:p>
            <w:pPr>
              <w:pStyle w:val="TableParagraph"/>
              <w:spacing w:before="1"/>
              <w:ind w:left="201"/>
              <w:rPr>
                <w:b/>
                <w:sz w:val="13"/>
              </w:rPr>
            </w:pPr>
            <w:r>
              <w:rPr>
                <w:b/>
                <w:spacing w:val="-4"/>
                <w:w w:val="105"/>
                <w:sz w:val="13"/>
              </w:rPr>
              <w:t>2020</w:t>
            </w:r>
          </w:p>
          <w:p>
            <w:pPr>
              <w:pStyle w:val="TableParagraph"/>
              <w:spacing w:line="134" w:lineRule="exact" w:before="23"/>
              <w:ind w:left="185"/>
              <w:rPr>
                <w:b/>
                <w:sz w:val="13"/>
              </w:rPr>
            </w:pPr>
            <w:r>
              <w:rPr>
                <w:b/>
                <w:spacing w:val="-2"/>
                <w:w w:val="105"/>
                <w:sz w:val="13"/>
              </w:rPr>
              <w:t>$'000</w:t>
            </w:r>
          </w:p>
        </w:tc>
        <w:tc>
          <w:tcPr>
            <w:tcW w:w="802" w:type="dxa"/>
            <w:tcBorders>
              <w:bottom w:val="single" w:sz="6" w:space="0" w:color="000000"/>
            </w:tcBorders>
          </w:tcPr>
          <w:p>
            <w:pPr>
              <w:pStyle w:val="TableParagraph"/>
              <w:spacing w:before="1"/>
              <w:ind w:left="201"/>
              <w:rPr>
                <w:b/>
                <w:sz w:val="13"/>
              </w:rPr>
            </w:pPr>
            <w:r>
              <w:rPr>
                <w:b/>
                <w:spacing w:val="-4"/>
                <w:w w:val="105"/>
                <w:sz w:val="13"/>
              </w:rPr>
              <w:t>2019</w:t>
            </w:r>
          </w:p>
          <w:p>
            <w:pPr>
              <w:pStyle w:val="TableParagraph"/>
              <w:spacing w:line="134" w:lineRule="exact" w:before="23"/>
              <w:ind w:left="186"/>
              <w:rPr>
                <w:b/>
                <w:sz w:val="13"/>
              </w:rPr>
            </w:pPr>
            <w:r>
              <w:rPr>
                <w:b/>
                <w:spacing w:val="-2"/>
                <w:w w:val="105"/>
                <w:sz w:val="13"/>
              </w:rPr>
              <w:t>$'000</w:t>
            </w:r>
          </w:p>
        </w:tc>
      </w:tr>
      <w:tr>
        <w:trPr>
          <w:trHeight w:val="334" w:hRule="atLeast"/>
        </w:trPr>
        <w:tc>
          <w:tcPr>
            <w:tcW w:w="4682" w:type="dxa"/>
          </w:tcPr>
          <w:p>
            <w:pPr>
              <w:pStyle w:val="TableParagraph"/>
              <w:spacing w:before="24"/>
              <w:rPr>
                <w:b/>
                <w:sz w:val="13"/>
              </w:rPr>
            </w:pPr>
          </w:p>
          <w:p>
            <w:pPr>
              <w:pStyle w:val="TableParagraph"/>
              <w:spacing w:line="140" w:lineRule="exact" w:before="1"/>
              <w:ind w:left="34"/>
              <w:rPr>
                <w:sz w:val="13"/>
              </w:rPr>
            </w:pPr>
            <w:r>
              <w:rPr>
                <w:spacing w:val="-2"/>
                <w:w w:val="105"/>
                <w:sz w:val="13"/>
              </w:rPr>
              <w:t>International</w:t>
            </w:r>
            <w:r>
              <w:rPr>
                <w:spacing w:val="2"/>
                <w:w w:val="105"/>
                <w:sz w:val="13"/>
              </w:rPr>
              <w:t> </w:t>
            </w:r>
            <w:r>
              <w:rPr>
                <w:spacing w:val="-2"/>
                <w:w w:val="105"/>
                <w:sz w:val="13"/>
              </w:rPr>
              <w:t>research</w:t>
            </w:r>
            <w:r>
              <w:rPr>
                <w:spacing w:val="2"/>
                <w:w w:val="105"/>
                <w:sz w:val="13"/>
              </w:rPr>
              <w:t> </w:t>
            </w:r>
            <w:r>
              <w:rPr>
                <w:spacing w:val="-2"/>
                <w:w w:val="105"/>
                <w:sz w:val="13"/>
              </w:rPr>
              <w:t>grants</w:t>
            </w:r>
          </w:p>
        </w:tc>
        <w:tc>
          <w:tcPr>
            <w:tcW w:w="1026" w:type="dxa"/>
          </w:tcPr>
          <w:p>
            <w:pPr>
              <w:pStyle w:val="TableParagraph"/>
              <w:spacing w:before="24"/>
              <w:rPr>
                <w:b/>
                <w:sz w:val="13"/>
              </w:rPr>
            </w:pPr>
          </w:p>
          <w:p>
            <w:pPr>
              <w:pStyle w:val="TableParagraph"/>
              <w:spacing w:line="140" w:lineRule="exact" w:before="1"/>
              <w:ind w:right="182"/>
              <w:jc w:val="right"/>
              <w:rPr>
                <w:sz w:val="13"/>
              </w:rPr>
            </w:pPr>
            <w:r>
              <w:rPr>
                <w:spacing w:val="-2"/>
                <w:w w:val="105"/>
                <w:sz w:val="13"/>
              </w:rPr>
              <w:t>19,550</w:t>
            </w:r>
          </w:p>
        </w:tc>
        <w:tc>
          <w:tcPr>
            <w:tcW w:w="913" w:type="dxa"/>
          </w:tcPr>
          <w:p>
            <w:pPr>
              <w:pStyle w:val="TableParagraph"/>
              <w:spacing w:before="24"/>
              <w:rPr>
                <w:b/>
                <w:sz w:val="13"/>
              </w:rPr>
            </w:pPr>
          </w:p>
          <w:p>
            <w:pPr>
              <w:pStyle w:val="TableParagraph"/>
              <w:spacing w:line="140" w:lineRule="exact" w:before="1"/>
              <w:ind w:right="182"/>
              <w:jc w:val="right"/>
              <w:rPr>
                <w:sz w:val="13"/>
              </w:rPr>
            </w:pPr>
            <w:r>
              <w:rPr>
                <w:spacing w:val="-2"/>
                <w:w w:val="105"/>
                <w:sz w:val="13"/>
              </w:rPr>
              <w:t>12,946</w:t>
            </w:r>
          </w:p>
        </w:tc>
        <w:tc>
          <w:tcPr>
            <w:tcW w:w="913" w:type="dxa"/>
          </w:tcPr>
          <w:p>
            <w:pPr>
              <w:pStyle w:val="TableParagraph"/>
              <w:spacing w:before="24"/>
              <w:rPr>
                <w:b/>
                <w:sz w:val="13"/>
              </w:rPr>
            </w:pPr>
          </w:p>
          <w:p>
            <w:pPr>
              <w:pStyle w:val="TableParagraph"/>
              <w:spacing w:line="140" w:lineRule="exact" w:before="1"/>
              <w:ind w:right="181"/>
              <w:jc w:val="right"/>
              <w:rPr>
                <w:sz w:val="13"/>
              </w:rPr>
            </w:pPr>
            <w:r>
              <w:rPr>
                <w:spacing w:val="-2"/>
                <w:w w:val="105"/>
                <w:sz w:val="13"/>
              </w:rPr>
              <w:t>19,550</w:t>
            </w:r>
          </w:p>
        </w:tc>
        <w:tc>
          <w:tcPr>
            <w:tcW w:w="802" w:type="dxa"/>
          </w:tcPr>
          <w:p>
            <w:pPr>
              <w:pStyle w:val="TableParagraph"/>
              <w:spacing w:before="24"/>
              <w:rPr>
                <w:b/>
                <w:sz w:val="13"/>
              </w:rPr>
            </w:pPr>
          </w:p>
          <w:p>
            <w:pPr>
              <w:pStyle w:val="TableParagraph"/>
              <w:spacing w:line="140" w:lineRule="exact" w:before="1"/>
              <w:ind w:right="69"/>
              <w:jc w:val="right"/>
              <w:rPr>
                <w:sz w:val="13"/>
              </w:rPr>
            </w:pPr>
            <w:r>
              <w:rPr>
                <w:spacing w:val="-2"/>
                <w:w w:val="105"/>
                <w:sz w:val="13"/>
              </w:rPr>
              <w:t>12,946</w:t>
            </w:r>
          </w:p>
        </w:tc>
      </w:tr>
      <w:tr>
        <w:trPr>
          <w:trHeight w:val="171" w:hRule="atLeast"/>
        </w:trPr>
        <w:tc>
          <w:tcPr>
            <w:tcW w:w="4682" w:type="dxa"/>
          </w:tcPr>
          <w:p>
            <w:pPr>
              <w:pStyle w:val="TableParagraph"/>
              <w:spacing w:line="140" w:lineRule="exact" w:before="11"/>
              <w:ind w:left="35"/>
              <w:rPr>
                <w:sz w:val="13"/>
              </w:rPr>
            </w:pPr>
            <w:r>
              <w:rPr>
                <w:spacing w:val="-2"/>
                <w:w w:val="105"/>
                <w:sz w:val="13"/>
              </w:rPr>
              <w:t>Philanthropic</w:t>
            </w:r>
            <w:r>
              <w:rPr>
                <w:spacing w:val="3"/>
                <w:w w:val="105"/>
                <w:sz w:val="13"/>
              </w:rPr>
              <w:t> </w:t>
            </w:r>
            <w:r>
              <w:rPr>
                <w:spacing w:val="-2"/>
                <w:w w:val="105"/>
                <w:sz w:val="13"/>
              </w:rPr>
              <w:t>research</w:t>
            </w:r>
            <w:r>
              <w:rPr>
                <w:spacing w:val="3"/>
                <w:w w:val="105"/>
                <w:sz w:val="13"/>
              </w:rPr>
              <w:t> </w:t>
            </w:r>
            <w:r>
              <w:rPr>
                <w:spacing w:val="-2"/>
                <w:w w:val="105"/>
                <w:sz w:val="13"/>
              </w:rPr>
              <w:t>grants</w:t>
            </w:r>
          </w:p>
        </w:tc>
        <w:tc>
          <w:tcPr>
            <w:tcW w:w="1026" w:type="dxa"/>
          </w:tcPr>
          <w:p>
            <w:pPr>
              <w:pStyle w:val="TableParagraph"/>
              <w:spacing w:line="140" w:lineRule="exact" w:before="11"/>
              <w:ind w:right="182"/>
              <w:jc w:val="right"/>
              <w:rPr>
                <w:sz w:val="13"/>
              </w:rPr>
            </w:pPr>
            <w:r>
              <w:rPr>
                <w:spacing w:val="-5"/>
                <w:w w:val="105"/>
                <w:sz w:val="13"/>
              </w:rPr>
              <w:t>243</w:t>
            </w:r>
          </w:p>
        </w:tc>
        <w:tc>
          <w:tcPr>
            <w:tcW w:w="913" w:type="dxa"/>
          </w:tcPr>
          <w:p>
            <w:pPr>
              <w:pStyle w:val="TableParagraph"/>
              <w:spacing w:line="140" w:lineRule="exact" w:before="11"/>
              <w:ind w:right="181"/>
              <w:jc w:val="right"/>
              <w:rPr>
                <w:sz w:val="13"/>
              </w:rPr>
            </w:pPr>
            <w:r>
              <w:rPr>
                <w:spacing w:val="-5"/>
                <w:w w:val="105"/>
                <w:sz w:val="13"/>
              </w:rPr>
              <w:t>266</w:t>
            </w:r>
          </w:p>
        </w:tc>
        <w:tc>
          <w:tcPr>
            <w:tcW w:w="913" w:type="dxa"/>
          </w:tcPr>
          <w:p>
            <w:pPr>
              <w:pStyle w:val="TableParagraph"/>
              <w:spacing w:line="140" w:lineRule="exact" w:before="11"/>
              <w:ind w:right="181"/>
              <w:jc w:val="right"/>
              <w:rPr>
                <w:sz w:val="13"/>
              </w:rPr>
            </w:pPr>
            <w:r>
              <w:rPr>
                <w:spacing w:val="-5"/>
                <w:w w:val="105"/>
                <w:sz w:val="13"/>
              </w:rPr>
              <w:t>243</w:t>
            </w:r>
          </w:p>
        </w:tc>
        <w:tc>
          <w:tcPr>
            <w:tcW w:w="802" w:type="dxa"/>
          </w:tcPr>
          <w:p>
            <w:pPr>
              <w:pStyle w:val="TableParagraph"/>
              <w:spacing w:line="140" w:lineRule="exact" w:before="11"/>
              <w:ind w:right="69"/>
              <w:jc w:val="right"/>
              <w:rPr>
                <w:sz w:val="13"/>
              </w:rPr>
            </w:pPr>
            <w:r>
              <w:rPr>
                <w:spacing w:val="-5"/>
                <w:w w:val="105"/>
                <w:sz w:val="13"/>
              </w:rPr>
              <w:t>266</w:t>
            </w:r>
          </w:p>
        </w:tc>
      </w:tr>
      <w:tr>
        <w:trPr>
          <w:trHeight w:val="169" w:hRule="atLeast"/>
        </w:trPr>
        <w:tc>
          <w:tcPr>
            <w:tcW w:w="4682" w:type="dxa"/>
          </w:tcPr>
          <w:p>
            <w:pPr>
              <w:pStyle w:val="TableParagraph"/>
              <w:spacing w:line="138" w:lineRule="exact" w:before="11"/>
              <w:ind w:left="35"/>
              <w:rPr>
                <w:sz w:val="13"/>
              </w:rPr>
            </w:pPr>
            <w:r>
              <w:rPr>
                <w:spacing w:val="-2"/>
                <w:w w:val="105"/>
                <w:sz w:val="13"/>
              </w:rPr>
              <w:t>Industry</w:t>
            </w:r>
            <w:r>
              <w:rPr>
                <w:spacing w:val="-4"/>
                <w:w w:val="105"/>
                <w:sz w:val="13"/>
              </w:rPr>
              <w:t> </w:t>
            </w:r>
            <w:r>
              <w:rPr>
                <w:spacing w:val="-2"/>
                <w:w w:val="105"/>
                <w:sz w:val="13"/>
              </w:rPr>
              <w:t>and</w:t>
            </w:r>
            <w:r>
              <w:rPr>
                <w:w w:val="105"/>
                <w:sz w:val="13"/>
              </w:rPr>
              <w:t> </w:t>
            </w:r>
            <w:r>
              <w:rPr>
                <w:spacing w:val="-2"/>
                <w:w w:val="105"/>
                <w:sz w:val="13"/>
              </w:rPr>
              <w:t>other</w:t>
            </w:r>
            <w:r>
              <w:rPr>
                <w:spacing w:val="2"/>
                <w:w w:val="105"/>
                <w:sz w:val="13"/>
              </w:rPr>
              <w:t> </w:t>
            </w:r>
            <w:r>
              <w:rPr>
                <w:spacing w:val="-2"/>
                <w:w w:val="105"/>
                <w:sz w:val="13"/>
              </w:rPr>
              <w:t>research</w:t>
            </w:r>
            <w:r>
              <w:rPr>
                <w:w w:val="105"/>
                <w:sz w:val="13"/>
              </w:rPr>
              <w:t> </w:t>
            </w:r>
            <w:r>
              <w:rPr>
                <w:spacing w:val="-2"/>
                <w:w w:val="105"/>
                <w:sz w:val="13"/>
              </w:rPr>
              <w:t>grants</w:t>
            </w:r>
          </w:p>
        </w:tc>
        <w:tc>
          <w:tcPr>
            <w:tcW w:w="1026" w:type="dxa"/>
          </w:tcPr>
          <w:p>
            <w:pPr>
              <w:pStyle w:val="TableParagraph"/>
              <w:spacing w:line="138" w:lineRule="exact" w:before="11"/>
              <w:ind w:right="182"/>
              <w:jc w:val="right"/>
              <w:rPr>
                <w:sz w:val="13"/>
              </w:rPr>
            </w:pPr>
            <w:r>
              <w:rPr>
                <w:spacing w:val="-2"/>
                <w:w w:val="105"/>
                <w:sz w:val="13"/>
              </w:rPr>
              <w:t>52,304</w:t>
            </w:r>
          </w:p>
        </w:tc>
        <w:tc>
          <w:tcPr>
            <w:tcW w:w="913" w:type="dxa"/>
          </w:tcPr>
          <w:p>
            <w:pPr>
              <w:pStyle w:val="TableParagraph"/>
              <w:spacing w:line="138" w:lineRule="exact" w:before="11"/>
              <w:ind w:right="181"/>
              <w:jc w:val="right"/>
              <w:rPr>
                <w:sz w:val="13"/>
              </w:rPr>
            </w:pPr>
            <w:r>
              <w:rPr>
                <w:spacing w:val="-2"/>
                <w:w w:val="105"/>
                <w:sz w:val="13"/>
              </w:rPr>
              <w:t>48,192</w:t>
            </w:r>
          </w:p>
        </w:tc>
        <w:tc>
          <w:tcPr>
            <w:tcW w:w="913" w:type="dxa"/>
          </w:tcPr>
          <w:p>
            <w:pPr>
              <w:pStyle w:val="TableParagraph"/>
              <w:spacing w:line="138" w:lineRule="exact" w:before="11"/>
              <w:ind w:right="180"/>
              <w:jc w:val="right"/>
              <w:rPr>
                <w:sz w:val="13"/>
              </w:rPr>
            </w:pPr>
            <w:r>
              <w:rPr>
                <w:spacing w:val="-2"/>
                <w:w w:val="105"/>
                <w:sz w:val="13"/>
              </w:rPr>
              <w:t>52,304</w:t>
            </w:r>
          </w:p>
        </w:tc>
        <w:tc>
          <w:tcPr>
            <w:tcW w:w="802" w:type="dxa"/>
          </w:tcPr>
          <w:p>
            <w:pPr>
              <w:pStyle w:val="TableParagraph"/>
              <w:spacing w:line="138" w:lineRule="exact" w:before="11"/>
              <w:ind w:right="69"/>
              <w:jc w:val="right"/>
              <w:rPr>
                <w:sz w:val="13"/>
              </w:rPr>
            </w:pPr>
            <w:r>
              <w:rPr>
                <w:spacing w:val="-2"/>
                <w:w w:val="105"/>
                <w:sz w:val="13"/>
              </w:rPr>
              <w:t>48,192</w:t>
            </w:r>
          </w:p>
        </w:tc>
      </w:tr>
      <w:tr>
        <w:trPr>
          <w:trHeight w:val="163" w:hRule="atLeast"/>
        </w:trPr>
        <w:tc>
          <w:tcPr>
            <w:tcW w:w="4682" w:type="dxa"/>
          </w:tcPr>
          <w:p>
            <w:pPr>
              <w:pStyle w:val="TableParagraph"/>
              <w:spacing w:line="134" w:lineRule="exact" w:before="9"/>
              <w:ind w:left="34"/>
              <w:rPr>
                <w:sz w:val="13"/>
              </w:rPr>
            </w:pPr>
            <w:r>
              <w:rPr>
                <w:spacing w:val="-2"/>
                <w:w w:val="105"/>
                <w:sz w:val="13"/>
              </w:rPr>
              <w:t>Consultancy</w:t>
            </w:r>
          </w:p>
        </w:tc>
        <w:tc>
          <w:tcPr>
            <w:tcW w:w="1026" w:type="dxa"/>
            <w:tcBorders>
              <w:bottom w:val="single" w:sz="6" w:space="0" w:color="000000"/>
            </w:tcBorders>
          </w:tcPr>
          <w:p>
            <w:pPr>
              <w:pStyle w:val="TableParagraph"/>
              <w:spacing w:line="134" w:lineRule="exact" w:before="9"/>
              <w:ind w:right="183"/>
              <w:jc w:val="right"/>
              <w:rPr>
                <w:sz w:val="13"/>
              </w:rPr>
            </w:pPr>
            <w:r>
              <w:rPr>
                <w:spacing w:val="-2"/>
                <w:w w:val="105"/>
                <w:sz w:val="13"/>
              </w:rPr>
              <w:t>8,076</w:t>
            </w:r>
          </w:p>
        </w:tc>
        <w:tc>
          <w:tcPr>
            <w:tcW w:w="913" w:type="dxa"/>
            <w:tcBorders>
              <w:bottom w:val="single" w:sz="6" w:space="0" w:color="000000"/>
            </w:tcBorders>
          </w:tcPr>
          <w:p>
            <w:pPr>
              <w:pStyle w:val="TableParagraph"/>
              <w:spacing w:line="134" w:lineRule="exact" w:before="9"/>
              <w:ind w:right="182"/>
              <w:jc w:val="right"/>
              <w:rPr>
                <w:sz w:val="13"/>
              </w:rPr>
            </w:pPr>
            <w:r>
              <w:rPr>
                <w:spacing w:val="-2"/>
                <w:w w:val="105"/>
                <w:sz w:val="13"/>
              </w:rPr>
              <w:t>7,177</w:t>
            </w:r>
          </w:p>
        </w:tc>
        <w:tc>
          <w:tcPr>
            <w:tcW w:w="913" w:type="dxa"/>
            <w:tcBorders>
              <w:bottom w:val="single" w:sz="6" w:space="0" w:color="000000"/>
            </w:tcBorders>
          </w:tcPr>
          <w:p>
            <w:pPr>
              <w:pStyle w:val="TableParagraph"/>
              <w:spacing w:line="134" w:lineRule="exact" w:before="9"/>
              <w:ind w:right="181"/>
              <w:jc w:val="right"/>
              <w:rPr>
                <w:sz w:val="13"/>
              </w:rPr>
            </w:pPr>
            <w:r>
              <w:rPr>
                <w:spacing w:val="-2"/>
                <w:w w:val="105"/>
                <w:sz w:val="13"/>
              </w:rPr>
              <w:t>8,076</w:t>
            </w:r>
          </w:p>
        </w:tc>
        <w:tc>
          <w:tcPr>
            <w:tcW w:w="802" w:type="dxa"/>
            <w:tcBorders>
              <w:bottom w:val="single" w:sz="6" w:space="0" w:color="000000"/>
            </w:tcBorders>
          </w:tcPr>
          <w:p>
            <w:pPr>
              <w:pStyle w:val="TableParagraph"/>
              <w:spacing w:line="134" w:lineRule="exact" w:before="9"/>
              <w:ind w:right="69"/>
              <w:jc w:val="right"/>
              <w:rPr>
                <w:sz w:val="13"/>
              </w:rPr>
            </w:pPr>
            <w:r>
              <w:rPr>
                <w:spacing w:val="-2"/>
                <w:w w:val="105"/>
                <w:sz w:val="13"/>
              </w:rPr>
              <w:t>7,177</w:t>
            </w:r>
          </w:p>
        </w:tc>
      </w:tr>
      <w:tr>
        <w:trPr>
          <w:trHeight w:val="156" w:hRule="atLeast"/>
        </w:trPr>
        <w:tc>
          <w:tcPr>
            <w:tcW w:w="4682" w:type="dxa"/>
          </w:tcPr>
          <w:p>
            <w:pPr>
              <w:pStyle w:val="TableParagraph"/>
              <w:spacing w:line="134" w:lineRule="exact" w:before="2"/>
              <w:ind w:left="34"/>
              <w:rPr>
                <w:b/>
                <w:sz w:val="13"/>
              </w:rPr>
            </w:pPr>
            <w:r>
              <w:rPr>
                <w:b/>
                <w:spacing w:val="-2"/>
                <w:w w:val="105"/>
                <w:sz w:val="13"/>
              </w:rPr>
              <w:t>Total</w:t>
            </w:r>
            <w:r>
              <w:rPr>
                <w:b/>
                <w:spacing w:val="2"/>
                <w:w w:val="105"/>
                <w:sz w:val="13"/>
              </w:rPr>
              <w:t> </w:t>
            </w:r>
            <w:r>
              <w:rPr>
                <w:b/>
                <w:spacing w:val="-2"/>
                <w:w w:val="105"/>
                <w:sz w:val="13"/>
              </w:rPr>
              <w:t>consultancy</w:t>
            </w:r>
            <w:r>
              <w:rPr>
                <w:b/>
                <w:spacing w:val="2"/>
                <w:w w:val="105"/>
                <w:sz w:val="13"/>
              </w:rPr>
              <w:t> </w:t>
            </w:r>
            <w:r>
              <w:rPr>
                <w:b/>
                <w:spacing w:val="-2"/>
                <w:w w:val="105"/>
                <w:sz w:val="13"/>
              </w:rPr>
              <w:t>and</w:t>
            </w:r>
            <w:r>
              <w:rPr>
                <w:b/>
                <w:spacing w:val="3"/>
                <w:w w:val="105"/>
                <w:sz w:val="13"/>
              </w:rPr>
              <w:t> </w:t>
            </w:r>
            <w:r>
              <w:rPr>
                <w:b/>
                <w:spacing w:val="-2"/>
                <w:w w:val="105"/>
                <w:sz w:val="13"/>
              </w:rPr>
              <w:t>contracts</w:t>
            </w:r>
          </w:p>
        </w:tc>
        <w:tc>
          <w:tcPr>
            <w:tcW w:w="1026" w:type="dxa"/>
            <w:tcBorders>
              <w:top w:val="single" w:sz="6" w:space="0" w:color="000000"/>
              <w:bottom w:val="single" w:sz="6" w:space="0" w:color="000000"/>
            </w:tcBorders>
          </w:tcPr>
          <w:p>
            <w:pPr>
              <w:pStyle w:val="TableParagraph"/>
              <w:spacing w:line="134" w:lineRule="exact" w:before="2"/>
              <w:ind w:right="183"/>
              <w:jc w:val="right"/>
              <w:rPr>
                <w:b/>
                <w:sz w:val="13"/>
              </w:rPr>
            </w:pPr>
            <w:r>
              <w:rPr>
                <w:b/>
                <w:spacing w:val="-2"/>
                <w:w w:val="105"/>
                <w:sz w:val="13"/>
              </w:rPr>
              <w:t>80,173</w:t>
            </w:r>
          </w:p>
        </w:tc>
        <w:tc>
          <w:tcPr>
            <w:tcW w:w="913" w:type="dxa"/>
            <w:tcBorders>
              <w:top w:val="single" w:sz="6" w:space="0" w:color="000000"/>
              <w:bottom w:val="single" w:sz="6" w:space="0" w:color="000000"/>
            </w:tcBorders>
          </w:tcPr>
          <w:p>
            <w:pPr>
              <w:pStyle w:val="TableParagraph"/>
              <w:spacing w:line="134" w:lineRule="exact" w:before="2"/>
              <w:ind w:right="182"/>
              <w:jc w:val="right"/>
              <w:rPr>
                <w:b/>
                <w:sz w:val="13"/>
              </w:rPr>
            </w:pPr>
            <w:r>
              <w:rPr>
                <w:b/>
                <w:spacing w:val="-2"/>
                <w:w w:val="105"/>
                <w:sz w:val="13"/>
              </w:rPr>
              <w:t>68,581</w:t>
            </w:r>
          </w:p>
        </w:tc>
        <w:tc>
          <w:tcPr>
            <w:tcW w:w="913" w:type="dxa"/>
            <w:tcBorders>
              <w:top w:val="single" w:sz="6" w:space="0" w:color="000000"/>
              <w:bottom w:val="single" w:sz="6" w:space="0" w:color="000000"/>
            </w:tcBorders>
          </w:tcPr>
          <w:p>
            <w:pPr>
              <w:pStyle w:val="TableParagraph"/>
              <w:spacing w:line="134" w:lineRule="exact" w:before="2"/>
              <w:ind w:right="181"/>
              <w:jc w:val="right"/>
              <w:rPr>
                <w:b/>
                <w:sz w:val="13"/>
              </w:rPr>
            </w:pPr>
            <w:r>
              <w:rPr>
                <w:b/>
                <w:spacing w:val="-2"/>
                <w:w w:val="105"/>
                <w:sz w:val="13"/>
              </w:rPr>
              <w:t>80,173</w:t>
            </w:r>
          </w:p>
        </w:tc>
        <w:tc>
          <w:tcPr>
            <w:tcW w:w="802" w:type="dxa"/>
            <w:tcBorders>
              <w:top w:val="single" w:sz="6" w:space="0" w:color="000000"/>
              <w:bottom w:val="single" w:sz="6" w:space="0" w:color="000000"/>
            </w:tcBorders>
          </w:tcPr>
          <w:p>
            <w:pPr>
              <w:pStyle w:val="TableParagraph"/>
              <w:spacing w:line="134" w:lineRule="exact" w:before="2"/>
              <w:ind w:right="69"/>
              <w:jc w:val="right"/>
              <w:rPr>
                <w:b/>
                <w:sz w:val="13"/>
              </w:rPr>
            </w:pPr>
            <w:r>
              <w:rPr>
                <w:b/>
                <w:spacing w:val="-2"/>
                <w:w w:val="105"/>
                <w:sz w:val="13"/>
              </w:rPr>
              <w:t>68,581</w:t>
            </w:r>
          </w:p>
        </w:tc>
      </w:tr>
    </w:tbl>
    <w:p>
      <w:pPr>
        <w:spacing w:line="240" w:lineRule="auto" w:before="40"/>
        <w:rPr>
          <w:b/>
          <w:sz w:val="16"/>
        </w:rPr>
      </w:pPr>
    </w:p>
    <w:p>
      <w:pPr>
        <w:spacing w:before="0"/>
        <w:ind w:left="846" w:right="0" w:firstLine="0"/>
        <w:jc w:val="both"/>
        <w:rPr>
          <w:b/>
          <w:i/>
          <w:sz w:val="13"/>
        </w:rPr>
      </w:pPr>
      <w:r>
        <w:rPr>
          <w:b/>
          <w:i/>
          <w:color w:val="0070C0"/>
          <w:spacing w:val="-2"/>
          <w:w w:val="105"/>
          <w:sz w:val="13"/>
        </w:rPr>
        <w:t>Accounting</w:t>
      </w:r>
      <w:r>
        <w:rPr>
          <w:b/>
          <w:i/>
          <w:color w:val="0070C0"/>
          <w:spacing w:val="7"/>
          <w:w w:val="105"/>
          <w:sz w:val="13"/>
        </w:rPr>
        <w:t> </w:t>
      </w:r>
      <w:r>
        <w:rPr>
          <w:b/>
          <w:i/>
          <w:color w:val="0070C0"/>
          <w:spacing w:val="-2"/>
          <w:w w:val="105"/>
          <w:sz w:val="13"/>
        </w:rPr>
        <w:t>policy</w:t>
      </w:r>
    </w:p>
    <w:p>
      <w:pPr>
        <w:spacing w:before="18"/>
        <w:ind w:left="846" w:right="0" w:firstLine="0"/>
        <w:jc w:val="both"/>
        <w:rPr>
          <w:b/>
          <w:sz w:val="13"/>
        </w:rPr>
      </w:pPr>
      <w:r>
        <w:rPr>
          <w:b/>
          <w:spacing w:val="-2"/>
          <w:w w:val="105"/>
          <w:sz w:val="13"/>
        </w:rPr>
        <w:t>Research grants</w:t>
      </w:r>
    </w:p>
    <w:p>
      <w:pPr>
        <w:spacing w:line="271" w:lineRule="auto" w:before="83"/>
        <w:ind w:left="846" w:right="1858" w:firstLine="0"/>
        <w:jc w:val="both"/>
        <w:rPr>
          <w:sz w:val="13"/>
        </w:rPr>
      </w:pPr>
      <w:r>
        <w:rPr>
          <w:w w:val="105"/>
          <w:sz w:val="13"/>
        </w:rPr>
        <w:t>Consultancy revenue</w:t>
      </w:r>
      <w:r>
        <w:rPr>
          <w:w w:val="105"/>
          <w:sz w:val="13"/>
        </w:rPr>
        <w:t> is</w:t>
      </w:r>
      <w:r>
        <w:rPr>
          <w:w w:val="105"/>
          <w:sz w:val="13"/>
        </w:rPr>
        <w:t> derived</w:t>
      </w:r>
      <w:r>
        <w:rPr>
          <w:w w:val="105"/>
          <w:sz w:val="13"/>
        </w:rPr>
        <w:t> when</w:t>
      </w:r>
      <w:r>
        <w:rPr>
          <w:w w:val="105"/>
          <w:sz w:val="13"/>
        </w:rPr>
        <w:t> a</w:t>
      </w:r>
      <w:r>
        <w:rPr>
          <w:w w:val="105"/>
          <w:sz w:val="13"/>
        </w:rPr>
        <w:t> customer</w:t>
      </w:r>
      <w:r>
        <w:rPr>
          <w:w w:val="105"/>
          <w:sz w:val="13"/>
        </w:rPr>
        <w:t> accesses</w:t>
      </w:r>
      <w:r>
        <w:rPr>
          <w:w w:val="105"/>
          <w:sz w:val="13"/>
        </w:rPr>
        <w:t> the</w:t>
      </w:r>
      <w:r>
        <w:rPr>
          <w:w w:val="105"/>
          <w:sz w:val="13"/>
        </w:rPr>
        <w:t> skills</w:t>
      </w:r>
      <w:r>
        <w:rPr>
          <w:w w:val="105"/>
          <w:sz w:val="13"/>
        </w:rPr>
        <w:t> and</w:t>
      </w:r>
      <w:r>
        <w:rPr>
          <w:w w:val="105"/>
          <w:sz w:val="13"/>
        </w:rPr>
        <w:t> expertise</w:t>
      </w:r>
      <w:r>
        <w:rPr>
          <w:w w:val="105"/>
          <w:sz w:val="13"/>
        </w:rPr>
        <w:t> of</w:t>
      </w:r>
      <w:r>
        <w:rPr>
          <w:w w:val="105"/>
          <w:sz w:val="13"/>
        </w:rPr>
        <w:t> the</w:t>
      </w:r>
      <w:r>
        <w:rPr>
          <w:w w:val="105"/>
          <w:sz w:val="13"/>
        </w:rPr>
        <w:t> Group’s</w:t>
      </w:r>
      <w:r>
        <w:rPr>
          <w:w w:val="105"/>
          <w:sz w:val="13"/>
        </w:rPr>
        <w:t> staff</w:t>
      </w:r>
      <w:r>
        <w:rPr>
          <w:w w:val="105"/>
          <w:sz w:val="13"/>
        </w:rPr>
        <w:t> and/or</w:t>
      </w:r>
      <w:r>
        <w:rPr>
          <w:w w:val="105"/>
          <w:sz w:val="13"/>
        </w:rPr>
        <w:t> is</w:t>
      </w:r>
      <w:r>
        <w:rPr>
          <w:w w:val="105"/>
          <w:sz w:val="13"/>
        </w:rPr>
        <w:t> provided</w:t>
      </w:r>
      <w:r>
        <w:rPr>
          <w:w w:val="105"/>
          <w:sz w:val="13"/>
        </w:rPr>
        <w:t> access</w:t>
      </w:r>
      <w:r>
        <w:rPr>
          <w:w w:val="105"/>
          <w:sz w:val="13"/>
        </w:rPr>
        <w:t> to</w:t>
      </w:r>
      <w:r>
        <w:rPr>
          <w:spacing w:val="40"/>
          <w:w w:val="105"/>
          <w:sz w:val="13"/>
        </w:rPr>
        <w:t> </w:t>
      </w:r>
      <w:r>
        <w:rPr>
          <w:w w:val="105"/>
          <w:sz w:val="13"/>
        </w:rPr>
        <w:t>equipment or facilities. This falls under AASB15 and the revenue is recognised when the promised good or service is transferred to the</w:t>
      </w:r>
      <w:r>
        <w:rPr>
          <w:spacing w:val="40"/>
          <w:w w:val="105"/>
          <w:sz w:val="13"/>
        </w:rPr>
        <w:t> </w:t>
      </w:r>
      <w:r>
        <w:rPr>
          <w:spacing w:val="-2"/>
          <w:w w:val="105"/>
          <w:sz w:val="13"/>
        </w:rPr>
        <w:t>customer.</w:t>
      </w:r>
    </w:p>
    <w:p>
      <w:pPr>
        <w:spacing w:line="240" w:lineRule="auto" w:before="22"/>
        <w:rPr>
          <w:sz w:val="13"/>
        </w:rPr>
      </w:pPr>
    </w:p>
    <w:p>
      <w:pPr>
        <w:spacing w:line="271" w:lineRule="auto" w:before="0"/>
        <w:ind w:left="846" w:right="1858" w:hanging="1"/>
        <w:jc w:val="both"/>
        <w:rPr>
          <w:sz w:val="13"/>
        </w:rPr>
      </w:pPr>
      <w:r>
        <w:rPr>
          <w:w w:val="105"/>
          <w:sz w:val="13"/>
        </w:rPr>
        <w:t>Contract</w:t>
      </w:r>
      <w:r>
        <w:rPr>
          <w:w w:val="105"/>
          <w:sz w:val="13"/>
        </w:rPr>
        <w:t> research</w:t>
      </w:r>
      <w:r>
        <w:rPr>
          <w:w w:val="105"/>
          <w:sz w:val="13"/>
        </w:rPr>
        <w:t> revenue</w:t>
      </w:r>
      <w:r>
        <w:rPr>
          <w:w w:val="105"/>
          <w:sz w:val="13"/>
        </w:rPr>
        <w:t> represents</w:t>
      </w:r>
      <w:r>
        <w:rPr>
          <w:w w:val="105"/>
          <w:sz w:val="13"/>
        </w:rPr>
        <w:t> grants</w:t>
      </w:r>
      <w:r>
        <w:rPr>
          <w:w w:val="105"/>
          <w:sz w:val="13"/>
        </w:rPr>
        <w:t> received</w:t>
      </w:r>
      <w:r>
        <w:rPr>
          <w:w w:val="105"/>
          <w:sz w:val="13"/>
        </w:rPr>
        <w:t> from</w:t>
      </w:r>
      <w:r>
        <w:rPr>
          <w:w w:val="105"/>
          <w:sz w:val="13"/>
        </w:rPr>
        <w:t> non-government</w:t>
      </w:r>
      <w:r>
        <w:rPr>
          <w:w w:val="105"/>
          <w:sz w:val="13"/>
        </w:rPr>
        <w:t> entities</w:t>
      </w:r>
      <w:r>
        <w:rPr>
          <w:w w:val="105"/>
          <w:sz w:val="13"/>
        </w:rPr>
        <w:t> that</w:t>
      </w:r>
      <w:r>
        <w:rPr>
          <w:w w:val="105"/>
          <w:sz w:val="13"/>
        </w:rPr>
        <w:t> relate</w:t>
      </w:r>
      <w:r>
        <w:rPr>
          <w:w w:val="105"/>
          <w:sz w:val="13"/>
        </w:rPr>
        <w:t> to</w:t>
      </w:r>
      <w:r>
        <w:rPr>
          <w:w w:val="105"/>
          <w:sz w:val="13"/>
        </w:rPr>
        <w:t> research</w:t>
      </w:r>
      <w:r>
        <w:rPr>
          <w:w w:val="105"/>
          <w:sz w:val="13"/>
        </w:rPr>
        <w:t> and</w:t>
      </w:r>
      <w:r>
        <w:rPr>
          <w:w w:val="105"/>
          <w:sz w:val="13"/>
        </w:rPr>
        <w:t> experimental</w:t>
      </w:r>
      <w:r>
        <w:rPr>
          <w:spacing w:val="40"/>
          <w:w w:val="105"/>
          <w:sz w:val="13"/>
        </w:rPr>
        <w:t> </w:t>
      </w:r>
      <w:r>
        <w:rPr>
          <w:w w:val="105"/>
          <w:sz w:val="13"/>
        </w:rPr>
        <w:t>development.</w:t>
      </w:r>
      <w:r>
        <w:rPr>
          <w:spacing w:val="-3"/>
          <w:w w:val="105"/>
          <w:sz w:val="13"/>
        </w:rPr>
        <w:t> </w:t>
      </w:r>
      <w:r>
        <w:rPr>
          <w:w w:val="105"/>
          <w:sz w:val="13"/>
        </w:rPr>
        <w:t>This</w:t>
      </w:r>
      <w:r>
        <w:rPr>
          <w:spacing w:val="-3"/>
          <w:w w:val="105"/>
          <w:sz w:val="13"/>
        </w:rPr>
        <w:t> </w:t>
      </w:r>
      <w:r>
        <w:rPr>
          <w:w w:val="105"/>
          <w:sz w:val="13"/>
        </w:rPr>
        <w:t>falls</w:t>
      </w:r>
      <w:r>
        <w:rPr>
          <w:spacing w:val="-3"/>
          <w:w w:val="105"/>
          <w:sz w:val="13"/>
        </w:rPr>
        <w:t> </w:t>
      </w:r>
      <w:r>
        <w:rPr>
          <w:w w:val="105"/>
          <w:sz w:val="13"/>
        </w:rPr>
        <w:t>under</w:t>
      </w:r>
      <w:r>
        <w:rPr>
          <w:spacing w:val="-2"/>
          <w:w w:val="105"/>
          <w:sz w:val="13"/>
        </w:rPr>
        <w:t> </w:t>
      </w:r>
      <w:r>
        <w:rPr>
          <w:w w:val="105"/>
          <w:sz w:val="13"/>
        </w:rPr>
        <w:t>AASB15</w:t>
      </w:r>
      <w:r>
        <w:rPr>
          <w:spacing w:val="-3"/>
          <w:w w:val="105"/>
          <w:sz w:val="13"/>
        </w:rPr>
        <w:t> </w:t>
      </w:r>
      <w:r>
        <w:rPr>
          <w:w w:val="105"/>
          <w:sz w:val="13"/>
        </w:rPr>
        <w:t>and</w:t>
      </w:r>
      <w:r>
        <w:rPr>
          <w:spacing w:val="-3"/>
          <w:w w:val="105"/>
          <w:sz w:val="13"/>
        </w:rPr>
        <w:t> </w:t>
      </w:r>
      <w:r>
        <w:rPr>
          <w:w w:val="105"/>
          <w:sz w:val="13"/>
        </w:rPr>
        <w:t>the</w:t>
      </w:r>
      <w:r>
        <w:rPr>
          <w:spacing w:val="-3"/>
          <w:w w:val="105"/>
          <w:sz w:val="13"/>
        </w:rPr>
        <w:t> </w:t>
      </w:r>
      <w:r>
        <w:rPr>
          <w:w w:val="105"/>
          <w:sz w:val="13"/>
        </w:rPr>
        <w:t>revenue</w:t>
      </w:r>
      <w:r>
        <w:rPr>
          <w:spacing w:val="-3"/>
          <w:w w:val="105"/>
          <w:sz w:val="13"/>
        </w:rPr>
        <w:t> </w:t>
      </w:r>
      <w:r>
        <w:rPr>
          <w:w w:val="105"/>
          <w:sz w:val="13"/>
        </w:rPr>
        <w:t>is</w:t>
      </w:r>
      <w:r>
        <w:rPr>
          <w:spacing w:val="-4"/>
          <w:w w:val="105"/>
          <w:sz w:val="13"/>
        </w:rPr>
        <w:t> </w:t>
      </w:r>
      <w:r>
        <w:rPr>
          <w:w w:val="105"/>
          <w:sz w:val="13"/>
        </w:rPr>
        <w:t>recognised</w:t>
      </w:r>
      <w:r>
        <w:rPr>
          <w:spacing w:val="-3"/>
          <w:w w:val="105"/>
          <w:sz w:val="13"/>
        </w:rPr>
        <w:t> </w:t>
      </w:r>
      <w:r>
        <w:rPr>
          <w:w w:val="105"/>
          <w:sz w:val="13"/>
        </w:rPr>
        <w:t>over</w:t>
      </w:r>
      <w:r>
        <w:rPr>
          <w:spacing w:val="-3"/>
          <w:w w:val="105"/>
          <w:sz w:val="13"/>
        </w:rPr>
        <w:t> </w:t>
      </w:r>
      <w:r>
        <w:rPr>
          <w:w w:val="105"/>
          <w:sz w:val="13"/>
        </w:rPr>
        <w:t>time</w:t>
      </w:r>
      <w:r>
        <w:rPr>
          <w:spacing w:val="-3"/>
          <w:w w:val="105"/>
          <w:sz w:val="13"/>
        </w:rPr>
        <w:t> </w:t>
      </w:r>
      <w:r>
        <w:rPr>
          <w:w w:val="105"/>
          <w:sz w:val="13"/>
        </w:rPr>
        <w:t>as</w:t>
      </w:r>
      <w:r>
        <w:rPr>
          <w:spacing w:val="-4"/>
          <w:w w:val="105"/>
          <w:sz w:val="13"/>
        </w:rPr>
        <w:t> </w:t>
      </w:r>
      <w:r>
        <w:rPr>
          <w:w w:val="105"/>
          <w:sz w:val="13"/>
        </w:rPr>
        <w:t>the</w:t>
      </w:r>
      <w:r>
        <w:rPr>
          <w:spacing w:val="-3"/>
          <w:w w:val="105"/>
          <w:sz w:val="13"/>
        </w:rPr>
        <w:t> </w:t>
      </w:r>
      <w:r>
        <w:rPr>
          <w:w w:val="105"/>
          <w:sz w:val="13"/>
        </w:rPr>
        <w:t>grant</w:t>
      </w:r>
      <w:r>
        <w:rPr>
          <w:spacing w:val="-5"/>
          <w:w w:val="105"/>
          <w:sz w:val="13"/>
        </w:rPr>
        <w:t> </w:t>
      </w:r>
      <w:r>
        <w:rPr>
          <w:w w:val="105"/>
          <w:sz w:val="13"/>
        </w:rPr>
        <w:t>funds</w:t>
      </w:r>
      <w:r>
        <w:rPr>
          <w:spacing w:val="-3"/>
          <w:w w:val="105"/>
          <w:sz w:val="13"/>
        </w:rPr>
        <w:t> </w:t>
      </w:r>
      <w:r>
        <w:rPr>
          <w:w w:val="105"/>
          <w:sz w:val="13"/>
        </w:rPr>
        <w:t>are</w:t>
      </w:r>
      <w:r>
        <w:rPr>
          <w:spacing w:val="-5"/>
          <w:w w:val="105"/>
          <w:sz w:val="13"/>
        </w:rPr>
        <w:t> </w:t>
      </w:r>
      <w:r>
        <w:rPr>
          <w:w w:val="105"/>
          <w:sz w:val="13"/>
        </w:rPr>
        <w:t>expended.</w:t>
      </w:r>
      <w:r>
        <w:rPr>
          <w:spacing w:val="-3"/>
          <w:w w:val="105"/>
          <w:sz w:val="13"/>
        </w:rPr>
        <w:t> </w:t>
      </w:r>
      <w:r>
        <w:rPr>
          <w:w w:val="105"/>
          <w:sz w:val="13"/>
        </w:rPr>
        <w:t>This</w:t>
      </w:r>
      <w:r>
        <w:rPr>
          <w:spacing w:val="-5"/>
          <w:w w:val="105"/>
          <w:sz w:val="13"/>
        </w:rPr>
        <w:t> </w:t>
      </w:r>
      <w:r>
        <w:rPr>
          <w:w w:val="105"/>
          <w:sz w:val="13"/>
        </w:rPr>
        <w:t>is</w:t>
      </w:r>
      <w:r>
        <w:rPr>
          <w:spacing w:val="-3"/>
          <w:w w:val="105"/>
          <w:sz w:val="13"/>
        </w:rPr>
        <w:t> </w:t>
      </w:r>
      <w:r>
        <w:rPr>
          <w:w w:val="105"/>
          <w:sz w:val="13"/>
        </w:rPr>
        <w:t>on</w:t>
      </w:r>
      <w:r>
        <w:rPr>
          <w:spacing w:val="-5"/>
          <w:w w:val="105"/>
          <w:sz w:val="13"/>
        </w:rPr>
        <w:t> </w:t>
      </w:r>
      <w:r>
        <w:rPr>
          <w:w w:val="105"/>
          <w:sz w:val="13"/>
        </w:rPr>
        <w:t>the</w:t>
      </w:r>
      <w:r>
        <w:rPr>
          <w:spacing w:val="-3"/>
          <w:w w:val="105"/>
          <w:sz w:val="13"/>
        </w:rPr>
        <w:t> </w:t>
      </w:r>
      <w:r>
        <w:rPr>
          <w:w w:val="105"/>
          <w:sz w:val="13"/>
        </w:rPr>
        <w:t>basis</w:t>
      </w:r>
      <w:r>
        <w:rPr>
          <w:spacing w:val="-4"/>
          <w:w w:val="105"/>
          <w:sz w:val="13"/>
        </w:rPr>
        <w:t> </w:t>
      </w:r>
      <w:r>
        <w:rPr>
          <w:w w:val="105"/>
          <w:sz w:val="13"/>
        </w:rPr>
        <w:t>that</w:t>
      </w:r>
      <w:r>
        <w:rPr>
          <w:spacing w:val="40"/>
          <w:w w:val="105"/>
          <w:sz w:val="13"/>
        </w:rPr>
        <w:t> </w:t>
      </w:r>
      <w:r>
        <w:rPr>
          <w:w w:val="105"/>
          <w:sz w:val="13"/>
        </w:rPr>
        <w:t>the grant agreements contain specific performance obligations including research data being made available to grantors on at least an</w:t>
      </w:r>
      <w:r>
        <w:rPr>
          <w:spacing w:val="40"/>
          <w:w w:val="105"/>
          <w:sz w:val="13"/>
        </w:rPr>
        <w:t> </w:t>
      </w:r>
      <w:r>
        <w:rPr>
          <w:w w:val="105"/>
          <w:sz w:val="13"/>
        </w:rPr>
        <w:t>annual</w:t>
      </w:r>
      <w:r>
        <w:rPr>
          <w:spacing w:val="-4"/>
          <w:w w:val="105"/>
          <w:sz w:val="13"/>
        </w:rPr>
        <w:t> </w:t>
      </w:r>
      <w:r>
        <w:rPr>
          <w:w w:val="105"/>
          <w:sz w:val="13"/>
        </w:rPr>
        <w:t>basis.</w:t>
      </w:r>
    </w:p>
    <w:p>
      <w:pPr>
        <w:spacing w:line="240" w:lineRule="auto" w:before="23"/>
        <w:rPr>
          <w:sz w:val="13"/>
        </w:rPr>
      </w:pPr>
    </w:p>
    <w:p>
      <w:pPr>
        <w:spacing w:line="271" w:lineRule="auto" w:before="0"/>
        <w:ind w:left="846" w:right="1858" w:firstLine="0"/>
        <w:jc w:val="both"/>
        <w:rPr>
          <w:sz w:val="13"/>
        </w:rPr>
      </w:pPr>
      <w:r>
        <w:rPr>
          <w:w w:val="105"/>
          <w:sz w:val="13"/>
        </w:rPr>
        <w:t>Revenue</w:t>
      </w:r>
      <w:r>
        <w:rPr>
          <w:spacing w:val="-4"/>
          <w:w w:val="105"/>
          <w:sz w:val="13"/>
        </w:rPr>
        <w:t> </w:t>
      </w:r>
      <w:r>
        <w:rPr>
          <w:w w:val="105"/>
          <w:sz w:val="13"/>
        </w:rPr>
        <w:t>recognition</w:t>
      </w:r>
      <w:r>
        <w:rPr>
          <w:spacing w:val="-4"/>
          <w:w w:val="105"/>
          <w:sz w:val="13"/>
        </w:rPr>
        <w:t> </w:t>
      </w:r>
      <w:r>
        <w:rPr>
          <w:w w:val="105"/>
          <w:sz w:val="13"/>
        </w:rPr>
        <w:t>is</w:t>
      </w:r>
      <w:r>
        <w:rPr>
          <w:spacing w:val="-3"/>
          <w:w w:val="105"/>
          <w:sz w:val="13"/>
        </w:rPr>
        <w:t> </w:t>
      </w:r>
      <w:r>
        <w:rPr>
          <w:w w:val="105"/>
          <w:sz w:val="13"/>
        </w:rPr>
        <w:t>determined</w:t>
      </w:r>
      <w:r>
        <w:rPr>
          <w:spacing w:val="-4"/>
          <w:w w:val="105"/>
          <w:sz w:val="13"/>
        </w:rPr>
        <w:t> </w:t>
      </w:r>
      <w:r>
        <w:rPr>
          <w:w w:val="105"/>
          <w:sz w:val="13"/>
        </w:rPr>
        <w:t>by</w:t>
      </w:r>
      <w:r>
        <w:rPr>
          <w:spacing w:val="-6"/>
          <w:w w:val="105"/>
          <w:sz w:val="13"/>
        </w:rPr>
        <w:t> </w:t>
      </w:r>
      <w:r>
        <w:rPr>
          <w:w w:val="105"/>
          <w:sz w:val="13"/>
        </w:rPr>
        <w:t>reference</w:t>
      </w:r>
      <w:r>
        <w:rPr>
          <w:spacing w:val="-4"/>
          <w:w w:val="105"/>
          <w:sz w:val="13"/>
        </w:rPr>
        <w:t> </w:t>
      </w:r>
      <w:r>
        <w:rPr>
          <w:w w:val="105"/>
          <w:sz w:val="13"/>
        </w:rPr>
        <w:t>to</w:t>
      </w:r>
      <w:r>
        <w:rPr>
          <w:spacing w:val="-4"/>
          <w:w w:val="105"/>
          <w:sz w:val="13"/>
        </w:rPr>
        <w:t> </w:t>
      </w:r>
      <w:r>
        <w:rPr>
          <w:w w:val="105"/>
          <w:sz w:val="13"/>
        </w:rPr>
        <w:t>the</w:t>
      </w:r>
      <w:r>
        <w:rPr>
          <w:spacing w:val="-4"/>
          <w:w w:val="105"/>
          <w:sz w:val="13"/>
        </w:rPr>
        <w:t> </w:t>
      </w:r>
      <w:r>
        <w:rPr>
          <w:w w:val="105"/>
          <w:sz w:val="13"/>
        </w:rPr>
        <w:t>specific</w:t>
      </w:r>
      <w:r>
        <w:rPr>
          <w:spacing w:val="-3"/>
          <w:w w:val="105"/>
          <w:sz w:val="13"/>
        </w:rPr>
        <w:t> </w:t>
      </w:r>
      <w:r>
        <w:rPr>
          <w:w w:val="105"/>
          <w:sz w:val="13"/>
        </w:rPr>
        <w:t>contract</w:t>
      </w:r>
      <w:r>
        <w:rPr>
          <w:spacing w:val="-3"/>
          <w:w w:val="105"/>
          <w:sz w:val="13"/>
        </w:rPr>
        <w:t> </w:t>
      </w:r>
      <w:r>
        <w:rPr>
          <w:w w:val="105"/>
          <w:sz w:val="13"/>
        </w:rPr>
        <w:t>terms</w:t>
      </w:r>
      <w:r>
        <w:rPr>
          <w:spacing w:val="-3"/>
          <w:w w:val="105"/>
          <w:sz w:val="13"/>
        </w:rPr>
        <w:t> </w:t>
      </w:r>
      <w:r>
        <w:rPr>
          <w:w w:val="105"/>
          <w:sz w:val="13"/>
        </w:rPr>
        <w:t>including</w:t>
      </w:r>
      <w:r>
        <w:rPr>
          <w:spacing w:val="-4"/>
          <w:w w:val="105"/>
          <w:sz w:val="13"/>
        </w:rPr>
        <w:t> </w:t>
      </w:r>
      <w:r>
        <w:rPr>
          <w:w w:val="105"/>
          <w:sz w:val="13"/>
        </w:rPr>
        <w:t>enforceability</w:t>
      </w:r>
      <w:r>
        <w:rPr>
          <w:spacing w:val="-6"/>
          <w:w w:val="105"/>
          <w:sz w:val="13"/>
        </w:rPr>
        <w:t> </w:t>
      </w:r>
      <w:r>
        <w:rPr>
          <w:w w:val="105"/>
          <w:sz w:val="13"/>
        </w:rPr>
        <w:t>and</w:t>
      </w:r>
      <w:r>
        <w:rPr>
          <w:spacing w:val="-4"/>
          <w:w w:val="105"/>
          <w:sz w:val="13"/>
        </w:rPr>
        <w:t> </w:t>
      </w:r>
      <w:r>
        <w:rPr>
          <w:w w:val="105"/>
          <w:sz w:val="13"/>
        </w:rPr>
        <w:t>existence</w:t>
      </w:r>
      <w:r>
        <w:rPr>
          <w:spacing w:val="-4"/>
          <w:w w:val="105"/>
          <w:sz w:val="13"/>
        </w:rPr>
        <w:t> </w:t>
      </w:r>
      <w:r>
        <w:rPr>
          <w:w w:val="105"/>
          <w:sz w:val="13"/>
        </w:rPr>
        <w:t>of</w:t>
      </w:r>
      <w:r>
        <w:rPr>
          <w:spacing w:val="-1"/>
          <w:w w:val="105"/>
          <w:sz w:val="13"/>
        </w:rPr>
        <w:t> </w:t>
      </w:r>
      <w:r>
        <w:rPr>
          <w:w w:val="105"/>
          <w:sz w:val="13"/>
        </w:rPr>
        <w:t>sufficiently</w:t>
      </w:r>
      <w:r>
        <w:rPr>
          <w:spacing w:val="-6"/>
          <w:w w:val="105"/>
          <w:sz w:val="13"/>
        </w:rPr>
        <w:t> </w:t>
      </w:r>
      <w:r>
        <w:rPr>
          <w:w w:val="105"/>
          <w:sz w:val="13"/>
        </w:rPr>
        <w:t>specific</w:t>
      </w:r>
      <w:r>
        <w:rPr>
          <w:spacing w:val="40"/>
          <w:w w:val="105"/>
          <w:sz w:val="13"/>
        </w:rPr>
        <w:t> </w:t>
      </w:r>
      <w:r>
        <w:rPr>
          <w:w w:val="105"/>
          <w:sz w:val="13"/>
        </w:rPr>
        <w:t>performance</w:t>
      </w:r>
      <w:r>
        <w:rPr>
          <w:w w:val="105"/>
          <w:sz w:val="13"/>
        </w:rPr>
        <w:t> obligations.</w:t>
      </w:r>
      <w:r>
        <w:rPr>
          <w:spacing w:val="40"/>
          <w:w w:val="105"/>
          <w:sz w:val="13"/>
        </w:rPr>
        <w:t> </w:t>
      </w:r>
      <w:r>
        <w:rPr>
          <w:w w:val="105"/>
          <w:sz w:val="13"/>
        </w:rPr>
        <w:t>Agreements</w:t>
      </w:r>
      <w:r>
        <w:rPr>
          <w:w w:val="105"/>
          <w:sz w:val="13"/>
        </w:rPr>
        <w:t> that</w:t>
      </w:r>
      <w:r>
        <w:rPr>
          <w:w w:val="105"/>
          <w:sz w:val="13"/>
        </w:rPr>
        <w:t> contain</w:t>
      </w:r>
      <w:r>
        <w:rPr>
          <w:w w:val="105"/>
          <w:sz w:val="13"/>
        </w:rPr>
        <w:t> specific</w:t>
      </w:r>
      <w:r>
        <w:rPr>
          <w:w w:val="105"/>
          <w:sz w:val="13"/>
        </w:rPr>
        <w:t> performance</w:t>
      </w:r>
      <w:r>
        <w:rPr>
          <w:w w:val="105"/>
          <w:sz w:val="13"/>
        </w:rPr>
        <w:t> obligations</w:t>
      </w:r>
      <w:r>
        <w:rPr>
          <w:w w:val="105"/>
          <w:sz w:val="13"/>
        </w:rPr>
        <w:t> including</w:t>
      </w:r>
      <w:r>
        <w:rPr>
          <w:w w:val="105"/>
          <w:sz w:val="13"/>
        </w:rPr>
        <w:t> research</w:t>
      </w:r>
      <w:r>
        <w:rPr>
          <w:w w:val="105"/>
          <w:sz w:val="13"/>
        </w:rPr>
        <w:t> data</w:t>
      </w:r>
      <w:r>
        <w:rPr>
          <w:w w:val="105"/>
          <w:sz w:val="13"/>
        </w:rPr>
        <w:t> being</w:t>
      </w:r>
      <w:r>
        <w:rPr>
          <w:w w:val="105"/>
          <w:sz w:val="13"/>
        </w:rPr>
        <w:t> made</w:t>
      </w:r>
      <w:r>
        <w:rPr>
          <w:w w:val="105"/>
          <w:sz w:val="13"/>
        </w:rPr>
        <w:t> available</w:t>
      </w:r>
      <w:r>
        <w:rPr>
          <w:w w:val="105"/>
          <w:sz w:val="13"/>
        </w:rPr>
        <w:t> to</w:t>
      </w:r>
      <w:r>
        <w:rPr>
          <w:spacing w:val="40"/>
          <w:w w:val="105"/>
          <w:sz w:val="13"/>
        </w:rPr>
        <w:t> </w:t>
      </w:r>
      <w:r>
        <w:rPr>
          <w:w w:val="105"/>
          <w:sz w:val="13"/>
        </w:rPr>
        <w:t>grantors</w:t>
      </w:r>
      <w:r>
        <w:rPr>
          <w:spacing w:val="-1"/>
          <w:w w:val="105"/>
          <w:sz w:val="13"/>
        </w:rPr>
        <w:t> </w:t>
      </w:r>
      <w:r>
        <w:rPr>
          <w:w w:val="105"/>
          <w:sz w:val="13"/>
        </w:rPr>
        <w:t>on</w:t>
      </w:r>
      <w:r>
        <w:rPr>
          <w:spacing w:val="-1"/>
          <w:w w:val="105"/>
          <w:sz w:val="13"/>
        </w:rPr>
        <w:t> </w:t>
      </w:r>
      <w:r>
        <w:rPr>
          <w:w w:val="105"/>
          <w:sz w:val="13"/>
        </w:rPr>
        <w:t>at</w:t>
      </w:r>
      <w:r>
        <w:rPr>
          <w:spacing w:val="-1"/>
          <w:w w:val="105"/>
          <w:sz w:val="13"/>
        </w:rPr>
        <w:t> </w:t>
      </w:r>
      <w:r>
        <w:rPr>
          <w:w w:val="105"/>
          <w:sz w:val="13"/>
        </w:rPr>
        <w:t>least</w:t>
      </w:r>
      <w:r>
        <w:rPr>
          <w:spacing w:val="-2"/>
          <w:w w:val="105"/>
          <w:sz w:val="13"/>
        </w:rPr>
        <w:t> </w:t>
      </w:r>
      <w:r>
        <w:rPr>
          <w:w w:val="105"/>
          <w:sz w:val="13"/>
        </w:rPr>
        <w:t>an</w:t>
      </w:r>
      <w:r>
        <w:rPr>
          <w:spacing w:val="-1"/>
          <w:w w:val="105"/>
          <w:sz w:val="13"/>
        </w:rPr>
        <w:t> </w:t>
      </w:r>
      <w:r>
        <w:rPr>
          <w:w w:val="105"/>
          <w:sz w:val="13"/>
        </w:rPr>
        <w:t>annual</w:t>
      </w:r>
      <w:r>
        <w:rPr>
          <w:spacing w:val="-1"/>
          <w:w w:val="105"/>
          <w:sz w:val="13"/>
        </w:rPr>
        <w:t> </w:t>
      </w:r>
      <w:r>
        <w:rPr>
          <w:w w:val="105"/>
          <w:sz w:val="13"/>
        </w:rPr>
        <w:t>basis</w:t>
      </w:r>
      <w:r>
        <w:rPr>
          <w:spacing w:val="-1"/>
          <w:w w:val="105"/>
          <w:sz w:val="13"/>
        </w:rPr>
        <w:t> </w:t>
      </w:r>
      <w:r>
        <w:rPr>
          <w:w w:val="105"/>
          <w:sz w:val="13"/>
        </w:rPr>
        <w:t>falls</w:t>
      </w:r>
      <w:r>
        <w:rPr>
          <w:spacing w:val="-2"/>
          <w:w w:val="105"/>
          <w:sz w:val="13"/>
        </w:rPr>
        <w:t> </w:t>
      </w:r>
      <w:r>
        <w:rPr>
          <w:w w:val="105"/>
          <w:sz w:val="13"/>
        </w:rPr>
        <w:t>under AASB15</w:t>
      </w:r>
      <w:r>
        <w:rPr>
          <w:spacing w:val="-3"/>
          <w:w w:val="105"/>
          <w:sz w:val="13"/>
        </w:rPr>
        <w:t> </w:t>
      </w:r>
      <w:r>
        <w:rPr>
          <w:w w:val="105"/>
          <w:sz w:val="13"/>
        </w:rPr>
        <w:t>and</w:t>
      </w:r>
      <w:r>
        <w:rPr>
          <w:spacing w:val="-1"/>
          <w:w w:val="105"/>
          <w:sz w:val="13"/>
        </w:rPr>
        <w:t> </w:t>
      </w:r>
      <w:r>
        <w:rPr>
          <w:w w:val="105"/>
          <w:sz w:val="13"/>
        </w:rPr>
        <w:t>the</w:t>
      </w:r>
      <w:r>
        <w:rPr>
          <w:spacing w:val="-3"/>
          <w:w w:val="105"/>
          <w:sz w:val="13"/>
        </w:rPr>
        <w:t> </w:t>
      </w:r>
      <w:r>
        <w:rPr>
          <w:w w:val="105"/>
          <w:sz w:val="13"/>
        </w:rPr>
        <w:t>revenue</w:t>
      </w:r>
      <w:r>
        <w:rPr>
          <w:spacing w:val="-1"/>
          <w:w w:val="105"/>
          <w:sz w:val="13"/>
        </w:rPr>
        <w:t> </w:t>
      </w:r>
      <w:r>
        <w:rPr>
          <w:w w:val="105"/>
          <w:sz w:val="13"/>
        </w:rPr>
        <w:t>is</w:t>
      </w:r>
      <w:r>
        <w:rPr>
          <w:spacing w:val="-2"/>
          <w:w w:val="105"/>
          <w:sz w:val="13"/>
        </w:rPr>
        <w:t> </w:t>
      </w:r>
      <w:r>
        <w:rPr>
          <w:w w:val="105"/>
          <w:sz w:val="13"/>
        </w:rPr>
        <w:t>recognised</w:t>
      </w:r>
      <w:r>
        <w:rPr>
          <w:spacing w:val="-1"/>
          <w:w w:val="105"/>
          <w:sz w:val="13"/>
        </w:rPr>
        <w:t> </w:t>
      </w:r>
      <w:r>
        <w:rPr>
          <w:w w:val="105"/>
          <w:sz w:val="13"/>
        </w:rPr>
        <w:t>over</w:t>
      </w:r>
      <w:r>
        <w:rPr>
          <w:spacing w:val="-1"/>
          <w:w w:val="105"/>
          <w:sz w:val="13"/>
        </w:rPr>
        <w:t> </w:t>
      </w:r>
      <w:r>
        <w:rPr>
          <w:w w:val="105"/>
          <w:sz w:val="13"/>
        </w:rPr>
        <w:t>time</w:t>
      </w:r>
      <w:r>
        <w:rPr>
          <w:spacing w:val="-1"/>
          <w:w w:val="105"/>
          <w:sz w:val="13"/>
        </w:rPr>
        <w:t> </w:t>
      </w:r>
      <w:r>
        <w:rPr>
          <w:w w:val="105"/>
          <w:sz w:val="13"/>
        </w:rPr>
        <w:t>as</w:t>
      </w:r>
      <w:r>
        <w:rPr>
          <w:spacing w:val="-2"/>
          <w:w w:val="105"/>
          <w:sz w:val="13"/>
        </w:rPr>
        <w:t> </w:t>
      </w:r>
      <w:r>
        <w:rPr>
          <w:w w:val="105"/>
          <w:sz w:val="13"/>
        </w:rPr>
        <w:t>the</w:t>
      </w:r>
      <w:r>
        <w:rPr>
          <w:spacing w:val="-1"/>
          <w:w w:val="105"/>
          <w:sz w:val="13"/>
        </w:rPr>
        <w:t> </w:t>
      </w:r>
      <w:r>
        <w:rPr>
          <w:w w:val="105"/>
          <w:sz w:val="13"/>
        </w:rPr>
        <w:t>grant</w:t>
      </w:r>
      <w:r>
        <w:rPr>
          <w:spacing w:val="-2"/>
          <w:w w:val="105"/>
          <w:sz w:val="13"/>
        </w:rPr>
        <w:t> </w:t>
      </w:r>
      <w:r>
        <w:rPr>
          <w:w w:val="105"/>
          <w:sz w:val="13"/>
        </w:rPr>
        <w:t>funds</w:t>
      </w:r>
      <w:r>
        <w:rPr>
          <w:spacing w:val="-1"/>
          <w:w w:val="105"/>
          <w:sz w:val="13"/>
        </w:rPr>
        <w:t> </w:t>
      </w:r>
      <w:r>
        <w:rPr>
          <w:w w:val="105"/>
          <w:sz w:val="13"/>
        </w:rPr>
        <w:t>are</w:t>
      </w:r>
      <w:r>
        <w:rPr>
          <w:spacing w:val="-3"/>
          <w:w w:val="105"/>
          <w:sz w:val="13"/>
        </w:rPr>
        <w:t> </w:t>
      </w:r>
      <w:r>
        <w:rPr>
          <w:w w:val="105"/>
          <w:sz w:val="13"/>
        </w:rPr>
        <w:t>expended.</w:t>
      </w:r>
      <w:r>
        <w:rPr>
          <w:spacing w:val="-1"/>
          <w:w w:val="105"/>
          <w:sz w:val="13"/>
        </w:rPr>
        <w:t> </w:t>
      </w:r>
      <w:r>
        <w:rPr>
          <w:w w:val="105"/>
          <w:sz w:val="13"/>
        </w:rPr>
        <w:t>If</w:t>
      </w:r>
      <w:r>
        <w:rPr>
          <w:spacing w:val="-1"/>
          <w:w w:val="105"/>
          <w:sz w:val="13"/>
        </w:rPr>
        <w:t> </w:t>
      </w:r>
      <w:r>
        <w:rPr>
          <w:w w:val="105"/>
          <w:sz w:val="13"/>
        </w:rPr>
        <w:t>not,</w:t>
      </w:r>
      <w:r>
        <w:rPr>
          <w:spacing w:val="40"/>
          <w:w w:val="105"/>
          <w:sz w:val="13"/>
        </w:rPr>
        <w:t> </w:t>
      </w:r>
      <w:r>
        <w:rPr>
          <w:w w:val="105"/>
          <w:sz w:val="13"/>
        </w:rPr>
        <w:t>this falls under AASB1058 and revenue is recognised when received.</w:t>
      </w:r>
    </w:p>
    <w:p>
      <w:pPr>
        <w:pStyle w:val="ListParagraph"/>
        <w:numPr>
          <w:ilvl w:val="1"/>
          <w:numId w:val="13"/>
        </w:numPr>
        <w:tabs>
          <w:tab w:pos="850" w:val="left" w:leader="none"/>
          <w:tab w:pos="5982" w:val="left" w:leader="none"/>
          <w:tab w:pos="7913" w:val="left" w:leader="none"/>
        </w:tabs>
        <w:spacing w:line="240" w:lineRule="auto" w:before="168" w:after="25"/>
        <w:ind w:left="850" w:right="0" w:hanging="605"/>
        <w:jc w:val="left"/>
        <w:rPr>
          <w:b/>
          <w:color w:val="0070C0"/>
          <w:sz w:val="16"/>
        </w:rPr>
      </w:pPr>
      <w:r>
        <w:rPr>
          <w:b/>
          <w:color w:val="0070C0"/>
          <w:sz w:val="16"/>
        </w:rPr>
        <w:t>Other</w:t>
      </w:r>
      <w:r>
        <w:rPr>
          <w:b/>
          <w:color w:val="0070C0"/>
          <w:spacing w:val="2"/>
          <w:sz w:val="16"/>
        </w:rPr>
        <w:t> </w:t>
      </w:r>
      <w:r>
        <w:rPr>
          <w:b/>
          <w:color w:val="0070C0"/>
          <w:sz w:val="16"/>
        </w:rPr>
        <w:t>revenue</w:t>
      </w:r>
      <w:r>
        <w:rPr>
          <w:b/>
          <w:color w:val="0070C0"/>
          <w:spacing w:val="1"/>
          <w:sz w:val="16"/>
        </w:rPr>
        <w:t> </w:t>
      </w:r>
      <w:r>
        <w:rPr>
          <w:b/>
          <w:color w:val="0070C0"/>
          <w:sz w:val="16"/>
        </w:rPr>
        <w:t>and</w:t>
      </w:r>
      <w:r>
        <w:rPr>
          <w:b/>
          <w:color w:val="0070C0"/>
          <w:spacing w:val="1"/>
          <w:sz w:val="16"/>
        </w:rPr>
        <w:t> </w:t>
      </w:r>
      <w:r>
        <w:rPr>
          <w:b/>
          <w:color w:val="0070C0"/>
          <w:spacing w:val="-2"/>
          <w:sz w:val="16"/>
        </w:rPr>
        <w:t>income</w:t>
      </w:r>
      <w:r>
        <w:rPr>
          <w:b/>
          <w:color w:val="0070C0"/>
          <w:sz w:val="16"/>
        </w:rPr>
        <w:tab/>
      </w:r>
      <w:r>
        <w:rPr>
          <w:b/>
          <w:spacing w:val="-2"/>
          <w:sz w:val="13"/>
        </w:rPr>
        <w:t>Consolidated</w:t>
      </w:r>
      <w:r>
        <w:rPr>
          <w:b/>
          <w:sz w:val="13"/>
        </w:rPr>
        <w:tab/>
      </w:r>
      <w:r>
        <w:rPr>
          <w:b/>
          <w:spacing w:val="-2"/>
          <w:sz w:val="13"/>
        </w:rPr>
        <w:t>University</w:t>
      </w:r>
    </w:p>
    <w:tbl>
      <w:tblPr>
        <w:tblW w:w="0" w:type="auto"/>
        <w:jc w:val="left"/>
        <w:tblInd w:w="8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682"/>
        <w:gridCol w:w="843"/>
        <w:gridCol w:w="1102"/>
        <w:gridCol w:w="726"/>
        <w:gridCol w:w="987"/>
      </w:tblGrid>
      <w:tr>
        <w:trPr>
          <w:trHeight w:val="327" w:hRule="atLeast"/>
        </w:trPr>
        <w:tc>
          <w:tcPr>
            <w:tcW w:w="4682" w:type="dxa"/>
          </w:tcPr>
          <w:p>
            <w:pPr>
              <w:pStyle w:val="TableParagraph"/>
              <w:rPr>
                <w:rFonts w:ascii="Times New Roman"/>
                <w:sz w:val="12"/>
              </w:rPr>
            </w:pPr>
          </w:p>
        </w:tc>
        <w:tc>
          <w:tcPr>
            <w:tcW w:w="843" w:type="dxa"/>
            <w:tcBorders>
              <w:bottom w:val="single" w:sz="6" w:space="0" w:color="000000"/>
            </w:tcBorders>
          </w:tcPr>
          <w:p>
            <w:pPr>
              <w:pStyle w:val="TableParagraph"/>
              <w:spacing w:before="1"/>
              <w:ind w:left="312"/>
              <w:rPr>
                <w:b/>
                <w:sz w:val="13"/>
              </w:rPr>
            </w:pPr>
            <w:r>
              <w:rPr>
                <w:b/>
                <w:spacing w:val="-4"/>
                <w:w w:val="105"/>
                <w:sz w:val="13"/>
              </w:rPr>
              <w:t>2020</w:t>
            </w:r>
          </w:p>
          <w:p>
            <w:pPr>
              <w:pStyle w:val="TableParagraph"/>
              <w:spacing w:line="134" w:lineRule="exact" w:before="23"/>
              <w:ind w:left="296"/>
              <w:rPr>
                <w:b/>
                <w:sz w:val="13"/>
              </w:rPr>
            </w:pPr>
            <w:r>
              <w:rPr>
                <w:b/>
                <w:spacing w:val="-2"/>
                <w:w w:val="105"/>
                <w:sz w:val="13"/>
              </w:rPr>
              <w:t>$'000</w:t>
            </w:r>
          </w:p>
        </w:tc>
        <w:tc>
          <w:tcPr>
            <w:tcW w:w="1102" w:type="dxa"/>
            <w:tcBorders>
              <w:bottom w:val="single" w:sz="6" w:space="0" w:color="000000"/>
            </w:tcBorders>
          </w:tcPr>
          <w:p>
            <w:pPr>
              <w:pStyle w:val="TableParagraph"/>
              <w:spacing w:before="1"/>
              <w:ind w:right="34"/>
              <w:jc w:val="center"/>
              <w:rPr>
                <w:b/>
                <w:sz w:val="13"/>
              </w:rPr>
            </w:pPr>
            <w:r>
              <w:rPr>
                <w:b/>
                <w:spacing w:val="-4"/>
                <w:w w:val="105"/>
                <w:sz w:val="13"/>
              </w:rPr>
              <w:t>2019</w:t>
            </w:r>
          </w:p>
          <w:p>
            <w:pPr>
              <w:pStyle w:val="TableParagraph"/>
              <w:spacing w:line="134" w:lineRule="exact" w:before="23"/>
              <w:ind w:left="2" w:right="34"/>
              <w:jc w:val="center"/>
              <w:rPr>
                <w:b/>
                <w:sz w:val="13"/>
              </w:rPr>
            </w:pPr>
            <w:r>
              <w:rPr>
                <w:b/>
                <w:spacing w:val="-2"/>
                <w:w w:val="105"/>
                <w:sz w:val="13"/>
              </w:rPr>
              <w:t>$'000</w:t>
            </w:r>
          </w:p>
        </w:tc>
        <w:tc>
          <w:tcPr>
            <w:tcW w:w="726" w:type="dxa"/>
            <w:tcBorders>
              <w:bottom w:val="single" w:sz="6" w:space="0" w:color="000000"/>
            </w:tcBorders>
          </w:tcPr>
          <w:p>
            <w:pPr>
              <w:pStyle w:val="TableParagraph"/>
              <w:spacing w:before="1"/>
              <w:ind w:left="194"/>
              <w:rPr>
                <w:b/>
                <w:sz w:val="13"/>
              </w:rPr>
            </w:pPr>
            <w:r>
              <w:rPr>
                <w:b/>
                <w:spacing w:val="-4"/>
                <w:w w:val="105"/>
                <w:sz w:val="13"/>
              </w:rPr>
              <w:t>2020</w:t>
            </w:r>
          </w:p>
          <w:p>
            <w:pPr>
              <w:pStyle w:val="TableParagraph"/>
              <w:spacing w:line="134" w:lineRule="exact" w:before="23"/>
              <w:ind w:left="179"/>
              <w:rPr>
                <w:b/>
                <w:sz w:val="13"/>
              </w:rPr>
            </w:pPr>
            <w:r>
              <w:rPr>
                <w:b/>
                <w:spacing w:val="-2"/>
                <w:w w:val="105"/>
                <w:sz w:val="13"/>
              </w:rPr>
              <w:t>$'000</w:t>
            </w:r>
          </w:p>
        </w:tc>
        <w:tc>
          <w:tcPr>
            <w:tcW w:w="987" w:type="dxa"/>
            <w:tcBorders>
              <w:bottom w:val="single" w:sz="6" w:space="0" w:color="000000"/>
            </w:tcBorders>
          </w:tcPr>
          <w:p>
            <w:pPr>
              <w:pStyle w:val="TableParagraph"/>
              <w:spacing w:before="1"/>
              <w:ind w:left="382"/>
              <w:rPr>
                <w:b/>
                <w:sz w:val="13"/>
              </w:rPr>
            </w:pPr>
            <w:r>
              <w:rPr>
                <w:b/>
                <w:spacing w:val="-4"/>
                <w:w w:val="105"/>
                <w:sz w:val="13"/>
              </w:rPr>
              <w:t>2019</w:t>
            </w:r>
          </w:p>
          <w:p>
            <w:pPr>
              <w:pStyle w:val="TableParagraph"/>
              <w:spacing w:line="134" w:lineRule="exact" w:before="23"/>
              <w:ind w:left="367"/>
              <w:rPr>
                <w:b/>
                <w:sz w:val="13"/>
              </w:rPr>
            </w:pPr>
            <w:r>
              <w:rPr>
                <w:b/>
                <w:spacing w:val="-2"/>
                <w:w w:val="105"/>
                <w:sz w:val="13"/>
              </w:rPr>
              <w:t>$'000</w:t>
            </w:r>
          </w:p>
        </w:tc>
      </w:tr>
      <w:tr>
        <w:trPr>
          <w:trHeight w:val="163" w:hRule="atLeast"/>
        </w:trPr>
        <w:tc>
          <w:tcPr>
            <w:tcW w:w="4682" w:type="dxa"/>
          </w:tcPr>
          <w:p>
            <w:pPr>
              <w:pStyle w:val="TableParagraph"/>
              <w:spacing w:line="140" w:lineRule="exact" w:before="2"/>
              <w:ind w:left="34"/>
              <w:rPr>
                <w:sz w:val="13"/>
              </w:rPr>
            </w:pPr>
            <w:r>
              <w:rPr>
                <w:w w:val="105"/>
                <w:sz w:val="13"/>
              </w:rPr>
              <w:t>Sales</w:t>
            </w:r>
            <w:r>
              <w:rPr>
                <w:spacing w:val="-9"/>
                <w:w w:val="105"/>
                <w:sz w:val="13"/>
              </w:rPr>
              <w:t> </w:t>
            </w:r>
            <w:r>
              <w:rPr>
                <w:w w:val="105"/>
                <w:sz w:val="13"/>
              </w:rPr>
              <w:t>of</w:t>
            </w:r>
            <w:r>
              <w:rPr>
                <w:spacing w:val="-7"/>
                <w:w w:val="105"/>
                <w:sz w:val="13"/>
              </w:rPr>
              <w:t> </w:t>
            </w:r>
            <w:r>
              <w:rPr>
                <w:w w:val="105"/>
                <w:sz w:val="13"/>
              </w:rPr>
              <w:t>goods</w:t>
            </w:r>
            <w:r>
              <w:rPr>
                <w:spacing w:val="-8"/>
                <w:w w:val="105"/>
                <w:sz w:val="13"/>
              </w:rPr>
              <w:t> </w:t>
            </w:r>
            <w:r>
              <w:rPr>
                <w:w w:val="105"/>
                <w:sz w:val="13"/>
              </w:rPr>
              <w:t>and</w:t>
            </w:r>
            <w:r>
              <w:rPr>
                <w:spacing w:val="-9"/>
                <w:w w:val="105"/>
                <w:sz w:val="13"/>
              </w:rPr>
              <w:t> </w:t>
            </w:r>
            <w:r>
              <w:rPr>
                <w:spacing w:val="-2"/>
                <w:w w:val="105"/>
                <w:sz w:val="13"/>
              </w:rPr>
              <w:t>services</w:t>
            </w:r>
          </w:p>
        </w:tc>
        <w:tc>
          <w:tcPr>
            <w:tcW w:w="843" w:type="dxa"/>
            <w:tcBorders>
              <w:top w:val="single" w:sz="6" w:space="0" w:color="000000"/>
            </w:tcBorders>
          </w:tcPr>
          <w:p>
            <w:pPr>
              <w:pStyle w:val="TableParagraph"/>
              <w:spacing w:line="140" w:lineRule="exact" w:before="2"/>
              <w:jc w:val="right"/>
              <w:rPr>
                <w:sz w:val="13"/>
              </w:rPr>
            </w:pPr>
            <w:r>
              <w:rPr>
                <w:spacing w:val="-2"/>
                <w:w w:val="105"/>
                <w:sz w:val="13"/>
              </w:rPr>
              <w:t>14,055</w:t>
            </w:r>
          </w:p>
        </w:tc>
        <w:tc>
          <w:tcPr>
            <w:tcW w:w="1102" w:type="dxa"/>
            <w:tcBorders>
              <w:top w:val="single" w:sz="6" w:space="0" w:color="000000"/>
            </w:tcBorders>
          </w:tcPr>
          <w:p>
            <w:pPr>
              <w:pStyle w:val="TableParagraph"/>
              <w:spacing w:line="140" w:lineRule="exact" w:before="2"/>
              <w:ind w:left="-1" w:right="188"/>
              <w:jc w:val="right"/>
              <w:rPr>
                <w:sz w:val="13"/>
              </w:rPr>
            </w:pPr>
            <w:r>
              <w:rPr>
                <w:spacing w:val="-2"/>
                <w:w w:val="105"/>
                <w:sz w:val="13"/>
              </w:rPr>
              <w:t>17,224</w:t>
            </w:r>
          </w:p>
        </w:tc>
        <w:tc>
          <w:tcPr>
            <w:tcW w:w="726" w:type="dxa"/>
            <w:tcBorders>
              <w:top w:val="single" w:sz="6" w:space="0" w:color="000000"/>
            </w:tcBorders>
          </w:tcPr>
          <w:p>
            <w:pPr>
              <w:pStyle w:val="TableParagraph"/>
              <w:spacing w:line="140" w:lineRule="exact" w:before="2"/>
              <w:jc w:val="right"/>
              <w:rPr>
                <w:sz w:val="13"/>
              </w:rPr>
            </w:pPr>
            <w:r>
              <w:rPr>
                <w:spacing w:val="-2"/>
                <w:w w:val="105"/>
                <w:sz w:val="13"/>
              </w:rPr>
              <w:t>6,421</w:t>
            </w:r>
          </w:p>
        </w:tc>
        <w:tc>
          <w:tcPr>
            <w:tcW w:w="987" w:type="dxa"/>
            <w:tcBorders>
              <w:top w:val="single" w:sz="6" w:space="0" w:color="000000"/>
            </w:tcBorders>
          </w:tcPr>
          <w:p>
            <w:pPr>
              <w:pStyle w:val="TableParagraph"/>
              <w:spacing w:line="140" w:lineRule="exact" w:before="2"/>
              <w:ind w:left="-2" w:right="73"/>
              <w:jc w:val="right"/>
              <w:rPr>
                <w:sz w:val="13"/>
              </w:rPr>
            </w:pPr>
            <w:r>
              <w:rPr>
                <w:spacing w:val="-2"/>
                <w:w w:val="105"/>
                <w:sz w:val="13"/>
              </w:rPr>
              <w:t>6,721</w:t>
            </w:r>
          </w:p>
        </w:tc>
      </w:tr>
      <w:tr>
        <w:trPr>
          <w:trHeight w:val="171" w:hRule="atLeast"/>
        </w:trPr>
        <w:tc>
          <w:tcPr>
            <w:tcW w:w="4682" w:type="dxa"/>
          </w:tcPr>
          <w:p>
            <w:pPr>
              <w:pStyle w:val="TableParagraph"/>
              <w:spacing w:line="140" w:lineRule="exact" w:before="11"/>
              <w:ind w:left="34"/>
              <w:rPr>
                <w:sz w:val="13"/>
              </w:rPr>
            </w:pPr>
            <w:r>
              <w:rPr>
                <w:spacing w:val="-2"/>
                <w:w w:val="105"/>
                <w:sz w:val="13"/>
              </w:rPr>
              <w:t>Donations</w:t>
            </w:r>
            <w:r>
              <w:rPr>
                <w:spacing w:val="-1"/>
                <w:w w:val="105"/>
                <w:sz w:val="13"/>
              </w:rPr>
              <w:t> </w:t>
            </w:r>
            <w:r>
              <w:rPr>
                <w:spacing w:val="-2"/>
                <w:w w:val="105"/>
                <w:sz w:val="13"/>
              </w:rPr>
              <w:t>and</w:t>
            </w:r>
            <w:r>
              <w:rPr>
                <w:spacing w:val="-1"/>
                <w:w w:val="105"/>
                <w:sz w:val="13"/>
              </w:rPr>
              <w:t> </w:t>
            </w:r>
            <w:r>
              <w:rPr>
                <w:spacing w:val="-2"/>
                <w:w w:val="105"/>
                <w:sz w:val="13"/>
              </w:rPr>
              <w:t>bequests</w:t>
            </w:r>
          </w:p>
        </w:tc>
        <w:tc>
          <w:tcPr>
            <w:tcW w:w="843" w:type="dxa"/>
          </w:tcPr>
          <w:p>
            <w:pPr>
              <w:pStyle w:val="TableParagraph"/>
              <w:spacing w:line="140" w:lineRule="exact" w:before="11"/>
              <w:ind w:right="1"/>
              <w:jc w:val="right"/>
              <w:rPr>
                <w:sz w:val="13"/>
              </w:rPr>
            </w:pPr>
            <w:r>
              <w:rPr>
                <w:spacing w:val="-2"/>
                <w:w w:val="105"/>
                <w:sz w:val="13"/>
              </w:rPr>
              <w:t>37,423</w:t>
            </w:r>
          </w:p>
        </w:tc>
        <w:tc>
          <w:tcPr>
            <w:tcW w:w="1102" w:type="dxa"/>
          </w:tcPr>
          <w:p>
            <w:pPr>
              <w:pStyle w:val="TableParagraph"/>
              <w:spacing w:line="140" w:lineRule="exact" w:before="11"/>
              <w:ind w:left="-1" w:right="188"/>
              <w:jc w:val="right"/>
              <w:rPr>
                <w:sz w:val="13"/>
              </w:rPr>
            </w:pPr>
            <w:r>
              <w:rPr>
                <w:spacing w:val="-2"/>
                <w:w w:val="105"/>
                <w:sz w:val="13"/>
              </w:rPr>
              <w:t>41,625</w:t>
            </w:r>
          </w:p>
        </w:tc>
        <w:tc>
          <w:tcPr>
            <w:tcW w:w="726" w:type="dxa"/>
          </w:tcPr>
          <w:p>
            <w:pPr>
              <w:pStyle w:val="TableParagraph"/>
              <w:spacing w:line="140" w:lineRule="exact" w:before="11"/>
              <w:jc w:val="right"/>
              <w:rPr>
                <w:sz w:val="13"/>
              </w:rPr>
            </w:pPr>
            <w:r>
              <w:rPr>
                <w:spacing w:val="-2"/>
                <w:w w:val="105"/>
                <w:sz w:val="13"/>
              </w:rPr>
              <w:t>36,553</w:t>
            </w:r>
          </w:p>
        </w:tc>
        <w:tc>
          <w:tcPr>
            <w:tcW w:w="987" w:type="dxa"/>
          </w:tcPr>
          <w:p>
            <w:pPr>
              <w:pStyle w:val="TableParagraph"/>
              <w:spacing w:line="140" w:lineRule="exact" w:before="11"/>
              <w:ind w:left="-2" w:right="73"/>
              <w:jc w:val="right"/>
              <w:rPr>
                <w:sz w:val="13"/>
              </w:rPr>
            </w:pPr>
            <w:r>
              <w:rPr>
                <w:spacing w:val="-2"/>
                <w:w w:val="105"/>
                <w:sz w:val="13"/>
              </w:rPr>
              <w:t>40,525</w:t>
            </w:r>
          </w:p>
        </w:tc>
      </w:tr>
      <w:tr>
        <w:trPr>
          <w:trHeight w:val="171" w:hRule="atLeast"/>
        </w:trPr>
        <w:tc>
          <w:tcPr>
            <w:tcW w:w="4682" w:type="dxa"/>
          </w:tcPr>
          <w:p>
            <w:pPr>
              <w:pStyle w:val="TableParagraph"/>
              <w:spacing w:line="140" w:lineRule="exact" w:before="11"/>
              <w:ind w:left="34"/>
              <w:rPr>
                <w:sz w:val="13"/>
              </w:rPr>
            </w:pPr>
            <w:r>
              <w:rPr>
                <w:spacing w:val="-2"/>
                <w:w w:val="105"/>
                <w:sz w:val="13"/>
              </w:rPr>
              <w:t>Salary</w:t>
            </w:r>
            <w:r>
              <w:rPr>
                <w:spacing w:val="-4"/>
                <w:w w:val="105"/>
                <w:sz w:val="13"/>
              </w:rPr>
              <w:t> </w:t>
            </w:r>
            <w:r>
              <w:rPr>
                <w:spacing w:val="-2"/>
                <w:w w:val="105"/>
                <w:sz w:val="13"/>
              </w:rPr>
              <w:t>contributions</w:t>
            </w:r>
            <w:r>
              <w:rPr>
                <w:spacing w:val="3"/>
                <w:w w:val="105"/>
                <w:sz w:val="13"/>
              </w:rPr>
              <w:t> </w:t>
            </w:r>
            <w:r>
              <w:rPr>
                <w:spacing w:val="-2"/>
                <w:w w:val="105"/>
                <w:sz w:val="13"/>
              </w:rPr>
              <w:t>from</w:t>
            </w:r>
            <w:r>
              <w:rPr>
                <w:spacing w:val="3"/>
                <w:w w:val="105"/>
                <w:sz w:val="13"/>
              </w:rPr>
              <w:t> </w:t>
            </w:r>
            <w:r>
              <w:rPr>
                <w:spacing w:val="-2"/>
                <w:w w:val="105"/>
                <w:sz w:val="13"/>
              </w:rPr>
              <w:t>external</w:t>
            </w:r>
            <w:r>
              <w:rPr>
                <w:spacing w:val="2"/>
                <w:w w:val="105"/>
                <w:sz w:val="13"/>
              </w:rPr>
              <w:t> </w:t>
            </w:r>
            <w:r>
              <w:rPr>
                <w:spacing w:val="-2"/>
                <w:w w:val="105"/>
                <w:sz w:val="13"/>
              </w:rPr>
              <w:t>parties</w:t>
            </w:r>
          </w:p>
        </w:tc>
        <w:tc>
          <w:tcPr>
            <w:tcW w:w="843" w:type="dxa"/>
          </w:tcPr>
          <w:p>
            <w:pPr>
              <w:pStyle w:val="TableParagraph"/>
              <w:spacing w:line="140" w:lineRule="exact" w:before="11"/>
              <w:ind w:right="1"/>
              <w:jc w:val="right"/>
              <w:rPr>
                <w:sz w:val="13"/>
              </w:rPr>
            </w:pPr>
            <w:r>
              <w:rPr>
                <w:spacing w:val="-2"/>
                <w:w w:val="105"/>
                <w:sz w:val="13"/>
              </w:rPr>
              <w:t>20,310</w:t>
            </w:r>
          </w:p>
        </w:tc>
        <w:tc>
          <w:tcPr>
            <w:tcW w:w="1102" w:type="dxa"/>
          </w:tcPr>
          <w:p>
            <w:pPr>
              <w:pStyle w:val="TableParagraph"/>
              <w:spacing w:line="140" w:lineRule="exact" w:before="11"/>
              <w:ind w:left="-1" w:right="187"/>
              <w:jc w:val="right"/>
              <w:rPr>
                <w:sz w:val="13"/>
              </w:rPr>
            </w:pPr>
            <w:r>
              <w:rPr>
                <w:spacing w:val="-2"/>
                <w:w w:val="105"/>
                <w:sz w:val="13"/>
              </w:rPr>
              <w:t>23,079</w:t>
            </w:r>
          </w:p>
        </w:tc>
        <w:tc>
          <w:tcPr>
            <w:tcW w:w="726" w:type="dxa"/>
          </w:tcPr>
          <w:p>
            <w:pPr>
              <w:pStyle w:val="TableParagraph"/>
              <w:spacing w:line="140" w:lineRule="exact" w:before="11"/>
              <w:jc w:val="right"/>
              <w:rPr>
                <w:sz w:val="13"/>
              </w:rPr>
            </w:pPr>
            <w:r>
              <w:rPr>
                <w:spacing w:val="-2"/>
                <w:w w:val="105"/>
                <w:sz w:val="13"/>
              </w:rPr>
              <w:t>20,431</w:t>
            </w:r>
          </w:p>
        </w:tc>
        <w:tc>
          <w:tcPr>
            <w:tcW w:w="987" w:type="dxa"/>
          </w:tcPr>
          <w:p>
            <w:pPr>
              <w:pStyle w:val="TableParagraph"/>
              <w:spacing w:line="140" w:lineRule="exact" w:before="11"/>
              <w:ind w:left="-2" w:right="73"/>
              <w:jc w:val="right"/>
              <w:rPr>
                <w:sz w:val="13"/>
              </w:rPr>
            </w:pPr>
            <w:r>
              <w:rPr>
                <w:spacing w:val="-2"/>
                <w:w w:val="105"/>
                <w:sz w:val="13"/>
              </w:rPr>
              <w:t>23,161</w:t>
            </w:r>
          </w:p>
        </w:tc>
      </w:tr>
      <w:tr>
        <w:trPr>
          <w:trHeight w:val="171" w:hRule="atLeast"/>
        </w:trPr>
        <w:tc>
          <w:tcPr>
            <w:tcW w:w="4682" w:type="dxa"/>
          </w:tcPr>
          <w:p>
            <w:pPr>
              <w:pStyle w:val="TableParagraph"/>
              <w:spacing w:line="140" w:lineRule="exact" w:before="11"/>
              <w:ind w:left="35"/>
              <w:rPr>
                <w:sz w:val="13"/>
              </w:rPr>
            </w:pPr>
            <w:r>
              <w:rPr>
                <w:spacing w:val="-2"/>
                <w:w w:val="105"/>
                <w:sz w:val="13"/>
              </w:rPr>
              <w:t>Expense</w:t>
            </w:r>
            <w:r>
              <w:rPr>
                <w:spacing w:val="-3"/>
                <w:w w:val="105"/>
                <w:sz w:val="13"/>
              </w:rPr>
              <w:t> </w:t>
            </w:r>
            <w:r>
              <w:rPr>
                <w:spacing w:val="-2"/>
                <w:w w:val="105"/>
                <w:sz w:val="13"/>
              </w:rPr>
              <w:t>recoveries</w:t>
            </w:r>
          </w:p>
        </w:tc>
        <w:tc>
          <w:tcPr>
            <w:tcW w:w="843" w:type="dxa"/>
          </w:tcPr>
          <w:p>
            <w:pPr>
              <w:pStyle w:val="TableParagraph"/>
              <w:spacing w:line="140" w:lineRule="exact" w:before="11"/>
              <w:ind w:right="1"/>
              <w:jc w:val="right"/>
              <w:rPr>
                <w:sz w:val="13"/>
              </w:rPr>
            </w:pPr>
            <w:r>
              <w:rPr>
                <w:spacing w:val="-2"/>
                <w:w w:val="105"/>
                <w:sz w:val="13"/>
              </w:rPr>
              <w:t>6,003</w:t>
            </w:r>
          </w:p>
        </w:tc>
        <w:tc>
          <w:tcPr>
            <w:tcW w:w="1102" w:type="dxa"/>
          </w:tcPr>
          <w:p>
            <w:pPr>
              <w:pStyle w:val="TableParagraph"/>
              <w:spacing w:line="140" w:lineRule="exact" w:before="11"/>
              <w:ind w:left="-1" w:right="187"/>
              <w:jc w:val="right"/>
              <w:rPr>
                <w:sz w:val="13"/>
              </w:rPr>
            </w:pPr>
            <w:r>
              <w:rPr>
                <w:spacing w:val="-2"/>
                <w:w w:val="105"/>
                <w:sz w:val="13"/>
              </w:rPr>
              <w:t>8,617</w:t>
            </w:r>
          </w:p>
        </w:tc>
        <w:tc>
          <w:tcPr>
            <w:tcW w:w="726" w:type="dxa"/>
          </w:tcPr>
          <w:p>
            <w:pPr>
              <w:pStyle w:val="TableParagraph"/>
              <w:spacing w:line="140" w:lineRule="exact" w:before="11"/>
              <w:jc w:val="right"/>
              <w:rPr>
                <w:sz w:val="13"/>
              </w:rPr>
            </w:pPr>
            <w:r>
              <w:rPr>
                <w:spacing w:val="-2"/>
                <w:w w:val="105"/>
                <w:sz w:val="13"/>
              </w:rPr>
              <w:t>6,538</w:t>
            </w:r>
          </w:p>
        </w:tc>
        <w:tc>
          <w:tcPr>
            <w:tcW w:w="987" w:type="dxa"/>
          </w:tcPr>
          <w:p>
            <w:pPr>
              <w:pStyle w:val="TableParagraph"/>
              <w:spacing w:line="140" w:lineRule="exact" w:before="11"/>
              <w:ind w:left="-2" w:right="73"/>
              <w:jc w:val="right"/>
              <w:rPr>
                <w:sz w:val="13"/>
              </w:rPr>
            </w:pPr>
            <w:r>
              <w:rPr>
                <w:spacing w:val="-2"/>
                <w:w w:val="105"/>
                <w:sz w:val="13"/>
              </w:rPr>
              <w:t>9,084</w:t>
            </w:r>
          </w:p>
        </w:tc>
      </w:tr>
      <w:tr>
        <w:trPr>
          <w:trHeight w:val="171" w:hRule="atLeast"/>
        </w:trPr>
        <w:tc>
          <w:tcPr>
            <w:tcW w:w="4682" w:type="dxa"/>
          </w:tcPr>
          <w:p>
            <w:pPr>
              <w:pStyle w:val="TableParagraph"/>
              <w:spacing w:line="140" w:lineRule="exact" w:before="11"/>
              <w:ind w:left="35"/>
              <w:rPr>
                <w:sz w:val="13"/>
              </w:rPr>
            </w:pPr>
            <w:r>
              <w:rPr>
                <w:spacing w:val="-2"/>
                <w:w w:val="105"/>
                <w:sz w:val="13"/>
              </w:rPr>
              <w:t>Sponsorships</w:t>
            </w:r>
          </w:p>
        </w:tc>
        <w:tc>
          <w:tcPr>
            <w:tcW w:w="843" w:type="dxa"/>
          </w:tcPr>
          <w:p>
            <w:pPr>
              <w:pStyle w:val="TableParagraph"/>
              <w:spacing w:line="140" w:lineRule="exact" w:before="11"/>
              <w:ind w:right="1"/>
              <w:jc w:val="right"/>
              <w:rPr>
                <w:sz w:val="13"/>
              </w:rPr>
            </w:pPr>
            <w:r>
              <w:rPr>
                <w:spacing w:val="-2"/>
                <w:w w:val="105"/>
                <w:sz w:val="13"/>
              </w:rPr>
              <w:t>6,359</w:t>
            </w:r>
          </w:p>
        </w:tc>
        <w:tc>
          <w:tcPr>
            <w:tcW w:w="1102" w:type="dxa"/>
          </w:tcPr>
          <w:p>
            <w:pPr>
              <w:pStyle w:val="TableParagraph"/>
              <w:spacing w:line="140" w:lineRule="exact" w:before="11"/>
              <w:ind w:left="-1" w:right="187"/>
              <w:jc w:val="right"/>
              <w:rPr>
                <w:sz w:val="13"/>
              </w:rPr>
            </w:pPr>
            <w:r>
              <w:rPr>
                <w:spacing w:val="-2"/>
                <w:w w:val="105"/>
                <w:sz w:val="13"/>
              </w:rPr>
              <w:t>6,213</w:t>
            </w:r>
          </w:p>
        </w:tc>
        <w:tc>
          <w:tcPr>
            <w:tcW w:w="726" w:type="dxa"/>
          </w:tcPr>
          <w:p>
            <w:pPr>
              <w:pStyle w:val="TableParagraph"/>
              <w:spacing w:line="140" w:lineRule="exact" w:before="11"/>
              <w:ind w:right="1"/>
              <w:jc w:val="right"/>
              <w:rPr>
                <w:sz w:val="13"/>
              </w:rPr>
            </w:pPr>
            <w:r>
              <w:rPr>
                <w:spacing w:val="-2"/>
                <w:w w:val="105"/>
                <w:sz w:val="13"/>
              </w:rPr>
              <w:t>4,571</w:t>
            </w:r>
          </w:p>
        </w:tc>
        <w:tc>
          <w:tcPr>
            <w:tcW w:w="987" w:type="dxa"/>
          </w:tcPr>
          <w:p>
            <w:pPr>
              <w:pStyle w:val="TableParagraph"/>
              <w:spacing w:line="140" w:lineRule="exact" w:before="11"/>
              <w:ind w:left="-2" w:right="73"/>
              <w:jc w:val="right"/>
              <w:rPr>
                <w:sz w:val="13"/>
              </w:rPr>
            </w:pPr>
            <w:r>
              <w:rPr>
                <w:spacing w:val="-2"/>
                <w:w w:val="105"/>
                <w:sz w:val="13"/>
              </w:rPr>
              <w:t>4,005</w:t>
            </w:r>
          </w:p>
        </w:tc>
      </w:tr>
      <w:tr>
        <w:trPr>
          <w:trHeight w:val="171" w:hRule="atLeast"/>
        </w:trPr>
        <w:tc>
          <w:tcPr>
            <w:tcW w:w="4682" w:type="dxa"/>
          </w:tcPr>
          <w:p>
            <w:pPr>
              <w:pStyle w:val="TableParagraph"/>
              <w:spacing w:line="140" w:lineRule="exact" w:before="11"/>
              <w:ind w:left="35"/>
              <w:rPr>
                <w:sz w:val="13"/>
              </w:rPr>
            </w:pPr>
            <w:r>
              <w:rPr>
                <w:spacing w:val="-2"/>
                <w:w w:val="105"/>
                <w:sz w:val="13"/>
              </w:rPr>
              <w:t>Scholarships</w:t>
            </w:r>
            <w:r>
              <w:rPr>
                <w:spacing w:val="1"/>
                <w:w w:val="105"/>
                <w:sz w:val="13"/>
              </w:rPr>
              <w:t> </w:t>
            </w:r>
            <w:r>
              <w:rPr>
                <w:spacing w:val="-2"/>
                <w:w w:val="105"/>
                <w:sz w:val="13"/>
              </w:rPr>
              <w:t>and</w:t>
            </w:r>
            <w:r>
              <w:rPr>
                <w:spacing w:val="1"/>
                <w:w w:val="105"/>
                <w:sz w:val="13"/>
              </w:rPr>
              <w:t> </w:t>
            </w:r>
            <w:r>
              <w:rPr>
                <w:spacing w:val="-2"/>
                <w:w w:val="105"/>
                <w:sz w:val="13"/>
              </w:rPr>
              <w:t>prizes</w:t>
            </w:r>
          </w:p>
        </w:tc>
        <w:tc>
          <w:tcPr>
            <w:tcW w:w="843" w:type="dxa"/>
          </w:tcPr>
          <w:p>
            <w:pPr>
              <w:pStyle w:val="TableParagraph"/>
              <w:spacing w:line="140" w:lineRule="exact" w:before="11"/>
              <w:ind w:right="1"/>
              <w:jc w:val="right"/>
              <w:rPr>
                <w:sz w:val="13"/>
              </w:rPr>
            </w:pPr>
            <w:r>
              <w:rPr>
                <w:spacing w:val="-5"/>
                <w:w w:val="105"/>
                <w:sz w:val="13"/>
              </w:rPr>
              <w:t>643</w:t>
            </w:r>
          </w:p>
        </w:tc>
        <w:tc>
          <w:tcPr>
            <w:tcW w:w="1102" w:type="dxa"/>
          </w:tcPr>
          <w:p>
            <w:pPr>
              <w:pStyle w:val="TableParagraph"/>
              <w:spacing w:line="140" w:lineRule="exact" w:before="11"/>
              <w:ind w:left="-1" w:right="187"/>
              <w:jc w:val="right"/>
              <w:rPr>
                <w:sz w:val="13"/>
              </w:rPr>
            </w:pPr>
            <w:r>
              <w:rPr>
                <w:spacing w:val="-5"/>
                <w:w w:val="105"/>
                <w:sz w:val="13"/>
              </w:rPr>
              <w:t>183</w:t>
            </w:r>
          </w:p>
        </w:tc>
        <w:tc>
          <w:tcPr>
            <w:tcW w:w="726" w:type="dxa"/>
          </w:tcPr>
          <w:p>
            <w:pPr>
              <w:pStyle w:val="TableParagraph"/>
              <w:spacing w:line="140" w:lineRule="exact" w:before="11"/>
              <w:ind w:right="1"/>
              <w:jc w:val="right"/>
              <w:rPr>
                <w:sz w:val="13"/>
              </w:rPr>
            </w:pPr>
            <w:r>
              <w:rPr>
                <w:spacing w:val="-5"/>
                <w:w w:val="105"/>
                <w:sz w:val="13"/>
              </w:rPr>
              <w:t>643</w:t>
            </w:r>
          </w:p>
        </w:tc>
        <w:tc>
          <w:tcPr>
            <w:tcW w:w="987" w:type="dxa"/>
          </w:tcPr>
          <w:p>
            <w:pPr>
              <w:pStyle w:val="TableParagraph"/>
              <w:spacing w:line="140" w:lineRule="exact" w:before="11"/>
              <w:ind w:left="-2" w:right="72"/>
              <w:jc w:val="right"/>
              <w:rPr>
                <w:sz w:val="13"/>
              </w:rPr>
            </w:pPr>
            <w:r>
              <w:rPr>
                <w:spacing w:val="-5"/>
                <w:w w:val="105"/>
                <w:sz w:val="13"/>
              </w:rPr>
              <w:t>183</w:t>
            </w:r>
          </w:p>
        </w:tc>
      </w:tr>
      <w:tr>
        <w:trPr>
          <w:trHeight w:val="171" w:hRule="atLeast"/>
        </w:trPr>
        <w:tc>
          <w:tcPr>
            <w:tcW w:w="4682" w:type="dxa"/>
          </w:tcPr>
          <w:p>
            <w:pPr>
              <w:pStyle w:val="TableParagraph"/>
              <w:spacing w:line="140" w:lineRule="exact" w:before="11"/>
              <w:ind w:left="35"/>
              <w:rPr>
                <w:sz w:val="13"/>
              </w:rPr>
            </w:pPr>
            <w:r>
              <w:rPr>
                <w:spacing w:val="-2"/>
                <w:w w:val="105"/>
                <w:sz w:val="13"/>
              </w:rPr>
              <w:t>Rental</w:t>
            </w:r>
            <w:r>
              <w:rPr>
                <w:w w:val="105"/>
                <w:sz w:val="13"/>
              </w:rPr>
              <w:t> </w:t>
            </w:r>
            <w:r>
              <w:rPr>
                <w:spacing w:val="-2"/>
                <w:w w:val="105"/>
                <w:sz w:val="13"/>
              </w:rPr>
              <w:t>income</w:t>
            </w:r>
          </w:p>
        </w:tc>
        <w:tc>
          <w:tcPr>
            <w:tcW w:w="843" w:type="dxa"/>
          </w:tcPr>
          <w:p>
            <w:pPr>
              <w:pStyle w:val="TableParagraph"/>
              <w:spacing w:line="140" w:lineRule="exact" w:before="11"/>
              <w:jc w:val="right"/>
              <w:rPr>
                <w:sz w:val="13"/>
              </w:rPr>
            </w:pPr>
            <w:r>
              <w:rPr>
                <w:spacing w:val="-2"/>
                <w:w w:val="105"/>
                <w:sz w:val="13"/>
              </w:rPr>
              <w:t>5,812</w:t>
            </w:r>
          </w:p>
        </w:tc>
        <w:tc>
          <w:tcPr>
            <w:tcW w:w="1102" w:type="dxa"/>
          </w:tcPr>
          <w:p>
            <w:pPr>
              <w:pStyle w:val="TableParagraph"/>
              <w:spacing w:line="140" w:lineRule="exact" w:before="11"/>
              <w:ind w:left="-1" w:right="187"/>
              <w:jc w:val="right"/>
              <w:rPr>
                <w:sz w:val="13"/>
              </w:rPr>
            </w:pPr>
            <w:r>
              <w:rPr>
                <w:spacing w:val="-2"/>
                <w:w w:val="105"/>
                <w:sz w:val="13"/>
              </w:rPr>
              <w:t>6,517</w:t>
            </w:r>
          </w:p>
        </w:tc>
        <w:tc>
          <w:tcPr>
            <w:tcW w:w="726" w:type="dxa"/>
          </w:tcPr>
          <w:p>
            <w:pPr>
              <w:pStyle w:val="TableParagraph"/>
              <w:spacing w:line="140" w:lineRule="exact" w:before="11"/>
              <w:ind w:right="1"/>
              <w:jc w:val="right"/>
              <w:rPr>
                <w:sz w:val="13"/>
              </w:rPr>
            </w:pPr>
            <w:r>
              <w:rPr>
                <w:spacing w:val="-2"/>
                <w:w w:val="105"/>
                <w:sz w:val="13"/>
              </w:rPr>
              <w:t>5,806</w:t>
            </w:r>
          </w:p>
        </w:tc>
        <w:tc>
          <w:tcPr>
            <w:tcW w:w="987" w:type="dxa"/>
          </w:tcPr>
          <w:p>
            <w:pPr>
              <w:pStyle w:val="TableParagraph"/>
              <w:spacing w:line="140" w:lineRule="exact" w:before="11"/>
              <w:ind w:left="-2" w:right="72"/>
              <w:jc w:val="right"/>
              <w:rPr>
                <w:sz w:val="13"/>
              </w:rPr>
            </w:pPr>
            <w:r>
              <w:rPr>
                <w:spacing w:val="-2"/>
                <w:w w:val="105"/>
                <w:sz w:val="13"/>
              </w:rPr>
              <w:t>6,502</w:t>
            </w:r>
          </w:p>
        </w:tc>
      </w:tr>
      <w:tr>
        <w:trPr>
          <w:trHeight w:val="171" w:hRule="atLeast"/>
        </w:trPr>
        <w:tc>
          <w:tcPr>
            <w:tcW w:w="4682" w:type="dxa"/>
          </w:tcPr>
          <w:p>
            <w:pPr>
              <w:pStyle w:val="TableParagraph"/>
              <w:spacing w:line="140" w:lineRule="exact" w:before="11"/>
              <w:ind w:left="35"/>
              <w:rPr>
                <w:sz w:val="13"/>
              </w:rPr>
            </w:pPr>
            <w:r>
              <w:rPr>
                <w:spacing w:val="-2"/>
                <w:w w:val="105"/>
                <w:sz w:val="13"/>
              </w:rPr>
              <w:t>Other</w:t>
            </w:r>
            <w:r>
              <w:rPr>
                <w:w w:val="105"/>
                <w:sz w:val="13"/>
              </w:rPr>
              <w:t> </w:t>
            </w:r>
            <w:r>
              <w:rPr>
                <w:spacing w:val="-2"/>
                <w:w w:val="105"/>
                <w:sz w:val="13"/>
              </w:rPr>
              <w:t>general</w:t>
            </w:r>
            <w:r>
              <w:rPr>
                <w:spacing w:val="-1"/>
                <w:w w:val="105"/>
                <w:sz w:val="13"/>
              </w:rPr>
              <w:t> </w:t>
            </w:r>
            <w:r>
              <w:rPr>
                <w:spacing w:val="-2"/>
                <w:w w:val="105"/>
                <w:sz w:val="13"/>
              </w:rPr>
              <w:t>grants</w:t>
            </w:r>
          </w:p>
        </w:tc>
        <w:tc>
          <w:tcPr>
            <w:tcW w:w="843" w:type="dxa"/>
          </w:tcPr>
          <w:p>
            <w:pPr>
              <w:pStyle w:val="TableParagraph"/>
              <w:spacing w:line="140" w:lineRule="exact" w:before="11"/>
              <w:jc w:val="right"/>
              <w:rPr>
                <w:sz w:val="13"/>
              </w:rPr>
            </w:pPr>
            <w:r>
              <w:rPr>
                <w:spacing w:val="-2"/>
                <w:w w:val="105"/>
                <w:sz w:val="13"/>
              </w:rPr>
              <w:t>8,495</w:t>
            </w:r>
          </w:p>
        </w:tc>
        <w:tc>
          <w:tcPr>
            <w:tcW w:w="1102" w:type="dxa"/>
          </w:tcPr>
          <w:p>
            <w:pPr>
              <w:pStyle w:val="TableParagraph"/>
              <w:spacing w:line="140" w:lineRule="exact" w:before="11"/>
              <w:ind w:left="-1" w:right="187"/>
              <w:jc w:val="right"/>
              <w:rPr>
                <w:sz w:val="13"/>
              </w:rPr>
            </w:pPr>
            <w:r>
              <w:rPr>
                <w:spacing w:val="-2"/>
                <w:w w:val="105"/>
                <w:sz w:val="13"/>
              </w:rPr>
              <w:t>4,324</w:t>
            </w:r>
          </w:p>
        </w:tc>
        <w:tc>
          <w:tcPr>
            <w:tcW w:w="726" w:type="dxa"/>
          </w:tcPr>
          <w:p>
            <w:pPr>
              <w:pStyle w:val="TableParagraph"/>
              <w:spacing w:line="140" w:lineRule="exact" w:before="11"/>
              <w:ind w:right="1"/>
              <w:jc w:val="right"/>
              <w:rPr>
                <w:sz w:val="13"/>
              </w:rPr>
            </w:pPr>
            <w:r>
              <w:rPr>
                <w:spacing w:val="-2"/>
                <w:w w:val="105"/>
                <w:sz w:val="13"/>
              </w:rPr>
              <w:t>8,671</w:t>
            </w:r>
          </w:p>
        </w:tc>
        <w:tc>
          <w:tcPr>
            <w:tcW w:w="987" w:type="dxa"/>
          </w:tcPr>
          <w:p>
            <w:pPr>
              <w:pStyle w:val="TableParagraph"/>
              <w:spacing w:line="140" w:lineRule="exact" w:before="11"/>
              <w:ind w:left="-2" w:right="72"/>
              <w:jc w:val="right"/>
              <w:rPr>
                <w:sz w:val="13"/>
              </w:rPr>
            </w:pPr>
            <w:r>
              <w:rPr>
                <w:spacing w:val="-2"/>
                <w:w w:val="105"/>
                <w:sz w:val="13"/>
              </w:rPr>
              <w:t>4,328</w:t>
            </w:r>
          </w:p>
        </w:tc>
      </w:tr>
      <w:tr>
        <w:trPr>
          <w:trHeight w:val="172" w:hRule="atLeast"/>
        </w:trPr>
        <w:tc>
          <w:tcPr>
            <w:tcW w:w="4682" w:type="dxa"/>
          </w:tcPr>
          <w:p>
            <w:pPr>
              <w:pStyle w:val="TableParagraph"/>
              <w:spacing w:line="142" w:lineRule="exact" w:before="11"/>
              <w:ind w:left="35"/>
              <w:rPr>
                <w:sz w:val="13"/>
              </w:rPr>
            </w:pPr>
            <w:r>
              <w:rPr>
                <w:spacing w:val="-2"/>
                <w:w w:val="105"/>
                <w:sz w:val="13"/>
              </w:rPr>
              <w:t>Performance</w:t>
            </w:r>
            <w:r>
              <w:rPr>
                <w:spacing w:val="1"/>
                <w:w w:val="105"/>
                <w:sz w:val="13"/>
              </w:rPr>
              <w:t> </w:t>
            </w:r>
            <w:r>
              <w:rPr>
                <w:spacing w:val="-2"/>
                <w:w w:val="105"/>
                <w:sz w:val="13"/>
              </w:rPr>
              <w:t>and</w:t>
            </w:r>
            <w:r>
              <w:rPr>
                <w:spacing w:val="1"/>
                <w:w w:val="105"/>
                <w:sz w:val="13"/>
              </w:rPr>
              <w:t> </w:t>
            </w:r>
            <w:r>
              <w:rPr>
                <w:spacing w:val="-2"/>
                <w:w w:val="105"/>
                <w:sz w:val="13"/>
              </w:rPr>
              <w:t>production</w:t>
            </w:r>
          </w:p>
        </w:tc>
        <w:tc>
          <w:tcPr>
            <w:tcW w:w="843" w:type="dxa"/>
          </w:tcPr>
          <w:p>
            <w:pPr>
              <w:pStyle w:val="TableParagraph"/>
              <w:spacing w:line="142" w:lineRule="exact" w:before="11"/>
              <w:jc w:val="right"/>
              <w:rPr>
                <w:sz w:val="13"/>
              </w:rPr>
            </w:pPr>
            <w:r>
              <w:rPr>
                <w:spacing w:val="-2"/>
                <w:w w:val="105"/>
                <w:sz w:val="13"/>
              </w:rPr>
              <w:t>3,819</w:t>
            </w:r>
          </w:p>
        </w:tc>
        <w:tc>
          <w:tcPr>
            <w:tcW w:w="1102" w:type="dxa"/>
          </w:tcPr>
          <w:p>
            <w:pPr>
              <w:pStyle w:val="TableParagraph"/>
              <w:spacing w:line="142" w:lineRule="exact" w:before="11"/>
              <w:ind w:right="186"/>
              <w:jc w:val="right"/>
              <w:rPr>
                <w:sz w:val="13"/>
              </w:rPr>
            </w:pPr>
            <w:r>
              <w:rPr>
                <w:spacing w:val="-2"/>
                <w:w w:val="105"/>
                <w:sz w:val="13"/>
              </w:rPr>
              <w:t>4,712</w:t>
            </w:r>
          </w:p>
        </w:tc>
        <w:tc>
          <w:tcPr>
            <w:tcW w:w="726" w:type="dxa"/>
          </w:tcPr>
          <w:p>
            <w:pPr>
              <w:pStyle w:val="TableParagraph"/>
              <w:rPr>
                <w:rFonts w:ascii="Times New Roman"/>
                <w:sz w:val="10"/>
              </w:rPr>
            </w:pPr>
          </w:p>
        </w:tc>
        <w:tc>
          <w:tcPr>
            <w:tcW w:w="987" w:type="dxa"/>
          </w:tcPr>
          <w:p>
            <w:pPr>
              <w:pStyle w:val="TableParagraph"/>
              <w:tabs>
                <w:tab w:pos="874" w:val="left" w:leader="none"/>
              </w:tabs>
              <w:spacing w:line="139" w:lineRule="exact" w:before="13"/>
              <w:ind w:left="-2" w:right="64"/>
              <w:jc w:val="right"/>
              <w:rPr>
                <w:sz w:val="13"/>
              </w:rPr>
            </w:pPr>
            <w:r>
              <w:rPr>
                <w:spacing w:val="-10"/>
                <w:w w:val="105"/>
                <w:sz w:val="13"/>
              </w:rPr>
              <w:t>-</w:t>
            </w:r>
            <w:r>
              <w:rPr>
                <w:sz w:val="13"/>
              </w:rPr>
              <w:tab/>
            </w:r>
            <w:r>
              <w:rPr>
                <w:spacing w:val="-10"/>
                <w:w w:val="105"/>
                <w:sz w:val="13"/>
              </w:rPr>
              <w:t>-</w:t>
            </w:r>
          </w:p>
        </w:tc>
      </w:tr>
      <w:tr>
        <w:trPr>
          <w:trHeight w:val="170" w:hRule="atLeast"/>
        </w:trPr>
        <w:tc>
          <w:tcPr>
            <w:tcW w:w="4682" w:type="dxa"/>
          </w:tcPr>
          <w:p>
            <w:pPr>
              <w:pStyle w:val="TableParagraph"/>
              <w:spacing w:line="140" w:lineRule="exact" w:before="10"/>
              <w:ind w:left="35"/>
              <w:rPr>
                <w:sz w:val="13"/>
              </w:rPr>
            </w:pPr>
            <w:r>
              <w:rPr>
                <w:spacing w:val="-2"/>
                <w:w w:val="105"/>
                <w:sz w:val="13"/>
              </w:rPr>
              <w:t>Insurance</w:t>
            </w:r>
            <w:r>
              <w:rPr>
                <w:spacing w:val="2"/>
                <w:w w:val="105"/>
                <w:sz w:val="13"/>
              </w:rPr>
              <w:t> </w:t>
            </w:r>
            <w:r>
              <w:rPr>
                <w:spacing w:val="-2"/>
                <w:w w:val="105"/>
                <w:sz w:val="13"/>
              </w:rPr>
              <w:t>claim</w:t>
            </w:r>
            <w:r>
              <w:rPr>
                <w:spacing w:val="4"/>
                <w:w w:val="105"/>
                <w:sz w:val="13"/>
              </w:rPr>
              <w:t> </w:t>
            </w:r>
            <w:r>
              <w:rPr>
                <w:spacing w:val="-2"/>
                <w:w w:val="105"/>
                <w:sz w:val="13"/>
              </w:rPr>
              <w:t>income</w:t>
            </w:r>
          </w:p>
        </w:tc>
        <w:tc>
          <w:tcPr>
            <w:tcW w:w="843" w:type="dxa"/>
          </w:tcPr>
          <w:p>
            <w:pPr>
              <w:pStyle w:val="TableParagraph"/>
              <w:spacing w:line="140" w:lineRule="exact" w:before="10"/>
              <w:jc w:val="right"/>
              <w:rPr>
                <w:sz w:val="13"/>
              </w:rPr>
            </w:pPr>
            <w:r>
              <w:rPr>
                <w:spacing w:val="-2"/>
                <w:w w:val="105"/>
                <w:sz w:val="13"/>
              </w:rPr>
              <w:t>1,129</w:t>
            </w:r>
          </w:p>
        </w:tc>
        <w:tc>
          <w:tcPr>
            <w:tcW w:w="1102" w:type="dxa"/>
          </w:tcPr>
          <w:p>
            <w:pPr>
              <w:pStyle w:val="TableParagraph"/>
              <w:spacing w:line="140" w:lineRule="exact" w:before="10"/>
              <w:ind w:left="-1" w:right="188"/>
              <w:jc w:val="right"/>
              <w:rPr>
                <w:sz w:val="13"/>
              </w:rPr>
            </w:pPr>
            <w:r>
              <w:rPr>
                <w:spacing w:val="-5"/>
                <w:w w:val="105"/>
                <w:sz w:val="13"/>
              </w:rPr>
              <w:t>863</w:t>
            </w:r>
          </w:p>
        </w:tc>
        <w:tc>
          <w:tcPr>
            <w:tcW w:w="726" w:type="dxa"/>
          </w:tcPr>
          <w:p>
            <w:pPr>
              <w:pStyle w:val="TableParagraph"/>
              <w:spacing w:line="140" w:lineRule="exact" w:before="10"/>
              <w:ind w:right="1"/>
              <w:jc w:val="right"/>
              <w:rPr>
                <w:sz w:val="13"/>
              </w:rPr>
            </w:pPr>
            <w:r>
              <w:rPr>
                <w:spacing w:val="-2"/>
                <w:w w:val="105"/>
                <w:sz w:val="13"/>
              </w:rPr>
              <w:t>1,323</w:t>
            </w:r>
          </w:p>
        </w:tc>
        <w:tc>
          <w:tcPr>
            <w:tcW w:w="987" w:type="dxa"/>
          </w:tcPr>
          <w:p>
            <w:pPr>
              <w:pStyle w:val="TableParagraph"/>
              <w:spacing w:line="140" w:lineRule="exact" w:before="10"/>
              <w:ind w:left="-2" w:right="72"/>
              <w:jc w:val="right"/>
              <w:rPr>
                <w:sz w:val="13"/>
              </w:rPr>
            </w:pPr>
            <w:r>
              <w:rPr>
                <w:spacing w:val="-5"/>
                <w:w w:val="105"/>
                <w:sz w:val="13"/>
              </w:rPr>
              <w:t>988</w:t>
            </w:r>
          </w:p>
        </w:tc>
      </w:tr>
      <w:tr>
        <w:trPr>
          <w:trHeight w:val="171" w:hRule="atLeast"/>
        </w:trPr>
        <w:tc>
          <w:tcPr>
            <w:tcW w:w="4682" w:type="dxa"/>
          </w:tcPr>
          <w:p>
            <w:pPr>
              <w:pStyle w:val="TableParagraph"/>
              <w:spacing w:line="140" w:lineRule="exact" w:before="11"/>
              <w:ind w:left="35"/>
              <w:rPr>
                <w:sz w:val="13"/>
              </w:rPr>
            </w:pPr>
            <w:r>
              <w:rPr>
                <w:spacing w:val="-2"/>
                <w:w w:val="105"/>
                <w:sz w:val="13"/>
              </w:rPr>
              <w:t>Subscriptions</w:t>
            </w:r>
          </w:p>
        </w:tc>
        <w:tc>
          <w:tcPr>
            <w:tcW w:w="843" w:type="dxa"/>
          </w:tcPr>
          <w:p>
            <w:pPr>
              <w:pStyle w:val="TableParagraph"/>
              <w:spacing w:line="140" w:lineRule="exact" w:before="11"/>
              <w:jc w:val="right"/>
              <w:rPr>
                <w:sz w:val="13"/>
              </w:rPr>
            </w:pPr>
            <w:r>
              <w:rPr>
                <w:spacing w:val="-5"/>
                <w:w w:val="105"/>
                <w:sz w:val="13"/>
              </w:rPr>
              <w:t>290</w:t>
            </w:r>
          </w:p>
        </w:tc>
        <w:tc>
          <w:tcPr>
            <w:tcW w:w="1102" w:type="dxa"/>
          </w:tcPr>
          <w:p>
            <w:pPr>
              <w:pStyle w:val="TableParagraph"/>
              <w:spacing w:line="140" w:lineRule="exact" w:before="11"/>
              <w:ind w:right="186"/>
              <w:jc w:val="right"/>
              <w:rPr>
                <w:sz w:val="13"/>
              </w:rPr>
            </w:pPr>
            <w:r>
              <w:rPr>
                <w:spacing w:val="-5"/>
                <w:w w:val="105"/>
                <w:sz w:val="13"/>
              </w:rPr>
              <w:t>291</w:t>
            </w:r>
          </w:p>
        </w:tc>
        <w:tc>
          <w:tcPr>
            <w:tcW w:w="726" w:type="dxa"/>
          </w:tcPr>
          <w:p>
            <w:pPr>
              <w:pStyle w:val="TableParagraph"/>
              <w:spacing w:line="140" w:lineRule="exact" w:before="11"/>
              <w:ind w:right="1"/>
              <w:jc w:val="right"/>
              <w:rPr>
                <w:sz w:val="13"/>
              </w:rPr>
            </w:pPr>
            <w:r>
              <w:rPr>
                <w:spacing w:val="-5"/>
                <w:w w:val="105"/>
                <w:sz w:val="13"/>
              </w:rPr>
              <w:t>290</w:t>
            </w:r>
          </w:p>
        </w:tc>
        <w:tc>
          <w:tcPr>
            <w:tcW w:w="987" w:type="dxa"/>
          </w:tcPr>
          <w:p>
            <w:pPr>
              <w:pStyle w:val="TableParagraph"/>
              <w:spacing w:line="140" w:lineRule="exact" w:before="11"/>
              <w:ind w:left="-2" w:right="72"/>
              <w:jc w:val="right"/>
              <w:rPr>
                <w:sz w:val="13"/>
              </w:rPr>
            </w:pPr>
            <w:r>
              <w:rPr>
                <w:spacing w:val="-5"/>
                <w:w w:val="105"/>
                <w:sz w:val="13"/>
              </w:rPr>
              <w:t>291</w:t>
            </w:r>
          </w:p>
        </w:tc>
      </w:tr>
      <w:tr>
        <w:trPr>
          <w:trHeight w:val="171" w:hRule="atLeast"/>
        </w:trPr>
        <w:tc>
          <w:tcPr>
            <w:tcW w:w="4682" w:type="dxa"/>
          </w:tcPr>
          <w:p>
            <w:pPr>
              <w:pStyle w:val="TableParagraph"/>
              <w:spacing w:line="140" w:lineRule="exact" w:before="11"/>
              <w:ind w:left="36"/>
              <w:rPr>
                <w:sz w:val="13"/>
              </w:rPr>
            </w:pPr>
            <w:r>
              <w:rPr>
                <w:spacing w:val="-2"/>
                <w:w w:val="105"/>
                <w:sz w:val="13"/>
              </w:rPr>
              <w:t>Conference</w:t>
            </w:r>
            <w:r>
              <w:rPr>
                <w:spacing w:val="-1"/>
                <w:w w:val="105"/>
                <w:sz w:val="13"/>
              </w:rPr>
              <w:t> </w:t>
            </w:r>
            <w:r>
              <w:rPr>
                <w:spacing w:val="-2"/>
                <w:w w:val="105"/>
                <w:sz w:val="13"/>
              </w:rPr>
              <w:t>and</w:t>
            </w:r>
            <w:r>
              <w:rPr>
                <w:w w:val="105"/>
                <w:sz w:val="13"/>
              </w:rPr>
              <w:t> </w:t>
            </w:r>
            <w:r>
              <w:rPr>
                <w:spacing w:val="-2"/>
                <w:w w:val="105"/>
                <w:sz w:val="13"/>
              </w:rPr>
              <w:t>symposium</w:t>
            </w:r>
            <w:r>
              <w:rPr>
                <w:spacing w:val="2"/>
                <w:w w:val="105"/>
                <w:sz w:val="13"/>
              </w:rPr>
              <w:t> </w:t>
            </w:r>
            <w:r>
              <w:rPr>
                <w:spacing w:val="-2"/>
                <w:w w:val="105"/>
                <w:sz w:val="13"/>
              </w:rPr>
              <w:t>Income</w:t>
            </w:r>
          </w:p>
        </w:tc>
        <w:tc>
          <w:tcPr>
            <w:tcW w:w="843" w:type="dxa"/>
          </w:tcPr>
          <w:p>
            <w:pPr>
              <w:pStyle w:val="TableParagraph"/>
              <w:spacing w:line="140" w:lineRule="exact" w:before="11"/>
              <w:jc w:val="right"/>
              <w:rPr>
                <w:sz w:val="13"/>
              </w:rPr>
            </w:pPr>
            <w:r>
              <w:rPr>
                <w:spacing w:val="-5"/>
                <w:w w:val="105"/>
                <w:sz w:val="13"/>
              </w:rPr>
              <w:t>504</w:t>
            </w:r>
          </w:p>
        </w:tc>
        <w:tc>
          <w:tcPr>
            <w:tcW w:w="1102" w:type="dxa"/>
          </w:tcPr>
          <w:p>
            <w:pPr>
              <w:pStyle w:val="TableParagraph"/>
              <w:spacing w:line="140" w:lineRule="exact" w:before="11"/>
              <w:ind w:right="186"/>
              <w:jc w:val="right"/>
              <w:rPr>
                <w:sz w:val="13"/>
              </w:rPr>
            </w:pPr>
            <w:r>
              <w:rPr>
                <w:spacing w:val="-2"/>
                <w:w w:val="105"/>
                <w:sz w:val="13"/>
              </w:rPr>
              <w:t>1,078</w:t>
            </w:r>
          </w:p>
        </w:tc>
        <w:tc>
          <w:tcPr>
            <w:tcW w:w="726" w:type="dxa"/>
          </w:tcPr>
          <w:p>
            <w:pPr>
              <w:pStyle w:val="TableParagraph"/>
              <w:spacing w:line="140" w:lineRule="exact" w:before="11"/>
              <w:ind w:right="1"/>
              <w:jc w:val="right"/>
              <w:rPr>
                <w:sz w:val="13"/>
              </w:rPr>
            </w:pPr>
            <w:r>
              <w:rPr>
                <w:spacing w:val="-5"/>
                <w:w w:val="105"/>
                <w:sz w:val="13"/>
              </w:rPr>
              <w:t>504</w:t>
            </w:r>
          </w:p>
        </w:tc>
        <w:tc>
          <w:tcPr>
            <w:tcW w:w="987" w:type="dxa"/>
          </w:tcPr>
          <w:p>
            <w:pPr>
              <w:pStyle w:val="TableParagraph"/>
              <w:spacing w:line="140" w:lineRule="exact" w:before="11"/>
              <w:ind w:left="-2" w:right="72"/>
              <w:jc w:val="right"/>
              <w:rPr>
                <w:sz w:val="13"/>
              </w:rPr>
            </w:pPr>
            <w:r>
              <w:rPr>
                <w:spacing w:val="-2"/>
                <w:w w:val="105"/>
                <w:sz w:val="13"/>
              </w:rPr>
              <w:t>1,078</w:t>
            </w:r>
          </w:p>
        </w:tc>
      </w:tr>
      <w:tr>
        <w:trPr>
          <w:trHeight w:val="172" w:hRule="atLeast"/>
        </w:trPr>
        <w:tc>
          <w:tcPr>
            <w:tcW w:w="4682" w:type="dxa"/>
          </w:tcPr>
          <w:p>
            <w:pPr>
              <w:pStyle w:val="TableParagraph"/>
              <w:spacing w:line="142" w:lineRule="exact" w:before="11"/>
              <w:ind w:left="36"/>
              <w:rPr>
                <w:sz w:val="13"/>
              </w:rPr>
            </w:pPr>
            <w:r>
              <w:rPr>
                <w:sz w:val="13"/>
              </w:rPr>
              <w:t>Property</w:t>
            </w:r>
            <w:r>
              <w:rPr>
                <w:spacing w:val="9"/>
                <w:sz w:val="13"/>
              </w:rPr>
              <w:t> </w:t>
            </w:r>
            <w:r>
              <w:rPr>
                <w:sz w:val="13"/>
              </w:rPr>
              <w:t>management</w:t>
            </w:r>
            <w:r>
              <w:rPr>
                <w:spacing w:val="15"/>
                <w:sz w:val="13"/>
              </w:rPr>
              <w:t> </w:t>
            </w:r>
            <w:r>
              <w:rPr>
                <w:spacing w:val="-2"/>
                <w:sz w:val="13"/>
              </w:rPr>
              <w:t>income</w:t>
            </w:r>
          </w:p>
        </w:tc>
        <w:tc>
          <w:tcPr>
            <w:tcW w:w="843" w:type="dxa"/>
          </w:tcPr>
          <w:p>
            <w:pPr>
              <w:pStyle w:val="TableParagraph"/>
              <w:rPr>
                <w:rFonts w:ascii="Times New Roman"/>
                <w:sz w:val="10"/>
              </w:rPr>
            </w:pPr>
          </w:p>
        </w:tc>
        <w:tc>
          <w:tcPr>
            <w:tcW w:w="1102" w:type="dxa"/>
          </w:tcPr>
          <w:p>
            <w:pPr>
              <w:pStyle w:val="TableParagraph"/>
              <w:tabs>
                <w:tab w:pos="875" w:val="left" w:leader="none"/>
              </w:tabs>
              <w:spacing w:line="139" w:lineRule="exact" w:before="13"/>
              <w:ind w:left="-1" w:right="178"/>
              <w:jc w:val="right"/>
              <w:rPr>
                <w:sz w:val="13"/>
              </w:rPr>
            </w:pPr>
            <w:r>
              <w:rPr>
                <w:spacing w:val="-10"/>
                <w:w w:val="105"/>
                <w:sz w:val="13"/>
              </w:rPr>
              <w:t>-</w:t>
            </w:r>
            <w:r>
              <w:rPr>
                <w:sz w:val="13"/>
              </w:rPr>
              <w:tab/>
            </w:r>
            <w:r>
              <w:rPr>
                <w:spacing w:val="-10"/>
                <w:w w:val="105"/>
                <w:sz w:val="13"/>
              </w:rPr>
              <w:t>-</w:t>
            </w:r>
          </w:p>
        </w:tc>
        <w:tc>
          <w:tcPr>
            <w:tcW w:w="726" w:type="dxa"/>
          </w:tcPr>
          <w:p>
            <w:pPr>
              <w:pStyle w:val="TableParagraph"/>
              <w:spacing w:line="142" w:lineRule="exact" w:before="11"/>
              <w:ind w:right="1"/>
              <w:jc w:val="right"/>
              <w:rPr>
                <w:sz w:val="13"/>
              </w:rPr>
            </w:pPr>
            <w:r>
              <w:rPr>
                <w:spacing w:val="-2"/>
                <w:w w:val="105"/>
                <w:sz w:val="13"/>
              </w:rPr>
              <w:t>6,613</w:t>
            </w:r>
          </w:p>
        </w:tc>
        <w:tc>
          <w:tcPr>
            <w:tcW w:w="987" w:type="dxa"/>
          </w:tcPr>
          <w:p>
            <w:pPr>
              <w:pStyle w:val="TableParagraph"/>
              <w:spacing w:line="142" w:lineRule="exact" w:before="11"/>
              <w:ind w:left="-2" w:right="72"/>
              <w:jc w:val="right"/>
              <w:rPr>
                <w:sz w:val="13"/>
              </w:rPr>
            </w:pPr>
            <w:r>
              <w:rPr>
                <w:spacing w:val="-2"/>
                <w:w w:val="105"/>
                <w:sz w:val="13"/>
              </w:rPr>
              <w:t>5,866</w:t>
            </w:r>
          </w:p>
        </w:tc>
      </w:tr>
      <w:tr>
        <w:trPr>
          <w:trHeight w:val="164" w:hRule="atLeast"/>
        </w:trPr>
        <w:tc>
          <w:tcPr>
            <w:tcW w:w="4682" w:type="dxa"/>
          </w:tcPr>
          <w:p>
            <w:pPr>
              <w:pStyle w:val="TableParagraph"/>
              <w:spacing w:line="134" w:lineRule="exact" w:before="10"/>
              <w:ind w:left="36"/>
              <w:rPr>
                <w:sz w:val="13"/>
              </w:rPr>
            </w:pPr>
            <w:r>
              <w:rPr>
                <w:spacing w:val="-2"/>
                <w:w w:val="105"/>
                <w:sz w:val="13"/>
              </w:rPr>
              <w:t>Other</w:t>
            </w:r>
          </w:p>
        </w:tc>
        <w:tc>
          <w:tcPr>
            <w:tcW w:w="843" w:type="dxa"/>
            <w:tcBorders>
              <w:bottom w:val="single" w:sz="6" w:space="0" w:color="000000"/>
            </w:tcBorders>
          </w:tcPr>
          <w:p>
            <w:pPr>
              <w:pStyle w:val="TableParagraph"/>
              <w:spacing w:line="134" w:lineRule="exact" w:before="10"/>
              <w:jc w:val="right"/>
              <w:rPr>
                <w:sz w:val="13"/>
              </w:rPr>
            </w:pPr>
            <w:r>
              <w:rPr>
                <w:spacing w:val="-2"/>
                <w:w w:val="105"/>
                <w:sz w:val="13"/>
              </w:rPr>
              <w:t>5,799</w:t>
            </w:r>
          </w:p>
        </w:tc>
        <w:tc>
          <w:tcPr>
            <w:tcW w:w="1102" w:type="dxa"/>
            <w:tcBorders>
              <w:bottom w:val="single" w:sz="6" w:space="0" w:color="000000"/>
            </w:tcBorders>
          </w:tcPr>
          <w:p>
            <w:pPr>
              <w:pStyle w:val="TableParagraph"/>
              <w:spacing w:line="134" w:lineRule="exact" w:before="10"/>
              <w:ind w:right="186"/>
              <w:jc w:val="right"/>
              <w:rPr>
                <w:sz w:val="13"/>
              </w:rPr>
            </w:pPr>
            <w:r>
              <w:rPr>
                <w:spacing w:val="-2"/>
                <w:w w:val="105"/>
                <w:sz w:val="13"/>
              </w:rPr>
              <w:t>6,079</w:t>
            </w:r>
          </w:p>
        </w:tc>
        <w:tc>
          <w:tcPr>
            <w:tcW w:w="726" w:type="dxa"/>
            <w:tcBorders>
              <w:bottom w:val="single" w:sz="6" w:space="0" w:color="000000"/>
            </w:tcBorders>
          </w:tcPr>
          <w:p>
            <w:pPr>
              <w:pStyle w:val="TableParagraph"/>
              <w:spacing w:line="134" w:lineRule="exact" w:before="10"/>
              <w:jc w:val="right"/>
              <w:rPr>
                <w:sz w:val="13"/>
              </w:rPr>
            </w:pPr>
            <w:r>
              <w:rPr>
                <w:spacing w:val="-2"/>
                <w:w w:val="105"/>
                <w:sz w:val="13"/>
              </w:rPr>
              <w:t>4,120</w:t>
            </w:r>
          </w:p>
        </w:tc>
        <w:tc>
          <w:tcPr>
            <w:tcW w:w="987" w:type="dxa"/>
            <w:tcBorders>
              <w:bottom w:val="single" w:sz="6" w:space="0" w:color="000000"/>
            </w:tcBorders>
          </w:tcPr>
          <w:p>
            <w:pPr>
              <w:pStyle w:val="TableParagraph"/>
              <w:spacing w:line="134" w:lineRule="exact" w:before="10"/>
              <w:ind w:left="-2" w:right="72"/>
              <w:jc w:val="right"/>
              <w:rPr>
                <w:sz w:val="13"/>
              </w:rPr>
            </w:pPr>
            <w:r>
              <w:rPr>
                <w:spacing w:val="-2"/>
                <w:w w:val="105"/>
                <w:sz w:val="13"/>
              </w:rPr>
              <w:t>4,409</w:t>
            </w:r>
          </w:p>
        </w:tc>
      </w:tr>
      <w:tr>
        <w:trPr>
          <w:trHeight w:val="156" w:hRule="atLeast"/>
        </w:trPr>
        <w:tc>
          <w:tcPr>
            <w:tcW w:w="4682" w:type="dxa"/>
          </w:tcPr>
          <w:p>
            <w:pPr>
              <w:pStyle w:val="TableParagraph"/>
              <w:spacing w:line="134" w:lineRule="exact" w:before="2"/>
              <w:ind w:left="36"/>
              <w:rPr>
                <w:b/>
                <w:sz w:val="13"/>
              </w:rPr>
            </w:pPr>
            <w:r>
              <w:rPr>
                <w:b/>
                <w:w w:val="105"/>
                <w:sz w:val="13"/>
              </w:rPr>
              <w:t>Total</w:t>
            </w:r>
            <w:r>
              <w:rPr>
                <w:b/>
                <w:spacing w:val="-7"/>
                <w:w w:val="105"/>
                <w:sz w:val="13"/>
              </w:rPr>
              <w:t> </w:t>
            </w:r>
            <w:r>
              <w:rPr>
                <w:b/>
                <w:w w:val="105"/>
                <w:sz w:val="13"/>
              </w:rPr>
              <w:t>other</w:t>
            </w:r>
            <w:r>
              <w:rPr>
                <w:b/>
                <w:spacing w:val="-6"/>
                <w:w w:val="105"/>
                <w:sz w:val="13"/>
              </w:rPr>
              <w:t> </w:t>
            </w:r>
            <w:r>
              <w:rPr>
                <w:b/>
                <w:spacing w:val="-2"/>
                <w:w w:val="105"/>
                <w:sz w:val="13"/>
              </w:rPr>
              <w:t>revenue</w:t>
            </w:r>
          </w:p>
        </w:tc>
        <w:tc>
          <w:tcPr>
            <w:tcW w:w="843" w:type="dxa"/>
            <w:tcBorders>
              <w:top w:val="single" w:sz="6" w:space="0" w:color="000000"/>
              <w:bottom w:val="single" w:sz="6" w:space="0" w:color="000000"/>
            </w:tcBorders>
          </w:tcPr>
          <w:p>
            <w:pPr>
              <w:pStyle w:val="TableParagraph"/>
              <w:spacing w:line="134" w:lineRule="exact" w:before="2"/>
              <w:jc w:val="right"/>
              <w:rPr>
                <w:b/>
                <w:sz w:val="13"/>
              </w:rPr>
            </w:pPr>
            <w:r>
              <w:rPr>
                <w:b/>
                <w:spacing w:val="-2"/>
                <w:w w:val="105"/>
                <w:sz w:val="13"/>
              </w:rPr>
              <w:t>110,641</w:t>
            </w:r>
          </w:p>
        </w:tc>
        <w:tc>
          <w:tcPr>
            <w:tcW w:w="1102" w:type="dxa"/>
            <w:tcBorders>
              <w:top w:val="single" w:sz="6" w:space="0" w:color="000000"/>
              <w:bottom w:val="single" w:sz="6" w:space="0" w:color="000000"/>
            </w:tcBorders>
          </w:tcPr>
          <w:p>
            <w:pPr>
              <w:pStyle w:val="TableParagraph"/>
              <w:spacing w:line="134" w:lineRule="exact" w:before="2"/>
              <w:ind w:right="186"/>
              <w:jc w:val="right"/>
              <w:rPr>
                <w:b/>
                <w:sz w:val="13"/>
              </w:rPr>
            </w:pPr>
            <w:r>
              <w:rPr>
                <w:b/>
                <w:spacing w:val="-2"/>
                <w:w w:val="105"/>
                <w:sz w:val="13"/>
              </w:rPr>
              <w:t>120,805</w:t>
            </w:r>
          </w:p>
        </w:tc>
        <w:tc>
          <w:tcPr>
            <w:tcW w:w="726" w:type="dxa"/>
            <w:tcBorders>
              <w:top w:val="single" w:sz="6" w:space="0" w:color="000000"/>
              <w:bottom w:val="single" w:sz="6" w:space="0" w:color="000000"/>
            </w:tcBorders>
          </w:tcPr>
          <w:p>
            <w:pPr>
              <w:pStyle w:val="TableParagraph"/>
              <w:spacing w:line="134" w:lineRule="exact" w:before="2"/>
              <w:jc w:val="right"/>
              <w:rPr>
                <w:b/>
                <w:sz w:val="13"/>
              </w:rPr>
            </w:pPr>
            <w:r>
              <w:rPr>
                <w:b/>
                <w:spacing w:val="-2"/>
                <w:w w:val="105"/>
                <w:sz w:val="13"/>
              </w:rPr>
              <w:t>102,484</w:t>
            </w:r>
          </w:p>
        </w:tc>
        <w:tc>
          <w:tcPr>
            <w:tcW w:w="987" w:type="dxa"/>
            <w:tcBorders>
              <w:top w:val="single" w:sz="6" w:space="0" w:color="000000"/>
              <w:bottom w:val="single" w:sz="6" w:space="0" w:color="000000"/>
            </w:tcBorders>
          </w:tcPr>
          <w:p>
            <w:pPr>
              <w:pStyle w:val="TableParagraph"/>
              <w:spacing w:line="134" w:lineRule="exact" w:before="2"/>
              <w:ind w:left="-2" w:right="72"/>
              <w:jc w:val="right"/>
              <w:rPr>
                <w:b/>
                <w:sz w:val="13"/>
              </w:rPr>
            </w:pPr>
            <w:r>
              <w:rPr>
                <w:b/>
                <w:spacing w:val="-2"/>
                <w:w w:val="105"/>
                <w:sz w:val="13"/>
              </w:rPr>
              <w:t>107,141</w:t>
            </w:r>
          </w:p>
        </w:tc>
      </w:tr>
    </w:tbl>
    <w:p>
      <w:pPr>
        <w:spacing w:line="240" w:lineRule="auto" w:before="0"/>
        <w:rPr>
          <w:b/>
          <w:sz w:val="16"/>
        </w:rPr>
      </w:pPr>
    </w:p>
    <w:p>
      <w:pPr>
        <w:spacing w:before="0"/>
        <w:ind w:left="848" w:right="0" w:firstLine="0"/>
        <w:jc w:val="both"/>
        <w:rPr>
          <w:b/>
          <w:i/>
          <w:sz w:val="13"/>
        </w:rPr>
      </w:pPr>
      <w:r>
        <w:rPr>
          <w:b/>
          <w:i/>
          <w:color w:val="0070C0"/>
          <w:spacing w:val="-2"/>
          <w:w w:val="105"/>
          <w:sz w:val="13"/>
        </w:rPr>
        <w:t>Accounting</w:t>
      </w:r>
      <w:r>
        <w:rPr>
          <w:b/>
          <w:i/>
          <w:color w:val="0070C0"/>
          <w:spacing w:val="7"/>
          <w:w w:val="105"/>
          <w:sz w:val="13"/>
        </w:rPr>
        <w:t> </w:t>
      </w:r>
      <w:r>
        <w:rPr>
          <w:b/>
          <w:i/>
          <w:color w:val="0070C0"/>
          <w:spacing w:val="-2"/>
          <w:w w:val="105"/>
          <w:sz w:val="13"/>
        </w:rPr>
        <w:t>policy</w:t>
      </w:r>
    </w:p>
    <w:p>
      <w:pPr>
        <w:spacing w:line="271" w:lineRule="auto" w:before="25"/>
        <w:ind w:left="846" w:right="1859" w:firstLine="0"/>
        <w:jc w:val="both"/>
        <w:rPr>
          <w:sz w:val="13"/>
        </w:rPr>
      </w:pPr>
      <w:r>
        <w:rPr>
          <w:w w:val="105"/>
          <w:sz w:val="13"/>
        </w:rPr>
        <w:t>Sale of</w:t>
      </w:r>
      <w:r>
        <w:rPr>
          <w:w w:val="105"/>
          <w:sz w:val="13"/>
        </w:rPr>
        <w:t> goods includes the sale of</w:t>
      </w:r>
      <w:r>
        <w:rPr>
          <w:w w:val="105"/>
          <w:sz w:val="13"/>
        </w:rPr>
        <w:t> books, food and drink. This falls under AASB15 and the revenue is</w:t>
      </w:r>
      <w:r>
        <w:rPr>
          <w:w w:val="105"/>
          <w:sz w:val="13"/>
        </w:rPr>
        <w:t> recognised when the promised</w:t>
      </w:r>
      <w:r>
        <w:rPr>
          <w:spacing w:val="40"/>
          <w:w w:val="105"/>
          <w:sz w:val="13"/>
        </w:rPr>
        <w:t> </w:t>
      </w:r>
      <w:r>
        <w:rPr>
          <w:w w:val="105"/>
          <w:sz w:val="13"/>
        </w:rPr>
        <w:t>goods are provided to the customer (i.e. when the customer obtains control).</w:t>
      </w:r>
    </w:p>
    <w:p>
      <w:pPr>
        <w:spacing w:line="240" w:lineRule="auto" w:before="21"/>
        <w:rPr>
          <w:sz w:val="13"/>
        </w:rPr>
      </w:pPr>
    </w:p>
    <w:p>
      <w:pPr>
        <w:spacing w:line="271" w:lineRule="auto" w:before="0"/>
        <w:ind w:left="846" w:right="1858" w:hanging="1"/>
        <w:jc w:val="both"/>
        <w:rPr>
          <w:sz w:val="13"/>
        </w:rPr>
      </w:pPr>
      <w:r>
        <w:rPr>
          <w:w w:val="105"/>
          <w:sz w:val="13"/>
        </w:rPr>
        <w:t>Sale of services includes the provision of professional examinations, catered functions and event production and organisation. This falls</w:t>
      </w:r>
      <w:r>
        <w:rPr>
          <w:spacing w:val="40"/>
          <w:w w:val="105"/>
          <w:sz w:val="13"/>
        </w:rPr>
        <w:t> </w:t>
      </w:r>
      <w:r>
        <w:rPr>
          <w:w w:val="105"/>
          <w:sz w:val="13"/>
        </w:rPr>
        <w:t>under AASB15 and the revenue is recognised when the promised service is provided to the customer.</w:t>
      </w:r>
    </w:p>
    <w:p>
      <w:pPr>
        <w:spacing w:line="240" w:lineRule="auto" w:before="21"/>
        <w:rPr>
          <w:sz w:val="13"/>
        </w:rPr>
      </w:pPr>
    </w:p>
    <w:p>
      <w:pPr>
        <w:spacing w:line="271" w:lineRule="auto" w:before="0"/>
        <w:ind w:left="846" w:right="1859" w:firstLine="0"/>
        <w:jc w:val="both"/>
        <w:rPr>
          <w:sz w:val="13"/>
        </w:rPr>
      </w:pPr>
      <w:r>
        <w:rPr>
          <w:w w:val="105"/>
          <w:sz w:val="13"/>
        </w:rPr>
        <w:t>Donations and bequests consist of</w:t>
      </w:r>
      <w:r>
        <w:rPr>
          <w:w w:val="105"/>
          <w:sz w:val="13"/>
        </w:rPr>
        <w:t> voluntary, unencumbered gifts where no material benefit or advantage is received by the donor. All</w:t>
      </w:r>
      <w:r>
        <w:rPr>
          <w:spacing w:val="40"/>
          <w:w w:val="105"/>
          <w:sz w:val="13"/>
        </w:rPr>
        <w:t> </w:t>
      </w:r>
      <w:r>
        <w:rPr>
          <w:w w:val="105"/>
          <w:sz w:val="13"/>
        </w:rPr>
        <w:t>donations</w:t>
      </w:r>
      <w:r>
        <w:rPr>
          <w:spacing w:val="-3"/>
          <w:w w:val="105"/>
          <w:sz w:val="13"/>
        </w:rPr>
        <w:t> </w:t>
      </w:r>
      <w:r>
        <w:rPr>
          <w:w w:val="105"/>
          <w:sz w:val="13"/>
        </w:rPr>
        <w:t>and</w:t>
      </w:r>
      <w:r>
        <w:rPr>
          <w:spacing w:val="-4"/>
          <w:w w:val="105"/>
          <w:sz w:val="13"/>
        </w:rPr>
        <w:t> </w:t>
      </w:r>
      <w:r>
        <w:rPr>
          <w:w w:val="105"/>
          <w:sz w:val="13"/>
        </w:rPr>
        <w:t>bequests</w:t>
      </w:r>
      <w:r>
        <w:rPr>
          <w:spacing w:val="-3"/>
          <w:w w:val="105"/>
          <w:sz w:val="13"/>
        </w:rPr>
        <w:t> </w:t>
      </w:r>
      <w:r>
        <w:rPr>
          <w:w w:val="105"/>
          <w:sz w:val="13"/>
        </w:rPr>
        <w:t>fall</w:t>
      </w:r>
      <w:r>
        <w:rPr>
          <w:spacing w:val="-5"/>
          <w:w w:val="105"/>
          <w:sz w:val="13"/>
        </w:rPr>
        <w:t> </w:t>
      </w:r>
      <w:r>
        <w:rPr>
          <w:w w:val="105"/>
          <w:sz w:val="13"/>
        </w:rPr>
        <w:t>under</w:t>
      </w:r>
      <w:r>
        <w:rPr>
          <w:spacing w:val="-2"/>
          <w:w w:val="105"/>
          <w:sz w:val="13"/>
        </w:rPr>
        <w:t> </w:t>
      </w:r>
      <w:r>
        <w:rPr>
          <w:w w:val="105"/>
          <w:sz w:val="13"/>
        </w:rPr>
        <w:t>AASB1058</w:t>
      </w:r>
      <w:r>
        <w:rPr>
          <w:spacing w:val="-6"/>
          <w:w w:val="105"/>
          <w:sz w:val="13"/>
        </w:rPr>
        <w:t> </w:t>
      </w:r>
      <w:r>
        <w:rPr>
          <w:w w:val="105"/>
          <w:sz w:val="13"/>
        </w:rPr>
        <w:t>(as</w:t>
      </w:r>
      <w:r>
        <w:rPr>
          <w:spacing w:val="-3"/>
          <w:w w:val="105"/>
          <w:sz w:val="13"/>
        </w:rPr>
        <w:t> </w:t>
      </w:r>
      <w:r>
        <w:rPr>
          <w:w w:val="105"/>
          <w:sz w:val="13"/>
        </w:rPr>
        <w:t>there</w:t>
      </w:r>
      <w:r>
        <w:rPr>
          <w:spacing w:val="-6"/>
          <w:w w:val="105"/>
          <w:sz w:val="13"/>
        </w:rPr>
        <w:t> </w:t>
      </w:r>
      <w:r>
        <w:rPr>
          <w:w w:val="105"/>
          <w:sz w:val="13"/>
        </w:rPr>
        <w:t>are</w:t>
      </w:r>
      <w:r>
        <w:rPr>
          <w:spacing w:val="-4"/>
          <w:w w:val="105"/>
          <w:sz w:val="13"/>
        </w:rPr>
        <w:t> </w:t>
      </w:r>
      <w:r>
        <w:rPr>
          <w:w w:val="105"/>
          <w:sz w:val="13"/>
        </w:rPr>
        <w:t>no</w:t>
      </w:r>
      <w:r>
        <w:rPr>
          <w:spacing w:val="-6"/>
          <w:w w:val="105"/>
          <w:sz w:val="13"/>
        </w:rPr>
        <w:t> </w:t>
      </w:r>
      <w:r>
        <w:rPr>
          <w:w w:val="105"/>
          <w:sz w:val="13"/>
        </w:rPr>
        <w:t>performance</w:t>
      </w:r>
      <w:r>
        <w:rPr>
          <w:spacing w:val="-4"/>
          <w:w w:val="105"/>
          <w:sz w:val="13"/>
        </w:rPr>
        <w:t> </w:t>
      </w:r>
      <w:r>
        <w:rPr>
          <w:w w:val="105"/>
          <w:sz w:val="13"/>
        </w:rPr>
        <w:t>obligations</w:t>
      </w:r>
      <w:r>
        <w:rPr>
          <w:spacing w:val="-5"/>
          <w:w w:val="105"/>
          <w:sz w:val="13"/>
        </w:rPr>
        <w:t> </w:t>
      </w:r>
      <w:r>
        <w:rPr>
          <w:w w:val="105"/>
          <w:sz w:val="13"/>
        </w:rPr>
        <w:t>on</w:t>
      </w:r>
      <w:r>
        <w:rPr>
          <w:spacing w:val="-4"/>
          <w:w w:val="105"/>
          <w:sz w:val="13"/>
        </w:rPr>
        <w:t> </w:t>
      </w:r>
      <w:r>
        <w:rPr>
          <w:w w:val="105"/>
          <w:sz w:val="13"/>
        </w:rPr>
        <w:t>how</w:t>
      </w:r>
      <w:r>
        <w:rPr>
          <w:spacing w:val="-9"/>
          <w:w w:val="105"/>
          <w:sz w:val="13"/>
        </w:rPr>
        <w:t> </w:t>
      </w:r>
      <w:r>
        <w:rPr>
          <w:w w:val="105"/>
          <w:sz w:val="13"/>
        </w:rPr>
        <w:t>the</w:t>
      </w:r>
      <w:r>
        <w:rPr>
          <w:spacing w:val="-4"/>
          <w:w w:val="105"/>
          <w:sz w:val="13"/>
        </w:rPr>
        <w:t> </w:t>
      </w:r>
      <w:r>
        <w:rPr>
          <w:w w:val="105"/>
          <w:sz w:val="13"/>
        </w:rPr>
        <w:t>supporting</w:t>
      </w:r>
      <w:r>
        <w:rPr>
          <w:spacing w:val="-6"/>
          <w:w w:val="105"/>
          <w:sz w:val="13"/>
        </w:rPr>
        <w:t> </w:t>
      </w:r>
      <w:r>
        <w:rPr>
          <w:w w:val="105"/>
          <w:sz w:val="13"/>
        </w:rPr>
        <w:t>activity</w:t>
      </w:r>
      <w:r>
        <w:rPr>
          <w:spacing w:val="-7"/>
          <w:w w:val="105"/>
          <w:sz w:val="13"/>
        </w:rPr>
        <w:t> </w:t>
      </w:r>
      <w:r>
        <w:rPr>
          <w:w w:val="105"/>
          <w:sz w:val="13"/>
        </w:rPr>
        <w:t>is</w:t>
      </w:r>
      <w:r>
        <w:rPr>
          <w:spacing w:val="-5"/>
          <w:w w:val="105"/>
          <w:sz w:val="13"/>
        </w:rPr>
        <w:t> </w:t>
      </w:r>
      <w:r>
        <w:rPr>
          <w:w w:val="105"/>
          <w:sz w:val="13"/>
        </w:rPr>
        <w:t>to</w:t>
      </w:r>
      <w:r>
        <w:rPr>
          <w:spacing w:val="-4"/>
          <w:w w:val="105"/>
          <w:sz w:val="13"/>
        </w:rPr>
        <w:t> </w:t>
      </w:r>
      <w:r>
        <w:rPr>
          <w:w w:val="105"/>
          <w:sz w:val="13"/>
        </w:rPr>
        <w:t>be</w:t>
      </w:r>
      <w:r>
        <w:rPr>
          <w:spacing w:val="-6"/>
          <w:w w:val="105"/>
          <w:sz w:val="13"/>
        </w:rPr>
        <w:t> </w:t>
      </w:r>
      <w:r>
        <w:rPr>
          <w:w w:val="105"/>
          <w:sz w:val="13"/>
        </w:rPr>
        <w:t>undertaken)</w:t>
      </w:r>
      <w:r>
        <w:rPr>
          <w:spacing w:val="40"/>
          <w:w w:val="105"/>
          <w:sz w:val="13"/>
        </w:rPr>
        <w:t> </w:t>
      </w:r>
      <w:r>
        <w:rPr>
          <w:w w:val="105"/>
          <w:sz w:val="13"/>
        </w:rPr>
        <w:t>and the revenue is recognised when received.</w:t>
      </w:r>
    </w:p>
    <w:p>
      <w:pPr>
        <w:spacing w:line="240" w:lineRule="auto" w:before="22"/>
        <w:rPr>
          <w:sz w:val="13"/>
        </w:rPr>
      </w:pPr>
    </w:p>
    <w:p>
      <w:pPr>
        <w:spacing w:line="271" w:lineRule="auto" w:before="0"/>
        <w:ind w:left="846" w:right="1859" w:firstLine="0"/>
        <w:jc w:val="both"/>
        <w:rPr>
          <w:sz w:val="13"/>
        </w:rPr>
      </w:pPr>
      <w:r>
        <w:rPr>
          <w:w w:val="105"/>
          <w:sz w:val="13"/>
        </w:rPr>
        <w:t>Salary contributions from external parties are recognised as income by the Group over time as and when the service is provided to the</w:t>
      </w:r>
      <w:r>
        <w:rPr>
          <w:spacing w:val="40"/>
          <w:w w:val="105"/>
          <w:sz w:val="13"/>
        </w:rPr>
        <w:t> </w:t>
      </w:r>
      <w:r>
        <w:rPr>
          <w:spacing w:val="-2"/>
          <w:w w:val="105"/>
          <w:sz w:val="13"/>
        </w:rPr>
        <w:t>customer.</w:t>
      </w:r>
    </w:p>
    <w:p>
      <w:pPr>
        <w:spacing w:line="240" w:lineRule="auto" w:before="21"/>
        <w:rPr>
          <w:sz w:val="13"/>
        </w:rPr>
      </w:pPr>
    </w:p>
    <w:p>
      <w:pPr>
        <w:spacing w:line="271" w:lineRule="auto" w:before="0"/>
        <w:ind w:left="846" w:right="1860" w:firstLine="0"/>
        <w:jc w:val="both"/>
        <w:rPr>
          <w:sz w:val="13"/>
        </w:rPr>
      </w:pPr>
      <w:r>
        <w:rPr>
          <w:w w:val="105"/>
          <w:sz w:val="13"/>
        </w:rPr>
        <w:t>Scholarships</w:t>
      </w:r>
      <w:r>
        <w:rPr>
          <w:spacing w:val="-5"/>
          <w:w w:val="105"/>
          <w:sz w:val="13"/>
        </w:rPr>
        <w:t> </w:t>
      </w:r>
      <w:r>
        <w:rPr>
          <w:w w:val="105"/>
          <w:sz w:val="13"/>
        </w:rPr>
        <w:t>(stipends)</w:t>
      </w:r>
      <w:r>
        <w:rPr>
          <w:spacing w:val="-4"/>
          <w:w w:val="105"/>
          <w:sz w:val="13"/>
        </w:rPr>
        <w:t> </w:t>
      </w:r>
      <w:r>
        <w:rPr>
          <w:w w:val="105"/>
          <w:sz w:val="13"/>
        </w:rPr>
        <w:t>represent</w:t>
      </w:r>
      <w:r>
        <w:rPr>
          <w:spacing w:val="-3"/>
          <w:w w:val="105"/>
          <w:sz w:val="13"/>
        </w:rPr>
        <w:t> </w:t>
      </w:r>
      <w:r>
        <w:rPr>
          <w:w w:val="105"/>
          <w:sz w:val="13"/>
        </w:rPr>
        <w:t>funds</w:t>
      </w:r>
      <w:r>
        <w:rPr>
          <w:spacing w:val="-5"/>
          <w:w w:val="105"/>
          <w:sz w:val="13"/>
        </w:rPr>
        <w:t> </w:t>
      </w:r>
      <w:r>
        <w:rPr>
          <w:w w:val="105"/>
          <w:sz w:val="13"/>
        </w:rPr>
        <w:t>received</w:t>
      </w:r>
      <w:r>
        <w:rPr>
          <w:spacing w:val="-4"/>
          <w:w w:val="105"/>
          <w:sz w:val="13"/>
        </w:rPr>
        <w:t> </w:t>
      </w:r>
      <w:r>
        <w:rPr>
          <w:w w:val="105"/>
          <w:sz w:val="13"/>
        </w:rPr>
        <w:t>by</w:t>
      </w:r>
      <w:r>
        <w:rPr>
          <w:spacing w:val="-10"/>
          <w:w w:val="105"/>
          <w:sz w:val="13"/>
        </w:rPr>
        <w:t> </w:t>
      </w:r>
      <w:r>
        <w:rPr>
          <w:w w:val="105"/>
          <w:sz w:val="13"/>
        </w:rPr>
        <w:t>the</w:t>
      </w:r>
      <w:r>
        <w:rPr>
          <w:spacing w:val="-4"/>
          <w:w w:val="105"/>
          <w:sz w:val="13"/>
        </w:rPr>
        <w:t> </w:t>
      </w:r>
      <w:r>
        <w:rPr>
          <w:w w:val="105"/>
          <w:sz w:val="13"/>
        </w:rPr>
        <w:t>Group</w:t>
      </w:r>
      <w:r>
        <w:rPr>
          <w:spacing w:val="-6"/>
          <w:w w:val="105"/>
          <w:sz w:val="13"/>
        </w:rPr>
        <w:t> </w:t>
      </w:r>
      <w:r>
        <w:rPr>
          <w:w w:val="105"/>
          <w:sz w:val="13"/>
        </w:rPr>
        <w:t>from</w:t>
      </w:r>
      <w:r>
        <w:rPr>
          <w:spacing w:val="-2"/>
          <w:w w:val="105"/>
          <w:sz w:val="13"/>
        </w:rPr>
        <w:t> </w:t>
      </w:r>
      <w:r>
        <w:rPr>
          <w:w w:val="105"/>
          <w:sz w:val="13"/>
        </w:rPr>
        <w:t>non-government</w:t>
      </w:r>
      <w:r>
        <w:rPr>
          <w:spacing w:val="-5"/>
          <w:w w:val="105"/>
          <w:sz w:val="13"/>
        </w:rPr>
        <w:t> </w:t>
      </w:r>
      <w:r>
        <w:rPr>
          <w:w w:val="105"/>
          <w:sz w:val="13"/>
        </w:rPr>
        <w:t>entities</w:t>
      </w:r>
      <w:r>
        <w:rPr>
          <w:spacing w:val="-4"/>
          <w:w w:val="105"/>
          <w:sz w:val="13"/>
        </w:rPr>
        <w:t> </w:t>
      </w:r>
      <w:r>
        <w:rPr>
          <w:w w:val="105"/>
          <w:sz w:val="13"/>
        </w:rPr>
        <w:t>to</w:t>
      </w:r>
      <w:r>
        <w:rPr>
          <w:spacing w:val="-6"/>
          <w:w w:val="105"/>
          <w:sz w:val="13"/>
        </w:rPr>
        <w:t> </w:t>
      </w:r>
      <w:r>
        <w:rPr>
          <w:w w:val="105"/>
          <w:sz w:val="13"/>
        </w:rPr>
        <w:t>provide</w:t>
      </w:r>
      <w:r>
        <w:rPr>
          <w:spacing w:val="-4"/>
          <w:w w:val="105"/>
          <w:sz w:val="13"/>
        </w:rPr>
        <w:t> </w:t>
      </w:r>
      <w:r>
        <w:rPr>
          <w:w w:val="105"/>
          <w:sz w:val="13"/>
        </w:rPr>
        <w:t>support</w:t>
      </w:r>
      <w:r>
        <w:rPr>
          <w:spacing w:val="-6"/>
          <w:w w:val="105"/>
          <w:sz w:val="13"/>
        </w:rPr>
        <w:t> </w:t>
      </w:r>
      <w:r>
        <w:rPr>
          <w:w w:val="105"/>
          <w:sz w:val="13"/>
        </w:rPr>
        <w:t>to</w:t>
      </w:r>
      <w:r>
        <w:rPr>
          <w:spacing w:val="-4"/>
          <w:w w:val="105"/>
          <w:sz w:val="13"/>
        </w:rPr>
        <w:t> </w:t>
      </w:r>
      <w:r>
        <w:rPr>
          <w:w w:val="105"/>
          <w:sz w:val="13"/>
        </w:rPr>
        <w:t>students</w:t>
      </w:r>
      <w:r>
        <w:rPr>
          <w:spacing w:val="-5"/>
          <w:w w:val="105"/>
          <w:sz w:val="13"/>
        </w:rPr>
        <w:t> </w:t>
      </w:r>
      <w:r>
        <w:rPr>
          <w:w w:val="105"/>
          <w:sz w:val="13"/>
        </w:rPr>
        <w:t>to</w:t>
      </w:r>
      <w:r>
        <w:rPr>
          <w:spacing w:val="-4"/>
          <w:w w:val="105"/>
          <w:sz w:val="13"/>
        </w:rPr>
        <w:t> </w:t>
      </w:r>
      <w:r>
        <w:rPr>
          <w:w w:val="105"/>
          <w:sz w:val="13"/>
        </w:rPr>
        <w:t>further</w:t>
      </w:r>
      <w:r>
        <w:rPr>
          <w:spacing w:val="-4"/>
          <w:w w:val="105"/>
          <w:sz w:val="13"/>
        </w:rPr>
        <w:t> </w:t>
      </w:r>
      <w:r>
        <w:rPr>
          <w:w w:val="105"/>
          <w:sz w:val="13"/>
        </w:rPr>
        <w:t>their</w:t>
      </w:r>
      <w:r>
        <w:rPr>
          <w:spacing w:val="40"/>
          <w:w w:val="105"/>
          <w:sz w:val="13"/>
        </w:rPr>
        <w:t> </w:t>
      </w:r>
      <w:r>
        <w:rPr>
          <w:w w:val="105"/>
          <w:sz w:val="13"/>
        </w:rPr>
        <w:t>education.</w:t>
      </w:r>
      <w:r>
        <w:rPr>
          <w:spacing w:val="-2"/>
          <w:w w:val="105"/>
          <w:sz w:val="13"/>
        </w:rPr>
        <w:t> </w:t>
      </w:r>
      <w:r>
        <w:rPr>
          <w:w w:val="105"/>
          <w:sz w:val="13"/>
        </w:rPr>
        <w:t>This</w:t>
      </w:r>
      <w:r>
        <w:rPr>
          <w:spacing w:val="-1"/>
          <w:w w:val="105"/>
          <w:sz w:val="13"/>
        </w:rPr>
        <w:t> </w:t>
      </w:r>
      <w:r>
        <w:rPr>
          <w:w w:val="105"/>
          <w:sz w:val="13"/>
        </w:rPr>
        <w:t>falls</w:t>
      </w:r>
      <w:r>
        <w:rPr>
          <w:spacing w:val="-1"/>
          <w:w w:val="105"/>
          <w:sz w:val="13"/>
        </w:rPr>
        <w:t> </w:t>
      </w:r>
      <w:r>
        <w:rPr>
          <w:w w:val="105"/>
          <w:sz w:val="13"/>
        </w:rPr>
        <w:t>under AASB9</w:t>
      </w:r>
      <w:r>
        <w:rPr>
          <w:spacing w:val="-2"/>
          <w:w w:val="105"/>
          <w:sz w:val="13"/>
        </w:rPr>
        <w:t> </w:t>
      </w:r>
      <w:r>
        <w:rPr>
          <w:w w:val="105"/>
          <w:sz w:val="13"/>
        </w:rPr>
        <w:t>and</w:t>
      </w:r>
      <w:r>
        <w:rPr>
          <w:spacing w:val="-2"/>
          <w:w w:val="105"/>
          <w:sz w:val="13"/>
        </w:rPr>
        <w:t> </w:t>
      </w:r>
      <w:r>
        <w:rPr>
          <w:w w:val="105"/>
          <w:sz w:val="13"/>
        </w:rPr>
        <w:t>recognise</w:t>
      </w:r>
      <w:r>
        <w:rPr>
          <w:spacing w:val="-2"/>
          <w:w w:val="105"/>
          <w:sz w:val="13"/>
        </w:rPr>
        <w:t> </w:t>
      </w:r>
      <w:r>
        <w:rPr>
          <w:w w:val="105"/>
          <w:sz w:val="13"/>
        </w:rPr>
        <w:t>as</w:t>
      </w:r>
      <w:r>
        <w:rPr>
          <w:spacing w:val="-1"/>
          <w:w w:val="105"/>
          <w:sz w:val="13"/>
        </w:rPr>
        <w:t> </w:t>
      </w:r>
      <w:r>
        <w:rPr>
          <w:w w:val="105"/>
          <w:sz w:val="13"/>
        </w:rPr>
        <w:t>a</w:t>
      </w:r>
      <w:r>
        <w:rPr>
          <w:spacing w:val="-2"/>
          <w:w w:val="105"/>
          <w:sz w:val="13"/>
        </w:rPr>
        <w:t> </w:t>
      </w:r>
      <w:r>
        <w:rPr>
          <w:w w:val="105"/>
          <w:sz w:val="13"/>
        </w:rPr>
        <w:t>financial</w:t>
      </w:r>
      <w:r>
        <w:rPr>
          <w:spacing w:val="-1"/>
          <w:w w:val="105"/>
          <w:sz w:val="13"/>
        </w:rPr>
        <w:t> </w:t>
      </w:r>
      <w:r>
        <w:rPr>
          <w:w w:val="105"/>
          <w:sz w:val="13"/>
        </w:rPr>
        <w:t>liability</w:t>
      </w:r>
      <w:r>
        <w:rPr>
          <w:spacing w:val="-6"/>
          <w:w w:val="105"/>
          <w:sz w:val="13"/>
        </w:rPr>
        <w:t> </w:t>
      </w:r>
      <w:r>
        <w:rPr>
          <w:w w:val="105"/>
          <w:sz w:val="13"/>
        </w:rPr>
        <w:t>which</w:t>
      </w:r>
      <w:r>
        <w:rPr>
          <w:spacing w:val="-2"/>
          <w:w w:val="105"/>
          <w:sz w:val="13"/>
        </w:rPr>
        <w:t> </w:t>
      </w:r>
      <w:r>
        <w:rPr>
          <w:w w:val="105"/>
          <w:sz w:val="13"/>
        </w:rPr>
        <w:t>extinguishes</w:t>
      </w:r>
      <w:r>
        <w:rPr>
          <w:spacing w:val="-1"/>
          <w:w w:val="105"/>
          <w:sz w:val="13"/>
        </w:rPr>
        <w:t> </w:t>
      </w:r>
      <w:r>
        <w:rPr>
          <w:w w:val="105"/>
          <w:sz w:val="13"/>
        </w:rPr>
        <w:t>as</w:t>
      </w:r>
      <w:r>
        <w:rPr>
          <w:spacing w:val="-1"/>
          <w:w w:val="105"/>
          <w:sz w:val="13"/>
        </w:rPr>
        <w:t> </w:t>
      </w:r>
      <w:r>
        <w:rPr>
          <w:w w:val="105"/>
          <w:sz w:val="13"/>
        </w:rPr>
        <w:t>the</w:t>
      </w:r>
      <w:r>
        <w:rPr>
          <w:spacing w:val="-2"/>
          <w:w w:val="105"/>
          <w:sz w:val="13"/>
        </w:rPr>
        <w:t> </w:t>
      </w:r>
      <w:r>
        <w:rPr>
          <w:w w:val="105"/>
          <w:sz w:val="13"/>
        </w:rPr>
        <w:t>Group</w:t>
      </w:r>
      <w:r>
        <w:rPr>
          <w:spacing w:val="-2"/>
          <w:w w:val="105"/>
          <w:sz w:val="13"/>
        </w:rPr>
        <w:t> </w:t>
      </w:r>
      <w:r>
        <w:rPr>
          <w:w w:val="105"/>
          <w:sz w:val="13"/>
        </w:rPr>
        <w:t>provides</w:t>
      </w:r>
      <w:r>
        <w:rPr>
          <w:spacing w:val="-1"/>
          <w:w w:val="105"/>
          <w:sz w:val="13"/>
        </w:rPr>
        <w:t> </w:t>
      </w:r>
      <w:r>
        <w:rPr>
          <w:w w:val="105"/>
          <w:sz w:val="13"/>
        </w:rPr>
        <w:t>the</w:t>
      </w:r>
      <w:r>
        <w:rPr>
          <w:spacing w:val="-2"/>
          <w:w w:val="105"/>
          <w:sz w:val="13"/>
        </w:rPr>
        <w:t> </w:t>
      </w:r>
      <w:r>
        <w:rPr>
          <w:w w:val="105"/>
          <w:sz w:val="13"/>
        </w:rPr>
        <w:t>scholarships.</w:t>
      </w:r>
    </w:p>
    <w:p>
      <w:pPr>
        <w:spacing w:line="240" w:lineRule="auto" w:before="22"/>
        <w:rPr>
          <w:sz w:val="13"/>
        </w:rPr>
      </w:pPr>
    </w:p>
    <w:p>
      <w:pPr>
        <w:spacing w:line="271" w:lineRule="auto" w:before="0"/>
        <w:ind w:left="846" w:right="1860" w:firstLine="0"/>
        <w:jc w:val="both"/>
        <w:rPr>
          <w:sz w:val="13"/>
        </w:rPr>
      </w:pPr>
      <w:r>
        <w:rPr>
          <w:w w:val="105"/>
          <w:sz w:val="13"/>
        </w:rPr>
        <w:t>Other</w:t>
      </w:r>
      <w:r>
        <w:rPr>
          <w:w w:val="105"/>
          <w:sz w:val="13"/>
        </w:rPr>
        <w:t> revenue consists</w:t>
      </w:r>
      <w:r>
        <w:rPr>
          <w:w w:val="105"/>
          <w:sz w:val="13"/>
        </w:rPr>
        <w:t> of</w:t>
      </w:r>
      <w:r>
        <w:rPr>
          <w:w w:val="105"/>
          <w:sz w:val="13"/>
        </w:rPr>
        <w:t> other</w:t>
      </w:r>
      <w:r>
        <w:rPr>
          <w:w w:val="105"/>
          <w:sz w:val="13"/>
        </w:rPr>
        <w:t> small</w:t>
      </w:r>
      <w:r>
        <w:rPr>
          <w:w w:val="105"/>
          <w:sz w:val="13"/>
        </w:rPr>
        <w:t> revenue</w:t>
      </w:r>
      <w:r>
        <w:rPr>
          <w:w w:val="105"/>
          <w:sz w:val="13"/>
        </w:rPr>
        <w:t> items</w:t>
      </w:r>
      <w:r>
        <w:rPr>
          <w:w w:val="105"/>
          <w:sz w:val="13"/>
        </w:rPr>
        <w:t> that</w:t>
      </w:r>
      <w:r>
        <w:rPr>
          <w:w w:val="105"/>
          <w:sz w:val="13"/>
        </w:rPr>
        <w:t> are not</w:t>
      </w:r>
      <w:r>
        <w:rPr>
          <w:w w:val="105"/>
          <w:sz w:val="13"/>
        </w:rPr>
        <w:t> classified elsewhere.</w:t>
      </w:r>
      <w:r>
        <w:rPr>
          <w:w w:val="105"/>
          <w:sz w:val="13"/>
        </w:rPr>
        <w:t> They fall</w:t>
      </w:r>
      <w:r>
        <w:rPr>
          <w:w w:val="105"/>
          <w:sz w:val="13"/>
        </w:rPr>
        <w:t> under</w:t>
      </w:r>
      <w:r>
        <w:rPr>
          <w:w w:val="105"/>
          <w:sz w:val="13"/>
        </w:rPr>
        <w:t> AASB1058</w:t>
      </w:r>
      <w:r>
        <w:rPr>
          <w:w w:val="105"/>
          <w:sz w:val="13"/>
        </w:rPr>
        <w:t> and the</w:t>
      </w:r>
      <w:r>
        <w:rPr>
          <w:w w:val="105"/>
          <w:sz w:val="13"/>
        </w:rPr>
        <w:t> revenue</w:t>
      </w:r>
      <w:r>
        <w:rPr>
          <w:w w:val="105"/>
          <w:sz w:val="13"/>
        </w:rPr>
        <w:t> is</w:t>
      </w:r>
      <w:r>
        <w:rPr>
          <w:spacing w:val="40"/>
          <w:w w:val="105"/>
          <w:sz w:val="13"/>
        </w:rPr>
        <w:t> </w:t>
      </w:r>
      <w:r>
        <w:rPr>
          <w:w w:val="105"/>
          <w:sz w:val="13"/>
        </w:rPr>
        <w:t>recognised when received.</w:t>
      </w:r>
    </w:p>
    <w:p>
      <w:pPr>
        <w:spacing w:line="240" w:lineRule="auto" w:before="1"/>
        <w:rPr>
          <w:sz w:val="19"/>
        </w:rPr>
      </w:pPr>
      <w:r>
        <w:rPr/>
        <mc:AlternateContent>
          <mc:Choice Requires="wps">
            <w:drawing>
              <wp:anchor distT="0" distB="0" distL="0" distR="0" allowOverlap="1" layoutInCell="1" locked="0" behindDoc="1" simplePos="0" relativeHeight="487739392">
                <wp:simplePos x="0" y="0"/>
                <wp:positionH relativeFrom="page">
                  <wp:posOffset>1105001</wp:posOffset>
                </wp:positionH>
                <wp:positionV relativeFrom="paragraph">
                  <wp:posOffset>154991</wp:posOffset>
                </wp:positionV>
                <wp:extent cx="5290185" cy="676910"/>
                <wp:effectExtent l="0" t="0" r="0" b="0"/>
                <wp:wrapTopAndBottom/>
                <wp:docPr id="906" name="Textbox 906"/>
                <wp:cNvGraphicFramePr>
                  <a:graphicFrameLocks/>
                </wp:cNvGraphicFramePr>
                <a:graphic>
                  <a:graphicData uri="http://schemas.microsoft.com/office/word/2010/wordprocessingShape">
                    <wps:wsp>
                      <wps:cNvPr id="906" name="Textbox 906"/>
                      <wps:cNvSpPr txBox="1"/>
                      <wps:spPr>
                        <a:xfrm>
                          <a:off x="0" y="0"/>
                          <a:ext cx="5290185" cy="676910"/>
                        </a:xfrm>
                        <a:prstGeom prst="rect">
                          <a:avLst/>
                        </a:prstGeom>
                        <a:solidFill>
                          <a:srgbClr val="DCE6F1"/>
                        </a:solidFill>
                      </wps:spPr>
                      <wps:txbx>
                        <w:txbxContent>
                          <w:p>
                            <w:pPr>
                              <w:spacing w:before="10"/>
                              <w:ind w:left="28" w:right="0" w:firstLine="0"/>
                              <w:jc w:val="both"/>
                              <w:rPr>
                                <w:b/>
                                <w:color w:val="000000"/>
                                <w:sz w:val="13"/>
                              </w:rPr>
                            </w:pPr>
                            <w:r>
                              <w:rPr>
                                <w:b/>
                                <w:color w:val="0070C0"/>
                                <w:spacing w:val="-2"/>
                                <w:w w:val="105"/>
                                <w:sz w:val="13"/>
                              </w:rPr>
                              <w:t>Critical</w:t>
                            </w:r>
                            <w:r>
                              <w:rPr>
                                <w:b/>
                                <w:color w:val="0070C0"/>
                                <w:spacing w:val="1"/>
                                <w:w w:val="105"/>
                                <w:sz w:val="13"/>
                              </w:rPr>
                              <w:t> </w:t>
                            </w:r>
                            <w:r>
                              <w:rPr>
                                <w:b/>
                                <w:color w:val="0070C0"/>
                                <w:spacing w:val="-2"/>
                                <w:w w:val="105"/>
                                <w:sz w:val="13"/>
                              </w:rPr>
                              <w:t>accounting</w:t>
                            </w:r>
                            <w:r>
                              <w:rPr>
                                <w:b/>
                                <w:color w:val="0070C0"/>
                                <w:spacing w:val="3"/>
                                <w:w w:val="105"/>
                                <w:sz w:val="13"/>
                              </w:rPr>
                              <w:t> </w:t>
                            </w:r>
                            <w:r>
                              <w:rPr>
                                <w:b/>
                                <w:color w:val="0070C0"/>
                                <w:spacing w:val="-2"/>
                                <w:w w:val="105"/>
                                <w:sz w:val="13"/>
                              </w:rPr>
                              <w:t>estimates</w:t>
                            </w:r>
                            <w:r>
                              <w:rPr>
                                <w:b/>
                                <w:color w:val="0070C0"/>
                                <w:spacing w:val="2"/>
                                <w:w w:val="105"/>
                                <w:sz w:val="13"/>
                              </w:rPr>
                              <w:t> </w:t>
                            </w:r>
                            <w:r>
                              <w:rPr>
                                <w:b/>
                                <w:color w:val="0070C0"/>
                                <w:spacing w:val="-2"/>
                                <w:w w:val="105"/>
                                <w:sz w:val="13"/>
                              </w:rPr>
                              <w:t>and</w:t>
                            </w:r>
                            <w:r>
                              <w:rPr>
                                <w:b/>
                                <w:color w:val="0070C0"/>
                                <w:spacing w:val="3"/>
                                <w:w w:val="105"/>
                                <w:sz w:val="13"/>
                              </w:rPr>
                              <w:t> </w:t>
                            </w:r>
                            <w:r>
                              <w:rPr>
                                <w:b/>
                                <w:color w:val="0070C0"/>
                                <w:spacing w:val="-2"/>
                                <w:w w:val="105"/>
                                <w:sz w:val="13"/>
                              </w:rPr>
                              <w:t>judgements:</w:t>
                            </w:r>
                          </w:p>
                          <w:p>
                            <w:pPr>
                              <w:spacing w:line="271" w:lineRule="auto" w:before="24"/>
                              <w:ind w:left="26" w:right="19" w:firstLine="0"/>
                              <w:jc w:val="both"/>
                              <w:rPr>
                                <w:color w:val="000000"/>
                                <w:sz w:val="13"/>
                              </w:rPr>
                            </w:pPr>
                            <w:r>
                              <w:rPr>
                                <w:color w:val="000000"/>
                                <w:w w:val="105"/>
                                <w:sz w:val="13"/>
                              </w:rPr>
                              <w:t>The</w:t>
                            </w:r>
                            <w:r>
                              <w:rPr>
                                <w:color w:val="000000"/>
                                <w:spacing w:val="-4"/>
                                <w:w w:val="105"/>
                                <w:sz w:val="13"/>
                              </w:rPr>
                              <w:t> </w:t>
                            </w:r>
                            <w:r>
                              <w:rPr>
                                <w:color w:val="000000"/>
                                <w:w w:val="105"/>
                                <w:sz w:val="13"/>
                              </w:rPr>
                              <w:t>Group</w:t>
                            </w:r>
                            <w:r>
                              <w:rPr>
                                <w:color w:val="000000"/>
                                <w:spacing w:val="-4"/>
                                <w:w w:val="105"/>
                                <w:sz w:val="13"/>
                              </w:rPr>
                              <w:t> </w:t>
                            </w:r>
                            <w:r>
                              <w:rPr>
                                <w:color w:val="000000"/>
                                <w:w w:val="105"/>
                                <w:sz w:val="13"/>
                              </w:rPr>
                              <w:t>receives</w:t>
                            </w:r>
                            <w:r>
                              <w:rPr>
                                <w:color w:val="000000"/>
                                <w:spacing w:val="-3"/>
                                <w:w w:val="105"/>
                                <w:sz w:val="13"/>
                              </w:rPr>
                              <w:t> </w:t>
                            </w:r>
                            <w:r>
                              <w:rPr>
                                <w:color w:val="000000"/>
                                <w:w w:val="105"/>
                                <w:sz w:val="13"/>
                              </w:rPr>
                              <w:t>funding</w:t>
                            </w:r>
                            <w:r>
                              <w:rPr>
                                <w:color w:val="000000"/>
                                <w:spacing w:val="-4"/>
                                <w:w w:val="105"/>
                                <w:sz w:val="13"/>
                              </w:rPr>
                              <w:t> </w:t>
                            </w:r>
                            <w:r>
                              <w:rPr>
                                <w:color w:val="000000"/>
                                <w:w w:val="105"/>
                                <w:sz w:val="13"/>
                              </w:rPr>
                              <w:t>from</w:t>
                            </w:r>
                            <w:r>
                              <w:rPr>
                                <w:color w:val="000000"/>
                                <w:spacing w:val="-2"/>
                                <w:w w:val="105"/>
                                <w:sz w:val="13"/>
                              </w:rPr>
                              <w:t> </w:t>
                            </w:r>
                            <w:r>
                              <w:rPr>
                                <w:color w:val="000000"/>
                                <w:w w:val="105"/>
                                <w:sz w:val="13"/>
                              </w:rPr>
                              <w:t>a</w:t>
                            </w:r>
                            <w:r>
                              <w:rPr>
                                <w:color w:val="000000"/>
                                <w:spacing w:val="-4"/>
                                <w:w w:val="105"/>
                                <w:sz w:val="13"/>
                              </w:rPr>
                              <w:t> </w:t>
                            </w:r>
                            <w:r>
                              <w:rPr>
                                <w:color w:val="000000"/>
                                <w:w w:val="105"/>
                                <w:sz w:val="13"/>
                              </w:rPr>
                              <w:t>number</w:t>
                            </w:r>
                            <w:r>
                              <w:rPr>
                                <w:color w:val="000000"/>
                                <w:spacing w:val="-2"/>
                                <w:w w:val="105"/>
                                <w:sz w:val="13"/>
                              </w:rPr>
                              <w:t> </w:t>
                            </w:r>
                            <w:r>
                              <w:rPr>
                                <w:color w:val="000000"/>
                                <w:w w:val="105"/>
                                <w:sz w:val="13"/>
                              </w:rPr>
                              <w:t>of</w:t>
                            </w:r>
                            <w:r>
                              <w:rPr>
                                <w:color w:val="000000"/>
                                <w:spacing w:val="-1"/>
                                <w:w w:val="105"/>
                                <w:sz w:val="13"/>
                              </w:rPr>
                              <w:t> </w:t>
                            </w:r>
                            <w:r>
                              <w:rPr>
                                <w:color w:val="000000"/>
                                <w:w w:val="105"/>
                                <w:sz w:val="13"/>
                              </w:rPr>
                              <w:t>external</w:t>
                            </w:r>
                            <w:r>
                              <w:rPr>
                                <w:color w:val="000000"/>
                                <w:spacing w:val="-2"/>
                                <w:w w:val="105"/>
                                <w:sz w:val="13"/>
                              </w:rPr>
                              <w:t> </w:t>
                            </w:r>
                            <w:r>
                              <w:rPr>
                                <w:color w:val="000000"/>
                                <w:w w:val="105"/>
                                <w:sz w:val="13"/>
                              </w:rPr>
                              <w:t>sources.</w:t>
                            </w:r>
                            <w:r>
                              <w:rPr>
                                <w:color w:val="000000"/>
                                <w:spacing w:val="-4"/>
                                <w:w w:val="105"/>
                                <w:sz w:val="13"/>
                              </w:rPr>
                              <w:t> </w:t>
                            </w:r>
                            <w:r>
                              <w:rPr>
                                <w:color w:val="000000"/>
                                <w:w w:val="105"/>
                                <w:sz w:val="13"/>
                              </w:rPr>
                              <w:t>In</w:t>
                            </w:r>
                            <w:r>
                              <w:rPr>
                                <w:color w:val="000000"/>
                                <w:spacing w:val="-4"/>
                                <w:w w:val="105"/>
                                <w:sz w:val="13"/>
                              </w:rPr>
                              <w:t> </w:t>
                            </w:r>
                            <w:r>
                              <w:rPr>
                                <w:color w:val="000000"/>
                                <w:w w:val="105"/>
                                <w:sz w:val="13"/>
                              </w:rPr>
                              <w:t>preparing</w:t>
                            </w:r>
                            <w:r>
                              <w:rPr>
                                <w:color w:val="000000"/>
                                <w:spacing w:val="-4"/>
                                <w:w w:val="105"/>
                                <w:sz w:val="13"/>
                              </w:rPr>
                              <w:t> </w:t>
                            </w:r>
                            <w:r>
                              <w:rPr>
                                <w:color w:val="000000"/>
                                <w:w w:val="105"/>
                                <w:sz w:val="13"/>
                              </w:rPr>
                              <w:t>these</w:t>
                            </w:r>
                            <w:r>
                              <w:rPr>
                                <w:color w:val="000000"/>
                                <w:spacing w:val="-4"/>
                                <w:w w:val="105"/>
                                <w:sz w:val="13"/>
                              </w:rPr>
                              <w:t> </w:t>
                            </w:r>
                            <w:r>
                              <w:rPr>
                                <w:color w:val="000000"/>
                                <w:w w:val="105"/>
                                <w:sz w:val="13"/>
                              </w:rPr>
                              <w:t>financial</w:t>
                            </w:r>
                            <w:r>
                              <w:rPr>
                                <w:color w:val="000000"/>
                                <w:spacing w:val="-2"/>
                                <w:w w:val="105"/>
                                <w:sz w:val="13"/>
                              </w:rPr>
                              <w:t> </w:t>
                            </w:r>
                            <w:r>
                              <w:rPr>
                                <w:color w:val="000000"/>
                                <w:w w:val="105"/>
                                <w:sz w:val="13"/>
                              </w:rPr>
                              <w:t>statements</w:t>
                            </w:r>
                            <w:r>
                              <w:rPr>
                                <w:color w:val="000000"/>
                                <w:spacing w:val="-3"/>
                                <w:w w:val="105"/>
                                <w:sz w:val="13"/>
                              </w:rPr>
                              <w:t> </w:t>
                            </w:r>
                            <w:r>
                              <w:rPr>
                                <w:color w:val="000000"/>
                                <w:w w:val="105"/>
                                <w:sz w:val="13"/>
                              </w:rPr>
                              <w:t>the</w:t>
                            </w:r>
                            <w:r>
                              <w:rPr>
                                <w:color w:val="000000"/>
                                <w:spacing w:val="-4"/>
                                <w:w w:val="105"/>
                                <w:sz w:val="13"/>
                              </w:rPr>
                              <w:t> </w:t>
                            </w:r>
                            <w:r>
                              <w:rPr>
                                <w:color w:val="000000"/>
                                <w:w w:val="105"/>
                                <w:sz w:val="13"/>
                              </w:rPr>
                              <w:t>Group</w:t>
                            </w:r>
                            <w:r>
                              <w:rPr>
                                <w:color w:val="000000"/>
                                <w:spacing w:val="-6"/>
                                <w:w w:val="105"/>
                                <w:sz w:val="13"/>
                              </w:rPr>
                              <w:t> </w:t>
                            </w:r>
                            <w:r>
                              <w:rPr>
                                <w:color w:val="000000"/>
                                <w:w w:val="105"/>
                                <w:sz w:val="13"/>
                              </w:rPr>
                              <w:t>exercises</w:t>
                            </w:r>
                            <w:r>
                              <w:rPr>
                                <w:color w:val="000000"/>
                                <w:spacing w:val="-3"/>
                                <w:w w:val="105"/>
                                <w:sz w:val="13"/>
                              </w:rPr>
                              <w:t> </w:t>
                            </w:r>
                            <w:r>
                              <w:rPr>
                                <w:color w:val="000000"/>
                                <w:w w:val="105"/>
                                <w:sz w:val="13"/>
                              </w:rPr>
                              <w:t>judgement</w:t>
                            </w:r>
                            <w:r>
                              <w:rPr>
                                <w:color w:val="000000"/>
                                <w:spacing w:val="-6"/>
                                <w:w w:val="105"/>
                                <w:sz w:val="13"/>
                              </w:rPr>
                              <w:t> </w:t>
                            </w:r>
                            <w:r>
                              <w:rPr>
                                <w:color w:val="000000"/>
                                <w:w w:val="105"/>
                                <w:sz w:val="13"/>
                              </w:rPr>
                              <w:t>in</w:t>
                            </w:r>
                            <w:r>
                              <w:rPr>
                                <w:color w:val="000000"/>
                                <w:spacing w:val="40"/>
                                <w:w w:val="105"/>
                                <w:sz w:val="13"/>
                              </w:rPr>
                              <w:t> </w:t>
                            </w:r>
                            <w:r>
                              <w:rPr>
                                <w:color w:val="000000"/>
                                <w:w w:val="105"/>
                                <w:sz w:val="13"/>
                              </w:rPr>
                              <w:t>determining whether certain sources of funding meet the definition of a contribution, revenue, or a reduction to associated costs. Salary</w:t>
                            </w:r>
                            <w:r>
                              <w:rPr>
                                <w:color w:val="000000"/>
                                <w:spacing w:val="40"/>
                                <w:w w:val="105"/>
                                <w:sz w:val="13"/>
                              </w:rPr>
                              <w:t> </w:t>
                            </w:r>
                            <w:r>
                              <w:rPr>
                                <w:color w:val="000000"/>
                                <w:w w:val="105"/>
                                <w:sz w:val="13"/>
                              </w:rPr>
                              <w:t>contributions</w:t>
                            </w:r>
                            <w:r>
                              <w:rPr>
                                <w:color w:val="000000"/>
                                <w:w w:val="105"/>
                                <w:sz w:val="13"/>
                              </w:rPr>
                              <w:t> totalling</w:t>
                            </w:r>
                            <w:r>
                              <w:rPr>
                                <w:color w:val="000000"/>
                                <w:w w:val="105"/>
                                <w:sz w:val="13"/>
                              </w:rPr>
                              <w:t> $20.3</w:t>
                            </w:r>
                            <w:r>
                              <w:rPr>
                                <w:color w:val="000000"/>
                                <w:w w:val="105"/>
                                <w:sz w:val="13"/>
                              </w:rPr>
                              <w:t> million</w:t>
                            </w:r>
                            <w:r>
                              <w:rPr>
                                <w:color w:val="000000"/>
                                <w:w w:val="105"/>
                                <w:sz w:val="13"/>
                              </w:rPr>
                              <w:t> (2019:</w:t>
                            </w:r>
                            <w:r>
                              <w:rPr>
                                <w:color w:val="000000"/>
                                <w:w w:val="105"/>
                                <w:sz w:val="13"/>
                              </w:rPr>
                              <w:t> $23.1</w:t>
                            </w:r>
                            <w:r>
                              <w:rPr>
                                <w:color w:val="000000"/>
                                <w:w w:val="105"/>
                                <w:sz w:val="13"/>
                              </w:rPr>
                              <w:t> million)</w:t>
                            </w:r>
                            <w:r>
                              <w:rPr>
                                <w:color w:val="000000"/>
                                <w:w w:val="105"/>
                                <w:sz w:val="13"/>
                              </w:rPr>
                              <w:t> received</w:t>
                            </w:r>
                            <w:r>
                              <w:rPr>
                                <w:color w:val="000000"/>
                                <w:w w:val="105"/>
                                <w:sz w:val="13"/>
                              </w:rPr>
                              <w:t> have</w:t>
                            </w:r>
                            <w:r>
                              <w:rPr>
                                <w:color w:val="000000"/>
                                <w:w w:val="105"/>
                                <w:sz w:val="13"/>
                              </w:rPr>
                              <w:t> been</w:t>
                            </w:r>
                            <w:r>
                              <w:rPr>
                                <w:color w:val="000000"/>
                                <w:w w:val="105"/>
                                <w:sz w:val="13"/>
                              </w:rPr>
                              <w:t> designated</w:t>
                            </w:r>
                            <w:r>
                              <w:rPr>
                                <w:color w:val="000000"/>
                                <w:w w:val="105"/>
                                <w:sz w:val="13"/>
                              </w:rPr>
                              <w:t> as</w:t>
                            </w:r>
                            <w:r>
                              <w:rPr>
                                <w:color w:val="000000"/>
                                <w:w w:val="105"/>
                                <w:sz w:val="13"/>
                              </w:rPr>
                              <w:t> contract</w:t>
                            </w:r>
                            <w:r>
                              <w:rPr>
                                <w:color w:val="000000"/>
                                <w:w w:val="105"/>
                                <w:sz w:val="13"/>
                              </w:rPr>
                              <w:t> income</w:t>
                            </w:r>
                            <w:r>
                              <w:rPr>
                                <w:color w:val="000000"/>
                                <w:w w:val="105"/>
                                <w:sz w:val="13"/>
                              </w:rPr>
                              <w:t> and</w:t>
                            </w:r>
                            <w:r>
                              <w:rPr>
                                <w:color w:val="000000"/>
                                <w:w w:val="105"/>
                                <w:sz w:val="13"/>
                              </w:rPr>
                              <w:t> recorded</w:t>
                            </w:r>
                            <w:r>
                              <w:rPr>
                                <w:color w:val="000000"/>
                                <w:w w:val="105"/>
                                <w:sz w:val="13"/>
                              </w:rPr>
                              <w:t> within</w:t>
                            </w:r>
                            <w:r>
                              <w:rPr>
                                <w:color w:val="000000"/>
                                <w:w w:val="105"/>
                                <w:sz w:val="13"/>
                              </w:rPr>
                              <w:t> total</w:t>
                            </w:r>
                            <w:r>
                              <w:rPr>
                                <w:color w:val="000000"/>
                                <w:spacing w:val="40"/>
                                <w:w w:val="105"/>
                                <w:sz w:val="13"/>
                              </w:rPr>
                              <w:t> </w:t>
                            </w:r>
                            <w:r>
                              <w:rPr>
                                <w:color w:val="000000"/>
                                <w:w w:val="105"/>
                                <w:sz w:val="13"/>
                              </w:rPr>
                              <w:t>consolidated</w:t>
                            </w:r>
                            <w:r>
                              <w:rPr>
                                <w:color w:val="000000"/>
                                <w:w w:val="105"/>
                                <w:sz w:val="13"/>
                              </w:rPr>
                              <w:t> income</w:t>
                            </w:r>
                            <w:r>
                              <w:rPr>
                                <w:color w:val="000000"/>
                                <w:w w:val="105"/>
                                <w:sz w:val="13"/>
                              </w:rPr>
                              <w:t> from</w:t>
                            </w:r>
                            <w:r>
                              <w:rPr>
                                <w:color w:val="000000"/>
                                <w:w w:val="105"/>
                                <w:sz w:val="13"/>
                              </w:rPr>
                              <w:t> continuing</w:t>
                            </w:r>
                            <w:r>
                              <w:rPr>
                                <w:color w:val="000000"/>
                                <w:w w:val="105"/>
                                <w:sz w:val="13"/>
                              </w:rPr>
                              <w:t> operations. Changing</w:t>
                            </w:r>
                            <w:r>
                              <w:rPr>
                                <w:color w:val="000000"/>
                                <w:w w:val="105"/>
                                <w:sz w:val="13"/>
                              </w:rPr>
                              <w:t> the</w:t>
                            </w:r>
                            <w:r>
                              <w:rPr>
                                <w:color w:val="000000"/>
                                <w:w w:val="105"/>
                                <w:sz w:val="13"/>
                              </w:rPr>
                              <w:t> classification</w:t>
                            </w:r>
                            <w:r>
                              <w:rPr>
                                <w:color w:val="000000"/>
                                <w:w w:val="105"/>
                                <w:sz w:val="13"/>
                              </w:rPr>
                              <w:t> of</w:t>
                            </w:r>
                            <w:r>
                              <w:rPr>
                                <w:color w:val="000000"/>
                                <w:w w:val="105"/>
                                <w:sz w:val="13"/>
                              </w:rPr>
                              <w:t> these</w:t>
                            </w:r>
                            <w:r>
                              <w:rPr>
                                <w:color w:val="000000"/>
                                <w:w w:val="105"/>
                                <w:sz w:val="13"/>
                              </w:rPr>
                              <w:t> amounts,</w:t>
                            </w:r>
                            <w:r>
                              <w:rPr>
                                <w:color w:val="000000"/>
                                <w:w w:val="105"/>
                                <w:sz w:val="13"/>
                              </w:rPr>
                              <w:t> to</w:t>
                            </w:r>
                            <w:r>
                              <w:rPr>
                                <w:color w:val="000000"/>
                                <w:w w:val="105"/>
                                <w:sz w:val="13"/>
                              </w:rPr>
                              <w:t> net them</w:t>
                            </w:r>
                            <w:r>
                              <w:rPr>
                                <w:color w:val="000000"/>
                                <w:w w:val="105"/>
                                <w:sz w:val="13"/>
                              </w:rPr>
                              <w:t> off</w:t>
                            </w:r>
                            <w:r>
                              <w:rPr>
                                <w:color w:val="000000"/>
                                <w:w w:val="105"/>
                                <w:sz w:val="13"/>
                              </w:rPr>
                              <w:t> against</w:t>
                            </w:r>
                            <w:r>
                              <w:rPr>
                                <w:color w:val="000000"/>
                                <w:w w:val="105"/>
                                <w:sz w:val="13"/>
                              </w:rPr>
                              <w:t> associated</w:t>
                            </w:r>
                            <w:r>
                              <w:rPr>
                                <w:color w:val="000000"/>
                                <w:spacing w:val="40"/>
                                <w:w w:val="105"/>
                                <w:sz w:val="13"/>
                              </w:rPr>
                              <w:t> </w:t>
                            </w:r>
                            <w:r>
                              <w:rPr>
                                <w:color w:val="000000"/>
                                <w:w w:val="105"/>
                                <w:sz w:val="13"/>
                              </w:rPr>
                              <w:t>expenses,</w:t>
                            </w:r>
                            <w:r>
                              <w:rPr>
                                <w:color w:val="000000"/>
                                <w:spacing w:val="-3"/>
                                <w:w w:val="105"/>
                                <w:sz w:val="13"/>
                              </w:rPr>
                              <w:t> </w:t>
                            </w:r>
                            <w:r>
                              <w:rPr>
                                <w:color w:val="000000"/>
                                <w:w w:val="105"/>
                                <w:sz w:val="13"/>
                              </w:rPr>
                              <w:t>would</w:t>
                            </w:r>
                            <w:r>
                              <w:rPr>
                                <w:color w:val="000000"/>
                                <w:spacing w:val="-3"/>
                                <w:w w:val="105"/>
                                <w:sz w:val="13"/>
                              </w:rPr>
                              <w:t> </w:t>
                            </w:r>
                            <w:r>
                              <w:rPr>
                                <w:color w:val="000000"/>
                                <w:w w:val="105"/>
                                <w:sz w:val="13"/>
                              </w:rPr>
                              <w:t>not</w:t>
                            </w:r>
                            <w:r>
                              <w:rPr>
                                <w:color w:val="000000"/>
                                <w:spacing w:val="-3"/>
                                <w:w w:val="105"/>
                                <w:sz w:val="13"/>
                              </w:rPr>
                              <w:t> </w:t>
                            </w:r>
                            <w:r>
                              <w:rPr>
                                <w:color w:val="000000"/>
                                <w:w w:val="105"/>
                                <w:sz w:val="13"/>
                              </w:rPr>
                              <w:t>change</w:t>
                            </w:r>
                            <w:r>
                              <w:rPr>
                                <w:color w:val="000000"/>
                                <w:spacing w:val="-3"/>
                                <w:w w:val="105"/>
                                <w:sz w:val="13"/>
                              </w:rPr>
                              <w:t> </w:t>
                            </w:r>
                            <w:r>
                              <w:rPr>
                                <w:color w:val="000000"/>
                                <w:w w:val="105"/>
                                <w:sz w:val="13"/>
                              </w:rPr>
                              <w:t>the</w:t>
                            </w:r>
                            <w:r>
                              <w:rPr>
                                <w:color w:val="000000"/>
                                <w:spacing w:val="-3"/>
                                <w:w w:val="105"/>
                                <w:sz w:val="13"/>
                              </w:rPr>
                              <w:t> </w:t>
                            </w:r>
                            <w:r>
                              <w:rPr>
                                <w:color w:val="000000"/>
                                <w:w w:val="105"/>
                                <w:sz w:val="13"/>
                              </w:rPr>
                              <w:t>net</w:t>
                            </w:r>
                            <w:r>
                              <w:rPr>
                                <w:color w:val="000000"/>
                                <w:spacing w:val="-3"/>
                                <w:w w:val="105"/>
                                <w:sz w:val="13"/>
                              </w:rPr>
                              <w:t> </w:t>
                            </w:r>
                            <w:r>
                              <w:rPr>
                                <w:color w:val="000000"/>
                                <w:w w:val="105"/>
                                <w:sz w:val="13"/>
                              </w:rPr>
                              <w:t>operating</w:t>
                            </w:r>
                            <w:r>
                              <w:rPr>
                                <w:color w:val="000000"/>
                                <w:spacing w:val="-3"/>
                                <w:w w:val="105"/>
                                <w:sz w:val="13"/>
                              </w:rPr>
                              <w:t> </w:t>
                            </w:r>
                            <w:r>
                              <w:rPr>
                                <w:color w:val="000000"/>
                                <w:w w:val="105"/>
                                <w:sz w:val="13"/>
                              </w:rPr>
                              <w:t>result</w:t>
                            </w:r>
                            <w:r>
                              <w:rPr>
                                <w:color w:val="000000"/>
                                <w:spacing w:val="-3"/>
                                <w:w w:val="105"/>
                                <w:sz w:val="13"/>
                              </w:rPr>
                              <w:t> </w:t>
                            </w:r>
                            <w:r>
                              <w:rPr>
                                <w:color w:val="000000"/>
                                <w:w w:val="105"/>
                                <w:sz w:val="13"/>
                              </w:rPr>
                              <w:t>for</w:t>
                            </w:r>
                            <w:r>
                              <w:rPr>
                                <w:color w:val="000000"/>
                                <w:spacing w:val="-1"/>
                                <w:w w:val="105"/>
                                <w:sz w:val="13"/>
                              </w:rPr>
                              <w:t> </w:t>
                            </w:r>
                            <w:r>
                              <w:rPr>
                                <w:color w:val="000000"/>
                                <w:w w:val="105"/>
                                <w:sz w:val="13"/>
                              </w:rPr>
                              <w:t>the</w:t>
                            </w:r>
                            <w:r>
                              <w:rPr>
                                <w:color w:val="000000"/>
                                <w:spacing w:val="-3"/>
                                <w:w w:val="105"/>
                                <w:sz w:val="13"/>
                              </w:rPr>
                              <w:t> </w:t>
                            </w:r>
                            <w:r>
                              <w:rPr>
                                <w:color w:val="000000"/>
                                <w:w w:val="105"/>
                                <w:sz w:val="13"/>
                              </w:rPr>
                              <w:t>period,</w:t>
                            </w:r>
                            <w:r>
                              <w:rPr>
                                <w:color w:val="000000"/>
                                <w:spacing w:val="-3"/>
                                <w:w w:val="105"/>
                                <w:sz w:val="13"/>
                              </w:rPr>
                              <w:t> </w:t>
                            </w:r>
                            <w:r>
                              <w:rPr>
                                <w:color w:val="000000"/>
                                <w:w w:val="105"/>
                                <w:sz w:val="13"/>
                              </w:rPr>
                              <w:t>but</w:t>
                            </w:r>
                            <w:r>
                              <w:rPr>
                                <w:color w:val="000000"/>
                                <w:spacing w:val="-3"/>
                                <w:w w:val="105"/>
                                <w:sz w:val="13"/>
                              </w:rPr>
                              <w:t> </w:t>
                            </w:r>
                            <w:r>
                              <w:rPr>
                                <w:color w:val="000000"/>
                                <w:w w:val="105"/>
                                <w:sz w:val="13"/>
                              </w:rPr>
                              <w:t>would</w:t>
                            </w:r>
                            <w:r>
                              <w:rPr>
                                <w:color w:val="000000"/>
                                <w:spacing w:val="-3"/>
                                <w:w w:val="105"/>
                                <w:sz w:val="13"/>
                              </w:rPr>
                              <w:t> </w:t>
                            </w:r>
                            <w:r>
                              <w:rPr>
                                <w:color w:val="000000"/>
                                <w:w w:val="105"/>
                                <w:sz w:val="13"/>
                              </w:rPr>
                              <w:t>reduce</w:t>
                            </w:r>
                            <w:r>
                              <w:rPr>
                                <w:color w:val="000000"/>
                                <w:spacing w:val="-3"/>
                                <w:w w:val="105"/>
                                <w:sz w:val="13"/>
                              </w:rPr>
                              <w:t> </w:t>
                            </w:r>
                            <w:r>
                              <w:rPr>
                                <w:color w:val="000000"/>
                                <w:w w:val="105"/>
                                <w:sz w:val="13"/>
                              </w:rPr>
                              <w:t>total</w:t>
                            </w:r>
                            <w:r>
                              <w:rPr>
                                <w:color w:val="000000"/>
                                <w:spacing w:val="-2"/>
                                <w:w w:val="105"/>
                                <w:sz w:val="13"/>
                              </w:rPr>
                              <w:t> </w:t>
                            </w:r>
                            <w:r>
                              <w:rPr>
                                <w:color w:val="000000"/>
                                <w:w w:val="105"/>
                                <w:sz w:val="13"/>
                              </w:rPr>
                              <w:t>income</w:t>
                            </w:r>
                            <w:r>
                              <w:rPr>
                                <w:color w:val="000000"/>
                                <w:spacing w:val="-3"/>
                                <w:w w:val="105"/>
                                <w:sz w:val="13"/>
                              </w:rPr>
                              <w:t> </w:t>
                            </w:r>
                            <w:r>
                              <w:rPr>
                                <w:color w:val="000000"/>
                                <w:w w:val="105"/>
                                <w:sz w:val="13"/>
                              </w:rPr>
                              <w:t>and</w:t>
                            </w:r>
                            <w:r>
                              <w:rPr>
                                <w:color w:val="000000"/>
                                <w:spacing w:val="-3"/>
                                <w:w w:val="105"/>
                                <w:sz w:val="13"/>
                              </w:rPr>
                              <w:t> </w:t>
                            </w:r>
                            <w:r>
                              <w:rPr>
                                <w:color w:val="000000"/>
                                <w:w w:val="105"/>
                                <w:sz w:val="13"/>
                              </w:rPr>
                              <w:t>expenses.</w:t>
                            </w:r>
                          </w:p>
                        </w:txbxContent>
                      </wps:txbx>
                      <wps:bodyPr wrap="square" lIns="0" tIns="0" rIns="0" bIns="0" rtlCol="0">
                        <a:noAutofit/>
                      </wps:bodyPr>
                    </wps:wsp>
                  </a:graphicData>
                </a:graphic>
              </wp:anchor>
            </w:drawing>
          </mc:Choice>
          <mc:Fallback>
            <w:pict>
              <v:shape style="position:absolute;margin-left:87.008003pt;margin-top:12.204065pt;width:416.55pt;height:53.3pt;mso-position-horizontal-relative:page;mso-position-vertical-relative:paragraph;z-index:-15577088;mso-wrap-distance-left:0;mso-wrap-distance-right:0" type="#_x0000_t202" id="docshape600" filled="true" fillcolor="#dce6f1" stroked="false">
                <v:textbox inset="0,0,0,0">
                  <w:txbxContent>
                    <w:p>
                      <w:pPr>
                        <w:spacing w:before="10"/>
                        <w:ind w:left="28" w:right="0" w:firstLine="0"/>
                        <w:jc w:val="both"/>
                        <w:rPr>
                          <w:b/>
                          <w:color w:val="000000"/>
                          <w:sz w:val="13"/>
                        </w:rPr>
                      </w:pPr>
                      <w:r>
                        <w:rPr>
                          <w:b/>
                          <w:color w:val="0070C0"/>
                          <w:spacing w:val="-2"/>
                          <w:w w:val="105"/>
                          <w:sz w:val="13"/>
                        </w:rPr>
                        <w:t>Critical</w:t>
                      </w:r>
                      <w:r>
                        <w:rPr>
                          <w:b/>
                          <w:color w:val="0070C0"/>
                          <w:spacing w:val="1"/>
                          <w:w w:val="105"/>
                          <w:sz w:val="13"/>
                        </w:rPr>
                        <w:t> </w:t>
                      </w:r>
                      <w:r>
                        <w:rPr>
                          <w:b/>
                          <w:color w:val="0070C0"/>
                          <w:spacing w:val="-2"/>
                          <w:w w:val="105"/>
                          <w:sz w:val="13"/>
                        </w:rPr>
                        <w:t>accounting</w:t>
                      </w:r>
                      <w:r>
                        <w:rPr>
                          <w:b/>
                          <w:color w:val="0070C0"/>
                          <w:spacing w:val="3"/>
                          <w:w w:val="105"/>
                          <w:sz w:val="13"/>
                        </w:rPr>
                        <w:t> </w:t>
                      </w:r>
                      <w:r>
                        <w:rPr>
                          <w:b/>
                          <w:color w:val="0070C0"/>
                          <w:spacing w:val="-2"/>
                          <w:w w:val="105"/>
                          <w:sz w:val="13"/>
                        </w:rPr>
                        <w:t>estimates</w:t>
                      </w:r>
                      <w:r>
                        <w:rPr>
                          <w:b/>
                          <w:color w:val="0070C0"/>
                          <w:spacing w:val="2"/>
                          <w:w w:val="105"/>
                          <w:sz w:val="13"/>
                        </w:rPr>
                        <w:t> </w:t>
                      </w:r>
                      <w:r>
                        <w:rPr>
                          <w:b/>
                          <w:color w:val="0070C0"/>
                          <w:spacing w:val="-2"/>
                          <w:w w:val="105"/>
                          <w:sz w:val="13"/>
                        </w:rPr>
                        <w:t>and</w:t>
                      </w:r>
                      <w:r>
                        <w:rPr>
                          <w:b/>
                          <w:color w:val="0070C0"/>
                          <w:spacing w:val="3"/>
                          <w:w w:val="105"/>
                          <w:sz w:val="13"/>
                        </w:rPr>
                        <w:t> </w:t>
                      </w:r>
                      <w:r>
                        <w:rPr>
                          <w:b/>
                          <w:color w:val="0070C0"/>
                          <w:spacing w:val="-2"/>
                          <w:w w:val="105"/>
                          <w:sz w:val="13"/>
                        </w:rPr>
                        <w:t>judgements:</w:t>
                      </w:r>
                    </w:p>
                    <w:p>
                      <w:pPr>
                        <w:spacing w:line="271" w:lineRule="auto" w:before="24"/>
                        <w:ind w:left="26" w:right="19" w:firstLine="0"/>
                        <w:jc w:val="both"/>
                        <w:rPr>
                          <w:color w:val="000000"/>
                          <w:sz w:val="13"/>
                        </w:rPr>
                      </w:pPr>
                      <w:r>
                        <w:rPr>
                          <w:color w:val="000000"/>
                          <w:w w:val="105"/>
                          <w:sz w:val="13"/>
                        </w:rPr>
                        <w:t>The</w:t>
                      </w:r>
                      <w:r>
                        <w:rPr>
                          <w:color w:val="000000"/>
                          <w:spacing w:val="-4"/>
                          <w:w w:val="105"/>
                          <w:sz w:val="13"/>
                        </w:rPr>
                        <w:t> </w:t>
                      </w:r>
                      <w:r>
                        <w:rPr>
                          <w:color w:val="000000"/>
                          <w:w w:val="105"/>
                          <w:sz w:val="13"/>
                        </w:rPr>
                        <w:t>Group</w:t>
                      </w:r>
                      <w:r>
                        <w:rPr>
                          <w:color w:val="000000"/>
                          <w:spacing w:val="-4"/>
                          <w:w w:val="105"/>
                          <w:sz w:val="13"/>
                        </w:rPr>
                        <w:t> </w:t>
                      </w:r>
                      <w:r>
                        <w:rPr>
                          <w:color w:val="000000"/>
                          <w:w w:val="105"/>
                          <w:sz w:val="13"/>
                        </w:rPr>
                        <w:t>receives</w:t>
                      </w:r>
                      <w:r>
                        <w:rPr>
                          <w:color w:val="000000"/>
                          <w:spacing w:val="-3"/>
                          <w:w w:val="105"/>
                          <w:sz w:val="13"/>
                        </w:rPr>
                        <w:t> </w:t>
                      </w:r>
                      <w:r>
                        <w:rPr>
                          <w:color w:val="000000"/>
                          <w:w w:val="105"/>
                          <w:sz w:val="13"/>
                        </w:rPr>
                        <w:t>funding</w:t>
                      </w:r>
                      <w:r>
                        <w:rPr>
                          <w:color w:val="000000"/>
                          <w:spacing w:val="-4"/>
                          <w:w w:val="105"/>
                          <w:sz w:val="13"/>
                        </w:rPr>
                        <w:t> </w:t>
                      </w:r>
                      <w:r>
                        <w:rPr>
                          <w:color w:val="000000"/>
                          <w:w w:val="105"/>
                          <w:sz w:val="13"/>
                        </w:rPr>
                        <w:t>from</w:t>
                      </w:r>
                      <w:r>
                        <w:rPr>
                          <w:color w:val="000000"/>
                          <w:spacing w:val="-2"/>
                          <w:w w:val="105"/>
                          <w:sz w:val="13"/>
                        </w:rPr>
                        <w:t> </w:t>
                      </w:r>
                      <w:r>
                        <w:rPr>
                          <w:color w:val="000000"/>
                          <w:w w:val="105"/>
                          <w:sz w:val="13"/>
                        </w:rPr>
                        <w:t>a</w:t>
                      </w:r>
                      <w:r>
                        <w:rPr>
                          <w:color w:val="000000"/>
                          <w:spacing w:val="-4"/>
                          <w:w w:val="105"/>
                          <w:sz w:val="13"/>
                        </w:rPr>
                        <w:t> </w:t>
                      </w:r>
                      <w:r>
                        <w:rPr>
                          <w:color w:val="000000"/>
                          <w:w w:val="105"/>
                          <w:sz w:val="13"/>
                        </w:rPr>
                        <w:t>number</w:t>
                      </w:r>
                      <w:r>
                        <w:rPr>
                          <w:color w:val="000000"/>
                          <w:spacing w:val="-2"/>
                          <w:w w:val="105"/>
                          <w:sz w:val="13"/>
                        </w:rPr>
                        <w:t> </w:t>
                      </w:r>
                      <w:r>
                        <w:rPr>
                          <w:color w:val="000000"/>
                          <w:w w:val="105"/>
                          <w:sz w:val="13"/>
                        </w:rPr>
                        <w:t>of</w:t>
                      </w:r>
                      <w:r>
                        <w:rPr>
                          <w:color w:val="000000"/>
                          <w:spacing w:val="-1"/>
                          <w:w w:val="105"/>
                          <w:sz w:val="13"/>
                        </w:rPr>
                        <w:t> </w:t>
                      </w:r>
                      <w:r>
                        <w:rPr>
                          <w:color w:val="000000"/>
                          <w:w w:val="105"/>
                          <w:sz w:val="13"/>
                        </w:rPr>
                        <w:t>external</w:t>
                      </w:r>
                      <w:r>
                        <w:rPr>
                          <w:color w:val="000000"/>
                          <w:spacing w:val="-2"/>
                          <w:w w:val="105"/>
                          <w:sz w:val="13"/>
                        </w:rPr>
                        <w:t> </w:t>
                      </w:r>
                      <w:r>
                        <w:rPr>
                          <w:color w:val="000000"/>
                          <w:w w:val="105"/>
                          <w:sz w:val="13"/>
                        </w:rPr>
                        <w:t>sources.</w:t>
                      </w:r>
                      <w:r>
                        <w:rPr>
                          <w:color w:val="000000"/>
                          <w:spacing w:val="-4"/>
                          <w:w w:val="105"/>
                          <w:sz w:val="13"/>
                        </w:rPr>
                        <w:t> </w:t>
                      </w:r>
                      <w:r>
                        <w:rPr>
                          <w:color w:val="000000"/>
                          <w:w w:val="105"/>
                          <w:sz w:val="13"/>
                        </w:rPr>
                        <w:t>In</w:t>
                      </w:r>
                      <w:r>
                        <w:rPr>
                          <w:color w:val="000000"/>
                          <w:spacing w:val="-4"/>
                          <w:w w:val="105"/>
                          <w:sz w:val="13"/>
                        </w:rPr>
                        <w:t> </w:t>
                      </w:r>
                      <w:r>
                        <w:rPr>
                          <w:color w:val="000000"/>
                          <w:w w:val="105"/>
                          <w:sz w:val="13"/>
                        </w:rPr>
                        <w:t>preparing</w:t>
                      </w:r>
                      <w:r>
                        <w:rPr>
                          <w:color w:val="000000"/>
                          <w:spacing w:val="-4"/>
                          <w:w w:val="105"/>
                          <w:sz w:val="13"/>
                        </w:rPr>
                        <w:t> </w:t>
                      </w:r>
                      <w:r>
                        <w:rPr>
                          <w:color w:val="000000"/>
                          <w:w w:val="105"/>
                          <w:sz w:val="13"/>
                        </w:rPr>
                        <w:t>these</w:t>
                      </w:r>
                      <w:r>
                        <w:rPr>
                          <w:color w:val="000000"/>
                          <w:spacing w:val="-4"/>
                          <w:w w:val="105"/>
                          <w:sz w:val="13"/>
                        </w:rPr>
                        <w:t> </w:t>
                      </w:r>
                      <w:r>
                        <w:rPr>
                          <w:color w:val="000000"/>
                          <w:w w:val="105"/>
                          <w:sz w:val="13"/>
                        </w:rPr>
                        <w:t>financial</w:t>
                      </w:r>
                      <w:r>
                        <w:rPr>
                          <w:color w:val="000000"/>
                          <w:spacing w:val="-2"/>
                          <w:w w:val="105"/>
                          <w:sz w:val="13"/>
                        </w:rPr>
                        <w:t> </w:t>
                      </w:r>
                      <w:r>
                        <w:rPr>
                          <w:color w:val="000000"/>
                          <w:w w:val="105"/>
                          <w:sz w:val="13"/>
                        </w:rPr>
                        <w:t>statements</w:t>
                      </w:r>
                      <w:r>
                        <w:rPr>
                          <w:color w:val="000000"/>
                          <w:spacing w:val="-3"/>
                          <w:w w:val="105"/>
                          <w:sz w:val="13"/>
                        </w:rPr>
                        <w:t> </w:t>
                      </w:r>
                      <w:r>
                        <w:rPr>
                          <w:color w:val="000000"/>
                          <w:w w:val="105"/>
                          <w:sz w:val="13"/>
                        </w:rPr>
                        <w:t>the</w:t>
                      </w:r>
                      <w:r>
                        <w:rPr>
                          <w:color w:val="000000"/>
                          <w:spacing w:val="-4"/>
                          <w:w w:val="105"/>
                          <w:sz w:val="13"/>
                        </w:rPr>
                        <w:t> </w:t>
                      </w:r>
                      <w:r>
                        <w:rPr>
                          <w:color w:val="000000"/>
                          <w:w w:val="105"/>
                          <w:sz w:val="13"/>
                        </w:rPr>
                        <w:t>Group</w:t>
                      </w:r>
                      <w:r>
                        <w:rPr>
                          <w:color w:val="000000"/>
                          <w:spacing w:val="-6"/>
                          <w:w w:val="105"/>
                          <w:sz w:val="13"/>
                        </w:rPr>
                        <w:t> </w:t>
                      </w:r>
                      <w:r>
                        <w:rPr>
                          <w:color w:val="000000"/>
                          <w:w w:val="105"/>
                          <w:sz w:val="13"/>
                        </w:rPr>
                        <w:t>exercises</w:t>
                      </w:r>
                      <w:r>
                        <w:rPr>
                          <w:color w:val="000000"/>
                          <w:spacing w:val="-3"/>
                          <w:w w:val="105"/>
                          <w:sz w:val="13"/>
                        </w:rPr>
                        <w:t> </w:t>
                      </w:r>
                      <w:r>
                        <w:rPr>
                          <w:color w:val="000000"/>
                          <w:w w:val="105"/>
                          <w:sz w:val="13"/>
                        </w:rPr>
                        <w:t>judgement</w:t>
                      </w:r>
                      <w:r>
                        <w:rPr>
                          <w:color w:val="000000"/>
                          <w:spacing w:val="-6"/>
                          <w:w w:val="105"/>
                          <w:sz w:val="13"/>
                        </w:rPr>
                        <w:t> </w:t>
                      </w:r>
                      <w:r>
                        <w:rPr>
                          <w:color w:val="000000"/>
                          <w:w w:val="105"/>
                          <w:sz w:val="13"/>
                        </w:rPr>
                        <w:t>in</w:t>
                      </w:r>
                      <w:r>
                        <w:rPr>
                          <w:color w:val="000000"/>
                          <w:spacing w:val="40"/>
                          <w:w w:val="105"/>
                          <w:sz w:val="13"/>
                        </w:rPr>
                        <w:t> </w:t>
                      </w:r>
                      <w:r>
                        <w:rPr>
                          <w:color w:val="000000"/>
                          <w:w w:val="105"/>
                          <w:sz w:val="13"/>
                        </w:rPr>
                        <w:t>determining whether certain sources of funding meet the definition of a contribution, revenue, or a reduction to associated costs. Salary</w:t>
                      </w:r>
                      <w:r>
                        <w:rPr>
                          <w:color w:val="000000"/>
                          <w:spacing w:val="40"/>
                          <w:w w:val="105"/>
                          <w:sz w:val="13"/>
                        </w:rPr>
                        <w:t> </w:t>
                      </w:r>
                      <w:r>
                        <w:rPr>
                          <w:color w:val="000000"/>
                          <w:w w:val="105"/>
                          <w:sz w:val="13"/>
                        </w:rPr>
                        <w:t>contributions</w:t>
                      </w:r>
                      <w:r>
                        <w:rPr>
                          <w:color w:val="000000"/>
                          <w:w w:val="105"/>
                          <w:sz w:val="13"/>
                        </w:rPr>
                        <w:t> totalling</w:t>
                      </w:r>
                      <w:r>
                        <w:rPr>
                          <w:color w:val="000000"/>
                          <w:w w:val="105"/>
                          <w:sz w:val="13"/>
                        </w:rPr>
                        <w:t> $20.3</w:t>
                      </w:r>
                      <w:r>
                        <w:rPr>
                          <w:color w:val="000000"/>
                          <w:w w:val="105"/>
                          <w:sz w:val="13"/>
                        </w:rPr>
                        <w:t> million</w:t>
                      </w:r>
                      <w:r>
                        <w:rPr>
                          <w:color w:val="000000"/>
                          <w:w w:val="105"/>
                          <w:sz w:val="13"/>
                        </w:rPr>
                        <w:t> (2019:</w:t>
                      </w:r>
                      <w:r>
                        <w:rPr>
                          <w:color w:val="000000"/>
                          <w:w w:val="105"/>
                          <w:sz w:val="13"/>
                        </w:rPr>
                        <w:t> $23.1</w:t>
                      </w:r>
                      <w:r>
                        <w:rPr>
                          <w:color w:val="000000"/>
                          <w:w w:val="105"/>
                          <w:sz w:val="13"/>
                        </w:rPr>
                        <w:t> million)</w:t>
                      </w:r>
                      <w:r>
                        <w:rPr>
                          <w:color w:val="000000"/>
                          <w:w w:val="105"/>
                          <w:sz w:val="13"/>
                        </w:rPr>
                        <w:t> received</w:t>
                      </w:r>
                      <w:r>
                        <w:rPr>
                          <w:color w:val="000000"/>
                          <w:w w:val="105"/>
                          <w:sz w:val="13"/>
                        </w:rPr>
                        <w:t> have</w:t>
                      </w:r>
                      <w:r>
                        <w:rPr>
                          <w:color w:val="000000"/>
                          <w:w w:val="105"/>
                          <w:sz w:val="13"/>
                        </w:rPr>
                        <w:t> been</w:t>
                      </w:r>
                      <w:r>
                        <w:rPr>
                          <w:color w:val="000000"/>
                          <w:w w:val="105"/>
                          <w:sz w:val="13"/>
                        </w:rPr>
                        <w:t> designated</w:t>
                      </w:r>
                      <w:r>
                        <w:rPr>
                          <w:color w:val="000000"/>
                          <w:w w:val="105"/>
                          <w:sz w:val="13"/>
                        </w:rPr>
                        <w:t> as</w:t>
                      </w:r>
                      <w:r>
                        <w:rPr>
                          <w:color w:val="000000"/>
                          <w:w w:val="105"/>
                          <w:sz w:val="13"/>
                        </w:rPr>
                        <w:t> contract</w:t>
                      </w:r>
                      <w:r>
                        <w:rPr>
                          <w:color w:val="000000"/>
                          <w:w w:val="105"/>
                          <w:sz w:val="13"/>
                        </w:rPr>
                        <w:t> income</w:t>
                      </w:r>
                      <w:r>
                        <w:rPr>
                          <w:color w:val="000000"/>
                          <w:w w:val="105"/>
                          <w:sz w:val="13"/>
                        </w:rPr>
                        <w:t> and</w:t>
                      </w:r>
                      <w:r>
                        <w:rPr>
                          <w:color w:val="000000"/>
                          <w:w w:val="105"/>
                          <w:sz w:val="13"/>
                        </w:rPr>
                        <w:t> recorded</w:t>
                      </w:r>
                      <w:r>
                        <w:rPr>
                          <w:color w:val="000000"/>
                          <w:w w:val="105"/>
                          <w:sz w:val="13"/>
                        </w:rPr>
                        <w:t> within</w:t>
                      </w:r>
                      <w:r>
                        <w:rPr>
                          <w:color w:val="000000"/>
                          <w:w w:val="105"/>
                          <w:sz w:val="13"/>
                        </w:rPr>
                        <w:t> total</w:t>
                      </w:r>
                      <w:r>
                        <w:rPr>
                          <w:color w:val="000000"/>
                          <w:spacing w:val="40"/>
                          <w:w w:val="105"/>
                          <w:sz w:val="13"/>
                        </w:rPr>
                        <w:t> </w:t>
                      </w:r>
                      <w:r>
                        <w:rPr>
                          <w:color w:val="000000"/>
                          <w:w w:val="105"/>
                          <w:sz w:val="13"/>
                        </w:rPr>
                        <w:t>consolidated</w:t>
                      </w:r>
                      <w:r>
                        <w:rPr>
                          <w:color w:val="000000"/>
                          <w:w w:val="105"/>
                          <w:sz w:val="13"/>
                        </w:rPr>
                        <w:t> income</w:t>
                      </w:r>
                      <w:r>
                        <w:rPr>
                          <w:color w:val="000000"/>
                          <w:w w:val="105"/>
                          <w:sz w:val="13"/>
                        </w:rPr>
                        <w:t> from</w:t>
                      </w:r>
                      <w:r>
                        <w:rPr>
                          <w:color w:val="000000"/>
                          <w:w w:val="105"/>
                          <w:sz w:val="13"/>
                        </w:rPr>
                        <w:t> continuing</w:t>
                      </w:r>
                      <w:r>
                        <w:rPr>
                          <w:color w:val="000000"/>
                          <w:w w:val="105"/>
                          <w:sz w:val="13"/>
                        </w:rPr>
                        <w:t> operations. Changing</w:t>
                      </w:r>
                      <w:r>
                        <w:rPr>
                          <w:color w:val="000000"/>
                          <w:w w:val="105"/>
                          <w:sz w:val="13"/>
                        </w:rPr>
                        <w:t> the</w:t>
                      </w:r>
                      <w:r>
                        <w:rPr>
                          <w:color w:val="000000"/>
                          <w:w w:val="105"/>
                          <w:sz w:val="13"/>
                        </w:rPr>
                        <w:t> classification</w:t>
                      </w:r>
                      <w:r>
                        <w:rPr>
                          <w:color w:val="000000"/>
                          <w:w w:val="105"/>
                          <w:sz w:val="13"/>
                        </w:rPr>
                        <w:t> of</w:t>
                      </w:r>
                      <w:r>
                        <w:rPr>
                          <w:color w:val="000000"/>
                          <w:w w:val="105"/>
                          <w:sz w:val="13"/>
                        </w:rPr>
                        <w:t> these</w:t>
                      </w:r>
                      <w:r>
                        <w:rPr>
                          <w:color w:val="000000"/>
                          <w:w w:val="105"/>
                          <w:sz w:val="13"/>
                        </w:rPr>
                        <w:t> amounts,</w:t>
                      </w:r>
                      <w:r>
                        <w:rPr>
                          <w:color w:val="000000"/>
                          <w:w w:val="105"/>
                          <w:sz w:val="13"/>
                        </w:rPr>
                        <w:t> to</w:t>
                      </w:r>
                      <w:r>
                        <w:rPr>
                          <w:color w:val="000000"/>
                          <w:w w:val="105"/>
                          <w:sz w:val="13"/>
                        </w:rPr>
                        <w:t> net them</w:t>
                      </w:r>
                      <w:r>
                        <w:rPr>
                          <w:color w:val="000000"/>
                          <w:w w:val="105"/>
                          <w:sz w:val="13"/>
                        </w:rPr>
                        <w:t> off</w:t>
                      </w:r>
                      <w:r>
                        <w:rPr>
                          <w:color w:val="000000"/>
                          <w:w w:val="105"/>
                          <w:sz w:val="13"/>
                        </w:rPr>
                        <w:t> against</w:t>
                      </w:r>
                      <w:r>
                        <w:rPr>
                          <w:color w:val="000000"/>
                          <w:w w:val="105"/>
                          <w:sz w:val="13"/>
                        </w:rPr>
                        <w:t> associated</w:t>
                      </w:r>
                      <w:r>
                        <w:rPr>
                          <w:color w:val="000000"/>
                          <w:spacing w:val="40"/>
                          <w:w w:val="105"/>
                          <w:sz w:val="13"/>
                        </w:rPr>
                        <w:t> </w:t>
                      </w:r>
                      <w:r>
                        <w:rPr>
                          <w:color w:val="000000"/>
                          <w:w w:val="105"/>
                          <w:sz w:val="13"/>
                        </w:rPr>
                        <w:t>expenses,</w:t>
                      </w:r>
                      <w:r>
                        <w:rPr>
                          <w:color w:val="000000"/>
                          <w:spacing w:val="-3"/>
                          <w:w w:val="105"/>
                          <w:sz w:val="13"/>
                        </w:rPr>
                        <w:t> </w:t>
                      </w:r>
                      <w:r>
                        <w:rPr>
                          <w:color w:val="000000"/>
                          <w:w w:val="105"/>
                          <w:sz w:val="13"/>
                        </w:rPr>
                        <w:t>would</w:t>
                      </w:r>
                      <w:r>
                        <w:rPr>
                          <w:color w:val="000000"/>
                          <w:spacing w:val="-3"/>
                          <w:w w:val="105"/>
                          <w:sz w:val="13"/>
                        </w:rPr>
                        <w:t> </w:t>
                      </w:r>
                      <w:r>
                        <w:rPr>
                          <w:color w:val="000000"/>
                          <w:w w:val="105"/>
                          <w:sz w:val="13"/>
                        </w:rPr>
                        <w:t>not</w:t>
                      </w:r>
                      <w:r>
                        <w:rPr>
                          <w:color w:val="000000"/>
                          <w:spacing w:val="-3"/>
                          <w:w w:val="105"/>
                          <w:sz w:val="13"/>
                        </w:rPr>
                        <w:t> </w:t>
                      </w:r>
                      <w:r>
                        <w:rPr>
                          <w:color w:val="000000"/>
                          <w:w w:val="105"/>
                          <w:sz w:val="13"/>
                        </w:rPr>
                        <w:t>change</w:t>
                      </w:r>
                      <w:r>
                        <w:rPr>
                          <w:color w:val="000000"/>
                          <w:spacing w:val="-3"/>
                          <w:w w:val="105"/>
                          <w:sz w:val="13"/>
                        </w:rPr>
                        <w:t> </w:t>
                      </w:r>
                      <w:r>
                        <w:rPr>
                          <w:color w:val="000000"/>
                          <w:w w:val="105"/>
                          <w:sz w:val="13"/>
                        </w:rPr>
                        <w:t>the</w:t>
                      </w:r>
                      <w:r>
                        <w:rPr>
                          <w:color w:val="000000"/>
                          <w:spacing w:val="-3"/>
                          <w:w w:val="105"/>
                          <w:sz w:val="13"/>
                        </w:rPr>
                        <w:t> </w:t>
                      </w:r>
                      <w:r>
                        <w:rPr>
                          <w:color w:val="000000"/>
                          <w:w w:val="105"/>
                          <w:sz w:val="13"/>
                        </w:rPr>
                        <w:t>net</w:t>
                      </w:r>
                      <w:r>
                        <w:rPr>
                          <w:color w:val="000000"/>
                          <w:spacing w:val="-3"/>
                          <w:w w:val="105"/>
                          <w:sz w:val="13"/>
                        </w:rPr>
                        <w:t> </w:t>
                      </w:r>
                      <w:r>
                        <w:rPr>
                          <w:color w:val="000000"/>
                          <w:w w:val="105"/>
                          <w:sz w:val="13"/>
                        </w:rPr>
                        <w:t>operating</w:t>
                      </w:r>
                      <w:r>
                        <w:rPr>
                          <w:color w:val="000000"/>
                          <w:spacing w:val="-3"/>
                          <w:w w:val="105"/>
                          <w:sz w:val="13"/>
                        </w:rPr>
                        <w:t> </w:t>
                      </w:r>
                      <w:r>
                        <w:rPr>
                          <w:color w:val="000000"/>
                          <w:w w:val="105"/>
                          <w:sz w:val="13"/>
                        </w:rPr>
                        <w:t>result</w:t>
                      </w:r>
                      <w:r>
                        <w:rPr>
                          <w:color w:val="000000"/>
                          <w:spacing w:val="-3"/>
                          <w:w w:val="105"/>
                          <w:sz w:val="13"/>
                        </w:rPr>
                        <w:t> </w:t>
                      </w:r>
                      <w:r>
                        <w:rPr>
                          <w:color w:val="000000"/>
                          <w:w w:val="105"/>
                          <w:sz w:val="13"/>
                        </w:rPr>
                        <w:t>for</w:t>
                      </w:r>
                      <w:r>
                        <w:rPr>
                          <w:color w:val="000000"/>
                          <w:spacing w:val="-1"/>
                          <w:w w:val="105"/>
                          <w:sz w:val="13"/>
                        </w:rPr>
                        <w:t> </w:t>
                      </w:r>
                      <w:r>
                        <w:rPr>
                          <w:color w:val="000000"/>
                          <w:w w:val="105"/>
                          <w:sz w:val="13"/>
                        </w:rPr>
                        <w:t>the</w:t>
                      </w:r>
                      <w:r>
                        <w:rPr>
                          <w:color w:val="000000"/>
                          <w:spacing w:val="-3"/>
                          <w:w w:val="105"/>
                          <w:sz w:val="13"/>
                        </w:rPr>
                        <w:t> </w:t>
                      </w:r>
                      <w:r>
                        <w:rPr>
                          <w:color w:val="000000"/>
                          <w:w w:val="105"/>
                          <w:sz w:val="13"/>
                        </w:rPr>
                        <w:t>period,</w:t>
                      </w:r>
                      <w:r>
                        <w:rPr>
                          <w:color w:val="000000"/>
                          <w:spacing w:val="-3"/>
                          <w:w w:val="105"/>
                          <w:sz w:val="13"/>
                        </w:rPr>
                        <w:t> </w:t>
                      </w:r>
                      <w:r>
                        <w:rPr>
                          <w:color w:val="000000"/>
                          <w:w w:val="105"/>
                          <w:sz w:val="13"/>
                        </w:rPr>
                        <w:t>but</w:t>
                      </w:r>
                      <w:r>
                        <w:rPr>
                          <w:color w:val="000000"/>
                          <w:spacing w:val="-3"/>
                          <w:w w:val="105"/>
                          <w:sz w:val="13"/>
                        </w:rPr>
                        <w:t> </w:t>
                      </w:r>
                      <w:r>
                        <w:rPr>
                          <w:color w:val="000000"/>
                          <w:w w:val="105"/>
                          <w:sz w:val="13"/>
                        </w:rPr>
                        <w:t>would</w:t>
                      </w:r>
                      <w:r>
                        <w:rPr>
                          <w:color w:val="000000"/>
                          <w:spacing w:val="-3"/>
                          <w:w w:val="105"/>
                          <w:sz w:val="13"/>
                        </w:rPr>
                        <w:t> </w:t>
                      </w:r>
                      <w:r>
                        <w:rPr>
                          <w:color w:val="000000"/>
                          <w:w w:val="105"/>
                          <w:sz w:val="13"/>
                        </w:rPr>
                        <w:t>reduce</w:t>
                      </w:r>
                      <w:r>
                        <w:rPr>
                          <w:color w:val="000000"/>
                          <w:spacing w:val="-3"/>
                          <w:w w:val="105"/>
                          <w:sz w:val="13"/>
                        </w:rPr>
                        <w:t> </w:t>
                      </w:r>
                      <w:r>
                        <w:rPr>
                          <w:color w:val="000000"/>
                          <w:w w:val="105"/>
                          <w:sz w:val="13"/>
                        </w:rPr>
                        <w:t>total</w:t>
                      </w:r>
                      <w:r>
                        <w:rPr>
                          <w:color w:val="000000"/>
                          <w:spacing w:val="-2"/>
                          <w:w w:val="105"/>
                          <w:sz w:val="13"/>
                        </w:rPr>
                        <w:t> </w:t>
                      </w:r>
                      <w:r>
                        <w:rPr>
                          <w:color w:val="000000"/>
                          <w:w w:val="105"/>
                          <w:sz w:val="13"/>
                        </w:rPr>
                        <w:t>income</w:t>
                      </w:r>
                      <w:r>
                        <w:rPr>
                          <w:color w:val="000000"/>
                          <w:spacing w:val="-3"/>
                          <w:w w:val="105"/>
                          <w:sz w:val="13"/>
                        </w:rPr>
                        <w:t> </w:t>
                      </w:r>
                      <w:r>
                        <w:rPr>
                          <w:color w:val="000000"/>
                          <w:w w:val="105"/>
                          <w:sz w:val="13"/>
                        </w:rPr>
                        <w:t>and</w:t>
                      </w:r>
                      <w:r>
                        <w:rPr>
                          <w:color w:val="000000"/>
                          <w:spacing w:val="-3"/>
                          <w:w w:val="105"/>
                          <w:sz w:val="13"/>
                        </w:rPr>
                        <w:t> </w:t>
                      </w:r>
                      <w:r>
                        <w:rPr>
                          <w:color w:val="000000"/>
                          <w:w w:val="105"/>
                          <w:sz w:val="13"/>
                        </w:rPr>
                        <w:t>expenses.</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739904">
                <wp:simplePos x="0" y="0"/>
                <wp:positionH relativeFrom="page">
                  <wp:posOffset>720547</wp:posOffset>
                </wp:positionH>
                <wp:positionV relativeFrom="paragraph">
                  <wp:posOffset>1036714</wp:posOffset>
                </wp:positionV>
                <wp:extent cx="5674995" cy="17145"/>
                <wp:effectExtent l="0" t="0" r="0" b="0"/>
                <wp:wrapTopAndBottom/>
                <wp:docPr id="907" name="Graphic 907"/>
                <wp:cNvGraphicFramePr>
                  <a:graphicFrameLocks/>
                </wp:cNvGraphicFramePr>
                <a:graphic>
                  <a:graphicData uri="http://schemas.microsoft.com/office/word/2010/wordprocessingShape">
                    <wps:wsp>
                      <wps:cNvPr id="907" name="Graphic 907"/>
                      <wps:cNvSpPr/>
                      <wps:spPr>
                        <a:xfrm>
                          <a:off x="0" y="0"/>
                          <a:ext cx="5674995" cy="17145"/>
                        </a:xfrm>
                        <a:custGeom>
                          <a:avLst/>
                          <a:gdLst/>
                          <a:ahLst/>
                          <a:cxnLst/>
                          <a:rect l="l" t="t" r="r" b="b"/>
                          <a:pathLst>
                            <a:path w="5674995" h="17145">
                              <a:moveTo>
                                <a:pt x="5674474" y="0"/>
                              </a:moveTo>
                              <a:lnTo>
                                <a:pt x="0" y="0"/>
                              </a:lnTo>
                              <a:lnTo>
                                <a:pt x="0" y="16763"/>
                              </a:lnTo>
                              <a:lnTo>
                                <a:pt x="5674474" y="16763"/>
                              </a:lnTo>
                              <a:lnTo>
                                <a:pt x="5674474"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6.736pt;margin-top:81.631088pt;width:446.809pt;height:1.32pt;mso-position-horizontal-relative:page;mso-position-vertical-relative:paragraph;z-index:-15576576;mso-wrap-distance-left:0;mso-wrap-distance-right:0" id="docshape601" filled="true" fillcolor="#4f81bd" stroked="false">
                <v:fill type="solid"/>
                <w10:wrap type="topAndBottom"/>
              </v:rect>
            </w:pict>
          </mc:Fallback>
        </mc:AlternateContent>
      </w:r>
    </w:p>
    <w:p>
      <w:pPr>
        <w:spacing w:line="240" w:lineRule="auto" w:before="69"/>
        <w:rPr>
          <w:sz w:val="20"/>
        </w:rPr>
      </w:pPr>
    </w:p>
    <w:p>
      <w:pPr>
        <w:spacing w:after="0" w:line="240" w:lineRule="auto"/>
        <w:rPr>
          <w:sz w:val="20"/>
        </w:rPr>
        <w:sectPr>
          <w:headerReference w:type="even" r:id="rId106"/>
          <w:headerReference w:type="default" r:id="rId107"/>
          <w:pgSz w:w="11910" w:h="16840"/>
          <w:pgMar w:header="468" w:footer="0" w:top="2080" w:bottom="280" w:left="920" w:right="0"/>
          <w:pgNumType w:start="82"/>
        </w:sectPr>
      </w:pPr>
    </w:p>
    <w:p>
      <w:pPr>
        <w:spacing w:line="240" w:lineRule="auto" w:before="0"/>
        <w:rPr>
          <w:sz w:val="22"/>
        </w:rPr>
      </w:pPr>
    </w:p>
    <w:p>
      <w:pPr>
        <w:spacing w:line="240" w:lineRule="auto" w:before="0"/>
        <w:rPr>
          <w:sz w:val="22"/>
        </w:rPr>
      </w:pPr>
    </w:p>
    <w:p>
      <w:pPr>
        <w:spacing w:line="240" w:lineRule="auto" w:before="183"/>
        <w:rPr>
          <w:sz w:val="22"/>
        </w:rPr>
      </w:pPr>
    </w:p>
    <w:p>
      <w:pPr>
        <w:spacing w:before="0"/>
        <w:ind w:left="251" w:right="0" w:firstLine="0"/>
        <w:jc w:val="left"/>
        <w:rPr>
          <w:sz w:val="22"/>
        </w:rPr>
      </w:pPr>
      <w:r>
        <w:rPr>
          <w:color w:val="0070C0"/>
          <w:sz w:val="22"/>
        </w:rPr>
        <w:t>NOTES</w:t>
      </w:r>
      <w:r>
        <w:rPr>
          <w:color w:val="0070C0"/>
          <w:spacing w:val="-9"/>
          <w:sz w:val="22"/>
        </w:rPr>
        <w:t> </w:t>
      </w:r>
      <w:r>
        <w:rPr>
          <w:color w:val="0070C0"/>
          <w:sz w:val="22"/>
        </w:rPr>
        <w:t>TO</w:t>
      </w:r>
      <w:r>
        <w:rPr>
          <w:color w:val="0070C0"/>
          <w:spacing w:val="-9"/>
          <w:sz w:val="22"/>
        </w:rPr>
        <w:t> </w:t>
      </w:r>
      <w:r>
        <w:rPr>
          <w:color w:val="0070C0"/>
          <w:sz w:val="22"/>
        </w:rPr>
        <w:t>THE</w:t>
      </w:r>
      <w:r>
        <w:rPr>
          <w:color w:val="0070C0"/>
          <w:spacing w:val="-9"/>
          <w:sz w:val="22"/>
        </w:rPr>
        <w:t> </w:t>
      </w:r>
      <w:r>
        <w:rPr>
          <w:color w:val="0070C0"/>
          <w:sz w:val="22"/>
        </w:rPr>
        <w:t>FINANCIAL</w:t>
      </w:r>
      <w:r>
        <w:rPr>
          <w:color w:val="0070C0"/>
          <w:spacing w:val="-9"/>
          <w:sz w:val="22"/>
        </w:rPr>
        <w:t> </w:t>
      </w:r>
      <w:r>
        <w:rPr>
          <w:color w:val="0070C0"/>
          <w:spacing w:val="-2"/>
          <w:sz w:val="22"/>
        </w:rPr>
        <w:t>STATEMENTS</w:t>
      </w:r>
    </w:p>
    <w:p>
      <w:pPr>
        <w:spacing w:before="30"/>
        <w:ind w:left="238" w:right="0" w:firstLine="0"/>
        <w:jc w:val="left"/>
        <w:rPr>
          <w:sz w:val="12"/>
        </w:rPr>
      </w:pPr>
      <w:r>
        <w:rPr>
          <w:sz w:val="12"/>
        </w:rPr>
        <w:t>for</w:t>
      </w:r>
      <w:r>
        <w:rPr>
          <w:spacing w:val="4"/>
          <w:sz w:val="12"/>
        </w:rPr>
        <w:t> </w:t>
      </w:r>
      <w:r>
        <w:rPr>
          <w:sz w:val="12"/>
        </w:rPr>
        <w:t>the</w:t>
      </w:r>
      <w:r>
        <w:rPr>
          <w:spacing w:val="3"/>
          <w:sz w:val="12"/>
        </w:rPr>
        <w:t> </w:t>
      </w:r>
      <w:r>
        <w:rPr>
          <w:sz w:val="12"/>
        </w:rPr>
        <w:t>year</w:t>
      </w:r>
      <w:r>
        <w:rPr>
          <w:spacing w:val="5"/>
          <w:sz w:val="12"/>
        </w:rPr>
        <w:t> </w:t>
      </w:r>
      <w:r>
        <w:rPr>
          <w:sz w:val="12"/>
        </w:rPr>
        <w:t>ended</w:t>
      </w:r>
      <w:r>
        <w:rPr>
          <w:spacing w:val="3"/>
          <w:sz w:val="12"/>
        </w:rPr>
        <w:t> </w:t>
      </w:r>
      <w:r>
        <w:rPr>
          <w:sz w:val="12"/>
        </w:rPr>
        <w:t>31</w:t>
      </w:r>
      <w:r>
        <w:rPr>
          <w:spacing w:val="3"/>
          <w:sz w:val="12"/>
        </w:rPr>
        <w:t> </w:t>
      </w:r>
      <w:r>
        <w:rPr>
          <w:sz w:val="12"/>
        </w:rPr>
        <w:t>December</w:t>
      </w:r>
      <w:r>
        <w:rPr>
          <w:spacing w:val="5"/>
          <w:sz w:val="12"/>
        </w:rPr>
        <w:t> </w:t>
      </w:r>
      <w:r>
        <w:rPr>
          <w:spacing w:val="-4"/>
          <w:sz w:val="12"/>
        </w:rPr>
        <w:t>2020</w:t>
      </w:r>
    </w:p>
    <w:p>
      <w:pPr>
        <w:spacing w:line="240" w:lineRule="auto" w:before="44"/>
        <w:rPr>
          <w:sz w:val="12"/>
        </w:rPr>
      </w:pPr>
    </w:p>
    <w:p>
      <w:pPr>
        <w:pStyle w:val="Heading6"/>
        <w:numPr>
          <w:ilvl w:val="0"/>
          <w:numId w:val="13"/>
        </w:numPr>
        <w:tabs>
          <w:tab w:pos="873" w:val="left" w:leader="none"/>
        </w:tabs>
        <w:spacing w:line="240" w:lineRule="auto" w:before="0" w:after="0"/>
        <w:ind w:left="873" w:right="0" w:hanging="607"/>
        <w:jc w:val="left"/>
        <w:rPr>
          <w:color w:val="0070C0"/>
        </w:rPr>
      </w:pPr>
      <w:r>
        <w:rPr/>
        <mc:AlternateContent>
          <mc:Choice Requires="wps">
            <w:drawing>
              <wp:anchor distT="0" distB="0" distL="0" distR="0" allowOverlap="1" layoutInCell="1" locked="0" behindDoc="1" simplePos="0" relativeHeight="487740416">
                <wp:simplePos x="0" y="0"/>
                <wp:positionH relativeFrom="page">
                  <wp:posOffset>720001</wp:posOffset>
                </wp:positionH>
                <wp:positionV relativeFrom="paragraph">
                  <wp:posOffset>244334</wp:posOffset>
                </wp:positionV>
                <wp:extent cx="5688330" cy="17145"/>
                <wp:effectExtent l="0" t="0" r="0" b="0"/>
                <wp:wrapTopAndBottom/>
                <wp:docPr id="908" name="Graphic 908"/>
                <wp:cNvGraphicFramePr>
                  <a:graphicFrameLocks/>
                </wp:cNvGraphicFramePr>
                <a:graphic>
                  <a:graphicData uri="http://schemas.microsoft.com/office/word/2010/wordprocessingShape">
                    <wps:wsp>
                      <wps:cNvPr id="908" name="Graphic 908"/>
                      <wps:cNvSpPr/>
                      <wps:spPr>
                        <a:xfrm>
                          <a:off x="0" y="0"/>
                          <a:ext cx="5688330" cy="17145"/>
                        </a:xfrm>
                        <a:custGeom>
                          <a:avLst/>
                          <a:gdLst/>
                          <a:ahLst/>
                          <a:cxnLst/>
                          <a:rect l="l" t="t" r="r" b="b"/>
                          <a:pathLst>
                            <a:path w="5688330" h="17145">
                              <a:moveTo>
                                <a:pt x="5688126" y="0"/>
                              </a:moveTo>
                              <a:lnTo>
                                <a:pt x="0" y="0"/>
                              </a:lnTo>
                              <a:lnTo>
                                <a:pt x="0" y="16827"/>
                              </a:lnTo>
                              <a:lnTo>
                                <a:pt x="5688126" y="16827"/>
                              </a:lnTo>
                              <a:lnTo>
                                <a:pt x="5688126"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6.693001pt;margin-top:19.238968pt;width:447.884pt;height:1.325pt;mso-position-horizontal-relative:page;mso-position-vertical-relative:paragraph;z-index:-15576064;mso-wrap-distance-left:0;mso-wrap-distance-right:0" id="docshape602" filled="true" fillcolor="#4f81bd" stroked="false">
                <v:fill type="solid"/>
                <w10:wrap type="topAndBottom"/>
              </v:rect>
            </w:pict>
          </mc:Fallback>
        </mc:AlternateContent>
      </w:r>
      <w:r>
        <w:rPr>
          <w:color w:val="0070C0"/>
        </w:rPr>
        <w:t>Employee</w:t>
      </w:r>
      <w:r>
        <w:rPr>
          <w:color w:val="0070C0"/>
          <w:spacing w:val="25"/>
        </w:rPr>
        <w:t> </w:t>
      </w:r>
      <w:r>
        <w:rPr>
          <w:color w:val="0070C0"/>
          <w:spacing w:val="-2"/>
        </w:rPr>
        <w:t>benefits</w:t>
      </w:r>
    </w:p>
    <w:p>
      <w:pPr>
        <w:spacing w:line="256" w:lineRule="auto" w:before="141"/>
        <w:ind w:left="849" w:right="1344" w:firstLine="0"/>
        <w:jc w:val="left"/>
        <w:rPr>
          <w:sz w:val="15"/>
        </w:rPr>
      </w:pPr>
      <w:r>
        <w:rPr>
          <w:sz w:val="15"/>
        </w:rPr>
        <w:t>This section provides details of the programs the University and its subsidiaries use to recognise and reward employees and university executives, including key management personnel.</w:t>
      </w:r>
    </w:p>
    <w:p>
      <w:pPr>
        <w:pStyle w:val="ListParagraph"/>
        <w:numPr>
          <w:ilvl w:val="0"/>
          <w:numId w:val="21"/>
        </w:numPr>
        <w:tabs>
          <w:tab w:pos="943" w:val="left" w:leader="none"/>
          <w:tab w:pos="5040" w:val="left" w:leader="none"/>
        </w:tabs>
        <w:spacing w:line="240" w:lineRule="auto" w:before="15" w:after="0"/>
        <w:ind w:left="943" w:right="0" w:hanging="94"/>
        <w:jc w:val="left"/>
        <w:rPr>
          <w:sz w:val="15"/>
        </w:rPr>
      </w:pPr>
      <w:r>
        <w:rPr>
          <w:sz w:val="15"/>
        </w:rPr>
        <w:t>3.1</w:t>
      </w:r>
      <w:r>
        <w:rPr>
          <w:spacing w:val="-3"/>
          <w:sz w:val="15"/>
        </w:rPr>
        <w:t> </w:t>
      </w:r>
      <w:r>
        <w:rPr>
          <w:sz w:val="15"/>
        </w:rPr>
        <w:t>Employee-related</w:t>
      </w:r>
      <w:r>
        <w:rPr>
          <w:spacing w:val="-3"/>
          <w:sz w:val="15"/>
        </w:rPr>
        <w:t> </w:t>
      </w:r>
      <w:r>
        <w:rPr>
          <w:spacing w:val="-2"/>
          <w:sz w:val="15"/>
        </w:rPr>
        <w:t>expenses</w:t>
      </w:r>
      <w:r>
        <w:rPr>
          <w:sz w:val="15"/>
        </w:rPr>
        <w:tab/>
        <w:t>•</w:t>
      </w:r>
      <w:r>
        <w:rPr>
          <w:spacing w:val="-1"/>
          <w:sz w:val="15"/>
        </w:rPr>
        <w:t> </w:t>
      </w:r>
      <w:r>
        <w:rPr>
          <w:sz w:val="15"/>
        </w:rPr>
        <w:t>3.3</w:t>
      </w:r>
      <w:r>
        <w:rPr>
          <w:spacing w:val="-1"/>
          <w:sz w:val="15"/>
        </w:rPr>
        <w:t> </w:t>
      </w:r>
      <w:r>
        <w:rPr>
          <w:sz w:val="15"/>
        </w:rPr>
        <w:t>Defined</w:t>
      </w:r>
      <w:r>
        <w:rPr>
          <w:spacing w:val="-1"/>
          <w:sz w:val="15"/>
        </w:rPr>
        <w:t> </w:t>
      </w:r>
      <w:r>
        <w:rPr>
          <w:sz w:val="15"/>
        </w:rPr>
        <w:t>benefit </w:t>
      </w:r>
      <w:r>
        <w:rPr>
          <w:spacing w:val="-4"/>
          <w:sz w:val="15"/>
        </w:rPr>
        <w:t>plan</w:t>
      </w:r>
    </w:p>
    <w:p>
      <w:pPr>
        <w:pStyle w:val="ListParagraph"/>
        <w:numPr>
          <w:ilvl w:val="0"/>
          <w:numId w:val="21"/>
        </w:numPr>
        <w:tabs>
          <w:tab w:pos="943" w:val="left" w:leader="none"/>
          <w:tab w:pos="5040" w:val="left" w:leader="none"/>
        </w:tabs>
        <w:spacing w:line="240" w:lineRule="auto" w:before="15" w:after="0"/>
        <w:ind w:left="943" w:right="0" w:hanging="94"/>
        <w:jc w:val="left"/>
        <w:rPr>
          <w:sz w:val="15"/>
        </w:rPr>
      </w:pPr>
      <w:r>
        <w:rPr>
          <w:sz w:val="15"/>
        </w:rPr>
        <w:t>3.2</w:t>
      </w:r>
      <w:r>
        <w:rPr>
          <w:spacing w:val="-2"/>
          <w:sz w:val="15"/>
        </w:rPr>
        <w:t> </w:t>
      </w:r>
      <w:r>
        <w:rPr>
          <w:sz w:val="15"/>
        </w:rPr>
        <w:t>Employee</w:t>
      </w:r>
      <w:r>
        <w:rPr>
          <w:spacing w:val="-2"/>
          <w:sz w:val="15"/>
        </w:rPr>
        <w:t> </w:t>
      </w:r>
      <w:r>
        <w:rPr>
          <w:sz w:val="15"/>
        </w:rPr>
        <w:t>benefits</w:t>
      </w:r>
      <w:r>
        <w:rPr>
          <w:spacing w:val="-2"/>
          <w:sz w:val="15"/>
        </w:rPr>
        <w:t> provisions</w:t>
      </w:r>
      <w:r>
        <w:rPr>
          <w:sz w:val="15"/>
        </w:rPr>
        <w:tab/>
        <w:t>•</w:t>
      </w:r>
      <w:r>
        <w:rPr>
          <w:spacing w:val="-3"/>
          <w:sz w:val="15"/>
        </w:rPr>
        <w:t> </w:t>
      </w:r>
      <w:r>
        <w:rPr>
          <w:sz w:val="15"/>
        </w:rPr>
        <w:t>3.4 Remuneration of</w:t>
      </w:r>
      <w:r>
        <w:rPr>
          <w:spacing w:val="-1"/>
          <w:sz w:val="15"/>
        </w:rPr>
        <w:t> </w:t>
      </w:r>
      <w:r>
        <w:rPr>
          <w:sz w:val="15"/>
        </w:rPr>
        <w:t>key</w:t>
      </w:r>
      <w:r>
        <w:rPr>
          <w:spacing w:val="-2"/>
          <w:sz w:val="15"/>
        </w:rPr>
        <w:t> </w:t>
      </w:r>
      <w:r>
        <w:rPr>
          <w:sz w:val="15"/>
        </w:rPr>
        <w:t>management </w:t>
      </w:r>
      <w:r>
        <w:rPr>
          <w:spacing w:val="-2"/>
          <w:sz w:val="15"/>
        </w:rPr>
        <w:t>personnel</w:t>
      </w:r>
    </w:p>
    <w:p>
      <w:pPr>
        <w:spacing w:line="240" w:lineRule="auto" w:before="9"/>
        <w:rPr>
          <w:sz w:val="14"/>
        </w:rPr>
      </w:pPr>
      <w:r>
        <w:rPr/>
        <mc:AlternateContent>
          <mc:Choice Requires="wps">
            <w:drawing>
              <wp:anchor distT="0" distB="0" distL="0" distR="0" allowOverlap="1" layoutInCell="1" locked="0" behindDoc="1" simplePos="0" relativeHeight="487740928">
                <wp:simplePos x="0" y="0"/>
                <wp:positionH relativeFrom="page">
                  <wp:posOffset>720001</wp:posOffset>
                </wp:positionH>
                <wp:positionV relativeFrom="paragraph">
                  <wp:posOffset>123234</wp:posOffset>
                </wp:positionV>
                <wp:extent cx="5688330" cy="17145"/>
                <wp:effectExtent l="0" t="0" r="0" b="0"/>
                <wp:wrapTopAndBottom/>
                <wp:docPr id="909" name="Graphic 909"/>
                <wp:cNvGraphicFramePr>
                  <a:graphicFrameLocks/>
                </wp:cNvGraphicFramePr>
                <a:graphic>
                  <a:graphicData uri="http://schemas.microsoft.com/office/word/2010/wordprocessingShape">
                    <wps:wsp>
                      <wps:cNvPr id="909" name="Graphic 909"/>
                      <wps:cNvSpPr/>
                      <wps:spPr>
                        <a:xfrm>
                          <a:off x="0" y="0"/>
                          <a:ext cx="5688330" cy="17145"/>
                        </a:xfrm>
                        <a:custGeom>
                          <a:avLst/>
                          <a:gdLst/>
                          <a:ahLst/>
                          <a:cxnLst/>
                          <a:rect l="l" t="t" r="r" b="b"/>
                          <a:pathLst>
                            <a:path w="5688330" h="17145">
                              <a:moveTo>
                                <a:pt x="5688126" y="0"/>
                              </a:moveTo>
                              <a:lnTo>
                                <a:pt x="0" y="0"/>
                              </a:lnTo>
                              <a:lnTo>
                                <a:pt x="0" y="16814"/>
                              </a:lnTo>
                              <a:lnTo>
                                <a:pt x="5688126" y="16814"/>
                              </a:lnTo>
                              <a:lnTo>
                                <a:pt x="5688126"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6.693001pt;margin-top:9.703532pt;width:447.884pt;height:1.324pt;mso-position-horizontal-relative:page;mso-position-vertical-relative:paragraph;z-index:-15575552;mso-wrap-distance-left:0;mso-wrap-distance-right:0" id="docshape603" filled="true" fillcolor="#4f81bd" stroked="false">
                <v:fill type="solid"/>
                <w10:wrap type="topAndBottom"/>
              </v:rect>
            </w:pict>
          </mc:Fallback>
        </mc:AlternateContent>
      </w:r>
    </w:p>
    <w:p>
      <w:pPr>
        <w:pStyle w:val="ListParagraph"/>
        <w:numPr>
          <w:ilvl w:val="1"/>
          <w:numId w:val="13"/>
        </w:numPr>
        <w:tabs>
          <w:tab w:pos="851" w:val="left" w:leader="none"/>
          <w:tab w:pos="5995" w:val="left" w:leader="none"/>
          <w:tab w:pos="7931" w:val="left" w:leader="none"/>
        </w:tabs>
        <w:spacing w:line="240" w:lineRule="auto" w:before="161" w:after="0"/>
        <w:ind w:left="851" w:right="0" w:hanging="607"/>
        <w:jc w:val="left"/>
        <w:rPr>
          <w:b/>
          <w:color w:val="0070C0"/>
          <w:sz w:val="16"/>
        </w:rPr>
      </w:pPr>
      <w:r>
        <w:rPr>
          <w:b/>
          <w:color w:val="0070C0"/>
          <w:sz w:val="16"/>
        </w:rPr>
        <w:t>Employee</w:t>
      </w:r>
      <w:r>
        <w:rPr>
          <w:b/>
          <w:color w:val="0070C0"/>
          <w:spacing w:val="6"/>
          <w:sz w:val="16"/>
        </w:rPr>
        <w:t> </w:t>
      </w:r>
      <w:r>
        <w:rPr>
          <w:b/>
          <w:color w:val="0070C0"/>
          <w:sz w:val="16"/>
        </w:rPr>
        <w:t>related</w:t>
      </w:r>
      <w:r>
        <w:rPr>
          <w:b/>
          <w:color w:val="0070C0"/>
          <w:spacing w:val="7"/>
          <w:sz w:val="16"/>
        </w:rPr>
        <w:t> </w:t>
      </w:r>
      <w:r>
        <w:rPr>
          <w:b/>
          <w:color w:val="0070C0"/>
          <w:spacing w:val="-2"/>
          <w:sz w:val="16"/>
        </w:rPr>
        <w:t>expenses</w:t>
      </w:r>
      <w:r>
        <w:rPr>
          <w:b/>
          <w:color w:val="0070C0"/>
          <w:sz w:val="16"/>
        </w:rPr>
        <w:tab/>
      </w:r>
      <w:r>
        <w:rPr>
          <w:b/>
          <w:spacing w:val="-2"/>
          <w:sz w:val="13"/>
        </w:rPr>
        <w:t>Consolidated</w:t>
      </w:r>
      <w:r>
        <w:rPr>
          <w:b/>
          <w:sz w:val="13"/>
        </w:rPr>
        <w:tab/>
      </w:r>
      <w:r>
        <w:rPr>
          <w:b/>
          <w:spacing w:val="-2"/>
          <w:sz w:val="13"/>
        </w:rPr>
        <w:t>University</w:t>
      </w:r>
    </w:p>
    <w:tbl>
      <w:tblPr>
        <w:tblW w:w="0" w:type="auto"/>
        <w:jc w:val="left"/>
        <w:tblInd w:w="8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709"/>
        <w:gridCol w:w="1051"/>
        <w:gridCol w:w="917"/>
        <w:gridCol w:w="915"/>
        <w:gridCol w:w="782"/>
      </w:tblGrid>
      <w:tr>
        <w:trPr>
          <w:trHeight w:val="384" w:hRule="atLeast"/>
        </w:trPr>
        <w:tc>
          <w:tcPr>
            <w:tcW w:w="4709" w:type="dxa"/>
          </w:tcPr>
          <w:p>
            <w:pPr>
              <w:pStyle w:val="TableParagraph"/>
              <w:rPr>
                <w:rFonts w:ascii="Times New Roman"/>
                <w:sz w:val="14"/>
              </w:rPr>
            </w:pPr>
          </w:p>
        </w:tc>
        <w:tc>
          <w:tcPr>
            <w:tcW w:w="1051" w:type="dxa"/>
            <w:tcBorders>
              <w:bottom w:val="single" w:sz="6" w:space="0" w:color="000000"/>
            </w:tcBorders>
          </w:tcPr>
          <w:p>
            <w:pPr>
              <w:pStyle w:val="TableParagraph"/>
              <w:spacing w:before="16"/>
              <w:ind w:left="313"/>
              <w:rPr>
                <w:b/>
                <w:sz w:val="13"/>
              </w:rPr>
            </w:pPr>
            <w:r>
              <w:rPr>
                <w:b/>
                <w:spacing w:val="-4"/>
                <w:w w:val="105"/>
                <w:sz w:val="13"/>
              </w:rPr>
              <w:t>2020</w:t>
            </w:r>
          </w:p>
          <w:p>
            <w:pPr>
              <w:pStyle w:val="TableParagraph"/>
              <w:spacing w:before="29"/>
              <w:ind w:left="297"/>
              <w:rPr>
                <w:b/>
                <w:sz w:val="13"/>
              </w:rPr>
            </w:pPr>
            <w:r>
              <w:rPr>
                <w:b/>
                <w:spacing w:val="-2"/>
                <w:w w:val="105"/>
                <w:sz w:val="13"/>
              </w:rPr>
              <w:t>$'000</w:t>
            </w:r>
          </w:p>
        </w:tc>
        <w:tc>
          <w:tcPr>
            <w:tcW w:w="917" w:type="dxa"/>
            <w:tcBorders>
              <w:bottom w:val="single" w:sz="6" w:space="0" w:color="000000"/>
            </w:tcBorders>
          </w:tcPr>
          <w:p>
            <w:pPr>
              <w:pStyle w:val="TableParagraph"/>
              <w:spacing w:before="16"/>
              <w:ind w:left="177"/>
              <w:rPr>
                <w:b/>
                <w:sz w:val="13"/>
              </w:rPr>
            </w:pPr>
            <w:r>
              <w:rPr>
                <w:b/>
                <w:spacing w:val="-4"/>
                <w:w w:val="105"/>
                <w:sz w:val="13"/>
              </w:rPr>
              <w:t>2019</w:t>
            </w:r>
          </w:p>
          <w:p>
            <w:pPr>
              <w:pStyle w:val="TableParagraph"/>
              <w:spacing w:before="29"/>
              <w:ind w:left="162"/>
              <w:rPr>
                <w:b/>
                <w:sz w:val="13"/>
              </w:rPr>
            </w:pPr>
            <w:r>
              <w:rPr>
                <w:b/>
                <w:spacing w:val="-2"/>
                <w:w w:val="105"/>
                <w:sz w:val="13"/>
              </w:rPr>
              <w:t>$'000</w:t>
            </w:r>
          </w:p>
        </w:tc>
        <w:tc>
          <w:tcPr>
            <w:tcW w:w="915" w:type="dxa"/>
            <w:tcBorders>
              <w:bottom w:val="single" w:sz="6" w:space="0" w:color="000000"/>
            </w:tcBorders>
          </w:tcPr>
          <w:p>
            <w:pPr>
              <w:pStyle w:val="TableParagraph"/>
              <w:spacing w:before="16"/>
              <w:ind w:left="176"/>
              <w:rPr>
                <w:b/>
                <w:sz w:val="13"/>
              </w:rPr>
            </w:pPr>
            <w:r>
              <w:rPr>
                <w:b/>
                <w:spacing w:val="-4"/>
                <w:w w:val="105"/>
                <w:sz w:val="13"/>
              </w:rPr>
              <w:t>2020</w:t>
            </w:r>
          </w:p>
          <w:p>
            <w:pPr>
              <w:pStyle w:val="TableParagraph"/>
              <w:spacing w:before="29"/>
              <w:ind w:left="161"/>
              <w:rPr>
                <w:b/>
                <w:sz w:val="13"/>
              </w:rPr>
            </w:pPr>
            <w:r>
              <w:rPr>
                <w:b/>
                <w:spacing w:val="-2"/>
                <w:w w:val="105"/>
                <w:sz w:val="13"/>
              </w:rPr>
              <w:t>$'000</w:t>
            </w:r>
          </w:p>
        </w:tc>
        <w:tc>
          <w:tcPr>
            <w:tcW w:w="782" w:type="dxa"/>
            <w:tcBorders>
              <w:bottom w:val="single" w:sz="6" w:space="0" w:color="000000"/>
            </w:tcBorders>
          </w:tcPr>
          <w:p>
            <w:pPr>
              <w:pStyle w:val="TableParagraph"/>
              <w:spacing w:before="16"/>
              <w:ind w:left="177"/>
              <w:rPr>
                <w:b/>
                <w:sz w:val="13"/>
              </w:rPr>
            </w:pPr>
            <w:r>
              <w:rPr>
                <w:b/>
                <w:spacing w:val="-4"/>
                <w:w w:val="105"/>
                <w:sz w:val="13"/>
              </w:rPr>
              <w:t>2019</w:t>
            </w:r>
          </w:p>
          <w:p>
            <w:pPr>
              <w:pStyle w:val="TableParagraph"/>
              <w:spacing w:before="29"/>
              <w:ind w:left="162"/>
              <w:rPr>
                <w:b/>
                <w:sz w:val="13"/>
              </w:rPr>
            </w:pPr>
            <w:r>
              <w:rPr>
                <w:b/>
                <w:spacing w:val="-2"/>
                <w:w w:val="105"/>
                <w:sz w:val="13"/>
              </w:rPr>
              <w:t>$'000</w:t>
            </w:r>
          </w:p>
        </w:tc>
      </w:tr>
      <w:tr>
        <w:trPr>
          <w:trHeight w:val="163" w:hRule="atLeast"/>
        </w:trPr>
        <w:tc>
          <w:tcPr>
            <w:tcW w:w="4709" w:type="dxa"/>
          </w:tcPr>
          <w:p>
            <w:pPr>
              <w:pStyle w:val="TableParagraph"/>
              <w:spacing w:line="117" w:lineRule="exact"/>
              <w:ind w:left="50"/>
              <w:rPr>
                <w:b/>
                <w:sz w:val="13"/>
              </w:rPr>
            </w:pPr>
            <w:r>
              <w:rPr>
                <w:b/>
                <w:spacing w:val="-2"/>
                <w:w w:val="105"/>
                <w:sz w:val="13"/>
              </w:rPr>
              <w:t>Academic</w:t>
            </w:r>
          </w:p>
        </w:tc>
        <w:tc>
          <w:tcPr>
            <w:tcW w:w="1051" w:type="dxa"/>
            <w:tcBorders>
              <w:top w:val="single" w:sz="6" w:space="0" w:color="000000"/>
            </w:tcBorders>
          </w:tcPr>
          <w:p>
            <w:pPr>
              <w:pStyle w:val="TableParagraph"/>
              <w:rPr>
                <w:rFonts w:ascii="Times New Roman"/>
                <w:sz w:val="10"/>
              </w:rPr>
            </w:pPr>
          </w:p>
        </w:tc>
        <w:tc>
          <w:tcPr>
            <w:tcW w:w="917" w:type="dxa"/>
            <w:tcBorders>
              <w:top w:val="single" w:sz="6" w:space="0" w:color="000000"/>
            </w:tcBorders>
          </w:tcPr>
          <w:p>
            <w:pPr>
              <w:pStyle w:val="TableParagraph"/>
              <w:rPr>
                <w:rFonts w:ascii="Times New Roman"/>
                <w:sz w:val="10"/>
              </w:rPr>
            </w:pPr>
          </w:p>
        </w:tc>
        <w:tc>
          <w:tcPr>
            <w:tcW w:w="915" w:type="dxa"/>
            <w:tcBorders>
              <w:top w:val="single" w:sz="6" w:space="0" w:color="000000"/>
            </w:tcBorders>
          </w:tcPr>
          <w:p>
            <w:pPr>
              <w:pStyle w:val="TableParagraph"/>
              <w:rPr>
                <w:rFonts w:ascii="Times New Roman"/>
                <w:sz w:val="10"/>
              </w:rPr>
            </w:pPr>
          </w:p>
        </w:tc>
        <w:tc>
          <w:tcPr>
            <w:tcW w:w="782" w:type="dxa"/>
            <w:tcBorders>
              <w:top w:val="single" w:sz="6" w:space="0" w:color="000000"/>
            </w:tcBorders>
          </w:tcPr>
          <w:p>
            <w:pPr>
              <w:pStyle w:val="TableParagraph"/>
              <w:rPr>
                <w:rFonts w:ascii="Times New Roman"/>
                <w:sz w:val="10"/>
              </w:rPr>
            </w:pPr>
          </w:p>
        </w:tc>
      </w:tr>
      <w:tr>
        <w:trPr>
          <w:trHeight w:val="172" w:hRule="atLeast"/>
        </w:trPr>
        <w:tc>
          <w:tcPr>
            <w:tcW w:w="4709" w:type="dxa"/>
          </w:tcPr>
          <w:p>
            <w:pPr>
              <w:pStyle w:val="TableParagraph"/>
              <w:spacing w:line="126" w:lineRule="exact"/>
              <w:ind w:left="50"/>
              <w:rPr>
                <w:sz w:val="13"/>
              </w:rPr>
            </w:pPr>
            <w:r>
              <w:rPr>
                <w:spacing w:val="-2"/>
                <w:w w:val="105"/>
                <w:sz w:val="13"/>
              </w:rPr>
              <w:t>Salaries</w:t>
            </w:r>
          </w:p>
        </w:tc>
        <w:tc>
          <w:tcPr>
            <w:tcW w:w="1051" w:type="dxa"/>
          </w:tcPr>
          <w:p>
            <w:pPr>
              <w:pStyle w:val="TableParagraph"/>
              <w:spacing w:line="126" w:lineRule="exact"/>
              <w:ind w:right="206"/>
              <w:jc w:val="right"/>
              <w:rPr>
                <w:sz w:val="13"/>
              </w:rPr>
            </w:pPr>
            <w:r>
              <w:rPr>
                <w:spacing w:val="-2"/>
                <w:w w:val="105"/>
                <w:sz w:val="13"/>
              </w:rPr>
              <w:t>228,214</w:t>
            </w:r>
          </w:p>
        </w:tc>
        <w:tc>
          <w:tcPr>
            <w:tcW w:w="917" w:type="dxa"/>
          </w:tcPr>
          <w:p>
            <w:pPr>
              <w:pStyle w:val="TableParagraph"/>
              <w:spacing w:line="126" w:lineRule="exact"/>
              <w:ind w:right="207"/>
              <w:jc w:val="right"/>
              <w:rPr>
                <w:sz w:val="13"/>
              </w:rPr>
            </w:pPr>
            <w:r>
              <w:rPr>
                <w:spacing w:val="-2"/>
                <w:w w:val="105"/>
                <w:sz w:val="13"/>
              </w:rPr>
              <w:t>225,879</w:t>
            </w:r>
          </w:p>
        </w:tc>
        <w:tc>
          <w:tcPr>
            <w:tcW w:w="915" w:type="dxa"/>
          </w:tcPr>
          <w:p>
            <w:pPr>
              <w:pStyle w:val="TableParagraph"/>
              <w:spacing w:line="126" w:lineRule="exact"/>
              <w:ind w:right="206"/>
              <w:jc w:val="right"/>
              <w:rPr>
                <w:sz w:val="13"/>
              </w:rPr>
            </w:pPr>
            <w:r>
              <w:rPr>
                <w:spacing w:val="-2"/>
                <w:w w:val="105"/>
                <w:sz w:val="13"/>
              </w:rPr>
              <w:t>228,214</w:t>
            </w:r>
          </w:p>
        </w:tc>
        <w:tc>
          <w:tcPr>
            <w:tcW w:w="782" w:type="dxa"/>
          </w:tcPr>
          <w:p>
            <w:pPr>
              <w:pStyle w:val="TableParagraph"/>
              <w:spacing w:line="126" w:lineRule="exact"/>
              <w:ind w:right="72"/>
              <w:jc w:val="right"/>
              <w:rPr>
                <w:sz w:val="13"/>
              </w:rPr>
            </w:pPr>
            <w:r>
              <w:rPr>
                <w:spacing w:val="-2"/>
                <w:w w:val="105"/>
                <w:sz w:val="13"/>
              </w:rPr>
              <w:t>225,879</w:t>
            </w:r>
          </w:p>
        </w:tc>
      </w:tr>
      <w:tr>
        <w:trPr>
          <w:trHeight w:val="172" w:hRule="atLeast"/>
        </w:trPr>
        <w:tc>
          <w:tcPr>
            <w:tcW w:w="4709" w:type="dxa"/>
          </w:tcPr>
          <w:p>
            <w:pPr>
              <w:pStyle w:val="TableParagraph"/>
              <w:spacing w:line="126" w:lineRule="exact"/>
              <w:ind w:left="50"/>
              <w:rPr>
                <w:sz w:val="13"/>
              </w:rPr>
            </w:pPr>
            <w:r>
              <w:rPr>
                <w:spacing w:val="-2"/>
                <w:w w:val="105"/>
                <w:sz w:val="13"/>
              </w:rPr>
              <w:t>Contributions</w:t>
            </w:r>
            <w:r>
              <w:rPr>
                <w:spacing w:val="5"/>
                <w:w w:val="105"/>
                <w:sz w:val="13"/>
              </w:rPr>
              <w:t> </w:t>
            </w:r>
            <w:r>
              <w:rPr>
                <w:spacing w:val="-2"/>
                <w:w w:val="105"/>
                <w:sz w:val="13"/>
              </w:rPr>
              <w:t>to</w:t>
            </w:r>
            <w:r>
              <w:rPr>
                <w:spacing w:val="5"/>
                <w:w w:val="105"/>
                <w:sz w:val="13"/>
              </w:rPr>
              <w:t> </w:t>
            </w:r>
            <w:r>
              <w:rPr>
                <w:spacing w:val="-2"/>
                <w:w w:val="105"/>
                <w:sz w:val="13"/>
              </w:rPr>
              <w:t>superannuation</w:t>
            </w:r>
            <w:r>
              <w:rPr>
                <w:spacing w:val="4"/>
                <w:w w:val="105"/>
                <w:sz w:val="13"/>
              </w:rPr>
              <w:t> </w:t>
            </w:r>
            <w:r>
              <w:rPr>
                <w:spacing w:val="-2"/>
                <w:w w:val="105"/>
                <w:sz w:val="13"/>
              </w:rPr>
              <w:t>and</w:t>
            </w:r>
            <w:r>
              <w:rPr>
                <w:spacing w:val="5"/>
                <w:w w:val="105"/>
                <w:sz w:val="13"/>
              </w:rPr>
              <w:t> </w:t>
            </w:r>
            <w:r>
              <w:rPr>
                <w:spacing w:val="-2"/>
                <w:w w:val="105"/>
                <w:sz w:val="13"/>
              </w:rPr>
              <w:t>pension</w:t>
            </w:r>
            <w:r>
              <w:rPr>
                <w:spacing w:val="4"/>
                <w:w w:val="105"/>
                <w:sz w:val="13"/>
              </w:rPr>
              <w:t> </w:t>
            </w:r>
            <w:r>
              <w:rPr>
                <w:spacing w:val="-2"/>
                <w:w w:val="105"/>
                <w:sz w:val="13"/>
              </w:rPr>
              <w:t>schemes</w:t>
            </w:r>
          </w:p>
        </w:tc>
        <w:tc>
          <w:tcPr>
            <w:tcW w:w="1051" w:type="dxa"/>
          </w:tcPr>
          <w:p>
            <w:pPr>
              <w:pStyle w:val="TableParagraph"/>
              <w:spacing w:line="126" w:lineRule="exact"/>
              <w:ind w:right="206"/>
              <w:jc w:val="right"/>
              <w:rPr>
                <w:sz w:val="13"/>
              </w:rPr>
            </w:pPr>
            <w:r>
              <w:rPr>
                <w:spacing w:val="-2"/>
                <w:w w:val="105"/>
                <w:sz w:val="13"/>
              </w:rPr>
              <w:t>40,385</w:t>
            </w:r>
          </w:p>
        </w:tc>
        <w:tc>
          <w:tcPr>
            <w:tcW w:w="917" w:type="dxa"/>
          </w:tcPr>
          <w:p>
            <w:pPr>
              <w:pStyle w:val="TableParagraph"/>
              <w:spacing w:line="126" w:lineRule="exact"/>
              <w:ind w:right="207"/>
              <w:jc w:val="right"/>
              <w:rPr>
                <w:sz w:val="13"/>
              </w:rPr>
            </w:pPr>
            <w:r>
              <w:rPr>
                <w:spacing w:val="-2"/>
                <w:w w:val="105"/>
                <w:sz w:val="13"/>
              </w:rPr>
              <w:t>36,211</w:t>
            </w:r>
          </w:p>
        </w:tc>
        <w:tc>
          <w:tcPr>
            <w:tcW w:w="915" w:type="dxa"/>
          </w:tcPr>
          <w:p>
            <w:pPr>
              <w:pStyle w:val="TableParagraph"/>
              <w:spacing w:line="126" w:lineRule="exact"/>
              <w:ind w:right="206"/>
              <w:jc w:val="right"/>
              <w:rPr>
                <w:sz w:val="13"/>
              </w:rPr>
            </w:pPr>
            <w:r>
              <w:rPr>
                <w:spacing w:val="-2"/>
                <w:w w:val="105"/>
                <w:sz w:val="13"/>
              </w:rPr>
              <w:t>40,385</w:t>
            </w:r>
          </w:p>
        </w:tc>
        <w:tc>
          <w:tcPr>
            <w:tcW w:w="782" w:type="dxa"/>
          </w:tcPr>
          <w:p>
            <w:pPr>
              <w:pStyle w:val="TableParagraph"/>
              <w:spacing w:line="126" w:lineRule="exact"/>
              <w:ind w:right="72"/>
              <w:jc w:val="right"/>
              <w:rPr>
                <w:sz w:val="13"/>
              </w:rPr>
            </w:pPr>
            <w:r>
              <w:rPr>
                <w:spacing w:val="-2"/>
                <w:w w:val="105"/>
                <w:sz w:val="13"/>
              </w:rPr>
              <w:t>36,211</w:t>
            </w:r>
          </w:p>
        </w:tc>
      </w:tr>
      <w:tr>
        <w:trPr>
          <w:trHeight w:val="172" w:hRule="atLeast"/>
        </w:trPr>
        <w:tc>
          <w:tcPr>
            <w:tcW w:w="4709" w:type="dxa"/>
          </w:tcPr>
          <w:p>
            <w:pPr>
              <w:pStyle w:val="TableParagraph"/>
              <w:spacing w:line="126" w:lineRule="exact"/>
              <w:ind w:left="50"/>
              <w:rPr>
                <w:sz w:val="13"/>
              </w:rPr>
            </w:pPr>
            <w:r>
              <w:rPr>
                <w:spacing w:val="-2"/>
                <w:w w:val="105"/>
                <w:sz w:val="13"/>
              </w:rPr>
              <w:t>Payroll</w:t>
            </w:r>
            <w:r>
              <w:rPr>
                <w:spacing w:val="3"/>
                <w:w w:val="105"/>
                <w:sz w:val="13"/>
              </w:rPr>
              <w:t> </w:t>
            </w:r>
            <w:r>
              <w:rPr>
                <w:spacing w:val="-5"/>
                <w:w w:val="105"/>
                <w:sz w:val="13"/>
              </w:rPr>
              <w:t>tax</w:t>
            </w:r>
          </w:p>
        </w:tc>
        <w:tc>
          <w:tcPr>
            <w:tcW w:w="1051" w:type="dxa"/>
          </w:tcPr>
          <w:p>
            <w:pPr>
              <w:pStyle w:val="TableParagraph"/>
              <w:spacing w:line="126" w:lineRule="exact"/>
              <w:ind w:right="205"/>
              <w:jc w:val="right"/>
              <w:rPr>
                <w:sz w:val="13"/>
              </w:rPr>
            </w:pPr>
            <w:r>
              <w:rPr>
                <w:spacing w:val="-2"/>
                <w:w w:val="105"/>
                <w:sz w:val="13"/>
              </w:rPr>
              <w:t>15,542</w:t>
            </w:r>
          </w:p>
        </w:tc>
        <w:tc>
          <w:tcPr>
            <w:tcW w:w="917" w:type="dxa"/>
          </w:tcPr>
          <w:p>
            <w:pPr>
              <w:pStyle w:val="TableParagraph"/>
              <w:spacing w:line="126" w:lineRule="exact"/>
              <w:ind w:right="207"/>
              <w:jc w:val="right"/>
              <w:rPr>
                <w:sz w:val="13"/>
              </w:rPr>
            </w:pPr>
            <w:r>
              <w:rPr>
                <w:spacing w:val="-2"/>
                <w:w w:val="105"/>
                <w:sz w:val="13"/>
              </w:rPr>
              <w:t>14,821</w:t>
            </w:r>
          </w:p>
        </w:tc>
        <w:tc>
          <w:tcPr>
            <w:tcW w:w="915" w:type="dxa"/>
          </w:tcPr>
          <w:p>
            <w:pPr>
              <w:pStyle w:val="TableParagraph"/>
              <w:spacing w:line="126" w:lineRule="exact"/>
              <w:ind w:right="206"/>
              <w:jc w:val="right"/>
              <w:rPr>
                <w:sz w:val="13"/>
              </w:rPr>
            </w:pPr>
            <w:r>
              <w:rPr>
                <w:spacing w:val="-2"/>
                <w:w w:val="105"/>
                <w:sz w:val="13"/>
              </w:rPr>
              <w:t>15,542</w:t>
            </w:r>
          </w:p>
        </w:tc>
        <w:tc>
          <w:tcPr>
            <w:tcW w:w="782" w:type="dxa"/>
          </w:tcPr>
          <w:p>
            <w:pPr>
              <w:pStyle w:val="TableParagraph"/>
              <w:spacing w:line="126" w:lineRule="exact"/>
              <w:ind w:right="72"/>
              <w:jc w:val="right"/>
              <w:rPr>
                <w:sz w:val="13"/>
              </w:rPr>
            </w:pPr>
            <w:r>
              <w:rPr>
                <w:spacing w:val="-2"/>
                <w:w w:val="105"/>
                <w:sz w:val="13"/>
              </w:rPr>
              <w:t>14,821</w:t>
            </w:r>
          </w:p>
        </w:tc>
      </w:tr>
      <w:tr>
        <w:trPr>
          <w:trHeight w:val="172" w:hRule="atLeast"/>
        </w:trPr>
        <w:tc>
          <w:tcPr>
            <w:tcW w:w="4709" w:type="dxa"/>
          </w:tcPr>
          <w:p>
            <w:pPr>
              <w:pStyle w:val="TableParagraph"/>
              <w:spacing w:line="126" w:lineRule="exact"/>
              <w:ind w:left="50"/>
              <w:rPr>
                <w:sz w:val="13"/>
              </w:rPr>
            </w:pPr>
            <w:r>
              <w:rPr>
                <w:w w:val="105"/>
                <w:sz w:val="13"/>
              </w:rPr>
              <w:t>Workers'</w:t>
            </w:r>
            <w:r>
              <w:rPr>
                <w:spacing w:val="4"/>
                <w:w w:val="105"/>
                <w:sz w:val="13"/>
              </w:rPr>
              <w:t> </w:t>
            </w:r>
            <w:r>
              <w:rPr>
                <w:spacing w:val="-2"/>
                <w:w w:val="105"/>
                <w:sz w:val="13"/>
              </w:rPr>
              <w:t>compensation</w:t>
            </w:r>
          </w:p>
        </w:tc>
        <w:tc>
          <w:tcPr>
            <w:tcW w:w="1051" w:type="dxa"/>
          </w:tcPr>
          <w:p>
            <w:pPr>
              <w:pStyle w:val="TableParagraph"/>
              <w:spacing w:line="126" w:lineRule="exact"/>
              <w:ind w:right="205"/>
              <w:jc w:val="right"/>
              <w:rPr>
                <w:sz w:val="13"/>
              </w:rPr>
            </w:pPr>
            <w:r>
              <w:rPr>
                <w:spacing w:val="-5"/>
                <w:w w:val="105"/>
                <w:sz w:val="13"/>
              </w:rPr>
              <w:t>496</w:t>
            </w:r>
          </w:p>
        </w:tc>
        <w:tc>
          <w:tcPr>
            <w:tcW w:w="917" w:type="dxa"/>
          </w:tcPr>
          <w:p>
            <w:pPr>
              <w:pStyle w:val="TableParagraph"/>
              <w:spacing w:line="126" w:lineRule="exact"/>
              <w:ind w:right="206"/>
              <w:jc w:val="right"/>
              <w:rPr>
                <w:sz w:val="13"/>
              </w:rPr>
            </w:pPr>
            <w:r>
              <w:rPr>
                <w:spacing w:val="-5"/>
                <w:w w:val="105"/>
                <w:sz w:val="13"/>
              </w:rPr>
              <w:t>713</w:t>
            </w:r>
          </w:p>
        </w:tc>
        <w:tc>
          <w:tcPr>
            <w:tcW w:w="915" w:type="dxa"/>
          </w:tcPr>
          <w:p>
            <w:pPr>
              <w:pStyle w:val="TableParagraph"/>
              <w:spacing w:line="126" w:lineRule="exact"/>
              <w:ind w:right="205"/>
              <w:jc w:val="right"/>
              <w:rPr>
                <w:sz w:val="13"/>
              </w:rPr>
            </w:pPr>
            <w:r>
              <w:rPr>
                <w:spacing w:val="-5"/>
                <w:w w:val="105"/>
                <w:sz w:val="13"/>
              </w:rPr>
              <w:t>496</w:t>
            </w:r>
          </w:p>
        </w:tc>
        <w:tc>
          <w:tcPr>
            <w:tcW w:w="782" w:type="dxa"/>
          </w:tcPr>
          <w:p>
            <w:pPr>
              <w:pStyle w:val="TableParagraph"/>
              <w:spacing w:line="126" w:lineRule="exact"/>
              <w:ind w:right="71"/>
              <w:jc w:val="right"/>
              <w:rPr>
                <w:sz w:val="13"/>
              </w:rPr>
            </w:pPr>
            <w:r>
              <w:rPr>
                <w:spacing w:val="-5"/>
                <w:w w:val="105"/>
                <w:sz w:val="13"/>
              </w:rPr>
              <w:t>713</w:t>
            </w:r>
          </w:p>
        </w:tc>
      </w:tr>
      <w:tr>
        <w:trPr>
          <w:trHeight w:val="172" w:hRule="atLeast"/>
        </w:trPr>
        <w:tc>
          <w:tcPr>
            <w:tcW w:w="4709" w:type="dxa"/>
          </w:tcPr>
          <w:p>
            <w:pPr>
              <w:pStyle w:val="TableParagraph"/>
              <w:spacing w:line="126" w:lineRule="exact"/>
              <w:ind w:left="50"/>
              <w:rPr>
                <w:sz w:val="13"/>
              </w:rPr>
            </w:pPr>
            <w:r>
              <w:rPr>
                <w:w w:val="105"/>
                <w:sz w:val="13"/>
              </w:rPr>
              <w:t>Long</w:t>
            </w:r>
            <w:r>
              <w:rPr>
                <w:spacing w:val="-7"/>
                <w:w w:val="105"/>
                <w:sz w:val="13"/>
              </w:rPr>
              <w:t> </w:t>
            </w:r>
            <w:r>
              <w:rPr>
                <w:w w:val="105"/>
                <w:sz w:val="13"/>
              </w:rPr>
              <w:t>service</w:t>
            </w:r>
            <w:r>
              <w:rPr>
                <w:spacing w:val="-6"/>
                <w:w w:val="105"/>
                <w:sz w:val="13"/>
              </w:rPr>
              <w:t> </w:t>
            </w:r>
            <w:r>
              <w:rPr>
                <w:w w:val="105"/>
                <w:sz w:val="13"/>
              </w:rPr>
              <w:t>leave</w:t>
            </w:r>
            <w:r>
              <w:rPr>
                <w:spacing w:val="-6"/>
                <w:w w:val="105"/>
                <w:sz w:val="13"/>
              </w:rPr>
              <w:t> </w:t>
            </w:r>
            <w:r>
              <w:rPr>
                <w:spacing w:val="-2"/>
                <w:w w:val="105"/>
                <w:sz w:val="13"/>
              </w:rPr>
              <w:t>expense</w:t>
            </w:r>
          </w:p>
        </w:tc>
        <w:tc>
          <w:tcPr>
            <w:tcW w:w="1051" w:type="dxa"/>
          </w:tcPr>
          <w:p>
            <w:pPr>
              <w:pStyle w:val="TableParagraph"/>
              <w:spacing w:line="126" w:lineRule="exact"/>
              <w:ind w:right="205"/>
              <w:jc w:val="right"/>
              <w:rPr>
                <w:sz w:val="13"/>
              </w:rPr>
            </w:pPr>
            <w:r>
              <w:rPr>
                <w:spacing w:val="-2"/>
                <w:w w:val="105"/>
                <w:sz w:val="13"/>
              </w:rPr>
              <w:t>2,632</w:t>
            </w:r>
          </w:p>
        </w:tc>
        <w:tc>
          <w:tcPr>
            <w:tcW w:w="917" w:type="dxa"/>
          </w:tcPr>
          <w:p>
            <w:pPr>
              <w:pStyle w:val="TableParagraph"/>
              <w:spacing w:line="126" w:lineRule="exact"/>
              <w:ind w:right="206"/>
              <w:jc w:val="right"/>
              <w:rPr>
                <w:sz w:val="13"/>
              </w:rPr>
            </w:pPr>
            <w:r>
              <w:rPr>
                <w:spacing w:val="-2"/>
                <w:w w:val="105"/>
                <w:sz w:val="13"/>
              </w:rPr>
              <w:t>2,055</w:t>
            </w:r>
          </w:p>
        </w:tc>
        <w:tc>
          <w:tcPr>
            <w:tcW w:w="915" w:type="dxa"/>
          </w:tcPr>
          <w:p>
            <w:pPr>
              <w:pStyle w:val="TableParagraph"/>
              <w:spacing w:line="126" w:lineRule="exact"/>
              <w:ind w:right="205"/>
              <w:jc w:val="right"/>
              <w:rPr>
                <w:sz w:val="13"/>
              </w:rPr>
            </w:pPr>
            <w:r>
              <w:rPr>
                <w:spacing w:val="-2"/>
                <w:w w:val="105"/>
                <w:sz w:val="13"/>
              </w:rPr>
              <w:t>2,632</w:t>
            </w:r>
          </w:p>
        </w:tc>
        <w:tc>
          <w:tcPr>
            <w:tcW w:w="782" w:type="dxa"/>
          </w:tcPr>
          <w:p>
            <w:pPr>
              <w:pStyle w:val="TableParagraph"/>
              <w:spacing w:line="126" w:lineRule="exact"/>
              <w:ind w:right="71"/>
              <w:jc w:val="right"/>
              <w:rPr>
                <w:sz w:val="13"/>
              </w:rPr>
            </w:pPr>
            <w:r>
              <w:rPr>
                <w:spacing w:val="-2"/>
                <w:w w:val="105"/>
                <w:sz w:val="13"/>
              </w:rPr>
              <w:t>2,055</w:t>
            </w:r>
          </w:p>
        </w:tc>
      </w:tr>
      <w:tr>
        <w:trPr>
          <w:trHeight w:val="172" w:hRule="atLeast"/>
        </w:trPr>
        <w:tc>
          <w:tcPr>
            <w:tcW w:w="4709" w:type="dxa"/>
          </w:tcPr>
          <w:p>
            <w:pPr>
              <w:pStyle w:val="TableParagraph"/>
              <w:spacing w:line="126" w:lineRule="exact"/>
              <w:ind w:left="51"/>
              <w:rPr>
                <w:sz w:val="13"/>
              </w:rPr>
            </w:pPr>
            <w:r>
              <w:rPr>
                <w:w w:val="105"/>
                <w:sz w:val="13"/>
              </w:rPr>
              <w:t>Annual</w:t>
            </w:r>
            <w:r>
              <w:rPr>
                <w:spacing w:val="-8"/>
                <w:w w:val="105"/>
                <w:sz w:val="13"/>
              </w:rPr>
              <w:t> </w:t>
            </w:r>
            <w:r>
              <w:rPr>
                <w:w w:val="105"/>
                <w:sz w:val="13"/>
              </w:rPr>
              <w:t>leave</w:t>
            </w:r>
            <w:r>
              <w:rPr>
                <w:spacing w:val="-8"/>
                <w:w w:val="105"/>
                <w:sz w:val="13"/>
              </w:rPr>
              <w:t> </w:t>
            </w:r>
            <w:r>
              <w:rPr>
                <w:spacing w:val="-2"/>
                <w:w w:val="105"/>
                <w:sz w:val="13"/>
              </w:rPr>
              <w:t>expense</w:t>
            </w:r>
          </w:p>
        </w:tc>
        <w:tc>
          <w:tcPr>
            <w:tcW w:w="1051" w:type="dxa"/>
          </w:tcPr>
          <w:p>
            <w:pPr>
              <w:pStyle w:val="TableParagraph"/>
              <w:spacing w:line="126" w:lineRule="exact"/>
              <w:ind w:right="160"/>
              <w:jc w:val="right"/>
              <w:rPr>
                <w:sz w:val="13"/>
              </w:rPr>
            </w:pPr>
            <w:r>
              <w:rPr>
                <w:spacing w:val="-4"/>
                <w:w w:val="105"/>
                <w:sz w:val="13"/>
              </w:rPr>
              <w:t>(15)</w:t>
            </w:r>
          </w:p>
        </w:tc>
        <w:tc>
          <w:tcPr>
            <w:tcW w:w="917" w:type="dxa"/>
          </w:tcPr>
          <w:p>
            <w:pPr>
              <w:pStyle w:val="TableParagraph"/>
              <w:spacing w:line="126" w:lineRule="exact"/>
              <w:ind w:right="161"/>
              <w:jc w:val="right"/>
              <w:rPr>
                <w:sz w:val="13"/>
              </w:rPr>
            </w:pPr>
            <w:r>
              <w:rPr>
                <w:spacing w:val="-2"/>
                <w:w w:val="105"/>
                <w:sz w:val="13"/>
              </w:rPr>
              <w:t>(4,854)</w:t>
            </w:r>
          </w:p>
        </w:tc>
        <w:tc>
          <w:tcPr>
            <w:tcW w:w="915" w:type="dxa"/>
          </w:tcPr>
          <w:p>
            <w:pPr>
              <w:pStyle w:val="TableParagraph"/>
              <w:spacing w:line="126" w:lineRule="exact"/>
              <w:ind w:right="160"/>
              <w:jc w:val="right"/>
              <w:rPr>
                <w:sz w:val="13"/>
              </w:rPr>
            </w:pPr>
            <w:r>
              <w:rPr>
                <w:spacing w:val="-4"/>
                <w:w w:val="105"/>
                <w:sz w:val="13"/>
              </w:rPr>
              <w:t>(15)</w:t>
            </w:r>
          </w:p>
        </w:tc>
        <w:tc>
          <w:tcPr>
            <w:tcW w:w="782" w:type="dxa"/>
          </w:tcPr>
          <w:p>
            <w:pPr>
              <w:pStyle w:val="TableParagraph"/>
              <w:spacing w:line="126" w:lineRule="exact"/>
              <w:ind w:right="27"/>
              <w:jc w:val="right"/>
              <w:rPr>
                <w:sz w:val="13"/>
              </w:rPr>
            </w:pPr>
            <w:r>
              <w:rPr>
                <w:spacing w:val="-2"/>
                <w:w w:val="105"/>
                <w:sz w:val="13"/>
              </w:rPr>
              <w:t>(4,854)</w:t>
            </w:r>
          </w:p>
        </w:tc>
      </w:tr>
      <w:tr>
        <w:trPr>
          <w:trHeight w:val="165" w:hRule="atLeast"/>
        </w:trPr>
        <w:tc>
          <w:tcPr>
            <w:tcW w:w="4709" w:type="dxa"/>
          </w:tcPr>
          <w:p>
            <w:pPr>
              <w:pStyle w:val="TableParagraph"/>
              <w:spacing w:line="126" w:lineRule="exact"/>
              <w:ind w:left="51"/>
              <w:rPr>
                <w:sz w:val="13"/>
              </w:rPr>
            </w:pPr>
            <w:r>
              <w:rPr>
                <w:spacing w:val="-2"/>
                <w:w w:val="105"/>
                <w:sz w:val="13"/>
              </w:rPr>
              <w:t>Other</w:t>
            </w:r>
          </w:p>
        </w:tc>
        <w:tc>
          <w:tcPr>
            <w:tcW w:w="1051" w:type="dxa"/>
            <w:tcBorders>
              <w:bottom w:val="single" w:sz="6" w:space="0" w:color="000000"/>
            </w:tcBorders>
          </w:tcPr>
          <w:p>
            <w:pPr>
              <w:pStyle w:val="TableParagraph"/>
              <w:spacing w:line="126" w:lineRule="exact"/>
              <w:ind w:right="205"/>
              <w:jc w:val="right"/>
              <w:rPr>
                <w:sz w:val="13"/>
              </w:rPr>
            </w:pPr>
            <w:r>
              <w:rPr>
                <w:spacing w:val="-5"/>
                <w:w w:val="105"/>
                <w:sz w:val="13"/>
              </w:rPr>
              <w:t>249</w:t>
            </w:r>
          </w:p>
        </w:tc>
        <w:tc>
          <w:tcPr>
            <w:tcW w:w="917" w:type="dxa"/>
            <w:tcBorders>
              <w:bottom w:val="single" w:sz="6" w:space="0" w:color="000000"/>
            </w:tcBorders>
          </w:tcPr>
          <w:p>
            <w:pPr>
              <w:pStyle w:val="TableParagraph"/>
              <w:spacing w:line="126" w:lineRule="exact"/>
              <w:ind w:right="206"/>
              <w:jc w:val="right"/>
              <w:rPr>
                <w:sz w:val="13"/>
              </w:rPr>
            </w:pPr>
            <w:r>
              <w:rPr>
                <w:spacing w:val="-5"/>
                <w:w w:val="105"/>
                <w:sz w:val="13"/>
              </w:rPr>
              <w:t>800</w:t>
            </w:r>
          </w:p>
        </w:tc>
        <w:tc>
          <w:tcPr>
            <w:tcW w:w="915" w:type="dxa"/>
            <w:tcBorders>
              <w:bottom w:val="single" w:sz="6" w:space="0" w:color="000000"/>
            </w:tcBorders>
          </w:tcPr>
          <w:p>
            <w:pPr>
              <w:pStyle w:val="TableParagraph"/>
              <w:spacing w:line="126" w:lineRule="exact"/>
              <w:ind w:right="205"/>
              <w:jc w:val="right"/>
              <w:rPr>
                <w:sz w:val="13"/>
              </w:rPr>
            </w:pPr>
            <w:r>
              <w:rPr>
                <w:spacing w:val="-5"/>
                <w:w w:val="105"/>
                <w:sz w:val="13"/>
              </w:rPr>
              <w:t>249</w:t>
            </w:r>
          </w:p>
        </w:tc>
        <w:tc>
          <w:tcPr>
            <w:tcW w:w="782" w:type="dxa"/>
            <w:tcBorders>
              <w:bottom w:val="single" w:sz="6" w:space="0" w:color="000000"/>
            </w:tcBorders>
          </w:tcPr>
          <w:p>
            <w:pPr>
              <w:pStyle w:val="TableParagraph"/>
              <w:spacing w:line="126" w:lineRule="exact"/>
              <w:ind w:right="71"/>
              <w:jc w:val="right"/>
              <w:rPr>
                <w:sz w:val="13"/>
              </w:rPr>
            </w:pPr>
            <w:r>
              <w:rPr>
                <w:spacing w:val="-5"/>
                <w:w w:val="105"/>
                <w:sz w:val="13"/>
              </w:rPr>
              <w:t>800</w:t>
            </w:r>
          </w:p>
        </w:tc>
      </w:tr>
      <w:tr>
        <w:trPr>
          <w:trHeight w:val="157" w:hRule="atLeast"/>
        </w:trPr>
        <w:tc>
          <w:tcPr>
            <w:tcW w:w="4709" w:type="dxa"/>
          </w:tcPr>
          <w:p>
            <w:pPr>
              <w:pStyle w:val="TableParagraph"/>
              <w:spacing w:line="117" w:lineRule="exact"/>
              <w:ind w:left="51"/>
              <w:rPr>
                <w:b/>
                <w:sz w:val="13"/>
              </w:rPr>
            </w:pPr>
            <w:r>
              <w:rPr>
                <w:b/>
                <w:w w:val="105"/>
                <w:sz w:val="13"/>
              </w:rPr>
              <w:t>Total</w:t>
            </w:r>
            <w:r>
              <w:rPr>
                <w:b/>
                <w:spacing w:val="-4"/>
                <w:w w:val="105"/>
                <w:sz w:val="13"/>
              </w:rPr>
              <w:t> </w:t>
            </w:r>
            <w:r>
              <w:rPr>
                <w:b/>
                <w:spacing w:val="-2"/>
                <w:w w:val="105"/>
                <w:sz w:val="13"/>
              </w:rPr>
              <w:t>academic</w:t>
            </w:r>
          </w:p>
        </w:tc>
        <w:tc>
          <w:tcPr>
            <w:tcW w:w="1051" w:type="dxa"/>
            <w:tcBorders>
              <w:top w:val="single" w:sz="6" w:space="0" w:color="000000"/>
              <w:bottom w:val="single" w:sz="6" w:space="0" w:color="000000"/>
            </w:tcBorders>
          </w:tcPr>
          <w:p>
            <w:pPr>
              <w:pStyle w:val="TableParagraph"/>
              <w:spacing w:line="117" w:lineRule="exact"/>
              <w:ind w:right="204"/>
              <w:jc w:val="right"/>
              <w:rPr>
                <w:b/>
                <w:sz w:val="13"/>
              </w:rPr>
            </w:pPr>
            <w:r>
              <w:rPr>
                <w:b/>
                <w:spacing w:val="-2"/>
                <w:w w:val="105"/>
                <w:sz w:val="13"/>
              </w:rPr>
              <w:t>287,503</w:t>
            </w:r>
          </w:p>
        </w:tc>
        <w:tc>
          <w:tcPr>
            <w:tcW w:w="917" w:type="dxa"/>
            <w:tcBorders>
              <w:top w:val="single" w:sz="6" w:space="0" w:color="000000"/>
              <w:bottom w:val="single" w:sz="6" w:space="0" w:color="000000"/>
            </w:tcBorders>
          </w:tcPr>
          <w:p>
            <w:pPr>
              <w:pStyle w:val="TableParagraph"/>
              <w:spacing w:line="117" w:lineRule="exact"/>
              <w:ind w:right="206"/>
              <w:jc w:val="right"/>
              <w:rPr>
                <w:b/>
                <w:sz w:val="13"/>
              </w:rPr>
            </w:pPr>
            <w:r>
              <w:rPr>
                <w:b/>
                <w:spacing w:val="-2"/>
                <w:w w:val="105"/>
                <w:sz w:val="13"/>
              </w:rPr>
              <w:t>275,625</w:t>
            </w:r>
          </w:p>
        </w:tc>
        <w:tc>
          <w:tcPr>
            <w:tcW w:w="915" w:type="dxa"/>
            <w:tcBorders>
              <w:top w:val="single" w:sz="6" w:space="0" w:color="000000"/>
              <w:bottom w:val="single" w:sz="6" w:space="0" w:color="000000"/>
            </w:tcBorders>
          </w:tcPr>
          <w:p>
            <w:pPr>
              <w:pStyle w:val="TableParagraph"/>
              <w:spacing w:line="117" w:lineRule="exact"/>
              <w:ind w:right="205"/>
              <w:jc w:val="right"/>
              <w:rPr>
                <w:b/>
                <w:sz w:val="13"/>
              </w:rPr>
            </w:pPr>
            <w:r>
              <w:rPr>
                <w:b/>
                <w:spacing w:val="-2"/>
                <w:w w:val="105"/>
                <w:sz w:val="13"/>
              </w:rPr>
              <w:t>287,503</w:t>
            </w:r>
          </w:p>
        </w:tc>
        <w:tc>
          <w:tcPr>
            <w:tcW w:w="782" w:type="dxa"/>
            <w:tcBorders>
              <w:top w:val="single" w:sz="6" w:space="0" w:color="000000"/>
              <w:bottom w:val="single" w:sz="6" w:space="0" w:color="000000"/>
            </w:tcBorders>
          </w:tcPr>
          <w:p>
            <w:pPr>
              <w:pStyle w:val="TableParagraph"/>
              <w:spacing w:line="117" w:lineRule="exact"/>
              <w:ind w:right="71"/>
              <w:jc w:val="right"/>
              <w:rPr>
                <w:b/>
                <w:sz w:val="13"/>
              </w:rPr>
            </w:pPr>
            <w:r>
              <w:rPr>
                <w:b/>
                <w:spacing w:val="-2"/>
                <w:w w:val="105"/>
                <w:sz w:val="13"/>
              </w:rPr>
              <w:t>275,625</w:t>
            </w:r>
          </w:p>
        </w:tc>
      </w:tr>
      <w:tr>
        <w:trPr>
          <w:trHeight w:val="335" w:hRule="atLeast"/>
        </w:trPr>
        <w:tc>
          <w:tcPr>
            <w:tcW w:w="4709" w:type="dxa"/>
          </w:tcPr>
          <w:p>
            <w:pPr>
              <w:pStyle w:val="TableParagraph"/>
              <w:spacing w:before="139"/>
              <w:ind w:left="51"/>
              <w:rPr>
                <w:b/>
                <w:sz w:val="13"/>
              </w:rPr>
            </w:pPr>
            <w:r>
              <w:rPr>
                <w:b/>
                <w:w w:val="105"/>
                <w:sz w:val="13"/>
              </w:rPr>
              <w:t>Non-</w:t>
            </w:r>
            <w:r>
              <w:rPr>
                <w:b/>
                <w:spacing w:val="-2"/>
                <w:w w:val="105"/>
                <w:sz w:val="13"/>
              </w:rPr>
              <w:t>academic</w:t>
            </w:r>
          </w:p>
        </w:tc>
        <w:tc>
          <w:tcPr>
            <w:tcW w:w="1051" w:type="dxa"/>
            <w:tcBorders>
              <w:top w:val="single" w:sz="6" w:space="0" w:color="000000"/>
            </w:tcBorders>
          </w:tcPr>
          <w:p>
            <w:pPr>
              <w:pStyle w:val="TableParagraph"/>
              <w:rPr>
                <w:rFonts w:ascii="Times New Roman"/>
                <w:sz w:val="14"/>
              </w:rPr>
            </w:pPr>
          </w:p>
        </w:tc>
        <w:tc>
          <w:tcPr>
            <w:tcW w:w="917" w:type="dxa"/>
            <w:tcBorders>
              <w:top w:val="single" w:sz="6" w:space="0" w:color="000000"/>
            </w:tcBorders>
          </w:tcPr>
          <w:p>
            <w:pPr>
              <w:pStyle w:val="TableParagraph"/>
              <w:rPr>
                <w:rFonts w:ascii="Times New Roman"/>
                <w:sz w:val="14"/>
              </w:rPr>
            </w:pPr>
          </w:p>
        </w:tc>
        <w:tc>
          <w:tcPr>
            <w:tcW w:w="915" w:type="dxa"/>
            <w:tcBorders>
              <w:top w:val="single" w:sz="6" w:space="0" w:color="000000"/>
            </w:tcBorders>
          </w:tcPr>
          <w:p>
            <w:pPr>
              <w:pStyle w:val="TableParagraph"/>
              <w:rPr>
                <w:rFonts w:ascii="Times New Roman"/>
                <w:sz w:val="14"/>
              </w:rPr>
            </w:pPr>
          </w:p>
        </w:tc>
        <w:tc>
          <w:tcPr>
            <w:tcW w:w="782" w:type="dxa"/>
            <w:tcBorders>
              <w:top w:val="single" w:sz="6" w:space="0" w:color="000000"/>
            </w:tcBorders>
          </w:tcPr>
          <w:p>
            <w:pPr>
              <w:pStyle w:val="TableParagraph"/>
              <w:rPr>
                <w:rFonts w:ascii="Times New Roman"/>
                <w:sz w:val="14"/>
              </w:rPr>
            </w:pPr>
          </w:p>
        </w:tc>
      </w:tr>
      <w:tr>
        <w:trPr>
          <w:trHeight w:val="172" w:hRule="atLeast"/>
        </w:trPr>
        <w:tc>
          <w:tcPr>
            <w:tcW w:w="4709" w:type="dxa"/>
          </w:tcPr>
          <w:p>
            <w:pPr>
              <w:pStyle w:val="TableParagraph"/>
              <w:spacing w:line="126" w:lineRule="exact"/>
              <w:ind w:left="51"/>
              <w:rPr>
                <w:sz w:val="13"/>
              </w:rPr>
            </w:pPr>
            <w:r>
              <w:rPr>
                <w:spacing w:val="-2"/>
                <w:w w:val="105"/>
                <w:sz w:val="13"/>
              </w:rPr>
              <w:t>Salaries</w:t>
            </w:r>
          </w:p>
        </w:tc>
        <w:tc>
          <w:tcPr>
            <w:tcW w:w="1051" w:type="dxa"/>
          </w:tcPr>
          <w:p>
            <w:pPr>
              <w:pStyle w:val="TableParagraph"/>
              <w:spacing w:line="126" w:lineRule="exact"/>
              <w:ind w:right="204"/>
              <w:jc w:val="right"/>
              <w:rPr>
                <w:sz w:val="13"/>
              </w:rPr>
            </w:pPr>
            <w:r>
              <w:rPr>
                <w:spacing w:val="-2"/>
                <w:w w:val="105"/>
                <w:sz w:val="13"/>
              </w:rPr>
              <w:t>210,539</w:t>
            </w:r>
          </w:p>
        </w:tc>
        <w:tc>
          <w:tcPr>
            <w:tcW w:w="917" w:type="dxa"/>
          </w:tcPr>
          <w:p>
            <w:pPr>
              <w:pStyle w:val="TableParagraph"/>
              <w:spacing w:line="126" w:lineRule="exact"/>
              <w:ind w:right="205"/>
              <w:jc w:val="right"/>
              <w:rPr>
                <w:sz w:val="13"/>
              </w:rPr>
            </w:pPr>
            <w:r>
              <w:rPr>
                <w:spacing w:val="-2"/>
                <w:w w:val="105"/>
                <w:sz w:val="13"/>
              </w:rPr>
              <w:t>227,375</w:t>
            </w:r>
          </w:p>
        </w:tc>
        <w:tc>
          <w:tcPr>
            <w:tcW w:w="915" w:type="dxa"/>
          </w:tcPr>
          <w:p>
            <w:pPr>
              <w:pStyle w:val="TableParagraph"/>
              <w:spacing w:line="126" w:lineRule="exact"/>
              <w:ind w:right="205"/>
              <w:jc w:val="right"/>
              <w:rPr>
                <w:sz w:val="13"/>
              </w:rPr>
            </w:pPr>
            <w:r>
              <w:rPr>
                <w:spacing w:val="-2"/>
                <w:w w:val="105"/>
                <w:sz w:val="13"/>
              </w:rPr>
              <w:t>198,385</w:t>
            </w:r>
          </w:p>
        </w:tc>
        <w:tc>
          <w:tcPr>
            <w:tcW w:w="782" w:type="dxa"/>
          </w:tcPr>
          <w:p>
            <w:pPr>
              <w:pStyle w:val="TableParagraph"/>
              <w:spacing w:line="126" w:lineRule="exact"/>
              <w:ind w:right="71"/>
              <w:jc w:val="right"/>
              <w:rPr>
                <w:sz w:val="13"/>
              </w:rPr>
            </w:pPr>
            <w:r>
              <w:rPr>
                <w:spacing w:val="-2"/>
                <w:w w:val="105"/>
                <w:sz w:val="13"/>
              </w:rPr>
              <w:t>215,107</w:t>
            </w:r>
          </w:p>
        </w:tc>
      </w:tr>
      <w:tr>
        <w:trPr>
          <w:trHeight w:val="172" w:hRule="atLeast"/>
        </w:trPr>
        <w:tc>
          <w:tcPr>
            <w:tcW w:w="4709" w:type="dxa"/>
          </w:tcPr>
          <w:p>
            <w:pPr>
              <w:pStyle w:val="TableParagraph"/>
              <w:spacing w:line="126" w:lineRule="exact"/>
              <w:ind w:left="51"/>
              <w:rPr>
                <w:sz w:val="13"/>
              </w:rPr>
            </w:pPr>
            <w:r>
              <w:rPr>
                <w:spacing w:val="-2"/>
                <w:w w:val="105"/>
                <w:sz w:val="13"/>
              </w:rPr>
              <w:t>Contributions</w:t>
            </w:r>
            <w:r>
              <w:rPr>
                <w:spacing w:val="5"/>
                <w:w w:val="105"/>
                <w:sz w:val="13"/>
              </w:rPr>
              <w:t> </w:t>
            </w:r>
            <w:r>
              <w:rPr>
                <w:spacing w:val="-2"/>
                <w:w w:val="105"/>
                <w:sz w:val="13"/>
              </w:rPr>
              <w:t>to</w:t>
            </w:r>
            <w:r>
              <w:rPr>
                <w:spacing w:val="5"/>
                <w:w w:val="105"/>
                <w:sz w:val="13"/>
              </w:rPr>
              <w:t> </w:t>
            </w:r>
            <w:r>
              <w:rPr>
                <w:spacing w:val="-2"/>
                <w:w w:val="105"/>
                <w:sz w:val="13"/>
              </w:rPr>
              <w:t>superannuation</w:t>
            </w:r>
            <w:r>
              <w:rPr>
                <w:spacing w:val="4"/>
                <w:w w:val="105"/>
                <w:sz w:val="13"/>
              </w:rPr>
              <w:t> </w:t>
            </w:r>
            <w:r>
              <w:rPr>
                <w:spacing w:val="-2"/>
                <w:w w:val="105"/>
                <w:sz w:val="13"/>
              </w:rPr>
              <w:t>and</w:t>
            </w:r>
            <w:r>
              <w:rPr>
                <w:spacing w:val="5"/>
                <w:w w:val="105"/>
                <w:sz w:val="13"/>
              </w:rPr>
              <w:t> </w:t>
            </w:r>
            <w:r>
              <w:rPr>
                <w:spacing w:val="-2"/>
                <w:w w:val="105"/>
                <w:sz w:val="13"/>
              </w:rPr>
              <w:t>pension</w:t>
            </w:r>
            <w:r>
              <w:rPr>
                <w:spacing w:val="4"/>
                <w:w w:val="105"/>
                <w:sz w:val="13"/>
              </w:rPr>
              <w:t> </w:t>
            </w:r>
            <w:r>
              <w:rPr>
                <w:spacing w:val="-2"/>
                <w:w w:val="105"/>
                <w:sz w:val="13"/>
              </w:rPr>
              <w:t>schemes</w:t>
            </w:r>
          </w:p>
        </w:tc>
        <w:tc>
          <w:tcPr>
            <w:tcW w:w="1051" w:type="dxa"/>
          </w:tcPr>
          <w:p>
            <w:pPr>
              <w:pStyle w:val="TableParagraph"/>
              <w:spacing w:line="126" w:lineRule="exact"/>
              <w:ind w:right="204"/>
              <w:jc w:val="right"/>
              <w:rPr>
                <w:sz w:val="13"/>
              </w:rPr>
            </w:pPr>
            <w:r>
              <w:rPr>
                <w:spacing w:val="-2"/>
                <w:w w:val="105"/>
                <w:sz w:val="13"/>
              </w:rPr>
              <w:t>34,698</w:t>
            </w:r>
          </w:p>
        </w:tc>
        <w:tc>
          <w:tcPr>
            <w:tcW w:w="917" w:type="dxa"/>
          </w:tcPr>
          <w:p>
            <w:pPr>
              <w:pStyle w:val="TableParagraph"/>
              <w:spacing w:line="126" w:lineRule="exact"/>
              <w:ind w:right="205"/>
              <w:jc w:val="right"/>
              <w:rPr>
                <w:sz w:val="13"/>
              </w:rPr>
            </w:pPr>
            <w:r>
              <w:rPr>
                <w:spacing w:val="-2"/>
                <w:w w:val="105"/>
                <w:sz w:val="13"/>
              </w:rPr>
              <w:t>31,835</w:t>
            </w:r>
          </w:p>
        </w:tc>
        <w:tc>
          <w:tcPr>
            <w:tcW w:w="915" w:type="dxa"/>
          </w:tcPr>
          <w:p>
            <w:pPr>
              <w:pStyle w:val="TableParagraph"/>
              <w:spacing w:line="126" w:lineRule="exact"/>
              <w:ind w:right="204"/>
              <w:jc w:val="right"/>
              <w:rPr>
                <w:sz w:val="13"/>
              </w:rPr>
            </w:pPr>
            <w:r>
              <w:rPr>
                <w:spacing w:val="-2"/>
                <w:w w:val="105"/>
                <w:sz w:val="13"/>
              </w:rPr>
              <w:t>33,573</w:t>
            </w:r>
          </w:p>
        </w:tc>
        <w:tc>
          <w:tcPr>
            <w:tcW w:w="782" w:type="dxa"/>
          </w:tcPr>
          <w:p>
            <w:pPr>
              <w:pStyle w:val="TableParagraph"/>
              <w:spacing w:line="126" w:lineRule="exact"/>
              <w:ind w:right="70"/>
              <w:jc w:val="right"/>
              <w:rPr>
                <w:sz w:val="13"/>
              </w:rPr>
            </w:pPr>
            <w:r>
              <w:rPr>
                <w:spacing w:val="-2"/>
                <w:w w:val="105"/>
                <w:sz w:val="13"/>
              </w:rPr>
              <w:t>30,398</w:t>
            </w:r>
          </w:p>
        </w:tc>
      </w:tr>
      <w:tr>
        <w:trPr>
          <w:trHeight w:val="172" w:hRule="atLeast"/>
        </w:trPr>
        <w:tc>
          <w:tcPr>
            <w:tcW w:w="4709" w:type="dxa"/>
          </w:tcPr>
          <w:p>
            <w:pPr>
              <w:pStyle w:val="TableParagraph"/>
              <w:spacing w:line="126" w:lineRule="exact"/>
              <w:ind w:left="52"/>
              <w:rPr>
                <w:sz w:val="13"/>
              </w:rPr>
            </w:pPr>
            <w:r>
              <w:rPr>
                <w:spacing w:val="-2"/>
                <w:w w:val="105"/>
                <w:sz w:val="13"/>
              </w:rPr>
              <w:t>Payroll</w:t>
            </w:r>
            <w:r>
              <w:rPr>
                <w:spacing w:val="3"/>
                <w:w w:val="105"/>
                <w:sz w:val="13"/>
              </w:rPr>
              <w:t> </w:t>
            </w:r>
            <w:r>
              <w:rPr>
                <w:spacing w:val="-5"/>
                <w:w w:val="105"/>
                <w:sz w:val="13"/>
              </w:rPr>
              <w:t>tax</w:t>
            </w:r>
          </w:p>
        </w:tc>
        <w:tc>
          <w:tcPr>
            <w:tcW w:w="1051" w:type="dxa"/>
          </w:tcPr>
          <w:p>
            <w:pPr>
              <w:pStyle w:val="TableParagraph"/>
              <w:spacing w:line="126" w:lineRule="exact"/>
              <w:ind w:right="204"/>
              <w:jc w:val="right"/>
              <w:rPr>
                <w:sz w:val="13"/>
              </w:rPr>
            </w:pPr>
            <w:r>
              <w:rPr>
                <w:spacing w:val="-2"/>
                <w:w w:val="105"/>
                <w:sz w:val="13"/>
              </w:rPr>
              <w:t>13,578</w:t>
            </w:r>
          </w:p>
        </w:tc>
        <w:tc>
          <w:tcPr>
            <w:tcW w:w="917" w:type="dxa"/>
          </w:tcPr>
          <w:p>
            <w:pPr>
              <w:pStyle w:val="TableParagraph"/>
              <w:spacing w:line="126" w:lineRule="exact"/>
              <w:ind w:right="205"/>
              <w:jc w:val="right"/>
              <w:rPr>
                <w:sz w:val="13"/>
              </w:rPr>
            </w:pPr>
            <w:r>
              <w:rPr>
                <w:spacing w:val="-2"/>
                <w:w w:val="105"/>
                <w:sz w:val="13"/>
              </w:rPr>
              <w:t>14,690</w:t>
            </w:r>
          </w:p>
        </w:tc>
        <w:tc>
          <w:tcPr>
            <w:tcW w:w="915" w:type="dxa"/>
          </w:tcPr>
          <w:p>
            <w:pPr>
              <w:pStyle w:val="TableParagraph"/>
              <w:spacing w:line="126" w:lineRule="exact"/>
              <w:ind w:right="204"/>
              <w:jc w:val="right"/>
              <w:rPr>
                <w:sz w:val="13"/>
              </w:rPr>
            </w:pPr>
            <w:r>
              <w:rPr>
                <w:spacing w:val="-2"/>
                <w:w w:val="105"/>
                <w:sz w:val="13"/>
              </w:rPr>
              <w:t>13,601</w:t>
            </w:r>
          </w:p>
        </w:tc>
        <w:tc>
          <w:tcPr>
            <w:tcW w:w="782" w:type="dxa"/>
          </w:tcPr>
          <w:p>
            <w:pPr>
              <w:pStyle w:val="TableParagraph"/>
              <w:spacing w:line="126" w:lineRule="exact"/>
              <w:ind w:right="70"/>
              <w:jc w:val="right"/>
              <w:rPr>
                <w:sz w:val="13"/>
              </w:rPr>
            </w:pPr>
            <w:r>
              <w:rPr>
                <w:spacing w:val="-2"/>
                <w:w w:val="105"/>
                <w:sz w:val="13"/>
              </w:rPr>
              <w:t>14,170</w:t>
            </w:r>
          </w:p>
        </w:tc>
      </w:tr>
      <w:tr>
        <w:trPr>
          <w:trHeight w:val="172" w:hRule="atLeast"/>
        </w:trPr>
        <w:tc>
          <w:tcPr>
            <w:tcW w:w="4709" w:type="dxa"/>
          </w:tcPr>
          <w:p>
            <w:pPr>
              <w:pStyle w:val="TableParagraph"/>
              <w:spacing w:line="126" w:lineRule="exact"/>
              <w:ind w:left="52"/>
              <w:rPr>
                <w:sz w:val="13"/>
              </w:rPr>
            </w:pPr>
            <w:r>
              <w:rPr>
                <w:w w:val="105"/>
                <w:sz w:val="13"/>
              </w:rPr>
              <w:t>Workers'</w:t>
            </w:r>
            <w:r>
              <w:rPr>
                <w:spacing w:val="4"/>
                <w:w w:val="105"/>
                <w:sz w:val="13"/>
              </w:rPr>
              <w:t> </w:t>
            </w:r>
            <w:r>
              <w:rPr>
                <w:spacing w:val="-2"/>
                <w:w w:val="105"/>
                <w:sz w:val="13"/>
              </w:rPr>
              <w:t>compensation</w:t>
            </w:r>
          </w:p>
        </w:tc>
        <w:tc>
          <w:tcPr>
            <w:tcW w:w="1051" w:type="dxa"/>
          </w:tcPr>
          <w:p>
            <w:pPr>
              <w:pStyle w:val="TableParagraph"/>
              <w:spacing w:line="126" w:lineRule="exact"/>
              <w:ind w:right="204"/>
              <w:jc w:val="right"/>
              <w:rPr>
                <w:sz w:val="13"/>
              </w:rPr>
            </w:pPr>
            <w:r>
              <w:rPr>
                <w:spacing w:val="-5"/>
                <w:w w:val="105"/>
                <w:sz w:val="13"/>
              </w:rPr>
              <w:t>442</w:t>
            </w:r>
          </w:p>
        </w:tc>
        <w:tc>
          <w:tcPr>
            <w:tcW w:w="917" w:type="dxa"/>
          </w:tcPr>
          <w:p>
            <w:pPr>
              <w:pStyle w:val="TableParagraph"/>
              <w:spacing w:line="126" w:lineRule="exact"/>
              <w:ind w:right="205"/>
              <w:jc w:val="right"/>
              <w:rPr>
                <w:sz w:val="13"/>
              </w:rPr>
            </w:pPr>
            <w:r>
              <w:rPr>
                <w:spacing w:val="-5"/>
                <w:w w:val="105"/>
                <w:sz w:val="13"/>
              </w:rPr>
              <w:t>711</w:t>
            </w:r>
          </w:p>
        </w:tc>
        <w:tc>
          <w:tcPr>
            <w:tcW w:w="915" w:type="dxa"/>
          </w:tcPr>
          <w:p>
            <w:pPr>
              <w:pStyle w:val="TableParagraph"/>
              <w:spacing w:line="126" w:lineRule="exact"/>
              <w:ind w:right="204"/>
              <w:jc w:val="right"/>
              <w:rPr>
                <w:sz w:val="13"/>
              </w:rPr>
            </w:pPr>
            <w:r>
              <w:rPr>
                <w:spacing w:val="-5"/>
                <w:w w:val="105"/>
                <w:sz w:val="13"/>
              </w:rPr>
              <w:t>372</w:t>
            </w:r>
          </w:p>
        </w:tc>
        <w:tc>
          <w:tcPr>
            <w:tcW w:w="782" w:type="dxa"/>
          </w:tcPr>
          <w:p>
            <w:pPr>
              <w:pStyle w:val="TableParagraph"/>
              <w:spacing w:line="126" w:lineRule="exact"/>
              <w:ind w:right="70"/>
              <w:jc w:val="right"/>
              <w:rPr>
                <w:sz w:val="13"/>
              </w:rPr>
            </w:pPr>
            <w:r>
              <w:rPr>
                <w:spacing w:val="-5"/>
                <w:w w:val="105"/>
                <w:sz w:val="13"/>
              </w:rPr>
              <w:t>636</w:t>
            </w:r>
          </w:p>
        </w:tc>
      </w:tr>
      <w:tr>
        <w:trPr>
          <w:trHeight w:val="172" w:hRule="atLeast"/>
        </w:trPr>
        <w:tc>
          <w:tcPr>
            <w:tcW w:w="4709" w:type="dxa"/>
          </w:tcPr>
          <w:p>
            <w:pPr>
              <w:pStyle w:val="TableParagraph"/>
              <w:spacing w:line="126" w:lineRule="exact"/>
              <w:ind w:left="52"/>
              <w:rPr>
                <w:sz w:val="13"/>
              </w:rPr>
            </w:pPr>
            <w:r>
              <w:rPr>
                <w:w w:val="105"/>
                <w:sz w:val="13"/>
              </w:rPr>
              <w:t>Long</w:t>
            </w:r>
            <w:r>
              <w:rPr>
                <w:spacing w:val="-7"/>
                <w:w w:val="105"/>
                <w:sz w:val="13"/>
              </w:rPr>
              <w:t> </w:t>
            </w:r>
            <w:r>
              <w:rPr>
                <w:w w:val="105"/>
                <w:sz w:val="13"/>
              </w:rPr>
              <w:t>service</w:t>
            </w:r>
            <w:r>
              <w:rPr>
                <w:spacing w:val="-6"/>
                <w:w w:val="105"/>
                <w:sz w:val="13"/>
              </w:rPr>
              <w:t> </w:t>
            </w:r>
            <w:r>
              <w:rPr>
                <w:w w:val="105"/>
                <w:sz w:val="13"/>
              </w:rPr>
              <w:t>leave</w:t>
            </w:r>
            <w:r>
              <w:rPr>
                <w:spacing w:val="-6"/>
                <w:w w:val="105"/>
                <w:sz w:val="13"/>
              </w:rPr>
              <w:t> </w:t>
            </w:r>
            <w:r>
              <w:rPr>
                <w:spacing w:val="-2"/>
                <w:w w:val="105"/>
                <w:sz w:val="13"/>
              </w:rPr>
              <w:t>expense</w:t>
            </w:r>
          </w:p>
        </w:tc>
        <w:tc>
          <w:tcPr>
            <w:tcW w:w="1051" w:type="dxa"/>
          </w:tcPr>
          <w:p>
            <w:pPr>
              <w:pStyle w:val="TableParagraph"/>
              <w:spacing w:line="126" w:lineRule="exact"/>
              <w:ind w:right="203"/>
              <w:jc w:val="right"/>
              <w:rPr>
                <w:sz w:val="13"/>
              </w:rPr>
            </w:pPr>
            <w:r>
              <w:rPr>
                <w:spacing w:val="-2"/>
                <w:w w:val="105"/>
                <w:sz w:val="13"/>
              </w:rPr>
              <w:t>2,167</w:t>
            </w:r>
          </w:p>
        </w:tc>
        <w:tc>
          <w:tcPr>
            <w:tcW w:w="917" w:type="dxa"/>
          </w:tcPr>
          <w:p>
            <w:pPr>
              <w:pStyle w:val="TableParagraph"/>
              <w:spacing w:line="126" w:lineRule="exact"/>
              <w:ind w:right="204"/>
              <w:jc w:val="right"/>
              <w:rPr>
                <w:sz w:val="13"/>
              </w:rPr>
            </w:pPr>
            <w:r>
              <w:rPr>
                <w:spacing w:val="-2"/>
                <w:w w:val="105"/>
                <w:sz w:val="13"/>
              </w:rPr>
              <w:t>6,398</w:t>
            </w:r>
          </w:p>
        </w:tc>
        <w:tc>
          <w:tcPr>
            <w:tcW w:w="915" w:type="dxa"/>
          </w:tcPr>
          <w:p>
            <w:pPr>
              <w:pStyle w:val="TableParagraph"/>
              <w:spacing w:line="126" w:lineRule="exact"/>
              <w:ind w:right="204"/>
              <w:jc w:val="right"/>
              <w:rPr>
                <w:sz w:val="13"/>
              </w:rPr>
            </w:pPr>
            <w:r>
              <w:rPr>
                <w:spacing w:val="-2"/>
                <w:w w:val="105"/>
                <w:sz w:val="13"/>
              </w:rPr>
              <w:t>1,970</w:t>
            </w:r>
          </w:p>
        </w:tc>
        <w:tc>
          <w:tcPr>
            <w:tcW w:w="782" w:type="dxa"/>
          </w:tcPr>
          <w:p>
            <w:pPr>
              <w:pStyle w:val="TableParagraph"/>
              <w:spacing w:line="126" w:lineRule="exact"/>
              <w:ind w:right="70"/>
              <w:jc w:val="right"/>
              <w:rPr>
                <w:sz w:val="13"/>
              </w:rPr>
            </w:pPr>
            <w:r>
              <w:rPr>
                <w:spacing w:val="-2"/>
                <w:w w:val="105"/>
                <w:sz w:val="13"/>
              </w:rPr>
              <w:t>6,255</w:t>
            </w:r>
          </w:p>
        </w:tc>
      </w:tr>
      <w:tr>
        <w:trPr>
          <w:trHeight w:val="172" w:hRule="atLeast"/>
        </w:trPr>
        <w:tc>
          <w:tcPr>
            <w:tcW w:w="4709" w:type="dxa"/>
          </w:tcPr>
          <w:p>
            <w:pPr>
              <w:pStyle w:val="TableParagraph"/>
              <w:spacing w:line="126" w:lineRule="exact"/>
              <w:ind w:left="52"/>
              <w:rPr>
                <w:sz w:val="13"/>
              </w:rPr>
            </w:pPr>
            <w:r>
              <w:rPr>
                <w:w w:val="105"/>
                <w:sz w:val="13"/>
              </w:rPr>
              <w:t>Annual</w:t>
            </w:r>
            <w:r>
              <w:rPr>
                <w:spacing w:val="-8"/>
                <w:w w:val="105"/>
                <w:sz w:val="13"/>
              </w:rPr>
              <w:t> </w:t>
            </w:r>
            <w:r>
              <w:rPr>
                <w:w w:val="105"/>
                <w:sz w:val="13"/>
              </w:rPr>
              <w:t>leave</w:t>
            </w:r>
            <w:r>
              <w:rPr>
                <w:spacing w:val="-8"/>
                <w:w w:val="105"/>
                <w:sz w:val="13"/>
              </w:rPr>
              <w:t> </w:t>
            </w:r>
            <w:r>
              <w:rPr>
                <w:spacing w:val="-2"/>
                <w:w w:val="105"/>
                <w:sz w:val="13"/>
              </w:rPr>
              <w:t>expense</w:t>
            </w:r>
          </w:p>
        </w:tc>
        <w:tc>
          <w:tcPr>
            <w:tcW w:w="1051" w:type="dxa"/>
          </w:tcPr>
          <w:p>
            <w:pPr>
              <w:pStyle w:val="TableParagraph"/>
              <w:spacing w:line="126" w:lineRule="exact"/>
              <w:ind w:right="203"/>
              <w:jc w:val="right"/>
              <w:rPr>
                <w:sz w:val="13"/>
              </w:rPr>
            </w:pPr>
            <w:r>
              <w:rPr>
                <w:spacing w:val="-2"/>
                <w:w w:val="105"/>
                <w:sz w:val="13"/>
              </w:rPr>
              <w:t>3,153</w:t>
            </w:r>
          </w:p>
        </w:tc>
        <w:tc>
          <w:tcPr>
            <w:tcW w:w="917" w:type="dxa"/>
          </w:tcPr>
          <w:p>
            <w:pPr>
              <w:pStyle w:val="TableParagraph"/>
              <w:spacing w:line="126" w:lineRule="exact"/>
              <w:ind w:right="160"/>
              <w:jc w:val="right"/>
              <w:rPr>
                <w:sz w:val="13"/>
              </w:rPr>
            </w:pPr>
            <w:r>
              <w:rPr>
                <w:spacing w:val="-2"/>
                <w:w w:val="105"/>
                <w:sz w:val="13"/>
              </w:rPr>
              <w:t>(1,377)</w:t>
            </w:r>
          </w:p>
        </w:tc>
        <w:tc>
          <w:tcPr>
            <w:tcW w:w="915" w:type="dxa"/>
          </w:tcPr>
          <w:p>
            <w:pPr>
              <w:pStyle w:val="TableParagraph"/>
              <w:spacing w:line="126" w:lineRule="exact"/>
              <w:ind w:right="204"/>
              <w:jc w:val="right"/>
              <w:rPr>
                <w:sz w:val="13"/>
              </w:rPr>
            </w:pPr>
            <w:r>
              <w:rPr>
                <w:spacing w:val="-2"/>
                <w:w w:val="105"/>
                <w:sz w:val="13"/>
              </w:rPr>
              <w:t>2,503</w:t>
            </w:r>
          </w:p>
        </w:tc>
        <w:tc>
          <w:tcPr>
            <w:tcW w:w="782" w:type="dxa"/>
          </w:tcPr>
          <w:p>
            <w:pPr>
              <w:pStyle w:val="TableParagraph"/>
              <w:spacing w:line="126" w:lineRule="exact"/>
              <w:ind w:right="25"/>
              <w:jc w:val="right"/>
              <w:rPr>
                <w:sz w:val="13"/>
              </w:rPr>
            </w:pPr>
            <w:r>
              <w:rPr>
                <w:spacing w:val="-2"/>
                <w:w w:val="105"/>
                <w:sz w:val="13"/>
              </w:rPr>
              <w:t>(1,957)</w:t>
            </w:r>
          </w:p>
        </w:tc>
      </w:tr>
      <w:tr>
        <w:trPr>
          <w:trHeight w:val="165" w:hRule="atLeast"/>
        </w:trPr>
        <w:tc>
          <w:tcPr>
            <w:tcW w:w="4709" w:type="dxa"/>
          </w:tcPr>
          <w:p>
            <w:pPr>
              <w:pStyle w:val="TableParagraph"/>
              <w:spacing w:line="126" w:lineRule="exact"/>
              <w:ind w:left="52"/>
              <w:rPr>
                <w:sz w:val="13"/>
              </w:rPr>
            </w:pPr>
            <w:r>
              <w:rPr>
                <w:spacing w:val="-2"/>
                <w:w w:val="105"/>
                <w:sz w:val="13"/>
              </w:rPr>
              <w:t>Other</w:t>
            </w:r>
          </w:p>
        </w:tc>
        <w:tc>
          <w:tcPr>
            <w:tcW w:w="1051" w:type="dxa"/>
            <w:tcBorders>
              <w:bottom w:val="single" w:sz="6" w:space="0" w:color="000000"/>
            </w:tcBorders>
          </w:tcPr>
          <w:p>
            <w:pPr>
              <w:pStyle w:val="TableParagraph"/>
              <w:spacing w:line="126" w:lineRule="exact"/>
              <w:ind w:right="203"/>
              <w:jc w:val="right"/>
              <w:rPr>
                <w:sz w:val="13"/>
              </w:rPr>
            </w:pPr>
            <w:r>
              <w:rPr>
                <w:spacing w:val="-2"/>
                <w:w w:val="105"/>
                <w:sz w:val="13"/>
              </w:rPr>
              <w:t>1,265</w:t>
            </w:r>
          </w:p>
        </w:tc>
        <w:tc>
          <w:tcPr>
            <w:tcW w:w="917" w:type="dxa"/>
            <w:tcBorders>
              <w:bottom w:val="single" w:sz="6" w:space="0" w:color="000000"/>
            </w:tcBorders>
          </w:tcPr>
          <w:p>
            <w:pPr>
              <w:pStyle w:val="TableParagraph"/>
              <w:spacing w:line="126" w:lineRule="exact"/>
              <w:ind w:right="204"/>
              <w:jc w:val="right"/>
              <w:rPr>
                <w:sz w:val="13"/>
              </w:rPr>
            </w:pPr>
            <w:r>
              <w:rPr>
                <w:spacing w:val="-5"/>
                <w:w w:val="105"/>
                <w:sz w:val="13"/>
              </w:rPr>
              <w:t>889</w:t>
            </w:r>
          </w:p>
        </w:tc>
        <w:tc>
          <w:tcPr>
            <w:tcW w:w="915" w:type="dxa"/>
            <w:tcBorders>
              <w:bottom w:val="single" w:sz="6" w:space="0" w:color="000000"/>
            </w:tcBorders>
          </w:tcPr>
          <w:p>
            <w:pPr>
              <w:pStyle w:val="TableParagraph"/>
              <w:spacing w:line="126" w:lineRule="exact"/>
              <w:ind w:right="204"/>
              <w:jc w:val="right"/>
              <w:rPr>
                <w:sz w:val="13"/>
              </w:rPr>
            </w:pPr>
            <w:r>
              <w:rPr>
                <w:spacing w:val="-2"/>
                <w:w w:val="105"/>
                <w:sz w:val="13"/>
              </w:rPr>
              <w:t>1,233</w:t>
            </w:r>
          </w:p>
        </w:tc>
        <w:tc>
          <w:tcPr>
            <w:tcW w:w="782" w:type="dxa"/>
            <w:tcBorders>
              <w:bottom w:val="single" w:sz="6" w:space="0" w:color="000000"/>
            </w:tcBorders>
          </w:tcPr>
          <w:p>
            <w:pPr>
              <w:pStyle w:val="TableParagraph"/>
              <w:spacing w:line="126" w:lineRule="exact"/>
              <w:ind w:right="70"/>
              <w:jc w:val="right"/>
              <w:rPr>
                <w:sz w:val="13"/>
              </w:rPr>
            </w:pPr>
            <w:r>
              <w:rPr>
                <w:spacing w:val="-5"/>
                <w:w w:val="105"/>
                <w:sz w:val="13"/>
              </w:rPr>
              <w:t>842</w:t>
            </w:r>
          </w:p>
        </w:tc>
      </w:tr>
      <w:tr>
        <w:trPr>
          <w:trHeight w:val="157" w:hRule="atLeast"/>
        </w:trPr>
        <w:tc>
          <w:tcPr>
            <w:tcW w:w="4709" w:type="dxa"/>
          </w:tcPr>
          <w:p>
            <w:pPr>
              <w:pStyle w:val="TableParagraph"/>
              <w:spacing w:line="117" w:lineRule="exact"/>
              <w:ind w:left="52"/>
              <w:rPr>
                <w:b/>
                <w:sz w:val="13"/>
              </w:rPr>
            </w:pPr>
            <w:r>
              <w:rPr>
                <w:b/>
                <w:w w:val="105"/>
                <w:sz w:val="13"/>
              </w:rPr>
              <w:t>Total</w:t>
            </w:r>
            <w:r>
              <w:rPr>
                <w:b/>
                <w:spacing w:val="-4"/>
                <w:w w:val="105"/>
                <w:sz w:val="13"/>
              </w:rPr>
              <w:t> </w:t>
            </w:r>
            <w:r>
              <w:rPr>
                <w:b/>
                <w:w w:val="105"/>
                <w:sz w:val="13"/>
              </w:rPr>
              <w:t>non-</w:t>
            </w:r>
            <w:r>
              <w:rPr>
                <w:b/>
                <w:spacing w:val="-2"/>
                <w:w w:val="105"/>
                <w:sz w:val="13"/>
              </w:rPr>
              <w:t>academic</w:t>
            </w:r>
          </w:p>
        </w:tc>
        <w:tc>
          <w:tcPr>
            <w:tcW w:w="1051" w:type="dxa"/>
            <w:tcBorders>
              <w:top w:val="single" w:sz="6" w:space="0" w:color="000000"/>
              <w:bottom w:val="single" w:sz="6" w:space="0" w:color="000000"/>
            </w:tcBorders>
          </w:tcPr>
          <w:p>
            <w:pPr>
              <w:pStyle w:val="TableParagraph"/>
              <w:spacing w:line="117" w:lineRule="exact"/>
              <w:ind w:right="203"/>
              <w:jc w:val="right"/>
              <w:rPr>
                <w:b/>
                <w:sz w:val="13"/>
              </w:rPr>
            </w:pPr>
            <w:r>
              <w:rPr>
                <w:b/>
                <w:spacing w:val="-2"/>
                <w:w w:val="105"/>
                <w:sz w:val="13"/>
              </w:rPr>
              <w:t>265,842</w:t>
            </w:r>
          </w:p>
        </w:tc>
        <w:tc>
          <w:tcPr>
            <w:tcW w:w="917" w:type="dxa"/>
            <w:tcBorders>
              <w:top w:val="single" w:sz="6" w:space="0" w:color="000000"/>
              <w:bottom w:val="single" w:sz="6" w:space="0" w:color="000000"/>
            </w:tcBorders>
          </w:tcPr>
          <w:p>
            <w:pPr>
              <w:pStyle w:val="TableParagraph"/>
              <w:spacing w:line="117" w:lineRule="exact"/>
              <w:ind w:right="204"/>
              <w:jc w:val="right"/>
              <w:rPr>
                <w:b/>
                <w:sz w:val="13"/>
              </w:rPr>
            </w:pPr>
            <w:r>
              <w:rPr>
                <w:b/>
                <w:spacing w:val="-2"/>
                <w:w w:val="105"/>
                <w:sz w:val="13"/>
              </w:rPr>
              <w:t>280,521</w:t>
            </w:r>
          </w:p>
        </w:tc>
        <w:tc>
          <w:tcPr>
            <w:tcW w:w="915" w:type="dxa"/>
            <w:tcBorders>
              <w:top w:val="single" w:sz="6" w:space="0" w:color="000000"/>
              <w:bottom w:val="single" w:sz="6" w:space="0" w:color="000000"/>
            </w:tcBorders>
          </w:tcPr>
          <w:p>
            <w:pPr>
              <w:pStyle w:val="TableParagraph"/>
              <w:spacing w:line="117" w:lineRule="exact"/>
              <w:ind w:right="203"/>
              <w:jc w:val="right"/>
              <w:rPr>
                <w:b/>
                <w:sz w:val="13"/>
              </w:rPr>
            </w:pPr>
            <w:r>
              <w:rPr>
                <w:b/>
                <w:spacing w:val="-2"/>
                <w:w w:val="105"/>
                <w:sz w:val="13"/>
              </w:rPr>
              <w:t>251,637</w:t>
            </w:r>
          </w:p>
        </w:tc>
        <w:tc>
          <w:tcPr>
            <w:tcW w:w="782" w:type="dxa"/>
            <w:tcBorders>
              <w:top w:val="single" w:sz="6" w:space="0" w:color="000000"/>
              <w:bottom w:val="single" w:sz="6" w:space="0" w:color="000000"/>
            </w:tcBorders>
          </w:tcPr>
          <w:p>
            <w:pPr>
              <w:pStyle w:val="TableParagraph"/>
              <w:spacing w:line="117" w:lineRule="exact"/>
              <w:ind w:right="70"/>
              <w:jc w:val="right"/>
              <w:rPr>
                <w:b/>
                <w:sz w:val="13"/>
              </w:rPr>
            </w:pPr>
            <w:r>
              <w:rPr>
                <w:b/>
                <w:spacing w:val="-2"/>
                <w:w w:val="105"/>
                <w:sz w:val="13"/>
              </w:rPr>
              <w:t>265,451</w:t>
            </w:r>
          </w:p>
        </w:tc>
      </w:tr>
      <w:tr>
        <w:trPr>
          <w:trHeight w:val="157" w:hRule="atLeast"/>
        </w:trPr>
        <w:tc>
          <w:tcPr>
            <w:tcW w:w="4709" w:type="dxa"/>
          </w:tcPr>
          <w:p>
            <w:pPr>
              <w:pStyle w:val="TableParagraph"/>
              <w:rPr>
                <w:rFonts w:ascii="Times New Roman"/>
                <w:sz w:val="10"/>
              </w:rPr>
            </w:pPr>
          </w:p>
        </w:tc>
        <w:tc>
          <w:tcPr>
            <w:tcW w:w="1051" w:type="dxa"/>
            <w:tcBorders>
              <w:top w:val="single" w:sz="6" w:space="0" w:color="000000"/>
              <w:bottom w:val="single" w:sz="6" w:space="0" w:color="000000"/>
            </w:tcBorders>
          </w:tcPr>
          <w:p>
            <w:pPr>
              <w:pStyle w:val="TableParagraph"/>
              <w:rPr>
                <w:rFonts w:ascii="Times New Roman"/>
                <w:sz w:val="10"/>
              </w:rPr>
            </w:pPr>
          </w:p>
        </w:tc>
        <w:tc>
          <w:tcPr>
            <w:tcW w:w="917" w:type="dxa"/>
            <w:tcBorders>
              <w:top w:val="single" w:sz="6" w:space="0" w:color="000000"/>
              <w:bottom w:val="single" w:sz="6" w:space="0" w:color="000000"/>
            </w:tcBorders>
          </w:tcPr>
          <w:p>
            <w:pPr>
              <w:pStyle w:val="TableParagraph"/>
              <w:rPr>
                <w:rFonts w:ascii="Times New Roman"/>
                <w:sz w:val="10"/>
              </w:rPr>
            </w:pPr>
          </w:p>
        </w:tc>
        <w:tc>
          <w:tcPr>
            <w:tcW w:w="915" w:type="dxa"/>
            <w:tcBorders>
              <w:top w:val="single" w:sz="6" w:space="0" w:color="000000"/>
              <w:bottom w:val="single" w:sz="6" w:space="0" w:color="000000"/>
            </w:tcBorders>
          </w:tcPr>
          <w:p>
            <w:pPr>
              <w:pStyle w:val="TableParagraph"/>
              <w:rPr>
                <w:rFonts w:ascii="Times New Roman"/>
                <w:sz w:val="10"/>
              </w:rPr>
            </w:pPr>
          </w:p>
        </w:tc>
        <w:tc>
          <w:tcPr>
            <w:tcW w:w="782" w:type="dxa"/>
            <w:tcBorders>
              <w:top w:val="single" w:sz="6" w:space="0" w:color="000000"/>
              <w:bottom w:val="single" w:sz="6" w:space="0" w:color="000000"/>
            </w:tcBorders>
          </w:tcPr>
          <w:p>
            <w:pPr>
              <w:pStyle w:val="TableParagraph"/>
              <w:rPr>
                <w:rFonts w:ascii="Times New Roman"/>
                <w:sz w:val="10"/>
              </w:rPr>
            </w:pPr>
          </w:p>
        </w:tc>
      </w:tr>
      <w:tr>
        <w:trPr>
          <w:trHeight w:val="152" w:hRule="atLeast"/>
        </w:trPr>
        <w:tc>
          <w:tcPr>
            <w:tcW w:w="4709" w:type="dxa"/>
          </w:tcPr>
          <w:p>
            <w:pPr>
              <w:pStyle w:val="TableParagraph"/>
              <w:spacing w:line="113" w:lineRule="exact"/>
              <w:ind w:left="50"/>
              <w:rPr>
                <w:b/>
                <w:sz w:val="13"/>
              </w:rPr>
            </w:pPr>
            <w:r>
              <w:rPr>
                <w:b/>
                <w:spacing w:val="-2"/>
                <w:w w:val="105"/>
                <w:sz w:val="13"/>
              </w:rPr>
              <w:t>Total</w:t>
            </w:r>
            <w:r>
              <w:rPr>
                <w:b/>
                <w:spacing w:val="9"/>
                <w:w w:val="105"/>
                <w:sz w:val="13"/>
              </w:rPr>
              <w:t> </w:t>
            </w:r>
            <w:r>
              <w:rPr>
                <w:b/>
                <w:spacing w:val="-2"/>
                <w:w w:val="105"/>
                <w:sz w:val="13"/>
              </w:rPr>
              <w:t>employee-related</w:t>
            </w:r>
            <w:r>
              <w:rPr>
                <w:b/>
                <w:spacing w:val="10"/>
                <w:w w:val="105"/>
                <w:sz w:val="13"/>
              </w:rPr>
              <w:t> </w:t>
            </w:r>
            <w:r>
              <w:rPr>
                <w:b/>
                <w:spacing w:val="-2"/>
                <w:w w:val="105"/>
                <w:sz w:val="13"/>
              </w:rPr>
              <w:t>expenses</w:t>
            </w:r>
          </w:p>
        </w:tc>
        <w:tc>
          <w:tcPr>
            <w:tcW w:w="1051" w:type="dxa"/>
            <w:tcBorders>
              <w:top w:val="single" w:sz="6" w:space="0" w:color="000000"/>
              <w:bottom w:val="single" w:sz="6" w:space="0" w:color="000000"/>
            </w:tcBorders>
          </w:tcPr>
          <w:p>
            <w:pPr>
              <w:pStyle w:val="TableParagraph"/>
              <w:spacing w:line="113" w:lineRule="exact"/>
              <w:ind w:right="206"/>
              <w:jc w:val="right"/>
              <w:rPr>
                <w:b/>
                <w:sz w:val="13"/>
              </w:rPr>
            </w:pPr>
            <w:r>
              <w:rPr>
                <w:b/>
                <w:spacing w:val="-2"/>
                <w:w w:val="105"/>
                <w:sz w:val="13"/>
              </w:rPr>
              <w:t>553,345</w:t>
            </w:r>
          </w:p>
        </w:tc>
        <w:tc>
          <w:tcPr>
            <w:tcW w:w="917" w:type="dxa"/>
            <w:tcBorders>
              <w:top w:val="single" w:sz="6" w:space="0" w:color="000000"/>
              <w:bottom w:val="single" w:sz="6" w:space="0" w:color="000000"/>
            </w:tcBorders>
          </w:tcPr>
          <w:p>
            <w:pPr>
              <w:pStyle w:val="TableParagraph"/>
              <w:spacing w:line="113" w:lineRule="exact"/>
              <w:ind w:right="207"/>
              <w:jc w:val="right"/>
              <w:rPr>
                <w:b/>
                <w:sz w:val="13"/>
              </w:rPr>
            </w:pPr>
            <w:r>
              <w:rPr>
                <w:b/>
                <w:spacing w:val="-2"/>
                <w:w w:val="105"/>
                <w:sz w:val="13"/>
              </w:rPr>
              <w:t>556,146</w:t>
            </w:r>
          </w:p>
        </w:tc>
        <w:tc>
          <w:tcPr>
            <w:tcW w:w="915" w:type="dxa"/>
            <w:tcBorders>
              <w:top w:val="single" w:sz="6" w:space="0" w:color="000000"/>
              <w:bottom w:val="single" w:sz="6" w:space="0" w:color="000000"/>
            </w:tcBorders>
          </w:tcPr>
          <w:p>
            <w:pPr>
              <w:pStyle w:val="TableParagraph"/>
              <w:spacing w:line="113" w:lineRule="exact"/>
              <w:ind w:right="206"/>
              <w:jc w:val="right"/>
              <w:rPr>
                <w:b/>
                <w:sz w:val="13"/>
              </w:rPr>
            </w:pPr>
            <w:r>
              <w:rPr>
                <w:b/>
                <w:spacing w:val="-2"/>
                <w:w w:val="105"/>
                <w:sz w:val="13"/>
              </w:rPr>
              <w:t>539,140</w:t>
            </w:r>
          </w:p>
        </w:tc>
        <w:tc>
          <w:tcPr>
            <w:tcW w:w="782" w:type="dxa"/>
            <w:tcBorders>
              <w:top w:val="single" w:sz="6" w:space="0" w:color="000000"/>
              <w:bottom w:val="single" w:sz="6" w:space="0" w:color="000000"/>
            </w:tcBorders>
          </w:tcPr>
          <w:p>
            <w:pPr>
              <w:pStyle w:val="TableParagraph"/>
              <w:spacing w:line="113" w:lineRule="exact"/>
              <w:ind w:right="72"/>
              <w:jc w:val="right"/>
              <w:rPr>
                <w:b/>
                <w:sz w:val="13"/>
              </w:rPr>
            </w:pPr>
            <w:r>
              <w:rPr>
                <w:b/>
                <w:spacing w:val="-2"/>
                <w:w w:val="105"/>
                <w:sz w:val="13"/>
              </w:rPr>
              <w:t>541,076</w:t>
            </w:r>
          </w:p>
        </w:tc>
      </w:tr>
    </w:tbl>
    <w:p>
      <w:pPr>
        <w:spacing w:before="137"/>
        <w:ind w:left="847" w:right="0" w:firstLine="0"/>
        <w:jc w:val="left"/>
        <w:rPr>
          <w:b/>
          <w:i/>
          <w:sz w:val="13"/>
        </w:rPr>
      </w:pPr>
      <w:r>
        <w:rPr>
          <w:b/>
          <w:i/>
          <w:color w:val="0070C0"/>
          <w:w w:val="105"/>
          <w:sz w:val="13"/>
        </w:rPr>
        <w:t>Accounting</w:t>
      </w:r>
      <w:r>
        <w:rPr>
          <w:b/>
          <w:i/>
          <w:color w:val="0070C0"/>
          <w:spacing w:val="-6"/>
          <w:w w:val="105"/>
          <w:sz w:val="13"/>
        </w:rPr>
        <w:t> </w:t>
      </w:r>
      <w:r>
        <w:rPr>
          <w:b/>
          <w:i/>
          <w:color w:val="0070C0"/>
          <w:spacing w:val="-2"/>
          <w:w w:val="105"/>
          <w:sz w:val="13"/>
        </w:rPr>
        <w:t>policy</w:t>
      </w:r>
    </w:p>
    <w:p>
      <w:pPr>
        <w:spacing w:before="18"/>
        <w:ind w:left="847" w:right="0" w:firstLine="0"/>
        <w:jc w:val="left"/>
        <w:rPr>
          <w:b/>
          <w:sz w:val="13"/>
        </w:rPr>
      </w:pPr>
      <w:r>
        <w:rPr>
          <w:b/>
          <w:w w:val="105"/>
          <w:sz w:val="13"/>
        </w:rPr>
        <w:t>Wages</w:t>
      </w:r>
      <w:r>
        <w:rPr>
          <w:b/>
          <w:spacing w:val="-7"/>
          <w:w w:val="105"/>
          <w:sz w:val="13"/>
        </w:rPr>
        <w:t> </w:t>
      </w:r>
      <w:r>
        <w:rPr>
          <w:b/>
          <w:w w:val="105"/>
          <w:sz w:val="13"/>
        </w:rPr>
        <w:t>and</w:t>
      </w:r>
      <w:r>
        <w:rPr>
          <w:b/>
          <w:spacing w:val="-6"/>
          <w:w w:val="105"/>
          <w:sz w:val="13"/>
        </w:rPr>
        <w:t> </w:t>
      </w:r>
      <w:r>
        <w:rPr>
          <w:b/>
          <w:spacing w:val="-2"/>
          <w:w w:val="105"/>
          <w:sz w:val="13"/>
        </w:rPr>
        <w:t>salaries</w:t>
      </w:r>
    </w:p>
    <w:p>
      <w:pPr>
        <w:spacing w:line="273" w:lineRule="auto" w:before="25"/>
        <w:ind w:left="847" w:right="1763" w:firstLine="0"/>
        <w:jc w:val="left"/>
        <w:rPr>
          <w:sz w:val="13"/>
        </w:rPr>
      </w:pPr>
      <w:r>
        <w:rPr>
          <w:w w:val="105"/>
          <w:sz w:val="13"/>
        </w:rPr>
        <w:t>Employee</w:t>
      </w:r>
      <w:r>
        <w:rPr>
          <w:spacing w:val="16"/>
          <w:w w:val="105"/>
          <w:sz w:val="13"/>
        </w:rPr>
        <w:t> </w:t>
      </w:r>
      <w:r>
        <w:rPr>
          <w:w w:val="105"/>
          <w:sz w:val="13"/>
        </w:rPr>
        <w:t>expenses</w:t>
      </w:r>
      <w:r>
        <w:rPr>
          <w:spacing w:val="17"/>
          <w:w w:val="105"/>
          <w:sz w:val="13"/>
        </w:rPr>
        <w:t> </w:t>
      </w:r>
      <w:r>
        <w:rPr>
          <w:w w:val="105"/>
          <w:sz w:val="13"/>
        </w:rPr>
        <w:t>include</w:t>
      </w:r>
      <w:r>
        <w:rPr>
          <w:w w:val="105"/>
          <w:sz w:val="13"/>
        </w:rPr>
        <w:t> all</w:t>
      </w:r>
      <w:r>
        <w:rPr>
          <w:spacing w:val="17"/>
          <w:w w:val="105"/>
          <w:sz w:val="13"/>
        </w:rPr>
        <w:t> </w:t>
      </w:r>
      <w:r>
        <w:rPr>
          <w:w w:val="105"/>
          <w:sz w:val="13"/>
        </w:rPr>
        <w:t>costs</w:t>
      </w:r>
      <w:r>
        <w:rPr>
          <w:spacing w:val="15"/>
          <w:w w:val="105"/>
          <w:sz w:val="13"/>
        </w:rPr>
        <w:t> </w:t>
      </w:r>
      <w:r>
        <w:rPr>
          <w:w w:val="105"/>
          <w:sz w:val="13"/>
        </w:rPr>
        <w:t>related</w:t>
      </w:r>
      <w:r>
        <w:rPr>
          <w:spacing w:val="16"/>
          <w:w w:val="105"/>
          <w:sz w:val="13"/>
        </w:rPr>
        <w:t> </w:t>
      </w:r>
      <w:r>
        <w:rPr>
          <w:w w:val="105"/>
          <w:sz w:val="13"/>
        </w:rPr>
        <w:t>to</w:t>
      </w:r>
      <w:r>
        <w:rPr>
          <w:w w:val="105"/>
          <w:sz w:val="13"/>
        </w:rPr>
        <w:t> employment</w:t>
      </w:r>
      <w:r>
        <w:rPr>
          <w:spacing w:val="17"/>
          <w:w w:val="105"/>
          <w:sz w:val="13"/>
        </w:rPr>
        <w:t> </w:t>
      </w:r>
      <w:r>
        <w:rPr>
          <w:w w:val="105"/>
          <w:sz w:val="13"/>
        </w:rPr>
        <w:t>including</w:t>
      </w:r>
      <w:r>
        <w:rPr>
          <w:w w:val="105"/>
          <w:sz w:val="13"/>
        </w:rPr>
        <w:t> wages</w:t>
      </w:r>
      <w:r>
        <w:rPr>
          <w:spacing w:val="17"/>
          <w:w w:val="105"/>
          <w:sz w:val="13"/>
        </w:rPr>
        <w:t> </w:t>
      </w:r>
      <w:r>
        <w:rPr>
          <w:w w:val="105"/>
          <w:sz w:val="13"/>
        </w:rPr>
        <w:t>and</w:t>
      </w:r>
      <w:r>
        <w:rPr>
          <w:w w:val="105"/>
          <w:sz w:val="13"/>
        </w:rPr>
        <w:t> salaries,</w:t>
      </w:r>
      <w:r>
        <w:rPr>
          <w:spacing w:val="17"/>
          <w:w w:val="105"/>
          <w:sz w:val="13"/>
        </w:rPr>
        <w:t> </w:t>
      </w:r>
      <w:r>
        <w:rPr>
          <w:w w:val="105"/>
          <w:sz w:val="13"/>
        </w:rPr>
        <w:t>fringe</w:t>
      </w:r>
      <w:r>
        <w:rPr>
          <w:w w:val="105"/>
          <w:sz w:val="13"/>
        </w:rPr>
        <w:t> benefits</w:t>
      </w:r>
      <w:r>
        <w:rPr>
          <w:spacing w:val="17"/>
          <w:w w:val="105"/>
          <w:sz w:val="13"/>
        </w:rPr>
        <w:t> </w:t>
      </w:r>
      <w:r>
        <w:rPr>
          <w:w w:val="105"/>
          <w:sz w:val="13"/>
        </w:rPr>
        <w:t>tax,</w:t>
      </w:r>
      <w:r>
        <w:rPr>
          <w:w w:val="105"/>
          <w:sz w:val="13"/>
        </w:rPr>
        <w:t> leave</w:t>
      </w:r>
      <w:r>
        <w:rPr>
          <w:spacing w:val="16"/>
          <w:w w:val="105"/>
          <w:sz w:val="13"/>
        </w:rPr>
        <w:t> </w:t>
      </w:r>
      <w:r>
        <w:rPr>
          <w:w w:val="105"/>
          <w:sz w:val="13"/>
        </w:rPr>
        <w:t>entitlements</w:t>
      </w:r>
      <w:r>
        <w:rPr>
          <w:spacing w:val="15"/>
          <w:w w:val="105"/>
          <w:sz w:val="13"/>
        </w:rPr>
        <w:t> </w:t>
      </w:r>
      <w:r>
        <w:rPr>
          <w:w w:val="105"/>
          <w:sz w:val="13"/>
        </w:rPr>
        <w:t>and</w:t>
      </w:r>
      <w:r>
        <w:rPr>
          <w:spacing w:val="40"/>
          <w:w w:val="105"/>
          <w:sz w:val="13"/>
        </w:rPr>
        <w:t> </w:t>
      </w:r>
      <w:r>
        <w:rPr>
          <w:w w:val="105"/>
          <w:sz w:val="13"/>
        </w:rPr>
        <w:t>workers'</w:t>
      </w:r>
      <w:r>
        <w:rPr>
          <w:spacing w:val="-4"/>
          <w:w w:val="105"/>
          <w:sz w:val="13"/>
        </w:rPr>
        <w:t> </w:t>
      </w:r>
      <w:r>
        <w:rPr>
          <w:w w:val="105"/>
          <w:sz w:val="13"/>
        </w:rPr>
        <w:t>compensation.</w:t>
      </w:r>
    </w:p>
    <w:p>
      <w:pPr>
        <w:spacing w:line="240" w:lineRule="auto" w:before="19"/>
        <w:rPr>
          <w:sz w:val="13"/>
        </w:rPr>
      </w:pPr>
    </w:p>
    <w:p>
      <w:pPr>
        <w:spacing w:before="0"/>
        <w:ind w:left="847" w:right="0" w:firstLine="0"/>
        <w:jc w:val="left"/>
        <w:rPr>
          <w:b/>
          <w:sz w:val="13"/>
        </w:rPr>
      </w:pPr>
      <w:r>
        <w:rPr>
          <w:b/>
          <w:spacing w:val="-2"/>
          <w:w w:val="105"/>
          <w:sz w:val="13"/>
        </w:rPr>
        <w:t>Superannuation</w:t>
      </w:r>
    </w:p>
    <w:p>
      <w:pPr>
        <w:spacing w:line="273" w:lineRule="auto" w:before="25"/>
        <w:ind w:left="847" w:right="1763" w:hanging="1"/>
        <w:jc w:val="left"/>
        <w:rPr>
          <w:sz w:val="13"/>
        </w:rPr>
      </w:pPr>
      <w:r>
        <w:rPr>
          <w:w w:val="105"/>
          <w:sz w:val="13"/>
        </w:rPr>
        <w:t>The Group recognises amounts payable to defined contributions schemes as an expense in the income statement in the period that the</w:t>
      </w:r>
      <w:r>
        <w:rPr>
          <w:spacing w:val="40"/>
          <w:w w:val="105"/>
          <w:sz w:val="13"/>
        </w:rPr>
        <w:t> </w:t>
      </w:r>
      <w:r>
        <w:rPr>
          <w:w w:val="105"/>
          <w:sz w:val="13"/>
        </w:rPr>
        <w:t>service has been rendered by the employee.</w:t>
      </w:r>
    </w:p>
    <w:p>
      <w:pPr>
        <w:spacing w:line="240" w:lineRule="auto" w:before="19"/>
        <w:rPr>
          <w:sz w:val="13"/>
        </w:rPr>
      </w:pPr>
    </w:p>
    <w:p>
      <w:pPr>
        <w:spacing w:before="1"/>
        <w:ind w:left="847" w:right="0" w:firstLine="0"/>
        <w:jc w:val="both"/>
        <w:rPr>
          <w:b/>
          <w:sz w:val="13"/>
        </w:rPr>
      </w:pPr>
      <w:r>
        <w:rPr>
          <w:b/>
          <w:w w:val="105"/>
          <w:sz w:val="13"/>
        </w:rPr>
        <w:t>Short</w:t>
      </w:r>
      <w:r>
        <w:rPr>
          <w:b/>
          <w:spacing w:val="-3"/>
          <w:w w:val="105"/>
          <w:sz w:val="13"/>
        </w:rPr>
        <w:t> </w:t>
      </w:r>
      <w:r>
        <w:rPr>
          <w:b/>
          <w:w w:val="105"/>
          <w:sz w:val="13"/>
        </w:rPr>
        <w:t>term</w:t>
      </w:r>
      <w:r>
        <w:rPr>
          <w:b/>
          <w:spacing w:val="-3"/>
          <w:w w:val="105"/>
          <w:sz w:val="13"/>
        </w:rPr>
        <w:t> </w:t>
      </w:r>
      <w:r>
        <w:rPr>
          <w:b/>
          <w:spacing w:val="-2"/>
          <w:w w:val="105"/>
          <w:sz w:val="13"/>
        </w:rPr>
        <w:t>obligations</w:t>
      </w:r>
    </w:p>
    <w:p>
      <w:pPr>
        <w:spacing w:line="273" w:lineRule="auto" w:before="24"/>
        <w:ind w:left="847" w:right="1840" w:firstLine="0"/>
        <w:jc w:val="both"/>
        <w:rPr>
          <w:sz w:val="13"/>
        </w:rPr>
      </w:pPr>
      <w:r>
        <w:rPr>
          <w:w w:val="105"/>
          <w:sz w:val="13"/>
        </w:rPr>
        <w:t>When an employee has rendered service to the Group during an accounting period, the Group recognises the undiscounted amount of</w:t>
      </w:r>
      <w:r>
        <w:rPr>
          <w:spacing w:val="40"/>
          <w:w w:val="105"/>
          <w:sz w:val="13"/>
        </w:rPr>
        <w:t> </w:t>
      </w:r>
      <w:r>
        <w:rPr>
          <w:w w:val="105"/>
          <w:sz w:val="13"/>
        </w:rPr>
        <w:t>short-term employee benefits expected to be paid in exchange for that service:</w:t>
      </w:r>
    </w:p>
    <w:p>
      <w:pPr>
        <w:pStyle w:val="ListParagraph"/>
        <w:numPr>
          <w:ilvl w:val="0"/>
          <w:numId w:val="22"/>
        </w:numPr>
        <w:tabs>
          <w:tab w:pos="847" w:val="left" w:leader="none"/>
          <w:tab w:pos="1049" w:val="left" w:leader="none"/>
        </w:tabs>
        <w:spacing w:line="273" w:lineRule="auto" w:before="0" w:after="0"/>
        <w:ind w:left="847" w:right="1838" w:hanging="1"/>
        <w:jc w:val="both"/>
        <w:rPr>
          <w:sz w:val="13"/>
        </w:rPr>
      </w:pPr>
      <w:r>
        <w:rPr>
          <w:w w:val="105"/>
          <w:sz w:val="13"/>
        </w:rPr>
        <w:t>as</w:t>
      </w:r>
      <w:r>
        <w:rPr>
          <w:spacing w:val="-5"/>
          <w:w w:val="105"/>
          <w:sz w:val="13"/>
        </w:rPr>
        <w:t> </w:t>
      </w:r>
      <w:r>
        <w:rPr>
          <w:w w:val="105"/>
          <w:sz w:val="13"/>
        </w:rPr>
        <w:t>a</w:t>
      </w:r>
      <w:r>
        <w:rPr>
          <w:spacing w:val="-6"/>
          <w:w w:val="105"/>
          <w:sz w:val="13"/>
        </w:rPr>
        <w:t> </w:t>
      </w:r>
      <w:r>
        <w:rPr>
          <w:w w:val="105"/>
          <w:sz w:val="13"/>
        </w:rPr>
        <w:t>liability</w:t>
      </w:r>
      <w:r>
        <w:rPr>
          <w:spacing w:val="-9"/>
          <w:w w:val="105"/>
          <w:sz w:val="13"/>
        </w:rPr>
        <w:t> </w:t>
      </w:r>
      <w:r>
        <w:rPr>
          <w:w w:val="105"/>
          <w:sz w:val="13"/>
        </w:rPr>
        <w:t>(accrued</w:t>
      </w:r>
      <w:r>
        <w:rPr>
          <w:spacing w:val="-6"/>
          <w:w w:val="105"/>
          <w:sz w:val="13"/>
        </w:rPr>
        <w:t> </w:t>
      </w:r>
      <w:r>
        <w:rPr>
          <w:w w:val="105"/>
          <w:sz w:val="13"/>
        </w:rPr>
        <w:t>expense),</w:t>
      </w:r>
      <w:r>
        <w:rPr>
          <w:spacing w:val="-5"/>
          <w:w w:val="105"/>
          <w:sz w:val="13"/>
        </w:rPr>
        <w:t> </w:t>
      </w:r>
      <w:r>
        <w:rPr>
          <w:w w:val="105"/>
          <w:sz w:val="13"/>
        </w:rPr>
        <w:t>after</w:t>
      </w:r>
      <w:r>
        <w:rPr>
          <w:spacing w:val="-4"/>
          <w:w w:val="105"/>
          <w:sz w:val="13"/>
        </w:rPr>
        <w:t> </w:t>
      </w:r>
      <w:r>
        <w:rPr>
          <w:w w:val="105"/>
          <w:sz w:val="13"/>
        </w:rPr>
        <w:t>deducting</w:t>
      </w:r>
      <w:r>
        <w:rPr>
          <w:spacing w:val="-6"/>
          <w:w w:val="105"/>
          <w:sz w:val="13"/>
        </w:rPr>
        <w:t> </w:t>
      </w:r>
      <w:r>
        <w:rPr>
          <w:w w:val="105"/>
          <w:sz w:val="13"/>
        </w:rPr>
        <w:t>any</w:t>
      </w:r>
      <w:r>
        <w:rPr>
          <w:spacing w:val="-8"/>
          <w:w w:val="105"/>
          <w:sz w:val="13"/>
        </w:rPr>
        <w:t> </w:t>
      </w:r>
      <w:r>
        <w:rPr>
          <w:w w:val="105"/>
          <w:sz w:val="13"/>
        </w:rPr>
        <w:t>amount</w:t>
      </w:r>
      <w:r>
        <w:rPr>
          <w:spacing w:val="-5"/>
          <w:w w:val="105"/>
          <w:sz w:val="13"/>
        </w:rPr>
        <w:t> </w:t>
      </w:r>
      <w:r>
        <w:rPr>
          <w:w w:val="105"/>
          <w:sz w:val="13"/>
        </w:rPr>
        <w:t>already</w:t>
      </w:r>
      <w:r>
        <w:rPr>
          <w:spacing w:val="-8"/>
          <w:w w:val="105"/>
          <w:sz w:val="13"/>
        </w:rPr>
        <w:t> </w:t>
      </w:r>
      <w:r>
        <w:rPr>
          <w:w w:val="105"/>
          <w:sz w:val="13"/>
        </w:rPr>
        <w:t>paid.</w:t>
      </w:r>
      <w:r>
        <w:rPr>
          <w:spacing w:val="-6"/>
          <w:w w:val="105"/>
          <w:sz w:val="13"/>
        </w:rPr>
        <w:t> </w:t>
      </w:r>
      <w:r>
        <w:rPr>
          <w:w w:val="105"/>
          <w:sz w:val="13"/>
        </w:rPr>
        <w:t>If</w:t>
      </w:r>
      <w:r>
        <w:rPr>
          <w:spacing w:val="-3"/>
          <w:w w:val="105"/>
          <w:sz w:val="13"/>
        </w:rPr>
        <w:t> </w:t>
      </w:r>
      <w:r>
        <w:rPr>
          <w:w w:val="105"/>
          <w:sz w:val="13"/>
        </w:rPr>
        <w:t>the</w:t>
      </w:r>
      <w:r>
        <w:rPr>
          <w:spacing w:val="-6"/>
          <w:w w:val="105"/>
          <w:sz w:val="13"/>
        </w:rPr>
        <w:t> </w:t>
      </w:r>
      <w:r>
        <w:rPr>
          <w:w w:val="105"/>
          <w:sz w:val="13"/>
        </w:rPr>
        <w:t>amount</w:t>
      </w:r>
      <w:r>
        <w:rPr>
          <w:spacing w:val="-3"/>
          <w:w w:val="105"/>
          <w:sz w:val="13"/>
        </w:rPr>
        <w:t> </w:t>
      </w:r>
      <w:r>
        <w:rPr>
          <w:w w:val="105"/>
          <w:sz w:val="13"/>
        </w:rPr>
        <w:t>already</w:t>
      </w:r>
      <w:r>
        <w:rPr>
          <w:spacing w:val="-8"/>
          <w:w w:val="105"/>
          <w:sz w:val="13"/>
        </w:rPr>
        <w:t> </w:t>
      </w:r>
      <w:r>
        <w:rPr>
          <w:w w:val="105"/>
          <w:sz w:val="13"/>
        </w:rPr>
        <w:t>paid</w:t>
      </w:r>
      <w:r>
        <w:rPr>
          <w:spacing w:val="-4"/>
          <w:w w:val="105"/>
          <w:sz w:val="13"/>
        </w:rPr>
        <w:t> </w:t>
      </w:r>
      <w:r>
        <w:rPr>
          <w:w w:val="105"/>
          <w:sz w:val="13"/>
        </w:rPr>
        <w:t>exceeds</w:t>
      </w:r>
      <w:r>
        <w:rPr>
          <w:spacing w:val="-5"/>
          <w:w w:val="105"/>
          <w:sz w:val="13"/>
        </w:rPr>
        <w:t> </w:t>
      </w:r>
      <w:r>
        <w:rPr>
          <w:w w:val="105"/>
          <w:sz w:val="13"/>
        </w:rPr>
        <w:t>the</w:t>
      </w:r>
      <w:r>
        <w:rPr>
          <w:spacing w:val="-4"/>
          <w:w w:val="105"/>
          <w:sz w:val="13"/>
        </w:rPr>
        <w:t> </w:t>
      </w:r>
      <w:r>
        <w:rPr>
          <w:w w:val="105"/>
          <w:sz w:val="13"/>
        </w:rPr>
        <w:t>undiscounted</w:t>
      </w:r>
      <w:r>
        <w:rPr>
          <w:spacing w:val="-6"/>
          <w:w w:val="105"/>
          <w:sz w:val="13"/>
        </w:rPr>
        <w:t> </w:t>
      </w:r>
      <w:r>
        <w:rPr>
          <w:w w:val="105"/>
          <w:sz w:val="13"/>
        </w:rPr>
        <w:t>amount</w:t>
      </w:r>
      <w:r>
        <w:rPr>
          <w:spacing w:val="40"/>
          <w:w w:val="105"/>
          <w:sz w:val="13"/>
        </w:rPr>
        <w:t> </w:t>
      </w:r>
      <w:r>
        <w:rPr>
          <w:w w:val="105"/>
          <w:sz w:val="13"/>
        </w:rPr>
        <w:t>of</w:t>
      </w:r>
      <w:r>
        <w:rPr>
          <w:w w:val="105"/>
          <w:sz w:val="13"/>
        </w:rPr>
        <w:t> the</w:t>
      </w:r>
      <w:r>
        <w:rPr>
          <w:w w:val="105"/>
          <w:sz w:val="13"/>
        </w:rPr>
        <w:t> benefits,</w:t>
      </w:r>
      <w:r>
        <w:rPr>
          <w:w w:val="105"/>
          <w:sz w:val="13"/>
        </w:rPr>
        <w:t> the</w:t>
      </w:r>
      <w:r>
        <w:rPr>
          <w:w w:val="105"/>
          <w:sz w:val="13"/>
        </w:rPr>
        <w:t> Group</w:t>
      </w:r>
      <w:r>
        <w:rPr>
          <w:w w:val="105"/>
          <w:sz w:val="13"/>
        </w:rPr>
        <w:t> recognises</w:t>
      </w:r>
      <w:r>
        <w:rPr>
          <w:w w:val="105"/>
          <w:sz w:val="13"/>
        </w:rPr>
        <w:t> that</w:t>
      </w:r>
      <w:r>
        <w:rPr>
          <w:w w:val="105"/>
          <w:sz w:val="13"/>
        </w:rPr>
        <w:t> excess</w:t>
      </w:r>
      <w:r>
        <w:rPr>
          <w:w w:val="105"/>
          <w:sz w:val="13"/>
        </w:rPr>
        <w:t> as</w:t>
      </w:r>
      <w:r>
        <w:rPr>
          <w:w w:val="105"/>
          <w:sz w:val="13"/>
        </w:rPr>
        <w:t> an</w:t>
      </w:r>
      <w:r>
        <w:rPr>
          <w:w w:val="105"/>
          <w:sz w:val="13"/>
        </w:rPr>
        <w:t> asset</w:t>
      </w:r>
      <w:r>
        <w:rPr>
          <w:w w:val="105"/>
          <w:sz w:val="13"/>
        </w:rPr>
        <w:t> (prepaid</w:t>
      </w:r>
      <w:r>
        <w:rPr>
          <w:w w:val="105"/>
          <w:sz w:val="13"/>
        </w:rPr>
        <w:t> expense)</w:t>
      </w:r>
      <w:r>
        <w:rPr>
          <w:w w:val="105"/>
          <w:sz w:val="13"/>
        </w:rPr>
        <w:t> to</w:t>
      </w:r>
      <w:r>
        <w:rPr>
          <w:w w:val="105"/>
          <w:sz w:val="13"/>
        </w:rPr>
        <w:t> the</w:t>
      </w:r>
      <w:r>
        <w:rPr>
          <w:w w:val="105"/>
          <w:sz w:val="13"/>
        </w:rPr>
        <w:t> extent</w:t>
      </w:r>
      <w:r>
        <w:rPr>
          <w:w w:val="105"/>
          <w:sz w:val="13"/>
        </w:rPr>
        <w:t> that</w:t>
      </w:r>
      <w:r>
        <w:rPr>
          <w:w w:val="105"/>
          <w:sz w:val="13"/>
        </w:rPr>
        <w:t> the</w:t>
      </w:r>
      <w:r>
        <w:rPr>
          <w:w w:val="105"/>
          <w:sz w:val="13"/>
        </w:rPr>
        <w:t> prepayment</w:t>
      </w:r>
      <w:r>
        <w:rPr>
          <w:w w:val="105"/>
          <w:sz w:val="13"/>
        </w:rPr>
        <w:t> will</w:t>
      </w:r>
      <w:r>
        <w:rPr>
          <w:w w:val="105"/>
          <w:sz w:val="13"/>
        </w:rPr>
        <w:t> lead</w:t>
      </w:r>
      <w:r>
        <w:rPr>
          <w:w w:val="105"/>
          <w:sz w:val="13"/>
        </w:rPr>
        <w:t> to,</w:t>
      </w:r>
      <w:r>
        <w:rPr>
          <w:w w:val="105"/>
          <w:sz w:val="13"/>
        </w:rPr>
        <w:t> for</w:t>
      </w:r>
      <w:r>
        <w:rPr>
          <w:spacing w:val="40"/>
          <w:w w:val="105"/>
          <w:sz w:val="13"/>
        </w:rPr>
        <w:t> </w:t>
      </w:r>
      <w:r>
        <w:rPr>
          <w:w w:val="105"/>
          <w:sz w:val="13"/>
        </w:rPr>
        <w:t>example, a reduction in future payments or a cash refund.</w:t>
      </w:r>
    </w:p>
    <w:p>
      <w:pPr>
        <w:pStyle w:val="ListParagraph"/>
        <w:numPr>
          <w:ilvl w:val="0"/>
          <w:numId w:val="22"/>
        </w:numPr>
        <w:tabs>
          <w:tab w:pos="1050" w:val="left" w:leader="none"/>
        </w:tabs>
        <w:spacing w:line="148" w:lineRule="exact" w:before="0" w:after="0"/>
        <w:ind w:left="1050" w:right="0" w:hanging="203"/>
        <w:jc w:val="both"/>
        <w:rPr>
          <w:sz w:val="13"/>
        </w:rPr>
      </w:pPr>
      <w:r>
        <w:rPr>
          <w:w w:val="105"/>
          <w:sz w:val="13"/>
        </w:rPr>
        <w:t>as</w:t>
      </w:r>
      <w:r>
        <w:rPr>
          <w:spacing w:val="-6"/>
          <w:w w:val="105"/>
          <w:sz w:val="13"/>
        </w:rPr>
        <w:t> </w:t>
      </w:r>
      <w:r>
        <w:rPr>
          <w:w w:val="105"/>
          <w:sz w:val="13"/>
        </w:rPr>
        <w:t>an</w:t>
      </w:r>
      <w:r>
        <w:rPr>
          <w:spacing w:val="-6"/>
          <w:w w:val="105"/>
          <w:sz w:val="13"/>
        </w:rPr>
        <w:t> </w:t>
      </w:r>
      <w:r>
        <w:rPr>
          <w:w w:val="105"/>
          <w:sz w:val="13"/>
        </w:rPr>
        <w:t>expense</w:t>
      </w:r>
      <w:r>
        <w:rPr>
          <w:spacing w:val="-6"/>
          <w:w w:val="105"/>
          <w:sz w:val="13"/>
        </w:rPr>
        <w:t> </w:t>
      </w:r>
      <w:r>
        <w:rPr>
          <w:w w:val="105"/>
          <w:sz w:val="13"/>
        </w:rPr>
        <w:t>unless</w:t>
      </w:r>
      <w:r>
        <w:rPr>
          <w:spacing w:val="-5"/>
          <w:w w:val="105"/>
          <w:sz w:val="13"/>
        </w:rPr>
        <w:t> </w:t>
      </w:r>
      <w:r>
        <w:rPr>
          <w:w w:val="105"/>
          <w:sz w:val="13"/>
        </w:rPr>
        <w:t>another</w:t>
      </w:r>
      <w:r>
        <w:rPr>
          <w:spacing w:val="-4"/>
          <w:w w:val="105"/>
          <w:sz w:val="13"/>
        </w:rPr>
        <w:t> </w:t>
      </w:r>
      <w:r>
        <w:rPr>
          <w:w w:val="105"/>
          <w:sz w:val="13"/>
        </w:rPr>
        <w:t>AASB</w:t>
      </w:r>
      <w:r>
        <w:rPr>
          <w:spacing w:val="-6"/>
          <w:w w:val="105"/>
          <w:sz w:val="13"/>
        </w:rPr>
        <w:t> </w:t>
      </w:r>
      <w:r>
        <w:rPr>
          <w:w w:val="105"/>
          <w:sz w:val="13"/>
        </w:rPr>
        <w:t>requires</w:t>
      </w:r>
      <w:r>
        <w:rPr>
          <w:spacing w:val="-5"/>
          <w:w w:val="105"/>
          <w:sz w:val="13"/>
        </w:rPr>
        <w:t> </w:t>
      </w:r>
      <w:r>
        <w:rPr>
          <w:w w:val="105"/>
          <w:sz w:val="13"/>
        </w:rPr>
        <w:t>or</w:t>
      </w:r>
      <w:r>
        <w:rPr>
          <w:spacing w:val="-4"/>
          <w:w w:val="105"/>
          <w:sz w:val="13"/>
        </w:rPr>
        <w:t> </w:t>
      </w:r>
      <w:r>
        <w:rPr>
          <w:w w:val="105"/>
          <w:sz w:val="13"/>
        </w:rPr>
        <w:t>permits</w:t>
      </w:r>
      <w:r>
        <w:rPr>
          <w:spacing w:val="-5"/>
          <w:w w:val="105"/>
          <w:sz w:val="13"/>
        </w:rPr>
        <w:t> </w:t>
      </w:r>
      <w:r>
        <w:rPr>
          <w:w w:val="105"/>
          <w:sz w:val="13"/>
        </w:rPr>
        <w:t>the</w:t>
      </w:r>
      <w:r>
        <w:rPr>
          <w:spacing w:val="-6"/>
          <w:w w:val="105"/>
          <w:sz w:val="13"/>
        </w:rPr>
        <w:t> </w:t>
      </w:r>
      <w:r>
        <w:rPr>
          <w:w w:val="105"/>
          <w:sz w:val="13"/>
        </w:rPr>
        <w:t>inclusion</w:t>
      </w:r>
      <w:r>
        <w:rPr>
          <w:spacing w:val="-6"/>
          <w:w w:val="105"/>
          <w:sz w:val="13"/>
        </w:rPr>
        <w:t> </w:t>
      </w:r>
      <w:r>
        <w:rPr>
          <w:w w:val="105"/>
          <w:sz w:val="13"/>
        </w:rPr>
        <w:t>of</w:t>
      </w:r>
      <w:r>
        <w:rPr>
          <w:spacing w:val="-3"/>
          <w:w w:val="105"/>
          <w:sz w:val="13"/>
        </w:rPr>
        <w:t> </w:t>
      </w:r>
      <w:r>
        <w:rPr>
          <w:w w:val="105"/>
          <w:sz w:val="13"/>
        </w:rPr>
        <w:t>the</w:t>
      </w:r>
      <w:r>
        <w:rPr>
          <w:spacing w:val="-6"/>
          <w:w w:val="105"/>
          <w:sz w:val="13"/>
        </w:rPr>
        <w:t> </w:t>
      </w:r>
      <w:r>
        <w:rPr>
          <w:w w:val="105"/>
          <w:sz w:val="13"/>
        </w:rPr>
        <w:t>benefits</w:t>
      </w:r>
      <w:r>
        <w:rPr>
          <w:spacing w:val="-6"/>
          <w:w w:val="105"/>
          <w:sz w:val="13"/>
        </w:rPr>
        <w:t> </w:t>
      </w:r>
      <w:r>
        <w:rPr>
          <w:w w:val="105"/>
          <w:sz w:val="13"/>
        </w:rPr>
        <w:t>in</w:t>
      </w:r>
      <w:r>
        <w:rPr>
          <w:spacing w:val="-6"/>
          <w:w w:val="105"/>
          <w:sz w:val="13"/>
        </w:rPr>
        <w:t> </w:t>
      </w:r>
      <w:r>
        <w:rPr>
          <w:w w:val="105"/>
          <w:sz w:val="13"/>
        </w:rPr>
        <w:t>the</w:t>
      </w:r>
      <w:r>
        <w:rPr>
          <w:spacing w:val="-6"/>
          <w:w w:val="105"/>
          <w:sz w:val="13"/>
        </w:rPr>
        <w:t> </w:t>
      </w:r>
      <w:r>
        <w:rPr>
          <w:w w:val="105"/>
          <w:sz w:val="13"/>
        </w:rPr>
        <w:t>cost</w:t>
      </w:r>
      <w:r>
        <w:rPr>
          <w:spacing w:val="-5"/>
          <w:w w:val="105"/>
          <w:sz w:val="13"/>
        </w:rPr>
        <w:t> </w:t>
      </w:r>
      <w:r>
        <w:rPr>
          <w:w w:val="105"/>
          <w:sz w:val="13"/>
        </w:rPr>
        <w:t>of</w:t>
      </w:r>
      <w:r>
        <w:rPr>
          <w:spacing w:val="-4"/>
          <w:w w:val="105"/>
          <w:sz w:val="13"/>
        </w:rPr>
        <w:t> </w:t>
      </w:r>
      <w:r>
        <w:rPr>
          <w:w w:val="105"/>
          <w:sz w:val="13"/>
        </w:rPr>
        <w:t>an</w:t>
      </w:r>
      <w:r>
        <w:rPr>
          <w:spacing w:val="-6"/>
          <w:w w:val="105"/>
          <w:sz w:val="13"/>
        </w:rPr>
        <w:t> </w:t>
      </w:r>
      <w:r>
        <w:rPr>
          <w:spacing w:val="-2"/>
          <w:w w:val="105"/>
          <w:sz w:val="13"/>
        </w:rPr>
        <w:t>asset.</w:t>
      </w:r>
    </w:p>
    <w:p>
      <w:pPr>
        <w:spacing w:line="240" w:lineRule="auto" w:before="64"/>
        <w:rPr>
          <w:sz w:val="13"/>
        </w:rPr>
      </w:pPr>
    </w:p>
    <w:p>
      <w:pPr>
        <w:spacing w:before="1"/>
        <w:ind w:left="847" w:right="0" w:firstLine="0"/>
        <w:jc w:val="both"/>
        <w:rPr>
          <w:b/>
          <w:sz w:val="13"/>
        </w:rPr>
      </w:pPr>
      <w:r>
        <w:rPr>
          <w:b/>
          <w:w w:val="105"/>
          <w:sz w:val="13"/>
        </w:rPr>
        <w:t>Termination</w:t>
      </w:r>
      <w:r>
        <w:rPr>
          <w:b/>
          <w:spacing w:val="-9"/>
          <w:w w:val="105"/>
          <w:sz w:val="13"/>
        </w:rPr>
        <w:t> </w:t>
      </w:r>
      <w:r>
        <w:rPr>
          <w:b/>
          <w:spacing w:val="-2"/>
          <w:w w:val="105"/>
          <w:sz w:val="13"/>
        </w:rPr>
        <w:t>benefits</w:t>
      </w:r>
    </w:p>
    <w:p>
      <w:pPr>
        <w:spacing w:line="273" w:lineRule="auto" w:before="24"/>
        <w:ind w:left="847" w:right="1838" w:firstLine="0"/>
        <w:jc w:val="both"/>
        <w:rPr>
          <w:sz w:val="13"/>
        </w:rPr>
      </w:pPr>
      <w:r>
        <w:rPr>
          <w:w w:val="105"/>
          <w:sz w:val="13"/>
        </w:rPr>
        <w:t>Termination</w:t>
      </w:r>
      <w:r>
        <w:rPr>
          <w:w w:val="105"/>
          <w:sz w:val="13"/>
        </w:rPr>
        <w:t> benefits</w:t>
      </w:r>
      <w:r>
        <w:rPr>
          <w:w w:val="105"/>
          <w:sz w:val="13"/>
        </w:rPr>
        <w:t> are</w:t>
      </w:r>
      <w:r>
        <w:rPr>
          <w:w w:val="105"/>
          <w:sz w:val="13"/>
        </w:rPr>
        <w:t> payable</w:t>
      </w:r>
      <w:r>
        <w:rPr>
          <w:w w:val="105"/>
          <w:sz w:val="13"/>
        </w:rPr>
        <w:t> when</w:t>
      </w:r>
      <w:r>
        <w:rPr>
          <w:w w:val="105"/>
          <w:sz w:val="13"/>
        </w:rPr>
        <w:t> employment</w:t>
      </w:r>
      <w:r>
        <w:rPr>
          <w:w w:val="105"/>
          <w:sz w:val="13"/>
        </w:rPr>
        <w:t> is</w:t>
      </w:r>
      <w:r>
        <w:rPr>
          <w:w w:val="105"/>
          <w:sz w:val="13"/>
        </w:rPr>
        <w:t> terminated</w:t>
      </w:r>
      <w:r>
        <w:rPr>
          <w:w w:val="105"/>
          <w:sz w:val="13"/>
        </w:rPr>
        <w:t> by Group</w:t>
      </w:r>
      <w:r>
        <w:rPr>
          <w:w w:val="105"/>
          <w:sz w:val="13"/>
        </w:rPr>
        <w:t> before</w:t>
      </w:r>
      <w:r>
        <w:rPr>
          <w:w w:val="105"/>
          <w:sz w:val="13"/>
        </w:rPr>
        <w:t> the</w:t>
      </w:r>
      <w:r>
        <w:rPr>
          <w:w w:val="105"/>
          <w:sz w:val="13"/>
        </w:rPr>
        <w:t> normal</w:t>
      </w:r>
      <w:r>
        <w:rPr>
          <w:w w:val="105"/>
          <w:sz w:val="13"/>
        </w:rPr>
        <w:t> retirement</w:t>
      </w:r>
      <w:r>
        <w:rPr>
          <w:w w:val="105"/>
          <w:sz w:val="13"/>
        </w:rPr>
        <w:t> date,</w:t>
      </w:r>
      <w:r>
        <w:rPr>
          <w:w w:val="105"/>
          <w:sz w:val="13"/>
        </w:rPr>
        <w:t> or</w:t>
      </w:r>
      <w:r>
        <w:rPr>
          <w:w w:val="105"/>
          <w:sz w:val="13"/>
        </w:rPr>
        <w:t> when</w:t>
      </w:r>
      <w:r>
        <w:rPr>
          <w:w w:val="105"/>
          <w:sz w:val="13"/>
        </w:rPr>
        <w:t> an</w:t>
      </w:r>
      <w:r>
        <w:rPr>
          <w:w w:val="105"/>
          <w:sz w:val="13"/>
        </w:rPr>
        <w:t> employee</w:t>
      </w:r>
      <w:r>
        <w:rPr>
          <w:spacing w:val="40"/>
          <w:w w:val="105"/>
          <w:sz w:val="13"/>
        </w:rPr>
        <w:t> </w:t>
      </w:r>
      <w:r>
        <w:rPr>
          <w:w w:val="105"/>
          <w:sz w:val="13"/>
        </w:rPr>
        <w:t>accepts voluntary redundancy in exchange for these benefits.</w:t>
      </w:r>
    </w:p>
    <w:p>
      <w:pPr>
        <w:spacing w:line="240" w:lineRule="auto" w:before="20"/>
        <w:rPr>
          <w:sz w:val="13"/>
        </w:rPr>
      </w:pPr>
    </w:p>
    <w:p>
      <w:pPr>
        <w:spacing w:line="273" w:lineRule="auto" w:before="0"/>
        <w:ind w:left="847" w:right="1839" w:firstLine="0"/>
        <w:jc w:val="both"/>
        <w:rPr>
          <w:sz w:val="13"/>
        </w:rPr>
      </w:pPr>
      <w:r>
        <w:rPr/>
        <mc:AlternateContent>
          <mc:Choice Requires="wps">
            <w:drawing>
              <wp:anchor distT="0" distB="0" distL="0" distR="0" allowOverlap="1" layoutInCell="1" locked="0" behindDoc="0" simplePos="0" relativeHeight="15882752">
                <wp:simplePos x="0" y="0"/>
                <wp:positionH relativeFrom="page">
                  <wp:posOffset>7111289</wp:posOffset>
                </wp:positionH>
                <wp:positionV relativeFrom="paragraph">
                  <wp:posOffset>490247</wp:posOffset>
                </wp:positionV>
                <wp:extent cx="177800" cy="1945005"/>
                <wp:effectExtent l="0" t="0" r="0" b="0"/>
                <wp:wrapNone/>
                <wp:docPr id="910" name="Textbox 910"/>
                <wp:cNvGraphicFramePr>
                  <a:graphicFrameLocks/>
                </wp:cNvGraphicFramePr>
                <a:graphic>
                  <a:graphicData uri="http://schemas.microsoft.com/office/word/2010/wordprocessingShape">
                    <wps:wsp>
                      <wps:cNvPr id="910" name="Textbox 910"/>
                      <wps:cNvSpPr txBox="1"/>
                      <wps:spPr>
                        <a:xfrm>
                          <a:off x="0" y="0"/>
                          <a:ext cx="177800" cy="194500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38.602127pt;width:14pt;height:153.15pt;mso-position-horizontal-relative:page;mso-position-vertical-relative:paragraph;z-index:15882752" type="#_x0000_t202" id="docshape604"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v:textbox>
                <w10:wrap type="none"/>
              </v:shape>
            </w:pict>
          </mc:Fallback>
        </mc:AlternateContent>
      </w:r>
      <w:r>
        <w:rPr>
          <w:w w:val="105"/>
          <w:sz w:val="13"/>
        </w:rPr>
        <w:t>The Group recognises termination benefits at the earlier of the following dates: (a) when the Group can no longer withdraw the offer of</w:t>
      </w:r>
      <w:r>
        <w:rPr>
          <w:spacing w:val="40"/>
          <w:w w:val="105"/>
          <w:sz w:val="13"/>
        </w:rPr>
        <w:t> </w:t>
      </w:r>
      <w:r>
        <w:rPr>
          <w:w w:val="105"/>
          <w:sz w:val="13"/>
        </w:rPr>
        <w:t>those</w:t>
      </w:r>
      <w:r>
        <w:rPr>
          <w:spacing w:val="-5"/>
          <w:w w:val="105"/>
          <w:sz w:val="13"/>
        </w:rPr>
        <w:t> </w:t>
      </w:r>
      <w:r>
        <w:rPr>
          <w:w w:val="105"/>
          <w:sz w:val="13"/>
        </w:rPr>
        <w:t>benefits;</w:t>
      </w:r>
      <w:r>
        <w:rPr>
          <w:spacing w:val="-4"/>
          <w:w w:val="105"/>
          <w:sz w:val="13"/>
        </w:rPr>
        <w:t> </w:t>
      </w:r>
      <w:r>
        <w:rPr>
          <w:w w:val="105"/>
          <w:sz w:val="13"/>
        </w:rPr>
        <w:t>and</w:t>
      </w:r>
      <w:r>
        <w:rPr>
          <w:spacing w:val="-5"/>
          <w:w w:val="105"/>
          <w:sz w:val="13"/>
        </w:rPr>
        <w:t> </w:t>
      </w:r>
      <w:r>
        <w:rPr>
          <w:w w:val="105"/>
          <w:sz w:val="13"/>
        </w:rPr>
        <w:t>(b)</w:t>
      </w:r>
      <w:r>
        <w:rPr>
          <w:spacing w:val="-3"/>
          <w:w w:val="105"/>
          <w:sz w:val="13"/>
        </w:rPr>
        <w:t> </w:t>
      </w:r>
      <w:r>
        <w:rPr>
          <w:w w:val="105"/>
          <w:sz w:val="13"/>
        </w:rPr>
        <w:t>when</w:t>
      </w:r>
      <w:r>
        <w:rPr>
          <w:spacing w:val="-5"/>
          <w:w w:val="105"/>
          <w:sz w:val="13"/>
        </w:rPr>
        <w:t> </w:t>
      </w:r>
      <w:r>
        <w:rPr>
          <w:w w:val="105"/>
          <w:sz w:val="13"/>
        </w:rPr>
        <w:t>the</w:t>
      </w:r>
      <w:r>
        <w:rPr>
          <w:spacing w:val="-5"/>
          <w:w w:val="105"/>
          <w:sz w:val="13"/>
        </w:rPr>
        <w:t> </w:t>
      </w:r>
      <w:r>
        <w:rPr>
          <w:w w:val="105"/>
          <w:sz w:val="13"/>
        </w:rPr>
        <w:t>Group</w:t>
      </w:r>
      <w:r>
        <w:rPr>
          <w:spacing w:val="-5"/>
          <w:w w:val="105"/>
          <w:sz w:val="13"/>
        </w:rPr>
        <w:t> </w:t>
      </w:r>
      <w:r>
        <w:rPr>
          <w:w w:val="105"/>
          <w:sz w:val="13"/>
        </w:rPr>
        <w:t>recognises</w:t>
      </w:r>
      <w:r>
        <w:rPr>
          <w:spacing w:val="-4"/>
          <w:w w:val="105"/>
          <w:sz w:val="13"/>
        </w:rPr>
        <w:t> </w:t>
      </w:r>
      <w:r>
        <w:rPr>
          <w:w w:val="105"/>
          <w:sz w:val="13"/>
        </w:rPr>
        <w:t>costs</w:t>
      </w:r>
      <w:r>
        <w:rPr>
          <w:spacing w:val="-4"/>
          <w:w w:val="105"/>
          <w:sz w:val="13"/>
        </w:rPr>
        <w:t> </w:t>
      </w:r>
      <w:r>
        <w:rPr>
          <w:w w:val="105"/>
          <w:sz w:val="13"/>
        </w:rPr>
        <w:t>for</w:t>
      </w:r>
      <w:r>
        <w:rPr>
          <w:spacing w:val="-3"/>
          <w:w w:val="105"/>
          <w:sz w:val="13"/>
        </w:rPr>
        <w:t> </w:t>
      </w:r>
      <w:r>
        <w:rPr>
          <w:w w:val="105"/>
          <w:sz w:val="13"/>
        </w:rPr>
        <w:t>a</w:t>
      </w:r>
      <w:r>
        <w:rPr>
          <w:spacing w:val="-5"/>
          <w:w w:val="105"/>
          <w:sz w:val="13"/>
        </w:rPr>
        <w:t> </w:t>
      </w:r>
      <w:r>
        <w:rPr>
          <w:w w:val="105"/>
          <w:sz w:val="13"/>
        </w:rPr>
        <w:t>restructuring</w:t>
      </w:r>
      <w:r>
        <w:rPr>
          <w:spacing w:val="-5"/>
          <w:w w:val="105"/>
          <w:sz w:val="13"/>
        </w:rPr>
        <w:t> </w:t>
      </w:r>
      <w:r>
        <w:rPr>
          <w:w w:val="105"/>
          <w:sz w:val="13"/>
        </w:rPr>
        <w:t>that</w:t>
      </w:r>
      <w:r>
        <w:rPr>
          <w:spacing w:val="-5"/>
          <w:w w:val="105"/>
          <w:sz w:val="13"/>
        </w:rPr>
        <w:t> </w:t>
      </w:r>
      <w:r>
        <w:rPr>
          <w:w w:val="105"/>
          <w:sz w:val="13"/>
        </w:rPr>
        <w:t>is</w:t>
      </w:r>
      <w:r>
        <w:rPr>
          <w:spacing w:val="-4"/>
          <w:w w:val="105"/>
          <w:sz w:val="13"/>
        </w:rPr>
        <w:t> </w:t>
      </w:r>
      <w:r>
        <w:rPr>
          <w:w w:val="105"/>
          <w:sz w:val="13"/>
        </w:rPr>
        <w:t>within</w:t>
      </w:r>
      <w:r>
        <w:rPr>
          <w:spacing w:val="-5"/>
          <w:w w:val="105"/>
          <w:sz w:val="13"/>
        </w:rPr>
        <w:t> </w:t>
      </w:r>
      <w:r>
        <w:rPr>
          <w:w w:val="105"/>
          <w:sz w:val="13"/>
        </w:rPr>
        <w:t>the</w:t>
      </w:r>
      <w:r>
        <w:rPr>
          <w:spacing w:val="-5"/>
          <w:w w:val="105"/>
          <w:sz w:val="13"/>
        </w:rPr>
        <w:t> </w:t>
      </w:r>
      <w:r>
        <w:rPr>
          <w:w w:val="105"/>
          <w:sz w:val="13"/>
        </w:rPr>
        <w:t>scope</w:t>
      </w:r>
      <w:r>
        <w:rPr>
          <w:spacing w:val="-5"/>
          <w:w w:val="105"/>
          <w:sz w:val="13"/>
        </w:rPr>
        <w:t> </w:t>
      </w:r>
      <w:r>
        <w:rPr>
          <w:w w:val="105"/>
          <w:sz w:val="13"/>
        </w:rPr>
        <w:t>of</w:t>
      </w:r>
      <w:r>
        <w:rPr>
          <w:spacing w:val="-2"/>
          <w:w w:val="105"/>
          <w:sz w:val="13"/>
        </w:rPr>
        <w:t> </w:t>
      </w:r>
      <w:r>
        <w:rPr>
          <w:w w:val="105"/>
          <w:sz w:val="13"/>
        </w:rPr>
        <w:t>AASB</w:t>
      </w:r>
      <w:r>
        <w:rPr>
          <w:spacing w:val="-5"/>
          <w:w w:val="105"/>
          <w:sz w:val="13"/>
        </w:rPr>
        <w:t> </w:t>
      </w:r>
      <w:r>
        <w:rPr>
          <w:w w:val="105"/>
          <w:sz w:val="13"/>
        </w:rPr>
        <w:t>137</w:t>
      </w:r>
      <w:r>
        <w:rPr>
          <w:spacing w:val="-5"/>
          <w:w w:val="105"/>
          <w:sz w:val="13"/>
        </w:rPr>
        <w:t> </w:t>
      </w:r>
      <w:r>
        <w:rPr>
          <w:w w:val="105"/>
          <w:sz w:val="13"/>
        </w:rPr>
        <w:t>and</w:t>
      </w:r>
      <w:r>
        <w:rPr>
          <w:spacing w:val="-5"/>
          <w:w w:val="105"/>
          <w:sz w:val="13"/>
        </w:rPr>
        <w:t> </w:t>
      </w:r>
      <w:r>
        <w:rPr>
          <w:w w:val="105"/>
          <w:sz w:val="13"/>
        </w:rPr>
        <w:t>involves</w:t>
      </w:r>
      <w:r>
        <w:rPr>
          <w:spacing w:val="-2"/>
          <w:w w:val="105"/>
          <w:sz w:val="13"/>
        </w:rPr>
        <w:t> </w:t>
      </w:r>
      <w:r>
        <w:rPr>
          <w:w w:val="105"/>
          <w:sz w:val="13"/>
        </w:rPr>
        <w:t>the</w:t>
      </w:r>
      <w:r>
        <w:rPr>
          <w:spacing w:val="-5"/>
          <w:w w:val="105"/>
          <w:sz w:val="13"/>
        </w:rPr>
        <w:t> </w:t>
      </w:r>
      <w:r>
        <w:rPr>
          <w:w w:val="105"/>
          <w:sz w:val="13"/>
        </w:rPr>
        <w:t>payment</w:t>
      </w:r>
      <w:r>
        <w:rPr>
          <w:spacing w:val="40"/>
          <w:w w:val="105"/>
          <w:sz w:val="13"/>
        </w:rPr>
        <w:t> </w:t>
      </w:r>
      <w:r>
        <w:rPr>
          <w:w w:val="105"/>
          <w:sz w:val="13"/>
        </w:rPr>
        <w:t>of terminations</w:t>
      </w:r>
      <w:r>
        <w:rPr>
          <w:spacing w:val="-1"/>
          <w:w w:val="105"/>
          <w:sz w:val="13"/>
        </w:rPr>
        <w:t> </w:t>
      </w:r>
      <w:r>
        <w:rPr>
          <w:w w:val="105"/>
          <w:sz w:val="13"/>
        </w:rPr>
        <w:t>benefits.</w:t>
      </w:r>
      <w:r>
        <w:rPr>
          <w:spacing w:val="-2"/>
          <w:w w:val="105"/>
          <w:sz w:val="13"/>
        </w:rPr>
        <w:t> </w:t>
      </w:r>
      <w:r>
        <w:rPr>
          <w:w w:val="105"/>
          <w:sz w:val="13"/>
        </w:rPr>
        <w:t>Benefits</w:t>
      </w:r>
      <w:r>
        <w:rPr>
          <w:spacing w:val="-1"/>
          <w:w w:val="105"/>
          <w:sz w:val="13"/>
        </w:rPr>
        <w:t> </w:t>
      </w:r>
      <w:r>
        <w:rPr>
          <w:w w:val="105"/>
          <w:sz w:val="13"/>
        </w:rPr>
        <w:t>falling</w:t>
      </w:r>
      <w:r>
        <w:rPr>
          <w:spacing w:val="-2"/>
          <w:w w:val="105"/>
          <w:sz w:val="13"/>
        </w:rPr>
        <w:t> </w:t>
      </w:r>
      <w:r>
        <w:rPr>
          <w:w w:val="105"/>
          <w:sz w:val="13"/>
        </w:rPr>
        <w:t>due</w:t>
      </w:r>
      <w:r>
        <w:rPr>
          <w:spacing w:val="-2"/>
          <w:w w:val="105"/>
          <w:sz w:val="13"/>
        </w:rPr>
        <w:t> </w:t>
      </w:r>
      <w:r>
        <w:rPr>
          <w:w w:val="105"/>
          <w:sz w:val="13"/>
        </w:rPr>
        <w:t>more</w:t>
      </w:r>
      <w:r>
        <w:rPr>
          <w:spacing w:val="-2"/>
          <w:w w:val="105"/>
          <w:sz w:val="13"/>
        </w:rPr>
        <w:t> </w:t>
      </w:r>
      <w:r>
        <w:rPr>
          <w:w w:val="105"/>
          <w:sz w:val="13"/>
        </w:rPr>
        <w:t>than</w:t>
      </w:r>
      <w:r>
        <w:rPr>
          <w:spacing w:val="-2"/>
          <w:w w:val="105"/>
          <w:sz w:val="13"/>
        </w:rPr>
        <w:t> </w:t>
      </w:r>
      <w:r>
        <w:rPr>
          <w:w w:val="105"/>
          <w:sz w:val="13"/>
        </w:rPr>
        <w:t>12</w:t>
      </w:r>
      <w:r>
        <w:rPr>
          <w:spacing w:val="-2"/>
          <w:w w:val="105"/>
          <w:sz w:val="13"/>
        </w:rPr>
        <w:t> </w:t>
      </w:r>
      <w:r>
        <w:rPr>
          <w:w w:val="105"/>
          <w:sz w:val="13"/>
        </w:rPr>
        <w:t>months</w:t>
      </w:r>
      <w:r>
        <w:rPr>
          <w:spacing w:val="-1"/>
          <w:w w:val="105"/>
          <w:sz w:val="13"/>
        </w:rPr>
        <w:t> </w:t>
      </w:r>
      <w:r>
        <w:rPr>
          <w:w w:val="105"/>
          <w:sz w:val="13"/>
        </w:rPr>
        <w:t>after the</w:t>
      </w:r>
      <w:r>
        <w:rPr>
          <w:spacing w:val="-2"/>
          <w:w w:val="105"/>
          <w:sz w:val="13"/>
        </w:rPr>
        <w:t> </w:t>
      </w:r>
      <w:r>
        <w:rPr>
          <w:w w:val="105"/>
          <w:sz w:val="13"/>
        </w:rPr>
        <w:t>end</w:t>
      </w:r>
      <w:r>
        <w:rPr>
          <w:spacing w:val="-2"/>
          <w:w w:val="105"/>
          <w:sz w:val="13"/>
        </w:rPr>
        <w:t> </w:t>
      </w:r>
      <w:r>
        <w:rPr>
          <w:w w:val="105"/>
          <w:sz w:val="13"/>
        </w:rPr>
        <w:t>of the</w:t>
      </w:r>
      <w:r>
        <w:rPr>
          <w:spacing w:val="-2"/>
          <w:w w:val="105"/>
          <w:sz w:val="13"/>
        </w:rPr>
        <w:t> </w:t>
      </w:r>
      <w:r>
        <w:rPr>
          <w:w w:val="105"/>
          <w:sz w:val="13"/>
        </w:rPr>
        <w:t>reporting</w:t>
      </w:r>
      <w:r>
        <w:rPr>
          <w:spacing w:val="-2"/>
          <w:w w:val="105"/>
          <w:sz w:val="13"/>
        </w:rPr>
        <w:t> </w:t>
      </w:r>
      <w:r>
        <w:rPr>
          <w:w w:val="105"/>
          <w:sz w:val="13"/>
        </w:rPr>
        <w:t>period</w:t>
      </w:r>
      <w:r>
        <w:rPr>
          <w:spacing w:val="-2"/>
          <w:w w:val="105"/>
          <w:sz w:val="13"/>
        </w:rPr>
        <w:t> </w:t>
      </w:r>
      <w:r>
        <w:rPr>
          <w:w w:val="105"/>
          <w:sz w:val="13"/>
        </w:rPr>
        <w:t>are</w:t>
      </w:r>
      <w:r>
        <w:rPr>
          <w:spacing w:val="-2"/>
          <w:w w:val="105"/>
          <w:sz w:val="13"/>
        </w:rPr>
        <w:t> </w:t>
      </w:r>
      <w:r>
        <w:rPr>
          <w:w w:val="105"/>
          <w:sz w:val="13"/>
        </w:rPr>
        <w:t>discounted</w:t>
      </w:r>
      <w:r>
        <w:rPr>
          <w:spacing w:val="-2"/>
          <w:w w:val="105"/>
          <w:sz w:val="13"/>
        </w:rPr>
        <w:t> </w:t>
      </w:r>
      <w:r>
        <w:rPr>
          <w:w w:val="105"/>
          <w:sz w:val="13"/>
        </w:rPr>
        <w:t>to</w:t>
      </w:r>
      <w:r>
        <w:rPr>
          <w:spacing w:val="-2"/>
          <w:w w:val="105"/>
          <w:sz w:val="13"/>
        </w:rPr>
        <w:t> </w:t>
      </w:r>
      <w:r>
        <w:rPr>
          <w:w w:val="105"/>
          <w:sz w:val="13"/>
        </w:rPr>
        <w:t>present</w:t>
      </w:r>
      <w:r>
        <w:rPr>
          <w:spacing w:val="-2"/>
          <w:w w:val="105"/>
          <w:sz w:val="13"/>
        </w:rPr>
        <w:t> </w:t>
      </w:r>
      <w:r>
        <w:rPr>
          <w:w w:val="105"/>
          <w:sz w:val="13"/>
        </w:rPr>
        <w:t>value.</w:t>
      </w:r>
    </w:p>
    <w:p>
      <w:pPr>
        <w:spacing w:line="240" w:lineRule="auto" w:before="129"/>
        <w:rPr>
          <w:sz w:val="20"/>
        </w:rPr>
      </w:pPr>
      <w:r>
        <w:rPr/>
        <mc:AlternateContent>
          <mc:Choice Requires="wps">
            <w:drawing>
              <wp:anchor distT="0" distB="0" distL="0" distR="0" allowOverlap="1" layoutInCell="1" locked="0" behindDoc="1" simplePos="0" relativeHeight="487741440">
                <wp:simplePos x="0" y="0"/>
                <wp:positionH relativeFrom="page">
                  <wp:posOffset>720001</wp:posOffset>
                </wp:positionH>
                <wp:positionV relativeFrom="paragraph">
                  <wp:posOffset>243192</wp:posOffset>
                </wp:positionV>
                <wp:extent cx="5688330" cy="17145"/>
                <wp:effectExtent l="0" t="0" r="0" b="0"/>
                <wp:wrapTopAndBottom/>
                <wp:docPr id="911" name="Graphic 911"/>
                <wp:cNvGraphicFramePr>
                  <a:graphicFrameLocks/>
                </wp:cNvGraphicFramePr>
                <a:graphic>
                  <a:graphicData uri="http://schemas.microsoft.com/office/word/2010/wordprocessingShape">
                    <wps:wsp>
                      <wps:cNvPr id="911" name="Graphic 911"/>
                      <wps:cNvSpPr/>
                      <wps:spPr>
                        <a:xfrm>
                          <a:off x="0" y="0"/>
                          <a:ext cx="5688330" cy="17145"/>
                        </a:xfrm>
                        <a:custGeom>
                          <a:avLst/>
                          <a:gdLst/>
                          <a:ahLst/>
                          <a:cxnLst/>
                          <a:rect l="l" t="t" r="r" b="b"/>
                          <a:pathLst>
                            <a:path w="5688330" h="17145">
                              <a:moveTo>
                                <a:pt x="5688126" y="0"/>
                              </a:moveTo>
                              <a:lnTo>
                                <a:pt x="0" y="0"/>
                              </a:lnTo>
                              <a:lnTo>
                                <a:pt x="0" y="16827"/>
                              </a:lnTo>
                              <a:lnTo>
                                <a:pt x="5688126" y="16827"/>
                              </a:lnTo>
                              <a:lnTo>
                                <a:pt x="5688126"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6.693001pt;margin-top:19.149023pt;width:447.884pt;height:1.325pt;mso-position-horizontal-relative:page;mso-position-vertical-relative:paragraph;z-index:-15575040;mso-wrap-distance-left:0;mso-wrap-distance-right:0" id="docshape605" filled="true" fillcolor="#4f81bd" stroked="false">
                <v:fill type="solid"/>
                <w10:wrap type="topAndBottom"/>
              </v:rect>
            </w:pict>
          </mc:Fallback>
        </mc:AlternateContent>
      </w:r>
    </w:p>
    <w:p>
      <w:pPr>
        <w:spacing w:after="0" w:line="240" w:lineRule="auto"/>
        <w:rPr>
          <w:sz w:val="20"/>
        </w:rPr>
        <w:sectPr>
          <w:pgSz w:w="11910" w:h="16840"/>
          <w:pgMar w:header="468" w:footer="0" w:top="720" w:bottom="280" w:left="920" w:right="0"/>
        </w:sectPr>
      </w:pPr>
    </w:p>
    <w:p>
      <w:pPr>
        <w:spacing w:line="240" w:lineRule="auto" w:before="0"/>
        <w:rPr>
          <w:sz w:val="16"/>
        </w:rPr>
      </w:pPr>
    </w:p>
    <w:p>
      <w:pPr>
        <w:spacing w:line="240" w:lineRule="auto" w:before="18"/>
        <w:rPr>
          <w:sz w:val="16"/>
        </w:rPr>
      </w:pPr>
    </w:p>
    <w:p>
      <w:pPr>
        <w:pStyle w:val="ListParagraph"/>
        <w:numPr>
          <w:ilvl w:val="1"/>
          <w:numId w:val="13"/>
        </w:numPr>
        <w:tabs>
          <w:tab w:pos="851" w:val="left" w:leader="none"/>
          <w:tab w:pos="5995" w:val="left" w:leader="none"/>
          <w:tab w:pos="7931" w:val="left" w:leader="none"/>
        </w:tabs>
        <w:spacing w:line="240" w:lineRule="auto" w:before="0" w:after="22"/>
        <w:ind w:left="851" w:right="0" w:hanging="607"/>
        <w:jc w:val="left"/>
        <w:rPr>
          <w:b/>
          <w:color w:val="0070C0"/>
          <w:sz w:val="16"/>
        </w:rPr>
      </w:pPr>
      <w:r>
        <w:rPr>
          <w:b/>
          <w:color w:val="0070C0"/>
          <w:sz w:val="16"/>
        </w:rPr>
        <w:t>Employee</w:t>
      </w:r>
      <w:r>
        <w:rPr>
          <w:b/>
          <w:color w:val="0070C0"/>
          <w:spacing w:val="7"/>
          <w:sz w:val="16"/>
        </w:rPr>
        <w:t> </w:t>
      </w:r>
      <w:r>
        <w:rPr>
          <w:b/>
          <w:color w:val="0070C0"/>
          <w:sz w:val="16"/>
        </w:rPr>
        <w:t>benefits</w:t>
      </w:r>
      <w:r>
        <w:rPr>
          <w:b/>
          <w:color w:val="0070C0"/>
          <w:spacing w:val="7"/>
          <w:sz w:val="16"/>
        </w:rPr>
        <w:t> </w:t>
      </w:r>
      <w:r>
        <w:rPr>
          <w:b/>
          <w:color w:val="0070C0"/>
          <w:spacing w:val="-2"/>
          <w:sz w:val="16"/>
        </w:rPr>
        <w:t>provisions</w:t>
      </w:r>
      <w:r>
        <w:rPr>
          <w:b/>
          <w:color w:val="0070C0"/>
          <w:sz w:val="16"/>
        </w:rPr>
        <w:tab/>
      </w:r>
      <w:r>
        <w:rPr>
          <w:b/>
          <w:spacing w:val="-2"/>
          <w:sz w:val="13"/>
        </w:rPr>
        <w:t>Consolidated</w:t>
      </w:r>
      <w:r>
        <w:rPr>
          <w:b/>
          <w:sz w:val="13"/>
        </w:rPr>
        <w:tab/>
      </w:r>
      <w:r>
        <w:rPr>
          <w:b/>
          <w:spacing w:val="-2"/>
          <w:sz w:val="13"/>
        </w:rPr>
        <w:t>University</w:t>
      </w:r>
    </w:p>
    <w:tbl>
      <w:tblPr>
        <w:tblW w:w="0" w:type="auto"/>
        <w:jc w:val="left"/>
        <w:tblInd w:w="8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693"/>
        <w:gridCol w:w="1028"/>
        <w:gridCol w:w="730"/>
        <w:gridCol w:w="208"/>
        <w:gridCol w:w="893"/>
        <w:gridCol w:w="805"/>
      </w:tblGrid>
      <w:tr>
        <w:trPr>
          <w:trHeight w:val="323" w:hRule="atLeast"/>
        </w:trPr>
        <w:tc>
          <w:tcPr>
            <w:tcW w:w="4693" w:type="dxa"/>
          </w:tcPr>
          <w:p>
            <w:pPr>
              <w:pStyle w:val="TableParagraph"/>
              <w:rPr>
                <w:rFonts w:ascii="Times New Roman"/>
                <w:sz w:val="12"/>
              </w:rPr>
            </w:pPr>
          </w:p>
        </w:tc>
        <w:tc>
          <w:tcPr>
            <w:tcW w:w="1028" w:type="dxa"/>
            <w:tcBorders>
              <w:bottom w:val="single" w:sz="6" w:space="0" w:color="000000"/>
            </w:tcBorders>
          </w:tcPr>
          <w:p>
            <w:pPr>
              <w:pStyle w:val="TableParagraph"/>
              <w:spacing w:before="2"/>
              <w:ind w:left="313"/>
              <w:rPr>
                <w:b/>
                <w:sz w:val="13"/>
              </w:rPr>
            </w:pPr>
            <w:r>
              <w:rPr>
                <w:b/>
                <w:spacing w:val="-4"/>
                <w:w w:val="105"/>
                <w:sz w:val="13"/>
              </w:rPr>
              <w:t>2020</w:t>
            </w:r>
          </w:p>
          <w:p>
            <w:pPr>
              <w:pStyle w:val="TableParagraph"/>
              <w:spacing w:line="134" w:lineRule="exact" w:before="18"/>
              <w:ind w:left="298"/>
              <w:rPr>
                <w:b/>
                <w:sz w:val="13"/>
              </w:rPr>
            </w:pPr>
            <w:r>
              <w:rPr>
                <w:b/>
                <w:spacing w:val="-2"/>
                <w:w w:val="105"/>
                <w:sz w:val="13"/>
              </w:rPr>
              <w:t>$'000</w:t>
            </w:r>
          </w:p>
        </w:tc>
        <w:tc>
          <w:tcPr>
            <w:tcW w:w="730" w:type="dxa"/>
            <w:tcBorders>
              <w:bottom w:val="single" w:sz="6" w:space="0" w:color="000000"/>
            </w:tcBorders>
          </w:tcPr>
          <w:p>
            <w:pPr>
              <w:pStyle w:val="TableParagraph"/>
              <w:spacing w:before="2"/>
              <w:ind w:left="201"/>
              <w:rPr>
                <w:b/>
                <w:sz w:val="13"/>
              </w:rPr>
            </w:pPr>
            <w:r>
              <w:rPr>
                <w:b/>
                <w:spacing w:val="-4"/>
                <w:w w:val="105"/>
                <w:sz w:val="13"/>
              </w:rPr>
              <w:t>2019</w:t>
            </w:r>
          </w:p>
          <w:p>
            <w:pPr>
              <w:pStyle w:val="TableParagraph"/>
              <w:spacing w:line="134" w:lineRule="exact" w:before="18"/>
              <w:ind w:left="186"/>
              <w:rPr>
                <w:b/>
                <w:sz w:val="13"/>
              </w:rPr>
            </w:pPr>
            <w:r>
              <w:rPr>
                <w:b/>
                <w:spacing w:val="-2"/>
                <w:w w:val="105"/>
                <w:sz w:val="13"/>
              </w:rPr>
              <w:t>$'000</w:t>
            </w:r>
          </w:p>
        </w:tc>
        <w:tc>
          <w:tcPr>
            <w:tcW w:w="208" w:type="dxa"/>
            <w:tcBorders>
              <w:bottom w:val="single" w:sz="6" w:space="0" w:color="000000"/>
            </w:tcBorders>
          </w:tcPr>
          <w:p>
            <w:pPr>
              <w:pStyle w:val="TableParagraph"/>
              <w:rPr>
                <w:rFonts w:ascii="Times New Roman"/>
                <w:sz w:val="12"/>
              </w:rPr>
            </w:pPr>
          </w:p>
        </w:tc>
        <w:tc>
          <w:tcPr>
            <w:tcW w:w="893" w:type="dxa"/>
            <w:tcBorders>
              <w:bottom w:val="single" w:sz="6" w:space="0" w:color="000000"/>
            </w:tcBorders>
          </w:tcPr>
          <w:p>
            <w:pPr>
              <w:pStyle w:val="TableParagraph"/>
              <w:spacing w:before="2"/>
              <w:ind w:left="179"/>
              <w:rPr>
                <w:b/>
                <w:sz w:val="13"/>
              </w:rPr>
            </w:pPr>
            <w:r>
              <w:rPr>
                <w:b/>
                <w:spacing w:val="-4"/>
                <w:w w:val="105"/>
                <w:sz w:val="13"/>
              </w:rPr>
              <w:t>2020</w:t>
            </w:r>
          </w:p>
          <w:p>
            <w:pPr>
              <w:pStyle w:val="TableParagraph"/>
              <w:spacing w:line="134" w:lineRule="exact" w:before="18"/>
              <w:ind w:left="164"/>
              <w:rPr>
                <w:b/>
                <w:sz w:val="13"/>
              </w:rPr>
            </w:pPr>
            <w:r>
              <w:rPr>
                <w:b/>
                <w:spacing w:val="-2"/>
                <w:w w:val="105"/>
                <w:sz w:val="13"/>
              </w:rPr>
              <w:t>$'000</w:t>
            </w:r>
          </w:p>
        </w:tc>
        <w:tc>
          <w:tcPr>
            <w:tcW w:w="805" w:type="dxa"/>
            <w:tcBorders>
              <w:bottom w:val="single" w:sz="6" w:space="0" w:color="000000"/>
            </w:tcBorders>
          </w:tcPr>
          <w:p>
            <w:pPr>
              <w:pStyle w:val="TableParagraph"/>
              <w:spacing w:before="2"/>
              <w:ind w:left="202"/>
              <w:rPr>
                <w:b/>
                <w:sz w:val="13"/>
              </w:rPr>
            </w:pPr>
            <w:r>
              <w:rPr>
                <w:b/>
                <w:spacing w:val="-4"/>
                <w:w w:val="105"/>
                <w:sz w:val="13"/>
              </w:rPr>
              <w:t>2019</w:t>
            </w:r>
          </w:p>
          <w:p>
            <w:pPr>
              <w:pStyle w:val="TableParagraph"/>
              <w:spacing w:line="134" w:lineRule="exact" w:before="18"/>
              <w:ind w:left="187"/>
              <w:rPr>
                <w:b/>
                <w:sz w:val="13"/>
              </w:rPr>
            </w:pPr>
            <w:r>
              <w:rPr>
                <w:b/>
                <w:spacing w:val="-2"/>
                <w:w w:val="105"/>
                <w:sz w:val="13"/>
              </w:rPr>
              <w:t>$'000</w:t>
            </w:r>
          </w:p>
        </w:tc>
      </w:tr>
      <w:tr>
        <w:trPr>
          <w:trHeight w:val="408" w:hRule="atLeast"/>
        </w:trPr>
        <w:tc>
          <w:tcPr>
            <w:tcW w:w="4693" w:type="dxa"/>
          </w:tcPr>
          <w:p>
            <w:pPr>
              <w:pStyle w:val="TableParagraph"/>
              <w:spacing w:before="16"/>
              <w:rPr>
                <w:b/>
                <w:sz w:val="13"/>
              </w:rPr>
            </w:pPr>
          </w:p>
          <w:p>
            <w:pPr>
              <w:pStyle w:val="TableParagraph"/>
              <w:spacing w:before="1"/>
              <w:ind w:left="34"/>
              <w:rPr>
                <w:b/>
                <w:sz w:val="13"/>
              </w:rPr>
            </w:pPr>
            <w:r>
              <w:rPr>
                <w:b/>
                <w:w w:val="105"/>
                <w:sz w:val="13"/>
              </w:rPr>
              <w:t>Current</w:t>
            </w:r>
            <w:r>
              <w:rPr>
                <w:b/>
                <w:spacing w:val="-4"/>
                <w:w w:val="105"/>
                <w:sz w:val="13"/>
              </w:rPr>
              <w:t> </w:t>
            </w:r>
            <w:r>
              <w:rPr>
                <w:b/>
                <w:spacing w:val="-2"/>
                <w:w w:val="105"/>
                <w:sz w:val="13"/>
              </w:rPr>
              <w:t>provisions</w:t>
            </w:r>
          </w:p>
        </w:tc>
        <w:tc>
          <w:tcPr>
            <w:tcW w:w="1028" w:type="dxa"/>
            <w:tcBorders>
              <w:top w:val="single" w:sz="6" w:space="0" w:color="000000"/>
            </w:tcBorders>
          </w:tcPr>
          <w:p>
            <w:pPr>
              <w:pStyle w:val="TableParagraph"/>
              <w:rPr>
                <w:rFonts w:ascii="Times New Roman"/>
                <w:sz w:val="12"/>
              </w:rPr>
            </w:pPr>
          </w:p>
        </w:tc>
        <w:tc>
          <w:tcPr>
            <w:tcW w:w="730" w:type="dxa"/>
            <w:tcBorders>
              <w:top w:val="single" w:sz="6" w:space="0" w:color="000000"/>
            </w:tcBorders>
          </w:tcPr>
          <w:p>
            <w:pPr>
              <w:pStyle w:val="TableParagraph"/>
              <w:rPr>
                <w:rFonts w:ascii="Times New Roman"/>
                <w:sz w:val="12"/>
              </w:rPr>
            </w:pPr>
          </w:p>
        </w:tc>
        <w:tc>
          <w:tcPr>
            <w:tcW w:w="208" w:type="dxa"/>
            <w:tcBorders>
              <w:top w:val="single" w:sz="6" w:space="0" w:color="000000"/>
            </w:tcBorders>
          </w:tcPr>
          <w:p>
            <w:pPr>
              <w:pStyle w:val="TableParagraph"/>
              <w:rPr>
                <w:rFonts w:ascii="Times New Roman"/>
                <w:sz w:val="12"/>
              </w:rPr>
            </w:pPr>
          </w:p>
        </w:tc>
        <w:tc>
          <w:tcPr>
            <w:tcW w:w="893" w:type="dxa"/>
            <w:tcBorders>
              <w:top w:val="single" w:sz="6" w:space="0" w:color="000000"/>
            </w:tcBorders>
          </w:tcPr>
          <w:p>
            <w:pPr>
              <w:pStyle w:val="TableParagraph"/>
              <w:rPr>
                <w:rFonts w:ascii="Times New Roman"/>
                <w:sz w:val="12"/>
              </w:rPr>
            </w:pPr>
          </w:p>
        </w:tc>
        <w:tc>
          <w:tcPr>
            <w:tcW w:w="805" w:type="dxa"/>
            <w:tcBorders>
              <w:top w:val="single" w:sz="6" w:space="0" w:color="000000"/>
            </w:tcBorders>
          </w:tcPr>
          <w:p>
            <w:pPr>
              <w:pStyle w:val="TableParagraph"/>
              <w:rPr>
                <w:rFonts w:ascii="Times New Roman"/>
                <w:sz w:val="12"/>
              </w:rPr>
            </w:pPr>
          </w:p>
        </w:tc>
      </w:tr>
      <w:tr>
        <w:trPr>
          <w:trHeight w:val="417" w:hRule="atLeast"/>
        </w:trPr>
        <w:tc>
          <w:tcPr>
            <w:tcW w:w="4693" w:type="dxa"/>
          </w:tcPr>
          <w:p>
            <w:pPr>
              <w:pStyle w:val="TableParagraph"/>
              <w:spacing w:before="93"/>
              <w:ind w:left="34"/>
              <w:rPr>
                <w:b/>
                <w:sz w:val="13"/>
              </w:rPr>
            </w:pPr>
            <w:r>
              <w:rPr>
                <w:b/>
                <w:w w:val="105"/>
                <w:sz w:val="13"/>
              </w:rPr>
              <w:t>Expected</w:t>
            </w:r>
            <w:r>
              <w:rPr>
                <w:b/>
                <w:spacing w:val="-4"/>
                <w:w w:val="105"/>
                <w:sz w:val="13"/>
              </w:rPr>
              <w:t> </w:t>
            </w:r>
            <w:r>
              <w:rPr>
                <w:b/>
                <w:w w:val="105"/>
                <w:sz w:val="13"/>
              </w:rPr>
              <w:t>to</w:t>
            </w:r>
            <w:r>
              <w:rPr>
                <w:b/>
                <w:spacing w:val="-4"/>
                <w:w w:val="105"/>
                <w:sz w:val="13"/>
              </w:rPr>
              <w:t> </w:t>
            </w:r>
            <w:r>
              <w:rPr>
                <w:b/>
                <w:w w:val="105"/>
                <w:sz w:val="13"/>
              </w:rPr>
              <w:t>be</w:t>
            </w:r>
            <w:r>
              <w:rPr>
                <w:b/>
                <w:spacing w:val="-5"/>
                <w:w w:val="105"/>
                <w:sz w:val="13"/>
              </w:rPr>
              <w:t> </w:t>
            </w:r>
            <w:r>
              <w:rPr>
                <w:b/>
                <w:w w:val="105"/>
                <w:sz w:val="13"/>
              </w:rPr>
              <w:t>settled</w:t>
            </w:r>
            <w:r>
              <w:rPr>
                <w:b/>
                <w:spacing w:val="-4"/>
                <w:w w:val="105"/>
                <w:sz w:val="13"/>
              </w:rPr>
              <w:t> </w:t>
            </w:r>
            <w:r>
              <w:rPr>
                <w:b/>
                <w:w w:val="105"/>
                <w:sz w:val="13"/>
              </w:rPr>
              <w:t>within</w:t>
            </w:r>
            <w:r>
              <w:rPr>
                <w:b/>
                <w:spacing w:val="-4"/>
                <w:w w:val="105"/>
                <w:sz w:val="13"/>
              </w:rPr>
              <w:t> </w:t>
            </w:r>
            <w:r>
              <w:rPr>
                <w:b/>
                <w:w w:val="105"/>
                <w:sz w:val="13"/>
              </w:rPr>
              <w:t>12</w:t>
            </w:r>
            <w:r>
              <w:rPr>
                <w:b/>
                <w:spacing w:val="-5"/>
                <w:w w:val="105"/>
                <w:sz w:val="13"/>
              </w:rPr>
              <w:t> </w:t>
            </w:r>
            <w:r>
              <w:rPr>
                <w:b/>
                <w:spacing w:val="-2"/>
                <w:w w:val="105"/>
                <w:sz w:val="13"/>
              </w:rPr>
              <w:t>months</w:t>
            </w:r>
          </w:p>
          <w:p>
            <w:pPr>
              <w:pStyle w:val="TableParagraph"/>
              <w:spacing w:line="141" w:lineRule="exact" w:before="14"/>
              <w:ind w:left="34"/>
              <w:rPr>
                <w:sz w:val="13"/>
              </w:rPr>
            </w:pPr>
            <w:r>
              <w:rPr>
                <w:spacing w:val="-2"/>
                <w:w w:val="105"/>
                <w:sz w:val="13"/>
              </w:rPr>
              <w:t>Annual</w:t>
            </w:r>
            <w:r>
              <w:rPr>
                <w:spacing w:val="2"/>
                <w:w w:val="105"/>
                <w:sz w:val="13"/>
              </w:rPr>
              <w:t> </w:t>
            </w:r>
            <w:r>
              <w:rPr>
                <w:spacing w:val="-2"/>
                <w:w w:val="105"/>
                <w:sz w:val="13"/>
              </w:rPr>
              <w:t>leave</w:t>
            </w:r>
          </w:p>
        </w:tc>
        <w:tc>
          <w:tcPr>
            <w:tcW w:w="1028" w:type="dxa"/>
          </w:tcPr>
          <w:p>
            <w:pPr>
              <w:pStyle w:val="TableParagraph"/>
              <w:spacing w:before="111"/>
              <w:rPr>
                <w:b/>
                <w:sz w:val="13"/>
              </w:rPr>
            </w:pPr>
          </w:p>
          <w:p>
            <w:pPr>
              <w:pStyle w:val="TableParagraph"/>
              <w:spacing w:line="136" w:lineRule="exact"/>
              <w:ind w:right="182"/>
              <w:jc w:val="right"/>
              <w:rPr>
                <w:sz w:val="13"/>
              </w:rPr>
            </w:pPr>
            <w:r>
              <w:rPr>
                <w:spacing w:val="-2"/>
                <w:w w:val="105"/>
                <w:sz w:val="13"/>
              </w:rPr>
              <w:t>26,037</w:t>
            </w:r>
          </w:p>
        </w:tc>
        <w:tc>
          <w:tcPr>
            <w:tcW w:w="730" w:type="dxa"/>
          </w:tcPr>
          <w:p>
            <w:pPr>
              <w:pStyle w:val="TableParagraph"/>
              <w:spacing w:before="111"/>
              <w:rPr>
                <w:b/>
                <w:sz w:val="13"/>
              </w:rPr>
            </w:pPr>
          </w:p>
          <w:p>
            <w:pPr>
              <w:pStyle w:val="TableParagraph"/>
              <w:spacing w:line="136" w:lineRule="exact"/>
              <w:ind w:right="-15"/>
              <w:jc w:val="right"/>
              <w:rPr>
                <w:sz w:val="13"/>
              </w:rPr>
            </w:pPr>
            <w:r>
              <w:rPr>
                <w:spacing w:val="-2"/>
                <w:w w:val="105"/>
                <w:sz w:val="13"/>
              </w:rPr>
              <w:t>24,988</w:t>
            </w:r>
          </w:p>
        </w:tc>
        <w:tc>
          <w:tcPr>
            <w:tcW w:w="208" w:type="dxa"/>
          </w:tcPr>
          <w:p>
            <w:pPr>
              <w:pStyle w:val="TableParagraph"/>
              <w:rPr>
                <w:rFonts w:ascii="Times New Roman"/>
                <w:sz w:val="12"/>
              </w:rPr>
            </w:pPr>
          </w:p>
        </w:tc>
        <w:tc>
          <w:tcPr>
            <w:tcW w:w="893" w:type="dxa"/>
          </w:tcPr>
          <w:p>
            <w:pPr>
              <w:pStyle w:val="TableParagraph"/>
              <w:spacing w:before="111"/>
              <w:rPr>
                <w:b/>
                <w:sz w:val="13"/>
              </w:rPr>
            </w:pPr>
          </w:p>
          <w:p>
            <w:pPr>
              <w:pStyle w:val="TableParagraph"/>
              <w:spacing w:line="136" w:lineRule="exact"/>
              <w:ind w:right="182"/>
              <w:jc w:val="right"/>
              <w:rPr>
                <w:sz w:val="13"/>
              </w:rPr>
            </w:pPr>
            <w:r>
              <w:rPr>
                <w:spacing w:val="-2"/>
                <w:w w:val="105"/>
                <w:sz w:val="13"/>
              </w:rPr>
              <w:t>25,568</w:t>
            </w:r>
          </w:p>
        </w:tc>
        <w:tc>
          <w:tcPr>
            <w:tcW w:w="805" w:type="dxa"/>
          </w:tcPr>
          <w:p>
            <w:pPr>
              <w:pStyle w:val="TableParagraph"/>
              <w:spacing w:before="111"/>
              <w:rPr>
                <w:b/>
                <w:sz w:val="13"/>
              </w:rPr>
            </w:pPr>
          </w:p>
          <w:p>
            <w:pPr>
              <w:pStyle w:val="TableParagraph"/>
              <w:spacing w:line="136" w:lineRule="exact"/>
              <w:ind w:right="71"/>
              <w:jc w:val="right"/>
              <w:rPr>
                <w:sz w:val="13"/>
              </w:rPr>
            </w:pPr>
            <w:r>
              <w:rPr>
                <w:spacing w:val="-2"/>
                <w:w w:val="105"/>
                <w:sz w:val="13"/>
              </w:rPr>
              <w:t>24,518</w:t>
            </w:r>
          </w:p>
        </w:tc>
      </w:tr>
      <w:tr>
        <w:trPr>
          <w:trHeight w:val="167" w:hRule="atLeast"/>
        </w:trPr>
        <w:tc>
          <w:tcPr>
            <w:tcW w:w="4693" w:type="dxa"/>
          </w:tcPr>
          <w:p>
            <w:pPr>
              <w:pStyle w:val="TableParagraph"/>
              <w:spacing w:line="141" w:lineRule="exact" w:before="7"/>
              <w:ind w:left="34"/>
              <w:rPr>
                <w:sz w:val="13"/>
              </w:rPr>
            </w:pPr>
            <w:r>
              <w:rPr>
                <w:w w:val="105"/>
                <w:sz w:val="13"/>
              </w:rPr>
              <w:t>Long</w:t>
            </w:r>
            <w:r>
              <w:rPr>
                <w:spacing w:val="-7"/>
                <w:w w:val="105"/>
                <w:sz w:val="13"/>
              </w:rPr>
              <w:t> </w:t>
            </w:r>
            <w:r>
              <w:rPr>
                <w:w w:val="105"/>
                <w:sz w:val="13"/>
              </w:rPr>
              <w:t>service</w:t>
            </w:r>
            <w:r>
              <w:rPr>
                <w:spacing w:val="-6"/>
                <w:w w:val="105"/>
                <w:sz w:val="13"/>
              </w:rPr>
              <w:t> </w:t>
            </w:r>
            <w:r>
              <w:rPr>
                <w:spacing w:val="-2"/>
                <w:w w:val="105"/>
                <w:sz w:val="13"/>
              </w:rPr>
              <w:t>leave</w:t>
            </w:r>
          </w:p>
        </w:tc>
        <w:tc>
          <w:tcPr>
            <w:tcW w:w="1028" w:type="dxa"/>
          </w:tcPr>
          <w:p>
            <w:pPr>
              <w:pStyle w:val="TableParagraph"/>
              <w:spacing w:line="136" w:lineRule="exact" w:before="11"/>
              <w:ind w:right="182"/>
              <w:jc w:val="right"/>
              <w:rPr>
                <w:sz w:val="13"/>
              </w:rPr>
            </w:pPr>
            <w:r>
              <w:rPr>
                <w:spacing w:val="-2"/>
                <w:w w:val="105"/>
                <w:sz w:val="13"/>
              </w:rPr>
              <w:t>9,467</w:t>
            </w:r>
          </w:p>
        </w:tc>
        <w:tc>
          <w:tcPr>
            <w:tcW w:w="730" w:type="dxa"/>
          </w:tcPr>
          <w:p>
            <w:pPr>
              <w:pStyle w:val="TableParagraph"/>
              <w:spacing w:line="136" w:lineRule="exact" w:before="11"/>
              <w:ind w:right="-15"/>
              <w:jc w:val="right"/>
              <w:rPr>
                <w:sz w:val="13"/>
              </w:rPr>
            </w:pPr>
            <w:r>
              <w:rPr>
                <w:spacing w:val="-2"/>
                <w:w w:val="105"/>
                <w:sz w:val="13"/>
              </w:rPr>
              <w:t>8,997</w:t>
            </w:r>
          </w:p>
        </w:tc>
        <w:tc>
          <w:tcPr>
            <w:tcW w:w="208" w:type="dxa"/>
          </w:tcPr>
          <w:p>
            <w:pPr>
              <w:pStyle w:val="TableParagraph"/>
              <w:rPr>
                <w:rFonts w:ascii="Times New Roman"/>
                <w:sz w:val="10"/>
              </w:rPr>
            </w:pPr>
          </w:p>
        </w:tc>
        <w:tc>
          <w:tcPr>
            <w:tcW w:w="893" w:type="dxa"/>
          </w:tcPr>
          <w:p>
            <w:pPr>
              <w:pStyle w:val="TableParagraph"/>
              <w:spacing w:line="136" w:lineRule="exact" w:before="11"/>
              <w:ind w:right="181"/>
              <w:jc w:val="right"/>
              <w:rPr>
                <w:sz w:val="13"/>
              </w:rPr>
            </w:pPr>
            <w:r>
              <w:rPr>
                <w:spacing w:val="-2"/>
                <w:w w:val="105"/>
                <w:sz w:val="13"/>
              </w:rPr>
              <w:t>9,334</w:t>
            </w:r>
          </w:p>
        </w:tc>
        <w:tc>
          <w:tcPr>
            <w:tcW w:w="805" w:type="dxa"/>
          </w:tcPr>
          <w:p>
            <w:pPr>
              <w:pStyle w:val="TableParagraph"/>
              <w:spacing w:line="136" w:lineRule="exact" w:before="11"/>
              <w:ind w:right="70"/>
              <w:jc w:val="right"/>
              <w:rPr>
                <w:sz w:val="13"/>
              </w:rPr>
            </w:pPr>
            <w:r>
              <w:rPr>
                <w:spacing w:val="-2"/>
                <w:w w:val="105"/>
                <w:sz w:val="13"/>
              </w:rPr>
              <w:t>8,867</w:t>
            </w:r>
          </w:p>
        </w:tc>
      </w:tr>
      <w:tr>
        <w:trPr>
          <w:trHeight w:val="162" w:hRule="atLeast"/>
        </w:trPr>
        <w:tc>
          <w:tcPr>
            <w:tcW w:w="4693" w:type="dxa"/>
          </w:tcPr>
          <w:p>
            <w:pPr>
              <w:pStyle w:val="TableParagraph"/>
              <w:spacing w:line="135" w:lineRule="exact" w:before="7"/>
              <w:ind w:left="34"/>
              <w:rPr>
                <w:sz w:val="13"/>
              </w:rPr>
            </w:pPr>
            <w:r>
              <w:rPr>
                <w:spacing w:val="-2"/>
                <w:w w:val="105"/>
                <w:sz w:val="13"/>
              </w:rPr>
              <w:t>Employment</w:t>
            </w:r>
            <w:r>
              <w:rPr>
                <w:spacing w:val="5"/>
                <w:w w:val="105"/>
                <w:sz w:val="13"/>
              </w:rPr>
              <w:t> </w:t>
            </w:r>
            <w:r>
              <w:rPr>
                <w:spacing w:val="-2"/>
                <w:w w:val="105"/>
                <w:sz w:val="13"/>
              </w:rPr>
              <w:t>on-costs</w:t>
            </w:r>
            <w:r>
              <w:rPr>
                <w:spacing w:val="7"/>
                <w:w w:val="105"/>
                <w:sz w:val="13"/>
              </w:rPr>
              <w:t> </w:t>
            </w:r>
            <w:r>
              <w:rPr>
                <w:spacing w:val="-2"/>
                <w:w w:val="105"/>
                <w:sz w:val="13"/>
              </w:rPr>
              <w:t>provision</w:t>
            </w:r>
          </w:p>
        </w:tc>
        <w:tc>
          <w:tcPr>
            <w:tcW w:w="1028" w:type="dxa"/>
          </w:tcPr>
          <w:p>
            <w:pPr>
              <w:pStyle w:val="TableParagraph"/>
              <w:spacing w:line="131" w:lineRule="exact" w:before="11"/>
              <w:ind w:right="182"/>
              <w:jc w:val="right"/>
              <w:rPr>
                <w:sz w:val="13"/>
              </w:rPr>
            </w:pPr>
            <w:r>
              <w:rPr>
                <w:spacing w:val="-2"/>
                <w:w w:val="105"/>
                <w:sz w:val="13"/>
              </w:rPr>
              <w:t>2,299</w:t>
            </w:r>
          </w:p>
        </w:tc>
        <w:tc>
          <w:tcPr>
            <w:tcW w:w="730" w:type="dxa"/>
          </w:tcPr>
          <w:p>
            <w:pPr>
              <w:pStyle w:val="TableParagraph"/>
              <w:spacing w:line="131" w:lineRule="exact" w:before="11"/>
              <w:ind w:right="-15"/>
              <w:jc w:val="right"/>
              <w:rPr>
                <w:sz w:val="13"/>
              </w:rPr>
            </w:pPr>
            <w:r>
              <w:rPr>
                <w:spacing w:val="-2"/>
                <w:w w:val="105"/>
                <w:sz w:val="13"/>
              </w:rPr>
              <w:t>2,202</w:t>
            </w:r>
          </w:p>
        </w:tc>
        <w:tc>
          <w:tcPr>
            <w:tcW w:w="208" w:type="dxa"/>
          </w:tcPr>
          <w:p>
            <w:pPr>
              <w:pStyle w:val="TableParagraph"/>
              <w:rPr>
                <w:rFonts w:ascii="Times New Roman"/>
                <w:sz w:val="10"/>
              </w:rPr>
            </w:pPr>
          </w:p>
        </w:tc>
        <w:tc>
          <w:tcPr>
            <w:tcW w:w="893" w:type="dxa"/>
          </w:tcPr>
          <w:p>
            <w:pPr>
              <w:pStyle w:val="TableParagraph"/>
              <w:spacing w:line="131" w:lineRule="exact" w:before="11"/>
              <w:ind w:right="181"/>
              <w:jc w:val="right"/>
              <w:rPr>
                <w:sz w:val="13"/>
              </w:rPr>
            </w:pPr>
            <w:r>
              <w:rPr>
                <w:spacing w:val="-2"/>
                <w:w w:val="105"/>
                <w:sz w:val="13"/>
              </w:rPr>
              <w:t>2,299</w:t>
            </w:r>
          </w:p>
        </w:tc>
        <w:tc>
          <w:tcPr>
            <w:tcW w:w="805" w:type="dxa"/>
          </w:tcPr>
          <w:p>
            <w:pPr>
              <w:pStyle w:val="TableParagraph"/>
              <w:spacing w:line="131" w:lineRule="exact" w:before="11"/>
              <w:ind w:right="70"/>
              <w:jc w:val="right"/>
              <w:rPr>
                <w:sz w:val="13"/>
              </w:rPr>
            </w:pPr>
            <w:r>
              <w:rPr>
                <w:spacing w:val="-2"/>
                <w:w w:val="105"/>
                <w:sz w:val="13"/>
              </w:rPr>
              <w:t>2,202</w:t>
            </w:r>
          </w:p>
        </w:tc>
      </w:tr>
    </w:tbl>
    <w:tbl>
      <w:tblPr>
        <w:tblW w:w="0" w:type="auto"/>
        <w:jc w:val="left"/>
        <w:tblInd w:w="8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693"/>
        <w:gridCol w:w="1079"/>
        <w:gridCol w:w="916"/>
        <w:gridCol w:w="915"/>
        <w:gridCol w:w="754"/>
      </w:tblGrid>
      <w:tr>
        <w:trPr>
          <w:trHeight w:val="248" w:hRule="atLeast"/>
        </w:trPr>
        <w:tc>
          <w:tcPr>
            <w:tcW w:w="4693" w:type="dxa"/>
          </w:tcPr>
          <w:p>
            <w:pPr>
              <w:pStyle w:val="TableParagraph"/>
              <w:spacing w:before="2"/>
              <w:ind w:left="34"/>
              <w:rPr>
                <w:sz w:val="13"/>
              </w:rPr>
            </w:pPr>
            <w:r>
              <w:rPr>
                <w:spacing w:val="-2"/>
                <w:w w:val="105"/>
                <w:sz w:val="13"/>
              </w:rPr>
              <w:t>Purchased</w:t>
            </w:r>
            <w:r>
              <w:rPr>
                <w:spacing w:val="7"/>
                <w:w w:val="105"/>
                <w:sz w:val="13"/>
              </w:rPr>
              <w:t> </w:t>
            </w:r>
            <w:r>
              <w:rPr>
                <w:spacing w:val="-2"/>
                <w:w w:val="105"/>
                <w:sz w:val="13"/>
              </w:rPr>
              <w:t>leave</w:t>
            </w:r>
          </w:p>
        </w:tc>
        <w:tc>
          <w:tcPr>
            <w:tcW w:w="1079" w:type="dxa"/>
          </w:tcPr>
          <w:p>
            <w:pPr>
              <w:pStyle w:val="TableParagraph"/>
              <w:spacing w:before="6"/>
              <w:ind w:right="189"/>
              <w:jc w:val="right"/>
              <w:rPr>
                <w:sz w:val="13"/>
              </w:rPr>
            </w:pPr>
            <w:r>
              <w:rPr>
                <w:spacing w:val="-2"/>
                <w:w w:val="105"/>
                <w:sz w:val="13"/>
              </w:rPr>
              <w:t>(558)</w:t>
            </w:r>
          </w:p>
        </w:tc>
        <w:tc>
          <w:tcPr>
            <w:tcW w:w="916" w:type="dxa"/>
          </w:tcPr>
          <w:p>
            <w:pPr>
              <w:pStyle w:val="TableParagraph"/>
              <w:spacing w:before="6"/>
              <w:ind w:right="188"/>
              <w:jc w:val="right"/>
              <w:rPr>
                <w:sz w:val="13"/>
              </w:rPr>
            </w:pPr>
            <w:r>
              <w:rPr>
                <w:spacing w:val="-10"/>
                <w:w w:val="105"/>
                <w:sz w:val="13"/>
              </w:rPr>
              <w:t>-</w:t>
            </w:r>
          </w:p>
        </w:tc>
        <w:tc>
          <w:tcPr>
            <w:tcW w:w="915" w:type="dxa"/>
          </w:tcPr>
          <w:p>
            <w:pPr>
              <w:pStyle w:val="TableParagraph"/>
              <w:spacing w:before="6"/>
              <w:ind w:right="188"/>
              <w:jc w:val="right"/>
              <w:rPr>
                <w:sz w:val="13"/>
              </w:rPr>
            </w:pPr>
            <w:r>
              <w:rPr>
                <w:spacing w:val="-2"/>
                <w:w w:val="105"/>
                <w:sz w:val="13"/>
              </w:rPr>
              <w:t>(558)</w:t>
            </w:r>
          </w:p>
        </w:tc>
        <w:tc>
          <w:tcPr>
            <w:tcW w:w="754" w:type="dxa"/>
          </w:tcPr>
          <w:p>
            <w:pPr>
              <w:pStyle w:val="TableParagraph"/>
              <w:spacing w:before="6"/>
              <w:ind w:right="25"/>
              <w:jc w:val="right"/>
              <w:rPr>
                <w:sz w:val="13"/>
              </w:rPr>
            </w:pPr>
            <w:r>
              <w:rPr>
                <w:spacing w:val="-10"/>
                <w:w w:val="105"/>
                <w:sz w:val="13"/>
              </w:rPr>
              <w:t>-</w:t>
            </w:r>
          </w:p>
        </w:tc>
      </w:tr>
      <w:tr>
        <w:trPr>
          <w:trHeight w:val="417" w:hRule="atLeast"/>
        </w:trPr>
        <w:tc>
          <w:tcPr>
            <w:tcW w:w="4693" w:type="dxa"/>
          </w:tcPr>
          <w:p>
            <w:pPr>
              <w:pStyle w:val="TableParagraph"/>
              <w:spacing w:before="93"/>
              <w:ind w:left="34"/>
              <w:rPr>
                <w:b/>
                <w:sz w:val="13"/>
              </w:rPr>
            </w:pPr>
            <w:r>
              <w:rPr>
                <w:b/>
                <w:w w:val="105"/>
                <w:sz w:val="13"/>
              </w:rPr>
              <w:t>Expected</w:t>
            </w:r>
            <w:r>
              <w:rPr>
                <w:b/>
                <w:spacing w:val="-5"/>
                <w:w w:val="105"/>
                <w:sz w:val="13"/>
              </w:rPr>
              <w:t> </w:t>
            </w:r>
            <w:r>
              <w:rPr>
                <w:b/>
                <w:w w:val="105"/>
                <w:sz w:val="13"/>
              </w:rPr>
              <w:t>to</w:t>
            </w:r>
            <w:r>
              <w:rPr>
                <w:b/>
                <w:spacing w:val="-4"/>
                <w:w w:val="105"/>
                <w:sz w:val="13"/>
              </w:rPr>
              <w:t> </w:t>
            </w:r>
            <w:r>
              <w:rPr>
                <w:b/>
                <w:w w:val="105"/>
                <w:sz w:val="13"/>
              </w:rPr>
              <w:t>be</w:t>
            </w:r>
            <w:r>
              <w:rPr>
                <w:b/>
                <w:spacing w:val="-5"/>
                <w:w w:val="105"/>
                <w:sz w:val="13"/>
              </w:rPr>
              <w:t> </w:t>
            </w:r>
            <w:r>
              <w:rPr>
                <w:b/>
                <w:w w:val="105"/>
                <w:sz w:val="13"/>
              </w:rPr>
              <w:t>settled</w:t>
            </w:r>
            <w:r>
              <w:rPr>
                <w:b/>
                <w:spacing w:val="-4"/>
                <w:w w:val="105"/>
                <w:sz w:val="13"/>
              </w:rPr>
              <w:t> </w:t>
            </w:r>
            <w:r>
              <w:rPr>
                <w:b/>
                <w:w w:val="105"/>
                <w:sz w:val="13"/>
              </w:rPr>
              <w:t>after</w:t>
            </w:r>
            <w:r>
              <w:rPr>
                <w:b/>
                <w:spacing w:val="-4"/>
                <w:w w:val="105"/>
                <w:sz w:val="13"/>
              </w:rPr>
              <w:t> </w:t>
            </w:r>
            <w:r>
              <w:rPr>
                <w:b/>
                <w:w w:val="105"/>
                <w:sz w:val="13"/>
              </w:rPr>
              <w:t>more</w:t>
            </w:r>
            <w:r>
              <w:rPr>
                <w:b/>
                <w:spacing w:val="-5"/>
                <w:w w:val="105"/>
                <w:sz w:val="13"/>
              </w:rPr>
              <w:t> </w:t>
            </w:r>
            <w:r>
              <w:rPr>
                <w:b/>
                <w:w w:val="105"/>
                <w:sz w:val="13"/>
              </w:rPr>
              <w:t>than</w:t>
            </w:r>
            <w:r>
              <w:rPr>
                <w:b/>
                <w:spacing w:val="-4"/>
                <w:w w:val="105"/>
                <w:sz w:val="13"/>
              </w:rPr>
              <w:t> </w:t>
            </w:r>
            <w:r>
              <w:rPr>
                <w:b/>
                <w:w w:val="105"/>
                <w:sz w:val="13"/>
              </w:rPr>
              <w:t>12</w:t>
            </w:r>
            <w:r>
              <w:rPr>
                <w:b/>
                <w:spacing w:val="-5"/>
                <w:w w:val="105"/>
                <w:sz w:val="13"/>
              </w:rPr>
              <w:t> </w:t>
            </w:r>
            <w:r>
              <w:rPr>
                <w:b/>
                <w:spacing w:val="-2"/>
                <w:w w:val="105"/>
                <w:sz w:val="13"/>
              </w:rPr>
              <w:t>months</w:t>
            </w:r>
          </w:p>
          <w:p>
            <w:pPr>
              <w:pStyle w:val="TableParagraph"/>
              <w:spacing w:line="141" w:lineRule="exact" w:before="14"/>
              <w:ind w:left="34"/>
              <w:rPr>
                <w:sz w:val="13"/>
              </w:rPr>
            </w:pPr>
            <w:r>
              <w:rPr>
                <w:spacing w:val="-2"/>
                <w:w w:val="105"/>
                <w:sz w:val="13"/>
              </w:rPr>
              <w:t>Annual</w:t>
            </w:r>
            <w:r>
              <w:rPr>
                <w:spacing w:val="2"/>
                <w:w w:val="105"/>
                <w:sz w:val="13"/>
              </w:rPr>
              <w:t> </w:t>
            </w:r>
            <w:r>
              <w:rPr>
                <w:spacing w:val="-2"/>
                <w:w w:val="105"/>
                <w:sz w:val="13"/>
              </w:rPr>
              <w:t>leave</w:t>
            </w:r>
          </w:p>
        </w:tc>
        <w:tc>
          <w:tcPr>
            <w:tcW w:w="1079" w:type="dxa"/>
          </w:tcPr>
          <w:p>
            <w:pPr>
              <w:pStyle w:val="TableParagraph"/>
              <w:spacing w:before="111"/>
              <w:rPr>
                <w:b/>
                <w:sz w:val="13"/>
              </w:rPr>
            </w:pPr>
          </w:p>
          <w:p>
            <w:pPr>
              <w:pStyle w:val="TableParagraph"/>
              <w:spacing w:line="136" w:lineRule="exact"/>
              <w:ind w:right="233"/>
              <w:jc w:val="right"/>
              <w:rPr>
                <w:sz w:val="13"/>
              </w:rPr>
            </w:pPr>
            <w:r>
              <w:rPr>
                <w:spacing w:val="-2"/>
                <w:w w:val="105"/>
                <w:sz w:val="13"/>
              </w:rPr>
              <w:t>7,021</w:t>
            </w:r>
          </w:p>
        </w:tc>
        <w:tc>
          <w:tcPr>
            <w:tcW w:w="916" w:type="dxa"/>
          </w:tcPr>
          <w:p>
            <w:pPr>
              <w:pStyle w:val="TableParagraph"/>
              <w:spacing w:before="111"/>
              <w:rPr>
                <w:b/>
                <w:sz w:val="13"/>
              </w:rPr>
            </w:pPr>
          </w:p>
          <w:p>
            <w:pPr>
              <w:pStyle w:val="TableParagraph"/>
              <w:spacing w:line="136" w:lineRule="exact"/>
              <w:ind w:right="233"/>
              <w:jc w:val="right"/>
              <w:rPr>
                <w:sz w:val="13"/>
              </w:rPr>
            </w:pPr>
            <w:r>
              <w:rPr>
                <w:spacing w:val="-2"/>
                <w:w w:val="105"/>
                <w:sz w:val="13"/>
              </w:rPr>
              <w:t>5,868</w:t>
            </w:r>
          </w:p>
        </w:tc>
        <w:tc>
          <w:tcPr>
            <w:tcW w:w="915" w:type="dxa"/>
          </w:tcPr>
          <w:p>
            <w:pPr>
              <w:pStyle w:val="TableParagraph"/>
              <w:spacing w:before="111"/>
              <w:rPr>
                <w:b/>
                <w:sz w:val="13"/>
              </w:rPr>
            </w:pPr>
          </w:p>
          <w:p>
            <w:pPr>
              <w:pStyle w:val="TableParagraph"/>
              <w:spacing w:line="136" w:lineRule="exact"/>
              <w:ind w:right="232"/>
              <w:jc w:val="right"/>
              <w:rPr>
                <w:sz w:val="13"/>
              </w:rPr>
            </w:pPr>
            <w:r>
              <w:rPr>
                <w:spacing w:val="-2"/>
                <w:w w:val="105"/>
                <w:sz w:val="13"/>
              </w:rPr>
              <w:t>6,895</w:t>
            </w:r>
          </w:p>
        </w:tc>
        <w:tc>
          <w:tcPr>
            <w:tcW w:w="754" w:type="dxa"/>
          </w:tcPr>
          <w:p>
            <w:pPr>
              <w:pStyle w:val="TableParagraph"/>
              <w:spacing w:before="111"/>
              <w:rPr>
                <w:b/>
                <w:sz w:val="13"/>
              </w:rPr>
            </w:pPr>
          </w:p>
          <w:p>
            <w:pPr>
              <w:pStyle w:val="TableParagraph"/>
              <w:spacing w:line="136" w:lineRule="exact"/>
              <w:ind w:right="70"/>
              <w:jc w:val="right"/>
              <w:rPr>
                <w:sz w:val="13"/>
              </w:rPr>
            </w:pPr>
            <w:r>
              <w:rPr>
                <w:spacing w:val="-2"/>
                <w:w w:val="105"/>
                <w:sz w:val="13"/>
              </w:rPr>
              <w:t>5,758</w:t>
            </w:r>
          </w:p>
        </w:tc>
      </w:tr>
      <w:tr>
        <w:trPr>
          <w:trHeight w:val="167" w:hRule="atLeast"/>
        </w:trPr>
        <w:tc>
          <w:tcPr>
            <w:tcW w:w="4693" w:type="dxa"/>
          </w:tcPr>
          <w:p>
            <w:pPr>
              <w:pStyle w:val="TableParagraph"/>
              <w:spacing w:line="141" w:lineRule="exact" w:before="7"/>
              <w:ind w:left="34"/>
              <w:rPr>
                <w:sz w:val="13"/>
              </w:rPr>
            </w:pPr>
            <w:r>
              <w:rPr>
                <w:w w:val="105"/>
                <w:sz w:val="13"/>
              </w:rPr>
              <w:t>Long</w:t>
            </w:r>
            <w:r>
              <w:rPr>
                <w:spacing w:val="-7"/>
                <w:w w:val="105"/>
                <w:sz w:val="13"/>
              </w:rPr>
              <w:t> </w:t>
            </w:r>
            <w:r>
              <w:rPr>
                <w:w w:val="105"/>
                <w:sz w:val="13"/>
              </w:rPr>
              <w:t>service</w:t>
            </w:r>
            <w:r>
              <w:rPr>
                <w:spacing w:val="-6"/>
                <w:w w:val="105"/>
                <w:sz w:val="13"/>
              </w:rPr>
              <w:t> </w:t>
            </w:r>
            <w:r>
              <w:rPr>
                <w:spacing w:val="-2"/>
                <w:w w:val="105"/>
                <w:sz w:val="13"/>
              </w:rPr>
              <w:t>leave</w:t>
            </w:r>
          </w:p>
        </w:tc>
        <w:tc>
          <w:tcPr>
            <w:tcW w:w="1079" w:type="dxa"/>
          </w:tcPr>
          <w:p>
            <w:pPr>
              <w:pStyle w:val="TableParagraph"/>
              <w:spacing w:line="136" w:lineRule="exact" w:before="11"/>
              <w:ind w:right="233"/>
              <w:jc w:val="right"/>
              <w:rPr>
                <w:sz w:val="13"/>
              </w:rPr>
            </w:pPr>
            <w:r>
              <w:rPr>
                <w:spacing w:val="-2"/>
                <w:w w:val="105"/>
                <w:sz w:val="13"/>
              </w:rPr>
              <w:t>48,970</w:t>
            </w:r>
          </w:p>
        </w:tc>
        <w:tc>
          <w:tcPr>
            <w:tcW w:w="916" w:type="dxa"/>
          </w:tcPr>
          <w:p>
            <w:pPr>
              <w:pStyle w:val="TableParagraph"/>
              <w:spacing w:line="136" w:lineRule="exact" w:before="11"/>
              <w:ind w:right="233"/>
              <w:jc w:val="right"/>
              <w:rPr>
                <w:sz w:val="13"/>
              </w:rPr>
            </w:pPr>
            <w:r>
              <w:rPr>
                <w:spacing w:val="-2"/>
                <w:w w:val="105"/>
                <w:sz w:val="13"/>
              </w:rPr>
              <w:t>45,422</w:t>
            </w:r>
          </w:p>
        </w:tc>
        <w:tc>
          <w:tcPr>
            <w:tcW w:w="915" w:type="dxa"/>
          </w:tcPr>
          <w:p>
            <w:pPr>
              <w:pStyle w:val="TableParagraph"/>
              <w:spacing w:line="136" w:lineRule="exact" w:before="11"/>
              <w:ind w:right="232"/>
              <w:jc w:val="right"/>
              <w:rPr>
                <w:sz w:val="13"/>
              </w:rPr>
            </w:pPr>
            <w:r>
              <w:rPr>
                <w:spacing w:val="-2"/>
                <w:w w:val="105"/>
                <w:sz w:val="13"/>
              </w:rPr>
              <w:t>48,282</w:t>
            </w:r>
          </w:p>
        </w:tc>
        <w:tc>
          <w:tcPr>
            <w:tcW w:w="754" w:type="dxa"/>
          </w:tcPr>
          <w:p>
            <w:pPr>
              <w:pStyle w:val="TableParagraph"/>
              <w:spacing w:line="136" w:lineRule="exact" w:before="11"/>
              <w:ind w:right="70"/>
              <w:jc w:val="right"/>
              <w:rPr>
                <w:sz w:val="13"/>
              </w:rPr>
            </w:pPr>
            <w:r>
              <w:rPr>
                <w:spacing w:val="-2"/>
                <w:w w:val="105"/>
                <w:sz w:val="13"/>
              </w:rPr>
              <w:t>44,763</w:t>
            </w:r>
          </w:p>
        </w:tc>
      </w:tr>
      <w:tr>
        <w:trPr>
          <w:trHeight w:val="333" w:hRule="atLeast"/>
        </w:trPr>
        <w:tc>
          <w:tcPr>
            <w:tcW w:w="4693" w:type="dxa"/>
          </w:tcPr>
          <w:p>
            <w:pPr>
              <w:pStyle w:val="TableParagraph"/>
              <w:spacing w:before="7"/>
              <w:ind w:left="34"/>
              <w:rPr>
                <w:sz w:val="13"/>
              </w:rPr>
            </w:pPr>
            <w:r>
              <w:rPr>
                <w:spacing w:val="-2"/>
                <w:w w:val="105"/>
                <w:sz w:val="13"/>
              </w:rPr>
              <w:t>Employment</w:t>
            </w:r>
            <w:r>
              <w:rPr>
                <w:spacing w:val="5"/>
                <w:w w:val="105"/>
                <w:sz w:val="13"/>
              </w:rPr>
              <w:t> </w:t>
            </w:r>
            <w:r>
              <w:rPr>
                <w:spacing w:val="-2"/>
                <w:w w:val="105"/>
                <w:sz w:val="13"/>
              </w:rPr>
              <w:t>on-costs</w:t>
            </w:r>
            <w:r>
              <w:rPr>
                <w:spacing w:val="7"/>
                <w:w w:val="105"/>
                <w:sz w:val="13"/>
              </w:rPr>
              <w:t> </w:t>
            </w:r>
            <w:r>
              <w:rPr>
                <w:spacing w:val="-2"/>
                <w:w w:val="105"/>
                <w:sz w:val="13"/>
              </w:rPr>
              <w:t>provision</w:t>
            </w:r>
          </w:p>
        </w:tc>
        <w:tc>
          <w:tcPr>
            <w:tcW w:w="1079" w:type="dxa"/>
            <w:tcBorders>
              <w:bottom w:val="single" w:sz="6" w:space="0" w:color="000000"/>
            </w:tcBorders>
          </w:tcPr>
          <w:p>
            <w:pPr>
              <w:pStyle w:val="TableParagraph"/>
              <w:spacing w:before="11"/>
              <w:ind w:right="233"/>
              <w:jc w:val="right"/>
              <w:rPr>
                <w:sz w:val="13"/>
              </w:rPr>
            </w:pPr>
            <w:r>
              <w:rPr>
                <w:spacing w:val="-2"/>
                <w:w w:val="105"/>
                <w:sz w:val="13"/>
              </w:rPr>
              <w:t>3,647</w:t>
            </w:r>
          </w:p>
        </w:tc>
        <w:tc>
          <w:tcPr>
            <w:tcW w:w="916" w:type="dxa"/>
            <w:tcBorders>
              <w:bottom w:val="single" w:sz="6" w:space="0" w:color="000000"/>
            </w:tcBorders>
          </w:tcPr>
          <w:p>
            <w:pPr>
              <w:pStyle w:val="TableParagraph"/>
              <w:spacing w:before="11"/>
              <w:ind w:right="233"/>
              <w:jc w:val="right"/>
              <w:rPr>
                <w:sz w:val="13"/>
              </w:rPr>
            </w:pPr>
            <w:r>
              <w:rPr>
                <w:spacing w:val="-2"/>
                <w:w w:val="105"/>
                <w:sz w:val="13"/>
              </w:rPr>
              <w:t>3,340</w:t>
            </w:r>
          </w:p>
        </w:tc>
        <w:tc>
          <w:tcPr>
            <w:tcW w:w="915" w:type="dxa"/>
            <w:tcBorders>
              <w:bottom w:val="single" w:sz="6" w:space="0" w:color="000000"/>
            </w:tcBorders>
          </w:tcPr>
          <w:p>
            <w:pPr>
              <w:pStyle w:val="TableParagraph"/>
              <w:spacing w:before="11"/>
              <w:ind w:right="232"/>
              <w:jc w:val="right"/>
              <w:rPr>
                <w:sz w:val="13"/>
              </w:rPr>
            </w:pPr>
            <w:r>
              <w:rPr>
                <w:spacing w:val="-2"/>
                <w:w w:val="105"/>
                <w:sz w:val="13"/>
              </w:rPr>
              <w:t>3,649</w:t>
            </w:r>
          </w:p>
        </w:tc>
        <w:tc>
          <w:tcPr>
            <w:tcW w:w="754" w:type="dxa"/>
            <w:tcBorders>
              <w:bottom w:val="single" w:sz="6" w:space="0" w:color="000000"/>
            </w:tcBorders>
          </w:tcPr>
          <w:p>
            <w:pPr>
              <w:pStyle w:val="TableParagraph"/>
              <w:spacing w:before="11"/>
              <w:ind w:right="70"/>
              <w:jc w:val="right"/>
              <w:rPr>
                <w:sz w:val="13"/>
              </w:rPr>
            </w:pPr>
            <w:r>
              <w:rPr>
                <w:spacing w:val="-2"/>
                <w:w w:val="105"/>
                <w:sz w:val="13"/>
              </w:rPr>
              <w:t>3,340</w:t>
            </w:r>
          </w:p>
        </w:tc>
      </w:tr>
      <w:tr>
        <w:trPr>
          <w:trHeight w:val="152" w:hRule="atLeast"/>
        </w:trPr>
        <w:tc>
          <w:tcPr>
            <w:tcW w:w="4693" w:type="dxa"/>
          </w:tcPr>
          <w:p>
            <w:pPr>
              <w:pStyle w:val="TableParagraph"/>
              <w:spacing w:line="133" w:lineRule="exact"/>
              <w:ind w:left="34"/>
              <w:rPr>
                <w:b/>
                <w:sz w:val="13"/>
              </w:rPr>
            </w:pPr>
            <w:r>
              <w:rPr>
                <w:b/>
                <w:w w:val="105"/>
                <w:sz w:val="13"/>
              </w:rPr>
              <w:t>Total</w:t>
            </w:r>
            <w:r>
              <w:rPr>
                <w:b/>
                <w:spacing w:val="-6"/>
                <w:w w:val="105"/>
                <w:sz w:val="13"/>
              </w:rPr>
              <w:t> </w:t>
            </w:r>
            <w:r>
              <w:rPr>
                <w:b/>
                <w:w w:val="105"/>
                <w:sz w:val="13"/>
              </w:rPr>
              <w:t>current</w:t>
            </w:r>
            <w:r>
              <w:rPr>
                <w:b/>
                <w:spacing w:val="-4"/>
                <w:w w:val="105"/>
                <w:sz w:val="13"/>
              </w:rPr>
              <w:t> </w:t>
            </w:r>
            <w:r>
              <w:rPr>
                <w:b/>
                <w:spacing w:val="-2"/>
                <w:w w:val="105"/>
                <w:sz w:val="13"/>
              </w:rPr>
              <w:t>provisions</w:t>
            </w:r>
          </w:p>
        </w:tc>
        <w:tc>
          <w:tcPr>
            <w:tcW w:w="1079" w:type="dxa"/>
            <w:tcBorders>
              <w:top w:val="single" w:sz="6" w:space="0" w:color="000000"/>
              <w:bottom w:val="single" w:sz="6" w:space="0" w:color="000000"/>
            </w:tcBorders>
          </w:tcPr>
          <w:p>
            <w:pPr>
              <w:pStyle w:val="TableParagraph"/>
              <w:spacing w:line="133" w:lineRule="exact"/>
              <w:ind w:right="233"/>
              <w:jc w:val="right"/>
              <w:rPr>
                <w:b/>
                <w:sz w:val="13"/>
              </w:rPr>
            </w:pPr>
            <w:r>
              <w:rPr>
                <w:b/>
                <w:spacing w:val="-2"/>
                <w:w w:val="105"/>
                <w:sz w:val="13"/>
              </w:rPr>
              <w:t>96,883</w:t>
            </w:r>
          </w:p>
        </w:tc>
        <w:tc>
          <w:tcPr>
            <w:tcW w:w="916" w:type="dxa"/>
            <w:tcBorders>
              <w:top w:val="single" w:sz="6" w:space="0" w:color="000000"/>
              <w:bottom w:val="single" w:sz="6" w:space="0" w:color="000000"/>
            </w:tcBorders>
          </w:tcPr>
          <w:p>
            <w:pPr>
              <w:pStyle w:val="TableParagraph"/>
              <w:spacing w:line="133" w:lineRule="exact"/>
              <w:ind w:right="233"/>
              <w:jc w:val="right"/>
              <w:rPr>
                <w:b/>
                <w:sz w:val="13"/>
              </w:rPr>
            </w:pPr>
            <w:r>
              <w:rPr>
                <w:b/>
                <w:spacing w:val="-2"/>
                <w:w w:val="105"/>
                <w:sz w:val="13"/>
              </w:rPr>
              <w:t>90,817</w:t>
            </w:r>
          </w:p>
        </w:tc>
        <w:tc>
          <w:tcPr>
            <w:tcW w:w="915" w:type="dxa"/>
            <w:tcBorders>
              <w:top w:val="single" w:sz="6" w:space="0" w:color="000000"/>
              <w:bottom w:val="single" w:sz="6" w:space="0" w:color="000000"/>
            </w:tcBorders>
          </w:tcPr>
          <w:p>
            <w:pPr>
              <w:pStyle w:val="TableParagraph"/>
              <w:spacing w:line="133" w:lineRule="exact"/>
              <w:ind w:right="232"/>
              <w:jc w:val="right"/>
              <w:rPr>
                <w:b/>
                <w:sz w:val="13"/>
              </w:rPr>
            </w:pPr>
            <w:r>
              <w:rPr>
                <w:b/>
                <w:spacing w:val="-2"/>
                <w:w w:val="105"/>
                <w:sz w:val="13"/>
              </w:rPr>
              <w:t>95,469</w:t>
            </w:r>
          </w:p>
        </w:tc>
        <w:tc>
          <w:tcPr>
            <w:tcW w:w="754" w:type="dxa"/>
            <w:tcBorders>
              <w:top w:val="single" w:sz="6" w:space="0" w:color="000000"/>
              <w:bottom w:val="single" w:sz="6" w:space="0" w:color="000000"/>
            </w:tcBorders>
          </w:tcPr>
          <w:p>
            <w:pPr>
              <w:pStyle w:val="TableParagraph"/>
              <w:spacing w:line="133" w:lineRule="exact"/>
              <w:ind w:right="70"/>
              <w:jc w:val="right"/>
              <w:rPr>
                <w:b/>
                <w:sz w:val="13"/>
              </w:rPr>
            </w:pPr>
            <w:r>
              <w:rPr>
                <w:b/>
                <w:spacing w:val="-2"/>
                <w:w w:val="105"/>
                <w:sz w:val="13"/>
              </w:rPr>
              <w:t>89,448</w:t>
            </w:r>
          </w:p>
        </w:tc>
      </w:tr>
      <w:tr>
        <w:trPr>
          <w:trHeight w:val="503" w:hRule="atLeast"/>
        </w:trPr>
        <w:tc>
          <w:tcPr>
            <w:tcW w:w="4693" w:type="dxa"/>
          </w:tcPr>
          <w:p>
            <w:pPr>
              <w:pStyle w:val="TableParagraph"/>
              <w:spacing w:before="25"/>
              <w:rPr>
                <w:b/>
                <w:sz w:val="13"/>
              </w:rPr>
            </w:pPr>
          </w:p>
          <w:p>
            <w:pPr>
              <w:pStyle w:val="TableParagraph"/>
              <w:ind w:left="34"/>
              <w:rPr>
                <w:b/>
                <w:sz w:val="13"/>
              </w:rPr>
            </w:pPr>
            <w:r>
              <w:rPr>
                <w:b/>
                <w:w w:val="105"/>
                <w:sz w:val="13"/>
              </w:rPr>
              <w:t>Non-current</w:t>
            </w:r>
            <w:r>
              <w:rPr>
                <w:b/>
                <w:spacing w:val="-6"/>
                <w:w w:val="105"/>
                <w:sz w:val="13"/>
              </w:rPr>
              <w:t> </w:t>
            </w:r>
            <w:r>
              <w:rPr>
                <w:b/>
                <w:spacing w:val="-2"/>
                <w:w w:val="105"/>
                <w:sz w:val="13"/>
              </w:rPr>
              <w:t>provisions</w:t>
            </w:r>
          </w:p>
          <w:p>
            <w:pPr>
              <w:pStyle w:val="TableParagraph"/>
              <w:spacing w:line="141" w:lineRule="exact" w:before="19"/>
              <w:ind w:left="34"/>
              <w:rPr>
                <w:sz w:val="13"/>
              </w:rPr>
            </w:pPr>
            <w:r>
              <w:rPr>
                <w:w w:val="105"/>
                <w:sz w:val="13"/>
              </w:rPr>
              <w:t>Defined</w:t>
            </w:r>
            <w:r>
              <w:rPr>
                <w:spacing w:val="-8"/>
                <w:w w:val="105"/>
                <w:sz w:val="13"/>
              </w:rPr>
              <w:t> </w:t>
            </w:r>
            <w:r>
              <w:rPr>
                <w:w w:val="105"/>
                <w:sz w:val="13"/>
              </w:rPr>
              <w:t>benefit</w:t>
            </w:r>
            <w:r>
              <w:rPr>
                <w:spacing w:val="-8"/>
                <w:w w:val="105"/>
                <w:sz w:val="13"/>
              </w:rPr>
              <w:t> </w:t>
            </w:r>
            <w:r>
              <w:rPr>
                <w:spacing w:val="-2"/>
                <w:w w:val="105"/>
                <w:sz w:val="13"/>
              </w:rPr>
              <w:t>obligation</w:t>
            </w:r>
          </w:p>
        </w:tc>
        <w:tc>
          <w:tcPr>
            <w:tcW w:w="1079" w:type="dxa"/>
            <w:tcBorders>
              <w:top w:val="single" w:sz="6" w:space="0" w:color="000000"/>
            </w:tcBorders>
          </w:tcPr>
          <w:p>
            <w:pPr>
              <w:pStyle w:val="TableParagraph"/>
              <w:rPr>
                <w:b/>
                <w:sz w:val="13"/>
              </w:rPr>
            </w:pPr>
          </w:p>
          <w:p>
            <w:pPr>
              <w:pStyle w:val="TableParagraph"/>
              <w:spacing w:before="43"/>
              <w:rPr>
                <w:b/>
                <w:sz w:val="13"/>
              </w:rPr>
            </w:pPr>
          </w:p>
          <w:p>
            <w:pPr>
              <w:pStyle w:val="TableParagraph"/>
              <w:spacing w:line="141" w:lineRule="exact" w:before="1"/>
              <w:ind w:right="233"/>
              <w:jc w:val="right"/>
              <w:rPr>
                <w:sz w:val="13"/>
              </w:rPr>
            </w:pPr>
            <w:r>
              <w:rPr>
                <w:spacing w:val="-2"/>
                <w:w w:val="105"/>
                <w:sz w:val="13"/>
              </w:rPr>
              <w:t>2,649</w:t>
            </w:r>
          </w:p>
        </w:tc>
        <w:tc>
          <w:tcPr>
            <w:tcW w:w="916" w:type="dxa"/>
            <w:tcBorders>
              <w:top w:val="single" w:sz="6" w:space="0" w:color="000000"/>
            </w:tcBorders>
          </w:tcPr>
          <w:p>
            <w:pPr>
              <w:pStyle w:val="TableParagraph"/>
              <w:rPr>
                <w:b/>
                <w:sz w:val="13"/>
              </w:rPr>
            </w:pPr>
          </w:p>
          <w:p>
            <w:pPr>
              <w:pStyle w:val="TableParagraph"/>
              <w:spacing w:before="43"/>
              <w:rPr>
                <w:b/>
                <w:sz w:val="13"/>
              </w:rPr>
            </w:pPr>
          </w:p>
          <w:p>
            <w:pPr>
              <w:pStyle w:val="TableParagraph"/>
              <w:spacing w:line="141" w:lineRule="exact" w:before="1"/>
              <w:ind w:right="233"/>
              <w:jc w:val="right"/>
              <w:rPr>
                <w:sz w:val="13"/>
              </w:rPr>
            </w:pPr>
            <w:r>
              <w:rPr>
                <w:spacing w:val="-2"/>
                <w:w w:val="105"/>
                <w:sz w:val="13"/>
              </w:rPr>
              <w:t>3,217</w:t>
            </w:r>
          </w:p>
        </w:tc>
        <w:tc>
          <w:tcPr>
            <w:tcW w:w="915" w:type="dxa"/>
            <w:tcBorders>
              <w:top w:val="single" w:sz="6" w:space="0" w:color="000000"/>
            </w:tcBorders>
          </w:tcPr>
          <w:p>
            <w:pPr>
              <w:pStyle w:val="TableParagraph"/>
              <w:rPr>
                <w:b/>
                <w:sz w:val="13"/>
              </w:rPr>
            </w:pPr>
          </w:p>
          <w:p>
            <w:pPr>
              <w:pStyle w:val="TableParagraph"/>
              <w:spacing w:before="43"/>
              <w:rPr>
                <w:b/>
                <w:sz w:val="13"/>
              </w:rPr>
            </w:pPr>
          </w:p>
          <w:p>
            <w:pPr>
              <w:pStyle w:val="TableParagraph"/>
              <w:spacing w:line="141" w:lineRule="exact" w:before="1"/>
              <w:ind w:right="232"/>
              <w:jc w:val="right"/>
              <w:rPr>
                <w:sz w:val="13"/>
              </w:rPr>
            </w:pPr>
            <w:r>
              <w:rPr>
                <w:spacing w:val="-2"/>
                <w:w w:val="105"/>
                <w:sz w:val="13"/>
              </w:rPr>
              <w:t>2,649</w:t>
            </w:r>
          </w:p>
        </w:tc>
        <w:tc>
          <w:tcPr>
            <w:tcW w:w="754" w:type="dxa"/>
            <w:tcBorders>
              <w:top w:val="single" w:sz="6" w:space="0" w:color="000000"/>
            </w:tcBorders>
          </w:tcPr>
          <w:p>
            <w:pPr>
              <w:pStyle w:val="TableParagraph"/>
              <w:rPr>
                <w:b/>
                <w:sz w:val="13"/>
              </w:rPr>
            </w:pPr>
          </w:p>
          <w:p>
            <w:pPr>
              <w:pStyle w:val="TableParagraph"/>
              <w:spacing w:before="43"/>
              <w:rPr>
                <w:b/>
                <w:sz w:val="13"/>
              </w:rPr>
            </w:pPr>
          </w:p>
          <w:p>
            <w:pPr>
              <w:pStyle w:val="TableParagraph"/>
              <w:spacing w:line="141" w:lineRule="exact" w:before="1"/>
              <w:ind w:right="70"/>
              <w:jc w:val="right"/>
              <w:rPr>
                <w:sz w:val="13"/>
              </w:rPr>
            </w:pPr>
            <w:r>
              <w:rPr>
                <w:spacing w:val="-2"/>
                <w:w w:val="105"/>
                <w:sz w:val="13"/>
              </w:rPr>
              <w:t>3,217</w:t>
            </w:r>
          </w:p>
        </w:tc>
      </w:tr>
      <w:tr>
        <w:trPr>
          <w:trHeight w:val="172" w:hRule="atLeast"/>
        </w:trPr>
        <w:tc>
          <w:tcPr>
            <w:tcW w:w="4693" w:type="dxa"/>
          </w:tcPr>
          <w:p>
            <w:pPr>
              <w:pStyle w:val="TableParagraph"/>
              <w:spacing w:line="141" w:lineRule="exact" w:before="11"/>
              <w:ind w:left="34"/>
              <w:rPr>
                <w:sz w:val="13"/>
              </w:rPr>
            </w:pPr>
            <w:r>
              <w:rPr>
                <w:w w:val="105"/>
                <w:sz w:val="13"/>
              </w:rPr>
              <w:t>Long</w:t>
            </w:r>
            <w:r>
              <w:rPr>
                <w:spacing w:val="-7"/>
                <w:w w:val="105"/>
                <w:sz w:val="13"/>
              </w:rPr>
              <w:t> </w:t>
            </w:r>
            <w:r>
              <w:rPr>
                <w:w w:val="105"/>
                <w:sz w:val="13"/>
              </w:rPr>
              <w:t>service</w:t>
            </w:r>
            <w:r>
              <w:rPr>
                <w:spacing w:val="-6"/>
                <w:w w:val="105"/>
                <w:sz w:val="13"/>
              </w:rPr>
              <w:t> </w:t>
            </w:r>
            <w:r>
              <w:rPr>
                <w:spacing w:val="-2"/>
                <w:w w:val="105"/>
                <w:sz w:val="13"/>
              </w:rPr>
              <w:t>leave</w:t>
            </w:r>
          </w:p>
        </w:tc>
        <w:tc>
          <w:tcPr>
            <w:tcW w:w="1079" w:type="dxa"/>
          </w:tcPr>
          <w:p>
            <w:pPr>
              <w:pStyle w:val="TableParagraph"/>
              <w:spacing w:line="141" w:lineRule="exact" w:before="11"/>
              <w:ind w:right="233"/>
              <w:jc w:val="right"/>
              <w:rPr>
                <w:sz w:val="13"/>
              </w:rPr>
            </w:pPr>
            <w:r>
              <w:rPr>
                <w:spacing w:val="-2"/>
                <w:w w:val="105"/>
                <w:sz w:val="13"/>
              </w:rPr>
              <w:t>9,889</w:t>
            </w:r>
          </w:p>
        </w:tc>
        <w:tc>
          <w:tcPr>
            <w:tcW w:w="916" w:type="dxa"/>
          </w:tcPr>
          <w:p>
            <w:pPr>
              <w:pStyle w:val="TableParagraph"/>
              <w:spacing w:line="141" w:lineRule="exact" w:before="11"/>
              <w:ind w:right="233"/>
              <w:jc w:val="right"/>
              <w:rPr>
                <w:sz w:val="13"/>
              </w:rPr>
            </w:pPr>
            <w:r>
              <w:rPr>
                <w:spacing w:val="-2"/>
                <w:w w:val="105"/>
                <w:sz w:val="13"/>
              </w:rPr>
              <w:t>9,281</w:t>
            </w:r>
          </w:p>
        </w:tc>
        <w:tc>
          <w:tcPr>
            <w:tcW w:w="915" w:type="dxa"/>
          </w:tcPr>
          <w:p>
            <w:pPr>
              <w:pStyle w:val="TableParagraph"/>
              <w:spacing w:line="141" w:lineRule="exact" w:before="11"/>
              <w:ind w:right="232"/>
              <w:jc w:val="right"/>
              <w:rPr>
                <w:sz w:val="13"/>
              </w:rPr>
            </w:pPr>
            <w:r>
              <w:rPr>
                <w:spacing w:val="-2"/>
                <w:w w:val="105"/>
                <w:sz w:val="13"/>
              </w:rPr>
              <w:t>9,815</w:t>
            </w:r>
          </w:p>
        </w:tc>
        <w:tc>
          <w:tcPr>
            <w:tcW w:w="754" w:type="dxa"/>
          </w:tcPr>
          <w:p>
            <w:pPr>
              <w:pStyle w:val="TableParagraph"/>
              <w:spacing w:line="141" w:lineRule="exact" w:before="11"/>
              <w:ind w:right="70"/>
              <w:jc w:val="right"/>
              <w:rPr>
                <w:sz w:val="13"/>
              </w:rPr>
            </w:pPr>
            <w:r>
              <w:rPr>
                <w:spacing w:val="-2"/>
                <w:w w:val="105"/>
                <w:sz w:val="13"/>
              </w:rPr>
              <w:t>9,226</w:t>
            </w:r>
          </w:p>
        </w:tc>
      </w:tr>
      <w:tr>
        <w:trPr>
          <w:trHeight w:val="165" w:hRule="atLeast"/>
        </w:trPr>
        <w:tc>
          <w:tcPr>
            <w:tcW w:w="4693" w:type="dxa"/>
          </w:tcPr>
          <w:p>
            <w:pPr>
              <w:pStyle w:val="TableParagraph"/>
              <w:spacing w:line="134" w:lineRule="exact" w:before="11"/>
              <w:ind w:left="34"/>
              <w:rPr>
                <w:sz w:val="13"/>
              </w:rPr>
            </w:pPr>
            <w:r>
              <w:rPr>
                <w:spacing w:val="-2"/>
                <w:w w:val="105"/>
                <w:sz w:val="13"/>
              </w:rPr>
              <w:t>Employment</w:t>
            </w:r>
            <w:r>
              <w:rPr>
                <w:spacing w:val="5"/>
                <w:w w:val="105"/>
                <w:sz w:val="13"/>
              </w:rPr>
              <w:t> </w:t>
            </w:r>
            <w:r>
              <w:rPr>
                <w:spacing w:val="-2"/>
                <w:w w:val="105"/>
                <w:sz w:val="13"/>
              </w:rPr>
              <w:t>on-costs</w:t>
            </w:r>
            <w:r>
              <w:rPr>
                <w:spacing w:val="7"/>
                <w:w w:val="105"/>
                <w:sz w:val="13"/>
              </w:rPr>
              <w:t> </w:t>
            </w:r>
            <w:r>
              <w:rPr>
                <w:spacing w:val="-2"/>
                <w:w w:val="105"/>
                <w:sz w:val="13"/>
              </w:rPr>
              <w:t>provision</w:t>
            </w:r>
          </w:p>
        </w:tc>
        <w:tc>
          <w:tcPr>
            <w:tcW w:w="1079" w:type="dxa"/>
            <w:tcBorders>
              <w:bottom w:val="single" w:sz="6" w:space="0" w:color="000000"/>
            </w:tcBorders>
          </w:tcPr>
          <w:p>
            <w:pPr>
              <w:pStyle w:val="TableParagraph"/>
              <w:spacing w:line="134" w:lineRule="exact" w:before="11"/>
              <w:ind w:right="233"/>
              <w:jc w:val="right"/>
              <w:rPr>
                <w:sz w:val="13"/>
              </w:rPr>
            </w:pPr>
            <w:r>
              <w:rPr>
                <w:spacing w:val="-5"/>
                <w:w w:val="105"/>
                <w:sz w:val="13"/>
              </w:rPr>
              <w:t>657</w:t>
            </w:r>
          </w:p>
        </w:tc>
        <w:tc>
          <w:tcPr>
            <w:tcW w:w="916" w:type="dxa"/>
            <w:tcBorders>
              <w:bottom w:val="single" w:sz="6" w:space="0" w:color="000000"/>
            </w:tcBorders>
          </w:tcPr>
          <w:p>
            <w:pPr>
              <w:pStyle w:val="TableParagraph"/>
              <w:spacing w:line="134" w:lineRule="exact" w:before="11"/>
              <w:ind w:right="233"/>
              <w:jc w:val="right"/>
              <w:rPr>
                <w:sz w:val="13"/>
              </w:rPr>
            </w:pPr>
            <w:r>
              <w:rPr>
                <w:spacing w:val="-5"/>
                <w:w w:val="105"/>
                <w:sz w:val="13"/>
              </w:rPr>
              <w:t>618</w:t>
            </w:r>
          </w:p>
        </w:tc>
        <w:tc>
          <w:tcPr>
            <w:tcW w:w="915" w:type="dxa"/>
            <w:tcBorders>
              <w:bottom w:val="single" w:sz="6" w:space="0" w:color="000000"/>
            </w:tcBorders>
          </w:tcPr>
          <w:p>
            <w:pPr>
              <w:pStyle w:val="TableParagraph"/>
              <w:spacing w:line="134" w:lineRule="exact" w:before="11"/>
              <w:ind w:right="232"/>
              <w:jc w:val="right"/>
              <w:rPr>
                <w:sz w:val="13"/>
              </w:rPr>
            </w:pPr>
            <w:r>
              <w:rPr>
                <w:spacing w:val="-5"/>
                <w:w w:val="105"/>
                <w:sz w:val="13"/>
              </w:rPr>
              <w:t>657</w:t>
            </w:r>
          </w:p>
        </w:tc>
        <w:tc>
          <w:tcPr>
            <w:tcW w:w="754" w:type="dxa"/>
            <w:tcBorders>
              <w:bottom w:val="single" w:sz="6" w:space="0" w:color="000000"/>
            </w:tcBorders>
          </w:tcPr>
          <w:p>
            <w:pPr>
              <w:pStyle w:val="TableParagraph"/>
              <w:spacing w:line="134" w:lineRule="exact" w:before="11"/>
              <w:ind w:right="70"/>
              <w:jc w:val="right"/>
              <w:rPr>
                <w:sz w:val="13"/>
              </w:rPr>
            </w:pPr>
            <w:r>
              <w:rPr>
                <w:spacing w:val="-5"/>
                <w:w w:val="105"/>
                <w:sz w:val="13"/>
              </w:rPr>
              <w:t>618</w:t>
            </w:r>
          </w:p>
        </w:tc>
      </w:tr>
      <w:tr>
        <w:trPr>
          <w:trHeight w:val="157" w:hRule="atLeast"/>
        </w:trPr>
        <w:tc>
          <w:tcPr>
            <w:tcW w:w="4693" w:type="dxa"/>
          </w:tcPr>
          <w:p>
            <w:pPr>
              <w:pStyle w:val="TableParagraph"/>
              <w:spacing w:line="134" w:lineRule="exact" w:before="3"/>
              <w:ind w:left="35"/>
              <w:rPr>
                <w:b/>
                <w:sz w:val="13"/>
              </w:rPr>
            </w:pPr>
            <w:r>
              <w:rPr>
                <w:b/>
                <w:w w:val="105"/>
                <w:sz w:val="13"/>
              </w:rPr>
              <w:t>Total</w:t>
            </w:r>
            <w:r>
              <w:rPr>
                <w:b/>
                <w:spacing w:val="-6"/>
                <w:w w:val="105"/>
                <w:sz w:val="13"/>
              </w:rPr>
              <w:t> </w:t>
            </w:r>
            <w:r>
              <w:rPr>
                <w:b/>
                <w:w w:val="105"/>
                <w:sz w:val="13"/>
              </w:rPr>
              <w:t>non-current</w:t>
            </w:r>
            <w:r>
              <w:rPr>
                <w:b/>
                <w:spacing w:val="-4"/>
                <w:w w:val="105"/>
                <w:sz w:val="13"/>
              </w:rPr>
              <w:t> </w:t>
            </w:r>
            <w:r>
              <w:rPr>
                <w:b/>
                <w:spacing w:val="-2"/>
                <w:w w:val="105"/>
                <w:sz w:val="13"/>
              </w:rPr>
              <w:t>provisions</w:t>
            </w:r>
          </w:p>
        </w:tc>
        <w:tc>
          <w:tcPr>
            <w:tcW w:w="1079" w:type="dxa"/>
            <w:tcBorders>
              <w:top w:val="single" w:sz="6" w:space="0" w:color="000000"/>
              <w:bottom w:val="single" w:sz="6" w:space="0" w:color="000000"/>
            </w:tcBorders>
          </w:tcPr>
          <w:p>
            <w:pPr>
              <w:pStyle w:val="TableParagraph"/>
              <w:spacing w:line="134" w:lineRule="exact" w:before="3"/>
              <w:ind w:right="233"/>
              <w:jc w:val="right"/>
              <w:rPr>
                <w:b/>
                <w:sz w:val="13"/>
              </w:rPr>
            </w:pPr>
            <w:r>
              <w:rPr>
                <w:b/>
                <w:spacing w:val="-2"/>
                <w:w w:val="105"/>
                <w:sz w:val="13"/>
              </w:rPr>
              <w:t>13,195</w:t>
            </w:r>
          </w:p>
        </w:tc>
        <w:tc>
          <w:tcPr>
            <w:tcW w:w="916" w:type="dxa"/>
            <w:tcBorders>
              <w:top w:val="single" w:sz="6" w:space="0" w:color="000000"/>
              <w:bottom w:val="single" w:sz="6" w:space="0" w:color="000000"/>
            </w:tcBorders>
          </w:tcPr>
          <w:p>
            <w:pPr>
              <w:pStyle w:val="TableParagraph"/>
              <w:spacing w:line="134" w:lineRule="exact" w:before="3"/>
              <w:ind w:right="233"/>
              <w:jc w:val="right"/>
              <w:rPr>
                <w:b/>
                <w:sz w:val="13"/>
              </w:rPr>
            </w:pPr>
            <w:r>
              <w:rPr>
                <w:b/>
                <w:spacing w:val="-2"/>
                <w:w w:val="105"/>
                <w:sz w:val="13"/>
              </w:rPr>
              <w:t>13,116</w:t>
            </w:r>
          </w:p>
        </w:tc>
        <w:tc>
          <w:tcPr>
            <w:tcW w:w="915" w:type="dxa"/>
            <w:tcBorders>
              <w:top w:val="single" w:sz="6" w:space="0" w:color="000000"/>
              <w:bottom w:val="single" w:sz="6" w:space="0" w:color="000000"/>
            </w:tcBorders>
          </w:tcPr>
          <w:p>
            <w:pPr>
              <w:pStyle w:val="TableParagraph"/>
              <w:spacing w:line="134" w:lineRule="exact" w:before="3"/>
              <w:ind w:right="232"/>
              <w:jc w:val="right"/>
              <w:rPr>
                <w:b/>
                <w:sz w:val="13"/>
              </w:rPr>
            </w:pPr>
            <w:r>
              <w:rPr>
                <w:b/>
                <w:spacing w:val="-2"/>
                <w:w w:val="105"/>
                <w:sz w:val="13"/>
              </w:rPr>
              <w:t>13,121</w:t>
            </w:r>
          </w:p>
        </w:tc>
        <w:tc>
          <w:tcPr>
            <w:tcW w:w="754" w:type="dxa"/>
            <w:tcBorders>
              <w:top w:val="single" w:sz="6" w:space="0" w:color="000000"/>
              <w:bottom w:val="single" w:sz="6" w:space="0" w:color="000000"/>
            </w:tcBorders>
          </w:tcPr>
          <w:p>
            <w:pPr>
              <w:pStyle w:val="TableParagraph"/>
              <w:spacing w:line="134" w:lineRule="exact" w:before="3"/>
              <w:ind w:right="70"/>
              <w:jc w:val="right"/>
              <w:rPr>
                <w:b/>
                <w:sz w:val="13"/>
              </w:rPr>
            </w:pPr>
            <w:r>
              <w:rPr>
                <w:b/>
                <w:spacing w:val="-2"/>
                <w:w w:val="105"/>
                <w:sz w:val="13"/>
              </w:rPr>
              <w:t>13,061</w:t>
            </w:r>
          </w:p>
        </w:tc>
      </w:tr>
      <w:tr>
        <w:trPr>
          <w:trHeight w:val="157" w:hRule="atLeast"/>
        </w:trPr>
        <w:tc>
          <w:tcPr>
            <w:tcW w:w="4693" w:type="dxa"/>
          </w:tcPr>
          <w:p>
            <w:pPr>
              <w:pStyle w:val="TableParagraph"/>
              <w:rPr>
                <w:rFonts w:ascii="Times New Roman"/>
                <w:sz w:val="10"/>
              </w:rPr>
            </w:pPr>
          </w:p>
        </w:tc>
        <w:tc>
          <w:tcPr>
            <w:tcW w:w="1079" w:type="dxa"/>
            <w:tcBorders>
              <w:top w:val="single" w:sz="6" w:space="0" w:color="000000"/>
              <w:bottom w:val="single" w:sz="6" w:space="0" w:color="000000"/>
            </w:tcBorders>
          </w:tcPr>
          <w:p>
            <w:pPr>
              <w:pStyle w:val="TableParagraph"/>
              <w:rPr>
                <w:rFonts w:ascii="Times New Roman"/>
                <w:sz w:val="10"/>
              </w:rPr>
            </w:pPr>
          </w:p>
        </w:tc>
        <w:tc>
          <w:tcPr>
            <w:tcW w:w="916" w:type="dxa"/>
            <w:tcBorders>
              <w:top w:val="single" w:sz="6" w:space="0" w:color="000000"/>
              <w:bottom w:val="single" w:sz="6" w:space="0" w:color="000000"/>
            </w:tcBorders>
          </w:tcPr>
          <w:p>
            <w:pPr>
              <w:pStyle w:val="TableParagraph"/>
              <w:rPr>
                <w:rFonts w:ascii="Times New Roman"/>
                <w:sz w:val="10"/>
              </w:rPr>
            </w:pPr>
          </w:p>
        </w:tc>
        <w:tc>
          <w:tcPr>
            <w:tcW w:w="915" w:type="dxa"/>
            <w:tcBorders>
              <w:top w:val="single" w:sz="6" w:space="0" w:color="000000"/>
              <w:bottom w:val="single" w:sz="6" w:space="0" w:color="000000"/>
            </w:tcBorders>
          </w:tcPr>
          <w:p>
            <w:pPr>
              <w:pStyle w:val="TableParagraph"/>
              <w:rPr>
                <w:rFonts w:ascii="Times New Roman"/>
                <w:sz w:val="10"/>
              </w:rPr>
            </w:pPr>
          </w:p>
        </w:tc>
        <w:tc>
          <w:tcPr>
            <w:tcW w:w="754" w:type="dxa"/>
            <w:tcBorders>
              <w:top w:val="single" w:sz="6" w:space="0" w:color="000000"/>
              <w:bottom w:val="single" w:sz="6" w:space="0" w:color="000000"/>
            </w:tcBorders>
          </w:tcPr>
          <w:p>
            <w:pPr>
              <w:pStyle w:val="TableParagraph"/>
              <w:rPr>
                <w:rFonts w:ascii="Times New Roman"/>
                <w:sz w:val="10"/>
              </w:rPr>
            </w:pPr>
          </w:p>
        </w:tc>
      </w:tr>
      <w:tr>
        <w:trPr>
          <w:trHeight w:val="157" w:hRule="atLeast"/>
        </w:trPr>
        <w:tc>
          <w:tcPr>
            <w:tcW w:w="4693" w:type="dxa"/>
          </w:tcPr>
          <w:p>
            <w:pPr>
              <w:pStyle w:val="TableParagraph"/>
              <w:spacing w:line="134" w:lineRule="exact" w:before="3"/>
              <w:ind w:left="35"/>
              <w:rPr>
                <w:b/>
                <w:sz w:val="13"/>
              </w:rPr>
            </w:pPr>
            <w:r>
              <w:rPr>
                <w:b/>
                <w:w w:val="105"/>
                <w:sz w:val="13"/>
              </w:rPr>
              <w:t>Total</w:t>
            </w:r>
            <w:r>
              <w:rPr>
                <w:b/>
                <w:spacing w:val="-7"/>
                <w:w w:val="105"/>
                <w:sz w:val="13"/>
              </w:rPr>
              <w:t> </w:t>
            </w:r>
            <w:r>
              <w:rPr>
                <w:b/>
                <w:w w:val="105"/>
                <w:sz w:val="13"/>
              </w:rPr>
              <w:t>employee</w:t>
            </w:r>
            <w:r>
              <w:rPr>
                <w:b/>
                <w:spacing w:val="-7"/>
                <w:w w:val="105"/>
                <w:sz w:val="13"/>
              </w:rPr>
              <w:t> </w:t>
            </w:r>
            <w:r>
              <w:rPr>
                <w:b/>
                <w:w w:val="105"/>
                <w:sz w:val="13"/>
              </w:rPr>
              <w:t>benefits</w:t>
            </w:r>
            <w:r>
              <w:rPr>
                <w:b/>
                <w:spacing w:val="-7"/>
                <w:w w:val="105"/>
                <w:sz w:val="13"/>
              </w:rPr>
              <w:t> </w:t>
            </w:r>
            <w:r>
              <w:rPr>
                <w:b/>
                <w:spacing w:val="-2"/>
                <w:w w:val="105"/>
                <w:sz w:val="13"/>
              </w:rPr>
              <w:t>provision</w:t>
            </w:r>
          </w:p>
        </w:tc>
        <w:tc>
          <w:tcPr>
            <w:tcW w:w="1079" w:type="dxa"/>
            <w:tcBorders>
              <w:top w:val="single" w:sz="6" w:space="0" w:color="000000"/>
              <w:bottom w:val="single" w:sz="6" w:space="0" w:color="000000"/>
            </w:tcBorders>
          </w:tcPr>
          <w:p>
            <w:pPr>
              <w:pStyle w:val="TableParagraph"/>
              <w:spacing w:line="134" w:lineRule="exact" w:before="3"/>
              <w:ind w:right="233"/>
              <w:jc w:val="right"/>
              <w:rPr>
                <w:b/>
                <w:sz w:val="13"/>
              </w:rPr>
            </w:pPr>
            <w:r>
              <w:rPr>
                <w:b/>
                <w:spacing w:val="-2"/>
                <w:w w:val="105"/>
                <w:sz w:val="13"/>
              </w:rPr>
              <w:t>110,078</w:t>
            </w:r>
          </w:p>
        </w:tc>
        <w:tc>
          <w:tcPr>
            <w:tcW w:w="916" w:type="dxa"/>
            <w:tcBorders>
              <w:top w:val="single" w:sz="6" w:space="0" w:color="000000"/>
              <w:bottom w:val="single" w:sz="6" w:space="0" w:color="000000"/>
            </w:tcBorders>
          </w:tcPr>
          <w:p>
            <w:pPr>
              <w:pStyle w:val="TableParagraph"/>
              <w:spacing w:line="134" w:lineRule="exact" w:before="3"/>
              <w:ind w:right="233"/>
              <w:jc w:val="right"/>
              <w:rPr>
                <w:b/>
                <w:sz w:val="13"/>
              </w:rPr>
            </w:pPr>
            <w:r>
              <w:rPr>
                <w:b/>
                <w:spacing w:val="-2"/>
                <w:w w:val="105"/>
                <w:sz w:val="13"/>
              </w:rPr>
              <w:t>103,933</w:t>
            </w:r>
          </w:p>
        </w:tc>
        <w:tc>
          <w:tcPr>
            <w:tcW w:w="915" w:type="dxa"/>
            <w:tcBorders>
              <w:top w:val="single" w:sz="6" w:space="0" w:color="000000"/>
              <w:bottom w:val="single" w:sz="6" w:space="0" w:color="000000"/>
            </w:tcBorders>
          </w:tcPr>
          <w:p>
            <w:pPr>
              <w:pStyle w:val="TableParagraph"/>
              <w:spacing w:line="134" w:lineRule="exact" w:before="3"/>
              <w:ind w:right="232"/>
              <w:jc w:val="right"/>
              <w:rPr>
                <w:b/>
                <w:sz w:val="13"/>
              </w:rPr>
            </w:pPr>
            <w:r>
              <w:rPr>
                <w:b/>
                <w:spacing w:val="-2"/>
                <w:w w:val="105"/>
                <w:sz w:val="13"/>
              </w:rPr>
              <w:t>108,590</w:t>
            </w:r>
          </w:p>
        </w:tc>
        <w:tc>
          <w:tcPr>
            <w:tcW w:w="754" w:type="dxa"/>
            <w:tcBorders>
              <w:top w:val="single" w:sz="6" w:space="0" w:color="000000"/>
              <w:bottom w:val="single" w:sz="6" w:space="0" w:color="000000"/>
            </w:tcBorders>
          </w:tcPr>
          <w:p>
            <w:pPr>
              <w:pStyle w:val="TableParagraph"/>
              <w:spacing w:line="134" w:lineRule="exact" w:before="3"/>
              <w:ind w:right="70"/>
              <w:jc w:val="right"/>
              <w:rPr>
                <w:b/>
                <w:sz w:val="13"/>
              </w:rPr>
            </w:pPr>
            <w:r>
              <w:rPr>
                <w:b/>
                <w:spacing w:val="-2"/>
                <w:w w:val="105"/>
                <w:sz w:val="13"/>
              </w:rPr>
              <w:t>102,509</w:t>
            </w:r>
          </w:p>
        </w:tc>
      </w:tr>
    </w:tbl>
    <w:p>
      <w:pPr>
        <w:spacing w:line="240" w:lineRule="auto" w:before="8"/>
        <w:rPr>
          <w:b/>
          <w:sz w:val="16"/>
        </w:rPr>
      </w:pPr>
    </w:p>
    <w:p>
      <w:pPr>
        <w:spacing w:before="0"/>
        <w:ind w:left="848" w:right="0" w:firstLine="0"/>
        <w:jc w:val="both"/>
        <w:rPr>
          <w:b/>
          <w:i/>
          <w:sz w:val="13"/>
        </w:rPr>
      </w:pPr>
      <w:r>
        <w:rPr>
          <w:b/>
          <w:i/>
          <w:color w:val="0070C0"/>
          <w:w w:val="105"/>
          <w:sz w:val="13"/>
        </w:rPr>
        <w:t>Accounting</w:t>
      </w:r>
      <w:r>
        <w:rPr>
          <w:b/>
          <w:i/>
          <w:color w:val="0070C0"/>
          <w:spacing w:val="-6"/>
          <w:w w:val="105"/>
          <w:sz w:val="13"/>
        </w:rPr>
        <w:t> </w:t>
      </w:r>
      <w:r>
        <w:rPr>
          <w:b/>
          <w:i/>
          <w:color w:val="0070C0"/>
          <w:spacing w:val="-2"/>
          <w:w w:val="105"/>
          <w:sz w:val="13"/>
        </w:rPr>
        <w:t>policy</w:t>
      </w:r>
    </w:p>
    <w:p>
      <w:pPr>
        <w:spacing w:before="23"/>
        <w:ind w:left="848" w:right="0" w:firstLine="0"/>
        <w:jc w:val="both"/>
        <w:rPr>
          <w:b/>
          <w:sz w:val="13"/>
        </w:rPr>
      </w:pPr>
      <w:r>
        <w:rPr>
          <w:b/>
          <w:w w:val="105"/>
          <w:sz w:val="13"/>
        </w:rPr>
        <w:t>Annual</w:t>
      </w:r>
      <w:r>
        <w:rPr>
          <w:b/>
          <w:spacing w:val="-8"/>
          <w:w w:val="105"/>
          <w:sz w:val="13"/>
        </w:rPr>
        <w:t> </w:t>
      </w:r>
      <w:r>
        <w:rPr>
          <w:b/>
          <w:spacing w:val="-2"/>
          <w:w w:val="105"/>
          <w:sz w:val="13"/>
        </w:rPr>
        <w:t>leave</w:t>
      </w:r>
    </w:p>
    <w:p>
      <w:pPr>
        <w:spacing w:line="273" w:lineRule="auto" w:before="25"/>
        <w:ind w:left="847" w:right="1833" w:firstLine="0"/>
        <w:jc w:val="both"/>
        <w:rPr>
          <w:sz w:val="13"/>
        </w:rPr>
      </w:pPr>
      <w:r>
        <w:rPr>
          <w:w w:val="105"/>
          <w:sz w:val="13"/>
        </w:rPr>
        <w:t>Annual leave is classified as a current provision as the Group does not have an unconditional right to defer the settlement of the liability</w:t>
      </w:r>
      <w:r>
        <w:rPr>
          <w:spacing w:val="40"/>
          <w:w w:val="105"/>
          <w:sz w:val="13"/>
        </w:rPr>
        <w:t> </w:t>
      </w:r>
      <w:r>
        <w:rPr>
          <w:w w:val="105"/>
          <w:sz w:val="13"/>
        </w:rPr>
        <w:t>for at least twelve months after the reporting period, however the liability is not expected to be settled in full within twelve months of the</w:t>
      </w:r>
      <w:r>
        <w:rPr>
          <w:spacing w:val="40"/>
          <w:w w:val="105"/>
          <w:sz w:val="13"/>
        </w:rPr>
        <w:t> </w:t>
      </w:r>
      <w:r>
        <w:rPr>
          <w:w w:val="105"/>
          <w:sz w:val="13"/>
        </w:rPr>
        <w:t>reporting period. The annual leave liability is recognised and measured at the present value of amounts expected to be paid when the</w:t>
      </w:r>
      <w:r>
        <w:rPr>
          <w:spacing w:val="40"/>
          <w:w w:val="105"/>
          <w:sz w:val="13"/>
        </w:rPr>
        <w:t> </w:t>
      </w:r>
      <w:r>
        <w:rPr>
          <w:w w:val="105"/>
          <w:sz w:val="13"/>
        </w:rPr>
        <w:t>liabilities are settled using the remuneration rate expected to apply</w:t>
      </w:r>
      <w:r>
        <w:rPr>
          <w:spacing w:val="-3"/>
          <w:w w:val="105"/>
          <w:sz w:val="13"/>
        </w:rPr>
        <w:t> </w:t>
      </w:r>
      <w:r>
        <w:rPr>
          <w:w w:val="105"/>
          <w:sz w:val="13"/>
        </w:rPr>
        <w:t>at the time of settlement.</w:t>
      </w:r>
    </w:p>
    <w:p>
      <w:pPr>
        <w:spacing w:line="240" w:lineRule="auto" w:before="11"/>
        <w:rPr>
          <w:sz w:val="13"/>
        </w:rPr>
      </w:pPr>
    </w:p>
    <w:p>
      <w:pPr>
        <w:spacing w:before="0"/>
        <w:ind w:left="848" w:right="0" w:firstLine="0"/>
        <w:jc w:val="both"/>
        <w:rPr>
          <w:b/>
          <w:sz w:val="13"/>
        </w:rPr>
      </w:pPr>
      <w:r>
        <w:rPr>
          <w:b/>
          <w:w w:val="105"/>
          <w:sz w:val="13"/>
        </w:rPr>
        <w:t>Long</w:t>
      </w:r>
      <w:r>
        <w:rPr>
          <w:b/>
          <w:spacing w:val="-7"/>
          <w:w w:val="105"/>
          <w:sz w:val="13"/>
        </w:rPr>
        <w:t> </w:t>
      </w:r>
      <w:r>
        <w:rPr>
          <w:b/>
          <w:w w:val="105"/>
          <w:sz w:val="13"/>
        </w:rPr>
        <w:t>service</w:t>
      </w:r>
      <w:r>
        <w:rPr>
          <w:b/>
          <w:spacing w:val="-8"/>
          <w:w w:val="105"/>
          <w:sz w:val="13"/>
        </w:rPr>
        <w:t> </w:t>
      </w:r>
      <w:r>
        <w:rPr>
          <w:b/>
          <w:spacing w:val="-2"/>
          <w:w w:val="105"/>
          <w:sz w:val="13"/>
        </w:rPr>
        <w:t>leave</w:t>
      </w:r>
    </w:p>
    <w:p>
      <w:pPr>
        <w:spacing w:line="273" w:lineRule="auto" w:before="25"/>
        <w:ind w:left="847" w:right="1838" w:firstLine="0"/>
        <w:jc w:val="both"/>
        <w:rPr>
          <w:sz w:val="13"/>
        </w:rPr>
      </w:pPr>
      <w:r>
        <w:rPr>
          <w:w w:val="105"/>
          <w:sz w:val="13"/>
        </w:rPr>
        <w:t>The liability for long service leave is recognised in the provision for employee benefits and measured at the present value of expected</w:t>
      </w:r>
      <w:r>
        <w:rPr>
          <w:spacing w:val="40"/>
          <w:w w:val="105"/>
          <w:sz w:val="13"/>
        </w:rPr>
        <w:t> </w:t>
      </w:r>
      <w:r>
        <w:rPr>
          <w:w w:val="105"/>
          <w:sz w:val="13"/>
        </w:rPr>
        <w:t>future</w:t>
      </w:r>
      <w:r>
        <w:rPr>
          <w:spacing w:val="-1"/>
          <w:w w:val="105"/>
          <w:sz w:val="13"/>
        </w:rPr>
        <w:t> </w:t>
      </w:r>
      <w:r>
        <w:rPr>
          <w:w w:val="105"/>
          <w:sz w:val="13"/>
        </w:rPr>
        <w:t>payments to</w:t>
      </w:r>
      <w:r>
        <w:rPr>
          <w:spacing w:val="-1"/>
          <w:w w:val="105"/>
          <w:sz w:val="13"/>
        </w:rPr>
        <w:t> </w:t>
      </w:r>
      <w:r>
        <w:rPr>
          <w:w w:val="105"/>
          <w:sz w:val="13"/>
        </w:rPr>
        <w:t>be</w:t>
      </w:r>
      <w:r>
        <w:rPr>
          <w:spacing w:val="-1"/>
          <w:w w:val="105"/>
          <w:sz w:val="13"/>
        </w:rPr>
        <w:t> </w:t>
      </w:r>
      <w:r>
        <w:rPr>
          <w:w w:val="105"/>
          <w:sz w:val="13"/>
        </w:rPr>
        <w:t>made</w:t>
      </w:r>
      <w:r>
        <w:rPr>
          <w:spacing w:val="-1"/>
          <w:w w:val="105"/>
          <w:sz w:val="13"/>
        </w:rPr>
        <w:t> </w:t>
      </w:r>
      <w:r>
        <w:rPr>
          <w:w w:val="105"/>
          <w:sz w:val="13"/>
        </w:rPr>
        <w:t>in</w:t>
      </w:r>
      <w:r>
        <w:rPr>
          <w:spacing w:val="-1"/>
          <w:w w:val="105"/>
          <w:sz w:val="13"/>
        </w:rPr>
        <w:t> </w:t>
      </w:r>
      <w:r>
        <w:rPr>
          <w:w w:val="105"/>
          <w:sz w:val="13"/>
        </w:rPr>
        <w:t>respect of services provided</w:t>
      </w:r>
      <w:r>
        <w:rPr>
          <w:spacing w:val="-1"/>
          <w:w w:val="105"/>
          <w:sz w:val="13"/>
        </w:rPr>
        <w:t> </w:t>
      </w:r>
      <w:r>
        <w:rPr>
          <w:w w:val="105"/>
          <w:sz w:val="13"/>
        </w:rPr>
        <w:t>by</w:t>
      </w:r>
      <w:r>
        <w:rPr>
          <w:spacing w:val="-3"/>
          <w:w w:val="105"/>
          <w:sz w:val="13"/>
        </w:rPr>
        <w:t> </w:t>
      </w:r>
      <w:r>
        <w:rPr>
          <w:w w:val="105"/>
          <w:sz w:val="13"/>
        </w:rPr>
        <w:t>employees up</w:t>
      </w:r>
      <w:r>
        <w:rPr>
          <w:spacing w:val="-1"/>
          <w:w w:val="105"/>
          <w:sz w:val="13"/>
        </w:rPr>
        <w:t> </w:t>
      </w:r>
      <w:r>
        <w:rPr>
          <w:w w:val="105"/>
          <w:sz w:val="13"/>
        </w:rPr>
        <w:t>to</w:t>
      </w:r>
      <w:r>
        <w:rPr>
          <w:spacing w:val="-1"/>
          <w:w w:val="105"/>
          <w:sz w:val="13"/>
        </w:rPr>
        <w:t> </w:t>
      </w:r>
      <w:r>
        <w:rPr>
          <w:w w:val="105"/>
          <w:sz w:val="13"/>
        </w:rPr>
        <w:t>the</w:t>
      </w:r>
      <w:r>
        <w:rPr>
          <w:spacing w:val="-1"/>
          <w:w w:val="105"/>
          <w:sz w:val="13"/>
        </w:rPr>
        <w:t> </w:t>
      </w:r>
      <w:r>
        <w:rPr>
          <w:w w:val="105"/>
          <w:sz w:val="13"/>
        </w:rPr>
        <w:t>reporting date</w:t>
      </w:r>
      <w:r>
        <w:rPr>
          <w:spacing w:val="-1"/>
          <w:w w:val="105"/>
          <w:sz w:val="13"/>
        </w:rPr>
        <w:t> </w:t>
      </w:r>
      <w:r>
        <w:rPr>
          <w:w w:val="105"/>
          <w:sz w:val="13"/>
        </w:rPr>
        <w:t>using</w:t>
      </w:r>
      <w:r>
        <w:rPr>
          <w:spacing w:val="-1"/>
          <w:w w:val="105"/>
          <w:sz w:val="13"/>
        </w:rPr>
        <w:t> </w:t>
      </w:r>
      <w:r>
        <w:rPr>
          <w:w w:val="105"/>
          <w:sz w:val="13"/>
        </w:rPr>
        <w:t>the</w:t>
      </w:r>
      <w:r>
        <w:rPr>
          <w:spacing w:val="-1"/>
          <w:w w:val="105"/>
          <w:sz w:val="13"/>
        </w:rPr>
        <w:t> </w:t>
      </w:r>
      <w:r>
        <w:rPr>
          <w:w w:val="105"/>
          <w:sz w:val="13"/>
        </w:rPr>
        <w:t>projected</w:t>
      </w:r>
      <w:r>
        <w:rPr>
          <w:spacing w:val="-1"/>
          <w:w w:val="105"/>
          <w:sz w:val="13"/>
        </w:rPr>
        <w:t> </w:t>
      </w:r>
      <w:r>
        <w:rPr>
          <w:w w:val="105"/>
          <w:sz w:val="13"/>
        </w:rPr>
        <w:t>unit credit</w:t>
      </w:r>
      <w:r>
        <w:rPr>
          <w:spacing w:val="-2"/>
          <w:w w:val="105"/>
          <w:sz w:val="13"/>
        </w:rPr>
        <w:t> </w:t>
      </w:r>
      <w:r>
        <w:rPr>
          <w:w w:val="105"/>
          <w:sz w:val="13"/>
        </w:rPr>
        <w:t>method.</w:t>
      </w:r>
      <w:r>
        <w:rPr>
          <w:spacing w:val="40"/>
          <w:w w:val="105"/>
          <w:sz w:val="13"/>
        </w:rPr>
        <w:t> </w:t>
      </w:r>
      <w:r>
        <w:rPr>
          <w:w w:val="105"/>
          <w:sz w:val="13"/>
        </w:rPr>
        <w:t>Consideration is given to expected future wage and salary levels, experience of employee departures and periods of service. Expected</w:t>
      </w:r>
      <w:r>
        <w:rPr>
          <w:spacing w:val="40"/>
          <w:w w:val="105"/>
          <w:sz w:val="13"/>
        </w:rPr>
        <w:t> </w:t>
      </w:r>
      <w:r>
        <w:rPr>
          <w:w w:val="105"/>
          <w:sz w:val="13"/>
        </w:rPr>
        <w:t>future</w:t>
      </w:r>
      <w:r>
        <w:rPr>
          <w:w w:val="105"/>
          <w:sz w:val="13"/>
        </w:rPr>
        <w:t> payments</w:t>
      </w:r>
      <w:r>
        <w:rPr>
          <w:w w:val="105"/>
          <w:sz w:val="13"/>
        </w:rPr>
        <w:t> are</w:t>
      </w:r>
      <w:r>
        <w:rPr>
          <w:w w:val="105"/>
          <w:sz w:val="13"/>
        </w:rPr>
        <w:t> discounted</w:t>
      </w:r>
      <w:r>
        <w:rPr>
          <w:w w:val="105"/>
          <w:sz w:val="13"/>
        </w:rPr>
        <w:t> using</w:t>
      </w:r>
      <w:r>
        <w:rPr>
          <w:w w:val="105"/>
          <w:sz w:val="13"/>
        </w:rPr>
        <w:t> market</w:t>
      </w:r>
      <w:r>
        <w:rPr>
          <w:w w:val="105"/>
          <w:sz w:val="13"/>
        </w:rPr>
        <w:t> yields</w:t>
      </w:r>
      <w:r>
        <w:rPr>
          <w:w w:val="105"/>
          <w:sz w:val="13"/>
        </w:rPr>
        <w:t> at</w:t>
      </w:r>
      <w:r>
        <w:rPr>
          <w:w w:val="105"/>
          <w:sz w:val="13"/>
        </w:rPr>
        <w:t> the</w:t>
      </w:r>
      <w:r>
        <w:rPr>
          <w:w w:val="105"/>
          <w:sz w:val="13"/>
        </w:rPr>
        <w:t> reporting</w:t>
      </w:r>
      <w:r>
        <w:rPr>
          <w:w w:val="105"/>
          <w:sz w:val="13"/>
        </w:rPr>
        <w:t> date</w:t>
      </w:r>
      <w:r>
        <w:rPr>
          <w:w w:val="105"/>
          <w:sz w:val="13"/>
        </w:rPr>
        <w:t> on</w:t>
      </w:r>
      <w:r>
        <w:rPr>
          <w:w w:val="105"/>
          <w:sz w:val="13"/>
        </w:rPr>
        <w:t> national</w:t>
      </w:r>
      <w:r>
        <w:rPr>
          <w:w w:val="105"/>
          <w:sz w:val="13"/>
        </w:rPr>
        <w:t> government</w:t>
      </w:r>
      <w:r>
        <w:rPr>
          <w:w w:val="105"/>
          <w:sz w:val="13"/>
        </w:rPr>
        <w:t> bonds</w:t>
      </w:r>
      <w:r>
        <w:rPr>
          <w:w w:val="105"/>
          <w:sz w:val="13"/>
        </w:rPr>
        <w:t> with</w:t>
      </w:r>
      <w:r>
        <w:rPr>
          <w:w w:val="105"/>
          <w:sz w:val="13"/>
        </w:rPr>
        <w:t> terms</w:t>
      </w:r>
      <w:r>
        <w:rPr>
          <w:w w:val="105"/>
          <w:sz w:val="13"/>
        </w:rPr>
        <w:t> to</w:t>
      </w:r>
      <w:r>
        <w:rPr>
          <w:w w:val="105"/>
          <w:sz w:val="13"/>
        </w:rPr>
        <w:t> maturity</w:t>
      </w:r>
      <w:r>
        <w:rPr>
          <w:w w:val="105"/>
          <w:sz w:val="13"/>
        </w:rPr>
        <w:t> and</w:t>
      </w:r>
      <w:r>
        <w:rPr>
          <w:spacing w:val="40"/>
          <w:w w:val="105"/>
          <w:sz w:val="13"/>
        </w:rPr>
        <w:t> </w:t>
      </w:r>
      <w:r>
        <w:rPr>
          <w:w w:val="105"/>
          <w:sz w:val="13"/>
        </w:rPr>
        <w:t>currency</w:t>
      </w:r>
      <w:r>
        <w:rPr>
          <w:spacing w:val="-1"/>
          <w:w w:val="105"/>
          <w:sz w:val="13"/>
        </w:rPr>
        <w:t> </w:t>
      </w:r>
      <w:r>
        <w:rPr>
          <w:w w:val="105"/>
          <w:sz w:val="13"/>
        </w:rPr>
        <w:t>that match, as closely</w:t>
      </w:r>
      <w:r>
        <w:rPr>
          <w:spacing w:val="-1"/>
          <w:w w:val="105"/>
          <w:sz w:val="13"/>
        </w:rPr>
        <w:t> </w:t>
      </w:r>
      <w:r>
        <w:rPr>
          <w:w w:val="105"/>
          <w:sz w:val="13"/>
        </w:rPr>
        <w:t>as possible, the estimated future cash outflows.</w:t>
      </w:r>
    </w:p>
    <w:p>
      <w:pPr>
        <w:spacing w:before="40"/>
        <w:ind w:left="848" w:right="0" w:firstLine="0"/>
        <w:jc w:val="both"/>
        <w:rPr>
          <w:b/>
          <w:sz w:val="13"/>
        </w:rPr>
      </w:pPr>
      <w:r>
        <w:rPr>
          <w:b/>
          <w:spacing w:val="-2"/>
          <w:w w:val="105"/>
          <w:sz w:val="13"/>
        </w:rPr>
        <w:t>Purchased</w:t>
      </w:r>
      <w:r>
        <w:rPr>
          <w:b/>
          <w:spacing w:val="7"/>
          <w:w w:val="105"/>
          <w:sz w:val="13"/>
        </w:rPr>
        <w:t> </w:t>
      </w:r>
      <w:r>
        <w:rPr>
          <w:b/>
          <w:spacing w:val="-2"/>
          <w:w w:val="105"/>
          <w:sz w:val="13"/>
        </w:rPr>
        <w:t>leave</w:t>
      </w:r>
    </w:p>
    <w:p>
      <w:pPr>
        <w:spacing w:line="273" w:lineRule="auto" w:before="25"/>
        <w:ind w:left="847" w:right="1837" w:firstLine="0"/>
        <w:jc w:val="both"/>
        <w:rPr>
          <w:sz w:val="13"/>
        </w:rPr>
      </w:pPr>
      <w:r>
        <w:rPr>
          <w:w w:val="105"/>
          <w:sz w:val="13"/>
        </w:rPr>
        <w:t>The</w:t>
      </w:r>
      <w:r>
        <w:rPr>
          <w:spacing w:val="-3"/>
          <w:w w:val="105"/>
          <w:sz w:val="13"/>
        </w:rPr>
        <w:t> </w:t>
      </w:r>
      <w:r>
        <w:rPr>
          <w:w w:val="105"/>
          <w:sz w:val="13"/>
        </w:rPr>
        <w:t>Group</w:t>
      </w:r>
      <w:r>
        <w:rPr>
          <w:spacing w:val="-3"/>
          <w:w w:val="105"/>
          <w:sz w:val="13"/>
        </w:rPr>
        <w:t> </w:t>
      </w:r>
      <w:r>
        <w:rPr>
          <w:w w:val="105"/>
          <w:sz w:val="13"/>
        </w:rPr>
        <w:t>entered</w:t>
      </w:r>
      <w:r>
        <w:rPr>
          <w:spacing w:val="-3"/>
          <w:w w:val="105"/>
          <w:sz w:val="13"/>
        </w:rPr>
        <w:t> </w:t>
      </w:r>
      <w:r>
        <w:rPr>
          <w:w w:val="105"/>
          <w:sz w:val="13"/>
        </w:rPr>
        <w:t>into</w:t>
      </w:r>
      <w:r>
        <w:rPr>
          <w:spacing w:val="-3"/>
          <w:w w:val="105"/>
          <w:sz w:val="13"/>
        </w:rPr>
        <w:t> </w:t>
      </w:r>
      <w:r>
        <w:rPr>
          <w:w w:val="105"/>
          <w:sz w:val="13"/>
        </w:rPr>
        <w:t>an</w:t>
      </w:r>
      <w:r>
        <w:rPr>
          <w:spacing w:val="-3"/>
          <w:w w:val="105"/>
          <w:sz w:val="13"/>
        </w:rPr>
        <w:t> </w:t>
      </w:r>
      <w:r>
        <w:rPr>
          <w:w w:val="105"/>
          <w:sz w:val="13"/>
        </w:rPr>
        <w:t>Employee</w:t>
      </w:r>
      <w:r>
        <w:rPr>
          <w:spacing w:val="-3"/>
          <w:w w:val="105"/>
          <w:sz w:val="13"/>
        </w:rPr>
        <w:t> </w:t>
      </w:r>
      <w:r>
        <w:rPr>
          <w:w w:val="105"/>
          <w:sz w:val="13"/>
        </w:rPr>
        <w:t>Agreement</w:t>
      </w:r>
      <w:r>
        <w:rPr>
          <w:spacing w:val="-2"/>
          <w:w w:val="105"/>
          <w:sz w:val="13"/>
        </w:rPr>
        <w:t> </w:t>
      </w:r>
      <w:r>
        <w:rPr>
          <w:w w:val="105"/>
          <w:sz w:val="13"/>
        </w:rPr>
        <w:t>Variation</w:t>
      </w:r>
      <w:r>
        <w:rPr>
          <w:spacing w:val="-3"/>
          <w:w w:val="105"/>
          <w:sz w:val="13"/>
        </w:rPr>
        <w:t> </w:t>
      </w:r>
      <w:r>
        <w:rPr>
          <w:w w:val="105"/>
          <w:sz w:val="13"/>
        </w:rPr>
        <w:t>in</w:t>
      </w:r>
      <w:r>
        <w:rPr>
          <w:spacing w:val="-5"/>
          <w:w w:val="105"/>
          <w:sz w:val="13"/>
        </w:rPr>
        <w:t> </w:t>
      </w:r>
      <w:r>
        <w:rPr>
          <w:w w:val="105"/>
          <w:sz w:val="13"/>
        </w:rPr>
        <w:t>July</w:t>
      </w:r>
      <w:r>
        <w:rPr>
          <w:spacing w:val="-6"/>
          <w:w w:val="105"/>
          <w:sz w:val="13"/>
        </w:rPr>
        <w:t> </w:t>
      </w:r>
      <w:r>
        <w:rPr>
          <w:w w:val="105"/>
          <w:sz w:val="13"/>
        </w:rPr>
        <w:t>2020,</w:t>
      </w:r>
      <w:r>
        <w:rPr>
          <w:spacing w:val="-5"/>
          <w:w w:val="105"/>
          <w:sz w:val="13"/>
        </w:rPr>
        <w:t> </w:t>
      </w:r>
      <w:r>
        <w:rPr>
          <w:w w:val="105"/>
          <w:sz w:val="13"/>
        </w:rPr>
        <w:t>which</w:t>
      </w:r>
      <w:r>
        <w:rPr>
          <w:spacing w:val="-3"/>
          <w:w w:val="105"/>
          <w:sz w:val="13"/>
        </w:rPr>
        <w:t> </w:t>
      </w:r>
      <w:r>
        <w:rPr>
          <w:w w:val="105"/>
          <w:sz w:val="13"/>
        </w:rPr>
        <w:t>included</w:t>
      </w:r>
      <w:r>
        <w:rPr>
          <w:spacing w:val="-5"/>
          <w:w w:val="105"/>
          <w:sz w:val="13"/>
        </w:rPr>
        <w:t> </w:t>
      </w:r>
      <w:r>
        <w:rPr>
          <w:w w:val="105"/>
          <w:sz w:val="13"/>
        </w:rPr>
        <w:t>the</w:t>
      </w:r>
      <w:r>
        <w:rPr>
          <w:spacing w:val="-3"/>
          <w:w w:val="105"/>
          <w:sz w:val="13"/>
        </w:rPr>
        <w:t> </w:t>
      </w:r>
      <w:r>
        <w:rPr>
          <w:w w:val="105"/>
          <w:sz w:val="13"/>
        </w:rPr>
        <w:t>requirement</w:t>
      </w:r>
      <w:r>
        <w:rPr>
          <w:spacing w:val="-4"/>
          <w:w w:val="105"/>
          <w:sz w:val="13"/>
        </w:rPr>
        <w:t> </w:t>
      </w:r>
      <w:r>
        <w:rPr>
          <w:w w:val="105"/>
          <w:sz w:val="13"/>
        </w:rPr>
        <w:t>for</w:t>
      </w:r>
      <w:r>
        <w:rPr>
          <w:spacing w:val="-1"/>
          <w:w w:val="105"/>
          <w:sz w:val="13"/>
        </w:rPr>
        <w:t> </w:t>
      </w:r>
      <w:r>
        <w:rPr>
          <w:w w:val="105"/>
          <w:sz w:val="13"/>
        </w:rPr>
        <w:t>staff</w:t>
      </w:r>
      <w:r>
        <w:rPr>
          <w:spacing w:val="-3"/>
          <w:w w:val="105"/>
          <w:sz w:val="13"/>
        </w:rPr>
        <w:t> </w:t>
      </w:r>
      <w:r>
        <w:rPr>
          <w:w w:val="105"/>
          <w:sz w:val="13"/>
        </w:rPr>
        <w:t>to</w:t>
      </w:r>
      <w:r>
        <w:rPr>
          <w:spacing w:val="-3"/>
          <w:w w:val="105"/>
          <w:sz w:val="13"/>
        </w:rPr>
        <w:t> </w:t>
      </w:r>
      <w:r>
        <w:rPr>
          <w:w w:val="105"/>
          <w:sz w:val="13"/>
        </w:rPr>
        <w:t>purchase</w:t>
      </w:r>
      <w:r>
        <w:rPr>
          <w:spacing w:val="-5"/>
          <w:w w:val="105"/>
          <w:sz w:val="13"/>
        </w:rPr>
        <w:t> </w:t>
      </w:r>
      <w:r>
        <w:rPr>
          <w:w w:val="105"/>
          <w:sz w:val="13"/>
        </w:rPr>
        <w:t>leave</w:t>
      </w:r>
      <w:r>
        <w:rPr>
          <w:spacing w:val="-3"/>
          <w:w w:val="105"/>
          <w:sz w:val="13"/>
        </w:rPr>
        <w:t> </w:t>
      </w:r>
      <w:r>
        <w:rPr>
          <w:w w:val="105"/>
          <w:sz w:val="13"/>
        </w:rPr>
        <w:t>as</w:t>
      </w:r>
      <w:r>
        <w:rPr>
          <w:spacing w:val="-4"/>
          <w:w w:val="105"/>
          <w:sz w:val="13"/>
        </w:rPr>
        <w:t> </w:t>
      </w:r>
      <w:r>
        <w:rPr>
          <w:w w:val="105"/>
          <w:sz w:val="13"/>
        </w:rPr>
        <w:t>part</w:t>
      </w:r>
      <w:r>
        <w:rPr>
          <w:spacing w:val="40"/>
          <w:w w:val="105"/>
          <w:sz w:val="13"/>
        </w:rPr>
        <w:t> </w:t>
      </w:r>
      <w:r>
        <w:rPr>
          <w:w w:val="105"/>
          <w:sz w:val="13"/>
        </w:rPr>
        <w:t>of</w:t>
      </w:r>
      <w:r>
        <w:rPr>
          <w:w w:val="105"/>
          <w:sz w:val="13"/>
        </w:rPr>
        <w:t> the</w:t>
      </w:r>
      <w:r>
        <w:rPr>
          <w:w w:val="105"/>
          <w:sz w:val="13"/>
        </w:rPr>
        <w:t> response</w:t>
      </w:r>
      <w:r>
        <w:rPr>
          <w:w w:val="105"/>
          <w:sz w:val="13"/>
        </w:rPr>
        <w:t> to</w:t>
      </w:r>
      <w:r>
        <w:rPr>
          <w:w w:val="105"/>
          <w:sz w:val="13"/>
        </w:rPr>
        <w:t> COVID-19.</w:t>
      </w:r>
      <w:r>
        <w:rPr>
          <w:w w:val="105"/>
          <w:sz w:val="13"/>
        </w:rPr>
        <w:t> Leave</w:t>
      </w:r>
      <w:r>
        <w:rPr>
          <w:w w:val="105"/>
          <w:sz w:val="13"/>
        </w:rPr>
        <w:t> taken</w:t>
      </w:r>
      <w:r>
        <w:rPr>
          <w:w w:val="105"/>
          <w:sz w:val="13"/>
        </w:rPr>
        <w:t> in</w:t>
      </w:r>
      <w:r>
        <w:rPr>
          <w:w w:val="105"/>
          <w:sz w:val="13"/>
        </w:rPr>
        <w:t> excess</w:t>
      </w:r>
      <w:r>
        <w:rPr>
          <w:w w:val="105"/>
          <w:sz w:val="13"/>
        </w:rPr>
        <w:t> of</w:t>
      </w:r>
      <w:r>
        <w:rPr>
          <w:w w:val="105"/>
          <w:sz w:val="13"/>
        </w:rPr>
        <w:t> purchase</w:t>
      </w:r>
      <w:r>
        <w:rPr>
          <w:w w:val="105"/>
          <w:sz w:val="13"/>
        </w:rPr>
        <w:t> leave</w:t>
      </w:r>
      <w:r>
        <w:rPr>
          <w:w w:val="105"/>
          <w:sz w:val="13"/>
        </w:rPr>
        <w:t> payment</w:t>
      </w:r>
      <w:r>
        <w:rPr>
          <w:w w:val="105"/>
          <w:sz w:val="13"/>
        </w:rPr>
        <w:t> at</w:t>
      </w:r>
      <w:r>
        <w:rPr>
          <w:w w:val="105"/>
          <w:sz w:val="13"/>
        </w:rPr>
        <w:t> the</w:t>
      </w:r>
      <w:r>
        <w:rPr>
          <w:w w:val="105"/>
          <w:sz w:val="13"/>
        </w:rPr>
        <w:t> reporting</w:t>
      </w:r>
      <w:r>
        <w:rPr>
          <w:w w:val="105"/>
          <w:sz w:val="13"/>
        </w:rPr>
        <w:t> date</w:t>
      </w:r>
      <w:r>
        <w:rPr>
          <w:w w:val="105"/>
          <w:sz w:val="13"/>
        </w:rPr>
        <w:t> is</w:t>
      </w:r>
      <w:r>
        <w:rPr>
          <w:w w:val="105"/>
          <w:sz w:val="13"/>
        </w:rPr>
        <w:t> set-off</w:t>
      </w:r>
      <w:r>
        <w:rPr>
          <w:w w:val="105"/>
          <w:sz w:val="13"/>
        </w:rPr>
        <w:t> against</w:t>
      </w:r>
      <w:r>
        <w:rPr>
          <w:w w:val="105"/>
          <w:sz w:val="13"/>
        </w:rPr>
        <w:t> employee</w:t>
      </w:r>
      <w:r>
        <w:rPr>
          <w:spacing w:val="40"/>
          <w:w w:val="105"/>
          <w:sz w:val="13"/>
        </w:rPr>
        <w:t> </w:t>
      </w:r>
      <w:r>
        <w:rPr>
          <w:spacing w:val="-2"/>
          <w:w w:val="105"/>
          <w:sz w:val="13"/>
        </w:rPr>
        <w:t>provision.</w:t>
      </w:r>
    </w:p>
    <w:p>
      <w:pPr>
        <w:spacing w:line="240" w:lineRule="auto" w:before="217"/>
        <w:rPr>
          <w:sz w:val="20"/>
        </w:rPr>
      </w:pPr>
      <w:r>
        <w:rPr/>
        <mc:AlternateContent>
          <mc:Choice Requires="wps">
            <w:drawing>
              <wp:anchor distT="0" distB="0" distL="0" distR="0" allowOverlap="1" layoutInCell="1" locked="0" behindDoc="1" simplePos="0" relativeHeight="487742464">
                <wp:simplePos x="0" y="0"/>
                <wp:positionH relativeFrom="page">
                  <wp:posOffset>1105382</wp:posOffset>
                </wp:positionH>
                <wp:positionV relativeFrom="paragraph">
                  <wp:posOffset>299418</wp:posOffset>
                </wp:positionV>
                <wp:extent cx="5302885" cy="438784"/>
                <wp:effectExtent l="0" t="0" r="0" b="0"/>
                <wp:wrapTopAndBottom/>
                <wp:docPr id="912" name="Textbox 912"/>
                <wp:cNvGraphicFramePr>
                  <a:graphicFrameLocks/>
                </wp:cNvGraphicFramePr>
                <a:graphic>
                  <a:graphicData uri="http://schemas.microsoft.com/office/word/2010/wordprocessingShape">
                    <wps:wsp>
                      <wps:cNvPr id="912" name="Textbox 912"/>
                      <wps:cNvSpPr txBox="1"/>
                      <wps:spPr>
                        <a:xfrm>
                          <a:off x="0" y="0"/>
                          <a:ext cx="5302885" cy="438784"/>
                        </a:xfrm>
                        <a:prstGeom prst="rect">
                          <a:avLst/>
                        </a:prstGeom>
                        <a:solidFill>
                          <a:srgbClr val="DCE6F1"/>
                        </a:solidFill>
                      </wps:spPr>
                      <wps:txbx>
                        <w:txbxContent>
                          <w:p>
                            <w:pPr>
                              <w:spacing w:before="10"/>
                              <w:ind w:left="27" w:right="0" w:firstLine="0"/>
                              <w:jc w:val="both"/>
                              <w:rPr>
                                <w:b/>
                                <w:color w:val="000000"/>
                                <w:sz w:val="13"/>
                              </w:rPr>
                            </w:pPr>
                            <w:r>
                              <w:rPr>
                                <w:b/>
                                <w:color w:val="0070C0"/>
                                <w:w w:val="105"/>
                                <w:sz w:val="13"/>
                              </w:rPr>
                              <w:t>Critical</w:t>
                            </w:r>
                            <w:r>
                              <w:rPr>
                                <w:b/>
                                <w:color w:val="0070C0"/>
                                <w:spacing w:val="-9"/>
                                <w:w w:val="105"/>
                                <w:sz w:val="13"/>
                              </w:rPr>
                              <w:t> </w:t>
                            </w:r>
                            <w:r>
                              <w:rPr>
                                <w:b/>
                                <w:color w:val="0070C0"/>
                                <w:w w:val="105"/>
                                <w:sz w:val="13"/>
                              </w:rPr>
                              <w:t>accounting</w:t>
                            </w:r>
                            <w:r>
                              <w:rPr>
                                <w:b/>
                                <w:color w:val="0070C0"/>
                                <w:spacing w:val="-7"/>
                                <w:w w:val="105"/>
                                <w:sz w:val="13"/>
                              </w:rPr>
                              <w:t> </w:t>
                            </w:r>
                            <w:r>
                              <w:rPr>
                                <w:b/>
                                <w:color w:val="0070C0"/>
                                <w:w w:val="105"/>
                                <w:sz w:val="13"/>
                              </w:rPr>
                              <w:t>estimates</w:t>
                            </w:r>
                            <w:r>
                              <w:rPr>
                                <w:b/>
                                <w:color w:val="0070C0"/>
                                <w:spacing w:val="-8"/>
                                <w:w w:val="105"/>
                                <w:sz w:val="13"/>
                              </w:rPr>
                              <w:t> </w:t>
                            </w:r>
                            <w:r>
                              <w:rPr>
                                <w:b/>
                                <w:color w:val="0070C0"/>
                                <w:w w:val="105"/>
                                <w:sz w:val="13"/>
                              </w:rPr>
                              <w:t>and</w:t>
                            </w:r>
                            <w:r>
                              <w:rPr>
                                <w:b/>
                                <w:color w:val="0070C0"/>
                                <w:spacing w:val="-8"/>
                                <w:w w:val="105"/>
                                <w:sz w:val="13"/>
                              </w:rPr>
                              <w:t> </w:t>
                            </w:r>
                            <w:r>
                              <w:rPr>
                                <w:b/>
                                <w:color w:val="0070C0"/>
                                <w:w w:val="105"/>
                                <w:sz w:val="13"/>
                              </w:rPr>
                              <w:t>judgements:</w:t>
                            </w:r>
                            <w:r>
                              <w:rPr>
                                <w:b/>
                                <w:color w:val="0070C0"/>
                                <w:spacing w:val="-6"/>
                                <w:w w:val="105"/>
                                <w:sz w:val="13"/>
                              </w:rPr>
                              <w:t> </w:t>
                            </w:r>
                            <w:r>
                              <w:rPr>
                                <w:b/>
                                <w:color w:val="0070C0"/>
                                <w:w w:val="105"/>
                                <w:sz w:val="13"/>
                              </w:rPr>
                              <w:t>Long</w:t>
                            </w:r>
                            <w:r>
                              <w:rPr>
                                <w:b/>
                                <w:color w:val="0070C0"/>
                                <w:spacing w:val="-8"/>
                                <w:w w:val="105"/>
                                <w:sz w:val="13"/>
                              </w:rPr>
                              <w:t> </w:t>
                            </w:r>
                            <w:r>
                              <w:rPr>
                                <w:b/>
                                <w:color w:val="0070C0"/>
                                <w:w w:val="105"/>
                                <w:sz w:val="13"/>
                              </w:rPr>
                              <w:t>service</w:t>
                            </w:r>
                            <w:r>
                              <w:rPr>
                                <w:b/>
                                <w:color w:val="0070C0"/>
                                <w:spacing w:val="-8"/>
                                <w:w w:val="105"/>
                                <w:sz w:val="13"/>
                              </w:rPr>
                              <w:t> </w:t>
                            </w:r>
                            <w:r>
                              <w:rPr>
                                <w:b/>
                                <w:color w:val="0070C0"/>
                                <w:spacing w:val="-4"/>
                                <w:w w:val="105"/>
                                <w:sz w:val="13"/>
                              </w:rPr>
                              <w:t>leave</w:t>
                            </w:r>
                          </w:p>
                          <w:p>
                            <w:pPr>
                              <w:spacing w:line="273" w:lineRule="auto" w:before="20"/>
                              <w:ind w:left="26" w:right="23" w:firstLine="0"/>
                              <w:jc w:val="both"/>
                              <w:rPr>
                                <w:color w:val="000000"/>
                                <w:sz w:val="13"/>
                              </w:rPr>
                            </w:pPr>
                            <w:r>
                              <w:rPr>
                                <w:color w:val="000000"/>
                                <w:w w:val="105"/>
                                <w:sz w:val="13"/>
                              </w:rPr>
                              <w:t>Several estimations and assumptions used in calculating the Group’s long service leave provision include expected future salary rates,</w:t>
                            </w:r>
                            <w:r>
                              <w:rPr>
                                <w:color w:val="000000"/>
                                <w:spacing w:val="40"/>
                                <w:w w:val="105"/>
                                <w:sz w:val="13"/>
                              </w:rPr>
                              <w:t> </w:t>
                            </w:r>
                            <w:r>
                              <w:rPr>
                                <w:color w:val="000000"/>
                                <w:w w:val="105"/>
                                <w:sz w:val="13"/>
                              </w:rPr>
                              <w:t>discount rates, employee retention rates and expected future payments. Changes in these estimations and assumptions may impact on</w:t>
                            </w:r>
                            <w:r>
                              <w:rPr>
                                <w:color w:val="000000"/>
                                <w:spacing w:val="40"/>
                                <w:w w:val="105"/>
                                <w:sz w:val="13"/>
                              </w:rPr>
                              <w:t> </w:t>
                            </w:r>
                            <w:r>
                              <w:rPr>
                                <w:color w:val="000000"/>
                                <w:w w:val="105"/>
                                <w:sz w:val="13"/>
                              </w:rPr>
                              <w:t>the carrying amount of the long service leave provision.</w:t>
                            </w:r>
                          </w:p>
                        </w:txbxContent>
                      </wps:txbx>
                      <wps:bodyPr wrap="square" lIns="0" tIns="0" rIns="0" bIns="0" rtlCol="0">
                        <a:noAutofit/>
                      </wps:bodyPr>
                    </wps:wsp>
                  </a:graphicData>
                </a:graphic>
              </wp:anchor>
            </w:drawing>
          </mc:Choice>
          <mc:Fallback>
            <w:pict>
              <v:shape style="position:absolute;margin-left:87.038002pt;margin-top:23.576277pt;width:417.55pt;height:34.550pt;mso-position-horizontal-relative:page;mso-position-vertical-relative:paragraph;z-index:-15574016;mso-wrap-distance-left:0;mso-wrap-distance-right:0" type="#_x0000_t202" id="docshape606" filled="true" fillcolor="#dce6f1" stroked="false">
                <v:textbox inset="0,0,0,0">
                  <w:txbxContent>
                    <w:p>
                      <w:pPr>
                        <w:spacing w:before="10"/>
                        <w:ind w:left="27" w:right="0" w:firstLine="0"/>
                        <w:jc w:val="both"/>
                        <w:rPr>
                          <w:b/>
                          <w:color w:val="000000"/>
                          <w:sz w:val="13"/>
                        </w:rPr>
                      </w:pPr>
                      <w:r>
                        <w:rPr>
                          <w:b/>
                          <w:color w:val="0070C0"/>
                          <w:w w:val="105"/>
                          <w:sz w:val="13"/>
                        </w:rPr>
                        <w:t>Critical</w:t>
                      </w:r>
                      <w:r>
                        <w:rPr>
                          <w:b/>
                          <w:color w:val="0070C0"/>
                          <w:spacing w:val="-9"/>
                          <w:w w:val="105"/>
                          <w:sz w:val="13"/>
                        </w:rPr>
                        <w:t> </w:t>
                      </w:r>
                      <w:r>
                        <w:rPr>
                          <w:b/>
                          <w:color w:val="0070C0"/>
                          <w:w w:val="105"/>
                          <w:sz w:val="13"/>
                        </w:rPr>
                        <w:t>accounting</w:t>
                      </w:r>
                      <w:r>
                        <w:rPr>
                          <w:b/>
                          <w:color w:val="0070C0"/>
                          <w:spacing w:val="-7"/>
                          <w:w w:val="105"/>
                          <w:sz w:val="13"/>
                        </w:rPr>
                        <w:t> </w:t>
                      </w:r>
                      <w:r>
                        <w:rPr>
                          <w:b/>
                          <w:color w:val="0070C0"/>
                          <w:w w:val="105"/>
                          <w:sz w:val="13"/>
                        </w:rPr>
                        <w:t>estimates</w:t>
                      </w:r>
                      <w:r>
                        <w:rPr>
                          <w:b/>
                          <w:color w:val="0070C0"/>
                          <w:spacing w:val="-8"/>
                          <w:w w:val="105"/>
                          <w:sz w:val="13"/>
                        </w:rPr>
                        <w:t> </w:t>
                      </w:r>
                      <w:r>
                        <w:rPr>
                          <w:b/>
                          <w:color w:val="0070C0"/>
                          <w:w w:val="105"/>
                          <w:sz w:val="13"/>
                        </w:rPr>
                        <w:t>and</w:t>
                      </w:r>
                      <w:r>
                        <w:rPr>
                          <w:b/>
                          <w:color w:val="0070C0"/>
                          <w:spacing w:val="-8"/>
                          <w:w w:val="105"/>
                          <w:sz w:val="13"/>
                        </w:rPr>
                        <w:t> </w:t>
                      </w:r>
                      <w:r>
                        <w:rPr>
                          <w:b/>
                          <w:color w:val="0070C0"/>
                          <w:w w:val="105"/>
                          <w:sz w:val="13"/>
                        </w:rPr>
                        <w:t>judgements:</w:t>
                      </w:r>
                      <w:r>
                        <w:rPr>
                          <w:b/>
                          <w:color w:val="0070C0"/>
                          <w:spacing w:val="-6"/>
                          <w:w w:val="105"/>
                          <w:sz w:val="13"/>
                        </w:rPr>
                        <w:t> </w:t>
                      </w:r>
                      <w:r>
                        <w:rPr>
                          <w:b/>
                          <w:color w:val="0070C0"/>
                          <w:w w:val="105"/>
                          <w:sz w:val="13"/>
                        </w:rPr>
                        <w:t>Long</w:t>
                      </w:r>
                      <w:r>
                        <w:rPr>
                          <w:b/>
                          <w:color w:val="0070C0"/>
                          <w:spacing w:val="-8"/>
                          <w:w w:val="105"/>
                          <w:sz w:val="13"/>
                        </w:rPr>
                        <w:t> </w:t>
                      </w:r>
                      <w:r>
                        <w:rPr>
                          <w:b/>
                          <w:color w:val="0070C0"/>
                          <w:w w:val="105"/>
                          <w:sz w:val="13"/>
                        </w:rPr>
                        <w:t>service</w:t>
                      </w:r>
                      <w:r>
                        <w:rPr>
                          <w:b/>
                          <w:color w:val="0070C0"/>
                          <w:spacing w:val="-8"/>
                          <w:w w:val="105"/>
                          <w:sz w:val="13"/>
                        </w:rPr>
                        <w:t> </w:t>
                      </w:r>
                      <w:r>
                        <w:rPr>
                          <w:b/>
                          <w:color w:val="0070C0"/>
                          <w:spacing w:val="-4"/>
                          <w:w w:val="105"/>
                          <w:sz w:val="13"/>
                        </w:rPr>
                        <w:t>leave</w:t>
                      </w:r>
                    </w:p>
                    <w:p>
                      <w:pPr>
                        <w:spacing w:line="273" w:lineRule="auto" w:before="20"/>
                        <w:ind w:left="26" w:right="23" w:firstLine="0"/>
                        <w:jc w:val="both"/>
                        <w:rPr>
                          <w:color w:val="000000"/>
                          <w:sz w:val="13"/>
                        </w:rPr>
                      </w:pPr>
                      <w:r>
                        <w:rPr>
                          <w:color w:val="000000"/>
                          <w:w w:val="105"/>
                          <w:sz w:val="13"/>
                        </w:rPr>
                        <w:t>Several estimations and assumptions used in calculating the Group’s long service leave provision include expected future salary rates,</w:t>
                      </w:r>
                      <w:r>
                        <w:rPr>
                          <w:color w:val="000000"/>
                          <w:spacing w:val="40"/>
                          <w:w w:val="105"/>
                          <w:sz w:val="13"/>
                        </w:rPr>
                        <w:t> </w:t>
                      </w:r>
                      <w:r>
                        <w:rPr>
                          <w:color w:val="000000"/>
                          <w:w w:val="105"/>
                          <w:sz w:val="13"/>
                        </w:rPr>
                        <w:t>discount rates, employee retention rates and expected future payments. Changes in these estimations and assumptions may impact on</w:t>
                      </w:r>
                      <w:r>
                        <w:rPr>
                          <w:color w:val="000000"/>
                          <w:spacing w:val="40"/>
                          <w:w w:val="105"/>
                          <w:sz w:val="13"/>
                        </w:rPr>
                        <w:t> </w:t>
                      </w:r>
                      <w:r>
                        <w:rPr>
                          <w:color w:val="000000"/>
                          <w:w w:val="105"/>
                          <w:sz w:val="13"/>
                        </w:rPr>
                        <w:t>the carrying amount of the long service leave provision.</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742976">
                <wp:simplePos x="0" y="0"/>
                <wp:positionH relativeFrom="page">
                  <wp:posOffset>720001</wp:posOffset>
                </wp:positionH>
                <wp:positionV relativeFrom="paragraph">
                  <wp:posOffset>853918</wp:posOffset>
                </wp:positionV>
                <wp:extent cx="5688330" cy="17145"/>
                <wp:effectExtent l="0" t="0" r="0" b="0"/>
                <wp:wrapTopAndBottom/>
                <wp:docPr id="913" name="Graphic 913"/>
                <wp:cNvGraphicFramePr>
                  <a:graphicFrameLocks/>
                </wp:cNvGraphicFramePr>
                <a:graphic>
                  <a:graphicData uri="http://schemas.microsoft.com/office/word/2010/wordprocessingShape">
                    <wps:wsp>
                      <wps:cNvPr id="913" name="Graphic 913"/>
                      <wps:cNvSpPr/>
                      <wps:spPr>
                        <a:xfrm>
                          <a:off x="0" y="0"/>
                          <a:ext cx="5688330" cy="17145"/>
                        </a:xfrm>
                        <a:custGeom>
                          <a:avLst/>
                          <a:gdLst/>
                          <a:ahLst/>
                          <a:cxnLst/>
                          <a:rect l="l" t="t" r="r" b="b"/>
                          <a:pathLst>
                            <a:path w="5688330" h="17145">
                              <a:moveTo>
                                <a:pt x="5688190" y="0"/>
                              </a:moveTo>
                              <a:lnTo>
                                <a:pt x="0" y="0"/>
                              </a:lnTo>
                              <a:lnTo>
                                <a:pt x="0" y="16827"/>
                              </a:lnTo>
                              <a:lnTo>
                                <a:pt x="5688190" y="16827"/>
                              </a:lnTo>
                              <a:lnTo>
                                <a:pt x="5688190"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6.693001pt;margin-top:67.23764pt;width:447.889pt;height:1.325pt;mso-position-horizontal-relative:page;mso-position-vertical-relative:paragraph;z-index:-15573504;mso-wrap-distance-left:0;mso-wrap-distance-right:0" id="docshape607" filled="true" fillcolor="#4f81bd" stroked="false">
                <v:fill type="solid"/>
                <w10:wrap type="topAndBottom"/>
              </v:rect>
            </w:pict>
          </mc:Fallback>
        </mc:AlternateContent>
      </w:r>
    </w:p>
    <w:p>
      <w:pPr>
        <w:spacing w:line="240" w:lineRule="auto" w:before="9"/>
        <w:rPr>
          <w:sz w:val="13"/>
        </w:rPr>
      </w:pPr>
    </w:p>
    <w:p>
      <w:pPr>
        <w:spacing w:after="0" w:line="240" w:lineRule="auto"/>
        <w:rPr>
          <w:sz w:val="13"/>
        </w:rPr>
        <w:sectPr>
          <w:pgSz w:w="11910" w:h="16840"/>
          <w:pgMar w:header="468" w:footer="0" w:top="2100" w:bottom="280" w:left="920" w:right="0"/>
        </w:sectPr>
      </w:pPr>
    </w:p>
    <w:p>
      <w:pPr>
        <w:spacing w:line="240" w:lineRule="auto" w:before="0"/>
        <w:rPr>
          <w:sz w:val="22"/>
        </w:rPr>
      </w:pPr>
      <w:r>
        <w:rPr/>
        <mc:AlternateContent>
          <mc:Choice Requires="wps">
            <w:drawing>
              <wp:anchor distT="0" distB="0" distL="0" distR="0" allowOverlap="1" layoutInCell="1" locked="0" behindDoc="0" simplePos="0" relativeHeight="15884800">
                <wp:simplePos x="0" y="0"/>
                <wp:positionH relativeFrom="page">
                  <wp:posOffset>7111289</wp:posOffset>
                </wp:positionH>
                <wp:positionV relativeFrom="page">
                  <wp:posOffset>8040241</wp:posOffset>
                </wp:positionV>
                <wp:extent cx="177800" cy="1945005"/>
                <wp:effectExtent l="0" t="0" r="0" b="0"/>
                <wp:wrapNone/>
                <wp:docPr id="914" name="Textbox 914"/>
                <wp:cNvGraphicFramePr>
                  <a:graphicFrameLocks/>
                </wp:cNvGraphicFramePr>
                <a:graphic>
                  <a:graphicData uri="http://schemas.microsoft.com/office/word/2010/wordprocessingShape">
                    <wps:wsp>
                      <wps:cNvPr id="914" name="Textbox 914"/>
                      <wps:cNvSpPr txBox="1"/>
                      <wps:spPr>
                        <a:xfrm>
                          <a:off x="0" y="0"/>
                          <a:ext cx="177800" cy="194500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633.089905pt;width:14pt;height:153.15pt;mso-position-horizontal-relative:page;mso-position-vertical-relative:page;z-index:15884800" type="#_x0000_t202" id="docshape608"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v:textbox>
                <w10:wrap type="none"/>
              </v:shape>
            </w:pict>
          </mc:Fallback>
        </mc:AlternateContent>
      </w:r>
    </w:p>
    <w:p>
      <w:pPr>
        <w:spacing w:line="240" w:lineRule="auto" w:before="0"/>
        <w:rPr>
          <w:sz w:val="22"/>
        </w:rPr>
      </w:pPr>
    </w:p>
    <w:p>
      <w:pPr>
        <w:spacing w:line="240" w:lineRule="auto" w:before="193"/>
        <w:rPr>
          <w:sz w:val="22"/>
        </w:rPr>
      </w:pPr>
    </w:p>
    <w:p>
      <w:pPr>
        <w:spacing w:before="0"/>
        <w:ind w:left="251" w:right="0" w:firstLine="0"/>
        <w:jc w:val="left"/>
        <w:rPr>
          <w:sz w:val="22"/>
        </w:rPr>
      </w:pPr>
      <w:r>
        <w:rPr>
          <w:color w:val="0070C0"/>
          <w:sz w:val="22"/>
        </w:rPr>
        <w:t>NOTES</w:t>
      </w:r>
      <w:r>
        <w:rPr>
          <w:color w:val="0070C0"/>
          <w:spacing w:val="-9"/>
          <w:sz w:val="22"/>
        </w:rPr>
        <w:t> </w:t>
      </w:r>
      <w:r>
        <w:rPr>
          <w:color w:val="0070C0"/>
          <w:sz w:val="22"/>
        </w:rPr>
        <w:t>TO</w:t>
      </w:r>
      <w:r>
        <w:rPr>
          <w:color w:val="0070C0"/>
          <w:spacing w:val="-9"/>
          <w:sz w:val="22"/>
        </w:rPr>
        <w:t> </w:t>
      </w:r>
      <w:r>
        <w:rPr>
          <w:color w:val="0070C0"/>
          <w:sz w:val="22"/>
        </w:rPr>
        <w:t>THE</w:t>
      </w:r>
      <w:r>
        <w:rPr>
          <w:color w:val="0070C0"/>
          <w:spacing w:val="-9"/>
          <w:sz w:val="22"/>
        </w:rPr>
        <w:t> </w:t>
      </w:r>
      <w:r>
        <w:rPr>
          <w:color w:val="0070C0"/>
          <w:sz w:val="22"/>
        </w:rPr>
        <w:t>FINANCIAL</w:t>
      </w:r>
      <w:r>
        <w:rPr>
          <w:color w:val="0070C0"/>
          <w:spacing w:val="-9"/>
          <w:sz w:val="22"/>
        </w:rPr>
        <w:t> </w:t>
      </w:r>
      <w:r>
        <w:rPr>
          <w:color w:val="0070C0"/>
          <w:spacing w:val="-2"/>
          <w:sz w:val="22"/>
        </w:rPr>
        <w:t>STATEMENTS</w:t>
      </w:r>
    </w:p>
    <w:p>
      <w:pPr>
        <w:spacing w:before="31"/>
        <w:ind w:left="238" w:right="0" w:firstLine="0"/>
        <w:jc w:val="left"/>
        <w:rPr>
          <w:sz w:val="12"/>
        </w:rPr>
      </w:pPr>
      <w:r>
        <w:rPr>
          <w:sz w:val="12"/>
        </w:rPr>
        <w:t>for</w:t>
      </w:r>
      <w:r>
        <w:rPr>
          <w:spacing w:val="4"/>
          <w:sz w:val="12"/>
        </w:rPr>
        <w:t> </w:t>
      </w:r>
      <w:r>
        <w:rPr>
          <w:sz w:val="12"/>
        </w:rPr>
        <w:t>the</w:t>
      </w:r>
      <w:r>
        <w:rPr>
          <w:spacing w:val="3"/>
          <w:sz w:val="12"/>
        </w:rPr>
        <w:t> </w:t>
      </w:r>
      <w:r>
        <w:rPr>
          <w:sz w:val="12"/>
        </w:rPr>
        <w:t>year</w:t>
      </w:r>
      <w:r>
        <w:rPr>
          <w:spacing w:val="5"/>
          <w:sz w:val="12"/>
        </w:rPr>
        <w:t> </w:t>
      </w:r>
      <w:r>
        <w:rPr>
          <w:sz w:val="12"/>
        </w:rPr>
        <w:t>ended</w:t>
      </w:r>
      <w:r>
        <w:rPr>
          <w:spacing w:val="3"/>
          <w:sz w:val="12"/>
        </w:rPr>
        <w:t> </w:t>
      </w:r>
      <w:r>
        <w:rPr>
          <w:sz w:val="12"/>
        </w:rPr>
        <w:t>31</w:t>
      </w:r>
      <w:r>
        <w:rPr>
          <w:spacing w:val="3"/>
          <w:sz w:val="12"/>
        </w:rPr>
        <w:t> </w:t>
      </w:r>
      <w:r>
        <w:rPr>
          <w:sz w:val="12"/>
        </w:rPr>
        <w:t>December</w:t>
      </w:r>
      <w:r>
        <w:rPr>
          <w:spacing w:val="5"/>
          <w:sz w:val="12"/>
        </w:rPr>
        <w:t> </w:t>
      </w:r>
      <w:r>
        <w:rPr>
          <w:spacing w:val="-4"/>
          <w:sz w:val="12"/>
        </w:rPr>
        <w:t>2020</w:t>
      </w:r>
    </w:p>
    <w:p>
      <w:pPr>
        <w:spacing w:line="240" w:lineRule="auto" w:before="41"/>
        <w:rPr>
          <w:sz w:val="12"/>
        </w:rPr>
      </w:pPr>
    </w:p>
    <w:p>
      <w:pPr>
        <w:pStyle w:val="ListParagraph"/>
        <w:numPr>
          <w:ilvl w:val="1"/>
          <w:numId w:val="13"/>
        </w:numPr>
        <w:tabs>
          <w:tab w:pos="849" w:val="left" w:leader="none"/>
        </w:tabs>
        <w:spacing w:line="240" w:lineRule="auto" w:before="0" w:after="0"/>
        <w:ind w:left="849" w:right="0" w:hanging="605"/>
        <w:jc w:val="both"/>
        <w:rPr>
          <w:b/>
          <w:color w:val="0070C0"/>
          <w:sz w:val="16"/>
        </w:rPr>
      </w:pPr>
      <w:r>
        <w:rPr>
          <w:b/>
          <w:color w:val="0070C0"/>
          <w:sz w:val="16"/>
        </w:rPr>
        <w:t>Defined</w:t>
      </w:r>
      <w:r>
        <w:rPr>
          <w:b/>
          <w:color w:val="0070C0"/>
          <w:spacing w:val="8"/>
          <w:sz w:val="16"/>
        </w:rPr>
        <w:t> </w:t>
      </w:r>
      <w:r>
        <w:rPr>
          <w:b/>
          <w:color w:val="0070C0"/>
          <w:sz w:val="16"/>
        </w:rPr>
        <w:t>benefit</w:t>
      </w:r>
      <w:r>
        <w:rPr>
          <w:b/>
          <w:color w:val="0070C0"/>
          <w:spacing w:val="9"/>
          <w:sz w:val="16"/>
        </w:rPr>
        <w:t> </w:t>
      </w:r>
      <w:r>
        <w:rPr>
          <w:b/>
          <w:color w:val="0070C0"/>
          <w:spacing w:val="-4"/>
          <w:sz w:val="16"/>
        </w:rPr>
        <w:t>plan</w:t>
      </w:r>
    </w:p>
    <w:p>
      <w:pPr>
        <w:spacing w:line="273" w:lineRule="auto" w:before="30"/>
        <w:ind w:left="847" w:right="1837" w:firstLine="0"/>
        <w:jc w:val="both"/>
        <w:rPr>
          <w:sz w:val="13"/>
        </w:rPr>
      </w:pPr>
      <w:r>
        <w:rPr>
          <w:w w:val="105"/>
          <w:sz w:val="13"/>
        </w:rPr>
        <w:t>A group of</w:t>
      </w:r>
      <w:r>
        <w:rPr>
          <w:w w:val="105"/>
          <w:sz w:val="13"/>
        </w:rPr>
        <w:t> employees are entitled,</w:t>
      </w:r>
      <w:r>
        <w:rPr>
          <w:w w:val="105"/>
          <w:sz w:val="13"/>
        </w:rPr>
        <w:t> on retirement,</w:t>
      </w:r>
      <w:r>
        <w:rPr>
          <w:w w:val="105"/>
          <w:sz w:val="13"/>
        </w:rPr>
        <w:t> death or</w:t>
      </w:r>
      <w:r>
        <w:rPr>
          <w:w w:val="105"/>
          <w:sz w:val="13"/>
        </w:rPr>
        <w:t> disablement, to</w:t>
      </w:r>
      <w:r>
        <w:rPr>
          <w:w w:val="105"/>
          <w:sz w:val="13"/>
        </w:rPr>
        <w:t> defined benefits</w:t>
      </w:r>
      <w:r>
        <w:rPr>
          <w:w w:val="105"/>
          <w:sz w:val="13"/>
        </w:rPr>
        <w:t> under The University of</w:t>
      </w:r>
      <w:r>
        <w:rPr>
          <w:w w:val="105"/>
          <w:sz w:val="13"/>
        </w:rPr>
        <w:t> Western Australia</w:t>
      </w:r>
      <w:r>
        <w:rPr>
          <w:spacing w:val="40"/>
          <w:w w:val="105"/>
          <w:sz w:val="13"/>
        </w:rPr>
        <w:t> </w:t>
      </w:r>
      <w:r>
        <w:rPr>
          <w:w w:val="105"/>
          <w:sz w:val="13"/>
        </w:rPr>
        <w:t>Supplementary Pension Scheme or University of Western Australia Supplementary Benefit Scheme. The Schemes provide pension and</w:t>
      </w:r>
      <w:r>
        <w:rPr>
          <w:spacing w:val="40"/>
          <w:w w:val="105"/>
          <w:sz w:val="13"/>
        </w:rPr>
        <w:t> </w:t>
      </w:r>
      <w:r>
        <w:rPr>
          <w:w w:val="105"/>
          <w:sz w:val="13"/>
        </w:rPr>
        <w:t>lump sum benefits respectively. The Schemes are not regulated superannuation plans. There</w:t>
      </w:r>
      <w:r>
        <w:rPr>
          <w:spacing w:val="-1"/>
          <w:w w:val="105"/>
          <w:sz w:val="13"/>
        </w:rPr>
        <w:t> </w:t>
      </w:r>
      <w:r>
        <w:rPr>
          <w:w w:val="105"/>
          <w:sz w:val="13"/>
        </w:rPr>
        <w:t>are a</w:t>
      </w:r>
      <w:r>
        <w:rPr>
          <w:spacing w:val="-1"/>
          <w:w w:val="105"/>
          <w:sz w:val="13"/>
        </w:rPr>
        <w:t> </w:t>
      </w:r>
      <w:r>
        <w:rPr>
          <w:w w:val="105"/>
          <w:sz w:val="13"/>
        </w:rPr>
        <w:t>number of risks to</w:t>
      </w:r>
      <w:r>
        <w:rPr>
          <w:spacing w:val="-1"/>
          <w:w w:val="105"/>
          <w:sz w:val="13"/>
        </w:rPr>
        <w:t> </w:t>
      </w:r>
      <w:r>
        <w:rPr>
          <w:w w:val="105"/>
          <w:sz w:val="13"/>
        </w:rPr>
        <w:t>which the</w:t>
      </w:r>
      <w:r>
        <w:rPr>
          <w:spacing w:val="-1"/>
          <w:w w:val="105"/>
          <w:sz w:val="13"/>
        </w:rPr>
        <w:t> </w:t>
      </w:r>
      <w:r>
        <w:rPr>
          <w:w w:val="105"/>
          <w:sz w:val="13"/>
        </w:rPr>
        <w:t>benefits</w:t>
      </w:r>
      <w:r>
        <w:rPr>
          <w:spacing w:val="40"/>
          <w:w w:val="105"/>
          <w:sz w:val="13"/>
        </w:rPr>
        <w:t> </w:t>
      </w:r>
      <w:r>
        <w:rPr>
          <w:w w:val="105"/>
          <w:sz w:val="13"/>
        </w:rPr>
        <w:t>exposes the University, the more significant risks are salary</w:t>
      </w:r>
      <w:r>
        <w:rPr>
          <w:spacing w:val="-2"/>
          <w:w w:val="105"/>
          <w:sz w:val="13"/>
        </w:rPr>
        <w:t> </w:t>
      </w:r>
      <w:r>
        <w:rPr>
          <w:w w:val="105"/>
          <w:sz w:val="13"/>
        </w:rPr>
        <w:t>growth risk and longevity</w:t>
      </w:r>
      <w:r>
        <w:rPr>
          <w:spacing w:val="-2"/>
          <w:w w:val="105"/>
          <w:sz w:val="13"/>
        </w:rPr>
        <w:t> </w:t>
      </w:r>
      <w:r>
        <w:rPr>
          <w:w w:val="105"/>
          <w:sz w:val="13"/>
        </w:rPr>
        <w:t>risk.</w:t>
      </w:r>
    </w:p>
    <w:p>
      <w:pPr>
        <w:spacing w:line="240" w:lineRule="auto" w:before="29"/>
        <w:rPr>
          <w:sz w:val="13"/>
        </w:rPr>
      </w:pPr>
    </w:p>
    <w:p>
      <w:pPr>
        <w:spacing w:before="0"/>
        <w:ind w:left="847" w:right="0" w:firstLine="0"/>
        <w:jc w:val="left"/>
        <w:rPr>
          <w:sz w:val="13"/>
        </w:rPr>
      </w:pPr>
      <w:r>
        <w:rPr>
          <w:w w:val="105"/>
          <w:sz w:val="13"/>
        </w:rPr>
        <w:t>The</w:t>
      </w:r>
      <w:r>
        <w:rPr>
          <w:spacing w:val="-8"/>
          <w:w w:val="105"/>
          <w:sz w:val="13"/>
        </w:rPr>
        <w:t> </w:t>
      </w:r>
      <w:r>
        <w:rPr>
          <w:w w:val="105"/>
          <w:sz w:val="13"/>
        </w:rPr>
        <w:t>following</w:t>
      </w:r>
      <w:r>
        <w:rPr>
          <w:spacing w:val="-8"/>
          <w:w w:val="105"/>
          <w:sz w:val="13"/>
        </w:rPr>
        <w:t> </w:t>
      </w:r>
      <w:r>
        <w:rPr>
          <w:w w:val="105"/>
          <w:sz w:val="13"/>
        </w:rPr>
        <w:t>table</w:t>
      </w:r>
      <w:r>
        <w:rPr>
          <w:spacing w:val="-8"/>
          <w:w w:val="105"/>
          <w:sz w:val="13"/>
        </w:rPr>
        <w:t> </w:t>
      </w:r>
      <w:r>
        <w:rPr>
          <w:w w:val="105"/>
          <w:sz w:val="13"/>
        </w:rPr>
        <w:t>discloses</w:t>
      </w:r>
      <w:r>
        <w:rPr>
          <w:spacing w:val="-6"/>
          <w:w w:val="105"/>
          <w:sz w:val="13"/>
        </w:rPr>
        <w:t> </w:t>
      </w:r>
      <w:r>
        <w:rPr>
          <w:w w:val="105"/>
          <w:sz w:val="13"/>
        </w:rPr>
        <w:t>details</w:t>
      </w:r>
      <w:r>
        <w:rPr>
          <w:spacing w:val="-7"/>
          <w:w w:val="105"/>
          <w:sz w:val="13"/>
        </w:rPr>
        <w:t> </w:t>
      </w:r>
      <w:r>
        <w:rPr>
          <w:w w:val="105"/>
          <w:sz w:val="13"/>
        </w:rPr>
        <w:t>pertaining</w:t>
      </w:r>
      <w:r>
        <w:rPr>
          <w:spacing w:val="-8"/>
          <w:w w:val="105"/>
          <w:sz w:val="13"/>
        </w:rPr>
        <w:t> </w:t>
      </w:r>
      <w:r>
        <w:rPr>
          <w:w w:val="105"/>
          <w:sz w:val="13"/>
        </w:rPr>
        <w:t>to</w:t>
      </w:r>
      <w:r>
        <w:rPr>
          <w:spacing w:val="-8"/>
          <w:w w:val="105"/>
          <w:sz w:val="13"/>
        </w:rPr>
        <w:t> </w:t>
      </w:r>
      <w:r>
        <w:rPr>
          <w:w w:val="105"/>
          <w:sz w:val="13"/>
        </w:rPr>
        <w:t>the</w:t>
      </w:r>
      <w:r>
        <w:rPr>
          <w:spacing w:val="-7"/>
          <w:w w:val="105"/>
          <w:sz w:val="13"/>
        </w:rPr>
        <w:t> </w:t>
      </w:r>
      <w:r>
        <w:rPr>
          <w:w w:val="105"/>
          <w:sz w:val="13"/>
        </w:rPr>
        <w:t>defined</w:t>
      </w:r>
      <w:r>
        <w:rPr>
          <w:spacing w:val="-8"/>
          <w:w w:val="105"/>
          <w:sz w:val="13"/>
        </w:rPr>
        <w:t> </w:t>
      </w:r>
      <w:r>
        <w:rPr>
          <w:w w:val="105"/>
          <w:sz w:val="13"/>
        </w:rPr>
        <w:t>benefit</w:t>
      </w:r>
      <w:r>
        <w:rPr>
          <w:spacing w:val="-8"/>
          <w:w w:val="105"/>
          <w:sz w:val="13"/>
        </w:rPr>
        <w:t> </w:t>
      </w:r>
      <w:r>
        <w:rPr>
          <w:spacing w:val="-2"/>
          <w:w w:val="105"/>
          <w:sz w:val="13"/>
        </w:rPr>
        <w:t>plan.</w:t>
      </w:r>
    </w:p>
    <w:p>
      <w:pPr>
        <w:tabs>
          <w:tab w:pos="7931" w:val="left" w:leader="none"/>
        </w:tabs>
        <w:spacing w:before="19"/>
        <w:ind w:left="5995" w:right="0" w:firstLine="0"/>
        <w:jc w:val="left"/>
        <w:rPr>
          <w:b/>
          <w:sz w:val="13"/>
        </w:rPr>
      </w:pPr>
      <w:r>
        <w:rPr>
          <w:b/>
          <w:spacing w:val="-2"/>
          <w:w w:val="105"/>
          <w:sz w:val="13"/>
        </w:rPr>
        <w:t>Consolidated</w:t>
      </w:r>
      <w:r>
        <w:rPr>
          <w:b/>
          <w:sz w:val="13"/>
        </w:rPr>
        <w:tab/>
      </w:r>
      <w:r>
        <w:rPr>
          <w:b/>
          <w:spacing w:val="-2"/>
          <w:w w:val="105"/>
          <w:sz w:val="13"/>
        </w:rPr>
        <w:t>University</w:t>
      </w:r>
    </w:p>
    <w:tbl>
      <w:tblPr>
        <w:tblW w:w="0" w:type="auto"/>
        <w:jc w:val="left"/>
        <w:tblInd w:w="8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693"/>
        <w:gridCol w:w="1051"/>
        <w:gridCol w:w="915"/>
        <w:gridCol w:w="916"/>
        <w:gridCol w:w="782"/>
      </w:tblGrid>
      <w:tr>
        <w:trPr>
          <w:trHeight w:val="358" w:hRule="atLeast"/>
        </w:trPr>
        <w:tc>
          <w:tcPr>
            <w:tcW w:w="5744" w:type="dxa"/>
            <w:gridSpan w:val="2"/>
          </w:tcPr>
          <w:p>
            <w:pPr>
              <w:pStyle w:val="TableParagraph"/>
              <w:spacing w:before="18"/>
              <w:ind w:right="435"/>
              <w:jc w:val="right"/>
              <w:rPr>
                <w:b/>
                <w:sz w:val="13"/>
              </w:rPr>
            </w:pPr>
            <w:r>
              <w:rPr>
                <w:b/>
                <w:spacing w:val="-4"/>
                <w:w w:val="105"/>
                <w:sz w:val="13"/>
              </w:rPr>
              <w:t>2020</w:t>
            </w:r>
          </w:p>
          <w:p>
            <w:pPr>
              <w:pStyle w:val="TableParagraph"/>
              <w:spacing w:before="18"/>
              <w:ind w:right="417"/>
              <w:jc w:val="right"/>
              <w:rPr>
                <w:b/>
                <w:sz w:val="13"/>
              </w:rPr>
            </w:pPr>
            <w:r>
              <w:rPr>
                <w:b/>
                <w:spacing w:val="-2"/>
                <w:w w:val="105"/>
                <w:sz w:val="13"/>
              </w:rPr>
              <w:t>$'000</w:t>
            </w:r>
          </w:p>
        </w:tc>
        <w:tc>
          <w:tcPr>
            <w:tcW w:w="915" w:type="dxa"/>
            <w:tcBorders>
              <w:bottom w:val="single" w:sz="6" w:space="0" w:color="000000"/>
            </w:tcBorders>
          </w:tcPr>
          <w:p>
            <w:pPr>
              <w:pStyle w:val="TableParagraph"/>
              <w:spacing w:before="18"/>
              <w:ind w:left="178"/>
              <w:rPr>
                <w:b/>
                <w:sz w:val="13"/>
              </w:rPr>
            </w:pPr>
            <w:r>
              <w:rPr>
                <w:b/>
                <w:spacing w:val="-4"/>
                <w:w w:val="105"/>
                <w:sz w:val="13"/>
              </w:rPr>
              <w:t>2019</w:t>
            </w:r>
          </w:p>
          <w:p>
            <w:pPr>
              <w:pStyle w:val="TableParagraph"/>
              <w:spacing w:before="18"/>
              <w:ind w:left="163"/>
              <w:rPr>
                <w:b/>
                <w:sz w:val="13"/>
              </w:rPr>
            </w:pPr>
            <w:r>
              <w:rPr>
                <w:b/>
                <w:spacing w:val="-2"/>
                <w:w w:val="105"/>
                <w:sz w:val="13"/>
              </w:rPr>
              <w:t>$'000</w:t>
            </w:r>
          </w:p>
        </w:tc>
        <w:tc>
          <w:tcPr>
            <w:tcW w:w="916" w:type="dxa"/>
            <w:tcBorders>
              <w:bottom w:val="single" w:sz="6" w:space="0" w:color="000000"/>
            </w:tcBorders>
          </w:tcPr>
          <w:p>
            <w:pPr>
              <w:pStyle w:val="TableParagraph"/>
              <w:spacing w:before="18"/>
              <w:ind w:left="179"/>
              <w:rPr>
                <w:b/>
                <w:sz w:val="13"/>
              </w:rPr>
            </w:pPr>
            <w:r>
              <w:rPr>
                <w:b/>
                <w:spacing w:val="-4"/>
                <w:w w:val="105"/>
                <w:sz w:val="13"/>
              </w:rPr>
              <w:t>2020</w:t>
            </w:r>
          </w:p>
          <w:p>
            <w:pPr>
              <w:pStyle w:val="TableParagraph"/>
              <w:spacing w:before="18"/>
              <w:ind w:left="164"/>
              <w:rPr>
                <w:b/>
                <w:sz w:val="13"/>
              </w:rPr>
            </w:pPr>
            <w:r>
              <w:rPr>
                <w:b/>
                <w:spacing w:val="-2"/>
                <w:w w:val="105"/>
                <w:sz w:val="13"/>
              </w:rPr>
              <w:t>$'000</w:t>
            </w:r>
          </w:p>
        </w:tc>
        <w:tc>
          <w:tcPr>
            <w:tcW w:w="782" w:type="dxa"/>
            <w:tcBorders>
              <w:bottom w:val="single" w:sz="6" w:space="0" w:color="000000"/>
            </w:tcBorders>
          </w:tcPr>
          <w:p>
            <w:pPr>
              <w:pStyle w:val="TableParagraph"/>
              <w:spacing w:before="18"/>
              <w:ind w:left="179"/>
              <w:rPr>
                <w:b/>
                <w:sz w:val="13"/>
              </w:rPr>
            </w:pPr>
            <w:r>
              <w:rPr>
                <w:b/>
                <w:spacing w:val="-4"/>
                <w:w w:val="105"/>
                <w:sz w:val="13"/>
              </w:rPr>
              <w:t>2019</w:t>
            </w:r>
          </w:p>
          <w:p>
            <w:pPr>
              <w:pStyle w:val="TableParagraph"/>
              <w:spacing w:before="18"/>
              <w:ind w:left="164"/>
              <w:rPr>
                <w:b/>
                <w:sz w:val="13"/>
              </w:rPr>
            </w:pPr>
            <w:r>
              <w:rPr>
                <w:b/>
                <w:spacing w:val="-2"/>
                <w:w w:val="105"/>
                <w:sz w:val="13"/>
              </w:rPr>
              <w:t>$'000</w:t>
            </w:r>
          </w:p>
        </w:tc>
      </w:tr>
      <w:tr>
        <w:trPr>
          <w:trHeight w:val="335" w:hRule="atLeast"/>
        </w:trPr>
        <w:tc>
          <w:tcPr>
            <w:tcW w:w="4693" w:type="dxa"/>
          </w:tcPr>
          <w:p>
            <w:pPr>
              <w:pStyle w:val="TableParagraph"/>
              <w:spacing w:before="7"/>
              <w:rPr>
                <w:b/>
                <w:sz w:val="13"/>
              </w:rPr>
            </w:pPr>
          </w:p>
          <w:p>
            <w:pPr>
              <w:pStyle w:val="TableParagraph"/>
              <w:ind w:left="34"/>
              <w:rPr>
                <w:b/>
                <w:sz w:val="13"/>
              </w:rPr>
            </w:pPr>
            <w:r>
              <w:rPr>
                <w:b/>
                <w:w w:val="105"/>
                <w:sz w:val="13"/>
              </w:rPr>
              <w:t>Amounts</w:t>
            </w:r>
            <w:r>
              <w:rPr>
                <w:b/>
                <w:spacing w:val="-6"/>
                <w:w w:val="105"/>
                <w:sz w:val="13"/>
              </w:rPr>
              <w:t> </w:t>
            </w:r>
            <w:r>
              <w:rPr>
                <w:b/>
                <w:w w:val="105"/>
                <w:sz w:val="13"/>
              </w:rPr>
              <w:t>recognised</w:t>
            </w:r>
            <w:r>
              <w:rPr>
                <w:b/>
                <w:spacing w:val="-5"/>
                <w:w w:val="105"/>
                <w:sz w:val="13"/>
              </w:rPr>
              <w:t> </w:t>
            </w:r>
            <w:r>
              <w:rPr>
                <w:b/>
                <w:w w:val="105"/>
                <w:sz w:val="13"/>
              </w:rPr>
              <w:t>in</w:t>
            </w:r>
            <w:r>
              <w:rPr>
                <w:b/>
                <w:spacing w:val="-5"/>
                <w:w w:val="105"/>
                <w:sz w:val="13"/>
              </w:rPr>
              <w:t> </w:t>
            </w:r>
            <w:r>
              <w:rPr>
                <w:b/>
                <w:w w:val="105"/>
                <w:sz w:val="13"/>
              </w:rPr>
              <w:t>the</w:t>
            </w:r>
            <w:r>
              <w:rPr>
                <w:b/>
                <w:spacing w:val="-6"/>
                <w:w w:val="105"/>
                <w:sz w:val="13"/>
              </w:rPr>
              <w:t> </w:t>
            </w:r>
            <w:r>
              <w:rPr>
                <w:b/>
                <w:w w:val="105"/>
                <w:sz w:val="13"/>
              </w:rPr>
              <w:t>income</w:t>
            </w:r>
            <w:r>
              <w:rPr>
                <w:b/>
                <w:spacing w:val="-6"/>
                <w:w w:val="105"/>
                <w:sz w:val="13"/>
              </w:rPr>
              <w:t> </w:t>
            </w:r>
            <w:r>
              <w:rPr>
                <w:b/>
                <w:spacing w:val="-2"/>
                <w:w w:val="105"/>
                <w:sz w:val="13"/>
              </w:rPr>
              <w:t>statement</w:t>
            </w:r>
          </w:p>
        </w:tc>
        <w:tc>
          <w:tcPr>
            <w:tcW w:w="1051" w:type="dxa"/>
            <w:tcBorders>
              <w:top w:val="single" w:sz="6" w:space="0" w:color="000000"/>
            </w:tcBorders>
          </w:tcPr>
          <w:p>
            <w:pPr>
              <w:pStyle w:val="TableParagraph"/>
              <w:rPr>
                <w:rFonts w:ascii="Times New Roman"/>
                <w:sz w:val="12"/>
              </w:rPr>
            </w:pPr>
          </w:p>
        </w:tc>
        <w:tc>
          <w:tcPr>
            <w:tcW w:w="915" w:type="dxa"/>
            <w:tcBorders>
              <w:top w:val="single" w:sz="6" w:space="0" w:color="000000"/>
            </w:tcBorders>
          </w:tcPr>
          <w:p>
            <w:pPr>
              <w:pStyle w:val="TableParagraph"/>
              <w:rPr>
                <w:rFonts w:ascii="Times New Roman"/>
                <w:sz w:val="12"/>
              </w:rPr>
            </w:pPr>
          </w:p>
        </w:tc>
        <w:tc>
          <w:tcPr>
            <w:tcW w:w="916" w:type="dxa"/>
            <w:tcBorders>
              <w:top w:val="single" w:sz="6" w:space="0" w:color="000000"/>
            </w:tcBorders>
          </w:tcPr>
          <w:p>
            <w:pPr>
              <w:pStyle w:val="TableParagraph"/>
              <w:rPr>
                <w:rFonts w:ascii="Times New Roman"/>
                <w:sz w:val="12"/>
              </w:rPr>
            </w:pPr>
          </w:p>
        </w:tc>
        <w:tc>
          <w:tcPr>
            <w:tcW w:w="782" w:type="dxa"/>
            <w:tcBorders>
              <w:top w:val="single" w:sz="6" w:space="0" w:color="000000"/>
            </w:tcBorders>
          </w:tcPr>
          <w:p>
            <w:pPr>
              <w:pStyle w:val="TableParagraph"/>
              <w:rPr>
                <w:rFonts w:ascii="Times New Roman"/>
                <w:sz w:val="12"/>
              </w:rPr>
            </w:pPr>
          </w:p>
        </w:tc>
      </w:tr>
      <w:tr>
        <w:trPr>
          <w:trHeight w:val="173" w:hRule="atLeast"/>
        </w:trPr>
        <w:tc>
          <w:tcPr>
            <w:tcW w:w="4693" w:type="dxa"/>
          </w:tcPr>
          <w:p>
            <w:pPr>
              <w:pStyle w:val="TableParagraph"/>
              <w:spacing w:line="143" w:lineRule="exact"/>
              <w:ind w:left="34"/>
              <w:rPr>
                <w:sz w:val="13"/>
              </w:rPr>
            </w:pPr>
            <w:r>
              <w:rPr>
                <w:w w:val="105"/>
                <w:sz w:val="13"/>
              </w:rPr>
              <w:t>Current</w:t>
            </w:r>
            <w:r>
              <w:rPr>
                <w:spacing w:val="-6"/>
                <w:w w:val="105"/>
                <w:sz w:val="13"/>
              </w:rPr>
              <w:t> </w:t>
            </w:r>
            <w:r>
              <w:rPr>
                <w:w w:val="105"/>
                <w:sz w:val="13"/>
              </w:rPr>
              <w:t>service</w:t>
            </w:r>
            <w:r>
              <w:rPr>
                <w:spacing w:val="-6"/>
                <w:w w:val="105"/>
                <w:sz w:val="13"/>
              </w:rPr>
              <w:t> </w:t>
            </w:r>
            <w:r>
              <w:rPr>
                <w:spacing w:val="-4"/>
                <w:w w:val="105"/>
                <w:sz w:val="13"/>
              </w:rPr>
              <w:t>cost</w:t>
            </w:r>
          </w:p>
        </w:tc>
        <w:tc>
          <w:tcPr>
            <w:tcW w:w="1051" w:type="dxa"/>
          </w:tcPr>
          <w:p>
            <w:pPr>
              <w:pStyle w:val="TableParagraph"/>
              <w:spacing w:line="143" w:lineRule="exact"/>
              <w:ind w:right="159"/>
              <w:jc w:val="right"/>
              <w:rPr>
                <w:b/>
                <w:sz w:val="13"/>
              </w:rPr>
            </w:pPr>
            <w:r>
              <w:rPr>
                <w:b/>
                <w:spacing w:val="-10"/>
                <w:w w:val="105"/>
                <w:sz w:val="13"/>
              </w:rPr>
              <w:t>-</w:t>
            </w:r>
          </w:p>
        </w:tc>
        <w:tc>
          <w:tcPr>
            <w:tcW w:w="915" w:type="dxa"/>
          </w:tcPr>
          <w:p>
            <w:pPr>
              <w:pStyle w:val="TableParagraph"/>
              <w:spacing w:line="143" w:lineRule="exact"/>
              <w:ind w:right="196"/>
              <w:jc w:val="right"/>
              <w:rPr>
                <w:b/>
                <w:sz w:val="13"/>
              </w:rPr>
            </w:pPr>
            <w:r>
              <w:rPr>
                <w:b/>
                <w:spacing w:val="-10"/>
                <w:w w:val="105"/>
                <w:sz w:val="13"/>
              </w:rPr>
              <w:t>-</w:t>
            </w:r>
          </w:p>
        </w:tc>
        <w:tc>
          <w:tcPr>
            <w:tcW w:w="916" w:type="dxa"/>
          </w:tcPr>
          <w:p>
            <w:pPr>
              <w:pStyle w:val="TableParagraph"/>
              <w:spacing w:line="143" w:lineRule="exact"/>
              <w:ind w:right="159"/>
              <w:jc w:val="right"/>
              <w:rPr>
                <w:b/>
                <w:sz w:val="13"/>
              </w:rPr>
            </w:pPr>
            <w:r>
              <w:rPr>
                <w:b/>
                <w:spacing w:val="-10"/>
                <w:w w:val="105"/>
                <w:sz w:val="13"/>
              </w:rPr>
              <w:t>-</w:t>
            </w:r>
          </w:p>
        </w:tc>
        <w:tc>
          <w:tcPr>
            <w:tcW w:w="782" w:type="dxa"/>
          </w:tcPr>
          <w:p>
            <w:pPr>
              <w:pStyle w:val="TableParagraph"/>
              <w:spacing w:line="145" w:lineRule="exact"/>
              <w:ind w:right="64"/>
              <w:jc w:val="right"/>
              <w:rPr>
                <w:sz w:val="13"/>
              </w:rPr>
            </w:pPr>
            <w:r>
              <w:rPr>
                <w:spacing w:val="-10"/>
                <w:w w:val="105"/>
                <w:sz w:val="13"/>
              </w:rPr>
              <w:t>-</w:t>
            </w:r>
          </w:p>
        </w:tc>
      </w:tr>
      <w:tr>
        <w:trPr>
          <w:trHeight w:val="164" w:hRule="atLeast"/>
        </w:trPr>
        <w:tc>
          <w:tcPr>
            <w:tcW w:w="4693" w:type="dxa"/>
          </w:tcPr>
          <w:p>
            <w:pPr>
              <w:pStyle w:val="TableParagraph"/>
              <w:spacing w:line="142" w:lineRule="exact"/>
              <w:ind w:left="34"/>
              <w:rPr>
                <w:sz w:val="13"/>
              </w:rPr>
            </w:pPr>
            <w:r>
              <w:rPr>
                <w:spacing w:val="-2"/>
                <w:w w:val="105"/>
                <w:sz w:val="13"/>
              </w:rPr>
              <w:t>Interest</w:t>
            </w:r>
            <w:r>
              <w:rPr>
                <w:spacing w:val="6"/>
                <w:w w:val="105"/>
                <w:sz w:val="13"/>
              </w:rPr>
              <w:t> </w:t>
            </w:r>
            <w:r>
              <w:rPr>
                <w:spacing w:val="-4"/>
                <w:w w:val="105"/>
                <w:sz w:val="13"/>
              </w:rPr>
              <w:t>cost</w:t>
            </w:r>
          </w:p>
        </w:tc>
        <w:tc>
          <w:tcPr>
            <w:tcW w:w="1051" w:type="dxa"/>
            <w:tcBorders>
              <w:bottom w:val="single" w:sz="6" w:space="0" w:color="000000"/>
            </w:tcBorders>
          </w:tcPr>
          <w:p>
            <w:pPr>
              <w:pStyle w:val="TableParagraph"/>
              <w:spacing w:line="142" w:lineRule="exact"/>
              <w:ind w:right="205"/>
              <w:jc w:val="right"/>
              <w:rPr>
                <w:sz w:val="13"/>
              </w:rPr>
            </w:pPr>
            <w:r>
              <w:rPr>
                <w:spacing w:val="-5"/>
                <w:w w:val="105"/>
                <w:sz w:val="13"/>
              </w:rPr>
              <w:t>33</w:t>
            </w:r>
          </w:p>
        </w:tc>
        <w:tc>
          <w:tcPr>
            <w:tcW w:w="915" w:type="dxa"/>
            <w:tcBorders>
              <w:bottom w:val="single" w:sz="6" w:space="0" w:color="000000"/>
            </w:tcBorders>
          </w:tcPr>
          <w:p>
            <w:pPr>
              <w:pStyle w:val="TableParagraph"/>
              <w:spacing w:line="142" w:lineRule="exact"/>
              <w:ind w:right="204"/>
              <w:jc w:val="right"/>
              <w:rPr>
                <w:sz w:val="13"/>
              </w:rPr>
            </w:pPr>
            <w:r>
              <w:rPr>
                <w:spacing w:val="-5"/>
                <w:w w:val="105"/>
                <w:sz w:val="13"/>
              </w:rPr>
              <w:t>68</w:t>
            </w:r>
          </w:p>
        </w:tc>
        <w:tc>
          <w:tcPr>
            <w:tcW w:w="916" w:type="dxa"/>
            <w:tcBorders>
              <w:bottom w:val="single" w:sz="6" w:space="0" w:color="000000"/>
            </w:tcBorders>
          </w:tcPr>
          <w:p>
            <w:pPr>
              <w:pStyle w:val="TableParagraph"/>
              <w:spacing w:line="142" w:lineRule="exact"/>
              <w:ind w:right="204"/>
              <w:jc w:val="right"/>
              <w:rPr>
                <w:sz w:val="13"/>
              </w:rPr>
            </w:pPr>
            <w:r>
              <w:rPr>
                <w:spacing w:val="-5"/>
                <w:w w:val="105"/>
                <w:sz w:val="13"/>
              </w:rPr>
              <w:t>33</w:t>
            </w:r>
          </w:p>
        </w:tc>
        <w:tc>
          <w:tcPr>
            <w:tcW w:w="782" w:type="dxa"/>
            <w:tcBorders>
              <w:bottom w:val="single" w:sz="6" w:space="0" w:color="000000"/>
            </w:tcBorders>
          </w:tcPr>
          <w:p>
            <w:pPr>
              <w:pStyle w:val="TableParagraph"/>
              <w:spacing w:line="142" w:lineRule="exact"/>
              <w:ind w:right="70"/>
              <w:jc w:val="right"/>
              <w:rPr>
                <w:sz w:val="13"/>
              </w:rPr>
            </w:pPr>
            <w:r>
              <w:rPr>
                <w:spacing w:val="-5"/>
                <w:w w:val="105"/>
                <w:sz w:val="13"/>
              </w:rPr>
              <w:t>68</w:t>
            </w:r>
          </w:p>
        </w:tc>
      </w:tr>
      <w:tr>
        <w:trPr>
          <w:trHeight w:val="157" w:hRule="atLeast"/>
        </w:trPr>
        <w:tc>
          <w:tcPr>
            <w:tcW w:w="4693" w:type="dxa"/>
          </w:tcPr>
          <w:p>
            <w:pPr>
              <w:pStyle w:val="TableParagraph"/>
              <w:spacing w:line="134" w:lineRule="exact"/>
              <w:ind w:left="34"/>
              <w:rPr>
                <w:sz w:val="13"/>
              </w:rPr>
            </w:pPr>
            <w:r>
              <w:rPr>
                <w:w w:val="105"/>
                <w:sz w:val="13"/>
              </w:rPr>
              <w:t>Total</w:t>
            </w:r>
            <w:r>
              <w:rPr>
                <w:spacing w:val="-8"/>
                <w:w w:val="105"/>
                <w:sz w:val="13"/>
              </w:rPr>
              <w:t> </w:t>
            </w:r>
            <w:r>
              <w:rPr>
                <w:w w:val="105"/>
                <w:sz w:val="13"/>
              </w:rPr>
              <w:t>included</w:t>
            </w:r>
            <w:r>
              <w:rPr>
                <w:spacing w:val="-9"/>
                <w:w w:val="105"/>
                <w:sz w:val="13"/>
              </w:rPr>
              <w:t> </w:t>
            </w:r>
            <w:r>
              <w:rPr>
                <w:w w:val="105"/>
                <w:sz w:val="13"/>
              </w:rPr>
              <w:t>in</w:t>
            </w:r>
            <w:r>
              <w:rPr>
                <w:spacing w:val="-9"/>
                <w:w w:val="105"/>
                <w:sz w:val="13"/>
              </w:rPr>
              <w:t> </w:t>
            </w:r>
            <w:r>
              <w:rPr>
                <w:w w:val="105"/>
                <w:sz w:val="13"/>
              </w:rPr>
              <w:t>employee</w:t>
            </w:r>
            <w:r>
              <w:rPr>
                <w:spacing w:val="-9"/>
                <w:w w:val="105"/>
                <w:sz w:val="13"/>
              </w:rPr>
              <w:t> </w:t>
            </w:r>
            <w:r>
              <w:rPr>
                <w:w w:val="105"/>
                <w:sz w:val="13"/>
              </w:rPr>
              <w:t>benefits</w:t>
            </w:r>
            <w:r>
              <w:rPr>
                <w:spacing w:val="-8"/>
                <w:w w:val="105"/>
                <w:sz w:val="13"/>
              </w:rPr>
              <w:t> </w:t>
            </w:r>
            <w:r>
              <w:rPr>
                <w:spacing w:val="-2"/>
                <w:w w:val="105"/>
                <w:sz w:val="13"/>
              </w:rPr>
              <w:t>expenses</w:t>
            </w:r>
          </w:p>
        </w:tc>
        <w:tc>
          <w:tcPr>
            <w:tcW w:w="1051" w:type="dxa"/>
            <w:tcBorders>
              <w:top w:val="single" w:sz="6" w:space="0" w:color="000000"/>
              <w:bottom w:val="single" w:sz="6" w:space="0" w:color="000000"/>
            </w:tcBorders>
          </w:tcPr>
          <w:p>
            <w:pPr>
              <w:pStyle w:val="TableParagraph"/>
              <w:spacing w:line="134" w:lineRule="exact"/>
              <w:ind w:right="205"/>
              <w:jc w:val="right"/>
              <w:rPr>
                <w:b/>
                <w:sz w:val="13"/>
              </w:rPr>
            </w:pPr>
            <w:r>
              <w:rPr>
                <w:b/>
                <w:spacing w:val="-5"/>
                <w:w w:val="105"/>
                <w:sz w:val="13"/>
              </w:rPr>
              <w:t>33</w:t>
            </w:r>
          </w:p>
        </w:tc>
        <w:tc>
          <w:tcPr>
            <w:tcW w:w="915" w:type="dxa"/>
            <w:tcBorders>
              <w:top w:val="single" w:sz="6" w:space="0" w:color="000000"/>
              <w:bottom w:val="single" w:sz="6" w:space="0" w:color="000000"/>
            </w:tcBorders>
          </w:tcPr>
          <w:p>
            <w:pPr>
              <w:pStyle w:val="TableParagraph"/>
              <w:spacing w:line="134" w:lineRule="exact"/>
              <w:ind w:right="204"/>
              <w:jc w:val="right"/>
              <w:rPr>
                <w:b/>
                <w:sz w:val="13"/>
              </w:rPr>
            </w:pPr>
            <w:r>
              <w:rPr>
                <w:b/>
                <w:spacing w:val="-5"/>
                <w:w w:val="105"/>
                <w:sz w:val="13"/>
              </w:rPr>
              <w:t>68</w:t>
            </w:r>
          </w:p>
        </w:tc>
        <w:tc>
          <w:tcPr>
            <w:tcW w:w="916" w:type="dxa"/>
            <w:tcBorders>
              <w:top w:val="single" w:sz="6" w:space="0" w:color="000000"/>
              <w:bottom w:val="single" w:sz="6" w:space="0" w:color="000000"/>
            </w:tcBorders>
          </w:tcPr>
          <w:p>
            <w:pPr>
              <w:pStyle w:val="TableParagraph"/>
              <w:spacing w:line="134" w:lineRule="exact"/>
              <w:ind w:right="204"/>
              <w:jc w:val="right"/>
              <w:rPr>
                <w:b/>
                <w:sz w:val="13"/>
              </w:rPr>
            </w:pPr>
            <w:r>
              <w:rPr>
                <w:b/>
                <w:spacing w:val="-5"/>
                <w:w w:val="105"/>
                <w:sz w:val="13"/>
              </w:rPr>
              <w:t>33</w:t>
            </w:r>
          </w:p>
        </w:tc>
        <w:tc>
          <w:tcPr>
            <w:tcW w:w="782" w:type="dxa"/>
            <w:tcBorders>
              <w:top w:val="single" w:sz="6" w:space="0" w:color="000000"/>
              <w:bottom w:val="single" w:sz="6" w:space="0" w:color="000000"/>
            </w:tcBorders>
          </w:tcPr>
          <w:p>
            <w:pPr>
              <w:pStyle w:val="TableParagraph"/>
              <w:spacing w:line="134" w:lineRule="exact"/>
              <w:ind w:right="70"/>
              <w:jc w:val="right"/>
              <w:rPr>
                <w:b/>
                <w:sz w:val="13"/>
              </w:rPr>
            </w:pPr>
            <w:r>
              <w:rPr>
                <w:b/>
                <w:spacing w:val="-5"/>
                <w:w w:val="105"/>
                <w:sz w:val="13"/>
              </w:rPr>
              <w:t>68</w:t>
            </w:r>
          </w:p>
        </w:tc>
      </w:tr>
      <w:tr>
        <w:trPr>
          <w:trHeight w:val="501" w:hRule="atLeast"/>
        </w:trPr>
        <w:tc>
          <w:tcPr>
            <w:tcW w:w="4693" w:type="dxa"/>
          </w:tcPr>
          <w:p>
            <w:pPr>
              <w:pStyle w:val="TableParagraph"/>
              <w:spacing w:before="11"/>
              <w:rPr>
                <w:b/>
                <w:sz w:val="13"/>
              </w:rPr>
            </w:pPr>
          </w:p>
          <w:p>
            <w:pPr>
              <w:pStyle w:val="TableParagraph"/>
              <w:ind w:left="34"/>
              <w:rPr>
                <w:b/>
                <w:sz w:val="13"/>
              </w:rPr>
            </w:pPr>
            <w:r>
              <w:rPr>
                <w:b/>
                <w:w w:val="105"/>
                <w:sz w:val="13"/>
              </w:rPr>
              <w:t>Amounts</w:t>
            </w:r>
            <w:r>
              <w:rPr>
                <w:b/>
                <w:spacing w:val="-9"/>
                <w:w w:val="105"/>
                <w:sz w:val="13"/>
              </w:rPr>
              <w:t> </w:t>
            </w:r>
            <w:r>
              <w:rPr>
                <w:b/>
                <w:w w:val="105"/>
                <w:sz w:val="13"/>
              </w:rPr>
              <w:t>recognised</w:t>
            </w:r>
            <w:r>
              <w:rPr>
                <w:b/>
                <w:spacing w:val="-7"/>
                <w:w w:val="105"/>
                <w:sz w:val="13"/>
              </w:rPr>
              <w:t> </w:t>
            </w:r>
            <w:r>
              <w:rPr>
                <w:b/>
                <w:w w:val="105"/>
                <w:sz w:val="13"/>
              </w:rPr>
              <w:t>in</w:t>
            </w:r>
            <w:r>
              <w:rPr>
                <w:b/>
                <w:spacing w:val="-8"/>
                <w:w w:val="105"/>
                <w:sz w:val="13"/>
              </w:rPr>
              <w:t> </w:t>
            </w:r>
            <w:r>
              <w:rPr>
                <w:b/>
                <w:w w:val="105"/>
                <w:sz w:val="13"/>
              </w:rPr>
              <w:t>other</w:t>
            </w:r>
            <w:r>
              <w:rPr>
                <w:b/>
                <w:spacing w:val="-7"/>
                <w:w w:val="105"/>
                <w:sz w:val="13"/>
              </w:rPr>
              <w:t> </w:t>
            </w:r>
            <w:r>
              <w:rPr>
                <w:b/>
                <w:w w:val="105"/>
                <w:sz w:val="13"/>
              </w:rPr>
              <w:t>comprehensive</w:t>
            </w:r>
            <w:r>
              <w:rPr>
                <w:b/>
                <w:spacing w:val="-9"/>
                <w:w w:val="105"/>
                <w:sz w:val="13"/>
              </w:rPr>
              <w:t> </w:t>
            </w:r>
            <w:r>
              <w:rPr>
                <w:b/>
                <w:spacing w:val="-2"/>
                <w:w w:val="105"/>
                <w:sz w:val="13"/>
              </w:rPr>
              <w:t>income</w:t>
            </w:r>
          </w:p>
          <w:p>
            <w:pPr>
              <w:pStyle w:val="TableParagraph"/>
              <w:spacing w:before="19"/>
              <w:ind w:left="34"/>
              <w:rPr>
                <w:sz w:val="13"/>
              </w:rPr>
            </w:pPr>
            <w:r>
              <w:rPr>
                <w:w w:val="105"/>
                <w:sz w:val="13"/>
              </w:rPr>
              <w:t>Actuarial</w:t>
            </w:r>
            <w:r>
              <w:rPr>
                <w:spacing w:val="-9"/>
                <w:w w:val="105"/>
                <w:sz w:val="13"/>
              </w:rPr>
              <w:t> </w:t>
            </w:r>
            <w:r>
              <w:rPr>
                <w:spacing w:val="-2"/>
                <w:w w:val="105"/>
                <w:sz w:val="13"/>
              </w:rPr>
              <w:t>gains/(losses)</w:t>
            </w:r>
          </w:p>
        </w:tc>
        <w:tc>
          <w:tcPr>
            <w:tcW w:w="1051" w:type="dxa"/>
            <w:tcBorders>
              <w:top w:val="single" w:sz="6" w:space="0" w:color="000000"/>
              <w:bottom w:val="single" w:sz="6" w:space="0" w:color="000000"/>
            </w:tcBorders>
          </w:tcPr>
          <w:p>
            <w:pPr>
              <w:pStyle w:val="TableParagraph"/>
              <w:rPr>
                <w:b/>
                <w:sz w:val="13"/>
              </w:rPr>
            </w:pPr>
          </w:p>
          <w:p>
            <w:pPr>
              <w:pStyle w:val="TableParagraph"/>
              <w:spacing w:before="29"/>
              <w:rPr>
                <w:b/>
                <w:sz w:val="13"/>
              </w:rPr>
            </w:pPr>
          </w:p>
          <w:p>
            <w:pPr>
              <w:pStyle w:val="TableParagraph"/>
              <w:spacing w:before="1"/>
              <w:ind w:right="161"/>
              <w:jc w:val="right"/>
              <w:rPr>
                <w:sz w:val="13"/>
              </w:rPr>
            </w:pPr>
            <w:r>
              <w:rPr>
                <w:spacing w:val="-4"/>
                <w:w w:val="105"/>
                <w:sz w:val="13"/>
              </w:rPr>
              <w:t>(58)</w:t>
            </w:r>
          </w:p>
        </w:tc>
        <w:tc>
          <w:tcPr>
            <w:tcW w:w="915" w:type="dxa"/>
            <w:tcBorders>
              <w:top w:val="single" w:sz="6" w:space="0" w:color="000000"/>
              <w:bottom w:val="single" w:sz="6" w:space="0" w:color="000000"/>
            </w:tcBorders>
          </w:tcPr>
          <w:p>
            <w:pPr>
              <w:pStyle w:val="TableParagraph"/>
              <w:rPr>
                <w:b/>
                <w:sz w:val="13"/>
              </w:rPr>
            </w:pPr>
          </w:p>
          <w:p>
            <w:pPr>
              <w:pStyle w:val="TableParagraph"/>
              <w:spacing w:before="29"/>
              <w:rPr>
                <w:b/>
                <w:sz w:val="13"/>
              </w:rPr>
            </w:pPr>
          </w:p>
          <w:p>
            <w:pPr>
              <w:pStyle w:val="TableParagraph"/>
              <w:spacing w:before="1"/>
              <w:ind w:right="160"/>
              <w:jc w:val="right"/>
              <w:rPr>
                <w:sz w:val="13"/>
              </w:rPr>
            </w:pPr>
            <w:r>
              <w:rPr>
                <w:spacing w:val="-2"/>
                <w:w w:val="105"/>
                <w:sz w:val="13"/>
              </w:rPr>
              <w:t>(230)</w:t>
            </w:r>
          </w:p>
        </w:tc>
        <w:tc>
          <w:tcPr>
            <w:tcW w:w="916" w:type="dxa"/>
            <w:tcBorders>
              <w:top w:val="single" w:sz="6" w:space="0" w:color="000000"/>
              <w:bottom w:val="single" w:sz="6" w:space="0" w:color="000000"/>
            </w:tcBorders>
          </w:tcPr>
          <w:p>
            <w:pPr>
              <w:pStyle w:val="TableParagraph"/>
              <w:rPr>
                <w:b/>
                <w:sz w:val="13"/>
              </w:rPr>
            </w:pPr>
          </w:p>
          <w:p>
            <w:pPr>
              <w:pStyle w:val="TableParagraph"/>
              <w:spacing w:before="29"/>
              <w:rPr>
                <w:b/>
                <w:sz w:val="13"/>
              </w:rPr>
            </w:pPr>
          </w:p>
          <w:p>
            <w:pPr>
              <w:pStyle w:val="TableParagraph"/>
              <w:spacing w:before="1"/>
              <w:ind w:right="160"/>
              <w:jc w:val="right"/>
              <w:rPr>
                <w:sz w:val="13"/>
              </w:rPr>
            </w:pPr>
            <w:r>
              <w:rPr>
                <w:spacing w:val="-4"/>
                <w:w w:val="105"/>
                <w:sz w:val="13"/>
              </w:rPr>
              <w:t>(58)</w:t>
            </w:r>
          </w:p>
        </w:tc>
        <w:tc>
          <w:tcPr>
            <w:tcW w:w="782" w:type="dxa"/>
            <w:tcBorders>
              <w:top w:val="single" w:sz="6" w:space="0" w:color="000000"/>
              <w:bottom w:val="single" w:sz="6" w:space="0" w:color="000000"/>
            </w:tcBorders>
          </w:tcPr>
          <w:p>
            <w:pPr>
              <w:pStyle w:val="TableParagraph"/>
              <w:rPr>
                <w:b/>
                <w:sz w:val="13"/>
              </w:rPr>
            </w:pPr>
          </w:p>
          <w:p>
            <w:pPr>
              <w:pStyle w:val="TableParagraph"/>
              <w:spacing w:before="29"/>
              <w:rPr>
                <w:b/>
                <w:sz w:val="13"/>
              </w:rPr>
            </w:pPr>
          </w:p>
          <w:p>
            <w:pPr>
              <w:pStyle w:val="TableParagraph"/>
              <w:spacing w:before="1"/>
              <w:ind w:right="26"/>
              <w:jc w:val="right"/>
              <w:rPr>
                <w:sz w:val="13"/>
              </w:rPr>
            </w:pPr>
            <w:r>
              <w:rPr>
                <w:spacing w:val="-2"/>
                <w:w w:val="105"/>
                <w:sz w:val="13"/>
              </w:rPr>
              <w:t>(230)</w:t>
            </w:r>
          </w:p>
        </w:tc>
      </w:tr>
      <w:tr>
        <w:trPr>
          <w:trHeight w:val="157" w:hRule="atLeast"/>
        </w:trPr>
        <w:tc>
          <w:tcPr>
            <w:tcW w:w="4693" w:type="dxa"/>
          </w:tcPr>
          <w:p>
            <w:pPr>
              <w:pStyle w:val="TableParagraph"/>
              <w:spacing w:line="134" w:lineRule="exact"/>
              <w:ind w:left="34"/>
              <w:rPr>
                <w:sz w:val="13"/>
              </w:rPr>
            </w:pPr>
            <w:r>
              <w:rPr>
                <w:w w:val="105"/>
                <w:sz w:val="13"/>
              </w:rPr>
              <w:t>Total</w:t>
            </w:r>
            <w:r>
              <w:rPr>
                <w:spacing w:val="-8"/>
                <w:w w:val="105"/>
                <w:sz w:val="13"/>
              </w:rPr>
              <w:t> </w:t>
            </w:r>
            <w:r>
              <w:rPr>
                <w:w w:val="105"/>
                <w:sz w:val="13"/>
              </w:rPr>
              <w:t>included</w:t>
            </w:r>
            <w:r>
              <w:rPr>
                <w:spacing w:val="-8"/>
                <w:w w:val="105"/>
                <w:sz w:val="13"/>
              </w:rPr>
              <w:t> </w:t>
            </w:r>
            <w:r>
              <w:rPr>
                <w:w w:val="105"/>
                <w:sz w:val="13"/>
              </w:rPr>
              <w:t>in</w:t>
            </w:r>
            <w:r>
              <w:rPr>
                <w:spacing w:val="-8"/>
                <w:w w:val="105"/>
                <w:sz w:val="13"/>
              </w:rPr>
              <w:t> </w:t>
            </w:r>
            <w:r>
              <w:rPr>
                <w:w w:val="105"/>
                <w:sz w:val="13"/>
              </w:rPr>
              <w:t>other</w:t>
            </w:r>
            <w:r>
              <w:rPr>
                <w:spacing w:val="-6"/>
                <w:w w:val="105"/>
                <w:sz w:val="13"/>
              </w:rPr>
              <w:t> </w:t>
            </w:r>
            <w:r>
              <w:rPr>
                <w:w w:val="105"/>
                <w:sz w:val="13"/>
              </w:rPr>
              <w:t>comprehensive</w:t>
            </w:r>
            <w:r>
              <w:rPr>
                <w:spacing w:val="-9"/>
                <w:w w:val="105"/>
                <w:sz w:val="13"/>
              </w:rPr>
              <w:t> </w:t>
            </w:r>
            <w:r>
              <w:rPr>
                <w:spacing w:val="-2"/>
                <w:w w:val="105"/>
                <w:sz w:val="13"/>
              </w:rPr>
              <w:t>income</w:t>
            </w:r>
          </w:p>
        </w:tc>
        <w:tc>
          <w:tcPr>
            <w:tcW w:w="1051" w:type="dxa"/>
            <w:tcBorders>
              <w:top w:val="single" w:sz="6" w:space="0" w:color="000000"/>
              <w:bottom w:val="single" w:sz="6" w:space="0" w:color="000000"/>
            </w:tcBorders>
          </w:tcPr>
          <w:p>
            <w:pPr>
              <w:pStyle w:val="TableParagraph"/>
              <w:spacing w:line="134" w:lineRule="exact"/>
              <w:ind w:right="161"/>
              <w:jc w:val="right"/>
              <w:rPr>
                <w:b/>
                <w:sz w:val="13"/>
              </w:rPr>
            </w:pPr>
            <w:r>
              <w:rPr>
                <w:b/>
                <w:spacing w:val="-4"/>
                <w:w w:val="105"/>
                <w:sz w:val="13"/>
              </w:rPr>
              <w:t>(58)</w:t>
            </w:r>
          </w:p>
        </w:tc>
        <w:tc>
          <w:tcPr>
            <w:tcW w:w="915" w:type="dxa"/>
            <w:tcBorders>
              <w:top w:val="single" w:sz="6" w:space="0" w:color="000000"/>
              <w:bottom w:val="single" w:sz="6" w:space="0" w:color="000000"/>
            </w:tcBorders>
          </w:tcPr>
          <w:p>
            <w:pPr>
              <w:pStyle w:val="TableParagraph"/>
              <w:spacing w:line="134" w:lineRule="exact"/>
              <w:ind w:right="160"/>
              <w:jc w:val="right"/>
              <w:rPr>
                <w:b/>
                <w:sz w:val="13"/>
              </w:rPr>
            </w:pPr>
            <w:r>
              <w:rPr>
                <w:b/>
                <w:spacing w:val="-2"/>
                <w:w w:val="105"/>
                <w:sz w:val="13"/>
              </w:rPr>
              <w:t>(230)</w:t>
            </w:r>
          </w:p>
        </w:tc>
        <w:tc>
          <w:tcPr>
            <w:tcW w:w="916" w:type="dxa"/>
            <w:tcBorders>
              <w:top w:val="single" w:sz="6" w:space="0" w:color="000000"/>
              <w:bottom w:val="single" w:sz="6" w:space="0" w:color="000000"/>
            </w:tcBorders>
          </w:tcPr>
          <w:p>
            <w:pPr>
              <w:pStyle w:val="TableParagraph"/>
              <w:spacing w:line="134" w:lineRule="exact"/>
              <w:ind w:right="160"/>
              <w:jc w:val="right"/>
              <w:rPr>
                <w:b/>
                <w:sz w:val="13"/>
              </w:rPr>
            </w:pPr>
            <w:r>
              <w:rPr>
                <w:b/>
                <w:spacing w:val="-4"/>
                <w:w w:val="105"/>
                <w:sz w:val="13"/>
              </w:rPr>
              <w:t>(58)</w:t>
            </w:r>
          </w:p>
        </w:tc>
        <w:tc>
          <w:tcPr>
            <w:tcW w:w="782" w:type="dxa"/>
            <w:tcBorders>
              <w:top w:val="single" w:sz="6" w:space="0" w:color="000000"/>
              <w:bottom w:val="single" w:sz="6" w:space="0" w:color="000000"/>
            </w:tcBorders>
          </w:tcPr>
          <w:p>
            <w:pPr>
              <w:pStyle w:val="TableParagraph"/>
              <w:spacing w:line="134" w:lineRule="exact"/>
              <w:ind w:right="26"/>
              <w:jc w:val="right"/>
              <w:rPr>
                <w:b/>
                <w:sz w:val="13"/>
              </w:rPr>
            </w:pPr>
            <w:r>
              <w:rPr>
                <w:b/>
                <w:spacing w:val="-2"/>
                <w:w w:val="105"/>
                <w:sz w:val="13"/>
              </w:rPr>
              <w:t>(230)</w:t>
            </w:r>
          </w:p>
        </w:tc>
      </w:tr>
      <w:tr>
        <w:trPr>
          <w:trHeight w:val="335" w:hRule="atLeast"/>
        </w:trPr>
        <w:tc>
          <w:tcPr>
            <w:tcW w:w="4693" w:type="dxa"/>
          </w:tcPr>
          <w:p>
            <w:pPr>
              <w:pStyle w:val="TableParagraph"/>
              <w:spacing w:before="7"/>
              <w:rPr>
                <w:b/>
                <w:sz w:val="13"/>
              </w:rPr>
            </w:pPr>
          </w:p>
          <w:p>
            <w:pPr>
              <w:pStyle w:val="TableParagraph"/>
              <w:ind w:left="34"/>
              <w:rPr>
                <w:b/>
                <w:sz w:val="13"/>
              </w:rPr>
            </w:pPr>
            <w:r>
              <w:rPr>
                <w:b/>
                <w:w w:val="105"/>
                <w:sz w:val="13"/>
              </w:rPr>
              <w:t>Amounts</w:t>
            </w:r>
            <w:r>
              <w:rPr>
                <w:b/>
                <w:spacing w:val="-6"/>
                <w:w w:val="105"/>
                <w:sz w:val="13"/>
              </w:rPr>
              <w:t> </w:t>
            </w:r>
            <w:r>
              <w:rPr>
                <w:b/>
                <w:w w:val="105"/>
                <w:sz w:val="13"/>
              </w:rPr>
              <w:t>included</w:t>
            </w:r>
            <w:r>
              <w:rPr>
                <w:b/>
                <w:spacing w:val="-5"/>
                <w:w w:val="105"/>
                <w:sz w:val="13"/>
              </w:rPr>
              <w:t> </w:t>
            </w:r>
            <w:r>
              <w:rPr>
                <w:b/>
                <w:w w:val="105"/>
                <w:sz w:val="13"/>
              </w:rPr>
              <w:t>in</w:t>
            </w:r>
            <w:r>
              <w:rPr>
                <w:b/>
                <w:spacing w:val="-5"/>
                <w:w w:val="105"/>
                <w:sz w:val="13"/>
              </w:rPr>
              <w:t> </w:t>
            </w:r>
            <w:r>
              <w:rPr>
                <w:b/>
                <w:w w:val="105"/>
                <w:sz w:val="13"/>
              </w:rPr>
              <w:t>the</w:t>
            </w:r>
            <w:r>
              <w:rPr>
                <w:b/>
                <w:spacing w:val="-6"/>
                <w:w w:val="105"/>
                <w:sz w:val="13"/>
              </w:rPr>
              <w:t> </w:t>
            </w:r>
            <w:r>
              <w:rPr>
                <w:b/>
                <w:w w:val="105"/>
                <w:sz w:val="13"/>
              </w:rPr>
              <w:t>statement</w:t>
            </w:r>
            <w:r>
              <w:rPr>
                <w:b/>
                <w:spacing w:val="-4"/>
                <w:w w:val="105"/>
                <w:sz w:val="13"/>
              </w:rPr>
              <w:t> </w:t>
            </w:r>
            <w:r>
              <w:rPr>
                <w:b/>
                <w:w w:val="105"/>
                <w:sz w:val="13"/>
              </w:rPr>
              <w:t>of</w:t>
            </w:r>
            <w:r>
              <w:rPr>
                <w:b/>
                <w:spacing w:val="-4"/>
                <w:w w:val="105"/>
                <w:sz w:val="13"/>
              </w:rPr>
              <w:t> </w:t>
            </w:r>
            <w:r>
              <w:rPr>
                <w:b/>
                <w:w w:val="105"/>
                <w:sz w:val="13"/>
              </w:rPr>
              <w:t>financial</w:t>
            </w:r>
            <w:r>
              <w:rPr>
                <w:b/>
                <w:spacing w:val="-6"/>
                <w:w w:val="105"/>
                <w:sz w:val="13"/>
              </w:rPr>
              <w:t> </w:t>
            </w:r>
            <w:r>
              <w:rPr>
                <w:b/>
                <w:spacing w:val="-2"/>
                <w:w w:val="105"/>
                <w:sz w:val="13"/>
              </w:rPr>
              <w:t>position</w:t>
            </w:r>
          </w:p>
        </w:tc>
        <w:tc>
          <w:tcPr>
            <w:tcW w:w="1051" w:type="dxa"/>
            <w:tcBorders>
              <w:top w:val="single" w:sz="6" w:space="0" w:color="000000"/>
            </w:tcBorders>
          </w:tcPr>
          <w:p>
            <w:pPr>
              <w:pStyle w:val="TableParagraph"/>
              <w:rPr>
                <w:rFonts w:ascii="Times New Roman"/>
                <w:sz w:val="12"/>
              </w:rPr>
            </w:pPr>
          </w:p>
        </w:tc>
        <w:tc>
          <w:tcPr>
            <w:tcW w:w="915" w:type="dxa"/>
            <w:tcBorders>
              <w:top w:val="single" w:sz="6" w:space="0" w:color="000000"/>
            </w:tcBorders>
          </w:tcPr>
          <w:p>
            <w:pPr>
              <w:pStyle w:val="TableParagraph"/>
              <w:rPr>
                <w:rFonts w:ascii="Times New Roman"/>
                <w:sz w:val="12"/>
              </w:rPr>
            </w:pPr>
          </w:p>
        </w:tc>
        <w:tc>
          <w:tcPr>
            <w:tcW w:w="916" w:type="dxa"/>
            <w:tcBorders>
              <w:top w:val="single" w:sz="6" w:space="0" w:color="000000"/>
            </w:tcBorders>
          </w:tcPr>
          <w:p>
            <w:pPr>
              <w:pStyle w:val="TableParagraph"/>
              <w:rPr>
                <w:rFonts w:ascii="Times New Roman"/>
                <w:sz w:val="12"/>
              </w:rPr>
            </w:pPr>
          </w:p>
        </w:tc>
        <w:tc>
          <w:tcPr>
            <w:tcW w:w="782" w:type="dxa"/>
            <w:tcBorders>
              <w:top w:val="single" w:sz="6" w:space="0" w:color="000000"/>
            </w:tcBorders>
          </w:tcPr>
          <w:p>
            <w:pPr>
              <w:pStyle w:val="TableParagraph"/>
              <w:rPr>
                <w:rFonts w:ascii="Times New Roman"/>
                <w:sz w:val="12"/>
              </w:rPr>
            </w:pPr>
          </w:p>
        </w:tc>
      </w:tr>
      <w:tr>
        <w:trPr>
          <w:trHeight w:val="165" w:hRule="atLeast"/>
        </w:trPr>
        <w:tc>
          <w:tcPr>
            <w:tcW w:w="4693" w:type="dxa"/>
          </w:tcPr>
          <w:p>
            <w:pPr>
              <w:pStyle w:val="TableParagraph"/>
              <w:spacing w:line="143" w:lineRule="exact"/>
              <w:ind w:left="34"/>
              <w:rPr>
                <w:sz w:val="13"/>
              </w:rPr>
            </w:pPr>
            <w:r>
              <w:rPr>
                <w:w w:val="105"/>
                <w:sz w:val="13"/>
              </w:rPr>
              <w:t>Present</w:t>
            </w:r>
            <w:r>
              <w:rPr>
                <w:spacing w:val="-7"/>
                <w:w w:val="105"/>
                <w:sz w:val="13"/>
              </w:rPr>
              <w:t> </w:t>
            </w:r>
            <w:r>
              <w:rPr>
                <w:w w:val="105"/>
                <w:sz w:val="13"/>
              </w:rPr>
              <w:t>value</w:t>
            </w:r>
            <w:r>
              <w:rPr>
                <w:spacing w:val="-7"/>
                <w:w w:val="105"/>
                <w:sz w:val="13"/>
              </w:rPr>
              <w:t> </w:t>
            </w:r>
            <w:r>
              <w:rPr>
                <w:w w:val="105"/>
                <w:sz w:val="13"/>
              </w:rPr>
              <w:t>of</w:t>
            </w:r>
            <w:r>
              <w:rPr>
                <w:spacing w:val="-4"/>
                <w:w w:val="105"/>
                <w:sz w:val="13"/>
              </w:rPr>
              <w:t> </w:t>
            </w:r>
            <w:r>
              <w:rPr>
                <w:w w:val="105"/>
                <w:sz w:val="13"/>
              </w:rPr>
              <w:t>the</w:t>
            </w:r>
            <w:r>
              <w:rPr>
                <w:spacing w:val="-7"/>
                <w:w w:val="105"/>
                <w:sz w:val="13"/>
              </w:rPr>
              <w:t> </w:t>
            </w:r>
            <w:r>
              <w:rPr>
                <w:w w:val="105"/>
                <w:sz w:val="13"/>
              </w:rPr>
              <w:t>defined</w:t>
            </w:r>
            <w:r>
              <w:rPr>
                <w:spacing w:val="-7"/>
                <w:w w:val="105"/>
                <w:sz w:val="13"/>
              </w:rPr>
              <w:t> </w:t>
            </w:r>
            <w:r>
              <w:rPr>
                <w:w w:val="105"/>
                <w:sz w:val="13"/>
              </w:rPr>
              <w:t>benefit</w:t>
            </w:r>
            <w:r>
              <w:rPr>
                <w:spacing w:val="-6"/>
                <w:w w:val="105"/>
                <w:sz w:val="13"/>
              </w:rPr>
              <w:t> </w:t>
            </w:r>
            <w:r>
              <w:rPr>
                <w:spacing w:val="-2"/>
                <w:w w:val="105"/>
                <w:sz w:val="13"/>
              </w:rPr>
              <w:t>obligations</w:t>
            </w:r>
          </w:p>
        </w:tc>
        <w:tc>
          <w:tcPr>
            <w:tcW w:w="1051" w:type="dxa"/>
            <w:tcBorders>
              <w:bottom w:val="single" w:sz="6" w:space="0" w:color="000000"/>
            </w:tcBorders>
          </w:tcPr>
          <w:p>
            <w:pPr>
              <w:pStyle w:val="TableParagraph"/>
              <w:spacing w:line="143" w:lineRule="exact"/>
              <w:ind w:right="205"/>
              <w:jc w:val="right"/>
              <w:rPr>
                <w:sz w:val="13"/>
              </w:rPr>
            </w:pPr>
            <w:r>
              <w:rPr>
                <w:spacing w:val="-2"/>
                <w:w w:val="105"/>
                <w:sz w:val="13"/>
              </w:rPr>
              <w:t>2,649</w:t>
            </w:r>
          </w:p>
        </w:tc>
        <w:tc>
          <w:tcPr>
            <w:tcW w:w="915" w:type="dxa"/>
            <w:tcBorders>
              <w:bottom w:val="single" w:sz="6" w:space="0" w:color="000000"/>
            </w:tcBorders>
          </w:tcPr>
          <w:p>
            <w:pPr>
              <w:pStyle w:val="TableParagraph"/>
              <w:spacing w:line="143" w:lineRule="exact"/>
              <w:ind w:right="204"/>
              <w:jc w:val="right"/>
              <w:rPr>
                <w:sz w:val="13"/>
              </w:rPr>
            </w:pPr>
            <w:r>
              <w:rPr>
                <w:spacing w:val="-2"/>
                <w:w w:val="105"/>
                <w:sz w:val="13"/>
              </w:rPr>
              <w:t>3,217</w:t>
            </w:r>
          </w:p>
        </w:tc>
        <w:tc>
          <w:tcPr>
            <w:tcW w:w="916" w:type="dxa"/>
            <w:tcBorders>
              <w:bottom w:val="single" w:sz="6" w:space="0" w:color="000000"/>
            </w:tcBorders>
          </w:tcPr>
          <w:p>
            <w:pPr>
              <w:pStyle w:val="TableParagraph"/>
              <w:spacing w:line="143" w:lineRule="exact"/>
              <w:ind w:right="204"/>
              <w:jc w:val="right"/>
              <w:rPr>
                <w:sz w:val="13"/>
              </w:rPr>
            </w:pPr>
            <w:r>
              <w:rPr>
                <w:spacing w:val="-2"/>
                <w:w w:val="105"/>
                <w:sz w:val="13"/>
              </w:rPr>
              <w:t>2,649</w:t>
            </w:r>
          </w:p>
        </w:tc>
        <w:tc>
          <w:tcPr>
            <w:tcW w:w="782" w:type="dxa"/>
            <w:tcBorders>
              <w:bottom w:val="single" w:sz="6" w:space="0" w:color="000000"/>
            </w:tcBorders>
          </w:tcPr>
          <w:p>
            <w:pPr>
              <w:pStyle w:val="TableParagraph"/>
              <w:spacing w:line="143" w:lineRule="exact"/>
              <w:ind w:right="71"/>
              <w:jc w:val="right"/>
              <w:rPr>
                <w:sz w:val="13"/>
              </w:rPr>
            </w:pPr>
            <w:r>
              <w:rPr>
                <w:spacing w:val="-2"/>
                <w:w w:val="105"/>
                <w:sz w:val="13"/>
              </w:rPr>
              <w:t>3,217</w:t>
            </w:r>
          </w:p>
        </w:tc>
      </w:tr>
      <w:tr>
        <w:trPr>
          <w:trHeight w:val="157" w:hRule="atLeast"/>
        </w:trPr>
        <w:tc>
          <w:tcPr>
            <w:tcW w:w="4693" w:type="dxa"/>
          </w:tcPr>
          <w:p>
            <w:pPr>
              <w:pStyle w:val="TableParagraph"/>
              <w:spacing w:line="134" w:lineRule="exact"/>
              <w:ind w:left="34"/>
              <w:rPr>
                <w:sz w:val="13"/>
              </w:rPr>
            </w:pPr>
            <w:r>
              <w:rPr>
                <w:w w:val="105"/>
                <w:sz w:val="13"/>
              </w:rPr>
              <w:t>Net</w:t>
            </w:r>
            <w:r>
              <w:rPr>
                <w:spacing w:val="-7"/>
                <w:w w:val="105"/>
                <w:sz w:val="13"/>
              </w:rPr>
              <w:t> </w:t>
            </w:r>
            <w:r>
              <w:rPr>
                <w:w w:val="105"/>
                <w:sz w:val="13"/>
              </w:rPr>
              <w:t>liability</w:t>
            </w:r>
            <w:r>
              <w:rPr>
                <w:spacing w:val="-9"/>
                <w:w w:val="105"/>
                <w:sz w:val="13"/>
              </w:rPr>
              <w:t> </w:t>
            </w:r>
            <w:r>
              <w:rPr>
                <w:w w:val="105"/>
                <w:sz w:val="13"/>
              </w:rPr>
              <w:t>arising</w:t>
            </w:r>
            <w:r>
              <w:rPr>
                <w:spacing w:val="-7"/>
                <w:w w:val="105"/>
                <w:sz w:val="13"/>
              </w:rPr>
              <w:t> </w:t>
            </w:r>
            <w:r>
              <w:rPr>
                <w:w w:val="105"/>
                <w:sz w:val="13"/>
              </w:rPr>
              <w:t>from</w:t>
            </w:r>
            <w:r>
              <w:rPr>
                <w:spacing w:val="-4"/>
                <w:w w:val="105"/>
                <w:sz w:val="13"/>
              </w:rPr>
              <w:t> </w:t>
            </w:r>
            <w:r>
              <w:rPr>
                <w:w w:val="105"/>
                <w:sz w:val="13"/>
              </w:rPr>
              <w:t>defined</w:t>
            </w:r>
            <w:r>
              <w:rPr>
                <w:spacing w:val="-6"/>
                <w:w w:val="105"/>
                <w:sz w:val="13"/>
              </w:rPr>
              <w:t> </w:t>
            </w:r>
            <w:r>
              <w:rPr>
                <w:w w:val="105"/>
                <w:sz w:val="13"/>
              </w:rPr>
              <w:t>benefit</w:t>
            </w:r>
            <w:r>
              <w:rPr>
                <w:spacing w:val="-6"/>
                <w:w w:val="105"/>
                <w:sz w:val="13"/>
              </w:rPr>
              <w:t> </w:t>
            </w:r>
            <w:r>
              <w:rPr>
                <w:spacing w:val="-2"/>
                <w:w w:val="105"/>
                <w:sz w:val="13"/>
              </w:rPr>
              <w:t>obligations</w:t>
            </w:r>
          </w:p>
        </w:tc>
        <w:tc>
          <w:tcPr>
            <w:tcW w:w="1051" w:type="dxa"/>
            <w:tcBorders>
              <w:top w:val="single" w:sz="6" w:space="0" w:color="000000"/>
              <w:bottom w:val="single" w:sz="6" w:space="0" w:color="000000"/>
            </w:tcBorders>
          </w:tcPr>
          <w:p>
            <w:pPr>
              <w:pStyle w:val="TableParagraph"/>
              <w:spacing w:line="134" w:lineRule="exact"/>
              <w:ind w:right="205"/>
              <w:jc w:val="right"/>
              <w:rPr>
                <w:b/>
                <w:sz w:val="13"/>
              </w:rPr>
            </w:pPr>
            <w:r>
              <w:rPr>
                <w:b/>
                <w:spacing w:val="-2"/>
                <w:w w:val="105"/>
                <w:sz w:val="13"/>
              </w:rPr>
              <w:t>2,649</w:t>
            </w:r>
          </w:p>
        </w:tc>
        <w:tc>
          <w:tcPr>
            <w:tcW w:w="915" w:type="dxa"/>
            <w:tcBorders>
              <w:top w:val="single" w:sz="6" w:space="0" w:color="000000"/>
              <w:bottom w:val="single" w:sz="6" w:space="0" w:color="000000"/>
            </w:tcBorders>
          </w:tcPr>
          <w:p>
            <w:pPr>
              <w:pStyle w:val="TableParagraph"/>
              <w:spacing w:line="134" w:lineRule="exact"/>
              <w:ind w:right="204"/>
              <w:jc w:val="right"/>
              <w:rPr>
                <w:b/>
                <w:sz w:val="13"/>
              </w:rPr>
            </w:pPr>
            <w:r>
              <w:rPr>
                <w:b/>
                <w:spacing w:val="-2"/>
                <w:w w:val="105"/>
                <w:sz w:val="13"/>
              </w:rPr>
              <w:t>3,217</w:t>
            </w:r>
          </w:p>
        </w:tc>
        <w:tc>
          <w:tcPr>
            <w:tcW w:w="916" w:type="dxa"/>
            <w:tcBorders>
              <w:top w:val="single" w:sz="6" w:space="0" w:color="000000"/>
              <w:bottom w:val="single" w:sz="6" w:space="0" w:color="000000"/>
            </w:tcBorders>
          </w:tcPr>
          <w:p>
            <w:pPr>
              <w:pStyle w:val="TableParagraph"/>
              <w:spacing w:line="134" w:lineRule="exact"/>
              <w:ind w:right="204"/>
              <w:jc w:val="right"/>
              <w:rPr>
                <w:b/>
                <w:sz w:val="13"/>
              </w:rPr>
            </w:pPr>
            <w:r>
              <w:rPr>
                <w:b/>
                <w:spacing w:val="-2"/>
                <w:w w:val="105"/>
                <w:sz w:val="13"/>
              </w:rPr>
              <w:t>2,649</w:t>
            </w:r>
          </w:p>
        </w:tc>
        <w:tc>
          <w:tcPr>
            <w:tcW w:w="782" w:type="dxa"/>
            <w:tcBorders>
              <w:top w:val="single" w:sz="6" w:space="0" w:color="000000"/>
              <w:bottom w:val="single" w:sz="6" w:space="0" w:color="000000"/>
            </w:tcBorders>
          </w:tcPr>
          <w:p>
            <w:pPr>
              <w:pStyle w:val="TableParagraph"/>
              <w:spacing w:line="134" w:lineRule="exact"/>
              <w:ind w:right="70"/>
              <w:jc w:val="right"/>
              <w:rPr>
                <w:b/>
                <w:sz w:val="13"/>
              </w:rPr>
            </w:pPr>
            <w:r>
              <w:rPr>
                <w:b/>
                <w:spacing w:val="-2"/>
                <w:w w:val="105"/>
                <w:sz w:val="13"/>
              </w:rPr>
              <w:t>3,217</w:t>
            </w:r>
          </w:p>
        </w:tc>
      </w:tr>
    </w:tbl>
    <w:p>
      <w:pPr>
        <w:spacing w:line="240" w:lineRule="auto" w:before="0"/>
        <w:rPr>
          <w:b/>
          <w:sz w:val="13"/>
        </w:rPr>
      </w:pPr>
    </w:p>
    <w:p>
      <w:pPr>
        <w:spacing w:line="240" w:lineRule="auto" w:before="34"/>
        <w:rPr>
          <w:b/>
          <w:sz w:val="13"/>
        </w:rPr>
      </w:pPr>
    </w:p>
    <w:p>
      <w:pPr>
        <w:spacing w:before="0"/>
        <w:ind w:left="847" w:right="0" w:firstLine="0"/>
        <w:jc w:val="both"/>
        <w:rPr>
          <w:b/>
          <w:i/>
          <w:sz w:val="13"/>
        </w:rPr>
      </w:pPr>
      <w:r>
        <w:rPr>
          <w:b/>
          <w:i/>
          <w:color w:val="0070C0"/>
          <w:w w:val="105"/>
          <w:sz w:val="13"/>
        </w:rPr>
        <w:t>Accounting</w:t>
      </w:r>
      <w:r>
        <w:rPr>
          <w:b/>
          <w:i/>
          <w:color w:val="0070C0"/>
          <w:spacing w:val="-6"/>
          <w:w w:val="105"/>
          <w:sz w:val="13"/>
        </w:rPr>
        <w:t> </w:t>
      </w:r>
      <w:r>
        <w:rPr>
          <w:b/>
          <w:i/>
          <w:color w:val="0070C0"/>
          <w:spacing w:val="-2"/>
          <w:w w:val="105"/>
          <w:sz w:val="13"/>
        </w:rPr>
        <w:t>policy</w:t>
      </w:r>
    </w:p>
    <w:p>
      <w:pPr>
        <w:spacing w:line="273" w:lineRule="auto" w:before="25"/>
        <w:ind w:left="847" w:right="1837" w:firstLine="0"/>
        <w:jc w:val="both"/>
        <w:rPr>
          <w:sz w:val="13"/>
        </w:rPr>
      </w:pPr>
      <w:r>
        <w:rPr>
          <w:w w:val="105"/>
          <w:sz w:val="13"/>
        </w:rPr>
        <w:t>The Group meets the benefits of the schemes as they fall due and are paid from fund held in the Medium Term Pool investment. There</w:t>
      </w:r>
      <w:r>
        <w:rPr>
          <w:spacing w:val="40"/>
          <w:w w:val="105"/>
          <w:sz w:val="13"/>
        </w:rPr>
        <w:t> </w:t>
      </w:r>
      <w:r>
        <w:rPr>
          <w:w w:val="105"/>
          <w:sz w:val="13"/>
        </w:rPr>
        <w:t>are no plan assets within the scheme.</w:t>
      </w:r>
    </w:p>
    <w:p>
      <w:pPr>
        <w:spacing w:line="240" w:lineRule="auto" w:before="78"/>
        <w:rPr>
          <w:sz w:val="13"/>
        </w:rPr>
      </w:pPr>
    </w:p>
    <w:p>
      <w:pPr>
        <w:spacing w:line="273" w:lineRule="auto" w:before="1"/>
        <w:ind w:left="846" w:right="1836" w:firstLine="0"/>
        <w:jc w:val="both"/>
        <w:rPr>
          <w:sz w:val="13"/>
        </w:rPr>
      </w:pPr>
      <w:r>
        <w:rPr>
          <w:w w:val="105"/>
          <w:sz w:val="13"/>
        </w:rPr>
        <w:t>The present value of the defined benefit obligation is based on expected future payments which arise from membership of the</w:t>
      </w:r>
      <w:r>
        <w:rPr>
          <w:spacing w:val="-2"/>
          <w:w w:val="105"/>
          <w:sz w:val="13"/>
        </w:rPr>
        <w:t> </w:t>
      </w:r>
      <w:r>
        <w:rPr>
          <w:w w:val="105"/>
          <w:sz w:val="13"/>
        </w:rPr>
        <w:t>fund to</w:t>
      </w:r>
      <w:r>
        <w:rPr>
          <w:spacing w:val="-2"/>
          <w:w w:val="105"/>
          <w:sz w:val="13"/>
        </w:rPr>
        <w:t> </w:t>
      </w:r>
      <w:r>
        <w:rPr>
          <w:w w:val="105"/>
          <w:sz w:val="13"/>
        </w:rPr>
        <w:t>the</w:t>
      </w:r>
      <w:r>
        <w:rPr>
          <w:spacing w:val="40"/>
          <w:w w:val="105"/>
          <w:sz w:val="13"/>
        </w:rPr>
        <w:t> </w:t>
      </w:r>
      <w:r>
        <w:rPr>
          <w:w w:val="105"/>
          <w:sz w:val="13"/>
        </w:rPr>
        <w:t>reporting</w:t>
      </w:r>
      <w:r>
        <w:rPr>
          <w:w w:val="105"/>
          <w:sz w:val="13"/>
        </w:rPr>
        <w:t> date,</w:t>
      </w:r>
      <w:r>
        <w:rPr>
          <w:w w:val="105"/>
          <w:sz w:val="13"/>
        </w:rPr>
        <w:t> calculated</w:t>
      </w:r>
      <w:r>
        <w:rPr>
          <w:w w:val="105"/>
          <w:sz w:val="13"/>
        </w:rPr>
        <w:t> annually</w:t>
      </w:r>
      <w:r>
        <w:rPr>
          <w:w w:val="105"/>
          <w:sz w:val="13"/>
        </w:rPr>
        <w:t> by</w:t>
      </w:r>
      <w:r>
        <w:rPr>
          <w:w w:val="105"/>
          <w:sz w:val="13"/>
        </w:rPr>
        <w:t> independent</w:t>
      </w:r>
      <w:r>
        <w:rPr>
          <w:w w:val="105"/>
          <w:sz w:val="13"/>
        </w:rPr>
        <w:t> actuaries</w:t>
      </w:r>
      <w:r>
        <w:rPr>
          <w:w w:val="105"/>
          <w:sz w:val="13"/>
        </w:rPr>
        <w:t> using</w:t>
      </w:r>
      <w:r>
        <w:rPr>
          <w:w w:val="105"/>
          <w:sz w:val="13"/>
        </w:rPr>
        <w:t> the</w:t>
      </w:r>
      <w:r>
        <w:rPr>
          <w:w w:val="105"/>
          <w:sz w:val="13"/>
        </w:rPr>
        <w:t> projected</w:t>
      </w:r>
      <w:r>
        <w:rPr>
          <w:w w:val="105"/>
          <w:sz w:val="13"/>
        </w:rPr>
        <w:t> unit</w:t>
      </w:r>
      <w:r>
        <w:rPr>
          <w:w w:val="105"/>
          <w:sz w:val="13"/>
        </w:rPr>
        <w:t> credit</w:t>
      </w:r>
      <w:r>
        <w:rPr>
          <w:w w:val="105"/>
          <w:sz w:val="13"/>
        </w:rPr>
        <w:t> method.</w:t>
      </w:r>
      <w:r>
        <w:rPr>
          <w:w w:val="105"/>
          <w:sz w:val="13"/>
        </w:rPr>
        <w:t> Expected</w:t>
      </w:r>
      <w:r>
        <w:rPr>
          <w:w w:val="105"/>
          <w:sz w:val="13"/>
        </w:rPr>
        <w:t> future</w:t>
      </w:r>
      <w:r>
        <w:rPr>
          <w:w w:val="105"/>
          <w:sz w:val="13"/>
        </w:rPr>
        <w:t> payments</w:t>
      </w:r>
      <w:r>
        <w:rPr>
          <w:w w:val="105"/>
          <w:sz w:val="13"/>
        </w:rPr>
        <w:t> are</w:t>
      </w:r>
      <w:r>
        <w:rPr>
          <w:spacing w:val="40"/>
          <w:w w:val="105"/>
          <w:sz w:val="13"/>
        </w:rPr>
        <w:t> </w:t>
      </w:r>
      <w:r>
        <w:rPr>
          <w:w w:val="105"/>
          <w:sz w:val="13"/>
        </w:rPr>
        <w:t>discounted using market yields at the reporting date on national government bonds with terms to maturity and currency that match, as</w:t>
      </w:r>
      <w:r>
        <w:rPr>
          <w:spacing w:val="40"/>
          <w:w w:val="105"/>
          <w:sz w:val="13"/>
        </w:rPr>
        <w:t> </w:t>
      </w:r>
      <w:r>
        <w:rPr>
          <w:w w:val="105"/>
          <w:sz w:val="13"/>
        </w:rPr>
        <w:t>closely as possible, the estimated future cash outflows.</w:t>
      </w:r>
    </w:p>
    <w:p>
      <w:pPr>
        <w:spacing w:line="240" w:lineRule="auto" w:before="42"/>
        <w:rPr>
          <w:sz w:val="13"/>
        </w:rPr>
      </w:pPr>
    </w:p>
    <w:p>
      <w:pPr>
        <w:spacing w:line="273" w:lineRule="auto" w:before="0"/>
        <w:ind w:left="847" w:right="1837" w:firstLine="0"/>
        <w:jc w:val="both"/>
        <w:rPr>
          <w:sz w:val="13"/>
        </w:rPr>
      </w:pPr>
      <w:r>
        <w:rPr>
          <w:w w:val="105"/>
          <w:sz w:val="13"/>
        </w:rPr>
        <w:t>Actuarial</w:t>
      </w:r>
      <w:r>
        <w:rPr>
          <w:w w:val="105"/>
          <w:sz w:val="13"/>
        </w:rPr>
        <w:t> gains</w:t>
      </w:r>
      <w:r>
        <w:rPr>
          <w:w w:val="105"/>
          <w:sz w:val="13"/>
        </w:rPr>
        <w:t> and losses</w:t>
      </w:r>
      <w:r>
        <w:rPr>
          <w:w w:val="105"/>
          <w:sz w:val="13"/>
        </w:rPr>
        <w:t> arising</w:t>
      </w:r>
      <w:r>
        <w:rPr>
          <w:w w:val="105"/>
          <w:sz w:val="13"/>
        </w:rPr>
        <w:t> from</w:t>
      </w:r>
      <w:r>
        <w:rPr>
          <w:w w:val="105"/>
          <w:sz w:val="13"/>
        </w:rPr>
        <w:t> experience</w:t>
      </w:r>
      <w:r>
        <w:rPr>
          <w:w w:val="105"/>
          <w:sz w:val="13"/>
        </w:rPr>
        <w:t> adjustments</w:t>
      </w:r>
      <w:r>
        <w:rPr>
          <w:w w:val="105"/>
          <w:sz w:val="13"/>
        </w:rPr>
        <w:t> and changes</w:t>
      </w:r>
      <w:r>
        <w:rPr>
          <w:w w:val="105"/>
          <w:sz w:val="13"/>
        </w:rPr>
        <w:t> in</w:t>
      </w:r>
      <w:r>
        <w:rPr>
          <w:w w:val="105"/>
          <w:sz w:val="13"/>
        </w:rPr>
        <w:t> actuarial</w:t>
      </w:r>
      <w:r>
        <w:rPr>
          <w:w w:val="105"/>
          <w:sz w:val="13"/>
        </w:rPr>
        <w:t> assumptions</w:t>
      </w:r>
      <w:r>
        <w:rPr>
          <w:w w:val="105"/>
          <w:sz w:val="13"/>
        </w:rPr>
        <w:t> are</w:t>
      </w:r>
      <w:r>
        <w:rPr>
          <w:w w:val="105"/>
          <w:sz w:val="13"/>
        </w:rPr>
        <w:t> recognised</w:t>
      </w:r>
      <w:r>
        <w:rPr>
          <w:w w:val="105"/>
          <w:sz w:val="13"/>
        </w:rPr>
        <w:t> in the</w:t>
      </w:r>
      <w:r>
        <w:rPr>
          <w:w w:val="105"/>
          <w:sz w:val="13"/>
        </w:rPr>
        <w:t> period</w:t>
      </w:r>
      <w:r>
        <w:rPr>
          <w:w w:val="105"/>
          <w:sz w:val="13"/>
        </w:rPr>
        <w:t> in</w:t>
      </w:r>
      <w:r>
        <w:rPr>
          <w:spacing w:val="40"/>
          <w:w w:val="105"/>
          <w:sz w:val="13"/>
        </w:rPr>
        <w:t> </w:t>
      </w:r>
      <w:r>
        <w:rPr>
          <w:w w:val="105"/>
          <w:sz w:val="13"/>
        </w:rPr>
        <w:t>which they occur in other comprehensive income. Past service costs are recognised immediately in income, unless the changes to the</w:t>
      </w:r>
      <w:r>
        <w:rPr>
          <w:spacing w:val="40"/>
          <w:w w:val="105"/>
          <w:sz w:val="13"/>
        </w:rPr>
        <w:t> </w:t>
      </w:r>
      <w:r>
        <w:rPr>
          <w:w w:val="105"/>
          <w:sz w:val="13"/>
        </w:rPr>
        <w:t>superannuation</w:t>
      </w:r>
      <w:r>
        <w:rPr>
          <w:spacing w:val="-1"/>
          <w:w w:val="105"/>
          <w:sz w:val="13"/>
        </w:rPr>
        <w:t> </w:t>
      </w:r>
      <w:r>
        <w:rPr>
          <w:w w:val="105"/>
          <w:sz w:val="13"/>
        </w:rPr>
        <w:t>fund</w:t>
      </w:r>
      <w:r>
        <w:rPr>
          <w:spacing w:val="-2"/>
          <w:w w:val="105"/>
          <w:sz w:val="13"/>
        </w:rPr>
        <w:t> </w:t>
      </w:r>
      <w:r>
        <w:rPr>
          <w:w w:val="105"/>
          <w:sz w:val="13"/>
        </w:rPr>
        <w:t>are</w:t>
      </w:r>
      <w:r>
        <w:rPr>
          <w:spacing w:val="-2"/>
          <w:w w:val="105"/>
          <w:sz w:val="13"/>
        </w:rPr>
        <w:t> </w:t>
      </w:r>
      <w:r>
        <w:rPr>
          <w:w w:val="105"/>
          <w:sz w:val="13"/>
        </w:rPr>
        <w:t>conditional on</w:t>
      </w:r>
      <w:r>
        <w:rPr>
          <w:spacing w:val="-2"/>
          <w:w w:val="105"/>
          <w:sz w:val="13"/>
        </w:rPr>
        <w:t> </w:t>
      </w:r>
      <w:r>
        <w:rPr>
          <w:w w:val="105"/>
          <w:sz w:val="13"/>
        </w:rPr>
        <w:t>the</w:t>
      </w:r>
      <w:r>
        <w:rPr>
          <w:spacing w:val="-2"/>
          <w:w w:val="105"/>
          <w:sz w:val="13"/>
        </w:rPr>
        <w:t> </w:t>
      </w:r>
      <w:r>
        <w:rPr>
          <w:w w:val="105"/>
          <w:sz w:val="13"/>
        </w:rPr>
        <w:t>employees</w:t>
      </w:r>
      <w:r>
        <w:rPr>
          <w:spacing w:val="-1"/>
          <w:w w:val="105"/>
          <w:sz w:val="13"/>
        </w:rPr>
        <w:t> </w:t>
      </w:r>
      <w:r>
        <w:rPr>
          <w:w w:val="105"/>
          <w:sz w:val="13"/>
        </w:rPr>
        <w:t>remaining</w:t>
      </w:r>
      <w:r>
        <w:rPr>
          <w:spacing w:val="-2"/>
          <w:w w:val="105"/>
          <w:sz w:val="13"/>
        </w:rPr>
        <w:t> </w:t>
      </w:r>
      <w:r>
        <w:rPr>
          <w:w w:val="105"/>
          <w:sz w:val="13"/>
        </w:rPr>
        <w:t>in</w:t>
      </w:r>
      <w:r>
        <w:rPr>
          <w:spacing w:val="-2"/>
          <w:w w:val="105"/>
          <w:sz w:val="13"/>
        </w:rPr>
        <w:t> </w:t>
      </w:r>
      <w:r>
        <w:rPr>
          <w:w w:val="105"/>
          <w:sz w:val="13"/>
        </w:rPr>
        <w:t>service</w:t>
      </w:r>
      <w:r>
        <w:rPr>
          <w:spacing w:val="-2"/>
          <w:w w:val="105"/>
          <w:sz w:val="13"/>
        </w:rPr>
        <w:t> </w:t>
      </w:r>
      <w:r>
        <w:rPr>
          <w:w w:val="105"/>
          <w:sz w:val="13"/>
        </w:rPr>
        <w:t>for a</w:t>
      </w:r>
      <w:r>
        <w:rPr>
          <w:spacing w:val="-2"/>
          <w:w w:val="105"/>
          <w:sz w:val="13"/>
        </w:rPr>
        <w:t> </w:t>
      </w:r>
      <w:r>
        <w:rPr>
          <w:w w:val="105"/>
          <w:sz w:val="13"/>
        </w:rPr>
        <w:t>specified</w:t>
      </w:r>
      <w:r>
        <w:rPr>
          <w:spacing w:val="-2"/>
          <w:w w:val="105"/>
          <w:sz w:val="13"/>
        </w:rPr>
        <w:t> </w:t>
      </w:r>
      <w:r>
        <w:rPr>
          <w:w w:val="105"/>
          <w:sz w:val="13"/>
        </w:rPr>
        <w:t>period</w:t>
      </w:r>
      <w:r>
        <w:rPr>
          <w:spacing w:val="-2"/>
          <w:w w:val="105"/>
          <w:sz w:val="13"/>
        </w:rPr>
        <w:t> </w:t>
      </w:r>
      <w:r>
        <w:rPr>
          <w:w w:val="105"/>
          <w:sz w:val="13"/>
        </w:rPr>
        <w:t>of time</w:t>
      </w:r>
      <w:r>
        <w:rPr>
          <w:spacing w:val="-2"/>
          <w:w w:val="105"/>
          <w:sz w:val="13"/>
        </w:rPr>
        <w:t> </w:t>
      </w:r>
      <w:r>
        <w:rPr>
          <w:w w:val="105"/>
          <w:sz w:val="13"/>
        </w:rPr>
        <w:t>(the</w:t>
      </w:r>
      <w:r>
        <w:rPr>
          <w:spacing w:val="-4"/>
          <w:w w:val="105"/>
          <w:sz w:val="13"/>
        </w:rPr>
        <w:t> </w:t>
      </w:r>
      <w:r>
        <w:rPr>
          <w:w w:val="105"/>
          <w:sz w:val="13"/>
        </w:rPr>
        <w:t>vesting</w:t>
      </w:r>
      <w:r>
        <w:rPr>
          <w:spacing w:val="-2"/>
          <w:w w:val="105"/>
          <w:sz w:val="13"/>
        </w:rPr>
        <w:t> </w:t>
      </w:r>
      <w:r>
        <w:rPr>
          <w:w w:val="105"/>
          <w:sz w:val="13"/>
        </w:rPr>
        <w:t>period).</w:t>
      </w:r>
      <w:r>
        <w:rPr>
          <w:spacing w:val="-3"/>
          <w:w w:val="105"/>
          <w:sz w:val="13"/>
        </w:rPr>
        <w:t> </w:t>
      </w:r>
      <w:r>
        <w:rPr>
          <w:w w:val="105"/>
          <w:sz w:val="13"/>
        </w:rPr>
        <w:t>In</w:t>
      </w:r>
      <w:r>
        <w:rPr>
          <w:spacing w:val="-2"/>
          <w:w w:val="105"/>
          <w:sz w:val="13"/>
        </w:rPr>
        <w:t> </w:t>
      </w:r>
      <w:r>
        <w:rPr>
          <w:w w:val="105"/>
          <w:sz w:val="13"/>
        </w:rPr>
        <w:t>this</w:t>
      </w:r>
      <w:r>
        <w:rPr>
          <w:spacing w:val="-3"/>
          <w:w w:val="105"/>
          <w:sz w:val="13"/>
        </w:rPr>
        <w:t> </w:t>
      </w:r>
      <w:r>
        <w:rPr>
          <w:w w:val="105"/>
          <w:sz w:val="13"/>
        </w:rPr>
        <w:t>case,</w:t>
      </w:r>
      <w:r>
        <w:rPr>
          <w:spacing w:val="40"/>
          <w:w w:val="105"/>
          <w:sz w:val="13"/>
        </w:rPr>
        <w:t> </w:t>
      </w:r>
      <w:r>
        <w:rPr>
          <w:w w:val="105"/>
          <w:sz w:val="13"/>
        </w:rPr>
        <w:t>the past service costs are amortised on a straight-line basis over the vesting period.</w:t>
      </w:r>
    </w:p>
    <w:p>
      <w:pPr>
        <w:spacing w:line="240" w:lineRule="auto" w:before="3"/>
        <w:rPr>
          <w:sz w:val="10"/>
        </w:rPr>
      </w:pPr>
      <w:r>
        <w:rPr/>
        <mc:AlternateContent>
          <mc:Choice Requires="wps">
            <w:drawing>
              <wp:anchor distT="0" distB="0" distL="0" distR="0" allowOverlap="1" layoutInCell="1" locked="0" behindDoc="1" simplePos="0" relativeHeight="487743488">
                <wp:simplePos x="0" y="0"/>
                <wp:positionH relativeFrom="page">
                  <wp:posOffset>720001</wp:posOffset>
                </wp:positionH>
                <wp:positionV relativeFrom="paragraph">
                  <wp:posOffset>90163</wp:posOffset>
                </wp:positionV>
                <wp:extent cx="5688330" cy="17145"/>
                <wp:effectExtent l="0" t="0" r="0" b="0"/>
                <wp:wrapTopAndBottom/>
                <wp:docPr id="915" name="Graphic 915"/>
                <wp:cNvGraphicFramePr>
                  <a:graphicFrameLocks/>
                </wp:cNvGraphicFramePr>
                <a:graphic>
                  <a:graphicData uri="http://schemas.microsoft.com/office/word/2010/wordprocessingShape">
                    <wps:wsp>
                      <wps:cNvPr id="915" name="Graphic 915"/>
                      <wps:cNvSpPr/>
                      <wps:spPr>
                        <a:xfrm>
                          <a:off x="0" y="0"/>
                          <a:ext cx="5688330" cy="17145"/>
                        </a:xfrm>
                        <a:custGeom>
                          <a:avLst/>
                          <a:gdLst/>
                          <a:ahLst/>
                          <a:cxnLst/>
                          <a:rect l="l" t="t" r="r" b="b"/>
                          <a:pathLst>
                            <a:path w="5688330" h="17145">
                              <a:moveTo>
                                <a:pt x="5688088" y="0"/>
                              </a:moveTo>
                              <a:lnTo>
                                <a:pt x="0" y="0"/>
                              </a:lnTo>
                              <a:lnTo>
                                <a:pt x="0" y="16814"/>
                              </a:lnTo>
                              <a:lnTo>
                                <a:pt x="5688088" y="16814"/>
                              </a:lnTo>
                              <a:lnTo>
                                <a:pt x="5688088"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6.693001pt;margin-top:7.099512pt;width:447.881pt;height:1.324pt;mso-position-horizontal-relative:page;mso-position-vertical-relative:paragraph;z-index:-15572992;mso-wrap-distance-left:0;mso-wrap-distance-right:0" id="docshape609" filled="true" fillcolor="#4f81bd" stroked="false">
                <v:fill type="solid"/>
                <w10:wrap type="topAndBottom"/>
              </v:rect>
            </w:pict>
          </mc:Fallback>
        </mc:AlternateContent>
      </w:r>
    </w:p>
    <w:p>
      <w:pPr>
        <w:spacing w:after="0" w:line="240" w:lineRule="auto"/>
        <w:rPr>
          <w:sz w:val="10"/>
        </w:rPr>
        <w:sectPr>
          <w:pgSz w:w="11910" w:h="16840"/>
          <w:pgMar w:header="468" w:footer="0" w:top="720" w:bottom="280" w:left="920" w:right="0"/>
        </w:sectPr>
      </w:pPr>
    </w:p>
    <w:p>
      <w:pPr>
        <w:spacing w:line="240" w:lineRule="auto" w:before="0"/>
        <w:rPr>
          <w:sz w:val="22"/>
        </w:rPr>
      </w:pPr>
    </w:p>
    <w:p>
      <w:pPr>
        <w:spacing w:line="240" w:lineRule="auto" w:before="0"/>
        <w:rPr>
          <w:sz w:val="22"/>
        </w:rPr>
      </w:pPr>
    </w:p>
    <w:p>
      <w:pPr>
        <w:spacing w:line="240" w:lineRule="auto" w:before="193"/>
        <w:rPr>
          <w:sz w:val="22"/>
        </w:rPr>
      </w:pPr>
    </w:p>
    <w:p>
      <w:pPr>
        <w:spacing w:before="0"/>
        <w:ind w:left="251" w:right="0" w:firstLine="0"/>
        <w:jc w:val="left"/>
        <w:rPr>
          <w:sz w:val="22"/>
        </w:rPr>
      </w:pPr>
      <w:r>
        <w:rPr>
          <w:color w:val="0070C0"/>
          <w:sz w:val="22"/>
        </w:rPr>
        <w:t>NOTES</w:t>
      </w:r>
      <w:r>
        <w:rPr>
          <w:color w:val="0070C0"/>
          <w:spacing w:val="-9"/>
          <w:sz w:val="22"/>
        </w:rPr>
        <w:t> </w:t>
      </w:r>
      <w:r>
        <w:rPr>
          <w:color w:val="0070C0"/>
          <w:sz w:val="22"/>
        </w:rPr>
        <w:t>TO</w:t>
      </w:r>
      <w:r>
        <w:rPr>
          <w:color w:val="0070C0"/>
          <w:spacing w:val="-9"/>
          <w:sz w:val="22"/>
        </w:rPr>
        <w:t> </w:t>
      </w:r>
      <w:r>
        <w:rPr>
          <w:color w:val="0070C0"/>
          <w:sz w:val="22"/>
        </w:rPr>
        <w:t>THE</w:t>
      </w:r>
      <w:r>
        <w:rPr>
          <w:color w:val="0070C0"/>
          <w:spacing w:val="-9"/>
          <w:sz w:val="22"/>
        </w:rPr>
        <w:t> </w:t>
      </w:r>
      <w:r>
        <w:rPr>
          <w:color w:val="0070C0"/>
          <w:sz w:val="22"/>
        </w:rPr>
        <w:t>FINANCIAL</w:t>
      </w:r>
      <w:r>
        <w:rPr>
          <w:color w:val="0070C0"/>
          <w:spacing w:val="-9"/>
          <w:sz w:val="22"/>
        </w:rPr>
        <w:t> </w:t>
      </w:r>
      <w:r>
        <w:rPr>
          <w:color w:val="0070C0"/>
          <w:spacing w:val="-2"/>
          <w:sz w:val="22"/>
        </w:rPr>
        <w:t>STATEMENTS</w:t>
      </w:r>
    </w:p>
    <w:p>
      <w:pPr>
        <w:spacing w:before="31"/>
        <w:ind w:left="238" w:right="0" w:firstLine="0"/>
        <w:jc w:val="left"/>
        <w:rPr>
          <w:sz w:val="12"/>
        </w:rPr>
      </w:pPr>
      <w:r>
        <w:rPr>
          <w:sz w:val="12"/>
        </w:rPr>
        <w:t>for</w:t>
      </w:r>
      <w:r>
        <w:rPr>
          <w:spacing w:val="4"/>
          <w:sz w:val="12"/>
        </w:rPr>
        <w:t> </w:t>
      </w:r>
      <w:r>
        <w:rPr>
          <w:sz w:val="12"/>
        </w:rPr>
        <w:t>the</w:t>
      </w:r>
      <w:r>
        <w:rPr>
          <w:spacing w:val="3"/>
          <w:sz w:val="12"/>
        </w:rPr>
        <w:t> </w:t>
      </w:r>
      <w:r>
        <w:rPr>
          <w:sz w:val="12"/>
        </w:rPr>
        <w:t>year</w:t>
      </w:r>
      <w:r>
        <w:rPr>
          <w:spacing w:val="5"/>
          <w:sz w:val="12"/>
        </w:rPr>
        <w:t> </w:t>
      </w:r>
      <w:r>
        <w:rPr>
          <w:sz w:val="12"/>
        </w:rPr>
        <w:t>ended</w:t>
      </w:r>
      <w:r>
        <w:rPr>
          <w:spacing w:val="3"/>
          <w:sz w:val="12"/>
        </w:rPr>
        <w:t> </w:t>
      </w:r>
      <w:r>
        <w:rPr>
          <w:sz w:val="12"/>
        </w:rPr>
        <w:t>31</w:t>
      </w:r>
      <w:r>
        <w:rPr>
          <w:spacing w:val="3"/>
          <w:sz w:val="12"/>
        </w:rPr>
        <w:t> </w:t>
      </w:r>
      <w:r>
        <w:rPr>
          <w:sz w:val="12"/>
        </w:rPr>
        <w:t>December</w:t>
      </w:r>
      <w:r>
        <w:rPr>
          <w:spacing w:val="5"/>
          <w:sz w:val="12"/>
        </w:rPr>
        <w:t> </w:t>
      </w:r>
      <w:r>
        <w:rPr>
          <w:spacing w:val="-4"/>
          <w:sz w:val="12"/>
        </w:rPr>
        <w:t>2020</w:t>
      </w:r>
    </w:p>
    <w:p>
      <w:pPr>
        <w:spacing w:line="240" w:lineRule="auto" w:before="145"/>
        <w:rPr>
          <w:sz w:val="16"/>
        </w:rPr>
      </w:pPr>
    </w:p>
    <w:p>
      <w:pPr>
        <w:pStyle w:val="ListParagraph"/>
        <w:numPr>
          <w:ilvl w:val="1"/>
          <w:numId w:val="13"/>
        </w:numPr>
        <w:tabs>
          <w:tab w:pos="851" w:val="left" w:leader="none"/>
        </w:tabs>
        <w:spacing w:line="240" w:lineRule="auto" w:before="0" w:after="0"/>
        <w:ind w:left="851" w:right="0" w:hanging="607"/>
        <w:jc w:val="left"/>
        <w:rPr>
          <w:b/>
          <w:color w:val="0070C0"/>
          <w:sz w:val="16"/>
        </w:rPr>
      </w:pPr>
      <w:r>
        <w:rPr>
          <w:b/>
          <w:color w:val="0070C0"/>
          <w:sz w:val="16"/>
        </w:rPr>
        <w:t>Remuneration</w:t>
      </w:r>
      <w:r>
        <w:rPr>
          <w:b/>
          <w:color w:val="0070C0"/>
          <w:spacing w:val="9"/>
          <w:sz w:val="16"/>
        </w:rPr>
        <w:t> </w:t>
      </w:r>
      <w:r>
        <w:rPr>
          <w:b/>
          <w:color w:val="0070C0"/>
          <w:sz w:val="16"/>
        </w:rPr>
        <w:t>of</w:t>
      </w:r>
      <w:r>
        <w:rPr>
          <w:b/>
          <w:color w:val="0070C0"/>
          <w:spacing w:val="10"/>
          <w:sz w:val="16"/>
        </w:rPr>
        <w:t> </w:t>
      </w:r>
      <w:r>
        <w:rPr>
          <w:b/>
          <w:color w:val="0070C0"/>
          <w:sz w:val="16"/>
        </w:rPr>
        <w:t>key</w:t>
      </w:r>
      <w:r>
        <w:rPr>
          <w:b/>
          <w:color w:val="0070C0"/>
          <w:spacing w:val="2"/>
          <w:sz w:val="16"/>
        </w:rPr>
        <w:t> </w:t>
      </w:r>
      <w:r>
        <w:rPr>
          <w:b/>
          <w:color w:val="0070C0"/>
          <w:sz w:val="16"/>
        </w:rPr>
        <w:t>management</w:t>
      </w:r>
      <w:r>
        <w:rPr>
          <w:b/>
          <w:color w:val="0070C0"/>
          <w:spacing w:val="10"/>
          <w:sz w:val="16"/>
        </w:rPr>
        <w:t> </w:t>
      </w:r>
      <w:r>
        <w:rPr>
          <w:b/>
          <w:color w:val="0070C0"/>
          <w:spacing w:val="-2"/>
          <w:sz w:val="16"/>
        </w:rPr>
        <w:t>personnel</w:t>
      </w:r>
    </w:p>
    <w:p>
      <w:pPr>
        <w:spacing w:line="240" w:lineRule="auto" w:before="16"/>
        <w:rPr>
          <w:b/>
          <w:sz w:val="16"/>
        </w:rPr>
      </w:pPr>
    </w:p>
    <w:p>
      <w:pPr>
        <w:tabs>
          <w:tab w:pos="847" w:val="left" w:leader="none"/>
        </w:tabs>
        <w:spacing w:before="0"/>
        <w:ind w:left="240" w:right="0" w:firstLine="0"/>
        <w:jc w:val="left"/>
        <w:rPr>
          <w:b/>
          <w:sz w:val="13"/>
        </w:rPr>
      </w:pPr>
      <w:r>
        <w:rPr>
          <w:b/>
          <w:spacing w:val="-5"/>
          <w:w w:val="105"/>
          <w:sz w:val="13"/>
        </w:rPr>
        <w:t>(a)</w:t>
      </w:r>
      <w:r>
        <w:rPr>
          <w:b/>
          <w:sz w:val="13"/>
        </w:rPr>
        <w:tab/>
      </w:r>
      <w:r>
        <w:rPr>
          <w:b/>
          <w:w w:val="105"/>
          <w:sz w:val="13"/>
        </w:rPr>
        <w:t>Key</w:t>
      </w:r>
      <w:r>
        <w:rPr>
          <w:b/>
          <w:spacing w:val="-8"/>
          <w:w w:val="105"/>
          <w:sz w:val="13"/>
        </w:rPr>
        <w:t> </w:t>
      </w:r>
      <w:r>
        <w:rPr>
          <w:b/>
          <w:w w:val="105"/>
          <w:sz w:val="13"/>
        </w:rPr>
        <w:t>management</w:t>
      </w:r>
      <w:r>
        <w:rPr>
          <w:b/>
          <w:spacing w:val="-6"/>
          <w:w w:val="105"/>
          <w:sz w:val="13"/>
        </w:rPr>
        <w:t> </w:t>
      </w:r>
      <w:r>
        <w:rPr>
          <w:b/>
          <w:spacing w:val="-2"/>
          <w:w w:val="105"/>
          <w:sz w:val="13"/>
        </w:rPr>
        <w:t>personnel</w:t>
      </w:r>
    </w:p>
    <w:p>
      <w:pPr>
        <w:spacing w:before="9"/>
        <w:ind w:left="847" w:right="0" w:firstLine="0"/>
        <w:jc w:val="both"/>
        <w:rPr>
          <w:sz w:val="13"/>
        </w:rPr>
      </w:pPr>
      <w:r>
        <w:rPr>
          <w:w w:val="105"/>
          <w:sz w:val="13"/>
        </w:rPr>
        <w:t>Key</w:t>
      </w:r>
      <w:r>
        <w:rPr>
          <w:spacing w:val="-10"/>
          <w:w w:val="105"/>
          <w:sz w:val="13"/>
        </w:rPr>
        <w:t> </w:t>
      </w:r>
      <w:r>
        <w:rPr>
          <w:w w:val="105"/>
          <w:sz w:val="13"/>
        </w:rPr>
        <w:t>management</w:t>
      </w:r>
      <w:r>
        <w:rPr>
          <w:spacing w:val="-9"/>
          <w:w w:val="105"/>
          <w:sz w:val="13"/>
        </w:rPr>
        <w:t> </w:t>
      </w:r>
      <w:r>
        <w:rPr>
          <w:w w:val="105"/>
          <w:sz w:val="13"/>
        </w:rPr>
        <w:t>personnel</w:t>
      </w:r>
      <w:r>
        <w:rPr>
          <w:spacing w:val="-10"/>
          <w:w w:val="105"/>
          <w:sz w:val="13"/>
        </w:rPr>
        <w:t> </w:t>
      </w:r>
      <w:r>
        <w:rPr>
          <w:w w:val="105"/>
          <w:sz w:val="13"/>
        </w:rPr>
        <w:t>comprises</w:t>
      </w:r>
      <w:r>
        <w:rPr>
          <w:spacing w:val="-8"/>
          <w:w w:val="105"/>
          <w:sz w:val="13"/>
        </w:rPr>
        <w:t> </w:t>
      </w:r>
      <w:r>
        <w:rPr>
          <w:w w:val="105"/>
          <w:sz w:val="13"/>
        </w:rPr>
        <w:t>the</w:t>
      </w:r>
      <w:r>
        <w:rPr>
          <w:spacing w:val="-9"/>
          <w:w w:val="105"/>
          <w:sz w:val="13"/>
        </w:rPr>
        <w:t> </w:t>
      </w:r>
      <w:r>
        <w:rPr>
          <w:w w:val="105"/>
          <w:sz w:val="13"/>
        </w:rPr>
        <w:t>Senate</w:t>
      </w:r>
      <w:r>
        <w:rPr>
          <w:spacing w:val="-8"/>
          <w:w w:val="105"/>
          <w:sz w:val="13"/>
        </w:rPr>
        <w:t> </w:t>
      </w:r>
      <w:r>
        <w:rPr>
          <w:w w:val="105"/>
          <w:sz w:val="13"/>
        </w:rPr>
        <w:t>members</w:t>
      </w:r>
      <w:r>
        <w:rPr>
          <w:spacing w:val="-7"/>
          <w:w w:val="105"/>
          <w:sz w:val="13"/>
        </w:rPr>
        <w:t> </w:t>
      </w:r>
      <w:r>
        <w:rPr>
          <w:w w:val="105"/>
          <w:sz w:val="13"/>
        </w:rPr>
        <w:t>and</w:t>
      </w:r>
      <w:r>
        <w:rPr>
          <w:spacing w:val="-9"/>
          <w:w w:val="105"/>
          <w:sz w:val="13"/>
        </w:rPr>
        <w:t> </w:t>
      </w:r>
      <w:r>
        <w:rPr>
          <w:w w:val="105"/>
          <w:sz w:val="13"/>
        </w:rPr>
        <w:t>the</w:t>
      </w:r>
      <w:r>
        <w:rPr>
          <w:spacing w:val="-8"/>
          <w:w w:val="105"/>
          <w:sz w:val="13"/>
        </w:rPr>
        <w:t> </w:t>
      </w:r>
      <w:r>
        <w:rPr>
          <w:w w:val="105"/>
          <w:sz w:val="13"/>
        </w:rPr>
        <w:t>University</w:t>
      </w:r>
      <w:r>
        <w:rPr>
          <w:spacing w:val="-10"/>
          <w:w w:val="105"/>
          <w:sz w:val="13"/>
        </w:rPr>
        <w:t> </w:t>
      </w:r>
      <w:r>
        <w:rPr>
          <w:spacing w:val="-2"/>
          <w:w w:val="105"/>
          <w:sz w:val="13"/>
        </w:rPr>
        <w:t>executives.</w:t>
      </w:r>
    </w:p>
    <w:p>
      <w:pPr>
        <w:spacing w:line="240" w:lineRule="auto" w:before="5" w:after="0"/>
        <w:rPr>
          <w:sz w:val="16"/>
        </w:rPr>
      </w:pPr>
    </w:p>
    <w:tbl>
      <w:tblPr>
        <w:tblW w:w="0" w:type="auto"/>
        <w:jc w:val="left"/>
        <w:tblInd w:w="1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41"/>
        <w:gridCol w:w="4874"/>
        <w:gridCol w:w="638"/>
        <w:gridCol w:w="203"/>
        <w:gridCol w:w="361"/>
        <w:gridCol w:w="641"/>
        <w:gridCol w:w="623"/>
        <w:gridCol w:w="261"/>
        <w:gridCol w:w="304"/>
        <w:gridCol w:w="628"/>
      </w:tblGrid>
      <w:tr>
        <w:trPr>
          <w:trHeight w:val="192" w:hRule="atLeast"/>
        </w:trPr>
        <w:tc>
          <w:tcPr>
            <w:tcW w:w="5315" w:type="dxa"/>
            <w:gridSpan w:val="2"/>
          </w:tcPr>
          <w:p>
            <w:pPr>
              <w:pStyle w:val="TableParagraph"/>
              <w:rPr>
                <w:rFonts w:ascii="Times New Roman"/>
                <w:sz w:val="12"/>
              </w:rPr>
            </w:pPr>
          </w:p>
        </w:tc>
        <w:tc>
          <w:tcPr>
            <w:tcW w:w="841" w:type="dxa"/>
            <w:gridSpan w:val="2"/>
          </w:tcPr>
          <w:p>
            <w:pPr>
              <w:pStyle w:val="TableParagraph"/>
              <w:spacing w:line="173" w:lineRule="exact"/>
              <w:ind w:left="270"/>
              <w:rPr>
                <w:b/>
                <w:sz w:val="16"/>
              </w:rPr>
            </w:pPr>
            <w:r>
              <w:rPr>
                <w:b/>
                <w:spacing w:val="-2"/>
                <w:sz w:val="16"/>
              </w:rPr>
              <w:t>Senate</w:t>
            </w:r>
          </w:p>
        </w:tc>
        <w:tc>
          <w:tcPr>
            <w:tcW w:w="1002" w:type="dxa"/>
            <w:gridSpan w:val="2"/>
          </w:tcPr>
          <w:p>
            <w:pPr>
              <w:pStyle w:val="TableParagraph"/>
              <w:spacing w:line="173" w:lineRule="exact"/>
              <w:ind w:left="9"/>
              <w:rPr>
                <w:b/>
                <w:sz w:val="16"/>
              </w:rPr>
            </w:pPr>
            <w:r>
              <w:rPr>
                <w:b/>
                <w:spacing w:val="-2"/>
                <w:sz w:val="16"/>
              </w:rPr>
              <w:t>members</w:t>
            </w:r>
          </w:p>
        </w:tc>
        <w:tc>
          <w:tcPr>
            <w:tcW w:w="884" w:type="dxa"/>
            <w:gridSpan w:val="2"/>
          </w:tcPr>
          <w:p>
            <w:pPr>
              <w:pStyle w:val="TableParagraph"/>
              <w:spacing w:line="173" w:lineRule="exact"/>
              <w:ind w:left="84"/>
              <w:rPr>
                <w:b/>
                <w:sz w:val="16"/>
              </w:rPr>
            </w:pPr>
            <w:r>
              <w:rPr>
                <w:b/>
                <w:spacing w:val="-2"/>
                <w:sz w:val="16"/>
              </w:rPr>
              <w:t>University</w:t>
            </w:r>
          </w:p>
        </w:tc>
        <w:tc>
          <w:tcPr>
            <w:tcW w:w="932" w:type="dxa"/>
            <w:gridSpan w:val="2"/>
          </w:tcPr>
          <w:p>
            <w:pPr>
              <w:pStyle w:val="TableParagraph"/>
              <w:spacing w:line="173" w:lineRule="exact"/>
              <w:ind w:left="26"/>
              <w:rPr>
                <w:b/>
                <w:sz w:val="16"/>
              </w:rPr>
            </w:pPr>
            <w:r>
              <w:rPr>
                <w:b/>
                <w:spacing w:val="-2"/>
                <w:sz w:val="16"/>
              </w:rPr>
              <w:t>executives</w:t>
            </w:r>
          </w:p>
        </w:tc>
      </w:tr>
      <w:tr>
        <w:trPr>
          <w:trHeight w:val="174" w:hRule="atLeast"/>
        </w:trPr>
        <w:tc>
          <w:tcPr>
            <w:tcW w:w="441" w:type="dxa"/>
          </w:tcPr>
          <w:p>
            <w:pPr>
              <w:pStyle w:val="TableParagraph"/>
              <w:spacing w:line="134" w:lineRule="exact" w:before="21"/>
              <w:ind w:left="10" w:right="172"/>
              <w:jc w:val="center"/>
              <w:rPr>
                <w:b/>
                <w:sz w:val="13"/>
              </w:rPr>
            </w:pPr>
            <w:r>
              <w:rPr>
                <w:b/>
                <w:spacing w:val="-5"/>
                <w:w w:val="105"/>
                <w:sz w:val="13"/>
              </w:rPr>
              <w:t>(b)</w:t>
            </w:r>
          </w:p>
        </w:tc>
        <w:tc>
          <w:tcPr>
            <w:tcW w:w="4874" w:type="dxa"/>
          </w:tcPr>
          <w:p>
            <w:pPr>
              <w:pStyle w:val="TableParagraph"/>
              <w:spacing w:line="134" w:lineRule="exact" w:before="21"/>
              <w:ind w:left="215"/>
              <w:rPr>
                <w:b/>
                <w:sz w:val="13"/>
              </w:rPr>
            </w:pPr>
            <w:r>
              <w:rPr>
                <w:b/>
                <w:w w:val="105"/>
                <w:sz w:val="13"/>
              </w:rPr>
              <w:t>Key</w:t>
            </w:r>
            <w:r>
              <w:rPr>
                <w:b/>
                <w:spacing w:val="-9"/>
                <w:w w:val="105"/>
                <w:sz w:val="13"/>
              </w:rPr>
              <w:t> </w:t>
            </w:r>
            <w:r>
              <w:rPr>
                <w:b/>
                <w:w w:val="105"/>
                <w:sz w:val="13"/>
              </w:rPr>
              <w:t>management</w:t>
            </w:r>
            <w:r>
              <w:rPr>
                <w:b/>
                <w:spacing w:val="-6"/>
                <w:w w:val="105"/>
                <w:sz w:val="13"/>
              </w:rPr>
              <w:t> </w:t>
            </w:r>
            <w:r>
              <w:rPr>
                <w:b/>
                <w:w w:val="105"/>
                <w:sz w:val="13"/>
              </w:rPr>
              <w:t>personnel</w:t>
            </w:r>
            <w:r>
              <w:rPr>
                <w:b/>
                <w:spacing w:val="-8"/>
                <w:w w:val="105"/>
                <w:sz w:val="13"/>
              </w:rPr>
              <w:t> </w:t>
            </w:r>
            <w:r>
              <w:rPr>
                <w:b/>
                <w:spacing w:val="-2"/>
                <w:w w:val="105"/>
                <w:sz w:val="13"/>
              </w:rPr>
              <w:t>compensation</w:t>
            </w:r>
          </w:p>
        </w:tc>
        <w:tc>
          <w:tcPr>
            <w:tcW w:w="841" w:type="dxa"/>
            <w:gridSpan w:val="2"/>
          </w:tcPr>
          <w:p>
            <w:pPr>
              <w:pStyle w:val="TableParagraph"/>
              <w:spacing w:line="143" w:lineRule="exact" w:before="12"/>
              <w:ind w:left="314"/>
              <w:rPr>
                <w:b/>
                <w:sz w:val="13"/>
              </w:rPr>
            </w:pPr>
            <w:r>
              <w:rPr>
                <w:b/>
                <w:spacing w:val="-4"/>
                <w:w w:val="105"/>
                <w:sz w:val="13"/>
              </w:rPr>
              <w:t>2020</w:t>
            </w:r>
          </w:p>
        </w:tc>
        <w:tc>
          <w:tcPr>
            <w:tcW w:w="1002" w:type="dxa"/>
            <w:gridSpan w:val="2"/>
          </w:tcPr>
          <w:p>
            <w:pPr>
              <w:pStyle w:val="TableParagraph"/>
              <w:spacing w:line="143" w:lineRule="exact" w:before="12"/>
              <w:ind w:left="389"/>
              <w:rPr>
                <w:b/>
                <w:sz w:val="13"/>
              </w:rPr>
            </w:pPr>
            <w:r>
              <w:rPr>
                <w:b/>
                <w:spacing w:val="-4"/>
                <w:w w:val="105"/>
                <w:sz w:val="13"/>
              </w:rPr>
              <w:t>2019</w:t>
            </w:r>
          </w:p>
        </w:tc>
        <w:tc>
          <w:tcPr>
            <w:tcW w:w="884" w:type="dxa"/>
            <w:gridSpan w:val="2"/>
          </w:tcPr>
          <w:p>
            <w:pPr>
              <w:pStyle w:val="TableParagraph"/>
              <w:spacing w:line="143" w:lineRule="exact" w:before="12"/>
              <w:ind w:left="303"/>
              <w:rPr>
                <w:b/>
                <w:sz w:val="13"/>
              </w:rPr>
            </w:pPr>
            <w:r>
              <w:rPr>
                <w:b/>
                <w:spacing w:val="-4"/>
                <w:w w:val="105"/>
                <w:sz w:val="13"/>
              </w:rPr>
              <w:t>2020</w:t>
            </w:r>
          </w:p>
        </w:tc>
        <w:tc>
          <w:tcPr>
            <w:tcW w:w="932" w:type="dxa"/>
            <w:gridSpan w:val="2"/>
          </w:tcPr>
          <w:p>
            <w:pPr>
              <w:pStyle w:val="TableParagraph"/>
              <w:spacing w:line="143" w:lineRule="exact" w:before="12"/>
              <w:ind w:left="335"/>
              <w:rPr>
                <w:b/>
                <w:sz w:val="13"/>
              </w:rPr>
            </w:pPr>
            <w:r>
              <w:rPr>
                <w:b/>
                <w:spacing w:val="-4"/>
                <w:w w:val="105"/>
                <w:sz w:val="13"/>
              </w:rPr>
              <w:t>2019</w:t>
            </w:r>
          </w:p>
        </w:tc>
      </w:tr>
      <w:tr>
        <w:trPr>
          <w:trHeight w:val="159" w:hRule="atLeast"/>
        </w:trPr>
        <w:tc>
          <w:tcPr>
            <w:tcW w:w="441" w:type="dxa"/>
          </w:tcPr>
          <w:p>
            <w:pPr>
              <w:pStyle w:val="TableParagraph"/>
              <w:rPr>
                <w:rFonts w:ascii="Times New Roman"/>
                <w:sz w:val="10"/>
              </w:rPr>
            </w:pPr>
          </w:p>
        </w:tc>
        <w:tc>
          <w:tcPr>
            <w:tcW w:w="4874" w:type="dxa"/>
          </w:tcPr>
          <w:p>
            <w:pPr>
              <w:pStyle w:val="TableParagraph"/>
              <w:rPr>
                <w:rFonts w:ascii="Times New Roman"/>
                <w:sz w:val="10"/>
              </w:rPr>
            </w:pPr>
          </w:p>
        </w:tc>
        <w:tc>
          <w:tcPr>
            <w:tcW w:w="841" w:type="dxa"/>
            <w:gridSpan w:val="2"/>
            <w:tcBorders>
              <w:bottom w:val="single" w:sz="6" w:space="0" w:color="000000"/>
            </w:tcBorders>
          </w:tcPr>
          <w:p>
            <w:pPr>
              <w:pStyle w:val="TableParagraph"/>
              <w:spacing w:line="134" w:lineRule="exact" w:before="5"/>
              <w:ind w:left="298"/>
              <w:rPr>
                <w:b/>
                <w:sz w:val="13"/>
              </w:rPr>
            </w:pPr>
            <w:r>
              <w:rPr>
                <w:b/>
                <w:spacing w:val="-2"/>
                <w:w w:val="105"/>
                <w:sz w:val="13"/>
              </w:rPr>
              <w:t>$'000</w:t>
            </w:r>
          </w:p>
        </w:tc>
        <w:tc>
          <w:tcPr>
            <w:tcW w:w="1002" w:type="dxa"/>
            <w:gridSpan w:val="2"/>
            <w:tcBorders>
              <w:bottom w:val="single" w:sz="6" w:space="0" w:color="000000"/>
            </w:tcBorders>
          </w:tcPr>
          <w:p>
            <w:pPr>
              <w:pStyle w:val="TableParagraph"/>
              <w:spacing w:line="134" w:lineRule="exact" w:before="5"/>
              <w:ind w:left="373"/>
              <w:rPr>
                <w:b/>
                <w:sz w:val="13"/>
              </w:rPr>
            </w:pPr>
            <w:r>
              <w:rPr>
                <w:b/>
                <w:spacing w:val="-2"/>
                <w:w w:val="105"/>
                <w:sz w:val="13"/>
              </w:rPr>
              <w:t>$'000</w:t>
            </w:r>
          </w:p>
        </w:tc>
        <w:tc>
          <w:tcPr>
            <w:tcW w:w="884" w:type="dxa"/>
            <w:gridSpan w:val="2"/>
            <w:tcBorders>
              <w:bottom w:val="single" w:sz="6" w:space="0" w:color="000000"/>
            </w:tcBorders>
          </w:tcPr>
          <w:p>
            <w:pPr>
              <w:pStyle w:val="TableParagraph"/>
              <w:spacing w:line="134" w:lineRule="exact" w:before="5"/>
              <w:ind w:left="287"/>
              <w:rPr>
                <w:b/>
                <w:sz w:val="13"/>
              </w:rPr>
            </w:pPr>
            <w:r>
              <w:rPr>
                <w:b/>
                <w:spacing w:val="-2"/>
                <w:w w:val="105"/>
                <w:sz w:val="13"/>
              </w:rPr>
              <w:t>$'000</w:t>
            </w:r>
          </w:p>
        </w:tc>
        <w:tc>
          <w:tcPr>
            <w:tcW w:w="932" w:type="dxa"/>
            <w:gridSpan w:val="2"/>
            <w:tcBorders>
              <w:bottom w:val="single" w:sz="6" w:space="0" w:color="000000"/>
            </w:tcBorders>
          </w:tcPr>
          <w:p>
            <w:pPr>
              <w:pStyle w:val="TableParagraph"/>
              <w:spacing w:line="134" w:lineRule="exact" w:before="5"/>
              <w:ind w:left="319"/>
              <w:rPr>
                <w:b/>
                <w:sz w:val="13"/>
              </w:rPr>
            </w:pPr>
            <w:r>
              <w:rPr>
                <w:b/>
                <w:spacing w:val="-2"/>
                <w:w w:val="105"/>
                <w:sz w:val="13"/>
              </w:rPr>
              <w:t>$'000</w:t>
            </w:r>
          </w:p>
        </w:tc>
      </w:tr>
      <w:tr>
        <w:trPr>
          <w:trHeight w:val="156" w:hRule="atLeast"/>
        </w:trPr>
        <w:tc>
          <w:tcPr>
            <w:tcW w:w="441" w:type="dxa"/>
          </w:tcPr>
          <w:p>
            <w:pPr>
              <w:pStyle w:val="TableParagraph"/>
              <w:rPr>
                <w:rFonts w:ascii="Times New Roman"/>
                <w:sz w:val="10"/>
              </w:rPr>
            </w:pPr>
          </w:p>
        </w:tc>
        <w:tc>
          <w:tcPr>
            <w:tcW w:w="4874" w:type="dxa"/>
          </w:tcPr>
          <w:p>
            <w:pPr>
              <w:pStyle w:val="TableParagraph"/>
              <w:spacing w:line="137" w:lineRule="exact"/>
              <w:ind w:left="215"/>
              <w:rPr>
                <w:sz w:val="13"/>
              </w:rPr>
            </w:pPr>
            <w:r>
              <w:rPr>
                <w:spacing w:val="-2"/>
                <w:w w:val="105"/>
                <w:sz w:val="13"/>
              </w:rPr>
              <w:t>Short-term</w:t>
            </w:r>
            <w:r>
              <w:rPr>
                <w:spacing w:val="7"/>
                <w:w w:val="105"/>
                <w:sz w:val="13"/>
              </w:rPr>
              <w:t> </w:t>
            </w:r>
            <w:r>
              <w:rPr>
                <w:spacing w:val="-2"/>
                <w:w w:val="105"/>
                <w:sz w:val="13"/>
              </w:rPr>
              <w:t>employee</w:t>
            </w:r>
            <w:r>
              <w:rPr>
                <w:spacing w:val="5"/>
                <w:w w:val="105"/>
                <w:sz w:val="13"/>
              </w:rPr>
              <w:t> </w:t>
            </w:r>
            <w:r>
              <w:rPr>
                <w:spacing w:val="-2"/>
                <w:w w:val="105"/>
                <w:sz w:val="13"/>
              </w:rPr>
              <w:t>benefits</w:t>
            </w:r>
          </w:p>
        </w:tc>
        <w:tc>
          <w:tcPr>
            <w:tcW w:w="841" w:type="dxa"/>
            <w:gridSpan w:val="2"/>
            <w:tcBorders>
              <w:top w:val="single" w:sz="6" w:space="0" w:color="000000"/>
            </w:tcBorders>
          </w:tcPr>
          <w:p>
            <w:pPr>
              <w:pStyle w:val="TableParagraph"/>
              <w:spacing w:line="137" w:lineRule="exact"/>
              <w:ind w:left="506" w:right="-15"/>
              <w:rPr>
                <w:sz w:val="13"/>
              </w:rPr>
            </w:pPr>
            <w:r>
              <w:rPr>
                <w:spacing w:val="-2"/>
                <w:w w:val="105"/>
                <w:sz w:val="13"/>
              </w:rPr>
              <w:t>1,379</w:t>
            </w:r>
          </w:p>
        </w:tc>
        <w:tc>
          <w:tcPr>
            <w:tcW w:w="1002" w:type="dxa"/>
            <w:gridSpan w:val="2"/>
            <w:tcBorders>
              <w:top w:val="single" w:sz="6" w:space="0" w:color="000000"/>
            </w:tcBorders>
          </w:tcPr>
          <w:p>
            <w:pPr>
              <w:pStyle w:val="TableParagraph"/>
              <w:spacing w:line="137" w:lineRule="exact"/>
              <w:ind w:left="581"/>
              <w:rPr>
                <w:sz w:val="13"/>
              </w:rPr>
            </w:pPr>
            <w:r>
              <w:rPr>
                <w:spacing w:val="-2"/>
                <w:w w:val="105"/>
                <w:sz w:val="13"/>
              </w:rPr>
              <w:t>1,425</w:t>
            </w:r>
          </w:p>
        </w:tc>
        <w:tc>
          <w:tcPr>
            <w:tcW w:w="884" w:type="dxa"/>
            <w:gridSpan w:val="2"/>
            <w:tcBorders>
              <w:top w:val="single" w:sz="6" w:space="0" w:color="000000"/>
            </w:tcBorders>
          </w:tcPr>
          <w:p>
            <w:pPr>
              <w:pStyle w:val="TableParagraph"/>
              <w:spacing w:line="137" w:lineRule="exact"/>
              <w:ind w:left="495"/>
              <w:rPr>
                <w:sz w:val="13"/>
              </w:rPr>
            </w:pPr>
            <w:r>
              <w:rPr>
                <w:spacing w:val="-2"/>
                <w:w w:val="105"/>
                <w:sz w:val="13"/>
              </w:rPr>
              <w:t>2,591</w:t>
            </w:r>
          </w:p>
        </w:tc>
        <w:tc>
          <w:tcPr>
            <w:tcW w:w="932" w:type="dxa"/>
            <w:gridSpan w:val="2"/>
            <w:tcBorders>
              <w:top w:val="single" w:sz="6" w:space="0" w:color="000000"/>
            </w:tcBorders>
          </w:tcPr>
          <w:p>
            <w:pPr>
              <w:pStyle w:val="TableParagraph"/>
              <w:spacing w:line="137" w:lineRule="exact"/>
              <w:ind w:left="527"/>
              <w:rPr>
                <w:sz w:val="13"/>
              </w:rPr>
            </w:pPr>
            <w:r>
              <w:rPr>
                <w:spacing w:val="-2"/>
                <w:w w:val="105"/>
                <w:sz w:val="13"/>
              </w:rPr>
              <w:t>3,275</w:t>
            </w:r>
          </w:p>
        </w:tc>
      </w:tr>
      <w:tr>
        <w:trPr>
          <w:trHeight w:val="167" w:hRule="atLeast"/>
        </w:trPr>
        <w:tc>
          <w:tcPr>
            <w:tcW w:w="441" w:type="dxa"/>
          </w:tcPr>
          <w:p>
            <w:pPr>
              <w:pStyle w:val="TableParagraph"/>
              <w:rPr>
                <w:rFonts w:ascii="Times New Roman"/>
                <w:sz w:val="10"/>
              </w:rPr>
            </w:pPr>
          </w:p>
        </w:tc>
        <w:tc>
          <w:tcPr>
            <w:tcW w:w="4874" w:type="dxa"/>
          </w:tcPr>
          <w:p>
            <w:pPr>
              <w:pStyle w:val="TableParagraph"/>
              <w:spacing w:line="138" w:lineRule="exact" w:before="9"/>
              <w:ind w:left="215"/>
              <w:rPr>
                <w:sz w:val="13"/>
              </w:rPr>
            </w:pPr>
            <w:r>
              <w:rPr>
                <w:spacing w:val="-2"/>
                <w:w w:val="105"/>
                <w:sz w:val="13"/>
              </w:rPr>
              <w:t>Post-employment</w:t>
            </w:r>
            <w:r>
              <w:rPr>
                <w:spacing w:val="9"/>
                <w:w w:val="105"/>
                <w:sz w:val="13"/>
              </w:rPr>
              <w:t> </w:t>
            </w:r>
            <w:r>
              <w:rPr>
                <w:spacing w:val="-2"/>
                <w:w w:val="105"/>
                <w:sz w:val="13"/>
              </w:rPr>
              <w:t>benefits</w:t>
            </w:r>
          </w:p>
        </w:tc>
        <w:tc>
          <w:tcPr>
            <w:tcW w:w="841" w:type="dxa"/>
            <w:gridSpan w:val="2"/>
          </w:tcPr>
          <w:p>
            <w:pPr>
              <w:pStyle w:val="TableParagraph"/>
              <w:spacing w:line="138" w:lineRule="exact" w:before="9"/>
              <w:ind w:right="-15"/>
              <w:jc w:val="right"/>
              <w:rPr>
                <w:sz w:val="13"/>
              </w:rPr>
            </w:pPr>
            <w:r>
              <w:rPr>
                <w:spacing w:val="-5"/>
                <w:w w:val="105"/>
                <w:sz w:val="13"/>
              </w:rPr>
              <w:t>116</w:t>
            </w:r>
          </w:p>
        </w:tc>
        <w:tc>
          <w:tcPr>
            <w:tcW w:w="1002" w:type="dxa"/>
            <w:gridSpan w:val="2"/>
          </w:tcPr>
          <w:p>
            <w:pPr>
              <w:pStyle w:val="TableParagraph"/>
              <w:spacing w:line="138" w:lineRule="exact" w:before="9"/>
              <w:ind w:right="81"/>
              <w:jc w:val="right"/>
              <w:rPr>
                <w:sz w:val="13"/>
              </w:rPr>
            </w:pPr>
            <w:r>
              <w:rPr>
                <w:spacing w:val="-5"/>
                <w:w w:val="105"/>
                <w:sz w:val="13"/>
              </w:rPr>
              <w:t>104</w:t>
            </w:r>
          </w:p>
        </w:tc>
        <w:tc>
          <w:tcPr>
            <w:tcW w:w="884" w:type="dxa"/>
            <w:gridSpan w:val="2"/>
          </w:tcPr>
          <w:p>
            <w:pPr>
              <w:pStyle w:val="TableParagraph"/>
              <w:spacing w:line="138" w:lineRule="exact" w:before="9"/>
              <w:ind w:right="49"/>
              <w:jc w:val="right"/>
              <w:rPr>
                <w:sz w:val="13"/>
              </w:rPr>
            </w:pPr>
            <w:r>
              <w:rPr>
                <w:spacing w:val="-5"/>
                <w:w w:val="105"/>
                <w:sz w:val="13"/>
              </w:rPr>
              <w:t>560</w:t>
            </w:r>
          </w:p>
        </w:tc>
        <w:tc>
          <w:tcPr>
            <w:tcW w:w="932" w:type="dxa"/>
            <w:gridSpan w:val="2"/>
          </w:tcPr>
          <w:p>
            <w:pPr>
              <w:pStyle w:val="TableParagraph"/>
              <w:spacing w:line="138" w:lineRule="exact" w:before="9"/>
              <w:ind w:right="65"/>
              <w:jc w:val="right"/>
              <w:rPr>
                <w:sz w:val="13"/>
              </w:rPr>
            </w:pPr>
            <w:r>
              <w:rPr>
                <w:spacing w:val="-5"/>
                <w:w w:val="105"/>
                <w:sz w:val="13"/>
              </w:rPr>
              <w:t>636</w:t>
            </w:r>
          </w:p>
        </w:tc>
      </w:tr>
      <w:tr>
        <w:trPr>
          <w:trHeight w:val="167" w:hRule="atLeast"/>
        </w:trPr>
        <w:tc>
          <w:tcPr>
            <w:tcW w:w="441" w:type="dxa"/>
          </w:tcPr>
          <w:p>
            <w:pPr>
              <w:pStyle w:val="TableParagraph"/>
              <w:rPr>
                <w:rFonts w:ascii="Times New Roman"/>
                <w:sz w:val="10"/>
              </w:rPr>
            </w:pPr>
          </w:p>
        </w:tc>
        <w:tc>
          <w:tcPr>
            <w:tcW w:w="4874" w:type="dxa"/>
          </w:tcPr>
          <w:p>
            <w:pPr>
              <w:pStyle w:val="TableParagraph"/>
              <w:spacing w:line="138" w:lineRule="exact" w:before="9"/>
              <w:ind w:left="215"/>
              <w:rPr>
                <w:sz w:val="13"/>
              </w:rPr>
            </w:pPr>
            <w:r>
              <w:rPr>
                <w:w w:val="105"/>
                <w:sz w:val="13"/>
              </w:rPr>
              <w:t>Other</w:t>
            </w:r>
            <w:r>
              <w:rPr>
                <w:spacing w:val="-8"/>
                <w:w w:val="105"/>
                <w:sz w:val="13"/>
              </w:rPr>
              <w:t> </w:t>
            </w:r>
            <w:r>
              <w:rPr>
                <w:w w:val="105"/>
                <w:sz w:val="13"/>
              </w:rPr>
              <w:t>long-term</w:t>
            </w:r>
            <w:r>
              <w:rPr>
                <w:spacing w:val="-7"/>
                <w:w w:val="105"/>
                <w:sz w:val="13"/>
              </w:rPr>
              <w:t> </w:t>
            </w:r>
            <w:r>
              <w:rPr>
                <w:spacing w:val="-2"/>
                <w:w w:val="105"/>
                <w:sz w:val="13"/>
              </w:rPr>
              <w:t>benefits</w:t>
            </w:r>
          </w:p>
        </w:tc>
        <w:tc>
          <w:tcPr>
            <w:tcW w:w="841" w:type="dxa"/>
            <w:gridSpan w:val="2"/>
          </w:tcPr>
          <w:p>
            <w:pPr>
              <w:pStyle w:val="TableParagraph"/>
              <w:spacing w:line="138" w:lineRule="exact" w:before="9"/>
              <w:ind w:right="-15"/>
              <w:jc w:val="right"/>
              <w:rPr>
                <w:sz w:val="13"/>
              </w:rPr>
            </w:pPr>
            <w:r>
              <w:rPr>
                <w:spacing w:val="-5"/>
                <w:w w:val="105"/>
                <w:sz w:val="13"/>
              </w:rPr>
              <w:t>142</w:t>
            </w:r>
          </w:p>
        </w:tc>
        <w:tc>
          <w:tcPr>
            <w:tcW w:w="1002" w:type="dxa"/>
            <w:gridSpan w:val="2"/>
          </w:tcPr>
          <w:p>
            <w:pPr>
              <w:pStyle w:val="TableParagraph"/>
              <w:spacing w:line="138" w:lineRule="exact" w:before="9"/>
              <w:ind w:right="81"/>
              <w:jc w:val="right"/>
              <w:rPr>
                <w:sz w:val="13"/>
              </w:rPr>
            </w:pPr>
            <w:r>
              <w:rPr>
                <w:spacing w:val="-5"/>
                <w:w w:val="105"/>
                <w:sz w:val="13"/>
              </w:rPr>
              <w:t>167</w:t>
            </w:r>
          </w:p>
        </w:tc>
        <w:tc>
          <w:tcPr>
            <w:tcW w:w="884" w:type="dxa"/>
            <w:gridSpan w:val="2"/>
          </w:tcPr>
          <w:p>
            <w:pPr>
              <w:pStyle w:val="TableParagraph"/>
              <w:spacing w:line="138" w:lineRule="exact" w:before="9"/>
              <w:ind w:right="49"/>
              <w:jc w:val="right"/>
              <w:rPr>
                <w:sz w:val="13"/>
              </w:rPr>
            </w:pPr>
            <w:r>
              <w:rPr>
                <w:spacing w:val="-5"/>
                <w:w w:val="105"/>
                <w:sz w:val="13"/>
              </w:rPr>
              <w:t>305</w:t>
            </w:r>
          </w:p>
        </w:tc>
        <w:tc>
          <w:tcPr>
            <w:tcW w:w="932" w:type="dxa"/>
            <w:gridSpan w:val="2"/>
          </w:tcPr>
          <w:p>
            <w:pPr>
              <w:pStyle w:val="TableParagraph"/>
              <w:spacing w:line="138" w:lineRule="exact" w:before="9"/>
              <w:ind w:right="65"/>
              <w:jc w:val="right"/>
              <w:rPr>
                <w:sz w:val="13"/>
              </w:rPr>
            </w:pPr>
            <w:r>
              <w:rPr>
                <w:spacing w:val="-5"/>
                <w:w w:val="105"/>
                <w:sz w:val="13"/>
              </w:rPr>
              <w:t>424</w:t>
            </w:r>
          </w:p>
        </w:tc>
      </w:tr>
      <w:tr>
        <w:trPr>
          <w:trHeight w:val="163" w:hRule="atLeast"/>
        </w:trPr>
        <w:tc>
          <w:tcPr>
            <w:tcW w:w="441" w:type="dxa"/>
          </w:tcPr>
          <w:p>
            <w:pPr>
              <w:pStyle w:val="TableParagraph"/>
              <w:rPr>
                <w:rFonts w:ascii="Times New Roman"/>
                <w:sz w:val="10"/>
              </w:rPr>
            </w:pPr>
          </w:p>
        </w:tc>
        <w:tc>
          <w:tcPr>
            <w:tcW w:w="4874" w:type="dxa"/>
          </w:tcPr>
          <w:p>
            <w:pPr>
              <w:pStyle w:val="TableParagraph"/>
              <w:spacing w:line="134" w:lineRule="exact" w:before="9"/>
              <w:ind w:left="215"/>
              <w:rPr>
                <w:sz w:val="13"/>
              </w:rPr>
            </w:pPr>
            <w:r>
              <w:rPr>
                <w:spacing w:val="-2"/>
                <w:w w:val="105"/>
                <w:sz w:val="13"/>
              </w:rPr>
              <w:t>Termination</w:t>
            </w:r>
            <w:r>
              <w:rPr>
                <w:spacing w:val="11"/>
                <w:w w:val="105"/>
                <w:sz w:val="13"/>
              </w:rPr>
              <w:t> </w:t>
            </w:r>
            <w:r>
              <w:rPr>
                <w:spacing w:val="-2"/>
                <w:w w:val="105"/>
                <w:sz w:val="13"/>
              </w:rPr>
              <w:t>benefits</w:t>
            </w:r>
          </w:p>
        </w:tc>
        <w:tc>
          <w:tcPr>
            <w:tcW w:w="841" w:type="dxa"/>
            <w:gridSpan w:val="2"/>
            <w:tcBorders>
              <w:bottom w:val="single" w:sz="6" w:space="0" w:color="000000"/>
            </w:tcBorders>
          </w:tcPr>
          <w:p>
            <w:pPr>
              <w:pStyle w:val="TableParagraph"/>
              <w:rPr>
                <w:rFonts w:ascii="Times New Roman"/>
                <w:sz w:val="10"/>
              </w:rPr>
            </w:pPr>
          </w:p>
        </w:tc>
        <w:tc>
          <w:tcPr>
            <w:tcW w:w="1002" w:type="dxa"/>
            <w:gridSpan w:val="2"/>
            <w:tcBorders>
              <w:bottom w:val="single" w:sz="6" w:space="0" w:color="000000"/>
            </w:tcBorders>
          </w:tcPr>
          <w:p>
            <w:pPr>
              <w:pStyle w:val="TableParagraph"/>
              <w:tabs>
                <w:tab w:pos="881" w:val="left" w:leader="none"/>
              </w:tabs>
              <w:spacing w:line="130" w:lineRule="exact" w:before="13"/>
              <w:ind w:left="3"/>
              <w:rPr>
                <w:sz w:val="13"/>
              </w:rPr>
            </w:pPr>
            <w:r>
              <w:rPr>
                <w:spacing w:val="-10"/>
                <w:w w:val="105"/>
                <w:sz w:val="13"/>
              </w:rPr>
              <w:t>-</w:t>
            </w:r>
            <w:r>
              <w:rPr>
                <w:sz w:val="13"/>
              </w:rPr>
              <w:tab/>
            </w:r>
            <w:r>
              <w:rPr>
                <w:spacing w:val="-10"/>
                <w:w w:val="105"/>
                <w:sz w:val="13"/>
              </w:rPr>
              <w:t>-</w:t>
            </w:r>
          </w:p>
        </w:tc>
        <w:tc>
          <w:tcPr>
            <w:tcW w:w="884" w:type="dxa"/>
            <w:gridSpan w:val="2"/>
            <w:tcBorders>
              <w:bottom w:val="single" w:sz="6" w:space="0" w:color="000000"/>
            </w:tcBorders>
          </w:tcPr>
          <w:p>
            <w:pPr>
              <w:pStyle w:val="TableParagraph"/>
              <w:spacing w:line="130" w:lineRule="exact" w:before="13"/>
              <w:ind w:right="49"/>
              <w:jc w:val="right"/>
              <w:rPr>
                <w:sz w:val="13"/>
              </w:rPr>
            </w:pPr>
            <w:r>
              <w:rPr>
                <w:spacing w:val="-5"/>
                <w:w w:val="105"/>
                <w:sz w:val="13"/>
              </w:rPr>
              <w:t>950</w:t>
            </w:r>
          </w:p>
        </w:tc>
        <w:tc>
          <w:tcPr>
            <w:tcW w:w="932" w:type="dxa"/>
            <w:gridSpan w:val="2"/>
            <w:tcBorders>
              <w:bottom w:val="single" w:sz="6" w:space="0" w:color="000000"/>
            </w:tcBorders>
          </w:tcPr>
          <w:p>
            <w:pPr>
              <w:pStyle w:val="TableParagraph"/>
              <w:spacing w:line="130" w:lineRule="exact" w:before="13"/>
              <w:ind w:right="57"/>
              <w:jc w:val="right"/>
              <w:rPr>
                <w:sz w:val="13"/>
              </w:rPr>
            </w:pPr>
            <w:r>
              <w:rPr>
                <w:spacing w:val="-10"/>
                <w:w w:val="105"/>
                <w:sz w:val="13"/>
              </w:rPr>
              <w:t>-</w:t>
            </w:r>
          </w:p>
        </w:tc>
      </w:tr>
      <w:tr>
        <w:trPr>
          <w:trHeight w:val="152" w:hRule="atLeast"/>
        </w:trPr>
        <w:tc>
          <w:tcPr>
            <w:tcW w:w="441" w:type="dxa"/>
          </w:tcPr>
          <w:p>
            <w:pPr>
              <w:pStyle w:val="TableParagraph"/>
              <w:rPr>
                <w:rFonts w:ascii="Times New Roman"/>
                <w:sz w:val="8"/>
              </w:rPr>
            </w:pPr>
          </w:p>
        </w:tc>
        <w:tc>
          <w:tcPr>
            <w:tcW w:w="4874" w:type="dxa"/>
          </w:tcPr>
          <w:p>
            <w:pPr>
              <w:pStyle w:val="TableParagraph"/>
              <w:spacing w:line="133" w:lineRule="exact"/>
              <w:ind w:left="215"/>
              <w:rPr>
                <w:b/>
                <w:sz w:val="13"/>
              </w:rPr>
            </w:pPr>
            <w:r>
              <w:rPr>
                <w:b/>
                <w:w w:val="105"/>
                <w:sz w:val="13"/>
              </w:rPr>
              <w:t>Total</w:t>
            </w:r>
            <w:r>
              <w:rPr>
                <w:b/>
                <w:spacing w:val="-7"/>
                <w:w w:val="105"/>
                <w:sz w:val="13"/>
              </w:rPr>
              <w:t> </w:t>
            </w:r>
            <w:r>
              <w:rPr>
                <w:b/>
                <w:w w:val="105"/>
                <w:sz w:val="13"/>
              </w:rPr>
              <w:t>remuneration</w:t>
            </w:r>
            <w:r>
              <w:rPr>
                <w:b/>
                <w:spacing w:val="-6"/>
                <w:w w:val="105"/>
                <w:sz w:val="13"/>
              </w:rPr>
              <w:t> </w:t>
            </w:r>
            <w:r>
              <w:rPr>
                <w:b/>
                <w:w w:val="105"/>
                <w:sz w:val="13"/>
              </w:rPr>
              <w:t>of</w:t>
            </w:r>
            <w:r>
              <w:rPr>
                <w:b/>
                <w:spacing w:val="-6"/>
                <w:w w:val="105"/>
                <w:sz w:val="13"/>
              </w:rPr>
              <w:t> </w:t>
            </w:r>
            <w:r>
              <w:rPr>
                <w:b/>
                <w:w w:val="105"/>
                <w:sz w:val="13"/>
              </w:rPr>
              <w:t>key</w:t>
            </w:r>
            <w:r>
              <w:rPr>
                <w:b/>
                <w:spacing w:val="-6"/>
                <w:w w:val="105"/>
                <w:sz w:val="13"/>
              </w:rPr>
              <w:t> </w:t>
            </w:r>
            <w:r>
              <w:rPr>
                <w:b/>
                <w:w w:val="105"/>
                <w:sz w:val="13"/>
              </w:rPr>
              <w:t>management</w:t>
            </w:r>
            <w:r>
              <w:rPr>
                <w:b/>
                <w:spacing w:val="-6"/>
                <w:w w:val="105"/>
                <w:sz w:val="13"/>
              </w:rPr>
              <w:t> </w:t>
            </w:r>
            <w:r>
              <w:rPr>
                <w:b/>
                <w:spacing w:val="-2"/>
                <w:w w:val="105"/>
                <w:sz w:val="13"/>
              </w:rPr>
              <w:t>personnel</w:t>
            </w:r>
          </w:p>
        </w:tc>
        <w:tc>
          <w:tcPr>
            <w:tcW w:w="841" w:type="dxa"/>
            <w:gridSpan w:val="2"/>
            <w:tcBorders>
              <w:top w:val="single" w:sz="6" w:space="0" w:color="000000"/>
              <w:bottom w:val="single" w:sz="6" w:space="0" w:color="000000"/>
            </w:tcBorders>
          </w:tcPr>
          <w:p>
            <w:pPr>
              <w:pStyle w:val="TableParagraph"/>
              <w:spacing w:line="133" w:lineRule="exact"/>
              <w:ind w:left="506" w:right="-15"/>
              <w:rPr>
                <w:b/>
                <w:sz w:val="13"/>
              </w:rPr>
            </w:pPr>
            <w:r>
              <w:rPr>
                <w:b/>
                <w:spacing w:val="-2"/>
                <w:w w:val="105"/>
                <w:sz w:val="13"/>
              </w:rPr>
              <w:t>1,637</w:t>
            </w:r>
          </w:p>
        </w:tc>
        <w:tc>
          <w:tcPr>
            <w:tcW w:w="1002" w:type="dxa"/>
            <w:gridSpan w:val="2"/>
            <w:tcBorders>
              <w:top w:val="single" w:sz="6" w:space="0" w:color="000000"/>
              <w:bottom w:val="single" w:sz="6" w:space="0" w:color="000000"/>
            </w:tcBorders>
          </w:tcPr>
          <w:p>
            <w:pPr>
              <w:pStyle w:val="TableParagraph"/>
              <w:spacing w:line="133" w:lineRule="exact"/>
              <w:ind w:left="581"/>
              <w:rPr>
                <w:b/>
                <w:sz w:val="13"/>
              </w:rPr>
            </w:pPr>
            <w:r>
              <w:rPr>
                <w:b/>
                <w:spacing w:val="-2"/>
                <w:w w:val="105"/>
                <w:sz w:val="13"/>
              </w:rPr>
              <w:t>1,696</w:t>
            </w:r>
          </w:p>
        </w:tc>
        <w:tc>
          <w:tcPr>
            <w:tcW w:w="884" w:type="dxa"/>
            <w:gridSpan w:val="2"/>
            <w:tcBorders>
              <w:top w:val="single" w:sz="6" w:space="0" w:color="000000"/>
              <w:bottom w:val="single" w:sz="6" w:space="0" w:color="000000"/>
            </w:tcBorders>
          </w:tcPr>
          <w:p>
            <w:pPr>
              <w:pStyle w:val="TableParagraph"/>
              <w:spacing w:line="133" w:lineRule="exact"/>
              <w:ind w:left="495"/>
              <w:rPr>
                <w:b/>
                <w:sz w:val="13"/>
              </w:rPr>
            </w:pPr>
            <w:r>
              <w:rPr>
                <w:b/>
                <w:spacing w:val="-2"/>
                <w:w w:val="105"/>
                <w:sz w:val="13"/>
              </w:rPr>
              <w:t>4,406</w:t>
            </w:r>
          </w:p>
        </w:tc>
        <w:tc>
          <w:tcPr>
            <w:tcW w:w="932" w:type="dxa"/>
            <w:gridSpan w:val="2"/>
            <w:tcBorders>
              <w:top w:val="single" w:sz="6" w:space="0" w:color="000000"/>
              <w:bottom w:val="single" w:sz="6" w:space="0" w:color="000000"/>
            </w:tcBorders>
          </w:tcPr>
          <w:p>
            <w:pPr>
              <w:pStyle w:val="TableParagraph"/>
              <w:spacing w:line="133" w:lineRule="exact"/>
              <w:ind w:left="527"/>
              <w:rPr>
                <w:b/>
                <w:sz w:val="13"/>
              </w:rPr>
            </w:pPr>
            <w:r>
              <w:rPr>
                <w:b/>
                <w:spacing w:val="-2"/>
                <w:w w:val="105"/>
                <w:sz w:val="13"/>
              </w:rPr>
              <w:t>4,335</w:t>
            </w:r>
          </w:p>
        </w:tc>
      </w:tr>
      <w:tr>
        <w:trPr>
          <w:trHeight w:val="351" w:hRule="atLeast"/>
        </w:trPr>
        <w:tc>
          <w:tcPr>
            <w:tcW w:w="8974" w:type="dxa"/>
            <w:gridSpan w:val="10"/>
          </w:tcPr>
          <w:p>
            <w:pPr>
              <w:pStyle w:val="TableParagraph"/>
              <w:tabs>
                <w:tab w:pos="7242" w:val="left" w:leader="none"/>
              </w:tabs>
              <w:spacing w:line="165" w:lineRule="exact" w:before="167"/>
              <w:ind w:left="5585"/>
              <w:rPr>
                <w:b/>
                <w:sz w:val="16"/>
              </w:rPr>
            </w:pPr>
            <w:r>
              <w:rPr>
                <w:b/>
                <w:sz w:val="16"/>
              </w:rPr>
              <w:t>Senate</w:t>
            </w:r>
            <w:r>
              <w:rPr>
                <w:b/>
                <w:spacing w:val="7"/>
                <w:sz w:val="16"/>
              </w:rPr>
              <w:t> </w:t>
            </w:r>
            <w:r>
              <w:rPr>
                <w:b/>
                <w:spacing w:val="-2"/>
                <w:sz w:val="16"/>
              </w:rPr>
              <w:t>members</w:t>
            </w:r>
            <w:r>
              <w:rPr>
                <w:b/>
                <w:sz w:val="16"/>
              </w:rPr>
              <w:tab/>
              <w:t>University </w:t>
            </w:r>
            <w:r>
              <w:rPr>
                <w:b/>
                <w:spacing w:val="-2"/>
                <w:sz w:val="16"/>
              </w:rPr>
              <w:t>executives</w:t>
            </w:r>
          </w:p>
        </w:tc>
      </w:tr>
      <w:tr>
        <w:trPr>
          <w:trHeight w:val="355" w:hRule="atLeast"/>
        </w:trPr>
        <w:tc>
          <w:tcPr>
            <w:tcW w:w="441" w:type="dxa"/>
          </w:tcPr>
          <w:p>
            <w:pPr>
              <w:pStyle w:val="TableParagraph"/>
              <w:spacing w:before="31"/>
              <w:ind w:right="172"/>
              <w:jc w:val="center"/>
              <w:rPr>
                <w:b/>
                <w:sz w:val="13"/>
              </w:rPr>
            </w:pPr>
            <w:r>
              <w:rPr>
                <w:b/>
                <w:spacing w:val="-5"/>
                <w:w w:val="105"/>
                <w:sz w:val="13"/>
              </w:rPr>
              <w:t>(c)</w:t>
            </w:r>
          </w:p>
        </w:tc>
        <w:tc>
          <w:tcPr>
            <w:tcW w:w="4874" w:type="dxa"/>
          </w:tcPr>
          <w:p>
            <w:pPr>
              <w:pStyle w:val="TableParagraph"/>
              <w:spacing w:before="44"/>
              <w:ind w:left="215"/>
              <w:rPr>
                <w:b/>
                <w:sz w:val="13"/>
              </w:rPr>
            </w:pPr>
            <w:r>
              <w:rPr>
                <w:b/>
                <w:w w:val="105"/>
                <w:sz w:val="13"/>
              </w:rPr>
              <w:t>Remuneration</w:t>
            </w:r>
            <w:r>
              <w:rPr>
                <w:b/>
                <w:spacing w:val="-6"/>
                <w:w w:val="105"/>
                <w:sz w:val="13"/>
              </w:rPr>
              <w:t> </w:t>
            </w:r>
            <w:r>
              <w:rPr>
                <w:b/>
                <w:w w:val="105"/>
                <w:sz w:val="13"/>
              </w:rPr>
              <w:t>of</w:t>
            </w:r>
            <w:r>
              <w:rPr>
                <w:b/>
                <w:spacing w:val="-6"/>
                <w:w w:val="105"/>
                <w:sz w:val="13"/>
              </w:rPr>
              <w:t> </w:t>
            </w:r>
            <w:r>
              <w:rPr>
                <w:b/>
                <w:w w:val="105"/>
                <w:sz w:val="13"/>
              </w:rPr>
              <w:t>the</w:t>
            </w:r>
            <w:r>
              <w:rPr>
                <w:b/>
                <w:spacing w:val="-7"/>
                <w:w w:val="105"/>
                <w:sz w:val="13"/>
              </w:rPr>
              <w:t> </w:t>
            </w:r>
            <w:r>
              <w:rPr>
                <w:b/>
                <w:w w:val="105"/>
                <w:sz w:val="13"/>
              </w:rPr>
              <w:t>University's</w:t>
            </w:r>
            <w:r>
              <w:rPr>
                <w:b/>
                <w:spacing w:val="-6"/>
                <w:w w:val="105"/>
                <w:sz w:val="13"/>
              </w:rPr>
              <w:t> </w:t>
            </w:r>
            <w:r>
              <w:rPr>
                <w:b/>
                <w:w w:val="105"/>
                <w:sz w:val="13"/>
              </w:rPr>
              <w:t>Senate</w:t>
            </w:r>
            <w:r>
              <w:rPr>
                <w:b/>
                <w:spacing w:val="-7"/>
                <w:w w:val="105"/>
                <w:sz w:val="13"/>
              </w:rPr>
              <w:t> </w:t>
            </w:r>
            <w:r>
              <w:rPr>
                <w:b/>
                <w:w w:val="105"/>
                <w:sz w:val="13"/>
              </w:rPr>
              <w:t>members</w:t>
            </w:r>
            <w:r>
              <w:rPr>
                <w:b/>
                <w:spacing w:val="-7"/>
                <w:w w:val="105"/>
                <w:sz w:val="13"/>
              </w:rPr>
              <w:t> </w:t>
            </w:r>
            <w:r>
              <w:rPr>
                <w:b/>
                <w:w w:val="105"/>
                <w:sz w:val="13"/>
              </w:rPr>
              <w:t>and</w:t>
            </w:r>
            <w:r>
              <w:rPr>
                <w:b/>
                <w:spacing w:val="-6"/>
                <w:w w:val="105"/>
                <w:sz w:val="13"/>
              </w:rPr>
              <w:t> </w:t>
            </w:r>
            <w:r>
              <w:rPr>
                <w:b/>
                <w:spacing w:val="-2"/>
                <w:w w:val="105"/>
                <w:sz w:val="13"/>
              </w:rPr>
              <w:t>executives</w:t>
            </w:r>
            <w:r>
              <w:rPr>
                <w:b/>
                <w:spacing w:val="-2"/>
                <w:w w:val="105"/>
                <w:sz w:val="13"/>
                <w:vertAlign w:val="superscript"/>
              </w:rPr>
              <w:t>#</w:t>
            </w:r>
          </w:p>
        </w:tc>
        <w:tc>
          <w:tcPr>
            <w:tcW w:w="638" w:type="dxa"/>
            <w:tcBorders>
              <w:bottom w:val="single" w:sz="6" w:space="0" w:color="000000"/>
            </w:tcBorders>
          </w:tcPr>
          <w:p>
            <w:pPr>
              <w:pStyle w:val="TableParagraph"/>
              <w:spacing w:before="33"/>
              <w:ind w:right="21"/>
              <w:jc w:val="right"/>
              <w:rPr>
                <w:b/>
                <w:sz w:val="13"/>
              </w:rPr>
            </w:pPr>
            <w:r>
              <w:rPr>
                <w:b/>
                <w:spacing w:val="-4"/>
                <w:w w:val="105"/>
                <w:sz w:val="13"/>
              </w:rPr>
              <w:t>2020</w:t>
            </w:r>
          </w:p>
        </w:tc>
        <w:tc>
          <w:tcPr>
            <w:tcW w:w="564" w:type="dxa"/>
            <w:gridSpan w:val="2"/>
            <w:tcBorders>
              <w:bottom w:val="single" w:sz="6" w:space="0" w:color="000000"/>
            </w:tcBorders>
          </w:tcPr>
          <w:p>
            <w:pPr>
              <w:pStyle w:val="TableParagraph"/>
              <w:spacing w:before="51"/>
              <w:rPr>
                <w:sz w:val="13"/>
              </w:rPr>
            </w:pPr>
          </w:p>
          <w:p>
            <w:pPr>
              <w:pStyle w:val="TableParagraph"/>
              <w:spacing w:line="134" w:lineRule="exact"/>
              <w:ind w:left="27"/>
              <w:rPr>
                <w:b/>
                <w:sz w:val="13"/>
              </w:rPr>
            </w:pPr>
            <w:r>
              <w:rPr>
                <w:b/>
                <w:spacing w:val="-2"/>
                <w:w w:val="105"/>
                <w:sz w:val="13"/>
              </w:rPr>
              <w:t>Number</w:t>
            </w:r>
          </w:p>
        </w:tc>
        <w:tc>
          <w:tcPr>
            <w:tcW w:w="641" w:type="dxa"/>
            <w:tcBorders>
              <w:bottom w:val="single" w:sz="6" w:space="0" w:color="000000"/>
            </w:tcBorders>
          </w:tcPr>
          <w:p>
            <w:pPr>
              <w:pStyle w:val="TableParagraph"/>
              <w:spacing w:before="33"/>
              <w:ind w:left="28"/>
              <w:rPr>
                <w:b/>
                <w:sz w:val="13"/>
              </w:rPr>
            </w:pPr>
            <w:r>
              <w:rPr>
                <w:b/>
                <w:spacing w:val="-4"/>
                <w:w w:val="105"/>
                <w:sz w:val="13"/>
              </w:rPr>
              <w:t>2019</w:t>
            </w:r>
          </w:p>
        </w:tc>
        <w:tc>
          <w:tcPr>
            <w:tcW w:w="623" w:type="dxa"/>
            <w:tcBorders>
              <w:bottom w:val="single" w:sz="6" w:space="0" w:color="000000"/>
            </w:tcBorders>
          </w:tcPr>
          <w:p>
            <w:pPr>
              <w:pStyle w:val="TableParagraph"/>
              <w:spacing w:before="33"/>
              <w:ind w:right="17"/>
              <w:jc w:val="right"/>
              <w:rPr>
                <w:b/>
                <w:sz w:val="13"/>
              </w:rPr>
            </w:pPr>
            <w:r>
              <w:rPr>
                <w:b/>
                <w:spacing w:val="-4"/>
                <w:w w:val="105"/>
                <w:sz w:val="13"/>
              </w:rPr>
              <w:t>2020</w:t>
            </w:r>
          </w:p>
        </w:tc>
        <w:tc>
          <w:tcPr>
            <w:tcW w:w="565" w:type="dxa"/>
            <w:gridSpan w:val="2"/>
            <w:tcBorders>
              <w:bottom w:val="single" w:sz="6" w:space="0" w:color="000000"/>
            </w:tcBorders>
          </w:tcPr>
          <w:p>
            <w:pPr>
              <w:pStyle w:val="TableParagraph"/>
              <w:spacing w:before="51"/>
              <w:rPr>
                <w:sz w:val="13"/>
              </w:rPr>
            </w:pPr>
          </w:p>
          <w:p>
            <w:pPr>
              <w:pStyle w:val="TableParagraph"/>
              <w:spacing w:line="134" w:lineRule="exact"/>
              <w:ind w:left="30"/>
              <w:rPr>
                <w:b/>
                <w:sz w:val="13"/>
              </w:rPr>
            </w:pPr>
            <w:r>
              <w:rPr>
                <w:b/>
                <w:spacing w:val="-2"/>
                <w:w w:val="105"/>
                <w:sz w:val="13"/>
              </w:rPr>
              <w:t>Number</w:t>
            </w:r>
          </w:p>
        </w:tc>
        <w:tc>
          <w:tcPr>
            <w:tcW w:w="628" w:type="dxa"/>
            <w:tcBorders>
              <w:bottom w:val="single" w:sz="6" w:space="0" w:color="000000"/>
            </w:tcBorders>
          </w:tcPr>
          <w:p>
            <w:pPr>
              <w:pStyle w:val="TableParagraph"/>
              <w:spacing w:before="33"/>
              <w:ind w:right="265"/>
              <w:jc w:val="center"/>
              <w:rPr>
                <w:b/>
                <w:sz w:val="13"/>
              </w:rPr>
            </w:pPr>
            <w:r>
              <w:rPr>
                <w:b/>
                <w:spacing w:val="-4"/>
                <w:w w:val="105"/>
                <w:sz w:val="13"/>
              </w:rPr>
              <w:t>2019</w:t>
            </w:r>
          </w:p>
        </w:tc>
      </w:tr>
      <w:tr>
        <w:trPr>
          <w:trHeight w:val="324" w:hRule="atLeast"/>
        </w:trPr>
        <w:tc>
          <w:tcPr>
            <w:tcW w:w="441" w:type="dxa"/>
          </w:tcPr>
          <w:p>
            <w:pPr>
              <w:pStyle w:val="TableParagraph"/>
              <w:rPr>
                <w:rFonts w:ascii="Times New Roman"/>
                <w:sz w:val="14"/>
              </w:rPr>
            </w:pPr>
          </w:p>
        </w:tc>
        <w:tc>
          <w:tcPr>
            <w:tcW w:w="4874" w:type="dxa"/>
          </w:tcPr>
          <w:p>
            <w:pPr>
              <w:pStyle w:val="TableParagraph"/>
              <w:spacing w:before="16"/>
              <w:rPr>
                <w:sz w:val="13"/>
              </w:rPr>
            </w:pPr>
          </w:p>
          <w:p>
            <w:pPr>
              <w:pStyle w:val="TableParagraph"/>
              <w:spacing w:line="138" w:lineRule="exact" w:before="1"/>
              <w:ind w:left="215"/>
              <w:rPr>
                <w:sz w:val="13"/>
              </w:rPr>
            </w:pPr>
            <w:r>
              <w:rPr>
                <w:w w:val="105"/>
                <w:sz w:val="13"/>
              </w:rPr>
              <w:t>Nil</w:t>
            </w:r>
            <w:r>
              <w:rPr>
                <w:spacing w:val="-2"/>
                <w:w w:val="105"/>
                <w:sz w:val="13"/>
              </w:rPr>
              <w:t> </w:t>
            </w:r>
            <w:r>
              <w:rPr>
                <w:w w:val="105"/>
                <w:sz w:val="13"/>
              </w:rPr>
              <w:t>to</w:t>
            </w:r>
            <w:r>
              <w:rPr>
                <w:spacing w:val="-2"/>
                <w:w w:val="105"/>
                <w:sz w:val="13"/>
              </w:rPr>
              <w:t> $9,999</w:t>
            </w:r>
          </w:p>
        </w:tc>
        <w:tc>
          <w:tcPr>
            <w:tcW w:w="638" w:type="dxa"/>
            <w:tcBorders>
              <w:top w:val="single" w:sz="6" w:space="0" w:color="000000"/>
            </w:tcBorders>
          </w:tcPr>
          <w:p>
            <w:pPr>
              <w:pStyle w:val="TableParagraph"/>
              <w:spacing w:before="16"/>
              <w:rPr>
                <w:sz w:val="13"/>
              </w:rPr>
            </w:pPr>
          </w:p>
          <w:p>
            <w:pPr>
              <w:pStyle w:val="TableParagraph"/>
              <w:spacing w:line="138" w:lineRule="exact" w:before="1"/>
              <w:ind w:left="367"/>
              <w:rPr>
                <w:sz w:val="13"/>
              </w:rPr>
            </w:pPr>
            <w:r>
              <w:rPr>
                <w:spacing w:val="-5"/>
                <w:w w:val="105"/>
                <w:sz w:val="13"/>
              </w:rPr>
              <w:t>15</w:t>
            </w:r>
          </w:p>
        </w:tc>
        <w:tc>
          <w:tcPr>
            <w:tcW w:w="564" w:type="dxa"/>
            <w:gridSpan w:val="2"/>
            <w:tcBorders>
              <w:top w:val="single" w:sz="6" w:space="0" w:color="000000"/>
            </w:tcBorders>
          </w:tcPr>
          <w:p>
            <w:pPr>
              <w:pStyle w:val="TableParagraph"/>
              <w:rPr>
                <w:rFonts w:ascii="Times New Roman"/>
                <w:sz w:val="14"/>
              </w:rPr>
            </w:pPr>
          </w:p>
        </w:tc>
        <w:tc>
          <w:tcPr>
            <w:tcW w:w="641" w:type="dxa"/>
            <w:tcBorders>
              <w:top w:val="single" w:sz="6" w:space="0" w:color="000000"/>
            </w:tcBorders>
          </w:tcPr>
          <w:p>
            <w:pPr>
              <w:pStyle w:val="TableParagraph"/>
              <w:spacing w:before="16"/>
              <w:rPr>
                <w:sz w:val="13"/>
              </w:rPr>
            </w:pPr>
          </w:p>
          <w:p>
            <w:pPr>
              <w:pStyle w:val="TableParagraph"/>
              <w:spacing w:line="138" w:lineRule="exact" w:before="1"/>
              <w:ind w:left="81"/>
              <w:rPr>
                <w:sz w:val="13"/>
              </w:rPr>
            </w:pPr>
            <w:r>
              <w:rPr>
                <w:spacing w:val="-5"/>
                <w:w w:val="105"/>
                <w:sz w:val="13"/>
              </w:rPr>
              <w:t>15</w:t>
            </w:r>
          </w:p>
        </w:tc>
        <w:tc>
          <w:tcPr>
            <w:tcW w:w="623" w:type="dxa"/>
            <w:tcBorders>
              <w:top w:val="single" w:sz="6" w:space="0" w:color="000000"/>
            </w:tcBorders>
          </w:tcPr>
          <w:p>
            <w:pPr>
              <w:pStyle w:val="TableParagraph"/>
              <w:spacing w:before="16"/>
              <w:rPr>
                <w:sz w:val="13"/>
              </w:rPr>
            </w:pPr>
          </w:p>
          <w:p>
            <w:pPr>
              <w:pStyle w:val="TableParagraph"/>
              <w:spacing w:line="138" w:lineRule="exact" w:before="1"/>
              <w:ind w:right="144"/>
              <w:jc w:val="right"/>
              <w:rPr>
                <w:sz w:val="13"/>
              </w:rPr>
            </w:pPr>
            <w:r>
              <w:rPr>
                <w:spacing w:val="-10"/>
                <w:w w:val="105"/>
                <w:sz w:val="13"/>
              </w:rPr>
              <w:t>-</w:t>
            </w:r>
          </w:p>
        </w:tc>
        <w:tc>
          <w:tcPr>
            <w:tcW w:w="565" w:type="dxa"/>
            <w:gridSpan w:val="2"/>
            <w:tcBorders>
              <w:top w:val="single" w:sz="6" w:space="0" w:color="000000"/>
            </w:tcBorders>
          </w:tcPr>
          <w:p>
            <w:pPr>
              <w:pStyle w:val="TableParagraph"/>
              <w:rPr>
                <w:rFonts w:ascii="Times New Roman"/>
                <w:sz w:val="14"/>
              </w:rPr>
            </w:pPr>
          </w:p>
        </w:tc>
        <w:tc>
          <w:tcPr>
            <w:tcW w:w="628" w:type="dxa"/>
            <w:tcBorders>
              <w:top w:val="single" w:sz="6" w:space="0" w:color="000000"/>
            </w:tcBorders>
          </w:tcPr>
          <w:p>
            <w:pPr>
              <w:pStyle w:val="TableParagraph"/>
              <w:spacing w:before="16"/>
              <w:rPr>
                <w:sz w:val="13"/>
              </w:rPr>
            </w:pPr>
          </w:p>
          <w:p>
            <w:pPr>
              <w:pStyle w:val="TableParagraph"/>
              <w:spacing w:line="138" w:lineRule="exact" w:before="1"/>
              <w:ind w:right="262"/>
              <w:jc w:val="center"/>
              <w:rPr>
                <w:sz w:val="13"/>
              </w:rPr>
            </w:pPr>
            <w:r>
              <w:rPr>
                <w:spacing w:val="-10"/>
                <w:w w:val="105"/>
                <w:sz w:val="13"/>
              </w:rPr>
              <w:t>-</w:t>
            </w:r>
          </w:p>
        </w:tc>
      </w:tr>
      <w:tr>
        <w:trPr>
          <w:trHeight w:val="167" w:hRule="atLeast"/>
        </w:trPr>
        <w:tc>
          <w:tcPr>
            <w:tcW w:w="441" w:type="dxa"/>
          </w:tcPr>
          <w:p>
            <w:pPr>
              <w:pStyle w:val="TableParagraph"/>
              <w:rPr>
                <w:rFonts w:ascii="Times New Roman"/>
                <w:sz w:val="10"/>
              </w:rPr>
            </w:pPr>
          </w:p>
        </w:tc>
        <w:tc>
          <w:tcPr>
            <w:tcW w:w="4874" w:type="dxa"/>
          </w:tcPr>
          <w:p>
            <w:pPr>
              <w:pStyle w:val="TableParagraph"/>
              <w:spacing w:line="138" w:lineRule="exact" w:before="9"/>
              <w:ind w:left="215"/>
              <w:rPr>
                <w:sz w:val="13"/>
              </w:rPr>
            </w:pPr>
            <w:r>
              <w:rPr>
                <w:w w:val="105"/>
                <w:sz w:val="13"/>
              </w:rPr>
              <w:t>$20,000</w:t>
            </w:r>
            <w:r>
              <w:rPr>
                <w:spacing w:val="-8"/>
                <w:w w:val="105"/>
                <w:sz w:val="13"/>
              </w:rPr>
              <w:t> </w:t>
            </w:r>
            <w:r>
              <w:rPr>
                <w:w w:val="105"/>
                <w:sz w:val="13"/>
              </w:rPr>
              <w:t>-</w:t>
            </w:r>
            <w:r>
              <w:rPr>
                <w:spacing w:val="-5"/>
                <w:w w:val="105"/>
                <w:sz w:val="13"/>
              </w:rPr>
              <w:t> </w:t>
            </w:r>
            <w:r>
              <w:rPr>
                <w:spacing w:val="-2"/>
                <w:w w:val="105"/>
                <w:sz w:val="13"/>
              </w:rPr>
              <w:t>$29,999</w:t>
            </w:r>
          </w:p>
        </w:tc>
        <w:tc>
          <w:tcPr>
            <w:tcW w:w="638" w:type="dxa"/>
          </w:tcPr>
          <w:p>
            <w:pPr>
              <w:pStyle w:val="TableParagraph"/>
              <w:spacing w:line="138" w:lineRule="exact" w:before="9"/>
              <w:ind w:right="81"/>
              <w:jc w:val="right"/>
              <w:rPr>
                <w:sz w:val="13"/>
              </w:rPr>
            </w:pPr>
            <w:r>
              <w:rPr>
                <w:w w:val="105"/>
                <w:sz w:val="13"/>
              </w:rPr>
              <w:t>1</w:t>
            </w:r>
            <w:r>
              <w:rPr>
                <w:spacing w:val="-2"/>
                <w:w w:val="105"/>
                <w:sz w:val="13"/>
              </w:rPr>
              <w:t> </w:t>
            </w:r>
            <w:r>
              <w:rPr>
                <w:spacing w:val="-10"/>
                <w:w w:val="105"/>
                <w:sz w:val="13"/>
              </w:rPr>
              <w:t>^</w:t>
            </w:r>
          </w:p>
        </w:tc>
        <w:tc>
          <w:tcPr>
            <w:tcW w:w="564" w:type="dxa"/>
            <w:gridSpan w:val="2"/>
          </w:tcPr>
          <w:p>
            <w:pPr>
              <w:pStyle w:val="TableParagraph"/>
              <w:rPr>
                <w:rFonts w:ascii="Times New Roman"/>
                <w:sz w:val="10"/>
              </w:rPr>
            </w:pPr>
          </w:p>
        </w:tc>
        <w:tc>
          <w:tcPr>
            <w:tcW w:w="641" w:type="dxa"/>
          </w:tcPr>
          <w:p>
            <w:pPr>
              <w:pStyle w:val="TableParagraph"/>
              <w:spacing w:line="138" w:lineRule="exact" w:before="9"/>
              <w:ind w:left="156"/>
              <w:rPr>
                <w:sz w:val="13"/>
              </w:rPr>
            </w:pPr>
            <w:r>
              <w:rPr>
                <w:spacing w:val="-10"/>
                <w:w w:val="105"/>
                <w:sz w:val="13"/>
              </w:rPr>
              <w:t>-</w:t>
            </w:r>
          </w:p>
        </w:tc>
        <w:tc>
          <w:tcPr>
            <w:tcW w:w="623" w:type="dxa"/>
          </w:tcPr>
          <w:p>
            <w:pPr>
              <w:pStyle w:val="TableParagraph"/>
              <w:spacing w:line="138" w:lineRule="exact" w:before="9"/>
              <w:ind w:right="144"/>
              <w:jc w:val="right"/>
              <w:rPr>
                <w:sz w:val="13"/>
              </w:rPr>
            </w:pPr>
            <w:r>
              <w:rPr>
                <w:spacing w:val="-10"/>
                <w:w w:val="105"/>
                <w:sz w:val="13"/>
              </w:rPr>
              <w:t>-</w:t>
            </w:r>
          </w:p>
        </w:tc>
        <w:tc>
          <w:tcPr>
            <w:tcW w:w="565" w:type="dxa"/>
            <w:gridSpan w:val="2"/>
          </w:tcPr>
          <w:p>
            <w:pPr>
              <w:pStyle w:val="TableParagraph"/>
              <w:rPr>
                <w:rFonts w:ascii="Times New Roman"/>
                <w:sz w:val="10"/>
              </w:rPr>
            </w:pPr>
          </w:p>
        </w:tc>
        <w:tc>
          <w:tcPr>
            <w:tcW w:w="628" w:type="dxa"/>
          </w:tcPr>
          <w:p>
            <w:pPr>
              <w:pStyle w:val="TableParagraph"/>
              <w:spacing w:line="138" w:lineRule="exact" w:before="9"/>
              <w:ind w:left="6" w:right="265"/>
              <w:jc w:val="center"/>
              <w:rPr>
                <w:sz w:val="13"/>
              </w:rPr>
            </w:pPr>
            <w:r>
              <w:rPr>
                <w:w w:val="105"/>
                <w:sz w:val="13"/>
              </w:rPr>
              <w:t>1</w:t>
            </w:r>
            <w:r>
              <w:rPr>
                <w:spacing w:val="-2"/>
                <w:w w:val="105"/>
                <w:sz w:val="13"/>
              </w:rPr>
              <w:t> </w:t>
            </w:r>
            <w:r>
              <w:rPr>
                <w:spacing w:val="-10"/>
                <w:w w:val="105"/>
                <w:sz w:val="13"/>
              </w:rPr>
              <w:t>^</w:t>
            </w:r>
          </w:p>
        </w:tc>
      </w:tr>
      <w:tr>
        <w:trPr>
          <w:trHeight w:val="167" w:hRule="atLeast"/>
        </w:trPr>
        <w:tc>
          <w:tcPr>
            <w:tcW w:w="441" w:type="dxa"/>
          </w:tcPr>
          <w:p>
            <w:pPr>
              <w:pStyle w:val="TableParagraph"/>
              <w:rPr>
                <w:rFonts w:ascii="Times New Roman"/>
                <w:sz w:val="10"/>
              </w:rPr>
            </w:pPr>
          </w:p>
        </w:tc>
        <w:tc>
          <w:tcPr>
            <w:tcW w:w="4874" w:type="dxa"/>
          </w:tcPr>
          <w:p>
            <w:pPr>
              <w:pStyle w:val="TableParagraph"/>
              <w:spacing w:line="138" w:lineRule="exact" w:before="9"/>
              <w:ind w:left="215"/>
              <w:rPr>
                <w:sz w:val="13"/>
              </w:rPr>
            </w:pPr>
            <w:r>
              <w:rPr>
                <w:w w:val="105"/>
                <w:sz w:val="13"/>
              </w:rPr>
              <w:t>$30,000</w:t>
            </w:r>
            <w:r>
              <w:rPr>
                <w:spacing w:val="-8"/>
                <w:w w:val="105"/>
                <w:sz w:val="13"/>
              </w:rPr>
              <w:t> </w:t>
            </w:r>
            <w:r>
              <w:rPr>
                <w:w w:val="105"/>
                <w:sz w:val="13"/>
              </w:rPr>
              <w:t>-</w:t>
            </w:r>
            <w:r>
              <w:rPr>
                <w:spacing w:val="-5"/>
                <w:w w:val="105"/>
                <w:sz w:val="13"/>
              </w:rPr>
              <w:t> </w:t>
            </w:r>
            <w:r>
              <w:rPr>
                <w:spacing w:val="-2"/>
                <w:w w:val="105"/>
                <w:sz w:val="13"/>
              </w:rPr>
              <w:t>$39,999</w:t>
            </w:r>
          </w:p>
        </w:tc>
        <w:tc>
          <w:tcPr>
            <w:tcW w:w="638" w:type="dxa"/>
          </w:tcPr>
          <w:p>
            <w:pPr>
              <w:pStyle w:val="TableParagraph"/>
              <w:spacing w:line="138" w:lineRule="exact" w:before="9"/>
              <w:ind w:right="81"/>
              <w:jc w:val="right"/>
              <w:rPr>
                <w:sz w:val="13"/>
              </w:rPr>
            </w:pPr>
            <w:r>
              <w:rPr>
                <w:w w:val="105"/>
                <w:sz w:val="13"/>
              </w:rPr>
              <w:t>1</w:t>
            </w:r>
            <w:r>
              <w:rPr>
                <w:spacing w:val="-2"/>
                <w:w w:val="105"/>
                <w:sz w:val="13"/>
              </w:rPr>
              <w:t> </w:t>
            </w:r>
            <w:r>
              <w:rPr>
                <w:spacing w:val="-10"/>
                <w:w w:val="105"/>
                <w:sz w:val="13"/>
              </w:rPr>
              <w:t>^</w:t>
            </w:r>
          </w:p>
        </w:tc>
        <w:tc>
          <w:tcPr>
            <w:tcW w:w="564" w:type="dxa"/>
            <w:gridSpan w:val="2"/>
          </w:tcPr>
          <w:p>
            <w:pPr>
              <w:pStyle w:val="TableParagraph"/>
              <w:rPr>
                <w:rFonts w:ascii="Times New Roman"/>
                <w:sz w:val="10"/>
              </w:rPr>
            </w:pPr>
          </w:p>
        </w:tc>
        <w:tc>
          <w:tcPr>
            <w:tcW w:w="641" w:type="dxa"/>
          </w:tcPr>
          <w:p>
            <w:pPr>
              <w:pStyle w:val="TableParagraph"/>
              <w:spacing w:line="138" w:lineRule="exact" w:before="9"/>
              <w:ind w:left="156"/>
              <w:rPr>
                <w:sz w:val="13"/>
              </w:rPr>
            </w:pPr>
            <w:r>
              <w:rPr>
                <w:spacing w:val="-10"/>
                <w:w w:val="105"/>
                <w:sz w:val="13"/>
              </w:rPr>
              <w:t>-</w:t>
            </w:r>
          </w:p>
        </w:tc>
        <w:tc>
          <w:tcPr>
            <w:tcW w:w="623" w:type="dxa"/>
          </w:tcPr>
          <w:p>
            <w:pPr>
              <w:pStyle w:val="TableParagraph"/>
              <w:spacing w:line="138" w:lineRule="exact" w:before="9"/>
              <w:ind w:right="144"/>
              <w:jc w:val="right"/>
              <w:rPr>
                <w:sz w:val="13"/>
              </w:rPr>
            </w:pPr>
            <w:r>
              <w:rPr>
                <w:spacing w:val="-10"/>
                <w:w w:val="105"/>
                <w:sz w:val="13"/>
              </w:rPr>
              <w:t>-</w:t>
            </w:r>
          </w:p>
        </w:tc>
        <w:tc>
          <w:tcPr>
            <w:tcW w:w="565" w:type="dxa"/>
            <w:gridSpan w:val="2"/>
          </w:tcPr>
          <w:p>
            <w:pPr>
              <w:pStyle w:val="TableParagraph"/>
              <w:rPr>
                <w:rFonts w:ascii="Times New Roman"/>
                <w:sz w:val="10"/>
              </w:rPr>
            </w:pPr>
          </w:p>
        </w:tc>
        <w:tc>
          <w:tcPr>
            <w:tcW w:w="628" w:type="dxa"/>
          </w:tcPr>
          <w:p>
            <w:pPr>
              <w:pStyle w:val="TableParagraph"/>
              <w:spacing w:line="138" w:lineRule="exact" w:before="9"/>
              <w:ind w:right="262"/>
              <w:jc w:val="center"/>
              <w:rPr>
                <w:sz w:val="13"/>
              </w:rPr>
            </w:pPr>
            <w:r>
              <w:rPr>
                <w:spacing w:val="-10"/>
                <w:w w:val="105"/>
                <w:sz w:val="13"/>
              </w:rPr>
              <w:t>-</w:t>
            </w:r>
          </w:p>
        </w:tc>
      </w:tr>
      <w:tr>
        <w:trPr>
          <w:trHeight w:val="167" w:hRule="atLeast"/>
        </w:trPr>
        <w:tc>
          <w:tcPr>
            <w:tcW w:w="441" w:type="dxa"/>
          </w:tcPr>
          <w:p>
            <w:pPr>
              <w:pStyle w:val="TableParagraph"/>
              <w:rPr>
                <w:rFonts w:ascii="Times New Roman"/>
                <w:sz w:val="10"/>
              </w:rPr>
            </w:pPr>
          </w:p>
        </w:tc>
        <w:tc>
          <w:tcPr>
            <w:tcW w:w="4874" w:type="dxa"/>
          </w:tcPr>
          <w:p>
            <w:pPr>
              <w:pStyle w:val="TableParagraph"/>
              <w:spacing w:line="138" w:lineRule="exact" w:before="9"/>
              <w:ind w:left="215"/>
              <w:rPr>
                <w:sz w:val="13"/>
              </w:rPr>
            </w:pPr>
            <w:r>
              <w:rPr>
                <w:w w:val="105"/>
                <w:sz w:val="13"/>
              </w:rPr>
              <w:t>$50,000</w:t>
            </w:r>
            <w:r>
              <w:rPr>
                <w:spacing w:val="-8"/>
                <w:w w:val="105"/>
                <w:sz w:val="13"/>
              </w:rPr>
              <w:t> </w:t>
            </w:r>
            <w:r>
              <w:rPr>
                <w:w w:val="105"/>
                <w:sz w:val="13"/>
              </w:rPr>
              <w:t>-</w:t>
            </w:r>
            <w:r>
              <w:rPr>
                <w:spacing w:val="-5"/>
                <w:w w:val="105"/>
                <w:sz w:val="13"/>
              </w:rPr>
              <w:t> </w:t>
            </w:r>
            <w:r>
              <w:rPr>
                <w:spacing w:val="-2"/>
                <w:w w:val="105"/>
                <w:sz w:val="13"/>
              </w:rPr>
              <w:t>$59,999</w:t>
            </w:r>
          </w:p>
        </w:tc>
        <w:tc>
          <w:tcPr>
            <w:tcW w:w="638" w:type="dxa"/>
          </w:tcPr>
          <w:p>
            <w:pPr>
              <w:pStyle w:val="TableParagraph"/>
              <w:spacing w:line="138" w:lineRule="exact" w:before="9"/>
              <w:ind w:right="148"/>
              <w:jc w:val="right"/>
              <w:rPr>
                <w:sz w:val="13"/>
              </w:rPr>
            </w:pPr>
            <w:r>
              <w:rPr>
                <w:spacing w:val="-10"/>
                <w:w w:val="105"/>
                <w:sz w:val="13"/>
              </w:rPr>
              <w:t>-</w:t>
            </w:r>
          </w:p>
        </w:tc>
        <w:tc>
          <w:tcPr>
            <w:tcW w:w="564" w:type="dxa"/>
            <w:gridSpan w:val="2"/>
          </w:tcPr>
          <w:p>
            <w:pPr>
              <w:pStyle w:val="TableParagraph"/>
              <w:rPr>
                <w:rFonts w:ascii="Times New Roman"/>
                <w:sz w:val="10"/>
              </w:rPr>
            </w:pPr>
          </w:p>
        </w:tc>
        <w:tc>
          <w:tcPr>
            <w:tcW w:w="641" w:type="dxa"/>
          </w:tcPr>
          <w:p>
            <w:pPr>
              <w:pStyle w:val="TableParagraph"/>
              <w:spacing w:line="138" w:lineRule="exact" w:before="9"/>
              <w:ind w:left="156"/>
              <w:rPr>
                <w:sz w:val="13"/>
              </w:rPr>
            </w:pPr>
            <w:r>
              <w:rPr>
                <w:spacing w:val="-10"/>
                <w:w w:val="105"/>
                <w:sz w:val="13"/>
              </w:rPr>
              <w:t>-</w:t>
            </w:r>
          </w:p>
        </w:tc>
        <w:tc>
          <w:tcPr>
            <w:tcW w:w="623" w:type="dxa"/>
          </w:tcPr>
          <w:p>
            <w:pPr>
              <w:pStyle w:val="TableParagraph"/>
              <w:spacing w:line="138" w:lineRule="exact" w:before="9"/>
              <w:ind w:left="387"/>
              <w:rPr>
                <w:sz w:val="13"/>
              </w:rPr>
            </w:pPr>
            <w:r>
              <w:rPr>
                <w:spacing w:val="-5"/>
                <w:w w:val="105"/>
                <w:sz w:val="13"/>
              </w:rPr>
              <w:t>1^</w:t>
            </w:r>
          </w:p>
        </w:tc>
        <w:tc>
          <w:tcPr>
            <w:tcW w:w="565" w:type="dxa"/>
            <w:gridSpan w:val="2"/>
          </w:tcPr>
          <w:p>
            <w:pPr>
              <w:pStyle w:val="TableParagraph"/>
              <w:rPr>
                <w:rFonts w:ascii="Times New Roman"/>
                <w:sz w:val="10"/>
              </w:rPr>
            </w:pPr>
          </w:p>
        </w:tc>
        <w:tc>
          <w:tcPr>
            <w:tcW w:w="628" w:type="dxa"/>
          </w:tcPr>
          <w:p>
            <w:pPr>
              <w:pStyle w:val="TableParagraph"/>
              <w:spacing w:line="138" w:lineRule="exact" w:before="9"/>
              <w:ind w:right="262"/>
              <w:jc w:val="center"/>
              <w:rPr>
                <w:sz w:val="13"/>
              </w:rPr>
            </w:pPr>
            <w:r>
              <w:rPr>
                <w:spacing w:val="-10"/>
                <w:w w:val="105"/>
                <w:sz w:val="13"/>
              </w:rPr>
              <w:t>-</w:t>
            </w:r>
          </w:p>
        </w:tc>
      </w:tr>
      <w:tr>
        <w:trPr>
          <w:trHeight w:val="167" w:hRule="atLeast"/>
        </w:trPr>
        <w:tc>
          <w:tcPr>
            <w:tcW w:w="441" w:type="dxa"/>
          </w:tcPr>
          <w:p>
            <w:pPr>
              <w:pStyle w:val="TableParagraph"/>
              <w:rPr>
                <w:rFonts w:ascii="Times New Roman"/>
                <w:sz w:val="10"/>
              </w:rPr>
            </w:pPr>
          </w:p>
        </w:tc>
        <w:tc>
          <w:tcPr>
            <w:tcW w:w="4874" w:type="dxa"/>
          </w:tcPr>
          <w:p>
            <w:pPr>
              <w:pStyle w:val="TableParagraph"/>
              <w:spacing w:line="138" w:lineRule="exact" w:before="9"/>
              <w:ind w:left="215"/>
              <w:rPr>
                <w:sz w:val="13"/>
              </w:rPr>
            </w:pPr>
            <w:r>
              <w:rPr>
                <w:w w:val="105"/>
                <w:sz w:val="13"/>
              </w:rPr>
              <w:t>$120,000</w:t>
            </w:r>
            <w:r>
              <w:rPr>
                <w:spacing w:val="-9"/>
                <w:w w:val="105"/>
                <w:sz w:val="13"/>
              </w:rPr>
              <w:t> </w:t>
            </w:r>
            <w:r>
              <w:rPr>
                <w:w w:val="105"/>
                <w:sz w:val="13"/>
              </w:rPr>
              <w:t>-</w:t>
            </w:r>
            <w:r>
              <w:rPr>
                <w:spacing w:val="-6"/>
                <w:w w:val="105"/>
                <w:sz w:val="13"/>
              </w:rPr>
              <w:t> </w:t>
            </w:r>
            <w:r>
              <w:rPr>
                <w:spacing w:val="-2"/>
                <w:w w:val="105"/>
                <w:sz w:val="13"/>
              </w:rPr>
              <w:t>$129,999</w:t>
            </w:r>
          </w:p>
        </w:tc>
        <w:tc>
          <w:tcPr>
            <w:tcW w:w="638" w:type="dxa"/>
          </w:tcPr>
          <w:p>
            <w:pPr>
              <w:pStyle w:val="TableParagraph"/>
              <w:spacing w:line="138" w:lineRule="exact" w:before="9"/>
              <w:ind w:left="404"/>
              <w:rPr>
                <w:sz w:val="13"/>
              </w:rPr>
            </w:pPr>
            <w:r>
              <w:rPr>
                <w:spacing w:val="-10"/>
                <w:w w:val="105"/>
                <w:sz w:val="13"/>
              </w:rPr>
              <w:t>1</w:t>
            </w:r>
          </w:p>
        </w:tc>
        <w:tc>
          <w:tcPr>
            <w:tcW w:w="564" w:type="dxa"/>
            <w:gridSpan w:val="2"/>
          </w:tcPr>
          <w:p>
            <w:pPr>
              <w:pStyle w:val="TableParagraph"/>
              <w:rPr>
                <w:rFonts w:ascii="Times New Roman"/>
                <w:sz w:val="10"/>
              </w:rPr>
            </w:pPr>
          </w:p>
        </w:tc>
        <w:tc>
          <w:tcPr>
            <w:tcW w:w="641" w:type="dxa"/>
          </w:tcPr>
          <w:p>
            <w:pPr>
              <w:pStyle w:val="TableParagraph"/>
              <w:spacing w:line="138" w:lineRule="exact" w:before="9"/>
              <w:ind w:left="156"/>
              <w:rPr>
                <w:sz w:val="13"/>
              </w:rPr>
            </w:pPr>
            <w:r>
              <w:rPr>
                <w:spacing w:val="-10"/>
                <w:w w:val="105"/>
                <w:sz w:val="13"/>
              </w:rPr>
              <w:t>-</w:t>
            </w:r>
          </w:p>
        </w:tc>
        <w:tc>
          <w:tcPr>
            <w:tcW w:w="623" w:type="dxa"/>
          </w:tcPr>
          <w:p>
            <w:pPr>
              <w:pStyle w:val="TableParagraph"/>
              <w:spacing w:line="138" w:lineRule="exact" w:before="9"/>
              <w:ind w:right="144"/>
              <w:jc w:val="right"/>
              <w:rPr>
                <w:sz w:val="13"/>
              </w:rPr>
            </w:pPr>
            <w:r>
              <w:rPr>
                <w:spacing w:val="-10"/>
                <w:w w:val="105"/>
                <w:sz w:val="13"/>
              </w:rPr>
              <w:t>-</w:t>
            </w:r>
          </w:p>
        </w:tc>
        <w:tc>
          <w:tcPr>
            <w:tcW w:w="565" w:type="dxa"/>
            <w:gridSpan w:val="2"/>
          </w:tcPr>
          <w:p>
            <w:pPr>
              <w:pStyle w:val="TableParagraph"/>
              <w:rPr>
                <w:rFonts w:ascii="Times New Roman"/>
                <w:sz w:val="10"/>
              </w:rPr>
            </w:pPr>
          </w:p>
        </w:tc>
        <w:tc>
          <w:tcPr>
            <w:tcW w:w="628" w:type="dxa"/>
          </w:tcPr>
          <w:p>
            <w:pPr>
              <w:pStyle w:val="TableParagraph"/>
              <w:spacing w:line="138" w:lineRule="exact" w:before="9"/>
              <w:ind w:right="262"/>
              <w:jc w:val="center"/>
              <w:rPr>
                <w:sz w:val="13"/>
              </w:rPr>
            </w:pPr>
            <w:r>
              <w:rPr>
                <w:spacing w:val="-10"/>
                <w:w w:val="105"/>
                <w:sz w:val="13"/>
              </w:rPr>
              <w:t>-</w:t>
            </w:r>
          </w:p>
        </w:tc>
      </w:tr>
      <w:tr>
        <w:trPr>
          <w:trHeight w:val="167" w:hRule="atLeast"/>
        </w:trPr>
        <w:tc>
          <w:tcPr>
            <w:tcW w:w="441" w:type="dxa"/>
          </w:tcPr>
          <w:p>
            <w:pPr>
              <w:pStyle w:val="TableParagraph"/>
              <w:rPr>
                <w:rFonts w:ascii="Times New Roman"/>
                <w:sz w:val="10"/>
              </w:rPr>
            </w:pPr>
          </w:p>
        </w:tc>
        <w:tc>
          <w:tcPr>
            <w:tcW w:w="4874" w:type="dxa"/>
          </w:tcPr>
          <w:p>
            <w:pPr>
              <w:pStyle w:val="TableParagraph"/>
              <w:spacing w:line="138" w:lineRule="exact" w:before="9"/>
              <w:ind w:left="215"/>
              <w:rPr>
                <w:sz w:val="13"/>
              </w:rPr>
            </w:pPr>
            <w:r>
              <w:rPr>
                <w:w w:val="105"/>
                <w:sz w:val="13"/>
              </w:rPr>
              <w:t>$140,000</w:t>
            </w:r>
            <w:r>
              <w:rPr>
                <w:spacing w:val="-9"/>
                <w:w w:val="105"/>
                <w:sz w:val="13"/>
              </w:rPr>
              <w:t> </w:t>
            </w:r>
            <w:r>
              <w:rPr>
                <w:w w:val="105"/>
                <w:sz w:val="13"/>
              </w:rPr>
              <w:t>-</w:t>
            </w:r>
            <w:r>
              <w:rPr>
                <w:spacing w:val="-6"/>
                <w:w w:val="105"/>
                <w:sz w:val="13"/>
              </w:rPr>
              <w:t> </w:t>
            </w:r>
            <w:r>
              <w:rPr>
                <w:spacing w:val="-2"/>
                <w:w w:val="105"/>
                <w:sz w:val="13"/>
              </w:rPr>
              <w:t>$149,999</w:t>
            </w:r>
          </w:p>
        </w:tc>
        <w:tc>
          <w:tcPr>
            <w:tcW w:w="638" w:type="dxa"/>
          </w:tcPr>
          <w:p>
            <w:pPr>
              <w:pStyle w:val="TableParagraph"/>
              <w:spacing w:line="138" w:lineRule="exact" w:before="9"/>
              <w:ind w:right="148"/>
              <w:jc w:val="right"/>
              <w:rPr>
                <w:sz w:val="13"/>
              </w:rPr>
            </w:pPr>
            <w:r>
              <w:rPr>
                <w:spacing w:val="-10"/>
                <w:w w:val="105"/>
                <w:sz w:val="13"/>
              </w:rPr>
              <w:t>-</w:t>
            </w:r>
          </w:p>
        </w:tc>
        <w:tc>
          <w:tcPr>
            <w:tcW w:w="564" w:type="dxa"/>
            <w:gridSpan w:val="2"/>
          </w:tcPr>
          <w:p>
            <w:pPr>
              <w:pStyle w:val="TableParagraph"/>
              <w:rPr>
                <w:rFonts w:ascii="Times New Roman"/>
                <w:sz w:val="10"/>
              </w:rPr>
            </w:pPr>
          </w:p>
        </w:tc>
        <w:tc>
          <w:tcPr>
            <w:tcW w:w="641" w:type="dxa"/>
          </w:tcPr>
          <w:p>
            <w:pPr>
              <w:pStyle w:val="TableParagraph"/>
              <w:spacing w:line="138" w:lineRule="exact" w:before="9"/>
              <w:ind w:left="118"/>
              <w:rPr>
                <w:sz w:val="13"/>
              </w:rPr>
            </w:pPr>
            <w:r>
              <w:rPr>
                <w:spacing w:val="-10"/>
                <w:w w:val="105"/>
                <w:sz w:val="13"/>
              </w:rPr>
              <w:t>1</w:t>
            </w:r>
          </w:p>
        </w:tc>
        <w:tc>
          <w:tcPr>
            <w:tcW w:w="623" w:type="dxa"/>
          </w:tcPr>
          <w:p>
            <w:pPr>
              <w:pStyle w:val="TableParagraph"/>
              <w:spacing w:line="138" w:lineRule="exact" w:before="9"/>
              <w:ind w:right="144"/>
              <w:jc w:val="right"/>
              <w:rPr>
                <w:sz w:val="13"/>
              </w:rPr>
            </w:pPr>
            <w:r>
              <w:rPr>
                <w:spacing w:val="-10"/>
                <w:w w:val="105"/>
                <w:sz w:val="13"/>
              </w:rPr>
              <w:t>-</w:t>
            </w:r>
          </w:p>
        </w:tc>
        <w:tc>
          <w:tcPr>
            <w:tcW w:w="565" w:type="dxa"/>
            <w:gridSpan w:val="2"/>
          </w:tcPr>
          <w:p>
            <w:pPr>
              <w:pStyle w:val="TableParagraph"/>
              <w:rPr>
                <w:rFonts w:ascii="Times New Roman"/>
                <w:sz w:val="10"/>
              </w:rPr>
            </w:pPr>
          </w:p>
        </w:tc>
        <w:tc>
          <w:tcPr>
            <w:tcW w:w="628" w:type="dxa"/>
          </w:tcPr>
          <w:p>
            <w:pPr>
              <w:pStyle w:val="TableParagraph"/>
              <w:spacing w:line="138" w:lineRule="exact" w:before="9"/>
              <w:ind w:right="262"/>
              <w:jc w:val="center"/>
              <w:rPr>
                <w:sz w:val="13"/>
              </w:rPr>
            </w:pPr>
            <w:r>
              <w:rPr>
                <w:spacing w:val="-10"/>
                <w:w w:val="105"/>
                <w:sz w:val="13"/>
              </w:rPr>
              <w:t>-</w:t>
            </w:r>
          </w:p>
        </w:tc>
      </w:tr>
      <w:tr>
        <w:trPr>
          <w:trHeight w:val="251" w:hRule="atLeast"/>
        </w:trPr>
        <w:tc>
          <w:tcPr>
            <w:tcW w:w="441" w:type="dxa"/>
          </w:tcPr>
          <w:p>
            <w:pPr>
              <w:pStyle w:val="TableParagraph"/>
              <w:rPr>
                <w:rFonts w:ascii="Times New Roman"/>
                <w:sz w:val="14"/>
              </w:rPr>
            </w:pPr>
          </w:p>
        </w:tc>
        <w:tc>
          <w:tcPr>
            <w:tcW w:w="4874" w:type="dxa"/>
          </w:tcPr>
          <w:p>
            <w:pPr>
              <w:pStyle w:val="TableParagraph"/>
              <w:spacing w:before="9"/>
              <w:ind w:left="215"/>
              <w:rPr>
                <w:sz w:val="13"/>
              </w:rPr>
            </w:pPr>
            <w:r>
              <w:rPr>
                <w:w w:val="105"/>
                <w:sz w:val="13"/>
              </w:rPr>
              <w:t>$160,000</w:t>
            </w:r>
            <w:r>
              <w:rPr>
                <w:spacing w:val="-9"/>
                <w:w w:val="105"/>
                <w:sz w:val="13"/>
              </w:rPr>
              <w:t> </w:t>
            </w:r>
            <w:r>
              <w:rPr>
                <w:w w:val="105"/>
                <w:sz w:val="13"/>
              </w:rPr>
              <w:t>-</w:t>
            </w:r>
            <w:r>
              <w:rPr>
                <w:spacing w:val="-6"/>
                <w:w w:val="105"/>
                <w:sz w:val="13"/>
              </w:rPr>
              <w:t> </w:t>
            </w:r>
            <w:r>
              <w:rPr>
                <w:spacing w:val="-2"/>
                <w:w w:val="105"/>
                <w:sz w:val="13"/>
              </w:rPr>
              <w:t>$169,999</w:t>
            </w:r>
          </w:p>
        </w:tc>
        <w:tc>
          <w:tcPr>
            <w:tcW w:w="638" w:type="dxa"/>
          </w:tcPr>
          <w:p>
            <w:pPr>
              <w:pStyle w:val="TableParagraph"/>
              <w:spacing w:before="9"/>
              <w:ind w:right="148"/>
              <w:jc w:val="right"/>
              <w:rPr>
                <w:sz w:val="13"/>
              </w:rPr>
            </w:pPr>
            <w:r>
              <w:rPr>
                <w:spacing w:val="-10"/>
                <w:w w:val="105"/>
                <w:sz w:val="13"/>
              </w:rPr>
              <w:t>-</w:t>
            </w:r>
          </w:p>
        </w:tc>
        <w:tc>
          <w:tcPr>
            <w:tcW w:w="564" w:type="dxa"/>
            <w:gridSpan w:val="2"/>
          </w:tcPr>
          <w:p>
            <w:pPr>
              <w:pStyle w:val="TableParagraph"/>
              <w:rPr>
                <w:rFonts w:ascii="Times New Roman"/>
                <w:sz w:val="14"/>
              </w:rPr>
            </w:pPr>
          </w:p>
        </w:tc>
        <w:tc>
          <w:tcPr>
            <w:tcW w:w="641" w:type="dxa"/>
          </w:tcPr>
          <w:p>
            <w:pPr>
              <w:pStyle w:val="TableParagraph"/>
              <w:spacing w:before="9"/>
              <w:ind w:left="118"/>
              <w:rPr>
                <w:sz w:val="13"/>
              </w:rPr>
            </w:pPr>
            <w:r>
              <w:rPr>
                <w:spacing w:val="-10"/>
                <w:w w:val="105"/>
                <w:sz w:val="13"/>
              </w:rPr>
              <w:t>1</w:t>
            </w:r>
          </w:p>
        </w:tc>
        <w:tc>
          <w:tcPr>
            <w:tcW w:w="623" w:type="dxa"/>
          </w:tcPr>
          <w:p>
            <w:pPr>
              <w:pStyle w:val="TableParagraph"/>
              <w:spacing w:before="9"/>
              <w:ind w:right="144"/>
              <w:jc w:val="right"/>
              <w:rPr>
                <w:sz w:val="13"/>
              </w:rPr>
            </w:pPr>
            <w:r>
              <w:rPr>
                <w:spacing w:val="-10"/>
                <w:w w:val="105"/>
                <w:sz w:val="13"/>
              </w:rPr>
              <w:t>-</w:t>
            </w:r>
          </w:p>
        </w:tc>
        <w:tc>
          <w:tcPr>
            <w:tcW w:w="565" w:type="dxa"/>
            <w:gridSpan w:val="2"/>
          </w:tcPr>
          <w:p>
            <w:pPr>
              <w:pStyle w:val="TableParagraph"/>
              <w:rPr>
                <w:rFonts w:ascii="Times New Roman"/>
                <w:sz w:val="14"/>
              </w:rPr>
            </w:pPr>
          </w:p>
        </w:tc>
        <w:tc>
          <w:tcPr>
            <w:tcW w:w="628" w:type="dxa"/>
          </w:tcPr>
          <w:p>
            <w:pPr>
              <w:pStyle w:val="TableParagraph"/>
              <w:spacing w:before="9"/>
              <w:ind w:right="262"/>
              <w:jc w:val="center"/>
              <w:rPr>
                <w:sz w:val="13"/>
              </w:rPr>
            </w:pPr>
            <w:r>
              <w:rPr>
                <w:spacing w:val="-10"/>
                <w:w w:val="105"/>
                <w:sz w:val="13"/>
              </w:rPr>
              <w:t>-</w:t>
            </w:r>
          </w:p>
        </w:tc>
      </w:tr>
      <w:tr>
        <w:trPr>
          <w:trHeight w:val="251" w:hRule="atLeast"/>
        </w:trPr>
        <w:tc>
          <w:tcPr>
            <w:tcW w:w="441" w:type="dxa"/>
          </w:tcPr>
          <w:p>
            <w:pPr>
              <w:pStyle w:val="TableParagraph"/>
              <w:rPr>
                <w:rFonts w:ascii="Times New Roman"/>
                <w:sz w:val="14"/>
              </w:rPr>
            </w:pPr>
          </w:p>
        </w:tc>
        <w:tc>
          <w:tcPr>
            <w:tcW w:w="4874" w:type="dxa"/>
          </w:tcPr>
          <w:p>
            <w:pPr>
              <w:pStyle w:val="TableParagraph"/>
              <w:spacing w:line="138" w:lineRule="exact" w:before="93"/>
              <w:ind w:left="215"/>
              <w:rPr>
                <w:sz w:val="13"/>
              </w:rPr>
            </w:pPr>
            <w:r>
              <w:rPr>
                <w:w w:val="105"/>
                <w:sz w:val="13"/>
              </w:rPr>
              <w:t>$230,000</w:t>
            </w:r>
            <w:r>
              <w:rPr>
                <w:spacing w:val="-9"/>
                <w:w w:val="105"/>
                <w:sz w:val="13"/>
              </w:rPr>
              <w:t> </w:t>
            </w:r>
            <w:r>
              <w:rPr>
                <w:w w:val="105"/>
                <w:sz w:val="13"/>
              </w:rPr>
              <w:t>-</w:t>
            </w:r>
            <w:r>
              <w:rPr>
                <w:spacing w:val="-6"/>
                <w:w w:val="105"/>
                <w:sz w:val="13"/>
              </w:rPr>
              <w:t> </w:t>
            </w:r>
            <w:r>
              <w:rPr>
                <w:spacing w:val="-2"/>
                <w:w w:val="105"/>
                <w:sz w:val="13"/>
              </w:rPr>
              <w:t>$239,999</w:t>
            </w:r>
          </w:p>
        </w:tc>
        <w:tc>
          <w:tcPr>
            <w:tcW w:w="638" w:type="dxa"/>
          </w:tcPr>
          <w:p>
            <w:pPr>
              <w:pStyle w:val="TableParagraph"/>
              <w:spacing w:line="138" w:lineRule="exact" w:before="93"/>
              <w:ind w:left="404"/>
              <w:rPr>
                <w:sz w:val="13"/>
              </w:rPr>
            </w:pPr>
            <w:r>
              <w:rPr>
                <w:spacing w:val="-10"/>
                <w:w w:val="105"/>
                <w:sz w:val="13"/>
              </w:rPr>
              <w:t>1</w:t>
            </w:r>
          </w:p>
        </w:tc>
        <w:tc>
          <w:tcPr>
            <w:tcW w:w="564" w:type="dxa"/>
            <w:gridSpan w:val="2"/>
          </w:tcPr>
          <w:p>
            <w:pPr>
              <w:pStyle w:val="TableParagraph"/>
              <w:rPr>
                <w:rFonts w:ascii="Times New Roman"/>
                <w:sz w:val="14"/>
              </w:rPr>
            </w:pPr>
          </w:p>
        </w:tc>
        <w:tc>
          <w:tcPr>
            <w:tcW w:w="641" w:type="dxa"/>
          </w:tcPr>
          <w:p>
            <w:pPr>
              <w:pStyle w:val="TableParagraph"/>
              <w:spacing w:line="138" w:lineRule="exact" w:before="93"/>
              <w:ind w:left="156"/>
              <w:rPr>
                <w:sz w:val="13"/>
              </w:rPr>
            </w:pPr>
            <w:r>
              <w:rPr>
                <w:spacing w:val="-10"/>
                <w:w w:val="105"/>
                <w:sz w:val="13"/>
              </w:rPr>
              <w:t>-</w:t>
            </w:r>
          </w:p>
        </w:tc>
        <w:tc>
          <w:tcPr>
            <w:tcW w:w="623" w:type="dxa"/>
          </w:tcPr>
          <w:p>
            <w:pPr>
              <w:pStyle w:val="TableParagraph"/>
              <w:spacing w:line="138" w:lineRule="exact" w:before="93"/>
              <w:ind w:right="77"/>
              <w:jc w:val="right"/>
              <w:rPr>
                <w:sz w:val="13"/>
              </w:rPr>
            </w:pPr>
            <w:r>
              <w:rPr>
                <w:w w:val="105"/>
                <w:sz w:val="13"/>
              </w:rPr>
              <w:t>1</w:t>
            </w:r>
            <w:r>
              <w:rPr>
                <w:spacing w:val="-2"/>
                <w:w w:val="105"/>
                <w:sz w:val="13"/>
              </w:rPr>
              <w:t> </w:t>
            </w:r>
            <w:r>
              <w:rPr>
                <w:spacing w:val="-10"/>
                <w:w w:val="105"/>
                <w:sz w:val="13"/>
              </w:rPr>
              <w:t>^</w:t>
            </w:r>
          </w:p>
        </w:tc>
        <w:tc>
          <w:tcPr>
            <w:tcW w:w="565" w:type="dxa"/>
            <w:gridSpan w:val="2"/>
          </w:tcPr>
          <w:p>
            <w:pPr>
              <w:pStyle w:val="TableParagraph"/>
              <w:rPr>
                <w:rFonts w:ascii="Times New Roman"/>
                <w:sz w:val="14"/>
              </w:rPr>
            </w:pPr>
          </w:p>
        </w:tc>
        <w:tc>
          <w:tcPr>
            <w:tcW w:w="628" w:type="dxa"/>
          </w:tcPr>
          <w:p>
            <w:pPr>
              <w:pStyle w:val="TableParagraph"/>
              <w:spacing w:line="138" w:lineRule="exact" w:before="93"/>
              <w:ind w:right="262"/>
              <w:jc w:val="center"/>
              <w:rPr>
                <w:sz w:val="13"/>
              </w:rPr>
            </w:pPr>
            <w:r>
              <w:rPr>
                <w:spacing w:val="-10"/>
                <w:w w:val="105"/>
                <w:sz w:val="13"/>
              </w:rPr>
              <w:t>-</w:t>
            </w:r>
          </w:p>
        </w:tc>
      </w:tr>
      <w:tr>
        <w:trPr>
          <w:trHeight w:val="167" w:hRule="atLeast"/>
        </w:trPr>
        <w:tc>
          <w:tcPr>
            <w:tcW w:w="441" w:type="dxa"/>
          </w:tcPr>
          <w:p>
            <w:pPr>
              <w:pStyle w:val="TableParagraph"/>
              <w:rPr>
                <w:rFonts w:ascii="Times New Roman"/>
                <w:sz w:val="10"/>
              </w:rPr>
            </w:pPr>
          </w:p>
        </w:tc>
        <w:tc>
          <w:tcPr>
            <w:tcW w:w="4874" w:type="dxa"/>
          </w:tcPr>
          <w:p>
            <w:pPr>
              <w:pStyle w:val="TableParagraph"/>
              <w:spacing w:line="138" w:lineRule="exact" w:before="9"/>
              <w:ind w:left="215"/>
              <w:rPr>
                <w:sz w:val="13"/>
              </w:rPr>
            </w:pPr>
            <w:r>
              <w:rPr>
                <w:w w:val="105"/>
                <w:sz w:val="13"/>
              </w:rPr>
              <w:t>$240,000</w:t>
            </w:r>
            <w:r>
              <w:rPr>
                <w:spacing w:val="-9"/>
                <w:w w:val="105"/>
                <w:sz w:val="13"/>
              </w:rPr>
              <w:t> </w:t>
            </w:r>
            <w:r>
              <w:rPr>
                <w:w w:val="105"/>
                <w:sz w:val="13"/>
              </w:rPr>
              <w:t>-</w:t>
            </w:r>
            <w:r>
              <w:rPr>
                <w:spacing w:val="-6"/>
                <w:w w:val="105"/>
                <w:sz w:val="13"/>
              </w:rPr>
              <w:t> </w:t>
            </w:r>
            <w:r>
              <w:rPr>
                <w:spacing w:val="-2"/>
                <w:w w:val="105"/>
                <w:sz w:val="13"/>
              </w:rPr>
              <w:t>$249,999</w:t>
            </w:r>
          </w:p>
        </w:tc>
        <w:tc>
          <w:tcPr>
            <w:tcW w:w="638" w:type="dxa"/>
          </w:tcPr>
          <w:p>
            <w:pPr>
              <w:pStyle w:val="TableParagraph"/>
              <w:spacing w:line="138" w:lineRule="exact" w:before="9"/>
              <w:ind w:right="81"/>
              <w:jc w:val="right"/>
              <w:rPr>
                <w:sz w:val="13"/>
              </w:rPr>
            </w:pPr>
            <w:r>
              <w:rPr>
                <w:w w:val="105"/>
                <w:sz w:val="13"/>
              </w:rPr>
              <w:t>2</w:t>
            </w:r>
            <w:r>
              <w:rPr>
                <w:spacing w:val="-2"/>
                <w:w w:val="105"/>
                <w:sz w:val="13"/>
              </w:rPr>
              <w:t> </w:t>
            </w:r>
            <w:r>
              <w:rPr>
                <w:spacing w:val="-10"/>
                <w:w w:val="105"/>
                <w:sz w:val="13"/>
              </w:rPr>
              <w:t>^</w:t>
            </w:r>
          </w:p>
        </w:tc>
        <w:tc>
          <w:tcPr>
            <w:tcW w:w="564" w:type="dxa"/>
            <w:gridSpan w:val="2"/>
          </w:tcPr>
          <w:p>
            <w:pPr>
              <w:pStyle w:val="TableParagraph"/>
              <w:rPr>
                <w:rFonts w:ascii="Times New Roman"/>
                <w:sz w:val="10"/>
              </w:rPr>
            </w:pPr>
          </w:p>
        </w:tc>
        <w:tc>
          <w:tcPr>
            <w:tcW w:w="641" w:type="dxa"/>
          </w:tcPr>
          <w:p>
            <w:pPr>
              <w:pStyle w:val="TableParagraph"/>
              <w:spacing w:line="138" w:lineRule="exact" w:before="9"/>
              <w:ind w:left="156"/>
              <w:rPr>
                <w:sz w:val="13"/>
              </w:rPr>
            </w:pPr>
            <w:r>
              <w:rPr>
                <w:spacing w:val="-10"/>
                <w:w w:val="105"/>
                <w:sz w:val="13"/>
              </w:rPr>
              <w:t>-</w:t>
            </w:r>
          </w:p>
        </w:tc>
        <w:tc>
          <w:tcPr>
            <w:tcW w:w="623" w:type="dxa"/>
          </w:tcPr>
          <w:p>
            <w:pPr>
              <w:pStyle w:val="TableParagraph"/>
              <w:spacing w:line="138" w:lineRule="exact" w:before="9"/>
              <w:ind w:right="144"/>
              <w:jc w:val="right"/>
              <w:rPr>
                <w:sz w:val="13"/>
              </w:rPr>
            </w:pPr>
            <w:r>
              <w:rPr>
                <w:spacing w:val="-10"/>
                <w:w w:val="105"/>
                <w:sz w:val="13"/>
              </w:rPr>
              <w:t>-</w:t>
            </w:r>
          </w:p>
        </w:tc>
        <w:tc>
          <w:tcPr>
            <w:tcW w:w="565" w:type="dxa"/>
            <w:gridSpan w:val="2"/>
          </w:tcPr>
          <w:p>
            <w:pPr>
              <w:pStyle w:val="TableParagraph"/>
              <w:rPr>
                <w:rFonts w:ascii="Times New Roman"/>
                <w:sz w:val="10"/>
              </w:rPr>
            </w:pPr>
          </w:p>
        </w:tc>
        <w:tc>
          <w:tcPr>
            <w:tcW w:w="628" w:type="dxa"/>
          </w:tcPr>
          <w:p>
            <w:pPr>
              <w:pStyle w:val="TableParagraph"/>
              <w:spacing w:line="138" w:lineRule="exact" w:before="9"/>
              <w:ind w:right="262"/>
              <w:jc w:val="center"/>
              <w:rPr>
                <w:sz w:val="13"/>
              </w:rPr>
            </w:pPr>
            <w:r>
              <w:rPr>
                <w:spacing w:val="-10"/>
                <w:w w:val="105"/>
                <w:sz w:val="13"/>
              </w:rPr>
              <w:t>-</w:t>
            </w:r>
          </w:p>
        </w:tc>
      </w:tr>
      <w:tr>
        <w:trPr>
          <w:trHeight w:val="167" w:hRule="atLeast"/>
        </w:trPr>
        <w:tc>
          <w:tcPr>
            <w:tcW w:w="441" w:type="dxa"/>
          </w:tcPr>
          <w:p>
            <w:pPr>
              <w:pStyle w:val="TableParagraph"/>
              <w:rPr>
                <w:rFonts w:ascii="Times New Roman"/>
                <w:sz w:val="10"/>
              </w:rPr>
            </w:pPr>
          </w:p>
        </w:tc>
        <w:tc>
          <w:tcPr>
            <w:tcW w:w="4874" w:type="dxa"/>
          </w:tcPr>
          <w:p>
            <w:pPr>
              <w:pStyle w:val="TableParagraph"/>
              <w:spacing w:line="138" w:lineRule="exact" w:before="9"/>
              <w:ind w:left="215"/>
              <w:rPr>
                <w:sz w:val="13"/>
              </w:rPr>
            </w:pPr>
            <w:r>
              <w:rPr>
                <w:w w:val="105"/>
                <w:sz w:val="13"/>
              </w:rPr>
              <w:t>$260,000</w:t>
            </w:r>
            <w:r>
              <w:rPr>
                <w:spacing w:val="-9"/>
                <w:w w:val="105"/>
                <w:sz w:val="13"/>
              </w:rPr>
              <w:t> </w:t>
            </w:r>
            <w:r>
              <w:rPr>
                <w:w w:val="105"/>
                <w:sz w:val="13"/>
              </w:rPr>
              <w:t>-</w:t>
            </w:r>
            <w:r>
              <w:rPr>
                <w:spacing w:val="-6"/>
                <w:w w:val="105"/>
                <w:sz w:val="13"/>
              </w:rPr>
              <w:t> </w:t>
            </w:r>
            <w:r>
              <w:rPr>
                <w:spacing w:val="-2"/>
                <w:w w:val="105"/>
                <w:sz w:val="13"/>
              </w:rPr>
              <w:t>$269,999</w:t>
            </w:r>
          </w:p>
        </w:tc>
        <w:tc>
          <w:tcPr>
            <w:tcW w:w="638" w:type="dxa"/>
          </w:tcPr>
          <w:p>
            <w:pPr>
              <w:pStyle w:val="TableParagraph"/>
              <w:spacing w:line="138" w:lineRule="exact" w:before="9"/>
              <w:ind w:right="148"/>
              <w:jc w:val="right"/>
              <w:rPr>
                <w:sz w:val="13"/>
              </w:rPr>
            </w:pPr>
            <w:r>
              <w:rPr>
                <w:spacing w:val="-10"/>
                <w:w w:val="105"/>
                <w:sz w:val="13"/>
              </w:rPr>
              <w:t>-</w:t>
            </w:r>
          </w:p>
        </w:tc>
        <w:tc>
          <w:tcPr>
            <w:tcW w:w="564" w:type="dxa"/>
            <w:gridSpan w:val="2"/>
          </w:tcPr>
          <w:p>
            <w:pPr>
              <w:pStyle w:val="TableParagraph"/>
              <w:rPr>
                <w:rFonts w:ascii="Times New Roman"/>
                <w:sz w:val="10"/>
              </w:rPr>
            </w:pPr>
          </w:p>
        </w:tc>
        <w:tc>
          <w:tcPr>
            <w:tcW w:w="641" w:type="dxa"/>
          </w:tcPr>
          <w:p>
            <w:pPr>
              <w:pStyle w:val="TableParagraph"/>
              <w:spacing w:line="138" w:lineRule="exact" w:before="9"/>
              <w:ind w:left="156"/>
              <w:rPr>
                <w:sz w:val="13"/>
              </w:rPr>
            </w:pPr>
            <w:r>
              <w:rPr>
                <w:spacing w:val="-10"/>
                <w:w w:val="105"/>
                <w:sz w:val="13"/>
              </w:rPr>
              <w:t>-</w:t>
            </w:r>
          </w:p>
        </w:tc>
        <w:tc>
          <w:tcPr>
            <w:tcW w:w="623" w:type="dxa"/>
          </w:tcPr>
          <w:p>
            <w:pPr>
              <w:pStyle w:val="TableParagraph"/>
              <w:spacing w:line="138" w:lineRule="exact" w:before="9"/>
              <w:ind w:right="77"/>
              <w:jc w:val="right"/>
              <w:rPr>
                <w:sz w:val="13"/>
              </w:rPr>
            </w:pPr>
            <w:r>
              <w:rPr>
                <w:w w:val="105"/>
                <w:sz w:val="13"/>
              </w:rPr>
              <w:t>2</w:t>
            </w:r>
            <w:r>
              <w:rPr>
                <w:spacing w:val="-2"/>
                <w:w w:val="105"/>
                <w:sz w:val="13"/>
              </w:rPr>
              <w:t> </w:t>
            </w:r>
            <w:r>
              <w:rPr>
                <w:spacing w:val="-10"/>
                <w:w w:val="105"/>
                <w:sz w:val="13"/>
              </w:rPr>
              <w:t>^</w:t>
            </w:r>
          </w:p>
        </w:tc>
        <w:tc>
          <w:tcPr>
            <w:tcW w:w="565" w:type="dxa"/>
            <w:gridSpan w:val="2"/>
          </w:tcPr>
          <w:p>
            <w:pPr>
              <w:pStyle w:val="TableParagraph"/>
              <w:rPr>
                <w:rFonts w:ascii="Times New Roman"/>
                <w:sz w:val="10"/>
              </w:rPr>
            </w:pPr>
          </w:p>
        </w:tc>
        <w:tc>
          <w:tcPr>
            <w:tcW w:w="628" w:type="dxa"/>
          </w:tcPr>
          <w:p>
            <w:pPr>
              <w:pStyle w:val="TableParagraph"/>
              <w:spacing w:line="138" w:lineRule="exact" w:before="9"/>
              <w:ind w:right="262"/>
              <w:jc w:val="center"/>
              <w:rPr>
                <w:sz w:val="13"/>
              </w:rPr>
            </w:pPr>
            <w:r>
              <w:rPr>
                <w:spacing w:val="-10"/>
                <w:w w:val="105"/>
                <w:sz w:val="13"/>
              </w:rPr>
              <w:t>-</w:t>
            </w:r>
          </w:p>
        </w:tc>
      </w:tr>
      <w:tr>
        <w:trPr>
          <w:trHeight w:val="167" w:hRule="atLeast"/>
        </w:trPr>
        <w:tc>
          <w:tcPr>
            <w:tcW w:w="441" w:type="dxa"/>
          </w:tcPr>
          <w:p>
            <w:pPr>
              <w:pStyle w:val="TableParagraph"/>
              <w:rPr>
                <w:rFonts w:ascii="Times New Roman"/>
                <w:sz w:val="10"/>
              </w:rPr>
            </w:pPr>
          </w:p>
        </w:tc>
        <w:tc>
          <w:tcPr>
            <w:tcW w:w="4874" w:type="dxa"/>
          </w:tcPr>
          <w:p>
            <w:pPr>
              <w:pStyle w:val="TableParagraph"/>
              <w:spacing w:line="138" w:lineRule="exact" w:before="9"/>
              <w:ind w:left="215"/>
              <w:rPr>
                <w:sz w:val="13"/>
              </w:rPr>
            </w:pPr>
            <w:r>
              <w:rPr>
                <w:w w:val="105"/>
                <w:sz w:val="13"/>
              </w:rPr>
              <w:t>$280,000</w:t>
            </w:r>
            <w:r>
              <w:rPr>
                <w:spacing w:val="-9"/>
                <w:w w:val="105"/>
                <w:sz w:val="13"/>
              </w:rPr>
              <w:t> </w:t>
            </w:r>
            <w:r>
              <w:rPr>
                <w:w w:val="105"/>
                <w:sz w:val="13"/>
              </w:rPr>
              <w:t>-</w:t>
            </w:r>
            <w:r>
              <w:rPr>
                <w:spacing w:val="-6"/>
                <w:w w:val="105"/>
                <w:sz w:val="13"/>
              </w:rPr>
              <w:t> </w:t>
            </w:r>
            <w:r>
              <w:rPr>
                <w:spacing w:val="-2"/>
                <w:w w:val="105"/>
                <w:sz w:val="13"/>
              </w:rPr>
              <w:t>$289,999</w:t>
            </w:r>
          </w:p>
        </w:tc>
        <w:tc>
          <w:tcPr>
            <w:tcW w:w="638" w:type="dxa"/>
          </w:tcPr>
          <w:p>
            <w:pPr>
              <w:pStyle w:val="TableParagraph"/>
              <w:spacing w:line="138" w:lineRule="exact" w:before="9"/>
              <w:ind w:right="148"/>
              <w:jc w:val="right"/>
              <w:rPr>
                <w:sz w:val="13"/>
              </w:rPr>
            </w:pPr>
            <w:r>
              <w:rPr>
                <w:spacing w:val="-10"/>
                <w:w w:val="105"/>
                <w:sz w:val="13"/>
              </w:rPr>
              <w:t>-</w:t>
            </w:r>
          </w:p>
        </w:tc>
        <w:tc>
          <w:tcPr>
            <w:tcW w:w="564" w:type="dxa"/>
            <w:gridSpan w:val="2"/>
          </w:tcPr>
          <w:p>
            <w:pPr>
              <w:pStyle w:val="TableParagraph"/>
              <w:rPr>
                <w:rFonts w:ascii="Times New Roman"/>
                <w:sz w:val="10"/>
              </w:rPr>
            </w:pPr>
          </w:p>
        </w:tc>
        <w:tc>
          <w:tcPr>
            <w:tcW w:w="641" w:type="dxa"/>
          </w:tcPr>
          <w:p>
            <w:pPr>
              <w:pStyle w:val="TableParagraph"/>
              <w:spacing w:line="138" w:lineRule="exact" w:before="9"/>
              <w:ind w:left="118"/>
              <w:rPr>
                <w:sz w:val="13"/>
              </w:rPr>
            </w:pPr>
            <w:r>
              <w:rPr>
                <w:spacing w:val="-10"/>
                <w:w w:val="105"/>
                <w:sz w:val="13"/>
              </w:rPr>
              <w:t>1</w:t>
            </w:r>
          </w:p>
        </w:tc>
        <w:tc>
          <w:tcPr>
            <w:tcW w:w="623" w:type="dxa"/>
          </w:tcPr>
          <w:p>
            <w:pPr>
              <w:pStyle w:val="TableParagraph"/>
              <w:spacing w:line="138" w:lineRule="exact" w:before="9"/>
              <w:ind w:right="144"/>
              <w:jc w:val="right"/>
              <w:rPr>
                <w:sz w:val="13"/>
              </w:rPr>
            </w:pPr>
            <w:r>
              <w:rPr>
                <w:spacing w:val="-10"/>
                <w:w w:val="105"/>
                <w:sz w:val="13"/>
              </w:rPr>
              <w:t>-</w:t>
            </w:r>
          </w:p>
        </w:tc>
        <w:tc>
          <w:tcPr>
            <w:tcW w:w="565" w:type="dxa"/>
            <w:gridSpan w:val="2"/>
          </w:tcPr>
          <w:p>
            <w:pPr>
              <w:pStyle w:val="TableParagraph"/>
              <w:rPr>
                <w:rFonts w:ascii="Times New Roman"/>
                <w:sz w:val="10"/>
              </w:rPr>
            </w:pPr>
          </w:p>
        </w:tc>
        <w:tc>
          <w:tcPr>
            <w:tcW w:w="628" w:type="dxa"/>
          </w:tcPr>
          <w:p>
            <w:pPr>
              <w:pStyle w:val="TableParagraph"/>
              <w:spacing w:line="138" w:lineRule="exact" w:before="9"/>
              <w:ind w:right="262"/>
              <w:jc w:val="center"/>
              <w:rPr>
                <w:sz w:val="13"/>
              </w:rPr>
            </w:pPr>
            <w:r>
              <w:rPr>
                <w:spacing w:val="-10"/>
                <w:w w:val="105"/>
                <w:sz w:val="13"/>
              </w:rPr>
              <w:t>-</w:t>
            </w:r>
          </w:p>
        </w:tc>
      </w:tr>
      <w:tr>
        <w:trPr>
          <w:trHeight w:val="251" w:hRule="atLeast"/>
        </w:trPr>
        <w:tc>
          <w:tcPr>
            <w:tcW w:w="441" w:type="dxa"/>
          </w:tcPr>
          <w:p>
            <w:pPr>
              <w:pStyle w:val="TableParagraph"/>
              <w:rPr>
                <w:rFonts w:ascii="Times New Roman"/>
                <w:sz w:val="14"/>
              </w:rPr>
            </w:pPr>
          </w:p>
        </w:tc>
        <w:tc>
          <w:tcPr>
            <w:tcW w:w="4874" w:type="dxa"/>
          </w:tcPr>
          <w:p>
            <w:pPr>
              <w:pStyle w:val="TableParagraph"/>
              <w:spacing w:before="9"/>
              <w:ind w:left="215"/>
              <w:rPr>
                <w:sz w:val="13"/>
              </w:rPr>
            </w:pPr>
            <w:r>
              <w:rPr>
                <w:w w:val="105"/>
                <w:sz w:val="13"/>
              </w:rPr>
              <w:t>$290,000</w:t>
            </w:r>
            <w:r>
              <w:rPr>
                <w:spacing w:val="-9"/>
                <w:w w:val="105"/>
                <w:sz w:val="13"/>
              </w:rPr>
              <w:t> </w:t>
            </w:r>
            <w:r>
              <w:rPr>
                <w:w w:val="105"/>
                <w:sz w:val="13"/>
              </w:rPr>
              <w:t>-</w:t>
            </w:r>
            <w:r>
              <w:rPr>
                <w:spacing w:val="-6"/>
                <w:w w:val="105"/>
                <w:sz w:val="13"/>
              </w:rPr>
              <w:t> </w:t>
            </w:r>
            <w:r>
              <w:rPr>
                <w:spacing w:val="-2"/>
                <w:w w:val="105"/>
                <w:sz w:val="13"/>
              </w:rPr>
              <w:t>$299,999</w:t>
            </w:r>
          </w:p>
        </w:tc>
        <w:tc>
          <w:tcPr>
            <w:tcW w:w="638" w:type="dxa"/>
          </w:tcPr>
          <w:p>
            <w:pPr>
              <w:pStyle w:val="TableParagraph"/>
              <w:spacing w:before="9"/>
              <w:ind w:right="148"/>
              <w:jc w:val="right"/>
              <w:rPr>
                <w:sz w:val="13"/>
              </w:rPr>
            </w:pPr>
            <w:r>
              <w:rPr>
                <w:spacing w:val="-10"/>
                <w:w w:val="105"/>
                <w:sz w:val="13"/>
              </w:rPr>
              <w:t>-</w:t>
            </w:r>
          </w:p>
        </w:tc>
        <w:tc>
          <w:tcPr>
            <w:tcW w:w="564" w:type="dxa"/>
            <w:gridSpan w:val="2"/>
          </w:tcPr>
          <w:p>
            <w:pPr>
              <w:pStyle w:val="TableParagraph"/>
              <w:rPr>
                <w:rFonts w:ascii="Times New Roman"/>
                <w:sz w:val="14"/>
              </w:rPr>
            </w:pPr>
          </w:p>
        </w:tc>
        <w:tc>
          <w:tcPr>
            <w:tcW w:w="641" w:type="dxa"/>
          </w:tcPr>
          <w:p>
            <w:pPr>
              <w:pStyle w:val="TableParagraph"/>
              <w:spacing w:before="9"/>
              <w:ind w:left="156"/>
              <w:rPr>
                <w:sz w:val="13"/>
              </w:rPr>
            </w:pPr>
            <w:r>
              <w:rPr>
                <w:spacing w:val="-10"/>
                <w:w w:val="105"/>
                <w:sz w:val="13"/>
              </w:rPr>
              <w:t>-</w:t>
            </w:r>
          </w:p>
        </w:tc>
        <w:tc>
          <w:tcPr>
            <w:tcW w:w="623" w:type="dxa"/>
          </w:tcPr>
          <w:p>
            <w:pPr>
              <w:pStyle w:val="TableParagraph"/>
              <w:spacing w:before="9"/>
              <w:ind w:right="144"/>
              <w:jc w:val="right"/>
              <w:rPr>
                <w:sz w:val="13"/>
              </w:rPr>
            </w:pPr>
            <w:r>
              <w:rPr>
                <w:spacing w:val="-10"/>
                <w:w w:val="105"/>
                <w:sz w:val="13"/>
              </w:rPr>
              <w:t>-</w:t>
            </w:r>
          </w:p>
        </w:tc>
        <w:tc>
          <w:tcPr>
            <w:tcW w:w="565" w:type="dxa"/>
            <w:gridSpan w:val="2"/>
          </w:tcPr>
          <w:p>
            <w:pPr>
              <w:pStyle w:val="TableParagraph"/>
              <w:rPr>
                <w:rFonts w:ascii="Times New Roman"/>
                <w:sz w:val="14"/>
              </w:rPr>
            </w:pPr>
          </w:p>
        </w:tc>
        <w:tc>
          <w:tcPr>
            <w:tcW w:w="628" w:type="dxa"/>
          </w:tcPr>
          <w:p>
            <w:pPr>
              <w:pStyle w:val="TableParagraph"/>
              <w:spacing w:before="9"/>
              <w:ind w:left="6" w:right="265"/>
              <w:jc w:val="center"/>
              <w:rPr>
                <w:sz w:val="13"/>
              </w:rPr>
            </w:pPr>
            <w:r>
              <w:rPr>
                <w:w w:val="105"/>
                <w:sz w:val="13"/>
              </w:rPr>
              <w:t>1</w:t>
            </w:r>
            <w:r>
              <w:rPr>
                <w:spacing w:val="-2"/>
                <w:w w:val="105"/>
                <w:sz w:val="13"/>
              </w:rPr>
              <w:t> </w:t>
            </w:r>
            <w:r>
              <w:rPr>
                <w:spacing w:val="-10"/>
                <w:w w:val="105"/>
                <w:sz w:val="13"/>
              </w:rPr>
              <w:t>^</w:t>
            </w:r>
          </w:p>
        </w:tc>
      </w:tr>
      <w:tr>
        <w:trPr>
          <w:trHeight w:val="251" w:hRule="atLeast"/>
        </w:trPr>
        <w:tc>
          <w:tcPr>
            <w:tcW w:w="441" w:type="dxa"/>
          </w:tcPr>
          <w:p>
            <w:pPr>
              <w:pStyle w:val="TableParagraph"/>
              <w:rPr>
                <w:rFonts w:ascii="Times New Roman"/>
                <w:sz w:val="14"/>
              </w:rPr>
            </w:pPr>
          </w:p>
        </w:tc>
        <w:tc>
          <w:tcPr>
            <w:tcW w:w="4874" w:type="dxa"/>
          </w:tcPr>
          <w:p>
            <w:pPr>
              <w:pStyle w:val="TableParagraph"/>
              <w:spacing w:line="138" w:lineRule="exact" w:before="93"/>
              <w:ind w:left="215"/>
              <w:rPr>
                <w:sz w:val="13"/>
              </w:rPr>
            </w:pPr>
            <w:r>
              <w:rPr>
                <w:w w:val="105"/>
                <w:sz w:val="13"/>
              </w:rPr>
              <w:t>$340,000</w:t>
            </w:r>
            <w:r>
              <w:rPr>
                <w:spacing w:val="-9"/>
                <w:w w:val="105"/>
                <w:sz w:val="13"/>
              </w:rPr>
              <w:t> </w:t>
            </w:r>
            <w:r>
              <w:rPr>
                <w:w w:val="105"/>
                <w:sz w:val="13"/>
              </w:rPr>
              <w:t>-</w:t>
            </w:r>
            <w:r>
              <w:rPr>
                <w:spacing w:val="-6"/>
                <w:w w:val="105"/>
                <w:sz w:val="13"/>
              </w:rPr>
              <w:t> </w:t>
            </w:r>
            <w:r>
              <w:rPr>
                <w:spacing w:val="-2"/>
                <w:w w:val="105"/>
                <w:sz w:val="13"/>
              </w:rPr>
              <w:t>$349,999</w:t>
            </w:r>
          </w:p>
        </w:tc>
        <w:tc>
          <w:tcPr>
            <w:tcW w:w="638" w:type="dxa"/>
          </w:tcPr>
          <w:p>
            <w:pPr>
              <w:pStyle w:val="TableParagraph"/>
              <w:spacing w:line="138" w:lineRule="exact" w:before="93"/>
              <w:ind w:right="148"/>
              <w:jc w:val="right"/>
              <w:rPr>
                <w:sz w:val="13"/>
              </w:rPr>
            </w:pPr>
            <w:r>
              <w:rPr>
                <w:spacing w:val="-10"/>
                <w:w w:val="105"/>
                <w:sz w:val="13"/>
              </w:rPr>
              <w:t>-</w:t>
            </w:r>
          </w:p>
        </w:tc>
        <w:tc>
          <w:tcPr>
            <w:tcW w:w="564" w:type="dxa"/>
            <w:gridSpan w:val="2"/>
          </w:tcPr>
          <w:p>
            <w:pPr>
              <w:pStyle w:val="TableParagraph"/>
              <w:rPr>
                <w:rFonts w:ascii="Times New Roman"/>
                <w:sz w:val="14"/>
              </w:rPr>
            </w:pPr>
          </w:p>
        </w:tc>
        <w:tc>
          <w:tcPr>
            <w:tcW w:w="641" w:type="dxa"/>
          </w:tcPr>
          <w:p>
            <w:pPr>
              <w:pStyle w:val="TableParagraph"/>
              <w:spacing w:line="138" w:lineRule="exact" w:before="93"/>
              <w:ind w:left="156"/>
              <w:rPr>
                <w:sz w:val="13"/>
              </w:rPr>
            </w:pPr>
            <w:r>
              <w:rPr>
                <w:spacing w:val="-10"/>
                <w:w w:val="105"/>
                <w:sz w:val="13"/>
              </w:rPr>
              <w:t>-</w:t>
            </w:r>
          </w:p>
        </w:tc>
        <w:tc>
          <w:tcPr>
            <w:tcW w:w="623" w:type="dxa"/>
          </w:tcPr>
          <w:p>
            <w:pPr>
              <w:pStyle w:val="TableParagraph"/>
              <w:spacing w:line="138" w:lineRule="exact" w:before="93"/>
              <w:ind w:right="144"/>
              <w:jc w:val="right"/>
              <w:rPr>
                <w:sz w:val="13"/>
              </w:rPr>
            </w:pPr>
            <w:r>
              <w:rPr>
                <w:spacing w:val="-10"/>
                <w:w w:val="105"/>
                <w:sz w:val="13"/>
              </w:rPr>
              <w:t>-</w:t>
            </w:r>
          </w:p>
        </w:tc>
        <w:tc>
          <w:tcPr>
            <w:tcW w:w="565" w:type="dxa"/>
            <w:gridSpan w:val="2"/>
          </w:tcPr>
          <w:p>
            <w:pPr>
              <w:pStyle w:val="TableParagraph"/>
              <w:rPr>
                <w:rFonts w:ascii="Times New Roman"/>
                <w:sz w:val="14"/>
              </w:rPr>
            </w:pPr>
          </w:p>
        </w:tc>
        <w:tc>
          <w:tcPr>
            <w:tcW w:w="628" w:type="dxa"/>
          </w:tcPr>
          <w:p>
            <w:pPr>
              <w:pStyle w:val="TableParagraph"/>
              <w:spacing w:line="138" w:lineRule="exact" w:before="93"/>
              <w:ind w:left="92" w:right="398"/>
              <w:jc w:val="center"/>
              <w:rPr>
                <w:sz w:val="13"/>
              </w:rPr>
            </w:pPr>
            <w:r>
              <w:rPr>
                <w:spacing w:val="-10"/>
                <w:w w:val="105"/>
                <w:sz w:val="13"/>
              </w:rPr>
              <w:t>1</w:t>
            </w:r>
          </w:p>
        </w:tc>
      </w:tr>
      <w:tr>
        <w:trPr>
          <w:trHeight w:val="167" w:hRule="atLeast"/>
        </w:trPr>
        <w:tc>
          <w:tcPr>
            <w:tcW w:w="441" w:type="dxa"/>
          </w:tcPr>
          <w:p>
            <w:pPr>
              <w:pStyle w:val="TableParagraph"/>
              <w:rPr>
                <w:rFonts w:ascii="Times New Roman"/>
                <w:sz w:val="10"/>
              </w:rPr>
            </w:pPr>
          </w:p>
        </w:tc>
        <w:tc>
          <w:tcPr>
            <w:tcW w:w="4874" w:type="dxa"/>
          </w:tcPr>
          <w:p>
            <w:pPr>
              <w:pStyle w:val="TableParagraph"/>
              <w:spacing w:line="138" w:lineRule="exact" w:before="9"/>
              <w:ind w:left="215"/>
              <w:rPr>
                <w:sz w:val="13"/>
              </w:rPr>
            </w:pPr>
            <w:r>
              <w:rPr>
                <w:w w:val="105"/>
                <w:sz w:val="13"/>
              </w:rPr>
              <w:t>$360,000</w:t>
            </w:r>
            <w:r>
              <w:rPr>
                <w:spacing w:val="-9"/>
                <w:w w:val="105"/>
                <w:sz w:val="13"/>
              </w:rPr>
              <w:t> </w:t>
            </w:r>
            <w:r>
              <w:rPr>
                <w:w w:val="105"/>
                <w:sz w:val="13"/>
              </w:rPr>
              <w:t>-</w:t>
            </w:r>
            <w:r>
              <w:rPr>
                <w:spacing w:val="-6"/>
                <w:w w:val="105"/>
                <w:sz w:val="13"/>
              </w:rPr>
              <w:t> </w:t>
            </w:r>
            <w:r>
              <w:rPr>
                <w:spacing w:val="-2"/>
                <w:w w:val="105"/>
                <w:sz w:val="13"/>
              </w:rPr>
              <w:t>$369,999</w:t>
            </w:r>
          </w:p>
        </w:tc>
        <w:tc>
          <w:tcPr>
            <w:tcW w:w="638" w:type="dxa"/>
          </w:tcPr>
          <w:p>
            <w:pPr>
              <w:pStyle w:val="TableParagraph"/>
              <w:spacing w:line="138" w:lineRule="exact" w:before="9"/>
              <w:ind w:right="81"/>
              <w:jc w:val="right"/>
              <w:rPr>
                <w:sz w:val="13"/>
              </w:rPr>
            </w:pPr>
            <w:r>
              <w:rPr>
                <w:w w:val="105"/>
                <w:sz w:val="13"/>
              </w:rPr>
              <w:t>1</w:t>
            </w:r>
            <w:r>
              <w:rPr>
                <w:spacing w:val="-2"/>
                <w:w w:val="105"/>
                <w:sz w:val="13"/>
              </w:rPr>
              <w:t> </w:t>
            </w:r>
            <w:r>
              <w:rPr>
                <w:spacing w:val="-10"/>
                <w:w w:val="105"/>
                <w:sz w:val="13"/>
              </w:rPr>
              <w:t>^</w:t>
            </w:r>
          </w:p>
        </w:tc>
        <w:tc>
          <w:tcPr>
            <w:tcW w:w="564" w:type="dxa"/>
            <w:gridSpan w:val="2"/>
          </w:tcPr>
          <w:p>
            <w:pPr>
              <w:pStyle w:val="TableParagraph"/>
              <w:rPr>
                <w:rFonts w:ascii="Times New Roman"/>
                <w:sz w:val="10"/>
              </w:rPr>
            </w:pPr>
          </w:p>
        </w:tc>
        <w:tc>
          <w:tcPr>
            <w:tcW w:w="641" w:type="dxa"/>
          </w:tcPr>
          <w:p>
            <w:pPr>
              <w:pStyle w:val="TableParagraph"/>
              <w:spacing w:line="138" w:lineRule="exact" w:before="9"/>
              <w:ind w:left="156"/>
              <w:rPr>
                <w:sz w:val="13"/>
              </w:rPr>
            </w:pPr>
            <w:r>
              <w:rPr>
                <w:spacing w:val="-10"/>
                <w:w w:val="105"/>
                <w:sz w:val="13"/>
              </w:rPr>
              <w:t>-</w:t>
            </w:r>
          </w:p>
        </w:tc>
        <w:tc>
          <w:tcPr>
            <w:tcW w:w="623" w:type="dxa"/>
          </w:tcPr>
          <w:p>
            <w:pPr>
              <w:pStyle w:val="TableParagraph"/>
              <w:spacing w:line="138" w:lineRule="exact" w:before="9"/>
              <w:ind w:right="144"/>
              <w:jc w:val="right"/>
              <w:rPr>
                <w:sz w:val="13"/>
              </w:rPr>
            </w:pPr>
            <w:r>
              <w:rPr>
                <w:spacing w:val="-10"/>
                <w:w w:val="105"/>
                <w:sz w:val="13"/>
              </w:rPr>
              <w:t>-</w:t>
            </w:r>
          </w:p>
        </w:tc>
        <w:tc>
          <w:tcPr>
            <w:tcW w:w="565" w:type="dxa"/>
            <w:gridSpan w:val="2"/>
          </w:tcPr>
          <w:p>
            <w:pPr>
              <w:pStyle w:val="TableParagraph"/>
              <w:rPr>
                <w:rFonts w:ascii="Times New Roman"/>
                <w:sz w:val="10"/>
              </w:rPr>
            </w:pPr>
          </w:p>
        </w:tc>
        <w:tc>
          <w:tcPr>
            <w:tcW w:w="628" w:type="dxa"/>
          </w:tcPr>
          <w:p>
            <w:pPr>
              <w:pStyle w:val="TableParagraph"/>
              <w:spacing w:line="138" w:lineRule="exact" w:before="9"/>
              <w:ind w:right="262"/>
              <w:jc w:val="center"/>
              <w:rPr>
                <w:sz w:val="13"/>
              </w:rPr>
            </w:pPr>
            <w:r>
              <w:rPr>
                <w:spacing w:val="-10"/>
                <w:w w:val="105"/>
                <w:sz w:val="13"/>
              </w:rPr>
              <w:t>-</w:t>
            </w:r>
          </w:p>
        </w:tc>
      </w:tr>
      <w:tr>
        <w:trPr>
          <w:trHeight w:val="167" w:hRule="atLeast"/>
        </w:trPr>
        <w:tc>
          <w:tcPr>
            <w:tcW w:w="441" w:type="dxa"/>
          </w:tcPr>
          <w:p>
            <w:pPr>
              <w:pStyle w:val="TableParagraph"/>
              <w:rPr>
                <w:rFonts w:ascii="Times New Roman"/>
                <w:sz w:val="10"/>
              </w:rPr>
            </w:pPr>
          </w:p>
        </w:tc>
        <w:tc>
          <w:tcPr>
            <w:tcW w:w="4874" w:type="dxa"/>
          </w:tcPr>
          <w:p>
            <w:pPr>
              <w:pStyle w:val="TableParagraph"/>
              <w:spacing w:line="138" w:lineRule="exact" w:before="9"/>
              <w:ind w:left="215"/>
              <w:rPr>
                <w:sz w:val="13"/>
              </w:rPr>
            </w:pPr>
            <w:r>
              <w:rPr>
                <w:w w:val="105"/>
                <w:sz w:val="13"/>
              </w:rPr>
              <w:t>$370,000</w:t>
            </w:r>
            <w:r>
              <w:rPr>
                <w:spacing w:val="-9"/>
                <w:w w:val="105"/>
                <w:sz w:val="13"/>
              </w:rPr>
              <w:t> </w:t>
            </w:r>
            <w:r>
              <w:rPr>
                <w:w w:val="105"/>
                <w:sz w:val="13"/>
              </w:rPr>
              <w:t>-</w:t>
            </w:r>
            <w:r>
              <w:rPr>
                <w:spacing w:val="-6"/>
                <w:w w:val="105"/>
                <w:sz w:val="13"/>
              </w:rPr>
              <w:t> </w:t>
            </w:r>
            <w:r>
              <w:rPr>
                <w:spacing w:val="-2"/>
                <w:w w:val="105"/>
                <w:sz w:val="13"/>
              </w:rPr>
              <w:t>$379,000</w:t>
            </w:r>
          </w:p>
        </w:tc>
        <w:tc>
          <w:tcPr>
            <w:tcW w:w="638" w:type="dxa"/>
          </w:tcPr>
          <w:p>
            <w:pPr>
              <w:pStyle w:val="TableParagraph"/>
              <w:spacing w:line="138" w:lineRule="exact" w:before="9"/>
              <w:ind w:right="81"/>
              <w:jc w:val="right"/>
              <w:rPr>
                <w:sz w:val="13"/>
              </w:rPr>
            </w:pPr>
            <w:r>
              <w:rPr>
                <w:w w:val="105"/>
                <w:sz w:val="13"/>
              </w:rPr>
              <w:t>1</w:t>
            </w:r>
            <w:r>
              <w:rPr>
                <w:spacing w:val="-2"/>
                <w:w w:val="105"/>
                <w:sz w:val="13"/>
              </w:rPr>
              <w:t> </w:t>
            </w:r>
            <w:r>
              <w:rPr>
                <w:spacing w:val="-10"/>
                <w:w w:val="105"/>
                <w:sz w:val="13"/>
              </w:rPr>
              <w:t>^</w:t>
            </w:r>
          </w:p>
        </w:tc>
        <w:tc>
          <w:tcPr>
            <w:tcW w:w="564" w:type="dxa"/>
            <w:gridSpan w:val="2"/>
          </w:tcPr>
          <w:p>
            <w:pPr>
              <w:pStyle w:val="TableParagraph"/>
              <w:rPr>
                <w:rFonts w:ascii="Times New Roman"/>
                <w:sz w:val="10"/>
              </w:rPr>
            </w:pPr>
          </w:p>
        </w:tc>
        <w:tc>
          <w:tcPr>
            <w:tcW w:w="641" w:type="dxa"/>
          </w:tcPr>
          <w:p>
            <w:pPr>
              <w:pStyle w:val="TableParagraph"/>
              <w:spacing w:line="138" w:lineRule="exact" w:before="9"/>
              <w:ind w:left="156"/>
              <w:rPr>
                <w:sz w:val="13"/>
              </w:rPr>
            </w:pPr>
            <w:r>
              <w:rPr>
                <w:spacing w:val="-10"/>
                <w:w w:val="105"/>
                <w:sz w:val="13"/>
              </w:rPr>
              <w:t>-</w:t>
            </w:r>
          </w:p>
        </w:tc>
        <w:tc>
          <w:tcPr>
            <w:tcW w:w="623" w:type="dxa"/>
          </w:tcPr>
          <w:p>
            <w:pPr>
              <w:pStyle w:val="TableParagraph"/>
              <w:spacing w:line="138" w:lineRule="exact" w:before="9"/>
              <w:ind w:left="393"/>
              <w:rPr>
                <w:sz w:val="13"/>
              </w:rPr>
            </w:pPr>
            <w:r>
              <w:rPr>
                <w:spacing w:val="-10"/>
                <w:w w:val="105"/>
                <w:sz w:val="13"/>
              </w:rPr>
              <w:t>1</w:t>
            </w:r>
          </w:p>
        </w:tc>
        <w:tc>
          <w:tcPr>
            <w:tcW w:w="565" w:type="dxa"/>
            <w:gridSpan w:val="2"/>
          </w:tcPr>
          <w:p>
            <w:pPr>
              <w:pStyle w:val="TableParagraph"/>
              <w:rPr>
                <w:rFonts w:ascii="Times New Roman"/>
                <w:sz w:val="10"/>
              </w:rPr>
            </w:pPr>
          </w:p>
        </w:tc>
        <w:tc>
          <w:tcPr>
            <w:tcW w:w="628" w:type="dxa"/>
          </w:tcPr>
          <w:p>
            <w:pPr>
              <w:pStyle w:val="TableParagraph"/>
              <w:spacing w:line="138" w:lineRule="exact" w:before="9"/>
              <w:ind w:right="262"/>
              <w:jc w:val="center"/>
              <w:rPr>
                <w:sz w:val="13"/>
              </w:rPr>
            </w:pPr>
            <w:r>
              <w:rPr>
                <w:spacing w:val="-10"/>
                <w:w w:val="105"/>
                <w:sz w:val="13"/>
              </w:rPr>
              <w:t>-</w:t>
            </w:r>
          </w:p>
        </w:tc>
      </w:tr>
      <w:tr>
        <w:trPr>
          <w:trHeight w:val="251" w:hRule="atLeast"/>
        </w:trPr>
        <w:tc>
          <w:tcPr>
            <w:tcW w:w="441" w:type="dxa"/>
          </w:tcPr>
          <w:p>
            <w:pPr>
              <w:pStyle w:val="TableParagraph"/>
              <w:rPr>
                <w:rFonts w:ascii="Times New Roman"/>
                <w:sz w:val="14"/>
              </w:rPr>
            </w:pPr>
          </w:p>
        </w:tc>
        <w:tc>
          <w:tcPr>
            <w:tcW w:w="4874" w:type="dxa"/>
          </w:tcPr>
          <w:p>
            <w:pPr>
              <w:pStyle w:val="TableParagraph"/>
              <w:spacing w:before="9"/>
              <w:ind w:left="215"/>
              <w:rPr>
                <w:sz w:val="13"/>
              </w:rPr>
            </w:pPr>
            <w:r>
              <w:rPr>
                <w:w w:val="105"/>
                <w:sz w:val="13"/>
              </w:rPr>
              <w:t>$380,000</w:t>
            </w:r>
            <w:r>
              <w:rPr>
                <w:spacing w:val="-9"/>
                <w:w w:val="105"/>
                <w:sz w:val="13"/>
              </w:rPr>
              <w:t> </w:t>
            </w:r>
            <w:r>
              <w:rPr>
                <w:w w:val="105"/>
                <w:sz w:val="13"/>
              </w:rPr>
              <w:t>-</w:t>
            </w:r>
            <w:r>
              <w:rPr>
                <w:spacing w:val="-6"/>
                <w:w w:val="105"/>
                <w:sz w:val="13"/>
              </w:rPr>
              <w:t> </w:t>
            </w:r>
            <w:r>
              <w:rPr>
                <w:spacing w:val="-2"/>
                <w:w w:val="105"/>
                <w:sz w:val="13"/>
              </w:rPr>
              <w:t>$389,999</w:t>
            </w:r>
          </w:p>
        </w:tc>
        <w:tc>
          <w:tcPr>
            <w:tcW w:w="638" w:type="dxa"/>
          </w:tcPr>
          <w:p>
            <w:pPr>
              <w:pStyle w:val="TableParagraph"/>
              <w:spacing w:before="9"/>
              <w:ind w:right="148"/>
              <w:jc w:val="right"/>
              <w:rPr>
                <w:sz w:val="13"/>
              </w:rPr>
            </w:pPr>
            <w:r>
              <w:rPr>
                <w:spacing w:val="-10"/>
                <w:w w:val="105"/>
                <w:sz w:val="13"/>
              </w:rPr>
              <w:t>-</w:t>
            </w:r>
          </w:p>
        </w:tc>
        <w:tc>
          <w:tcPr>
            <w:tcW w:w="564" w:type="dxa"/>
            <w:gridSpan w:val="2"/>
          </w:tcPr>
          <w:p>
            <w:pPr>
              <w:pStyle w:val="TableParagraph"/>
              <w:rPr>
                <w:rFonts w:ascii="Times New Roman"/>
                <w:sz w:val="14"/>
              </w:rPr>
            </w:pPr>
          </w:p>
        </w:tc>
        <w:tc>
          <w:tcPr>
            <w:tcW w:w="641" w:type="dxa"/>
          </w:tcPr>
          <w:p>
            <w:pPr>
              <w:pStyle w:val="TableParagraph"/>
              <w:spacing w:before="9"/>
              <w:ind w:left="156"/>
              <w:rPr>
                <w:sz w:val="13"/>
              </w:rPr>
            </w:pPr>
            <w:r>
              <w:rPr>
                <w:spacing w:val="-10"/>
                <w:w w:val="105"/>
                <w:sz w:val="13"/>
              </w:rPr>
              <w:t>-</w:t>
            </w:r>
          </w:p>
        </w:tc>
        <w:tc>
          <w:tcPr>
            <w:tcW w:w="623" w:type="dxa"/>
          </w:tcPr>
          <w:p>
            <w:pPr>
              <w:pStyle w:val="TableParagraph"/>
              <w:spacing w:before="9"/>
              <w:ind w:right="77"/>
              <w:jc w:val="right"/>
              <w:rPr>
                <w:sz w:val="13"/>
              </w:rPr>
            </w:pPr>
            <w:r>
              <w:rPr>
                <w:w w:val="105"/>
                <w:sz w:val="13"/>
              </w:rPr>
              <w:t>1</w:t>
            </w:r>
            <w:r>
              <w:rPr>
                <w:spacing w:val="-2"/>
                <w:w w:val="105"/>
                <w:sz w:val="13"/>
              </w:rPr>
              <w:t> </w:t>
            </w:r>
            <w:r>
              <w:rPr>
                <w:spacing w:val="-10"/>
                <w:w w:val="105"/>
                <w:sz w:val="13"/>
              </w:rPr>
              <w:t>^</w:t>
            </w:r>
          </w:p>
        </w:tc>
        <w:tc>
          <w:tcPr>
            <w:tcW w:w="565" w:type="dxa"/>
            <w:gridSpan w:val="2"/>
          </w:tcPr>
          <w:p>
            <w:pPr>
              <w:pStyle w:val="TableParagraph"/>
              <w:rPr>
                <w:rFonts w:ascii="Times New Roman"/>
                <w:sz w:val="14"/>
              </w:rPr>
            </w:pPr>
          </w:p>
        </w:tc>
        <w:tc>
          <w:tcPr>
            <w:tcW w:w="628" w:type="dxa"/>
          </w:tcPr>
          <w:p>
            <w:pPr>
              <w:pStyle w:val="TableParagraph"/>
              <w:spacing w:before="9"/>
              <w:ind w:right="262"/>
              <w:jc w:val="center"/>
              <w:rPr>
                <w:sz w:val="13"/>
              </w:rPr>
            </w:pPr>
            <w:r>
              <w:rPr>
                <w:spacing w:val="-10"/>
                <w:w w:val="105"/>
                <w:sz w:val="13"/>
              </w:rPr>
              <w:t>-</w:t>
            </w:r>
          </w:p>
        </w:tc>
      </w:tr>
      <w:tr>
        <w:trPr>
          <w:trHeight w:val="251" w:hRule="atLeast"/>
        </w:trPr>
        <w:tc>
          <w:tcPr>
            <w:tcW w:w="441" w:type="dxa"/>
          </w:tcPr>
          <w:p>
            <w:pPr>
              <w:pStyle w:val="TableParagraph"/>
              <w:rPr>
                <w:rFonts w:ascii="Times New Roman"/>
                <w:sz w:val="14"/>
              </w:rPr>
            </w:pPr>
          </w:p>
        </w:tc>
        <w:tc>
          <w:tcPr>
            <w:tcW w:w="4874" w:type="dxa"/>
          </w:tcPr>
          <w:p>
            <w:pPr>
              <w:pStyle w:val="TableParagraph"/>
              <w:spacing w:line="138" w:lineRule="exact" w:before="93"/>
              <w:ind w:left="215"/>
              <w:rPr>
                <w:sz w:val="13"/>
              </w:rPr>
            </w:pPr>
            <w:r>
              <w:rPr>
                <w:w w:val="105"/>
                <w:sz w:val="13"/>
              </w:rPr>
              <w:t>$430,000</w:t>
            </w:r>
            <w:r>
              <w:rPr>
                <w:spacing w:val="-9"/>
                <w:w w:val="105"/>
                <w:sz w:val="13"/>
              </w:rPr>
              <w:t> </w:t>
            </w:r>
            <w:r>
              <w:rPr>
                <w:w w:val="105"/>
                <w:sz w:val="13"/>
              </w:rPr>
              <w:t>-</w:t>
            </w:r>
            <w:r>
              <w:rPr>
                <w:spacing w:val="-6"/>
                <w:w w:val="105"/>
                <w:sz w:val="13"/>
              </w:rPr>
              <w:t> </w:t>
            </w:r>
            <w:r>
              <w:rPr>
                <w:spacing w:val="-2"/>
                <w:w w:val="105"/>
                <w:sz w:val="13"/>
              </w:rPr>
              <w:t>$439,999</w:t>
            </w:r>
          </w:p>
        </w:tc>
        <w:tc>
          <w:tcPr>
            <w:tcW w:w="638" w:type="dxa"/>
          </w:tcPr>
          <w:p>
            <w:pPr>
              <w:pStyle w:val="TableParagraph"/>
              <w:spacing w:line="138" w:lineRule="exact" w:before="93"/>
              <w:ind w:right="148"/>
              <w:jc w:val="right"/>
              <w:rPr>
                <w:sz w:val="13"/>
              </w:rPr>
            </w:pPr>
            <w:r>
              <w:rPr>
                <w:spacing w:val="-10"/>
                <w:w w:val="105"/>
                <w:sz w:val="13"/>
              </w:rPr>
              <w:t>-</w:t>
            </w:r>
          </w:p>
        </w:tc>
        <w:tc>
          <w:tcPr>
            <w:tcW w:w="564" w:type="dxa"/>
            <w:gridSpan w:val="2"/>
          </w:tcPr>
          <w:p>
            <w:pPr>
              <w:pStyle w:val="TableParagraph"/>
              <w:rPr>
                <w:rFonts w:ascii="Times New Roman"/>
                <w:sz w:val="14"/>
              </w:rPr>
            </w:pPr>
          </w:p>
        </w:tc>
        <w:tc>
          <w:tcPr>
            <w:tcW w:w="641" w:type="dxa"/>
          </w:tcPr>
          <w:p>
            <w:pPr>
              <w:pStyle w:val="TableParagraph"/>
              <w:spacing w:line="138" w:lineRule="exact" w:before="93"/>
              <w:ind w:left="156"/>
              <w:rPr>
                <w:sz w:val="13"/>
              </w:rPr>
            </w:pPr>
            <w:r>
              <w:rPr>
                <w:spacing w:val="-10"/>
                <w:w w:val="105"/>
                <w:sz w:val="13"/>
              </w:rPr>
              <w:t>-</w:t>
            </w:r>
          </w:p>
        </w:tc>
        <w:tc>
          <w:tcPr>
            <w:tcW w:w="623" w:type="dxa"/>
          </w:tcPr>
          <w:p>
            <w:pPr>
              <w:pStyle w:val="TableParagraph"/>
              <w:spacing w:line="138" w:lineRule="exact" w:before="93"/>
              <w:ind w:left="393"/>
              <w:rPr>
                <w:sz w:val="13"/>
              </w:rPr>
            </w:pPr>
            <w:r>
              <w:rPr>
                <w:spacing w:val="-10"/>
                <w:w w:val="105"/>
                <w:sz w:val="13"/>
              </w:rPr>
              <w:t>1</w:t>
            </w:r>
          </w:p>
        </w:tc>
        <w:tc>
          <w:tcPr>
            <w:tcW w:w="565" w:type="dxa"/>
            <w:gridSpan w:val="2"/>
          </w:tcPr>
          <w:p>
            <w:pPr>
              <w:pStyle w:val="TableParagraph"/>
              <w:rPr>
                <w:rFonts w:ascii="Times New Roman"/>
                <w:sz w:val="14"/>
              </w:rPr>
            </w:pPr>
          </w:p>
        </w:tc>
        <w:tc>
          <w:tcPr>
            <w:tcW w:w="628" w:type="dxa"/>
          </w:tcPr>
          <w:p>
            <w:pPr>
              <w:pStyle w:val="TableParagraph"/>
              <w:spacing w:line="138" w:lineRule="exact" w:before="93"/>
              <w:ind w:right="262"/>
              <w:jc w:val="center"/>
              <w:rPr>
                <w:sz w:val="13"/>
              </w:rPr>
            </w:pPr>
            <w:r>
              <w:rPr>
                <w:spacing w:val="-10"/>
                <w:w w:val="105"/>
                <w:sz w:val="13"/>
              </w:rPr>
              <w:t>-</w:t>
            </w:r>
          </w:p>
        </w:tc>
      </w:tr>
      <w:tr>
        <w:trPr>
          <w:trHeight w:val="251" w:hRule="atLeast"/>
        </w:trPr>
        <w:tc>
          <w:tcPr>
            <w:tcW w:w="441" w:type="dxa"/>
          </w:tcPr>
          <w:p>
            <w:pPr>
              <w:pStyle w:val="TableParagraph"/>
              <w:rPr>
                <w:rFonts w:ascii="Times New Roman"/>
                <w:sz w:val="14"/>
              </w:rPr>
            </w:pPr>
          </w:p>
        </w:tc>
        <w:tc>
          <w:tcPr>
            <w:tcW w:w="4874" w:type="dxa"/>
          </w:tcPr>
          <w:p>
            <w:pPr>
              <w:pStyle w:val="TableParagraph"/>
              <w:spacing w:before="9"/>
              <w:ind w:left="215"/>
              <w:rPr>
                <w:sz w:val="13"/>
              </w:rPr>
            </w:pPr>
            <w:r>
              <w:rPr>
                <w:w w:val="105"/>
                <w:sz w:val="13"/>
              </w:rPr>
              <w:t>$440,000</w:t>
            </w:r>
            <w:r>
              <w:rPr>
                <w:spacing w:val="-9"/>
                <w:w w:val="105"/>
                <w:sz w:val="13"/>
              </w:rPr>
              <w:t> </w:t>
            </w:r>
            <w:r>
              <w:rPr>
                <w:w w:val="105"/>
                <w:sz w:val="13"/>
              </w:rPr>
              <w:t>-</w:t>
            </w:r>
            <w:r>
              <w:rPr>
                <w:spacing w:val="-6"/>
                <w:w w:val="105"/>
                <w:sz w:val="13"/>
              </w:rPr>
              <w:t> </w:t>
            </w:r>
            <w:r>
              <w:rPr>
                <w:spacing w:val="-2"/>
                <w:w w:val="105"/>
                <w:sz w:val="13"/>
              </w:rPr>
              <w:t>$449,999</w:t>
            </w:r>
          </w:p>
        </w:tc>
        <w:tc>
          <w:tcPr>
            <w:tcW w:w="638" w:type="dxa"/>
          </w:tcPr>
          <w:p>
            <w:pPr>
              <w:pStyle w:val="TableParagraph"/>
              <w:spacing w:before="9"/>
              <w:ind w:right="148"/>
              <w:jc w:val="right"/>
              <w:rPr>
                <w:sz w:val="13"/>
              </w:rPr>
            </w:pPr>
            <w:r>
              <w:rPr>
                <w:spacing w:val="-10"/>
                <w:w w:val="105"/>
                <w:sz w:val="13"/>
              </w:rPr>
              <w:t>-</w:t>
            </w:r>
          </w:p>
        </w:tc>
        <w:tc>
          <w:tcPr>
            <w:tcW w:w="564" w:type="dxa"/>
            <w:gridSpan w:val="2"/>
          </w:tcPr>
          <w:p>
            <w:pPr>
              <w:pStyle w:val="TableParagraph"/>
              <w:rPr>
                <w:rFonts w:ascii="Times New Roman"/>
                <w:sz w:val="14"/>
              </w:rPr>
            </w:pPr>
          </w:p>
        </w:tc>
        <w:tc>
          <w:tcPr>
            <w:tcW w:w="641" w:type="dxa"/>
          </w:tcPr>
          <w:p>
            <w:pPr>
              <w:pStyle w:val="TableParagraph"/>
              <w:spacing w:before="9"/>
              <w:ind w:left="156"/>
              <w:rPr>
                <w:sz w:val="13"/>
              </w:rPr>
            </w:pPr>
            <w:r>
              <w:rPr>
                <w:spacing w:val="-10"/>
                <w:w w:val="105"/>
                <w:sz w:val="13"/>
              </w:rPr>
              <w:t>-</w:t>
            </w:r>
          </w:p>
        </w:tc>
        <w:tc>
          <w:tcPr>
            <w:tcW w:w="623" w:type="dxa"/>
          </w:tcPr>
          <w:p>
            <w:pPr>
              <w:pStyle w:val="TableParagraph"/>
              <w:spacing w:before="9"/>
              <w:ind w:right="144"/>
              <w:jc w:val="right"/>
              <w:rPr>
                <w:sz w:val="13"/>
              </w:rPr>
            </w:pPr>
            <w:r>
              <w:rPr>
                <w:spacing w:val="-10"/>
                <w:w w:val="105"/>
                <w:sz w:val="13"/>
              </w:rPr>
              <w:t>-</w:t>
            </w:r>
          </w:p>
        </w:tc>
        <w:tc>
          <w:tcPr>
            <w:tcW w:w="565" w:type="dxa"/>
            <w:gridSpan w:val="2"/>
          </w:tcPr>
          <w:p>
            <w:pPr>
              <w:pStyle w:val="TableParagraph"/>
              <w:rPr>
                <w:rFonts w:ascii="Times New Roman"/>
                <w:sz w:val="14"/>
              </w:rPr>
            </w:pPr>
          </w:p>
        </w:tc>
        <w:tc>
          <w:tcPr>
            <w:tcW w:w="628" w:type="dxa"/>
          </w:tcPr>
          <w:p>
            <w:pPr>
              <w:pStyle w:val="TableParagraph"/>
              <w:spacing w:before="9"/>
              <w:ind w:left="92" w:right="398"/>
              <w:jc w:val="center"/>
              <w:rPr>
                <w:sz w:val="13"/>
              </w:rPr>
            </w:pPr>
            <w:r>
              <w:rPr>
                <w:spacing w:val="-10"/>
                <w:w w:val="105"/>
                <w:sz w:val="13"/>
              </w:rPr>
              <w:t>2</w:t>
            </w:r>
          </w:p>
        </w:tc>
      </w:tr>
      <w:tr>
        <w:trPr>
          <w:trHeight w:val="251" w:hRule="atLeast"/>
        </w:trPr>
        <w:tc>
          <w:tcPr>
            <w:tcW w:w="441" w:type="dxa"/>
          </w:tcPr>
          <w:p>
            <w:pPr>
              <w:pStyle w:val="TableParagraph"/>
              <w:rPr>
                <w:rFonts w:ascii="Times New Roman"/>
                <w:sz w:val="14"/>
              </w:rPr>
            </w:pPr>
          </w:p>
        </w:tc>
        <w:tc>
          <w:tcPr>
            <w:tcW w:w="4874" w:type="dxa"/>
          </w:tcPr>
          <w:p>
            <w:pPr>
              <w:pStyle w:val="TableParagraph"/>
              <w:spacing w:line="138" w:lineRule="exact" w:before="93"/>
              <w:ind w:left="215"/>
              <w:rPr>
                <w:sz w:val="13"/>
              </w:rPr>
            </w:pPr>
            <w:r>
              <w:rPr>
                <w:w w:val="105"/>
                <w:sz w:val="13"/>
              </w:rPr>
              <w:t>$510,000</w:t>
            </w:r>
            <w:r>
              <w:rPr>
                <w:spacing w:val="-9"/>
                <w:w w:val="105"/>
                <w:sz w:val="13"/>
              </w:rPr>
              <w:t> </w:t>
            </w:r>
            <w:r>
              <w:rPr>
                <w:w w:val="105"/>
                <w:sz w:val="13"/>
              </w:rPr>
              <w:t>-</w:t>
            </w:r>
            <w:r>
              <w:rPr>
                <w:spacing w:val="-6"/>
                <w:w w:val="105"/>
                <w:sz w:val="13"/>
              </w:rPr>
              <w:t> </w:t>
            </w:r>
            <w:r>
              <w:rPr>
                <w:spacing w:val="-2"/>
                <w:w w:val="105"/>
                <w:sz w:val="13"/>
              </w:rPr>
              <w:t>$519,999</w:t>
            </w:r>
          </w:p>
        </w:tc>
        <w:tc>
          <w:tcPr>
            <w:tcW w:w="638" w:type="dxa"/>
          </w:tcPr>
          <w:p>
            <w:pPr>
              <w:pStyle w:val="TableParagraph"/>
              <w:spacing w:line="138" w:lineRule="exact" w:before="93"/>
              <w:ind w:right="148"/>
              <w:jc w:val="right"/>
              <w:rPr>
                <w:sz w:val="13"/>
              </w:rPr>
            </w:pPr>
            <w:r>
              <w:rPr>
                <w:spacing w:val="-10"/>
                <w:w w:val="105"/>
                <w:sz w:val="13"/>
              </w:rPr>
              <w:t>-</w:t>
            </w:r>
          </w:p>
        </w:tc>
        <w:tc>
          <w:tcPr>
            <w:tcW w:w="564" w:type="dxa"/>
            <w:gridSpan w:val="2"/>
          </w:tcPr>
          <w:p>
            <w:pPr>
              <w:pStyle w:val="TableParagraph"/>
              <w:rPr>
                <w:rFonts w:ascii="Times New Roman"/>
                <w:sz w:val="14"/>
              </w:rPr>
            </w:pPr>
          </w:p>
        </w:tc>
        <w:tc>
          <w:tcPr>
            <w:tcW w:w="641" w:type="dxa"/>
          </w:tcPr>
          <w:p>
            <w:pPr>
              <w:pStyle w:val="TableParagraph"/>
              <w:spacing w:line="138" w:lineRule="exact" w:before="93"/>
              <w:ind w:left="156"/>
              <w:rPr>
                <w:sz w:val="13"/>
              </w:rPr>
            </w:pPr>
            <w:r>
              <w:rPr>
                <w:spacing w:val="-10"/>
                <w:w w:val="105"/>
                <w:sz w:val="13"/>
              </w:rPr>
              <w:t>-</w:t>
            </w:r>
          </w:p>
        </w:tc>
        <w:tc>
          <w:tcPr>
            <w:tcW w:w="623" w:type="dxa"/>
          </w:tcPr>
          <w:p>
            <w:pPr>
              <w:pStyle w:val="TableParagraph"/>
              <w:spacing w:line="138" w:lineRule="exact" w:before="93"/>
              <w:ind w:right="144"/>
              <w:jc w:val="right"/>
              <w:rPr>
                <w:sz w:val="13"/>
              </w:rPr>
            </w:pPr>
            <w:r>
              <w:rPr>
                <w:spacing w:val="-10"/>
                <w:w w:val="105"/>
                <w:sz w:val="13"/>
              </w:rPr>
              <w:t>-</w:t>
            </w:r>
          </w:p>
        </w:tc>
        <w:tc>
          <w:tcPr>
            <w:tcW w:w="565" w:type="dxa"/>
            <w:gridSpan w:val="2"/>
          </w:tcPr>
          <w:p>
            <w:pPr>
              <w:pStyle w:val="TableParagraph"/>
              <w:rPr>
                <w:rFonts w:ascii="Times New Roman"/>
                <w:sz w:val="14"/>
              </w:rPr>
            </w:pPr>
          </w:p>
        </w:tc>
        <w:tc>
          <w:tcPr>
            <w:tcW w:w="628" w:type="dxa"/>
          </w:tcPr>
          <w:p>
            <w:pPr>
              <w:pStyle w:val="TableParagraph"/>
              <w:spacing w:line="138" w:lineRule="exact" w:before="93"/>
              <w:ind w:left="92" w:right="398"/>
              <w:jc w:val="center"/>
              <w:rPr>
                <w:sz w:val="13"/>
              </w:rPr>
            </w:pPr>
            <w:r>
              <w:rPr>
                <w:spacing w:val="-10"/>
                <w:w w:val="105"/>
                <w:sz w:val="13"/>
              </w:rPr>
              <w:t>2</w:t>
            </w:r>
          </w:p>
        </w:tc>
      </w:tr>
      <w:tr>
        <w:trPr>
          <w:trHeight w:val="167" w:hRule="atLeast"/>
        </w:trPr>
        <w:tc>
          <w:tcPr>
            <w:tcW w:w="441" w:type="dxa"/>
          </w:tcPr>
          <w:p>
            <w:pPr>
              <w:pStyle w:val="TableParagraph"/>
              <w:rPr>
                <w:rFonts w:ascii="Times New Roman"/>
                <w:sz w:val="10"/>
              </w:rPr>
            </w:pPr>
          </w:p>
        </w:tc>
        <w:tc>
          <w:tcPr>
            <w:tcW w:w="4874" w:type="dxa"/>
          </w:tcPr>
          <w:p>
            <w:pPr>
              <w:pStyle w:val="TableParagraph"/>
              <w:spacing w:line="138" w:lineRule="exact" w:before="9"/>
              <w:ind w:left="215"/>
              <w:rPr>
                <w:sz w:val="13"/>
              </w:rPr>
            </w:pPr>
            <w:r>
              <w:rPr>
                <w:w w:val="105"/>
                <w:sz w:val="13"/>
              </w:rPr>
              <w:t>$540,000</w:t>
            </w:r>
            <w:r>
              <w:rPr>
                <w:spacing w:val="-9"/>
                <w:w w:val="105"/>
                <w:sz w:val="13"/>
              </w:rPr>
              <w:t> </w:t>
            </w:r>
            <w:r>
              <w:rPr>
                <w:w w:val="105"/>
                <w:sz w:val="13"/>
              </w:rPr>
              <w:t>-</w:t>
            </w:r>
            <w:r>
              <w:rPr>
                <w:spacing w:val="-6"/>
                <w:w w:val="105"/>
                <w:sz w:val="13"/>
              </w:rPr>
              <w:t> </w:t>
            </w:r>
            <w:r>
              <w:rPr>
                <w:spacing w:val="-2"/>
                <w:w w:val="105"/>
                <w:sz w:val="13"/>
              </w:rPr>
              <w:t>$549,999</w:t>
            </w:r>
          </w:p>
        </w:tc>
        <w:tc>
          <w:tcPr>
            <w:tcW w:w="638" w:type="dxa"/>
          </w:tcPr>
          <w:p>
            <w:pPr>
              <w:pStyle w:val="TableParagraph"/>
              <w:spacing w:line="138" w:lineRule="exact" w:before="9"/>
              <w:ind w:right="148"/>
              <w:jc w:val="right"/>
              <w:rPr>
                <w:sz w:val="13"/>
              </w:rPr>
            </w:pPr>
            <w:r>
              <w:rPr>
                <w:spacing w:val="-10"/>
                <w:w w:val="105"/>
                <w:sz w:val="13"/>
              </w:rPr>
              <w:t>-</w:t>
            </w:r>
          </w:p>
        </w:tc>
        <w:tc>
          <w:tcPr>
            <w:tcW w:w="564" w:type="dxa"/>
            <w:gridSpan w:val="2"/>
          </w:tcPr>
          <w:p>
            <w:pPr>
              <w:pStyle w:val="TableParagraph"/>
              <w:rPr>
                <w:rFonts w:ascii="Times New Roman"/>
                <w:sz w:val="10"/>
              </w:rPr>
            </w:pPr>
          </w:p>
        </w:tc>
        <w:tc>
          <w:tcPr>
            <w:tcW w:w="641" w:type="dxa"/>
          </w:tcPr>
          <w:p>
            <w:pPr>
              <w:pStyle w:val="TableParagraph"/>
              <w:spacing w:line="138" w:lineRule="exact" w:before="9"/>
              <w:ind w:left="156"/>
              <w:rPr>
                <w:sz w:val="13"/>
              </w:rPr>
            </w:pPr>
            <w:r>
              <w:rPr>
                <w:spacing w:val="-10"/>
                <w:w w:val="105"/>
                <w:sz w:val="13"/>
              </w:rPr>
              <w:t>-</w:t>
            </w:r>
          </w:p>
        </w:tc>
        <w:tc>
          <w:tcPr>
            <w:tcW w:w="623" w:type="dxa"/>
          </w:tcPr>
          <w:p>
            <w:pPr>
              <w:pStyle w:val="TableParagraph"/>
              <w:spacing w:line="138" w:lineRule="exact" w:before="9"/>
              <w:ind w:right="144"/>
              <w:jc w:val="right"/>
              <w:rPr>
                <w:sz w:val="13"/>
              </w:rPr>
            </w:pPr>
            <w:r>
              <w:rPr>
                <w:spacing w:val="-10"/>
                <w:w w:val="105"/>
                <w:sz w:val="13"/>
              </w:rPr>
              <w:t>-</w:t>
            </w:r>
          </w:p>
        </w:tc>
        <w:tc>
          <w:tcPr>
            <w:tcW w:w="565" w:type="dxa"/>
            <w:gridSpan w:val="2"/>
          </w:tcPr>
          <w:p>
            <w:pPr>
              <w:pStyle w:val="TableParagraph"/>
              <w:rPr>
                <w:rFonts w:ascii="Times New Roman"/>
                <w:sz w:val="10"/>
              </w:rPr>
            </w:pPr>
          </w:p>
        </w:tc>
        <w:tc>
          <w:tcPr>
            <w:tcW w:w="628" w:type="dxa"/>
          </w:tcPr>
          <w:p>
            <w:pPr>
              <w:pStyle w:val="TableParagraph"/>
              <w:spacing w:line="138" w:lineRule="exact" w:before="9"/>
              <w:ind w:left="6" w:right="265"/>
              <w:jc w:val="center"/>
              <w:rPr>
                <w:sz w:val="13"/>
              </w:rPr>
            </w:pPr>
            <w:r>
              <w:rPr>
                <w:w w:val="105"/>
                <w:sz w:val="13"/>
              </w:rPr>
              <w:t>1</w:t>
            </w:r>
            <w:r>
              <w:rPr>
                <w:spacing w:val="-2"/>
                <w:w w:val="105"/>
                <w:sz w:val="13"/>
              </w:rPr>
              <w:t> </w:t>
            </w:r>
            <w:r>
              <w:rPr>
                <w:spacing w:val="-10"/>
                <w:w w:val="105"/>
                <w:sz w:val="13"/>
              </w:rPr>
              <w:t>^</w:t>
            </w:r>
          </w:p>
        </w:tc>
      </w:tr>
      <w:tr>
        <w:trPr>
          <w:trHeight w:val="167" w:hRule="atLeast"/>
        </w:trPr>
        <w:tc>
          <w:tcPr>
            <w:tcW w:w="441" w:type="dxa"/>
          </w:tcPr>
          <w:p>
            <w:pPr>
              <w:pStyle w:val="TableParagraph"/>
              <w:rPr>
                <w:rFonts w:ascii="Times New Roman"/>
                <w:sz w:val="10"/>
              </w:rPr>
            </w:pPr>
          </w:p>
        </w:tc>
        <w:tc>
          <w:tcPr>
            <w:tcW w:w="4874" w:type="dxa"/>
          </w:tcPr>
          <w:p>
            <w:pPr>
              <w:pStyle w:val="TableParagraph"/>
              <w:spacing w:line="138" w:lineRule="exact" w:before="9"/>
              <w:ind w:left="215"/>
              <w:rPr>
                <w:sz w:val="13"/>
              </w:rPr>
            </w:pPr>
            <w:r>
              <w:rPr>
                <w:spacing w:val="-2"/>
                <w:w w:val="105"/>
                <w:sz w:val="13"/>
              </w:rPr>
              <w:t>$550,000</w:t>
            </w:r>
            <w:r>
              <w:rPr>
                <w:w w:val="105"/>
                <w:sz w:val="13"/>
              </w:rPr>
              <w:t> </w:t>
            </w:r>
            <w:r>
              <w:rPr>
                <w:spacing w:val="-2"/>
                <w:w w:val="105"/>
                <w:sz w:val="13"/>
              </w:rPr>
              <w:t>-</w:t>
            </w:r>
            <w:r>
              <w:rPr>
                <w:spacing w:val="3"/>
                <w:w w:val="105"/>
                <w:sz w:val="13"/>
              </w:rPr>
              <w:t> </w:t>
            </w:r>
            <w:r>
              <w:rPr>
                <w:spacing w:val="-2"/>
                <w:w w:val="105"/>
                <w:sz w:val="13"/>
              </w:rPr>
              <w:t>$559,999</w:t>
            </w:r>
            <w:r>
              <w:rPr>
                <w:spacing w:val="1"/>
                <w:w w:val="105"/>
                <w:sz w:val="13"/>
              </w:rPr>
              <w:t> </w:t>
            </w:r>
            <w:r>
              <w:rPr>
                <w:spacing w:val="-10"/>
                <w:w w:val="105"/>
                <w:sz w:val="13"/>
              </w:rPr>
              <w:t>*</w:t>
            </w:r>
          </w:p>
        </w:tc>
        <w:tc>
          <w:tcPr>
            <w:tcW w:w="638" w:type="dxa"/>
          </w:tcPr>
          <w:p>
            <w:pPr>
              <w:pStyle w:val="TableParagraph"/>
              <w:spacing w:line="138" w:lineRule="exact" w:before="9"/>
              <w:ind w:right="148"/>
              <w:jc w:val="right"/>
              <w:rPr>
                <w:sz w:val="13"/>
              </w:rPr>
            </w:pPr>
            <w:r>
              <w:rPr>
                <w:spacing w:val="-10"/>
                <w:w w:val="105"/>
                <w:sz w:val="13"/>
              </w:rPr>
              <w:t>-</w:t>
            </w:r>
          </w:p>
        </w:tc>
        <w:tc>
          <w:tcPr>
            <w:tcW w:w="564" w:type="dxa"/>
            <w:gridSpan w:val="2"/>
          </w:tcPr>
          <w:p>
            <w:pPr>
              <w:pStyle w:val="TableParagraph"/>
              <w:rPr>
                <w:rFonts w:ascii="Times New Roman"/>
                <w:sz w:val="10"/>
              </w:rPr>
            </w:pPr>
          </w:p>
        </w:tc>
        <w:tc>
          <w:tcPr>
            <w:tcW w:w="641" w:type="dxa"/>
          </w:tcPr>
          <w:p>
            <w:pPr>
              <w:pStyle w:val="TableParagraph"/>
              <w:spacing w:line="138" w:lineRule="exact" w:before="9"/>
              <w:ind w:left="156"/>
              <w:rPr>
                <w:sz w:val="13"/>
              </w:rPr>
            </w:pPr>
            <w:r>
              <w:rPr>
                <w:spacing w:val="-10"/>
                <w:w w:val="105"/>
                <w:sz w:val="13"/>
              </w:rPr>
              <w:t>-</w:t>
            </w:r>
          </w:p>
        </w:tc>
        <w:tc>
          <w:tcPr>
            <w:tcW w:w="623" w:type="dxa"/>
          </w:tcPr>
          <w:p>
            <w:pPr>
              <w:pStyle w:val="TableParagraph"/>
              <w:spacing w:line="138" w:lineRule="exact" w:before="9"/>
              <w:ind w:right="77"/>
              <w:jc w:val="right"/>
              <w:rPr>
                <w:sz w:val="13"/>
              </w:rPr>
            </w:pPr>
            <w:r>
              <w:rPr>
                <w:w w:val="105"/>
                <w:sz w:val="13"/>
              </w:rPr>
              <w:t>2</w:t>
            </w:r>
            <w:r>
              <w:rPr>
                <w:spacing w:val="-2"/>
                <w:w w:val="105"/>
                <w:sz w:val="13"/>
              </w:rPr>
              <w:t> </w:t>
            </w:r>
            <w:r>
              <w:rPr>
                <w:spacing w:val="-10"/>
                <w:w w:val="105"/>
                <w:sz w:val="13"/>
              </w:rPr>
              <w:t>^</w:t>
            </w:r>
          </w:p>
        </w:tc>
        <w:tc>
          <w:tcPr>
            <w:tcW w:w="565" w:type="dxa"/>
            <w:gridSpan w:val="2"/>
          </w:tcPr>
          <w:p>
            <w:pPr>
              <w:pStyle w:val="TableParagraph"/>
              <w:rPr>
                <w:rFonts w:ascii="Times New Roman"/>
                <w:sz w:val="10"/>
              </w:rPr>
            </w:pPr>
          </w:p>
        </w:tc>
        <w:tc>
          <w:tcPr>
            <w:tcW w:w="628" w:type="dxa"/>
          </w:tcPr>
          <w:p>
            <w:pPr>
              <w:pStyle w:val="TableParagraph"/>
              <w:spacing w:line="138" w:lineRule="exact" w:before="9"/>
              <w:ind w:right="262"/>
              <w:jc w:val="center"/>
              <w:rPr>
                <w:sz w:val="13"/>
              </w:rPr>
            </w:pPr>
            <w:r>
              <w:rPr>
                <w:spacing w:val="-10"/>
                <w:w w:val="105"/>
                <w:sz w:val="13"/>
              </w:rPr>
              <w:t>-</w:t>
            </w:r>
          </w:p>
        </w:tc>
      </w:tr>
      <w:tr>
        <w:trPr>
          <w:trHeight w:val="167" w:hRule="atLeast"/>
        </w:trPr>
        <w:tc>
          <w:tcPr>
            <w:tcW w:w="441" w:type="dxa"/>
          </w:tcPr>
          <w:p>
            <w:pPr>
              <w:pStyle w:val="TableParagraph"/>
              <w:rPr>
                <w:rFonts w:ascii="Times New Roman"/>
                <w:sz w:val="10"/>
              </w:rPr>
            </w:pPr>
          </w:p>
        </w:tc>
        <w:tc>
          <w:tcPr>
            <w:tcW w:w="4874" w:type="dxa"/>
          </w:tcPr>
          <w:p>
            <w:pPr>
              <w:pStyle w:val="TableParagraph"/>
              <w:spacing w:line="138" w:lineRule="exact" w:before="9"/>
              <w:ind w:left="215"/>
              <w:rPr>
                <w:sz w:val="13"/>
              </w:rPr>
            </w:pPr>
            <w:r>
              <w:rPr>
                <w:w w:val="105"/>
                <w:sz w:val="13"/>
              </w:rPr>
              <w:t>$560,000</w:t>
            </w:r>
            <w:r>
              <w:rPr>
                <w:spacing w:val="-9"/>
                <w:w w:val="105"/>
                <w:sz w:val="13"/>
              </w:rPr>
              <w:t> </w:t>
            </w:r>
            <w:r>
              <w:rPr>
                <w:w w:val="105"/>
                <w:sz w:val="13"/>
              </w:rPr>
              <w:t>-</w:t>
            </w:r>
            <w:r>
              <w:rPr>
                <w:spacing w:val="-6"/>
                <w:w w:val="105"/>
                <w:sz w:val="13"/>
              </w:rPr>
              <w:t> </w:t>
            </w:r>
            <w:r>
              <w:rPr>
                <w:spacing w:val="-2"/>
                <w:w w:val="105"/>
                <w:sz w:val="13"/>
              </w:rPr>
              <w:t>$569,999</w:t>
            </w:r>
          </w:p>
        </w:tc>
        <w:tc>
          <w:tcPr>
            <w:tcW w:w="638" w:type="dxa"/>
          </w:tcPr>
          <w:p>
            <w:pPr>
              <w:pStyle w:val="TableParagraph"/>
              <w:spacing w:line="138" w:lineRule="exact" w:before="9"/>
              <w:ind w:right="148"/>
              <w:jc w:val="right"/>
              <w:rPr>
                <w:sz w:val="13"/>
              </w:rPr>
            </w:pPr>
            <w:r>
              <w:rPr>
                <w:spacing w:val="-10"/>
                <w:w w:val="105"/>
                <w:sz w:val="13"/>
              </w:rPr>
              <w:t>-</w:t>
            </w:r>
          </w:p>
        </w:tc>
        <w:tc>
          <w:tcPr>
            <w:tcW w:w="564" w:type="dxa"/>
            <w:gridSpan w:val="2"/>
          </w:tcPr>
          <w:p>
            <w:pPr>
              <w:pStyle w:val="TableParagraph"/>
              <w:rPr>
                <w:rFonts w:ascii="Times New Roman"/>
                <w:sz w:val="10"/>
              </w:rPr>
            </w:pPr>
          </w:p>
        </w:tc>
        <w:tc>
          <w:tcPr>
            <w:tcW w:w="641" w:type="dxa"/>
          </w:tcPr>
          <w:p>
            <w:pPr>
              <w:pStyle w:val="TableParagraph"/>
              <w:spacing w:line="138" w:lineRule="exact" w:before="9"/>
              <w:ind w:left="156"/>
              <w:rPr>
                <w:sz w:val="13"/>
              </w:rPr>
            </w:pPr>
            <w:r>
              <w:rPr>
                <w:spacing w:val="-10"/>
                <w:w w:val="105"/>
                <w:sz w:val="13"/>
              </w:rPr>
              <w:t>-</w:t>
            </w:r>
          </w:p>
        </w:tc>
        <w:tc>
          <w:tcPr>
            <w:tcW w:w="623" w:type="dxa"/>
          </w:tcPr>
          <w:p>
            <w:pPr>
              <w:pStyle w:val="TableParagraph"/>
              <w:spacing w:line="138" w:lineRule="exact" w:before="9"/>
              <w:ind w:right="144"/>
              <w:jc w:val="right"/>
              <w:rPr>
                <w:sz w:val="13"/>
              </w:rPr>
            </w:pPr>
            <w:r>
              <w:rPr>
                <w:spacing w:val="-10"/>
                <w:w w:val="105"/>
                <w:sz w:val="13"/>
              </w:rPr>
              <w:t>-</w:t>
            </w:r>
          </w:p>
        </w:tc>
        <w:tc>
          <w:tcPr>
            <w:tcW w:w="565" w:type="dxa"/>
            <w:gridSpan w:val="2"/>
          </w:tcPr>
          <w:p>
            <w:pPr>
              <w:pStyle w:val="TableParagraph"/>
              <w:rPr>
                <w:rFonts w:ascii="Times New Roman"/>
                <w:sz w:val="10"/>
              </w:rPr>
            </w:pPr>
          </w:p>
        </w:tc>
        <w:tc>
          <w:tcPr>
            <w:tcW w:w="628" w:type="dxa"/>
          </w:tcPr>
          <w:p>
            <w:pPr>
              <w:pStyle w:val="TableParagraph"/>
              <w:spacing w:line="138" w:lineRule="exact" w:before="9"/>
              <w:ind w:left="92" w:right="398"/>
              <w:jc w:val="center"/>
              <w:rPr>
                <w:sz w:val="13"/>
              </w:rPr>
            </w:pPr>
            <w:r>
              <w:rPr>
                <w:spacing w:val="-10"/>
                <w:w w:val="105"/>
                <w:sz w:val="13"/>
              </w:rPr>
              <w:t>1</w:t>
            </w:r>
          </w:p>
        </w:tc>
      </w:tr>
      <w:tr>
        <w:trPr>
          <w:trHeight w:val="167" w:hRule="atLeast"/>
        </w:trPr>
        <w:tc>
          <w:tcPr>
            <w:tcW w:w="441" w:type="dxa"/>
          </w:tcPr>
          <w:p>
            <w:pPr>
              <w:pStyle w:val="TableParagraph"/>
              <w:rPr>
                <w:rFonts w:ascii="Times New Roman"/>
                <w:sz w:val="10"/>
              </w:rPr>
            </w:pPr>
          </w:p>
        </w:tc>
        <w:tc>
          <w:tcPr>
            <w:tcW w:w="4874" w:type="dxa"/>
          </w:tcPr>
          <w:p>
            <w:pPr>
              <w:pStyle w:val="TableParagraph"/>
              <w:spacing w:line="138" w:lineRule="exact" w:before="9"/>
              <w:ind w:left="215"/>
              <w:rPr>
                <w:sz w:val="13"/>
              </w:rPr>
            </w:pPr>
            <w:r>
              <w:rPr>
                <w:spacing w:val="-2"/>
                <w:w w:val="105"/>
                <w:sz w:val="13"/>
              </w:rPr>
              <w:t>$570,000</w:t>
            </w:r>
            <w:r>
              <w:rPr>
                <w:w w:val="105"/>
                <w:sz w:val="13"/>
              </w:rPr>
              <w:t> </w:t>
            </w:r>
            <w:r>
              <w:rPr>
                <w:spacing w:val="-2"/>
                <w:w w:val="105"/>
                <w:sz w:val="13"/>
              </w:rPr>
              <w:t>-</w:t>
            </w:r>
            <w:r>
              <w:rPr>
                <w:spacing w:val="3"/>
                <w:w w:val="105"/>
                <w:sz w:val="13"/>
              </w:rPr>
              <w:t> </w:t>
            </w:r>
            <w:r>
              <w:rPr>
                <w:spacing w:val="-2"/>
                <w:w w:val="105"/>
                <w:sz w:val="13"/>
              </w:rPr>
              <w:t>$579,999</w:t>
            </w:r>
            <w:r>
              <w:rPr>
                <w:spacing w:val="1"/>
                <w:w w:val="105"/>
                <w:sz w:val="13"/>
              </w:rPr>
              <w:t> </w:t>
            </w:r>
            <w:r>
              <w:rPr>
                <w:spacing w:val="-10"/>
                <w:w w:val="105"/>
                <w:sz w:val="13"/>
              </w:rPr>
              <w:t>*</w:t>
            </w:r>
          </w:p>
        </w:tc>
        <w:tc>
          <w:tcPr>
            <w:tcW w:w="638" w:type="dxa"/>
          </w:tcPr>
          <w:p>
            <w:pPr>
              <w:pStyle w:val="TableParagraph"/>
              <w:spacing w:line="138" w:lineRule="exact" w:before="9"/>
              <w:ind w:right="148"/>
              <w:jc w:val="right"/>
              <w:rPr>
                <w:sz w:val="13"/>
              </w:rPr>
            </w:pPr>
            <w:r>
              <w:rPr>
                <w:spacing w:val="-10"/>
                <w:w w:val="105"/>
                <w:sz w:val="13"/>
              </w:rPr>
              <w:t>-</w:t>
            </w:r>
          </w:p>
        </w:tc>
        <w:tc>
          <w:tcPr>
            <w:tcW w:w="564" w:type="dxa"/>
            <w:gridSpan w:val="2"/>
          </w:tcPr>
          <w:p>
            <w:pPr>
              <w:pStyle w:val="TableParagraph"/>
              <w:rPr>
                <w:rFonts w:ascii="Times New Roman"/>
                <w:sz w:val="10"/>
              </w:rPr>
            </w:pPr>
          </w:p>
        </w:tc>
        <w:tc>
          <w:tcPr>
            <w:tcW w:w="641" w:type="dxa"/>
          </w:tcPr>
          <w:p>
            <w:pPr>
              <w:pStyle w:val="TableParagraph"/>
              <w:spacing w:line="138" w:lineRule="exact" w:before="9"/>
              <w:ind w:left="156"/>
              <w:rPr>
                <w:sz w:val="13"/>
              </w:rPr>
            </w:pPr>
            <w:r>
              <w:rPr>
                <w:spacing w:val="-10"/>
                <w:w w:val="105"/>
                <w:sz w:val="13"/>
              </w:rPr>
              <w:t>-</w:t>
            </w:r>
          </w:p>
        </w:tc>
        <w:tc>
          <w:tcPr>
            <w:tcW w:w="623" w:type="dxa"/>
          </w:tcPr>
          <w:p>
            <w:pPr>
              <w:pStyle w:val="TableParagraph"/>
              <w:spacing w:line="138" w:lineRule="exact" w:before="9"/>
              <w:ind w:right="77"/>
              <w:jc w:val="right"/>
              <w:rPr>
                <w:sz w:val="13"/>
              </w:rPr>
            </w:pPr>
            <w:r>
              <w:rPr>
                <w:w w:val="105"/>
                <w:sz w:val="13"/>
              </w:rPr>
              <w:t>1</w:t>
            </w:r>
            <w:r>
              <w:rPr>
                <w:spacing w:val="-2"/>
                <w:w w:val="105"/>
                <w:sz w:val="13"/>
              </w:rPr>
              <w:t> </w:t>
            </w:r>
            <w:r>
              <w:rPr>
                <w:spacing w:val="-10"/>
                <w:w w:val="105"/>
                <w:sz w:val="13"/>
              </w:rPr>
              <w:t>^</w:t>
            </w:r>
          </w:p>
        </w:tc>
        <w:tc>
          <w:tcPr>
            <w:tcW w:w="565" w:type="dxa"/>
            <w:gridSpan w:val="2"/>
          </w:tcPr>
          <w:p>
            <w:pPr>
              <w:pStyle w:val="TableParagraph"/>
              <w:rPr>
                <w:rFonts w:ascii="Times New Roman"/>
                <w:sz w:val="10"/>
              </w:rPr>
            </w:pPr>
          </w:p>
        </w:tc>
        <w:tc>
          <w:tcPr>
            <w:tcW w:w="628" w:type="dxa"/>
          </w:tcPr>
          <w:p>
            <w:pPr>
              <w:pStyle w:val="TableParagraph"/>
              <w:spacing w:line="138" w:lineRule="exact" w:before="9"/>
              <w:ind w:right="262"/>
              <w:jc w:val="center"/>
              <w:rPr>
                <w:sz w:val="13"/>
              </w:rPr>
            </w:pPr>
            <w:r>
              <w:rPr>
                <w:spacing w:val="-10"/>
                <w:w w:val="105"/>
                <w:sz w:val="13"/>
              </w:rPr>
              <w:t>-</w:t>
            </w:r>
          </w:p>
        </w:tc>
      </w:tr>
      <w:tr>
        <w:trPr>
          <w:trHeight w:val="251" w:hRule="atLeast"/>
        </w:trPr>
        <w:tc>
          <w:tcPr>
            <w:tcW w:w="441" w:type="dxa"/>
          </w:tcPr>
          <w:p>
            <w:pPr>
              <w:pStyle w:val="TableParagraph"/>
              <w:rPr>
                <w:rFonts w:ascii="Times New Roman"/>
                <w:sz w:val="14"/>
              </w:rPr>
            </w:pPr>
          </w:p>
        </w:tc>
        <w:tc>
          <w:tcPr>
            <w:tcW w:w="4874" w:type="dxa"/>
          </w:tcPr>
          <w:p>
            <w:pPr>
              <w:pStyle w:val="TableParagraph"/>
              <w:spacing w:before="9"/>
              <w:ind w:left="215"/>
              <w:rPr>
                <w:sz w:val="13"/>
              </w:rPr>
            </w:pPr>
            <w:r>
              <w:rPr>
                <w:w w:val="105"/>
                <w:sz w:val="13"/>
              </w:rPr>
              <w:t>$630,000</w:t>
            </w:r>
            <w:r>
              <w:rPr>
                <w:spacing w:val="-9"/>
                <w:w w:val="105"/>
                <w:sz w:val="13"/>
              </w:rPr>
              <w:t> </w:t>
            </w:r>
            <w:r>
              <w:rPr>
                <w:w w:val="105"/>
                <w:sz w:val="13"/>
              </w:rPr>
              <w:t>-</w:t>
            </w:r>
            <w:r>
              <w:rPr>
                <w:spacing w:val="-6"/>
                <w:w w:val="105"/>
                <w:sz w:val="13"/>
              </w:rPr>
              <w:t> </w:t>
            </w:r>
            <w:r>
              <w:rPr>
                <w:spacing w:val="-2"/>
                <w:w w:val="105"/>
                <w:sz w:val="13"/>
              </w:rPr>
              <w:t>$639,999</w:t>
            </w:r>
          </w:p>
        </w:tc>
        <w:tc>
          <w:tcPr>
            <w:tcW w:w="638" w:type="dxa"/>
          </w:tcPr>
          <w:p>
            <w:pPr>
              <w:pStyle w:val="TableParagraph"/>
              <w:spacing w:before="9"/>
              <w:ind w:right="148"/>
              <w:jc w:val="right"/>
              <w:rPr>
                <w:sz w:val="13"/>
              </w:rPr>
            </w:pPr>
            <w:r>
              <w:rPr>
                <w:spacing w:val="-10"/>
                <w:w w:val="105"/>
                <w:sz w:val="13"/>
              </w:rPr>
              <w:t>-</w:t>
            </w:r>
          </w:p>
        </w:tc>
        <w:tc>
          <w:tcPr>
            <w:tcW w:w="564" w:type="dxa"/>
            <w:gridSpan w:val="2"/>
          </w:tcPr>
          <w:p>
            <w:pPr>
              <w:pStyle w:val="TableParagraph"/>
              <w:rPr>
                <w:rFonts w:ascii="Times New Roman"/>
                <w:sz w:val="14"/>
              </w:rPr>
            </w:pPr>
          </w:p>
        </w:tc>
        <w:tc>
          <w:tcPr>
            <w:tcW w:w="641" w:type="dxa"/>
          </w:tcPr>
          <w:p>
            <w:pPr>
              <w:pStyle w:val="TableParagraph"/>
              <w:spacing w:before="9"/>
              <w:ind w:left="156"/>
              <w:rPr>
                <w:sz w:val="13"/>
              </w:rPr>
            </w:pPr>
            <w:r>
              <w:rPr>
                <w:spacing w:val="-10"/>
                <w:w w:val="105"/>
                <w:sz w:val="13"/>
              </w:rPr>
              <w:t>-</w:t>
            </w:r>
          </w:p>
        </w:tc>
        <w:tc>
          <w:tcPr>
            <w:tcW w:w="623" w:type="dxa"/>
          </w:tcPr>
          <w:p>
            <w:pPr>
              <w:pStyle w:val="TableParagraph"/>
              <w:spacing w:before="9"/>
              <w:ind w:right="144"/>
              <w:jc w:val="right"/>
              <w:rPr>
                <w:sz w:val="13"/>
              </w:rPr>
            </w:pPr>
            <w:r>
              <w:rPr>
                <w:spacing w:val="-10"/>
                <w:w w:val="105"/>
                <w:sz w:val="13"/>
              </w:rPr>
              <w:t>-</w:t>
            </w:r>
          </w:p>
        </w:tc>
        <w:tc>
          <w:tcPr>
            <w:tcW w:w="565" w:type="dxa"/>
            <w:gridSpan w:val="2"/>
          </w:tcPr>
          <w:p>
            <w:pPr>
              <w:pStyle w:val="TableParagraph"/>
              <w:rPr>
                <w:rFonts w:ascii="Times New Roman"/>
                <w:sz w:val="14"/>
              </w:rPr>
            </w:pPr>
          </w:p>
        </w:tc>
        <w:tc>
          <w:tcPr>
            <w:tcW w:w="628" w:type="dxa"/>
          </w:tcPr>
          <w:p>
            <w:pPr>
              <w:pStyle w:val="TableParagraph"/>
              <w:spacing w:before="9"/>
              <w:ind w:left="92" w:right="398"/>
              <w:jc w:val="center"/>
              <w:rPr>
                <w:sz w:val="13"/>
              </w:rPr>
            </w:pPr>
            <w:r>
              <w:rPr>
                <w:spacing w:val="-10"/>
                <w:w w:val="105"/>
                <w:sz w:val="13"/>
              </w:rPr>
              <w:t>1</w:t>
            </w:r>
          </w:p>
        </w:tc>
      </w:tr>
      <w:tr>
        <w:trPr>
          <w:trHeight w:val="335" w:hRule="atLeast"/>
        </w:trPr>
        <w:tc>
          <w:tcPr>
            <w:tcW w:w="441" w:type="dxa"/>
          </w:tcPr>
          <w:p>
            <w:pPr>
              <w:pStyle w:val="TableParagraph"/>
              <w:rPr>
                <w:rFonts w:ascii="Times New Roman"/>
                <w:sz w:val="14"/>
              </w:rPr>
            </w:pPr>
          </w:p>
        </w:tc>
        <w:tc>
          <w:tcPr>
            <w:tcW w:w="4874" w:type="dxa"/>
          </w:tcPr>
          <w:p>
            <w:pPr>
              <w:pStyle w:val="TableParagraph"/>
              <w:spacing w:before="93"/>
              <w:ind w:left="215"/>
              <w:rPr>
                <w:sz w:val="13"/>
              </w:rPr>
            </w:pPr>
            <w:r>
              <w:rPr>
                <w:spacing w:val="-2"/>
                <w:w w:val="105"/>
                <w:sz w:val="13"/>
              </w:rPr>
              <w:t>$700,000</w:t>
            </w:r>
            <w:r>
              <w:rPr>
                <w:w w:val="105"/>
                <w:sz w:val="13"/>
              </w:rPr>
              <w:t> </w:t>
            </w:r>
            <w:r>
              <w:rPr>
                <w:spacing w:val="-2"/>
                <w:w w:val="105"/>
                <w:sz w:val="13"/>
              </w:rPr>
              <w:t>-</w:t>
            </w:r>
            <w:r>
              <w:rPr>
                <w:spacing w:val="3"/>
                <w:w w:val="105"/>
                <w:sz w:val="13"/>
              </w:rPr>
              <w:t> </w:t>
            </w:r>
            <w:r>
              <w:rPr>
                <w:spacing w:val="-2"/>
                <w:w w:val="105"/>
                <w:sz w:val="13"/>
              </w:rPr>
              <w:t>$709,999</w:t>
            </w:r>
            <w:r>
              <w:rPr>
                <w:spacing w:val="1"/>
                <w:w w:val="105"/>
                <w:sz w:val="13"/>
              </w:rPr>
              <w:t> </w:t>
            </w:r>
            <w:r>
              <w:rPr>
                <w:spacing w:val="-10"/>
                <w:w w:val="105"/>
                <w:sz w:val="13"/>
              </w:rPr>
              <w:t>*</w:t>
            </w:r>
          </w:p>
        </w:tc>
        <w:tc>
          <w:tcPr>
            <w:tcW w:w="638" w:type="dxa"/>
          </w:tcPr>
          <w:p>
            <w:pPr>
              <w:pStyle w:val="TableParagraph"/>
              <w:spacing w:before="93"/>
              <w:ind w:right="148"/>
              <w:jc w:val="right"/>
              <w:rPr>
                <w:sz w:val="13"/>
              </w:rPr>
            </w:pPr>
            <w:r>
              <w:rPr>
                <w:spacing w:val="-10"/>
                <w:w w:val="105"/>
                <w:sz w:val="13"/>
              </w:rPr>
              <w:t>-</w:t>
            </w:r>
          </w:p>
        </w:tc>
        <w:tc>
          <w:tcPr>
            <w:tcW w:w="564" w:type="dxa"/>
            <w:gridSpan w:val="2"/>
          </w:tcPr>
          <w:p>
            <w:pPr>
              <w:pStyle w:val="TableParagraph"/>
              <w:rPr>
                <w:rFonts w:ascii="Times New Roman"/>
                <w:sz w:val="14"/>
              </w:rPr>
            </w:pPr>
          </w:p>
        </w:tc>
        <w:tc>
          <w:tcPr>
            <w:tcW w:w="641" w:type="dxa"/>
          </w:tcPr>
          <w:p>
            <w:pPr>
              <w:pStyle w:val="TableParagraph"/>
              <w:spacing w:before="93"/>
              <w:ind w:left="156"/>
              <w:rPr>
                <w:sz w:val="13"/>
              </w:rPr>
            </w:pPr>
            <w:r>
              <w:rPr>
                <w:spacing w:val="-10"/>
                <w:w w:val="105"/>
                <w:sz w:val="13"/>
              </w:rPr>
              <w:t>-</w:t>
            </w:r>
          </w:p>
        </w:tc>
        <w:tc>
          <w:tcPr>
            <w:tcW w:w="623" w:type="dxa"/>
          </w:tcPr>
          <w:p>
            <w:pPr>
              <w:pStyle w:val="TableParagraph"/>
              <w:spacing w:before="93"/>
              <w:ind w:right="77"/>
              <w:jc w:val="right"/>
              <w:rPr>
                <w:sz w:val="13"/>
              </w:rPr>
            </w:pPr>
            <w:r>
              <w:rPr>
                <w:w w:val="105"/>
                <w:sz w:val="13"/>
              </w:rPr>
              <w:t>1</w:t>
            </w:r>
            <w:r>
              <w:rPr>
                <w:spacing w:val="-2"/>
                <w:w w:val="105"/>
                <w:sz w:val="13"/>
              </w:rPr>
              <w:t> </w:t>
            </w:r>
            <w:r>
              <w:rPr>
                <w:spacing w:val="-10"/>
                <w:w w:val="105"/>
                <w:sz w:val="13"/>
              </w:rPr>
              <w:t>^</w:t>
            </w:r>
          </w:p>
        </w:tc>
        <w:tc>
          <w:tcPr>
            <w:tcW w:w="565" w:type="dxa"/>
            <w:gridSpan w:val="2"/>
          </w:tcPr>
          <w:p>
            <w:pPr>
              <w:pStyle w:val="TableParagraph"/>
              <w:rPr>
                <w:rFonts w:ascii="Times New Roman"/>
                <w:sz w:val="14"/>
              </w:rPr>
            </w:pPr>
          </w:p>
        </w:tc>
        <w:tc>
          <w:tcPr>
            <w:tcW w:w="628" w:type="dxa"/>
          </w:tcPr>
          <w:p>
            <w:pPr>
              <w:pStyle w:val="TableParagraph"/>
              <w:spacing w:before="93"/>
              <w:ind w:right="262"/>
              <w:jc w:val="center"/>
              <w:rPr>
                <w:sz w:val="13"/>
              </w:rPr>
            </w:pPr>
            <w:r>
              <w:rPr>
                <w:spacing w:val="-10"/>
                <w:w w:val="105"/>
                <w:sz w:val="13"/>
              </w:rPr>
              <w:t>-</w:t>
            </w:r>
          </w:p>
        </w:tc>
      </w:tr>
      <w:tr>
        <w:trPr>
          <w:trHeight w:val="244" w:hRule="atLeast"/>
        </w:trPr>
        <w:tc>
          <w:tcPr>
            <w:tcW w:w="441" w:type="dxa"/>
          </w:tcPr>
          <w:p>
            <w:pPr>
              <w:pStyle w:val="TableParagraph"/>
              <w:rPr>
                <w:rFonts w:ascii="Times New Roman"/>
                <w:sz w:val="14"/>
              </w:rPr>
            </w:pPr>
          </w:p>
        </w:tc>
        <w:tc>
          <w:tcPr>
            <w:tcW w:w="4874" w:type="dxa"/>
          </w:tcPr>
          <w:p>
            <w:pPr>
              <w:pStyle w:val="TableParagraph"/>
              <w:spacing w:line="131" w:lineRule="exact" w:before="93"/>
              <w:ind w:left="215"/>
              <w:rPr>
                <w:sz w:val="13"/>
              </w:rPr>
            </w:pPr>
            <w:r>
              <w:rPr>
                <w:w w:val="105"/>
                <w:sz w:val="13"/>
              </w:rPr>
              <w:t>$1,090,000</w:t>
            </w:r>
            <w:r>
              <w:rPr>
                <w:spacing w:val="-10"/>
                <w:w w:val="105"/>
                <w:sz w:val="13"/>
              </w:rPr>
              <w:t> </w:t>
            </w:r>
            <w:r>
              <w:rPr>
                <w:w w:val="105"/>
                <w:sz w:val="13"/>
              </w:rPr>
              <w:t>-</w:t>
            </w:r>
            <w:r>
              <w:rPr>
                <w:spacing w:val="-8"/>
                <w:w w:val="105"/>
                <w:sz w:val="13"/>
              </w:rPr>
              <w:t> </w:t>
            </w:r>
            <w:r>
              <w:rPr>
                <w:spacing w:val="-2"/>
                <w:w w:val="105"/>
                <w:sz w:val="13"/>
              </w:rPr>
              <w:t>$1,099,999</w:t>
            </w:r>
          </w:p>
        </w:tc>
        <w:tc>
          <w:tcPr>
            <w:tcW w:w="638" w:type="dxa"/>
          </w:tcPr>
          <w:p>
            <w:pPr>
              <w:pStyle w:val="TableParagraph"/>
              <w:spacing w:line="131" w:lineRule="exact" w:before="93"/>
              <w:ind w:right="148"/>
              <w:jc w:val="right"/>
              <w:rPr>
                <w:sz w:val="13"/>
              </w:rPr>
            </w:pPr>
            <w:r>
              <w:rPr>
                <w:spacing w:val="-10"/>
                <w:w w:val="105"/>
                <w:sz w:val="13"/>
              </w:rPr>
              <w:t>-</w:t>
            </w:r>
          </w:p>
        </w:tc>
        <w:tc>
          <w:tcPr>
            <w:tcW w:w="564" w:type="dxa"/>
            <w:gridSpan w:val="2"/>
          </w:tcPr>
          <w:p>
            <w:pPr>
              <w:pStyle w:val="TableParagraph"/>
              <w:rPr>
                <w:rFonts w:ascii="Times New Roman"/>
                <w:sz w:val="14"/>
              </w:rPr>
            </w:pPr>
          </w:p>
        </w:tc>
        <w:tc>
          <w:tcPr>
            <w:tcW w:w="641" w:type="dxa"/>
          </w:tcPr>
          <w:p>
            <w:pPr>
              <w:pStyle w:val="TableParagraph"/>
              <w:spacing w:line="131" w:lineRule="exact" w:before="93"/>
              <w:ind w:left="118"/>
              <w:rPr>
                <w:sz w:val="13"/>
              </w:rPr>
            </w:pPr>
            <w:r>
              <w:rPr>
                <w:spacing w:val="-10"/>
                <w:w w:val="105"/>
                <w:sz w:val="13"/>
              </w:rPr>
              <w:t>1</w:t>
            </w:r>
          </w:p>
        </w:tc>
        <w:tc>
          <w:tcPr>
            <w:tcW w:w="623" w:type="dxa"/>
          </w:tcPr>
          <w:p>
            <w:pPr>
              <w:pStyle w:val="TableParagraph"/>
              <w:spacing w:line="131" w:lineRule="exact" w:before="93"/>
              <w:ind w:right="144"/>
              <w:jc w:val="right"/>
              <w:rPr>
                <w:sz w:val="13"/>
              </w:rPr>
            </w:pPr>
            <w:r>
              <w:rPr>
                <w:spacing w:val="-10"/>
                <w:w w:val="105"/>
                <w:sz w:val="13"/>
              </w:rPr>
              <w:t>-</w:t>
            </w:r>
          </w:p>
        </w:tc>
        <w:tc>
          <w:tcPr>
            <w:tcW w:w="565" w:type="dxa"/>
            <w:gridSpan w:val="2"/>
          </w:tcPr>
          <w:p>
            <w:pPr>
              <w:pStyle w:val="TableParagraph"/>
              <w:rPr>
                <w:rFonts w:ascii="Times New Roman"/>
                <w:sz w:val="14"/>
              </w:rPr>
            </w:pPr>
          </w:p>
        </w:tc>
        <w:tc>
          <w:tcPr>
            <w:tcW w:w="628" w:type="dxa"/>
          </w:tcPr>
          <w:p>
            <w:pPr>
              <w:pStyle w:val="TableParagraph"/>
              <w:spacing w:line="131" w:lineRule="exact" w:before="93"/>
              <w:ind w:right="262"/>
              <w:jc w:val="center"/>
              <w:rPr>
                <w:sz w:val="13"/>
              </w:rPr>
            </w:pPr>
            <w:r>
              <w:rPr>
                <w:spacing w:val="-10"/>
                <w:w w:val="105"/>
                <w:sz w:val="13"/>
              </w:rPr>
              <w:t>-</w:t>
            </w:r>
          </w:p>
        </w:tc>
      </w:tr>
    </w:tbl>
    <w:p>
      <w:pPr>
        <w:spacing w:line="240" w:lineRule="auto" w:before="143"/>
        <w:rPr>
          <w:sz w:val="13"/>
        </w:rPr>
      </w:pPr>
    </w:p>
    <w:p>
      <w:pPr>
        <w:spacing w:line="273" w:lineRule="auto" w:before="1"/>
        <w:ind w:left="847" w:right="1838" w:firstLine="0"/>
        <w:jc w:val="both"/>
        <w:rPr>
          <w:sz w:val="13"/>
        </w:rPr>
      </w:pPr>
      <w:r>
        <w:rPr>
          <w:w w:val="105"/>
          <w:sz w:val="13"/>
          <w:vertAlign w:val="superscript"/>
        </w:rPr>
        <w:t>#</w:t>
      </w:r>
      <w:r>
        <w:rPr>
          <w:w w:val="105"/>
          <w:sz w:val="13"/>
          <w:vertAlign w:val="baseline"/>
        </w:rPr>
        <w:t> As required by AASB 124 Related Party Disclosures, total remuneration of the University’s Senate members and executives includes</w:t>
      </w:r>
      <w:r>
        <w:rPr>
          <w:spacing w:val="40"/>
          <w:w w:val="105"/>
          <w:sz w:val="13"/>
          <w:vertAlign w:val="baseline"/>
        </w:rPr>
        <w:t> </w:t>
      </w:r>
      <w:r>
        <w:rPr>
          <w:w w:val="105"/>
          <w:sz w:val="13"/>
          <w:vertAlign w:val="baseline"/>
        </w:rPr>
        <w:t>salaries</w:t>
      </w:r>
      <w:r>
        <w:rPr>
          <w:spacing w:val="-5"/>
          <w:w w:val="105"/>
          <w:sz w:val="13"/>
          <w:vertAlign w:val="baseline"/>
        </w:rPr>
        <w:t> </w:t>
      </w:r>
      <w:r>
        <w:rPr>
          <w:w w:val="105"/>
          <w:sz w:val="13"/>
          <w:vertAlign w:val="baseline"/>
        </w:rPr>
        <w:t>plus</w:t>
      </w:r>
      <w:r>
        <w:rPr>
          <w:spacing w:val="-5"/>
          <w:w w:val="105"/>
          <w:sz w:val="13"/>
          <w:vertAlign w:val="baseline"/>
        </w:rPr>
        <w:t> </w:t>
      </w:r>
      <w:r>
        <w:rPr>
          <w:w w:val="105"/>
          <w:sz w:val="13"/>
          <w:vertAlign w:val="baseline"/>
        </w:rPr>
        <w:t>payroll</w:t>
      </w:r>
      <w:r>
        <w:rPr>
          <w:spacing w:val="-4"/>
          <w:w w:val="105"/>
          <w:sz w:val="13"/>
          <w:vertAlign w:val="baseline"/>
        </w:rPr>
        <w:t> </w:t>
      </w:r>
      <w:r>
        <w:rPr>
          <w:w w:val="105"/>
          <w:sz w:val="13"/>
          <w:vertAlign w:val="baseline"/>
        </w:rPr>
        <w:t>on-costs</w:t>
      </w:r>
      <w:r>
        <w:rPr>
          <w:spacing w:val="-5"/>
          <w:w w:val="105"/>
          <w:sz w:val="13"/>
          <w:vertAlign w:val="baseline"/>
        </w:rPr>
        <w:t> </w:t>
      </w:r>
      <w:r>
        <w:rPr>
          <w:w w:val="105"/>
          <w:sz w:val="13"/>
          <w:vertAlign w:val="baseline"/>
        </w:rPr>
        <w:t>including</w:t>
      </w:r>
      <w:r>
        <w:rPr>
          <w:spacing w:val="-4"/>
          <w:w w:val="105"/>
          <w:sz w:val="13"/>
          <w:vertAlign w:val="baseline"/>
        </w:rPr>
        <w:t> </w:t>
      </w:r>
      <w:r>
        <w:rPr>
          <w:w w:val="105"/>
          <w:sz w:val="13"/>
          <w:vertAlign w:val="baseline"/>
        </w:rPr>
        <w:t>an</w:t>
      </w:r>
      <w:r>
        <w:rPr>
          <w:spacing w:val="-6"/>
          <w:w w:val="105"/>
          <w:sz w:val="13"/>
          <w:vertAlign w:val="baseline"/>
        </w:rPr>
        <w:t> </w:t>
      </w:r>
      <w:r>
        <w:rPr>
          <w:w w:val="105"/>
          <w:sz w:val="13"/>
          <w:vertAlign w:val="baseline"/>
        </w:rPr>
        <w:t>accrual</w:t>
      </w:r>
      <w:r>
        <w:rPr>
          <w:spacing w:val="-2"/>
          <w:w w:val="105"/>
          <w:sz w:val="13"/>
          <w:vertAlign w:val="baseline"/>
        </w:rPr>
        <w:t> </w:t>
      </w:r>
      <w:r>
        <w:rPr>
          <w:w w:val="105"/>
          <w:sz w:val="13"/>
          <w:vertAlign w:val="baseline"/>
        </w:rPr>
        <w:t>reflecting</w:t>
      </w:r>
      <w:r>
        <w:rPr>
          <w:spacing w:val="-6"/>
          <w:w w:val="105"/>
          <w:sz w:val="13"/>
          <w:vertAlign w:val="baseline"/>
        </w:rPr>
        <w:t> </w:t>
      </w:r>
      <w:r>
        <w:rPr>
          <w:w w:val="105"/>
          <w:sz w:val="13"/>
          <w:vertAlign w:val="baseline"/>
        </w:rPr>
        <w:t>annual</w:t>
      </w:r>
      <w:r>
        <w:rPr>
          <w:spacing w:val="-2"/>
          <w:w w:val="105"/>
          <w:sz w:val="13"/>
          <w:vertAlign w:val="baseline"/>
        </w:rPr>
        <w:t> </w:t>
      </w:r>
      <w:r>
        <w:rPr>
          <w:w w:val="105"/>
          <w:sz w:val="13"/>
          <w:vertAlign w:val="baseline"/>
        </w:rPr>
        <w:t>leave</w:t>
      </w:r>
      <w:r>
        <w:rPr>
          <w:spacing w:val="-6"/>
          <w:w w:val="105"/>
          <w:sz w:val="13"/>
          <w:vertAlign w:val="baseline"/>
        </w:rPr>
        <w:t> </w:t>
      </w:r>
      <w:r>
        <w:rPr>
          <w:w w:val="105"/>
          <w:sz w:val="13"/>
          <w:vertAlign w:val="baseline"/>
        </w:rPr>
        <w:t>and</w:t>
      </w:r>
      <w:r>
        <w:rPr>
          <w:spacing w:val="-4"/>
          <w:w w:val="105"/>
          <w:sz w:val="13"/>
          <w:vertAlign w:val="baseline"/>
        </w:rPr>
        <w:t> </w:t>
      </w:r>
      <w:r>
        <w:rPr>
          <w:w w:val="105"/>
          <w:sz w:val="13"/>
          <w:vertAlign w:val="baseline"/>
        </w:rPr>
        <w:t>long</w:t>
      </w:r>
      <w:r>
        <w:rPr>
          <w:spacing w:val="-6"/>
          <w:w w:val="105"/>
          <w:sz w:val="13"/>
          <w:vertAlign w:val="baseline"/>
        </w:rPr>
        <w:t> </w:t>
      </w:r>
      <w:r>
        <w:rPr>
          <w:w w:val="105"/>
          <w:sz w:val="13"/>
          <w:vertAlign w:val="baseline"/>
        </w:rPr>
        <w:t>service</w:t>
      </w:r>
      <w:r>
        <w:rPr>
          <w:spacing w:val="-4"/>
          <w:w w:val="105"/>
          <w:sz w:val="13"/>
          <w:vertAlign w:val="baseline"/>
        </w:rPr>
        <w:t> </w:t>
      </w:r>
      <w:r>
        <w:rPr>
          <w:w w:val="105"/>
          <w:sz w:val="13"/>
          <w:vertAlign w:val="baseline"/>
        </w:rPr>
        <w:t>leave</w:t>
      </w:r>
      <w:r>
        <w:rPr>
          <w:spacing w:val="-6"/>
          <w:w w:val="105"/>
          <w:sz w:val="13"/>
          <w:vertAlign w:val="baseline"/>
        </w:rPr>
        <w:t> </w:t>
      </w:r>
      <w:r>
        <w:rPr>
          <w:w w:val="105"/>
          <w:sz w:val="13"/>
          <w:vertAlign w:val="baseline"/>
        </w:rPr>
        <w:t>entitlements,</w:t>
      </w:r>
      <w:r>
        <w:rPr>
          <w:spacing w:val="-3"/>
          <w:w w:val="105"/>
          <w:sz w:val="13"/>
          <w:vertAlign w:val="baseline"/>
        </w:rPr>
        <w:t> </w:t>
      </w:r>
      <w:r>
        <w:rPr>
          <w:w w:val="105"/>
          <w:sz w:val="13"/>
          <w:vertAlign w:val="baseline"/>
        </w:rPr>
        <w:t>as</w:t>
      </w:r>
      <w:r>
        <w:rPr>
          <w:spacing w:val="-5"/>
          <w:w w:val="105"/>
          <w:sz w:val="13"/>
          <w:vertAlign w:val="baseline"/>
        </w:rPr>
        <w:t> </w:t>
      </w:r>
      <w:r>
        <w:rPr>
          <w:w w:val="105"/>
          <w:sz w:val="13"/>
          <w:vertAlign w:val="baseline"/>
        </w:rPr>
        <w:t>well</w:t>
      </w:r>
      <w:r>
        <w:rPr>
          <w:spacing w:val="-2"/>
          <w:w w:val="105"/>
          <w:sz w:val="13"/>
          <w:vertAlign w:val="baseline"/>
        </w:rPr>
        <w:t> </w:t>
      </w:r>
      <w:r>
        <w:rPr>
          <w:w w:val="105"/>
          <w:sz w:val="13"/>
          <w:vertAlign w:val="baseline"/>
        </w:rPr>
        <w:t>as</w:t>
      </w:r>
      <w:r>
        <w:rPr>
          <w:spacing w:val="-5"/>
          <w:w w:val="105"/>
          <w:sz w:val="13"/>
          <w:vertAlign w:val="baseline"/>
        </w:rPr>
        <w:t> </w:t>
      </w:r>
      <w:r>
        <w:rPr>
          <w:w w:val="105"/>
          <w:sz w:val="13"/>
          <w:vertAlign w:val="baseline"/>
        </w:rPr>
        <w:t>post-employment</w:t>
      </w:r>
      <w:r>
        <w:rPr>
          <w:spacing w:val="40"/>
          <w:w w:val="105"/>
          <w:sz w:val="13"/>
          <w:vertAlign w:val="baseline"/>
        </w:rPr>
        <w:t> </w:t>
      </w:r>
      <w:r>
        <w:rPr>
          <w:w w:val="105"/>
          <w:sz w:val="13"/>
          <w:vertAlign w:val="baseline"/>
        </w:rPr>
        <w:t>superannuation costs and termination benefits. Members of the University's Senate do not receive remuneration for being a member of</w:t>
      </w:r>
      <w:r>
        <w:rPr>
          <w:spacing w:val="40"/>
          <w:w w:val="105"/>
          <w:sz w:val="13"/>
          <w:vertAlign w:val="baseline"/>
        </w:rPr>
        <w:t> </w:t>
      </w:r>
      <w:r>
        <w:rPr>
          <w:w w:val="105"/>
          <w:sz w:val="13"/>
          <w:vertAlign w:val="baseline"/>
        </w:rPr>
        <w:t>the</w:t>
      </w:r>
      <w:r>
        <w:rPr>
          <w:spacing w:val="-3"/>
          <w:w w:val="105"/>
          <w:sz w:val="13"/>
          <w:vertAlign w:val="baseline"/>
        </w:rPr>
        <w:t> </w:t>
      </w:r>
      <w:r>
        <w:rPr>
          <w:w w:val="105"/>
          <w:sz w:val="13"/>
          <w:vertAlign w:val="baseline"/>
        </w:rPr>
        <w:t>Senate.</w:t>
      </w:r>
      <w:r>
        <w:rPr>
          <w:spacing w:val="-2"/>
          <w:w w:val="105"/>
          <w:sz w:val="13"/>
          <w:vertAlign w:val="baseline"/>
        </w:rPr>
        <w:t> </w:t>
      </w:r>
      <w:r>
        <w:rPr>
          <w:w w:val="105"/>
          <w:sz w:val="13"/>
          <w:vertAlign w:val="baseline"/>
        </w:rPr>
        <w:t>In</w:t>
      </w:r>
      <w:r>
        <w:rPr>
          <w:spacing w:val="-3"/>
          <w:w w:val="105"/>
          <w:sz w:val="13"/>
          <w:vertAlign w:val="baseline"/>
        </w:rPr>
        <w:t> </w:t>
      </w:r>
      <w:r>
        <w:rPr>
          <w:w w:val="105"/>
          <w:sz w:val="13"/>
          <w:vertAlign w:val="baseline"/>
        </w:rPr>
        <w:t>2020,</w:t>
      </w:r>
      <w:r>
        <w:rPr>
          <w:spacing w:val="-2"/>
          <w:w w:val="105"/>
          <w:sz w:val="13"/>
          <w:vertAlign w:val="baseline"/>
        </w:rPr>
        <w:t> </w:t>
      </w:r>
      <w:r>
        <w:rPr>
          <w:w w:val="105"/>
          <w:sz w:val="13"/>
          <w:vertAlign w:val="baseline"/>
        </w:rPr>
        <w:t>15</w:t>
      </w:r>
      <w:r>
        <w:rPr>
          <w:spacing w:val="-3"/>
          <w:w w:val="105"/>
          <w:sz w:val="13"/>
          <w:vertAlign w:val="baseline"/>
        </w:rPr>
        <w:t> </w:t>
      </w:r>
      <w:r>
        <w:rPr>
          <w:w w:val="105"/>
          <w:sz w:val="13"/>
          <w:vertAlign w:val="baseline"/>
        </w:rPr>
        <w:t>members</w:t>
      </w:r>
      <w:r>
        <w:rPr>
          <w:spacing w:val="-2"/>
          <w:w w:val="105"/>
          <w:sz w:val="13"/>
          <w:vertAlign w:val="baseline"/>
        </w:rPr>
        <w:t> </w:t>
      </w:r>
      <w:r>
        <w:rPr>
          <w:w w:val="105"/>
          <w:sz w:val="13"/>
          <w:vertAlign w:val="baseline"/>
        </w:rPr>
        <w:t>of Senate</w:t>
      </w:r>
      <w:r>
        <w:rPr>
          <w:spacing w:val="-3"/>
          <w:w w:val="105"/>
          <w:sz w:val="13"/>
          <w:vertAlign w:val="baseline"/>
        </w:rPr>
        <w:t> </w:t>
      </w:r>
      <w:r>
        <w:rPr>
          <w:w w:val="105"/>
          <w:sz w:val="13"/>
          <w:vertAlign w:val="baseline"/>
        </w:rPr>
        <w:t>received</w:t>
      </w:r>
      <w:r>
        <w:rPr>
          <w:spacing w:val="-3"/>
          <w:w w:val="105"/>
          <w:sz w:val="13"/>
          <w:vertAlign w:val="baseline"/>
        </w:rPr>
        <w:t> </w:t>
      </w:r>
      <w:r>
        <w:rPr>
          <w:w w:val="105"/>
          <w:sz w:val="13"/>
          <w:vertAlign w:val="baseline"/>
        </w:rPr>
        <w:t>nil remuneration.</w:t>
      </w:r>
      <w:r>
        <w:rPr>
          <w:spacing w:val="-2"/>
          <w:w w:val="105"/>
          <w:sz w:val="13"/>
          <w:vertAlign w:val="baseline"/>
        </w:rPr>
        <w:t> </w:t>
      </w:r>
      <w:r>
        <w:rPr>
          <w:w w:val="105"/>
          <w:sz w:val="13"/>
          <w:vertAlign w:val="baseline"/>
        </w:rPr>
        <w:t>The</w:t>
      </w:r>
      <w:r>
        <w:rPr>
          <w:spacing w:val="-1"/>
          <w:w w:val="105"/>
          <w:sz w:val="13"/>
          <w:vertAlign w:val="baseline"/>
        </w:rPr>
        <w:t> </w:t>
      </w:r>
      <w:r>
        <w:rPr>
          <w:w w:val="105"/>
          <w:sz w:val="13"/>
          <w:vertAlign w:val="baseline"/>
        </w:rPr>
        <w:t>remaining</w:t>
      </w:r>
      <w:r>
        <w:rPr>
          <w:spacing w:val="-3"/>
          <w:w w:val="105"/>
          <w:sz w:val="13"/>
          <w:vertAlign w:val="baseline"/>
        </w:rPr>
        <w:t> </w:t>
      </w:r>
      <w:r>
        <w:rPr>
          <w:w w:val="105"/>
          <w:sz w:val="13"/>
          <w:vertAlign w:val="baseline"/>
        </w:rPr>
        <w:t>8</w:t>
      </w:r>
      <w:r>
        <w:rPr>
          <w:spacing w:val="-1"/>
          <w:w w:val="105"/>
          <w:sz w:val="13"/>
          <w:vertAlign w:val="baseline"/>
        </w:rPr>
        <w:t> </w:t>
      </w:r>
      <w:r>
        <w:rPr>
          <w:w w:val="105"/>
          <w:sz w:val="13"/>
          <w:vertAlign w:val="baseline"/>
        </w:rPr>
        <w:t>members,</w:t>
      </w:r>
      <w:r>
        <w:rPr>
          <w:spacing w:val="-2"/>
          <w:w w:val="105"/>
          <w:sz w:val="13"/>
          <w:vertAlign w:val="baseline"/>
        </w:rPr>
        <w:t> </w:t>
      </w:r>
      <w:r>
        <w:rPr>
          <w:w w:val="105"/>
          <w:sz w:val="13"/>
          <w:vertAlign w:val="baseline"/>
        </w:rPr>
        <w:t>who</w:t>
      </w:r>
      <w:r>
        <w:rPr>
          <w:spacing w:val="-1"/>
          <w:w w:val="105"/>
          <w:sz w:val="13"/>
          <w:vertAlign w:val="baseline"/>
        </w:rPr>
        <w:t> </w:t>
      </w:r>
      <w:r>
        <w:rPr>
          <w:w w:val="105"/>
          <w:sz w:val="13"/>
          <w:vertAlign w:val="baseline"/>
        </w:rPr>
        <w:t>were</w:t>
      </w:r>
      <w:r>
        <w:rPr>
          <w:spacing w:val="-3"/>
          <w:w w:val="105"/>
          <w:sz w:val="13"/>
          <w:vertAlign w:val="baseline"/>
        </w:rPr>
        <w:t> </w:t>
      </w:r>
      <w:r>
        <w:rPr>
          <w:w w:val="105"/>
          <w:sz w:val="13"/>
          <w:vertAlign w:val="baseline"/>
        </w:rPr>
        <w:t>University</w:t>
      </w:r>
      <w:r>
        <w:rPr>
          <w:spacing w:val="-4"/>
          <w:w w:val="105"/>
          <w:sz w:val="13"/>
          <w:vertAlign w:val="baseline"/>
        </w:rPr>
        <w:t> </w:t>
      </w:r>
      <w:r>
        <w:rPr>
          <w:w w:val="105"/>
          <w:sz w:val="13"/>
          <w:vertAlign w:val="baseline"/>
        </w:rPr>
        <w:t>employees</w:t>
      </w:r>
      <w:r>
        <w:rPr>
          <w:spacing w:val="-2"/>
          <w:w w:val="105"/>
          <w:sz w:val="13"/>
          <w:vertAlign w:val="baseline"/>
        </w:rPr>
        <w:t> </w:t>
      </w:r>
      <w:r>
        <w:rPr>
          <w:w w:val="105"/>
          <w:sz w:val="13"/>
          <w:vertAlign w:val="baseline"/>
        </w:rPr>
        <w:t>during</w:t>
      </w:r>
      <w:r>
        <w:rPr>
          <w:spacing w:val="40"/>
          <w:w w:val="105"/>
          <w:sz w:val="13"/>
          <w:vertAlign w:val="baseline"/>
        </w:rPr>
        <w:t> </w:t>
      </w:r>
      <w:r>
        <w:rPr>
          <w:w w:val="105"/>
          <w:sz w:val="13"/>
          <w:vertAlign w:val="baseline"/>
        </w:rPr>
        <w:t>the year, received remuneration for the services performed in their substantive position at the University.</w:t>
      </w:r>
    </w:p>
    <w:p>
      <w:pPr>
        <w:spacing w:before="81"/>
        <w:ind w:left="847" w:right="0" w:firstLine="0"/>
        <w:jc w:val="both"/>
        <w:rPr>
          <w:sz w:val="13"/>
        </w:rPr>
      </w:pPr>
      <w:r>
        <w:rPr>
          <w:w w:val="105"/>
          <w:sz w:val="13"/>
        </w:rPr>
        <w:t>^</w:t>
      </w:r>
      <w:r>
        <w:rPr>
          <w:spacing w:val="-10"/>
          <w:w w:val="105"/>
          <w:sz w:val="13"/>
        </w:rPr>
        <w:t> </w:t>
      </w:r>
      <w:r>
        <w:rPr>
          <w:w w:val="105"/>
          <w:sz w:val="13"/>
        </w:rPr>
        <w:t>Include</w:t>
      </w:r>
      <w:r>
        <w:rPr>
          <w:spacing w:val="-9"/>
          <w:w w:val="105"/>
          <w:sz w:val="13"/>
        </w:rPr>
        <w:t> </w:t>
      </w:r>
      <w:r>
        <w:rPr>
          <w:w w:val="105"/>
          <w:sz w:val="13"/>
        </w:rPr>
        <w:t>employees</w:t>
      </w:r>
      <w:r>
        <w:rPr>
          <w:spacing w:val="-8"/>
          <w:w w:val="105"/>
          <w:sz w:val="13"/>
        </w:rPr>
        <w:t> </w:t>
      </w:r>
      <w:r>
        <w:rPr>
          <w:w w:val="105"/>
          <w:sz w:val="13"/>
        </w:rPr>
        <w:t>who</w:t>
      </w:r>
      <w:r>
        <w:rPr>
          <w:spacing w:val="-8"/>
          <w:w w:val="105"/>
          <w:sz w:val="13"/>
        </w:rPr>
        <w:t> </w:t>
      </w:r>
      <w:r>
        <w:rPr>
          <w:w w:val="105"/>
          <w:sz w:val="13"/>
        </w:rPr>
        <w:t>became</w:t>
      </w:r>
      <w:r>
        <w:rPr>
          <w:spacing w:val="-7"/>
          <w:w w:val="105"/>
          <w:sz w:val="13"/>
        </w:rPr>
        <w:t> </w:t>
      </w:r>
      <w:r>
        <w:rPr>
          <w:w w:val="105"/>
          <w:sz w:val="13"/>
        </w:rPr>
        <w:t>or</w:t>
      </w:r>
      <w:r>
        <w:rPr>
          <w:spacing w:val="-6"/>
          <w:w w:val="105"/>
          <w:sz w:val="13"/>
        </w:rPr>
        <w:t> </w:t>
      </w:r>
      <w:r>
        <w:rPr>
          <w:w w:val="105"/>
          <w:sz w:val="13"/>
        </w:rPr>
        <w:t>ceased</w:t>
      </w:r>
      <w:r>
        <w:rPr>
          <w:spacing w:val="-8"/>
          <w:w w:val="105"/>
          <w:sz w:val="13"/>
        </w:rPr>
        <w:t> </w:t>
      </w:r>
      <w:r>
        <w:rPr>
          <w:w w:val="105"/>
          <w:sz w:val="13"/>
        </w:rPr>
        <w:t>to</w:t>
      </w:r>
      <w:r>
        <w:rPr>
          <w:spacing w:val="-7"/>
          <w:w w:val="105"/>
          <w:sz w:val="13"/>
        </w:rPr>
        <w:t> </w:t>
      </w:r>
      <w:r>
        <w:rPr>
          <w:w w:val="105"/>
          <w:sz w:val="13"/>
        </w:rPr>
        <w:t>be</w:t>
      </w:r>
      <w:r>
        <w:rPr>
          <w:spacing w:val="-8"/>
          <w:w w:val="105"/>
          <w:sz w:val="13"/>
        </w:rPr>
        <w:t> </w:t>
      </w:r>
      <w:r>
        <w:rPr>
          <w:w w:val="105"/>
          <w:sz w:val="13"/>
        </w:rPr>
        <w:t>key</w:t>
      </w:r>
      <w:r>
        <w:rPr>
          <w:spacing w:val="-9"/>
          <w:w w:val="105"/>
          <w:sz w:val="13"/>
        </w:rPr>
        <w:t> </w:t>
      </w:r>
      <w:r>
        <w:rPr>
          <w:w w:val="105"/>
          <w:sz w:val="13"/>
        </w:rPr>
        <w:t>management</w:t>
      </w:r>
      <w:r>
        <w:rPr>
          <w:spacing w:val="-8"/>
          <w:w w:val="105"/>
          <w:sz w:val="13"/>
        </w:rPr>
        <w:t> </w:t>
      </w:r>
      <w:r>
        <w:rPr>
          <w:w w:val="105"/>
          <w:sz w:val="13"/>
        </w:rPr>
        <w:t>personnel</w:t>
      </w:r>
      <w:r>
        <w:rPr>
          <w:spacing w:val="-7"/>
          <w:w w:val="105"/>
          <w:sz w:val="13"/>
        </w:rPr>
        <w:t> </w:t>
      </w:r>
      <w:r>
        <w:rPr>
          <w:w w:val="105"/>
          <w:sz w:val="13"/>
        </w:rPr>
        <w:t>during</w:t>
      </w:r>
      <w:r>
        <w:rPr>
          <w:spacing w:val="-7"/>
          <w:w w:val="105"/>
          <w:sz w:val="13"/>
        </w:rPr>
        <w:t> </w:t>
      </w:r>
      <w:r>
        <w:rPr>
          <w:w w:val="105"/>
          <w:sz w:val="13"/>
        </w:rPr>
        <w:t>the</w:t>
      </w:r>
      <w:r>
        <w:rPr>
          <w:spacing w:val="-8"/>
          <w:w w:val="105"/>
          <w:sz w:val="13"/>
        </w:rPr>
        <w:t> </w:t>
      </w:r>
      <w:r>
        <w:rPr>
          <w:spacing w:val="-2"/>
          <w:w w:val="105"/>
          <w:sz w:val="13"/>
        </w:rPr>
        <w:t>year.</w:t>
      </w:r>
    </w:p>
    <w:p>
      <w:pPr>
        <w:spacing w:before="129"/>
        <w:ind w:left="847" w:right="0" w:firstLine="0"/>
        <w:jc w:val="both"/>
        <w:rPr>
          <w:sz w:val="13"/>
        </w:rPr>
      </w:pPr>
      <w:r>
        <w:rPr>
          <w:w w:val="105"/>
          <w:sz w:val="13"/>
        </w:rPr>
        <w:t>*</w:t>
      </w:r>
      <w:r>
        <w:rPr>
          <w:spacing w:val="-8"/>
          <w:w w:val="105"/>
          <w:sz w:val="13"/>
        </w:rPr>
        <w:t> </w:t>
      </w:r>
      <w:r>
        <w:rPr>
          <w:w w:val="105"/>
          <w:sz w:val="13"/>
        </w:rPr>
        <w:t>These</w:t>
      </w:r>
      <w:r>
        <w:rPr>
          <w:spacing w:val="-9"/>
          <w:w w:val="105"/>
          <w:sz w:val="13"/>
        </w:rPr>
        <w:t> </w:t>
      </w:r>
      <w:r>
        <w:rPr>
          <w:w w:val="105"/>
          <w:sz w:val="13"/>
        </w:rPr>
        <w:t>include</w:t>
      </w:r>
      <w:r>
        <w:rPr>
          <w:spacing w:val="-8"/>
          <w:w w:val="105"/>
          <w:sz w:val="13"/>
        </w:rPr>
        <w:t> </w:t>
      </w:r>
      <w:r>
        <w:rPr>
          <w:w w:val="105"/>
          <w:sz w:val="13"/>
        </w:rPr>
        <w:t>termination</w:t>
      </w:r>
      <w:r>
        <w:rPr>
          <w:spacing w:val="-9"/>
          <w:w w:val="105"/>
          <w:sz w:val="13"/>
        </w:rPr>
        <w:t> </w:t>
      </w:r>
      <w:r>
        <w:rPr>
          <w:w w:val="105"/>
          <w:sz w:val="13"/>
        </w:rPr>
        <w:t>benefit</w:t>
      </w:r>
      <w:r>
        <w:rPr>
          <w:spacing w:val="-9"/>
          <w:w w:val="105"/>
          <w:sz w:val="13"/>
        </w:rPr>
        <w:t> </w:t>
      </w:r>
      <w:r>
        <w:rPr>
          <w:w w:val="105"/>
          <w:sz w:val="13"/>
        </w:rPr>
        <w:t>payments</w:t>
      </w:r>
      <w:r>
        <w:rPr>
          <w:spacing w:val="-7"/>
          <w:w w:val="105"/>
          <w:sz w:val="13"/>
        </w:rPr>
        <w:t> </w:t>
      </w:r>
      <w:r>
        <w:rPr>
          <w:spacing w:val="-2"/>
          <w:w w:val="105"/>
          <w:sz w:val="13"/>
        </w:rPr>
        <w:t>made.</w:t>
      </w:r>
    </w:p>
    <w:p>
      <w:pPr>
        <w:spacing w:line="240" w:lineRule="auto" w:before="2"/>
        <w:rPr>
          <w:sz w:val="17"/>
        </w:rPr>
      </w:pPr>
      <w:r>
        <w:rPr/>
        <mc:AlternateContent>
          <mc:Choice Requires="wps">
            <w:drawing>
              <wp:anchor distT="0" distB="0" distL="0" distR="0" allowOverlap="1" layoutInCell="1" locked="0" behindDoc="1" simplePos="0" relativeHeight="487744512">
                <wp:simplePos x="0" y="0"/>
                <wp:positionH relativeFrom="page">
                  <wp:posOffset>720001</wp:posOffset>
                </wp:positionH>
                <wp:positionV relativeFrom="paragraph">
                  <wp:posOffset>140641</wp:posOffset>
                </wp:positionV>
                <wp:extent cx="5688965" cy="17145"/>
                <wp:effectExtent l="0" t="0" r="0" b="0"/>
                <wp:wrapTopAndBottom/>
                <wp:docPr id="919" name="Graphic 919"/>
                <wp:cNvGraphicFramePr>
                  <a:graphicFrameLocks/>
                </wp:cNvGraphicFramePr>
                <a:graphic>
                  <a:graphicData uri="http://schemas.microsoft.com/office/word/2010/wordprocessingShape">
                    <wps:wsp>
                      <wps:cNvPr id="919" name="Graphic 919"/>
                      <wps:cNvSpPr/>
                      <wps:spPr>
                        <a:xfrm>
                          <a:off x="0" y="0"/>
                          <a:ext cx="5688965" cy="17145"/>
                        </a:xfrm>
                        <a:custGeom>
                          <a:avLst/>
                          <a:gdLst/>
                          <a:ahLst/>
                          <a:cxnLst/>
                          <a:rect l="l" t="t" r="r" b="b"/>
                          <a:pathLst>
                            <a:path w="5688965" h="17145">
                              <a:moveTo>
                                <a:pt x="5688418" y="0"/>
                              </a:moveTo>
                              <a:lnTo>
                                <a:pt x="0" y="0"/>
                              </a:lnTo>
                              <a:lnTo>
                                <a:pt x="0" y="16827"/>
                              </a:lnTo>
                              <a:lnTo>
                                <a:pt x="5688418" y="16827"/>
                              </a:lnTo>
                              <a:lnTo>
                                <a:pt x="5688418"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6.693001pt;margin-top:11.07417pt;width:447.907pt;height:1.325pt;mso-position-horizontal-relative:page;mso-position-vertical-relative:paragraph;z-index:-15571968;mso-wrap-distance-left:0;mso-wrap-distance-right:0" id="docshape613" filled="true" fillcolor="#4f81bd" stroked="false">
                <v:fill type="solid"/>
                <w10:wrap type="topAndBottom"/>
              </v:rect>
            </w:pict>
          </mc:Fallback>
        </mc:AlternateContent>
      </w:r>
    </w:p>
    <w:p>
      <w:pPr>
        <w:spacing w:after="0" w:line="240" w:lineRule="auto"/>
        <w:rPr>
          <w:sz w:val="17"/>
        </w:rPr>
        <w:sectPr>
          <w:headerReference w:type="even" r:id="rId108"/>
          <w:headerReference w:type="default" r:id="rId109"/>
          <w:pgSz w:w="11910" w:h="16840"/>
          <w:pgMar w:header="468" w:footer="0" w:top="720" w:bottom="280" w:left="920" w:right="0"/>
          <w:pgNumType w:start="86"/>
        </w:sectPr>
      </w:pPr>
    </w:p>
    <w:p>
      <w:pPr>
        <w:spacing w:line="240" w:lineRule="auto" w:before="0"/>
        <w:rPr>
          <w:sz w:val="21"/>
        </w:rPr>
      </w:pPr>
    </w:p>
    <w:p>
      <w:pPr>
        <w:spacing w:line="240" w:lineRule="auto" w:before="0"/>
        <w:rPr>
          <w:sz w:val="21"/>
        </w:rPr>
      </w:pPr>
    </w:p>
    <w:p>
      <w:pPr>
        <w:spacing w:line="240" w:lineRule="auto" w:before="221"/>
        <w:rPr>
          <w:sz w:val="21"/>
        </w:rPr>
      </w:pPr>
    </w:p>
    <w:p>
      <w:pPr>
        <w:spacing w:before="1"/>
        <w:ind w:left="252" w:right="0" w:firstLine="0"/>
        <w:jc w:val="left"/>
        <w:rPr>
          <w:sz w:val="21"/>
        </w:rPr>
      </w:pPr>
      <w:r>
        <w:rPr>
          <w:color w:val="0070C0"/>
          <w:sz w:val="21"/>
        </w:rPr>
        <w:t>NOTES</w:t>
      </w:r>
      <w:r>
        <w:rPr>
          <w:color w:val="0070C0"/>
          <w:spacing w:val="5"/>
          <w:sz w:val="21"/>
        </w:rPr>
        <w:t> </w:t>
      </w:r>
      <w:r>
        <w:rPr>
          <w:color w:val="0070C0"/>
          <w:sz w:val="21"/>
        </w:rPr>
        <w:t>TO</w:t>
      </w:r>
      <w:r>
        <w:rPr>
          <w:color w:val="0070C0"/>
          <w:spacing w:val="6"/>
          <w:sz w:val="21"/>
        </w:rPr>
        <w:t> </w:t>
      </w:r>
      <w:r>
        <w:rPr>
          <w:color w:val="0070C0"/>
          <w:sz w:val="21"/>
        </w:rPr>
        <w:t>THE</w:t>
      </w:r>
      <w:r>
        <w:rPr>
          <w:color w:val="0070C0"/>
          <w:spacing w:val="5"/>
          <w:sz w:val="21"/>
        </w:rPr>
        <w:t> </w:t>
      </w:r>
      <w:r>
        <w:rPr>
          <w:color w:val="0070C0"/>
          <w:sz w:val="21"/>
        </w:rPr>
        <w:t>FINANCIAL</w:t>
      </w:r>
      <w:r>
        <w:rPr>
          <w:color w:val="0070C0"/>
          <w:spacing w:val="7"/>
          <w:sz w:val="21"/>
        </w:rPr>
        <w:t> </w:t>
      </w:r>
      <w:r>
        <w:rPr>
          <w:color w:val="0070C0"/>
          <w:spacing w:val="-2"/>
          <w:sz w:val="21"/>
        </w:rPr>
        <w:t>STATEMENTS</w:t>
      </w:r>
    </w:p>
    <w:p>
      <w:pPr>
        <w:spacing w:before="25"/>
        <w:ind w:left="238" w:right="0" w:firstLine="0"/>
        <w:jc w:val="left"/>
        <w:rPr>
          <w:sz w:val="12"/>
        </w:rPr>
      </w:pPr>
      <w:r>
        <w:rPr>
          <w:sz w:val="12"/>
        </w:rPr>
        <w:t>for</w:t>
      </w:r>
      <w:r>
        <w:rPr>
          <w:spacing w:val="-9"/>
          <w:sz w:val="12"/>
        </w:rPr>
        <w:t> </w:t>
      </w:r>
      <w:r>
        <w:rPr>
          <w:sz w:val="12"/>
        </w:rPr>
        <w:t>the</w:t>
      </w:r>
      <w:r>
        <w:rPr>
          <w:spacing w:val="-8"/>
          <w:sz w:val="12"/>
        </w:rPr>
        <w:t> </w:t>
      </w:r>
      <w:r>
        <w:rPr>
          <w:sz w:val="12"/>
        </w:rPr>
        <w:t>year</w:t>
      </w:r>
      <w:r>
        <w:rPr>
          <w:spacing w:val="-8"/>
          <w:sz w:val="12"/>
        </w:rPr>
        <w:t> </w:t>
      </w:r>
      <w:r>
        <w:rPr>
          <w:sz w:val="12"/>
        </w:rPr>
        <w:t>ended</w:t>
      </w:r>
      <w:r>
        <w:rPr>
          <w:spacing w:val="-8"/>
          <w:sz w:val="12"/>
        </w:rPr>
        <w:t> </w:t>
      </w:r>
      <w:r>
        <w:rPr>
          <w:sz w:val="12"/>
        </w:rPr>
        <w:t>31</w:t>
      </w:r>
      <w:r>
        <w:rPr>
          <w:spacing w:val="-9"/>
          <w:sz w:val="12"/>
        </w:rPr>
        <w:t> </w:t>
      </w:r>
      <w:r>
        <w:rPr>
          <w:sz w:val="12"/>
        </w:rPr>
        <w:t>December</w:t>
      </w:r>
      <w:r>
        <w:rPr>
          <w:spacing w:val="-7"/>
          <w:sz w:val="12"/>
        </w:rPr>
        <w:t> </w:t>
      </w:r>
      <w:r>
        <w:rPr>
          <w:spacing w:val="-4"/>
          <w:sz w:val="12"/>
        </w:rPr>
        <w:t>2020</w:t>
      </w:r>
    </w:p>
    <w:p>
      <w:pPr>
        <w:pStyle w:val="Heading6"/>
        <w:numPr>
          <w:ilvl w:val="0"/>
          <w:numId w:val="13"/>
        </w:numPr>
        <w:tabs>
          <w:tab w:pos="864" w:val="left" w:leader="none"/>
        </w:tabs>
        <w:spacing w:line="240" w:lineRule="auto" w:before="82" w:after="0"/>
        <w:ind w:left="864" w:right="0" w:hanging="599"/>
        <w:jc w:val="left"/>
        <w:rPr>
          <w:color w:val="0070C0"/>
        </w:rPr>
      </w:pPr>
      <w:r>
        <w:rPr/>
        <mc:AlternateContent>
          <mc:Choice Requires="wps">
            <w:drawing>
              <wp:anchor distT="0" distB="0" distL="0" distR="0" allowOverlap="1" layoutInCell="1" locked="0" behindDoc="1" simplePos="0" relativeHeight="487745024">
                <wp:simplePos x="0" y="0"/>
                <wp:positionH relativeFrom="page">
                  <wp:posOffset>720001</wp:posOffset>
                </wp:positionH>
                <wp:positionV relativeFrom="paragraph">
                  <wp:posOffset>291238</wp:posOffset>
                </wp:positionV>
                <wp:extent cx="5626735" cy="14604"/>
                <wp:effectExtent l="0" t="0" r="0" b="0"/>
                <wp:wrapTopAndBottom/>
                <wp:docPr id="920" name="Graphic 920"/>
                <wp:cNvGraphicFramePr>
                  <a:graphicFrameLocks/>
                </wp:cNvGraphicFramePr>
                <a:graphic>
                  <a:graphicData uri="http://schemas.microsoft.com/office/word/2010/wordprocessingShape">
                    <wps:wsp>
                      <wps:cNvPr id="920" name="Graphic 920"/>
                      <wps:cNvSpPr/>
                      <wps:spPr>
                        <a:xfrm>
                          <a:off x="0" y="0"/>
                          <a:ext cx="5626735" cy="14604"/>
                        </a:xfrm>
                        <a:custGeom>
                          <a:avLst/>
                          <a:gdLst/>
                          <a:ahLst/>
                          <a:cxnLst/>
                          <a:rect l="l" t="t" r="r" b="b"/>
                          <a:pathLst>
                            <a:path w="5626735" h="14604">
                              <a:moveTo>
                                <a:pt x="5626265" y="0"/>
                              </a:moveTo>
                              <a:lnTo>
                                <a:pt x="0" y="0"/>
                              </a:lnTo>
                              <a:lnTo>
                                <a:pt x="0" y="14287"/>
                              </a:lnTo>
                              <a:lnTo>
                                <a:pt x="5626265" y="14287"/>
                              </a:lnTo>
                              <a:lnTo>
                                <a:pt x="5626265"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6.693001pt;margin-top:22.932188pt;width:443.013pt;height:1.125pt;mso-position-horizontal-relative:page;mso-position-vertical-relative:paragraph;z-index:-15571456;mso-wrap-distance-left:0;mso-wrap-distance-right:0" id="docshape614" filled="true" fillcolor="#4f81bd" stroked="false">
                <v:fill type="solid"/>
                <w10:wrap type="topAndBottom"/>
              </v:rect>
            </w:pict>
          </mc:Fallback>
        </mc:AlternateContent>
      </w:r>
      <w:r>
        <w:rPr>
          <w:color w:val="0070C0"/>
        </w:rPr>
        <w:t>Our</w:t>
      </w:r>
      <w:r>
        <w:rPr>
          <w:color w:val="0070C0"/>
          <w:spacing w:val="-10"/>
        </w:rPr>
        <w:t> </w:t>
      </w:r>
      <w:r>
        <w:rPr>
          <w:color w:val="0070C0"/>
          <w:spacing w:val="-2"/>
        </w:rPr>
        <w:t>expenditure</w:t>
      </w:r>
    </w:p>
    <w:p>
      <w:pPr>
        <w:spacing w:before="116"/>
        <w:ind w:left="839" w:right="0" w:firstLine="0"/>
        <w:jc w:val="left"/>
        <w:rPr>
          <w:sz w:val="14"/>
        </w:rPr>
      </w:pPr>
      <w:r>
        <w:rPr>
          <w:w w:val="105"/>
          <w:sz w:val="14"/>
        </w:rPr>
        <w:t>This</w:t>
      </w:r>
      <w:r>
        <w:rPr>
          <w:spacing w:val="-8"/>
          <w:w w:val="105"/>
          <w:sz w:val="14"/>
        </w:rPr>
        <w:t> </w:t>
      </w:r>
      <w:r>
        <w:rPr>
          <w:w w:val="105"/>
          <w:sz w:val="14"/>
        </w:rPr>
        <w:t>section</w:t>
      </w:r>
      <w:r>
        <w:rPr>
          <w:spacing w:val="-7"/>
          <w:w w:val="105"/>
          <w:sz w:val="14"/>
        </w:rPr>
        <w:t> </w:t>
      </w:r>
      <w:r>
        <w:rPr>
          <w:w w:val="105"/>
          <w:sz w:val="14"/>
        </w:rPr>
        <w:t>provides</w:t>
      </w:r>
      <w:r>
        <w:rPr>
          <w:spacing w:val="-7"/>
          <w:w w:val="105"/>
          <w:sz w:val="14"/>
        </w:rPr>
        <w:t> </w:t>
      </w:r>
      <w:r>
        <w:rPr>
          <w:w w:val="105"/>
          <w:sz w:val="14"/>
        </w:rPr>
        <w:t>details</w:t>
      </w:r>
      <w:r>
        <w:rPr>
          <w:spacing w:val="-7"/>
          <w:w w:val="105"/>
          <w:sz w:val="14"/>
        </w:rPr>
        <w:t> </w:t>
      </w:r>
      <w:r>
        <w:rPr>
          <w:w w:val="105"/>
          <w:sz w:val="14"/>
        </w:rPr>
        <w:t>information</w:t>
      </w:r>
      <w:r>
        <w:rPr>
          <w:spacing w:val="-8"/>
          <w:w w:val="105"/>
          <w:sz w:val="14"/>
        </w:rPr>
        <w:t> </w:t>
      </w:r>
      <w:r>
        <w:rPr>
          <w:w w:val="105"/>
          <w:sz w:val="14"/>
        </w:rPr>
        <w:t>on</w:t>
      </w:r>
      <w:r>
        <w:rPr>
          <w:spacing w:val="-8"/>
          <w:w w:val="105"/>
          <w:sz w:val="14"/>
        </w:rPr>
        <w:t> </w:t>
      </w:r>
      <w:r>
        <w:rPr>
          <w:w w:val="105"/>
          <w:sz w:val="14"/>
        </w:rPr>
        <w:t>the</w:t>
      </w:r>
      <w:r>
        <w:rPr>
          <w:spacing w:val="-8"/>
          <w:w w:val="105"/>
          <w:sz w:val="14"/>
        </w:rPr>
        <w:t> </w:t>
      </w:r>
      <w:r>
        <w:rPr>
          <w:w w:val="105"/>
          <w:sz w:val="14"/>
        </w:rPr>
        <w:t>expenses</w:t>
      </w:r>
      <w:r>
        <w:rPr>
          <w:spacing w:val="-7"/>
          <w:w w:val="105"/>
          <w:sz w:val="14"/>
        </w:rPr>
        <w:t> </w:t>
      </w:r>
      <w:r>
        <w:rPr>
          <w:w w:val="105"/>
          <w:sz w:val="14"/>
        </w:rPr>
        <w:t>incurred</w:t>
      </w:r>
      <w:r>
        <w:rPr>
          <w:spacing w:val="-8"/>
          <w:w w:val="105"/>
          <w:sz w:val="14"/>
        </w:rPr>
        <w:t> </w:t>
      </w:r>
      <w:r>
        <w:rPr>
          <w:w w:val="105"/>
          <w:sz w:val="14"/>
        </w:rPr>
        <w:t>in</w:t>
      </w:r>
      <w:r>
        <w:rPr>
          <w:spacing w:val="-7"/>
          <w:w w:val="105"/>
          <w:sz w:val="14"/>
        </w:rPr>
        <w:t> </w:t>
      </w:r>
      <w:r>
        <w:rPr>
          <w:w w:val="105"/>
          <w:sz w:val="14"/>
        </w:rPr>
        <w:t>running</w:t>
      </w:r>
      <w:r>
        <w:rPr>
          <w:spacing w:val="-8"/>
          <w:w w:val="105"/>
          <w:sz w:val="14"/>
        </w:rPr>
        <w:t> </w:t>
      </w:r>
      <w:r>
        <w:rPr>
          <w:w w:val="105"/>
          <w:sz w:val="14"/>
        </w:rPr>
        <w:t>the</w:t>
      </w:r>
      <w:r>
        <w:rPr>
          <w:spacing w:val="-8"/>
          <w:w w:val="105"/>
          <w:sz w:val="14"/>
        </w:rPr>
        <w:t> </w:t>
      </w:r>
      <w:r>
        <w:rPr>
          <w:w w:val="105"/>
          <w:sz w:val="14"/>
        </w:rPr>
        <w:t>University</w:t>
      </w:r>
      <w:r>
        <w:rPr>
          <w:spacing w:val="-10"/>
          <w:w w:val="105"/>
          <w:sz w:val="14"/>
        </w:rPr>
        <w:t> </w:t>
      </w:r>
      <w:r>
        <w:rPr>
          <w:w w:val="105"/>
          <w:sz w:val="14"/>
        </w:rPr>
        <w:t>and</w:t>
      </w:r>
      <w:r>
        <w:rPr>
          <w:spacing w:val="-8"/>
          <w:w w:val="105"/>
          <w:sz w:val="14"/>
        </w:rPr>
        <w:t> </w:t>
      </w:r>
      <w:r>
        <w:rPr>
          <w:w w:val="105"/>
          <w:sz w:val="14"/>
        </w:rPr>
        <w:t>its</w:t>
      </w:r>
      <w:r>
        <w:rPr>
          <w:spacing w:val="-7"/>
          <w:w w:val="105"/>
          <w:sz w:val="14"/>
        </w:rPr>
        <w:t> </w:t>
      </w:r>
      <w:r>
        <w:rPr>
          <w:spacing w:val="-2"/>
          <w:w w:val="105"/>
          <w:sz w:val="14"/>
        </w:rPr>
        <w:t>subsidiaries.</w:t>
      </w:r>
    </w:p>
    <w:p>
      <w:pPr>
        <w:pStyle w:val="ListParagraph"/>
        <w:numPr>
          <w:ilvl w:val="1"/>
          <w:numId w:val="13"/>
        </w:numPr>
        <w:tabs>
          <w:tab w:pos="841" w:val="left" w:leader="none"/>
          <w:tab w:pos="5950" w:val="left" w:leader="none"/>
          <w:tab w:pos="7856" w:val="left" w:leader="none"/>
        </w:tabs>
        <w:spacing w:line="240" w:lineRule="auto" w:before="117" w:after="0"/>
        <w:ind w:left="841" w:right="0" w:hanging="598"/>
        <w:jc w:val="left"/>
        <w:rPr>
          <w:b/>
          <w:color w:val="0070C0"/>
          <w:sz w:val="16"/>
        </w:rPr>
      </w:pPr>
      <w:r>
        <w:rPr>
          <w:b/>
          <w:color w:val="0070C0"/>
          <w:spacing w:val="-2"/>
          <w:sz w:val="16"/>
        </w:rPr>
        <w:t>Expenses</w:t>
      </w:r>
      <w:r>
        <w:rPr>
          <w:b/>
          <w:color w:val="0070C0"/>
          <w:sz w:val="16"/>
        </w:rPr>
        <w:tab/>
      </w:r>
      <w:r>
        <w:rPr>
          <w:b/>
          <w:spacing w:val="-2"/>
          <w:sz w:val="13"/>
        </w:rPr>
        <w:t>Consolidated</w:t>
      </w:r>
      <w:r>
        <w:rPr>
          <w:b/>
          <w:sz w:val="13"/>
        </w:rPr>
        <w:tab/>
      </w:r>
      <w:r>
        <w:rPr>
          <w:b/>
          <w:spacing w:val="-2"/>
          <w:sz w:val="13"/>
        </w:rPr>
        <w:t>University</w:t>
      </w:r>
    </w:p>
    <w:tbl>
      <w:tblPr>
        <w:tblW w:w="0" w:type="auto"/>
        <w:jc w:val="left"/>
        <w:tblInd w:w="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8"/>
        <w:gridCol w:w="4836"/>
        <w:gridCol w:w="1036"/>
        <w:gridCol w:w="884"/>
        <w:gridCol w:w="920"/>
        <w:gridCol w:w="770"/>
      </w:tblGrid>
      <w:tr>
        <w:trPr>
          <w:trHeight w:val="354" w:hRule="atLeast"/>
        </w:trPr>
        <w:tc>
          <w:tcPr>
            <w:tcW w:w="5254" w:type="dxa"/>
            <w:gridSpan w:val="2"/>
          </w:tcPr>
          <w:p>
            <w:pPr>
              <w:pStyle w:val="TableParagraph"/>
              <w:rPr>
                <w:rFonts w:ascii="Times New Roman"/>
                <w:sz w:val="12"/>
              </w:rPr>
            </w:pPr>
          </w:p>
        </w:tc>
        <w:tc>
          <w:tcPr>
            <w:tcW w:w="1036" w:type="dxa"/>
            <w:tcBorders>
              <w:bottom w:val="single" w:sz="6" w:space="0" w:color="000000"/>
            </w:tcBorders>
          </w:tcPr>
          <w:p>
            <w:pPr>
              <w:pStyle w:val="TableParagraph"/>
              <w:spacing w:line="147" w:lineRule="exact"/>
              <w:ind w:left="309"/>
              <w:rPr>
                <w:b/>
                <w:sz w:val="13"/>
              </w:rPr>
            </w:pPr>
            <w:r>
              <w:rPr>
                <w:b/>
                <w:spacing w:val="-4"/>
                <w:sz w:val="13"/>
              </w:rPr>
              <w:t>2020</w:t>
            </w:r>
          </w:p>
          <w:p>
            <w:pPr>
              <w:pStyle w:val="TableParagraph"/>
              <w:spacing w:before="21"/>
              <w:ind w:left="293"/>
              <w:rPr>
                <w:b/>
                <w:sz w:val="13"/>
              </w:rPr>
            </w:pPr>
            <w:r>
              <w:rPr>
                <w:b/>
                <w:spacing w:val="-2"/>
                <w:sz w:val="13"/>
              </w:rPr>
              <w:t>$'000</w:t>
            </w:r>
          </w:p>
        </w:tc>
        <w:tc>
          <w:tcPr>
            <w:tcW w:w="884" w:type="dxa"/>
            <w:tcBorders>
              <w:bottom w:val="single" w:sz="6" w:space="0" w:color="000000"/>
            </w:tcBorders>
          </w:tcPr>
          <w:p>
            <w:pPr>
              <w:pStyle w:val="TableParagraph"/>
              <w:spacing w:line="147" w:lineRule="exact"/>
              <w:ind w:left="175"/>
              <w:rPr>
                <w:b/>
                <w:sz w:val="13"/>
              </w:rPr>
            </w:pPr>
            <w:r>
              <w:rPr>
                <w:b/>
                <w:spacing w:val="-4"/>
                <w:sz w:val="13"/>
              </w:rPr>
              <w:t>2019</w:t>
            </w:r>
          </w:p>
          <w:p>
            <w:pPr>
              <w:pStyle w:val="TableParagraph"/>
              <w:spacing w:before="21"/>
              <w:ind w:left="160"/>
              <w:rPr>
                <w:b/>
                <w:sz w:val="13"/>
              </w:rPr>
            </w:pPr>
            <w:r>
              <w:rPr>
                <w:b/>
                <w:spacing w:val="-2"/>
                <w:sz w:val="13"/>
              </w:rPr>
              <w:t>$'000</w:t>
            </w:r>
          </w:p>
        </w:tc>
        <w:tc>
          <w:tcPr>
            <w:tcW w:w="920" w:type="dxa"/>
            <w:tcBorders>
              <w:bottom w:val="single" w:sz="6" w:space="0" w:color="000000"/>
            </w:tcBorders>
          </w:tcPr>
          <w:p>
            <w:pPr>
              <w:pStyle w:val="TableParagraph"/>
              <w:spacing w:line="147" w:lineRule="exact"/>
              <w:ind w:left="194"/>
              <w:rPr>
                <w:b/>
                <w:sz w:val="13"/>
              </w:rPr>
            </w:pPr>
            <w:r>
              <w:rPr>
                <w:b/>
                <w:spacing w:val="-4"/>
                <w:sz w:val="13"/>
              </w:rPr>
              <w:t>2020</w:t>
            </w:r>
          </w:p>
          <w:p>
            <w:pPr>
              <w:pStyle w:val="TableParagraph"/>
              <w:spacing w:before="21"/>
              <w:ind w:left="178"/>
              <w:rPr>
                <w:b/>
                <w:sz w:val="13"/>
              </w:rPr>
            </w:pPr>
            <w:r>
              <w:rPr>
                <w:b/>
                <w:spacing w:val="-2"/>
                <w:sz w:val="13"/>
              </w:rPr>
              <w:t>$'000</w:t>
            </w:r>
          </w:p>
        </w:tc>
        <w:tc>
          <w:tcPr>
            <w:tcW w:w="770" w:type="dxa"/>
            <w:tcBorders>
              <w:bottom w:val="single" w:sz="6" w:space="0" w:color="000000"/>
            </w:tcBorders>
          </w:tcPr>
          <w:p>
            <w:pPr>
              <w:pStyle w:val="TableParagraph"/>
              <w:spacing w:line="147" w:lineRule="exact"/>
              <w:ind w:left="176"/>
              <w:rPr>
                <w:b/>
                <w:sz w:val="13"/>
              </w:rPr>
            </w:pPr>
            <w:r>
              <w:rPr>
                <w:b/>
                <w:spacing w:val="-4"/>
                <w:sz w:val="13"/>
              </w:rPr>
              <w:t>2019</w:t>
            </w:r>
          </w:p>
          <w:p>
            <w:pPr>
              <w:pStyle w:val="TableParagraph"/>
              <w:spacing w:before="21"/>
              <w:ind w:left="161"/>
              <w:rPr>
                <w:b/>
                <w:sz w:val="13"/>
              </w:rPr>
            </w:pPr>
            <w:r>
              <w:rPr>
                <w:b/>
                <w:spacing w:val="-2"/>
                <w:sz w:val="13"/>
              </w:rPr>
              <w:t>$'000</w:t>
            </w:r>
          </w:p>
        </w:tc>
      </w:tr>
      <w:tr>
        <w:trPr>
          <w:trHeight w:val="429" w:hRule="atLeast"/>
        </w:trPr>
        <w:tc>
          <w:tcPr>
            <w:tcW w:w="418" w:type="dxa"/>
          </w:tcPr>
          <w:p>
            <w:pPr>
              <w:pStyle w:val="TableParagraph"/>
              <w:spacing w:before="84"/>
              <w:ind w:left="33"/>
              <w:rPr>
                <w:b/>
                <w:sz w:val="13"/>
              </w:rPr>
            </w:pPr>
            <w:r>
              <w:rPr>
                <w:b/>
                <w:spacing w:val="-5"/>
                <w:sz w:val="13"/>
              </w:rPr>
              <w:t>(a)</w:t>
            </w:r>
          </w:p>
        </w:tc>
        <w:tc>
          <w:tcPr>
            <w:tcW w:w="4836" w:type="dxa"/>
          </w:tcPr>
          <w:p>
            <w:pPr>
              <w:pStyle w:val="TableParagraph"/>
              <w:spacing w:before="75"/>
              <w:ind w:left="214"/>
              <w:rPr>
                <w:b/>
                <w:sz w:val="13"/>
              </w:rPr>
            </w:pPr>
            <w:r>
              <w:rPr>
                <w:b/>
                <w:sz w:val="13"/>
              </w:rPr>
              <w:t>Depreciation</w:t>
            </w:r>
            <w:r>
              <w:rPr>
                <w:b/>
                <w:spacing w:val="6"/>
                <w:sz w:val="13"/>
              </w:rPr>
              <w:t> </w:t>
            </w:r>
            <w:r>
              <w:rPr>
                <w:b/>
                <w:sz w:val="13"/>
              </w:rPr>
              <w:t>and</w:t>
            </w:r>
            <w:r>
              <w:rPr>
                <w:b/>
                <w:spacing w:val="7"/>
                <w:sz w:val="13"/>
              </w:rPr>
              <w:t> </w:t>
            </w:r>
            <w:r>
              <w:rPr>
                <w:b/>
                <w:spacing w:val="-2"/>
                <w:sz w:val="13"/>
              </w:rPr>
              <w:t>amortisation</w:t>
            </w:r>
          </w:p>
          <w:p>
            <w:pPr>
              <w:pStyle w:val="TableParagraph"/>
              <w:spacing w:before="13"/>
              <w:ind w:left="214"/>
              <w:rPr>
                <w:sz w:val="13"/>
              </w:rPr>
            </w:pPr>
            <w:r>
              <w:rPr>
                <w:spacing w:val="-2"/>
                <w:sz w:val="13"/>
              </w:rPr>
              <w:t>Depreciation</w:t>
            </w:r>
          </w:p>
        </w:tc>
        <w:tc>
          <w:tcPr>
            <w:tcW w:w="1036" w:type="dxa"/>
            <w:tcBorders>
              <w:top w:val="single" w:sz="6" w:space="0" w:color="000000"/>
            </w:tcBorders>
          </w:tcPr>
          <w:p>
            <w:pPr>
              <w:pStyle w:val="TableParagraph"/>
              <w:spacing w:before="88"/>
              <w:rPr>
                <w:b/>
                <w:sz w:val="13"/>
              </w:rPr>
            </w:pPr>
          </w:p>
          <w:p>
            <w:pPr>
              <w:pStyle w:val="TableParagraph"/>
              <w:ind w:right="200"/>
              <w:jc w:val="right"/>
              <w:rPr>
                <w:sz w:val="13"/>
              </w:rPr>
            </w:pPr>
            <w:r>
              <w:rPr>
                <w:spacing w:val="-2"/>
                <w:sz w:val="13"/>
              </w:rPr>
              <w:t>47,232</w:t>
            </w:r>
          </w:p>
        </w:tc>
        <w:tc>
          <w:tcPr>
            <w:tcW w:w="884" w:type="dxa"/>
            <w:tcBorders>
              <w:top w:val="single" w:sz="6" w:space="0" w:color="000000"/>
            </w:tcBorders>
          </w:tcPr>
          <w:p>
            <w:pPr>
              <w:pStyle w:val="TableParagraph"/>
              <w:spacing w:before="88"/>
              <w:rPr>
                <w:b/>
                <w:sz w:val="13"/>
              </w:rPr>
            </w:pPr>
          </w:p>
          <w:p>
            <w:pPr>
              <w:pStyle w:val="TableParagraph"/>
              <w:ind w:right="181"/>
              <w:jc w:val="right"/>
              <w:rPr>
                <w:sz w:val="13"/>
              </w:rPr>
            </w:pPr>
            <w:r>
              <w:rPr>
                <w:spacing w:val="-2"/>
                <w:sz w:val="13"/>
              </w:rPr>
              <w:t>44,869</w:t>
            </w:r>
          </w:p>
        </w:tc>
        <w:tc>
          <w:tcPr>
            <w:tcW w:w="920" w:type="dxa"/>
            <w:tcBorders>
              <w:top w:val="single" w:sz="6" w:space="0" w:color="000000"/>
            </w:tcBorders>
          </w:tcPr>
          <w:p>
            <w:pPr>
              <w:pStyle w:val="TableParagraph"/>
              <w:spacing w:before="88"/>
              <w:rPr>
                <w:b/>
                <w:sz w:val="13"/>
              </w:rPr>
            </w:pPr>
          </w:p>
          <w:p>
            <w:pPr>
              <w:pStyle w:val="TableParagraph"/>
              <w:ind w:right="199"/>
              <w:jc w:val="right"/>
              <w:rPr>
                <w:sz w:val="13"/>
              </w:rPr>
            </w:pPr>
            <w:r>
              <w:rPr>
                <w:spacing w:val="-2"/>
                <w:sz w:val="13"/>
              </w:rPr>
              <w:t>46,876</w:t>
            </w:r>
          </w:p>
        </w:tc>
        <w:tc>
          <w:tcPr>
            <w:tcW w:w="770" w:type="dxa"/>
            <w:tcBorders>
              <w:top w:val="single" w:sz="6" w:space="0" w:color="000000"/>
            </w:tcBorders>
          </w:tcPr>
          <w:p>
            <w:pPr>
              <w:pStyle w:val="TableParagraph"/>
              <w:spacing w:before="88"/>
              <w:rPr>
                <w:b/>
                <w:sz w:val="13"/>
              </w:rPr>
            </w:pPr>
          </w:p>
          <w:p>
            <w:pPr>
              <w:pStyle w:val="TableParagraph"/>
              <w:ind w:right="66"/>
              <w:jc w:val="right"/>
              <w:rPr>
                <w:sz w:val="13"/>
              </w:rPr>
            </w:pPr>
            <w:r>
              <w:rPr>
                <w:spacing w:val="-2"/>
                <w:sz w:val="13"/>
              </w:rPr>
              <w:t>44,484</w:t>
            </w:r>
          </w:p>
        </w:tc>
      </w:tr>
      <w:tr>
        <w:trPr>
          <w:trHeight w:val="156" w:hRule="atLeast"/>
        </w:trPr>
        <w:tc>
          <w:tcPr>
            <w:tcW w:w="418" w:type="dxa"/>
          </w:tcPr>
          <w:p>
            <w:pPr>
              <w:pStyle w:val="TableParagraph"/>
              <w:rPr>
                <w:rFonts w:ascii="Times New Roman"/>
                <w:sz w:val="10"/>
              </w:rPr>
            </w:pPr>
          </w:p>
        </w:tc>
        <w:tc>
          <w:tcPr>
            <w:tcW w:w="4836" w:type="dxa"/>
          </w:tcPr>
          <w:p>
            <w:pPr>
              <w:pStyle w:val="TableParagraph"/>
              <w:spacing w:line="120" w:lineRule="exact"/>
              <w:ind w:left="214"/>
              <w:rPr>
                <w:sz w:val="13"/>
              </w:rPr>
            </w:pPr>
            <w:r>
              <w:rPr>
                <w:spacing w:val="-2"/>
                <w:sz w:val="13"/>
              </w:rPr>
              <w:t>Amortisation</w:t>
            </w:r>
          </w:p>
        </w:tc>
        <w:tc>
          <w:tcPr>
            <w:tcW w:w="1036" w:type="dxa"/>
            <w:tcBorders>
              <w:bottom w:val="single" w:sz="6" w:space="0" w:color="000000"/>
            </w:tcBorders>
          </w:tcPr>
          <w:p>
            <w:pPr>
              <w:pStyle w:val="TableParagraph"/>
              <w:spacing w:line="120" w:lineRule="exact"/>
              <w:ind w:right="200"/>
              <w:jc w:val="right"/>
              <w:rPr>
                <w:sz w:val="13"/>
              </w:rPr>
            </w:pPr>
            <w:r>
              <w:rPr>
                <w:spacing w:val="-2"/>
                <w:sz w:val="13"/>
              </w:rPr>
              <w:t>7,488</w:t>
            </w:r>
          </w:p>
        </w:tc>
        <w:tc>
          <w:tcPr>
            <w:tcW w:w="884" w:type="dxa"/>
            <w:tcBorders>
              <w:bottom w:val="single" w:sz="6" w:space="0" w:color="000000"/>
            </w:tcBorders>
          </w:tcPr>
          <w:p>
            <w:pPr>
              <w:pStyle w:val="TableParagraph"/>
              <w:spacing w:line="120" w:lineRule="exact"/>
              <w:ind w:right="181"/>
              <w:jc w:val="right"/>
              <w:rPr>
                <w:sz w:val="13"/>
              </w:rPr>
            </w:pPr>
            <w:r>
              <w:rPr>
                <w:spacing w:val="-2"/>
                <w:sz w:val="13"/>
              </w:rPr>
              <w:t>5,417</w:t>
            </w:r>
          </w:p>
        </w:tc>
        <w:tc>
          <w:tcPr>
            <w:tcW w:w="920" w:type="dxa"/>
            <w:tcBorders>
              <w:bottom w:val="single" w:sz="6" w:space="0" w:color="000000"/>
            </w:tcBorders>
          </w:tcPr>
          <w:p>
            <w:pPr>
              <w:pStyle w:val="TableParagraph"/>
              <w:spacing w:line="120" w:lineRule="exact"/>
              <w:ind w:right="199"/>
              <w:jc w:val="right"/>
              <w:rPr>
                <w:sz w:val="13"/>
              </w:rPr>
            </w:pPr>
            <w:r>
              <w:rPr>
                <w:spacing w:val="-2"/>
                <w:sz w:val="13"/>
              </w:rPr>
              <w:t>7,488</w:t>
            </w:r>
          </w:p>
        </w:tc>
        <w:tc>
          <w:tcPr>
            <w:tcW w:w="770" w:type="dxa"/>
            <w:tcBorders>
              <w:bottom w:val="single" w:sz="6" w:space="0" w:color="000000"/>
            </w:tcBorders>
          </w:tcPr>
          <w:p>
            <w:pPr>
              <w:pStyle w:val="TableParagraph"/>
              <w:spacing w:line="120" w:lineRule="exact"/>
              <w:ind w:right="66"/>
              <w:jc w:val="right"/>
              <w:rPr>
                <w:sz w:val="13"/>
              </w:rPr>
            </w:pPr>
            <w:r>
              <w:rPr>
                <w:spacing w:val="-2"/>
                <w:sz w:val="13"/>
              </w:rPr>
              <w:t>5,417</w:t>
            </w:r>
          </w:p>
        </w:tc>
      </w:tr>
      <w:tr>
        <w:trPr>
          <w:trHeight w:val="147" w:hRule="atLeast"/>
        </w:trPr>
        <w:tc>
          <w:tcPr>
            <w:tcW w:w="418" w:type="dxa"/>
          </w:tcPr>
          <w:p>
            <w:pPr>
              <w:pStyle w:val="TableParagraph"/>
              <w:rPr>
                <w:rFonts w:ascii="Times New Roman"/>
                <w:sz w:val="8"/>
              </w:rPr>
            </w:pPr>
          </w:p>
        </w:tc>
        <w:tc>
          <w:tcPr>
            <w:tcW w:w="4836" w:type="dxa"/>
          </w:tcPr>
          <w:p>
            <w:pPr>
              <w:pStyle w:val="TableParagraph"/>
              <w:spacing w:line="110" w:lineRule="exact"/>
              <w:ind w:left="214"/>
              <w:rPr>
                <w:b/>
                <w:sz w:val="13"/>
              </w:rPr>
            </w:pPr>
            <w:r>
              <w:rPr>
                <w:b/>
                <w:sz w:val="13"/>
              </w:rPr>
              <w:t>Total</w:t>
            </w:r>
            <w:r>
              <w:rPr>
                <w:b/>
                <w:spacing w:val="3"/>
                <w:sz w:val="13"/>
              </w:rPr>
              <w:t> </w:t>
            </w:r>
            <w:r>
              <w:rPr>
                <w:b/>
                <w:sz w:val="13"/>
              </w:rPr>
              <w:t>depreciation</w:t>
            </w:r>
            <w:r>
              <w:rPr>
                <w:b/>
                <w:spacing w:val="4"/>
                <w:sz w:val="13"/>
              </w:rPr>
              <w:t> </w:t>
            </w:r>
            <w:r>
              <w:rPr>
                <w:b/>
                <w:sz w:val="13"/>
              </w:rPr>
              <w:t>and</w:t>
            </w:r>
            <w:r>
              <w:rPr>
                <w:b/>
                <w:spacing w:val="5"/>
                <w:sz w:val="13"/>
              </w:rPr>
              <w:t> </w:t>
            </w:r>
            <w:r>
              <w:rPr>
                <w:b/>
                <w:spacing w:val="-2"/>
                <w:sz w:val="13"/>
              </w:rPr>
              <w:t>amortisation</w:t>
            </w:r>
          </w:p>
        </w:tc>
        <w:tc>
          <w:tcPr>
            <w:tcW w:w="1036" w:type="dxa"/>
            <w:tcBorders>
              <w:top w:val="single" w:sz="6" w:space="0" w:color="000000"/>
              <w:bottom w:val="single" w:sz="6" w:space="0" w:color="000000"/>
            </w:tcBorders>
          </w:tcPr>
          <w:p>
            <w:pPr>
              <w:pStyle w:val="TableParagraph"/>
              <w:spacing w:line="110" w:lineRule="exact"/>
              <w:ind w:right="200"/>
              <w:jc w:val="right"/>
              <w:rPr>
                <w:b/>
                <w:sz w:val="13"/>
              </w:rPr>
            </w:pPr>
            <w:r>
              <w:rPr>
                <w:b/>
                <w:spacing w:val="-2"/>
                <w:sz w:val="13"/>
              </w:rPr>
              <w:t>54,720</w:t>
            </w:r>
          </w:p>
        </w:tc>
        <w:tc>
          <w:tcPr>
            <w:tcW w:w="884" w:type="dxa"/>
            <w:tcBorders>
              <w:top w:val="single" w:sz="6" w:space="0" w:color="000000"/>
              <w:bottom w:val="single" w:sz="6" w:space="0" w:color="000000"/>
            </w:tcBorders>
          </w:tcPr>
          <w:p>
            <w:pPr>
              <w:pStyle w:val="TableParagraph"/>
              <w:spacing w:line="110" w:lineRule="exact"/>
              <w:ind w:right="181"/>
              <w:jc w:val="right"/>
              <w:rPr>
                <w:b/>
                <w:sz w:val="13"/>
              </w:rPr>
            </w:pPr>
            <w:r>
              <w:rPr>
                <w:b/>
                <w:spacing w:val="-2"/>
                <w:sz w:val="13"/>
              </w:rPr>
              <w:t>50,286</w:t>
            </w:r>
          </w:p>
        </w:tc>
        <w:tc>
          <w:tcPr>
            <w:tcW w:w="920" w:type="dxa"/>
            <w:tcBorders>
              <w:top w:val="single" w:sz="6" w:space="0" w:color="000000"/>
              <w:bottom w:val="single" w:sz="6" w:space="0" w:color="000000"/>
            </w:tcBorders>
          </w:tcPr>
          <w:p>
            <w:pPr>
              <w:pStyle w:val="TableParagraph"/>
              <w:spacing w:line="110" w:lineRule="exact"/>
              <w:ind w:right="199"/>
              <w:jc w:val="right"/>
              <w:rPr>
                <w:b/>
                <w:sz w:val="13"/>
              </w:rPr>
            </w:pPr>
            <w:r>
              <w:rPr>
                <w:b/>
                <w:spacing w:val="-2"/>
                <w:sz w:val="13"/>
              </w:rPr>
              <w:t>54,364</w:t>
            </w:r>
          </w:p>
        </w:tc>
        <w:tc>
          <w:tcPr>
            <w:tcW w:w="770" w:type="dxa"/>
            <w:tcBorders>
              <w:top w:val="single" w:sz="6" w:space="0" w:color="000000"/>
              <w:bottom w:val="single" w:sz="6" w:space="0" w:color="000000"/>
            </w:tcBorders>
          </w:tcPr>
          <w:p>
            <w:pPr>
              <w:pStyle w:val="TableParagraph"/>
              <w:spacing w:line="110" w:lineRule="exact"/>
              <w:ind w:right="66"/>
              <w:jc w:val="right"/>
              <w:rPr>
                <w:b/>
                <w:sz w:val="13"/>
              </w:rPr>
            </w:pPr>
            <w:r>
              <w:rPr>
                <w:b/>
                <w:spacing w:val="-2"/>
                <w:sz w:val="13"/>
              </w:rPr>
              <w:t>49,901</w:t>
            </w:r>
          </w:p>
        </w:tc>
      </w:tr>
      <w:tr>
        <w:trPr>
          <w:trHeight w:val="438" w:hRule="atLeast"/>
        </w:trPr>
        <w:tc>
          <w:tcPr>
            <w:tcW w:w="418" w:type="dxa"/>
          </w:tcPr>
          <w:p>
            <w:pPr>
              <w:pStyle w:val="TableParagraph"/>
              <w:spacing w:before="93"/>
              <w:ind w:left="33"/>
              <w:rPr>
                <w:b/>
                <w:sz w:val="13"/>
              </w:rPr>
            </w:pPr>
            <w:r>
              <w:rPr>
                <w:b/>
                <w:spacing w:val="-5"/>
                <w:sz w:val="13"/>
              </w:rPr>
              <w:t>(b)</w:t>
            </w:r>
          </w:p>
        </w:tc>
        <w:tc>
          <w:tcPr>
            <w:tcW w:w="4836" w:type="dxa"/>
          </w:tcPr>
          <w:p>
            <w:pPr>
              <w:pStyle w:val="TableParagraph"/>
              <w:spacing w:before="84"/>
              <w:ind w:left="214"/>
              <w:rPr>
                <w:b/>
                <w:sz w:val="13"/>
              </w:rPr>
            </w:pPr>
            <w:r>
              <w:rPr>
                <w:b/>
                <w:sz w:val="13"/>
              </w:rPr>
              <w:t>Repairs</w:t>
            </w:r>
            <w:r>
              <w:rPr>
                <w:b/>
                <w:spacing w:val="5"/>
                <w:sz w:val="13"/>
              </w:rPr>
              <w:t> </w:t>
            </w:r>
            <w:r>
              <w:rPr>
                <w:b/>
                <w:sz w:val="13"/>
              </w:rPr>
              <w:t>and</w:t>
            </w:r>
            <w:r>
              <w:rPr>
                <w:b/>
                <w:spacing w:val="5"/>
                <w:sz w:val="13"/>
              </w:rPr>
              <w:t> </w:t>
            </w:r>
            <w:r>
              <w:rPr>
                <w:b/>
                <w:spacing w:val="-2"/>
                <w:sz w:val="13"/>
              </w:rPr>
              <w:t>maintenance</w:t>
            </w:r>
          </w:p>
          <w:p>
            <w:pPr>
              <w:pStyle w:val="TableParagraph"/>
              <w:spacing w:before="13"/>
              <w:ind w:left="214"/>
              <w:rPr>
                <w:sz w:val="13"/>
              </w:rPr>
            </w:pPr>
            <w:r>
              <w:rPr>
                <w:sz w:val="13"/>
              </w:rPr>
              <w:t>Building</w:t>
            </w:r>
            <w:r>
              <w:rPr>
                <w:spacing w:val="5"/>
                <w:sz w:val="13"/>
              </w:rPr>
              <w:t> </w:t>
            </w:r>
            <w:r>
              <w:rPr>
                <w:sz w:val="13"/>
              </w:rPr>
              <w:t>repairs</w:t>
            </w:r>
            <w:r>
              <w:rPr>
                <w:spacing w:val="7"/>
                <w:sz w:val="13"/>
              </w:rPr>
              <w:t> </w:t>
            </w:r>
            <w:r>
              <w:rPr>
                <w:sz w:val="13"/>
              </w:rPr>
              <w:t>and</w:t>
            </w:r>
            <w:r>
              <w:rPr>
                <w:spacing w:val="5"/>
                <w:sz w:val="13"/>
              </w:rPr>
              <w:t> </w:t>
            </w:r>
            <w:r>
              <w:rPr>
                <w:spacing w:val="-2"/>
                <w:sz w:val="13"/>
              </w:rPr>
              <w:t>maintenance</w:t>
            </w:r>
          </w:p>
        </w:tc>
        <w:tc>
          <w:tcPr>
            <w:tcW w:w="1036" w:type="dxa"/>
            <w:tcBorders>
              <w:top w:val="single" w:sz="6" w:space="0" w:color="000000"/>
            </w:tcBorders>
          </w:tcPr>
          <w:p>
            <w:pPr>
              <w:pStyle w:val="TableParagraph"/>
              <w:spacing w:before="97"/>
              <w:rPr>
                <w:b/>
                <w:sz w:val="13"/>
              </w:rPr>
            </w:pPr>
          </w:p>
          <w:p>
            <w:pPr>
              <w:pStyle w:val="TableParagraph"/>
              <w:ind w:right="200"/>
              <w:jc w:val="right"/>
              <w:rPr>
                <w:sz w:val="13"/>
              </w:rPr>
            </w:pPr>
            <w:r>
              <w:rPr>
                <w:spacing w:val="-2"/>
                <w:sz w:val="13"/>
              </w:rPr>
              <w:t>13,764</w:t>
            </w:r>
          </w:p>
        </w:tc>
        <w:tc>
          <w:tcPr>
            <w:tcW w:w="884" w:type="dxa"/>
            <w:tcBorders>
              <w:top w:val="single" w:sz="6" w:space="0" w:color="000000"/>
            </w:tcBorders>
          </w:tcPr>
          <w:p>
            <w:pPr>
              <w:pStyle w:val="TableParagraph"/>
              <w:spacing w:before="97"/>
              <w:rPr>
                <w:b/>
                <w:sz w:val="13"/>
              </w:rPr>
            </w:pPr>
          </w:p>
          <w:p>
            <w:pPr>
              <w:pStyle w:val="TableParagraph"/>
              <w:ind w:right="181"/>
              <w:jc w:val="right"/>
              <w:rPr>
                <w:sz w:val="13"/>
              </w:rPr>
            </w:pPr>
            <w:r>
              <w:rPr>
                <w:spacing w:val="-2"/>
                <w:sz w:val="13"/>
              </w:rPr>
              <w:t>15,776</w:t>
            </w:r>
          </w:p>
        </w:tc>
        <w:tc>
          <w:tcPr>
            <w:tcW w:w="920" w:type="dxa"/>
            <w:tcBorders>
              <w:top w:val="single" w:sz="6" w:space="0" w:color="000000"/>
            </w:tcBorders>
          </w:tcPr>
          <w:p>
            <w:pPr>
              <w:pStyle w:val="TableParagraph"/>
              <w:spacing w:before="97"/>
              <w:rPr>
                <w:b/>
                <w:sz w:val="13"/>
              </w:rPr>
            </w:pPr>
          </w:p>
          <w:p>
            <w:pPr>
              <w:pStyle w:val="TableParagraph"/>
              <w:ind w:right="199"/>
              <w:jc w:val="right"/>
              <w:rPr>
                <w:sz w:val="13"/>
              </w:rPr>
            </w:pPr>
            <w:r>
              <w:rPr>
                <w:spacing w:val="-2"/>
                <w:sz w:val="13"/>
              </w:rPr>
              <w:t>13,794</w:t>
            </w:r>
          </w:p>
        </w:tc>
        <w:tc>
          <w:tcPr>
            <w:tcW w:w="770" w:type="dxa"/>
            <w:tcBorders>
              <w:top w:val="single" w:sz="6" w:space="0" w:color="000000"/>
            </w:tcBorders>
          </w:tcPr>
          <w:p>
            <w:pPr>
              <w:pStyle w:val="TableParagraph"/>
              <w:spacing w:before="97"/>
              <w:rPr>
                <w:b/>
                <w:sz w:val="13"/>
              </w:rPr>
            </w:pPr>
          </w:p>
          <w:p>
            <w:pPr>
              <w:pStyle w:val="TableParagraph"/>
              <w:ind w:right="66"/>
              <w:jc w:val="right"/>
              <w:rPr>
                <w:sz w:val="13"/>
              </w:rPr>
            </w:pPr>
            <w:r>
              <w:rPr>
                <w:spacing w:val="-2"/>
                <w:sz w:val="13"/>
              </w:rPr>
              <w:t>15,752</w:t>
            </w:r>
          </w:p>
        </w:tc>
      </w:tr>
      <w:tr>
        <w:trPr>
          <w:trHeight w:val="161" w:hRule="atLeast"/>
        </w:trPr>
        <w:tc>
          <w:tcPr>
            <w:tcW w:w="418" w:type="dxa"/>
          </w:tcPr>
          <w:p>
            <w:pPr>
              <w:pStyle w:val="TableParagraph"/>
              <w:rPr>
                <w:rFonts w:ascii="Times New Roman"/>
                <w:sz w:val="10"/>
              </w:rPr>
            </w:pPr>
          </w:p>
        </w:tc>
        <w:tc>
          <w:tcPr>
            <w:tcW w:w="4836" w:type="dxa"/>
          </w:tcPr>
          <w:p>
            <w:pPr>
              <w:pStyle w:val="TableParagraph"/>
              <w:spacing w:line="120" w:lineRule="exact"/>
              <w:ind w:left="214"/>
              <w:rPr>
                <w:sz w:val="13"/>
              </w:rPr>
            </w:pPr>
            <w:r>
              <w:rPr>
                <w:sz w:val="13"/>
              </w:rPr>
              <w:t>Ground</w:t>
            </w:r>
            <w:r>
              <w:rPr>
                <w:spacing w:val="8"/>
                <w:sz w:val="13"/>
              </w:rPr>
              <w:t> </w:t>
            </w:r>
            <w:r>
              <w:rPr>
                <w:spacing w:val="-2"/>
                <w:sz w:val="13"/>
              </w:rPr>
              <w:t>maintenance</w:t>
            </w:r>
          </w:p>
        </w:tc>
        <w:tc>
          <w:tcPr>
            <w:tcW w:w="1036" w:type="dxa"/>
          </w:tcPr>
          <w:p>
            <w:pPr>
              <w:pStyle w:val="TableParagraph"/>
              <w:spacing w:line="120" w:lineRule="exact"/>
              <w:ind w:right="200"/>
              <w:jc w:val="right"/>
              <w:rPr>
                <w:sz w:val="13"/>
              </w:rPr>
            </w:pPr>
            <w:r>
              <w:rPr>
                <w:spacing w:val="-2"/>
                <w:sz w:val="13"/>
              </w:rPr>
              <w:t>4,027</w:t>
            </w:r>
          </w:p>
        </w:tc>
        <w:tc>
          <w:tcPr>
            <w:tcW w:w="884" w:type="dxa"/>
          </w:tcPr>
          <w:p>
            <w:pPr>
              <w:pStyle w:val="TableParagraph"/>
              <w:spacing w:line="120" w:lineRule="exact"/>
              <w:ind w:right="181"/>
              <w:jc w:val="right"/>
              <w:rPr>
                <w:sz w:val="13"/>
              </w:rPr>
            </w:pPr>
            <w:r>
              <w:rPr>
                <w:spacing w:val="-2"/>
                <w:sz w:val="13"/>
              </w:rPr>
              <w:t>4,518</w:t>
            </w:r>
          </w:p>
        </w:tc>
        <w:tc>
          <w:tcPr>
            <w:tcW w:w="920" w:type="dxa"/>
          </w:tcPr>
          <w:p>
            <w:pPr>
              <w:pStyle w:val="TableParagraph"/>
              <w:spacing w:line="120" w:lineRule="exact"/>
              <w:ind w:right="199"/>
              <w:jc w:val="right"/>
              <w:rPr>
                <w:sz w:val="13"/>
              </w:rPr>
            </w:pPr>
            <w:r>
              <w:rPr>
                <w:spacing w:val="-2"/>
                <w:sz w:val="13"/>
              </w:rPr>
              <w:t>4,027</w:t>
            </w:r>
          </w:p>
        </w:tc>
        <w:tc>
          <w:tcPr>
            <w:tcW w:w="770" w:type="dxa"/>
          </w:tcPr>
          <w:p>
            <w:pPr>
              <w:pStyle w:val="TableParagraph"/>
              <w:spacing w:line="120" w:lineRule="exact"/>
              <w:ind w:right="66"/>
              <w:jc w:val="right"/>
              <w:rPr>
                <w:sz w:val="13"/>
              </w:rPr>
            </w:pPr>
            <w:r>
              <w:rPr>
                <w:spacing w:val="-2"/>
                <w:sz w:val="13"/>
              </w:rPr>
              <w:t>4,518</w:t>
            </w:r>
          </w:p>
        </w:tc>
      </w:tr>
      <w:tr>
        <w:trPr>
          <w:trHeight w:val="156" w:hRule="atLeast"/>
        </w:trPr>
        <w:tc>
          <w:tcPr>
            <w:tcW w:w="418" w:type="dxa"/>
          </w:tcPr>
          <w:p>
            <w:pPr>
              <w:pStyle w:val="TableParagraph"/>
              <w:rPr>
                <w:rFonts w:ascii="Times New Roman"/>
                <w:sz w:val="10"/>
              </w:rPr>
            </w:pPr>
          </w:p>
        </w:tc>
        <w:tc>
          <w:tcPr>
            <w:tcW w:w="4836" w:type="dxa"/>
          </w:tcPr>
          <w:p>
            <w:pPr>
              <w:pStyle w:val="TableParagraph"/>
              <w:spacing w:line="120" w:lineRule="exact"/>
              <w:ind w:left="214"/>
              <w:rPr>
                <w:sz w:val="13"/>
              </w:rPr>
            </w:pPr>
            <w:r>
              <w:rPr>
                <w:sz w:val="13"/>
              </w:rPr>
              <w:t>General</w:t>
            </w:r>
            <w:r>
              <w:rPr>
                <w:spacing w:val="5"/>
                <w:sz w:val="13"/>
              </w:rPr>
              <w:t> </w:t>
            </w:r>
            <w:r>
              <w:rPr>
                <w:sz w:val="13"/>
              </w:rPr>
              <w:t>repairs</w:t>
            </w:r>
            <w:r>
              <w:rPr>
                <w:spacing w:val="8"/>
                <w:sz w:val="13"/>
              </w:rPr>
              <w:t> </w:t>
            </w:r>
            <w:r>
              <w:rPr>
                <w:sz w:val="13"/>
              </w:rPr>
              <w:t>and</w:t>
            </w:r>
            <w:r>
              <w:rPr>
                <w:spacing w:val="7"/>
                <w:sz w:val="13"/>
              </w:rPr>
              <w:t> </w:t>
            </w:r>
            <w:r>
              <w:rPr>
                <w:spacing w:val="-2"/>
                <w:sz w:val="13"/>
              </w:rPr>
              <w:t>maintenance</w:t>
            </w:r>
          </w:p>
        </w:tc>
        <w:tc>
          <w:tcPr>
            <w:tcW w:w="1036" w:type="dxa"/>
            <w:tcBorders>
              <w:bottom w:val="single" w:sz="6" w:space="0" w:color="000000"/>
            </w:tcBorders>
          </w:tcPr>
          <w:p>
            <w:pPr>
              <w:pStyle w:val="TableParagraph"/>
              <w:spacing w:line="120" w:lineRule="exact"/>
              <w:ind w:right="200"/>
              <w:jc w:val="right"/>
              <w:rPr>
                <w:sz w:val="13"/>
              </w:rPr>
            </w:pPr>
            <w:r>
              <w:rPr>
                <w:spacing w:val="-2"/>
                <w:sz w:val="13"/>
              </w:rPr>
              <w:t>2,913</w:t>
            </w:r>
          </w:p>
        </w:tc>
        <w:tc>
          <w:tcPr>
            <w:tcW w:w="884" w:type="dxa"/>
            <w:tcBorders>
              <w:bottom w:val="single" w:sz="6" w:space="0" w:color="000000"/>
            </w:tcBorders>
          </w:tcPr>
          <w:p>
            <w:pPr>
              <w:pStyle w:val="TableParagraph"/>
              <w:spacing w:line="120" w:lineRule="exact"/>
              <w:ind w:right="181"/>
              <w:jc w:val="right"/>
              <w:rPr>
                <w:sz w:val="13"/>
              </w:rPr>
            </w:pPr>
            <w:r>
              <w:rPr>
                <w:spacing w:val="-2"/>
                <w:sz w:val="13"/>
              </w:rPr>
              <w:t>3,209</w:t>
            </w:r>
          </w:p>
        </w:tc>
        <w:tc>
          <w:tcPr>
            <w:tcW w:w="920" w:type="dxa"/>
            <w:tcBorders>
              <w:bottom w:val="single" w:sz="6" w:space="0" w:color="000000"/>
            </w:tcBorders>
          </w:tcPr>
          <w:p>
            <w:pPr>
              <w:pStyle w:val="TableParagraph"/>
              <w:spacing w:line="120" w:lineRule="exact"/>
              <w:ind w:right="199"/>
              <w:jc w:val="right"/>
              <w:rPr>
                <w:sz w:val="13"/>
              </w:rPr>
            </w:pPr>
            <w:r>
              <w:rPr>
                <w:spacing w:val="-2"/>
                <w:sz w:val="13"/>
              </w:rPr>
              <w:t>2,685</w:t>
            </w:r>
          </w:p>
        </w:tc>
        <w:tc>
          <w:tcPr>
            <w:tcW w:w="770" w:type="dxa"/>
            <w:tcBorders>
              <w:bottom w:val="single" w:sz="6" w:space="0" w:color="000000"/>
            </w:tcBorders>
          </w:tcPr>
          <w:p>
            <w:pPr>
              <w:pStyle w:val="TableParagraph"/>
              <w:spacing w:line="120" w:lineRule="exact"/>
              <w:ind w:right="66"/>
              <w:jc w:val="right"/>
              <w:rPr>
                <w:sz w:val="13"/>
              </w:rPr>
            </w:pPr>
            <w:r>
              <w:rPr>
                <w:spacing w:val="-2"/>
                <w:sz w:val="13"/>
              </w:rPr>
              <w:t>3,104</w:t>
            </w:r>
          </w:p>
        </w:tc>
      </w:tr>
      <w:tr>
        <w:trPr>
          <w:trHeight w:val="147" w:hRule="atLeast"/>
        </w:trPr>
        <w:tc>
          <w:tcPr>
            <w:tcW w:w="418" w:type="dxa"/>
          </w:tcPr>
          <w:p>
            <w:pPr>
              <w:pStyle w:val="TableParagraph"/>
              <w:rPr>
                <w:rFonts w:ascii="Times New Roman"/>
                <w:sz w:val="8"/>
              </w:rPr>
            </w:pPr>
          </w:p>
        </w:tc>
        <w:tc>
          <w:tcPr>
            <w:tcW w:w="4836" w:type="dxa"/>
          </w:tcPr>
          <w:p>
            <w:pPr>
              <w:pStyle w:val="TableParagraph"/>
              <w:spacing w:line="110" w:lineRule="exact"/>
              <w:ind w:left="214"/>
              <w:rPr>
                <w:b/>
                <w:sz w:val="13"/>
              </w:rPr>
            </w:pPr>
            <w:r>
              <w:rPr>
                <w:b/>
                <w:sz w:val="13"/>
              </w:rPr>
              <w:t>Total</w:t>
            </w:r>
            <w:r>
              <w:rPr>
                <w:b/>
                <w:spacing w:val="2"/>
                <w:sz w:val="13"/>
              </w:rPr>
              <w:t> </w:t>
            </w:r>
            <w:r>
              <w:rPr>
                <w:b/>
                <w:sz w:val="13"/>
              </w:rPr>
              <w:t>repairs</w:t>
            </w:r>
            <w:r>
              <w:rPr>
                <w:b/>
                <w:spacing w:val="4"/>
                <w:sz w:val="13"/>
              </w:rPr>
              <w:t> </w:t>
            </w:r>
            <w:r>
              <w:rPr>
                <w:b/>
                <w:sz w:val="13"/>
              </w:rPr>
              <w:t>and</w:t>
            </w:r>
            <w:r>
              <w:rPr>
                <w:b/>
                <w:spacing w:val="3"/>
                <w:sz w:val="13"/>
              </w:rPr>
              <w:t> </w:t>
            </w:r>
            <w:r>
              <w:rPr>
                <w:b/>
                <w:spacing w:val="-2"/>
                <w:sz w:val="13"/>
              </w:rPr>
              <w:t>maintenance</w:t>
            </w:r>
          </w:p>
        </w:tc>
        <w:tc>
          <w:tcPr>
            <w:tcW w:w="1036" w:type="dxa"/>
            <w:tcBorders>
              <w:top w:val="single" w:sz="6" w:space="0" w:color="000000"/>
              <w:bottom w:val="single" w:sz="6" w:space="0" w:color="000000"/>
            </w:tcBorders>
          </w:tcPr>
          <w:p>
            <w:pPr>
              <w:pStyle w:val="TableParagraph"/>
              <w:spacing w:line="110" w:lineRule="exact"/>
              <w:ind w:right="200"/>
              <w:jc w:val="right"/>
              <w:rPr>
                <w:b/>
                <w:sz w:val="13"/>
              </w:rPr>
            </w:pPr>
            <w:r>
              <w:rPr>
                <w:b/>
                <w:spacing w:val="-2"/>
                <w:sz w:val="13"/>
              </w:rPr>
              <w:t>20,704</w:t>
            </w:r>
          </w:p>
        </w:tc>
        <w:tc>
          <w:tcPr>
            <w:tcW w:w="884" w:type="dxa"/>
            <w:tcBorders>
              <w:top w:val="single" w:sz="6" w:space="0" w:color="000000"/>
              <w:bottom w:val="single" w:sz="6" w:space="0" w:color="000000"/>
            </w:tcBorders>
          </w:tcPr>
          <w:p>
            <w:pPr>
              <w:pStyle w:val="TableParagraph"/>
              <w:spacing w:line="110" w:lineRule="exact"/>
              <w:ind w:right="181"/>
              <w:jc w:val="right"/>
              <w:rPr>
                <w:b/>
                <w:sz w:val="13"/>
              </w:rPr>
            </w:pPr>
            <w:r>
              <w:rPr>
                <w:b/>
                <w:spacing w:val="-2"/>
                <w:sz w:val="13"/>
              </w:rPr>
              <w:t>23,503</w:t>
            </w:r>
          </w:p>
        </w:tc>
        <w:tc>
          <w:tcPr>
            <w:tcW w:w="920" w:type="dxa"/>
            <w:tcBorders>
              <w:top w:val="single" w:sz="6" w:space="0" w:color="000000"/>
              <w:bottom w:val="single" w:sz="6" w:space="0" w:color="000000"/>
            </w:tcBorders>
          </w:tcPr>
          <w:p>
            <w:pPr>
              <w:pStyle w:val="TableParagraph"/>
              <w:spacing w:line="110" w:lineRule="exact"/>
              <w:ind w:right="199"/>
              <w:jc w:val="right"/>
              <w:rPr>
                <w:b/>
                <w:sz w:val="13"/>
              </w:rPr>
            </w:pPr>
            <w:r>
              <w:rPr>
                <w:b/>
                <w:spacing w:val="-2"/>
                <w:sz w:val="13"/>
              </w:rPr>
              <w:t>20,506</w:t>
            </w:r>
          </w:p>
        </w:tc>
        <w:tc>
          <w:tcPr>
            <w:tcW w:w="770" w:type="dxa"/>
            <w:tcBorders>
              <w:top w:val="single" w:sz="6" w:space="0" w:color="000000"/>
              <w:bottom w:val="single" w:sz="6" w:space="0" w:color="000000"/>
            </w:tcBorders>
          </w:tcPr>
          <w:p>
            <w:pPr>
              <w:pStyle w:val="TableParagraph"/>
              <w:spacing w:line="110" w:lineRule="exact"/>
              <w:ind w:right="66"/>
              <w:jc w:val="right"/>
              <w:rPr>
                <w:b/>
                <w:sz w:val="13"/>
              </w:rPr>
            </w:pPr>
            <w:r>
              <w:rPr>
                <w:b/>
                <w:spacing w:val="-2"/>
                <w:sz w:val="13"/>
              </w:rPr>
              <w:t>23,374</w:t>
            </w:r>
          </w:p>
        </w:tc>
      </w:tr>
      <w:tr>
        <w:trPr>
          <w:trHeight w:val="432" w:hRule="atLeast"/>
        </w:trPr>
        <w:tc>
          <w:tcPr>
            <w:tcW w:w="418" w:type="dxa"/>
          </w:tcPr>
          <w:p>
            <w:pPr>
              <w:pStyle w:val="TableParagraph"/>
              <w:spacing w:before="93"/>
              <w:ind w:left="33"/>
              <w:rPr>
                <w:b/>
                <w:sz w:val="13"/>
              </w:rPr>
            </w:pPr>
            <w:r>
              <w:rPr>
                <w:b/>
                <w:spacing w:val="-5"/>
                <w:sz w:val="13"/>
              </w:rPr>
              <w:t>(c)</w:t>
            </w:r>
          </w:p>
        </w:tc>
        <w:tc>
          <w:tcPr>
            <w:tcW w:w="4836" w:type="dxa"/>
          </w:tcPr>
          <w:p>
            <w:pPr>
              <w:pStyle w:val="TableParagraph"/>
              <w:spacing w:before="84"/>
              <w:ind w:left="214"/>
              <w:rPr>
                <w:b/>
                <w:sz w:val="13"/>
              </w:rPr>
            </w:pPr>
            <w:r>
              <w:rPr>
                <w:b/>
                <w:sz w:val="13"/>
              </w:rPr>
              <w:t>Borrowing</w:t>
            </w:r>
            <w:r>
              <w:rPr>
                <w:b/>
                <w:spacing w:val="4"/>
                <w:sz w:val="13"/>
              </w:rPr>
              <w:t> </w:t>
            </w:r>
            <w:r>
              <w:rPr>
                <w:b/>
                <w:spacing w:val="-2"/>
                <w:sz w:val="13"/>
              </w:rPr>
              <w:t>costs</w:t>
            </w:r>
          </w:p>
          <w:p>
            <w:pPr>
              <w:pStyle w:val="TableParagraph"/>
              <w:spacing w:before="13"/>
              <w:ind w:left="214"/>
              <w:rPr>
                <w:sz w:val="13"/>
              </w:rPr>
            </w:pPr>
            <w:r>
              <w:rPr>
                <w:sz w:val="13"/>
              </w:rPr>
              <w:t>Borrowing</w:t>
            </w:r>
            <w:r>
              <w:rPr>
                <w:spacing w:val="9"/>
                <w:sz w:val="13"/>
              </w:rPr>
              <w:t> </w:t>
            </w:r>
            <w:r>
              <w:rPr>
                <w:spacing w:val="-2"/>
                <w:sz w:val="13"/>
              </w:rPr>
              <w:t>costs</w:t>
            </w:r>
          </w:p>
        </w:tc>
        <w:tc>
          <w:tcPr>
            <w:tcW w:w="1036" w:type="dxa"/>
            <w:tcBorders>
              <w:top w:val="single" w:sz="6" w:space="0" w:color="000000"/>
              <w:bottom w:val="single" w:sz="6" w:space="0" w:color="000000"/>
            </w:tcBorders>
          </w:tcPr>
          <w:p>
            <w:pPr>
              <w:pStyle w:val="TableParagraph"/>
              <w:spacing w:before="97"/>
              <w:rPr>
                <w:b/>
                <w:sz w:val="13"/>
              </w:rPr>
            </w:pPr>
          </w:p>
          <w:p>
            <w:pPr>
              <w:pStyle w:val="TableParagraph"/>
              <w:ind w:right="200"/>
              <w:jc w:val="right"/>
              <w:rPr>
                <w:sz w:val="13"/>
              </w:rPr>
            </w:pPr>
            <w:r>
              <w:rPr>
                <w:spacing w:val="-2"/>
                <w:sz w:val="13"/>
              </w:rPr>
              <w:t>6,285</w:t>
            </w:r>
          </w:p>
        </w:tc>
        <w:tc>
          <w:tcPr>
            <w:tcW w:w="884" w:type="dxa"/>
            <w:tcBorders>
              <w:top w:val="single" w:sz="6" w:space="0" w:color="000000"/>
              <w:bottom w:val="single" w:sz="6" w:space="0" w:color="000000"/>
            </w:tcBorders>
          </w:tcPr>
          <w:p>
            <w:pPr>
              <w:pStyle w:val="TableParagraph"/>
              <w:spacing w:before="97"/>
              <w:rPr>
                <w:b/>
                <w:sz w:val="13"/>
              </w:rPr>
            </w:pPr>
          </w:p>
          <w:p>
            <w:pPr>
              <w:pStyle w:val="TableParagraph"/>
              <w:ind w:right="181"/>
              <w:jc w:val="right"/>
              <w:rPr>
                <w:sz w:val="13"/>
              </w:rPr>
            </w:pPr>
            <w:r>
              <w:rPr>
                <w:spacing w:val="-2"/>
                <w:sz w:val="13"/>
              </w:rPr>
              <w:t>5,942</w:t>
            </w:r>
          </w:p>
        </w:tc>
        <w:tc>
          <w:tcPr>
            <w:tcW w:w="920" w:type="dxa"/>
            <w:tcBorders>
              <w:top w:val="single" w:sz="6" w:space="0" w:color="000000"/>
              <w:bottom w:val="single" w:sz="6" w:space="0" w:color="000000"/>
            </w:tcBorders>
          </w:tcPr>
          <w:p>
            <w:pPr>
              <w:pStyle w:val="TableParagraph"/>
              <w:spacing w:before="97"/>
              <w:rPr>
                <w:b/>
                <w:sz w:val="13"/>
              </w:rPr>
            </w:pPr>
          </w:p>
          <w:p>
            <w:pPr>
              <w:pStyle w:val="TableParagraph"/>
              <w:ind w:right="199"/>
              <w:jc w:val="right"/>
              <w:rPr>
                <w:sz w:val="13"/>
              </w:rPr>
            </w:pPr>
            <w:r>
              <w:rPr>
                <w:spacing w:val="-2"/>
                <w:sz w:val="13"/>
              </w:rPr>
              <w:t>6,279</w:t>
            </w:r>
          </w:p>
        </w:tc>
        <w:tc>
          <w:tcPr>
            <w:tcW w:w="770" w:type="dxa"/>
            <w:tcBorders>
              <w:top w:val="single" w:sz="6" w:space="0" w:color="000000"/>
              <w:bottom w:val="single" w:sz="6" w:space="0" w:color="000000"/>
            </w:tcBorders>
          </w:tcPr>
          <w:p>
            <w:pPr>
              <w:pStyle w:val="TableParagraph"/>
              <w:spacing w:before="97"/>
              <w:rPr>
                <w:b/>
                <w:sz w:val="13"/>
              </w:rPr>
            </w:pPr>
          </w:p>
          <w:p>
            <w:pPr>
              <w:pStyle w:val="TableParagraph"/>
              <w:ind w:right="66"/>
              <w:jc w:val="right"/>
              <w:rPr>
                <w:sz w:val="13"/>
              </w:rPr>
            </w:pPr>
            <w:r>
              <w:rPr>
                <w:spacing w:val="-2"/>
                <w:sz w:val="13"/>
              </w:rPr>
              <w:t>5,937</w:t>
            </w:r>
          </w:p>
        </w:tc>
      </w:tr>
      <w:tr>
        <w:trPr>
          <w:trHeight w:val="147" w:hRule="atLeast"/>
        </w:trPr>
        <w:tc>
          <w:tcPr>
            <w:tcW w:w="418" w:type="dxa"/>
          </w:tcPr>
          <w:p>
            <w:pPr>
              <w:pStyle w:val="TableParagraph"/>
              <w:rPr>
                <w:rFonts w:ascii="Times New Roman"/>
                <w:sz w:val="8"/>
              </w:rPr>
            </w:pPr>
          </w:p>
        </w:tc>
        <w:tc>
          <w:tcPr>
            <w:tcW w:w="4836" w:type="dxa"/>
          </w:tcPr>
          <w:p>
            <w:pPr>
              <w:pStyle w:val="TableParagraph"/>
              <w:spacing w:line="110" w:lineRule="exact"/>
              <w:ind w:left="214"/>
              <w:rPr>
                <w:b/>
                <w:sz w:val="13"/>
              </w:rPr>
            </w:pPr>
            <w:r>
              <w:rPr>
                <w:b/>
                <w:sz w:val="13"/>
              </w:rPr>
              <w:t>Total</w:t>
            </w:r>
            <w:r>
              <w:rPr>
                <w:b/>
                <w:spacing w:val="1"/>
                <w:sz w:val="13"/>
              </w:rPr>
              <w:t> </w:t>
            </w:r>
            <w:r>
              <w:rPr>
                <w:b/>
                <w:sz w:val="13"/>
              </w:rPr>
              <w:t>borrowing</w:t>
            </w:r>
            <w:r>
              <w:rPr>
                <w:b/>
                <w:spacing w:val="3"/>
                <w:sz w:val="13"/>
              </w:rPr>
              <w:t> </w:t>
            </w:r>
            <w:r>
              <w:rPr>
                <w:b/>
                <w:spacing w:val="-4"/>
                <w:sz w:val="13"/>
              </w:rPr>
              <w:t>costs</w:t>
            </w:r>
          </w:p>
        </w:tc>
        <w:tc>
          <w:tcPr>
            <w:tcW w:w="1036" w:type="dxa"/>
            <w:tcBorders>
              <w:top w:val="single" w:sz="6" w:space="0" w:color="000000"/>
              <w:bottom w:val="single" w:sz="6" w:space="0" w:color="000000"/>
            </w:tcBorders>
          </w:tcPr>
          <w:p>
            <w:pPr>
              <w:pStyle w:val="TableParagraph"/>
              <w:spacing w:line="110" w:lineRule="exact"/>
              <w:ind w:right="200"/>
              <w:jc w:val="right"/>
              <w:rPr>
                <w:b/>
                <w:sz w:val="13"/>
              </w:rPr>
            </w:pPr>
            <w:r>
              <w:rPr>
                <w:b/>
                <w:spacing w:val="-2"/>
                <w:sz w:val="13"/>
              </w:rPr>
              <w:t>6,285</w:t>
            </w:r>
          </w:p>
        </w:tc>
        <w:tc>
          <w:tcPr>
            <w:tcW w:w="884" w:type="dxa"/>
            <w:tcBorders>
              <w:top w:val="single" w:sz="6" w:space="0" w:color="000000"/>
              <w:bottom w:val="single" w:sz="6" w:space="0" w:color="000000"/>
            </w:tcBorders>
          </w:tcPr>
          <w:p>
            <w:pPr>
              <w:pStyle w:val="TableParagraph"/>
              <w:spacing w:line="110" w:lineRule="exact"/>
              <w:ind w:right="181"/>
              <w:jc w:val="right"/>
              <w:rPr>
                <w:b/>
                <w:sz w:val="13"/>
              </w:rPr>
            </w:pPr>
            <w:r>
              <w:rPr>
                <w:b/>
                <w:spacing w:val="-2"/>
                <w:sz w:val="13"/>
              </w:rPr>
              <w:t>5,942</w:t>
            </w:r>
          </w:p>
        </w:tc>
        <w:tc>
          <w:tcPr>
            <w:tcW w:w="920" w:type="dxa"/>
            <w:tcBorders>
              <w:top w:val="single" w:sz="6" w:space="0" w:color="000000"/>
              <w:bottom w:val="single" w:sz="6" w:space="0" w:color="000000"/>
            </w:tcBorders>
          </w:tcPr>
          <w:p>
            <w:pPr>
              <w:pStyle w:val="TableParagraph"/>
              <w:spacing w:line="110" w:lineRule="exact"/>
              <w:ind w:right="199"/>
              <w:jc w:val="right"/>
              <w:rPr>
                <w:b/>
                <w:sz w:val="13"/>
              </w:rPr>
            </w:pPr>
            <w:r>
              <w:rPr>
                <w:b/>
                <w:spacing w:val="-2"/>
                <w:sz w:val="13"/>
              </w:rPr>
              <w:t>6,279</w:t>
            </w:r>
          </w:p>
        </w:tc>
        <w:tc>
          <w:tcPr>
            <w:tcW w:w="770" w:type="dxa"/>
            <w:tcBorders>
              <w:top w:val="single" w:sz="6" w:space="0" w:color="000000"/>
              <w:bottom w:val="single" w:sz="6" w:space="0" w:color="000000"/>
            </w:tcBorders>
          </w:tcPr>
          <w:p>
            <w:pPr>
              <w:pStyle w:val="TableParagraph"/>
              <w:spacing w:line="110" w:lineRule="exact"/>
              <w:ind w:right="66"/>
              <w:jc w:val="right"/>
              <w:rPr>
                <w:b/>
                <w:sz w:val="13"/>
              </w:rPr>
            </w:pPr>
            <w:r>
              <w:rPr>
                <w:b/>
                <w:spacing w:val="-2"/>
                <w:sz w:val="13"/>
              </w:rPr>
              <w:t>5,937</w:t>
            </w:r>
          </w:p>
        </w:tc>
      </w:tr>
      <w:tr>
        <w:trPr>
          <w:trHeight w:val="432" w:hRule="atLeast"/>
        </w:trPr>
        <w:tc>
          <w:tcPr>
            <w:tcW w:w="418" w:type="dxa"/>
          </w:tcPr>
          <w:p>
            <w:pPr>
              <w:pStyle w:val="TableParagraph"/>
              <w:spacing w:before="93"/>
              <w:ind w:left="33"/>
              <w:rPr>
                <w:b/>
                <w:sz w:val="13"/>
              </w:rPr>
            </w:pPr>
            <w:r>
              <w:rPr>
                <w:b/>
                <w:spacing w:val="-5"/>
                <w:sz w:val="13"/>
              </w:rPr>
              <w:t>(d)</w:t>
            </w:r>
          </w:p>
        </w:tc>
        <w:tc>
          <w:tcPr>
            <w:tcW w:w="4836" w:type="dxa"/>
          </w:tcPr>
          <w:p>
            <w:pPr>
              <w:pStyle w:val="TableParagraph"/>
              <w:spacing w:before="84"/>
              <w:ind w:left="214"/>
              <w:rPr>
                <w:b/>
                <w:sz w:val="13"/>
              </w:rPr>
            </w:pPr>
            <w:r>
              <w:rPr>
                <w:b/>
                <w:sz w:val="13"/>
              </w:rPr>
              <w:t>Impairment</w:t>
            </w:r>
            <w:r>
              <w:rPr>
                <w:b/>
                <w:spacing w:val="3"/>
                <w:sz w:val="13"/>
              </w:rPr>
              <w:t> </w:t>
            </w:r>
            <w:r>
              <w:rPr>
                <w:b/>
                <w:sz w:val="13"/>
              </w:rPr>
              <w:t>of</w:t>
            </w:r>
            <w:r>
              <w:rPr>
                <w:b/>
                <w:spacing w:val="4"/>
                <w:sz w:val="13"/>
              </w:rPr>
              <w:t> </w:t>
            </w:r>
            <w:r>
              <w:rPr>
                <w:b/>
                <w:spacing w:val="-2"/>
                <w:sz w:val="13"/>
              </w:rPr>
              <w:t>assets</w:t>
            </w:r>
          </w:p>
          <w:p>
            <w:pPr>
              <w:pStyle w:val="TableParagraph"/>
              <w:spacing w:before="13"/>
              <w:ind w:left="214"/>
              <w:rPr>
                <w:sz w:val="13"/>
              </w:rPr>
            </w:pPr>
            <w:r>
              <w:rPr>
                <w:sz w:val="13"/>
              </w:rPr>
              <w:t>Property,</w:t>
            </w:r>
            <w:r>
              <w:rPr>
                <w:spacing w:val="3"/>
                <w:sz w:val="13"/>
              </w:rPr>
              <w:t> </w:t>
            </w:r>
            <w:r>
              <w:rPr>
                <w:sz w:val="13"/>
              </w:rPr>
              <w:t>plant</w:t>
            </w:r>
            <w:r>
              <w:rPr>
                <w:spacing w:val="3"/>
                <w:sz w:val="13"/>
              </w:rPr>
              <w:t> </w:t>
            </w:r>
            <w:r>
              <w:rPr>
                <w:sz w:val="13"/>
              </w:rPr>
              <w:t>and</w:t>
            </w:r>
            <w:r>
              <w:rPr>
                <w:spacing w:val="5"/>
                <w:sz w:val="13"/>
              </w:rPr>
              <w:t> </w:t>
            </w:r>
            <w:r>
              <w:rPr>
                <w:spacing w:val="-2"/>
                <w:sz w:val="13"/>
              </w:rPr>
              <w:t>equipment</w:t>
            </w:r>
          </w:p>
        </w:tc>
        <w:tc>
          <w:tcPr>
            <w:tcW w:w="1036" w:type="dxa"/>
            <w:tcBorders>
              <w:top w:val="single" w:sz="6" w:space="0" w:color="000000"/>
              <w:bottom w:val="single" w:sz="6" w:space="0" w:color="000000"/>
            </w:tcBorders>
          </w:tcPr>
          <w:p>
            <w:pPr>
              <w:pStyle w:val="TableParagraph"/>
              <w:spacing w:before="97"/>
              <w:rPr>
                <w:b/>
                <w:sz w:val="13"/>
              </w:rPr>
            </w:pPr>
          </w:p>
          <w:p>
            <w:pPr>
              <w:pStyle w:val="TableParagraph"/>
              <w:ind w:right="200"/>
              <w:jc w:val="right"/>
              <w:rPr>
                <w:sz w:val="13"/>
              </w:rPr>
            </w:pPr>
            <w:r>
              <w:rPr>
                <w:spacing w:val="-2"/>
                <w:sz w:val="13"/>
              </w:rPr>
              <w:t>3,480</w:t>
            </w:r>
          </w:p>
        </w:tc>
        <w:tc>
          <w:tcPr>
            <w:tcW w:w="884" w:type="dxa"/>
            <w:tcBorders>
              <w:top w:val="single" w:sz="6" w:space="0" w:color="000000"/>
              <w:bottom w:val="single" w:sz="6" w:space="0" w:color="000000"/>
            </w:tcBorders>
          </w:tcPr>
          <w:p>
            <w:pPr>
              <w:pStyle w:val="TableParagraph"/>
              <w:spacing w:before="97"/>
              <w:rPr>
                <w:b/>
                <w:sz w:val="13"/>
              </w:rPr>
            </w:pPr>
          </w:p>
          <w:p>
            <w:pPr>
              <w:pStyle w:val="TableParagraph"/>
              <w:ind w:right="181"/>
              <w:jc w:val="right"/>
              <w:rPr>
                <w:sz w:val="13"/>
              </w:rPr>
            </w:pPr>
            <w:r>
              <w:rPr>
                <w:spacing w:val="-5"/>
                <w:sz w:val="13"/>
              </w:rPr>
              <w:t>241</w:t>
            </w:r>
          </w:p>
        </w:tc>
        <w:tc>
          <w:tcPr>
            <w:tcW w:w="920" w:type="dxa"/>
            <w:tcBorders>
              <w:top w:val="single" w:sz="6" w:space="0" w:color="000000"/>
              <w:bottom w:val="single" w:sz="6" w:space="0" w:color="000000"/>
            </w:tcBorders>
          </w:tcPr>
          <w:p>
            <w:pPr>
              <w:pStyle w:val="TableParagraph"/>
              <w:spacing w:before="97"/>
              <w:rPr>
                <w:b/>
                <w:sz w:val="13"/>
              </w:rPr>
            </w:pPr>
          </w:p>
          <w:p>
            <w:pPr>
              <w:pStyle w:val="TableParagraph"/>
              <w:ind w:right="199"/>
              <w:jc w:val="right"/>
              <w:rPr>
                <w:sz w:val="13"/>
              </w:rPr>
            </w:pPr>
            <w:r>
              <w:rPr>
                <w:spacing w:val="-2"/>
                <w:sz w:val="13"/>
              </w:rPr>
              <w:t>3,480</w:t>
            </w:r>
          </w:p>
        </w:tc>
        <w:tc>
          <w:tcPr>
            <w:tcW w:w="770" w:type="dxa"/>
            <w:tcBorders>
              <w:top w:val="single" w:sz="6" w:space="0" w:color="000000"/>
              <w:bottom w:val="single" w:sz="6" w:space="0" w:color="000000"/>
            </w:tcBorders>
          </w:tcPr>
          <w:p>
            <w:pPr>
              <w:pStyle w:val="TableParagraph"/>
              <w:spacing w:before="97"/>
              <w:rPr>
                <w:b/>
                <w:sz w:val="13"/>
              </w:rPr>
            </w:pPr>
          </w:p>
          <w:p>
            <w:pPr>
              <w:pStyle w:val="TableParagraph"/>
              <w:ind w:right="67"/>
              <w:jc w:val="right"/>
              <w:rPr>
                <w:sz w:val="13"/>
              </w:rPr>
            </w:pPr>
            <w:r>
              <w:rPr>
                <w:spacing w:val="-5"/>
                <w:sz w:val="13"/>
              </w:rPr>
              <w:t>241</w:t>
            </w:r>
          </w:p>
        </w:tc>
      </w:tr>
      <w:tr>
        <w:trPr>
          <w:trHeight w:val="147" w:hRule="atLeast"/>
        </w:trPr>
        <w:tc>
          <w:tcPr>
            <w:tcW w:w="418" w:type="dxa"/>
          </w:tcPr>
          <w:p>
            <w:pPr>
              <w:pStyle w:val="TableParagraph"/>
              <w:rPr>
                <w:rFonts w:ascii="Times New Roman"/>
                <w:sz w:val="8"/>
              </w:rPr>
            </w:pPr>
          </w:p>
        </w:tc>
        <w:tc>
          <w:tcPr>
            <w:tcW w:w="4836" w:type="dxa"/>
          </w:tcPr>
          <w:p>
            <w:pPr>
              <w:pStyle w:val="TableParagraph"/>
              <w:spacing w:line="110" w:lineRule="exact"/>
              <w:ind w:left="214"/>
              <w:rPr>
                <w:b/>
                <w:sz w:val="13"/>
              </w:rPr>
            </w:pPr>
            <w:r>
              <w:rPr>
                <w:b/>
                <w:sz w:val="13"/>
              </w:rPr>
              <w:t>Total</w:t>
            </w:r>
            <w:r>
              <w:rPr>
                <w:b/>
                <w:spacing w:val="1"/>
                <w:sz w:val="13"/>
              </w:rPr>
              <w:t> </w:t>
            </w:r>
            <w:r>
              <w:rPr>
                <w:b/>
                <w:sz w:val="13"/>
              </w:rPr>
              <w:t>impairment</w:t>
            </w:r>
            <w:r>
              <w:rPr>
                <w:b/>
                <w:spacing w:val="3"/>
                <w:sz w:val="13"/>
              </w:rPr>
              <w:t> </w:t>
            </w:r>
            <w:r>
              <w:rPr>
                <w:b/>
                <w:sz w:val="13"/>
              </w:rPr>
              <w:t>of</w:t>
            </w:r>
            <w:r>
              <w:rPr>
                <w:b/>
                <w:spacing w:val="3"/>
                <w:sz w:val="13"/>
              </w:rPr>
              <w:t> </w:t>
            </w:r>
            <w:r>
              <w:rPr>
                <w:b/>
                <w:spacing w:val="-2"/>
                <w:sz w:val="13"/>
              </w:rPr>
              <w:t>assets</w:t>
            </w:r>
          </w:p>
        </w:tc>
        <w:tc>
          <w:tcPr>
            <w:tcW w:w="1036" w:type="dxa"/>
            <w:tcBorders>
              <w:top w:val="single" w:sz="6" w:space="0" w:color="000000"/>
              <w:bottom w:val="single" w:sz="6" w:space="0" w:color="000000"/>
            </w:tcBorders>
          </w:tcPr>
          <w:p>
            <w:pPr>
              <w:pStyle w:val="TableParagraph"/>
              <w:spacing w:line="110" w:lineRule="exact"/>
              <w:ind w:right="200"/>
              <w:jc w:val="right"/>
              <w:rPr>
                <w:b/>
                <w:sz w:val="13"/>
              </w:rPr>
            </w:pPr>
            <w:r>
              <w:rPr>
                <w:b/>
                <w:spacing w:val="-2"/>
                <w:sz w:val="13"/>
              </w:rPr>
              <w:t>3,480</w:t>
            </w:r>
          </w:p>
        </w:tc>
        <w:tc>
          <w:tcPr>
            <w:tcW w:w="884" w:type="dxa"/>
            <w:tcBorders>
              <w:top w:val="single" w:sz="6" w:space="0" w:color="000000"/>
              <w:bottom w:val="single" w:sz="6" w:space="0" w:color="000000"/>
            </w:tcBorders>
          </w:tcPr>
          <w:p>
            <w:pPr>
              <w:pStyle w:val="TableParagraph"/>
              <w:spacing w:line="110" w:lineRule="exact"/>
              <w:ind w:right="181"/>
              <w:jc w:val="right"/>
              <w:rPr>
                <w:b/>
                <w:sz w:val="13"/>
              </w:rPr>
            </w:pPr>
            <w:r>
              <w:rPr>
                <w:b/>
                <w:spacing w:val="-5"/>
                <w:sz w:val="13"/>
              </w:rPr>
              <w:t>241</w:t>
            </w:r>
          </w:p>
        </w:tc>
        <w:tc>
          <w:tcPr>
            <w:tcW w:w="920" w:type="dxa"/>
            <w:tcBorders>
              <w:top w:val="single" w:sz="6" w:space="0" w:color="000000"/>
              <w:bottom w:val="single" w:sz="6" w:space="0" w:color="000000"/>
            </w:tcBorders>
          </w:tcPr>
          <w:p>
            <w:pPr>
              <w:pStyle w:val="TableParagraph"/>
              <w:spacing w:line="110" w:lineRule="exact"/>
              <w:ind w:right="199"/>
              <w:jc w:val="right"/>
              <w:rPr>
                <w:b/>
                <w:sz w:val="13"/>
              </w:rPr>
            </w:pPr>
            <w:r>
              <w:rPr>
                <w:b/>
                <w:spacing w:val="-2"/>
                <w:sz w:val="13"/>
              </w:rPr>
              <w:t>3,480</w:t>
            </w:r>
          </w:p>
        </w:tc>
        <w:tc>
          <w:tcPr>
            <w:tcW w:w="770" w:type="dxa"/>
            <w:tcBorders>
              <w:top w:val="single" w:sz="6" w:space="0" w:color="000000"/>
              <w:bottom w:val="single" w:sz="6" w:space="0" w:color="000000"/>
            </w:tcBorders>
          </w:tcPr>
          <w:p>
            <w:pPr>
              <w:pStyle w:val="TableParagraph"/>
              <w:spacing w:line="110" w:lineRule="exact"/>
              <w:ind w:right="67"/>
              <w:jc w:val="right"/>
              <w:rPr>
                <w:b/>
                <w:sz w:val="13"/>
              </w:rPr>
            </w:pPr>
            <w:r>
              <w:rPr>
                <w:b/>
                <w:spacing w:val="-5"/>
                <w:sz w:val="13"/>
              </w:rPr>
              <w:t>241</w:t>
            </w:r>
          </w:p>
        </w:tc>
      </w:tr>
      <w:tr>
        <w:trPr>
          <w:trHeight w:val="438" w:hRule="atLeast"/>
        </w:trPr>
        <w:tc>
          <w:tcPr>
            <w:tcW w:w="418" w:type="dxa"/>
          </w:tcPr>
          <w:p>
            <w:pPr>
              <w:pStyle w:val="TableParagraph"/>
              <w:spacing w:before="93"/>
              <w:ind w:left="33"/>
              <w:rPr>
                <w:b/>
                <w:sz w:val="13"/>
              </w:rPr>
            </w:pPr>
            <w:r>
              <w:rPr>
                <w:b/>
                <w:spacing w:val="-5"/>
                <w:sz w:val="13"/>
              </w:rPr>
              <w:t>(e)</w:t>
            </w:r>
          </w:p>
        </w:tc>
        <w:tc>
          <w:tcPr>
            <w:tcW w:w="4836" w:type="dxa"/>
          </w:tcPr>
          <w:p>
            <w:pPr>
              <w:pStyle w:val="TableParagraph"/>
              <w:spacing w:before="84"/>
              <w:ind w:left="214"/>
              <w:rPr>
                <w:b/>
                <w:sz w:val="13"/>
              </w:rPr>
            </w:pPr>
            <w:r>
              <w:rPr>
                <w:b/>
                <w:sz w:val="13"/>
              </w:rPr>
              <w:t>Student</w:t>
            </w:r>
            <w:r>
              <w:rPr>
                <w:b/>
                <w:spacing w:val="5"/>
                <w:sz w:val="13"/>
              </w:rPr>
              <w:t> </w:t>
            </w:r>
            <w:r>
              <w:rPr>
                <w:b/>
                <w:spacing w:val="-2"/>
                <w:sz w:val="13"/>
              </w:rPr>
              <w:t>expenses</w:t>
            </w:r>
          </w:p>
          <w:p>
            <w:pPr>
              <w:pStyle w:val="TableParagraph"/>
              <w:spacing w:before="13"/>
              <w:ind w:left="214"/>
              <w:rPr>
                <w:sz w:val="13"/>
              </w:rPr>
            </w:pPr>
            <w:r>
              <w:rPr>
                <w:sz w:val="13"/>
              </w:rPr>
              <w:t>Scholarships</w:t>
            </w:r>
            <w:r>
              <w:rPr>
                <w:spacing w:val="9"/>
                <w:sz w:val="13"/>
              </w:rPr>
              <w:t> </w:t>
            </w:r>
            <w:r>
              <w:rPr>
                <w:sz w:val="13"/>
              </w:rPr>
              <w:t>and</w:t>
            </w:r>
            <w:r>
              <w:rPr>
                <w:spacing w:val="9"/>
                <w:sz w:val="13"/>
              </w:rPr>
              <w:t> </w:t>
            </w:r>
            <w:r>
              <w:rPr>
                <w:spacing w:val="-2"/>
                <w:sz w:val="13"/>
              </w:rPr>
              <w:t>studentships</w:t>
            </w:r>
          </w:p>
        </w:tc>
        <w:tc>
          <w:tcPr>
            <w:tcW w:w="1036" w:type="dxa"/>
            <w:tcBorders>
              <w:top w:val="single" w:sz="6" w:space="0" w:color="000000"/>
            </w:tcBorders>
          </w:tcPr>
          <w:p>
            <w:pPr>
              <w:pStyle w:val="TableParagraph"/>
              <w:spacing w:before="97"/>
              <w:rPr>
                <w:b/>
                <w:sz w:val="13"/>
              </w:rPr>
            </w:pPr>
          </w:p>
          <w:p>
            <w:pPr>
              <w:pStyle w:val="TableParagraph"/>
              <w:ind w:right="200"/>
              <w:jc w:val="right"/>
              <w:rPr>
                <w:sz w:val="13"/>
              </w:rPr>
            </w:pPr>
            <w:r>
              <w:rPr>
                <w:spacing w:val="-2"/>
                <w:sz w:val="13"/>
              </w:rPr>
              <w:t>36,831</w:t>
            </w:r>
          </w:p>
        </w:tc>
        <w:tc>
          <w:tcPr>
            <w:tcW w:w="884" w:type="dxa"/>
            <w:tcBorders>
              <w:top w:val="single" w:sz="6" w:space="0" w:color="000000"/>
            </w:tcBorders>
          </w:tcPr>
          <w:p>
            <w:pPr>
              <w:pStyle w:val="TableParagraph"/>
              <w:spacing w:before="97"/>
              <w:rPr>
                <w:b/>
                <w:sz w:val="13"/>
              </w:rPr>
            </w:pPr>
          </w:p>
          <w:p>
            <w:pPr>
              <w:pStyle w:val="TableParagraph"/>
              <w:ind w:right="181"/>
              <w:jc w:val="right"/>
              <w:rPr>
                <w:sz w:val="13"/>
              </w:rPr>
            </w:pPr>
            <w:r>
              <w:rPr>
                <w:spacing w:val="-2"/>
                <w:sz w:val="13"/>
              </w:rPr>
              <w:t>36,639</w:t>
            </w:r>
          </w:p>
        </w:tc>
        <w:tc>
          <w:tcPr>
            <w:tcW w:w="920" w:type="dxa"/>
            <w:tcBorders>
              <w:top w:val="single" w:sz="6" w:space="0" w:color="000000"/>
            </w:tcBorders>
          </w:tcPr>
          <w:p>
            <w:pPr>
              <w:pStyle w:val="TableParagraph"/>
              <w:spacing w:before="97"/>
              <w:rPr>
                <w:b/>
                <w:sz w:val="13"/>
              </w:rPr>
            </w:pPr>
          </w:p>
          <w:p>
            <w:pPr>
              <w:pStyle w:val="TableParagraph"/>
              <w:ind w:right="199"/>
              <w:jc w:val="right"/>
              <w:rPr>
                <w:sz w:val="13"/>
              </w:rPr>
            </w:pPr>
            <w:r>
              <w:rPr>
                <w:spacing w:val="-2"/>
                <w:sz w:val="13"/>
              </w:rPr>
              <w:t>36,811</w:t>
            </w:r>
          </w:p>
        </w:tc>
        <w:tc>
          <w:tcPr>
            <w:tcW w:w="770" w:type="dxa"/>
            <w:tcBorders>
              <w:top w:val="single" w:sz="6" w:space="0" w:color="000000"/>
            </w:tcBorders>
          </w:tcPr>
          <w:p>
            <w:pPr>
              <w:pStyle w:val="TableParagraph"/>
              <w:spacing w:before="97"/>
              <w:rPr>
                <w:b/>
                <w:sz w:val="13"/>
              </w:rPr>
            </w:pPr>
          </w:p>
          <w:p>
            <w:pPr>
              <w:pStyle w:val="TableParagraph"/>
              <w:ind w:right="66"/>
              <w:jc w:val="right"/>
              <w:rPr>
                <w:sz w:val="13"/>
              </w:rPr>
            </w:pPr>
            <w:r>
              <w:rPr>
                <w:spacing w:val="-2"/>
                <w:sz w:val="13"/>
              </w:rPr>
              <w:t>36,606</w:t>
            </w:r>
          </w:p>
        </w:tc>
      </w:tr>
      <w:tr>
        <w:trPr>
          <w:trHeight w:val="161" w:hRule="atLeast"/>
        </w:trPr>
        <w:tc>
          <w:tcPr>
            <w:tcW w:w="418" w:type="dxa"/>
          </w:tcPr>
          <w:p>
            <w:pPr>
              <w:pStyle w:val="TableParagraph"/>
              <w:rPr>
                <w:rFonts w:ascii="Times New Roman"/>
                <w:sz w:val="10"/>
              </w:rPr>
            </w:pPr>
          </w:p>
        </w:tc>
        <w:tc>
          <w:tcPr>
            <w:tcW w:w="4836" w:type="dxa"/>
          </w:tcPr>
          <w:p>
            <w:pPr>
              <w:pStyle w:val="TableParagraph"/>
              <w:spacing w:line="120" w:lineRule="exact"/>
              <w:ind w:left="214"/>
              <w:rPr>
                <w:sz w:val="13"/>
              </w:rPr>
            </w:pPr>
            <w:r>
              <w:rPr>
                <w:sz w:val="13"/>
              </w:rPr>
              <w:t>Grants</w:t>
            </w:r>
            <w:r>
              <w:rPr>
                <w:spacing w:val="5"/>
                <w:sz w:val="13"/>
              </w:rPr>
              <w:t> </w:t>
            </w:r>
            <w:r>
              <w:rPr>
                <w:sz w:val="13"/>
              </w:rPr>
              <w:t>and</w:t>
            </w:r>
            <w:r>
              <w:rPr>
                <w:spacing w:val="6"/>
                <w:sz w:val="13"/>
              </w:rPr>
              <w:t> </w:t>
            </w:r>
            <w:r>
              <w:rPr>
                <w:spacing w:val="-2"/>
                <w:sz w:val="13"/>
              </w:rPr>
              <w:t>prizes</w:t>
            </w:r>
          </w:p>
        </w:tc>
        <w:tc>
          <w:tcPr>
            <w:tcW w:w="1036" w:type="dxa"/>
          </w:tcPr>
          <w:p>
            <w:pPr>
              <w:pStyle w:val="TableParagraph"/>
              <w:spacing w:line="120" w:lineRule="exact"/>
              <w:ind w:right="200"/>
              <w:jc w:val="right"/>
              <w:rPr>
                <w:sz w:val="13"/>
              </w:rPr>
            </w:pPr>
            <w:r>
              <w:rPr>
                <w:spacing w:val="-5"/>
                <w:sz w:val="13"/>
              </w:rPr>
              <w:t>880</w:t>
            </w:r>
          </w:p>
        </w:tc>
        <w:tc>
          <w:tcPr>
            <w:tcW w:w="884" w:type="dxa"/>
          </w:tcPr>
          <w:p>
            <w:pPr>
              <w:pStyle w:val="TableParagraph"/>
              <w:spacing w:line="120" w:lineRule="exact"/>
              <w:ind w:right="181"/>
              <w:jc w:val="right"/>
              <w:rPr>
                <w:sz w:val="13"/>
              </w:rPr>
            </w:pPr>
            <w:r>
              <w:rPr>
                <w:spacing w:val="-2"/>
                <w:sz w:val="13"/>
              </w:rPr>
              <w:t>3,590</w:t>
            </w:r>
          </w:p>
        </w:tc>
        <w:tc>
          <w:tcPr>
            <w:tcW w:w="920" w:type="dxa"/>
          </w:tcPr>
          <w:p>
            <w:pPr>
              <w:pStyle w:val="TableParagraph"/>
              <w:spacing w:line="120" w:lineRule="exact"/>
              <w:ind w:right="199"/>
              <w:jc w:val="right"/>
              <w:rPr>
                <w:sz w:val="13"/>
              </w:rPr>
            </w:pPr>
            <w:r>
              <w:rPr>
                <w:spacing w:val="-2"/>
                <w:sz w:val="13"/>
              </w:rPr>
              <w:t>1,561</w:t>
            </w:r>
          </w:p>
        </w:tc>
        <w:tc>
          <w:tcPr>
            <w:tcW w:w="770" w:type="dxa"/>
          </w:tcPr>
          <w:p>
            <w:pPr>
              <w:pStyle w:val="TableParagraph"/>
              <w:spacing w:line="120" w:lineRule="exact"/>
              <w:ind w:right="66"/>
              <w:jc w:val="right"/>
              <w:rPr>
                <w:sz w:val="13"/>
              </w:rPr>
            </w:pPr>
            <w:r>
              <w:rPr>
                <w:spacing w:val="-2"/>
                <w:sz w:val="13"/>
              </w:rPr>
              <w:t>3,598</w:t>
            </w:r>
          </w:p>
        </w:tc>
      </w:tr>
      <w:tr>
        <w:trPr>
          <w:trHeight w:val="156" w:hRule="atLeast"/>
        </w:trPr>
        <w:tc>
          <w:tcPr>
            <w:tcW w:w="418" w:type="dxa"/>
          </w:tcPr>
          <w:p>
            <w:pPr>
              <w:pStyle w:val="TableParagraph"/>
              <w:rPr>
                <w:rFonts w:ascii="Times New Roman"/>
                <w:sz w:val="10"/>
              </w:rPr>
            </w:pPr>
          </w:p>
        </w:tc>
        <w:tc>
          <w:tcPr>
            <w:tcW w:w="4836" w:type="dxa"/>
          </w:tcPr>
          <w:p>
            <w:pPr>
              <w:pStyle w:val="TableParagraph"/>
              <w:spacing w:line="120" w:lineRule="exact"/>
              <w:ind w:left="214"/>
              <w:rPr>
                <w:sz w:val="13"/>
              </w:rPr>
            </w:pPr>
            <w:r>
              <w:rPr>
                <w:sz w:val="13"/>
              </w:rPr>
              <w:t>Amenities</w:t>
            </w:r>
            <w:r>
              <w:rPr>
                <w:spacing w:val="8"/>
                <w:sz w:val="13"/>
              </w:rPr>
              <w:t> </w:t>
            </w:r>
            <w:r>
              <w:rPr>
                <w:sz w:val="13"/>
              </w:rPr>
              <w:t>and</w:t>
            </w:r>
            <w:r>
              <w:rPr>
                <w:spacing w:val="8"/>
                <w:sz w:val="13"/>
              </w:rPr>
              <w:t> </w:t>
            </w:r>
            <w:r>
              <w:rPr>
                <w:sz w:val="13"/>
              </w:rPr>
              <w:t>services</w:t>
            </w:r>
            <w:r>
              <w:rPr>
                <w:spacing w:val="8"/>
                <w:sz w:val="13"/>
              </w:rPr>
              <w:t> </w:t>
            </w:r>
            <w:r>
              <w:rPr>
                <w:spacing w:val="-2"/>
                <w:sz w:val="13"/>
              </w:rPr>
              <w:t>expenses</w:t>
            </w:r>
          </w:p>
        </w:tc>
        <w:tc>
          <w:tcPr>
            <w:tcW w:w="1036" w:type="dxa"/>
            <w:tcBorders>
              <w:bottom w:val="single" w:sz="6" w:space="0" w:color="000000"/>
            </w:tcBorders>
          </w:tcPr>
          <w:p>
            <w:pPr>
              <w:pStyle w:val="TableParagraph"/>
              <w:spacing w:line="120" w:lineRule="exact"/>
              <w:ind w:right="200"/>
              <w:jc w:val="right"/>
              <w:rPr>
                <w:sz w:val="13"/>
              </w:rPr>
            </w:pPr>
            <w:r>
              <w:rPr>
                <w:spacing w:val="-2"/>
                <w:sz w:val="13"/>
              </w:rPr>
              <w:t>4,351</w:t>
            </w:r>
          </w:p>
        </w:tc>
        <w:tc>
          <w:tcPr>
            <w:tcW w:w="884" w:type="dxa"/>
            <w:tcBorders>
              <w:bottom w:val="single" w:sz="6" w:space="0" w:color="000000"/>
            </w:tcBorders>
          </w:tcPr>
          <w:p>
            <w:pPr>
              <w:pStyle w:val="TableParagraph"/>
              <w:spacing w:line="120" w:lineRule="exact"/>
              <w:ind w:right="181"/>
              <w:jc w:val="right"/>
              <w:rPr>
                <w:sz w:val="13"/>
              </w:rPr>
            </w:pPr>
            <w:r>
              <w:rPr>
                <w:spacing w:val="-2"/>
                <w:sz w:val="13"/>
              </w:rPr>
              <w:t>2,751</w:t>
            </w:r>
          </w:p>
        </w:tc>
        <w:tc>
          <w:tcPr>
            <w:tcW w:w="920" w:type="dxa"/>
            <w:tcBorders>
              <w:bottom w:val="single" w:sz="6" w:space="0" w:color="000000"/>
            </w:tcBorders>
          </w:tcPr>
          <w:p>
            <w:pPr>
              <w:pStyle w:val="TableParagraph"/>
              <w:spacing w:line="120" w:lineRule="exact"/>
              <w:ind w:right="199"/>
              <w:jc w:val="right"/>
              <w:rPr>
                <w:sz w:val="13"/>
              </w:rPr>
            </w:pPr>
            <w:r>
              <w:rPr>
                <w:spacing w:val="-2"/>
                <w:sz w:val="13"/>
              </w:rPr>
              <w:t>4,351</w:t>
            </w:r>
          </w:p>
        </w:tc>
        <w:tc>
          <w:tcPr>
            <w:tcW w:w="770" w:type="dxa"/>
            <w:tcBorders>
              <w:bottom w:val="single" w:sz="6" w:space="0" w:color="000000"/>
            </w:tcBorders>
          </w:tcPr>
          <w:p>
            <w:pPr>
              <w:pStyle w:val="TableParagraph"/>
              <w:spacing w:line="120" w:lineRule="exact"/>
              <w:ind w:right="66"/>
              <w:jc w:val="right"/>
              <w:rPr>
                <w:sz w:val="13"/>
              </w:rPr>
            </w:pPr>
            <w:r>
              <w:rPr>
                <w:spacing w:val="-2"/>
                <w:sz w:val="13"/>
              </w:rPr>
              <w:t>4,126</w:t>
            </w:r>
          </w:p>
        </w:tc>
      </w:tr>
      <w:tr>
        <w:trPr>
          <w:trHeight w:val="147" w:hRule="atLeast"/>
        </w:trPr>
        <w:tc>
          <w:tcPr>
            <w:tcW w:w="418" w:type="dxa"/>
          </w:tcPr>
          <w:p>
            <w:pPr>
              <w:pStyle w:val="TableParagraph"/>
              <w:rPr>
                <w:rFonts w:ascii="Times New Roman"/>
                <w:sz w:val="8"/>
              </w:rPr>
            </w:pPr>
          </w:p>
        </w:tc>
        <w:tc>
          <w:tcPr>
            <w:tcW w:w="4836" w:type="dxa"/>
          </w:tcPr>
          <w:p>
            <w:pPr>
              <w:pStyle w:val="TableParagraph"/>
              <w:spacing w:line="110" w:lineRule="exact"/>
              <w:ind w:left="214"/>
              <w:rPr>
                <w:b/>
                <w:sz w:val="13"/>
              </w:rPr>
            </w:pPr>
            <w:r>
              <w:rPr>
                <w:b/>
                <w:sz w:val="13"/>
              </w:rPr>
              <w:t>Total</w:t>
            </w:r>
            <w:r>
              <w:rPr>
                <w:b/>
                <w:spacing w:val="2"/>
                <w:sz w:val="13"/>
              </w:rPr>
              <w:t> </w:t>
            </w:r>
            <w:r>
              <w:rPr>
                <w:b/>
                <w:sz w:val="13"/>
              </w:rPr>
              <w:t>student</w:t>
            </w:r>
            <w:r>
              <w:rPr>
                <w:b/>
                <w:spacing w:val="4"/>
                <w:sz w:val="13"/>
              </w:rPr>
              <w:t> </w:t>
            </w:r>
            <w:r>
              <w:rPr>
                <w:b/>
                <w:spacing w:val="-2"/>
                <w:sz w:val="13"/>
              </w:rPr>
              <w:t>expenses</w:t>
            </w:r>
          </w:p>
        </w:tc>
        <w:tc>
          <w:tcPr>
            <w:tcW w:w="1036" w:type="dxa"/>
            <w:tcBorders>
              <w:top w:val="single" w:sz="6" w:space="0" w:color="000000"/>
              <w:bottom w:val="single" w:sz="6" w:space="0" w:color="000000"/>
            </w:tcBorders>
          </w:tcPr>
          <w:p>
            <w:pPr>
              <w:pStyle w:val="TableParagraph"/>
              <w:spacing w:line="110" w:lineRule="exact"/>
              <w:ind w:right="200"/>
              <w:jc w:val="right"/>
              <w:rPr>
                <w:b/>
                <w:sz w:val="13"/>
              </w:rPr>
            </w:pPr>
            <w:r>
              <w:rPr>
                <w:b/>
                <w:spacing w:val="-2"/>
                <w:sz w:val="13"/>
              </w:rPr>
              <w:t>42,062</w:t>
            </w:r>
          </w:p>
        </w:tc>
        <w:tc>
          <w:tcPr>
            <w:tcW w:w="884" w:type="dxa"/>
            <w:tcBorders>
              <w:top w:val="single" w:sz="6" w:space="0" w:color="000000"/>
              <w:bottom w:val="single" w:sz="6" w:space="0" w:color="000000"/>
            </w:tcBorders>
          </w:tcPr>
          <w:p>
            <w:pPr>
              <w:pStyle w:val="TableParagraph"/>
              <w:spacing w:line="110" w:lineRule="exact"/>
              <w:ind w:right="181"/>
              <w:jc w:val="right"/>
              <w:rPr>
                <w:b/>
                <w:sz w:val="13"/>
              </w:rPr>
            </w:pPr>
            <w:r>
              <w:rPr>
                <w:b/>
                <w:spacing w:val="-2"/>
                <w:sz w:val="13"/>
              </w:rPr>
              <w:t>42,980</w:t>
            </w:r>
          </w:p>
        </w:tc>
        <w:tc>
          <w:tcPr>
            <w:tcW w:w="920" w:type="dxa"/>
            <w:tcBorders>
              <w:top w:val="single" w:sz="6" w:space="0" w:color="000000"/>
              <w:bottom w:val="single" w:sz="6" w:space="0" w:color="000000"/>
            </w:tcBorders>
          </w:tcPr>
          <w:p>
            <w:pPr>
              <w:pStyle w:val="TableParagraph"/>
              <w:spacing w:line="110" w:lineRule="exact"/>
              <w:ind w:right="199"/>
              <w:jc w:val="right"/>
              <w:rPr>
                <w:b/>
                <w:sz w:val="13"/>
              </w:rPr>
            </w:pPr>
            <w:r>
              <w:rPr>
                <w:b/>
                <w:spacing w:val="-2"/>
                <w:sz w:val="13"/>
              </w:rPr>
              <w:t>42,723</w:t>
            </w:r>
          </w:p>
        </w:tc>
        <w:tc>
          <w:tcPr>
            <w:tcW w:w="770" w:type="dxa"/>
            <w:tcBorders>
              <w:top w:val="single" w:sz="6" w:space="0" w:color="000000"/>
              <w:bottom w:val="single" w:sz="6" w:space="0" w:color="000000"/>
            </w:tcBorders>
          </w:tcPr>
          <w:p>
            <w:pPr>
              <w:pStyle w:val="TableParagraph"/>
              <w:spacing w:line="110" w:lineRule="exact"/>
              <w:ind w:right="66"/>
              <w:jc w:val="right"/>
              <w:rPr>
                <w:b/>
                <w:sz w:val="13"/>
              </w:rPr>
            </w:pPr>
            <w:r>
              <w:rPr>
                <w:b/>
                <w:spacing w:val="-2"/>
                <w:sz w:val="13"/>
              </w:rPr>
              <w:t>44,330</w:t>
            </w:r>
          </w:p>
        </w:tc>
      </w:tr>
      <w:tr>
        <w:trPr>
          <w:trHeight w:val="438" w:hRule="atLeast"/>
        </w:trPr>
        <w:tc>
          <w:tcPr>
            <w:tcW w:w="418" w:type="dxa"/>
          </w:tcPr>
          <w:p>
            <w:pPr>
              <w:pStyle w:val="TableParagraph"/>
              <w:spacing w:before="93"/>
              <w:ind w:left="33"/>
              <w:rPr>
                <w:b/>
                <w:sz w:val="13"/>
              </w:rPr>
            </w:pPr>
            <w:r>
              <w:rPr>
                <w:b/>
                <w:spacing w:val="-5"/>
                <w:sz w:val="13"/>
              </w:rPr>
              <w:t>(f)</w:t>
            </w:r>
          </w:p>
        </w:tc>
        <w:tc>
          <w:tcPr>
            <w:tcW w:w="4836" w:type="dxa"/>
          </w:tcPr>
          <w:p>
            <w:pPr>
              <w:pStyle w:val="TableParagraph"/>
              <w:spacing w:before="84"/>
              <w:ind w:left="214"/>
              <w:rPr>
                <w:b/>
                <w:sz w:val="13"/>
              </w:rPr>
            </w:pPr>
            <w:r>
              <w:rPr>
                <w:b/>
                <w:sz w:val="13"/>
              </w:rPr>
              <w:t>Materials</w:t>
            </w:r>
            <w:r>
              <w:rPr>
                <w:b/>
                <w:spacing w:val="6"/>
                <w:sz w:val="13"/>
              </w:rPr>
              <w:t> </w:t>
            </w:r>
            <w:r>
              <w:rPr>
                <w:b/>
                <w:sz w:val="13"/>
              </w:rPr>
              <w:t>and</w:t>
            </w:r>
            <w:r>
              <w:rPr>
                <w:b/>
                <w:spacing w:val="4"/>
                <w:sz w:val="13"/>
              </w:rPr>
              <w:t> </w:t>
            </w:r>
            <w:r>
              <w:rPr>
                <w:b/>
                <w:spacing w:val="-2"/>
                <w:sz w:val="13"/>
              </w:rPr>
              <w:t>supplies</w:t>
            </w:r>
          </w:p>
          <w:p>
            <w:pPr>
              <w:pStyle w:val="TableParagraph"/>
              <w:spacing w:before="13"/>
              <w:ind w:left="214"/>
              <w:rPr>
                <w:sz w:val="13"/>
              </w:rPr>
            </w:pPr>
            <w:r>
              <w:rPr>
                <w:sz w:val="13"/>
              </w:rPr>
              <w:t>Laboratory,</w:t>
            </w:r>
            <w:r>
              <w:rPr>
                <w:spacing w:val="6"/>
                <w:sz w:val="13"/>
              </w:rPr>
              <w:t> </w:t>
            </w:r>
            <w:r>
              <w:rPr>
                <w:sz w:val="13"/>
              </w:rPr>
              <w:t>workshop</w:t>
            </w:r>
            <w:r>
              <w:rPr>
                <w:spacing w:val="9"/>
                <w:sz w:val="13"/>
              </w:rPr>
              <w:t> </w:t>
            </w:r>
            <w:r>
              <w:rPr>
                <w:sz w:val="13"/>
              </w:rPr>
              <w:t>and</w:t>
            </w:r>
            <w:r>
              <w:rPr>
                <w:spacing w:val="9"/>
                <w:sz w:val="13"/>
              </w:rPr>
              <w:t> </w:t>
            </w:r>
            <w:r>
              <w:rPr>
                <w:sz w:val="13"/>
              </w:rPr>
              <w:t>medical</w:t>
            </w:r>
            <w:r>
              <w:rPr>
                <w:spacing w:val="8"/>
                <w:sz w:val="13"/>
              </w:rPr>
              <w:t> </w:t>
            </w:r>
            <w:r>
              <w:rPr>
                <w:spacing w:val="-2"/>
                <w:sz w:val="13"/>
              </w:rPr>
              <w:t>supplies</w:t>
            </w:r>
          </w:p>
        </w:tc>
        <w:tc>
          <w:tcPr>
            <w:tcW w:w="1036" w:type="dxa"/>
            <w:tcBorders>
              <w:top w:val="single" w:sz="6" w:space="0" w:color="000000"/>
            </w:tcBorders>
          </w:tcPr>
          <w:p>
            <w:pPr>
              <w:pStyle w:val="TableParagraph"/>
              <w:spacing w:before="97"/>
              <w:rPr>
                <w:b/>
                <w:sz w:val="13"/>
              </w:rPr>
            </w:pPr>
          </w:p>
          <w:p>
            <w:pPr>
              <w:pStyle w:val="TableParagraph"/>
              <w:ind w:right="200"/>
              <w:jc w:val="right"/>
              <w:rPr>
                <w:sz w:val="13"/>
              </w:rPr>
            </w:pPr>
            <w:r>
              <w:rPr>
                <w:spacing w:val="-2"/>
                <w:sz w:val="13"/>
              </w:rPr>
              <w:t>16,471</w:t>
            </w:r>
          </w:p>
        </w:tc>
        <w:tc>
          <w:tcPr>
            <w:tcW w:w="884" w:type="dxa"/>
            <w:tcBorders>
              <w:top w:val="single" w:sz="6" w:space="0" w:color="000000"/>
            </w:tcBorders>
          </w:tcPr>
          <w:p>
            <w:pPr>
              <w:pStyle w:val="TableParagraph"/>
              <w:spacing w:before="97"/>
              <w:rPr>
                <w:b/>
                <w:sz w:val="13"/>
              </w:rPr>
            </w:pPr>
          </w:p>
          <w:p>
            <w:pPr>
              <w:pStyle w:val="TableParagraph"/>
              <w:ind w:right="181"/>
              <w:jc w:val="right"/>
              <w:rPr>
                <w:sz w:val="13"/>
              </w:rPr>
            </w:pPr>
            <w:r>
              <w:rPr>
                <w:spacing w:val="-2"/>
                <w:sz w:val="13"/>
              </w:rPr>
              <w:t>18,431</w:t>
            </w:r>
          </w:p>
        </w:tc>
        <w:tc>
          <w:tcPr>
            <w:tcW w:w="920" w:type="dxa"/>
            <w:tcBorders>
              <w:top w:val="single" w:sz="6" w:space="0" w:color="000000"/>
            </w:tcBorders>
          </w:tcPr>
          <w:p>
            <w:pPr>
              <w:pStyle w:val="TableParagraph"/>
              <w:spacing w:before="97"/>
              <w:rPr>
                <w:b/>
                <w:sz w:val="13"/>
              </w:rPr>
            </w:pPr>
          </w:p>
          <w:p>
            <w:pPr>
              <w:pStyle w:val="TableParagraph"/>
              <w:ind w:right="199"/>
              <w:jc w:val="right"/>
              <w:rPr>
                <w:sz w:val="13"/>
              </w:rPr>
            </w:pPr>
            <w:r>
              <w:rPr>
                <w:spacing w:val="-2"/>
                <w:sz w:val="13"/>
              </w:rPr>
              <w:t>16,272</w:t>
            </w:r>
          </w:p>
        </w:tc>
        <w:tc>
          <w:tcPr>
            <w:tcW w:w="770" w:type="dxa"/>
            <w:tcBorders>
              <w:top w:val="single" w:sz="6" w:space="0" w:color="000000"/>
            </w:tcBorders>
          </w:tcPr>
          <w:p>
            <w:pPr>
              <w:pStyle w:val="TableParagraph"/>
              <w:spacing w:before="97"/>
              <w:rPr>
                <w:b/>
                <w:sz w:val="13"/>
              </w:rPr>
            </w:pPr>
          </w:p>
          <w:p>
            <w:pPr>
              <w:pStyle w:val="TableParagraph"/>
              <w:ind w:right="66"/>
              <w:jc w:val="right"/>
              <w:rPr>
                <w:sz w:val="13"/>
              </w:rPr>
            </w:pPr>
            <w:r>
              <w:rPr>
                <w:spacing w:val="-2"/>
                <w:sz w:val="13"/>
              </w:rPr>
              <w:t>18,489</w:t>
            </w:r>
          </w:p>
        </w:tc>
      </w:tr>
      <w:tr>
        <w:trPr>
          <w:trHeight w:val="161" w:hRule="atLeast"/>
        </w:trPr>
        <w:tc>
          <w:tcPr>
            <w:tcW w:w="418" w:type="dxa"/>
          </w:tcPr>
          <w:p>
            <w:pPr>
              <w:pStyle w:val="TableParagraph"/>
              <w:rPr>
                <w:rFonts w:ascii="Times New Roman"/>
                <w:sz w:val="10"/>
              </w:rPr>
            </w:pPr>
          </w:p>
        </w:tc>
        <w:tc>
          <w:tcPr>
            <w:tcW w:w="4836" w:type="dxa"/>
          </w:tcPr>
          <w:p>
            <w:pPr>
              <w:pStyle w:val="TableParagraph"/>
              <w:spacing w:line="120" w:lineRule="exact"/>
              <w:ind w:left="214"/>
              <w:rPr>
                <w:sz w:val="13"/>
              </w:rPr>
            </w:pPr>
            <w:r>
              <w:rPr>
                <w:sz w:val="13"/>
              </w:rPr>
              <w:t>General</w:t>
            </w:r>
            <w:r>
              <w:rPr>
                <w:spacing w:val="7"/>
                <w:sz w:val="13"/>
              </w:rPr>
              <w:t> </w:t>
            </w:r>
            <w:r>
              <w:rPr>
                <w:sz w:val="13"/>
              </w:rPr>
              <w:t>office</w:t>
            </w:r>
            <w:r>
              <w:rPr>
                <w:spacing w:val="9"/>
                <w:sz w:val="13"/>
              </w:rPr>
              <w:t> </w:t>
            </w:r>
            <w:r>
              <w:rPr>
                <w:spacing w:val="-2"/>
                <w:sz w:val="13"/>
              </w:rPr>
              <w:t>expenses</w:t>
            </w:r>
          </w:p>
        </w:tc>
        <w:tc>
          <w:tcPr>
            <w:tcW w:w="1036" w:type="dxa"/>
          </w:tcPr>
          <w:p>
            <w:pPr>
              <w:pStyle w:val="TableParagraph"/>
              <w:spacing w:line="120" w:lineRule="exact"/>
              <w:ind w:right="200"/>
              <w:jc w:val="right"/>
              <w:rPr>
                <w:sz w:val="13"/>
              </w:rPr>
            </w:pPr>
            <w:r>
              <w:rPr>
                <w:spacing w:val="-2"/>
                <w:sz w:val="13"/>
              </w:rPr>
              <w:t>4,355</w:t>
            </w:r>
          </w:p>
        </w:tc>
        <w:tc>
          <w:tcPr>
            <w:tcW w:w="884" w:type="dxa"/>
          </w:tcPr>
          <w:p>
            <w:pPr>
              <w:pStyle w:val="TableParagraph"/>
              <w:spacing w:line="120" w:lineRule="exact"/>
              <w:ind w:right="181"/>
              <w:jc w:val="right"/>
              <w:rPr>
                <w:sz w:val="13"/>
              </w:rPr>
            </w:pPr>
            <w:r>
              <w:rPr>
                <w:spacing w:val="-2"/>
                <w:sz w:val="13"/>
              </w:rPr>
              <w:t>6,247</w:t>
            </w:r>
          </w:p>
        </w:tc>
        <w:tc>
          <w:tcPr>
            <w:tcW w:w="920" w:type="dxa"/>
          </w:tcPr>
          <w:p>
            <w:pPr>
              <w:pStyle w:val="TableParagraph"/>
              <w:spacing w:line="120" w:lineRule="exact"/>
              <w:ind w:right="199"/>
              <w:jc w:val="right"/>
              <w:rPr>
                <w:sz w:val="13"/>
              </w:rPr>
            </w:pPr>
            <w:r>
              <w:rPr>
                <w:spacing w:val="-2"/>
                <w:sz w:val="13"/>
              </w:rPr>
              <w:t>4,110</w:t>
            </w:r>
          </w:p>
        </w:tc>
        <w:tc>
          <w:tcPr>
            <w:tcW w:w="770" w:type="dxa"/>
          </w:tcPr>
          <w:p>
            <w:pPr>
              <w:pStyle w:val="TableParagraph"/>
              <w:spacing w:line="120" w:lineRule="exact"/>
              <w:ind w:right="66"/>
              <w:jc w:val="right"/>
              <w:rPr>
                <w:sz w:val="13"/>
              </w:rPr>
            </w:pPr>
            <w:r>
              <w:rPr>
                <w:spacing w:val="-2"/>
                <w:sz w:val="13"/>
              </w:rPr>
              <w:t>5,786</w:t>
            </w:r>
          </w:p>
        </w:tc>
      </w:tr>
      <w:tr>
        <w:trPr>
          <w:trHeight w:val="156" w:hRule="atLeast"/>
        </w:trPr>
        <w:tc>
          <w:tcPr>
            <w:tcW w:w="418" w:type="dxa"/>
          </w:tcPr>
          <w:p>
            <w:pPr>
              <w:pStyle w:val="TableParagraph"/>
              <w:rPr>
                <w:rFonts w:ascii="Times New Roman"/>
                <w:sz w:val="10"/>
              </w:rPr>
            </w:pPr>
          </w:p>
        </w:tc>
        <w:tc>
          <w:tcPr>
            <w:tcW w:w="4836" w:type="dxa"/>
          </w:tcPr>
          <w:p>
            <w:pPr>
              <w:pStyle w:val="TableParagraph"/>
              <w:spacing w:line="120" w:lineRule="exact"/>
              <w:ind w:left="214"/>
              <w:rPr>
                <w:sz w:val="13"/>
              </w:rPr>
            </w:pPr>
            <w:r>
              <w:rPr>
                <w:sz w:val="13"/>
              </w:rPr>
              <w:t>Other</w:t>
            </w:r>
            <w:r>
              <w:rPr>
                <w:spacing w:val="8"/>
                <w:sz w:val="13"/>
              </w:rPr>
              <w:t> </w:t>
            </w:r>
            <w:r>
              <w:rPr>
                <w:sz w:val="13"/>
              </w:rPr>
              <w:t>general</w:t>
            </w:r>
            <w:r>
              <w:rPr>
                <w:spacing w:val="7"/>
                <w:sz w:val="13"/>
              </w:rPr>
              <w:t> </w:t>
            </w:r>
            <w:r>
              <w:rPr>
                <w:sz w:val="13"/>
              </w:rPr>
              <w:t>consumables</w:t>
            </w:r>
            <w:r>
              <w:rPr>
                <w:spacing w:val="9"/>
                <w:sz w:val="13"/>
              </w:rPr>
              <w:t> </w:t>
            </w:r>
            <w:r>
              <w:rPr>
                <w:sz w:val="13"/>
              </w:rPr>
              <w:t>and</w:t>
            </w:r>
            <w:r>
              <w:rPr>
                <w:spacing w:val="8"/>
                <w:sz w:val="13"/>
              </w:rPr>
              <w:t> </w:t>
            </w:r>
            <w:r>
              <w:rPr>
                <w:spacing w:val="-2"/>
                <w:sz w:val="13"/>
              </w:rPr>
              <w:t>supplies</w:t>
            </w:r>
          </w:p>
        </w:tc>
        <w:tc>
          <w:tcPr>
            <w:tcW w:w="1036" w:type="dxa"/>
            <w:tcBorders>
              <w:bottom w:val="single" w:sz="6" w:space="0" w:color="000000"/>
            </w:tcBorders>
          </w:tcPr>
          <w:p>
            <w:pPr>
              <w:pStyle w:val="TableParagraph"/>
              <w:spacing w:line="120" w:lineRule="exact"/>
              <w:ind w:right="200"/>
              <w:jc w:val="right"/>
              <w:rPr>
                <w:sz w:val="13"/>
              </w:rPr>
            </w:pPr>
            <w:r>
              <w:rPr>
                <w:spacing w:val="-2"/>
                <w:sz w:val="13"/>
              </w:rPr>
              <w:t>5,305</w:t>
            </w:r>
          </w:p>
        </w:tc>
        <w:tc>
          <w:tcPr>
            <w:tcW w:w="884" w:type="dxa"/>
            <w:tcBorders>
              <w:bottom w:val="single" w:sz="6" w:space="0" w:color="000000"/>
            </w:tcBorders>
          </w:tcPr>
          <w:p>
            <w:pPr>
              <w:pStyle w:val="TableParagraph"/>
              <w:spacing w:line="120" w:lineRule="exact"/>
              <w:ind w:right="181"/>
              <w:jc w:val="right"/>
              <w:rPr>
                <w:sz w:val="13"/>
              </w:rPr>
            </w:pPr>
            <w:r>
              <w:rPr>
                <w:spacing w:val="-2"/>
                <w:sz w:val="13"/>
              </w:rPr>
              <w:t>7,533</w:t>
            </w:r>
          </w:p>
        </w:tc>
        <w:tc>
          <w:tcPr>
            <w:tcW w:w="920" w:type="dxa"/>
            <w:tcBorders>
              <w:bottom w:val="single" w:sz="6" w:space="0" w:color="000000"/>
            </w:tcBorders>
          </w:tcPr>
          <w:p>
            <w:pPr>
              <w:pStyle w:val="TableParagraph"/>
              <w:spacing w:line="120" w:lineRule="exact"/>
              <w:ind w:right="199"/>
              <w:jc w:val="right"/>
              <w:rPr>
                <w:sz w:val="13"/>
              </w:rPr>
            </w:pPr>
            <w:r>
              <w:rPr>
                <w:spacing w:val="-2"/>
                <w:sz w:val="13"/>
              </w:rPr>
              <w:t>3,718</w:t>
            </w:r>
          </w:p>
        </w:tc>
        <w:tc>
          <w:tcPr>
            <w:tcW w:w="770" w:type="dxa"/>
            <w:tcBorders>
              <w:bottom w:val="single" w:sz="6" w:space="0" w:color="000000"/>
            </w:tcBorders>
          </w:tcPr>
          <w:p>
            <w:pPr>
              <w:pStyle w:val="TableParagraph"/>
              <w:spacing w:line="120" w:lineRule="exact"/>
              <w:ind w:right="66"/>
              <w:jc w:val="right"/>
              <w:rPr>
                <w:sz w:val="13"/>
              </w:rPr>
            </w:pPr>
            <w:r>
              <w:rPr>
                <w:spacing w:val="-2"/>
                <w:sz w:val="13"/>
              </w:rPr>
              <w:t>4,480</w:t>
            </w:r>
          </w:p>
        </w:tc>
      </w:tr>
      <w:tr>
        <w:trPr>
          <w:trHeight w:val="147" w:hRule="atLeast"/>
        </w:trPr>
        <w:tc>
          <w:tcPr>
            <w:tcW w:w="418" w:type="dxa"/>
          </w:tcPr>
          <w:p>
            <w:pPr>
              <w:pStyle w:val="TableParagraph"/>
              <w:rPr>
                <w:rFonts w:ascii="Times New Roman"/>
                <w:sz w:val="8"/>
              </w:rPr>
            </w:pPr>
          </w:p>
        </w:tc>
        <w:tc>
          <w:tcPr>
            <w:tcW w:w="4836" w:type="dxa"/>
          </w:tcPr>
          <w:p>
            <w:pPr>
              <w:pStyle w:val="TableParagraph"/>
              <w:spacing w:line="110" w:lineRule="exact"/>
              <w:ind w:left="214"/>
              <w:rPr>
                <w:b/>
                <w:sz w:val="13"/>
              </w:rPr>
            </w:pPr>
            <w:r>
              <w:rPr>
                <w:b/>
                <w:sz w:val="13"/>
              </w:rPr>
              <w:t>Total</w:t>
            </w:r>
            <w:r>
              <w:rPr>
                <w:b/>
                <w:spacing w:val="2"/>
                <w:sz w:val="13"/>
              </w:rPr>
              <w:t> </w:t>
            </w:r>
            <w:r>
              <w:rPr>
                <w:b/>
                <w:sz w:val="13"/>
              </w:rPr>
              <w:t>materials</w:t>
            </w:r>
            <w:r>
              <w:rPr>
                <w:b/>
                <w:spacing w:val="4"/>
                <w:sz w:val="13"/>
              </w:rPr>
              <w:t> </w:t>
            </w:r>
            <w:r>
              <w:rPr>
                <w:b/>
                <w:sz w:val="13"/>
              </w:rPr>
              <w:t>and</w:t>
            </w:r>
            <w:r>
              <w:rPr>
                <w:b/>
                <w:spacing w:val="4"/>
                <w:sz w:val="13"/>
              </w:rPr>
              <w:t> </w:t>
            </w:r>
            <w:r>
              <w:rPr>
                <w:b/>
                <w:spacing w:val="-2"/>
                <w:sz w:val="13"/>
              </w:rPr>
              <w:t>supplies</w:t>
            </w:r>
          </w:p>
        </w:tc>
        <w:tc>
          <w:tcPr>
            <w:tcW w:w="1036" w:type="dxa"/>
            <w:tcBorders>
              <w:top w:val="single" w:sz="6" w:space="0" w:color="000000"/>
              <w:bottom w:val="single" w:sz="6" w:space="0" w:color="000000"/>
            </w:tcBorders>
          </w:tcPr>
          <w:p>
            <w:pPr>
              <w:pStyle w:val="TableParagraph"/>
              <w:spacing w:line="110" w:lineRule="exact"/>
              <w:ind w:right="200"/>
              <w:jc w:val="right"/>
              <w:rPr>
                <w:b/>
                <w:sz w:val="13"/>
              </w:rPr>
            </w:pPr>
            <w:r>
              <w:rPr>
                <w:b/>
                <w:spacing w:val="-2"/>
                <w:sz w:val="13"/>
              </w:rPr>
              <w:t>26,131</w:t>
            </w:r>
          </w:p>
        </w:tc>
        <w:tc>
          <w:tcPr>
            <w:tcW w:w="884" w:type="dxa"/>
            <w:tcBorders>
              <w:top w:val="single" w:sz="6" w:space="0" w:color="000000"/>
              <w:bottom w:val="single" w:sz="6" w:space="0" w:color="000000"/>
            </w:tcBorders>
          </w:tcPr>
          <w:p>
            <w:pPr>
              <w:pStyle w:val="TableParagraph"/>
              <w:spacing w:line="110" w:lineRule="exact"/>
              <w:ind w:right="181"/>
              <w:jc w:val="right"/>
              <w:rPr>
                <w:b/>
                <w:sz w:val="13"/>
              </w:rPr>
            </w:pPr>
            <w:r>
              <w:rPr>
                <w:b/>
                <w:spacing w:val="-2"/>
                <w:sz w:val="13"/>
              </w:rPr>
              <w:t>32,211</w:t>
            </w:r>
          </w:p>
        </w:tc>
        <w:tc>
          <w:tcPr>
            <w:tcW w:w="920" w:type="dxa"/>
            <w:tcBorders>
              <w:top w:val="single" w:sz="6" w:space="0" w:color="000000"/>
              <w:bottom w:val="single" w:sz="6" w:space="0" w:color="000000"/>
            </w:tcBorders>
          </w:tcPr>
          <w:p>
            <w:pPr>
              <w:pStyle w:val="TableParagraph"/>
              <w:spacing w:line="110" w:lineRule="exact"/>
              <w:ind w:right="199"/>
              <w:jc w:val="right"/>
              <w:rPr>
                <w:b/>
                <w:sz w:val="13"/>
              </w:rPr>
            </w:pPr>
            <w:r>
              <w:rPr>
                <w:b/>
                <w:spacing w:val="-2"/>
                <w:sz w:val="13"/>
              </w:rPr>
              <w:t>24,100</w:t>
            </w:r>
          </w:p>
        </w:tc>
        <w:tc>
          <w:tcPr>
            <w:tcW w:w="770" w:type="dxa"/>
            <w:tcBorders>
              <w:top w:val="single" w:sz="6" w:space="0" w:color="000000"/>
              <w:bottom w:val="single" w:sz="6" w:space="0" w:color="000000"/>
            </w:tcBorders>
          </w:tcPr>
          <w:p>
            <w:pPr>
              <w:pStyle w:val="TableParagraph"/>
              <w:spacing w:line="110" w:lineRule="exact"/>
              <w:ind w:right="66"/>
              <w:jc w:val="right"/>
              <w:rPr>
                <w:b/>
                <w:sz w:val="13"/>
              </w:rPr>
            </w:pPr>
            <w:r>
              <w:rPr>
                <w:b/>
                <w:spacing w:val="-2"/>
                <w:sz w:val="13"/>
              </w:rPr>
              <w:t>28,755</w:t>
            </w:r>
          </w:p>
        </w:tc>
      </w:tr>
      <w:tr>
        <w:trPr>
          <w:trHeight w:val="432" w:hRule="atLeast"/>
        </w:trPr>
        <w:tc>
          <w:tcPr>
            <w:tcW w:w="418" w:type="dxa"/>
          </w:tcPr>
          <w:p>
            <w:pPr>
              <w:pStyle w:val="TableParagraph"/>
              <w:spacing w:before="93"/>
              <w:ind w:left="33"/>
              <w:rPr>
                <w:b/>
                <w:sz w:val="13"/>
              </w:rPr>
            </w:pPr>
            <w:r>
              <w:rPr>
                <w:b/>
                <w:spacing w:val="-5"/>
                <w:sz w:val="13"/>
              </w:rPr>
              <w:t>(g)</w:t>
            </w:r>
          </w:p>
        </w:tc>
        <w:tc>
          <w:tcPr>
            <w:tcW w:w="4836" w:type="dxa"/>
          </w:tcPr>
          <w:p>
            <w:pPr>
              <w:pStyle w:val="TableParagraph"/>
              <w:spacing w:before="84"/>
              <w:ind w:left="214"/>
              <w:rPr>
                <w:b/>
                <w:sz w:val="13"/>
              </w:rPr>
            </w:pPr>
            <w:r>
              <w:rPr>
                <w:b/>
                <w:sz w:val="13"/>
              </w:rPr>
              <w:t>Grants</w:t>
            </w:r>
            <w:r>
              <w:rPr>
                <w:b/>
                <w:spacing w:val="7"/>
                <w:sz w:val="13"/>
              </w:rPr>
              <w:t> </w:t>
            </w:r>
            <w:r>
              <w:rPr>
                <w:b/>
                <w:spacing w:val="-2"/>
                <w:sz w:val="13"/>
              </w:rPr>
              <w:t>distributed</w:t>
            </w:r>
          </w:p>
          <w:p>
            <w:pPr>
              <w:pStyle w:val="TableParagraph"/>
              <w:spacing w:before="13"/>
              <w:ind w:left="214"/>
              <w:rPr>
                <w:sz w:val="13"/>
              </w:rPr>
            </w:pPr>
            <w:r>
              <w:rPr>
                <w:sz w:val="13"/>
              </w:rPr>
              <w:t>Grants</w:t>
            </w:r>
            <w:r>
              <w:rPr>
                <w:spacing w:val="6"/>
                <w:sz w:val="13"/>
              </w:rPr>
              <w:t> </w:t>
            </w:r>
            <w:r>
              <w:rPr>
                <w:spacing w:val="-2"/>
                <w:sz w:val="13"/>
              </w:rPr>
              <w:t>distributed</w:t>
            </w:r>
          </w:p>
        </w:tc>
        <w:tc>
          <w:tcPr>
            <w:tcW w:w="1036" w:type="dxa"/>
            <w:tcBorders>
              <w:top w:val="single" w:sz="6" w:space="0" w:color="000000"/>
              <w:bottom w:val="single" w:sz="6" w:space="0" w:color="000000"/>
            </w:tcBorders>
          </w:tcPr>
          <w:p>
            <w:pPr>
              <w:pStyle w:val="TableParagraph"/>
              <w:spacing w:before="97"/>
              <w:rPr>
                <w:b/>
                <w:sz w:val="13"/>
              </w:rPr>
            </w:pPr>
          </w:p>
          <w:p>
            <w:pPr>
              <w:pStyle w:val="TableParagraph"/>
              <w:ind w:right="200"/>
              <w:jc w:val="right"/>
              <w:rPr>
                <w:sz w:val="13"/>
              </w:rPr>
            </w:pPr>
            <w:r>
              <w:rPr>
                <w:spacing w:val="-2"/>
                <w:sz w:val="13"/>
              </w:rPr>
              <w:t>86,525</w:t>
            </w:r>
          </w:p>
        </w:tc>
        <w:tc>
          <w:tcPr>
            <w:tcW w:w="884" w:type="dxa"/>
            <w:tcBorders>
              <w:top w:val="single" w:sz="6" w:space="0" w:color="000000"/>
              <w:bottom w:val="single" w:sz="6" w:space="0" w:color="000000"/>
            </w:tcBorders>
          </w:tcPr>
          <w:p>
            <w:pPr>
              <w:pStyle w:val="TableParagraph"/>
              <w:spacing w:before="97"/>
              <w:rPr>
                <w:b/>
                <w:sz w:val="13"/>
              </w:rPr>
            </w:pPr>
          </w:p>
          <w:p>
            <w:pPr>
              <w:pStyle w:val="TableParagraph"/>
              <w:ind w:right="181"/>
              <w:jc w:val="right"/>
              <w:rPr>
                <w:sz w:val="13"/>
              </w:rPr>
            </w:pPr>
            <w:r>
              <w:rPr>
                <w:spacing w:val="-2"/>
                <w:sz w:val="13"/>
              </w:rPr>
              <w:t>70,811</w:t>
            </w:r>
          </w:p>
        </w:tc>
        <w:tc>
          <w:tcPr>
            <w:tcW w:w="920" w:type="dxa"/>
            <w:tcBorders>
              <w:top w:val="single" w:sz="6" w:space="0" w:color="000000"/>
              <w:bottom w:val="single" w:sz="6" w:space="0" w:color="000000"/>
            </w:tcBorders>
          </w:tcPr>
          <w:p>
            <w:pPr>
              <w:pStyle w:val="TableParagraph"/>
              <w:spacing w:before="97"/>
              <w:rPr>
                <w:b/>
                <w:sz w:val="13"/>
              </w:rPr>
            </w:pPr>
          </w:p>
          <w:p>
            <w:pPr>
              <w:pStyle w:val="TableParagraph"/>
              <w:ind w:right="199"/>
              <w:jc w:val="right"/>
              <w:rPr>
                <w:sz w:val="13"/>
              </w:rPr>
            </w:pPr>
            <w:r>
              <w:rPr>
                <w:spacing w:val="-2"/>
                <w:sz w:val="13"/>
              </w:rPr>
              <w:t>86,823</w:t>
            </w:r>
          </w:p>
        </w:tc>
        <w:tc>
          <w:tcPr>
            <w:tcW w:w="770" w:type="dxa"/>
            <w:tcBorders>
              <w:top w:val="single" w:sz="6" w:space="0" w:color="000000"/>
              <w:bottom w:val="single" w:sz="6" w:space="0" w:color="000000"/>
            </w:tcBorders>
          </w:tcPr>
          <w:p>
            <w:pPr>
              <w:pStyle w:val="TableParagraph"/>
              <w:spacing w:before="97"/>
              <w:rPr>
                <w:b/>
                <w:sz w:val="13"/>
              </w:rPr>
            </w:pPr>
          </w:p>
          <w:p>
            <w:pPr>
              <w:pStyle w:val="TableParagraph"/>
              <w:ind w:right="66"/>
              <w:jc w:val="right"/>
              <w:rPr>
                <w:sz w:val="13"/>
              </w:rPr>
            </w:pPr>
            <w:r>
              <w:rPr>
                <w:spacing w:val="-2"/>
                <w:sz w:val="13"/>
              </w:rPr>
              <w:t>71,286</w:t>
            </w:r>
          </w:p>
        </w:tc>
      </w:tr>
      <w:tr>
        <w:trPr>
          <w:trHeight w:val="147" w:hRule="atLeast"/>
        </w:trPr>
        <w:tc>
          <w:tcPr>
            <w:tcW w:w="418" w:type="dxa"/>
          </w:tcPr>
          <w:p>
            <w:pPr>
              <w:pStyle w:val="TableParagraph"/>
              <w:rPr>
                <w:rFonts w:ascii="Times New Roman"/>
                <w:sz w:val="8"/>
              </w:rPr>
            </w:pPr>
          </w:p>
        </w:tc>
        <w:tc>
          <w:tcPr>
            <w:tcW w:w="4836" w:type="dxa"/>
          </w:tcPr>
          <w:p>
            <w:pPr>
              <w:pStyle w:val="TableParagraph"/>
              <w:spacing w:line="110" w:lineRule="exact"/>
              <w:ind w:left="214"/>
              <w:rPr>
                <w:b/>
                <w:sz w:val="13"/>
              </w:rPr>
            </w:pPr>
            <w:r>
              <w:rPr>
                <w:b/>
                <w:sz w:val="13"/>
              </w:rPr>
              <w:t>Total</w:t>
            </w:r>
            <w:r>
              <w:rPr>
                <w:b/>
                <w:spacing w:val="1"/>
                <w:sz w:val="13"/>
              </w:rPr>
              <w:t> </w:t>
            </w:r>
            <w:r>
              <w:rPr>
                <w:b/>
                <w:sz w:val="13"/>
              </w:rPr>
              <w:t>grants</w:t>
            </w:r>
            <w:r>
              <w:rPr>
                <w:b/>
                <w:spacing w:val="5"/>
                <w:sz w:val="13"/>
              </w:rPr>
              <w:t> </w:t>
            </w:r>
            <w:r>
              <w:rPr>
                <w:b/>
                <w:spacing w:val="-2"/>
                <w:sz w:val="13"/>
              </w:rPr>
              <w:t>distributed</w:t>
            </w:r>
          </w:p>
        </w:tc>
        <w:tc>
          <w:tcPr>
            <w:tcW w:w="1036" w:type="dxa"/>
            <w:tcBorders>
              <w:top w:val="single" w:sz="6" w:space="0" w:color="000000"/>
              <w:bottom w:val="single" w:sz="6" w:space="0" w:color="000000"/>
            </w:tcBorders>
          </w:tcPr>
          <w:p>
            <w:pPr>
              <w:pStyle w:val="TableParagraph"/>
              <w:spacing w:line="110" w:lineRule="exact"/>
              <w:ind w:right="200"/>
              <w:jc w:val="right"/>
              <w:rPr>
                <w:b/>
                <w:sz w:val="13"/>
              </w:rPr>
            </w:pPr>
            <w:r>
              <w:rPr>
                <w:b/>
                <w:spacing w:val="-2"/>
                <w:sz w:val="13"/>
              </w:rPr>
              <w:t>86,525</w:t>
            </w:r>
          </w:p>
        </w:tc>
        <w:tc>
          <w:tcPr>
            <w:tcW w:w="884" w:type="dxa"/>
            <w:tcBorders>
              <w:top w:val="single" w:sz="6" w:space="0" w:color="000000"/>
              <w:bottom w:val="single" w:sz="6" w:space="0" w:color="000000"/>
            </w:tcBorders>
          </w:tcPr>
          <w:p>
            <w:pPr>
              <w:pStyle w:val="TableParagraph"/>
              <w:spacing w:line="110" w:lineRule="exact"/>
              <w:ind w:right="181"/>
              <w:jc w:val="right"/>
              <w:rPr>
                <w:b/>
                <w:sz w:val="13"/>
              </w:rPr>
            </w:pPr>
            <w:r>
              <w:rPr>
                <w:b/>
                <w:spacing w:val="-2"/>
                <w:sz w:val="13"/>
              </w:rPr>
              <w:t>70,811</w:t>
            </w:r>
          </w:p>
        </w:tc>
        <w:tc>
          <w:tcPr>
            <w:tcW w:w="920" w:type="dxa"/>
            <w:tcBorders>
              <w:top w:val="single" w:sz="6" w:space="0" w:color="000000"/>
              <w:bottom w:val="single" w:sz="6" w:space="0" w:color="000000"/>
            </w:tcBorders>
          </w:tcPr>
          <w:p>
            <w:pPr>
              <w:pStyle w:val="TableParagraph"/>
              <w:spacing w:line="110" w:lineRule="exact"/>
              <w:ind w:right="199"/>
              <w:jc w:val="right"/>
              <w:rPr>
                <w:b/>
                <w:sz w:val="13"/>
              </w:rPr>
            </w:pPr>
            <w:r>
              <w:rPr>
                <w:b/>
                <w:spacing w:val="-2"/>
                <w:sz w:val="13"/>
              </w:rPr>
              <w:t>86,823</w:t>
            </w:r>
          </w:p>
        </w:tc>
        <w:tc>
          <w:tcPr>
            <w:tcW w:w="770" w:type="dxa"/>
            <w:tcBorders>
              <w:top w:val="single" w:sz="6" w:space="0" w:color="000000"/>
              <w:bottom w:val="single" w:sz="6" w:space="0" w:color="000000"/>
            </w:tcBorders>
          </w:tcPr>
          <w:p>
            <w:pPr>
              <w:pStyle w:val="TableParagraph"/>
              <w:spacing w:line="110" w:lineRule="exact"/>
              <w:ind w:right="66"/>
              <w:jc w:val="right"/>
              <w:rPr>
                <w:b/>
                <w:sz w:val="13"/>
              </w:rPr>
            </w:pPr>
            <w:r>
              <w:rPr>
                <w:b/>
                <w:spacing w:val="-2"/>
                <w:sz w:val="13"/>
              </w:rPr>
              <w:t>71,286</w:t>
            </w:r>
          </w:p>
        </w:tc>
      </w:tr>
      <w:tr>
        <w:trPr>
          <w:trHeight w:val="432" w:hRule="atLeast"/>
        </w:trPr>
        <w:tc>
          <w:tcPr>
            <w:tcW w:w="418" w:type="dxa"/>
          </w:tcPr>
          <w:p>
            <w:pPr>
              <w:pStyle w:val="TableParagraph"/>
              <w:spacing w:before="93"/>
              <w:ind w:left="33"/>
              <w:rPr>
                <w:b/>
                <w:sz w:val="13"/>
              </w:rPr>
            </w:pPr>
            <w:r>
              <w:rPr>
                <w:b/>
                <w:spacing w:val="-5"/>
                <w:sz w:val="13"/>
              </w:rPr>
              <w:t>(h)</w:t>
            </w:r>
          </w:p>
        </w:tc>
        <w:tc>
          <w:tcPr>
            <w:tcW w:w="4836" w:type="dxa"/>
          </w:tcPr>
          <w:p>
            <w:pPr>
              <w:pStyle w:val="TableParagraph"/>
              <w:spacing w:before="84"/>
              <w:ind w:left="214"/>
              <w:rPr>
                <w:b/>
                <w:sz w:val="13"/>
              </w:rPr>
            </w:pPr>
            <w:r>
              <w:rPr>
                <w:b/>
                <w:spacing w:val="-2"/>
                <w:sz w:val="13"/>
              </w:rPr>
              <w:t>Travel</w:t>
            </w:r>
          </w:p>
          <w:p>
            <w:pPr>
              <w:pStyle w:val="TableParagraph"/>
              <w:spacing w:before="13"/>
              <w:ind w:left="214"/>
              <w:rPr>
                <w:sz w:val="13"/>
              </w:rPr>
            </w:pPr>
            <w:r>
              <w:rPr>
                <w:spacing w:val="-2"/>
                <w:sz w:val="13"/>
              </w:rPr>
              <w:t>Travel</w:t>
            </w:r>
          </w:p>
        </w:tc>
        <w:tc>
          <w:tcPr>
            <w:tcW w:w="1036" w:type="dxa"/>
            <w:tcBorders>
              <w:top w:val="single" w:sz="6" w:space="0" w:color="000000"/>
              <w:bottom w:val="single" w:sz="6" w:space="0" w:color="000000"/>
            </w:tcBorders>
          </w:tcPr>
          <w:p>
            <w:pPr>
              <w:pStyle w:val="TableParagraph"/>
              <w:spacing w:before="97"/>
              <w:rPr>
                <w:b/>
                <w:sz w:val="13"/>
              </w:rPr>
            </w:pPr>
          </w:p>
          <w:p>
            <w:pPr>
              <w:pStyle w:val="TableParagraph"/>
              <w:ind w:right="200"/>
              <w:jc w:val="right"/>
              <w:rPr>
                <w:sz w:val="13"/>
              </w:rPr>
            </w:pPr>
            <w:r>
              <w:rPr>
                <w:spacing w:val="-2"/>
                <w:sz w:val="13"/>
              </w:rPr>
              <w:t>4,158</w:t>
            </w:r>
          </w:p>
        </w:tc>
        <w:tc>
          <w:tcPr>
            <w:tcW w:w="884" w:type="dxa"/>
            <w:tcBorders>
              <w:top w:val="single" w:sz="6" w:space="0" w:color="000000"/>
              <w:bottom w:val="single" w:sz="6" w:space="0" w:color="000000"/>
            </w:tcBorders>
          </w:tcPr>
          <w:p>
            <w:pPr>
              <w:pStyle w:val="TableParagraph"/>
              <w:spacing w:before="97"/>
              <w:rPr>
                <w:b/>
                <w:sz w:val="13"/>
              </w:rPr>
            </w:pPr>
          </w:p>
          <w:p>
            <w:pPr>
              <w:pStyle w:val="TableParagraph"/>
              <w:ind w:right="181"/>
              <w:jc w:val="right"/>
              <w:rPr>
                <w:sz w:val="13"/>
              </w:rPr>
            </w:pPr>
            <w:r>
              <w:rPr>
                <w:spacing w:val="-2"/>
                <w:sz w:val="13"/>
              </w:rPr>
              <w:t>19,140</w:t>
            </w:r>
          </w:p>
        </w:tc>
        <w:tc>
          <w:tcPr>
            <w:tcW w:w="920" w:type="dxa"/>
            <w:tcBorders>
              <w:top w:val="single" w:sz="6" w:space="0" w:color="000000"/>
              <w:bottom w:val="single" w:sz="6" w:space="0" w:color="000000"/>
            </w:tcBorders>
          </w:tcPr>
          <w:p>
            <w:pPr>
              <w:pStyle w:val="TableParagraph"/>
              <w:spacing w:before="97"/>
              <w:rPr>
                <w:b/>
                <w:sz w:val="13"/>
              </w:rPr>
            </w:pPr>
          </w:p>
          <w:p>
            <w:pPr>
              <w:pStyle w:val="TableParagraph"/>
              <w:ind w:right="199"/>
              <w:jc w:val="right"/>
              <w:rPr>
                <w:sz w:val="13"/>
              </w:rPr>
            </w:pPr>
            <w:r>
              <w:rPr>
                <w:spacing w:val="-2"/>
                <w:sz w:val="13"/>
              </w:rPr>
              <w:t>4,124</w:t>
            </w:r>
          </w:p>
        </w:tc>
        <w:tc>
          <w:tcPr>
            <w:tcW w:w="770" w:type="dxa"/>
            <w:tcBorders>
              <w:top w:val="single" w:sz="6" w:space="0" w:color="000000"/>
              <w:bottom w:val="single" w:sz="6" w:space="0" w:color="000000"/>
            </w:tcBorders>
          </w:tcPr>
          <w:p>
            <w:pPr>
              <w:pStyle w:val="TableParagraph"/>
              <w:spacing w:before="97"/>
              <w:rPr>
                <w:b/>
                <w:sz w:val="13"/>
              </w:rPr>
            </w:pPr>
          </w:p>
          <w:p>
            <w:pPr>
              <w:pStyle w:val="TableParagraph"/>
              <w:ind w:right="67"/>
              <w:jc w:val="right"/>
              <w:rPr>
                <w:sz w:val="13"/>
              </w:rPr>
            </w:pPr>
            <w:r>
              <w:rPr>
                <w:spacing w:val="-2"/>
                <w:sz w:val="13"/>
              </w:rPr>
              <w:t>18,824</w:t>
            </w:r>
          </w:p>
        </w:tc>
      </w:tr>
      <w:tr>
        <w:trPr>
          <w:trHeight w:val="147" w:hRule="atLeast"/>
        </w:trPr>
        <w:tc>
          <w:tcPr>
            <w:tcW w:w="418" w:type="dxa"/>
          </w:tcPr>
          <w:p>
            <w:pPr>
              <w:pStyle w:val="TableParagraph"/>
              <w:rPr>
                <w:rFonts w:ascii="Times New Roman"/>
                <w:sz w:val="8"/>
              </w:rPr>
            </w:pPr>
          </w:p>
        </w:tc>
        <w:tc>
          <w:tcPr>
            <w:tcW w:w="4836" w:type="dxa"/>
          </w:tcPr>
          <w:p>
            <w:pPr>
              <w:pStyle w:val="TableParagraph"/>
              <w:spacing w:line="110" w:lineRule="exact"/>
              <w:ind w:left="214"/>
              <w:rPr>
                <w:b/>
                <w:sz w:val="13"/>
              </w:rPr>
            </w:pPr>
            <w:r>
              <w:rPr>
                <w:b/>
                <w:sz w:val="13"/>
              </w:rPr>
              <w:t>Total </w:t>
            </w:r>
            <w:r>
              <w:rPr>
                <w:b/>
                <w:spacing w:val="-2"/>
                <w:sz w:val="13"/>
              </w:rPr>
              <w:t>travel</w:t>
            </w:r>
          </w:p>
        </w:tc>
        <w:tc>
          <w:tcPr>
            <w:tcW w:w="1036" w:type="dxa"/>
            <w:tcBorders>
              <w:top w:val="single" w:sz="6" w:space="0" w:color="000000"/>
              <w:bottom w:val="single" w:sz="6" w:space="0" w:color="000000"/>
            </w:tcBorders>
          </w:tcPr>
          <w:p>
            <w:pPr>
              <w:pStyle w:val="TableParagraph"/>
              <w:spacing w:line="110" w:lineRule="exact"/>
              <w:ind w:right="200"/>
              <w:jc w:val="right"/>
              <w:rPr>
                <w:b/>
                <w:sz w:val="13"/>
              </w:rPr>
            </w:pPr>
            <w:r>
              <w:rPr>
                <w:b/>
                <w:spacing w:val="-2"/>
                <w:sz w:val="13"/>
              </w:rPr>
              <w:t>4,158</w:t>
            </w:r>
          </w:p>
        </w:tc>
        <w:tc>
          <w:tcPr>
            <w:tcW w:w="884" w:type="dxa"/>
            <w:tcBorders>
              <w:top w:val="single" w:sz="6" w:space="0" w:color="000000"/>
              <w:bottom w:val="single" w:sz="6" w:space="0" w:color="000000"/>
            </w:tcBorders>
          </w:tcPr>
          <w:p>
            <w:pPr>
              <w:pStyle w:val="TableParagraph"/>
              <w:spacing w:line="110" w:lineRule="exact"/>
              <w:ind w:right="181"/>
              <w:jc w:val="right"/>
              <w:rPr>
                <w:b/>
                <w:sz w:val="13"/>
              </w:rPr>
            </w:pPr>
            <w:r>
              <w:rPr>
                <w:b/>
                <w:spacing w:val="-2"/>
                <w:sz w:val="13"/>
              </w:rPr>
              <w:t>19,140</w:t>
            </w:r>
          </w:p>
        </w:tc>
        <w:tc>
          <w:tcPr>
            <w:tcW w:w="920" w:type="dxa"/>
            <w:tcBorders>
              <w:top w:val="single" w:sz="6" w:space="0" w:color="000000"/>
              <w:bottom w:val="single" w:sz="6" w:space="0" w:color="000000"/>
            </w:tcBorders>
          </w:tcPr>
          <w:p>
            <w:pPr>
              <w:pStyle w:val="TableParagraph"/>
              <w:spacing w:line="110" w:lineRule="exact"/>
              <w:ind w:right="199"/>
              <w:jc w:val="right"/>
              <w:rPr>
                <w:b/>
                <w:sz w:val="13"/>
              </w:rPr>
            </w:pPr>
            <w:r>
              <w:rPr>
                <w:b/>
                <w:spacing w:val="-2"/>
                <w:sz w:val="13"/>
              </w:rPr>
              <w:t>4,124</w:t>
            </w:r>
          </w:p>
        </w:tc>
        <w:tc>
          <w:tcPr>
            <w:tcW w:w="770" w:type="dxa"/>
            <w:tcBorders>
              <w:top w:val="single" w:sz="6" w:space="0" w:color="000000"/>
              <w:bottom w:val="single" w:sz="6" w:space="0" w:color="000000"/>
            </w:tcBorders>
          </w:tcPr>
          <w:p>
            <w:pPr>
              <w:pStyle w:val="TableParagraph"/>
              <w:spacing w:line="110" w:lineRule="exact"/>
              <w:ind w:right="67"/>
              <w:jc w:val="right"/>
              <w:rPr>
                <w:b/>
                <w:sz w:val="13"/>
              </w:rPr>
            </w:pPr>
            <w:r>
              <w:rPr>
                <w:b/>
                <w:spacing w:val="-2"/>
                <w:sz w:val="13"/>
              </w:rPr>
              <w:t>18,824</w:t>
            </w:r>
          </w:p>
        </w:tc>
      </w:tr>
      <w:tr>
        <w:trPr>
          <w:trHeight w:val="432" w:hRule="atLeast"/>
        </w:trPr>
        <w:tc>
          <w:tcPr>
            <w:tcW w:w="418" w:type="dxa"/>
          </w:tcPr>
          <w:p>
            <w:pPr>
              <w:pStyle w:val="TableParagraph"/>
              <w:spacing w:before="93"/>
              <w:ind w:left="33"/>
              <w:rPr>
                <w:b/>
                <w:sz w:val="13"/>
              </w:rPr>
            </w:pPr>
            <w:r>
              <w:rPr>
                <w:b/>
                <w:spacing w:val="-5"/>
                <w:sz w:val="13"/>
              </w:rPr>
              <w:t>(i)</w:t>
            </w:r>
          </w:p>
        </w:tc>
        <w:tc>
          <w:tcPr>
            <w:tcW w:w="4836" w:type="dxa"/>
          </w:tcPr>
          <w:p>
            <w:pPr>
              <w:pStyle w:val="TableParagraph"/>
              <w:spacing w:before="84"/>
              <w:ind w:left="214"/>
              <w:rPr>
                <w:b/>
                <w:sz w:val="13"/>
              </w:rPr>
            </w:pPr>
            <w:r>
              <w:rPr>
                <w:b/>
                <w:sz w:val="13"/>
              </w:rPr>
              <w:t>Professional</w:t>
            </w:r>
            <w:r>
              <w:rPr>
                <w:b/>
                <w:spacing w:val="8"/>
                <w:sz w:val="13"/>
              </w:rPr>
              <w:t> </w:t>
            </w:r>
            <w:r>
              <w:rPr>
                <w:b/>
                <w:spacing w:val="-4"/>
                <w:sz w:val="13"/>
              </w:rPr>
              <w:t>fees</w:t>
            </w:r>
          </w:p>
          <w:p>
            <w:pPr>
              <w:pStyle w:val="TableParagraph"/>
              <w:spacing w:before="13"/>
              <w:ind w:left="214"/>
              <w:rPr>
                <w:sz w:val="13"/>
              </w:rPr>
            </w:pPr>
            <w:r>
              <w:rPr>
                <w:sz w:val="13"/>
              </w:rPr>
              <w:t>Professional</w:t>
            </w:r>
            <w:r>
              <w:rPr>
                <w:spacing w:val="14"/>
                <w:sz w:val="13"/>
              </w:rPr>
              <w:t> </w:t>
            </w:r>
            <w:r>
              <w:rPr>
                <w:spacing w:val="-4"/>
                <w:sz w:val="13"/>
              </w:rPr>
              <w:t>fees</w:t>
            </w:r>
          </w:p>
        </w:tc>
        <w:tc>
          <w:tcPr>
            <w:tcW w:w="1036" w:type="dxa"/>
            <w:tcBorders>
              <w:top w:val="single" w:sz="6" w:space="0" w:color="000000"/>
              <w:bottom w:val="single" w:sz="6" w:space="0" w:color="000000"/>
            </w:tcBorders>
          </w:tcPr>
          <w:p>
            <w:pPr>
              <w:pStyle w:val="TableParagraph"/>
              <w:spacing w:before="97"/>
              <w:rPr>
                <w:b/>
                <w:sz w:val="13"/>
              </w:rPr>
            </w:pPr>
          </w:p>
          <w:p>
            <w:pPr>
              <w:pStyle w:val="TableParagraph"/>
              <w:ind w:right="200"/>
              <w:jc w:val="right"/>
              <w:rPr>
                <w:sz w:val="13"/>
              </w:rPr>
            </w:pPr>
            <w:r>
              <w:rPr>
                <w:spacing w:val="-2"/>
                <w:sz w:val="13"/>
              </w:rPr>
              <w:t>32,330</w:t>
            </w:r>
          </w:p>
        </w:tc>
        <w:tc>
          <w:tcPr>
            <w:tcW w:w="884" w:type="dxa"/>
            <w:tcBorders>
              <w:top w:val="single" w:sz="6" w:space="0" w:color="000000"/>
              <w:bottom w:val="single" w:sz="6" w:space="0" w:color="000000"/>
            </w:tcBorders>
          </w:tcPr>
          <w:p>
            <w:pPr>
              <w:pStyle w:val="TableParagraph"/>
              <w:spacing w:before="97"/>
              <w:rPr>
                <w:b/>
                <w:sz w:val="13"/>
              </w:rPr>
            </w:pPr>
          </w:p>
          <w:p>
            <w:pPr>
              <w:pStyle w:val="TableParagraph"/>
              <w:ind w:right="181"/>
              <w:jc w:val="right"/>
              <w:rPr>
                <w:sz w:val="13"/>
              </w:rPr>
            </w:pPr>
            <w:r>
              <w:rPr>
                <w:spacing w:val="-2"/>
                <w:sz w:val="13"/>
              </w:rPr>
              <w:t>37,054</w:t>
            </w:r>
          </w:p>
        </w:tc>
        <w:tc>
          <w:tcPr>
            <w:tcW w:w="920" w:type="dxa"/>
            <w:tcBorders>
              <w:top w:val="single" w:sz="6" w:space="0" w:color="000000"/>
              <w:bottom w:val="single" w:sz="6" w:space="0" w:color="000000"/>
            </w:tcBorders>
          </w:tcPr>
          <w:p>
            <w:pPr>
              <w:pStyle w:val="TableParagraph"/>
              <w:spacing w:before="97"/>
              <w:rPr>
                <w:b/>
                <w:sz w:val="13"/>
              </w:rPr>
            </w:pPr>
          </w:p>
          <w:p>
            <w:pPr>
              <w:pStyle w:val="TableParagraph"/>
              <w:ind w:right="199"/>
              <w:jc w:val="right"/>
              <w:rPr>
                <w:sz w:val="13"/>
              </w:rPr>
            </w:pPr>
            <w:r>
              <w:rPr>
                <w:spacing w:val="-2"/>
                <w:sz w:val="13"/>
              </w:rPr>
              <w:t>32,040</w:t>
            </w:r>
          </w:p>
        </w:tc>
        <w:tc>
          <w:tcPr>
            <w:tcW w:w="770" w:type="dxa"/>
            <w:tcBorders>
              <w:top w:val="single" w:sz="6" w:space="0" w:color="000000"/>
              <w:bottom w:val="single" w:sz="6" w:space="0" w:color="000000"/>
            </w:tcBorders>
          </w:tcPr>
          <w:p>
            <w:pPr>
              <w:pStyle w:val="TableParagraph"/>
              <w:spacing w:before="97"/>
              <w:rPr>
                <w:b/>
                <w:sz w:val="13"/>
              </w:rPr>
            </w:pPr>
          </w:p>
          <w:p>
            <w:pPr>
              <w:pStyle w:val="TableParagraph"/>
              <w:ind w:right="66"/>
              <w:jc w:val="right"/>
              <w:rPr>
                <w:sz w:val="13"/>
              </w:rPr>
            </w:pPr>
            <w:r>
              <w:rPr>
                <w:spacing w:val="-2"/>
                <w:sz w:val="13"/>
              </w:rPr>
              <w:t>37,208</w:t>
            </w:r>
          </w:p>
        </w:tc>
      </w:tr>
      <w:tr>
        <w:trPr>
          <w:trHeight w:val="147" w:hRule="atLeast"/>
        </w:trPr>
        <w:tc>
          <w:tcPr>
            <w:tcW w:w="418" w:type="dxa"/>
          </w:tcPr>
          <w:p>
            <w:pPr>
              <w:pStyle w:val="TableParagraph"/>
              <w:rPr>
                <w:rFonts w:ascii="Times New Roman"/>
                <w:sz w:val="8"/>
              </w:rPr>
            </w:pPr>
          </w:p>
        </w:tc>
        <w:tc>
          <w:tcPr>
            <w:tcW w:w="4836" w:type="dxa"/>
          </w:tcPr>
          <w:p>
            <w:pPr>
              <w:pStyle w:val="TableParagraph"/>
              <w:spacing w:line="110" w:lineRule="exact"/>
              <w:ind w:left="214"/>
              <w:rPr>
                <w:b/>
                <w:sz w:val="13"/>
              </w:rPr>
            </w:pPr>
            <w:r>
              <w:rPr>
                <w:b/>
                <w:sz w:val="13"/>
              </w:rPr>
              <w:t>Total</w:t>
            </w:r>
            <w:r>
              <w:rPr>
                <w:b/>
                <w:spacing w:val="4"/>
                <w:sz w:val="13"/>
              </w:rPr>
              <w:t> </w:t>
            </w:r>
            <w:r>
              <w:rPr>
                <w:b/>
                <w:sz w:val="13"/>
              </w:rPr>
              <w:t>professional</w:t>
            </w:r>
            <w:r>
              <w:rPr>
                <w:b/>
                <w:spacing w:val="4"/>
                <w:sz w:val="13"/>
              </w:rPr>
              <w:t> </w:t>
            </w:r>
            <w:r>
              <w:rPr>
                <w:b/>
                <w:spacing w:val="-4"/>
                <w:sz w:val="13"/>
              </w:rPr>
              <w:t>fees</w:t>
            </w:r>
          </w:p>
        </w:tc>
        <w:tc>
          <w:tcPr>
            <w:tcW w:w="1036" w:type="dxa"/>
            <w:tcBorders>
              <w:top w:val="single" w:sz="6" w:space="0" w:color="000000"/>
              <w:bottom w:val="single" w:sz="6" w:space="0" w:color="000000"/>
            </w:tcBorders>
          </w:tcPr>
          <w:p>
            <w:pPr>
              <w:pStyle w:val="TableParagraph"/>
              <w:spacing w:line="110" w:lineRule="exact"/>
              <w:ind w:right="200"/>
              <w:jc w:val="right"/>
              <w:rPr>
                <w:b/>
                <w:sz w:val="13"/>
              </w:rPr>
            </w:pPr>
            <w:r>
              <w:rPr>
                <w:b/>
                <w:spacing w:val="-2"/>
                <w:sz w:val="13"/>
              </w:rPr>
              <w:t>32,330</w:t>
            </w:r>
          </w:p>
        </w:tc>
        <w:tc>
          <w:tcPr>
            <w:tcW w:w="884" w:type="dxa"/>
            <w:tcBorders>
              <w:top w:val="single" w:sz="6" w:space="0" w:color="000000"/>
              <w:bottom w:val="single" w:sz="6" w:space="0" w:color="000000"/>
            </w:tcBorders>
          </w:tcPr>
          <w:p>
            <w:pPr>
              <w:pStyle w:val="TableParagraph"/>
              <w:spacing w:line="110" w:lineRule="exact"/>
              <w:ind w:right="181"/>
              <w:jc w:val="right"/>
              <w:rPr>
                <w:b/>
                <w:sz w:val="13"/>
              </w:rPr>
            </w:pPr>
            <w:r>
              <w:rPr>
                <w:b/>
                <w:spacing w:val="-2"/>
                <w:sz w:val="13"/>
              </w:rPr>
              <w:t>37,054</w:t>
            </w:r>
          </w:p>
        </w:tc>
        <w:tc>
          <w:tcPr>
            <w:tcW w:w="920" w:type="dxa"/>
            <w:tcBorders>
              <w:top w:val="single" w:sz="6" w:space="0" w:color="000000"/>
              <w:bottom w:val="single" w:sz="6" w:space="0" w:color="000000"/>
            </w:tcBorders>
          </w:tcPr>
          <w:p>
            <w:pPr>
              <w:pStyle w:val="TableParagraph"/>
              <w:spacing w:line="110" w:lineRule="exact"/>
              <w:ind w:right="199"/>
              <w:jc w:val="right"/>
              <w:rPr>
                <w:b/>
                <w:sz w:val="13"/>
              </w:rPr>
            </w:pPr>
            <w:r>
              <w:rPr>
                <w:b/>
                <w:spacing w:val="-2"/>
                <w:sz w:val="13"/>
              </w:rPr>
              <w:t>32,040</w:t>
            </w:r>
          </w:p>
        </w:tc>
        <w:tc>
          <w:tcPr>
            <w:tcW w:w="770" w:type="dxa"/>
            <w:tcBorders>
              <w:top w:val="single" w:sz="6" w:space="0" w:color="000000"/>
              <w:bottom w:val="single" w:sz="6" w:space="0" w:color="000000"/>
            </w:tcBorders>
          </w:tcPr>
          <w:p>
            <w:pPr>
              <w:pStyle w:val="TableParagraph"/>
              <w:spacing w:line="110" w:lineRule="exact"/>
              <w:ind w:right="66"/>
              <w:jc w:val="right"/>
              <w:rPr>
                <w:b/>
                <w:sz w:val="13"/>
              </w:rPr>
            </w:pPr>
            <w:r>
              <w:rPr>
                <w:b/>
                <w:spacing w:val="-2"/>
                <w:sz w:val="13"/>
              </w:rPr>
              <w:t>37,208</w:t>
            </w:r>
          </w:p>
        </w:tc>
      </w:tr>
      <w:tr>
        <w:trPr>
          <w:trHeight w:val="336" w:hRule="atLeast"/>
        </w:trPr>
        <w:tc>
          <w:tcPr>
            <w:tcW w:w="418" w:type="dxa"/>
          </w:tcPr>
          <w:p>
            <w:pPr>
              <w:pStyle w:val="TableParagraph"/>
              <w:spacing w:before="141"/>
              <w:ind w:left="33"/>
              <w:rPr>
                <w:b/>
                <w:sz w:val="13"/>
              </w:rPr>
            </w:pPr>
            <w:r>
              <w:rPr>
                <w:b/>
                <w:spacing w:val="-5"/>
                <w:sz w:val="13"/>
              </w:rPr>
              <w:t>(j)</w:t>
            </w:r>
          </w:p>
        </w:tc>
        <w:tc>
          <w:tcPr>
            <w:tcW w:w="4836" w:type="dxa"/>
          </w:tcPr>
          <w:p>
            <w:pPr>
              <w:pStyle w:val="TableParagraph"/>
              <w:spacing w:before="141"/>
              <w:ind w:left="214"/>
              <w:rPr>
                <w:b/>
                <w:sz w:val="13"/>
              </w:rPr>
            </w:pPr>
            <w:r>
              <w:rPr>
                <w:b/>
                <w:sz w:val="13"/>
              </w:rPr>
              <w:t>Losses</w:t>
            </w:r>
            <w:r>
              <w:rPr>
                <w:b/>
                <w:spacing w:val="4"/>
                <w:sz w:val="13"/>
              </w:rPr>
              <w:t> </w:t>
            </w:r>
            <w:r>
              <w:rPr>
                <w:b/>
                <w:sz w:val="13"/>
              </w:rPr>
              <w:t>on</w:t>
            </w:r>
            <w:r>
              <w:rPr>
                <w:b/>
                <w:spacing w:val="3"/>
                <w:sz w:val="13"/>
              </w:rPr>
              <w:t> </w:t>
            </w:r>
            <w:r>
              <w:rPr>
                <w:b/>
                <w:sz w:val="13"/>
              </w:rPr>
              <w:t>disposal</w:t>
            </w:r>
            <w:r>
              <w:rPr>
                <w:b/>
                <w:spacing w:val="2"/>
                <w:sz w:val="13"/>
              </w:rPr>
              <w:t> </w:t>
            </w:r>
            <w:r>
              <w:rPr>
                <w:b/>
                <w:sz w:val="13"/>
              </w:rPr>
              <w:t>of</w:t>
            </w:r>
            <w:r>
              <w:rPr>
                <w:b/>
                <w:spacing w:val="5"/>
                <w:sz w:val="13"/>
              </w:rPr>
              <w:t> </w:t>
            </w:r>
            <w:r>
              <w:rPr>
                <w:b/>
                <w:spacing w:val="-2"/>
                <w:sz w:val="13"/>
              </w:rPr>
              <w:t>assets</w:t>
            </w:r>
          </w:p>
        </w:tc>
        <w:tc>
          <w:tcPr>
            <w:tcW w:w="1036" w:type="dxa"/>
            <w:tcBorders>
              <w:top w:val="single" w:sz="6" w:space="0" w:color="000000"/>
            </w:tcBorders>
          </w:tcPr>
          <w:p>
            <w:pPr>
              <w:pStyle w:val="TableParagraph"/>
              <w:rPr>
                <w:rFonts w:ascii="Times New Roman"/>
                <w:sz w:val="12"/>
              </w:rPr>
            </w:pPr>
          </w:p>
        </w:tc>
        <w:tc>
          <w:tcPr>
            <w:tcW w:w="884" w:type="dxa"/>
            <w:tcBorders>
              <w:top w:val="single" w:sz="6" w:space="0" w:color="000000"/>
            </w:tcBorders>
          </w:tcPr>
          <w:p>
            <w:pPr>
              <w:pStyle w:val="TableParagraph"/>
              <w:rPr>
                <w:rFonts w:ascii="Times New Roman"/>
                <w:sz w:val="12"/>
              </w:rPr>
            </w:pPr>
          </w:p>
        </w:tc>
        <w:tc>
          <w:tcPr>
            <w:tcW w:w="920" w:type="dxa"/>
            <w:tcBorders>
              <w:top w:val="single" w:sz="6" w:space="0" w:color="000000"/>
            </w:tcBorders>
          </w:tcPr>
          <w:p>
            <w:pPr>
              <w:pStyle w:val="TableParagraph"/>
              <w:rPr>
                <w:rFonts w:ascii="Times New Roman"/>
                <w:sz w:val="12"/>
              </w:rPr>
            </w:pPr>
          </w:p>
        </w:tc>
        <w:tc>
          <w:tcPr>
            <w:tcW w:w="770" w:type="dxa"/>
            <w:tcBorders>
              <w:top w:val="single" w:sz="6" w:space="0" w:color="000000"/>
            </w:tcBorders>
          </w:tcPr>
          <w:p>
            <w:pPr>
              <w:pStyle w:val="TableParagraph"/>
              <w:rPr>
                <w:rFonts w:ascii="Times New Roman"/>
                <w:sz w:val="12"/>
              </w:rPr>
            </w:pPr>
          </w:p>
        </w:tc>
      </w:tr>
      <w:tr>
        <w:trPr>
          <w:trHeight w:val="161" w:hRule="atLeast"/>
        </w:trPr>
        <w:tc>
          <w:tcPr>
            <w:tcW w:w="418" w:type="dxa"/>
          </w:tcPr>
          <w:p>
            <w:pPr>
              <w:pStyle w:val="TableParagraph"/>
              <w:rPr>
                <w:rFonts w:ascii="Times New Roman"/>
                <w:sz w:val="10"/>
              </w:rPr>
            </w:pPr>
          </w:p>
        </w:tc>
        <w:tc>
          <w:tcPr>
            <w:tcW w:w="4836" w:type="dxa"/>
          </w:tcPr>
          <w:p>
            <w:pPr>
              <w:pStyle w:val="TableParagraph"/>
              <w:spacing w:line="125" w:lineRule="exact"/>
              <w:ind w:left="214"/>
              <w:rPr>
                <w:sz w:val="13"/>
              </w:rPr>
            </w:pPr>
            <w:r>
              <w:rPr>
                <w:sz w:val="13"/>
              </w:rPr>
              <w:t>Losses</w:t>
            </w:r>
            <w:r>
              <w:rPr>
                <w:spacing w:val="7"/>
                <w:sz w:val="13"/>
              </w:rPr>
              <w:t> </w:t>
            </w:r>
            <w:r>
              <w:rPr>
                <w:sz w:val="13"/>
              </w:rPr>
              <w:t>on</w:t>
            </w:r>
            <w:r>
              <w:rPr>
                <w:spacing w:val="7"/>
                <w:sz w:val="13"/>
              </w:rPr>
              <w:t> </w:t>
            </w:r>
            <w:r>
              <w:rPr>
                <w:sz w:val="13"/>
              </w:rPr>
              <w:t>disposal</w:t>
            </w:r>
            <w:r>
              <w:rPr>
                <w:spacing w:val="5"/>
                <w:sz w:val="13"/>
              </w:rPr>
              <w:t> </w:t>
            </w:r>
            <w:r>
              <w:rPr>
                <w:sz w:val="13"/>
              </w:rPr>
              <w:t>of</w:t>
            </w:r>
            <w:r>
              <w:rPr>
                <w:spacing w:val="7"/>
                <w:sz w:val="13"/>
              </w:rPr>
              <w:t> </w:t>
            </w:r>
            <w:r>
              <w:rPr>
                <w:spacing w:val="-2"/>
                <w:sz w:val="13"/>
              </w:rPr>
              <w:t>assets</w:t>
            </w:r>
          </w:p>
        </w:tc>
        <w:tc>
          <w:tcPr>
            <w:tcW w:w="1036" w:type="dxa"/>
            <w:tcBorders>
              <w:bottom w:val="single" w:sz="6" w:space="0" w:color="000000"/>
            </w:tcBorders>
          </w:tcPr>
          <w:p>
            <w:pPr>
              <w:pStyle w:val="TableParagraph"/>
              <w:spacing w:line="125" w:lineRule="exact"/>
              <w:ind w:right="155"/>
              <w:jc w:val="right"/>
              <w:rPr>
                <w:sz w:val="13"/>
              </w:rPr>
            </w:pPr>
            <w:r>
              <w:rPr>
                <w:spacing w:val="-10"/>
                <w:sz w:val="13"/>
              </w:rPr>
              <w:t>-</w:t>
            </w:r>
          </w:p>
        </w:tc>
        <w:tc>
          <w:tcPr>
            <w:tcW w:w="884" w:type="dxa"/>
            <w:tcBorders>
              <w:bottom w:val="single" w:sz="6" w:space="0" w:color="000000"/>
            </w:tcBorders>
          </w:tcPr>
          <w:p>
            <w:pPr>
              <w:pStyle w:val="TableParagraph"/>
              <w:spacing w:line="125" w:lineRule="exact"/>
              <w:ind w:right="181"/>
              <w:jc w:val="right"/>
              <w:rPr>
                <w:sz w:val="13"/>
              </w:rPr>
            </w:pPr>
            <w:r>
              <w:rPr>
                <w:spacing w:val="-5"/>
                <w:sz w:val="13"/>
              </w:rPr>
              <w:t>176</w:t>
            </w:r>
          </w:p>
        </w:tc>
        <w:tc>
          <w:tcPr>
            <w:tcW w:w="920" w:type="dxa"/>
            <w:tcBorders>
              <w:bottom w:val="single" w:sz="6" w:space="0" w:color="000000"/>
            </w:tcBorders>
          </w:tcPr>
          <w:p>
            <w:pPr>
              <w:pStyle w:val="TableParagraph"/>
              <w:spacing w:line="125" w:lineRule="exact"/>
              <w:ind w:right="154"/>
              <w:jc w:val="right"/>
              <w:rPr>
                <w:sz w:val="13"/>
              </w:rPr>
            </w:pPr>
            <w:r>
              <w:rPr>
                <w:spacing w:val="-10"/>
                <w:sz w:val="13"/>
              </w:rPr>
              <w:t>-</w:t>
            </w:r>
          </w:p>
        </w:tc>
        <w:tc>
          <w:tcPr>
            <w:tcW w:w="770" w:type="dxa"/>
            <w:tcBorders>
              <w:bottom w:val="single" w:sz="6" w:space="0" w:color="000000"/>
            </w:tcBorders>
          </w:tcPr>
          <w:p>
            <w:pPr>
              <w:pStyle w:val="TableParagraph"/>
              <w:spacing w:line="125" w:lineRule="exact"/>
              <w:ind w:right="66"/>
              <w:jc w:val="right"/>
              <w:rPr>
                <w:sz w:val="13"/>
              </w:rPr>
            </w:pPr>
            <w:r>
              <w:rPr>
                <w:spacing w:val="-5"/>
                <w:sz w:val="13"/>
              </w:rPr>
              <w:t>101</w:t>
            </w:r>
          </w:p>
        </w:tc>
      </w:tr>
      <w:tr>
        <w:trPr>
          <w:trHeight w:val="156" w:hRule="atLeast"/>
        </w:trPr>
        <w:tc>
          <w:tcPr>
            <w:tcW w:w="418" w:type="dxa"/>
          </w:tcPr>
          <w:p>
            <w:pPr>
              <w:pStyle w:val="TableParagraph"/>
              <w:rPr>
                <w:rFonts w:ascii="Times New Roman"/>
                <w:sz w:val="10"/>
              </w:rPr>
            </w:pPr>
          </w:p>
        </w:tc>
        <w:tc>
          <w:tcPr>
            <w:tcW w:w="4836" w:type="dxa"/>
          </w:tcPr>
          <w:p>
            <w:pPr>
              <w:pStyle w:val="TableParagraph"/>
              <w:spacing w:line="119" w:lineRule="exact"/>
              <w:ind w:left="214"/>
              <w:rPr>
                <w:b/>
                <w:sz w:val="13"/>
              </w:rPr>
            </w:pPr>
            <w:r>
              <w:rPr>
                <w:b/>
                <w:sz w:val="13"/>
              </w:rPr>
              <w:t>Total</w:t>
            </w:r>
            <w:r>
              <w:rPr>
                <w:b/>
                <w:spacing w:val="1"/>
                <w:sz w:val="13"/>
              </w:rPr>
              <w:t> </w:t>
            </w:r>
            <w:r>
              <w:rPr>
                <w:b/>
                <w:sz w:val="13"/>
              </w:rPr>
              <w:t>losses</w:t>
            </w:r>
            <w:r>
              <w:rPr>
                <w:b/>
                <w:spacing w:val="4"/>
                <w:sz w:val="13"/>
              </w:rPr>
              <w:t> </w:t>
            </w:r>
            <w:r>
              <w:rPr>
                <w:b/>
                <w:sz w:val="13"/>
              </w:rPr>
              <w:t>on</w:t>
            </w:r>
            <w:r>
              <w:rPr>
                <w:b/>
                <w:spacing w:val="3"/>
                <w:sz w:val="13"/>
              </w:rPr>
              <w:t> </w:t>
            </w:r>
            <w:r>
              <w:rPr>
                <w:b/>
                <w:sz w:val="13"/>
              </w:rPr>
              <w:t>disposal</w:t>
            </w:r>
            <w:r>
              <w:rPr>
                <w:b/>
                <w:spacing w:val="1"/>
                <w:sz w:val="13"/>
              </w:rPr>
              <w:t> </w:t>
            </w:r>
            <w:r>
              <w:rPr>
                <w:b/>
                <w:sz w:val="13"/>
              </w:rPr>
              <w:t>of</w:t>
            </w:r>
            <w:r>
              <w:rPr>
                <w:b/>
                <w:spacing w:val="4"/>
                <w:sz w:val="13"/>
              </w:rPr>
              <w:t> </w:t>
            </w:r>
            <w:r>
              <w:rPr>
                <w:b/>
                <w:spacing w:val="-2"/>
                <w:sz w:val="13"/>
              </w:rPr>
              <w:t>assets</w:t>
            </w:r>
          </w:p>
        </w:tc>
        <w:tc>
          <w:tcPr>
            <w:tcW w:w="1036" w:type="dxa"/>
            <w:tcBorders>
              <w:top w:val="single" w:sz="6" w:space="0" w:color="000000"/>
              <w:bottom w:val="single" w:sz="6" w:space="0" w:color="000000"/>
            </w:tcBorders>
          </w:tcPr>
          <w:p>
            <w:pPr>
              <w:pStyle w:val="TableParagraph"/>
              <w:spacing w:line="119" w:lineRule="exact"/>
              <w:ind w:right="155"/>
              <w:jc w:val="right"/>
              <w:rPr>
                <w:b/>
                <w:sz w:val="13"/>
              </w:rPr>
            </w:pPr>
            <w:r>
              <w:rPr>
                <w:b/>
                <w:spacing w:val="-10"/>
                <w:sz w:val="13"/>
              </w:rPr>
              <w:t>-</w:t>
            </w:r>
          </w:p>
        </w:tc>
        <w:tc>
          <w:tcPr>
            <w:tcW w:w="884" w:type="dxa"/>
            <w:tcBorders>
              <w:top w:val="single" w:sz="6" w:space="0" w:color="000000"/>
              <w:bottom w:val="single" w:sz="6" w:space="0" w:color="000000"/>
            </w:tcBorders>
          </w:tcPr>
          <w:p>
            <w:pPr>
              <w:pStyle w:val="TableParagraph"/>
              <w:spacing w:line="119" w:lineRule="exact"/>
              <w:ind w:right="181"/>
              <w:jc w:val="right"/>
              <w:rPr>
                <w:b/>
                <w:sz w:val="13"/>
              </w:rPr>
            </w:pPr>
            <w:r>
              <w:rPr>
                <w:b/>
                <w:spacing w:val="-5"/>
                <w:sz w:val="13"/>
              </w:rPr>
              <w:t>176</w:t>
            </w:r>
          </w:p>
        </w:tc>
        <w:tc>
          <w:tcPr>
            <w:tcW w:w="920" w:type="dxa"/>
            <w:tcBorders>
              <w:top w:val="single" w:sz="6" w:space="0" w:color="000000"/>
              <w:bottom w:val="single" w:sz="6" w:space="0" w:color="000000"/>
            </w:tcBorders>
          </w:tcPr>
          <w:p>
            <w:pPr>
              <w:pStyle w:val="TableParagraph"/>
              <w:spacing w:line="119" w:lineRule="exact"/>
              <w:ind w:right="154"/>
              <w:jc w:val="right"/>
              <w:rPr>
                <w:b/>
                <w:sz w:val="13"/>
              </w:rPr>
            </w:pPr>
            <w:r>
              <w:rPr>
                <w:b/>
                <w:spacing w:val="-10"/>
                <w:sz w:val="13"/>
              </w:rPr>
              <w:t>-</w:t>
            </w:r>
          </w:p>
        </w:tc>
        <w:tc>
          <w:tcPr>
            <w:tcW w:w="770" w:type="dxa"/>
            <w:tcBorders>
              <w:top w:val="single" w:sz="6" w:space="0" w:color="000000"/>
              <w:bottom w:val="single" w:sz="6" w:space="0" w:color="000000"/>
            </w:tcBorders>
          </w:tcPr>
          <w:p>
            <w:pPr>
              <w:pStyle w:val="TableParagraph"/>
              <w:spacing w:line="119" w:lineRule="exact"/>
              <w:ind w:right="66"/>
              <w:jc w:val="right"/>
              <w:rPr>
                <w:b/>
                <w:sz w:val="13"/>
              </w:rPr>
            </w:pPr>
            <w:r>
              <w:rPr>
                <w:b/>
                <w:spacing w:val="-5"/>
                <w:sz w:val="13"/>
              </w:rPr>
              <w:t>101</w:t>
            </w:r>
          </w:p>
        </w:tc>
      </w:tr>
      <w:tr>
        <w:trPr>
          <w:trHeight w:val="467" w:hRule="atLeast"/>
        </w:trPr>
        <w:tc>
          <w:tcPr>
            <w:tcW w:w="418" w:type="dxa"/>
          </w:tcPr>
          <w:p>
            <w:pPr>
              <w:pStyle w:val="TableParagraph"/>
              <w:spacing w:before="123"/>
              <w:ind w:left="33"/>
              <w:rPr>
                <w:b/>
                <w:sz w:val="13"/>
              </w:rPr>
            </w:pPr>
            <w:r>
              <w:rPr>
                <w:b/>
                <w:spacing w:val="-5"/>
                <w:sz w:val="13"/>
              </w:rPr>
              <w:t>(k)</w:t>
            </w:r>
          </w:p>
        </w:tc>
        <w:tc>
          <w:tcPr>
            <w:tcW w:w="4836" w:type="dxa"/>
          </w:tcPr>
          <w:p>
            <w:pPr>
              <w:pStyle w:val="TableParagraph"/>
              <w:spacing w:before="114"/>
              <w:ind w:left="214"/>
              <w:rPr>
                <w:b/>
                <w:sz w:val="13"/>
              </w:rPr>
            </w:pPr>
            <w:r>
              <w:rPr>
                <w:b/>
                <w:sz w:val="13"/>
              </w:rPr>
              <w:t>Other</w:t>
            </w:r>
            <w:r>
              <w:rPr>
                <w:b/>
                <w:spacing w:val="4"/>
                <w:sz w:val="13"/>
              </w:rPr>
              <w:t> </w:t>
            </w:r>
            <w:r>
              <w:rPr>
                <w:b/>
                <w:spacing w:val="-2"/>
                <w:sz w:val="13"/>
              </w:rPr>
              <w:t>expenses</w:t>
            </w:r>
          </w:p>
          <w:p>
            <w:pPr>
              <w:pStyle w:val="TableParagraph"/>
              <w:spacing w:before="12"/>
              <w:ind w:left="214"/>
              <w:rPr>
                <w:sz w:val="13"/>
              </w:rPr>
            </w:pPr>
            <w:r>
              <w:rPr>
                <w:sz w:val="13"/>
              </w:rPr>
              <w:t>Computing</w:t>
            </w:r>
            <w:r>
              <w:rPr>
                <w:spacing w:val="9"/>
                <w:sz w:val="13"/>
              </w:rPr>
              <w:t> </w:t>
            </w:r>
            <w:r>
              <w:rPr>
                <w:spacing w:val="-2"/>
                <w:sz w:val="13"/>
              </w:rPr>
              <w:t>costs</w:t>
            </w:r>
          </w:p>
        </w:tc>
        <w:tc>
          <w:tcPr>
            <w:tcW w:w="1036" w:type="dxa"/>
            <w:tcBorders>
              <w:top w:val="single" w:sz="6" w:space="0" w:color="000000"/>
            </w:tcBorders>
          </w:tcPr>
          <w:p>
            <w:pPr>
              <w:pStyle w:val="TableParagraph"/>
              <w:spacing w:before="126"/>
              <w:rPr>
                <w:b/>
                <w:sz w:val="13"/>
              </w:rPr>
            </w:pPr>
          </w:p>
          <w:p>
            <w:pPr>
              <w:pStyle w:val="TableParagraph"/>
              <w:ind w:right="200"/>
              <w:jc w:val="right"/>
              <w:rPr>
                <w:sz w:val="13"/>
              </w:rPr>
            </w:pPr>
            <w:r>
              <w:rPr>
                <w:spacing w:val="-2"/>
                <w:sz w:val="13"/>
              </w:rPr>
              <w:t>24,515</w:t>
            </w:r>
          </w:p>
        </w:tc>
        <w:tc>
          <w:tcPr>
            <w:tcW w:w="884" w:type="dxa"/>
            <w:tcBorders>
              <w:top w:val="single" w:sz="6" w:space="0" w:color="000000"/>
            </w:tcBorders>
          </w:tcPr>
          <w:p>
            <w:pPr>
              <w:pStyle w:val="TableParagraph"/>
              <w:spacing w:before="126"/>
              <w:rPr>
                <w:b/>
                <w:sz w:val="13"/>
              </w:rPr>
            </w:pPr>
          </w:p>
          <w:p>
            <w:pPr>
              <w:pStyle w:val="TableParagraph"/>
              <w:ind w:right="181"/>
              <w:jc w:val="right"/>
              <w:rPr>
                <w:sz w:val="13"/>
              </w:rPr>
            </w:pPr>
            <w:r>
              <w:rPr>
                <w:spacing w:val="-2"/>
                <w:sz w:val="13"/>
              </w:rPr>
              <w:t>23,077</w:t>
            </w:r>
          </w:p>
        </w:tc>
        <w:tc>
          <w:tcPr>
            <w:tcW w:w="920" w:type="dxa"/>
            <w:tcBorders>
              <w:top w:val="single" w:sz="6" w:space="0" w:color="000000"/>
            </w:tcBorders>
          </w:tcPr>
          <w:p>
            <w:pPr>
              <w:pStyle w:val="TableParagraph"/>
              <w:spacing w:before="126"/>
              <w:rPr>
                <w:b/>
                <w:sz w:val="13"/>
              </w:rPr>
            </w:pPr>
          </w:p>
          <w:p>
            <w:pPr>
              <w:pStyle w:val="TableParagraph"/>
              <w:ind w:right="199"/>
              <w:jc w:val="right"/>
              <w:rPr>
                <w:sz w:val="13"/>
              </w:rPr>
            </w:pPr>
            <w:r>
              <w:rPr>
                <w:spacing w:val="-2"/>
                <w:sz w:val="13"/>
              </w:rPr>
              <w:t>24,010</w:t>
            </w:r>
          </w:p>
        </w:tc>
        <w:tc>
          <w:tcPr>
            <w:tcW w:w="770" w:type="dxa"/>
            <w:tcBorders>
              <w:top w:val="single" w:sz="6" w:space="0" w:color="000000"/>
            </w:tcBorders>
          </w:tcPr>
          <w:p>
            <w:pPr>
              <w:pStyle w:val="TableParagraph"/>
              <w:spacing w:before="126"/>
              <w:rPr>
                <w:b/>
                <w:sz w:val="13"/>
              </w:rPr>
            </w:pPr>
          </w:p>
          <w:p>
            <w:pPr>
              <w:pStyle w:val="TableParagraph"/>
              <w:ind w:right="66"/>
              <w:jc w:val="right"/>
              <w:rPr>
                <w:sz w:val="13"/>
              </w:rPr>
            </w:pPr>
            <w:r>
              <w:rPr>
                <w:spacing w:val="-2"/>
                <w:sz w:val="13"/>
              </w:rPr>
              <w:t>22,820</w:t>
            </w:r>
          </w:p>
        </w:tc>
      </w:tr>
      <w:tr>
        <w:trPr>
          <w:trHeight w:val="161" w:hRule="atLeast"/>
        </w:trPr>
        <w:tc>
          <w:tcPr>
            <w:tcW w:w="418" w:type="dxa"/>
          </w:tcPr>
          <w:p>
            <w:pPr>
              <w:pStyle w:val="TableParagraph"/>
              <w:rPr>
                <w:rFonts w:ascii="Times New Roman"/>
                <w:sz w:val="10"/>
              </w:rPr>
            </w:pPr>
          </w:p>
        </w:tc>
        <w:tc>
          <w:tcPr>
            <w:tcW w:w="4836" w:type="dxa"/>
          </w:tcPr>
          <w:p>
            <w:pPr>
              <w:pStyle w:val="TableParagraph"/>
              <w:spacing w:line="120" w:lineRule="exact"/>
              <w:ind w:left="214"/>
              <w:rPr>
                <w:sz w:val="13"/>
              </w:rPr>
            </w:pPr>
            <w:r>
              <w:rPr>
                <w:sz w:val="13"/>
              </w:rPr>
              <w:t>Books,</w:t>
            </w:r>
            <w:r>
              <w:rPr>
                <w:spacing w:val="5"/>
                <w:sz w:val="13"/>
              </w:rPr>
              <w:t> </w:t>
            </w:r>
            <w:r>
              <w:rPr>
                <w:sz w:val="13"/>
              </w:rPr>
              <w:t>periodicals</w:t>
            </w:r>
            <w:r>
              <w:rPr>
                <w:spacing w:val="8"/>
                <w:sz w:val="13"/>
              </w:rPr>
              <w:t> </w:t>
            </w:r>
            <w:r>
              <w:rPr>
                <w:sz w:val="13"/>
              </w:rPr>
              <w:t>and</w:t>
            </w:r>
            <w:r>
              <w:rPr>
                <w:spacing w:val="7"/>
                <w:sz w:val="13"/>
              </w:rPr>
              <w:t> </w:t>
            </w:r>
            <w:r>
              <w:rPr>
                <w:sz w:val="13"/>
              </w:rPr>
              <w:t>electronic</w:t>
            </w:r>
            <w:r>
              <w:rPr>
                <w:spacing w:val="9"/>
                <w:sz w:val="13"/>
              </w:rPr>
              <w:t> </w:t>
            </w:r>
            <w:r>
              <w:rPr>
                <w:sz w:val="13"/>
              </w:rPr>
              <w:t>library</w:t>
            </w:r>
            <w:r>
              <w:rPr>
                <w:spacing w:val="5"/>
                <w:sz w:val="13"/>
              </w:rPr>
              <w:t> </w:t>
            </w:r>
            <w:r>
              <w:rPr>
                <w:spacing w:val="-2"/>
                <w:sz w:val="13"/>
              </w:rPr>
              <w:t>resources</w:t>
            </w:r>
          </w:p>
        </w:tc>
        <w:tc>
          <w:tcPr>
            <w:tcW w:w="1036" w:type="dxa"/>
          </w:tcPr>
          <w:p>
            <w:pPr>
              <w:pStyle w:val="TableParagraph"/>
              <w:spacing w:line="120" w:lineRule="exact"/>
              <w:ind w:right="200"/>
              <w:jc w:val="right"/>
              <w:rPr>
                <w:sz w:val="13"/>
              </w:rPr>
            </w:pPr>
            <w:r>
              <w:rPr>
                <w:spacing w:val="-2"/>
                <w:sz w:val="13"/>
              </w:rPr>
              <w:t>7,869</w:t>
            </w:r>
          </w:p>
        </w:tc>
        <w:tc>
          <w:tcPr>
            <w:tcW w:w="884" w:type="dxa"/>
          </w:tcPr>
          <w:p>
            <w:pPr>
              <w:pStyle w:val="TableParagraph"/>
              <w:spacing w:line="120" w:lineRule="exact"/>
              <w:ind w:right="181"/>
              <w:jc w:val="right"/>
              <w:rPr>
                <w:sz w:val="13"/>
              </w:rPr>
            </w:pPr>
            <w:r>
              <w:rPr>
                <w:spacing w:val="-2"/>
                <w:sz w:val="13"/>
              </w:rPr>
              <w:t>9,220</w:t>
            </w:r>
          </w:p>
        </w:tc>
        <w:tc>
          <w:tcPr>
            <w:tcW w:w="920" w:type="dxa"/>
          </w:tcPr>
          <w:p>
            <w:pPr>
              <w:pStyle w:val="TableParagraph"/>
              <w:spacing w:line="120" w:lineRule="exact"/>
              <w:ind w:right="199"/>
              <w:jc w:val="right"/>
              <w:rPr>
                <w:sz w:val="13"/>
              </w:rPr>
            </w:pPr>
            <w:r>
              <w:rPr>
                <w:spacing w:val="-2"/>
                <w:sz w:val="13"/>
              </w:rPr>
              <w:t>7,858</w:t>
            </w:r>
          </w:p>
        </w:tc>
        <w:tc>
          <w:tcPr>
            <w:tcW w:w="770" w:type="dxa"/>
          </w:tcPr>
          <w:p>
            <w:pPr>
              <w:pStyle w:val="TableParagraph"/>
              <w:spacing w:line="120" w:lineRule="exact"/>
              <w:ind w:right="66"/>
              <w:jc w:val="right"/>
              <w:rPr>
                <w:sz w:val="13"/>
              </w:rPr>
            </w:pPr>
            <w:r>
              <w:rPr>
                <w:spacing w:val="-2"/>
                <w:sz w:val="13"/>
              </w:rPr>
              <w:t>9,200</w:t>
            </w:r>
          </w:p>
        </w:tc>
      </w:tr>
      <w:tr>
        <w:trPr>
          <w:trHeight w:val="161" w:hRule="atLeast"/>
        </w:trPr>
        <w:tc>
          <w:tcPr>
            <w:tcW w:w="418" w:type="dxa"/>
          </w:tcPr>
          <w:p>
            <w:pPr>
              <w:pStyle w:val="TableParagraph"/>
              <w:rPr>
                <w:rFonts w:ascii="Times New Roman"/>
                <w:sz w:val="10"/>
              </w:rPr>
            </w:pPr>
          </w:p>
        </w:tc>
        <w:tc>
          <w:tcPr>
            <w:tcW w:w="4836" w:type="dxa"/>
          </w:tcPr>
          <w:p>
            <w:pPr>
              <w:pStyle w:val="TableParagraph"/>
              <w:spacing w:line="120" w:lineRule="exact"/>
              <w:ind w:left="214"/>
              <w:rPr>
                <w:sz w:val="13"/>
              </w:rPr>
            </w:pPr>
            <w:r>
              <w:rPr>
                <w:sz w:val="13"/>
              </w:rPr>
              <w:t>Utilities</w:t>
            </w:r>
            <w:r>
              <w:rPr>
                <w:spacing w:val="4"/>
                <w:sz w:val="13"/>
              </w:rPr>
              <w:t> </w:t>
            </w:r>
            <w:r>
              <w:rPr>
                <w:sz w:val="13"/>
              </w:rPr>
              <w:t>and</w:t>
            </w:r>
            <w:r>
              <w:rPr>
                <w:spacing w:val="3"/>
                <w:sz w:val="13"/>
              </w:rPr>
              <w:t> </w:t>
            </w:r>
            <w:r>
              <w:rPr>
                <w:spacing w:val="-2"/>
                <w:sz w:val="13"/>
              </w:rPr>
              <w:t>rates</w:t>
            </w:r>
          </w:p>
        </w:tc>
        <w:tc>
          <w:tcPr>
            <w:tcW w:w="1036" w:type="dxa"/>
          </w:tcPr>
          <w:p>
            <w:pPr>
              <w:pStyle w:val="TableParagraph"/>
              <w:spacing w:line="120" w:lineRule="exact"/>
              <w:ind w:right="200"/>
              <w:jc w:val="right"/>
              <w:rPr>
                <w:sz w:val="13"/>
              </w:rPr>
            </w:pPr>
            <w:r>
              <w:rPr>
                <w:spacing w:val="-2"/>
                <w:sz w:val="13"/>
              </w:rPr>
              <w:t>12,321</w:t>
            </w:r>
          </w:p>
        </w:tc>
        <w:tc>
          <w:tcPr>
            <w:tcW w:w="884" w:type="dxa"/>
          </w:tcPr>
          <w:p>
            <w:pPr>
              <w:pStyle w:val="TableParagraph"/>
              <w:spacing w:line="120" w:lineRule="exact"/>
              <w:ind w:right="181"/>
              <w:jc w:val="right"/>
              <w:rPr>
                <w:sz w:val="13"/>
              </w:rPr>
            </w:pPr>
            <w:r>
              <w:rPr>
                <w:spacing w:val="-2"/>
                <w:sz w:val="13"/>
              </w:rPr>
              <w:t>13,844</w:t>
            </w:r>
          </w:p>
        </w:tc>
        <w:tc>
          <w:tcPr>
            <w:tcW w:w="920" w:type="dxa"/>
          </w:tcPr>
          <w:p>
            <w:pPr>
              <w:pStyle w:val="TableParagraph"/>
              <w:spacing w:line="120" w:lineRule="exact"/>
              <w:ind w:right="199"/>
              <w:jc w:val="right"/>
              <w:rPr>
                <w:sz w:val="13"/>
              </w:rPr>
            </w:pPr>
            <w:r>
              <w:rPr>
                <w:spacing w:val="-2"/>
                <w:sz w:val="13"/>
              </w:rPr>
              <w:t>12,242</w:t>
            </w:r>
          </w:p>
        </w:tc>
        <w:tc>
          <w:tcPr>
            <w:tcW w:w="770" w:type="dxa"/>
          </w:tcPr>
          <w:p>
            <w:pPr>
              <w:pStyle w:val="TableParagraph"/>
              <w:spacing w:line="120" w:lineRule="exact"/>
              <w:ind w:right="66"/>
              <w:jc w:val="right"/>
              <w:rPr>
                <w:sz w:val="13"/>
              </w:rPr>
            </w:pPr>
            <w:r>
              <w:rPr>
                <w:spacing w:val="-2"/>
                <w:sz w:val="13"/>
              </w:rPr>
              <w:t>13,826</w:t>
            </w:r>
          </w:p>
        </w:tc>
      </w:tr>
      <w:tr>
        <w:trPr>
          <w:trHeight w:val="161" w:hRule="atLeast"/>
        </w:trPr>
        <w:tc>
          <w:tcPr>
            <w:tcW w:w="418" w:type="dxa"/>
          </w:tcPr>
          <w:p>
            <w:pPr>
              <w:pStyle w:val="TableParagraph"/>
              <w:rPr>
                <w:rFonts w:ascii="Times New Roman"/>
                <w:sz w:val="10"/>
              </w:rPr>
            </w:pPr>
          </w:p>
        </w:tc>
        <w:tc>
          <w:tcPr>
            <w:tcW w:w="4836" w:type="dxa"/>
          </w:tcPr>
          <w:p>
            <w:pPr>
              <w:pStyle w:val="TableParagraph"/>
              <w:spacing w:line="120" w:lineRule="exact"/>
              <w:ind w:left="214"/>
              <w:rPr>
                <w:sz w:val="13"/>
              </w:rPr>
            </w:pPr>
            <w:r>
              <w:rPr>
                <w:sz w:val="13"/>
              </w:rPr>
              <w:t>Non-capital</w:t>
            </w:r>
            <w:r>
              <w:rPr>
                <w:spacing w:val="10"/>
                <w:sz w:val="13"/>
              </w:rPr>
              <w:t> </w:t>
            </w:r>
            <w:r>
              <w:rPr>
                <w:sz w:val="13"/>
              </w:rPr>
              <w:t>equipment</w:t>
            </w:r>
            <w:r>
              <w:rPr>
                <w:spacing w:val="9"/>
                <w:sz w:val="13"/>
              </w:rPr>
              <w:t> </w:t>
            </w:r>
            <w:r>
              <w:rPr>
                <w:spacing w:val="-2"/>
                <w:sz w:val="13"/>
              </w:rPr>
              <w:t>purchases</w:t>
            </w:r>
          </w:p>
        </w:tc>
        <w:tc>
          <w:tcPr>
            <w:tcW w:w="1036" w:type="dxa"/>
          </w:tcPr>
          <w:p>
            <w:pPr>
              <w:pStyle w:val="TableParagraph"/>
              <w:spacing w:line="120" w:lineRule="exact"/>
              <w:ind w:right="199"/>
              <w:jc w:val="right"/>
              <w:rPr>
                <w:sz w:val="13"/>
              </w:rPr>
            </w:pPr>
            <w:r>
              <w:rPr>
                <w:spacing w:val="-2"/>
                <w:sz w:val="13"/>
              </w:rPr>
              <w:t>5,511</w:t>
            </w:r>
          </w:p>
        </w:tc>
        <w:tc>
          <w:tcPr>
            <w:tcW w:w="884" w:type="dxa"/>
          </w:tcPr>
          <w:p>
            <w:pPr>
              <w:pStyle w:val="TableParagraph"/>
              <w:spacing w:line="120" w:lineRule="exact"/>
              <w:ind w:right="181"/>
              <w:jc w:val="right"/>
              <w:rPr>
                <w:sz w:val="13"/>
              </w:rPr>
            </w:pPr>
            <w:r>
              <w:rPr>
                <w:spacing w:val="-2"/>
                <w:sz w:val="13"/>
              </w:rPr>
              <w:t>9,972</w:t>
            </w:r>
          </w:p>
        </w:tc>
        <w:tc>
          <w:tcPr>
            <w:tcW w:w="920" w:type="dxa"/>
          </w:tcPr>
          <w:p>
            <w:pPr>
              <w:pStyle w:val="TableParagraph"/>
              <w:spacing w:line="120" w:lineRule="exact"/>
              <w:ind w:right="198"/>
              <w:jc w:val="right"/>
              <w:rPr>
                <w:sz w:val="13"/>
              </w:rPr>
            </w:pPr>
            <w:r>
              <w:rPr>
                <w:spacing w:val="-2"/>
                <w:sz w:val="13"/>
              </w:rPr>
              <w:t>5,447</w:t>
            </w:r>
          </w:p>
        </w:tc>
        <w:tc>
          <w:tcPr>
            <w:tcW w:w="770" w:type="dxa"/>
          </w:tcPr>
          <w:p>
            <w:pPr>
              <w:pStyle w:val="TableParagraph"/>
              <w:spacing w:line="120" w:lineRule="exact"/>
              <w:ind w:right="66"/>
              <w:jc w:val="right"/>
              <w:rPr>
                <w:sz w:val="13"/>
              </w:rPr>
            </w:pPr>
            <w:r>
              <w:rPr>
                <w:spacing w:val="-2"/>
                <w:sz w:val="13"/>
              </w:rPr>
              <w:t>9,863</w:t>
            </w:r>
          </w:p>
        </w:tc>
      </w:tr>
      <w:tr>
        <w:trPr>
          <w:trHeight w:val="163" w:hRule="atLeast"/>
        </w:trPr>
        <w:tc>
          <w:tcPr>
            <w:tcW w:w="418" w:type="dxa"/>
          </w:tcPr>
          <w:p>
            <w:pPr>
              <w:pStyle w:val="TableParagraph"/>
              <w:rPr>
                <w:rFonts w:ascii="Times New Roman"/>
                <w:sz w:val="10"/>
              </w:rPr>
            </w:pPr>
          </w:p>
        </w:tc>
        <w:tc>
          <w:tcPr>
            <w:tcW w:w="4836" w:type="dxa"/>
          </w:tcPr>
          <w:p>
            <w:pPr>
              <w:pStyle w:val="TableParagraph"/>
              <w:spacing w:line="120" w:lineRule="exact"/>
              <w:ind w:left="215"/>
              <w:rPr>
                <w:sz w:val="13"/>
              </w:rPr>
            </w:pPr>
            <w:r>
              <w:rPr>
                <w:sz w:val="13"/>
              </w:rPr>
              <w:t>Performance</w:t>
            </w:r>
            <w:r>
              <w:rPr>
                <w:spacing w:val="10"/>
                <w:sz w:val="13"/>
              </w:rPr>
              <w:t> </w:t>
            </w:r>
            <w:r>
              <w:rPr>
                <w:sz w:val="13"/>
              </w:rPr>
              <w:t>and</w:t>
            </w:r>
            <w:r>
              <w:rPr>
                <w:spacing w:val="10"/>
                <w:sz w:val="13"/>
              </w:rPr>
              <w:t> </w:t>
            </w:r>
            <w:r>
              <w:rPr>
                <w:sz w:val="13"/>
              </w:rPr>
              <w:t>production</w:t>
            </w:r>
            <w:r>
              <w:rPr>
                <w:spacing w:val="10"/>
                <w:sz w:val="13"/>
              </w:rPr>
              <w:t> </w:t>
            </w:r>
            <w:r>
              <w:rPr>
                <w:spacing w:val="-4"/>
                <w:sz w:val="13"/>
              </w:rPr>
              <w:t>costs</w:t>
            </w:r>
          </w:p>
        </w:tc>
        <w:tc>
          <w:tcPr>
            <w:tcW w:w="1036" w:type="dxa"/>
          </w:tcPr>
          <w:p>
            <w:pPr>
              <w:pStyle w:val="TableParagraph"/>
              <w:spacing w:line="120" w:lineRule="exact"/>
              <w:ind w:right="199"/>
              <w:jc w:val="right"/>
              <w:rPr>
                <w:sz w:val="13"/>
              </w:rPr>
            </w:pPr>
            <w:r>
              <w:rPr>
                <w:spacing w:val="-2"/>
                <w:sz w:val="13"/>
              </w:rPr>
              <w:t>10,303</w:t>
            </w:r>
          </w:p>
        </w:tc>
        <w:tc>
          <w:tcPr>
            <w:tcW w:w="884" w:type="dxa"/>
          </w:tcPr>
          <w:p>
            <w:pPr>
              <w:pStyle w:val="TableParagraph"/>
              <w:spacing w:line="120" w:lineRule="exact"/>
              <w:ind w:right="181"/>
              <w:jc w:val="right"/>
              <w:rPr>
                <w:sz w:val="13"/>
              </w:rPr>
            </w:pPr>
            <w:r>
              <w:rPr>
                <w:spacing w:val="-2"/>
                <w:sz w:val="13"/>
              </w:rPr>
              <w:t>9,872</w:t>
            </w:r>
          </w:p>
        </w:tc>
        <w:tc>
          <w:tcPr>
            <w:tcW w:w="920" w:type="dxa"/>
          </w:tcPr>
          <w:p>
            <w:pPr>
              <w:pStyle w:val="TableParagraph"/>
              <w:spacing w:line="122" w:lineRule="exact"/>
              <w:ind w:right="154"/>
              <w:jc w:val="right"/>
              <w:rPr>
                <w:sz w:val="13"/>
              </w:rPr>
            </w:pPr>
            <w:r>
              <w:rPr>
                <w:spacing w:val="-10"/>
                <w:sz w:val="13"/>
              </w:rPr>
              <w:t>-</w:t>
            </w:r>
          </w:p>
        </w:tc>
        <w:tc>
          <w:tcPr>
            <w:tcW w:w="770" w:type="dxa"/>
          </w:tcPr>
          <w:p>
            <w:pPr>
              <w:pStyle w:val="TableParagraph"/>
              <w:spacing w:line="120" w:lineRule="exact"/>
              <w:ind w:right="58"/>
              <w:jc w:val="right"/>
              <w:rPr>
                <w:sz w:val="13"/>
              </w:rPr>
            </w:pPr>
            <w:r>
              <w:rPr>
                <w:spacing w:val="-10"/>
                <w:sz w:val="13"/>
              </w:rPr>
              <w:t>-</w:t>
            </w:r>
          </w:p>
        </w:tc>
      </w:tr>
      <w:tr>
        <w:trPr>
          <w:trHeight w:val="160" w:hRule="atLeast"/>
        </w:trPr>
        <w:tc>
          <w:tcPr>
            <w:tcW w:w="418" w:type="dxa"/>
          </w:tcPr>
          <w:p>
            <w:pPr>
              <w:pStyle w:val="TableParagraph"/>
              <w:rPr>
                <w:rFonts w:ascii="Times New Roman"/>
                <w:sz w:val="10"/>
              </w:rPr>
            </w:pPr>
          </w:p>
        </w:tc>
        <w:tc>
          <w:tcPr>
            <w:tcW w:w="4836" w:type="dxa"/>
          </w:tcPr>
          <w:p>
            <w:pPr>
              <w:pStyle w:val="TableParagraph"/>
              <w:spacing w:line="119" w:lineRule="exact"/>
              <w:ind w:left="215"/>
              <w:rPr>
                <w:sz w:val="13"/>
              </w:rPr>
            </w:pPr>
            <w:r>
              <w:rPr>
                <w:spacing w:val="-2"/>
                <w:sz w:val="13"/>
              </w:rPr>
              <w:t>Insurance</w:t>
            </w:r>
          </w:p>
        </w:tc>
        <w:tc>
          <w:tcPr>
            <w:tcW w:w="1036" w:type="dxa"/>
          </w:tcPr>
          <w:p>
            <w:pPr>
              <w:pStyle w:val="TableParagraph"/>
              <w:spacing w:line="119" w:lineRule="exact"/>
              <w:ind w:right="199"/>
              <w:jc w:val="right"/>
              <w:rPr>
                <w:sz w:val="13"/>
              </w:rPr>
            </w:pPr>
            <w:r>
              <w:rPr>
                <w:spacing w:val="-2"/>
                <w:sz w:val="13"/>
              </w:rPr>
              <w:t>5,192</w:t>
            </w:r>
          </w:p>
        </w:tc>
        <w:tc>
          <w:tcPr>
            <w:tcW w:w="884" w:type="dxa"/>
          </w:tcPr>
          <w:p>
            <w:pPr>
              <w:pStyle w:val="TableParagraph"/>
              <w:spacing w:line="119" w:lineRule="exact"/>
              <w:ind w:right="181"/>
              <w:jc w:val="right"/>
              <w:rPr>
                <w:sz w:val="13"/>
              </w:rPr>
            </w:pPr>
            <w:r>
              <w:rPr>
                <w:spacing w:val="-2"/>
                <w:sz w:val="13"/>
              </w:rPr>
              <w:t>3,967</w:t>
            </w:r>
          </w:p>
        </w:tc>
        <w:tc>
          <w:tcPr>
            <w:tcW w:w="920" w:type="dxa"/>
          </w:tcPr>
          <w:p>
            <w:pPr>
              <w:pStyle w:val="TableParagraph"/>
              <w:spacing w:line="119" w:lineRule="exact"/>
              <w:ind w:right="198"/>
              <w:jc w:val="right"/>
              <w:rPr>
                <w:sz w:val="13"/>
              </w:rPr>
            </w:pPr>
            <w:r>
              <w:rPr>
                <w:spacing w:val="-2"/>
                <w:sz w:val="13"/>
              </w:rPr>
              <w:t>5,230</w:t>
            </w:r>
          </w:p>
        </w:tc>
        <w:tc>
          <w:tcPr>
            <w:tcW w:w="770" w:type="dxa"/>
          </w:tcPr>
          <w:p>
            <w:pPr>
              <w:pStyle w:val="TableParagraph"/>
              <w:spacing w:line="119" w:lineRule="exact"/>
              <w:ind w:right="66"/>
              <w:jc w:val="right"/>
              <w:rPr>
                <w:sz w:val="13"/>
              </w:rPr>
            </w:pPr>
            <w:r>
              <w:rPr>
                <w:spacing w:val="-2"/>
                <w:sz w:val="13"/>
              </w:rPr>
              <w:t>3,992</w:t>
            </w:r>
          </w:p>
        </w:tc>
      </w:tr>
      <w:tr>
        <w:trPr>
          <w:trHeight w:val="161" w:hRule="atLeast"/>
        </w:trPr>
        <w:tc>
          <w:tcPr>
            <w:tcW w:w="418" w:type="dxa"/>
          </w:tcPr>
          <w:p>
            <w:pPr>
              <w:pStyle w:val="TableParagraph"/>
              <w:rPr>
                <w:rFonts w:ascii="Times New Roman"/>
                <w:sz w:val="10"/>
              </w:rPr>
            </w:pPr>
          </w:p>
        </w:tc>
        <w:tc>
          <w:tcPr>
            <w:tcW w:w="4836" w:type="dxa"/>
          </w:tcPr>
          <w:p>
            <w:pPr>
              <w:pStyle w:val="TableParagraph"/>
              <w:spacing w:line="120" w:lineRule="exact"/>
              <w:ind w:left="215"/>
              <w:rPr>
                <w:sz w:val="13"/>
              </w:rPr>
            </w:pPr>
            <w:r>
              <w:rPr>
                <w:sz w:val="13"/>
              </w:rPr>
              <w:t>Advertising,</w:t>
            </w:r>
            <w:r>
              <w:rPr>
                <w:spacing w:val="7"/>
                <w:sz w:val="13"/>
              </w:rPr>
              <w:t> </w:t>
            </w:r>
            <w:r>
              <w:rPr>
                <w:sz w:val="13"/>
              </w:rPr>
              <w:t>marketing</w:t>
            </w:r>
            <w:r>
              <w:rPr>
                <w:spacing w:val="9"/>
                <w:sz w:val="13"/>
              </w:rPr>
              <w:t> </w:t>
            </w:r>
            <w:r>
              <w:rPr>
                <w:sz w:val="13"/>
              </w:rPr>
              <w:t>and</w:t>
            </w:r>
            <w:r>
              <w:rPr>
                <w:spacing w:val="10"/>
                <w:sz w:val="13"/>
              </w:rPr>
              <w:t> </w:t>
            </w:r>
            <w:r>
              <w:rPr>
                <w:sz w:val="13"/>
              </w:rPr>
              <w:t>promotional</w:t>
            </w:r>
            <w:r>
              <w:rPr>
                <w:spacing w:val="8"/>
                <w:sz w:val="13"/>
              </w:rPr>
              <w:t> </w:t>
            </w:r>
            <w:r>
              <w:rPr>
                <w:spacing w:val="-2"/>
                <w:sz w:val="13"/>
              </w:rPr>
              <w:t>expenses</w:t>
            </w:r>
          </w:p>
        </w:tc>
        <w:tc>
          <w:tcPr>
            <w:tcW w:w="1036" w:type="dxa"/>
          </w:tcPr>
          <w:p>
            <w:pPr>
              <w:pStyle w:val="TableParagraph"/>
              <w:spacing w:line="120" w:lineRule="exact"/>
              <w:ind w:right="199"/>
              <w:jc w:val="right"/>
              <w:rPr>
                <w:sz w:val="13"/>
              </w:rPr>
            </w:pPr>
            <w:r>
              <w:rPr>
                <w:spacing w:val="-2"/>
                <w:sz w:val="13"/>
              </w:rPr>
              <w:t>5,079</w:t>
            </w:r>
          </w:p>
        </w:tc>
        <w:tc>
          <w:tcPr>
            <w:tcW w:w="884" w:type="dxa"/>
          </w:tcPr>
          <w:p>
            <w:pPr>
              <w:pStyle w:val="TableParagraph"/>
              <w:spacing w:line="120" w:lineRule="exact"/>
              <w:ind w:right="181"/>
              <w:jc w:val="right"/>
              <w:rPr>
                <w:sz w:val="13"/>
              </w:rPr>
            </w:pPr>
            <w:r>
              <w:rPr>
                <w:spacing w:val="-2"/>
                <w:sz w:val="13"/>
              </w:rPr>
              <w:t>7,689</w:t>
            </w:r>
          </w:p>
        </w:tc>
        <w:tc>
          <w:tcPr>
            <w:tcW w:w="920" w:type="dxa"/>
          </w:tcPr>
          <w:p>
            <w:pPr>
              <w:pStyle w:val="TableParagraph"/>
              <w:spacing w:line="120" w:lineRule="exact"/>
              <w:ind w:right="198"/>
              <w:jc w:val="right"/>
              <w:rPr>
                <w:sz w:val="13"/>
              </w:rPr>
            </w:pPr>
            <w:r>
              <w:rPr>
                <w:spacing w:val="-2"/>
                <w:sz w:val="13"/>
              </w:rPr>
              <w:t>3,942</w:t>
            </w:r>
          </w:p>
        </w:tc>
        <w:tc>
          <w:tcPr>
            <w:tcW w:w="770" w:type="dxa"/>
          </w:tcPr>
          <w:p>
            <w:pPr>
              <w:pStyle w:val="TableParagraph"/>
              <w:spacing w:line="120" w:lineRule="exact"/>
              <w:ind w:right="66"/>
              <w:jc w:val="right"/>
              <w:rPr>
                <w:sz w:val="13"/>
              </w:rPr>
            </w:pPr>
            <w:r>
              <w:rPr>
                <w:spacing w:val="-2"/>
                <w:sz w:val="13"/>
              </w:rPr>
              <w:t>6,323</w:t>
            </w:r>
          </w:p>
        </w:tc>
      </w:tr>
      <w:tr>
        <w:trPr>
          <w:trHeight w:val="161" w:hRule="atLeast"/>
        </w:trPr>
        <w:tc>
          <w:tcPr>
            <w:tcW w:w="418" w:type="dxa"/>
          </w:tcPr>
          <w:p>
            <w:pPr>
              <w:pStyle w:val="TableParagraph"/>
              <w:rPr>
                <w:rFonts w:ascii="Times New Roman"/>
                <w:sz w:val="10"/>
              </w:rPr>
            </w:pPr>
          </w:p>
        </w:tc>
        <w:tc>
          <w:tcPr>
            <w:tcW w:w="4836" w:type="dxa"/>
          </w:tcPr>
          <w:p>
            <w:pPr>
              <w:pStyle w:val="TableParagraph"/>
              <w:spacing w:line="120" w:lineRule="exact"/>
              <w:ind w:left="215"/>
              <w:rPr>
                <w:sz w:val="13"/>
              </w:rPr>
            </w:pPr>
            <w:r>
              <w:rPr>
                <w:sz w:val="13"/>
              </w:rPr>
              <w:t>Conference</w:t>
            </w:r>
            <w:r>
              <w:rPr>
                <w:spacing w:val="9"/>
                <w:sz w:val="13"/>
              </w:rPr>
              <w:t> </w:t>
            </w:r>
            <w:r>
              <w:rPr>
                <w:sz w:val="13"/>
              </w:rPr>
              <w:t>and</w:t>
            </w:r>
            <w:r>
              <w:rPr>
                <w:spacing w:val="10"/>
                <w:sz w:val="13"/>
              </w:rPr>
              <w:t> </w:t>
            </w:r>
            <w:r>
              <w:rPr>
                <w:sz w:val="13"/>
              </w:rPr>
              <w:t>course</w:t>
            </w:r>
            <w:r>
              <w:rPr>
                <w:spacing w:val="10"/>
                <w:sz w:val="13"/>
              </w:rPr>
              <w:t> </w:t>
            </w:r>
            <w:r>
              <w:rPr>
                <w:spacing w:val="-4"/>
                <w:sz w:val="13"/>
              </w:rPr>
              <w:t>fees</w:t>
            </w:r>
          </w:p>
        </w:tc>
        <w:tc>
          <w:tcPr>
            <w:tcW w:w="1036" w:type="dxa"/>
          </w:tcPr>
          <w:p>
            <w:pPr>
              <w:pStyle w:val="TableParagraph"/>
              <w:spacing w:line="120" w:lineRule="exact"/>
              <w:ind w:right="199"/>
              <w:jc w:val="right"/>
              <w:rPr>
                <w:sz w:val="13"/>
              </w:rPr>
            </w:pPr>
            <w:r>
              <w:rPr>
                <w:spacing w:val="-5"/>
                <w:sz w:val="13"/>
              </w:rPr>
              <w:t>841</w:t>
            </w:r>
          </w:p>
        </w:tc>
        <w:tc>
          <w:tcPr>
            <w:tcW w:w="884" w:type="dxa"/>
          </w:tcPr>
          <w:p>
            <w:pPr>
              <w:pStyle w:val="TableParagraph"/>
              <w:spacing w:line="120" w:lineRule="exact"/>
              <w:ind w:right="181"/>
              <w:jc w:val="right"/>
              <w:rPr>
                <w:sz w:val="13"/>
              </w:rPr>
            </w:pPr>
            <w:r>
              <w:rPr>
                <w:spacing w:val="-2"/>
                <w:sz w:val="13"/>
              </w:rPr>
              <w:t>3,771</w:t>
            </w:r>
          </w:p>
        </w:tc>
        <w:tc>
          <w:tcPr>
            <w:tcW w:w="920" w:type="dxa"/>
          </w:tcPr>
          <w:p>
            <w:pPr>
              <w:pStyle w:val="TableParagraph"/>
              <w:spacing w:line="120" w:lineRule="exact"/>
              <w:ind w:right="198"/>
              <w:jc w:val="right"/>
              <w:rPr>
                <w:sz w:val="13"/>
              </w:rPr>
            </w:pPr>
            <w:r>
              <w:rPr>
                <w:spacing w:val="-5"/>
                <w:sz w:val="13"/>
              </w:rPr>
              <w:t>866</w:t>
            </w:r>
          </w:p>
        </w:tc>
        <w:tc>
          <w:tcPr>
            <w:tcW w:w="770" w:type="dxa"/>
          </w:tcPr>
          <w:p>
            <w:pPr>
              <w:pStyle w:val="TableParagraph"/>
              <w:spacing w:line="120" w:lineRule="exact"/>
              <w:ind w:right="66"/>
              <w:jc w:val="right"/>
              <w:rPr>
                <w:sz w:val="13"/>
              </w:rPr>
            </w:pPr>
            <w:r>
              <w:rPr>
                <w:spacing w:val="-2"/>
                <w:sz w:val="13"/>
              </w:rPr>
              <w:t>3,738</w:t>
            </w:r>
          </w:p>
        </w:tc>
      </w:tr>
      <w:tr>
        <w:trPr>
          <w:trHeight w:val="161" w:hRule="atLeast"/>
        </w:trPr>
        <w:tc>
          <w:tcPr>
            <w:tcW w:w="418" w:type="dxa"/>
          </w:tcPr>
          <w:p>
            <w:pPr>
              <w:pStyle w:val="TableParagraph"/>
              <w:rPr>
                <w:rFonts w:ascii="Times New Roman"/>
                <w:sz w:val="10"/>
              </w:rPr>
            </w:pPr>
          </w:p>
        </w:tc>
        <w:tc>
          <w:tcPr>
            <w:tcW w:w="4836" w:type="dxa"/>
          </w:tcPr>
          <w:p>
            <w:pPr>
              <w:pStyle w:val="TableParagraph"/>
              <w:spacing w:line="120" w:lineRule="exact"/>
              <w:ind w:left="215"/>
              <w:rPr>
                <w:sz w:val="13"/>
              </w:rPr>
            </w:pPr>
            <w:r>
              <w:rPr>
                <w:sz w:val="13"/>
              </w:rPr>
              <w:t>Rental,</w:t>
            </w:r>
            <w:r>
              <w:rPr>
                <w:spacing w:val="3"/>
                <w:sz w:val="13"/>
              </w:rPr>
              <w:t> </w:t>
            </w:r>
            <w:r>
              <w:rPr>
                <w:sz w:val="13"/>
              </w:rPr>
              <w:t>hire</w:t>
            </w:r>
            <w:r>
              <w:rPr>
                <w:spacing w:val="5"/>
                <w:sz w:val="13"/>
              </w:rPr>
              <w:t> </w:t>
            </w:r>
            <w:r>
              <w:rPr>
                <w:sz w:val="13"/>
              </w:rPr>
              <w:t>and</w:t>
            </w:r>
            <w:r>
              <w:rPr>
                <w:spacing w:val="5"/>
                <w:sz w:val="13"/>
              </w:rPr>
              <w:t> </w:t>
            </w:r>
            <w:r>
              <w:rPr>
                <w:sz w:val="13"/>
              </w:rPr>
              <w:t>leasing</w:t>
            </w:r>
            <w:r>
              <w:rPr>
                <w:spacing w:val="6"/>
                <w:sz w:val="13"/>
              </w:rPr>
              <w:t> </w:t>
            </w:r>
            <w:r>
              <w:rPr>
                <w:spacing w:val="-4"/>
                <w:sz w:val="13"/>
              </w:rPr>
              <w:t>fees</w:t>
            </w:r>
          </w:p>
        </w:tc>
        <w:tc>
          <w:tcPr>
            <w:tcW w:w="1036" w:type="dxa"/>
          </w:tcPr>
          <w:p>
            <w:pPr>
              <w:pStyle w:val="TableParagraph"/>
              <w:spacing w:line="120" w:lineRule="exact"/>
              <w:ind w:right="199"/>
              <w:jc w:val="right"/>
              <w:rPr>
                <w:sz w:val="13"/>
              </w:rPr>
            </w:pPr>
            <w:r>
              <w:rPr>
                <w:spacing w:val="-2"/>
                <w:sz w:val="13"/>
              </w:rPr>
              <w:t>2,893</w:t>
            </w:r>
          </w:p>
        </w:tc>
        <w:tc>
          <w:tcPr>
            <w:tcW w:w="884" w:type="dxa"/>
          </w:tcPr>
          <w:p>
            <w:pPr>
              <w:pStyle w:val="TableParagraph"/>
              <w:spacing w:line="120" w:lineRule="exact"/>
              <w:ind w:right="181"/>
              <w:jc w:val="right"/>
              <w:rPr>
                <w:sz w:val="13"/>
              </w:rPr>
            </w:pPr>
            <w:r>
              <w:rPr>
                <w:spacing w:val="-2"/>
                <w:sz w:val="13"/>
              </w:rPr>
              <w:t>4,204</w:t>
            </w:r>
          </w:p>
        </w:tc>
        <w:tc>
          <w:tcPr>
            <w:tcW w:w="920" w:type="dxa"/>
          </w:tcPr>
          <w:p>
            <w:pPr>
              <w:pStyle w:val="TableParagraph"/>
              <w:spacing w:line="120" w:lineRule="exact"/>
              <w:ind w:right="198"/>
              <w:jc w:val="right"/>
              <w:rPr>
                <w:sz w:val="13"/>
              </w:rPr>
            </w:pPr>
            <w:r>
              <w:rPr>
                <w:spacing w:val="-2"/>
                <w:sz w:val="13"/>
              </w:rPr>
              <w:t>3,074</w:t>
            </w:r>
          </w:p>
        </w:tc>
        <w:tc>
          <w:tcPr>
            <w:tcW w:w="770" w:type="dxa"/>
          </w:tcPr>
          <w:p>
            <w:pPr>
              <w:pStyle w:val="TableParagraph"/>
              <w:spacing w:line="120" w:lineRule="exact"/>
              <w:ind w:right="66"/>
              <w:jc w:val="right"/>
              <w:rPr>
                <w:sz w:val="13"/>
              </w:rPr>
            </w:pPr>
            <w:r>
              <w:rPr>
                <w:spacing w:val="-2"/>
                <w:sz w:val="13"/>
              </w:rPr>
              <w:t>4,450</w:t>
            </w:r>
          </w:p>
        </w:tc>
      </w:tr>
      <w:tr>
        <w:trPr>
          <w:trHeight w:val="161" w:hRule="atLeast"/>
        </w:trPr>
        <w:tc>
          <w:tcPr>
            <w:tcW w:w="418" w:type="dxa"/>
          </w:tcPr>
          <w:p>
            <w:pPr>
              <w:pStyle w:val="TableParagraph"/>
              <w:rPr>
                <w:rFonts w:ascii="Times New Roman"/>
                <w:sz w:val="10"/>
              </w:rPr>
            </w:pPr>
          </w:p>
        </w:tc>
        <w:tc>
          <w:tcPr>
            <w:tcW w:w="4836" w:type="dxa"/>
          </w:tcPr>
          <w:p>
            <w:pPr>
              <w:pStyle w:val="TableParagraph"/>
              <w:spacing w:line="120" w:lineRule="exact"/>
              <w:ind w:left="215"/>
              <w:rPr>
                <w:sz w:val="13"/>
              </w:rPr>
            </w:pPr>
            <w:r>
              <w:rPr>
                <w:sz w:val="13"/>
              </w:rPr>
              <w:t>Cleaning</w:t>
            </w:r>
            <w:r>
              <w:rPr>
                <w:spacing w:val="6"/>
                <w:sz w:val="13"/>
              </w:rPr>
              <w:t> </w:t>
            </w:r>
            <w:r>
              <w:rPr>
                <w:sz w:val="13"/>
              </w:rPr>
              <w:t>and</w:t>
            </w:r>
            <w:r>
              <w:rPr>
                <w:spacing w:val="6"/>
                <w:sz w:val="13"/>
              </w:rPr>
              <w:t> </w:t>
            </w:r>
            <w:r>
              <w:rPr>
                <w:sz w:val="13"/>
              </w:rPr>
              <w:t>waste</w:t>
            </w:r>
            <w:r>
              <w:rPr>
                <w:spacing w:val="7"/>
                <w:sz w:val="13"/>
              </w:rPr>
              <w:t> </w:t>
            </w:r>
            <w:r>
              <w:rPr>
                <w:spacing w:val="-2"/>
                <w:sz w:val="13"/>
              </w:rPr>
              <w:t>disposal</w:t>
            </w:r>
          </w:p>
        </w:tc>
        <w:tc>
          <w:tcPr>
            <w:tcW w:w="1036" w:type="dxa"/>
          </w:tcPr>
          <w:p>
            <w:pPr>
              <w:pStyle w:val="TableParagraph"/>
              <w:spacing w:line="120" w:lineRule="exact"/>
              <w:ind w:right="199"/>
              <w:jc w:val="right"/>
              <w:rPr>
                <w:sz w:val="13"/>
              </w:rPr>
            </w:pPr>
            <w:r>
              <w:rPr>
                <w:spacing w:val="-2"/>
                <w:sz w:val="13"/>
              </w:rPr>
              <w:t>6,276</w:t>
            </w:r>
          </w:p>
        </w:tc>
        <w:tc>
          <w:tcPr>
            <w:tcW w:w="884" w:type="dxa"/>
          </w:tcPr>
          <w:p>
            <w:pPr>
              <w:pStyle w:val="TableParagraph"/>
              <w:spacing w:line="120" w:lineRule="exact"/>
              <w:ind w:right="180"/>
              <w:jc w:val="right"/>
              <w:rPr>
                <w:sz w:val="13"/>
              </w:rPr>
            </w:pPr>
            <w:r>
              <w:rPr>
                <w:spacing w:val="-2"/>
                <w:sz w:val="13"/>
              </w:rPr>
              <w:t>7,127</w:t>
            </w:r>
          </w:p>
        </w:tc>
        <w:tc>
          <w:tcPr>
            <w:tcW w:w="920" w:type="dxa"/>
          </w:tcPr>
          <w:p>
            <w:pPr>
              <w:pStyle w:val="TableParagraph"/>
              <w:spacing w:line="120" w:lineRule="exact"/>
              <w:ind w:right="198"/>
              <w:jc w:val="right"/>
              <w:rPr>
                <w:sz w:val="13"/>
              </w:rPr>
            </w:pPr>
            <w:r>
              <w:rPr>
                <w:spacing w:val="-2"/>
                <w:sz w:val="13"/>
              </w:rPr>
              <w:t>6,025</w:t>
            </w:r>
          </w:p>
        </w:tc>
        <w:tc>
          <w:tcPr>
            <w:tcW w:w="770" w:type="dxa"/>
          </w:tcPr>
          <w:p>
            <w:pPr>
              <w:pStyle w:val="TableParagraph"/>
              <w:spacing w:line="120" w:lineRule="exact"/>
              <w:ind w:right="65"/>
              <w:jc w:val="right"/>
              <w:rPr>
                <w:sz w:val="13"/>
              </w:rPr>
            </w:pPr>
            <w:r>
              <w:rPr>
                <w:spacing w:val="-2"/>
                <w:sz w:val="13"/>
              </w:rPr>
              <w:t>6,835</w:t>
            </w:r>
          </w:p>
        </w:tc>
      </w:tr>
      <w:tr>
        <w:trPr>
          <w:trHeight w:val="161" w:hRule="atLeast"/>
        </w:trPr>
        <w:tc>
          <w:tcPr>
            <w:tcW w:w="418" w:type="dxa"/>
          </w:tcPr>
          <w:p>
            <w:pPr>
              <w:pStyle w:val="TableParagraph"/>
              <w:rPr>
                <w:rFonts w:ascii="Times New Roman"/>
                <w:sz w:val="10"/>
              </w:rPr>
            </w:pPr>
          </w:p>
        </w:tc>
        <w:tc>
          <w:tcPr>
            <w:tcW w:w="4836" w:type="dxa"/>
          </w:tcPr>
          <w:p>
            <w:pPr>
              <w:pStyle w:val="TableParagraph"/>
              <w:spacing w:line="120" w:lineRule="exact"/>
              <w:ind w:left="215"/>
              <w:rPr>
                <w:sz w:val="13"/>
              </w:rPr>
            </w:pPr>
            <w:r>
              <w:rPr>
                <w:sz w:val="13"/>
              </w:rPr>
              <w:t>Intellectual</w:t>
            </w:r>
            <w:r>
              <w:rPr>
                <w:spacing w:val="4"/>
                <w:sz w:val="13"/>
              </w:rPr>
              <w:t> </w:t>
            </w:r>
            <w:r>
              <w:rPr>
                <w:sz w:val="13"/>
              </w:rPr>
              <w:t>property,</w:t>
            </w:r>
            <w:r>
              <w:rPr>
                <w:spacing w:val="3"/>
                <w:sz w:val="13"/>
              </w:rPr>
              <w:t> </w:t>
            </w:r>
            <w:r>
              <w:rPr>
                <w:sz w:val="13"/>
              </w:rPr>
              <w:t>royalties</w:t>
            </w:r>
            <w:r>
              <w:rPr>
                <w:spacing w:val="6"/>
                <w:sz w:val="13"/>
              </w:rPr>
              <w:t> </w:t>
            </w:r>
            <w:r>
              <w:rPr>
                <w:sz w:val="13"/>
              </w:rPr>
              <w:t>and</w:t>
            </w:r>
            <w:r>
              <w:rPr>
                <w:spacing w:val="5"/>
                <w:sz w:val="13"/>
              </w:rPr>
              <w:t> </w:t>
            </w:r>
            <w:r>
              <w:rPr>
                <w:spacing w:val="-2"/>
                <w:sz w:val="13"/>
              </w:rPr>
              <w:t>commissions</w:t>
            </w:r>
          </w:p>
        </w:tc>
        <w:tc>
          <w:tcPr>
            <w:tcW w:w="1036" w:type="dxa"/>
          </w:tcPr>
          <w:p>
            <w:pPr>
              <w:pStyle w:val="TableParagraph"/>
              <w:spacing w:line="120" w:lineRule="exact"/>
              <w:ind w:right="199"/>
              <w:jc w:val="right"/>
              <w:rPr>
                <w:sz w:val="13"/>
              </w:rPr>
            </w:pPr>
            <w:r>
              <w:rPr>
                <w:spacing w:val="-2"/>
                <w:sz w:val="13"/>
              </w:rPr>
              <w:t>11,868</w:t>
            </w:r>
          </w:p>
        </w:tc>
        <w:tc>
          <w:tcPr>
            <w:tcW w:w="884" w:type="dxa"/>
          </w:tcPr>
          <w:p>
            <w:pPr>
              <w:pStyle w:val="TableParagraph"/>
              <w:spacing w:line="120" w:lineRule="exact"/>
              <w:ind w:right="180"/>
              <w:jc w:val="right"/>
              <w:rPr>
                <w:sz w:val="13"/>
              </w:rPr>
            </w:pPr>
            <w:r>
              <w:rPr>
                <w:spacing w:val="-2"/>
                <w:sz w:val="13"/>
              </w:rPr>
              <w:t>13,072</w:t>
            </w:r>
          </w:p>
        </w:tc>
        <w:tc>
          <w:tcPr>
            <w:tcW w:w="920" w:type="dxa"/>
          </w:tcPr>
          <w:p>
            <w:pPr>
              <w:pStyle w:val="TableParagraph"/>
              <w:spacing w:line="120" w:lineRule="exact"/>
              <w:ind w:right="198"/>
              <w:jc w:val="right"/>
              <w:rPr>
                <w:sz w:val="13"/>
              </w:rPr>
            </w:pPr>
            <w:r>
              <w:rPr>
                <w:spacing w:val="-2"/>
                <w:sz w:val="13"/>
              </w:rPr>
              <w:t>11,868</w:t>
            </w:r>
          </w:p>
        </w:tc>
        <w:tc>
          <w:tcPr>
            <w:tcW w:w="770" w:type="dxa"/>
          </w:tcPr>
          <w:p>
            <w:pPr>
              <w:pStyle w:val="TableParagraph"/>
              <w:spacing w:line="120" w:lineRule="exact"/>
              <w:ind w:right="65"/>
              <w:jc w:val="right"/>
              <w:rPr>
                <w:sz w:val="13"/>
              </w:rPr>
            </w:pPr>
            <w:r>
              <w:rPr>
                <w:spacing w:val="-2"/>
                <w:sz w:val="13"/>
              </w:rPr>
              <w:t>13,072</w:t>
            </w:r>
          </w:p>
        </w:tc>
      </w:tr>
      <w:tr>
        <w:trPr>
          <w:trHeight w:val="163" w:hRule="atLeast"/>
        </w:trPr>
        <w:tc>
          <w:tcPr>
            <w:tcW w:w="418" w:type="dxa"/>
          </w:tcPr>
          <w:p>
            <w:pPr>
              <w:pStyle w:val="TableParagraph"/>
              <w:rPr>
                <w:rFonts w:ascii="Times New Roman"/>
                <w:sz w:val="10"/>
              </w:rPr>
            </w:pPr>
          </w:p>
        </w:tc>
        <w:tc>
          <w:tcPr>
            <w:tcW w:w="4836" w:type="dxa"/>
          </w:tcPr>
          <w:p>
            <w:pPr>
              <w:pStyle w:val="TableParagraph"/>
              <w:spacing w:line="120" w:lineRule="exact"/>
              <w:ind w:left="215"/>
              <w:rPr>
                <w:sz w:val="13"/>
              </w:rPr>
            </w:pPr>
            <w:r>
              <w:rPr>
                <w:sz w:val="13"/>
              </w:rPr>
              <w:t>Loss</w:t>
            </w:r>
            <w:r>
              <w:rPr>
                <w:spacing w:val="8"/>
                <w:sz w:val="13"/>
              </w:rPr>
              <w:t> </w:t>
            </w:r>
            <w:r>
              <w:rPr>
                <w:sz w:val="13"/>
              </w:rPr>
              <w:t>on</w:t>
            </w:r>
            <w:r>
              <w:rPr>
                <w:spacing w:val="7"/>
                <w:sz w:val="13"/>
              </w:rPr>
              <w:t> </w:t>
            </w:r>
            <w:r>
              <w:rPr>
                <w:sz w:val="13"/>
              </w:rPr>
              <w:t>disposal</w:t>
            </w:r>
            <w:r>
              <w:rPr>
                <w:spacing w:val="6"/>
                <w:sz w:val="13"/>
              </w:rPr>
              <w:t> </w:t>
            </w:r>
            <w:r>
              <w:rPr>
                <w:sz w:val="13"/>
              </w:rPr>
              <w:t>of</w:t>
            </w:r>
            <w:r>
              <w:rPr>
                <w:spacing w:val="8"/>
                <w:sz w:val="13"/>
              </w:rPr>
              <w:t> </w:t>
            </w:r>
            <w:r>
              <w:rPr>
                <w:sz w:val="13"/>
              </w:rPr>
              <w:t>discontinued</w:t>
            </w:r>
            <w:r>
              <w:rPr>
                <w:spacing w:val="7"/>
                <w:sz w:val="13"/>
              </w:rPr>
              <w:t> </w:t>
            </w:r>
            <w:r>
              <w:rPr>
                <w:spacing w:val="-2"/>
                <w:sz w:val="13"/>
              </w:rPr>
              <w:t>operations</w:t>
            </w:r>
          </w:p>
        </w:tc>
        <w:tc>
          <w:tcPr>
            <w:tcW w:w="1036" w:type="dxa"/>
          </w:tcPr>
          <w:p>
            <w:pPr>
              <w:pStyle w:val="TableParagraph"/>
              <w:spacing w:line="122" w:lineRule="exact"/>
              <w:ind w:right="154"/>
              <w:jc w:val="right"/>
              <w:rPr>
                <w:sz w:val="13"/>
              </w:rPr>
            </w:pPr>
            <w:r>
              <w:rPr>
                <w:spacing w:val="-10"/>
                <w:sz w:val="13"/>
              </w:rPr>
              <w:t>-</w:t>
            </w:r>
          </w:p>
        </w:tc>
        <w:tc>
          <w:tcPr>
            <w:tcW w:w="884" w:type="dxa"/>
          </w:tcPr>
          <w:p>
            <w:pPr>
              <w:pStyle w:val="TableParagraph"/>
              <w:spacing w:line="122" w:lineRule="exact"/>
              <w:ind w:right="172"/>
              <w:jc w:val="right"/>
              <w:rPr>
                <w:sz w:val="13"/>
              </w:rPr>
            </w:pPr>
            <w:r>
              <w:rPr>
                <w:spacing w:val="-10"/>
                <w:sz w:val="13"/>
              </w:rPr>
              <w:t>-</w:t>
            </w:r>
          </w:p>
        </w:tc>
        <w:tc>
          <w:tcPr>
            <w:tcW w:w="920" w:type="dxa"/>
          </w:tcPr>
          <w:p>
            <w:pPr>
              <w:pStyle w:val="TableParagraph"/>
              <w:spacing w:line="120" w:lineRule="exact"/>
              <w:ind w:right="153"/>
              <w:jc w:val="right"/>
              <w:rPr>
                <w:sz w:val="13"/>
              </w:rPr>
            </w:pPr>
            <w:r>
              <w:rPr>
                <w:spacing w:val="-10"/>
                <w:sz w:val="13"/>
              </w:rPr>
              <w:t>-</w:t>
            </w:r>
          </w:p>
        </w:tc>
        <w:tc>
          <w:tcPr>
            <w:tcW w:w="770" w:type="dxa"/>
          </w:tcPr>
          <w:p>
            <w:pPr>
              <w:pStyle w:val="TableParagraph"/>
              <w:spacing w:line="122" w:lineRule="exact"/>
              <w:ind w:right="65"/>
              <w:jc w:val="right"/>
              <w:rPr>
                <w:sz w:val="13"/>
              </w:rPr>
            </w:pPr>
            <w:r>
              <w:rPr>
                <w:spacing w:val="-2"/>
                <w:sz w:val="13"/>
              </w:rPr>
              <w:t>3,507</w:t>
            </w:r>
          </w:p>
        </w:tc>
      </w:tr>
      <w:tr>
        <w:trPr>
          <w:trHeight w:val="156" w:hRule="atLeast"/>
        </w:trPr>
        <w:tc>
          <w:tcPr>
            <w:tcW w:w="418" w:type="dxa"/>
          </w:tcPr>
          <w:p>
            <w:pPr>
              <w:pStyle w:val="TableParagraph"/>
              <w:rPr>
                <w:rFonts w:ascii="Times New Roman"/>
                <w:sz w:val="10"/>
              </w:rPr>
            </w:pPr>
          </w:p>
        </w:tc>
        <w:tc>
          <w:tcPr>
            <w:tcW w:w="4836" w:type="dxa"/>
          </w:tcPr>
          <w:p>
            <w:pPr>
              <w:pStyle w:val="TableParagraph"/>
              <w:spacing w:line="119" w:lineRule="exact"/>
              <w:ind w:left="215"/>
              <w:rPr>
                <w:sz w:val="13"/>
              </w:rPr>
            </w:pPr>
            <w:r>
              <w:rPr>
                <w:sz w:val="13"/>
              </w:rPr>
              <w:t>Other</w:t>
            </w:r>
            <w:r>
              <w:rPr>
                <w:spacing w:val="9"/>
                <w:sz w:val="13"/>
              </w:rPr>
              <w:t> </w:t>
            </w:r>
            <w:r>
              <w:rPr>
                <w:sz w:val="13"/>
              </w:rPr>
              <w:t>miscellaneous</w:t>
            </w:r>
            <w:r>
              <w:rPr>
                <w:spacing w:val="10"/>
                <w:sz w:val="13"/>
              </w:rPr>
              <w:t> </w:t>
            </w:r>
            <w:r>
              <w:rPr>
                <w:spacing w:val="-2"/>
                <w:sz w:val="13"/>
              </w:rPr>
              <w:t>expenses</w:t>
            </w:r>
          </w:p>
        </w:tc>
        <w:tc>
          <w:tcPr>
            <w:tcW w:w="1036" w:type="dxa"/>
            <w:tcBorders>
              <w:bottom w:val="single" w:sz="6" w:space="0" w:color="000000"/>
            </w:tcBorders>
          </w:tcPr>
          <w:p>
            <w:pPr>
              <w:pStyle w:val="TableParagraph"/>
              <w:spacing w:line="119" w:lineRule="exact"/>
              <w:ind w:right="199"/>
              <w:jc w:val="right"/>
              <w:rPr>
                <w:sz w:val="13"/>
              </w:rPr>
            </w:pPr>
            <w:r>
              <w:rPr>
                <w:spacing w:val="-2"/>
                <w:sz w:val="13"/>
              </w:rPr>
              <w:t>15,807</w:t>
            </w:r>
          </w:p>
        </w:tc>
        <w:tc>
          <w:tcPr>
            <w:tcW w:w="884" w:type="dxa"/>
            <w:tcBorders>
              <w:bottom w:val="single" w:sz="6" w:space="0" w:color="000000"/>
            </w:tcBorders>
          </w:tcPr>
          <w:p>
            <w:pPr>
              <w:pStyle w:val="TableParagraph"/>
              <w:spacing w:line="119" w:lineRule="exact"/>
              <w:ind w:right="180"/>
              <w:jc w:val="right"/>
              <w:rPr>
                <w:sz w:val="13"/>
              </w:rPr>
            </w:pPr>
            <w:r>
              <w:rPr>
                <w:spacing w:val="-2"/>
                <w:sz w:val="13"/>
              </w:rPr>
              <w:t>22,209</w:t>
            </w:r>
          </w:p>
        </w:tc>
        <w:tc>
          <w:tcPr>
            <w:tcW w:w="920" w:type="dxa"/>
            <w:tcBorders>
              <w:bottom w:val="single" w:sz="6" w:space="0" w:color="000000"/>
            </w:tcBorders>
          </w:tcPr>
          <w:p>
            <w:pPr>
              <w:pStyle w:val="TableParagraph"/>
              <w:spacing w:line="119" w:lineRule="exact"/>
              <w:ind w:right="198"/>
              <w:jc w:val="right"/>
              <w:rPr>
                <w:sz w:val="13"/>
              </w:rPr>
            </w:pPr>
            <w:r>
              <w:rPr>
                <w:spacing w:val="-2"/>
                <w:sz w:val="13"/>
              </w:rPr>
              <w:t>16,640</w:t>
            </w:r>
          </w:p>
        </w:tc>
        <w:tc>
          <w:tcPr>
            <w:tcW w:w="770" w:type="dxa"/>
            <w:tcBorders>
              <w:bottom w:val="single" w:sz="6" w:space="0" w:color="000000"/>
            </w:tcBorders>
          </w:tcPr>
          <w:p>
            <w:pPr>
              <w:pStyle w:val="TableParagraph"/>
              <w:spacing w:line="119" w:lineRule="exact"/>
              <w:ind w:right="65"/>
              <w:jc w:val="right"/>
              <w:rPr>
                <w:sz w:val="13"/>
              </w:rPr>
            </w:pPr>
            <w:r>
              <w:rPr>
                <w:spacing w:val="-2"/>
                <w:sz w:val="13"/>
              </w:rPr>
              <w:t>23,544</w:t>
            </w:r>
          </w:p>
        </w:tc>
      </w:tr>
      <w:tr>
        <w:trPr>
          <w:trHeight w:val="147" w:hRule="atLeast"/>
        </w:trPr>
        <w:tc>
          <w:tcPr>
            <w:tcW w:w="418" w:type="dxa"/>
          </w:tcPr>
          <w:p>
            <w:pPr>
              <w:pStyle w:val="TableParagraph"/>
              <w:rPr>
                <w:rFonts w:ascii="Times New Roman"/>
                <w:sz w:val="8"/>
              </w:rPr>
            </w:pPr>
          </w:p>
        </w:tc>
        <w:tc>
          <w:tcPr>
            <w:tcW w:w="4836" w:type="dxa"/>
          </w:tcPr>
          <w:p>
            <w:pPr>
              <w:pStyle w:val="TableParagraph"/>
              <w:spacing w:line="110" w:lineRule="exact"/>
              <w:ind w:left="214"/>
              <w:rPr>
                <w:b/>
                <w:sz w:val="13"/>
              </w:rPr>
            </w:pPr>
            <w:r>
              <w:rPr>
                <w:b/>
                <w:sz w:val="13"/>
              </w:rPr>
              <w:t>Total</w:t>
            </w:r>
            <w:r>
              <w:rPr>
                <w:b/>
                <w:spacing w:val="1"/>
                <w:sz w:val="13"/>
              </w:rPr>
              <w:t> </w:t>
            </w:r>
            <w:r>
              <w:rPr>
                <w:b/>
                <w:sz w:val="13"/>
              </w:rPr>
              <w:t>other</w:t>
            </w:r>
            <w:r>
              <w:rPr>
                <w:b/>
                <w:spacing w:val="2"/>
                <w:sz w:val="13"/>
              </w:rPr>
              <w:t> </w:t>
            </w:r>
            <w:r>
              <w:rPr>
                <w:b/>
                <w:spacing w:val="-2"/>
                <w:sz w:val="13"/>
              </w:rPr>
              <w:t>expenses</w:t>
            </w:r>
          </w:p>
        </w:tc>
        <w:tc>
          <w:tcPr>
            <w:tcW w:w="1036" w:type="dxa"/>
            <w:tcBorders>
              <w:top w:val="single" w:sz="6" w:space="0" w:color="000000"/>
              <w:bottom w:val="single" w:sz="6" w:space="0" w:color="000000"/>
            </w:tcBorders>
          </w:tcPr>
          <w:p>
            <w:pPr>
              <w:pStyle w:val="TableParagraph"/>
              <w:spacing w:line="110" w:lineRule="exact"/>
              <w:ind w:right="200"/>
              <w:jc w:val="right"/>
              <w:rPr>
                <w:b/>
                <w:sz w:val="13"/>
              </w:rPr>
            </w:pPr>
            <w:r>
              <w:rPr>
                <w:b/>
                <w:spacing w:val="-2"/>
                <w:sz w:val="13"/>
              </w:rPr>
              <w:t>108,475</w:t>
            </w:r>
          </w:p>
        </w:tc>
        <w:tc>
          <w:tcPr>
            <w:tcW w:w="884" w:type="dxa"/>
            <w:tcBorders>
              <w:top w:val="single" w:sz="6" w:space="0" w:color="000000"/>
              <w:bottom w:val="single" w:sz="6" w:space="0" w:color="000000"/>
            </w:tcBorders>
          </w:tcPr>
          <w:p>
            <w:pPr>
              <w:pStyle w:val="TableParagraph"/>
              <w:spacing w:line="110" w:lineRule="exact"/>
              <w:ind w:right="181"/>
              <w:jc w:val="right"/>
              <w:rPr>
                <w:b/>
                <w:sz w:val="13"/>
              </w:rPr>
            </w:pPr>
            <w:r>
              <w:rPr>
                <w:b/>
                <w:spacing w:val="-2"/>
                <w:sz w:val="13"/>
              </w:rPr>
              <w:t>128,024</w:t>
            </w:r>
          </w:p>
        </w:tc>
        <w:tc>
          <w:tcPr>
            <w:tcW w:w="920" w:type="dxa"/>
            <w:tcBorders>
              <w:top w:val="single" w:sz="6" w:space="0" w:color="000000"/>
              <w:bottom w:val="single" w:sz="6" w:space="0" w:color="000000"/>
            </w:tcBorders>
          </w:tcPr>
          <w:p>
            <w:pPr>
              <w:pStyle w:val="TableParagraph"/>
              <w:spacing w:line="110" w:lineRule="exact"/>
              <w:ind w:right="199"/>
              <w:jc w:val="right"/>
              <w:rPr>
                <w:b/>
                <w:sz w:val="13"/>
              </w:rPr>
            </w:pPr>
            <w:r>
              <w:rPr>
                <w:b/>
                <w:spacing w:val="-2"/>
                <w:sz w:val="13"/>
              </w:rPr>
              <w:t>97,202</w:t>
            </w:r>
          </w:p>
        </w:tc>
        <w:tc>
          <w:tcPr>
            <w:tcW w:w="770" w:type="dxa"/>
            <w:tcBorders>
              <w:top w:val="single" w:sz="6" w:space="0" w:color="000000"/>
              <w:bottom w:val="single" w:sz="6" w:space="0" w:color="000000"/>
            </w:tcBorders>
          </w:tcPr>
          <w:p>
            <w:pPr>
              <w:pStyle w:val="TableParagraph"/>
              <w:spacing w:line="110" w:lineRule="exact"/>
              <w:ind w:right="66"/>
              <w:jc w:val="right"/>
              <w:rPr>
                <w:b/>
                <w:sz w:val="13"/>
              </w:rPr>
            </w:pPr>
            <w:r>
              <w:rPr>
                <w:b/>
                <w:spacing w:val="-2"/>
                <w:sz w:val="13"/>
              </w:rPr>
              <w:t>121,170</w:t>
            </w:r>
          </w:p>
        </w:tc>
      </w:tr>
      <w:tr>
        <w:trPr>
          <w:trHeight w:val="108" w:hRule="atLeast"/>
        </w:trPr>
        <w:tc>
          <w:tcPr>
            <w:tcW w:w="418" w:type="dxa"/>
          </w:tcPr>
          <w:p>
            <w:pPr>
              <w:pStyle w:val="TableParagraph"/>
              <w:rPr>
                <w:rFonts w:ascii="Times New Roman"/>
                <w:sz w:val="4"/>
              </w:rPr>
            </w:pPr>
          </w:p>
        </w:tc>
        <w:tc>
          <w:tcPr>
            <w:tcW w:w="4836" w:type="dxa"/>
          </w:tcPr>
          <w:p>
            <w:pPr>
              <w:pStyle w:val="TableParagraph"/>
              <w:rPr>
                <w:rFonts w:ascii="Times New Roman"/>
                <w:sz w:val="4"/>
              </w:rPr>
            </w:pPr>
          </w:p>
        </w:tc>
        <w:tc>
          <w:tcPr>
            <w:tcW w:w="1036" w:type="dxa"/>
            <w:tcBorders>
              <w:top w:val="single" w:sz="6" w:space="0" w:color="000000"/>
              <w:bottom w:val="single" w:sz="6" w:space="0" w:color="000000"/>
            </w:tcBorders>
          </w:tcPr>
          <w:p>
            <w:pPr>
              <w:pStyle w:val="TableParagraph"/>
              <w:rPr>
                <w:rFonts w:ascii="Times New Roman"/>
                <w:sz w:val="4"/>
              </w:rPr>
            </w:pPr>
          </w:p>
        </w:tc>
        <w:tc>
          <w:tcPr>
            <w:tcW w:w="884" w:type="dxa"/>
            <w:tcBorders>
              <w:top w:val="single" w:sz="6" w:space="0" w:color="000000"/>
              <w:bottom w:val="single" w:sz="6" w:space="0" w:color="000000"/>
            </w:tcBorders>
          </w:tcPr>
          <w:p>
            <w:pPr>
              <w:pStyle w:val="TableParagraph"/>
              <w:rPr>
                <w:rFonts w:ascii="Times New Roman"/>
                <w:sz w:val="4"/>
              </w:rPr>
            </w:pPr>
          </w:p>
        </w:tc>
        <w:tc>
          <w:tcPr>
            <w:tcW w:w="920" w:type="dxa"/>
            <w:tcBorders>
              <w:top w:val="single" w:sz="6" w:space="0" w:color="000000"/>
              <w:bottom w:val="single" w:sz="6" w:space="0" w:color="000000"/>
            </w:tcBorders>
          </w:tcPr>
          <w:p>
            <w:pPr>
              <w:pStyle w:val="TableParagraph"/>
              <w:rPr>
                <w:rFonts w:ascii="Times New Roman"/>
                <w:sz w:val="4"/>
              </w:rPr>
            </w:pPr>
          </w:p>
        </w:tc>
        <w:tc>
          <w:tcPr>
            <w:tcW w:w="770" w:type="dxa"/>
            <w:tcBorders>
              <w:top w:val="single" w:sz="6" w:space="0" w:color="000000"/>
              <w:bottom w:val="single" w:sz="6" w:space="0" w:color="000000"/>
            </w:tcBorders>
          </w:tcPr>
          <w:p>
            <w:pPr>
              <w:pStyle w:val="TableParagraph"/>
              <w:rPr>
                <w:rFonts w:ascii="Times New Roman"/>
                <w:sz w:val="4"/>
              </w:rPr>
            </w:pPr>
          </w:p>
        </w:tc>
      </w:tr>
      <w:tr>
        <w:trPr>
          <w:trHeight w:val="147" w:hRule="atLeast"/>
        </w:trPr>
        <w:tc>
          <w:tcPr>
            <w:tcW w:w="418" w:type="dxa"/>
          </w:tcPr>
          <w:p>
            <w:pPr>
              <w:pStyle w:val="TableParagraph"/>
              <w:rPr>
                <w:rFonts w:ascii="Times New Roman"/>
                <w:sz w:val="8"/>
              </w:rPr>
            </w:pPr>
          </w:p>
        </w:tc>
        <w:tc>
          <w:tcPr>
            <w:tcW w:w="4836" w:type="dxa"/>
          </w:tcPr>
          <w:p>
            <w:pPr>
              <w:pStyle w:val="TableParagraph"/>
              <w:spacing w:line="110" w:lineRule="exact"/>
              <w:ind w:left="214"/>
              <w:rPr>
                <w:b/>
                <w:sz w:val="13"/>
              </w:rPr>
            </w:pPr>
            <w:r>
              <w:rPr>
                <w:b/>
                <w:sz w:val="13"/>
              </w:rPr>
              <w:t>Total</w:t>
            </w:r>
            <w:r>
              <w:rPr>
                <w:b/>
                <w:spacing w:val="3"/>
                <w:sz w:val="13"/>
              </w:rPr>
              <w:t> </w:t>
            </w:r>
            <w:r>
              <w:rPr>
                <w:b/>
                <w:sz w:val="13"/>
              </w:rPr>
              <w:t>non-employee</w:t>
            </w:r>
            <w:r>
              <w:rPr>
                <w:b/>
                <w:spacing w:val="6"/>
                <w:sz w:val="13"/>
              </w:rPr>
              <w:t> </w:t>
            </w:r>
            <w:r>
              <w:rPr>
                <w:b/>
                <w:sz w:val="13"/>
              </w:rPr>
              <w:t>related</w:t>
            </w:r>
            <w:r>
              <w:rPr>
                <w:b/>
                <w:spacing w:val="5"/>
                <w:sz w:val="13"/>
              </w:rPr>
              <w:t> </w:t>
            </w:r>
            <w:r>
              <w:rPr>
                <w:b/>
                <w:spacing w:val="-2"/>
                <w:sz w:val="13"/>
              </w:rPr>
              <w:t>expenses</w:t>
            </w:r>
          </w:p>
        </w:tc>
        <w:tc>
          <w:tcPr>
            <w:tcW w:w="1036" w:type="dxa"/>
            <w:tcBorders>
              <w:top w:val="single" w:sz="6" w:space="0" w:color="000000"/>
              <w:bottom w:val="single" w:sz="6" w:space="0" w:color="000000"/>
            </w:tcBorders>
          </w:tcPr>
          <w:p>
            <w:pPr>
              <w:pStyle w:val="TableParagraph"/>
              <w:spacing w:line="110" w:lineRule="exact"/>
              <w:ind w:right="200"/>
              <w:jc w:val="right"/>
              <w:rPr>
                <w:b/>
                <w:sz w:val="13"/>
              </w:rPr>
            </w:pPr>
            <w:r>
              <w:rPr>
                <w:b/>
                <w:spacing w:val="-2"/>
                <w:sz w:val="13"/>
              </w:rPr>
              <w:t>384,870</w:t>
            </w:r>
          </w:p>
        </w:tc>
        <w:tc>
          <w:tcPr>
            <w:tcW w:w="884" w:type="dxa"/>
            <w:tcBorders>
              <w:top w:val="single" w:sz="6" w:space="0" w:color="000000"/>
              <w:bottom w:val="single" w:sz="6" w:space="0" w:color="000000"/>
            </w:tcBorders>
          </w:tcPr>
          <w:p>
            <w:pPr>
              <w:pStyle w:val="TableParagraph"/>
              <w:spacing w:line="110" w:lineRule="exact"/>
              <w:ind w:right="181"/>
              <w:jc w:val="right"/>
              <w:rPr>
                <w:b/>
                <w:sz w:val="13"/>
              </w:rPr>
            </w:pPr>
            <w:r>
              <w:rPr>
                <w:b/>
                <w:spacing w:val="-2"/>
                <w:sz w:val="13"/>
              </w:rPr>
              <w:t>410,368</w:t>
            </w:r>
          </w:p>
        </w:tc>
        <w:tc>
          <w:tcPr>
            <w:tcW w:w="920" w:type="dxa"/>
            <w:tcBorders>
              <w:top w:val="single" w:sz="6" w:space="0" w:color="000000"/>
              <w:bottom w:val="single" w:sz="6" w:space="0" w:color="000000"/>
            </w:tcBorders>
          </w:tcPr>
          <w:p>
            <w:pPr>
              <w:pStyle w:val="TableParagraph"/>
              <w:spacing w:line="110" w:lineRule="exact"/>
              <w:ind w:right="199"/>
              <w:jc w:val="right"/>
              <w:rPr>
                <w:b/>
                <w:sz w:val="13"/>
              </w:rPr>
            </w:pPr>
            <w:r>
              <w:rPr>
                <w:b/>
                <w:spacing w:val="-2"/>
                <w:sz w:val="13"/>
              </w:rPr>
              <w:t>371,641</w:t>
            </w:r>
          </w:p>
        </w:tc>
        <w:tc>
          <w:tcPr>
            <w:tcW w:w="770" w:type="dxa"/>
            <w:tcBorders>
              <w:top w:val="single" w:sz="6" w:space="0" w:color="000000"/>
              <w:bottom w:val="single" w:sz="6" w:space="0" w:color="000000"/>
            </w:tcBorders>
          </w:tcPr>
          <w:p>
            <w:pPr>
              <w:pStyle w:val="TableParagraph"/>
              <w:spacing w:line="110" w:lineRule="exact"/>
              <w:ind w:right="66"/>
              <w:jc w:val="right"/>
              <w:rPr>
                <w:b/>
                <w:sz w:val="13"/>
              </w:rPr>
            </w:pPr>
            <w:r>
              <w:rPr>
                <w:b/>
                <w:spacing w:val="-2"/>
                <w:sz w:val="13"/>
              </w:rPr>
              <w:t>401,127</w:t>
            </w:r>
          </w:p>
        </w:tc>
      </w:tr>
    </w:tbl>
    <w:p>
      <w:pPr>
        <w:spacing w:before="108"/>
        <w:ind w:left="839" w:right="0" w:firstLine="0"/>
        <w:jc w:val="left"/>
        <w:rPr>
          <w:b/>
          <w:i/>
          <w:sz w:val="13"/>
        </w:rPr>
      </w:pPr>
      <w:r>
        <w:rPr/>
        <mc:AlternateContent>
          <mc:Choice Requires="wps">
            <w:drawing>
              <wp:anchor distT="0" distB="0" distL="0" distR="0" allowOverlap="1" layoutInCell="1" locked="0" behindDoc="0" simplePos="0" relativeHeight="15886848">
                <wp:simplePos x="0" y="0"/>
                <wp:positionH relativeFrom="page">
                  <wp:posOffset>7111289</wp:posOffset>
                </wp:positionH>
                <wp:positionV relativeFrom="paragraph">
                  <wp:posOffset>-632569</wp:posOffset>
                </wp:positionV>
                <wp:extent cx="177800" cy="1945005"/>
                <wp:effectExtent l="0" t="0" r="0" b="0"/>
                <wp:wrapNone/>
                <wp:docPr id="921" name="Textbox 921"/>
                <wp:cNvGraphicFramePr>
                  <a:graphicFrameLocks/>
                </wp:cNvGraphicFramePr>
                <a:graphic>
                  <a:graphicData uri="http://schemas.microsoft.com/office/word/2010/wordprocessingShape">
                    <wps:wsp>
                      <wps:cNvPr id="921" name="Textbox 921"/>
                      <wps:cNvSpPr txBox="1"/>
                      <wps:spPr>
                        <a:xfrm>
                          <a:off x="0" y="0"/>
                          <a:ext cx="177800" cy="194500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49.808636pt;width:14pt;height:153.15pt;mso-position-horizontal-relative:page;mso-position-vertical-relative:paragraph;z-index:15886848" type="#_x0000_t202" id="docshape615"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v:textbox>
                <w10:wrap type="none"/>
              </v:shape>
            </w:pict>
          </mc:Fallback>
        </mc:AlternateContent>
      </w:r>
      <w:r>
        <w:rPr>
          <w:b/>
          <w:i/>
          <w:color w:val="0070C0"/>
          <w:sz w:val="13"/>
        </w:rPr>
        <w:t>Accounting</w:t>
      </w:r>
      <w:r>
        <w:rPr>
          <w:b/>
          <w:i/>
          <w:color w:val="0070C0"/>
          <w:spacing w:val="8"/>
          <w:sz w:val="13"/>
        </w:rPr>
        <w:t> </w:t>
      </w:r>
      <w:r>
        <w:rPr>
          <w:b/>
          <w:i/>
          <w:color w:val="0070C0"/>
          <w:spacing w:val="-2"/>
          <w:sz w:val="13"/>
        </w:rPr>
        <w:t>policy</w:t>
      </w:r>
    </w:p>
    <w:p>
      <w:pPr>
        <w:spacing w:line="264" w:lineRule="auto" w:before="17"/>
        <w:ind w:left="839" w:right="1763" w:firstLine="0"/>
        <w:jc w:val="left"/>
        <w:rPr>
          <w:sz w:val="13"/>
        </w:rPr>
      </w:pPr>
      <w:r>
        <w:rPr>
          <w:sz w:val="13"/>
        </w:rPr>
        <w:t>Expenses,</w:t>
      </w:r>
      <w:r>
        <w:rPr>
          <w:spacing w:val="33"/>
          <w:sz w:val="13"/>
        </w:rPr>
        <w:t> </w:t>
      </w:r>
      <w:r>
        <w:rPr>
          <w:sz w:val="13"/>
        </w:rPr>
        <w:t>other</w:t>
      </w:r>
      <w:r>
        <w:rPr>
          <w:spacing w:val="34"/>
          <w:sz w:val="13"/>
        </w:rPr>
        <w:t> </w:t>
      </w:r>
      <w:r>
        <w:rPr>
          <w:sz w:val="13"/>
        </w:rPr>
        <w:t>than</w:t>
      </w:r>
      <w:r>
        <w:rPr>
          <w:spacing w:val="34"/>
          <w:sz w:val="13"/>
        </w:rPr>
        <w:t> </w:t>
      </w:r>
      <w:r>
        <w:rPr>
          <w:sz w:val="13"/>
        </w:rPr>
        <w:t>depreciation</w:t>
      </w:r>
      <w:r>
        <w:rPr>
          <w:spacing w:val="34"/>
          <w:sz w:val="13"/>
        </w:rPr>
        <w:t> </w:t>
      </w:r>
      <w:r>
        <w:rPr>
          <w:sz w:val="13"/>
        </w:rPr>
        <w:t>and</w:t>
      </w:r>
      <w:r>
        <w:rPr>
          <w:spacing w:val="34"/>
          <w:sz w:val="13"/>
        </w:rPr>
        <w:t> </w:t>
      </w:r>
      <w:r>
        <w:rPr>
          <w:sz w:val="13"/>
        </w:rPr>
        <w:t>amortisation,</w:t>
      </w:r>
      <w:r>
        <w:rPr>
          <w:spacing w:val="33"/>
          <w:sz w:val="13"/>
        </w:rPr>
        <w:t> </w:t>
      </w:r>
      <w:r>
        <w:rPr>
          <w:sz w:val="13"/>
        </w:rPr>
        <w:t>are</w:t>
      </w:r>
      <w:r>
        <w:rPr>
          <w:spacing w:val="34"/>
          <w:sz w:val="13"/>
        </w:rPr>
        <w:t> </w:t>
      </w:r>
      <w:r>
        <w:rPr>
          <w:sz w:val="13"/>
        </w:rPr>
        <w:t>applied</w:t>
      </w:r>
      <w:r>
        <w:rPr>
          <w:spacing w:val="34"/>
          <w:sz w:val="13"/>
        </w:rPr>
        <w:t> </w:t>
      </w:r>
      <w:r>
        <w:rPr>
          <w:sz w:val="13"/>
        </w:rPr>
        <w:t>to</w:t>
      </w:r>
      <w:r>
        <w:rPr>
          <w:spacing w:val="34"/>
          <w:sz w:val="13"/>
        </w:rPr>
        <w:t> </w:t>
      </w:r>
      <w:r>
        <w:rPr>
          <w:sz w:val="13"/>
        </w:rPr>
        <w:t>the</w:t>
      </w:r>
      <w:r>
        <w:rPr>
          <w:spacing w:val="34"/>
          <w:sz w:val="13"/>
        </w:rPr>
        <w:t> </w:t>
      </w:r>
      <w:r>
        <w:rPr>
          <w:sz w:val="13"/>
        </w:rPr>
        <w:t>income</w:t>
      </w:r>
      <w:r>
        <w:rPr>
          <w:spacing w:val="34"/>
          <w:sz w:val="13"/>
        </w:rPr>
        <w:t> </w:t>
      </w:r>
      <w:r>
        <w:rPr>
          <w:sz w:val="13"/>
        </w:rPr>
        <w:t>statement</w:t>
      </w:r>
      <w:r>
        <w:rPr>
          <w:spacing w:val="33"/>
          <w:sz w:val="13"/>
        </w:rPr>
        <w:t> </w:t>
      </w:r>
      <w:r>
        <w:rPr>
          <w:sz w:val="13"/>
        </w:rPr>
        <w:t>during</w:t>
      </w:r>
      <w:r>
        <w:rPr>
          <w:spacing w:val="34"/>
          <w:sz w:val="13"/>
        </w:rPr>
        <w:t> </w:t>
      </w:r>
      <w:r>
        <w:rPr>
          <w:sz w:val="13"/>
        </w:rPr>
        <w:t>the</w:t>
      </w:r>
      <w:r>
        <w:rPr>
          <w:spacing w:val="34"/>
          <w:sz w:val="13"/>
        </w:rPr>
        <w:t> </w:t>
      </w:r>
      <w:r>
        <w:rPr>
          <w:sz w:val="13"/>
        </w:rPr>
        <w:t>financial</w:t>
      </w:r>
      <w:r>
        <w:rPr>
          <w:spacing w:val="31"/>
          <w:sz w:val="13"/>
        </w:rPr>
        <w:t> </w:t>
      </w:r>
      <w:r>
        <w:rPr>
          <w:sz w:val="13"/>
        </w:rPr>
        <w:t>year</w:t>
      </w:r>
      <w:r>
        <w:rPr>
          <w:spacing w:val="34"/>
          <w:sz w:val="13"/>
        </w:rPr>
        <w:t> </w:t>
      </w:r>
      <w:r>
        <w:rPr>
          <w:sz w:val="13"/>
        </w:rPr>
        <w:t>in</w:t>
      </w:r>
      <w:r>
        <w:rPr>
          <w:spacing w:val="31"/>
          <w:sz w:val="13"/>
        </w:rPr>
        <w:t> </w:t>
      </w:r>
      <w:r>
        <w:rPr>
          <w:sz w:val="13"/>
        </w:rPr>
        <w:t>which</w:t>
      </w:r>
      <w:r>
        <w:rPr>
          <w:spacing w:val="34"/>
          <w:sz w:val="13"/>
        </w:rPr>
        <w:t> </w:t>
      </w:r>
      <w:r>
        <w:rPr>
          <w:sz w:val="13"/>
        </w:rPr>
        <w:t>they</w:t>
      </w:r>
      <w:r>
        <w:rPr>
          <w:spacing w:val="29"/>
          <w:sz w:val="13"/>
        </w:rPr>
        <w:t> </w:t>
      </w:r>
      <w:r>
        <w:rPr>
          <w:sz w:val="13"/>
        </w:rPr>
        <w:t>are</w:t>
      </w:r>
      <w:r>
        <w:rPr>
          <w:spacing w:val="40"/>
          <w:sz w:val="13"/>
        </w:rPr>
        <w:t> </w:t>
      </w:r>
      <w:r>
        <w:rPr>
          <w:sz w:val="13"/>
        </w:rPr>
        <w:t>incurred, on an accruals basis.</w:t>
      </w:r>
    </w:p>
    <w:p>
      <w:pPr>
        <w:spacing w:line="240" w:lineRule="auto" w:before="14"/>
        <w:rPr>
          <w:sz w:val="13"/>
        </w:rPr>
      </w:pPr>
    </w:p>
    <w:p>
      <w:pPr>
        <w:spacing w:before="1"/>
        <w:ind w:left="839" w:right="0" w:firstLine="0"/>
        <w:jc w:val="left"/>
        <w:rPr>
          <w:sz w:val="13"/>
        </w:rPr>
      </w:pPr>
      <w:r>
        <w:rPr>
          <w:sz w:val="13"/>
        </w:rPr>
        <w:t>Refer</w:t>
      </w:r>
      <w:r>
        <w:rPr>
          <w:spacing w:val="5"/>
          <w:sz w:val="13"/>
        </w:rPr>
        <w:t> </w:t>
      </w:r>
      <w:r>
        <w:rPr>
          <w:sz w:val="13"/>
        </w:rPr>
        <w:t>to</w:t>
      </w:r>
      <w:r>
        <w:rPr>
          <w:spacing w:val="5"/>
          <w:sz w:val="13"/>
        </w:rPr>
        <w:t> </w:t>
      </w:r>
      <w:r>
        <w:rPr>
          <w:sz w:val="13"/>
        </w:rPr>
        <w:t>notes</w:t>
      </w:r>
      <w:r>
        <w:rPr>
          <w:spacing w:val="7"/>
          <w:sz w:val="13"/>
        </w:rPr>
        <w:t> </w:t>
      </w:r>
      <w:r>
        <w:rPr>
          <w:sz w:val="13"/>
        </w:rPr>
        <w:t>5.4</w:t>
      </w:r>
      <w:r>
        <w:rPr>
          <w:spacing w:val="5"/>
          <w:sz w:val="13"/>
        </w:rPr>
        <w:t> </w:t>
      </w:r>
      <w:r>
        <w:rPr>
          <w:sz w:val="13"/>
        </w:rPr>
        <w:t>and</w:t>
      </w:r>
      <w:r>
        <w:rPr>
          <w:spacing w:val="5"/>
          <w:sz w:val="13"/>
        </w:rPr>
        <w:t> </w:t>
      </w:r>
      <w:r>
        <w:rPr>
          <w:sz w:val="13"/>
        </w:rPr>
        <w:t>5.5</w:t>
      </w:r>
      <w:r>
        <w:rPr>
          <w:spacing w:val="6"/>
          <w:sz w:val="13"/>
        </w:rPr>
        <w:t> </w:t>
      </w:r>
      <w:r>
        <w:rPr>
          <w:sz w:val="13"/>
        </w:rPr>
        <w:t>for</w:t>
      </w:r>
      <w:r>
        <w:rPr>
          <w:spacing w:val="5"/>
          <w:sz w:val="13"/>
        </w:rPr>
        <w:t> </w:t>
      </w:r>
      <w:r>
        <w:rPr>
          <w:sz w:val="13"/>
        </w:rPr>
        <w:t>the</w:t>
      </w:r>
      <w:r>
        <w:rPr>
          <w:spacing w:val="5"/>
          <w:sz w:val="13"/>
        </w:rPr>
        <w:t> </w:t>
      </w:r>
      <w:r>
        <w:rPr>
          <w:sz w:val="13"/>
        </w:rPr>
        <w:t>accounting</w:t>
      </w:r>
      <w:r>
        <w:rPr>
          <w:spacing w:val="5"/>
          <w:sz w:val="13"/>
        </w:rPr>
        <w:t> </w:t>
      </w:r>
      <w:r>
        <w:rPr>
          <w:sz w:val="13"/>
        </w:rPr>
        <w:t>policy</w:t>
      </w:r>
      <w:r>
        <w:rPr>
          <w:spacing w:val="3"/>
          <w:sz w:val="13"/>
        </w:rPr>
        <w:t> </w:t>
      </w:r>
      <w:r>
        <w:rPr>
          <w:sz w:val="13"/>
        </w:rPr>
        <w:t>for</w:t>
      </w:r>
      <w:r>
        <w:rPr>
          <w:spacing w:val="6"/>
          <w:sz w:val="13"/>
        </w:rPr>
        <w:t> </w:t>
      </w:r>
      <w:r>
        <w:rPr>
          <w:sz w:val="13"/>
        </w:rPr>
        <w:t>depreciation</w:t>
      </w:r>
      <w:r>
        <w:rPr>
          <w:spacing w:val="5"/>
          <w:sz w:val="13"/>
        </w:rPr>
        <w:t> </w:t>
      </w:r>
      <w:r>
        <w:rPr>
          <w:sz w:val="13"/>
        </w:rPr>
        <w:t>and</w:t>
      </w:r>
      <w:r>
        <w:rPr>
          <w:spacing w:val="5"/>
          <w:sz w:val="13"/>
        </w:rPr>
        <w:t> </w:t>
      </w:r>
      <w:r>
        <w:rPr>
          <w:spacing w:val="-2"/>
          <w:sz w:val="13"/>
        </w:rPr>
        <w:t>amortisation.</w:t>
      </w:r>
    </w:p>
    <w:p>
      <w:pPr>
        <w:spacing w:line="240" w:lineRule="auto" w:before="7"/>
        <w:rPr>
          <w:sz w:val="7"/>
        </w:rPr>
      </w:pPr>
      <w:r>
        <w:rPr/>
        <mc:AlternateContent>
          <mc:Choice Requires="wps">
            <w:drawing>
              <wp:anchor distT="0" distB="0" distL="0" distR="0" allowOverlap="1" layoutInCell="1" locked="0" behindDoc="1" simplePos="0" relativeHeight="487745536">
                <wp:simplePos x="0" y="0"/>
                <wp:positionH relativeFrom="page">
                  <wp:posOffset>720001</wp:posOffset>
                </wp:positionH>
                <wp:positionV relativeFrom="paragraph">
                  <wp:posOffset>70798</wp:posOffset>
                </wp:positionV>
                <wp:extent cx="5626735" cy="14604"/>
                <wp:effectExtent l="0" t="0" r="0" b="0"/>
                <wp:wrapTopAndBottom/>
                <wp:docPr id="922" name="Graphic 922"/>
                <wp:cNvGraphicFramePr>
                  <a:graphicFrameLocks/>
                </wp:cNvGraphicFramePr>
                <a:graphic>
                  <a:graphicData uri="http://schemas.microsoft.com/office/word/2010/wordprocessingShape">
                    <wps:wsp>
                      <wps:cNvPr id="922" name="Graphic 922"/>
                      <wps:cNvSpPr/>
                      <wps:spPr>
                        <a:xfrm>
                          <a:off x="0" y="0"/>
                          <a:ext cx="5626735" cy="14604"/>
                        </a:xfrm>
                        <a:custGeom>
                          <a:avLst/>
                          <a:gdLst/>
                          <a:ahLst/>
                          <a:cxnLst/>
                          <a:rect l="l" t="t" r="r" b="b"/>
                          <a:pathLst>
                            <a:path w="5626735" h="14604">
                              <a:moveTo>
                                <a:pt x="5626265" y="0"/>
                              </a:moveTo>
                              <a:lnTo>
                                <a:pt x="0" y="0"/>
                              </a:lnTo>
                              <a:lnTo>
                                <a:pt x="0" y="14287"/>
                              </a:lnTo>
                              <a:lnTo>
                                <a:pt x="5626265" y="14287"/>
                              </a:lnTo>
                              <a:lnTo>
                                <a:pt x="5626265"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6.693001pt;margin-top:5.574658pt;width:443.013pt;height:1.125pt;mso-position-horizontal-relative:page;mso-position-vertical-relative:paragraph;z-index:-15570944;mso-wrap-distance-left:0;mso-wrap-distance-right:0" id="docshape616" filled="true" fillcolor="#4f81bd" stroked="false">
                <v:fill type="solid"/>
                <w10:wrap type="topAndBottom"/>
              </v:rect>
            </w:pict>
          </mc:Fallback>
        </mc:AlternateContent>
      </w:r>
    </w:p>
    <w:p>
      <w:pPr>
        <w:spacing w:after="0" w:line="240" w:lineRule="auto"/>
        <w:rPr>
          <w:sz w:val="7"/>
        </w:rPr>
        <w:sectPr>
          <w:pgSz w:w="11910" w:h="16840"/>
          <w:pgMar w:header="468" w:footer="0" w:top="720" w:bottom="280" w:left="920" w:right="0"/>
        </w:sectPr>
      </w:pPr>
    </w:p>
    <w:p>
      <w:pPr>
        <w:spacing w:line="240" w:lineRule="auto" w:before="0"/>
        <w:rPr>
          <w:sz w:val="22"/>
        </w:rPr>
      </w:pPr>
    </w:p>
    <w:p>
      <w:pPr>
        <w:spacing w:line="240" w:lineRule="auto" w:before="0"/>
        <w:rPr>
          <w:sz w:val="22"/>
        </w:rPr>
      </w:pPr>
    </w:p>
    <w:p>
      <w:pPr>
        <w:spacing w:line="240" w:lineRule="auto" w:before="183"/>
        <w:rPr>
          <w:sz w:val="22"/>
        </w:rPr>
      </w:pPr>
    </w:p>
    <w:p>
      <w:pPr>
        <w:spacing w:before="0"/>
        <w:ind w:left="244" w:right="0" w:firstLine="0"/>
        <w:jc w:val="left"/>
        <w:rPr>
          <w:sz w:val="22"/>
        </w:rPr>
      </w:pPr>
      <w:r>
        <w:rPr>
          <w:color w:val="0070C0"/>
          <w:sz w:val="22"/>
        </w:rPr>
        <w:t>NOTES</w:t>
      </w:r>
      <w:r>
        <w:rPr>
          <w:color w:val="0070C0"/>
          <w:spacing w:val="-9"/>
          <w:sz w:val="22"/>
        </w:rPr>
        <w:t> </w:t>
      </w:r>
      <w:r>
        <w:rPr>
          <w:color w:val="0070C0"/>
          <w:sz w:val="22"/>
        </w:rPr>
        <w:t>TO</w:t>
      </w:r>
      <w:r>
        <w:rPr>
          <w:color w:val="0070C0"/>
          <w:spacing w:val="-9"/>
          <w:sz w:val="22"/>
        </w:rPr>
        <w:t> </w:t>
      </w:r>
      <w:r>
        <w:rPr>
          <w:color w:val="0070C0"/>
          <w:sz w:val="22"/>
        </w:rPr>
        <w:t>THE</w:t>
      </w:r>
      <w:r>
        <w:rPr>
          <w:color w:val="0070C0"/>
          <w:spacing w:val="-9"/>
          <w:sz w:val="22"/>
        </w:rPr>
        <w:t> </w:t>
      </w:r>
      <w:r>
        <w:rPr>
          <w:color w:val="0070C0"/>
          <w:sz w:val="22"/>
        </w:rPr>
        <w:t>FINANCIAL</w:t>
      </w:r>
      <w:r>
        <w:rPr>
          <w:color w:val="0070C0"/>
          <w:spacing w:val="-9"/>
          <w:sz w:val="22"/>
        </w:rPr>
        <w:t> </w:t>
      </w:r>
      <w:r>
        <w:rPr>
          <w:color w:val="0070C0"/>
          <w:spacing w:val="-2"/>
          <w:sz w:val="22"/>
        </w:rPr>
        <w:t>STATEMENTS</w:t>
      </w:r>
    </w:p>
    <w:p>
      <w:pPr>
        <w:spacing w:before="32"/>
        <w:ind w:left="230" w:right="0" w:firstLine="0"/>
        <w:jc w:val="left"/>
        <w:rPr>
          <w:sz w:val="12"/>
        </w:rPr>
      </w:pPr>
      <w:r>
        <w:rPr>
          <w:w w:val="105"/>
          <w:sz w:val="12"/>
        </w:rPr>
        <w:t>for</w:t>
      </w:r>
      <w:r>
        <w:rPr>
          <w:spacing w:val="-8"/>
          <w:w w:val="105"/>
          <w:sz w:val="12"/>
        </w:rPr>
        <w:t> </w:t>
      </w:r>
      <w:r>
        <w:rPr>
          <w:w w:val="105"/>
          <w:sz w:val="12"/>
        </w:rPr>
        <w:t>the</w:t>
      </w:r>
      <w:r>
        <w:rPr>
          <w:spacing w:val="-9"/>
          <w:w w:val="105"/>
          <w:sz w:val="12"/>
        </w:rPr>
        <w:t> </w:t>
      </w:r>
      <w:r>
        <w:rPr>
          <w:w w:val="105"/>
          <w:sz w:val="12"/>
        </w:rPr>
        <w:t>year</w:t>
      </w:r>
      <w:r>
        <w:rPr>
          <w:spacing w:val="-8"/>
          <w:w w:val="105"/>
          <w:sz w:val="12"/>
        </w:rPr>
        <w:t> </w:t>
      </w:r>
      <w:r>
        <w:rPr>
          <w:w w:val="105"/>
          <w:sz w:val="12"/>
        </w:rPr>
        <w:t>ended</w:t>
      </w:r>
      <w:r>
        <w:rPr>
          <w:spacing w:val="-8"/>
          <w:w w:val="105"/>
          <w:sz w:val="12"/>
        </w:rPr>
        <w:t> </w:t>
      </w:r>
      <w:r>
        <w:rPr>
          <w:w w:val="105"/>
          <w:sz w:val="12"/>
        </w:rPr>
        <w:t>31</w:t>
      </w:r>
      <w:r>
        <w:rPr>
          <w:spacing w:val="-9"/>
          <w:w w:val="105"/>
          <w:sz w:val="12"/>
        </w:rPr>
        <w:t> </w:t>
      </w:r>
      <w:r>
        <w:rPr>
          <w:w w:val="105"/>
          <w:sz w:val="12"/>
        </w:rPr>
        <w:t>December</w:t>
      </w:r>
      <w:r>
        <w:rPr>
          <w:spacing w:val="-8"/>
          <w:w w:val="105"/>
          <w:sz w:val="12"/>
        </w:rPr>
        <w:t> </w:t>
      </w:r>
      <w:r>
        <w:rPr>
          <w:spacing w:val="-4"/>
          <w:w w:val="105"/>
          <w:sz w:val="12"/>
        </w:rPr>
        <w:t>2020</w:t>
      </w:r>
    </w:p>
    <w:p>
      <w:pPr>
        <w:spacing w:line="240" w:lineRule="auto" w:before="45"/>
        <w:rPr>
          <w:sz w:val="12"/>
        </w:rPr>
      </w:pPr>
    </w:p>
    <w:p>
      <w:pPr>
        <w:pStyle w:val="Heading6"/>
        <w:numPr>
          <w:ilvl w:val="0"/>
          <w:numId w:val="13"/>
        </w:numPr>
        <w:tabs>
          <w:tab w:pos="868" w:val="left" w:leader="none"/>
        </w:tabs>
        <w:spacing w:line="240" w:lineRule="auto" w:before="0" w:after="0"/>
        <w:ind w:left="868" w:right="0" w:hanging="609"/>
        <w:jc w:val="left"/>
        <w:rPr>
          <w:color w:val="0070C0"/>
        </w:rPr>
      </w:pPr>
      <w:r>
        <w:rPr/>
        <mc:AlternateContent>
          <mc:Choice Requires="wps">
            <w:drawing>
              <wp:anchor distT="0" distB="0" distL="0" distR="0" allowOverlap="1" layoutInCell="1" locked="0" behindDoc="1" simplePos="0" relativeHeight="487746560">
                <wp:simplePos x="0" y="0"/>
                <wp:positionH relativeFrom="page">
                  <wp:posOffset>715403</wp:posOffset>
                </wp:positionH>
                <wp:positionV relativeFrom="paragraph">
                  <wp:posOffset>244449</wp:posOffset>
                </wp:positionV>
                <wp:extent cx="5706745" cy="17145"/>
                <wp:effectExtent l="0" t="0" r="0" b="0"/>
                <wp:wrapTopAndBottom/>
                <wp:docPr id="923" name="Graphic 923"/>
                <wp:cNvGraphicFramePr>
                  <a:graphicFrameLocks/>
                </wp:cNvGraphicFramePr>
                <a:graphic>
                  <a:graphicData uri="http://schemas.microsoft.com/office/word/2010/wordprocessingShape">
                    <wps:wsp>
                      <wps:cNvPr id="923" name="Graphic 923"/>
                      <wps:cNvSpPr/>
                      <wps:spPr>
                        <a:xfrm>
                          <a:off x="0" y="0"/>
                          <a:ext cx="5706745" cy="17145"/>
                        </a:xfrm>
                        <a:custGeom>
                          <a:avLst/>
                          <a:gdLst/>
                          <a:ahLst/>
                          <a:cxnLst/>
                          <a:rect l="l" t="t" r="r" b="b"/>
                          <a:pathLst>
                            <a:path w="5706745" h="17145">
                              <a:moveTo>
                                <a:pt x="5706478" y="0"/>
                              </a:moveTo>
                              <a:lnTo>
                                <a:pt x="0" y="0"/>
                              </a:lnTo>
                              <a:lnTo>
                                <a:pt x="0" y="16865"/>
                              </a:lnTo>
                              <a:lnTo>
                                <a:pt x="5706478" y="16865"/>
                              </a:lnTo>
                              <a:lnTo>
                                <a:pt x="5706478"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6.331001pt;margin-top:19.247969pt;width:449.329pt;height:1.328pt;mso-position-horizontal-relative:page;mso-position-vertical-relative:paragraph;z-index:-15569920;mso-wrap-distance-left:0;mso-wrap-distance-right:0" id="docshape617" filled="true" fillcolor="#4f81bd" stroked="false">
                <v:fill type="solid"/>
                <w10:wrap type="topAndBottom"/>
              </v:rect>
            </w:pict>
          </mc:Fallback>
        </mc:AlternateContent>
      </w:r>
      <w:r>
        <w:rPr>
          <w:color w:val="0070C0"/>
        </w:rPr>
        <w:t>Operating</w:t>
      </w:r>
      <w:r>
        <w:rPr>
          <w:color w:val="0070C0"/>
          <w:spacing w:val="16"/>
        </w:rPr>
        <w:t> </w:t>
      </w:r>
      <w:r>
        <w:rPr>
          <w:color w:val="0070C0"/>
        </w:rPr>
        <w:t>assets</w:t>
      </w:r>
      <w:r>
        <w:rPr>
          <w:color w:val="0070C0"/>
          <w:spacing w:val="17"/>
        </w:rPr>
        <w:t> </w:t>
      </w:r>
      <w:r>
        <w:rPr>
          <w:color w:val="0070C0"/>
        </w:rPr>
        <w:t>and</w:t>
      </w:r>
      <w:r>
        <w:rPr>
          <w:color w:val="0070C0"/>
          <w:spacing w:val="16"/>
        </w:rPr>
        <w:t> </w:t>
      </w:r>
      <w:r>
        <w:rPr>
          <w:color w:val="0070C0"/>
          <w:spacing w:val="-2"/>
        </w:rPr>
        <w:t>liabilities</w:t>
      </w:r>
    </w:p>
    <w:p>
      <w:pPr>
        <w:spacing w:before="142"/>
        <w:ind w:left="844" w:right="0" w:firstLine="0"/>
        <w:jc w:val="left"/>
        <w:rPr>
          <w:sz w:val="15"/>
        </w:rPr>
      </w:pPr>
      <w:r>
        <w:rPr>
          <w:sz w:val="15"/>
        </w:rPr>
        <w:t>This</w:t>
      </w:r>
      <w:r>
        <w:rPr>
          <w:spacing w:val="-3"/>
          <w:sz w:val="15"/>
        </w:rPr>
        <w:t> </w:t>
      </w:r>
      <w:r>
        <w:rPr>
          <w:sz w:val="15"/>
        </w:rPr>
        <w:t>section</w:t>
      </w:r>
      <w:r>
        <w:rPr>
          <w:spacing w:val="-1"/>
          <w:sz w:val="15"/>
        </w:rPr>
        <w:t> </w:t>
      </w:r>
      <w:r>
        <w:rPr>
          <w:sz w:val="15"/>
        </w:rPr>
        <w:t>provides</w:t>
      </w:r>
      <w:r>
        <w:rPr>
          <w:spacing w:val="-1"/>
          <w:sz w:val="15"/>
        </w:rPr>
        <w:t> </w:t>
      </w:r>
      <w:r>
        <w:rPr>
          <w:sz w:val="15"/>
        </w:rPr>
        <w:t>information relating</w:t>
      </w:r>
      <w:r>
        <w:rPr>
          <w:spacing w:val="-1"/>
          <w:sz w:val="15"/>
        </w:rPr>
        <w:t> </w:t>
      </w:r>
      <w:r>
        <w:rPr>
          <w:sz w:val="15"/>
        </w:rPr>
        <w:t>to</w:t>
      </w:r>
      <w:r>
        <w:rPr>
          <w:spacing w:val="-1"/>
          <w:sz w:val="15"/>
        </w:rPr>
        <w:t> </w:t>
      </w:r>
      <w:r>
        <w:rPr>
          <w:sz w:val="15"/>
        </w:rPr>
        <w:t>the</w:t>
      </w:r>
      <w:r>
        <w:rPr>
          <w:spacing w:val="-1"/>
          <w:sz w:val="15"/>
        </w:rPr>
        <w:t> </w:t>
      </w:r>
      <w:r>
        <w:rPr>
          <w:sz w:val="15"/>
        </w:rPr>
        <w:t>operating</w:t>
      </w:r>
      <w:r>
        <w:rPr>
          <w:spacing w:val="-1"/>
          <w:sz w:val="15"/>
        </w:rPr>
        <w:t> </w:t>
      </w:r>
      <w:r>
        <w:rPr>
          <w:sz w:val="15"/>
        </w:rPr>
        <w:t>assets and</w:t>
      </w:r>
      <w:r>
        <w:rPr>
          <w:spacing w:val="-1"/>
          <w:sz w:val="15"/>
        </w:rPr>
        <w:t> </w:t>
      </w:r>
      <w:r>
        <w:rPr>
          <w:sz w:val="15"/>
        </w:rPr>
        <w:t>liabilities</w:t>
      </w:r>
      <w:r>
        <w:rPr>
          <w:spacing w:val="-1"/>
          <w:sz w:val="15"/>
        </w:rPr>
        <w:t> </w:t>
      </w:r>
      <w:r>
        <w:rPr>
          <w:sz w:val="15"/>
        </w:rPr>
        <w:t>of</w:t>
      </w:r>
      <w:r>
        <w:rPr>
          <w:spacing w:val="-1"/>
          <w:sz w:val="15"/>
        </w:rPr>
        <w:t> </w:t>
      </w:r>
      <w:r>
        <w:rPr>
          <w:sz w:val="15"/>
        </w:rPr>
        <w:t>the University</w:t>
      </w:r>
      <w:r>
        <w:rPr>
          <w:spacing w:val="-3"/>
          <w:sz w:val="15"/>
        </w:rPr>
        <w:t> </w:t>
      </w:r>
      <w:r>
        <w:rPr>
          <w:sz w:val="15"/>
        </w:rPr>
        <w:t>and</w:t>
      </w:r>
      <w:r>
        <w:rPr>
          <w:spacing w:val="-1"/>
          <w:sz w:val="15"/>
        </w:rPr>
        <w:t> </w:t>
      </w:r>
      <w:r>
        <w:rPr>
          <w:sz w:val="15"/>
        </w:rPr>
        <w:t>its </w:t>
      </w:r>
      <w:r>
        <w:rPr>
          <w:spacing w:val="-2"/>
          <w:sz w:val="15"/>
        </w:rPr>
        <w:t>subsidiaries.</w:t>
      </w:r>
    </w:p>
    <w:p>
      <w:pPr>
        <w:pStyle w:val="ListParagraph"/>
        <w:numPr>
          <w:ilvl w:val="0"/>
          <w:numId w:val="23"/>
        </w:numPr>
        <w:tabs>
          <w:tab w:pos="938" w:val="left" w:leader="none"/>
          <w:tab w:pos="5048" w:val="left" w:leader="none"/>
        </w:tabs>
        <w:spacing w:line="240" w:lineRule="auto" w:before="38" w:after="0"/>
        <w:ind w:left="938" w:right="0" w:hanging="94"/>
        <w:jc w:val="left"/>
        <w:rPr>
          <w:sz w:val="15"/>
        </w:rPr>
      </w:pPr>
      <w:r>
        <w:rPr>
          <w:sz w:val="15"/>
        </w:rPr>
        <w:t>5.1</w:t>
      </w:r>
      <w:r>
        <w:rPr>
          <w:spacing w:val="-1"/>
          <w:sz w:val="15"/>
        </w:rPr>
        <w:t> </w:t>
      </w:r>
      <w:r>
        <w:rPr>
          <w:sz w:val="15"/>
        </w:rPr>
        <w:t>Receivables and contract </w:t>
      </w:r>
      <w:r>
        <w:rPr>
          <w:spacing w:val="-2"/>
          <w:sz w:val="15"/>
        </w:rPr>
        <w:t>assets</w:t>
      </w:r>
      <w:r>
        <w:rPr>
          <w:sz w:val="15"/>
        </w:rPr>
        <w:tab/>
        <w:t>•</w:t>
      </w:r>
      <w:r>
        <w:rPr>
          <w:spacing w:val="-3"/>
          <w:sz w:val="15"/>
        </w:rPr>
        <w:t> </w:t>
      </w:r>
      <w:r>
        <w:rPr>
          <w:sz w:val="15"/>
        </w:rPr>
        <w:t>5.5</w:t>
      </w:r>
      <w:r>
        <w:rPr>
          <w:spacing w:val="-1"/>
          <w:sz w:val="15"/>
        </w:rPr>
        <w:t> </w:t>
      </w:r>
      <w:r>
        <w:rPr>
          <w:sz w:val="15"/>
        </w:rPr>
        <w:t>Property,</w:t>
      </w:r>
      <w:r>
        <w:rPr>
          <w:spacing w:val="-1"/>
          <w:sz w:val="15"/>
        </w:rPr>
        <w:t> </w:t>
      </w:r>
      <w:r>
        <w:rPr>
          <w:sz w:val="15"/>
        </w:rPr>
        <w:t>plant</w:t>
      </w:r>
      <w:r>
        <w:rPr>
          <w:spacing w:val="-1"/>
          <w:sz w:val="15"/>
        </w:rPr>
        <w:t> </w:t>
      </w:r>
      <w:r>
        <w:rPr>
          <w:sz w:val="15"/>
        </w:rPr>
        <w:t>and</w:t>
      </w:r>
      <w:r>
        <w:rPr>
          <w:spacing w:val="-1"/>
          <w:sz w:val="15"/>
        </w:rPr>
        <w:t> </w:t>
      </w:r>
      <w:r>
        <w:rPr>
          <w:spacing w:val="-2"/>
          <w:sz w:val="15"/>
        </w:rPr>
        <w:t>equipment</w:t>
      </w:r>
    </w:p>
    <w:p>
      <w:pPr>
        <w:pStyle w:val="ListParagraph"/>
        <w:numPr>
          <w:ilvl w:val="0"/>
          <w:numId w:val="23"/>
        </w:numPr>
        <w:tabs>
          <w:tab w:pos="938" w:val="left" w:leader="none"/>
          <w:tab w:pos="5048" w:val="left" w:leader="none"/>
        </w:tabs>
        <w:spacing w:line="240" w:lineRule="auto" w:before="16" w:after="0"/>
        <w:ind w:left="938" w:right="0" w:hanging="94"/>
        <w:jc w:val="left"/>
        <w:rPr>
          <w:sz w:val="15"/>
        </w:rPr>
      </w:pPr>
      <w:r>
        <w:rPr>
          <w:sz w:val="15"/>
        </w:rPr>
        <w:t>5.2</w:t>
      </w:r>
      <w:r>
        <w:rPr>
          <w:spacing w:val="-1"/>
          <w:sz w:val="15"/>
        </w:rPr>
        <w:t> </w:t>
      </w:r>
      <w:r>
        <w:rPr>
          <w:sz w:val="15"/>
        </w:rPr>
        <w:t>Other non-financial </w:t>
      </w:r>
      <w:r>
        <w:rPr>
          <w:spacing w:val="-2"/>
          <w:sz w:val="15"/>
        </w:rPr>
        <w:t>assets</w:t>
      </w:r>
      <w:r>
        <w:rPr>
          <w:sz w:val="15"/>
        </w:rPr>
        <w:tab/>
        <w:t>•</w:t>
      </w:r>
      <w:r>
        <w:rPr>
          <w:spacing w:val="-2"/>
          <w:sz w:val="15"/>
        </w:rPr>
        <w:t> </w:t>
      </w:r>
      <w:r>
        <w:rPr>
          <w:sz w:val="15"/>
        </w:rPr>
        <w:t>5.6</w:t>
      </w:r>
      <w:r>
        <w:rPr>
          <w:spacing w:val="1"/>
          <w:sz w:val="15"/>
        </w:rPr>
        <w:t> </w:t>
      </w:r>
      <w:r>
        <w:rPr>
          <w:sz w:val="15"/>
        </w:rPr>
        <w:t>Trade and</w:t>
      </w:r>
      <w:r>
        <w:rPr>
          <w:spacing w:val="1"/>
          <w:sz w:val="15"/>
        </w:rPr>
        <w:t> </w:t>
      </w:r>
      <w:r>
        <w:rPr>
          <w:sz w:val="15"/>
        </w:rPr>
        <w:t>other</w:t>
      </w:r>
      <w:r>
        <w:rPr>
          <w:spacing w:val="2"/>
          <w:sz w:val="15"/>
        </w:rPr>
        <w:t> </w:t>
      </w:r>
      <w:r>
        <w:rPr>
          <w:spacing w:val="-2"/>
          <w:sz w:val="15"/>
        </w:rPr>
        <w:t>payables</w:t>
      </w:r>
    </w:p>
    <w:p>
      <w:pPr>
        <w:pStyle w:val="ListParagraph"/>
        <w:numPr>
          <w:ilvl w:val="0"/>
          <w:numId w:val="23"/>
        </w:numPr>
        <w:tabs>
          <w:tab w:pos="938" w:val="left" w:leader="none"/>
          <w:tab w:pos="5048" w:val="left" w:leader="none"/>
        </w:tabs>
        <w:spacing w:line="240" w:lineRule="auto" w:before="16" w:after="0"/>
        <w:ind w:left="938" w:right="0" w:hanging="94"/>
        <w:jc w:val="left"/>
        <w:rPr>
          <w:sz w:val="15"/>
        </w:rPr>
      </w:pPr>
      <w:r>
        <w:rPr>
          <w:sz w:val="15"/>
        </w:rPr>
        <w:t>5.3</w:t>
      </w:r>
      <w:r>
        <w:rPr>
          <w:spacing w:val="1"/>
          <w:sz w:val="15"/>
        </w:rPr>
        <w:t> </w:t>
      </w:r>
      <w:r>
        <w:rPr>
          <w:sz w:val="15"/>
        </w:rPr>
        <w:t>Investment</w:t>
      </w:r>
      <w:r>
        <w:rPr>
          <w:spacing w:val="1"/>
          <w:sz w:val="15"/>
        </w:rPr>
        <w:t> </w:t>
      </w:r>
      <w:r>
        <w:rPr>
          <w:spacing w:val="-2"/>
          <w:sz w:val="15"/>
        </w:rPr>
        <w:t>properties</w:t>
      </w:r>
      <w:r>
        <w:rPr>
          <w:sz w:val="15"/>
        </w:rPr>
        <w:tab/>
        <w:t>•</w:t>
      </w:r>
      <w:r>
        <w:rPr>
          <w:spacing w:val="-3"/>
          <w:sz w:val="15"/>
        </w:rPr>
        <w:t> </w:t>
      </w:r>
      <w:r>
        <w:rPr>
          <w:sz w:val="15"/>
        </w:rPr>
        <w:t>5.7 Contract and other</w:t>
      </w:r>
      <w:r>
        <w:rPr>
          <w:spacing w:val="1"/>
          <w:sz w:val="15"/>
        </w:rPr>
        <w:t> </w:t>
      </w:r>
      <w:r>
        <w:rPr>
          <w:spacing w:val="-2"/>
          <w:sz w:val="15"/>
        </w:rPr>
        <w:t>liabilities</w:t>
      </w:r>
    </w:p>
    <w:p>
      <w:pPr>
        <w:pStyle w:val="ListParagraph"/>
        <w:numPr>
          <w:ilvl w:val="0"/>
          <w:numId w:val="23"/>
        </w:numPr>
        <w:tabs>
          <w:tab w:pos="938" w:val="left" w:leader="none"/>
        </w:tabs>
        <w:spacing w:line="240" w:lineRule="auto" w:before="15" w:after="0"/>
        <w:ind w:left="938" w:right="0" w:hanging="94"/>
        <w:jc w:val="left"/>
        <w:rPr>
          <w:sz w:val="15"/>
        </w:rPr>
      </w:pPr>
      <w:r>
        <w:rPr>
          <w:sz w:val="15"/>
        </w:rPr>
        <w:t>5.4</w:t>
      </w:r>
      <w:r>
        <w:rPr>
          <w:spacing w:val="-1"/>
          <w:sz w:val="15"/>
        </w:rPr>
        <w:t> </w:t>
      </w:r>
      <w:r>
        <w:rPr>
          <w:sz w:val="15"/>
        </w:rPr>
        <w:t>Intangible</w:t>
      </w:r>
      <w:r>
        <w:rPr>
          <w:spacing w:val="-1"/>
          <w:sz w:val="15"/>
        </w:rPr>
        <w:t> </w:t>
      </w:r>
      <w:r>
        <w:rPr>
          <w:spacing w:val="-2"/>
          <w:sz w:val="15"/>
        </w:rPr>
        <w:t>assets</w:t>
      </w:r>
    </w:p>
    <w:p>
      <w:pPr>
        <w:spacing w:line="240" w:lineRule="auto" w:before="9"/>
        <w:rPr>
          <w:sz w:val="14"/>
        </w:rPr>
      </w:pPr>
      <w:r>
        <w:rPr/>
        <mc:AlternateContent>
          <mc:Choice Requires="wps">
            <w:drawing>
              <wp:anchor distT="0" distB="0" distL="0" distR="0" allowOverlap="1" layoutInCell="1" locked="0" behindDoc="1" simplePos="0" relativeHeight="487747072">
                <wp:simplePos x="0" y="0"/>
                <wp:positionH relativeFrom="page">
                  <wp:posOffset>715403</wp:posOffset>
                </wp:positionH>
                <wp:positionV relativeFrom="paragraph">
                  <wp:posOffset>123642</wp:posOffset>
                </wp:positionV>
                <wp:extent cx="5706745" cy="17145"/>
                <wp:effectExtent l="0" t="0" r="0" b="0"/>
                <wp:wrapTopAndBottom/>
                <wp:docPr id="924" name="Graphic 924"/>
                <wp:cNvGraphicFramePr>
                  <a:graphicFrameLocks/>
                </wp:cNvGraphicFramePr>
                <a:graphic>
                  <a:graphicData uri="http://schemas.microsoft.com/office/word/2010/wordprocessingShape">
                    <wps:wsp>
                      <wps:cNvPr id="924" name="Graphic 924"/>
                      <wps:cNvSpPr/>
                      <wps:spPr>
                        <a:xfrm>
                          <a:off x="0" y="0"/>
                          <a:ext cx="5706745" cy="17145"/>
                        </a:xfrm>
                        <a:custGeom>
                          <a:avLst/>
                          <a:gdLst/>
                          <a:ahLst/>
                          <a:cxnLst/>
                          <a:rect l="l" t="t" r="r" b="b"/>
                          <a:pathLst>
                            <a:path w="5706745" h="17145">
                              <a:moveTo>
                                <a:pt x="5706478" y="0"/>
                              </a:moveTo>
                              <a:lnTo>
                                <a:pt x="0" y="0"/>
                              </a:lnTo>
                              <a:lnTo>
                                <a:pt x="0" y="16865"/>
                              </a:lnTo>
                              <a:lnTo>
                                <a:pt x="5706478" y="16865"/>
                              </a:lnTo>
                              <a:lnTo>
                                <a:pt x="5706478"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6.331001pt;margin-top:9.735662pt;width:449.329pt;height:1.328pt;mso-position-horizontal-relative:page;mso-position-vertical-relative:paragraph;z-index:-15569408;mso-wrap-distance-left:0;mso-wrap-distance-right:0" id="docshape618" filled="true" fillcolor="#4f81bd" stroked="false">
                <v:fill type="solid"/>
                <w10:wrap type="topAndBottom"/>
              </v:rect>
            </w:pict>
          </mc:Fallback>
        </mc:AlternateContent>
      </w:r>
    </w:p>
    <w:p>
      <w:pPr>
        <w:pStyle w:val="ListParagraph"/>
        <w:numPr>
          <w:ilvl w:val="1"/>
          <w:numId w:val="13"/>
        </w:numPr>
        <w:tabs>
          <w:tab w:pos="846" w:val="left" w:leader="none"/>
          <w:tab w:pos="6007" w:val="left" w:leader="none"/>
          <w:tab w:pos="7948" w:val="left" w:leader="none"/>
        </w:tabs>
        <w:spacing w:line="240" w:lineRule="auto" w:before="162" w:after="50"/>
        <w:ind w:left="846" w:right="0" w:hanging="609"/>
        <w:jc w:val="left"/>
        <w:rPr>
          <w:b/>
          <w:color w:val="0070C0"/>
          <w:sz w:val="16"/>
        </w:rPr>
      </w:pPr>
      <w:r>
        <w:rPr>
          <w:b/>
          <w:color w:val="0070C0"/>
          <w:sz w:val="16"/>
        </w:rPr>
        <w:t>Receivables</w:t>
      </w:r>
      <w:r>
        <w:rPr>
          <w:b/>
          <w:color w:val="0070C0"/>
          <w:spacing w:val="6"/>
          <w:sz w:val="16"/>
        </w:rPr>
        <w:t> </w:t>
      </w:r>
      <w:r>
        <w:rPr>
          <w:b/>
          <w:color w:val="0070C0"/>
          <w:sz w:val="16"/>
        </w:rPr>
        <w:t>and</w:t>
      </w:r>
      <w:r>
        <w:rPr>
          <w:b/>
          <w:color w:val="0070C0"/>
          <w:spacing w:val="7"/>
          <w:sz w:val="16"/>
        </w:rPr>
        <w:t> </w:t>
      </w:r>
      <w:r>
        <w:rPr>
          <w:b/>
          <w:color w:val="0070C0"/>
          <w:sz w:val="16"/>
        </w:rPr>
        <w:t>contract</w:t>
      </w:r>
      <w:r>
        <w:rPr>
          <w:b/>
          <w:color w:val="0070C0"/>
          <w:spacing w:val="8"/>
          <w:sz w:val="16"/>
        </w:rPr>
        <w:t> </w:t>
      </w:r>
      <w:r>
        <w:rPr>
          <w:b/>
          <w:color w:val="0070C0"/>
          <w:spacing w:val="-2"/>
          <w:sz w:val="16"/>
        </w:rPr>
        <w:t>assets</w:t>
      </w:r>
      <w:r>
        <w:rPr>
          <w:b/>
          <w:color w:val="0070C0"/>
          <w:sz w:val="16"/>
        </w:rPr>
        <w:tab/>
      </w:r>
      <w:r>
        <w:rPr>
          <w:b/>
          <w:spacing w:val="-2"/>
          <w:sz w:val="13"/>
        </w:rPr>
        <w:t>Consolidated</w:t>
      </w:r>
      <w:r>
        <w:rPr>
          <w:b/>
          <w:sz w:val="13"/>
        </w:rPr>
        <w:tab/>
      </w:r>
      <w:r>
        <w:rPr>
          <w:b/>
          <w:spacing w:val="-2"/>
          <w:sz w:val="13"/>
        </w:rPr>
        <w:t>University</w:t>
      </w:r>
    </w:p>
    <w:tbl>
      <w:tblPr>
        <w:tblW w:w="0" w:type="auto"/>
        <w:jc w:val="left"/>
        <w:tblInd w:w="7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724"/>
        <w:gridCol w:w="1054"/>
        <w:gridCol w:w="919"/>
        <w:gridCol w:w="919"/>
        <w:gridCol w:w="786"/>
      </w:tblGrid>
      <w:tr>
        <w:trPr>
          <w:trHeight w:val="335" w:hRule="atLeast"/>
        </w:trPr>
        <w:tc>
          <w:tcPr>
            <w:tcW w:w="4724" w:type="dxa"/>
          </w:tcPr>
          <w:p>
            <w:pPr>
              <w:pStyle w:val="TableParagraph"/>
              <w:rPr>
                <w:rFonts w:ascii="Times New Roman"/>
                <w:sz w:val="14"/>
              </w:rPr>
            </w:pPr>
          </w:p>
        </w:tc>
        <w:tc>
          <w:tcPr>
            <w:tcW w:w="1054" w:type="dxa"/>
            <w:tcBorders>
              <w:bottom w:val="single" w:sz="6" w:space="0" w:color="000000"/>
            </w:tcBorders>
          </w:tcPr>
          <w:p>
            <w:pPr>
              <w:pStyle w:val="TableParagraph"/>
              <w:spacing w:before="2"/>
              <w:ind w:left="314"/>
              <w:rPr>
                <w:b/>
                <w:sz w:val="13"/>
              </w:rPr>
            </w:pPr>
            <w:r>
              <w:rPr>
                <w:b/>
                <w:spacing w:val="-4"/>
                <w:w w:val="105"/>
                <w:sz w:val="13"/>
              </w:rPr>
              <w:t>2020</w:t>
            </w:r>
          </w:p>
          <w:p>
            <w:pPr>
              <w:pStyle w:val="TableParagraph"/>
              <w:spacing w:line="134" w:lineRule="exact" w:before="30"/>
              <w:ind w:left="298"/>
              <w:rPr>
                <w:b/>
                <w:sz w:val="13"/>
              </w:rPr>
            </w:pPr>
            <w:r>
              <w:rPr>
                <w:b/>
                <w:spacing w:val="-2"/>
                <w:w w:val="105"/>
                <w:sz w:val="13"/>
              </w:rPr>
              <w:t>$'000</w:t>
            </w:r>
          </w:p>
        </w:tc>
        <w:tc>
          <w:tcPr>
            <w:tcW w:w="919" w:type="dxa"/>
            <w:tcBorders>
              <w:bottom w:val="single" w:sz="6" w:space="0" w:color="000000"/>
            </w:tcBorders>
          </w:tcPr>
          <w:p>
            <w:pPr>
              <w:pStyle w:val="TableParagraph"/>
              <w:spacing w:before="2"/>
              <w:ind w:left="178"/>
              <w:rPr>
                <w:b/>
                <w:sz w:val="13"/>
              </w:rPr>
            </w:pPr>
            <w:r>
              <w:rPr>
                <w:b/>
                <w:spacing w:val="-4"/>
                <w:w w:val="105"/>
                <w:sz w:val="13"/>
              </w:rPr>
              <w:t>2019</w:t>
            </w:r>
          </w:p>
          <w:p>
            <w:pPr>
              <w:pStyle w:val="TableParagraph"/>
              <w:spacing w:line="134" w:lineRule="exact" w:before="30"/>
              <w:ind w:left="163"/>
              <w:rPr>
                <w:b/>
                <w:sz w:val="13"/>
              </w:rPr>
            </w:pPr>
            <w:r>
              <w:rPr>
                <w:b/>
                <w:spacing w:val="-2"/>
                <w:w w:val="105"/>
                <w:sz w:val="13"/>
              </w:rPr>
              <w:t>$'000</w:t>
            </w:r>
          </w:p>
        </w:tc>
        <w:tc>
          <w:tcPr>
            <w:tcW w:w="919" w:type="dxa"/>
            <w:tcBorders>
              <w:bottom w:val="single" w:sz="6" w:space="0" w:color="000000"/>
            </w:tcBorders>
          </w:tcPr>
          <w:p>
            <w:pPr>
              <w:pStyle w:val="TableParagraph"/>
              <w:spacing w:before="2"/>
              <w:ind w:left="178"/>
              <w:rPr>
                <w:b/>
                <w:sz w:val="13"/>
              </w:rPr>
            </w:pPr>
            <w:r>
              <w:rPr>
                <w:b/>
                <w:spacing w:val="-4"/>
                <w:w w:val="105"/>
                <w:sz w:val="13"/>
              </w:rPr>
              <w:t>2020</w:t>
            </w:r>
          </w:p>
          <w:p>
            <w:pPr>
              <w:pStyle w:val="TableParagraph"/>
              <w:spacing w:line="134" w:lineRule="exact" w:before="30"/>
              <w:ind w:left="163"/>
              <w:rPr>
                <w:b/>
                <w:sz w:val="13"/>
              </w:rPr>
            </w:pPr>
            <w:r>
              <w:rPr>
                <w:b/>
                <w:spacing w:val="-2"/>
                <w:w w:val="105"/>
                <w:sz w:val="13"/>
              </w:rPr>
              <w:t>$'000</w:t>
            </w:r>
          </w:p>
        </w:tc>
        <w:tc>
          <w:tcPr>
            <w:tcW w:w="786" w:type="dxa"/>
            <w:tcBorders>
              <w:bottom w:val="single" w:sz="6" w:space="0" w:color="000000"/>
            </w:tcBorders>
          </w:tcPr>
          <w:p>
            <w:pPr>
              <w:pStyle w:val="TableParagraph"/>
              <w:spacing w:before="2"/>
              <w:ind w:left="178"/>
              <w:rPr>
                <w:b/>
                <w:sz w:val="13"/>
              </w:rPr>
            </w:pPr>
            <w:r>
              <w:rPr>
                <w:b/>
                <w:spacing w:val="-4"/>
                <w:w w:val="105"/>
                <w:sz w:val="13"/>
              </w:rPr>
              <w:t>2019</w:t>
            </w:r>
          </w:p>
          <w:p>
            <w:pPr>
              <w:pStyle w:val="TableParagraph"/>
              <w:spacing w:line="134" w:lineRule="exact" w:before="30"/>
              <w:ind w:left="163"/>
              <w:rPr>
                <w:b/>
                <w:sz w:val="13"/>
              </w:rPr>
            </w:pPr>
            <w:r>
              <w:rPr>
                <w:b/>
                <w:spacing w:val="-2"/>
                <w:w w:val="105"/>
                <w:sz w:val="13"/>
              </w:rPr>
              <w:t>$'000</w:t>
            </w:r>
          </w:p>
        </w:tc>
      </w:tr>
      <w:tr>
        <w:trPr>
          <w:trHeight w:val="325" w:hRule="atLeast"/>
        </w:trPr>
        <w:tc>
          <w:tcPr>
            <w:tcW w:w="4724" w:type="dxa"/>
          </w:tcPr>
          <w:p>
            <w:pPr>
              <w:pStyle w:val="TableParagraph"/>
              <w:spacing w:line="148" w:lineRule="exact"/>
              <w:ind w:left="50"/>
              <w:rPr>
                <w:b/>
                <w:sz w:val="13"/>
              </w:rPr>
            </w:pPr>
            <w:r>
              <w:rPr>
                <w:b/>
                <w:spacing w:val="-2"/>
                <w:w w:val="105"/>
                <w:sz w:val="13"/>
              </w:rPr>
              <w:t>Current</w:t>
            </w:r>
          </w:p>
          <w:p>
            <w:pPr>
              <w:pStyle w:val="TableParagraph"/>
              <w:spacing w:line="138" w:lineRule="exact" w:before="18"/>
              <w:ind w:left="50"/>
              <w:rPr>
                <w:sz w:val="13"/>
              </w:rPr>
            </w:pPr>
            <w:r>
              <w:rPr>
                <w:w w:val="105"/>
                <w:sz w:val="13"/>
              </w:rPr>
              <w:t>Trade</w:t>
            </w:r>
            <w:r>
              <w:rPr>
                <w:spacing w:val="-6"/>
                <w:w w:val="105"/>
                <w:sz w:val="13"/>
              </w:rPr>
              <w:t> </w:t>
            </w:r>
            <w:r>
              <w:rPr>
                <w:spacing w:val="-2"/>
                <w:w w:val="105"/>
                <w:sz w:val="13"/>
              </w:rPr>
              <w:t>receivables</w:t>
            </w:r>
          </w:p>
        </w:tc>
        <w:tc>
          <w:tcPr>
            <w:tcW w:w="1054" w:type="dxa"/>
            <w:tcBorders>
              <w:top w:val="single" w:sz="6" w:space="0" w:color="000000"/>
            </w:tcBorders>
          </w:tcPr>
          <w:p>
            <w:pPr>
              <w:pStyle w:val="TableParagraph"/>
              <w:spacing w:before="17"/>
              <w:rPr>
                <w:b/>
                <w:sz w:val="13"/>
              </w:rPr>
            </w:pPr>
          </w:p>
          <w:p>
            <w:pPr>
              <w:pStyle w:val="TableParagraph"/>
              <w:spacing w:line="138" w:lineRule="exact"/>
              <w:ind w:right="206"/>
              <w:jc w:val="right"/>
              <w:rPr>
                <w:sz w:val="13"/>
              </w:rPr>
            </w:pPr>
            <w:r>
              <w:rPr>
                <w:spacing w:val="-2"/>
                <w:w w:val="105"/>
                <w:sz w:val="13"/>
              </w:rPr>
              <w:t>28,363</w:t>
            </w:r>
          </w:p>
        </w:tc>
        <w:tc>
          <w:tcPr>
            <w:tcW w:w="919" w:type="dxa"/>
            <w:tcBorders>
              <w:top w:val="single" w:sz="6" w:space="0" w:color="000000"/>
            </w:tcBorders>
          </w:tcPr>
          <w:p>
            <w:pPr>
              <w:pStyle w:val="TableParagraph"/>
              <w:spacing w:before="17"/>
              <w:rPr>
                <w:b/>
                <w:sz w:val="13"/>
              </w:rPr>
            </w:pPr>
          </w:p>
          <w:p>
            <w:pPr>
              <w:pStyle w:val="TableParagraph"/>
              <w:spacing w:line="138" w:lineRule="exact"/>
              <w:ind w:right="206"/>
              <w:jc w:val="right"/>
              <w:rPr>
                <w:sz w:val="13"/>
              </w:rPr>
            </w:pPr>
            <w:r>
              <w:rPr>
                <w:spacing w:val="-2"/>
                <w:w w:val="105"/>
                <w:sz w:val="13"/>
              </w:rPr>
              <w:t>33,936</w:t>
            </w:r>
          </w:p>
        </w:tc>
        <w:tc>
          <w:tcPr>
            <w:tcW w:w="919" w:type="dxa"/>
            <w:tcBorders>
              <w:top w:val="single" w:sz="6" w:space="0" w:color="000000"/>
            </w:tcBorders>
          </w:tcPr>
          <w:p>
            <w:pPr>
              <w:pStyle w:val="TableParagraph"/>
              <w:spacing w:before="17"/>
              <w:rPr>
                <w:b/>
                <w:sz w:val="13"/>
              </w:rPr>
            </w:pPr>
          </w:p>
          <w:p>
            <w:pPr>
              <w:pStyle w:val="TableParagraph"/>
              <w:spacing w:line="138" w:lineRule="exact"/>
              <w:ind w:left="296"/>
              <w:rPr>
                <w:sz w:val="13"/>
              </w:rPr>
            </w:pPr>
            <w:r>
              <w:rPr>
                <w:spacing w:val="-2"/>
                <w:w w:val="105"/>
                <w:sz w:val="13"/>
              </w:rPr>
              <w:t>28,035</w:t>
            </w:r>
          </w:p>
        </w:tc>
        <w:tc>
          <w:tcPr>
            <w:tcW w:w="786" w:type="dxa"/>
            <w:tcBorders>
              <w:top w:val="single" w:sz="6" w:space="0" w:color="000000"/>
            </w:tcBorders>
          </w:tcPr>
          <w:p>
            <w:pPr>
              <w:pStyle w:val="TableParagraph"/>
              <w:spacing w:before="17"/>
              <w:rPr>
                <w:b/>
                <w:sz w:val="13"/>
              </w:rPr>
            </w:pPr>
          </w:p>
          <w:p>
            <w:pPr>
              <w:pStyle w:val="TableParagraph"/>
              <w:spacing w:line="138" w:lineRule="exact"/>
              <w:ind w:left="296"/>
              <w:rPr>
                <w:sz w:val="13"/>
              </w:rPr>
            </w:pPr>
            <w:r>
              <w:rPr>
                <w:spacing w:val="-2"/>
                <w:w w:val="105"/>
                <w:sz w:val="13"/>
              </w:rPr>
              <w:t>32,684</w:t>
            </w:r>
          </w:p>
        </w:tc>
      </w:tr>
      <w:tr>
        <w:trPr>
          <w:trHeight w:val="164" w:hRule="atLeast"/>
        </w:trPr>
        <w:tc>
          <w:tcPr>
            <w:tcW w:w="4724" w:type="dxa"/>
          </w:tcPr>
          <w:p>
            <w:pPr>
              <w:pStyle w:val="TableParagraph"/>
              <w:spacing w:line="134" w:lineRule="exact" w:before="9"/>
              <w:ind w:left="50"/>
              <w:rPr>
                <w:sz w:val="13"/>
              </w:rPr>
            </w:pPr>
            <w:r>
              <w:rPr>
                <w:w w:val="105"/>
                <w:sz w:val="13"/>
              </w:rPr>
              <w:t>Less:</w:t>
            </w:r>
            <w:r>
              <w:rPr>
                <w:spacing w:val="-8"/>
                <w:w w:val="105"/>
                <w:sz w:val="13"/>
              </w:rPr>
              <w:t> </w:t>
            </w:r>
            <w:r>
              <w:rPr>
                <w:w w:val="105"/>
                <w:sz w:val="13"/>
              </w:rPr>
              <w:t>Allowances</w:t>
            </w:r>
            <w:r>
              <w:rPr>
                <w:spacing w:val="-9"/>
                <w:w w:val="105"/>
                <w:sz w:val="13"/>
              </w:rPr>
              <w:t> </w:t>
            </w:r>
            <w:r>
              <w:rPr>
                <w:w w:val="105"/>
                <w:sz w:val="13"/>
              </w:rPr>
              <w:t>for</w:t>
            </w:r>
            <w:r>
              <w:rPr>
                <w:spacing w:val="-7"/>
                <w:w w:val="105"/>
                <w:sz w:val="13"/>
              </w:rPr>
              <w:t> </w:t>
            </w:r>
            <w:r>
              <w:rPr>
                <w:w w:val="105"/>
                <w:sz w:val="13"/>
              </w:rPr>
              <w:t>expected</w:t>
            </w:r>
            <w:r>
              <w:rPr>
                <w:spacing w:val="-9"/>
                <w:w w:val="105"/>
                <w:sz w:val="13"/>
              </w:rPr>
              <w:t> </w:t>
            </w:r>
            <w:r>
              <w:rPr>
                <w:w w:val="105"/>
                <w:sz w:val="13"/>
              </w:rPr>
              <w:t>credit</w:t>
            </w:r>
            <w:r>
              <w:rPr>
                <w:spacing w:val="-8"/>
                <w:w w:val="105"/>
                <w:sz w:val="13"/>
              </w:rPr>
              <w:t> </w:t>
            </w:r>
            <w:r>
              <w:rPr>
                <w:spacing w:val="-2"/>
                <w:w w:val="105"/>
                <w:sz w:val="13"/>
              </w:rPr>
              <w:t>losses</w:t>
            </w:r>
          </w:p>
        </w:tc>
        <w:tc>
          <w:tcPr>
            <w:tcW w:w="1054" w:type="dxa"/>
            <w:tcBorders>
              <w:bottom w:val="single" w:sz="6" w:space="0" w:color="000000"/>
            </w:tcBorders>
          </w:tcPr>
          <w:p>
            <w:pPr>
              <w:pStyle w:val="TableParagraph"/>
              <w:spacing w:line="134" w:lineRule="exact" w:before="9"/>
              <w:ind w:right="162"/>
              <w:jc w:val="right"/>
              <w:rPr>
                <w:sz w:val="13"/>
              </w:rPr>
            </w:pPr>
            <w:r>
              <w:rPr>
                <w:spacing w:val="-2"/>
                <w:w w:val="105"/>
                <w:sz w:val="13"/>
              </w:rPr>
              <w:t>(2,082)</w:t>
            </w:r>
          </w:p>
        </w:tc>
        <w:tc>
          <w:tcPr>
            <w:tcW w:w="919" w:type="dxa"/>
            <w:tcBorders>
              <w:bottom w:val="single" w:sz="6" w:space="0" w:color="000000"/>
            </w:tcBorders>
          </w:tcPr>
          <w:p>
            <w:pPr>
              <w:pStyle w:val="TableParagraph"/>
              <w:spacing w:line="134" w:lineRule="exact" w:before="9"/>
              <w:ind w:right="162"/>
              <w:jc w:val="right"/>
              <w:rPr>
                <w:sz w:val="13"/>
              </w:rPr>
            </w:pPr>
            <w:r>
              <w:rPr>
                <w:spacing w:val="-2"/>
                <w:w w:val="105"/>
                <w:sz w:val="13"/>
              </w:rPr>
              <w:t>(1,847)</w:t>
            </w:r>
          </w:p>
        </w:tc>
        <w:tc>
          <w:tcPr>
            <w:tcW w:w="919" w:type="dxa"/>
            <w:tcBorders>
              <w:bottom w:val="single" w:sz="6" w:space="0" w:color="000000"/>
            </w:tcBorders>
          </w:tcPr>
          <w:p>
            <w:pPr>
              <w:pStyle w:val="TableParagraph"/>
              <w:spacing w:line="134" w:lineRule="exact" w:before="9"/>
              <w:ind w:right="162"/>
              <w:jc w:val="right"/>
              <w:rPr>
                <w:sz w:val="13"/>
              </w:rPr>
            </w:pPr>
            <w:r>
              <w:rPr>
                <w:spacing w:val="-2"/>
                <w:w w:val="105"/>
                <w:sz w:val="13"/>
              </w:rPr>
              <w:t>(2,060)</w:t>
            </w:r>
          </w:p>
        </w:tc>
        <w:tc>
          <w:tcPr>
            <w:tcW w:w="786" w:type="dxa"/>
            <w:tcBorders>
              <w:bottom w:val="single" w:sz="6" w:space="0" w:color="000000"/>
            </w:tcBorders>
          </w:tcPr>
          <w:p>
            <w:pPr>
              <w:pStyle w:val="TableParagraph"/>
              <w:spacing w:line="134" w:lineRule="exact" w:before="9"/>
              <w:ind w:right="29"/>
              <w:jc w:val="right"/>
              <w:rPr>
                <w:sz w:val="13"/>
              </w:rPr>
            </w:pPr>
            <w:r>
              <w:rPr>
                <w:spacing w:val="-2"/>
                <w:w w:val="105"/>
                <w:sz w:val="13"/>
              </w:rPr>
              <w:t>(1,823)</w:t>
            </w:r>
          </w:p>
        </w:tc>
      </w:tr>
      <w:tr>
        <w:trPr>
          <w:trHeight w:val="157" w:hRule="atLeast"/>
        </w:trPr>
        <w:tc>
          <w:tcPr>
            <w:tcW w:w="4724" w:type="dxa"/>
          </w:tcPr>
          <w:p>
            <w:pPr>
              <w:pStyle w:val="TableParagraph"/>
              <w:rPr>
                <w:rFonts w:ascii="Times New Roman"/>
                <w:sz w:val="10"/>
              </w:rPr>
            </w:pPr>
          </w:p>
        </w:tc>
        <w:tc>
          <w:tcPr>
            <w:tcW w:w="1054" w:type="dxa"/>
            <w:tcBorders>
              <w:top w:val="single" w:sz="6" w:space="0" w:color="000000"/>
            </w:tcBorders>
          </w:tcPr>
          <w:p>
            <w:pPr>
              <w:pStyle w:val="TableParagraph"/>
              <w:spacing w:line="137" w:lineRule="exact"/>
              <w:ind w:right="206"/>
              <w:jc w:val="right"/>
              <w:rPr>
                <w:sz w:val="13"/>
              </w:rPr>
            </w:pPr>
            <w:r>
              <w:rPr>
                <w:spacing w:val="-2"/>
                <w:w w:val="105"/>
                <w:sz w:val="13"/>
              </w:rPr>
              <w:t>26,281</w:t>
            </w:r>
          </w:p>
        </w:tc>
        <w:tc>
          <w:tcPr>
            <w:tcW w:w="919" w:type="dxa"/>
            <w:tcBorders>
              <w:top w:val="single" w:sz="6" w:space="0" w:color="000000"/>
            </w:tcBorders>
          </w:tcPr>
          <w:p>
            <w:pPr>
              <w:pStyle w:val="TableParagraph"/>
              <w:spacing w:line="137" w:lineRule="exact"/>
              <w:ind w:right="206"/>
              <w:jc w:val="right"/>
              <w:rPr>
                <w:sz w:val="13"/>
              </w:rPr>
            </w:pPr>
            <w:r>
              <w:rPr>
                <w:spacing w:val="-2"/>
                <w:w w:val="105"/>
                <w:sz w:val="13"/>
              </w:rPr>
              <w:t>32,089</w:t>
            </w:r>
          </w:p>
        </w:tc>
        <w:tc>
          <w:tcPr>
            <w:tcW w:w="919" w:type="dxa"/>
            <w:tcBorders>
              <w:top w:val="single" w:sz="6" w:space="0" w:color="000000"/>
            </w:tcBorders>
          </w:tcPr>
          <w:p>
            <w:pPr>
              <w:pStyle w:val="TableParagraph"/>
              <w:spacing w:line="137" w:lineRule="exact"/>
              <w:ind w:left="296"/>
              <w:rPr>
                <w:sz w:val="13"/>
              </w:rPr>
            </w:pPr>
            <w:r>
              <w:rPr>
                <w:spacing w:val="-2"/>
                <w:w w:val="105"/>
                <w:sz w:val="13"/>
              </w:rPr>
              <w:t>25,975</w:t>
            </w:r>
          </w:p>
        </w:tc>
        <w:tc>
          <w:tcPr>
            <w:tcW w:w="786" w:type="dxa"/>
            <w:tcBorders>
              <w:top w:val="single" w:sz="6" w:space="0" w:color="000000"/>
            </w:tcBorders>
          </w:tcPr>
          <w:p>
            <w:pPr>
              <w:pStyle w:val="TableParagraph"/>
              <w:spacing w:line="137" w:lineRule="exact"/>
              <w:ind w:left="296"/>
              <w:rPr>
                <w:sz w:val="13"/>
              </w:rPr>
            </w:pPr>
            <w:r>
              <w:rPr>
                <w:spacing w:val="-2"/>
                <w:w w:val="105"/>
                <w:sz w:val="13"/>
              </w:rPr>
              <w:t>30,861</w:t>
            </w:r>
          </w:p>
        </w:tc>
      </w:tr>
      <w:tr>
        <w:trPr>
          <w:trHeight w:val="164" w:hRule="atLeast"/>
        </w:trPr>
        <w:tc>
          <w:tcPr>
            <w:tcW w:w="4724" w:type="dxa"/>
          </w:tcPr>
          <w:p>
            <w:pPr>
              <w:pStyle w:val="TableParagraph"/>
              <w:spacing w:line="134" w:lineRule="exact" w:before="9"/>
              <w:ind w:left="50"/>
              <w:rPr>
                <w:sz w:val="13"/>
              </w:rPr>
            </w:pPr>
            <w:r>
              <w:rPr>
                <w:w w:val="105"/>
                <w:sz w:val="13"/>
              </w:rPr>
              <w:t>Accrued</w:t>
            </w:r>
            <w:r>
              <w:rPr>
                <w:spacing w:val="-7"/>
                <w:w w:val="105"/>
                <w:sz w:val="13"/>
              </w:rPr>
              <w:t> </w:t>
            </w:r>
            <w:r>
              <w:rPr>
                <w:spacing w:val="-2"/>
                <w:w w:val="105"/>
                <w:sz w:val="13"/>
              </w:rPr>
              <w:t>income</w:t>
            </w:r>
          </w:p>
        </w:tc>
        <w:tc>
          <w:tcPr>
            <w:tcW w:w="1054" w:type="dxa"/>
            <w:tcBorders>
              <w:bottom w:val="single" w:sz="6" w:space="0" w:color="000000"/>
            </w:tcBorders>
          </w:tcPr>
          <w:p>
            <w:pPr>
              <w:pStyle w:val="TableParagraph"/>
              <w:spacing w:line="134" w:lineRule="exact" w:before="9"/>
              <w:ind w:right="206"/>
              <w:jc w:val="right"/>
              <w:rPr>
                <w:sz w:val="13"/>
              </w:rPr>
            </w:pPr>
            <w:r>
              <w:rPr>
                <w:spacing w:val="-2"/>
                <w:w w:val="105"/>
                <w:sz w:val="13"/>
              </w:rPr>
              <w:t>15,026</w:t>
            </w:r>
          </w:p>
        </w:tc>
        <w:tc>
          <w:tcPr>
            <w:tcW w:w="919" w:type="dxa"/>
            <w:tcBorders>
              <w:bottom w:val="single" w:sz="6" w:space="0" w:color="000000"/>
            </w:tcBorders>
          </w:tcPr>
          <w:p>
            <w:pPr>
              <w:pStyle w:val="TableParagraph"/>
              <w:spacing w:line="134" w:lineRule="exact" w:before="9"/>
              <w:ind w:right="206"/>
              <w:jc w:val="right"/>
              <w:rPr>
                <w:sz w:val="13"/>
              </w:rPr>
            </w:pPr>
            <w:r>
              <w:rPr>
                <w:spacing w:val="-2"/>
                <w:w w:val="105"/>
                <w:sz w:val="13"/>
              </w:rPr>
              <w:t>21,989</w:t>
            </w:r>
          </w:p>
        </w:tc>
        <w:tc>
          <w:tcPr>
            <w:tcW w:w="919" w:type="dxa"/>
            <w:tcBorders>
              <w:bottom w:val="single" w:sz="6" w:space="0" w:color="000000"/>
            </w:tcBorders>
          </w:tcPr>
          <w:p>
            <w:pPr>
              <w:pStyle w:val="TableParagraph"/>
              <w:spacing w:line="134" w:lineRule="exact" w:before="9"/>
              <w:ind w:left="296"/>
              <w:rPr>
                <w:sz w:val="13"/>
              </w:rPr>
            </w:pPr>
            <w:r>
              <w:rPr>
                <w:spacing w:val="-2"/>
                <w:w w:val="105"/>
                <w:sz w:val="13"/>
              </w:rPr>
              <w:t>14,754</w:t>
            </w:r>
          </w:p>
        </w:tc>
        <w:tc>
          <w:tcPr>
            <w:tcW w:w="786" w:type="dxa"/>
            <w:tcBorders>
              <w:bottom w:val="single" w:sz="6" w:space="0" w:color="000000"/>
            </w:tcBorders>
          </w:tcPr>
          <w:p>
            <w:pPr>
              <w:pStyle w:val="TableParagraph"/>
              <w:spacing w:line="134" w:lineRule="exact" w:before="9"/>
              <w:ind w:left="296"/>
              <w:rPr>
                <w:sz w:val="13"/>
              </w:rPr>
            </w:pPr>
            <w:r>
              <w:rPr>
                <w:spacing w:val="-2"/>
                <w:w w:val="105"/>
                <w:sz w:val="13"/>
              </w:rPr>
              <w:t>22,222</w:t>
            </w:r>
          </w:p>
        </w:tc>
      </w:tr>
      <w:tr>
        <w:trPr>
          <w:trHeight w:val="153" w:hRule="atLeast"/>
        </w:trPr>
        <w:tc>
          <w:tcPr>
            <w:tcW w:w="4724" w:type="dxa"/>
          </w:tcPr>
          <w:p>
            <w:pPr>
              <w:pStyle w:val="TableParagraph"/>
              <w:spacing w:line="133" w:lineRule="exact"/>
              <w:ind w:left="50"/>
              <w:rPr>
                <w:b/>
                <w:sz w:val="13"/>
              </w:rPr>
            </w:pPr>
            <w:r>
              <w:rPr>
                <w:b/>
                <w:w w:val="105"/>
                <w:sz w:val="13"/>
              </w:rPr>
              <w:t>Total</w:t>
            </w:r>
            <w:r>
              <w:rPr>
                <w:b/>
                <w:spacing w:val="-5"/>
                <w:w w:val="105"/>
                <w:sz w:val="13"/>
              </w:rPr>
              <w:t> </w:t>
            </w:r>
            <w:r>
              <w:rPr>
                <w:b/>
                <w:w w:val="105"/>
                <w:sz w:val="13"/>
              </w:rPr>
              <w:t>current</w:t>
            </w:r>
            <w:r>
              <w:rPr>
                <w:b/>
                <w:spacing w:val="-4"/>
                <w:w w:val="105"/>
                <w:sz w:val="13"/>
              </w:rPr>
              <w:t> </w:t>
            </w:r>
            <w:r>
              <w:rPr>
                <w:b/>
                <w:spacing w:val="-2"/>
                <w:w w:val="105"/>
                <w:sz w:val="13"/>
              </w:rPr>
              <w:t>receivables</w:t>
            </w:r>
          </w:p>
        </w:tc>
        <w:tc>
          <w:tcPr>
            <w:tcW w:w="1054" w:type="dxa"/>
            <w:tcBorders>
              <w:top w:val="single" w:sz="6" w:space="0" w:color="000000"/>
              <w:bottom w:val="single" w:sz="6" w:space="0" w:color="000000"/>
            </w:tcBorders>
          </w:tcPr>
          <w:p>
            <w:pPr>
              <w:pStyle w:val="TableParagraph"/>
              <w:spacing w:line="133" w:lineRule="exact"/>
              <w:ind w:right="206"/>
              <w:jc w:val="right"/>
              <w:rPr>
                <w:sz w:val="13"/>
              </w:rPr>
            </w:pPr>
            <w:r>
              <w:rPr>
                <w:spacing w:val="-2"/>
                <w:w w:val="105"/>
                <w:sz w:val="13"/>
              </w:rPr>
              <w:t>41,307</w:t>
            </w:r>
          </w:p>
        </w:tc>
        <w:tc>
          <w:tcPr>
            <w:tcW w:w="919" w:type="dxa"/>
            <w:tcBorders>
              <w:top w:val="single" w:sz="6" w:space="0" w:color="000000"/>
              <w:bottom w:val="single" w:sz="6" w:space="0" w:color="000000"/>
            </w:tcBorders>
          </w:tcPr>
          <w:p>
            <w:pPr>
              <w:pStyle w:val="TableParagraph"/>
              <w:spacing w:line="133" w:lineRule="exact"/>
              <w:ind w:right="206"/>
              <w:jc w:val="right"/>
              <w:rPr>
                <w:sz w:val="13"/>
              </w:rPr>
            </w:pPr>
            <w:r>
              <w:rPr>
                <w:spacing w:val="-2"/>
                <w:w w:val="105"/>
                <w:sz w:val="13"/>
              </w:rPr>
              <w:t>54,078</w:t>
            </w:r>
          </w:p>
        </w:tc>
        <w:tc>
          <w:tcPr>
            <w:tcW w:w="919" w:type="dxa"/>
            <w:tcBorders>
              <w:top w:val="single" w:sz="6" w:space="0" w:color="000000"/>
              <w:bottom w:val="single" w:sz="6" w:space="0" w:color="000000"/>
            </w:tcBorders>
          </w:tcPr>
          <w:p>
            <w:pPr>
              <w:pStyle w:val="TableParagraph"/>
              <w:spacing w:line="133" w:lineRule="exact"/>
              <w:ind w:left="296"/>
              <w:rPr>
                <w:sz w:val="13"/>
              </w:rPr>
            </w:pPr>
            <w:r>
              <w:rPr>
                <w:spacing w:val="-2"/>
                <w:w w:val="105"/>
                <w:sz w:val="13"/>
              </w:rPr>
              <w:t>40,729</w:t>
            </w:r>
          </w:p>
        </w:tc>
        <w:tc>
          <w:tcPr>
            <w:tcW w:w="786" w:type="dxa"/>
            <w:tcBorders>
              <w:top w:val="single" w:sz="6" w:space="0" w:color="000000"/>
              <w:bottom w:val="single" w:sz="6" w:space="0" w:color="000000"/>
            </w:tcBorders>
          </w:tcPr>
          <w:p>
            <w:pPr>
              <w:pStyle w:val="TableParagraph"/>
              <w:spacing w:line="133" w:lineRule="exact"/>
              <w:ind w:left="296"/>
              <w:rPr>
                <w:sz w:val="13"/>
              </w:rPr>
            </w:pPr>
            <w:r>
              <w:rPr>
                <w:spacing w:val="-2"/>
                <w:w w:val="105"/>
                <w:sz w:val="13"/>
              </w:rPr>
              <w:t>53,083</w:t>
            </w:r>
          </w:p>
        </w:tc>
      </w:tr>
      <w:tr>
        <w:trPr>
          <w:trHeight w:val="489" w:hRule="atLeast"/>
        </w:trPr>
        <w:tc>
          <w:tcPr>
            <w:tcW w:w="4724" w:type="dxa"/>
          </w:tcPr>
          <w:p>
            <w:pPr>
              <w:pStyle w:val="TableParagraph"/>
              <w:spacing w:before="17"/>
              <w:rPr>
                <w:b/>
                <w:sz w:val="13"/>
              </w:rPr>
            </w:pPr>
          </w:p>
          <w:p>
            <w:pPr>
              <w:pStyle w:val="TableParagraph"/>
              <w:ind w:left="50"/>
              <w:rPr>
                <w:sz w:val="13"/>
              </w:rPr>
            </w:pPr>
            <w:r>
              <w:rPr>
                <w:w w:val="105"/>
                <w:sz w:val="13"/>
              </w:rPr>
              <w:t>Contract</w:t>
            </w:r>
            <w:r>
              <w:rPr>
                <w:spacing w:val="-9"/>
                <w:w w:val="105"/>
                <w:sz w:val="13"/>
              </w:rPr>
              <w:t> </w:t>
            </w:r>
            <w:r>
              <w:rPr>
                <w:spacing w:val="-2"/>
                <w:w w:val="105"/>
                <w:sz w:val="13"/>
              </w:rPr>
              <w:t>Assets</w:t>
            </w:r>
          </w:p>
        </w:tc>
        <w:tc>
          <w:tcPr>
            <w:tcW w:w="1054" w:type="dxa"/>
            <w:tcBorders>
              <w:top w:val="single" w:sz="6" w:space="0" w:color="000000"/>
              <w:bottom w:val="single" w:sz="6" w:space="0" w:color="000000"/>
            </w:tcBorders>
          </w:tcPr>
          <w:p>
            <w:pPr>
              <w:pStyle w:val="TableParagraph"/>
              <w:spacing w:before="17"/>
              <w:rPr>
                <w:b/>
                <w:sz w:val="13"/>
              </w:rPr>
            </w:pPr>
          </w:p>
          <w:p>
            <w:pPr>
              <w:pStyle w:val="TableParagraph"/>
              <w:ind w:right="206"/>
              <w:jc w:val="right"/>
              <w:rPr>
                <w:sz w:val="13"/>
              </w:rPr>
            </w:pPr>
            <w:r>
              <w:rPr>
                <w:spacing w:val="-2"/>
                <w:w w:val="105"/>
                <w:sz w:val="13"/>
              </w:rPr>
              <w:t>9,544</w:t>
            </w:r>
          </w:p>
        </w:tc>
        <w:tc>
          <w:tcPr>
            <w:tcW w:w="919" w:type="dxa"/>
            <w:tcBorders>
              <w:top w:val="single" w:sz="6" w:space="0" w:color="000000"/>
              <w:bottom w:val="single" w:sz="6" w:space="0" w:color="000000"/>
            </w:tcBorders>
          </w:tcPr>
          <w:p>
            <w:pPr>
              <w:pStyle w:val="TableParagraph"/>
              <w:spacing w:before="22"/>
              <w:rPr>
                <w:b/>
                <w:sz w:val="13"/>
              </w:rPr>
            </w:pPr>
          </w:p>
          <w:p>
            <w:pPr>
              <w:pStyle w:val="TableParagraph"/>
              <w:ind w:right="206"/>
              <w:jc w:val="right"/>
              <w:rPr>
                <w:sz w:val="13"/>
              </w:rPr>
            </w:pPr>
            <w:r>
              <w:rPr>
                <w:spacing w:val="-2"/>
                <w:w w:val="105"/>
                <w:sz w:val="13"/>
              </w:rPr>
              <w:t>1,057</w:t>
            </w:r>
          </w:p>
        </w:tc>
        <w:tc>
          <w:tcPr>
            <w:tcW w:w="919" w:type="dxa"/>
            <w:tcBorders>
              <w:top w:val="single" w:sz="6" w:space="0" w:color="000000"/>
              <w:bottom w:val="single" w:sz="6" w:space="0" w:color="000000"/>
            </w:tcBorders>
          </w:tcPr>
          <w:p>
            <w:pPr>
              <w:pStyle w:val="TableParagraph"/>
              <w:spacing w:before="17"/>
              <w:rPr>
                <w:b/>
                <w:sz w:val="13"/>
              </w:rPr>
            </w:pPr>
          </w:p>
          <w:p>
            <w:pPr>
              <w:pStyle w:val="TableParagraph"/>
              <w:ind w:left="371"/>
              <w:rPr>
                <w:sz w:val="13"/>
              </w:rPr>
            </w:pPr>
            <w:r>
              <w:rPr>
                <w:spacing w:val="-2"/>
                <w:w w:val="105"/>
                <w:sz w:val="13"/>
              </w:rPr>
              <w:t>9,544</w:t>
            </w:r>
          </w:p>
        </w:tc>
        <w:tc>
          <w:tcPr>
            <w:tcW w:w="786" w:type="dxa"/>
            <w:tcBorders>
              <w:top w:val="single" w:sz="6" w:space="0" w:color="000000"/>
              <w:bottom w:val="single" w:sz="6" w:space="0" w:color="000000"/>
            </w:tcBorders>
          </w:tcPr>
          <w:p>
            <w:pPr>
              <w:pStyle w:val="TableParagraph"/>
              <w:spacing w:before="22"/>
              <w:rPr>
                <w:b/>
                <w:sz w:val="13"/>
              </w:rPr>
            </w:pPr>
          </w:p>
          <w:p>
            <w:pPr>
              <w:pStyle w:val="TableParagraph"/>
              <w:ind w:left="371"/>
              <w:rPr>
                <w:sz w:val="13"/>
              </w:rPr>
            </w:pPr>
            <w:r>
              <w:rPr>
                <w:spacing w:val="-2"/>
                <w:w w:val="105"/>
                <w:sz w:val="13"/>
              </w:rPr>
              <w:t>1,057</w:t>
            </w:r>
          </w:p>
        </w:tc>
      </w:tr>
      <w:tr>
        <w:trPr>
          <w:trHeight w:val="153" w:hRule="atLeast"/>
        </w:trPr>
        <w:tc>
          <w:tcPr>
            <w:tcW w:w="4724" w:type="dxa"/>
          </w:tcPr>
          <w:p>
            <w:pPr>
              <w:pStyle w:val="TableParagraph"/>
              <w:spacing w:line="133" w:lineRule="exact"/>
              <w:ind w:left="50"/>
              <w:rPr>
                <w:b/>
                <w:sz w:val="13"/>
              </w:rPr>
            </w:pPr>
            <w:r>
              <w:rPr>
                <w:b/>
                <w:w w:val="105"/>
                <w:sz w:val="13"/>
              </w:rPr>
              <w:t>Total</w:t>
            </w:r>
            <w:r>
              <w:rPr>
                <w:b/>
                <w:spacing w:val="-8"/>
                <w:w w:val="105"/>
                <w:sz w:val="13"/>
              </w:rPr>
              <w:t> </w:t>
            </w:r>
            <w:r>
              <w:rPr>
                <w:b/>
                <w:w w:val="105"/>
                <w:sz w:val="13"/>
              </w:rPr>
              <w:t>current</w:t>
            </w:r>
            <w:r>
              <w:rPr>
                <w:b/>
                <w:spacing w:val="-7"/>
                <w:w w:val="105"/>
                <w:sz w:val="13"/>
              </w:rPr>
              <w:t> </w:t>
            </w:r>
            <w:r>
              <w:rPr>
                <w:b/>
                <w:w w:val="105"/>
                <w:sz w:val="13"/>
              </w:rPr>
              <w:t>receivables</w:t>
            </w:r>
            <w:r>
              <w:rPr>
                <w:b/>
                <w:spacing w:val="-8"/>
                <w:w w:val="105"/>
                <w:sz w:val="13"/>
              </w:rPr>
              <w:t> </w:t>
            </w:r>
            <w:r>
              <w:rPr>
                <w:b/>
                <w:w w:val="105"/>
                <w:sz w:val="13"/>
              </w:rPr>
              <w:t>and</w:t>
            </w:r>
            <w:r>
              <w:rPr>
                <w:b/>
                <w:spacing w:val="-8"/>
                <w:w w:val="105"/>
                <w:sz w:val="13"/>
              </w:rPr>
              <w:t> </w:t>
            </w:r>
            <w:r>
              <w:rPr>
                <w:b/>
                <w:w w:val="105"/>
                <w:sz w:val="13"/>
              </w:rPr>
              <w:t>contract</w:t>
            </w:r>
            <w:r>
              <w:rPr>
                <w:b/>
                <w:spacing w:val="-7"/>
                <w:w w:val="105"/>
                <w:sz w:val="13"/>
              </w:rPr>
              <w:t> </w:t>
            </w:r>
            <w:r>
              <w:rPr>
                <w:b/>
                <w:spacing w:val="-2"/>
                <w:w w:val="105"/>
                <w:sz w:val="13"/>
              </w:rPr>
              <w:t>assets</w:t>
            </w:r>
          </w:p>
        </w:tc>
        <w:tc>
          <w:tcPr>
            <w:tcW w:w="1054" w:type="dxa"/>
            <w:tcBorders>
              <w:top w:val="single" w:sz="6" w:space="0" w:color="000000"/>
              <w:bottom w:val="single" w:sz="6" w:space="0" w:color="000000"/>
            </w:tcBorders>
          </w:tcPr>
          <w:p>
            <w:pPr>
              <w:pStyle w:val="TableParagraph"/>
              <w:spacing w:line="133" w:lineRule="exact"/>
              <w:ind w:right="206"/>
              <w:jc w:val="right"/>
              <w:rPr>
                <w:b/>
                <w:sz w:val="13"/>
              </w:rPr>
            </w:pPr>
            <w:r>
              <w:rPr>
                <w:b/>
                <w:spacing w:val="-2"/>
                <w:w w:val="105"/>
                <w:sz w:val="13"/>
              </w:rPr>
              <w:t>50,851</w:t>
            </w:r>
          </w:p>
        </w:tc>
        <w:tc>
          <w:tcPr>
            <w:tcW w:w="919" w:type="dxa"/>
            <w:tcBorders>
              <w:top w:val="single" w:sz="6" w:space="0" w:color="000000"/>
              <w:bottom w:val="single" w:sz="6" w:space="0" w:color="000000"/>
            </w:tcBorders>
          </w:tcPr>
          <w:p>
            <w:pPr>
              <w:pStyle w:val="TableParagraph"/>
              <w:spacing w:line="133" w:lineRule="exact"/>
              <w:ind w:right="206"/>
              <w:jc w:val="right"/>
              <w:rPr>
                <w:b/>
                <w:sz w:val="13"/>
              </w:rPr>
            </w:pPr>
            <w:r>
              <w:rPr>
                <w:b/>
                <w:spacing w:val="-2"/>
                <w:w w:val="105"/>
                <w:sz w:val="13"/>
              </w:rPr>
              <w:t>55,135</w:t>
            </w:r>
          </w:p>
        </w:tc>
        <w:tc>
          <w:tcPr>
            <w:tcW w:w="919" w:type="dxa"/>
            <w:tcBorders>
              <w:top w:val="single" w:sz="6" w:space="0" w:color="000000"/>
              <w:bottom w:val="single" w:sz="6" w:space="0" w:color="000000"/>
            </w:tcBorders>
          </w:tcPr>
          <w:p>
            <w:pPr>
              <w:pStyle w:val="TableParagraph"/>
              <w:spacing w:line="133" w:lineRule="exact"/>
              <w:ind w:left="296"/>
              <w:rPr>
                <w:b/>
                <w:sz w:val="13"/>
              </w:rPr>
            </w:pPr>
            <w:r>
              <w:rPr>
                <w:b/>
                <w:spacing w:val="-2"/>
                <w:w w:val="105"/>
                <w:sz w:val="13"/>
              </w:rPr>
              <w:t>50,273</w:t>
            </w:r>
          </w:p>
        </w:tc>
        <w:tc>
          <w:tcPr>
            <w:tcW w:w="786" w:type="dxa"/>
            <w:tcBorders>
              <w:top w:val="single" w:sz="6" w:space="0" w:color="000000"/>
              <w:bottom w:val="single" w:sz="6" w:space="0" w:color="000000"/>
            </w:tcBorders>
          </w:tcPr>
          <w:p>
            <w:pPr>
              <w:pStyle w:val="TableParagraph"/>
              <w:spacing w:line="133" w:lineRule="exact"/>
              <w:ind w:left="296"/>
              <w:rPr>
                <w:b/>
                <w:sz w:val="13"/>
              </w:rPr>
            </w:pPr>
            <w:r>
              <w:rPr>
                <w:b/>
                <w:spacing w:val="-2"/>
                <w:w w:val="105"/>
                <w:sz w:val="13"/>
              </w:rPr>
              <w:t>54,140</w:t>
            </w:r>
          </w:p>
        </w:tc>
      </w:tr>
      <w:tr>
        <w:trPr>
          <w:trHeight w:val="489" w:hRule="atLeast"/>
        </w:trPr>
        <w:tc>
          <w:tcPr>
            <w:tcW w:w="4724" w:type="dxa"/>
          </w:tcPr>
          <w:p>
            <w:pPr>
              <w:pStyle w:val="TableParagraph"/>
              <w:spacing w:before="17"/>
              <w:rPr>
                <w:b/>
                <w:sz w:val="13"/>
              </w:rPr>
            </w:pPr>
          </w:p>
          <w:p>
            <w:pPr>
              <w:pStyle w:val="TableParagraph"/>
              <w:ind w:left="50"/>
              <w:rPr>
                <w:b/>
                <w:sz w:val="13"/>
              </w:rPr>
            </w:pPr>
            <w:r>
              <w:rPr>
                <w:b/>
                <w:w w:val="105"/>
                <w:sz w:val="13"/>
              </w:rPr>
              <w:t>Non-</w:t>
            </w:r>
            <w:r>
              <w:rPr>
                <w:b/>
                <w:spacing w:val="-2"/>
                <w:w w:val="105"/>
                <w:sz w:val="13"/>
              </w:rPr>
              <w:t>current</w:t>
            </w:r>
          </w:p>
          <w:p>
            <w:pPr>
              <w:pStyle w:val="TableParagraph"/>
              <w:spacing w:line="134" w:lineRule="exact" w:before="19"/>
              <w:ind w:left="50"/>
              <w:rPr>
                <w:sz w:val="13"/>
              </w:rPr>
            </w:pPr>
            <w:r>
              <w:rPr>
                <w:w w:val="105"/>
                <w:sz w:val="13"/>
              </w:rPr>
              <w:t>Trade</w:t>
            </w:r>
            <w:r>
              <w:rPr>
                <w:spacing w:val="-6"/>
                <w:w w:val="105"/>
                <w:sz w:val="13"/>
              </w:rPr>
              <w:t> </w:t>
            </w:r>
            <w:r>
              <w:rPr>
                <w:spacing w:val="-2"/>
                <w:w w:val="105"/>
                <w:sz w:val="13"/>
              </w:rPr>
              <w:t>receivables</w:t>
            </w:r>
          </w:p>
        </w:tc>
        <w:tc>
          <w:tcPr>
            <w:tcW w:w="1054" w:type="dxa"/>
            <w:tcBorders>
              <w:top w:val="single" w:sz="6" w:space="0" w:color="000000"/>
              <w:bottom w:val="single" w:sz="6" w:space="0" w:color="000000"/>
            </w:tcBorders>
          </w:tcPr>
          <w:p>
            <w:pPr>
              <w:pStyle w:val="TableParagraph"/>
              <w:rPr>
                <w:b/>
                <w:sz w:val="13"/>
              </w:rPr>
            </w:pPr>
          </w:p>
          <w:p>
            <w:pPr>
              <w:pStyle w:val="TableParagraph"/>
              <w:spacing w:before="36"/>
              <w:rPr>
                <w:b/>
                <w:sz w:val="13"/>
              </w:rPr>
            </w:pPr>
          </w:p>
          <w:p>
            <w:pPr>
              <w:pStyle w:val="TableParagraph"/>
              <w:spacing w:line="134" w:lineRule="exact"/>
              <w:ind w:right="206"/>
              <w:jc w:val="right"/>
              <w:rPr>
                <w:sz w:val="13"/>
              </w:rPr>
            </w:pPr>
            <w:r>
              <w:rPr>
                <w:spacing w:val="-5"/>
                <w:w w:val="105"/>
                <w:sz w:val="13"/>
              </w:rPr>
              <w:t>15</w:t>
            </w:r>
          </w:p>
        </w:tc>
        <w:tc>
          <w:tcPr>
            <w:tcW w:w="919" w:type="dxa"/>
            <w:tcBorders>
              <w:top w:val="single" w:sz="6" w:space="0" w:color="000000"/>
              <w:bottom w:val="single" w:sz="6" w:space="0" w:color="000000"/>
            </w:tcBorders>
          </w:tcPr>
          <w:p>
            <w:pPr>
              <w:pStyle w:val="TableParagraph"/>
              <w:rPr>
                <w:b/>
                <w:sz w:val="13"/>
              </w:rPr>
            </w:pPr>
          </w:p>
          <w:p>
            <w:pPr>
              <w:pStyle w:val="TableParagraph"/>
              <w:spacing w:before="36"/>
              <w:rPr>
                <w:b/>
                <w:sz w:val="13"/>
              </w:rPr>
            </w:pPr>
          </w:p>
          <w:p>
            <w:pPr>
              <w:pStyle w:val="TableParagraph"/>
              <w:spacing w:line="134" w:lineRule="exact"/>
              <w:ind w:right="206"/>
              <w:jc w:val="right"/>
              <w:rPr>
                <w:sz w:val="13"/>
              </w:rPr>
            </w:pPr>
            <w:r>
              <w:rPr>
                <w:spacing w:val="-5"/>
                <w:w w:val="105"/>
                <w:sz w:val="13"/>
              </w:rPr>
              <w:t>53</w:t>
            </w:r>
          </w:p>
        </w:tc>
        <w:tc>
          <w:tcPr>
            <w:tcW w:w="919" w:type="dxa"/>
            <w:tcBorders>
              <w:top w:val="single" w:sz="6" w:space="0" w:color="000000"/>
              <w:bottom w:val="single" w:sz="6" w:space="0" w:color="000000"/>
            </w:tcBorders>
          </w:tcPr>
          <w:p>
            <w:pPr>
              <w:pStyle w:val="TableParagraph"/>
              <w:rPr>
                <w:b/>
                <w:sz w:val="13"/>
              </w:rPr>
            </w:pPr>
          </w:p>
          <w:p>
            <w:pPr>
              <w:pStyle w:val="TableParagraph"/>
              <w:spacing w:before="36"/>
              <w:rPr>
                <w:b/>
                <w:sz w:val="13"/>
              </w:rPr>
            </w:pPr>
          </w:p>
          <w:p>
            <w:pPr>
              <w:pStyle w:val="TableParagraph"/>
              <w:spacing w:line="134" w:lineRule="exact"/>
              <w:ind w:right="206"/>
              <w:jc w:val="right"/>
              <w:rPr>
                <w:sz w:val="13"/>
              </w:rPr>
            </w:pPr>
            <w:r>
              <w:rPr>
                <w:spacing w:val="-5"/>
                <w:w w:val="105"/>
                <w:sz w:val="13"/>
              </w:rPr>
              <w:t>15</w:t>
            </w:r>
          </w:p>
        </w:tc>
        <w:tc>
          <w:tcPr>
            <w:tcW w:w="786" w:type="dxa"/>
            <w:tcBorders>
              <w:top w:val="single" w:sz="6" w:space="0" w:color="000000"/>
              <w:bottom w:val="single" w:sz="6" w:space="0" w:color="000000"/>
            </w:tcBorders>
          </w:tcPr>
          <w:p>
            <w:pPr>
              <w:pStyle w:val="TableParagraph"/>
              <w:rPr>
                <w:b/>
                <w:sz w:val="13"/>
              </w:rPr>
            </w:pPr>
          </w:p>
          <w:p>
            <w:pPr>
              <w:pStyle w:val="TableParagraph"/>
              <w:spacing w:before="36"/>
              <w:rPr>
                <w:b/>
                <w:sz w:val="13"/>
              </w:rPr>
            </w:pPr>
          </w:p>
          <w:p>
            <w:pPr>
              <w:pStyle w:val="TableParagraph"/>
              <w:spacing w:line="134" w:lineRule="exact"/>
              <w:ind w:right="73"/>
              <w:jc w:val="right"/>
              <w:rPr>
                <w:sz w:val="13"/>
              </w:rPr>
            </w:pPr>
            <w:r>
              <w:rPr>
                <w:spacing w:val="-5"/>
                <w:w w:val="105"/>
                <w:sz w:val="13"/>
              </w:rPr>
              <w:t>53</w:t>
            </w:r>
          </w:p>
        </w:tc>
      </w:tr>
      <w:tr>
        <w:trPr>
          <w:trHeight w:val="153" w:hRule="atLeast"/>
        </w:trPr>
        <w:tc>
          <w:tcPr>
            <w:tcW w:w="4724" w:type="dxa"/>
          </w:tcPr>
          <w:p>
            <w:pPr>
              <w:pStyle w:val="TableParagraph"/>
              <w:spacing w:line="133" w:lineRule="exact"/>
              <w:ind w:left="50"/>
              <w:rPr>
                <w:b/>
                <w:sz w:val="13"/>
              </w:rPr>
            </w:pPr>
            <w:r>
              <w:rPr>
                <w:b/>
                <w:w w:val="105"/>
                <w:sz w:val="13"/>
              </w:rPr>
              <w:t>Total</w:t>
            </w:r>
            <w:r>
              <w:rPr>
                <w:b/>
                <w:spacing w:val="-8"/>
                <w:w w:val="105"/>
                <w:sz w:val="13"/>
              </w:rPr>
              <w:t> </w:t>
            </w:r>
            <w:r>
              <w:rPr>
                <w:b/>
                <w:w w:val="105"/>
                <w:sz w:val="13"/>
              </w:rPr>
              <w:t>non-current</w:t>
            </w:r>
            <w:r>
              <w:rPr>
                <w:b/>
                <w:spacing w:val="-7"/>
                <w:w w:val="105"/>
                <w:sz w:val="13"/>
              </w:rPr>
              <w:t> </w:t>
            </w:r>
            <w:r>
              <w:rPr>
                <w:b/>
                <w:w w:val="105"/>
                <w:sz w:val="13"/>
              </w:rPr>
              <w:t>receivables</w:t>
            </w:r>
            <w:r>
              <w:rPr>
                <w:b/>
                <w:spacing w:val="-8"/>
                <w:w w:val="105"/>
                <w:sz w:val="13"/>
              </w:rPr>
              <w:t> </w:t>
            </w:r>
            <w:r>
              <w:rPr>
                <w:b/>
                <w:w w:val="105"/>
                <w:sz w:val="13"/>
              </w:rPr>
              <w:t>and</w:t>
            </w:r>
            <w:r>
              <w:rPr>
                <w:b/>
                <w:spacing w:val="-8"/>
                <w:w w:val="105"/>
                <w:sz w:val="13"/>
              </w:rPr>
              <w:t> </w:t>
            </w:r>
            <w:r>
              <w:rPr>
                <w:b/>
                <w:w w:val="105"/>
                <w:sz w:val="13"/>
              </w:rPr>
              <w:t>contract</w:t>
            </w:r>
            <w:r>
              <w:rPr>
                <w:b/>
                <w:spacing w:val="-7"/>
                <w:w w:val="105"/>
                <w:sz w:val="13"/>
              </w:rPr>
              <w:t> </w:t>
            </w:r>
            <w:r>
              <w:rPr>
                <w:b/>
                <w:spacing w:val="-2"/>
                <w:w w:val="105"/>
                <w:sz w:val="13"/>
              </w:rPr>
              <w:t>assets</w:t>
            </w:r>
          </w:p>
        </w:tc>
        <w:tc>
          <w:tcPr>
            <w:tcW w:w="1054" w:type="dxa"/>
            <w:tcBorders>
              <w:top w:val="single" w:sz="6" w:space="0" w:color="000000"/>
              <w:bottom w:val="single" w:sz="6" w:space="0" w:color="000000"/>
            </w:tcBorders>
          </w:tcPr>
          <w:p>
            <w:pPr>
              <w:pStyle w:val="TableParagraph"/>
              <w:spacing w:line="133" w:lineRule="exact"/>
              <w:ind w:right="206"/>
              <w:jc w:val="right"/>
              <w:rPr>
                <w:b/>
                <w:sz w:val="13"/>
              </w:rPr>
            </w:pPr>
            <w:r>
              <w:rPr>
                <w:b/>
                <w:spacing w:val="-5"/>
                <w:w w:val="105"/>
                <w:sz w:val="13"/>
              </w:rPr>
              <w:t>15</w:t>
            </w:r>
          </w:p>
        </w:tc>
        <w:tc>
          <w:tcPr>
            <w:tcW w:w="919" w:type="dxa"/>
            <w:tcBorders>
              <w:top w:val="single" w:sz="6" w:space="0" w:color="000000"/>
              <w:bottom w:val="single" w:sz="6" w:space="0" w:color="000000"/>
            </w:tcBorders>
          </w:tcPr>
          <w:p>
            <w:pPr>
              <w:pStyle w:val="TableParagraph"/>
              <w:spacing w:line="133" w:lineRule="exact"/>
              <w:ind w:right="206"/>
              <w:jc w:val="right"/>
              <w:rPr>
                <w:b/>
                <w:sz w:val="13"/>
              </w:rPr>
            </w:pPr>
            <w:r>
              <w:rPr>
                <w:b/>
                <w:spacing w:val="-5"/>
                <w:w w:val="105"/>
                <w:sz w:val="13"/>
              </w:rPr>
              <w:t>53</w:t>
            </w:r>
          </w:p>
        </w:tc>
        <w:tc>
          <w:tcPr>
            <w:tcW w:w="919" w:type="dxa"/>
            <w:tcBorders>
              <w:top w:val="single" w:sz="6" w:space="0" w:color="000000"/>
              <w:bottom w:val="single" w:sz="6" w:space="0" w:color="000000"/>
            </w:tcBorders>
          </w:tcPr>
          <w:p>
            <w:pPr>
              <w:pStyle w:val="TableParagraph"/>
              <w:spacing w:line="133" w:lineRule="exact"/>
              <w:ind w:right="206"/>
              <w:jc w:val="right"/>
              <w:rPr>
                <w:b/>
                <w:sz w:val="13"/>
              </w:rPr>
            </w:pPr>
            <w:r>
              <w:rPr>
                <w:b/>
                <w:spacing w:val="-5"/>
                <w:w w:val="105"/>
                <w:sz w:val="13"/>
              </w:rPr>
              <w:t>15</w:t>
            </w:r>
          </w:p>
        </w:tc>
        <w:tc>
          <w:tcPr>
            <w:tcW w:w="786" w:type="dxa"/>
            <w:tcBorders>
              <w:top w:val="single" w:sz="6" w:space="0" w:color="000000"/>
              <w:bottom w:val="single" w:sz="6" w:space="0" w:color="000000"/>
            </w:tcBorders>
          </w:tcPr>
          <w:p>
            <w:pPr>
              <w:pStyle w:val="TableParagraph"/>
              <w:spacing w:line="133" w:lineRule="exact"/>
              <w:ind w:right="73"/>
              <w:jc w:val="right"/>
              <w:rPr>
                <w:b/>
                <w:sz w:val="13"/>
              </w:rPr>
            </w:pPr>
            <w:r>
              <w:rPr>
                <w:b/>
                <w:spacing w:val="-5"/>
                <w:w w:val="105"/>
                <w:sz w:val="13"/>
              </w:rPr>
              <w:t>53</w:t>
            </w:r>
          </w:p>
        </w:tc>
      </w:tr>
      <w:tr>
        <w:trPr>
          <w:trHeight w:val="153" w:hRule="atLeast"/>
        </w:trPr>
        <w:tc>
          <w:tcPr>
            <w:tcW w:w="4724" w:type="dxa"/>
          </w:tcPr>
          <w:p>
            <w:pPr>
              <w:pStyle w:val="TableParagraph"/>
              <w:rPr>
                <w:rFonts w:ascii="Times New Roman"/>
                <w:sz w:val="8"/>
              </w:rPr>
            </w:pPr>
          </w:p>
        </w:tc>
        <w:tc>
          <w:tcPr>
            <w:tcW w:w="1054" w:type="dxa"/>
            <w:tcBorders>
              <w:top w:val="single" w:sz="6" w:space="0" w:color="000000"/>
              <w:bottom w:val="single" w:sz="6" w:space="0" w:color="000000"/>
            </w:tcBorders>
          </w:tcPr>
          <w:p>
            <w:pPr>
              <w:pStyle w:val="TableParagraph"/>
              <w:rPr>
                <w:rFonts w:ascii="Times New Roman"/>
                <w:sz w:val="8"/>
              </w:rPr>
            </w:pPr>
          </w:p>
        </w:tc>
        <w:tc>
          <w:tcPr>
            <w:tcW w:w="919" w:type="dxa"/>
            <w:tcBorders>
              <w:top w:val="single" w:sz="6" w:space="0" w:color="000000"/>
              <w:bottom w:val="single" w:sz="6" w:space="0" w:color="000000"/>
            </w:tcBorders>
          </w:tcPr>
          <w:p>
            <w:pPr>
              <w:pStyle w:val="TableParagraph"/>
              <w:rPr>
                <w:rFonts w:ascii="Times New Roman"/>
                <w:sz w:val="8"/>
              </w:rPr>
            </w:pPr>
          </w:p>
        </w:tc>
        <w:tc>
          <w:tcPr>
            <w:tcW w:w="919" w:type="dxa"/>
            <w:tcBorders>
              <w:top w:val="single" w:sz="6" w:space="0" w:color="000000"/>
              <w:bottom w:val="single" w:sz="6" w:space="0" w:color="000000"/>
            </w:tcBorders>
          </w:tcPr>
          <w:p>
            <w:pPr>
              <w:pStyle w:val="TableParagraph"/>
              <w:rPr>
                <w:rFonts w:ascii="Times New Roman"/>
                <w:sz w:val="8"/>
              </w:rPr>
            </w:pPr>
          </w:p>
        </w:tc>
        <w:tc>
          <w:tcPr>
            <w:tcW w:w="786" w:type="dxa"/>
            <w:tcBorders>
              <w:top w:val="single" w:sz="6" w:space="0" w:color="000000"/>
              <w:bottom w:val="single" w:sz="6" w:space="0" w:color="000000"/>
            </w:tcBorders>
          </w:tcPr>
          <w:p>
            <w:pPr>
              <w:pStyle w:val="TableParagraph"/>
              <w:rPr>
                <w:rFonts w:ascii="Times New Roman"/>
                <w:sz w:val="8"/>
              </w:rPr>
            </w:pPr>
          </w:p>
        </w:tc>
      </w:tr>
      <w:tr>
        <w:trPr>
          <w:trHeight w:val="153" w:hRule="atLeast"/>
        </w:trPr>
        <w:tc>
          <w:tcPr>
            <w:tcW w:w="4724" w:type="dxa"/>
          </w:tcPr>
          <w:p>
            <w:pPr>
              <w:pStyle w:val="TableParagraph"/>
              <w:spacing w:line="133" w:lineRule="exact"/>
              <w:ind w:left="50"/>
              <w:rPr>
                <w:b/>
                <w:sz w:val="13"/>
              </w:rPr>
            </w:pPr>
            <w:r>
              <w:rPr>
                <w:b/>
                <w:w w:val="105"/>
                <w:sz w:val="13"/>
              </w:rPr>
              <w:t>Total</w:t>
            </w:r>
            <w:r>
              <w:rPr>
                <w:b/>
                <w:spacing w:val="-8"/>
                <w:w w:val="105"/>
                <w:sz w:val="13"/>
              </w:rPr>
              <w:t> </w:t>
            </w:r>
            <w:r>
              <w:rPr>
                <w:b/>
                <w:w w:val="105"/>
                <w:sz w:val="13"/>
              </w:rPr>
              <w:t>receivables</w:t>
            </w:r>
            <w:r>
              <w:rPr>
                <w:b/>
                <w:spacing w:val="-9"/>
                <w:w w:val="105"/>
                <w:sz w:val="13"/>
              </w:rPr>
              <w:t> </w:t>
            </w:r>
            <w:r>
              <w:rPr>
                <w:b/>
                <w:w w:val="105"/>
                <w:sz w:val="13"/>
              </w:rPr>
              <w:t>and</w:t>
            </w:r>
            <w:r>
              <w:rPr>
                <w:b/>
                <w:spacing w:val="-8"/>
                <w:w w:val="105"/>
                <w:sz w:val="13"/>
              </w:rPr>
              <w:t> </w:t>
            </w:r>
            <w:r>
              <w:rPr>
                <w:b/>
                <w:w w:val="105"/>
                <w:sz w:val="13"/>
              </w:rPr>
              <w:t>contract</w:t>
            </w:r>
            <w:r>
              <w:rPr>
                <w:b/>
                <w:spacing w:val="-7"/>
                <w:w w:val="105"/>
                <w:sz w:val="13"/>
              </w:rPr>
              <w:t> </w:t>
            </w:r>
            <w:r>
              <w:rPr>
                <w:b/>
                <w:spacing w:val="-2"/>
                <w:w w:val="105"/>
                <w:sz w:val="13"/>
              </w:rPr>
              <w:t>assets</w:t>
            </w:r>
          </w:p>
        </w:tc>
        <w:tc>
          <w:tcPr>
            <w:tcW w:w="1054" w:type="dxa"/>
            <w:tcBorders>
              <w:top w:val="single" w:sz="6" w:space="0" w:color="000000"/>
              <w:bottom w:val="single" w:sz="6" w:space="0" w:color="000000"/>
            </w:tcBorders>
          </w:tcPr>
          <w:p>
            <w:pPr>
              <w:pStyle w:val="TableParagraph"/>
              <w:spacing w:line="133" w:lineRule="exact"/>
              <w:ind w:right="206"/>
              <w:jc w:val="right"/>
              <w:rPr>
                <w:b/>
                <w:sz w:val="13"/>
              </w:rPr>
            </w:pPr>
            <w:r>
              <w:rPr>
                <w:b/>
                <w:spacing w:val="-2"/>
                <w:w w:val="105"/>
                <w:sz w:val="13"/>
              </w:rPr>
              <w:t>50,866</w:t>
            </w:r>
          </w:p>
        </w:tc>
        <w:tc>
          <w:tcPr>
            <w:tcW w:w="919" w:type="dxa"/>
            <w:tcBorders>
              <w:top w:val="single" w:sz="6" w:space="0" w:color="000000"/>
              <w:bottom w:val="single" w:sz="6" w:space="0" w:color="000000"/>
            </w:tcBorders>
          </w:tcPr>
          <w:p>
            <w:pPr>
              <w:pStyle w:val="TableParagraph"/>
              <w:spacing w:line="133" w:lineRule="exact"/>
              <w:ind w:right="206"/>
              <w:jc w:val="right"/>
              <w:rPr>
                <w:b/>
                <w:sz w:val="13"/>
              </w:rPr>
            </w:pPr>
            <w:r>
              <w:rPr>
                <w:b/>
                <w:spacing w:val="-2"/>
                <w:w w:val="105"/>
                <w:sz w:val="13"/>
              </w:rPr>
              <w:t>55,188</w:t>
            </w:r>
          </w:p>
        </w:tc>
        <w:tc>
          <w:tcPr>
            <w:tcW w:w="919" w:type="dxa"/>
            <w:tcBorders>
              <w:top w:val="single" w:sz="6" w:space="0" w:color="000000"/>
              <w:bottom w:val="single" w:sz="6" w:space="0" w:color="000000"/>
            </w:tcBorders>
          </w:tcPr>
          <w:p>
            <w:pPr>
              <w:pStyle w:val="TableParagraph"/>
              <w:spacing w:line="133" w:lineRule="exact"/>
              <w:ind w:left="296"/>
              <w:rPr>
                <w:b/>
                <w:sz w:val="13"/>
              </w:rPr>
            </w:pPr>
            <w:r>
              <w:rPr>
                <w:b/>
                <w:spacing w:val="-2"/>
                <w:w w:val="105"/>
                <w:sz w:val="13"/>
              </w:rPr>
              <w:t>50,288</w:t>
            </w:r>
          </w:p>
        </w:tc>
        <w:tc>
          <w:tcPr>
            <w:tcW w:w="786" w:type="dxa"/>
            <w:tcBorders>
              <w:top w:val="single" w:sz="6" w:space="0" w:color="000000"/>
              <w:bottom w:val="single" w:sz="6" w:space="0" w:color="000000"/>
            </w:tcBorders>
          </w:tcPr>
          <w:p>
            <w:pPr>
              <w:pStyle w:val="TableParagraph"/>
              <w:spacing w:line="133" w:lineRule="exact"/>
              <w:ind w:left="296"/>
              <w:rPr>
                <w:b/>
                <w:sz w:val="13"/>
              </w:rPr>
            </w:pPr>
            <w:r>
              <w:rPr>
                <w:b/>
                <w:spacing w:val="-2"/>
                <w:w w:val="105"/>
                <w:sz w:val="13"/>
              </w:rPr>
              <w:t>54,193</w:t>
            </w:r>
          </w:p>
        </w:tc>
      </w:tr>
    </w:tbl>
    <w:p>
      <w:pPr>
        <w:spacing w:before="172"/>
        <w:ind w:left="842" w:right="0" w:firstLine="0"/>
        <w:jc w:val="left"/>
        <w:rPr>
          <w:sz w:val="13"/>
        </w:rPr>
      </w:pPr>
      <w:r>
        <w:rPr>
          <w:w w:val="105"/>
          <w:sz w:val="13"/>
        </w:rPr>
        <w:t>Set</w:t>
      </w:r>
      <w:r>
        <w:rPr>
          <w:spacing w:val="-6"/>
          <w:w w:val="105"/>
          <w:sz w:val="13"/>
        </w:rPr>
        <w:t> </w:t>
      </w:r>
      <w:r>
        <w:rPr>
          <w:w w:val="105"/>
          <w:sz w:val="13"/>
        </w:rPr>
        <w:t>out</w:t>
      </w:r>
      <w:r>
        <w:rPr>
          <w:spacing w:val="-5"/>
          <w:w w:val="105"/>
          <w:sz w:val="13"/>
        </w:rPr>
        <w:t> </w:t>
      </w:r>
      <w:r>
        <w:rPr>
          <w:w w:val="105"/>
          <w:sz w:val="13"/>
        </w:rPr>
        <w:t>below</w:t>
      </w:r>
      <w:r>
        <w:rPr>
          <w:spacing w:val="-9"/>
          <w:w w:val="105"/>
          <w:sz w:val="13"/>
        </w:rPr>
        <w:t> </w:t>
      </w:r>
      <w:r>
        <w:rPr>
          <w:w w:val="105"/>
          <w:sz w:val="13"/>
        </w:rPr>
        <w:t>is</w:t>
      </w:r>
      <w:r>
        <w:rPr>
          <w:spacing w:val="-5"/>
          <w:w w:val="105"/>
          <w:sz w:val="13"/>
        </w:rPr>
        <w:t> </w:t>
      </w:r>
      <w:r>
        <w:rPr>
          <w:w w:val="105"/>
          <w:sz w:val="13"/>
        </w:rPr>
        <w:t>the</w:t>
      </w:r>
      <w:r>
        <w:rPr>
          <w:spacing w:val="-7"/>
          <w:w w:val="105"/>
          <w:sz w:val="13"/>
        </w:rPr>
        <w:t> </w:t>
      </w:r>
      <w:r>
        <w:rPr>
          <w:w w:val="105"/>
          <w:sz w:val="13"/>
        </w:rPr>
        <w:t>movement</w:t>
      </w:r>
      <w:r>
        <w:rPr>
          <w:spacing w:val="-6"/>
          <w:w w:val="105"/>
          <w:sz w:val="13"/>
        </w:rPr>
        <w:t> </w:t>
      </w:r>
      <w:r>
        <w:rPr>
          <w:w w:val="105"/>
          <w:sz w:val="13"/>
        </w:rPr>
        <w:t>in</w:t>
      </w:r>
      <w:r>
        <w:rPr>
          <w:spacing w:val="-6"/>
          <w:w w:val="105"/>
          <w:sz w:val="13"/>
        </w:rPr>
        <w:t> </w:t>
      </w:r>
      <w:r>
        <w:rPr>
          <w:w w:val="105"/>
          <w:sz w:val="13"/>
        </w:rPr>
        <w:t>the</w:t>
      </w:r>
      <w:r>
        <w:rPr>
          <w:spacing w:val="-6"/>
          <w:w w:val="105"/>
          <w:sz w:val="13"/>
        </w:rPr>
        <w:t> </w:t>
      </w:r>
      <w:r>
        <w:rPr>
          <w:w w:val="105"/>
          <w:sz w:val="13"/>
        </w:rPr>
        <w:t>allowance</w:t>
      </w:r>
      <w:r>
        <w:rPr>
          <w:spacing w:val="-6"/>
          <w:w w:val="105"/>
          <w:sz w:val="13"/>
        </w:rPr>
        <w:t> </w:t>
      </w:r>
      <w:r>
        <w:rPr>
          <w:w w:val="105"/>
          <w:sz w:val="13"/>
        </w:rPr>
        <w:t>for</w:t>
      </w:r>
      <w:r>
        <w:rPr>
          <w:spacing w:val="-5"/>
          <w:w w:val="105"/>
          <w:sz w:val="13"/>
        </w:rPr>
        <w:t> </w:t>
      </w:r>
      <w:r>
        <w:rPr>
          <w:w w:val="105"/>
          <w:sz w:val="13"/>
        </w:rPr>
        <w:t>expected</w:t>
      </w:r>
      <w:r>
        <w:rPr>
          <w:spacing w:val="-6"/>
          <w:w w:val="105"/>
          <w:sz w:val="13"/>
        </w:rPr>
        <w:t> </w:t>
      </w:r>
      <w:r>
        <w:rPr>
          <w:w w:val="105"/>
          <w:sz w:val="13"/>
        </w:rPr>
        <w:t>credit</w:t>
      </w:r>
      <w:r>
        <w:rPr>
          <w:spacing w:val="-5"/>
          <w:w w:val="105"/>
          <w:sz w:val="13"/>
        </w:rPr>
        <w:t> </w:t>
      </w:r>
      <w:r>
        <w:rPr>
          <w:w w:val="105"/>
          <w:sz w:val="13"/>
        </w:rPr>
        <w:t>losses</w:t>
      </w:r>
      <w:r>
        <w:rPr>
          <w:spacing w:val="-6"/>
          <w:w w:val="105"/>
          <w:sz w:val="13"/>
        </w:rPr>
        <w:t> </w:t>
      </w:r>
      <w:r>
        <w:rPr>
          <w:w w:val="105"/>
          <w:sz w:val="13"/>
        </w:rPr>
        <w:t>of</w:t>
      </w:r>
      <w:r>
        <w:rPr>
          <w:spacing w:val="-3"/>
          <w:w w:val="105"/>
          <w:sz w:val="13"/>
        </w:rPr>
        <w:t> </w:t>
      </w:r>
      <w:r>
        <w:rPr>
          <w:w w:val="105"/>
          <w:sz w:val="13"/>
        </w:rPr>
        <w:t>trade</w:t>
      </w:r>
      <w:r>
        <w:rPr>
          <w:spacing w:val="-7"/>
          <w:w w:val="105"/>
          <w:sz w:val="13"/>
        </w:rPr>
        <w:t> </w:t>
      </w:r>
      <w:r>
        <w:rPr>
          <w:spacing w:val="-2"/>
          <w:w w:val="105"/>
          <w:sz w:val="13"/>
        </w:rPr>
        <w:t>receivables:</w:t>
      </w:r>
    </w:p>
    <w:p>
      <w:pPr>
        <w:spacing w:line="240" w:lineRule="auto" w:before="1" w:after="0"/>
        <w:rPr>
          <w:sz w:val="16"/>
        </w:rPr>
      </w:pPr>
    </w:p>
    <w:tbl>
      <w:tblPr>
        <w:tblW w:w="0" w:type="auto"/>
        <w:jc w:val="left"/>
        <w:tblInd w:w="7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724"/>
        <w:gridCol w:w="1158"/>
        <w:gridCol w:w="919"/>
        <w:gridCol w:w="919"/>
        <w:gridCol w:w="682"/>
      </w:tblGrid>
      <w:tr>
        <w:trPr>
          <w:trHeight w:val="160" w:hRule="atLeast"/>
        </w:trPr>
        <w:tc>
          <w:tcPr>
            <w:tcW w:w="4724" w:type="dxa"/>
          </w:tcPr>
          <w:p>
            <w:pPr>
              <w:pStyle w:val="TableParagraph"/>
              <w:spacing w:line="138" w:lineRule="exact" w:before="2"/>
              <w:ind w:left="50"/>
              <w:rPr>
                <w:sz w:val="13"/>
              </w:rPr>
            </w:pPr>
            <w:r>
              <w:rPr>
                <w:w w:val="105"/>
                <w:sz w:val="13"/>
              </w:rPr>
              <w:t>At</w:t>
            </w:r>
            <w:r>
              <w:rPr>
                <w:spacing w:val="-2"/>
                <w:w w:val="105"/>
                <w:sz w:val="13"/>
              </w:rPr>
              <w:t> </w:t>
            </w:r>
            <w:r>
              <w:rPr>
                <w:w w:val="105"/>
                <w:sz w:val="13"/>
              </w:rPr>
              <w:t>1</w:t>
            </w:r>
            <w:r>
              <w:rPr>
                <w:spacing w:val="-2"/>
                <w:w w:val="105"/>
                <w:sz w:val="13"/>
              </w:rPr>
              <w:t> January</w:t>
            </w:r>
          </w:p>
        </w:tc>
        <w:tc>
          <w:tcPr>
            <w:tcW w:w="1158" w:type="dxa"/>
          </w:tcPr>
          <w:p>
            <w:pPr>
              <w:pStyle w:val="TableParagraph"/>
              <w:spacing w:line="138" w:lineRule="exact" w:before="2"/>
              <w:ind w:right="310"/>
              <w:jc w:val="right"/>
              <w:rPr>
                <w:sz w:val="13"/>
              </w:rPr>
            </w:pPr>
            <w:r>
              <w:rPr>
                <w:spacing w:val="-2"/>
                <w:w w:val="105"/>
                <w:sz w:val="13"/>
              </w:rPr>
              <w:t>1,847</w:t>
            </w:r>
          </w:p>
        </w:tc>
        <w:tc>
          <w:tcPr>
            <w:tcW w:w="919" w:type="dxa"/>
          </w:tcPr>
          <w:p>
            <w:pPr>
              <w:pStyle w:val="TableParagraph"/>
              <w:spacing w:line="138" w:lineRule="exact" w:before="2"/>
              <w:ind w:right="310"/>
              <w:jc w:val="right"/>
              <w:rPr>
                <w:sz w:val="13"/>
              </w:rPr>
            </w:pPr>
            <w:r>
              <w:rPr>
                <w:spacing w:val="-2"/>
                <w:w w:val="105"/>
                <w:sz w:val="13"/>
              </w:rPr>
              <w:t>2,142</w:t>
            </w:r>
          </w:p>
        </w:tc>
        <w:tc>
          <w:tcPr>
            <w:tcW w:w="919" w:type="dxa"/>
          </w:tcPr>
          <w:p>
            <w:pPr>
              <w:pStyle w:val="TableParagraph"/>
              <w:spacing w:line="138" w:lineRule="exact" w:before="2"/>
              <w:ind w:left="267"/>
              <w:rPr>
                <w:sz w:val="13"/>
              </w:rPr>
            </w:pPr>
            <w:r>
              <w:rPr>
                <w:spacing w:val="-2"/>
                <w:w w:val="105"/>
                <w:sz w:val="13"/>
              </w:rPr>
              <w:t>1,823</w:t>
            </w:r>
          </w:p>
        </w:tc>
        <w:tc>
          <w:tcPr>
            <w:tcW w:w="682" w:type="dxa"/>
          </w:tcPr>
          <w:p>
            <w:pPr>
              <w:pStyle w:val="TableParagraph"/>
              <w:spacing w:line="138" w:lineRule="exact" w:before="2"/>
              <w:ind w:left="267"/>
              <w:rPr>
                <w:sz w:val="13"/>
              </w:rPr>
            </w:pPr>
            <w:r>
              <w:rPr>
                <w:spacing w:val="-2"/>
                <w:w w:val="105"/>
                <w:sz w:val="13"/>
              </w:rPr>
              <w:t>2,114</w:t>
            </w:r>
          </w:p>
        </w:tc>
      </w:tr>
      <w:tr>
        <w:trPr>
          <w:trHeight w:val="168" w:hRule="atLeast"/>
        </w:trPr>
        <w:tc>
          <w:tcPr>
            <w:tcW w:w="4724" w:type="dxa"/>
          </w:tcPr>
          <w:p>
            <w:pPr>
              <w:pStyle w:val="TableParagraph"/>
              <w:spacing w:line="138" w:lineRule="exact" w:before="9"/>
              <w:ind w:left="50"/>
              <w:rPr>
                <w:sz w:val="13"/>
              </w:rPr>
            </w:pPr>
            <w:r>
              <w:rPr>
                <w:spacing w:val="-2"/>
                <w:w w:val="105"/>
                <w:sz w:val="13"/>
              </w:rPr>
              <w:t>Additions</w:t>
            </w:r>
          </w:p>
        </w:tc>
        <w:tc>
          <w:tcPr>
            <w:tcW w:w="1158" w:type="dxa"/>
          </w:tcPr>
          <w:p>
            <w:pPr>
              <w:pStyle w:val="TableParagraph"/>
              <w:spacing w:line="138" w:lineRule="exact" w:before="9"/>
              <w:ind w:right="310"/>
              <w:jc w:val="right"/>
              <w:rPr>
                <w:sz w:val="13"/>
              </w:rPr>
            </w:pPr>
            <w:r>
              <w:rPr>
                <w:spacing w:val="-2"/>
                <w:w w:val="105"/>
                <w:sz w:val="13"/>
              </w:rPr>
              <w:t>1,166</w:t>
            </w:r>
          </w:p>
        </w:tc>
        <w:tc>
          <w:tcPr>
            <w:tcW w:w="919" w:type="dxa"/>
          </w:tcPr>
          <w:p>
            <w:pPr>
              <w:pStyle w:val="TableParagraph"/>
              <w:spacing w:line="138" w:lineRule="exact" w:before="9"/>
              <w:ind w:right="310"/>
              <w:jc w:val="right"/>
              <w:rPr>
                <w:sz w:val="13"/>
              </w:rPr>
            </w:pPr>
            <w:r>
              <w:rPr>
                <w:spacing w:val="-5"/>
                <w:w w:val="105"/>
                <w:sz w:val="13"/>
              </w:rPr>
              <w:t>529</w:t>
            </w:r>
          </w:p>
        </w:tc>
        <w:tc>
          <w:tcPr>
            <w:tcW w:w="919" w:type="dxa"/>
          </w:tcPr>
          <w:p>
            <w:pPr>
              <w:pStyle w:val="TableParagraph"/>
              <w:spacing w:line="138" w:lineRule="exact" w:before="9"/>
              <w:ind w:left="267"/>
              <w:rPr>
                <w:sz w:val="13"/>
              </w:rPr>
            </w:pPr>
            <w:r>
              <w:rPr>
                <w:spacing w:val="-2"/>
                <w:w w:val="105"/>
                <w:sz w:val="13"/>
              </w:rPr>
              <w:t>1,150</w:t>
            </w:r>
          </w:p>
        </w:tc>
        <w:tc>
          <w:tcPr>
            <w:tcW w:w="682" w:type="dxa"/>
          </w:tcPr>
          <w:p>
            <w:pPr>
              <w:pStyle w:val="TableParagraph"/>
              <w:spacing w:line="138" w:lineRule="exact" w:before="9"/>
              <w:ind w:left="380"/>
              <w:rPr>
                <w:sz w:val="13"/>
              </w:rPr>
            </w:pPr>
            <w:r>
              <w:rPr>
                <w:spacing w:val="-5"/>
                <w:w w:val="105"/>
                <w:sz w:val="13"/>
              </w:rPr>
              <w:t>533</w:t>
            </w:r>
          </w:p>
        </w:tc>
      </w:tr>
      <w:tr>
        <w:trPr>
          <w:trHeight w:val="164" w:hRule="atLeast"/>
        </w:trPr>
        <w:tc>
          <w:tcPr>
            <w:tcW w:w="4724" w:type="dxa"/>
          </w:tcPr>
          <w:p>
            <w:pPr>
              <w:pStyle w:val="TableParagraph"/>
              <w:spacing w:line="134" w:lineRule="exact" w:before="9"/>
              <w:ind w:left="50"/>
              <w:rPr>
                <w:sz w:val="13"/>
              </w:rPr>
            </w:pPr>
            <w:r>
              <w:rPr>
                <w:w w:val="105"/>
                <w:sz w:val="13"/>
              </w:rPr>
              <w:t>Write-</w:t>
            </w:r>
            <w:r>
              <w:rPr>
                <w:spacing w:val="-5"/>
                <w:w w:val="105"/>
                <w:sz w:val="13"/>
              </w:rPr>
              <w:t>off</w:t>
            </w:r>
          </w:p>
        </w:tc>
        <w:tc>
          <w:tcPr>
            <w:tcW w:w="1158" w:type="dxa"/>
            <w:tcBorders>
              <w:bottom w:val="single" w:sz="6" w:space="0" w:color="000000"/>
            </w:tcBorders>
          </w:tcPr>
          <w:p>
            <w:pPr>
              <w:pStyle w:val="TableParagraph"/>
              <w:spacing w:line="134" w:lineRule="exact" w:before="9"/>
              <w:ind w:right="265"/>
              <w:jc w:val="right"/>
              <w:rPr>
                <w:sz w:val="13"/>
              </w:rPr>
            </w:pPr>
            <w:r>
              <w:rPr>
                <w:spacing w:val="-2"/>
                <w:w w:val="105"/>
                <w:sz w:val="13"/>
              </w:rPr>
              <w:t>(931)</w:t>
            </w:r>
          </w:p>
        </w:tc>
        <w:tc>
          <w:tcPr>
            <w:tcW w:w="919" w:type="dxa"/>
            <w:tcBorders>
              <w:bottom w:val="single" w:sz="6" w:space="0" w:color="000000"/>
            </w:tcBorders>
          </w:tcPr>
          <w:p>
            <w:pPr>
              <w:pStyle w:val="TableParagraph"/>
              <w:spacing w:line="134" w:lineRule="exact" w:before="9"/>
              <w:ind w:right="266"/>
              <w:jc w:val="right"/>
              <w:rPr>
                <w:sz w:val="13"/>
              </w:rPr>
            </w:pPr>
            <w:r>
              <w:rPr>
                <w:spacing w:val="-2"/>
                <w:w w:val="105"/>
                <w:sz w:val="13"/>
              </w:rPr>
              <w:t>(824)</w:t>
            </w:r>
          </w:p>
        </w:tc>
        <w:tc>
          <w:tcPr>
            <w:tcW w:w="919" w:type="dxa"/>
            <w:tcBorders>
              <w:bottom w:val="single" w:sz="6" w:space="0" w:color="000000"/>
            </w:tcBorders>
          </w:tcPr>
          <w:p>
            <w:pPr>
              <w:pStyle w:val="TableParagraph"/>
              <w:spacing w:line="134" w:lineRule="exact" w:before="9"/>
              <w:ind w:left="333"/>
              <w:rPr>
                <w:sz w:val="13"/>
              </w:rPr>
            </w:pPr>
            <w:r>
              <w:rPr>
                <w:spacing w:val="-2"/>
                <w:w w:val="105"/>
                <w:sz w:val="13"/>
              </w:rPr>
              <w:t>(912)</w:t>
            </w:r>
          </w:p>
        </w:tc>
        <w:tc>
          <w:tcPr>
            <w:tcW w:w="682" w:type="dxa"/>
            <w:tcBorders>
              <w:bottom w:val="single" w:sz="6" w:space="0" w:color="000000"/>
            </w:tcBorders>
          </w:tcPr>
          <w:p>
            <w:pPr>
              <w:pStyle w:val="TableParagraph"/>
              <w:spacing w:line="134" w:lineRule="exact" w:before="9"/>
              <w:ind w:left="333"/>
              <w:rPr>
                <w:sz w:val="13"/>
              </w:rPr>
            </w:pPr>
            <w:r>
              <w:rPr>
                <w:spacing w:val="-2"/>
                <w:w w:val="105"/>
                <w:sz w:val="13"/>
              </w:rPr>
              <w:t>(824)</w:t>
            </w:r>
          </w:p>
        </w:tc>
      </w:tr>
      <w:tr>
        <w:trPr>
          <w:trHeight w:val="153" w:hRule="atLeast"/>
        </w:trPr>
        <w:tc>
          <w:tcPr>
            <w:tcW w:w="4724" w:type="dxa"/>
          </w:tcPr>
          <w:p>
            <w:pPr>
              <w:pStyle w:val="TableParagraph"/>
              <w:spacing w:line="133" w:lineRule="exact"/>
              <w:ind w:left="50"/>
              <w:rPr>
                <w:sz w:val="13"/>
              </w:rPr>
            </w:pPr>
            <w:r>
              <w:rPr>
                <w:w w:val="105"/>
                <w:sz w:val="13"/>
              </w:rPr>
              <w:t>At</w:t>
            </w:r>
            <w:r>
              <w:rPr>
                <w:spacing w:val="-3"/>
                <w:w w:val="105"/>
                <w:sz w:val="13"/>
              </w:rPr>
              <w:t> </w:t>
            </w:r>
            <w:r>
              <w:rPr>
                <w:w w:val="105"/>
                <w:sz w:val="13"/>
              </w:rPr>
              <w:t>31</w:t>
            </w:r>
            <w:r>
              <w:rPr>
                <w:spacing w:val="-3"/>
                <w:w w:val="105"/>
                <w:sz w:val="13"/>
              </w:rPr>
              <w:t> </w:t>
            </w:r>
            <w:r>
              <w:rPr>
                <w:spacing w:val="-2"/>
                <w:w w:val="105"/>
                <w:sz w:val="13"/>
              </w:rPr>
              <w:t>December</w:t>
            </w:r>
          </w:p>
        </w:tc>
        <w:tc>
          <w:tcPr>
            <w:tcW w:w="1158" w:type="dxa"/>
            <w:tcBorders>
              <w:top w:val="single" w:sz="6" w:space="0" w:color="000000"/>
              <w:bottom w:val="single" w:sz="6" w:space="0" w:color="000000"/>
            </w:tcBorders>
          </w:tcPr>
          <w:p>
            <w:pPr>
              <w:pStyle w:val="TableParagraph"/>
              <w:spacing w:line="133" w:lineRule="exact"/>
              <w:ind w:right="310"/>
              <w:jc w:val="right"/>
              <w:rPr>
                <w:b/>
                <w:sz w:val="13"/>
              </w:rPr>
            </w:pPr>
            <w:r>
              <w:rPr>
                <w:b/>
                <w:spacing w:val="-2"/>
                <w:w w:val="105"/>
                <w:sz w:val="13"/>
              </w:rPr>
              <w:t>2,082</w:t>
            </w:r>
          </w:p>
        </w:tc>
        <w:tc>
          <w:tcPr>
            <w:tcW w:w="919" w:type="dxa"/>
            <w:tcBorders>
              <w:top w:val="single" w:sz="6" w:space="0" w:color="000000"/>
              <w:bottom w:val="single" w:sz="6" w:space="0" w:color="000000"/>
            </w:tcBorders>
          </w:tcPr>
          <w:p>
            <w:pPr>
              <w:pStyle w:val="TableParagraph"/>
              <w:spacing w:line="133" w:lineRule="exact"/>
              <w:ind w:right="310"/>
              <w:jc w:val="right"/>
              <w:rPr>
                <w:b/>
                <w:sz w:val="13"/>
              </w:rPr>
            </w:pPr>
            <w:r>
              <w:rPr>
                <w:b/>
                <w:spacing w:val="-2"/>
                <w:w w:val="105"/>
                <w:sz w:val="13"/>
              </w:rPr>
              <w:t>1,847</w:t>
            </w:r>
          </w:p>
        </w:tc>
        <w:tc>
          <w:tcPr>
            <w:tcW w:w="919" w:type="dxa"/>
            <w:tcBorders>
              <w:top w:val="single" w:sz="6" w:space="0" w:color="000000"/>
              <w:bottom w:val="single" w:sz="6" w:space="0" w:color="000000"/>
            </w:tcBorders>
          </w:tcPr>
          <w:p>
            <w:pPr>
              <w:pStyle w:val="TableParagraph"/>
              <w:spacing w:line="133" w:lineRule="exact"/>
              <w:ind w:left="267"/>
              <w:rPr>
                <w:b/>
                <w:sz w:val="13"/>
              </w:rPr>
            </w:pPr>
            <w:r>
              <w:rPr>
                <w:b/>
                <w:spacing w:val="-2"/>
                <w:w w:val="105"/>
                <w:sz w:val="13"/>
              </w:rPr>
              <w:t>2,061</w:t>
            </w:r>
          </w:p>
        </w:tc>
        <w:tc>
          <w:tcPr>
            <w:tcW w:w="682" w:type="dxa"/>
            <w:tcBorders>
              <w:top w:val="single" w:sz="6" w:space="0" w:color="000000"/>
              <w:bottom w:val="single" w:sz="6" w:space="0" w:color="000000"/>
            </w:tcBorders>
          </w:tcPr>
          <w:p>
            <w:pPr>
              <w:pStyle w:val="TableParagraph"/>
              <w:spacing w:line="133" w:lineRule="exact"/>
              <w:ind w:left="267"/>
              <w:rPr>
                <w:b/>
                <w:sz w:val="13"/>
              </w:rPr>
            </w:pPr>
            <w:r>
              <w:rPr>
                <w:b/>
                <w:spacing w:val="-2"/>
                <w:w w:val="105"/>
                <w:sz w:val="13"/>
              </w:rPr>
              <w:t>1,823</w:t>
            </w:r>
          </w:p>
        </w:tc>
      </w:tr>
    </w:tbl>
    <w:p>
      <w:pPr>
        <w:spacing w:line="240" w:lineRule="auto" w:before="25"/>
        <w:rPr>
          <w:sz w:val="13"/>
        </w:rPr>
      </w:pPr>
    </w:p>
    <w:p>
      <w:pPr>
        <w:spacing w:before="0"/>
        <w:ind w:left="842" w:right="0" w:firstLine="0"/>
        <w:jc w:val="left"/>
        <w:rPr>
          <w:sz w:val="13"/>
        </w:rPr>
      </w:pPr>
      <w:r>
        <w:rPr>
          <w:w w:val="105"/>
          <w:sz w:val="13"/>
        </w:rPr>
        <w:t>The</w:t>
      </w:r>
      <w:r>
        <w:rPr>
          <w:spacing w:val="-7"/>
          <w:w w:val="105"/>
          <w:sz w:val="13"/>
        </w:rPr>
        <w:t> </w:t>
      </w:r>
      <w:r>
        <w:rPr>
          <w:w w:val="105"/>
          <w:sz w:val="13"/>
        </w:rPr>
        <w:t>information</w:t>
      </w:r>
      <w:r>
        <w:rPr>
          <w:spacing w:val="-6"/>
          <w:w w:val="105"/>
          <w:sz w:val="13"/>
        </w:rPr>
        <w:t> </w:t>
      </w:r>
      <w:r>
        <w:rPr>
          <w:w w:val="105"/>
          <w:sz w:val="13"/>
        </w:rPr>
        <w:t>about</w:t>
      </w:r>
      <w:r>
        <w:rPr>
          <w:spacing w:val="-6"/>
          <w:w w:val="105"/>
          <w:sz w:val="13"/>
        </w:rPr>
        <w:t> </w:t>
      </w:r>
      <w:r>
        <w:rPr>
          <w:w w:val="105"/>
          <w:sz w:val="13"/>
        </w:rPr>
        <w:t>the</w:t>
      </w:r>
      <w:r>
        <w:rPr>
          <w:spacing w:val="-6"/>
          <w:w w:val="105"/>
          <w:sz w:val="13"/>
        </w:rPr>
        <w:t> </w:t>
      </w:r>
      <w:r>
        <w:rPr>
          <w:w w:val="105"/>
          <w:sz w:val="13"/>
        </w:rPr>
        <w:t>credit</w:t>
      </w:r>
      <w:r>
        <w:rPr>
          <w:spacing w:val="-5"/>
          <w:w w:val="105"/>
          <w:sz w:val="13"/>
        </w:rPr>
        <w:t> </w:t>
      </w:r>
      <w:r>
        <w:rPr>
          <w:w w:val="105"/>
          <w:sz w:val="13"/>
        </w:rPr>
        <w:t>exposures</w:t>
      </w:r>
      <w:r>
        <w:rPr>
          <w:spacing w:val="-6"/>
          <w:w w:val="105"/>
          <w:sz w:val="13"/>
        </w:rPr>
        <w:t> </w:t>
      </w:r>
      <w:r>
        <w:rPr>
          <w:w w:val="105"/>
          <w:sz w:val="13"/>
        </w:rPr>
        <w:t>are</w:t>
      </w:r>
      <w:r>
        <w:rPr>
          <w:spacing w:val="-6"/>
          <w:w w:val="105"/>
          <w:sz w:val="13"/>
        </w:rPr>
        <w:t> </w:t>
      </w:r>
      <w:r>
        <w:rPr>
          <w:w w:val="105"/>
          <w:sz w:val="13"/>
        </w:rPr>
        <w:t>disclosed</w:t>
      </w:r>
      <w:r>
        <w:rPr>
          <w:spacing w:val="-7"/>
          <w:w w:val="105"/>
          <w:sz w:val="13"/>
        </w:rPr>
        <w:t> </w:t>
      </w:r>
      <w:r>
        <w:rPr>
          <w:w w:val="105"/>
          <w:sz w:val="13"/>
        </w:rPr>
        <w:t>in</w:t>
      </w:r>
      <w:r>
        <w:rPr>
          <w:spacing w:val="-6"/>
          <w:w w:val="105"/>
          <w:sz w:val="13"/>
        </w:rPr>
        <w:t> </w:t>
      </w:r>
      <w:r>
        <w:rPr>
          <w:w w:val="105"/>
          <w:sz w:val="13"/>
        </w:rPr>
        <w:t>Note</w:t>
      </w:r>
      <w:r>
        <w:rPr>
          <w:spacing w:val="-6"/>
          <w:w w:val="105"/>
          <w:sz w:val="13"/>
        </w:rPr>
        <w:t> </w:t>
      </w:r>
      <w:r>
        <w:rPr>
          <w:w w:val="105"/>
          <w:sz w:val="13"/>
        </w:rPr>
        <w:t>6.4</w:t>
      </w:r>
      <w:r>
        <w:rPr>
          <w:spacing w:val="-7"/>
          <w:w w:val="105"/>
          <w:sz w:val="13"/>
        </w:rPr>
        <w:t> </w:t>
      </w:r>
      <w:r>
        <w:rPr>
          <w:w w:val="105"/>
          <w:sz w:val="13"/>
        </w:rPr>
        <w:t>Financial</w:t>
      </w:r>
      <w:r>
        <w:rPr>
          <w:spacing w:val="-4"/>
          <w:w w:val="105"/>
          <w:sz w:val="13"/>
        </w:rPr>
        <w:t> </w:t>
      </w:r>
      <w:r>
        <w:rPr>
          <w:w w:val="105"/>
          <w:sz w:val="13"/>
        </w:rPr>
        <w:t>Risk</w:t>
      </w:r>
      <w:r>
        <w:rPr>
          <w:spacing w:val="-4"/>
          <w:w w:val="105"/>
          <w:sz w:val="13"/>
        </w:rPr>
        <w:t> </w:t>
      </w:r>
      <w:r>
        <w:rPr>
          <w:spacing w:val="-2"/>
          <w:w w:val="105"/>
          <w:sz w:val="13"/>
        </w:rPr>
        <w:t>Management</w:t>
      </w:r>
    </w:p>
    <w:p>
      <w:pPr>
        <w:spacing w:line="240" w:lineRule="auto" w:before="33"/>
        <w:rPr>
          <w:sz w:val="13"/>
        </w:rPr>
      </w:pPr>
    </w:p>
    <w:p>
      <w:pPr>
        <w:spacing w:line="273" w:lineRule="auto" w:before="1"/>
        <w:ind w:left="842" w:right="1817" w:hanging="1"/>
        <w:jc w:val="both"/>
        <w:rPr>
          <w:sz w:val="13"/>
        </w:rPr>
      </w:pPr>
      <w:r>
        <w:rPr>
          <w:w w:val="105"/>
          <w:sz w:val="13"/>
        </w:rPr>
        <w:t>The Group assesses the expected credit losses associated with its trade and other receivables on a forward-looking basis. Covid-19 has</w:t>
      </w:r>
      <w:r>
        <w:rPr>
          <w:spacing w:val="40"/>
          <w:w w:val="105"/>
          <w:sz w:val="13"/>
        </w:rPr>
        <w:t> </w:t>
      </w:r>
      <w:r>
        <w:rPr>
          <w:w w:val="105"/>
          <w:sz w:val="13"/>
        </w:rPr>
        <w:t>not had a material impact on the loss allowances recognised at the end of the period.</w:t>
      </w:r>
    </w:p>
    <w:p>
      <w:pPr>
        <w:spacing w:before="128"/>
        <w:ind w:left="842" w:right="0" w:firstLine="0"/>
        <w:jc w:val="both"/>
        <w:rPr>
          <w:b/>
          <w:i/>
          <w:sz w:val="13"/>
        </w:rPr>
      </w:pPr>
      <w:r>
        <w:rPr>
          <w:b/>
          <w:i/>
          <w:color w:val="0070C0"/>
          <w:w w:val="105"/>
          <w:sz w:val="13"/>
        </w:rPr>
        <w:t>Accounting</w:t>
      </w:r>
      <w:r>
        <w:rPr>
          <w:b/>
          <w:i/>
          <w:color w:val="0070C0"/>
          <w:spacing w:val="-6"/>
          <w:w w:val="105"/>
          <w:sz w:val="13"/>
        </w:rPr>
        <w:t> </w:t>
      </w:r>
      <w:r>
        <w:rPr>
          <w:b/>
          <w:i/>
          <w:color w:val="0070C0"/>
          <w:spacing w:val="-2"/>
          <w:w w:val="105"/>
          <w:sz w:val="13"/>
        </w:rPr>
        <w:t>policy</w:t>
      </w:r>
    </w:p>
    <w:p>
      <w:pPr>
        <w:spacing w:line="273" w:lineRule="auto" w:before="26"/>
        <w:ind w:left="842" w:right="1816" w:firstLine="0"/>
        <w:jc w:val="both"/>
        <w:rPr>
          <w:sz w:val="13"/>
        </w:rPr>
      </w:pPr>
      <w:r>
        <w:rPr>
          <w:w w:val="105"/>
          <w:sz w:val="13"/>
        </w:rPr>
        <w:t>Trade</w:t>
      </w:r>
      <w:r>
        <w:rPr>
          <w:w w:val="105"/>
          <w:sz w:val="13"/>
        </w:rPr>
        <w:t> receivables</w:t>
      </w:r>
      <w:r>
        <w:rPr>
          <w:w w:val="105"/>
          <w:sz w:val="13"/>
        </w:rPr>
        <w:t> are</w:t>
      </w:r>
      <w:r>
        <w:rPr>
          <w:w w:val="105"/>
          <w:sz w:val="13"/>
        </w:rPr>
        <w:t> held</w:t>
      </w:r>
      <w:r>
        <w:rPr>
          <w:w w:val="105"/>
          <w:sz w:val="13"/>
        </w:rPr>
        <w:t> to</w:t>
      </w:r>
      <w:r>
        <w:rPr>
          <w:w w:val="105"/>
          <w:sz w:val="13"/>
        </w:rPr>
        <w:t> collect</w:t>
      </w:r>
      <w:r>
        <w:rPr>
          <w:w w:val="105"/>
          <w:sz w:val="13"/>
        </w:rPr>
        <w:t> contractual</w:t>
      </w:r>
      <w:r>
        <w:rPr>
          <w:w w:val="105"/>
          <w:sz w:val="13"/>
        </w:rPr>
        <w:t> cash</w:t>
      </w:r>
      <w:r>
        <w:rPr>
          <w:w w:val="105"/>
          <w:sz w:val="13"/>
        </w:rPr>
        <w:t> flows</w:t>
      </w:r>
      <w:r>
        <w:rPr>
          <w:w w:val="105"/>
          <w:sz w:val="13"/>
        </w:rPr>
        <w:t> and</w:t>
      </w:r>
      <w:r>
        <w:rPr>
          <w:w w:val="105"/>
          <w:sz w:val="13"/>
        </w:rPr>
        <w:t> give</w:t>
      </w:r>
      <w:r>
        <w:rPr>
          <w:w w:val="105"/>
          <w:sz w:val="13"/>
        </w:rPr>
        <w:t> rise</w:t>
      </w:r>
      <w:r>
        <w:rPr>
          <w:w w:val="105"/>
          <w:sz w:val="13"/>
        </w:rPr>
        <w:t> to</w:t>
      </w:r>
      <w:r>
        <w:rPr>
          <w:w w:val="105"/>
          <w:sz w:val="13"/>
        </w:rPr>
        <w:t> cash</w:t>
      </w:r>
      <w:r>
        <w:rPr>
          <w:w w:val="105"/>
          <w:sz w:val="13"/>
        </w:rPr>
        <w:t> flows</w:t>
      </w:r>
      <w:r>
        <w:rPr>
          <w:w w:val="105"/>
          <w:sz w:val="13"/>
        </w:rPr>
        <w:t> representing</w:t>
      </w:r>
      <w:r>
        <w:rPr>
          <w:w w:val="105"/>
          <w:sz w:val="13"/>
        </w:rPr>
        <w:t> solely payments</w:t>
      </w:r>
      <w:r>
        <w:rPr>
          <w:w w:val="105"/>
          <w:sz w:val="13"/>
        </w:rPr>
        <w:t> of</w:t>
      </w:r>
      <w:r>
        <w:rPr>
          <w:w w:val="105"/>
          <w:sz w:val="13"/>
        </w:rPr>
        <w:t> principal</w:t>
      </w:r>
      <w:r>
        <w:rPr>
          <w:w w:val="105"/>
          <w:sz w:val="13"/>
        </w:rPr>
        <w:t> and</w:t>
      </w:r>
      <w:r>
        <w:rPr>
          <w:spacing w:val="40"/>
          <w:w w:val="105"/>
          <w:sz w:val="13"/>
        </w:rPr>
        <w:t> </w:t>
      </w:r>
      <w:r>
        <w:rPr>
          <w:w w:val="105"/>
          <w:sz w:val="13"/>
        </w:rPr>
        <w:t>interest.</w:t>
      </w:r>
      <w:r>
        <w:rPr>
          <w:spacing w:val="-2"/>
          <w:w w:val="105"/>
          <w:sz w:val="13"/>
        </w:rPr>
        <w:t> </w:t>
      </w:r>
      <w:r>
        <w:rPr>
          <w:w w:val="105"/>
          <w:sz w:val="13"/>
        </w:rPr>
        <w:t>These</w:t>
      </w:r>
      <w:r>
        <w:rPr>
          <w:spacing w:val="-3"/>
          <w:w w:val="105"/>
          <w:sz w:val="13"/>
        </w:rPr>
        <w:t> </w:t>
      </w:r>
      <w:r>
        <w:rPr>
          <w:w w:val="105"/>
          <w:sz w:val="13"/>
        </w:rPr>
        <w:t>are</w:t>
      </w:r>
      <w:r>
        <w:rPr>
          <w:spacing w:val="-3"/>
          <w:w w:val="105"/>
          <w:sz w:val="13"/>
        </w:rPr>
        <w:t> </w:t>
      </w:r>
      <w:r>
        <w:rPr>
          <w:w w:val="105"/>
          <w:sz w:val="13"/>
        </w:rPr>
        <w:t>classified</w:t>
      </w:r>
      <w:r>
        <w:rPr>
          <w:spacing w:val="-3"/>
          <w:w w:val="105"/>
          <w:sz w:val="13"/>
        </w:rPr>
        <w:t> </w:t>
      </w:r>
      <w:r>
        <w:rPr>
          <w:w w:val="105"/>
          <w:sz w:val="13"/>
        </w:rPr>
        <w:t>and</w:t>
      </w:r>
      <w:r>
        <w:rPr>
          <w:spacing w:val="-3"/>
          <w:w w:val="105"/>
          <w:sz w:val="13"/>
        </w:rPr>
        <w:t> </w:t>
      </w:r>
      <w:r>
        <w:rPr>
          <w:w w:val="105"/>
          <w:sz w:val="13"/>
        </w:rPr>
        <w:t>measured</w:t>
      </w:r>
      <w:r>
        <w:rPr>
          <w:spacing w:val="-3"/>
          <w:w w:val="105"/>
          <w:sz w:val="13"/>
        </w:rPr>
        <w:t> </w:t>
      </w:r>
      <w:r>
        <w:rPr>
          <w:w w:val="105"/>
          <w:sz w:val="13"/>
        </w:rPr>
        <w:t>as</w:t>
      </w:r>
      <w:r>
        <w:rPr>
          <w:spacing w:val="-2"/>
          <w:w w:val="105"/>
          <w:sz w:val="13"/>
        </w:rPr>
        <w:t> </w:t>
      </w:r>
      <w:r>
        <w:rPr>
          <w:w w:val="105"/>
          <w:sz w:val="13"/>
        </w:rPr>
        <w:t>debt</w:t>
      </w:r>
      <w:r>
        <w:rPr>
          <w:spacing w:val="-2"/>
          <w:w w:val="105"/>
          <w:sz w:val="13"/>
        </w:rPr>
        <w:t> </w:t>
      </w:r>
      <w:r>
        <w:rPr>
          <w:w w:val="105"/>
          <w:sz w:val="13"/>
        </w:rPr>
        <w:t>instruments at</w:t>
      </w:r>
      <w:r>
        <w:rPr>
          <w:spacing w:val="-2"/>
          <w:w w:val="105"/>
          <w:sz w:val="13"/>
        </w:rPr>
        <w:t> </w:t>
      </w:r>
      <w:r>
        <w:rPr>
          <w:w w:val="105"/>
          <w:sz w:val="13"/>
        </w:rPr>
        <w:t>amortised</w:t>
      </w:r>
      <w:r>
        <w:rPr>
          <w:spacing w:val="-1"/>
          <w:w w:val="105"/>
          <w:sz w:val="13"/>
        </w:rPr>
        <w:t> </w:t>
      </w:r>
      <w:r>
        <w:rPr>
          <w:w w:val="105"/>
          <w:sz w:val="13"/>
        </w:rPr>
        <w:t>cost.</w:t>
      </w:r>
      <w:r>
        <w:rPr>
          <w:spacing w:val="-2"/>
          <w:w w:val="105"/>
          <w:sz w:val="13"/>
        </w:rPr>
        <w:t> </w:t>
      </w:r>
      <w:r>
        <w:rPr>
          <w:w w:val="105"/>
          <w:sz w:val="13"/>
        </w:rPr>
        <w:t>Trade</w:t>
      </w:r>
      <w:r>
        <w:rPr>
          <w:spacing w:val="-1"/>
          <w:w w:val="105"/>
          <w:sz w:val="13"/>
        </w:rPr>
        <w:t> </w:t>
      </w:r>
      <w:r>
        <w:rPr>
          <w:w w:val="105"/>
          <w:sz w:val="13"/>
        </w:rPr>
        <w:t>receivables</w:t>
      </w:r>
      <w:r>
        <w:rPr>
          <w:spacing w:val="-2"/>
          <w:w w:val="105"/>
          <w:sz w:val="13"/>
        </w:rPr>
        <w:t> </w:t>
      </w:r>
      <w:r>
        <w:rPr>
          <w:w w:val="105"/>
          <w:sz w:val="13"/>
        </w:rPr>
        <w:t>are</w:t>
      </w:r>
      <w:r>
        <w:rPr>
          <w:spacing w:val="-1"/>
          <w:w w:val="105"/>
          <w:sz w:val="13"/>
        </w:rPr>
        <w:t> </w:t>
      </w:r>
      <w:r>
        <w:rPr>
          <w:w w:val="105"/>
          <w:sz w:val="13"/>
        </w:rPr>
        <w:t>due</w:t>
      </w:r>
      <w:r>
        <w:rPr>
          <w:spacing w:val="-3"/>
          <w:w w:val="105"/>
          <w:sz w:val="13"/>
        </w:rPr>
        <w:t> </w:t>
      </w:r>
      <w:r>
        <w:rPr>
          <w:w w:val="105"/>
          <w:sz w:val="13"/>
        </w:rPr>
        <w:t>for settlement</w:t>
      </w:r>
      <w:r>
        <w:rPr>
          <w:spacing w:val="-2"/>
          <w:w w:val="105"/>
          <w:sz w:val="13"/>
        </w:rPr>
        <w:t> </w:t>
      </w:r>
      <w:r>
        <w:rPr>
          <w:w w:val="105"/>
          <w:sz w:val="13"/>
        </w:rPr>
        <w:t>no</w:t>
      </w:r>
      <w:r>
        <w:rPr>
          <w:spacing w:val="-1"/>
          <w:w w:val="105"/>
          <w:sz w:val="13"/>
        </w:rPr>
        <w:t> </w:t>
      </w:r>
      <w:r>
        <w:rPr>
          <w:w w:val="105"/>
          <w:sz w:val="13"/>
        </w:rPr>
        <w:t>more</w:t>
      </w:r>
      <w:r>
        <w:rPr>
          <w:spacing w:val="-3"/>
          <w:w w:val="105"/>
          <w:sz w:val="13"/>
        </w:rPr>
        <w:t> </w:t>
      </w:r>
      <w:r>
        <w:rPr>
          <w:w w:val="105"/>
          <w:sz w:val="13"/>
        </w:rPr>
        <w:t>than</w:t>
      </w:r>
      <w:r>
        <w:rPr>
          <w:spacing w:val="40"/>
          <w:w w:val="105"/>
          <w:sz w:val="13"/>
        </w:rPr>
        <w:t> </w:t>
      </w:r>
      <w:r>
        <w:rPr>
          <w:w w:val="105"/>
          <w:sz w:val="13"/>
        </w:rPr>
        <w:t>14 days from the date of recognition.</w:t>
      </w:r>
    </w:p>
    <w:p>
      <w:pPr>
        <w:spacing w:line="240" w:lineRule="auto" w:before="38"/>
        <w:rPr>
          <w:sz w:val="13"/>
        </w:rPr>
      </w:pPr>
    </w:p>
    <w:p>
      <w:pPr>
        <w:spacing w:before="0"/>
        <w:ind w:left="842" w:right="0" w:firstLine="0"/>
        <w:jc w:val="both"/>
        <w:rPr>
          <w:b/>
          <w:sz w:val="13"/>
        </w:rPr>
      </w:pPr>
      <w:r>
        <w:rPr>
          <w:b/>
          <w:w w:val="105"/>
          <w:sz w:val="13"/>
        </w:rPr>
        <w:t>Expected</w:t>
      </w:r>
      <w:r>
        <w:rPr>
          <w:b/>
          <w:spacing w:val="-9"/>
          <w:w w:val="105"/>
          <w:sz w:val="13"/>
        </w:rPr>
        <w:t> </w:t>
      </w:r>
      <w:r>
        <w:rPr>
          <w:b/>
          <w:w w:val="105"/>
          <w:sz w:val="13"/>
        </w:rPr>
        <w:t>credit</w:t>
      </w:r>
      <w:r>
        <w:rPr>
          <w:b/>
          <w:spacing w:val="-7"/>
          <w:w w:val="105"/>
          <w:sz w:val="13"/>
        </w:rPr>
        <w:t> </w:t>
      </w:r>
      <w:r>
        <w:rPr>
          <w:b/>
          <w:spacing w:val="-2"/>
          <w:w w:val="105"/>
          <w:sz w:val="13"/>
        </w:rPr>
        <w:t>losses</w:t>
      </w:r>
    </w:p>
    <w:p>
      <w:pPr>
        <w:spacing w:line="273" w:lineRule="auto" w:before="17"/>
        <w:ind w:left="842" w:right="1816" w:firstLine="0"/>
        <w:jc w:val="both"/>
        <w:rPr>
          <w:sz w:val="13"/>
        </w:rPr>
      </w:pPr>
      <w:r>
        <w:rPr>
          <w:w w:val="105"/>
          <w:sz w:val="13"/>
        </w:rPr>
        <w:t>For trade</w:t>
      </w:r>
      <w:r>
        <w:rPr>
          <w:spacing w:val="-1"/>
          <w:w w:val="105"/>
          <w:sz w:val="13"/>
        </w:rPr>
        <w:t> </w:t>
      </w:r>
      <w:r>
        <w:rPr>
          <w:w w:val="105"/>
          <w:sz w:val="13"/>
        </w:rPr>
        <w:t>receivables</w:t>
      </w:r>
      <w:r>
        <w:rPr>
          <w:spacing w:val="-2"/>
          <w:w w:val="105"/>
          <w:sz w:val="13"/>
        </w:rPr>
        <w:t> </w:t>
      </w:r>
      <w:r>
        <w:rPr>
          <w:w w:val="105"/>
          <w:sz w:val="13"/>
        </w:rPr>
        <w:t>the</w:t>
      </w:r>
      <w:r>
        <w:rPr>
          <w:spacing w:val="-1"/>
          <w:w w:val="105"/>
          <w:sz w:val="13"/>
        </w:rPr>
        <w:t> </w:t>
      </w:r>
      <w:r>
        <w:rPr>
          <w:w w:val="105"/>
          <w:sz w:val="13"/>
        </w:rPr>
        <w:t>Group</w:t>
      </w:r>
      <w:r>
        <w:rPr>
          <w:spacing w:val="-3"/>
          <w:w w:val="105"/>
          <w:sz w:val="13"/>
        </w:rPr>
        <w:t> </w:t>
      </w:r>
      <w:r>
        <w:rPr>
          <w:w w:val="105"/>
          <w:sz w:val="13"/>
        </w:rPr>
        <w:t>applies a</w:t>
      </w:r>
      <w:r>
        <w:rPr>
          <w:spacing w:val="-3"/>
          <w:w w:val="105"/>
          <w:sz w:val="13"/>
        </w:rPr>
        <w:t> </w:t>
      </w:r>
      <w:r>
        <w:rPr>
          <w:w w:val="105"/>
          <w:sz w:val="13"/>
        </w:rPr>
        <w:t>simplified</w:t>
      </w:r>
      <w:r>
        <w:rPr>
          <w:spacing w:val="-1"/>
          <w:w w:val="105"/>
          <w:sz w:val="13"/>
        </w:rPr>
        <w:t> </w:t>
      </w:r>
      <w:r>
        <w:rPr>
          <w:w w:val="105"/>
          <w:sz w:val="13"/>
        </w:rPr>
        <w:t>approach</w:t>
      </w:r>
      <w:r>
        <w:rPr>
          <w:spacing w:val="-3"/>
          <w:w w:val="105"/>
          <w:sz w:val="13"/>
        </w:rPr>
        <w:t> </w:t>
      </w:r>
      <w:r>
        <w:rPr>
          <w:w w:val="105"/>
          <w:sz w:val="13"/>
        </w:rPr>
        <w:t>in</w:t>
      </w:r>
      <w:r>
        <w:rPr>
          <w:spacing w:val="-1"/>
          <w:w w:val="105"/>
          <w:sz w:val="13"/>
        </w:rPr>
        <w:t> </w:t>
      </w:r>
      <w:r>
        <w:rPr>
          <w:w w:val="105"/>
          <w:sz w:val="13"/>
        </w:rPr>
        <w:t>calculating</w:t>
      </w:r>
      <w:r>
        <w:rPr>
          <w:spacing w:val="-3"/>
          <w:w w:val="105"/>
          <w:sz w:val="13"/>
        </w:rPr>
        <w:t> </w:t>
      </w:r>
      <w:r>
        <w:rPr>
          <w:w w:val="105"/>
          <w:sz w:val="13"/>
        </w:rPr>
        <w:t>expected</w:t>
      </w:r>
      <w:r>
        <w:rPr>
          <w:spacing w:val="-1"/>
          <w:w w:val="105"/>
          <w:sz w:val="13"/>
        </w:rPr>
        <w:t> </w:t>
      </w:r>
      <w:r>
        <w:rPr>
          <w:w w:val="105"/>
          <w:sz w:val="13"/>
        </w:rPr>
        <w:t>credit</w:t>
      </w:r>
      <w:r>
        <w:rPr>
          <w:spacing w:val="-2"/>
          <w:w w:val="105"/>
          <w:sz w:val="13"/>
        </w:rPr>
        <w:t> </w:t>
      </w:r>
      <w:r>
        <w:rPr>
          <w:w w:val="105"/>
          <w:sz w:val="13"/>
        </w:rPr>
        <w:t>losses (ECLs).</w:t>
      </w:r>
      <w:r>
        <w:rPr>
          <w:spacing w:val="-3"/>
          <w:w w:val="105"/>
          <w:sz w:val="13"/>
        </w:rPr>
        <w:t> </w:t>
      </w:r>
      <w:r>
        <w:rPr>
          <w:w w:val="105"/>
          <w:sz w:val="13"/>
        </w:rPr>
        <w:t>Therefore, the</w:t>
      </w:r>
      <w:r>
        <w:rPr>
          <w:spacing w:val="-3"/>
          <w:w w:val="105"/>
          <w:sz w:val="13"/>
        </w:rPr>
        <w:t> </w:t>
      </w:r>
      <w:r>
        <w:rPr>
          <w:w w:val="105"/>
          <w:sz w:val="13"/>
        </w:rPr>
        <w:t>Group</w:t>
      </w:r>
      <w:r>
        <w:rPr>
          <w:spacing w:val="-1"/>
          <w:w w:val="105"/>
          <w:sz w:val="13"/>
        </w:rPr>
        <w:t> </w:t>
      </w:r>
      <w:r>
        <w:rPr>
          <w:w w:val="105"/>
          <w:sz w:val="13"/>
        </w:rPr>
        <w:t>does</w:t>
      </w:r>
      <w:r>
        <w:rPr>
          <w:spacing w:val="-2"/>
          <w:w w:val="105"/>
          <w:sz w:val="13"/>
        </w:rPr>
        <w:t> </w:t>
      </w:r>
      <w:r>
        <w:rPr>
          <w:w w:val="105"/>
          <w:sz w:val="13"/>
        </w:rPr>
        <w:t>not</w:t>
      </w:r>
      <w:r>
        <w:rPr>
          <w:spacing w:val="40"/>
          <w:w w:val="105"/>
          <w:sz w:val="13"/>
        </w:rPr>
        <w:t> </w:t>
      </w:r>
      <w:r>
        <w:rPr>
          <w:w w:val="105"/>
          <w:sz w:val="13"/>
        </w:rPr>
        <w:t>track</w:t>
      </w:r>
      <w:r>
        <w:rPr>
          <w:w w:val="105"/>
          <w:sz w:val="13"/>
        </w:rPr>
        <w:t> changes</w:t>
      </w:r>
      <w:r>
        <w:rPr>
          <w:w w:val="105"/>
          <w:sz w:val="13"/>
        </w:rPr>
        <w:t> in</w:t>
      </w:r>
      <w:r>
        <w:rPr>
          <w:w w:val="105"/>
          <w:sz w:val="13"/>
        </w:rPr>
        <w:t> credit</w:t>
      </w:r>
      <w:r>
        <w:rPr>
          <w:w w:val="105"/>
          <w:sz w:val="13"/>
        </w:rPr>
        <w:t> risk,</w:t>
      </w:r>
      <w:r>
        <w:rPr>
          <w:w w:val="105"/>
          <w:sz w:val="13"/>
        </w:rPr>
        <w:t> but</w:t>
      </w:r>
      <w:r>
        <w:rPr>
          <w:w w:val="105"/>
          <w:sz w:val="13"/>
        </w:rPr>
        <w:t> instead</w:t>
      </w:r>
      <w:r>
        <w:rPr>
          <w:w w:val="105"/>
          <w:sz w:val="13"/>
        </w:rPr>
        <w:t> recognises</w:t>
      </w:r>
      <w:r>
        <w:rPr>
          <w:w w:val="105"/>
          <w:sz w:val="13"/>
        </w:rPr>
        <w:t> a</w:t>
      </w:r>
      <w:r>
        <w:rPr>
          <w:w w:val="105"/>
          <w:sz w:val="13"/>
        </w:rPr>
        <w:t> loss</w:t>
      </w:r>
      <w:r>
        <w:rPr>
          <w:w w:val="105"/>
          <w:sz w:val="13"/>
        </w:rPr>
        <w:t> allowance</w:t>
      </w:r>
      <w:r>
        <w:rPr>
          <w:w w:val="105"/>
          <w:sz w:val="13"/>
        </w:rPr>
        <w:t> based</w:t>
      </w:r>
      <w:r>
        <w:rPr>
          <w:w w:val="105"/>
          <w:sz w:val="13"/>
        </w:rPr>
        <w:t> on</w:t>
      </w:r>
      <w:r>
        <w:rPr>
          <w:w w:val="105"/>
          <w:sz w:val="13"/>
        </w:rPr>
        <w:t> lifetime</w:t>
      </w:r>
      <w:r>
        <w:rPr>
          <w:w w:val="105"/>
          <w:sz w:val="13"/>
        </w:rPr>
        <w:t> ECLs</w:t>
      </w:r>
      <w:r>
        <w:rPr>
          <w:w w:val="105"/>
          <w:sz w:val="13"/>
        </w:rPr>
        <w:t> at</w:t>
      </w:r>
      <w:r>
        <w:rPr>
          <w:w w:val="105"/>
          <w:sz w:val="13"/>
        </w:rPr>
        <w:t> each</w:t>
      </w:r>
      <w:r>
        <w:rPr>
          <w:w w:val="105"/>
          <w:sz w:val="13"/>
        </w:rPr>
        <w:t> reporting</w:t>
      </w:r>
      <w:r>
        <w:rPr>
          <w:w w:val="105"/>
          <w:sz w:val="13"/>
        </w:rPr>
        <w:t> date.</w:t>
      </w:r>
      <w:r>
        <w:rPr>
          <w:w w:val="105"/>
          <w:sz w:val="13"/>
        </w:rPr>
        <w:t> The</w:t>
      </w:r>
      <w:r>
        <w:rPr>
          <w:w w:val="105"/>
          <w:sz w:val="13"/>
        </w:rPr>
        <w:t> Group</w:t>
      </w:r>
      <w:r>
        <w:rPr>
          <w:w w:val="105"/>
          <w:sz w:val="13"/>
        </w:rPr>
        <w:t> has</w:t>
      </w:r>
      <w:r>
        <w:rPr>
          <w:spacing w:val="40"/>
          <w:w w:val="105"/>
          <w:sz w:val="13"/>
        </w:rPr>
        <w:t> </w:t>
      </w:r>
      <w:r>
        <w:rPr>
          <w:w w:val="105"/>
          <w:sz w:val="13"/>
        </w:rPr>
        <w:t>established</w:t>
      </w:r>
      <w:r>
        <w:rPr>
          <w:w w:val="105"/>
          <w:sz w:val="13"/>
        </w:rPr>
        <w:t> a</w:t>
      </w:r>
      <w:r>
        <w:rPr>
          <w:w w:val="105"/>
          <w:sz w:val="13"/>
        </w:rPr>
        <w:t> provision</w:t>
      </w:r>
      <w:r>
        <w:rPr>
          <w:w w:val="105"/>
          <w:sz w:val="13"/>
        </w:rPr>
        <w:t> matrix that</w:t>
      </w:r>
      <w:r>
        <w:rPr>
          <w:w w:val="105"/>
          <w:sz w:val="13"/>
        </w:rPr>
        <w:t> is</w:t>
      </w:r>
      <w:r>
        <w:rPr>
          <w:w w:val="105"/>
          <w:sz w:val="13"/>
        </w:rPr>
        <w:t> based</w:t>
      </w:r>
      <w:r>
        <w:rPr>
          <w:w w:val="105"/>
          <w:sz w:val="13"/>
        </w:rPr>
        <w:t> on</w:t>
      </w:r>
      <w:r>
        <w:rPr>
          <w:w w:val="105"/>
          <w:sz w:val="13"/>
        </w:rPr>
        <w:t> its</w:t>
      </w:r>
      <w:r>
        <w:rPr>
          <w:w w:val="105"/>
          <w:sz w:val="13"/>
        </w:rPr>
        <w:t> historical</w:t>
      </w:r>
      <w:r>
        <w:rPr>
          <w:w w:val="105"/>
          <w:sz w:val="13"/>
        </w:rPr>
        <w:t> credit</w:t>
      </w:r>
      <w:r>
        <w:rPr>
          <w:w w:val="105"/>
          <w:sz w:val="13"/>
        </w:rPr>
        <w:t> loss</w:t>
      </w:r>
      <w:r>
        <w:rPr>
          <w:w w:val="105"/>
          <w:sz w:val="13"/>
        </w:rPr>
        <w:t> experience,</w:t>
      </w:r>
      <w:r>
        <w:rPr>
          <w:w w:val="105"/>
          <w:sz w:val="13"/>
        </w:rPr>
        <w:t> adjusted</w:t>
      </w:r>
      <w:r>
        <w:rPr>
          <w:w w:val="105"/>
          <w:sz w:val="13"/>
        </w:rPr>
        <w:t> for</w:t>
      </w:r>
      <w:r>
        <w:rPr>
          <w:w w:val="105"/>
          <w:sz w:val="13"/>
        </w:rPr>
        <w:t> forward-looking</w:t>
      </w:r>
      <w:r>
        <w:rPr>
          <w:w w:val="105"/>
          <w:sz w:val="13"/>
        </w:rPr>
        <w:t> factors</w:t>
      </w:r>
      <w:r>
        <w:rPr>
          <w:w w:val="105"/>
          <w:sz w:val="13"/>
        </w:rPr>
        <w:t> specific</w:t>
      </w:r>
      <w:r>
        <w:rPr>
          <w:w w:val="105"/>
          <w:sz w:val="13"/>
        </w:rPr>
        <w:t> to</w:t>
      </w:r>
      <w:r>
        <w:rPr>
          <w:w w:val="105"/>
          <w:sz w:val="13"/>
        </w:rPr>
        <w:t> the</w:t>
      </w:r>
      <w:r>
        <w:rPr>
          <w:spacing w:val="40"/>
          <w:w w:val="105"/>
          <w:sz w:val="13"/>
        </w:rPr>
        <w:t> </w:t>
      </w:r>
      <w:r>
        <w:rPr>
          <w:w w:val="105"/>
          <w:sz w:val="13"/>
        </w:rPr>
        <w:t>debtors and the economic environment.</w:t>
      </w:r>
    </w:p>
    <w:p>
      <w:pPr>
        <w:spacing w:line="240" w:lineRule="auto" w:before="17"/>
        <w:rPr>
          <w:sz w:val="13"/>
        </w:rPr>
      </w:pPr>
    </w:p>
    <w:p>
      <w:pPr>
        <w:spacing w:before="0"/>
        <w:ind w:left="842" w:right="0" w:firstLine="0"/>
        <w:jc w:val="both"/>
        <w:rPr>
          <w:b/>
          <w:sz w:val="13"/>
        </w:rPr>
      </w:pPr>
      <w:r>
        <w:rPr>
          <w:b/>
          <w:w w:val="105"/>
          <w:sz w:val="13"/>
        </w:rPr>
        <w:t>Contract</w:t>
      </w:r>
      <w:r>
        <w:rPr>
          <w:b/>
          <w:spacing w:val="-5"/>
          <w:w w:val="105"/>
          <w:sz w:val="13"/>
        </w:rPr>
        <w:t> </w:t>
      </w:r>
      <w:r>
        <w:rPr>
          <w:b/>
          <w:spacing w:val="-2"/>
          <w:w w:val="105"/>
          <w:sz w:val="13"/>
        </w:rPr>
        <w:t>assets</w:t>
      </w:r>
    </w:p>
    <w:p>
      <w:pPr>
        <w:spacing w:line="273" w:lineRule="auto" w:before="25"/>
        <w:ind w:left="841" w:right="1816" w:firstLine="0"/>
        <w:jc w:val="both"/>
        <w:rPr>
          <w:sz w:val="13"/>
        </w:rPr>
      </w:pPr>
      <w:r>
        <w:rPr>
          <w:w w:val="105"/>
          <w:sz w:val="13"/>
        </w:rPr>
        <w:t>Contract</w:t>
      </w:r>
      <w:r>
        <w:rPr>
          <w:w w:val="105"/>
          <w:sz w:val="13"/>
        </w:rPr>
        <w:t> asset</w:t>
      </w:r>
      <w:r>
        <w:rPr>
          <w:w w:val="105"/>
          <w:sz w:val="13"/>
        </w:rPr>
        <w:t> are</w:t>
      </w:r>
      <w:r>
        <w:rPr>
          <w:w w:val="105"/>
          <w:sz w:val="13"/>
        </w:rPr>
        <w:t> revenue</w:t>
      </w:r>
      <w:r>
        <w:rPr>
          <w:w w:val="105"/>
          <w:sz w:val="13"/>
        </w:rPr>
        <w:t> receivables</w:t>
      </w:r>
      <w:r>
        <w:rPr>
          <w:w w:val="105"/>
          <w:sz w:val="13"/>
        </w:rPr>
        <w:t> and</w:t>
      </w:r>
      <w:r>
        <w:rPr>
          <w:w w:val="105"/>
          <w:sz w:val="13"/>
        </w:rPr>
        <w:t> represent</w:t>
      </w:r>
      <w:r>
        <w:rPr>
          <w:w w:val="105"/>
          <w:sz w:val="13"/>
        </w:rPr>
        <w:t> right</w:t>
      </w:r>
      <w:r>
        <w:rPr>
          <w:w w:val="105"/>
          <w:sz w:val="13"/>
        </w:rPr>
        <w:t> to</w:t>
      </w:r>
      <w:r>
        <w:rPr>
          <w:w w:val="105"/>
          <w:sz w:val="13"/>
        </w:rPr>
        <w:t> payment</w:t>
      </w:r>
      <w:r>
        <w:rPr>
          <w:w w:val="105"/>
          <w:sz w:val="13"/>
        </w:rPr>
        <w:t> for</w:t>
      </w:r>
      <w:r>
        <w:rPr>
          <w:w w:val="105"/>
          <w:sz w:val="13"/>
        </w:rPr>
        <w:t> goods</w:t>
      </w:r>
      <w:r>
        <w:rPr>
          <w:w w:val="105"/>
          <w:sz w:val="13"/>
        </w:rPr>
        <w:t> and</w:t>
      </w:r>
      <w:r>
        <w:rPr>
          <w:w w:val="105"/>
          <w:sz w:val="13"/>
        </w:rPr>
        <w:t> services</w:t>
      </w:r>
      <w:r>
        <w:rPr>
          <w:w w:val="105"/>
          <w:sz w:val="13"/>
        </w:rPr>
        <w:t> or</w:t>
      </w:r>
      <w:r>
        <w:rPr>
          <w:w w:val="105"/>
          <w:sz w:val="13"/>
        </w:rPr>
        <w:t> research</w:t>
      </w:r>
      <w:r>
        <w:rPr>
          <w:w w:val="105"/>
          <w:sz w:val="13"/>
        </w:rPr>
        <w:t> output</w:t>
      </w:r>
      <w:r>
        <w:rPr>
          <w:w w:val="105"/>
          <w:sz w:val="13"/>
        </w:rPr>
        <w:t> that</w:t>
      </w:r>
      <w:r>
        <w:rPr>
          <w:w w:val="105"/>
          <w:sz w:val="13"/>
        </w:rPr>
        <w:t> have</w:t>
      </w:r>
      <w:r>
        <w:rPr>
          <w:w w:val="105"/>
          <w:sz w:val="13"/>
        </w:rPr>
        <w:t> been</w:t>
      </w:r>
      <w:r>
        <w:rPr>
          <w:spacing w:val="40"/>
          <w:w w:val="105"/>
          <w:sz w:val="13"/>
        </w:rPr>
        <w:t> </w:t>
      </w:r>
      <w:r>
        <w:rPr>
          <w:w w:val="105"/>
          <w:sz w:val="13"/>
        </w:rPr>
        <w:t>delivered but considerations have not been received as at reporting date. This arises where expenditure has occurred under a research</w:t>
      </w:r>
      <w:r>
        <w:rPr>
          <w:spacing w:val="40"/>
          <w:w w:val="105"/>
          <w:sz w:val="13"/>
        </w:rPr>
        <w:t> </w:t>
      </w:r>
      <w:r>
        <w:rPr>
          <w:w w:val="105"/>
          <w:sz w:val="13"/>
        </w:rPr>
        <w:t>and/or non-research grant and the grant funds have not yet been received.</w:t>
      </w:r>
    </w:p>
    <w:p>
      <w:pPr>
        <w:spacing w:line="240" w:lineRule="auto" w:before="17"/>
        <w:rPr>
          <w:sz w:val="20"/>
        </w:rPr>
      </w:pPr>
      <w:r>
        <w:rPr/>
        <mc:AlternateContent>
          <mc:Choice Requires="wps">
            <w:drawing>
              <wp:anchor distT="0" distB="0" distL="0" distR="0" allowOverlap="1" layoutInCell="1" locked="0" behindDoc="1" simplePos="0" relativeHeight="487747584">
                <wp:simplePos x="0" y="0"/>
                <wp:positionH relativeFrom="page">
                  <wp:posOffset>715403</wp:posOffset>
                </wp:positionH>
                <wp:positionV relativeFrom="paragraph">
                  <wp:posOffset>172094</wp:posOffset>
                </wp:positionV>
                <wp:extent cx="5706745" cy="17145"/>
                <wp:effectExtent l="0" t="0" r="0" b="0"/>
                <wp:wrapTopAndBottom/>
                <wp:docPr id="925" name="Graphic 925"/>
                <wp:cNvGraphicFramePr>
                  <a:graphicFrameLocks/>
                </wp:cNvGraphicFramePr>
                <a:graphic>
                  <a:graphicData uri="http://schemas.microsoft.com/office/word/2010/wordprocessingShape">
                    <wps:wsp>
                      <wps:cNvPr id="925" name="Graphic 925"/>
                      <wps:cNvSpPr/>
                      <wps:spPr>
                        <a:xfrm>
                          <a:off x="0" y="0"/>
                          <a:ext cx="5706745" cy="17145"/>
                        </a:xfrm>
                        <a:custGeom>
                          <a:avLst/>
                          <a:gdLst/>
                          <a:ahLst/>
                          <a:cxnLst/>
                          <a:rect l="l" t="t" r="r" b="b"/>
                          <a:pathLst>
                            <a:path w="5706745" h="17145">
                              <a:moveTo>
                                <a:pt x="5706478" y="0"/>
                              </a:moveTo>
                              <a:lnTo>
                                <a:pt x="0" y="0"/>
                              </a:lnTo>
                              <a:lnTo>
                                <a:pt x="0" y="16865"/>
                              </a:lnTo>
                              <a:lnTo>
                                <a:pt x="5706478" y="16865"/>
                              </a:lnTo>
                              <a:lnTo>
                                <a:pt x="5706478"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6.331001pt;margin-top:13.550715pt;width:449.329pt;height:1.328pt;mso-position-horizontal-relative:page;mso-position-vertical-relative:paragraph;z-index:-15568896;mso-wrap-distance-left:0;mso-wrap-distance-right:0" id="docshape619" filled="true" fillcolor="#4f81bd" stroked="false">
                <v:fill type="solid"/>
                <w10:wrap type="topAndBottom"/>
              </v:rect>
            </w:pict>
          </mc:Fallback>
        </mc:AlternateContent>
      </w:r>
    </w:p>
    <w:p>
      <w:pPr>
        <w:spacing w:after="0" w:line="240" w:lineRule="auto"/>
        <w:rPr>
          <w:sz w:val="20"/>
        </w:rPr>
        <w:sectPr>
          <w:pgSz w:w="11910" w:h="16840"/>
          <w:pgMar w:header="468" w:footer="0" w:top="720" w:bottom="280" w:left="920" w:right="0"/>
        </w:sectPr>
      </w:pPr>
    </w:p>
    <w:p>
      <w:pPr>
        <w:spacing w:line="240" w:lineRule="auto" w:before="0"/>
        <w:rPr>
          <w:sz w:val="22"/>
        </w:rPr>
      </w:pPr>
      <w:r>
        <w:rPr/>
        <mc:AlternateContent>
          <mc:Choice Requires="wps">
            <w:drawing>
              <wp:anchor distT="0" distB="0" distL="0" distR="0" allowOverlap="1" layoutInCell="1" locked="0" behindDoc="0" simplePos="0" relativeHeight="15890432">
                <wp:simplePos x="0" y="0"/>
                <wp:positionH relativeFrom="page">
                  <wp:posOffset>7111289</wp:posOffset>
                </wp:positionH>
                <wp:positionV relativeFrom="page">
                  <wp:posOffset>8040241</wp:posOffset>
                </wp:positionV>
                <wp:extent cx="177800" cy="1945005"/>
                <wp:effectExtent l="0" t="0" r="0" b="0"/>
                <wp:wrapNone/>
                <wp:docPr id="926" name="Textbox 926"/>
                <wp:cNvGraphicFramePr>
                  <a:graphicFrameLocks/>
                </wp:cNvGraphicFramePr>
                <a:graphic>
                  <a:graphicData uri="http://schemas.microsoft.com/office/word/2010/wordprocessingShape">
                    <wps:wsp>
                      <wps:cNvPr id="926" name="Textbox 926"/>
                      <wps:cNvSpPr txBox="1"/>
                      <wps:spPr>
                        <a:xfrm>
                          <a:off x="0" y="0"/>
                          <a:ext cx="177800" cy="194500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633.089905pt;width:14pt;height:153.15pt;mso-position-horizontal-relative:page;mso-position-vertical-relative:page;z-index:15890432" type="#_x0000_t202" id="docshape620"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v:textbox>
                <w10:wrap type="none"/>
              </v:shape>
            </w:pict>
          </mc:Fallback>
        </mc:AlternateContent>
      </w:r>
    </w:p>
    <w:p>
      <w:pPr>
        <w:spacing w:line="240" w:lineRule="auto" w:before="0"/>
        <w:rPr>
          <w:sz w:val="22"/>
        </w:rPr>
      </w:pPr>
    </w:p>
    <w:p>
      <w:pPr>
        <w:spacing w:line="240" w:lineRule="auto" w:before="183"/>
        <w:rPr>
          <w:sz w:val="22"/>
        </w:rPr>
      </w:pPr>
    </w:p>
    <w:p>
      <w:pPr>
        <w:spacing w:before="0"/>
        <w:ind w:left="260" w:right="0" w:firstLine="0"/>
        <w:jc w:val="left"/>
        <w:rPr>
          <w:sz w:val="22"/>
        </w:rPr>
      </w:pPr>
      <w:r>
        <w:rPr>
          <w:color w:val="0070C0"/>
          <w:sz w:val="22"/>
        </w:rPr>
        <w:t>NOTES</w:t>
      </w:r>
      <w:r>
        <w:rPr>
          <w:color w:val="0070C0"/>
          <w:spacing w:val="-9"/>
          <w:sz w:val="22"/>
        </w:rPr>
        <w:t> </w:t>
      </w:r>
      <w:r>
        <w:rPr>
          <w:color w:val="0070C0"/>
          <w:sz w:val="22"/>
        </w:rPr>
        <w:t>TO</w:t>
      </w:r>
      <w:r>
        <w:rPr>
          <w:color w:val="0070C0"/>
          <w:spacing w:val="-9"/>
          <w:sz w:val="22"/>
        </w:rPr>
        <w:t> </w:t>
      </w:r>
      <w:r>
        <w:rPr>
          <w:color w:val="0070C0"/>
          <w:sz w:val="22"/>
        </w:rPr>
        <w:t>THE</w:t>
      </w:r>
      <w:r>
        <w:rPr>
          <w:color w:val="0070C0"/>
          <w:spacing w:val="-9"/>
          <w:sz w:val="22"/>
        </w:rPr>
        <w:t> </w:t>
      </w:r>
      <w:r>
        <w:rPr>
          <w:color w:val="0070C0"/>
          <w:sz w:val="22"/>
        </w:rPr>
        <w:t>FINANCIAL</w:t>
      </w:r>
      <w:r>
        <w:rPr>
          <w:color w:val="0070C0"/>
          <w:spacing w:val="-9"/>
          <w:sz w:val="22"/>
        </w:rPr>
        <w:t> </w:t>
      </w:r>
      <w:r>
        <w:rPr>
          <w:color w:val="0070C0"/>
          <w:spacing w:val="-2"/>
          <w:sz w:val="22"/>
        </w:rPr>
        <w:t>STATEMENTS</w:t>
      </w:r>
    </w:p>
    <w:p>
      <w:pPr>
        <w:spacing w:before="30"/>
        <w:ind w:left="247" w:right="0" w:firstLine="0"/>
        <w:jc w:val="left"/>
        <w:rPr>
          <w:sz w:val="12"/>
        </w:rPr>
      </w:pPr>
      <w:r>
        <w:rPr>
          <w:sz w:val="12"/>
        </w:rPr>
        <w:t>for</w:t>
      </w:r>
      <w:r>
        <w:rPr>
          <w:spacing w:val="4"/>
          <w:sz w:val="12"/>
        </w:rPr>
        <w:t> </w:t>
      </w:r>
      <w:r>
        <w:rPr>
          <w:sz w:val="12"/>
        </w:rPr>
        <w:t>the</w:t>
      </w:r>
      <w:r>
        <w:rPr>
          <w:spacing w:val="3"/>
          <w:sz w:val="12"/>
        </w:rPr>
        <w:t> </w:t>
      </w:r>
      <w:r>
        <w:rPr>
          <w:sz w:val="12"/>
        </w:rPr>
        <w:t>year</w:t>
      </w:r>
      <w:r>
        <w:rPr>
          <w:spacing w:val="5"/>
          <w:sz w:val="12"/>
        </w:rPr>
        <w:t> </w:t>
      </w:r>
      <w:r>
        <w:rPr>
          <w:sz w:val="12"/>
        </w:rPr>
        <w:t>ended</w:t>
      </w:r>
      <w:r>
        <w:rPr>
          <w:spacing w:val="3"/>
          <w:sz w:val="12"/>
        </w:rPr>
        <w:t> </w:t>
      </w:r>
      <w:r>
        <w:rPr>
          <w:sz w:val="12"/>
        </w:rPr>
        <w:t>31</w:t>
      </w:r>
      <w:r>
        <w:rPr>
          <w:spacing w:val="3"/>
          <w:sz w:val="12"/>
        </w:rPr>
        <w:t> </w:t>
      </w:r>
      <w:r>
        <w:rPr>
          <w:sz w:val="12"/>
        </w:rPr>
        <w:t>December</w:t>
      </w:r>
      <w:r>
        <w:rPr>
          <w:spacing w:val="5"/>
          <w:sz w:val="12"/>
        </w:rPr>
        <w:t> </w:t>
      </w:r>
      <w:r>
        <w:rPr>
          <w:spacing w:val="-4"/>
          <w:sz w:val="12"/>
        </w:rPr>
        <w:t>2020</w:t>
      </w:r>
    </w:p>
    <w:p>
      <w:pPr>
        <w:spacing w:line="240" w:lineRule="auto" w:before="164"/>
        <w:rPr>
          <w:sz w:val="16"/>
        </w:rPr>
      </w:pPr>
    </w:p>
    <w:p>
      <w:pPr>
        <w:pStyle w:val="ListParagraph"/>
        <w:numPr>
          <w:ilvl w:val="1"/>
          <w:numId w:val="13"/>
        </w:numPr>
        <w:tabs>
          <w:tab w:pos="861" w:val="left" w:leader="none"/>
          <w:tab w:pos="6005" w:val="left" w:leader="none"/>
          <w:tab w:pos="7940" w:val="left" w:leader="none"/>
        </w:tabs>
        <w:spacing w:line="240" w:lineRule="auto" w:before="0" w:after="0"/>
        <w:ind w:left="861" w:right="0" w:hanging="607"/>
        <w:jc w:val="left"/>
        <w:rPr>
          <w:b/>
          <w:color w:val="0070C0"/>
          <w:sz w:val="16"/>
        </w:rPr>
      </w:pPr>
      <w:r>
        <w:rPr>
          <w:b/>
          <w:color w:val="0070C0"/>
          <w:sz w:val="16"/>
        </w:rPr>
        <w:t>Other</w:t>
      </w:r>
      <w:r>
        <w:rPr>
          <w:b/>
          <w:color w:val="0070C0"/>
          <w:spacing w:val="11"/>
          <w:sz w:val="16"/>
        </w:rPr>
        <w:t> </w:t>
      </w:r>
      <w:r>
        <w:rPr>
          <w:b/>
          <w:color w:val="0070C0"/>
          <w:sz w:val="16"/>
        </w:rPr>
        <w:t>non-financial</w:t>
      </w:r>
      <w:r>
        <w:rPr>
          <w:b/>
          <w:color w:val="0070C0"/>
          <w:spacing w:val="11"/>
          <w:sz w:val="16"/>
        </w:rPr>
        <w:t> </w:t>
      </w:r>
      <w:r>
        <w:rPr>
          <w:b/>
          <w:color w:val="0070C0"/>
          <w:spacing w:val="-2"/>
          <w:sz w:val="16"/>
        </w:rPr>
        <w:t>assets</w:t>
      </w:r>
      <w:r>
        <w:rPr>
          <w:b/>
          <w:color w:val="0070C0"/>
          <w:sz w:val="16"/>
        </w:rPr>
        <w:tab/>
      </w:r>
      <w:r>
        <w:rPr>
          <w:b/>
          <w:spacing w:val="-2"/>
          <w:sz w:val="13"/>
        </w:rPr>
        <w:t>Consolidated</w:t>
      </w:r>
      <w:r>
        <w:rPr>
          <w:b/>
          <w:sz w:val="13"/>
        </w:rPr>
        <w:tab/>
      </w:r>
      <w:r>
        <w:rPr>
          <w:b/>
          <w:spacing w:val="-2"/>
          <w:sz w:val="13"/>
        </w:rPr>
        <w:t>University</w:t>
      </w:r>
    </w:p>
    <w:tbl>
      <w:tblPr>
        <w:tblW w:w="0" w:type="auto"/>
        <w:jc w:val="left"/>
        <w:tblInd w:w="8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694"/>
        <w:gridCol w:w="1029"/>
        <w:gridCol w:w="917"/>
        <w:gridCol w:w="917"/>
        <w:gridCol w:w="807"/>
      </w:tblGrid>
      <w:tr>
        <w:trPr>
          <w:trHeight w:val="358" w:hRule="atLeast"/>
        </w:trPr>
        <w:tc>
          <w:tcPr>
            <w:tcW w:w="4694" w:type="dxa"/>
          </w:tcPr>
          <w:p>
            <w:pPr>
              <w:pStyle w:val="TableParagraph"/>
              <w:rPr>
                <w:rFonts w:ascii="Times New Roman"/>
                <w:sz w:val="12"/>
              </w:rPr>
            </w:pPr>
          </w:p>
        </w:tc>
        <w:tc>
          <w:tcPr>
            <w:tcW w:w="1029" w:type="dxa"/>
            <w:tcBorders>
              <w:bottom w:val="single" w:sz="6" w:space="0" w:color="000000"/>
            </w:tcBorders>
          </w:tcPr>
          <w:p>
            <w:pPr>
              <w:pStyle w:val="TableParagraph"/>
              <w:spacing w:before="23"/>
              <w:ind w:left="313"/>
              <w:rPr>
                <w:b/>
                <w:sz w:val="13"/>
              </w:rPr>
            </w:pPr>
            <w:r>
              <w:rPr>
                <w:b/>
                <w:spacing w:val="-4"/>
                <w:w w:val="105"/>
                <w:sz w:val="13"/>
              </w:rPr>
              <w:t>2020</w:t>
            </w:r>
          </w:p>
          <w:p>
            <w:pPr>
              <w:pStyle w:val="TableParagraph"/>
              <w:spacing w:line="148" w:lineRule="exact" w:before="18"/>
              <w:ind w:left="297"/>
              <w:rPr>
                <w:b/>
                <w:sz w:val="13"/>
              </w:rPr>
            </w:pPr>
            <w:r>
              <w:rPr>
                <w:b/>
                <w:spacing w:val="-2"/>
                <w:w w:val="105"/>
                <w:sz w:val="13"/>
              </w:rPr>
              <w:t>$'000</w:t>
            </w:r>
          </w:p>
        </w:tc>
        <w:tc>
          <w:tcPr>
            <w:tcW w:w="917" w:type="dxa"/>
            <w:tcBorders>
              <w:bottom w:val="single" w:sz="6" w:space="0" w:color="000000"/>
            </w:tcBorders>
          </w:tcPr>
          <w:p>
            <w:pPr>
              <w:pStyle w:val="TableParagraph"/>
              <w:spacing w:before="23"/>
              <w:ind w:left="200"/>
              <w:rPr>
                <w:b/>
                <w:sz w:val="13"/>
              </w:rPr>
            </w:pPr>
            <w:r>
              <w:rPr>
                <w:b/>
                <w:spacing w:val="-4"/>
                <w:w w:val="105"/>
                <w:sz w:val="13"/>
              </w:rPr>
              <w:t>2019</w:t>
            </w:r>
          </w:p>
          <w:p>
            <w:pPr>
              <w:pStyle w:val="TableParagraph"/>
              <w:spacing w:line="148" w:lineRule="exact" w:before="18"/>
              <w:ind w:left="184"/>
              <w:rPr>
                <w:b/>
                <w:sz w:val="13"/>
              </w:rPr>
            </w:pPr>
            <w:r>
              <w:rPr>
                <w:b/>
                <w:spacing w:val="-2"/>
                <w:w w:val="105"/>
                <w:sz w:val="13"/>
              </w:rPr>
              <w:t>$'000</w:t>
            </w:r>
          </w:p>
        </w:tc>
        <w:tc>
          <w:tcPr>
            <w:tcW w:w="917" w:type="dxa"/>
            <w:tcBorders>
              <w:bottom w:val="single" w:sz="6" w:space="0" w:color="000000"/>
            </w:tcBorders>
          </w:tcPr>
          <w:p>
            <w:pPr>
              <w:pStyle w:val="TableParagraph"/>
              <w:spacing w:before="23"/>
              <w:ind w:left="199"/>
              <w:rPr>
                <w:b/>
                <w:sz w:val="13"/>
              </w:rPr>
            </w:pPr>
            <w:r>
              <w:rPr>
                <w:b/>
                <w:spacing w:val="-4"/>
                <w:w w:val="105"/>
                <w:sz w:val="13"/>
              </w:rPr>
              <w:t>2020</w:t>
            </w:r>
          </w:p>
          <w:p>
            <w:pPr>
              <w:pStyle w:val="TableParagraph"/>
              <w:spacing w:line="148" w:lineRule="exact" w:before="18"/>
              <w:ind w:left="183"/>
              <w:rPr>
                <w:b/>
                <w:sz w:val="13"/>
              </w:rPr>
            </w:pPr>
            <w:r>
              <w:rPr>
                <w:b/>
                <w:spacing w:val="-2"/>
                <w:w w:val="105"/>
                <w:sz w:val="13"/>
              </w:rPr>
              <w:t>$'000</w:t>
            </w:r>
          </w:p>
        </w:tc>
        <w:tc>
          <w:tcPr>
            <w:tcW w:w="807" w:type="dxa"/>
            <w:tcBorders>
              <w:bottom w:val="single" w:sz="6" w:space="0" w:color="000000"/>
            </w:tcBorders>
          </w:tcPr>
          <w:p>
            <w:pPr>
              <w:pStyle w:val="TableParagraph"/>
              <w:spacing w:before="23"/>
              <w:ind w:left="197"/>
              <w:rPr>
                <w:b/>
                <w:sz w:val="13"/>
              </w:rPr>
            </w:pPr>
            <w:r>
              <w:rPr>
                <w:b/>
                <w:spacing w:val="-4"/>
                <w:w w:val="105"/>
                <w:sz w:val="13"/>
              </w:rPr>
              <w:t>2019</w:t>
            </w:r>
          </w:p>
          <w:p>
            <w:pPr>
              <w:pStyle w:val="TableParagraph"/>
              <w:spacing w:line="148" w:lineRule="exact" w:before="18"/>
              <w:ind w:left="182"/>
              <w:rPr>
                <w:b/>
                <w:sz w:val="13"/>
              </w:rPr>
            </w:pPr>
            <w:r>
              <w:rPr>
                <w:b/>
                <w:spacing w:val="-2"/>
                <w:w w:val="105"/>
                <w:sz w:val="13"/>
              </w:rPr>
              <w:t>$'000</w:t>
            </w:r>
          </w:p>
        </w:tc>
      </w:tr>
      <w:tr>
        <w:trPr>
          <w:trHeight w:val="320" w:hRule="atLeast"/>
        </w:trPr>
        <w:tc>
          <w:tcPr>
            <w:tcW w:w="4694" w:type="dxa"/>
          </w:tcPr>
          <w:p>
            <w:pPr>
              <w:pStyle w:val="TableParagraph"/>
              <w:spacing w:line="135" w:lineRule="exact"/>
              <w:ind w:left="34"/>
              <w:rPr>
                <w:b/>
                <w:sz w:val="13"/>
              </w:rPr>
            </w:pPr>
            <w:r>
              <w:rPr>
                <w:b/>
                <w:spacing w:val="-2"/>
                <w:w w:val="105"/>
                <w:sz w:val="13"/>
              </w:rPr>
              <w:t>Current</w:t>
            </w:r>
          </w:p>
          <w:p>
            <w:pPr>
              <w:pStyle w:val="TableParagraph"/>
              <w:spacing w:before="14"/>
              <w:ind w:left="34"/>
              <w:rPr>
                <w:sz w:val="13"/>
              </w:rPr>
            </w:pPr>
            <w:r>
              <w:rPr>
                <w:w w:val="105"/>
                <w:sz w:val="13"/>
              </w:rPr>
              <w:t>Advances</w:t>
            </w:r>
            <w:r>
              <w:rPr>
                <w:spacing w:val="-8"/>
                <w:w w:val="105"/>
                <w:sz w:val="13"/>
              </w:rPr>
              <w:t> </w:t>
            </w:r>
            <w:r>
              <w:rPr>
                <w:w w:val="105"/>
                <w:sz w:val="13"/>
              </w:rPr>
              <w:t>and</w:t>
            </w:r>
            <w:r>
              <w:rPr>
                <w:spacing w:val="-8"/>
                <w:w w:val="105"/>
                <w:sz w:val="13"/>
              </w:rPr>
              <w:t> </w:t>
            </w:r>
            <w:r>
              <w:rPr>
                <w:spacing w:val="-2"/>
                <w:w w:val="105"/>
                <w:sz w:val="13"/>
              </w:rPr>
              <w:t>prepayments</w:t>
            </w:r>
          </w:p>
        </w:tc>
        <w:tc>
          <w:tcPr>
            <w:tcW w:w="1029" w:type="dxa"/>
            <w:tcBorders>
              <w:top w:val="single" w:sz="6" w:space="0" w:color="000000"/>
              <w:bottom w:val="single" w:sz="6" w:space="0" w:color="000000"/>
            </w:tcBorders>
          </w:tcPr>
          <w:p>
            <w:pPr>
              <w:pStyle w:val="TableParagraph"/>
              <w:spacing w:before="3"/>
              <w:rPr>
                <w:b/>
                <w:sz w:val="13"/>
              </w:rPr>
            </w:pPr>
          </w:p>
          <w:p>
            <w:pPr>
              <w:pStyle w:val="TableParagraph"/>
              <w:spacing w:line="148" w:lineRule="exact"/>
              <w:ind w:right="184"/>
              <w:jc w:val="right"/>
              <w:rPr>
                <w:sz w:val="13"/>
              </w:rPr>
            </w:pPr>
            <w:r>
              <w:rPr>
                <w:spacing w:val="-2"/>
                <w:w w:val="105"/>
                <w:sz w:val="13"/>
              </w:rPr>
              <w:t>22,531</w:t>
            </w:r>
          </w:p>
        </w:tc>
        <w:tc>
          <w:tcPr>
            <w:tcW w:w="917" w:type="dxa"/>
            <w:tcBorders>
              <w:top w:val="single" w:sz="6" w:space="0" w:color="000000"/>
              <w:bottom w:val="single" w:sz="6" w:space="0" w:color="000000"/>
            </w:tcBorders>
          </w:tcPr>
          <w:p>
            <w:pPr>
              <w:pStyle w:val="TableParagraph"/>
              <w:spacing w:before="3"/>
              <w:rPr>
                <w:b/>
                <w:sz w:val="13"/>
              </w:rPr>
            </w:pPr>
          </w:p>
          <w:p>
            <w:pPr>
              <w:pStyle w:val="TableParagraph"/>
              <w:spacing w:line="148" w:lineRule="exact"/>
              <w:ind w:left="204" w:right="75"/>
              <w:jc w:val="center"/>
              <w:rPr>
                <w:sz w:val="13"/>
              </w:rPr>
            </w:pPr>
            <w:r>
              <w:rPr>
                <w:spacing w:val="-2"/>
                <w:w w:val="105"/>
                <w:sz w:val="13"/>
              </w:rPr>
              <w:t>22,182</w:t>
            </w:r>
          </w:p>
        </w:tc>
        <w:tc>
          <w:tcPr>
            <w:tcW w:w="917" w:type="dxa"/>
            <w:tcBorders>
              <w:top w:val="single" w:sz="6" w:space="0" w:color="000000"/>
              <w:bottom w:val="single" w:sz="6" w:space="0" w:color="000000"/>
            </w:tcBorders>
          </w:tcPr>
          <w:p>
            <w:pPr>
              <w:pStyle w:val="TableParagraph"/>
              <w:spacing w:before="3"/>
              <w:rPr>
                <w:b/>
                <w:sz w:val="13"/>
              </w:rPr>
            </w:pPr>
          </w:p>
          <w:p>
            <w:pPr>
              <w:pStyle w:val="TableParagraph"/>
              <w:spacing w:line="148" w:lineRule="exact"/>
              <w:ind w:right="186"/>
              <w:jc w:val="right"/>
              <w:rPr>
                <w:sz w:val="13"/>
              </w:rPr>
            </w:pPr>
            <w:r>
              <w:rPr>
                <w:spacing w:val="-2"/>
                <w:w w:val="105"/>
                <w:sz w:val="13"/>
              </w:rPr>
              <w:t>22,260</w:t>
            </w:r>
          </w:p>
        </w:tc>
        <w:tc>
          <w:tcPr>
            <w:tcW w:w="807" w:type="dxa"/>
            <w:tcBorders>
              <w:top w:val="single" w:sz="6" w:space="0" w:color="000000"/>
              <w:bottom w:val="single" w:sz="6" w:space="0" w:color="000000"/>
            </w:tcBorders>
          </w:tcPr>
          <w:p>
            <w:pPr>
              <w:pStyle w:val="TableParagraph"/>
              <w:spacing w:before="3"/>
              <w:rPr>
                <w:b/>
                <w:sz w:val="13"/>
              </w:rPr>
            </w:pPr>
          </w:p>
          <w:p>
            <w:pPr>
              <w:pStyle w:val="TableParagraph"/>
              <w:spacing w:line="148" w:lineRule="exact"/>
              <w:ind w:right="77"/>
              <w:jc w:val="right"/>
              <w:rPr>
                <w:sz w:val="13"/>
              </w:rPr>
            </w:pPr>
            <w:r>
              <w:rPr>
                <w:spacing w:val="-2"/>
                <w:w w:val="105"/>
                <w:sz w:val="13"/>
              </w:rPr>
              <w:t>20,754</w:t>
            </w:r>
          </w:p>
        </w:tc>
      </w:tr>
      <w:tr>
        <w:trPr>
          <w:trHeight w:val="152" w:hRule="atLeast"/>
        </w:trPr>
        <w:tc>
          <w:tcPr>
            <w:tcW w:w="4694" w:type="dxa"/>
          </w:tcPr>
          <w:p>
            <w:pPr>
              <w:pStyle w:val="TableParagraph"/>
              <w:spacing w:line="133" w:lineRule="exact"/>
              <w:ind w:left="34"/>
              <w:rPr>
                <w:b/>
                <w:sz w:val="13"/>
              </w:rPr>
            </w:pPr>
            <w:r>
              <w:rPr>
                <w:b/>
                <w:w w:val="105"/>
                <w:sz w:val="13"/>
              </w:rPr>
              <w:t>Total</w:t>
            </w:r>
            <w:r>
              <w:rPr>
                <w:b/>
                <w:spacing w:val="-7"/>
                <w:w w:val="105"/>
                <w:sz w:val="13"/>
              </w:rPr>
              <w:t> </w:t>
            </w:r>
            <w:r>
              <w:rPr>
                <w:b/>
                <w:w w:val="105"/>
                <w:sz w:val="13"/>
              </w:rPr>
              <w:t>current</w:t>
            </w:r>
            <w:r>
              <w:rPr>
                <w:b/>
                <w:spacing w:val="-4"/>
                <w:w w:val="105"/>
                <w:sz w:val="13"/>
              </w:rPr>
              <w:t> </w:t>
            </w:r>
            <w:r>
              <w:rPr>
                <w:b/>
                <w:w w:val="105"/>
                <w:sz w:val="13"/>
              </w:rPr>
              <w:t>other</w:t>
            </w:r>
            <w:r>
              <w:rPr>
                <w:b/>
                <w:spacing w:val="-5"/>
                <w:w w:val="105"/>
                <w:sz w:val="13"/>
              </w:rPr>
              <w:t> </w:t>
            </w:r>
            <w:r>
              <w:rPr>
                <w:b/>
                <w:w w:val="105"/>
                <w:sz w:val="13"/>
              </w:rPr>
              <w:t>non-financial</w:t>
            </w:r>
            <w:r>
              <w:rPr>
                <w:b/>
                <w:spacing w:val="-7"/>
                <w:w w:val="105"/>
                <w:sz w:val="13"/>
              </w:rPr>
              <w:t> </w:t>
            </w:r>
            <w:r>
              <w:rPr>
                <w:b/>
                <w:spacing w:val="-2"/>
                <w:w w:val="105"/>
                <w:sz w:val="13"/>
              </w:rPr>
              <w:t>assets</w:t>
            </w:r>
          </w:p>
        </w:tc>
        <w:tc>
          <w:tcPr>
            <w:tcW w:w="1029" w:type="dxa"/>
            <w:tcBorders>
              <w:top w:val="single" w:sz="6" w:space="0" w:color="000000"/>
              <w:bottom w:val="single" w:sz="6" w:space="0" w:color="000000"/>
            </w:tcBorders>
          </w:tcPr>
          <w:p>
            <w:pPr>
              <w:pStyle w:val="TableParagraph"/>
              <w:spacing w:line="133" w:lineRule="exact"/>
              <w:ind w:right="184"/>
              <w:jc w:val="right"/>
              <w:rPr>
                <w:b/>
                <w:sz w:val="13"/>
              </w:rPr>
            </w:pPr>
            <w:r>
              <w:rPr>
                <w:b/>
                <w:spacing w:val="-2"/>
                <w:w w:val="105"/>
                <w:sz w:val="13"/>
              </w:rPr>
              <w:t>22,531</w:t>
            </w:r>
          </w:p>
        </w:tc>
        <w:tc>
          <w:tcPr>
            <w:tcW w:w="917" w:type="dxa"/>
            <w:tcBorders>
              <w:top w:val="single" w:sz="6" w:space="0" w:color="000000"/>
              <w:bottom w:val="single" w:sz="6" w:space="0" w:color="000000"/>
            </w:tcBorders>
          </w:tcPr>
          <w:p>
            <w:pPr>
              <w:pStyle w:val="TableParagraph"/>
              <w:spacing w:line="133" w:lineRule="exact"/>
              <w:ind w:left="204" w:right="75"/>
              <w:jc w:val="center"/>
              <w:rPr>
                <w:b/>
                <w:sz w:val="13"/>
              </w:rPr>
            </w:pPr>
            <w:r>
              <w:rPr>
                <w:b/>
                <w:spacing w:val="-2"/>
                <w:w w:val="105"/>
                <w:sz w:val="13"/>
              </w:rPr>
              <w:t>22,182</w:t>
            </w:r>
          </w:p>
        </w:tc>
        <w:tc>
          <w:tcPr>
            <w:tcW w:w="917" w:type="dxa"/>
            <w:tcBorders>
              <w:top w:val="single" w:sz="6" w:space="0" w:color="000000"/>
              <w:bottom w:val="single" w:sz="6" w:space="0" w:color="000000"/>
            </w:tcBorders>
          </w:tcPr>
          <w:p>
            <w:pPr>
              <w:pStyle w:val="TableParagraph"/>
              <w:spacing w:line="133" w:lineRule="exact"/>
              <w:ind w:right="186"/>
              <w:jc w:val="right"/>
              <w:rPr>
                <w:b/>
                <w:sz w:val="13"/>
              </w:rPr>
            </w:pPr>
            <w:r>
              <w:rPr>
                <w:b/>
                <w:spacing w:val="-2"/>
                <w:w w:val="105"/>
                <w:sz w:val="13"/>
              </w:rPr>
              <w:t>22,260</w:t>
            </w:r>
          </w:p>
        </w:tc>
        <w:tc>
          <w:tcPr>
            <w:tcW w:w="807" w:type="dxa"/>
            <w:tcBorders>
              <w:top w:val="single" w:sz="6" w:space="0" w:color="000000"/>
              <w:bottom w:val="single" w:sz="6" w:space="0" w:color="000000"/>
            </w:tcBorders>
          </w:tcPr>
          <w:p>
            <w:pPr>
              <w:pStyle w:val="TableParagraph"/>
              <w:spacing w:line="133" w:lineRule="exact"/>
              <w:ind w:right="77"/>
              <w:jc w:val="right"/>
              <w:rPr>
                <w:b/>
                <w:sz w:val="13"/>
              </w:rPr>
            </w:pPr>
            <w:r>
              <w:rPr>
                <w:b/>
                <w:spacing w:val="-2"/>
                <w:w w:val="105"/>
                <w:sz w:val="13"/>
              </w:rPr>
              <w:t>20,754</w:t>
            </w:r>
          </w:p>
        </w:tc>
      </w:tr>
      <w:tr>
        <w:trPr>
          <w:trHeight w:val="488" w:hRule="atLeast"/>
        </w:trPr>
        <w:tc>
          <w:tcPr>
            <w:tcW w:w="4694" w:type="dxa"/>
          </w:tcPr>
          <w:p>
            <w:pPr>
              <w:pStyle w:val="TableParagraph"/>
              <w:spacing w:before="3"/>
              <w:rPr>
                <w:b/>
                <w:sz w:val="13"/>
              </w:rPr>
            </w:pPr>
          </w:p>
          <w:p>
            <w:pPr>
              <w:pStyle w:val="TableParagraph"/>
              <w:ind w:left="34"/>
              <w:rPr>
                <w:b/>
                <w:sz w:val="13"/>
              </w:rPr>
            </w:pPr>
            <w:r>
              <w:rPr>
                <w:b/>
                <w:w w:val="105"/>
                <w:sz w:val="13"/>
              </w:rPr>
              <w:t>Non-</w:t>
            </w:r>
            <w:r>
              <w:rPr>
                <w:b/>
                <w:spacing w:val="-2"/>
                <w:w w:val="105"/>
                <w:sz w:val="13"/>
              </w:rPr>
              <w:t>current</w:t>
            </w:r>
          </w:p>
          <w:p>
            <w:pPr>
              <w:pStyle w:val="TableParagraph"/>
              <w:spacing w:before="14"/>
              <w:ind w:left="34"/>
              <w:rPr>
                <w:sz w:val="13"/>
              </w:rPr>
            </w:pPr>
            <w:r>
              <w:rPr>
                <w:w w:val="105"/>
                <w:sz w:val="13"/>
              </w:rPr>
              <w:t>Advances</w:t>
            </w:r>
            <w:r>
              <w:rPr>
                <w:spacing w:val="-8"/>
                <w:w w:val="105"/>
                <w:sz w:val="13"/>
              </w:rPr>
              <w:t> </w:t>
            </w:r>
            <w:r>
              <w:rPr>
                <w:w w:val="105"/>
                <w:sz w:val="13"/>
              </w:rPr>
              <w:t>and</w:t>
            </w:r>
            <w:r>
              <w:rPr>
                <w:spacing w:val="-8"/>
                <w:w w:val="105"/>
                <w:sz w:val="13"/>
              </w:rPr>
              <w:t> </w:t>
            </w:r>
            <w:r>
              <w:rPr>
                <w:spacing w:val="-2"/>
                <w:w w:val="105"/>
                <w:sz w:val="13"/>
              </w:rPr>
              <w:t>prepayments</w:t>
            </w:r>
          </w:p>
        </w:tc>
        <w:tc>
          <w:tcPr>
            <w:tcW w:w="1029" w:type="dxa"/>
            <w:tcBorders>
              <w:top w:val="single" w:sz="6" w:space="0" w:color="000000"/>
              <w:bottom w:val="single" w:sz="6" w:space="0" w:color="000000"/>
            </w:tcBorders>
          </w:tcPr>
          <w:p>
            <w:pPr>
              <w:pStyle w:val="TableParagraph"/>
              <w:rPr>
                <w:b/>
                <w:sz w:val="13"/>
              </w:rPr>
            </w:pPr>
          </w:p>
          <w:p>
            <w:pPr>
              <w:pStyle w:val="TableParagraph"/>
              <w:spacing w:before="21"/>
              <w:rPr>
                <w:b/>
                <w:sz w:val="13"/>
              </w:rPr>
            </w:pPr>
          </w:p>
          <w:p>
            <w:pPr>
              <w:pStyle w:val="TableParagraph"/>
              <w:spacing w:line="148" w:lineRule="exact"/>
              <w:ind w:right="184"/>
              <w:jc w:val="right"/>
              <w:rPr>
                <w:sz w:val="13"/>
              </w:rPr>
            </w:pPr>
            <w:r>
              <w:rPr>
                <w:spacing w:val="-2"/>
                <w:w w:val="105"/>
                <w:sz w:val="13"/>
              </w:rPr>
              <w:t>4,267</w:t>
            </w:r>
          </w:p>
        </w:tc>
        <w:tc>
          <w:tcPr>
            <w:tcW w:w="917" w:type="dxa"/>
            <w:tcBorders>
              <w:top w:val="single" w:sz="6" w:space="0" w:color="000000"/>
              <w:bottom w:val="single" w:sz="6" w:space="0" w:color="000000"/>
            </w:tcBorders>
          </w:tcPr>
          <w:p>
            <w:pPr>
              <w:pStyle w:val="TableParagraph"/>
              <w:rPr>
                <w:b/>
                <w:sz w:val="13"/>
              </w:rPr>
            </w:pPr>
          </w:p>
          <w:p>
            <w:pPr>
              <w:pStyle w:val="TableParagraph"/>
              <w:spacing w:before="21"/>
              <w:rPr>
                <w:b/>
                <w:sz w:val="13"/>
              </w:rPr>
            </w:pPr>
          </w:p>
          <w:p>
            <w:pPr>
              <w:pStyle w:val="TableParagraph"/>
              <w:spacing w:line="148" w:lineRule="exact"/>
              <w:ind w:left="204"/>
              <w:jc w:val="center"/>
              <w:rPr>
                <w:sz w:val="13"/>
              </w:rPr>
            </w:pPr>
            <w:r>
              <w:rPr>
                <w:spacing w:val="-2"/>
                <w:w w:val="105"/>
                <w:sz w:val="13"/>
              </w:rPr>
              <w:t>4,623</w:t>
            </w:r>
          </w:p>
        </w:tc>
        <w:tc>
          <w:tcPr>
            <w:tcW w:w="917" w:type="dxa"/>
            <w:tcBorders>
              <w:top w:val="single" w:sz="6" w:space="0" w:color="000000"/>
              <w:bottom w:val="single" w:sz="6" w:space="0" w:color="000000"/>
            </w:tcBorders>
          </w:tcPr>
          <w:p>
            <w:pPr>
              <w:pStyle w:val="TableParagraph"/>
              <w:rPr>
                <w:b/>
                <w:sz w:val="13"/>
              </w:rPr>
            </w:pPr>
          </w:p>
          <w:p>
            <w:pPr>
              <w:pStyle w:val="TableParagraph"/>
              <w:spacing w:before="21"/>
              <w:rPr>
                <w:b/>
                <w:sz w:val="13"/>
              </w:rPr>
            </w:pPr>
          </w:p>
          <w:p>
            <w:pPr>
              <w:pStyle w:val="TableParagraph"/>
              <w:spacing w:line="148" w:lineRule="exact"/>
              <w:ind w:right="186"/>
              <w:jc w:val="right"/>
              <w:rPr>
                <w:sz w:val="13"/>
              </w:rPr>
            </w:pPr>
            <w:r>
              <w:rPr>
                <w:spacing w:val="-2"/>
                <w:w w:val="105"/>
                <w:sz w:val="13"/>
              </w:rPr>
              <w:t>4,267</w:t>
            </w:r>
          </w:p>
        </w:tc>
        <w:tc>
          <w:tcPr>
            <w:tcW w:w="807" w:type="dxa"/>
            <w:tcBorders>
              <w:top w:val="single" w:sz="6" w:space="0" w:color="000000"/>
              <w:bottom w:val="single" w:sz="6" w:space="0" w:color="000000"/>
            </w:tcBorders>
          </w:tcPr>
          <w:p>
            <w:pPr>
              <w:pStyle w:val="TableParagraph"/>
              <w:rPr>
                <w:b/>
                <w:sz w:val="13"/>
              </w:rPr>
            </w:pPr>
          </w:p>
          <w:p>
            <w:pPr>
              <w:pStyle w:val="TableParagraph"/>
              <w:spacing w:before="21"/>
              <w:rPr>
                <w:b/>
                <w:sz w:val="13"/>
              </w:rPr>
            </w:pPr>
          </w:p>
          <w:p>
            <w:pPr>
              <w:pStyle w:val="TableParagraph"/>
              <w:spacing w:line="148" w:lineRule="exact"/>
              <w:ind w:right="77"/>
              <w:jc w:val="right"/>
              <w:rPr>
                <w:sz w:val="13"/>
              </w:rPr>
            </w:pPr>
            <w:r>
              <w:rPr>
                <w:spacing w:val="-2"/>
                <w:w w:val="105"/>
                <w:sz w:val="13"/>
              </w:rPr>
              <w:t>4,623</w:t>
            </w:r>
          </w:p>
        </w:tc>
      </w:tr>
      <w:tr>
        <w:trPr>
          <w:trHeight w:val="152" w:hRule="atLeast"/>
        </w:trPr>
        <w:tc>
          <w:tcPr>
            <w:tcW w:w="4694" w:type="dxa"/>
          </w:tcPr>
          <w:p>
            <w:pPr>
              <w:pStyle w:val="TableParagraph"/>
              <w:spacing w:line="133" w:lineRule="exact"/>
              <w:ind w:left="34"/>
              <w:rPr>
                <w:b/>
                <w:sz w:val="13"/>
              </w:rPr>
            </w:pPr>
            <w:r>
              <w:rPr>
                <w:b/>
                <w:w w:val="105"/>
                <w:sz w:val="13"/>
              </w:rPr>
              <w:t>Total</w:t>
            </w:r>
            <w:r>
              <w:rPr>
                <w:b/>
                <w:spacing w:val="-7"/>
                <w:w w:val="105"/>
                <w:sz w:val="13"/>
              </w:rPr>
              <w:t> </w:t>
            </w:r>
            <w:r>
              <w:rPr>
                <w:b/>
                <w:w w:val="105"/>
                <w:sz w:val="13"/>
              </w:rPr>
              <w:t>non-current</w:t>
            </w:r>
            <w:r>
              <w:rPr>
                <w:b/>
                <w:spacing w:val="-4"/>
                <w:w w:val="105"/>
                <w:sz w:val="13"/>
              </w:rPr>
              <w:t> </w:t>
            </w:r>
            <w:r>
              <w:rPr>
                <w:b/>
                <w:w w:val="105"/>
                <w:sz w:val="13"/>
              </w:rPr>
              <w:t>other</w:t>
            </w:r>
            <w:r>
              <w:rPr>
                <w:b/>
                <w:spacing w:val="-5"/>
                <w:w w:val="105"/>
                <w:sz w:val="13"/>
              </w:rPr>
              <w:t> </w:t>
            </w:r>
            <w:r>
              <w:rPr>
                <w:b/>
                <w:w w:val="105"/>
                <w:sz w:val="13"/>
              </w:rPr>
              <w:t>non-financial</w:t>
            </w:r>
            <w:r>
              <w:rPr>
                <w:b/>
                <w:spacing w:val="-7"/>
                <w:w w:val="105"/>
                <w:sz w:val="13"/>
              </w:rPr>
              <w:t> </w:t>
            </w:r>
            <w:r>
              <w:rPr>
                <w:b/>
                <w:spacing w:val="-2"/>
                <w:w w:val="105"/>
                <w:sz w:val="13"/>
              </w:rPr>
              <w:t>assets</w:t>
            </w:r>
          </w:p>
        </w:tc>
        <w:tc>
          <w:tcPr>
            <w:tcW w:w="1029" w:type="dxa"/>
            <w:tcBorders>
              <w:top w:val="single" w:sz="6" w:space="0" w:color="000000"/>
              <w:bottom w:val="single" w:sz="6" w:space="0" w:color="000000"/>
            </w:tcBorders>
          </w:tcPr>
          <w:p>
            <w:pPr>
              <w:pStyle w:val="TableParagraph"/>
              <w:spacing w:line="133" w:lineRule="exact"/>
              <w:ind w:right="184"/>
              <w:jc w:val="right"/>
              <w:rPr>
                <w:b/>
                <w:sz w:val="13"/>
              </w:rPr>
            </w:pPr>
            <w:r>
              <w:rPr>
                <w:b/>
                <w:spacing w:val="-2"/>
                <w:w w:val="105"/>
                <w:sz w:val="13"/>
              </w:rPr>
              <w:t>4,267</w:t>
            </w:r>
          </w:p>
        </w:tc>
        <w:tc>
          <w:tcPr>
            <w:tcW w:w="917" w:type="dxa"/>
            <w:tcBorders>
              <w:top w:val="single" w:sz="6" w:space="0" w:color="000000"/>
              <w:bottom w:val="single" w:sz="6" w:space="0" w:color="000000"/>
            </w:tcBorders>
          </w:tcPr>
          <w:p>
            <w:pPr>
              <w:pStyle w:val="TableParagraph"/>
              <w:spacing w:line="133" w:lineRule="exact"/>
              <w:ind w:left="204"/>
              <w:jc w:val="center"/>
              <w:rPr>
                <w:b/>
                <w:sz w:val="13"/>
              </w:rPr>
            </w:pPr>
            <w:r>
              <w:rPr>
                <w:b/>
                <w:spacing w:val="-2"/>
                <w:w w:val="105"/>
                <w:sz w:val="13"/>
              </w:rPr>
              <w:t>4,623</w:t>
            </w:r>
          </w:p>
        </w:tc>
        <w:tc>
          <w:tcPr>
            <w:tcW w:w="917" w:type="dxa"/>
            <w:tcBorders>
              <w:top w:val="single" w:sz="6" w:space="0" w:color="000000"/>
              <w:bottom w:val="single" w:sz="6" w:space="0" w:color="000000"/>
            </w:tcBorders>
          </w:tcPr>
          <w:p>
            <w:pPr>
              <w:pStyle w:val="TableParagraph"/>
              <w:spacing w:line="133" w:lineRule="exact"/>
              <w:ind w:right="186"/>
              <w:jc w:val="right"/>
              <w:rPr>
                <w:b/>
                <w:sz w:val="13"/>
              </w:rPr>
            </w:pPr>
            <w:r>
              <w:rPr>
                <w:b/>
                <w:spacing w:val="-2"/>
                <w:w w:val="105"/>
                <w:sz w:val="13"/>
              </w:rPr>
              <w:t>4,267</w:t>
            </w:r>
          </w:p>
        </w:tc>
        <w:tc>
          <w:tcPr>
            <w:tcW w:w="807" w:type="dxa"/>
            <w:tcBorders>
              <w:top w:val="single" w:sz="6" w:space="0" w:color="000000"/>
              <w:bottom w:val="single" w:sz="6" w:space="0" w:color="000000"/>
            </w:tcBorders>
          </w:tcPr>
          <w:p>
            <w:pPr>
              <w:pStyle w:val="TableParagraph"/>
              <w:spacing w:line="133" w:lineRule="exact"/>
              <w:ind w:right="77"/>
              <w:jc w:val="right"/>
              <w:rPr>
                <w:b/>
                <w:sz w:val="13"/>
              </w:rPr>
            </w:pPr>
            <w:r>
              <w:rPr>
                <w:b/>
                <w:spacing w:val="-2"/>
                <w:w w:val="105"/>
                <w:sz w:val="13"/>
              </w:rPr>
              <w:t>4,623</w:t>
            </w:r>
          </w:p>
        </w:tc>
      </w:tr>
      <w:tr>
        <w:trPr>
          <w:trHeight w:val="152" w:hRule="atLeast"/>
        </w:trPr>
        <w:tc>
          <w:tcPr>
            <w:tcW w:w="4694" w:type="dxa"/>
          </w:tcPr>
          <w:p>
            <w:pPr>
              <w:pStyle w:val="TableParagraph"/>
              <w:rPr>
                <w:rFonts w:ascii="Times New Roman"/>
                <w:sz w:val="8"/>
              </w:rPr>
            </w:pPr>
          </w:p>
        </w:tc>
        <w:tc>
          <w:tcPr>
            <w:tcW w:w="1029" w:type="dxa"/>
            <w:tcBorders>
              <w:top w:val="single" w:sz="6" w:space="0" w:color="000000"/>
              <w:bottom w:val="single" w:sz="6" w:space="0" w:color="000000"/>
            </w:tcBorders>
          </w:tcPr>
          <w:p>
            <w:pPr>
              <w:pStyle w:val="TableParagraph"/>
              <w:rPr>
                <w:rFonts w:ascii="Times New Roman"/>
                <w:sz w:val="8"/>
              </w:rPr>
            </w:pPr>
          </w:p>
        </w:tc>
        <w:tc>
          <w:tcPr>
            <w:tcW w:w="917" w:type="dxa"/>
            <w:tcBorders>
              <w:top w:val="single" w:sz="6" w:space="0" w:color="000000"/>
              <w:bottom w:val="single" w:sz="6" w:space="0" w:color="000000"/>
            </w:tcBorders>
          </w:tcPr>
          <w:p>
            <w:pPr>
              <w:pStyle w:val="TableParagraph"/>
              <w:rPr>
                <w:rFonts w:ascii="Times New Roman"/>
                <w:sz w:val="8"/>
              </w:rPr>
            </w:pPr>
          </w:p>
        </w:tc>
        <w:tc>
          <w:tcPr>
            <w:tcW w:w="917" w:type="dxa"/>
            <w:tcBorders>
              <w:top w:val="single" w:sz="6" w:space="0" w:color="000000"/>
              <w:bottom w:val="single" w:sz="6" w:space="0" w:color="000000"/>
            </w:tcBorders>
          </w:tcPr>
          <w:p>
            <w:pPr>
              <w:pStyle w:val="TableParagraph"/>
              <w:rPr>
                <w:rFonts w:ascii="Times New Roman"/>
                <w:sz w:val="8"/>
              </w:rPr>
            </w:pPr>
          </w:p>
        </w:tc>
        <w:tc>
          <w:tcPr>
            <w:tcW w:w="807" w:type="dxa"/>
            <w:tcBorders>
              <w:top w:val="single" w:sz="6" w:space="0" w:color="000000"/>
              <w:bottom w:val="single" w:sz="6" w:space="0" w:color="000000"/>
            </w:tcBorders>
          </w:tcPr>
          <w:p>
            <w:pPr>
              <w:pStyle w:val="TableParagraph"/>
              <w:rPr>
                <w:rFonts w:ascii="Times New Roman"/>
                <w:sz w:val="8"/>
              </w:rPr>
            </w:pPr>
          </w:p>
        </w:tc>
      </w:tr>
      <w:tr>
        <w:trPr>
          <w:trHeight w:val="152" w:hRule="atLeast"/>
        </w:trPr>
        <w:tc>
          <w:tcPr>
            <w:tcW w:w="4694" w:type="dxa"/>
          </w:tcPr>
          <w:p>
            <w:pPr>
              <w:pStyle w:val="TableParagraph"/>
              <w:spacing w:line="133" w:lineRule="exact"/>
              <w:ind w:left="34"/>
              <w:rPr>
                <w:b/>
                <w:sz w:val="13"/>
              </w:rPr>
            </w:pPr>
            <w:r>
              <w:rPr>
                <w:b/>
                <w:w w:val="105"/>
                <w:sz w:val="13"/>
              </w:rPr>
              <w:t>Total</w:t>
            </w:r>
            <w:r>
              <w:rPr>
                <w:b/>
                <w:spacing w:val="-6"/>
                <w:w w:val="105"/>
                <w:sz w:val="13"/>
              </w:rPr>
              <w:t> </w:t>
            </w:r>
            <w:r>
              <w:rPr>
                <w:b/>
                <w:w w:val="105"/>
                <w:sz w:val="13"/>
              </w:rPr>
              <w:t>other</w:t>
            </w:r>
            <w:r>
              <w:rPr>
                <w:b/>
                <w:spacing w:val="-5"/>
                <w:w w:val="105"/>
                <w:sz w:val="13"/>
              </w:rPr>
              <w:t> </w:t>
            </w:r>
            <w:r>
              <w:rPr>
                <w:b/>
                <w:w w:val="105"/>
                <w:sz w:val="13"/>
              </w:rPr>
              <w:t>non-financial</w:t>
            </w:r>
            <w:r>
              <w:rPr>
                <w:b/>
                <w:spacing w:val="-6"/>
                <w:w w:val="105"/>
                <w:sz w:val="13"/>
              </w:rPr>
              <w:t> </w:t>
            </w:r>
            <w:r>
              <w:rPr>
                <w:b/>
                <w:spacing w:val="-2"/>
                <w:w w:val="105"/>
                <w:sz w:val="13"/>
              </w:rPr>
              <w:t>assets</w:t>
            </w:r>
          </w:p>
        </w:tc>
        <w:tc>
          <w:tcPr>
            <w:tcW w:w="1029" w:type="dxa"/>
            <w:tcBorders>
              <w:top w:val="single" w:sz="6" w:space="0" w:color="000000"/>
              <w:bottom w:val="single" w:sz="6" w:space="0" w:color="000000"/>
            </w:tcBorders>
          </w:tcPr>
          <w:p>
            <w:pPr>
              <w:pStyle w:val="TableParagraph"/>
              <w:spacing w:line="133" w:lineRule="exact"/>
              <w:ind w:right="184"/>
              <w:jc w:val="right"/>
              <w:rPr>
                <w:b/>
                <w:sz w:val="13"/>
              </w:rPr>
            </w:pPr>
            <w:r>
              <w:rPr>
                <w:b/>
                <w:spacing w:val="-2"/>
                <w:w w:val="105"/>
                <w:sz w:val="13"/>
              </w:rPr>
              <w:t>26,798</w:t>
            </w:r>
          </w:p>
        </w:tc>
        <w:tc>
          <w:tcPr>
            <w:tcW w:w="917" w:type="dxa"/>
            <w:tcBorders>
              <w:top w:val="single" w:sz="6" w:space="0" w:color="000000"/>
              <w:bottom w:val="single" w:sz="6" w:space="0" w:color="000000"/>
            </w:tcBorders>
          </w:tcPr>
          <w:p>
            <w:pPr>
              <w:pStyle w:val="TableParagraph"/>
              <w:spacing w:line="133" w:lineRule="exact"/>
              <w:ind w:left="204" w:right="75"/>
              <w:jc w:val="center"/>
              <w:rPr>
                <w:b/>
                <w:sz w:val="13"/>
              </w:rPr>
            </w:pPr>
            <w:r>
              <w:rPr>
                <w:b/>
                <w:spacing w:val="-2"/>
                <w:w w:val="105"/>
                <w:sz w:val="13"/>
              </w:rPr>
              <w:t>26,805</w:t>
            </w:r>
          </w:p>
        </w:tc>
        <w:tc>
          <w:tcPr>
            <w:tcW w:w="917" w:type="dxa"/>
            <w:tcBorders>
              <w:top w:val="single" w:sz="6" w:space="0" w:color="000000"/>
              <w:bottom w:val="single" w:sz="6" w:space="0" w:color="000000"/>
            </w:tcBorders>
          </w:tcPr>
          <w:p>
            <w:pPr>
              <w:pStyle w:val="TableParagraph"/>
              <w:spacing w:line="133" w:lineRule="exact"/>
              <w:ind w:right="186"/>
              <w:jc w:val="right"/>
              <w:rPr>
                <w:b/>
                <w:sz w:val="13"/>
              </w:rPr>
            </w:pPr>
            <w:r>
              <w:rPr>
                <w:b/>
                <w:spacing w:val="-2"/>
                <w:w w:val="105"/>
                <w:sz w:val="13"/>
              </w:rPr>
              <w:t>26,527</w:t>
            </w:r>
          </w:p>
        </w:tc>
        <w:tc>
          <w:tcPr>
            <w:tcW w:w="807" w:type="dxa"/>
            <w:tcBorders>
              <w:top w:val="single" w:sz="6" w:space="0" w:color="000000"/>
              <w:bottom w:val="single" w:sz="6" w:space="0" w:color="000000"/>
            </w:tcBorders>
          </w:tcPr>
          <w:p>
            <w:pPr>
              <w:pStyle w:val="TableParagraph"/>
              <w:spacing w:line="133" w:lineRule="exact"/>
              <w:ind w:right="77"/>
              <w:jc w:val="right"/>
              <w:rPr>
                <w:b/>
                <w:sz w:val="13"/>
              </w:rPr>
            </w:pPr>
            <w:r>
              <w:rPr>
                <w:b/>
                <w:spacing w:val="-2"/>
                <w:w w:val="105"/>
                <w:sz w:val="13"/>
              </w:rPr>
              <w:t>25,377</w:t>
            </w:r>
          </w:p>
        </w:tc>
      </w:tr>
    </w:tbl>
    <w:p>
      <w:pPr>
        <w:spacing w:before="157"/>
        <w:ind w:left="856" w:right="0" w:firstLine="0"/>
        <w:jc w:val="left"/>
        <w:rPr>
          <w:sz w:val="13"/>
        </w:rPr>
      </w:pPr>
      <w:r>
        <w:rPr>
          <w:w w:val="105"/>
          <w:sz w:val="13"/>
        </w:rPr>
        <w:t>Advances</w:t>
      </w:r>
      <w:r>
        <w:rPr>
          <w:spacing w:val="-9"/>
          <w:w w:val="105"/>
          <w:sz w:val="13"/>
        </w:rPr>
        <w:t> </w:t>
      </w:r>
      <w:r>
        <w:rPr>
          <w:w w:val="105"/>
          <w:sz w:val="13"/>
        </w:rPr>
        <w:t>and</w:t>
      </w:r>
      <w:r>
        <w:rPr>
          <w:spacing w:val="-9"/>
          <w:w w:val="105"/>
          <w:sz w:val="13"/>
        </w:rPr>
        <w:t> </w:t>
      </w:r>
      <w:r>
        <w:rPr>
          <w:w w:val="105"/>
          <w:sz w:val="13"/>
        </w:rPr>
        <w:t>prepayments</w:t>
      </w:r>
      <w:r>
        <w:rPr>
          <w:spacing w:val="-9"/>
          <w:w w:val="105"/>
          <w:sz w:val="13"/>
        </w:rPr>
        <w:t> </w:t>
      </w:r>
      <w:r>
        <w:rPr>
          <w:w w:val="105"/>
          <w:sz w:val="13"/>
        </w:rPr>
        <w:t>include</w:t>
      </w:r>
      <w:r>
        <w:rPr>
          <w:spacing w:val="-9"/>
          <w:w w:val="105"/>
          <w:sz w:val="13"/>
        </w:rPr>
        <w:t> </w:t>
      </w:r>
      <w:r>
        <w:rPr>
          <w:w w:val="105"/>
          <w:sz w:val="13"/>
        </w:rPr>
        <w:t>$1.4</w:t>
      </w:r>
      <w:r>
        <w:rPr>
          <w:spacing w:val="-9"/>
          <w:w w:val="105"/>
          <w:sz w:val="13"/>
        </w:rPr>
        <w:t> </w:t>
      </w:r>
      <w:r>
        <w:rPr>
          <w:w w:val="105"/>
          <w:sz w:val="13"/>
        </w:rPr>
        <w:t>million</w:t>
      </w:r>
      <w:r>
        <w:rPr>
          <w:spacing w:val="-10"/>
          <w:w w:val="105"/>
          <w:sz w:val="13"/>
        </w:rPr>
        <w:t> </w:t>
      </w:r>
      <w:r>
        <w:rPr>
          <w:w w:val="105"/>
          <w:sz w:val="13"/>
        </w:rPr>
        <w:t>of</w:t>
      </w:r>
      <w:r>
        <w:rPr>
          <w:spacing w:val="-7"/>
          <w:w w:val="105"/>
          <w:sz w:val="13"/>
        </w:rPr>
        <w:t> </w:t>
      </w:r>
      <w:r>
        <w:rPr>
          <w:w w:val="105"/>
          <w:sz w:val="13"/>
        </w:rPr>
        <w:t>prepayments</w:t>
      </w:r>
      <w:r>
        <w:rPr>
          <w:spacing w:val="-8"/>
          <w:w w:val="105"/>
          <w:sz w:val="13"/>
        </w:rPr>
        <w:t> </w:t>
      </w:r>
      <w:r>
        <w:rPr>
          <w:w w:val="105"/>
          <w:sz w:val="13"/>
        </w:rPr>
        <w:t>for</w:t>
      </w:r>
      <w:r>
        <w:rPr>
          <w:spacing w:val="-8"/>
          <w:w w:val="105"/>
          <w:sz w:val="13"/>
        </w:rPr>
        <w:t> </w:t>
      </w:r>
      <w:r>
        <w:rPr>
          <w:w w:val="105"/>
          <w:sz w:val="13"/>
        </w:rPr>
        <w:t>property,</w:t>
      </w:r>
      <w:r>
        <w:rPr>
          <w:spacing w:val="-9"/>
          <w:w w:val="105"/>
          <w:sz w:val="13"/>
        </w:rPr>
        <w:t> </w:t>
      </w:r>
      <w:r>
        <w:rPr>
          <w:w w:val="105"/>
          <w:sz w:val="13"/>
        </w:rPr>
        <w:t>plant</w:t>
      </w:r>
      <w:r>
        <w:rPr>
          <w:spacing w:val="-9"/>
          <w:w w:val="105"/>
          <w:sz w:val="13"/>
        </w:rPr>
        <w:t> </w:t>
      </w:r>
      <w:r>
        <w:rPr>
          <w:w w:val="105"/>
          <w:sz w:val="13"/>
        </w:rPr>
        <w:t>and</w:t>
      </w:r>
      <w:r>
        <w:rPr>
          <w:spacing w:val="-10"/>
          <w:w w:val="105"/>
          <w:sz w:val="13"/>
        </w:rPr>
        <w:t> </w:t>
      </w:r>
      <w:r>
        <w:rPr>
          <w:w w:val="105"/>
          <w:sz w:val="13"/>
        </w:rPr>
        <w:t>equipment</w:t>
      </w:r>
      <w:r>
        <w:rPr>
          <w:spacing w:val="-9"/>
          <w:w w:val="105"/>
          <w:sz w:val="13"/>
        </w:rPr>
        <w:t> </w:t>
      </w:r>
      <w:r>
        <w:rPr>
          <w:w w:val="105"/>
          <w:sz w:val="13"/>
        </w:rPr>
        <w:t>(2019:</w:t>
      </w:r>
      <w:r>
        <w:rPr>
          <w:spacing w:val="-9"/>
          <w:w w:val="105"/>
          <w:sz w:val="13"/>
        </w:rPr>
        <w:t> </w:t>
      </w:r>
      <w:r>
        <w:rPr>
          <w:w w:val="105"/>
          <w:sz w:val="13"/>
        </w:rPr>
        <w:t>$3.7</w:t>
      </w:r>
      <w:r>
        <w:rPr>
          <w:spacing w:val="-10"/>
          <w:w w:val="105"/>
          <w:sz w:val="13"/>
        </w:rPr>
        <w:t> </w:t>
      </w:r>
      <w:r>
        <w:rPr>
          <w:spacing w:val="-2"/>
          <w:w w:val="105"/>
          <w:sz w:val="13"/>
        </w:rPr>
        <w:t>million).</w:t>
      </w:r>
    </w:p>
    <w:p>
      <w:pPr>
        <w:spacing w:line="240" w:lineRule="auto" w:before="36"/>
        <w:rPr>
          <w:sz w:val="13"/>
        </w:rPr>
      </w:pPr>
    </w:p>
    <w:p>
      <w:pPr>
        <w:spacing w:before="0"/>
        <w:ind w:left="856" w:right="0" w:firstLine="0"/>
        <w:jc w:val="left"/>
        <w:rPr>
          <w:b/>
          <w:i/>
          <w:sz w:val="13"/>
        </w:rPr>
      </w:pPr>
      <w:r>
        <w:rPr>
          <w:b/>
          <w:i/>
          <w:color w:val="0070C0"/>
          <w:w w:val="105"/>
          <w:sz w:val="13"/>
        </w:rPr>
        <w:t>Accounting</w:t>
      </w:r>
      <w:r>
        <w:rPr>
          <w:b/>
          <w:i/>
          <w:color w:val="0070C0"/>
          <w:spacing w:val="-6"/>
          <w:w w:val="105"/>
          <w:sz w:val="13"/>
        </w:rPr>
        <w:t> </w:t>
      </w:r>
      <w:r>
        <w:rPr>
          <w:b/>
          <w:i/>
          <w:color w:val="0070C0"/>
          <w:spacing w:val="-2"/>
          <w:w w:val="105"/>
          <w:sz w:val="13"/>
        </w:rPr>
        <w:t>policy</w:t>
      </w:r>
    </w:p>
    <w:p>
      <w:pPr>
        <w:spacing w:line="273" w:lineRule="auto" w:before="25"/>
        <w:ind w:left="856" w:right="1763" w:firstLine="0"/>
        <w:jc w:val="left"/>
        <w:rPr>
          <w:sz w:val="13"/>
        </w:rPr>
      </w:pPr>
      <w:r>
        <w:rPr>
          <w:w w:val="105"/>
          <w:sz w:val="13"/>
        </w:rPr>
        <w:t>The Group recognises a prepayment as an asset when the payments for goods and services have been made in advance of the Group</w:t>
      </w:r>
      <w:r>
        <w:rPr>
          <w:spacing w:val="40"/>
          <w:w w:val="105"/>
          <w:sz w:val="13"/>
        </w:rPr>
        <w:t> </w:t>
      </w:r>
      <w:r>
        <w:rPr>
          <w:w w:val="105"/>
          <w:sz w:val="13"/>
        </w:rPr>
        <w:t>obtaining a right to access those goods and services.</w:t>
      </w:r>
    </w:p>
    <w:p>
      <w:pPr>
        <w:spacing w:line="240" w:lineRule="auto" w:before="10"/>
        <w:rPr>
          <w:sz w:val="16"/>
        </w:rPr>
      </w:pPr>
      <w:r>
        <w:rPr/>
        <mc:AlternateContent>
          <mc:Choice Requires="wps">
            <w:drawing>
              <wp:anchor distT="0" distB="0" distL="0" distR="0" allowOverlap="1" layoutInCell="1" locked="0" behindDoc="1" simplePos="0" relativeHeight="487748096">
                <wp:simplePos x="0" y="0"/>
                <wp:positionH relativeFrom="page">
                  <wp:posOffset>726020</wp:posOffset>
                </wp:positionH>
                <wp:positionV relativeFrom="paragraph">
                  <wp:posOffset>138725</wp:posOffset>
                </wp:positionV>
                <wp:extent cx="5688965" cy="17145"/>
                <wp:effectExtent l="0" t="0" r="0" b="0"/>
                <wp:wrapTopAndBottom/>
                <wp:docPr id="927" name="Graphic 927"/>
                <wp:cNvGraphicFramePr>
                  <a:graphicFrameLocks/>
                </wp:cNvGraphicFramePr>
                <a:graphic>
                  <a:graphicData uri="http://schemas.microsoft.com/office/word/2010/wordprocessingShape">
                    <wps:wsp>
                      <wps:cNvPr id="927" name="Graphic 927"/>
                      <wps:cNvSpPr/>
                      <wps:spPr>
                        <a:xfrm>
                          <a:off x="0" y="0"/>
                          <a:ext cx="5688965" cy="17145"/>
                        </a:xfrm>
                        <a:custGeom>
                          <a:avLst/>
                          <a:gdLst/>
                          <a:ahLst/>
                          <a:cxnLst/>
                          <a:rect l="l" t="t" r="r" b="b"/>
                          <a:pathLst>
                            <a:path w="5688965" h="17145">
                              <a:moveTo>
                                <a:pt x="5688380" y="0"/>
                              </a:moveTo>
                              <a:lnTo>
                                <a:pt x="0" y="0"/>
                              </a:lnTo>
                              <a:lnTo>
                                <a:pt x="0" y="16814"/>
                              </a:lnTo>
                              <a:lnTo>
                                <a:pt x="5688380" y="16814"/>
                              </a:lnTo>
                              <a:lnTo>
                                <a:pt x="5688380"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7.167pt;margin-top:10.923297pt;width:447.904pt;height:1.324pt;mso-position-horizontal-relative:page;mso-position-vertical-relative:paragraph;z-index:-15568384;mso-wrap-distance-left:0;mso-wrap-distance-right:0" id="docshape621" filled="true" fillcolor="#4f81bd" stroked="false">
                <v:fill type="solid"/>
                <w10:wrap type="topAndBottom"/>
              </v:rect>
            </w:pict>
          </mc:Fallback>
        </mc:AlternateContent>
      </w:r>
    </w:p>
    <w:p>
      <w:pPr>
        <w:pStyle w:val="ListParagraph"/>
        <w:numPr>
          <w:ilvl w:val="1"/>
          <w:numId w:val="13"/>
        </w:numPr>
        <w:tabs>
          <w:tab w:pos="861" w:val="left" w:leader="none"/>
          <w:tab w:pos="6005" w:val="left" w:leader="none"/>
          <w:tab w:pos="7940" w:val="left" w:leader="none"/>
        </w:tabs>
        <w:spacing w:line="240" w:lineRule="auto" w:before="181" w:after="0"/>
        <w:ind w:left="861" w:right="0" w:hanging="607"/>
        <w:jc w:val="left"/>
        <w:rPr>
          <w:b/>
          <w:color w:val="0070C0"/>
          <w:sz w:val="16"/>
        </w:rPr>
      </w:pPr>
      <w:r>
        <w:rPr>
          <w:b/>
          <w:color w:val="0070C0"/>
          <w:sz w:val="16"/>
        </w:rPr>
        <w:t>Investment</w:t>
      </w:r>
      <w:r>
        <w:rPr>
          <w:b/>
          <w:color w:val="0070C0"/>
          <w:spacing w:val="8"/>
          <w:sz w:val="16"/>
        </w:rPr>
        <w:t> </w:t>
      </w:r>
      <w:r>
        <w:rPr>
          <w:b/>
          <w:color w:val="0070C0"/>
          <w:spacing w:val="-2"/>
          <w:sz w:val="16"/>
        </w:rPr>
        <w:t>properties</w:t>
      </w:r>
      <w:r>
        <w:rPr>
          <w:b/>
          <w:color w:val="0070C0"/>
          <w:sz w:val="16"/>
        </w:rPr>
        <w:tab/>
      </w:r>
      <w:r>
        <w:rPr>
          <w:b/>
          <w:spacing w:val="-2"/>
          <w:sz w:val="13"/>
        </w:rPr>
        <w:t>Consolidated</w:t>
      </w:r>
      <w:r>
        <w:rPr>
          <w:b/>
          <w:sz w:val="13"/>
        </w:rPr>
        <w:tab/>
      </w:r>
      <w:r>
        <w:rPr>
          <w:b/>
          <w:spacing w:val="-2"/>
          <w:sz w:val="13"/>
        </w:rPr>
        <w:t>University</w:t>
      </w:r>
    </w:p>
    <w:tbl>
      <w:tblPr>
        <w:tblW w:w="0" w:type="auto"/>
        <w:jc w:val="left"/>
        <w:tblInd w:w="8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694"/>
        <w:gridCol w:w="1029"/>
        <w:gridCol w:w="917"/>
        <w:gridCol w:w="917"/>
        <w:gridCol w:w="807"/>
      </w:tblGrid>
      <w:tr>
        <w:trPr>
          <w:trHeight w:val="358" w:hRule="atLeast"/>
        </w:trPr>
        <w:tc>
          <w:tcPr>
            <w:tcW w:w="4694" w:type="dxa"/>
          </w:tcPr>
          <w:p>
            <w:pPr>
              <w:pStyle w:val="TableParagraph"/>
              <w:rPr>
                <w:rFonts w:ascii="Times New Roman"/>
                <w:sz w:val="12"/>
              </w:rPr>
            </w:pPr>
          </w:p>
        </w:tc>
        <w:tc>
          <w:tcPr>
            <w:tcW w:w="1029" w:type="dxa"/>
            <w:tcBorders>
              <w:bottom w:val="single" w:sz="6" w:space="0" w:color="000000"/>
            </w:tcBorders>
          </w:tcPr>
          <w:p>
            <w:pPr>
              <w:pStyle w:val="TableParagraph"/>
              <w:spacing w:before="23"/>
              <w:ind w:left="313"/>
              <w:rPr>
                <w:b/>
                <w:sz w:val="13"/>
              </w:rPr>
            </w:pPr>
            <w:r>
              <w:rPr>
                <w:b/>
                <w:spacing w:val="-4"/>
                <w:w w:val="105"/>
                <w:sz w:val="13"/>
              </w:rPr>
              <w:t>2020</w:t>
            </w:r>
          </w:p>
          <w:p>
            <w:pPr>
              <w:pStyle w:val="TableParagraph"/>
              <w:spacing w:line="148" w:lineRule="exact" w:before="18"/>
              <w:ind w:left="297"/>
              <w:rPr>
                <w:b/>
                <w:sz w:val="13"/>
              </w:rPr>
            </w:pPr>
            <w:r>
              <w:rPr>
                <w:b/>
                <w:spacing w:val="-2"/>
                <w:w w:val="105"/>
                <w:sz w:val="13"/>
              </w:rPr>
              <w:t>$'000</w:t>
            </w:r>
          </w:p>
        </w:tc>
        <w:tc>
          <w:tcPr>
            <w:tcW w:w="917" w:type="dxa"/>
            <w:tcBorders>
              <w:bottom w:val="single" w:sz="6" w:space="0" w:color="000000"/>
            </w:tcBorders>
          </w:tcPr>
          <w:p>
            <w:pPr>
              <w:pStyle w:val="TableParagraph"/>
              <w:spacing w:before="23"/>
              <w:ind w:left="200"/>
              <w:rPr>
                <w:b/>
                <w:sz w:val="13"/>
              </w:rPr>
            </w:pPr>
            <w:r>
              <w:rPr>
                <w:b/>
                <w:spacing w:val="-4"/>
                <w:w w:val="105"/>
                <w:sz w:val="13"/>
              </w:rPr>
              <w:t>2019</w:t>
            </w:r>
          </w:p>
          <w:p>
            <w:pPr>
              <w:pStyle w:val="TableParagraph"/>
              <w:spacing w:line="148" w:lineRule="exact" w:before="18"/>
              <w:ind w:left="184"/>
              <w:rPr>
                <w:b/>
                <w:sz w:val="13"/>
              </w:rPr>
            </w:pPr>
            <w:r>
              <w:rPr>
                <w:b/>
                <w:spacing w:val="-2"/>
                <w:w w:val="105"/>
                <w:sz w:val="13"/>
              </w:rPr>
              <w:t>$'000</w:t>
            </w:r>
          </w:p>
        </w:tc>
        <w:tc>
          <w:tcPr>
            <w:tcW w:w="917" w:type="dxa"/>
            <w:tcBorders>
              <w:bottom w:val="single" w:sz="6" w:space="0" w:color="000000"/>
            </w:tcBorders>
          </w:tcPr>
          <w:p>
            <w:pPr>
              <w:pStyle w:val="TableParagraph"/>
              <w:spacing w:before="23"/>
              <w:ind w:left="199"/>
              <w:rPr>
                <w:b/>
                <w:sz w:val="13"/>
              </w:rPr>
            </w:pPr>
            <w:r>
              <w:rPr>
                <w:b/>
                <w:spacing w:val="-4"/>
                <w:w w:val="105"/>
                <w:sz w:val="13"/>
              </w:rPr>
              <w:t>2020</w:t>
            </w:r>
          </w:p>
          <w:p>
            <w:pPr>
              <w:pStyle w:val="TableParagraph"/>
              <w:spacing w:line="148" w:lineRule="exact" w:before="18"/>
              <w:ind w:left="183"/>
              <w:rPr>
                <w:b/>
                <w:sz w:val="13"/>
              </w:rPr>
            </w:pPr>
            <w:r>
              <w:rPr>
                <w:b/>
                <w:spacing w:val="-2"/>
                <w:w w:val="105"/>
                <w:sz w:val="13"/>
              </w:rPr>
              <w:t>$'000</w:t>
            </w:r>
          </w:p>
        </w:tc>
        <w:tc>
          <w:tcPr>
            <w:tcW w:w="807" w:type="dxa"/>
            <w:tcBorders>
              <w:bottom w:val="single" w:sz="6" w:space="0" w:color="000000"/>
            </w:tcBorders>
          </w:tcPr>
          <w:p>
            <w:pPr>
              <w:pStyle w:val="TableParagraph"/>
              <w:spacing w:before="23"/>
              <w:ind w:left="197"/>
              <w:rPr>
                <w:b/>
                <w:sz w:val="13"/>
              </w:rPr>
            </w:pPr>
            <w:r>
              <w:rPr>
                <w:b/>
                <w:spacing w:val="-4"/>
                <w:w w:val="105"/>
                <w:sz w:val="13"/>
              </w:rPr>
              <w:t>2019</w:t>
            </w:r>
          </w:p>
          <w:p>
            <w:pPr>
              <w:pStyle w:val="TableParagraph"/>
              <w:spacing w:line="148" w:lineRule="exact" w:before="18"/>
              <w:ind w:left="182"/>
              <w:rPr>
                <w:b/>
                <w:sz w:val="13"/>
              </w:rPr>
            </w:pPr>
            <w:r>
              <w:rPr>
                <w:b/>
                <w:spacing w:val="-2"/>
                <w:w w:val="105"/>
                <w:sz w:val="13"/>
              </w:rPr>
              <w:t>$'000</w:t>
            </w:r>
          </w:p>
        </w:tc>
      </w:tr>
      <w:tr>
        <w:trPr>
          <w:trHeight w:val="322" w:hRule="atLeast"/>
        </w:trPr>
        <w:tc>
          <w:tcPr>
            <w:tcW w:w="4694" w:type="dxa"/>
          </w:tcPr>
          <w:p>
            <w:pPr>
              <w:pStyle w:val="TableParagraph"/>
              <w:spacing w:line="134" w:lineRule="exact"/>
              <w:ind w:left="34"/>
              <w:rPr>
                <w:b/>
                <w:sz w:val="13"/>
              </w:rPr>
            </w:pPr>
            <w:r>
              <w:rPr>
                <w:b/>
                <w:w w:val="105"/>
                <w:sz w:val="13"/>
              </w:rPr>
              <w:t>At</w:t>
            </w:r>
            <w:r>
              <w:rPr>
                <w:b/>
                <w:spacing w:val="-4"/>
                <w:w w:val="105"/>
                <w:sz w:val="13"/>
              </w:rPr>
              <w:t> </w:t>
            </w:r>
            <w:r>
              <w:rPr>
                <w:b/>
                <w:w w:val="105"/>
                <w:sz w:val="13"/>
              </w:rPr>
              <w:t>fair</w:t>
            </w:r>
            <w:r>
              <w:rPr>
                <w:b/>
                <w:spacing w:val="-4"/>
                <w:w w:val="105"/>
                <w:sz w:val="13"/>
              </w:rPr>
              <w:t> </w:t>
            </w:r>
            <w:r>
              <w:rPr>
                <w:b/>
                <w:spacing w:val="-2"/>
                <w:w w:val="105"/>
                <w:sz w:val="13"/>
              </w:rPr>
              <w:t>value</w:t>
            </w:r>
          </w:p>
          <w:p>
            <w:pPr>
              <w:pStyle w:val="TableParagraph"/>
              <w:spacing w:before="14"/>
              <w:ind w:left="34"/>
              <w:rPr>
                <w:sz w:val="13"/>
              </w:rPr>
            </w:pPr>
            <w:r>
              <w:rPr>
                <w:w w:val="105"/>
                <w:sz w:val="13"/>
              </w:rPr>
              <w:t>Opening</w:t>
            </w:r>
            <w:r>
              <w:rPr>
                <w:spacing w:val="-7"/>
                <w:w w:val="105"/>
                <w:sz w:val="13"/>
              </w:rPr>
              <w:t> </w:t>
            </w:r>
            <w:r>
              <w:rPr>
                <w:w w:val="105"/>
                <w:sz w:val="13"/>
              </w:rPr>
              <w:t>balance</w:t>
            </w:r>
            <w:r>
              <w:rPr>
                <w:spacing w:val="-7"/>
                <w:w w:val="105"/>
                <w:sz w:val="13"/>
              </w:rPr>
              <w:t> </w:t>
            </w:r>
            <w:r>
              <w:rPr>
                <w:w w:val="105"/>
                <w:sz w:val="13"/>
              </w:rPr>
              <w:t>at</w:t>
            </w:r>
            <w:r>
              <w:rPr>
                <w:spacing w:val="-7"/>
                <w:w w:val="105"/>
                <w:sz w:val="13"/>
              </w:rPr>
              <w:t> </w:t>
            </w:r>
            <w:r>
              <w:rPr>
                <w:w w:val="105"/>
                <w:sz w:val="13"/>
              </w:rPr>
              <w:t>1</w:t>
            </w:r>
            <w:r>
              <w:rPr>
                <w:spacing w:val="-7"/>
                <w:w w:val="105"/>
                <w:sz w:val="13"/>
              </w:rPr>
              <w:t> </w:t>
            </w:r>
            <w:r>
              <w:rPr>
                <w:spacing w:val="-2"/>
                <w:w w:val="105"/>
                <w:sz w:val="13"/>
              </w:rPr>
              <w:t>January</w:t>
            </w:r>
          </w:p>
        </w:tc>
        <w:tc>
          <w:tcPr>
            <w:tcW w:w="1029" w:type="dxa"/>
            <w:tcBorders>
              <w:top w:val="single" w:sz="6" w:space="0" w:color="000000"/>
            </w:tcBorders>
          </w:tcPr>
          <w:p>
            <w:pPr>
              <w:pStyle w:val="TableParagraph"/>
              <w:spacing w:before="2"/>
              <w:rPr>
                <w:b/>
                <w:sz w:val="13"/>
              </w:rPr>
            </w:pPr>
          </w:p>
          <w:p>
            <w:pPr>
              <w:pStyle w:val="TableParagraph"/>
              <w:spacing w:before="1"/>
              <w:ind w:right="184"/>
              <w:jc w:val="right"/>
              <w:rPr>
                <w:sz w:val="13"/>
              </w:rPr>
            </w:pPr>
            <w:r>
              <w:rPr>
                <w:spacing w:val="-2"/>
                <w:w w:val="105"/>
                <w:sz w:val="13"/>
              </w:rPr>
              <w:t>32,072</w:t>
            </w:r>
          </w:p>
        </w:tc>
        <w:tc>
          <w:tcPr>
            <w:tcW w:w="917" w:type="dxa"/>
            <w:tcBorders>
              <w:top w:val="single" w:sz="6" w:space="0" w:color="000000"/>
            </w:tcBorders>
          </w:tcPr>
          <w:p>
            <w:pPr>
              <w:pStyle w:val="TableParagraph"/>
              <w:spacing w:before="2"/>
              <w:rPr>
                <w:b/>
                <w:sz w:val="13"/>
              </w:rPr>
            </w:pPr>
          </w:p>
          <w:p>
            <w:pPr>
              <w:pStyle w:val="TableParagraph"/>
              <w:spacing w:before="1"/>
              <w:ind w:left="204" w:right="75"/>
              <w:jc w:val="center"/>
              <w:rPr>
                <w:sz w:val="13"/>
              </w:rPr>
            </w:pPr>
            <w:r>
              <w:rPr>
                <w:spacing w:val="-2"/>
                <w:w w:val="105"/>
                <w:sz w:val="13"/>
              </w:rPr>
              <w:t>27,232</w:t>
            </w:r>
          </w:p>
        </w:tc>
        <w:tc>
          <w:tcPr>
            <w:tcW w:w="917" w:type="dxa"/>
            <w:tcBorders>
              <w:top w:val="single" w:sz="6" w:space="0" w:color="000000"/>
            </w:tcBorders>
          </w:tcPr>
          <w:p>
            <w:pPr>
              <w:pStyle w:val="TableParagraph"/>
              <w:spacing w:before="2"/>
              <w:rPr>
                <w:b/>
                <w:sz w:val="13"/>
              </w:rPr>
            </w:pPr>
          </w:p>
          <w:p>
            <w:pPr>
              <w:pStyle w:val="TableParagraph"/>
              <w:spacing w:before="1"/>
              <w:ind w:right="186"/>
              <w:jc w:val="right"/>
              <w:rPr>
                <w:sz w:val="13"/>
              </w:rPr>
            </w:pPr>
            <w:r>
              <w:rPr>
                <w:spacing w:val="-2"/>
                <w:w w:val="105"/>
                <w:sz w:val="13"/>
              </w:rPr>
              <w:t>32,072</w:t>
            </w:r>
          </w:p>
        </w:tc>
        <w:tc>
          <w:tcPr>
            <w:tcW w:w="807" w:type="dxa"/>
            <w:tcBorders>
              <w:top w:val="single" w:sz="6" w:space="0" w:color="000000"/>
            </w:tcBorders>
          </w:tcPr>
          <w:p>
            <w:pPr>
              <w:pStyle w:val="TableParagraph"/>
              <w:spacing w:before="2"/>
              <w:rPr>
                <w:b/>
                <w:sz w:val="13"/>
              </w:rPr>
            </w:pPr>
          </w:p>
          <w:p>
            <w:pPr>
              <w:pStyle w:val="TableParagraph"/>
              <w:spacing w:before="1"/>
              <w:ind w:right="77"/>
              <w:jc w:val="right"/>
              <w:rPr>
                <w:sz w:val="13"/>
              </w:rPr>
            </w:pPr>
            <w:r>
              <w:rPr>
                <w:spacing w:val="-2"/>
                <w:w w:val="105"/>
                <w:sz w:val="13"/>
              </w:rPr>
              <w:t>27,232</w:t>
            </w:r>
          </w:p>
        </w:tc>
      </w:tr>
      <w:tr>
        <w:trPr>
          <w:trHeight w:val="165" w:hRule="atLeast"/>
        </w:trPr>
        <w:tc>
          <w:tcPr>
            <w:tcW w:w="4694" w:type="dxa"/>
          </w:tcPr>
          <w:p>
            <w:pPr>
              <w:pStyle w:val="TableParagraph"/>
              <w:spacing w:line="143" w:lineRule="exact"/>
              <w:ind w:left="34"/>
              <w:rPr>
                <w:sz w:val="13"/>
              </w:rPr>
            </w:pPr>
            <w:r>
              <w:rPr>
                <w:w w:val="105"/>
                <w:sz w:val="13"/>
              </w:rPr>
              <w:t>Net</w:t>
            </w:r>
            <w:r>
              <w:rPr>
                <w:spacing w:val="-6"/>
                <w:w w:val="105"/>
                <w:sz w:val="13"/>
              </w:rPr>
              <w:t> </w:t>
            </w:r>
            <w:r>
              <w:rPr>
                <w:w w:val="105"/>
                <w:sz w:val="13"/>
              </w:rPr>
              <w:t>gain/(loss)</w:t>
            </w:r>
            <w:r>
              <w:rPr>
                <w:spacing w:val="-3"/>
                <w:w w:val="105"/>
                <w:sz w:val="13"/>
              </w:rPr>
              <w:t> </w:t>
            </w:r>
            <w:r>
              <w:rPr>
                <w:w w:val="105"/>
                <w:sz w:val="13"/>
              </w:rPr>
              <w:t>from</w:t>
            </w:r>
            <w:r>
              <w:rPr>
                <w:spacing w:val="-4"/>
                <w:w w:val="105"/>
                <w:sz w:val="13"/>
              </w:rPr>
              <w:t> </w:t>
            </w:r>
            <w:r>
              <w:rPr>
                <w:w w:val="105"/>
                <w:sz w:val="13"/>
              </w:rPr>
              <w:t>fair</w:t>
            </w:r>
            <w:r>
              <w:rPr>
                <w:spacing w:val="-3"/>
                <w:w w:val="105"/>
                <w:sz w:val="13"/>
              </w:rPr>
              <w:t> </w:t>
            </w:r>
            <w:r>
              <w:rPr>
                <w:w w:val="105"/>
                <w:sz w:val="13"/>
              </w:rPr>
              <w:t>value</w:t>
            </w:r>
            <w:r>
              <w:rPr>
                <w:spacing w:val="-6"/>
                <w:w w:val="105"/>
                <w:sz w:val="13"/>
              </w:rPr>
              <w:t> </w:t>
            </w:r>
            <w:r>
              <w:rPr>
                <w:spacing w:val="-2"/>
                <w:w w:val="105"/>
                <w:sz w:val="13"/>
              </w:rPr>
              <w:t>adjustment</w:t>
            </w:r>
          </w:p>
        </w:tc>
        <w:tc>
          <w:tcPr>
            <w:tcW w:w="1029" w:type="dxa"/>
            <w:tcBorders>
              <w:bottom w:val="single" w:sz="6" w:space="0" w:color="000000"/>
            </w:tcBorders>
          </w:tcPr>
          <w:p>
            <w:pPr>
              <w:pStyle w:val="TableParagraph"/>
              <w:spacing w:line="146" w:lineRule="exact"/>
              <w:ind w:right="184"/>
              <w:jc w:val="right"/>
              <w:rPr>
                <w:sz w:val="13"/>
              </w:rPr>
            </w:pPr>
            <w:r>
              <w:rPr>
                <w:spacing w:val="-2"/>
                <w:w w:val="105"/>
                <w:sz w:val="13"/>
              </w:rPr>
              <w:t>2,886</w:t>
            </w:r>
          </w:p>
        </w:tc>
        <w:tc>
          <w:tcPr>
            <w:tcW w:w="917" w:type="dxa"/>
            <w:tcBorders>
              <w:bottom w:val="single" w:sz="6" w:space="0" w:color="000000"/>
            </w:tcBorders>
          </w:tcPr>
          <w:p>
            <w:pPr>
              <w:pStyle w:val="TableParagraph"/>
              <w:spacing w:line="146" w:lineRule="exact"/>
              <w:ind w:left="204"/>
              <w:jc w:val="center"/>
              <w:rPr>
                <w:sz w:val="13"/>
              </w:rPr>
            </w:pPr>
            <w:r>
              <w:rPr>
                <w:spacing w:val="-2"/>
                <w:w w:val="105"/>
                <w:sz w:val="13"/>
              </w:rPr>
              <w:t>4,840</w:t>
            </w:r>
          </w:p>
        </w:tc>
        <w:tc>
          <w:tcPr>
            <w:tcW w:w="917" w:type="dxa"/>
            <w:tcBorders>
              <w:bottom w:val="single" w:sz="6" w:space="0" w:color="000000"/>
            </w:tcBorders>
          </w:tcPr>
          <w:p>
            <w:pPr>
              <w:pStyle w:val="TableParagraph"/>
              <w:spacing w:line="146" w:lineRule="exact"/>
              <w:ind w:right="186"/>
              <w:jc w:val="right"/>
              <w:rPr>
                <w:sz w:val="13"/>
              </w:rPr>
            </w:pPr>
            <w:r>
              <w:rPr>
                <w:spacing w:val="-2"/>
                <w:w w:val="105"/>
                <w:sz w:val="13"/>
              </w:rPr>
              <w:t>2,886</w:t>
            </w:r>
          </w:p>
        </w:tc>
        <w:tc>
          <w:tcPr>
            <w:tcW w:w="807" w:type="dxa"/>
            <w:tcBorders>
              <w:bottom w:val="single" w:sz="6" w:space="0" w:color="000000"/>
            </w:tcBorders>
          </w:tcPr>
          <w:p>
            <w:pPr>
              <w:pStyle w:val="TableParagraph"/>
              <w:spacing w:line="146" w:lineRule="exact"/>
              <w:ind w:right="77"/>
              <w:jc w:val="right"/>
              <w:rPr>
                <w:sz w:val="13"/>
              </w:rPr>
            </w:pPr>
            <w:r>
              <w:rPr>
                <w:spacing w:val="-2"/>
                <w:w w:val="105"/>
                <w:sz w:val="13"/>
              </w:rPr>
              <w:t>4,840</w:t>
            </w:r>
          </w:p>
        </w:tc>
      </w:tr>
      <w:tr>
        <w:trPr>
          <w:trHeight w:val="152" w:hRule="atLeast"/>
        </w:trPr>
        <w:tc>
          <w:tcPr>
            <w:tcW w:w="4694" w:type="dxa"/>
          </w:tcPr>
          <w:p>
            <w:pPr>
              <w:pStyle w:val="TableParagraph"/>
              <w:spacing w:line="133" w:lineRule="exact"/>
              <w:ind w:left="34"/>
              <w:rPr>
                <w:b/>
                <w:sz w:val="13"/>
              </w:rPr>
            </w:pPr>
            <w:r>
              <w:rPr>
                <w:b/>
                <w:w w:val="105"/>
                <w:sz w:val="13"/>
              </w:rPr>
              <w:t>Closing</w:t>
            </w:r>
            <w:r>
              <w:rPr>
                <w:b/>
                <w:spacing w:val="-5"/>
                <w:w w:val="105"/>
                <w:sz w:val="13"/>
              </w:rPr>
              <w:t> </w:t>
            </w:r>
            <w:r>
              <w:rPr>
                <w:b/>
                <w:w w:val="105"/>
                <w:sz w:val="13"/>
              </w:rPr>
              <w:t>balance</w:t>
            </w:r>
            <w:r>
              <w:rPr>
                <w:b/>
                <w:spacing w:val="-6"/>
                <w:w w:val="105"/>
                <w:sz w:val="13"/>
              </w:rPr>
              <w:t> </w:t>
            </w:r>
            <w:r>
              <w:rPr>
                <w:b/>
                <w:w w:val="105"/>
                <w:sz w:val="13"/>
              </w:rPr>
              <w:t>at</w:t>
            </w:r>
            <w:r>
              <w:rPr>
                <w:b/>
                <w:spacing w:val="-3"/>
                <w:w w:val="105"/>
                <w:sz w:val="13"/>
              </w:rPr>
              <w:t> </w:t>
            </w:r>
            <w:r>
              <w:rPr>
                <w:b/>
                <w:w w:val="105"/>
                <w:sz w:val="13"/>
              </w:rPr>
              <w:t>31</w:t>
            </w:r>
            <w:r>
              <w:rPr>
                <w:b/>
                <w:spacing w:val="-6"/>
                <w:w w:val="105"/>
                <w:sz w:val="13"/>
              </w:rPr>
              <w:t> </w:t>
            </w:r>
            <w:r>
              <w:rPr>
                <w:b/>
                <w:spacing w:val="-2"/>
                <w:w w:val="105"/>
                <w:sz w:val="13"/>
              </w:rPr>
              <w:t>December</w:t>
            </w:r>
          </w:p>
        </w:tc>
        <w:tc>
          <w:tcPr>
            <w:tcW w:w="1029" w:type="dxa"/>
            <w:tcBorders>
              <w:top w:val="single" w:sz="6" w:space="0" w:color="000000"/>
              <w:bottom w:val="single" w:sz="6" w:space="0" w:color="000000"/>
            </w:tcBorders>
          </w:tcPr>
          <w:p>
            <w:pPr>
              <w:pStyle w:val="TableParagraph"/>
              <w:spacing w:line="133" w:lineRule="exact"/>
              <w:ind w:right="184"/>
              <w:jc w:val="right"/>
              <w:rPr>
                <w:b/>
                <w:sz w:val="13"/>
              </w:rPr>
            </w:pPr>
            <w:r>
              <w:rPr>
                <w:b/>
                <w:spacing w:val="-2"/>
                <w:w w:val="105"/>
                <w:sz w:val="13"/>
              </w:rPr>
              <w:t>34,958</w:t>
            </w:r>
          </w:p>
        </w:tc>
        <w:tc>
          <w:tcPr>
            <w:tcW w:w="917" w:type="dxa"/>
            <w:tcBorders>
              <w:top w:val="single" w:sz="6" w:space="0" w:color="000000"/>
              <w:bottom w:val="single" w:sz="6" w:space="0" w:color="000000"/>
            </w:tcBorders>
          </w:tcPr>
          <w:p>
            <w:pPr>
              <w:pStyle w:val="TableParagraph"/>
              <w:spacing w:line="133" w:lineRule="exact"/>
              <w:ind w:left="204" w:right="75"/>
              <w:jc w:val="center"/>
              <w:rPr>
                <w:b/>
                <w:sz w:val="13"/>
              </w:rPr>
            </w:pPr>
            <w:r>
              <w:rPr>
                <w:b/>
                <w:spacing w:val="-2"/>
                <w:w w:val="105"/>
                <w:sz w:val="13"/>
              </w:rPr>
              <w:t>32,072</w:t>
            </w:r>
          </w:p>
        </w:tc>
        <w:tc>
          <w:tcPr>
            <w:tcW w:w="917" w:type="dxa"/>
            <w:tcBorders>
              <w:top w:val="single" w:sz="6" w:space="0" w:color="000000"/>
              <w:bottom w:val="single" w:sz="6" w:space="0" w:color="000000"/>
            </w:tcBorders>
          </w:tcPr>
          <w:p>
            <w:pPr>
              <w:pStyle w:val="TableParagraph"/>
              <w:spacing w:line="133" w:lineRule="exact"/>
              <w:ind w:right="186"/>
              <w:jc w:val="right"/>
              <w:rPr>
                <w:b/>
                <w:sz w:val="13"/>
              </w:rPr>
            </w:pPr>
            <w:r>
              <w:rPr>
                <w:b/>
                <w:spacing w:val="-2"/>
                <w:w w:val="105"/>
                <w:sz w:val="13"/>
              </w:rPr>
              <w:t>34,958</w:t>
            </w:r>
          </w:p>
        </w:tc>
        <w:tc>
          <w:tcPr>
            <w:tcW w:w="807" w:type="dxa"/>
            <w:tcBorders>
              <w:top w:val="single" w:sz="6" w:space="0" w:color="000000"/>
              <w:bottom w:val="single" w:sz="6" w:space="0" w:color="000000"/>
            </w:tcBorders>
          </w:tcPr>
          <w:p>
            <w:pPr>
              <w:pStyle w:val="TableParagraph"/>
              <w:spacing w:line="133" w:lineRule="exact"/>
              <w:ind w:right="77"/>
              <w:jc w:val="right"/>
              <w:rPr>
                <w:b/>
                <w:sz w:val="13"/>
              </w:rPr>
            </w:pPr>
            <w:r>
              <w:rPr>
                <w:b/>
                <w:spacing w:val="-2"/>
                <w:w w:val="105"/>
                <w:sz w:val="13"/>
              </w:rPr>
              <w:t>32,072</w:t>
            </w:r>
          </w:p>
        </w:tc>
      </w:tr>
    </w:tbl>
    <w:p>
      <w:pPr>
        <w:spacing w:before="155"/>
        <w:ind w:left="856" w:right="0" w:firstLine="0"/>
        <w:jc w:val="both"/>
        <w:rPr>
          <w:b/>
          <w:i/>
          <w:sz w:val="13"/>
        </w:rPr>
      </w:pPr>
      <w:r>
        <w:rPr>
          <w:b/>
          <w:i/>
          <w:color w:val="0070C0"/>
          <w:w w:val="105"/>
          <w:sz w:val="13"/>
        </w:rPr>
        <w:t>Accounting</w:t>
      </w:r>
      <w:r>
        <w:rPr>
          <w:b/>
          <w:i/>
          <w:color w:val="0070C0"/>
          <w:spacing w:val="-6"/>
          <w:w w:val="105"/>
          <w:sz w:val="13"/>
        </w:rPr>
        <w:t> </w:t>
      </w:r>
      <w:r>
        <w:rPr>
          <w:b/>
          <w:i/>
          <w:color w:val="0070C0"/>
          <w:spacing w:val="-2"/>
          <w:w w:val="105"/>
          <w:sz w:val="13"/>
        </w:rPr>
        <w:t>policy</w:t>
      </w:r>
    </w:p>
    <w:p>
      <w:pPr>
        <w:spacing w:line="273" w:lineRule="auto" w:before="25"/>
        <w:ind w:left="856" w:right="1829" w:firstLine="0"/>
        <w:jc w:val="both"/>
        <w:rPr>
          <w:sz w:val="13"/>
        </w:rPr>
      </w:pPr>
      <w:r>
        <w:rPr>
          <w:w w:val="105"/>
          <w:sz w:val="13"/>
        </w:rPr>
        <w:t>Initially, investment properties are measured at cost including transaction costs. Subsequent to initial recognition, investment properties</w:t>
      </w:r>
      <w:r>
        <w:rPr>
          <w:spacing w:val="40"/>
          <w:w w:val="105"/>
          <w:sz w:val="13"/>
        </w:rPr>
        <w:t> </w:t>
      </w:r>
      <w:r>
        <w:rPr>
          <w:w w:val="105"/>
          <w:sz w:val="13"/>
        </w:rPr>
        <w:t>are</w:t>
      </w:r>
      <w:r>
        <w:rPr>
          <w:w w:val="105"/>
          <w:sz w:val="13"/>
        </w:rPr>
        <w:t> stated</w:t>
      </w:r>
      <w:r>
        <w:rPr>
          <w:w w:val="105"/>
          <w:sz w:val="13"/>
        </w:rPr>
        <w:t> at</w:t>
      </w:r>
      <w:r>
        <w:rPr>
          <w:w w:val="105"/>
          <w:sz w:val="13"/>
        </w:rPr>
        <w:t> fair</w:t>
      </w:r>
      <w:r>
        <w:rPr>
          <w:w w:val="105"/>
          <w:sz w:val="13"/>
        </w:rPr>
        <w:t> value</w:t>
      </w:r>
      <w:r>
        <w:rPr>
          <w:w w:val="105"/>
          <w:sz w:val="13"/>
        </w:rPr>
        <w:t> determined</w:t>
      </w:r>
      <w:r>
        <w:rPr>
          <w:w w:val="105"/>
          <w:sz w:val="13"/>
        </w:rPr>
        <w:t> annually</w:t>
      </w:r>
      <w:r>
        <w:rPr>
          <w:w w:val="105"/>
          <w:sz w:val="13"/>
        </w:rPr>
        <w:t> by</w:t>
      </w:r>
      <w:r>
        <w:rPr>
          <w:w w:val="105"/>
          <w:sz w:val="13"/>
        </w:rPr>
        <w:t> an</w:t>
      </w:r>
      <w:r>
        <w:rPr>
          <w:w w:val="105"/>
          <w:sz w:val="13"/>
        </w:rPr>
        <w:t> external</w:t>
      </w:r>
      <w:r>
        <w:rPr>
          <w:w w:val="105"/>
          <w:sz w:val="13"/>
        </w:rPr>
        <w:t> valuer.</w:t>
      </w:r>
      <w:r>
        <w:rPr>
          <w:w w:val="105"/>
          <w:sz w:val="13"/>
        </w:rPr>
        <w:t> Any</w:t>
      </w:r>
      <w:r>
        <w:rPr>
          <w:w w:val="105"/>
          <w:sz w:val="13"/>
        </w:rPr>
        <w:t> gains</w:t>
      </w:r>
      <w:r>
        <w:rPr>
          <w:w w:val="105"/>
          <w:sz w:val="13"/>
        </w:rPr>
        <w:t> or</w:t>
      </w:r>
      <w:r>
        <w:rPr>
          <w:w w:val="105"/>
          <w:sz w:val="13"/>
        </w:rPr>
        <w:t> losses</w:t>
      </w:r>
      <w:r>
        <w:rPr>
          <w:w w:val="105"/>
          <w:sz w:val="13"/>
        </w:rPr>
        <w:t> arising</w:t>
      </w:r>
      <w:r>
        <w:rPr>
          <w:w w:val="105"/>
          <w:sz w:val="13"/>
        </w:rPr>
        <w:t> from</w:t>
      </w:r>
      <w:r>
        <w:rPr>
          <w:w w:val="105"/>
          <w:sz w:val="13"/>
        </w:rPr>
        <w:t> changes</w:t>
      </w:r>
      <w:r>
        <w:rPr>
          <w:w w:val="105"/>
          <w:sz w:val="13"/>
        </w:rPr>
        <w:t> in</w:t>
      </w:r>
      <w:r>
        <w:rPr>
          <w:w w:val="105"/>
          <w:sz w:val="13"/>
        </w:rPr>
        <w:t> the</w:t>
      </w:r>
      <w:r>
        <w:rPr>
          <w:w w:val="105"/>
          <w:sz w:val="13"/>
        </w:rPr>
        <w:t> fair</w:t>
      </w:r>
      <w:r>
        <w:rPr>
          <w:w w:val="105"/>
          <w:sz w:val="13"/>
        </w:rPr>
        <w:t> values</w:t>
      </w:r>
      <w:r>
        <w:rPr>
          <w:w w:val="105"/>
          <w:sz w:val="13"/>
        </w:rPr>
        <w:t> of</w:t>
      </w:r>
      <w:r>
        <w:rPr>
          <w:spacing w:val="40"/>
          <w:w w:val="105"/>
          <w:sz w:val="13"/>
        </w:rPr>
        <w:t> </w:t>
      </w:r>
      <w:r>
        <w:rPr>
          <w:w w:val="105"/>
          <w:sz w:val="13"/>
        </w:rPr>
        <w:t>investment properties are included in the income statement in the year in which they</w:t>
      </w:r>
      <w:r>
        <w:rPr>
          <w:spacing w:val="-3"/>
          <w:w w:val="105"/>
          <w:sz w:val="13"/>
        </w:rPr>
        <w:t> </w:t>
      </w:r>
      <w:r>
        <w:rPr>
          <w:w w:val="105"/>
          <w:sz w:val="13"/>
        </w:rPr>
        <w:t>arise.</w:t>
      </w:r>
    </w:p>
    <w:p>
      <w:pPr>
        <w:spacing w:line="240" w:lineRule="auto" w:before="18"/>
        <w:rPr>
          <w:sz w:val="13"/>
        </w:rPr>
      </w:pPr>
    </w:p>
    <w:p>
      <w:pPr>
        <w:spacing w:line="273" w:lineRule="auto" w:before="1"/>
        <w:ind w:left="856" w:right="1828" w:firstLine="0"/>
        <w:jc w:val="both"/>
        <w:rPr>
          <w:sz w:val="13"/>
        </w:rPr>
      </w:pPr>
      <w:r>
        <w:rPr>
          <w:w w:val="105"/>
          <w:sz w:val="13"/>
        </w:rPr>
        <w:t>Fair value consists of the amounts for which</w:t>
      </w:r>
      <w:r>
        <w:rPr>
          <w:spacing w:val="-1"/>
          <w:w w:val="105"/>
          <w:sz w:val="13"/>
        </w:rPr>
        <w:t> </w:t>
      </w:r>
      <w:r>
        <w:rPr>
          <w:w w:val="105"/>
          <w:sz w:val="13"/>
        </w:rPr>
        <w:t>properties could</w:t>
      </w:r>
      <w:r>
        <w:rPr>
          <w:spacing w:val="-1"/>
          <w:w w:val="105"/>
          <w:sz w:val="13"/>
        </w:rPr>
        <w:t> </w:t>
      </w:r>
      <w:r>
        <w:rPr>
          <w:w w:val="105"/>
          <w:sz w:val="13"/>
        </w:rPr>
        <w:t>be exchanged between willing</w:t>
      </w:r>
      <w:r>
        <w:rPr>
          <w:spacing w:val="-1"/>
          <w:w w:val="105"/>
          <w:sz w:val="13"/>
        </w:rPr>
        <w:t> </w:t>
      </w:r>
      <w:r>
        <w:rPr>
          <w:w w:val="105"/>
          <w:sz w:val="13"/>
        </w:rPr>
        <w:t>parties in</w:t>
      </w:r>
      <w:r>
        <w:rPr>
          <w:spacing w:val="-1"/>
          <w:w w:val="105"/>
          <w:sz w:val="13"/>
        </w:rPr>
        <w:t> </w:t>
      </w:r>
      <w:r>
        <w:rPr>
          <w:w w:val="105"/>
          <w:sz w:val="13"/>
        </w:rPr>
        <w:t>an arm's length transaction, based</w:t>
      </w:r>
      <w:r>
        <w:rPr>
          <w:spacing w:val="40"/>
          <w:w w:val="105"/>
          <w:sz w:val="13"/>
        </w:rPr>
        <w:t> </w:t>
      </w:r>
      <w:r>
        <w:rPr>
          <w:w w:val="105"/>
          <w:sz w:val="13"/>
        </w:rPr>
        <w:t>on comparable market transactions.</w:t>
      </w:r>
    </w:p>
    <w:p>
      <w:pPr>
        <w:spacing w:line="240" w:lineRule="auto" w:before="0"/>
        <w:rPr>
          <w:sz w:val="13"/>
        </w:rPr>
      </w:pPr>
      <w:r>
        <w:rPr/>
        <mc:AlternateContent>
          <mc:Choice Requires="wps">
            <w:drawing>
              <wp:anchor distT="0" distB="0" distL="0" distR="0" allowOverlap="1" layoutInCell="1" locked="0" behindDoc="1" simplePos="0" relativeHeight="487748608">
                <wp:simplePos x="0" y="0"/>
                <wp:positionH relativeFrom="page">
                  <wp:posOffset>1111415</wp:posOffset>
                </wp:positionH>
                <wp:positionV relativeFrom="paragraph">
                  <wp:posOffset>110377</wp:posOffset>
                </wp:positionV>
                <wp:extent cx="5303520" cy="549910"/>
                <wp:effectExtent l="0" t="0" r="0" b="0"/>
                <wp:wrapTopAndBottom/>
                <wp:docPr id="928" name="Textbox 928"/>
                <wp:cNvGraphicFramePr>
                  <a:graphicFrameLocks/>
                </wp:cNvGraphicFramePr>
                <a:graphic>
                  <a:graphicData uri="http://schemas.microsoft.com/office/word/2010/wordprocessingShape">
                    <wps:wsp>
                      <wps:cNvPr id="928" name="Textbox 928"/>
                      <wps:cNvSpPr txBox="1"/>
                      <wps:spPr>
                        <a:xfrm>
                          <a:off x="0" y="0"/>
                          <a:ext cx="5303520" cy="549910"/>
                        </a:xfrm>
                        <a:prstGeom prst="rect">
                          <a:avLst/>
                        </a:prstGeom>
                        <a:solidFill>
                          <a:srgbClr val="DCE6F1"/>
                        </a:solidFill>
                      </wps:spPr>
                      <wps:txbx>
                        <w:txbxContent>
                          <w:p>
                            <w:pPr>
                              <w:spacing w:before="6"/>
                              <w:ind w:left="26" w:right="0" w:firstLine="0"/>
                              <w:jc w:val="both"/>
                              <w:rPr>
                                <w:b/>
                                <w:color w:val="000000"/>
                                <w:sz w:val="13"/>
                              </w:rPr>
                            </w:pPr>
                            <w:r>
                              <w:rPr>
                                <w:b/>
                                <w:color w:val="0070C0"/>
                                <w:w w:val="105"/>
                                <w:sz w:val="13"/>
                              </w:rPr>
                              <w:t>Critical</w:t>
                            </w:r>
                            <w:r>
                              <w:rPr>
                                <w:b/>
                                <w:color w:val="0070C0"/>
                                <w:spacing w:val="-9"/>
                                <w:w w:val="105"/>
                                <w:sz w:val="13"/>
                              </w:rPr>
                              <w:t> </w:t>
                            </w:r>
                            <w:r>
                              <w:rPr>
                                <w:b/>
                                <w:color w:val="0070C0"/>
                                <w:w w:val="105"/>
                                <w:sz w:val="13"/>
                              </w:rPr>
                              <w:t>accounting</w:t>
                            </w:r>
                            <w:r>
                              <w:rPr>
                                <w:b/>
                                <w:color w:val="0070C0"/>
                                <w:spacing w:val="-7"/>
                                <w:w w:val="105"/>
                                <w:sz w:val="13"/>
                              </w:rPr>
                              <w:t> </w:t>
                            </w:r>
                            <w:r>
                              <w:rPr>
                                <w:b/>
                                <w:color w:val="0070C0"/>
                                <w:w w:val="105"/>
                                <w:sz w:val="13"/>
                              </w:rPr>
                              <w:t>estimates</w:t>
                            </w:r>
                            <w:r>
                              <w:rPr>
                                <w:b/>
                                <w:color w:val="0070C0"/>
                                <w:spacing w:val="-8"/>
                                <w:w w:val="105"/>
                                <w:sz w:val="13"/>
                              </w:rPr>
                              <w:t> </w:t>
                            </w:r>
                            <w:r>
                              <w:rPr>
                                <w:b/>
                                <w:color w:val="0070C0"/>
                                <w:w w:val="105"/>
                                <w:sz w:val="13"/>
                              </w:rPr>
                              <w:t>and</w:t>
                            </w:r>
                            <w:r>
                              <w:rPr>
                                <w:b/>
                                <w:color w:val="0070C0"/>
                                <w:spacing w:val="-8"/>
                                <w:w w:val="105"/>
                                <w:sz w:val="13"/>
                              </w:rPr>
                              <w:t> </w:t>
                            </w:r>
                            <w:r>
                              <w:rPr>
                                <w:b/>
                                <w:color w:val="0070C0"/>
                                <w:w w:val="105"/>
                                <w:sz w:val="13"/>
                              </w:rPr>
                              <w:t>judgements:</w:t>
                            </w:r>
                            <w:r>
                              <w:rPr>
                                <w:b/>
                                <w:color w:val="0070C0"/>
                                <w:spacing w:val="-6"/>
                                <w:w w:val="105"/>
                                <w:sz w:val="13"/>
                              </w:rPr>
                              <w:t> </w:t>
                            </w:r>
                            <w:r>
                              <w:rPr>
                                <w:b/>
                                <w:color w:val="0070C0"/>
                                <w:w w:val="105"/>
                                <w:sz w:val="13"/>
                              </w:rPr>
                              <w:t>Valuation</w:t>
                            </w:r>
                            <w:r>
                              <w:rPr>
                                <w:b/>
                                <w:color w:val="0070C0"/>
                                <w:spacing w:val="-8"/>
                                <w:w w:val="105"/>
                                <w:sz w:val="13"/>
                              </w:rPr>
                              <w:t> </w:t>
                            </w:r>
                            <w:r>
                              <w:rPr>
                                <w:b/>
                                <w:color w:val="0070C0"/>
                                <w:w w:val="105"/>
                                <w:sz w:val="13"/>
                              </w:rPr>
                              <w:t>of</w:t>
                            </w:r>
                            <w:r>
                              <w:rPr>
                                <w:b/>
                                <w:color w:val="0070C0"/>
                                <w:spacing w:val="-6"/>
                                <w:w w:val="105"/>
                                <w:sz w:val="13"/>
                              </w:rPr>
                              <w:t> </w:t>
                            </w:r>
                            <w:r>
                              <w:rPr>
                                <w:b/>
                                <w:color w:val="0070C0"/>
                                <w:w w:val="105"/>
                                <w:sz w:val="13"/>
                              </w:rPr>
                              <w:t>investment</w:t>
                            </w:r>
                            <w:r>
                              <w:rPr>
                                <w:b/>
                                <w:color w:val="0070C0"/>
                                <w:spacing w:val="-7"/>
                                <w:w w:val="105"/>
                                <w:sz w:val="13"/>
                              </w:rPr>
                              <w:t> </w:t>
                            </w:r>
                            <w:r>
                              <w:rPr>
                                <w:b/>
                                <w:color w:val="0070C0"/>
                                <w:spacing w:val="-2"/>
                                <w:w w:val="105"/>
                                <w:sz w:val="13"/>
                              </w:rPr>
                              <w:t>properties</w:t>
                            </w:r>
                          </w:p>
                          <w:p>
                            <w:pPr>
                              <w:spacing w:line="273" w:lineRule="auto" w:before="25"/>
                              <w:ind w:left="26" w:right="23" w:firstLine="0"/>
                              <w:jc w:val="both"/>
                              <w:rPr>
                                <w:color w:val="000000"/>
                                <w:sz w:val="13"/>
                              </w:rPr>
                            </w:pPr>
                            <w:r>
                              <w:rPr>
                                <w:color w:val="000000"/>
                                <w:w w:val="105"/>
                                <w:sz w:val="13"/>
                              </w:rPr>
                              <w:t>The Group carried its investment properties at fair value with changes in the fair values recognised in the income statement. It obtains</w:t>
                            </w:r>
                            <w:r>
                              <w:rPr>
                                <w:color w:val="000000"/>
                                <w:spacing w:val="40"/>
                                <w:w w:val="105"/>
                                <w:sz w:val="13"/>
                              </w:rPr>
                              <w:t> </w:t>
                            </w:r>
                            <w:r>
                              <w:rPr>
                                <w:color w:val="000000"/>
                                <w:w w:val="105"/>
                                <w:sz w:val="13"/>
                              </w:rPr>
                              <w:t>independent valuations at least annually. At the end of the reporting period the Group updates its assessment of the fair value of each</w:t>
                            </w:r>
                            <w:r>
                              <w:rPr>
                                <w:color w:val="000000"/>
                                <w:spacing w:val="40"/>
                                <w:w w:val="105"/>
                                <w:sz w:val="13"/>
                              </w:rPr>
                              <w:t> </w:t>
                            </w:r>
                            <w:r>
                              <w:rPr>
                                <w:color w:val="000000"/>
                                <w:w w:val="105"/>
                                <w:sz w:val="13"/>
                              </w:rPr>
                              <w:t>property,</w:t>
                            </w:r>
                            <w:r>
                              <w:rPr>
                                <w:color w:val="000000"/>
                                <w:spacing w:val="-4"/>
                                <w:w w:val="105"/>
                                <w:sz w:val="13"/>
                              </w:rPr>
                              <w:t> </w:t>
                            </w:r>
                            <w:r>
                              <w:rPr>
                                <w:color w:val="000000"/>
                                <w:w w:val="105"/>
                                <w:sz w:val="13"/>
                              </w:rPr>
                              <w:t>taking</w:t>
                            </w:r>
                            <w:r>
                              <w:rPr>
                                <w:color w:val="000000"/>
                                <w:spacing w:val="-5"/>
                                <w:w w:val="105"/>
                                <w:sz w:val="13"/>
                              </w:rPr>
                              <w:t> </w:t>
                            </w:r>
                            <w:r>
                              <w:rPr>
                                <w:color w:val="000000"/>
                                <w:w w:val="105"/>
                                <w:sz w:val="13"/>
                              </w:rPr>
                              <w:t>into</w:t>
                            </w:r>
                            <w:r>
                              <w:rPr>
                                <w:color w:val="000000"/>
                                <w:spacing w:val="-5"/>
                                <w:w w:val="105"/>
                                <w:sz w:val="13"/>
                              </w:rPr>
                              <w:t> </w:t>
                            </w:r>
                            <w:r>
                              <w:rPr>
                                <w:color w:val="000000"/>
                                <w:w w:val="105"/>
                                <w:sz w:val="13"/>
                              </w:rPr>
                              <w:t>account</w:t>
                            </w:r>
                            <w:r>
                              <w:rPr>
                                <w:color w:val="000000"/>
                                <w:spacing w:val="-4"/>
                                <w:w w:val="105"/>
                                <w:sz w:val="13"/>
                              </w:rPr>
                              <w:t> </w:t>
                            </w:r>
                            <w:r>
                              <w:rPr>
                                <w:color w:val="000000"/>
                                <w:w w:val="105"/>
                                <w:sz w:val="13"/>
                              </w:rPr>
                              <w:t>the</w:t>
                            </w:r>
                            <w:r>
                              <w:rPr>
                                <w:color w:val="000000"/>
                                <w:spacing w:val="-5"/>
                                <w:w w:val="105"/>
                                <w:sz w:val="13"/>
                              </w:rPr>
                              <w:t> </w:t>
                            </w:r>
                            <w:r>
                              <w:rPr>
                                <w:color w:val="000000"/>
                                <w:w w:val="105"/>
                                <w:sz w:val="13"/>
                              </w:rPr>
                              <w:t>most</w:t>
                            </w:r>
                            <w:r>
                              <w:rPr>
                                <w:color w:val="000000"/>
                                <w:spacing w:val="-5"/>
                                <w:w w:val="105"/>
                                <w:sz w:val="13"/>
                              </w:rPr>
                              <w:t> </w:t>
                            </w:r>
                            <w:r>
                              <w:rPr>
                                <w:color w:val="000000"/>
                                <w:w w:val="105"/>
                                <w:sz w:val="13"/>
                              </w:rPr>
                              <w:t>recent</w:t>
                            </w:r>
                            <w:r>
                              <w:rPr>
                                <w:color w:val="000000"/>
                                <w:spacing w:val="-4"/>
                                <w:w w:val="105"/>
                                <w:sz w:val="13"/>
                              </w:rPr>
                              <w:t> </w:t>
                            </w:r>
                            <w:r>
                              <w:rPr>
                                <w:color w:val="000000"/>
                                <w:w w:val="105"/>
                                <w:sz w:val="13"/>
                              </w:rPr>
                              <w:t>valuations.</w:t>
                            </w:r>
                            <w:r>
                              <w:rPr>
                                <w:color w:val="000000"/>
                                <w:spacing w:val="-4"/>
                                <w:w w:val="105"/>
                                <w:sz w:val="13"/>
                              </w:rPr>
                              <w:t> </w:t>
                            </w:r>
                            <w:r>
                              <w:rPr>
                                <w:color w:val="000000"/>
                                <w:w w:val="105"/>
                                <w:sz w:val="13"/>
                              </w:rPr>
                              <w:t>Where</w:t>
                            </w:r>
                            <w:r>
                              <w:rPr>
                                <w:color w:val="000000"/>
                                <w:spacing w:val="-5"/>
                                <w:w w:val="105"/>
                                <w:sz w:val="13"/>
                              </w:rPr>
                              <w:t> </w:t>
                            </w:r>
                            <w:r>
                              <w:rPr>
                                <w:color w:val="000000"/>
                                <w:w w:val="105"/>
                                <w:sz w:val="13"/>
                              </w:rPr>
                              <w:t>an</w:t>
                            </w:r>
                            <w:r>
                              <w:rPr>
                                <w:color w:val="000000"/>
                                <w:spacing w:val="-5"/>
                                <w:w w:val="105"/>
                                <w:sz w:val="13"/>
                              </w:rPr>
                              <w:t> </w:t>
                            </w:r>
                            <w:r>
                              <w:rPr>
                                <w:color w:val="000000"/>
                                <w:w w:val="105"/>
                                <w:sz w:val="13"/>
                              </w:rPr>
                              <w:t>investment</w:t>
                            </w:r>
                            <w:r>
                              <w:rPr>
                                <w:color w:val="000000"/>
                                <w:spacing w:val="-4"/>
                                <w:w w:val="105"/>
                                <w:sz w:val="13"/>
                              </w:rPr>
                              <w:t> </w:t>
                            </w:r>
                            <w:r>
                              <w:rPr>
                                <w:color w:val="000000"/>
                                <w:w w:val="105"/>
                                <w:sz w:val="13"/>
                              </w:rPr>
                              <w:t>property</w:t>
                            </w:r>
                            <w:r>
                              <w:rPr>
                                <w:color w:val="000000"/>
                                <w:spacing w:val="-8"/>
                                <w:w w:val="105"/>
                                <w:sz w:val="13"/>
                              </w:rPr>
                              <w:t> </w:t>
                            </w:r>
                            <w:r>
                              <w:rPr>
                                <w:color w:val="000000"/>
                                <w:w w:val="105"/>
                                <w:sz w:val="13"/>
                              </w:rPr>
                              <w:t>is</w:t>
                            </w:r>
                            <w:r>
                              <w:rPr>
                                <w:color w:val="000000"/>
                                <w:spacing w:val="-4"/>
                                <w:w w:val="105"/>
                                <w:sz w:val="13"/>
                              </w:rPr>
                              <w:t> </w:t>
                            </w:r>
                            <w:r>
                              <w:rPr>
                                <w:color w:val="000000"/>
                                <w:w w:val="105"/>
                                <w:sz w:val="13"/>
                              </w:rPr>
                              <w:t>acquired</w:t>
                            </w:r>
                            <w:r>
                              <w:rPr>
                                <w:color w:val="000000"/>
                                <w:spacing w:val="-5"/>
                                <w:w w:val="105"/>
                                <w:sz w:val="13"/>
                              </w:rPr>
                              <w:t> </w:t>
                            </w:r>
                            <w:r>
                              <w:rPr>
                                <w:color w:val="000000"/>
                                <w:w w:val="105"/>
                                <w:sz w:val="13"/>
                              </w:rPr>
                              <w:t>at</w:t>
                            </w:r>
                            <w:r>
                              <w:rPr>
                                <w:color w:val="000000"/>
                                <w:spacing w:val="-5"/>
                                <w:w w:val="105"/>
                                <w:sz w:val="13"/>
                              </w:rPr>
                              <w:t> </w:t>
                            </w:r>
                            <w:r>
                              <w:rPr>
                                <w:color w:val="000000"/>
                                <w:w w:val="105"/>
                                <w:sz w:val="13"/>
                              </w:rPr>
                              <w:t>no</w:t>
                            </w:r>
                            <w:r>
                              <w:rPr>
                                <w:color w:val="000000"/>
                                <w:spacing w:val="-5"/>
                                <w:w w:val="105"/>
                                <w:sz w:val="13"/>
                              </w:rPr>
                              <w:t> </w:t>
                            </w:r>
                            <w:r>
                              <w:rPr>
                                <w:color w:val="000000"/>
                                <w:w w:val="105"/>
                                <w:sz w:val="13"/>
                              </w:rPr>
                              <w:t>cost</w:t>
                            </w:r>
                            <w:r>
                              <w:rPr>
                                <w:color w:val="000000"/>
                                <w:spacing w:val="-5"/>
                                <w:w w:val="105"/>
                                <w:sz w:val="13"/>
                              </w:rPr>
                              <w:t> </w:t>
                            </w:r>
                            <w:r>
                              <w:rPr>
                                <w:color w:val="000000"/>
                                <w:w w:val="105"/>
                                <w:sz w:val="13"/>
                              </w:rPr>
                              <w:t>or</w:t>
                            </w:r>
                            <w:r>
                              <w:rPr>
                                <w:color w:val="000000"/>
                                <w:spacing w:val="-3"/>
                                <w:w w:val="105"/>
                                <w:sz w:val="13"/>
                              </w:rPr>
                              <w:t> </w:t>
                            </w:r>
                            <w:r>
                              <w:rPr>
                                <w:color w:val="000000"/>
                                <w:w w:val="105"/>
                                <w:sz w:val="13"/>
                              </w:rPr>
                              <w:t>for</w:t>
                            </w:r>
                            <w:r>
                              <w:rPr>
                                <w:color w:val="000000"/>
                                <w:spacing w:val="-1"/>
                                <w:w w:val="105"/>
                                <w:sz w:val="13"/>
                              </w:rPr>
                              <w:t> </w:t>
                            </w:r>
                            <w:r>
                              <w:rPr>
                                <w:color w:val="000000"/>
                                <w:w w:val="105"/>
                                <w:sz w:val="13"/>
                              </w:rPr>
                              <w:t>nominal</w:t>
                            </w:r>
                            <w:r>
                              <w:rPr>
                                <w:color w:val="000000"/>
                                <w:spacing w:val="-3"/>
                                <w:w w:val="105"/>
                                <w:sz w:val="13"/>
                              </w:rPr>
                              <w:t> </w:t>
                            </w:r>
                            <w:r>
                              <w:rPr>
                                <w:color w:val="000000"/>
                                <w:w w:val="105"/>
                                <w:sz w:val="13"/>
                              </w:rPr>
                              <w:t>consideration,</w:t>
                            </w:r>
                            <w:r>
                              <w:rPr>
                                <w:color w:val="000000"/>
                                <w:spacing w:val="40"/>
                                <w:w w:val="105"/>
                                <w:sz w:val="13"/>
                              </w:rPr>
                              <w:t> </w:t>
                            </w:r>
                            <w:r>
                              <w:rPr>
                                <w:color w:val="000000"/>
                                <w:w w:val="105"/>
                                <w:sz w:val="13"/>
                              </w:rPr>
                              <w:t>its cost shall be deemed to be its fair value as at the date of acquisition.</w:t>
                            </w:r>
                          </w:p>
                        </w:txbxContent>
                      </wps:txbx>
                      <wps:bodyPr wrap="square" lIns="0" tIns="0" rIns="0" bIns="0" rtlCol="0">
                        <a:noAutofit/>
                      </wps:bodyPr>
                    </wps:wsp>
                  </a:graphicData>
                </a:graphic>
              </wp:anchor>
            </w:drawing>
          </mc:Choice>
          <mc:Fallback>
            <w:pict>
              <v:shape style="position:absolute;margin-left:87.513pt;margin-top:8.691169pt;width:417.6pt;height:43.3pt;mso-position-horizontal-relative:page;mso-position-vertical-relative:paragraph;z-index:-15567872;mso-wrap-distance-left:0;mso-wrap-distance-right:0" type="#_x0000_t202" id="docshape622" filled="true" fillcolor="#dce6f1" stroked="false">
                <v:textbox inset="0,0,0,0">
                  <w:txbxContent>
                    <w:p>
                      <w:pPr>
                        <w:spacing w:before="6"/>
                        <w:ind w:left="26" w:right="0" w:firstLine="0"/>
                        <w:jc w:val="both"/>
                        <w:rPr>
                          <w:b/>
                          <w:color w:val="000000"/>
                          <w:sz w:val="13"/>
                        </w:rPr>
                      </w:pPr>
                      <w:r>
                        <w:rPr>
                          <w:b/>
                          <w:color w:val="0070C0"/>
                          <w:w w:val="105"/>
                          <w:sz w:val="13"/>
                        </w:rPr>
                        <w:t>Critical</w:t>
                      </w:r>
                      <w:r>
                        <w:rPr>
                          <w:b/>
                          <w:color w:val="0070C0"/>
                          <w:spacing w:val="-9"/>
                          <w:w w:val="105"/>
                          <w:sz w:val="13"/>
                        </w:rPr>
                        <w:t> </w:t>
                      </w:r>
                      <w:r>
                        <w:rPr>
                          <w:b/>
                          <w:color w:val="0070C0"/>
                          <w:w w:val="105"/>
                          <w:sz w:val="13"/>
                        </w:rPr>
                        <w:t>accounting</w:t>
                      </w:r>
                      <w:r>
                        <w:rPr>
                          <w:b/>
                          <w:color w:val="0070C0"/>
                          <w:spacing w:val="-7"/>
                          <w:w w:val="105"/>
                          <w:sz w:val="13"/>
                        </w:rPr>
                        <w:t> </w:t>
                      </w:r>
                      <w:r>
                        <w:rPr>
                          <w:b/>
                          <w:color w:val="0070C0"/>
                          <w:w w:val="105"/>
                          <w:sz w:val="13"/>
                        </w:rPr>
                        <w:t>estimates</w:t>
                      </w:r>
                      <w:r>
                        <w:rPr>
                          <w:b/>
                          <w:color w:val="0070C0"/>
                          <w:spacing w:val="-8"/>
                          <w:w w:val="105"/>
                          <w:sz w:val="13"/>
                        </w:rPr>
                        <w:t> </w:t>
                      </w:r>
                      <w:r>
                        <w:rPr>
                          <w:b/>
                          <w:color w:val="0070C0"/>
                          <w:w w:val="105"/>
                          <w:sz w:val="13"/>
                        </w:rPr>
                        <w:t>and</w:t>
                      </w:r>
                      <w:r>
                        <w:rPr>
                          <w:b/>
                          <w:color w:val="0070C0"/>
                          <w:spacing w:val="-8"/>
                          <w:w w:val="105"/>
                          <w:sz w:val="13"/>
                        </w:rPr>
                        <w:t> </w:t>
                      </w:r>
                      <w:r>
                        <w:rPr>
                          <w:b/>
                          <w:color w:val="0070C0"/>
                          <w:w w:val="105"/>
                          <w:sz w:val="13"/>
                        </w:rPr>
                        <w:t>judgements:</w:t>
                      </w:r>
                      <w:r>
                        <w:rPr>
                          <w:b/>
                          <w:color w:val="0070C0"/>
                          <w:spacing w:val="-6"/>
                          <w:w w:val="105"/>
                          <w:sz w:val="13"/>
                        </w:rPr>
                        <w:t> </w:t>
                      </w:r>
                      <w:r>
                        <w:rPr>
                          <w:b/>
                          <w:color w:val="0070C0"/>
                          <w:w w:val="105"/>
                          <w:sz w:val="13"/>
                        </w:rPr>
                        <w:t>Valuation</w:t>
                      </w:r>
                      <w:r>
                        <w:rPr>
                          <w:b/>
                          <w:color w:val="0070C0"/>
                          <w:spacing w:val="-8"/>
                          <w:w w:val="105"/>
                          <w:sz w:val="13"/>
                        </w:rPr>
                        <w:t> </w:t>
                      </w:r>
                      <w:r>
                        <w:rPr>
                          <w:b/>
                          <w:color w:val="0070C0"/>
                          <w:w w:val="105"/>
                          <w:sz w:val="13"/>
                        </w:rPr>
                        <w:t>of</w:t>
                      </w:r>
                      <w:r>
                        <w:rPr>
                          <w:b/>
                          <w:color w:val="0070C0"/>
                          <w:spacing w:val="-6"/>
                          <w:w w:val="105"/>
                          <w:sz w:val="13"/>
                        </w:rPr>
                        <w:t> </w:t>
                      </w:r>
                      <w:r>
                        <w:rPr>
                          <w:b/>
                          <w:color w:val="0070C0"/>
                          <w:w w:val="105"/>
                          <w:sz w:val="13"/>
                        </w:rPr>
                        <w:t>investment</w:t>
                      </w:r>
                      <w:r>
                        <w:rPr>
                          <w:b/>
                          <w:color w:val="0070C0"/>
                          <w:spacing w:val="-7"/>
                          <w:w w:val="105"/>
                          <w:sz w:val="13"/>
                        </w:rPr>
                        <w:t> </w:t>
                      </w:r>
                      <w:r>
                        <w:rPr>
                          <w:b/>
                          <w:color w:val="0070C0"/>
                          <w:spacing w:val="-2"/>
                          <w:w w:val="105"/>
                          <w:sz w:val="13"/>
                        </w:rPr>
                        <w:t>properties</w:t>
                      </w:r>
                    </w:p>
                    <w:p>
                      <w:pPr>
                        <w:spacing w:line="273" w:lineRule="auto" w:before="25"/>
                        <w:ind w:left="26" w:right="23" w:firstLine="0"/>
                        <w:jc w:val="both"/>
                        <w:rPr>
                          <w:color w:val="000000"/>
                          <w:sz w:val="13"/>
                        </w:rPr>
                      </w:pPr>
                      <w:r>
                        <w:rPr>
                          <w:color w:val="000000"/>
                          <w:w w:val="105"/>
                          <w:sz w:val="13"/>
                        </w:rPr>
                        <w:t>The Group carried its investment properties at fair value with changes in the fair values recognised in the income statement. It obtains</w:t>
                      </w:r>
                      <w:r>
                        <w:rPr>
                          <w:color w:val="000000"/>
                          <w:spacing w:val="40"/>
                          <w:w w:val="105"/>
                          <w:sz w:val="13"/>
                        </w:rPr>
                        <w:t> </w:t>
                      </w:r>
                      <w:r>
                        <w:rPr>
                          <w:color w:val="000000"/>
                          <w:w w:val="105"/>
                          <w:sz w:val="13"/>
                        </w:rPr>
                        <w:t>independent valuations at least annually. At the end of the reporting period the Group updates its assessment of the fair value of each</w:t>
                      </w:r>
                      <w:r>
                        <w:rPr>
                          <w:color w:val="000000"/>
                          <w:spacing w:val="40"/>
                          <w:w w:val="105"/>
                          <w:sz w:val="13"/>
                        </w:rPr>
                        <w:t> </w:t>
                      </w:r>
                      <w:r>
                        <w:rPr>
                          <w:color w:val="000000"/>
                          <w:w w:val="105"/>
                          <w:sz w:val="13"/>
                        </w:rPr>
                        <w:t>property,</w:t>
                      </w:r>
                      <w:r>
                        <w:rPr>
                          <w:color w:val="000000"/>
                          <w:spacing w:val="-4"/>
                          <w:w w:val="105"/>
                          <w:sz w:val="13"/>
                        </w:rPr>
                        <w:t> </w:t>
                      </w:r>
                      <w:r>
                        <w:rPr>
                          <w:color w:val="000000"/>
                          <w:w w:val="105"/>
                          <w:sz w:val="13"/>
                        </w:rPr>
                        <w:t>taking</w:t>
                      </w:r>
                      <w:r>
                        <w:rPr>
                          <w:color w:val="000000"/>
                          <w:spacing w:val="-5"/>
                          <w:w w:val="105"/>
                          <w:sz w:val="13"/>
                        </w:rPr>
                        <w:t> </w:t>
                      </w:r>
                      <w:r>
                        <w:rPr>
                          <w:color w:val="000000"/>
                          <w:w w:val="105"/>
                          <w:sz w:val="13"/>
                        </w:rPr>
                        <w:t>into</w:t>
                      </w:r>
                      <w:r>
                        <w:rPr>
                          <w:color w:val="000000"/>
                          <w:spacing w:val="-5"/>
                          <w:w w:val="105"/>
                          <w:sz w:val="13"/>
                        </w:rPr>
                        <w:t> </w:t>
                      </w:r>
                      <w:r>
                        <w:rPr>
                          <w:color w:val="000000"/>
                          <w:w w:val="105"/>
                          <w:sz w:val="13"/>
                        </w:rPr>
                        <w:t>account</w:t>
                      </w:r>
                      <w:r>
                        <w:rPr>
                          <w:color w:val="000000"/>
                          <w:spacing w:val="-4"/>
                          <w:w w:val="105"/>
                          <w:sz w:val="13"/>
                        </w:rPr>
                        <w:t> </w:t>
                      </w:r>
                      <w:r>
                        <w:rPr>
                          <w:color w:val="000000"/>
                          <w:w w:val="105"/>
                          <w:sz w:val="13"/>
                        </w:rPr>
                        <w:t>the</w:t>
                      </w:r>
                      <w:r>
                        <w:rPr>
                          <w:color w:val="000000"/>
                          <w:spacing w:val="-5"/>
                          <w:w w:val="105"/>
                          <w:sz w:val="13"/>
                        </w:rPr>
                        <w:t> </w:t>
                      </w:r>
                      <w:r>
                        <w:rPr>
                          <w:color w:val="000000"/>
                          <w:w w:val="105"/>
                          <w:sz w:val="13"/>
                        </w:rPr>
                        <w:t>most</w:t>
                      </w:r>
                      <w:r>
                        <w:rPr>
                          <w:color w:val="000000"/>
                          <w:spacing w:val="-5"/>
                          <w:w w:val="105"/>
                          <w:sz w:val="13"/>
                        </w:rPr>
                        <w:t> </w:t>
                      </w:r>
                      <w:r>
                        <w:rPr>
                          <w:color w:val="000000"/>
                          <w:w w:val="105"/>
                          <w:sz w:val="13"/>
                        </w:rPr>
                        <w:t>recent</w:t>
                      </w:r>
                      <w:r>
                        <w:rPr>
                          <w:color w:val="000000"/>
                          <w:spacing w:val="-4"/>
                          <w:w w:val="105"/>
                          <w:sz w:val="13"/>
                        </w:rPr>
                        <w:t> </w:t>
                      </w:r>
                      <w:r>
                        <w:rPr>
                          <w:color w:val="000000"/>
                          <w:w w:val="105"/>
                          <w:sz w:val="13"/>
                        </w:rPr>
                        <w:t>valuations.</w:t>
                      </w:r>
                      <w:r>
                        <w:rPr>
                          <w:color w:val="000000"/>
                          <w:spacing w:val="-4"/>
                          <w:w w:val="105"/>
                          <w:sz w:val="13"/>
                        </w:rPr>
                        <w:t> </w:t>
                      </w:r>
                      <w:r>
                        <w:rPr>
                          <w:color w:val="000000"/>
                          <w:w w:val="105"/>
                          <w:sz w:val="13"/>
                        </w:rPr>
                        <w:t>Where</w:t>
                      </w:r>
                      <w:r>
                        <w:rPr>
                          <w:color w:val="000000"/>
                          <w:spacing w:val="-5"/>
                          <w:w w:val="105"/>
                          <w:sz w:val="13"/>
                        </w:rPr>
                        <w:t> </w:t>
                      </w:r>
                      <w:r>
                        <w:rPr>
                          <w:color w:val="000000"/>
                          <w:w w:val="105"/>
                          <w:sz w:val="13"/>
                        </w:rPr>
                        <w:t>an</w:t>
                      </w:r>
                      <w:r>
                        <w:rPr>
                          <w:color w:val="000000"/>
                          <w:spacing w:val="-5"/>
                          <w:w w:val="105"/>
                          <w:sz w:val="13"/>
                        </w:rPr>
                        <w:t> </w:t>
                      </w:r>
                      <w:r>
                        <w:rPr>
                          <w:color w:val="000000"/>
                          <w:w w:val="105"/>
                          <w:sz w:val="13"/>
                        </w:rPr>
                        <w:t>investment</w:t>
                      </w:r>
                      <w:r>
                        <w:rPr>
                          <w:color w:val="000000"/>
                          <w:spacing w:val="-4"/>
                          <w:w w:val="105"/>
                          <w:sz w:val="13"/>
                        </w:rPr>
                        <w:t> </w:t>
                      </w:r>
                      <w:r>
                        <w:rPr>
                          <w:color w:val="000000"/>
                          <w:w w:val="105"/>
                          <w:sz w:val="13"/>
                        </w:rPr>
                        <w:t>property</w:t>
                      </w:r>
                      <w:r>
                        <w:rPr>
                          <w:color w:val="000000"/>
                          <w:spacing w:val="-8"/>
                          <w:w w:val="105"/>
                          <w:sz w:val="13"/>
                        </w:rPr>
                        <w:t> </w:t>
                      </w:r>
                      <w:r>
                        <w:rPr>
                          <w:color w:val="000000"/>
                          <w:w w:val="105"/>
                          <w:sz w:val="13"/>
                        </w:rPr>
                        <w:t>is</w:t>
                      </w:r>
                      <w:r>
                        <w:rPr>
                          <w:color w:val="000000"/>
                          <w:spacing w:val="-4"/>
                          <w:w w:val="105"/>
                          <w:sz w:val="13"/>
                        </w:rPr>
                        <w:t> </w:t>
                      </w:r>
                      <w:r>
                        <w:rPr>
                          <w:color w:val="000000"/>
                          <w:w w:val="105"/>
                          <w:sz w:val="13"/>
                        </w:rPr>
                        <w:t>acquired</w:t>
                      </w:r>
                      <w:r>
                        <w:rPr>
                          <w:color w:val="000000"/>
                          <w:spacing w:val="-5"/>
                          <w:w w:val="105"/>
                          <w:sz w:val="13"/>
                        </w:rPr>
                        <w:t> </w:t>
                      </w:r>
                      <w:r>
                        <w:rPr>
                          <w:color w:val="000000"/>
                          <w:w w:val="105"/>
                          <w:sz w:val="13"/>
                        </w:rPr>
                        <w:t>at</w:t>
                      </w:r>
                      <w:r>
                        <w:rPr>
                          <w:color w:val="000000"/>
                          <w:spacing w:val="-5"/>
                          <w:w w:val="105"/>
                          <w:sz w:val="13"/>
                        </w:rPr>
                        <w:t> </w:t>
                      </w:r>
                      <w:r>
                        <w:rPr>
                          <w:color w:val="000000"/>
                          <w:w w:val="105"/>
                          <w:sz w:val="13"/>
                        </w:rPr>
                        <w:t>no</w:t>
                      </w:r>
                      <w:r>
                        <w:rPr>
                          <w:color w:val="000000"/>
                          <w:spacing w:val="-5"/>
                          <w:w w:val="105"/>
                          <w:sz w:val="13"/>
                        </w:rPr>
                        <w:t> </w:t>
                      </w:r>
                      <w:r>
                        <w:rPr>
                          <w:color w:val="000000"/>
                          <w:w w:val="105"/>
                          <w:sz w:val="13"/>
                        </w:rPr>
                        <w:t>cost</w:t>
                      </w:r>
                      <w:r>
                        <w:rPr>
                          <w:color w:val="000000"/>
                          <w:spacing w:val="-5"/>
                          <w:w w:val="105"/>
                          <w:sz w:val="13"/>
                        </w:rPr>
                        <w:t> </w:t>
                      </w:r>
                      <w:r>
                        <w:rPr>
                          <w:color w:val="000000"/>
                          <w:w w:val="105"/>
                          <w:sz w:val="13"/>
                        </w:rPr>
                        <w:t>or</w:t>
                      </w:r>
                      <w:r>
                        <w:rPr>
                          <w:color w:val="000000"/>
                          <w:spacing w:val="-3"/>
                          <w:w w:val="105"/>
                          <w:sz w:val="13"/>
                        </w:rPr>
                        <w:t> </w:t>
                      </w:r>
                      <w:r>
                        <w:rPr>
                          <w:color w:val="000000"/>
                          <w:w w:val="105"/>
                          <w:sz w:val="13"/>
                        </w:rPr>
                        <w:t>for</w:t>
                      </w:r>
                      <w:r>
                        <w:rPr>
                          <w:color w:val="000000"/>
                          <w:spacing w:val="-1"/>
                          <w:w w:val="105"/>
                          <w:sz w:val="13"/>
                        </w:rPr>
                        <w:t> </w:t>
                      </w:r>
                      <w:r>
                        <w:rPr>
                          <w:color w:val="000000"/>
                          <w:w w:val="105"/>
                          <w:sz w:val="13"/>
                        </w:rPr>
                        <w:t>nominal</w:t>
                      </w:r>
                      <w:r>
                        <w:rPr>
                          <w:color w:val="000000"/>
                          <w:spacing w:val="-3"/>
                          <w:w w:val="105"/>
                          <w:sz w:val="13"/>
                        </w:rPr>
                        <w:t> </w:t>
                      </w:r>
                      <w:r>
                        <w:rPr>
                          <w:color w:val="000000"/>
                          <w:w w:val="105"/>
                          <w:sz w:val="13"/>
                        </w:rPr>
                        <w:t>consideration,</w:t>
                      </w:r>
                      <w:r>
                        <w:rPr>
                          <w:color w:val="000000"/>
                          <w:spacing w:val="40"/>
                          <w:w w:val="105"/>
                          <w:sz w:val="13"/>
                        </w:rPr>
                        <w:t> </w:t>
                      </w:r>
                      <w:r>
                        <w:rPr>
                          <w:color w:val="000000"/>
                          <w:w w:val="105"/>
                          <w:sz w:val="13"/>
                        </w:rPr>
                        <w:t>its cost shall be deemed to be its fair value as at the date of acquisition.</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749120">
                <wp:simplePos x="0" y="0"/>
                <wp:positionH relativeFrom="page">
                  <wp:posOffset>726020</wp:posOffset>
                </wp:positionH>
                <wp:positionV relativeFrom="paragraph">
                  <wp:posOffset>775608</wp:posOffset>
                </wp:positionV>
                <wp:extent cx="5688965" cy="17145"/>
                <wp:effectExtent l="0" t="0" r="0" b="0"/>
                <wp:wrapTopAndBottom/>
                <wp:docPr id="929" name="Graphic 929"/>
                <wp:cNvGraphicFramePr>
                  <a:graphicFrameLocks/>
                </wp:cNvGraphicFramePr>
                <a:graphic>
                  <a:graphicData uri="http://schemas.microsoft.com/office/word/2010/wordprocessingShape">
                    <wps:wsp>
                      <wps:cNvPr id="929" name="Graphic 929"/>
                      <wps:cNvSpPr/>
                      <wps:spPr>
                        <a:xfrm>
                          <a:off x="0" y="0"/>
                          <a:ext cx="5688965" cy="17145"/>
                        </a:xfrm>
                        <a:custGeom>
                          <a:avLst/>
                          <a:gdLst/>
                          <a:ahLst/>
                          <a:cxnLst/>
                          <a:rect l="l" t="t" r="r" b="b"/>
                          <a:pathLst>
                            <a:path w="5688965" h="17145">
                              <a:moveTo>
                                <a:pt x="5688380" y="0"/>
                              </a:moveTo>
                              <a:lnTo>
                                <a:pt x="0" y="0"/>
                              </a:lnTo>
                              <a:lnTo>
                                <a:pt x="0" y="16814"/>
                              </a:lnTo>
                              <a:lnTo>
                                <a:pt x="5688380" y="16814"/>
                              </a:lnTo>
                              <a:lnTo>
                                <a:pt x="5688380"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7.167pt;margin-top:61.071533pt;width:447.904pt;height:1.324pt;mso-position-horizontal-relative:page;mso-position-vertical-relative:paragraph;z-index:-15567360;mso-wrap-distance-left:0;mso-wrap-distance-right:0" id="docshape623" filled="true" fillcolor="#4f81bd" stroked="false">
                <v:fill type="solid"/>
                <w10:wrap type="topAndBottom"/>
              </v:rect>
            </w:pict>
          </mc:Fallback>
        </mc:AlternateContent>
      </w:r>
    </w:p>
    <w:p>
      <w:pPr>
        <w:spacing w:line="240" w:lineRule="auto" w:before="9"/>
        <w:rPr>
          <w:sz w:val="13"/>
        </w:rPr>
      </w:pPr>
    </w:p>
    <w:p>
      <w:pPr>
        <w:spacing w:after="0" w:line="240" w:lineRule="auto"/>
        <w:rPr>
          <w:sz w:val="13"/>
        </w:rPr>
        <w:sectPr>
          <w:pgSz w:w="11910" w:h="16840"/>
          <w:pgMar w:header="468" w:footer="0" w:top="720" w:bottom="280" w:left="920" w:right="0"/>
        </w:sectPr>
      </w:pPr>
    </w:p>
    <w:p>
      <w:pPr>
        <w:spacing w:line="240" w:lineRule="auto" w:before="0"/>
        <w:rPr>
          <w:sz w:val="22"/>
        </w:rPr>
      </w:pPr>
    </w:p>
    <w:p>
      <w:pPr>
        <w:spacing w:line="240" w:lineRule="auto" w:before="0"/>
        <w:rPr>
          <w:sz w:val="22"/>
        </w:rPr>
      </w:pPr>
    </w:p>
    <w:p>
      <w:pPr>
        <w:spacing w:line="240" w:lineRule="auto" w:before="183"/>
        <w:rPr>
          <w:sz w:val="22"/>
        </w:rPr>
      </w:pPr>
    </w:p>
    <w:p>
      <w:pPr>
        <w:spacing w:before="0"/>
        <w:ind w:left="244" w:right="0" w:firstLine="0"/>
        <w:jc w:val="left"/>
        <w:rPr>
          <w:sz w:val="22"/>
        </w:rPr>
      </w:pPr>
      <w:r>
        <w:rPr>
          <w:color w:val="0070C0"/>
          <w:sz w:val="22"/>
        </w:rPr>
        <w:t>NOTES</w:t>
      </w:r>
      <w:r>
        <w:rPr>
          <w:color w:val="0070C0"/>
          <w:spacing w:val="-9"/>
          <w:sz w:val="22"/>
        </w:rPr>
        <w:t> </w:t>
      </w:r>
      <w:r>
        <w:rPr>
          <w:color w:val="0070C0"/>
          <w:sz w:val="22"/>
        </w:rPr>
        <w:t>TO</w:t>
      </w:r>
      <w:r>
        <w:rPr>
          <w:color w:val="0070C0"/>
          <w:spacing w:val="-9"/>
          <w:sz w:val="22"/>
        </w:rPr>
        <w:t> </w:t>
      </w:r>
      <w:r>
        <w:rPr>
          <w:color w:val="0070C0"/>
          <w:sz w:val="22"/>
        </w:rPr>
        <w:t>THE</w:t>
      </w:r>
      <w:r>
        <w:rPr>
          <w:color w:val="0070C0"/>
          <w:spacing w:val="-9"/>
          <w:sz w:val="22"/>
        </w:rPr>
        <w:t> </w:t>
      </w:r>
      <w:r>
        <w:rPr>
          <w:color w:val="0070C0"/>
          <w:sz w:val="22"/>
        </w:rPr>
        <w:t>FINANCIAL</w:t>
      </w:r>
      <w:r>
        <w:rPr>
          <w:color w:val="0070C0"/>
          <w:spacing w:val="-9"/>
          <w:sz w:val="22"/>
        </w:rPr>
        <w:t> </w:t>
      </w:r>
      <w:r>
        <w:rPr>
          <w:color w:val="0070C0"/>
          <w:spacing w:val="-2"/>
          <w:sz w:val="22"/>
        </w:rPr>
        <w:t>STATEMENTS</w:t>
      </w:r>
    </w:p>
    <w:p>
      <w:pPr>
        <w:spacing w:before="30"/>
        <w:ind w:left="230" w:right="0" w:firstLine="0"/>
        <w:jc w:val="left"/>
        <w:rPr>
          <w:sz w:val="12"/>
        </w:rPr>
      </w:pPr>
      <w:r>
        <w:rPr>
          <w:sz w:val="12"/>
        </w:rPr>
        <w:t>for</w:t>
      </w:r>
      <w:r>
        <w:rPr>
          <w:spacing w:val="4"/>
          <w:sz w:val="12"/>
        </w:rPr>
        <w:t> </w:t>
      </w:r>
      <w:r>
        <w:rPr>
          <w:sz w:val="12"/>
        </w:rPr>
        <w:t>the</w:t>
      </w:r>
      <w:r>
        <w:rPr>
          <w:spacing w:val="3"/>
          <w:sz w:val="12"/>
        </w:rPr>
        <w:t> </w:t>
      </w:r>
      <w:r>
        <w:rPr>
          <w:sz w:val="12"/>
        </w:rPr>
        <w:t>year</w:t>
      </w:r>
      <w:r>
        <w:rPr>
          <w:spacing w:val="5"/>
          <w:sz w:val="12"/>
        </w:rPr>
        <w:t> </w:t>
      </w:r>
      <w:r>
        <w:rPr>
          <w:sz w:val="12"/>
        </w:rPr>
        <w:t>ended</w:t>
      </w:r>
      <w:r>
        <w:rPr>
          <w:spacing w:val="3"/>
          <w:sz w:val="12"/>
        </w:rPr>
        <w:t> </w:t>
      </w:r>
      <w:r>
        <w:rPr>
          <w:sz w:val="12"/>
        </w:rPr>
        <w:t>31</w:t>
      </w:r>
      <w:r>
        <w:rPr>
          <w:spacing w:val="3"/>
          <w:sz w:val="12"/>
        </w:rPr>
        <w:t> </w:t>
      </w:r>
      <w:r>
        <w:rPr>
          <w:sz w:val="12"/>
        </w:rPr>
        <w:t>December</w:t>
      </w:r>
      <w:r>
        <w:rPr>
          <w:spacing w:val="5"/>
          <w:sz w:val="12"/>
        </w:rPr>
        <w:t> </w:t>
      </w:r>
      <w:r>
        <w:rPr>
          <w:spacing w:val="-4"/>
          <w:sz w:val="12"/>
        </w:rPr>
        <w:t>2020</w:t>
      </w:r>
    </w:p>
    <w:p>
      <w:pPr>
        <w:spacing w:line="240" w:lineRule="auto" w:before="140" w:after="0"/>
        <w:rPr>
          <w:sz w:val="20"/>
        </w:rPr>
      </w:pPr>
    </w:p>
    <w:tbl>
      <w:tblPr>
        <w:tblW w:w="0" w:type="auto"/>
        <w:jc w:val="left"/>
        <w:tblInd w:w="2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50"/>
        <w:gridCol w:w="4846"/>
        <w:gridCol w:w="986"/>
        <w:gridCol w:w="897"/>
        <w:gridCol w:w="999"/>
        <w:gridCol w:w="784"/>
      </w:tblGrid>
      <w:tr>
        <w:trPr>
          <w:trHeight w:val="197" w:hRule="atLeast"/>
        </w:trPr>
        <w:tc>
          <w:tcPr>
            <w:tcW w:w="450" w:type="dxa"/>
          </w:tcPr>
          <w:p>
            <w:pPr>
              <w:pStyle w:val="TableParagraph"/>
              <w:spacing w:line="177" w:lineRule="exact"/>
              <w:ind w:left="34"/>
              <w:rPr>
                <w:b/>
                <w:sz w:val="16"/>
              </w:rPr>
            </w:pPr>
            <w:r>
              <w:rPr>
                <w:b/>
                <w:color w:val="0070C0"/>
                <w:spacing w:val="-5"/>
                <w:sz w:val="16"/>
              </w:rPr>
              <w:t>5.4</w:t>
            </w:r>
          </w:p>
        </w:tc>
        <w:tc>
          <w:tcPr>
            <w:tcW w:w="4846" w:type="dxa"/>
          </w:tcPr>
          <w:p>
            <w:pPr>
              <w:pStyle w:val="TableParagraph"/>
              <w:spacing w:line="177" w:lineRule="exact"/>
              <w:ind w:left="191"/>
              <w:rPr>
                <w:b/>
                <w:sz w:val="16"/>
              </w:rPr>
            </w:pPr>
            <w:r>
              <w:rPr>
                <w:b/>
                <w:color w:val="0070C0"/>
                <w:sz w:val="16"/>
              </w:rPr>
              <w:t>Intangible</w:t>
            </w:r>
            <w:r>
              <w:rPr>
                <w:b/>
                <w:color w:val="0070C0"/>
                <w:spacing w:val="12"/>
                <w:sz w:val="16"/>
              </w:rPr>
              <w:t> </w:t>
            </w:r>
            <w:r>
              <w:rPr>
                <w:b/>
                <w:color w:val="0070C0"/>
                <w:spacing w:val="-2"/>
                <w:sz w:val="16"/>
              </w:rPr>
              <w:t>assets</w:t>
            </w:r>
          </w:p>
        </w:tc>
        <w:tc>
          <w:tcPr>
            <w:tcW w:w="3666" w:type="dxa"/>
            <w:gridSpan w:val="4"/>
          </w:tcPr>
          <w:p>
            <w:pPr>
              <w:pStyle w:val="TableParagraph"/>
              <w:rPr>
                <w:rFonts w:ascii="Times New Roman"/>
                <w:sz w:val="12"/>
              </w:rPr>
            </w:pPr>
          </w:p>
        </w:tc>
      </w:tr>
      <w:tr>
        <w:trPr>
          <w:trHeight w:val="212" w:hRule="atLeast"/>
        </w:trPr>
        <w:tc>
          <w:tcPr>
            <w:tcW w:w="450" w:type="dxa"/>
          </w:tcPr>
          <w:p>
            <w:pPr>
              <w:pStyle w:val="TableParagraph"/>
              <w:rPr>
                <w:rFonts w:ascii="Times New Roman"/>
                <w:sz w:val="12"/>
              </w:rPr>
            </w:pPr>
          </w:p>
        </w:tc>
        <w:tc>
          <w:tcPr>
            <w:tcW w:w="4846" w:type="dxa"/>
          </w:tcPr>
          <w:p>
            <w:pPr>
              <w:pStyle w:val="TableParagraph"/>
              <w:spacing w:before="16"/>
              <w:ind w:left="187"/>
              <w:rPr>
                <w:b/>
                <w:sz w:val="13"/>
              </w:rPr>
            </w:pPr>
            <w:r>
              <w:rPr>
                <w:b/>
                <w:w w:val="105"/>
                <w:sz w:val="13"/>
              </w:rPr>
              <w:t>Consolidated</w:t>
            </w:r>
            <w:r>
              <w:rPr>
                <w:b/>
                <w:spacing w:val="-6"/>
                <w:w w:val="105"/>
                <w:sz w:val="13"/>
              </w:rPr>
              <w:t> </w:t>
            </w:r>
            <w:r>
              <w:rPr>
                <w:b/>
                <w:w w:val="105"/>
                <w:sz w:val="13"/>
              </w:rPr>
              <w:t>and</w:t>
            </w:r>
            <w:r>
              <w:rPr>
                <w:b/>
                <w:spacing w:val="-6"/>
                <w:w w:val="105"/>
                <w:sz w:val="13"/>
              </w:rPr>
              <w:t> </w:t>
            </w:r>
            <w:r>
              <w:rPr>
                <w:b/>
                <w:spacing w:val="-2"/>
                <w:w w:val="105"/>
                <w:sz w:val="13"/>
              </w:rPr>
              <w:t>University</w:t>
            </w:r>
          </w:p>
        </w:tc>
        <w:tc>
          <w:tcPr>
            <w:tcW w:w="986" w:type="dxa"/>
          </w:tcPr>
          <w:p>
            <w:pPr>
              <w:pStyle w:val="TableParagraph"/>
              <w:rPr>
                <w:rFonts w:ascii="Times New Roman"/>
                <w:sz w:val="12"/>
              </w:rPr>
            </w:pPr>
          </w:p>
        </w:tc>
        <w:tc>
          <w:tcPr>
            <w:tcW w:w="897" w:type="dxa"/>
          </w:tcPr>
          <w:p>
            <w:pPr>
              <w:pStyle w:val="TableParagraph"/>
              <w:spacing w:line="143" w:lineRule="exact" w:before="49"/>
              <w:ind w:left="100"/>
              <w:rPr>
                <w:b/>
                <w:sz w:val="13"/>
              </w:rPr>
            </w:pPr>
            <w:r>
              <w:rPr>
                <w:b/>
                <w:spacing w:val="-2"/>
                <w:w w:val="105"/>
                <w:sz w:val="13"/>
              </w:rPr>
              <w:t>Software</w:t>
            </w:r>
          </w:p>
        </w:tc>
        <w:tc>
          <w:tcPr>
            <w:tcW w:w="999" w:type="dxa"/>
          </w:tcPr>
          <w:p>
            <w:pPr>
              <w:pStyle w:val="TableParagraph"/>
              <w:spacing w:line="143" w:lineRule="exact" w:before="49"/>
              <w:ind w:left="79"/>
              <w:rPr>
                <w:b/>
                <w:sz w:val="13"/>
              </w:rPr>
            </w:pPr>
            <w:r>
              <w:rPr>
                <w:b/>
                <w:spacing w:val="-2"/>
                <w:w w:val="105"/>
                <w:sz w:val="13"/>
              </w:rPr>
              <w:t>Electronic</w:t>
            </w:r>
          </w:p>
        </w:tc>
        <w:tc>
          <w:tcPr>
            <w:tcW w:w="784" w:type="dxa"/>
          </w:tcPr>
          <w:p>
            <w:pPr>
              <w:pStyle w:val="TableParagraph"/>
              <w:rPr>
                <w:rFonts w:ascii="Times New Roman"/>
                <w:sz w:val="12"/>
              </w:rPr>
            </w:pPr>
          </w:p>
        </w:tc>
      </w:tr>
      <w:tr>
        <w:trPr>
          <w:trHeight w:val="176" w:hRule="atLeast"/>
        </w:trPr>
        <w:tc>
          <w:tcPr>
            <w:tcW w:w="450" w:type="dxa"/>
          </w:tcPr>
          <w:p>
            <w:pPr>
              <w:pStyle w:val="TableParagraph"/>
              <w:rPr>
                <w:rFonts w:ascii="Times New Roman"/>
                <w:sz w:val="10"/>
              </w:rPr>
            </w:pPr>
          </w:p>
        </w:tc>
        <w:tc>
          <w:tcPr>
            <w:tcW w:w="4846" w:type="dxa"/>
          </w:tcPr>
          <w:p>
            <w:pPr>
              <w:pStyle w:val="TableParagraph"/>
              <w:rPr>
                <w:rFonts w:ascii="Times New Roman"/>
                <w:sz w:val="10"/>
              </w:rPr>
            </w:pPr>
          </w:p>
        </w:tc>
        <w:tc>
          <w:tcPr>
            <w:tcW w:w="986" w:type="dxa"/>
          </w:tcPr>
          <w:p>
            <w:pPr>
              <w:pStyle w:val="TableParagraph"/>
              <w:rPr>
                <w:rFonts w:ascii="Times New Roman"/>
                <w:sz w:val="10"/>
              </w:rPr>
            </w:pPr>
          </w:p>
        </w:tc>
        <w:tc>
          <w:tcPr>
            <w:tcW w:w="897" w:type="dxa"/>
          </w:tcPr>
          <w:p>
            <w:pPr>
              <w:pStyle w:val="TableParagraph"/>
              <w:spacing w:line="143" w:lineRule="exact" w:before="13"/>
              <w:ind w:left="150"/>
              <w:rPr>
                <w:b/>
                <w:sz w:val="13"/>
              </w:rPr>
            </w:pPr>
            <w:r>
              <w:rPr>
                <w:b/>
                <w:w w:val="105"/>
                <w:sz w:val="13"/>
              </w:rPr>
              <w:t>work</w:t>
            </w:r>
            <w:r>
              <w:rPr>
                <w:b/>
                <w:spacing w:val="-2"/>
                <w:w w:val="105"/>
                <w:sz w:val="13"/>
              </w:rPr>
              <w:t> </w:t>
            </w:r>
            <w:r>
              <w:rPr>
                <w:b/>
                <w:spacing w:val="-5"/>
                <w:w w:val="105"/>
                <w:sz w:val="13"/>
              </w:rPr>
              <w:t>in</w:t>
            </w:r>
          </w:p>
        </w:tc>
        <w:tc>
          <w:tcPr>
            <w:tcW w:w="999" w:type="dxa"/>
          </w:tcPr>
          <w:p>
            <w:pPr>
              <w:pStyle w:val="TableParagraph"/>
              <w:spacing w:line="143" w:lineRule="exact" w:before="13"/>
              <w:ind w:left="200"/>
              <w:rPr>
                <w:b/>
                <w:sz w:val="13"/>
              </w:rPr>
            </w:pPr>
            <w:r>
              <w:rPr>
                <w:b/>
                <w:spacing w:val="-2"/>
                <w:w w:val="105"/>
                <w:sz w:val="13"/>
              </w:rPr>
              <w:t>library</w:t>
            </w:r>
          </w:p>
        </w:tc>
        <w:tc>
          <w:tcPr>
            <w:tcW w:w="784" w:type="dxa"/>
          </w:tcPr>
          <w:p>
            <w:pPr>
              <w:pStyle w:val="TableParagraph"/>
              <w:rPr>
                <w:rFonts w:ascii="Times New Roman"/>
                <w:sz w:val="10"/>
              </w:rPr>
            </w:pPr>
          </w:p>
        </w:tc>
      </w:tr>
      <w:tr>
        <w:trPr>
          <w:trHeight w:val="183" w:hRule="atLeast"/>
        </w:trPr>
        <w:tc>
          <w:tcPr>
            <w:tcW w:w="450" w:type="dxa"/>
          </w:tcPr>
          <w:p>
            <w:pPr>
              <w:pStyle w:val="TableParagraph"/>
              <w:rPr>
                <w:rFonts w:ascii="Times New Roman"/>
                <w:sz w:val="12"/>
              </w:rPr>
            </w:pPr>
          </w:p>
        </w:tc>
        <w:tc>
          <w:tcPr>
            <w:tcW w:w="4846" w:type="dxa"/>
          </w:tcPr>
          <w:p>
            <w:pPr>
              <w:pStyle w:val="TableParagraph"/>
              <w:rPr>
                <w:rFonts w:ascii="Times New Roman"/>
                <w:sz w:val="12"/>
              </w:rPr>
            </w:pPr>
          </w:p>
        </w:tc>
        <w:tc>
          <w:tcPr>
            <w:tcW w:w="986" w:type="dxa"/>
          </w:tcPr>
          <w:p>
            <w:pPr>
              <w:pStyle w:val="TableParagraph"/>
              <w:spacing w:before="14"/>
              <w:ind w:left="170"/>
              <w:rPr>
                <w:b/>
                <w:sz w:val="13"/>
              </w:rPr>
            </w:pPr>
            <w:r>
              <w:rPr>
                <w:b/>
                <w:spacing w:val="-2"/>
                <w:w w:val="105"/>
                <w:sz w:val="13"/>
              </w:rPr>
              <w:t>Software</w:t>
            </w:r>
          </w:p>
        </w:tc>
        <w:tc>
          <w:tcPr>
            <w:tcW w:w="897" w:type="dxa"/>
          </w:tcPr>
          <w:p>
            <w:pPr>
              <w:pStyle w:val="TableParagraph"/>
              <w:spacing w:before="13"/>
              <w:ind w:left="97"/>
              <w:rPr>
                <w:b/>
                <w:sz w:val="13"/>
              </w:rPr>
            </w:pPr>
            <w:r>
              <w:rPr>
                <w:b/>
                <w:spacing w:val="-2"/>
                <w:w w:val="105"/>
                <w:sz w:val="13"/>
              </w:rPr>
              <w:t>progress</w:t>
            </w:r>
          </w:p>
        </w:tc>
        <w:tc>
          <w:tcPr>
            <w:tcW w:w="999" w:type="dxa"/>
          </w:tcPr>
          <w:p>
            <w:pPr>
              <w:pStyle w:val="TableParagraph"/>
              <w:spacing w:before="13"/>
              <w:ind w:left="83"/>
              <w:rPr>
                <w:b/>
                <w:sz w:val="13"/>
              </w:rPr>
            </w:pPr>
            <w:r>
              <w:rPr>
                <w:b/>
                <w:spacing w:val="-2"/>
                <w:w w:val="105"/>
                <w:sz w:val="13"/>
              </w:rPr>
              <w:t>resources</w:t>
            </w:r>
          </w:p>
        </w:tc>
        <w:tc>
          <w:tcPr>
            <w:tcW w:w="784" w:type="dxa"/>
          </w:tcPr>
          <w:p>
            <w:pPr>
              <w:pStyle w:val="TableParagraph"/>
              <w:spacing w:before="13"/>
              <w:ind w:left="161"/>
              <w:rPr>
                <w:b/>
                <w:sz w:val="13"/>
              </w:rPr>
            </w:pPr>
            <w:r>
              <w:rPr>
                <w:b/>
                <w:spacing w:val="-2"/>
                <w:w w:val="105"/>
                <w:sz w:val="13"/>
              </w:rPr>
              <w:t>Total</w:t>
            </w:r>
          </w:p>
        </w:tc>
      </w:tr>
      <w:tr>
        <w:trPr>
          <w:trHeight w:val="174" w:hRule="atLeast"/>
        </w:trPr>
        <w:tc>
          <w:tcPr>
            <w:tcW w:w="450" w:type="dxa"/>
          </w:tcPr>
          <w:p>
            <w:pPr>
              <w:pStyle w:val="TableParagraph"/>
              <w:rPr>
                <w:rFonts w:ascii="Times New Roman"/>
                <w:sz w:val="10"/>
              </w:rPr>
            </w:pPr>
          </w:p>
        </w:tc>
        <w:tc>
          <w:tcPr>
            <w:tcW w:w="4846" w:type="dxa"/>
          </w:tcPr>
          <w:p>
            <w:pPr>
              <w:pStyle w:val="TableParagraph"/>
              <w:rPr>
                <w:rFonts w:ascii="Times New Roman"/>
                <w:sz w:val="10"/>
              </w:rPr>
            </w:pPr>
          </w:p>
        </w:tc>
        <w:tc>
          <w:tcPr>
            <w:tcW w:w="986" w:type="dxa"/>
            <w:tcBorders>
              <w:bottom w:val="single" w:sz="6" w:space="0" w:color="000000"/>
            </w:tcBorders>
          </w:tcPr>
          <w:p>
            <w:pPr>
              <w:pStyle w:val="TableParagraph"/>
              <w:spacing w:line="134" w:lineRule="exact" w:before="20"/>
              <w:ind w:left="298"/>
              <w:rPr>
                <w:b/>
                <w:sz w:val="13"/>
              </w:rPr>
            </w:pPr>
            <w:r>
              <w:rPr>
                <w:b/>
                <w:spacing w:val="-2"/>
                <w:w w:val="105"/>
                <w:sz w:val="13"/>
              </w:rPr>
              <w:t>$'000</w:t>
            </w:r>
          </w:p>
        </w:tc>
        <w:tc>
          <w:tcPr>
            <w:tcW w:w="897" w:type="dxa"/>
            <w:tcBorders>
              <w:bottom w:val="single" w:sz="6" w:space="0" w:color="000000"/>
            </w:tcBorders>
          </w:tcPr>
          <w:p>
            <w:pPr>
              <w:pStyle w:val="TableParagraph"/>
              <w:spacing w:line="134" w:lineRule="exact" w:before="20"/>
              <w:ind w:left="228"/>
              <w:rPr>
                <w:b/>
                <w:sz w:val="13"/>
              </w:rPr>
            </w:pPr>
            <w:r>
              <w:rPr>
                <w:b/>
                <w:spacing w:val="-2"/>
                <w:w w:val="105"/>
                <w:sz w:val="13"/>
              </w:rPr>
              <w:t>$'000</w:t>
            </w:r>
          </w:p>
        </w:tc>
        <w:tc>
          <w:tcPr>
            <w:tcW w:w="999" w:type="dxa"/>
            <w:tcBorders>
              <w:bottom w:val="single" w:sz="6" w:space="0" w:color="000000"/>
            </w:tcBorders>
          </w:tcPr>
          <w:p>
            <w:pPr>
              <w:pStyle w:val="TableParagraph"/>
              <w:spacing w:line="134" w:lineRule="exact" w:before="20"/>
              <w:ind w:left="247"/>
              <w:rPr>
                <w:b/>
                <w:sz w:val="13"/>
              </w:rPr>
            </w:pPr>
            <w:r>
              <w:rPr>
                <w:b/>
                <w:spacing w:val="-2"/>
                <w:w w:val="105"/>
                <w:sz w:val="13"/>
              </w:rPr>
              <w:t>$'000</w:t>
            </w:r>
          </w:p>
        </w:tc>
        <w:tc>
          <w:tcPr>
            <w:tcW w:w="784" w:type="dxa"/>
            <w:tcBorders>
              <w:bottom w:val="single" w:sz="6" w:space="0" w:color="000000"/>
            </w:tcBorders>
          </w:tcPr>
          <w:p>
            <w:pPr>
              <w:pStyle w:val="TableParagraph"/>
              <w:spacing w:line="134" w:lineRule="exact" w:before="20"/>
              <w:ind w:left="163"/>
              <w:rPr>
                <w:b/>
                <w:sz w:val="13"/>
              </w:rPr>
            </w:pPr>
            <w:r>
              <w:rPr>
                <w:b/>
                <w:spacing w:val="-2"/>
                <w:w w:val="105"/>
                <w:sz w:val="13"/>
              </w:rPr>
              <w:t>$'000</w:t>
            </w:r>
          </w:p>
        </w:tc>
      </w:tr>
      <w:tr>
        <w:trPr>
          <w:trHeight w:val="326" w:hRule="atLeast"/>
        </w:trPr>
        <w:tc>
          <w:tcPr>
            <w:tcW w:w="450" w:type="dxa"/>
          </w:tcPr>
          <w:p>
            <w:pPr>
              <w:pStyle w:val="TableParagraph"/>
              <w:rPr>
                <w:rFonts w:ascii="Times New Roman"/>
                <w:sz w:val="12"/>
              </w:rPr>
            </w:pPr>
          </w:p>
        </w:tc>
        <w:tc>
          <w:tcPr>
            <w:tcW w:w="4846" w:type="dxa"/>
          </w:tcPr>
          <w:p>
            <w:pPr>
              <w:pStyle w:val="TableParagraph"/>
              <w:spacing w:line="148" w:lineRule="exact"/>
              <w:ind w:left="187"/>
              <w:rPr>
                <w:b/>
                <w:sz w:val="13"/>
              </w:rPr>
            </w:pPr>
            <w:r>
              <w:rPr>
                <w:b/>
                <w:w w:val="105"/>
                <w:sz w:val="13"/>
              </w:rPr>
              <w:t>At</w:t>
            </w:r>
            <w:r>
              <w:rPr>
                <w:b/>
                <w:spacing w:val="-4"/>
                <w:w w:val="105"/>
                <w:sz w:val="13"/>
              </w:rPr>
              <w:t> </w:t>
            </w:r>
            <w:r>
              <w:rPr>
                <w:b/>
                <w:w w:val="105"/>
                <w:sz w:val="13"/>
              </w:rPr>
              <w:t>1</w:t>
            </w:r>
            <w:r>
              <w:rPr>
                <w:b/>
                <w:spacing w:val="-6"/>
                <w:w w:val="105"/>
                <w:sz w:val="13"/>
              </w:rPr>
              <w:t> </w:t>
            </w:r>
            <w:r>
              <w:rPr>
                <w:b/>
                <w:w w:val="105"/>
                <w:sz w:val="13"/>
              </w:rPr>
              <w:t>January</w:t>
            </w:r>
            <w:r>
              <w:rPr>
                <w:b/>
                <w:spacing w:val="-5"/>
                <w:w w:val="105"/>
                <w:sz w:val="13"/>
              </w:rPr>
              <w:t> </w:t>
            </w:r>
            <w:r>
              <w:rPr>
                <w:b/>
                <w:spacing w:val="-4"/>
                <w:w w:val="105"/>
                <w:sz w:val="13"/>
              </w:rPr>
              <w:t>2019</w:t>
            </w:r>
          </w:p>
          <w:p>
            <w:pPr>
              <w:pStyle w:val="TableParagraph"/>
              <w:spacing w:line="141" w:lineRule="exact" w:before="18"/>
              <w:ind w:left="187"/>
              <w:rPr>
                <w:sz w:val="13"/>
              </w:rPr>
            </w:pPr>
            <w:r>
              <w:rPr>
                <w:spacing w:val="-4"/>
                <w:w w:val="105"/>
                <w:sz w:val="13"/>
              </w:rPr>
              <w:t>Cost</w:t>
            </w:r>
          </w:p>
        </w:tc>
        <w:tc>
          <w:tcPr>
            <w:tcW w:w="986" w:type="dxa"/>
            <w:tcBorders>
              <w:top w:val="single" w:sz="6" w:space="0" w:color="000000"/>
            </w:tcBorders>
          </w:tcPr>
          <w:p>
            <w:pPr>
              <w:pStyle w:val="TableParagraph"/>
              <w:spacing w:before="16"/>
              <w:rPr>
                <w:sz w:val="13"/>
              </w:rPr>
            </w:pPr>
          </w:p>
          <w:p>
            <w:pPr>
              <w:pStyle w:val="TableParagraph"/>
              <w:spacing w:line="141" w:lineRule="exact" w:before="1"/>
              <w:ind w:right="140"/>
              <w:jc w:val="right"/>
              <w:rPr>
                <w:sz w:val="13"/>
              </w:rPr>
            </w:pPr>
            <w:r>
              <w:rPr>
                <w:spacing w:val="-2"/>
                <w:w w:val="105"/>
                <w:sz w:val="13"/>
              </w:rPr>
              <w:t>11,129</w:t>
            </w:r>
          </w:p>
        </w:tc>
        <w:tc>
          <w:tcPr>
            <w:tcW w:w="897" w:type="dxa"/>
            <w:tcBorders>
              <w:top w:val="single" w:sz="6" w:space="0" w:color="000000"/>
            </w:tcBorders>
          </w:tcPr>
          <w:p>
            <w:pPr>
              <w:pStyle w:val="TableParagraph"/>
              <w:spacing w:before="21"/>
              <w:rPr>
                <w:sz w:val="13"/>
              </w:rPr>
            </w:pPr>
          </w:p>
          <w:p>
            <w:pPr>
              <w:pStyle w:val="TableParagraph"/>
              <w:spacing w:line="136" w:lineRule="exact"/>
              <w:ind w:right="122"/>
              <w:jc w:val="right"/>
              <w:rPr>
                <w:sz w:val="13"/>
              </w:rPr>
            </w:pPr>
            <w:r>
              <w:rPr>
                <w:spacing w:val="-2"/>
                <w:w w:val="105"/>
                <w:sz w:val="13"/>
              </w:rPr>
              <w:t>7,450</w:t>
            </w:r>
          </w:p>
        </w:tc>
        <w:tc>
          <w:tcPr>
            <w:tcW w:w="999" w:type="dxa"/>
            <w:tcBorders>
              <w:top w:val="single" w:sz="6" w:space="0" w:color="000000"/>
            </w:tcBorders>
          </w:tcPr>
          <w:p>
            <w:pPr>
              <w:pStyle w:val="TableParagraph"/>
              <w:spacing w:before="16"/>
              <w:rPr>
                <w:sz w:val="13"/>
              </w:rPr>
            </w:pPr>
          </w:p>
          <w:p>
            <w:pPr>
              <w:pStyle w:val="TableParagraph"/>
              <w:spacing w:line="141" w:lineRule="exact" w:before="1"/>
              <w:ind w:right="205"/>
              <w:jc w:val="right"/>
              <w:rPr>
                <w:sz w:val="13"/>
              </w:rPr>
            </w:pPr>
            <w:r>
              <w:rPr>
                <w:spacing w:val="-2"/>
                <w:w w:val="105"/>
                <w:sz w:val="13"/>
              </w:rPr>
              <w:t>47,053</w:t>
            </w:r>
          </w:p>
        </w:tc>
        <w:tc>
          <w:tcPr>
            <w:tcW w:w="784" w:type="dxa"/>
            <w:tcBorders>
              <w:top w:val="single" w:sz="6" w:space="0" w:color="000000"/>
            </w:tcBorders>
          </w:tcPr>
          <w:p>
            <w:pPr>
              <w:pStyle w:val="TableParagraph"/>
              <w:spacing w:before="16"/>
              <w:rPr>
                <w:sz w:val="13"/>
              </w:rPr>
            </w:pPr>
          </w:p>
          <w:p>
            <w:pPr>
              <w:pStyle w:val="TableParagraph"/>
              <w:spacing w:line="141" w:lineRule="exact" w:before="1"/>
              <w:ind w:right="73"/>
              <w:jc w:val="right"/>
              <w:rPr>
                <w:sz w:val="13"/>
              </w:rPr>
            </w:pPr>
            <w:r>
              <w:rPr>
                <w:spacing w:val="-2"/>
                <w:w w:val="105"/>
                <w:sz w:val="13"/>
              </w:rPr>
              <w:t>65,632</w:t>
            </w:r>
          </w:p>
        </w:tc>
      </w:tr>
      <w:tr>
        <w:trPr>
          <w:trHeight w:val="161" w:hRule="atLeast"/>
        </w:trPr>
        <w:tc>
          <w:tcPr>
            <w:tcW w:w="450" w:type="dxa"/>
          </w:tcPr>
          <w:p>
            <w:pPr>
              <w:pStyle w:val="TableParagraph"/>
              <w:rPr>
                <w:rFonts w:ascii="Times New Roman"/>
                <w:sz w:val="10"/>
              </w:rPr>
            </w:pPr>
          </w:p>
        </w:tc>
        <w:tc>
          <w:tcPr>
            <w:tcW w:w="4846" w:type="dxa"/>
          </w:tcPr>
          <w:p>
            <w:pPr>
              <w:pStyle w:val="TableParagraph"/>
              <w:spacing w:line="134" w:lineRule="exact" w:before="7"/>
              <w:ind w:left="187"/>
              <w:rPr>
                <w:sz w:val="13"/>
              </w:rPr>
            </w:pPr>
            <w:r>
              <w:rPr>
                <w:spacing w:val="-2"/>
                <w:w w:val="105"/>
                <w:sz w:val="13"/>
              </w:rPr>
              <w:t>Accumulated</w:t>
            </w:r>
            <w:r>
              <w:rPr>
                <w:spacing w:val="7"/>
                <w:w w:val="105"/>
                <w:sz w:val="13"/>
              </w:rPr>
              <w:t> </w:t>
            </w:r>
            <w:r>
              <w:rPr>
                <w:spacing w:val="-2"/>
                <w:w w:val="105"/>
                <w:sz w:val="13"/>
              </w:rPr>
              <w:t>amortisation</w:t>
            </w:r>
            <w:r>
              <w:rPr>
                <w:spacing w:val="8"/>
                <w:w w:val="105"/>
                <w:sz w:val="13"/>
              </w:rPr>
              <w:t> </w:t>
            </w:r>
            <w:r>
              <w:rPr>
                <w:spacing w:val="-2"/>
                <w:w w:val="105"/>
                <w:sz w:val="13"/>
              </w:rPr>
              <w:t>and</w:t>
            </w:r>
            <w:r>
              <w:rPr>
                <w:spacing w:val="7"/>
                <w:w w:val="105"/>
                <w:sz w:val="13"/>
              </w:rPr>
              <w:t> </w:t>
            </w:r>
            <w:r>
              <w:rPr>
                <w:spacing w:val="-2"/>
                <w:w w:val="105"/>
                <w:sz w:val="13"/>
              </w:rPr>
              <w:t>impairment</w:t>
            </w:r>
          </w:p>
        </w:tc>
        <w:tc>
          <w:tcPr>
            <w:tcW w:w="986" w:type="dxa"/>
            <w:tcBorders>
              <w:bottom w:val="single" w:sz="6" w:space="0" w:color="000000"/>
            </w:tcBorders>
          </w:tcPr>
          <w:p>
            <w:pPr>
              <w:pStyle w:val="TableParagraph"/>
              <w:spacing w:line="134" w:lineRule="exact" w:before="7"/>
              <w:ind w:right="96"/>
              <w:jc w:val="right"/>
              <w:rPr>
                <w:sz w:val="13"/>
              </w:rPr>
            </w:pPr>
            <w:r>
              <w:rPr>
                <w:spacing w:val="-2"/>
                <w:w w:val="105"/>
                <w:sz w:val="13"/>
              </w:rPr>
              <w:t>(11,129)</w:t>
            </w:r>
          </w:p>
        </w:tc>
        <w:tc>
          <w:tcPr>
            <w:tcW w:w="897" w:type="dxa"/>
            <w:tcBorders>
              <w:bottom w:val="single" w:sz="6" w:space="0" w:color="000000"/>
            </w:tcBorders>
          </w:tcPr>
          <w:p>
            <w:pPr>
              <w:pStyle w:val="TableParagraph"/>
              <w:spacing w:line="130" w:lineRule="exact" w:before="11"/>
              <w:ind w:right="113"/>
              <w:jc w:val="right"/>
              <w:rPr>
                <w:sz w:val="13"/>
              </w:rPr>
            </w:pPr>
            <w:r>
              <w:rPr>
                <w:spacing w:val="-10"/>
                <w:w w:val="105"/>
                <w:sz w:val="13"/>
              </w:rPr>
              <w:t>-</w:t>
            </w:r>
          </w:p>
        </w:tc>
        <w:tc>
          <w:tcPr>
            <w:tcW w:w="999" w:type="dxa"/>
            <w:tcBorders>
              <w:bottom w:val="single" w:sz="6" w:space="0" w:color="000000"/>
            </w:tcBorders>
          </w:tcPr>
          <w:p>
            <w:pPr>
              <w:pStyle w:val="TableParagraph"/>
              <w:spacing w:line="134" w:lineRule="exact" w:before="7"/>
              <w:ind w:right="160"/>
              <w:jc w:val="right"/>
              <w:rPr>
                <w:sz w:val="13"/>
              </w:rPr>
            </w:pPr>
            <w:r>
              <w:rPr>
                <w:spacing w:val="-2"/>
                <w:w w:val="105"/>
                <w:sz w:val="13"/>
              </w:rPr>
              <w:t>(19,895)</w:t>
            </w:r>
          </w:p>
        </w:tc>
        <w:tc>
          <w:tcPr>
            <w:tcW w:w="784" w:type="dxa"/>
            <w:tcBorders>
              <w:bottom w:val="single" w:sz="6" w:space="0" w:color="000000"/>
            </w:tcBorders>
          </w:tcPr>
          <w:p>
            <w:pPr>
              <w:pStyle w:val="TableParagraph"/>
              <w:spacing w:line="134" w:lineRule="exact" w:before="7"/>
              <w:ind w:right="28"/>
              <w:jc w:val="right"/>
              <w:rPr>
                <w:sz w:val="13"/>
              </w:rPr>
            </w:pPr>
            <w:r>
              <w:rPr>
                <w:spacing w:val="-2"/>
                <w:w w:val="105"/>
                <w:sz w:val="13"/>
              </w:rPr>
              <w:t>(31,024)</w:t>
            </w:r>
          </w:p>
        </w:tc>
      </w:tr>
      <w:tr>
        <w:trPr>
          <w:trHeight w:val="152" w:hRule="atLeast"/>
        </w:trPr>
        <w:tc>
          <w:tcPr>
            <w:tcW w:w="450" w:type="dxa"/>
          </w:tcPr>
          <w:p>
            <w:pPr>
              <w:pStyle w:val="TableParagraph"/>
              <w:rPr>
                <w:rFonts w:ascii="Times New Roman"/>
                <w:sz w:val="8"/>
              </w:rPr>
            </w:pPr>
          </w:p>
        </w:tc>
        <w:tc>
          <w:tcPr>
            <w:tcW w:w="4846" w:type="dxa"/>
          </w:tcPr>
          <w:p>
            <w:pPr>
              <w:pStyle w:val="TableParagraph"/>
              <w:spacing w:line="133" w:lineRule="exact"/>
              <w:ind w:left="187"/>
              <w:rPr>
                <w:sz w:val="13"/>
              </w:rPr>
            </w:pPr>
            <w:r>
              <w:rPr>
                <w:w w:val="105"/>
                <w:sz w:val="13"/>
              </w:rPr>
              <w:t>Net</w:t>
            </w:r>
            <w:r>
              <w:rPr>
                <w:spacing w:val="-6"/>
                <w:w w:val="105"/>
                <w:sz w:val="13"/>
              </w:rPr>
              <w:t> </w:t>
            </w:r>
            <w:r>
              <w:rPr>
                <w:w w:val="105"/>
                <w:sz w:val="13"/>
              </w:rPr>
              <w:t>book</w:t>
            </w:r>
            <w:r>
              <w:rPr>
                <w:spacing w:val="-3"/>
                <w:w w:val="105"/>
                <w:sz w:val="13"/>
              </w:rPr>
              <w:t> </w:t>
            </w:r>
            <w:r>
              <w:rPr>
                <w:spacing w:val="-2"/>
                <w:w w:val="105"/>
                <w:sz w:val="13"/>
              </w:rPr>
              <w:t>value</w:t>
            </w:r>
          </w:p>
        </w:tc>
        <w:tc>
          <w:tcPr>
            <w:tcW w:w="986" w:type="dxa"/>
            <w:tcBorders>
              <w:top w:val="single" w:sz="6" w:space="0" w:color="000000"/>
              <w:bottom w:val="single" w:sz="6" w:space="0" w:color="000000"/>
            </w:tcBorders>
          </w:tcPr>
          <w:p>
            <w:pPr>
              <w:pStyle w:val="TableParagraph"/>
              <w:spacing w:line="130" w:lineRule="exact" w:before="3"/>
              <w:ind w:right="132"/>
              <w:jc w:val="right"/>
              <w:rPr>
                <w:b/>
                <w:sz w:val="13"/>
              </w:rPr>
            </w:pPr>
            <w:r>
              <w:rPr>
                <w:b/>
                <w:spacing w:val="-10"/>
                <w:w w:val="105"/>
                <w:sz w:val="13"/>
              </w:rPr>
              <w:t>-</w:t>
            </w:r>
          </w:p>
        </w:tc>
        <w:tc>
          <w:tcPr>
            <w:tcW w:w="897" w:type="dxa"/>
            <w:tcBorders>
              <w:top w:val="single" w:sz="6" w:space="0" w:color="000000"/>
              <w:bottom w:val="single" w:sz="6" w:space="0" w:color="000000"/>
            </w:tcBorders>
          </w:tcPr>
          <w:p>
            <w:pPr>
              <w:pStyle w:val="TableParagraph"/>
              <w:spacing w:line="133" w:lineRule="exact"/>
              <w:ind w:right="122"/>
              <w:jc w:val="right"/>
              <w:rPr>
                <w:b/>
                <w:sz w:val="13"/>
              </w:rPr>
            </w:pPr>
            <w:r>
              <w:rPr>
                <w:b/>
                <w:spacing w:val="-2"/>
                <w:w w:val="105"/>
                <w:sz w:val="13"/>
              </w:rPr>
              <w:t>7,450</w:t>
            </w:r>
          </w:p>
        </w:tc>
        <w:tc>
          <w:tcPr>
            <w:tcW w:w="999" w:type="dxa"/>
            <w:tcBorders>
              <w:top w:val="single" w:sz="6" w:space="0" w:color="000000"/>
              <w:bottom w:val="single" w:sz="6" w:space="0" w:color="000000"/>
            </w:tcBorders>
          </w:tcPr>
          <w:p>
            <w:pPr>
              <w:pStyle w:val="TableParagraph"/>
              <w:spacing w:line="133" w:lineRule="exact"/>
              <w:ind w:right="205"/>
              <w:jc w:val="right"/>
              <w:rPr>
                <w:b/>
                <w:sz w:val="13"/>
              </w:rPr>
            </w:pPr>
            <w:r>
              <w:rPr>
                <w:b/>
                <w:spacing w:val="-2"/>
                <w:w w:val="105"/>
                <w:sz w:val="13"/>
              </w:rPr>
              <w:t>27,158</w:t>
            </w:r>
          </w:p>
        </w:tc>
        <w:tc>
          <w:tcPr>
            <w:tcW w:w="784" w:type="dxa"/>
            <w:tcBorders>
              <w:top w:val="single" w:sz="6" w:space="0" w:color="000000"/>
              <w:bottom w:val="single" w:sz="6" w:space="0" w:color="000000"/>
            </w:tcBorders>
          </w:tcPr>
          <w:p>
            <w:pPr>
              <w:pStyle w:val="TableParagraph"/>
              <w:spacing w:line="133" w:lineRule="exact"/>
              <w:ind w:right="73"/>
              <w:jc w:val="right"/>
              <w:rPr>
                <w:b/>
                <w:sz w:val="13"/>
              </w:rPr>
            </w:pPr>
            <w:r>
              <w:rPr>
                <w:b/>
                <w:spacing w:val="-2"/>
                <w:w w:val="105"/>
                <w:sz w:val="13"/>
              </w:rPr>
              <w:t>34,608</w:t>
            </w:r>
          </w:p>
        </w:tc>
      </w:tr>
      <w:tr>
        <w:trPr>
          <w:trHeight w:val="494" w:hRule="atLeast"/>
        </w:trPr>
        <w:tc>
          <w:tcPr>
            <w:tcW w:w="450" w:type="dxa"/>
          </w:tcPr>
          <w:p>
            <w:pPr>
              <w:pStyle w:val="TableParagraph"/>
              <w:rPr>
                <w:rFonts w:ascii="Times New Roman"/>
                <w:sz w:val="12"/>
              </w:rPr>
            </w:pPr>
          </w:p>
        </w:tc>
        <w:tc>
          <w:tcPr>
            <w:tcW w:w="4846" w:type="dxa"/>
          </w:tcPr>
          <w:p>
            <w:pPr>
              <w:pStyle w:val="TableParagraph"/>
              <w:spacing w:before="16"/>
              <w:rPr>
                <w:sz w:val="13"/>
              </w:rPr>
            </w:pPr>
          </w:p>
          <w:p>
            <w:pPr>
              <w:pStyle w:val="TableParagraph"/>
              <w:ind w:left="187"/>
              <w:rPr>
                <w:b/>
                <w:sz w:val="13"/>
              </w:rPr>
            </w:pPr>
            <w:r>
              <w:rPr>
                <w:b/>
                <w:w w:val="105"/>
                <w:sz w:val="13"/>
              </w:rPr>
              <w:t>Year</w:t>
            </w:r>
            <w:r>
              <w:rPr>
                <w:b/>
                <w:spacing w:val="-6"/>
                <w:w w:val="105"/>
                <w:sz w:val="13"/>
              </w:rPr>
              <w:t> </w:t>
            </w:r>
            <w:r>
              <w:rPr>
                <w:b/>
                <w:w w:val="105"/>
                <w:sz w:val="13"/>
              </w:rPr>
              <w:t>ended</w:t>
            </w:r>
            <w:r>
              <w:rPr>
                <w:b/>
                <w:spacing w:val="-6"/>
                <w:w w:val="105"/>
                <w:sz w:val="13"/>
              </w:rPr>
              <w:t> </w:t>
            </w:r>
            <w:r>
              <w:rPr>
                <w:b/>
                <w:w w:val="105"/>
                <w:sz w:val="13"/>
              </w:rPr>
              <w:t>31</w:t>
            </w:r>
            <w:r>
              <w:rPr>
                <w:b/>
                <w:spacing w:val="-7"/>
                <w:w w:val="105"/>
                <w:sz w:val="13"/>
              </w:rPr>
              <w:t> </w:t>
            </w:r>
            <w:r>
              <w:rPr>
                <w:b/>
                <w:w w:val="105"/>
                <w:sz w:val="13"/>
              </w:rPr>
              <w:t>December</w:t>
            </w:r>
            <w:r>
              <w:rPr>
                <w:b/>
                <w:spacing w:val="-6"/>
                <w:w w:val="105"/>
                <w:sz w:val="13"/>
              </w:rPr>
              <w:t> </w:t>
            </w:r>
            <w:r>
              <w:rPr>
                <w:b/>
                <w:spacing w:val="-4"/>
                <w:w w:val="105"/>
                <w:sz w:val="13"/>
              </w:rPr>
              <w:t>2019</w:t>
            </w:r>
          </w:p>
          <w:p>
            <w:pPr>
              <w:pStyle w:val="TableParagraph"/>
              <w:spacing w:line="141" w:lineRule="exact" w:before="19"/>
              <w:ind w:left="187"/>
              <w:rPr>
                <w:sz w:val="13"/>
              </w:rPr>
            </w:pPr>
            <w:r>
              <w:rPr>
                <w:w w:val="105"/>
                <w:sz w:val="13"/>
              </w:rPr>
              <w:t>Opening</w:t>
            </w:r>
            <w:r>
              <w:rPr>
                <w:spacing w:val="-8"/>
                <w:w w:val="105"/>
                <w:sz w:val="13"/>
              </w:rPr>
              <w:t> </w:t>
            </w:r>
            <w:r>
              <w:rPr>
                <w:w w:val="105"/>
                <w:sz w:val="13"/>
              </w:rPr>
              <w:t>net</w:t>
            </w:r>
            <w:r>
              <w:rPr>
                <w:spacing w:val="-8"/>
                <w:w w:val="105"/>
                <w:sz w:val="13"/>
              </w:rPr>
              <w:t> </w:t>
            </w:r>
            <w:r>
              <w:rPr>
                <w:w w:val="105"/>
                <w:sz w:val="13"/>
              </w:rPr>
              <w:t>book</w:t>
            </w:r>
            <w:r>
              <w:rPr>
                <w:spacing w:val="-6"/>
                <w:w w:val="105"/>
                <w:sz w:val="13"/>
              </w:rPr>
              <w:t> </w:t>
            </w:r>
            <w:r>
              <w:rPr>
                <w:spacing w:val="-2"/>
                <w:w w:val="105"/>
                <w:sz w:val="13"/>
              </w:rPr>
              <w:t>value</w:t>
            </w:r>
          </w:p>
        </w:tc>
        <w:tc>
          <w:tcPr>
            <w:tcW w:w="986" w:type="dxa"/>
            <w:tcBorders>
              <w:top w:val="single" w:sz="6" w:space="0" w:color="000000"/>
            </w:tcBorders>
          </w:tcPr>
          <w:p>
            <w:pPr>
              <w:pStyle w:val="TableParagraph"/>
              <w:rPr>
                <w:sz w:val="13"/>
              </w:rPr>
            </w:pPr>
          </w:p>
          <w:p>
            <w:pPr>
              <w:pStyle w:val="TableParagraph"/>
              <w:spacing w:before="39"/>
              <w:rPr>
                <w:sz w:val="13"/>
              </w:rPr>
            </w:pPr>
          </w:p>
          <w:p>
            <w:pPr>
              <w:pStyle w:val="TableParagraph"/>
              <w:spacing w:line="136" w:lineRule="exact"/>
              <w:ind w:right="132"/>
              <w:jc w:val="right"/>
              <w:rPr>
                <w:sz w:val="13"/>
              </w:rPr>
            </w:pPr>
            <w:r>
              <w:rPr>
                <w:spacing w:val="-10"/>
                <w:w w:val="105"/>
                <w:sz w:val="13"/>
              </w:rPr>
              <w:t>-</w:t>
            </w:r>
          </w:p>
        </w:tc>
        <w:tc>
          <w:tcPr>
            <w:tcW w:w="897" w:type="dxa"/>
            <w:tcBorders>
              <w:top w:val="single" w:sz="6" w:space="0" w:color="000000"/>
            </w:tcBorders>
          </w:tcPr>
          <w:p>
            <w:pPr>
              <w:pStyle w:val="TableParagraph"/>
              <w:rPr>
                <w:sz w:val="13"/>
              </w:rPr>
            </w:pPr>
          </w:p>
          <w:p>
            <w:pPr>
              <w:pStyle w:val="TableParagraph"/>
              <w:spacing w:before="39"/>
              <w:rPr>
                <w:sz w:val="13"/>
              </w:rPr>
            </w:pPr>
          </w:p>
          <w:p>
            <w:pPr>
              <w:pStyle w:val="TableParagraph"/>
              <w:spacing w:line="136" w:lineRule="exact"/>
              <w:ind w:right="122"/>
              <w:jc w:val="right"/>
              <w:rPr>
                <w:sz w:val="13"/>
              </w:rPr>
            </w:pPr>
            <w:r>
              <w:rPr>
                <w:spacing w:val="-2"/>
                <w:w w:val="105"/>
                <w:sz w:val="13"/>
              </w:rPr>
              <w:t>7,450</w:t>
            </w:r>
          </w:p>
        </w:tc>
        <w:tc>
          <w:tcPr>
            <w:tcW w:w="999" w:type="dxa"/>
            <w:tcBorders>
              <w:top w:val="single" w:sz="6" w:space="0" w:color="000000"/>
            </w:tcBorders>
          </w:tcPr>
          <w:p>
            <w:pPr>
              <w:pStyle w:val="TableParagraph"/>
              <w:rPr>
                <w:sz w:val="13"/>
              </w:rPr>
            </w:pPr>
          </w:p>
          <w:p>
            <w:pPr>
              <w:pStyle w:val="TableParagraph"/>
              <w:spacing w:before="35"/>
              <w:rPr>
                <w:sz w:val="13"/>
              </w:rPr>
            </w:pPr>
          </w:p>
          <w:p>
            <w:pPr>
              <w:pStyle w:val="TableParagraph"/>
              <w:spacing w:line="141" w:lineRule="exact"/>
              <w:ind w:right="205"/>
              <w:jc w:val="right"/>
              <w:rPr>
                <w:sz w:val="13"/>
              </w:rPr>
            </w:pPr>
            <w:r>
              <w:rPr>
                <w:spacing w:val="-2"/>
                <w:w w:val="105"/>
                <w:sz w:val="13"/>
              </w:rPr>
              <w:t>27,158</w:t>
            </w:r>
          </w:p>
        </w:tc>
        <w:tc>
          <w:tcPr>
            <w:tcW w:w="784" w:type="dxa"/>
            <w:tcBorders>
              <w:top w:val="single" w:sz="6" w:space="0" w:color="000000"/>
            </w:tcBorders>
          </w:tcPr>
          <w:p>
            <w:pPr>
              <w:pStyle w:val="TableParagraph"/>
              <w:rPr>
                <w:sz w:val="13"/>
              </w:rPr>
            </w:pPr>
          </w:p>
          <w:p>
            <w:pPr>
              <w:pStyle w:val="TableParagraph"/>
              <w:spacing w:before="35"/>
              <w:rPr>
                <w:sz w:val="13"/>
              </w:rPr>
            </w:pPr>
          </w:p>
          <w:p>
            <w:pPr>
              <w:pStyle w:val="TableParagraph"/>
              <w:spacing w:line="141" w:lineRule="exact"/>
              <w:ind w:right="73"/>
              <w:jc w:val="right"/>
              <w:rPr>
                <w:sz w:val="13"/>
              </w:rPr>
            </w:pPr>
            <w:r>
              <w:rPr>
                <w:spacing w:val="-2"/>
                <w:w w:val="105"/>
                <w:sz w:val="13"/>
              </w:rPr>
              <w:t>34,608</w:t>
            </w:r>
          </w:p>
        </w:tc>
      </w:tr>
      <w:tr>
        <w:trPr>
          <w:trHeight w:val="503" w:hRule="atLeast"/>
        </w:trPr>
        <w:tc>
          <w:tcPr>
            <w:tcW w:w="450" w:type="dxa"/>
          </w:tcPr>
          <w:p>
            <w:pPr>
              <w:pStyle w:val="TableParagraph"/>
              <w:rPr>
                <w:rFonts w:ascii="Times New Roman"/>
                <w:sz w:val="12"/>
              </w:rPr>
            </w:pPr>
          </w:p>
        </w:tc>
        <w:tc>
          <w:tcPr>
            <w:tcW w:w="4846" w:type="dxa"/>
          </w:tcPr>
          <w:p>
            <w:pPr>
              <w:pStyle w:val="TableParagraph"/>
              <w:spacing w:line="268" w:lineRule="auto" w:before="7"/>
              <w:ind w:left="187" w:right="3561"/>
              <w:rPr>
                <w:sz w:val="13"/>
              </w:rPr>
            </w:pPr>
            <w:r>
              <w:rPr>
                <w:spacing w:val="-2"/>
                <w:w w:val="105"/>
                <w:sz w:val="13"/>
              </w:rPr>
              <w:t>Additions</w:t>
            </w:r>
            <w:r>
              <w:rPr>
                <w:spacing w:val="40"/>
                <w:w w:val="105"/>
                <w:sz w:val="13"/>
              </w:rPr>
              <w:t> </w:t>
            </w:r>
            <w:r>
              <w:rPr>
                <w:spacing w:val="-2"/>
                <w:w w:val="105"/>
                <w:sz w:val="13"/>
              </w:rPr>
              <w:t>Disposals</w:t>
            </w:r>
          </w:p>
          <w:p>
            <w:pPr>
              <w:pStyle w:val="TableParagraph"/>
              <w:spacing w:line="141" w:lineRule="exact"/>
              <w:ind w:left="187"/>
              <w:rPr>
                <w:sz w:val="13"/>
              </w:rPr>
            </w:pPr>
            <w:r>
              <w:rPr>
                <w:spacing w:val="-2"/>
                <w:w w:val="105"/>
                <w:sz w:val="13"/>
              </w:rPr>
              <w:t>Amortisation</w:t>
            </w:r>
          </w:p>
        </w:tc>
        <w:tc>
          <w:tcPr>
            <w:tcW w:w="986" w:type="dxa"/>
          </w:tcPr>
          <w:p>
            <w:pPr>
              <w:pStyle w:val="TableParagraph"/>
              <w:spacing w:before="11"/>
              <w:ind w:right="132"/>
              <w:jc w:val="right"/>
              <w:rPr>
                <w:sz w:val="13"/>
              </w:rPr>
            </w:pPr>
            <w:r>
              <w:rPr>
                <w:spacing w:val="-10"/>
                <w:w w:val="105"/>
                <w:sz w:val="13"/>
              </w:rPr>
              <w:t>-</w:t>
            </w:r>
          </w:p>
          <w:p>
            <w:pPr>
              <w:pStyle w:val="TableParagraph"/>
              <w:spacing w:line="160" w:lineRule="atLeast" w:before="2"/>
              <w:ind w:left="571" w:right="96" w:firstLine="233"/>
              <w:jc w:val="right"/>
              <w:rPr>
                <w:sz w:val="13"/>
              </w:rPr>
            </w:pPr>
            <w:r>
              <w:rPr>
                <w:spacing w:val="-10"/>
                <w:w w:val="105"/>
                <w:sz w:val="13"/>
              </w:rPr>
              <w:t>-</w:t>
            </w:r>
            <w:r>
              <w:rPr>
                <w:spacing w:val="40"/>
                <w:w w:val="105"/>
                <w:sz w:val="13"/>
              </w:rPr>
              <w:t> </w:t>
            </w:r>
            <w:r>
              <w:rPr>
                <w:spacing w:val="-2"/>
                <w:w w:val="105"/>
                <w:sz w:val="13"/>
              </w:rPr>
              <w:t>(552)</w:t>
            </w:r>
          </w:p>
        </w:tc>
        <w:tc>
          <w:tcPr>
            <w:tcW w:w="897" w:type="dxa"/>
          </w:tcPr>
          <w:p>
            <w:pPr>
              <w:pStyle w:val="TableParagraph"/>
              <w:spacing w:before="7"/>
              <w:ind w:right="122"/>
              <w:jc w:val="right"/>
              <w:rPr>
                <w:sz w:val="13"/>
              </w:rPr>
            </w:pPr>
            <w:r>
              <w:rPr>
                <w:spacing w:val="-2"/>
                <w:w w:val="105"/>
                <w:sz w:val="13"/>
              </w:rPr>
              <w:t>6,529</w:t>
            </w:r>
          </w:p>
          <w:p>
            <w:pPr>
              <w:pStyle w:val="TableParagraph"/>
              <w:spacing w:before="18"/>
              <w:ind w:right="113"/>
              <w:jc w:val="right"/>
              <w:rPr>
                <w:sz w:val="13"/>
              </w:rPr>
            </w:pPr>
            <w:r>
              <w:rPr>
                <w:spacing w:val="-10"/>
                <w:w w:val="105"/>
                <w:sz w:val="13"/>
              </w:rPr>
              <w:t>-</w:t>
            </w:r>
          </w:p>
          <w:p>
            <w:pPr>
              <w:pStyle w:val="TableParagraph"/>
              <w:spacing w:line="136" w:lineRule="exact" w:before="23"/>
              <w:ind w:right="113"/>
              <w:jc w:val="right"/>
              <w:rPr>
                <w:sz w:val="13"/>
              </w:rPr>
            </w:pPr>
            <w:r>
              <w:rPr>
                <w:spacing w:val="-10"/>
                <w:w w:val="105"/>
                <w:sz w:val="13"/>
              </w:rPr>
              <w:t>-</w:t>
            </w:r>
          </w:p>
        </w:tc>
        <w:tc>
          <w:tcPr>
            <w:tcW w:w="999" w:type="dxa"/>
          </w:tcPr>
          <w:p>
            <w:pPr>
              <w:pStyle w:val="TableParagraph"/>
              <w:spacing w:before="7"/>
              <w:ind w:right="205"/>
              <w:jc w:val="right"/>
              <w:rPr>
                <w:sz w:val="13"/>
              </w:rPr>
            </w:pPr>
            <w:r>
              <w:rPr>
                <w:spacing w:val="-2"/>
                <w:w w:val="105"/>
                <w:sz w:val="13"/>
              </w:rPr>
              <w:t>7,014</w:t>
            </w:r>
          </w:p>
          <w:p>
            <w:pPr>
              <w:pStyle w:val="TableParagraph"/>
              <w:spacing w:line="160" w:lineRule="atLeast" w:before="6"/>
              <w:ind w:left="407" w:right="160" w:firstLine="346"/>
              <w:jc w:val="right"/>
              <w:rPr>
                <w:sz w:val="13"/>
              </w:rPr>
            </w:pPr>
            <w:r>
              <w:rPr>
                <w:spacing w:val="-10"/>
                <w:w w:val="105"/>
                <w:sz w:val="13"/>
              </w:rPr>
              <w:t>-</w:t>
            </w:r>
            <w:r>
              <w:rPr>
                <w:spacing w:val="40"/>
                <w:w w:val="105"/>
                <w:sz w:val="13"/>
              </w:rPr>
              <w:t> </w:t>
            </w:r>
            <w:r>
              <w:rPr>
                <w:spacing w:val="-2"/>
                <w:w w:val="105"/>
                <w:sz w:val="13"/>
              </w:rPr>
              <w:t>(4,865)</w:t>
            </w:r>
          </w:p>
        </w:tc>
        <w:tc>
          <w:tcPr>
            <w:tcW w:w="784" w:type="dxa"/>
          </w:tcPr>
          <w:p>
            <w:pPr>
              <w:pStyle w:val="TableParagraph"/>
              <w:spacing w:before="7"/>
              <w:ind w:right="73"/>
              <w:jc w:val="right"/>
              <w:rPr>
                <w:sz w:val="13"/>
              </w:rPr>
            </w:pPr>
            <w:r>
              <w:rPr>
                <w:spacing w:val="-2"/>
                <w:w w:val="105"/>
                <w:sz w:val="13"/>
              </w:rPr>
              <w:t>13,543</w:t>
            </w:r>
          </w:p>
          <w:p>
            <w:pPr>
              <w:pStyle w:val="TableParagraph"/>
              <w:spacing w:line="160" w:lineRule="atLeast" w:before="6"/>
              <w:ind w:left="324" w:right="28" w:firstLine="346"/>
              <w:jc w:val="right"/>
              <w:rPr>
                <w:sz w:val="13"/>
              </w:rPr>
            </w:pPr>
            <w:r>
              <w:rPr>
                <w:spacing w:val="-10"/>
                <w:w w:val="105"/>
                <w:sz w:val="13"/>
              </w:rPr>
              <w:t>-</w:t>
            </w:r>
            <w:r>
              <w:rPr>
                <w:spacing w:val="40"/>
                <w:w w:val="105"/>
                <w:sz w:val="13"/>
              </w:rPr>
              <w:t> </w:t>
            </w:r>
            <w:r>
              <w:rPr>
                <w:spacing w:val="-2"/>
                <w:w w:val="105"/>
                <w:sz w:val="13"/>
              </w:rPr>
              <w:t>(5,417)</w:t>
            </w:r>
          </w:p>
        </w:tc>
      </w:tr>
      <w:tr>
        <w:trPr>
          <w:trHeight w:val="161" w:hRule="atLeast"/>
        </w:trPr>
        <w:tc>
          <w:tcPr>
            <w:tcW w:w="450" w:type="dxa"/>
          </w:tcPr>
          <w:p>
            <w:pPr>
              <w:pStyle w:val="TableParagraph"/>
              <w:rPr>
                <w:rFonts w:ascii="Times New Roman"/>
                <w:sz w:val="10"/>
              </w:rPr>
            </w:pPr>
          </w:p>
        </w:tc>
        <w:tc>
          <w:tcPr>
            <w:tcW w:w="4846" w:type="dxa"/>
          </w:tcPr>
          <w:p>
            <w:pPr>
              <w:pStyle w:val="TableParagraph"/>
              <w:spacing w:line="134" w:lineRule="exact" w:before="7"/>
              <w:ind w:left="187"/>
              <w:rPr>
                <w:sz w:val="13"/>
              </w:rPr>
            </w:pPr>
            <w:r>
              <w:rPr>
                <w:spacing w:val="-2"/>
                <w:w w:val="105"/>
                <w:sz w:val="13"/>
              </w:rPr>
              <w:t>Transfer</w:t>
            </w:r>
          </w:p>
        </w:tc>
        <w:tc>
          <w:tcPr>
            <w:tcW w:w="986" w:type="dxa"/>
            <w:tcBorders>
              <w:bottom w:val="single" w:sz="6" w:space="0" w:color="000000"/>
            </w:tcBorders>
          </w:tcPr>
          <w:p>
            <w:pPr>
              <w:pStyle w:val="TableParagraph"/>
              <w:spacing w:line="130" w:lineRule="exact" w:before="11"/>
              <w:ind w:right="140"/>
              <w:jc w:val="right"/>
              <w:rPr>
                <w:sz w:val="13"/>
              </w:rPr>
            </w:pPr>
            <w:r>
              <w:rPr>
                <w:spacing w:val="-2"/>
                <w:w w:val="105"/>
                <w:sz w:val="13"/>
              </w:rPr>
              <w:t>6,520</w:t>
            </w:r>
          </w:p>
        </w:tc>
        <w:tc>
          <w:tcPr>
            <w:tcW w:w="897" w:type="dxa"/>
            <w:tcBorders>
              <w:bottom w:val="single" w:sz="6" w:space="0" w:color="000000"/>
            </w:tcBorders>
          </w:tcPr>
          <w:p>
            <w:pPr>
              <w:pStyle w:val="TableParagraph"/>
              <w:spacing w:line="130" w:lineRule="exact" w:before="11"/>
              <w:ind w:right="77"/>
              <w:jc w:val="right"/>
              <w:rPr>
                <w:sz w:val="13"/>
              </w:rPr>
            </w:pPr>
            <w:r>
              <w:rPr>
                <w:spacing w:val="-2"/>
                <w:w w:val="105"/>
                <w:sz w:val="13"/>
              </w:rPr>
              <w:t>(6,520)</w:t>
            </w:r>
          </w:p>
        </w:tc>
        <w:tc>
          <w:tcPr>
            <w:tcW w:w="999" w:type="dxa"/>
            <w:tcBorders>
              <w:bottom w:val="single" w:sz="6" w:space="0" w:color="000000"/>
            </w:tcBorders>
          </w:tcPr>
          <w:p>
            <w:pPr>
              <w:pStyle w:val="TableParagraph"/>
              <w:spacing w:line="130" w:lineRule="exact" w:before="11"/>
              <w:ind w:right="196"/>
              <w:jc w:val="right"/>
              <w:rPr>
                <w:sz w:val="13"/>
              </w:rPr>
            </w:pPr>
            <w:r>
              <w:rPr>
                <w:spacing w:val="-10"/>
                <w:w w:val="105"/>
                <w:sz w:val="13"/>
              </w:rPr>
              <w:t>-</w:t>
            </w:r>
          </w:p>
        </w:tc>
        <w:tc>
          <w:tcPr>
            <w:tcW w:w="784" w:type="dxa"/>
            <w:tcBorders>
              <w:bottom w:val="single" w:sz="6" w:space="0" w:color="000000"/>
            </w:tcBorders>
          </w:tcPr>
          <w:p>
            <w:pPr>
              <w:pStyle w:val="TableParagraph"/>
              <w:spacing w:line="130" w:lineRule="exact" w:before="11"/>
              <w:ind w:right="64"/>
              <w:jc w:val="right"/>
              <w:rPr>
                <w:sz w:val="13"/>
              </w:rPr>
            </w:pPr>
            <w:r>
              <w:rPr>
                <w:spacing w:val="-10"/>
                <w:w w:val="105"/>
                <w:sz w:val="13"/>
              </w:rPr>
              <w:t>-</w:t>
            </w:r>
          </w:p>
        </w:tc>
      </w:tr>
      <w:tr>
        <w:trPr>
          <w:trHeight w:val="152" w:hRule="atLeast"/>
        </w:trPr>
        <w:tc>
          <w:tcPr>
            <w:tcW w:w="450" w:type="dxa"/>
          </w:tcPr>
          <w:p>
            <w:pPr>
              <w:pStyle w:val="TableParagraph"/>
              <w:rPr>
                <w:rFonts w:ascii="Times New Roman"/>
                <w:sz w:val="8"/>
              </w:rPr>
            </w:pPr>
          </w:p>
        </w:tc>
        <w:tc>
          <w:tcPr>
            <w:tcW w:w="4846" w:type="dxa"/>
          </w:tcPr>
          <w:p>
            <w:pPr>
              <w:pStyle w:val="TableParagraph"/>
              <w:spacing w:line="133" w:lineRule="exact"/>
              <w:ind w:left="187"/>
              <w:rPr>
                <w:sz w:val="13"/>
              </w:rPr>
            </w:pPr>
            <w:r>
              <w:rPr>
                <w:w w:val="105"/>
                <w:sz w:val="13"/>
              </w:rPr>
              <w:t>Closing</w:t>
            </w:r>
            <w:r>
              <w:rPr>
                <w:spacing w:val="-7"/>
                <w:w w:val="105"/>
                <w:sz w:val="13"/>
              </w:rPr>
              <w:t> </w:t>
            </w:r>
            <w:r>
              <w:rPr>
                <w:w w:val="105"/>
                <w:sz w:val="13"/>
              </w:rPr>
              <w:t>net</w:t>
            </w:r>
            <w:r>
              <w:rPr>
                <w:spacing w:val="-6"/>
                <w:w w:val="105"/>
                <w:sz w:val="13"/>
              </w:rPr>
              <w:t> </w:t>
            </w:r>
            <w:r>
              <w:rPr>
                <w:w w:val="105"/>
                <w:sz w:val="13"/>
              </w:rPr>
              <w:t>book</w:t>
            </w:r>
            <w:r>
              <w:rPr>
                <w:spacing w:val="-4"/>
                <w:w w:val="105"/>
                <w:sz w:val="13"/>
              </w:rPr>
              <w:t> </w:t>
            </w:r>
            <w:r>
              <w:rPr>
                <w:spacing w:val="-2"/>
                <w:w w:val="105"/>
                <w:sz w:val="13"/>
              </w:rPr>
              <w:t>value</w:t>
            </w:r>
          </w:p>
        </w:tc>
        <w:tc>
          <w:tcPr>
            <w:tcW w:w="986" w:type="dxa"/>
            <w:tcBorders>
              <w:top w:val="single" w:sz="6" w:space="0" w:color="000000"/>
              <w:bottom w:val="single" w:sz="6" w:space="0" w:color="000000"/>
            </w:tcBorders>
          </w:tcPr>
          <w:p>
            <w:pPr>
              <w:pStyle w:val="TableParagraph"/>
              <w:spacing w:line="133" w:lineRule="exact"/>
              <w:ind w:right="140"/>
              <w:jc w:val="right"/>
              <w:rPr>
                <w:b/>
                <w:sz w:val="13"/>
              </w:rPr>
            </w:pPr>
            <w:r>
              <w:rPr>
                <w:b/>
                <w:spacing w:val="-2"/>
                <w:w w:val="105"/>
                <w:sz w:val="13"/>
              </w:rPr>
              <w:t>5,968</w:t>
            </w:r>
          </w:p>
        </w:tc>
        <w:tc>
          <w:tcPr>
            <w:tcW w:w="897" w:type="dxa"/>
            <w:tcBorders>
              <w:top w:val="single" w:sz="6" w:space="0" w:color="000000"/>
              <w:bottom w:val="single" w:sz="6" w:space="0" w:color="000000"/>
            </w:tcBorders>
          </w:tcPr>
          <w:p>
            <w:pPr>
              <w:pStyle w:val="TableParagraph"/>
              <w:spacing w:line="133" w:lineRule="exact"/>
              <w:ind w:right="121"/>
              <w:jc w:val="right"/>
              <w:rPr>
                <w:b/>
                <w:sz w:val="13"/>
              </w:rPr>
            </w:pPr>
            <w:r>
              <w:rPr>
                <w:b/>
                <w:spacing w:val="-2"/>
                <w:w w:val="105"/>
                <w:sz w:val="13"/>
              </w:rPr>
              <w:t>7,459</w:t>
            </w:r>
          </w:p>
        </w:tc>
        <w:tc>
          <w:tcPr>
            <w:tcW w:w="999" w:type="dxa"/>
            <w:tcBorders>
              <w:top w:val="single" w:sz="6" w:space="0" w:color="000000"/>
              <w:bottom w:val="single" w:sz="6" w:space="0" w:color="000000"/>
            </w:tcBorders>
          </w:tcPr>
          <w:p>
            <w:pPr>
              <w:pStyle w:val="TableParagraph"/>
              <w:spacing w:line="133" w:lineRule="exact"/>
              <w:ind w:right="205"/>
              <w:jc w:val="right"/>
              <w:rPr>
                <w:b/>
                <w:sz w:val="13"/>
              </w:rPr>
            </w:pPr>
            <w:r>
              <w:rPr>
                <w:b/>
                <w:spacing w:val="-2"/>
                <w:w w:val="105"/>
                <w:sz w:val="13"/>
              </w:rPr>
              <w:t>29,307</w:t>
            </w:r>
          </w:p>
        </w:tc>
        <w:tc>
          <w:tcPr>
            <w:tcW w:w="784" w:type="dxa"/>
            <w:tcBorders>
              <w:top w:val="single" w:sz="6" w:space="0" w:color="000000"/>
              <w:bottom w:val="single" w:sz="6" w:space="0" w:color="000000"/>
            </w:tcBorders>
          </w:tcPr>
          <w:p>
            <w:pPr>
              <w:pStyle w:val="TableParagraph"/>
              <w:spacing w:line="133" w:lineRule="exact"/>
              <w:ind w:right="73"/>
              <w:jc w:val="right"/>
              <w:rPr>
                <w:b/>
                <w:sz w:val="13"/>
              </w:rPr>
            </w:pPr>
            <w:r>
              <w:rPr>
                <w:b/>
                <w:spacing w:val="-2"/>
                <w:w w:val="105"/>
                <w:sz w:val="13"/>
              </w:rPr>
              <w:t>42,734</w:t>
            </w:r>
          </w:p>
        </w:tc>
      </w:tr>
      <w:tr>
        <w:trPr>
          <w:trHeight w:val="492" w:hRule="atLeast"/>
        </w:trPr>
        <w:tc>
          <w:tcPr>
            <w:tcW w:w="450" w:type="dxa"/>
          </w:tcPr>
          <w:p>
            <w:pPr>
              <w:pStyle w:val="TableParagraph"/>
              <w:rPr>
                <w:rFonts w:ascii="Times New Roman"/>
                <w:sz w:val="12"/>
              </w:rPr>
            </w:pPr>
          </w:p>
        </w:tc>
        <w:tc>
          <w:tcPr>
            <w:tcW w:w="4846" w:type="dxa"/>
          </w:tcPr>
          <w:p>
            <w:pPr>
              <w:pStyle w:val="TableParagraph"/>
              <w:spacing w:before="16"/>
              <w:rPr>
                <w:sz w:val="13"/>
              </w:rPr>
            </w:pPr>
          </w:p>
          <w:p>
            <w:pPr>
              <w:pStyle w:val="TableParagraph"/>
              <w:spacing w:before="1"/>
              <w:ind w:left="187"/>
              <w:rPr>
                <w:b/>
                <w:sz w:val="13"/>
              </w:rPr>
            </w:pPr>
            <w:r>
              <w:rPr>
                <w:b/>
                <w:w w:val="105"/>
                <w:sz w:val="13"/>
              </w:rPr>
              <w:t>At</w:t>
            </w:r>
            <w:r>
              <w:rPr>
                <w:b/>
                <w:spacing w:val="-5"/>
                <w:w w:val="105"/>
                <w:sz w:val="13"/>
              </w:rPr>
              <w:t> </w:t>
            </w:r>
            <w:r>
              <w:rPr>
                <w:b/>
                <w:w w:val="105"/>
                <w:sz w:val="13"/>
              </w:rPr>
              <w:t>31</w:t>
            </w:r>
            <w:r>
              <w:rPr>
                <w:b/>
                <w:spacing w:val="-7"/>
                <w:w w:val="105"/>
                <w:sz w:val="13"/>
              </w:rPr>
              <w:t> </w:t>
            </w:r>
            <w:r>
              <w:rPr>
                <w:b/>
                <w:w w:val="105"/>
                <w:sz w:val="13"/>
              </w:rPr>
              <w:t>December</w:t>
            </w:r>
            <w:r>
              <w:rPr>
                <w:b/>
                <w:spacing w:val="-6"/>
                <w:w w:val="105"/>
                <w:sz w:val="13"/>
              </w:rPr>
              <w:t> </w:t>
            </w:r>
            <w:r>
              <w:rPr>
                <w:b/>
                <w:spacing w:val="-4"/>
                <w:w w:val="105"/>
                <w:sz w:val="13"/>
              </w:rPr>
              <w:t>2019</w:t>
            </w:r>
          </w:p>
          <w:p>
            <w:pPr>
              <w:pStyle w:val="TableParagraph"/>
              <w:spacing w:line="138" w:lineRule="exact" w:before="18"/>
              <w:ind w:left="187"/>
              <w:rPr>
                <w:sz w:val="13"/>
              </w:rPr>
            </w:pPr>
            <w:r>
              <w:rPr>
                <w:spacing w:val="-4"/>
                <w:w w:val="105"/>
                <w:sz w:val="13"/>
              </w:rPr>
              <w:t>Cost</w:t>
            </w:r>
          </w:p>
        </w:tc>
        <w:tc>
          <w:tcPr>
            <w:tcW w:w="986" w:type="dxa"/>
            <w:tcBorders>
              <w:top w:val="single" w:sz="6" w:space="0" w:color="000000"/>
            </w:tcBorders>
          </w:tcPr>
          <w:p>
            <w:pPr>
              <w:pStyle w:val="TableParagraph"/>
              <w:rPr>
                <w:sz w:val="13"/>
              </w:rPr>
            </w:pPr>
          </w:p>
          <w:p>
            <w:pPr>
              <w:pStyle w:val="TableParagraph"/>
              <w:spacing w:before="35"/>
              <w:rPr>
                <w:sz w:val="13"/>
              </w:rPr>
            </w:pPr>
          </w:p>
          <w:p>
            <w:pPr>
              <w:pStyle w:val="TableParagraph"/>
              <w:spacing w:line="138" w:lineRule="exact"/>
              <w:ind w:right="140"/>
              <w:jc w:val="right"/>
              <w:rPr>
                <w:sz w:val="13"/>
              </w:rPr>
            </w:pPr>
            <w:r>
              <w:rPr>
                <w:spacing w:val="-2"/>
                <w:w w:val="105"/>
                <w:sz w:val="13"/>
              </w:rPr>
              <w:t>17,649</w:t>
            </w:r>
          </w:p>
        </w:tc>
        <w:tc>
          <w:tcPr>
            <w:tcW w:w="897" w:type="dxa"/>
            <w:tcBorders>
              <w:top w:val="single" w:sz="6" w:space="0" w:color="000000"/>
            </w:tcBorders>
          </w:tcPr>
          <w:p>
            <w:pPr>
              <w:pStyle w:val="TableParagraph"/>
              <w:rPr>
                <w:sz w:val="13"/>
              </w:rPr>
            </w:pPr>
          </w:p>
          <w:p>
            <w:pPr>
              <w:pStyle w:val="TableParagraph"/>
              <w:spacing w:before="35"/>
              <w:rPr>
                <w:sz w:val="13"/>
              </w:rPr>
            </w:pPr>
          </w:p>
          <w:p>
            <w:pPr>
              <w:pStyle w:val="TableParagraph"/>
              <w:spacing w:line="138" w:lineRule="exact"/>
              <w:ind w:right="122"/>
              <w:jc w:val="right"/>
              <w:rPr>
                <w:sz w:val="13"/>
              </w:rPr>
            </w:pPr>
            <w:r>
              <w:rPr>
                <w:spacing w:val="-2"/>
                <w:w w:val="105"/>
                <w:sz w:val="13"/>
              </w:rPr>
              <w:t>7,459</w:t>
            </w:r>
          </w:p>
        </w:tc>
        <w:tc>
          <w:tcPr>
            <w:tcW w:w="999" w:type="dxa"/>
            <w:tcBorders>
              <w:top w:val="single" w:sz="6" w:space="0" w:color="000000"/>
            </w:tcBorders>
          </w:tcPr>
          <w:p>
            <w:pPr>
              <w:pStyle w:val="TableParagraph"/>
              <w:rPr>
                <w:sz w:val="13"/>
              </w:rPr>
            </w:pPr>
          </w:p>
          <w:p>
            <w:pPr>
              <w:pStyle w:val="TableParagraph"/>
              <w:spacing w:before="35"/>
              <w:rPr>
                <w:sz w:val="13"/>
              </w:rPr>
            </w:pPr>
          </w:p>
          <w:p>
            <w:pPr>
              <w:pStyle w:val="TableParagraph"/>
              <w:spacing w:line="138" w:lineRule="exact"/>
              <w:ind w:right="205"/>
              <w:jc w:val="right"/>
              <w:rPr>
                <w:sz w:val="13"/>
              </w:rPr>
            </w:pPr>
            <w:r>
              <w:rPr>
                <w:spacing w:val="-2"/>
                <w:w w:val="105"/>
                <w:sz w:val="13"/>
              </w:rPr>
              <w:t>54,067</w:t>
            </w:r>
          </w:p>
        </w:tc>
        <w:tc>
          <w:tcPr>
            <w:tcW w:w="784" w:type="dxa"/>
            <w:tcBorders>
              <w:top w:val="single" w:sz="6" w:space="0" w:color="000000"/>
            </w:tcBorders>
          </w:tcPr>
          <w:p>
            <w:pPr>
              <w:pStyle w:val="TableParagraph"/>
              <w:rPr>
                <w:sz w:val="13"/>
              </w:rPr>
            </w:pPr>
          </w:p>
          <w:p>
            <w:pPr>
              <w:pStyle w:val="TableParagraph"/>
              <w:spacing w:before="35"/>
              <w:rPr>
                <w:sz w:val="13"/>
              </w:rPr>
            </w:pPr>
          </w:p>
          <w:p>
            <w:pPr>
              <w:pStyle w:val="TableParagraph"/>
              <w:spacing w:line="138" w:lineRule="exact"/>
              <w:ind w:right="73"/>
              <w:jc w:val="right"/>
              <w:rPr>
                <w:sz w:val="13"/>
              </w:rPr>
            </w:pPr>
            <w:r>
              <w:rPr>
                <w:spacing w:val="-2"/>
                <w:w w:val="105"/>
                <w:sz w:val="13"/>
              </w:rPr>
              <w:t>79,175</w:t>
            </w:r>
          </w:p>
        </w:tc>
      </w:tr>
      <w:tr>
        <w:trPr>
          <w:trHeight w:val="163" w:hRule="atLeast"/>
        </w:trPr>
        <w:tc>
          <w:tcPr>
            <w:tcW w:w="450" w:type="dxa"/>
          </w:tcPr>
          <w:p>
            <w:pPr>
              <w:pStyle w:val="TableParagraph"/>
              <w:rPr>
                <w:rFonts w:ascii="Times New Roman"/>
                <w:sz w:val="10"/>
              </w:rPr>
            </w:pPr>
          </w:p>
        </w:tc>
        <w:tc>
          <w:tcPr>
            <w:tcW w:w="4846" w:type="dxa"/>
          </w:tcPr>
          <w:p>
            <w:pPr>
              <w:pStyle w:val="TableParagraph"/>
              <w:spacing w:line="134" w:lineRule="exact" w:before="9"/>
              <w:ind w:left="187"/>
              <w:rPr>
                <w:sz w:val="13"/>
              </w:rPr>
            </w:pPr>
            <w:r>
              <w:rPr>
                <w:spacing w:val="-2"/>
                <w:w w:val="105"/>
                <w:sz w:val="13"/>
              </w:rPr>
              <w:t>Accumulated</w:t>
            </w:r>
            <w:r>
              <w:rPr>
                <w:spacing w:val="7"/>
                <w:w w:val="105"/>
                <w:sz w:val="13"/>
              </w:rPr>
              <w:t> </w:t>
            </w:r>
            <w:r>
              <w:rPr>
                <w:spacing w:val="-2"/>
                <w:w w:val="105"/>
                <w:sz w:val="13"/>
              </w:rPr>
              <w:t>amortisation</w:t>
            </w:r>
            <w:r>
              <w:rPr>
                <w:spacing w:val="8"/>
                <w:w w:val="105"/>
                <w:sz w:val="13"/>
              </w:rPr>
              <w:t> </w:t>
            </w:r>
            <w:r>
              <w:rPr>
                <w:spacing w:val="-2"/>
                <w:w w:val="105"/>
                <w:sz w:val="13"/>
              </w:rPr>
              <w:t>and</w:t>
            </w:r>
            <w:r>
              <w:rPr>
                <w:spacing w:val="7"/>
                <w:w w:val="105"/>
                <w:sz w:val="13"/>
              </w:rPr>
              <w:t> </w:t>
            </w:r>
            <w:r>
              <w:rPr>
                <w:spacing w:val="-2"/>
                <w:w w:val="105"/>
                <w:sz w:val="13"/>
              </w:rPr>
              <w:t>impairment</w:t>
            </w:r>
          </w:p>
        </w:tc>
        <w:tc>
          <w:tcPr>
            <w:tcW w:w="986" w:type="dxa"/>
            <w:tcBorders>
              <w:bottom w:val="single" w:sz="6" w:space="0" w:color="000000"/>
            </w:tcBorders>
          </w:tcPr>
          <w:p>
            <w:pPr>
              <w:pStyle w:val="TableParagraph"/>
              <w:spacing w:line="134" w:lineRule="exact" w:before="9"/>
              <w:ind w:right="96"/>
              <w:jc w:val="right"/>
              <w:rPr>
                <w:sz w:val="13"/>
              </w:rPr>
            </w:pPr>
            <w:r>
              <w:rPr>
                <w:spacing w:val="-2"/>
                <w:w w:val="105"/>
                <w:sz w:val="13"/>
              </w:rPr>
              <w:t>(11,681)</w:t>
            </w:r>
          </w:p>
        </w:tc>
        <w:tc>
          <w:tcPr>
            <w:tcW w:w="897" w:type="dxa"/>
            <w:tcBorders>
              <w:bottom w:val="single" w:sz="6" w:space="0" w:color="000000"/>
            </w:tcBorders>
          </w:tcPr>
          <w:p>
            <w:pPr>
              <w:pStyle w:val="TableParagraph"/>
              <w:spacing w:line="130" w:lineRule="exact" w:before="13"/>
              <w:ind w:right="113"/>
              <w:jc w:val="right"/>
              <w:rPr>
                <w:sz w:val="13"/>
              </w:rPr>
            </w:pPr>
            <w:r>
              <w:rPr>
                <w:spacing w:val="-10"/>
                <w:w w:val="105"/>
                <w:sz w:val="13"/>
              </w:rPr>
              <w:t>-</w:t>
            </w:r>
          </w:p>
        </w:tc>
        <w:tc>
          <w:tcPr>
            <w:tcW w:w="999" w:type="dxa"/>
            <w:tcBorders>
              <w:bottom w:val="single" w:sz="6" w:space="0" w:color="000000"/>
            </w:tcBorders>
          </w:tcPr>
          <w:p>
            <w:pPr>
              <w:pStyle w:val="TableParagraph"/>
              <w:spacing w:line="134" w:lineRule="exact" w:before="9"/>
              <w:ind w:right="160"/>
              <w:jc w:val="right"/>
              <w:rPr>
                <w:sz w:val="13"/>
              </w:rPr>
            </w:pPr>
            <w:r>
              <w:rPr>
                <w:spacing w:val="-2"/>
                <w:w w:val="105"/>
                <w:sz w:val="13"/>
              </w:rPr>
              <w:t>(24,760)</w:t>
            </w:r>
          </w:p>
        </w:tc>
        <w:tc>
          <w:tcPr>
            <w:tcW w:w="784" w:type="dxa"/>
            <w:tcBorders>
              <w:bottom w:val="single" w:sz="6" w:space="0" w:color="000000"/>
            </w:tcBorders>
          </w:tcPr>
          <w:p>
            <w:pPr>
              <w:pStyle w:val="TableParagraph"/>
              <w:spacing w:line="134" w:lineRule="exact" w:before="9"/>
              <w:ind w:right="28"/>
              <w:jc w:val="right"/>
              <w:rPr>
                <w:sz w:val="13"/>
              </w:rPr>
            </w:pPr>
            <w:r>
              <w:rPr>
                <w:spacing w:val="-2"/>
                <w:w w:val="105"/>
                <w:sz w:val="13"/>
              </w:rPr>
              <w:t>(36,441)</w:t>
            </w:r>
          </w:p>
        </w:tc>
      </w:tr>
      <w:tr>
        <w:trPr>
          <w:trHeight w:val="152" w:hRule="atLeast"/>
        </w:trPr>
        <w:tc>
          <w:tcPr>
            <w:tcW w:w="450" w:type="dxa"/>
          </w:tcPr>
          <w:p>
            <w:pPr>
              <w:pStyle w:val="TableParagraph"/>
              <w:rPr>
                <w:rFonts w:ascii="Times New Roman"/>
                <w:sz w:val="8"/>
              </w:rPr>
            </w:pPr>
          </w:p>
        </w:tc>
        <w:tc>
          <w:tcPr>
            <w:tcW w:w="4846" w:type="dxa"/>
          </w:tcPr>
          <w:p>
            <w:pPr>
              <w:pStyle w:val="TableParagraph"/>
              <w:spacing w:line="133" w:lineRule="exact"/>
              <w:ind w:left="187"/>
              <w:rPr>
                <w:sz w:val="13"/>
              </w:rPr>
            </w:pPr>
            <w:r>
              <w:rPr>
                <w:w w:val="105"/>
                <w:sz w:val="13"/>
              </w:rPr>
              <w:t>Net</w:t>
            </w:r>
            <w:r>
              <w:rPr>
                <w:spacing w:val="-6"/>
                <w:w w:val="105"/>
                <w:sz w:val="13"/>
              </w:rPr>
              <w:t> </w:t>
            </w:r>
            <w:r>
              <w:rPr>
                <w:w w:val="105"/>
                <w:sz w:val="13"/>
              </w:rPr>
              <w:t>book</w:t>
            </w:r>
            <w:r>
              <w:rPr>
                <w:spacing w:val="-3"/>
                <w:w w:val="105"/>
                <w:sz w:val="13"/>
              </w:rPr>
              <w:t> </w:t>
            </w:r>
            <w:r>
              <w:rPr>
                <w:spacing w:val="-2"/>
                <w:w w:val="105"/>
                <w:sz w:val="13"/>
              </w:rPr>
              <w:t>value</w:t>
            </w:r>
          </w:p>
        </w:tc>
        <w:tc>
          <w:tcPr>
            <w:tcW w:w="986" w:type="dxa"/>
            <w:tcBorders>
              <w:top w:val="single" w:sz="6" w:space="0" w:color="000000"/>
              <w:bottom w:val="single" w:sz="6" w:space="0" w:color="000000"/>
            </w:tcBorders>
          </w:tcPr>
          <w:p>
            <w:pPr>
              <w:pStyle w:val="TableParagraph"/>
              <w:spacing w:line="133" w:lineRule="exact"/>
              <w:ind w:right="140"/>
              <w:jc w:val="right"/>
              <w:rPr>
                <w:b/>
                <w:sz w:val="13"/>
              </w:rPr>
            </w:pPr>
            <w:r>
              <w:rPr>
                <w:b/>
                <w:spacing w:val="-2"/>
                <w:w w:val="105"/>
                <w:sz w:val="13"/>
              </w:rPr>
              <w:t>5,968</w:t>
            </w:r>
          </w:p>
        </w:tc>
        <w:tc>
          <w:tcPr>
            <w:tcW w:w="897" w:type="dxa"/>
            <w:tcBorders>
              <w:top w:val="single" w:sz="6" w:space="0" w:color="000000"/>
              <w:bottom w:val="single" w:sz="6" w:space="0" w:color="000000"/>
            </w:tcBorders>
          </w:tcPr>
          <w:p>
            <w:pPr>
              <w:pStyle w:val="TableParagraph"/>
              <w:spacing w:line="133" w:lineRule="exact"/>
              <w:ind w:right="121"/>
              <w:jc w:val="right"/>
              <w:rPr>
                <w:b/>
                <w:sz w:val="13"/>
              </w:rPr>
            </w:pPr>
            <w:r>
              <w:rPr>
                <w:b/>
                <w:spacing w:val="-2"/>
                <w:w w:val="105"/>
                <w:sz w:val="13"/>
              </w:rPr>
              <w:t>7,459</w:t>
            </w:r>
          </w:p>
        </w:tc>
        <w:tc>
          <w:tcPr>
            <w:tcW w:w="999" w:type="dxa"/>
            <w:tcBorders>
              <w:top w:val="single" w:sz="6" w:space="0" w:color="000000"/>
              <w:bottom w:val="single" w:sz="6" w:space="0" w:color="000000"/>
            </w:tcBorders>
          </w:tcPr>
          <w:p>
            <w:pPr>
              <w:pStyle w:val="TableParagraph"/>
              <w:spacing w:line="133" w:lineRule="exact"/>
              <w:ind w:right="205"/>
              <w:jc w:val="right"/>
              <w:rPr>
                <w:b/>
                <w:sz w:val="13"/>
              </w:rPr>
            </w:pPr>
            <w:r>
              <w:rPr>
                <w:b/>
                <w:spacing w:val="-2"/>
                <w:w w:val="105"/>
                <w:sz w:val="13"/>
              </w:rPr>
              <w:t>29,307</w:t>
            </w:r>
          </w:p>
        </w:tc>
        <w:tc>
          <w:tcPr>
            <w:tcW w:w="784" w:type="dxa"/>
            <w:tcBorders>
              <w:top w:val="single" w:sz="6" w:space="0" w:color="000000"/>
              <w:bottom w:val="single" w:sz="6" w:space="0" w:color="000000"/>
            </w:tcBorders>
          </w:tcPr>
          <w:p>
            <w:pPr>
              <w:pStyle w:val="TableParagraph"/>
              <w:spacing w:line="133" w:lineRule="exact"/>
              <w:ind w:right="73"/>
              <w:jc w:val="right"/>
              <w:rPr>
                <w:b/>
                <w:sz w:val="13"/>
              </w:rPr>
            </w:pPr>
            <w:r>
              <w:rPr>
                <w:b/>
                <w:spacing w:val="-2"/>
                <w:w w:val="105"/>
                <w:sz w:val="13"/>
              </w:rPr>
              <w:t>42,734</w:t>
            </w:r>
          </w:p>
        </w:tc>
      </w:tr>
      <w:tr>
        <w:trPr>
          <w:trHeight w:val="494" w:hRule="atLeast"/>
        </w:trPr>
        <w:tc>
          <w:tcPr>
            <w:tcW w:w="450" w:type="dxa"/>
          </w:tcPr>
          <w:p>
            <w:pPr>
              <w:pStyle w:val="TableParagraph"/>
              <w:rPr>
                <w:rFonts w:ascii="Times New Roman"/>
                <w:sz w:val="12"/>
              </w:rPr>
            </w:pPr>
          </w:p>
        </w:tc>
        <w:tc>
          <w:tcPr>
            <w:tcW w:w="4846" w:type="dxa"/>
          </w:tcPr>
          <w:p>
            <w:pPr>
              <w:pStyle w:val="TableParagraph"/>
              <w:spacing w:before="16"/>
              <w:rPr>
                <w:sz w:val="13"/>
              </w:rPr>
            </w:pPr>
          </w:p>
          <w:p>
            <w:pPr>
              <w:pStyle w:val="TableParagraph"/>
              <w:ind w:left="187"/>
              <w:rPr>
                <w:b/>
                <w:sz w:val="13"/>
              </w:rPr>
            </w:pPr>
            <w:r>
              <w:rPr>
                <w:b/>
                <w:w w:val="105"/>
                <w:sz w:val="13"/>
              </w:rPr>
              <w:t>Year</w:t>
            </w:r>
            <w:r>
              <w:rPr>
                <w:b/>
                <w:spacing w:val="-6"/>
                <w:w w:val="105"/>
                <w:sz w:val="13"/>
              </w:rPr>
              <w:t> </w:t>
            </w:r>
            <w:r>
              <w:rPr>
                <w:b/>
                <w:w w:val="105"/>
                <w:sz w:val="13"/>
              </w:rPr>
              <w:t>ended</w:t>
            </w:r>
            <w:r>
              <w:rPr>
                <w:b/>
                <w:spacing w:val="-6"/>
                <w:w w:val="105"/>
                <w:sz w:val="13"/>
              </w:rPr>
              <w:t> </w:t>
            </w:r>
            <w:r>
              <w:rPr>
                <w:b/>
                <w:w w:val="105"/>
                <w:sz w:val="13"/>
              </w:rPr>
              <w:t>31</w:t>
            </w:r>
            <w:r>
              <w:rPr>
                <w:b/>
                <w:spacing w:val="-7"/>
                <w:w w:val="105"/>
                <w:sz w:val="13"/>
              </w:rPr>
              <w:t> </w:t>
            </w:r>
            <w:r>
              <w:rPr>
                <w:b/>
                <w:w w:val="105"/>
                <w:sz w:val="13"/>
              </w:rPr>
              <w:t>December</w:t>
            </w:r>
            <w:r>
              <w:rPr>
                <w:b/>
                <w:spacing w:val="-6"/>
                <w:w w:val="105"/>
                <w:sz w:val="13"/>
              </w:rPr>
              <w:t> </w:t>
            </w:r>
            <w:r>
              <w:rPr>
                <w:b/>
                <w:spacing w:val="-4"/>
                <w:w w:val="105"/>
                <w:sz w:val="13"/>
              </w:rPr>
              <w:t>2020</w:t>
            </w:r>
          </w:p>
          <w:p>
            <w:pPr>
              <w:pStyle w:val="TableParagraph"/>
              <w:spacing w:line="141" w:lineRule="exact" w:before="19"/>
              <w:ind w:left="187"/>
              <w:rPr>
                <w:sz w:val="13"/>
              </w:rPr>
            </w:pPr>
            <w:r>
              <w:rPr>
                <w:w w:val="105"/>
                <w:sz w:val="13"/>
              </w:rPr>
              <w:t>Opening</w:t>
            </w:r>
            <w:r>
              <w:rPr>
                <w:spacing w:val="-8"/>
                <w:w w:val="105"/>
                <w:sz w:val="13"/>
              </w:rPr>
              <w:t> </w:t>
            </w:r>
            <w:r>
              <w:rPr>
                <w:w w:val="105"/>
                <w:sz w:val="13"/>
              </w:rPr>
              <w:t>net</w:t>
            </w:r>
            <w:r>
              <w:rPr>
                <w:spacing w:val="-8"/>
                <w:w w:val="105"/>
                <w:sz w:val="13"/>
              </w:rPr>
              <w:t> </w:t>
            </w:r>
            <w:r>
              <w:rPr>
                <w:w w:val="105"/>
                <w:sz w:val="13"/>
              </w:rPr>
              <w:t>book</w:t>
            </w:r>
            <w:r>
              <w:rPr>
                <w:spacing w:val="-6"/>
                <w:w w:val="105"/>
                <w:sz w:val="13"/>
              </w:rPr>
              <w:t> </w:t>
            </w:r>
            <w:r>
              <w:rPr>
                <w:spacing w:val="-2"/>
                <w:w w:val="105"/>
                <w:sz w:val="13"/>
              </w:rPr>
              <w:t>value</w:t>
            </w:r>
          </w:p>
        </w:tc>
        <w:tc>
          <w:tcPr>
            <w:tcW w:w="986" w:type="dxa"/>
            <w:tcBorders>
              <w:top w:val="single" w:sz="6" w:space="0" w:color="000000"/>
            </w:tcBorders>
          </w:tcPr>
          <w:p>
            <w:pPr>
              <w:pStyle w:val="TableParagraph"/>
              <w:rPr>
                <w:sz w:val="13"/>
              </w:rPr>
            </w:pPr>
          </w:p>
          <w:p>
            <w:pPr>
              <w:pStyle w:val="TableParagraph"/>
              <w:spacing w:before="39"/>
              <w:rPr>
                <w:sz w:val="13"/>
              </w:rPr>
            </w:pPr>
          </w:p>
          <w:p>
            <w:pPr>
              <w:pStyle w:val="TableParagraph"/>
              <w:spacing w:line="136" w:lineRule="exact"/>
              <w:ind w:right="140"/>
              <w:jc w:val="right"/>
              <w:rPr>
                <w:sz w:val="13"/>
              </w:rPr>
            </w:pPr>
            <w:r>
              <w:rPr>
                <w:spacing w:val="-2"/>
                <w:w w:val="105"/>
                <w:sz w:val="13"/>
              </w:rPr>
              <w:t>5,968</w:t>
            </w:r>
          </w:p>
        </w:tc>
        <w:tc>
          <w:tcPr>
            <w:tcW w:w="897" w:type="dxa"/>
            <w:tcBorders>
              <w:top w:val="single" w:sz="6" w:space="0" w:color="000000"/>
            </w:tcBorders>
          </w:tcPr>
          <w:p>
            <w:pPr>
              <w:pStyle w:val="TableParagraph"/>
              <w:rPr>
                <w:sz w:val="13"/>
              </w:rPr>
            </w:pPr>
          </w:p>
          <w:p>
            <w:pPr>
              <w:pStyle w:val="TableParagraph"/>
              <w:spacing w:before="39"/>
              <w:rPr>
                <w:sz w:val="13"/>
              </w:rPr>
            </w:pPr>
          </w:p>
          <w:p>
            <w:pPr>
              <w:pStyle w:val="TableParagraph"/>
              <w:spacing w:line="136" w:lineRule="exact"/>
              <w:ind w:right="121"/>
              <w:jc w:val="right"/>
              <w:rPr>
                <w:sz w:val="13"/>
              </w:rPr>
            </w:pPr>
            <w:r>
              <w:rPr>
                <w:spacing w:val="-2"/>
                <w:w w:val="105"/>
                <w:sz w:val="13"/>
              </w:rPr>
              <w:t>7,459</w:t>
            </w:r>
          </w:p>
        </w:tc>
        <w:tc>
          <w:tcPr>
            <w:tcW w:w="999" w:type="dxa"/>
            <w:tcBorders>
              <w:top w:val="single" w:sz="6" w:space="0" w:color="000000"/>
            </w:tcBorders>
          </w:tcPr>
          <w:p>
            <w:pPr>
              <w:pStyle w:val="TableParagraph"/>
              <w:rPr>
                <w:sz w:val="13"/>
              </w:rPr>
            </w:pPr>
          </w:p>
          <w:p>
            <w:pPr>
              <w:pStyle w:val="TableParagraph"/>
              <w:spacing w:before="39"/>
              <w:rPr>
                <w:sz w:val="13"/>
              </w:rPr>
            </w:pPr>
          </w:p>
          <w:p>
            <w:pPr>
              <w:pStyle w:val="TableParagraph"/>
              <w:spacing w:line="136" w:lineRule="exact"/>
              <w:ind w:right="205"/>
              <w:jc w:val="right"/>
              <w:rPr>
                <w:sz w:val="13"/>
              </w:rPr>
            </w:pPr>
            <w:r>
              <w:rPr>
                <w:spacing w:val="-2"/>
                <w:w w:val="105"/>
                <w:sz w:val="13"/>
              </w:rPr>
              <w:t>29,307</w:t>
            </w:r>
          </w:p>
        </w:tc>
        <w:tc>
          <w:tcPr>
            <w:tcW w:w="784" w:type="dxa"/>
            <w:tcBorders>
              <w:top w:val="single" w:sz="6" w:space="0" w:color="000000"/>
            </w:tcBorders>
          </w:tcPr>
          <w:p>
            <w:pPr>
              <w:pStyle w:val="TableParagraph"/>
              <w:rPr>
                <w:sz w:val="13"/>
              </w:rPr>
            </w:pPr>
          </w:p>
          <w:p>
            <w:pPr>
              <w:pStyle w:val="TableParagraph"/>
              <w:spacing w:before="39"/>
              <w:rPr>
                <w:sz w:val="13"/>
              </w:rPr>
            </w:pPr>
          </w:p>
          <w:p>
            <w:pPr>
              <w:pStyle w:val="TableParagraph"/>
              <w:spacing w:line="136" w:lineRule="exact"/>
              <w:ind w:right="73"/>
              <w:jc w:val="right"/>
              <w:rPr>
                <w:sz w:val="13"/>
              </w:rPr>
            </w:pPr>
            <w:r>
              <w:rPr>
                <w:spacing w:val="-2"/>
                <w:w w:val="105"/>
                <w:sz w:val="13"/>
              </w:rPr>
              <w:t>42,734</w:t>
            </w:r>
          </w:p>
        </w:tc>
      </w:tr>
      <w:tr>
        <w:trPr>
          <w:trHeight w:val="503" w:hRule="atLeast"/>
        </w:trPr>
        <w:tc>
          <w:tcPr>
            <w:tcW w:w="450" w:type="dxa"/>
          </w:tcPr>
          <w:p>
            <w:pPr>
              <w:pStyle w:val="TableParagraph"/>
              <w:rPr>
                <w:rFonts w:ascii="Times New Roman"/>
                <w:sz w:val="12"/>
              </w:rPr>
            </w:pPr>
          </w:p>
        </w:tc>
        <w:tc>
          <w:tcPr>
            <w:tcW w:w="4846" w:type="dxa"/>
          </w:tcPr>
          <w:p>
            <w:pPr>
              <w:pStyle w:val="TableParagraph"/>
              <w:spacing w:before="7"/>
              <w:ind w:left="187"/>
              <w:rPr>
                <w:sz w:val="13"/>
              </w:rPr>
            </w:pPr>
            <w:r>
              <w:rPr>
                <w:spacing w:val="-2"/>
                <w:w w:val="105"/>
                <w:sz w:val="13"/>
              </w:rPr>
              <w:t>Additions</w:t>
            </w:r>
          </w:p>
          <w:p>
            <w:pPr>
              <w:pStyle w:val="TableParagraph"/>
              <w:spacing w:line="160" w:lineRule="atLeast" w:before="6"/>
              <w:ind w:left="187" w:right="3561"/>
              <w:rPr>
                <w:sz w:val="13"/>
              </w:rPr>
            </w:pPr>
            <w:r>
              <w:rPr>
                <w:spacing w:val="-2"/>
                <w:w w:val="105"/>
                <w:sz w:val="13"/>
              </w:rPr>
              <w:t>Disposals</w:t>
            </w:r>
            <w:r>
              <w:rPr>
                <w:spacing w:val="40"/>
                <w:w w:val="105"/>
                <w:sz w:val="13"/>
              </w:rPr>
              <w:t> </w:t>
            </w:r>
            <w:r>
              <w:rPr>
                <w:spacing w:val="-2"/>
                <w:w w:val="105"/>
                <w:sz w:val="13"/>
              </w:rPr>
              <w:t>Amortisation</w:t>
            </w:r>
          </w:p>
        </w:tc>
        <w:tc>
          <w:tcPr>
            <w:tcW w:w="986" w:type="dxa"/>
          </w:tcPr>
          <w:p>
            <w:pPr>
              <w:pStyle w:val="TableParagraph"/>
              <w:spacing w:before="11"/>
              <w:ind w:right="95"/>
              <w:jc w:val="right"/>
              <w:rPr>
                <w:sz w:val="13"/>
              </w:rPr>
            </w:pPr>
            <w:r>
              <w:rPr>
                <w:spacing w:val="-10"/>
                <w:w w:val="105"/>
                <w:sz w:val="13"/>
              </w:rPr>
              <w:t>-</w:t>
            </w:r>
          </w:p>
          <w:p>
            <w:pPr>
              <w:pStyle w:val="TableParagraph"/>
              <w:spacing w:line="160" w:lineRule="atLeast" w:before="2"/>
              <w:ind w:left="459" w:right="95" w:firstLine="384"/>
              <w:jc w:val="right"/>
              <w:rPr>
                <w:sz w:val="13"/>
              </w:rPr>
            </w:pPr>
            <w:r>
              <w:rPr>
                <w:spacing w:val="-10"/>
                <w:w w:val="105"/>
                <w:sz w:val="13"/>
              </w:rPr>
              <w:t>-</w:t>
            </w:r>
            <w:r>
              <w:rPr>
                <w:spacing w:val="40"/>
                <w:w w:val="105"/>
                <w:sz w:val="13"/>
              </w:rPr>
              <w:t> </w:t>
            </w:r>
            <w:r>
              <w:rPr>
                <w:spacing w:val="-2"/>
                <w:w w:val="105"/>
                <w:sz w:val="13"/>
              </w:rPr>
              <w:t>(2,285)</w:t>
            </w:r>
          </w:p>
        </w:tc>
        <w:tc>
          <w:tcPr>
            <w:tcW w:w="897" w:type="dxa"/>
          </w:tcPr>
          <w:p>
            <w:pPr>
              <w:pStyle w:val="TableParagraph"/>
              <w:spacing w:before="7"/>
              <w:ind w:right="121"/>
              <w:jc w:val="right"/>
              <w:rPr>
                <w:sz w:val="13"/>
              </w:rPr>
            </w:pPr>
            <w:r>
              <w:rPr>
                <w:spacing w:val="-2"/>
                <w:w w:val="105"/>
                <w:sz w:val="13"/>
              </w:rPr>
              <w:t>8,148</w:t>
            </w:r>
          </w:p>
          <w:p>
            <w:pPr>
              <w:pStyle w:val="TableParagraph"/>
              <w:spacing w:before="22"/>
              <w:ind w:right="76"/>
              <w:jc w:val="right"/>
              <w:rPr>
                <w:sz w:val="13"/>
              </w:rPr>
            </w:pPr>
            <w:r>
              <w:rPr>
                <w:spacing w:val="-10"/>
                <w:w w:val="105"/>
                <w:sz w:val="13"/>
              </w:rPr>
              <w:t>-</w:t>
            </w:r>
          </w:p>
          <w:p>
            <w:pPr>
              <w:pStyle w:val="TableParagraph"/>
              <w:spacing w:line="136" w:lineRule="exact" w:before="19"/>
              <w:ind w:right="76"/>
              <w:jc w:val="right"/>
              <w:rPr>
                <w:sz w:val="13"/>
              </w:rPr>
            </w:pPr>
            <w:r>
              <w:rPr>
                <w:spacing w:val="-10"/>
                <w:w w:val="105"/>
                <w:sz w:val="13"/>
              </w:rPr>
              <w:t>-</w:t>
            </w:r>
          </w:p>
        </w:tc>
        <w:tc>
          <w:tcPr>
            <w:tcW w:w="999" w:type="dxa"/>
          </w:tcPr>
          <w:p>
            <w:pPr>
              <w:pStyle w:val="TableParagraph"/>
              <w:spacing w:before="7"/>
              <w:ind w:right="205"/>
              <w:jc w:val="right"/>
              <w:rPr>
                <w:sz w:val="13"/>
              </w:rPr>
            </w:pPr>
            <w:r>
              <w:rPr>
                <w:spacing w:val="-5"/>
                <w:w w:val="105"/>
                <w:sz w:val="13"/>
              </w:rPr>
              <w:t>629</w:t>
            </w:r>
          </w:p>
          <w:p>
            <w:pPr>
              <w:pStyle w:val="TableParagraph"/>
              <w:spacing w:line="160" w:lineRule="atLeast" w:before="6"/>
              <w:ind w:left="407" w:right="159" w:firstLine="384"/>
              <w:jc w:val="right"/>
              <w:rPr>
                <w:sz w:val="13"/>
              </w:rPr>
            </w:pPr>
            <w:r>
              <w:rPr>
                <w:spacing w:val="-10"/>
                <w:w w:val="105"/>
                <w:sz w:val="13"/>
              </w:rPr>
              <w:t>-</w:t>
            </w:r>
            <w:r>
              <w:rPr>
                <w:spacing w:val="40"/>
                <w:w w:val="105"/>
                <w:sz w:val="13"/>
              </w:rPr>
              <w:t> </w:t>
            </w:r>
            <w:r>
              <w:rPr>
                <w:spacing w:val="-2"/>
                <w:w w:val="105"/>
                <w:sz w:val="13"/>
              </w:rPr>
              <w:t>(5,203)</w:t>
            </w:r>
          </w:p>
        </w:tc>
        <w:tc>
          <w:tcPr>
            <w:tcW w:w="784" w:type="dxa"/>
          </w:tcPr>
          <w:p>
            <w:pPr>
              <w:pStyle w:val="TableParagraph"/>
              <w:spacing w:before="7"/>
              <w:ind w:right="73"/>
              <w:jc w:val="right"/>
              <w:rPr>
                <w:sz w:val="13"/>
              </w:rPr>
            </w:pPr>
            <w:r>
              <w:rPr>
                <w:spacing w:val="-2"/>
                <w:w w:val="105"/>
                <w:sz w:val="13"/>
              </w:rPr>
              <w:t>8,777</w:t>
            </w:r>
          </w:p>
          <w:p>
            <w:pPr>
              <w:pStyle w:val="TableParagraph"/>
              <w:spacing w:line="160" w:lineRule="atLeast" w:before="6"/>
              <w:ind w:left="324" w:right="27" w:firstLine="384"/>
              <w:jc w:val="right"/>
              <w:rPr>
                <w:sz w:val="13"/>
              </w:rPr>
            </w:pPr>
            <w:r>
              <w:rPr>
                <w:spacing w:val="-10"/>
                <w:w w:val="105"/>
                <w:sz w:val="13"/>
              </w:rPr>
              <w:t>-</w:t>
            </w:r>
            <w:r>
              <w:rPr>
                <w:spacing w:val="40"/>
                <w:w w:val="105"/>
                <w:sz w:val="13"/>
              </w:rPr>
              <w:t> </w:t>
            </w:r>
            <w:r>
              <w:rPr>
                <w:spacing w:val="-2"/>
                <w:w w:val="105"/>
                <w:sz w:val="13"/>
              </w:rPr>
              <w:t>(7,488)</w:t>
            </w:r>
          </w:p>
        </w:tc>
      </w:tr>
      <w:tr>
        <w:trPr>
          <w:trHeight w:val="161" w:hRule="atLeast"/>
        </w:trPr>
        <w:tc>
          <w:tcPr>
            <w:tcW w:w="450" w:type="dxa"/>
          </w:tcPr>
          <w:p>
            <w:pPr>
              <w:pStyle w:val="TableParagraph"/>
              <w:rPr>
                <w:rFonts w:ascii="Times New Roman"/>
                <w:sz w:val="10"/>
              </w:rPr>
            </w:pPr>
          </w:p>
        </w:tc>
        <w:tc>
          <w:tcPr>
            <w:tcW w:w="4846" w:type="dxa"/>
          </w:tcPr>
          <w:p>
            <w:pPr>
              <w:pStyle w:val="TableParagraph"/>
              <w:spacing w:line="134" w:lineRule="exact" w:before="7"/>
              <w:ind w:left="187"/>
              <w:rPr>
                <w:sz w:val="13"/>
              </w:rPr>
            </w:pPr>
            <w:r>
              <w:rPr>
                <w:spacing w:val="-2"/>
                <w:w w:val="105"/>
                <w:sz w:val="13"/>
              </w:rPr>
              <w:t>Transfer</w:t>
            </w:r>
          </w:p>
        </w:tc>
        <w:tc>
          <w:tcPr>
            <w:tcW w:w="986" w:type="dxa"/>
            <w:tcBorders>
              <w:bottom w:val="single" w:sz="6" w:space="0" w:color="000000"/>
            </w:tcBorders>
          </w:tcPr>
          <w:p>
            <w:pPr>
              <w:pStyle w:val="TableParagraph"/>
              <w:spacing w:line="130" w:lineRule="exact" w:before="11"/>
              <w:ind w:right="140"/>
              <w:jc w:val="right"/>
              <w:rPr>
                <w:sz w:val="13"/>
              </w:rPr>
            </w:pPr>
            <w:r>
              <w:rPr>
                <w:spacing w:val="-2"/>
                <w:w w:val="105"/>
                <w:sz w:val="13"/>
              </w:rPr>
              <w:t>3,673</w:t>
            </w:r>
          </w:p>
        </w:tc>
        <w:tc>
          <w:tcPr>
            <w:tcW w:w="897" w:type="dxa"/>
            <w:tcBorders>
              <w:bottom w:val="single" w:sz="6" w:space="0" w:color="000000"/>
            </w:tcBorders>
          </w:tcPr>
          <w:p>
            <w:pPr>
              <w:pStyle w:val="TableParagraph"/>
              <w:spacing w:line="130" w:lineRule="exact" w:before="11"/>
              <w:ind w:right="77"/>
              <w:jc w:val="right"/>
              <w:rPr>
                <w:sz w:val="13"/>
              </w:rPr>
            </w:pPr>
            <w:r>
              <w:rPr>
                <w:spacing w:val="-2"/>
                <w:w w:val="105"/>
                <w:sz w:val="13"/>
              </w:rPr>
              <w:t>(3,673)</w:t>
            </w:r>
          </w:p>
        </w:tc>
        <w:tc>
          <w:tcPr>
            <w:tcW w:w="999" w:type="dxa"/>
            <w:tcBorders>
              <w:bottom w:val="single" w:sz="6" w:space="0" w:color="000000"/>
            </w:tcBorders>
          </w:tcPr>
          <w:p>
            <w:pPr>
              <w:pStyle w:val="TableParagraph"/>
              <w:spacing w:line="130" w:lineRule="exact" w:before="11"/>
              <w:ind w:right="159"/>
              <w:jc w:val="right"/>
              <w:rPr>
                <w:sz w:val="13"/>
              </w:rPr>
            </w:pPr>
            <w:r>
              <w:rPr>
                <w:spacing w:val="-10"/>
                <w:w w:val="105"/>
                <w:sz w:val="13"/>
              </w:rPr>
              <w:t>-</w:t>
            </w:r>
          </w:p>
        </w:tc>
        <w:tc>
          <w:tcPr>
            <w:tcW w:w="784" w:type="dxa"/>
            <w:tcBorders>
              <w:bottom w:val="single" w:sz="6" w:space="0" w:color="000000"/>
            </w:tcBorders>
          </w:tcPr>
          <w:p>
            <w:pPr>
              <w:pStyle w:val="TableParagraph"/>
              <w:spacing w:line="130" w:lineRule="exact" w:before="11"/>
              <w:ind w:right="27"/>
              <w:jc w:val="right"/>
              <w:rPr>
                <w:sz w:val="13"/>
              </w:rPr>
            </w:pPr>
            <w:r>
              <w:rPr>
                <w:spacing w:val="-10"/>
                <w:w w:val="105"/>
                <w:sz w:val="13"/>
              </w:rPr>
              <w:t>-</w:t>
            </w:r>
          </w:p>
        </w:tc>
      </w:tr>
      <w:tr>
        <w:trPr>
          <w:trHeight w:val="152" w:hRule="atLeast"/>
        </w:trPr>
        <w:tc>
          <w:tcPr>
            <w:tcW w:w="450" w:type="dxa"/>
          </w:tcPr>
          <w:p>
            <w:pPr>
              <w:pStyle w:val="TableParagraph"/>
              <w:rPr>
                <w:rFonts w:ascii="Times New Roman"/>
                <w:sz w:val="8"/>
              </w:rPr>
            </w:pPr>
          </w:p>
        </w:tc>
        <w:tc>
          <w:tcPr>
            <w:tcW w:w="4846" w:type="dxa"/>
          </w:tcPr>
          <w:p>
            <w:pPr>
              <w:pStyle w:val="TableParagraph"/>
              <w:spacing w:line="133" w:lineRule="exact"/>
              <w:ind w:left="187"/>
              <w:rPr>
                <w:sz w:val="13"/>
              </w:rPr>
            </w:pPr>
            <w:r>
              <w:rPr>
                <w:w w:val="105"/>
                <w:sz w:val="13"/>
              </w:rPr>
              <w:t>Closing</w:t>
            </w:r>
            <w:r>
              <w:rPr>
                <w:spacing w:val="-7"/>
                <w:w w:val="105"/>
                <w:sz w:val="13"/>
              </w:rPr>
              <w:t> </w:t>
            </w:r>
            <w:r>
              <w:rPr>
                <w:w w:val="105"/>
                <w:sz w:val="13"/>
              </w:rPr>
              <w:t>net</w:t>
            </w:r>
            <w:r>
              <w:rPr>
                <w:spacing w:val="-6"/>
                <w:w w:val="105"/>
                <w:sz w:val="13"/>
              </w:rPr>
              <w:t> </w:t>
            </w:r>
            <w:r>
              <w:rPr>
                <w:w w:val="105"/>
                <w:sz w:val="13"/>
              </w:rPr>
              <w:t>book</w:t>
            </w:r>
            <w:r>
              <w:rPr>
                <w:spacing w:val="-4"/>
                <w:w w:val="105"/>
                <w:sz w:val="13"/>
              </w:rPr>
              <w:t> </w:t>
            </w:r>
            <w:r>
              <w:rPr>
                <w:spacing w:val="-2"/>
                <w:w w:val="105"/>
                <w:sz w:val="13"/>
              </w:rPr>
              <w:t>value</w:t>
            </w:r>
          </w:p>
        </w:tc>
        <w:tc>
          <w:tcPr>
            <w:tcW w:w="986" w:type="dxa"/>
            <w:tcBorders>
              <w:top w:val="single" w:sz="6" w:space="0" w:color="000000"/>
              <w:bottom w:val="single" w:sz="6" w:space="0" w:color="000000"/>
            </w:tcBorders>
          </w:tcPr>
          <w:p>
            <w:pPr>
              <w:pStyle w:val="TableParagraph"/>
              <w:spacing w:line="133" w:lineRule="exact"/>
              <w:ind w:right="140"/>
              <w:jc w:val="right"/>
              <w:rPr>
                <w:b/>
                <w:sz w:val="13"/>
              </w:rPr>
            </w:pPr>
            <w:r>
              <w:rPr>
                <w:b/>
                <w:spacing w:val="-2"/>
                <w:w w:val="105"/>
                <w:sz w:val="13"/>
              </w:rPr>
              <w:t>7,356</w:t>
            </w:r>
          </w:p>
        </w:tc>
        <w:tc>
          <w:tcPr>
            <w:tcW w:w="897" w:type="dxa"/>
            <w:tcBorders>
              <w:top w:val="single" w:sz="6" w:space="0" w:color="000000"/>
              <w:bottom w:val="single" w:sz="6" w:space="0" w:color="000000"/>
            </w:tcBorders>
          </w:tcPr>
          <w:p>
            <w:pPr>
              <w:pStyle w:val="TableParagraph"/>
              <w:spacing w:line="133" w:lineRule="exact"/>
              <w:ind w:right="122"/>
              <w:jc w:val="right"/>
              <w:rPr>
                <w:b/>
                <w:sz w:val="13"/>
              </w:rPr>
            </w:pPr>
            <w:r>
              <w:rPr>
                <w:b/>
                <w:spacing w:val="-2"/>
                <w:w w:val="105"/>
                <w:sz w:val="13"/>
              </w:rPr>
              <w:t>11,934</w:t>
            </w:r>
          </w:p>
        </w:tc>
        <w:tc>
          <w:tcPr>
            <w:tcW w:w="999" w:type="dxa"/>
            <w:tcBorders>
              <w:top w:val="single" w:sz="6" w:space="0" w:color="000000"/>
              <w:bottom w:val="single" w:sz="6" w:space="0" w:color="000000"/>
            </w:tcBorders>
          </w:tcPr>
          <w:p>
            <w:pPr>
              <w:pStyle w:val="TableParagraph"/>
              <w:spacing w:line="133" w:lineRule="exact"/>
              <w:ind w:right="205"/>
              <w:jc w:val="right"/>
              <w:rPr>
                <w:b/>
                <w:sz w:val="13"/>
              </w:rPr>
            </w:pPr>
            <w:r>
              <w:rPr>
                <w:b/>
                <w:spacing w:val="-2"/>
                <w:w w:val="105"/>
                <w:sz w:val="13"/>
              </w:rPr>
              <w:t>24,733</w:t>
            </w:r>
          </w:p>
        </w:tc>
        <w:tc>
          <w:tcPr>
            <w:tcW w:w="784" w:type="dxa"/>
            <w:tcBorders>
              <w:top w:val="single" w:sz="6" w:space="0" w:color="000000"/>
              <w:bottom w:val="single" w:sz="6" w:space="0" w:color="000000"/>
            </w:tcBorders>
          </w:tcPr>
          <w:p>
            <w:pPr>
              <w:pStyle w:val="TableParagraph"/>
              <w:spacing w:line="133" w:lineRule="exact"/>
              <w:ind w:right="73"/>
              <w:jc w:val="right"/>
              <w:rPr>
                <w:b/>
                <w:sz w:val="13"/>
              </w:rPr>
            </w:pPr>
            <w:r>
              <w:rPr>
                <w:b/>
                <w:spacing w:val="-2"/>
                <w:w w:val="105"/>
                <w:sz w:val="13"/>
              </w:rPr>
              <w:t>44,023</w:t>
            </w:r>
          </w:p>
        </w:tc>
      </w:tr>
      <w:tr>
        <w:trPr>
          <w:trHeight w:val="492" w:hRule="atLeast"/>
        </w:trPr>
        <w:tc>
          <w:tcPr>
            <w:tcW w:w="450" w:type="dxa"/>
          </w:tcPr>
          <w:p>
            <w:pPr>
              <w:pStyle w:val="TableParagraph"/>
              <w:rPr>
                <w:rFonts w:ascii="Times New Roman"/>
                <w:sz w:val="12"/>
              </w:rPr>
            </w:pPr>
          </w:p>
        </w:tc>
        <w:tc>
          <w:tcPr>
            <w:tcW w:w="4846" w:type="dxa"/>
          </w:tcPr>
          <w:p>
            <w:pPr>
              <w:pStyle w:val="TableParagraph"/>
              <w:spacing w:before="16"/>
              <w:rPr>
                <w:sz w:val="13"/>
              </w:rPr>
            </w:pPr>
          </w:p>
          <w:p>
            <w:pPr>
              <w:pStyle w:val="TableParagraph"/>
              <w:ind w:left="187"/>
              <w:rPr>
                <w:b/>
                <w:sz w:val="13"/>
              </w:rPr>
            </w:pPr>
            <w:r>
              <w:rPr>
                <w:b/>
                <w:w w:val="105"/>
                <w:sz w:val="13"/>
              </w:rPr>
              <w:t>At</w:t>
            </w:r>
            <w:r>
              <w:rPr>
                <w:b/>
                <w:spacing w:val="-5"/>
                <w:w w:val="105"/>
                <w:sz w:val="13"/>
              </w:rPr>
              <w:t> </w:t>
            </w:r>
            <w:r>
              <w:rPr>
                <w:b/>
                <w:w w:val="105"/>
                <w:sz w:val="13"/>
              </w:rPr>
              <w:t>31</w:t>
            </w:r>
            <w:r>
              <w:rPr>
                <w:b/>
                <w:spacing w:val="-7"/>
                <w:w w:val="105"/>
                <w:sz w:val="13"/>
              </w:rPr>
              <w:t> </w:t>
            </w:r>
            <w:r>
              <w:rPr>
                <w:b/>
                <w:w w:val="105"/>
                <w:sz w:val="13"/>
              </w:rPr>
              <w:t>December</w:t>
            </w:r>
            <w:r>
              <w:rPr>
                <w:b/>
                <w:spacing w:val="-6"/>
                <w:w w:val="105"/>
                <w:sz w:val="13"/>
              </w:rPr>
              <w:t> </w:t>
            </w:r>
            <w:r>
              <w:rPr>
                <w:b/>
                <w:spacing w:val="-4"/>
                <w:w w:val="105"/>
                <w:sz w:val="13"/>
              </w:rPr>
              <w:t>2020</w:t>
            </w:r>
          </w:p>
          <w:p>
            <w:pPr>
              <w:pStyle w:val="TableParagraph"/>
              <w:spacing w:line="138" w:lineRule="exact" w:before="19"/>
              <w:ind w:left="187"/>
              <w:rPr>
                <w:sz w:val="13"/>
              </w:rPr>
            </w:pPr>
            <w:r>
              <w:rPr>
                <w:spacing w:val="-4"/>
                <w:w w:val="105"/>
                <w:sz w:val="13"/>
              </w:rPr>
              <w:t>Cost</w:t>
            </w:r>
          </w:p>
        </w:tc>
        <w:tc>
          <w:tcPr>
            <w:tcW w:w="986" w:type="dxa"/>
            <w:tcBorders>
              <w:top w:val="single" w:sz="6" w:space="0" w:color="000000"/>
            </w:tcBorders>
          </w:tcPr>
          <w:p>
            <w:pPr>
              <w:pStyle w:val="TableParagraph"/>
              <w:rPr>
                <w:sz w:val="13"/>
              </w:rPr>
            </w:pPr>
          </w:p>
          <w:p>
            <w:pPr>
              <w:pStyle w:val="TableParagraph"/>
              <w:spacing w:before="35"/>
              <w:rPr>
                <w:sz w:val="13"/>
              </w:rPr>
            </w:pPr>
          </w:p>
          <w:p>
            <w:pPr>
              <w:pStyle w:val="TableParagraph"/>
              <w:spacing w:line="138" w:lineRule="exact"/>
              <w:ind w:right="140"/>
              <w:jc w:val="right"/>
              <w:rPr>
                <w:sz w:val="13"/>
              </w:rPr>
            </w:pPr>
            <w:r>
              <w:rPr>
                <w:spacing w:val="-2"/>
                <w:w w:val="105"/>
                <w:sz w:val="13"/>
              </w:rPr>
              <w:t>21,322</w:t>
            </w:r>
          </w:p>
        </w:tc>
        <w:tc>
          <w:tcPr>
            <w:tcW w:w="897" w:type="dxa"/>
            <w:tcBorders>
              <w:top w:val="single" w:sz="6" w:space="0" w:color="000000"/>
            </w:tcBorders>
          </w:tcPr>
          <w:p>
            <w:pPr>
              <w:pStyle w:val="TableParagraph"/>
              <w:rPr>
                <w:sz w:val="13"/>
              </w:rPr>
            </w:pPr>
          </w:p>
          <w:p>
            <w:pPr>
              <w:pStyle w:val="TableParagraph"/>
              <w:spacing w:before="35"/>
              <w:rPr>
                <w:sz w:val="13"/>
              </w:rPr>
            </w:pPr>
          </w:p>
          <w:p>
            <w:pPr>
              <w:pStyle w:val="TableParagraph"/>
              <w:spacing w:line="138" w:lineRule="exact"/>
              <w:ind w:right="122"/>
              <w:jc w:val="right"/>
              <w:rPr>
                <w:sz w:val="13"/>
              </w:rPr>
            </w:pPr>
            <w:r>
              <w:rPr>
                <w:spacing w:val="-2"/>
                <w:w w:val="105"/>
                <w:sz w:val="13"/>
              </w:rPr>
              <w:t>11,934</w:t>
            </w:r>
          </w:p>
        </w:tc>
        <w:tc>
          <w:tcPr>
            <w:tcW w:w="999" w:type="dxa"/>
            <w:tcBorders>
              <w:top w:val="single" w:sz="6" w:space="0" w:color="000000"/>
            </w:tcBorders>
          </w:tcPr>
          <w:p>
            <w:pPr>
              <w:pStyle w:val="TableParagraph"/>
              <w:rPr>
                <w:sz w:val="13"/>
              </w:rPr>
            </w:pPr>
          </w:p>
          <w:p>
            <w:pPr>
              <w:pStyle w:val="TableParagraph"/>
              <w:spacing w:before="35"/>
              <w:rPr>
                <w:sz w:val="13"/>
              </w:rPr>
            </w:pPr>
          </w:p>
          <w:p>
            <w:pPr>
              <w:pStyle w:val="TableParagraph"/>
              <w:spacing w:line="138" w:lineRule="exact"/>
              <w:ind w:right="205"/>
              <w:jc w:val="right"/>
              <w:rPr>
                <w:sz w:val="13"/>
              </w:rPr>
            </w:pPr>
            <w:r>
              <w:rPr>
                <w:spacing w:val="-2"/>
                <w:w w:val="105"/>
                <w:sz w:val="13"/>
              </w:rPr>
              <w:t>54,696</w:t>
            </w:r>
          </w:p>
        </w:tc>
        <w:tc>
          <w:tcPr>
            <w:tcW w:w="784" w:type="dxa"/>
            <w:tcBorders>
              <w:top w:val="single" w:sz="6" w:space="0" w:color="000000"/>
            </w:tcBorders>
          </w:tcPr>
          <w:p>
            <w:pPr>
              <w:pStyle w:val="TableParagraph"/>
              <w:rPr>
                <w:sz w:val="13"/>
              </w:rPr>
            </w:pPr>
          </w:p>
          <w:p>
            <w:pPr>
              <w:pStyle w:val="TableParagraph"/>
              <w:spacing w:before="35"/>
              <w:rPr>
                <w:sz w:val="13"/>
              </w:rPr>
            </w:pPr>
          </w:p>
          <w:p>
            <w:pPr>
              <w:pStyle w:val="TableParagraph"/>
              <w:spacing w:line="138" w:lineRule="exact"/>
              <w:ind w:right="73"/>
              <w:jc w:val="right"/>
              <w:rPr>
                <w:sz w:val="13"/>
              </w:rPr>
            </w:pPr>
            <w:r>
              <w:rPr>
                <w:spacing w:val="-2"/>
                <w:w w:val="105"/>
                <w:sz w:val="13"/>
              </w:rPr>
              <w:t>87,952</w:t>
            </w:r>
          </w:p>
        </w:tc>
      </w:tr>
      <w:tr>
        <w:trPr>
          <w:trHeight w:val="163" w:hRule="atLeast"/>
        </w:trPr>
        <w:tc>
          <w:tcPr>
            <w:tcW w:w="450" w:type="dxa"/>
          </w:tcPr>
          <w:p>
            <w:pPr>
              <w:pStyle w:val="TableParagraph"/>
              <w:rPr>
                <w:rFonts w:ascii="Times New Roman"/>
                <w:sz w:val="10"/>
              </w:rPr>
            </w:pPr>
          </w:p>
        </w:tc>
        <w:tc>
          <w:tcPr>
            <w:tcW w:w="4846" w:type="dxa"/>
          </w:tcPr>
          <w:p>
            <w:pPr>
              <w:pStyle w:val="TableParagraph"/>
              <w:spacing w:line="134" w:lineRule="exact" w:before="9"/>
              <w:ind w:left="187"/>
              <w:rPr>
                <w:sz w:val="13"/>
              </w:rPr>
            </w:pPr>
            <w:r>
              <w:rPr>
                <w:spacing w:val="-2"/>
                <w:w w:val="105"/>
                <w:sz w:val="13"/>
              </w:rPr>
              <w:t>Accumulated</w:t>
            </w:r>
            <w:r>
              <w:rPr>
                <w:spacing w:val="7"/>
                <w:w w:val="105"/>
                <w:sz w:val="13"/>
              </w:rPr>
              <w:t> </w:t>
            </w:r>
            <w:r>
              <w:rPr>
                <w:spacing w:val="-2"/>
                <w:w w:val="105"/>
                <w:sz w:val="13"/>
              </w:rPr>
              <w:t>amortisation</w:t>
            </w:r>
            <w:r>
              <w:rPr>
                <w:spacing w:val="8"/>
                <w:w w:val="105"/>
                <w:sz w:val="13"/>
              </w:rPr>
              <w:t> </w:t>
            </w:r>
            <w:r>
              <w:rPr>
                <w:spacing w:val="-2"/>
                <w:w w:val="105"/>
                <w:sz w:val="13"/>
              </w:rPr>
              <w:t>and</w:t>
            </w:r>
            <w:r>
              <w:rPr>
                <w:spacing w:val="7"/>
                <w:w w:val="105"/>
                <w:sz w:val="13"/>
              </w:rPr>
              <w:t> </w:t>
            </w:r>
            <w:r>
              <w:rPr>
                <w:spacing w:val="-2"/>
                <w:w w:val="105"/>
                <w:sz w:val="13"/>
              </w:rPr>
              <w:t>impairment</w:t>
            </w:r>
          </w:p>
        </w:tc>
        <w:tc>
          <w:tcPr>
            <w:tcW w:w="986" w:type="dxa"/>
            <w:tcBorders>
              <w:bottom w:val="single" w:sz="6" w:space="0" w:color="000000"/>
            </w:tcBorders>
          </w:tcPr>
          <w:p>
            <w:pPr>
              <w:pStyle w:val="TableParagraph"/>
              <w:spacing w:line="134" w:lineRule="exact" w:before="9"/>
              <w:ind w:right="96"/>
              <w:jc w:val="right"/>
              <w:rPr>
                <w:sz w:val="13"/>
              </w:rPr>
            </w:pPr>
            <w:r>
              <w:rPr>
                <w:spacing w:val="-2"/>
                <w:w w:val="105"/>
                <w:sz w:val="13"/>
              </w:rPr>
              <w:t>(13,966)</w:t>
            </w:r>
          </w:p>
        </w:tc>
        <w:tc>
          <w:tcPr>
            <w:tcW w:w="897" w:type="dxa"/>
            <w:tcBorders>
              <w:bottom w:val="single" w:sz="6" w:space="0" w:color="000000"/>
            </w:tcBorders>
          </w:tcPr>
          <w:p>
            <w:pPr>
              <w:pStyle w:val="TableParagraph"/>
              <w:spacing w:line="130" w:lineRule="exact" w:before="13"/>
              <w:ind w:right="76"/>
              <w:jc w:val="right"/>
              <w:rPr>
                <w:sz w:val="13"/>
              </w:rPr>
            </w:pPr>
            <w:r>
              <w:rPr>
                <w:spacing w:val="-10"/>
                <w:w w:val="105"/>
                <w:sz w:val="13"/>
              </w:rPr>
              <w:t>-</w:t>
            </w:r>
          </w:p>
        </w:tc>
        <w:tc>
          <w:tcPr>
            <w:tcW w:w="999" w:type="dxa"/>
            <w:tcBorders>
              <w:bottom w:val="single" w:sz="6" w:space="0" w:color="000000"/>
            </w:tcBorders>
          </w:tcPr>
          <w:p>
            <w:pPr>
              <w:pStyle w:val="TableParagraph"/>
              <w:spacing w:line="134" w:lineRule="exact" w:before="9"/>
              <w:ind w:right="160"/>
              <w:jc w:val="right"/>
              <w:rPr>
                <w:sz w:val="13"/>
              </w:rPr>
            </w:pPr>
            <w:r>
              <w:rPr>
                <w:spacing w:val="-2"/>
                <w:w w:val="105"/>
                <w:sz w:val="13"/>
              </w:rPr>
              <w:t>(29,963)</w:t>
            </w:r>
          </w:p>
        </w:tc>
        <w:tc>
          <w:tcPr>
            <w:tcW w:w="784" w:type="dxa"/>
            <w:tcBorders>
              <w:bottom w:val="single" w:sz="6" w:space="0" w:color="000000"/>
            </w:tcBorders>
          </w:tcPr>
          <w:p>
            <w:pPr>
              <w:pStyle w:val="TableParagraph"/>
              <w:spacing w:line="134" w:lineRule="exact" w:before="9"/>
              <w:ind w:right="28"/>
              <w:jc w:val="right"/>
              <w:rPr>
                <w:sz w:val="13"/>
              </w:rPr>
            </w:pPr>
            <w:r>
              <w:rPr>
                <w:spacing w:val="-2"/>
                <w:w w:val="105"/>
                <w:sz w:val="13"/>
              </w:rPr>
              <w:t>(43,929)</w:t>
            </w:r>
          </w:p>
        </w:tc>
      </w:tr>
      <w:tr>
        <w:trPr>
          <w:trHeight w:val="152" w:hRule="atLeast"/>
        </w:trPr>
        <w:tc>
          <w:tcPr>
            <w:tcW w:w="450" w:type="dxa"/>
          </w:tcPr>
          <w:p>
            <w:pPr>
              <w:pStyle w:val="TableParagraph"/>
              <w:rPr>
                <w:rFonts w:ascii="Times New Roman"/>
                <w:sz w:val="8"/>
              </w:rPr>
            </w:pPr>
          </w:p>
        </w:tc>
        <w:tc>
          <w:tcPr>
            <w:tcW w:w="4846" w:type="dxa"/>
          </w:tcPr>
          <w:p>
            <w:pPr>
              <w:pStyle w:val="TableParagraph"/>
              <w:spacing w:line="133" w:lineRule="exact"/>
              <w:ind w:left="187"/>
              <w:rPr>
                <w:sz w:val="13"/>
              </w:rPr>
            </w:pPr>
            <w:r>
              <w:rPr>
                <w:w w:val="105"/>
                <w:sz w:val="13"/>
              </w:rPr>
              <w:t>Net</w:t>
            </w:r>
            <w:r>
              <w:rPr>
                <w:spacing w:val="-6"/>
                <w:w w:val="105"/>
                <w:sz w:val="13"/>
              </w:rPr>
              <w:t> </w:t>
            </w:r>
            <w:r>
              <w:rPr>
                <w:w w:val="105"/>
                <w:sz w:val="13"/>
              </w:rPr>
              <w:t>book</w:t>
            </w:r>
            <w:r>
              <w:rPr>
                <w:spacing w:val="-3"/>
                <w:w w:val="105"/>
                <w:sz w:val="13"/>
              </w:rPr>
              <w:t> </w:t>
            </w:r>
            <w:r>
              <w:rPr>
                <w:spacing w:val="-2"/>
                <w:w w:val="105"/>
                <w:sz w:val="13"/>
              </w:rPr>
              <w:t>value</w:t>
            </w:r>
          </w:p>
        </w:tc>
        <w:tc>
          <w:tcPr>
            <w:tcW w:w="986" w:type="dxa"/>
            <w:tcBorders>
              <w:top w:val="single" w:sz="6" w:space="0" w:color="000000"/>
              <w:bottom w:val="single" w:sz="6" w:space="0" w:color="000000"/>
            </w:tcBorders>
          </w:tcPr>
          <w:p>
            <w:pPr>
              <w:pStyle w:val="TableParagraph"/>
              <w:spacing w:line="130" w:lineRule="exact" w:before="3"/>
              <w:ind w:right="140"/>
              <w:jc w:val="right"/>
              <w:rPr>
                <w:b/>
                <w:sz w:val="13"/>
              </w:rPr>
            </w:pPr>
            <w:r>
              <w:rPr>
                <w:b/>
                <w:spacing w:val="-2"/>
                <w:w w:val="105"/>
                <w:sz w:val="13"/>
              </w:rPr>
              <w:t>7,356</w:t>
            </w:r>
          </w:p>
        </w:tc>
        <w:tc>
          <w:tcPr>
            <w:tcW w:w="897" w:type="dxa"/>
            <w:tcBorders>
              <w:top w:val="single" w:sz="6" w:space="0" w:color="000000"/>
              <w:bottom w:val="single" w:sz="6" w:space="0" w:color="000000"/>
            </w:tcBorders>
          </w:tcPr>
          <w:p>
            <w:pPr>
              <w:pStyle w:val="TableParagraph"/>
              <w:spacing w:line="130" w:lineRule="exact" w:before="3"/>
              <w:ind w:right="122"/>
              <w:jc w:val="right"/>
              <w:rPr>
                <w:b/>
                <w:sz w:val="13"/>
              </w:rPr>
            </w:pPr>
            <w:r>
              <w:rPr>
                <w:b/>
                <w:spacing w:val="-2"/>
                <w:w w:val="105"/>
                <w:sz w:val="13"/>
              </w:rPr>
              <w:t>11,934</w:t>
            </w:r>
          </w:p>
        </w:tc>
        <w:tc>
          <w:tcPr>
            <w:tcW w:w="999" w:type="dxa"/>
            <w:tcBorders>
              <w:top w:val="single" w:sz="6" w:space="0" w:color="000000"/>
              <w:bottom w:val="single" w:sz="6" w:space="0" w:color="000000"/>
            </w:tcBorders>
          </w:tcPr>
          <w:p>
            <w:pPr>
              <w:pStyle w:val="TableParagraph"/>
              <w:spacing w:line="130" w:lineRule="exact" w:before="3"/>
              <w:ind w:right="205"/>
              <w:jc w:val="right"/>
              <w:rPr>
                <w:b/>
                <w:sz w:val="13"/>
              </w:rPr>
            </w:pPr>
            <w:r>
              <w:rPr>
                <w:b/>
                <w:spacing w:val="-2"/>
                <w:w w:val="105"/>
                <w:sz w:val="13"/>
              </w:rPr>
              <w:t>24,733</w:t>
            </w:r>
          </w:p>
        </w:tc>
        <w:tc>
          <w:tcPr>
            <w:tcW w:w="784" w:type="dxa"/>
            <w:tcBorders>
              <w:top w:val="single" w:sz="6" w:space="0" w:color="000000"/>
              <w:bottom w:val="single" w:sz="6" w:space="0" w:color="000000"/>
            </w:tcBorders>
          </w:tcPr>
          <w:p>
            <w:pPr>
              <w:pStyle w:val="TableParagraph"/>
              <w:spacing w:line="130" w:lineRule="exact" w:before="3"/>
              <w:ind w:right="73"/>
              <w:jc w:val="right"/>
              <w:rPr>
                <w:b/>
                <w:sz w:val="13"/>
              </w:rPr>
            </w:pPr>
            <w:r>
              <w:rPr>
                <w:b/>
                <w:spacing w:val="-2"/>
                <w:w w:val="105"/>
                <w:sz w:val="13"/>
              </w:rPr>
              <w:t>44,023</w:t>
            </w:r>
          </w:p>
        </w:tc>
      </w:tr>
    </w:tbl>
    <w:p>
      <w:pPr>
        <w:spacing w:line="240" w:lineRule="auto" w:before="21"/>
        <w:rPr>
          <w:sz w:val="12"/>
        </w:rPr>
      </w:pPr>
    </w:p>
    <w:p>
      <w:pPr>
        <w:spacing w:before="0"/>
        <w:ind w:left="840" w:right="0" w:firstLine="0"/>
        <w:jc w:val="left"/>
        <w:rPr>
          <w:b/>
          <w:i/>
          <w:sz w:val="13"/>
        </w:rPr>
      </w:pPr>
      <w:r>
        <w:rPr>
          <w:b/>
          <w:i/>
          <w:color w:val="0070C0"/>
          <w:w w:val="105"/>
          <w:sz w:val="13"/>
        </w:rPr>
        <w:t>Accounting</w:t>
      </w:r>
      <w:r>
        <w:rPr>
          <w:b/>
          <w:i/>
          <w:color w:val="0070C0"/>
          <w:spacing w:val="-6"/>
          <w:w w:val="105"/>
          <w:sz w:val="13"/>
        </w:rPr>
        <w:t> </w:t>
      </w:r>
      <w:r>
        <w:rPr>
          <w:b/>
          <w:i/>
          <w:color w:val="0070C0"/>
          <w:spacing w:val="-2"/>
          <w:w w:val="105"/>
          <w:sz w:val="13"/>
        </w:rPr>
        <w:t>policy</w:t>
      </w:r>
    </w:p>
    <w:p>
      <w:pPr>
        <w:spacing w:before="27"/>
        <w:ind w:left="840" w:right="0" w:firstLine="0"/>
        <w:jc w:val="left"/>
        <w:rPr>
          <w:b/>
          <w:sz w:val="13"/>
        </w:rPr>
      </w:pPr>
      <w:r>
        <w:rPr>
          <w:b/>
          <w:spacing w:val="-2"/>
          <w:w w:val="105"/>
          <w:sz w:val="13"/>
        </w:rPr>
        <w:t>Software</w:t>
      </w:r>
    </w:p>
    <w:p>
      <w:pPr>
        <w:spacing w:line="273" w:lineRule="auto" w:before="25"/>
        <w:ind w:left="840" w:right="1763" w:firstLine="0"/>
        <w:jc w:val="left"/>
        <w:rPr>
          <w:sz w:val="13"/>
        </w:rPr>
      </w:pPr>
      <w:r>
        <w:rPr>
          <w:w w:val="105"/>
          <w:sz w:val="13"/>
        </w:rPr>
        <w:t>Software includes both acquired and internally</w:t>
      </w:r>
      <w:r>
        <w:rPr>
          <w:spacing w:val="-3"/>
          <w:w w:val="105"/>
          <w:sz w:val="13"/>
        </w:rPr>
        <w:t> </w:t>
      </w:r>
      <w:r>
        <w:rPr>
          <w:w w:val="105"/>
          <w:sz w:val="13"/>
        </w:rPr>
        <w:t>generated software, and is stated at historic cost less amortisation and, where applicable,</w:t>
      </w:r>
      <w:r>
        <w:rPr>
          <w:spacing w:val="40"/>
          <w:w w:val="105"/>
          <w:sz w:val="13"/>
        </w:rPr>
        <w:t> </w:t>
      </w:r>
      <w:r>
        <w:rPr>
          <w:w w:val="105"/>
          <w:sz w:val="13"/>
        </w:rPr>
        <w:t>any impairment losses.</w:t>
      </w:r>
    </w:p>
    <w:p>
      <w:pPr>
        <w:spacing w:line="240" w:lineRule="auto" w:before="21"/>
        <w:rPr>
          <w:sz w:val="13"/>
        </w:rPr>
      </w:pPr>
    </w:p>
    <w:p>
      <w:pPr>
        <w:spacing w:before="0"/>
        <w:ind w:left="840" w:right="0" w:firstLine="0"/>
        <w:jc w:val="left"/>
        <w:rPr>
          <w:b/>
          <w:sz w:val="13"/>
        </w:rPr>
      </w:pPr>
      <w:r>
        <w:rPr>
          <w:b/>
          <w:w w:val="105"/>
          <w:sz w:val="13"/>
        </w:rPr>
        <w:t>Electronic</w:t>
      </w:r>
      <w:r>
        <w:rPr>
          <w:b/>
          <w:spacing w:val="-9"/>
          <w:w w:val="105"/>
          <w:sz w:val="13"/>
        </w:rPr>
        <w:t> </w:t>
      </w:r>
      <w:r>
        <w:rPr>
          <w:b/>
          <w:w w:val="105"/>
          <w:sz w:val="13"/>
        </w:rPr>
        <w:t>library</w:t>
      </w:r>
      <w:r>
        <w:rPr>
          <w:b/>
          <w:spacing w:val="-9"/>
          <w:w w:val="105"/>
          <w:sz w:val="13"/>
        </w:rPr>
        <w:t> </w:t>
      </w:r>
      <w:r>
        <w:rPr>
          <w:b/>
          <w:spacing w:val="-2"/>
          <w:w w:val="105"/>
          <w:sz w:val="13"/>
        </w:rPr>
        <w:t>resources</w:t>
      </w:r>
    </w:p>
    <w:p>
      <w:pPr>
        <w:spacing w:line="273" w:lineRule="auto" w:before="25"/>
        <w:ind w:left="840" w:right="1990" w:firstLine="0"/>
        <w:jc w:val="left"/>
        <w:rPr>
          <w:sz w:val="13"/>
        </w:rPr>
      </w:pPr>
      <w:r>
        <w:rPr>
          <w:w w:val="105"/>
          <w:sz w:val="13"/>
        </w:rPr>
        <w:t>Electronic library resources can be categorised into perpetual access and annual subscriptions. Perpetual access based resources are</w:t>
      </w:r>
      <w:r>
        <w:rPr>
          <w:spacing w:val="40"/>
          <w:w w:val="105"/>
          <w:sz w:val="13"/>
        </w:rPr>
        <w:t> </w:t>
      </w:r>
      <w:r>
        <w:rPr>
          <w:w w:val="105"/>
          <w:sz w:val="13"/>
        </w:rPr>
        <w:t>capitalised</w:t>
      </w:r>
      <w:r>
        <w:rPr>
          <w:spacing w:val="-1"/>
          <w:w w:val="105"/>
          <w:sz w:val="13"/>
        </w:rPr>
        <w:t> </w:t>
      </w:r>
      <w:r>
        <w:rPr>
          <w:w w:val="105"/>
          <w:sz w:val="13"/>
        </w:rPr>
        <w:t>and</w:t>
      </w:r>
      <w:r>
        <w:rPr>
          <w:spacing w:val="-1"/>
          <w:w w:val="105"/>
          <w:sz w:val="13"/>
        </w:rPr>
        <w:t> </w:t>
      </w:r>
      <w:r>
        <w:rPr>
          <w:w w:val="105"/>
          <w:sz w:val="13"/>
        </w:rPr>
        <w:t>amortised</w:t>
      </w:r>
      <w:r>
        <w:rPr>
          <w:spacing w:val="-1"/>
          <w:w w:val="105"/>
          <w:sz w:val="13"/>
        </w:rPr>
        <w:t> </w:t>
      </w:r>
      <w:r>
        <w:rPr>
          <w:w w:val="105"/>
          <w:sz w:val="13"/>
        </w:rPr>
        <w:t>10</w:t>
      </w:r>
      <w:r>
        <w:rPr>
          <w:spacing w:val="-1"/>
          <w:w w:val="105"/>
          <w:sz w:val="13"/>
        </w:rPr>
        <w:t> </w:t>
      </w:r>
      <w:r>
        <w:rPr>
          <w:w w:val="105"/>
          <w:sz w:val="13"/>
        </w:rPr>
        <w:t>per cent</w:t>
      </w:r>
      <w:r>
        <w:rPr>
          <w:spacing w:val="-1"/>
          <w:w w:val="105"/>
          <w:sz w:val="13"/>
        </w:rPr>
        <w:t> </w:t>
      </w:r>
      <w:r>
        <w:rPr>
          <w:w w:val="105"/>
          <w:sz w:val="13"/>
        </w:rPr>
        <w:t>annually</w:t>
      </w:r>
      <w:r>
        <w:rPr>
          <w:spacing w:val="-5"/>
          <w:w w:val="105"/>
          <w:sz w:val="13"/>
        </w:rPr>
        <w:t> </w:t>
      </w:r>
      <w:r>
        <w:rPr>
          <w:w w:val="105"/>
          <w:sz w:val="13"/>
        </w:rPr>
        <w:t>over 10</w:t>
      </w:r>
      <w:r>
        <w:rPr>
          <w:spacing w:val="-1"/>
          <w:w w:val="105"/>
          <w:sz w:val="13"/>
        </w:rPr>
        <w:t> </w:t>
      </w:r>
      <w:r>
        <w:rPr>
          <w:w w:val="105"/>
          <w:sz w:val="13"/>
        </w:rPr>
        <w:t>years.</w:t>
      </w:r>
      <w:r>
        <w:rPr>
          <w:spacing w:val="-1"/>
          <w:w w:val="105"/>
          <w:sz w:val="13"/>
        </w:rPr>
        <w:t> </w:t>
      </w:r>
      <w:r>
        <w:rPr>
          <w:w w:val="105"/>
          <w:sz w:val="13"/>
        </w:rPr>
        <w:t>Annual subscriptions are</w:t>
      </w:r>
      <w:r>
        <w:rPr>
          <w:spacing w:val="-1"/>
          <w:w w:val="105"/>
          <w:sz w:val="13"/>
        </w:rPr>
        <w:t> </w:t>
      </w:r>
      <w:r>
        <w:rPr>
          <w:w w:val="105"/>
          <w:sz w:val="13"/>
        </w:rPr>
        <w:t>expensed</w:t>
      </w:r>
      <w:r>
        <w:rPr>
          <w:spacing w:val="-1"/>
          <w:w w:val="105"/>
          <w:sz w:val="13"/>
        </w:rPr>
        <w:t> </w:t>
      </w:r>
      <w:r>
        <w:rPr>
          <w:w w:val="105"/>
          <w:sz w:val="13"/>
        </w:rPr>
        <w:t>as incurred.</w:t>
      </w:r>
    </w:p>
    <w:p>
      <w:pPr>
        <w:spacing w:line="240" w:lineRule="auto" w:before="5" w:after="0"/>
        <w:rPr>
          <w:sz w:val="12"/>
        </w:rPr>
      </w:pPr>
    </w:p>
    <w:tbl>
      <w:tblPr>
        <w:tblW w:w="0" w:type="auto"/>
        <w:jc w:val="left"/>
        <w:tblInd w:w="8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359"/>
        <w:gridCol w:w="2127"/>
        <w:gridCol w:w="1949"/>
      </w:tblGrid>
      <w:tr>
        <w:trPr>
          <w:trHeight w:val="153" w:hRule="atLeast"/>
        </w:trPr>
        <w:tc>
          <w:tcPr>
            <w:tcW w:w="3359" w:type="dxa"/>
            <w:tcBorders>
              <w:bottom w:val="single" w:sz="12" w:space="0" w:color="000000"/>
            </w:tcBorders>
          </w:tcPr>
          <w:p>
            <w:pPr>
              <w:pStyle w:val="TableParagraph"/>
              <w:spacing w:line="131" w:lineRule="exact" w:before="2"/>
              <w:ind w:left="26"/>
              <w:rPr>
                <w:sz w:val="13"/>
              </w:rPr>
            </w:pPr>
            <w:r>
              <w:rPr>
                <w:w w:val="105"/>
                <w:sz w:val="13"/>
              </w:rPr>
              <w:t>The</w:t>
            </w:r>
            <w:r>
              <w:rPr>
                <w:spacing w:val="-6"/>
                <w:w w:val="105"/>
                <w:sz w:val="13"/>
              </w:rPr>
              <w:t> </w:t>
            </w:r>
            <w:r>
              <w:rPr>
                <w:w w:val="105"/>
                <w:sz w:val="13"/>
              </w:rPr>
              <w:t>amortisation</w:t>
            </w:r>
            <w:r>
              <w:rPr>
                <w:spacing w:val="-5"/>
                <w:w w:val="105"/>
                <w:sz w:val="13"/>
              </w:rPr>
              <w:t> </w:t>
            </w:r>
            <w:r>
              <w:rPr>
                <w:w w:val="105"/>
                <w:sz w:val="13"/>
              </w:rPr>
              <w:t>rate</w:t>
            </w:r>
            <w:r>
              <w:rPr>
                <w:spacing w:val="-6"/>
                <w:w w:val="105"/>
                <w:sz w:val="13"/>
              </w:rPr>
              <w:t> </w:t>
            </w:r>
            <w:r>
              <w:rPr>
                <w:w w:val="105"/>
                <w:sz w:val="13"/>
              </w:rPr>
              <w:t>policy</w:t>
            </w:r>
            <w:r>
              <w:rPr>
                <w:spacing w:val="-8"/>
                <w:w w:val="105"/>
                <w:sz w:val="13"/>
              </w:rPr>
              <w:t> </w:t>
            </w:r>
            <w:r>
              <w:rPr>
                <w:w w:val="105"/>
                <w:sz w:val="13"/>
              </w:rPr>
              <w:t>is</w:t>
            </w:r>
            <w:r>
              <w:rPr>
                <w:spacing w:val="-5"/>
                <w:w w:val="105"/>
                <w:sz w:val="13"/>
              </w:rPr>
              <w:t> </w:t>
            </w:r>
            <w:r>
              <w:rPr>
                <w:w w:val="105"/>
                <w:sz w:val="13"/>
              </w:rPr>
              <w:t>as</w:t>
            </w:r>
            <w:r>
              <w:rPr>
                <w:spacing w:val="-4"/>
                <w:w w:val="105"/>
                <w:sz w:val="13"/>
              </w:rPr>
              <w:t> </w:t>
            </w:r>
            <w:r>
              <w:rPr>
                <w:spacing w:val="-2"/>
                <w:w w:val="105"/>
                <w:sz w:val="13"/>
              </w:rPr>
              <w:t>follows:</w:t>
            </w:r>
          </w:p>
        </w:tc>
        <w:tc>
          <w:tcPr>
            <w:tcW w:w="4076" w:type="dxa"/>
            <w:gridSpan w:val="2"/>
            <w:tcBorders>
              <w:bottom w:val="single" w:sz="12" w:space="0" w:color="000000"/>
            </w:tcBorders>
          </w:tcPr>
          <w:p>
            <w:pPr>
              <w:pStyle w:val="TableParagraph"/>
              <w:rPr>
                <w:rFonts w:ascii="Times New Roman"/>
                <w:sz w:val="8"/>
              </w:rPr>
            </w:pPr>
          </w:p>
        </w:tc>
      </w:tr>
      <w:tr>
        <w:trPr>
          <w:trHeight w:val="267" w:hRule="atLeast"/>
        </w:trPr>
        <w:tc>
          <w:tcPr>
            <w:tcW w:w="3359" w:type="dxa"/>
            <w:tcBorders>
              <w:top w:val="single" w:sz="12" w:space="0" w:color="000000"/>
              <w:bottom w:val="single" w:sz="12" w:space="0" w:color="000000"/>
            </w:tcBorders>
          </w:tcPr>
          <w:p>
            <w:pPr>
              <w:pStyle w:val="TableParagraph"/>
              <w:spacing w:before="59"/>
              <w:ind w:left="26"/>
              <w:rPr>
                <w:b/>
                <w:sz w:val="13"/>
              </w:rPr>
            </w:pPr>
            <w:r>
              <w:rPr>
                <w:b/>
                <w:spacing w:val="-2"/>
                <w:w w:val="105"/>
                <w:sz w:val="13"/>
              </w:rPr>
              <w:t>Asset</w:t>
            </w:r>
            <w:r>
              <w:rPr>
                <w:b/>
                <w:w w:val="105"/>
                <w:sz w:val="13"/>
              </w:rPr>
              <w:t> </w:t>
            </w:r>
            <w:r>
              <w:rPr>
                <w:b/>
                <w:spacing w:val="-2"/>
                <w:w w:val="105"/>
                <w:sz w:val="13"/>
              </w:rPr>
              <w:t>Class</w:t>
            </w:r>
          </w:p>
        </w:tc>
        <w:tc>
          <w:tcPr>
            <w:tcW w:w="2127" w:type="dxa"/>
            <w:tcBorders>
              <w:top w:val="single" w:sz="12" w:space="0" w:color="000000"/>
              <w:bottom w:val="single" w:sz="12" w:space="0" w:color="000000"/>
            </w:tcBorders>
          </w:tcPr>
          <w:p>
            <w:pPr>
              <w:pStyle w:val="TableParagraph"/>
              <w:spacing w:before="59"/>
              <w:ind w:left="858"/>
              <w:rPr>
                <w:b/>
                <w:sz w:val="13"/>
              </w:rPr>
            </w:pPr>
            <w:r>
              <w:rPr>
                <w:b/>
                <w:spacing w:val="-2"/>
                <w:w w:val="105"/>
                <w:sz w:val="13"/>
              </w:rPr>
              <w:t>Amortisation</w:t>
            </w:r>
            <w:r>
              <w:rPr>
                <w:b/>
                <w:spacing w:val="11"/>
                <w:w w:val="105"/>
                <w:sz w:val="13"/>
              </w:rPr>
              <w:t> </w:t>
            </w:r>
            <w:r>
              <w:rPr>
                <w:b/>
                <w:spacing w:val="-4"/>
                <w:w w:val="105"/>
                <w:sz w:val="13"/>
              </w:rPr>
              <w:t>rate</w:t>
            </w:r>
          </w:p>
        </w:tc>
        <w:tc>
          <w:tcPr>
            <w:tcW w:w="1949" w:type="dxa"/>
            <w:tcBorders>
              <w:top w:val="single" w:sz="12" w:space="0" w:color="000000"/>
              <w:bottom w:val="single" w:sz="12" w:space="0" w:color="000000"/>
            </w:tcBorders>
          </w:tcPr>
          <w:p>
            <w:pPr>
              <w:pStyle w:val="TableParagraph"/>
              <w:spacing w:before="59"/>
              <w:ind w:left="141"/>
              <w:rPr>
                <w:b/>
                <w:sz w:val="13"/>
              </w:rPr>
            </w:pPr>
            <w:r>
              <w:rPr>
                <w:b/>
                <w:spacing w:val="-2"/>
                <w:w w:val="105"/>
                <w:sz w:val="13"/>
              </w:rPr>
              <w:t>Amortisation</w:t>
            </w:r>
            <w:r>
              <w:rPr>
                <w:b/>
                <w:spacing w:val="11"/>
                <w:w w:val="105"/>
                <w:sz w:val="13"/>
              </w:rPr>
              <w:t> </w:t>
            </w:r>
            <w:r>
              <w:rPr>
                <w:b/>
                <w:spacing w:val="-2"/>
                <w:w w:val="105"/>
                <w:sz w:val="13"/>
              </w:rPr>
              <w:t>method</w:t>
            </w:r>
          </w:p>
        </w:tc>
      </w:tr>
      <w:tr>
        <w:trPr>
          <w:trHeight w:val="145" w:hRule="atLeast"/>
        </w:trPr>
        <w:tc>
          <w:tcPr>
            <w:tcW w:w="3359" w:type="dxa"/>
            <w:tcBorders>
              <w:top w:val="single" w:sz="12" w:space="0" w:color="000000"/>
              <w:bottom w:val="single" w:sz="6" w:space="0" w:color="000000"/>
            </w:tcBorders>
          </w:tcPr>
          <w:p>
            <w:pPr>
              <w:pStyle w:val="TableParagraph"/>
              <w:spacing w:line="125" w:lineRule="exact"/>
              <w:ind w:left="26"/>
              <w:rPr>
                <w:sz w:val="13"/>
              </w:rPr>
            </w:pPr>
            <w:r>
              <w:rPr>
                <w:spacing w:val="-2"/>
                <w:w w:val="105"/>
                <w:sz w:val="13"/>
              </w:rPr>
              <w:t>Software</w:t>
            </w:r>
          </w:p>
        </w:tc>
        <w:tc>
          <w:tcPr>
            <w:tcW w:w="2127" w:type="dxa"/>
            <w:tcBorders>
              <w:top w:val="single" w:sz="12" w:space="0" w:color="000000"/>
              <w:bottom w:val="single" w:sz="6" w:space="0" w:color="000000"/>
            </w:tcBorders>
          </w:tcPr>
          <w:p>
            <w:pPr>
              <w:pStyle w:val="TableParagraph"/>
              <w:spacing w:line="125" w:lineRule="exact"/>
              <w:ind w:left="858"/>
              <w:rPr>
                <w:sz w:val="13"/>
              </w:rPr>
            </w:pPr>
            <w:r>
              <w:rPr>
                <w:spacing w:val="-5"/>
                <w:w w:val="105"/>
                <w:sz w:val="13"/>
              </w:rPr>
              <w:t>20%</w:t>
            </w:r>
          </w:p>
        </w:tc>
        <w:tc>
          <w:tcPr>
            <w:tcW w:w="1949" w:type="dxa"/>
            <w:tcBorders>
              <w:top w:val="single" w:sz="12" w:space="0" w:color="000000"/>
              <w:bottom w:val="single" w:sz="6" w:space="0" w:color="000000"/>
            </w:tcBorders>
          </w:tcPr>
          <w:p>
            <w:pPr>
              <w:pStyle w:val="TableParagraph"/>
              <w:spacing w:line="125" w:lineRule="exact"/>
              <w:ind w:left="141"/>
              <w:rPr>
                <w:sz w:val="13"/>
              </w:rPr>
            </w:pPr>
            <w:r>
              <w:rPr>
                <w:spacing w:val="-2"/>
                <w:w w:val="105"/>
                <w:sz w:val="13"/>
              </w:rPr>
              <w:t>Straight</w:t>
            </w:r>
            <w:r>
              <w:rPr>
                <w:spacing w:val="6"/>
                <w:w w:val="105"/>
                <w:sz w:val="13"/>
              </w:rPr>
              <w:t> </w:t>
            </w:r>
            <w:r>
              <w:rPr>
                <w:spacing w:val="-4"/>
                <w:w w:val="105"/>
                <w:sz w:val="13"/>
              </w:rPr>
              <w:t>line</w:t>
            </w:r>
          </w:p>
        </w:tc>
      </w:tr>
      <w:tr>
        <w:trPr>
          <w:trHeight w:val="152" w:hRule="atLeast"/>
        </w:trPr>
        <w:tc>
          <w:tcPr>
            <w:tcW w:w="3359" w:type="dxa"/>
            <w:tcBorders>
              <w:top w:val="single" w:sz="6" w:space="0" w:color="000000"/>
              <w:bottom w:val="single" w:sz="6" w:space="0" w:color="000000"/>
            </w:tcBorders>
          </w:tcPr>
          <w:p>
            <w:pPr>
              <w:pStyle w:val="TableParagraph"/>
              <w:spacing w:line="128" w:lineRule="exact" w:before="5"/>
              <w:ind w:left="26"/>
              <w:rPr>
                <w:sz w:val="13"/>
              </w:rPr>
            </w:pPr>
            <w:r>
              <w:rPr>
                <w:w w:val="105"/>
                <w:sz w:val="13"/>
              </w:rPr>
              <w:t>Electronic</w:t>
            </w:r>
            <w:r>
              <w:rPr>
                <w:spacing w:val="-10"/>
                <w:w w:val="105"/>
                <w:sz w:val="13"/>
              </w:rPr>
              <w:t> </w:t>
            </w:r>
            <w:r>
              <w:rPr>
                <w:w w:val="105"/>
                <w:sz w:val="13"/>
              </w:rPr>
              <w:t>library</w:t>
            </w:r>
            <w:r>
              <w:rPr>
                <w:spacing w:val="-9"/>
                <w:w w:val="105"/>
                <w:sz w:val="13"/>
              </w:rPr>
              <w:t> </w:t>
            </w:r>
            <w:r>
              <w:rPr>
                <w:spacing w:val="-2"/>
                <w:w w:val="105"/>
                <w:sz w:val="13"/>
              </w:rPr>
              <w:t>resources</w:t>
            </w:r>
          </w:p>
        </w:tc>
        <w:tc>
          <w:tcPr>
            <w:tcW w:w="2127" w:type="dxa"/>
            <w:tcBorders>
              <w:top w:val="single" w:sz="6" w:space="0" w:color="000000"/>
              <w:bottom w:val="single" w:sz="6" w:space="0" w:color="000000"/>
            </w:tcBorders>
          </w:tcPr>
          <w:p>
            <w:pPr>
              <w:pStyle w:val="TableParagraph"/>
              <w:spacing w:line="128" w:lineRule="exact" w:before="5"/>
              <w:ind w:left="858"/>
              <w:rPr>
                <w:sz w:val="13"/>
              </w:rPr>
            </w:pPr>
            <w:r>
              <w:rPr>
                <w:spacing w:val="-5"/>
                <w:w w:val="105"/>
                <w:sz w:val="13"/>
              </w:rPr>
              <w:t>10%</w:t>
            </w:r>
          </w:p>
        </w:tc>
        <w:tc>
          <w:tcPr>
            <w:tcW w:w="1949" w:type="dxa"/>
            <w:tcBorders>
              <w:top w:val="single" w:sz="6" w:space="0" w:color="000000"/>
              <w:bottom w:val="single" w:sz="6" w:space="0" w:color="000000"/>
            </w:tcBorders>
          </w:tcPr>
          <w:p>
            <w:pPr>
              <w:pStyle w:val="TableParagraph"/>
              <w:spacing w:line="128" w:lineRule="exact" w:before="5"/>
              <w:ind w:left="141"/>
              <w:rPr>
                <w:sz w:val="13"/>
              </w:rPr>
            </w:pPr>
            <w:r>
              <w:rPr>
                <w:spacing w:val="-2"/>
                <w:w w:val="105"/>
                <w:sz w:val="13"/>
              </w:rPr>
              <w:t>Straight</w:t>
            </w:r>
            <w:r>
              <w:rPr>
                <w:spacing w:val="6"/>
                <w:w w:val="105"/>
                <w:sz w:val="13"/>
              </w:rPr>
              <w:t> </w:t>
            </w:r>
            <w:r>
              <w:rPr>
                <w:spacing w:val="-4"/>
                <w:w w:val="105"/>
                <w:sz w:val="13"/>
              </w:rPr>
              <w:t>line</w:t>
            </w:r>
          </w:p>
        </w:tc>
      </w:tr>
    </w:tbl>
    <w:p>
      <w:pPr>
        <w:spacing w:line="240" w:lineRule="auto" w:before="25"/>
        <w:rPr>
          <w:sz w:val="13"/>
        </w:rPr>
      </w:pPr>
    </w:p>
    <w:p>
      <w:pPr>
        <w:spacing w:before="0"/>
        <w:ind w:left="840" w:right="0" w:firstLine="0"/>
        <w:jc w:val="left"/>
        <w:rPr>
          <w:sz w:val="13"/>
        </w:rPr>
      </w:pPr>
      <w:r>
        <w:rPr>
          <w:w w:val="105"/>
          <w:sz w:val="13"/>
        </w:rPr>
        <w:t>Impairment</w:t>
      </w:r>
      <w:r>
        <w:rPr>
          <w:spacing w:val="-7"/>
          <w:w w:val="105"/>
          <w:sz w:val="13"/>
        </w:rPr>
        <w:t> </w:t>
      </w:r>
      <w:r>
        <w:rPr>
          <w:w w:val="105"/>
          <w:sz w:val="13"/>
        </w:rPr>
        <w:t>testing</w:t>
      </w:r>
      <w:r>
        <w:rPr>
          <w:spacing w:val="-7"/>
          <w:w w:val="105"/>
          <w:sz w:val="13"/>
        </w:rPr>
        <w:t> </w:t>
      </w:r>
      <w:r>
        <w:rPr>
          <w:w w:val="105"/>
          <w:sz w:val="13"/>
        </w:rPr>
        <w:t>is</w:t>
      </w:r>
      <w:r>
        <w:rPr>
          <w:spacing w:val="-6"/>
          <w:w w:val="105"/>
          <w:sz w:val="13"/>
        </w:rPr>
        <w:t> </w:t>
      </w:r>
      <w:r>
        <w:rPr>
          <w:w w:val="105"/>
          <w:sz w:val="13"/>
        </w:rPr>
        <w:t>performed</w:t>
      </w:r>
      <w:r>
        <w:rPr>
          <w:spacing w:val="-7"/>
          <w:w w:val="105"/>
          <w:sz w:val="13"/>
        </w:rPr>
        <w:t> </w:t>
      </w:r>
      <w:r>
        <w:rPr>
          <w:w w:val="105"/>
          <w:sz w:val="13"/>
        </w:rPr>
        <w:t>when</w:t>
      </w:r>
      <w:r>
        <w:rPr>
          <w:spacing w:val="-7"/>
          <w:w w:val="105"/>
          <w:sz w:val="13"/>
        </w:rPr>
        <w:t> </w:t>
      </w:r>
      <w:r>
        <w:rPr>
          <w:w w:val="105"/>
          <w:sz w:val="13"/>
        </w:rPr>
        <w:t>an</w:t>
      </w:r>
      <w:r>
        <w:rPr>
          <w:spacing w:val="-6"/>
          <w:w w:val="105"/>
          <w:sz w:val="13"/>
        </w:rPr>
        <w:t> </w:t>
      </w:r>
      <w:r>
        <w:rPr>
          <w:w w:val="105"/>
          <w:sz w:val="13"/>
        </w:rPr>
        <w:t>indicator</w:t>
      </w:r>
      <w:r>
        <w:rPr>
          <w:spacing w:val="-6"/>
          <w:w w:val="105"/>
          <w:sz w:val="13"/>
        </w:rPr>
        <w:t> </w:t>
      </w:r>
      <w:r>
        <w:rPr>
          <w:w w:val="105"/>
          <w:sz w:val="13"/>
        </w:rPr>
        <w:t>of</w:t>
      </w:r>
      <w:r>
        <w:rPr>
          <w:spacing w:val="-4"/>
          <w:w w:val="105"/>
          <w:sz w:val="13"/>
        </w:rPr>
        <w:t> </w:t>
      </w:r>
      <w:r>
        <w:rPr>
          <w:w w:val="105"/>
          <w:sz w:val="13"/>
        </w:rPr>
        <w:t>impairment</w:t>
      </w:r>
      <w:r>
        <w:rPr>
          <w:spacing w:val="-7"/>
          <w:w w:val="105"/>
          <w:sz w:val="13"/>
        </w:rPr>
        <w:t> </w:t>
      </w:r>
      <w:r>
        <w:rPr>
          <w:w w:val="105"/>
          <w:sz w:val="13"/>
        </w:rPr>
        <w:t>is</w:t>
      </w:r>
      <w:r>
        <w:rPr>
          <w:spacing w:val="-6"/>
          <w:w w:val="105"/>
          <w:sz w:val="13"/>
        </w:rPr>
        <w:t> </w:t>
      </w:r>
      <w:r>
        <w:rPr>
          <w:spacing w:val="-2"/>
          <w:w w:val="105"/>
          <w:sz w:val="13"/>
        </w:rPr>
        <w:t>identified.</w:t>
      </w:r>
    </w:p>
    <w:p>
      <w:pPr>
        <w:spacing w:line="240" w:lineRule="auto" w:before="3"/>
        <w:rPr>
          <w:sz w:val="10"/>
        </w:rPr>
      </w:pPr>
      <w:r>
        <w:rPr/>
        <mc:AlternateContent>
          <mc:Choice Requires="wps">
            <w:drawing>
              <wp:anchor distT="0" distB="0" distL="0" distR="0" allowOverlap="1" layoutInCell="1" locked="0" behindDoc="1" simplePos="0" relativeHeight="487750144">
                <wp:simplePos x="0" y="0"/>
                <wp:positionH relativeFrom="page">
                  <wp:posOffset>715403</wp:posOffset>
                </wp:positionH>
                <wp:positionV relativeFrom="paragraph">
                  <wp:posOffset>90163</wp:posOffset>
                </wp:positionV>
                <wp:extent cx="5688330" cy="17145"/>
                <wp:effectExtent l="0" t="0" r="0" b="0"/>
                <wp:wrapTopAndBottom/>
                <wp:docPr id="930" name="Graphic 930"/>
                <wp:cNvGraphicFramePr>
                  <a:graphicFrameLocks/>
                </wp:cNvGraphicFramePr>
                <a:graphic>
                  <a:graphicData uri="http://schemas.microsoft.com/office/word/2010/wordprocessingShape">
                    <wps:wsp>
                      <wps:cNvPr id="930" name="Graphic 930"/>
                      <wps:cNvSpPr/>
                      <wps:spPr>
                        <a:xfrm>
                          <a:off x="0" y="0"/>
                          <a:ext cx="5688330" cy="17145"/>
                        </a:xfrm>
                        <a:custGeom>
                          <a:avLst/>
                          <a:gdLst/>
                          <a:ahLst/>
                          <a:cxnLst/>
                          <a:rect l="l" t="t" r="r" b="b"/>
                          <a:pathLst>
                            <a:path w="5688330" h="17145">
                              <a:moveTo>
                                <a:pt x="5688304" y="0"/>
                              </a:moveTo>
                              <a:lnTo>
                                <a:pt x="0" y="0"/>
                              </a:lnTo>
                              <a:lnTo>
                                <a:pt x="0" y="16814"/>
                              </a:lnTo>
                              <a:lnTo>
                                <a:pt x="5688304" y="16814"/>
                              </a:lnTo>
                              <a:lnTo>
                                <a:pt x="5688304"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6.331001pt;margin-top:7.099512pt;width:447.898pt;height:1.324pt;mso-position-horizontal-relative:page;mso-position-vertical-relative:paragraph;z-index:-15566336;mso-wrap-distance-left:0;mso-wrap-distance-right:0" id="docshape624" filled="true" fillcolor="#4f81bd" stroked="false">
                <v:fill type="solid"/>
                <w10:wrap type="topAndBottom"/>
              </v:rect>
            </w:pict>
          </mc:Fallback>
        </mc:AlternateContent>
      </w:r>
    </w:p>
    <w:p>
      <w:pPr>
        <w:spacing w:after="0" w:line="240" w:lineRule="auto"/>
        <w:rPr>
          <w:sz w:val="10"/>
        </w:rPr>
        <w:sectPr>
          <w:pgSz w:w="11910" w:h="16840"/>
          <w:pgMar w:header="468" w:footer="0" w:top="720" w:bottom="280" w:left="920" w:right="0"/>
        </w:sectPr>
      </w:pPr>
    </w:p>
    <w:p>
      <w:pPr>
        <w:spacing w:before="83"/>
        <w:ind w:left="155" w:right="0" w:firstLine="0"/>
        <w:jc w:val="left"/>
        <w:rPr>
          <w:sz w:val="21"/>
        </w:rPr>
      </w:pPr>
      <w:r>
        <w:rPr/>
        <mc:AlternateContent>
          <mc:Choice Requires="wps">
            <w:drawing>
              <wp:anchor distT="0" distB="0" distL="0" distR="0" allowOverlap="1" layoutInCell="1" locked="0" behindDoc="0" simplePos="0" relativeHeight="15891456">
                <wp:simplePos x="0" y="0"/>
                <wp:positionH relativeFrom="page">
                  <wp:posOffset>10213244</wp:posOffset>
                </wp:positionH>
                <wp:positionV relativeFrom="page">
                  <wp:posOffset>7122741</wp:posOffset>
                </wp:positionV>
                <wp:extent cx="194310" cy="156845"/>
                <wp:effectExtent l="0" t="0" r="0" b="0"/>
                <wp:wrapNone/>
                <wp:docPr id="931" name="Textbox 931"/>
                <wp:cNvGraphicFramePr>
                  <a:graphicFrameLocks/>
                </wp:cNvGraphicFramePr>
                <a:graphic>
                  <a:graphicData uri="http://schemas.microsoft.com/office/word/2010/wordprocessingShape">
                    <wps:wsp>
                      <wps:cNvPr id="931" name="Textbox 931"/>
                      <wps:cNvSpPr txBox="1"/>
                      <wps:spPr>
                        <a:xfrm>
                          <a:off x="0" y="0"/>
                          <a:ext cx="194310" cy="156845"/>
                        </a:xfrm>
                        <a:prstGeom prst="rect">
                          <a:avLst/>
                        </a:prstGeom>
                      </wps:spPr>
                      <wps:txbx>
                        <w:txbxContent>
                          <w:p>
                            <w:pPr>
                              <w:spacing w:before="48"/>
                              <w:ind w:left="20" w:right="0" w:firstLine="0"/>
                              <w:jc w:val="left"/>
                              <w:rPr>
                                <w:rFonts w:ascii="TT Norms Pro"/>
                                <w:b/>
                                <w:sz w:val="20"/>
                              </w:rPr>
                            </w:pPr>
                            <w:r>
                              <w:rPr>
                                <w:rFonts w:ascii="TT Norms Pro"/>
                                <w:b/>
                                <w:spacing w:val="-5"/>
                                <w:sz w:val="20"/>
                              </w:rPr>
                              <w:t>91</w:t>
                            </w:r>
                          </w:p>
                        </w:txbxContent>
                      </wps:txbx>
                      <wps:bodyPr wrap="square" lIns="0" tIns="0" rIns="0" bIns="0" rtlCol="0" vert="vert">
                        <a:noAutofit/>
                      </wps:bodyPr>
                    </wps:wsp>
                  </a:graphicData>
                </a:graphic>
              </wp:anchor>
            </w:drawing>
          </mc:Choice>
          <mc:Fallback>
            <w:pict>
              <v:shape style="position:absolute;margin-left:804.192505pt;margin-top:560.845825pt;width:15.3pt;height:12.35pt;mso-position-horizontal-relative:page;mso-position-vertical-relative:page;z-index:15891456" type="#_x0000_t202" id="docshape625" filled="false" stroked="false">
                <v:textbox inset="0,0,0,0" style="layout-flow:vertical">
                  <w:txbxContent>
                    <w:p>
                      <w:pPr>
                        <w:spacing w:before="48"/>
                        <w:ind w:left="20" w:right="0" w:firstLine="0"/>
                        <w:jc w:val="left"/>
                        <w:rPr>
                          <w:rFonts w:ascii="TT Norms Pro"/>
                          <w:b/>
                          <w:sz w:val="20"/>
                        </w:rPr>
                      </w:pPr>
                      <w:r>
                        <w:rPr>
                          <w:rFonts w:ascii="TT Norms Pro"/>
                          <w:b/>
                          <w:spacing w:val="-5"/>
                          <w:sz w:val="20"/>
                        </w:rPr>
                        <w:t>91</w:t>
                      </w:r>
                    </w:p>
                  </w:txbxContent>
                </v:textbox>
                <w10:wrap type="none"/>
              </v:shape>
            </w:pict>
          </mc:Fallback>
        </mc:AlternateContent>
      </w:r>
      <w:r>
        <w:rPr/>
        <mc:AlternateContent>
          <mc:Choice Requires="wps">
            <w:drawing>
              <wp:anchor distT="0" distB="0" distL="0" distR="0" allowOverlap="1" layoutInCell="1" locked="0" behindDoc="0" simplePos="0" relativeHeight="15891968">
                <wp:simplePos x="0" y="0"/>
                <wp:positionH relativeFrom="page">
                  <wp:posOffset>719975</wp:posOffset>
                </wp:positionH>
                <wp:positionV relativeFrom="page">
                  <wp:posOffset>7133419</wp:posOffset>
                </wp:positionV>
                <wp:extent cx="1919605" cy="114300"/>
                <wp:effectExtent l="0" t="0" r="0" b="0"/>
                <wp:wrapNone/>
                <wp:docPr id="932" name="Textbox 932"/>
                <wp:cNvGraphicFramePr>
                  <a:graphicFrameLocks/>
                </wp:cNvGraphicFramePr>
                <a:graphic>
                  <a:graphicData uri="http://schemas.microsoft.com/office/word/2010/wordprocessingShape">
                    <wps:wsp>
                      <wps:cNvPr id="932" name="Textbox 932"/>
                      <wps:cNvSpPr txBox="1"/>
                      <wps:spPr>
                        <a:xfrm rot="10800000">
                          <a:off x="0" y="0"/>
                          <a:ext cx="1919605" cy="114300"/>
                        </a:xfrm>
                        <a:prstGeom prst="rect">
                          <a:avLst/>
                        </a:prstGeom>
                      </wps:spPr>
                      <wps:txbx>
                        <w:txbxContent>
                          <w:p>
                            <w:pPr>
                              <w:spacing w:line="180" w:lineRule="exact" w:before="0"/>
                              <w:ind w:left="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wps:txbx>
                      <wps:bodyPr wrap="square" lIns="0" tIns="0" rIns="0" bIns="0" rtlCol="0">
                        <a:noAutofit/>
                      </wps:bodyPr>
                    </wps:wsp>
                  </a:graphicData>
                </a:graphic>
              </wp:anchor>
            </w:drawing>
          </mc:Choice>
          <mc:Fallback>
            <w:pict>
              <v:shape style="position:absolute;margin-left:56.690994pt;margin-top:561.686584pt;width:151.15pt;height:9pt;mso-position-horizontal-relative:page;mso-position-vertical-relative:page;z-index:15891968;rotation:180" type="#_x0000_t136" fillcolor="#000000" stroked="f">
                <o:extrusion v:ext="view" autorotationcenter="t"/>
                <v:textpath style="font-family:&quot;TT Norms Pro&quot;;font-size:9pt;v-text-kern:t;mso-text-shadow:auto;font-weight:bold" string="2020 Financial Report | uwa.edu.au"/>
                <w10:wrap type="none"/>
              </v:shape>
            </w:pict>
          </mc:Fallback>
        </mc:AlternateContent>
      </w:r>
      <w:r>
        <w:rPr>
          <w:color w:val="0070C0"/>
          <w:sz w:val="21"/>
        </w:rPr>
        <w:t>NOTES</w:t>
      </w:r>
      <w:r>
        <w:rPr>
          <w:color w:val="0070C0"/>
          <w:spacing w:val="4"/>
          <w:sz w:val="21"/>
        </w:rPr>
        <w:t> </w:t>
      </w:r>
      <w:r>
        <w:rPr>
          <w:color w:val="0070C0"/>
          <w:sz w:val="21"/>
        </w:rPr>
        <w:t>TO</w:t>
      </w:r>
      <w:r>
        <w:rPr>
          <w:color w:val="0070C0"/>
          <w:spacing w:val="6"/>
          <w:sz w:val="21"/>
        </w:rPr>
        <w:t> </w:t>
      </w:r>
      <w:r>
        <w:rPr>
          <w:color w:val="0070C0"/>
          <w:sz w:val="21"/>
        </w:rPr>
        <w:t>THE</w:t>
      </w:r>
      <w:r>
        <w:rPr>
          <w:color w:val="0070C0"/>
          <w:spacing w:val="4"/>
          <w:sz w:val="21"/>
        </w:rPr>
        <w:t> </w:t>
      </w:r>
      <w:r>
        <w:rPr>
          <w:color w:val="0070C0"/>
          <w:sz w:val="21"/>
        </w:rPr>
        <w:t>FINANCIAL</w:t>
      </w:r>
      <w:r>
        <w:rPr>
          <w:color w:val="0070C0"/>
          <w:spacing w:val="7"/>
          <w:sz w:val="21"/>
        </w:rPr>
        <w:t> </w:t>
      </w:r>
      <w:r>
        <w:rPr>
          <w:color w:val="0070C0"/>
          <w:spacing w:val="-2"/>
          <w:sz w:val="21"/>
        </w:rPr>
        <w:t>STATEMENTS</w:t>
      </w:r>
    </w:p>
    <w:p>
      <w:pPr>
        <w:spacing w:before="24"/>
        <w:ind w:left="141" w:right="0" w:firstLine="0"/>
        <w:jc w:val="left"/>
        <w:rPr>
          <w:sz w:val="12"/>
        </w:rPr>
      </w:pPr>
      <w:r>
        <w:rPr>
          <w:spacing w:val="-2"/>
          <w:sz w:val="12"/>
        </w:rPr>
        <w:t>for</w:t>
      </w:r>
      <w:r>
        <w:rPr>
          <w:spacing w:val="-3"/>
          <w:sz w:val="12"/>
        </w:rPr>
        <w:t> </w:t>
      </w:r>
      <w:r>
        <w:rPr>
          <w:spacing w:val="-2"/>
          <w:sz w:val="12"/>
        </w:rPr>
        <w:t>the</w:t>
      </w:r>
      <w:r>
        <w:rPr>
          <w:spacing w:val="-3"/>
          <w:sz w:val="12"/>
        </w:rPr>
        <w:t> </w:t>
      </w:r>
      <w:r>
        <w:rPr>
          <w:spacing w:val="-2"/>
          <w:sz w:val="12"/>
        </w:rPr>
        <w:t>year</w:t>
      </w:r>
      <w:r>
        <w:rPr>
          <w:spacing w:val="-3"/>
          <w:sz w:val="12"/>
        </w:rPr>
        <w:t> </w:t>
      </w:r>
      <w:r>
        <w:rPr>
          <w:spacing w:val="-2"/>
          <w:sz w:val="12"/>
        </w:rPr>
        <w:t>ended</w:t>
      </w:r>
      <w:r>
        <w:rPr>
          <w:spacing w:val="-3"/>
          <w:sz w:val="12"/>
        </w:rPr>
        <w:t> </w:t>
      </w:r>
      <w:r>
        <w:rPr>
          <w:spacing w:val="-2"/>
          <w:sz w:val="12"/>
        </w:rPr>
        <w:t>31</w:t>
      </w:r>
      <w:r>
        <w:rPr>
          <w:spacing w:val="-3"/>
          <w:sz w:val="12"/>
        </w:rPr>
        <w:t> </w:t>
      </w:r>
      <w:r>
        <w:rPr>
          <w:spacing w:val="-2"/>
          <w:sz w:val="12"/>
        </w:rPr>
        <w:t>December</w:t>
      </w:r>
      <w:r>
        <w:rPr>
          <w:spacing w:val="-3"/>
          <w:sz w:val="12"/>
        </w:rPr>
        <w:t> </w:t>
      </w:r>
      <w:r>
        <w:rPr>
          <w:spacing w:val="-4"/>
          <w:sz w:val="12"/>
        </w:rPr>
        <w:t>2020</w:t>
      </w:r>
    </w:p>
    <w:p>
      <w:pPr>
        <w:tabs>
          <w:tab w:pos="740" w:val="left" w:leader="none"/>
        </w:tabs>
        <w:spacing w:before="176"/>
        <w:ind w:left="146" w:right="0" w:firstLine="0"/>
        <w:jc w:val="left"/>
        <w:rPr>
          <w:b/>
          <w:sz w:val="16"/>
        </w:rPr>
      </w:pPr>
      <w:r>
        <w:rPr>
          <w:b/>
          <w:color w:val="0070C0"/>
          <w:spacing w:val="-5"/>
          <w:sz w:val="16"/>
        </w:rPr>
        <w:t>5.5</w:t>
      </w:r>
      <w:r>
        <w:rPr>
          <w:b/>
          <w:color w:val="0070C0"/>
          <w:sz w:val="16"/>
        </w:rPr>
        <w:tab/>
        <w:t>Property,</w:t>
      </w:r>
      <w:r>
        <w:rPr>
          <w:b/>
          <w:color w:val="0070C0"/>
          <w:spacing w:val="-11"/>
          <w:sz w:val="16"/>
        </w:rPr>
        <w:t> </w:t>
      </w:r>
      <w:r>
        <w:rPr>
          <w:b/>
          <w:color w:val="0070C0"/>
          <w:sz w:val="16"/>
        </w:rPr>
        <w:t>plant</w:t>
      </w:r>
      <w:r>
        <w:rPr>
          <w:b/>
          <w:color w:val="0070C0"/>
          <w:spacing w:val="-9"/>
          <w:sz w:val="16"/>
        </w:rPr>
        <w:t> </w:t>
      </w:r>
      <w:r>
        <w:rPr>
          <w:b/>
          <w:color w:val="0070C0"/>
          <w:sz w:val="16"/>
        </w:rPr>
        <w:t>and</w:t>
      </w:r>
      <w:r>
        <w:rPr>
          <w:b/>
          <w:color w:val="0070C0"/>
          <w:spacing w:val="-11"/>
          <w:sz w:val="16"/>
        </w:rPr>
        <w:t> </w:t>
      </w:r>
      <w:r>
        <w:rPr>
          <w:b/>
          <w:color w:val="0070C0"/>
          <w:sz w:val="16"/>
        </w:rPr>
        <w:t>equipment</w:t>
      </w:r>
      <w:r>
        <w:rPr>
          <w:b/>
          <w:color w:val="0070C0"/>
          <w:spacing w:val="-9"/>
          <w:sz w:val="16"/>
        </w:rPr>
        <w:t> </w:t>
      </w:r>
      <w:r>
        <w:rPr>
          <w:b/>
          <w:color w:val="0070C0"/>
          <w:sz w:val="16"/>
        </w:rPr>
        <w:t>and</w:t>
      </w:r>
      <w:r>
        <w:rPr>
          <w:b/>
          <w:color w:val="0070C0"/>
          <w:spacing w:val="-11"/>
          <w:sz w:val="16"/>
        </w:rPr>
        <w:t> </w:t>
      </w:r>
      <w:r>
        <w:rPr>
          <w:b/>
          <w:color w:val="0070C0"/>
          <w:sz w:val="16"/>
        </w:rPr>
        <w:t>Assets</w:t>
      </w:r>
      <w:r>
        <w:rPr>
          <w:b/>
          <w:color w:val="0070C0"/>
          <w:spacing w:val="-11"/>
          <w:sz w:val="16"/>
        </w:rPr>
        <w:t> </w:t>
      </w:r>
      <w:r>
        <w:rPr>
          <w:b/>
          <w:color w:val="0070C0"/>
          <w:sz w:val="16"/>
        </w:rPr>
        <w:t>classified</w:t>
      </w:r>
      <w:r>
        <w:rPr>
          <w:b/>
          <w:color w:val="0070C0"/>
          <w:spacing w:val="-11"/>
          <w:sz w:val="16"/>
        </w:rPr>
        <w:t> </w:t>
      </w:r>
      <w:r>
        <w:rPr>
          <w:b/>
          <w:color w:val="0070C0"/>
          <w:sz w:val="16"/>
        </w:rPr>
        <w:t>as</w:t>
      </w:r>
      <w:r>
        <w:rPr>
          <w:b/>
          <w:color w:val="0070C0"/>
          <w:spacing w:val="-11"/>
          <w:sz w:val="16"/>
        </w:rPr>
        <w:t> </w:t>
      </w:r>
      <w:r>
        <w:rPr>
          <w:b/>
          <w:color w:val="0070C0"/>
          <w:sz w:val="16"/>
        </w:rPr>
        <w:t>held</w:t>
      </w:r>
      <w:r>
        <w:rPr>
          <w:b/>
          <w:color w:val="0070C0"/>
          <w:spacing w:val="-11"/>
          <w:sz w:val="16"/>
        </w:rPr>
        <w:t> </w:t>
      </w:r>
      <w:r>
        <w:rPr>
          <w:b/>
          <w:color w:val="0070C0"/>
          <w:sz w:val="16"/>
        </w:rPr>
        <w:t>for</w:t>
      </w:r>
      <w:r>
        <w:rPr>
          <w:b/>
          <w:color w:val="0070C0"/>
          <w:spacing w:val="-9"/>
          <w:sz w:val="16"/>
        </w:rPr>
        <w:t> </w:t>
      </w:r>
      <w:r>
        <w:rPr>
          <w:b/>
          <w:color w:val="0070C0"/>
          <w:spacing w:val="-4"/>
          <w:sz w:val="16"/>
        </w:rPr>
        <w:t>sale</w:t>
      </w:r>
    </w:p>
    <w:p>
      <w:pPr>
        <w:spacing w:line="240" w:lineRule="auto" w:before="2" w:after="0"/>
        <w:rPr>
          <w:b/>
          <w:sz w:val="16"/>
        </w:rPr>
      </w:pPr>
    </w:p>
    <w:tbl>
      <w:tblPr>
        <w:tblW w:w="0" w:type="auto"/>
        <w:jc w:val="left"/>
        <w:tblInd w:w="1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53"/>
        <w:gridCol w:w="3229"/>
        <w:gridCol w:w="596"/>
        <w:gridCol w:w="984"/>
        <w:gridCol w:w="938"/>
        <w:gridCol w:w="933"/>
        <w:gridCol w:w="900"/>
        <w:gridCol w:w="949"/>
        <w:gridCol w:w="954"/>
        <w:gridCol w:w="858"/>
        <w:gridCol w:w="929"/>
        <w:gridCol w:w="995"/>
        <w:gridCol w:w="804"/>
      </w:tblGrid>
      <w:tr>
        <w:trPr>
          <w:trHeight w:val="381" w:hRule="atLeast"/>
        </w:trPr>
        <w:tc>
          <w:tcPr>
            <w:tcW w:w="553" w:type="dxa"/>
          </w:tcPr>
          <w:p>
            <w:pPr>
              <w:pStyle w:val="TableParagraph"/>
              <w:spacing w:before="27"/>
              <w:ind w:left="29"/>
              <w:rPr>
                <w:b/>
                <w:sz w:val="16"/>
              </w:rPr>
            </w:pPr>
            <w:r>
              <w:rPr>
                <w:b/>
                <w:color w:val="0070C0"/>
                <w:sz w:val="16"/>
              </w:rPr>
              <w:t>5.5</w:t>
            </w:r>
            <w:r>
              <w:rPr>
                <w:b/>
                <w:color w:val="0070C0"/>
                <w:spacing w:val="-6"/>
                <w:sz w:val="16"/>
              </w:rPr>
              <w:t> </w:t>
            </w:r>
            <w:r>
              <w:rPr>
                <w:b/>
                <w:color w:val="0070C0"/>
                <w:spacing w:val="-5"/>
                <w:sz w:val="16"/>
              </w:rPr>
              <w:t>(a)</w:t>
            </w:r>
          </w:p>
        </w:tc>
        <w:tc>
          <w:tcPr>
            <w:tcW w:w="3229" w:type="dxa"/>
          </w:tcPr>
          <w:p>
            <w:pPr>
              <w:pStyle w:val="TableParagraph"/>
              <w:spacing w:before="27"/>
              <w:ind w:left="70"/>
              <w:rPr>
                <w:b/>
                <w:sz w:val="16"/>
              </w:rPr>
            </w:pPr>
            <w:r>
              <w:rPr>
                <w:b/>
                <w:color w:val="0070C0"/>
                <w:sz w:val="16"/>
              </w:rPr>
              <w:t>Property,</w:t>
            </w:r>
            <w:r>
              <w:rPr>
                <w:b/>
                <w:color w:val="0070C0"/>
                <w:spacing w:val="-10"/>
                <w:sz w:val="16"/>
              </w:rPr>
              <w:t> </w:t>
            </w:r>
            <w:r>
              <w:rPr>
                <w:b/>
                <w:color w:val="0070C0"/>
                <w:sz w:val="16"/>
              </w:rPr>
              <w:t>plant</w:t>
            </w:r>
            <w:r>
              <w:rPr>
                <w:b/>
                <w:color w:val="0070C0"/>
                <w:spacing w:val="-10"/>
                <w:sz w:val="16"/>
              </w:rPr>
              <w:t> </w:t>
            </w:r>
            <w:r>
              <w:rPr>
                <w:b/>
                <w:color w:val="0070C0"/>
                <w:sz w:val="16"/>
              </w:rPr>
              <w:t>and</w:t>
            </w:r>
            <w:r>
              <w:rPr>
                <w:b/>
                <w:color w:val="0070C0"/>
                <w:spacing w:val="-10"/>
                <w:sz w:val="16"/>
              </w:rPr>
              <w:t> </w:t>
            </w:r>
            <w:r>
              <w:rPr>
                <w:b/>
                <w:color w:val="0070C0"/>
                <w:spacing w:val="-2"/>
                <w:sz w:val="16"/>
              </w:rPr>
              <w:t>equipment</w:t>
            </w:r>
          </w:p>
        </w:tc>
        <w:tc>
          <w:tcPr>
            <w:tcW w:w="596" w:type="dxa"/>
          </w:tcPr>
          <w:p>
            <w:pPr>
              <w:pStyle w:val="TableParagraph"/>
              <w:rPr>
                <w:rFonts w:ascii="Times New Roman"/>
                <w:sz w:val="12"/>
              </w:rPr>
            </w:pPr>
          </w:p>
        </w:tc>
        <w:tc>
          <w:tcPr>
            <w:tcW w:w="984" w:type="dxa"/>
          </w:tcPr>
          <w:p>
            <w:pPr>
              <w:pStyle w:val="TableParagraph"/>
              <w:spacing w:line="170" w:lineRule="atLeast" w:before="22"/>
              <w:ind w:left="332" w:right="48" w:hanging="161"/>
              <w:rPr>
                <w:b/>
                <w:sz w:val="13"/>
              </w:rPr>
            </w:pPr>
            <w:r>
              <w:rPr>
                <w:b/>
                <w:spacing w:val="-2"/>
                <w:sz w:val="13"/>
              </w:rPr>
              <w:t>Freehold</w:t>
            </w:r>
            <w:r>
              <w:rPr>
                <w:b/>
                <w:spacing w:val="40"/>
                <w:sz w:val="13"/>
              </w:rPr>
              <w:t> </w:t>
            </w:r>
            <w:r>
              <w:rPr>
                <w:b/>
                <w:spacing w:val="-4"/>
                <w:sz w:val="13"/>
              </w:rPr>
              <w:t>land</w:t>
            </w:r>
          </w:p>
        </w:tc>
        <w:tc>
          <w:tcPr>
            <w:tcW w:w="938" w:type="dxa"/>
          </w:tcPr>
          <w:p>
            <w:pPr>
              <w:pStyle w:val="TableParagraph"/>
              <w:spacing w:line="170" w:lineRule="atLeast" w:before="22"/>
              <w:ind w:left="274" w:hanging="190"/>
              <w:rPr>
                <w:b/>
                <w:sz w:val="13"/>
              </w:rPr>
            </w:pPr>
            <w:r>
              <w:rPr>
                <w:b/>
                <w:spacing w:val="-2"/>
                <w:sz w:val="13"/>
              </w:rPr>
              <w:t>Leasehold</w:t>
            </w:r>
            <w:r>
              <w:rPr>
                <w:b/>
                <w:spacing w:val="40"/>
                <w:sz w:val="13"/>
              </w:rPr>
              <w:t> </w:t>
            </w:r>
            <w:r>
              <w:rPr>
                <w:b/>
                <w:spacing w:val="-4"/>
                <w:sz w:val="13"/>
              </w:rPr>
              <w:t>land</w:t>
            </w:r>
          </w:p>
        </w:tc>
        <w:tc>
          <w:tcPr>
            <w:tcW w:w="933" w:type="dxa"/>
          </w:tcPr>
          <w:p>
            <w:pPr>
              <w:pStyle w:val="TableParagraph"/>
              <w:spacing w:before="55"/>
              <w:ind w:left="98"/>
              <w:rPr>
                <w:b/>
                <w:sz w:val="13"/>
              </w:rPr>
            </w:pPr>
            <w:r>
              <w:rPr>
                <w:b/>
                <w:spacing w:val="-2"/>
                <w:sz w:val="13"/>
              </w:rPr>
              <w:t>Buildings</w:t>
            </w:r>
          </w:p>
        </w:tc>
        <w:tc>
          <w:tcPr>
            <w:tcW w:w="900" w:type="dxa"/>
          </w:tcPr>
          <w:p>
            <w:pPr>
              <w:pStyle w:val="TableParagraph"/>
              <w:spacing w:line="170" w:lineRule="atLeast" w:before="22"/>
              <w:ind w:left="105" w:firstLine="40"/>
              <w:rPr>
                <w:b/>
                <w:sz w:val="13"/>
              </w:rPr>
            </w:pPr>
            <w:r>
              <w:rPr>
                <w:b/>
                <w:sz w:val="13"/>
              </w:rPr>
              <w:t>Work</w:t>
            </w:r>
            <w:r>
              <w:rPr>
                <w:b/>
                <w:spacing w:val="-5"/>
                <w:sz w:val="13"/>
              </w:rPr>
              <w:t> </w:t>
            </w:r>
            <w:r>
              <w:rPr>
                <w:b/>
                <w:sz w:val="13"/>
              </w:rPr>
              <w:t>in</w:t>
            </w:r>
            <w:r>
              <w:rPr>
                <w:b/>
                <w:spacing w:val="40"/>
                <w:sz w:val="13"/>
              </w:rPr>
              <w:t> </w:t>
            </w:r>
            <w:r>
              <w:rPr>
                <w:b/>
                <w:spacing w:val="-2"/>
                <w:sz w:val="13"/>
              </w:rPr>
              <w:t>progress</w:t>
            </w:r>
          </w:p>
        </w:tc>
        <w:tc>
          <w:tcPr>
            <w:tcW w:w="949" w:type="dxa"/>
          </w:tcPr>
          <w:p>
            <w:pPr>
              <w:pStyle w:val="TableParagraph"/>
              <w:spacing w:line="170" w:lineRule="atLeast" w:before="22"/>
              <w:ind w:left="81" w:firstLine="18"/>
              <w:rPr>
                <w:b/>
                <w:sz w:val="13"/>
              </w:rPr>
            </w:pPr>
            <w:r>
              <w:rPr>
                <w:b/>
                <w:sz w:val="13"/>
              </w:rPr>
              <w:t>Plant</w:t>
            </w:r>
            <w:r>
              <w:rPr>
                <w:b/>
                <w:spacing w:val="-5"/>
                <w:sz w:val="13"/>
              </w:rPr>
              <w:t> </w:t>
            </w:r>
            <w:r>
              <w:rPr>
                <w:b/>
                <w:sz w:val="13"/>
              </w:rPr>
              <w:t>and</w:t>
            </w:r>
            <w:r>
              <w:rPr>
                <w:b/>
                <w:spacing w:val="40"/>
                <w:sz w:val="13"/>
              </w:rPr>
              <w:t> </w:t>
            </w:r>
            <w:r>
              <w:rPr>
                <w:b/>
                <w:spacing w:val="-2"/>
                <w:sz w:val="13"/>
              </w:rPr>
              <w:t>equipment</w:t>
            </w:r>
          </w:p>
        </w:tc>
        <w:tc>
          <w:tcPr>
            <w:tcW w:w="954" w:type="dxa"/>
          </w:tcPr>
          <w:p>
            <w:pPr>
              <w:pStyle w:val="TableParagraph"/>
              <w:spacing w:before="55"/>
              <w:ind w:left="107"/>
              <w:rPr>
                <w:b/>
                <w:sz w:val="13"/>
              </w:rPr>
            </w:pPr>
            <w:r>
              <w:rPr>
                <w:b/>
                <w:spacing w:val="-2"/>
                <w:sz w:val="13"/>
              </w:rPr>
              <w:t>Artworks</w:t>
            </w:r>
          </w:p>
        </w:tc>
        <w:tc>
          <w:tcPr>
            <w:tcW w:w="858" w:type="dxa"/>
          </w:tcPr>
          <w:p>
            <w:pPr>
              <w:pStyle w:val="TableParagraph"/>
              <w:spacing w:line="170" w:lineRule="atLeast" w:before="22"/>
              <w:ind w:left="167" w:hanging="29"/>
              <w:rPr>
                <w:b/>
                <w:sz w:val="13"/>
              </w:rPr>
            </w:pPr>
            <w:r>
              <w:rPr>
                <w:b/>
                <w:spacing w:val="-2"/>
                <w:sz w:val="13"/>
              </w:rPr>
              <w:t>Library</w:t>
            </w:r>
            <w:r>
              <w:rPr>
                <w:b/>
                <w:spacing w:val="40"/>
                <w:sz w:val="13"/>
              </w:rPr>
              <w:t> </w:t>
            </w:r>
            <w:r>
              <w:rPr>
                <w:b/>
                <w:spacing w:val="-2"/>
                <w:sz w:val="13"/>
              </w:rPr>
              <w:t>books</w:t>
            </w:r>
          </w:p>
        </w:tc>
        <w:tc>
          <w:tcPr>
            <w:tcW w:w="929" w:type="dxa"/>
          </w:tcPr>
          <w:p>
            <w:pPr>
              <w:pStyle w:val="TableParagraph"/>
              <w:spacing w:line="170" w:lineRule="atLeast" w:before="22"/>
              <w:ind w:left="74" w:right="45" w:firstLine="105"/>
              <w:rPr>
                <w:b/>
                <w:sz w:val="13"/>
              </w:rPr>
            </w:pPr>
            <w:r>
              <w:rPr>
                <w:b/>
                <w:sz w:val="13"/>
              </w:rPr>
              <w:t>Right</w:t>
            </w:r>
            <w:r>
              <w:rPr>
                <w:b/>
                <w:spacing w:val="-5"/>
                <w:sz w:val="13"/>
              </w:rPr>
              <w:t> </w:t>
            </w:r>
            <w:r>
              <w:rPr>
                <w:b/>
                <w:sz w:val="13"/>
              </w:rPr>
              <w:t>of</w:t>
            </w:r>
            <w:r>
              <w:rPr>
                <w:b/>
                <w:spacing w:val="40"/>
                <w:sz w:val="13"/>
              </w:rPr>
              <w:t> </w:t>
            </w:r>
            <w:r>
              <w:rPr>
                <w:b/>
                <w:sz w:val="13"/>
              </w:rPr>
              <w:t>Use</w:t>
            </w:r>
            <w:r>
              <w:rPr>
                <w:b/>
                <w:spacing w:val="-10"/>
                <w:sz w:val="13"/>
              </w:rPr>
              <w:t> </w:t>
            </w:r>
            <w:r>
              <w:rPr>
                <w:b/>
                <w:sz w:val="13"/>
              </w:rPr>
              <w:t>Assets</w:t>
            </w:r>
          </w:p>
        </w:tc>
        <w:tc>
          <w:tcPr>
            <w:tcW w:w="995" w:type="dxa"/>
          </w:tcPr>
          <w:p>
            <w:pPr>
              <w:pStyle w:val="TableParagraph"/>
              <w:spacing w:line="170" w:lineRule="atLeast" w:before="22"/>
              <w:ind w:left="81" w:firstLine="96"/>
              <w:rPr>
                <w:b/>
                <w:sz w:val="13"/>
              </w:rPr>
            </w:pPr>
            <w:r>
              <w:rPr>
                <w:b/>
                <w:spacing w:val="-2"/>
                <w:sz w:val="13"/>
              </w:rPr>
              <w:t>Special</w:t>
            </w:r>
            <w:r>
              <w:rPr>
                <w:b/>
                <w:spacing w:val="40"/>
                <w:sz w:val="13"/>
              </w:rPr>
              <w:t> </w:t>
            </w:r>
            <w:r>
              <w:rPr>
                <w:b/>
                <w:spacing w:val="-2"/>
                <w:sz w:val="13"/>
              </w:rPr>
              <w:t>collections</w:t>
            </w:r>
          </w:p>
        </w:tc>
        <w:tc>
          <w:tcPr>
            <w:tcW w:w="804" w:type="dxa"/>
          </w:tcPr>
          <w:p>
            <w:pPr>
              <w:pStyle w:val="TableParagraph"/>
              <w:spacing w:before="55"/>
              <w:ind w:left="199"/>
              <w:rPr>
                <w:b/>
                <w:sz w:val="13"/>
              </w:rPr>
            </w:pPr>
            <w:r>
              <w:rPr>
                <w:b/>
                <w:spacing w:val="-2"/>
                <w:sz w:val="13"/>
              </w:rPr>
              <w:t>Total</w:t>
            </w:r>
          </w:p>
        </w:tc>
      </w:tr>
      <w:tr>
        <w:trPr>
          <w:trHeight w:val="155" w:hRule="atLeast"/>
        </w:trPr>
        <w:tc>
          <w:tcPr>
            <w:tcW w:w="553" w:type="dxa"/>
            <w:tcBorders>
              <w:bottom w:val="single" w:sz="6" w:space="0" w:color="000000"/>
            </w:tcBorders>
          </w:tcPr>
          <w:p>
            <w:pPr>
              <w:pStyle w:val="TableParagraph"/>
              <w:rPr>
                <w:rFonts w:ascii="Times New Roman"/>
                <w:sz w:val="10"/>
              </w:rPr>
            </w:pPr>
          </w:p>
        </w:tc>
        <w:tc>
          <w:tcPr>
            <w:tcW w:w="3229" w:type="dxa"/>
            <w:tcBorders>
              <w:bottom w:val="single" w:sz="6" w:space="0" w:color="000000"/>
            </w:tcBorders>
          </w:tcPr>
          <w:p>
            <w:pPr>
              <w:pStyle w:val="TableParagraph"/>
              <w:rPr>
                <w:rFonts w:ascii="Times New Roman"/>
                <w:sz w:val="10"/>
              </w:rPr>
            </w:pPr>
          </w:p>
        </w:tc>
        <w:tc>
          <w:tcPr>
            <w:tcW w:w="596" w:type="dxa"/>
            <w:tcBorders>
              <w:bottom w:val="single" w:sz="6" w:space="0" w:color="000000"/>
            </w:tcBorders>
          </w:tcPr>
          <w:p>
            <w:pPr>
              <w:pStyle w:val="TableParagraph"/>
              <w:spacing w:line="131" w:lineRule="exact" w:before="4"/>
              <w:ind w:left="211"/>
              <w:rPr>
                <w:b/>
                <w:sz w:val="13"/>
              </w:rPr>
            </w:pPr>
            <w:r>
              <w:rPr>
                <w:b/>
                <w:spacing w:val="-2"/>
                <w:sz w:val="13"/>
              </w:rPr>
              <w:t>Notes</w:t>
            </w:r>
          </w:p>
        </w:tc>
        <w:tc>
          <w:tcPr>
            <w:tcW w:w="984" w:type="dxa"/>
            <w:tcBorders>
              <w:bottom w:val="single" w:sz="6" w:space="0" w:color="000000"/>
            </w:tcBorders>
          </w:tcPr>
          <w:p>
            <w:pPr>
              <w:pStyle w:val="TableParagraph"/>
              <w:spacing w:line="131" w:lineRule="exact" w:before="4"/>
              <w:ind w:left="306"/>
              <w:rPr>
                <w:b/>
                <w:sz w:val="13"/>
              </w:rPr>
            </w:pPr>
            <w:r>
              <w:rPr>
                <w:b/>
                <w:spacing w:val="-2"/>
                <w:sz w:val="13"/>
              </w:rPr>
              <w:t>$'000</w:t>
            </w:r>
          </w:p>
        </w:tc>
        <w:tc>
          <w:tcPr>
            <w:tcW w:w="938" w:type="dxa"/>
            <w:tcBorders>
              <w:bottom w:val="single" w:sz="6" w:space="0" w:color="000000"/>
            </w:tcBorders>
          </w:tcPr>
          <w:p>
            <w:pPr>
              <w:pStyle w:val="TableParagraph"/>
              <w:spacing w:line="131" w:lineRule="exact" w:before="4"/>
              <w:ind w:left="247"/>
              <w:rPr>
                <w:b/>
                <w:sz w:val="13"/>
              </w:rPr>
            </w:pPr>
            <w:r>
              <w:rPr>
                <w:b/>
                <w:spacing w:val="-2"/>
                <w:sz w:val="13"/>
              </w:rPr>
              <w:t>$'000</w:t>
            </w:r>
          </w:p>
        </w:tc>
        <w:tc>
          <w:tcPr>
            <w:tcW w:w="933" w:type="dxa"/>
            <w:tcBorders>
              <w:bottom w:val="single" w:sz="6" w:space="0" w:color="000000"/>
            </w:tcBorders>
          </w:tcPr>
          <w:p>
            <w:pPr>
              <w:pStyle w:val="TableParagraph"/>
              <w:spacing w:line="131" w:lineRule="exact" w:before="4"/>
              <w:ind w:left="234"/>
              <w:rPr>
                <w:b/>
                <w:sz w:val="13"/>
              </w:rPr>
            </w:pPr>
            <w:r>
              <w:rPr>
                <w:b/>
                <w:spacing w:val="-2"/>
                <w:sz w:val="13"/>
              </w:rPr>
              <w:t>$'000</w:t>
            </w:r>
          </w:p>
        </w:tc>
        <w:tc>
          <w:tcPr>
            <w:tcW w:w="900" w:type="dxa"/>
            <w:tcBorders>
              <w:bottom w:val="single" w:sz="6" w:space="0" w:color="000000"/>
            </w:tcBorders>
          </w:tcPr>
          <w:p>
            <w:pPr>
              <w:pStyle w:val="TableParagraph"/>
              <w:spacing w:line="131" w:lineRule="exact" w:before="4"/>
              <w:ind w:left="226"/>
              <w:rPr>
                <w:b/>
                <w:sz w:val="13"/>
              </w:rPr>
            </w:pPr>
            <w:r>
              <w:rPr>
                <w:b/>
                <w:spacing w:val="-2"/>
                <w:sz w:val="13"/>
              </w:rPr>
              <w:t>$'000</w:t>
            </w:r>
          </w:p>
        </w:tc>
        <w:tc>
          <w:tcPr>
            <w:tcW w:w="949" w:type="dxa"/>
            <w:tcBorders>
              <w:bottom w:val="single" w:sz="6" w:space="0" w:color="000000"/>
            </w:tcBorders>
          </w:tcPr>
          <w:p>
            <w:pPr>
              <w:pStyle w:val="TableParagraph"/>
              <w:spacing w:line="131" w:lineRule="exact" w:before="4"/>
              <w:ind w:left="251"/>
              <w:rPr>
                <w:b/>
                <w:sz w:val="13"/>
              </w:rPr>
            </w:pPr>
            <w:r>
              <w:rPr>
                <w:b/>
                <w:spacing w:val="-2"/>
                <w:sz w:val="13"/>
              </w:rPr>
              <w:t>$'000</w:t>
            </w:r>
          </w:p>
        </w:tc>
        <w:tc>
          <w:tcPr>
            <w:tcW w:w="954" w:type="dxa"/>
            <w:tcBorders>
              <w:bottom w:val="single" w:sz="6" w:space="0" w:color="000000"/>
            </w:tcBorders>
          </w:tcPr>
          <w:p>
            <w:pPr>
              <w:pStyle w:val="TableParagraph"/>
              <w:spacing w:line="131" w:lineRule="exact" w:before="4"/>
              <w:ind w:left="227"/>
              <w:rPr>
                <w:b/>
                <w:sz w:val="13"/>
              </w:rPr>
            </w:pPr>
            <w:r>
              <w:rPr>
                <w:b/>
                <w:spacing w:val="-2"/>
                <w:sz w:val="13"/>
              </w:rPr>
              <w:t>$'000</w:t>
            </w:r>
          </w:p>
        </w:tc>
        <w:tc>
          <w:tcPr>
            <w:tcW w:w="858" w:type="dxa"/>
            <w:tcBorders>
              <w:bottom w:val="single" w:sz="6" w:space="0" w:color="000000"/>
            </w:tcBorders>
          </w:tcPr>
          <w:p>
            <w:pPr>
              <w:pStyle w:val="TableParagraph"/>
              <w:spacing w:line="131" w:lineRule="exact" w:before="4"/>
              <w:ind w:left="199"/>
              <w:rPr>
                <w:b/>
                <w:sz w:val="13"/>
              </w:rPr>
            </w:pPr>
            <w:r>
              <w:rPr>
                <w:b/>
                <w:spacing w:val="-2"/>
                <w:sz w:val="13"/>
              </w:rPr>
              <w:t>$'000</w:t>
            </w:r>
          </w:p>
        </w:tc>
        <w:tc>
          <w:tcPr>
            <w:tcW w:w="929" w:type="dxa"/>
            <w:tcBorders>
              <w:bottom w:val="single" w:sz="6" w:space="0" w:color="000000"/>
            </w:tcBorders>
          </w:tcPr>
          <w:p>
            <w:pPr>
              <w:pStyle w:val="TableParagraph"/>
              <w:spacing w:line="131" w:lineRule="exact" w:before="4"/>
              <w:ind w:left="266"/>
              <w:rPr>
                <w:b/>
                <w:sz w:val="13"/>
              </w:rPr>
            </w:pPr>
            <w:r>
              <w:rPr>
                <w:b/>
                <w:spacing w:val="-2"/>
                <w:sz w:val="13"/>
              </w:rPr>
              <w:t>$'000</w:t>
            </w:r>
          </w:p>
        </w:tc>
        <w:tc>
          <w:tcPr>
            <w:tcW w:w="995" w:type="dxa"/>
            <w:tcBorders>
              <w:bottom w:val="single" w:sz="6" w:space="0" w:color="000000"/>
            </w:tcBorders>
          </w:tcPr>
          <w:p>
            <w:pPr>
              <w:pStyle w:val="TableParagraph"/>
              <w:spacing w:line="131" w:lineRule="exact" w:before="4"/>
              <w:ind w:left="262"/>
              <w:rPr>
                <w:b/>
                <w:sz w:val="13"/>
              </w:rPr>
            </w:pPr>
            <w:r>
              <w:rPr>
                <w:b/>
                <w:spacing w:val="-2"/>
                <w:sz w:val="13"/>
              </w:rPr>
              <w:t>$'000</w:t>
            </w:r>
          </w:p>
        </w:tc>
        <w:tc>
          <w:tcPr>
            <w:tcW w:w="804" w:type="dxa"/>
            <w:tcBorders>
              <w:bottom w:val="single" w:sz="6" w:space="0" w:color="000000"/>
            </w:tcBorders>
          </w:tcPr>
          <w:p>
            <w:pPr>
              <w:pStyle w:val="TableParagraph"/>
              <w:spacing w:line="131" w:lineRule="exact" w:before="4"/>
              <w:ind w:left="192"/>
              <w:rPr>
                <w:b/>
                <w:sz w:val="13"/>
              </w:rPr>
            </w:pPr>
            <w:r>
              <w:rPr>
                <w:b/>
                <w:spacing w:val="-2"/>
                <w:sz w:val="13"/>
              </w:rPr>
              <w:t>$'000</w:t>
            </w:r>
          </w:p>
        </w:tc>
      </w:tr>
      <w:tr>
        <w:trPr>
          <w:trHeight w:val="392" w:hRule="atLeast"/>
        </w:trPr>
        <w:tc>
          <w:tcPr>
            <w:tcW w:w="553" w:type="dxa"/>
            <w:tcBorders>
              <w:top w:val="single" w:sz="6" w:space="0" w:color="000000"/>
            </w:tcBorders>
          </w:tcPr>
          <w:p>
            <w:pPr>
              <w:pStyle w:val="TableParagraph"/>
              <w:rPr>
                <w:rFonts w:ascii="Times New Roman"/>
                <w:sz w:val="12"/>
              </w:rPr>
            </w:pPr>
          </w:p>
        </w:tc>
        <w:tc>
          <w:tcPr>
            <w:tcW w:w="3229" w:type="dxa"/>
            <w:tcBorders>
              <w:top w:val="single" w:sz="6" w:space="0" w:color="000000"/>
            </w:tcBorders>
          </w:tcPr>
          <w:p>
            <w:pPr>
              <w:pStyle w:val="TableParagraph"/>
              <w:spacing w:before="6"/>
              <w:rPr>
                <w:b/>
                <w:sz w:val="13"/>
              </w:rPr>
            </w:pPr>
          </w:p>
          <w:p>
            <w:pPr>
              <w:pStyle w:val="TableParagraph"/>
              <w:ind w:left="68"/>
              <w:rPr>
                <w:b/>
                <w:sz w:val="13"/>
              </w:rPr>
            </w:pPr>
            <w:r>
              <w:rPr>
                <w:b/>
                <w:spacing w:val="-2"/>
                <w:sz w:val="13"/>
              </w:rPr>
              <w:t>Consolidated</w:t>
            </w:r>
          </w:p>
        </w:tc>
        <w:tc>
          <w:tcPr>
            <w:tcW w:w="596" w:type="dxa"/>
            <w:tcBorders>
              <w:top w:val="single" w:sz="6" w:space="0" w:color="000000"/>
            </w:tcBorders>
          </w:tcPr>
          <w:p>
            <w:pPr>
              <w:pStyle w:val="TableParagraph"/>
              <w:rPr>
                <w:rFonts w:ascii="Times New Roman"/>
                <w:sz w:val="12"/>
              </w:rPr>
            </w:pPr>
          </w:p>
        </w:tc>
        <w:tc>
          <w:tcPr>
            <w:tcW w:w="984" w:type="dxa"/>
            <w:tcBorders>
              <w:top w:val="single" w:sz="6" w:space="0" w:color="000000"/>
            </w:tcBorders>
          </w:tcPr>
          <w:p>
            <w:pPr>
              <w:pStyle w:val="TableParagraph"/>
              <w:rPr>
                <w:rFonts w:ascii="Times New Roman"/>
                <w:sz w:val="12"/>
              </w:rPr>
            </w:pPr>
          </w:p>
        </w:tc>
        <w:tc>
          <w:tcPr>
            <w:tcW w:w="938" w:type="dxa"/>
            <w:tcBorders>
              <w:top w:val="single" w:sz="6" w:space="0" w:color="000000"/>
            </w:tcBorders>
          </w:tcPr>
          <w:p>
            <w:pPr>
              <w:pStyle w:val="TableParagraph"/>
              <w:rPr>
                <w:rFonts w:ascii="Times New Roman"/>
                <w:sz w:val="12"/>
              </w:rPr>
            </w:pPr>
          </w:p>
        </w:tc>
        <w:tc>
          <w:tcPr>
            <w:tcW w:w="933" w:type="dxa"/>
            <w:tcBorders>
              <w:top w:val="single" w:sz="6" w:space="0" w:color="000000"/>
            </w:tcBorders>
          </w:tcPr>
          <w:p>
            <w:pPr>
              <w:pStyle w:val="TableParagraph"/>
              <w:rPr>
                <w:rFonts w:ascii="Times New Roman"/>
                <w:sz w:val="12"/>
              </w:rPr>
            </w:pPr>
          </w:p>
        </w:tc>
        <w:tc>
          <w:tcPr>
            <w:tcW w:w="900" w:type="dxa"/>
            <w:tcBorders>
              <w:top w:val="single" w:sz="6" w:space="0" w:color="000000"/>
            </w:tcBorders>
          </w:tcPr>
          <w:p>
            <w:pPr>
              <w:pStyle w:val="TableParagraph"/>
              <w:rPr>
                <w:rFonts w:ascii="Times New Roman"/>
                <w:sz w:val="12"/>
              </w:rPr>
            </w:pPr>
          </w:p>
        </w:tc>
        <w:tc>
          <w:tcPr>
            <w:tcW w:w="949" w:type="dxa"/>
            <w:tcBorders>
              <w:top w:val="single" w:sz="6" w:space="0" w:color="000000"/>
            </w:tcBorders>
          </w:tcPr>
          <w:p>
            <w:pPr>
              <w:pStyle w:val="TableParagraph"/>
              <w:rPr>
                <w:rFonts w:ascii="Times New Roman"/>
                <w:sz w:val="12"/>
              </w:rPr>
            </w:pPr>
          </w:p>
        </w:tc>
        <w:tc>
          <w:tcPr>
            <w:tcW w:w="954" w:type="dxa"/>
            <w:tcBorders>
              <w:top w:val="single" w:sz="6" w:space="0" w:color="000000"/>
            </w:tcBorders>
          </w:tcPr>
          <w:p>
            <w:pPr>
              <w:pStyle w:val="TableParagraph"/>
              <w:rPr>
                <w:rFonts w:ascii="Times New Roman"/>
                <w:sz w:val="12"/>
              </w:rPr>
            </w:pPr>
          </w:p>
        </w:tc>
        <w:tc>
          <w:tcPr>
            <w:tcW w:w="858" w:type="dxa"/>
            <w:tcBorders>
              <w:top w:val="single" w:sz="6" w:space="0" w:color="000000"/>
            </w:tcBorders>
          </w:tcPr>
          <w:p>
            <w:pPr>
              <w:pStyle w:val="TableParagraph"/>
              <w:rPr>
                <w:rFonts w:ascii="Times New Roman"/>
                <w:sz w:val="12"/>
              </w:rPr>
            </w:pPr>
          </w:p>
        </w:tc>
        <w:tc>
          <w:tcPr>
            <w:tcW w:w="929" w:type="dxa"/>
            <w:tcBorders>
              <w:top w:val="single" w:sz="6" w:space="0" w:color="000000"/>
            </w:tcBorders>
          </w:tcPr>
          <w:p>
            <w:pPr>
              <w:pStyle w:val="TableParagraph"/>
              <w:rPr>
                <w:rFonts w:ascii="Times New Roman"/>
                <w:sz w:val="12"/>
              </w:rPr>
            </w:pPr>
          </w:p>
        </w:tc>
        <w:tc>
          <w:tcPr>
            <w:tcW w:w="995" w:type="dxa"/>
            <w:tcBorders>
              <w:top w:val="single" w:sz="6" w:space="0" w:color="000000"/>
            </w:tcBorders>
          </w:tcPr>
          <w:p>
            <w:pPr>
              <w:pStyle w:val="TableParagraph"/>
              <w:rPr>
                <w:rFonts w:ascii="Times New Roman"/>
                <w:sz w:val="12"/>
              </w:rPr>
            </w:pPr>
          </w:p>
        </w:tc>
        <w:tc>
          <w:tcPr>
            <w:tcW w:w="804" w:type="dxa"/>
            <w:tcBorders>
              <w:top w:val="single" w:sz="6" w:space="0" w:color="000000"/>
            </w:tcBorders>
          </w:tcPr>
          <w:p>
            <w:pPr>
              <w:pStyle w:val="TableParagraph"/>
              <w:rPr>
                <w:rFonts w:ascii="Times New Roman"/>
                <w:sz w:val="12"/>
              </w:rPr>
            </w:pPr>
          </w:p>
        </w:tc>
      </w:tr>
      <w:tr>
        <w:trPr>
          <w:trHeight w:val="403" w:hRule="atLeast"/>
        </w:trPr>
        <w:tc>
          <w:tcPr>
            <w:tcW w:w="553" w:type="dxa"/>
          </w:tcPr>
          <w:p>
            <w:pPr>
              <w:pStyle w:val="TableParagraph"/>
              <w:rPr>
                <w:rFonts w:ascii="Times New Roman"/>
                <w:sz w:val="12"/>
              </w:rPr>
            </w:pPr>
          </w:p>
        </w:tc>
        <w:tc>
          <w:tcPr>
            <w:tcW w:w="3229" w:type="dxa"/>
          </w:tcPr>
          <w:p>
            <w:pPr>
              <w:pStyle w:val="TableParagraph"/>
              <w:spacing w:before="84"/>
              <w:ind w:left="68"/>
              <w:rPr>
                <w:b/>
                <w:sz w:val="13"/>
              </w:rPr>
            </w:pPr>
            <w:r>
              <w:rPr>
                <w:b/>
                <w:sz w:val="13"/>
              </w:rPr>
              <w:t>At 1</w:t>
            </w:r>
            <w:r>
              <w:rPr>
                <w:b/>
                <w:spacing w:val="-1"/>
                <w:sz w:val="13"/>
              </w:rPr>
              <w:t> </w:t>
            </w:r>
            <w:r>
              <w:rPr>
                <w:b/>
                <w:sz w:val="13"/>
              </w:rPr>
              <w:t>January</w:t>
            </w:r>
            <w:r>
              <w:rPr>
                <w:b/>
                <w:spacing w:val="-2"/>
                <w:sz w:val="13"/>
              </w:rPr>
              <w:t> </w:t>
            </w:r>
            <w:r>
              <w:rPr>
                <w:b/>
                <w:spacing w:val="-4"/>
                <w:sz w:val="13"/>
              </w:rPr>
              <w:t>2019</w:t>
            </w:r>
          </w:p>
          <w:p>
            <w:pPr>
              <w:pStyle w:val="TableParagraph"/>
              <w:spacing w:line="138" w:lineRule="exact" w:before="12"/>
              <w:ind w:left="68"/>
              <w:rPr>
                <w:sz w:val="13"/>
              </w:rPr>
            </w:pPr>
            <w:r>
              <w:rPr>
                <w:spacing w:val="-4"/>
                <w:sz w:val="13"/>
              </w:rPr>
              <w:t>Cost</w:t>
            </w:r>
          </w:p>
        </w:tc>
        <w:tc>
          <w:tcPr>
            <w:tcW w:w="596" w:type="dxa"/>
          </w:tcPr>
          <w:p>
            <w:pPr>
              <w:pStyle w:val="TableParagraph"/>
              <w:rPr>
                <w:rFonts w:ascii="Times New Roman"/>
                <w:sz w:val="12"/>
              </w:rPr>
            </w:pPr>
          </w:p>
        </w:tc>
        <w:tc>
          <w:tcPr>
            <w:tcW w:w="984" w:type="dxa"/>
          </w:tcPr>
          <w:p>
            <w:pPr>
              <w:pStyle w:val="TableParagraph"/>
              <w:spacing w:before="96"/>
              <w:rPr>
                <w:b/>
                <w:sz w:val="13"/>
              </w:rPr>
            </w:pPr>
          </w:p>
          <w:p>
            <w:pPr>
              <w:pStyle w:val="TableParagraph"/>
              <w:spacing w:line="138" w:lineRule="exact"/>
              <w:ind w:right="126"/>
              <w:jc w:val="right"/>
              <w:rPr>
                <w:sz w:val="13"/>
              </w:rPr>
            </w:pPr>
            <w:r>
              <w:rPr>
                <w:spacing w:val="-2"/>
                <w:sz w:val="13"/>
              </w:rPr>
              <w:t>189,075</w:t>
            </w:r>
          </w:p>
        </w:tc>
        <w:tc>
          <w:tcPr>
            <w:tcW w:w="938" w:type="dxa"/>
          </w:tcPr>
          <w:p>
            <w:pPr>
              <w:pStyle w:val="TableParagraph"/>
              <w:spacing w:before="96"/>
              <w:rPr>
                <w:b/>
                <w:sz w:val="13"/>
              </w:rPr>
            </w:pPr>
          </w:p>
          <w:p>
            <w:pPr>
              <w:pStyle w:val="TableParagraph"/>
              <w:spacing w:line="138" w:lineRule="exact"/>
              <w:ind w:right="139"/>
              <w:jc w:val="right"/>
              <w:rPr>
                <w:sz w:val="13"/>
              </w:rPr>
            </w:pPr>
            <w:r>
              <w:rPr>
                <w:spacing w:val="-2"/>
                <w:sz w:val="13"/>
              </w:rPr>
              <w:t>80,000</w:t>
            </w:r>
          </w:p>
        </w:tc>
        <w:tc>
          <w:tcPr>
            <w:tcW w:w="933" w:type="dxa"/>
          </w:tcPr>
          <w:p>
            <w:pPr>
              <w:pStyle w:val="TableParagraph"/>
              <w:spacing w:before="96"/>
              <w:rPr>
                <w:b/>
                <w:sz w:val="13"/>
              </w:rPr>
            </w:pPr>
          </w:p>
          <w:p>
            <w:pPr>
              <w:pStyle w:val="TableParagraph"/>
              <w:spacing w:line="138" w:lineRule="exact"/>
              <w:ind w:right="147"/>
              <w:jc w:val="right"/>
              <w:rPr>
                <w:sz w:val="13"/>
              </w:rPr>
            </w:pPr>
            <w:r>
              <w:rPr>
                <w:spacing w:val="-2"/>
                <w:sz w:val="13"/>
              </w:rPr>
              <w:t>1,096,571</w:t>
            </w:r>
          </w:p>
        </w:tc>
        <w:tc>
          <w:tcPr>
            <w:tcW w:w="900" w:type="dxa"/>
          </w:tcPr>
          <w:p>
            <w:pPr>
              <w:pStyle w:val="TableParagraph"/>
              <w:spacing w:before="96"/>
              <w:rPr>
                <w:b/>
                <w:sz w:val="13"/>
              </w:rPr>
            </w:pPr>
          </w:p>
          <w:p>
            <w:pPr>
              <w:pStyle w:val="TableParagraph"/>
              <w:spacing w:line="138" w:lineRule="exact"/>
              <w:ind w:right="121"/>
              <w:jc w:val="right"/>
              <w:rPr>
                <w:sz w:val="13"/>
              </w:rPr>
            </w:pPr>
            <w:r>
              <w:rPr>
                <w:spacing w:val="-2"/>
                <w:sz w:val="13"/>
              </w:rPr>
              <w:t>53,768</w:t>
            </w:r>
          </w:p>
        </w:tc>
        <w:tc>
          <w:tcPr>
            <w:tcW w:w="949" w:type="dxa"/>
          </w:tcPr>
          <w:p>
            <w:pPr>
              <w:pStyle w:val="TableParagraph"/>
              <w:spacing w:before="96"/>
              <w:rPr>
                <w:b/>
                <w:sz w:val="13"/>
              </w:rPr>
            </w:pPr>
          </w:p>
          <w:p>
            <w:pPr>
              <w:pStyle w:val="TableParagraph"/>
              <w:spacing w:line="138" w:lineRule="exact"/>
              <w:ind w:right="145"/>
              <w:jc w:val="right"/>
              <w:rPr>
                <w:sz w:val="13"/>
              </w:rPr>
            </w:pPr>
            <w:r>
              <w:rPr>
                <w:spacing w:val="-2"/>
                <w:sz w:val="13"/>
              </w:rPr>
              <w:t>262,576</w:t>
            </w:r>
          </w:p>
        </w:tc>
        <w:tc>
          <w:tcPr>
            <w:tcW w:w="954" w:type="dxa"/>
          </w:tcPr>
          <w:p>
            <w:pPr>
              <w:pStyle w:val="TableParagraph"/>
              <w:spacing w:before="96"/>
              <w:rPr>
                <w:b/>
                <w:sz w:val="13"/>
              </w:rPr>
            </w:pPr>
          </w:p>
          <w:p>
            <w:pPr>
              <w:pStyle w:val="TableParagraph"/>
              <w:spacing w:line="138" w:lineRule="exact"/>
              <w:ind w:right="174"/>
              <w:jc w:val="right"/>
              <w:rPr>
                <w:sz w:val="13"/>
              </w:rPr>
            </w:pPr>
            <w:r>
              <w:rPr>
                <w:spacing w:val="-2"/>
                <w:sz w:val="13"/>
              </w:rPr>
              <w:t>29,392</w:t>
            </w:r>
          </w:p>
        </w:tc>
        <w:tc>
          <w:tcPr>
            <w:tcW w:w="858" w:type="dxa"/>
          </w:tcPr>
          <w:p>
            <w:pPr>
              <w:pStyle w:val="TableParagraph"/>
              <w:spacing w:before="96"/>
              <w:rPr>
                <w:b/>
                <w:sz w:val="13"/>
              </w:rPr>
            </w:pPr>
          </w:p>
          <w:p>
            <w:pPr>
              <w:pStyle w:val="TableParagraph"/>
              <w:spacing w:line="138" w:lineRule="exact"/>
              <w:ind w:right="107"/>
              <w:jc w:val="right"/>
              <w:rPr>
                <w:sz w:val="13"/>
              </w:rPr>
            </w:pPr>
            <w:r>
              <w:rPr>
                <w:spacing w:val="-2"/>
                <w:sz w:val="13"/>
              </w:rPr>
              <w:t>10,568</w:t>
            </w:r>
          </w:p>
        </w:tc>
        <w:tc>
          <w:tcPr>
            <w:tcW w:w="929" w:type="dxa"/>
          </w:tcPr>
          <w:p>
            <w:pPr>
              <w:pStyle w:val="TableParagraph"/>
              <w:spacing w:before="98"/>
              <w:rPr>
                <w:b/>
                <w:sz w:val="13"/>
              </w:rPr>
            </w:pPr>
          </w:p>
          <w:p>
            <w:pPr>
              <w:pStyle w:val="TableParagraph"/>
              <w:spacing w:line="136" w:lineRule="exact"/>
              <w:ind w:right="102"/>
              <w:jc w:val="right"/>
              <w:rPr>
                <w:sz w:val="13"/>
              </w:rPr>
            </w:pPr>
            <w:r>
              <w:rPr>
                <w:spacing w:val="-10"/>
                <w:sz w:val="13"/>
              </w:rPr>
              <w:t>-</w:t>
            </w:r>
          </w:p>
        </w:tc>
        <w:tc>
          <w:tcPr>
            <w:tcW w:w="995" w:type="dxa"/>
          </w:tcPr>
          <w:p>
            <w:pPr>
              <w:pStyle w:val="TableParagraph"/>
              <w:spacing w:before="96"/>
              <w:rPr>
                <w:b/>
                <w:sz w:val="13"/>
              </w:rPr>
            </w:pPr>
          </w:p>
          <w:p>
            <w:pPr>
              <w:pStyle w:val="TableParagraph"/>
              <w:spacing w:line="138" w:lineRule="exact"/>
              <w:ind w:right="180"/>
              <w:jc w:val="right"/>
              <w:rPr>
                <w:sz w:val="13"/>
              </w:rPr>
            </w:pPr>
            <w:r>
              <w:rPr>
                <w:spacing w:val="-2"/>
                <w:sz w:val="13"/>
              </w:rPr>
              <w:t>66,518</w:t>
            </w:r>
          </w:p>
        </w:tc>
        <w:tc>
          <w:tcPr>
            <w:tcW w:w="804" w:type="dxa"/>
          </w:tcPr>
          <w:p>
            <w:pPr>
              <w:pStyle w:val="TableParagraph"/>
              <w:spacing w:before="96"/>
              <w:rPr>
                <w:b/>
                <w:sz w:val="13"/>
              </w:rPr>
            </w:pPr>
          </w:p>
          <w:p>
            <w:pPr>
              <w:pStyle w:val="TableParagraph"/>
              <w:spacing w:line="138" w:lineRule="exact"/>
              <w:ind w:left="154"/>
              <w:rPr>
                <w:sz w:val="13"/>
              </w:rPr>
            </w:pPr>
            <w:r>
              <w:rPr>
                <w:spacing w:val="-2"/>
                <w:sz w:val="13"/>
              </w:rPr>
              <w:t>1,788,468</w:t>
            </w:r>
          </w:p>
        </w:tc>
      </w:tr>
      <w:tr>
        <w:trPr>
          <w:trHeight w:val="160" w:hRule="atLeast"/>
        </w:trPr>
        <w:tc>
          <w:tcPr>
            <w:tcW w:w="553" w:type="dxa"/>
          </w:tcPr>
          <w:p>
            <w:pPr>
              <w:pStyle w:val="TableParagraph"/>
              <w:rPr>
                <w:rFonts w:ascii="Times New Roman"/>
                <w:sz w:val="10"/>
              </w:rPr>
            </w:pPr>
          </w:p>
        </w:tc>
        <w:tc>
          <w:tcPr>
            <w:tcW w:w="3229" w:type="dxa"/>
          </w:tcPr>
          <w:p>
            <w:pPr>
              <w:pStyle w:val="TableParagraph"/>
              <w:spacing w:line="138" w:lineRule="exact" w:before="3"/>
              <w:ind w:left="68"/>
              <w:rPr>
                <w:sz w:val="13"/>
              </w:rPr>
            </w:pPr>
            <w:r>
              <w:rPr>
                <w:sz w:val="13"/>
              </w:rPr>
              <w:t>Accumulated</w:t>
            </w:r>
            <w:r>
              <w:rPr>
                <w:spacing w:val="4"/>
                <w:sz w:val="13"/>
              </w:rPr>
              <w:t> </w:t>
            </w:r>
            <w:r>
              <w:rPr>
                <w:spacing w:val="-2"/>
                <w:sz w:val="13"/>
              </w:rPr>
              <w:t>depreciation</w:t>
            </w:r>
          </w:p>
        </w:tc>
        <w:tc>
          <w:tcPr>
            <w:tcW w:w="596" w:type="dxa"/>
          </w:tcPr>
          <w:p>
            <w:pPr>
              <w:pStyle w:val="TableParagraph"/>
              <w:rPr>
                <w:rFonts w:ascii="Times New Roman"/>
                <w:sz w:val="10"/>
              </w:rPr>
            </w:pPr>
          </w:p>
        </w:tc>
        <w:tc>
          <w:tcPr>
            <w:tcW w:w="984" w:type="dxa"/>
          </w:tcPr>
          <w:p>
            <w:pPr>
              <w:pStyle w:val="TableParagraph"/>
              <w:spacing w:line="136" w:lineRule="exact" w:before="5"/>
              <w:ind w:right="118"/>
              <w:jc w:val="right"/>
              <w:rPr>
                <w:sz w:val="13"/>
              </w:rPr>
            </w:pPr>
            <w:r>
              <w:rPr>
                <w:spacing w:val="-10"/>
                <w:sz w:val="13"/>
              </w:rPr>
              <w:t>-</w:t>
            </w:r>
          </w:p>
        </w:tc>
        <w:tc>
          <w:tcPr>
            <w:tcW w:w="938" w:type="dxa"/>
          </w:tcPr>
          <w:p>
            <w:pPr>
              <w:pStyle w:val="TableParagraph"/>
              <w:spacing w:line="136" w:lineRule="exact" w:before="5"/>
              <w:ind w:right="130"/>
              <w:jc w:val="right"/>
              <w:rPr>
                <w:sz w:val="13"/>
              </w:rPr>
            </w:pPr>
            <w:r>
              <w:rPr>
                <w:spacing w:val="-10"/>
                <w:sz w:val="13"/>
              </w:rPr>
              <w:t>-</w:t>
            </w:r>
          </w:p>
        </w:tc>
        <w:tc>
          <w:tcPr>
            <w:tcW w:w="933" w:type="dxa"/>
          </w:tcPr>
          <w:p>
            <w:pPr>
              <w:pStyle w:val="TableParagraph"/>
              <w:spacing w:line="138" w:lineRule="exact" w:before="3"/>
              <w:ind w:right="102"/>
              <w:jc w:val="right"/>
              <w:rPr>
                <w:sz w:val="13"/>
              </w:rPr>
            </w:pPr>
            <w:r>
              <w:rPr>
                <w:spacing w:val="-2"/>
                <w:sz w:val="13"/>
              </w:rPr>
              <w:t>(212,657)</w:t>
            </w:r>
          </w:p>
        </w:tc>
        <w:tc>
          <w:tcPr>
            <w:tcW w:w="900" w:type="dxa"/>
          </w:tcPr>
          <w:p>
            <w:pPr>
              <w:pStyle w:val="TableParagraph"/>
              <w:spacing w:line="136" w:lineRule="exact" w:before="5"/>
              <w:ind w:right="113"/>
              <w:jc w:val="right"/>
              <w:rPr>
                <w:sz w:val="13"/>
              </w:rPr>
            </w:pPr>
            <w:r>
              <w:rPr>
                <w:spacing w:val="-10"/>
                <w:sz w:val="13"/>
              </w:rPr>
              <w:t>-</w:t>
            </w:r>
          </w:p>
        </w:tc>
        <w:tc>
          <w:tcPr>
            <w:tcW w:w="949" w:type="dxa"/>
          </w:tcPr>
          <w:p>
            <w:pPr>
              <w:pStyle w:val="TableParagraph"/>
              <w:spacing w:line="138" w:lineRule="exact" w:before="3"/>
              <w:ind w:right="101"/>
              <w:jc w:val="right"/>
              <w:rPr>
                <w:sz w:val="13"/>
              </w:rPr>
            </w:pPr>
            <w:r>
              <w:rPr>
                <w:spacing w:val="-2"/>
                <w:sz w:val="13"/>
              </w:rPr>
              <w:t>(205,883)</w:t>
            </w:r>
          </w:p>
        </w:tc>
        <w:tc>
          <w:tcPr>
            <w:tcW w:w="954" w:type="dxa"/>
          </w:tcPr>
          <w:p>
            <w:pPr>
              <w:pStyle w:val="TableParagraph"/>
              <w:spacing w:line="136" w:lineRule="exact" w:before="5"/>
              <w:ind w:right="166"/>
              <w:jc w:val="right"/>
              <w:rPr>
                <w:sz w:val="13"/>
              </w:rPr>
            </w:pPr>
            <w:r>
              <w:rPr>
                <w:spacing w:val="-10"/>
                <w:sz w:val="13"/>
              </w:rPr>
              <w:t>-</w:t>
            </w:r>
          </w:p>
        </w:tc>
        <w:tc>
          <w:tcPr>
            <w:tcW w:w="858" w:type="dxa"/>
          </w:tcPr>
          <w:p>
            <w:pPr>
              <w:pStyle w:val="TableParagraph"/>
              <w:spacing w:line="138" w:lineRule="exact" w:before="3"/>
              <w:ind w:right="62"/>
              <w:jc w:val="right"/>
              <w:rPr>
                <w:sz w:val="13"/>
              </w:rPr>
            </w:pPr>
            <w:r>
              <w:rPr>
                <w:spacing w:val="-2"/>
                <w:sz w:val="13"/>
              </w:rPr>
              <w:t>(6,672)</w:t>
            </w:r>
          </w:p>
        </w:tc>
        <w:tc>
          <w:tcPr>
            <w:tcW w:w="929" w:type="dxa"/>
          </w:tcPr>
          <w:p>
            <w:pPr>
              <w:pStyle w:val="TableParagraph"/>
              <w:spacing w:line="136" w:lineRule="exact" w:before="5"/>
              <w:ind w:right="102"/>
              <w:jc w:val="right"/>
              <w:rPr>
                <w:sz w:val="13"/>
              </w:rPr>
            </w:pPr>
            <w:r>
              <w:rPr>
                <w:spacing w:val="-10"/>
                <w:sz w:val="13"/>
              </w:rPr>
              <w:t>-</w:t>
            </w:r>
          </w:p>
        </w:tc>
        <w:tc>
          <w:tcPr>
            <w:tcW w:w="995" w:type="dxa"/>
          </w:tcPr>
          <w:p>
            <w:pPr>
              <w:pStyle w:val="TableParagraph"/>
              <w:spacing w:line="136" w:lineRule="exact" w:before="5"/>
              <w:ind w:right="172"/>
              <w:jc w:val="right"/>
              <w:rPr>
                <w:sz w:val="13"/>
              </w:rPr>
            </w:pPr>
            <w:r>
              <w:rPr>
                <w:spacing w:val="-10"/>
                <w:sz w:val="13"/>
              </w:rPr>
              <w:t>-</w:t>
            </w:r>
          </w:p>
        </w:tc>
        <w:tc>
          <w:tcPr>
            <w:tcW w:w="804" w:type="dxa"/>
          </w:tcPr>
          <w:p>
            <w:pPr>
              <w:pStyle w:val="TableParagraph"/>
              <w:spacing w:line="138" w:lineRule="exact" w:before="3"/>
              <w:ind w:right="15"/>
              <w:jc w:val="right"/>
              <w:rPr>
                <w:sz w:val="13"/>
              </w:rPr>
            </w:pPr>
            <w:r>
              <w:rPr>
                <w:spacing w:val="-2"/>
                <w:sz w:val="13"/>
              </w:rPr>
              <w:t>(425,212)</w:t>
            </w:r>
          </w:p>
        </w:tc>
      </w:tr>
      <w:tr>
        <w:trPr>
          <w:trHeight w:val="154" w:hRule="atLeast"/>
        </w:trPr>
        <w:tc>
          <w:tcPr>
            <w:tcW w:w="553" w:type="dxa"/>
          </w:tcPr>
          <w:p>
            <w:pPr>
              <w:pStyle w:val="TableParagraph"/>
              <w:rPr>
                <w:rFonts w:ascii="Times New Roman"/>
                <w:sz w:val="8"/>
              </w:rPr>
            </w:pPr>
          </w:p>
        </w:tc>
        <w:tc>
          <w:tcPr>
            <w:tcW w:w="3229" w:type="dxa"/>
          </w:tcPr>
          <w:p>
            <w:pPr>
              <w:pStyle w:val="TableParagraph"/>
              <w:spacing w:line="131" w:lineRule="exact" w:before="3"/>
              <w:ind w:left="68"/>
              <w:rPr>
                <w:sz w:val="13"/>
              </w:rPr>
            </w:pPr>
            <w:r>
              <w:rPr>
                <w:sz w:val="13"/>
              </w:rPr>
              <w:t>Accumulated</w:t>
            </w:r>
            <w:r>
              <w:rPr>
                <w:spacing w:val="4"/>
                <w:sz w:val="13"/>
              </w:rPr>
              <w:t> </w:t>
            </w:r>
            <w:r>
              <w:rPr>
                <w:spacing w:val="-2"/>
                <w:sz w:val="13"/>
              </w:rPr>
              <w:t>impairment</w:t>
            </w:r>
          </w:p>
        </w:tc>
        <w:tc>
          <w:tcPr>
            <w:tcW w:w="596" w:type="dxa"/>
          </w:tcPr>
          <w:p>
            <w:pPr>
              <w:pStyle w:val="TableParagraph"/>
              <w:rPr>
                <w:rFonts w:ascii="Times New Roman"/>
                <w:sz w:val="8"/>
              </w:rPr>
            </w:pPr>
          </w:p>
        </w:tc>
        <w:tc>
          <w:tcPr>
            <w:tcW w:w="984" w:type="dxa"/>
            <w:tcBorders>
              <w:bottom w:val="single" w:sz="6" w:space="0" w:color="000000"/>
            </w:tcBorders>
          </w:tcPr>
          <w:p>
            <w:pPr>
              <w:pStyle w:val="TableParagraph"/>
              <w:spacing w:line="131" w:lineRule="exact" w:before="3"/>
              <w:ind w:right="81"/>
              <w:jc w:val="right"/>
              <w:rPr>
                <w:sz w:val="13"/>
              </w:rPr>
            </w:pPr>
            <w:r>
              <w:rPr>
                <w:spacing w:val="-2"/>
                <w:sz w:val="13"/>
              </w:rPr>
              <w:t>(1,873)</w:t>
            </w:r>
          </w:p>
        </w:tc>
        <w:tc>
          <w:tcPr>
            <w:tcW w:w="938" w:type="dxa"/>
            <w:tcBorders>
              <w:bottom w:val="single" w:sz="6" w:space="0" w:color="000000"/>
            </w:tcBorders>
          </w:tcPr>
          <w:p>
            <w:pPr>
              <w:pStyle w:val="TableParagraph"/>
              <w:spacing w:line="129" w:lineRule="exact" w:before="5"/>
              <w:ind w:right="130"/>
              <w:jc w:val="right"/>
              <w:rPr>
                <w:sz w:val="13"/>
              </w:rPr>
            </w:pPr>
            <w:r>
              <w:rPr>
                <w:spacing w:val="-10"/>
                <w:sz w:val="13"/>
              </w:rPr>
              <w:t>-</w:t>
            </w:r>
          </w:p>
        </w:tc>
        <w:tc>
          <w:tcPr>
            <w:tcW w:w="933" w:type="dxa"/>
            <w:tcBorders>
              <w:bottom w:val="single" w:sz="6" w:space="0" w:color="000000"/>
            </w:tcBorders>
          </w:tcPr>
          <w:p>
            <w:pPr>
              <w:pStyle w:val="TableParagraph"/>
              <w:spacing w:line="131" w:lineRule="exact" w:before="3"/>
              <w:ind w:right="102"/>
              <w:jc w:val="right"/>
              <w:rPr>
                <w:sz w:val="13"/>
              </w:rPr>
            </w:pPr>
            <w:r>
              <w:rPr>
                <w:spacing w:val="-2"/>
                <w:sz w:val="13"/>
              </w:rPr>
              <w:t>(12,339)</w:t>
            </w:r>
          </w:p>
        </w:tc>
        <w:tc>
          <w:tcPr>
            <w:tcW w:w="900" w:type="dxa"/>
            <w:tcBorders>
              <w:bottom w:val="single" w:sz="6" w:space="0" w:color="000000"/>
            </w:tcBorders>
          </w:tcPr>
          <w:p>
            <w:pPr>
              <w:pStyle w:val="TableParagraph"/>
              <w:spacing w:line="129" w:lineRule="exact" w:before="5"/>
              <w:ind w:right="113"/>
              <w:jc w:val="right"/>
              <w:rPr>
                <w:sz w:val="13"/>
              </w:rPr>
            </w:pPr>
            <w:r>
              <w:rPr>
                <w:spacing w:val="-10"/>
                <w:sz w:val="13"/>
              </w:rPr>
              <w:t>-</w:t>
            </w:r>
          </w:p>
        </w:tc>
        <w:tc>
          <w:tcPr>
            <w:tcW w:w="949" w:type="dxa"/>
            <w:tcBorders>
              <w:bottom w:val="single" w:sz="6" w:space="0" w:color="000000"/>
            </w:tcBorders>
          </w:tcPr>
          <w:p>
            <w:pPr>
              <w:pStyle w:val="TableParagraph"/>
              <w:spacing w:line="129" w:lineRule="exact" w:before="5"/>
              <w:ind w:right="137"/>
              <w:jc w:val="right"/>
              <w:rPr>
                <w:sz w:val="13"/>
              </w:rPr>
            </w:pPr>
            <w:r>
              <w:rPr>
                <w:spacing w:val="-10"/>
                <w:sz w:val="13"/>
              </w:rPr>
              <w:t>-</w:t>
            </w:r>
          </w:p>
        </w:tc>
        <w:tc>
          <w:tcPr>
            <w:tcW w:w="954" w:type="dxa"/>
            <w:tcBorders>
              <w:bottom w:val="single" w:sz="6" w:space="0" w:color="000000"/>
            </w:tcBorders>
          </w:tcPr>
          <w:p>
            <w:pPr>
              <w:pStyle w:val="TableParagraph"/>
              <w:spacing w:line="129" w:lineRule="exact" w:before="5"/>
              <w:ind w:right="165"/>
              <w:jc w:val="right"/>
              <w:rPr>
                <w:sz w:val="13"/>
              </w:rPr>
            </w:pPr>
            <w:r>
              <w:rPr>
                <w:spacing w:val="-10"/>
                <w:sz w:val="13"/>
              </w:rPr>
              <w:t>-</w:t>
            </w:r>
          </w:p>
        </w:tc>
        <w:tc>
          <w:tcPr>
            <w:tcW w:w="858" w:type="dxa"/>
            <w:tcBorders>
              <w:bottom w:val="single" w:sz="6" w:space="0" w:color="000000"/>
            </w:tcBorders>
          </w:tcPr>
          <w:p>
            <w:pPr>
              <w:pStyle w:val="TableParagraph"/>
              <w:spacing w:line="129" w:lineRule="exact" w:before="5"/>
              <w:ind w:right="98"/>
              <w:jc w:val="right"/>
              <w:rPr>
                <w:sz w:val="13"/>
              </w:rPr>
            </w:pPr>
            <w:r>
              <w:rPr>
                <w:spacing w:val="-10"/>
                <w:sz w:val="13"/>
              </w:rPr>
              <w:t>-</w:t>
            </w:r>
          </w:p>
        </w:tc>
        <w:tc>
          <w:tcPr>
            <w:tcW w:w="929" w:type="dxa"/>
            <w:tcBorders>
              <w:bottom w:val="single" w:sz="6" w:space="0" w:color="000000"/>
            </w:tcBorders>
          </w:tcPr>
          <w:p>
            <w:pPr>
              <w:pStyle w:val="TableParagraph"/>
              <w:spacing w:line="129" w:lineRule="exact" w:before="5"/>
              <w:ind w:right="102"/>
              <w:jc w:val="right"/>
              <w:rPr>
                <w:sz w:val="13"/>
              </w:rPr>
            </w:pPr>
            <w:r>
              <w:rPr>
                <w:spacing w:val="-10"/>
                <w:sz w:val="13"/>
              </w:rPr>
              <w:t>-</w:t>
            </w:r>
          </w:p>
        </w:tc>
        <w:tc>
          <w:tcPr>
            <w:tcW w:w="995" w:type="dxa"/>
            <w:tcBorders>
              <w:bottom w:val="single" w:sz="6" w:space="0" w:color="000000"/>
            </w:tcBorders>
          </w:tcPr>
          <w:p>
            <w:pPr>
              <w:pStyle w:val="TableParagraph"/>
              <w:spacing w:line="131" w:lineRule="exact" w:before="3"/>
              <w:ind w:right="136"/>
              <w:jc w:val="right"/>
              <w:rPr>
                <w:sz w:val="13"/>
              </w:rPr>
            </w:pPr>
            <w:r>
              <w:rPr>
                <w:spacing w:val="-2"/>
                <w:sz w:val="13"/>
              </w:rPr>
              <w:t>(21,018)</w:t>
            </w:r>
          </w:p>
        </w:tc>
        <w:tc>
          <w:tcPr>
            <w:tcW w:w="804" w:type="dxa"/>
            <w:tcBorders>
              <w:bottom w:val="single" w:sz="6" w:space="0" w:color="000000"/>
            </w:tcBorders>
          </w:tcPr>
          <w:p>
            <w:pPr>
              <w:pStyle w:val="TableParagraph"/>
              <w:spacing w:line="131" w:lineRule="exact" w:before="3"/>
              <w:ind w:right="15"/>
              <w:jc w:val="right"/>
              <w:rPr>
                <w:sz w:val="13"/>
              </w:rPr>
            </w:pPr>
            <w:r>
              <w:rPr>
                <w:spacing w:val="-2"/>
                <w:sz w:val="13"/>
              </w:rPr>
              <w:t>(35,230)</w:t>
            </w:r>
          </w:p>
        </w:tc>
      </w:tr>
      <w:tr>
        <w:trPr>
          <w:trHeight w:val="145" w:hRule="atLeast"/>
        </w:trPr>
        <w:tc>
          <w:tcPr>
            <w:tcW w:w="553" w:type="dxa"/>
          </w:tcPr>
          <w:p>
            <w:pPr>
              <w:pStyle w:val="TableParagraph"/>
              <w:rPr>
                <w:rFonts w:ascii="Times New Roman"/>
                <w:sz w:val="8"/>
              </w:rPr>
            </w:pPr>
          </w:p>
        </w:tc>
        <w:tc>
          <w:tcPr>
            <w:tcW w:w="3229" w:type="dxa"/>
          </w:tcPr>
          <w:p>
            <w:pPr>
              <w:pStyle w:val="TableParagraph"/>
              <w:spacing w:line="126" w:lineRule="exact"/>
              <w:ind w:left="68"/>
              <w:rPr>
                <w:b/>
                <w:sz w:val="13"/>
              </w:rPr>
            </w:pPr>
            <w:r>
              <w:rPr>
                <w:b/>
                <w:sz w:val="13"/>
              </w:rPr>
              <w:t>Net</w:t>
            </w:r>
            <w:r>
              <w:rPr>
                <w:b/>
                <w:spacing w:val="1"/>
                <w:sz w:val="13"/>
              </w:rPr>
              <w:t> </w:t>
            </w:r>
            <w:r>
              <w:rPr>
                <w:b/>
                <w:sz w:val="13"/>
              </w:rPr>
              <w:t>book</w:t>
            </w:r>
            <w:r>
              <w:rPr>
                <w:b/>
                <w:spacing w:val="1"/>
                <w:sz w:val="13"/>
              </w:rPr>
              <w:t> </w:t>
            </w:r>
            <w:r>
              <w:rPr>
                <w:b/>
                <w:spacing w:val="-2"/>
                <w:sz w:val="13"/>
              </w:rPr>
              <w:t>value</w:t>
            </w:r>
          </w:p>
        </w:tc>
        <w:tc>
          <w:tcPr>
            <w:tcW w:w="596" w:type="dxa"/>
          </w:tcPr>
          <w:p>
            <w:pPr>
              <w:pStyle w:val="TableParagraph"/>
              <w:rPr>
                <w:rFonts w:ascii="Times New Roman"/>
                <w:sz w:val="8"/>
              </w:rPr>
            </w:pPr>
          </w:p>
        </w:tc>
        <w:tc>
          <w:tcPr>
            <w:tcW w:w="984" w:type="dxa"/>
            <w:tcBorders>
              <w:top w:val="single" w:sz="6" w:space="0" w:color="000000"/>
              <w:bottom w:val="single" w:sz="6" w:space="0" w:color="000000"/>
            </w:tcBorders>
          </w:tcPr>
          <w:p>
            <w:pPr>
              <w:pStyle w:val="TableParagraph"/>
              <w:spacing w:line="126" w:lineRule="exact"/>
              <w:ind w:right="126"/>
              <w:jc w:val="right"/>
              <w:rPr>
                <w:b/>
                <w:sz w:val="13"/>
              </w:rPr>
            </w:pPr>
            <w:r>
              <w:rPr>
                <w:b/>
                <w:spacing w:val="-2"/>
                <w:sz w:val="13"/>
              </w:rPr>
              <w:t>187,202</w:t>
            </w:r>
          </w:p>
        </w:tc>
        <w:tc>
          <w:tcPr>
            <w:tcW w:w="938" w:type="dxa"/>
            <w:tcBorders>
              <w:top w:val="single" w:sz="6" w:space="0" w:color="000000"/>
              <w:bottom w:val="single" w:sz="6" w:space="0" w:color="000000"/>
            </w:tcBorders>
          </w:tcPr>
          <w:p>
            <w:pPr>
              <w:pStyle w:val="TableParagraph"/>
              <w:spacing w:line="126" w:lineRule="exact"/>
              <w:ind w:right="139"/>
              <w:jc w:val="right"/>
              <w:rPr>
                <w:b/>
                <w:sz w:val="13"/>
              </w:rPr>
            </w:pPr>
            <w:r>
              <w:rPr>
                <w:b/>
                <w:spacing w:val="-2"/>
                <w:sz w:val="13"/>
              </w:rPr>
              <w:t>80,000</w:t>
            </w:r>
          </w:p>
        </w:tc>
        <w:tc>
          <w:tcPr>
            <w:tcW w:w="933" w:type="dxa"/>
            <w:tcBorders>
              <w:top w:val="single" w:sz="6" w:space="0" w:color="000000"/>
              <w:bottom w:val="single" w:sz="6" w:space="0" w:color="000000"/>
            </w:tcBorders>
          </w:tcPr>
          <w:p>
            <w:pPr>
              <w:pStyle w:val="TableParagraph"/>
              <w:spacing w:line="126" w:lineRule="exact"/>
              <w:ind w:right="146"/>
              <w:jc w:val="right"/>
              <w:rPr>
                <w:b/>
                <w:sz w:val="13"/>
              </w:rPr>
            </w:pPr>
            <w:r>
              <w:rPr>
                <w:b/>
                <w:spacing w:val="-2"/>
                <w:sz w:val="13"/>
              </w:rPr>
              <w:t>871,575</w:t>
            </w:r>
          </w:p>
        </w:tc>
        <w:tc>
          <w:tcPr>
            <w:tcW w:w="900" w:type="dxa"/>
            <w:tcBorders>
              <w:top w:val="single" w:sz="6" w:space="0" w:color="000000"/>
              <w:bottom w:val="single" w:sz="6" w:space="0" w:color="000000"/>
            </w:tcBorders>
          </w:tcPr>
          <w:p>
            <w:pPr>
              <w:pStyle w:val="TableParagraph"/>
              <w:spacing w:line="126" w:lineRule="exact"/>
              <w:ind w:right="121"/>
              <w:jc w:val="right"/>
              <w:rPr>
                <w:b/>
                <w:sz w:val="13"/>
              </w:rPr>
            </w:pPr>
            <w:r>
              <w:rPr>
                <w:b/>
                <w:spacing w:val="-2"/>
                <w:sz w:val="13"/>
              </w:rPr>
              <w:t>53,768</w:t>
            </w:r>
          </w:p>
        </w:tc>
        <w:tc>
          <w:tcPr>
            <w:tcW w:w="949" w:type="dxa"/>
            <w:tcBorders>
              <w:top w:val="single" w:sz="6" w:space="0" w:color="000000"/>
              <w:bottom w:val="single" w:sz="6" w:space="0" w:color="000000"/>
            </w:tcBorders>
          </w:tcPr>
          <w:p>
            <w:pPr>
              <w:pStyle w:val="TableParagraph"/>
              <w:spacing w:line="126" w:lineRule="exact"/>
              <w:ind w:right="145"/>
              <w:jc w:val="right"/>
              <w:rPr>
                <w:b/>
                <w:sz w:val="13"/>
              </w:rPr>
            </w:pPr>
            <w:r>
              <w:rPr>
                <w:b/>
                <w:spacing w:val="-2"/>
                <w:sz w:val="13"/>
              </w:rPr>
              <w:t>56,693</w:t>
            </w:r>
          </w:p>
        </w:tc>
        <w:tc>
          <w:tcPr>
            <w:tcW w:w="954" w:type="dxa"/>
            <w:tcBorders>
              <w:top w:val="single" w:sz="6" w:space="0" w:color="000000"/>
              <w:bottom w:val="single" w:sz="6" w:space="0" w:color="000000"/>
            </w:tcBorders>
          </w:tcPr>
          <w:p>
            <w:pPr>
              <w:pStyle w:val="TableParagraph"/>
              <w:spacing w:line="126" w:lineRule="exact"/>
              <w:ind w:right="174"/>
              <w:jc w:val="right"/>
              <w:rPr>
                <w:b/>
                <w:sz w:val="13"/>
              </w:rPr>
            </w:pPr>
            <w:r>
              <w:rPr>
                <w:b/>
                <w:spacing w:val="-2"/>
                <w:sz w:val="13"/>
              </w:rPr>
              <w:t>29,392</w:t>
            </w:r>
          </w:p>
        </w:tc>
        <w:tc>
          <w:tcPr>
            <w:tcW w:w="858" w:type="dxa"/>
            <w:tcBorders>
              <w:top w:val="single" w:sz="6" w:space="0" w:color="000000"/>
              <w:bottom w:val="single" w:sz="6" w:space="0" w:color="000000"/>
            </w:tcBorders>
          </w:tcPr>
          <w:p>
            <w:pPr>
              <w:pStyle w:val="TableParagraph"/>
              <w:spacing w:line="126" w:lineRule="exact"/>
              <w:ind w:right="107"/>
              <w:jc w:val="right"/>
              <w:rPr>
                <w:b/>
                <w:sz w:val="13"/>
              </w:rPr>
            </w:pPr>
            <w:r>
              <w:rPr>
                <w:b/>
                <w:spacing w:val="-2"/>
                <w:sz w:val="13"/>
              </w:rPr>
              <w:t>3,896</w:t>
            </w:r>
          </w:p>
        </w:tc>
        <w:tc>
          <w:tcPr>
            <w:tcW w:w="929" w:type="dxa"/>
            <w:tcBorders>
              <w:top w:val="single" w:sz="6" w:space="0" w:color="000000"/>
              <w:bottom w:val="single" w:sz="6" w:space="0" w:color="000000"/>
            </w:tcBorders>
          </w:tcPr>
          <w:p>
            <w:pPr>
              <w:pStyle w:val="TableParagraph"/>
              <w:spacing w:line="126" w:lineRule="exact"/>
              <w:ind w:right="102"/>
              <w:jc w:val="right"/>
              <w:rPr>
                <w:sz w:val="13"/>
              </w:rPr>
            </w:pPr>
            <w:r>
              <w:rPr>
                <w:spacing w:val="-10"/>
                <w:sz w:val="13"/>
              </w:rPr>
              <w:t>-</w:t>
            </w:r>
          </w:p>
        </w:tc>
        <w:tc>
          <w:tcPr>
            <w:tcW w:w="995" w:type="dxa"/>
            <w:tcBorders>
              <w:top w:val="single" w:sz="6" w:space="0" w:color="000000"/>
              <w:bottom w:val="single" w:sz="6" w:space="0" w:color="000000"/>
            </w:tcBorders>
          </w:tcPr>
          <w:p>
            <w:pPr>
              <w:pStyle w:val="TableParagraph"/>
              <w:spacing w:line="126" w:lineRule="exact"/>
              <w:ind w:right="180"/>
              <w:jc w:val="right"/>
              <w:rPr>
                <w:b/>
                <w:sz w:val="13"/>
              </w:rPr>
            </w:pPr>
            <w:r>
              <w:rPr>
                <w:b/>
                <w:spacing w:val="-2"/>
                <w:sz w:val="13"/>
              </w:rPr>
              <w:t>45,500</w:t>
            </w:r>
          </w:p>
        </w:tc>
        <w:tc>
          <w:tcPr>
            <w:tcW w:w="804" w:type="dxa"/>
            <w:tcBorders>
              <w:top w:val="single" w:sz="6" w:space="0" w:color="000000"/>
              <w:bottom w:val="single" w:sz="6" w:space="0" w:color="000000"/>
            </w:tcBorders>
          </w:tcPr>
          <w:p>
            <w:pPr>
              <w:pStyle w:val="TableParagraph"/>
              <w:spacing w:line="126" w:lineRule="exact"/>
              <w:ind w:left="154"/>
              <w:rPr>
                <w:b/>
                <w:sz w:val="13"/>
              </w:rPr>
            </w:pPr>
            <w:r>
              <w:rPr>
                <w:b/>
                <w:spacing w:val="-2"/>
                <w:sz w:val="13"/>
              </w:rPr>
              <w:t>1,328,026</w:t>
            </w:r>
          </w:p>
        </w:tc>
      </w:tr>
      <w:tr>
        <w:trPr>
          <w:trHeight w:val="473" w:hRule="atLeast"/>
        </w:trPr>
        <w:tc>
          <w:tcPr>
            <w:tcW w:w="553" w:type="dxa"/>
          </w:tcPr>
          <w:p>
            <w:pPr>
              <w:pStyle w:val="TableParagraph"/>
              <w:rPr>
                <w:rFonts w:ascii="Times New Roman"/>
                <w:sz w:val="12"/>
              </w:rPr>
            </w:pPr>
          </w:p>
        </w:tc>
        <w:tc>
          <w:tcPr>
            <w:tcW w:w="3229" w:type="dxa"/>
          </w:tcPr>
          <w:p>
            <w:pPr>
              <w:pStyle w:val="TableParagraph"/>
              <w:spacing w:before="6"/>
              <w:rPr>
                <w:b/>
                <w:sz w:val="13"/>
              </w:rPr>
            </w:pPr>
          </w:p>
          <w:p>
            <w:pPr>
              <w:pStyle w:val="TableParagraph"/>
              <w:ind w:left="68"/>
              <w:rPr>
                <w:b/>
                <w:sz w:val="13"/>
              </w:rPr>
            </w:pPr>
            <w:r>
              <w:rPr>
                <w:b/>
                <w:sz w:val="13"/>
              </w:rPr>
              <w:t>Year ended 31</w:t>
            </w:r>
            <w:r>
              <w:rPr>
                <w:b/>
                <w:spacing w:val="1"/>
                <w:sz w:val="13"/>
              </w:rPr>
              <w:t> </w:t>
            </w:r>
            <w:r>
              <w:rPr>
                <w:b/>
                <w:sz w:val="13"/>
              </w:rPr>
              <w:t>December </w:t>
            </w:r>
            <w:r>
              <w:rPr>
                <w:b/>
                <w:spacing w:val="-4"/>
                <w:sz w:val="13"/>
              </w:rPr>
              <w:t>2019</w:t>
            </w:r>
          </w:p>
          <w:p>
            <w:pPr>
              <w:pStyle w:val="TableParagraph"/>
              <w:spacing w:line="137" w:lineRule="exact" w:before="11"/>
              <w:ind w:left="68"/>
              <w:rPr>
                <w:sz w:val="13"/>
              </w:rPr>
            </w:pPr>
            <w:r>
              <w:rPr>
                <w:sz w:val="13"/>
              </w:rPr>
              <w:t>Opening</w:t>
            </w:r>
            <w:r>
              <w:rPr>
                <w:spacing w:val="1"/>
                <w:sz w:val="13"/>
              </w:rPr>
              <w:t> </w:t>
            </w:r>
            <w:r>
              <w:rPr>
                <w:sz w:val="13"/>
              </w:rPr>
              <w:t>net</w:t>
            </w:r>
            <w:r>
              <w:rPr>
                <w:spacing w:val="1"/>
                <w:sz w:val="13"/>
              </w:rPr>
              <w:t> </w:t>
            </w:r>
            <w:r>
              <w:rPr>
                <w:sz w:val="13"/>
              </w:rPr>
              <w:t>book</w:t>
            </w:r>
            <w:r>
              <w:rPr>
                <w:spacing w:val="3"/>
                <w:sz w:val="13"/>
              </w:rPr>
              <w:t> </w:t>
            </w:r>
            <w:r>
              <w:rPr>
                <w:spacing w:val="-4"/>
                <w:sz w:val="13"/>
              </w:rPr>
              <w:t>value</w:t>
            </w:r>
          </w:p>
        </w:tc>
        <w:tc>
          <w:tcPr>
            <w:tcW w:w="596" w:type="dxa"/>
          </w:tcPr>
          <w:p>
            <w:pPr>
              <w:pStyle w:val="TableParagraph"/>
              <w:rPr>
                <w:rFonts w:ascii="Times New Roman"/>
                <w:sz w:val="12"/>
              </w:rPr>
            </w:pPr>
          </w:p>
        </w:tc>
        <w:tc>
          <w:tcPr>
            <w:tcW w:w="984" w:type="dxa"/>
            <w:tcBorders>
              <w:top w:val="single" w:sz="6" w:space="0" w:color="000000"/>
            </w:tcBorders>
          </w:tcPr>
          <w:p>
            <w:pPr>
              <w:pStyle w:val="TableParagraph"/>
              <w:rPr>
                <w:b/>
                <w:sz w:val="13"/>
              </w:rPr>
            </w:pPr>
          </w:p>
          <w:p>
            <w:pPr>
              <w:pStyle w:val="TableParagraph"/>
              <w:spacing w:before="17"/>
              <w:rPr>
                <w:b/>
                <w:sz w:val="13"/>
              </w:rPr>
            </w:pPr>
          </w:p>
          <w:p>
            <w:pPr>
              <w:pStyle w:val="TableParagraph"/>
              <w:spacing w:line="137" w:lineRule="exact"/>
              <w:ind w:right="126"/>
              <w:jc w:val="right"/>
              <w:rPr>
                <w:sz w:val="13"/>
              </w:rPr>
            </w:pPr>
            <w:r>
              <w:rPr>
                <w:spacing w:val="-2"/>
                <w:sz w:val="13"/>
              </w:rPr>
              <w:t>187,202</w:t>
            </w:r>
          </w:p>
        </w:tc>
        <w:tc>
          <w:tcPr>
            <w:tcW w:w="938" w:type="dxa"/>
            <w:tcBorders>
              <w:top w:val="single" w:sz="6" w:space="0" w:color="000000"/>
            </w:tcBorders>
          </w:tcPr>
          <w:p>
            <w:pPr>
              <w:pStyle w:val="TableParagraph"/>
              <w:rPr>
                <w:b/>
                <w:sz w:val="13"/>
              </w:rPr>
            </w:pPr>
          </w:p>
          <w:p>
            <w:pPr>
              <w:pStyle w:val="TableParagraph"/>
              <w:spacing w:before="17"/>
              <w:rPr>
                <w:b/>
                <w:sz w:val="13"/>
              </w:rPr>
            </w:pPr>
          </w:p>
          <w:p>
            <w:pPr>
              <w:pStyle w:val="TableParagraph"/>
              <w:spacing w:line="137" w:lineRule="exact"/>
              <w:ind w:right="139"/>
              <w:jc w:val="right"/>
              <w:rPr>
                <w:sz w:val="13"/>
              </w:rPr>
            </w:pPr>
            <w:r>
              <w:rPr>
                <w:spacing w:val="-2"/>
                <w:sz w:val="13"/>
              </w:rPr>
              <w:t>80,000</w:t>
            </w:r>
          </w:p>
        </w:tc>
        <w:tc>
          <w:tcPr>
            <w:tcW w:w="933" w:type="dxa"/>
            <w:tcBorders>
              <w:top w:val="single" w:sz="6" w:space="0" w:color="000000"/>
            </w:tcBorders>
          </w:tcPr>
          <w:p>
            <w:pPr>
              <w:pStyle w:val="TableParagraph"/>
              <w:rPr>
                <w:b/>
                <w:sz w:val="13"/>
              </w:rPr>
            </w:pPr>
          </w:p>
          <w:p>
            <w:pPr>
              <w:pStyle w:val="TableParagraph"/>
              <w:spacing w:before="17"/>
              <w:rPr>
                <w:b/>
                <w:sz w:val="13"/>
              </w:rPr>
            </w:pPr>
          </w:p>
          <w:p>
            <w:pPr>
              <w:pStyle w:val="TableParagraph"/>
              <w:spacing w:line="137" w:lineRule="exact"/>
              <w:ind w:right="146"/>
              <w:jc w:val="right"/>
              <w:rPr>
                <w:sz w:val="13"/>
              </w:rPr>
            </w:pPr>
            <w:r>
              <w:rPr>
                <w:spacing w:val="-2"/>
                <w:sz w:val="13"/>
              </w:rPr>
              <w:t>871,575</w:t>
            </w:r>
          </w:p>
        </w:tc>
        <w:tc>
          <w:tcPr>
            <w:tcW w:w="900" w:type="dxa"/>
            <w:tcBorders>
              <w:top w:val="single" w:sz="6" w:space="0" w:color="000000"/>
            </w:tcBorders>
          </w:tcPr>
          <w:p>
            <w:pPr>
              <w:pStyle w:val="TableParagraph"/>
              <w:rPr>
                <w:b/>
                <w:sz w:val="13"/>
              </w:rPr>
            </w:pPr>
          </w:p>
          <w:p>
            <w:pPr>
              <w:pStyle w:val="TableParagraph"/>
              <w:spacing w:before="17"/>
              <w:rPr>
                <w:b/>
                <w:sz w:val="13"/>
              </w:rPr>
            </w:pPr>
          </w:p>
          <w:p>
            <w:pPr>
              <w:pStyle w:val="TableParagraph"/>
              <w:spacing w:line="137" w:lineRule="exact"/>
              <w:ind w:right="121"/>
              <w:jc w:val="right"/>
              <w:rPr>
                <w:sz w:val="13"/>
              </w:rPr>
            </w:pPr>
            <w:r>
              <w:rPr>
                <w:spacing w:val="-2"/>
                <w:sz w:val="13"/>
              </w:rPr>
              <w:t>53,768</w:t>
            </w:r>
          </w:p>
        </w:tc>
        <w:tc>
          <w:tcPr>
            <w:tcW w:w="949" w:type="dxa"/>
            <w:tcBorders>
              <w:top w:val="single" w:sz="6" w:space="0" w:color="000000"/>
            </w:tcBorders>
          </w:tcPr>
          <w:p>
            <w:pPr>
              <w:pStyle w:val="TableParagraph"/>
              <w:rPr>
                <w:b/>
                <w:sz w:val="13"/>
              </w:rPr>
            </w:pPr>
          </w:p>
          <w:p>
            <w:pPr>
              <w:pStyle w:val="TableParagraph"/>
              <w:spacing w:before="17"/>
              <w:rPr>
                <w:b/>
                <w:sz w:val="13"/>
              </w:rPr>
            </w:pPr>
          </w:p>
          <w:p>
            <w:pPr>
              <w:pStyle w:val="TableParagraph"/>
              <w:spacing w:line="137" w:lineRule="exact"/>
              <w:ind w:right="145"/>
              <w:jc w:val="right"/>
              <w:rPr>
                <w:sz w:val="13"/>
              </w:rPr>
            </w:pPr>
            <w:r>
              <w:rPr>
                <w:spacing w:val="-2"/>
                <w:sz w:val="13"/>
              </w:rPr>
              <w:t>56,693</w:t>
            </w:r>
          </w:p>
        </w:tc>
        <w:tc>
          <w:tcPr>
            <w:tcW w:w="954" w:type="dxa"/>
            <w:tcBorders>
              <w:top w:val="single" w:sz="6" w:space="0" w:color="000000"/>
            </w:tcBorders>
          </w:tcPr>
          <w:p>
            <w:pPr>
              <w:pStyle w:val="TableParagraph"/>
              <w:rPr>
                <w:b/>
                <w:sz w:val="13"/>
              </w:rPr>
            </w:pPr>
          </w:p>
          <w:p>
            <w:pPr>
              <w:pStyle w:val="TableParagraph"/>
              <w:spacing w:before="17"/>
              <w:rPr>
                <w:b/>
                <w:sz w:val="13"/>
              </w:rPr>
            </w:pPr>
          </w:p>
          <w:p>
            <w:pPr>
              <w:pStyle w:val="TableParagraph"/>
              <w:spacing w:line="137" w:lineRule="exact"/>
              <w:ind w:right="174"/>
              <w:jc w:val="right"/>
              <w:rPr>
                <w:sz w:val="13"/>
              </w:rPr>
            </w:pPr>
            <w:r>
              <w:rPr>
                <w:spacing w:val="-2"/>
                <w:sz w:val="13"/>
              </w:rPr>
              <w:t>29,392</w:t>
            </w:r>
          </w:p>
        </w:tc>
        <w:tc>
          <w:tcPr>
            <w:tcW w:w="858" w:type="dxa"/>
            <w:tcBorders>
              <w:top w:val="single" w:sz="6" w:space="0" w:color="000000"/>
            </w:tcBorders>
          </w:tcPr>
          <w:p>
            <w:pPr>
              <w:pStyle w:val="TableParagraph"/>
              <w:rPr>
                <w:b/>
                <w:sz w:val="13"/>
              </w:rPr>
            </w:pPr>
          </w:p>
          <w:p>
            <w:pPr>
              <w:pStyle w:val="TableParagraph"/>
              <w:spacing w:before="17"/>
              <w:rPr>
                <w:b/>
                <w:sz w:val="13"/>
              </w:rPr>
            </w:pPr>
          </w:p>
          <w:p>
            <w:pPr>
              <w:pStyle w:val="TableParagraph"/>
              <w:spacing w:line="137" w:lineRule="exact"/>
              <w:ind w:right="107"/>
              <w:jc w:val="right"/>
              <w:rPr>
                <w:sz w:val="13"/>
              </w:rPr>
            </w:pPr>
            <w:r>
              <w:rPr>
                <w:spacing w:val="-2"/>
                <w:sz w:val="13"/>
              </w:rPr>
              <w:t>3,896</w:t>
            </w:r>
          </w:p>
        </w:tc>
        <w:tc>
          <w:tcPr>
            <w:tcW w:w="929" w:type="dxa"/>
            <w:tcBorders>
              <w:top w:val="single" w:sz="6" w:space="0" w:color="000000"/>
            </w:tcBorders>
          </w:tcPr>
          <w:p>
            <w:pPr>
              <w:pStyle w:val="TableParagraph"/>
              <w:rPr>
                <w:b/>
                <w:sz w:val="13"/>
              </w:rPr>
            </w:pPr>
          </w:p>
          <w:p>
            <w:pPr>
              <w:pStyle w:val="TableParagraph"/>
              <w:spacing w:before="17"/>
              <w:rPr>
                <w:b/>
                <w:sz w:val="13"/>
              </w:rPr>
            </w:pPr>
          </w:p>
          <w:p>
            <w:pPr>
              <w:pStyle w:val="TableParagraph"/>
              <w:spacing w:line="137" w:lineRule="exact"/>
              <w:ind w:right="111"/>
              <w:jc w:val="right"/>
              <w:rPr>
                <w:sz w:val="13"/>
              </w:rPr>
            </w:pPr>
            <w:r>
              <w:rPr>
                <w:spacing w:val="-2"/>
                <w:sz w:val="13"/>
              </w:rPr>
              <w:t>1,254</w:t>
            </w:r>
          </w:p>
        </w:tc>
        <w:tc>
          <w:tcPr>
            <w:tcW w:w="995" w:type="dxa"/>
            <w:tcBorders>
              <w:top w:val="single" w:sz="6" w:space="0" w:color="000000"/>
            </w:tcBorders>
          </w:tcPr>
          <w:p>
            <w:pPr>
              <w:pStyle w:val="TableParagraph"/>
              <w:rPr>
                <w:b/>
                <w:sz w:val="13"/>
              </w:rPr>
            </w:pPr>
          </w:p>
          <w:p>
            <w:pPr>
              <w:pStyle w:val="TableParagraph"/>
              <w:spacing w:before="17"/>
              <w:rPr>
                <w:b/>
                <w:sz w:val="13"/>
              </w:rPr>
            </w:pPr>
          </w:p>
          <w:p>
            <w:pPr>
              <w:pStyle w:val="TableParagraph"/>
              <w:spacing w:line="137" w:lineRule="exact"/>
              <w:ind w:right="180"/>
              <w:jc w:val="right"/>
              <w:rPr>
                <w:sz w:val="13"/>
              </w:rPr>
            </w:pPr>
            <w:r>
              <w:rPr>
                <w:spacing w:val="-2"/>
                <w:sz w:val="13"/>
              </w:rPr>
              <w:t>45,500</w:t>
            </w:r>
          </w:p>
        </w:tc>
        <w:tc>
          <w:tcPr>
            <w:tcW w:w="804" w:type="dxa"/>
            <w:tcBorders>
              <w:top w:val="single" w:sz="6" w:space="0" w:color="000000"/>
            </w:tcBorders>
          </w:tcPr>
          <w:p>
            <w:pPr>
              <w:pStyle w:val="TableParagraph"/>
              <w:rPr>
                <w:b/>
                <w:sz w:val="13"/>
              </w:rPr>
            </w:pPr>
          </w:p>
          <w:p>
            <w:pPr>
              <w:pStyle w:val="TableParagraph"/>
              <w:spacing w:before="17"/>
              <w:rPr>
                <w:b/>
                <w:sz w:val="13"/>
              </w:rPr>
            </w:pPr>
          </w:p>
          <w:p>
            <w:pPr>
              <w:pStyle w:val="TableParagraph"/>
              <w:spacing w:line="137" w:lineRule="exact"/>
              <w:ind w:left="154"/>
              <w:rPr>
                <w:sz w:val="13"/>
              </w:rPr>
            </w:pPr>
            <w:r>
              <w:rPr>
                <w:spacing w:val="-2"/>
                <w:sz w:val="13"/>
              </w:rPr>
              <w:t>1,329,280</w:t>
            </w:r>
          </w:p>
        </w:tc>
      </w:tr>
      <w:tr>
        <w:trPr>
          <w:trHeight w:val="161" w:hRule="atLeast"/>
        </w:trPr>
        <w:tc>
          <w:tcPr>
            <w:tcW w:w="553" w:type="dxa"/>
          </w:tcPr>
          <w:p>
            <w:pPr>
              <w:pStyle w:val="TableParagraph"/>
              <w:rPr>
                <w:rFonts w:ascii="Times New Roman"/>
                <w:sz w:val="10"/>
              </w:rPr>
            </w:pPr>
          </w:p>
        </w:tc>
        <w:tc>
          <w:tcPr>
            <w:tcW w:w="3229" w:type="dxa"/>
          </w:tcPr>
          <w:p>
            <w:pPr>
              <w:pStyle w:val="TableParagraph"/>
              <w:spacing w:line="138" w:lineRule="exact" w:before="4"/>
              <w:ind w:left="68"/>
              <w:rPr>
                <w:sz w:val="13"/>
              </w:rPr>
            </w:pPr>
            <w:r>
              <w:rPr>
                <w:spacing w:val="-2"/>
                <w:sz w:val="13"/>
              </w:rPr>
              <w:t>Additions</w:t>
            </w:r>
          </w:p>
        </w:tc>
        <w:tc>
          <w:tcPr>
            <w:tcW w:w="596" w:type="dxa"/>
          </w:tcPr>
          <w:p>
            <w:pPr>
              <w:pStyle w:val="TableParagraph"/>
              <w:rPr>
                <w:rFonts w:ascii="Times New Roman"/>
                <w:sz w:val="10"/>
              </w:rPr>
            </w:pPr>
          </w:p>
        </w:tc>
        <w:tc>
          <w:tcPr>
            <w:tcW w:w="984" w:type="dxa"/>
          </w:tcPr>
          <w:p>
            <w:pPr>
              <w:pStyle w:val="TableParagraph"/>
              <w:spacing w:line="136" w:lineRule="exact" w:before="6"/>
              <w:ind w:right="118"/>
              <w:jc w:val="right"/>
              <w:rPr>
                <w:sz w:val="13"/>
              </w:rPr>
            </w:pPr>
            <w:r>
              <w:rPr>
                <w:spacing w:val="-10"/>
                <w:sz w:val="13"/>
              </w:rPr>
              <w:t>-</w:t>
            </w:r>
          </w:p>
        </w:tc>
        <w:tc>
          <w:tcPr>
            <w:tcW w:w="938" w:type="dxa"/>
          </w:tcPr>
          <w:p>
            <w:pPr>
              <w:pStyle w:val="TableParagraph"/>
              <w:spacing w:line="136" w:lineRule="exact" w:before="6"/>
              <w:ind w:right="130"/>
              <w:jc w:val="right"/>
              <w:rPr>
                <w:sz w:val="13"/>
              </w:rPr>
            </w:pPr>
            <w:r>
              <w:rPr>
                <w:spacing w:val="-10"/>
                <w:sz w:val="13"/>
              </w:rPr>
              <w:t>-</w:t>
            </w:r>
          </w:p>
        </w:tc>
        <w:tc>
          <w:tcPr>
            <w:tcW w:w="933" w:type="dxa"/>
          </w:tcPr>
          <w:p>
            <w:pPr>
              <w:pStyle w:val="TableParagraph"/>
              <w:spacing w:line="136" w:lineRule="exact" w:before="6"/>
              <w:ind w:right="146"/>
              <w:jc w:val="right"/>
              <w:rPr>
                <w:sz w:val="13"/>
              </w:rPr>
            </w:pPr>
            <w:r>
              <w:rPr>
                <w:spacing w:val="-5"/>
                <w:sz w:val="13"/>
              </w:rPr>
              <w:t>22</w:t>
            </w:r>
          </w:p>
        </w:tc>
        <w:tc>
          <w:tcPr>
            <w:tcW w:w="900" w:type="dxa"/>
          </w:tcPr>
          <w:p>
            <w:pPr>
              <w:pStyle w:val="TableParagraph"/>
              <w:spacing w:line="136" w:lineRule="exact" w:before="6"/>
              <w:ind w:right="121"/>
              <w:jc w:val="right"/>
              <w:rPr>
                <w:sz w:val="13"/>
              </w:rPr>
            </w:pPr>
            <w:r>
              <w:rPr>
                <w:spacing w:val="-2"/>
                <w:sz w:val="13"/>
              </w:rPr>
              <w:t>56,965</w:t>
            </w:r>
          </w:p>
        </w:tc>
        <w:tc>
          <w:tcPr>
            <w:tcW w:w="949" w:type="dxa"/>
          </w:tcPr>
          <w:p>
            <w:pPr>
              <w:pStyle w:val="TableParagraph"/>
              <w:spacing w:line="136" w:lineRule="exact" w:before="6"/>
              <w:ind w:right="145"/>
              <w:jc w:val="right"/>
              <w:rPr>
                <w:sz w:val="13"/>
              </w:rPr>
            </w:pPr>
            <w:r>
              <w:rPr>
                <w:spacing w:val="-2"/>
                <w:sz w:val="13"/>
              </w:rPr>
              <w:t>19,403</w:t>
            </w:r>
          </w:p>
        </w:tc>
        <w:tc>
          <w:tcPr>
            <w:tcW w:w="954" w:type="dxa"/>
          </w:tcPr>
          <w:p>
            <w:pPr>
              <w:pStyle w:val="TableParagraph"/>
              <w:spacing w:line="136" w:lineRule="exact" w:before="6"/>
              <w:ind w:right="174"/>
              <w:jc w:val="right"/>
              <w:rPr>
                <w:sz w:val="13"/>
              </w:rPr>
            </w:pPr>
            <w:r>
              <w:rPr>
                <w:spacing w:val="-5"/>
                <w:sz w:val="13"/>
              </w:rPr>
              <w:t>260</w:t>
            </w:r>
          </w:p>
        </w:tc>
        <w:tc>
          <w:tcPr>
            <w:tcW w:w="858" w:type="dxa"/>
          </w:tcPr>
          <w:p>
            <w:pPr>
              <w:pStyle w:val="TableParagraph"/>
              <w:spacing w:line="136" w:lineRule="exact" w:before="6"/>
              <w:ind w:right="107"/>
              <w:jc w:val="right"/>
              <w:rPr>
                <w:sz w:val="13"/>
              </w:rPr>
            </w:pPr>
            <w:r>
              <w:rPr>
                <w:spacing w:val="-5"/>
                <w:sz w:val="13"/>
              </w:rPr>
              <w:t>285</w:t>
            </w:r>
          </w:p>
        </w:tc>
        <w:tc>
          <w:tcPr>
            <w:tcW w:w="929" w:type="dxa"/>
          </w:tcPr>
          <w:p>
            <w:pPr>
              <w:pStyle w:val="TableParagraph"/>
              <w:spacing w:line="136" w:lineRule="exact" w:before="6"/>
              <w:ind w:right="102"/>
              <w:jc w:val="right"/>
              <w:rPr>
                <w:sz w:val="13"/>
              </w:rPr>
            </w:pPr>
            <w:r>
              <w:rPr>
                <w:spacing w:val="-10"/>
                <w:sz w:val="13"/>
              </w:rPr>
              <w:t>-</w:t>
            </w:r>
          </w:p>
        </w:tc>
        <w:tc>
          <w:tcPr>
            <w:tcW w:w="995" w:type="dxa"/>
          </w:tcPr>
          <w:p>
            <w:pPr>
              <w:pStyle w:val="TableParagraph"/>
              <w:spacing w:line="136" w:lineRule="exact" w:before="6"/>
              <w:ind w:right="180"/>
              <w:jc w:val="right"/>
              <w:rPr>
                <w:sz w:val="13"/>
              </w:rPr>
            </w:pPr>
            <w:r>
              <w:rPr>
                <w:spacing w:val="-5"/>
                <w:sz w:val="13"/>
              </w:rPr>
              <w:t>603</w:t>
            </w:r>
          </w:p>
        </w:tc>
        <w:tc>
          <w:tcPr>
            <w:tcW w:w="804" w:type="dxa"/>
          </w:tcPr>
          <w:p>
            <w:pPr>
              <w:pStyle w:val="TableParagraph"/>
              <w:spacing w:line="138" w:lineRule="exact" w:before="4"/>
              <w:ind w:left="337"/>
              <w:rPr>
                <w:sz w:val="13"/>
              </w:rPr>
            </w:pPr>
            <w:r>
              <w:rPr>
                <w:spacing w:val="-2"/>
                <w:sz w:val="13"/>
              </w:rPr>
              <w:t>77,538</w:t>
            </w:r>
          </w:p>
        </w:tc>
      </w:tr>
      <w:tr>
        <w:trPr>
          <w:trHeight w:val="160" w:hRule="atLeast"/>
        </w:trPr>
        <w:tc>
          <w:tcPr>
            <w:tcW w:w="553" w:type="dxa"/>
          </w:tcPr>
          <w:p>
            <w:pPr>
              <w:pStyle w:val="TableParagraph"/>
              <w:rPr>
                <w:rFonts w:ascii="Times New Roman"/>
                <w:sz w:val="10"/>
              </w:rPr>
            </w:pPr>
          </w:p>
        </w:tc>
        <w:tc>
          <w:tcPr>
            <w:tcW w:w="3229" w:type="dxa"/>
          </w:tcPr>
          <w:p>
            <w:pPr>
              <w:pStyle w:val="TableParagraph"/>
              <w:spacing w:line="138" w:lineRule="exact" w:before="3"/>
              <w:ind w:left="68"/>
              <w:rPr>
                <w:sz w:val="13"/>
              </w:rPr>
            </w:pPr>
            <w:r>
              <w:rPr>
                <w:spacing w:val="-2"/>
                <w:sz w:val="13"/>
              </w:rPr>
              <w:t>Disposals</w:t>
            </w:r>
          </w:p>
        </w:tc>
        <w:tc>
          <w:tcPr>
            <w:tcW w:w="596" w:type="dxa"/>
          </w:tcPr>
          <w:p>
            <w:pPr>
              <w:pStyle w:val="TableParagraph"/>
              <w:rPr>
                <w:rFonts w:ascii="Times New Roman"/>
                <w:sz w:val="10"/>
              </w:rPr>
            </w:pPr>
          </w:p>
        </w:tc>
        <w:tc>
          <w:tcPr>
            <w:tcW w:w="984" w:type="dxa"/>
          </w:tcPr>
          <w:p>
            <w:pPr>
              <w:pStyle w:val="TableParagraph"/>
              <w:spacing w:line="136" w:lineRule="exact" w:before="5"/>
              <w:ind w:right="118"/>
              <w:jc w:val="right"/>
              <w:rPr>
                <w:sz w:val="13"/>
              </w:rPr>
            </w:pPr>
            <w:r>
              <w:rPr>
                <w:spacing w:val="-10"/>
                <w:sz w:val="13"/>
              </w:rPr>
              <w:t>-</w:t>
            </w:r>
          </w:p>
        </w:tc>
        <w:tc>
          <w:tcPr>
            <w:tcW w:w="938" w:type="dxa"/>
          </w:tcPr>
          <w:p>
            <w:pPr>
              <w:pStyle w:val="TableParagraph"/>
              <w:spacing w:line="136" w:lineRule="exact" w:before="5"/>
              <w:ind w:right="130"/>
              <w:jc w:val="right"/>
              <w:rPr>
                <w:sz w:val="13"/>
              </w:rPr>
            </w:pPr>
            <w:r>
              <w:rPr>
                <w:spacing w:val="-10"/>
                <w:sz w:val="13"/>
              </w:rPr>
              <w:t>-</w:t>
            </w:r>
          </w:p>
        </w:tc>
        <w:tc>
          <w:tcPr>
            <w:tcW w:w="933" w:type="dxa"/>
          </w:tcPr>
          <w:p>
            <w:pPr>
              <w:pStyle w:val="TableParagraph"/>
              <w:spacing w:line="136" w:lineRule="exact" w:before="5"/>
              <w:ind w:right="102"/>
              <w:jc w:val="right"/>
              <w:rPr>
                <w:sz w:val="13"/>
              </w:rPr>
            </w:pPr>
            <w:r>
              <w:rPr>
                <w:spacing w:val="-2"/>
                <w:sz w:val="13"/>
              </w:rPr>
              <w:t>(182)</w:t>
            </w:r>
          </w:p>
        </w:tc>
        <w:tc>
          <w:tcPr>
            <w:tcW w:w="900" w:type="dxa"/>
          </w:tcPr>
          <w:p>
            <w:pPr>
              <w:pStyle w:val="TableParagraph"/>
              <w:spacing w:line="136" w:lineRule="exact" w:before="5"/>
              <w:ind w:right="113"/>
              <w:jc w:val="right"/>
              <w:rPr>
                <w:sz w:val="13"/>
              </w:rPr>
            </w:pPr>
            <w:r>
              <w:rPr>
                <w:spacing w:val="-10"/>
                <w:sz w:val="13"/>
              </w:rPr>
              <w:t>-</w:t>
            </w:r>
          </w:p>
        </w:tc>
        <w:tc>
          <w:tcPr>
            <w:tcW w:w="949" w:type="dxa"/>
          </w:tcPr>
          <w:p>
            <w:pPr>
              <w:pStyle w:val="TableParagraph"/>
              <w:spacing w:line="136" w:lineRule="exact" w:before="5"/>
              <w:ind w:right="101"/>
              <w:jc w:val="right"/>
              <w:rPr>
                <w:sz w:val="13"/>
              </w:rPr>
            </w:pPr>
            <w:r>
              <w:rPr>
                <w:spacing w:val="-2"/>
                <w:sz w:val="13"/>
              </w:rPr>
              <w:t>(347)</w:t>
            </w:r>
          </w:p>
        </w:tc>
        <w:tc>
          <w:tcPr>
            <w:tcW w:w="954" w:type="dxa"/>
          </w:tcPr>
          <w:p>
            <w:pPr>
              <w:pStyle w:val="TableParagraph"/>
              <w:spacing w:line="136" w:lineRule="exact" w:before="5"/>
              <w:ind w:right="166"/>
              <w:jc w:val="right"/>
              <w:rPr>
                <w:sz w:val="13"/>
              </w:rPr>
            </w:pPr>
            <w:r>
              <w:rPr>
                <w:spacing w:val="-10"/>
                <w:sz w:val="13"/>
              </w:rPr>
              <w:t>-</w:t>
            </w:r>
          </w:p>
        </w:tc>
        <w:tc>
          <w:tcPr>
            <w:tcW w:w="858" w:type="dxa"/>
          </w:tcPr>
          <w:p>
            <w:pPr>
              <w:pStyle w:val="TableParagraph"/>
              <w:spacing w:line="136" w:lineRule="exact" w:before="5"/>
              <w:ind w:right="98"/>
              <w:jc w:val="right"/>
              <w:rPr>
                <w:sz w:val="13"/>
              </w:rPr>
            </w:pPr>
            <w:r>
              <w:rPr>
                <w:spacing w:val="-10"/>
                <w:sz w:val="13"/>
              </w:rPr>
              <w:t>-</w:t>
            </w:r>
          </w:p>
        </w:tc>
        <w:tc>
          <w:tcPr>
            <w:tcW w:w="929" w:type="dxa"/>
          </w:tcPr>
          <w:p>
            <w:pPr>
              <w:pStyle w:val="TableParagraph"/>
              <w:spacing w:line="136" w:lineRule="exact" w:before="5"/>
              <w:ind w:right="102"/>
              <w:jc w:val="right"/>
              <w:rPr>
                <w:sz w:val="13"/>
              </w:rPr>
            </w:pPr>
            <w:r>
              <w:rPr>
                <w:spacing w:val="-10"/>
                <w:sz w:val="13"/>
              </w:rPr>
              <w:t>-</w:t>
            </w:r>
          </w:p>
        </w:tc>
        <w:tc>
          <w:tcPr>
            <w:tcW w:w="995" w:type="dxa"/>
          </w:tcPr>
          <w:p>
            <w:pPr>
              <w:pStyle w:val="TableParagraph"/>
              <w:spacing w:line="136" w:lineRule="exact" w:before="5"/>
              <w:ind w:right="172"/>
              <w:jc w:val="right"/>
              <w:rPr>
                <w:sz w:val="13"/>
              </w:rPr>
            </w:pPr>
            <w:r>
              <w:rPr>
                <w:spacing w:val="-10"/>
                <w:sz w:val="13"/>
              </w:rPr>
              <w:t>-</w:t>
            </w:r>
          </w:p>
        </w:tc>
        <w:tc>
          <w:tcPr>
            <w:tcW w:w="804" w:type="dxa"/>
          </w:tcPr>
          <w:p>
            <w:pPr>
              <w:pStyle w:val="TableParagraph"/>
              <w:spacing w:line="138" w:lineRule="exact" w:before="3"/>
              <w:ind w:right="15"/>
              <w:jc w:val="right"/>
              <w:rPr>
                <w:sz w:val="13"/>
              </w:rPr>
            </w:pPr>
            <w:r>
              <w:rPr>
                <w:spacing w:val="-2"/>
                <w:sz w:val="13"/>
              </w:rPr>
              <w:t>(529)</w:t>
            </w:r>
          </w:p>
        </w:tc>
      </w:tr>
      <w:tr>
        <w:trPr>
          <w:trHeight w:val="160" w:hRule="atLeast"/>
        </w:trPr>
        <w:tc>
          <w:tcPr>
            <w:tcW w:w="553" w:type="dxa"/>
          </w:tcPr>
          <w:p>
            <w:pPr>
              <w:pStyle w:val="TableParagraph"/>
              <w:rPr>
                <w:rFonts w:ascii="Times New Roman"/>
                <w:sz w:val="10"/>
              </w:rPr>
            </w:pPr>
          </w:p>
        </w:tc>
        <w:tc>
          <w:tcPr>
            <w:tcW w:w="3229" w:type="dxa"/>
          </w:tcPr>
          <w:p>
            <w:pPr>
              <w:pStyle w:val="TableParagraph"/>
              <w:spacing w:line="138" w:lineRule="exact" w:before="3"/>
              <w:ind w:left="68"/>
              <w:rPr>
                <w:sz w:val="13"/>
              </w:rPr>
            </w:pPr>
            <w:r>
              <w:rPr>
                <w:spacing w:val="-2"/>
                <w:sz w:val="13"/>
              </w:rPr>
              <w:t>Depreciation</w:t>
            </w:r>
          </w:p>
        </w:tc>
        <w:tc>
          <w:tcPr>
            <w:tcW w:w="596" w:type="dxa"/>
          </w:tcPr>
          <w:p>
            <w:pPr>
              <w:pStyle w:val="TableParagraph"/>
              <w:rPr>
                <w:rFonts w:ascii="Times New Roman"/>
                <w:sz w:val="10"/>
              </w:rPr>
            </w:pPr>
          </w:p>
        </w:tc>
        <w:tc>
          <w:tcPr>
            <w:tcW w:w="984" w:type="dxa"/>
          </w:tcPr>
          <w:p>
            <w:pPr>
              <w:pStyle w:val="TableParagraph"/>
              <w:spacing w:line="136" w:lineRule="exact" w:before="5"/>
              <w:ind w:right="118"/>
              <w:jc w:val="right"/>
              <w:rPr>
                <w:sz w:val="13"/>
              </w:rPr>
            </w:pPr>
            <w:r>
              <w:rPr>
                <w:spacing w:val="-10"/>
                <w:sz w:val="13"/>
              </w:rPr>
              <w:t>-</w:t>
            </w:r>
          </w:p>
        </w:tc>
        <w:tc>
          <w:tcPr>
            <w:tcW w:w="938" w:type="dxa"/>
          </w:tcPr>
          <w:p>
            <w:pPr>
              <w:pStyle w:val="TableParagraph"/>
              <w:spacing w:line="136" w:lineRule="exact" w:before="5"/>
              <w:ind w:right="130"/>
              <w:jc w:val="right"/>
              <w:rPr>
                <w:sz w:val="13"/>
              </w:rPr>
            </w:pPr>
            <w:r>
              <w:rPr>
                <w:spacing w:val="-10"/>
                <w:sz w:val="13"/>
              </w:rPr>
              <w:t>-</w:t>
            </w:r>
          </w:p>
        </w:tc>
        <w:tc>
          <w:tcPr>
            <w:tcW w:w="933" w:type="dxa"/>
          </w:tcPr>
          <w:p>
            <w:pPr>
              <w:pStyle w:val="TableParagraph"/>
              <w:spacing w:line="136" w:lineRule="exact" w:before="5"/>
              <w:ind w:right="102"/>
              <w:jc w:val="right"/>
              <w:rPr>
                <w:sz w:val="13"/>
              </w:rPr>
            </w:pPr>
            <w:r>
              <w:rPr>
                <w:spacing w:val="-2"/>
                <w:sz w:val="13"/>
              </w:rPr>
              <w:t>(22,764)</w:t>
            </w:r>
          </w:p>
        </w:tc>
        <w:tc>
          <w:tcPr>
            <w:tcW w:w="900" w:type="dxa"/>
          </w:tcPr>
          <w:p>
            <w:pPr>
              <w:pStyle w:val="TableParagraph"/>
              <w:spacing w:line="136" w:lineRule="exact" w:before="5"/>
              <w:ind w:right="113"/>
              <w:jc w:val="right"/>
              <w:rPr>
                <w:sz w:val="13"/>
              </w:rPr>
            </w:pPr>
            <w:r>
              <w:rPr>
                <w:spacing w:val="-10"/>
                <w:sz w:val="13"/>
              </w:rPr>
              <w:t>-</w:t>
            </w:r>
          </w:p>
        </w:tc>
        <w:tc>
          <w:tcPr>
            <w:tcW w:w="949" w:type="dxa"/>
          </w:tcPr>
          <w:p>
            <w:pPr>
              <w:pStyle w:val="TableParagraph"/>
              <w:spacing w:line="136" w:lineRule="exact" w:before="5"/>
              <w:ind w:right="101"/>
              <w:jc w:val="right"/>
              <w:rPr>
                <w:sz w:val="13"/>
              </w:rPr>
            </w:pPr>
            <w:r>
              <w:rPr>
                <w:spacing w:val="-2"/>
                <w:sz w:val="13"/>
              </w:rPr>
              <w:t>(20,331)</w:t>
            </w:r>
          </w:p>
        </w:tc>
        <w:tc>
          <w:tcPr>
            <w:tcW w:w="954" w:type="dxa"/>
          </w:tcPr>
          <w:p>
            <w:pPr>
              <w:pStyle w:val="TableParagraph"/>
              <w:spacing w:line="136" w:lineRule="exact" w:before="5"/>
              <w:ind w:right="166"/>
              <w:jc w:val="right"/>
              <w:rPr>
                <w:sz w:val="13"/>
              </w:rPr>
            </w:pPr>
            <w:r>
              <w:rPr>
                <w:spacing w:val="-10"/>
                <w:sz w:val="13"/>
              </w:rPr>
              <w:t>-</w:t>
            </w:r>
          </w:p>
        </w:tc>
        <w:tc>
          <w:tcPr>
            <w:tcW w:w="858" w:type="dxa"/>
          </w:tcPr>
          <w:p>
            <w:pPr>
              <w:pStyle w:val="TableParagraph"/>
              <w:spacing w:line="136" w:lineRule="exact" w:before="5"/>
              <w:ind w:right="62"/>
              <w:jc w:val="right"/>
              <w:rPr>
                <w:sz w:val="13"/>
              </w:rPr>
            </w:pPr>
            <w:r>
              <w:rPr>
                <w:spacing w:val="-2"/>
                <w:sz w:val="13"/>
              </w:rPr>
              <w:t>(1,069)</w:t>
            </w:r>
          </w:p>
        </w:tc>
        <w:tc>
          <w:tcPr>
            <w:tcW w:w="929" w:type="dxa"/>
          </w:tcPr>
          <w:p>
            <w:pPr>
              <w:pStyle w:val="TableParagraph"/>
              <w:spacing w:line="136" w:lineRule="exact" w:before="5"/>
              <w:ind w:right="66"/>
              <w:jc w:val="right"/>
              <w:rPr>
                <w:sz w:val="13"/>
              </w:rPr>
            </w:pPr>
            <w:r>
              <w:rPr>
                <w:spacing w:val="-2"/>
                <w:sz w:val="13"/>
              </w:rPr>
              <w:t>(705)</w:t>
            </w:r>
          </w:p>
        </w:tc>
        <w:tc>
          <w:tcPr>
            <w:tcW w:w="995" w:type="dxa"/>
          </w:tcPr>
          <w:p>
            <w:pPr>
              <w:pStyle w:val="TableParagraph"/>
              <w:spacing w:line="136" w:lineRule="exact" w:before="5"/>
              <w:ind w:right="172"/>
              <w:jc w:val="right"/>
              <w:rPr>
                <w:sz w:val="13"/>
              </w:rPr>
            </w:pPr>
            <w:r>
              <w:rPr>
                <w:spacing w:val="-10"/>
                <w:sz w:val="13"/>
              </w:rPr>
              <w:t>-</w:t>
            </w:r>
          </w:p>
        </w:tc>
        <w:tc>
          <w:tcPr>
            <w:tcW w:w="804" w:type="dxa"/>
          </w:tcPr>
          <w:p>
            <w:pPr>
              <w:pStyle w:val="TableParagraph"/>
              <w:spacing w:line="138" w:lineRule="exact" w:before="3"/>
              <w:ind w:right="15"/>
              <w:jc w:val="right"/>
              <w:rPr>
                <w:sz w:val="13"/>
              </w:rPr>
            </w:pPr>
            <w:r>
              <w:rPr>
                <w:spacing w:val="-2"/>
                <w:sz w:val="13"/>
              </w:rPr>
              <w:t>(44,869)</w:t>
            </w:r>
          </w:p>
        </w:tc>
      </w:tr>
      <w:tr>
        <w:trPr>
          <w:trHeight w:val="160" w:hRule="atLeast"/>
        </w:trPr>
        <w:tc>
          <w:tcPr>
            <w:tcW w:w="553" w:type="dxa"/>
          </w:tcPr>
          <w:p>
            <w:pPr>
              <w:pStyle w:val="TableParagraph"/>
              <w:rPr>
                <w:rFonts w:ascii="Times New Roman"/>
                <w:sz w:val="10"/>
              </w:rPr>
            </w:pPr>
          </w:p>
        </w:tc>
        <w:tc>
          <w:tcPr>
            <w:tcW w:w="3229" w:type="dxa"/>
          </w:tcPr>
          <w:p>
            <w:pPr>
              <w:pStyle w:val="TableParagraph"/>
              <w:spacing w:line="138" w:lineRule="exact" w:before="3"/>
              <w:ind w:left="68"/>
              <w:rPr>
                <w:sz w:val="13"/>
              </w:rPr>
            </w:pPr>
            <w:r>
              <w:rPr>
                <w:spacing w:val="-2"/>
                <w:sz w:val="13"/>
              </w:rPr>
              <w:t>Impairment</w:t>
            </w:r>
          </w:p>
        </w:tc>
        <w:tc>
          <w:tcPr>
            <w:tcW w:w="596" w:type="dxa"/>
          </w:tcPr>
          <w:p>
            <w:pPr>
              <w:pStyle w:val="TableParagraph"/>
              <w:rPr>
                <w:rFonts w:ascii="Times New Roman"/>
                <w:sz w:val="10"/>
              </w:rPr>
            </w:pPr>
          </w:p>
        </w:tc>
        <w:tc>
          <w:tcPr>
            <w:tcW w:w="984" w:type="dxa"/>
          </w:tcPr>
          <w:p>
            <w:pPr>
              <w:pStyle w:val="TableParagraph"/>
              <w:spacing w:line="136" w:lineRule="exact" w:before="5"/>
              <w:ind w:right="83"/>
              <w:jc w:val="right"/>
              <w:rPr>
                <w:sz w:val="13"/>
              </w:rPr>
            </w:pPr>
            <w:r>
              <w:rPr>
                <w:spacing w:val="-2"/>
                <w:sz w:val="13"/>
              </w:rPr>
              <w:t>(181)</w:t>
            </w:r>
          </w:p>
        </w:tc>
        <w:tc>
          <w:tcPr>
            <w:tcW w:w="938" w:type="dxa"/>
          </w:tcPr>
          <w:p>
            <w:pPr>
              <w:pStyle w:val="TableParagraph"/>
              <w:spacing w:line="136" w:lineRule="exact" w:before="5"/>
              <w:ind w:right="130"/>
              <w:jc w:val="right"/>
              <w:rPr>
                <w:sz w:val="13"/>
              </w:rPr>
            </w:pPr>
            <w:r>
              <w:rPr>
                <w:spacing w:val="-10"/>
                <w:sz w:val="13"/>
              </w:rPr>
              <w:t>-</w:t>
            </w:r>
          </w:p>
        </w:tc>
        <w:tc>
          <w:tcPr>
            <w:tcW w:w="933" w:type="dxa"/>
          </w:tcPr>
          <w:p>
            <w:pPr>
              <w:pStyle w:val="TableParagraph"/>
              <w:spacing w:line="136" w:lineRule="exact" w:before="5"/>
              <w:ind w:right="102"/>
              <w:jc w:val="right"/>
              <w:rPr>
                <w:sz w:val="13"/>
              </w:rPr>
            </w:pPr>
            <w:r>
              <w:rPr>
                <w:spacing w:val="-4"/>
                <w:sz w:val="13"/>
              </w:rPr>
              <w:t>(60)</w:t>
            </w:r>
          </w:p>
        </w:tc>
        <w:tc>
          <w:tcPr>
            <w:tcW w:w="900" w:type="dxa"/>
          </w:tcPr>
          <w:p>
            <w:pPr>
              <w:pStyle w:val="TableParagraph"/>
              <w:spacing w:line="136" w:lineRule="exact" w:before="5"/>
              <w:ind w:right="113"/>
              <w:jc w:val="right"/>
              <w:rPr>
                <w:sz w:val="13"/>
              </w:rPr>
            </w:pPr>
            <w:r>
              <w:rPr>
                <w:spacing w:val="-10"/>
                <w:sz w:val="13"/>
              </w:rPr>
              <w:t>-</w:t>
            </w:r>
          </w:p>
        </w:tc>
        <w:tc>
          <w:tcPr>
            <w:tcW w:w="949" w:type="dxa"/>
          </w:tcPr>
          <w:p>
            <w:pPr>
              <w:pStyle w:val="TableParagraph"/>
              <w:spacing w:line="136" w:lineRule="exact" w:before="5"/>
              <w:ind w:right="137"/>
              <w:jc w:val="right"/>
              <w:rPr>
                <w:sz w:val="13"/>
              </w:rPr>
            </w:pPr>
            <w:r>
              <w:rPr>
                <w:spacing w:val="-10"/>
                <w:sz w:val="13"/>
              </w:rPr>
              <w:t>-</w:t>
            </w:r>
          </w:p>
        </w:tc>
        <w:tc>
          <w:tcPr>
            <w:tcW w:w="954" w:type="dxa"/>
          </w:tcPr>
          <w:p>
            <w:pPr>
              <w:pStyle w:val="TableParagraph"/>
              <w:spacing w:line="136" w:lineRule="exact" w:before="5"/>
              <w:ind w:right="166"/>
              <w:jc w:val="right"/>
              <w:rPr>
                <w:sz w:val="13"/>
              </w:rPr>
            </w:pPr>
            <w:r>
              <w:rPr>
                <w:spacing w:val="-10"/>
                <w:sz w:val="13"/>
              </w:rPr>
              <w:t>-</w:t>
            </w:r>
          </w:p>
        </w:tc>
        <w:tc>
          <w:tcPr>
            <w:tcW w:w="858" w:type="dxa"/>
          </w:tcPr>
          <w:p>
            <w:pPr>
              <w:pStyle w:val="TableParagraph"/>
              <w:spacing w:line="136" w:lineRule="exact" w:before="5"/>
              <w:ind w:right="99"/>
              <w:jc w:val="right"/>
              <w:rPr>
                <w:sz w:val="13"/>
              </w:rPr>
            </w:pPr>
            <w:r>
              <w:rPr>
                <w:spacing w:val="-10"/>
                <w:sz w:val="13"/>
              </w:rPr>
              <w:t>-</w:t>
            </w:r>
          </w:p>
        </w:tc>
        <w:tc>
          <w:tcPr>
            <w:tcW w:w="929" w:type="dxa"/>
          </w:tcPr>
          <w:p>
            <w:pPr>
              <w:pStyle w:val="TableParagraph"/>
              <w:spacing w:line="136" w:lineRule="exact" w:before="5"/>
              <w:ind w:right="102"/>
              <w:jc w:val="right"/>
              <w:rPr>
                <w:sz w:val="13"/>
              </w:rPr>
            </w:pPr>
            <w:r>
              <w:rPr>
                <w:spacing w:val="-10"/>
                <w:sz w:val="13"/>
              </w:rPr>
              <w:t>-</w:t>
            </w:r>
          </w:p>
        </w:tc>
        <w:tc>
          <w:tcPr>
            <w:tcW w:w="995" w:type="dxa"/>
          </w:tcPr>
          <w:p>
            <w:pPr>
              <w:pStyle w:val="TableParagraph"/>
              <w:spacing w:line="136" w:lineRule="exact" w:before="5"/>
              <w:ind w:right="172"/>
              <w:jc w:val="right"/>
              <w:rPr>
                <w:sz w:val="13"/>
              </w:rPr>
            </w:pPr>
            <w:r>
              <w:rPr>
                <w:spacing w:val="-10"/>
                <w:sz w:val="13"/>
              </w:rPr>
              <w:t>-</w:t>
            </w:r>
          </w:p>
        </w:tc>
        <w:tc>
          <w:tcPr>
            <w:tcW w:w="804" w:type="dxa"/>
          </w:tcPr>
          <w:p>
            <w:pPr>
              <w:pStyle w:val="TableParagraph"/>
              <w:spacing w:line="138" w:lineRule="exact" w:before="3"/>
              <w:ind w:right="15"/>
              <w:jc w:val="right"/>
              <w:rPr>
                <w:sz w:val="13"/>
              </w:rPr>
            </w:pPr>
            <w:r>
              <w:rPr>
                <w:spacing w:val="-2"/>
                <w:sz w:val="13"/>
              </w:rPr>
              <w:t>(241)</w:t>
            </w:r>
          </w:p>
        </w:tc>
      </w:tr>
      <w:tr>
        <w:trPr>
          <w:trHeight w:val="160" w:hRule="atLeast"/>
        </w:trPr>
        <w:tc>
          <w:tcPr>
            <w:tcW w:w="553" w:type="dxa"/>
          </w:tcPr>
          <w:p>
            <w:pPr>
              <w:pStyle w:val="TableParagraph"/>
              <w:rPr>
                <w:rFonts w:ascii="Times New Roman"/>
                <w:sz w:val="10"/>
              </w:rPr>
            </w:pPr>
          </w:p>
        </w:tc>
        <w:tc>
          <w:tcPr>
            <w:tcW w:w="3229" w:type="dxa"/>
          </w:tcPr>
          <w:p>
            <w:pPr>
              <w:pStyle w:val="TableParagraph"/>
              <w:spacing w:line="138" w:lineRule="exact" w:before="3"/>
              <w:ind w:left="68"/>
              <w:rPr>
                <w:sz w:val="13"/>
              </w:rPr>
            </w:pPr>
            <w:r>
              <w:rPr>
                <w:spacing w:val="-2"/>
                <w:sz w:val="13"/>
              </w:rPr>
              <w:t>Transfer</w:t>
            </w:r>
          </w:p>
        </w:tc>
        <w:tc>
          <w:tcPr>
            <w:tcW w:w="596" w:type="dxa"/>
          </w:tcPr>
          <w:p>
            <w:pPr>
              <w:pStyle w:val="TableParagraph"/>
              <w:rPr>
                <w:rFonts w:ascii="Times New Roman"/>
                <w:sz w:val="10"/>
              </w:rPr>
            </w:pPr>
          </w:p>
        </w:tc>
        <w:tc>
          <w:tcPr>
            <w:tcW w:w="984" w:type="dxa"/>
          </w:tcPr>
          <w:p>
            <w:pPr>
              <w:pStyle w:val="TableParagraph"/>
              <w:spacing w:line="136" w:lineRule="exact" w:before="5"/>
              <w:ind w:right="118"/>
              <w:jc w:val="right"/>
              <w:rPr>
                <w:sz w:val="13"/>
              </w:rPr>
            </w:pPr>
            <w:r>
              <w:rPr>
                <w:spacing w:val="-10"/>
                <w:sz w:val="13"/>
              </w:rPr>
              <w:t>-</w:t>
            </w:r>
          </w:p>
        </w:tc>
        <w:tc>
          <w:tcPr>
            <w:tcW w:w="938" w:type="dxa"/>
          </w:tcPr>
          <w:p>
            <w:pPr>
              <w:pStyle w:val="TableParagraph"/>
              <w:spacing w:line="136" w:lineRule="exact" w:before="5"/>
              <w:ind w:right="132"/>
              <w:jc w:val="right"/>
              <w:rPr>
                <w:sz w:val="13"/>
              </w:rPr>
            </w:pPr>
            <w:r>
              <w:rPr>
                <w:spacing w:val="-10"/>
                <w:sz w:val="13"/>
              </w:rPr>
              <w:t>-</w:t>
            </w:r>
          </w:p>
        </w:tc>
        <w:tc>
          <w:tcPr>
            <w:tcW w:w="933" w:type="dxa"/>
          </w:tcPr>
          <w:p>
            <w:pPr>
              <w:pStyle w:val="TableParagraph"/>
              <w:spacing w:line="136" w:lineRule="exact" w:before="5"/>
              <w:ind w:right="147"/>
              <w:jc w:val="right"/>
              <w:rPr>
                <w:sz w:val="13"/>
              </w:rPr>
            </w:pPr>
            <w:r>
              <w:rPr>
                <w:spacing w:val="-2"/>
                <w:sz w:val="13"/>
              </w:rPr>
              <w:t>6,931</w:t>
            </w:r>
          </w:p>
        </w:tc>
        <w:tc>
          <w:tcPr>
            <w:tcW w:w="900" w:type="dxa"/>
          </w:tcPr>
          <w:p>
            <w:pPr>
              <w:pStyle w:val="TableParagraph"/>
              <w:spacing w:line="136" w:lineRule="exact" w:before="5"/>
              <w:ind w:right="77"/>
              <w:jc w:val="right"/>
              <w:rPr>
                <w:sz w:val="13"/>
              </w:rPr>
            </w:pPr>
            <w:r>
              <w:rPr>
                <w:spacing w:val="-2"/>
                <w:sz w:val="13"/>
              </w:rPr>
              <w:t>(19,201)</w:t>
            </w:r>
          </w:p>
        </w:tc>
        <w:tc>
          <w:tcPr>
            <w:tcW w:w="949" w:type="dxa"/>
          </w:tcPr>
          <w:p>
            <w:pPr>
              <w:pStyle w:val="TableParagraph"/>
              <w:spacing w:line="136" w:lineRule="exact" w:before="5"/>
              <w:ind w:right="145"/>
              <w:jc w:val="right"/>
              <w:rPr>
                <w:sz w:val="13"/>
              </w:rPr>
            </w:pPr>
            <w:r>
              <w:rPr>
                <w:spacing w:val="-2"/>
                <w:sz w:val="13"/>
              </w:rPr>
              <w:t>12,270</w:t>
            </w:r>
          </w:p>
        </w:tc>
        <w:tc>
          <w:tcPr>
            <w:tcW w:w="954" w:type="dxa"/>
          </w:tcPr>
          <w:p>
            <w:pPr>
              <w:pStyle w:val="TableParagraph"/>
              <w:spacing w:line="136" w:lineRule="exact" w:before="5"/>
              <w:ind w:right="166"/>
              <w:jc w:val="right"/>
              <w:rPr>
                <w:sz w:val="13"/>
              </w:rPr>
            </w:pPr>
            <w:r>
              <w:rPr>
                <w:spacing w:val="-10"/>
                <w:sz w:val="13"/>
              </w:rPr>
              <w:t>-</w:t>
            </w:r>
          </w:p>
        </w:tc>
        <w:tc>
          <w:tcPr>
            <w:tcW w:w="858" w:type="dxa"/>
          </w:tcPr>
          <w:p>
            <w:pPr>
              <w:pStyle w:val="TableParagraph"/>
              <w:spacing w:line="136" w:lineRule="exact" w:before="5"/>
              <w:ind w:right="98"/>
              <w:jc w:val="right"/>
              <w:rPr>
                <w:sz w:val="13"/>
              </w:rPr>
            </w:pPr>
            <w:r>
              <w:rPr>
                <w:spacing w:val="-10"/>
                <w:sz w:val="13"/>
              </w:rPr>
              <w:t>-</w:t>
            </w:r>
          </w:p>
        </w:tc>
        <w:tc>
          <w:tcPr>
            <w:tcW w:w="929" w:type="dxa"/>
          </w:tcPr>
          <w:p>
            <w:pPr>
              <w:pStyle w:val="TableParagraph"/>
              <w:spacing w:line="136" w:lineRule="exact" w:before="5"/>
              <w:ind w:right="102"/>
              <w:jc w:val="right"/>
              <w:rPr>
                <w:sz w:val="13"/>
              </w:rPr>
            </w:pPr>
            <w:r>
              <w:rPr>
                <w:spacing w:val="-10"/>
                <w:sz w:val="13"/>
              </w:rPr>
              <w:t>-</w:t>
            </w:r>
          </w:p>
        </w:tc>
        <w:tc>
          <w:tcPr>
            <w:tcW w:w="995" w:type="dxa"/>
          </w:tcPr>
          <w:p>
            <w:pPr>
              <w:pStyle w:val="TableParagraph"/>
              <w:spacing w:line="136" w:lineRule="exact" w:before="5"/>
              <w:ind w:right="172"/>
              <w:jc w:val="right"/>
              <w:rPr>
                <w:sz w:val="13"/>
              </w:rPr>
            </w:pPr>
            <w:r>
              <w:rPr>
                <w:spacing w:val="-10"/>
                <w:sz w:val="13"/>
              </w:rPr>
              <w:t>-</w:t>
            </w:r>
          </w:p>
        </w:tc>
        <w:tc>
          <w:tcPr>
            <w:tcW w:w="804" w:type="dxa"/>
          </w:tcPr>
          <w:p>
            <w:pPr>
              <w:pStyle w:val="TableParagraph"/>
              <w:spacing w:line="136" w:lineRule="exact" w:before="5"/>
              <w:ind w:right="51"/>
              <w:jc w:val="right"/>
              <w:rPr>
                <w:sz w:val="13"/>
              </w:rPr>
            </w:pPr>
            <w:r>
              <w:rPr>
                <w:spacing w:val="-10"/>
                <w:sz w:val="13"/>
              </w:rPr>
              <w:t>-</w:t>
            </w:r>
          </w:p>
        </w:tc>
      </w:tr>
      <w:tr>
        <w:trPr>
          <w:trHeight w:val="154" w:hRule="atLeast"/>
        </w:trPr>
        <w:tc>
          <w:tcPr>
            <w:tcW w:w="553" w:type="dxa"/>
          </w:tcPr>
          <w:p>
            <w:pPr>
              <w:pStyle w:val="TableParagraph"/>
              <w:rPr>
                <w:rFonts w:ascii="Times New Roman"/>
                <w:sz w:val="8"/>
              </w:rPr>
            </w:pPr>
          </w:p>
        </w:tc>
        <w:tc>
          <w:tcPr>
            <w:tcW w:w="3229" w:type="dxa"/>
          </w:tcPr>
          <w:p>
            <w:pPr>
              <w:pStyle w:val="TableParagraph"/>
              <w:spacing w:line="132" w:lineRule="exact" w:before="3"/>
              <w:ind w:left="68"/>
              <w:rPr>
                <w:sz w:val="13"/>
              </w:rPr>
            </w:pPr>
            <w:r>
              <w:rPr>
                <w:sz w:val="13"/>
              </w:rPr>
              <w:t>Transfer</w:t>
            </w:r>
            <w:r>
              <w:rPr>
                <w:spacing w:val="2"/>
                <w:sz w:val="13"/>
              </w:rPr>
              <w:t> </w:t>
            </w:r>
            <w:r>
              <w:rPr>
                <w:sz w:val="13"/>
              </w:rPr>
              <w:t>of</w:t>
            </w:r>
            <w:r>
              <w:rPr>
                <w:spacing w:val="3"/>
                <w:sz w:val="13"/>
              </w:rPr>
              <w:t> </w:t>
            </w:r>
            <w:r>
              <w:rPr>
                <w:sz w:val="13"/>
              </w:rPr>
              <w:t>carrying</w:t>
            </w:r>
            <w:r>
              <w:rPr>
                <w:spacing w:val="2"/>
                <w:sz w:val="13"/>
              </w:rPr>
              <w:t> </w:t>
            </w:r>
            <w:r>
              <w:rPr>
                <w:sz w:val="13"/>
              </w:rPr>
              <w:t>amount to</w:t>
            </w:r>
            <w:r>
              <w:rPr>
                <w:spacing w:val="2"/>
                <w:sz w:val="13"/>
              </w:rPr>
              <w:t> </w:t>
            </w:r>
            <w:r>
              <w:rPr>
                <w:sz w:val="13"/>
              </w:rPr>
              <w:t>assets</w:t>
            </w:r>
            <w:r>
              <w:rPr>
                <w:spacing w:val="3"/>
                <w:sz w:val="13"/>
              </w:rPr>
              <w:t> </w:t>
            </w:r>
            <w:r>
              <w:rPr>
                <w:sz w:val="13"/>
              </w:rPr>
              <w:t>held</w:t>
            </w:r>
            <w:r>
              <w:rPr>
                <w:spacing w:val="1"/>
                <w:sz w:val="13"/>
              </w:rPr>
              <w:t> </w:t>
            </w:r>
            <w:r>
              <w:rPr>
                <w:sz w:val="13"/>
              </w:rPr>
              <w:t>for</w:t>
            </w:r>
            <w:r>
              <w:rPr>
                <w:spacing w:val="3"/>
                <w:sz w:val="13"/>
              </w:rPr>
              <w:t> </w:t>
            </w:r>
            <w:r>
              <w:rPr>
                <w:spacing w:val="-4"/>
                <w:sz w:val="13"/>
              </w:rPr>
              <w:t>sale</w:t>
            </w:r>
          </w:p>
        </w:tc>
        <w:tc>
          <w:tcPr>
            <w:tcW w:w="596" w:type="dxa"/>
          </w:tcPr>
          <w:p>
            <w:pPr>
              <w:pStyle w:val="TableParagraph"/>
              <w:rPr>
                <w:rFonts w:ascii="Times New Roman"/>
                <w:sz w:val="8"/>
              </w:rPr>
            </w:pPr>
          </w:p>
        </w:tc>
        <w:tc>
          <w:tcPr>
            <w:tcW w:w="984" w:type="dxa"/>
            <w:tcBorders>
              <w:bottom w:val="single" w:sz="6" w:space="0" w:color="000000"/>
            </w:tcBorders>
          </w:tcPr>
          <w:p>
            <w:pPr>
              <w:pStyle w:val="TableParagraph"/>
              <w:spacing w:line="129" w:lineRule="exact" w:before="5"/>
              <w:ind w:right="81"/>
              <w:jc w:val="right"/>
              <w:rPr>
                <w:sz w:val="13"/>
              </w:rPr>
            </w:pPr>
            <w:r>
              <w:rPr>
                <w:spacing w:val="-2"/>
                <w:sz w:val="13"/>
              </w:rPr>
              <w:t>(2,000)</w:t>
            </w:r>
          </w:p>
        </w:tc>
        <w:tc>
          <w:tcPr>
            <w:tcW w:w="938" w:type="dxa"/>
            <w:tcBorders>
              <w:bottom w:val="single" w:sz="6" w:space="0" w:color="000000"/>
            </w:tcBorders>
          </w:tcPr>
          <w:p>
            <w:pPr>
              <w:pStyle w:val="TableParagraph"/>
              <w:spacing w:line="129" w:lineRule="exact" w:before="5"/>
              <w:ind w:right="130"/>
              <w:jc w:val="right"/>
              <w:rPr>
                <w:sz w:val="13"/>
              </w:rPr>
            </w:pPr>
            <w:r>
              <w:rPr>
                <w:spacing w:val="-10"/>
                <w:sz w:val="13"/>
              </w:rPr>
              <w:t>-</w:t>
            </w:r>
          </w:p>
        </w:tc>
        <w:tc>
          <w:tcPr>
            <w:tcW w:w="933" w:type="dxa"/>
            <w:tcBorders>
              <w:bottom w:val="single" w:sz="6" w:space="0" w:color="000000"/>
            </w:tcBorders>
          </w:tcPr>
          <w:p>
            <w:pPr>
              <w:pStyle w:val="TableParagraph"/>
              <w:spacing w:line="129" w:lineRule="exact" w:before="5"/>
              <w:ind w:right="102"/>
              <w:jc w:val="right"/>
              <w:rPr>
                <w:sz w:val="13"/>
              </w:rPr>
            </w:pPr>
            <w:r>
              <w:rPr>
                <w:spacing w:val="-2"/>
                <w:sz w:val="13"/>
              </w:rPr>
              <w:t>(250)</w:t>
            </w:r>
          </w:p>
        </w:tc>
        <w:tc>
          <w:tcPr>
            <w:tcW w:w="900" w:type="dxa"/>
            <w:tcBorders>
              <w:bottom w:val="single" w:sz="6" w:space="0" w:color="000000"/>
            </w:tcBorders>
          </w:tcPr>
          <w:p>
            <w:pPr>
              <w:pStyle w:val="TableParagraph"/>
              <w:spacing w:line="129" w:lineRule="exact" w:before="5"/>
              <w:ind w:right="113"/>
              <w:jc w:val="right"/>
              <w:rPr>
                <w:sz w:val="13"/>
              </w:rPr>
            </w:pPr>
            <w:r>
              <w:rPr>
                <w:spacing w:val="-10"/>
                <w:sz w:val="13"/>
              </w:rPr>
              <w:t>-</w:t>
            </w:r>
          </w:p>
        </w:tc>
        <w:tc>
          <w:tcPr>
            <w:tcW w:w="949" w:type="dxa"/>
            <w:tcBorders>
              <w:bottom w:val="single" w:sz="6" w:space="0" w:color="000000"/>
            </w:tcBorders>
          </w:tcPr>
          <w:p>
            <w:pPr>
              <w:pStyle w:val="TableParagraph"/>
              <w:spacing w:line="129" w:lineRule="exact" w:before="5"/>
              <w:ind w:right="137"/>
              <w:jc w:val="right"/>
              <w:rPr>
                <w:sz w:val="13"/>
              </w:rPr>
            </w:pPr>
            <w:r>
              <w:rPr>
                <w:spacing w:val="-10"/>
                <w:sz w:val="13"/>
              </w:rPr>
              <w:t>-</w:t>
            </w:r>
          </w:p>
        </w:tc>
        <w:tc>
          <w:tcPr>
            <w:tcW w:w="954" w:type="dxa"/>
            <w:tcBorders>
              <w:bottom w:val="single" w:sz="6" w:space="0" w:color="000000"/>
            </w:tcBorders>
          </w:tcPr>
          <w:p>
            <w:pPr>
              <w:pStyle w:val="TableParagraph"/>
              <w:spacing w:line="129" w:lineRule="exact" w:before="5"/>
              <w:ind w:right="165"/>
              <w:jc w:val="right"/>
              <w:rPr>
                <w:sz w:val="13"/>
              </w:rPr>
            </w:pPr>
            <w:r>
              <w:rPr>
                <w:spacing w:val="-10"/>
                <w:sz w:val="13"/>
              </w:rPr>
              <w:t>-</w:t>
            </w:r>
          </w:p>
        </w:tc>
        <w:tc>
          <w:tcPr>
            <w:tcW w:w="858" w:type="dxa"/>
            <w:tcBorders>
              <w:bottom w:val="single" w:sz="6" w:space="0" w:color="000000"/>
            </w:tcBorders>
          </w:tcPr>
          <w:p>
            <w:pPr>
              <w:pStyle w:val="TableParagraph"/>
              <w:spacing w:line="129" w:lineRule="exact" w:before="5"/>
              <w:ind w:right="98"/>
              <w:jc w:val="right"/>
              <w:rPr>
                <w:sz w:val="13"/>
              </w:rPr>
            </w:pPr>
            <w:r>
              <w:rPr>
                <w:spacing w:val="-10"/>
                <w:sz w:val="13"/>
              </w:rPr>
              <w:t>-</w:t>
            </w:r>
          </w:p>
        </w:tc>
        <w:tc>
          <w:tcPr>
            <w:tcW w:w="929" w:type="dxa"/>
            <w:tcBorders>
              <w:bottom w:val="single" w:sz="6" w:space="0" w:color="000000"/>
            </w:tcBorders>
          </w:tcPr>
          <w:p>
            <w:pPr>
              <w:pStyle w:val="TableParagraph"/>
              <w:spacing w:line="129" w:lineRule="exact" w:before="5"/>
              <w:ind w:right="102"/>
              <w:jc w:val="right"/>
              <w:rPr>
                <w:sz w:val="13"/>
              </w:rPr>
            </w:pPr>
            <w:r>
              <w:rPr>
                <w:spacing w:val="-10"/>
                <w:sz w:val="13"/>
              </w:rPr>
              <w:t>-</w:t>
            </w:r>
          </w:p>
        </w:tc>
        <w:tc>
          <w:tcPr>
            <w:tcW w:w="995" w:type="dxa"/>
            <w:tcBorders>
              <w:bottom w:val="single" w:sz="6" w:space="0" w:color="000000"/>
            </w:tcBorders>
          </w:tcPr>
          <w:p>
            <w:pPr>
              <w:pStyle w:val="TableParagraph"/>
              <w:spacing w:line="129" w:lineRule="exact" w:before="5"/>
              <w:ind w:right="172"/>
              <w:jc w:val="right"/>
              <w:rPr>
                <w:sz w:val="13"/>
              </w:rPr>
            </w:pPr>
            <w:r>
              <w:rPr>
                <w:spacing w:val="-10"/>
                <w:sz w:val="13"/>
              </w:rPr>
              <w:t>-</w:t>
            </w:r>
          </w:p>
        </w:tc>
        <w:tc>
          <w:tcPr>
            <w:tcW w:w="804" w:type="dxa"/>
            <w:tcBorders>
              <w:bottom w:val="single" w:sz="6" w:space="0" w:color="000000"/>
            </w:tcBorders>
          </w:tcPr>
          <w:p>
            <w:pPr>
              <w:pStyle w:val="TableParagraph"/>
              <w:spacing w:line="129" w:lineRule="exact" w:before="5"/>
              <w:ind w:right="15"/>
              <w:jc w:val="right"/>
              <w:rPr>
                <w:sz w:val="13"/>
              </w:rPr>
            </w:pPr>
            <w:r>
              <w:rPr>
                <w:spacing w:val="-2"/>
                <w:sz w:val="13"/>
              </w:rPr>
              <w:t>(2,250)</w:t>
            </w:r>
          </w:p>
        </w:tc>
      </w:tr>
      <w:tr>
        <w:trPr>
          <w:trHeight w:val="145" w:hRule="atLeast"/>
        </w:trPr>
        <w:tc>
          <w:tcPr>
            <w:tcW w:w="553" w:type="dxa"/>
          </w:tcPr>
          <w:p>
            <w:pPr>
              <w:pStyle w:val="TableParagraph"/>
              <w:rPr>
                <w:rFonts w:ascii="Times New Roman"/>
                <w:sz w:val="8"/>
              </w:rPr>
            </w:pPr>
          </w:p>
        </w:tc>
        <w:tc>
          <w:tcPr>
            <w:tcW w:w="3229" w:type="dxa"/>
          </w:tcPr>
          <w:p>
            <w:pPr>
              <w:pStyle w:val="TableParagraph"/>
              <w:spacing w:line="126" w:lineRule="exact"/>
              <w:ind w:left="68"/>
              <w:rPr>
                <w:b/>
                <w:sz w:val="13"/>
              </w:rPr>
            </w:pPr>
            <w:r>
              <w:rPr>
                <w:b/>
                <w:sz w:val="13"/>
              </w:rPr>
              <w:t>Closing</w:t>
            </w:r>
            <w:r>
              <w:rPr>
                <w:b/>
                <w:spacing w:val="-1"/>
                <w:sz w:val="13"/>
              </w:rPr>
              <w:t> </w:t>
            </w:r>
            <w:r>
              <w:rPr>
                <w:b/>
                <w:sz w:val="13"/>
              </w:rPr>
              <w:t>net</w:t>
            </w:r>
            <w:r>
              <w:rPr>
                <w:b/>
                <w:spacing w:val="1"/>
                <w:sz w:val="13"/>
              </w:rPr>
              <w:t> </w:t>
            </w:r>
            <w:r>
              <w:rPr>
                <w:b/>
                <w:sz w:val="13"/>
              </w:rPr>
              <w:t>book </w:t>
            </w:r>
            <w:r>
              <w:rPr>
                <w:b/>
                <w:spacing w:val="-2"/>
                <w:sz w:val="13"/>
              </w:rPr>
              <w:t>value</w:t>
            </w:r>
          </w:p>
        </w:tc>
        <w:tc>
          <w:tcPr>
            <w:tcW w:w="596" w:type="dxa"/>
          </w:tcPr>
          <w:p>
            <w:pPr>
              <w:pStyle w:val="TableParagraph"/>
              <w:rPr>
                <w:rFonts w:ascii="Times New Roman"/>
                <w:sz w:val="8"/>
              </w:rPr>
            </w:pPr>
          </w:p>
        </w:tc>
        <w:tc>
          <w:tcPr>
            <w:tcW w:w="984" w:type="dxa"/>
            <w:tcBorders>
              <w:top w:val="single" w:sz="6" w:space="0" w:color="000000"/>
              <w:bottom w:val="single" w:sz="6" w:space="0" w:color="000000"/>
            </w:tcBorders>
          </w:tcPr>
          <w:p>
            <w:pPr>
              <w:pStyle w:val="TableParagraph"/>
              <w:spacing w:line="126" w:lineRule="exact"/>
              <w:ind w:right="126"/>
              <w:jc w:val="right"/>
              <w:rPr>
                <w:b/>
                <w:sz w:val="13"/>
              </w:rPr>
            </w:pPr>
            <w:r>
              <w:rPr>
                <w:b/>
                <w:spacing w:val="-2"/>
                <w:sz w:val="13"/>
              </w:rPr>
              <w:t>185,021</w:t>
            </w:r>
          </w:p>
        </w:tc>
        <w:tc>
          <w:tcPr>
            <w:tcW w:w="938" w:type="dxa"/>
            <w:tcBorders>
              <w:top w:val="single" w:sz="6" w:space="0" w:color="000000"/>
              <w:bottom w:val="single" w:sz="6" w:space="0" w:color="000000"/>
            </w:tcBorders>
          </w:tcPr>
          <w:p>
            <w:pPr>
              <w:pStyle w:val="TableParagraph"/>
              <w:spacing w:line="126" w:lineRule="exact"/>
              <w:ind w:right="139"/>
              <w:jc w:val="right"/>
              <w:rPr>
                <w:b/>
                <w:sz w:val="13"/>
              </w:rPr>
            </w:pPr>
            <w:r>
              <w:rPr>
                <w:b/>
                <w:spacing w:val="-2"/>
                <w:sz w:val="13"/>
              </w:rPr>
              <w:t>80,000</w:t>
            </w:r>
          </w:p>
        </w:tc>
        <w:tc>
          <w:tcPr>
            <w:tcW w:w="933" w:type="dxa"/>
            <w:tcBorders>
              <w:top w:val="single" w:sz="6" w:space="0" w:color="000000"/>
              <w:bottom w:val="single" w:sz="6" w:space="0" w:color="000000"/>
            </w:tcBorders>
          </w:tcPr>
          <w:p>
            <w:pPr>
              <w:pStyle w:val="TableParagraph"/>
              <w:spacing w:line="126" w:lineRule="exact"/>
              <w:ind w:right="146"/>
              <w:jc w:val="right"/>
              <w:rPr>
                <w:b/>
                <w:sz w:val="13"/>
              </w:rPr>
            </w:pPr>
            <w:r>
              <w:rPr>
                <w:b/>
                <w:spacing w:val="-2"/>
                <w:sz w:val="13"/>
              </w:rPr>
              <w:t>855,272</w:t>
            </w:r>
          </w:p>
        </w:tc>
        <w:tc>
          <w:tcPr>
            <w:tcW w:w="900" w:type="dxa"/>
            <w:tcBorders>
              <w:top w:val="single" w:sz="6" w:space="0" w:color="000000"/>
              <w:bottom w:val="single" w:sz="6" w:space="0" w:color="000000"/>
            </w:tcBorders>
          </w:tcPr>
          <w:p>
            <w:pPr>
              <w:pStyle w:val="TableParagraph"/>
              <w:spacing w:line="126" w:lineRule="exact"/>
              <w:ind w:right="121"/>
              <w:jc w:val="right"/>
              <w:rPr>
                <w:b/>
                <w:sz w:val="13"/>
              </w:rPr>
            </w:pPr>
            <w:r>
              <w:rPr>
                <w:b/>
                <w:spacing w:val="-2"/>
                <w:sz w:val="13"/>
              </w:rPr>
              <w:t>91,532</w:t>
            </w:r>
          </w:p>
        </w:tc>
        <w:tc>
          <w:tcPr>
            <w:tcW w:w="949" w:type="dxa"/>
            <w:tcBorders>
              <w:top w:val="single" w:sz="6" w:space="0" w:color="000000"/>
              <w:bottom w:val="single" w:sz="6" w:space="0" w:color="000000"/>
            </w:tcBorders>
          </w:tcPr>
          <w:p>
            <w:pPr>
              <w:pStyle w:val="TableParagraph"/>
              <w:spacing w:line="126" w:lineRule="exact"/>
              <w:ind w:right="145"/>
              <w:jc w:val="right"/>
              <w:rPr>
                <w:b/>
                <w:sz w:val="13"/>
              </w:rPr>
            </w:pPr>
            <w:r>
              <w:rPr>
                <w:b/>
                <w:spacing w:val="-2"/>
                <w:sz w:val="13"/>
              </w:rPr>
              <w:t>67,688</w:t>
            </w:r>
          </w:p>
        </w:tc>
        <w:tc>
          <w:tcPr>
            <w:tcW w:w="954" w:type="dxa"/>
            <w:tcBorders>
              <w:top w:val="single" w:sz="6" w:space="0" w:color="000000"/>
              <w:bottom w:val="single" w:sz="6" w:space="0" w:color="000000"/>
            </w:tcBorders>
          </w:tcPr>
          <w:p>
            <w:pPr>
              <w:pStyle w:val="TableParagraph"/>
              <w:spacing w:line="126" w:lineRule="exact"/>
              <w:ind w:right="174"/>
              <w:jc w:val="right"/>
              <w:rPr>
                <w:b/>
                <w:sz w:val="13"/>
              </w:rPr>
            </w:pPr>
            <w:r>
              <w:rPr>
                <w:b/>
                <w:spacing w:val="-2"/>
                <w:sz w:val="13"/>
              </w:rPr>
              <w:t>29,653</w:t>
            </w:r>
          </w:p>
        </w:tc>
        <w:tc>
          <w:tcPr>
            <w:tcW w:w="858" w:type="dxa"/>
            <w:tcBorders>
              <w:top w:val="single" w:sz="6" w:space="0" w:color="000000"/>
              <w:bottom w:val="single" w:sz="6" w:space="0" w:color="000000"/>
            </w:tcBorders>
          </w:tcPr>
          <w:p>
            <w:pPr>
              <w:pStyle w:val="TableParagraph"/>
              <w:spacing w:line="126" w:lineRule="exact"/>
              <w:ind w:right="107"/>
              <w:jc w:val="right"/>
              <w:rPr>
                <w:b/>
                <w:sz w:val="13"/>
              </w:rPr>
            </w:pPr>
            <w:r>
              <w:rPr>
                <w:b/>
                <w:spacing w:val="-2"/>
                <w:sz w:val="13"/>
              </w:rPr>
              <w:t>3,112</w:t>
            </w:r>
          </w:p>
        </w:tc>
        <w:tc>
          <w:tcPr>
            <w:tcW w:w="929" w:type="dxa"/>
            <w:tcBorders>
              <w:top w:val="single" w:sz="6" w:space="0" w:color="000000"/>
              <w:bottom w:val="single" w:sz="6" w:space="0" w:color="000000"/>
            </w:tcBorders>
          </w:tcPr>
          <w:p>
            <w:pPr>
              <w:pStyle w:val="TableParagraph"/>
              <w:spacing w:line="126" w:lineRule="exact"/>
              <w:ind w:right="111"/>
              <w:jc w:val="right"/>
              <w:rPr>
                <w:b/>
                <w:sz w:val="13"/>
              </w:rPr>
            </w:pPr>
            <w:r>
              <w:rPr>
                <w:b/>
                <w:spacing w:val="-5"/>
                <w:sz w:val="13"/>
              </w:rPr>
              <w:t>549</w:t>
            </w:r>
          </w:p>
        </w:tc>
        <w:tc>
          <w:tcPr>
            <w:tcW w:w="995" w:type="dxa"/>
            <w:tcBorders>
              <w:top w:val="single" w:sz="6" w:space="0" w:color="000000"/>
              <w:bottom w:val="single" w:sz="6" w:space="0" w:color="000000"/>
            </w:tcBorders>
          </w:tcPr>
          <w:p>
            <w:pPr>
              <w:pStyle w:val="TableParagraph"/>
              <w:spacing w:line="126" w:lineRule="exact"/>
              <w:ind w:right="180"/>
              <w:jc w:val="right"/>
              <w:rPr>
                <w:b/>
                <w:sz w:val="13"/>
              </w:rPr>
            </w:pPr>
            <w:r>
              <w:rPr>
                <w:b/>
                <w:spacing w:val="-2"/>
                <w:sz w:val="13"/>
              </w:rPr>
              <w:t>46,103</w:t>
            </w:r>
          </w:p>
        </w:tc>
        <w:tc>
          <w:tcPr>
            <w:tcW w:w="804" w:type="dxa"/>
            <w:tcBorders>
              <w:top w:val="single" w:sz="6" w:space="0" w:color="000000"/>
              <w:bottom w:val="single" w:sz="6" w:space="0" w:color="000000"/>
            </w:tcBorders>
          </w:tcPr>
          <w:p>
            <w:pPr>
              <w:pStyle w:val="TableParagraph"/>
              <w:spacing w:line="126" w:lineRule="exact"/>
              <w:ind w:left="154"/>
              <w:rPr>
                <w:b/>
                <w:sz w:val="13"/>
              </w:rPr>
            </w:pPr>
            <w:r>
              <w:rPr>
                <w:b/>
                <w:spacing w:val="-2"/>
                <w:sz w:val="13"/>
              </w:rPr>
              <w:t>1,358,929</w:t>
            </w:r>
          </w:p>
        </w:tc>
      </w:tr>
      <w:tr>
        <w:trPr>
          <w:trHeight w:val="474" w:hRule="atLeast"/>
        </w:trPr>
        <w:tc>
          <w:tcPr>
            <w:tcW w:w="553" w:type="dxa"/>
          </w:tcPr>
          <w:p>
            <w:pPr>
              <w:pStyle w:val="TableParagraph"/>
              <w:rPr>
                <w:rFonts w:ascii="Times New Roman"/>
                <w:sz w:val="12"/>
              </w:rPr>
            </w:pPr>
          </w:p>
        </w:tc>
        <w:tc>
          <w:tcPr>
            <w:tcW w:w="3229" w:type="dxa"/>
          </w:tcPr>
          <w:p>
            <w:pPr>
              <w:pStyle w:val="TableParagraph"/>
              <w:spacing w:before="6"/>
              <w:rPr>
                <w:b/>
                <w:sz w:val="13"/>
              </w:rPr>
            </w:pPr>
          </w:p>
          <w:p>
            <w:pPr>
              <w:pStyle w:val="TableParagraph"/>
              <w:ind w:left="68"/>
              <w:rPr>
                <w:b/>
                <w:sz w:val="13"/>
              </w:rPr>
            </w:pPr>
            <w:r>
              <w:rPr>
                <w:b/>
                <w:sz w:val="13"/>
              </w:rPr>
              <w:t>At 31 December </w:t>
            </w:r>
            <w:r>
              <w:rPr>
                <w:b/>
                <w:spacing w:val="-4"/>
                <w:sz w:val="13"/>
              </w:rPr>
              <w:t>2019</w:t>
            </w:r>
          </w:p>
          <w:p>
            <w:pPr>
              <w:pStyle w:val="TableParagraph"/>
              <w:spacing w:line="138" w:lineRule="exact" w:before="11"/>
              <w:ind w:left="68"/>
              <w:rPr>
                <w:sz w:val="13"/>
              </w:rPr>
            </w:pPr>
            <w:r>
              <w:rPr>
                <w:spacing w:val="-4"/>
                <w:sz w:val="13"/>
              </w:rPr>
              <w:t>Cost</w:t>
            </w:r>
          </w:p>
        </w:tc>
        <w:tc>
          <w:tcPr>
            <w:tcW w:w="596" w:type="dxa"/>
          </w:tcPr>
          <w:p>
            <w:pPr>
              <w:pStyle w:val="TableParagraph"/>
              <w:rPr>
                <w:rFonts w:ascii="Times New Roman"/>
                <w:sz w:val="12"/>
              </w:rPr>
            </w:pPr>
          </w:p>
        </w:tc>
        <w:tc>
          <w:tcPr>
            <w:tcW w:w="984" w:type="dxa"/>
            <w:tcBorders>
              <w:top w:val="single" w:sz="6" w:space="0" w:color="000000"/>
            </w:tcBorders>
          </w:tcPr>
          <w:p>
            <w:pPr>
              <w:pStyle w:val="TableParagraph"/>
              <w:rPr>
                <w:b/>
                <w:sz w:val="13"/>
              </w:rPr>
            </w:pPr>
          </w:p>
          <w:p>
            <w:pPr>
              <w:pStyle w:val="TableParagraph"/>
              <w:spacing w:before="19"/>
              <w:rPr>
                <w:b/>
                <w:sz w:val="13"/>
              </w:rPr>
            </w:pPr>
          </w:p>
          <w:p>
            <w:pPr>
              <w:pStyle w:val="TableParagraph"/>
              <w:spacing w:line="136" w:lineRule="exact"/>
              <w:ind w:right="126"/>
              <w:jc w:val="right"/>
              <w:rPr>
                <w:sz w:val="13"/>
              </w:rPr>
            </w:pPr>
            <w:r>
              <w:rPr>
                <w:spacing w:val="-2"/>
                <w:sz w:val="13"/>
              </w:rPr>
              <w:t>187,075</w:t>
            </w:r>
          </w:p>
        </w:tc>
        <w:tc>
          <w:tcPr>
            <w:tcW w:w="938" w:type="dxa"/>
            <w:tcBorders>
              <w:top w:val="single" w:sz="6" w:space="0" w:color="000000"/>
            </w:tcBorders>
          </w:tcPr>
          <w:p>
            <w:pPr>
              <w:pStyle w:val="TableParagraph"/>
              <w:rPr>
                <w:b/>
                <w:sz w:val="13"/>
              </w:rPr>
            </w:pPr>
          </w:p>
          <w:p>
            <w:pPr>
              <w:pStyle w:val="TableParagraph"/>
              <w:spacing w:before="19"/>
              <w:rPr>
                <w:b/>
                <w:sz w:val="13"/>
              </w:rPr>
            </w:pPr>
          </w:p>
          <w:p>
            <w:pPr>
              <w:pStyle w:val="TableParagraph"/>
              <w:spacing w:line="136" w:lineRule="exact"/>
              <w:ind w:right="139"/>
              <w:jc w:val="right"/>
              <w:rPr>
                <w:sz w:val="13"/>
              </w:rPr>
            </w:pPr>
            <w:r>
              <w:rPr>
                <w:spacing w:val="-2"/>
                <w:sz w:val="13"/>
              </w:rPr>
              <w:t>80,000</w:t>
            </w:r>
          </w:p>
        </w:tc>
        <w:tc>
          <w:tcPr>
            <w:tcW w:w="933" w:type="dxa"/>
            <w:tcBorders>
              <w:top w:val="single" w:sz="6" w:space="0" w:color="000000"/>
            </w:tcBorders>
          </w:tcPr>
          <w:p>
            <w:pPr>
              <w:pStyle w:val="TableParagraph"/>
              <w:rPr>
                <w:b/>
                <w:sz w:val="13"/>
              </w:rPr>
            </w:pPr>
          </w:p>
          <w:p>
            <w:pPr>
              <w:pStyle w:val="TableParagraph"/>
              <w:spacing w:before="19"/>
              <w:rPr>
                <w:b/>
                <w:sz w:val="13"/>
              </w:rPr>
            </w:pPr>
          </w:p>
          <w:p>
            <w:pPr>
              <w:pStyle w:val="TableParagraph"/>
              <w:spacing w:line="136" w:lineRule="exact"/>
              <w:ind w:right="147"/>
              <w:jc w:val="right"/>
              <w:rPr>
                <w:sz w:val="13"/>
              </w:rPr>
            </w:pPr>
            <w:r>
              <w:rPr>
                <w:spacing w:val="-2"/>
                <w:sz w:val="13"/>
              </w:rPr>
              <w:t>1,102,257</w:t>
            </w:r>
          </w:p>
        </w:tc>
        <w:tc>
          <w:tcPr>
            <w:tcW w:w="900" w:type="dxa"/>
            <w:tcBorders>
              <w:top w:val="single" w:sz="6" w:space="0" w:color="000000"/>
            </w:tcBorders>
          </w:tcPr>
          <w:p>
            <w:pPr>
              <w:pStyle w:val="TableParagraph"/>
              <w:rPr>
                <w:b/>
                <w:sz w:val="13"/>
              </w:rPr>
            </w:pPr>
          </w:p>
          <w:p>
            <w:pPr>
              <w:pStyle w:val="TableParagraph"/>
              <w:spacing w:before="19"/>
              <w:rPr>
                <w:b/>
                <w:sz w:val="13"/>
              </w:rPr>
            </w:pPr>
          </w:p>
          <w:p>
            <w:pPr>
              <w:pStyle w:val="TableParagraph"/>
              <w:spacing w:line="136" w:lineRule="exact"/>
              <w:ind w:right="121"/>
              <w:jc w:val="right"/>
              <w:rPr>
                <w:sz w:val="13"/>
              </w:rPr>
            </w:pPr>
            <w:r>
              <w:rPr>
                <w:spacing w:val="-2"/>
                <w:sz w:val="13"/>
              </w:rPr>
              <w:t>91,532</w:t>
            </w:r>
          </w:p>
        </w:tc>
        <w:tc>
          <w:tcPr>
            <w:tcW w:w="949" w:type="dxa"/>
            <w:tcBorders>
              <w:top w:val="single" w:sz="6" w:space="0" w:color="000000"/>
            </w:tcBorders>
          </w:tcPr>
          <w:p>
            <w:pPr>
              <w:pStyle w:val="TableParagraph"/>
              <w:rPr>
                <w:b/>
                <w:sz w:val="13"/>
              </w:rPr>
            </w:pPr>
          </w:p>
          <w:p>
            <w:pPr>
              <w:pStyle w:val="TableParagraph"/>
              <w:spacing w:before="19"/>
              <w:rPr>
                <w:b/>
                <w:sz w:val="13"/>
              </w:rPr>
            </w:pPr>
          </w:p>
          <w:p>
            <w:pPr>
              <w:pStyle w:val="TableParagraph"/>
              <w:spacing w:line="136" w:lineRule="exact"/>
              <w:ind w:right="145"/>
              <w:jc w:val="right"/>
              <w:rPr>
                <w:sz w:val="13"/>
              </w:rPr>
            </w:pPr>
            <w:r>
              <w:rPr>
                <w:spacing w:val="-2"/>
                <w:sz w:val="13"/>
              </w:rPr>
              <w:t>289,465</w:t>
            </w:r>
          </w:p>
        </w:tc>
        <w:tc>
          <w:tcPr>
            <w:tcW w:w="954" w:type="dxa"/>
            <w:tcBorders>
              <w:top w:val="single" w:sz="6" w:space="0" w:color="000000"/>
            </w:tcBorders>
          </w:tcPr>
          <w:p>
            <w:pPr>
              <w:pStyle w:val="TableParagraph"/>
              <w:rPr>
                <w:b/>
                <w:sz w:val="13"/>
              </w:rPr>
            </w:pPr>
          </w:p>
          <w:p>
            <w:pPr>
              <w:pStyle w:val="TableParagraph"/>
              <w:spacing w:before="19"/>
              <w:rPr>
                <w:b/>
                <w:sz w:val="13"/>
              </w:rPr>
            </w:pPr>
          </w:p>
          <w:p>
            <w:pPr>
              <w:pStyle w:val="TableParagraph"/>
              <w:spacing w:line="136" w:lineRule="exact"/>
              <w:ind w:right="174"/>
              <w:jc w:val="right"/>
              <w:rPr>
                <w:sz w:val="13"/>
              </w:rPr>
            </w:pPr>
            <w:r>
              <w:rPr>
                <w:spacing w:val="-2"/>
                <w:sz w:val="13"/>
              </w:rPr>
              <w:t>29,652</w:t>
            </w:r>
          </w:p>
        </w:tc>
        <w:tc>
          <w:tcPr>
            <w:tcW w:w="858" w:type="dxa"/>
            <w:tcBorders>
              <w:top w:val="single" w:sz="6" w:space="0" w:color="000000"/>
            </w:tcBorders>
          </w:tcPr>
          <w:p>
            <w:pPr>
              <w:pStyle w:val="TableParagraph"/>
              <w:rPr>
                <w:b/>
                <w:sz w:val="13"/>
              </w:rPr>
            </w:pPr>
          </w:p>
          <w:p>
            <w:pPr>
              <w:pStyle w:val="TableParagraph"/>
              <w:spacing w:before="19"/>
              <w:rPr>
                <w:b/>
                <w:sz w:val="13"/>
              </w:rPr>
            </w:pPr>
          </w:p>
          <w:p>
            <w:pPr>
              <w:pStyle w:val="TableParagraph"/>
              <w:spacing w:line="136" w:lineRule="exact"/>
              <w:ind w:right="107"/>
              <w:jc w:val="right"/>
              <w:rPr>
                <w:sz w:val="13"/>
              </w:rPr>
            </w:pPr>
            <w:r>
              <w:rPr>
                <w:spacing w:val="-2"/>
                <w:sz w:val="13"/>
              </w:rPr>
              <w:t>10,853</w:t>
            </w:r>
          </w:p>
        </w:tc>
        <w:tc>
          <w:tcPr>
            <w:tcW w:w="929" w:type="dxa"/>
            <w:tcBorders>
              <w:top w:val="single" w:sz="6" w:space="0" w:color="000000"/>
            </w:tcBorders>
          </w:tcPr>
          <w:p>
            <w:pPr>
              <w:pStyle w:val="TableParagraph"/>
              <w:rPr>
                <w:b/>
                <w:sz w:val="13"/>
              </w:rPr>
            </w:pPr>
          </w:p>
          <w:p>
            <w:pPr>
              <w:pStyle w:val="TableParagraph"/>
              <w:spacing w:before="19"/>
              <w:rPr>
                <w:b/>
                <w:sz w:val="13"/>
              </w:rPr>
            </w:pPr>
          </w:p>
          <w:p>
            <w:pPr>
              <w:pStyle w:val="TableParagraph"/>
              <w:spacing w:line="136" w:lineRule="exact"/>
              <w:ind w:right="111"/>
              <w:jc w:val="right"/>
              <w:rPr>
                <w:sz w:val="13"/>
              </w:rPr>
            </w:pPr>
            <w:r>
              <w:rPr>
                <w:spacing w:val="-2"/>
                <w:sz w:val="13"/>
              </w:rPr>
              <w:t>1,254</w:t>
            </w:r>
          </w:p>
        </w:tc>
        <w:tc>
          <w:tcPr>
            <w:tcW w:w="995" w:type="dxa"/>
            <w:tcBorders>
              <w:top w:val="single" w:sz="6" w:space="0" w:color="000000"/>
            </w:tcBorders>
          </w:tcPr>
          <w:p>
            <w:pPr>
              <w:pStyle w:val="TableParagraph"/>
              <w:rPr>
                <w:b/>
                <w:sz w:val="13"/>
              </w:rPr>
            </w:pPr>
          </w:p>
          <w:p>
            <w:pPr>
              <w:pStyle w:val="TableParagraph"/>
              <w:spacing w:before="19"/>
              <w:rPr>
                <w:b/>
                <w:sz w:val="13"/>
              </w:rPr>
            </w:pPr>
          </w:p>
          <w:p>
            <w:pPr>
              <w:pStyle w:val="TableParagraph"/>
              <w:spacing w:line="136" w:lineRule="exact"/>
              <w:ind w:right="180"/>
              <w:jc w:val="right"/>
              <w:rPr>
                <w:sz w:val="13"/>
              </w:rPr>
            </w:pPr>
            <w:r>
              <w:rPr>
                <w:spacing w:val="-2"/>
                <w:sz w:val="13"/>
              </w:rPr>
              <w:t>67,121</w:t>
            </w:r>
          </w:p>
        </w:tc>
        <w:tc>
          <w:tcPr>
            <w:tcW w:w="804" w:type="dxa"/>
            <w:tcBorders>
              <w:top w:val="single" w:sz="6" w:space="0" w:color="000000"/>
            </w:tcBorders>
          </w:tcPr>
          <w:p>
            <w:pPr>
              <w:pStyle w:val="TableParagraph"/>
              <w:rPr>
                <w:b/>
                <w:sz w:val="13"/>
              </w:rPr>
            </w:pPr>
          </w:p>
          <w:p>
            <w:pPr>
              <w:pStyle w:val="TableParagraph"/>
              <w:spacing w:before="17"/>
              <w:rPr>
                <w:b/>
                <w:sz w:val="13"/>
              </w:rPr>
            </w:pPr>
          </w:p>
          <w:p>
            <w:pPr>
              <w:pStyle w:val="TableParagraph"/>
              <w:spacing w:line="138" w:lineRule="exact"/>
              <w:ind w:left="154"/>
              <w:rPr>
                <w:sz w:val="13"/>
              </w:rPr>
            </w:pPr>
            <w:r>
              <w:rPr>
                <w:spacing w:val="-2"/>
                <w:sz w:val="13"/>
              </w:rPr>
              <w:t>1,859,209</w:t>
            </w:r>
          </w:p>
        </w:tc>
      </w:tr>
      <w:tr>
        <w:trPr>
          <w:trHeight w:val="160" w:hRule="atLeast"/>
        </w:trPr>
        <w:tc>
          <w:tcPr>
            <w:tcW w:w="553" w:type="dxa"/>
          </w:tcPr>
          <w:p>
            <w:pPr>
              <w:pStyle w:val="TableParagraph"/>
              <w:rPr>
                <w:rFonts w:ascii="Times New Roman"/>
                <w:sz w:val="10"/>
              </w:rPr>
            </w:pPr>
          </w:p>
        </w:tc>
        <w:tc>
          <w:tcPr>
            <w:tcW w:w="3229" w:type="dxa"/>
          </w:tcPr>
          <w:p>
            <w:pPr>
              <w:pStyle w:val="TableParagraph"/>
              <w:spacing w:line="138" w:lineRule="exact" w:before="3"/>
              <w:ind w:left="68"/>
              <w:rPr>
                <w:sz w:val="13"/>
              </w:rPr>
            </w:pPr>
            <w:r>
              <w:rPr>
                <w:sz w:val="13"/>
              </w:rPr>
              <w:t>Accumulated</w:t>
            </w:r>
            <w:r>
              <w:rPr>
                <w:spacing w:val="4"/>
                <w:sz w:val="13"/>
              </w:rPr>
              <w:t> </w:t>
            </w:r>
            <w:r>
              <w:rPr>
                <w:spacing w:val="-2"/>
                <w:sz w:val="13"/>
              </w:rPr>
              <w:t>depreciation</w:t>
            </w:r>
          </w:p>
        </w:tc>
        <w:tc>
          <w:tcPr>
            <w:tcW w:w="596" w:type="dxa"/>
          </w:tcPr>
          <w:p>
            <w:pPr>
              <w:pStyle w:val="TableParagraph"/>
              <w:rPr>
                <w:rFonts w:ascii="Times New Roman"/>
                <w:sz w:val="10"/>
              </w:rPr>
            </w:pPr>
          </w:p>
        </w:tc>
        <w:tc>
          <w:tcPr>
            <w:tcW w:w="984" w:type="dxa"/>
          </w:tcPr>
          <w:p>
            <w:pPr>
              <w:pStyle w:val="TableParagraph"/>
              <w:spacing w:line="136" w:lineRule="exact" w:before="5"/>
              <w:ind w:right="118"/>
              <w:jc w:val="right"/>
              <w:rPr>
                <w:sz w:val="13"/>
              </w:rPr>
            </w:pPr>
            <w:r>
              <w:rPr>
                <w:spacing w:val="-10"/>
                <w:sz w:val="13"/>
              </w:rPr>
              <w:t>-</w:t>
            </w:r>
          </w:p>
        </w:tc>
        <w:tc>
          <w:tcPr>
            <w:tcW w:w="938" w:type="dxa"/>
          </w:tcPr>
          <w:p>
            <w:pPr>
              <w:pStyle w:val="TableParagraph"/>
              <w:spacing w:line="136" w:lineRule="exact" w:before="5"/>
              <w:ind w:right="130"/>
              <w:jc w:val="right"/>
              <w:rPr>
                <w:sz w:val="13"/>
              </w:rPr>
            </w:pPr>
            <w:r>
              <w:rPr>
                <w:spacing w:val="-10"/>
                <w:sz w:val="13"/>
              </w:rPr>
              <w:t>-</w:t>
            </w:r>
          </w:p>
        </w:tc>
        <w:tc>
          <w:tcPr>
            <w:tcW w:w="933" w:type="dxa"/>
          </w:tcPr>
          <w:p>
            <w:pPr>
              <w:pStyle w:val="TableParagraph"/>
              <w:spacing w:line="136" w:lineRule="exact" w:before="5"/>
              <w:ind w:right="102"/>
              <w:jc w:val="right"/>
              <w:rPr>
                <w:sz w:val="13"/>
              </w:rPr>
            </w:pPr>
            <w:r>
              <w:rPr>
                <w:spacing w:val="-2"/>
                <w:sz w:val="13"/>
              </w:rPr>
              <w:t>(235,140)</w:t>
            </w:r>
          </w:p>
        </w:tc>
        <w:tc>
          <w:tcPr>
            <w:tcW w:w="900" w:type="dxa"/>
          </w:tcPr>
          <w:p>
            <w:pPr>
              <w:pStyle w:val="TableParagraph"/>
              <w:spacing w:line="136" w:lineRule="exact" w:before="5"/>
              <w:ind w:right="113"/>
              <w:jc w:val="right"/>
              <w:rPr>
                <w:sz w:val="13"/>
              </w:rPr>
            </w:pPr>
            <w:r>
              <w:rPr>
                <w:spacing w:val="-10"/>
                <w:sz w:val="13"/>
              </w:rPr>
              <w:t>-</w:t>
            </w:r>
          </w:p>
        </w:tc>
        <w:tc>
          <w:tcPr>
            <w:tcW w:w="949" w:type="dxa"/>
          </w:tcPr>
          <w:p>
            <w:pPr>
              <w:pStyle w:val="TableParagraph"/>
              <w:spacing w:line="136" w:lineRule="exact" w:before="5"/>
              <w:ind w:right="101"/>
              <w:jc w:val="right"/>
              <w:rPr>
                <w:sz w:val="13"/>
              </w:rPr>
            </w:pPr>
            <w:r>
              <w:rPr>
                <w:spacing w:val="-2"/>
                <w:sz w:val="13"/>
              </w:rPr>
              <w:t>(221,777)</w:t>
            </w:r>
          </w:p>
        </w:tc>
        <w:tc>
          <w:tcPr>
            <w:tcW w:w="954" w:type="dxa"/>
          </w:tcPr>
          <w:p>
            <w:pPr>
              <w:pStyle w:val="TableParagraph"/>
              <w:spacing w:line="136" w:lineRule="exact" w:before="5"/>
              <w:ind w:right="166"/>
              <w:jc w:val="right"/>
              <w:rPr>
                <w:sz w:val="13"/>
              </w:rPr>
            </w:pPr>
            <w:r>
              <w:rPr>
                <w:spacing w:val="-10"/>
                <w:sz w:val="13"/>
              </w:rPr>
              <w:t>-</w:t>
            </w:r>
          </w:p>
        </w:tc>
        <w:tc>
          <w:tcPr>
            <w:tcW w:w="858" w:type="dxa"/>
          </w:tcPr>
          <w:p>
            <w:pPr>
              <w:pStyle w:val="TableParagraph"/>
              <w:spacing w:line="136" w:lineRule="exact" w:before="5"/>
              <w:ind w:right="62"/>
              <w:jc w:val="right"/>
              <w:rPr>
                <w:sz w:val="13"/>
              </w:rPr>
            </w:pPr>
            <w:r>
              <w:rPr>
                <w:spacing w:val="-2"/>
                <w:sz w:val="13"/>
              </w:rPr>
              <w:t>(7,741)</w:t>
            </w:r>
          </w:p>
        </w:tc>
        <w:tc>
          <w:tcPr>
            <w:tcW w:w="929" w:type="dxa"/>
          </w:tcPr>
          <w:p>
            <w:pPr>
              <w:pStyle w:val="TableParagraph"/>
              <w:spacing w:line="136" w:lineRule="exact" w:before="5"/>
              <w:ind w:right="66"/>
              <w:jc w:val="right"/>
              <w:rPr>
                <w:sz w:val="13"/>
              </w:rPr>
            </w:pPr>
            <w:r>
              <w:rPr>
                <w:spacing w:val="-2"/>
                <w:sz w:val="13"/>
              </w:rPr>
              <w:t>(705)</w:t>
            </w:r>
          </w:p>
        </w:tc>
        <w:tc>
          <w:tcPr>
            <w:tcW w:w="995" w:type="dxa"/>
          </w:tcPr>
          <w:p>
            <w:pPr>
              <w:pStyle w:val="TableParagraph"/>
              <w:spacing w:line="136" w:lineRule="exact" w:before="5"/>
              <w:ind w:right="172"/>
              <w:jc w:val="right"/>
              <w:rPr>
                <w:sz w:val="13"/>
              </w:rPr>
            </w:pPr>
            <w:r>
              <w:rPr>
                <w:spacing w:val="-10"/>
                <w:sz w:val="13"/>
              </w:rPr>
              <w:t>-</w:t>
            </w:r>
          </w:p>
        </w:tc>
        <w:tc>
          <w:tcPr>
            <w:tcW w:w="804" w:type="dxa"/>
          </w:tcPr>
          <w:p>
            <w:pPr>
              <w:pStyle w:val="TableParagraph"/>
              <w:spacing w:line="138" w:lineRule="exact" w:before="3"/>
              <w:ind w:right="15"/>
              <w:jc w:val="right"/>
              <w:rPr>
                <w:sz w:val="13"/>
              </w:rPr>
            </w:pPr>
            <w:r>
              <w:rPr>
                <w:spacing w:val="-2"/>
                <w:sz w:val="13"/>
              </w:rPr>
              <w:t>(465,363)</w:t>
            </w:r>
          </w:p>
        </w:tc>
      </w:tr>
      <w:tr>
        <w:trPr>
          <w:trHeight w:val="154" w:hRule="atLeast"/>
        </w:trPr>
        <w:tc>
          <w:tcPr>
            <w:tcW w:w="553" w:type="dxa"/>
          </w:tcPr>
          <w:p>
            <w:pPr>
              <w:pStyle w:val="TableParagraph"/>
              <w:rPr>
                <w:rFonts w:ascii="Times New Roman"/>
                <w:sz w:val="8"/>
              </w:rPr>
            </w:pPr>
          </w:p>
        </w:tc>
        <w:tc>
          <w:tcPr>
            <w:tcW w:w="3229" w:type="dxa"/>
          </w:tcPr>
          <w:p>
            <w:pPr>
              <w:pStyle w:val="TableParagraph"/>
              <w:spacing w:line="131" w:lineRule="exact" w:before="3"/>
              <w:ind w:left="68"/>
              <w:rPr>
                <w:sz w:val="13"/>
              </w:rPr>
            </w:pPr>
            <w:r>
              <w:rPr>
                <w:sz w:val="13"/>
              </w:rPr>
              <w:t>Accumulated</w:t>
            </w:r>
            <w:r>
              <w:rPr>
                <w:spacing w:val="4"/>
                <w:sz w:val="13"/>
              </w:rPr>
              <w:t> </w:t>
            </w:r>
            <w:r>
              <w:rPr>
                <w:spacing w:val="-2"/>
                <w:sz w:val="13"/>
              </w:rPr>
              <w:t>impairment</w:t>
            </w:r>
          </w:p>
        </w:tc>
        <w:tc>
          <w:tcPr>
            <w:tcW w:w="596" w:type="dxa"/>
          </w:tcPr>
          <w:p>
            <w:pPr>
              <w:pStyle w:val="TableParagraph"/>
              <w:rPr>
                <w:rFonts w:ascii="Times New Roman"/>
                <w:sz w:val="8"/>
              </w:rPr>
            </w:pPr>
          </w:p>
        </w:tc>
        <w:tc>
          <w:tcPr>
            <w:tcW w:w="984" w:type="dxa"/>
            <w:tcBorders>
              <w:bottom w:val="single" w:sz="6" w:space="0" w:color="000000"/>
            </w:tcBorders>
          </w:tcPr>
          <w:p>
            <w:pPr>
              <w:pStyle w:val="TableParagraph"/>
              <w:spacing w:line="129" w:lineRule="exact" w:before="5"/>
              <w:ind w:right="81"/>
              <w:jc w:val="right"/>
              <w:rPr>
                <w:sz w:val="13"/>
              </w:rPr>
            </w:pPr>
            <w:r>
              <w:rPr>
                <w:spacing w:val="-2"/>
                <w:sz w:val="13"/>
              </w:rPr>
              <w:t>(2,054)</w:t>
            </w:r>
          </w:p>
        </w:tc>
        <w:tc>
          <w:tcPr>
            <w:tcW w:w="938" w:type="dxa"/>
            <w:tcBorders>
              <w:bottom w:val="single" w:sz="6" w:space="0" w:color="000000"/>
            </w:tcBorders>
          </w:tcPr>
          <w:p>
            <w:pPr>
              <w:pStyle w:val="TableParagraph"/>
              <w:spacing w:line="129" w:lineRule="exact" w:before="5"/>
              <w:ind w:right="130"/>
              <w:jc w:val="right"/>
              <w:rPr>
                <w:sz w:val="13"/>
              </w:rPr>
            </w:pPr>
            <w:r>
              <w:rPr>
                <w:spacing w:val="-10"/>
                <w:sz w:val="13"/>
              </w:rPr>
              <w:t>-</w:t>
            </w:r>
          </w:p>
        </w:tc>
        <w:tc>
          <w:tcPr>
            <w:tcW w:w="933" w:type="dxa"/>
            <w:tcBorders>
              <w:bottom w:val="single" w:sz="6" w:space="0" w:color="000000"/>
            </w:tcBorders>
          </w:tcPr>
          <w:p>
            <w:pPr>
              <w:pStyle w:val="TableParagraph"/>
              <w:spacing w:line="129" w:lineRule="exact" w:before="5"/>
              <w:ind w:right="102"/>
              <w:jc w:val="right"/>
              <w:rPr>
                <w:sz w:val="13"/>
              </w:rPr>
            </w:pPr>
            <w:r>
              <w:rPr>
                <w:spacing w:val="-2"/>
                <w:sz w:val="13"/>
              </w:rPr>
              <w:t>(11,845)</w:t>
            </w:r>
          </w:p>
        </w:tc>
        <w:tc>
          <w:tcPr>
            <w:tcW w:w="900" w:type="dxa"/>
            <w:tcBorders>
              <w:bottom w:val="single" w:sz="6" w:space="0" w:color="000000"/>
            </w:tcBorders>
          </w:tcPr>
          <w:p>
            <w:pPr>
              <w:pStyle w:val="TableParagraph"/>
              <w:spacing w:line="129" w:lineRule="exact" w:before="5"/>
              <w:ind w:right="113"/>
              <w:jc w:val="right"/>
              <w:rPr>
                <w:sz w:val="13"/>
              </w:rPr>
            </w:pPr>
            <w:r>
              <w:rPr>
                <w:spacing w:val="-10"/>
                <w:sz w:val="13"/>
              </w:rPr>
              <w:t>-</w:t>
            </w:r>
          </w:p>
        </w:tc>
        <w:tc>
          <w:tcPr>
            <w:tcW w:w="949" w:type="dxa"/>
            <w:tcBorders>
              <w:bottom w:val="single" w:sz="6" w:space="0" w:color="000000"/>
            </w:tcBorders>
          </w:tcPr>
          <w:p>
            <w:pPr>
              <w:pStyle w:val="TableParagraph"/>
              <w:spacing w:line="129" w:lineRule="exact" w:before="5"/>
              <w:ind w:right="137"/>
              <w:jc w:val="right"/>
              <w:rPr>
                <w:sz w:val="13"/>
              </w:rPr>
            </w:pPr>
            <w:r>
              <w:rPr>
                <w:spacing w:val="-10"/>
                <w:sz w:val="13"/>
              </w:rPr>
              <w:t>-</w:t>
            </w:r>
          </w:p>
        </w:tc>
        <w:tc>
          <w:tcPr>
            <w:tcW w:w="954" w:type="dxa"/>
            <w:tcBorders>
              <w:bottom w:val="single" w:sz="6" w:space="0" w:color="000000"/>
            </w:tcBorders>
          </w:tcPr>
          <w:p>
            <w:pPr>
              <w:pStyle w:val="TableParagraph"/>
              <w:spacing w:line="129" w:lineRule="exact" w:before="5"/>
              <w:ind w:right="166"/>
              <w:jc w:val="right"/>
              <w:rPr>
                <w:sz w:val="13"/>
              </w:rPr>
            </w:pPr>
            <w:r>
              <w:rPr>
                <w:spacing w:val="-10"/>
                <w:sz w:val="13"/>
              </w:rPr>
              <w:t>-</w:t>
            </w:r>
          </w:p>
        </w:tc>
        <w:tc>
          <w:tcPr>
            <w:tcW w:w="858" w:type="dxa"/>
            <w:tcBorders>
              <w:bottom w:val="single" w:sz="6" w:space="0" w:color="000000"/>
            </w:tcBorders>
          </w:tcPr>
          <w:p>
            <w:pPr>
              <w:pStyle w:val="TableParagraph"/>
              <w:spacing w:line="129" w:lineRule="exact" w:before="5"/>
              <w:ind w:right="98"/>
              <w:jc w:val="right"/>
              <w:rPr>
                <w:sz w:val="13"/>
              </w:rPr>
            </w:pPr>
            <w:r>
              <w:rPr>
                <w:spacing w:val="-10"/>
                <w:sz w:val="13"/>
              </w:rPr>
              <w:t>-</w:t>
            </w:r>
          </w:p>
        </w:tc>
        <w:tc>
          <w:tcPr>
            <w:tcW w:w="929" w:type="dxa"/>
            <w:tcBorders>
              <w:bottom w:val="single" w:sz="6" w:space="0" w:color="000000"/>
            </w:tcBorders>
          </w:tcPr>
          <w:p>
            <w:pPr>
              <w:pStyle w:val="TableParagraph"/>
              <w:spacing w:line="129" w:lineRule="exact" w:before="5"/>
              <w:ind w:right="102"/>
              <w:jc w:val="right"/>
              <w:rPr>
                <w:sz w:val="13"/>
              </w:rPr>
            </w:pPr>
            <w:r>
              <w:rPr>
                <w:spacing w:val="-10"/>
                <w:sz w:val="13"/>
              </w:rPr>
              <w:t>-</w:t>
            </w:r>
          </w:p>
        </w:tc>
        <w:tc>
          <w:tcPr>
            <w:tcW w:w="995" w:type="dxa"/>
            <w:tcBorders>
              <w:bottom w:val="single" w:sz="6" w:space="0" w:color="000000"/>
            </w:tcBorders>
          </w:tcPr>
          <w:p>
            <w:pPr>
              <w:pStyle w:val="TableParagraph"/>
              <w:spacing w:line="129" w:lineRule="exact" w:before="5"/>
              <w:ind w:right="136"/>
              <w:jc w:val="right"/>
              <w:rPr>
                <w:sz w:val="13"/>
              </w:rPr>
            </w:pPr>
            <w:r>
              <w:rPr>
                <w:spacing w:val="-2"/>
                <w:sz w:val="13"/>
              </w:rPr>
              <w:t>(21,018)</w:t>
            </w:r>
          </w:p>
        </w:tc>
        <w:tc>
          <w:tcPr>
            <w:tcW w:w="804" w:type="dxa"/>
            <w:tcBorders>
              <w:bottom w:val="single" w:sz="6" w:space="0" w:color="000000"/>
            </w:tcBorders>
          </w:tcPr>
          <w:p>
            <w:pPr>
              <w:pStyle w:val="TableParagraph"/>
              <w:spacing w:line="131" w:lineRule="exact" w:before="3"/>
              <w:ind w:right="15"/>
              <w:jc w:val="right"/>
              <w:rPr>
                <w:sz w:val="13"/>
              </w:rPr>
            </w:pPr>
            <w:r>
              <w:rPr>
                <w:spacing w:val="-2"/>
                <w:sz w:val="13"/>
              </w:rPr>
              <w:t>(34,917)</w:t>
            </w:r>
          </w:p>
        </w:tc>
      </w:tr>
      <w:tr>
        <w:trPr>
          <w:trHeight w:val="145" w:hRule="atLeast"/>
        </w:trPr>
        <w:tc>
          <w:tcPr>
            <w:tcW w:w="553" w:type="dxa"/>
          </w:tcPr>
          <w:p>
            <w:pPr>
              <w:pStyle w:val="TableParagraph"/>
              <w:rPr>
                <w:rFonts w:ascii="Times New Roman"/>
                <w:sz w:val="8"/>
              </w:rPr>
            </w:pPr>
          </w:p>
        </w:tc>
        <w:tc>
          <w:tcPr>
            <w:tcW w:w="3229" w:type="dxa"/>
          </w:tcPr>
          <w:p>
            <w:pPr>
              <w:pStyle w:val="TableParagraph"/>
              <w:spacing w:line="126" w:lineRule="exact"/>
              <w:ind w:left="68"/>
              <w:rPr>
                <w:b/>
                <w:sz w:val="13"/>
              </w:rPr>
            </w:pPr>
            <w:r>
              <w:rPr>
                <w:b/>
                <w:sz w:val="13"/>
              </w:rPr>
              <w:t>Net</w:t>
            </w:r>
            <w:r>
              <w:rPr>
                <w:b/>
                <w:spacing w:val="1"/>
                <w:sz w:val="13"/>
              </w:rPr>
              <w:t> </w:t>
            </w:r>
            <w:r>
              <w:rPr>
                <w:b/>
                <w:sz w:val="13"/>
              </w:rPr>
              <w:t>book</w:t>
            </w:r>
            <w:r>
              <w:rPr>
                <w:b/>
                <w:spacing w:val="1"/>
                <w:sz w:val="13"/>
              </w:rPr>
              <w:t> </w:t>
            </w:r>
            <w:r>
              <w:rPr>
                <w:b/>
                <w:spacing w:val="-2"/>
                <w:sz w:val="13"/>
              </w:rPr>
              <w:t>value</w:t>
            </w:r>
          </w:p>
        </w:tc>
        <w:tc>
          <w:tcPr>
            <w:tcW w:w="596" w:type="dxa"/>
          </w:tcPr>
          <w:p>
            <w:pPr>
              <w:pStyle w:val="TableParagraph"/>
              <w:rPr>
                <w:rFonts w:ascii="Times New Roman"/>
                <w:sz w:val="8"/>
              </w:rPr>
            </w:pPr>
          </w:p>
        </w:tc>
        <w:tc>
          <w:tcPr>
            <w:tcW w:w="984" w:type="dxa"/>
            <w:tcBorders>
              <w:top w:val="single" w:sz="6" w:space="0" w:color="000000"/>
              <w:bottom w:val="single" w:sz="6" w:space="0" w:color="000000"/>
            </w:tcBorders>
          </w:tcPr>
          <w:p>
            <w:pPr>
              <w:pStyle w:val="TableParagraph"/>
              <w:spacing w:line="126" w:lineRule="exact"/>
              <w:ind w:right="126"/>
              <w:jc w:val="right"/>
              <w:rPr>
                <w:b/>
                <w:sz w:val="13"/>
              </w:rPr>
            </w:pPr>
            <w:r>
              <w:rPr>
                <w:b/>
                <w:spacing w:val="-2"/>
                <w:sz w:val="13"/>
              </w:rPr>
              <w:t>185,021</w:t>
            </w:r>
          </w:p>
        </w:tc>
        <w:tc>
          <w:tcPr>
            <w:tcW w:w="938" w:type="dxa"/>
            <w:tcBorders>
              <w:top w:val="single" w:sz="6" w:space="0" w:color="000000"/>
              <w:bottom w:val="single" w:sz="6" w:space="0" w:color="000000"/>
            </w:tcBorders>
          </w:tcPr>
          <w:p>
            <w:pPr>
              <w:pStyle w:val="TableParagraph"/>
              <w:spacing w:line="126" w:lineRule="exact"/>
              <w:ind w:right="139"/>
              <w:jc w:val="right"/>
              <w:rPr>
                <w:b/>
                <w:sz w:val="13"/>
              </w:rPr>
            </w:pPr>
            <w:r>
              <w:rPr>
                <w:b/>
                <w:spacing w:val="-2"/>
                <w:sz w:val="13"/>
              </w:rPr>
              <w:t>80,000</w:t>
            </w:r>
          </w:p>
        </w:tc>
        <w:tc>
          <w:tcPr>
            <w:tcW w:w="933" w:type="dxa"/>
            <w:tcBorders>
              <w:top w:val="single" w:sz="6" w:space="0" w:color="000000"/>
              <w:bottom w:val="single" w:sz="6" w:space="0" w:color="000000"/>
            </w:tcBorders>
          </w:tcPr>
          <w:p>
            <w:pPr>
              <w:pStyle w:val="TableParagraph"/>
              <w:spacing w:line="126" w:lineRule="exact"/>
              <w:ind w:right="146"/>
              <w:jc w:val="right"/>
              <w:rPr>
                <w:b/>
                <w:sz w:val="13"/>
              </w:rPr>
            </w:pPr>
            <w:r>
              <w:rPr>
                <w:b/>
                <w:spacing w:val="-2"/>
                <w:sz w:val="13"/>
              </w:rPr>
              <w:t>855,272</w:t>
            </w:r>
          </w:p>
        </w:tc>
        <w:tc>
          <w:tcPr>
            <w:tcW w:w="900" w:type="dxa"/>
            <w:tcBorders>
              <w:top w:val="single" w:sz="6" w:space="0" w:color="000000"/>
              <w:bottom w:val="single" w:sz="6" w:space="0" w:color="000000"/>
            </w:tcBorders>
          </w:tcPr>
          <w:p>
            <w:pPr>
              <w:pStyle w:val="TableParagraph"/>
              <w:spacing w:line="126" w:lineRule="exact"/>
              <w:ind w:right="121"/>
              <w:jc w:val="right"/>
              <w:rPr>
                <w:b/>
                <w:sz w:val="13"/>
              </w:rPr>
            </w:pPr>
            <w:r>
              <w:rPr>
                <w:b/>
                <w:spacing w:val="-2"/>
                <w:sz w:val="13"/>
              </w:rPr>
              <w:t>91,532</w:t>
            </w:r>
          </w:p>
        </w:tc>
        <w:tc>
          <w:tcPr>
            <w:tcW w:w="949" w:type="dxa"/>
            <w:tcBorders>
              <w:top w:val="single" w:sz="6" w:space="0" w:color="000000"/>
              <w:bottom w:val="single" w:sz="6" w:space="0" w:color="000000"/>
            </w:tcBorders>
          </w:tcPr>
          <w:p>
            <w:pPr>
              <w:pStyle w:val="TableParagraph"/>
              <w:spacing w:line="126" w:lineRule="exact"/>
              <w:ind w:right="145"/>
              <w:jc w:val="right"/>
              <w:rPr>
                <w:b/>
                <w:sz w:val="13"/>
              </w:rPr>
            </w:pPr>
            <w:r>
              <w:rPr>
                <w:b/>
                <w:spacing w:val="-2"/>
                <w:sz w:val="13"/>
              </w:rPr>
              <w:t>67,688</w:t>
            </w:r>
          </w:p>
        </w:tc>
        <w:tc>
          <w:tcPr>
            <w:tcW w:w="954" w:type="dxa"/>
            <w:tcBorders>
              <w:top w:val="single" w:sz="6" w:space="0" w:color="000000"/>
              <w:bottom w:val="single" w:sz="6" w:space="0" w:color="000000"/>
            </w:tcBorders>
          </w:tcPr>
          <w:p>
            <w:pPr>
              <w:pStyle w:val="TableParagraph"/>
              <w:spacing w:line="126" w:lineRule="exact"/>
              <w:ind w:right="174"/>
              <w:jc w:val="right"/>
              <w:rPr>
                <w:b/>
                <w:sz w:val="13"/>
              </w:rPr>
            </w:pPr>
            <w:r>
              <w:rPr>
                <w:b/>
                <w:spacing w:val="-2"/>
                <w:sz w:val="13"/>
              </w:rPr>
              <w:t>29,652</w:t>
            </w:r>
          </w:p>
        </w:tc>
        <w:tc>
          <w:tcPr>
            <w:tcW w:w="858" w:type="dxa"/>
            <w:tcBorders>
              <w:top w:val="single" w:sz="6" w:space="0" w:color="000000"/>
              <w:bottom w:val="single" w:sz="6" w:space="0" w:color="000000"/>
            </w:tcBorders>
          </w:tcPr>
          <w:p>
            <w:pPr>
              <w:pStyle w:val="TableParagraph"/>
              <w:spacing w:line="126" w:lineRule="exact"/>
              <w:ind w:right="107"/>
              <w:jc w:val="right"/>
              <w:rPr>
                <w:b/>
                <w:sz w:val="13"/>
              </w:rPr>
            </w:pPr>
            <w:r>
              <w:rPr>
                <w:b/>
                <w:spacing w:val="-2"/>
                <w:sz w:val="13"/>
              </w:rPr>
              <w:t>3,112</w:t>
            </w:r>
          </w:p>
        </w:tc>
        <w:tc>
          <w:tcPr>
            <w:tcW w:w="929" w:type="dxa"/>
            <w:tcBorders>
              <w:top w:val="single" w:sz="6" w:space="0" w:color="000000"/>
              <w:bottom w:val="single" w:sz="6" w:space="0" w:color="000000"/>
            </w:tcBorders>
          </w:tcPr>
          <w:p>
            <w:pPr>
              <w:pStyle w:val="TableParagraph"/>
              <w:spacing w:line="126" w:lineRule="exact"/>
              <w:ind w:right="111"/>
              <w:jc w:val="right"/>
              <w:rPr>
                <w:b/>
                <w:sz w:val="13"/>
              </w:rPr>
            </w:pPr>
            <w:r>
              <w:rPr>
                <w:b/>
                <w:spacing w:val="-5"/>
                <w:sz w:val="13"/>
              </w:rPr>
              <w:t>549</w:t>
            </w:r>
          </w:p>
        </w:tc>
        <w:tc>
          <w:tcPr>
            <w:tcW w:w="995" w:type="dxa"/>
            <w:tcBorders>
              <w:top w:val="single" w:sz="6" w:space="0" w:color="000000"/>
              <w:bottom w:val="single" w:sz="6" w:space="0" w:color="000000"/>
            </w:tcBorders>
          </w:tcPr>
          <w:p>
            <w:pPr>
              <w:pStyle w:val="TableParagraph"/>
              <w:spacing w:line="126" w:lineRule="exact"/>
              <w:ind w:right="180"/>
              <w:jc w:val="right"/>
              <w:rPr>
                <w:b/>
                <w:sz w:val="13"/>
              </w:rPr>
            </w:pPr>
            <w:r>
              <w:rPr>
                <w:b/>
                <w:spacing w:val="-2"/>
                <w:sz w:val="13"/>
              </w:rPr>
              <w:t>46,103</w:t>
            </w:r>
          </w:p>
        </w:tc>
        <w:tc>
          <w:tcPr>
            <w:tcW w:w="804" w:type="dxa"/>
            <w:tcBorders>
              <w:top w:val="single" w:sz="6" w:space="0" w:color="000000"/>
              <w:bottom w:val="single" w:sz="6" w:space="0" w:color="000000"/>
            </w:tcBorders>
          </w:tcPr>
          <w:p>
            <w:pPr>
              <w:pStyle w:val="TableParagraph"/>
              <w:spacing w:line="126" w:lineRule="exact"/>
              <w:ind w:left="154"/>
              <w:rPr>
                <w:b/>
                <w:sz w:val="13"/>
              </w:rPr>
            </w:pPr>
            <w:r>
              <w:rPr>
                <w:b/>
                <w:spacing w:val="-2"/>
                <w:sz w:val="13"/>
              </w:rPr>
              <w:t>1,358,929</w:t>
            </w:r>
          </w:p>
        </w:tc>
      </w:tr>
      <w:tr>
        <w:trPr>
          <w:trHeight w:val="473" w:hRule="atLeast"/>
        </w:trPr>
        <w:tc>
          <w:tcPr>
            <w:tcW w:w="553" w:type="dxa"/>
          </w:tcPr>
          <w:p>
            <w:pPr>
              <w:pStyle w:val="TableParagraph"/>
              <w:rPr>
                <w:rFonts w:ascii="Times New Roman"/>
                <w:sz w:val="12"/>
              </w:rPr>
            </w:pPr>
          </w:p>
        </w:tc>
        <w:tc>
          <w:tcPr>
            <w:tcW w:w="3229" w:type="dxa"/>
          </w:tcPr>
          <w:p>
            <w:pPr>
              <w:pStyle w:val="TableParagraph"/>
              <w:spacing w:before="6"/>
              <w:rPr>
                <w:b/>
                <w:sz w:val="13"/>
              </w:rPr>
            </w:pPr>
          </w:p>
          <w:p>
            <w:pPr>
              <w:pStyle w:val="TableParagraph"/>
              <w:ind w:left="68"/>
              <w:rPr>
                <w:b/>
                <w:sz w:val="13"/>
              </w:rPr>
            </w:pPr>
            <w:r>
              <w:rPr>
                <w:b/>
                <w:sz w:val="13"/>
              </w:rPr>
              <w:t>Year ended 31</w:t>
            </w:r>
            <w:r>
              <w:rPr>
                <w:b/>
                <w:spacing w:val="1"/>
                <w:sz w:val="13"/>
              </w:rPr>
              <w:t> </w:t>
            </w:r>
            <w:r>
              <w:rPr>
                <w:b/>
                <w:sz w:val="13"/>
              </w:rPr>
              <w:t>December </w:t>
            </w:r>
            <w:r>
              <w:rPr>
                <w:b/>
                <w:spacing w:val="-4"/>
                <w:sz w:val="13"/>
              </w:rPr>
              <w:t>2020</w:t>
            </w:r>
          </w:p>
          <w:p>
            <w:pPr>
              <w:pStyle w:val="TableParagraph"/>
              <w:spacing w:line="137" w:lineRule="exact" w:before="11"/>
              <w:ind w:left="68"/>
              <w:rPr>
                <w:sz w:val="13"/>
              </w:rPr>
            </w:pPr>
            <w:r>
              <w:rPr>
                <w:sz w:val="13"/>
              </w:rPr>
              <w:t>Opening</w:t>
            </w:r>
            <w:r>
              <w:rPr>
                <w:spacing w:val="1"/>
                <w:sz w:val="13"/>
              </w:rPr>
              <w:t> </w:t>
            </w:r>
            <w:r>
              <w:rPr>
                <w:sz w:val="13"/>
              </w:rPr>
              <w:t>net</w:t>
            </w:r>
            <w:r>
              <w:rPr>
                <w:spacing w:val="1"/>
                <w:sz w:val="13"/>
              </w:rPr>
              <w:t> </w:t>
            </w:r>
            <w:r>
              <w:rPr>
                <w:sz w:val="13"/>
              </w:rPr>
              <w:t>book</w:t>
            </w:r>
            <w:r>
              <w:rPr>
                <w:spacing w:val="3"/>
                <w:sz w:val="13"/>
              </w:rPr>
              <w:t> </w:t>
            </w:r>
            <w:r>
              <w:rPr>
                <w:spacing w:val="-4"/>
                <w:sz w:val="13"/>
              </w:rPr>
              <w:t>value</w:t>
            </w:r>
          </w:p>
        </w:tc>
        <w:tc>
          <w:tcPr>
            <w:tcW w:w="596" w:type="dxa"/>
          </w:tcPr>
          <w:p>
            <w:pPr>
              <w:pStyle w:val="TableParagraph"/>
              <w:rPr>
                <w:rFonts w:ascii="Times New Roman"/>
                <w:sz w:val="12"/>
              </w:rPr>
            </w:pPr>
          </w:p>
        </w:tc>
        <w:tc>
          <w:tcPr>
            <w:tcW w:w="984" w:type="dxa"/>
            <w:tcBorders>
              <w:top w:val="single" w:sz="6" w:space="0" w:color="000000"/>
            </w:tcBorders>
          </w:tcPr>
          <w:p>
            <w:pPr>
              <w:pStyle w:val="TableParagraph"/>
              <w:rPr>
                <w:b/>
                <w:sz w:val="13"/>
              </w:rPr>
            </w:pPr>
          </w:p>
          <w:p>
            <w:pPr>
              <w:pStyle w:val="TableParagraph"/>
              <w:spacing w:before="17"/>
              <w:rPr>
                <w:b/>
                <w:sz w:val="13"/>
              </w:rPr>
            </w:pPr>
          </w:p>
          <w:p>
            <w:pPr>
              <w:pStyle w:val="TableParagraph"/>
              <w:spacing w:line="137" w:lineRule="exact"/>
              <w:ind w:right="126"/>
              <w:jc w:val="right"/>
              <w:rPr>
                <w:sz w:val="13"/>
              </w:rPr>
            </w:pPr>
            <w:r>
              <w:rPr>
                <w:spacing w:val="-2"/>
                <w:sz w:val="13"/>
              </w:rPr>
              <w:t>185,021</w:t>
            </w:r>
          </w:p>
        </w:tc>
        <w:tc>
          <w:tcPr>
            <w:tcW w:w="938" w:type="dxa"/>
            <w:tcBorders>
              <w:top w:val="single" w:sz="6" w:space="0" w:color="000000"/>
            </w:tcBorders>
          </w:tcPr>
          <w:p>
            <w:pPr>
              <w:pStyle w:val="TableParagraph"/>
              <w:rPr>
                <w:b/>
                <w:sz w:val="13"/>
              </w:rPr>
            </w:pPr>
          </w:p>
          <w:p>
            <w:pPr>
              <w:pStyle w:val="TableParagraph"/>
              <w:spacing w:before="17"/>
              <w:rPr>
                <w:b/>
                <w:sz w:val="13"/>
              </w:rPr>
            </w:pPr>
          </w:p>
          <w:p>
            <w:pPr>
              <w:pStyle w:val="TableParagraph"/>
              <w:spacing w:line="137" w:lineRule="exact"/>
              <w:ind w:right="139"/>
              <w:jc w:val="right"/>
              <w:rPr>
                <w:sz w:val="13"/>
              </w:rPr>
            </w:pPr>
            <w:r>
              <w:rPr>
                <w:spacing w:val="-2"/>
                <w:sz w:val="13"/>
              </w:rPr>
              <w:t>80,000</w:t>
            </w:r>
          </w:p>
        </w:tc>
        <w:tc>
          <w:tcPr>
            <w:tcW w:w="933" w:type="dxa"/>
            <w:tcBorders>
              <w:top w:val="single" w:sz="6" w:space="0" w:color="000000"/>
            </w:tcBorders>
          </w:tcPr>
          <w:p>
            <w:pPr>
              <w:pStyle w:val="TableParagraph"/>
              <w:rPr>
                <w:b/>
                <w:sz w:val="13"/>
              </w:rPr>
            </w:pPr>
          </w:p>
          <w:p>
            <w:pPr>
              <w:pStyle w:val="TableParagraph"/>
              <w:spacing w:before="17"/>
              <w:rPr>
                <w:b/>
                <w:sz w:val="13"/>
              </w:rPr>
            </w:pPr>
          </w:p>
          <w:p>
            <w:pPr>
              <w:pStyle w:val="TableParagraph"/>
              <w:spacing w:line="137" w:lineRule="exact"/>
              <w:ind w:right="146"/>
              <w:jc w:val="right"/>
              <w:rPr>
                <w:sz w:val="13"/>
              </w:rPr>
            </w:pPr>
            <w:r>
              <w:rPr>
                <w:spacing w:val="-2"/>
                <w:sz w:val="13"/>
              </w:rPr>
              <w:t>855,272</w:t>
            </w:r>
          </w:p>
        </w:tc>
        <w:tc>
          <w:tcPr>
            <w:tcW w:w="900" w:type="dxa"/>
            <w:tcBorders>
              <w:top w:val="single" w:sz="6" w:space="0" w:color="000000"/>
            </w:tcBorders>
          </w:tcPr>
          <w:p>
            <w:pPr>
              <w:pStyle w:val="TableParagraph"/>
              <w:rPr>
                <w:b/>
                <w:sz w:val="13"/>
              </w:rPr>
            </w:pPr>
          </w:p>
          <w:p>
            <w:pPr>
              <w:pStyle w:val="TableParagraph"/>
              <w:spacing w:before="17"/>
              <w:rPr>
                <w:b/>
                <w:sz w:val="13"/>
              </w:rPr>
            </w:pPr>
          </w:p>
          <w:p>
            <w:pPr>
              <w:pStyle w:val="TableParagraph"/>
              <w:spacing w:line="137" w:lineRule="exact"/>
              <w:ind w:right="121"/>
              <w:jc w:val="right"/>
              <w:rPr>
                <w:sz w:val="13"/>
              </w:rPr>
            </w:pPr>
            <w:r>
              <w:rPr>
                <w:spacing w:val="-2"/>
                <w:sz w:val="13"/>
              </w:rPr>
              <w:t>91,532</w:t>
            </w:r>
          </w:p>
        </w:tc>
        <w:tc>
          <w:tcPr>
            <w:tcW w:w="949" w:type="dxa"/>
            <w:tcBorders>
              <w:top w:val="single" w:sz="6" w:space="0" w:color="000000"/>
            </w:tcBorders>
          </w:tcPr>
          <w:p>
            <w:pPr>
              <w:pStyle w:val="TableParagraph"/>
              <w:rPr>
                <w:b/>
                <w:sz w:val="13"/>
              </w:rPr>
            </w:pPr>
          </w:p>
          <w:p>
            <w:pPr>
              <w:pStyle w:val="TableParagraph"/>
              <w:spacing w:before="17"/>
              <w:rPr>
                <w:b/>
                <w:sz w:val="13"/>
              </w:rPr>
            </w:pPr>
          </w:p>
          <w:p>
            <w:pPr>
              <w:pStyle w:val="TableParagraph"/>
              <w:spacing w:line="137" w:lineRule="exact"/>
              <w:ind w:right="145"/>
              <w:jc w:val="right"/>
              <w:rPr>
                <w:sz w:val="13"/>
              </w:rPr>
            </w:pPr>
            <w:r>
              <w:rPr>
                <w:spacing w:val="-2"/>
                <w:sz w:val="13"/>
              </w:rPr>
              <w:t>67,688</w:t>
            </w:r>
          </w:p>
        </w:tc>
        <w:tc>
          <w:tcPr>
            <w:tcW w:w="954" w:type="dxa"/>
            <w:tcBorders>
              <w:top w:val="single" w:sz="6" w:space="0" w:color="000000"/>
            </w:tcBorders>
          </w:tcPr>
          <w:p>
            <w:pPr>
              <w:pStyle w:val="TableParagraph"/>
              <w:rPr>
                <w:b/>
                <w:sz w:val="13"/>
              </w:rPr>
            </w:pPr>
          </w:p>
          <w:p>
            <w:pPr>
              <w:pStyle w:val="TableParagraph"/>
              <w:spacing w:before="17"/>
              <w:rPr>
                <w:b/>
                <w:sz w:val="13"/>
              </w:rPr>
            </w:pPr>
          </w:p>
          <w:p>
            <w:pPr>
              <w:pStyle w:val="TableParagraph"/>
              <w:spacing w:line="137" w:lineRule="exact"/>
              <w:ind w:right="174"/>
              <w:jc w:val="right"/>
              <w:rPr>
                <w:sz w:val="13"/>
              </w:rPr>
            </w:pPr>
            <w:r>
              <w:rPr>
                <w:spacing w:val="-2"/>
                <w:sz w:val="13"/>
              </w:rPr>
              <w:t>29,652</w:t>
            </w:r>
          </w:p>
        </w:tc>
        <w:tc>
          <w:tcPr>
            <w:tcW w:w="858" w:type="dxa"/>
            <w:tcBorders>
              <w:top w:val="single" w:sz="6" w:space="0" w:color="000000"/>
            </w:tcBorders>
          </w:tcPr>
          <w:p>
            <w:pPr>
              <w:pStyle w:val="TableParagraph"/>
              <w:rPr>
                <w:b/>
                <w:sz w:val="13"/>
              </w:rPr>
            </w:pPr>
          </w:p>
          <w:p>
            <w:pPr>
              <w:pStyle w:val="TableParagraph"/>
              <w:spacing w:before="17"/>
              <w:rPr>
                <w:b/>
                <w:sz w:val="13"/>
              </w:rPr>
            </w:pPr>
          </w:p>
          <w:p>
            <w:pPr>
              <w:pStyle w:val="TableParagraph"/>
              <w:spacing w:line="137" w:lineRule="exact"/>
              <w:ind w:right="107"/>
              <w:jc w:val="right"/>
              <w:rPr>
                <w:sz w:val="13"/>
              </w:rPr>
            </w:pPr>
            <w:r>
              <w:rPr>
                <w:spacing w:val="-2"/>
                <w:sz w:val="13"/>
              </w:rPr>
              <w:t>3,112</w:t>
            </w:r>
          </w:p>
        </w:tc>
        <w:tc>
          <w:tcPr>
            <w:tcW w:w="929" w:type="dxa"/>
            <w:tcBorders>
              <w:top w:val="single" w:sz="6" w:space="0" w:color="000000"/>
            </w:tcBorders>
          </w:tcPr>
          <w:p>
            <w:pPr>
              <w:pStyle w:val="TableParagraph"/>
              <w:rPr>
                <w:b/>
                <w:sz w:val="13"/>
              </w:rPr>
            </w:pPr>
          </w:p>
          <w:p>
            <w:pPr>
              <w:pStyle w:val="TableParagraph"/>
              <w:spacing w:before="17"/>
              <w:rPr>
                <w:b/>
                <w:sz w:val="13"/>
              </w:rPr>
            </w:pPr>
          </w:p>
          <w:p>
            <w:pPr>
              <w:pStyle w:val="TableParagraph"/>
              <w:spacing w:line="137" w:lineRule="exact"/>
              <w:ind w:right="111"/>
              <w:jc w:val="right"/>
              <w:rPr>
                <w:sz w:val="13"/>
              </w:rPr>
            </w:pPr>
            <w:r>
              <w:rPr>
                <w:spacing w:val="-5"/>
                <w:sz w:val="13"/>
              </w:rPr>
              <w:t>549</w:t>
            </w:r>
          </w:p>
        </w:tc>
        <w:tc>
          <w:tcPr>
            <w:tcW w:w="995" w:type="dxa"/>
            <w:tcBorders>
              <w:top w:val="single" w:sz="6" w:space="0" w:color="000000"/>
            </w:tcBorders>
          </w:tcPr>
          <w:p>
            <w:pPr>
              <w:pStyle w:val="TableParagraph"/>
              <w:rPr>
                <w:b/>
                <w:sz w:val="13"/>
              </w:rPr>
            </w:pPr>
          </w:p>
          <w:p>
            <w:pPr>
              <w:pStyle w:val="TableParagraph"/>
              <w:spacing w:before="17"/>
              <w:rPr>
                <w:b/>
                <w:sz w:val="13"/>
              </w:rPr>
            </w:pPr>
          </w:p>
          <w:p>
            <w:pPr>
              <w:pStyle w:val="TableParagraph"/>
              <w:spacing w:line="137" w:lineRule="exact"/>
              <w:ind w:right="180"/>
              <w:jc w:val="right"/>
              <w:rPr>
                <w:sz w:val="13"/>
              </w:rPr>
            </w:pPr>
            <w:r>
              <w:rPr>
                <w:spacing w:val="-2"/>
                <w:sz w:val="13"/>
              </w:rPr>
              <w:t>46,103</w:t>
            </w:r>
          </w:p>
        </w:tc>
        <w:tc>
          <w:tcPr>
            <w:tcW w:w="804" w:type="dxa"/>
            <w:tcBorders>
              <w:top w:val="single" w:sz="6" w:space="0" w:color="000000"/>
            </w:tcBorders>
          </w:tcPr>
          <w:p>
            <w:pPr>
              <w:pStyle w:val="TableParagraph"/>
              <w:rPr>
                <w:b/>
                <w:sz w:val="13"/>
              </w:rPr>
            </w:pPr>
          </w:p>
          <w:p>
            <w:pPr>
              <w:pStyle w:val="TableParagraph"/>
              <w:spacing w:before="17"/>
              <w:rPr>
                <w:b/>
                <w:sz w:val="13"/>
              </w:rPr>
            </w:pPr>
          </w:p>
          <w:p>
            <w:pPr>
              <w:pStyle w:val="TableParagraph"/>
              <w:spacing w:line="137" w:lineRule="exact"/>
              <w:ind w:left="154"/>
              <w:rPr>
                <w:sz w:val="13"/>
              </w:rPr>
            </w:pPr>
            <w:r>
              <w:rPr>
                <w:spacing w:val="-2"/>
                <w:sz w:val="13"/>
              </w:rPr>
              <w:t>1,358,929</w:t>
            </w:r>
          </w:p>
        </w:tc>
      </w:tr>
      <w:tr>
        <w:trPr>
          <w:trHeight w:val="161" w:hRule="atLeast"/>
        </w:trPr>
        <w:tc>
          <w:tcPr>
            <w:tcW w:w="553" w:type="dxa"/>
          </w:tcPr>
          <w:p>
            <w:pPr>
              <w:pStyle w:val="TableParagraph"/>
              <w:rPr>
                <w:rFonts w:ascii="Times New Roman"/>
                <w:sz w:val="10"/>
              </w:rPr>
            </w:pPr>
          </w:p>
        </w:tc>
        <w:tc>
          <w:tcPr>
            <w:tcW w:w="3229" w:type="dxa"/>
          </w:tcPr>
          <w:p>
            <w:pPr>
              <w:pStyle w:val="TableParagraph"/>
              <w:spacing w:line="138" w:lineRule="exact" w:before="4"/>
              <w:ind w:left="68"/>
              <w:rPr>
                <w:sz w:val="13"/>
              </w:rPr>
            </w:pPr>
            <w:r>
              <w:rPr>
                <w:spacing w:val="-2"/>
                <w:sz w:val="13"/>
              </w:rPr>
              <w:t>Additions</w:t>
            </w:r>
          </w:p>
        </w:tc>
        <w:tc>
          <w:tcPr>
            <w:tcW w:w="596" w:type="dxa"/>
          </w:tcPr>
          <w:p>
            <w:pPr>
              <w:pStyle w:val="TableParagraph"/>
              <w:rPr>
                <w:rFonts w:ascii="Times New Roman"/>
                <w:sz w:val="10"/>
              </w:rPr>
            </w:pPr>
          </w:p>
        </w:tc>
        <w:tc>
          <w:tcPr>
            <w:tcW w:w="984" w:type="dxa"/>
          </w:tcPr>
          <w:p>
            <w:pPr>
              <w:pStyle w:val="TableParagraph"/>
              <w:spacing w:line="136" w:lineRule="exact" w:before="6"/>
              <w:ind w:right="82"/>
              <w:jc w:val="right"/>
              <w:rPr>
                <w:sz w:val="13"/>
              </w:rPr>
            </w:pPr>
            <w:r>
              <w:rPr>
                <w:spacing w:val="-10"/>
                <w:sz w:val="13"/>
              </w:rPr>
              <w:t>-</w:t>
            </w:r>
          </w:p>
        </w:tc>
        <w:tc>
          <w:tcPr>
            <w:tcW w:w="938" w:type="dxa"/>
          </w:tcPr>
          <w:p>
            <w:pPr>
              <w:pStyle w:val="TableParagraph"/>
              <w:spacing w:line="136" w:lineRule="exact" w:before="6"/>
              <w:ind w:right="95"/>
              <w:jc w:val="right"/>
              <w:rPr>
                <w:sz w:val="13"/>
              </w:rPr>
            </w:pPr>
            <w:r>
              <w:rPr>
                <w:spacing w:val="-10"/>
                <w:sz w:val="13"/>
              </w:rPr>
              <w:t>-</w:t>
            </w:r>
          </w:p>
        </w:tc>
        <w:tc>
          <w:tcPr>
            <w:tcW w:w="933" w:type="dxa"/>
          </w:tcPr>
          <w:p>
            <w:pPr>
              <w:pStyle w:val="TableParagraph"/>
              <w:spacing w:line="136" w:lineRule="exact" w:before="6"/>
              <w:ind w:right="147"/>
              <w:jc w:val="right"/>
              <w:rPr>
                <w:sz w:val="13"/>
              </w:rPr>
            </w:pPr>
            <w:r>
              <w:rPr>
                <w:spacing w:val="-5"/>
                <w:sz w:val="13"/>
              </w:rPr>
              <w:t>573</w:t>
            </w:r>
          </w:p>
        </w:tc>
        <w:tc>
          <w:tcPr>
            <w:tcW w:w="900" w:type="dxa"/>
          </w:tcPr>
          <w:p>
            <w:pPr>
              <w:pStyle w:val="TableParagraph"/>
              <w:spacing w:line="136" w:lineRule="exact" w:before="6"/>
              <w:ind w:right="121"/>
              <w:jc w:val="right"/>
              <w:rPr>
                <w:sz w:val="13"/>
              </w:rPr>
            </w:pPr>
            <w:r>
              <w:rPr>
                <w:spacing w:val="-2"/>
                <w:sz w:val="13"/>
              </w:rPr>
              <w:t>42,604</w:t>
            </w:r>
          </w:p>
        </w:tc>
        <w:tc>
          <w:tcPr>
            <w:tcW w:w="949" w:type="dxa"/>
          </w:tcPr>
          <w:p>
            <w:pPr>
              <w:pStyle w:val="TableParagraph"/>
              <w:spacing w:line="136" w:lineRule="exact" w:before="6"/>
              <w:ind w:right="145"/>
              <w:jc w:val="right"/>
              <w:rPr>
                <w:sz w:val="13"/>
              </w:rPr>
            </w:pPr>
            <w:r>
              <w:rPr>
                <w:spacing w:val="-2"/>
                <w:sz w:val="13"/>
              </w:rPr>
              <w:t>11,116</w:t>
            </w:r>
          </w:p>
        </w:tc>
        <w:tc>
          <w:tcPr>
            <w:tcW w:w="954" w:type="dxa"/>
          </w:tcPr>
          <w:p>
            <w:pPr>
              <w:pStyle w:val="TableParagraph"/>
              <w:spacing w:line="136" w:lineRule="exact" w:before="6"/>
              <w:ind w:right="174"/>
              <w:jc w:val="right"/>
              <w:rPr>
                <w:sz w:val="13"/>
              </w:rPr>
            </w:pPr>
            <w:r>
              <w:rPr>
                <w:spacing w:val="-5"/>
                <w:sz w:val="13"/>
              </w:rPr>
              <w:t>420</w:t>
            </w:r>
          </w:p>
        </w:tc>
        <w:tc>
          <w:tcPr>
            <w:tcW w:w="858" w:type="dxa"/>
          </w:tcPr>
          <w:p>
            <w:pPr>
              <w:pStyle w:val="TableParagraph"/>
              <w:spacing w:line="136" w:lineRule="exact" w:before="6"/>
              <w:ind w:right="107"/>
              <w:jc w:val="right"/>
              <w:rPr>
                <w:sz w:val="13"/>
              </w:rPr>
            </w:pPr>
            <w:r>
              <w:rPr>
                <w:spacing w:val="-5"/>
                <w:sz w:val="13"/>
              </w:rPr>
              <w:t>202</w:t>
            </w:r>
          </w:p>
        </w:tc>
        <w:tc>
          <w:tcPr>
            <w:tcW w:w="929" w:type="dxa"/>
          </w:tcPr>
          <w:p>
            <w:pPr>
              <w:pStyle w:val="TableParagraph"/>
              <w:spacing w:line="136" w:lineRule="exact" w:before="6"/>
              <w:ind w:right="111"/>
              <w:jc w:val="right"/>
              <w:rPr>
                <w:sz w:val="13"/>
              </w:rPr>
            </w:pPr>
            <w:r>
              <w:rPr>
                <w:spacing w:val="-2"/>
                <w:sz w:val="13"/>
              </w:rPr>
              <w:t>2,120</w:t>
            </w:r>
          </w:p>
        </w:tc>
        <w:tc>
          <w:tcPr>
            <w:tcW w:w="995" w:type="dxa"/>
          </w:tcPr>
          <w:p>
            <w:pPr>
              <w:pStyle w:val="TableParagraph"/>
              <w:spacing w:line="136" w:lineRule="exact" w:before="6"/>
              <w:ind w:right="181"/>
              <w:jc w:val="right"/>
              <w:rPr>
                <w:sz w:val="13"/>
              </w:rPr>
            </w:pPr>
            <w:r>
              <w:rPr>
                <w:spacing w:val="-5"/>
                <w:sz w:val="13"/>
              </w:rPr>
              <w:t>113</w:t>
            </w:r>
          </w:p>
        </w:tc>
        <w:tc>
          <w:tcPr>
            <w:tcW w:w="804" w:type="dxa"/>
          </w:tcPr>
          <w:p>
            <w:pPr>
              <w:pStyle w:val="TableParagraph"/>
              <w:spacing w:line="136" w:lineRule="exact" w:before="6"/>
              <w:ind w:left="337"/>
              <w:rPr>
                <w:sz w:val="13"/>
              </w:rPr>
            </w:pPr>
            <w:r>
              <w:rPr>
                <w:spacing w:val="-2"/>
                <w:sz w:val="13"/>
              </w:rPr>
              <w:t>57,148</w:t>
            </w:r>
          </w:p>
        </w:tc>
      </w:tr>
      <w:tr>
        <w:trPr>
          <w:trHeight w:val="160" w:hRule="atLeast"/>
        </w:trPr>
        <w:tc>
          <w:tcPr>
            <w:tcW w:w="553" w:type="dxa"/>
          </w:tcPr>
          <w:p>
            <w:pPr>
              <w:pStyle w:val="TableParagraph"/>
              <w:rPr>
                <w:rFonts w:ascii="Times New Roman"/>
                <w:sz w:val="10"/>
              </w:rPr>
            </w:pPr>
          </w:p>
        </w:tc>
        <w:tc>
          <w:tcPr>
            <w:tcW w:w="3229" w:type="dxa"/>
          </w:tcPr>
          <w:p>
            <w:pPr>
              <w:pStyle w:val="TableParagraph"/>
              <w:spacing w:line="138" w:lineRule="exact" w:before="3"/>
              <w:ind w:left="68"/>
              <w:rPr>
                <w:sz w:val="13"/>
              </w:rPr>
            </w:pPr>
            <w:r>
              <w:rPr>
                <w:spacing w:val="-2"/>
                <w:sz w:val="13"/>
              </w:rPr>
              <w:t>Disposals</w:t>
            </w:r>
          </w:p>
        </w:tc>
        <w:tc>
          <w:tcPr>
            <w:tcW w:w="596" w:type="dxa"/>
          </w:tcPr>
          <w:p>
            <w:pPr>
              <w:pStyle w:val="TableParagraph"/>
              <w:rPr>
                <w:rFonts w:ascii="Times New Roman"/>
                <w:sz w:val="10"/>
              </w:rPr>
            </w:pPr>
          </w:p>
        </w:tc>
        <w:tc>
          <w:tcPr>
            <w:tcW w:w="984" w:type="dxa"/>
          </w:tcPr>
          <w:p>
            <w:pPr>
              <w:pStyle w:val="TableParagraph"/>
              <w:spacing w:line="136" w:lineRule="exact" w:before="5"/>
              <w:ind w:right="82"/>
              <w:jc w:val="right"/>
              <w:rPr>
                <w:sz w:val="13"/>
              </w:rPr>
            </w:pPr>
            <w:r>
              <w:rPr>
                <w:spacing w:val="-10"/>
                <w:sz w:val="13"/>
              </w:rPr>
              <w:t>-</w:t>
            </w:r>
          </w:p>
        </w:tc>
        <w:tc>
          <w:tcPr>
            <w:tcW w:w="938" w:type="dxa"/>
          </w:tcPr>
          <w:p>
            <w:pPr>
              <w:pStyle w:val="TableParagraph"/>
              <w:spacing w:line="136" w:lineRule="exact" w:before="5"/>
              <w:ind w:right="95"/>
              <w:jc w:val="right"/>
              <w:rPr>
                <w:sz w:val="13"/>
              </w:rPr>
            </w:pPr>
            <w:r>
              <w:rPr>
                <w:spacing w:val="-10"/>
                <w:sz w:val="13"/>
              </w:rPr>
              <w:t>-</w:t>
            </w:r>
          </w:p>
        </w:tc>
        <w:tc>
          <w:tcPr>
            <w:tcW w:w="933" w:type="dxa"/>
          </w:tcPr>
          <w:p>
            <w:pPr>
              <w:pStyle w:val="TableParagraph"/>
              <w:spacing w:line="136" w:lineRule="exact" w:before="5"/>
              <w:ind w:right="102"/>
              <w:jc w:val="right"/>
              <w:rPr>
                <w:sz w:val="13"/>
              </w:rPr>
            </w:pPr>
            <w:r>
              <w:rPr>
                <w:spacing w:val="-2"/>
                <w:sz w:val="13"/>
              </w:rPr>
              <w:t>(300)</w:t>
            </w:r>
          </w:p>
        </w:tc>
        <w:tc>
          <w:tcPr>
            <w:tcW w:w="900" w:type="dxa"/>
          </w:tcPr>
          <w:p>
            <w:pPr>
              <w:pStyle w:val="TableParagraph"/>
              <w:spacing w:line="136" w:lineRule="exact" w:before="5"/>
              <w:ind w:right="77"/>
              <w:jc w:val="right"/>
              <w:rPr>
                <w:sz w:val="13"/>
              </w:rPr>
            </w:pPr>
            <w:r>
              <w:rPr>
                <w:spacing w:val="-2"/>
                <w:sz w:val="13"/>
              </w:rPr>
              <w:t>(138)</w:t>
            </w:r>
          </w:p>
        </w:tc>
        <w:tc>
          <w:tcPr>
            <w:tcW w:w="949" w:type="dxa"/>
          </w:tcPr>
          <w:p>
            <w:pPr>
              <w:pStyle w:val="TableParagraph"/>
              <w:spacing w:line="136" w:lineRule="exact" w:before="5"/>
              <w:ind w:right="101"/>
              <w:jc w:val="right"/>
              <w:rPr>
                <w:sz w:val="13"/>
              </w:rPr>
            </w:pPr>
            <w:r>
              <w:rPr>
                <w:spacing w:val="-2"/>
                <w:sz w:val="13"/>
              </w:rPr>
              <w:t>(101)</w:t>
            </w:r>
          </w:p>
        </w:tc>
        <w:tc>
          <w:tcPr>
            <w:tcW w:w="954" w:type="dxa"/>
          </w:tcPr>
          <w:p>
            <w:pPr>
              <w:pStyle w:val="TableParagraph"/>
              <w:spacing w:line="136" w:lineRule="exact" w:before="5"/>
              <w:ind w:right="130"/>
              <w:jc w:val="right"/>
              <w:rPr>
                <w:sz w:val="13"/>
              </w:rPr>
            </w:pPr>
            <w:r>
              <w:rPr>
                <w:spacing w:val="-2"/>
                <w:sz w:val="13"/>
              </w:rPr>
              <w:t>(308)</w:t>
            </w:r>
          </w:p>
        </w:tc>
        <w:tc>
          <w:tcPr>
            <w:tcW w:w="858" w:type="dxa"/>
          </w:tcPr>
          <w:p>
            <w:pPr>
              <w:pStyle w:val="TableParagraph"/>
              <w:spacing w:line="136" w:lineRule="exact" w:before="5"/>
              <w:ind w:right="63"/>
              <w:jc w:val="right"/>
              <w:rPr>
                <w:sz w:val="13"/>
              </w:rPr>
            </w:pPr>
            <w:r>
              <w:rPr>
                <w:spacing w:val="-10"/>
                <w:sz w:val="13"/>
              </w:rPr>
              <w:t>-</w:t>
            </w:r>
          </w:p>
        </w:tc>
        <w:tc>
          <w:tcPr>
            <w:tcW w:w="929" w:type="dxa"/>
          </w:tcPr>
          <w:p>
            <w:pPr>
              <w:pStyle w:val="TableParagraph"/>
              <w:spacing w:line="136" w:lineRule="exact" w:before="5"/>
              <w:ind w:right="67"/>
              <w:jc w:val="right"/>
              <w:rPr>
                <w:sz w:val="13"/>
              </w:rPr>
            </w:pPr>
            <w:r>
              <w:rPr>
                <w:spacing w:val="-10"/>
                <w:sz w:val="13"/>
              </w:rPr>
              <w:t>-</w:t>
            </w:r>
          </w:p>
        </w:tc>
        <w:tc>
          <w:tcPr>
            <w:tcW w:w="995" w:type="dxa"/>
          </w:tcPr>
          <w:p>
            <w:pPr>
              <w:pStyle w:val="TableParagraph"/>
              <w:spacing w:line="136" w:lineRule="exact" w:before="5"/>
              <w:ind w:right="137"/>
              <w:jc w:val="right"/>
              <w:rPr>
                <w:sz w:val="13"/>
              </w:rPr>
            </w:pPr>
            <w:r>
              <w:rPr>
                <w:spacing w:val="-10"/>
                <w:sz w:val="13"/>
              </w:rPr>
              <w:t>-</w:t>
            </w:r>
          </w:p>
        </w:tc>
        <w:tc>
          <w:tcPr>
            <w:tcW w:w="804" w:type="dxa"/>
          </w:tcPr>
          <w:p>
            <w:pPr>
              <w:pStyle w:val="TableParagraph"/>
              <w:spacing w:line="136" w:lineRule="exact" w:before="5"/>
              <w:ind w:right="15"/>
              <w:jc w:val="right"/>
              <w:rPr>
                <w:sz w:val="13"/>
              </w:rPr>
            </w:pPr>
            <w:r>
              <w:rPr>
                <w:spacing w:val="-2"/>
                <w:sz w:val="13"/>
              </w:rPr>
              <w:t>(847)</w:t>
            </w:r>
          </w:p>
        </w:tc>
      </w:tr>
      <w:tr>
        <w:trPr>
          <w:trHeight w:val="160" w:hRule="atLeast"/>
        </w:trPr>
        <w:tc>
          <w:tcPr>
            <w:tcW w:w="553" w:type="dxa"/>
          </w:tcPr>
          <w:p>
            <w:pPr>
              <w:pStyle w:val="TableParagraph"/>
              <w:rPr>
                <w:rFonts w:ascii="Times New Roman"/>
                <w:sz w:val="10"/>
              </w:rPr>
            </w:pPr>
          </w:p>
        </w:tc>
        <w:tc>
          <w:tcPr>
            <w:tcW w:w="3229" w:type="dxa"/>
          </w:tcPr>
          <w:p>
            <w:pPr>
              <w:pStyle w:val="TableParagraph"/>
              <w:spacing w:line="138" w:lineRule="exact" w:before="3"/>
              <w:ind w:left="68"/>
              <w:rPr>
                <w:sz w:val="13"/>
              </w:rPr>
            </w:pPr>
            <w:r>
              <w:rPr>
                <w:spacing w:val="-2"/>
                <w:sz w:val="13"/>
              </w:rPr>
              <w:t>Depreciation</w:t>
            </w:r>
          </w:p>
        </w:tc>
        <w:tc>
          <w:tcPr>
            <w:tcW w:w="596" w:type="dxa"/>
          </w:tcPr>
          <w:p>
            <w:pPr>
              <w:pStyle w:val="TableParagraph"/>
              <w:rPr>
                <w:rFonts w:ascii="Times New Roman"/>
                <w:sz w:val="10"/>
              </w:rPr>
            </w:pPr>
          </w:p>
        </w:tc>
        <w:tc>
          <w:tcPr>
            <w:tcW w:w="984" w:type="dxa"/>
          </w:tcPr>
          <w:p>
            <w:pPr>
              <w:pStyle w:val="TableParagraph"/>
              <w:spacing w:line="136" w:lineRule="exact" w:before="5"/>
              <w:ind w:right="82"/>
              <w:jc w:val="right"/>
              <w:rPr>
                <w:sz w:val="13"/>
              </w:rPr>
            </w:pPr>
            <w:r>
              <w:rPr>
                <w:spacing w:val="-10"/>
                <w:sz w:val="13"/>
              </w:rPr>
              <w:t>-</w:t>
            </w:r>
          </w:p>
        </w:tc>
        <w:tc>
          <w:tcPr>
            <w:tcW w:w="938" w:type="dxa"/>
          </w:tcPr>
          <w:p>
            <w:pPr>
              <w:pStyle w:val="TableParagraph"/>
              <w:spacing w:line="136" w:lineRule="exact" w:before="5"/>
              <w:ind w:right="95"/>
              <w:jc w:val="right"/>
              <w:rPr>
                <w:sz w:val="13"/>
              </w:rPr>
            </w:pPr>
            <w:r>
              <w:rPr>
                <w:spacing w:val="-10"/>
                <w:sz w:val="13"/>
              </w:rPr>
              <w:t>-</w:t>
            </w:r>
          </w:p>
        </w:tc>
        <w:tc>
          <w:tcPr>
            <w:tcW w:w="933" w:type="dxa"/>
          </w:tcPr>
          <w:p>
            <w:pPr>
              <w:pStyle w:val="TableParagraph"/>
              <w:spacing w:line="136" w:lineRule="exact" w:before="5"/>
              <w:ind w:right="102"/>
              <w:jc w:val="right"/>
              <w:rPr>
                <w:sz w:val="13"/>
              </w:rPr>
            </w:pPr>
            <w:r>
              <w:rPr>
                <w:spacing w:val="-2"/>
                <w:sz w:val="13"/>
              </w:rPr>
              <w:t>(25,188)</w:t>
            </w:r>
          </w:p>
        </w:tc>
        <w:tc>
          <w:tcPr>
            <w:tcW w:w="900" w:type="dxa"/>
          </w:tcPr>
          <w:p>
            <w:pPr>
              <w:pStyle w:val="TableParagraph"/>
              <w:spacing w:line="136" w:lineRule="exact" w:before="5"/>
              <w:ind w:right="78"/>
              <w:jc w:val="right"/>
              <w:rPr>
                <w:sz w:val="13"/>
              </w:rPr>
            </w:pPr>
            <w:r>
              <w:rPr>
                <w:spacing w:val="-10"/>
                <w:sz w:val="13"/>
              </w:rPr>
              <w:t>-</w:t>
            </w:r>
          </w:p>
        </w:tc>
        <w:tc>
          <w:tcPr>
            <w:tcW w:w="949" w:type="dxa"/>
          </w:tcPr>
          <w:p>
            <w:pPr>
              <w:pStyle w:val="TableParagraph"/>
              <w:spacing w:line="136" w:lineRule="exact" w:before="5"/>
              <w:ind w:right="101"/>
              <w:jc w:val="right"/>
              <w:rPr>
                <w:sz w:val="13"/>
              </w:rPr>
            </w:pPr>
            <w:r>
              <w:rPr>
                <w:spacing w:val="-2"/>
                <w:sz w:val="13"/>
              </w:rPr>
              <w:t>(19,877)</w:t>
            </w:r>
          </w:p>
        </w:tc>
        <w:tc>
          <w:tcPr>
            <w:tcW w:w="954" w:type="dxa"/>
          </w:tcPr>
          <w:p>
            <w:pPr>
              <w:pStyle w:val="TableParagraph"/>
              <w:spacing w:line="136" w:lineRule="exact" w:before="5"/>
              <w:ind w:right="130"/>
              <w:jc w:val="right"/>
              <w:rPr>
                <w:sz w:val="13"/>
              </w:rPr>
            </w:pPr>
            <w:r>
              <w:rPr>
                <w:spacing w:val="-10"/>
                <w:sz w:val="13"/>
              </w:rPr>
              <w:t>-</w:t>
            </w:r>
          </w:p>
        </w:tc>
        <w:tc>
          <w:tcPr>
            <w:tcW w:w="858" w:type="dxa"/>
          </w:tcPr>
          <w:p>
            <w:pPr>
              <w:pStyle w:val="TableParagraph"/>
              <w:spacing w:line="136" w:lineRule="exact" w:before="5"/>
              <w:ind w:right="63"/>
              <w:jc w:val="right"/>
              <w:rPr>
                <w:sz w:val="13"/>
              </w:rPr>
            </w:pPr>
            <w:r>
              <w:rPr>
                <w:spacing w:val="-2"/>
                <w:sz w:val="13"/>
              </w:rPr>
              <w:t>(961)</w:t>
            </w:r>
          </w:p>
        </w:tc>
        <w:tc>
          <w:tcPr>
            <w:tcW w:w="929" w:type="dxa"/>
          </w:tcPr>
          <w:p>
            <w:pPr>
              <w:pStyle w:val="TableParagraph"/>
              <w:spacing w:line="136" w:lineRule="exact" w:before="5"/>
              <w:ind w:right="66"/>
              <w:jc w:val="right"/>
              <w:rPr>
                <w:sz w:val="13"/>
              </w:rPr>
            </w:pPr>
            <w:r>
              <w:rPr>
                <w:spacing w:val="-2"/>
                <w:sz w:val="13"/>
              </w:rPr>
              <w:t>(1,206)</w:t>
            </w:r>
          </w:p>
        </w:tc>
        <w:tc>
          <w:tcPr>
            <w:tcW w:w="995" w:type="dxa"/>
          </w:tcPr>
          <w:p>
            <w:pPr>
              <w:pStyle w:val="TableParagraph"/>
              <w:spacing w:line="136" w:lineRule="exact" w:before="5"/>
              <w:ind w:right="137"/>
              <w:jc w:val="right"/>
              <w:rPr>
                <w:sz w:val="13"/>
              </w:rPr>
            </w:pPr>
            <w:r>
              <w:rPr>
                <w:spacing w:val="-10"/>
                <w:sz w:val="13"/>
              </w:rPr>
              <w:t>-</w:t>
            </w:r>
          </w:p>
        </w:tc>
        <w:tc>
          <w:tcPr>
            <w:tcW w:w="804" w:type="dxa"/>
          </w:tcPr>
          <w:p>
            <w:pPr>
              <w:pStyle w:val="TableParagraph"/>
              <w:spacing w:line="136" w:lineRule="exact" w:before="5"/>
              <w:ind w:right="15"/>
              <w:jc w:val="right"/>
              <w:rPr>
                <w:sz w:val="13"/>
              </w:rPr>
            </w:pPr>
            <w:r>
              <w:rPr>
                <w:spacing w:val="-2"/>
                <w:sz w:val="13"/>
              </w:rPr>
              <w:t>(47,232)</w:t>
            </w:r>
          </w:p>
        </w:tc>
      </w:tr>
      <w:tr>
        <w:trPr>
          <w:trHeight w:val="160" w:hRule="atLeast"/>
        </w:trPr>
        <w:tc>
          <w:tcPr>
            <w:tcW w:w="553" w:type="dxa"/>
          </w:tcPr>
          <w:p>
            <w:pPr>
              <w:pStyle w:val="TableParagraph"/>
              <w:rPr>
                <w:rFonts w:ascii="Times New Roman"/>
                <w:sz w:val="10"/>
              </w:rPr>
            </w:pPr>
          </w:p>
        </w:tc>
        <w:tc>
          <w:tcPr>
            <w:tcW w:w="3229" w:type="dxa"/>
          </w:tcPr>
          <w:p>
            <w:pPr>
              <w:pStyle w:val="TableParagraph"/>
              <w:spacing w:line="138" w:lineRule="exact" w:before="3"/>
              <w:ind w:left="67"/>
              <w:rPr>
                <w:sz w:val="13"/>
              </w:rPr>
            </w:pPr>
            <w:r>
              <w:rPr>
                <w:spacing w:val="-2"/>
                <w:sz w:val="13"/>
              </w:rPr>
              <w:t>Impairment</w:t>
            </w:r>
          </w:p>
        </w:tc>
        <w:tc>
          <w:tcPr>
            <w:tcW w:w="596" w:type="dxa"/>
          </w:tcPr>
          <w:p>
            <w:pPr>
              <w:pStyle w:val="TableParagraph"/>
              <w:rPr>
                <w:rFonts w:ascii="Times New Roman"/>
                <w:sz w:val="10"/>
              </w:rPr>
            </w:pPr>
          </w:p>
        </w:tc>
        <w:tc>
          <w:tcPr>
            <w:tcW w:w="984" w:type="dxa"/>
          </w:tcPr>
          <w:p>
            <w:pPr>
              <w:pStyle w:val="TableParagraph"/>
              <w:spacing w:line="136" w:lineRule="exact" w:before="5"/>
              <w:ind w:right="82"/>
              <w:jc w:val="right"/>
              <w:rPr>
                <w:sz w:val="13"/>
              </w:rPr>
            </w:pPr>
            <w:r>
              <w:rPr>
                <w:spacing w:val="-4"/>
                <w:sz w:val="13"/>
              </w:rPr>
              <w:t>(89)</w:t>
            </w:r>
          </w:p>
        </w:tc>
        <w:tc>
          <w:tcPr>
            <w:tcW w:w="938" w:type="dxa"/>
          </w:tcPr>
          <w:p>
            <w:pPr>
              <w:pStyle w:val="TableParagraph"/>
              <w:spacing w:line="136" w:lineRule="exact" w:before="5"/>
              <w:ind w:right="95"/>
              <w:jc w:val="right"/>
              <w:rPr>
                <w:sz w:val="13"/>
              </w:rPr>
            </w:pPr>
            <w:r>
              <w:rPr>
                <w:spacing w:val="-10"/>
                <w:sz w:val="13"/>
              </w:rPr>
              <w:t>-</w:t>
            </w:r>
          </w:p>
        </w:tc>
        <w:tc>
          <w:tcPr>
            <w:tcW w:w="933" w:type="dxa"/>
          </w:tcPr>
          <w:p>
            <w:pPr>
              <w:pStyle w:val="TableParagraph"/>
              <w:spacing w:line="136" w:lineRule="exact" w:before="5"/>
              <w:ind w:right="103"/>
              <w:jc w:val="right"/>
              <w:rPr>
                <w:sz w:val="13"/>
              </w:rPr>
            </w:pPr>
            <w:r>
              <w:rPr>
                <w:spacing w:val="-2"/>
                <w:sz w:val="13"/>
              </w:rPr>
              <w:t>(2,517)</w:t>
            </w:r>
          </w:p>
        </w:tc>
        <w:tc>
          <w:tcPr>
            <w:tcW w:w="900" w:type="dxa"/>
          </w:tcPr>
          <w:p>
            <w:pPr>
              <w:pStyle w:val="TableParagraph"/>
              <w:spacing w:line="136" w:lineRule="exact" w:before="5"/>
              <w:ind w:right="77"/>
              <w:jc w:val="right"/>
              <w:rPr>
                <w:sz w:val="13"/>
              </w:rPr>
            </w:pPr>
            <w:r>
              <w:rPr>
                <w:spacing w:val="-2"/>
                <w:sz w:val="13"/>
              </w:rPr>
              <w:t>(874)</w:t>
            </w:r>
          </w:p>
        </w:tc>
        <w:tc>
          <w:tcPr>
            <w:tcW w:w="949" w:type="dxa"/>
          </w:tcPr>
          <w:p>
            <w:pPr>
              <w:pStyle w:val="TableParagraph"/>
              <w:spacing w:line="136" w:lineRule="exact" w:before="5"/>
              <w:ind w:right="102"/>
              <w:jc w:val="right"/>
              <w:rPr>
                <w:sz w:val="13"/>
              </w:rPr>
            </w:pPr>
            <w:r>
              <w:rPr>
                <w:spacing w:val="-10"/>
                <w:sz w:val="13"/>
              </w:rPr>
              <w:t>-</w:t>
            </w:r>
          </w:p>
        </w:tc>
        <w:tc>
          <w:tcPr>
            <w:tcW w:w="954" w:type="dxa"/>
          </w:tcPr>
          <w:p>
            <w:pPr>
              <w:pStyle w:val="TableParagraph"/>
              <w:spacing w:line="136" w:lineRule="exact" w:before="5"/>
              <w:ind w:right="130"/>
              <w:jc w:val="right"/>
              <w:rPr>
                <w:sz w:val="13"/>
              </w:rPr>
            </w:pPr>
            <w:r>
              <w:rPr>
                <w:spacing w:val="-10"/>
                <w:sz w:val="13"/>
              </w:rPr>
              <w:t>-</w:t>
            </w:r>
          </w:p>
        </w:tc>
        <w:tc>
          <w:tcPr>
            <w:tcW w:w="858" w:type="dxa"/>
          </w:tcPr>
          <w:p>
            <w:pPr>
              <w:pStyle w:val="TableParagraph"/>
              <w:spacing w:line="136" w:lineRule="exact" w:before="5"/>
              <w:ind w:right="63"/>
              <w:jc w:val="right"/>
              <w:rPr>
                <w:sz w:val="13"/>
              </w:rPr>
            </w:pPr>
            <w:r>
              <w:rPr>
                <w:spacing w:val="-10"/>
                <w:sz w:val="13"/>
              </w:rPr>
              <w:t>-</w:t>
            </w:r>
          </w:p>
        </w:tc>
        <w:tc>
          <w:tcPr>
            <w:tcW w:w="929" w:type="dxa"/>
          </w:tcPr>
          <w:p>
            <w:pPr>
              <w:pStyle w:val="TableParagraph"/>
              <w:spacing w:line="136" w:lineRule="exact" w:before="5"/>
              <w:ind w:right="67"/>
              <w:jc w:val="right"/>
              <w:rPr>
                <w:sz w:val="13"/>
              </w:rPr>
            </w:pPr>
            <w:r>
              <w:rPr>
                <w:spacing w:val="-10"/>
                <w:sz w:val="13"/>
              </w:rPr>
              <w:t>-</w:t>
            </w:r>
          </w:p>
        </w:tc>
        <w:tc>
          <w:tcPr>
            <w:tcW w:w="995" w:type="dxa"/>
          </w:tcPr>
          <w:p>
            <w:pPr>
              <w:pStyle w:val="TableParagraph"/>
              <w:spacing w:line="136" w:lineRule="exact" w:before="5"/>
              <w:ind w:right="137"/>
              <w:jc w:val="right"/>
              <w:rPr>
                <w:sz w:val="13"/>
              </w:rPr>
            </w:pPr>
            <w:r>
              <w:rPr>
                <w:spacing w:val="-10"/>
                <w:sz w:val="13"/>
              </w:rPr>
              <w:t>-</w:t>
            </w:r>
          </w:p>
        </w:tc>
        <w:tc>
          <w:tcPr>
            <w:tcW w:w="804" w:type="dxa"/>
          </w:tcPr>
          <w:p>
            <w:pPr>
              <w:pStyle w:val="TableParagraph"/>
              <w:spacing w:line="136" w:lineRule="exact" w:before="5"/>
              <w:ind w:right="15"/>
              <w:jc w:val="right"/>
              <w:rPr>
                <w:sz w:val="13"/>
              </w:rPr>
            </w:pPr>
            <w:r>
              <w:rPr>
                <w:spacing w:val="-2"/>
                <w:sz w:val="13"/>
              </w:rPr>
              <w:t>(3,480)</w:t>
            </w:r>
          </w:p>
        </w:tc>
      </w:tr>
      <w:tr>
        <w:trPr>
          <w:trHeight w:val="160" w:hRule="atLeast"/>
        </w:trPr>
        <w:tc>
          <w:tcPr>
            <w:tcW w:w="553" w:type="dxa"/>
          </w:tcPr>
          <w:p>
            <w:pPr>
              <w:pStyle w:val="TableParagraph"/>
              <w:rPr>
                <w:rFonts w:ascii="Times New Roman"/>
                <w:sz w:val="10"/>
              </w:rPr>
            </w:pPr>
          </w:p>
        </w:tc>
        <w:tc>
          <w:tcPr>
            <w:tcW w:w="3229" w:type="dxa"/>
          </w:tcPr>
          <w:p>
            <w:pPr>
              <w:pStyle w:val="TableParagraph"/>
              <w:spacing w:line="138" w:lineRule="exact" w:before="3"/>
              <w:ind w:left="67"/>
              <w:rPr>
                <w:sz w:val="13"/>
              </w:rPr>
            </w:pPr>
            <w:r>
              <w:rPr>
                <w:spacing w:val="-2"/>
                <w:sz w:val="13"/>
              </w:rPr>
              <w:t>Transfer</w:t>
            </w:r>
          </w:p>
        </w:tc>
        <w:tc>
          <w:tcPr>
            <w:tcW w:w="596" w:type="dxa"/>
          </w:tcPr>
          <w:p>
            <w:pPr>
              <w:pStyle w:val="TableParagraph"/>
              <w:rPr>
                <w:rFonts w:ascii="Times New Roman"/>
                <w:sz w:val="10"/>
              </w:rPr>
            </w:pPr>
          </w:p>
        </w:tc>
        <w:tc>
          <w:tcPr>
            <w:tcW w:w="984" w:type="dxa"/>
          </w:tcPr>
          <w:p>
            <w:pPr>
              <w:pStyle w:val="TableParagraph"/>
              <w:spacing w:line="136" w:lineRule="exact" w:before="5"/>
              <w:ind w:right="82"/>
              <w:jc w:val="right"/>
              <w:rPr>
                <w:sz w:val="13"/>
              </w:rPr>
            </w:pPr>
            <w:r>
              <w:rPr>
                <w:spacing w:val="-10"/>
                <w:sz w:val="13"/>
              </w:rPr>
              <w:t>-</w:t>
            </w:r>
          </w:p>
        </w:tc>
        <w:tc>
          <w:tcPr>
            <w:tcW w:w="938" w:type="dxa"/>
          </w:tcPr>
          <w:p>
            <w:pPr>
              <w:pStyle w:val="TableParagraph"/>
              <w:spacing w:line="136" w:lineRule="exact" w:before="5"/>
              <w:ind w:right="95"/>
              <w:jc w:val="right"/>
              <w:rPr>
                <w:sz w:val="13"/>
              </w:rPr>
            </w:pPr>
            <w:r>
              <w:rPr>
                <w:spacing w:val="-10"/>
                <w:sz w:val="13"/>
              </w:rPr>
              <w:t>-</w:t>
            </w:r>
          </w:p>
        </w:tc>
        <w:tc>
          <w:tcPr>
            <w:tcW w:w="933" w:type="dxa"/>
          </w:tcPr>
          <w:p>
            <w:pPr>
              <w:pStyle w:val="TableParagraph"/>
              <w:spacing w:line="136" w:lineRule="exact" w:before="5"/>
              <w:ind w:right="147"/>
              <w:jc w:val="right"/>
              <w:rPr>
                <w:sz w:val="13"/>
              </w:rPr>
            </w:pPr>
            <w:r>
              <w:rPr>
                <w:spacing w:val="-2"/>
                <w:sz w:val="13"/>
              </w:rPr>
              <w:t>97,560</w:t>
            </w:r>
          </w:p>
        </w:tc>
        <w:tc>
          <w:tcPr>
            <w:tcW w:w="900" w:type="dxa"/>
          </w:tcPr>
          <w:p>
            <w:pPr>
              <w:pStyle w:val="TableParagraph"/>
              <w:spacing w:line="136" w:lineRule="exact" w:before="5"/>
              <w:ind w:right="77"/>
              <w:jc w:val="right"/>
              <w:rPr>
                <w:sz w:val="13"/>
              </w:rPr>
            </w:pPr>
            <w:r>
              <w:rPr>
                <w:spacing w:val="-2"/>
                <w:sz w:val="13"/>
              </w:rPr>
              <w:t>(98,746)</w:t>
            </w:r>
          </w:p>
        </w:tc>
        <w:tc>
          <w:tcPr>
            <w:tcW w:w="949" w:type="dxa"/>
          </w:tcPr>
          <w:p>
            <w:pPr>
              <w:pStyle w:val="TableParagraph"/>
              <w:spacing w:line="136" w:lineRule="exact" w:before="5"/>
              <w:ind w:right="146"/>
              <w:jc w:val="right"/>
              <w:rPr>
                <w:sz w:val="13"/>
              </w:rPr>
            </w:pPr>
            <w:r>
              <w:rPr>
                <w:spacing w:val="-2"/>
                <w:sz w:val="13"/>
              </w:rPr>
              <w:t>1,186</w:t>
            </w:r>
          </w:p>
        </w:tc>
        <w:tc>
          <w:tcPr>
            <w:tcW w:w="954" w:type="dxa"/>
          </w:tcPr>
          <w:p>
            <w:pPr>
              <w:pStyle w:val="TableParagraph"/>
              <w:spacing w:line="136" w:lineRule="exact" w:before="5"/>
              <w:ind w:right="131"/>
              <w:jc w:val="right"/>
              <w:rPr>
                <w:sz w:val="13"/>
              </w:rPr>
            </w:pPr>
            <w:r>
              <w:rPr>
                <w:spacing w:val="-10"/>
                <w:sz w:val="13"/>
              </w:rPr>
              <w:t>-</w:t>
            </w:r>
          </w:p>
        </w:tc>
        <w:tc>
          <w:tcPr>
            <w:tcW w:w="858" w:type="dxa"/>
          </w:tcPr>
          <w:p>
            <w:pPr>
              <w:pStyle w:val="TableParagraph"/>
              <w:spacing w:line="136" w:lineRule="exact" w:before="5"/>
              <w:ind w:right="63"/>
              <w:jc w:val="right"/>
              <w:rPr>
                <w:sz w:val="13"/>
              </w:rPr>
            </w:pPr>
            <w:r>
              <w:rPr>
                <w:spacing w:val="-10"/>
                <w:sz w:val="13"/>
              </w:rPr>
              <w:t>-</w:t>
            </w:r>
          </w:p>
        </w:tc>
        <w:tc>
          <w:tcPr>
            <w:tcW w:w="929" w:type="dxa"/>
          </w:tcPr>
          <w:p>
            <w:pPr>
              <w:pStyle w:val="TableParagraph"/>
              <w:spacing w:line="136" w:lineRule="exact" w:before="5"/>
              <w:ind w:right="67"/>
              <w:jc w:val="right"/>
              <w:rPr>
                <w:sz w:val="13"/>
              </w:rPr>
            </w:pPr>
            <w:r>
              <w:rPr>
                <w:spacing w:val="-10"/>
                <w:sz w:val="13"/>
              </w:rPr>
              <w:t>-</w:t>
            </w:r>
          </w:p>
        </w:tc>
        <w:tc>
          <w:tcPr>
            <w:tcW w:w="995" w:type="dxa"/>
          </w:tcPr>
          <w:p>
            <w:pPr>
              <w:pStyle w:val="TableParagraph"/>
              <w:spacing w:line="136" w:lineRule="exact" w:before="5"/>
              <w:ind w:right="137"/>
              <w:jc w:val="right"/>
              <w:rPr>
                <w:sz w:val="13"/>
              </w:rPr>
            </w:pPr>
            <w:r>
              <w:rPr>
                <w:spacing w:val="-10"/>
                <w:sz w:val="13"/>
              </w:rPr>
              <w:t>-</w:t>
            </w:r>
          </w:p>
        </w:tc>
        <w:tc>
          <w:tcPr>
            <w:tcW w:w="804" w:type="dxa"/>
          </w:tcPr>
          <w:p>
            <w:pPr>
              <w:pStyle w:val="TableParagraph"/>
              <w:spacing w:line="136" w:lineRule="exact" w:before="5"/>
              <w:ind w:right="16"/>
              <w:jc w:val="right"/>
              <w:rPr>
                <w:sz w:val="13"/>
              </w:rPr>
            </w:pPr>
            <w:r>
              <w:rPr>
                <w:spacing w:val="-10"/>
                <w:sz w:val="13"/>
              </w:rPr>
              <w:t>-</w:t>
            </w:r>
          </w:p>
        </w:tc>
      </w:tr>
      <w:tr>
        <w:trPr>
          <w:trHeight w:val="154" w:hRule="atLeast"/>
        </w:trPr>
        <w:tc>
          <w:tcPr>
            <w:tcW w:w="553" w:type="dxa"/>
          </w:tcPr>
          <w:p>
            <w:pPr>
              <w:pStyle w:val="TableParagraph"/>
              <w:rPr>
                <w:rFonts w:ascii="Times New Roman"/>
                <w:sz w:val="8"/>
              </w:rPr>
            </w:pPr>
          </w:p>
        </w:tc>
        <w:tc>
          <w:tcPr>
            <w:tcW w:w="3229" w:type="dxa"/>
          </w:tcPr>
          <w:p>
            <w:pPr>
              <w:pStyle w:val="TableParagraph"/>
              <w:spacing w:line="132" w:lineRule="exact" w:before="3"/>
              <w:ind w:left="67"/>
              <w:rPr>
                <w:sz w:val="13"/>
              </w:rPr>
            </w:pPr>
            <w:r>
              <w:rPr>
                <w:sz w:val="13"/>
              </w:rPr>
              <w:t>Transfer</w:t>
            </w:r>
            <w:r>
              <w:rPr>
                <w:spacing w:val="2"/>
                <w:sz w:val="13"/>
              </w:rPr>
              <w:t> </w:t>
            </w:r>
            <w:r>
              <w:rPr>
                <w:sz w:val="13"/>
              </w:rPr>
              <w:t>of</w:t>
            </w:r>
            <w:r>
              <w:rPr>
                <w:spacing w:val="3"/>
                <w:sz w:val="13"/>
              </w:rPr>
              <w:t> </w:t>
            </w:r>
            <w:r>
              <w:rPr>
                <w:sz w:val="13"/>
              </w:rPr>
              <w:t>carrying</w:t>
            </w:r>
            <w:r>
              <w:rPr>
                <w:spacing w:val="2"/>
                <w:sz w:val="13"/>
              </w:rPr>
              <w:t> </w:t>
            </w:r>
            <w:r>
              <w:rPr>
                <w:sz w:val="13"/>
              </w:rPr>
              <w:t>amount to</w:t>
            </w:r>
            <w:r>
              <w:rPr>
                <w:spacing w:val="2"/>
                <w:sz w:val="13"/>
              </w:rPr>
              <w:t> </w:t>
            </w:r>
            <w:r>
              <w:rPr>
                <w:sz w:val="13"/>
              </w:rPr>
              <w:t>assets</w:t>
            </w:r>
            <w:r>
              <w:rPr>
                <w:spacing w:val="3"/>
                <w:sz w:val="13"/>
              </w:rPr>
              <w:t> </w:t>
            </w:r>
            <w:r>
              <w:rPr>
                <w:sz w:val="13"/>
              </w:rPr>
              <w:t>held</w:t>
            </w:r>
            <w:r>
              <w:rPr>
                <w:spacing w:val="1"/>
                <w:sz w:val="13"/>
              </w:rPr>
              <w:t> </w:t>
            </w:r>
            <w:r>
              <w:rPr>
                <w:sz w:val="13"/>
              </w:rPr>
              <w:t>for</w:t>
            </w:r>
            <w:r>
              <w:rPr>
                <w:spacing w:val="3"/>
                <w:sz w:val="13"/>
              </w:rPr>
              <w:t> </w:t>
            </w:r>
            <w:r>
              <w:rPr>
                <w:spacing w:val="-4"/>
                <w:sz w:val="13"/>
              </w:rPr>
              <w:t>sale</w:t>
            </w:r>
          </w:p>
        </w:tc>
        <w:tc>
          <w:tcPr>
            <w:tcW w:w="596" w:type="dxa"/>
          </w:tcPr>
          <w:p>
            <w:pPr>
              <w:pStyle w:val="TableParagraph"/>
              <w:rPr>
                <w:rFonts w:ascii="Times New Roman"/>
                <w:sz w:val="8"/>
              </w:rPr>
            </w:pPr>
          </w:p>
        </w:tc>
        <w:tc>
          <w:tcPr>
            <w:tcW w:w="984" w:type="dxa"/>
            <w:tcBorders>
              <w:bottom w:val="single" w:sz="6" w:space="0" w:color="000000"/>
            </w:tcBorders>
          </w:tcPr>
          <w:p>
            <w:pPr>
              <w:pStyle w:val="TableParagraph"/>
              <w:spacing w:line="129" w:lineRule="exact" w:before="5"/>
              <w:ind w:right="82"/>
              <w:jc w:val="right"/>
              <w:rPr>
                <w:sz w:val="13"/>
              </w:rPr>
            </w:pPr>
            <w:r>
              <w:rPr>
                <w:spacing w:val="-10"/>
                <w:sz w:val="13"/>
              </w:rPr>
              <w:t>-</w:t>
            </w:r>
          </w:p>
        </w:tc>
        <w:tc>
          <w:tcPr>
            <w:tcW w:w="938" w:type="dxa"/>
            <w:tcBorders>
              <w:bottom w:val="single" w:sz="6" w:space="0" w:color="000000"/>
            </w:tcBorders>
          </w:tcPr>
          <w:p>
            <w:pPr>
              <w:pStyle w:val="TableParagraph"/>
              <w:spacing w:line="129" w:lineRule="exact" w:before="5"/>
              <w:ind w:right="95"/>
              <w:jc w:val="right"/>
              <w:rPr>
                <w:sz w:val="13"/>
              </w:rPr>
            </w:pPr>
            <w:r>
              <w:rPr>
                <w:spacing w:val="-10"/>
                <w:sz w:val="13"/>
              </w:rPr>
              <w:t>-</w:t>
            </w:r>
          </w:p>
        </w:tc>
        <w:tc>
          <w:tcPr>
            <w:tcW w:w="933" w:type="dxa"/>
            <w:tcBorders>
              <w:bottom w:val="single" w:sz="6" w:space="0" w:color="000000"/>
            </w:tcBorders>
          </w:tcPr>
          <w:p>
            <w:pPr>
              <w:pStyle w:val="TableParagraph"/>
              <w:spacing w:line="129" w:lineRule="exact" w:before="5"/>
              <w:ind w:right="103"/>
              <w:jc w:val="right"/>
              <w:rPr>
                <w:sz w:val="13"/>
              </w:rPr>
            </w:pPr>
            <w:r>
              <w:rPr>
                <w:spacing w:val="-10"/>
                <w:sz w:val="13"/>
              </w:rPr>
              <w:t>-</w:t>
            </w:r>
          </w:p>
        </w:tc>
        <w:tc>
          <w:tcPr>
            <w:tcW w:w="900" w:type="dxa"/>
            <w:tcBorders>
              <w:bottom w:val="single" w:sz="6" w:space="0" w:color="000000"/>
            </w:tcBorders>
          </w:tcPr>
          <w:p>
            <w:pPr>
              <w:pStyle w:val="TableParagraph"/>
              <w:spacing w:line="129" w:lineRule="exact" w:before="5"/>
              <w:ind w:right="78"/>
              <w:jc w:val="right"/>
              <w:rPr>
                <w:sz w:val="13"/>
              </w:rPr>
            </w:pPr>
            <w:r>
              <w:rPr>
                <w:spacing w:val="-10"/>
                <w:sz w:val="13"/>
              </w:rPr>
              <w:t>-</w:t>
            </w:r>
          </w:p>
        </w:tc>
        <w:tc>
          <w:tcPr>
            <w:tcW w:w="949" w:type="dxa"/>
            <w:tcBorders>
              <w:bottom w:val="single" w:sz="6" w:space="0" w:color="000000"/>
            </w:tcBorders>
          </w:tcPr>
          <w:p>
            <w:pPr>
              <w:pStyle w:val="TableParagraph"/>
              <w:spacing w:line="129" w:lineRule="exact" w:before="5"/>
              <w:ind w:right="102"/>
              <w:jc w:val="right"/>
              <w:rPr>
                <w:sz w:val="13"/>
              </w:rPr>
            </w:pPr>
            <w:r>
              <w:rPr>
                <w:spacing w:val="-10"/>
                <w:sz w:val="13"/>
              </w:rPr>
              <w:t>-</w:t>
            </w:r>
          </w:p>
        </w:tc>
        <w:tc>
          <w:tcPr>
            <w:tcW w:w="954" w:type="dxa"/>
            <w:tcBorders>
              <w:bottom w:val="single" w:sz="6" w:space="0" w:color="000000"/>
            </w:tcBorders>
          </w:tcPr>
          <w:p>
            <w:pPr>
              <w:pStyle w:val="TableParagraph"/>
              <w:spacing w:line="129" w:lineRule="exact" w:before="5"/>
              <w:ind w:right="131"/>
              <w:jc w:val="right"/>
              <w:rPr>
                <w:sz w:val="13"/>
              </w:rPr>
            </w:pPr>
            <w:r>
              <w:rPr>
                <w:spacing w:val="-10"/>
                <w:sz w:val="13"/>
              </w:rPr>
              <w:t>-</w:t>
            </w:r>
          </w:p>
        </w:tc>
        <w:tc>
          <w:tcPr>
            <w:tcW w:w="858" w:type="dxa"/>
            <w:tcBorders>
              <w:bottom w:val="single" w:sz="6" w:space="0" w:color="000000"/>
            </w:tcBorders>
          </w:tcPr>
          <w:p>
            <w:pPr>
              <w:pStyle w:val="TableParagraph"/>
              <w:spacing w:line="129" w:lineRule="exact" w:before="5"/>
              <w:ind w:right="63"/>
              <w:jc w:val="right"/>
              <w:rPr>
                <w:sz w:val="13"/>
              </w:rPr>
            </w:pPr>
            <w:r>
              <w:rPr>
                <w:spacing w:val="-10"/>
                <w:sz w:val="13"/>
              </w:rPr>
              <w:t>-</w:t>
            </w:r>
          </w:p>
        </w:tc>
        <w:tc>
          <w:tcPr>
            <w:tcW w:w="929" w:type="dxa"/>
            <w:tcBorders>
              <w:bottom w:val="single" w:sz="6" w:space="0" w:color="000000"/>
            </w:tcBorders>
          </w:tcPr>
          <w:p>
            <w:pPr>
              <w:pStyle w:val="TableParagraph"/>
              <w:spacing w:line="129" w:lineRule="exact" w:before="5"/>
              <w:ind w:right="67"/>
              <w:jc w:val="right"/>
              <w:rPr>
                <w:sz w:val="13"/>
              </w:rPr>
            </w:pPr>
            <w:r>
              <w:rPr>
                <w:spacing w:val="-10"/>
                <w:sz w:val="13"/>
              </w:rPr>
              <w:t>-</w:t>
            </w:r>
          </w:p>
        </w:tc>
        <w:tc>
          <w:tcPr>
            <w:tcW w:w="995" w:type="dxa"/>
            <w:tcBorders>
              <w:bottom w:val="single" w:sz="6" w:space="0" w:color="000000"/>
            </w:tcBorders>
          </w:tcPr>
          <w:p>
            <w:pPr>
              <w:pStyle w:val="TableParagraph"/>
              <w:spacing w:line="129" w:lineRule="exact" w:before="5"/>
              <w:ind w:right="137"/>
              <w:jc w:val="right"/>
              <w:rPr>
                <w:sz w:val="13"/>
              </w:rPr>
            </w:pPr>
            <w:r>
              <w:rPr>
                <w:spacing w:val="-10"/>
                <w:sz w:val="13"/>
              </w:rPr>
              <w:t>-</w:t>
            </w:r>
          </w:p>
        </w:tc>
        <w:tc>
          <w:tcPr>
            <w:tcW w:w="804" w:type="dxa"/>
            <w:tcBorders>
              <w:bottom w:val="single" w:sz="6" w:space="0" w:color="000000"/>
            </w:tcBorders>
          </w:tcPr>
          <w:p>
            <w:pPr>
              <w:pStyle w:val="TableParagraph"/>
              <w:spacing w:line="129" w:lineRule="exact" w:before="5"/>
              <w:ind w:right="16"/>
              <w:jc w:val="right"/>
              <w:rPr>
                <w:sz w:val="13"/>
              </w:rPr>
            </w:pPr>
            <w:r>
              <w:rPr>
                <w:spacing w:val="-10"/>
                <w:sz w:val="13"/>
              </w:rPr>
              <w:t>-</w:t>
            </w:r>
          </w:p>
        </w:tc>
      </w:tr>
      <w:tr>
        <w:trPr>
          <w:trHeight w:val="145" w:hRule="atLeast"/>
        </w:trPr>
        <w:tc>
          <w:tcPr>
            <w:tcW w:w="553" w:type="dxa"/>
          </w:tcPr>
          <w:p>
            <w:pPr>
              <w:pStyle w:val="TableParagraph"/>
              <w:rPr>
                <w:rFonts w:ascii="Times New Roman"/>
                <w:sz w:val="8"/>
              </w:rPr>
            </w:pPr>
          </w:p>
        </w:tc>
        <w:tc>
          <w:tcPr>
            <w:tcW w:w="3229" w:type="dxa"/>
          </w:tcPr>
          <w:p>
            <w:pPr>
              <w:pStyle w:val="TableParagraph"/>
              <w:spacing w:line="126" w:lineRule="exact"/>
              <w:ind w:left="68"/>
              <w:rPr>
                <w:b/>
                <w:sz w:val="13"/>
              </w:rPr>
            </w:pPr>
            <w:r>
              <w:rPr>
                <w:b/>
                <w:sz w:val="13"/>
              </w:rPr>
              <w:t>Closing</w:t>
            </w:r>
            <w:r>
              <w:rPr>
                <w:b/>
                <w:spacing w:val="-1"/>
                <w:sz w:val="13"/>
              </w:rPr>
              <w:t> </w:t>
            </w:r>
            <w:r>
              <w:rPr>
                <w:b/>
                <w:sz w:val="13"/>
              </w:rPr>
              <w:t>net</w:t>
            </w:r>
            <w:r>
              <w:rPr>
                <w:b/>
                <w:spacing w:val="1"/>
                <w:sz w:val="13"/>
              </w:rPr>
              <w:t> </w:t>
            </w:r>
            <w:r>
              <w:rPr>
                <w:b/>
                <w:sz w:val="13"/>
              </w:rPr>
              <w:t>book </w:t>
            </w:r>
            <w:r>
              <w:rPr>
                <w:b/>
                <w:spacing w:val="-2"/>
                <w:sz w:val="13"/>
              </w:rPr>
              <w:t>value</w:t>
            </w:r>
          </w:p>
        </w:tc>
        <w:tc>
          <w:tcPr>
            <w:tcW w:w="596" w:type="dxa"/>
          </w:tcPr>
          <w:p>
            <w:pPr>
              <w:pStyle w:val="TableParagraph"/>
              <w:rPr>
                <w:rFonts w:ascii="Times New Roman"/>
                <w:sz w:val="8"/>
              </w:rPr>
            </w:pPr>
          </w:p>
        </w:tc>
        <w:tc>
          <w:tcPr>
            <w:tcW w:w="984" w:type="dxa"/>
            <w:tcBorders>
              <w:top w:val="single" w:sz="6" w:space="0" w:color="000000"/>
              <w:bottom w:val="single" w:sz="6" w:space="0" w:color="000000"/>
            </w:tcBorders>
          </w:tcPr>
          <w:p>
            <w:pPr>
              <w:pStyle w:val="TableParagraph"/>
              <w:spacing w:line="126" w:lineRule="exact"/>
              <w:ind w:right="126"/>
              <w:jc w:val="right"/>
              <w:rPr>
                <w:b/>
                <w:sz w:val="13"/>
              </w:rPr>
            </w:pPr>
            <w:r>
              <w:rPr>
                <w:b/>
                <w:spacing w:val="-2"/>
                <w:sz w:val="13"/>
              </w:rPr>
              <w:t>184,932</w:t>
            </w:r>
          </w:p>
        </w:tc>
        <w:tc>
          <w:tcPr>
            <w:tcW w:w="938" w:type="dxa"/>
            <w:tcBorders>
              <w:top w:val="single" w:sz="6" w:space="0" w:color="000000"/>
              <w:bottom w:val="single" w:sz="6" w:space="0" w:color="000000"/>
            </w:tcBorders>
          </w:tcPr>
          <w:p>
            <w:pPr>
              <w:pStyle w:val="TableParagraph"/>
              <w:spacing w:line="126" w:lineRule="exact"/>
              <w:ind w:right="139"/>
              <w:jc w:val="right"/>
              <w:rPr>
                <w:b/>
                <w:sz w:val="13"/>
              </w:rPr>
            </w:pPr>
            <w:r>
              <w:rPr>
                <w:b/>
                <w:spacing w:val="-2"/>
                <w:sz w:val="13"/>
              </w:rPr>
              <w:t>80,000</w:t>
            </w:r>
          </w:p>
        </w:tc>
        <w:tc>
          <w:tcPr>
            <w:tcW w:w="933" w:type="dxa"/>
            <w:tcBorders>
              <w:top w:val="single" w:sz="6" w:space="0" w:color="000000"/>
              <w:bottom w:val="single" w:sz="6" w:space="0" w:color="000000"/>
            </w:tcBorders>
          </w:tcPr>
          <w:p>
            <w:pPr>
              <w:pStyle w:val="TableParagraph"/>
              <w:spacing w:line="126" w:lineRule="exact"/>
              <w:ind w:right="146"/>
              <w:jc w:val="right"/>
              <w:rPr>
                <w:b/>
                <w:sz w:val="13"/>
              </w:rPr>
            </w:pPr>
            <w:r>
              <w:rPr>
                <w:b/>
                <w:spacing w:val="-2"/>
                <w:sz w:val="13"/>
              </w:rPr>
              <w:t>925,400</w:t>
            </w:r>
          </w:p>
        </w:tc>
        <w:tc>
          <w:tcPr>
            <w:tcW w:w="900" w:type="dxa"/>
            <w:tcBorders>
              <w:top w:val="single" w:sz="6" w:space="0" w:color="000000"/>
              <w:bottom w:val="single" w:sz="6" w:space="0" w:color="000000"/>
            </w:tcBorders>
          </w:tcPr>
          <w:p>
            <w:pPr>
              <w:pStyle w:val="TableParagraph"/>
              <w:spacing w:line="126" w:lineRule="exact"/>
              <w:ind w:right="121"/>
              <w:jc w:val="right"/>
              <w:rPr>
                <w:b/>
                <w:sz w:val="13"/>
              </w:rPr>
            </w:pPr>
            <w:r>
              <w:rPr>
                <w:b/>
                <w:spacing w:val="-2"/>
                <w:sz w:val="13"/>
              </w:rPr>
              <w:t>34,378</w:t>
            </w:r>
          </w:p>
        </w:tc>
        <w:tc>
          <w:tcPr>
            <w:tcW w:w="949" w:type="dxa"/>
            <w:tcBorders>
              <w:top w:val="single" w:sz="6" w:space="0" w:color="000000"/>
              <w:bottom w:val="single" w:sz="6" w:space="0" w:color="000000"/>
            </w:tcBorders>
          </w:tcPr>
          <w:p>
            <w:pPr>
              <w:pStyle w:val="TableParagraph"/>
              <w:spacing w:line="126" w:lineRule="exact"/>
              <w:ind w:right="145"/>
              <w:jc w:val="right"/>
              <w:rPr>
                <w:b/>
                <w:sz w:val="13"/>
              </w:rPr>
            </w:pPr>
            <w:r>
              <w:rPr>
                <w:b/>
                <w:spacing w:val="-2"/>
                <w:sz w:val="13"/>
              </w:rPr>
              <w:t>60,012</w:t>
            </w:r>
          </w:p>
        </w:tc>
        <w:tc>
          <w:tcPr>
            <w:tcW w:w="954" w:type="dxa"/>
            <w:tcBorders>
              <w:top w:val="single" w:sz="6" w:space="0" w:color="000000"/>
              <w:bottom w:val="single" w:sz="6" w:space="0" w:color="000000"/>
            </w:tcBorders>
          </w:tcPr>
          <w:p>
            <w:pPr>
              <w:pStyle w:val="TableParagraph"/>
              <w:spacing w:line="126" w:lineRule="exact"/>
              <w:ind w:right="174"/>
              <w:jc w:val="right"/>
              <w:rPr>
                <w:b/>
                <w:sz w:val="13"/>
              </w:rPr>
            </w:pPr>
            <w:r>
              <w:rPr>
                <w:b/>
                <w:spacing w:val="-2"/>
                <w:sz w:val="13"/>
              </w:rPr>
              <w:t>29,764</w:t>
            </w:r>
          </w:p>
        </w:tc>
        <w:tc>
          <w:tcPr>
            <w:tcW w:w="858" w:type="dxa"/>
            <w:tcBorders>
              <w:top w:val="single" w:sz="6" w:space="0" w:color="000000"/>
              <w:bottom w:val="single" w:sz="6" w:space="0" w:color="000000"/>
            </w:tcBorders>
          </w:tcPr>
          <w:p>
            <w:pPr>
              <w:pStyle w:val="TableParagraph"/>
              <w:spacing w:line="126" w:lineRule="exact"/>
              <w:ind w:right="107"/>
              <w:jc w:val="right"/>
              <w:rPr>
                <w:b/>
                <w:sz w:val="13"/>
              </w:rPr>
            </w:pPr>
            <w:r>
              <w:rPr>
                <w:b/>
                <w:spacing w:val="-2"/>
                <w:sz w:val="13"/>
              </w:rPr>
              <w:t>2,353</w:t>
            </w:r>
          </w:p>
        </w:tc>
        <w:tc>
          <w:tcPr>
            <w:tcW w:w="929" w:type="dxa"/>
            <w:tcBorders>
              <w:top w:val="single" w:sz="6" w:space="0" w:color="000000"/>
              <w:bottom w:val="single" w:sz="6" w:space="0" w:color="000000"/>
            </w:tcBorders>
          </w:tcPr>
          <w:p>
            <w:pPr>
              <w:pStyle w:val="TableParagraph"/>
              <w:spacing w:line="126" w:lineRule="exact"/>
              <w:ind w:right="111"/>
              <w:jc w:val="right"/>
              <w:rPr>
                <w:b/>
                <w:sz w:val="13"/>
              </w:rPr>
            </w:pPr>
            <w:r>
              <w:rPr>
                <w:b/>
                <w:spacing w:val="-2"/>
                <w:sz w:val="13"/>
              </w:rPr>
              <w:t>1,463</w:t>
            </w:r>
          </w:p>
        </w:tc>
        <w:tc>
          <w:tcPr>
            <w:tcW w:w="995" w:type="dxa"/>
            <w:tcBorders>
              <w:top w:val="single" w:sz="6" w:space="0" w:color="000000"/>
              <w:bottom w:val="single" w:sz="6" w:space="0" w:color="000000"/>
            </w:tcBorders>
          </w:tcPr>
          <w:p>
            <w:pPr>
              <w:pStyle w:val="TableParagraph"/>
              <w:spacing w:line="126" w:lineRule="exact"/>
              <w:ind w:right="180"/>
              <w:jc w:val="right"/>
              <w:rPr>
                <w:b/>
                <w:sz w:val="13"/>
              </w:rPr>
            </w:pPr>
            <w:r>
              <w:rPr>
                <w:b/>
                <w:spacing w:val="-2"/>
                <w:sz w:val="13"/>
              </w:rPr>
              <w:t>46,216</w:t>
            </w:r>
          </w:p>
        </w:tc>
        <w:tc>
          <w:tcPr>
            <w:tcW w:w="804" w:type="dxa"/>
            <w:tcBorders>
              <w:top w:val="single" w:sz="6" w:space="0" w:color="000000"/>
              <w:bottom w:val="single" w:sz="6" w:space="0" w:color="000000"/>
            </w:tcBorders>
          </w:tcPr>
          <w:p>
            <w:pPr>
              <w:pStyle w:val="TableParagraph"/>
              <w:spacing w:line="126" w:lineRule="exact"/>
              <w:ind w:left="154"/>
              <w:rPr>
                <w:b/>
                <w:sz w:val="13"/>
              </w:rPr>
            </w:pPr>
            <w:r>
              <w:rPr>
                <w:b/>
                <w:spacing w:val="-2"/>
                <w:sz w:val="13"/>
              </w:rPr>
              <w:t>1,364,518</w:t>
            </w:r>
          </w:p>
        </w:tc>
      </w:tr>
      <w:tr>
        <w:trPr>
          <w:trHeight w:val="474" w:hRule="atLeast"/>
        </w:trPr>
        <w:tc>
          <w:tcPr>
            <w:tcW w:w="553" w:type="dxa"/>
          </w:tcPr>
          <w:p>
            <w:pPr>
              <w:pStyle w:val="TableParagraph"/>
              <w:rPr>
                <w:rFonts w:ascii="Times New Roman"/>
                <w:sz w:val="12"/>
              </w:rPr>
            </w:pPr>
          </w:p>
        </w:tc>
        <w:tc>
          <w:tcPr>
            <w:tcW w:w="3229" w:type="dxa"/>
          </w:tcPr>
          <w:p>
            <w:pPr>
              <w:pStyle w:val="TableParagraph"/>
              <w:spacing w:before="6"/>
              <w:rPr>
                <w:b/>
                <w:sz w:val="13"/>
              </w:rPr>
            </w:pPr>
          </w:p>
          <w:p>
            <w:pPr>
              <w:pStyle w:val="TableParagraph"/>
              <w:ind w:left="68"/>
              <w:rPr>
                <w:b/>
                <w:sz w:val="13"/>
              </w:rPr>
            </w:pPr>
            <w:r>
              <w:rPr>
                <w:b/>
                <w:sz w:val="13"/>
              </w:rPr>
              <w:t>At 31 December </w:t>
            </w:r>
            <w:r>
              <w:rPr>
                <w:b/>
                <w:spacing w:val="-4"/>
                <w:sz w:val="13"/>
              </w:rPr>
              <w:t>2020</w:t>
            </w:r>
          </w:p>
          <w:p>
            <w:pPr>
              <w:pStyle w:val="TableParagraph"/>
              <w:spacing w:line="138" w:lineRule="exact" w:before="11"/>
              <w:ind w:left="68"/>
              <w:rPr>
                <w:sz w:val="13"/>
              </w:rPr>
            </w:pPr>
            <w:r>
              <w:rPr>
                <w:spacing w:val="-4"/>
                <w:sz w:val="13"/>
              </w:rPr>
              <w:t>Cost</w:t>
            </w:r>
          </w:p>
        </w:tc>
        <w:tc>
          <w:tcPr>
            <w:tcW w:w="596" w:type="dxa"/>
          </w:tcPr>
          <w:p>
            <w:pPr>
              <w:pStyle w:val="TableParagraph"/>
              <w:rPr>
                <w:rFonts w:ascii="Times New Roman"/>
                <w:sz w:val="12"/>
              </w:rPr>
            </w:pPr>
          </w:p>
        </w:tc>
        <w:tc>
          <w:tcPr>
            <w:tcW w:w="984" w:type="dxa"/>
            <w:tcBorders>
              <w:top w:val="single" w:sz="6" w:space="0" w:color="000000"/>
            </w:tcBorders>
          </w:tcPr>
          <w:p>
            <w:pPr>
              <w:pStyle w:val="TableParagraph"/>
              <w:rPr>
                <w:b/>
                <w:sz w:val="13"/>
              </w:rPr>
            </w:pPr>
          </w:p>
          <w:p>
            <w:pPr>
              <w:pStyle w:val="TableParagraph"/>
              <w:spacing w:before="19"/>
              <w:rPr>
                <w:b/>
                <w:sz w:val="13"/>
              </w:rPr>
            </w:pPr>
          </w:p>
          <w:p>
            <w:pPr>
              <w:pStyle w:val="TableParagraph"/>
              <w:spacing w:line="136" w:lineRule="exact"/>
              <w:ind w:right="126"/>
              <w:jc w:val="right"/>
              <w:rPr>
                <w:sz w:val="13"/>
              </w:rPr>
            </w:pPr>
            <w:r>
              <w:rPr>
                <w:spacing w:val="-2"/>
                <w:sz w:val="13"/>
              </w:rPr>
              <w:t>187,075</w:t>
            </w:r>
          </w:p>
        </w:tc>
        <w:tc>
          <w:tcPr>
            <w:tcW w:w="938" w:type="dxa"/>
            <w:tcBorders>
              <w:top w:val="single" w:sz="6" w:space="0" w:color="000000"/>
            </w:tcBorders>
          </w:tcPr>
          <w:p>
            <w:pPr>
              <w:pStyle w:val="TableParagraph"/>
              <w:rPr>
                <w:b/>
                <w:sz w:val="13"/>
              </w:rPr>
            </w:pPr>
          </w:p>
          <w:p>
            <w:pPr>
              <w:pStyle w:val="TableParagraph"/>
              <w:spacing w:before="19"/>
              <w:rPr>
                <w:b/>
                <w:sz w:val="13"/>
              </w:rPr>
            </w:pPr>
          </w:p>
          <w:p>
            <w:pPr>
              <w:pStyle w:val="TableParagraph"/>
              <w:spacing w:line="136" w:lineRule="exact"/>
              <w:ind w:right="139"/>
              <w:jc w:val="right"/>
              <w:rPr>
                <w:sz w:val="13"/>
              </w:rPr>
            </w:pPr>
            <w:r>
              <w:rPr>
                <w:spacing w:val="-2"/>
                <w:sz w:val="13"/>
              </w:rPr>
              <w:t>80,000</w:t>
            </w:r>
          </w:p>
        </w:tc>
        <w:tc>
          <w:tcPr>
            <w:tcW w:w="933" w:type="dxa"/>
            <w:tcBorders>
              <w:top w:val="single" w:sz="6" w:space="0" w:color="000000"/>
            </w:tcBorders>
          </w:tcPr>
          <w:p>
            <w:pPr>
              <w:pStyle w:val="TableParagraph"/>
              <w:rPr>
                <w:b/>
                <w:sz w:val="13"/>
              </w:rPr>
            </w:pPr>
          </w:p>
          <w:p>
            <w:pPr>
              <w:pStyle w:val="TableParagraph"/>
              <w:spacing w:before="19"/>
              <w:rPr>
                <w:b/>
                <w:sz w:val="13"/>
              </w:rPr>
            </w:pPr>
          </w:p>
          <w:p>
            <w:pPr>
              <w:pStyle w:val="TableParagraph"/>
              <w:spacing w:line="136" w:lineRule="exact"/>
              <w:ind w:right="147"/>
              <w:jc w:val="right"/>
              <w:rPr>
                <w:sz w:val="13"/>
              </w:rPr>
            </w:pPr>
            <w:r>
              <w:rPr>
                <w:spacing w:val="-2"/>
                <w:sz w:val="13"/>
              </w:rPr>
              <w:t>1,199,886</w:t>
            </w:r>
          </w:p>
        </w:tc>
        <w:tc>
          <w:tcPr>
            <w:tcW w:w="900" w:type="dxa"/>
            <w:tcBorders>
              <w:top w:val="single" w:sz="6" w:space="0" w:color="000000"/>
            </w:tcBorders>
          </w:tcPr>
          <w:p>
            <w:pPr>
              <w:pStyle w:val="TableParagraph"/>
              <w:rPr>
                <w:b/>
                <w:sz w:val="13"/>
              </w:rPr>
            </w:pPr>
          </w:p>
          <w:p>
            <w:pPr>
              <w:pStyle w:val="TableParagraph"/>
              <w:spacing w:before="19"/>
              <w:rPr>
                <w:b/>
                <w:sz w:val="13"/>
              </w:rPr>
            </w:pPr>
          </w:p>
          <w:p>
            <w:pPr>
              <w:pStyle w:val="TableParagraph"/>
              <w:spacing w:line="136" w:lineRule="exact"/>
              <w:ind w:right="121"/>
              <w:jc w:val="right"/>
              <w:rPr>
                <w:sz w:val="13"/>
              </w:rPr>
            </w:pPr>
            <w:r>
              <w:rPr>
                <w:spacing w:val="-2"/>
                <w:sz w:val="13"/>
              </w:rPr>
              <w:t>35,252</w:t>
            </w:r>
          </w:p>
        </w:tc>
        <w:tc>
          <w:tcPr>
            <w:tcW w:w="949" w:type="dxa"/>
            <w:tcBorders>
              <w:top w:val="single" w:sz="6" w:space="0" w:color="000000"/>
            </w:tcBorders>
          </w:tcPr>
          <w:p>
            <w:pPr>
              <w:pStyle w:val="TableParagraph"/>
              <w:rPr>
                <w:b/>
                <w:sz w:val="13"/>
              </w:rPr>
            </w:pPr>
          </w:p>
          <w:p>
            <w:pPr>
              <w:pStyle w:val="TableParagraph"/>
              <w:spacing w:before="19"/>
              <w:rPr>
                <w:b/>
                <w:sz w:val="13"/>
              </w:rPr>
            </w:pPr>
          </w:p>
          <w:p>
            <w:pPr>
              <w:pStyle w:val="TableParagraph"/>
              <w:spacing w:line="136" w:lineRule="exact"/>
              <w:ind w:right="145"/>
              <w:jc w:val="right"/>
              <w:rPr>
                <w:sz w:val="13"/>
              </w:rPr>
            </w:pPr>
            <w:r>
              <w:rPr>
                <w:spacing w:val="-2"/>
                <w:sz w:val="13"/>
              </w:rPr>
              <w:t>287,007</w:t>
            </w:r>
          </w:p>
        </w:tc>
        <w:tc>
          <w:tcPr>
            <w:tcW w:w="954" w:type="dxa"/>
            <w:tcBorders>
              <w:top w:val="single" w:sz="6" w:space="0" w:color="000000"/>
            </w:tcBorders>
          </w:tcPr>
          <w:p>
            <w:pPr>
              <w:pStyle w:val="TableParagraph"/>
              <w:rPr>
                <w:b/>
                <w:sz w:val="13"/>
              </w:rPr>
            </w:pPr>
          </w:p>
          <w:p>
            <w:pPr>
              <w:pStyle w:val="TableParagraph"/>
              <w:spacing w:before="19"/>
              <w:rPr>
                <w:b/>
                <w:sz w:val="13"/>
              </w:rPr>
            </w:pPr>
          </w:p>
          <w:p>
            <w:pPr>
              <w:pStyle w:val="TableParagraph"/>
              <w:spacing w:line="136" w:lineRule="exact"/>
              <w:ind w:right="174"/>
              <w:jc w:val="right"/>
              <w:rPr>
                <w:sz w:val="13"/>
              </w:rPr>
            </w:pPr>
            <w:r>
              <w:rPr>
                <w:spacing w:val="-2"/>
                <w:sz w:val="13"/>
              </w:rPr>
              <w:t>29,764</w:t>
            </w:r>
          </w:p>
        </w:tc>
        <w:tc>
          <w:tcPr>
            <w:tcW w:w="858" w:type="dxa"/>
            <w:tcBorders>
              <w:top w:val="single" w:sz="6" w:space="0" w:color="000000"/>
            </w:tcBorders>
          </w:tcPr>
          <w:p>
            <w:pPr>
              <w:pStyle w:val="TableParagraph"/>
              <w:rPr>
                <w:b/>
                <w:sz w:val="13"/>
              </w:rPr>
            </w:pPr>
          </w:p>
          <w:p>
            <w:pPr>
              <w:pStyle w:val="TableParagraph"/>
              <w:spacing w:before="19"/>
              <w:rPr>
                <w:b/>
                <w:sz w:val="13"/>
              </w:rPr>
            </w:pPr>
          </w:p>
          <w:p>
            <w:pPr>
              <w:pStyle w:val="TableParagraph"/>
              <w:spacing w:line="136" w:lineRule="exact"/>
              <w:ind w:right="107"/>
              <w:jc w:val="right"/>
              <w:rPr>
                <w:sz w:val="13"/>
              </w:rPr>
            </w:pPr>
            <w:r>
              <w:rPr>
                <w:spacing w:val="-2"/>
                <w:sz w:val="13"/>
              </w:rPr>
              <w:t>11,055</w:t>
            </w:r>
          </w:p>
        </w:tc>
        <w:tc>
          <w:tcPr>
            <w:tcW w:w="929" w:type="dxa"/>
            <w:tcBorders>
              <w:top w:val="single" w:sz="6" w:space="0" w:color="000000"/>
            </w:tcBorders>
          </w:tcPr>
          <w:p>
            <w:pPr>
              <w:pStyle w:val="TableParagraph"/>
              <w:rPr>
                <w:b/>
                <w:sz w:val="13"/>
              </w:rPr>
            </w:pPr>
          </w:p>
          <w:p>
            <w:pPr>
              <w:pStyle w:val="TableParagraph"/>
              <w:spacing w:before="19"/>
              <w:rPr>
                <w:b/>
                <w:sz w:val="13"/>
              </w:rPr>
            </w:pPr>
          </w:p>
          <w:p>
            <w:pPr>
              <w:pStyle w:val="TableParagraph"/>
              <w:spacing w:line="136" w:lineRule="exact"/>
              <w:ind w:right="111"/>
              <w:jc w:val="right"/>
              <w:rPr>
                <w:sz w:val="13"/>
              </w:rPr>
            </w:pPr>
            <w:r>
              <w:rPr>
                <w:spacing w:val="-2"/>
                <w:sz w:val="13"/>
              </w:rPr>
              <w:t>2,384</w:t>
            </w:r>
          </w:p>
        </w:tc>
        <w:tc>
          <w:tcPr>
            <w:tcW w:w="995" w:type="dxa"/>
            <w:tcBorders>
              <w:top w:val="single" w:sz="6" w:space="0" w:color="000000"/>
            </w:tcBorders>
          </w:tcPr>
          <w:p>
            <w:pPr>
              <w:pStyle w:val="TableParagraph"/>
              <w:rPr>
                <w:b/>
                <w:sz w:val="13"/>
              </w:rPr>
            </w:pPr>
          </w:p>
          <w:p>
            <w:pPr>
              <w:pStyle w:val="TableParagraph"/>
              <w:spacing w:before="19"/>
              <w:rPr>
                <w:b/>
                <w:sz w:val="13"/>
              </w:rPr>
            </w:pPr>
          </w:p>
          <w:p>
            <w:pPr>
              <w:pStyle w:val="TableParagraph"/>
              <w:spacing w:line="136" w:lineRule="exact"/>
              <w:ind w:right="180"/>
              <w:jc w:val="right"/>
              <w:rPr>
                <w:sz w:val="13"/>
              </w:rPr>
            </w:pPr>
            <w:r>
              <w:rPr>
                <w:spacing w:val="-2"/>
                <w:sz w:val="13"/>
              </w:rPr>
              <w:t>67,234</w:t>
            </w:r>
          </w:p>
        </w:tc>
        <w:tc>
          <w:tcPr>
            <w:tcW w:w="804" w:type="dxa"/>
            <w:tcBorders>
              <w:top w:val="single" w:sz="6" w:space="0" w:color="000000"/>
            </w:tcBorders>
          </w:tcPr>
          <w:p>
            <w:pPr>
              <w:pStyle w:val="TableParagraph"/>
              <w:rPr>
                <w:b/>
                <w:sz w:val="13"/>
              </w:rPr>
            </w:pPr>
          </w:p>
          <w:p>
            <w:pPr>
              <w:pStyle w:val="TableParagraph"/>
              <w:spacing w:before="19"/>
              <w:rPr>
                <w:b/>
                <w:sz w:val="13"/>
              </w:rPr>
            </w:pPr>
          </w:p>
          <w:p>
            <w:pPr>
              <w:pStyle w:val="TableParagraph"/>
              <w:spacing w:line="136" w:lineRule="exact"/>
              <w:ind w:left="154"/>
              <w:rPr>
                <w:sz w:val="13"/>
              </w:rPr>
            </w:pPr>
            <w:r>
              <w:rPr>
                <w:spacing w:val="-2"/>
                <w:sz w:val="13"/>
              </w:rPr>
              <w:t>1,899,657</w:t>
            </w:r>
          </w:p>
        </w:tc>
      </w:tr>
      <w:tr>
        <w:trPr>
          <w:trHeight w:val="160" w:hRule="atLeast"/>
        </w:trPr>
        <w:tc>
          <w:tcPr>
            <w:tcW w:w="553" w:type="dxa"/>
          </w:tcPr>
          <w:p>
            <w:pPr>
              <w:pStyle w:val="TableParagraph"/>
              <w:rPr>
                <w:rFonts w:ascii="Times New Roman"/>
                <w:sz w:val="10"/>
              </w:rPr>
            </w:pPr>
          </w:p>
        </w:tc>
        <w:tc>
          <w:tcPr>
            <w:tcW w:w="3229" w:type="dxa"/>
          </w:tcPr>
          <w:p>
            <w:pPr>
              <w:pStyle w:val="TableParagraph"/>
              <w:spacing w:line="138" w:lineRule="exact" w:before="3"/>
              <w:ind w:left="68"/>
              <w:rPr>
                <w:sz w:val="13"/>
              </w:rPr>
            </w:pPr>
            <w:r>
              <w:rPr>
                <w:sz w:val="13"/>
              </w:rPr>
              <w:t>Accumulated</w:t>
            </w:r>
            <w:r>
              <w:rPr>
                <w:spacing w:val="4"/>
                <w:sz w:val="13"/>
              </w:rPr>
              <w:t> </w:t>
            </w:r>
            <w:r>
              <w:rPr>
                <w:spacing w:val="-2"/>
                <w:sz w:val="13"/>
              </w:rPr>
              <w:t>depreciation</w:t>
            </w:r>
          </w:p>
        </w:tc>
        <w:tc>
          <w:tcPr>
            <w:tcW w:w="596" w:type="dxa"/>
          </w:tcPr>
          <w:p>
            <w:pPr>
              <w:pStyle w:val="TableParagraph"/>
              <w:rPr>
                <w:rFonts w:ascii="Times New Roman"/>
                <w:sz w:val="10"/>
              </w:rPr>
            </w:pPr>
          </w:p>
        </w:tc>
        <w:tc>
          <w:tcPr>
            <w:tcW w:w="984" w:type="dxa"/>
          </w:tcPr>
          <w:p>
            <w:pPr>
              <w:pStyle w:val="TableParagraph"/>
              <w:spacing w:line="136" w:lineRule="exact" w:before="5"/>
              <w:ind w:right="82"/>
              <w:jc w:val="right"/>
              <w:rPr>
                <w:sz w:val="13"/>
              </w:rPr>
            </w:pPr>
            <w:r>
              <w:rPr>
                <w:spacing w:val="-10"/>
                <w:sz w:val="13"/>
              </w:rPr>
              <w:t>-</w:t>
            </w:r>
          </w:p>
        </w:tc>
        <w:tc>
          <w:tcPr>
            <w:tcW w:w="938" w:type="dxa"/>
          </w:tcPr>
          <w:p>
            <w:pPr>
              <w:pStyle w:val="TableParagraph"/>
              <w:spacing w:line="136" w:lineRule="exact" w:before="5"/>
              <w:ind w:right="95"/>
              <w:jc w:val="right"/>
              <w:rPr>
                <w:sz w:val="13"/>
              </w:rPr>
            </w:pPr>
            <w:r>
              <w:rPr>
                <w:spacing w:val="-10"/>
                <w:sz w:val="13"/>
              </w:rPr>
              <w:t>-</w:t>
            </w:r>
          </w:p>
        </w:tc>
        <w:tc>
          <w:tcPr>
            <w:tcW w:w="933" w:type="dxa"/>
          </w:tcPr>
          <w:p>
            <w:pPr>
              <w:pStyle w:val="TableParagraph"/>
              <w:spacing w:line="136" w:lineRule="exact" w:before="5"/>
              <w:ind w:right="102"/>
              <w:jc w:val="right"/>
              <w:rPr>
                <w:sz w:val="13"/>
              </w:rPr>
            </w:pPr>
            <w:r>
              <w:rPr>
                <w:spacing w:val="-2"/>
                <w:sz w:val="13"/>
              </w:rPr>
              <w:t>(260,124)</w:t>
            </w:r>
          </w:p>
        </w:tc>
        <w:tc>
          <w:tcPr>
            <w:tcW w:w="900" w:type="dxa"/>
          </w:tcPr>
          <w:p>
            <w:pPr>
              <w:pStyle w:val="TableParagraph"/>
              <w:spacing w:line="136" w:lineRule="exact" w:before="5"/>
              <w:ind w:right="77"/>
              <w:jc w:val="right"/>
              <w:rPr>
                <w:sz w:val="13"/>
              </w:rPr>
            </w:pPr>
            <w:r>
              <w:rPr>
                <w:spacing w:val="-10"/>
                <w:sz w:val="13"/>
              </w:rPr>
              <w:t>-</w:t>
            </w:r>
          </w:p>
        </w:tc>
        <w:tc>
          <w:tcPr>
            <w:tcW w:w="949" w:type="dxa"/>
          </w:tcPr>
          <w:p>
            <w:pPr>
              <w:pStyle w:val="TableParagraph"/>
              <w:spacing w:line="136" w:lineRule="exact" w:before="5"/>
              <w:ind w:right="101"/>
              <w:jc w:val="right"/>
              <w:rPr>
                <w:sz w:val="13"/>
              </w:rPr>
            </w:pPr>
            <w:r>
              <w:rPr>
                <w:spacing w:val="-2"/>
                <w:sz w:val="13"/>
              </w:rPr>
              <w:t>(226,995)</w:t>
            </w:r>
          </w:p>
        </w:tc>
        <w:tc>
          <w:tcPr>
            <w:tcW w:w="954" w:type="dxa"/>
          </w:tcPr>
          <w:p>
            <w:pPr>
              <w:pStyle w:val="TableParagraph"/>
              <w:spacing w:line="136" w:lineRule="exact" w:before="5"/>
              <w:ind w:right="130"/>
              <w:jc w:val="right"/>
              <w:rPr>
                <w:sz w:val="13"/>
              </w:rPr>
            </w:pPr>
            <w:r>
              <w:rPr>
                <w:spacing w:val="-10"/>
                <w:sz w:val="13"/>
              </w:rPr>
              <w:t>-</w:t>
            </w:r>
          </w:p>
        </w:tc>
        <w:tc>
          <w:tcPr>
            <w:tcW w:w="858" w:type="dxa"/>
          </w:tcPr>
          <w:p>
            <w:pPr>
              <w:pStyle w:val="TableParagraph"/>
              <w:spacing w:line="136" w:lineRule="exact" w:before="5"/>
              <w:ind w:right="62"/>
              <w:jc w:val="right"/>
              <w:rPr>
                <w:sz w:val="13"/>
              </w:rPr>
            </w:pPr>
            <w:r>
              <w:rPr>
                <w:spacing w:val="-2"/>
                <w:sz w:val="13"/>
              </w:rPr>
              <w:t>(8,702)</w:t>
            </w:r>
          </w:p>
        </w:tc>
        <w:tc>
          <w:tcPr>
            <w:tcW w:w="929" w:type="dxa"/>
          </w:tcPr>
          <w:p>
            <w:pPr>
              <w:pStyle w:val="TableParagraph"/>
              <w:spacing w:line="136" w:lineRule="exact" w:before="5"/>
              <w:ind w:right="66"/>
              <w:jc w:val="right"/>
              <w:rPr>
                <w:sz w:val="13"/>
              </w:rPr>
            </w:pPr>
            <w:r>
              <w:rPr>
                <w:spacing w:val="-2"/>
                <w:sz w:val="13"/>
              </w:rPr>
              <w:t>(921)</w:t>
            </w:r>
          </w:p>
        </w:tc>
        <w:tc>
          <w:tcPr>
            <w:tcW w:w="995" w:type="dxa"/>
          </w:tcPr>
          <w:p>
            <w:pPr>
              <w:pStyle w:val="TableParagraph"/>
              <w:spacing w:line="136" w:lineRule="exact" w:before="5"/>
              <w:ind w:right="136"/>
              <w:jc w:val="right"/>
              <w:rPr>
                <w:sz w:val="13"/>
              </w:rPr>
            </w:pPr>
            <w:r>
              <w:rPr>
                <w:spacing w:val="-10"/>
                <w:sz w:val="13"/>
              </w:rPr>
              <w:t>-</w:t>
            </w:r>
          </w:p>
        </w:tc>
        <w:tc>
          <w:tcPr>
            <w:tcW w:w="804" w:type="dxa"/>
          </w:tcPr>
          <w:p>
            <w:pPr>
              <w:pStyle w:val="TableParagraph"/>
              <w:spacing w:line="136" w:lineRule="exact" w:before="5"/>
              <w:ind w:right="15"/>
              <w:jc w:val="right"/>
              <w:rPr>
                <w:sz w:val="13"/>
              </w:rPr>
            </w:pPr>
            <w:r>
              <w:rPr>
                <w:spacing w:val="-2"/>
                <w:sz w:val="13"/>
              </w:rPr>
              <w:t>(496,742)</w:t>
            </w:r>
          </w:p>
        </w:tc>
      </w:tr>
      <w:tr>
        <w:trPr>
          <w:trHeight w:val="154" w:hRule="atLeast"/>
        </w:trPr>
        <w:tc>
          <w:tcPr>
            <w:tcW w:w="553" w:type="dxa"/>
          </w:tcPr>
          <w:p>
            <w:pPr>
              <w:pStyle w:val="TableParagraph"/>
              <w:rPr>
                <w:rFonts w:ascii="Times New Roman"/>
                <w:sz w:val="8"/>
              </w:rPr>
            </w:pPr>
          </w:p>
        </w:tc>
        <w:tc>
          <w:tcPr>
            <w:tcW w:w="3229" w:type="dxa"/>
          </w:tcPr>
          <w:p>
            <w:pPr>
              <w:pStyle w:val="TableParagraph"/>
              <w:spacing w:line="131" w:lineRule="exact" w:before="3"/>
              <w:ind w:left="68"/>
              <w:rPr>
                <w:sz w:val="13"/>
              </w:rPr>
            </w:pPr>
            <w:r>
              <w:rPr>
                <w:sz w:val="13"/>
              </w:rPr>
              <w:t>Accumulated</w:t>
            </w:r>
            <w:r>
              <w:rPr>
                <w:spacing w:val="4"/>
                <w:sz w:val="13"/>
              </w:rPr>
              <w:t> </w:t>
            </w:r>
            <w:r>
              <w:rPr>
                <w:spacing w:val="-2"/>
                <w:sz w:val="13"/>
              </w:rPr>
              <w:t>impairment</w:t>
            </w:r>
          </w:p>
        </w:tc>
        <w:tc>
          <w:tcPr>
            <w:tcW w:w="596" w:type="dxa"/>
          </w:tcPr>
          <w:p>
            <w:pPr>
              <w:pStyle w:val="TableParagraph"/>
              <w:rPr>
                <w:rFonts w:ascii="Times New Roman"/>
                <w:sz w:val="8"/>
              </w:rPr>
            </w:pPr>
          </w:p>
        </w:tc>
        <w:tc>
          <w:tcPr>
            <w:tcW w:w="984" w:type="dxa"/>
            <w:tcBorders>
              <w:bottom w:val="single" w:sz="6" w:space="0" w:color="000000"/>
            </w:tcBorders>
          </w:tcPr>
          <w:p>
            <w:pPr>
              <w:pStyle w:val="TableParagraph"/>
              <w:spacing w:line="129" w:lineRule="exact" w:before="5"/>
              <w:ind w:right="81"/>
              <w:jc w:val="right"/>
              <w:rPr>
                <w:sz w:val="13"/>
              </w:rPr>
            </w:pPr>
            <w:r>
              <w:rPr>
                <w:spacing w:val="-2"/>
                <w:sz w:val="13"/>
              </w:rPr>
              <w:t>(2,143)</w:t>
            </w:r>
          </w:p>
        </w:tc>
        <w:tc>
          <w:tcPr>
            <w:tcW w:w="938" w:type="dxa"/>
            <w:tcBorders>
              <w:bottom w:val="single" w:sz="6" w:space="0" w:color="000000"/>
            </w:tcBorders>
          </w:tcPr>
          <w:p>
            <w:pPr>
              <w:pStyle w:val="TableParagraph"/>
              <w:spacing w:line="129" w:lineRule="exact" w:before="5"/>
              <w:ind w:right="95"/>
              <w:jc w:val="right"/>
              <w:rPr>
                <w:sz w:val="13"/>
              </w:rPr>
            </w:pPr>
            <w:r>
              <w:rPr>
                <w:spacing w:val="-10"/>
                <w:sz w:val="13"/>
              </w:rPr>
              <w:t>-</w:t>
            </w:r>
          </w:p>
        </w:tc>
        <w:tc>
          <w:tcPr>
            <w:tcW w:w="933" w:type="dxa"/>
            <w:tcBorders>
              <w:bottom w:val="single" w:sz="6" w:space="0" w:color="000000"/>
            </w:tcBorders>
          </w:tcPr>
          <w:p>
            <w:pPr>
              <w:pStyle w:val="TableParagraph"/>
              <w:spacing w:line="129" w:lineRule="exact" w:before="5"/>
              <w:ind w:right="102"/>
              <w:jc w:val="right"/>
              <w:rPr>
                <w:sz w:val="13"/>
              </w:rPr>
            </w:pPr>
            <w:r>
              <w:rPr>
                <w:spacing w:val="-2"/>
                <w:sz w:val="13"/>
              </w:rPr>
              <w:t>(14,362)</w:t>
            </w:r>
          </w:p>
        </w:tc>
        <w:tc>
          <w:tcPr>
            <w:tcW w:w="900" w:type="dxa"/>
            <w:tcBorders>
              <w:bottom w:val="single" w:sz="6" w:space="0" w:color="000000"/>
            </w:tcBorders>
          </w:tcPr>
          <w:p>
            <w:pPr>
              <w:pStyle w:val="TableParagraph"/>
              <w:spacing w:line="129" w:lineRule="exact" w:before="5"/>
              <w:ind w:right="77"/>
              <w:jc w:val="right"/>
              <w:rPr>
                <w:sz w:val="13"/>
              </w:rPr>
            </w:pPr>
            <w:r>
              <w:rPr>
                <w:spacing w:val="-2"/>
                <w:sz w:val="13"/>
              </w:rPr>
              <w:t>(874)</w:t>
            </w:r>
          </w:p>
        </w:tc>
        <w:tc>
          <w:tcPr>
            <w:tcW w:w="949" w:type="dxa"/>
            <w:tcBorders>
              <w:bottom w:val="single" w:sz="6" w:space="0" w:color="000000"/>
            </w:tcBorders>
          </w:tcPr>
          <w:p>
            <w:pPr>
              <w:pStyle w:val="TableParagraph"/>
              <w:spacing w:line="129" w:lineRule="exact" w:before="5"/>
              <w:ind w:right="101"/>
              <w:jc w:val="right"/>
              <w:rPr>
                <w:sz w:val="13"/>
              </w:rPr>
            </w:pPr>
            <w:r>
              <w:rPr>
                <w:spacing w:val="-10"/>
                <w:sz w:val="13"/>
              </w:rPr>
              <w:t>-</w:t>
            </w:r>
          </w:p>
        </w:tc>
        <w:tc>
          <w:tcPr>
            <w:tcW w:w="954" w:type="dxa"/>
            <w:tcBorders>
              <w:bottom w:val="single" w:sz="6" w:space="0" w:color="000000"/>
            </w:tcBorders>
          </w:tcPr>
          <w:p>
            <w:pPr>
              <w:pStyle w:val="TableParagraph"/>
              <w:spacing w:line="129" w:lineRule="exact" w:before="5"/>
              <w:ind w:right="130"/>
              <w:jc w:val="right"/>
              <w:rPr>
                <w:sz w:val="13"/>
              </w:rPr>
            </w:pPr>
            <w:r>
              <w:rPr>
                <w:spacing w:val="-10"/>
                <w:sz w:val="13"/>
              </w:rPr>
              <w:t>-</w:t>
            </w:r>
          </w:p>
        </w:tc>
        <w:tc>
          <w:tcPr>
            <w:tcW w:w="858" w:type="dxa"/>
            <w:tcBorders>
              <w:bottom w:val="single" w:sz="6" w:space="0" w:color="000000"/>
            </w:tcBorders>
          </w:tcPr>
          <w:p>
            <w:pPr>
              <w:pStyle w:val="TableParagraph"/>
              <w:spacing w:line="129" w:lineRule="exact" w:before="5"/>
              <w:ind w:right="63"/>
              <w:jc w:val="right"/>
              <w:rPr>
                <w:sz w:val="13"/>
              </w:rPr>
            </w:pPr>
            <w:r>
              <w:rPr>
                <w:spacing w:val="-10"/>
                <w:sz w:val="13"/>
              </w:rPr>
              <w:t>-</w:t>
            </w:r>
          </w:p>
        </w:tc>
        <w:tc>
          <w:tcPr>
            <w:tcW w:w="929" w:type="dxa"/>
            <w:tcBorders>
              <w:bottom w:val="single" w:sz="6" w:space="0" w:color="000000"/>
            </w:tcBorders>
          </w:tcPr>
          <w:p>
            <w:pPr>
              <w:pStyle w:val="TableParagraph"/>
              <w:spacing w:line="129" w:lineRule="exact" w:before="5"/>
              <w:ind w:right="66"/>
              <w:jc w:val="right"/>
              <w:rPr>
                <w:sz w:val="13"/>
              </w:rPr>
            </w:pPr>
            <w:r>
              <w:rPr>
                <w:spacing w:val="-10"/>
                <w:sz w:val="13"/>
              </w:rPr>
              <w:t>-</w:t>
            </w:r>
          </w:p>
        </w:tc>
        <w:tc>
          <w:tcPr>
            <w:tcW w:w="995" w:type="dxa"/>
            <w:tcBorders>
              <w:bottom w:val="single" w:sz="6" w:space="0" w:color="000000"/>
            </w:tcBorders>
          </w:tcPr>
          <w:p>
            <w:pPr>
              <w:pStyle w:val="TableParagraph"/>
              <w:spacing w:line="129" w:lineRule="exact" w:before="5"/>
              <w:ind w:right="136"/>
              <w:jc w:val="right"/>
              <w:rPr>
                <w:sz w:val="13"/>
              </w:rPr>
            </w:pPr>
            <w:r>
              <w:rPr>
                <w:spacing w:val="-2"/>
                <w:sz w:val="13"/>
              </w:rPr>
              <w:t>(21,018)</w:t>
            </w:r>
          </w:p>
        </w:tc>
        <w:tc>
          <w:tcPr>
            <w:tcW w:w="804" w:type="dxa"/>
            <w:tcBorders>
              <w:bottom w:val="single" w:sz="6" w:space="0" w:color="000000"/>
            </w:tcBorders>
          </w:tcPr>
          <w:p>
            <w:pPr>
              <w:pStyle w:val="TableParagraph"/>
              <w:spacing w:line="129" w:lineRule="exact" w:before="5"/>
              <w:ind w:right="15"/>
              <w:jc w:val="right"/>
              <w:rPr>
                <w:sz w:val="13"/>
              </w:rPr>
            </w:pPr>
            <w:r>
              <w:rPr>
                <w:spacing w:val="-2"/>
                <w:sz w:val="13"/>
              </w:rPr>
              <w:t>(38,397)</w:t>
            </w:r>
          </w:p>
        </w:tc>
      </w:tr>
      <w:tr>
        <w:trPr>
          <w:trHeight w:val="146" w:hRule="atLeast"/>
        </w:trPr>
        <w:tc>
          <w:tcPr>
            <w:tcW w:w="553" w:type="dxa"/>
            <w:tcBorders>
              <w:bottom w:val="single" w:sz="12" w:space="0" w:color="000000"/>
            </w:tcBorders>
          </w:tcPr>
          <w:p>
            <w:pPr>
              <w:pStyle w:val="TableParagraph"/>
              <w:rPr>
                <w:rFonts w:ascii="Times New Roman"/>
                <w:sz w:val="8"/>
              </w:rPr>
            </w:pPr>
          </w:p>
        </w:tc>
        <w:tc>
          <w:tcPr>
            <w:tcW w:w="3229" w:type="dxa"/>
            <w:tcBorders>
              <w:bottom w:val="single" w:sz="12" w:space="0" w:color="000000"/>
            </w:tcBorders>
          </w:tcPr>
          <w:p>
            <w:pPr>
              <w:pStyle w:val="TableParagraph"/>
              <w:spacing w:line="126" w:lineRule="exact"/>
              <w:ind w:left="68"/>
              <w:rPr>
                <w:b/>
                <w:sz w:val="13"/>
              </w:rPr>
            </w:pPr>
            <w:r>
              <w:rPr>
                <w:b/>
                <w:sz w:val="13"/>
              </w:rPr>
              <w:t>Net</w:t>
            </w:r>
            <w:r>
              <w:rPr>
                <w:b/>
                <w:spacing w:val="1"/>
                <w:sz w:val="13"/>
              </w:rPr>
              <w:t> </w:t>
            </w:r>
            <w:r>
              <w:rPr>
                <w:b/>
                <w:sz w:val="13"/>
              </w:rPr>
              <w:t>book</w:t>
            </w:r>
            <w:r>
              <w:rPr>
                <w:b/>
                <w:spacing w:val="1"/>
                <w:sz w:val="13"/>
              </w:rPr>
              <w:t> </w:t>
            </w:r>
            <w:r>
              <w:rPr>
                <w:b/>
                <w:spacing w:val="-2"/>
                <w:sz w:val="13"/>
              </w:rPr>
              <w:t>value</w:t>
            </w:r>
          </w:p>
        </w:tc>
        <w:tc>
          <w:tcPr>
            <w:tcW w:w="596" w:type="dxa"/>
            <w:tcBorders>
              <w:bottom w:val="single" w:sz="12" w:space="0" w:color="000000"/>
            </w:tcBorders>
          </w:tcPr>
          <w:p>
            <w:pPr>
              <w:pStyle w:val="TableParagraph"/>
              <w:rPr>
                <w:rFonts w:ascii="Times New Roman"/>
                <w:sz w:val="8"/>
              </w:rPr>
            </w:pPr>
          </w:p>
        </w:tc>
        <w:tc>
          <w:tcPr>
            <w:tcW w:w="984" w:type="dxa"/>
            <w:tcBorders>
              <w:top w:val="single" w:sz="6" w:space="0" w:color="000000"/>
              <w:bottom w:val="single" w:sz="12" w:space="0" w:color="000000"/>
            </w:tcBorders>
          </w:tcPr>
          <w:p>
            <w:pPr>
              <w:pStyle w:val="TableParagraph"/>
              <w:spacing w:line="123" w:lineRule="exact" w:before="3"/>
              <w:ind w:right="126"/>
              <w:jc w:val="right"/>
              <w:rPr>
                <w:b/>
                <w:sz w:val="13"/>
              </w:rPr>
            </w:pPr>
            <w:r>
              <w:rPr>
                <w:b/>
                <w:spacing w:val="-2"/>
                <w:sz w:val="13"/>
              </w:rPr>
              <w:t>184,932</w:t>
            </w:r>
          </w:p>
        </w:tc>
        <w:tc>
          <w:tcPr>
            <w:tcW w:w="938" w:type="dxa"/>
            <w:tcBorders>
              <w:top w:val="single" w:sz="6" w:space="0" w:color="000000"/>
              <w:bottom w:val="single" w:sz="12" w:space="0" w:color="000000"/>
            </w:tcBorders>
          </w:tcPr>
          <w:p>
            <w:pPr>
              <w:pStyle w:val="TableParagraph"/>
              <w:spacing w:line="123" w:lineRule="exact" w:before="3"/>
              <w:ind w:right="139"/>
              <w:jc w:val="right"/>
              <w:rPr>
                <w:b/>
                <w:sz w:val="13"/>
              </w:rPr>
            </w:pPr>
            <w:r>
              <w:rPr>
                <w:b/>
                <w:spacing w:val="-2"/>
                <w:sz w:val="13"/>
              </w:rPr>
              <w:t>80,000</w:t>
            </w:r>
          </w:p>
        </w:tc>
        <w:tc>
          <w:tcPr>
            <w:tcW w:w="933" w:type="dxa"/>
            <w:tcBorders>
              <w:top w:val="single" w:sz="6" w:space="0" w:color="000000"/>
              <w:bottom w:val="single" w:sz="12" w:space="0" w:color="000000"/>
            </w:tcBorders>
          </w:tcPr>
          <w:p>
            <w:pPr>
              <w:pStyle w:val="TableParagraph"/>
              <w:spacing w:line="123" w:lineRule="exact" w:before="3"/>
              <w:ind w:right="146"/>
              <w:jc w:val="right"/>
              <w:rPr>
                <w:b/>
                <w:sz w:val="13"/>
              </w:rPr>
            </w:pPr>
            <w:r>
              <w:rPr>
                <w:b/>
                <w:spacing w:val="-2"/>
                <w:sz w:val="13"/>
              </w:rPr>
              <w:t>925,400</w:t>
            </w:r>
          </w:p>
        </w:tc>
        <w:tc>
          <w:tcPr>
            <w:tcW w:w="900" w:type="dxa"/>
            <w:tcBorders>
              <w:top w:val="single" w:sz="6" w:space="0" w:color="000000"/>
              <w:bottom w:val="single" w:sz="12" w:space="0" w:color="000000"/>
            </w:tcBorders>
          </w:tcPr>
          <w:p>
            <w:pPr>
              <w:pStyle w:val="TableParagraph"/>
              <w:spacing w:line="123" w:lineRule="exact" w:before="3"/>
              <w:ind w:right="121"/>
              <w:jc w:val="right"/>
              <w:rPr>
                <w:b/>
                <w:sz w:val="13"/>
              </w:rPr>
            </w:pPr>
            <w:r>
              <w:rPr>
                <w:b/>
                <w:spacing w:val="-2"/>
                <w:sz w:val="13"/>
              </w:rPr>
              <w:t>34,378</w:t>
            </w:r>
          </w:p>
        </w:tc>
        <w:tc>
          <w:tcPr>
            <w:tcW w:w="949" w:type="dxa"/>
            <w:tcBorders>
              <w:top w:val="single" w:sz="6" w:space="0" w:color="000000"/>
              <w:bottom w:val="single" w:sz="12" w:space="0" w:color="000000"/>
            </w:tcBorders>
          </w:tcPr>
          <w:p>
            <w:pPr>
              <w:pStyle w:val="TableParagraph"/>
              <w:spacing w:line="123" w:lineRule="exact" w:before="3"/>
              <w:ind w:right="145"/>
              <w:jc w:val="right"/>
              <w:rPr>
                <w:b/>
                <w:sz w:val="13"/>
              </w:rPr>
            </w:pPr>
            <w:r>
              <w:rPr>
                <w:b/>
                <w:spacing w:val="-2"/>
                <w:sz w:val="13"/>
              </w:rPr>
              <w:t>60,012</w:t>
            </w:r>
          </w:p>
        </w:tc>
        <w:tc>
          <w:tcPr>
            <w:tcW w:w="954" w:type="dxa"/>
            <w:tcBorders>
              <w:top w:val="single" w:sz="6" w:space="0" w:color="000000"/>
              <w:bottom w:val="single" w:sz="12" w:space="0" w:color="000000"/>
            </w:tcBorders>
          </w:tcPr>
          <w:p>
            <w:pPr>
              <w:pStyle w:val="TableParagraph"/>
              <w:spacing w:line="123" w:lineRule="exact" w:before="3"/>
              <w:ind w:right="174"/>
              <w:jc w:val="right"/>
              <w:rPr>
                <w:b/>
                <w:sz w:val="13"/>
              </w:rPr>
            </w:pPr>
            <w:r>
              <w:rPr>
                <w:b/>
                <w:spacing w:val="-2"/>
                <w:sz w:val="13"/>
              </w:rPr>
              <w:t>29,764</w:t>
            </w:r>
          </w:p>
        </w:tc>
        <w:tc>
          <w:tcPr>
            <w:tcW w:w="858" w:type="dxa"/>
            <w:tcBorders>
              <w:top w:val="single" w:sz="6" w:space="0" w:color="000000"/>
              <w:bottom w:val="single" w:sz="12" w:space="0" w:color="000000"/>
            </w:tcBorders>
          </w:tcPr>
          <w:p>
            <w:pPr>
              <w:pStyle w:val="TableParagraph"/>
              <w:spacing w:line="123" w:lineRule="exact" w:before="3"/>
              <w:ind w:right="107"/>
              <w:jc w:val="right"/>
              <w:rPr>
                <w:b/>
                <w:sz w:val="13"/>
              </w:rPr>
            </w:pPr>
            <w:r>
              <w:rPr>
                <w:b/>
                <w:spacing w:val="-2"/>
                <w:sz w:val="13"/>
              </w:rPr>
              <w:t>2,353</w:t>
            </w:r>
          </w:p>
        </w:tc>
        <w:tc>
          <w:tcPr>
            <w:tcW w:w="929" w:type="dxa"/>
            <w:tcBorders>
              <w:top w:val="single" w:sz="6" w:space="0" w:color="000000"/>
              <w:bottom w:val="single" w:sz="12" w:space="0" w:color="000000"/>
            </w:tcBorders>
          </w:tcPr>
          <w:p>
            <w:pPr>
              <w:pStyle w:val="TableParagraph"/>
              <w:spacing w:line="123" w:lineRule="exact" w:before="3"/>
              <w:ind w:right="111"/>
              <w:jc w:val="right"/>
              <w:rPr>
                <w:b/>
                <w:sz w:val="13"/>
              </w:rPr>
            </w:pPr>
            <w:r>
              <w:rPr>
                <w:b/>
                <w:spacing w:val="-2"/>
                <w:sz w:val="13"/>
              </w:rPr>
              <w:t>1,463</w:t>
            </w:r>
          </w:p>
        </w:tc>
        <w:tc>
          <w:tcPr>
            <w:tcW w:w="995" w:type="dxa"/>
            <w:tcBorders>
              <w:top w:val="single" w:sz="6" w:space="0" w:color="000000"/>
              <w:bottom w:val="single" w:sz="12" w:space="0" w:color="000000"/>
            </w:tcBorders>
          </w:tcPr>
          <w:p>
            <w:pPr>
              <w:pStyle w:val="TableParagraph"/>
              <w:spacing w:line="123" w:lineRule="exact" w:before="3"/>
              <w:ind w:right="180"/>
              <w:jc w:val="right"/>
              <w:rPr>
                <w:b/>
                <w:sz w:val="13"/>
              </w:rPr>
            </w:pPr>
            <w:r>
              <w:rPr>
                <w:b/>
                <w:spacing w:val="-2"/>
                <w:sz w:val="13"/>
              </w:rPr>
              <w:t>46,216</w:t>
            </w:r>
          </w:p>
        </w:tc>
        <w:tc>
          <w:tcPr>
            <w:tcW w:w="804" w:type="dxa"/>
            <w:tcBorders>
              <w:top w:val="single" w:sz="6" w:space="0" w:color="000000"/>
              <w:bottom w:val="single" w:sz="12" w:space="0" w:color="000000"/>
            </w:tcBorders>
          </w:tcPr>
          <w:p>
            <w:pPr>
              <w:pStyle w:val="TableParagraph"/>
              <w:spacing w:line="123" w:lineRule="exact" w:before="3"/>
              <w:ind w:left="154"/>
              <w:rPr>
                <w:b/>
                <w:sz w:val="13"/>
              </w:rPr>
            </w:pPr>
            <w:r>
              <w:rPr>
                <w:b/>
                <w:spacing w:val="-2"/>
                <w:sz w:val="13"/>
              </w:rPr>
              <w:t>1,364,518</w:t>
            </w:r>
          </w:p>
        </w:tc>
      </w:tr>
    </w:tbl>
    <w:p>
      <w:pPr>
        <w:spacing w:after="0" w:line="123" w:lineRule="exact"/>
        <w:rPr>
          <w:sz w:val="13"/>
        </w:rPr>
        <w:sectPr>
          <w:headerReference w:type="default" r:id="rId110"/>
          <w:pgSz w:w="16840" w:h="11910" w:orient="landscape"/>
          <w:pgMar w:header="0" w:footer="0" w:top="1040" w:bottom="280" w:left="1160" w:right="1820"/>
        </w:sectPr>
      </w:pPr>
    </w:p>
    <w:p>
      <w:pPr>
        <w:spacing w:before="76"/>
        <w:ind w:left="145" w:right="0" w:firstLine="0"/>
        <w:jc w:val="left"/>
        <w:rPr>
          <w:sz w:val="21"/>
        </w:rPr>
      </w:pPr>
      <w:r>
        <w:rPr/>
        <mc:AlternateContent>
          <mc:Choice Requires="wps">
            <w:drawing>
              <wp:anchor distT="0" distB="0" distL="0" distR="0" allowOverlap="1" layoutInCell="1" locked="0" behindDoc="0" simplePos="0" relativeHeight="15892480">
                <wp:simplePos x="0" y="0"/>
                <wp:positionH relativeFrom="page">
                  <wp:posOffset>10213244</wp:posOffset>
                </wp:positionH>
                <wp:positionV relativeFrom="page">
                  <wp:posOffset>271233</wp:posOffset>
                </wp:positionV>
                <wp:extent cx="194310" cy="179705"/>
                <wp:effectExtent l="0" t="0" r="0" b="0"/>
                <wp:wrapNone/>
                <wp:docPr id="933" name="Textbox 933"/>
                <wp:cNvGraphicFramePr>
                  <a:graphicFrameLocks/>
                </wp:cNvGraphicFramePr>
                <a:graphic>
                  <a:graphicData uri="http://schemas.microsoft.com/office/word/2010/wordprocessingShape">
                    <wps:wsp>
                      <wps:cNvPr id="933" name="Textbox 933"/>
                      <wps:cNvSpPr txBox="1"/>
                      <wps:spPr>
                        <a:xfrm>
                          <a:off x="0" y="0"/>
                          <a:ext cx="194310" cy="179705"/>
                        </a:xfrm>
                        <a:prstGeom prst="rect">
                          <a:avLst/>
                        </a:prstGeom>
                      </wps:spPr>
                      <wps:txbx>
                        <w:txbxContent>
                          <w:p>
                            <w:pPr>
                              <w:spacing w:before="48"/>
                              <w:ind w:left="20" w:right="0" w:firstLine="0"/>
                              <w:jc w:val="left"/>
                              <w:rPr>
                                <w:rFonts w:ascii="TT Norms Pro"/>
                                <w:b/>
                                <w:sz w:val="20"/>
                              </w:rPr>
                            </w:pPr>
                            <w:r>
                              <w:rPr>
                                <w:rFonts w:ascii="TT Norms Pro"/>
                                <w:b/>
                                <w:spacing w:val="-5"/>
                                <w:sz w:val="20"/>
                              </w:rPr>
                              <w:t>92</w:t>
                            </w:r>
                          </w:p>
                        </w:txbxContent>
                      </wps:txbx>
                      <wps:bodyPr wrap="square" lIns="0" tIns="0" rIns="0" bIns="0" rtlCol="0" vert="vert">
                        <a:noAutofit/>
                      </wps:bodyPr>
                    </wps:wsp>
                  </a:graphicData>
                </a:graphic>
              </wp:anchor>
            </w:drawing>
          </mc:Choice>
          <mc:Fallback>
            <w:pict>
              <v:shape style="position:absolute;margin-left:804.192505pt;margin-top:21.357pt;width:15.3pt;height:14.15pt;mso-position-horizontal-relative:page;mso-position-vertical-relative:page;z-index:15892480" type="#_x0000_t202" id="docshape626" filled="false" stroked="false">
                <v:textbox inset="0,0,0,0" style="layout-flow:vertical">
                  <w:txbxContent>
                    <w:p>
                      <w:pPr>
                        <w:spacing w:before="48"/>
                        <w:ind w:left="20" w:right="0" w:firstLine="0"/>
                        <w:jc w:val="left"/>
                        <w:rPr>
                          <w:rFonts w:ascii="TT Norms Pro"/>
                          <w:b/>
                          <w:sz w:val="20"/>
                        </w:rPr>
                      </w:pPr>
                      <w:r>
                        <w:rPr>
                          <w:rFonts w:ascii="TT Norms Pro"/>
                          <w:b/>
                          <w:spacing w:val="-5"/>
                          <w:sz w:val="20"/>
                        </w:rPr>
                        <w:t>92</w:t>
                      </w:r>
                    </w:p>
                  </w:txbxContent>
                </v:textbox>
                <w10:wrap type="none"/>
              </v:shape>
            </w:pict>
          </mc:Fallback>
        </mc:AlternateContent>
      </w:r>
      <w:r>
        <w:rPr/>
        <mc:AlternateContent>
          <mc:Choice Requires="wps">
            <w:drawing>
              <wp:anchor distT="0" distB="0" distL="0" distR="0" allowOverlap="1" layoutInCell="1" locked="0" behindDoc="0" simplePos="0" relativeHeight="15892992">
                <wp:simplePos x="0" y="0"/>
                <wp:positionH relativeFrom="page">
                  <wp:posOffset>10216291</wp:posOffset>
                </wp:positionH>
                <wp:positionV relativeFrom="page">
                  <wp:posOffset>702699</wp:posOffset>
                </wp:positionV>
                <wp:extent cx="177800" cy="2551430"/>
                <wp:effectExtent l="0" t="0" r="0" b="0"/>
                <wp:wrapNone/>
                <wp:docPr id="934" name="Textbox 934"/>
                <wp:cNvGraphicFramePr>
                  <a:graphicFrameLocks/>
                </wp:cNvGraphicFramePr>
                <a:graphic>
                  <a:graphicData uri="http://schemas.microsoft.com/office/word/2010/wordprocessingShape">
                    <wps:wsp>
                      <wps:cNvPr id="934" name="Textbox 934"/>
                      <wps:cNvSpPr txBox="1"/>
                      <wps:spPr>
                        <a:xfrm>
                          <a:off x="0" y="0"/>
                          <a:ext cx="177800" cy="2551430"/>
                        </a:xfrm>
                        <a:prstGeom prst="rect">
                          <a:avLst/>
                        </a:prstGeom>
                      </wps:spPr>
                      <wps:txbx>
                        <w:txbxContent>
                          <w:p>
                            <w:pPr>
                              <w:spacing w:before="45"/>
                              <w:ind w:left="20" w:right="0" w:firstLine="0"/>
                              <w:jc w:val="left"/>
                              <w:rPr>
                                <w:rFonts w:ascii="TT Norms Pro"/>
                                <w:b/>
                                <w:sz w:val="18"/>
                              </w:rPr>
                            </w:pPr>
                            <w:r>
                              <w:rPr>
                                <w:rFonts w:ascii="TT Norms Pro"/>
                                <w:sz w:val="18"/>
                              </w:rPr>
                              <w:t>The</w:t>
                            </w:r>
                            <w:r>
                              <w:rPr>
                                <w:rFonts w:ascii="TT Norms Pro"/>
                                <w:spacing w:val="-3"/>
                                <w:sz w:val="18"/>
                              </w:rPr>
                              <w:t> </w:t>
                            </w:r>
                            <w:r>
                              <w:rPr>
                                <w:rFonts w:ascii="TT Norms Pro"/>
                                <w:sz w:val="18"/>
                              </w:rPr>
                              <w:t>University</w:t>
                            </w:r>
                            <w:r>
                              <w:rPr>
                                <w:rFonts w:ascii="TT Norms Pro"/>
                                <w:spacing w:val="-6"/>
                                <w:sz w:val="18"/>
                              </w:rPr>
                              <w:t> </w:t>
                            </w:r>
                            <w:r>
                              <w:rPr>
                                <w:rFonts w:ascii="TT Norms Pro"/>
                                <w:sz w:val="18"/>
                              </w:rPr>
                              <w:t>of</w:t>
                            </w:r>
                            <w:r>
                              <w:rPr>
                                <w:rFonts w:ascii="TT Norms Pro"/>
                                <w:spacing w:val="-8"/>
                                <w:sz w:val="18"/>
                              </w:rPr>
                              <w:t> </w:t>
                            </w:r>
                            <w:r>
                              <w:rPr>
                                <w:rFonts w:ascii="TT Norms Pro"/>
                                <w:sz w:val="18"/>
                              </w:rPr>
                              <w:t>Western</w:t>
                            </w:r>
                            <w:r>
                              <w:rPr>
                                <w:rFonts w:ascii="TT Norms Pro"/>
                                <w:spacing w:val="-8"/>
                                <w:sz w:val="18"/>
                              </w:rPr>
                              <w:t> </w:t>
                            </w:r>
                            <w:r>
                              <w:rPr>
                                <w:rFonts w:ascii="TT Norms Pro"/>
                                <w:sz w:val="18"/>
                              </w:rPr>
                              <w:t>Australia</w:t>
                            </w:r>
                            <w:r>
                              <w:rPr>
                                <w:rFonts w:ascii="TT Norms Pro"/>
                                <w:spacing w:val="46"/>
                                <w:sz w:val="18"/>
                              </w:rPr>
                              <w:t> </w:t>
                            </w:r>
                            <w:r>
                              <w:rPr>
                                <w:rFonts w:ascii="TT Norms Pro Light"/>
                                <w:b w:val="0"/>
                                <w:sz w:val="18"/>
                              </w:rPr>
                              <w:t>|</w:t>
                            </w:r>
                            <w:r>
                              <w:rPr>
                                <w:rFonts w:ascii="TT Norms Pro Light"/>
                                <w:b w:val="0"/>
                                <w:spacing w:val="49"/>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804.432373pt;margin-top:55.3307pt;width:14pt;height:200.9pt;mso-position-horizontal-relative:page;mso-position-vertical-relative:page;z-index:15892992" type="#_x0000_t202" id="docshape627" filled="false" stroked="false">
                <v:textbox inset="0,0,0,0" style="layout-flow:vertical">
                  <w:txbxContent>
                    <w:p>
                      <w:pPr>
                        <w:spacing w:before="45"/>
                        <w:ind w:left="20" w:right="0" w:firstLine="0"/>
                        <w:jc w:val="left"/>
                        <w:rPr>
                          <w:rFonts w:ascii="TT Norms Pro"/>
                          <w:b/>
                          <w:sz w:val="18"/>
                        </w:rPr>
                      </w:pPr>
                      <w:r>
                        <w:rPr>
                          <w:rFonts w:ascii="TT Norms Pro"/>
                          <w:sz w:val="18"/>
                        </w:rPr>
                        <w:t>The</w:t>
                      </w:r>
                      <w:r>
                        <w:rPr>
                          <w:rFonts w:ascii="TT Norms Pro"/>
                          <w:spacing w:val="-3"/>
                          <w:sz w:val="18"/>
                        </w:rPr>
                        <w:t> </w:t>
                      </w:r>
                      <w:r>
                        <w:rPr>
                          <w:rFonts w:ascii="TT Norms Pro"/>
                          <w:sz w:val="18"/>
                        </w:rPr>
                        <w:t>University</w:t>
                      </w:r>
                      <w:r>
                        <w:rPr>
                          <w:rFonts w:ascii="TT Norms Pro"/>
                          <w:spacing w:val="-6"/>
                          <w:sz w:val="18"/>
                        </w:rPr>
                        <w:t> </w:t>
                      </w:r>
                      <w:r>
                        <w:rPr>
                          <w:rFonts w:ascii="TT Norms Pro"/>
                          <w:sz w:val="18"/>
                        </w:rPr>
                        <w:t>of</w:t>
                      </w:r>
                      <w:r>
                        <w:rPr>
                          <w:rFonts w:ascii="TT Norms Pro"/>
                          <w:spacing w:val="-8"/>
                          <w:sz w:val="18"/>
                        </w:rPr>
                        <w:t> </w:t>
                      </w:r>
                      <w:r>
                        <w:rPr>
                          <w:rFonts w:ascii="TT Norms Pro"/>
                          <w:sz w:val="18"/>
                        </w:rPr>
                        <w:t>Western</w:t>
                      </w:r>
                      <w:r>
                        <w:rPr>
                          <w:rFonts w:ascii="TT Norms Pro"/>
                          <w:spacing w:val="-8"/>
                          <w:sz w:val="18"/>
                        </w:rPr>
                        <w:t> </w:t>
                      </w:r>
                      <w:r>
                        <w:rPr>
                          <w:rFonts w:ascii="TT Norms Pro"/>
                          <w:sz w:val="18"/>
                        </w:rPr>
                        <w:t>Australia</w:t>
                      </w:r>
                      <w:r>
                        <w:rPr>
                          <w:rFonts w:ascii="TT Norms Pro"/>
                          <w:spacing w:val="46"/>
                          <w:sz w:val="18"/>
                        </w:rPr>
                        <w:t> </w:t>
                      </w:r>
                      <w:r>
                        <w:rPr>
                          <w:rFonts w:ascii="TT Norms Pro Light"/>
                          <w:b w:val="0"/>
                          <w:sz w:val="18"/>
                        </w:rPr>
                        <w:t>|</w:t>
                      </w:r>
                      <w:r>
                        <w:rPr>
                          <w:rFonts w:ascii="TT Norms Pro Light"/>
                          <w:b w:val="0"/>
                          <w:spacing w:val="49"/>
                          <w:sz w:val="18"/>
                        </w:rPr>
                        <w:t> </w:t>
                      </w:r>
                      <w:r>
                        <w:rPr>
                          <w:rFonts w:ascii="TT Norms Pro"/>
                          <w:b/>
                          <w:spacing w:val="-2"/>
                          <w:sz w:val="18"/>
                        </w:rPr>
                        <w:t>uwa.edu.au</w:t>
                      </w:r>
                    </w:p>
                  </w:txbxContent>
                </v:textbox>
                <w10:wrap type="none"/>
              </v:shape>
            </w:pict>
          </mc:Fallback>
        </mc:AlternateContent>
      </w:r>
      <w:r>
        <w:rPr>
          <w:color w:val="0070C0"/>
          <w:sz w:val="21"/>
        </w:rPr>
        <w:t>NOTES</w:t>
      </w:r>
      <w:r>
        <w:rPr>
          <w:color w:val="0070C0"/>
          <w:spacing w:val="5"/>
          <w:sz w:val="21"/>
        </w:rPr>
        <w:t> </w:t>
      </w:r>
      <w:r>
        <w:rPr>
          <w:color w:val="0070C0"/>
          <w:sz w:val="21"/>
        </w:rPr>
        <w:t>TO</w:t>
      </w:r>
      <w:r>
        <w:rPr>
          <w:color w:val="0070C0"/>
          <w:spacing w:val="6"/>
          <w:sz w:val="21"/>
        </w:rPr>
        <w:t> </w:t>
      </w:r>
      <w:r>
        <w:rPr>
          <w:color w:val="0070C0"/>
          <w:sz w:val="21"/>
        </w:rPr>
        <w:t>THE</w:t>
      </w:r>
      <w:r>
        <w:rPr>
          <w:color w:val="0070C0"/>
          <w:spacing w:val="5"/>
          <w:sz w:val="21"/>
        </w:rPr>
        <w:t> </w:t>
      </w:r>
      <w:r>
        <w:rPr>
          <w:color w:val="0070C0"/>
          <w:sz w:val="21"/>
        </w:rPr>
        <w:t>FINANCIAL</w:t>
      </w:r>
      <w:r>
        <w:rPr>
          <w:color w:val="0070C0"/>
          <w:spacing w:val="7"/>
          <w:sz w:val="21"/>
        </w:rPr>
        <w:t> </w:t>
      </w:r>
      <w:r>
        <w:rPr>
          <w:color w:val="0070C0"/>
          <w:spacing w:val="-2"/>
          <w:sz w:val="21"/>
        </w:rPr>
        <w:t>STATEMENTS</w:t>
      </w:r>
    </w:p>
    <w:p>
      <w:pPr>
        <w:spacing w:before="24"/>
        <w:ind w:left="131" w:right="0" w:firstLine="0"/>
        <w:jc w:val="left"/>
        <w:rPr>
          <w:sz w:val="12"/>
        </w:rPr>
      </w:pPr>
      <w:r>
        <w:rPr>
          <w:spacing w:val="-2"/>
          <w:sz w:val="12"/>
        </w:rPr>
        <w:t>for</w:t>
      </w:r>
      <w:r>
        <w:rPr>
          <w:spacing w:val="-3"/>
          <w:sz w:val="12"/>
        </w:rPr>
        <w:t> </w:t>
      </w:r>
      <w:r>
        <w:rPr>
          <w:spacing w:val="-2"/>
          <w:sz w:val="12"/>
        </w:rPr>
        <w:t>the</w:t>
      </w:r>
      <w:r>
        <w:rPr>
          <w:spacing w:val="-3"/>
          <w:sz w:val="12"/>
        </w:rPr>
        <w:t> </w:t>
      </w:r>
      <w:r>
        <w:rPr>
          <w:spacing w:val="-2"/>
          <w:sz w:val="12"/>
        </w:rPr>
        <w:t>year</w:t>
      </w:r>
      <w:r>
        <w:rPr>
          <w:spacing w:val="-3"/>
          <w:sz w:val="12"/>
        </w:rPr>
        <w:t> </w:t>
      </w:r>
      <w:r>
        <w:rPr>
          <w:spacing w:val="-2"/>
          <w:sz w:val="12"/>
        </w:rPr>
        <w:t>ended</w:t>
      </w:r>
      <w:r>
        <w:rPr>
          <w:spacing w:val="-3"/>
          <w:sz w:val="12"/>
        </w:rPr>
        <w:t> </w:t>
      </w:r>
      <w:r>
        <w:rPr>
          <w:spacing w:val="-2"/>
          <w:sz w:val="12"/>
        </w:rPr>
        <w:t>31</w:t>
      </w:r>
      <w:r>
        <w:rPr>
          <w:spacing w:val="-3"/>
          <w:sz w:val="12"/>
        </w:rPr>
        <w:t> </w:t>
      </w:r>
      <w:r>
        <w:rPr>
          <w:spacing w:val="-2"/>
          <w:sz w:val="12"/>
        </w:rPr>
        <w:t>December</w:t>
      </w:r>
      <w:r>
        <w:rPr>
          <w:spacing w:val="-3"/>
          <w:sz w:val="12"/>
        </w:rPr>
        <w:t> </w:t>
      </w:r>
      <w:r>
        <w:rPr>
          <w:spacing w:val="-4"/>
          <w:sz w:val="12"/>
        </w:rPr>
        <w:t>2020</w:t>
      </w:r>
    </w:p>
    <w:p>
      <w:pPr>
        <w:pStyle w:val="ListParagraph"/>
        <w:numPr>
          <w:ilvl w:val="1"/>
          <w:numId w:val="24"/>
        </w:numPr>
        <w:tabs>
          <w:tab w:pos="730" w:val="left" w:leader="none"/>
        </w:tabs>
        <w:spacing w:line="240" w:lineRule="auto" w:before="176" w:after="0"/>
        <w:ind w:left="730" w:right="0" w:hanging="594"/>
        <w:jc w:val="left"/>
        <w:rPr>
          <w:b/>
          <w:sz w:val="16"/>
        </w:rPr>
      </w:pPr>
      <w:r>
        <w:rPr>
          <w:b/>
          <w:color w:val="0070C0"/>
          <w:sz w:val="16"/>
        </w:rPr>
        <w:t>Property,</w:t>
      </w:r>
      <w:r>
        <w:rPr>
          <w:b/>
          <w:color w:val="0070C0"/>
          <w:spacing w:val="-11"/>
          <w:sz w:val="16"/>
        </w:rPr>
        <w:t> </w:t>
      </w:r>
      <w:r>
        <w:rPr>
          <w:b/>
          <w:color w:val="0070C0"/>
          <w:sz w:val="16"/>
        </w:rPr>
        <w:t>plant</w:t>
      </w:r>
      <w:r>
        <w:rPr>
          <w:b/>
          <w:color w:val="0070C0"/>
          <w:spacing w:val="-9"/>
          <w:sz w:val="16"/>
        </w:rPr>
        <w:t> </w:t>
      </w:r>
      <w:r>
        <w:rPr>
          <w:b/>
          <w:color w:val="0070C0"/>
          <w:sz w:val="16"/>
        </w:rPr>
        <w:t>and</w:t>
      </w:r>
      <w:r>
        <w:rPr>
          <w:b/>
          <w:color w:val="0070C0"/>
          <w:spacing w:val="-11"/>
          <w:sz w:val="16"/>
        </w:rPr>
        <w:t> </w:t>
      </w:r>
      <w:r>
        <w:rPr>
          <w:b/>
          <w:color w:val="0070C0"/>
          <w:sz w:val="16"/>
        </w:rPr>
        <w:t>equipment</w:t>
      </w:r>
      <w:r>
        <w:rPr>
          <w:b/>
          <w:color w:val="0070C0"/>
          <w:spacing w:val="-9"/>
          <w:sz w:val="16"/>
        </w:rPr>
        <w:t> </w:t>
      </w:r>
      <w:r>
        <w:rPr>
          <w:b/>
          <w:color w:val="0070C0"/>
          <w:sz w:val="16"/>
        </w:rPr>
        <w:t>and</w:t>
      </w:r>
      <w:r>
        <w:rPr>
          <w:b/>
          <w:color w:val="0070C0"/>
          <w:spacing w:val="-11"/>
          <w:sz w:val="16"/>
        </w:rPr>
        <w:t> </w:t>
      </w:r>
      <w:r>
        <w:rPr>
          <w:b/>
          <w:color w:val="0070C0"/>
          <w:sz w:val="16"/>
        </w:rPr>
        <w:t>Assets</w:t>
      </w:r>
      <w:r>
        <w:rPr>
          <w:b/>
          <w:color w:val="0070C0"/>
          <w:spacing w:val="-11"/>
          <w:sz w:val="16"/>
        </w:rPr>
        <w:t> </w:t>
      </w:r>
      <w:r>
        <w:rPr>
          <w:b/>
          <w:color w:val="0070C0"/>
          <w:sz w:val="16"/>
        </w:rPr>
        <w:t>classified</w:t>
      </w:r>
      <w:r>
        <w:rPr>
          <w:b/>
          <w:color w:val="0070C0"/>
          <w:spacing w:val="-11"/>
          <w:sz w:val="16"/>
        </w:rPr>
        <w:t> </w:t>
      </w:r>
      <w:r>
        <w:rPr>
          <w:b/>
          <w:color w:val="0070C0"/>
          <w:sz w:val="16"/>
        </w:rPr>
        <w:t>as</w:t>
      </w:r>
      <w:r>
        <w:rPr>
          <w:b/>
          <w:color w:val="0070C0"/>
          <w:spacing w:val="-11"/>
          <w:sz w:val="16"/>
        </w:rPr>
        <w:t> </w:t>
      </w:r>
      <w:r>
        <w:rPr>
          <w:b/>
          <w:color w:val="0070C0"/>
          <w:sz w:val="16"/>
        </w:rPr>
        <w:t>held</w:t>
      </w:r>
      <w:r>
        <w:rPr>
          <w:b/>
          <w:color w:val="0070C0"/>
          <w:spacing w:val="-11"/>
          <w:sz w:val="16"/>
        </w:rPr>
        <w:t> </w:t>
      </w:r>
      <w:r>
        <w:rPr>
          <w:b/>
          <w:color w:val="0070C0"/>
          <w:sz w:val="16"/>
        </w:rPr>
        <w:t>for</w:t>
      </w:r>
      <w:r>
        <w:rPr>
          <w:b/>
          <w:color w:val="0070C0"/>
          <w:spacing w:val="-9"/>
          <w:sz w:val="16"/>
        </w:rPr>
        <w:t> </w:t>
      </w:r>
      <w:r>
        <w:rPr>
          <w:b/>
          <w:color w:val="0070C0"/>
          <w:spacing w:val="-4"/>
          <w:sz w:val="16"/>
        </w:rPr>
        <w:t>sale</w:t>
      </w:r>
    </w:p>
    <w:p>
      <w:pPr>
        <w:spacing w:line="240" w:lineRule="auto" w:before="2" w:after="1"/>
        <w:rPr>
          <w:b/>
          <w:sz w:val="16"/>
        </w:rPr>
      </w:pPr>
    </w:p>
    <w:tbl>
      <w:tblPr>
        <w:tblW w:w="0" w:type="auto"/>
        <w:jc w:val="left"/>
        <w:tblInd w:w="1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53"/>
        <w:gridCol w:w="3231"/>
        <w:gridCol w:w="596"/>
        <w:gridCol w:w="984"/>
        <w:gridCol w:w="938"/>
        <w:gridCol w:w="933"/>
        <w:gridCol w:w="900"/>
        <w:gridCol w:w="949"/>
        <w:gridCol w:w="955"/>
        <w:gridCol w:w="859"/>
        <w:gridCol w:w="930"/>
        <w:gridCol w:w="996"/>
        <w:gridCol w:w="805"/>
      </w:tblGrid>
      <w:tr>
        <w:trPr>
          <w:trHeight w:val="382" w:hRule="atLeast"/>
        </w:trPr>
        <w:tc>
          <w:tcPr>
            <w:tcW w:w="553" w:type="dxa"/>
          </w:tcPr>
          <w:p>
            <w:pPr>
              <w:pStyle w:val="TableParagraph"/>
              <w:spacing w:before="27"/>
              <w:ind w:left="29"/>
              <w:rPr>
                <w:b/>
                <w:sz w:val="16"/>
              </w:rPr>
            </w:pPr>
            <w:r>
              <w:rPr>
                <w:b/>
                <w:color w:val="0070C0"/>
                <w:sz w:val="16"/>
              </w:rPr>
              <w:t>5.5</w:t>
            </w:r>
            <w:r>
              <w:rPr>
                <w:b/>
                <w:color w:val="0070C0"/>
                <w:spacing w:val="-6"/>
                <w:sz w:val="16"/>
              </w:rPr>
              <w:t> </w:t>
            </w:r>
            <w:r>
              <w:rPr>
                <w:b/>
                <w:color w:val="0070C0"/>
                <w:spacing w:val="-5"/>
                <w:sz w:val="16"/>
              </w:rPr>
              <w:t>(a)</w:t>
            </w:r>
          </w:p>
        </w:tc>
        <w:tc>
          <w:tcPr>
            <w:tcW w:w="3231" w:type="dxa"/>
          </w:tcPr>
          <w:p>
            <w:pPr>
              <w:pStyle w:val="TableParagraph"/>
              <w:spacing w:before="27"/>
              <w:ind w:left="70"/>
              <w:rPr>
                <w:b/>
                <w:sz w:val="16"/>
              </w:rPr>
            </w:pPr>
            <w:r>
              <w:rPr>
                <w:b/>
                <w:color w:val="0070C0"/>
                <w:sz w:val="16"/>
              </w:rPr>
              <w:t>Property,</w:t>
            </w:r>
            <w:r>
              <w:rPr>
                <w:b/>
                <w:color w:val="0070C0"/>
                <w:spacing w:val="-10"/>
                <w:sz w:val="16"/>
              </w:rPr>
              <w:t> </w:t>
            </w:r>
            <w:r>
              <w:rPr>
                <w:b/>
                <w:color w:val="0070C0"/>
                <w:sz w:val="16"/>
              </w:rPr>
              <w:t>plant</w:t>
            </w:r>
            <w:r>
              <w:rPr>
                <w:b/>
                <w:color w:val="0070C0"/>
                <w:spacing w:val="-10"/>
                <w:sz w:val="16"/>
              </w:rPr>
              <w:t> </w:t>
            </w:r>
            <w:r>
              <w:rPr>
                <w:b/>
                <w:color w:val="0070C0"/>
                <w:sz w:val="16"/>
              </w:rPr>
              <w:t>and</w:t>
            </w:r>
            <w:r>
              <w:rPr>
                <w:b/>
                <w:color w:val="0070C0"/>
                <w:spacing w:val="-10"/>
                <w:sz w:val="16"/>
              </w:rPr>
              <w:t> </w:t>
            </w:r>
            <w:r>
              <w:rPr>
                <w:b/>
                <w:color w:val="0070C0"/>
                <w:spacing w:val="-2"/>
                <w:sz w:val="16"/>
              </w:rPr>
              <w:t>equipment</w:t>
            </w:r>
          </w:p>
        </w:tc>
        <w:tc>
          <w:tcPr>
            <w:tcW w:w="596" w:type="dxa"/>
          </w:tcPr>
          <w:p>
            <w:pPr>
              <w:pStyle w:val="TableParagraph"/>
              <w:rPr>
                <w:rFonts w:ascii="Times New Roman"/>
                <w:sz w:val="12"/>
              </w:rPr>
            </w:pPr>
          </w:p>
        </w:tc>
        <w:tc>
          <w:tcPr>
            <w:tcW w:w="984" w:type="dxa"/>
          </w:tcPr>
          <w:p>
            <w:pPr>
              <w:pStyle w:val="TableParagraph"/>
              <w:spacing w:line="170" w:lineRule="atLeast" w:before="22"/>
              <w:ind w:left="334" w:right="251" w:hanging="162"/>
              <w:rPr>
                <w:b/>
                <w:sz w:val="13"/>
              </w:rPr>
            </w:pPr>
            <w:r>
              <w:rPr>
                <w:b/>
                <w:spacing w:val="-2"/>
                <w:sz w:val="13"/>
              </w:rPr>
              <w:t>Freehold</w:t>
            </w:r>
            <w:r>
              <w:rPr>
                <w:b/>
                <w:spacing w:val="40"/>
                <w:sz w:val="13"/>
              </w:rPr>
              <w:t> </w:t>
            </w:r>
            <w:r>
              <w:rPr>
                <w:b/>
                <w:spacing w:val="-4"/>
                <w:sz w:val="13"/>
              </w:rPr>
              <w:t>land</w:t>
            </w:r>
          </w:p>
        </w:tc>
        <w:tc>
          <w:tcPr>
            <w:tcW w:w="938" w:type="dxa"/>
          </w:tcPr>
          <w:p>
            <w:pPr>
              <w:pStyle w:val="TableParagraph"/>
              <w:spacing w:line="170" w:lineRule="atLeast" w:before="22"/>
              <w:ind w:left="276" w:right="196" w:hanging="191"/>
              <w:rPr>
                <w:b/>
                <w:sz w:val="13"/>
              </w:rPr>
            </w:pPr>
            <w:r>
              <w:rPr>
                <w:b/>
                <w:spacing w:val="-2"/>
                <w:sz w:val="13"/>
              </w:rPr>
              <w:t>Leasehold</w:t>
            </w:r>
            <w:r>
              <w:rPr>
                <w:b/>
                <w:spacing w:val="40"/>
                <w:sz w:val="13"/>
              </w:rPr>
              <w:t> </w:t>
            </w:r>
            <w:r>
              <w:rPr>
                <w:b/>
                <w:spacing w:val="-4"/>
                <w:sz w:val="13"/>
              </w:rPr>
              <w:t>land</w:t>
            </w:r>
          </w:p>
        </w:tc>
        <w:tc>
          <w:tcPr>
            <w:tcW w:w="933" w:type="dxa"/>
          </w:tcPr>
          <w:p>
            <w:pPr>
              <w:pStyle w:val="TableParagraph"/>
              <w:spacing w:before="55"/>
              <w:ind w:left="100"/>
              <w:rPr>
                <w:b/>
                <w:sz w:val="13"/>
              </w:rPr>
            </w:pPr>
            <w:r>
              <w:rPr>
                <w:b/>
                <w:spacing w:val="-2"/>
                <w:sz w:val="13"/>
              </w:rPr>
              <w:t>Buildings</w:t>
            </w:r>
          </w:p>
        </w:tc>
        <w:tc>
          <w:tcPr>
            <w:tcW w:w="900" w:type="dxa"/>
          </w:tcPr>
          <w:p>
            <w:pPr>
              <w:pStyle w:val="TableParagraph"/>
              <w:spacing w:line="170" w:lineRule="atLeast" w:before="22"/>
              <w:ind w:left="109" w:firstLine="40"/>
              <w:rPr>
                <w:b/>
                <w:sz w:val="13"/>
              </w:rPr>
            </w:pPr>
            <w:r>
              <w:rPr>
                <w:b/>
                <w:sz w:val="13"/>
              </w:rPr>
              <w:t>Work</w:t>
            </w:r>
            <w:r>
              <w:rPr>
                <w:b/>
                <w:spacing w:val="-5"/>
                <w:sz w:val="13"/>
              </w:rPr>
              <w:t> </w:t>
            </w:r>
            <w:r>
              <w:rPr>
                <w:b/>
                <w:sz w:val="13"/>
              </w:rPr>
              <w:t>in</w:t>
            </w:r>
            <w:r>
              <w:rPr>
                <w:b/>
                <w:spacing w:val="40"/>
                <w:sz w:val="13"/>
              </w:rPr>
              <w:t> </w:t>
            </w:r>
            <w:r>
              <w:rPr>
                <w:b/>
                <w:spacing w:val="-2"/>
                <w:sz w:val="13"/>
              </w:rPr>
              <w:t>progress</w:t>
            </w:r>
          </w:p>
        </w:tc>
        <w:tc>
          <w:tcPr>
            <w:tcW w:w="949" w:type="dxa"/>
          </w:tcPr>
          <w:p>
            <w:pPr>
              <w:pStyle w:val="TableParagraph"/>
              <w:spacing w:line="170" w:lineRule="atLeast" w:before="22"/>
              <w:ind w:left="85" w:firstLine="18"/>
              <w:rPr>
                <w:b/>
                <w:sz w:val="13"/>
              </w:rPr>
            </w:pPr>
            <w:r>
              <w:rPr>
                <w:b/>
                <w:sz w:val="13"/>
              </w:rPr>
              <w:t>Plant</w:t>
            </w:r>
            <w:r>
              <w:rPr>
                <w:b/>
                <w:spacing w:val="-5"/>
                <w:sz w:val="13"/>
              </w:rPr>
              <w:t> </w:t>
            </w:r>
            <w:r>
              <w:rPr>
                <w:b/>
                <w:sz w:val="13"/>
              </w:rPr>
              <w:t>and</w:t>
            </w:r>
            <w:r>
              <w:rPr>
                <w:b/>
                <w:spacing w:val="40"/>
                <w:sz w:val="13"/>
              </w:rPr>
              <w:t> </w:t>
            </w:r>
            <w:r>
              <w:rPr>
                <w:b/>
                <w:spacing w:val="-2"/>
                <w:sz w:val="13"/>
              </w:rPr>
              <w:t>equipment</w:t>
            </w:r>
          </w:p>
        </w:tc>
        <w:tc>
          <w:tcPr>
            <w:tcW w:w="955" w:type="dxa"/>
          </w:tcPr>
          <w:p>
            <w:pPr>
              <w:pStyle w:val="TableParagraph"/>
              <w:spacing w:before="55"/>
              <w:ind w:left="112"/>
              <w:rPr>
                <w:b/>
                <w:sz w:val="13"/>
              </w:rPr>
            </w:pPr>
            <w:r>
              <w:rPr>
                <w:b/>
                <w:spacing w:val="-2"/>
                <w:sz w:val="13"/>
              </w:rPr>
              <w:t>Artworks</w:t>
            </w:r>
          </w:p>
        </w:tc>
        <w:tc>
          <w:tcPr>
            <w:tcW w:w="859" w:type="dxa"/>
          </w:tcPr>
          <w:p>
            <w:pPr>
              <w:pStyle w:val="TableParagraph"/>
              <w:spacing w:line="170" w:lineRule="atLeast" w:before="22"/>
              <w:ind w:left="172" w:hanging="29"/>
              <w:rPr>
                <w:b/>
                <w:sz w:val="13"/>
              </w:rPr>
            </w:pPr>
            <w:r>
              <w:rPr>
                <w:b/>
                <w:spacing w:val="-2"/>
                <w:sz w:val="13"/>
              </w:rPr>
              <w:t>Library</w:t>
            </w:r>
            <w:r>
              <w:rPr>
                <w:b/>
                <w:spacing w:val="40"/>
                <w:sz w:val="13"/>
              </w:rPr>
              <w:t> </w:t>
            </w:r>
            <w:r>
              <w:rPr>
                <w:b/>
                <w:spacing w:val="-2"/>
                <w:sz w:val="13"/>
              </w:rPr>
              <w:t>books</w:t>
            </w:r>
          </w:p>
        </w:tc>
        <w:tc>
          <w:tcPr>
            <w:tcW w:w="930" w:type="dxa"/>
          </w:tcPr>
          <w:p>
            <w:pPr>
              <w:pStyle w:val="TableParagraph"/>
              <w:spacing w:line="170" w:lineRule="atLeast" w:before="22"/>
              <w:ind w:left="78" w:right="42" w:firstLine="105"/>
              <w:rPr>
                <w:b/>
                <w:sz w:val="13"/>
              </w:rPr>
            </w:pPr>
            <w:r>
              <w:rPr>
                <w:b/>
                <w:sz w:val="13"/>
              </w:rPr>
              <w:t>Right</w:t>
            </w:r>
            <w:r>
              <w:rPr>
                <w:b/>
                <w:spacing w:val="-5"/>
                <w:sz w:val="13"/>
              </w:rPr>
              <w:t> </w:t>
            </w:r>
            <w:r>
              <w:rPr>
                <w:b/>
                <w:sz w:val="13"/>
              </w:rPr>
              <w:t>of</w:t>
            </w:r>
            <w:r>
              <w:rPr>
                <w:b/>
                <w:spacing w:val="40"/>
                <w:sz w:val="13"/>
              </w:rPr>
              <w:t> </w:t>
            </w:r>
            <w:r>
              <w:rPr>
                <w:b/>
                <w:sz w:val="13"/>
              </w:rPr>
              <w:t>Use</w:t>
            </w:r>
            <w:r>
              <w:rPr>
                <w:b/>
                <w:spacing w:val="-10"/>
                <w:sz w:val="13"/>
              </w:rPr>
              <w:t> </w:t>
            </w:r>
            <w:r>
              <w:rPr>
                <w:b/>
                <w:sz w:val="13"/>
              </w:rPr>
              <w:t>Assets</w:t>
            </w:r>
          </w:p>
        </w:tc>
        <w:tc>
          <w:tcPr>
            <w:tcW w:w="996" w:type="dxa"/>
          </w:tcPr>
          <w:p>
            <w:pPr>
              <w:pStyle w:val="TableParagraph"/>
              <w:spacing w:line="170" w:lineRule="atLeast" w:before="22"/>
              <w:ind w:left="85" w:firstLine="96"/>
              <w:rPr>
                <w:b/>
                <w:sz w:val="13"/>
              </w:rPr>
            </w:pPr>
            <w:r>
              <w:rPr>
                <w:b/>
                <w:spacing w:val="-2"/>
                <w:sz w:val="13"/>
              </w:rPr>
              <w:t>Special</w:t>
            </w:r>
            <w:r>
              <w:rPr>
                <w:b/>
                <w:spacing w:val="40"/>
                <w:sz w:val="13"/>
              </w:rPr>
              <w:t> </w:t>
            </w:r>
            <w:r>
              <w:rPr>
                <w:b/>
                <w:spacing w:val="-2"/>
                <w:sz w:val="13"/>
              </w:rPr>
              <w:t>collections</w:t>
            </w:r>
          </w:p>
        </w:tc>
        <w:tc>
          <w:tcPr>
            <w:tcW w:w="805" w:type="dxa"/>
          </w:tcPr>
          <w:p>
            <w:pPr>
              <w:pStyle w:val="TableParagraph"/>
              <w:spacing w:before="55"/>
              <w:ind w:left="203"/>
              <w:rPr>
                <w:b/>
                <w:sz w:val="13"/>
              </w:rPr>
            </w:pPr>
            <w:r>
              <w:rPr>
                <w:b/>
                <w:spacing w:val="-2"/>
                <w:sz w:val="13"/>
              </w:rPr>
              <w:t>Total</w:t>
            </w:r>
          </w:p>
        </w:tc>
      </w:tr>
      <w:tr>
        <w:trPr>
          <w:trHeight w:val="155" w:hRule="atLeast"/>
        </w:trPr>
        <w:tc>
          <w:tcPr>
            <w:tcW w:w="553" w:type="dxa"/>
            <w:tcBorders>
              <w:bottom w:val="single" w:sz="6" w:space="0" w:color="000000"/>
            </w:tcBorders>
          </w:tcPr>
          <w:p>
            <w:pPr>
              <w:pStyle w:val="TableParagraph"/>
              <w:rPr>
                <w:rFonts w:ascii="Times New Roman"/>
                <w:sz w:val="10"/>
              </w:rPr>
            </w:pPr>
          </w:p>
        </w:tc>
        <w:tc>
          <w:tcPr>
            <w:tcW w:w="3231" w:type="dxa"/>
            <w:tcBorders>
              <w:bottom w:val="single" w:sz="6" w:space="0" w:color="000000"/>
            </w:tcBorders>
          </w:tcPr>
          <w:p>
            <w:pPr>
              <w:pStyle w:val="TableParagraph"/>
              <w:rPr>
                <w:rFonts w:ascii="Times New Roman"/>
                <w:sz w:val="10"/>
              </w:rPr>
            </w:pPr>
          </w:p>
        </w:tc>
        <w:tc>
          <w:tcPr>
            <w:tcW w:w="596" w:type="dxa"/>
            <w:tcBorders>
              <w:bottom w:val="single" w:sz="6" w:space="0" w:color="000000"/>
            </w:tcBorders>
          </w:tcPr>
          <w:p>
            <w:pPr>
              <w:pStyle w:val="TableParagraph"/>
              <w:spacing w:line="131" w:lineRule="exact" w:before="4"/>
              <w:ind w:left="212"/>
              <w:rPr>
                <w:b/>
                <w:sz w:val="13"/>
              </w:rPr>
            </w:pPr>
            <w:r>
              <w:rPr>
                <w:b/>
                <w:spacing w:val="-2"/>
                <w:sz w:val="13"/>
              </w:rPr>
              <w:t>Notes</w:t>
            </w:r>
          </w:p>
        </w:tc>
        <w:tc>
          <w:tcPr>
            <w:tcW w:w="984" w:type="dxa"/>
            <w:tcBorders>
              <w:bottom w:val="single" w:sz="6" w:space="0" w:color="000000"/>
            </w:tcBorders>
          </w:tcPr>
          <w:p>
            <w:pPr>
              <w:pStyle w:val="TableParagraph"/>
              <w:spacing w:line="131" w:lineRule="exact" w:before="4"/>
              <w:ind w:left="307"/>
              <w:rPr>
                <w:b/>
                <w:sz w:val="13"/>
              </w:rPr>
            </w:pPr>
            <w:r>
              <w:rPr>
                <w:b/>
                <w:spacing w:val="-2"/>
                <w:sz w:val="13"/>
              </w:rPr>
              <w:t>$'000</w:t>
            </w:r>
          </w:p>
        </w:tc>
        <w:tc>
          <w:tcPr>
            <w:tcW w:w="938" w:type="dxa"/>
            <w:tcBorders>
              <w:bottom w:val="single" w:sz="6" w:space="0" w:color="000000"/>
            </w:tcBorders>
          </w:tcPr>
          <w:p>
            <w:pPr>
              <w:pStyle w:val="TableParagraph"/>
              <w:spacing w:line="131" w:lineRule="exact" w:before="4"/>
              <w:ind w:left="249"/>
              <w:rPr>
                <w:b/>
                <w:sz w:val="13"/>
              </w:rPr>
            </w:pPr>
            <w:r>
              <w:rPr>
                <w:b/>
                <w:spacing w:val="-2"/>
                <w:sz w:val="13"/>
              </w:rPr>
              <w:t>$'000</w:t>
            </w:r>
          </w:p>
        </w:tc>
        <w:tc>
          <w:tcPr>
            <w:tcW w:w="933" w:type="dxa"/>
            <w:tcBorders>
              <w:bottom w:val="single" w:sz="6" w:space="0" w:color="000000"/>
            </w:tcBorders>
          </w:tcPr>
          <w:p>
            <w:pPr>
              <w:pStyle w:val="TableParagraph"/>
              <w:spacing w:line="131" w:lineRule="exact" w:before="4"/>
              <w:ind w:left="237"/>
              <w:rPr>
                <w:b/>
                <w:sz w:val="13"/>
              </w:rPr>
            </w:pPr>
            <w:r>
              <w:rPr>
                <w:b/>
                <w:spacing w:val="-2"/>
                <w:sz w:val="13"/>
              </w:rPr>
              <w:t>$'000</w:t>
            </w:r>
          </w:p>
        </w:tc>
        <w:tc>
          <w:tcPr>
            <w:tcW w:w="900" w:type="dxa"/>
            <w:tcBorders>
              <w:bottom w:val="single" w:sz="6" w:space="0" w:color="000000"/>
            </w:tcBorders>
          </w:tcPr>
          <w:p>
            <w:pPr>
              <w:pStyle w:val="TableParagraph"/>
              <w:spacing w:line="131" w:lineRule="exact" w:before="4"/>
              <w:ind w:left="230"/>
              <w:rPr>
                <w:b/>
                <w:sz w:val="13"/>
              </w:rPr>
            </w:pPr>
            <w:r>
              <w:rPr>
                <w:b/>
                <w:spacing w:val="-2"/>
                <w:sz w:val="13"/>
              </w:rPr>
              <w:t>$'000</w:t>
            </w:r>
          </w:p>
        </w:tc>
        <w:tc>
          <w:tcPr>
            <w:tcW w:w="949" w:type="dxa"/>
            <w:tcBorders>
              <w:bottom w:val="single" w:sz="6" w:space="0" w:color="000000"/>
            </w:tcBorders>
          </w:tcPr>
          <w:p>
            <w:pPr>
              <w:pStyle w:val="TableParagraph"/>
              <w:spacing w:line="131" w:lineRule="exact" w:before="4"/>
              <w:ind w:left="255"/>
              <w:rPr>
                <w:b/>
                <w:sz w:val="13"/>
              </w:rPr>
            </w:pPr>
            <w:r>
              <w:rPr>
                <w:b/>
                <w:spacing w:val="-2"/>
                <w:sz w:val="13"/>
              </w:rPr>
              <w:t>$'000</w:t>
            </w:r>
          </w:p>
        </w:tc>
        <w:tc>
          <w:tcPr>
            <w:tcW w:w="955" w:type="dxa"/>
            <w:tcBorders>
              <w:bottom w:val="single" w:sz="6" w:space="0" w:color="000000"/>
            </w:tcBorders>
          </w:tcPr>
          <w:p>
            <w:pPr>
              <w:pStyle w:val="TableParagraph"/>
              <w:spacing w:line="131" w:lineRule="exact" w:before="4"/>
              <w:ind w:left="232"/>
              <w:rPr>
                <w:b/>
                <w:sz w:val="13"/>
              </w:rPr>
            </w:pPr>
            <w:r>
              <w:rPr>
                <w:b/>
                <w:spacing w:val="-2"/>
                <w:sz w:val="13"/>
              </w:rPr>
              <w:t>$'000</w:t>
            </w:r>
          </w:p>
        </w:tc>
        <w:tc>
          <w:tcPr>
            <w:tcW w:w="859" w:type="dxa"/>
            <w:tcBorders>
              <w:bottom w:val="single" w:sz="6" w:space="0" w:color="000000"/>
            </w:tcBorders>
          </w:tcPr>
          <w:p>
            <w:pPr>
              <w:pStyle w:val="TableParagraph"/>
              <w:spacing w:line="131" w:lineRule="exact" w:before="4"/>
              <w:ind w:left="203"/>
              <w:rPr>
                <w:b/>
                <w:sz w:val="13"/>
              </w:rPr>
            </w:pPr>
            <w:r>
              <w:rPr>
                <w:b/>
                <w:spacing w:val="-2"/>
                <w:sz w:val="13"/>
              </w:rPr>
              <w:t>$'000</w:t>
            </w:r>
          </w:p>
        </w:tc>
        <w:tc>
          <w:tcPr>
            <w:tcW w:w="930" w:type="dxa"/>
            <w:tcBorders>
              <w:bottom w:val="single" w:sz="6" w:space="0" w:color="000000"/>
            </w:tcBorders>
          </w:tcPr>
          <w:p>
            <w:pPr>
              <w:pStyle w:val="TableParagraph"/>
              <w:spacing w:line="131" w:lineRule="exact" w:before="4"/>
              <w:ind w:left="270"/>
              <w:rPr>
                <w:b/>
                <w:sz w:val="13"/>
              </w:rPr>
            </w:pPr>
            <w:r>
              <w:rPr>
                <w:b/>
                <w:spacing w:val="-2"/>
                <w:sz w:val="13"/>
              </w:rPr>
              <w:t>$'000</w:t>
            </w:r>
          </w:p>
        </w:tc>
        <w:tc>
          <w:tcPr>
            <w:tcW w:w="996" w:type="dxa"/>
            <w:tcBorders>
              <w:bottom w:val="single" w:sz="6" w:space="0" w:color="000000"/>
            </w:tcBorders>
          </w:tcPr>
          <w:p>
            <w:pPr>
              <w:pStyle w:val="TableParagraph"/>
              <w:spacing w:line="131" w:lineRule="exact" w:before="4"/>
              <w:ind w:left="266"/>
              <w:rPr>
                <w:b/>
                <w:sz w:val="13"/>
              </w:rPr>
            </w:pPr>
            <w:r>
              <w:rPr>
                <w:b/>
                <w:spacing w:val="-2"/>
                <w:sz w:val="13"/>
              </w:rPr>
              <w:t>$'000</w:t>
            </w:r>
          </w:p>
        </w:tc>
        <w:tc>
          <w:tcPr>
            <w:tcW w:w="805" w:type="dxa"/>
            <w:tcBorders>
              <w:bottom w:val="single" w:sz="6" w:space="0" w:color="000000"/>
            </w:tcBorders>
          </w:tcPr>
          <w:p>
            <w:pPr>
              <w:pStyle w:val="TableParagraph"/>
              <w:spacing w:line="131" w:lineRule="exact" w:before="4"/>
              <w:ind w:left="196"/>
              <w:rPr>
                <w:b/>
                <w:sz w:val="13"/>
              </w:rPr>
            </w:pPr>
            <w:r>
              <w:rPr>
                <w:b/>
                <w:spacing w:val="-2"/>
                <w:sz w:val="13"/>
              </w:rPr>
              <w:t>$'000</w:t>
            </w:r>
          </w:p>
        </w:tc>
      </w:tr>
      <w:tr>
        <w:trPr>
          <w:trHeight w:val="406" w:hRule="atLeast"/>
        </w:trPr>
        <w:tc>
          <w:tcPr>
            <w:tcW w:w="553" w:type="dxa"/>
            <w:tcBorders>
              <w:top w:val="single" w:sz="6" w:space="0" w:color="000000"/>
            </w:tcBorders>
          </w:tcPr>
          <w:p>
            <w:pPr>
              <w:pStyle w:val="TableParagraph"/>
              <w:rPr>
                <w:rFonts w:ascii="Times New Roman"/>
                <w:sz w:val="12"/>
              </w:rPr>
            </w:pPr>
          </w:p>
        </w:tc>
        <w:tc>
          <w:tcPr>
            <w:tcW w:w="3231" w:type="dxa"/>
            <w:tcBorders>
              <w:top w:val="single" w:sz="6" w:space="0" w:color="000000"/>
            </w:tcBorders>
          </w:tcPr>
          <w:p>
            <w:pPr>
              <w:pStyle w:val="TableParagraph"/>
              <w:spacing w:before="15"/>
              <w:rPr>
                <w:b/>
                <w:sz w:val="13"/>
              </w:rPr>
            </w:pPr>
          </w:p>
          <w:p>
            <w:pPr>
              <w:pStyle w:val="TableParagraph"/>
              <w:ind w:left="68"/>
              <w:rPr>
                <w:b/>
                <w:sz w:val="13"/>
              </w:rPr>
            </w:pPr>
            <w:r>
              <w:rPr>
                <w:b/>
                <w:spacing w:val="-2"/>
                <w:sz w:val="13"/>
              </w:rPr>
              <w:t>University</w:t>
            </w:r>
          </w:p>
        </w:tc>
        <w:tc>
          <w:tcPr>
            <w:tcW w:w="596" w:type="dxa"/>
            <w:tcBorders>
              <w:top w:val="single" w:sz="6" w:space="0" w:color="000000"/>
            </w:tcBorders>
          </w:tcPr>
          <w:p>
            <w:pPr>
              <w:pStyle w:val="TableParagraph"/>
              <w:rPr>
                <w:rFonts w:ascii="Times New Roman"/>
                <w:sz w:val="12"/>
              </w:rPr>
            </w:pPr>
          </w:p>
        </w:tc>
        <w:tc>
          <w:tcPr>
            <w:tcW w:w="984" w:type="dxa"/>
            <w:tcBorders>
              <w:top w:val="single" w:sz="6" w:space="0" w:color="000000"/>
            </w:tcBorders>
          </w:tcPr>
          <w:p>
            <w:pPr>
              <w:pStyle w:val="TableParagraph"/>
              <w:rPr>
                <w:rFonts w:ascii="Times New Roman"/>
                <w:sz w:val="12"/>
              </w:rPr>
            </w:pPr>
          </w:p>
        </w:tc>
        <w:tc>
          <w:tcPr>
            <w:tcW w:w="938" w:type="dxa"/>
            <w:tcBorders>
              <w:top w:val="single" w:sz="6" w:space="0" w:color="000000"/>
            </w:tcBorders>
          </w:tcPr>
          <w:p>
            <w:pPr>
              <w:pStyle w:val="TableParagraph"/>
              <w:rPr>
                <w:rFonts w:ascii="Times New Roman"/>
                <w:sz w:val="12"/>
              </w:rPr>
            </w:pPr>
          </w:p>
        </w:tc>
        <w:tc>
          <w:tcPr>
            <w:tcW w:w="933" w:type="dxa"/>
            <w:tcBorders>
              <w:top w:val="single" w:sz="6" w:space="0" w:color="000000"/>
            </w:tcBorders>
          </w:tcPr>
          <w:p>
            <w:pPr>
              <w:pStyle w:val="TableParagraph"/>
              <w:rPr>
                <w:rFonts w:ascii="Times New Roman"/>
                <w:sz w:val="12"/>
              </w:rPr>
            </w:pPr>
          </w:p>
        </w:tc>
        <w:tc>
          <w:tcPr>
            <w:tcW w:w="900" w:type="dxa"/>
            <w:tcBorders>
              <w:top w:val="single" w:sz="6" w:space="0" w:color="000000"/>
            </w:tcBorders>
          </w:tcPr>
          <w:p>
            <w:pPr>
              <w:pStyle w:val="TableParagraph"/>
              <w:rPr>
                <w:rFonts w:ascii="Times New Roman"/>
                <w:sz w:val="12"/>
              </w:rPr>
            </w:pPr>
          </w:p>
        </w:tc>
        <w:tc>
          <w:tcPr>
            <w:tcW w:w="949" w:type="dxa"/>
            <w:tcBorders>
              <w:top w:val="single" w:sz="6" w:space="0" w:color="000000"/>
            </w:tcBorders>
          </w:tcPr>
          <w:p>
            <w:pPr>
              <w:pStyle w:val="TableParagraph"/>
              <w:rPr>
                <w:rFonts w:ascii="Times New Roman"/>
                <w:sz w:val="12"/>
              </w:rPr>
            </w:pPr>
          </w:p>
        </w:tc>
        <w:tc>
          <w:tcPr>
            <w:tcW w:w="955" w:type="dxa"/>
            <w:tcBorders>
              <w:top w:val="single" w:sz="6" w:space="0" w:color="000000"/>
            </w:tcBorders>
          </w:tcPr>
          <w:p>
            <w:pPr>
              <w:pStyle w:val="TableParagraph"/>
              <w:rPr>
                <w:rFonts w:ascii="Times New Roman"/>
                <w:sz w:val="12"/>
              </w:rPr>
            </w:pPr>
          </w:p>
        </w:tc>
        <w:tc>
          <w:tcPr>
            <w:tcW w:w="859" w:type="dxa"/>
            <w:tcBorders>
              <w:top w:val="single" w:sz="6" w:space="0" w:color="000000"/>
            </w:tcBorders>
          </w:tcPr>
          <w:p>
            <w:pPr>
              <w:pStyle w:val="TableParagraph"/>
              <w:rPr>
                <w:rFonts w:ascii="Times New Roman"/>
                <w:sz w:val="12"/>
              </w:rPr>
            </w:pPr>
          </w:p>
        </w:tc>
        <w:tc>
          <w:tcPr>
            <w:tcW w:w="930" w:type="dxa"/>
            <w:tcBorders>
              <w:top w:val="single" w:sz="6" w:space="0" w:color="000000"/>
            </w:tcBorders>
          </w:tcPr>
          <w:p>
            <w:pPr>
              <w:pStyle w:val="TableParagraph"/>
              <w:rPr>
                <w:rFonts w:ascii="Times New Roman"/>
                <w:sz w:val="12"/>
              </w:rPr>
            </w:pPr>
          </w:p>
        </w:tc>
        <w:tc>
          <w:tcPr>
            <w:tcW w:w="996" w:type="dxa"/>
            <w:tcBorders>
              <w:top w:val="single" w:sz="6" w:space="0" w:color="000000"/>
            </w:tcBorders>
          </w:tcPr>
          <w:p>
            <w:pPr>
              <w:pStyle w:val="TableParagraph"/>
              <w:rPr>
                <w:rFonts w:ascii="Times New Roman"/>
                <w:sz w:val="12"/>
              </w:rPr>
            </w:pPr>
          </w:p>
        </w:tc>
        <w:tc>
          <w:tcPr>
            <w:tcW w:w="805" w:type="dxa"/>
            <w:tcBorders>
              <w:top w:val="single" w:sz="6" w:space="0" w:color="000000"/>
            </w:tcBorders>
          </w:tcPr>
          <w:p>
            <w:pPr>
              <w:pStyle w:val="TableParagraph"/>
              <w:rPr>
                <w:rFonts w:ascii="Times New Roman"/>
                <w:sz w:val="12"/>
              </w:rPr>
            </w:pPr>
          </w:p>
        </w:tc>
      </w:tr>
      <w:tr>
        <w:trPr>
          <w:trHeight w:val="248" w:hRule="atLeast"/>
        </w:trPr>
        <w:tc>
          <w:tcPr>
            <w:tcW w:w="553" w:type="dxa"/>
          </w:tcPr>
          <w:p>
            <w:pPr>
              <w:pStyle w:val="TableParagraph"/>
              <w:rPr>
                <w:rFonts w:ascii="Times New Roman"/>
                <w:sz w:val="12"/>
              </w:rPr>
            </w:pPr>
          </w:p>
        </w:tc>
        <w:tc>
          <w:tcPr>
            <w:tcW w:w="3231" w:type="dxa"/>
          </w:tcPr>
          <w:p>
            <w:pPr>
              <w:pStyle w:val="TableParagraph"/>
              <w:spacing w:line="139" w:lineRule="exact" w:before="89"/>
              <w:ind w:left="68"/>
              <w:rPr>
                <w:b/>
                <w:sz w:val="13"/>
              </w:rPr>
            </w:pPr>
            <w:r>
              <w:rPr>
                <w:b/>
                <w:sz w:val="13"/>
              </w:rPr>
              <w:t>At 1 January</w:t>
            </w:r>
            <w:r>
              <w:rPr>
                <w:b/>
                <w:spacing w:val="-2"/>
                <w:sz w:val="13"/>
              </w:rPr>
              <w:t> </w:t>
            </w:r>
            <w:r>
              <w:rPr>
                <w:b/>
                <w:spacing w:val="-4"/>
                <w:sz w:val="13"/>
              </w:rPr>
              <w:t>2019</w:t>
            </w:r>
          </w:p>
        </w:tc>
        <w:tc>
          <w:tcPr>
            <w:tcW w:w="596" w:type="dxa"/>
          </w:tcPr>
          <w:p>
            <w:pPr>
              <w:pStyle w:val="TableParagraph"/>
              <w:rPr>
                <w:rFonts w:ascii="Times New Roman"/>
                <w:sz w:val="12"/>
              </w:rPr>
            </w:pPr>
          </w:p>
        </w:tc>
        <w:tc>
          <w:tcPr>
            <w:tcW w:w="984" w:type="dxa"/>
          </w:tcPr>
          <w:p>
            <w:pPr>
              <w:pStyle w:val="TableParagraph"/>
              <w:rPr>
                <w:rFonts w:ascii="Times New Roman"/>
                <w:sz w:val="12"/>
              </w:rPr>
            </w:pPr>
          </w:p>
        </w:tc>
        <w:tc>
          <w:tcPr>
            <w:tcW w:w="938" w:type="dxa"/>
          </w:tcPr>
          <w:p>
            <w:pPr>
              <w:pStyle w:val="TableParagraph"/>
              <w:rPr>
                <w:rFonts w:ascii="Times New Roman"/>
                <w:sz w:val="12"/>
              </w:rPr>
            </w:pPr>
          </w:p>
        </w:tc>
        <w:tc>
          <w:tcPr>
            <w:tcW w:w="933" w:type="dxa"/>
          </w:tcPr>
          <w:p>
            <w:pPr>
              <w:pStyle w:val="TableParagraph"/>
              <w:rPr>
                <w:rFonts w:ascii="Times New Roman"/>
                <w:sz w:val="12"/>
              </w:rPr>
            </w:pPr>
          </w:p>
        </w:tc>
        <w:tc>
          <w:tcPr>
            <w:tcW w:w="900" w:type="dxa"/>
          </w:tcPr>
          <w:p>
            <w:pPr>
              <w:pStyle w:val="TableParagraph"/>
              <w:rPr>
                <w:rFonts w:ascii="Times New Roman"/>
                <w:sz w:val="12"/>
              </w:rPr>
            </w:pPr>
          </w:p>
        </w:tc>
        <w:tc>
          <w:tcPr>
            <w:tcW w:w="949" w:type="dxa"/>
          </w:tcPr>
          <w:p>
            <w:pPr>
              <w:pStyle w:val="TableParagraph"/>
              <w:rPr>
                <w:rFonts w:ascii="Times New Roman"/>
                <w:sz w:val="12"/>
              </w:rPr>
            </w:pPr>
          </w:p>
        </w:tc>
        <w:tc>
          <w:tcPr>
            <w:tcW w:w="955" w:type="dxa"/>
          </w:tcPr>
          <w:p>
            <w:pPr>
              <w:pStyle w:val="TableParagraph"/>
              <w:rPr>
                <w:rFonts w:ascii="Times New Roman"/>
                <w:sz w:val="12"/>
              </w:rPr>
            </w:pPr>
          </w:p>
        </w:tc>
        <w:tc>
          <w:tcPr>
            <w:tcW w:w="859" w:type="dxa"/>
          </w:tcPr>
          <w:p>
            <w:pPr>
              <w:pStyle w:val="TableParagraph"/>
              <w:rPr>
                <w:rFonts w:ascii="Times New Roman"/>
                <w:sz w:val="12"/>
              </w:rPr>
            </w:pPr>
          </w:p>
        </w:tc>
        <w:tc>
          <w:tcPr>
            <w:tcW w:w="930" w:type="dxa"/>
          </w:tcPr>
          <w:p>
            <w:pPr>
              <w:pStyle w:val="TableParagraph"/>
              <w:rPr>
                <w:rFonts w:ascii="Times New Roman"/>
                <w:sz w:val="12"/>
              </w:rPr>
            </w:pPr>
          </w:p>
        </w:tc>
        <w:tc>
          <w:tcPr>
            <w:tcW w:w="996" w:type="dxa"/>
          </w:tcPr>
          <w:p>
            <w:pPr>
              <w:pStyle w:val="TableParagraph"/>
              <w:rPr>
                <w:rFonts w:ascii="Times New Roman"/>
                <w:sz w:val="12"/>
              </w:rPr>
            </w:pPr>
          </w:p>
        </w:tc>
        <w:tc>
          <w:tcPr>
            <w:tcW w:w="805" w:type="dxa"/>
          </w:tcPr>
          <w:p>
            <w:pPr>
              <w:pStyle w:val="TableParagraph"/>
              <w:rPr>
                <w:rFonts w:ascii="Times New Roman"/>
                <w:sz w:val="12"/>
              </w:rPr>
            </w:pPr>
          </w:p>
        </w:tc>
      </w:tr>
      <w:tr>
        <w:trPr>
          <w:trHeight w:val="165" w:hRule="atLeast"/>
        </w:trPr>
        <w:tc>
          <w:tcPr>
            <w:tcW w:w="553" w:type="dxa"/>
          </w:tcPr>
          <w:p>
            <w:pPr>
              <w:pStyle w:val="TableParagraph"/>
              <w:rPr>
                <w:rFonts w:ascii="Times New Roman"/>
                <w:sz w:val="10"/>
              </w:rPr>
            </w:pPr>
          </w:p>
        </w:tc>
        <w:tc>
          <w:tcPr>
            <w:tcW w:w="3231" w:type="dxa"/>
          </w:tcPr>
          <w:p>
            <w:pPr>
              <w:pStyle w:val="TableParagraph"/>
              <w:spacing w:line="139" w:lineRule="exact" w:before="6"/>
              <w:ind w:left="68"/>
              <w:rPr>
                <w:sz w:val="13"/>
              </w:rPr>
            </w:pPr>
            <w:r>
              <w:rPr>
                <w:spacing w:val="-4"/>
                <w:sz w:val="13"/>
              </w:rPr>
              <w:t>Cost</w:t>
            </w:r>
          </w:p>
        </w:tc>
        <w:tc>
          <w:tcPr>
            <w:tcW w:w="596" w:type="dxa"/>
          </w:tcPr>
          <w:p>
            <w:pPr>
              <w:pStyle w:val="TableParagraph"/>
              <w:rPr>
                <w:rFonts w:ascii="Times New Roman"/>
                <w:sz w:val="10"/>
              </w:rPr>
            </w:pPr>
          </w:p>
        </w:tc>
        <w:tc>
          <w:tcPr>
            <w:tcW w:w="984" w:type="dxa"/>
          </w:tcPr>
          <w:p>
            <w:pPr>
              <w:pStyle w:val="TableParagraph"/>
              <w:spacing w:line="139" w:lineRule="exact" w:before="6"/>
              <w:ind w:right="124"/>
              <w:jc w:val="right"/>
              <w:rPr>
                <w:sz w:val="13"/>
              </w:rPr>
            </w:pPr>
            <w:r>
              <w:rPr>
                <w:spacing w:val="-2"/>
                <w:sz w:val="13"/>
              </w:rPr>
              <w:t>189,075</w:t>
            </w:r>
          </w:p>
        </w:tc>
        <w:tc>
          <w:tcPr>
            <w:tcW w:w="938" w:type="dxa"/>
          </w:tcPr>
          <w:p>
            <w:pPr>
              <w:pStyle w:val="TableParagraph"/>
              <w:spacing w:line="139" w:lineRule="exact" w:before="6"/>
              <w:ind w:right="136"/>
              <w:jc w:val="right"/>
              <w:rPr>
                <w:sz w:val="13"/>
              </w:rPr>
            </w:pPr>
            <w:r>
              <w:rPr>
                <w:spacing w:val="-2"/>
                <w:sz w:val="13"/>
              </w:rPr>
              <w:t>80,000</w:t>
            </w:r>
          </w:p>
        </w:tc>
        <w:tc>
          <w:tcPr>
            <w:tcW w:w="933" w:type="dxa"/>
          </w:tcPr>
          <w:p>
            <w:pPr>
              <w:pStyle w:val="TableParagraph"/>
              <w:spacing w:line="139" w:lineRule="exact" w:before="6"/>
              <w:ind w:left="199"/>
              <w:rPr>
                <w:sz w:val="13"/>
              </w:rPr>
            </w:pPr>
            <w:r>
              <w:rPr>
                <w:spacing w:val="-2"/>
                <w:sz w:val="13"/>
              </w:rPr>
              <w:t>1,095,294</w:t>
            </w:r>
          </w:p>
        </w:tc>
        <w:tc>
          <w:tcPr>
            <w:tcW w:w="900" w:type="dxa"/>
          </w:tcPr>
          <w:p>
            <w:pPr>
              <w:pStyle w:val="TableParagraph"/>
              <w:spacing w:line="139" w:lineRule="exact" w:before="6"/>
              <w:ind w:right="117"/>
              <w:jc w:val="right"/>
              <w:rPr>
                <w:sz w:val="13"/>
              </w:rPr>
            </w:pPr>
            <w:r>
              <w:rPr>
                <w:spacing w:val="-2"/>
                <w:sz w:val="13"/>
              </w:rPr>
              <w:t>53,617</w:t>
            </w:r>
          </w:p>
        </w:tc>
        <w:tc>
          <w:tcPr>
            <w:tcW w:w="949" w:type="dxa"/>
          </w:tcPr>
          <w:p>
            <w:pPr>
              <w:pStyle w:val="TableParagraph"/>
              <w:spacing w:line="139" w:lineRule="exact" w:before="6"/>
              <w:ind w:right="141"/>
              <w:jc w:val="right"/>
              <w:rPr>
                <w:sz w:val="13"/>
              </w:rPr>
            </w:pPr>
            <w:r>
              <w:rPr>
                <w:spacing w:val="-2"/>
                <w:sz w:val="13"/>
              </w:rPr>
              <w:t>260,848</w:t>
            </w:r>
          </w:p>
        </w:tc>
        <w:tc>
          <w:tcPr>
            <w:tcW w:w="955" w:type="dxa"/>
          </w:tcPr>
          <w:p>
            <w:pPr>
              <w:pStyle w:val="TableParagraph"/>
              <w:spacing w:line="139" w:lineRule="exact" w:before="6"/>
              <w:ind w:right="170"/>
              <w:jc w:val="right"/>
              <w:rPr>
                <w:sz w:val="13"/>
              </w:rPr>
            </w:pPr>
            <w:r>
              <w:rPr>
                <w:spacing w:val="-2"/>
                <w:sz w:val="13"/>
              </w:rPr>
              <w:t>29,392</w:t>
            </w:r>
          </w:p>
        </w:tc>
        <w:tc>
          <w:tcPr>
            <w:tcW w:w="859" w:type="dxa"/>
          </w:tcPr>
          <w:p>
            <w:pPr>
              <w:pStyle w:val="TableParagraph"/>
              <w:spacing w:line="139" w:lineRule="exact" w:before="6"/>
              <w:ind w:right="103"/>
              <w:jc w:val="right"/>
              <w:rPr>
                <w:sz w:val="13"/>
              </w:rPr>
            </w:pPr>
            <w:r>
              <w:rPr>
                <w:spacing w:val="-2"/>
                <w:sz w:val="13"/>
              </w:rPr>
              <w:t>10,569</w:t>
            </w:r>
          </w:p>
        </w:tc>
        <w:tc>
          <w:tcPr>
            <w:tcW w:w="930" w:type="dxa"/>
          </w:tcPr>
          <w:p>
            <w:pPr>
              <w:pStyle w:val="TableParagraph"/>
              <w:spacing w:line="139" w:lineRule="exact" w:before="6"/>
              <w:ind w:right="99"/>
              <w:jc w:val="right"/>
              <w:rPr>
                <w:sz w:val="13"/>
              </w:rPr>
            </w:pPr>
            <w:r>
              <w:rPr>
                <w:spacing w:val="-10"/>
                <w:sz w:val="13"/>
              </w:rPr>
              <w:t>-</w:t>
            </w:r>
          </w:p>
        </w:tc>
        <w:tc>
          <w:tcPr>
            <w:tcW w:w="996" w:type="dxa"/>
          </w:tcPr>
          <w:p>
            <w:pPr>
              <w:pStyle w:val="TableParagraph"/>
              <w:spacing w:line="139" w:lineRule="exact" w:before="6"/>
              <w:ind w:right="177"/>
              <w:jc w:val="right"/>
              <w:rPr>
                <w:sz w:val="13"/>
              </w:rPr>
            </w:pPr>
            <w:r>
              <w:rPr>
                <w:spacing w:val="-2"/>
                <w:sz w:val="13"/>
              </w:rPr>
              <w:t>66,518</w:t>
            </w:r>
          </w:p>
        </w:tc>
        <w:tc>
          <w:tcPr>
            <w:tcW w:w="805" w:type="dxa"/>
          </w:tcPr>
          <w:p>
            <w:pPr>
              <w:pStyle w:val="TableParagraph"/>
              <w:spacing w:line="139" w:lineRule="exact" w:before="6"/>
              <w:ind w:left="158"/>
              <w:rPr>
                <w:sz w:val="13"/>
              </w:rPr>
            </w:pPr>
            <w:r>
              <w:rPr>
                <w:spacing w:val="-2"/>
                <w:sz w:val="13"/>
              </w:rPr>
              <w:t>1,785,313</w:t>
            </w:r>
          </w:p>
        </w:tc>
      </w:tr>
      <w:tr>
        <w:trPr>
          <w:trHeight w:val="165" w:hRule="atLeast"/>
        </w:trPr>
        <w:tc>
          <w:tcPr>
            <w:tcW w:w="553" w:type="dxa"/>
          </w:tcPr>
          <w:p>
            <w:pPr>
              <w:pStyle w:val="TableParagraph"/>
              <w:rPr>
                <w:rFonts w:ascii="Times New Roman"/>
                <w:sz w:val="10"/>
              </w:rPr>
            </w:pPr>
          </w:p>
        </w:tc>
        <w:tc>
          <w:tcPr>
            <w:tcW w:w="3231" w:type="dxa"/>
          </w:tcPr>
          <w:p>
            <w:pPr>
              <w:pStyle w:val="TableParagraph"/>
              <w:spacing w:line="139" w:lineRule="exact" w:before="6"/>
              <w:ind w:left="68"/>
              <w:rPr>
                <w:sz w:val="13"/>
              </w:rPr>
            </w:pPr>
            <w:r>
              <w:rPr>
                <w:sz w:val="13"/>
              </w:rPr>
              <w:t>Accumulated</w:t>
            </w:r>
            <w:r>
              <w:rPr>
                <w:spacing w:val="5"/>
                <w:sz w:val="13"/>
              </w:rPr>
              <w:t> </w:t>
            </w:r>
            <w:r>
              <w:rPr>
                <w:spacing w:val="-2"/>
                <w:sz w:val="13"/>
              </w:rPr>
              <w:t>depreciation</w:t>
            </w:r>
          </w:p>
        </w:tc>
        <w:tc>
          <w:tcPr>
            <w:tcW w:w="596" w:type="dxa"/>
          </w:tcPr>
          <w:p>
            <w:pPr>
              <w:pStyle w:val="TableParagraph"/>
              <w:rPr>
                <w:rFonts w:ascii="Times New Roman"/>
                <w:sz w:val="10"/>
              </w:rPr>
            </w:pPr>
          </w:p>
        </w:tc>
        <w:tc>
          <w:tcPr>
            <w:tcW w:w="984" w:type="dxa"/>
          </w:tcPr>
          <w:p>
            <w:pPr>
              <w:pStyle w:val="TableParagraph"/>
              <w:spacing w:line="139" w:lineRule="exact" w:before="6"/>
              <w:ind w:right="116"/>
              <w:jc w:val="right"/>
              <w:rPr>
                <w:sz w:val="13"/>
              </w:rPr>
            </w:pPr>
            <w:r>
              <w:rPr>
                <w:spacing w:val="-10"/>
                <w:sz w:val="13"/>
              </w:rPr>
              <w:t>-</w:t>
            </w:r>
          </w:p>
        </w:tc>
        <w:tc>
          <w:tcPr>
            <w:tcW w:w="938" w:type="dxa"/>
          </w:tcPr>
          <w:p>
            <w:pPr>
              <w:pStyle w:val="TableParagraph"/>
              <w:spacing w:line="139" w:lineRule="exact" w:before="6"/>
              <w:ind w:right="128"/>
              <w:jc w:val="right"/>
              <w:rPr>
                <w:sz w:val="13"/>
              </w:rPr>
            </w:pPr>
            <w:r>
              <w:rPr>
                <w:spacing w:val="-10"/>
                <w:sz w:val="13"/>
              </w:rPr>
              <w:t>-</w:t>
            </w:r>
          </w:p>
        </w:tc>
        <w:tc>
          <w:tcPr>
            <w:tcW w:w="933" w:type="dxa"/>
          </w:tcPr>
          <w:p>
            <w:pPr>
              <w:pStyle w:val="TableParagraph"/>
              <w:spacing w:line="139" w:lineRule="exact" w:before="6"/>
              <w:ind w:right="99"/>
              <w:jc w:val="right"/>
              <w:rPr>
                <w:sz w:val="13"/>
              </w:rPr>
            </w:pPr>
            <w:r>
              <w:rPr>
                <w:spacing w:val="-2"/>
                <w:sz w:val="13"/>
              </w:rPr>
              <w:t>(212,130)</w:t>
            </w:r>
          </w:p>
        </w:tc>
        <w:tc>
          <w:tcPr>
            <w:tcW w:w="900" w:type="dxa"/>
          </w:tcPr>
          <w:p>
            <w:pPr>
              <w:pStyle w:val="TableParagraph"/>
              <w:spacing w:line="139" w:lineRule="exact" w:before="6"/>
              <w:ind w:right="109"/>
              <w:jc w:val="right"/>
              <w:rPr>
                <w:sz w:val="13"/>
              </w:rPr>
            </w:pPr>
            <w:r>
              <w:rPr>
                <w:spacing w:val="-10"/>
                <w:sz w:val="13"/>
              </w:rPr>
              <w:t>-</w:t>
            </w:r>
          </w:p>
        </w:tc>
        <w:tc>
          <w:tcPr>
            <w:tcW w:w="949" w:type="dxa"/>
          </w:tcPr>
          <w:p>
            <w:pPr>
              <w:pStyle w:val="TableParagraph"/>
              <w:spacing w:line="139" w:lineRule="exact" w:before="6"/>
              <w:ind w:right="96"/>
              <w:jc w:val="right"/>
              <w:rPr>
                <w:sz w:val="13"/>
              </w:rPr>
            </w:pPr>
            <w:r>
              <w:rPr>
                <w:spacing w:val="-2"/>
                <w:sz w:val="13"/>
              </w:rPr>
              <w:t>(204,760)</w:t>
            </w:r>
          </w:p>
        </w:tc>
        <w:tc>
          <w:tcPr>
            <w:tcW w:w="955" w:type="dxa"/>
          </w:tcPr>
          <w:p>
            <w:pPr>
              <w:pStyle w:val="TableParagraph"/>
              <w:spacing w:line="139" w:lineRule="exact" w:before="6"/>
              <w:ind w:right="161"/>
              <w:jc w:val="right"/>
              <w:rPr>
                <w:sz w:val="13"/>
              </w:rPr>
            </w:pPr>
            <w:r>
              <w:rPr>
                <w:spacing w:val="-10"/>
                <w:sz w:val="13"/>
              </w:rPr>
              <w:t>-</w:t>
            </w:r>
          </w:p>
        </w:tc>
        <w:tc>
          <w:tcPr>
            <w:tcW w:w="859" w:type="dxa"/>
          </w:tcPr>
          <w:p>
            <w:pPr>
              <w:pStyle w:val="TableParagraph"/>
              <w:spacing w:line="139" w:lineRule="exact" w:before="6"/>
              <w:ind w:right="58"/>
              <w:jc w:val="right"/>
              <w:rPr>
                <w:sz w:val="13"/>
              </w:rPr>
            </w:pPr>
            <w:r>
              <w:rPr>
                <w:spacing w:val="-2"/>
                <w:sz w:val="13"/>
              </w:rPr>
              <w:t>(6,673)</w:t>
            </w:r>
          </w:p>
        </w:tc>
        <w:tc>
          <w:tcPr>
            <w:tcW w:w="930" w:type="dxa"/>
          </w:tcPr>
          <w:p>
            <w:pPr>
              <w:pStyle w:val="TableParagraph"/>
              <w:spacing w:line="139" w:lineRule="exact" w:before="6"/>
              <w:ind w:right="99"/>
              <w:jc w:val="right"/>
              <w:rPr>
                <w:sz w:val="13"/>
              </w:rPr>
            </w:pPr>
            <w:r>
              <w:rPr>
                <w:spacing w:val="-10"/>
                <w:sz w:val="13"/>
              </w:rPr>
              <w:t>-</w:t>
            </w:r>
          </w:p>
        </w:tc>
        <w:tc>
          <w:tcPr>
            <w:tcW w:w="996" w:type="dxa"/>
          </w:tcPr>
          <w:p>
            <w:pPr>
              <w:pStyle w:val="TableParagraph"/>
              <w:spacing w:line="139" w:lineRule="exact" w:before="6"/>
              <w:ind w:right="169"/>
              <w:jc w:val="right"/>
              <w:rPr>
                <w:sz w:val="13"/>
              </w:rPr>
            </w:pPr>
            <w:r>
              <w:rPr>
                <w:spacing w:val="-10"/>
                <w:sz w:val="13"/>
              </w:rPr>
              <w:t>-</w:t>
            </w:r>
          </w:p>
        </w:tc>
        <w:tc>
          <w:tcPr>
            <w:tcW w:w="805" w:type="dxa"/>
          </w:tcPr>
          <w:p>
            <w:pPr>
              <w:pStyle w:val="TableParagraph"/>
              <w:spacing w:line="139" w:lineRule="exact" w:before="6"/>
              <w:ind w:right="12"/>
              <w:jc w:val="right"/>
              <w:rPr>
                <w:sz w:val="13"/>
              </w:rPr>
            </w:pPr>
            <w:r>
              <w:rPr>
                <w:spacing w:val="-2"/>
                <w:sz w:val="13"/>
              </w:rPr>
              <w:t>(423,563)</w:t>
            </w:r>
          </w:p>
        </w:tc>
      </w:tr>
      <w:tr>
        <w:trPr>
          <w:trHeight w:val="158" w:hRule="atLeast"/>
        </w:trPr>
        <w:tc>
          <w:tcPr>
            <w:tcW w:w="553" w:type="dxa"/>
          </w:tcPr>
          <w:p>
            <w:pPr>
              <w:pStyle w:val="TableParagraph"/>
              <w:rPr>
                <w:rFonts w:ascii="Times New Roman"/>
                <w:sz w:val="10"/>
              </w:rPr>
            </w:pPr>
          </w:p>
        </w:tc>
        <w:tc>
          <w:tcPr>
            <w:tcW w:w="3231" w:type="dxa"/>
          </w:tcPr>
          <w:p>
            <w:pPr>
              <w:pStyle w:val="TableParagraph"/>
              <w:spacing w:line="132" w:lineRule="exact" w:before="6"/>
              <w:ind w:left="68"/>
              <w:rPr>
                <w:sz w:val="13"/>
              </w:rPr>
            </w:pPr>
            <w:r>
              <w:rPr>
                <w:sz w:val="13"/>
              </w:rPr>
              <w:t>Accumulated</w:t>
            </w:r>
            <w:r>
              <w:rPr>
                <w:spacing w:val="5"/>
                <w:sz w:val="13"/>
              </w:rPr>
              <w:t> </w:t>
            </w:r>
            <w:r>
              <w:rPr>
                <w:spacing w:val="-2"/>
                <w:sz w:val="13"/>
              </w:rPr>
              <w:t>impairment</w:t>
            </w:r>
          </w:p>
        </w:tc>
        <w:tc>
          <w:tcPr>
            <w:tcW w:w="596" w:type="dxa"/>
          </w:tcPr>
          <w:p>
            <w:pPr>
              <w:pStyle w:val="TableParagraph"/>
              <w:rPr>
                <w:rFonts w:ascii="Times New Roman"/>
                <w:sz w:val="10"/>
              </w:rPr>
            </w:pPr>
          </w:p>
        </w:tc>
        <w:tc>
          <w:tcPr>
            <w:tcW w:w="984" w:type="dxa"/>
            <w:tcBorders>
              <w:bottom w:val="single" w:sz="6" w:space="0" w:color="000000"/>
            </w:tcBorders>
          </w:tcPr>
          <w:p>
            <w:pPr>
              <w:pStyle w:val="TableParagraph"/>
              <w:spacing w:line="132" w:lineRule="exact" w:before="6"/>
              <w:ind w:right="79"/>
              <w:jc w:val="right"/>
              <w:rPr>
                <w:sz w:val="13"/>
              </w:rPr>
            </w:pPr>
            <w:r>
              <w:rPr>
                <w:spacing w:val="-2"/>
                <w:sz w:val="13"/>
              </w:rPr>
              <w:t>(1,873)</w:t>
            </w:r>
          </w:p>
        </w:tc>
        <w:tc>
          <w:tcPr>
            <w:tcW w:w="938" w:type="dxa"/>
            <w:tcBorders>
              <w:bottom w:val="single" w:sz="6" w:space="0" w:color="000000"/>
            </w:tcBorders>
          </w:tcPr>
          <w:p>
            <w:pPr>
              <w:pStyle w:val="TableParagraph"/>
              <w:spacing w:line="132" w:lineRule="exact" w:before="6"/>
              <w:ind w:right="128"/>
              <w:jc w:val="right"/>
              <w:rPr>
                <w:sz w:val="13"/>
              </w:rPr>
            </w:pPr>
            <w:r>
              <w:rPr>
                <w:spacing w:val="-10"/>
                <w:sz w:val="13"/>
              </w:rPr>
              <w:t>-</w:t>
            </w:r>
          </w:p>
        </w:tc>
        <w:tc>
          <w:tcPr>
            <w:tcW w:w="933" w:type="dxa"/>
            <w:tcBorders>
              <w:bottom w:val="single" w:sz="6" w:space="0" w:color="000000"/>
            </w:tcBorders>
          </w:tcPr>
          <w:p>
            <w:pPr>
              <w:pStyle w:val="TableParagraph"/>
              <w:spacing w:line="132" w:lineRule="exact" w:before="6"/>
              <w:ind w:right="99"/>
              <w:jc w:val="right"/>
              <w:rPr>
                <w:sz w:val="13"/>
              </w:rPr>
            </w:pPr>
            <w:r>
              <w:rPr>
                <w:spacing w:val="-2"/>
                <w:sz w:val="13"/>
              </w:rPr>
              <w:t>(12,339)</w:t>
            </w:r>
          </w:p>
        </w:tc>
        <w:tc>
          <w:tcPr>
            <w:tcW w:w="900" w:type="dxa"/>
            <w:tcBorders>
              <w:bottom w:val="single" w:sz="6" w:space="0" w:color="000000"/>
            </w:tcBorders>
          </w:tcPr>
          <w:p>
            <w:pPr>
              <w:pStyle w:val="TableParagraph"/>
              <w:spacing w:line="132" w:lineRule="exact" w:before="6"/>
              <w:ind w:right="109"/>
              <w:jc w:val="right"/>
              <w:rPr>
                <w:sz w:val="13"/>
              </w:rPr>
            </w:pPr>
            <w:r>
              <w:rPr>
                <w:spacing w:val="-10"/>
                <w:sz w:val="13"/>
              </w:rPr>
              <w:t>-</w:t>
            </w:r>
          </w:p>
        </w:tc>
        <w:tc>
          <w:tcPr>
            <w:tcW w:w="949" w:type="dxa"/>
            <w:tcBorders>
              <w:bottom w:val="single" w:sz="6" w:space="0" w:color="000000"/>
            </w:tcBorders>
          </w:tcPr>
          <w:p>
            <w:pPr>
              <w:pStyle w:val="TableParagraph"/>
              <w:spacing w:line="132" w:lineRule="exact" w:before="6"/>
              <w:ind w:right="132"/>
              <w:jc w:val="right"/>
              <w:rPr>
                <w:sz w:val="13"/>
              </w:rPr>
            </w:pPr>
            <w:r>
              <w:rPr>
                <w:spacing w:val="-10"/>
                <w:sz w:val="13"/>
              </w:rPr>
              <w:t>-</w:t>
            </w:r>
          </w:p>
        </w:tc>
        <w:tc>
          <w:tcPr>
            <w:tcW w:w="955" w:type="dxa"/>
            <w:tcBorders>
              <w:bottom w:val="single" w:sz="6" w:space="0" w:color="000000"/>
            </w:tcBorders>
          </w:tcPr>
          <w:p>
            <w:pPr>
              <w:pStyle w:val="TableParagraph"/>
              <w:spacing w:line="132" w:lineRule="exact" w:before="6"/>
              <w:ind w:right="161"/>
              <w:jc w:val="right"/>
              <w:rPr>
                <w:sz w:val="13"/>
              </w:rPr>
            </w:pPr>
            <w:r>
              <w:rPr>
                <w:spacing w:val="-10"/>
                <w:sz w:val="13"/>
              </w:rPr>
              <w:t>-</w:t>
            </w:r>
          </w:p>
        </w:tc>
        <w:tc>
          <w:tcPr>
            <w:tcW w:w="859" w:type="dxa"/>
            <w:tcBorders>
              <w:bottom w:val="single" w:sz="6" w:space="0" w:color="000000"/>
            </w:tcBorders>
          </w:tcPr>
          <w:p>
            <w:pPr>
              <w:pStyle w:val="TableParagraph"/>
              <w:spacing w:line="132" w:lineRule="exact" w:before="6"/>
              <w:ind w:right="94"/>
              <w:jc w:val="right"/>
              <w:rPr>
                <w:sz w:val="13"/>
              </w:rPr>
            </w:pPr>
            <w:r>
              <w:rPr>
                <w:spacing w:val="-10"/>
                <w:sz w:val="13"/>
              </w:rPr>
              <w:t>-</w:t>
            </w:r>
          </w:p>
        </w:tc>
        <w:tc>
          <w:tcPr>
            <w:tcW w:w="930" w:type="dxa"/>
            <w:tcBorders>
              <w:bottom w:val="single" w:sz="6" w:space="0" w:color="000000"/>
            </w:tcBorders>
          </w:tcPr>
          <w:p>
            <w:pPr>
              <w:pStyle w:val="TableParagraph"/>
              <w:spacing w:line="132" w:lineRule="exact" w:before="6"/>
              <w:ind w:right="99"/>
              <w:jc w:val="right"/>
              <w:rPr>
                <w:sz w:val="13"/>
              </w:rPr>
            </w:pPr>
            <w:r>
              <w:rPr>
                <w:spacing w:val="-10"/>
                <w:sz w:val="13"/>
              </w:rPr>
              <w:t>-</w:t>
            </w:r>
          </w:p>
        </w:tc>
        <w:tc>
          <w:tcPr>
            <w:tcW w:w="996" w:type="dxa"/>
            <w:tcBorders>
              <w:bottom w:val="single" w:sz="6" w:space="0" w:color="000000"/>
            </w:tcBorders>
          </w:tcPr>
          <w:p>
            <w:pPr>
              <w:pStyle w:val="TableParagraph"/>
              <w:spacing w:line="132" w:lineRule="exact" w:before="6"/>
              <w:ind w:right="133"/>
              <w:jc w:val="right"/>
              <w:rPr>
                <w:sz w:val="13"/>
              </w:rPr>
            </w:pPr>
            <w:r>
              <w:rPr>
                <w:spacing w:val="-2"/>
                <w:sz w:val="13"/>
              </w:rPr>
              <w:t>(21,018)</w:t>
            </w:r>
          </w:p>
        </w:tc>
        <w:tc>
          <w:tcPr>
            <w:tcW w:w="805" w:type="dxa"/>
            <w:tcBorders>
              <w:bottom w:val="single" w:sz="6" w:space="0" w:color="000000"/>
            </w:tcBorders>
          </w:tcPr>
          <w:p>
            <w:pPr>
              <w:pStyle w:val="TableParagraph"/>
              <w:spacing w:line="132" w:lineRule="exact" w:before="6"/>
              <w:ind w:right="12"/>
              <w:jc w:val="right"/>
              <w:rPr>
                <w:sz w:val="13"/>
              </w:rPr>
            </w:pPr>
            <w:r>
              <w:rPr>
                <w:spacing w:val="-2"/>
                <w:sz w:val="13"/>
              </w:rPr>
              <w:t>(35,230)</w:t>
            </w:r>
          </w:p>
        </w:tc>
      </w:tr>
      <w:tr>
        <w:trPr>
          <w:trHeight w:val="150" w:hRule="atLeast"/>
        </w:trPr>
        <w:tc>
          <w:tcPr>
            <w:tcW w:w="553" w:type="dxa"/>
          </w:tcPr>
          <w:p>
            <w:pPr>
              <w:pStyle w:val="TableParagraph"/>
              <w:rPr>
                <w:rFonts w:ascii="Times New Roman"/>
                <w:sz w:val="8"/>
              </w:rPr>
            </w:pPr>
          </w:p>
        </w:tc>
        <w:tc>
          <w:tcPr>
            <w:tcW w:w="3231" w:type="dxa"/>
          </w:tcPr>
          <w:p>
            <w:pPr>
              <w:pStyle w:val="TableParagraph"/>
              <w:spacing w:line="130" w:lineRule="exact"/>
              <w:ind w:left="68"/>
              <w:rPr>
                <w:b/>
                <w:sz w:val="13"/>
              </w:rPr>
            </w:pPr>
            <w:r>
              <w:rPr>
                <w:b/>
                <w:sz w:val="13"/>
              </w:rPr>
              <w:t>Net</w:t>
            </w:r>
            <w:r>
              <w:rPr>
                <w:b/>
                <w:spacing w:val="1"/>
                <w:sz w:val="13"/>
              </w:rPr>
              <w:t> </w:t>
            </w:r>
            <w:r>
              <w:rPr>
                <w:b/>
                <w:sz w:val="13"/>
              </w:rPr>
              <w:t>book</w:t>
            </w:r>
            <w:r>
              <w:rPr>
                <w:b/>
                <w:spacing w:val="1"/>
                <w:sz w:val="13"/>
              </w:rPr>
              <w:t> </w:t>
            </w:r>
            <w:r>
              <w:rPr>
                <w:b/>
                <w:spacing w:val="-2"/>
                <w:sz w:val="13"/>
              </w:rPr>
              <w:t>value</w:t>
            </w:r>
          </w:p>
        </w:tc>
        <w:tc>
          <w:tcPr>
            <w:tcW w:w="596" w:type="dxa"/>
          </w:tcPr>
          <w:p>
            <w:pPr>
              <w:pStyle w:val="TableParagraph"/>
              <w:rPr>
                <w:rFonts w:ascii="Times New Roman"/>
                <w:sz w:val="8"/>
              </w:rPr>
            </w:pPr>
          </w:p>
        </w:tc>
        <w:tc>
          <w:tcPr>
            <w:tcW w:w="984" w:type="dxa"/>
            <w:tcBorders>
              <w:top w:val="single" w:sz="6" w:space="0" w:color="000000"/>
              <w:bottom w:val="single" w:sz="6" w:space="0" w:color="000000"/>
            </w:tcBorders>
          </w:tcPr>
          <w:p>
            <w:pPr>
              <w:pStyle w:val="TableParagraph"/>
              <w:spacing w:line="130" w:lineRule="exact"/>
              <w:ind w:right="124"/>
              <w:jc w:val="right"/>
              <w:rPr>
                <w:b/>
                <w:sz w:val="13"/>
              </w:rPr>
            </w:pPr>
            <w:r>
              <w:rPr>
                <w:b/>
                <w:spacing w:val="-2"/>
                <w:sz w:val="13"/>
              </w:rPr>
              <w:t>187,202</w:t>
            </w:r>
          </w:p>
        </w:tc>
        <w:tc>
          <w:tcPr>
            <w:tcW w:w="938" w:type="dxa"/>
            <w:tcBorders>
              <w:top w:val="single" w:sz="6" w:space="0" w:color="000000"/>
              <w:bottom w:val="single" w:sz="6" w:space="0" w:color="000000"/>
            </w:tcBorders>
          </w:tcPr>
          <w:p>
            <w:pPr>
              <w:pStyle w:val="TableParagraph"/>
              <w:spacing w:line="130" w:lineRule="exact"/>
              <w:ind w:right="136"/>
              <w:jc w:val="right"/>
              <w:rPr>
                <w:b/>
                <w:sz w:val="13"/>
              </w:rPr>
            </w:pPr>
            <w:r>
              <w:rPr>
                <w:b/>
                <w:spacing w:val="-2"/>
                <w:sz w:val="13"/>
              </w:rPr>
              <w:t>80,000</w:t>
            </w:r>
          </w:p>
        </w:tc>
        <w:tc>
          <w:tcPr>
            <w:tcW w:w="933" w:type="dxa"/>
            <w:tcBorders>
              <w:top w:val="single" w:sz="6" w:space="0" w:color="000000"/>
              <w:bottom w:val="single" w:sz="6" w:space="0" w:color="000000"/>
            </w:tcBorders>
          </w:tcPr>
          <w:p>
            <w:pPr>
              <w:pStyle w:val="TableParagraph"/>
              <w:spacing w:line="130" w:lineRule="exact"/>
              <w:ind w:left="308"/>
              <w:rPr>
                <w:b/>
                <w:sz w:val="13"/>
              </w:rPr>
            </w:pPr>
            <w:r>
              <w:rPr>
                <w:b/>
                <w:spacing w:val="-2"/>
                <w:sz w:val="13"/>
              </w:rPr>
              <w:t>870,825</w:t>
            </w:r>
          </w:p>
        </w:tc>
        <w:tc>
          <w:tcPr>
            <w:tcW w:w="900" w:type="dxa"/>
            <w:tcBorders>
              <w:top w:val="single" w:sz="6" w:space="0" w:color="000000"/>
              <w:bottom w:val="single" w:sz="6" w:space="0" w:color="000000"/>
            </w:tcBorders>
          </w:tcPr>
          <w:p>
            <w:pPr>
              <w:pStyle w:val="TableParagraph"/>
              <w:spacing w:line="130" w:lineRule="exact"/>
              <w:ind w:right="117"/>
              <w:jc w:val="right"/>
              <w:rPr>
                <w:b/>
                <w:sz w:val="13"/>
              </w:rPr>
            </w:pPr>
            <w:r>
              <w:rPr>
                <w:b/>
                <w:spacing w:val="-2"/>
                <w:sz w:val="13"/>
              </w:rPr>
              <w:t>53,617</w:t>
            </w:r>
          </w:p>
        </w:tc>
        <w:tc>
          <w:tcPr>
            <w:tcW w:w="949" w:type="dxa"/>
            <w:tcBorders>
              <w:top w:val="single" w:sz="6" w:space="0" w:color="000000"/>
              <w:bottom w:val="single" w:sz="6" w:space="0" w:color="000000"/>
            </w:tcBorders>
          </w:tcPr>
          <w:p>
            <w:pPr>
              <w:pStyle w:val="TableParagraph"/>
              <w:spacing w:line="130" w:lineRule="exact"/>
              <w:ind w:right="140"/>
              <w:jc w:val="right"/>
              <w:rPr>
                <w:b/>
                <w:sz w:val="13"/>
              </w:rPr>
            </w:pPr>
            <w:r>
              <w:rPr>
                <w:b/>
                <w:spacing w:val="-2"/>
                <w:sz w:val="13"/>
              </w:rPr>
              <w:t>56,088</w:t>
            </w:r>
          </w:p>
        </w:tc>
        <w:tc>
          <w:tcPr>
            <w:tcW w:w="955" w:type="dxa"/>
            <w:tcBorders>
              <w:top w:val="single" w:sz="6" w:space="0" w:color="000000"/>
              <w:bottom w:val="single" w:sz="6" w:space="0" w:color="000000"/>
            </w:tcBorders>
          </w:tcPr>
          <w:p>
            <w:pPr>
              <w:pStyle w:val="TableParagraph"/>
              <w:spacing w:line="130" w:lineRule="exact"/>
              <w:ind w:right="170"/>
              <w:jc w:val="right"/>
              <w:rPr>
                <w:b/>
                <w:sz w:val="13"/>
              </w:rPr>
            </w:pPr>
            <w:r>
              <w:rPr>
                <w:b/>
                <w:spacing w:val="-2"/>
                <w:sz w:val="13"/>
              </w:rPr>
              <w:t>29,392</w:t>
            </w:r>
          </w:p>
        </w:tc>
        <w:tc>
          <w:tcPr>
            <w:tcW w:w="859" w:type="dxa"/>
            <w:tcBorders>
              <w:top w:val="single" w:sz="6" w:space="0" w:color="000000"/>
              <w:bottom w:val="single" w:sz="6" w:space="0" w:color="000000"/>
            </w:tcBorders>
          </w:tcPr>
          <w:p>
            <w:pPr>
              <w:pStyle w:val="TableParagraph"/>
              <w:spacing w:line="130" w:lineRule="exact"/>
              <w:ind w:right="103"/>
              <w:jc w:val="right"/>
              <w:rPr>
                <w:b/>
                <w:sz w:val="13"/>
              </w:rPr>
            </w:pPr>
            <w:r>
              <w:rPr>
                <w:b/>
                <w:spacing w:val="-2"/>
                <w:sz w:val="13"/>
              </w:rPr>
              <w:t>3,896</w:t>
            </w:r>
          </w:p>
        </w:tc>
        <w:tc>
          <w:tcPr>
            <w:tcW w:w="930" w:type="dxa"/>
            <w:tcBorders>
              <w:top w:val="single" w:sz="6" w:space="0" w:color="000000"/>
              <w:bottom w:val="single" w:sz="6" w:space="0" w:color="000000"/>
            </w:tcBorders>
          </w:tcPr>
          <w:p>
            <w:pPr>
              <w:pStyle w:val="TableParagraph"/>
              <w:spacing w:line="130" w:lineRule="exact"/>
              <w:ind w:right="99"/>
              <w:jc w:val="right"/>
              <w:rPr>
                <w:sz w:val="13"/>
              </w:rPr>
            </w:pPr>
            <w:r>
              <w:rPr>
                <w:spacing w:val="-10"/>
                <w:sz w:val="13"/>
              </w:rPr>
              <w:t>-</w:t>
            </w:r>
          </w:p>
        </w:tc>
        <w:tc>
          <w:tcPr>
            <w:tcW w:w="996" w:type="dxa"/>
            <w:tcBorders>
              <w:top w:val="single" w:sz="6" w:space="0" w:color="000000"/>
              <w:bottom w:val="single" w:sz="6" w:space="0" w:color="000000"/>
            </w:tcBorders>
          </w:tcPr>
          <w:p>
            <w:pPr>
              <w:pStyle w:val="TableParagraph"/>
              <w:spacing w:line="130" w:lineRule="exact"/>
              <w:ind w:right="177"/>
              <w:jc w:val="right"/>
              <w:rPr>
                <w:b/>
                <w:sz w:val="13"/>
              </w:rPr>
            </w:pPr>
            <w:r>
              <w:rPr>
                <w:b/>
                <w:spacing w:val="-2"/>
                <w:sz w:val="13"/>
              </w:rPr>
              <w:t>45,500</w:t>
            </w:r>
          </w:p>
        </w:tc>
        <w:tc>
          <w:tcPr>
            <w:tcW w:w="805" w:type="dxa"/>
            <w:tcBorders>
              <w:top w:val="single" w:sz="6" w:space="0" w:color="000000"/>
              <w:bottom w:val="single" w:sz="6" w:space="0" w:color="000000"/>
            </w:tcBorders>
          </w:tcPr>
          <w:p>
            <w:pPr>
              <w:pStyle w:val="TableParagraph"/>
              <w:spacing w:line="130" w:lineRule="exact"/>
              <w:ind w:left="158"/>
              <w:rPr>
                <w:b/>
                <w:sz w:val="13"/>
              </w:rPr>
            </w:pPr>
            <w:r>
              <w:rPr>
                <w:b/>
                <w:spacing w:val="-2"/>
                <w:sz w:val="13"/>
              </w:rPr>
              <w:t>1,326,520</w:t>
            </w:r>
          </w:p>
        </w:tc>
      </w:tr>
      <w:tr>
        <w:trPr>
          <w:trHeight w:val="323" w:hRule="atLeast"/>
        </w:trPr>
        <w:tc>
          <w:tcPr>
            <w:tcW w:w="553" w:type="dxa"/>
          </w:tcPr>
          <w:p>
            <w:pPr>
              <w:pStyle w:val="TableParagraph"/>
              <w:rPr>
                <w:rFonts w:ascii="Times New Roman"/>
                <w:sz w:val="12"/>
              </w:rPr>
            </w:pPr>
          </w:p>
        </w:tc>
        <w:tc>
          <w:tcPr>
            <w:tcW w:w="3231" w:type="dxa"/>
          </w:tcPr>
          <w:p>
            <w:pPr>
              <w:pStyle w:val="TableParagraph"/>
              <w:spacing w:before="14"/>
              <w:rPr>
                <w:b/>
                <w:sz w:val="13"/>
              </w:rPr>
            </w:pPr>
          </w:p>
          <w:p>
            <w:pPr>
              <w:pStyle w:val="TableParagraph"/>
              <w:spacing w:line="139" w:lineRule="exact" w:before="1"/>
              <w:ind w:left="68"/>
              <w:rPr>
                <w:b/>
                <w:sz w:val="13"/>
              </w:rPr>
            </w:pPr>
            <w:r>
              <w:rPr>
                <w:b/>
                <w:sz w:val="13"/>
              </w:rPr>
              <w:t>Year ended 31</w:t>
            </w:r>
            <w:r>
              <w:rPr>
                <w:b/>
                <w:spacing w:val="2"/>
                <w:sz w:val="13"/>
              </w:rPr>
              <w:t> </w:t>
            </w:r>
            <w:r>
              <w:rPr>
                <w:b/>
                <w:sz w:val="13"/>
              </w:rPr>
              <w:t>December </w:t>
            </w:r>
            <w:r>
              <w:rPr>
                <w:b/>
                <w:spacing w:val="-4"/>
                <w:sz w:val="13"/>
              </w:rPr>
              <w:t>2019</w:t>
            </w:r>
          </w:p>
        </w:tc>
        <w:tc>
          <w:tcPr>
            <w:tcW w:w="596" w:type="dxa"/>
          </w:tcPr>
          <w:p>
            <w:pPr>
              <w:pStyle w:val="TableParagraph"/>
              <w:rPr>
                <w:rFonts w:ascii="Times New Roman"/>
                <w:sz w:val="12"/>
              </w:rPr>
            </w:pPr>
          </w:p>
        </w:tc>
        <w:tc>
          <w:tcPr>
            <w:tcW w:w="984" w:type="dxa"/>
            <w:tcBorders>
              <w:top w:val="single" w:sz="6" w:space="0" w:color="000000"/>
            </w:tcBorders>
          </w:tcPr>
          <w:p>
            <w:pPr>
              <w:pStyle w:val="TableParagraph"/>
              <w:rPr>
                <w:rFonts w:ascii="Times New Roman"/>
                <w:sz w:val="12"/>
              </w:rPr>
            </w:pPr>
          </w:p>
        </w:tc>
        <w:tc>
          <w:tcPr>
            <w:tcW w:w="938" w:type="dxa"/>
            <w:tcBorders>
              <w:top w:val="single" w:sz="6" w:space="0" w:color="000000"/>
            </w:tcBorders>
          </w:tcPr>
          <w:p>
            <w:pPr>
              <w:pStyle w:val="TableParagraph"/>
              <w:rPr>
                <w:rFonts w:ascii="Times New Roman"/>
                <w:sz w:val="12"/>
              </w:rPr>
            </w:pPr>
          </w:p>
        </w:tc>
        <w:tc>
          <w:tcPr>
            <w:tcW w:w="933" w:type="dxa"/>
            <w:tcBorders>
              <w:top w:val="single" w:sz="6" w:space="0" w:color="000000"/>
            </w:tcBorders>
          </w:tcPr>
          <w:p>
            <w:pPr>
              <w:pStyle w:val="TableParagraph"/>
              <w:rPr>
                <w:rFonts w:ascii="Times New Roman"/>
                <w:sz w:val="12"/>
              </w:rPr>
            </w:pPr>
          </w:p>
        </w:tc>
        <w:tc>
          <w:tcPr>
            <w:tcW w:w="900" w:type="dxa"/>
            <w:tcBorders>
              <w:top w:val="single" w:sz="6" w:space="0" w:color="000000"/>
            </w:tcBorders>
          </w:tcPr>
          <w:p>
            <w:pPr>
              <w:pStyle w:val="TableParagraph"/>
              <w:rPr>
                <w:rFonts w:ascii="Times New Roman"/>
                <w:sz w:val="12"/>
              </w:rPr>
            </w:pPr>
          </w:p>
        </w:tc>
        <w:tc>
          <w:tcPr>
            <w:tcW w:w="949" w:type="dxa"/>
            <w:tcBorders>
              <w:top w:val="single" w:sz="6" w:space="0" w:color="000000"/>
            </w:tcBorders>
          </w:tcPr>
          <w:p>
            <w:pPr>
              <w:pStyle w:val="TableParagraph"/>
              <w:rPr>
                <w:rFonts w:ascii="Times New Roman"/>
                <w:sz w:val="12"/>
              </w:rPr>
            </w:pPr>
          </w:p>
        </w:tc>
        <w:tc>
          <w:tcPr>
            <w:tcW w:w="955" w:type="dxa"/>
            <w:tcBorders>
              <w:top w:val="single" w:sz="6" w:space="0" w:color="000000"/>
            </w:tcBorders>
          </w:tcPr>
          <w:p>
            <w:pPr>
              <w:pStyle w:val="TableParagraph"/>
              <w:rPr>
                <w:rFonts w:ascii="Times New Roman"/>
                <w:sz w:val="12"/>
              </w:rPr>
            </w:pPr>
          </w:p>
        </w:tc>
        <w:tc>
          <w:tcPr>
            <w:tcW w:w="859" w:type="dxa"/>
            <w:tcBorders>
              <w:top w:val="single" w:sz="6" w:space="0" w:color="000000"/>
            </w:tcBorders>
          </w:tcPr>
          <w:p>
            <w:pPr>
              <w:pStyle w:val="TableParagraph"/>
              <w:rPr>
                <w:rFonts w:ascii="Times New Roman"/>
                <w:sz w:val="12"/>
              </w:rPr>
            </w:pPr>
          </w:p>
        </w:tc>
        <w:tc>
          <w:tcPr>
            <w:tcW w:w="930" w:type="dxa"/>
            <w:tcBorders>
              <w:top w:val="single" w:sz="6" w:space="0" w:color="000000"/>
            </w:tcBorders>
          </w:tcPr>
          <w:p>
            <w:pPr>
              <w:pStyle w:val="TableParagraph"/>
              <w:rPr>
                <w:rFonts w:ascii="Times New Roman"/>
                <w:sz w:val="12"/>
              </w:rPr>
            </w:pPr>
          </w:p>
        </w:tc>
        <w:tc>
          <w:tcPr>
            <w:tcW w:w="996" w:type="dxa"/>
            <w:tcBorders>
              <w:top w:val="single" w:sz="6" w:space="0" w:color="000000"/>
            </w:tcBorders>
          </w:tcPr>
          <w:p>
            <w:pPr>
              <w:pStyle w:val="TableParagraph"/>
              <w:rPr>
                <w:rFonts w:ascii="Times New Roman"/>
                <w:sz w:val="12"/>
              </w:rPr>
            </w:pPr>
          </w:p>
        </w:tc>
        <w:tc>
          <w:tcPr>
            <w:tcW w:w="805" w:type="dxa"/>
            <w:tcBorders>
              <w:top w:val="single" w:sz="6" w:space="0" w:color="000000"/>
            </w:tcBorders>
          </w:tcPr>
          <w:p>
            <w:pPr>
              <w:pStyle w:val="TableParagraph"/>
              <w:rPr>
                <w:rFonts w:ascii="Times New Roman"/>
                <w:sz w:val="12"/>
              </w:rPr>
            </w:pPr>
          </w:p>
        </w:tc>
      </w:tr>
      <w:tr>
        <w:trPr>
          <w:trHeight w:val="165" w:hRule="atLeast"/>
        </w:trPr>
        <w:tc>
          <w:tcPr>
            <w:tcW w:w="553" w:type="dxa"/>
          </w:tcPr>
          <w:p>
            <w:pPr>
              <w:pStyle w:val="TableParagraph"/>
              <w:rPr>
                <w:rFonts w:ascii="Times New Roman"/>
                <w:sz w:val="10"/>
              </w:rPr>
            </w:pPr>
          </w:p>
        </w:tc>
        <w:tc>
          <w:tcPr>
            <w:tcW w:w="3231" w:type="dxa"/>
          </w:tcPr>
          <w:p>
            <w:pPr>
              <w:pStyle w:val="TableParagraph"/>
              <w:spacing w:line="139" w:lineRule="exact" w:before="6"/>
              <w:ind w:left="68"/>
              <w:rPr>
                <w:sz w:val="13"/>
              </w:rPr>
            </w:pPr>
            <w:r>
              <w:rPr>
                <w:sz w:val="13"/>
              </w:rPr>
              <w:t>Opening</w:t>
            </w:r>
            <w:r>
              <w:rPr>
                <w:spacing w:val="2"/>
                <w:sz w:val="13"/>
              </w:rPr>
              <w:t> </w:t>
            </w:r>
            <w:r>
              <w:rPr>
                <w:sz w:val="13"/>
              </w:rPr>
              <w:t>net</w:t>
            </w:r>
            <w:r>
              <w:rPr>
                <w:spacing w:val="1"/>
                <w:sz w:val="13"/>
              </w:rPr>
              <w:t> </w:t>
            </w:r>
            <w:r>
              <w:rPr>
                <w:sz w:val="13"/>
              </w:rPr>
              <w:t>book</w:t>
            </w:r>
            <w:r>
              <w:rPr>
                <w:spacing w:val="3"/>
                <w:sz w:val="13"/>
              </w:rPr>
              <w:t> </w:t>
            </w:r>
            <w:r>
              <w:rPr>
                <w:spacing w:val="-2"/>
                <w:sz w:val="13"/>
              </w:rPr>
              <w:t>value</w:t>
            </w:r>
          </w:p>
        </w:tc>
        <w:tc>
          <w:tcPr>
            <w:tcW w:w="596" w:type="dxa"/>
          </w:tcPr>
          <w:p>
            <w:pPr>
              <w:pStyle w:val="TableParagraph"/>
              <w:rPr>
                <w:rFonts w:ascii="Times New Roman"/>
                <w:sz w:val="10"/>
              </w:rPr>
            </w:pPr>
          </w:p>
        </w:tc>
        <w:tc>
          <w:tcPr>
            <w:tcW w:w="984" w:type="dxa"/>
          </w:tcPr>
          <w:p>
            <w:pPr>
              <w:pStyle w:val="TableParagraph"/>
              <w:spacing w:line="139" w:lineRule="exact" w:before="6"/>
              <w:ind w:right="124"/>
              <w:jc w:val="right"/>
              <w:rPr>
                <w:sz w:val="13"/>
              </w:rPr>
            </w:pPr>
            <w:r>
              <w:rPr>
                <w:spacing w:val="-2"/>
                <w:sz w:val="13"/>
              </w:rPr>
              <w:t>187,202</w:t>
            </w:r>
          </w:p>
        </w:tc>
        <w:tc>
          <w:tcPr>
            <w:tcW w:w="938" w:type="dxa"/>
          </w:tcPr>
          <w:p>
            <w:pPr>
              <w:pStyle w:val="TableParagraph"/>
              <w:spacing w:line="139" w:lineRule="exact" w:before="6"/>
              <w:ind w:right="136"/>
              <w:jc w:val="right"/>
              <w:rPr>
                <w:sz w:val="13"/>
              </w:rPr>
            </w:pPr>
            <w:r>
              <w:rPr>
                <w:spacing w:val="-2"/>
                <w:sz w:val="13"/>
              </w:rPr>
              <w:t>80,000</w:t>
            </w:r>
          </w:p>
        </w:tc>
        <w:tc>
          <w:tcPr>
            <w:tcW w:w="933" w:type="dxa"/>
          </w:tcPr>
          <w:p>
            <w:pPr>
              <w:pStyle w:val="TableParagraph"/>
              <w:spacing w:line="139" w:lineRule="exact" w:before="6"/>
              <w:ind w:left="308"/>
              <w:rPr>
                <w:sz w:val="13"/>
              </w:rPr>
            </w:pPr>
            <w:r>
              <w:rPr>
                <w:spacing w:val="-2"/>
                <w:sz w:val="13"/>
              </w:rPr>
              <w:t>870,825</w:t>
            </w:r>
          </w:p>
        </w:tc>
        <w:tc>
          <w:tcPr>
            <w:tcW w:w="900" w:type="dxa"/>
          </w:tcPr>
          <w:p>
            <w:pPr>
              <w:pStyle w:val="TableParagraph"/>
              <w:spacing w:line="139" w:lineRule="exact" w:before="6"/>
              <w:ind w:right="117"/>
              <w:jc w:val="right"/>
              <w:rPr>
                <w:sz w:val="13"/>
              </w:rPr>
            </w:pPr>
            <w:r>
              <w:rPr>
                <w:spacing w:val="-2"/>
                <w:sz w:val="13"/>
              </w:rPr>
              <w:t>53,617</w:t>
            </w:r>
          </w:p>
        </w:tc>
        <w:tc>
          <w:tcPr>
            <w:tcW w:w="949" w:type="dxa"/>
          </w:tcPr>
          <w:p>
            <w:pPr>
              <w:pStyle w:val="TableParagraph"/>
              <w:spacing w:line="139" w:lineRule="exact" w:before="6"/>
              <w:ind w:right="141"/>
              <w:jc w:val="right"/>
              <w:rPr>
                <w:sz w:val="13"/>
              </w:rPr>
            </w:pPr>
            <w:r>
              <w:rPr>
                <w:spacing w:val="-2"/>
                <w:sz w:val="13"/>
              </w:rPr>
              <w:t>56,088</w:t>
            </w:r>
          </w:p>
        </w:tc>
        <w:tc>
          <w:tcPr>
            <w:tcW w:w="955" w:type="dxa"/>
          </w:tcPr>
          <w:p>
            <w:pPr>
              <w:pStyle w:val="TableParagraph"/>
              <w:spacing w:line="139" w:lineRule="exact" w:before="6"/>
              <w:ind w:right="170"/>
              <w:jc w:val="right"/>
              <w:rPr>
                <w:sz w:val="13"/>
              </w:rPr>
            </w:pPr>
            <w:r>
              <w:rPr>
                <w:spacing w:val="-2"/>
                <w:sz w:val="13"/>
              </w:rPr>
              <w:t>29,392</w:t>
            </w:r>
          </w:p>
        </w:tc>
        <w:tc>
          <w:tcPr>
            <w:tcW w:w="859" w:type="dxa"/>
          </w:tcPr>
          <w:p>
            <w:pPr>
              <w:pStyle w:val="TableParagraph"/>
              <w:spacing w:line="139" w:lineRule="exact" w:before="6"/>
              <w:ind w:right="103"/>
              <w:jc w:val="right"/>
              <w:rPr>
                <w:sz w:val="13"/>
              </w:rPr>
            </w:pPr>
            <w:r>
              <w:rPr>
                <w:spacing w:val="-2"/>
                <w:sz w:val="13"/>
              </w:rPr>
              <w:t>3,896</w:t>
            </w:r>
          </w:p>
        </w:tc>
        <w:tc>
          <w:tcPr>
            <w:tcW w:w="930" w:type="dxa"/>
          </w:tcPr>
          <w:p>
            <w:pPr>
              <w:pStyle w:val="TableParagraph"/>
              <w:spacing w:line="139" w:lineRule="exact" w:before="6"/>
              <w:ind w:right="107"/>
              <w:jc w:val="right"/>
              <w:rPr>
                <w:sz w:val="13"/>
              </w:rPr>
            </w:pPr>
            <w:r>
              <w:rPr>
                <w:spacing w:val="-2"/>
                <w:sz w:val="13"/>
              </w:rPr>
              <w:t>1,254</w:t>
            </w:r>
          </w:p>
        </w:tc>
        <w:tc>
          <w:tcPr>
            <w:tcW w:w="996" w:type="dxa"/>
          </w:tcPr>
          <w:p>
            <w:pPr>
              <w:pStyle w:val="TableParagraph"/>
              <w:spacing w:line="139" w:lineRule="exact" w:before="6"/>
              <w:ind w:right="177"/>
              <w:jc w:val="right"/>
              <w:rPr>
                <w:sz w:val="13"/>
              </w:rPr>
            </w:pPr>
            <w:r>
              <w:rPr>
                <w:spacing w:val="-2"/>
                <w:sz w:val="13"/>
              </w:rPr>
              <w:t>45,500</w:t>
            </w:r>
          </w:p>
        </w:tc>
        <w:tc>
          <w:tcPr>
            <w:tcW w:w="805" w:type="dxa"/>
          </w:tcPr>
          <w:p>
            <w:pPr>
              <w:pStyle w:val="TableParagraph"/>
              <w:spacing w:line="139" w:lineRule="exact" w:before="6"/>
              <w:ind w:left="158"/>
              <w:rPr>
                <w:sz w:val="13"/>
              </w:rPr>
            </w:pPr>
            <w:r>
              <w:rPr>
                <w:spacing w:val="-2"/>
                <w:sz w:val="13"/>
              </w:rPr>
              <w:t>1,327,775</w:t>
            </w:r>
          </w:p>
        </w:tc>
      </w:tr>
      <w:tr>
        <w:trPr>
          <w:trHeight w:val="165" w:hRule="atLeast"/>
        </w:trPr>
        <w:tc>
          <w:tcPr>
            <w:tcW w:w="553" w:type="dxa"/>
          </w:tcPr>
          <w:p>
            <w:pPr>
              <w:pStyle w:val="TableParagraph"/>
              <w:rPr>
                <w:rFonts w:ascii="Times New Roman"/>
                <w:sz w:val="10"/>
              </w:rPr>
            </w:pPr>
          </w:p>
        </w:tc>
        <w:tc>
          <w:tcPr>
            <w:tcW w:w="3231" w:type="dxa"/>
          </w:tcPr>
          <w:p>
            <w:pPr>
              <w:pStyle w:val="TableParagraph"/>
              <w:spacing w:line="139" w:lineRule="exact" w:before="6"/>
              <w:ind w:left="68"/>
              <w:rPr>
                <w:sz w:val="13"/>
              </w:rPr>
            </w:pPr>
            <w:r>
              <w:rPr>
                <w:spacing w:val="-2"/>
                <w:sz w:val="13"/>
              </w:rPr>
              <w:t>Additions</w:t>
            </w:r>
          </w:p>
        </w:tc>
        <w:tc>
          <w:tcPr>
            <w:tcW w:w="596" w:type="dxa"/>
          </w:tcPr>
          <w:p>
            <w:pPr>
              <w:pStyle w:val="TableParagraph"/>
              <w:rPr>
                <w:rFonts w:ascii="Times New Roman"/>
                <w:sz w:val="10"/>
              </w:rPr>
            </w:pPr>
          </w:p>
        </w:tc>
        <w:tc>
          <w:tcPr>
            <w:tcW w:w="984" w:type="dxa"/>
          </w:tcPr>
          <w:p>
            <w:pPr>
              <w:pStyle w:val="TableParagraph"/>
              <w:spacing w:line="139" w:lineRule="exact" w:before="6"/>
              <w:ind w:right="116"/>
              <w:jc w:val="right"/>
              <w:rPr>
                <w:sz w:val="13"/>
              </w:rPr>
            </w:pPr>
            <w:r>
              <w:rPr>
                <w:spacing w:val="-10"/>
                <w:sz w:val="13"/>
              </w:rPr>
              <w:t>-</w:t>
            </w:r>
          </w:p>
        </w:tc>
        <w:tc>
          <w:tcPr>
            <w:tcW w:w="938" w:type="dxa"/>
          </w:tcPr>
          <w:p>
            <w:pPr>
              <w:pStyle w:val="TableParagraph"/>
              <w:spacing w:line="139" w:lineRule="exact" w:before="6"/>
              <w:ind w:right="128"/>
              <w:jc w:val="right"/>
              <w:rPr>
                <w:sz w:val="13"/>
              </w:rPr>
            </w:pPr>
            <w:r>
              <w:rPr>
                <w:spacing w:val="-10"/>
                <w:sz w:val="13"/>
              </w:rPr>
              <w:t>-</w:t>
            </w:r>
          </w:p>
        </w:tc>
        <w:tc>
          <w:tcPr>
            <w:tcW w:w="933" w:type="dxa"/>
          </w:tcPr>
          <w:p>
            <w:pPr>
              <w:pStyle w:val="TableParagraph"/>
              <w:spacing w:line="139" w:lineRule="exact" w:before="6"/>
              <w:ind w:right="143"/>
              <w:jc w:val="right"/>
              <w:rPr>
                <w:sz w:val="13"/>
              </w:rPr>
            </w:pPr>
            <w:r>
              <w:rPr>
                <w:spacing w:val="-5"/>
                <w:sz w:val="13"/>
              </w:rPr>
              <w:t>22</w:t>
            </w:r>
          </w:p>
        </w:tc>
        <w:tc>
          <w:tcPr>
            <w:tcW w:w="900" w:type="dxa"/>
          </w:tcPr>
          <w:p>
            <w:pPr>
              <w:pStyle w:val="TableParagraph"/>
              <w:spacing w:line="139" w:lineRule="exact" w:before="6"/>
              <w:ind w:right="117"/>
              <w:jc w:val="right"/>
              <w:rPr>
                <w:sz w:val="13"/>
              </w:rPr>
            </w:pPr>
            <w:r>
              <w:rPr>
                <w:spacing w:val="-2"/>
                <w:sz w:val="13"/>
              </w:rPr>
              <w:t>56,616</w:t>
            </w:r>
          </w:p>
        </w:tc>
        <w:tc>
          <w:tcPr>
            <w:tcW w:w="949" w:type="dxa"/>
          </w:tcPr>
          <w:p>
            <w:pPr>
              <w:pStyle w:val="TableParagraph"/>
              <w:spacing w:line="139" w:lineRule="exact" w:before="6"/>
              <w:ind w:right="141"/>
              <w:jc w:val="right"/>
              <w:rPr>
                <w:sz w:val="13"/>
              </w:rPr>
            </w:pPr>
            <w:r>
              <w:rPr>
                <w:spacing w:val="-2"/>
                <w:sz w:val="13"/>
              </w:rPr>
              <w:t>19,330</w:t>
            </w:r>
          </w:p>
        </w:tc>
        <w:tc>
          <w:tcPr>
            <w:tcW w:w="955" w:type="dxa"/>
          </w:tcPr>
          <w:p>
            <w:pPr>
              <w:pStyle w:val="TableParagraph"/>
              <w:spacing w:line="139" w:lineRule="exact" w:before="6"/>
              <w:ind w:right="170"/>
              <w:jc w:val="right"/>
              <w:rPr>
                <w:sz w:val="13"/>
              </w:rPr>
            </w:pPr>
            <w:r>
              <w:rPr>
                <w:spacing w:val="-5"/>
                <w:sz w:val="13"/>
              </w:rPr>
              <w:t>260</w:t>
            </w:r>
          </w:p>
        </w:tc>
        <w:tc>
          <w:tcPr>
            <w:tcW w:w="859" w:type="dxa"/>
          </w:tcPr>
          <w:p>
            <w:pPr>
              <w:pStyle w:val="TableParagraph"/>
              <w:spacing w:line="139" w:lineRule="exact" w:before="6"/>
              <w:ind w:right="103"/>
              <w:jc w:val="right"/>
              <w:rPr>
                <w:sz w:val="13"/>
              </w:rPr>
            </w:pPr>
            <w:r>
              <w:rPr>
                <w:spacing w:val="-5"/>
                <w:sz w:val="13"/>
              </w:rPr>
              <w:t>285</w:t>
            </w:r>
          </w:p>
        </w:tc>
        <w:tc>
          <w:tcPr>
            <w:tcW w:w="930" w:type="dxa"/>
          </w:tcPr>
          <w:p>
            <w:pPr>
              <w:pStyle w:val="TableParagraph"/>
              <w:spacing w:line="139" w:lineRule="exact" w:before="6"/>
              <w:ind w:right="99"/>
              <w:jc w:val="right"/>
              <w:rPr>
                <w:sz w:val="13"/>
              </w:rPr>
            </w:pPr>
            <w:r>
              <w:rPr>
                <w:spacing w:val="-10"/>
                <w:sz w:val="13"/>
              </w:rPr>
              <w:t>-</w:t>
            </w:r>
          </w:p>
        </w:tc>
        <w:tc>
          <w:tcPr>
            <w:tcW w:w="996" w:type="dxa"/>
          </w:tcPr>
          <w:p>
            <w:pPr>
              <w:pStyle w:val="TableParagraph"/>
              <w:spacing w:line="139" w:lineRule="exact" w:before="6"/>
              <w:ind w:right="177"/>
              <w:jc w:val="right"/>
              <w:rPr>
                <w:sz w:val="13"/>
              </w:rPr>
            </w:pPr>
            <w:r>
              <w:rPr>
                <w:spacing w:val="-5"/>
                <w:sz w:val="13"/>
              </w:rPr>
              <w:t>603</w:t>
            </w:r>
          </w:p>
        </w:tc>
        <w:tc>
          <w:tcPr>
            <w:tcW w:w="805" w:type="dxa"/>
          </w:tcPr>
          <w:p>
            <w:pPr>
              <w:pStyle w:val="TableParagraph"/>
              <w:spacing w:line="139" w:lineRule="exact" w:before="6"/>
              <w:ind w:left="341"/>
              <w:rPr>
                <w:sz w:val="13"/>
              </w:rPr>
            </w:pPr>
            <w:r>
              <w:rPr>
                <w:spacing w:val="-2"/>
                <w:sz w:val="13"/>
              </w:rPr>
              <w:t>77,116</w:t>
            </w:r>
          </w:p>
        </w:tc>
      </w:tr>
      <w:tr>
        <w:trPr>
          <w:trHeight w:val="165" w:hRule="atLeast"/>
        </w:trPr>
        <w:tc>
          <w:tcPr>
            <w:tcW w:w="553" w:type="dxa"/>
          </w:tcPr>
          <w:p>
            <w:pPr>
              <w:pStyle w:val="TableParagraph"/>
              <w:rPr>
                <w:rFonts w:ascii="Times New Roman"/>
                <w:sz w:val="10"/>
              </w:rPr>
            </w:pPr>
          </w:p>
        </w:tc>
        <w:tc>
          <w:tcPr>
            <w:tcW w:w="3231" w:type="dxa"/>
          </w:tcPr>
          <w:p>
            <w:pPr>
              <w:pStyle w:val="TableParagraph"/>
              <w:spacing w:line="139" w:lineRule="exact" w:before="6"/>
              <w:ind w:left="68"/>
              <w:rPr>
                <w:sz w:val="13"/>
              </w:rPr>
            </w:pPr>
            <w:r>
              <w:rPr>
                <w:spacing w:val="-2"/>
                <w:sz w:val="13"/>
              </w:rPr>
              <w:t>Disposals</w:t>
            </w:r>
          </w:p>
        </w:tc>
        <w:tc>
          <w:tcPr>
            <w:tcW w:w="596" w:type="dxa"/>
          </w:tcPr>
          <w:p>
            <w:pPr>
              <w:pStyle w:val="TableParagraph"/>
              <w:rPr>
                <w:rFonts w:ascii="Times New Roman"/>
                <w:sz w:val="10"/>
              </w:rPr>
            </w:pPr>
          </w:p>
        </w:tc>
        <w:tc>
          <w:tcPr>
            <w:tcW w:w="984" w:type="dxa"/>
          </w:tcPr>
          <w:p>
            <w:pPr>
              <w:pStyle w:val="TableParagraph"/>
              <w:spacing w:line="139" w:lineRule="exact" w:before="6"/>
              <w:ind w:right="116"/>
              <w:jc w:val="right"/>
              <w:rPr>
                <w:sz w:val="13"/>
              </w:rPr>
            </w:pPr>
            <w:r>
              <w:rPr>
                <w:spacing w:val="-10"/>
                <w:sz w:val="13"/>
              </w:rPr>
              <w:t>-</w:t>
            </w:r>
          </w:p>
        </w:tc>
        <w:tc>
          <w:tcPr>
            <w:tcW w:w="938" w:type="dxa"/>
          </w:tcPr>
          <w:p>
            <w:pPr>
              <w:pStyle w:val="TableParagraph"/>
              <w:spacing w:line="139" w:lineRule="exact" w:before="6"/>
              <w:ind w:right="128"/>
              <w:jc w:val="right"/>
              <w:rPr>
                <w:sz w:val="13"/>
              </w:rPr>
            </w:pPr>
            <w:r>
              <w:rPr>
                <w:spacing w:val="-10"/>
                <w:sz w:val="13"/>
              </w:rPr>
              <w:t>-</w:t>
            </w:r>
          </w:p>
        </w:tc>
        <w:tc>
          <w:tcPr>
            <w:tcW w:w="933" w:type="dxa"/>
          </w:tcPr>
          <w:p>
            <w:pPr>
              <w:pStyle w:val="TableParagraph"/>
              <w:spacing w:line="139" w:lineRule="exact" w:before="6"/>
              <w:ind w:right="99"/>
              <w:jc w:val="right"/>
              <w:rPr>
                <w:sz w:val="13"/>
              </w:rPr>
            </w:pPr>
            <w:r>
              <w:rPr>
                <w:spacing w:val="-4"/>
                <w:sz w:val="13"/>
              </w:rPr>
              <w:t>(41)</w:t>
            </w:r>
          </w:p>
        </w:tc>
        <w:tc>
          <w:tcPr>
            <w:tcW w:w="900" w:type="dxa"/>
          </w:tcPr>
          <w:p>
            <w:pPr>
              <w:pStyle w:val="TableParagraph"/>
              <w:spacing w:line="139" w:lineRule="exact" w:before="6"/>
              <w:ind w:right="109"/>
              <w:jc w:val="right"/>
              <w:rPr>
                <w:sz w:val="13"/>
              </w:rPr>
            </w:pPr>
            <w:r>
              <w:rPr>
                <w:spacing w:val="-10"/>
                <w:sz w:val="13"/>
              </w:rPr>
              <w:t>-</w:t>
            </w:r>
          </w:p>
        </w:tc>
        <w:tc>
          <w:tcPr>
            <w:tcW w:w="949" w:type="dxa"/>
          </w:tcPr>
          <w:p>
            <w:pPr>
              <w:pStyle w:val="TableParagraph"/>
              <w:spacing w:line="139" w:lineRule="exact" w:before="6"/>
              <w:ind w:right="96"/>
              <w:jc w:val="right"/>
              <w:rPr>
                <w:sz w:val="13"/>
              </w:rPr>
            </w:pPr>
            <w:r>
              <w:rPr>
                <w:spacing w:val="-2"/>
                <w:sz w:val="13"/>
              </w:rPr>
              <w:t>(341)</w:t>
            </w:r>
          </w:p>
        </w:tc>
        <w:tc>
          <w:tcPr>
            <w:tcW w:w="955" w:type="dxa"/>
          </w:tcPr>
          <w:p>
            <w:pPr>
              <w:pStyle w:val="TableParagraph"/>
              <w:spacing w:line="139" w:lineRule="exact" w:before="6"/>
              <w:ind w:right="125"/>
              <w:jc w:val="right"/>
              <w:rPr>
                <w:sz w:val="13"/>
              </w:rPr>
            </w:pPr>
            <w:r>
              <w:rPr>
                <w:spacing w:val="-2"/>
                <w:sz w:val="13"/>
              </w:rPr>
              <w:t>(308)</w:t>
            </w:r>
          </w:p>
        </w:tc>
        <w:tc>
          <w:tcPr>
            <w:tcW w:w="859" w:type="dxa"/>
          </w:tcPr>
          <w:p>
            <w:pPr>
              <w:pStyle w:val="TableParagraph"/>
              <w:spacing w:line="139" w:lineRule="exact" w:before="6"/>
              <w:ind w:right="95"/>
              <w:jc w:val="right"/>
              <w:rPr>
                <w:sz w:val="13"/>
              </w:rPr>
            </w:pPr>
            <w:r>
              <w:rPr>
                <w:spacing w:val="-10"/>
                <w:sz w:val="13"/>
              </w:rPr>
              <w:t>-</w:t>
            </w:r>
          </w:p>
        </w:tc>
        <w:tc>
          <w:tcPr>
            <w:tcW w:w="930" w:type="dxa"/>
          </w:tcPr>
          <w:p>
            <w:pPr>
              <w:pStyle w:val="TableParagraph"/>
              <w:spacing w:line="139" w:lineRule="exact" w:before="6"/>
              <w:ind w:right="99"/>
              <w:jc w:val="right"/>
              <w:rPr>
                <w:sz w:val="13"/>
              </w:rPr>
            </w:pPr>
            <w:r>
              <w:rPr>
                <w:spacing w:val="-10"/>
                <w:sz w:val="13"/>
              </w:rPr>
              <w:t>-</w:t>
            </w:r>
          </w:p>
        </w:tc>
        <w:tc>
          <w:tcPr>
            <w:tcW w:w="996" w:type="dxa"/>
          </w:tcPr>
          <w:p>
            <w:pPr>
              <w:pStyle w:val="TableParagraph"/>
              <w:spacing w:line="139" w:lineRule="exact" w:before="6"/>
              <w:ind w:right="169"/>
              <w:jc w:val="right"/>
              <w:rPr>
                <w:sz w:val="13"/>
              </w:rPr>
            </w:pPr>
            <w:r>
              <w:rPr>
                <w:spacing w:val="-10"/>
                <w:sz w:val="13"/>
              </w:rPr>
              <w:t>-</w:t>
            </w:r>
          </w:p>
        </w:tc>
        <w:tc>
          <w:tcPr>
            <w:tcW w:w="805" w:type="dxa"/>
          </w:tcPr>
          <w:p>
            <w:pPr>
              <w:pStyle w:val="TableParagraph"/>
              <w:spacing w:line="139" w:lineRule="exact" w:before="6"/>
              <w:ind w:right="12"/>
              <w:jc w:val="right"/>
              <w:rPr>
                <w:sz w:val="13"/>
              </w:rPr>
            </w:pPr>
            <w:r>
              <w:rPr>
                <w:spacing w:val="-2"/>
                <w:sz w:val="13"/>
              </w:rPr>
              <w:t>(690)</w:t>
            </w:r>
          </w:p>
        </w:tc>
      </w:tr>
      <w:tr>
        <w:trPr>
          <w:trHeight w:val="165" w:hRule="atLeast"/>
        </w:trPr>
        <w:tc>
          <w:tcPr>
            <w:tcW w:w="553" w:type="dxa"/>
          </w:tcPr>
          <w:p>
            <w:pPr>
              <w:pStyle w:val="TableParagraph"/>
              <w:rPr>
                <w:rFonts w:ascii="Times New Roman"/>
                <w:sz w:val="10"/>
              </w:rPr>
            </w:pPr>
          </w:p>
        </w:tc>
        <w:tc>
          <w:tcPr>
            <w:tcW w:w="3231" w:type="dxa"/>
          </w:tcPr>
          <w:p>
            <w:pPr>
              <w:pStyle w:val="TableParagraph"/>
              <w:spacing w:line="139" w:lineRule="exact" w:before="6"/>
              <w:ind w:left="68"/>
              <w:rPr>
                <w:sz w:val="13"/>
              </w:rPr>
            </w:pPr>
            <w:r>
              <w:rPr>
                <w:spacing w:val="-2"/>
                <w:sz w:val="13"/>
              </w:rPr>
              <w:t>Depreciation</w:t>
            </w:r>
          </w:p>
        </w:tc>
        <w:tc>
          <w:tcPr>
            <w:tcW w:w="596" w:type="dxa"/>
          </w:tcPr>
          <w:p>
            <w:pPr>
              <w:pStyle w:val="TableParagraph"/>
              <w:rPr>
                <w:rFonts w:ascii="Times New Roman"/>
                <w:sz w:val="10"/>
              </w:rPr>
            </w:pPr>
          </w:p>
        </w:tc>
        <w:tc>
          <w:tcPr>
            <w:tcW w:w="984" w:type="dxa"/>
          </w:tcPr>
          <w:p>
            <w:pPr>
              <w:pStyle w:val="TableParagraph"/>
              <w:spacing w:line="139" w:lineRule="exact" w:before="6"/>
              <w:ind w:right="116"/>
              <w:jc w:val="right"/>
              <w:rPr>
                <w:sz w:val="13"/>
              </w:rPr>
            </w:pPr>
            <w:r>
              <w:rPr>
                <w:spacing w:val="-10"/>
                <w:sz w:val="13"/>
              </w:rPr>
              <w:t>-</w:t>
            </w:r>
          </w:p>
        </w:tc>
        <w:tc>
          <w:tcPr>
            <w:tcW w:w="938" w:type="dxa"/>
          </w:tcPr>
          <w:p>
            <w:pPr>
              <w:pStyle w:val="TableParagraph"/>
              <w:spacing w:line="139" w:lineRule="exact" w:before="6"/>
              <w:ind w:right="128"/>
              <w:jc w:val="right"/>
              <w:rPr>
                <w:sz w:val="13"/>
              </w:rPr>
            </w:pPr>
            <w:r>
              <w:rPr>
                <w:spacing w:val="-10"/>
                <w:sz w:val="13"/>
              </w:rPr>
              <w:t>-</w:t>
            </w:r>
          </w:p>
        </w:tc>
        <w:tc>
          <w:tcPr>
            <w:tcW w:w="933" w:type="dxa"/>
          </w:tcPr>
          <w:p>
            <w:pPr>
              <w:pStyle w:val="TableParagraph"/>
              <w:spacing w:line="139" w:lineRule="exact" w:before="6"/>
              <w:ind w:right="99"/>
              <w:jc w:val="right"/>
              <w:rPr>
                <w:sz w:val="13"/>
              </w:rPr>
            </w:pPr>
            <w:r>
              <w:rPr>
                <w:spacing w:val="-2"/>
                <w:sz w:val="13"/>
              </w:rPr>
              <w:t>(22,728)</w:t>
            </w:r>
          </w:p>
        </w:tc>
        <w:tc>
          <w:tcPr>
            <w:tcW w:w="900" w:type="dxa"/>
          </w:tcPr>
          <w:p>
            <w:pPr>
              <w:pStyle w:val="TableParagraph"/>
              <w:spacing w:line="139" w:lineRule="exact" w:before="6"/>
              <w:ind w:right="109"/>
              <w:jc w:val="right"/>
              <w:rPr>
                <w:sz w:val="13"/>
              </w:rPr>
            </w:pPr>
            <w:r>
              <w:rPr>
                <w:spacing w:val="-10"/>
                <w:sz w:val="13"/>
              </w:rPr>
              <w:t>-</w:t>
            </w:r>
          </w:p>
        </w:tc>
        <w:tc>
          <w:tcPr>
            <w:tcW w:w="949" w:type="dxa"/>
          </w:tcPr>
          <w:p>
            <w:pPr>
              <w:pStyle w:val="TableParagraph"/>
              <w:spacing w:line="139" w:lineRule="exact" w:before="6"/>
              <w:ind w:right="96"/>
              <w:jc w:val="right"/>
              <w:rPr>
                <w:sz w:val="13"/>
              </w:rPr>
            </w:pPr>
            <w:r>
              <w:rPr>
                <w:spacing w:val="-2"/>
                <w:sz w:val="13"/>
              </w:rPr>
              <w:t>(19,982)</w:t>
            </w:r>
          </w:p>
        </w:tc>
        <w:tc>
          <w:tcPr>
            <w:tcW w:w="955" w:type="dxa"/>
          </w:tcPr>
          <w:p>
            <w:pPr>
              <w:pStyle w:val="TableParagraph"/>
              <w:spacing w:line="139" w:lineRule="exact" w:before="6"/>
              <w:ind w:right="162"/>
              <w:jc w:val="right"/>
              <w:rPr>
                <w:sz w:val="13"/>
              </w:rPr>
            </w:pPr>
            <w:r>
              <w:rPr>
                <w:spacing w:val="-10"/>
                <w:sz w:val="13"/>
              </w:rPr>
              <w:t>-</w:t>
            </w:r>
          </w:p>
        </w:tc>
        <w:tc>
          <w:tcPr>
            <w:tcW w:w="859" w:type="dxa"/>
          </w:tcPr>
          <w:p>
            <w:pPr>
              <w:pStyle w:val="TableParagraph"/>
              <w:spacing w:line="139" w:lineRule="exact" w:before="6"/>
              <w:ind w:right="59"/>
              <w:jc w:val="right"/>
              <w:rPr>
                <w:sz w:val="13"/>
              </w:rPr>
            </w:pPr>
            <w:r>
              <w:rPr>
                <w:spacing w:val="-2"/>
                <w:sz w:val="13"/>
              </w:rPr>
              <w:t>(1,069)</w:t>
            </w:r>
          </w:p>
        </w:tc>
        <w:tc>
          <w:tcPr>
            <w:tcW w:w="930" w:type="dxa"/>
          </w:tcPr>
          <w:p>
            <w:pPr>
              <w:pStyle w:val="TableParagraph"/>
              <w:spacing w:line="139" w:lineRule="exact" w:before="6"/>
              <w:ind w:right="63"/>
              <w:jc w:val="right"/>
              <w:rPr>
                <w:sz w:val="13"/>
              </w:rPr>
            </w:pPr>
            <w:r>
              <w:rPr>
                <w:spacing w:val="-2"/>
                <w:sz w:val="13"/>
              </w:rPr>
              <w:t>(705)</w:t>
            </w:r>
          </w:p>
        </w:tc>
        <w:tc>
          <w:tcPr>
            <w:tcW w:w="996" w:type="dxa"/>
          </w:tcPr>
          <w:p>
            <w:pPr>
              <w:pStyle w:val="TableParagraph"/>
              <w:spacing w:line="139" w:lineRule="exact" w:before="6"/>
              <w:ind w:right="169"/>
              <w:jc w:val="right"/>
              <w:rPr>
                <w:sz w:val="13"/>
              </w:rPr>
            </w:pPr>
            <w:r>
              <w:rPr>
                <w:spacing w:val="-10"/>
                <w:sz w:val="13"/>
              </w:rPr>
              <w:t>-</w:t>
            </w:r>
          </w:p>
        </w:tc>
        <w:tc>
          <w:tcPr>
            <w:tcW w:w="805" w:type="dxa"/>
          </w:tcPr>
          <w:p>
            <w:pPr>
              <w:pStyle w:val="TableParagraph"/>
              <w:spacing w:line="139" w:lineRule="exact" w:before="6"/>
              <w:ind w:right="12"/>
              <w:jc w:val="right"/>
              <w:rPr>
                <w:sz w:val="13"/>
              </w:rPr>
            </w:pPr>
            <w:r>
              <w:rPr>
                <w:spacing w:val="-2"/>
                <w:sz w:val="13"/>
              </w:rPr>
              <w:t>(44,484)</w:t>
            </w:r>
          </w:p>
        </w:tc>
      </w:tr>
      <w:tr>
        <w:trPr>
          <w:trHeight w:val="165" w:hRule="atLeast"/>
        </w:trPr>
        <w:tc>
          <w:tcPr>
            <w:tcW w:w="553" w:type="dxa"/>
          </w:tcPr>
          <w:p>
            <w:pPr>
              <w:pStyle w:val="TableParagraph"/>
              <w:rPr>
                <w:rFonts w:ascii="Times New Roman"/>
                <w:sz w:val="10"/>
              </w:rPr>
            </w:pPr>
          </w:p>
        </w:tc>
        <w:tc>
          <w:tcPr>
            <w:tcW w:w="3231" w:type="dxa"/>
          </w:tcPr>
          <w:p>
            <w:pPr>
              <w:pStyle w:val="TableParagraph"/>
              <w:spacing w:line="139" w:lineRule="exact" w:before="6"/>
              <w:ind w:left="68"/>
              <w:rPr>
                <w:sz w:val="13"/>
              </w:rPr>
            </w:pPr>
            <w:r>
              <w:rPr>
                <w:spacing w:val="-2"/>
                <w:sz w:val="13"/>
              </w:rPr>
              <w:t>Impairment</w:t>
            </w:r>
          </w:p>
        </w:tc>
        <w:tc>
          <w:tcPr>
            <w:tcW w:w="596" w:type="dxa"/>
          </w:tcPr>
          <w:p>
            <w:pPr>
              <w:pStyle w:val="TableParagraph"/>
              <w:rPr>
                <w:rFonts w:ascii="Times New Roman"/>
                <w:sz w:val="10"/>
              </w:rPr>
            </w:pPr>
          </w:p>
        </w:tc>
        <w:tc>
          <w:tcPr>
            <w:tcW w:w="984" w:type="dxa"/>
          </w:tcPr>
          <w:p>
            <w:pPr>
              <w:pStyle w:val="TableParagraph"/>
              <w:spacing w:line="139" w:lineRule="exact" w:before="6"/>
              <w:ind w:right="80"/>
              <w:jc w:val="right"/>
              <w:rPr>
                <w:sz w:val="13"/>
              </w:rPr>
            </w:pPr>
            <w:r>
              <w:rPr>
                <w:spacing w:val="-2"/>
                <w:sz w:val="13"/>
              </w:rPr>
              <w:t>(181)</w:t>
            </w:r>
          </w:p>
        </w:tc>
        <w:tc>
          <w:tcPr>
            <w:tcW w:w="938" w:type="dxa"/>
          </w:tcPr>
          <w:p>
            <w:pPr>
              <w:pStyle w:val="TableParagraph"/>
              <w:spacing w:line="139" w:lineRule="exact" w:before="6"/>
              <w:ind w:right="128"/>
              <w:jc w:val="right"/>
              <w:rPr>
                <w:sz w:val="13"/>
              </w:rPr>
            </w:pPr>
            <w:r>
              <w:rPr>
                <w:spacing w:val="-10"/>
                <w:sz w:val="13"/>
              </w:rPr>
              <w:t>-</w:t>
            </w:r>
          </w:p>
        </w:tc>
        <w:tc>
          <w:tcPr>
            <w:tcW w:w="933" w:type="dxa"/>
          </w:tcPr>
          <w:p>
            <w:pPr>
              <w:pStyle w:val="TableParagraph"/>
              <w:spacing w:line="139" w:lineRule="exact" w:before="6"/>
              <w:ind w:right="99"/>
              <w:jc w:val="right"/>
              <w:rPr>
                <w:sz w:val="13"/>
              </w:rPr>
            </w:pPr>
            <w:r>
              <w:rPr>
                <w:spacing w:val="-4"/>
                <w:sz w:val="13"/>
              </w:rPr>
              <w:t>(60)</w:t>
            </w:r>
          </w:p>
        </w:tc>
        <w:tc>
          <w:tcPr>
            <w:tcW w:w="900" w:type="dxa"/>
          </w:tcPr>
          <w:p>
            <w:pPr>
              <w:pStyle w:val="TableParagraph"/>
              <w:spacing w:line="139" w:lineRule="exact" w:before="6"/>
              <w:ind w:right="109"/>
              <w:jc w:val="right"/>
              <w:rPr>
                <w:sz w:val="13"/>
              </w:rPr>
            </w:pPr>
            <w:r>
              <w:rPr>
                <w:spacing w:val="-10"/>
                <w:sz w:val="13"/>
              </w:rPr>
              <w:t>-</w:t>
            </w:r>
          </w:p>
        </w:tc>
        <w:tc>
          <w:tcPr>
            <w:tcW w:w="949" w:type="dxa"/>
          </w:tcPr>
          <w:p>
            <w:pPr>
              <w:pStyle w:val="TableParagraph"/>
              <w:spacing w:line="139" w:lineRule="exact" w:before="6"/>
              <w:ind w:right="133"/>
              <w:jc w:val="right"/>
              <w:rPr>
                <w:sz w:val="13"/>
              </w:rPr>
            </w:pPr>
            <w:r>
              <w:rPr>
                <w:spacing w:val="-10"/>
                <w:sz w:val="13"/>
              </w:rPr>
              <w:t>-</w:t>
            </w:r>
          </w:p>
        </w:tc>
        <w:tc>
          <w:tcPr>
            <w:tcW w:w="955" w:type="dxa"/>
          </w:tcPr>
          <w:p>
            <w:pPr>
              <w:pStyle w:val="TableParagraph"/>
              <w:spacing w:line="139" w:lineRule="exact" w:before="6"/>
              <w:ind w:right="162"/>
              <w:jc w:val="right"/>
              <w:rPr>
                <w:sz w:val="13"/>
              </w:rPr>
            </w:pPr>
            <w:r>
              <w:rPr>
                <w:spacing w:val="-10"/>
                <w:sz w:val="13"/>
              </w:rPr>
              <w:t>-</w:t>
            </w:r>
          </w:p>
        </w:tc>
        <w:tc>
          <w:tcPr>
            <w:tcW w:w="859" w:type="dxa"/>
          </w:tcPr>
          <w:p>
            <w:pPr>
              <w:pStyle w:val="TableParagraph"/>
              <w:spacing w:line="139" w:lineRule="exact" w:before="6"/>
              <w:ind w:right="95"/>
              <w:jc w:val="right"/>
              <w:rPr>
                <w:sz w:val="13"/>
              </w:rPr>
            </w:pPr>
            <w:r>
              <w:rPr>
                <w:spacing w:val="-10"/>
                <w:sz w:val="13"/>
              </w:rPr>
              <w:t>-</w:t>
            </w:r>
          </w:p>
        </w:tc>
        <w:tc>
          <w:tcPr>
            <w:tcW w:w="930" w:type="dxa"/>
          </w:tcPr>
          <w:p>
            <w:pPr>
              <w:pStyle w:val="TableParagraph"/>
              <w:spacing w:line="139" w:lineRule="exact" w:before="6"/>
              <w:ind w:right="99"/>
              <w:jc w:val="right"/>
              <w:rPr>
                <w:sz w:val="13"/>
              </w:rPr>
            </w:pPr>
            <w:r>
              <w:rPr>
                <w:spacing w:val="-10"/>
                <w:sz w:val="13"/>
              </w:rPr>
              <w:t>-</w:t>
            </w:r>
          </w:p>
        </w:tc>
        <w:tc>
          <w:tcPr>
            <w:tcW w:w="996" w:type="dxa"/>
          </w:tcPr>
          <w:p>
            <w:pPr>
              <w:pStyle w:val="TableParagraph"/>
              <w:spacing w:line="139" w:lineRule="exact" w:before="6"/>
              <w:ind w:right="169"/>
              <w:jc w:val="right"/>
              <w:rPr>
                <w:sz w:val="13"/>
              </w:rPr>
            </w:pPr>
            <w:r>
              <w:rPr>
                <w:spacing w:val="-10"/>
                <w:sz w:val="13"/>
              </w:rPr>
              <w:t>-</w:t>
            </w:r>
          </w:p>
        </w:tc>
        <w:tc>
          <w:tcPr>
            <w:tcW w:w="805" w:type="dxa"/>
          </w:tcPr>
          <w:p>
            <w:pPr>
              <w:pStyle w:val="TableParagraph"/>
              <w:spacing w:line="139" w:lineRule="exact" w:before="6"/>
              <w:ind w:right="12"/>
              <w:jc w:val="right"/>
              <w:rPr>
                <w:sz w:val="13"/>
              </w:rPr>
            </w:pPr>
            <w:r>
              <w:rPr>
                <w:spacing w:val="-2"/>
                <w:sz w:val="13"/>
              </w:rPr>
              <w:t>(241)</w:t>
            </w:r>
          </w:p>
        </w:tc>
      </w:tr>
      <w:tr>
        <w:trPr>
          <w:trHeight w:val="165" w:hRule="atLeast"/>
        </w:trPr>
        <w:tc>
          <w:tcPr>
            <w:tcW w:w="553" w:type="dxa"/>
          </w:tcPr>
          <w:p>
            <w:pPr>
              <w:pStyle w:val="TableParagraph"/>
              <w:rPr>
                <w:rFonts w:ascii="Times New Roman"/>
                <w:sz w:val="10"/>
              </w:rPr>
            </w:pPr>
          </w:p>
        </w:tc>
        <w:tc>
          <w:tcPr>
            <w:tcW w:w="3231" w:type="dxa"/>
          </w:tcPr>
          <w:p>
            <w:pPr>
              <w:pStyle w:val="TableParagraph"/>
              <w:spacing w:line="139" w:lineRule="exact" w:before="6"/>
              <w:ind w:left="68"/>
              <w:rPr>
                <w:sz w:val="13"/>
              </w:rPr>
            </w:pPr>
            <w:r>
              <w:rPr>
                <w:spacing w:val="-2"/>
                <w:sz w:val="13"/>
              </w:rPr>
              <w:t>Transfer</w:t>
            </w:r>
          </w:p>
        </w:tc>
        <w:tc>
          <w:tcPr>
            <w:tcW w:w="596" w:type="dxa"/>
          </w:tcPr>
          <w:p>
            <w:pPr>
              <w:pStyle w:val="TableParagraph"/>
              <w:rPr>
                <w:rFonts w:ascii="Times New Roman"/>
                <w:sz w:val="10"/>
              </w:rPr>
            </w:pPr>
          </w:p>
        </w:tc>
        <w:tc>
          <w:tcPr>
            <w:tcW w:w="984" w:type="dxa"/>
          </w:tcPr>
          <w:p>
            <w:pPr>
              <w:pStyle w:val="TableParagraph"/>
              <w:spacing w:line="139" w:lineRule="exact" w:before="6"/>
              <w:ind w:right="116"/>
              <w:jc w:val="right"/>
              <w:rPr>
                <w:sz w:val="13"/>
              </w:rPr>
            </w:pPr>
            <w:r>
              <w:rPr>
                <w:spacing w:val="-10"/>
                <w:sz w:val="13"/>
              </w:rPr>
              <w:t>-</w:t>
            </w:r>
          </w:p>
        </w:tc>
        <w:tc>
          <w:tcPr>
            <w:tcW w:w="938" w:type="dxa"/>
          </w:tcPr>
          <w:p>
            <w:pPr>
              <w:pStyle w:val="TableParagraph"/>
              <w:spacing w:line="139" w:lineRule="exact" w:before="6"/>
              <w:ind w:right="128"/>
              <w:jc w:val="right"/>
              <w:rPr>
                <w:sz w:val="13"/>
              </w:rPr>
            </w:pPr>
            <w:r>
              <w:rPr>
                <w:spacing w:val="-10"/>
                <w:sz w:val="13"/>
              </w:rPr>
              <w:t>-</w:t>
            </w:r>
          </w:p>
        </w:tc>
        <w:tc>
          <w:tcPr>
            <w:tcW w:w="933" w:type="dxa"/>
          </w:tcPr>
          <w:p>
            <w:pPr>
              <w:pStyle w:val="TableParagraph"/>
              <w:spacing w:line="139" w:lineRule="exact" w:before="6"/>
              <w:ind w:left="456"/>
              <w:rPr>
                <w:sz w:val="13"/>
              </w:rPr>
            </w:pPr>
            <w:r>
              <w:rPr>
                <w:spacing w:val="-2"/>
                <w:sz w:val="13"/>
              </w:rPr>
              <w:t>6,931</w:t>
            </w:r>
          </w:p>
        </w:tc>
        <w:tc>
          <w:tcPr>
            <w:tcW w:w="900" w:type="dxa"/>
          </w:tcPr>
          <w:p>
            <w:pPr>
              <w:pStyle w:val="TableParagraph"/>
              <w:spacing w:line="139" w:lineRule="exact" w:before="6"/>
              <w:ind w:right="73"/>
              <w:jc w:val="right"/>
              <w:rPr>
                <w:sz w:val="13"/>
              </w:rPr>
            </w:pPr>
            <w:r>
              <w:rPr>
                <w:spacing w:val="-2"/>
                <w:sz w:val="13"/>
              </w:rPr>
              <w:t>(18,968)</w:t>
            </w:r>
          </w:p>
        </w:tc>
        <w:tc>
          <w:tcPr>
            <w:tcW w:w="949" w:type="dxa"/>
          </w:tcPr>
          <w:p>
            <w:pPr>
              <w:pStyle w:val="TableParagraph"/>
              <w:spacing w:line="139" w:lineRule="exact" w:before="6"/>
              <w:ind w:right="141"/>
              <w:jc w:val="right"/>
              <w:rPr>
                <w:sz w:val="13"/>
              </w:rPr>
            </w:pPr>
            <w:r>
              <w:rPr>
                <w:spacing w:val="-2"/>
                <w:sz w:val="13"/>
              </w:rPr>
              <w:t>12,037</w:t>
            </w:r>
          </w:p>
        </w:tc>
        <w:tc>
          <w:tcPr>
            <w:tcW w:w="955" w:type="dxa"/>
          </w:tcPr>
          <w:p>
            <w:pPr>
              <w:pStyle w:val="TableParagraph"/>
              <w:spacing w:line="139" w:lineRule="exact" w:before="6"/>
              <w:ind w:right="162"/>
              <w:jc w:val="right"/>
              <w:rPr>
                <w:sz w:val="13"/>
              </w:rPr>
            </w:pPr>
            <w:r>
              <w:rPr>
                <w:spacing w:val="-10"/>
                <w:sz w:val="13"/>
              </w:rPr>
              <w:t>-</w:t>
            </w:r>
          </w:p>
        </w:tc>
        <w:tc>
          <w:tcPr>
            <w:tcW w:w="859" w:type="dxa"/>
          </w:tcPr>
          <w:p>
            <w:pPr>
              <w:pStyle w:val="TableParagraph"/>
              <w:spacing w:line="139" w:lineRule="exact" w:before="6"/>
              <w:ind w:right="95"/>
              <w:jc w:val="right"/>
              <w:rPr>
                <w:sz w:val="13"/>
              </w:rPr>
            </w:pPr>
            <w:r>
              <w:rPr>
                <w:spacing w:val="-10"/>
                <w:sz w:val="13"/>
              </w:rPr>
              <w:t>-</w:t>
            </w:r>
          </w:p>
        </w:tc>
        <w:tc>
          <w:tcPr>
            <w:tcW w:w="930" w:type="dxa"/>
          </w:tcPr>
          <w:p>
            <w:pPr>
              <w:pStyle w:val="TableParagraph"/>
              <w:spacing w:line="139" w:lineRule="exact" w:before="6"/>
              <w:ind w:right="99"/>
              <w:jc w:val="right"/>
              <w:rPr>
                <w:sz w:val="13"/>
              </w:rPr>
            </w:pPr>
            <w:r>
              <w:rPr>
                <w:spacing w:val="-10"/>
                <w:sz w:val="13"/>
              </w:rPr>
              <w:t>-</w:t>
            </w:r>
          </w:p>
        </w:tc>
        <w:tc>
          <w:tcPr>
            <w:tcW w:w="996" w:type="dxa"/>
          </w:tcPr>
          <w:p>
            <w:pPr>
              <w:pStyle w:val="TableParagraph"/>
              <w:spacing w:line="139" w:lineRule="exact" w:before="6"/>
              <w:ind w:right="169"/>
              <w:jc w:val="right"/>
              <w:rPr>
                <w:sz w:val="13"/>
              </w:rPr>
            </w:pPr>
            <w:r>
              <w:rPr>
                <w:spacing w:val="-10"/>
                <w:sz w:val="13"/>
              </w:rPr>
              <w:t>-</w:t>
            </w:r>
          </w:p>
        </w:tc>
        <w:tc>
          <w:tcPr>
            <w:tcW w:w="805" w:type="dxa"/>
          </w:tcPr>
          <w:p>
            <w:pPr>
              <w:pStyle w:val="TableParagraph"/>
              <w:spacing w:line="139" w:lineRule="exact" w:before="6"/>
              <w:ind w:right="48"/>
              <w:jc w:val="right"/>
              <w:rPr>
                <w:sz w:val="13"/>
              </w:rPr>
            </w:pPr>
            <w:r>
              <w:rPr>
                <w:spacing w:val="-10"/>
                <w:sz w:val="13"/>
              </w:rPr>
              <w:t>-</w:t>
            </w:r>
          </w:p>
        </w:tc>
      </w:tr>
      <w:tr>
        <w:trPr>
          <w:trHeight w:val="158" w:hRule="atLeast"/>
        </w:trPr>
        <w:tc>
          <w:tcPr>
            <w:tcW w:w="553" w:type="dxa"/>
          </w:tcPr>
          <w:p>
            <w:pPr>
              <w:pStyle w:val="TableParagraph"/>
              <w:rPr>
                <w:rFonts w:ascii="Times New Roman"/>
                <w:sz w:val="10"/>
              </w:rPr>
            </w:pPr>
          </w:p>
        </w:tc>
        <w:tc>
          <w:tcPr>
            <w:tcW w:w="3231" w:type="dxa"/>
          </w:tcPr>
          <w:p>
            <w:pPr>
              <w:pStyle w:val="TableParagraph"/>
              <w:spacing w:line="132" w:lineRule="exact" w:before="6"/>
              <w:ind w:left="68"/>
              <w:rPr>
                <w:sz w:val="13"/>
              </w:rPr>
            </w:pPr>
            <w:r>
              <w:rPr>
                <w:sz w:val="13"/>
              </w:rPr>
              <w:t>Transfer</w:t>
            </w:r>
            <w:r>
              <w:rPr>
                <w:spacing w:val="2"/>
                <w:sz w:val="13"/>
              </w:rPr>
              <w:t> </w:t>
            </w:r>
            <w:r>
              <w:rPr>
                <w:sz w:val="13"/>
              </w:rPr>
              <w:t>of</w:t>
            </w:r>
            <w:r>
              <w:rPr>
                <w:spacing w:val="4"/>
                <w:sz w:val="13"/>
              </w:rPr>
              <w:t> </w:t>
            </w:r>
            <w:r>
              <w:rPr>
                <w:sz w:val="13"/>
              </w:rPr>
              <w:t>carrying</w:t>
            </w:r>
            <w:r>
              <w:rPr>
                <w:spacing w:val="3"/>
                <w:sz w:val="13"/>
              </w:rPr>
              <w:t> </w:t>
            </w:r>
            <w:r>
              <w:rPr>
                <w:sz w:val="13"/>
              </w:rPr>
              <w:t>amount to</w:t>
            </w:r>
            <w:r>
              <w:rPr>
                <w:spacing w:val="3"/>
                <w:sz w:val="13"/>
              </w:rPr>
              <w:t> </w:t>
            </w:r>
            <w:r>
              <w:rPr>
                <w:sz w:val="13"/>
              </w:rPr>
              <w:t>assets</w:t>
            </w:r>
            <w:r>
              <w:rPr>
                <w:spacing w:val="3"/>
                <w:sz w:val="13"/>
              </w:rPr>
              <w:t> </w:t>
            </w:r>
            <w:r>
              <w:rPr>
                <w:sz w:val="13"/>
              </w:rPr>
              <w:t>held</w:t>
            </w:r>
            <w:r>
              <w:rPr>
                <w:spacing w:val="2"/>
                <w:sz w:val="13"/>
              </w:rPr>
              <w:t> </w:t>
            </w:r>
            <w:r>
              <w:rPr>
                <w:sz w:val="13"/>
              </w:rPr>
              <w:t>for</w:t>
            </w:r>
            <w:r>
              <w:rPr>
                <w:spacing w:val="3"/>
                <w:sz w:val="13"/>
              </w:rPr>
              <w:t> </w:t>
            </w:r>
            <w:r>
              <w:rPr>
                <w:spacing w:val="-4"/>
                <w:sz w:val="13"/>
              </w:rPr>
              <w:t>sale</w:t>
            </w:r>
          </w:p>
        </w:tc>
        <w:tc>
          <w:tcPr>
            <w:tcW w:w="596" w:type="dxa"/>
          </w:tcPr>
          <w:p>
            <w:pPr>
              <w:pStyle w:val="TableParagraph"/>
              <w:rPr>
                <w:rFonts w:ascii="Times New Roman"/>
                <w:sz w:val="10"/>
              </w:rPr>
            </w:pPr>
          </w:p>
        </w:tc>
        <w:tc>
          <w:tcPr>
            <w:tcW w:w="984" w:type="dxa"/>
            <w:tcBorders>
              <w:bottom w:val="single" w:sz="6" w:space="0" w:color="000000"/>
            </w:tcBorders>
          </w:tcPr>
          <w:p>
            <w:pPr>
              <w:pStyle w:val="TableParagraph"/>
              <w:spacing w:line="132" w:lineRule="exact" w:before="6"/>
              <w:ind w:right="80"/>
              <w:jc w:val="right"/>
              <w:rPr>
                <w:sz w:val="13"/>
              </w:rPr>
            </w:pPr>
            <w:r>
              <w:rPr>
                <w:spacing w:val="-2"/>
                <w:sz w:val="13"/>
              </w:rPr>
              <w:t>(2,000)</w:t>
            </w:r>
          </w:p>
        </w:tc>
        <w:tc>
          <w:tcPr>
            <w:tcW w:w="938" w:type="dxa"/>
            <w:tcBorders>
              <w:bottom w:val="single" w:sz="6" w:space="0" w:color="000000"/>
            </w:tcBorders>
          </w:tcPr>
          <w:p>
            <w:pPr>
              <w:pStyle w:val="TableParagraph"/>
              <w:spacing w:line="132" w:lineRule="exact" w:before="6"/>
              <w:ind w:right="128"/>
              <w:jc w:val="right"/>
              <w:rPr>
                <w:sz w:val="13"/>
              </w:rPr>
            </w:pPr>
            <w:r>
              <w:rPr>
                <w:spacing w:val="-10"/>
                <w:sz w:val="13"/>
              </w:rPr>
              <w:t>-</w:t>
            </w:r>
          </w:p>
        </w:tc>
        <w:tc>
          <w:tcPr>
            <w:tcW w:w="933" w:type="dxa"/>
            <w:tcBorders>
              <w:bottom w:val="single" w:sz="6" w:space="0" w:color="000000"/>
            </w:tcBorders>
          </w:tcPr>
          <w:p>
            <w:pPr>
              <w:pStyle w:val="TableParagraph"/>
              <w:spacing w:line="132" w:lineRule="exact" w:before="6"/>
              <w:ind w:right="99"/>
              <w:jc w:val="right"/>
              <w:rPr>
                <w:sz w:val="13"/>
              </w:rPr>
            </w:pPr>
            <w:r>
              <w:rPr>
                <w:spacing w:val="-2"/>
                <w:sz w:val="13"/>
              </w:rPr>
              <w:t>(250)</w:t>
            </w:r>
          </w:p>
        </w:tc>
        <w:tc>
          <w:tcPr>
            <w:tcW w:w="900" w:type="dxa"/>
            <w:tcBorders>
              <w:bottom w:val="single" w:sz="6" w:space="0" w:color="000000"/>
            </w:tcBorders>
          </w:tcPr>
          <w:p>
            <w:pPr>
              <w:pStyle w:val="TableParagraph"/>
              <w:spacing w:line="132" w:lineRule="exact" w:before="6"/>
              <w:ind w:right="109"/>
              <w:jc w:val="right"/>
              <w:rPr>
                <w:sz w:val="13"/>
              </w:rPr>
            </w:pPr>
            <w:r>
              <w:rPr>
                <w:spacing w:val="-10"/>
                <w:sz w:val="13"/>
              </w:rPr>
              <w:t>-</w:t>
            </w:r>
          </w:p>
        </w:tc>
        <w:tc>
          <w:tcPr>
            <w:tcW w:w="949" w:type="dxa"/>
            <w:tcBorders>
              <w:bottom w:val="single" w:sz="6" w:space="0" w:color="000000"/>
            </w:tcBorders>
          </w:tcPr>
          <w:p>
            <w:pPr>
              <w:pStyle w:val="TableParagraph"/>
              <w:spacing w:line="132" w:lineRule="exact" w:before="6"/>
              <w:ind w:right="132"/>
              <w:jc w:val="right"/>
              <w:rPr>
                <w:sz w:val="13"/>
              </w:rPr>
            </w:pPr>
            <w:r>
              <w:rPr>
                <w:spacing w:val="-10"/>
                <w:sz w:val="13"/>
              </w:rPr>
              <w:t>-</w:t>
            </w:r>
          </w:p>
        </w:tc>
        <w:tc>
          <w:tcPr>
            <w:tcW w:w="955" w:type="dxa"/>
            <w:tcBorders>
              <w:bottom w:val="single" w:sz="6" w:space="0" w:color="000000"/>
            </w:tcBorders>
          </w:tcPr>
          <w:p>
            <w:pPr>
              <w:pStyle w:val="TableParagraph"/>
              <w:spacing w:line="132" w:lineRule="exact" w:before="6"/>
              <w:ind w:right="161"/>
              <w:jc w:val="right"/>
              <w:rPr>
                <w:sz w:val="13"/>
              </w:rPr>
            </w:pPr>
            <w:r>
              <w:rPr>
                <w:spacing w:val="-10"/>
                <w:sz w:val="13"/>
              </w:rPr>
              <w:t>-</w:t>
            </w:r>
          </w:p>
        </w:tc>
        <w:tc>
          <w:tcPr>
            <w:tcW w:w="859" w:type="dxa"/>
            <w:tcBorders>
              <w:bottom w:val="single" w:sz="6" w:space="0" w:color="000000"/>
            </w:tcBorders>
          </w:tcPr>
          <w:p>
            <w:pPr>
              <w:pStyle w:val="TableParagraph"/>
              <w:spacing w:line="132" w:lineRule="exact" w:before="6"/>
              <w:ind w:right="95"/>
              <w:jc w:val="right"/>
              <w:rPr>
                <w:sz w:val="13"/>
              </w:rPr>
            </w:pPr>
            <w:r>
              <w:rPr>
                <w:spacing w:val="-10"/>
                <w:sz w:val="13"/>
              </w:rPr>
              <w:t>-</w:t>
            </w:r>
          </w:p>
        </w:tc>
        <w:tc>
          <w:tcPr>
            <w:tcW w:w="930" w:type="dxa"/>
            <w:tcBorders>
              <w:bottom w:val="single" w:sz="6" w:space="0" w:color="000000"/>
            </w:tcBorders>
          </w:tcPr>
          <w:p>
            <w:pPr>
              <w:pStyle w:val="TableParagraph"/>
              <w:spacing w:line="132" w:lineRule="exact" w:before="6"/>
              <w:ind w:right="99"/>
              <w:jc w:val="right"/>
              <w:rPr>
                <w:sz w:val="13"/>
              </w:rPr>
            </w:pPr>
            <w:r>
              <w:rPr>
                <w:spacing w:val="-10"/>
                <w:sz w:val="13"/>
              </w:rPr>
              <w:t>-</w:t>
            </w:r>
          </w:p>
        </w:tc>
        <w:tc>
          <w:tcPr>
            <w:tcW w:w="996" w:type="dxa"/>
            <w:tcBorders>
              <w:bottom w:val="single" w:sz="6" w:space="0" w:color="000000"/>
            </w:tcBorders>
          </w:tcPr>
          <w:p>
            <w:pPr>
              <w:pStyle w:val="TableParagraph"/>
              <w:spacing w:line="132" w:lineRule="exact" w:before="6"/>
              <w:ind w:right="169"/>
              <w:jc w:val="right"/>
              <w:rPr>
                <w:sz w:val="13"/>
              </w:rPr>
            </w:pPr>
            <w:r>
              <w:rPr>
                <w:spacing w:val="-10"/>
                <w:sz w:val="13"/>
              </w:rPr>
              <w:t>-</w:t>
            </w:r>
          </w:p>
        </w:tc>
        <w:tc>
          <w:tcPr>
            <w:tcW w:w="805" w:type="dxa"/>
            <w:tcBorders>
              <w:bottom w:val="single" w:sz="6" w:space="0" w:color="000000"/>
            </w:tcBorders>
          </w:tcPr>
          <w:p>
            <w:pPr>
              <w:pStyle w:val="TableParagraph"/>
              <w:spacing w:line="132" w:lineRule="exact" w:before="6"/>
              <w:ind w:right="12"/>
              <w:jc w:val="right"/>
              <w:rPr>
                <w:sz w:val="13"/>
              </w:rPr>
            </w:pPr>
            <w:r>
              <w:rPr>
                <w:spacing w:val="-2"/>
                <w:sz w:val="13"/>
              </w:rPr>
              <w:t>(2,250)</w:t>
            </w:r>
          </w:p>
        </w:tc>
      </w:tr>
      <w:tr>
        <w:trPr>
          <w:trHeight w:val="150" w:hRule="atLeast"/>
        </w:trPr>
        <w:tc>
          <w:tcPr>
            <w:tcW w:w="553" w:type="dxa"/>
          </w:tcPr>
          <w:p>
            <w:pPr>
              <w:pStyle w:val="TableParagraph"/>
              <w:rPr>
                <w:rFonts w:ascii="Times New Roman"/>
                <w:sz w:val="8"/>
              </w:rPr>
            </w:pPr>
          </w:p>
        </w:tc>
        <w:tc>
          <w:tcPr>
            <w:tcW w:w="3231" w:type="dxa"/>
          </w:tcPr>
          <w:p>
            <w:pPr>
              <w:pStyle w:val="TableParagraph"/>
              <w:spacing w:line="131" w:lineRule="exact"/>
              <w:ind w:left="68"/>
              <w:rPr>
                <w:b/>
                <w:sz w:val="13"/>
              </w:rPr>
            </w:pPr>
            <w:r>
              <w:rPr>
                <w:b/>
                <w:sz w:val="13"/>
              </w:rPr>
              <w:t>Closing</w:t>
            </w:r>
            <w:r>
              <w:rPr>
                <w:b/>
                <w:spacing w:val="-1"/>
                <w:sz w:val="13"/>
              </w:rPr>
              <w:t> </w:t>
            </w:r>
            <w:r>
              <w:rPr>
                <w:b/>
                <w:sz w:val="13"/>
              </w:rPr>
              <w:t>net</w:t>
            </w:r>
            <w:r>
              <w:rPr>
                <w:b/>
                <w:spacing w:val="1"/>
                <w:sz w:val="13"/>
              </w:rPr>
              <w:t> </w:t>
            </w:r>
            <w:r>
              <w:rPr>
                <w:b/>
                <w:sz w:val="13"/>
              </w:rPr>
              <w:t>book </w:t>
            </w:r>
            <w:r>
              <w:rPr>
                <w:b/>
                <w:spacing w:val="-2"/>
                <w:sz w:val="13"/>
              </w:rPr>
              <w:t>value</w:t>
            </w:r>
          </w:p>
        </w:tc>
        <w:tc>
          <w:tcPr>
            <w:tcW w:w="596" w:type="dxa"/>
          </w:tcPr>
          <w:p>
            <w:pPr>
              <w:pStyle w:val="TableParagraph"/>
              <w:rPr>
                <w:rFonts w:ascii="Times New Roman"/>
                <w:sz w:val="8"/>
              </w:rPr>
            </w:pPr>
          </w:p>
        </w:tc>
        <w:tc>
          <w:tcPr>
            <w:tcW w:w="984" w:type="dxa"/>
            <w:tcBorders>
              <w:top w:val="single" w:sz="6" w:space="0" w:color="000000"/>
              <w:bottom w:val="single" w:sz="6" w:space="0" w:color="000000"/>
            </w:tcBorders>
          </w:tcPr>
          <w:p>
            <w:pPr>
              <w:pStyle w:val="TableParagraph"/>
              <w:spacing w:line="131" w:lineRule="exact"/>
              <w:ind w:right="124"/>
              <w:jc w:val="right"/>
              <w:rPr>
                <w:b/>
                <w:sz w:val="13"/>
              </w:rPr>
            </w:pPr>
            <w:r>
              <w:rPr>
                <w:b/>
                <w:spacing w:val="-2"/>
                <w:sz w:val="13"/>
              </w:rPr>
              <w:t>185,021</w:t>
            </w:r>
          </w:p>
        </w:tc>
        <w:tc>
          <w:tcPr>
            <w:tcW w:w="938" w:type="dxa"/>
            <w:tcBorders>
              <w:top w:val="single" w:sz="6" w:space="0" w:color="000000"/>
              <w:bottom w:val="single" w:sz="6" w:space="0" w:color="000000"/>
            </w:tcBorders>
          </w:tcPr>
          <w:p>
            <w:pPr>
              <w:pStyle w:val="TableParagraph"/>
              <w:spacing w:line="131" w:lineRule="exact"/>
              <w:ind w:right="136"/>
              <w:jc w:val="right"/>
              <w:rPr>
                <w:b/>
                <w:sz w:val="13"/>
              </w:rPr>
            </w:pPr>
            <w:r>
              <w:rPr>
                <w:b/>
                <w:spacing w:val="-2"/>
                <w:sz w:val="13"/>
              </w:rPr>
              <w:t>80,000</w:t>
            </w:r>
          </w:p>
        </w:tc>
        <w:tc>
          <w:tcPr>
            <w:tcW w:w="933" w:type="dxa"/>
            <w:tcBorders>
              <w:top w:val="single" w:sz="6" w:space="0" w:color="000000"/>
              <w:bottom w:val="single" w:sz="6" w:space="0" w:color="000000"/>
            </w:tcBorders>
          </w:tcPr>
          <w:p>
            <w:pPr>
              <w:pStyle w:val="TableParagraph"/>
              <w:spacing w:line="131" w:lineRule="exact"/>
              <w:ind w:left="308"/>
              <w:rPr>
                <w:b/>
                <w:sz w:val="13"/>
              </w:rPr>
            </w:pPr>
            <w:r>
              <w:rPr>
                <w:b/>
                <w:spacing w:val="-2"/>
                <w:sz w:val="13"/>
              </w:rPr>
              <w:t>854,699</w:t>
            </w:r>
          </w:p>
        </w:tc>
        <w:tc>
          <w:tcPr>
            <w:tcW w:w="900" w:type="dxa"/>
            <w:tcBorders>
              <w:top w:val="single" w:sz="6" w:space="0" w:color="000000"/>
              <w:bottom w:val="single" w:sz="6" w:space="0" w:color="000000"/>
            </w:tcBorders>
          </w:tcPr>
          <w:p>
            <w:pPr>
              <w:pStyle w:val="TableParagraph"/>
              <w:spacing w:line="131" w:lineRule="exact"/>
              <w:ind w:right="117"/>
              <w:jc w:val="right"/>
              <w:rPr>
                <w:b/>
                <w:sz w:val="13"/>
              </w:rPr>
            </w:pPr>
            <w:r>
              <w:rPr>
                <w:b/>
                <w:spacing w:val="-2"/>
                <w:sz w:val="13"/>
              </w:rPr>
              <w:t>91,265</w:t>
            </w:r>
          </w:p>
        </w:tc>
        <w:tc>
          <w:tcPr>
            <w:tcW w:w="949" w:type="dxa"/>
            <w:tcBorders>
              <w:top w:val="single" w:sz="6" w:space="0" w:color="000000"/>
              <w:bottom w:val="single" w:sz="6" w:space="0" w:color="000000"/>
            </w:tcBorders>
          </w:tcPr>
          <w:p>
            <w:pPr>
              <w:pStyle w:val="TableParagraph"/>
              <w:spacing w:line="131" w:lineRule="exact"/>
              <w:ind w:right="140"/>
              <w:jc w:val="right"/>
              <w:rPr>
                <w:b/>
                <w:sz w:val="13"/>
              </w:rPr>
            </w:pPr>
            <w:r>
              <w:rPr>
                <w:b/>
                <w:spacing w:val="-2"/>
                <w:sz w:val="13"/>
              </w:rPr>
              <w:t>67,133</w:t>
            </w:r>
          </w:p>
        </w:tc>
        <w:tc>
          <w:tcPr>
            <w:tcW w:w="955" w:type="dxa"/>
            <w:tcBorders>
              <w:top w:val="single" w:sz="6" w:space="0" w:color="000000"/>
              <w:bottom w:val="single" w:sz="6" w:space="0" w:color="000000"/>
            </w:tcBorders>
          </w:tcPr>
          <w:p>
            <w:pPr>
              <w:pStyle w:val="TableParagraph"/>
              <w:spacing w:line="131" w:lineRule="exact"/>
              <w:ind w:right="170"/>
              <w:jc w:val="right"/>
              <w:rPr>
                <w:b/>
                <w:sz w:val="13"/>
              </w:rPr>
            </w:pPr>
            <w:r>
              <w:rPr>
                <w:b/>
                <w:spacing w:val="-2"/>
                <w:sz w:val="13"/>
              </w:rPr>
              <w:t>29,344</w:t>
            </w:r>
          </w:p>
        </w:tc>
        <w:tc>
          <w:tcPr>
            <w:tcW w:w="859" w:type="dxa"/>
            <w:tcBorders>
              <w:top w:val="single" w:sz="6" w:space="0" w:color="000000"/>
              <w:bottom w:val="single" w:sz="6" w:space="0" w:color="000000"/>
            </w:tcBorders>
          </w:tcPr>
          <w:p>
            <w:pPr>
              <w:pStyle w:val="TableParagraph"/>
              <w:spacing w:line="131" w:lineRule="exact"/>
              <w:ind w:right="103"/>
              <w:jc w:val="right"/>
              <w:rPr>
                <w:b/>
                <w:sz w:val="13"/>
              </w:rPr>
            </w:pPr>
            <w:r>
              <w:rPr>
                <w:b/>
                <w:spacing w:val="-2"/>
                <w:sz w:val="13"/>
              </w:rPr>
              <w:t>3,112</w:t>
            </w:r>
          </w:p>
        </w:tc>
        <w:tc>
          <w:tcPr>
            <w:tcW w:w="930" w:type="dxa"/>
            <w:tcBorders>
              <w:top w:val="single" w:sz="6" w:space="0" w:color="000000"/>
              <w:bottom w:val="single" w:sz="6" w:space="0" w:color="000000"/>
            </w:tcBorders>
          </w:tcPr>
          <w:p>
            <w:pPr>
              <w:pStyle w:val="TableParagraph"/>
              <w:spacing w:line="131" w:lineRule="exact"/>
              <w:ind w:right="107"/>
              <w:jc w:val="right"/>
              <w:rPr>
                <w:b/>
                <w:sz w:val="13"/>
              </w:rPr>
            </w:pPr>
            <w:r>
              <w:rPr>
                <w:b/>
                <w:spacing w:val="-5"/>
                <w:sz w:val="13"/>
              </w:rPr>
              <w:t>549</w:t>
            </w:r>
          </w:p>
        </w:tc>
        <w:tc>
          <w:tcPr>
            <w:tcW w:w="996" w:type="dxa"/>
            <w:tcBorders>
              <w:top w:val="single" w:sz="6" w:space="0" w:color="000000"/>
              <w:bottom w:val="single" w:sz="6" w:space="0" w:color="000000"/>
            </w:tcBorders>
          </w:tcPr>
          <w:p>
            <w:pPr>
              <w:pStyle w:val="TableParagraph"/>
              <w:spacing w:line="131" w:lineRule="exact"/>
              <w:ind w:right="177"/>
              <w:jc w:val="right"/>
              <w:rPr>
                <w:b/>
                <w:sz w:val="13"/>
              </w:rPr>
            </w:pPr>
            <w:r>
              <w:rPr>
                <w:b/>
                <w:spacing w:val="-2"/>
                <w:sz w:val="13"/>
              </w:rPr>
              <w:t>46,103</w:t>
            </w:r>
          </w:p>
        </w:tc>
        <w:tc>
          <w:tcPr>
            <w:tcW w:w="805" w:type="dxa"/>
            <w:tcBorders>
              <w:top w:val="single" w:sz="6" w:space="0" w:color="000000"/>
              <w:bottom w:val="single" w:sz="6" w:space="0" w:color="000000"/>
            </w:tcBorders>
          </w:tcPr>
          <w:p>
            <w:pPr>
              <w:pStyle w:val="TableParagraph"/>
              <w:spacing w:line="131" w:lineRule="exact"/>
              <w:ind w:left="158"/>
              <w:rPr>
                <w:b/>
                <w:sz w:val="13"/>
              </w:rPr>
            </w:pPr>
            <w:r>
              <w:rPr>
                <w:b/>
                <w:spacing w:val="-2"/>
                <w:sz w:val="13"/>
              </w:rPr>
              <w:t>1,357,226</w:t>
            </w:r>
          </w:p>
        </w:tc>
      </w:tr>
      <w:tr>
        <w:trPr>
          <w:trHeight w:val="323" w:hRule="atLeast"/>
        </w:trPr>
        <w:tc>
          <w:tcPr>
            <w:tcW w:w="553" w:type="dxa"/>
          </w:tcPr>
          <w:p>
            <w:pPr>
              <w:pStyle w:val="TableParagraph"/>
              <w:rPr>
                <w:rFonts w:ascii="Times New Roman"/>
                <w:sz w:val="12"/>
              </w:rPr>
            </w:pPr>
          </w:p>
        </w:tc>
        <w:tc>
          <w:tcPr>
            <w:tcW w:w="3231" w:type="dxa"/>
          </w:tcPr>
          <w:p>
            <w:pPr>
              <w:pStyle w:val="TableParagraph"/>
              <w:spacing w:before="15"/>
              <w:rPr>
                <w:b/>
                <w:sz w:val="13"/>
              </w:rPr>
            </w:pPr>
          </w:p>
          <w:p>
            <w:pPr>
              <w:pStyle w:val="TableParagraph"/>
              <w:spacing w:line="139" w:lineRule="exact"/>
              <w:ind w:left="68"/>
              <w:rPr>
                <w:b/>
                <w:sz w:val="13"/>
              </w:rPr>
            </w:pPr>
            <w:r>
              <w:rPr>
                <w:b/>
                <w:sz w:val="13"/>
              </w:rPr>
              <w:t>At 31</w:t>
            </w:r>
            <w:r>
              <w:rPr>
                <w:b/>
                <w:spacing w:val="1"/>
                <w:sz w:val="13"/>
              </w:rPr>
              <w:t> </w:t>
            </w:r>
            <w:r>
              <w:rPr>
                <w:b/>
                <w:sz w:val="13"/>
              </w:rPr>
              <w:t>December </w:t>
            </w:r>
            <w:r>
              <w:rPr>
                <w:b/>
                <w:spacing w:val="-4"/>
                <w:sz w:val="13"/>
              </w:rPr>
              <w:t>2019</w:t>
            </w:r>
          </w:p>
        </w:tc>
        <w:tc>
          <w:tcPr>
            <w:tcW w:w="596" w:type="dxa"/>
          </w:tcPr>
          <w:p>
            <w:pPr>
              <w:pStyle w:val="TableParagraph"/>
              <w:rPr>
                <w:rFonts w:ascii="Times New Roman"/>
                <w:sz w:val="12"/>
              </w:rPr>
            </w:pPr>
          </w:p>
        </w:tc>
        <w:tc>
          <w:tcPr>
            <w:tcW w:w="984" w:type="dxa"/>
            <w:tcBorders>
              <w:top w:val="single" w:sz="6" w:space="0" w:color="000000"/>
            </w:tcBorders>
          </w:tcPr>
          <w:p>
            <w:pPr>
              <w:pStyle w:val="TableParagraph"/>
              <w:rPr>
                <w:rFonts w:ascii="Times New Roman"/>
                <w:sz w:val="12"/>
              </w:rPr>
            </w:pPr>
          </w:p>
        </w:tc>
        <w:tc>
          <w:tcPr>
            <w:tcW w:w="938" w:type="dxa"/>
            <w:tcBorders>
              <w:top w:val="single" w:sz="6" w:space="0" w:color="000000"/>
            </w:tcBorders>
          </w:tcPr>
          <w:p>
            <w:pPr>
              <w:pStyle w:val="TableParagraph"/>
              <w:rPr>
                <w:rFonts w:ascii="Times New Roman"/>
                <w:sz w:val="12"/>
              </w:rPr>
            </w:pPr>
          </w:p>
        </w:tc>
        <w:tc>
          <w:tcPr>
            <w:tcW w:w="933" w:type="dxa"/>
            <w:tcBorders>
              <w:top w:val="single" w:sz="6" w:space="0" w:color="000000"/>
            </w:tcBorders>
          </w:tcPr>
          <w:p>
            <w:pPr>
              <w:pStyle w:val="TableParagraph"/>
              <w:rPr>
                <w:rFonts w:ascii="Times New Roman"/>
                <w:sz w:val="12"/>
              </w:rPr>
            </w:pPr>
          </w:p>
        </w:tc>
        <w:tc>
          <w:tcPr>
            <w:tcW w:w="900" w:type="dxa"/>
            <w:tcBorders>
              <w:top w:val="single" w:sz="6" w:space="0" w:color="000000"/>
            </w:tcBorders>
          </w:tcPr>
          <w:p>
            <w:pPr>
              <w:pStyle w:val="TableParagraph"/>
              <w:rPr>
                <w:rFonts w:ascii="Times New Roman"/>
                <w:sz w:val="12"/>
              </w:rPr>
            </w:pPr>
          </w:p>
        </w:tc>
        <w:tc>
          <w:tcPr>
            <w:tcW w:w="949" w:type="dxa"/>
            <w:tcBorders>
              <w:top w:val="single" w:sz="6" w:space="0" w:color="000000"/>
            </w:tcBorders>
          </w:tcPr>
          <w:p>
            <w:pPr>
              <w:pStyle w:val="TableParagraph"/>
              <w:rPr>
                <w:rFonts w:ascii="Times New Roman"/>
                <w:sz w:val="12"/>
              </w:rPr>
            </w:pPr>
          </w:p>
        </w:tc>
        <w:tc>
          <w:tcPr>
            <w:tcW w:w="955" w:type="dxa"/>
            <w:tcBorders>
              <w:top w:val="single" w:sz="6" w:space="0" w:color="000000"/>
            </w:tcBorders>
          </w:tcPr>
          <w:p>
            <w:pPr>
              <w:pStyle w:val="TableParagraph"/>
              <w:rPr>
                <w:rFonts w:ascii="Times New Roman"/>
                <w:sz w:val="12"/>
              </w:rPr>
            </w:pPr>
          </w:p>
        </w:tc>
        <w:tc>
          <w:tcPr>
            <w:tcW w:w="859" w:type="dxa"/>
            <w:tcBorders>
              <w:top w:val="single" w:sz="6" w:space="0" w:color="000000"/>
            </w:tcBorders>
          </w:tcPr>
          <w:p>
            <w:pPr>
              <w:pStyle w:val="TableParagraph"/>
              <w:rPr>
                <w:rFonts w:ascii="Times New Roman"/>
                <w:sz w:val="12"/>
              </w:rPr>
            </w:pPr>
          </w:p>
        </w:tc>
        <w:tc>
          <w:tcPr>
            <w:tcW w:w="930" w:type="dxa"/>
            <w:tcBorders>
              <w:top w:val="single" w:sz="6" w:space="0" w:color="000000"/>
            </w:tcBorders>
          </w:tcPr>
          <w:p>
            <w:pPr>
              <w:pStyle w:val="TableParagraph"/>
              <w:rPr>
                <w:rFonts w:ascii="Times New Roman"/>
                <w:sz w:val="12"/>
              </w:rPr>
            </w:pPr>
          </w:p>
        </w:tc>
        <w:tc>
          <w:tcPr>
            <w:tcW w:w="996" w:type="dxa"/>
            <w:tcBorders>
              <w:top w:val="single" w:sz="6" w:space="0" w:color="000000"/>
            </w:tcBorders>
          </w:tcPr>
          <w:p>
            <w:pPr>
              <w:pStyle w:val="TableParagraph"/>
              <w:rPr>
                <w:rFonts w:ascii="Times New Roman"/>
                <w:sz w:val="12"/>
              </w:rPr>
            </w:pPr>
          </w:p>
        </w:tc>
        <w:tc>
          <w:tcPr>
            <w:tcW w:w="805" w:type="dxa"/>
            <w:tcBorders>
              <w:top w:val="single" w:sz="6" w:space="0" w:color="000000"/>
            </w:tcBorders>
          </w:tcPr>
          <w:p>
            <w:pPr>
              <w:pStyle w:val="TableParagraph"/>
              <w:rPr>
                <w:rFonts w:ascii="Times New Roman"/>
                <w:sz w:val="12"/>
              </w:rPr>
            </w:pPr>
          </w:p>
        </w:tc>
      </w:tr>
      <w:tr>
        <w:trPr>
          <w:trHeight w:val="165" w:hRule="atLeast"/>
        </w:trPr>
        <w:tc>
          <w:tcPr>
            <w:tcW w:w="553" w:type="dxa"/>
          </w:tcPr>
          <w:p>
            <w:pPr>
              <w:pStyle w:val="TableParagraph"/>
              <w:rPr>
                <w:rFonts w:ascii="Times New Roman"/>
                <w:sz w:val="10"/>
              </w:rPr>
            </w:pPr>
          </w:p>
        </w:tc>
        <w:tc>
          <w:tcPr>
            <w:tcW w:w="3231" w:type="dxa"/>
          </w:tcPr>
          <w:p>
            <w:pPr>
              <w:pStyle w:val="TableParagraph"/>
              <w:spacing w:line="139" w:lineRule="exact" w:before="6"/>
              <w:ind w:left="68"/>
              <w:rPr>
                <w:sz w:val="13"/>
              </w:rPr>
            </w:pPr>
            <w:r>
              <w:rPr>
                <w:spacing w:val="-4"/>
                <w:sz w:val="13"/>
              </w:rPr>
              <w:t>Cost</w:t>
            </w:r>
          </w:p>
        </w:tc>
        <w:tc>
          <w:tcPr>
            <w:tcW w:w="596" w:type="dxa"/>
          </w:tcPr>
          <w:p>
            <w:pPr>
              <w:pStyle w:val="TableParagraph"/>
              <w:rPr>
                <w:rFonts w:ascii="Times New Roman"/>
                <w:sz w:val="10"/>
              </w:rPr>
            </w:pPr>
          </w:p>
        </w:tc>
        <w:tc>
          <w:tcPr>
            <w:tcW w:w="984" w:type="dxa"/>
          </w:tcPr>
          <w:p>
            <w:pPr>
              <w:pStyle w:val="TableParagraph"/>
              <w:spacing w:line="139" w:lineRule="exact" w:before="6"/>
              <w:ind w:right="124"/>
              <w:jc w:val="right"/>
              <w:rPr>
                <w:sz w:val="13"/>
              </w:rPr>
            </w:pPr>
            <w:r>
              <w:rPr>
                <w:spacing w:val="-2"/>
                <w:sz w:val="13"/>
              </w:rPr>
              <w:t>187,075</w:t>
            </w:r>
          </w:p>
        </w:tc>
        <w:tc>
          <w:tcPr>
            <w:tcW w:w="938" w:type="dxa"/>
          </w:tcPr>
          <w:p>
            <w:pPr>
              <w:pStyle w:val="TableParagraph"/>
              <w:spacing w:line="139" w:lineRule="exact" w:before="6"/>
              <w:ind w:right="136"/>
              <w:jc w:val="right"/>
              <w:rPr>
                <w:sz w:val="13"/>
              </w:rPr>
            </w:pPr>
            <w:r>
              <w:rPr>
                <w:spacing w:val="-2"/>
                <w:sz w:val="13"/>
              </w:rPr>
              <w:t>80,000</w:t>
            </w:r>
          </w:p>
        </w:tc>
        <w:tc>
          <w:tcPr>
            <w:tcW w:w="933" w:type="dxa"/>
          </w:tcPr>
          <w:p>
            <w:pPr>
              <w:pStyle w:val="TableParagraph"/>
              <w:spacing w:line="139" w:lineRule="exact" w:before="6"/>
              <w:ind w:left="199"/>
              <w:rPr>
                <w:sz w:val="13"/>
              </w:rPr>
            </w:pPr>
            <w:r>
              <w:rPr>
                <w:spacing w:val="-2"/>
                <w:sz w:val="13"/>
              </w:rPr>
              <w:t>1,101,191</w:t>
            </w:r>
          </w:p>
        </w:tc>
        <w:tc>
          <w:tcPr>
            <w:tcW w:w="900" w:type="dxa"/>
          </w:tcPr>
          <w:p>
            <w:pPr>
              <w:pStyle w:val="TableParagraph"/>
              <w:spacing w:line="139" w:lineRule="exact" w:before="6"/>
              <w:ind w:right="117"/>
              <w:jc w:val="right"/>
              <w:rPr>
                <w:sz w:val="13"/>
              </w:rPr>
            </w:pPr>
            <w:r>
              <w:rPr>
                <w:spacing w:val="-2"/>
                <w:sz w:val="13"/>
              </w:rPr>
              <w:t>91,265</w:t>
            </w:r>
          </w:p>
        </w:tc>
        <w:tc>
          <w:tcPr>
            <w:tcW w:w="949" w:type="dxa"/>
          </w:tcPr>
          <w:p>
            <w:pPr>
              <w:pStyle w:val="TableParagraph"/>
              <w:spacing w:line="139" w:lineRule="exact" w:before="6"/>
              <w:ind w:right="141"/>
              <w:jc w:val="right"/>
              <w:rPr>
                <w:sz w:val="13"/>
              </w:rPr>
            </w:pPr>
            <w:r>
              <w:rPr>
                <w:spacing w:val="-2"/>
                <w:sz w:val="13"/>
              </w:rPr>
              <w:t>286,660</w:t>
            </w:r>
          </w:p>
        </w:tc>
        <w:tc>
          <w:tcPr>
            <w:tcW w:w="955" w:type="dxa"/>
          </w:tcPr>
          <w:p>
            <w:pPr>
              <w:pStyle w:val="TableParagraph"/>
              <w:spacing w:line="139" w:lineRule="exact" w:before="6"/>
              <w:ind w:right="170"/>
              <w:jc w:val="right"/>
              <w:rPr>
                <w:sz w:val="13"/>
              </w:rPr>
            </w:pPr>
            <w:r>
              <w:rPr>
                <w:spacing w:val="-2"/>
                <w:sz w:val="13"/>
              </w:rPr>
              <w:t>29,344</w:t>
            </w:r>
          </w:p>
        </w:tc>
        <w:tc>
          <w:tcPr>
            <w:tcW w:w="859" w:type="dxa"/>
          </w:tcPr>
          <w:p>
            <w:pPr>
              <w:pStyle w:val="TableParagraph"/>
              <w:spacing w:line="139" w:lineRule="exact" w:before="6"/>
              <w:ind w:right="103"/>
              <w:jc w:val="right"/>
              <w:rPr>
                <w:sz w:val="13"/>
              </w:rPr>
            </w:pPr>
            <w:r>
              <w:rPr>
                <w:spacing w:val="-2"/>
                <w:sz w:val="13"/>
              </w:rPr>
              <w:t>10,854</w:t>
            </w:r>
          </w:p>
        </w:tc>
        <w:tc>
          <w:tcPr>
            <w:tcW w:w="930" w:type="dxa"/>
          </w:tcPr>
          <w:p>
            <w:pPr>
              <w:pStyle w:val="TableParagraph"/>
              <w:spacing w:line="139" w:lineRule="exact" w:before="6"/>
              <w:ind w:right="107"/>
              <w:jc w:val="right"/>
              <w:rPr>
                <w:sz w:val="13"/>
              </w:rPr>
            </w:pPr>
            <w:r>
              <w:rPr>
                <w:spacing w:val="-2"/>
                <w:sz w:val="13"/>
              </w:rPr>
              <w:t>1,254</w:t>
            </w:r>
          </w:p>
        </w:tc>
        <w:tc>
          <w:tcPr>
            <w:tcW w:w="996" w:type="dxa"/>
          </w:tcPr>
          <w:p>
            <w:pPr>
              <w:pStyle w:val="TableParagraph"/>
              <w:spacing w:line="139" w:lineRule="exact" w:before="6"/>
              <w:ind w:right="177"/>
              <w:jc w:val="right"/>
              <w:rPr>
                <w:sz w:val="13"/>
              </w:rPr>
            </w:pPr>
            <w:r>
              <w:rPr>
                <w:spacing w:val="-2"/>
                <w:sz w:val="13"/>
              </w:rPr>
              <w:t>67,121</w:t>
            </w:r>
          </w:p>
        </w:tc>
        <w:tc>
          <w:tcPr>
            <w:tcW w:w="805" w:type="dxa"/>
          </w:tcPr>
          <w:p>
            <w:pPr>
              <w:pStyle w:val="TableParagraph"/>
              <w:spacing w:line="139" w:lineRule="exact" w:before="6"/>
              <w:ind w:left="158"/>
              <w:rPr>
                <w:sz w:val="13"/>
              </w:rPr>
            </w:pPr>
            <w:r>
              <w:rPr>
                <w:spacing w:val="-2"/>
                <w:sz w:val="13"/>
              </w:rPr>
              <w:t>1,854,764</w:t>
            </w:r>
          </w:p>
        </w:tc>
      </w:tr>
      <w:tr>
        <w:trPr>
          <w:trHeight w:val="163" w:hRule="atLeast"/>
        </w:trPr>
        <w:tc>
          <w:tcPr>
            <w:tcW w:w="553" w:type="dxa"/>
          </w:tcPr>
          <w:p>
            <w:pPr>
              <w:pStyle w:val="TableParagraph"/>
              <w:rPr>
                <w:rFonts w:ascii="Times New Roman"/>
                <w:sz w:val="10"/>
              </w:rPr>
            </w:pPr>
          </w:p>
        </w:tc>
        <w:tc>
          <w:tcPr>
            <w:tcW w:w="3231" w:type="dxa"/>
          </w:tcPr>
          <w:p>
            <w:pPr>
              <w:pStyle w:val="TableParagraph"/>
              <w:spacing w:line="137" w:lineRule="exact" w:before="6"/>
              <w:ind w:left="68"/>
              <w:rPr>
                <w:sz w:val="13"/>
              </w:rPr>
            </w:pPr>
            <w:r>
              <w:rPr>
                <w:sz w:val="13"/>
              </w:rPr>
              <w:t>Accumulated</w:t>
            </w:r>
            <w:r>
              <w:rPr>
                <w:spacing w:val="5"/>
                <w:sz w:val="13"/>
              </w:rPr>
              <w:t> </w:t>
            </w:r>
            <w:r>
              <w:rPr>
                <w:spacing w:val="-2"/>
                <w:sz w:val="13"/>
              </w:rPr>
              <w:t>depreciation</w:t>
            </w:r>
          </w:p>
        </w:tc>
        <w:tc>
          <w:tcPr>
            <w:tcW w:w="596" w:type="dxa"/>
          </w:tcPr>
          <w:p>
            <w:pPr>
              <w:pStyle w:val="TableParagraph"/>
              <w:rPr>
                <w:rFonts w:ascii="Times New Roman"/>
                <w:sz w:val="10"/>
              </w:rPr>
            </w:pPr>
          </w:p>
        </w:tc>
        <w:tc>
          <w:tcPr>
            <w:tcW w:w="984" w:type="dxa"/>
          </w:tcPr>
          <w:p>
            <w:pPr>
              <w:pStyle w:val="TableParagraph"/>
              <w:spacing w:line="137" w:lineRule="exact" w:before="6"/>
              <w:ind w:right="116"/>
              <w:jc w:val="right"/>
              <w:rPr>
                <w:sz w:val="13"/>
              </w:rPr>
            </w:pPr>
            <w:r>
              <w:rPr>
                <w:spacing w:val="-10"/>
                <w:sz w:val="13"/>
              </w:rPr>
              <w:t>-</w:t>
            </w:r>
          </w:p>
        </w:tc>
        <w:tc>
          <w:tcPr>
            <w:tcW w:w="938" w:type="dxa"/>
          </w:tcPr>
          <w:p>
            <w:pPr>
              <w:pStyle w:val="TableParagraph"/>
              <w:spacing w:line="137" w:lineRule="exact" w:before="6"/>
              <w:ind w:right="128"/>
              <w:jc w:val="right"/>
              <w:rPr>
                <w:sz w:val="13"/>
              </w:rPr>
            </w:pPr>
            <w:r>
              <w:rPr>
                <w:spacing w:val="-10"/>
                <w:sz w:val="13"/>
              </w:rPr>
              <w:t>-</w:t>
            </w:r>
          </w:p>
        </w:tc>
        <w:tc>
          <w:tcPr>
            <w:tcW w:w="933" w:type="dxa"/>
          </w:tcPr>
          <w:p>
            <w:pPr>
              <w:pStyle w:val="TableParagraph"/>
              <w:spacing w:line="137" w:lineRule="exact" w:before="6"/>
              <w:ind w:right="99"/>
              <w:jc w:val="right"/>
              <w:rPr>
                <w:sz w:val="13"/>
              </w:rPr>
            </w:pPr>
            <w:r>
              <w:rPr>
                <w:spacing w:val="-2"/>
                <w:sz w:val="13"/>
              </w:rPr>
              <w:t>(234,647)</w:t>
            </w:r>
          </w:p>
        </w:tc>
        <w:tc>
          <w:tcPr>
            <w:tcW w:w="900" w:type="dxa"/>
          </w:tcPr>
          <w:p>
            <w:pPr>
              <w:pStyle w:val="TableParagraph"/>
              <w:spacing w:line="137" w:lineRule="exact" w:before="6"/>
              <w:ind w:right="109"/>
              <w:jc w:val="right"/>
              <w:rPr>
                <w:sz w:val="13"/>
              </w:rPr>
            </w:pPr>
            <w:r>
              <w:rPr>
                <w:spacing w:val="-10"/>
                <w:sz w:val="13"/>
              </w:rPr>
              <w:t>-</w:t>
            </w:r>
          </w:p>
        </w:tc>
        <w:tc>
          <w:tcPr>
            <w:tcW w:w="949" w:type="dxa"/>
          </w:tcPr>
          <w:p>
            <w:pPr>
              <w:pStyle w:val="TableParagraph"/>
              <w:spacing w:line="137" w:lineRule="exact" w:before="6"/>
              <w:ind w:right="96"/>
              <w:jc w:val="right"/>
              <w:rPr>
                <w:sz w:val="13"/>
              </w:rPr>
            </w:pPr>
            <w:r>
              <w:rPr>
                <w:spacing w:val="-2"/>
                <w:sz w:val="13"/>
              </w:rPr>
              <w:t>(219,527)</w:t>
            </w:r>
          </w:p>
        </w:tc>
        <w:tc>
          <w:tcPr>
            <w:tcW w:w="955" w:type="dxa"/>
          </w:tcPr>
          <w:p>
            <w:pPr>
              <w:pStyle w:val="TableParagraph"/>
              <w:spacing w:line="137" w:lineRule="exact" w:before="6"/>
              <w:ind w:right="161"/>
              <w:jc w:val="right"/>
              <w:rPr>
                <w:sz w:val="13"/>
              </w:rPr>
            </w:pPr>
            <w:r>
              <w:rPr>
                <w:spacing w:val="-10"/>
                <w:sz w:val="13"/>
              </w:rPr>
              <w:t>-</w:t>
            </w:r>
          </w:p>
        </w:tc>
        <w:tc>
          <w:tcPr>
            <w:tcW w:w="859" w:type="dxa"/>
          </w:tcPr>
          <w:p>
            <w:pPr>
              <w:pStyle w:val="TableParagraph"/>
              <w:spacing w:line="137" w:lineRule="exact" w:before="6"/>
              <w:ind w:right="58"/>
              <w:jc w:val="right"/>
              <w:rPr>
                <w:sz w:val="13"/>
              </w:rPr>
            </w:pPr>
            <w:r>
              <w:rPr>
                <w:spacing w:val="-2"/>
                <w:sz w:val="13"/>
              </w:rPr>
              <w:t>(7,742)</w:t>
            </w:r>
          </w:p>
        </w:tc>
        <w:tc>
          <w:tcPr>
            <w:tcW w:w="930" w:type="dxa"/>
          </w:tcPr>
          <w:p>
            <w:pPr>
              <w:pStyle w:val="TableParagraph"/>
              <w:spacing w:line="137" w:lineRule="exact" w:before="6"/>
              <w:ind w:right="63"/>
              <w:jc w:val="right"/>
              <w:rPr>
                <w:sz w:val="13"/>
              </w:rPr>
            </w:pPr>
            <w:r>
              <w:rPr>
                <w:spacing w:val="-2"/>
                <w:sz w:val="13"/>
              </w:rPr>
              <w:t>(705)</w:t>
            </w:r>
          </w:p>
        </w:tc>
        <w:tc>
          <w:tcPr>
            <w:tcW w:w="996" w:type="dxa"/>
          </w:tcPr>
          <w:p>
            <w:pPr>
              <w:pStyle w:val="TableParagraph"/>
              <w:spacing w:line="137" w:lineRule="exact" w:before="6"/>
              <w:ind w:right="169"/>
              <w:jc w:val="right"/>
              <w:rPr>
                <w:sz w:val="13"/>
              </w:rPr>
            </w:pPr>
            <w:r>
              <w:rPr>
                <w:spacing w:val="-10"/>
                <w:sz w:val="13"/>
              </w:rPr>
              <w:t>-</w:t>
            </w:r>
          </w:p>
        </w:tc>
        <w:tc>
          <w:tcPr>
            <w:tcW w:w="805" w:type="dxa"/>
          </w:tcPr>
          <w:p>
            <w:pPr>
              <w:pStyle w:val="TableParagraph"/>
              <w:spacing w:line="137" w:lineRule="exact" w:before="6"/>
              <w:ind w:right="12"/>
              <w:jc w:val="right"/>
              <w:rPr>
                <w:sz w:val="13"/>
              </w:rPr>
            </w:pPr>
            <w:r>
              <w:rPr>
                <w:spacing w:val="-2"/>
                <w:sz w:val="13"/>
              </w:rPr>
              <w:t>(462,621)</w:t>
            </w:r>
          </w:p>
        </w:tc>
      </w:tr>
      <w:tr>
        <w:trPr>
          <w:trHeight w:val="155" w:hRule="atLeast"/>
        </w:trPr>
        <w:tc>
          <w:tcPr>
            <w:tcW w:w="553" w:type="dxa"/>
          </w:tcPr>
          <w:p>
            <w:pPr>
              <w:pStyle w:val="TableParagraph"/>
              <w:rPr>
                <w:rFonts w:ascii="Times New Roman"/>
                <w:sz w:val="10"/>
              </w:rPr>
            </w:pPr>
          </w:p>
        </w:tc>
        <w:tc>
          <w:tcPr>
            <w:tcW w:w="3231" w:type="dxa"/>
          </w:tcPr>
          <w:p>
            <w:pPr>
              <w:pStyle w:val="TableParagraph"/>
              <w:spacing w:line="132" w:lineRule="exact" w:before="4"/>
              <w:ind w:left="68"/>
              <w:rPr>
                <w:sz w:val="13"/>
              </w:rPr>
            </w:pPr>
            <w:r>
              <w:rPr>
                <w:sz w:val="13"/>
              </w:rPr>
              <w:t>Accumulated</w:t>
            </w:r>
            <w:r>
              <w:rPr>
                <w:spacing w:val="5"/>
                <w:sz w:val="13"/>
              </w:rPr>
              <w:t> </w:t>
            </w:r>
            <w:r>
              <w:rPr>
                <w:spacing w:val="-2"/>
                <w:sz w:val="13"/>
              </w:rPr>
              <w:t>impairment</w:t>
            </w:r>
          </w:p>
        </w:tc>
        <w:tc>
          <w:tcPr>
            <w:tcW w:w="596" w:type="dxa"/>
          </w:tcPr>
          <w:p>
            <w:pPr>
              <w:pStyle w:val="TableParagraph"/>
              <w:rPr>
                <w:rFonts w:ascii="Times New Roman"/>
                <w:sz w:val="10"/>
              </w:rPr>
            </w:pPr>
          </w:p>
        </w:tc>
        <w:tc>
          <w:tcPr>
            <w:tcW w:w="984" w:type="dxa"/>
            <w:tcBorders>
              <w:bottom w:val="single" w:sz="6" w:space="0" w:color="000000"/>
            </w:tcBorders>
          </w:tcPr>
          <w:p>
            <w:pPr>
              <w:pStyle w:val="TableParagraph"/>
              <w:spacing w:line="129" w:lineRule="exact" w:before="6"/>
              <w:ind w:right="80"/>
              <w:jc w:val="right"/>
              <w:rPr>
                <w:sz w:val="13"/>
              </w:rPr>
            </w:pPr>
            <w:r>
              <w:rPr>
                <w:spacing w:val="-2"/>
                <w:sz w:val="13"/>
              </w:rPr>
              <w:t>(2,054)</w:t>
            </w:r>
          </w:p>
        </w:tc>
        <w:tc>
          <w:tcPr>
            <w:tcW w:w="938" w:type="dxa"/>
            <w:tcBorders>
              <w:bottom w:val="single" w:sz="6" w:space="0" w:color="000000"/>
            </w:tcBorders>
          </w:tcPr>
          <w:p>
            <w:pPr>
              <w:pStyle w:val="TableParagraph"/>
              <w:spacing w:line="129" w:lineRule="exact" w:before="6"/>
              <w:ind w:right="128"/>
              <w:jc w:val="right"/>
              <w:rPr>
                <w:sz w:val="13"/>
              </w:rPr>
            </w:pPr>
            <w:r>
              <w:rPr>
                <w:spacing w:val="-10"/>
                <w:sz w:val="13"/>
              </w:rPr>
              <w:t>-</w:t>
            </w:r>
          </w:p>
        </w:tc>
        <w:tc>
          <w:tcPr>
            <w:tcW w:w="933" w:type="dxa"/>
            <w:tcBorders>
              <w:bottom w:val="single" w:sz="6" w:space="0" w:color="000000"/>
            </w:tcBorders>
          </w:tcPr>
          <w:p>
            <w:pPr>
              <w:pStyle w:val="TableParagraph"/>
              <w:spacing w:line="129" w:lineRule="exact" w:before="6"/>
              <w:ind w:right="99"/>
              <w:jc w:val="right"/>
              <w:rPr>
                <w:sz w:val="13"/>
              </w:rPr>
            </w:pPr>
            <w:r>
              <w:rPr>
                <w:spacing w:val="-2"/>
                <w:sz w:val="13"/>
              </w:rPr>
              <w:t>(11,845)</w:t>
            </w:r>
          </w:p>
        </w:tc>
        <w:tc>
          <w:tcPr>
            <w:tcW w:w="900" w:type="dxa"/>
            <w:tcBorders>
              <w:bottom w:val="single" w:sz="6" w:space="0" w:color="000000"/>
            </w:tcBorders>
          </w:tcPr>
          <w:p>
            <w:pPr>
              <w:pStyle w:val="TableParagraph"/>
              <w:spacing w:line="129" w:lineRule="exact" w:before="6"/>
              <w:ind w:right="109"/>
              <w:jc w:val="right"/>
              <w:rPr>
                <w:sz w:val="13"/>
              </w:rPr>
            </w:pPr>
            <w:r>
              <w:rPr>
                <w:spacing w:val="-10"/>
                <w:sz w:val="13"/>
              </w:rPr>
              <w:t>-</w:t>
            </w:r>
          </w:p>
        </w:tc>
        <w:tc>
          <w:tcPr>
            <w:tcW w:w="949" w:type="dxa"/>
            <w:tcBorders>
              <w:bottom w:val="single" w:sz="6" w:space="0" w:color="000000"/>
            </w:tcBorders>
          </w:tcPr>
          <w:p>
            <w:pPr>
              <w:pStyle w:val="TableParagraph"/>
              <w:spacing w:line="129" w:lineRule="exact" w:before="6"/>
              <w:ind w:right="132"/>
              <w:jc w:val="right"/>
              <w:rPr>
                <w:sz w:val="13"/>
              </w:rPr>
            </w:pPr>
            <w:r>
              <w:rPr>
                <w:spacing w:val="-10"/>
                <w:sz w:val="13"/>
              </w:rPr>
              <w:t>-</w:t>
            </w:r>
          </w:p>
        </w:tc>
        <w:tc>
          <w:tcPr>
            <w:tcW w:w="955" w:type="dxa"/>
            <w:tcBorders>
              <w:bottom w:val="single" w:sz="6" w:space="0" w:color="000000"/>
            </w:tcBorders>
          </w:tcPr>
          <w:p>
            <w:pPr>
              <w:pStyle w:val="TableParagraph"/>
              <w:spacing w:line="129" w:lineRule="exact" w:before="6"/>
              <w:ind w:right="161"/>
              <w:jc w:val="right"/>
              <w:rPr>
                <w:sz w:val="13"/>
              </w:rPr>
            </w:pPr>
            <w:r>
              <w:rPr>
                <w:spacing w:val="-10"/>
                <w:sz w:val="13"/>
              </w:rPr>
              <w:t>-</w:t>
            </w:r>
          </w:p>
        </w:tc>
        <w:tc>
          <w:tcPr>
            <w:tcW w:w="859" w:type="dxa"/>
            <w:tcBorders>
              <w:bottom w:val="single" w:sz="6" w:space="0" w:color="000000"/>
            </w:tcBorders>
          </w:tcPr>
          <w:p>
            <w:pPr>
              <w:pStyle w:val="TableParagraph"/>
              <w:spacing w:line="129" w:lineRule="exact" w:before="6"/>
              <w:ind w:right="95"/>
              <w:jc w:val="right"/>
              <w:rPr>
                <w:sz w:val="13"/>
              </w:rPr>
            </w:pPr>
            <w:r>
              <w:rPr>
                <w:spacing w:val="-10"/>
                <w:sz w:val="13"/>
              </w:rPr>
              <w:t>-</w:t>
            </w:r>
          </w:p>
        </w:tc>
        <w:tc>
          <w:tcPr>
            <w:tcW w:w="930" w:type="dxa"/>
            <w:tcBorders>
              <w:bottom w:val="single" w:sz="6" w:space="0" w:color="000000"/>
            </w:tcBorders>
          </w:tcPr>
          <w:p>
            <w:pPr>
              <w:pStyle w:val="TableParagraph"/>
              <w:spacing w:line="129" w:lineRule="exact" w:before="6"/>
              <w:ind w:right="99"/>
              <w:jc w:val="right"/>
              <w:rPr>
                <w:sz w:val="13"/>
              </w:rPr>
            </w:pPr>
            <w:r>
              <w:rPr>
                <w:spacing w:val="-10"/>
                <w:sz w:val="13"/>
              </w:rPr>
              <w:t>-</w:t>
            </w:r>
          </w:p>
        </w:tc>
        <w:tc>
          <w:tcPr>
            <w:tcW w:w="996" w:type="dxa"/>
            <w:tcBorders>
              <w:bottom w:val="single" w:sz="6" w:space="0" w:color="000000"/>
            </w:tcBorders>
          </w:tcPr>
          <w:p>
            <w:pPr>
              <w:pStyle w:val="TableParagraph"/>
              <w:spacing w:line="129" w:lineRule="exact" w:before="6"/>
              <w:ind w:right="133"/>
              <w:jc w:val="right"/>
              <w:rPr>
                <w:sz w:val="13"/>
              </w:rPr>
            </w:pPr>
            <w:r>
              <w:rPr>
                <w:spacing w:val="-2"/>
                <w:sz w:val="13"/>
              </w:rPr>
              <w:t>(21,018)</w:t>
            </w:r>
          </w:p>
        </w:tc>
        <w:tc>
          <w:tcPr>
            <w:tcW w:w="805" w:type="dxa"/>
            <w:tcBorders>
              <w:bottom w:val="single" w:sz="6" w:space="0" w:color="000000"/>
            </w:tcBorders>
          </w:tcPr>
          <w:p>
            <w:pPr>
              <w:pStyle w:val="TableParagraph"/>
              <w:spacing w:line="132" w:lineRule="exact" w:before="4"/>
              <w:ind w:right="12"/>
              <w:jc w:val="right"/>
              <w:rPr>
                <w:sz w:val="13"/>
              </w:rPr>
            </w:pPr>
            <w:r>
              <w:rPr>
                <w:spacing w:val="-2"/>
                <w:sz w:val="13"/>
              </w:rPr>
              <w:t>(34,917)</w:t>
            </w:r>
          </w:p>
        </w:tc>
      </w:tr>
      <w:tr>
        <w:trPr>
          <w:trHeight w:val="150" w:hRule="atLeast"/>
        </w:trPr>
        <w:tc>
          <w:tcPr>
            <w:tcW w:w="553" w:type="dxa"/>
          </w:tcPr>
          <w:p>
            <w:pPr>
              <w:pStyle w:val="TableParagraph"/>
              <w:rPr>
                <w:rFonts w:ascii="Times New Roman"/>
                <w:sz w:val="8"/>
              </w:rPr>
            </w:pPr>
          </w:p>
        </w:tc>
        <w:tc>
          <w:tcPr>
            <w:tcW w:w="3231" w:type="dxa"/>
          </w:tcPr>
          <w:p>
            <w:pPr>
              <w:pStyle w:val="TableParagraph"/>
              <w:spacing w:line="130" w:lineRule="exact"/>
              <w:ind w:left="68"/>
              <w:rPr>
                <w:b/>
                <w:sz w:val="13"/>
              </w:rPr>
            </w:pPr>
            <w:r>
              <w:rPr>
                <w:b/>
                <w:sz w:val="13"/>
              </w:rPr>
              <w:t>Net</w:t>
            </w:r>
            <w:r>
              <w:rPr>
                <w:b/>
                <w:spacing w:val="1"/>
                <w:sz w:val="13"/>
              </w:rPr>
              <w:t> </w:t>
            </w:r>
            <w:r>
              <w:rPr>
                <w:b/>
                <w:sz w:val="13"/>
              </w:rPr>
              <w:t>book</w:t>
            </w:r>
            <w:r>
              <w:rPr>
                <w:b/>
                <w:spacing w:val="1"/>
                <w:sz w:val="13"/>
              </w:rPr>
              <w:t> </w:t>
            </w:r>
            <w:r>
              <w:rPr>
                <w:b/>
                <w:spacing w:val="-2"/>
                <w:sz w:val="13"/>
              </w:rPr>
              <w:t>value</w:t>
            </w:r>
          </w:p>
        </w:tc>
        <w:tc>
          <w:tcPr>
            <w:tcW w:w="596" w:type="dxa"/>
          </w:tcPr>
          <w:p>
            <w:pPr>
              <w:pStyle w:val="TableParagraph"/>
              <w:rPr>
                <w:rFonts w:ascii="Times New Roman"/>
                <w:sz w:val="8"/>
              </w:rPr>
            </w:pPr>
          </w:p>
        </w:tc>
        <w:tc>
          <w:tcPr>
            <w:tcW w:w="984" w:type="dxa"/>
            <w:tcBorders>
              <w:top w:val="single" w:sz="6" w:space="0" w:color="000000"/>
              <w:bottom w:val="single" w:sz="6" w:space="0" w:color="000000"/>
            </w:tcBorders>
          </w:tcPr>
          <w:p>
            <w:pPr>
              <w:pStyle w:val="TableParagraph"/>
              <w:spacing w:line="130" w:lineRule="exact"/>
              <w:ind w:right="124"/>
              <w:jc w:val="right"/>
              <w:rPr>
                <w:b/>
                <w:sz w:val="13"/>
              </w:rPr>
            </w:pPr>
            <w:r>
              <w:rPr>
                <w:b/>
                <w:spacing w:val="-2"/>
                <w:sz w:val="13"/>
              </w:rPr>
              <w:t>185,021</w:t>
            </w:r>
          </w:p>
        </w:tc>
        <w:tc>
          <w:tcPr>
            <w:tcW w:w="938" w:type="dxa"/>
            <w:tcBorders>
              <w:top w:val="single" w:sz="6" w:space="0" w:color="000000"/>
              <w:bottom w:val="single" w:sz="6" w:space="0" w:color="000000"/>
            </w:tcBorders>
          </w:tcPr>
          <w:p>
            <w:pPr>
              <w:pStyle w:val="TableParagraph"/>
              <w:spacing w:line="130" w:lineRule="exact"/>
              <w:ind w:right="136"/>
              <w:jc w:val="right"/>
              <w:rPr>
                <w:b/>
                <w:sz w:val="13"/>
              </w:rPr>
            </w:pPr>
            <w:r>
              <w:rPr>
                <w:b/>
                <w:spacing w:val="-2"/>
                <w:sz w:val="13"/>
              </w:rPr>
              <w:t>80,000</w:t>
            </w:r>
          </w:p>
        </w:tc>
        <w:tc>
          <w:tcPr>
            <w:tcW w:w="933" w:type="dxa"/>
            <w:tcBorders>
              <w:top w:val="single" w:sz="6" w:space="0" w:color="000000"/>
              <w:bottom w:val="single" w:sz="6" w:space="0" w:color="000000"/>
            </w:tcBorders>
          </w:tcPr>
          <w:p>
            <w:pPr>
              <w:pStyle w:val="TableParagraph"/>
              <w:spacing w:line="130" w:lineRule="exact"/>
              <w:ind w:left="308"/>
              <w:rPr>
                <w:b/>
                <w:sz w:val="13"/>
              </w:rPr>
            </w:pPr>
            <w:r>
              <w:rPr>
                <w:b/>
                <w:spacing w:val="-2"/>
                <w:sz w:val="13"/>
              </w:rPr>
              <w:t>854,699</w:t>
            </w:r>
          </w:p>
        </w:tc>
        <w:tc>
          <w:tcPr>
            <w:tcW w:w="900" w:type="dxa"/>
            <w:tcBorders>
              <w:top w:val="single" w:sz="6" w:space="0" w:color="000000"/>
              <w:bottom w:val="single" w:sz="6" w:space="0" w:color="000000"/>
            </w:tcBorders>
          </w:tcPr>
          <w:p>
            <w:pPr>
              <w:pStyle w:val="TableParagraph"/>
              <w:spacing w:line="130" w:lineRule="exact"/>
              <w:ind w:right="117"/>
              <w:jc w:val="right"/>
              <w:rPr>
                <w:b/>
                <w:sz w:val="13"/>
              </w:rPr>
            </w:pPr>
            <w:r>
              <w:rPr>
                <w:b/>
                <w:spacing w:val="-2"/>
                <w:sz w:val="13"/>
              </w:rPr>
              <w:t>91,265</w:t>
            </w:r>
          </w:p>
        </w:tc>
        <w:tc>
          <w:tcPr>
            <w:tcW w:w="949" w:type="dxa"/>
            <w:tcBorders>
              <w:top w:val="single" w:sz="6" w:space="0" w:color="000000"/>
              <w:bottom w:val="single" w:sz="6" w:space="0" w:color="000000"/>
            </w:tcBorders>
          </w:tcPr>
          <w:p>
            <w:pPr>
              <w:pStyle w:val="TableParagraph"/>
              <w:spacing w:line="130" w:lineRule="exact"/>
              <w:ind w:right="141"/>
              <w:jc w:val="right"/>
              <w:rPr>
                <w:b/>
                <w:sz w:val="13"/>
              </w:rPr>
            </w:pPr>
            <w:r>
              <w:rPr>
                <w:b/>
                <w:spacing w:val="-2"/>
                <w:sz w:val="13"/>
              </w:rPr>
              <w:t>67,133</w:t>
            </w:r>
          </w:p>
        </w:tc>
        <w:tc>
          <w:tcPr>
            <w:tcW w:w="955" w:type="dxa"/>
            <w:tcBorders>
              <w:top w:val="single" w:sz="6" w:space="0" w:color="000000"/>
              <w:bottom w:val="single" w:sz="6" w:space="0" w:color="000000"/>
            </w:tcBorders>
          </w:tcPr>
          <w:p>
            <w:pPr>
              <w:pStyle w:val="TableParagraph"/>
              <w:spacing w:line="130" w:lineRule="exact"/>
              <w:ind w:right="170"/>
              <w:jc w:val="right"/>
              <w:rPr>
                <w:b/>
                <w:sz w:val="13"/>
              </w:rPr>
            </w:pPr>
            <w:r>
              <w:rPr>
                <w:b/>
                <w:spacing w:val="-2"/>
                <w:sz w:val="13"/>
              </w:rPr>
              <w:t>29,344</w:t>
            </w:r>
          </w:p>
        </w:tc>
        <w:tc>
          <w:tcPr>
            <w:tcW w:w="859" w:type="dxa"/>
            <w:tcBorders>
              <w:top w:val="single" w:sz="6" w:space="0" w:color="000000"/>
              <w:bottom w:val="single" w:sz="6" w:space="0" w:color="000000"/>
            </w:tcBorders>
          </w:tcPr>
          <w:p>
            <w:pPr>
              <w:pStyle w:val="TableParagraph"/>
              <w:spacing w:line="130" w:lineRule="exact"/>
              <w:ind w:right="103"/>
              <w:jc w:val="right"/>
              <w:rPr>
                <w:b/>
                <w:sz w:val="13"/>
              </w:rPr>
            </w:pPr>
            <w:r>
              <w:rPr>
                <w:b/>
                <w:spacing w:val="-2"/>
                <w:sz w:val="13"/>
              </w:rPr>
              <w:t>3,112</w:t>
            </w:r>
          </w:p>
        </w:tc>
        <w:tc>
          <w:tcPr>
            <w:tcW w:w="930" w:type="dxa"/>
            <w:tcBorders>
              <w:top w:val="single" w:sz="6" w:space="0" w:color="000000"/>
              <w:bottom w:val="single" w:sz="6" w:space="0" w:color="000000"/>
            </w:tcBorders>
          </w:tcPr>
          <w:p>
            <w:pPr>
              <w:pStyle w:val="TableParagraph"/>
              <w:spacing w:line="130" w:lineRule="exact"/>
              <w:ind w:right="107"/>
              <w:jc w:val="right"/>
              <w:rPr>
                <w:b/>
                <w:sz w:val="13"/>
              </w:rPr>
            </w:pPr>
            <w:r>
              <w:rPr>
                <w:b/>
                <w:spacing w:val="-5"/>
                <w:sz w:val="13"/>
              </w:rPr>
              <w:t>549</w:t>
            </w:r>
          </w:p>
        </w:tc>
        <w:tc>
          <w:tcPr>
            <w:tcW w:w="996" w:type="dxa"/>
            <w:tcBorders>
              <w:top w:val="single" w:sz="6" w:space="0" w:color="000000"/>
              <w:bottom w:val="single" w:sz="6" w:space="0" w:color="000000"/>
            </w:tcBorders>
          </w:tcPr>
          <w:p>
            <w:pPr>
              <w:pStyle w:val="TableParagraph"/>
              <w:spacing w:line="130" w:lineRule="exact"/>
              <w:ind w:right="177"/>
              <w:jc w:val="right"/>
              <w:rPr>
                <w:b/>
                <w:sz w:val="13"/>
              </w:rPr>
            </w:pPr>
            <w:r>
              <w:rPr>
                <w:b/>
                <w:spacing w:val="-2"/>
                <w:sz w:val="13"/>
              </w:rPr>
              <w:t>46,103</w:t>
            </w:r>
          </w:p>
        </w:tc>
        <w:tc>
          <w:tcPr>
            <w:tcW w:w="805" w:type="dxa"/>
            <w:tcBorders>
              <w:top w:val="single" w:sz="6" w:space="0" w:color="000000"/>
              <w:bottom w:val="single" w:sz="6" w:space="0" w:color="000000"/>
            </w:tcBorders>
          </w:tcPr>
          <w:p>
            <w:pPr>
              <w:pStyle w:val="TableParagraph"/>
              <w:spacing w:line="130" w:lineRule="exact"/>
              <w:ind w:left="158"/>
              <w:rPr>
                <w:b/>
                <w:sz w:val="13"/>
              </w:rPr>
            </w:pPr>
            <w:r>
              <w:rPr>
                <w:b/>
                <w:spacing w:val="-2"/>
                <w:sz w:val="13"/>
              </w:rPr>
              <w:t>1,357,226</w:t>
            </w:r>
          </w:p>
        </w:tc>
      </w:tr>
      <w:tr>
        <w:trPr>
          <w:trHeight w:val="484" w:hRule="atLeast"/>
        </w:trPr>
        <w:tc>
          <w:tcPr>
            <w:tcW w:w="553" w:type="dxa"/>
          </w:tcPr>
          <w:p>
            <w:pPr>
              <w:pStyle w:val="TableParagraph"/>
              <w:rPr>
                <w:rFonts w:ascii="Times New Roman"/>
                <w:sz w:val="12"/>
              </w:rPr>
            </w:pPr>
          </w:p>
        </w:tc>
        <w:tc>
          <w:tcPr>
            <w:tcW w:w="3231" w:type="dxa"/>
          </w:tcPr>
          <w:p>
            <w:pPr>
              <w:pStyle w:val="TableParagraph"/>
              <w:spacing w:before="14"/>
              <w:rPr>
                <w:b/>
                <w:sz w:val="13"/>
              </w:rPr>
            </w:pPr>
          </w:p>
          <w:p>
            <w:pPr>
              <w:pStyle w:val="TableParagraph"/>
              <w:spacing w:before="1"/>
              <w:ind w:left="68"/>
              <w:rPr>
                <w:b/>
                <w:sz w:val="13"/>
              </w:rPr>
            </w:pPr>
            <w:r>
              <w:rPr>
                <w:b/>
                <w:sz w:val="13"/>
              </w:rPr>
              <w:t>Year ended 31</w:t>
            </w:r>
            <w:r>
              <w:rPr>
                <w:b/>
                <w:spacing w:val="2"/>
                <w:sz w:val="13"/>
              </w:rPr>
              <w:t> </w:t>
            </w:r>
            <w:r>
              <w:rPr>
                <w:b/>
                <w:sz w:val="13"/>
              </w:rPr>
              <w:t>December </w:t>
            </w:r>
            <w:r>
              <w:rPr>
                <w:b/>
                <w:spacing w:val="-4"/>
                <w:sz w:val="13"/>
              </w:rPr>
              <w:t>2020</w:t>
            </w:r>
          </w:p>
          <w:p>
            <w:pPr>
              <w:pStyle w:val="TableParagraph"/>
              <w:spacing w:line="139" w:lineRule="exact" w:before="11"/>
              <w:ind w:left="68"/>
              <w:rPr>
                <w:sz w:val="13"/>
              </w:rPr>
            </w:pPr>
            <w:r>
              <w:rPr>
                <w:sz w:val="13"/>
              </w:rPr>
              <w:t>Opening</w:t>
            </w:r>
            <w:r>
              <w:rPr>
                <w:spacing w:val="2"/>
                <w:sz w:val="13"/>
              </w:rPr>
              <w:t> </w:t>
            </w:r>
            <w:r>
              <w:rPr>
                <w:sz w:val="13"/>
              </w:rPr>
              <w:t>net</w:t>
            </w:r>
            <w:r>
              <w:rPr>
                <w:spacing w:val="1"/>
                <w:sz w:val="13"/>
              </w:rPr>
              <w:t> </w:t>
            </w:r>
            <w:r>
              <w:rPr>
                <w:sz w:val="13"/>
              </w:rPr>
              <w:t>book</w:t>
            </w:r>
            <w:r>
              <w:rPr>
                <w:spacing w:val="3"/>
                <w:sz w:val="13"/>
              </w:rPr>
              <w:t> </w:t>
            </w:r>
            <w:r>
              <w:rPr>
                <w:spacing w:val="-2"/>
                <w:sz w:val="13"/>
              </w:rPr>
              <w:t>value</w:t>
            </w:r>
          </w:p>
        </w:tc>
        <w:tc>
          <w:tcPr>
            <w:tcW w:w="596" w:type="dxa"/>
          </w:tcPr>
          <w:p>
            <w:pPr>
              <w:pStyle w:val="TableParagraph"/>
              <w:rPr>
                <w:rFonts w:ascii="Times New Roman"/>
                <w:sz w:val="12"/>
              </w:rPr>
            </w:pPr>
          </w:p>
        </w:tc>
        <w:tc>
          <w:tcPr>
            <w:tcW w:w="984" w:type="dxa"/>
            <w:tcBorders>
              <w:top w:val="single" w:sz="6" w:space="0" w:color="000000"/>
            </w:tcBorders>
          </w:tcPr>
          <w:p>
            <w:pPr>
              <w:pStyle w:val="TableParagraph"/>
              <w:rPr>
                <w:b/>
                <w:sz w:val="13"/>
              </w:rPr>
            </w:pPr>
          </w:p>
          <w:p>
            <w:pPr>
              <w:pStyle w:val="TableParagraph"/>
              <w:spacing w:before="26"/>
              <w:rPr>
                <w:b/>
                <w:sz w:val="13"/>
              </w:rPr>
            </w:pPr>
          </w:p>
          <w:p>
            <w:pPr>
              <w:pStyle w:val="TableParagraph"/>
              <w:spacing w:line="139" w:lineRule="exact"/>
              <w:ind w:right="124"/>
              <w:jc w:val="right"/>
              <w:rPr>
                <w:sz w:val="13"/>
              </w:rPr>
            </w:pPr>
            <w:r>
              <w:rPr>
                <w:spacing w:val="-2"/>
                <w:sz w:val="13"/>
              </w:rPr>
              <w:t>185,021</w:t>
            </w:r>
          </w:p>
        </w:tc>
        <w:tc>
          <w:tcPr>
            <w:tcW w:w="938" w:type="dxa"/>
            <w:tcBorders>
              <w:top w:val="single" w:sz="6" w:space="0" w:color="000000"/>
            </w:tcBorders>
          </w:tcPr>
          <w:p>
            <w:pPr>
              <w:pStyle w:val="TableParagraph"/>
              <w:rPr>
                <w:b/>
                <w:sz w:val="13"/>
              </w:rPr>
            </w:pPr>
          </w:p>
          <w:p>
            <w:pPr>
              <w:pStyle w:val="TableParagraph"/>
              <w:spacing w:before="26"/>
              <w:rPr>
                <w:b/>
                <w:sz w:val="13"/>
              </w:rPr>
            </w:pPr>
          </w:p>
          <w:p>
            <w:pPr>
              <w:pStyle w:val="TableParagraph"/>
              <w:spacing w:line="139" w:lineRule="exact"/>
              <w:ind w:right="136"/>
              <w:jc w:val="right"/>
              <w:rPr>
                <w:sz w:val="13"/>
              </w:rPr>
            </w:pPr>
            <w:r>
              <w:rPr>
                <w:spacing w:val="-2"/>
                <w:sz w:val="13"/>
              </w:rPr>
              <w:t>80,000</w:t>
            </w:r>
          </w:p>
        </w:tc>
        <w:tc>
          <w:tcPr>
            <w:tcW w:w="933" w:type="dxa"/>
            <w:tcBorders>
              <w:top w:val="single" w:sz="6" w:space="0" w:color="000000"/>
            </w:tcBorders>
          </w:tcPr>
          <w:p>
            <w:pPr>
              <w:pStyle w:val="TableParagraph"/>
              <w:rPr>
                <w:b/>
                <w:sz w:val="13"/>
              </w:rPr>
            </w:pPr>
          </w:p>
          <w:p>
            <w:pPr>
              <w:pStyle w:val="TableParagraph"/>
              <w:spacing w:before="26"/>
              <w:rPr>
                <w:b/>
                <w:sz w:val="13"/>
              </w:rPr>
            </w:pPr>
          </w:p>
          <w:p>
            <w:pPr>
              <w:pStyle w:val="TableParagraph"/>
              <w:spacing w:line="139" w:lineRule="exact"/>
              <w:ind w:left="308"/>
              <w:rPr>
                <w:sz w:val="13"/>
              </w:rPr>
            </w:pPr>
            <w:r>
              <w:rPr>
                <w:spacing w:val="-2"/>
                <w:sz w:val="13"/>
              </w:rPr>
              <w:t>854,699</w:t>
            </w:r>
          </w:p>
        </w:tc>
        <w:tc>
          <w:tcPr>
            <w:tcW w:w="900" w:type="dxa"/>
            <w:tcBorders>
              <w:top w:val="single" w:sz="6" w:space="0" w:color="000000"/>
            </w:tcBorders>
          </w:tcPr>
          <w:p>
            <w:pPr>
              <w:pStyle w:val="TableParagraph"/>
              <w:rPr>
                <w:b/>
                <w:sz w:val="13"/>
              </w:rPr>
            </w:pPr>
          </w:p>
          <w:p>
            <w:pPr>
              <w:pStyle w:val="TableParagraph"/>
              <w:spacing w:before="26"/>
              <w:rPr>
                <w:b/>
                <w:sz w:val="13"/>
              </w:rPr>
            </w:pPr>
          </w:p>
          <w:p>
            <w:pPr>
              <w:pStyle w:val="TableParagraph"/>
              <w:spacing w:line="139" w:lineRule="exact"/>
              <w:ind w:right="118"/>
              <w:jc w:val="right"/>
              <w:rPr>
                <w:sz w:val="13"/>
              </w:rPr>
            </w:pPr>
            <w:r>
              <w:rPr>
                <w:spacing w:val="-2"/>
                <w:sz w:val="13"/>
              </w:rPr>
              <w:t>91,265</w:t>
            </w:r>
          </w:p>
        </w:tc>
        <w:tc>
          <w:tcPr>
            <w:tcW w:w="949" w:type="dxa"/>
            <w:tcBorders>
              <w:top w:val="single" w:sz="6" w:space="0" w:color="000000"/>
            </w:tcBorders>
          </w:tcPr>
          <w:p>
            <w:pPr>
              <w:pStyle w:val="TableParagraph"/>
              <w:rPr>
                <w:b/>
                <w:sz w:val="13"/>
              </w:rPr>
            </w:pPr>
          </w:p>
          <w:p>
            <w:pPr>
              <w:pStyle w:val="TableParagraph"/>
              <w:spacing w:before="26"/>
              <w:rPr>
                <w:b/>
                <w:sz w:val="13"/>
              </w:rPr>
            </w:pPr>
          </w:p>
          <w:p>
            <w:pPr>
              <w:pStyle w:val="TableParagraph"/>
              <w:spacing w:line="139" w:lineRule="exact"/>
              <w:ind w:right="141"/>
              <w:jc w:val="right"/>
              <w:rPr>
                <w:sz w:val="13"/>
              </w:rPr>
            </w:pPr>
            <w:r>
              <w:rPr>
                <w:spacing w:val="-2"/>
                <w:sz w:val="13"/>
              </w:rPr>
              <w:t>67,133</w:t>
            </w:r>
          </w:p>
        </w:tc>
        <w:tc>
          <w:tcPr>
            <w:tcW w:w="955" w:type="dxa"/>
            <w:tcBorders>
              <w:top w:val="single" w:sz="6" w:space="0" w:color="000000"/>
            </w:tcBorders>
          </w:tcPr>
          <w:p>
            <w:pPr>
              <w:pStyle w:val="TableParagraph"/>
              <w:rPr>
                <w:b/>
                <w:sz w:val="13"/>
              </w:rPr>
            </w:pPr>
          </w:p>
          <w:p>
            <w:pPr>
              <w:pStyle w:val="TableParagraph"/>
              <w:spacing w:before="26"/>
              <w:rPr>
                <w:b/>
                <w:sz w:val="13"/>
              </w:rPr>
            </w:pPr>
          </w:p>
          <w:p>
            <w:pPr>
              <w:pStyle w:val="TableParagraph"/>
              <w:spacing w:line="139" w:lineRule="exact"/>
              <w:ind w:right="170"/>
              <w:jc w:val="right"/>
              <w:rPr>
                <w:sz w:val="13"/>
              </w:rPr>
            </w:pPr>
            <w:r>
              <w:rPr>
                <w:spacing w:val="-2"/>
                <w:sz w:val="13"/>
              </w:rPr>
              <w:t>29,344</w:t>
            </w:r>
          </w:p>
        </w:tc>
        <w:tc>
          <w:tcPr>
            <w:tcW w:w="859" w:type="dxa"/>
            <w:tcBorders>
              <w:top w:val="single" w:sz="6" w:space="0" w:color="000000"/>
            </w:tcBorders>
          </w:tcPr>
          <w:p>
            <w:pPr>
              <w:pStyle w:val="TableParagraph"/>
              <w:rPr>
                <w:b/>
                <w:sz w:val="13"/>
              </w:rPr>
            </w:pPr>
          </w:p>
          <w:p>
            <w:pPr>
              <w:pStyle w:val="TableParagraph"/>
              <w:spacing w:before="26"/>
              <w:rPr>
                <w:b/>
                <w:sz w:val="13"/>
              </w:rPr>
            </w:pPr>
          </w:p>
          <w:p>
            <w:pPr>
              <w:pStyle w:val="TableParagraph"/>
              <w:spacing w:line="139" w:lineRule="exact"/>
              <w:ind w:right="103"/>
              <w:jc w:val="right"/>
              <w:rPr>
                <w:sz w:val="13"/>
              </w:rPr>
            </w:pPr>
            <w:r>
              <w:rPr>
                <w:spacing w:val="-2"/>
                <w:sz w:val="13"/>
              </w:rPr>
              <w:t>3,112</w:t>
            </w:r>
          </w:p>
        </w:tc>
        <w:tc>
          <w:tcPr>
            <w:tcW w:w="930" w:type="dxa"/>
            <w:tcBorders>
              <w:top w:val="single" w:sz="6" w:space="0" w:color="000000"/>
            </w:tcBorders>
          </w:tcPr>
          <w:p>
            <w:pPr>
              <w:pStyle w:val="TableParagraph"/>
              <w:rPr>
                <w:b/>
                <w:sz w:val="13"/>
              </w:rPr>
            </w:pPr>
          </w:p>
          <w:p>
            <w:pPr>
              <w:pStyle w:val="TableParagraph"/>
              <w:spacing w:before="26"/>
              <w:rPr>
                <w:b/>
                <w:sz w:val="13"/>
              </w:rPr>
            </w:pPr>
          </w:p>
          <w:p>
            <w:pPr>
              <w:pStyle w:val="TableParagraph"/>
              <w:spacing w:line="139" w:lineRule="exact"/>
              <w:ind w:right="107"/>
              <w:jc w:val="right"/>
              <w:rPr>
                <w:sz w:val="13"/>
              </w:rPr>
            </w:pPr>
            <w:r>
              <w:rPr>
                <w:spacing w:val="-5"/>
                <w:sz w:val="13"/>
              </w:rPr>
              <w:t>549</w:t>
            </w:r>
          </w:p>
        </w:tc>
        <w:tc>
          <w:tcPr>
            <w:tcW w:w="996" w:type="dxa"/>
            <w:tcBorders>
              <w:top w:val="single" w:sz="6" w:space="0" w:color="000000"/>
            </w:tcBorders>
          </w:tcPr>
          <w:p>
            <w:pPr>
              <w:pStyle w:val="TableParagraph"/>
              <w:rPr>
                <w:b/>
                <w:sz w:val="13"/>
              </w:rPr>
            </w:pPr>
          </w:p>
          <w:p>
            <w:pPr>
              <w:pStyle w:val="TableParagraph"/>
              <w:spacing w:before="26"/>
              <w:rPr>
                <w:b/>
                <w:sz w:val="13"/>
              </w:rPr>
            </w:pPr>
          </w:p>
          <w:p>
            <w:pPr>
              <w:pStyle w:val="TableParagraph"/>
              <w:spacing w:line="139" w:lineRule="exact"/>
              <w:ind w:right="177"/>
              <w:jc w:val="right"/>
              <w:rPr>
                <w:sz w:val="13"/>
              </w:rPr>
            </w:pPr>
            <w:r>
              <w:rPr>
                <w:spacing w:val="-2"/>
                <w:sz w:val="13"/>
              </w:rPr>
              <w:t>46,103</w:t>
            </w:r>
          </w:p>
        </w:tc>
        <w:tc>
          <w:tcPr>
            <w:tcW w:w="805" w:type="dxa"/>
            <w:tcBorders>
              <w:top w:val="single" w:sz="6" w:space="0" w:color="000000"/>
            </w:tcBorders>
          </w:tcPr>
          <w:p>
            <w:pPr>
              <w:pStyle w:val="TableParagraph"/>
              <w:rPr>
                <w:b/>
                <w:sz w:val="13"/>
              </w:rPr>
            </w:pPr>
          </w:p>
          <w:p>
            <w:pPr>
              <w:pStyle w:val="TableParagraph"/>
              <w:spacing w:before="26"/>
              <w:rPr>
                <w:b/>
                <w:sz w:val="13"/>
              </w:rPr>
            </w:pPr>
          </w:p>
          <w:p>
            <w:pPr>
              <w:pStyle w:val="TableParagraph"/>
              <w:spacing w:line="139" w:lineRule="exact"/>
              <w:ind w:left="157"/>
              <w:rPr>
                <w:sz w:val="13"/>
              </w:rPr>
            </w:pPr>
            <w:r>
              <w:rPr>
                <w:spacing w:val="-2"/>
                <w:sz w:val="13"/>
              </w:rPr>
              <w:t>1,357,226</w:t>
            </w:r>
          </w:p>
        </w:tc>
      </w:tr>
      <w:tr>
        <w:trPr>
          <w:trHeight w:val="165" w:hRule="atLeast"/>
        </w:trPr>
        <w:tc>
          <w:tcPr>
            <w:tcW w:w="553" w:type="dxa"/>
          </w:tcPr>
          <w:p>
            <w:pPr>
              <w:pStyle w:val="TableParagraph"/>
              <w:rPr>
                <w:rFonts w:ascii="Times New Roman"/>
                <w:sz w:val="10"/>
              </w:rPr>
            </w:pPr>
          </w:p>
        </w:tc>
        <w:tc>
          <w:tcPr>
            <w:tcW w:w="3231" w:type="dxa"/>
          </w:tcPr>
          <w:p>
            <w:pPr>
              <w:pStyle w:val="TableParagraph"/>
              <w:spacing w:line="139" w:lineRule="exact" w:before="6"/>
              <w:ind w:left="68"/>
              <w:rPr>
                <w:sz w:val="13"/>
              </w:rPr>
            </w:pPr>
            <w:r>
              <w:rPr>
                <w:spacing w:val="-2"/>
                <w:sz w:val="13"/>
              </w:rPr>
              <w:t>Additions</w:t>
            </w:r>
          </w:p>
        </w:tc>
        <w:tc>
          <w:tcPr>
            <w:tcW w:w="596" w:type="dxa"/>
          </w:tcPr>
          <w:p>
            <w:pPr>
              <w:pStyle w:val="TableParagraph"/>
              <w:rPr>
                <w:rFonts w:ascii="Times New Roman"/>
                <w:sz w:val="10"/>
              </w:rPr>
            </w:pPr>
          </w:p>
        </w:tc>
        <w:tc>
          <w:tcPr>
            <w:tcW w:w="984" w:type="dxa"/>
          </w:tcPr>
          <w:p>
            <w:pPr>
              <w:pStyle w:val="TableParagraph"/>
              <w:spacing w:line="139" w:lineRule="exact" w:before="6"/>
              <w:ind w:right="80"/>
              <w:jc w:val="right"/>
              <w:rPr>
                <w:sz w:val="13"/>
              </w:rPr>
            </w:pPr>
            <w:r>
              <w:rPr>
                <w:spacing w:val="-10"/>
                <w:sz w:val="13"/>
              </w:rPr>
              <w:t>-</w:t>
            </w:r>
          </w:p>
        </w:tc>
        <w:tc>
          <w:tcPr>
            <w:tcW w:w="938" w:type="dxa"/>
          </w:tcPr>
          <w:p>
            <w:pPr>
              <w:pStyle w:val="TableParagraph"/>
              <w:spacing w:line="139" w:lineRule="exact" w:before="6"/>
              <w:ind w:right="92"/>
              <w:jc w:val="right"/>
              <w:rPr>
                <w:sz w:val="13"/>
              </w:rPr>
            </w:pPr>
            <w:r>
              <w:rPr>
                <w:spacing w:val="-10"/>
                <w:sz w:val="13"/>
              </w:rPr>
              <w:t>-</w:t>
            </w:r>
          </w:p>
        </w:tc>
        <w:tc>
          <w:tcPr>
            <w:tcW w:w="933" w:type="dxa"/>
          </w:tcPr>
          <w:p>
            <w:pPr>
              <w:pStyle w:val="TableParagraph"/>
              <w:spacing w:line="139" w:lineRule="exact" w:before="6"/>
              <w:ind w:right="144"/>
              <w:jc w:val="right"/>
              <w:rPr>
                <w:sz w:val="13"/>
              </w:rPr>
            </w:pPr>
            <w:r>
              <w:rPr>
                <w:spacing w:val="-5"/>
                <w:sz w:val="13"/>
              </w:rPr>
              <w:t>573</w:t>
            </w:r>
          </w:p>
        </w:tc>
        <w:tc>
          <w:tcPr>
            <w:tcW w:w="900" w:type="dxa"/>
          </w:tcPr>
          <w:p>
            <w:pPr>
              <w:pStyle w:val="TableParagraph"/>
              <w:spacing w:line="139" w:lineRule="exact" w:before="6"/>
              <w:ind w:right="118"/>
              <w:jc w:val="right"/>
              <w:rPr>
                <w:sz w:val="13"/>
              </w:rPr>
            </w:pPr>
            <w:r>
              <w:rPr>
                <w:spacing w:val="-2"/>
                <w:sz w:val="13"/>
              </w:rPr>
              <w:t>42,604</w:t>
            </w:r>
          </w:p>
        </w:tc>
        <w:tc>
          <w:tcPr>
            <w:tcW w:w="949" w:type="dxa"/>
          </w:tcPr>
          <w:p>
            <w:pPr>
              <w:pStyle w:val="TableParagraph"/>
              <w:spacing w:line="139" w:lineRule="exact" w:before="6"/>
              <w:ind w:right="141"/>
              <w:jc w:val="right"/>
              <w:rPr>
                <w:sz w:val="13"/>
              </w:rPr>
            </w:pPr>
            <w:r>
              <w:rPr>
                <w:spacing w:val="-2"/>
                <w:sz w:val="13"/>
              </w:rPr>
              <w:t>10,694</w:t>
            </w:r>
          </w:p>
        </w:tc>
        <w:tc>
          <w:tcPr>
            <w:tcW w:w="955" w:type="dxa"/>
          </w:tcPr>
          <w:p>
            <w:pPr>
              <w:pStyle w:val="TableParagraph"/>
              <w:spacing w:line="139" w:lineRule="exact" w:before="6"/>
              <w:ind w:right="170"/>
              <w:jc w:val="right"/>
              <w:rPr>
                <w:sz w:val="13"/>
              </w:rPr>
            </w:pPr>
            <w:r>
              <w:rPr>
                <w:spacing w:val="-5"/>
                <w:sz w:val="13"/>
              </w:rPr>
              <w:t>420</w:t>
            </w:r>
          </w:p>
        </w:tc>
        <w:tc>
          <w:tcPr>
            <w:tcW w:w="859" w:type="dxa"/>
          </w:tcPr>
          <w:p>
            <w:pPr>
              <w:pStyle w:val="TableParagraph"/>
              <w:spacing w:line="139" w:lineRule="exact" w:before="6"/>
              <w:ind w:right="103"/>
              <w:jc w:val="right"/>
              <w:rPr>
                <w:sz w:val="13"/>
              </w:rPr>
            </w:pPr>
            <w:r>
              <w:rPr>
                <w:spacing w:val="-5"/>
                <w:sz w:val="13"/>
              </w:rPr>
              <w:t>202</w:t>
            </w:r>
          </w:p>
        </w:tc>
        <w:tc>
          <w:tcPr>
            <w:tcW w:w="930" w:type="dxa"/>
          </w:tcPr>
          <w:p>
            <w:pPr>
              <w:pStyle w:val="TableParagraph"/>
              <w:spacing w:line="139" w:lineRule="exact" w:before="6"/>
              <w:ind w:right="107"/>
              <w:jc w:val="right"/>
              <w:rPr>
                <w:sz w:val="13"/>
              </w:rPr>
            </w:pPr>
            <w:r>
              <w:rPr>
                <w:spacing w:val="-2"/>
                <w:sz w:val="13"/>
              </w:rPr>
              <w:t>1,964</w:t>
            </w:r>
          </w:p>
        </w:tc>
        <w:tc>
          <w:tcPr>
            <w:tcW w:w="996" w:type="dxa"/>
          </w:tcPr>
          <w:p>
            <w:pPr>
              <w:pStyle w:val="TableParagraph"/>
              <w:spacing w:line="139" w:lineRule="exact" w:before="6"/>
              <w:ind w:right="178"/>
              <w:jc w:val="right"/>
              <w:rPr>
                <w:sz w:val="13"/>
              </w:rPr>
            </w:pPr>
            <w:r>
              <w:rPr>
                <w:spacing w:val="-5"/>
                <w:sz w:val="13"/>
              </w:rPr>
              <w:t>113</w:t>
            </w:r>
          </w:p>
        </w:tc>
        <w:tc>
          <w:tcPr>
            <w:tcW w:w="805" w:type="dxa"/>
          </w:tcPr>
          <w:p>
            <w:pPr>
              <w:pStyle w:val="TableParagraph"/>
              <w:spacing w:line="139" w:lineRule="exact" w:before="6"/>
              <w:ind w:left="341"/>
              <w:rPr>
                <w:sz w:val="13"/>
              </w:rPr>
            </w:pPr>
            <w:r>
              <w:rPr>
                <w:spacing w:val="-2"/>
                <w:sz w:val="13"/>
              </w:rPr>
              <w:t>56,570</w:t>
            </w:r>
          </w:p>
        </w:tc>
      </w:tr>
      <w:tr>
        <w:trPr>
          <w:trHeight w:val="165" w:hRule="atLeast"/>
        </w:trPr>
        <w:tc>
          <w:tcPr>
            <w:tcW w:w="553" w:type="dxa"/>
          </w:tcPr>
          <w:p>
            <w:pPr>
              <w:pStyle w:val="TableParagraph"/>
              <w:rPr>
                <w:rFonts w:ascii="Times New Roman"/>
                <w:sz w:val="10"/>
              </w:rPr>
            </w:pPr>
          </w:p>
        </w:tc>
        <w:tc>
          <w:tcPr>
            <w:tcW w:w="3231" w:type="dxa"/>
          </w:tcPr>
          <w:p>
            <w:pPr>
              <w:pStyle w:val="TableParagraph"/>
              <w:spacing w:line="139" w:lineRule="exact" w:before="6"/>
              <w:ind w:left="68"/>
              <w:rPr>
                <w:sz w:val="13"/>
              </w:rPr>
            </w:pPr>
            <w:r>
              <w:rPr>
                <w:spacing w:val="-2"/>
                <w:sz w:val="13"/>
              </w:rPr>
              <w:t>Disposals</w:t>
            </w:r>
          </w:p>
        </w:tc>
        <w:tc>
          <w:tcPr>
            <w:tcW w:w="596" w:type="dxa"/>
          </w:tcPr>
          <w:p>
            <w:pPr>
              <w:pStyle w:val="TableParagraph"/>
              <w:rPr>
                <w:rFonts w:ascii="Times New Roman"/>
                <w:sz w:val="10"/>
              </w:rPr>
            </w:pPr>
          </w:p>
        </w:tc>
        <w:tc>
          <w:tcPr>
            <w:tcW w:w="984" w:type="dxa"/>
          </w:tcPr>
          <w:p>
            <w:pPr>
              <w:pStyle w:val="TableParagraph"/>
              <w:spacing w:line="139" w:lineRule="exact" w:before="6"/>
              <w:ind w:right="80"/>
              <w:jc w:val="right"/>
              <w:rPr>
                <w:sz w:val="13"/>
              </w:rPr>
            </w:pPr>
            <w:r>
              <w:rPr>
                <w:spacing w:val="-10"/>
                <w:sz w:val="13"/>
              </w:rPr>
              <w:t>-</w:t>
            </w:r>
          </w:p>
        </w:tc>
        <w:tc>
          <w:tcPr>
            <w:tcW w:w="938" w:type="dxa"/>
          </w:tcPr>
          <w:p>
            <w:pPr>
              <w:pStyle w:val="TableParagraph"/>
              <w:spacing w:line="139" w:lineRule="exact" w:before="6"/>
              <w:ind w:right="93"/>
              <w:jc w:val="right"/>
              <w:rPr>
                <w:sz w:val="13"/>
              </w:rPr>
            </w:pPr>
            <w:r>
              <w:rPr>
                <w:spacing w:val="-10"/>
                <w:sz w:val="13"/>
              </w:rPr>
              <w:t>-</w:t>
            </w:r>
          </w:p>
        </w:tc>
        <w:tc>
          <w:tcPr>
            <w:tcW w:w="933" w:type="dxa"/>
          </w:tcPr>
          <w:p>
            <w:pPr>
              <w:pStyle w:val="TableParagraph"/>
              <w:spacing w:line="139" w:lineRule="exact" w:before="6"/>
              <w:ind w:right="99"/>
              <w:jc w:val="right"/>
              <w:rPr>
                <w:sz w:val="13"/>
              </w:rPr>
            </w:pPr>
            <w:r>
              <w:rPr>
                <w:spacing w:val="-2"/>
                <w:sz w:val="13"/>
              </w:rPr>
              <w:t>(295)</w:t>
            </w:r>
          </w:p>
        </w:tc>
        <w:tc>
          <w:tcPr>
            <w:tcW w:w="900" w:type="dxa"/>
          </w:tcPr>
          <w:p>
            <w:pPr>
              <w:pStyle w:val="TableParagraph"/>
              <w:spacing w:line="139" w:lineRule="exact" w:before="6"/>
              <w:ind w:right="74"/>
              <w:jc w:val="right"/>
              <w:rPr>
                <w:sz w:val="13"/>
              </w:rPr>
            </w:pPr>
            <w:r>
              <w:rPr>
                <w:spacing w:val="-10"/>
                <w:sz w:val="13"/>
              </w:rPr>
              <w:t>-</w:t>
            </w:r>
          </w:p>
        </w:tc>
        <w:tc>
          <w:tcPr>
            <w:tcW w:w="949" w:type="dxa"/>
          </w:tcPr>
          <w:p>
            <w:pPr>
              <w:pStyle w:val="TableParagraph"/>
              <w:spacing w:line="139" w:lineRule="exact" w:before="6"/>
              <w:ind w:right="97"/>
              <w:jc w:val="right"/>
              <w:rPr>
                <w:sz w:val="13"/>
              </w:rPr>
            </w:pPr>
            <w:r>
              <w:rPr>
                <w:spacing w:val="-4"/>
                <w:sz w:val="13"/>
              </w:rPr>
              <w:t>(43)</w:t>
            </w:r>
          </w:p>
        </w:tc>
        <w:tc>
          <w:tcPr>
            <w:tcW w:w="955" w:type="dxa"/>
          </w:tcPr>
          <w:p>
            <w:pPr>
              <w:pStyle w:val="TableParagraph"/>
              <w:spacing w:line="139" w:lineRule="exact" w:before="6"/>
              <w:ind w:right="126"/>
              <w:jc w:val="right"/>
              <w:rPr>
                <w:sz w:val="13"/>
              </w:rPr>
            </w:pPr>
            <w:r>
              <w:rPr>
                <w:spacing w:val="-10"/>
                <w:sz w:val="13"/>
              </w:rPr>
              <w:t>-</w:t>
            </w:r>
          </w:p>
        </w:tc>
        <w:tc>
          <w:tcPr>
            <w:tcW w:w="859" w:type="dxa"/>
          </w:tcPr>
          <w:p>
            <w:pPr>
              <w:pStyle w:val="TableParagraph"/>
              <w:spacing w:line="139" w:lineRule="exact" w:before="6"/>
              <w:ind w:right="59"/>
              <w:jc w:val="right"/>
              <w:rPr>
                <w:sz w:val="13"/>
              </w:rPr>
            </w:pPr>
            <w:r>
              <w:rPr>
                <w:spacing w:val="-10"/>
                <w:sz w:val="13"/>
              </w:rPr>
              <w:t>-</w:t>
            </w:r>
          </w:p>
        </w:tc>
        <w:tc>
          <w:tcPr>
            <w:tcW w:w="930" w:type="dxa"/>
          </w:tcPr>
          <w:p>
            <w:pPr>
              <w:pStyle w:val="TableParagraph"/>
              <w:spacing w:line="139" w:lineRule="exact" w:before="6"/>
              <w:ind w:right="63"/>
              <w:jc w:val="right"/>
              <w:rPr>
                <w:sz w:val="13"/>
              </w:rPr>
            </w:pPr>
            <w:r>
              <w:rPr>
                <w:spacing w:val="-10"/>
                <w:sz w:val="13"/>
              </w:rPr>
              <w:t>-</w:t>
            </w:r>
          </w:p>
        </w:tc>
        <w:tc>
          <w:tcPr>
            <w:tcW w:w="996" w:type="dxa"/>
          </w:tcPr>
          <w:p>
            <w:pPr>
              <w:pStyle w:val="TableParagraph"/>
              <w:spacing w:line="139" w:lineRule="exact" w:before="6"/>
              <w:ind w:right="133"/>
              <w:jc w:val="right"/>
              <w:rPr>
                <w:sz w:val="13"/>
              </w:rPr>
            </w:pPr>
            <w:r>
              <w:rPr>
                <w:spacing w:val="-10"/>
                <w:sz w:val="13"/>
              </w:rPr>
              <w:t>-</w:t>
            </w:r>
          </w:p>
        </w:tc>
        <w:tc>
          <w:tcPr>
            <w:tcW w:w="805" w:type="dxa"/>
          </w:tcPr>
          <w:p>
            <w:pPr>
              <w:pStyle w:val="TableParagraph"/>
              <w:spacing w:line="139" w:lineRule="exact" w:before="6"/>
              <w:ind w:right="12"/>
              <w:jc w:val="right"/>
              <w:rPr>
                <w:sz w:val="13"/>
              </w:rPr>
            </w:pPr>
            <w:r>
              <w:rPr>
                <w:spacing w:val="-2"/>
                <w:sz w:val="13"/>
              </w:rPr>
              <w:t>(338)</w:t>
            </w:r>
          </w:p>
        </w:tc>
      </w:tr>
      <w:tr>
        <w:trPr>
          <w:trHeight w:val="165" w:hRule="atLeast"/>
        </w:trPr>
        <w:tc>
          <w:tcPr>
            <w:tcW w:w="553" w:type="dxa"/>
          </w:tcPr>
          <w:p>
            <w:pPr>
              <w:pStyle w:val="TableParagraph"/>
              <w:rPr>
                <w:rFonts w:ascii="Times New Roman"/>
                <w:sz w:val="10"/>
              </w:rPr>
            </w:pPr>
          </w:p>
        </w:tc>
        <w:tc>
          <w:tcPr>
            <w:tcW w:w="3231" w:type="dxa"/>
          </w:tcPr>
          <w:p>
            <w:pPr>
              <w:pStyle w:val="TableParagraph"/>
              <w:spacing w:line="139" w:lineRule="exact" w:before="6"/>
              <w:ind w:left="68"/>
              <w:rPr>
                <w:sz w:val="13"/>
              </w:rPr>
            </w:pPr>
            <w:r>
              <w:rPr>
                <w:spacing w:val="-2"/>
                <w:sz w:val="13"/>
              </w:rPr>
              <w:t>Depreciation</w:t>
            </w:r>
          </w:p>
        </w:tc>
        <w:tc>
          <w:tcPr>
            <w:tcW w:w="596" w:type="dxa"/>
          </w:tcPr>
          <w:p>
            <w:pPr>
              <w:pStyle w:val="TableParagraph"/>
              <w:rPr>
                <w:rFonts w:ascii="Times New Roman"/>
                <w:sz w:val="10"/>
              </w:rPr>
            </w:pPr>
          </w:p>
        </w:tc>
        <w:tc>
          <w:tcPr>
            <w:tcW w:w="984" w:type="dxa"/>
          </w:tcPr>
          <w:p>
            <w:pPr>
              <w:pStyle w:val="TableParagraph"/>
              <w:spacing w:line="139" w:lineRule="exact" w:before="6"/>
              <w:ind w:right="80"/>
              <w:jc w:val="right"/>
              <w:rPr>
                <w:sz w:val="13"/>
              </w:rPr>
            </w:pPr>
            <w:r>
              <w:rPr>
                <w:spacing w:val="-10"/>
                <w:sz w:val="13"/>
              </w:rPr>
              <w:t>-</w:t>
            </w:r>
          </w:p>
        </w:tc>
        <w:tc>
          <w:tcPr>
            <w:tcW w:w="938" w:type="dxa"/>
          </w:tcPr>
          <w:p>
            <w:pPr>
              <w:pStyle w:val="TableParagraph"/>
              <w:spacing w:line="139" w:lineRule="exact" w:before="6"/>
              <w:ind w:right="93"/>
              <w:jc w:val="right"/>
              <w:rPr>
                <w:sz w:val="13"/>
              </w:rPr>
            </w:pPr>
            <w:r>
              <w:rPr>
                <w:spacing w:val="-10"/>
                <w:sz w:val="13"/>
              </w:rPr>
              <w:t>-</w:t>
            </w:r>
          </w:p>
        </w:tc>
        <w:tc>
          <w:tcPr>
            <w:tcW w:w="933" w:type="dxa"/>
          </w:tcPr>
          <w:p>
            <w:pPr>
              <w:pStyle w:val="TableParagraph"/>
              <w:spacing w:line="139" w:lineRule="exact" w:before="6"/>
              <w:ind w:right="99"/>
              <w:jc w:val="right"/>
              <w:rPr>
                <w:sz w:val="13"/>
              </w:rPr>
            </w:pPr>
            <w:r>
              <w:rPr>
                <w:spacing w:val="-2"/>
                <w:sz w:val="13"/>
              </w:rPr>
              <w:t>(25,105)</w:t>
            </w:r>
          </w:p>
        </w:tc>
        <w:tc>
          <w:tcPr>
            <w:tcW w:w="900" w:type="dxa"/>
          </w:tcPr>
          <w:p>
            <w:pPr>
              <w:pStyle w:val="TableParagraph"/>
              <w:spacing w:line="139" w:lineRule="exact" w:before="6"/>
              <w:ind w:right="74"/>
              <w:jc w:val="right"/>
              <w:rPr>
                <w:sz w:val="13"/>
              </w:rPr>
            </w:pPr>
            <w:r>
              <w:rPr>
                <w:spacing w:val="-10"/>
                <w:sz w:val="13"/>
              </w:rPr>
              <w:t>-</w:t>
            </w:r>
          </w:p>
        </w:tc>
        <w:tc>
          <w:tcPr>
            <w:tcW w:w="949" w:type="dxa"/>
          </w:tcPr>
          <w:p>
            <w:pPr>
              <w:pStyle w:val="TableParagraph"/>
              <w:spacing w:line="139" w:lineRule="exact" w:before="6"/>
              <w:ind w:right="97"/>
              <w:jc w:val="right"/>
              <w:rPr>
                <w:sz w:val="13"/>
              </w:rPr>
            </w:pPr>
            <w:r>
              <w:rPr>
                <w:spacing w:val="-2"/>
                <w:sz w:val="13"/>
              </w:rPr>
              <w:t>(19,621)</w:t>
            </w:r>
          </w:p>
        </w:tc>
        <w:tc>
          <w:tcPr>
            <w:tcW w:w="955" w:type="dxa"/>
          </w:tcPr>
          <w:p>
            <w:pPr>
              <w:pStyle w:val="TableParagraph"/>
              <w:spacing w:line="139" w:lineRule="exact" w:before="6"/>
              <w:ind w:right="126"/>
              <w:jc w:val="right"/>
              <w:rPr>
                <w:sz w:val="13"/>
              </w:rPr>
            </w:pPr>
            <w:r>
              <w:rPr>
                <w:spacing w:val="-10"/>
                <w:sz w:val="13"/>
              </w:rPr>
              <w:t>-</w:t>
            </w:r>
          </w:p>
        </w:tc>
        <w:tc>
          <w:tcPr>
            <w:tcW w:w="859" w:type="dxa"/>
          </w:tcPr>
          <w:p>
            <w:pPr>
              <w:pStyle w:val="TableParagraph"/>
              <w:spacing w:line="139" w:lineRule="exact" w:before="6"/>
              <w:ind w:right="59"/>
              <w:jc w:val="right"/>
              <w:rPr>
                <w:sz w:val="13"/>
              </w:rPr>
            </w:pPr>
            <w:r>
              <w:rPr>
                <w:spacing w:val="-2"/>
                <w:sz w:val="13"/>
              </w:rPr>
              <w:t>(961)</w:t>
            </w:r>
          </w:p>
        </w:tc>
        <w:tc>
          <w:tcPr>
            <w:tcW w:w="930" w:type="dxa"/>
          </w:tcPr>
          <w:p>
            <w:pPr>
              <w:pStyle w:val="TableParagraph"/>
              <w:spacing w:line="139" w:lineRule="exact" w:before="6"/>
              <w:ind w:right="63"/>
              <w:jc w:val="right"/>
              <w:rPr>
                <w:sz w:val="13"/>
              </w:rPr>
            </w:pPr>
            <w:r>
              <w:rPr>
                <w:spacing w:val="-2"/>
                <w:sz w:val="13"/>
              </w:rPr>
              <w:t>(1,189)</w:t>
            </w:r>
          </w:p>
        </w:tc>
        <w:tc>
          <w:tcPr>
            <w:tcW w:w="996" w:type="dxa"/>
          </w:tcPr>
          <w:p>
            <w:pPr>
              <w:pStyle w:val="TableParagraph"/>
              <w:spacing w:line="139" w:lineRule="exact" w:before="6"/>
              <w:ind w:right="134"/>
              <w:jc w:val="right"/>
              <w:rPr>
                <w:sz w:val="13"/>
              </w:rPr>
            </w:pPr>
            <w:r>
              <w:rPr>
                <w:spacing w:val="-10"/>
                <w:sz w:val="13"/>
              </w:rPr>
              <w:t>-</w:t>
            </w:r>
          </w:p>
        </w:tc>
        <w:tc>
          <w:tcPr>
            <w:tcW w:w="805" w:type="dxa"/>
          </w:tcPr>
          <w:p>
            <w:pPr>
              <w:pStyle w:val="TableParagraph"/>
              <w:spacing w:line="139" w:lineRule="exact" w:before="6"/>
              <w:ind w:right="12"/>
              <w:jc w:val="right"/>
              <w:rPr>
                <w:sz w:val="13"/>
              </w:rPr>
            </w:pPr>
            <w:r>
              <w:rPr>
                <w:spacing w:val="-2"/>
                <w:sz w:val="13"/>
              </w:rPr>
              <w:t>(46,876)</w:t>
            </w:r>
          </w:p>
        </w:tc>
      </w:tr>
      <w:tr>
        <w:trPr>
          <w:trHeight w:val="165" w:hRule="atLeast"/>
        </w:trPr>
        <w:tc>
          <w:tcPr>
            <w:tcW w:w="553" w:type="dxa"/>
          </w:tcPr>
          <w:p>
            <w:pPr>
              <w:pStyle w:val="TableParagraph"/>
              <w:rPr>
                <w:rFonts w:ascii="Times New Roman"/>
                <w:sz w:val="10"/>
              </w:rPr>
            </w:pPr>
          </w:p>
        </w:tc>
        <w:tc>
          <w:tcPr>
            <w:tcW w:w="3231" w:type="dxa"/>
          </w:tcPr>
          <w:p>
            <w:pPr>
              <w:pStyle w:val="TableParagraph"/>
              <w:spacing w:line="139" w:lineRule="exact" w:before="6"/>
              <w:ind w:left="68"/>
              <w:rPr>
                <w:sz w:val="13"/>
              </w:rPr>
            </w:pPr>
            <w:r>
              <w:rPr>
                <w:spacing w:val="-2"/>
                <w:sz w:val="13"/>
              </w:rPr>
              <w:t>Impairment</w:t>
            </w:r>
          </w:p>
        </w:tc>
        <w:tc>
          <w:tcPr>
            <w:tcW w:w="596" w:type="dxa"/>
          </w:tcPr>
          <w:p>
            <w:pPr>
              <w:pStyle w:val="TableParagraph"/>
              <w:rPr>
                <w:rFonts w:ascii="Times New Roman"/>
                <w:sz w:val="10"/>
              </w:rPr>
            </w:pPr>
          </w:p>
        </w:tc>
        <w:tc>
          <w:tcPr>
            <w:tcW w:w="984" w:type="dxa"/>
          </w:tcPr>
          <w:p>
            <w:pPr>
              <w:pStyle w:val="TableParagraph"/>
              <w:spacing w:line="139" w:lineRule="exact" w:before="6"/>
              <w:ind w:right="80"/>
              <w:jc w:val="right"/>
              <w:rPr>
                <w:sz w:val="13"/>
              </w:rPr>
            </w:pPr>
            <w:r>
              <w:rPr>
                <w:spacing w:val="-4"/>
                <w:sz w:val="13"/>
              </w:rPr>
              <w:t>(89)</w:t>
            </w:r>
          </w:p>
        </w:tc>
        <w:tc>
          <w:tcPr>
            <w:tcW w:w="938" w:type="dxa"/>
          </w:tcPr>
          <w:p>
            <w:pPr>
              <w:pStyle w:val="TableParagraph"/>
              <w:spacing w:line="139" w:lineRule="exact" w:before="6"/>
              <w:ind w:right="93"/>
              <w:jc w:val="right"/>
              <w:rPr>
                <w:sz w:val="13"/>
              </w:rPr>
            </w:pPr>
            <w:r>
              <w:rPr>
                <w:spacing w:val="-10"/>
                <w:sz w:val="13"/>
              </w:rPr>
              <w:t>-</w:t>
            </w:r>
          </w:p>
        </w:tc>
        <w:tc>
          <w:tcPr>
            <w:tcW w:w="933" w:type="dxa"/>
          </w:tcPr>
          <w:p>
            <w:pPr>
              <w:pStyle w:val="TableParagraph"/>
              <w:spacing w:line="139" w:lineRule="exact" w:before="6"/>
              <w:ind w:right="100"/>
              <w:jc w:val="right"/>
              <w:rPr>
                <w:sz w:val="13"/>
              </w:rPr>
            </w:pPr>
            <w:r>
              <w:rPr>
                <w:spacing w:val="-2"/>
                <w:sz w:val="13"/>
              </w:rPr>
              <w:t>(2,517)</w:t>
            </w:r>
          </w:p>
        </w:tc>
        <w:tc>
          <w:tcPr>
            <w:tcW w:w="900" w:type="dxa"/>
          </w:tcPr>
          <w:p>
            <w:pPr>
              <w:pStyle w:val="TableParagraph"/>
              <w:spacing w:line="139" w:lineRule="exact" w:before="6"/>
              <w:ind w:right="74"/>
              <w:jc w:val="right"/>
              <w:rPr>
                <w:sz w:val="13"/>
              </w:rPr>
            </w:pPr>
            <w:r>
              <w:rPr>
                <w:spacing w:val="-2"/>
                <w:sz w:val="13"/>
              </w:rPr>
              <w:t>(874)</w:t>
            </w:r>
          </w:p>
        </w:tc>
        <w:tc>
          <w:tcPr>
            <w:tcW w:w="949" w:type="dxa"/>
          </w:tcPr>
          <w:p>
            <w:pPr>
              <w:pStyle w:val="TableParagraph"/>
              <w:spacing w:line="139" w:lineRule="exact" w:before="6"/>
              <w:ind w:right="97"/>
              <w:jc w:val="right"/>
              <w:rPr>
                <w:sz w:val="13"/>
              </w:rPr>
            </w:pPr>
            <w:r>
              <w:rPr>
                <w:spacing w:val="-10"/>
                <w:sz w:val="13"/>
              </w:rPr>
              <w:t>-</w:t>
            </w:r>
          </w:p>
        </w:tc>
        <w:tc>
          <w:tcPr>
            <w:tcW w:w="955" w:type="dxa"/>
          </w:tcPr>
          <w:p>
            <w:pPr>
              <w:pStyle w:val="TableParagraph"/>
              <w:spacing w:line="139" w:lineRule="exact" w:before="6"/>
              <w:ind w:right="126"/>
              <w:jc w:val="right"/>
              <w:rPr>
                <w:sz w:val="13"/>
              </w:rPr>
            </w:pPr>
            <w:r>
              <w:rPr>
                <w:spacing w:val="-10"/>
                <w:sz w:val="13"/>
              </w:rPr>
              <w:t>-</w:t>
            </w:r>
          </w:p>
        </w:tc>
        <w:tc>
          <w:tcPr>
            <w:tcW w:w="859" w:type="dxa"/>
          </w:tcPr>
          <w:p>
            <w:pPr>
              <w:pStyle w:val="TableParagraph"/>
              <w:spacing w:line="139" w:lineRule="exact" w:before="6"/>
              <w:ind w:right="59"/>
              <w:jc w:val="right"/>
              <w:rPr>
                <w:sz w:val="13"/>
              </w:rPr>
            </w:pPr>
            <w:r>
              <w:rPr>
                <w:spacing w:val="-10"/>
                <w:sz w:val="13"/>
              </w:rPr>
              <w:t>-</w:t>
            </w:r>
          </w:p>
        </w:tc>
        <w:tc>
          <w:tcPr>
            <w:tcW w:w="930" w:type="dxa"/>
          </w:tcPr>
          <w:p>
            <w:pPr>
              <w:pStyle w:val="TableParagraph"/>
              <w:spacing w:line="139" w:lineRule="exact" w:before="6"/>
              <w:ind w:right="64"/>
              <w:jc w:val="right"/>
              <w:rPr>
                <w:sz w:val="13"/>
              </w:rPr>
            </w:pPr>
            <w:r>
              <w:rPr>
                <w:spacing w:val="-10"/>
                <w:sz w:val="13"/>
              </w:rPr>
              <w:t>-</w:t>
            </w:r>
          </w:p>
        </w:tc>
        <w:tc>
          <w:tcPr>
            <w:tcW w:w="996" w:type="dxa"/>
          </w:tcPr>
          <w:p>
            <w:pPr>
              <w:pStyle w:val="TableParagraph"/>
              <w:spacing w:line="139" w:lineRule="exact" w:before="6"/>
              <w:ind w:right="134"/>
              <w:jc w:val="right"/>
              <w:rPr>
                <w:sz w:val="13"/>
              </w:rPr>
            </w:pPr>
            <w:r>
              <w:rPr>
                <w:spacing w:val="-10"/>
                <w:sz w:val="13"/>
              </w:rPr>
              <w:t>-</w:t>
            </w:r>
          </w:p>
        </w:tc>
        <w:tc>
          <w:tcPr>
            <w:tcW w:w="805" w:type="dxa"/>
          </w:tcPr>
          <w:p>
            <w:pPr>
              <w:pStyle w:val="TableParagraph"/>
              <w:spacing w:line="139" w:lineRule="exact" w:before="6"/>
              <w:ind w:right="13"/>
              <w:jc w:val="right"/>
              <w:rPr>
                <w:sz w:val="13"/>
              </w:rPr>
            </w:pPr>
            <w:r>
              <w:rPr>
                <w:spacing w:val="-2"/>
                <w:sz w:val="13"/>
              </w:rPr>
              <w:t>(3,480)</w:t>
            </w:r>
          </w:p>
        </w:tc>
      </w:tr>
      <w:tr>
        <w:trPr>
          <w:trHeight w:val="163" w:hRule="atLeast"/>
        </w:trPr>
        <w:tc>
          <w:tcPr>
            <w:tcW w:w="553" w:type="dxa"/>
          </w:tcPr>
          <w:p>
            <w:pPr>
              <w:pStyle w:val="TableParagraph"/>
              <w:rPr>
                <w:rFonts w:ascii="Times New Roman"/>
                <w:sz w:val="10"/>
              </w:rPr>
            </w:pPr>
          </w:p>
        </w:tc>
        <w:tc>
          <w:tcPr>
            <w:tcW w:w="3231" w:type="dxa"/>
          </w:tcPr>
          <w:p>
            <w:pPr>
              <w:pStyle w:val="TableParagraph"/>
              <w:spacing w:line="137" w:lineRule="exact" w:before="6"/>
              <w:ind w:left="68"/>
              <w:rPr>
                <w:sz w:val="13"/>
              </w:rPr>
            </w:pPr>
            <w:r>
              <w:rPr>
                <w:spacing w:val="-2"/>
                <w:sz w:val="13"/>
              </w:rPr>
              <w:t>Transfer</w:t>
            </w:r>
          </w:p>
        </w:tc>
        <w:tc>
          <w:tcPr>
            <w:tcW w:w="596" w:type="dxa"/>
          </w:tcPr>
          <w:p>
            <w:pPr>
              <w:pStyle w:val="TableParagraph"/>
              <w:rPr>
                <w:rFonts w:ascii="Times New Roman"/>
                <w:sz w:val="10"/>
              </w:rPr>
            </w:pPr>
          </w:p>
        </w:tc>
        <w:tc>
          <w:tcPr>
            <w:tcW w:w="984" w:type="dxa"/>
          </w:tcPr>
          <w:p>
            <w:pPr>
              <w:pStyle w:val="TableParagraph"/>
              <w:spacing w:line="137" w:lineRule="exact" w:before="6"/>
              <w:ind w:right="81"/>
              <w:jc w:val="right"/>
              <w:rPr>
                <w:sz w:val="13"/>
              </w:rPr>
            </w:pPr>
            <w:r>
              <w:rPr>
                <w:spacing w:val="-10"/>
                <w:sz w:val="13"/>
              </w:rPr>
              <w:t>-</w:t>
            </w:r>
          </w:p>
        </w:tc>
        <w:tc>
          <w:tcPr>
            <w:tcW w:w="938" w:type="dxa"/>
          </w:tcPr>
          <w:p>
            <w:pPr>
              <w:pStyle w:val="TableParagraph"/>
              <w:spacing w:line="137" w:lineRule="exact" w:before="6"/>
              <w:ind w:right="93"/>
              <w:jc w:val="right"/>
              <w:rPr>
                <w:sz w:val="13"/>
              </w:rPr>
            </w:pPr>
            <w:r>
              <w:rPr>
                <w:spacing w:val="-10"/>
                <w:sz w:val="13"/>
              </w:rPr>
              <w:t>-</w:t>
            </w:r>
          </w:p>
        </w:tc>
        <w:tc>
          <w:tcPr>
            <w:tcW w:w="933" w:type="dxa"/>
          </w:tcPr>
          <w:p>
            <w:pPr>
              <w:pStyle w:val="TableParagraph"/>
              <w:spacing w:line="137" w:lineRule="exact" w:before="6"/>
              <w:ind w:left="381"/>
              <w:rPr>
                <w:sz w:val="13"/>
              </w:rPr>
            </w:pPr>
            <w:r>
              <w:rPr>
                <w:spacing w:val="-2"/>
                <w:sz w:val="13"/>
              </w:rPr>
              <w:t>97,432</w:t>
            </w:r>
          </w:p>
        </w:tc>
        <w:tc>
          <w:tcPr>
            <w:tcW w:w="900" w:type="dxa"/>
          </w:tcPr>
          <w:p>
            <w:pPr>
              <w:pStyle w:val="TableParagraph"/>
              <w:spacing w:line="137" w:lineRule="exact" w:before="6"/>
              <w:ind w:right="74"/>
              <w:jc w:val="right"/>
              <w:rPr>
                <w:sz w:val="13"/>
              </w:rPr>
            </w:pPr>
            <w:r>
              <w:rPr>
                <w:spacing w:val="-2"/>
                <w:sz w:val="13"/>
              </w:rPr>
              <w:t>(98,617)</w:t>
            </w:r>
          </w:p>
        </w:tc>
        <w:tc>
          <w:tcPr>
            <w:tcW w:w="949" w:type="dxa"/>
          </w:tcPr>
          <w:p>
            <w:pPr>
              <w:pStyle w:val="TableParagraph"/>
              <w:spacing w:line="137" w:lineRule="exact" w:before="6"/>
              <w:ind w:right="141"/>
              <w:jc w:val="right"/>
              <w:rPr>
                <w:sz w:val="13"/>
              </w:rPr>
            </w:pPr>
            <w:r>
              <w:rPr>
                <w:spacing w:val="-2"/>
                <w:sz w:val="13"/>
              </w:rPr>
              <w:t>1,185</w:t>
            </w:r>
          </w:p>
        </w:tc>
        <w:tc>
          <w:tcPr>
            <w:tcW w:w="955" w:type="dxa"/>
          </w:tcPr>
          <w:p>
            <w:pPr>
              <w:pStyle w:val="TableParagraph"/>
              <w:spacing w:line="137" w:lineRule="exact" w:before="6"/>
              <w:ind w:right="126"/>
              <w:jc w:val="right"/>
              <w:rPr>
                <w:sz w:val="13"/>
              </w:rPr>
            </w:pPr>
            <w:r>
              <w:rPr>
                <w:spacing w:val="-10"/>
                <w:sz w:val="13"/>
              </w:rPr>
              <w:t>-</w:t>
            </w:r>
          </w:p>
        </w:tc>
        <w:tc>
          <w:tcPr>
            <w:tcW w:w="859" w:type="dxa"/>
          </w:tcPr>
          <w:p>
            <w:pPr>
              <w:pStyle w:val="TableParagraph"/>
              <w:spacing w:line="137" w:lineRule="exact" w:before="6"/>
              <w:ind w:right="60"/>
              <w:jc w:val="right"/>
              <w:rPr>
                <w:sz w:val="13"/>
              </w:rPr>
            </w:pPr>
            <w:r>
              <w:rPr>
                <w:spacing w:val="-10"/>
                <w:sz w:val="13"/>
              </w:rPr>
              <w:t>-</w:t>
            </w:r>
          </w:p>
        </w:tc>
        <w:tc>
          <w:tcPr>
            <w:tcW w:w="930" w:type="dxa"/>
          </w:tcPr>
          <w:p>
            <w:pPr>
              <w:pStyle w:val="TableParagraph"/>
              <w:spacing w:line="137" w:lineRule="exact" w:before="6"/>
              <w:ind w:right="64"/>
              <w:jc w:val="right"/>
              <w:rPr>
                <w:sz w:val="13"/>
              </w:rPr>
            </w:pPr>
            <w:r>
              <w:rPr>
                <w:spacing w:val="-10"/>
                <w:sz w:val="13"/>
              </w:rPr>
              <w:t>-</w:t>
            </w:r>
          </w:p>
        </w:tc>
        <w:tc>
          <w:tcPr>
            <w:tcW w:w="996" w:type="dxa"/>
          </w:tcPr>
          <w:p>
            <w:pPr>
              <w:pStyle w:val="TableParagraph"/>
              <w:spacing w:line="137" w:lineRule="exact" w:before="6"/>
              <w:ind w:right="134"/>
              <w:jc w:val="right"/>
              <w:rPr>
                <w:sz w:val="13"/>
              </w:rPr>
            </w:pPr>
            <w:r>
              <w:rPr>
                <w:spacing w:val="-10"/>
                <w:sz w:val="13"/>
              </w:rPr>
              <w:t>-</w:t>
            </w:r>
          </w:p>
        </w:tc>
        <w:tc>
          <w:tcPr>
            <w:tcW w:w="805" w:type="dxa"/>
          </w:tcPr>
          <w:p>
            <w:pPr>
              <w:pStyle w:val="TableParagraph"/>
              <w:spacing w:line="137" w:lineRule="exact" w:before="6"/>
              <w:ind w:right="49"/>
              <w:jc w:val="right"/>
              <w:rPr>
                <w:sz w:val="13"/>
              </w:rPr>
            </w:pPr>
            <w:r>
              <w:rPr>
                <w:spacing w:val="-10"/>
                <w:sz w:val="13"/>
              </w:rPr>
              <w:t>-</w:t>
            </w:r>
          </w:p>
        </w:tc>
      </w:tr>
      <w:tr>
        <w:trPr>
          <w:trHeight w:val="156" w:hRule="atLeast"/>
        </w:trPr>
        <w:tc>
          <w:tcPr>
            <w:tcW w:w="553" w:type="dxa"/>
          </w:tcPr>
          <w:p>
            <w:pPr>
              <w:pStyle w:val="TableParagraph"/>
              <w:rPr>
                <w:rFonts w:ascii="Times New Roman"/>
                <w:sz w:val="10"/>
              </w:rPr>
            </w:pPr>
          </w:p>
        </w:tc>
        <w:tc>
          <w:tcPr>
            <w:tcW w:w="3231" w:type="dxa"/>
          </w:tcPr>
          <w:p>
            <w:pPr>
              <w:pStyle w:val="TableParagraph"/>
              <w:spacing w:line="132" w:lineRule="exact" w:before="4"/>
              <w:ind w:left="68"/>
              <w:rPr>
                <w:sz w:val="13"/>
              </w:rPr>
            </w:pPr>
            <w:r>
              <w:rPr>
                <w:sz w:val="13"/>
              </w:rPr>
              <w:t>Transfer</w:t>
            </w:r>
            <w:r>
              <w:rPr>
                <w:spacing w:val="2"/>
                <w:sz w:val="13"/>
              </w:rPr>
              <w:t> </w:t>
            </w:r>
            <w:r>
              <w:rPr>
                <w:sz w:val="13"/>
              </w:rPr>
              <w:t>of</w:t>
            </w:r>
            <w:r>
              <w:rPr>
                <w:spacing w:val="4"/>
                <w:sz w:val="13"/>
              </w:rPr>
              <w:t> </w:t>
            </w:r>
            <w:r>
              <w:rPr>
                <w:sz w:val="13"/>
              </w:rPr>
              <w:t>carrying</w:t>
            </w:r>
            <w:r>
              <w:rPr>
                <w:spacing w:val="3"/>
                <w:sz w:val="13"/>
              </w:rPr>
              <w:t> </w:t>
            </w:r>
            <w:r>
              <w:rPr>
                <w:sz w:val="13"/>
              </w:rPr>
              <w:t>amount to</w:t>
            </w:r>
            <w:r>
              <w:rPr>
                <w:spacing w:val="3"/>
                <w:sz w:val="13"/>
              </w:rPr>
              <w:t> </w:t>
            </w:r>
            <w:r>
              <w:rPr>
                <w:sz w:val="13"/>
              </w:rPr>
              <w:t>assets</w:t>
            </w:r>
            <w:r>
              <w:rPr>
                <w:spacing w:val="3"/>
                <w:sz w:val="13"/>
              </w:rPr>
              <w:t> </w:t>
            </w:r>
            <w:r>
              <w:rPr>
                <w:sz w:val="13"/>
              </w:rPr>
              <w:t>held</w:t>
            </w:r>
            <w:r>
              <w:rPr>
                <w:spacing w:val="2"/>
                <w:sz w:val="13"/>
              </w:rPr>
              <w:t> </w:t>
            </w:r>
            <w:r>
              <w:rPr>
                <w:sz w:val="13"/>
              </w:rPr>
              <w:t>for</w:t>
            </w:r>
            <w:r>
              <w:rPr>
                <w:spacing w:val="3"/>
                <w:sz w:val="13"/>
              </w:rPr>
              <w:t> </w:t>
            </w:r>
            <w:r>
              <w:rPr>
                <w:spacing w:val="-4"/>
                <w:sz w:val="13"/>
              </w:rPr>
              <w:t>sale</w:t>
            </w:r>
          </w:p>
        </w:tc>
        <w:tc>
          <w:tcPr>
            <w:tcW w:w="596" w:type="dxa"/>
          </w:tcPr>
          <w:p>
            <w:pPr>
              <w:pStyle w:val="TableParagraph"/>
              <w:rPr>
                <w:rFonts w:ascii="Times New Roman"/>
                <w:sz w:val="10"/>
              </w:rPr>
            </w:pPr>
          </w:p>
        </w:tc>
        <w:tc>
          <w:tcPr>
            <w:tcW w:w="984" w:type="dxa"/>
            <w:tcBorders>
              <w:bottom w:val="single" w:sz="6" w:space="0" w:color="000000"/>
            </w:tcBorders>
          </w:tcPr>
          <w:p>
            <w:pPr>
              <w:pStyle w:val="TableParagraph"/>
              <w:spacing w:line="130" w:lineRule="exact" w:before="6"/>
              <w:ind w:right="81"/>
              <w:jc w:val="right"/>
              <w:rPr>
                <w:sz w:val="13"/>
              </w:rPr>
            </w:pPr>
            <w:r>
              <w:rPr>
                <w:spacing w:val="-10"/>
                <w:sz w:val="13"/>
              </w:rPr>
              <w:t>-</w:t>
            </w:r>
          </w:p>
        </w:tc>
        <w:tc>
          <w:tcPr>
            <w:tcW w:w="938" w:type="dxa"/>
            <w:tcBorders>
              <w:bottom w:val="single" w:sz="6" w:space="0" w:color="000000"/>
            </w:tcBorders>
          </w:tcPr>
          <w:p>
            <w:pPr>
              <w:pStyle w:val="TableParagraph"/>
              <w:spacing w:line="130" w:lineRule="exact" w:before="6"/>
              <w:ind w:right="93"/>
              <w:jc w:val="right"/>
              <w:rPr>
                <w:sz w:val="13"/>
              </w:rPr>
            </w:pPr>
            <w:r>
              <w:rPr>
                <w:spacing w:val="-10"/>
                <w:sz w:val="13"/>
              </w:rPr>
              <w:t>-</w:t>
            </w:r>
          </w:p>
        </w:tc>
        <w:tc>
          <w:tcPr>
            <w:tcW w:w="933" w:type="dxa"/>
            <w:tcBorders>
              <w:bottom w:val="single" w:sz="6" w:space="0" w:color="000000"/>
            </w:tcBorders>
          </w:tcPr>
          <w:p>
            <w:pPr>
              <w:pStyle w:val="TableParagraph"/>
              <w:spacing w:line="130" w:lineRule="exact" w:before="6"/>
              <w:ind w:right="100"/>
              <w:jc w:val="right"/>
              <w:rPr>
                <w:sz w:val="13"/>
              </w:rPr>
            </w:pPr>
            <w:r>
              <w:rPr>
                <w:spacing w:val="-10"/>
                <w:sz w:val="13"/>
              </w:rPr>
              <w:t>-</w:t>
            </w:r>
          </w:p>
        </w:tc>
        <w:tc>
          <w:tcPr>
            <w:tcW w:w="900" w:type="dxa"/>
            <w:tcBorders>
              <w:bottom w:val="single" w:sz="6" w:space="0" w:color="000000"/>
            </w:tcBorders>
          </w:tcPr>
          <w:p>
            <w:pPr>
              <w:pStyle w:val="TableParagraph"/>
              <w:spacing w:line="130" w:lineRule="exact" w:before="6"/>
              <w:ind w:right="74"/>
              <w:jc w:val="right"/>
              <w:rPr>
                <w:sz w:val="13"/>
              </w:rPr>
            </w:pPr>
            <w:r>
              <w:rPr>
                <w:spacing w:val="-10"/>
                <w:sz w:val="13"/>
              </w:rPr>
              <w:t>-</w:t>
            </w:r>
          </w:p>
        </w:tc>
        <w:tc>
          <w:tcPr>
            <w:tcW w:w="949" w:type="dxa"/>
            <w:tcBorders>
              <w:bottom w:val="single" w:sz="6" w:space="0" w:color="000000"/>
            </w:tcBorders>
          </w:tcPr>
          <w:p>
            <w:pPr>
              <w:pStyle w:val="TableParagraph"/>
              <w:spacing w:line="130" w:lineRule="exact" w:before="6"/>
              <w:ind w:right="97"/>
              <w:jc w:val="right"/>
              <w:rPr>
                <w:sz w:val="13"/>
              </w:rPr>
            </w:pPr>
            <w:r>
              <w:rPr>
                <w:spacing w:val="-10"/>
                <w:sz w:val="13"/>
              </w:rPr>
              <w:t>-</w:t>
            </w:r>
          </w:p>
        </w:tc>
        <w:tc>
          <w:tcPr>
            <w:tcW w:w="955" w:type="dxa"/>
            <w:tcBorders>
              <w:bottom w:val="single" w:sz="6" w:space="0" w:color="000000"/>
            </w:tcBorders>
          </w:tcPr>
          <w:p>
            <w:pPr>
              <w:pStyle w:val="TableParagraph"/>
              <w:spacing w:line="130" w:lineRule="exact" w:before="6"/>
              <w:ind w:right="126"/>
              <w:jc w:val="right"/>
              <w:rPr>
                <w:sz w:val="13"/>
              </w:rPr>
            </w:pPr>
            <w:r>
              <w:rPr>
                <w:spacing w:val="-10"/>
                <w:sz w:val="13"/>
              </w:rPr>
              <w:t>-</w:t>
            </w:r>
          </w:p>
        </w:tc>
        <w:tc>
          <w:tcPr>
            <w:tcW w:w="859" w:type="dxa"/>
            <w:tcBorders>
              <w:bottom w:val="single" w:sz="6" w:space="0" w:color="000000"/>
            </w:tcBorders>
          </w:tcPr>
          <w:p>
            <w:pPr>
              <w:pStyle w:val="TableParagraph"/>
              <w:spacing w:line="130" w:lineRule="exact" w:before="6"/>
              <w:ind w:right="59"/>
              <w:jc w:val="right"/>
              <w:rPr>
                <w:sz w:val="13"/>
              </w:rPr>
            </w:pPr>
            <w:r>
              <w:rPr>
                <w:spacing w:val="-10"/>
                <w:sz w:val="13"/>
              </w:rPr>
              <w:t>-</w:t>
            </w:r>
          </w:p>
        </w:tc>
        <w:tc>
          <w:tcPr>
            <w:tcW w:w="930" w:type="dxa"/>
            <w:tcBorders>
              <w:bottom w:val="single" w:sz="6" w:space="0" w:color="000000"/>
            </w:tcBorders>
          </w:tcPr>
          <w:p>
            <w:pPr>
              <w:pStyle w:val="TableParagraph"/>
              <w:spacing w:line="130" w:lineRule="exact" w:before="6"/>
              <w:ind w:right="64"/>
              <w:jc w:val="right"/>
              <w:rPr>
                <w:sz w:val="13"/>
              </w:rPr>
            </w:pPr>
            <w:r>
              <w:rPr>
                <w:spacing w:val="-10"/>
                <w:sz w:val="13"/>
              </w:rPr>
              <w:t>-</w:t>
            </w:r>
          </w:p>
        </w:tc>
        <w:tc>
          <w:tcPr>
            <w:tcW w:w="996" w:type="dxa"/>
            <w:tcBorders>
              <w:bottom w:val="single" w:sz="6" w:space="0" w:color="000000"/>
            </w:tcBorders>
          </w:tcPr>
          <w:p>
            <w:pPr>
              <w:pStyle w:val="TableParagraph"/>
              <w:spacing w:line="130" w:lineRule="exact" w:before="6"/>
              <w:ind w:right="134"/>
              <w:jc w:val="right"/>
              <w:rPr>
                <w:sz w:val="13"/>
              </w:rPr>
            </w:pPr>
            <w:r>
              <w:rPr>
                <w:spacing w:val="-10"/>
                <w:sz w:val="13"/>
              </w:rPr>
              <w:t>-</w:t>
            </w:r>
          </w:p>
        </w:tc>
        <w:tc>
          <w:tcPr>
            <w:tcW w:w="805" w:type="dxa"/>
            <w:tcBorders>
              <w:bottom w:val="single" w:sz="6" w:space="0" w:color="000000"/>
            </w:tcBorders>
          </w:tcPr>
          <w:p>
            <w:pPr>
              <w:pStyle w:val="TableParagraph"/>
              <w:spacing w:line="132" w:lineRule="exact" w:before="4"/>
              <w:ind w:right="13"/>
              <w:jc w:val="right"/>
              <w:rPr>
                <w:sz w:val="13"/>
              </w:rPr>
            </w:pPr>
            <w:r>
              <w:rPr>
                <w:spacing w:val="-10"/>
                <w:sz w:val="13"/>
              </w:rPr>
              <w:t>-</w:t>
            </w:r>
          </w:p>
        </w:tc>
      </w:tr>
      <w:tr>
        <w:trPr>
          <w:trHeight w:val="150" w:hRule="atLeast"/>
        </w:trPr>
        <w:tc>
          <w:tcPr>
            <w:tcW w:w="553" w:type="dxa"/>
          </w:tcPr>
          <w:p>
            <w:pPr>
              <w:pStyle w:val="TableParagraph"/>
              <w:rPr>
                <w:rFonts w:ascii="Times New Roman"/>
                <w:sz w:val="8"/>
              </w:rPr>
            </w:pPr>
          </w:p>
        </w:tc>
        <w:tc>
          <w:tcPr>
            <w:tcW w:w="3231" w:type="dxa"/>
          </w:tcPr>
          <w:p>
            <w:pPr>
              <w:pStyle w:val="TableParagraph"/>
              <w:spacing w:line="130" w:lineRule="exact"/>
              <w:ind w:left="68"/>
              <w:rPr>
                <w:b/>
                <w:sz w:val="13"/>
              </w:rPr>
            </w:pPr>
            <w:r>
              <w:rPr>
                <w:b/>
                <w:sz w:val="13"/>
              </w:rPr>
              <w:t>Closing</w:t>
            </w:r>
            <w:r>
              <w:rPr>
                <w:b/>
                <w:spacing w:val="-1"/>
                <w:sz w:val="13"/>
              </w:rPr>
              <w:t> </w:t>
            </w:r>
            <w:r>
              <w:rPr>
                <w:b/>
                <w:sz w:val="13"/>
              </w:rPr>
              <w:t>net</w:t>
            </w:r>
            <w:r>
              <w:rPr>
                <w:b/>
                <w:spacing w:val="1"/>
                <w:sz w:val="13"/>
              </w:rPr>
              <w:t> </w:t>
            </w:r>
            <w:r>
              <w:rPr>
                <w:b/>
                <w:sz w:val="13"/>
              </w:rPr>
              <w:t>book </w:t>
            </w:r>
            <w:r>
              <w:rPr>
                <w:b/>
                <w:spacing w:val="-2"/>
                <w:sz w:val="13"/>
              </w:rPr>
              <w:t>value</w:t>
            </w:r>
          </w:p>
        </w:tc>
        <w:tc>
          <w:tcPr>
            <w:tcW w:w="596" w:type="dxa"/>
          </w:tcPr>
          <w:p>
            <w:pPr>
              <w:pStyle w:val="TableParagraph"/>
              <w:rPr>
                <w:rFonts w:ascii="Times New Roman"/>
                <w:sz w:val="8"/>
              </w:rPr>
            </w:pPr>
          </w:p>
        </w:tc>
        <w:tc>
          <w:tcPr>
            <w:tcW w:w="984" w:type="dxa"/>
            <w:tcBorders>
              <w:top w:val="single" w:sz="6" w:space="0" w:color="000000"/>
              <w:bottom w:val="single" w:sz="6" w:space="0" w:color="000000"/>
            </w:tcBorders>
          </w:tcPr>
          <w:p>
            <w:pPr>
              <w:pStyle w:val="TableParagraph"/>
              <w:spacing w:line="130" w:lineRule="exact"/>
              <w:ind w:right="125"/>
              <w:jc w:val="right"/>
              <w:rPr>
                <w:b/>
                <w:sz w:val="13"/>
              </w:rPr>
            </w:pPr>
            <w:r>
              <w:rPr>
                <w:b/>
                <w:spacing w:val="-2"/>
                <w:sz w:val="13"/>
              </w:rPr>
              <w:t>184,932</w:t>
            </w:r>
          </w:p>
        </w:tc>
        <w:tc>
          <w:tcPr>
            <w:tcW w:w="938" w:type="dxa"/>
            <w:tcBorders>
              <w:top w:val="single" w:sz="6" w:space="0" w:color="000000"/>
              <w:bottom w:val="single" w:sz="6" w:space="0" w:color="000000"/>
            </w:tcBorders>
          </w:tcPr>
          <w:p>
            <w:pPr>
              <w:pStyle w:val="TableParagraph"/>
              <w:spacing w:line="130" w:lineRule="exact"/>
              <w:ind w:right="137"/>
              <w:jc w:val="right"/>
              <w:rPr>
                <w:b/>
                <w:sz w:val="13"/>
              </w:rPr>
            </w:pPr>
            <w:r>
              <w:rPr>
                <w:b/>
                <w:spacing w:val="-2"/>
                <w:sz w:val="13"/>
              </w:rPr>
              <w:t>80,000</w:t>
            </w:r>
          </w:p>
        </w:tc>
        <w:tc>
          <w:tcPr>
            <w:tcW w:w="933" w:type="dxa"/>
            <w:tcBorders>
              <w:top w:val="single" w:sz="6" w:space="0" w:color="000000"/>
              <w:bottom w:val="single" w:sz="6" w:space="0" w:color="000000"/>
            </w:tcBorders>
          </w:tcPr>
          <w:p>
            <w:pPr>
              <w:pStyle w:val="TableParagraph"/>
              <w:spacing w:line="130" w:lineRule="exact"/>
              <w:ind w:left="308"/>
              <w:rPr>
                <w:b/>
                <w:sz w:val="13"/>
              </w:rPr>
            </w:pPr>
            <w:r>
              <w:rPr>
                <w:b/>
                <w:spacing w:val="-2"/>
                <w:sz w:val="13"/>
              </w:rPr>
              <w:t>924,787</w:t>
            </w:r>
          </w:p>
        </w:tc>
        <w:tc>
          <w:tcPr>
            <w:tcW w:w="900" w:type="dxa"/>
            <w:tcBorders>
              <w:top w:val="single" w:sz="6" w:space="0" w:color="000000"/>
              <w:bottom w:val="single" w:sz="6" w:space="0" w:color="000000"/>
            </w:tcBorders>
          </w:tcPr>
          <w:p>
            <w:pPr>
              <w:pStyle w:val="TableParagraph"/>
              <w:spacing w:line="130" w:lineRule="exact"/>
              <w:ind w:right="118"/>
              <w:jc w:val="right"/>
              <w:rPr>
                <w:b/>
                <w:sz w:val="13"/>
              </w:rPr>
            </w:pPr>
            <w:r>
              <w:rPr>
                <w:b/>
                <w:spacing w:val="-2"/>
                <w:sz w:val="13"/>
              </w:rPr>
              <w:t>34,378</w:t>
            </w:r>
          </w:p>
        </w:tc>
        <w:tc>
          <w:tcPr>
            <w:tcW w:w="949" w:type="dxa"/>
            <w:tcBorders>
              <w:top w:val="single" w:sz="6" w:space="0" w:color="000000"/>
              <w:bottom w:val="single" w:sz="6" w:space="0" w:color="000000"/>
            </w:tcBorders>
          </w:tcPr>
          <w:p>
            <w:pPr>
              <w:pStyle w:val="TableParagraph"/>
              <w:spacing w:line="130" w:lineRule="exact"/>
              <w:ind w:right="141"/>
              <w:jc w:val="right"/>
              <w:rPr>
                <w:b/>
                <w:sz w:val="13"/>
              </w:rPr>
            </w:pPr>
            <w:r>
              <w:rPr>
                <w:b/>
                <w:spacing w:val="-2"/>
                <w:sz w:val="13"/>
              </w:rPr>
              <w:t>59,348</w:t>
            </w:r>
          </w:p>
        </w:tc>
        <w:tc>
          <w:tcPr>
            <w:tcW w:w="955" w:type="dxa"/>
            <w:tcBorders>
              <w:top w:val="single" w:sz="6" w:space="0" w:color="000000"/>
              <w:bottom w:val="single" w:sz="6" w:space="0" w:color="000000"/>
            </w:tcBorders>
          </w:tcPr>
          <w:p>
            <w:pPr>
              <w:pStyle w:val="TableParagraph"/>
              <w:spacing w:line="130" w:lineRule="exact"/>
              <w:ind w:right="170"/>
              <w:jc w:val="right"/>
              <w:rPr>
                <w:b/>
                <w:sz w:val="13"/>
              </w:rPr>
            </w:pPr>
            <w:r>
              <w:rPr>
                <w:b/>
                <w:spacing w:val="-2"/>
                <w:sz w:val="13"/>
              </w:rPr>
              <w:t>29,764</w:t>
            </w:r>
          </w:p>
        </w:tc>
        <w:tc>
          <w:tcPr>
            <w:tcW w:w="859" w:type="dxa"/>
            <w:tcBorders>
              <w:top w:val="single" w:sz="6" w:space="0" w:color="000000"/>
              <w:bottom w:val="single" w:sz="6" w:space="0" w:color="000000"/>
            </w:tcBorders>
          </w:tcPr>
          <w:p>
            <w:pPr>
              <w:pStyle w:val="TableParagraph"/>
              <w:spacing w:line="130" w:lineRule="exact"/>
              <w:ind w:right="104"/>
              <w:jc w:val="right"/>
              <w:rPr>
                <w:b/>
                <w:sz w:val="13"/>
              </w:rPr>
            </w:pPr>
            <w:r>
              <w:rPr>
                <w:b/>
                <w:spacing w:val="-2"/>
                <w:sz w:val="13"/>
              </w:rPr>
              <w:t>2,353</w:t>
            </w:r>
          </w:p>
        </w:tc>
        <w:tc>
          <w:tcPr>
            <w:tcW w:w="930" w:type="dxa"/>
            <w:tcBorders>
              <w:top w:val="single" w:sz="6" w:space="0" w:color="000000"/>
              <w:bottom w:val="single" w:sz="6" w:space="0" w:color="000000"/>
            </w:tcBorders>
          </w:tcPr>
          <w:p>
            <w:pPr>
              <w:pStyle w:val="TableParagraph"/>
              <w:spacing w:line="130" w:lineRule="exact"/>
              <w:ind w:right="108"/>
              <w:jc w:val="right"/>
              <w:rPr>
                <w:b/>
                <w:sz w:val="13"/>
              </w:rPr>
            </w:pPr>
            <w:r>
              <w:rPr>
                <w:b/>
                <w:spacing w:val="-2"/>
                <w:sz w:val="13"/>
              </w:rPr>
              <w:t>1,324</w:t>
            </w:r>
          </w:p>
        </w:tc>
        <w:tc>
          <w:tcPr>
            <w:tcW w:w="996" w:type="dxa"/>
            <w:tcBorders>
              <w:top w:val="single" w:sz="6" w:space="0" w:color="000000"/>
              <w:bottom w:val="single" w:sz="6" w:space="0" w:color="000000"/>
            </w:tcBorders>
          </w:tcPr>
          <w:p>
            <w:pPr>
              <w:pStyle w:val="TableParagraph"/>
              <w:spacing w:line="130" w:lineRule="exact"/>
              <w:ind w:right="178"/>
              <w:jc w:val="right"/>
              <w:rPr>
                <w:b/>
                <w:sz w:val="13"/>
              </w:rPr>
            </w:pPr>
            <w:r>
              <w:rPr>
                <w:b/>
                <w:spacing w:val="-2"/>
                <w:sz w:val="13"/>
              </w:rPr>
              <w:t>46,216</w:t>
            </w:r>
          </w:p>
        </w:tc>
        <w:tc>
          <w:tcPr>
            <w:tcW w:w="805" w:type="dxa"/>
            <w:tcBorders>
              <w:top w:val="single" w:sz="6" w:space="0" w:color="000000"/>
              <w:bottom w:val="single" w:sz="6" w:space="0" w:color="000000"/>
            </w:tcBorders>
          </w:tcPr>
          <w:p>
            <w:pPr>
              <w:pStyle w:val="TableParagraph"/>
              <w:spacing w:line="130" w:lineRule="exact"/>
              <w:ind w:left="158"/>
              <w:rPr>
                <w:b/>
                <w:sz w:val="13"/>
              </w:rPr>
            </w:pPr>
            <w:r>
              <w:rPr>
                <w:b/>
                <w:spacing w:val="-2"/>
                <w:sz w:val="13"/>
              </w:rPr>
              <w:t>1,363,102</w:t>
            </w:r>
          </w:p>
        </w:tc>
      </w:tr>
      <w:tr>
        <w:trPr>
          <w:trHeight w:val="323" w:hRule="atLeast"/>
        </w:trPr>
        <w:tc>
          <w:tcPr>
            <w:tcW w:w="553" w:type="dxa"/>
          </w:tcPr>
          <w:p>
            <w:pPr>
              <w:pStyle w:val="TableParagraph"/>
              <w:rPr>
                <w:rFonts w:ascii="Times New Roman"/>
                <w:sz w:val="12"/>
              </w:rPr>
            </w:pPr>
          </w:p>
        </w:tc>
        <w:tc>
          <w:tcPr>
            <w:tcW w:w="3231" w:type="dxa"/>
          </w:tcPr>
          <w:p>
            <w:pPr>
              <w:pStyle w:val="TableParagraph"/>
              <w:spacing w:before="15"/>
              <w:rPr>
                <w:b/>
                <w:sz w:val="13"/>
              </w:rPr>
            </w:pPr>
          </w:p>
          <w:p>
            <w:pPr>
              <w:pStyle w:val="TableParagraph"/>
              <w:spacing w:line="139" w:lineRule="exact"/>
              <w:ind w:left="68"/>
              <w:rPr>
                <w:b/>
                <w:sz w:val="13"/>
              </w:rPr>
            </w:pPr>
            <w:r>
              <w:rPr>
                <w:b/>
                <w:sz w:val="13"/>
              </w:rPr>
              <w:t>At 31</w:t>
            </w:r>
            <w:r>
              <w:rPr>
                <w:b/>
                <w:spacing w:val="1"/>
                <w:sz w:val="13"/>
              </w:rPr>
              <w:t> </w:t>
            </w:r>
            <w:r>
              <w:rPr>
                <w:b/>
                <w:sz w:val="13"/>
              </w:rPr>
              <w:t>December </w:t>
            </w:r>
            <w:r>
              <w:rPr>
                <w:b/>
                <w:spacing w:val="-4"/>
                <w:sz w:val="13"/>
              </w:rPr>
              <w:t>2020</w:t>
            </w:r>
          </w:p>
        </w:tc>
        <w:tc>
          <w:tcPr>
            <w:tcW w:w="596" w:type="dxa"/>
          </w:tcPr>
          <w:p>
            <w:pPr>
              <w:pStyle w:val="TableParagraph"/>
              <w:rPr>
                <w:rFonts w:ascii="Times New Roman"/>
                <w:sz w:val="12"/>
              </w:rPr>
            </w:pPr>
          </w:p>
        </w:tc>
        <w:tc>
          <w:tcPr>
            <w:tcW w:w="984" w:type="dxa"/>
            <w:tcBorders>
              <w:top w:val="single" w:sz="6" w:space="0" w:color="000000"/>
            </w:tcBorders>
          </w:tcPr>
          <w:p>
            <w:pPr>
              <w:pStyle w:val="TableParagraph"/>
              <w:rPr>
                <w:rFonts w:ascii="Times New Roman"/>
                <w:sz w:val="12"/>
              </w:rPr>
            </w:pPr>
          </w:p>
        </w:tc>
        <w:tc>
          <w:tcPr>
            <w:tcW w:w="938" w:type="dxa"/>
            <w:tcBorders>
              <w:top w:val="single" w:sz="6" w:space="0" w:color="000000"/>
            </w:tcBorders>
          </w:tcPr>
          <w:p>
            <w:pPr>
              <w:pStyle w:val="TableParagraph"/>
              <w:rPr>
                <w:rFonts w:ascii="Times New Roman"/>
                <w:sz w:val="12"/>
              </w:rPr>
            </w:pPr>
          </w:p>
        </w:tc>
        <w:tc>
          <w:tcPr>
            <w:tcW w:w="933" w:type="dxa"/>
            <w:tcBorders>
              <w:top w:val="single" w:sz="6" w:space="0" w:color="000000"/>
            </w:tcBorders>
          </w:tcPr>
          <w:p>
            <w:pPr>
              <w:pStyle w:val="TableParagraph"/>
              <w:rPr>
                <w:rFonts w:ascii="Times New Roman"/>
                <w:sz w:val="12"/>
              </w:rPr>
            </w:pPr>
          </w:p>
        </w:tc>
        <w:tc>
          <w:tcPr>
            <w:tcW w:w="900" w:type="dxa"/>
            <w:tcBorders>
              <w:top w:val="single" w:sz="6" w:space="0" w:color="000000"/>
            </w:tcBorders>
          </w:tcPr>
          <w:p>
            <w:pPr>
              <w:pStyle w:val="TableParagraph"/>
              <w:rPr>
                <w:rFonts w:ascii="Times New Roman"/>
                <w:sz w:val="12"/>
              </w:rPr>
            </w:pPr>
          </w:p>
        </w:tc>
        <w:tc>
          <w:tcPr>
            <w:tcW w:w="949" w:type="dxa"/>
            <w:tcBorders>
              <w:top w:val="single" w:sz="6" w:space="0" w:color="000000"/>
            </w:tcBorders>
          </w:tcPr>
          <w:p>
            <w:pPr>
              <w:pStyle w:val="TableParagraph"/>
              <w:rPr>
                <w:rFonts w:ascii="Times New Roman"/>
                <w:sz w:val="12"/>
              </w:rPr>
            </w:pPr>
          </w:p>
        </w:tc>
        <w:tc>
          <w:tcPr>
            <w:tcW w:w="955" w:type="dxa"/>
            <w:tcBorders>
              <w:top w:val="single" w:sz="6" w:space="0" w:color="000000"/>
            </w:tcBorders>
          </w:tcPr>
          <w:p>
            <w:pPr>
              <w:pStyle w:val="TableParagraph"/>
              <w:rPr>
                <w:rFonts w:ascii="Times New Roman"/>
                <w:sz w:val="12"/>
              </w:rPr>
            </w:pPr>
          </w:p>
        </w:tc>
        <w:tc>
          <w:tcPr>
            <w:tcW w:w="859" w:type="dxa"/>
            <w:tcBorders>
              <w:top w:val="single" w:sz="6" w:space="0" w:color="000000"/>
            </w:tcBorders>
          </w:tcPr>
          <w:p>
            <w:pPr>
              <w:pStyle w:val="TableParagraph"/>
              <w:rPr>
                <w:rFonts w:ascii="Times New Roman"/>
                <w:sz w:val="12"/>
              </w:rPr>
            </w:pPr>
          </w:p>
        </w:tc>
        <w:tc>
          <w:tcPr>
            <w:tcW w:w="930" w:type="dxa"/>
            <w:tcBorders>
              <w:top w:val="single" w:sz="6" w:space="0" w:color="000000"/>
            </w:tcBorders>
          </w:tcPr>
          <w:p>
            <w:pPr>
              <w:pStyle w:val="TableParagraph"/>
              <w:rPr>
                <w:rFonts w:ascii="Times New Roman"/>
                <w:sz w:val="12"/>
              </w:rPr>
            </w:pPr>
          </w:p>
        </w:tc>
        <w:tc>
          <w:tcPr>
            <w:tcW w:w="996" w:type="dxa"/>
            <w:tcBorders>
              <w:top w:val="single" w:sz="6" w:space="0" w:color="000000"/>
            </w:tcBorders>
          </w:tcPr>
          <w:p>
            <w:pPr>
              <w:pStyle w:val="TableParagraph"/>
              <w:rPr>
                <w:rFonts w:ascii="Times New Roman"/>
                <w:sz w:val="12"/>
              </w:rPr>
            </w:pPr>
          </w:p>
        </w:tc>
        <w:tc>
          <w:tcPr>
            <w:tcW w:w="805" w:type="dxa"/>
            <w:tcBorders>
              <w:top w:val="single" w:sz="6" w:space="0" w:color="000000"/>
            </w:tcBorders>
          </w:tcPr>
          <w:p>
            <w:pPr>
              <w:pStyle w:val="TableParagraph"/>
              <w:rPr>
                <w:rFonts w:ascii="Times New Roman"/>
                <w:sz w:val="12"/>
              </w:rPr>
            </w:pPr>
          </w:p>
        </w:tc>
      </w:tr>
      <w:tr>
        <w:trPr>
          <w:trHeight w:val="165" w:hRule="atLeast"/>
        </w:trPr>
        <w:tc>
          <w:tcPr>
            <w:tcW w:w="553" w:type="dxa"/>
          </w:tcPr>
          <w:p>
            <w:pPr>
              <w:pStyle w:val="TableParagraph"/>
              <w:rPr>
                <w:rFonts w:ascii="Times New Roman"/>
                <w:sz w:val="10"/>
              </w:rPr>
            </w:pPr>
          </w:p>
        </w:tc>
        <w:tc>
          <w:tcPr>
            <w:tcW w:w="3231" w:type="dxa"/>
          </w:tcPr>
          <w:p>
            <w:pPr>
              <w:pStyle w:val="TableParagraph"/>
              <w:spacing w:line="139" w:lineRule="exact" w:before="6"/>
              <w:ind w:left="68"/>
              <w:rPr>
                <w:sz w:val="13"/>
              </w:rPr>
            </w:pPr>
            <w:r>
              <w:rPr>
                <w:spacing w:val="-4"/>
                <w:sz w:val="13"/>
              </w:rPr>
              <w:t>Cost</w:t>
            </w:r>
          </w:p>
        </w:tc>
        <w:tc>
          <w:tcPr>
            <w:tcW w:w="596" w:type="dxa"/>
          </w:tcPr>
          <w:p>
            <w:pPr>
              <w:pStyle w:val="TableParagraph"/>
              <w:rPr>
                <w:rFonts w:ascii="Times New Roman"/>
                <w:sz w:val="10"/>
              </w:rPr>
            </w:pPr>
          </w:p>
        </w:tc>
        <w:tc>
          <w:tcPr>
            <w:tcW w:w="984" w:type="dxa"/>
          </w:tcPr>
          <w:p>
            <w:pPr>
              <w:pStyle w:val="TableParagraph"/>
              <w:spacing w:line="139" w:lineRule="exact" w:before="6"/>
              <w:ind w:right="124"/>
              <w:jc w:val="right"/>
              <w:rPr>
                <w:sz w:val="13"/>
              </w:rPr>
            </w:pPr>
            <w:r>
              <w:rPr>
                <w:spacing w:val="-2"/>
                <w:sz w:val="13"/>
              </w:rPr>
              <w:t>187,075</w:t>
            </w:r>
          </w:p>
        </w:tc>
        <w:tc>
          <w:tcPr>
            <w:tcW w:w="938" w:type="dxa"/>
          </w:tcPr>
          <w:p>
            <w:pPr>
              <w:pStyle w:val="TableParagraph"/>
              <w:spacing w:line="139" w:lineRule="exact" w:before="6"/>
              <w:ind w:right="136"/>
              <w:jc w:val="right"/>
              <w:rPr>
                <w:sz w:val="13"/>
              </w:rPr>
            </w:pPr>
            <w:r>
              <w:rPr>
                <w:spacing w:val="-2"/>
                <w:sz w:val="13"/>
              </w:rPr>
              <w:t>80,000</w:t>
            </w:r>
          </w:p>
        </w:tc>
        <w:tc>
          <w:tcPr>
            <w:tcW w:w="933" w:type="dxa"/>
          </w:tcPr>
          <w:p>
            <w:pPr>
              <w:pStyle w:val="TableParagraph"/>
              <w:spacing w:line="139" w:lineRule="exact" w:before="6"/>
              <w:ind w:left="199"/>
              <w:rPr>
                <w:sz w:val="13"/>
              </w:rPr>
            </w:pPr>
            <w:r>
              <w:rPr>
                <w:spacing w:val="-2"/>
                <w:sz w:val="13"/>
              </w:rPr>
              <w:t>1,198,701</w:t>
            </w:r>
          </w:p>
        </w:tc>
        <w:tc>
          <w:tcPr>
            <w:tcW w:w="900" w:type="dxa"/>
          </w:tcPr>
          <w:p>
            <w:pPr>
              <w:pStyle w:val="TableParagraph"/>
              <w:spacing w:line="139" w:lineRule="exact" w:before="6"/>
              <w:ind w:right="117"/>
              <w:jc w:val="right"/>
              <w:rPr>
                <w:sz w:val="13"/>
              </w:rPr>
            </w:pPr>
            <w:r>
              <w:rPr>
                <w:spacing w:val="-2"/>
                <w:sz w:val="13"/>
              </w:rPr>
              <w:t>35,252</w:t>
            </w:r>
          </w:p>
        </w:tc>
        <w:tc>
          <w:tcPr>
            <w:tcW w:w="949" w:type="dxa"/>
          </w:tcPr>
          <w:p>
            <w:pPr>
              <w:pStyle w:val="TableParagraph"/>
              <w:spacing w:line="139" w:lineRule="exact" w:before="6"/>
              <w:ind w:right="141"/>
              <w:jc w:val="right"/>
              <w:rPr>
                <w:sz w:val="13"/>
              </w:rPr>
            </w:pPr>
            <w:r>
              <w:rPr>
                <w:spacing w:val="-2"/>
                <w:sz w:val="13"/>
              </w:rPr>
              <w:t>283,838</w:t>
            </w:r>
          </w:p>
        </w:tc>
        <w:tc>
          <w:tcPr>
            <w:tcW w:w="955" w:type="dxa"/>
          </w:tcPr>
          <w:p>
            <w:pPr>
              <w:pStyle w:val="TableParagraph"/>
              <w:spacing w:line="139" w:lineRule="exact" w:before="6"/>
              <w:ind w:right="170"/>
              <w:jc w:val="right"/>
              <w:rPr>
                <w:sz w:val="13"/>
              </w:rPr>
            </w:pPr>
            <w:r>
              <w:rPr>
                <w:spacing w:val="-2"/>
                <w:sz w:val="13"/>
              </w:rPr>
              <w:t>29,764</w:t>
            </w:r>
          </w:p>
        </w:tc>
        <w:tc>
          <w:tcPr>
            <w:tcW w:w="859" w:type="dxa"/>
          </w:tcPr>
          <w:p>
            <w:pPr>
              <w:pStyle w:val="TableParagraph"/>
              <w:spacing w:line="139" w:lineRule="exact" w:before="6"/>
              <w:ind w:right="103"/>
              <w:jc w:val="right"/>
              <w:rPr>
                <w:sz w:val="13"/>
              </w:rPr>
            </w:pPr>
            <w:r>
              <w:rPr>
                <w:spacing w:val="-2"/>
                <w:sz w:val="13"/>
              </w:rPr>
              <w:t>11,056</w:t>
            </w:r>
          </w:p>
        </w:tc>
        <w:tc>
          <w:tcPr>
            <w:tcW w:w="930" w:type="dxa"/>
          </w:tcPr>
          <w:p>
            <w:pPr>
              <w:pStyle w:val="TableParagraph"/>
              <w:spacing w:line="139" w:lineRule="exact" w:before="6"/>
              <w:ind w:right="107"/>
              <w:jc w:val="right"/>
              <w:rPr>
                <w:sz w:val="13"/>
              </w:rPr>
            </w:pPr>
            <w:r>
              <w:rPr>
                <w:spacing w:val="-2"/>
                <w:sz w:val="13"/>
              </w:rPr>
              <w:t>2,229</w:t>
            </w:r>
          </w:p>
        </w:tc>
        <w:tc>
          <w:tcPr>
            <w:tcW w:w="996" w:type="dxa"/>
          </w:tcPr>
          <w:p>
            <w:pPr>
              <w:pStyle w:val="TableParagraph"/>
              <w:spacing w:line="139" w:lineRule="exact" w:before="6"/>
              <w:ind w:right="177"/>
              <w:jc w:val="right"/>
              <w:rPr>
                <w:sz w:val="13"/>
              </w:rPr>
            </w:pPr>
            <w:r>
              <w:rPr>
                <w:spacing w:val="-2"/>
                <w:sz w:val="13"/>
              </w:rPr>
              <w:t>67,234</w:t>
            </w:r>
          </w:p>
        </w:tc>
        <w:tc>
          <w:tcPr>
            <w:tcW w:w="805" w:type="dxa"/>
          </w:tcPr>
          <w:p>
            <w:pPr>
              <w:pStyle w:val="TableParagraph"/>
              <w:spacing w:line="139" w:lineRule="exact" w:before="6"/>
              <w:ind w:left="158"/>
              <w:rPr>
                <w:sz w:val="13"/>
              </w:rPr>
            </w:pPr>
            <w:r>
              <w:rPr>
                <w:spacing w:val="-2"/>
                <w:sz w:val="13"/>
              </w:rPr>
              <w:t>1,895,149</w:t>
            </w:r>
          </w:p>
        </w:tc>
      </w:tr>
      <w:tr>
        <w:trPr>
          <w:trHeight w:val="165" w:hRule="atLeast"/>
        </w:trPr>
        <w:tc>
          <w:tcPr>
            <w:tcW w:w="553" w:type="dxa"/>
          </w:tcPr>
          <w:p>
            <w:pPr>
              <w:pStyle w:val="TableParagraph"/>
              <w:rPr>
                <w:rFonts w:ascii="Times New Roman"/>
                <w:sz w:val="10"/>
              </w:rPr>
            </w:pPr>
          </w:p>
        </w:tc>
        <w:tc>
          <w:tcPr>
            <w:tcW w:w="3231" w:type="dxa"/>
          </w:tcPr>
          <w:p>
            <w:pPr>
              <w:pStyle w:val="TableParagraph"/>
              <w:spacing w:line="139" w:lineRule="exact" w:before="6"/>
              <w:ind w:left="68"/>
              <w:rPr>
                <w:sz w:val="13"/>
              </w:rPr>
            </w:pPr>
            <w:r>
              <w:rPr>
                <w:sz w:val="13"/>
              </w:rPr>
              <w:t>Accumulated</w:t>
            </w:r>
            <w:r>
              <w:rPr>
                <w:spacing w:val="5"/>
                <w:sz w:val="13"/>
              </w:rPr>
              <w:t> </w:t>
            </w:r>
            <w:r>
              <w:rPr>
                <w:spacing w:val="-2"/>
                <w:sz w:val="13"/>
              </w:rPr>
              <w:t>depreciation</w:t>
            </w:r>
          </w:p>
        </w:tc>
        <w:tc>
          <w:tcPr>
            <w:tcW w:w="596" w:type="dxa"/>
          </w:tcPr>
          <w:p>
            <w:pPr>
              <w:pStyle w:val="TableParagraph"/>
              <w:rPr>
                <w:rFonts w:ascii="Times New Roman"/>
                <w:sz w:val="10"/>
              </w:rPr>
            </w:pPr>
          </w:p>
        </w:tc>
        <w:tc>
          <w:tcPr>
            <w:tcW w:w="984" w:type="dxa"/>
          </w:tcPr>
          <w:p>
            <w:pPr>
              <w:pStyle w:val="TableParagraph"/>
              <w:spacing w:line="139" w:lineRule="exact" w:before="6"/>
              <w:ind w:right="80"/>
              <w:jc w:val="right"/>
              <w:rPr>
                <w:sz w:val="13"/>
              </w:rPr>
            </w:pPr>
            <w:r>
              <w:rPr>
                <w:spacing w:val="-10"/>
                <w:sz w:val="13"/>
              </w:rPr>
              <w:t>-</w:t>
            </w:r>
          </w:p>
        </w:tc>
        <w:tc>
          <w:tcPr>
            <w:tcW w:w="938" w:type="dxa"/>
          </w:tcPr>
          <w:p>
            <w:pPr>
              <w:pStyle w:val="TableParagraph"/>
              <w:spacing w:line="139" w:lineRule="exact" w:before="6"/>
              <w:ind w:right="92"/>
              <w:jc w:val="right"/>
              <w:rPr>
                <w:sz w:val="13"/>
              </w:rPr>
            </w:pPr>
            <w:r>
              <w:rPr>
                <w:spacing w:val="-10"/>
                <w:sz w:val="13"/>
              </w:rPr>
              <w:t>-</w:t>
            </w:r>
          </w:p>
        </w:tc>
        <w:tc>
          <w:tcPr>
            <w:tcW w:w="933" w:type="dxa"/>
          </w:tcPr>
          <w:p>
            <w:pPr>
              <w:pStyle w:val="TableParagraph"/>
              <w:spacing w:line="139" w:lineRule="exact" w:before="6"/>
              <w:ind w:right="99"/>
              <w:jc w:val="right"/>
              <w:rPr>
                <w:sz w:val="13"/>
              </w:rPr>
            </w:pPr>
            <w:r>
              <w:rPr>
                <w:spacing w:val="-2"/>
                <w:sz w:val="13"/>
              </w:rPr>
              <w:t>(259,552)</w:t>
            </w:r>
          </w:p>
        </w:tc>
        <w:tc>
          <w:tcPr>
            <w:tcW w:w="900" w:type="dxa"/>
          </w:tcPr>
          <w:p>
            <w:pPr>
              <w:pStyle w:val="TableParagraph"/>
              <w:spacing w:line="139" w:lineRule="exact" w:before="6"/>
              <w:ind w:right="73"/>
              <w:jc w:val="right"/>
              <w:rPr>
                <w:sz w:val="13"/>
              </w:rPr>
            </w:pPr>
            <w:r>
              <w:rPr>
                <w:spacing w:val="-10"/>
                <w:sz w:val="13"/>
              </w:rPr>
              <w:t>-</w:t>
            </w:r>
          </w:p>
        </w:tc>
        <w:tc>
          <w:tcPr>
            <w:tcW w:w="949" w:type="dxa"/>
          </w:tcPr>
          <w:p>
            <w:pPr>
              <w:pStyle w:val="TableParagraph"/>
              <w:spacing w:line="139" w:lineRule="exact" w:before="6"/>
              <w:ind w:right="96"/>
              <w:jc w:val="right"/>
              <w:rPr>
                <w:sz w:val="13"/>
              </w:rPr>
            </w:pPr>
            <w:r>
              <w:rPr>
                <w:spacing w:val="-2"/>
                <w:sz w:val="13"/>
              </w:rPr>
              <w:t>(224,489)</w:t>
            </w:r>
          </w:p>
        </w:tc>
        <w:tc>
          <w:tcPr>
            <w:tcW w:w="955" w:type="dxa"/>
          </w:tcPr>
          <w:p>
            <w:pPr>
              <w:pStyle w:val="TableParagraph"/>
              <w:spacing w:line="139" w:lineRule="exact" w:before="6"/>
              <w:ind w:right="126"/>
              <w:jc w:val="right"/>
              <w:rPr>
                <w:sz w:val="13"/>
              </w:rPr>
            </w:pPr>
            <w:r>
              <w:rPr>
                <w:spacing w:val="-10"/>
                <w:sz w:val="13"/>
              </w:rPr>
              <w:t>-</w:t>
            </w:r>
          </w:p>
        </w:tc>
        <w:tc>
          <w:tcPr>
            <w:tcW w:w="859" w:type="dxa"/>
          </w:tcPr>
          <w:p>
            <w:pPr>
              <w:pStyle w:val="TableParagraph"/>
              <w:spacing w:line="139" w:lineRule="exact" w:before="6"/>
              <w:ind w:right="58"/>
              <w:jc w:val="right"/>
              <w:rPr>
                <w:sz w:val="13"/>
              </w:rPr>
            </w:pPr>
            <w:r>
              <w:rPr>
                <w:spacing w:val="-2"/>
                <w:sz w:val="13"/>
              </w:rPr>
              <w:t>(8,703)</w:t>
            </w:r>
          </w:p>
        </w:tc>
        <w:tc>
          <w:tcPr>
            <w:tcW w:w="930" w:type="dxa"/>
          </w:tcPr>
          <w:p>
            <w:pPr>
              <w:pStyle w:val="TableParagraph"/>
              <w:spacing w:line="139" w:lineRule="exact" w:before="6"/>
              <w:ind w:right="63"/>
              <w:jc w:val="right"/>
              <w:rPr>
                <w:sz w:val="13"/>
              </w:rPr>
            </w:pPr>
            <w:r>
              <w:rPr>
                <w:spacing w:val="-2"/>
                <w:sz w:val="13"/>
              </w:rPr>
              <w:t>(905)</w:t>
            </w:r>
          </w:p>
        </w:tc>
        <w:tc>
          <w:tcPr>
            <w:tcW w:w="996" w:type="dxa"/>
          </w:tcPr>
          <w:p>
            <w:pPr>
              <w:pStyle w:val="TableParagraph"/>
              <w:spacing w:line="139" w:lineRule="exact" w:before="6"/>
              <w:ind w:right="133"/>
              <w:jc w:val="right"/>
              <w:rPr>
                <w:sz w:val="13"/>
              </w:rPr>
            </w:pPr>
            <w:r>
              <w:rPr>
                <w:spacing w:val="-10"/>
                <w:sz w:val="13"/>
              </w:rPr>
              <w:t>-</w:t>
            </w:r>
          </w:p>
        </w:tc>
        <w:tc>
          <w:tcPr>
            <w:tcW w:w="805" w:type="dxa"/>
          </w:tcPr>
          <w:p>
            <w:pPr>
              <w:pStyle w:val="TableParagraph"/>
              <w:spacing w:line="139" w:lineRule="exact" w:before="6"/>
              <w:ind w:right="12"/>
              <w:jc w:val="right"/>
              <w:rPr>
                <w:sz w:val="13"/>
              </w:rPr>
            </w:pPr>
            <w:r>
              <w:rPr>
                <w:spacing w:val="-2"/>
                <w:sz w:val="13"/>
              </w:rPr>
              <w:t>(493,649)</w:t>
            </w:r>
          </w:p>
        </w:tc>
      </w:tr>
      <w:tr>
        <w:trPr>
          <w:trHeight w:val="156" w:hRule="atLeast"/>
        </w:trPr>
        <w:tc>
          <w:tcPr>
            <w:tcW w:w="553" w:type="dxa"/>
          </w:tcPr>
          <w:p>
            <w:pPr>
              <w:pStyle w:val="TableParagraph"/>
              <w:rPr>
                <w:rFonts w:ascii="Times New Roman"/>
                <w:sz w:val="10"/>
              </w:rPr>
            </w:pPr>
          </w:p>
        </w:tc>
        <w:tc>
          <w:tcPr>
            <w:tcW w:w="3231" w:type="dxa"/>
          </w:tcPr>
          <w:p>
            <w:pPr>
              <w:pStyle w:val="TableParagraph"/>
              <w:spacing w:line="129" w:lineRule="exact" w:before="6"/>
              <w:ind w:left="68"/>
              <w:rPr>
                <w:sz w:val="13"/>
              </w:rPr>
            </w:pPr>
            <w:r>
              <w:rPr>
                <w:sz w:val="13"/>
              </w:rPr>
              <w:t>Accumulated</w:t>
            </w:r>
            <w:r>
              <w:rPr>
                <w:spacing w:val="5"/>
                <w:sz w:val="13"/>
              </w:rPr>
              <w:t> </w:t>
            </w:r>
            <w:r>
              <w:rPr>
                <w:spacing w:val="-2"/>
                <w:sz w:val="13"/>
              </w:rPr>
              <w:t>impairment</w:t>
            </w:r>
          </w:p>
        </w:tc>
        <w:tc>
          <w:tcPr>
            <w:tcW w:w="596" w:type="dxa"/>
          </w:tcPr>
          <w:p>
            <w:pPr>
              <w:pStyle w:val="TableParagraph"/>
              <w:rPr>
                <w:rFonts w:ascii="Times New Roman"/>
                <w:sz w:val="10"/>
              </w:rPr>
            </w:pPr>
          </w:p>
        </w:tc>
        <w:tc>
          <w:tcPr>
            <w:tcW w:w="984" w:type="dxa"/>
            <w:tcBorders>
              <w:bottom w:val="single" w:sz="6" w:space="0" w:color="000000"/>
            </w:tcBorders>
          </w:tcPr>
          <w:p>
            <w:pPr>
              <w:pStyle w:val="TableParagraph"/>
              <w:spacing w:line="132" w:lineRule="exact" w:before="6"/>
              <w:ind w:right="79"/>
              <w:jc w:val="right"/>
              <w:rPr>
                <w:sz w:val="13"/>
              </w:rPr>
            </w:pPr>
            <w:r>
              <w:rPr>
                <w:spacing w:val="-2"/>
                <w:sz w:val="13"/>
              </w:rPr>
              <w:t>(2,143)</w:t>
            </w:r>
          </w:p>
        </w:tc>
        <w:tc>
          <w:tcPr>
            <w:tcW w:w="938" w:type="dxa"/>
            <w:tcBorders>
              <w:bottom w:val="single" w:sz="6" w:space="0" w:color="000000"/>
            </w:tcBorders>
          </w:tcPr>
          <w:p>
            <w:pPr>
              <w:pStyle w:val="TableParagraph"/>
              <w:spacing w:line="132" w:lineRule="exact" w:before="6"/>
              <w:ind w:right="92"/>
              <w:jc w:val="right"/>
              <w:rPr>
                <w:sz w:val="13"/>
              </w:rPr>
            </w:pPr>
            <w:r>
              <w:rPr>
                <w:spacing w:val="-10"/>
                <w:sz w:val="13"/>
              </w:rPr>
              <w:t>-</w:t>
            </w:r>
          </w:p>
        </w:tc>
        <w:tc>
          <w:tcPr>
            <w:tcW w:w="933" w:type="dxa"/>
            <w:tcBorders>
              <w:bottom w:val="single" w:sz="6" w:space="0" w:color="000000"/>
            </w:tcBorders>
          </w:tcPr>
          <w:p>
            <w:pPr>
              <w:pStyle w:val="TableParagraph"/>
              <w:spacing w:line="132" w:lineRule="exact" w:before="6"/>
              <w:ind w:right="99"/>
              <w:jc w:val="right"/>
              <w:rPr>
                <w:sz w:val="13"/>
              </w:rPr>
            </w:pPr>
            <w:r>
              <w:rPr>
                <w:spacing w:val="-2"/>
                <w:sz w:val="13"/>
              </w:rPr>
              <w:t>(14,362)</w:t>
            </w:r>
          </w:p>
        </w:tc>
        <w:tc>
          <w:tcPr>
            <w:tcW w:w="900" w:type="dxa"/>
            <w:tcBorders>
              <w:bottom w:val="single" w:sz="6" w:space="0" w:color="000000"/>
            </w:tcBorders>
          </w:tcPr>
          <w:p>
            <w:pPr>
              <w:pStyle w:val="TableParagraph"/>
              <w:spacing w:line="132" w:lineRule="exact" w:before="6"/>
              <w:ind w:right="73"/>
              <w:jc w:val="right"/>
              <w:rPr>
                <w:sz w:val="13"/>
              </w:rPr>
            </w:pPr>
            <w:r>
              <w:rPr>
                <w:spacing w:val="-2"/>
                <w:sz w:val="13"/>
              </w:rPr>
              <w:t>(874)</w:t>
            </w:r>
          </w:p>
        </w:tc>
        <w:tc>
          <w:tcPr>
            <w:tcW w:w="949" w:type="dxa"/>
            <w:tcBorders>
              <w:bottom w:val="single" w:sz="6" w:space="0" w:color="000000"/>
            </w:tcBorders>
          </w:tcPr>
          <w:p>
            <w:pPr>
              <w:pStyle w:val="TableParagraph"/>
              <w:spacing w:line="132" w:lineRule="exact" w:before="6"/>
              <w:ind w:right="96"/>
              <w:jc w:val="right"/>
              <w:rPr>
                <w:sz w:val="13"/>
              </w:rPr>
            </w:pPr>
            <w:r>
              <w:rPr>
                <w:spacing w:val="-10"/>
                <w:sz w:val="13"/>
              </w:rPr>
              <w:t>-</w:t>
            </w:r>
          </w:p>
        </w:tc>
        <w:tc>
          <w:tcPr>
            <w:tcW w:w="955" w:type="dxa"/>
            <w:tcBorders>
              <w:bottom w:val="single" w:sz="6" w:space="0" w:color="000000"/>
            </w:tcBorders>
          </w:tcPr>
          <w:p>
            <w:pPr>
              <w:pStyle w:val="TableParagraph"/>
              <w:spacing w:line="132" w:lineRule="exact" w:before="6"/>
              <w:ind w:right="126"/>
              <w:jc w:val="right"/>
              <w:rPr>
                <w:sz w:val="13"/>
              </w:rPr>
            </w:pPr>
            <w:r>
              <w:rPr>
                <w:spacing w:val="-10"/>
                <w:sz w:val="13"/>
              </w:rPr>
              <w:t>-</w:t>
            </w:r>
          </w:p>
        </w:tc>
        <w:tc>
          <w:tcPr>
            <w:tcW w:w="859" w:type="dxa"/>
            <w:tcBorders>
              <w:bottom w:val="single" w:sz="6" w:space="0" w:color="000000"/>
            </w:tcBorders>
          </w:tcPr>
          <w:p>
            <w:pPr>
              <w:pStyle w:val="TableParagraph"/>
              <w:spacing w:line="132" w:lineRule="exact" w:before="6"/>
              <w:ind w:right="59"/>
              <w:jc w:val="right"/>
              <w:rPr>
                <w:sz w:val="13"/>
              </w:rPr>
            </w:pPr>
            <w:r>
              <w:rPr>
                <w:spacing w:val="-10"/>
                <w:sz w:val="13"/>
              </w:rPr>
              <w:t>-</w:t>
            </w:r>
          </w:p>
        </w:tc>
        <w:tc>
          <w:tcPr>
            <w:tcW w:w="930" w:type="dxa"/>
            <w:tcBorders>
              <w:bottom w:val="single" w:sz="6" w:space="0" w:color="000000"/>
            </w:tcBorders>
          </w:tcPr>
          <w:p>
            <w:pPr>
              <w:pStyle w:val="TableParagraph"/>
              <w:spacing w:line="132" w:lineRule="exact" w:before="6"/>
              <w:ind w:right="63"/>
              <w:jc w:val="right"/>
              <w:rPr>
                <w:sz w:val="13"/>
              </w:rPr>
            </w:pPr>
            <w:r>
              <w:rPr>
                <w:spacing w:val="-10"/>
                <w:sz w:val="13"/>
              </w:rPr>
              <w:t>-</w:t>
            </w:r>
          </w:p>
        </w:tc>
        <w:tc>
          <w:tcPr>
            <w:tcW w:w="996" w:type="dxa"/>
            <w:tcBorders>
              <w:bottom w:val="single" w:sz="6" w:space="0" w:color="000000"/>
            </w:tcBorders>
          </w:tcPr>
          <w:p>
            <w:pPr>
              <w:pStyle w:val="TableParagraph"/>
              <w:spacing w:line="132" w:lineRule="exact" w:before="6"/>
              <w:ind w:right="133"/>
              <w:jc w:val="right"/>
              <w:rPr>
                <w:sz w:val="13"/>
              </w:rPr>
            </w:pPr>
            <w:r>
              <w:rPr>
                <w:spacing w:val="-2"/>
                <w:sz w:val="13"/>
              </w:rPr>
              <w:t>(21,018)</w:t>
            </w:r>
          </w:p>
        </w:tc>
        <w:tc>
          <w:tcPr>
            <w:tcW w:w="805" w:type="dxa"/>
            <w:tcBorders>
              <w:bottom w:val="single" w:sz="6" w:space="0" w:color="000000"/>
            </w:tcBorders>
          </w:tcPr>
          <w:p>
            <w:pPr>
              <w:pStyle w:val="TableParagraph"/>
              <w:spacing w:line="132" w:lineRule="exact" w:before="6"/>
              <w:ind w:right="12"/>
              <w:jc w:val="right"/>
              <w:rPr>
                <w:sz w:val="13"/>
              </w:rPr>
            </w:pPr>
            <w:r>
              <w:rPr>
                <w:spacing w:val="-2"/>
                <w:sz w:val="13"/>
              </w:rPr>
              <w:t>(38,397)</w:t>
            </w:r>
          </w:p>
        </w:tc>
      </w:tr>
      <w:tr>
        <w:trPr>
          <w:trHeight w:val="143" w:hRule="atLeast"/>
        </w:trPr>
        <w:tc>
          <w:tcPr>
            <w:tcW w:w="553" w:type="dxa"/>
            <w:tcBorders>
              <w:bottom w:val="single" w:sz="12" w:space="0" w:color="000000"/>
            </w:tcBorders>
          </w:tcPr>
          <w:p>
            <w:pPr>
              <w:pStyle w:val="TableParagraph"/>
              <w:rPr>
                <w:rFonts w:ascii="Times New Roman"/>
                <w:sz w:val="8"/>
              </w:rPr>
            </w:pPr>
          </w:p>
        </w:tc>
        <w:tc>
          <w:tcPr>
            <w:tcW w:w="3231" w:type="dxa"/>
            <w:tcBorders>
              <w:bottom w:val="single" w:sz="12" w:space="0" w:color="000000"/>
            </w:tcBorders>
          </w:tcPr>
          <w:p>
            <w:pPr>
              <w:pStyle w:val="TableParagraph"/>
              <w:spacing w:line="124" w:lineRule="exact"/>
              <w:ind w:left="68"/>
              <w:rPr>
                <w:b/>
                <w:sz w:val="13"/>
              </w:rPr>
            </w:pPr>
            <w:r>
              <w:rPr>
                <w:b/>
                <w:sz w:val="13"/>
              </w:rPr>
              <w:t>Net</w:t>
            </w:r>
            <w:r>
              <w:rPr>
                <w:b/>
                <w:spacing w:val="1"/>
                <w:sz w:val="13"/>
              </w:rPr>
              <w:t> </w:t>
            </w:r>
            <w:r>
              <w:rPr>
                <w:b/>
                <w:sz w:val="13"/>
              </w:rPr>
              <w:t>book</w:t>
            </w:r>
            <w:r>
              <w:rPr>
                <w:b/>
                <w:spacing w:val="1"/>
                <w:sz w:val="13"/>
              </w:rPr>
              <w:t> </w:t>
            </w:r>
            <w:r>
              <w:rPr>
                <w:b/>
                <w:spacing w:val="-2"/>
                <w:sz w:val="13"/>
              </w:rPr>
              <w:t>value</w:t>
            </w:r>
          </w:p>
        </w:tc>
        <w:tc>
          <w:tcPr>
            <w:tcW w:w="596" w:type="dxa"/>
            <w:tcBorders>
              <w:bottom w:val="single" w:sz="12" w:space="0" w:color="000000"/>
            </w:tcBorders>
          </w:tcPr>
          <w:p>
            <w:pPr>
              <w:pStyle w:val="TableParagraph"/>
              <w:rPr>
                <w:rFonts w:ascii="Times New Roman"/>
                <w:sz w:val="8"/>
              </w:rPr>
            </w:pPr>
          </w:p>
        </w:tc>
        <w:tc>
          <w:tcPr>
            <w:tcW w:w="984" w:type="dxa"/>
            <w:tcBorders>
              <w:top w:val="single" w:sz="6" w:space="0" w:color="000000"/>
              <w:bottom w:val="single" w:sz="12" w:space="0" w:color="000000"/>
            </w:tcBorders>
          </w:tcPr>
          <w:p>
            <w:pPr>
              <w:pStyle w:val="TableParagraph"/>
              <w:spacing w:line="120" w:lineRule="exact" w:before="1"/>
              <w:ind w:right="124"/>
              <w:jc w:val="right"/>
              <w:rPr>
                <w:b/>
                <w:sz w:val="13"/>
              </w:rPr>
            </w:pPr>
            <w:r>
              <w:rPr>
                <w:b/>
                <w:spacing w:val="-2"/>
                <w:sz w:val="13"/>
              </w:rPr>
              <w:t>184,932</w:t>
            </w:r>
          </w:p>
        </w:tc>
        <w:tc>
          <w:tcPr>
            <w:tcW w:w="938" w:type="dxa"/>
            <w:tcBorders>
              <w:top w:val="single" w:sz="6" w:space="0" w:color="000000"/>
              <w:bottom w:val="single" w:sz="12" w:space="0" w:color="000000"/>
            </w:tcBorders>
          </w:tcPr>
          <w:p>
            <w:pPr>
              <w:pStyle w:val="TableParagraph"/>
              <w:spacing w:line="120" w:lineRule="exact" w:before="1"/>
              <w:ind w:right="136"/>
              <w:jc w:val="right"/>
              <w:rPr>
                <w:b/>
                <w:sz w:val="13"/>
              </w:rPr>
            </w:pPr>
            <w:r>
              <w:rPr>
                <w:b/>
                <w:spacing w:val="-2"/>
                <w:sz w:val="13"/>
              </w:rPr>
              <w:t>80,000</w:t>
            </w:r>
          </w:p>
        </w:tc>
        <w:tc>
          <w:tcPr>
            <w:tcW w:w="933" w:type="dxa"/>
            <w:tcBorders>
              <w:top w:val="single" w:sz="6" w:space="0" w:color="000000"/>
              <w:bottom w:val="single" w:sz="12" w:space="0" w:color="000000"/>
            </w:tcBorders>
          </w:tcPr>
          <w:p>
            <w:pPr>
              <w:pStyle w:val="TableParagraph"/>
              <w:spacing w:line="120" w:lineRule="exact" w:before="1"/>
              <w:ind w:left="308"/>
              <w:rPr>
                <w:b/>
                <w:sz w:val="13"/>
              </w:rPr>
            </w:pPr>
            <w:r>
              <w:rPr>
                <w:b/>
                <w:spacing w:val="-2"/>
                <w:sz w:val="13"/>
              </w:rPr>
              <w:t>924,787</w:t>
            </w:r>
          </w:p>
        </w:tc>
        <w:tc>
          <w:tcPr>
            <w:tcW w:w="900" w:type="dxa"/>
            <w:tcBorders>
              <w:top w:val="single" w:sz="6" w:space="0" w:color="000000"/>
              <w:bottom w:val="single" w:sz="12" w:space="0" w:color="000000"/>
            </w:tcBorders>
          </w:tcPr>
          <w:p>
            <w:pPr>
              <w:pStyle w:val="TableParagraph"/>
              <w:spacing w:line="120" w:lineRule="exact" w:before="1"/>
              <w:ind w:right="117"/>
              <w:jc w:val="right"/>
              <w:rPr>
                <w:b/>
                <w:sz w:val="13"/>
              </w:rPr>
            </w:pPr>
            <w:r>
              <w:rPr>
                <w:b/>
                <w:spacing w:val="-2"/>
                <w:sz w:val="13"/>
              </w:rPr>
              <w:t>34,378</w:t>
            </w:r>
          </w:p>
        </w:tc>
        <w:tc>
          <w:tcPr>
            <w:tcW w:w="949" w:type="dxa"/>
            <w:tcBorders>
              <w:top w:val="single" w:sz="6" w:space="0" w:color="000000"/>
              <w:bottom w:val="single" w:sz="12" w:space="0" w:color="000000"/>
            </w:tcBorders>
          </w:tcPr>
          <w:p>
            <w:pPr>
              <w:pStyle w:val="TableParagraph"/>
              <w:spacing w:line="120" w:lineRule="exact" w:before="1"/>
              <w:ind w:right="141"/>
              <w:jc w:val="right"/>
              <w:rPr>
                <w:b/>
                <w:sz w:val="13"/>
              </w:rPr>
            </w:pPr>
            <w:r>
              <w:rPr>
                <w:b/>
                <w:spacing w:val="-2"/>
                <w:sz w:val="13"/>
              </w:rPr>
              <w:t>59,349</w:t>
            </w:r>
          </w:p>
        </w:tc>
        <w:tc>
          <w:tcPr>
            <w:tcW w:w="955" w:type="dxa"/>
            <w:tcBorders>
              <w:top w:val="single" w:sz="6" w:space="0" w:color="000000"/>
              <w:bottom w:val="single" w:sz="12" w:space="0" w:color="000000"/>
            </w:tcBorders>
          </w:tcPr>
          <w:p>
            <w:pPr>
              <w:pStyle w:val="TableParagraph"/>
              <w:spacing w:line="120" w:lineRule="exact" w:before="1"/>
              <w:ind w:right="170"/>
              <w:jc w:val="right"/>
              <w:rPr>
                <w:b/>
                <w:sz w:val="13"/>
              </w:rPr>
            </w:pPr>
            <w:r>
              <w:rPr>
                <w:b/>
                <w:spacing w:val="-2"/>
                <w:sz w:val="13"/>
              </w:rPr>
              <w:t>29,764</w:t>
            </w:r>
          </w:p>
        </w:tc>
        <w:tc>
          <w:tcPr>
            <w:tcW w:w="859" w:type="dxa"/>
            <w:tcBorders>
              <w:top w:val="single" w:sz="6" w:space="0" w:color="000000"/>
              <w:bottom w:val="single" w:sz="12" w:space="0" w:color="000000"/>
            </w:tcBorders>
          </w:tcPr>
          <w:p>
            <w:pPr>
              <w:pStyle w:val="TableParagraph"/>
              <w:spacing w:line="120" w:lineRule="exact" w:before="1"/>
              <w:ind w:right="103"/>
              <w:jc w:val="right"/>
              <w:rPr>
                <w:b/>
                <w:sz w:val="13"/>
              </w:rPr>
            </w:pPr>
            <w:r>
              <w:rPr>
                <w:b/>
                <w:spacing w:val="-2"/>
                <w:sz w:val="13"/>
              </w:rPr>
              <w:t>2,353</w:t>
            </w:r>
          </w:p>
        </w:tc>
        <w:tc>
          <w:tcPr>
            <w:tcW w:w="930" w:type="dxa"/>
            <w:tcBorders>
              <w:top w:val="single" w:sz="6" w:space="0" w:color="000000"/>
              <w:bottom w:val="single" w:sz="12" w:space="0" w:color="000000"/>
            </w:tcBorders>
          </w:tcPr>
          <w:p>
            <w:pPr>
              <w:pStyle w:val="TableParagraph"/>
              <w:spacing w:line="120" w:lineRule="exact" w:before="1"/>
              <w:ind w:right="107"/>
              <w:jc w:val="right"/>
              <w:rPr>
                <w:b/>
                <w:sz w:val="13"/>
              </w:rPr>
            </w:pPr>
            <w:r>
              <w:rPr>
                <w:b/>
                <w:spacing w:val="-2"/>
                <w:sz w:val="13"/>
              </w:rPr>
              <w:t>1,324</w:t>
            </w:r>
          </w:p>
        </w:tc>
        <w:tc>
          <w:tcPr>
            <w:tcW w:w="996" w:type="dxa"/>
            <w:tcBorders>
              <w:top w:val="single" w:sz="6" w:space="0" w:color="000000"/>
              <w:bottom w:val="single" w:sz="12" w:space="0" w:color="000000"/>
            </w:tcBorders>
          </w:tcPr>
          <w:p>
            <w:pPr>
              <w:pStyle w:val="TableParagraph"/>
              <w:spacing w:line="120" w:lineRule="exact" w:before="1"/>
              <w:ind w:right="177"/>
              <w:jc w:val="right"/>
              <w:rPr>
                <w:b/>
                <w:sz w:val="13"/>
              </w:rPr>
            </w:pPr>
            <w:r>
              <w:rPr>
                <w:b/>
                <w:spacing w:val="-2"/>
                <w:sz w:val="13"/>
              </w:rPr>
              <w:t>46,216</w:t>
            </w:r>
          </w:p>
        </w:tc>
        <w:tc>
          <w:tcPr>
            <w:tcW w:w="805" w:type="dxa"/>
            <w:tcBorders>
              <w:top w:val="single" w:sz="6" w:space="0" w:color="000000"/>
              <w:bottom w:val="single" w:sz="12" w:space="0" w:color="000000"/>
            </w:tcBorders>
          </w:tcPr>
          <w:p>
            <w:pPr>
              <w:pStyle w:val="TableParagraph"/>
              <w:spacing w:line="120" w:lineRule="exact" w:before="1"/>
              <w:ind w:left="158"/>
              <w:rPr>
                <w:b/>
                <w:sz w:val="13"/>
              </w:rPr>
            </w:pPr>
            <w:r>
              <w:rPr>
                <w:b/>
                <w:spacing w:val="-2"/>
                <w:sz w:val="13"/>
              </w:rPr>
              <w:t>1,363,103</w:t>
            </w:r>
          </w:p>
        </w:tc>
      </w:tr>
    </w:tbl>
    <w:p>
      <w:pPr>
        <w:spacing w:after="0" w:line="120" w:lineRule="exact"/>
        <w:rPr>
          <w:sz w:val="13"/>
        </w:rPr>
        <w:sectPr>
          <w:headerReference w:type="even" r:id="rId111"/>
          <w:pgSz w:w="16840" w:h="11910" w:orient="landscape"/>
          <w:pgMar w:header="0" w:footer="0" w:top="1040" w:bottom="280" w:left="1160" w:right="1820"/>
        </w:sectPr>
      </w:pPr>
    </w:p>
    <w:p>
      <w:pPr>
        <w:spacing w:before="81"/>
        <w:ind w:left="144" w:right="0" w:firstLine="0"/>
        <w:jc w:val="left"/>
        <w:rPr>
          <w:sz w:val="22"/>
        </w:rPr>
      </w:pPr>
      <w:r>
        <w:rPr/>
        <mc:AlternateContent>
          <mc:Choice Requires="wps">
            <w:drawing>
              <wp:anchor distT="0" distB="0" distL="0" distR="0" allowOverlap="1" layoutInCell="1" locked="0" behindDoc="0" simplePos="0" relativeHeight="15894016">
                <wp:simplePos x="0" y="0"/>
                <wp:positionH relativeFrom="page">
                  <wp:posOffset>7111289</wp:posOffset>
                </wp:positionH>
                <wp:positionV relativeFrom="page">
                  <wp:posOffset>8040241</wp:posOffset>
                </wp:positionV>
                <wp:extent cx="177800" cy="1945005"/>
                <wp:effectExtent l="0" t="0" r="0" b="0"/>
                <wp:wrapNone/>
                <wp:docPr id="938" name="Textbox 938"/>
                <wp:cNvGraphicFramePr>
                  <a:graphicFrameLocks/>
                </wp:cNvGraphicFramePr>
                <a:graphic>
                  <a:graphicData uri="http://schemas.microsoft.com/office/word/2010/wordprocessingShape">
                    <wps:wsp>
                      <wps:cNvPr id="938" name="Textbox 938"/>
                      <wps:cNvSpPr txBox="1"/>
                      <wps:spPr>
                        <a:xfrm>
                          <a:off x="0" y="0"/>
                          <a:ext cx="177800" cy="194500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633.089905pt;width:14pt;height:153.15pt;mso-position-horizontal-relative:page;mso-position-vertical-relative:page;z-index:15894016" type="#_x0000_t202" id="docshape631"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v:textbox>
                <w10:wrap type="none"/>
              </v:shape>
            </w:pict>
          </mc:Fallback>
        </mc:AlternateContent>
      </w:r>
      <w:r>
        <w:rPr>
          <w:color w:val="0070C0"/>
          <w:sz w:val="22"/>
        </w:rPr>
        <w:t>NOTES</w:t>
      </w:r>
      <w:r>
        <w:rPr>
          <w:color w:val="0070C0"/>
          <w:spacing w:val="-9"/>
          <w:sz w:val="22"/>
        </w:rPr>
        <w:t> </w:t>
      </w:r>
      <w:r>
        <w:rPr>
          <w:color w:val="0070C0"/>
          <w:sz w:val="22"/>
        </w:rPr>
        <w:t>TO</w:t>
      </w:r>
      <w:r>
        <w:rPr>
          <w:color w:val="0070C0"/>
          <w:spacing w:val="-9"/>
          <w:sz w:val="22"/>
        </w:rPr>
        <w:t> </w:t>
      </w:r>
      <w:r>
        <w:rPr>
          <w:color w:val="0070C0"/>
          <w:sz w:val="22"/>
        </w:rPr>
        <w:t>THE</w:t>
      </w:r>
      <w:r>
        <w:rPr>
          <w:color w:val="0070C0"/>
          <w:spacing w:val="-9"/>
          <w:sz w:val="22"/>
        </w:rPr>
        <w:t> </w:t>
      </w:r>
      <w:r>
        <w:rPr>
          <w:color w:val="0070C0"/>
          <w:sz w:val="22"/>
        </w:rPr>
        <w:t>FINANCIAL</w:t>
      </w:r>
      <w:r>
        <w:rPr>
          <w:color w:val="0070C0"/>
          <w:spacing w:val="-9"/>
          <w:sz w:val="22"/>
        </w:rPr>
        <w:t> </w:t>
      </w:r>
      <w:r>
        <w:rPr>
          <w:color w:val="0070C0"/>
          <w:spacing w:val="-2"/>
          <w:sz w:val="22"/>
        </w:rPr>
        <w:t>STATEMENTS</w:t>
      </w:r>
    </w:p>
    <w:p>
      <w:pPr>
        <w:spacing w:before="31"/>
        <w:ind w:left="131" w:right="0" w:firstLine="0"/>
        <w:jc w:val="left"/>
        <w:rPr>
          <w:sz w:val="12"/>
        </w:rPr>
      </w:pPr>
      <w:r>
        <w:rPr>
          <w:w w:val="105"/>
          <w:sz w:val="12"/>
        </w:rPr>
        <w:t>for</w:t>
      </w:r>
      <w:r>
        <w:rPr>
          <w:spacing w:val="-8"/>
          <w:w w:val="105"/>
          <w:sz w:val="12"/>
        </w:rPr>
        <w:t> </w:t>
      </w:r>
      <w:r>
        <w:rPr>
          <w:w w:val="105"/>
          <w:sz w:val="12"/>
        </w:rPr>
        <w:t>the</w:t>
      </w:r>
      <w:r>
        <w:rPr>
          <w:spacing w:val="-9"/>
          <w:w w:val="105"/>
          <w:sz w:val="12"/>
        </w:rPr>
        <w:t> </w:t>
      </w:r>
      <w:r>
        <w:rPr>
          <w:w w:val="105"/>
          <w:sz w:val="12"/>
        </w:rPr>
        <w:t>year</w:t>
      </w:r>
      <w:r>
        <w:rPr>
          <w:spacing w:val="-8"/>
          <w:w w:val="105"/>
          <w:sz w:val="12"/>
        </w:rPr>
        <w:t> </w:t>
      </w:r>
      <w:r>
        <w:rPr>
          <w:w w:val="105"/>
          <w:sz w:val="12"/>
        </w:rPr>
        <w:t>ended</w:t>
      </w:r>
      <w:r>
        <w:rPr>
          <w:spacing w:val="-8"/>
          <w:w w:val="105"/>
          <w:sz w:val="12"/>
        </w:rPr>
        <w:t> </w:t>
      </w:r>
      <w:r>
        <w:rPr>
          <w:w w:val="105"/>
          <w:sz w:val="12"/>
        </w:rPr>
        <w:t>31</w:t>
      </w:r>
      <w:r>
        <w:rPr>
          <w:spacing w:val="-9"/>
          <w:w w:val="105"/>
          <w:sz w:val="12"/>
        </w:rPr>
        <w:t> </w:t>
      </w:r>
      <w:r>
        <w:rPr>
          <w:w w:val="105"/>
          <w:sz w:val="12"/>
        </w:rPr>
        <w:t>December</w:t>
      </w:r>
      <w:r>
        <w:rPr>
          <w:spacing w:val="-8"/>
          <w:w w:val="105"/>
          <w:sz w:val="12"/>
        </w:rPr>
        <w:t> </w:t>
      </w:r>
      <w:r>
        <w:rPr>
          <w:spacing w:val="-4"/>
          <w:w w:val="105"/>
          <w:sz w:val="12"/>
        </w:rPr>
        <w:t>2020</w:t>
      </w:r>
    </w:p>
    <w:p>
      <w:pPr>
        <w:spacing w:line="240" w:lineRule="auto" w:before="30"/>
        <w:rPr>
          <w:sz w:val="13"/>
        </w:rPr>
      </w:pPr>
    </w:p>
    <w:p>
      <w:pPr>
        <w:spacing w:before="0"/>
        <w:ind w:left="741" w:right="0" w:firstLine="0"/>
        <w:jc w:val="both"/>
        <w:rPr>
          <w:b/>
          <w:i/>
          <w:sz w:val="13"/>
        </w:rPr>
      </w:pPr>
      <w:r>
        <w:rPr>
          <w:b/>
          <w:i/>
          <w:color w:val="0070C0"/>
          <w:w w:val="105"/>
          <w:sz w:val="13"/>
        </w:rPr>
        <w:t>Accounting</w:t>
      </w:r>
      <w:r>
        <w:rPr>
          <w:b/>
          <w:i/>
          <w:color w:val="0070C0"/>
          <w:spacing w:val="-6"/>
          <w:w w:val="105"/>
          <w:sz w:val="13"/>
        </w:rPr>
        <w:t> </w:t>
      </w:r>
      <w:r>
        <w:rPr>
          <w:b/>
          <w:i/>
          <w:color w:val="0070C0"/>
          <w:spacing w:val="-2"/>
          <w:w w:val="105"/>
          <w:sz w:val="13"/>
        </w:rPr>
        <w:t>policy</w:t>
      </w:r>
    </w:p>
    <w:p>
      <w:pPr>
        <w:spacing w:line="273" w:lineRule="auto" w:before="25"/>
        <w:ind w:left="740" w:right="297" w:firstLine="0"/>
        <w:jc w:val="both"/>
        <w:rPr>
          <w:sz w:val="13"/>
        </w:rPr>
      </w:pPr>
      <w:r>
        <w:rPr>
          <w:w w:val="105"/>
          <w:sz w:val="13"/>
        </w:rPr>
        <w:t>Property,</w:t>
      </w:r>
      <w:r>
        <w:rPr>
          <w:spacing w:val="-3"/>
          <w:w w:val="105"/>
          <w:sz w:val="13"/>
        </w:rPr>
        <w:t> </w:t>
      </w:r>
      <w:r>
        <w:rPr>
          <w:w w:val="105"/>
          <w:sz w:val="13"/>
        </w:rPr>
        <w:t>plant</w:t>
      </w:r>
      <w:r>
        <w:rPr>
          <w:spacing w:val="-3"/>
          <w:w w:val="105"/>
          <w:sz w:val="13"/>
        </w:rPr>
        <w:t> </w:t>
      </w:r>
      <w:r>
        <w:rPr>
          <w:w w:val="105"/>
          <w:sz w:val="13"/>
        </w:rPr>
        <w:t>and</w:t>
      </w:r>
      <w:r>
        <w:rPr>
          <w:spacing w:val="-4"/>
          <w:w w:val="105"/>
          <w:sz w:val="13"/>
        </w:rPr>
        <w:t> </w:t>
      </w:r>
      <w:r>
        <w:rPr>
          <w:w w:val="105"/>
          <w:sz w:val="13"/>
        </w:rPr>
        <w:t>equipment</w:t>
      </w:r>
      <w:r>
        <w:rPr>
          <w:spacing w:val="-3"/>
          <w:w w:val="105"/>
          <w:sz w:val="13"/>
        </w:rPr>
        <w:t> </w:t>
      </w:r>
      <w:r>
        <w:rPr>
          <w:w w:val="105"/>
          <w:sz w:val="13"/>
        </w:rPr>
        <w:t>is</w:t>
      </w:r>
      <w:r>
        <w:rPr>
          <w:spacing w:val="-3"/>
          <w:w w:val="105"/>
          <w:sz w:val="13"/>
        </w:rPr>
        <w:t> </w:t>
      </w:r>
      <w:r>
        <w:rPr>
          <w:w w:val="105"/>
          <w:sz w:val="13"/>
        </w:rPr>
        <w:t>measured</w:t>
      </w:r>
      <w:r>
        <w:rPr>
          <w:spacing w:val="-4"/>
          <w:w w:val="105"/>
          <w:sz w:val="13"/>
        </w:rPr>
        <w:t> </w:t>
      </w:r>
      <w:r>
        <w:rPr>
          <w:w w:val="105"/>
          <w:sz w:val="13"/>
        </w:rPr>
        <w:t>at</w:t>
      </w:r>
      <w:r>
        <w:rPr>
          <w:spacing w:val="-4"/>
          <w:w w:val="105"/>
          <w:sz w:val="13"/>
        </w:rPr>
        <w:t> </w:t>
      </w:r>
      <w:r>
        <w:rPr>
          <w:w w:val="105"/>
          <w:sz w:val="13"/>
        </w:rPr>
        <w:t>cost</w:t>
      </w:r>
      <w:r>
        <w:rPr>
          <w:spacing w:val="-4"/>
          <w:w w:val="105"/>
          <w:sz w:val="13"/>
        </w:rPr>
        <w:t> </w:t>
      </w:r>
      <w:r>
        <w:rPr>
          <w:w w:val="105"/>
          <w:sz w:val="13"/>
        </w:rPr>
        <w:t>less</w:t>
      </w:r>
      <w:r>
        <w:rPr>
          <w:spacing w:val="-1"/>
          <w:w w:val="105"/>
          <w:sz w:val="13"/>
        </w:rPr>
        <w:t> </w:t>
      </w:r>
      <w:r>
        <w:rPr>
          <w:w w:val="105"/>
          <w:sz w:val="13"/>
        </w:rPr>
        <w:t>accumulated</w:t>
      </w:r>
      <w:r>
        <w:rPr>
          <w:spacing w:val="-4"/>
          <w:w w:val="105"/>
          <w:sz w:val="13"/>
        </w:rPr>
        <w:t> </w:t>
      </w:r>
      <w:r>
        <w:rPr>
          <w:w w:val="105"/>
          <w:sz w:val="13"/>
        </w:rPr>
        <w:t>depreciation</w:t>
      </w:r>
      <w:r>
        <w:rPr>
          <w:spacing w:val="-2"/>
          <w:w w:val="105"/>
          <w:sz w:val="13"/>
        </w:rPr>
        <w:t> </w:t>
      </w:r>
      <w:r>
        <w:rPr>
          <w:w w:val="105"/>
          <w:sz w:val="13"/>
        </w:rPr>
        <w:t>less</w:t>
      </w:r>
      <w:r>
        <w:rPr>
          <w:spacing w:val="-3"/>
          <w:w w:val="105"/>
          <w:sz w:val="13"/>
        </w:rPr>
        <w:t> </w:t>
      </w:r>
      <w:r>
        <w:rPr>
          <w:w w:val="105"/>
          <w:sz w:val="13"/>
        </w:rPr>
        <w:t>accumulated</w:t>
      </w:r>
      <w:r>
        <w:rPr>
          <w:spacing w:val="-2"/>
          <w:w w:val="105"/>
          <w:sz w:val="13"/>
        </w:rPr>
        <w:t> </w:t>
      </w:r>
      <w:r>
        <w:rPr>
          <w:w w:val="105"/>
          <w:sz w:val="13"/>
        </w:rPr>
        <w:t>impairment</w:t>
      </w:r>
      <w:r>
        <w:rPr>
          <w:spacing w:val="-4"/>
          <w:w w:val="105"/>
          <w:sz w:val="13"/>
        </w:rPr>
        <w:t> </w:t>
      </w:r>
      <w:r>
        <w:rPr>
          <w:w w:val="105"/>
          <w:sz w:val="13"/>
        </w:rPr>
        <w:t>losses.</w:t>
      </w:r>
      <w:r>
        <w:rPr>
          <w:spacing w:val="-1"/>
          <w:w w:val="105"/>
          <w:sz w:val="13"/>
        </w:rPr>
        <w:t> </w:t>
      </w:r>
      <w:r>
        <w:rPr>
          <w:w w:val="105"/>
          <w:sz w:val="13"/>
        </w:rPr>
        <w:t>Where</w:t>
      </w:r>
      <w:r>
        <w:rPr>
          <w:spacing w:val="-4"/>
          <w:w w:val="105"/>
          <w:sz w:val="13"/>
        </w:rPr>
        <w:t> </w:t>
      </w:r>
      <w:r>
        <w:rPr>
          <w:w w:val="105"/>
          <w:sz w:val="13"/>
        </w:rPr>
        <w:t>an</w:t>
      </w:r>
      <w:r>
        <w:rPr>
          <w:spacing w:val="-2"/>
          <w:w w:val="105"/>
          <w:sz w:val="13"/>
        </w:rPr>
        <w:t> </w:t>
      </w:r>
      <w:r>
        <w:rPr>
          <w:w w:val="105"/>
          <w:sz w:val="13"/>
        </w:rPr>
        <w:t>asset</w:t>
      </w:r>
      <w:r>
        <w:rPr>
          <w:spacing w:val="-4"/>
          <w:w w:val="105"/>
          <w:sz w:val="13"/>
        </w:rPr>
        <w:t> </w:t>
      </w:r>
      <w:r>
        <w:rPr>
          <w:w w:val="105"/>
          <w:sz w:val="13"/>
        </w:rPr>
        <w:t>is</w:t>
      </w:r>
      <w:r>
        <w:rPr>
          <w:spacing w:val="40"/>
          <w:w w:val="105"/>
          <w:sz w:val="13"/>
        </w:rPr>
        <w:t> </w:t>
      </w:r>
      <w:r>
        <w:rPr>
          <w:w w:val="105"/>
          <w:sz w:val="13"/>
        </w:rPr>
        <w:t>acquired at no cost or for a nominal cost, the cost recorded is the fair value of the asset at</w:t>
      </w:r>
      <w:r>
        <w:rPr>
          <w:spacing w:val="-1"/>
          <w:w w:val="105"/>
          <w:sz w:val="13"/>
        </w:rPr>
        <w:t> </w:t>
      </w:r>
      <w:r>
        <w:rPr>
          <w:w w:val="105"/>
          <w:sz w:val="13"/>
        </w:rPr>
        <w:t>the acquisition</w:t>
      </w:r>
      <w:r>
        <w:rPr>
          <w:spacing w:val="-2"/>
          <w:w w:val="105"/>
          <w:sz w:val="13"/>
        </w:rPr>
        <w:t> </w:t>
      </w:r>
      <w:r>
        <w:rPr>
          <w:w w:val="105"/>
          <w:sz w:val="13"/>
        </w:rPr>
        <w:t>date. Cultural assets where</w:t>
      </w:r>
      <w:r>
        <w:rPr>
          <w:spacing w:val="-2"/>
          <w:w w:val="105"/>
          <w:sz w:val="13"/>
        </w:rPr>
        <w:t> </w:t>
      </w:r>
      <w:r>
        <w:rPr>
          <w:w w:val="105"/>
          <w:sz w:val="13"/>
        </w:rPr>
        <w:t>the</w:t>
      </w:r>
      <w:r>
        <w:rPr>
          <w:spacing w:val="40"/>
          <w:w w:val="105"/>
          <w:sz w:val="13"/>
        </w:rPr>
        <w:t> </w:t>
      </w:r>
      <w:r>
        <w:rPr>
          <w:w w:val="105"/>
          <w:sz w:val="13"/>
        </w:rPr>
        <w:t>fair value or economic benefit cannot be reliably</w:t>
      </w:r>
      <w:r>
        <w:rPr>
          <w:spacing w:val="-2"/>
          <w:w w:val="105"/>
          <w:sz w:val="13"/>
        </w:rPr>
        <w:t> </w:t>
      </w:r>
      <w:r>
        <w:rPr>
          <w:w w:val="105"/>
          <w:sz w:val="13"/>
        </w:rPr>
        <w:t>measured are not ascribed a value.</w:t>
      </w:r>
    </w:p>
    <w:p>
      <w:pPr>
        <w:spacing w:line="273" w:lineRule="auto" w:before="0"/>
        <w:ind w:left="740" w:right="297" w:firstLine="0"/>
        <w:jc w:val="both"/>
        <w:rPr>
          <w:sz w:val="13"/>
        </w:rPr>
      </w:pPr>
      <w:r>
        <w:rPr>
          <w:w w:val="105"/>
          <w:sz w:val="13"/>
        </w:rPr>
        <w:t>Subsequent</w:t>
      </w:r>
      <w:r>
        <w:rPr>
          <w:spacing w:val="-2"/>
          <w:w w:val="105"/>
          <w:sz w:val="13"/>
        </w:rPr>
        <w:t> </w:t>
      </w:r>
      <w:r>
        <w:rPr>
          <w:w w:val="105"/>
          <w:sz w:val="13"/>
        </w:rPr>
        <w:t>costs</w:t>
      </w:r>
      <w:r>
        <w:rPr>
          <w:spacing w:val="-2"/>
          <w:w w:val="105"/>
          <w:sz w:val="13"/>
        </w:rPr>
        <w:t> </w:t>
      </w:r>
      <w:r>
        <w:rPr>
          <w:w w:val="105"/>
          <w:sz w:val="13"/>
        </w:rPr>
        <w:t>are</w:t>
      </w:r>
      <w:r>
        <w:rPr>
          <w:spacing w:val="-3"/>
          <w:w w:val="105"/>
          <w:sz w:val="13"/>
        </w:rPr>
        <w:t> </w:t>
      </w:r>
      <w:r>
        <w:rPr>
          <w:w w:val="105"/>
          <w:sz w:val="13"/>
        </w:rPr>
        <w:t>included</w:t>
      </w:r>
      <w:r>
        <w:rPr>
          <w:spacing w:val="-3"/>
          <w:w w:val="105"/>
          <w:sz w:val="13"/>
        </w:rPr>
        <w:t> </w:t>
      </w:r>
      <w:r>
        <w:rPr>
          <w:w w:val="105"/>
          <w:sz w:val="13"/>
        </w:rPr>
        <w:t>in</w:t>
      </w:r>
      <w:r>
        <w:rPr>
          <w:spacing w:val="-3"/>
          <w:w w:val="105"/>
          <w:sz w:val="13"/>
        </w:rPr>
        <w:t> </w:t>
      </w:r>
      <w:r>
        <w:rPr>
          <w:w w:val="105"/>
          <w:sz w:val="13"/>
        </w:rPr>
        <w:t>the</w:t>
      </w:r>
      <w:r>
        <w:rPr>
          <w:spacing w:val="-3"/>
          <w:w w:val="105"/>
          <w:sz w:val="13"/>
        </w:rPr>
        <w:t> </w:t>
      </w:r>
      <w:r>
        <w:rPr>
          <w:w w:val="105"/>
          <w:sz w:val="13"/>
        </w:rPr>
        <w:t>assets</w:t>
      </w:r>
      <w:r>
        <w:rPr>
          <w:spacing w:val="-2"/>
          <w:w w:val="105"/>
          <w:sz w:val="13"/>
        </w:rPr>
        <w:t> </w:t>
      </w:r>
      <w:r>
        <w:rPr>
          <w:w w:val="105"/>
          <w:sz w:val="13"/>
        </w:rPr>
        <w:t>carrying</w:t>
      </w:r>
      <w:r>
        <w:rPr>
          <w:spacing w:val="-3"/>
          <w:w w:val="105"/>
          <w:sz w:val="13"/>
        </w:rPr>
        <w:t> </w:t>
      </w:r>
      <w:r>
        <w:rPr>
          <w:w w:val="105"/>
          <w:sz w:val="13"/>
        </w:rPr>
        <w:t>value</w:t>
      </w:r>
      <w:r>
        <w:rPr>
          <w:spacing w:val="-3"/>
          <w:w w:val="105"/>
          <w:sz w:val="13"/>
        </w:rPr>
        <w:t> </w:t>
      </w:r>
      <w:r>
        <w:rPr>
          <w:w w:val="105"/>
          <w:sz w:val="13"/>
        </w:rPr>
        <w:t>or</w:t>
      </w:r>
      <w:r>
        <w:rPr>
          <w:spacing w:val="-1"/>
          <w:w w:val="105"/>
          <w:sz w:val="13"/>
        </w:rPr>
        <w:t> </w:t>
      </w:r>
      <w:r>
        <w:rPr>
          <w:w w:val="105"/>
          <w:sz w:val="13"/>
        </w:rPr>
        <w:t>recognised</w:t>
      </w:r>
      <w:r>
        <w:rPr>
          <w:spacing w:val="-3"/>
          <w:w w:val="105"/>
          <w:sz w:val="13"/>
        </w:rPr>
        <w:t> </w:t>
      </w:r>
      <w:r>
        <w:rPr>
          <w:w w:val="105"/>
          <w:sz w:val="13"/>
        </w:rPr>
        <w:t>as</w:t>
      </w:r>
      <w:r>
        <w:rPr>
          <w:spacing w:val="-2"/>
          <w:w w:val="105"/>
          <w:sz w:val="13"/>
        </w:rPr>
        <w:t> </w:t>
      </w:r>
      <w:r>
        <w:rPr>
          <w:w w:val="105"/>
          <w:sz w:val="13"/>
        </w:rPr>
        <w:t>a</w:t>
      </w:r>
      <w:r>
        <w:rPr>
          <w:spacing w:val="-3"/>
          <w:w w:val="105"/>
          <w:sz w:val="13"/>
        </w:rPr>
        <w:t> </w:t>
      </w:r>
      <w:r>
        <w:rPr>
          <w:w w:val="105"/>
          <w:sz w:val="13"/>
        </w:rPr>
        <w:t>separate</w:t>
      </w:r>
      <w:r>
        <w:rPr>
          <w:spacing w:val="-3"/>
          <w:w w:val="105"/>
          <w:sz w:val="13"/>
        </w:rPr>
        <w:t> </w:t>
      </w:r>
      <w:r>
        <w:rPr>
          <w:w w:val="105"/>
          <w:sz w:val="13"/>
        </w:rPr>
        <w:t>asset,</w:t>
      </w:r>
      <w:r>
        <w:rPr>
          <w:spacing w:val="-2"/>
          <w:w w:val="105"/>
          <w:sz w:val="13"/>
        </w:rPr>
        <w:t> </w:t>
      </w:r>
      <w:r>
        <w:rPr>
          <w:w w:val="105"/>
          <w:sz w:val="13"/>
        </w:rPr>
        <w:t>where</w:t>
      </w:r>
      <w:r>
        <w:rPr>
          <w:spacing w:val="-1"/>
          <w:w w:val="105"/>
          <w:sz w:val="13"/>
        </w:rPr>
        <w:t> </w:t>
      </w:r>
      <w:r>
        <w:rPr>
          <w:w w:val="105"/>
          <w:sz w:val="13"/>
        </w:rPr>
        <w:t>appropriate,</w:t>
      </w:r>
      <w:r>
        <w:rPr>
          <w:spacing w:val="-2"/>
          <w:w w:val="105"/>
          <w:sz w:val="13"/>
        </w:rPr>
        <w:t> </w:t>
      </w:r>
      <w:r>
        <w:rPr>
          <w:w w:val="105"/>
          <w:sz w:val="13"/>
        </w:rPr>
        <w:t>when</w:t>
      </w:r>
      <w:r>
        <w:rPr>
          <w:spacing w:val="-1"/>
          <w:w w:val="105"/>
          <w:sz w:val="13"/>
        </w:rPr>
        <w:t> </w:t>
      </w:r>
      <w:r>
        <w:rPr>
          <w:w w:val="105"/>
          <w:sz w:val="13"/>
        </w:rPr>
        <w:t>it</w:t>
      </w:r>
      <w:r>
        <w:rPr>
          <w:spacing w:val="-2"/>
          <w:w w:val="105"/>
          <w:sz w:val="13"/>
        </w:rPr>
        <w:t> </w:t>
      </w:r>
      <w:r>
        <w:rPr>
          <w:w w:val="105"/>
          <w:sz w:val="13"/>
        </w:rPr>
        <w:t>is probable</w:t>
      </w:r>
      <w:r>
        <w:rPr>
          <w:spacing w:val="-3"/>
          <w:w w:val="105"/>
          <w:sz w:val="13"/>
        </w:rPr>
        <w:t> </w:t>
      </w:r>
      <w:r>
        <w:rPr>
          <w:w w:val="105"/>
          <w:sz w:val="13"/>
        </w:rPr>
        <w:t>that</w:t>
      </w:r>
      <w:r>
        <w:rPr>
          <w:spacing w:val="40"/>
          <w:w w:val="105"/>
          <w:sz w:val="13"/>
        </w:rPr>
        <w:t> </w:t>
      </w:r>
      <w:r>
        <w:rPr>
          <w:w w:val="105"/>
          <w:sz w:val="13"/>
        </w:rPr>
        <w:t>future economic benefits associated with the asset will flow to the Group. All other repairs and maintenance are charged to the income</w:t>
      </w:r>
      <w:r>
        <w:rPr>
          <w:spacing w:val="40"/>
          <w:w w:val="105"/>
          <w:sz w:val="13"/>
        </w:rPr>
        <w:t> </w:t>
      </w:r>
      <w:r>
        <w:rPr>
          <w:w w:val="105"/>
          <w:sz w:val="13"/>
        </w:rPr>
        <w:t>statement when incurred.</w:t>
      </w:r>
    </w:p>
    <w:p>
      <w:pPr>
        <w:spacing w:line="240" w:lineRule="auto" w:before="0"/>
        <w:rPr>
          <w:sz w:val="7"/>
        </w:rPr>
      </w:pPr>
    </w:p>
    <w:tbl>
      <w:tblPr>
        <w:tblW w:w="0" w:type="auto"/>
        <w:jc w:val="left"/>
        <w:tblInd w:w="7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360"/>
        <w:gridCol w:w="2762"/>
        <w:gridCol w:w="2235"/>
      </w:tblGrid>
      <w:tr>
        <w:trPr>
          <w:trHeight w:val="187" w:hRule="atLeast"/>
        </w:trPr>
        <w:tc>
          <w:tcPr>
            <w:tcW w:w="3360" w:type="dxa"/>
            <w:tcBorders>
              <w:bottom w:val="single" w:sz="12" w:space="0" w:color="000000"/>
            </w:tcBorders>
          </w:tcPr>
          <w:p>
            <w:pPr>
              <w:pStyle w:val="TableParagraph"/>
              <w:spacing w:line="131" w:lineRule="exact" w:before="36"/>
              <w:ind w:left="26"/>
              <w:rPr>
                <w:sz w:val="13"/>
              </w:rPr>
            </w:pPr>
            <w:r>
              <w:rPr>
                <w:w w:val="105"/>
                <w:sz w:val="13"/>
              </w:rPr>
              <w:t>The</w:t>
            </w:r>
            <w:r>
              <w:rPr>
                <w:spacing w:val="-6"/>
                <w:w w:val="105"/>
                <w:sz w:val="13"/>
              </w:rPr>
              <w:t> </w:t>
            </w:r>
            <w:r>
              <w:rPr>
                <w:w w:val="105"/>
                <w:sz w:val="13"/>
              </w:rPr>
              <w:t>depreciation</w:t>
            </w:r>
            <w:r>
              <w:rPr>
                <w:spacing w:val="-6"/>
                <w:w w:val="105"/>
                <w:sz w:val="13"/>
              </w:rPr>
              <w:t> </w:t>
            </w:r>
            <w:r>
              <w:rPr>
                <w:w w:val="105"/>
                <w:sz w:val="13"/>
              </w:rPr>
              <w:t>rate</w:t>
            </w:r>
            <w:r>
              <w:rPr>
                <w:spacing w:val="-6"/>
                <w:w w:val="105"/>
                <w:sz w:val="13"/>
              </w:rPr>
              <w:t> </w:t>
            </w:r>
            <w:r>
              <w:rPr>
                <w:w w:val="105"/>
                <w:sz w:val="13"/>
              </w:rPr>
              <w:t>policy</w:t>
            </w:r>
            <w:r>
              <w:rPr>
                <w:spacing w:val="-8"/>
                <w:w w:val="105"/>
                <w:sz w:val="13"/>
              </w:rPr>
              <w:t> </w:t>
            </w:r>
            <w:r>
              <w:rPr>
                <w:w w:val="105"/>
                <w:sz w:val="13"/>
              </w:rPr>
              <w:t>is</w:t>
            </w:r>
            <w:r>
              <w:rPr>
                <w:spacing w:val="-5"/>
                <w:w w:val="105"/>
                <w:sz w:val="13"/>
              </w:rPr>
              <w:t> </w:t>
            </w:r>
            <w:r>
              <w:rPr>
                <w:w w:val="105"/>
                <w:sz w:val="13"/>
              </w:rPr>
              <w:t>as</w:t>
            </w:r>
            <w:r>
              <w:rPr>
                <w:spacing w:val="-5"/>
                <w:w w:val="105"/>
                <w:sz w:val="13"/>
              </w:rPr>
              <w:t> </w:t>
            </w:r>
            <w:r>
              <w:rPr>
                <w:spacing w:val="-2"/>
                <w:w w:val="105"/>
                <w:sz w:val="13"/>
              </w:rPr>
              <w:t>follows:</w:t>
            </w:r>
          </w:p>
        </w:tc>
        <w:tc>
          <w:tcPr>
            <w:tcW w:w="4997" w:type="dxa"/>
            <w:gridSpan w:val="2"/>
            <w:tcBorders>
              <w:bottom w:val="single" w:sz="12" w:space="0" w:color="000000"/>
            </w:tcBorders>
          </w:tcPr>
          <w:p>
            <w:pPr>
              <w:pStyle w:val="TableParagraph"/>
              <w:rPr>
                <w:rFonts w:ascii="Times New Roman"/>
                <w:sz w:val="12"/>
              </w:rPr>
            </w:pPr>
          </w:p>
        </w:tc>
      </w:tr>
      <w:tr>
        <w:trPr>
          <w:trHeight w:val="257" w:hRule="atLeast"/>
        </w:trPr>
        <w:tc>
          <w:tcPr>
            <w:tcW w:w="3360" w:type="dxa"/>
            <w:tcBorders>
              <w:top w:val="single" w:sz="12" w:space="0" w:color="000000"/>
              <w:bottom w:val="single" w:sz="12" w:space="0" w:color="000000"/>
            </w:tcBorders>
          </w:tcPr>
          <w:p>
            <w:pPr>
              <w:pStyle w:val="TableParagraph"/>
              <w:spacing w:before="55"/>
              <w:ind w:left="26"/>
              <w:rPr>
                <w:b/>
                <w:sz w:val="13"/>
              </w:rPr>
            </w:pPr>
            <w:r>
              <w:rPr>
                <w:b/>
                <w:spacing w:val="-2"/>
                <w:w w:val="105"/>
                <w:sz w:val="13"/>
              </w:rPr>
              <w:t>Asset</w:t>
            </w:r>
            <w:r>
              <w:rPr>
                <w:b/>
                <w:w w:val="105"/>
                <w:sz w:val="13"/>
              </w:rPr>
              <w:t> </w:t>
            </w:r>
            <w:r>
              <w:rPr>
                <w:b/>
                <w:spacing w:val="-2"/>
                <w:w w:val="105"/>
                <w:sz w:val="13"/>
              </w:rPr>
              <w:t>Class</w:t>
            </w:r>
          </w:p>
        </w:tc>
        <w:tc>
          <w:tcPr>
            <w:tcW w:w="2762" w:type="dxa"/>
            <w:tcBorders>
              <w:top w:val="single" w:sz="12" w:space="0" w:color="000000"/>
              <w:bottom w:val="single" w:sz="12" w:space="0" w:color="000000"/>
            </w:tcBorders>
          </w:tcPr>
          <w:p>
            <w:pPr>
              <w:pStyle w:val="TableParagraph"/>
              <w:spacing w:before="55"/>
              <w:ind w:left="860"/>
              <w:rPr>
                <w:b/>
                <w:sz w:val="13"/>
              </w:rPr>
            </w:pPr>
            <w:r>
              <w:rPr>
                <w:b/>
                <w:spacing w:val="-2"/>
                <w:w w:val="105"/>
                <w:sz w:val="13"/>
              </w:rPr>
              <w:t>Depreciation</w:t>
            </w:r>
            <w:r>
              <w:rPr>
                <w:b/>
                <w:spacing w:val="12"/>
                <w:w w:val="105"/>
                <w:sz w:val="13"/>
              </w:rPr>
              <w:t> </w:t>
            </w:r>
            <w:r>
              <w:rPr>
                <w:b/>
                <w:spacing w:val="-4"/>
                <w:w w:val="105"/>
                <w:sz w:val="13"/>
              </w:rPr>
              <w:t>rate</w:t>
            </w:r>
          </w:p>
        </w:tc>
        <w:tc>
          <w:tcPr>
            <w:tcW w:w="2235" w:type="dxa"/>
            <w:tcBorders>
              <w:top w:val="single" w:sz="12" w:space="0" w:color="000000"/>
              <w:bottom w:val="single" w:sz="12" w:space="0" w:color="000000"/>
            </w:tcBorders>
          </w:tcPr>
          <w:p>
            <w:pPr>
              <w:pStyle w:val="TableParagraph"/>
              <w:spacing w:before="55"/>
              <w:ind w:left="426"/>
              <w:rPr>
                <w:b/>
                <w:sz w:val="13"/>
              </w:rPr>
            </w:pPr>
            <w:r>
              <w:rPr>
                <w:b/>
                <w:spacing w:val="-2"/>
                <w:w w:val="105"/>
                <w:sz w:val="13"/>
              </w:rPr>
              <w:t>Depreciation</w:t>
            </w:r>
            <w:r>
              <w:rPr>
                <w:b/>
                <w:spacing w:val="12"/>
                <w:w w:val="105"/>
                <w:sz w:val="13"/>
              </w:rPr>
              <w:t> </w:t>
            </w:r>
            <w:r>
              <w:rPr>
                <w:b/>
                <w:spacing w:val="-2"/>
                <w:w w:val="105"/>
                <w:sz w:val="13"/>
              </w:rPr>
              <w:t>method</w:t>
            </w:r>
          </w:p>
        </w:tc>
      </w:tr>
      <w:tr>
        <w:trPr>
          <w:trHeight w:val="145" w:hRule="atLeast"/>
        </w:trPr>
        <w:tc>
          <w:tcPr>
            <w:tcW w:w="3360" w:type="dxa"/>
            <w:tcBorders>
              <w:top w:val="single" w:sz="12" w:space="0" w:color="000000"/>
              <w:bottom w:val="single" w:sz="6" w:space="0" w:color="000000"/>
            </w:tcBorders>
          </w:tcPr>
          <w:p>
            <w:pPr>
              <w:pStyle w:val="TableParagraph"/>
              <w:spacing w:line="125" w:lineRule="exact"/>
              <w:ind w:left="26"/>
              <w:rPr>
                <w:sz w:val="13"/>
              </w:rPr>
            </w:pPr>
            <w:r>
              <w:rPr>
                <w:spacing w:val="-2"/>
                <w:w w:val="105"/>
                <w:sz w:val="13"/>
              </w:rPr>
              <w:t>Leasehold</w:t>
            </w:r>
            <w:r>
              <w:rPr>
                <w:spacing w:val="4"/>
                <w:w w:val="105"/>
                <w:sz w:val="13"/>
              </w:rPr>
              <w:t> </w:t>
            </w:r>
            <w:r>
              <w:rPr>
                <w:spacing w:val="-4"/>
                <w:w w:val="105"/>
                <w:sz w:val="13"/>
              </w:rPr>
              <w:t>land</w:t>
            </w:r>
          </w:p>
        </w:tc>
        <w:tc>
          <w:tcPr>
            <w:tcW w:w="2762" w:type="dxa"/>
            <w:tcBorders>
              <w:top w:val="single" w:sz="12" w:space="0" w:color="000000"/>
              <w:bottom w:val="single" w:sz="6" w:space="0" w:color="000000"/>
            </w:tcBorders>
          </w:tcPr>
          <w:p>
            <w:pPr>
              <w:pStyle w:val="TableParagraph"/>
              <w:spacing w:line="125" w:lineRule="exact"/>
              <w:ind w:left="860"/>
              <w:rPr>
                <w:sz w:val="13"/>
              </w:rPr>
            </w:pPr>
            <w:r>
              <w:rPr>
                <w:w w:val="105"/>
                <w:sz w:val="13"/>
              </w:rPr>
              <w:t>Not</w:t>
            </w:r>
            <w:r>
              <w:rPr>
                <w:spacing w:val="-4"/>
                <w:w w:val="105"/>
                <w:sz w:val="13"/>
              </w:rPr>
              <w:t> </w:t>
            </w:r>
            <w:r>
              <w:rPr>
                <w:spacing w:val="-2"/>
                <w:w w:val="105"/>
                <w:sz w:val="13"/>
              </w:rPr>
              <w:t>depreciated</w:t>
            </w:r>
          </w:p>
        </w:tc>
        <w:tc>
          <w:tcPr>
            <w:tcW w:w="2235" w:type="dxa"/>
            <w:tcBorders>
              <w:top w:val="single" w:sz="12" w:space="0" w:color="000000"/>
              <w:bottom w:val="single" w:sz="6" w:space="0" w:color="000000"/>
            </w:tcBorders>
          </w:tcPr>
          <w:p>
            <w:pPr>
              <w:pStyle w:val="TableParagraph"/>
              <w:spacing w:line="125" w:lineRule="exact"/>
              <w:ind w:left="426"/>
              <w:rPr>
                <w:sz w:val="13"/>
              </w:rPr>
            </w:pPr>
            <w:r>
              <w:rPr>
                <w:w w:val="105"/>
                <w:sz w:val="13"/>
              </w:rPr>
              <w:t>Not</w:t>
            </w:r>
            <w:r>
              <w:rPr>
                <w:spacing w:val="-4"/>
                <w:w w:val="105"/>
                <w:sz w:val="13"/>
              </w:rPr>
              <w:t> </w:t>
            </w:r>
            <w:r>
              <w:rPr>
                <w:spacing w:val="-2"/>
                <w:w w:val="105"/>
                <w:sz w:val="13"/>
              </w:rPr>
              <w:t>depreciated</w:t>
            </w:r>
          </w:p>
        </w:tc>
      </w:tr>
      <w:tr>
        <w:trPr>
          <w:trHeight w:val="152" w:hRule="atLeast"/>
        </w:trPr>
        <w:tc>
          <w:tcPr>
            <w:tcW w:w="3360" w:type="dxa"/>
            <w:tcBorders>
              <w:top w:val="single" w:sz="6" w:space="0" w:color="000000"/>
              <w:bottom w:val="single" w:sz="6" w:space="0" w:color="000000"/>
            </w:tcBorders>
          </w:tcPr>
          <w:p>
            <w:pPr>
              <w:pStyle w:val="TableParagraph"/>
              <w:spacing w:line="128" w:lineRule="exact" w:before="5"/>
              <w:ind w:left="26"/>
              <w:rPr>
                <w:sz w:val="13"/>
              </w:rPr>
            </w:pPr>
            <w:r>
              <w:rPr>
                <w:spacing w:val="-2"/>
                <w:w w:val="105"/>
                <w:sz w:val="13"/>
              </w:rPr>
              <w:t>Freehold</w:t>
            </w:r>
            <w:r>
              <w:rPr>
                <w:spacing w:val="6"/>
                <w:w w:val="105"/>
                <w:sz w:val="13"/>
              </w:rPr>
              <w:t> </w:t>
            </w:r>
            <w:r>
              <w:rPr>
                <w:spacing w:val="-4"/>
                <w:w w:val="105"/>
                <w:sz w:val="13"/>
              </w:rPr>
              <w:t>land</w:t>
            </w:r>
          </w:p>
        </w:tc>
        <w:tc>
          <w:tcPr>
            <w:tcW w:w="2762" w:type="dxa"/>
            <w:tcBorders>
              <w:top w:val="single" w:sz="6" w:space="0" w:color="000000"/>
              <w:bottom w:val="single" w:sz="6" w:space="0" w:color="000000"/>
            </w:tcBorders>
          </w:tcPr>
          <w:p>
            <w:pPr>
              <w:pStyle w:val="TableParagraph"/>
              <w:spacing w:line="133" w:lineRule="exact"/>
              <w:ind w:left="860"/>
              <w:rPr>
                <w:sz w:val="13"/>
              </w:rPr>
            </w:pPr>
            <w:r>
              <w:rPr>
                <w:w w:val="105"/>
                <w:sz w:val="13"/>
              </w:rPr>
              <w:t>Not</w:t>
            </w:r>
            <w:r>
              <w:rPr>
                <w:spacing w:val="-4"/>
                <w:w w:val="105"/>
                <w:sz w:val="13"/>
              </w:rPr>
              <w:t> </w:t>
            </w:r>
            <w:r>
              <w:rPr>
                <w:spacing w:val="-2"/>
                <w:w w:val="105"/>
                <w:sz w:val="13"/>
              </w:rPr>
              <w:t>depreciated</w:t>
            </w:r>
          </w:p>
        </w:tc>
        <w:tc>
          <w:tcPr>
            <w:tcW w:w="2235" w:type="dxa"/>
            <w:tcBorders>
              <w:top w:val="single" w:sz="6" w:space="0" w:color="000000"/>
              <w:bottom w:val="single" w:sz="6" w:space="0" w:color="000000"/>
            </w:tcBorders>
          </w:tcPr>
          <w:p>
            <w:pPr>
              <w:pStyle w:val="TableParagraph"/>
              <w:spacing w:line="133" w:lineRule="exact"/>
              <w:ind w:left="426"/>
              <w:rPr>
                <w:sz w:val="13"/>
              </w:rPr>
            </w:pPr>
            <w:r>
              <w:rPr>
                <w:w w:val="105"/>
                <w:sz w:val="13"/>
              </w:rPr>
              <w:t>Not</w:t>
            </w:r>
            <w:r>
              <w:rPr>
                <w:spacing w:val="-4"/>
                <w:w w:val="105"/>
                <w:sz w:val="13"/>
              </w:rPr>
              <w:t> </w:t>
            </w:r>
            <w:r>
              <w:rPr>
                <w:spacing w:val="-2"/>
                <w:w w:val="105"/>
                <w:sz w:val="13"/>
              </w:rPr>
              <w:t>depreciated</w:t>
            </w:r>
          </w:p>
        </w:tc>
      </w:tr>
      <w:tr>
        <w:trPr>
          <w:trHeight w:val="160" w:hRule="atLeast"/>
        </w:trPr>
        <w:tc>
          <w:tcPr>
            <w:tcW w:w="3360" w:type="dxa"/>
            <w:tcBorders>
              <w:top w:val="single" w:sz="6" w:space="0" w:color="000000"/>
            </w:tcBorders>
          </w:tcPr>
          <w:p>
            <w:pPr>
              <w:pStyle w:val="TableParagraph"/>
              <w:spacing w:line="135" w:lineRule="exact" w:before="5"/>
              <w:ind w:left="26"/>
              <w:rPr>
                <w:sz w:val="13"/>
              </w:rPr>
            </w:pPr>
            <w:r>
              <w:rPr>
                <w:spacing w:val="-2"/>
                <w:w w:val="105"/>
                <w:sz w:val="13"/>
              </w:rPr>
              <w:t>Buildings:</w:t>
            </w:r>
          </w:p>
        </w:tc>
        <w:tc>
          <w:tcPr>
            <w:tcW w:w="2762" w:type="dxa"/>
            <w:tcBorders>
              <w:top w:val="single" w:sz="6" w:space="0" w:color="000000"/>
            </w:tcBorders>
          </w:tcPr>
          <w:p>
            <w:pPr>
              <w:pStyle w:val="TableParagraph"/>
              <w:rPr>
                <w:rFonts w:ascii="Times New Roman"/>
                <w:sz w:val="10"/>
              </w:rPr>
            </w:pPr>
          </w:p>
        </w:tc>
        <w:tc>
          <w:tcPr>
            <w:tcW w:w="2235" w:type="dxa"/>
            <w:tcBorders>
              <w:top w:val="single" w:sz="6" w:space="0" w:color="000000"/>
            </w:tcBorders>
          </w:tcPr>
          <w:p>
            <w:pPr>
              <w:pStyle w:val="TableParagraph"/>
              <w:rPr>
                <w:rFonts w:ascii="Times New Roman"/>
                <w:sz w:val="10"/>
              </w:rPr>
            </w:pPr>
          </w:p>
        </w:tc>
      </w:tr>
      <w:tr>
        <w:trPr>
          <w:trHeight w:val="167" w:hRule="atLeast"/>
        </w:trPr>
        <w:tc>
          <w:tcPr>
            <w:tcW w:w="3360" w:type="dxa"/>
          </w:tcPr>
          <w:p>
            <w:pPr>
              <w:pStyle w:val="TableParagraph"/>
              <w:numPr>
                <w:ilvl w:val="0"/>
                <w:numId w:val="25"/>
              </w:numPr>
              <w:tabs>
                <w:tab w:pos="262" w:val="left" w:leader="none"/>
              </w:tabs>
              <w:spacing w:line="135" w:lineRule="exact" w:before="12" w:after="0"/>
              <w:ind w:left="262" w:right="0" w:hanging="86"/>
              <w:jc w:val="left"/>
              <w:rPr>
                <w:sz w:val="13"/>
              </w:rPr>
            </w:pPr>
            <w:r>
              <w:rPr>
                <w:spacing w:val="-2"/>
                <w:w w:val="105"/>
                <w:sz w:val="13"/>
              </w:rPr>
              <w:t>Structure/shell/building</w:t>
            </w:r>
            <w:r>
              <w:rPr>
                <w:spacing w:val="23"/>
                <w:w w:val="105"/>
                <w:sz w:val="13"/>
              </w:rPr>
              <w:t> </w:t>
            </w:r>
            <w:r>
              <w:rPr>
                <w:spacing w:val="-2"/>
                <w:w w:val="105"/>
                <w:sz w:val="13"/>
              </w:rPr>
              <w:t>fabric</w:t>
            </w:r>
          </w:p>
        </w:tc>
        <w:tc>
          <w:tcPr>
            <w:tcW w:w="2762" w:type="dxa"/>
          </w:tcPr>
          <w:p>
            <w:pPr>
              <w:pStyle w:val="TableParagraph"/>
              <w:spacing w:line="142" w:lineRule="exact" w:before="6"/>
              <w:ind w:left="860"/>
              <w:rPr>
                <w:sz w:val="13"/>
              </w:rPr>
            </w:pPr>
            <w:r>
              <w:rPr>
                <w:spacing w:val="-5"/>
                <w:w w:val="105"/>
                <w:sz w:val="13"/>
              </w:rPr>
              <w:t>2%</w:t>
            </w:r>
          </w:p>
        </w:tc>
        <w:tc>
          <w:tcPr>
            <w:tcW w:w="2235" w:type="dxa"/>
          </w:tcPr>
          <w:p>
            <w:pPr>
              <w:pStyle w:val="TableParagraph"/>
              <w:spacing w:line="142" w:lineRule="exact" w:before="6"/>
              <w:ind w:left="426"/>
              <w:rPr>
                <w:sz w:val="13"/>
              </w:rPr>
            </w:pPr>
            <w:r>
              <w:rPr>
                <w:spacing w:val="-2"/>
                <w:w w:val="105"/>
                <w:sz w:val="13"/>
              </w:rPr>
              <w:t>Reducing</w:t>
            </w:r>
            <w:r>
              <w:rPr>
                <w:spacing w:val="6"/>
                <w:w w:val="105"/>
                <w:sz w:val="13"/>
              </w:rPr>
              <w:t> </w:t>
            </w:r>
            <w:r>
              <w:rPr>
                <w:spacing w:val="-2"/>
                <w:w w:val="105"/>
                <w:sz w:val="13"/>
              </w:rPr>
              <w:t>balance</w:t>
            </w:r>
          </w:p>
        </w:tc>
      </w:tr>
      <w:tr>
        <w:trPr>
          <w:trHeight w:val="167" w:hRule="atLeast"/>
        </w:trPr>
        <w:tc>
          <w:tcPr>
            <w:tcW w:w="3360" w:type="dxa"/>
          </w:tcPr>
          <w:p>
            <w:pPr>
              <w:pStyle w:val="TableParagraph"/>
              <w:numPr>
                <w:ilvl w:val="0"/>
                <w:numId w:val="26"/>
              </w:numPr>
              <w:tabs>
                <w:tab w:pos="262" w:val="left" w:leader="none"/>
              </w:tabs>
              <w:spacing w:line="135" w:lineRule="exact" w:before="12" w:after="0"/>
              <w:ind w:left="262" w:right="0" w:hanging="86"/>
              <w:jc w:val="left"/>
              <w:rPr>
                <w:sz w:val="13"/>
              </w:rPr>
            </w:pPr>
            <w:r>
              <w:rPr>
                <w:w w:val="105"/>
                <w:sz w:val="13"/>
              </w:rPr>
              <w:t>Fixtures,</w:t>
            </w:r>
            <w:r>
              <w:rPr>
                <w:spacing w:val="-8"/>
                <w:w w:val="105"/>
                <w:sz w:val="13"/>
              </w:rPr>
              <w:t> </w:t>
            </w:r>
            <w:r>
              <w:rPr>
                <w:w w:val="105"/>
                <w:sz w:val="13"/>
              </w:rPr>
              <w:t>fittings</w:t>
            </w:r>
            <w:r>
              <w:rPr>
                <w:spacing w:val="-7"/>
                <w:w w:val="105"/>
                <w:sz w:val="13"/>
              </w:rPr>
              <w:t> </w:t>
            </w:r>
            <w:r>
              <w:rPr>
                <w:w w:val="105"/>
                <w:sz w:val="13"/>
              </w:rPr>
              <w:t>and</w:t>
            </w:r>
            <w:r>
              <w:rPr>
                <w:spacing w:val="-8"/>
                <w:w w:val="105"/>
                <w:sz w:val="13"/>
              </w:rPr>
              <w:t> </w:t>
            </w:r>
            <w:r>
              <w:rPr>
                <w:w w:val="105"/>
                <w:sz w:val="13"/>
              </w:rPr>
              <w:t>central</w:t>
            </w:r>
            <w:r>
              <w:rPr>
                <w:spacing w:val="-7"/>
                <w:w w:val="105"/>
                <w:sz w:val="13"/>
              </w:rPr>
              <w:t> </w:t>
            </w:r>
            <w:r>
              <w:rPr>
                <w:spacing w:val="-4"/>
                <w:w w:val="105"/>
                <w:sz w:val="13"/>
              </w:rPr>
              <w:t>plant</w:t>
            </w:r>
          </w:p>
        </w:tc>
        <w:tc>
          <w:tcPr>
            <w:tcW w:w="2762" w:type="dxa"/>
          </w:tcPr>
          <w:p>
            <w:pPr>
              <w:pStyle w:val="TableParagraph"/>
              <w:spacing w:line="142" w:lineRule="exact" w:before="6"/>
              <w:ind w:left="860"/>
              <w:rPr>
                <w:sz w:val="13"/>
              </w:rPr>
            </w:pPr>
            <w:r>
              <w:rPr>
                <w:spacing w:val="-5"/>
                <w:w w:val="105"/>
                <w:sz w:val="13"/>
              </w:rPr>
              <w:t>5%</w:t>
            </w:r>
          </w:p>
        </w:tc>
        <w:tc>
          <w:tcPr>
            <w:tcW w:w="2235" w:type="dxa"/>
          </w:tcPr>
          <w:p>
            <w:pPr>
              <w:pStyle w:val="TableParagraph"/>
              <w:spacing w:line="142" w:lineRule="exact" w:before="6"/>
              <w:ind w:left="426"/>
              <w:rPr>
                <w:sz w:val="13"/>
              </w:rPr>
            </w:pPr>
            <w:r>
              <w:rPr>
                <w:spacing w:val="-2"/>
                <w:w w:val="105"/>
                <w:sz w:val="13"/>
              </w:rPr>
              <w:t>Straight</w:t>
            </w:r>
            <w:r>
              <w:rPr>
                <w:spacing w:val="6"/>
                <w:w w:val="105"/>
                <w:sz w:val="13"/>
              </w:rPr>
              <w:t> </w:t>
            </w:r>
            <w:r>
              <w:rPr>
                <w:spacing w:val="-4"/>
                <w:w w:val="105"/>
                <w:sz w:val="13"/>
              </w:rPr>
              <w:t>line</w:t>
            </w:r>
          </w:p>
        </w:tc>
      </w:tr>
      <w:tr>
        <w:trPr>
          <w:trHeight w:val="160" w:hRule="atLeast"/>
        </w:trPr>
        <w:tc>
          <w:tcPr>
            <w:tcW w:w="3360" w:type="dxa"/>
            <w:tcBorders>
              <w:bottom w:val="single" w:sz="6" w:space="0" w:color="000000"/>
            </w:tcBorders>
          </w:tcPr>
          <w:p>
            <w:pPr>
              <w:pStyle w:val="TableParagraph"/>
              <w:numPr>
                <w:ilvl w:val="0"/>
                <w:numId w:val="27"/>
              </w:numPr>
              <w:tabs>
                <w:tab w:pos="262" w:val="left" w:leader="none"/>
              </w:tabs>
              <w:spacing w:line="128" w:lineRule="exact" w:before="12" w:after="0"/>
              <w:ind w:left="262" w:right="0" w:hanging="86"/>
              <w:jc w:val="left"/>
              <w:rPr>
                <w:sz w:val="13"/>
              </w:rPr>
            </w:pPr>
            <w:r>
              <w:rPr>
                <w:spacing w:val="-2"/>
                <w:w w:val="105"/>
                <w:sz w:val="13"/>
              </w:rPr>
              <w:t>Leasehold</w:t>
            </w:r>
            <w:r>
              <w:rPr>
                <w:spacing w:val="4"/>
                <w:w w:val="105"/>
                <w:sz w:val="13"/>
              </w:rPr>
              <w:t> </w:t>
            </w:r>
            <w:r>
              <w:rPr>
                <w:spacing w:val="-2"/>
                <w:w w:val="105"/>
                <w:sz w:val="13"/>
              </w:rPr>
              <w:t>improvements</w:t>
            </w:r>
          </w:p>
        </w:tc>
        <w:tc>
          <w:tcPr>
            <w:tcW w:w="2762" w:type="dxa"/>
            <w:tcBorders>
              <w:bottom w:val="single" w:sz="6" w:space="0" w:color="000000"/>
            </w:tcBorders>
          </w:tcPr>
          <w:p>
            <w:pPr>
              <w:pStyle w:val="TableParagraph"/>
              <w:spacing w:line="134" w:lineRule="exact" w:before="6"/>
              <w:ind w:left="860"/>
              <w:rPr>
                <w:sz w:val="13"/>
              </w:rPr>
            </w:pPr>
            <w:r>
              <w:rPr>
                <w:w w:val="105"/>
                <w:sz w:val="13"/>
              </w:rPr>
              <w:t>Over</w:t>
            </w:r>
            <w:r>
              <w:rPr>
                <w:spacing w:val="-2"/>
                <w:w w:val="105"/>
                <w:sz w:val="13"/>
              </w:rPr>
              <w:t> </w:t>
            </w:r>
            <w:r>
              <w:rPr>
                <w:w w:val="105"/>
                <w:sz w:val="13"/>
              </w:rPr>
              <w:t>the</w:t>
            </w:r>
            <w:r>
              <w:rPr>
                <w:spacing w:val="-4"/>
                <w:w w:val="105"/>
                <w:sz w:val="13"/>
              </w:rPr>
              <w:t> </w:t>
            </w:r>
            <w:r>
              <w:rPr>
                <w:w w:val="105"/>
                <w:sz w:val="13"/>
              </w:rPr>
              <w:t>life</w:t>
            </w:r>
            <w:r>
              <w:rPr>
                <w:spacing w:val="-4"/>
                <w:w w:val="105"/>
                <w:sz w:val="13"/>
              </w:rPr>
              <w:t> </w:t>
            </w:r>
            <w:r>
              <w:rPr>
                <w:w w:val="105"/>
                <w:sz w:val="13"/>
              </w:rPr>
              <w:t>of</w:t>
            </w:r>
            <w:r>
              <w:rPr>
                <w:spacing w:val="-1"/>
                <w:w w:val="105"/>
                <w:sz w:val="13"/>
              </w:rPr>
              <w:t> </w:t>
            </w:r>
            <w:r>
              <w:rPr>
                <w:w w:val="105"/>
                <w:sz w:val="13"/>
              </w:rPr>
              <w:t>the</w:t>
            </w:r>
            <w:r>
              <w:rPr>
                <w:spacing w:val="-4"/>
                <w:w w:val="105"/>
                <w:sz w:val="13"/>
              </w:rPr>
              <w:t> </w:t>
            </w:r>
            <w:r>
              <w:rPr>
                <w:spacing w:val="-2"/>
                <w:w w:val="105"/>
                <w:sz w:val="13"/>
              </w:rPr>
              <w:t>lease</w:t>
            </w:r>
          </w:p>
        </w:tc>
        <w:tc>
          <w:tcPr>
            <w:tcW w:w="2235" w:type="dxa"/>
            <w:tcBorders>
              <w:bottom w:val="single" w:sz="6" w:space="0" w:color="000000"/>
            </w:tcBorders>
          </w:tcPr>
          <w:p>
            <w:pPr>
              <w:pStyle w:val="TableParagraph"/>
              <w:spacing w:line="134" w:lineRule="exact" w:before="6"/>
              <w:ind w:left="426"/>
              <w:rPr>
                <w:sz w:val="13"/>
              </w:rPr>
            </w:pPr>
            <w:r>
              <w:rPr>
                <w:spacing w:val="-2"/>
                <w:w w:val="105"/>
                <w:sz w:val="13"/>
              </w:rPr>
              <w:t>Straight</w:t>
            </w:r>
            <w:r>
              <w:rPr>
                <w:spacing w:val="6"/>
                <w:w w:val="105"/>
                <w:sz w:val="13"/>
              </w:rPr>
              <w:t> </w:t>
            </w:r>
            <w:r>
              <w:rPr>
                <w:spacing w:val="-4"/>
                <w:w w:val="105"/>
                <w:sz w:val="13"/>
              </w:rPr>
              <w:t>line</w:t>
            </w:r>
          </w:p>
        </w:tc>
      </w:tr>
      <w:tr>
        <w:trPr>
          <w:trHeight w:val="328" w:hRule="atLeast"/>
        </w:trPr>
        <w:tc>
          <w:tcPr>
            <w:tcW w:w="3360" w:type="dxa"/>
            <w:tcBorders>
              <w:top w:val="single" w:sz="6" w:space="0" w:color="000000"/>
            </w:tcBorders>
          </w:tcPr>
          <w:p>
            <w:pPr>
              <w:pStyle w:val="TableParagraph"/>
              <w:spacing w:before="5"/>
              <w:ind w:left="26"/>
              <w:rPr>
                <w:sz w:val="13"/>
              </w:rPr>
            </w:pPr>
            <w:r>
              <w:rPr>
                <w:w w:val="105"/>
                <w:sz w:val="13"/>
              </w:rPr>
              <w:t>Plant</w:t>
            </w:r>
            <w:r>
              <w:rPr>
                <w:spacing w:val="-7"/>
                <w:w w:val="105"/>
                <w:sz w:val="13"/>
              </w:rPr>
              <w:t> </w:t>
            </w:r>
            <w:r>
              <w:rPr>
                <w:w w:val="105"/>
                <w:sz w:val="13"/>
              </w:rPr>
              <w:t>and</w:t>
            </w:r>
            <w:r>
              <w:rPr>
                <w:spacing w:val="-6"/>
                <w:w w:val="105"/>
                <w:sz w:val="13"/>
              </w:rPr>
              <w:t> </w:t>
            </w:r>
            <w:r>
              <w:rPr>
                <w:spacing w:val="-2"/>
                <w:w w:val="105"/>
                <w:sz w:val="13"/>
              </w:rPr>
              <w:t>equipment</w:t>
            </w:r>
          </w:p>
          <w:p>
            <w:pPr>
              <w:pStyle w:val="TableParagraph"/>
              <w:numPr>
                <w:ilvl w:val="0"/>
                <w:numId w:val="28"/>
              </w:numPr>
              <w:tabs>
                <w:tab w:pos="262" w:val="left" w:leader="none"/>
              </w:tabs>
              <w:spacing w:line="135" w:lineRule="exact" w:before="18" w:after="0"/>
              <w:ind w:left="262" w:right="0" w:hanging="86"/>
              <w:jc w:val="left"/>
              <w:rPr>
                <w:sz w:val="13"/>
              </w:rPr>
            </w:pPr>
            <w:r>
              <w:rPr>
                <w:w w:val="105"/>
                <w:sz w:val="13"/>
              </w:rPr>
              <w:t>Computer</w:t>
            </w:r>
            <w:r>
              <w:rPr>
                <w:spacing w:val="-8"/>
                <w:w w:val="105"/>
                <w:sz w:val="13"/>
              </w:rPr>
              <w:t> </w:t>
            </w:r>
            <w:r>
              <w:rPr>
                <w:w w:val="105"/>
                <w:sz w:val="13"/>
              </w:rPr>
              <w:t>hardware</w:t>
            </w:r>
            <w:r>
              <w:rPr>
                <w:spacing w:val="-10"/>
                <w:w w:val="105"/>
                <w:sz w:val="13"/>
              </w:rPr>
              <w:t> </w:t>
            </w:r>
            <w:r>
              <w:rPr>
                <w:w w:val="105"/>
                <w:sz w:val="13"/>
              </w:rPr>
              <w:t>and</w:t>
            </w:r>
            <w:r>
              <w:rPr>
                <w:spacing w:val="-9"/>
                <w:w w:val="105"/>
                <w:sz w:val="13"/>
              </w:rPr>
              <w:t> </w:t>
            </w:r>
            <w:r>
              <w:rPr>
                <w:w w:val="105"/>
                <w:sz w:val="13"/>
              </w:rPr>
              <w:t>audio</w:t>
            </w:r>
            <w:r>
              <w:rPr>
                <w:spacing w:val="-10"/>
                <w:w w:val="105"/>
                <w:sz w:val="13"/>
              </w:rPr>
              <w:t> </w:t>
            </w:r>
            <w:r>
              <w:rPr>
                <w:spacing w:val="-2"/>
                <w:w w:val="105"/>
                <w:sz w:val="13"/>
              </w:rPr>
              <w:t>visual</w:t>
            </w:r>
          </w:p>
        </w:tc>
        <w:tc>
          <w:tcPr>
            <w:tcW w:w="2762" w:type="dxa"/>
            <w:tcBorders>
              <w:top w:val="single" w:sz="6" w:space="0" w:color="000000"/>
            </w:tcBorders>
          </w:tcPr>
          <w:p>
            <w:pPr>
              <w:pStyle w:val="TableParagraph"/>
              <w:spacing w:before="17"/>
              <w:rPr>
                <w:sz w:val="13"/>
              </w:rPr>
            </w:pPr>
          </w:p>
          <w:p>
            <w:pPr>
              <w:pStyle w:val="TableParagraph"/>
              <w:spacing w:line="142" w:lineRule="exact"/>
              <w:ind w:left="860"/>
              <w:rPr>
                <w:sz w:val="13"/>
              </w:rPr>
            </w:pPr>
            <w:r>
              <w:rPr>
                <w:spacing w:val="-5"/>
                <w:w w:val="105"/>
                <w:sz w:val="13"/>
              </w:rPr>
              <w:t>25%</w:t>
            </w:r>
          </w:p>
        </w:tc>
        <w:tc>
          <w:tcPr>
            <w:tcW w:w="2235" w:type="dxa"/>
            <w:tcBorders>
              <w:top w:val="single" w:sz="6" w:space="0" w:color="000000"/>
            </w:tcBorders>
          </w:tcPr>
          <w:p>
            <w:pPr>
              <w:pStyle w:val="TableParagraph"/>
              <w:spacing w:before="17"/>
              <w:rPr>
                <w:sz w:val="13"/>
              </w:rPr>
            </w:pPr>
          </w:p>
          <w:p>
            <w:pPr>
              <w:pStyle w:val="TableParagraph"/>
              <w:spacing w:line="142" w:lineRule="exact"/>
              <w:ind w:left="426"/>
              <w:rPr>
                <w:sz w:val="13"/>
              </w:rPr>
            </w:pPr>
            <w:r>
              <w:rPr>
                <w:spacing w:val="-2"/>
                <w:w w:val="105"/>
                <w:sz w:val="13"/>
              </w:rPr>
              <w:t>Straight</w:t>
            </w:r>
            <w:r>
              <w:rPr>
                <w:spacing w:val="6"/>
                <w:w w:val="105"/>
                <w:sz w:val="13"/>
              </w:rPr>
              <w:t> </w:t>
            </w:r>
            <w:r>
              <w:rPr>
                <w:spacing w:val="-4"/>
                <w:w w:val="105"/>
                <w:sz w:val="13"/>
              </w:rPr>
              <w:t>line</w:t>
            </w:r>
          </w:p>
        </w:tc>
      </w:tr>
      <w:tr>
        <w:trPr>
          <w:trHeight w:val="167" w:hRule="atLeast"/>
        </w:trPr>
        <w:tc>
          <w:tcPr>
            <w:tcW w:w="3360" w:type="dxa"/>
          </w:tcPr>
          <w:p>
            <w:pPr>
              <w:pStyle w:val="TableParagraph"/>
              <w:numPr>
                <w:ilvl w:val="0"/>
                <w:numId w:val="29"/>
              </w:numPr>
              <w:tabs>
                <w:tab w:pos="262" w:val="left" w:leader="none"/>
              </w:tabs>
              <w:spacing w:line="135" w:lineRule="exact" w:before="12" w:after="0"/>
              <w:ind w:left="262" w:right="0" w:hanging="86"/>
              <w:jc w:val="left"/>
              <w:rPr>
                <w:sz w:val="13"/>
              </w:rPr>
            </w:pPr>
            <w:r>
              <w:rPr>
                <w:w w:val="105"/>
                <w:sz w:val="13"/>
              </w:rPr>
              <w:t>General</w:t>
            </w:r>
            <w:r>
              <w:rPr>
                <w:spacing w:val="-8"/>
                <w:w w:val="105"/>
                <w:sz w:val="13"/>
              </w:rPr>
              <w:t> </w:t>
            </w:r>
            <w:r>
              <w:rPr>
                <w:w w:val="105"/>
                <w:sz w:val="13"/>
              </w:rPr>
              <w:t>plant</w:t>
            </w:r>
            <w:r>
              <w:rPr>
                <w:spacing w:val="-8"/>
                <w:w w:val="105"/>
                <w:sz w:val="13"/>
              </w:rPr>
              <w:t> </w:t>
            </w:r>
            <w:r>
              <w:rPr>
                <w:w w:val="105"/>
                <w:sz w:val="13"/>
              </w:rPr>
              <w:t>and</w:t>
            </w:r>
            <w:r>
              <w:rPr>
                <w:spacing w:val="-8"/>
                <w:w w:val="105"/>
                <w:sz w:val="13"/>
              </w:rPr>
              <w:t> </w:t>
            </w:r>
            <w:r>
              <w:rPr>
                <w:spacing w:val="-2"/>
                <w:w w:val="105"/>
                <w:sz w:val="13"/>
              </w:rPr>
              <w:t>equipment</w:t>
            </w:r>
          </w:p>
        </w:tc>
        <w:tc>
          <w:tcPr>
            <w:tcW w:w="2762" w:type="dxa"/>
          </w:tcPr>
          <w:p>
            <w:pPr>
              <w:pStyle w:val="TableParagraph"/>
              <w:spacing w:line="142" w:lineRule="exact" w:before="6"/>
              <w:ind w:left="860"/>
              <w:rPr>
                <w:sz w:val="13"/>
              </w:rPr>
            </w:pPr>
            <w:r>
              <w:rPr>
                <w:spacing w:val="-2"/>
                <w:w w:val="105"/>
                <w:sz w:val="13"/>
              </w:rPr>
              <w:t>12.5%</w:t>
            </w:r>
          </w:p>
        </w:tc>
        <w:tc>
          <w:tcPr>
            <w:tcW w:w="2235" w:type="dxa"/>
          </w:tcPr>
          <w:p>
            <w:pPr>
              <w:pStyle w:val="TableParagraph"/>
              <w:spacing w:line="142" w:lineRule="exact" w:before="6"/>
              <w:ind w:left="426"/>
              <w:rPr>
                <w:sz w:val="13"/>
              </w:rPr>
            </w:pPr>
            <w:r>
              <w:rPr>
                <w:spacing w:val="-2"/>
                <w:w w:val="105"/>
                <w:sz w:val="13"/>
              </w:rPr>
              <w:t>Straight</w:t>
            </w:r>
            <w:r>
              <w:rPr>
                <w:spacing w:val="6"/>
                <w:w w:val="105"/>
                <w:sz w:val="13"/>
              </w:rPr>
              <w:t> </w:t>
            </w:r>
            <w:r>
              <w:rPr>
                <w:spacing w:val="-4"/>
                <w:w w:val="105"/>
                <w:sz w:val="13"/>
              </w:rPr>
              <w:t>line</w:t>
            </w:r>
          </w:p>
        </w:tc>
      </w:tr>
      <w:tr>
        <w:trPr>
          <w:trHeight w:val="160" w:hRule="atLeast"/>
        </w:trPr>
        <w:tc>
          <w:tcPr>
            <w:tcW w:w="3360" w:type="dxa"/>
            <w:tcBorders>
              <w:bottom w:val="single" w:sz="6" w:space="0" w:color="000000"/>
            </w:tcBorders>
          </w:tcPr>
          <w:p>
            <w:pPr>
              <w:pStyle w:val="TableParagraph"/>
              <w:numPr>
                <w:ilvl w:val="0"/>
                <w:numId w:val="30"/>
              </w:numPr>
              <w:tabs>
                <w:tab w:pos="262" w:val="left" w:leader="none"/>
              </w:tabs>
              <w:spacing w:line="128" w:lineRule="exact" w:before="12" w:after="0"/>
              <w:ind w:left="262" w:right="0" w:hanging="86"/>
              <w:jc w:val="left"/>
              <w:rPr>
                <w:sz w:val="13"/>
              </w:rPr>
            </w:pPr>
            <w:r>
              <w:rPr>
                <w:w w:val="105"/>
                <w:sz w:val="13"/>
              </w:rPr>
              <w:t>Motor</w:t>
            </w:r>
            <w:r>
              <w:rPr>
                <w:spacing w:val="-7"/>
                <w:w w:val="105"/>
                <w:sz w:val="13"/>
              </w:rPr>
              <w:t> </w:t>
            </w:r>
            <w:r>
              <w:rPr>
                <w:spacing w:val="-2"/>
                <w:w w:val="105"/>
                <w:sz w:val="13"/>
              </w:rPr>
              <w:t>vehicles</w:t>
            </w:r>
          </w:p>
        </w:tc>
        <w:tc>
          <w:tcPr>
            <w:tcW w:w="2762" w:type="dxa"/>
            <w:tcBorders>
              <w:bottom w:val="single" w:sz="6" w:space="0" w:color="000000"/>
            </w:tcBorders>
          </w:tcPr>
          <w:p>
            <w:pPr>
              <w:pStyle w:val="TableParagraph"/>
              <w:spacing w:line="134" w:lineRule="exact" w:before="6"/>
              <w:ind w:left="860"/>
              <w:rPr>
                <w:sz w:val="13"/>
              </w:rPr>
            </w:pPr>
            <w:r>
              <w:rPr>
                <w:spacing w:val="-2"/>
                <w:w w:val="105"/>
                <w:sz w:val="13"/>
              </w:rPr>
              <w:t>17.4%</w:t>
            </w:r>
          </w:p>
        </w:tc>
        <w:tc>
          <w:tcPr>
            <w:tcW w:w="2235" w:type="dxa"/>
            <w:tcBorders>
              <w:bottom w:val="single" w:sz="6" w:space="0" w:color="000000"/>
            </w:tcBorders>
          </w:tcPr>
          <w:p>
            <w:pPr>
              <w:pStyle w:val="TableParagraph"/>
              <w:spacing w:line="134" w:lineRule="exact" w:before="6"/>
              <w:ind w:left="426"/>
              <w:rPr>
                <w:sz w:val="13"/>
              </w:rPr>
            </w:pPr>
            <w:r>
              <w:rPr>
                <w:spacing w:val="-2"/>
                <w:w w:val="105"/>
                <w:sz w:val="13"/>
              </w:rPr>
              <w:t>Straight</w:t>
            </w:r>
            <w:r>
              <w:rPr>
                <w:spacing w:val="6"/>
                <w:w w:val="105"/>
                <w:sz w:val="13"/>
              </w:rPr>
              <w:t> </w:t>
            </w:r>
            <w:r>
              <w:rPr>
                <w:spacing w:val="-4"/>
                <w:w w:val="105"/>
                <w:sz w:val="13"/>
              </w:rPr>
              <w:t>line</w:t>
            </w:r>
          </w:p>
        </w:tc>
      </w:tr>
      <w:tr>
        <w:trPr>
          <w:trHeight w:val="152" w:hRule="atLeast"/>
        </w:trPr>
        <w:tc>
          <w:tcPr>
            <w:tcW w:w="3360" w:type="dxa"/>
            <w:tcBorders>
              <w:top w:val="single" w:sz="6" w:space="0" w:color="000000"/>
              <w:bottom w:val="single" w:sz="6" w:space="0" w:color="000000"/>
            </w:tcBorders>
          </w:tcPr>
          <w:p>
            <w:pPr>
              <w:pStyle w:val="TableParagraph"/>
              <w:spacing w:line="128" w:lineRule="exact" w:before="5"/>
              <w:ind w:left="26"/>
              <w:rPr>
                <w:sz w:val="13"/>
              </w:rPr>
            </w:pPr>
            <w:r>
              <w:rPr>
                <w:spacing w:val="-2"/>
                <w:w w:val="105"/>
                <w:sz w:val="13"/>
              </w:rPr>
              <w:t>Library</w:t>
            </w:r>
            <w:r>
              <w:rPr>
                <w:spacing w:val="2"/>
                <w:w w:val="105"/>
                <w:sz w:val="13"/>
              </w:rPr>
              <w:t> </w:t>
            </w:r>
            <w:r>
              <w:rPr>
                <w:spacing w:val="-2"/>
                <w:w w:val="105"/>
                <w:sz w:val="13"/>
              </w:rPr>
              <w:t>books</w:t>
            </w:r>
          </w:p>
        </w:tc>
        <w:tc>
          <w:tcPr>
            <w:tcW w:w="2762" w:type="dxa"/>
            <w:tcBorders>
              <w:top w:val="single" w:sz="6" w:space="0" w:color="000000"/>
              <w:bottom w:val="single" w:sz="6" w:space="0" w:color="000000"/>
            </w:tcBorders>
          </w:tcPr>
          <w:p>
            <w:pPr>
              <w:pStyle w:val="TableParagraph"/>
              <w:spacing w:line="133" w:lineRule="exact"/>
              <w:ind w:left="860"/>
              <w:rPr>
                <w:sz w:val="13"/>
              </w:rPr>
            </w:pPr>
            <w:r>
              <w:rPr>
                <w:spacing w:val="-5"/>
                <w:w w:val="105"/>
                <w:sz w:val="13"/>
              </w:rPr>
              <w:t>10%</w:t>
            </w:r>
          </w:p>
        </w:tc>
        <w:tc>
          <w:tcPr>
            <w:tcW w:w="2235" w:type="dxa"/>
            <w:tcBorders>
              <w:top w:val="single" w:sz="6" w:space="0" w:color="000000"/>
              <w:bottom w:val="single" w:sz="6" w:space="0" w:color="000000"/>
            </w:tcBorders>
          </w:tcPr>
          <w:p>
            <w:pPr>
              <w:pStyle w:val="TableParagraph"/>
              <w:spacing w:line="133" w:lineRule="exact"/>
              <w:ind w:left="426"/>
              <w:rPr>
                <w:sz w:val="13"/>
              </w:rPr>
            </w:pPr>
            <w:r>
              <w:rPr>
                <w:spacing w:val="-2"/>
                <w:w w:val="105"/>
                <w:sz w:val="13"/>
              </w:rPr>
              <w:t>Straight</w:t>
            </w:r>
            <w:r>
              <w:rPr>
                <w:spacing w:val="6"/>
                <w:w w:val="105"/>
                <w:sz w:val="13"/>
              </w:rPr>
              <w:t> </w:t>
            </w:r>
            <w:r>
              <w:rPr>
                <w:spacing w:val="-4"/>
                <w:w w:val="105"/>
                <w:sz w:val="13"/>
              </w:rPr>
              <w:t>line</w:t>
            </w:r>
          </w:p>
        </w:tc>
      </w:tr>
      <w:tr>
        <w:trPr>
          <w:trHeight w:val="152" w:hRule="atLeast"/>
        </w:trPr>
        <w:tc>
          <w:tcPr>
            <w:tcW w:w="3360" w:type="dxa"/>
            <w:tcBorders>
              <w:top w:val="single" w:sz="6" w:space="0" w:color="000000"/>
              <w:bottom w:val="single" w:sz="6" w:space="0" w:color="000000"/>
            </w:tcBorders>
          </w:tcPr>
          <w:p>
            <w:pPr>
              <w:pStyle w:val="TableParagraph"/>
              <w:spacing w:line="128" w:lineRule="exact" w:before="5"/>
              <w:ind w:left="26"/>
              <w:rPr>
                <w:sz w:val="13"/>
              </w:rPr>
            </w:pPr>
            <w:r>
              <w:rPr>
                <w:spacing w:val="-2"/>
                <w:w w:val="105"/>
                <w:sz w:val="13"/>
              </w:rPr>
              <w:t>Artworks</w:t>
            </w:r>
          </w:p>
        </w:tc>
        <w:tc>
          <w:tcPr>
            <w:tcW w:w="2762" w:type="dxa"/>
            <w:tcBorders>
              <w:top w:val="single" w:sz="6" w:space="0" w:color="000000"/>
              <w:bottom w:val="single" w:sz="6" w:space="0" w:color="000000"/>
            </w:tcBorders>
          </w:tcPr>
          <w:p>
            <w:pPr>
              <w:pStyle w:val="TableParagraph"/>
              <w:spacing w:line="133" w:lineRule="exact"/>
              <w:ind w:left="860"/>
              <w:rPr>
                <w:sz w:val="13"/>
              </w:rPr>
            </w:pPr>
            <w:r>
              <w:rPr>
                <w:w w:val="105"/>
                <w:sz w:val="13"/>
              </w:rPr>
              <w:t>Not</w:t>
            </w:r>
            <w:r>
              <w:rPr>
                <w:spacing w:val="-4"/>
                <w:w w:val="105"/>
                <w:sz w:val="13"/>
              </w:rPr>
              <w:t> </w:t>
            </w:r>
            <w:r>
              <w:rPr>
                <w:spacing w:val="-2"/>
                <w:w w:val="105"/>
                <w:sz w:val="13"/>
              </w:rPr>
              <w:t>depreciated</w:t>
            </w:r>
          </w:p>
        </w:tc>
        <w:tc>
          <w:tcPr>
            <w:tcW w:w="2235" w:type="dxa"/>
            <w:tcBorders>
              <w:top w:val="single" w:sz="6" w:space="0" w:color="000000"/>
              <w:bottom w:val="single" w:sz="6" w:space="0" w:color="000000"/>
            </w:tcBorders>
          </w:tcPr>
          <w:p>
            <w:pPr>
              <w:pStyle w:val="TableParagraph"/>
              <w:spacing w:line="133" w:lineRule="exact"/>
              <w:ind w:left="426"/>
              <w:rPr>
                <w:sz w:val="13"/>
              </w:rPr>
            </w:pPr>
            <w:r>
              <w:rPr>
                <w:w w:val="105"/>
                <w:sz w:val="13"/>
              </w:rPr>
              <w:t>Not</w:t>
            </w:r>
            <w:r>
              <w:rPr>
                <w:spacing w:val="-4"/>
                <w:w w:val="105"/>
                <w:sz w:val="13"/>
              </w:rPr>
              <w:t> </w:t>
            </w:r>
            <w:r>
              <w:rPr>
                <w:spacing w:val="-2"/>
                <w:w w:val="105"/>
                <w:sz w:val="13"/>
              </w:rPr>
              <w:t>depreciated</w:t>
            </w:r>
          </w:p>
        </w:tc>
      </w:tr>
      <w:tr>
        <w:trPr>
          <w:trHeight w:val="152" w:hRule="atLeast"/>
        </w:trPr>
        <w:tc>
          <w:tcPr>
            <w:tcW w:w="3360" w:type="dxa"/>
            <w:tcBorders>
              <w:top w:val="single" w:sz="6" w:space="0" w:color="000000"/>
              <w:bottom w:val="single" w:sz="6" w:space="0" w:color="000000"/>
            </w:tcBorders>
          </w:tcPr>
          <w:p>
            <w:pPr>
              <w:pStyle w:val="TableParagraph"/>
              <w:spacing w:line="128" w:lineRule="exact" w:before="5"/>
              <w:ind w:left="26"/>
              <w:rPr>
                <w:sz w:val="13"/>
              </w:rPr>
            </w:pPr>
            <w:r>
              <w:rPr>
                <w:w w:val="105"/>
                <w:sz w:val="13"/>
              </w:rPr>
              <w:t>Special</w:t>
            </w:r>
            <w:r>
              <w:rPr>
                <w:spacing w:val="-8"/>
                <w:w w:val="105"/>
                <w:sz w:val="13"/>
              </w:rPr>
              <w:t> </w:t>
            </w:r>
            <w:r>
              <w:rPr>
                <w:spacing w:val="-2"/>
                <w:w w:val="105"/>
                <w:sz w:val="13"/>
              </w:rPr>
              <w:t>collections</w:t>
            </w:r>
          </w:p>
        </w:tc>
        <w:tc>
          <w:tcPr>
            <w:tcW w:w="2762" w:type="dxa"/>
            <w:tcBorders>
              <w:top w:val="single" w:sz="6" w:space="0" w:color="000000"/>
              <w:bottom w:val="single" w:sz="6" w:space="0" w:color="000000"/>
            </w:tcBorders>
          </w:tcPr>
          <w:p>
            <w:pPr>
              <w:pStyle w:val="TableParagraph"/>
              <w:spacing w:line="133" w:lineRule="exact"/>
              <w:ind w:left="860"/>
              <w:rPr>
                <w:sz w:val="13"/>
              </w:rPr>
            </w:pPr>
            <w:r>
              <w:rPr>
                <w:w w:val="105"/>
                <w:sz w:val="13"/>
              </w:rPr>
              <w:t>Not</w:t>
            </w:r>
            <w:r>
              <w:rPr>
                <w:spacing w:val="-4"/>
                <w:w w:val="105"/>
                <w:sz w:val="13"/>
              </w:rPr>
              <w:t> </w:t>
            </w:r>
            <w:r>
              <w:rPr>
                <w:spacing w:val="-2"/>
                <w:w w:val="105"/>
                <w:sz w:val="13"/>
              </w:rPr>
              <w:t>depreciated</w:t>
            </w:r>
          </w:p>
        </w:tc>
        <w:tc>
          <w:tcPr>
            <w:tcW w:w="2235" w:type="dxa"/>
            <w:tcBorders>
              <w:top w:val="single" w:sz="6" w:space="0" w:color="000000"/>
              <w:bottom w:val="single" w:sz="6" w:space="0" w:color="000000"/>
            </w:tcBorders>
          </w:tcPr>
          <w:p>
            <w:pPr>
              <w:pStyle w:val="TableParagraph"/>
              <w:spacing w:line="133" w:lineRule="exact"/>
              <w:ind w:left="426"/>
              <w:rPr>
                <w:sz w:val="13"/>
              </w:rPr>
            </w:pPr>
            <w:r>
              <w:rPr>
                <w:w w:val="105"/>
                <w:sz w:val="13"/>
              </w:rPr>
              <w:t>Not</w:t>
            </w:r>
            <w:r>
              <w:rPr>
                <w:spacing w:val="-4"/>
                <w:w w:val="105"/>
                <w:sz w:val="13"/>
              </w:rPr>
              <w:t> </w:t>
            </w:r>
            <w:r>
              <w:rPr>
                <w:spacing w:val="-2"/>
                <w:w w:val="105"/>
                <w:sz w:val="13"/>
              </w:rPr>
              <w:t>depreciated</w:t>
            </w:r>
          </w:p>
        </w:tc>
      </w:tr>
    </w:tbl>
    <w:p>
      <w:pPr>
        <w:spacing w:line="240" w:lineRule="auto" w:before="32"/>
        <w:rPr>
          <w:sz w:val="13"/>
        </w:rPr>
      </w:pPr>
    </w:p>
    <w:p>
      <w:pPr>
        <w:spacing w:line="273" w:lineRule="auto" w:before="0"/>
        <w:ind w:left="741" w:right="297" w:firstLine="0"/>
        <w:jc w:val="both"/>
        <w:rPr>
          <w:sz w:val="13"/>
        </w:rPr>
      </w:pPr>
      <w:r>
        <w:rPr>
          <w:w w:val="105"/>
          <w:sz w:val="13"/>
        </w:rPr>
        <w:t>Land,</w:t>
      </w:r>
      <w:r>
        <w:rPr>
          <w:w w:val="105"/>
          <w:sz w:val="13"/>
        </w:rPr>
        <w:t> artworks</w:t>
      </w:r>
      <w:r>
        <w:rPr>
          <w:w w:val="105"/>
          <w:sz w:val="13"/>
        </w:rPr>
        <w:t> and</w:t>
      </w:r>
      <w:r>
        <w:rPr>
          <w:w w:val="105"/>
          <w:sz w:val="13"/>
        </w:rPr>
        <w:t> special</w:t>
      </w:r>
      <w:r>
        <w:rPr>
          <w:w w:val="105"/>
          <w:sz w:val="13"/>
        </w:rPr>
        <w:t> collections</w:t>
      </w:r>
      <w:r>
        <w:rPr>
          <w:w w:val="105"/>
          <w:sz w:val="13"/>
        </w:rPr>
        <w:t> controlled</w:t>
      </w:r>
      <w:r>
        <w:rPr>
          <w:w w:val="105"/>
          <w:sz w:val="13"/>
        </w:rPr>
        <w:t> by</w:t>
      </w:r>
      <w:r>
        <w:rPr>
          <w:w w:val="105"/>
          <w:sz w:val="13"/>
        </w:rPr>
        <w:t> the</w:t>
      </w:r>
      <w:r>
        <w:rPr>
          <w:w w:val="105"/>
          <w:sz w:val="13"/>
        </w:rPr>
        <w:t> University</w:t>
      </w:r>
      <w:r>
        <w:rPr>
          <w:w w:val="105"/>
          <w:sz w:val="13"/>
        </w:rPr>
        <w:t> are</w:t>
      </w:r>
      <w:r>
        <w:rPr>
          <w:w w:val="105"/>
          <w:sz w:val="13"/>
        </w:rPr>
        <w:t> classified</w:t>
      </w:r>
      <w:r>
        <w:rPr>
          <w:w w:val="105"/>
          <w:sz w:val="13"/>
        </w:rPr>
        <w:t> as</w:t>
      </w:r>
      <w:r>
        <w:rPr>
          <w:w w:val="105"/>
          <w:sz w:val="13"/>
        </w:rPr>
        <w:t> non-current</w:t>
      </w:r>
      <w:r>
        <w:rPr>
          <w:w w:val="105"/>
          <w:sz w:val="13"/>
        </w:rPr>
        <w:t> assets.</w:t>
      </w:r>
      <w:r>
        <w:rPr>
          <w:w w:val="105"/>
          <w:sz w:val="13"/>
        </w:rPr>
        <w:t> They</w:t>
      </w:r>
      <w:r>
        <w:rPr>
          <w:w w:val="105"/>
          <w:sz w:val="13"/>
        </w:rPr>
        <w:t> are</w:t>
      </w:r>
      <w:r>
        <w:rPr>
          <w:w w:val="105"/>
          <w:sz w:val="13"/>
        </w:rPr>
        <w:t> anticipated</w:t>
      </w:r>
      <w:r>
        <w:rPr>
          <w:w w:val="105"/>
          <w:sz w:val="13"/>
        </w:rPr>
        <w:t> to</w:t>
      </w:r>
      <w:r>
        <w:rPr>
          <w:w w:val="105"/>
          <w:sz w:val="13"/>
        </w:rPr>
        <w:t> have</w:t>
      </w:r>
      <w:r>
        <w:rPr>
          <w:spacing w:val="40"/>
          <w:w w:val="105"/>
          <w:sz w:val="13"/>
        </w:rPr>
        <w:t> </w:t>
      </w:r>
      <w:r>
        <w:rPr>
          <w:w w:val="105"/>
          <w:sz w:val="13"/>
        </w:rPr>
        <w:t>indefinite</w:t>
      </w:r>
      <w:r>
        <w:rPr>
          <w:w w:val="105"/>
          <w:sz w:val="13"/>
        </w:rPr>
        <w:t> useful</w:t>
      </w:r>
      <w:r>
        <w:rPr>
          <w:w w:val="105"/>
          <w:sz w:val="13"/>
        </w:rPr>
        <w:t> lives, as their</w:t>
      </w:r>
      <w:r>
        <w:rPr>
          <w:w w:val="105"/>
          <w:sz w:val="13"/>
        </w:rPr>
        <w:t> service</w:t>
      </w:r>
      <w:r>
        <w:rPr>
          <w:w w:val="105"/>
          <w:sz w:val="13"/>
        </w:rPr>
        <w:t> potential</w:t>
      </w:r>
      <w:r>
        <w:rPr>
          <w:w w:val="105"/>
          <w:sz w:val="13"/>
        </w:rPr>
        <w:t> is not, in</w:t>
      </w:r>
      <w:r>
        <w:rPr>
          <w:w w:val="105"/>
          <w:sz w:val="13"/>
        </w:rPr>
        <w:t> any</w:t>
      </w:r>
      <w:r>
        <w:rPr>
          <w:w w:val="105"/>
          <w:sz w:val="13"/>
        </w:rPr>
        <w:t> material</w:t>
      </w:r>
      <w:r>
        <w:rPr>
          <w:w w:val="105"/>
          <w:sz w:val="13"/>
        </w:rPr>
        <w:t> sense, consumed.</w:t>
      </w:r>
      <w:r>
        <w:rPr>
          <w:w w:val="105"/>
          <w:sz w:val="13"/>
        </w:rPr>
        <w:t> As such,</w:t>
      </w:r>
      <w:r>
        <w:rPr>
          <w:w w:val="105"/>
          <w:sz w:val="13"/>
        </w:rPr>
        <w:t> no</w:t>
      </w:r>
      <w:r>
        <w:rPr>
          <w:w w:val="105"/>
          <w:sz w:val="13"/>
        </w:rPr>
        <w:t> amount</w:t>
      </w:r>
      <w:r>
        <w:rPr>
          <w:w w:val="105"/>
          <w:sz w:val="13"/>
        </w:rPr>
        <w:t> for</w:t>
      </w:r>
      <w:r>
        <w:rPr>
          <w:w w:val="105"/>
          <w:sz w:val="13"/>
        </w:rPr>
        <w:t> depreciation</w:t>
      </w:r>
      <w:r>
        <w:rPr>
          <w:w w:val="105"/>
          <w:sz w:val="13"/>
        </w:rPr>
        <w:t> is</w:t>
      </w:r>
      <w:r>
        <w:rPr>
          <w:spacing w:val="40"/>
          <w:w w:val="105"/>
          <w:sz w:val="13"/>
        </w:rPr>
        <w:t> </w:t>
      </w:r>
      <w:r>
        <w:rPr>
          <w:w w:val="105"/>
          <w:sz w:val="13"/>
        </w:rPr>
        <w:t>recognised.</w:t>
      </w:r>
      <w:r>
        <w:rPr>
          <w:spacing w:val="-1"/>
          <w:w w:val="105"/>
          <w:sz w:val="13"/>
        </w:rPr>
        <w:t> </w:t>
      </w:r>
      <w:r>
        <w:rPr>
          <w:w w:val="105"/>
          <w:sz w:val="13"/>
        </w:rPr>
        <w:t>Work in</w:t>
      </w:r>
      <w:r>
        <w:rPr>
          <w:spacing w:val="-1"/>
          <w:w w:val="105"/>
          <w:sz w:val="13"/>
        </w:rPr>
        <w:t> </w:t>
      </w:r>
      <w:r>
        <w:rPr>
          <w:w w:val="105"/>
          <w:sz w:val="13"/>
        </w:rPr>
        <w:t>progress assets are</w:t>
      </w:r>
      <w:r>
        <w:rPr>
          <w:spacing w:val="-1"/>
          <w:w w:val="105"/>
          <w:sz w:val="13"/>
        </w:rPr>
        <w:t> </w:t>
      </w:r>
      <w:r>
        <w:rPr>
          <w:w w:val="105"/>
          <w:sz w:val="13"/>
        </w:rPr>
        <w:t>not</w:t>
      </w:r>
      <w:r>
        <w:rPr>
          <w:spacing w:val="-1"/>
          <w:w w:val="105"/>
          <w:sz w:val="13"/>
        </w:rPr>
        <w:t> </w:t>
      </w:r>
      <w:r>
        <w:rPr>
          <w:w w:val="105"/>
          <w:sz w:val="13"/>
        </w:rPr>
        <w:t>depreciated</w:t>
      </w:r>
      <w:r>
        <w:rPr>
          <w:spacing w:val="-1"/>
          <w:w w:val="105"/>
          <w:sz w:val="13"/>
        </w:rPr>
        <w:t> </w:t>
      </w:r>
      <w:r>
        <w:rPr>
          <w:w w:val="105"/>
          <w:sz w:val="13"/>
        </w:rPr>
        <w:t>until construction</w:t>
      </w:r>
      <w:r>
        <w:rPr>
          <w:spacing w:val="-1"/>
          <w:w w:val="105"/>
          <w:sz w:val="13"/>
        </w:rPr>
        <w:t> </w:t>
      </w:r>
      <w:r>
        <w:rPr>
          <w:w w:val="105"/>
          <w:sz w:val="13"/>
        </w:rPr>
        <w:t>has been</w:t>
      </w:r>
      <w:r>
        <w:rPr>
          <w:spacing w:val="-1"/>
          <w:w w:val="105"/>
          <w:sz w:val="13"/>
        </w:rPr>
        <w:t> </w:t>
      </w:r>
      <w:r>
        <w:rPr>
          <w:w w:val="105"/>
          <w:sz w:val="13"/>
        </w:rPr>
        <w:t>completed</w:t>
      </w:r>
      <w:r>
        <w:rPr>
          <w:spacing w:val="-1"/>
          <w:w w:val="105"/>
          <w:sz w:val="13"/>
        </w:rPr>
        <w:t> </w:t>
      </w:r>
      <w:r>
        <w:rPr>
          <w:w w:val="105"/>
          <w:sz w:val="13"/>
        </w:rPr>
        <w:t>and</w:t>
      </w:r>
      <w:r>
        <w:rPr>
          <w:spacing w:val="-1"/>
          <w:w w:val="105"/>
          <w:sz w:val="13"/>
        </w:rPr>
        <w:t> </w:t>
      </w:r>
      <w:r>
        <w:rPr>
          <w:w w:val="105"/>
          <w:sz w:val="13"/>
        </w:rPr>
        <w:t>the</w:t>
      </w:r>
      <w:r>
        <w:rPr>
          <w:spacing w:val="-1"/>
          <w:w w:val="105"/>
          <w:sz w:val="13"/>
        </w:rPr>
        <w:t> </w:t>
      </w:r>
      <w:r>
        <w:rPr>
          <w:w w:val="105"/>
          <w:sz w:val="13"/>
        </w:rPr>
        <w:t>asset</w:t>
      </w:r>
      <w:r>
        <w:rPr>
          <w:spacing w:val="-1"/>
          <w:w w:val="105"/>
          <w:sz w:val="13"/>
        </w:rPr>
        <w:t> </w:t>
      </w:r>
      <w:r>
        <w:rPr>
          <w:w w:val="105"/>
          <w:sz w:val="13"/>
        </w:rPr>
        <w:t>is available</w:t>
      </w:r>
      <w:r>
        <w:rPr>
          <w:spacing w:val="-1"/>
          <w:w w:val="105"/>
          <w:sz w:val="13"/>
        </w:rPr>
        <w:t> </w:t>
      </w:r>
      <w:r>
        <w:rPr>
          <w:w w:val="105"/>
          <w:sz w:val="13"/>
        </w:rPr>
        <w:t>for use.</w:t>
      </w:r>
    </w:p>
    <w:p>
      <w:pPr>
        <w:spacing w:line="240" w:lineRule="auto" w:before="19"/>
        <w:rPr>
          <w:sz w:val="13"/>
        </w:rPr>
      </w:pPr>
    </w:p>
    <w:p>
      <w:pPr>
        <w:spacing w:line="273" w:lineRule="auto" w:before="0"/>
        <w:ind w:left="741" w:right="298" w:hanging="1"/>
        <w:jc w:val="both"/>
        <w:rPr>
          <w:sz w:val="13"/>
        </w:rPr>
      </w:pPr>
      <w:r>
        <w:rPr>
          <w:w w:val="105"/>
          <w:sz w:val="13"/>
        </w:rPr>
        <w:t>Assets’</w:t>
      </w:r>
      <w:r>
        <w:rPr>
          <w:w w:val="105"/>
          <w:sz w:val="13"/>
        </w:rPr>
        <w:t> residual</w:t>
      </w:r>
      <w:r>
        <w:rPr>
          <w:w w:val="105"/>
          <w:sz w:val="13"/>
        </w:rPr>
        <w:t> values</w:t>
      </w:r>
      <w:r>
        <w:rPr>
          <w:w w:val="105"/>
          <w:sz w:val="13"/>
        </w:rPr>
        <w:t> and</w:t>
      </w:r>
      <w:r>
        <w:rPr>
          <w:w w:val="105"/>
          <w:sz w:val="13"/>
        </w:rPr>
        <w:t> useful</w:t>
      </w:r>
      <w:r>
        <w:rPr>
          <w:w w:val="105"/>
          <w:sz w:val="13"/>
        </w:rPr>
        <w:t> lives</w:t>
      </w:r>
      <w:r>
        <w:rPr>
          <w:w w:val="105"/>
          <w:sz w:val="13"/>
        </w:rPr>
        <w:t> are</w:t>
      </w:r>
      <w:r>
        <w:rPr>
          <w:w w:val="105"/>
          <w:sz w:val="13"/>
        </w:rPr>
        <w:t> reviewed</w:t>
      </w:r>
      <w:r>
        <w:rPr>
          <w:w w:val="105"/>
          <w:sz w:val="13"/>
        </w:rPr>
        <w:t> at</w:t>
      </w:r>
      <w:r>
        <w:rPr>
          <w:w w:val="105"/>
          <w:sz w:val="13"/>
        </w:rPr>
        <w:t> each</w:t>
      </w:r>
      <w:r>
        <w:rPr>
          <w:w w:val="105"/>
          <w:sz w:val="13"/>
        </w:rPr>
        <w:t> balance</w:t>
      </w:r>
      <w:r>
        <w:rPr>
          <w:w w:val="105"/>
          <w:sz w:val="13"/>
        </w:rPr>
        <w:t> sheet</w:t>
      </w:r>
      <w:r>
        <w:rPr>
          <w:w w:val="105"/>
          <w:sz w:val="13"/>
        </w:rPr>
        <w:t> date.</w:t>
      </w:r>
      <w:r>
        <w:rPr>
          <w:w w:val="105"/>
          <w:sz w:val="13"/>
        </w:rPr>
        <w:t> Gains</w:t>
      </w:r>
      <w:r>
        <w:rPr>
          <w:w w:val="105"/>
          <w:sz w:val="13"/>
        </w:rPr>
        <w:t> and</w:t>
      </w:r>
      <w:r>
        <w:rPr>
          <w:w w:val="105"/>
          <w:sz w:val="13"/>
        </w:rPr>
        <w:t> losses</w:t>
      </w:r>
      <w:r>
        <w:rPr>
          <w:w w:val="105"/>
          <w:sz w:val="13"/>
        </w:rPr>
        <w:t> on</w:t>
      </w:r>
      <w:r>
        <w:rPr>
          <w:w w:val="105"/>
          <w:sz w:val="13"/>
        </w:rPr>
        <w:t> disposal</w:t>
      </w:r>
      <w:r>
        <w:rPr>
          <w:w w:val="105"/>
          <w:sz w:val="13"/>
        </w:rPr>
        <w:t> are</w:t>
      </w:r>
      <w:r>
        <w:rPr>
          <w:w w:val="105"/>
          <w:sz w:val="13"/>
        </w:rPr>
        <w:t> recorded</w:t>
      </w:r>
      <w:r>
        <w:rPr>
          <w:w w:val="105"/>
          <w:sz w:val="13"/>
        </w:rPr>
        <w:t> in</w:t>
      </w:r>
      <w:r>
        <w:rPr>
          <w:w w:val="105"/>
          <w:sz w:val="13"/>
        </w:rPr>
        <w:t> the</w:t>
      </w:r>
      <w:r>
        <w:rPr>
          <w:spacing w:val="40"/>
          <w:w w:val="105"/>
          <w:sz w:val="13"/>
        </w:rPr>
        <w:t> </w:t>
      </w:r>
      <w:r>
        <w:rPr>
          <w:w w:val="105"/>
          <w:sz w:val="13"/>
        </w:rPr>
        <w:t>income statement for the year.</w:t>
      </w:r>
    </w:p>
    <w:p>
      <w:pPr>
        <w:spacing w:line="240" w:lineRule="auto" w:before="20"/>
        <w:rPr>
          <w:sz w:val="13"/>
        </w:rPr>
      </w:pPr>
    </w:p>
    <w:p>
      <w:pPr>
        <w:spacing w:before="0"/>
        <w:ind w:left="741" w:right="0" w:firstLine="0"/>
        <w:jc w:val="both"/>
        <w:rPr>
          <w:sz w:val="13"/>
        </w:rPr>
      </w:pPr>
      <w:r>
        <w:rPr>
          <w:w w:val="105"/>
          <w:sz w:val="13"/>
        </w:rPr>
        <w:t>Impairment</w:t>
      </w:r>
      <w:r>
        <w:rPr>
          <w:spacing w:val="-7"/>
          <w:w w:val="105"/>
          <w:sz w:val="13"/>
        </w:rPr>
        <w:t> </w:t>
      </w:r>
      <w:r>
        <w:rPr>
          <w:w w:val="105"/>
          <w:sz w:val="13"/>
        </w:rPr>
        <w:t>testing</w:t>
      </w:r>
      <w:r>
        <w:rPr>
          <w:spacing w:val="-7"/>
          <w:w w:val="105"/>
          <w:sz w:val="13"/>
        </w:rPr>
        <w:t> </w:t>
      </w:r>
      <w:r>
        <w:rPr>
          <w:w w:val="105"/>
          <w:sz w:val="13"/>
        </w:rPr>
        <w:t>is</w:t>
      </w:r>
      <w:r>
        <w:rPr>
          <w:spacing w:val="-6"/>
          <w:w w:val="105"/>
          <w:sz w:val="13"/>
        </w:rPr>
        <w:t> </w:t>
      </w:r>
      <w:r>
        <w:rPr>
          <w:w w:val="105"/>
          <w:sz w:val="13"/>
        </w:rPr>
        <w:t>performed</w:t>
      </w:r>
      <w:r>
        <w:rPr>
          <w:spacing w:val="-7"/>
          <w:w w:val="105"/>
          <w:sz w:val="13"/>
        </w:rPr>
        <w:t> </w:t>
      </w:r>
      <w:r>
        <w:rPr>
          <w:w w:val="105"/>
          <w:sz w:val="13"/>
        </w:rPr>
        <w:t>when</w:t>
      </w:r>
      <w:r>
        <w:rPr>
          <w:spacing w:val="-7"/>
          <w:w w:val="105"/>
          <w:sz w:val="13"/>
        </w:rPr>
        <w:t> </w:t>
      </w:r>
      <w:r>
        <w:rPr>
          <w:w w:val="105"/>
          <w:sz w:val="13"/>
        </w:rPr>
        <w:t>an</w:t>
      </w:r>
      <w:r>
        <w:rPr>
          <w:spacing w:val="-6"/>
          <w:w w:val="105"/>
          <w:sz w:val="13"/>
        </w:rPr>
        <w:t> </w:t>
      </w:r>
      <w:r>
        <w:rPr>
          <w:w w:val="105"/>
          <w:sz w:val="13"/>
        </w:rPr>
        <w:t>indicator</w:t>
      </w:r>
      <w:r>
        <w:rPr>
          <w:spacing w:val="-6"/>
          <w:w w:val="105"/>
          <w:sz w:val="13"/>
        </w:rPr>
        <w:t> </w:t>
      </w:r>
      <w:r>
        <w:rPr>
          <w:w w:val="105"/>
          <w:sz w:val="13"/>
        </w:rPr>
        <w:t>of</w:t>
      </w:r>
      <w:r>
        <w:rPr>
          <w:spacing w:val="-4"/>
          <w:w w:val="105"/>
          <w:sz w:val="13"/>
        </w:rPr>
        <w:t> </w:t>
      </w:r>
      <w:r>
        <w:rPr>
          <w:w w:val="105"/>
          <w:sz w:val="13"/>
        </w:rPr>
        <w:t>impairment</w:t>
      </w:r>
      <w:r>
        <w:rPr>
          <w:spacing w:val="-7"/>
          <w:w w:val="105"/>
          <w:sz w:val="13"/>
        </w:rPr>
        <w:t> </w:t>
      </w:r>
      <w:r>
        <w:rPr>
          <w:w w:val="105"/>
          <w:sz w:val="13"/>
        </w:rPr>
        <w:t>is</w:t>
      </w:r>
      <w:r>
        <w:rPr>
          <w:spacing w:val="-6"/>
          <w:w w:val="105"/>
          <w:sz w:val="13"/>
        </w:rPr>
        <w:t> </w:t>
      </w:r>
      <w:r>
        <w:rPr>
          <w:spacing w:val="-2"/>
          <w:w w:val="105"/>
          <w:sz w:val="13"/>
        </w:rPr>
        <w:t>identified.</w:t>
      </w:r>
    </w:p>
    <w:p>
      <w:pPr>
        <w:spacing w:line="240" w:lineRule="auto" w:before="41"/>
        <w:rPr>
          <w:sz w:val="13"/>
        </w:rPr>
      </w:pPr>
    </w:p>
    <w:p>
      <w:pPr>
        <w:spacing w:line="273" w:lineRule="auto" w:before="0"/>
        <w:ind w:left="741" w:right="297" w:hanging="1"/>
        <w:jc w:val="both"/>
        <w:rPr>
          <w:sz w:val="13"/>
        </w:rPr>
      </w:pPr>
      <w:r>
        <w:rPr>
          <w:w w:val="105"/>
          <w:sz w:val="13"/>
        </w:rPr>
        <w:t>The carrying amount of</w:t>
      </w:r>
      <w:r>
        <w:rPr>
          <w:w w:val="105"/>
          <w:sz w:val="13"/>
        </w:rPr>
        <w:t> an asset is derecognised when disposed of</w:t>
      </w:r>
      <w:r>
        <w:rPr>
          <w:w w:val="105"/>
          <w:sz w:val="13"/>
        </w:rPr>
        <w:t> or when no future economic benefits are expected from its use or</w:t>
      </w:r>
      <w:r>
        <w:rPr>
          <w:spacing w:val="40"/>
          <w:w w:val="105"/>
          <w:sz w:val="13"/>
        </w:rPr>
        <w:t> </w:t>
      </w:r>
      <w:r>
        <w:rPr>
          <w:w w:val="105"/>
          <w:sz w:val="13"/>
        </w:rPr>
        <w:t>disposal.</w:t>
      </w:r>
      <w:r>
        <w:rPr>
          <w:w w:val="105"/>
          <w:sz w:val="13"/>
        </w:rPr>
        <w:t> Where</w:t>
      </w:r>
      <w:r>
        <w:rPr>
          <w:w w:val="105"/>
          <w:sz w:val="13"/>
        </w:rPr>
        <w:t> the</w:t>
      </w:r>
      <w:r>
        <w:rPr>
          <w:w w:val="105"/>
          <w:sz w:val="13"/>
        </w:rPr>
        <w:t> cost</w:t>
      </w:r>
      <w:r>
        <w:rPr>
          <w:w w:val="105"/>
          <w:sz w:val="13"/>
        </w:rPr>
        <w:t> of</w:t>
      </w:r>
      <w:r>
        <w:rPr>
          <w:w w:val="105"/>
          <w:sz w:val="13"/>
        </w:rPr>
        <w:t> a</w:t>
      </w:r>
      <w:r>
        <w:rPr>
          <w:w w:val="105"/>
          <w:sz w:val="13"/>
        </w:rPr>
        <w:t> replacement</w:t>
      </w:r>
      <w:r>
        <w:rPr>
          <w:w w:val="105"/>
          <w:sz w:val="13"/>
        </w:rPr>
        <w:t> part</w:t>
      </w:r>
      <w:r>
        <w:rPr>
          <w:w w:val="105"/>
          <w:sz w:val="13"/>
        </w:rPr>
        <w:t> of</w:t>
      </w:r>
      <w:r>
        <w:rPr>
          <w:w w:val="105"/>
          <w:sz w:val="13"/>
        </w:rPr>
        <w:t> an</w:t>
      </w:r>
      <w:r>
        <w:rPr>
          <w:w w:val="105"/>
          <w:sz w:val="13"/>
        </w:rPr>
        <w:t> item</w:t>
      </w:r>
      <w:r>
        <w:rPr>
          <w:w w:val="105"/>
          <w:sz w:val="13"/>
        </w:rPr>
        <w:t> is</w:t>
      </w:r>
      <w:r>
        <w:rPr>
          <w:w w:val="105"/>
          <w:sz w:val="13"/>
        </w:rPr>
        <w:t> recognised</w:t>
      </w:r>
      <w:r>
        <w:rPr>
          <w:w w:val="105"/>
          <w:sz w:val="13"/>
        </w:rPr>
        <w:t> as</w:t>
      </w:r>
      <w:r>
        <w:rPr>
          <w:w w:val="105"/>
          <w:sz w:val="13"/>
        </w:rPr>
        <w:t> part</w:t>
      </w:r>
      <w:r>
        <w:rPr>
          <w:w w:val="105"/>
          <w:sz w:val="13"/>
        </w:rPr>
        <w:t> of</w:t>
      </w:r>
      <w:r>
        <w:rPr>
          <w:w w:val="105"/>
          <w:sz w:val="13"/>
        </w:rPr>
        <w:t> an</w:t>
      </w:r>
      <w:r>
        <w:rPr>
          <w:w w:val="105"/>
          <w:sz w:val="13"/>
        </w:rPr>
        <w:t> asset</w:t>
      </w:r>
      <w:r>
        <w:rPr>
          <w:w w:val="105"/>
          <w:sz w:val="13"/>
        </w:rPr>
        <w:t> (or</w:t>
      </w:r>
      <w:r>
        <w:rPr>
          <w:w w:val="105"/>
          <w:sz w:val="13"/>
        </w:rPr>
        <w:t> as</w:t>
      </w:r>
      <w:r>
        <w:rPr>
          <w:w w:val="105"/>
          <w:sz w:val="13"/>
        </w:rPr>
        <w:t> a</w:t>
      </w:r>
      <w:r>
        <w:rPr>
          <w:w w:val="105"/>
          <w:sz w:val="13"/>
        </w:rPr>
        <w:t> separate</w:t>
      </w:r>
      <w:r>
        <w:rPr>
          <w:w w:val="105"/>
          <w:sz w:val="13"/>
        </w:rPr>
        <w:t> asset),</w:t>
      </w:r>
      <w:r>
        <w:rPr>
          <w:w w:val="105"/>
          <w:sz w:val="13"/>
        </w:rPr>
        <w:t> the</w:t>
      </w:r>
      <w:r>
        <w:rPr>
          <w:w w:val="105"/>
          <w:sz w:val="13"/>
        </w:rPr>
        <w:t> Group</w:t>
      </w:r>
      <w:r>
        <w:rPr>
          <w:spacing w:val="40"/>
          <w:w w:val="105"/>
          <w:sz w:val="13"/>
        </w:rPr>
        <w:t> </w:t>
      </w:r>
      <w:r>
        <w:rPr>
          <w:w w:val="105"/>
          <w:sz w:val="13"/>
        </w:rPr>
        <w:t>derecognises the</w:t>
      </w:r>
      <w:r>
        <w:rPr>
          <w:spacing w:val="-1"/>
          <w:w w:val="105"/>
          <w:sz w:val="13"/>
        </w:rPr>
        <w:t> </w:t>
      </w:r>
      <w:r>
        <w:rPr>
          <w:w w:val="105"/>
          <w:sz w:val="13"/>
        </w:rPr>
        <w:t>carrying</w:t>
      </w:r>
      <w:r>
        <w:rPr>
          <w:spacing w:val="-1"/>
          <w:w w:val="105"/>
          <w:sz w:val="13"/>
        </w:rPr>
        <w:t> </w:t>
      </w:r>
      <w:r>
        <w:rPr>
          <w:w w:val="105"/>
          <w:sz w:val="13"/>
        </w:rPr>
        <w:t>amount</w:t>
      </w:r>
      <w:r>
        <w:rPr>
          <w:spacing w:val="-1"/>
          <w:w w:val="105"/>
          <w:sz w:val="13"/>
        </w:rPr>
        <w:t> </w:t>
      </w:r>
      <w:r>
        <w:rPr>
          <w:w w:val="105"/>
          <w:sz w:val="13"/>
        </w:rPr>
        <w:t>of the</w:t>
      </w:r>
      <w:r>
        <w:rPr>
          <w:spacing w:val="-1"/>
          <w:w w:val="105"/>
          <w:sz w:val="13"/>
        </w:rPr>
        <w:t> </w:t>
      </w:r>
      <w:r>
        <w:rPr>
          <w:w w:val="105"/>
          <w:sz w:val="13"/>
        </w:rPr>
        <w:t>replaced</w:t>
      </w:r>
      <w:r>
        <w:rPr>
          <w:spacing w:val="-1"/>
          <w:w w:val="105"/>
          <w:sz w:val="13"/>
        </w:rPr>
        <w:t> </w:t>
      </w:r>
      <w:r>
        <w:rPr>
          <w:w w:val="105"/>
          <w:sz w:val="13"/>
        </w:rPr>
        <w:t>part</w:t>
      </w:r>
      <w:r>
        <w:rPr>
          <w:spacing w:val="-1"/>
          <w:w w:val="105"/>
          <w:sz w:val="13"/>
        </w:rPr>
        <w:t> </w:t>
      </w:r>
      <w:r>
        <w:rPr>
          <w:w w:val="105"/>
          <w:sz w:val="13"/>
        </w:rPr>
        <w:t>regardless of whether it</w:t>
      </w:r>
      <w:r>
        <w:rPr>
          <w:spacing w:val="-1"/>
          <w:w w:val="105"/>
          <w:sz w:val="13"/>
        </w:rPr>
        <w:t> </w:t>
      </w:r>
      <w:r>
        <w:rPr>
          <w:w w:val="105"/>
          <w:sz w:val="13"/>
        </w:rPr>
        <w:t>had</w:t>
      </w:r>
      <w:r>
        <w:rPr>
          <w:spacing w:val="-1"/>
          <w:w w:val="105"/>
          <w:sz w:val="13"/>
        </w:rPr>
        <w:t> </w:t>
      </w:r>
      <w:r>
        <w:rPr>
          <w:w w:val="105"/>
          <w:sz w:val="13"/>
        </w:rPr>
        <w:t>been</w:t>
      </w:r>
      <w:r>
        <w:rPr>
          <w:spacing w:val="-1"/>
          <w:w w:val="105"/>
          <w:sz w:val="13"/>
        </w:rPr>
        <w:t> </w:t>
      </w:r>
      <w:r>
        <w:rPr>
          <w:w w:val="105"/>
          <w:sz w:val="13"/>
        </w:rPr>
        <w:t>depreciated</w:t>
      </w:r>
      <w:r>
        <w:rPr>
          <w:spacing w:val="-1"/>
          <w:w w:val="105"/>
          <w:sz w:val="13"/>
        </w:rPr>
        <w:t> </w:t>
      </w:r>
      <w:r>
        <w:rPr>
          <w:w w:val="105"/>
          <w:sz w:val="13"/>
        </w:rPr>
        <w:t>separately.</w:t>
      </w:r>
    </w:p>
    <w:p>
      <w:pPr>
        <w:spacing w:line="273" w:lineRule="auto" w:before="0"/>
        <w:ind w:left="741" w:right="297" w:firstLine="0"/>
        <w:jc w:val="both"/>
        <w:rPr>
          <w:sz w:val="13"/>
        </w:rPr>
      </w:pPr>
      <w:r>
        <w:rPr>
          <w:w w:val="105"/>
          <w:sz w:val="13"/>
        </w:rPr>
        <w:t>Where it is not practicable for the Group to determine the carrying amount of the replaced part, the cost of the replacement is</w:t>
      </w:r>
      <w:r>
        <w:rPr>
          <w:spacing w:val="-1"/>
          <w:w w:val="105"/>
          <w:sz w:val="13"/>
        </w:rPr>
        <w:t> </w:t>
      </w:r>
      <w:r>
        <w:rPr>
          <w:w w:val="105"/>
          <w:sz w:val="13"/>
        </w:rPr>
        <w:t>used as</w:t>
      </w:r>
      <w:r>
        <w:rPr>
          <w:spacing w:val="-1"/>
          <w:w w:val="105"/>
          <w:sz w:val="13"/>
        </w:rPr>
        <w:t> </w:t>
      </w:r>
      <w:r>
        <w:rPr>
          <w:w w:val="105"/>
          <w:sz w:val="13"/>
        </w:rPr>
        <w:t>an</w:t>
      </w:r>
      <w:r>
        <w:rPr>
          <w:spacing w:val="40"/>
          <w:w w:val="105"/>
          <w:sz w:val="13"/>
        </w:rPr>
        <w:t> </w:t>
      </w:r>
      <w:r>
        <w:rPr>
          <w:w w:val="105"/>
          <w:sz w:val="13"/>
        </w:rPr>
        <w:t>indication of what the cost of the replaced part was at the time of acquisition or construction.</w:t>
      </w:r>
    </w:p>
    <w:p>
      <w:pPr>
        <w:spacing w:line="240" w:lineRule="auto" w:before="52"/>
        <w:rPr>
          <w:sz w:val="13"/>
        </w:rPr>
      </w:pPr>
    </w:p>
    <w:p>
      <w:pPr>
        <w:spacing w:before="0"/>
        <w:ind w:left="741" w:right="0" w:firstLine="0"/>
        <w:jc w:val="both"/>
        <w:rPr>
          <w:b/>
          <w:sz w:val="13"/>
        </w:rPr>
      </w:pPr>
      <w:r>
        <w:rPr>
          <w:b/>
          <w:w w:val="105"/>
          <w:sz w:val="13"/>
        </w:rPr>
        <w:t>Impairment</w:t>
      </w:r>
      <w:r>
        <w:rPr>
          <w:b/>
          <w:spacing w:val="-5"/>
          <w:w w:val="105"/>
          <w:sz w:val="13"/>
        </w:rPr>
        <w:t> </w:t>
      </w:r>
      <w:r>
        <w:rPr>
          <w:b/>
          <w:w w:val="105"/>
          <w:sz w:val="13"/>
        </w:rPr>
        <w:t>of</w:t>
      </w:r>
      <w:r>
        <w:rPr>
          <w:b/>
          <w:spacing w:val="-4"/>
          <w:w w:val="105"/>
          <w:sz w:val="13"/>
        </w:rPr>
        <w:t> </w:t>
      </w:r>
      <w:r>
        <w:rPr>
          <w:b/>
          <w:spacing w:val="-2"/>
          <w:w w:val="105"/>
          <w:sz w:val="13"/>
        </w:rPr>
        <w:t>assets</w:t>
      </w:r>
    </w:p>
    <w:p>
      <w:pPr>
        <w:spacing w:line="273" w:lineRule="auto" w:before="16"/>
        <w:ind w:left="741" w:right="298" w:firstLine="0"/>
        <w:jc w:val="both"/>
        <w:rPr>
          <w:sz w:val="13"/>
        </w:rPr>
      </w:pPr>
      <w:r>
        <w:rPr>
          <w:w w:val="105"/>
          <w:sz w:val="13"/>
        </w:rPr>
        <w:t>Assets</w:t>
      </w:r>
      <w:r>
        <w:rPr>
          <w:spacing w:val="-1"/>
          <w:w w:val="105"/>
          <w:sz w:val="13"/>
        </w:rPr>
        <w:t> </w:t>
      </w:r>
      <w:r>
        <w:rPr>
          <w:w w:val="105"/>
          <w:sz w:val="13"/>
        </w:rPr>
        <w:t>that</w:t>
      </w:r>
      <w:r>
        <w:rPr>
          <w:spacing w:val="-1"/>
          <w:w w:val="105"/>
          <w:sz w:val="13"/>
        </w:rPr>
        <w:t> </w:t>
      </w:r>
      <w:r>
        <w:rPr>
          <w:w w:val="105"/>
          <w:sz w:val="13"/>
        </w:rPr>
        <w:t>have</w:t>
      </w:r>
      <w:r>
        <w:rPr>
          <w:spacing w:val="-2"/>
          <w:w w:val="105"/>
          <w:sz w:val="13"/>
        </w:rPr>
        <w:t> </w:t>
      </w:r>
      <w:r>
        <w:rPr>
          <w:w w:val="105"/>
          <w:sz w:val="13"/>
        </w:rPr>
        <w:t>an</w:t>
      </w:r>
      <w:r>
        <w:rPr>
          <w:spacing w:val="-2"/>
          <w:w w:val="105"/>
          <w:sz w:val="13"/>
        </w:rPr>
        <w:t> </w:t>
      </w:r>
      <w:r>
        <w:rPr>
          <w:w w:val="105"/>
          <w:sz w:val="13"/>
        </w:rPr>
        <w:t>indefinite</w:t>
      </w:r>
      <w:r>
        <w:rPr>
          <w:spacing w:val="-2"/>
          <w:w w:val="105"/>
          <w:sz w:val="13"/>
        </w:rPr>
        <w:t> </w:t>
      </w:r>
      <w:r>
        <w:rPr>
          <w:w w:val="105"/>
          <w:sz w:val="13"/>
        </w:rPr>
        <w:t>useful life</w:t>
      </w:r>
      <w:r>
        <w:rPr>
          <w:spacing w:val="-2"/>
          <w:w w:val="105"/>
          <w:sz w:val="13"/>
        </w:rPr>
        <w:t> </w:t>
      </w:r>
      <w:r>
        <w:rPr>
          <w:w w:val="105"/>
          <w:sz w:val="13"/>
        </w:rPr>
        <w:t>are</w:t>
      </w:r>
      <w:r>
        <w:rPr>
          <w:spacing w:val="-2"/>
          <w:w w:val="105"/>
          <w:sz w:val="13"/>
        </w:rPr>
        <w:t> </w:t>
      </w:r>
      <w:r>
        <w:rPr>
          <w:w w:val="105"/>
          <w:sz w:val="13"/>
        </w:rPr>
        <w:t>tested</w:t>
      </w:r>
      <w:r>
        <w:rPr>
          <w:spacing w:val="-2"/>
          <w:w w:val="105"/>
          <w:sz w:val="13"/>
        </w:rPr>
        <w:t> </w:t>
      </w:r>
      <w:r>
        <w:rPr>
          <w:w w:val="105"/>
          <w:sz w:val="13"/>
        </w:rPr>
        <w:t>annually</w:t>
      </w:r>
      <w:r>
        <w:rPr>
          <w:spacing w:val="-5"/>
          <w:w w:val="105"/>
          <w:sz w:val="13"/>
        </w:rPr>
        <w:t> </w:t>
      </w:r>
      <w:r>
        <w:rPr>
          <w:w w:val="105"/>
          <w:sz w:val="13"/>
        </w:rPr>
        <w:t>for impairment.</w:t>
      </w:r>
      <w:r>
        <w:rPr>
          <w:spacing w:val="-1"/>
          <w:w w:val="105"/>
          <w:sz w:val="13"/>
        </w:rPr>
        <w:t> </w:t>
      </w:r>
      <w:r>
        <w:rPr>
          <w:w w:val="105"/>
          <w:sz w:val="13"/>
        </w:rPr>
        <w:t>Assets with</w:t>
      </w:r>
      <w:r>
        <w:rPr>
          <w:spacing w:val="-2"/>
          <w:w w:val="105"/>
          <w:sz w:val="13"/>
        </w:rPr>
        <w:t> </w:t>
      </w:r>
      <w:r>
        <w:rPr>
          <w:w w:val="105"/>
          <w:sz w:val="13"/>
        </w:rPr>
        <w:t>a finite</w:t>
      </w:r>
      <w:r>
        <w:rPr>
          <w:spacing w:val="-2"/>
          <w:w w:val="105"/>
          <w:sz w:val="13"/>
        </w:rPr>
        <w:t> </w:t>
      </w:r>
      <w:r>
        <w:rPr>
          <w:w w:val="105"/>
          <w:sz w:val="13"/>
        </w:rPr>
        <w:t>life are</w:t>
      </w:r>
      <w:r>
        <w:rPr>
          <w:spacing w:val="-2"/>
          <w:w w:val="105"/>
          <w:sz w:val="13"/>
        </w:rPr>
        <w:t> </w:t>
      </w:r>
      <w:r>
        <w:rPr>
          <w:w w:val="105"/>
          <w:sz w:val="13"/>
        </w:rPr>
        <w:t>tested for impairment when</w:t>
      </w:r>
      <w:r>
        <w:rPr>
          <w:spacing w:val="-2"/>
          <w:w w:val="105"/>
          <w:sz w:val="13"/>
        </w:rPr>
        <w:t> </w:t>
      </w:r>
      <w:r>
        <w:rPr>
          <w:w w:val="105"/>
          <w:sz w:val="13"/>
        </w:rPr>
        <w:t>events</w:t>
      </w:r>
      <w:r>
        <w:rPr>
          <w:spacing w:val="40"/>
          <w:w w:val="105"/>
          <w:sz w:val="13"/>
        </w:rPr>
        <w:t> </w:t>
      </w:r>
      <w:r>
        <w:rPr>
          <w:w w:val="105"/>
          <w:sz w:val="13"/>
        </w:rPr>
        <w:t>or changes in circumstances indicate the carrying value may</w:t>
      </w:r>
      <w:r>
        <w:rPr>
          <w:spacing w:val="-1"/>
          <w:w w:val="105"/>
          <w:sz w:val="13"/>
        </w:rPr>
        <w:t> </w:t>
      </w:r>
      <w:r>
        <w:rPr>
          <w:w w:val="105"/>
          <w:sz w:val="13"/>
        </w:rPr>
        <w:t>not be recoverable.</w:t>
      </w:r>
    </w:p>
    <w:p>
      <w:pPr>
        <w:spacing w:line="240" w:lineRule="auto" w:before="20"/>
        <w:rPr>
          <w:sz w:val="13"/>
        </w:rPr>
      </w:pPr>
    </w:p>
    <w:p>
      <w:pPr>
        <w:spacing w:line="273" w:lineRule="auto" w:before="0"/>
        <w:ind w:left="740" w:right="297" w:firstLine="0"/>
        <w:jc w:val="both"/>
        <w:rPr>
          <w:sz w:val="13"/>
        </w:rPr>
      </w:pPr>
      <w:r>
        <w:rPr>
          <w:w w:val="105"/>
          <w:sz w:val="13"/>
        </w:rPr>
        <w:t>An impairment loss is recognised for the amount by which the asset’s carrying value exceeds the recoverable amount. The recoverable</w:t>
      </w:r>
      <w:r>
        <w:rPr>
          <w:spacing w:val="40"/>
          <w:w w:val="105"/>
          <w:sz w:val="13"/>
        </w:rPr>
        <w:t> </w:t>
      </w:r>
      <w:r>
        <w:rPr>
          <w:w w:val="105"/>
          <w:sz w:val="13"/>
        </w:rPr>
        <w:t>amount</w:t>
      </w:r>
      <w:r>
        <w:rPr>
          <w:w w:val="105"/>
          <w:sz w:val="13"/>
        </w:rPr>
        <w:t> is</w:t>
      </w:r>
      <w:r>
        <w:rPr>
          <w:w w:val="105"/>
          <w:sz w:val="13"/>
        </w:rPr>
        <w:t> the</w:t>
      </w:r>
      <w:r>
        <w:rPr>
          <w:w w:val="105"/>
          <w:sz w:val="13"/>
        </w:rPr>
        <w:t> higher</w:t>
      </w:r>
      <w:r>
        <w:rPr>
          <w:w w:val="105"/>
          <w:sz w:val="13"/>
        </w:rPr>
        <w:t> of</w:t>
      </w:r>
      <w:r>
        <w:rPr>
          <w:w w:val="105"/>
          <w:sz w:val="13"/>
        </w:rPr>
        <w:t> its</w:t>
      </w:r>
      <w:r>
        <w:rPr>
          <w:w w:val="105"/>
          <w:sz w:val="13"/>
        </w:rPr>
        <w:t> fair</w:t>
      </w:r>
      <w:r>
        <w:rPr>
          <w:w w:val="105"/>
          <w:sz w:val="13"/>
        </w:rPr>
        <w:t> value</w:t>
      </w:r>
      <w:r>
        <w:rPr>
          <w:w w:val="105"/>
          <w:sz w:val="13"/>
        </w:rPr>
        <w:t> less</w:t>
      </w:r>
      <w:r>
        <w:rPr>
          <w:w w:val="105"/>
          <w:sz w:val="13"/>
        </w:rPr>
        <w:t> costs</w:t>
      </w:r>
      <w:r>
        <w:rPr>
          <w:w w:val="105"/>
          <w:sz w:val="13"/>
        </w:rPr>
        <w:t> of</w:t>
      </w:r>
      <w:r>
        <w:rPr>
          <w:w w:val="105"/>
          <w:sz w:val="13"/>
        </w:rPr>
        <w:t> disposal</w:t>
      </w:r>
      <w:r>
        <w:rPr>
          <w:w w:val="105"/>
          <w:sz w:val="13"/>
        </w:rPr>
        <w:t> and</w:t>
      </w:r>
      <w:r>
        <w:rPr>
          <w:w w:val="105"/>
          <w:sz w:val="13"/>
        </w:rPr>
        <w:t> its</w:t>
      </w:r>
      <w:r>
        <w:rPr>
          <w:w w:val="105"/>
          <w:sz w:val="13"/>
        </w:rPr>
        <w:t> value</w:t>
      </w:r>
      <w:r>
        <w:rPr>
          <w:w w:val="105"/>
          <w:sz w:val="13"/>
        </w:rPr>
        <w:t> in</w:t>
      </w:r>
      <w:r>
        <w:rPr>
          <w:w w:val="105"/>
          <w:sz w:val="13"/>
        </w:rPr>
        <w:t> use.</w:t>
      </w:r>
      <w:r>
        <w:rPr>
          <w:w w:val="105"/>
          <w:sz w:val="13"/>
        </w:rPr>
        <w:t> As</w:t>
      </w:r>
      <w:r>
        <w:rPr>
          <w:w w:val="105"/>
          <w:sz w:val="13"/>
        </w:rPr>
        <w:t> the</w:t>
      </w:r>
      <w:r>
        <w:rPr>
          <w:w w:val="105"/>
          <w:sz w:val="13"/>
        </w:rPr>
        <w:t> Group</w:t>
      </w:r>
      <w:r>
        <w:rPr>
          <w:w w:val="105"/>
          <w:sz w:val="13"/>
        </w:rPr>
        <w:t> is</w:t>
      </w:r>
      <w:r>
        <w:rPr>
          <w:w w:val="105"/>
          <w:sz w:val="13"/>
        </w:rPr>
        <w:t> a</w:t>
      </w:r>
      <w:r>
        <w:rPr>
          <w:w w:val="105"/>
          <w:sz w:val="13"/>
        </w:rPr>
        <w:t> not-for-profit</w:t>
      </w:r>
      <w:r>
        <w:rPr>
          <w:w w:val="105"/>
          <w:sz w:val="13"/>
        </w:rPr>
        <w:t> entity,</w:t>
      </w:r>
      <w:r>
        <w:rPr>
          <w:w w:val="105"/>
          <w:sz w:val="13"/>
        </w:rPr>
        <w:t> if</w:t>
      </w:r>
      <w:r>
        <w:rPr>
          <w:w w:val="105"/>
          <w:sz w:val="13"/>
        </w:rPr>
        <w:t> the</w:t>
      </w:r>
      <w:r>
        <w:rPr>
          <w:w w:val="105"/>
          <w:sz w:val="13"/>
        </w:rPr>
        <w:t> future</w:t>
      </w:r>
      <w:r>
        <w:rPr>
          <w:spacing w:val="40"/>
          <w:w w:val="105"/>
          <w:sz w:val="13"/>
        </w:rPr>
        <w:t> </w:t>
      </w:r>
      <w:r>
        <w:rPr>
          <w:w w:val="105"/>
          <w:sz w:val="13"/>
        </w:rPr>
        <w:t>economic</w:t>
      </w:r>
      <w:r>
        <w:rPr>
          <w:spacing w:val="-3"/>
          <w:w w:val="105"/>
          <w:sz w:val="13"/>
        </w:rPr>
        <w:t> </w:t>
      </w:r>
      <w:r>
        <w:rPr>
          <w:w w:val="105"/>
          <w:sz w:val="13"/>
        </w:rPr>
        <w:t>benefits</w:t>
      </w:r>
      <w:r>
        <w:rPr>
          <w:spacing w:val="-3"/>
          <w:w w:val="105"/>
          <w:sz w:val="13"/>
        </w:rPr>
        <w:t> </w:t>
      </w:r>
      <w:r>
        <w:rPr>
          <w:w w:val="105"/>
          <w:sz w:val="13"/>
        </w:rPr>
        <w:t>of</w:t>
      </w:r>
      <w:r>
        <w:rPr>
          <w:spacing w:val="-1"/>
          <w:w w:val="105"/>
          <w:sz w:val="13"/>
        </w:rPr>
        <w:t> </w:t>
      </w:r>
      <w:r>
        <w:rPr>
          <w:w w:val="105"/>
          <w:sz w:val="13"/>
        </w:rPr>
        <w:t>the</w:t>
      </w:r>
      <w:r>
        <w:rPr>
          <w:spacing w:val="-4"/>
          <w:w w:val="105"/>
          <w:sz w:val="13"/>
        </w:rPr>
        <w:t> </w:t>
      </w:r>
      <w:r>
        <w:rPr>
          <w:w w:val="105"/>
          <w:sz w:val="13"/>
        </w:rPr>
        <w:t>asset</w:t>
      </w:r>
      <w:r>
        <w:rPr>
          <w:spacing w:val="-3"/>
          <w:w w:val="105"/>
          <w:sz w:val="13"/>
        </w:rPr>
        <w:t> </w:t>
      </w:r>
      <w:r>
        <w:rPr>
          <w:w w:val="105"/>
          <w:sz w:val="13"/>
        </w:rPr>
        <w:t>are</w:t>
      </w:r>
      <w:r>
        <w:rPr>
          <w:spacing w:val="-4"/>
          <w:w w:val="105"/>
          <w:sz w:val="13"/>
        </w:rPr>
        <w:t> </w:t>
      </w:r>
      <w:r>
        <w:rPr>
          <w:w w:val="105"/>
          <w:sz w:val="13"/>
        </w:rPr>
        <w:t>not</w:t>
      </w:r>
      <w:r>
        <w:rPr>
          <w:spacing w:val="-4"/>
          <w:w w:val="105"/>
          <w:sz w:val="13"/>
        </w:rPr>
        <w:t> </w:t>
      </w:r>
      <w:r>
        <w:rPr>
          <w:w w:val="105"/>
          <w:sz w:val="13"/>
        </w:rPr>
        <w:t>primarily</w:t>
      </w:r>
      <w:r>
        <w:rPr>
          <w:spacing w:val="-8"/>
          <w:w w:val="105"/>
          <w:sz w:val="13"/>
        </w:rPr>
        <w:t> </w:t>
      </w:r>
      <w:r>
        <w:rPr>
          <w:w w:val="105"/>
          <w:sz w:val="13"/>
        </w:rPr>
        <w:t>dependent</w:t>
      </w:r>
      <w:r>
        <w:rPr>
          <w:spacing w:val="-3"/>
          <w:w w:val="105"/>
          <w:sz w:val="13"/>
        </w:rPr>
        <w:t> </w:t>
      </w:r>
      <w:r>
        <w:rPr>
          <w:w w:val="105"/>
          <w:sz w:val="13"/>
        </w:rPr>
        <w:t>on</w:t>
      </w:r>
      <w:r>
        <w:rPr>
          <w:spacing w:val="-4"/>
          <w:w w:val="105"/>
          <w:sz w:val="13"/>
        </w:rPr>
        <w:t> </w:t>
      </w:r>
      <w:r>
        <w:rPr>
          <w:w w:val="105"/>
          <w:sz w:val="13"/>
        </w:rPr>
        <w:t>its</w:t>
      </w:r>
      <w:r>
        <w:rPr>
          <w:spacing w:val="-3"/>
          <w:w w:val="105"/>
          <w:sz w:val="13"/>
        </w:rPr>
        <w:t> </w:t>
      </w:r>
      <w:r>
        <w:rPr>
          <w:w w:val="105"/>
          <w:sz w:val="13"/>
        </w:rPr>
        <w:t>ability</w:t>
      </w:r>
      <w:r>
        <w:rPr>
          <w:spacing w:val="-8"/>
          <w:w w:val="105"/>
          <w:sz w:val="13"/>
        </w:rPr>
        <w:t> </w:t>
      </w:r>
      <w:r>
        <w:rPr>
          <w:w w:val="105"/>
          <w:sz w:val="13"/>
        </w:rPr>
        <w:t>to</w:t>
      </w:r>
      <w:r>
        <w:rPr>
          <w:spacing w:val="-4"/>
          <w:w w:val="105"/>
          <w:sz w:val="13"/>
        </w:rPr>
        <w:t> </w:t>
      </w:r>
      <w:r>
        <w:rPr>
          <w:w w:val="105"/>
          <w:sz w:val="13"/>
        </w:rPr>
        <w:t>generate</w:t>
      </w:r>
      <w:r>
        <w:rPr>
          <w:spacing w:val="-4"/>
          <w:w w:val="105"/>
          <w:sz w:val="13"/>
        </w:rPr>
        <w:t> </w:t>
      </w:r>
      <w:r>
        <w:rPr>
          <w:w w:val="105"/>
          <w:sz w:val="13"/>
        </w:rPr>
        <w:t>net</w:t>
      </w:r>
      <w:r>
        <w:rPr>
          <w:spacing w:val="-4"/>
          <w:w w:val="105"/>
          <w:sz w:val="13"/>
        </w:rPr>
        <w:t> </w:t>
      </w:r>
      <w:r>
        <w:rPr>
          <w:w w:val="105"/>
          <w:sz w:val="13"/>
        </w:rPr>
        <w:t>cash</w:t>
      </w:r>
      <w:r>
        <w:rPr>
          <w:spacing w:val="-4"/>
          <w:w w:val="105"/>
          <w:sz w:val="13"/>
        </w:rPr>
        <w:t> </w:t>
      </w:r>
      <w:r>
        <w:rPr>
          <w:w w:val="105"/>
          <w:sz w:val="13"/>
        </w:rPr>
        <w:t>flows,</w:t>
      </w:r>
      <w:r>
        <w:rPr>
          <w:spacing w:val="-4"/>
          <w:w w:val="105"/>
          <w:sz w:val="13"/>
        </w:rPr>
        <w:t> </w:t>
      </w:r>
      <w:r>
        <w:rPr>
          <w:w w:val="105"/>
          <w:sz w:val="13"/>
        </w:rPr>
        <w:t>unless</w:t>
      </w:r>
      <w:r>
        <w:rPr>
          <w:spacing w:val="-3"/>
          <w:w w:val="105"/>
          <w:sz w:val="13"/>
        </w:rPr>
        <w:t> </w:t>
      </w:r>
      <w:r>
        <w:rPr>
          <w:w w:val="105"/>
          <w:sz w:val="13"/>
        </w:rPr>
        <w:t>the</w:t>
      </w:r>
      <w:r>
        <w:rPr>
          <w:spacing w:val="-4"/>
          <w:w w:val="105"/>
          <w:sz w:val="13"/>
        </w:rPr>
        <w:t> </w:t>
      </w:r>
      <w:r>
        <w:rPr>
          <w:w w:val="105"/>
          <w:sz w:val="13"/>
        </w:rPr>
        <w:t>asset</w:t>
      </w:r>
      <w:r>
        <w:rPr>
          <w:spacing w:val="-3"/>
          <w:w w:val="105"/>
          <w:sz w:val="13"/>
        </w:rPr>
        <w:t> </w:t>
      </w:r>
      <w:r>
        <w:rPr>
          <w:w w:val="105"/>
          <w:sz w:val="13"/>
        </w:rPr>
        <w:t>has</w:t>
      </w:r>
      <w:r>
        <w:rPr>
          <w:spacing w:val="-3"/>
          <w:w w:val="105"/>
          <w:sz w:val="13"/>
        </w:rPr>
        <w:t> </w:t>
      </w:r>
      <w:r>
        <w:rPr>
          <w:w w:val="105"/>
          <w:sz w:val="13"/>
        </w:rPr>
        <w:t>been</w:t>
      </w:r>
      <w:r>
        <w:rPr>
          <w:spacing w:val="-2"/>
          <w:w w:val="105"/>
          <w:sz w:val="13"/>
        </w:rPr>
        <w:t> </w:t>
      </w:r>
      <w:r>
        <w:rPr>
          <w:w w:val="105"/>
          <w:sz w:val="13"/>
        </w:rPr>
        <w:t>identified</w:t>
      </w:r>
      <w:r>
        <w:rPr>
          <w:spacing w:val="-4"/>
          <w:w w:val="105"/>
          <w:sz w:val="13"/>
        </w:rPr>
        <w:t> </w:t>
      </w:r>
      <w:r>
        <w:rPr>
          <w:w w:val="105"/>
          <w:sz w:val="13"/>
        </w:rPr>
        <w:t>as</w:t>
      </w:r>
      <w:r>
        <w:rPr>
          <w:spacing w:val="40"/>
          <w:w w:val="105"/>
          <w:sz w:val="13"/>
        </w:rPr>
        <w:t> </w:t>
      </w:r>
      <w:r>
        <w:rPr>
          <w:w w:val="105"/>
          <w:sz w:val="13"/>
        </w:rPr>
        <w:t>surplus, the value in use is its depreciated replacement cost.</w:t>
      </w:r>
    </w:p>
    <w:p>
      <w:pPr>
        <w:spacing w:line="240" w:lineRule="auto" w:before="6"/>
        <w:rPr>
          <w:sz w:val="15"/>
        </w:rPr>
      </w:pPr>
      <w:r>
        <w:rPr/>
        <mc:AlternateContent>
          <mc:Choice Requires="wps">
            <w:drawing>
              <wp:anchor distT="0" distB="0" distL="0" distR="0" allowOverlap="1" layoutInCell="1" locked="0" behindDoc="1" simplePos="0" relativeHeight="487752704">
                <wp:simplePos x="0" y="0"/>
                <wp:positionH relativeFrom="page">
                  <wp:posOffset>1101445</wp:posOffset>
                </wp:positionH>
                <wp:positionV relativeFrom="paragraph">
                  <wp:posOffset>128578</wp:posOffset>
                </wp:positionV>
                <wp:extent cx="5306695" cy="1104265"/>
                <wp:effectExtent l="0" t="0" r="0" b="0"/>
                <wp:wrapTopAndBottom/>
                <wp:docPr id="939" name="Textbox 939"/>
                <wp:cNvGraphicFramePr>
                  <a:graphicFrameLocks/>
                </wp:cNvGraphicFramePr>
                <a:graphic>
                  <a:graphicData uri="http://schemas.microsoft.com/office/word/2010/wordprocessingShape">
                    <wps:wsp>
                      <wps:cNvPr id="939" name="Textbox 939"/>
                      <wps:cNvSpPr txBox="1"/>
                      <wps:spPr>
                        <a:xfrm>
                          <a:off x="0" y="0"/>
                          <a:ext cx="5306695" cy="1104265"/>
                        </a:xfrm>
                        <a:prstGeom prst="rect">
                          <a:avLst/>
                        </a:prstGeom>
                        <a:solidFill>
                          <a:srgbClr val="DCE6F1"/>
                        </a:solidFill>
                      </wps:spPr>
                      <wps:txbx>
                        <w:txbxContent>
                          <w:p>
                            <w:pPr>
                              <w:spacing w:before="6"/>
                              <w:ind w:left="26" w:right="0" w:firstLine="0"/>
                              <w:jc w:val="both"/>
                              <w:rPr>
                                <w:b/>
                                <w:color w:val="000000"/>
                                <w:sz w:val="13"/>
                              </w:rPr>
                            </w:pPr>
                            <w:r>
                              <w:rPr>
                                <w:b/>
                                <w:color w:val="0070C0"/>
                                <w:w w:val="105"/>
                                <w:sz w:val="13"/>
                              </w:rPr>
                              <w:t>Critical</w:t>
                            </w:r>
                            <w:r>
                              <w:rPr>
                                <w:b/>
                                <w:color w:val="0070C0"/>
                                <w:spacing w:val="-8"/>
                                <w:w w:val="105"/>
                                <w:sz w:val="13"/>
                              </w:rPr>
                              <w:t> </w:t>
                            </w:r>
                            <w:r>
                              <w:rPr>
                                <w:b/>
                                <w:color w:val="0070C0"/>
                                <w:w w:val="105"/>
                                <w:sz w:val="13"/>
                              </w:rPr>
                              <w:t>accounting</w:t>
                            </w:r>
                            <w:r>
                              <w:rPr>
                                <w:b/>
                                <w:color w:val="0070C0"/>
                                <w:spacing w:val="-6"/>
                                <w:w w:val="105"/>
                                <w:sz w:val="13"/>
                              </w:rPr>
                              <w:t> </w:t>
                            </w:r>
                            <w:r>
                              <w:rPr>
                                <w:b/>
                                <w:color w:val="0070C0"/>
                                <w:w w:val="105"/>
                                <w:sz w:val="13"/>
                              </w:rPr>
                              <w:t>estimates</w:t>
                            </w:r>
                            <w:r>
                              <w:rPr>
                                <w:b/>
                                <w:color w:val="0070C0"/>
                                <w:spacing w:val="-8"/>
                                <w:w w:val="105"/>
                                <w:sz w:val="13"/>
                              </w:rPr>
                              <w:t> </w:t>
                            </w:r>
                            <w:r>
                              <w:rPr>
                                <w:b/>
                                <w:color w:val="0070C0"/>
                                <w:w w:val="105"/>
                                <w:sz w:val="13"/>
                              </w:rPr>
                              <w:t>and</w:t>
                            </w:r>
                            <w:r>
                              <w:rPr>
                                <w:b/>
                                <w:color w:val="0070C0"/>
                                <w:spacing w:val="-6"/>
                                <w:w w:val="105"/>
                                <w:sz w:val="13"/>
                              </w:rPr>
                              <w:t> </w:t>
                            </w:r>
                            <w:r>
                              <w:rPr>
                                <w:b/>
                                <w:color w:val="0070C0"/>
                                <w:w w:val="105"/>
                                <w:sz w:val="13"/>
                              </w:rPr>
                              <w:t>judgements:</w:t>
                            </w:r>
                            <w:r>
                              <w:rPr>
                                <w:b/>
                                <w:color w:val="0070C0"/>
                                <w:spacing w:val="-6"/>
                                <w:w w:val="105"/>
                                <w:sz w:val="13"/>
                              </w:rPr>
                              <w:t> </w:t>
                            </w:r>
                            <w:r>
                              <w:rPr>
                                <w:b/>
                                <w:color w:val="0070C0"/>
                                <w:w w:val="105"/>
                                <w:sz w:val="13"/>
                              </w:rPr>
                              <w:t>Property,</w:t>
                            </w:r>
                            <w:r>
                              <w:rPr>
                                <w:b/>
                                <w:color w:val="0070C0"/>
                                <w:spacing w:val="-8"/>
                                <w:w w:val="105"/>
                                <w:sz w:val="13"/>
                              </w:rPr>
                              <w:t> </w:t>
                            </w:r>
                            <w:r>
                              <w:rPr>
                                <w:b/>
                                <w:color w:val="0070C0"/>
                                <w:w w:val="105"/>
                                <w:sz w:val="13"/>
                              </w:rPr>
                              <w:t>plant</w:t>
                            </w:r>
                            <w:r>
                              <w:rPr>
                                <w:b/>
                                <w:color w:val="0070C0"/>
                                <w:spacing w:val="-5"/>
                                <w:w w:val="105"/>
                                <w:sz w:val="13"/>
                              </w:rPr>
                              <w:t> </w:t>
                            </w:r>
                            <w:r>
                              <w:rPr>
                                <w:b/>
                                <w:color w:val="0070C0"/>
                                <w:w w:val="105"/>
                                <w:sz w:val="13"/>
                              </w:rPr>
                              <w:t>and</w:t>
                            </w:r>
                            <w:r>
                              <w:rPr>
                                <w:b/>
                                <w:color w:val="0070C0"/>
                                <w:spacing w:val="-7"/>
                                <w:w w:val="105"/>
                                <w:sz w:val="13"/>
                              </w:rPr>
                              <w:t> </w:t>
                            </w:r>
                            <w:r>
                              <w:rPr>
                                <w:b/>
                                <w:color w:val="0070C0"/>
                                <w:spacing w:val="-2"/>
                                <w:w w:val="105"/>
                                <w:sz w:val="13"/>
                              </w:rPr>
                              <w:t>equipment</w:t>
                            </w:r>
                          </w:p>
                          <w:p>
                            <w:pPr>
                              <w:spacing w:line="273" w:lineRule="auto" w:before="25"/>
                              <w:ind w:left="26" w:right="20" w:firstLine="0"/>
                              <w:jc w:val="both"/>
                              <w:rPr>
                                <w:color w:val="000000"/>
                                <w:sz w:val="13"/>
                              </w:rPr>
                            </w:pPr>
                            <w:r>
                              <w:rPr>
                                <w:color w:val="000000"/>
                                <w:w w:val="105"/>
                                <w:sz w:val="13"/>
                              </w:rPr>
                              <w:t>Property,</w:t>
                            </w:r>
                            <w:r>
                              <w:rPr>
                                <w:color w:val="000000"/>
                                <w:w w:val="105"/>
                                <w:sz w:val="13"/>
                              </w:rPr>
                              <w:t> plant</w:t>
                            </w:r>
                            <w:r>
                              <w:rPr>
                                <w:color w:val="000000"/>
                                <w:w w:val="105"/>
                                <w:sz w:val="13"/>
                              </w:rPr>
                              <w:t> and</w:t>
                            </w:r>
                            <w:r>
                              <w:rPr>
                                <w:color w:val="000000"/>
                                <w:w w:val="105"/>
                                <w:sz w:val="13"/>
                              </w:rPr>
                              <w:t> equipment</w:t>
                            </w:r>
                            <w:r>
                              <w:rPr>
                                <w:color w:val="000000"/>
                                <w:w w:val="105"/>
                                <w:sz w:val="13"/>
                              </w:rPr>
                              <w:t> and</w:t>
                            </w:r>
                            <w:r>
                              <w:rPr>
                                <w:color w:val="000000"/>
                                <w:w w:val="105"/>
                                <w:sz w:val="13"/>
                              </w:rPr>
                              <w:t> intangible</w:t>
                            </w:r>
                            <w:r>
                              <w:rPr>
                                <w:color w:val="000000"/>
                                <w:w w:val="105"/>
                                <w:sz w:val="13"/>
                              </w:rPr>
                              <w:t> assets</w:t>
                            </w:r>
                            <w:r>
                              <w:rPr>
                                <w:color w:val="000000"/>
                                <w:w w:val="105"/>
                                <w:sz w:val="13"/>
                              </w:rPr>
                              <w:t> are</w:t>
                            </w:r>
                            <w:r>
                              <w:rPr>
                                <w:color w:val="000000"/>
                                <w:w w:val="105"/>
                                <w:sz w:val="13"/>
                              </w:rPr>
                              <w:t> depreciated/amortised</w:t>
                            </w:r>
                            <w:r>
                              <w:rPr>
                                <w:color w:val="000000"/>
                                <w:w w:val="105"/>
                                <w:sz w:val="13"/>
                              </w:rPr>
                              <w:t> over</w:t>
                            </w:r>
                            <w:r>
                              <w:rPr>
                                <w:color w:val="000000"/>
                                <w:w w:val="105"/>
                                <w:sz w:val="13"/>
                              </w:rPr>
                              <w:t> their</w:t>
                            </w:r>
                            <w:r>
                              <w:rPr>
                                <w:color w:val="000000"/>
                                <w:w w:val="105"/>
                                <w:sz w:val="13"/>
                              </w:rPr>
                              <w:t> useful</w:t>
                            </w:r>
                            <w:r>
                              <w:rPr>
                                <w:color w:val="000000"/>
                                <w:w w:val="105"/>
                                <w:sz w:val="13"/>
                              </w:rPr>
                              <w:t> lives</w:t>
                            </w:r>
                            <w:r>
                              <w:rPr>
                                <w:color w:val="000000"/>
                                <w:w w:val="105"/>
                                <w:sz w:val="13"/>
                              </w:rPr>
                              <w:t> taking</w:t>
                            </w:r>
                            <w:r>
                              <w:rPr>
                                <w:color w:val="000000"/>
                                <w:w w:val="105"/>
                                <w:sz w:val="13"/>
                              </w:rPr>
                              <w:t> into</w:t>
                            </w:r>
                            <w:r>
                              <w:rPr>
                                <w:color w:val="000000"/>
                                <w:w w:val="105"/>
                                <w:sz w:val="13"/>
                              </w:rPr>
                              <w:t> account</w:t>
                            </w:r>
                            <w:r>
                              <w:rPr>
                                <w:color w:val="000000"/>
                                <w:w w:val="105"/>
                                <w:sz w:val="13"/>
                              </w:rPr>
                              <w:t> any residual</w:t>
                            </w:r>
                            <w:r>
                              <w:rPr>
                                <w:color w:val="000000"/>
                                <w:spacing w:val="40"/>
                                <w:w w:val="105"/>
                                <w:sz w:val="13"/>
                              </w:rPr>
                              <w:t> </w:t>
                            </w:r>
                            <w:r>
                              <w:rPr>
                                <w:color w:val="000000"/>
                                <w:w w:val="105"/>
                                <w:sz w:val="13"/>
                              </w:rPr>
                              <w:t>values where appropriate. The useful lives of</w:t>
                            </w:r>
                            <w:r>
                              <w:rPr>
                                <w:color w:val="000000"/>
                                <w:w w:val="105"/>
                                <w:sz w:val="13"/>
                              </w:rPr>
                              <w:t> the assets and residual values (where appropriate) are assessed annually and may vary</w:t>
                            </w:r>
                            <w:r>
                              <w:rPr>
                                <w:color w:val="000000"/>
                                <w:spacing w:val="40"/>
                                <w:w w:val="105"/>
                                <w:sz w:val="13"/>
                              </w:rPr>
                              <w:t> </w:t>
                            </w:r>
                            <w:r>
                              <w:rPr>
                                <w:color w:val="000000"/>
                                <w:w w:val="105"/>
                                <w:sz w:val="13"/>
                              </w:rPr>
                              <w:t>depending on a number</w:t>
                            </w:r>
                            <w:r>
                              <w:rPr>
                                <w:color w:val="000000"/>
                                <w:w w:val="105"/>
                                <w:sz w:val="13"/>
                              </w:rPr>
                              <w:t> of</w:t>
                            </w:r>
                            <w:r>
                              <w:rPr>
                                <w:color w:val="000000"/>
                                <w:w w:val="105"/>
                                <w:sz w:val="13"/>
                              </w:rPr>
                              <w:t> factors.</w:t>
                            </w:r>
                            <w:r>
                              <w:rPr>
                                <w:color w:val="000000"/>
                                <w:w w:val="105"/>
                                <w:sz w:val="13"/>
                              </w:rPr>
                              <w:t> In assessing</w:t>
                            </w:r>
                            <w:r>
                              <w:rPr>
                                <w:color w:val="000000"/>
                                <w:w w:val="105"/>
                                <w:sz w:val="13"/>
                              </w:rPr>
                              <w:t> asset lives,</w:t>
                            </w:r>
                            <w:r>
                              <w:rPr>
                                <w:color w:val="000000"/>
                                <w:w w:val="105"/>
                                <w:sz w:val="13"/>
                              </w:rPr>
                              <w:t> factors such</w:t>
                            </w:r>
                            <w:r>
                              <w:rPr>
                                <w:color w:val="000000"/>
                                <w:w w:val="105"/>
                                <w:sz w:val="13"/>
                              </w:rPr>
                              <w:t> as technological</w:t>
                            </w:r>
                            <w:r>
                              <w:rPr>
                                <w:color w:val="000000"/>
                                <w:w w:val="105"/>
                                <w:sz w:val="13"/>
                              </w:rPr>
                              <w:t> innovation, wear</w:t>
                            </w:r>
                            <w:r>
                              <w:rPr>
                                <w:color w:val="000000"/>
                                <w:w w:val="105"/>
                                <w:sz w:val="13"/>
                              </w:rPr>
                              <w:t> and tear</w:t>
                            </w:r>
                            <w:r>
                              <w:rPr>
                                <w:color w:val="000000"/>
                                <w:w w:val="105"/>
                                <w:sz w:val="13"/>
                              </w:rPr>
                              <w:t> and maintenance</w:t>
                            </w:r>
                            <w:r>
                              <w:rPr>
                                <w:color w:val="000000"/>
                                <w:spacing w:val="40"/>
                                <w:w w:val="105"/>
                                <w:sz w:val="13"/>
                              </w:rPr>
                              <w:t> </w:t>
                            </w:r>
                            <w:r>
                              <w:rPr>
                                <w:color w:val="000000"/>
                                <w:w w:val="105"/>
                                <w:sz w:val="13"/>
                              </w:rPr>
                              <w:t>programs are taken</w:t>
                            </w:r>
                            <w:r>
                              <w:rPr>
                                <w:color w:val="000000"/>
                                <w:spacing w:val="-2"/>
                                <w:w w:val="105"/>
                                <w:sz w:val="13"/>
                              </w:rPr>
                              <w:t> </w:t>
                            </w:r>
                            <w:r>
                              <w:rPr>
                                <w:color w:val="000000"/>
                                <w:w w:val="105"/>
                                <w:sz w:val="13"/>
                              </w:rPr>
                              <w:t>into account.</w:t>
                            </w:r>
                            <w:r>
                              <w:rPr>
                                <w:color w:val="000000"/>
                                <w:spacing w:val="-1"/>
                                <w:w w:val="105"/>
                                <w:sz w:val="13"/>
                              </w:rPr>
                              <w:t> </w:t>
                            </w:r>
                            <w:r>
                              <w:rPr>
                                <w:color w:val="000000"/>
                                <w:w w:val="105"/>
                                <w:sz w:val="13"/>
                              </w:rPr>
                              <w:t>An increase</w:t>
                            </w:r>
                            <w:r>
                              <w:rPr>
                                <w:color w:val="000000"/>
                                <w:spacing w:val="-2"/>
                                <w:w w:val="105"/>
                                <w:sz w:val="13"/>
                              </w:rPr>
                              <w:t> </w:t>
                            </w:r>
                            <w:r>
                              <w:rPr>
                                <w:color w:val="000000"/>
                                <w:w w:val="105"/>
                                <w:sz w:val="13"/>
                              </w:rPr>
                              <w:t>(decrease) in</w:t>
                            </w:r>
                            <w:r>
                              <w:rPr>
                                <w:color w:val="000000"/>
                                <w:spacing w:val="-2"/>
                                <w:w w:val="105"/>
                                <w:sz w:val="13"/>
                              </w:rPr>
                              <w:t> </w:t>
                            </w:r>
                            <w:r>
                              <w:rPr>
                                <w:color w:val="000000"/>
                                <w:w w:val="105"/>
                                <w:sz w:val="13"/>
                              </w:rPr>
                              <w:t>asset lives</w:t>
                            </w:r>
                            <w:r>
                              <w:rPr>
                                <w:color w:val="000000"/>
                                <w:spacing w:val="-1"/>
                                <w:w w:val="105"/>
                                <w:sz w:val="13"/>
                              </w:rPr>
                              <w:t> </w:t>
                            </w:r>
                            <w:r>
                              <w:rPr>
                                <w:color w:val="000000"/>
                                <w:w w:val="105"/>
                                <w:sz w:val="13"/>
                              </w:rPr>
                              <w:t>would result</w:t>
                            </w:r>
                            <w:r>
                              <w:rPr>
                                <w:color w:val="000000"/>
                                <w:spacing w:val="-1"/>
                                <w:w w:val="105"/>
                                <w:sz w:val="13"/>
                              </w:rPr>
                              <w:t> </w:t>
                            </w:r>
                            <w:r>
                              <w:rPr>
                                <w:color w:val="000000"/>
                                <w:w w:val="105"/>
                                <w:sz w:val="13"/>
                              </w:rPr>
                              <w:t>in a</w:t>
                            </w:r>
                            <w:r>
                              <w:rPr>
                                <w:color w:val="000000"/>
                                <w:spacing w:val="-2"/>
                                <w:w w:val="105"/>
                                <w:sz w:val="13"/>
                              </w:rPr>
                              <w:t> </w:t>
                            </w:r>
                            <w:r>
                              <w:rPr>
                                <w:color w:val="000000"/>
                                <w:w w:val="105"/>
                                <w:sz w:val="13"/>
                              </w:rPr>
                              <w:t>lower (higher) future period</w:t>
                            </w:r>
                            <w:r>
                              <w:rPr>
                                <w:color w:val="000000"/>
                                <w:spacing w:val="-2"/>
                                <w:w w:val="105"/>
                                <w:sz w:val="13"/>
                              </w:rPr>
                              <w:t> </w:t>
                            </w:r>
                            <w:r>
                              <w:rPr>
                                <w:color w:val="000000"/>
                                <w:w w:val="105"/>
                                <w:sz w:val="13"/>
                              </w:rPr>
                              <w:t>charge recognised</w:t>
                            </w:r>
                            <w:r>
                              <w:rPr>
                                <w:color w:val="000000"/>
                                <w:spacing w:val="-2"/>
                                <w:w w:val="105"/>
                                <w:sz w:val="13"/>
                              </w:rPr>
                              <w:t> </w:t>
                            </w:r>
                            <w:r>
                              <w:rPr>
                                <w:color w:val="000000"/>
                                <w:w w:val="105"/>
                                <w:sz w:val="13"/>
                              </w:rPr>
                              <w:t>in</w:t>
                            </w:r>
                            <w:r>
                              <w:rPr>
                                <w:color w:val="000000"/>
                                <w:spacing w:val="40"/>
                                <w:w w:val="105"/>
                                <w:sz w:val="13"/>
                              </w:rPr>
                              <w:t> </w:t>
                            </w:r>
                            <w:r>
                              <w:rPr>
                                <w:color w:val="000000"/>
                                <w:w w:val="105"/>
                                <w:sz w:val="13"/>
                              </w:rPr>
                              <w:t>the income statement.</w:t>
                            </w:r>
                          </w:p>
                          <w:p>
                            <w:pPr>
                              <w:spacing w:before="144"/>
                              <w:ind w:left="26" w:right="0" w:firstLine="0"/>
                              <w:jc w:val="both"/>
                              <w:rPr>
                                <w:b/>
                                <w:color w:val="000000"/>
                                <w:sz w:val="13"/>
                              </w:rPr>
                            </w:pPr>
                            <w:r>
                              <w:rPr>
                                <w:b/>
                                <w:color w:val="0070C0"/>
                                <w:w w:val="105"/>
                                <w:sz w:val="13"/>
                              </w:rPr>
                              <w:t>Critical</w:t>
                            </w:r>
                            <w:r>
                              <w:rPr>
                                <w:b/>
                                <w:color w:val="0070C0"/>
                                <w:spacing w:val="-9"/>
                                <w:w w:val="105"/>
                                <w:sz w:val="13"/>
                              </w:rPr>
                              <w:t> </w:t>
                            </w:r>
                            <w:r>
                              <w:rPr>
                                <w:b/>
                                <w:color w:val="0070C0"/>
                                <w:w w:val="105"/>
                                <w:sz w:val="13"/>
                              </w:rPr>
                              <w:t>accounting</w:t>
                            </w:r>
                            <w:r>
                              <w:rPr>
                                <w:b/>
                                <w:color w:val="0070C0"/>
                                <w:spacing w:val="-8"/>
                                <w:w w:val="105"/>
                                <w:sz w:val="13"/>
                              </w:rPr>
                              <w:t> </w:t>
                            </w:r>
                            <w:r>
                              <w:rPr>
                                <w:b/>
                                <w:color w:val="0070C0"/>
                                <w:w w:val="105"/>
                                <w:sz w:val="13"/>
                              </w:rPr>
                              <w:t>estimates</w:t>
                            </w:r>
                            <w:r>
                              <w:rPr>
                                <w:b/>
                                <w:color w:val="0070C0"/>
                                <w:spacing w:val="-8"/>
                                <w:w w:val="105"/>
                                <w:sz w:val="13"/>
                              </w:rPr>
                              <w:t> </w:t>
                            </w:r>
                            <w:r>
                              <w:rPr>
                                <w:b/>
                                <w:color w:val="0070C0"/>
                                <w:w w:val="105"/>
                                <w:sz w:val="13"/>
                              </w:rPr>
                              <w:t>and</w:t>
                            </w:r>
                            <w:r>
                              <w:rPr>
                                <w:b/>
                                <w:color w:val="0070C0"/>
                                <w:spacing w:val="-8"/>
                                <w:w w:val="105"/>
                                <w:sz w:val="13"/>
                              </w:rPr>
                              <w:t> </w:t>
                            </w:r>
                            <w:r>
                              <w:rPr>
                                <w:b/>
                                <w:color w:val="0070C0"/>
                                <w:w w:val="105"/>
                                <w:sz w:val="13"/>
                              </w:rPr>
                              <w:t>judgements:</w:t>
                            </w:r>
                            <w:r>
                              <w:rPr>
                                <w:b/>
                                <w:color w:val="0070C0"/>
                                <w:spacing w:val="-7"/>
                                <w:w w:val="105"/>
                                <w:sz w:val="13"/>
                              </w:rPr>
                              <w:t> </w:t>
                            </w:r>
                            <w:r>
                              <w:rPr>
                                <w:b/>
                                <w:color w:val="0070C0"/>
                                <w:spacing w:val="-2"/>
                                <w:w w:val="105"/>
                                <w:sz w:val="13"/>
                              </w:rPr>
                              <w:t>Impairment</w:t>
                            </w:r>
                          </w:p>
                          <w:p>
                            <w:pPr>
                              <w:spacing w:line="273" w:lineRule="auto" w:before="25"/>
                              <w:ind w:left="26" w:right="24" w:firstLine="0"/>
                              <w:jc w:val="both"/>
                              <w:rPr>
                                <w:color w:val="000000"/>
                                <w:sz w:val="13"/>
                              </w:rPr>
                            </w:pPr>
                            <w:r>
                              <w:rPr>
                                <w:color w:val="000000"/>
                                <w:w w:val="105"/>
                                <w:sz w:val="13"/>
                              </w:rPr>
                              <w:t>Assets are assessed annually for impairment. If the assessment indicates that an asset is impaired, then an assessment of that asset’s</w:t>
                            </w:r>
                            <w:r>
                              <w:rPr>
                                <w:color w:val="000000"/>
                                <w:spacing w:val="40"/>
                                <w:w w:val="105"/>
                                <w:sz w:val="13"/>
                              </w:rPr>
                              <w:t> </w:t>
                            </w:r>
                            <w:r>
                              <w:rPr>
                                <w:color w:val="000000"/>
                                <w:w w:val="105"/>
                                <w:sz w:val="13"/>
                              </w:rPr>
                              <w:t>recoverable amount is estimated to determine whether an impairment loss should be recognised.</w:t>
                            </w:r>
                          </w:p>
                        </w:txbxContent>
                      </wps:txbx>
                      <wps:bodyPr wrap="square" lIns="0" tIns="0" rIns="0" bIns="0" rtlCol="0">
                        <a:noAutofit/>
                      </wps:bodyPr>
                    </wps:wsp>
                  </a:graphicData>
                </a:graphic>
              </wp:anchor>
            </w:drawing>
          </mc:Choice>
          <mc:Fallback>
            <w:pict>
              <v:shape style="position:absolute;margin-left:86.727997pt;margin-top:10.124268pt;width:417.85pt;height:86.95pt;mso-position-horizontal-relative:page;mso-position-vertical-relative:paragraph;z-index:-15563776;mso-wrap-distance-left:0;mso-wrap-distance-right:0" type="#_x0000_t202" id="docshape632" filled="true" fillcolor="#dce6f1" stroked="false">
                <v:textbox inset="0,0,0,0">
                  <w:txbxContent>
                    <w:p>
                      <w:pPr>
                        <w:spacing w:before="6"/>
                        <w:ind w:left="26" w:right="0" w:firstLine="0"/>
                        <w:jc w:val="both"/>
                        <w:rPr>
                          <w:b/>
                          <w:color w:val="000000"/>
                          <w:sz w:val="13"/>
                        </w:rPr>
                      </w:pPr>
                      <w:r>
                        <w:rPr>
                          <w:b/>
                          <w:color w:val="0070C0"/>
                          <w:w w:val="105"/>
                          <w:sz w:val="13"/>
                        </w:rPr>
                        <w:t>Critical</w:t>
                      </w:r>
                      <w:r>
                        <w:rPr>
                          <w:b/>
                          <w:color w:val="0070C0"/>
                          <w:spacing w:val="-8"/>
                          <w:w w:val="105"/>
                          <w:sz w:val="13"/>
                        </w:rPr>
                        <w:t> </w:t>
                      </w:r>
                      <w:r>
                        <w:rPr>
                          <w:b/>
                          <w:color w:val="0070C0"/>
                          <w:w w:val="105"/>
                          <w:sz w:val="13"/>
                        </w:rPr>
                        <w:t>accounting</w:t>
                      </w:r>
                      <w:r>
                        <w:rPr>
                          <w:b/>
                          <w:color w:val="0070C0"/>
                          <w:spacing w:val="-6"/>
                          <w:w w:val="105"/>
                          <w:sz w:val="13"/>
                        </w:rPr>
                        <w:t> </w:t>
                      </w:r>
                      <w:r>
                        <w:rPr>
                          <w:b/>
                          <w:color w:val="0070C0"/>
                          <w:w w:val="105"/>
                          <w:sz w:val="13"/>
                        </w:rPr>
                        <w:t>estimates</w:t>
                      </w:r>
                      <w:r>
                        <w:rPr>
                          <w:b/>
                          <w:color w:val="0070C0"/>
                          <w:spacing w:val="-8"/>
                          <w:w w:val="105"/>
                          <w:sz w:val="13"/>
                        </w:rPr>
                        <w:t> </w:t>
                      </w:r>
                      <w:r>
                        <w:rPr>
                          <w:b/>
                          <w:color w:val="0070C0"/>
                          <w:w w:val="105"/>
                          <w:sz w:val="13"/>
                        </w:rPr>
                        <w:t>and</w:t>
                      </w:r>
                      <w:r>
                        <w:rPr>
                          <w:b/>
                          <w:color w:val="0070C0"/>
                          <w:spacing w:val="-6"/>
                          <w:w w:val="105"/>
                          <w:sz w:val="13"/>
                        </w:rPr>
                        <w:t> </w:t>
                      </w:r>
                      <w:r>
                        <w:rPr>
                          <w:b/>
                          <w:color w:val="0070C0"/>
                          <w:w w:val="105"/>
                          <w:sz w:val="13"/>
                        </w:rPr>
                        <w:t>judgements:</w:t>
                      </w:r>
                      <w:r>
                        <w:rPr>
                          <w:b/>
                          <w:color w:val="0070C0"/>
                          <w:spacing w:val="-6"/>
                          <w:w w:val="105"/>
                          <w:sz w:val="13"/>
                        </w:rPr>
                        <w:t> </w:t>
                      </w:r>
                      <w:r>
                        <w:rPr>
                          <w:b/>
                          <w:color w:val="0070C0"/>
                          <w:w w:val="105"/>
                          <w:sz w:val="13"/>
                        </w:rPr>
                        <w:t>Property,</w:t>
                      </w:r>
                      <w:r>
                        <w:rPr>
                          <w:b/>
                          <w:color w:val="0070C0"/>
                          <w:spacing w:val="-8"/>
                          <w:w w:val="105"/>
                          <w:sz w:val="13"/>
                        </w:rPr>
                        <w:t> </w:t>
                      </w:r>
                      <w:r>
                        <w:rPr>
                          <w:b/>
                          <w:color w:val="0070C0"/>
                          <w:w w:val="105"/>
                          <w:sz w:val="13"/>
                        </w:rPr>
                        <w:t>plant</w:t>
                      </w:r>
                      <w:r>
                        <w:rPr>
                          <w:b/>
                          <w:color w:val="0070C0"/>
                          <w:spacing w:val="-5"/>
                          <w:w w:val="105"/>
                          <w:sz w:val="13"/>
                        </w:rPr>
                        <w:t> </w:t>
                      </w:r>
                      <w:r>
                        <w:rPr>
                          <w:b/>
                          <w:color w:val="0070C0"/>
                          <w:w w:val="105"/>
                          <w:sz w:val="13"/>
                        </w:rPr>
                        <w:t>and</w:t>
                      </w:r>
                      <w:r>
                        <w:rPr>
                          <w:b/>
                          <w:color w:val="0070C0"/>
                          <w:spacing w:val="-7"/>
                          <w:w w:val="105"/>
                          <w:sz w:val="13"/>
                        </w:rPr>
                        <w:t> </w:t>
                      </w:r>
                      <w:r>
                        <w:rPr>
                          <w:b/>
                          <w:color w:val="0070C0"/>
                          <w:spacing w:val="-2"/>
                          <w:w w:val="105"/>
                          <w:sz w:val="13"/>
                        </w:rPr>
                        <w:t>equipment</w:t>
                      </w:r>
                    </w:p>
                    <w:p>
                      <w:pPr>
                        <w:spacing w:line="273" w:lineRule="auto" w:before="25"/>
                        <w:ind w:left="26" w:right="20" w:firstLine="0"/>
                        <w:jc w:val="both"/>
                        <w:rPr>
                          <w:color w:val="000000"/>
                          <w:sz w:val="13"/>
                        </w:rPr>
                      </w:pPr>
                      <w:r>
                        <w:rPr>
                          <w:color w:val="000000"/>
                          <w:w w:val="105"/>
                          <w:sz w:val="13"/>
                        </w:rPr>
                        <w:t>Property,</w:t>
                      </w:r>
                      <w:r>
                        <w:rPr>
                          <w:color w:val="000000"/>
                          <w:w w:val="105"/>
                          <w:sz w:val="13"/>
                        </w:rPr>
                        <w:t> plant</w:t>
                      </w:r>
                      <w:r>
                        <w:rPr>
                          <w:color w:val="000000"/>
                          <w:w w:val="105"/>
                          <w:sz w:val="13"/>
                        </w:rPr>
                        <w:t> and</w:t>
                      </w:r>
                      <w:r>
                        <w:rPr>
                          <w:color w:val="000000"/>
                          <w:w w:val="105"/>
                          <w:sz w:val="13"/>
                        </w:rPr>
                        <w:t> equipment</w:t>
                      </w:r>
                      <w:r>
                        <w:rPr>
                          <w:color w:val="000000"/>
                          <w:w w:val="105"/>
                          <w:sz w:val="13"/>
                        </w:rPr>
                        <w:t> and</w:t>
                      </w:r>
                      <w:r>
                        <w:rPr>
                          <w:color w:val="000000"/>
                          <w:w w:val="105"/>
                          <w:sz w:val="13"/>
                        </w:rPr>
                        <w:t> intangible</w:t>
                      </w:r>
                      <w:r>
                        <w:rPr>
                          <w:color w:val="000000"/>
                          <w:w w:val="105"/>
                          <w:sz w:val="13"/>
                        </w:rPr>
                        <w:t> assets</w:t>
                      </w:r>
                      <w:r>
                        <w:rPr>
                          <w:color w:val="000000"/>
                          <w:w w:val="105"/>
                          <w:sz w:val="13"/>
                        </w:rPr>
                        <w:t> are</w:t>
                      </w:r>
                      <w:r>
                        <w:rPr>
                          <w:color w:val="000000"/>
                          <w:w w:val="105"/>
                          <w:sz w:val="13"/>
                        </w:rPr>
                        <w:t> depreciated/amortised</w:t>
                      </w:r>
                      <w:r>
                        <w:rPr>
                          <w:color w:val="000000"/>
                          <w:w w:val="105"/>
                          <w:sz w:val="13"/>
                        </w:rPr>
                        <w:t> over</w:t>
                      </w:r>
                      <w:r>
                        <w:rPr>
                          <w:color w:val="000000"/>
                          <w:w w:val="105"/>
                          <w:sz w:val="13"/>
                        </w:rPr>
                        <w:t> their</w:t>
                      </w:r>
                      <w:r>
                        <w:rPr>
                          <w:color w:val="000000"/>
                          <w:w w:val="105"/>
                          <w:sz w:val="13"/>
                        </w:rPr>
                        <w:t> useful</w:t>
                      </w:r>
                      <w:r>
                        <w:rPr>
                          <w:color w:val="000000"/>
                          <w:w w:val="105"/>
                          <w:sz w:val="13"/>
                        </w:rPr>
                        <w:t> lives</w:t>
                      </w:r>
                      <w:r>
                        <w:rPr>
                          <w:color w:val="000000"/>
                          <w:w w:val="105"/>
                          <w:sz w:val="13"/>
                        </w:rPr>
                        <w:t> taking</w:t>
                      </w:r>
                      <w:r>
                        <w:rPr>
                          <w:color w:val="000000"/>
                          <w:w w:val="105"/>
                          <w:sz w:val="13"/>
                        </w:rPr>
                        <w:t> into</w:t>
                      </w:r>
                      <w:r>
                        <w:rPr>
                          <w:color w:val="000000"/>
                          <w:w w:val="105"/>
                          <w:sz w:val="13"/>
                        </w:rPr>
                        <w:t> account</w:t>
                      </w:r>
                      <w:r>
                        <w:rPr>
                          <w:color w:val="000000"/>
                          <w:w w:val="105"/>
                          <w:sz w:val="13"/>
                        </w:rPr>
                        <w:t> any residual</w:t>
                      </w:r>
                      <w:r>
                        <w:rPr>
                          <w:color w:val="000000"/>
                          <w:spacing w:val="40"/>
                          <w:w w:val="105"/>
                          <w:sz w:val="13"/>
                        </w:rPr>
                        <w:t> </w:t>
                      </w:r>
                      <w:r>
                        <w:rPr>
                          <w:color w:val="000000"/>
                          <w:w w:val="105"/>
                          <w:sz w:val="13"/>
                        </w:rPr>
                        <w:t>values where appropriate. The useful lives of</w:t>
                      </w:r>
                      <w:r>
                        <w:rPr>
                          <w:color w:val="000000"/>
                          <w:w w:val="105"/>
                          <w:sz w:val="13"/>
                        </w:rPr>
                        <w:t> the assets and residual values (where appropriate) are assessed annually and may vary</w:t>
                      </w:r>
                      <w:r>
                        <w:rPr>
                          <w:color w:val="000000"/>
                          <w:spacing w:val="40"/>
                          <w:w w:val="105"/>
                          <w:sz w:val="13"/>
                        </w:rPr>
                        <w:t> </w:t>
                      </w:r>
                      <w:r>
                        <w:rPr>
                          <w:color w:val="000000"/>
                          <w:w w:val="105"/>
                          <w:sz w:val="13"/>
                        </w:rPr>
                        <w:t>depending on a number</w:t>
                      </w:r>
                      <w:r>
                        <w:rPr>
                          <w:color w:val="000000"/>
                          <w:w w:val="105"/>
                          <w:sz w:val="13"/>
                        </w:rPr>
                        <w:t> of</w:t>
                      </w:r>
                      <w:r>
                        <w:rPr>
                          <w:color w:val="000000"/>
                          <w:w w:val="105"/>
                          <w:sz w:val="13"/>
                        </w:rPr>
                        <w:t> factors.</w:t>
                      </w:r>
                      <w:r>
                        <w:rPr>
                          <w:color w:val="000000"/>
                          <w:w w:val="105"/>
                          <w:sz w:val="13"/>
                        </w:rPr>
                        <w:t> In assessing</w:t>
                      </w:r>
                      <w:r>
                        <w:rPr>
                          <w:color w:val="000000"/>
                          <w:w w:val="105"/>
                          <w:sz w:val="13"/>
                        </w:rPr>
                        <w:t> asset lives,</w:t>
                      </w:r>
                      <w:r>
                        <w:rPr>
                          <w:color w:val="000000"/>
                          <w:w w:val="105"/>
                          <w:sz w:val="13"/>
                        </w:rPr>
                        <w:t> factors such</w:t>
                      </w:r>
                      <w:r>
                        <w:rPr>
                          <w:color w:val="000000"/>
                          <w:w w:val="105"/>
                          <w:sz w:val="13"/>
                        </w:rPr>
                        <w:t> as technological</w:t>
                      </w:r>
                      <w:r>
                        <w:rPr>
                          <w:color w:val="000000"/>
                          <w:w w:val="105"/>
                          <w:sz w:val="13"/>
                        </w:rPr>
                        <w:t> innovation, wear</w:t>
                      </w:r>
                      <w:r>
                        <w:rPr>
                          <w:color w:val="000000"/>
                          <w:w w:val="105"/>
                          <w:sz w:val="13"/>
                        </w:rPr>
                        <w:t> and tear</w:t>
                      </w:r>
                      <w:r>
                        <w:rPr>
                          <w:color w:val="000000"/>
                          <w:w w:val="105"/>
                          <w:sz w:val="13"/>
                        </w:rPr>
                        <w:t> and maintenance</w:t>
                      </w:r>
                      <w:r>
                        <w:rPr>
                          <w:color w:val="000000"/>
                          <w:spacing w:val="40"/>
                          <w:w w:val="105"/>
                          <w:sz w:val="13"/>
                        </w:rPr>
                        <w:t> </w:t>
                      </w:r>
                      <w:r>
                        <w:rPr>
                          <w:color w:val="000000"/>
                          <w:w w:val="105"/>
                          <w:sz w:val="13"/>
                        </w:rPr>
                        <w:t>programs are taken</w:t>
                      </w:r>
                      <w:r>
                        <w:rPr>
                          <w:color w:val="000000"/>
                          <w:spacing w:val="-2"/>
                          <w:w w:val="105"/>
                          <w:sz w:val="13"/>
                        </w:rPr>
                        <w:t> </w:t>
                      </w:r>
                      <w:r>
                        <w:rPr>
                          <w:color w:val="000000"/>
                          <w:w w:val="105"/>
                          <w:sz w:val="13"/>
                        </w:rPr>
                        <w:t>into account.</w:t>
                      </w:r>
                      <w:r>
                        <w:rPr>
                          <w:color w:val="000000"/>
                          <w:spacing w:val="-1"/>
                          <w:w w:val="105"/>
                          <w:sz w:val="13"/>
                        </w:rPr>
                        <w:t> </w:t>
                      </w:r>
                      <w:r>
                        <w:rPr>
                          <w:color w:val="000000"/>
                          <w:w w:val="105"/>
                          <w:sz w:val="13"/>
                        </w:rPr>
                        <w:t>An increase</w:t>
                      </w:r>
                      <w:r>
                        <w:rPr>
                          <w:color w:val="000000"/>
                          <w:spacing w:val="-2"/>
                          <w:w w:val="105"/>
                          <w:sz w:val="13"/>
                        </w:rPr>
                        <w:t> </w:t>
                      </w:r>
                      <w:r>
                        <w:rPr>
                          <w:color w:val="000000"/>
                          <w:w w:val="105"/>
                          <w:sz w:val="13"/>
                        </w:rPr>
                        <w:t>(decrease) in</w:t>
                      </w:r>
                      <w:r>
                        <w:rPr>
                          <w:color w:val="000000"/>
                          <w:spacing w:val="-2"/>
                          <w:w w:val="105"/>
                          <w:sz w:val="13"/>
                        </w:rPr>
                        <w:t> </w:t>
                      </w:r>
                      <w:r>
                        <w:rPr>
                          <w:color w:val="000000"/>
                          <w:w w:val="105"/>
                          <w:sz w:val="13"/>
                        </w:rPr>
                        <w:t>asset lives</w:t>
                      </w:r>
                      <w:r>
                        <w:rPr>
                          <w:color w:val="000000"/>
                          <w:spacing w:val="-1"/>
                          <w:w w:val="105"/>
                          <w:sz w:val="13"/>
                        </w:rPr>
                        <w:t> </w:t>
                      </w:r>
                      <w:r>
                        <w:rPr>
                          <w:color w:val="000000"/>
                          <w:w w:val="105"/>
                          <w:sz w:val="13"/>
                        </w:rPr>
                        <w:t>would result</w:t>
                      </w:r>
                      <w:r>
                        <w:rPr>
                          <w:color w:val="000000"/>
                          <w:spacing w:val="-1"/>
                          <w:w w:val="105"/>
                          <w:sz w:val="13"/>
                        </w:rPr>
                        <w:t> </w:t>
                      </w:r>
                      <w:r>
                        <w:rPr>
                          <w:color w:val="000000"/>
                          <w:w w:val="105"/>
                          <w:sz w:val="13"/>
                        </w:rPr>
                        <w:t>in a</w:t>
                      </w:r>
                      <w:r>
                        <w:rPr>
                          <w:color w:val="000000"/>
                          <w:spacing w:val="-2"/>
                          <w:w w:val="105"/>
                          <w:sz w:val="13"/>
                        </w:rPr>
                        <w:t> </w:t>
                      </w:r>
                      <w:r>
                        <w:rPr>
                          <w:color w:val="000000"/>
                          <w:w w:val="105"/>
                          <w:sz w:val="13"/>
                        </w:rPr>
                        <w:t>lower (higher) future period</w:t>
                      </w:r>
                      <w:r>
                        <w:rPr>
                          <w:color w:val="000000"/>
                          <w:spacing w:val="-2"/>
                          <w:w w:val="105"/>
                          <w:sz w:val="13"/>
                        </w:rPr>
                        <w:t> </w:t>
                      </w:r>
                      <w:r>
                        <w:rPr>
                          <w:color w:val="000000"/>
                          <w:w w:val="105"/>
                          <w:sz w:val="13"/>
                        </w:rPr>
                        <w:t>charge recognised</w:t>
                      </w:r>
                      <w:r>
                        <w:rPr>
                          <w:color w:val="000000"/>
                          <w:spacing w:val="-2"/>
                          <w:w w:val="105"/>
                          <w:sz w:val="13"/>
                        </w:rPr>
                        <w:t> </w:t>
                      </w:r>
                      <w:r>
                        <w:rPr>
                          <w:color w:val="000000"/>
                          <w:w w:val="105"/>
                          <w:sz w:val="13"/>
                        </w:rPr>
                        <w:t>in</w:t>
                      </w:r>
                      <w:r>
                        <w:rPr>
                          <w:color w:val="000000"/>
                          <w:spacing w:val="40"/>
                          <w:w w:val="105"/>
                          <w:sz w:val="13"/>
                        </w:rPr>
                        <w:t> </w:t>
                      </w:r>
                      <w:r>
                        <w:rPr>
                          <w:color w:val="000000"/>
                          <w:w w:val="105"/>
                          <w:sz w:val="13"/>
                        </w:rPr>
                        <w:t>the income statement.</w:t>
                      </w:r>
                    </w:p>
                    <w:p>
                      <w:pPr>
                        <w:spacing w:before="144"/>
                        <w:ind w:left="26" w:right="0" w:firstLine="0"/>
                        <w:jc w:val="both"/>
                        <w:rPr>
                          <w:b/>
                          <w:color w:val="000000"/>
                          <w:sz w:val="13"/>
                        </w:rPr>
                      </w:pPr>
                      <w:r>
                        <w:rPr>
                          <w:b/>
                          <w:color w:val="0070C0"/>
                          <w:w w:val="105"/>
                          <w:sz w:val="13"/>
                        </w:rPr>
                        <w:t>Critical</w:t>
                      </w:r>
                      <w:r>
                        <w:rPr>
                          <w:b/>
                          <w:color w:val="0070C0"/>
                          <w:spacing w:val="-9"/>
                          <w:w w:val="105"/>
                          <w:sz w:val="13"/>
                        </w:rPr>
                        <w:t> </w:t>
                      </w:r>
                      <w:r>
                        <w:rPr>
                          <w:b/>
                          <w:color w:val="0070C0"/>
                          <w:w w:val="105"/>
                          <w:sz w:val="13"/>
                        </w:rPr>
                        <w:t>accounting</w:t>
                      </w:r>
                      <w:r>
                        <w:rPr>
                          <w:b/>
                          <w:color w:val="0070C0"/>
                          <w:spacing w:val="-8"/>
                          <w:w w:val="105"/>
                          <w:sz w:val="13"/>
                        </w:rPr>
                        <w:t> </w:t>
                      </w:r>
                      <w:r>
                        <w:rPr>
                          <w:b/>
                          <w:color w:val="0070C0"/>
                          <w:w w:val="105"/>
                          <w:sz w:val="13"/>
                        </w:rPr>
                        <w:t>estimates</w:t>
                      </w:r>
                      <w:r>
                        <w:rPr>
                          <w:b/>
                          <w:color w:val="0070C0"/>
                          <w:spacing w:val="-8"/>
                          <w:w w:val="105"/>
                          <w:sz w:val="13"/>
                        </w:rPr>
                        <w:t> </w:t>
                      </w:r>
                      <w:r>
                        <w:rPr>
                          <w:b/>
                          <w:color w:val="0070C0"/>
                          <w:w w:val="105"/>
                          <w:sz w:val="13"/>
                        </w:rPr>
                        <w:t>and</w:t>
                      </w:r>
                      <w:r>
                        <w:rPr>
                          <w:b/>
                          <w:color w:val="0070C0"/>
                          <w:spacing w:val="-8"/>
                          <w:w w:val="105"/>
                          <w:sz w:val="13"/>
                        </w:rPr>
                        <w:t> </w:t>
                      </w:r>
                      <w:r>
                        <w:rPr>
                          <w:b/>
                          <w:color w:val="0070C0"/>
                          <w:w w:val="105"/>
                          <w:sz w:val="13"/>
                        </w:rPr>
                        <w:t>judgements:</w:t>
                      </w:r>
                      <w:r>
                        <w:rPr>
                          <w:b/>
                          <w:color w:val="0070C0"/>
                          <w:spacing w:val="-7"/>
                          <w:w w:val="105"/>
                          <w:sz w:val="13"/>
                        </w:rPr>
                        <w:t> </w:t>
                      </w:r>
                      <w:r>
                        <w:rPr>
                          <w:b/>
                          <w:color w:val="0070C0"/>
                          <w:spacing w:val="-2"/>
                          <w:w w:val="105"/>
                          <w:sz w:val="13"/>
                        </w:rPr>
                        <w:t>Impairment</w:t>
                      </w:r>
                    </w:p>
                    <w:p>
                      <w:pPr>
                        <w:spacing w:line="273" w:lineRule="auto" w:before="25"/>
                        <w:ind w:left="26" w:right="24" w:firstLine="0"/>
                        <w:jc w:val="both"/>
                        <w:rPr>
                          <w:color w:val="000000"/>
                          <w:sz w:val="13"/>
                        </w:rPr>
                      </w:pPr>
                      <w:r>
                        <w:rPr>
                          <w:color w:val="000000"/>
                          <w:w w:val="105"/>
                          <w:sz w:val="13"/>
                        </w:rPr>
                        <w:t>Assets are assessed annually for impairment. If the assessment indicates that an asset is impaired, then an assessment of that asset’s</w:t>
                      </w:r>
                      <w:r>
                        <w:rPr>
                          <w:color w:val="000000"/>
                          <w:spacing w:val="40"/>
                          <w:w w:val="105"/>
                          <w:sz w:val="13"/>
                        </w:rPr>
                        <w:t> </w:t>
                      </w:r>
                      <w:r>
                        <w:rPr>
                          <w:color w:val="000000"/>
                          <w:w w:val="105"/>
                          <w:sz w:val="13"/>
                        </w:rPr>
                        <w:t>recoverable amount is estimated to determine whether an impairment loss should be recognised.</w:t>
                      </w:r>
                    </w:p>
                  </w:txbxContent>
                </v:textbox>
                <v:fill type="solid"/>
                <w10:wrap type="topAndBottom"/>
              </v:shape>
            </w:pict>
          </mc:Fallback>
        </mc:AlternateContent>
      </w:r>
    </w:p>
    <w:p>
      <w:pPr>
        <w:spacing w:after="0" w:line="240" w:lineRule="auto"/>
        <w:rPr>
          <w:sz w:val="15"/>
        </w:rPr>
        <w:sectPr>
          <w:headerReference w:type="default" r:id="rId112"/>
          <w:headerReference w:type="even" r:id="rId113"/>
          <w:pgSz w:w="11910" w:h="16840"/>
          <w:pgMar w:header="468" w:footer="0" w:top="1580" w:bottom="280" w:left="1020" w:right="1540"/>
          <w:pgNumType w:start="93"/>
        </w:sectPr>
      </w:pPr>
    </w:p>
    <w:p>
      <w:pPr>
        <w:spacing w:before="117"/>
        <w:ind w:left="291" w:right="0" w:firstLine="0"/>
        <w:jc w:val="left"/>
        <w:rPr>
          <w:sz w:val="21"/>
        </w:rPr>
      </w:pPr>
      <w:r>
        <w:rPr>
          <w:color w:val="0070C0"/>
          <w:sz w:val="21"/>
        </w:rPr>
        <w:t>NOTES</w:t>
      </w:r>
      <w:r>
        <w:rPr>
          <w:color w:val="0070C0"/>
          <w:spacing w:val="12"/>
          <w:sz w:val="21"/>
        </w:rPr>
        <w:t> </w:t>
      </w:r>
      <w:r>
        <w:rPr>
          <w:color w:val="0070C0"/>
          <w:sz w:val="21"/>
        </w:rPr>
        <w:t>TO</w:t>
      </w:r>
      <w:r>
        <w:rPr>
          <w:color w:val="0070C0"/>
          <w:spacing w:val="12"/>
          <w:sz w:val="21"/>
        </w:rPr>
        <w:t> </w:t>
      </w:r>
      <w:r>
        <w:rPr>
          <w:color w:val="0070C0"/>
          <w:sz w:val="21"/>
        </w:rPr>
        <w:t>THE</w:t>
      </w:r>
      <w:r>
        <w:rPr>
          <w:color w:val="0070C0"/>
          <w:spacing w:val="13"/>
          <w:sz w:val="21"/>
        </w:rPr>
        <w:t> </w:t>
      </w:r>
      <w:r>
        <w:rPr>
          <w:color w:val="0070C0"/>
          <w:sz w:val="21"/>
        </w:rPr>
        <w:t>FINANCIAL</w:t>
      </w:r>
      <w:r>
        <w:rPr>
          <w:color w:val="0070C0"/>
          <w:spacing w:val="12"/>
          <w:sz w:val="21"/>
        </w:rPr>
        <w:t> </w:t>
      </w:r>
      <w:r>
        <w:rPr>
          <w:color w:val="0070C0"/>
          <w:spacing w:val="-2"/>
          <w:sz w:val="21"/>
        </w:rPr>
        <w:t>STATEMENTS</w:t>
      </w:r>
    </w:p>
    <w:p>
      <w:pPr>
        <w:spacing w:before="30"/>
        <w:ind w:left="278" w:right="0" w:firstLine="0"/>
        <w:jc w:val="left"/>
        <w:rPr>
          <w:sz w:val="12"/>
        </w:rPr>
      </w:pPr>
      <w:r>
        <w:rPr>
          <w:sz w:val="12"/>
        </w:rPr>
        <w:t>for</w:t>
      </w:r>
      <w:r>
        <w:rPr>
          <w:spacing w:val="1"/>
          <w:sz w:val="12"/>
        </w:rPr>
        <w:t> </w:t>
      </w:r>
      <w:r>
        <w:rPr>
          <w:sz w:val="12"/>
        </w:rPr>
        <w:t>the</w:t>
      </w:r>
      <w:r>
        <w:rPr>
          <w:spacing w:val="1"/>
          <w:sz w:val="12"/>
        </w:rPr>
        <w:t> </w:t>
      </w:r>
      <w:r>
        <w:rPr>
          <w:sz w:val="12"/>
        </w:rPr>
        <w:t>year</w:t>
      </w:r>
      <w:r>
        <w:rPr>
          <w:spacing w:val="2"/>
          <w:sz w:val="12"/>
        </w:rPr>
        <w:t> </w:t>
      </w:r>
      <w:r>
        <w:rPr>
          <w:sz w:val="12"/>
        </w:rPr>
        <w:t>ended</w:t>
      </w:r>
      <w:r>
        <w:rPr>
          <w:spacing w:val="1"/>
          <w:sz w:val="12"/>
        </w:rPr>
        <w:t> </w:t>
      </w:r>
      <w:r>
        <w:rPr>
          <w:sz w:val="12"/>
        </w:rPr>
        <w:t>31 December</w:t>
      </w:r>
      <w:r>
        <w:rPr>
          <w:spacing w:val="2"/>
          <w:sz w:val="12"/>
        </w:rPr>
        <w:t> </w:t>
      </w:r>
      <w:r>
        <w:rPr>
          <w:spacing w:val="-4"/>
          <w:sz w:val="12"/>
        </w:rPr>
        <w:t>2020</w:t>
      </w:r>
    </w:p>
    <w:p>
      <w:pPr>
        <w:spacing w:line="240" w:lineRule="auto" w:before="48"/>
        <w:rPr>
          <w:sz w:val="16"/>
        </w:rPr>
      </w:pPr>
    </w:p>
    <w:p>
      <w:pPr>
        <w:spacing w:before="1"/>
        <w:ind w:left="881" w:right="0" w:firstLine="0"/>
        <w:jc w:val="left"/>
        <w:rPr>
          <w:b/>
          <w:sz w:val="16"/>
        </w:rPr>
      </w:pPr>
      <w:r>
        <w:rPr>
          <w:b/>
          <w:color w:val="0070C0"/>
          <w:sz w:val="16"/>
        </w:rPr>
        <w:t>Right-of-use</w:t>
      </w:r>
      <w:r>
        <w:rPr>
          <w:b/>
          <w:color w:val="0070C0"/>
          <w:spacing w:val="-8"/>
          <w:sz w:val="16"/>
        </w:rPr>
        <w:t> </w:t>
      </w:r>
      <w:r>
        <w:rPr>
          <w:b/>
          <w:color w:val="0070C0"/>
          <w:spacing w:val="-2"/>
          <w:sz w:val="16"/>
        </w:rPr>
        <w:t>assets</w:t>
      </w:r>
    </w:p>
    <w:p>
      <w:pPr>
        <w:spacing w:before="26"/>
        <w:ind w:left="877" w:right="0" w:firstLine="0"/>
        <w:jc w:val="left"/>
        <w:rPr>
          <w:sz w:val="13"/>
        </w:rPr>
      </w:pPr>
      <w:r>
        <w:rPr>
          <w:sz w:val="13"/>
        </w:rPr>
        <w:t>Right-of-use</w:t>
      </w:r>
      <w:r>
        <w:rPr>
          <w:spacing w:val="6"/>
          <w:sz w:val="13"/>
        </w:rPr>
        <w:t> </w:t>
      </w:r>
      <w:r>
        <w:rPr>
          <w:sz w:val="13"/>
        </w:rPr>
        <w:t>assets</w:t>
      </w:r>
      <w:r>
        <w:rPr>
          <w:spacing w:val="7"/>
          <w:sz w:val="13"/>
        </w:rPr>
        <w:t> </w:t>
      </w:r>
      <w:r>
        <w:rPr>
          <w:sz w:val="13"/>
        </w:rPr>
        <w:t>predominately</w:t>
      </w:r>
      <w:r>
        <w:rPr>
          <w:spacing w:val="2"/>
          <w:sz w:val="13"/>
        </w:rPr>
        <w:t> </w:t>
      </w:r>
      <w:r>
        <w:rPr>
          <w:sz w:val="13"/>
        </w:rPr>
        <w:t>relate</w:t>
      </w:r>
      <w:r>
        <w:rPr>
          <w:spacing w:val="6"/>
          <w:sz w:val="13"/>
        </w:rPr>
        <w:t> </w:t>
      </w:r>
      <w:r>
        <w:rPr>
          <w:sz w:val="13"/>
        </w:rPr>
        <w:t>to</w:t>
      </w:r>
      <w:r>
        <w:rPr>
          <w:spacing w:val="6"/>
          <w:sz w:val="13"/>
        </w:rPr>
        <w:t> </w:t>
      </w:r>
      <w:r>
        <w:rPr>
          <w:sz w:val="13"/>
        </w:rPr>
        <w:t>long-term</w:t>
      </w:r>
      <w:r>
        <w:rPr>
          <w:spacing w:val="9"/>
          <w:sz w:val="13"/>
        </w:rPr>
        <w:t> </w:t>
      </w:r>
      <w:r>
        <w:rPr>
          <w:sz w:val="13"/>
        </w:rPr>
        <w:t>property</w:t>
      </w:r>
      <w:r>
        <w:rPr>
          <w:spacing w:val="2"/>
          <w:sz w:val="13"/>
        </w:rPr>
        <w:t> </w:t>
      </w:r>
      <w:r>
        <w:rPr>
          <w:spacing w:val="-2"/>
          <w:sz w:val="13"/>
        </w:rPr>
        <w:t>leases.</w:t>
      </w:r>
    </w:p>
    <w:p>
      <w:pPr>
        <w:tabs>
          <w:tab w:pos="6669" w:val="left" w:leader="none"/>
          <w:tab w:pos="7570" w:val="left" w:leader="none"/>
          <w:tab w:pos="7845" w:val="left" w:leader="none"/>
          <w:tab w:pos="8766" w:val="right" w:leader="none"/>
        </w:tabs>
        <w:spacing w:line="252" w:lineRule="auto" w:before="148"/>
        <w:ind w:left="5768" w:right="577" w:firstLine="173"/>
        <w:jc w:val="left"/>
        <w:rPr>
          <w:b/>
          <w:sz w:val="13"/>
        </w:rPr>
      </w:pPr>
      <w:r>
        <w:rPr>
          <w:b/>
          <w:spacing w:val="-2"/>
          <w:w w:val="105"/>
          <w:sz w:val="13"/>
        </w:rPr>
        <w:t>Consolidated</w:t>
      </w:r>
      <w:r>
        <w:rPr>
          <w:b/>
          <w:sz w:val="13"/>
        </w:rPr>
        <w:tab/>
        <w:tab/>
      </w:r>
      <w:r>
        <w:rPr>
          <w:b/>
          <w:spacing w:val="-2"/>
          <w:w w:val="105"/>
          <w:sz w:val="13"/>
        </w:rPr>
        <w:t>University</w:t>
      </w:r>
      <w:r>
        <w:rPr>
          <w:b/>
          <w:spacing w:val="40"/>
          <w:w w:val="105"/>
          <w:sz w:val="13"/>
        </w:rPr>
        <w:t> </w:t>
      </w:r>
      <w:r>
        <w:rPr>
          <w:b/>
          <w:spacing w:val="-4"/>
          <w:sz w:val="13"/>
        </w:rPr>
        <w:t>2020</w:t>
      </w:r>
      <w:r>
        <w:rPr>
          <w:b/>
          <w:sz w:val="13"/>
        </w:rPr>
        <w:tab/>
      </w:r>
      <w:r>
        <w:rPr>
          <w:b/>
          <w:spacing w:val="-4"/>
          <w:sz w:val="13"/>
        </w:rPr>
        <w:t>2019</w:t>
      </w:r>
      <w:r>
        <w:rPr>
          <w:b/>
          <w:sz w:val="13"/>
        </w:rPr>
        <w:tab/>
      </w:r>
      <w:r>
        <w:rPr>
          <w:b/>
          <w:spacing w:val="-4"/>
          <w:sz w:val="13"/>
        </w:rPr>
        <w:t>2020</w:t>
      </w:r>
      <w:r>
        <w:rPr>
          <w:b/>
          <w:sz w:val="13"/>
        </w:rPr>
        <w:tab/>
        <w:tab/>
      </w:r>
      <w:r>
        <w:rPr>
          <w:b/>
          <w:spacing w:val="-4"/>
          <w:sz w:val="13"/>
        </w:rPr>
        <w:t>2019</w:t>
      </w:r>
    </w:p>
    <w:p>
      <w:pPr>
        <w:tabs>
          <w:tab w:pos="5459" w:val="left" w:leader="none"/>
          <w:tab w:pos="5752" w:val="left" w:leader="none"/>
          <w:tab w:pos="6653" w:val="left" w:leader="none"/>
          <w:tab w:pos="7554" w:val="left" w:leader="none"/>
          <w:tab w:pos="8455" w:val="left" w:leader="none"/>
          <w:tab w:pos="9065" w:val="left" w:leader="none"/>
        </w:tabs>
        <w:spacing w:before="16" w:after="37"/>
        <w:ind w:left="877" w:right="0" w:firstLine="0"/>
        <w:jc w:val="left"/>
        <w:rPr>
          <w:b/>
          <w:sz w:val="13"/>
        </w:rPr>
      </w:pPr>
      <w:r>
        <w:rPr>
          <w:b/>
          <w:w w:val="103"/>
          <w:sz w:val="13"/>
        </w:rPr>
        <w:t>R</w:t>
      </w:r>
      <w:r>
        <w:rPr>
          <w:b/>
          <w:spacing w:val="-1"/>
          <w:w w:val="103"/>
          <w:sz w:val="13"/>
        </w:rPr>
        <w:t>i</w:t>
      </w:r>
      <w:r>
        <w:rPr>
          <w:b/>
          <w:w w:val="103"/>
          <w:sz w:val="13"/>
        </w:rPr>
        <w:t>ght-of-u</w:t>
      </w:r>
      <w:r>
        <w:rPr>
          <w:b/>
          <w:spacing w:val="-2"/>
          <w:w w:val="103"/>
          <w:sz w:val="13"/>
        </w:rPr>
        <w:t>s</w:t>
      </w:r>
      <w:r>
        <w:rPr>
          <w:b/>
          <w:w w:val="103"/>
          <w:sz w:val="13"/>
        </w:rPr>
        <w:t>e</w:t>
      </w:r>
      <w:r>
        <w:rPr>
          <w:b/>
          <w:spacing w:val="-1"/>
          <w:sz w:val="13"/>
        </w:rPr>
        <w:t> </w:t>
      </w:r>
      <w:r>
        <w:rPr>
          <w:b/>
          <w:spacing w:val="-2"/>
          <w:w w:val="103"/>
          <w:sz w:val="13"/>
        </w:rPr>
        <w:t>asse</w:t>
      </w:r>
      <w:r>
        <w:rPr>
          <w:b/>
          <w:w w:val="103"/>
          <w:sz w:val="13"/>
        </w:rPr>
        <w:t>t</w:t>
      </w:r>
      <w:r>
        <w:rPr>
          <w:b/>
          <w:spacing w:val="1"/>
          <w:sz w:val="13"/>
        </w:rPr>
        <w:t> </w:t>
      </w:r>
      <w:r>
        <w:rPr>
          <w:b/>
          <w:w w:val="103"/>
          <w:sz w:val="13"/>
        </w:rPr>
        <w:t>-</w:t>
      </w:r>
      <w:r>
        <w:rPr>
          <w:b/>
          <w:spacing w:val="1"/>
          <w:sz w:val="13"/>
        </w:rPr>
        <w:t> </w:t>
      </w:r>
      <w:r>
        <w:rPr>
          <w:b/>
          <w:w w:val="103"/>
          <w:sz w:val="13"/>
        </w:rPr>
        <w:t>Bu</w:t>
      </w:r>
      <w:r>
        <w:rPr>
          <w:b/>
          <w:spacing w:val="-1"/>
          <w:w w:val="103"/>
          <w:sz w:val="13"/>
        </w:rPr>
        <w:t>il</w:t>
      </w:r>
      <w:r>
        <w:rPr>
          <w:b/>
          <w:w w:val="103"/>
          <w:sz w:val="13"/>
        </w:rPr>
        <w:t>d</w:t>
      </w:r>
      <w:r>
        <w:rPr>
          <w:b/>
          <w:spacing w:val="-1"/>
          <w:w w:val="103"/>
          <w:sz w:val="13"/>
        </w:rPr>
        <w:t>i</w:t>
      </w:r>
      <w:r>
        <w:rPr>
          <w:b/>
          <w:w w:val="103"/>
          <w:sz w:val="13"/>
        </w:rPr>
        <w:t>ngs</w:t>
      </w:r>
      <w:r>
        <w:rPr>
          <w:b/>
          <w:sz w:val="13"/>
        </w:rPr>
        <w:tab/>
      </w:r>
      <w:r>
        <w:rPr>
          <w:b/>
          <w:w w:val="103"/>
          <w:position w:val="-1"/>
          <w:sz w:val="13"/>
          <w:u w:val="single"/>
        </w:rPr>
        <w:t> </w:t>
      </w:r>
      <w:r>
        <w:rPr>
          <w:b/>
          <w:position w:val="-1"/>
          <w:sz w:val="13"/>
          <w:u w:val="single"/>
        </w:rPr>
        <w:tab/>
      </w:r>
      <w:r>
        <w:rPr>
          <w:b/>
          <w:spacing w:val="-2"/>
          <w:w w:val="103"/>
          <w:position w:val="-1"/>
          <w:sz w:val="13"/>
          <w:u w:val="single"/>
        </w:rPr>
        <w:t>$</w:t>
      </w:r>
      <w:r>
        <w:rPr>
          <w:b/>
          <w:w w:val="103"/>
          <w:position w:val="-1"/>
          <w:sz w:val="13"/>
          <w:u w:val="single"/>
        </w:rPr>
        <w:t>'</w:t>
      </w:r>
      <w:r>
        <w:rPr>
          <w:b/>
          <w:spacing w:val="-2"/>
          <w:w w:val="103"/>
          <w:position w:val="-1"/>
          <w:sz w:val="13"/>
          <w:u w:val="single"/>
        </w:rPr>
        <w:t>00</w:t>
      </w:r>
      <w:r>
        <w:rPr>
          <w:b/>
          <w:w w:val="103"/>
          <w:position w:val="-1"/>
          <w:sz w:val="13"/>
          <w:u w:val="single"/>
        </w:rPr>
        <w:t>0</w:t>
      </w:r>
      <w:r>
        <w:rPr>
          <w:b/>
          <w:position w:val="-1"/>
          <w:sz w:val="13"/>
          <w:u w:val="single"/>
        </w:rPr>
        <w:tab/>
      </w:r>
      <w:r>
        <w:rPr>
          <w:b/>
          <w:spacing w:val="-2"/>
          <w:w w:val="103"/>
          <w:position w:val="-1"/>
          <w:sz w:val="13"/>
          <w:u w:val="single"/>
        </w:rPr>
        <w:t>$</w:t>
      </w:r>
      <w:r>
        <w:rPr>
          <w:b/>
          <w:w w:val="103"/>
          <w:position w:val="-1"/>
          <w:sz w:val="13"/>
          <w:u w:val="single"/>
        </w:rPr>
        <w:t>'</w:t>
      </w:r>
      <w:r>
        <w:rPr>
          <w:b/>
          <w:spacing w:val="-2"/>
          <w:w w:val="103"/>
          <w:position w:val="-1"/>
          <w:sz w:val="13"/>
          <w:u w:val="single"/>
        </w:rPr>
        <w:t>00</w:t>
      </w:r>
      <w:r>
        <w:rPr>
          <w:b/>
          <w:w w:val="103"/>
          <w:position w:val="-1"/>
          <w:sz w:val="13"/>
          <w:u w:val="single"/>
        </w:rPr>
        <w:t>0</w:t>
      </w:r>
      <w:r>
        <w:rPr>
          <w:b/>
          <w:position w:val="-1"/>
          <w:sz w:val="13"/>
          <w:u w:val="single"/>
        </w:rPr>
        <w:tab/>
      </w:r>
      <w:r>
        <w:rPr>
          <w:b/>
          <w:spacing w:val="-2"/>
          <w:w w:val="103"/>
          <w:position w:val="-1"/>
          <w:sz w:val="13"/>
          <w:u w:val="single"/>
        </w:rPr>
        <w:t>$</w:t>
      </w:r>
      <w:r>
        <w:rPr>
          <w:b/>
          <w:w w:val="103"/>
          <w:position w:val="-1"/>
          <w:sz w:val="13"/>
          <w:u w:val="single"/>
        </w:rPr>
        <w:t>'</w:t>
      </w:r>
      <w:r>
        <w:rPr>
          <w:b/>
          <w:spacing w:val="-2"/>
          <w:w w:val="103"/>
          <w:position w:val="-1"/>
          <w:sz w:val="13"/>
          <w:u w:val="single"/>
        </w:rPr>
        <w:t>00</w:t>
      </w:r>
      <w:r>
        <w:rPr>
          <w:b/>
          <w:w w:val="103"/>
          <w:position w:val="-1"/>
          <w:sz w:val="13"/>
          <w:u w:val="single"/>
        </w:rPr>
        <w:t>0</w:t>
      </w:r>
      <w:r>
        <w:rPr>
          <w:b/>
          <w:position w:val="-1"/>
          <w:sz w:val="13"/>
          <w:u w:val="single"/>
        </w:rPr>
        <w:tab/>
      </w:r>
      <w:r>
        <w:rPr>
          <w:b/>
          <w:spacing w:val="-2"/>
          <w:w w:val="103"/>
          <w:position w:val="-1"/>
          <w:sz w:val="13"/>
          <w:u w:val="single"/>
        </w:rPr>
        <w:t>$</w:t>
      </w:r>
      <w:r>
        <w:rPr>
          <w:b/>
          <w:w w:val="103"/>
          <w:position w:val="-1"/>
          <w:sz w:val="13"/>
          <w:u w:val="single"/>
        </w:rPr>
        <w:t>'</w:t>
      </w:r>
      <w:r>
        <w:rPr>
          <w:b/>
          <w:spacing w:val="-2"/>
          <w:w w:val="103"/>
          <w:position w:val="-1"/>
          <w:sz w:val="13"/>
          <w:u w:val="single"/>
        </w:rPr>
        <w:t>00</w:t>
      </w:r>
      <w:r>
        <w:rPr>
          <w:b/>
          <w:w w:val="103"/>
          <w:position w:val="-1"/>
          <w:sz w:val="13"/>
          <w:u w:val="single"/>
        </w:rPr>
        <w:t>0</w:t>
      </w:r>
      <w:r>
        <w:rPr>
          <w:b/>
          <w:position w:val="-1"/>
          <w:sz w:val="13"/>
          <w:u w:val="single"/>
        </w:rPr>
        <w:tab/>
      </w:r>
    </w:p>
    <w:tbl>
      <w:tblPr>
        <w:tblW w:w="0" w:type="auto"/>
        <w:jc w:val="left"/>
        <w:tblInd w:w="8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46"/>
        <w:gridCol w:w="1299"/>
        <w:gridCol w:w="1189"/>
        <w:gridCol w:w="919"/>
        <w:gridCol w:w="672"/>
      </w:tblGrid>
      <w:tr>
        <w:trPr>
          <w:trHeight w:val="178" w:hRule="atLeast"/>
        </w:trPr>
        <w:tc>
          <w:tcPr>
            <w:tcW w:w="4146" w:type="dxa"/>
          </w:tcPr>
          <w:p>
            <w:pPr>
              <w:pStyle w:val="TableParagraph"/>
              <w:ind w:left="34"/>
              <w:rPr>
                <w:sz w:val="13"/>
              </w:rPr>
            </w:pPr>
            <w:r>
              <w:rPr>
                <w:w w:val="105"/>
                <w:sz w:val="13"/>
              </w:rPr>
              <w:t>At</w:t>
            </w:r>
            <w:r>
              <w:rPr>
                <w:spacing w:val="-5"/>
                <w:w w:val="105"/>
                <w:sz w:val="13"/>
              </w:rPr>
              <w:t> </w:t>
            </w:r>
            <w:r>
              <w:rPr>
                <w:w w:val="105"/>
                <w:sz w:val="13"/>
              </w:rPr>
              <w:t>1</w:t>
            </w:r>
            <w:r>
              <w:rPr>
                <w:spacing w:val="-5"/>
                <w:w w:val="105"/>
                <w:sz w:val="13"/>
              </w:rPr>
              <w:t> </w:t>
            </w:r>
            <w:r>
              <w:rPr>
                <w:spacing w:val="-2"/>
                <w:w w:val="105"/>
                <w:sz w:val="13"/>
              </w:rPr>
              <w:t>January</w:t>
            </w:r>
          </w:p>
        </w:tc>
        <w:tc>
          <w:tcPr>
            <w:tcW w:w="1299" w:type="dxa"/>
          </w:tcPr>
          <w:p>
            <w:pPr>
              <w:pStyle w:val="TableParagraph"/>
              <w:spacing w:line="148" w:lineRule="exact" w:before="11"/>
              <w:ind w:right="-15"/>
              <w:jc w:val="right"/>
              <w:rPr>
                <w:sz w:val="13"/>
              </w:rPr>
            </w:pPr>
            <w:r>
              <w:rPr>
                <w:spacing w:val="-5"/>
                <w:w w:val="105"/>
                <w:sz w:val="13"/>
              </w:rPr>
              <w:t>510</w:t>
            </w:r>
          </w:p>
        </w:tc>
        <w:tc>
          <w:tcPr>
            <w:tcW w:w="1189" w:type="dxa"/>
          </w:tcPr>
          <w:p>
            <w:pPr>
              <w:pStyle w:val="TableParagraph"/>
              <w:ind w:right="285"/>
              <w:jc w:val="right"/>
              <w:rPr>
                <w:sz w:val="13"/>
              </w:rPr>
            </w:pPr>
            <w:r>
              <w:rPr>
                <w:spacing w:val="-2"/>
                <w:w w:val="105"/>
                <w:sz w:val="13"/>
              </w:rPr>
              <w:t>1,180</w:t>
            </w:r>
          </w:p>
        </w:tc>
        <w:tc>
          <w:tcPr>
            <w:tcW w:w="919" w:type="dxa"/>
          </w:tcPr>
          <w:p>
            <w:pPr>
              <w:pStyle w:val="TableParagraph"/>
              <w:spacing w:line="148" w:lineRule="exact" w:before="11"/>
              <w:ind w:right="303"/>
              <w:jc w:val="right"/>
              <w:rPr>
                <w:sz w:val="13"/>
              </w:rPr>
            </w:pPr>
            <w:r>
              <w:rPr>
                <w:spacing w:val="-5"/>
                <w:w w:val="105"/>
                <w:sz w:val="13"/>
              </w:rPr>
              <w:t>510</w:t>
            </w:r>
          </w:p>
        </w:tc>
        <w:tc>
          <w:tcPr>
            <w:tcW w:w="672" w:type="dxa"/>
          </w:tcPr>
          <w:p>
            <w:pPr>
              <w:pStyle w:val="TableParagraph"/>
              <w:ind w:right="74"/>
              <w:jc w:val="right"/>
              <w:rPr>
                <w:sz w:val="13"/>
              </w:rPr>
            </w:pPr>
            <w:r>
              <w:rPr>
                <w:spacing w:val="-2"/>
                <w:w w:val="105"/>
                <w:sz w:val="13"/>
              </w:rPr>
              <w:t>1,180</w:t>
            </w:r>
          </w:p>
        </w:tc>
      </w:tr>
      <w:tr>
        <w:trPr>
          <w:trHeight w:val="167" w:hRule="atLeast"/>
        </w:trPr>
        <w:tc>
          <w:tcPr>
            <w:tcW w:w="4146" w:type="dxa"/>
          </w:tcPr>
          <w:p>
            <w:pPr>
              <w:pStyle w:val="TableParagraph"/>
              <w:spacing w:line="130" w:lineRule="exact" w:before="17"/>
              <w:ind w:left="34"/>
              <w:rPr>
                <w:sz w:val="13"/>
              </w:rPr>
            </w:pPr>
            <w:r>
              <w:rPr>
                <w:sz w:val="13"/>
              </w:rPr>
              <w:t>Additions</w:t>
            </w:r>
            <w:r>
              <w:rPr>
                <w:spacing w:val="6"/>
                <w:sz w:val="13"/>
              </w:rPr>
              <w:t> </w:t>
            </w:r>
            <w:r>
              <w:rPr>
                <w:sz w:val="13"/>
              </w:rPr>
              <w:t>of</w:t>
            </w:r>
            <w:r>
              <w:rPr>
                <w:spacing w:val="8"/>
                <w:sz w:val="13"/>
              </w:rPr>
              <w:t> </w:t>
            </w:r>
            <w:r>
              <w:rPr>
                <w:sz w:val="13"/>
              </w:rPr>
              <w:t>right-of-use</w:t>
            </w:r>
            <w:r>
              <w:rPr>
                <w:spacing w:val="6"/>
                <w:sz w:val="13"/>
              </w:rPr>
              <w:t> </w:t>
            </w:r>
            <w:r>
              <w:rPr>
                <w:spacing w:val="-2"/>
                <w:sz w:val="13"/>
              </w:rPr>
              <w:t>assets</w:t>
            </w:r>
          </w:p>
        </w:tc>
        <w:tc>
          <w:tcPr>
            <w:tcW w:w="1299" w:type="dxa"/>
          </w:tcPr>
          <w:p>
            <w:pPr>
              <w:pStyle w:val="TableParagraph"/>
              <w:spacing w:line="130" w:lineRule="exact" w:before="17"/>
              <w:ind w:right="-15"/>
              <w:jc w:val="right"/>
              <w:rPr>
                <w:sz w:val="13"/>
              </w:rPr>
            </w:pPr>
            <w:r>
              <w:rPr>
                <w:spacing w:val="-2"/>
                <w:w w:val="105"/>
                <w:sz w:val="13"/>
              </w:rPr>
              <w:t>2,120</w:t>
            </w:r>
          </w:p>
        </w:tc>
        <w:tc>
          <w:tcPr>
            <w:tcW w:w="1189" w:type="dxa"/>
          </w:tcPr>
          <w:p>
            <w:pPr>
              <w:pStyle w:val="TableParagraph"/>
              <w:spacing w:line="130" w:lineRule="exact" w:before="17"/>
              <w:ind w:right="277"/>
              <w:jc w:val="right"/>
              <w:rPr>
                <w:sz w:val="13"/>
              </w:rPr>
            </w:pPr>
            <w:r>
              <w:rPr>
                <w:spacing w:val="-10"/>
                <w:w w:val="105"/>
                <w:sz w:val="13"/>
              </w:rPr>
              <w:t>-</w:t>
            </w:r>
          </w:p>
        </w:tc>
        <w:tc>
          <w:tcPr>
            <w:tcW w:w="919" w:type="dxa"/>
          </w:tcPr>
          <w:p>
            <w:pPr>
              <w:pStyle w:val="TableParagraph"/>
              <w:spacing w:line="130" w:lineRule="exact" w:before="17"/>
              <w:ind w:right="303"/>
              <w:jc w:val="right"/>
              <w:rPr>
                <w:sz w:val="13"/>
              </w:rPr>
            </w:pPr>
            <w:r>
              <w:rPr>
                <w:spacing w:val="-2"/>
                <w:w w:val="105"/>
                <w:sz w:val="13"/>
              </w:rPr>
              <w:t>1,964</w:t>
            </w:r>
          </w:p>
        </w:tc>
        <w:tc>
          <w:tcPr>
            <w:tcW w:w="672" w:type="dxa"/>
          </w:tcPr>
          <w:p>
            <w:pPr>
              <w:pStyle w:val="TableParagraph"/>
              <w:spacing w:line="130" w:lineRule="exact" w:before="17"/>
              <w:ind w:right="66"/>
              <w:jc w:val="right"/>
              <w:rPr>
                <w:sz w:val="13"/>
              </w:rPr>
            </w:pPr>
            <w:r>
              <w:rPr>
                <w:spacing w:val="-10"/>
                <w:w w:val="105"/>
                <w:sz w:val="13"/>
              </w:rPr>
              <w:t>-</w:t>
            </w:r>
          </w:p>
        </w:tc>
      </w:tr>
      <w:tr>
        <w:trPr>
          <w:trHeight w:val="206" w:hRule="atLeast"/>
        </w:trPr>
        <w:tc>
          <w:tcPr>
            <w:tcW w:w="8225" w:type="dxa"/>
            <w:gridSpan w:val="5"/>
          </w:tcPr>
          <w:p>
            <w:pPr>
              <w:pStyle w:val="TableParagraph"/>
              <w:tabs>
                <w:tab w:pos="4616" w:val="left" w:leader="none"/>
                <w:tab w:pos="5068" w:val="left" w:leader="none"/>
                <w:tab w:pos="6079" w:val="left" w:leader="none"/>
                <w:tab w:pos="6870" w:val="left" w:leader="none"/>
                <w:tab w:pos="7881" w:val="left" w:leader="none"/>
              </w:tabs>
              <w:spacing w:line="140" w:lineRule="exact" w:before="46"/>
              <w:ind w:left="34"/>
              <w:rPr>
                <w:sz w:val="13"/>
              </w:rPr>
            </w:pPr>
            <w:r>
              <w:rPr>
                <w:position w:val="1"/>
                <w:sz w:val="13"/>
              </w:rPr>
              <w:t>Depreciation</w:t>
            </w:r>
            <w:r>
              <w:rPr>
                <w:spacing w:val="9"/>
                <w:position w:val="1"/>
                <w:sz w:val="13"/>
              </w:rPr>
              <w:t> </w:t>
            </w:r>
            <w:r>
              <w:rPr>
                <w:spacing w:val="-2"/>
                <w:position w:val="1"/>
                <w:sz w:val="13"/>
              </w:rPr>
              <w:t>charge</w:t>
            </w:r>
            <w:r>
              <w:rPr>
                <w:position w:val="1"/>
                <w:sz w:val="13"/>
              </w:rPr>
              <w:tab/>
            </w:r>
            <w:r>
              <w:rPr>
                <w:sz w:val="13"/>
                <w:u w:val="single"/>
              </w:rPr>
              <w:tab/>
            </w:r>
            <w:r>
              <w:rPr>
                <w:spacing w:val="-2"/>
                <w:sz w:val="13"/>
                <w:u w:val="single"/>
              </w:rPr>
              <w:t>(1,171)</w:t>
            </w:r>
            <w:r>
              <w:rPr>
                <w:sz w:val="13"/>
                <w:u w:val="single"/>
              </w:rPr>
              <w:tab/>
            </w:r>
            <w:r>
              <w:rPr>
                <w:spacing w:val="-2"/>
                <w:position w:val="1"/>
                <w:sz w:val="13"/>
                <w:u w:val="single"/>
              </w:rPr>
              <w:t>(670)</w:t>
            </w:r>
            <w:r>
              <w:rPr>
                <w:position w:val="1"/>
                <w:sz w:val="13"/>
                <w:u w:val="single"/>
              </w:rPr>
              <w:tab/>
            </w:r>
            <w:r>
              <w:rPr>
                <w:spacing w:val="-2"/>
                <w:sz w:val="13"/>
                <w:u w:val="single"/>
              </w:rPr>
              <w:t>(1,155)</w:t>
            </w:r>
            <w:r>
              <w:rPr>
                <w:sz w:val="13"/>
                <w:u w:val="single"/>
              </w:rPr>
              <w:tab/>
            </w:r>
            <w:r>
              <w:rPr>
                <w:spacing w:val="-2"/>
                <w:position w:val="1"/>
                <w:sz w:val="13"/>
                <w:u w:val="single"/>
              </w:rPr>
              <w:t>(670)</w:t>
            </w:r>
          </w:p>
        </w:tc>
      </w:tr>
      <w:tr>
        <w:trPr>
          <w:trHeight w:val="265" w:hRule="atLeast"/>
        </w:trPr>
        <w:tc>
          <w:tcPr>
            <w:tcW w:w="4146" w:type="dxa"/>
          </w:tcPr>
          <w:p>
            <w:pPr>
              <w:pStyle w:val="TableParagraph"/>
              <w:spacing w:before="34"/>
              <w:ind w:left="34"/>
              <w:rPr>
                <w:b/>
                <w:sz w:val="13"/>
              </w:rPr>
            </w:pPr>
            <w:r>
              <w:rPr>
                <w:b/>
                <w:w w:val="105"/>
                <w:sz w:val="13"/>
              </w:rPr>
              <w:t>At</w:t>
            </w:r>
            <w:r>
              <w:rPr>
                <w:b/>
                <w:spacing w:val="-7"/>
                <w:w w:val="105"/>
                <w:sz w:val="13"/>
              </w:rPr>
              <w:t> </w:t>
            </w:r>
            <w:r>
              <w:rPr>
                <w:b/>
                <w:w w:val="105"/>
                <w:sz w:val="13"/>
              </w:rPr>
              <w:t>31</w:t>
            </w:r>
            <w:r>
              <w:rPr>
                <w:b/>
                <w:spacing w:val="-9"/>
                <w:w w:val="105"/>
                <w:sz w:val="13"/>
              </w:rPr>
              <w:t> </w:t>
            </w:r>
            <w:r>
              <w:rPr>
                <w:b/>
                <w:spacing w:val="-2"/>
                <w:w w:val="105"/>
                <w:sz w:val="13"/>
              </w:rPr>
              <w:t>December</w:t>
            </w:r>
          </w:p>
        </w:tc>
        <w:tc>
          <w:tcPr>
            <w:tcW w:w="1299" w:type="dxa"/>
          </w:tcPr>
          <w:p>
            <w:pPr>
              <w:pStyle w:val="TableParagraph"/>
              <w:spacing w:before="45"/>
              <w:ind w:right="-15"/>
              <w:jc w:val="right"/>
              <w:rPr>
                <w:b/>
                <w:sz w:val="13"/>
              </w:rPr>
            </w:pPr>
            <w:r>
              <w:rPr>
                <w:b/>
                <w:spacing w:val="-2"/>
                <w:w w:val="105"/>
                <w:sz w:val="13"/>
              </w:rPr>
              <w:t>1,459</w:t>
            </w:r>
          </w:p>
        </w:tc>
        <w:tc>
          <w:tcPr>
            <w:tcW w:w="1189" w:type="dxa"/>
          </w:tcPr>
          <w:p>
            <w:pPr>
              <w:pStyle w:val="TableParagraph"/>
              <w:spacing w:before="45"/>
              <w:ind w:right="285"/>
              <w:jc w:val="right"/>
              <w:rPr>
                <w:b/>
                <w:sz w:val="13"/>
              </w:rPr>
            </w:pPr>
            <w:r>
              <w:rPr>
                <w:b/>
                <w:spacing w:val="-5"/>
                <w:w w:val="105"/>
                <w:sz w:val="13"/>
              </w:rPr>
              <w:t>510</w:t>
            </w:r>
          </w:p>
        </w:tc>
        <w:tc>
          <w:tcPr>
            <w:tcW w:w="919" w:type="dxa"/>
          </w:tcPr>
          <w:p>
            <w:pPr>
              <w:pStyle w:val="TableParagraph"/>
              <w:spacing w:before="45"/>
              <w:ind w:right="303"/>
              <w:jc w:val="right"/>
              <w:rPr>
                <w:b/>
                <w:sz w:val="13"/>
              </w:rPr>
            </w:pPr>
            <w:r>
              <w:rPr>
                <w:b/>
                <w:spacing w:val="-2"/>
                <w:w w:val="105"/>
                <w:sz w:val="13"/>
              </w:rPr>
              <w:t>1,319</w:t>
            </w:r>
          </w:p>
        </w:tc>
        <w:tc>
          <w:tcPr>
            <w:tcW w:w="672" w:type="dxa"/>
          </w:tcPr>
          <w:p>
            <w:pPr>
              <w:pStyle w:val="TableParagraph"/>
              <w:spacing w:before="45"/>
              <w:ind w:right="74"/>
              <w:jc w:val="right"/>
              <w:rPr>
                <w:b/>
                <w:sz w:val="13"/>
              </w:rPr>
            </w:pPr>
            <w:r>
              <w:rPr>
                <w:b/>
                <w:spacing w:val="-5"/>
                <w:w w:val="105"/>
                <w:sz w:val="13"/>
              </w:rPr>
              <w:t>510</w:t>
            </w:r>
          </w:p>
        </w:tc>
      </w:tr>
      <w:tr>
        <w:trPr>
          <w:trHeight w:val="248" w:hRule="atLeast"/>
        </w:trPr>
        <w:tc>
          <w:tcPr>
            <w:tcW w:w="4146" w:type="dxa"/>
          </w:tcPr>
          <w:p>
            <w:pPr>
              <w:pStyle w:val="TableParagraph"/>
              <w:spacing w:before="70"/>
              <w:ind w:left="34"/>
              <w:rPr>
                <w:b/>
                <w:sz w:val="13"/>
              </w:rPr>
            </w:pPr>
            <w:r>
              <w:rPr>
                <w:b/>
                <w:sz w:val="13"/>
              </w:rPr>
              <w:t>Right-of-use</w:t>
            </w:r>
            <w:r>
              <w:rPr>
                <w:b/>
                <w:spacing w:val="6"/>
                <w:sz w:val="13"/>
              </w:rPr>
              <w:t> </w:t>
            </w:r>
            <w:r>
              <w:rPr>
                <w:b/>
                <w:sz w:val="13"/>
              </w:rPr>
              <w:t>asset</w:t>
            </w:r>
            <w:r>
              <w:rPr>
                <w:b/>
                <w:spacing w:val="9"/>
                <w:sz w:val="13"/>
              </w:rPr>
              <w:t> </w:t>
            </w:r>
            <w:r>
              <w:rPr>
                <w:b/>
                <w:sz w:val="13"/>
              </w:rPr>
              <w:t>-</w:t>
            </w:r>
            <w:r>
              <w:rPr>
                <w:b/>
                <w:spacing w:val="9"/>
                <w:sz w:val="13"/>
              </w:rPr>
              <w:t> </w:t>
            </w:r>
            <w:r>
              <w:rPr>
                <w:b/>
                <w:spacing w:val="-2"/>
                <w:sz w:val="13"/>
              </w:rPr>
              <w:t>Equipment</w:t>
            </w:r>
          </w:p>
        </w:tc>
        <w:tc>
          <w:tcPr>
            <w:tcW w:w="1299" w:type="dxa"/>
          </w:tcPr>
          <w:p>
            <w:pPr>
              <w:pStyle w:val="TableParagraph"/>
              <w:rPr>
                <w:rFonts w:ascii="Times New Roman"/>
                <w:sz w:val="12"/>
              </w:rPr>
            </w:pPr>
          </w:p>
        </w:tc>
        <w:tc>
          <w:tcPr>
            <w:tcW w:w="1189" w:type="dxa"/>
          </w:tcPr>
          <w:p>
            <w:pPr>
              <w:pStyle w:val="TableParagraph"/>
              <w:rPr>
                <w:rFonts w:ascii="Times New Roman"/>
                <w:sz w:val="12"/>
              </w:rPr>
            </w:pPr>
          </w:p>
        </w:tc>
        <w:tc>
          <w:tcPr>
            <w:tcW w:w="919" w:type="dxa"/>
          </w:tcPr>
          <w:p>
            <w:pPr>
              <w:pStyle w:val="TableParagraph"/>
              <w:rPr>
                <w:rFonts w:ascii="Times New Roman"/>
                <w:sz w:val="12"/>
              </w:rPr>
            </w:pPr>
          </w:p>
        </w:tc>
        <w:tc>
          <w:tcPr>
            <w:tcW w:w="672" w:type="dxa"/>
          </w:tcPr>
          <w:p>
            <w:pPr>
              <w:pStyle w:val="TableParagraph"/>
              <w:rPr>
                <w:rFonts w:ascii="Times New Roman"/>
                <w:sz w:val="12"/>
              </w:rPr>
            </w:pPr>
          </w:p>
        </w:tc>
      </w:tr>
      <w:tr>
        <w:trPr>
          <w:trHeight w:val="206" w:hRule="atLeast"/>
        </w:trPr>
        <w:tc>
          <w:tcPr>
            <w:tcW w:w="4146" w:type="dxa"/>
          </w:tcPr>
          <w:p>
            <w:pPr>
              <w:pStyle w:val="TableParagraph"/>
              <w:spacing w:before="28"/>
              <w:ind w:left="34"/>
              <w:rPr>
                <w:sz w:val="13"/>
              </w:rPr>
            </w:pPr>
            <w:r>
              <w:rPr>
                <w:w w:val="105"/>
                <w:sz w:val="13"/>
              </w:rPr>
              <w:t>At</w:t>
            </w:r>
            <w:r>
              <w:rPr>
                <w:spacing w:val="-5"/>
                <w:w w:val="105"/>
                <w:sz w:val="13"/>
              </w:rPr>
              <w:t> </w:t>
            </w:r>
            <w:r>
              <w:rPr>
                <w:w w:val="105"/>
                <w:sz w:val="13"/>
              </w:rPr>
              <w:t>1</w:t>
            </w:r>
            <w:r>
              <w:rPr>
                <w:spacing w:val="-5"/>
                <w:w w:val="105"/>
                <w:sz w:val="13"/>
              </w:rPr>
              <w:t> </w:t>
            </w:r>
            <w:r>
              <w:rPr>
                <w:spacing w:val="-2"/>
                <w:w w:val="105"/>
                <w:sz w:val="13"/>
              </w:rPr>
              <w:t>January</w:t>
            </w:r>
          </w:p>
        </w:tc>
        <w:tc>
          <w:tcPr>
            <w:tcW w:w="1299" w:type="dxa"/>
          </w:tcPr>
          <w:p>
            <w:pPr>
              <w:pStyle w:val="TableParagraph"/>
              <w:spacing w:line="148" w:lineRule="exact" w:before="38"/>
              <w:ind w:right="-15"/>
              <w:jc w:val="right"/>
              <w:rPr>
                <w:sz w:val="13"/>
              </w:rPr>
            </w:pPr>
            <w:r>
              <w:rPr>
                <w:spacing w:val="-5"/>
                <w:w w:val="105"/>
                <w:sz w:val="13"/>
              </w:rPr>
              <w:t>39</w:t>
            </w:r>
          </w:p>
        </w:tc>
        <w:tc>
          <w:tcPr>
            <w:tcW w:w="1189" w:type="dxa"/>
          </w:tcPr>
          <w:p>
            <w:pPr>
              <w:pStyle w:val="TableParagraph"/>
              <w:spacing w:before="28"/>
              <w:ind w:right="285"/>
              <w:jc w:val="right"/>
              <w:rPr>
                <w:sz w:val="13"/>
              </w:rPr>
            </w:pPr>
            <w:r>
              <w:rPr>
                <w:spacing w:val="-5"/>
                <w:w w:val="105"/>
                <w:sz w:val="13"/>
              </w:rPr>
              <w:t>74</w:t>
            </w:r>
          </w:p>
        </w:tc>
        <w:tc>
          <w:tcPr>
            <w:tcW w:w="919" w:type="dxa"/>
          </w:tcPr>
          <w:p>
            <w:pPr>
              <w:pStyle w:val="TableParagraph"/>
              <w:spacing w:line="148" w:lineRule="exact" w:before="38"/>
              <w:ind w:right="303"/>
              <w:jc w:val="right"/>
              <w:rPr>
                <w:sz w:val="13"/>
              </w:rPr>
            </w:pPr>
            <w:r>
              <w:rPr>
                <w:spacing w:val="-5"/>
                <w:w w:val="105"/>
                <w:sz w:val="13"/>
              </w:rPr>
              <w:t>39</w:t>
            </w:r>
          </w:p>
        </w:tc>
        <w:tc>
          <w:tcPr>
            <w:tcW w:w="672" w:type="dxa"/>
          </w:tcPr>
          <w:p>
            <w:pPr>
              <w:pStyle w:val="TableParagraph"/>
              <w:spacing w:before="28"/>
              <w:ind w:right="74"/>
              <w:jc w:val="right"/>
              <w:rPr>
                <w:sz w:val="13"/>
              </w:rPr>
            </w:pPr>
            <w:r>
              <w:rPr>
                <w:spacing w:val="-5"/>
                <w:w w:val="105"/>
                <w:sz w:val="13"/>
              </w:rPr>
              <w:t>74</w:t>
            </w:r>
          </w:p>
        </w:tc>
      </w:tr>
      <w:tr>
        <w:trPr>
          <w:trHeight w:val="167" w:hRule="atLeast"/>
        </w:trPr>
        <w:tc>
          <w:tcPr>
            <w:tcW w:w="4146" w:type="dxa"/>
          </w:tcPr>
          <w:p>
            <w:pPr>
              <w:pStyle w:val="TableParagraph"/>
              <w:spacing w:line="130" w:lineRule="exact" w:before="17"/>
              <w:ind w:left="34"/>
              <w:rPr>
                <w:sz w:val="13"/>
              </w:rPr>
            </w:pPr>
            <w:r>
              <w:rPr>
                <w:sz w:val="13"/>
              </w:rPr>
              <w:t>Additions</w:t>
            </w:r>
            <w:r>
              <w:rPr>
                <w:spacing w:val="6"/>
                <w:sz w:val="13"/>
              </w:rPr>
              <w:t> </w:t>
            </w:r>
            <w:r>
              <w:rPr>
                <w:sz w:val="13"/>
              </w:rPr>
              <w:t>of</w:t>
            </w:r>
            <w:r>
              <w:rPr>
                <w:spacing w:val="8"/>
                <w:sz w:val="13"/>
              </w:rPr>
              <w:t> </w:t>
            </w:r>
            <w:r>
              <w:rPr>
                <w:sz w:val="13"/>
              </w:rPr>
              <w:t>right-of-use</w:t>
            </w:r>
            <w:r>
              <w:rPr>
                <w:spacing w:val="6"/>
                <w:sz w:val="13"/>
              </w:rPr>
              <w:t> </w:t>
            </w:r>
            <w:r>
              <w:rPr>
                <w:spacing w:val="-2"/>
                <w:sz w:val="13"/>
              </w:rPr>
              <w:t>assets</w:t>
            </w:r>
          </w:p>
        </w:tc>
        <w:tc>
          <w:tcPr>
            <w:tcW w:w="1299" w:type="dxa"/>
          </w:tcPr>
          <w:p>
            <w:pPr>
              <w:pStyle w:val="TableParagraph"/>
              <w:rPr>
                <w:rFonts w:ascii="Times New Roman"/>
                <w:sz w:val="10"/>
              </w:rPr>
            </w:pPr>
          </w:p>
        </w:tc>
        <w:tc>
          <w:tcPr>
            <w:tcW w:w="1189" w:type="dxa"/>
          </w:tcPr>
          <w:p>
            <w:pPr>
              <w:pStyle w:val="TableParagraph"/>
              <w:tabs>
                <w:tab w:pos="863" w:val="left" w:leader="none"/>
              </w:tabs>
              <w:spacing w:line="130" w:lineRule="exact" w:before="17"/>
              <w:ind w:right="277"/>
              <w:jc w:val="right"/>
              <w:rPr>
                <w:sz w:val="13"/>
              </w:rPr>
            </w:pPr>
            <w:r>
              <w:rPr>
                <w:spacing w:val="-10"/>
                <w:w w:val="105"/>
                <w:sz w:val="13"/>
              </w:rPr>
              <w:t>-</w:t>
            </w:r>
            <w:r>
              <w:rPr>
                <w:sz w:val="13"/>
              </w:rPr>
              <w:tab/>
            </w:r>
            <w:r>
              <w:rPr>
                <w:spacing w:val="-10"/>
                <w:w w:val="105"/>
                <w:sz w:val="13"/>
              </w:rPr>
              <w:t>-</w:t>
            </w:r>
          </w:p>
        </w:tc>
        <w:tc>
          <w:tcPr>
            <w:tcW w:w="919" w:type="dxa"/>
          </w:tcPr>
          <w:p>
            <w:pPr>
              <w:pStyle w:val="TableParagraph"/>
              <w:spacing w:line="130" w:lineRule="exact" w:before="17"/>
              <w:ind w:right="258"/>
              <w:jc w:val="right"/>
              <w:rPr>
                <w:sz w:val="13"/>
              </w:rPr>
            </w:pPr>
            <w:r>
              <w:rPr>
                <w:spacing w:val="-10"/>
                <w:w w:val="105"/>
                <w:sz w:val="13"/>
              </w:rPr>
              <w:t>-</w:t>
            </w:r>
          </w:p>
        </w:tc>
        <w:tc>
          <w:tcPr>
            <w:tcW w:w="672" w:type="dxa"/>
          </w:tcPr>
          <w:p>
            <w:pPr>
              <w:pStyle w:val="TableParagraph"/>
              <w:spacing w:line="130" w:lineRule="exact" w:before="17"/>
              <w:ind w:right="66"/>
              <w:jc w:val="right"/>
              <w:rPr>
                <w:sz w:val="13"/>
              </w:rPr>
            </w:pPr>
            <w:r>
              <w:rPr>
                <w:spacing w:val="-10"/>
                <w:w w:val="105"/>
                <w:sz w:val="13"/>
              </w:rPr>
              <w:t>-</w:t>
            </w:r>
          </w:p>
        </w:tc>
      </w:tr>
      <w:tr>
        <w:trPr>
          <w:trHeight w:val="223" w:hRule="atLeast"/>
        </w:trPr>
        <w:tc>
          <w:tcPr>
            <w:tcW w:w="4146" w:type="dxa"/>
          </w:tcPr>
          <w:p>
            <w:pPr>
              <w:pStyle w:val="TableParagraph"/>
              <w:spacing w:before="45"/>
              <w:ind w:left="34"/>
              <w:rPr>
                <w:sz w:val="13"/>
              </w:rPr>
            </w:pPr>
            <w:r>
              <w:rPr>
                <w:sz w:val="13"/>
              </w:rPr>
              <w:t>Depreciation</w:t>
            </w:r>
            <w:r>
              <w:rPr>
                <w:spacing w:val="9"/>
                <w:sz w:val="13"/>
              </w:rPr>
              <w:t> </w:t>
            </w:r>
            <w:r>
              <w:rPr>
                <w:spacing w:val="-2"/>
                <w:sz w:val="13"/>
              </w:rPr>
              <w:t>charge</w:t>
            </w:r>
          </w:p>
        </w:tc>
        <w:tc>
          <w:tcPr>
            <w:tcW w:w="4079" w:type="dxa"/>
            <w:gridSpan w:val="4"/>
          </w:tcPr>
          <w:p>
            <w:pPr>
              <w:pStyle w:val="TableParagraph"/>
              <w:tabs>
                <w:tab w:pos="1106" w:val="left" w:leader="none"/>
                <w:tab w:pos="2007" w:val="left" w:leader="none"/>
                <w:tab w:pos="2908" w:val="left" w:leader="none"/>
                <w:tab w:pos="3809" w:val="left" w:leader="none"/>
              </w:tabs>
              <w:spacing w:line="158" w:lineRule="exact" w:before="46"/>
              <w:ind w:left="470"/>
              <w:rPr>
                <w:sz w:val="13"/>
              </w:rPr>
            </w:pPr>
            <w:r>
              <w:rPr>
                <w:sz w:val="13"/>
                <w:u w:val="single"/>
              </w:rPr>
              <w:tab/>
            </w:r>
            <w:r>
              <w:rPr>
                <w:spacing w:val="-4"/>
                <w:w w:val="105"/>
                <w:sz w:val="13"/>
                <w:u w:val="single"/>
              </w:rPr>
              <w:t>(34)</w:t>
            </w:r>
            <w:r>
              <w:rPr>
                <w:sz w:val="13"/>
                <w:u w:val="single"/>
              </w:rPr>
              <w:tab/>
            </w:r>
            <w:r>
              <w:rPr>
                <w:spacing w:val="-4"/>
                <w:w w:val="105"/>
                <w:position w:val="1"/>
                <w:sz w:val="13"/>
                <w:u w:val="single"/>
              </w:rPr>
              <w:t>(35)</w:t>
            </w:r>
            <w:r>
              <w:rPr>
                <w:position w:val="1"/>
                <w:sz w:val="13"/>
                <w:u w:val="single"/>
              </w:rPr>
              <w:tab/>
            </w:r>
            <w:r>
              <w:rPr>
                <w:spacing w:val="-4"/>
                <w:w w:val="105"/>
                <w:sz w:val="13"/>
                <w:u w:val="single"/>
              </w:rPr>
              <w:t>(34)</w:t>
            </w:r>
            <w:r>
              <w:rPr>
                <w:sz w:val="13"/>
                <w:u w:val="single"/>
              </w:rPr>
              <w:tab/>
            </w:r>
            <w:r>
              <w:rPr>
                <w:spacing w:val="-4"/>
                <w:w w:val="105"/>
                <w:position w:val="1"/>
                <w:sz w:val="13"/>
                <w:u w:val="single"/>
              </w:rPr>
              <w:t>(35)</w:t>
            </w:r>
          </w:p>
        </w:tc>
      </w:tr>
      <w:tr>
        <w:trPr>
          <w:trHeight w:val="273" w:hRule="atLeast"/>
        </w:trPr>
        <w:tc>
          <w:tcPr>
            <w:tcW w:w="4146" w:type="dxa"/>
          </w:tcPr>
          <w:p>
            <w:pPr>
              <w:pStyle w:val="TableParagraph"/>
              <w:spacing w:before="17"/>
              <w:ind w:left="34"/>
              <w:rPr>
                <w:b/>
                <w:sz w:val="13"/>
              </w:rPr>
            </w:pPr>
            <w:r>
              <w:rPr>
                <w:b/>
                <w:w w:val="105"/>
                <w:sz w:val="13"/>
              </w:rPr>
              <w:t>At</w:t>
            </w:r>
            <w:r>
              <w:rPr>
                <w:b/>
                <w:spacing w:val="-7"/>
                <w:w w:val="105"/>
                <w:sz w:val="13"/>
              </w:rPr>
              <w:t> </w:t>
            </w:r>
            <w:r>
              <w:rPr>
                <w:b/>
                <w:w w:val="105"/>
                <w:sz w:val="13"/>
              </w:rPr>
              <w:t>31</w:t>
            </w:r>
            <w:r>
              <w:rPr>
                <w:b/>
                <w:spacing w:val="-9"/>
                <w:w w:val="105"/>
                <w:sz w:val="13"/>
              </w:rPr>
              <w:t> </w:t>
            </w:r>
            <w:r>
              <w:rPr>
                <w:b/>
                <w:spacing w:val="-2"/>
                <w:w w:val="105"/>
                <w:sz w:val="13"/>
              </w:rPr>
              <w:t>December</w:t>
            </w:r>
          </w:p>
        </w:tc>
        <w:tc>
          <w:tcPr>
            <w:tcW w:w="4079" w:type="dxa"/>
            <w:gridSpan w:val="4"/>
          </w:tcPr>
          <w:p>
            <w:pPr>
              <w:pStyle w:val="TableParagraph"/>
              <w:tabs>
                <w:tab w:pos="2053" w:val="left" w:leader="none"/>
                <w:tab w:pos="3027" w:val="left" w:leader="none"/>
                <w:tab w:pos="3855" w:val="left" w:leader="none"/>
              </w:tabs>
              <w:spacing w:before="28"/>
              <w:ind w:left="1226"/>
              <w:rPr>
                <w:b/>
                <w:sz w:val="13"/>
              </w:rPr>
            </w:pPr>
            <w:r>
              <w:rPr>
                <w:b/>
                <w:spacing w:val="-10"/>
                <w:w w:val="105"/>
                <w:sz w:val="13"/>
              </w:rPr>
              <w:t>5</w:t>
            </w:r>
            <w:r>
              <w:rPr>
                <w:b/>
                <w:sz w:val="13"/>
              </w:rPr>
              <w:tab/>
            </w:r>
            <w:r>
              <w:rPr>
                <w:b/>
                <w:spacing w:val="-5"/>
                <w:w w:val="105"/>
                <w:sz w:val="13"/>
              </w:rPr>
              <w:t>39</w:t>
            </w:r>
            <w:r>
              <w:rPr>
                <w:b/>
                <w:sz w:val="13"/>
              </w:rPr>
              <w:tab/>
            </w:r>
            <w:r>
              <w:rPr>
                <w:b/>
                <w:spacing w:val="-10"/>
                <w:w w:val="105"/>
                <w:sz w:val="13"/>
              </w:rPr>
              <w:t>5</w:t>
            </w:r>
            <w:r>
              <w:rPr>
                <w:b/>
                <w:sz w:val="13"/>
              </w:rPr>
              <w:tab/>
            </w:r>
            <w:r>
              <w:rPr>
                <w:b/>
                <w:spacing w:val="-5"/>
                <w:w w:val="105"/>
                <w:sz w:val="13"/>
              </w:rPr>
              <w:t>39</w:t>
            </w:r>
          </w:p>
        </w:tc>
      </w:tr>
      <w:tr>
        <w:trPr>
          <w:trHeight w:val="588" w:hRule="atLeast"/>
        </w:trPr>
        <w:tc>
          <w:tcPr>
            <w:tcW w:w="4146" w:type="dxa"/>
          </w:tcPr>
          <w:p>
            <w:pPr>
              <w:pStyle w:val="TableParagraph"/>
              <w:spacing w:before="95"/>
              <w:ind w:left="34"/>
              <w:rPr>
                <w:b/>
                <w:i/>
                <w:sz w:val="13"/>
              </w:rPr>
            </w:pPr>
            <w:r>
              <w:rPr>
                <w:b/>
                <w:i/>
                <w:color w:val="0070C0"/>
                <w:sz w:val="13"/>
              </w:rPr>
              <w:t>Accounting</w:t>
            </w:r>
            <w:r>
              <w:rPr>
                <w:b/>
                <w:i/>
                <w:color w:val="0070C0"/>
                <w:spacing w:val="17"/>
                <w:sz w:val="13"/>
              </w:rPr>
              <w:t> </w:t>
            </w:r>
            <w:r>
              <w:rPr>
                <w:b/>
                <w:i/>
                <w:color w:val="0070C0"/>
                <w:spacing w:val="-2"/>
                <w:sz w:val="13"/>
              </w:rPr>
              <w:t>policy</w:t>
            </w:r>
          </w:p>
          <w:p>
            <w:pPr>
              <w:pStyle w:val="TableParagraph"/>
              <w:spacing w:before="24"/>
              <w:ind w:left="34"/>
              <w:rPr>
                <w:b/>
                <w:sz w:val="13"/>
              </w:rPr>
            </w:pPr>
            <w:r>
              <w:rPr>
                <w:b/>
                <w:spacing w:val="-2"/>
                <w:w w:val="105"/>
                <w:sz w:val="13"/>
              </w:rPr>
              <w:t>Leases</w:t>
            </w:r>
          </w:p>
          <w:p>
            <w:pPr>
              <w:pStyle w:val="TableParagraph"/>
              <w:spacing w:line="130" w:lineRule="exact" w:before="20"/>
              <w:ind w:left="34"/>
              <w:rPr>
                <w:b/>
                <w:i/>
                <w:sz w:val="13"/>
              </w:rPr>
            </w:pPr>
            <w:r>
              <w:rPr>
                <w:b/>
                <w:i/>
                <w:spacing w:val="-2"/>
                <w:w w:val="105"/>
                <w:sz w:val="13"/>
              </w:rPr>
              <w:t>Assessment of whether a</w:t>
            </w:r>
            <w:r>
              <w:rPr>
                <w:b/>
                <w:i/>
                <w:spacing w:val="-4"/>
                <w:w w:val="105"/>
                <w:sz w:val="13"/>
              </w:rPr>
              <w:t> </w:t>
            </w:r>
            <w:r>
              <w:rPr>
                <w:b/>
                <w:i/>
                <w:spacing w:val="-2"/>
                <w:w w:val="105"/>
                <w:sz w:val="13"/>
              </w:rPr>
              <w:t>contract</w:t>
            </w:r>
            <w:r>
              <w:rPr>
                <w:b/>
                <w:i/>
                <w:spacing w:val="-1"/>
                <w:w w:val="105"/>
                <w:sz w:val="13"/>
              </w:rPr>
              <w:t> </w:t>
            </w:r>
            <w:r>
              <w:rPr>
                <w:b/>
                <w:i/>
                <w:spacing w:val="-2"/>
                <w:w w:val="105"/>
                <w:sz w:val="13"/>
              </w:rPr>
              <w:t>is,</w:t>
            </w:r>
            <w:r>
              <w:rPr>
                <w:b/>
                <w:i/>
                <w:spacing w:val="-3"/>
                <w:w w:val="105"/>
                <w:sz w:val="13"/>
              </w:rPr>
              <w:t> </w:t>
            </w:r>
            <w:r>
              <w:rPr>
                <w:b/>
                <w:i/>
                <w:spacing w:val="-2"/>
                <w:w w:val="105"/>
                <w:sz w:val="13"/>
              </w:rPr>
              <w:t>or</w:t>
            </w:r>
            <w:r>
              <w:rPr>
                <w:b/>
                <w:i/>
                <w:spacing w:val="-1"/>
                <w:sz w:val="13"/>
              </w:rPr>
              <w:t> </w:t>
            </w:r>
            <w:r>
              <w:rPr>
                <w:b/>
                <w:i/>
                <w:spacing w:val="-2"/>
                <w:w w:val="105"/>
                <w:sz w:val="13"/>
              </w:rPr>
              <w:t>contains, a</w:t>
            </w:r>
            <w:r>
              <w:rPr>
                <w:b/>
                <w:i/>
                <w:spacing w:val="-4"/>
                <w:w w:val="105"/>
                <w:sz w:val="13"/>
              </w:rPr>
              <w:t> </w:t>
            </w:r>
            <w:r>
              <w:rPr>
                <w:b/>
                <w:i/>
                <w:spacing w:val="-2"/>
                <w:w w:val="105"/>
                <w:sz w:val="13"/>
              </w:rPr>
              <w:t>lease</w:t>
            </w:r>
          </w:p>
        </w:tc>
        <w:tc>
          <w:tcPr>
            <w:tcW w:w="4079" w:type="dxa"/>
            <w:gridSpan w:val="4"/>
          </w:tcPr>
          <w:p>
            <w:pPr>
              <w:pStyle w:val="TableParagraph"/>
              <w:rPr>
                <w:rFonts w:ascii="Times New Roman"/>
                <w:sz w:val="12"/>
              </w:rPr>
            </w:pPr>
          </w:p>
        </w:tc>
      </w:tr>
    </w:tbl>
    <w:p>
      <w:pPr>
        <w:spacing w:line="240" w:lineRule="auto" w:before="40"/>
        <w:rPr>
          <w:b/>
          <w:sz w:val="13"/>
        </w:rPr>
      </w:pPr>
    </w:p>
    <w:p>
      <w:pPr>
        <w:spacing w:line="268" w:lineRule="auto" w:before="1"/>
        <w:ind w:left="876" w:right="303" w:firstLine="0"/>
        <w:jc w:val="both"/>
        <w:rPr>
          <w:sz w:val="13"/>
        </w:rPr>
      </w:pPr>
      <w:r>
        <w:rPr>
          <w:w w:val="105"/>
          <w:sz w:val="13"/>
        </w:rPr>
        <w:t>At</w:t>
      </w:r>
      <w:r>
        <w:rPr>
          <w:spacing w:val="-7"/>
          <w:w w:val="105"/>
          <w:sz w:val="13"/>
        </w:rPr>
        <w:t> </w:t>
      </w:r>
      <w:r>
        <w:rPr>
          <w:w w:val="105"/>
          <w:sz w:val="13"/>
        </w:rPr>
        <w:t>inception</w:t>
      </w:r>
      <w:r>
        <w:rPr>
          <w:spacing w:val="-7"/>
          <w:w w:val="105"/>
          <w:sz w:val="13"/>
        </w:rPr>
        <w:t> </w:t>
      </w:r>
      <w:r>
        <w:rPr>
          <w:w w:val="105"/>
          <w:sz w:val="13"/>
        </w:rPr>
        <w:t>of</w:t>
      </w:r>
      <w:r>
        <w:rPr>
          <w:spacing w:val="-5"/>
          <w:w w:val="105"/>
          <w:sz w:val="13"/>
        </w:rPr>
        <w:t> </w:t>
      </w:r>
      <w:r>
        <w:rPr>
          <w:w w:val="105"/>
          <w:sz w:val="13"/>
        </w:rPr>
        <w:t>a</w:t>
      </w:r>
      <w:r>
        <w:rPr>
          <w:spacing w:val="-8"/>
          <w:w w:val="105"/>
          <w:sz w:val="13"/>
        </w:rPr>
        <w:t> </w:t>
      </w:r>
      <w:r>
        <w:rPr>
          <w:w w:val="105"/>
          <w:sz w:val="13"/>
        </w:rPr>
        <w:t>contract,</w:t>
      </w:r>
      <w:r>
        <w:rPr>
          <w:spacing w:val="-7"/>
          <w:w w:val="105"/>
          <w:sz w:val="13"/>
        </w:rPr>
        <w:t> </w:t>
      </w:r>
      <w:r>
        <w:rPr>
          <w:w w:val="105"/>
          <w:sz w:val="13"/>
        </w:rPr>
        <w:t>the</w:t>
      </w:r>
      <w:r>
        <w:rPr>
          <w:spacing w:val="-8"/>
          <w:w w:val="105"/>
          <w:sz w:val="13"/>
        </w:rPr>
        <w:t> </w:t>
      </w:r>
      <w:r>
        <w:rPr>
          <w:w w:val="105"/>
          <w:sz w:val="13"/>
        </w:rPr>
        <w:t>Group</w:t>
      </w:r>
      <w:r>
        <w:rPr>
          <w:spacing w:val="-8"/>
          <w:w w:val="105"/>
          <w:sz w:val="13"/>
        </w:rPr>
        <w:t> </w:t>
      </w:r>
      <w:r>
        <w:rPr>
          <w:w w:val="105"/>
          <w:sz w:val="13"/>
        </w:rPr>
        <w:t>assesses</w:t>
      </w:r>
      <w:r>
        <w:rPr>
          <w:spacing w:val="-7"/>
          <w:w w:val="105"/>
          <w:sz w:val="13"/>
        </w:rPr>
        <w:t> </w:t>
      </w:r>
      <w:r>
        <w:rPr>
          <w:w w:val="105"/>
          <w:sz w:val="13"/>
        </w:rPr>
        <w:t>whether</w:t>
      </w:r>
      <w:r>
        <w:rPr>
          <w:spacing w:val="-6"/>
          <w:w w:val="105"/>
          <w:sz w:val="13"/>
        </w:rPr>
        <w:t> </w:t>
      </w:r>
      <w:r>
        <w:rPr>
          <w:w w:val="105"/>
          <w:sz w:val="13"/>
        </w:rPr>
        <w:t>a</w:t>
      </w:r>
      <w:r>
        <w:rPr>
          <w:spacing w:val="-8"/>
          <w:w w:val="105"/>
          <w:sz w:val="13"/>
        </w:rPr>
        <w:t> </w:t>
      </w:r>
      <w:r>
        <w:rPr>
          <w:w w:val="105"/>
          <w:sz w:val="13"/>
        </w:rPr>
        <w:t>contract</w:t>
      </w:r>
      <w:r>
        <w:rPr>
          <w:spacing w:val="-7"/>
          <w:w w:val="105"/>
          <w:sz w:val="13"/>
        </w:rPr>
        <w:t> </w:t>
      </w:r>
      <w:r>
        <w:rPr>
          <w:w w:val="105"/>
          <w:sz w:val="13"/>
        </w:rPr>
        <w:t>is,</w:t>
      </w:r>
      <w:r>
        <w:rPr>
          <w:spacing w:val="-7"/>
          <w:w w:val="105"/>
          <w:sz w:val="13"/>
        </w:rPr>
        <w:t> </w:t>
      </w:r>
      <w:r>
        <w:rPr>
          <w:w w:val="105"/>
          <w:sz w:val="13"/>
        </w:rPr>
        <w:t>or</w:t>
      </w:r>
      <w:r>
        <w:rPr>
          <w:spacing w:val="-6"/>
          <w:w w:val="105"/>
          <w:sz w:val="13"/>
        </w:rPr>
        <w:t> </w:t>
      </w:r>
      <w:r>
        <w:rPr>
          <w:w w:val="105"/>
          <w:sz w:val="13"/>
        </w:rPr>
        <w:t>contains,</w:t>
      </w:r>
      <w:r>
        <w:rPr>
          <w:spacing w:val="-7"/>
          <w:w w:val="105"/>
          <w:sz w:val="13"/>
        </w:rPr>
        <w:t> </w:t>
      </w:r>
      <w:r>
        <w:rPr>
          <w:w w:val="105"/>
          <w:sz w:val="13"/>
        </w:rPr>
        <w:t>a</w:t>
      </w:r>
      <w:r>
        <w:rPr>
          <w:spacing w:val="-8"/>
          <w:w w:val="105"/>
          <w:sz w:val="13"/>
        </w:rPr>
        <w:t> </w:t>
      </w:r>
      <w:r>
        <w:rPr>
          <w:w w:val="105"/>
          <w:sz w:val="13"/>
        </w:rPr>
        <w:t>lease.</w:t>
      </w:r>
      <w:r>
        <w:rPr>
          <w:spacing w:val="-7"/>
          <w:w w:val="105"/>
          <w:sz w:val="13"/>
        </w:rPr>
        <w:t> </w:t>
      </w:r>
      <w:r>
        <w:rPr>
          <w:w w:val="105"/>
          <w:sz w:val="13"/>
        </w:rPr>
        <w:t>A</w:t>
      </w:r>
      <w:r>
        <w:rPr>
          <w:spacing w:val="-7"/>
          <w:w w:val="105"/>
          <w:sz w:val="13"/>
        </w:rPr>
        <w:t> </w:t>
      </w:r>
      <w:r>
        <w:rPr>
          <w:w w:val="105"/>
          <w:sz w:val="13"/>
        </w:rPr>
        <w:t>contract</w:t>
      </w:r>
      <w:r>
        <w:rPr>
          <w:spacing w:val="-7"/>
          <w:w w:val="105"/>
          <w:sz w:val="13"/>
        </w:rPr>
        <w:t> </w:t>
      </w:r>
      <w:r>
        <w:rPr>
          <w:w w:val="105"/>
          <w:sz w:val="13"/>
        </w:rPr>
        <w:t>is,</w:t>
      </w:r>
      <w:r>
        <w:rPr>
          <w:spacing w:val="-7"/>
          <w:w w:val="105"/>
          <w:sz w:val="13"/>
        </w:rPr>
        <w:t> </w:t>
      </w:r>
      <w:r>
        <w:rPr>
          <w:w w:val="105"/>
          <w:sz w:val="13"/>
        </w:rPr>
        <w:t>or</w:t>
      </w:r>
      <w:r>
        <w:rPr>
          <w:spacing w:val="-6"/>
          <w:w w:val="105"/>
          <w:sz w:val="13"/>
        </w:rPr>
        <w:t> </w:t>
      </w:r>
      <w:r>
        <w:rPr>
          <w:w w:val="105"/>
          <w:sz w:val="13"/>
        </w:rPr>
        <w:t>contains,</w:t>
      </w:r>
      <w:r>
        <w:rPr>
          <w:spacing w:val="-7"/>
          <w:w w:val="105"/>
          <w:sz w:val="13"/>
        </w:rPr>
        <w:t> </w:t>
      </w:r>
      <w:r>
        <w:rPr>
          <w:w w:val="105"/>
          <w:sz w:val="13"/>
        </w:rPr>
        <w:t>a</w:t>
      </w:r>
      <w:r>
        <w:rPr>
          <w:spacing w:val="-8"/>
          <w:w w:val="105"/>
          <w:sz w:val="13"/>
        </w:rPr>
        <w:t> </w:t>
      </w:r>
      <w:r>
        <w:rPr>
          <w:w w:val="105"/>
          <w:sz w:val="13"/>
        </w:rPr>
        <w:t>lease</w:t>
      </w:r>
      <w:r>
        <w:rPr>
          <w:spacing w:val="-8"/>
          <w:w w:val="105"/>
          <w:sz w:val="13"/>
        </w:rPr>
        <w:t> </w:t>
      </w:r>
      <w:r>
        <w:rPr>
          <w:w w:val="105"/>
          <w:sz w:val="13"/>
        </w:rPr>
        <w:t>if</w:t>
      </w:r>
      <w:r>
        <w:rPr>
          <w:spacing w:val="-5"/>
          <w:w w:val="105"/>
          <w:sz w:val="13"/>
        </w:rPr>
        <w:t> </w:t>
      </w:r>
      <w:r>
        <w:rPr>
          <w:w w:val="105"/>
          <w:sz w:val="13"/>
        </w:rPr>
        <w:t>the</w:t>
      </w:r>
      <w:r>
        <w:rPr>
          <w:spacing w:val="-8"/>
          <w:w w:val="105"/>
          <w:sz w:val="13"/>
        </w:rPr>
        <w:t> </w:t>
      </w:r>
      <w:r>
        <w:rPr>
          <w:w w:val="105"/>
          <w:sz w:val="13"/>
        </w:rPr>
        <w:t>contract</w:t>
      </w:r>
      <w:r>
        <w:rPr>
          <w:spacing w:val="40"/>
          <w:w w:val="105"/>
          <w:sz w:val="13"/>
        </w:rPr>
        <w:t> </w:t>
      </w:r>
      <w:r>
        <w:rPr>
          <w:w w:val="105"/>
          <w:sz w:val="13"/>
        </w:rPr>
        <w:t>conveys</w:t>
      </w:r>
      <w:r>
        <w:rPr>
          <w:spacing w:val="-5"/>
          <w:w w:val="105"/>
          <w:sz w:val="13"/>
        </w:rPr>
        <w:t> </w:t>
      </w:r>
      <w:r>
        <w:rPr>
          <w:w w:val="105"/>
          <w:sz w:val="13"/>
        </w:rPr>
        <w:t>a</w:t>
      </w:r>
      <w:r>
        <w:rPr>
          <w:spacing w:val="-6"/>
          <w:w w:val="105"/>
          <w:sz w:val="13"/>
        </w:rPr>
        <w:t> </w:t>
      </w:r>
      <w:r>
        <w:rPr>
          <w:w w:val="105"/>
          <w:sz w:val="13"/>
        </w:rPr>
        <w:t>right</w:t>
      </w:r>
      <w:r>
        <w:rPr>
          <w:spacing w:val="-5"/>
          <w:w w:val="105"/>
          <w:sz w:val="13"/>
        </w:rPr>
        <w:t> </w:t>
      </w:r>
      <w:r>
        <w:rPr>
          <w:w w:val="105"/>
          <w:sz w:val="13"/>
        </w:rPr>
        <w:t>to</w:t>
      </w:r>
      <w:r>
        <w:rPr>
          <w:spacing w:val="-6"/>
          <w:w w:val="105"/>
          <w:sz w:val="13"/>
        </w:rPr>
        <w:t> </w:t>
      </w:r>
      <w:r>
        <w:rPr>
          <w:w w:val="105"/>
          <w:sz w:val="13"/>
        </w:rPr>
        <w:t>control</w:t>
      </w:r>
      <w:r>
        <w:rPr>
          <w:spacing w:val="-4"/>
          <w:w w:val="105"/>
          <w:sz w:val="13"/>
        </w:rPr>
        <w:t> </w:t>
      </w:r>
      <w:r>
        <w:rPr>
          <w:w w:val="105"/>
          <w:sz w:val="13"/>
        </w:rPr>
        <w:t>the</w:t>
      </w:r>
      <w:r>
        <w:rPr>
          <w:spacing w:val="-6"/>
          <w:w w:val="105"/>
          <w:sz w:val="13"/>
        </w:rPr>
        <w:t> </w:t>
      </w:r>
      <w:r>
        <w:rPr>
          <w:w w:val="105"/>
          <w:sz w:val="13"/>
        </w:rPr>
        <w:t>use</w:t>
      </w:r>
      <w:r>
        <w:rPr>
          <w:spacing w:val="-6"/>
          <w:w w:val="105"/>
          <w:sz w:val="13"/>
        </w:rPr>
        <w:t> </w:t>
      </w:r>
      <w:r>
        <w:rPr>
          <w:w w:val="105"/>
          <w:sz w:val="13"/>
        </w:rPr>
        <w:t>of</w:t>
      </w:r>
      <w:r>
        <w:rPr>
          <w:spacing w:val="-3"/>
          <w:w w:val="105"/>
          <w:sz w:val="13"/>
        </w:rPr>
        <w:t> </w:t>
      </w:r>
      <w:r>
        <w:rPr>
          <w:w w:val="105"/>
          <w:sz w:val="13"/>
        </w:rPr>
        <w:t>an</w:t>
      </w:r>
      <w:r>
        <w:rPr>
          <w:spacing w:val="-6"/>
          <w:w w:val="105"/>
          <w:sz w:val="13"/>
        </w:rPr>
        <w:t> </w:t>
      </w:r>
      <w:r>
        <w:rPr>
          <w:w w:val="105"/>
          <w:sz w:val="13"/>
        </w:rPr>
        <w:t>identified</w:t>
      </w:r>
      <w:r>
        <w:rPr>
          <w:spacing w:val="-6"/>
          <w:w w:val="105"/>
          <w:sz w:val="13"/>
        </w:rPr>
        <w:t> </w:t>
      </w:r>
      <w:r>
        <w:rPr>
          <w:w w:val="105"/>
          <w:sz w:val="13"/>
        </w:rPr>
        <w:t>asset</w:t>
      </w:r>
      <w:r>
        <w:rPr>
          <w:spacing w:val="-5"/>
          <w:w w:val="105"/>
          <w:sz w:val="13"/>
        </w:rPr>
        <w:t> </w:t>
      </w:r>
      <w:r>
        <w:rPr>
          <w:w w:val="105"/>
          <w:sz w:val="13"/>
        </w:rPr>
        <w:t>for</w:t>
      </w:r>
      <w:r>
        <w:rPr>
          <w:spacing w:val="-4"/>
          <w:w w:val="105"/>
          <w:sz w:val="13"/>
        </w:rPr>
        <w:t> </w:t>
      </w:r>
      <w:r>
        <w:rPr>
          <w:w w:val="105"/>
          <w:sz w:val="13"/>
        </w:rPr>
        <w:t>a</w:t>
      </w:r>
      <w:r>
        <w:rPr>
          <w:spacing w:val="-6"/>
          <w:w w:val="105"/>
          <w:sz w:val="13"/>
        </w:rPr>
        <w:t> </w:t>
      </w:r>
      <w:r>
        <w:rPr>
          <w:w w:val="105"/>
          <w:sz w:val="13"/>
        </w:rPr>
        <w:t>period</w:t>
      </w:r>
      <w:r>
        <w:rPr>
          <w:spacing w:val="-6"/>
          <w:w w:val="105"/>
          <w:sz w:val="13"/>
        </w:rPr>
        <w:t> </w:t>
      </w:r>
      <w:r>
        <w:rPr>
          <w:w w:val="105"/>
          <w:sz w:val="13"/>
        </w:rPr>
        <w:t>of</w:t>
      </w:r>
      <w:r>
        <w:rPr>
          <w:spacing w:val="-3"/>
          <w:w w:val="105"/>
          <w:sz w:val="13"/>
        </w:rPr>
        <w:t> </w:t>
      </w:r>
      <w:r>
        <w:rPr>
          <w:w w:val="105"/>
          <w:sz w:val="13"/>
        </w:rPr>
        <w:t>time</w:t>
      </w:r>
      <w:r>
        <w:rPr>
          <w:spacing w:val="-6"/>
          <w:w w:val="105"/>
          <w:sz w:val="13"/>
        </w:rPr>
        <w:t> </w:t>
      </w:r>
      <w:r>
        <w:rPr>
          <w:w w:val="105"/>
          <w:sz w:val="13"/>
        </w:rPr>
        <w:t>in</w:t>
      </w:r>
      <w:r>
        <w:rPr>
          <w:spacing w:val="-6"/>
          <w:w w:val="105"/>
          <w:sz w:val="13"/>
        </w:rPr>
        <w:t> </w:t>
      </w:r>
      <w:r>
        <w:rPr>
          <w:w w:val="105"/>
          <w:sz w:val="13"/>
        </w:rPr>
        <w:t>exchange</w:t>
      </w:r>
      <w:r>
        <w:rPr>
          <w:spacing w:val="-6"/>
          <w:w w:val="105"/>
          <w:sz w:val="13"/>
        </w:rPr>
        <w:t> </w:t>
      </w:r>
      <w:r>
        <w:rPr>
          <w:w w:val="105"/>
          <w:sz w:val="13"/>
        </w:rPr>
        <w:t>for</w:t>
      </w:r>
      <w:r>
        <w:rPr>
          <w:spacing w:val="-4"/>
          <w:w w:val="105"/>
          <w:sz w:val="13"/>
        </w:rPr>
        <w:t> </w:t>
      </w:r>
      <w:r>
        <w:rPr>
          <w:w w:val="105"/>
          <w:sz w:val="13"/>
        </w:rPr>
        <w:t>consideration.</w:t>
      </w:r>
    </w:p>
    <w:p>
      <w:pPr>
        <w:spacing w:line="240" w:lineRule="auto" w:before="17"/>
        <w:rPr>
          <w:sz w:val="13"/>
        </w:rPr>
      </w:pPr>
    </w:p>
    <w:p>
      <w:pPr>
        <w:spacing w:before="0"/>
        <w:ind w:left="876" w:right="0" w:firstLine="0"/>
        <w:jc w:val="left"/>
        <w:rPr>
          <w:sz w:val="13"/>
        </w:rPr>
      </w:pPr>
      <w:r>
        <w:rPr>
          <w:sz w:val="13"/>
        </w:rPr>
        <w:t>The</w:t>
      </w:r>
      <w:r>
        <w:rPr>
          <w:spacing w:val="5"/>
          <w:sz w:val="13"/>
        </w:rPr>
        <w:t> </w:t>
      </w:r>
      <w:r>
        <w:rPr>
          <w:sz w:val="13"/>
        </w:rPr>
        <w:t>Group</w:t>
      </w:r>
      <w:r>
        <w:rPr>
          <w:spacing w:val="6"/>
          <w:sz w:val="13"/>
        </w:rPr>
        <w:t> </w:t>
      </w:r>
      <w:r>
        <w:rPr>
          <w:sz w:val="13"/>
        </w:rPr>
        <w:t>assesses</w:t>
      </w:r>
      <w:r>
        <w:rPr>
          <w:spacing w:val="6"/>
          <w:sz w:val="13"/>
        </w:rPr>
        <w:t> </w:t>
      </w:r>
      <w:r>
        <w:rPr>
          <w:spacing w:val="-2"/>
          <w:sz w:val="13"/>
        </w:rPr>
        <w:t>whether:</w:t>
      </w:r>
    </w:p>
    <w:p>
      <w:pPr>
        <w:pStyle w:val="ListParagraph"/>
        <w:numPr>
          <w:ilvl w:val="2"/>
          <w:numId w:val="24"/>
        </w:numPr>
        <w:tabs>
          <w:tab w:pos="1022" w:val="left" w:leader="none"/>
        </w:tabs>
        <w:spacing w:line="240" w:lineRule="auto" w:before="17" w:after="0"/>
        <w:ind w:left="1022" w:right="0" w:hanging="146"/>
        <w:jc w:val="left"/>
        <w:rPr>
          <w:sz w:val="13"/>
        </w:rPr>
      </w:pPr>
      <w:r>
        <w:rPr>
          <w:spacing w:val="-2"/>
          <w:w w:val="105"/>
          <w:sz w:val="13"/>
        </w:rPr>
        <w:t>The</w:t>
      </w:r>
      <w:r>
        <w:rPr>
          <w:spacing w:val="-5"/>
          <w:w w:val="105"/>
          <w:sz w:val="13"/>
        </w:rPr>
        <w:t> </w:t>
      </w:r>
      <w:r>
        <w:rPr>
          <w:spacing w:val="-2"/>
          <w:w w:val="105"/>
          <w:sz w:val="13"/>
        </w:rPr>
        <w:t>contract</w:t>
      </w:r>
      <w:r>
        <w:rPr>
          <w:spacing w:val="-1"/>
          <w:w w:val="105"/>
          <w:sz w:val="13"/>
        </w:rPr>
        <w:t> </w:t>
      </w:r>
      <w:r>
        <w:rPr>
          <w:spacing w:val="-2"/>
          <w:w w:val="105"/>
          <w:sz w:val="13"/>
        </w:rPr>
        <w:t>involves</w:t>
      </w:r>
      <w:r>
        <w:rPr>
          <w:spacing w:val="-1"/>
          <w:w w:val="105"/>
          <w:sz w:val="13"/>
        </w:rPr>
        <w:t> </w:t>
      </w:r>
      <w:r>
        <w:rPr>
          <w:spacing w:val="-2"/>
          <w:w w:val="105"/>
          <w:sz w:val="13"/>
        </w:rPr>
        <w:t>the</w:t>
      </w:r>
      <w:r>
        <w:rPr>
          <w:spacing w:val="-3"/>
          <w:w w:val="105"/>
          <w:sz w:val="13"/>
        </w:rPr>
        <w:t> </w:t>
      </w:r>
      <w:r>
        <w:rPr>
          <w:spacing w:val="-2"/>
          <w:w w:val="105"/>
          <w:sz w:val="13"/>
        </w:rPr>
        <w:t>use of</w:t>
      </w:r>
      <w:r>
        <w:rPr>
          <w:spacing w:val="1"/>
          <w:w w:val="105"/>
          <w:sz w:val="13"/>
        </w:rPr>
        <w:t> </w:t>
      </w:r>
      <w:r>
        <w:rPr>
          <w:spacing w:val="-2"/>
          <w:w w:val="105"/>
          <w:sz w:val="13"/>
        </w:rPr>
        <w:t>an</w:t>
      </w:r>
      <w:r>
        <w:rPr>
          <w:spacing w:val="-3"/>
          <w:w w:val="105"/>
          <w:sz w:val="13"/>
        </w:rPr>
        <w:t> </w:t>
      </w:r>
      <w:r>
        <w:rPr>
          <w:spacing w:val="-2"/>
          <w:w w:val="105"/>
          <w:sz w:val="13"/>
        </w:rPr>
        <w:t>identified asset.</w:t>
      </w:r>
      <w:r>
        <w:rPr>
          <w:spacing w:val="-1"/>
          <w:w w:val="105"/>
          <w:sz w:val="13"/>
        </w:rPr>
        <w:t> </w:t>
      </w:r>
      <w:r>
        <w:rPr>
          <w:spacing w:val="-2"/>
          <w:w w:val="105"/>
          <w:sz w:val="13"/>
        </w:rPr>
        <w:t>The</w:t>
      </w:r>
      <w:r>
        <w:rPr>
          <w:spacing w:val="-3"/>
          <w:w w:val="105"/>
          <w:sz w:val="13"/>
        </w:rPr>
        <w:t> </w:t>
      </w:r>
      <w:r>
        <w:rPr>
          <w:spacing w:val="-2"/>
          <w:w w:val="105"/>
          <w:sz w:val="13"/>
        </w:rPr>
        <w:t>asset</w:t>
      </w:r>
      <w:r>
        <w:rPr>
          <w:spacing w:val="-1"/>
          <w:w w:val="105"/>
          <w:sz w:val="13"/>
        </w:rPr>
        <w:t> </w:t>
      </w:r>
      <w:r>
        <w:rPr>
          <w:spacing w:val="-2"/>
          <w:w w:val="105"/>
          <w:sz w:val="13"/>
        </w:rPr>
        <w:t>may</w:t>
      </w:r>
      <w:r>
        <w:rPr>
          <w:spacing w:val="-5"/>
          <w:w w:val="105"/>
          <w:sz w:val="13"/>
        </w:rPr>
        <w:t> </w:t>
      </w:r>
      <w:r>
        <w:rPr>
          <w:spacing w:val="-2"/>
          <w:w w:val="105"/>
          <w:sz w:val="13"/>
        </w:rPr>
        <w:t>be</w:t>
      </w:r>
      <w:r>
        <w:rPr>
          <w:spacing w:val="-3"/>
          <w:w w:val="105"/>
          <w:sz w:val="13"/>
        </w:rPr>
        <w:t> </w:t>
      </w:r>
      <w:r>
        <w:rPr>
          <w:spacing w:val="-2"/>
          <w:w w:val="105"/>
          <w:sz w:val="13"/>
        </w:rPr>
        <w:t>explicitly</w:t>
      </w:r>
      <w:r>
        <w:rPr>
          <w:spacing w:val="-5"/>
          <w:w w:val="105"/>
          <w:sz w:val="13"/>
        </w:rPr>
        <w:t> </w:t>
      </w:r>
      <w:r>
        <w:rPr>
          <w:spacing w:val="-2"/>
          <w:w w:val="105"/>
          <w:sz w:val="13"/>
        </w:rPr>
        <w:t>or</w:t>
      </w:r>
      <w:r>
        <w:rPr>
          <w:w w:val="105"/>
          <w:sz w:val="13"/>
        </w:rPr>
        <w:t> </w:t>
      </w:r>
      <w:r>
        <w:rPr>
          <w:spacing w:val="-2"/>
          <w:w w:val="105"/>
          <w:sz w:val="13"/>
        </w:rPr>
        <w:t>implicitly</w:t>
      </w:r>
      <w:r>
        <w:rPr>
          <w:spacing w:val="-6"/>
          <w:w w:val="105"/>
          <w:sz w:val="13"/>
        </w:rPr>
        <w:t> </w:t>
      </w:r>
      <w:r>
        <w:rPr>
          <w:spacing w:val="-2"/>
          <w:w w:val="105"/>
          <w:sz w:val="13"/>
        </w:rPr>
        <w:t>specified in the contract.</w:t>
      </w:r>
    </w:p>
    <w:p>
      <w:pPr>
        <w:pStyle w:val="ListParagraph"/>
        <w:numPr>
          <w:ilvl w:val="2"/>
          <w:numId w:val="24"/>
        </w:numPr>
        <w:tabs>
          <w:tab w:pos="1022" w:val="left" w:leader="none"/>
        </w:tabs>
        <w:spacing w:line="240" w:lineRule="auto" w:before="18" w:after="0"/>
        <w:ind w:left="1022" w:right="0" w:hanging="146"/>
        <w:jc w:val="left"/>
        <w:rPr>
          <w:sz w:val="13"/>
        </w:rPr>
      </w:pPr>
      <w:r>
        <w:rPr>
          <w:spacing w:val="-2"/>
          <w:w w:val="105"/>
          <w:sz w:val="13"/>
        </w:rPr>
        <w:t>The</w:t>
      </w:r>
      <w:r>
        <w:rPr>
          <w:spacing w:val="-4"/>
          <w:w w:val="105"/>
          <w:sz w:val="13"/>
        </w:rPr>
        <w:t> </w:t>
      </w:r>
      <w:r>
        <w:rPr>
          <w:spacing w:val="-2"/>
          <w:w w:val="105"/>
          <w:sz w:val="13"/>
        </w:rPr>
        <w:t>customer has</w:t>
      </w:r>
      <w:r>
        <w:rPr>
          <w:spacing w:val="-1"/>
          <w:sz w:val="13"/>
        </w:rPr>
        <w:t> </w:t>
      </w:r>
      <w:r>
        <w:rPr>
          <w:spacing w:val="-2"/>
          <w:w w:val="105"/>
          <w:sz w:val="13"/>
        </w:rPr>
        <w:t>the</w:t>
      </w:r>
      <w:r>
        <w:rPr>
          <w:spacing w:val="-3"/>
          <w:w w:val="105"/>
          <w:sz w:val="13"/>
        </w:rPr>
        <w:t> </w:t>
      </w:r>
      <w:r>
        <w:rPr>
          <w:spacing w:val="-2"/>
          <w:w w:val="105"/>
          <w:sz w:val="13"/>
        </w:rPr>
        <w:t>right</w:t>
      </w:r>
      <w:r>
        <w:rPr>
          <w:spacing w:val="-3"/>
          <w:w w:val="105"/>
          <w:sz w:val="13"/>
        </w:rPr>
        <w:t> </w:t>
      </w:r>
      <w:r>
        <w:rPr>
          <w:spacing w:val="-2"/>
          <w:w w:val="105"/>
          <w:sz w:val="13"/>
        </w:rPr>
        <w:t>to</w:t>
      </w:r>
      <w:r>
        <w:rPr>
          <w:spacing w:val="-3"/>
          <w:w w:val="105"/>
          <w:sz w:val="13"/>
        </w:rPr>
        <w:t> </w:t>
      </w:r>
      <w:r>
        <w:rPr>
          <w:spacing w:val="-2"/>
          <w:w w:val="105"/>
          <w:sz w:val="13"/>
        </w:rPr>
        <w:t>obtain</w:t>
      </w:r>
      <w:r>
        <w:rPr>
          <w:spacing w:val="-4"/>
          <w:w w:val="105"/>
          <w:sz w:val="13"/>
        </w:rPr>
        <w:t> </w:t>
      </w:r>
      <w:r>
        <w:rPr>
          <w:spacing w:val="-2"/>
          <w:w w:val="105"/>
          <w:sz w:val="13"/>
        </w:rPr>
        <w:t>substantially</w:t>
      </w:r>
      <w:r>
        <w:rPr>
          <w:spacing w:val="-7"/>
          <w:w w:val="105"/>
          <w:sz w:val="13"/>
        </w:rPr>
        <w:t> </w:t>
      </w:r>
      <w:r>
        <w:rPr>
          <w:spacing w:val="-2"/>
          <w:w w:val="105"/>
          <w:sz w:val="13"/>
        </w:rPr>
        <w:t>all</w:t>
      </w:r>
      <w:r>
        <w:rPr>
          <w:spacing w:val="-1"/>
          <w:w w:val="105"/>
          <w:sz w:val="13"/>
        </w:rPr>
        <w:t> </w:t>
      </w:r>
      <w:r>
        <w:rPr>
          <w:spacing w:val="-2"/>
          <w:w w:val="105"/>
          <w:sz w:val="13"/>
        </w:rPr>
        <w:t>of</w:t>
      </w:r>
      <w:r>
        <w:rPr>
          <w:spacing w:val="-1"/>
          <w:w w:val="105"/>
          <w:sz w:val="13"/>
        </w:rPr>
        <w:t> </w:t>
      </w:r>
      <w:r>
        <w:rPr>
          <w:spacing w:val="-2"/>
          <w:w w:val="105"/>
          <w:sz w:val="13"/>
        </w:rPr>
        <w:t>the</w:t>
      </w:r>
      <w:r>
        <w:rPr>
          <w:spacing w:val="-3"/>
          <w:w w:val="105"/>
          <w:sz w:val="13"/>
        </w:rPr>
        <w:t> </w:t>
      </w:r>
      <w:r>
        <w:rPr>
          <w:spacing w:val="-2"/>
          <w:w w:val="105"/>
          <w:sz w:val="13"/>
        </w:rPr>
        <w:t>economic</w:t>
      </w:r>
      <w:r>
        <w:rPr>
          <w:spacing w:val="-3"/>
          <w:w w:val="105"/>
          <w:sz w:val="13"/>
        </w:rPr>
        <w:t> </w:t>
      </w:r>
      <w:r>
        <w:rPr>
          <w:spacing w:val="-2"/>
          <w:w w:val="105"/>
          <w:sz w:val="13"/>
        </w:rPr>
        <w:t>benefits</w:t>
      </w:r>
      <w:r>
        <w:rPr>
          <w:spacing w:val="-3"/>
          <w:w w:val="105"/>
          <w:sz w:val="13"/>
        </w:rPr>
        <w:t> </w:t>
      </w:r>
      <w:r>
        <w:rPr>
          <w:spacing w:val="-2"/>
          <w:w w:val="105"/>
          <w:sz w:val="13"/>
        </w:rPr>
        <w:t>from</w:t>
      </w:r>
      <w:r>
        <w:rPr>
          <w:spacing w:val="-1"/>
          <w:w w:val="105"/>
          <w:sz w:val="13"/>
        </w:rPr>
        <w:t> </w:t>
      </w:r>
      <w:r>
        <w:rPr>
          <w:spacing w:val="-2"/>
          <w:w w:val="105"/>
          <w:sz w:val="13"/>
        </w:rPr>
        <w:t>the</w:t>
      </w:r>
      <w:r>
        <w:rPr>
          <w:spacing w:val="-4"/>
          <w:w w:val="105"/>
          <w:sz w:val="13"/>
        </w:rPr>
        <w:t> </w:t>
      </w:r>
      <w:r>
        <w:rPr>
          <w:spacing w:val="-2"/>
          <w:w w:val="105"/>
          <w:sz w:val="13"/>
        </w:rPr>
        <w:t>use</w:t>
      </w:r>
      <w:r>
        <w:rPr>
          <w:spacing w:val="-4"/>
          <w:w w:val="105"/>
          <w:sz w:val="13"/>
        </w:rPr>
        <w:t> </w:t>
      </w:r>
      <w:r>
        <w:rPr>
          <w:spacing w:val="-2"/>
          <w:w w:val="105"/>
          <w:sz w:val="13"/>
        </w:rPr>
        <w:t>of</w:t>
      </w:r>
      <w:r>
        <w:rPr>
          <w:w w:val="105"/>
          <w:sz w:val="13"/>
        </w:rPr>
        <w:t> </w:t>
      </w:r>
      <w:r>
        <w:rPr>
          <w:spacing w:val="-2"/>
          <w:w w:val="105"/>
          <w:sz w:val="13"/>
        </w:rPr>
        <w:t>the</w:t>
      </w:r>
      <w:r>
        <w:rPr>
          <w:spacing w:val="-4"/>
          <w:w w:val="105"/>
          <w:sz w:val="13"/>
        </w:rPr>
        <w:t> </w:t>
      </w:r>
      <w:r>
        <w:rPr>
          <w:spacing w:val="-2"/>
          <w:w w:val="105"/>
          <w:sz w:val="13"/>
        </w:rPr>
        <w:t>asset</w:t>
      </w:r>
      <w:r>
        <w:rPr>
          <w:spacing w:val="-1"/>
          <w:sz w:val="13"/>
        </w:rPr>
        <w:t> </w:t>
      </w:r>
      <w:r>
        <w:rPr>
          <w:spacing w:val="-2"/>
          <w:w w:val="105"/>
          <w:sz w:val="13"/>
        </w:rPr>
        <w:t>throughout the</w:t>
      </w:r>
      <w:r>
        <w:rPr>
          <w:spacing w:val="-4"/>
          <w:w w:val="105"/>
          <w:sz w:val="13"/>
        </w:rPr>
        <w:t> </w:t>
      </w:r>
      <w:r>
        <w:rPr>
          <w:spacing w:val="-2"/>
          <w:w w:val="105"/>
          <w:sz w:val="13"/>
        </w:rPr>
        <w:t>period</w:t>
      </w:r>
      <w:r>
        <w:rPr>
          <w:spacing w:val="-3"/>
          <w:w w:val="105"/>
          <w:sz w:val="13"/>
        </w:rPr>
        <w:t> </w:t>
      </w:r>
      <w:r>
        <w:rPr>
          <w:spacing w:val="-2"/>
          <w:w w:val="105"/>
          <w:sz w:val="13"/>
        </w:rPr>
        <w:t>of</w:t>
      </w:r>
      <w:r>
        <w:rPr>
          <w:spacing w:val="-1"/>
          <w:w w:val="105"/>
          <w:sz w:val="13"/>
        </w:rPr>
        <w:t> </w:t>
      </w:r>
      <w:r>
        <w:rPr>
          <w:spacing w:val="-4"/>
          <w:w w:val="105"/>
          <w:sz w:val="13"/>
        </w:rPr>
        <w:t>use.</w:t>
      </w:r>
    </w:p>
    <w:p>
      <w:pPr>
        <w:pStyle w:val="ListParagraph"/>
        <w:numPr>
          <w:ilvl w:val="2"/>
          <w:numId w:val="24"/>
        </w:numPr>
        <w:tabs>
          <w:tab w:pos="1022" w:val="left" w:leader="none"/>
        </w:tabs>
        <w:spacing w:line="268" w:lineRule="auto" w:before="18" w:after="0"/>
        <w:ind w:left="876" w:right="303" w:firstLine="0"/>
        <w:jc w:val="left"/>
        <w:rPr>
          <w:sz w:val="13"/>
        </w:rPr>
      </w:pPr>
      <w:r>
        <w:rPr>
          <w:w w:val="105"/>
          <w:sz w:val="13"/>
        </w:rPr>
        <w:t>The</w:t>
      </w:r>
      <w:r>
        <w:rPr>
          <w:spacing w:val="-3"/>
          <w:w w:val="105"/>
          <w:sz w:val="13"/>
        </w:rPr>
        <w:t> </w:t>
      </w:r>
      <w:r>
        <w:rPr>
          <w:w w:val="105"/>
          <w:sz w:val="13"/>
        </w:rPr>
        <w:t>customer</w:t>
      </w:r>
      <w:r>
        <w:rPr>
          <w:spacing w:val="-1"/>
          <w:w w:val="105"/>
          <w:sz w:val="13"/>
        </w:rPr>
        <w:t> </w:t>
      </w:r>
      <w:r>
        <w:rPr>
          <w:w w:val="105"/>
          <w:sz w:val="13"/>
        </w:rPr>
        <w:t>has</w:t>
      </w:r>
      <w:r>
        <w:rPr>
          <w:spacing w:val="-2"/>
          <w:w w:val="105"/>
          <w:sz w:val="13"/>
        </w:rPr>
        <w:t> </w:t>
      </w:r>
      <w:r>
        <w:rPr>
          <w:w w:val="105"/>
          <w:sz w:val="13"/>
        </w:rPr>
        <w:t>the</w:t>
      </w:r>
      <w:r>
        <w:rPr>
          <w:spacing w:val="-3"/>
          <w:w w:val="105"/>
          <w:sz w:val="13"/>
        </w:rPr>
        <w:t> </w:t>
      </w:r>
      <w:r>
        <w:rPr>
          <w:w w:val="105"/>
          <w:sz w:val="13"/>
        </w:rPr>
        <w:t>right</w:t>
      </w:r>
      <w:r>
        <w:rPr>
          <w:spacing w:val="-3"/>
          <w:w w:val="105"/>
          <w:sz w:val="13"/>
        </w:rPr>
        <w:t> </w:t>
      </w:r>
      <w:r>
        <w:rPr>
          <w:w w:val="105"/>
          <w:sz w:val="13"/>
        </w:rPr>
        <w:t>to</w:t>
      </w:r>
      <w:r>
        <w:rPr>
          <w:spacing w:val="-3"/>
          <w:w w:val="105"/>
          <w:sz w:val="13"/>
        </w:rPr>
        <w:t> </w:t>
      </w:r>
      <w:r>
        <w:rPr>
          <w:w w:val="105"/>
          <w:sz w:val="13"/>
        </w:rPr>
        <w:t>direct</w:t>
      </w:r>
      <w:r>
        <w:rPr>
          <w:spacing w:val="-3"/>
          <w:w w:val="105"/>
          <w:sz w:val="13"/>
        </w:rPr>
        <w:t> </w:t>
      </w:r>
      <w:r>
        <w:rPr>
          <w:w w:val="105"/>
          <w:sz w:val="13"/>
        </w:rPr>
        <w:t>the</w:t>
      </w:r>
      <w:r>
        <w:rPr>
          <w:spacing w:val="-3"/>
          <w:w w:val="105"/>
          <w:sz w:val="13"/>
        </w:rPr>
        <w:t> </w:t>
      </w:r>
      <w:r>
        <w:rPr>
          <w:w w:val="105"/>
          <w:sz w:val="13"/>
        </w:rPr>
        <w:t>use</w:t>
      </w:r>
      <w:r>
        <w:rPr>
          <w:spacing w:val="-3"/>
          <w:w w:val="105"/>
          <w:sz w:val="13"/>
        </w:rPr>
        <w:t> </w:t>
      </w:r>
      <w:r>
        <w:rPr>
          <w:w w:val="105"/>
          <w:sz w:val="13"/>
        </w:rPr>
        <w:t>of</w:t>
      </w:r>
      <w:r>
        <w:rPr>
          <w:spacing w:val="-1"/>
          <w:w w:val="105"/>
          <w:sz w:val="13"/>
        </w:rPr>
        <w:t> </w:t>
      </w:r>
      <w:r>
        <w:rPr>
          <w:w w:val="105"/>
          <w:sz w:val="13"/>
        </w:rPr>
        <w:t>the</w:t>
      </w:r>
      <w:r>
        <w:rPr>
          <w:spacing w:val="-3"/>
          <w:w w:val="105"/>
          <w:sz w:val="13"/>
        </w:rPr>
        <w:t> </w:t>
      </w:r>
      <w:r>
        <w:rPr>
          <w:w w:val="105"/>
          <w:sz w:val="13"/>
        </w:rPr>
        <w:t>asset</w:t>
      </w:r>
      <w:r>
        <w:rPr>
          <w:spacing w:val="-3"/>
          <w:w w:val="105"/>
          <w:sz w:val="13"/>
        </w:rPr>
        <w:t> </w:t>
      </w:r>
      <w:r>
        <w:rPr>
          <w:w w:val="105"/>
          <w:sz w:val="13"/>
        </w:rPr>
        <w:t>throughout</w:t>
      </w:r>
      <w:r>
        <w:rPr>
          <w:spacing w:val="-2"/>
          <w:w w:val="105"/>
          <w:sz w:val="13"/>
        </w:rPr>
        <w:t> </w:t>
      </w:r>
      <w:r>
        <w:rPr>
          <w:w w:val="105"/>
          <w:sz w:val="13"/>
        </w:rPr>
        <w:t>the</w:t>
      </w:r>
      <w:r>
        <w:rPr>
          <w:spacing w:val="-3"/>
          <w:w w:val="105"/>
          <w:sz w:val="13"/>
        </w:rPr>
        <w:t> </w:t>
      </w:r>
      <w:r>
        <w:rPr>
          <w:w w:val="105"/>
          <w:sz w:val="13"/>
        </w:rPr>
        <w:t>period</w:t>
      </w:r>
      <w:r>
        <w:rPr>
          <w:spacing w:val="-3"/>
          <w:w w:val="105"/>
          <w:sz w:val="13"/>
        </w:rPr>
        <w:t> </w:t>
      </w:r>
      <w:r>
        <w:rPr>
          <w:w w:val="105"/>
          <w:sz w:val="13"/>
        </w:rPr>
        <w:t>of use.</w:t>
      </w:r>
      <w:r>
        <w:rPr>
          <w:spacing w:val="-5"/>
          <w:w w:val="105"/>
          <w:sz w:val="13"/>
        </w:rPr>
        <w:t> </w:t>
      </w:r>
      <w:r>
        <w:rPr>
          <w:w w:val="105"/>
          <w:sz w:val="13"/>
        </w:rPr>
        <w:t>The</w:t>
      </w:r>
      <w:r>
        <w:rPr>
          <w:spacing w:val="-3"/>
          <w:w w:val="105"/>
          <w:sz w:val="13"/>
        </w:rPr>
        <w:t> </w:t>
      </w:r>
      <w:r>
        <w:rPr>
          <w:w w:val="105"/>
          <w:sz w:val="13"/>
        </w:rPr>
        <w:t>customer</w:t>
      </w:r>
      <w:r>
        <w:rPr>
          <w:spacing w:val="-4"/>
          <w:w w:val="105"/>
          <w:sz w:val="13"/>
        </w:rPr>
        <w:t> </w:t>
      </w:r>
      <w:r>
        <w:rPr>
          <w:w w:val="105"/>
          <w:sz w:val="13"/>
        </w:rPr>
        <w:t>is</w:t>
      </w:r>
      <w:r>
        <w:rPr>
          <w:spacing w:val="-2"/>
          <w:w w:val="105"/>
          <w:sz w:val="13"/>
        </w:rPr>
        <w:t> </w:t>
      </w:r>
      <w:r>
        <w:rPr>
          <w:w w:val="105"/>
          <w:sz w:val="13"/>
        </w:rPr>
        <w:t>considered</w:t>
      </w:r>
      <w:r>
        <w:rPr>
          <w:spacing w:val="-5"/>
          <w:w w:val="105"/>
          <w:sz w:val="13"/>
        </w:rPr>
        <w:t> </w:t>
      </w:r>
      <w:r>
        <w:rPr>
          <w:w w:val="105"/>
          <w:sz w:val="13"/>
        </w:rPr>
        <w:t>to</w:t>
      </w:r>
      <w:r>
        <w:rPr>
          <w:spacing w:val="-3"/>
          <w:w w:val="105"/>
          <w:sz w:val="13"/>
        </w:rPr>
        <w:t> </w:t>
      </w:r>
      <w:r>
        <w:rPr>
          <w:w w:val="105"/>
          <w:sz w:val="13"/>
        </w:rPr>
        <w:t>have</w:t>
      </w:r>
      <w:r>
        <w:rPr>
          <w:spacing w:val="-5"/>
          <w:w w:val="105"/>
          <w:sz w:val="13"/>
        </w:rPr>
        <w:t> </w:t>
      </w:r>
      <w:r>
        <w:rPr>
          <w:w w:val="105"/>
          <w:sz w:val="13"/>
        </w:rPr>
        <w:t>the</w:t>
      </w:r>
      <w:r>
        <w:rPr>
          <w:spacing w:val="-3"/>
          <w:w w:val="105"/>
          <w:sz w:val="13"/>
        </w:rPr>
        <w:t> </w:t>
      </w:r>
      <w:r>
        <w:rPr>
          <w:w w:val="105"/>
          <w:sz w:val="13"/>
        </w:rPr>
        <w:t>right</w:t>
      </w:r>
      <w:r>
        <w:rPr>
          <w:spacing w:val="-5"/>
          <w:w w:val="105"/>
          <w:sz w:val="13"/>
        </w:rPr>
        <w:t> </w:t>
      </w:r>
      <w:r>
        <w:rPr>
          <w:w w:val="105"/>
          <w:sz w:val="13"/>
        </w:rPr>
        <w:t>to</w:t>
      </w:r>
      <w:r>
        <w:rPr>
          <w:spacing w:val="40"/>
          <w:w w:val="105"/>
          <w:sz w:val="13"/>
        </w:rPr>
        <w:t> </w:t>
      </w:r>
      <w:r>
        <w:rPr>
          <w:w w:val="105"/>
          <w:sz w:val="13"/>
        </w:rPr>
        <w:t>direct the use of the asset only</w:t>
      </w:r>
      <w:r>
        <w:rPr>
          <w:spacing w:val="-1"/>
          <w:w w:val="105"/>
          <w:sz w:val="13"/>
        </w:rPr>
        <w:t> </w:t>
      </w:r>
      <w:r>
        <w:rPr>
          <w:w w:val="105"/>
          <w:sz w:val="13"/>
        </w:rPr>
        <w:t>if either:</w:t>
      </w:r>
    </w:p>
    <w:p>
      <w:pPr>
        <w:pStyle w:val="ListParagraph"/>
        <w:numPr>
          <w:ilvl w:val="3"/>
          <w:numId w:val="24"/>
        </w:numPr>
        <w:tabs>
          <w:tab w:pos="1114" w:val="left" w:leader="none"/>
        </w:tabs>
        <w:spacing w:line="149" w:lineRule="exact" w:before="0" w:after="0"/>
        <w:ind w:left="1114" w:right="0" w:hanging="103"/>
        <w:jc w:val="left"/>
        <w:rPr>
          <w:sz w:val="13"/>
        </w:rPr>
      </w:pPr>
      <w:r>
        <w:rPr>
          <w:spacing w:val="-2"/>
          <w:w w:val="105"/>
          <w:sz w:val="13"/>
        </w:rPr>
        <w:t>The</w:t>
      </w:r>
      <w:r>
        <w:rPr>
          <w:spacing w:val="-4"/>
          <w:w w:val="105"/>
          <w:sz w:val="13"/>
        </w:rPr>
        <w:t> </w:t>
      </w:r>
      <w:r>
        <w:rPr>
          <w:spacing w:val="-2"/>
          <w:w w:val="105"/>
          <w:sz w:val="13"/>
        </w:rPr>
        <w:t>customer has</w:t>
      </w:r>
      <w:r>
        <w:rPr>
          <w:spacing w:val="-3"/>
          <w:w w:val="105"/>
          <w:sz w:val="13"/>
        </w:rPr>
        <w:t> </w:t>
      </w:r>
      <w:r>
        <w:rPr>
          <w:spacing w:val="-2"/>
          <w:w w:val="105"/>
          <w:sz w:val="13"/>
        </w:rPr>
        <w:t>the</w:t>
      </w:r>
      <w:r>
        <w:rPr>
          <w:spacing w:val="-4"/>
          <w:w w:val="105"/>
          <w:sz w:val="13"/>
        </w:rPr>
        <w:t> </w:t>
      </w:r>
      <w:r>
        <w:rPr>
          <w:spacing w:val="-2"/>
          <w:w w:val="105"/>
          <w:sz w:val="13"/>
        </w:rPr>
        <w:t>right</w:t>
      </w:r>
      <w:r>
        <w:rPr>
          <w:spacing w:val="-3"/>
          <w:w w:val="105"/>
          <w:sz w:val="13"/>
        </w:rPr>
        <w:t> </w:t>
      </w:r>
      <w:r>
        <w:rPr>
          <w:spacing w:val="-2"/>
          <w:w w:val="105"/>
          <w:sz w:val="13"/>
        </w:rPr>
        <w:t>to</w:t>
      </w:r>
      <w:r>
        <w:rPr>
          <w:spacing w:val="-4"/>
          <w:w w:val="105"/>
          <w:sz w:val="13"/>
        </w:rPr>
        <w:t> </w:t>
      </w:r>
      <w:r>
        <w:rPr>
          <w:spacing w:val="-2"/>
          <w:w w:val="105"/>
          <w:sz w:val="13"/>
        </w:rPr>
        <w:t>direct</w:t>
      </w:r>
      <w:r>
        <w:rPr>
          <w:spacing w:val="-1"/>
          <w:sz w:val="13"/>
        </w:rPr>
        <w:t> </w:t>
      </w:r>
      <w:r>
        <w:rPr>
          <w:spacing w:val="-2"/>
          <w:w w:val="105"/>
          <w:sz w:val="13"/>
        </w:rPr>
        <w:t>how</w:t>
      </w:r>
      <w:r>
        <w:rPr>
          <w:spacing w:val="-6"/>
          <w:w w:val="105"/>
          <w:sz w:val="13"/>
        </w:rPr>
        <w:t> </w:t>
      </w:r>
      <w:r>
        <w:rPr>
          <w:spacing w:val="-2"/>
          <w:w w:val="105"/>
          <w:sz w:val="13"/>
        </w:rPr>
        <w:t>and</w:t>
      </w:r>
      <w:r>
        <w:rPr>
          <w:spacing w:val="-4"/>
          <w:w w:val="105"/>
          <w:sz w:val="13"/>
        </w:rPr>
        <w:t> </w:t>
      </w:r>
      <w:r>
        <w:rPr>
          <w:spacing w:val="-2"/>
          <w:w w:val="105"/>
          <w:sz w:val="13"/>
        </w:rPr>
        <w:t>for what</w:t>
      </w:r>
      <w:r>
        <w:rPr>
          <w:spacing w:val="-3"/>
          <w:w w:val="105"/>
          <w:sz w:val="13"/>
        </w:rPr>
        <w:t> </w:t>
      </w:r>
      <w:r>
        <w:rPr>
          <w:spacing w:val="-2"/>
          <w:w w:val="105"/>
          <w:sz w:val="13"/>
        </w:rPr>
        <w:t>purpose</w:t>
      </w:r>
      <w:r>
        <w:rPr>
          <w:spacing w:val="-4"/>
          <w:w w:val="105"/>
          <w:sz w:val="13"/>
        </w:rPr>
        <w:t> </w:t>
      </w:r>
      <w:r>
        <w:rPr>
          <w:spacing w:val="-2"/>
          <w:w w:val="105"/>
          <w:sz w:val="13"/>
        </w:rPr>
        <w:t>the</w:t>
      </w:r>
      <w:r>
        <w:rPr>
          <w:spacing w:val="-4"/>
          <w:w w:val="105"/>
          <w:sz w:val="13"/>
        </w:rPr>
        <w:t> </w:t>
      </w:r>
      <w:r>
        <w:rPr>
          <w:spacing w:val="-2"/>
          <w:w w:val="105"/>
          <w:sz w:val="13"/>
        </w:rPr>
        <w:t>identified</w:t>
      </w:r>
      <w:r>
        <w:rPr>
          <w:spacing w:val="-3"/>
          <w:w w:val="105"/>
          <w:sz w:val="13"/>
        </w:rPr>
        <w:t> </w:t>
      </w:r>
      <w:r>
        <w:rPr>
          <w:spacing w:val="-2"/>
          <w:w w:val="105"/>
          <w:sz w:val="13"/>
        </w:rPr>
        <w:t>asset</w:t>
      </w:r>
      <w:r>
        <w:rPr>
          <w:spacing w:val="-3"/>
          <w:w w:val="105"/>
          <w:sz w:val="13"/>
        </w:rPr>
        <w:t> </w:t>
      </w:r>
      <w:r>
        <w:rPr>
          <w:spacing w:val="-2"/>
          <w:w w:val="105"/>
          <w:sz w:val="13"/>
        </w:rPr>
        <w:t>is</w:t>
      </w:r>
      <w:r>
        <w:rPr>
          <w:spacing w:val="-3"/>
          <w:w w:val="105"/>
          <w:sz w:val="13"/>
        </w:rPr>
        <w:t> </w:t>
      </w:r>
      <w:r>
        <w:rPr>
          <w:spacing w:val="-2"/>
          <w:w w:val="105"/>
          <w:sz w:val="13"/>
        </w:rPr>
        <w:t>used</w:t>
      </w:r>
      <w:r>
        <w:rPr>
          <w:spacing w:val="-4"/>
          <w:w w:val="105"/>
          <w:sz w:val="13"/>
        </w:rPr>
        <w:t> </w:t>
      </w:r>
      <w:r>
        <w:rPr>
          <w:spacing w:val="-2"/>
          <w:w w:val="105"/>
          <w:sz w:val="13"/>
        </w:rPr>
        <w:t>throughout</w:t>
      </w:r>
      <w:r>
        <w:rPr>
          <w:spacing w:val="-3"/>
          <w:w w:val="105"/>
          <w:sz w:val="13"/>
        </w:rPr>
        <w:t> </w:t>
      </w:r>
      <w:r>
        <w:rPr>
          <w:spacing w:val="-2"/>
          <w:w w:val="105"/>
          <w:sz w:val="13"/>
        </w:rPr>
        <w:t>the</w:t>
      </w:r>
      <w:r>
        <w:rPr>
          <w:spacing w:val="-4"/>
          <w:w w:val="105"/>
          <w:sz w:val="13"/>
        </w:rPr>
        <w:t> </w:t>
      </w:r>
      <w:r>
        <w:rPr>
          <w:spacing w:val="-2"/>
          <w:w w:val="105"/>
          <w:sz w:val="13"/>
        </w:rPr>
        <w:t>period</w:t>
      </w:r>
      <w:r>
        <w:rPr>
          <w:spacing w:val="-3"/>
          <w:w w:val="105"/>
          <w:sz w:val="13"/>
        </w:rPr>
        <w:t> </w:t>
      </w:r>
      <w:r>
        <w:rPr>
          <w:spacing w:val="-2"/>
          <w:w w:val="105"/>
          <w:sz w:val="13"/>
        </w:rPr>
        <w:t>of</w:t>
      </w:r>
      <w:r>
        <w:rPr>
          <w:spacing w:val="-1"/>
          <w:w w:val="105"/>
          <w:sz w:val="13"/>
        </w:rPr>
        <w:t> </w:t>
      </w:r>
      <w:r>
        <w:rPr>
          <w:spacing w:val="-2"/>
          <w:w w:val="105"/>
          <w:sz w:val="13"/>
        </w:rPr>
        <w:t>use;</w:t>
      </w:r>
      <w:r>
        <w:rPr>
          <w:spacing w:val="-3"/>
          <w:w w:val="105"/>
          <w:sz w:val="13"/>
        </w:rPr>
        <w:t> </w:t>
      </w:r>
      <w:r>
        <w:rPr>
          <w:spacing w:val="-5"/>
          <w:w w:val="105"/>
          <w:sz w:val="13"/>
        </w:rPr>
        <w:t>or</w:t>
      </w:r>
    </w:p>
    <w:p>
      <w:pPr>
        <w:pStyle w:val="ListParagraph"/>
        <w:numPr>
          <w:ilvl w:val="3"/>
          <w:numId w:val="24"/>
        </w:numPr>
        <w:tabs>
          <w:tab w:pos="1134" w:val="left" w:leader="none"/>
          <w:tab w:pos="1143" w:val="left" w:leader="none"/>
        </w:tabs>
        <w:spacing w:line="268" w:lineRule="auto" w:before="17" w:after="0"/>
        <w:ind w:left="1134" w:right="303" w:hanging="124"/>
        <w:jc w:val="left"/>
        <w:rPr>
          <w:sz w:val="13"/>
        </w:rPr>
      </w:pPr>
      <w:r>
        <w:rPr>
          <w:sz w:val="13"/>
        </w:rPr>
        <w:tab/>
      </w:r>
      <w:r>
        <w:rPr>
          <w:w w:val="105"/>
          <w:sz w:val="13"/>
        </w:rPr>
        <w:t>The</w:t>
      </w:r>
      <w:r>
        <w:rPr>
          <w:spacing w:val="-10"/>
          <w:w w:val="105"/>
          <w:sz w:val="13"/>
        </w:rPr>
        <w:t> </w:t>
      </w:r>
      <w:r>
        <w:rPr>
          <w:w w:val="105"/>
          <w:sz w:val="13"/>
        </w:rPr>
        <w:t>relevant</w:t>
      </w:r>
      <w:r>
        <w:rPr>
          <w:spacing w:val="-9"/>
          <w:w w:val="105"/>
          <w:sz w:val="13"/>
        </w:rPr>
        <w:t> </w:t>
      </w:r>
      <w:r>
        <w:rPr>
          <w:w w:val="105"/>
          <w:sz w:val="13"/>
        </w:rPr>
        <w:t>decisions</w:t>
      </w:r>
      <w:r>
        <w:rPr>
          <w:spacing w:val="-10"/>
          <w:w w:val="105"/>
          <w:sz w:val="13"/>
        </w:rPr>
        <w:t> </w:t>
      </w:r>
      <w:r>
        <w:rPr>
          <w:w w:val="105"/>
          <w:sz w:val="13"/>
        </w:rPr>
        <w:t>about</w:t>
      </w:r>
      <w:r>
        <w:rPr>
          <w:spacing w:val="-9"/>
          <w:w w:val="105"/>
          <w:sz w:val="13"/>
        </w:rPr>
        <w:t> </w:t>
      </w:r>
      <w:r>
        <w:rPr>
          <w:w w:val="105"/>
          <w:sz w:val="13"/>
        </w:rPr>
        <w:t>how</w:t>
      </w:r>
      <w:r>
        <w:rPr>
          <w:spacing w:val="-10"/>
          <w:w w:val="105"/>
          <w:sz w:val="13"/>
        </w:rPr>
        <w:t> </w:t>
      </w:r>
      <w:r>
        <w:rPr>
          <w:w w:val="105"/>
          <w:sz w:val="13"/>
        </w:rPr>
        <w:t>and</w:t>
      </w:r>
      <w:r>
        <w:rPr>
          <w:spacing w:val="-9"/>
          <w:w w:val="105"/>
          <w:sz w:val="13"/>
        </w:rPr>
        <w:t> </w:t>
      </w:r>
      <w:r>
        <w:rPr>
          <w:w w:val="105"/>
          <w:sz w:val="13"/>
        </w:rPr>
        <w:t>for</w:t>
      </w:r>
      <w:r>
        <w:rPr>
          <w:spacing w:val="-10"/>
          <w:w w:val="105"/>
          <w:sz w:val="13"/>
        </w:rPr>
        <w:t> </w:t>
      </w:r>
      <w:r>
        <w:rPr>
          <w:w w:val="105"/>
          <w:sz w:val="13"/>
        </w:rPr>
        <w:t>what</w:t>
      </w:r>
      <w:r>
        <w:rPr>
          <w:spacing w:val="-9"/>
          <w:w w:val="105"/>
          <w:sz w:val="13"/>
        </w:rPr>
        <w:t> </w:t>
      </w:r>
      <w:r>
        <w:rPr>
          <w:w w:val="105"/>
          <w:sz w:val="13"/>
        </w:rPr>
        <w:t>purposes</w:t>
      </w:r>
      <w:r>
        <w:rPr>
          <w:spacing w:val="-10"/>
          <w:w w:val="105"/>
          <w:sz w:val="13"/>
        </w:rPr>
        <w:t> </w:t>
      </w:r>
      <w:r>
        <w:rPr>
          <w:w w:val="105"/>
          <w:sz w:val="13"/>
        </w:rPr>
        <w:t>the</w:t>
      </w:r>
      <w:r>
        <w:rPr>
          <w:spacing w:val="-9"/>
          <w:w w:val="105"/>
          <w:sz w:val="13"/>
        </w:rPr>
        <w:t> </w:t>
      </w:r>
      <w:r>
        <w:rPr>
          <w:w w:val="105"/>
          <w:sz w:val="13"/>
        </w:rPr>
        <w:t>asset</w:t>
      </w:r>
      <w:r>
        <w:rPr>
          <w:spacing w:val="-10"/>
          <w:w w:val="105"/>
          <w:sz w:val="13"/>
        </w:rPr>
        <w:t> </w:t>
      </w:r>
      <w:r>
        <w:rPr>
          <w:w w:val="105"/>
          <w:sz w:val="13"/>
        </w:rPr>
        <w:t>is</w:t>
      </w:r>
      <w:r>
        <w:rPr>
          <w:spacing w:val="-9"/>
          <w:w w:val="105"/>
          <w:sz w:val="13"/>
        </w:rPr>
        <w:t> </w:t>
      </w:r>
      <w:r>
        <w:rPr>
          <w:w w:val="105"/>
          <w:sz w:val="13"/>
        </w:rPr>
        <w:t>used</w:t>
      </w:r>
      <w:r>
        <w:rPr>
          <w:spacing w:val="-10"/>
          <w:w w:val="105"/>
          <w:sz w:val="13"/>
        </w:rPr>
        <w:t> </w:t>
      </w:r>
      <w:r>
        <w:rPr>
          <w:w w:val="105"/>
          <w:sz w:val="13"/>
        </w:rPr>
        <w:t>is</w:t>
      </w:r>
      <w:r>
        <w:rPr>
          <w:spacing w:val="-9"/>
          <w:w w:val="105"/>
          <w:sz w:val="13"/>
        </w:rPr>
        <w:t> </w:t>
      </w:r>
      <w:r>
        <w:rPr>
          <w:w w:val="105"/>
          <w:sz w:val="13"/>
        </w:rPr>
        <w:t>predetermined</w:t>
      </w:r>
      <w:r>
        <w:rPr>
          <w:spacing w:val="-10"/>
          <w:w w:val="105"/>
          <w:sz w:val="13"/>
        </w:rPr>
        <w:t> </w:t>
      </w:r>
      <w:r>
        <w:rPr>
          <w:w w:val="105"/>
          <w:sz w:val="13"/>
        </w:rPr>
        <w:t>and</w:t>
      </w:r>
      <w:r>
        <w:rPr>
          <w:spacing w:val="-9"/>
          <w:w w:val="105"/>
          <w:sz w:val="13"/>
        </w:rPr>
        <w:t> </w:t>
      </w:r>
      <w:r>
        <w:rPr>
          <w:w w:val="105"/>
          <w:sz w:val="13"/>
        </w:rPr>
        <w:t>the</w:t>
      </w:r>
      <w:r>
        <w:rPr>
          <w:spacing w:val="-10"/>
          <w:w w:val="105"/>
          <w:sz w:val="13"/>
        </w:rPr>
        <w:t> </w:t>
      </w:r>
      <w:r>
        <w:rPr>
          <w:w w:val="105"/>
          <w:sz w:val="13"/>
        </w:rPr>
        <w:t>customer</w:t>
      </w:r>
      <w:r>
        <w:rPr>
          <w:spacing w:val="-9"/>
          <w:w w:val="105"/>
          <w:sz w:val="13"/>
        </w:rPr>
        <w:t> </w:t>
      </w:r>
      <w:r>
        <w:rPr>
          <w:w w:val="105"/>
          <w:sz w:val="13"/>
        </w:rPr>
        <w:t>has</w:t>
      </w:r>
      <w:r>
        <w:rPr>
          <w:spacing w:val="-10"/>
          <w:w w:val="105"/>
          <w:sz w:val="13"/>
        </w:rPr>
        <w:t> </w:t>
      </w:r>
      <w:r>
        <w:rPr>
          <w:w w:val="105"/>
          <w:sz w:val="13"/>
        </w:rPr>
        <w:t>the</w:t>
      </w:r>
      <w:r>
        <w:rPr>
          <w:spacing w:val="-9"/>
          <w:w w:val="105"/>
          <w:sz w:val="13"/>
        </w:rPr>
        <w:t> </w:t>
      </w:r>
      <w:r>
        <w:rPr>
          <w:w w:val="105"/>
          <w:sz w:val="13"/>
        </w:rPr>
        <w:t>right</w:t>
      </w:r>
      <w:r>
        <w:rPr>
          <w:spacing w:val="-10"/>
          <w:w w:val="105"/>
          <w:sz w:val="13"/>
        </w:rPr>
        <w:t> </w:t>
      </w:r>
      <w:r>
        <w:rPr>
          <w:w w:val="105"/>
          <w:sz w:val="13"/>
        </w:rPr>
        <w:t>to</w:t>
      </w:r>
      <w:r>
        <w:rPr>
          <w:spacing w:val="-9"/>
          <w:w w:val="105"/>
          <w:sz w:val="13"/>
        </w:rPr>
        <w:t> </w:t>
      </w:r>
      <w:r>
        <w:rPr>
          <w:w w:val="105"/>
          <w:sz w:val="13"/>
        </w:rPr>
        <w:t>operate</w:t>
      </w:r>
      <w:r>
        <w:rPr>
          <w:spacing w:val="40"/>
          <w:w w:val="105"/>
          <w:sz w:val="13"/>
        </w:rPr>
        <w:t> </w:t>
      </w:r>
      <w:r>
        <w:rPr>
          <w:w w:val="105"/>
          <w:sz w:val="13"/>
        </w:rPr>
        <w:t>the</w:t>
      </w:r>
      <w:r>
        <w:rPr>
          <w:spacing w:val="-8"/>
          <w:w w:val="105"/>
          <w:sz w:val="13"/>
        </w:rPr>
        <w:t> </w:t>
      </w:r>
      <w:r>
        <w:rPr>
          <w:w w:val="105"/>
          <w:sz w:val="13"/>
        </w:rPr>
        <w:t>asset,</w:t>
      </w:r>
      <w:r>
        <w:rPr>
          <w:spacing w:val="-7"/>
          <w:w w:val="105"/>
          <w:sz w:val="13"/>
        </w:rPr>
        <w:t> </w:t>
      </w:r>
      <w:r>
        <w:rPr>
          <w:w w:val="105"/>
          <w:sz w:val="13"/>
        </w:rPr>
        <w:t>or</w:t>
      </w:r>
      <w:r>
        <w:rPr>
          <w:spacing w:val="-6"/>
          <w:w w:val="105"/>
          <w:sz w:val="13"/>
        </w:rPr>
        <w:t> </w:t>
      </w:r>
      <w:r>
        <w:rPr>
          <w:w w:val="105"/>
          <w:sz w:val="13"/>
        </w:rPr>
        <w:t>the</w:t>
      </w:r>
      <w:r>
        <w:rPr>
          <w:spacing w:val="-7"/>
          <w:w w:val="105"/>
          <w:sz w:val="13"/>
        </w:rPr>
        <w:t> </w:t>
      </w:r>
      <w:r>
        <w:rPr>
          <w:w w:val="105"/>
          <w:sz w:val="13"/>
        </w:rPr>
        <w:t>customer</w:t>
      </w:r>
      <w:r>
        <w:rPr>
          <w:spacing w:val="-6"/>
          <w:w w:val="105"/>
          <w:sz w:val="13"/>
        </w:rPr>
        <w:t> </w:t>
      </w:r>
      <w:r>
        <w:rPr>
          <w:w w:val="105"/>
          <w:sz w:val="13"/>
        </w:rPr>
        <w:t>designed</w:t>
      </w:r>
      <w:r>
        <w:rPr>
          <w:spacing w:val="-7"/>
          <w:w w:val="105"/>
          <w:sz w:val="13"/>
        </w:rPr>
        <w:t> </w:t>
      </w:r>
      <w:r>
        <w:rPr>
          <w:w w:val="105"/>
          <w:sz w:val="13"/>
        </w:rPr>
        <w:t>the</w:t>
      </w:r>
      <w:r>
        <w:rPr>
          <w:spacing w:val="-7"/>
          <w:w w:val="105"/>
          <w:sz w:val="13"/>
        </w:rPr>
        <w:t> </w:t>
      </w:r>
      <w:r>
        <w:rPr>
          <w:w w:val="105"/>
          <w:sz w:val="13"/>
        </w:rPr>
        <w:t>asset</w:t>
      </w:r>
      <w:r>
        <w:rPr>
          <w:spacing w:val="-7"/>
          <w:w w:val="105"/>
          <w:sz w:val="13"/>
        </w:rPr>
        <w:t> </w:t>
      </w:r>
      <w:r>
        <w:rPr>
          <w:w w:val="105"/>
          <w:sz w:val="13"/>
        </w:rPr>
        <w:t>in</w:t>
      </w:r>
      <w:r>
        <w:rPr>
          <w:spacing w:val="-7"/>
          <w:w w:val="105"/>
          <w:sz w:val="13"/>
        </w:rPr>
        <w:t> </w:t>
      </w:r>
      <w:r>
        <w:rPr>
          <w:w w:val="105"/>
          <w:sz w:val="13"/>
        </w:rPr>
        <w:t>a</w:t>
      </w:r>
      <w:r>
        <w:rPr>
          <w:spacing w:val="-7"/>
          <w:w w:val="105"/>
          <w:sz w:val="13"/>
        </w:rPr>
        <w:t> </w:t>
      </w:r>
      <w:r>
        <w:rPr>
          <w:w w:val="105"/>
          <w:sz w:val="13"/>
        </w:rPr>
        <w:t>way</w:t>
      </w:r>
      <w:r>
        <w:rPr>
          <w:spacing w:val="-10"/>
          <w:w w:val="105"/>
          <w:sz w:val="13"/>
        </w:rPr>
        <w:t> </w:t>
      </w:r>
      <w:r>
        <w:rPr>
          <w:w w:val="105"/>
          <w:sz w:val="13"/>
        </w:rPr>
        <w:t>that</w:t>
      </w:r>
      <w:r>
        <w:rPr>
          <w:spacing w:val="-6"/>
          <w:w w:val="105"/>
          <w:sz w:val="13"/>
        </w:rPr>
        <w:t> </w:t>
      </w:r>
      <w:r>
        <w:rPr>
          <w:w w:val="105"/>
          <w:sz w:val="13"/>
        </w:rPr>
        <w:t>predetermines</w:t>
      </w:r>
      <w:r>
        <w:rPr>
          <w:spacing w:val="-7"/>
          <w:w w:val="105"/>
          <w:sz w:val="13"/>
        </w:rPr>
        <w:t> </w:t>
      </w:r>
      <w:r>
        <w:rPr>
          <w:w w:val="105"/>
          <w:sz w:val="13"/>
        </w:rPr>
        <w:t>how</w:t>
      </w:r>
      <w:r>
        <w:rPr>
          <w:spacing w:val="-10"/>
          <w:w w:val="105"/>
          <w:sz w:val="13"/>
        </w:rPr>
        <w:t> </w:t>
      </w:r>
      <w:r>
        <w:rPr>
          <w:w w:val="105"/>
          <w:sz w:val="13"/>
        </w:rPr>
        <w:t>and</w:t>
      </w:r>
      <w:r>
        <w:rPr>
          <w:spacing w:val="-7"/>
          <w:w w:val="105"/>
          <w:sz w:val="13"/>
        </w:rPr>
        <w:t> </w:t>
      </w:r>
      <w:r>
        <w:rPr>
          <w:w w:val="105"/>
          <w:sz w:val="13"/>
        </w:rPr>
        <w:t>for</w:t>
      </w:r>
      <w:r>
        <w:rPr>
          <w:spacing w:val="-6"/>
          <w:w w:val="105"/>
          <w:sz w:val="13"/>
        </w:rPr>
        <w:t> </w:t>
      </w:r>
      <w:r>
        <w:rPr>
          <w:w w:val="105"/>
          <w:sz w:val="13"/>
        </w:rPr>
        <w:t>what</w:t>
      </w:r>
      <w:r>
        <w:rPr>
          <w:spacing w:val="-7"/>
          <w:w w:val="105"/>
          <w:sz w:val="13"/>
        </w:rPr>
        <w:t> </w:t>
      </w:r>
      <w:r>
        <w:rPr>
          <w:w w:val="105"/>
          <w:sz w:val="13"/>
        </w:rPr>
        <w:t>purpose</w:t>
      </w:r>
      <w:r>
        <w:rPr>
          <w:spacing w:val="-7"/>
          <w:w w:val="105"/>
          <w:sz w:val="13"/>
        </w:rPr>
        <w:t> </w:t>
      </w:r>
      <w:r>
        <w:rPr>
          <w:w w:val="105"/>
          <w:sz w:val="13"/>
        </w:rPr>
        <w:t>the</w:t>
      </w:r>
      <w:r>
        <w:rPr>
          <w:spacing w:val="-7"/>
          <w:w w:val="105"/>
          <w:sz w:val="13"/>
        </w:rPr>
        <w:t> </w:t>
      </w:r>
      <w:r>
        <w:rPr>
          <w:w w:val="105"/>
          <w:sz w:val="13"/>
        </w:rPr>
        <w:t>asset</w:t>
      </w:r>
      <w:r>
        <w:rPr>
          <w:spacing w:val="-7"/>
          <w:w w:val="105"/>
          <w:sz w:val="13"/>
        </w:rPr>
        <w:t> </w:t>
      </w:r>
      <w:r>
        <w:rPr>
          <w:w w:val="105"/>
          <w:sz w:val="13"/>
        </w:rPr>
        <w:t>will</w:t>
      </w:r>
      <w:r>
        <w:rPr>
          <w:spacing w:val="-6"/>
          <w:w w:val="105"/>
          <w:sz w:val="13"/>
        </w:rPr>
        <w:t> </w:t>
      </w:r>
      <w:r>
        <w:rPr>
          <w:w w:val="105"/>
          <w:sz w:val="13"/>
        </w:rPr>
        <w:t>be</w:t>
      </w:r>
      <w:r>
        <w:rPr>
          <w:spacing w:val="-7"/>
          <w:w w:val="105"/>
          <w:sz w:val="13"/>
        </w:rPr>
        <w:t> </w:t>
      </w:r>
      <w:r>
        <w:rPr>
          <w:w w:val="105"/>
          <w:sz w:val="13"/>
        </w:rPr>
        <w:t>used</w:t>
      </w:r>
      <w:r>
        <w:rPr>
          <w:spacing w:val="40"/>
          <w:w w:val="105"/>
          <w:sz w:val="13"/>
        </w:rPr>
        <w:t> </w:t>
      </w:r>
      <w:r>
        <w:rPr>
          <w:w w:val="105"/>
          <w:sz w:val="13"/>
        </w:rPr>
        <w:t>throughout the period of use.</w:t>
      </w:r>
    </w:p>
    <w:p>
      <w:pPr>
        <w:spacing w:line="240" w:lineRule="auto" w:before="19"/>
        <w:rPr>
          <w:sz w:val="13"/>
        </w:rPr>
      </w:pPr>
    </w:p>
    <w:p>
      <w:pPr>
        <w:spacing w:before="0"/>
        <w:ind w:left="876" w:right="0" w:firstLine="0"/>
        <w:jc w:val="left"/>
        <w:rPr>
          <w:b/>
          <w:i/>
          <w:sz w:val="13"/>
        </w:rPr>
      </w:pPr>
      <w:r>
        <w:rPr>
          <w:b/>
          <w:i/>
          <w:spacing w:val="-2"/>
          <w:w w:val="105"/>
          <w:sz w:val="13"/>
        </w:rPr>
        <w:t>Accounting</w:t>
      </w:r>
      <w:r>
        <w:rPr>
          <w:b/>
          <w:i/>
          <w:spacing w:val="-3"/>
          <w:w w:val="105"/>
          <w:sz w:val="13"/>
        </w:rPr>
        <w:t> </w:t>
      </w:r>
      <w:r>
        <w:rPr>
          <w:b/>
          <w:i/>
          <w:spacing w:val="-2"/>
          <w:w w:val="105"/>
          <w:sz w:val="13"/>
        </w:rPr>
        <w:t>for leases</w:t>
      </w:r>
      <w:r>
        <w:rPr>
          <w:b/>
          <w:i/>
          <w:spacing w:val="-3"/>
          <w:w w:val="105"/>
          <w:sz w:val="13"/>
        </w:rPr>
        <w:t> </w:t>
      </w:r>
      <w:r>
        <w:rPr>
          <w:b/>
          <w:i/>
          <w:spacing w:val="-2"/>
          <w:w w:val="105"/>
          <w:sz w:val="13"/>
        </w:rPr>
        <w:t>–</w:t>
      </w:r>
      <w:r>
        <w:rPr>
          <w:b/>
          <w:i/>
          <w:spacing w:val="-3"/>
          <w:w w:val="105"/>
          <w:sz w:val="13"/>
        </w:rPr>
        <w:t> </w:t>
      </w:r>
      <w:r>
        <w:rPr>
          <w:b/>
          <w:i/>
          <w:spacing w:val="-2"/>
          <w:w w:val="105"/>
          <w:sz w:val="13"/>
        </w:rPr>
        <w:t>Group</w:t>
      </w:r>
      <w:r>
        <w:rPr>
          <w:b/>
          <w:i/>
          <w:spacing w:val="-1"/>
          <w:w w:val="105"/>
          <w:sz w:val="13"/>
        </w:rPr>
        <w:t> </w:t>
      </w:r>
      <w:r>
        <w:rPr>
          <w:b/>
          <w:i/>
          <w:spacing w:val="-2"/>
          <w:w w:val="105"/>
          <w:sz w:val="13"/>
        </w:rPr>
        <w:t>as</w:t>
      </w:r>
      <w:r>
        <w:rPr>
          <w:b/>
          <w:i/>
          <w:spacing w:val="-3"/>
          <w:w w:val="105"/>
          <w:sz w:val="13"/>
        </w:rPr>
        <w:t> </w:t>
      </w:r>
      <w:r>
        <w:rPr>
          <w:b/>
          <w:i/>
          <w:spacing w:val="-2"/>
          <w:w w:val="105"/>
          <w:sz w:val="13"/>
        </w:rPr>
        <w:t>lessee</w:t>
      </w:r>
    </w:p>
    <w:p>
      <w:pPr>
        <w:spacing w:line="271" w:lineRule="auto" w:before="19"/>
        <w:ind w:left="876" w:right="321" w:firstLine="0"/>
        <w:jc w:val="both"/>
        <w:rPr>
          <w:sz w:val="13"/>
        </w:rPr>
      </w:pPr>
      <w:r>
        <w:rPr>
          <w:w w:val="105"/>
          <w:sz w:val="13"/>
        </w:rPr>
        <w:t>In</w:t>
      </w:r>
      <w:r>
        <w:rPr>
          <w:spacing w:val="-9"/>
          <w:w w:val="105"/>
          <w:sz w:val="13"/>
        </w:rPr>
        <w:t> </w:t>
      </w:r>
      <w:r>
        <w:rPr>
          <w:w w:val="105"/>
          <w:sz w:val="13"/>
        </w:rPr>
        <w:t>contracts</w:t>
      </w:r>
      <w:r>
        <w:rPr>
          <w:spacing w:val="-8"/>
          <w:w w:val="105"/>
          <w:sz w:val="13"/>
        </w:rPr>
        <w:t> </w:t>
      </w:r>
      <w:r>
        <w:rPr>
          <w:w w:val="105"/>
          <w:sz w:val="13"/>
        </w:rPr>
        <w:t>where</w:t>
      </w:r>
      <w:r>
        <w:rPr>
          <w:spacing w:val="-9"/>
          <w:w w:val="105"/>
          <w:sz w:val="13"/>
        </w:rPr>
        <w:t> </w:t>
      </w:r>
      <w:r>
        <w:rPr>
          <w:w w:val="105"/>
          <w:sz w:val="13"/>
        </w:rPr>
        <w:t>the</w:t>
      </w:r>
      <w:r>
        <w:rPr>
          <w:spacing w:val="-9"/>
          <w:w w:val="105"/>
          <w:sz w:val="13"/>
        </w:rPr>
        <w:t> </w:t>
      </w:r>
      <w:r>
        <w:rPr>
          <w:w w:val="105"/>
          <w:sz w:val="13"/>
        </w:rPr>
        <w:t>Group</w:t>
      </w:r>
      <w:r>
        <w:rPr>
          <w:spacing w:val="-9"/>
          <w:w w:val="105"/>
          <w:sz w:val="13"/>
        </w:rPr>
        <w:t> </w:t>
      </w:r>
      <w:r>
        <w:rPr>
          <w:w w:val="105"/>
          <w:sz w:val="13"/>
        </w:rPr>
        <w:t>is</w:t>
      </w:r>
      <w:r>
        <w:rPr>
          <w:spacing w:val="-7"/>
          <w:w w:val="105"/>
          <w:sz w:val="13"/>
        </w:rPr>
        <w:t> </w:t>
      </w:r>
      <w:r>
        <w:rPr>
          <w:w w:val="105"/>
          <w:sz w:val="13"/>
        </w:rPr>
        <w:t>a</w:t>
      </w:r>
      <w:r>
        <w:rPr>
          <w:spacing w:val="-9"/>
          <w:w w:val="105"/>
          <w:sz w:val="13"/>
        </w:rPr>
        <w:t> </w:t>
      </w:r>
      <w:r>
        <w:rPr>
          <w:w w:val="105"/>
          <w:sz w:val="13"/>
        </w:rPr>
        <w:t>lessee,</w:t>
      </w:r>
      <w:r>
        <w:rPr>
          <w:spacing w:val="-9"/>
          <w:w w:val="105"/>
          <w:sz w:val="13"/>
        </w:rPr>
        <w:t> </w:t>
      </w:r>
      <w:r>
        <w:rPr>
          <w:w w:val="105"/>
          <w:sz w:val="13"/>
        </w:rPr>
        <w:t>the</w:t>
      </w:r>
      <w:r>
        <w:rPr>
          <w:spacing w:val="-9"/>
          <w:w w:val="105"/>
          <w:sz w:val="13"/>
        </w:rPr>
        <w:t> </w:t>
      </w:r>
      <w:r>
        <w:rPr>
          <w:w w:val="105"/>
          <w:sz w:val="13"/>
        </w:rPr>
        <w:t>Group</w:t>
      </w:r>
      <w:r>
        <w:rPr>
          <w:spacing w:val="-9"/>
          <w:w w:val="105"/>
          <w:sz w:val="13"/>
        </w:rPr>
        <w:t> </w:t>
      </w:r>
      <w:r>
        <w:rPr>
          <w:w w:val="105"/>
          <w:sz w:val="13"/>
        </w:rPr>
        <w:t>recognises</w:t>
      </w:r>
      <w:r>
        <w:rPr>
          <w:spacing w:val="-8"/>
          <w:w w:val="105"/>
          <w:sz w:val="13"/>
        </w:rPr>
        <w:t> </w:t>
      </w:r>
      <w:r>
        <w:rPr>
          <w:w w:val="105"/>
          <w:sz w:val="13"/>
        </w:rPr>
        <w:t>a</w:t>
      </w:r>
      <w:r>
        <w:rPr>
          <w:spacing w:val="-9"/>
          <w:w w:val="105"/>
          <w:sz w:val="13"/>
        </w:rPr>
        <w:t> </w:t>
      </w:r>
      <w:r>
        <w:rPr>
          <w:w w:val="105"/>
          <w:sz w:val="13"/>
        </w:rPr>
        <w:t>right-of-use</w:t>
      </w:r>
      <w:r>
        <w:rPr>
          <w:spacing w:val="-8"/>
          <w:w w:val="105"/>
          <w:sz w:val="13"/>
        </w:rPr>
        <w:t> </w:t>
      </w:r>
      <w:r>
        <w:rPr>
          <w:w w:val="105"/>
          <w:sz w:val="13"/>
        </w:rPr>
        <w:t>asset</w:t>
      </w:r>
      <w:r>
        <w:rPr>
          <w:spacing w:val="-9"/>
          <w:w w:val="105"/>
          <w:sz w:val="13"/>
        </w:rPr>
        <w:t> </w:t>
      </w:r>
      <w:r>
        <w:rPr>
          <w:w w:val="105"/>
          <w:sz w:val="13"/>
        </w:rPr>
        <w:t>and</w:t>
      </w:r>
      <w:r>
        <w:rPr>
          <w:spacing w:val="-9"/>
          <w:w w:val="105"/>
          <w:sz w:val="13"/>
        </w:rPr>
        <w:t> </w:t>
      </w:r>
      <w:r>
        <w:rPr>
          <w:w w:val="105"/>
          <w:sz w:val="13"/>
        </w:rPr>
        <w:t>a</w:t>
      </w:r>
      <w:r>
        <w:rPr>
          <w:spacing w:val="-9"/>
          <w:w w:val="105"/>
          <w:sz w:val="13"/>
        </w:rPr>
        <w:t> </w:t>
      </w:r>
      <w:r>
        <w:rPr>
          <w:w w:val="105"/>
          <w:sz w:val="13"/>
        </w:rPr>
        <w:t>lease</w:t>
      </w:r>
      <w:r>
        <w:rPr>
          <w:spacing w:val="-8"/>
          <w:w w:val="105"/>
          <w:sz w:val="13"/>
        </w:rPr>
        <w:t> </w:t>
      </w:r>
      <w:r>
        <w:rPr>
          <w:w w:val="105"/>
          <w:sz w:val="13"/>
        </w:rPr>
        <w:t>liability</w:t>
      </w:r>
      <w:r>
        <w:rPr>
          <w:spacing w:val="-9"/>
          <w:w w:val="105"/>
          <w:sz w:val="13"/>
        </w:rPr>
        <w:t> </w:t>
      </w:r>
      <w:r>
        <w:rPr>
          <w:w w:val="105"/>
          <w:sz w:val="13"/>
        </w:rPr>
        <w:t>at</w:t>
      </w:r>
      <w:r>
        <w:rPr>
          <w:spacing w:val="-9"/>
          <w:w w:val="105"/>
          <w:sz w:val="13"/>
        </w:rPr>
        <w:t> </w:t>
      </w:r>
      <w:r>
        <w:rPr>
          <w:w w:val="105"/>
          <w:sz w:val="13"/>
        </w:rPr>
        <w:t>the</w:t>
      </w:r>
      <w:r>
        <w:rPr>
          <w:spacing w:val="-7"/>
          <w:w w:val="105"/>
          <w:sz w:val="13"/>
        </w:rPr>
        <w:t> </w:t>
      </w:r>
      <w:r>
        <w:rPr>
          <w:w w:val="105"/>
          <w:sz w:val="13"/>
        </w:rPr>
        <w:t>commencement</w:t>
      </w:r>
      <w:r>
        <w:rPr>
          <w:spacing w:val="-9"/>
          <w:w w:val="105"/>
          <w:sz w:val="13"/>
        </w:rPr>
        <w:t> </w:t>
      </w:r>
      <w:r>
        <w:rPr>
          <w:w w:val="105"/>
          <w:sz w:val="13"/>
        </w:rPr>
        <w:t>date</w:t>
      </w:r>
      <w:r>
        <w:rPr>
          <w:spacing w:val="-7"/>
          <w:w w:val="105"/>
          <w:sz w:val="13"/>
        </w:rPr>
        <w:t> </w:t>
      </w:r>
      <w:r>
        <w:rPr>
          <w:w w:val="105"/>
          <w:sz w:val="13"/>
        </w:rPr>
        <w:t>of</w:t>
      </w:r>
      <w:r>
        <w:rPr>
          <w:spacing w:val="-7"/>
          <w:w w:val="105"/>
          <w:sz w:val="13"/>
        </w:rPr>
        <w:t> </w:t>
      </w:r>
      <w:r>
        <w:rPr>
          <w:w w:val="105"/>
          <w:sz w:val="13"/>
        </w:rPr>
        <w:t>the</w:t>
      </w:r>
      <w:r>
        <w:rPr>
          <w:spacing w:val="40"/>
          <w:w w:val="105"/>
          <w:sz w:val="13"/>
        </w:rPr>
        <w:t> </w:t>
      </w:r>
      <w:r>
        <w:rPr>
          <w:w w:val="105"/>
          <w:sz w:val="13"/>
        </w:rPr>
        <w:t>lease,</w:t>
      </w:r>
      <w:r>
        <w:rPr>
          <w:spacing w:val="-2"/>
          <w:w w:val="105"/>
          <w:sz w:val="13"/>
        </w:rPr>
        <w:t> </w:t>
      </w:r>
      <w:r>
        <w:rPr>
          <w:w w:val="105"/>
          <w:sz w:val="13"/>
        </w:rPr>
        <w:t>unless</w:t>
      </w:r>
      <w:r>
        <w:rPr>
          <w:spacing w:val="-1"/>
          <w:w w:val="105"/>
          <w:sz w:val="13"/>
        </w:rPr>
        <w:t> </w:t>
      </w:r>
      <w:r>
        <w:rPr>
          <w:w w:val="105"/>
          <w:sz w:val="13"/>
        </w:rPr>
        <w:t>the</w:t>
      </w:r>
      <w:r>
        <w:rPr>
          <w:spacing w:val="-3"/>
          <w:w w:val="105"/>
          <w:sz w:val="13"/>
        </w:rPr>
        <w:t> </w:t>
      </w:r>
      <w:r>
        <w:rPr>
          <w:w w:val="105"/>
          <w:sz w:val="13"/>
        </w:rPr>
        <w:t>short-term</w:t>
      </w:r>
      <w:r>
        <w:rPr>
          <w:spacing w:val="-1"/>
          <w:w w:val="105"/>
          <w:sz w:val="13"/>
        </w:rPr>
        <w:t> </w:t>
      </w:r>
      <w:r>
        <w:rPr>
          <w:w w:val="105"/>
          <w:sz w:val="13"/>
        </w:rPr>
        <w:t>or</w:t>
      </w:r>
      <w:r>
        <w:rPr>
          <w:spacing w:val="-1"/>
          <w:w w:val="105"/>
          <w:sz w:val="13"/>
        </w:rPr>
        <w:t> </w:t>
      </w:r>
      <w:r>
        <w:rPr>
          <w:w w:val="105"/>
          <w:sz w:val="13"/>
        </w:rPr>
        <w:t>low-value</w:t>
      </w:r>
      <w:r>
        <w:rPr>
          <w:spacing w:val="-3"/>
          <w:w w:val="105"/>
          <w:sz w:val="13"/>
        </w:rPr>
        <w:t> </w:t>
      </w:r>
      <w:r>
        <w:rPr>
          <w:w w:val="105"/>
          <w:sz w:val="13"/>
        </w:rPr>
        <w:t>exemption</w:t>
      </w:r>
      <w:r>
        <w:rPr>
          <w:spacing w:val="-3"/>
          <w:w w:val="105"/>
          <w:sz w:val="13"/>
        </w:rPr>
        <w:t> </w:t>
      </w:r>
      <w:r>
        <w:rPr>
          <w:w w:val="105"/>
          <w:sz w:val="13"/>
        </w:rPr>
        <w:t>is</w:t>
      </w:r>
      <w:r>
        <w:rPr>
          <w:spacing w:val="-2"/>
          <w:w w:val="105"/>
          <w:sz w:val="13"/>
        </w:rPr>
        <w:t> </w:t>
      </w:r>
      <w:r>
        <w:rPr>
          <w:w w:val="105"/>
          <w:sz w:val="13"/>
        </w:rPr>
        <w:t>applied.</w:t>
      </w:r>
    </w:p>
    <w:p>
      <w:pPr>
        <w:spacing w:line="240" w:lineRule="auto" w:before="17"/>
        <w:rPr>
          <w:sz w:val="13"/>
        </w:rPr>
      </w:pPr>
    </w:p>
    <w:p>
      <w:pPr>
        <w:spacing w:before="1"/>
        <w:ind w:left="876" w:right="0" w:firstLine="0"/>
        <w:jc w:val="both"/>
        <w:rPr>
          <w:b/>
          <w:i/>
          <w:sz w:val="13"/>
        </w:rPr>
      </w:pPr>
      <w:r>
        <w:rPr>
          <w:b/>
          <w:i/>
          <w:sz w:val="13"/>
        </w:rPr>
        <w:t>Right-of-use</w:t>
      </w:r>
      <w:r>
        <w:rPr>
          <w:b/>
          <w:i/>
          <w:spacing w:val="18"/>
          <w:sz w:val="13"/>
        </w:rPr>
        <w:t> </w:t>
      </w:r>
      <w:r>
        <w:rPr>
          <w:b/>
          <w:i/>
          <w:spacing w:val="-2"/>
          <w:sz w:val="13"/>
        </w:rPr>
        <w:t>asset</w:t>
      </w:r>
    </w:p>
    <w:p>
      <w:pPr>
        <w:spacing w:line="268" w:lineRule="auto" w:before="18"/>
        <w:ind w:left="876" w:right="316" w:firstLine="0"/>
        <w:jc w:val="both"/>
        <w:rPr>
          <w:sz w:val="13"/>
        </w:rPr>
      </w:pPr>
      <w:r>
        <w:rPr>
          <w:w w:val="105"/>
          <w:sz w:val="13"/>
        </w:rPr>
        <w:t>A</w:t>
      </w:r>
      <w:r>
        <w:rPr>
          <w:spacing w:val="-5"/>
          <w:w w:val="105"/>
          <w:sz w:val="13"/>
        </w:rPr>
        <w:t> </w:t>
      </w:r>
      <w:r>
        <w:rPr>
          <w:w w:val="105"/>
          <w:sz w:val="13"/>
        </w:rPr>
        <w:t>right-of-use</w:t>
      </w:r>
      <w:r>
        <w:rPr>
          <w:spacing w:val="-5"/>
          <w:w w:val="105"/>
          <w:sz w:val="13"/>
        </w:rPr>
        <w:t> </w:t>
      </w:r>
      <w:r>
        <w:rPr>
          <w:w w:val="105"/>
          <w:sz w:val="13"/>
        </w:rPr>
        <w:t>asset</w:t>
      </w:r>
      <w:r>
        <w:rPr>
          <w:spacing w:val="-6"/>
          <w:w w:val="105"/>
          <w:sz w:val="13"/>
        </w:rPr>
        <w:t> </w:t>
      </w:r>
      <w:r>
        <w:rPr>
          <w:w w:val="105"/>
          <w:sz w:val="13"/>
        </w:rPr>
        <w:t>is</w:t>
      </w:r>
      <w:r>
        <w:rPr>
          <w:spacing w:val="-6"/>
          <w:w w:val="105"/>
          <w:sz w:val="13"/>
        </w:rPr>
        <w:t> </w:t>
      </w:r>
      <w:r>
        <w:rPr>
          <w:w w:val="105"/>
          <w:sz w:val="13"/>
        </w:rPr>
        <w:t>initially</w:t>
      </w:r>
      <w:r>
        <w:rPr>
          <w:spacing w:val="-7"/>
          <w:w w:val="105"/>
          <w:sz w:val="13"/>
        </w:rPr>
        <w:t> </w:t>
      </w:r>
      <w:r>
        <w:rPr>
          <w:w w:val="105"/>
          <w:sz w:val="13"/>
        </w:rPr>
        <w:t>measured</w:t>
      </w:r>
      <w:r>
        <w:rPr>
          <w:spacing w:val="-7"/>
          <w:w w:val="105"/>
          <w:sz w:val="13"/>
        </w:rPr>
        <w:t> </w:t>
      </w:r>
      <w:r>
        <w:rPr>
          <w:w w:val="105"/>
          <w:sz w:val="13"/>
        </w:rPr>
        <w:t>at</w:t>
      </w:r>
      <w:r>
        <w:rPr>
          <w:spacing w:val="-6"/>
          <w:w w:val="105"/>
          <w:sz w:val="13"/>
        </w:rPr>
        <w:t> </w:t>
      </w:r>
      <w:r>
        <w:rPr>
          <w:w w:val="105"/>
          <w:sz w:val="13"/>
        </w:rPr>
        <w:t>cost,</w:t>
      </w:r>
      <w:r>
        <w:rPr>
          <w:spacing w:val="-6"/>
          <w:w w:val="105"/>
          <w:sz w:val="13"/>
        </w:rPr>
        <w:t> </w:t>
      </w:r>
      <w:r>
        <w:rPr>
          <w:w w:val="105"/>
          <w:sz w:val="13"/>
        </w:rPr>
        <w:t>comprising</w:t>
      </w:r>
      <w:r>
        <w:rPr>
          <w:spacing w:val="-6"/>
          <w:w w:val="105"/>
          <w:sz w:val="13"/>
        </w:rPr>
        <w:t> </w:t>
      </w:r>
      <w:r>
        <w:rPr>
          <w:w w:val="105"/>
          <w:sz w:val="13"/>
        </w:rPr>
        <w:t>the</w:t>
      </w:r>
      <w:r>
        <w:rPr>
          <w:spacing w:val="-7"/>
          <w:w w:val="105"/>
          <w:sz w:val="13"/>
        </w:rPr>
        <w:t> </w:t>
      </w:r>
      <w:r>
        <w:rPr>
          <w:w w:val="105"/>
          <w:sz w:val="13"/>
        </w:rPr>
        <w:t>initial</w:t>
      </w:r>
      <w:r>
        <w:rPr>
          <w:spacing w:val="-3"/>
          <w:w w:val="105"/>
          <w:sz w:val="13"/>
        </w:rPr>
        <w:t> </w:t>
      </w:r>
      <w:r>
        <w:rPr>
          <w:w w:val="105"/>
          <w:sz w:val="13"/>
        </w:rPr>
        <w:t>measurement</w:t>
      </w:r>
      <w:r>
        <w:rPr>
          <w:spacing w:val="-7"/>
          <w:w w:val="105"/>
          <w:sz w:val="13"/>
        </w:rPr>
        <w:t> </w:t>
      </w:r>
      <w:r>
        <w:rPr>
          <w:w w:val="105"/>
          <w:sz w:val="13"/>
        </w:rPr>
        <w:t>of</w:t>
      </w:r>
      <w:r>
        <w:rPr>
          <w:spacing w:val="-4"/>
          <w:w w:val="105"/>
          <w:sz w:val="13"/>
        </w:rPr>
        <w:t> </w:t>
      </w:r>
      <w:r>
        <w:rPr>
          <w:w w:val="105"/>
          <w:sz w:val="13"/>
        </w:rPr>
        <w:t>the</w:t>
      </w:r>
      <w:r>
        <w:rPr>
          <w:spacing w:val="-7"/>
          <w:w w:val="105"/>
          <w:sz w:val="13"/>
        </w:rPr>
        <w:t> </w:t>
      </w:r>
      <w:r>
        <w:rPr>
          <w:w w:val="105"/>
          <w:sz w:val="13"/>
        </w:rPr>
        <w:t>lease</w:t>
      </w:r>
      <w:r>
        <w:rPr>
          <w:spacing w:val="-5"/>
          <w:w w:val="105"/>
          <w:sz w:val="13"/>
        </w:rPr>
        <w:t> </w:t>
      </w:r>
      <w:r>
        <w:rPr>
          <w:w w:val="105"/>
          <w:sz w:val="13"/>
        </w:rPr>
        <w:t>liability</w:t>
      </w:r>
      <w:r>
        <w:rPr>
          <w:spacing w:val="-9"/>
          <w:w w:val="105"/>
          <w:sz w:val="13"/>
        </w:rPr>
        <w:t> </w:t>
      </w:r>
      <w:r>
        <w:rPr>
          <w:w w:val="105"/>
          <w:sz w:val="13"/>
        </w:rPr>
        <w:t>adjusted</w:t>
      </w:r>
      <w:r>
        <w:rPr>
          <w:spacing w:val="-6"/>
          <w:w w:val="105"/>
          <w:sz w:val="13"/>
        </w:rPr>
        <w:t> </w:t>
      </w:r>
      <w:r>
        <w:rPr>
          <w:w w:val="105"/>
          <w:sz w:val="13"/>
        </w:rPr>
        <w:t>for</w:t>
      </w:r>
      <w:r>
        <w:rPr>
          <w:spacing w:val="-6"/>
          <w:w w:val="105"/>
          <w:sz w:val="13"/>
        </w:rPr>
        <w:t> </w:t>
      </w:r>
      <w:r>
        <w:rPr>
          <w:w w:val="105"/>
          <w:sz w:val="13"/>
        </w:rPr>
        <w:t>any</w:t>
      </w:r>
      <w:r>
        <w:rPr>
          <w:spacing w:val="-9"/>
          <w:w w:val="105"/>
          <w:sz w:val="13"/>
        </w:rPr>
        <w:t> </w:t>
      </w:r>
      <w:r>
        <w:rPr>
          <w:w w:val="105"/>
          <w:sz w:val="13"/>
        </w:rPr>
        <w:t>lease</w:t>
      </w:r>
      <w:r>
        <w:rPr>
          <w:spacing w:val="-6"/>
          <w:w w:val="105"/>
          <w:sz w:val="13"/>
        </w:rPr>
        <w:t> </w:t>
      </w:r>
      <w:r>
        <w:rPr>
          <w:w w:val="105"/>
          <w:sz w:val="13"/>
        </w:rPr>
        <w:t>payments</w:t>
      </w:r>
      <w:r>
        <w:rPr>
          <w:spacing w:val="40"/>
          <w:w w:val="105"/>
          <w:sz w:val="13"/>
        </w:rPr>
        <w:t> </w:t>
      </w:r>
      <w:r>
        <w:rPr>
          <w:w w:val="105"/>
          <w:sz w:val="13"/>
        </w:rPr>
        <w:t>made</w:t>
      </w:r>
      <w:r>
        <w:rPr>
          <w:spacing w:val="-6"/>
          <w:w w:val="105"/>
          <w:sz w:val="13"/>
        </w:rPr>
        <w:t> </w:t>
      </w:r>
      <w:r>
        <w:rPr>
          <w:w w:val="105"/>
          <w:sz w:val="13"/>
        </w:rPr>
        <w:t>before</w:t>
      </w:r>
      <w:r>
        <w:rPr>
          <w:spacing w:val="-6"/>
          <w:w w:val="105"/>
          <w:sz w:val="13"/>
        </w:rPr>
        <w:t> </w:t>
      </w:r>
      <w:r>
        <w:rPr>
          <w:w w:val="105"/>
          <w:sz w:val="13"/>
        </w:rPr>
        <w:t>the</w:t>
      </w:r>
      <w:r>
        <w:rPr>
          <w:spacing w:val="-6"/>
          <w:w w:val="105"/>
          <w:sz w:val="13"/>
        </w:rPr>
        <w:t> </w:t>
      </w:r>
      <w:r>
        <w:rPr>
          <w:w w:val="105"/>
          <w:sz w:val="13"/>
        </w:rPr>
        <w:t>commencement</w:t>
      </w:r>
      <w:r>
        <w:rPr>
          <w:spacing w:val="-5"/>
          <w:w w:val="105"/>
          <w:sz w:val="13"/>
        </w:rPr>
        <w:t> </w:t>
      </w:r>
      <w:r>
        <w:rPr>
          <w:w w:val="105"/>
          <w:sz w:val="13"/>
        </w:rPr>
        <w:t>date</w:t>
      </w:r>
      <w:r>
        <w:rPr>
          <w:spacing w:val="-6"/>
          <w:w w:val="105"/>
          <w:sz w:val="13"/>
        </w:rPr>
        <w:t> </w:t>
      </w:r>
      <w:r>
        <w:rPr>
          <w:w w:val="105"/>
          <w:sz w:val="13"/>
        </w:rPr>
        <w:t>(reduced</w:t>
      </w:r>
      <w:r>
        <w:rPr>
          <w:spacing w:val="-4"/>
          <w:w w:val="105"/>
          <w:sz w:val="13"/>
        </w:rPr>
        <w:t> </w:t>
      </w:r>
      <w:r>
        <w:rPr>
          <w:w w:val="105"/>
          <w:sz w:val="13"/>
        </w:rPr>
        <w:t>by</w:t>
      </w:r>
      <w:r>
        <w:rPr>
          <w:spacing w:val="-9"/>
          <w:w w:val="105"/>
          <w:sz w:val="13"/>
        </w:rPr>
        <w:t> </w:t>
      </w:r>
      <w:r>
        <w:rPr>
          <w:w w:val="105"/>
          <w:sz w:val="13"/>
        </w:rPr>
        <w:t>lease</w:t>
      </w:r>
      <w:r>
        <w:rPr>
          <w:spacing w:val="-4"/>
          <w:w w:val="105"/>
          <w:sz w:val="13"/>
        </w:rPr>
        <w:t> </w:t>
      </w:r>
      <w:r>
        <w:rPr>
          <w:w w:val="105"/>
          <w:sz w:val="13"/>
        </w:rPr>
        <w:t>incentives</w:t>
      </w:r>
      <w:r>
        <w:rPr>
          <w:spacing w:val="-5"/>
          <w:w w:val="105"/>
          <w:sz w:val="13"/>
        </w:rPr>
        <w:t> </w:t>
      </w:r>
      <w:r>
        <w:rPr>
          <w:w w:val="105"/>
          <w:sz w:val="13"/>
        </w:rPr>
        <w:t>received);</w:t>
      </w:r>
      <w:r>
        <w:rPr>
          <w:spacing w:val="-4"/>
          <w:w w:val="105"/>
          <w:sz w:val="13"/>
        </w:rPr>
        <w:t> </w:t>
      </w:r>
      <w:r>
        <w:rPr>
          <w:w w:val="105"/>
          <w:sz w:val="13"/>
        </w:rPr>
        <w:t>plus</w:t>
      </w:r>
      <w:r>
        <w:rPr>
          <w:spacing w:val="-5"/>
          <w:w w:val="105"/>
          <w:sz w:val="13"/>
        </w:rPr>
        <w:t> </w:t>
      </w:r>
      <w:r>
        <w:rPr>
          <w:w w:val="105"/>
          <w:sz w:val="13"/>
        </w:rPr>
        <w:t>initial</w:t>
      </w:r>
      <w:r>
        <w:rPr>
          <w:spacing w:val="-2"/>
          <w:w w:val="105"/>
          <w:sz w:val="13"/>
        </w:rPr>
        <w:t> </w:t>
      </w:r>
      <w:r>
        <w:rPr>
          <w:w w:val="105"/>
          <w:sz w:val="13"/>
        </w:rPr>
        <w:t>direct</w:t>
      </w:r>
      <w:r>
        <w:rPr>
          <w:spacing w:val="-5"/>
          <w:w w:val="105"/>
          <w:sz w:val="13"/>
        </w:rPr>
        <w:t> </w:t>
      </w:r>
      <w:r>
        <w:rPr>
          <w:w w:val="105"/>
          <w:sz w:val="13"/>
        </w:rPr>
        <w:t>costs</w:t>
      </w:r>
      <w:r>
        <w:rPr>
          <w:spacing w:val="-3"/>
          <w:w w:val="105"/>
          <w:sz w:val="13"/>
        </w:rPr>
        <w:t> </w:t>
      </w:r>
      <w:r>
        <w:rPr>
          <w:w w:val="105"/>
          <w:sz w:val="13"/>
        </w:rPr>
        <w:t>incurred</w:t>
      </w:r>
      <w:r>
        <w:rPr>
          <w:spacing w:val="-6"/>
          <w:w w:val="105"/>
          <w:sz w:val="13"/>
        </w:rPr>
        <w:t> </w:t>
      </w:r>
      <w:r>
        <w:rPr>
          <w:w w:val="105"/>
          <w:sz w:val="13"/>
        </w:rPr>
        <w:t>in</w:t>
      </w:r>
      <w:r>
        <w:rPr>
          <w:spacing w:val="-4"/>
          <w:w w:val="105"/>
          <w:sz w:val="13"/>
        </w:rPr>
        <w:t> </w:t>
      </w:r>
      <w:r>
        <w:rPr>
          <w:w w:val="105"/>
          <w:sz w:val="13"/>
        </w:rPr>
        <w:t>obtaining</w:t>
      </w:r>
      <w:r>
        <w:rPr>
          <w:spacing w:val="-6"/>
          <w:w w:val="105"/>
          <w:sz w:val="13"/>
        </w:rPr>
        <w:t> </w:t>
      </w:r>
      <w:r>
        <w:rPr>
          <w:w w:val="105"/>
          <w:sz w:val="13"/>
        </w:rPr>
        <w:t>the</w:t>
      </w:r>
      <w:r>
        <w:rPr>
          <w:spacing w:val="-4"/>
          <w:w w:val="105"/>
          <w:sz w:val="13"/>
        </w:rPr>
        <w:t> </w:t>
      </w:r>
      <w:r>
        <w:rPr>
          <w:w w:val="105"/>
          <w:sz w:val="13"/>
        </w:rPr>
        <w:t>lease</w:t>
      </w:r>
      <w:r>
        <w:rPr>
          <w:spacing w:val="-5"/>
          <w:w w:val="105"/>
          <w:sz w:val="13"/>
        </w:rPr>
        <w:t> </w:t>
      </w:r>
      <w:r>
        <w:rPr>
          <w:w w:val="105"/>
          <w:sz w:val="13"/>
        </w:rPr>
        <w:t>and</w:t>
      </w:r>
      <w:r>
        <w:rPr>
          <w:spacing w:val="40"/>
          <w:w w:val="105"/>
          <w:sz w:val="13"/>
        </w:rPr>
        <w:t> </w:t>
      </w:r>
      <w:r>
        <w:rPr>
          <w:w w:val="105"/>
          <w:sz w:val="13"/>
        </w:rPr>
        <w:t>an</w:t>
      </w:r>
      <w:r>
        <w:rPr>
          <w:spacing w:val="-6"/>
          <w:w w:val="105"/>
          <w:sz w:val="13"/>
        </w:rPr>
        <w:t> </w:t>
      </w:r>
      <w:r>
        <w:rPr>
          <w:w w:val="105"/>
          <w:sz w:val="13"/>
        </w:rPr>
        <w:t>estimate</w:t>
      </w:r>
      <w:r>
        <w:rPr>
          <w:spacing w:val="-6"/>
          <w:w w:val="105"/>
          <w:sz w:val="13"/>
        </w:rPr>
        <w:t> </w:t>
      </w:r>
      <w:r>
        <w:rPr>
          <w:w w:val="105"/>
          <w:sz w:val="13"/>
        </w:rPr>
        <w:t>of</w:t>
      </w:r>
      <w:r>
        <w:rPr>
          <w:spacing w:val="-5"/>
          <w:w w:val="105"/>
          <w:sz w:val="13"/>
        </w:rPr>
        <w:t> </w:t>
      </w:r>
      <w:r>
        <w:rPr>
          <w:w w:val="105"/>
          <w:sz w:val="13"/>
        </w:rPr>
        <w:t>costs</w:t>
      </w:r>
      <w:r>
        <w:rPr>
          <w:spacing w:val="-5"/>
          <w:w w:val="105"/>
          <w:sz w:val="13"/>
        </w:rPr>
        <w:t> </w:t>
      </w:r>
      <w:r>
        <w:rPr>
          <w:w w:val="105"/>
          <w:sz w:val="13"/>
        </w:rPr>
        <w:t>to</w:t>
      </w:r>
      <w:r>
        <w:rPr>
          <w:spacing w:val="-6"/>
          <w:w w:val="105"/>
          <w:sz w:val="13"/>
        </w:rPr>
        <w:t> </w:t>
      </w:r>
      <w:r>
        <w:rPr>
          <w:w w:val="105"/>
          <w:sz w:val="13"/>
        </w:rPr>
        <w:t>be</w:t>
      </w:r>
      <w:r>
        <w:rPr>
          <w:spacing w:val="-6"/>
          <w:w w:val="105"/>
          <w:sz w:val="13"/>
        </w:rPr>
        <w:t> </w:t>
      </w:r>
      <w:r>
        <w:rPr>
          <w:w w:val="105"/>
          <w:sz w:val="13"/>
        </w:rPr>
        <w:t>incurred</w:t>
      </w:r>
      <w:r>
        <w:rPr>
          <w:spacing w:val="-6"/>
          <w:w w:val="105"/>
          <w:sz w:val="13"/>
        </w:rPr>
        <w:t> </w:t>
      </w:r>
      <w:r>
        <w:rPr>
          <w:w w:val="105"/>
          <w:sz w:val="13"/>
        </w:rPr>
        <w:t>in</w:t>
      </w:r>
      <w:r>
        <w:rPr>
          <w:spacing w:val="-5"/>
          <w:w w:val="105"/>
          <w:sz w:val="13"/>
        </w:rPr>
        <w:t> </w:t>
      </w:r>
      <w:r>
        <w:rPr>
          <w:w w:val="105"/>
          <w:sz w:val="13"/>
        </w:rPr>
        <w:t>dismantling</w:t>
      </w:r>
      <w:r>
        <w:rPr>
          <w:spacing w:val="-6"/>
          <w:w w:val="105"/>
          <w:sz w:val="13"/>
        </w:rPr>
        <w:t> </w:t>
      </w:r>
      <w:r>
        <w:rPr>
          <w:w w:val="105"/>
          <w:sz w:val="13"/>
        </w:rPr>
        <w:t>and</w:t>
      </w:r>
      <w:r>
        <w:rPr>
          <w:spacing w:val="-6"/>
          <w:w w:val="105"/>
          <w:sz w:val="13"/>
        </w:rPr>
        <w:t> </w:t>
      </w:r>
      <w:r>
        <w:rPr>
          <w:w w:val="105"/>
          <w:sz w:val="13"/>
        </w:rPr>
        <w:t>removing</w:t>
      </w:r>
      <w:r>
        <w:rPr>
          <w:spacing w:val="-6"/>
          <w:w w:val="105"/>
          <w:sz w:val="13"/>
        </w:rPr>
        <w:t> </w:t>
      </w:r>
      <w:r>
        <w:rPr>
          <w:w w:val="105"/>
          <w:sz w:val="13"/>
        </w:rPr>
        <w:t>the</w:t>
      </w:r>
      <w:r>
        <w:rPr>
          <w:spacing w:val="-5"/>
          <w:w w:val="105"/>
          <w:sz w:val="13"/>
        </w:rPr>
        <w:t> </w:t>
      </w:r>
      <w:r>
        <w:rPr>
          <w:w w:val="105"/>
          <w:sz w:val="13"/>
        </w:rPr>
        <w:t>underlying</w:t>
      </w:r>
      <w:r>
        <w:rPr>
          <w:spacing w:val="-6"/>
          <w:w w:val="105"/>
          <w:sz w:val="13"/>
        </w:rPr>
        <w:t> </w:t>
      </w:r>
      <w:r>
        <w:rPr>
          <w:w w:val="105"/>
          <w:sz w:val="13"/>
        </w:rPr>
        <w:t>asset,</w:t>
      </w:r>
      <w:r>
        <w:rPr>
          <w:spacing w:val="-5"/>
          <w:w w:val="105"/>
          <w:sz w:val="13"/>
        </w:rPr>
        <w:t> </w:t>
      </w:r>
      <w:r>
        <w:rPr>
          <w:w w:val="105"/>
          <w:sz w:val="13"/>
        </w:rPr>
        <w:t>restoring</w:t>
      </w:r>
      <w:r>
        <w:rPr>
          <w:spacing w:val="-6"/>
          <w:w w:val="105"/>
          <w:sz w:val="13"/>
        </w:rPr>
        <w:t> </w:t>
      </w:r>
      <w:r>
        <w:rPr>
          <w:w w:val="105"/>
          <w:sz w:val="13"/>
        </w:rPr>
        <w:t>the</w:t>
      </w:r>
      <w:r>
        <w:rPr>
          <w:spacing w:val="-5"/>
          <w:w w:val="105"/>
          <w:sz w:val="13"/>
        </w:rPr>
        <w:t> </w:t>
      </w:r>
      <w:r>
        <w:rPr>
          <w:w w:val="105"/>
          <w:sz w:val="13"/>
        </w:rPr>
        <w:t>site</w:t>
      </w:r>
      <w:r>
        <w:rPr>
          <w:spacing w:val="-6"/>
          <w:w w:val="105"/>
          <w:sz w:val="13"/>
        </w:rPr>
        <w:t> </w:t>
      </w:r>
      <w:r>
        <w:rPr>
          <w:w w:val="105"/>
          <w:sz w:val="13"/>
        </w:rPr>
        <w:t>on</w:t>
      </w:r>
      <w:r>
        <w:rPr>
          <w:spacing w:val="-5"/>
          <w:w w:val="105"/>
          <w:sz w:val="13"/>
        </w:rPr>
        <w:t> </w:t>
      </w:r>
      <w:r>
        <w:rPr>
          <w:w w:val="105"/>
          <w:sz w:val="13"/>
        </w:rPr>
        <w:t>which</w:t>
      </w:r>
      <w:r>
        <w:rPr>
          <w:spacing w:val="-5"/>
          <w:w w:val="105"/>
          <w:sz w:val="13"/>
        </w:rPr>
        <w:t> </w:t>
      </w:r>
      <w:r>
        <w:rPr>
          <w:w w:val="105"/>
          <w:sz w:val="13"/>
        </w:rPr>
        <w:t>it</w:t>
      </w:r>
      <w:r>
        <w:rPr>
          <w:spacing w:val="-3"/>
          <w:w w:val="105"/>
          <w:sz w:val="13"/>
        </w:rPr>
        <w:t> </w:t>
      </w:r>
      <w:r>
        <w:rPr>
          <w:w w:val="105"/>
          <w:sz w:val="13"/>
        </w:rPr>
        <w:t>is</w:t>
      </w:r>
      <w:r>
        <w:rPr>
          <w:spacing w:val="-5"/>
          <w:w w:val="105"/>
          <w:sz w:val="13"/>
        </w:rPr>
        <w:t> </w:t>
      </w:r>
      <w:r>
        <w:rPr>
          <w:w w:val="105"/>
          <w:sz w:val="13"/>
        </w:rPr>
        <w:t>located,</w:t>
      </w:r>
      <w:r>
        <w:rPr>
          <w:spacing w:val="-5"/>
          <w:w w:val="105"/>
          <w:sz w:val="13"/>
        </w:rPr>
        <w:t> </w:t>
      </w:r>
      <w:r>
        <w:rPr>
          <w:w w:val="105"/>
          <w:sz w:val="13"/>
        </w:rPr>
        <w:t>or</w:t>
      </w:r>
      <w:r>
        <w:rPr>
          <w:spacing w:val="-5"/>
          <w:w w:val="105"/>
          <w:sz w:val="13"/>
        </w:rPr>
        <w:t> </w:t>
      </w:r>
      <w:r>
        <w:rPr>
          <w:w w:val="105"/>
          <w:sz w:val="13"/>
        </w:rPr>
        <w:t>restoring</w:t>
      </w:r>
      <w:r>
        <w:rPr>
          <w:spacing w:val="40"/>
          <w:w w:val="105"/>
          <w:sz w:val="13"/>
        </w:rPr>
        <w:t> </w:t>
      </w:r>
      <w:r>
        <w:rPr>
          <w:w w:val="105"/>
          <w:sz w:val="13"/>
        </w:rPr>
        <w:t>the</w:t>
      </w:r>
      <w:r>
        <w:rPr>
          <w:spacing w:val="-6"/>
          <w:w w:val="105"/>
          <w:sz w:val="13"/>
        </w:rPr>
        <w:t> </w:t>
      </w:r>
      <w:r>
        <w:rPr>
          <w:w w:val="105"/>
          <w:sz w:val="13"/>
        </w:rPr>
        <w:t>underlying</w:t>
      </w:r>
      <w:r>
        <w:rPr>
          <w:spacing w:val="-6"/>
          <w:w w:val="105"/>
          <w:sz w:val="13"/>
        </w:rPr>
        <w:t> </w:t>
      </w:r>
      <w:r>
        <w:rPr>
          <w:w w:val="105"/>
          <w:sz w:val="13"/>
        </w:rPr>
        <w:t>asset</w:t>
      </w:r>
      <w:r>
        <w:rPr>
          <w:spacing w:val="-5"/>
          <w:w w:val="105"/>
          <w:sz w:val="13"/>
        </w:rPr>
        <w:t> </w:t>
      </w:r>
      <w:r>
        <w:rPr>
          <w:w w:val="105"/>
          <w:sz w:val="13"/>
        </w:rPr>
        <w:t>to</w:t>
      </w:r>
      <w:r>
        <w:rPr>
          <w:spacing w:val="-6"/>
          <w:w w:val="105"/>
          <w:sz w:val="13"/>
        </w:rPr>
        <w:t> </w:t>
      </w:r>
      <w:r>
        <w:rPr>
          <w:w w:val="105"/>
          <w:sz w:val="13"/>
        </w:rPr>
        <w:t>the</w:t>
      </w:r>
      <w:r>
        <w:rPr>
          <w:spacing w:val="-6"/>
          <w:w w:val="105"/>
          <w:sz w:val="13"/>
        </w:rPr>
        <w:t> </w:t>
      </w:r>
      <w:r>
        <w:rPr>
          <w:w w:val="105"/>
          <w:sz w:val="13"/>
        </w:rPr>
        <w:t>condition</w:t>
      </w:r>
      <w:r>
        <w:rPr>
          <w:spacing w:val="-6"/>
          <w:w w:val="105"/>
          <w:sz w:val="13"/>
        </w:rPr>
        <w:t> </w:t>
      </w:r>
      <w:r>
        <w:rPr>
          <w:w w:val="105"/>
          <w:sz w:val="13"/>
        </w:rPr>
        <w:t>required</w:t>
      </w:r>
      <w:r>
        <w:rPr>
          <w:spacing w:val="-6"/>
          <w:w w:val="105"/>
          <w:sz w:val="13"/>
        </w:rPr>
        <w:t> </w:t>
      </w:r>
      <w:r>
        <w:rPr>
          <w:w w:val="105"/>
          <w:sz w:val="13"/>
        </w:rPr>
        <w:t>by</w:t>
      </w:r>
      <w:r>
        <w:rPr>
          <w:spacing w:val="-9"/>
          <w:w w:val="105"/>
          <w:sz w:val="13"/>
        </w:rPr>
        <w:t> </w:t>
      </w:r>
      <w:r>
        <w:rPr>
          <w:w w:val="105"/>
          <w:sz w:val="13"/>
        </w:rPr>
        <w:t>the</w:t>
      </w:r>
      <w:r>
        <w:rPr>
          <w:spacing w:val="-6"/>
          <w:w w:val="105"/>
          <w:sz w:val="13"/>
        </w:rPr>
        <w:t> </w:t>
      </w:r>
      <w:r>
        <w:rPr>
          <w:w w:val="105"/>
          <w:sz w:val="13"/>
        </w:rPr>
        <w:t>terms</w:t>
      </w:r>
      <w:r>
        <w:rPr>
          <w:spacing w:val="-5"/>
          <w:w w:val="105"/>
          <w:sz w:val="13"/>
        </w:rPr>
        <w:t> </w:t>
      </w:r>
      <w:r>
        <w:rPr>
          <w:w w:val="105"/>
          <w:sz w:val="13"/>
        </w:rPr>
        <w:t>and</w:t>
      </w:r>
      <w:r>
        <w:rPr>
          <w:spacing w:val="-6"/>
          <w:w w:val="105"/>
          <w:sz w:val="13"/>
        </w:rPr>
        <w:t> </w:t>
      </w:r>
      <w:r>
        <w:rPr>
          <w:w w:val="105"/>
          <w:sz w:val="13"/>
        </w:rPr>
        <w:t>conditions</w:t>
      </w:r>
      <w:r>
        <w:rPr>
          <w:spacing w:val="-5"/>
          <w:w w:val="105"/>
          <w:sz w:val="13"/>
        </w:rPr>
        <w:t> </w:t>
      </w:r>
      <w:r>
        <w:rPr>
          <w:w w:val="105"/>
          <w:sz w:val="13"/>
        </w:rPr>
        <w:t>of</w:t>
      </w:r>
      <w:r>
        <w:rPr>
          <w:spacing w:val="-3"/>
          <w:w w:val="105"/>
          <w:sz w:val="13"/>
        </w:rPr>
        <w:t> </w:t>
      </w:r>
      <w:r>
        <w:rPr>
          <w:w w:val="105"/>
          <w:sz w:val="13"/>
        </w:rPr>
        <w:t>the</w:t>
      </w:r>
      <w:r>
        <w:rPr>
          <w:spacing w:val="-6"/>
          <w:w w:val="105"/>
          <w:sz w:val="13"/>
        </w:rPr>
        <w:t> </w:t>
      </w:r>
      <w:r>
        <w:rPr>
          <w:w w:val="105"/>
          <w:sz w:val="13"/>
        </w:rPr>
        <w:t>lease.</w:t>
      </w:r>
    </w:p>
    <w:p>
      <w:pPr>
        <w:spacing w:line="240" w:lineRule="auto" w:before="18"/>
        <w:rPr>
          <w:sz w:val="13"/>
        </w:rPr>
      </w:pPr>
    </w:p>
    <w:p>
      <w:pPr>
        <w:spacing w:line="268" w:lineRule="auto" w:before="0"/>
        <w:ind w:left="876" w:right="321" w:firstLine="0"/>
        <w:jc w:val="both"/>
        <w:rPr>
          <w:sz w:val="13"/>
        </w:rPr>
      </w:pPr>
      <w:r>
        <w:rPr>
          <w:w w:val="105"/>
          <w:sz w:val="13"/>
        </w:rPr>
        <w:t>A right-of-use asset associated with land and buildings is</w:t>
      </w:r>
      <w:r>
        <w:rPr>
          <w:w w:val="105"/>
          <w:sz w:val="13"/>
        </w:rPr>
        <w:t> subsequently measured at cost. All other property, plant and equipment are</w:t>
      </w:r>
      <w:r>
        <w:rPr>
          <w:spacing w:val="40"/>
          <w:w w:val="105"/>
          <w:sz w:val="13"/>
        </w:rPr>
        <w:t> </w:t>
      </w:r>
      <w:r>
        <w:rPr>
          <w:w w:val="105"/>
          <w:sz w:val="13"/>
        </w:rPr>
        <w:t>measured</w:t>
      </w:r>
      <w:r>
        <w:rPr>
          <w:spacing w:val="-6"/>
          <w:w w:val="105"/>
          <w:sz w:val="13"/>
        </w:rPr>
        <w:t> </w:t>
      </w:r>
      <w:r>
        <w:rPr>
          <w:w w:val="105"/>
          <w:sz w:val="13"/>
        </w:rPr>
        <w:t>as</w:t>
      </w:r>
      <w:r>
        <w:rPr>
          <w:spacing w:val="-5"/>
          <w:w w:val="105"/>
          <w:sz w:val="13"/>
        </w:rPr>
        <w:t> </w:t>
      </w:r>
      <w:r>
        <w:rPr>
          <w:w w:val="105"/>
          <w:sz w:val="13"/>
        </w:rPr>
        <w:t>described</w:t>
      </w:r>
      <w:r>
        <w:rPr>
          <w:spacing w:val="-6"/>
          <w:w w:val="105"/>
          <w:sz w:val="13"/>
        </w:rPr>
        <w:t> </w:t>
      </w:r>
      <w:r>
        <w:rPr>
          <w:w w:val="105"/>
          <w:sz w:val="13"/>
        </w:rPr>
        <w:t>in</w:t>
      </w:r>
      <w:r>
        <w:rPr>
          <w:spacing w:val="-6"/>
          <w:w w:val="105"/>
          <w:sz w:val="13"/>
        </w:rPr>
        <w:t> </w:t>
      </w:r>
      <w:r>
        <w:rPr>
          <w:w w:val="105"/>
          <w:sz w:val="13"/>
        </w:rPr>
        <w:t>the</w:t>
      </w:r>
      <w:r>
        <w:rPr>
          <w:spacing w:val="-6"/>
          <w:w w:val="105"/>
          <w:sz w:val="13"/>
        </w:rPr>
        <w:t> </w:t>
      </w:r>
      <w:r>
        <w:rPr>
          <w:w w:val="105"/>
          <w:sz w:val="13"/>
        </w:rPr>
        <w:t>accounting</w:t>
      </w:r>
      <w:r>
        <w:rPr>
          <w:spacing w:val="-6"/>
          <w:w w:val="105"/>
          <w:sz w:val="13"/>
        </w:rPr>
        <w:t> </w:t>
      </w:r>
      <w:r>
        <w:rPr>
          <w:w w:val="105"/>
          <w:sz w:val="13"/>
        </w:rPr>
        <w:t>policy</w:t>
      </w:r>
      <w:r>
        <w:rPr>
          <w:spacing w:val="-8"/>
          <w:w w:val="105"/>
          <w:sz w:val="13"/>
        </w:rPr>
        <w:t> </w:t>
      </w:r>
      <w:r>
        <w:rPr>
          <w:w w:val="105"/>
          <w:sz w:val="13"/>
        </w:rPr>
        <w:t>for</w:t>
      </w:r>
      <w:r>
        <w:rPr>
          <w:spacing w:val="-4"/>
          <w:w w:val="105"/>
          <w:sz w:val="13"/>
        </w:rPr>
        <w:t> </w:t>
      </w:r>
      <w:r>
        <w:rPr>
          <w:w w:val="105"/>
          <w:sz w:val="13"/>
        </w:rPr>
        <w:t>property,</w:t>
      </w:r>
      <w:r>
        <w:rPr>
          <w:spacing w:val="-5"/>
          <w:w w:val="105"/>
          <w:sz w:val="13"/>
        </w:rPr>
        <w:t> </w:t>
      </w:r>
      <w:r>
        <w:rPr>
          <w:w w:val="105"/>
          <w:sz w:val="13"/>
        </w:rPr>
        <w:t>plant</w:t>
      </w:r>
      <w:r>
        <w:rPr>
          <w:spacing w:val="-5"/>
          <w:w w:val="105"/>
          <w:sz w:val="13"/>
        </w:rPr>
        <w:t> </w:t>
      </w:r>
      <w:r>
        <w:rPr>
          <w:w w:val="105"/>
          <w:sz w:val="13"/>
        </w:rPr>
        <w:t>and</w:t>
      </w:r>
      <w:r>
        <w:rPr>
          <w:spacing w:val="-6"/>
          <w:w w:val="105"/>
          <w:sz w:val="13"/>
        </w:rPr>
        <w:t> </w:t>
      </w:r>
      <w:r>
        <w:rPr>
          <w:w w:val="105"/>
          <w:sz w:val="13"/>
        </w:rPr>
        <w:t>equipment.</w:t>
      </w:r>
    </w:p>
    <w:p>
      <w:pPr>
        <w:spacing w:before="67"/>
        <w:ind w:left="876" w:right="0" w:firstLine="0"/>
        <w:jc w:val="both"/>
        <w:rPr>
          <w:b/>
          <w:i/>
          <w:sz w:val="13"/>
        </w:rPr>
      </w:pPr>
      <w:r>
        <w:rPr>
          <w:b/>
          <w:i/>
          <w:sz w:val="13"/>
        </w:rPr>
        <w:t>Concessionary</w:t>
      </w:r>
      <w:r>
        <w:rPr>
          <w:b/>
          <w:i/>
          <w:spacing w:val="14"/>
          <w:sz w:val="13"/>
        </w:rPr>
        <w:t> </w:t>
      </w:r>
      <w:r>
        <w:rPr>
          <w:b/>
          <w:i/>
          <w:sz w:val="13"/>
        </w:rPr>
        <w:t>(peppercorn)</w:t>
      </w:r>
      <w:r>
        <w:rPr>
          <w:b/>
          <w:i/>
          <w:spacing w:val="18"/>
          <w:sz w:val="13"/>
        </w:rPr>
        <w:t> </w:t>
      </w:r>
      <w:r>
        <w:rPr>
          <w:b/>
          <w:i/>
          <w:spacing w:val="-2"/>
          <w:sz w:val="13"/>
        </w:rPr>
        <w:t>leases</w:t>
      </w:r>
    </w:p>
    <w:p>
      <w:pPr>
        <w:spacing w:line="268" w:lineRule="auto" w:before="18"/>
        <w:ind w:left="876" w:right="321" w:firstLine="0"/>
        <w:jc w:val="both"/>
        <w:rPr>
          <w:sz w:val="13"/>
        </w:rPr>
      </w:pPr>
      <w:r>
        <w:rPr>
          <w:w w:val="105"/>
          <w:sz w:val="13"/>
        </w:rPr>
        <w:t>Leased</w:t>
      </w:r>
      <w:r>
        <w:rPr>
          <w:spacing w:val="-10"/>
          <w:w w:val="105"/>
          <w:sz w:val="13"/>
        </w:rPr>
        <w:t> </w:t>
      </w:r>
      <w:r>
        <w:rPr>
          <w:w w:val="105"/>
          <w:sz w:val="13"/>
        </w:rPr>
        <w:t>assets</w:t>
      </w:r>
      <w:r>
        <w:rPr>
          <w:spacing w:val="-6"/>
          <w:w w:val="105"/>
          <w:sz w:val="13"/>
        </w:rPr>
        <w:t> </w:t>
      </w:r>
      <w:r>
        <w:rPr>
          <w:w w:val="105"/>
          <w:sz w:val="13"/>
        </w:rPr>
        <w:t>arising</w:t>
      </w:r>
      <w:r>
        <w:rPr>
          <w:spacing w:val="-9"/>
          <w:w w:val="105"/>
          <w:sz w:val="13"/>
        </w:rPr>
        <w:t> </w:t>
      </w:r>
      <w:r>
        <w:rPr>
          <w:w w:val="105"/>
          <w:sz w:val="13"/>
        </w:rPr>
        <w:t>from</w:t>
      </w:r>
      <w:r>
        <w:rPr>
          <w:spacing w:val="-7"/>
          <w:w w:val="105"/>
          <w:sz w:val="13"/>
        </w:rPr>
        <w:t> </w:t>
      </w:r>
      <w:r>
        <w:rPr>
          <w:w w:val="105"/>
          <w:sz w:val="13"/>
        </w:rPr>
        <w:t>significantly</w:t>
      </w:r>
      <w:r>
        <w:rPr>
          <w:spacing w:val="-10"/>
          <w:w w:val="105"/>
          <w:sz w:val="13"/>
        </w:rPr>
        <w:t> </w:t>
      </w:r>
      <w:r>
        <w:rPr>
          <w:w w:val="105"/>
          <w:sz w:val="13"/>
        </w:rPr>
        <w:t>below</w:t>
      </w:r>
      <w:r>
        <w:rPr>
          <w:spacing w:val="-9"/>
          <w:w w:val="105"/>
          <w:sz w:val="13"/>
        </w:rPr>
        <w:t> </w:t>
      </w:r>
      <w:r>
        <w:rPr>
          <w:w w:val="105"/>
          <w:sz w:val="13"/>
        </w:rPr>
        <w:t>market</w:t>
      </w:r>
      <w:r>
        <w:rPr>
          <w:spacing w:val="-9"/>
          <w:w w:val="105"/>
          <w:sz w:val="13"/>
        </w:rPr>
        <w:t> </w:t>
      </w:r>
      <w:r>
        <w:rPr>
          <w:w w:val="105"/>
          <w:sz w:val="13"/>
        </w:rPr>
        <w:t>leases</w:t>
      </w:r>
      <w:r>
        <w:rPr>
          <w:spacing w:val="-7"/>
          <w:w w:val="105"/>
          <w:sz w:val="13"/>
        </w:rPr>
        <w:t> </w:t>
      </w:r>
      <w:r>
        <w:rPr>
          <w:w w:val="105"/>
          <w:sz w:val="13"/>
        </w:rPr>
        <w:t>are</w:t>
      </w:r>
      <w:r>
        <w:rPr>
          <w:spacing w:val="-10"/>
          <w:w w:val="105"/>
          <w:sz w:val="13"/>
        </w:rPr>
        <w:t> </w:t>
      </w:r>
      <w:r>
        <w:rPr>
          <w:w w:val="105"/>
          <w:sz w:val="13"/>
        </w:rPr>
        <w:t>measured</w:t>
      </w:r>
      <w:r>
        <w:rPr>
          <w:spacing w:val="-7"/>
          <w:w w:val="105"/>
          <w:sz w:val="13"/>
        </w:rPr>
        <w:t> </w:t>
      </w:r>
      <w:r>
        <w:rPr>
          <w:w w:val="105"/>
          <w:sz w:val="13"/>
        </w:rPr>
        <w:t>at</w:t>
      </w:r>
      <w:r>
        <w:rPr>
          <w:spacing w:val="-9"/>
          <w:w w:val="105"/>
          <w:sz w:val="13"/>
        </w:rPr>
        <w:t> </w:t>
      </w:r>
      <w:r>
        <w:rPr>
          <w:w w:val="105"/>
          <w:sz w:val="13"/>
        </w:rPr>
        <w:t>cost</w:t>
      </w:r>
      <w:r>
        <w:rPr>
          <w:spacing w:val="-7"/>
          <w:w w:val="105"/>
          <w:sz w:val="13"/>
        </w:rPr>
        <w:t> </w:t>
      </w:r>
      <w:r>
        <w:rPr>
          <w:w w:val="105"/>
          <w:sz w:val="13"/>
        </w:rPr>
        <w:t>at</w:t>
      </w:r>
      <w:r>
        <w:rPr>
          <w:spacing w:val="-9"/>
          <w:w w:val="105"/>
          <w:sz w:val="13"/>
        </w:rPr>
        <w:t> </w:t>
      </w:r>
      <w:r>
        <w:rPr>
          <w:w w:val="105"/>
          <w:sz w:val="13"/>
        </w:rPr>
        <w:t>the</w:t>
      </w:r>
      <w:r>
        <w:rPr>
          <w:spacing w:val="-8"/>
          <w:w w:val="105"/>
          <w:sz w:val="13"/>
        </w:rPr>
        <w:t> </w:t>
      </w:r>
      <w:r>
        <w:rPr>
          <w:w w:val="105"/>
          <w:sz w:val="13"/>
        </w:rPr>
        <w:t>inception</w:t>
      </w:r>
      <w:r>
        <w:rPr>
          <w:spacing w:val="-9"/>
          <w:w w:val="105"/>
          <w:sz w:val="13"/>
        </w:rPr>
        <w:t> </w:t>
      </w:r>
      <w:r>
        <w:rPr>
          <w:w w:val="105"/>
          <w:sz w:val="13"/>
        </w:rPr>
        <w:t>of</w:t>
      </w:r>
      <w:r>
        <w:rPr>
          <w:spacing w:val="-6"/>
          <w:w w:val="105"/>
          <w:sz w:val="13"/>
        </w:rPr>
        <w:t> </w:t>
      </w:r>
      <w:r>
        <w:rPr>
          <w:w w:val="105"/>
          <w:sz w:val="13"/>
        </w:rPr>
        <w:t>the</w:t>
      </w:r>
      <w:r>
        <w:rPr>
          <w:spacing w:val="-10"/>
          <w:w w:val="105"/>
          <w:sz w:val="13"/>
        </w:rPr>
        <w:t> </w:t>
      </w:r>
      <w:r>
        <w:rPr>
          <w:w w:val="105"/>
          <w:sz w:val="13"/>
        </w:rPr>
        <w:t>lease</w:t>
      </w:r>
      <w:r>
        <w:rPr>
          <w:spacing w:val="-6"/>
          <w:w w:val="105"/>
          <w:sz w:val="13"/>
        </w:rPr>
        <w:t> </w:t>
      </w:r>
      <w:r>
        <w:rPr>
          <w:w w:val="105"/>
          <w:sz w:val="13"/>
        </w:rPr>
        <w:t>whereas</w:t>
      </w:r>
      <w:r>
        <w:rPr>
          <w:spacing w:val="-8"/>
          <w:w w:val="105"/>
          <w:sz w:val="13"/>
        </w:rPr>
        <w:t> </w:t>
      </w:r>
      <w:r>
        <w:rPr>
          <w:w w:val="105"/>
          <w:sz w:val="13"/>
        </w:rPr>
        <w:t>the</w:t>
      </w:r>
      <w:r>
        <w:rPr>
          <w:spacing w:val="-8"/>
          <w:w w:val="105"/>
          <w:sz w:val="13"/>
        </w:rPr>
        <w:t> </w:t>
      </w:r>
      <w:r>
        <w:rPr>
          <w:w w:val="105"/>
          <w:sz w:val="13"/>
        </w:rPr>
        <w:t>lease</w:t>
      </w:r>
      <w:r>
        <w:rPr>
          <w:spacing w:val="-10"/>
          <w:w w:val="105"/>
          <w:sz w:val="13"/>
        </w:rPr>
        <w:t> </w:t>
      </w:r>
      <w:r>
        <w:rPr>
          <w:w w:val="105"/>
          <w:sz w:val="13"/>
        </w:rPr>
        <w:t>liability</w:t>
      </w:r>
      <w:r>
        <w:rPr>
          <w:spacing w:val="40"/>
          <w:w w:val="105"/>
          <w:sz w:val="13"/>
        </w:rPr>
        <w:t> </w:t>
      </w:r>
      <w:r>
        <w:rPr>
          <w:w w:val="105"/>
          <w:sz w:val="13"/>
        </w:rPr>
        <w:t>is</w:t>
      </w:r>
      <w:r>
        <w:rPr>
          <w:spacing w:val="-5"/>
          <w:w w:val="105"/>
          <w:sz w:val="13"/>
        </w:rPr>
        <w:t> </w:t>
      </w:r>
      <w:r>
        <w:rPr>
          <w:w w:val="105"/>
          <w:sz w:val="13"/>
        </w:rPr>
        <w:t>recognised</w:t>
      </w:r>
      <w:r>
        <w:rPr>
          <w:spacing w:val="-7"/>
          <w:w w:val="105"/>
          <w:sz w:val="13"/>
        </w:rPr>
        <w:t> </w:t>
      </w:r>
      <w:r>
        <w:rPr>
          <w:w w:val="105"/>
          <w:sz w:val="13"/>
        </w:rPr>
        <w:t>at</w:t>
      </w:r>
      <w:r>
        <w:rPr>
          <w:spacing w:val="-7"/>
          <w:w w:val="105"/>
          <w:sz w:val="13"/>
        </w:rPr>
        <w:t> </w:t>
      </w:r>
      <w:r>
        <w:rPr>
          <w:w w:val="105"/>
          <w:sz w:val="13"/>
        </w:rPr>
        <w:t>present</w:t>
      </w:r>
      <w:r>
        <w:rPr>
          <w:spacing w:val="-6"/>
          <w:w w:val="105"/>
          <w:sz w:val="13"/>
        </w:rPr>
        <w:t> </w:t>
      </w:r>
      <w:r>
        <w:rPr>
          <w:w w:val="105"/>
          <w:sz w:val="13"/>
        </w:rPr>
        <w:t>value</w:t>
      </w:r>
      <w:r>
        <w:rPr>
          <w:spacing w:val="-7"/>
          <w:w w:val="105"/>
          <w:sz w:val="13"/>
        </w:rPr>
        <w:t> </w:t>
      </w:r>
      <w:r>
        <w:rPr>
          <w:w w:val="105"/>
          <w:sz w:val="13"/>
        </w:rPr>
        <w:t>of</w:t>
      </w:r>
      <w:r>
        <w:rPr>
          <w:spacing w:val="-5"/>
          <w:w w:val="105"/>
          <w:sz w:val="13"/>
        </w:rPr>
        <w:t> </w:t>
      </w:r>
      <w:r>
        <w:rPr>
          <w:w w:val="105"/>
          <w:sz w:val="13"/>
        </w:rPr>
        <w:t>peppercorn</w:t>
      </w:r>
      <w:r>
        <w:rPr>
          <w:spacing w:val="-7"/>
          <w:w w:val="105"/>
          <w:sz w:val="13"/>
        </w:rPr>
        <w:t> </w:t>
      </w:r>
      <w:r>
        <w:rPr>
          <w:w w:val="105"/>
          <w:sz w:val="13"/>
        </w:rPr>
        <w:t>lease</w:t>
      </w:r>
      <w:r>
        <w:rPr>
          <w:spacing w:val="-6"/>
          <w:w w:val="105"/>
          <w:sz w:val="13"/>
        </w:rPr>
        <w:t> </w:t>
      </w:r>
      <w:r>
        <w:rPr>
          <w:w w:val="105"/>
          <w:sz w:val="13"/>
        </w:rPr>
        <w:t>payment</w:t>
      </w:r>
      <w:r>
        <w:rPr>
          <w:spacing w:val="-7"/>
          <w:w w:val="105"/>
          <w:sz w:val="13"/>
        </w:rPr>
        <w:t> </w:t>
      </w:r>
      <w:r>
        <w:rPr>
          <w:w w:val="105"/>
          <w:sz w:val="13"/>
        </w:rPr>
        <w:t>amounts.</w:t>
      </w:r>
      <w:r>
        <w:rPr>
          <w:spacing w:val="-6"/>
          <w:w w:val="105"/>
          <w:sz w:val="13"/>
        </w:rPr>
        <w:t> </w:t>
      </w:r>
      <w:r>
        <w:rPr>
          <w:w w:val="105"/>
          <w:sz w:val="13"/>
        </w:rPr>
        <w:t>The</w:t>
      </w:r>
      <w:r>
        <w:rPr>
          <w:spacing w:val="-7"/>
          <w:w w:val="105"/>
          <w:sz w:val="13"/>
        </w:rPr>
        <w:t> </w:t>
      </w:r>
      <w:r>
        <w:rPr>
          <w:w w:val="105"/>
          <w:sz w:val="13"/>
        </w:rPr>
        <w:t>difference</w:t>
      </w:r>
      <w:r>
        <w:rPr>
          <w:spacing w:val="-6"/>
          <w:w w:val="105"/>
          <w:sz w:val="13"/>
        </w:rPr>
        <w:t> </w:t>
      </w:r>
      <w:r>
        <w:rPr>
          <w:w w:val="105"/>
          <w:sz w:val="13"/>
        </w:rPr>
        <w:t>between</w:t>
      </w:r>
      <w:r>
        <w:rPr>
          <w:spacing w:val="-7"/>
          <w:w w:val="105"/>
          <w:sz w:val="13"/>
        </w:rPr>
        <w:t> </w:t>
      </w:r>
      <w:r>
        <w:rPr>
          <w:w w:val="105"/>
          <w:sz w:val="13"/>
        </w:rPr>
        <w:t>the</w:t>
      </w:r>
      <w:r>
        <w:rPr>
          <w:spacing w:val="-5"/>
          <w:w w:val="105"/>
          <w:sz w:val="13"/>
        </w:rPr>
        <w:t> </w:t>
      </w:r>
      <w:r>
        <w:rPr>
          <w:w w:val="105"/>
          <w:sz w:val="13"/>
        </w:rPr>
        <w:t>right-of-use</w:t>
      </w:r>
      <w:r>
        <w:rPr>
          <w:spacing w:val="-6"/>
          <w:w w:val="105"/>
          <w:sz w:val="13"/>
        </w:rPr>
        <w:t> </w:t>
      </w:r>
      <w:r>
        <w:rPr>
          <w:w w:val="105"/>
          <w:sz w:val="13"/>
        </w:rPr>
        <w:t>asset</w:t>
      </w:r>
      <w:r>
        <w:rPr>
          <w:spacing w:val="-4"/>
          <w:w w:val="105"/>
          <w:sz w:val="13"/>
        </w:rPr>
        <w:t> </w:t>
      </w:r>
      <w:r>
        <w:rPr>
          <w:w w:val="105"/>
          <w:sz w:val="13"/>
        </w:rPr>
        <w:t>and</w:t>
      </w:r>
      <w:r>
        <w:rPr>
          <w:spacing w:val="-7"/>
          <w:w w:val="105"/>
          <w:sz w:val="13"/>
        </w:rPr>
        <w:t> </w:t>
      </w:r>
      <w:r>
        <w:rPr>
          <w:w w:val="105"/>
          <w:sz w:val="13"/>
        </w:rPr>
        <w:t>lease</w:t>
      </w:r>
      <w:r>
        <w:rPr>
          <w:spacing w:val="-4"/>
          <w:w w:val="105"/>
          <w:sz w:val="13"/>
        </w:rPr>
        <w:t> </w:t>
      </w:r>
      <w:r>
        <w:rPr>
          <w:w w:val="105"/>
          <w:sz w:val="13"/>
        </w:rPr>
        <w:t>liability</w:t>
      </w:r>
      <w:r>
        <w:rPr>
          <w:spacing w:val="-8"/>
          <w:w w:val="105"/>
          <w:sz w:val="13"/>
        </w:rPr>
        <w:t> </w:t>
      </w:r>
      <w:r>
        <w:rPr>
          <w:w w:val="105"/>
          <w:sz w:val="13"/>
        </w:rPr>
        <w:t>is</w:t>
      </w:r>
      <w:r>
        <w:rPr>
          <w:spacing w:val="40"/>
          <w:w w:val="105"/>
          <w:sz w:val="13"/>
        </w:rPr>
        <w:t> </w:t>
      </w:r>
      <w:r>
        <w:rPr>
          <w:w w:val="105"/>
          <w:sz w:val="13"/>
        </w:rPr>
        <w:t>recorded</w:t>
      </w:r>
      <w:r>
        <w:rPr>
          <w:spacing w:val="-3"/>
          <w:w w:val="105"/>
          <w:sz w:val="13"/>
        </w:rPr>
        <w:t> </w:t>
      </w:r>
      <w:r>
        <w:rPr>
          <w:w w:val="105"/>
          <w:sz w:val="13"/>
        </w:rPr>
        <w:t>as income</w:t>
      </w:r>
      <w:r>
        <w:rPr>
          <w:spacing w:val="-3"/>
          <w:w w:val="105"/>
          <w:sz w:val="13"/>
        </w:rPr>
        <w:t> </w:t>
      </w:r>
      <w:r>
        <w:rPr>
          <w:w w:val="105"/>
          <w:sz w:val="13"/>
        </w:rPr>
        <w:t>in</w:t>
      </w:r>
      <w:r>
        <w:rPr>
          <w:spacing w:val="-3"/>
          <w:w w:val="105"/>
          <w:sz w:val="13"/>
        </w:rPr>
        <w:t> </w:t>
      </w:r>
      <w:r>
        <w:rPr>
          <w:w w:val="105"/>
          <w:sz w:val="13"/>
        </w:rPr>
        <w:t>the</w:t>
      </w:r>
      <w:r>
        <w:rPr>
          <w:spacing w:val="-3"/>
          <w:w w:val="105"/>
          <w:sz w:val="13"/>
        </w:rPr>
        <w:t> </w:t>
      </w:r>
      <w:r>
        <w:rPr>
          <w:w w:val="105"/>
          <w:sz w:val="13"/>
        </w:rPr>
        <w:t>income</w:t>
      </w:r>
      <w:r>
        <w:rPr>
          <w:spacing w:val="-3"/>
          <w:w w:val="105"/>
          <w:sz w:val="13"/>
        </w:rPr>
        <w:t> </w:t>
      </w:r>
      <w:r>
        <w:rPr>
          <w:w w:val="105"/>
          <w:sz w:val="13"/>
        </w:rPr>
        <w:t>statement</w:t>
      </w:r>
      <w:r>
        <w:rPr>
          <w:spacing w:val="-2"/>
          <w:w w:val="105"/>
          <w:sz w:val="13"/>
        </w:rPr>
        <w:t> </w:t>
      </w:r>
      <w:r>
        <w:rPr>
          <w:w w:val="105"/>
          <w:sz w:val="13"/>
        </w:rPr>
        <w:t>under AASB1058.</w:t>
      </w:r>
    </w:p>
    <w:p>
      <w:pPr>
        <w:spacing w:line="240" w:lineRule="auto" w:before="18"/>
        <w:rPr>
          <w:sz w:val="13"/>
        </w:rPr>
      </w:pPr>
    </w:p>
    <w:p>
      <w:pPr>
        <w:spacing w:line="268" w:lineRule="auto" w:before="0"/>
        <w:ind w:left="877" w:right="319" w:firstLine="0"/>
        <w:jc w:val="both"/>
        <w:rPr>
          <w:sz w:val="13"/>
        </w:rPr>
      </w:pPr>
      <w:r>
        <w:rPr>
          <w:w w:val="105"/>
          <w:sz w:val="13"/>
        </w:rPr>
        <w:t>The</w:t>
      </w:r>
      <w:r>
        <w:rPr>
          <w:spacing w:val="-6"/>
          <w:w w:val="105"/>
          <w:sz w:val="13"/>
        </w:rPr>
        <w:t> </w:t>
      </w:r>
      <w:r>
        <w:rPr>
          <w:w w:val="105"/>
          <w:sz w:val="13"/>
        </w:rPr>
        <w:t>Group</w:t>
      </w:r>
      <w:r>
        <w:rPr>
          <w:spacing w:val="-6"/>
          <w:w w:val="105"/>
          <w:sz w:val="13"/>
        </w:rPr>
        <w:t> </w:t>
      </w:r>
      <w:r>
        <w:rPr>
          <w:w w:val="105"/>
          <w:sz w:val="13"/>
        </w:rPr>
        <w:t>has</w:t>
      </w:r>
      <w:r>
        <w:rPr>
          <w:spacing w:val="-5"/>
          <w:w w:val="105"/>
          <w:sz w:val="13"/>
        </w:rPr>
        <w:t> </w:t>
      </w:r>
      <w:r>
        <w:rPr>
          <w:w w:val="105"/>
          <w:sz w:val="13"/>
        </w:rPr>
        <w:t>elected</w:t>
      </w:r>
      <w:r>
        <w:rPr>
          <w:spacing w:val="-6"/>
          <w:w w:val="105"/>
          <w:sz w:val="13"/>
        </w:rPr>
        <w:t> </w:t>
      </w:r>
      <w:r>
        <w:rPr>
          <w:w w:val="105"/>
          <w:sz w:val="13"/>
        </w:rPr>
        <w:t>to</w:t>
      </w:r>
      <w:r>
        <w:rPr>
          <w:spacing w:val="-6"/>
          <w:w w:val="105"/>
          <w:sz w:val="13"/>
        </w:rPr>
        <w:t> </w:t>
      </w:r>
      <w:r>
        <w:rPr>
          <w:w w:val="105"/>
          <w:sz w:val="13"/>
        </w:rPr>
        <w:t>measure</w:t>
      </w:r>
      <w:r>
        <w:rPr>
          <w:spacing w:val="-6"/>
          <w:w w:val="105"/>
          <w:sz w:val="13"/>
        </w:rPr>
        <w:t> </w:t>
      </w:r>
      <w:r>
        <w:rPr>
          <w:w w:val="105"/>
          <w:sz w:val="13"/>
        </w:rPr>
        <w:t>a</w:t>
      </w:r>
      <w:r>
        <w:rPr>
          <w:spacing w:val="-5"/>
          <w:w w:val="105"/>
          <w:sz w:val="13"/>
        </w:rPr>
        <w:t> </w:t>
      </w:r>
      <w:r>
        <w:rPr>
          <w:w w:val="105"/>
          <w:sz w:val="13"/>
        </w:rPr>
        <w:t>class</w:t>
      </w:r>
      <w:r>
        <w:rPr>
          <w:spacing w:val="-6"/>
          <w:w w:val="105"/>
          <w:sz w:val="13"/>
        </w:rPr>
        <w:t> </w:t>
      </w:r>
      <w:r>
        <w:rPr>
          <w:w w:val="105"/>
          <w:sz w:val="13"/>
        </w:rPr>
        <w:t>(or</w:t>
      </w:r>
      <w:r>
        <w:rPr>
          <w:spacing w:val="-5"/>
          <w:w w:val="105"/>
          <w:sz w:val="13"/>
        </w:rPr>
        <w:t> </w:t>
      </w:r>
      <w:r>
        <w:rPr>
          <w:w w:val="105"/>
          <w:sz w:val="13"/>
        </w:rPr>
        <w:t>classes)</w:t>
      </w:r>
      <w:r>
        <w:rPr>
          <w:spacing w:val="-5"/>
          <w:w w:val="105"/>
          <w:sz w:val="13"/>
        </w:rPr>
        <w:t> </w:t>
      </w:r>
      <w:r>
        <w:rPr>
          <w:w w:val="105"/>
          <w:sz w:val="13"/>
        </w:rPr>
        <w:t>of</w:t>
      </w:r>
      <w:r>
        <w:rPr>
          <w:spacing w:val="-4"/>
          <w:w w:val="105"/>
          <w:sz w:val="13"/>
        </w:rPr>
        <w:t> </w:t>
      </w:r>
      <w:r>
        <w:rPr>
          <w:w w:val="105"/>
          <w:sz w:val="13"/>
        </w:rPr>
        <w:t>right-of-use</w:t>
      </w:r>
      <w:r>
        <w:rPr>
          <w:spacing w:val="-7"/>
          <w:w w:val="105"/>
          <w:sz w:val="13"/>
        </w:rPr>
        <w:t> </w:t>
      </w:r>
      <w:r>
        <w:rPr>
          <w:w w:val="105"/>
          <w:sz w:val="13"/>
        </w:rPr>
        <w:t>assets</w:t>
      </w:r>
      <w:r>
        <w:rPr>
          <w:spacing w:val="-5"/>
          <w:w w:val="105"/>
          <w:sz w:val="13"/>
        </w:rPr>
        <w:t> </w:t>
      </w:r>
      <w:r>
        <w:rPr>
          <w:w w:val="105"/>
          <w:sz w:val="13"/>
        </w:rPr>
        <w:t>arising</w:t>
      </w:r>
      <w:r>
        <w:rPr>
          <w:spacing w:val="-7"/>
          <w:w w:val="105"/>
          <w:sz w:val="13"/>
        </w:rPr>
        <w:t> </w:t>
      </w:r>
      <w:r>
        <w:rPr>
          <w:w w:val="105"/>
          <w:sz w:val="13"/>
        </w:rPr>
        <w:t>under</w:t>
      </w:r>
      <w:r>
        <w:rPr>
          <w:spacing w:val="-4"/>
          <w:w w:val="105"/>
          <w:sz w:val="13"/>
        </w:rPr>
        <w:t> </w:t>
      </w:r>
      <w:r>
        <w:rPr>
          <w:w w:val="105"/>
          <w:sz w:val="13"/>
        </w:rPr>
        <w:t>‘concessionary</w:t>
      </w:r>
      <w:r>
        <w:rPr>
          <w:spacing w:val="-10"/>
          <w:w w:val="105"/>
          <w:sz w:val="13"/>
        </w:rPr>
        <w:t> </w:t>
      </w:r>
      <w:r>
        <w:rPr>
          <w:w w:val="105"/>
          <w:sz w:val="13"/>
        </w:rPr>
        <w:t>leases’</w:t>
      </w:r>
      <w:r>
        <w:rPr>
          <w:spacing w:val="-3"/>
          <w:w w:val="105"/>
          <w:sz w:val="13"/>
        </w:rPr>
        <w:t> </w:t>
      </w:r>
      <w:r>
        <w:rPr>
          <w:w w:val="105"/>
          <w:sz w:val="13"/>
        </w:rPr>
        <w:t>at</w:t>
      </w:r>
      <w:r>
        <w:rPr>
          <w:spacing w:val="-7"/>
          <w:w w:val="105"/>
          <w:sz w:val="13"/>
        </w:rPr>
        <w:t> </w:t>
      </w:r>
      <w:r>
        <w:rPr>
          <w:w w:val="105"/>
          <w:sz w:val="13"/>
        </w:rPr>
        <w:t>initial</w:t>
      </w:r>
      <w:r>
        <w:rPr>
          <w:spacing w:val="-3"/>
          <w:w w:val="105"/>
          <w:sz w:val="13"/>
        </w:rPr>
        <w:t> </w:t>
      </w:r>
      <w:r>
        <w:rPr>
          <w:w w:val="105"/>
          <w:sz w:val="13"/>
        </w:rPr>
        <w:t>recognition</w:t>
      </w:r>
      <w:r>
        <w:rPr>
          <w:spacing w:val="-7"/>
          <w:w w:val="105"/>
          <w:sz w:val="13"/>
        </w:rPr>
        <w:t> </w:t>
      </w:r>
      <w:r>
        <w:rPr>
          <w:w w:val="105"/>
          <w:sz w:val="13"/>
        </w:rPr>
        <w:t>at</w:t>
      </w:r>
      <w:r>
        <w:rPr>
          <w:spacing w:val="40"/>
          <w:w w:val="105"/>
          <w:sz w:val="13"/>
        </w:rPr>
        <w:t> </w:t>
      </w:r>
      <w:r>
        <w:rPr>
          <w:w w:val="105"/>
          <w:sz w:val="13"/>
        </w:rPr>
        <w:t>cost,</w:t>
      </w:r>
      <w:r>
        <w:rPr>
          <w:spacing w:val="-9"/>
          <w:w w:val="105"/>
          <w:sz w:val="13"/>
        </w:rPr>
        <w:t> </w:t>
      </w:r>
      <w:r>
        <w:rPr>
          <w:w w:val="105"/>
          <w:sz w:val="13"/>
        </w:rPr>
        <w:t>in</w:t>
      </w:r>
      <w:r>
        <w:rPr>
          <w:spacing w:val="-10"/>
          <w:w w:val="105"/>
          <w:sz w:val="13"/>
        </w:rPr>
        <w:t> </w:t>
      </w:r>
      <w:r>
        <w:rPr>
          <w:w w:val="105"/>
          <w:sz w:val="13"/>
        </w:rPr>
        <w:t>accordance</w:t>
      </w:r>
      <w:r>
        <w:rPr>
          <w:spacing w:val="-8"/>
          <w:w w:val="105"/>
          <w:sz w:val="13"/>
        </w:rPr>
        <w:t> </w:t>
      </w:r>
      <w:r>
        <w:rPr>
          <w:w w:val="105"/>
          <w:sz w:val="13"/>
        </w:rPr>
        <w:t>with</w:t>
      </w:r>
      <w:r>
        <w:rPr>
          <w:spacing w:val="-10"/>
          <w:w w:val="105"/>
          <w:sz w:val="13"/>
        </w:rPr>
        <w:t> </w:t>
      </w:r>
      <w:r>
        <w:rPr>
          <w:w w:val="105"/>
          <w:sz w:val="13"/>
        </w:rPr>
        <w:t>AASB16</w:t>
      </w:r>
      <w:r>
        <w:rPr>
          <w:spacing w:val="-9"/>
          <w:w w:val="105"/>
          <w:sz w:val="13"/>
        </w:rPr>
        <w:t> </w:t>
      </w:r>
      <w:r>
        <w:rPr>
          <w:w w:val="105"/>
          <w:sz w:val="13"/>
        </w:rPr>
        <w:t>paragraphs</w:t>
      </w:r>
      <w:r>
        <w:rPr>
          <w:spacing w:val="-9"/>
          <w:w w:val="105"/>
          <w:sz w:val="13"/>
        </w:rPr>
        <w:t> </w:t>
      </w:r>
      <w:r>
        <w:rPr>
          <w:w w:val="105"/>
          <w:sz w:val="13"/>
        </w:rPr>
        <w:t>23–25,</w:t>
      </w:r>
      <w:r>
        <w:rPr>
          <w:spacing w:val="-9"/>
          <w:w w:val="105"/>
          <w:sz w:val="13"/>
        </w:rPr>
        <w:t> </w:t>
      </w:r>
      <w:r>
        <w:rPr>
          <w:w w:val="105"/>
          <w:sz w:val="13"/>
        </w:rPr>
        <w:t>which</w:t>
      </w:r>
      <w:r>
        <w:rPr>
          <w:spacing w:val="-9"/>
          <w:w w:val="105"/>
          <w:sz w:val="13"/>
        </w:rPr>
        <w:t> </w:t>
      </w:r>
      <w:r>
        <w:rPr>
          <w:w w:val="105"/>
          <w:sz w:val="13"/>
        </w:rPr>
        <w:t>incorporates</w:t>
      </w:r>
      <w:r>
        <w:rPr>
          <w:spacing w:val="-9"/>
          <w:w w:val="105"/>
          <w:sz w:val="13"/>
        </w:rPr>
        <w:t> </w:t>
      </w:r>
      <w:r>
        <w:rPr>
          <w:w w:val="105"/>
          <w:sz w:val="13"/>
        </w:rPr>
        <w:t>the</w:t>
      </w:r>
      <w:r>
        <w:rPr>
          <w:spacing w:val="-10"/>
          <w:w w:val="105"/>
          <w:sz w:val="13"/>
        </w:rPr>
        <w:t> </w:t>
      </w:r>
      <w:r>
        <w:rPr>
          <w:w w:val="105"/>
          <w:sz w:val="13"/>
        </w:rPr>
        <w:t>amount</w:t>
      </w:r>
      <w:r>
        <w:rPr>
          <w:spacing w:val="-8"/>
          <w:w w:val="105"/>
          <w:sz w:val="13"/>
        </w:rPr>
        <w:t> </w:t>
      </w:r>
      <w:r>
        <w:rPr>
          <w:w w:val="105"/>
          <w:sz w:val="13"/>
        </w:rPr>
        <w:t>of</w:t>
      </w:r>
      <w:r>
        <w:rPr>
          <w:spacing w:val="-7"/>
          <w:w w:val="105"/>
          <w:sz w:val="13"/>
        </w:rPr>
        <w:t> </w:t>
      </w:r>
      <w:r>
        <w:rPr>
          <w:w w:val="105"/>
          <w:sz w:val="13"/>
        </w:rPr>
        <w:t>the</w:t>
      </w:r>
      <w:r>
        <w:rPr>
          <w:spacing w:val="-10"/>
          <w:w w:val="105"/>
          <w:sz w:val="13"/>
        </w:rPr>
        <w:t> </w:t>
      </w:r>
      <w:r>
        <w:rPr>
          <w:w w:val="105"/>
          <w:sz w:val="13"/>
        </w:rPr>
        <w:t>initial</w:t>
      </w:r>
      <w:r>
        <w:rPr>
          <w:spacing w:val="-8"/>
          <w:w w:val="105"/>
          <w:sz w:val="13"/>
        </w:rPr>
        <w:t> </w:t>
      </w:r>
      <w:r>
        <w:rPr>
          <w:w w:val="105"/>
          <w:sz w:val="13"/>
        </w:rPr>
        <w:t>measurement</w:t>
      </w:r>
      <w:r>
        <w:rPr>
          <w:spacing w:val="-9"/>
          <w:w w:val="105"/>
          <w:sz w:val="13"/>
        </w:rPr>
        <w:t> </w:t>
      </w:r>
      <w:r>
        <w:rPr>
          <w:w w:val="105"/>
          <w:sz w:val="13"/>
        </w:rPr>
        <w:t>of</w:t>
      </w:r>
      <w:r>
        <w:rPr>
          <w:spacing w:val="-7"/>
          <w:w w:val="105"/>
          <w:sz w:val="13"/>
        </w:rPr>
        <w:t> </w:t>
      </w:r>
      <w:r>
        <w:rPr>
          <w:w w:val="105"/>
          <w:sz w:val="13"/>
        </w:rPr>
        <w:t>the</w:t>
      </w:r>
      <w:r>
        <w:rPr>
          <w:spacing w:val="-10"/>
          <w:w w:val="105"/>
          <w:sz w:val="13"/>
        </w:rPr>
        <w:t> </w:t>
      </w:r>
      <w:r>
        <w:rPr>
          <w:w w:val="105"/>
          <w:sz w:val="13"/>
        </w:rPr>
        <w:t>lease</w:t>
      </w:r>
      <w:r>
        <w:rPr>
          <w:spacing w:val="-8"/>
          <w:w w:val="105"/>
          <w:sz w:val="13"/>
        </w:rPr>
        <w:t> </w:t>
      </w:r>
      <w:r>
        <w:rPr>
          <w:w w:val="105"/>
          <w:sz w:val="13"/>
        </w:rPr>
        <w:t>liability.</w:t>
      </w:r>
    </w:p>
    <w:p>
      <w:pPr>
        <w:spacing w:before="167"/>
        <w:ind w:left="284" w:right="0" w:firstLine="0"/>
        <w:jc w:val="left"/>
        <w:rPr>
          <w:b/>
          <w:sz w:val="16"/>
        </w:rPr>
      </w:pPr>
      <w:r>
        <w:rPr>
          <w:b/>
          <w:color w:val="0070C0"/>
          <w:sz w:val="16"/>
        </w:rPr>
        <w:t>5.5</w:t>
      </w:r>
      <w:r>
        <w:rPr>
          <w:b/>
          <w:color w:val="0070C0"/>
          <w:spacing w:val="-3"/>
          <w:sz w:val="16"/>
        </w:rPr>
        <w:t> </w:t>
      </w:r>
      <w:r>
        <w:rPr>
          <w:b/>
          <w:color w:val="0070C0"/>
          <w:sz w:val="16"/>
        </w:rPr>
        <w:t>(b)</w:t>
      </w:r>
      <w:r>
        <w:rPr>
          <w:b/>
          <w:color w:val="0070C0"/>
          <w:spacing w:val="70"/>
          <w:sz w:val="16"/>
        </w:rPr>
        <w:t> </w:t>
      </w:r>
      <w:r>
        <w:rPr>
          <w:b/>
          <w:color w:val="0070C0"/>
          <w:sz w:val="16"/>
        </w:rPr>
        <w:t>Assets</w:t>
      </w:r>
      <w:r>
        <w:rPr>
          <w:b/>
          <w:color w:val="0070C0"/>
          <w:spacing w:val="-2"/>
          <w:sz w:val="16"/>
        </w:rPr>
        <w:t> </w:t>
      </w:r>
      <w:r>
        <w:rPr>
          <w:b/>
          <w:color w:val="0070C0"/>
          <w:sz w:val="16"/>
        </w:rPr>
        <w:t>classified</w:t>
      </w:r>
      <w:r>
        <w:rPr>
          <w:b/>
          <w:color w:val="0070C0"/>
          <w:spacing w:val="-3"/>
          <w:sz w:val="16"/>
        </w:rPr>
        <w:t> </w:t>
      </w:r>
      <w:r>
        <w:rPr>
          <w:b/>
          <w:color w:val="0070C0"/>
          <w:sz w:val="16"/>
        </w:rPr>
        <w:t>as</w:t>
      </w:r>
      <w:r>
        <w:rPr>
          <w:b/>
          <w:color w:val="0070C0"/>
          <w:spacing w:val="-2"/>
          <w:sz w:val="16"/>
        </w:rPr>
        <w:t> </w:t>
      </w:r>
      <w:r>
        <w:rPr>
          <w:b/>
          <w:color w:val="0070C0"/>
          <w:sz w:val="16"/>
        </w:rPr>
        <w:t>held</w:t>
      </w:r>
      <w:r>
        <w:rPr>
          <w:b/>
          <w:color w:val="0070C0"/>
          <w:spacing w:val="-2"/>
          <w:sz w:val="16"/>
        </w:rPr>
        <w:t> </w:t>
      </w:r>
      <w:r>
        <w:rPr>
          <w:b/>
          <w:color w:val="0070C0"/>
          <w:sz w:val="16"/>
        </w:rPr>
        <w:t>for</w:t>
      </w:r>
      <w:r>
        <w:rPr>
          <w:b/>
          <w:color w:val="0070C0"/>
          <w:spacing w:val="-1"/>
          <w:sz w:val="16"/>
        </w:rPr>
        <w:t> </w:t>
      </w:r>
      <w:r>
        <w:rPr>
          <w:b/>
          <w:color w:val="0070C0"/>
          <w:spacing w:val="-4"/>
          <w:sz w:val="16"/>
        </w:rPr>
        <w:t>sales</w:t>
      </w:r>
    </w:p>
    <w:p>
      <w:pPr>
        <w:spacing w:line="268" w:lineRule="auto" w:before="27"/>
        <w:ind w:left="877" w:right="268" w:firstLine="0"/>
        <w:jc w:val="left"/>
        <w:rPr>
          <w:sz w:val="13"/>
        </w:rPr>
      </w:pPr>
      <w:r>
        <w:rPr>
          <w:w w:val="105"/>
          <w:sz w:val="13"/>
        </w:rPr>
        <w:t>During</w:t>
      </w:r>
      <w:r>
        <w:rPr>
          <w:spacing w:val="-2"/>
          <w:w w:val="105"/>
          <w:sz w:val="13"/>
        </w:rPr>
        <w:t> </w:t>
      </w:r>
      <w:r>
        <w:rPr>
          <w:w w:val="105"/>
          <w:sz w:val="13"/>
        </w:rPr>
        <w:t>the</w:t>
      </w:r>
      <w:r>
        <w:rPr>
          <w:spacing w:val="-2"/>
          <w:w w:val="105"/>
          <w:sz w:val="13"/>
        </w:rPr>
        <w:t> </w:t>
      </w:r>
      <w:r>
        <w:rPr>
          <w:w w:val="105"/>
          <w:sz w:val="13"/>
        </w:rPr>
        <w:t>year,</w:t>
      </w:r>
      <w:r>
        <w:rPr>
          <w:spacing w:val="-1"/>
          <w:w w:val="105"/>
          <w:sz w:val="13"/>
        </w:rPr>
        <w:t> </w:t>
      </w:r>
      <w:r>
        <w:rPr>
          <w:w w:val="105"/>
          <w:sz w:val="13"/>
        </w:rPr>
        <w:t>the</w:t>
      </w:r>
      <w:r>
        <w:rPr>
          <w:spacing w:val="-2"/>
          <w:w w:val="105"/>
          <w:sz w:val="13"/>
        </w:rPr>
        <w:t> </w:t>
      </w:r>
      <w:r>
        <w:rPr>
          <w:w w:val="105"/>
          <w:sz w:val="13"/>
        </w:rPr>
        <w:t>Group</w:t>
      </w:r>
      <w:r>
        <w:rPr>
          <w:spacing w:val="-2"/>
          <w:w w:val="105"/>
          <w:sz w:val="13"/>
        </w:rPr>
        <w:t> </w:t>
      </w:r>
      <w:r>
        <w:rPr>
          <w:w w:val="105"/>
          <w:sz w:val="13"/>
        </w:rPr>
        <w:t>disposed</w:t>
      </w:r>
      <w:r>
        <w:rPr>
          <w:spacing w:val="-2"/>
          <w:w w:val="105"/>
          <w:sz w:val="13"/>
        </w:rPr>
        <w:t> </w:t>
      </w:r>
      <w:r>
        <w:rPr>
          <w:w w:val="105"/>
          <w:sz w:val="13"/>
        </w:rPr>
        <w:t>the</w:t>
      </w:r>
      <w:r>
        <w:rPr>
          <w:spacing w:val="-2"/>
          <w:w w:val="105"/>
          <w:sz w:val="13"/>
        </w:rPr>
        <w:t> </w:t>
      </w:r>
      <w:r>
        <w:rPr>
          <w:w w:val="105"/>
          <w:sz w:val="13"/>
        </w:rPr>
        <w:t>following</w:t>
      </w:r>
      <w:r>
        <w:rPr>
          <w:spacing w:val="-2"/>
          <w:w w:val="105"/>
          <w:sz w:val="13"/>
        </w:rPr>
        <w:t> </w:t>
      </w:r>
      <w:r>
        <w:rPr>
          <w:w w:val="105"/>
          <w:sz w:val="13"/>
        </w:rPr>
        <w:t>asset classified</w:t>
      </w:r>
      <w:r>
        <w:rPr>
          <w:spacing w:val="-2"/>
          <w:w w:val="105"/>
          <w:sz w:val="13"/>
        </w:rPr>
        <w:t> </w:t>
      </w:r>
      <w:r>
        <w:rPr>
          <w:w w:val="105"/>
          <w:sz w:val="13"/>
        </w:rPr>
        <w:t>as held</w:t>
      </w:r>
      <w:r>
        <w:rPr>
          <w:spacing w:val="-2"/>
          <w:w w:val="105"/>
          <w:sz w:val="13"/>
        </w:rPr>
        <w:t> </w:t>
      </w:r>
      <w:r>
        <w:rPr>
          <w:w w:val="105"/>
          <w:sz w:val="13"/>
        </w:rPr>
        <w:t>for sale</w:t>
      </w:r>
      <w:r>
        <w:rPr>
          <w:spacing w:val="-2"/>
          <w:w w:val="105"/>
          <w:sz w:val="13"/>
        </w:rPr>
        <w:t> </w:t>
      </w:r>
      <w:r>
        <w:rPr>
          <w:w w:val="105"/>
          <w:sz w:val="13"/>
        </w:rPr>
        <w:t>in 2019</w:t>
      </w:r>
      <w:r>
        <w:rPr>
          <w:spacing w:val="-2"/>
          <w:w w:val="105"/>
          <w:sz w:val="13"/>
        </w:rPr>
        <w:t> </w:t>
      </w:r>
      <w:r>
        <w:rPr>
          <w:w w:val="105"/>
          <w:sz w:val="13"/>
        </w:rPr>
        <w:t>which is</w:t>
      </w:r>
      <w:r>
        <w:rPr>
          <w:spacing w:val="-1"/>
          <w:w w:val="105"/>
          <w:sz w:val="13"/>
        </w:rPr>
        <w:t> </w:t>
      </w:r>
      <w:r>
        <w:rPr>
          <w:w w:val="105"/>
          <w:sz w:val="13"/>
        </w:rPr>
        <w:t>surplus to</w:t>
      </w:r>
      <w:r>
        <w:rPr>
          <w:spacing w:val="-2"/>
          <w:w w:val="105"/>
          <w:sz w:val="13"/>
        </w:rPr>
        <w:t> </w:t>
      </w:r>
      <w:r>
        <w:rPr>
          <w:w w:val="105"/>
          <w:sz w:val="13"/>
        </w:rPr>
        <w:t>the Group's</w:t>
      </w:r>
      <w:r>
        <w:rPr>
          <w:spacing w:val="-1"/>
          <w:w w:val="105"/>
          <w:sz w:val="13"/>
        </w:rPr>
        <w:t> </w:t>
      </w:r>
      <w:r>
        <w:rPr>
          <w:w w:val="105"/>
          <w:sz w:val="13"/>
        </w:rPr>
        <w:t>requirements</w:t>
      </w:r>
      <w:r>
        <w:rPr>
          <w:spacing w:val="40"/>
          <w:w w:val="105"/>
          <w:sz w:val="13"/>
        </w:rPr>
        <w:t> </w:t>
      </w:r>
      <w:r>
        <w:rPr>
          <w:w w:val="105"/>
          <w:sz w:val="13"/>
        </w:rPr>
        <w:t>and recognised a profit of $287,000;</w:t>
      </w:r>
    </w:p>
    <w:p>
      <w:pPr>
        <w:spacing w:line="240" w:lineRule="auto" w:before="17"/>
        <w:rPr>
          <w:sz w:val="13"/>
        </w:rPr>
      </w:pPr>
    </w:p>
    <w:p>
      <w:pPr>
        <w:spacing w:before="0"/>
        <w:ind w:left="877" w:right="0" w:firstLine="0"/>
        <w:jc w:val="left"/>
        <w:rPr>
          <w:sz w:val="13"/>
        </w:rPr>
      </w:pPr>
      <w:r>
        <w:rPr>
          <w:sz w:val="13"/>
        </w:rPr>
        <w:t>Allendale</w:t>
      </w:r>
      <w:r>
        <w:rPr>
          <w:spacing w:val="5"/>
          <w:sz w:val="13"/>
        </w:rPr>
        <w:t> </w:t>
      </w:r>
      <w:r>
        <w:rPr>
          <w:sz w:val="13"/>
        </w:rPr>
        <w:t>Farm,</w:t>
      </w:r>
      <w:r>
        <w:rPr>
          <w:spacing w:val="8"/>
          <w:sz w:val="13"/>
        </w:rPr>
        <w:t> </w:t>
      </w:r>
      <w:r>
        <w:rPr>
          <w:sz w:val="13"/>
        </w:rPr>
        <w:t>264</w:t>
      </w:r>
      <w:r>
        <w:rPr>
          <w:spacing w:val="5"/>
          <w:sz w:val="13"/>
        </w:rPr>
        <w:t> </w:t>
      </w:r>
      <w:r>
        <w:rPr>
          <w:sz w:val="13"/>
        </w:rPr>
        <w:t>Chedaring</w:t>
      </w:r>
      <w:r>
        <w:rPr>
          <w:spacing w:val="6"/>
          <w:sz w:val="13"/>
        </w:rPr>
        <w:t> </w:t>
      </w:r>
      <w:r>
        <w:rPr>
          <w:sz w:val="13"/>
        </w:rPr>
        <w:t>Rd,</w:t>
      </w:r>
      <w:r>
        <w:rPr>
          <w:spacing w:val="7"/>
          <w:sz w:val="13"/>
        </w:rPr>
        <w:t> </w:t>
      </w:r>
      <w:r>
        <w:rPr>
          <w:sz w:val="13"/>
        </w:rPr>
        <w:t>Wundowie,</w:t>
      </w:r>
      <w:r>
        <w:rPr>
          <w:spacing w:val="8"/>
          <w:sz w:val="13"/>
        </w:rPr>
        <w:t> </w:t>
      </w:r>
      <w:r>
        <w:rPr>
          <w:spacing w:val="-5"/>
          <w:sz w:val="13"/>
        </w:rPr>
        <w:t>WA.</w:t>
      </w:r>
    </w:p>
    <w:p>
      <w:pPr>
        <w:spacing w:line="240" w:lineRule="auto" w:before="0"/>
        <w:rPr>
          <w:sz w:val="13"/>
        </w:rPr>
      </w:pPr>
      <w:r>
        <w:rPr/>
        <mc:AlternateContent>
          <mc:Choice Requires="wps">
            <w:drawing>
              <wp:anchor distT="0" distB="0" distL="0" distR="0" allowOverlap="1" layoutInCell="1" locked="0" behindDoc="1" simplePos="0" relativeHeight="487753728">
                <wp:simplePos x="0" y="0"/>
                <wp:positionH relativeFrom="page">
                  <wp:posOffset>809091</wp:posOffset>
                </wp:positionH>
                <wp:positionV relativeFrom="paragraph">
                  <wp:posOffset>110164</wp:posOffset>
                </wp:positionV>
                <wp:extent cx="5595620" cy="17145"/>
                <wp:effectExtent l="0" t="0" r="0" b="0"/>
                <wp:wrapTopAndBottom/>
                <wp:docPr id="940" name="Graphic 940"/>
                <wp:cNvGraphicFramePr>
                  <a:graphicFrameLocks/>
                </wp:cNvGraphicFramePr>
                <a:graphic>
                  <a:graphicData uri="http://schemas.microsoft.com/office/word/2010/wordprocessingShape">
                    <wps:wsp>
                      <wps:cNvPr id="940" name="Graphic 940"/>
                      <wps:cNvSpPr/>
                      <wps:spPr>
                        <a:xfrm>
                          <a:off x="0" y="0"/>
                          <a:ext cx="5595620" cy="17145"/>
                        </a:xfrm>
                        <a:custGeom>
                          <a:avLst/>
                          <a:gdLst/>
                          <a:ahLst/>
                          <a:cxnLst/>
                          <a:rect l="l" t="t" r="r" b="b"/>
                          <a:pathLst>
                            <a:path w="5595620" h="17145">
                              <a:moveTo>
                                <a:pt x="5595327" y="0"/>
                              </a:moveTo>
                              <a:lnTo>
                                <a:pt x="0" y="0"/>
                              </a:lnTo>
                              <a:lnTo>
                                <a:pt x="0" y="16548"/>
                              </a:lnTo>
                              <a:lnTo>
                                <a:pt x="5595327" y="16548"/>
                              </a:lnTo>
                              <a:lnTo>
                                <a:pt x="5595327"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63.708pt;margin-top:8.674365pt;width:440.577pt;height:1.303pt;mso-position-horizontal-relative:page;mso-position-vertical-relative:paragraph;z-index:-15562752;mso-wrap-distance-left:0;mso-wrap-distance-right:0" id="docshape633" filled="true" fillcolor="#4f81bd" stroked="false">
                <v:fill type="solid"/>
                <w10:wrap type="topAndBottom"/>
              </v:rect>
            </w:pict>
          </mc:Fallback>
        </mc:AlternateContent>
      </w:r>
    </w:p>
    <w:p>
      <w:pPr>
        <w:spacing w:after="0" w:line="240" w:lineRule="auto"/>
        <w:rPr>
          <w:sz w:val="13"/>
        </w:rPr>
        <w:sectPr>
          <w:pgSz w:w="11910" w:h="16840"/>
          <w:pgMar w:header="468" w:footer="0" w:top="1580" w:bottom="280" w:left="1020" w:right="1540"/>
        </w:sectPr>
      </w:pPr>
    </w:p>
    <w:p>
      <w:pPr>
        <w:spacing w:before="81"/>
        <w:ind w:left="160" w:right="0" w:firstLine="0"/>
        <w:jc w:val="left"/>
        <w:rPr>
          <w:sz w:val="22"/>
        </w:rPr>
      </w:pPr>
      <w:r>
        <w:rPr/>
        <mc:AlternateContent>
          <mc:Choice Requires="wps">
            <w:drawing>
              <wp:anchor distT="0" distB="0" distL="0" distR="0" allowOverlap="1" layoutInCell="1" locked="0" behindDoc="0" simplePos="0" relativeHeight="15896064">
                <wp:simplePos x="0" y="0"/>
                <wp:positionH relativeFrom="page">
                  <wp:posOffset>7111289</wp:posOffset>
                </wp:positionH>
                <wp:positionV relativeFrom="page">
                  <wp:posOffset>8040241</wp:posOffset>
                </wp:positionV>
                <wp:extent cx="177800" cy="1945005"/>
                <wp:effectExtent l="0" t="0" r="0" b="0"/>
                <wp:wrapNone/>
                <wp:docPr id="941" name="Textbox 941"/>
                <wp:cNvGraphicFramePr>
                  <a:graphicFrameLocks/>
                </wp:cNvGraphicFramePr>
                <a:graphic>
                  <a:graphicData uri="http://schemas.microsoft.com/office/word/2010/wordprocessingShape">
                    <wps:wsp>
                      <wps:cNvPr id="941" name="Textbox 941"/>
                      <wps:cNvSpPr txBox="1"/>
                      <wps:spPr>
                        <a:xfrm>
                          <a:off x="0" y="0"/>
                          <a:ext cx="177800" cy="194500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633.089905pt;width:14pt;height:153.15pt;mso-position-horizontal-relative:page;mso-position-vertical-relative:page;z-index:15896064" type="#_x0000_t202" id="docshape634"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v:textbox>
                <w10:wrap type="none"/>
              </v:shape>
            </w:pict>
          </mc:Fallback>
        </mc:AlternateContent>
      </w:r>
      <w:r>
        <w:rPr>
          <w:color w:val="0070C0"/>
          <w:sz w:val="22"/>
        </w:rPr>
        <w:t>NOTES</w:t>
      </w:r>
      <w:r>
        <w:rPr>
          <w:color w:val="0070C0"/>
          <w:spacing w:val="-9"/>
          <w:sz w:val="22"/>
        </w:rPr>
        <w:t> </w:t>
      </w:r>
      <w:r>
        <w:rPr>
          <w:color w:val="0070C0"/>
          <w:sz w:val="22"/>
        </w:rPr>
        <w:t>TO</w:t>
      </w:r>
      <w:r>
        <w:rPr>
          <w:color w:val="0070C0"/>
          <w:spacing w:val="-9"/>
          <w:sz w:val="22"/>
        </w:rPr>
        <w:t> </w:t>
      </w:r>
      <w:r>
        <w:rPr>
          <w:color w:val="0070C0"/>
          <w:sz w:val="22"/>
        </w:rPr>
        <w:t>THE</w:t>
      </w:r>
      <w:r>
        <w:rPr>
          <w:color w:val="0070C0"/>
          <w:spacing w:val="-9"/>
          <w:sz w:val="22"/>
        </w:rPr>
        <w:t> </w:t>
      </w:r>
      <w:r>
        <w:rPr>
          <w:color w:val="0070C0"/>
          <w:sz w:val="22"/>
        </w:rPr>
        <w:t>FINANCIAL</w:t>
      </w:r>
      <w:r>
        <w:rPr>
          <w:color w:val="0070C0"/>
          <w:spacing w:val="-9"/>
          <w:sz w:val="22"/>
        </w:rPr>
        <w:t> </w:t>
      </w:r>
      <w:r>
        <w:rPr>
          <w:color w:val="0070C0"/>
          <w:spacing w:val="-2"/>
          <w:sz w:val="22"/>
        </w:rPr>
        <w:t>STATEMENTS</w:t>
      </w:r>
    </w:p>
    <w:p>
      <w:pPr>
        <w:spacing w:before="31"/>
        <w:ind w:left="147" w:right="0" w:firstLine="0"/>
        <w:jc w:val="left"/>
        <w:rPr>
          <w:sz w:val="12"/>
        </w:rPr>
      </w:pPr>
      <w:r>
        <w:rPr>
          <w:sz w:val="12"/>
        </w:rPr>
        <w:t>for</w:t>
      </w:r>
      <w:r>
        <w:rPr>
          <w:spacing w:val="4"/>
          <w:sz w:val="12"/>
        </w:rPr>
        <w:t> </w:t>
      </w:r>
      <w:r>
        <w:rPr>
          <w:sz w:val="12"/>
        </w:rPr>
        <w:t>the</w:t>
      </w:r>
      <w:r>
        <w:rPr>
          <w:spacing w:val="3"/>
          <w:sz w:val="12"/>
        </w:rPr>
        <w:t> </w:t>
      </w:r>
      <w:r>
        <w:rPr>
          <w:sz w:val="12"/>
        </w:rPr>
        <w:t>year</w:t>
      </w:r>
      <w:r>
        <w:rPr>
          <w:spacing w:val="5"/>
          <w:sz w:val="12"/>
        </w:rPr>
        <w:t> </w:t>
      </w:r>
      <w:r>
        <w:rPr>
          <w:sz w:val="12"/>
        </w:rPr>
        <w:t>ended</w:t>
      </w:r>
      <w:r>
        <w:rPr>
          <w:spacing w:val="3"/>
          <w:sz w:val="12"/>
        </w:rPr>
        <w:t> </w:t>
      </w:r>
      <w:r>
        <w:rPr>
          <w:sz w:val="12"/>
        </w:rPr>
        <w:t>31</w:t>
      </w:r>
      <w:r>
        <w:rPr>
          <w:spacing w:val="3"/>
          <w:sz w:val="12"/>
        </w:rPr>
        <w:t> </w:t>
      </w:r>
      <w:r>
        <w:rPr>
          <w:sz w:val="12"/>
        </w:rPr>
        <w:t>December</w:t>
      </w:r>
      <w:r>
        <w:rPr>
          <w:spacing w:val="5"/>
          <w:sz w:val="12"/>
        </w:rPr>
        <w:t> </w:t>
      </w:r>
      <w:r>
        <w:rPr>
          <w:spacing w:val="-4"/>
          <w:sz w:val="12"/>
        </w:rPr>
        <w:t>2020</w:t>
      </w:r>
    </w:p>
    <w:p>
      <w:pPr>
        <w:spacing w:line="240" w:lineRule="auto" w:before="41"/>
        <w:rPr>
          <w:sz w:val="12"/>
        </w:rPr>
      </w:pPr>
    </w:p>
    <w:p>
      <w:pPr>
        <w:pStyle w:val="ListParagraph"/>
        <w:numPr>
          <w:ilvl w:val="1"/>
          <w:numId w:val="24"/>
        </w:numPr>
        <w:tabs>
          <w:tab w:pos="760" w:val="left" w:leader="none"/>
          <w:tab w:pos="5905" w:val="left" w:leader="none"/>
          <w:tab w:pos="7840" w:val="left" w:leader="none"/>
        </w:tabs>
        <w:spacing w:line="240" w:lineRule="auto" w:before="1" w:after="0"/>
        <w:ind w:left="760" w:right="0" w:hanging="606"/>
        <w:jc w:val="left"/>
        <w:rPr>
          <w:b/>
          <w:sz w:val="13"/>
        </w:rPr>
      </w:pPr>
      <w:r>
        <w:rPr>
          <w:b/>
          <w:color w:val="0070C0"/>
          <w:sz w:val="16"/>
        </w:rPr>
        <w:t>Trade</w:t>
      </w:r>
      <w:r>
        <w:rPr>
          <w:b/>
          <w:color w:val="0070C0"/>
          <w:spacing w:val="6"/>
          <w:sz w:val="16"/>
        </w:rPr>
        <w:t> </w:t>
      </w:r>
      <w:r>
        <w:rPr>
          <w:b/>
          <w:color w:val="0070C0"/>
          <w:sz w:val="16"/>
        </w:rPr>
        <w:t>and</w:t>
      </w:r>
      <w:r>
        <w:rPr>
          <w:b/>
          <w:color w:val="0070C0"/>
          <w:spacing w:val="6"/>
          <w:sz w:val="16"/>
        </w:rPr>
        <w:t> </w:t>
      </w:r>
      <w:r>
        <w:rPr>
          <w:b/>
          <w:color w:val="0070C0"/>
          <w:sz w:val="16"/>
        </w:rPr>
        <w:t>other</w:t>
      </w:r>
      <w:r>
        <w:rPr>
          <w:b/>
          <w:color w:val="0070C0"/>
          <w:spacing w:val="8"/>
          <w:sz w:val="16"/>
        </w:rPr>
        <w:t> </w:t>
      </w:r>
      <w:r>
        <w:rPr>
          <w:b/>
          <w:color w:val="0070C0"/>
          <w:spacing w:val="-2"/>
          <w:sz w:val="16"/>
        </w:rPr>
        <w:t>payables</w:t>
      </w:r>
      <w:r>
        <w:rPr>
          <w:b/>
          <w:color w:val="0070C0"/>
          <w:sz w:val="16"/>
        </w:rPr>
        <w:tab/>
      </w:r>
      <w:r>
        <w:rPr>
          <w:b/>
          <w:spacing w:val="-2"/>
          <w:sz w:val="13"/>
        </w:rPr>
        <w:t>Consolidated</w:t>
      </w:r>
      <w:r>
        <w:rPr>
          <w:b/>
          <w:sz w:val="13"/>
        </w:rPr>
        <w:tab/>
      </w:r>
      <w:r>
        <w:rPr>
          <w:b/>
          <w:spacing w:val="-2"/>
          <w:sz w:val="13"/>
        </w:rPr>
        <w:t>University</w:t>
      </w:r>
    </w:p>
    <w:tbl>
      <w:tblPr>
        <w:tblW w:w="0" w:type="auto"/>
        <w:jc w:val="left"/>
        <w:tblInd w:w="7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693"/>
        <w:gridCol w:w="1028"/>
        <w:gridCol w:w="916"/>
        <w:gridCol w:w="916"/>
        <w:gridCol w:w="806"/>
      </w:tblGrid>
      <w:tr>
        <w:trPr>
          <w:trHeight w:val="358" w:hRule="atLeast"/>
        </w:trPr>
        <w:tc>
          <w:tcPr>
            <w:tcW w:w="5721" w:type="dxa"/>
            <w:gridSpan w:val="2"/>
          </w:tcPr>
          <w:p>
            <w:pPr>
              <w:pStyle w:val="TableParagraph"/>
              <w:spacing w:before="22"/>
              <w:ind w:right="412"/>
              <w:jc w:val="right"/>
              <w:rPr>
                <w:b/>
                <w:sz w:val="13"/>
              </w:rPr>
            </w:pPr>
            <w:r>
              <w:rPr>
                <w:b/>
                <w:spacing w:val="-4"/>
                <w:w w:val="105"/>
                <w:sz w:val="13"/>
              </w:rPr>
              <w:t>2020</w:t>
            </w:r>
          </w:p>
          <w:p>
            <w:pPr>
              <w:pStyle w:val="TableParagraph"/>
              <w:spacing w:line="148" w:lineRule="exact" w:before="19"/>
              <w:ind w:right="394"/>
              <w:jc w:val="right"/>
              <w:rPr>
                <w:b/>
                <w:sz w:val="13"/>
              </w:rPr>
            </w:pPr>
            <w:r>
              <w:rPr>
                <w:b/>
                <w:spacing w:val="-2"/>
                <w:w w:val="105"/>
                <w:sz w:val="13"/>
              </w:rPr>
              <w:t>$'000</w:t>
            </w:r>
          </w:p>
        </w:tc>
        <w:tc>
          <w:tcPr>
            <w:tcW w:w="916" w:type="dxa"/>
            <w:tcBorders>
              <w:bottom w:val="single" w:sz="6" w:space="0" w:color="000000"/>
            </w:tcBorders>
          </w:tcPr>
          <w:p>
            <w:pPr>
              <w:pStyle w:val="TableParagraph"/>
              <w:spacing w:before="22"/>
              <w:ind w:left="201"/>
              <w:rPr>
                <w:b/>
                <w:sz w:val="13"/>
              </w:rPr>
            </w:pPr>
            <w:r>
              <w:rPr>
                <w:b/>
                <w:spacing w:val="-4"/>
                <w:w w:val="105"/>
                <w:sz w:val="13"/>
              </w:rPr>
              <w:t>2019</w:t>
            </w:r>
          </w:p>
          <w:p>
            <w:pPr>
              <w:pStyle w:val="TableParagraph"/>
              <w:spacing w:line="148" w:lineRule="exact" w:before="19"/>
              <w:ind w:left="186"/>
              <w:rPr>
                <w:b/>
                <w:sz w:val="13"/>
              </w:rPr>
            </w:pPr>
            <w:r>
              <w:rPr>
                <w:b/>
                <w:spacing w:val="-2"/>
                <w:w w:val="105"/>
                <w:sz w:val="13"/>
              </w:rPr>
              <w:t>$'000</w:t>
            </w:r>
          </w:p>
        </w:tc>
        <w:tc>
          <w:tcPr>
            <w:tcW w:w="916" w:type="dxa"/>
            <w:tcBorders>
              <w:bottom w:val="single" w:sz="6" w:space="0" w:color="000000"/>
            </w:tcBorders>
          </w:tcPr>
          <w:p>
            <w:pPr>
              <w:pStyle w:val="TableParagraph"/>
              <w:spacing w:before="22"/>
              <w:ind w:left="201"/>
              <w:rPr>
                <w:b/>
                <w:sz w:val="13"/>
              </w:rPr>
            </w:pPr>
            <w:r>
              <w:rPr>
                <w:b/>
                <w:spacing w:val="-4"/>
                <w:w w:val="105"/>
                <w:sz w:val="13"/>
              </w:rPr>
              <w:t>2020</w:t>
            </w:r>
          </w:p>
          <w:p>
            <w:pPr>
              <w:pStyle w:val="TableParagraph"/>
              <w:spacing w:line="148" w:lineRule="exact" w:before="19"/>
              <w:ind w:left="186"/>
              <w:rPr>
                <w:b/>
                <w:sz w:val="13"/>
              </w:rPr>
            </w:pPr>
            <w:r>
              <w:rPr>
                <w:b/>
                <w:spacing w:val="-2"/>
                <w:w w:val="105"/>
                <w:sz w:val="13"/>
              </w:rPr>
              <w:t>$'000</w:t>
            </w:r>
          </w:p>
        </w:tc>
        <w:tc>
          <w:tcPr>
            <w:tcW w:w="806" w:type="dxa"/>
            <w:tcBorders>
              <w:bottom w:val="single" w:sz="6" w:space="0" w:color="000000"/>
            </w:tcBorders>
          </w:tcPr>
          <w:p>
            <w:pPr>
              <w:pStyle w:val="TableParagraph"/>
              <w:spacing w:before="22"/>
              <w:ind w:left="201"/>
              <w:rPr>
                <w:b/>
                <w:sz w:val="13"/>
              </w:rPr>
            </w:pPr>
            <w:r>
              <w:rPr>
                <w:b/>
                <w:spacing w:val="-4"/>
                <w:w w:val="105"/>
                <w:sz w:val="13"/>
              </w:rPr>
              <w:t>2019</w:t>
            </w:r>
          </w:p>
          <w:p>
            <w:pPr>
              <w:pStyle w:val="TableParagraph"/>
              <w:spacing w:line="148" w:lineRule="exact" w:before="19"/>
              <w:ind w:left="186"/>
              <w:rPr>
                <w:b/>
                <w:sz w:val="13"/>
              </w:rPr>
            </w:pPr>
            <w:r>
              <w:rPr>
                <w:b/>
                <w:spacing w:val="-2"/>
                <w:w w:val="105"/>
                <w:sz w:val="13"/>
              </w:rPr>
              <w:t>$'000</w:t>
            </w:r>
          </w:p>
        </w:tc>
      </w:tr>
      <w:tr>
        <w:trPr>
          <w:trHeight w:val="322" w:hRule="atLeast"/>
        </w:trPr>
        <w:tc>
          <w:tcPr>
            <w:tcW w:w="4693" w:type="dxa"/>
          </w:tcPr>
          <w:p>
            <w:pPr>
              <w:pStyle w:val="TableParagraph"/>
              <w:spacing w:before="148"/>
              <w:ind w:left="34"/>
              <w:rPr>
                <w:sz w:val="13"/>
              </w:rPr>
            </w:pPr>
            <w:r>
              <w:rPr>
                <w:w w:val="105"/>
                <w:sz w:val="13"/>
              </w:rPr>
              <w:t>Trade</w:t>
            </w:r>
            <w:r>
              <w:rPr>
                <w:spacing w:val="-6"/>
                <w:w w:val="105"/>
                <w:sz w:val="13"/>
              </w:rPr>
              <w:t> </w:t>
            </w:r>
            <w:r>
              <w:rPr>
                <w:spacing w:val="-2"/>
                <w:w w:val="105"/>
                <w:sz w:val="13"/>
              </w:rPr>
              <w:t>payables</w:t>
            </w:r>
          </w:p>
        </w:tc>
        <w:tc>
          <w:tcPr>
            <w:tcW w:w="1028" w:type="dxa"/>
            <w:tcBorders>
              <w:top w:val="single" w:sz="6" w:space="0" w:color="000000"/>
            </w:tcBorders>
          </w:tcPr>
          <w:p>
            <w:pPr>
              <w:pStyle w:val="TableParagraph"/>
              <w:spacing w:before="2"/>
              <w:rPr>
                <w:b/>
                <w:sz w:val="13"/>
              </w:rPr>
            </w:pPr>
          </w:p>
          <w:p>
            <w:pPr>
              <w:pStyle w:val="TableParagraph"/>
              <w:spacing w:before="1"/>
              <w:ind w:right="182"/>
              <w:jc w:val="right"/>
              <w:rPr>
                <w:sz w:val="13"/>
              </w:rPr>
            </w:pPr>
            <w:r>
              <w:rPr>
                <w:spacing w:val="-2"/>
                <w:w w:val="105"/>
                <w:sz w:val="13"/>
              </w:rPr>
              <w:t>4,785</w:t>
            </w:r>
          </w:p>
        </w:tc>
        <w:tc>
          <w:tcPr>
            <w:tcW w:w="916" w:type="dxa"/>
            <w:tcBorders>
              <w:top w:val="single" w:sz="6" w:space="0" w:color="000000"/>
            </w:tcBorders>
          </w:tcPr>
          <w:p>
            <w:pPr>
              <w:pStyle w:val="TableParagraph"/>
              <w:spacing w:before="2"/>
              <w:rPr>
                <w:b/>
                <w:sz w:val="13"/>
              </w:rPr>
            </w:pPr>
          </w:p>
          <w:p>
            <w:pPr>
              <w:pStyle w:val="TableParagraph"/>
              <w:spacing w:before="1"/>
              <w:ind w:right="182"/>
              <w:jc w:val="right"/>
              <w:rPr>
                <w:sz w:val="13"/>
              </w:rPr>
            </w:pPr>
            <w:r>
              <w:rPr>
                <w:spacing w:val="-2"/>
                <w:w w:val="105"/>
                <w:sz w:val="13"/>
              </w:rPr>
              <w:t>30,547</w:t>
            </w:r>
          </w:p>
        </w:tc>
        <w:tc>
          <w:tcPr>
            <w:tcW w:w="916" w:type="dxa"/>
            <w:tcBorders>
              <w:top w:val="single" w:sz="6" w:space="0" w:color="000000"/>
            </w:tcBorders>
          </w:tcPr>
          <w:p>
            <w:pPr>
              <w:pStyle w:val="TableParagraph"/>
              <w:spacing w:before="2"/>
              <w:rPr>
                <w:b/>
                <w:sz w:val="13"/>
              </w:rPr>
            </w:pPr>
          </w:p>
          <w:p>
            <w:pPr>
              <w:pStyle w:val="TableParagraph"/>
              <w:spacing w:before="1"/>
              <w:ind w:right="183"/>
              <w:jc w:val="right"/>
              <w:rPr>
                <w:sz w:val="13"/>
              </w:rPr>
            </w:pPr>
            <w:r>
              <w:rPr>
                <w:spacing w:val="-2"/>
                <w:w w:val="105"/>
                <w:sz w:val="13"/>
              </w:rPr>
              <w:t>3,689</w:t>
            </w:r>
          </w:p>
        </w:tc>
        <w:tc>
          <w:tcPr>
            <w:tcW w:w="806" w:type="dxa"/>
            <w:tcBorders>
              <w:top w:val="single" w:sz="6" w:space="0" w:color="000000"/>
            </w:tcBorders>
          </w:tcPr>
          <w:p>
            <w:pPr>
              <w:pStyle w:val="TableParagraph"/>
              <w:spacing w:before="2"/>
              <w:rPr>
                <w:b/>
                <w:sz w:val="13"/>
              </w:rPr>
            </w:pPr>
          </w:p>
          <w:p>
            <w:pPr>
              <w:pStyle w:val="TableParagraph"/>
              <w:spacing w:before="1"/>
              <w:ind w:right="73"/>
              <w:jc w:val="right"/>
              <w:rPr>
                <w:sz w:val="13"/>
              </w:rPr>
            </w:pPr>
            <w:r>
              <w:rPr>
                <w:spacing w:val="-2"/>
                <w:w w:val="105"/>
                <w:sz w:val="13"/>
              </w:rPr>
              <w:t>28,901</w:t>
            </w:r>
          </w:p>
        </w:tc>
      </w:tr>
      <w:tr>
        <w:trPr>
          <w:trHeight w:val="167" w:hRule="atLeast"/>
        </w:trPr>
        <w:tc>
          <w:tcPr>
            <w:tcW w:w="4693" w:type="dxa"/>
          </w:tcPr>
          <w:p>
            <w:pPr>
              <w:pStyle w:val="TableParagraph"/>
              <w:spacing w:line="143" w:lineRule="exact"/>
              <w:ind w:left="34"/>
              <w:rPr>
                <w:sz w:val="13"/>
              </w:rPr>
            </w:pPr>
            <w:r>
              <w:rPr>
                <w:w w:val="105"/>
                <w:sz w:val="13"/>
              </w:rPr>
              <w:t>Other</w:t>
            </w:r>
            <w:r>
              <w:rPr>
                <w:spacing w:val="-6"/>
                <w:w w:val="105"/>
                <w:sz w:val="13"/>
              </w:rPr>
              <w:t> </w:t>
            </w:r>
            <w:r>
              <w:rPr>
                <w:spacing w:val="-2"/>
                <w:w w:val="105"/>
                <w:sz w:val="13"/>
              </w:rPr>
              <w:t>payables</w:t>
            </w:r>
          </w:p>
        </w:tc>
        <w:tc>
          <w:tcPr>
            <w:tcW w:w="1028" w:type="dxa"/>
          </w:tcPr>
          <w:p>
            <w:pPr>
              <w:pStyle w:val="TableParagraph"/>
              <w:spacing w:line="147" w:lineRule="exact"/>
              <w:ind w:right="182"/>
              <w:jc w:val="right"/>
              <w:rPr>
                <w:sz w:val="13"/>
              </w:rPr>
            </w:pPr>
            <w:r>
              <w:rPr>
                <w:spacing w:val="-2"/>
                <w:w w:val="105"/>
                <w:sz w:val="13"/>
              </w:rPr>
              <w:t>40,144</w:t>
            </w:r>
          </w:p>
        </w:tc>
        <w:tc>
          <w:tcPr>
            <w:tcW w:w="916" w:type="dxa"/>
          </w:tcPr>
          <w:p>
            <w:pPr>
              <w:pStyle w:val="TableParagraph"/>
              <w:spacing w:line="147" w:lineRule="exact"/>
              <w:ind w:right="182"/>
              <w:jc w:val="right"/>
              <w:rPr>
                <w:sz w:val="13"/>
              </w:rPr>
            </w:pPr>
            <w:r>
              <w:rPr>
                <w:spacing w:val="-2"/>
                <w:w w:val="105"/>
                <w:sz w:val="13"/>
              </w:rPr>
              <w:t>39,010</w:t>
            </w:r>
          </w:p>
        </w:tc>
        <w:tc>
          <w:tcPr>
            <w:tcW w:w="916" w:type="dxa"/>
          </w:tcPr>
          <w:p>
            <w:pPr>
              <w:pStyle w:val="TableParagraph"/>
              <w:spacing w:line="147" w:lineRule="exact"/>
              <w:ind w:right="182"/>
              <w:jc w:val="right"/>
              <w:rPr>
                <w:sz w:val="13"/>
              </w:rPr>
            </w:pPr>
            <w:r>
              <w:rPr>
                <w:spacing w:val="-2"/>
                <w:w w:val="105"/>
                <w:sz w:val="13"/>
              </w:rPr>
              <w:t>40,272</w:t>
            </w:r>
          </w:p>
        </w:tc>
        <w:tc>
          <w:tcPr>
            <w:tcW w:w="806" w:type="dxa"/>
          </w:tcPr>
          <w:p>
            <w:pPr>
              <w:pStyle w:val="TableParagraph"/>
              <w:spacing w:line="147" w:lineRule="exact"/>
              <w:ind w:right="73"/>
              <w:jc w:val="right"/>
              <w:rPr>
                <w:sz w:val="13"/>
              </w:rPr>
            </w:pPr>
            <w:r>
              <w:rPr>
                <w:spacing w:val="-2"/>
                <w:w w:val="105"/>
                <w:sz w:val="13"/>
              </w:rPr>
              <w:t>38,802</w:t>
            </w:r>
          </w:p>
        </w:tc>
      </w:tr>
      <w:tr>
        <w:trPr>
          <w:trHeight w:val="165" w:hRule="atLeast"/>
        </w:trPr>
        <w:tc>
          <w:tcPr>
            <w:tcW w:w="4693" w:type="dxa"/>
          </w:tcPr>
          <w:p>
            <w:pPr>
              <w:pStyle w:val="TableParagraph"/>
              <w:spacing w:line="143" w:lineRule="exact"/>
              <w:ind w:left="34"/>
              <w:rPr>
                <w:sz w:val="13"/>
              </w:rPr>
            </w:pPr>
            <w:r>
              <w:rPr>
                <w:w w:val="105"/>
                <w:sz w:val="13"/>
              </w:rPr>
              <w:t>OS-HELP</w:t>
            </w:r>
            <w:r>
              <w:rPr>
                <w:spacing w:val="-7"/>
                <w:w w:val="105"/>
                <w:sz w:val="13"/>
              </w:rPr>
              <w:t> </w:t>
            </w:r>
            <w:r>
              <w:rPr>
                <w:w w:val="105"/>
                <w:sz w:val="13"/>
              </w:rPr>
              <w:t>liability</w:t>
            </w:r>
            <w:r>
              <w:rPr>
                <w:spacing w:val="-10"/>
                <w:w w:val="105"/>
                <w:sz w:val="13"/>
              </w:rPr>
              <w:t> </w:t>
            </w:r>
            <w:r>
              <w:rPr>
                <w:w w:val="105"/>
                <w:sz w:val="13"/>
              </w:rPr>
              <w:t>to</w:t>
            </w:r>
            <w:r>
              <w:rPr>
                <w:spacing w:val="-6"/>
                <w:w w:val="105"/>
                <w:sz w:val="13"/>
              </w:rPr>
              <w:t> </w:t>
            </w:r>
            <w:r>
              <w:rPr>
                <w:w w:val="105"/>
                <w:sz w:val="13"/>
              </w:rPr>
              <w:t>the</w:t>
            </w:r>
            <w:r>
              <w:rPr>
                <w:spacing w:val="-6"/>
                <w:w w:val="105"/>
                <w:sz w:val="13"/>
              </w:rPr>
              <w:t> </w:t>
            </w:r>
            <w:r>
              <w:rPr>
                <w:w w:val="105"/>
                <w:sz w:val="13"/>
              </w:rPr>
              <w:t>Australian</w:t>
            </w:r>
            <w:r>
              <w:rPr>
                <w:spacing w:val="-7"/>
                <w:w w:val="105"/>
                <w:sz w:val="13"/>
              </w:rPr>
              <w:t> </w:t>
            </w:r>
            <w:r>
              <w:rPr>
                <w:spacing w:val="-2"/>
                <w:w w:val="105"/>
                <w:sz w:val="13"/>
              </w:rPr>
              <w:t>Government</w:t>
            </w:r>
          </w:p>
        </w:tc>
        <w:tc>
          <w:tcPr>
            <w:tcW w:w="1028" w:type="dxa"/>
            <w:tcBorders>
              <w:bottom w:val="single" w:sz="6" w:space="0" w:color="000000"/>
            </w:tcBorders>
          </w:tcPr>
          <w:p>
            <w:pPr>
              <w:pStyle w:val="TableParagraph"/>
              <w:spacing w:line="146" w:lineRule="exact"/>
              <w:ind w:right="182"/>
              <w:jc w:val="right"/>
              <w:rPr>
                <w:sz w:val="13"/>
              </w:rPr>
            </w:pPr>
            <w:r>
              <w:rPr>
                <w:spacing w:val="-2"/>
                <w:w w:val="105"/>
                <w:sz w:val="13"/>
              </w:rPr>
              <w:t>3,534</w:t>
            </w:r>
          </w:p>
        </w:tc>
        <w:tc>
          <w:tcPr>
            <w:tcW w:w="916" w:type="dxa"/>
            <w:tcBorders>
              <w:bottom w:val="single" w:sz="6" w:space="0" w:color="000000"/>
            </w:tcBorders>
          </w:tcPr>
          <w:p>
            <w:pPr>
              <w:pStyle w:val="TableParagraph"/>
              <w:spacing w:line="146" w:lineRule="exact"/>
              <w:ind w:right="182"/>
              <w:jc w:val="right"/>
              <w:rPr>
                <w:sz w:val="13"/>
              </w:rPr>
            </w:pPr>
            <w:r>
              <w:rPr>
                <w:spacing w:val="-5"/>
                <w:w w:val="105"/>
                <w:sz w:val="13"/>
              </w:rPr>
              <w:t>527</w:t>
            </w:r>
          </w:p>
        </w:tc>
        <w:tc>
          <w:tcPr>
            <w:tcW w:w="916" w:type="dxa"/>
            <w:tcBorders>
              <w:bottom w:val="single" w:sz="6" w:space="0" w:color="000000"/>
            </w:tcBorders>
          </w:tcPr>
          <w:p>
            <w:pPr>
              <w:pStyle w:val="TableParagraph"/>
              <w:spacing w:line="146" w:lineRule="exact"/>
              <w:ind w:right="183"/>
              <w:jc w:val="right"/>
              <w:rPr>
                <w:sz w:val="13"/>
              </w:rPr>
            </w:pPr>
            <w:r>
              <w:rPr>
                <w:spacing w:val="-2"/>
                <w:w w:val="105"/>
                <w:sz w:val="13"/>
              </w:rPr>
              <w:t>3,534</w:t>
            </w:r>
          </w:p>
        </w:tc>
        <w:tc>
          <w:tcPr>
            <w:tcW w:w="806" w:type="dxa"/>
            <w:tcBorders>
              <w:bottom w:val="single" w:sz="6" w:space="0" w:color="000000"/>
            </w:tcBorders>
          </w:tcPr>
          <w:p>
            <w:pPr>
              <w:pStyle w:val="TableParagraph"/>
              <w:spacing w:line="146" w:lineRule="exact"/>
              <w:ind w:right="73"/>
              <w:jc w:val="right"/>
              <w:rPr>
                <w:sz w:val="13"/>
              </w:rPr>
            </w:pPr>
            <w:r>
              <w:rPr>
                <w:spacing w:val="-5"/>
                <w:w w:val="105"/>
                <w:sz w:val="13"/>
              </w:rPr>
              <w:t>527</w:t>
            </w:r>
          </w:p>
        </w:tc>
      </w:tr>
      <w:tr>
        <w:trPr>
          <w:trHeight w:val="152" w:hRule="atLeast"/>
        </w:trPr>
        <w:tc>
          <w:tcPr>
            <w:tcW w:w="4693" w:type="dxa"/>
          </w:tcPr>
          <w:p>
            <w:pPr>
              <w:pStyle w:val="TableParagraph"/>
              <w:spacing w:line="133" w:lineRule="exact"/>
              <w:ind w:left="34"/>
              <w:rPr>
                <w:b/>
                <w:sz w:val="13"/>
              </w:rPr>
            </w:pPr>
            <w:r>
              <w:rPr>
                <w:b/>
                <w:w w:val="105"/>
                <w:sz w:val="13"/>
              </w:rPr>
              <w:t>Total</w:t>
            </w:r>
            <w:r>
              <w:rPr>
                <w:b/>
                <w:spacing w:val="-5"/>
                <w:w w:val="105"/>
                <w:sz w:val="13"/>
              </w:rPr>
              <w:t> </w:t>
            </w:r>
            <w:r>
              <w:rPr>
                <w:b/>
                <w:w w:val="105"/>
                <w:sz w:val="13"/>
              </w:rPr>
              <w:t>trade</w:t>
            </w:r>
            <w:r>
              <w:rPr>
                <w:b/>
                <w:spacing w:val="-4"/>
                <w:w w:val="105"/>
                <w:sz w:val="13"/>
              </w:rPr>
              <w:t> </w:t>
            </w:r>
            <w:r>
              <w:rPr>
                <w:b/>
                <w:w w:val="105"/>
                <w:sz w:val="13"/>
              </w:rPr>
              <w:t>and</w:t>
            </w:r>
            <w:r>
              <w:rPr>
                <w:b/>
                <w:spacing w:val="-3"/>
                <w:w w:val="105"/>
                <w:sz w:val="13"/>
              </w:rPr>
              <w:t> </w:t>
            </w:r>
            <w:r>
              <w:rPr>
                <w:b/>
                <w:w w:val="105"/>
                <w:sz w:val="13"/>
              </w:rPr>
              <w:t>other</w:t>
            </w:r>
            <w:r>
              <w:rPr>
                <w:b/>
                <w:spacing w:val="-3"/>
                <w:w w:val="105"/>
                <w:sz w:val="13"/>
              </w:rPr>
              <w:t> </w:t>
            </w:r>
            <w:r>
              <w:rPr>
                <w:b/>
                <w:spacing w:val="-2"/>
                <w:w w:val="105"/>
                <w:sz w:val="13"/>
              </w:rPr>
              <w:t>payables</w:t>
            </w:r>
          </w:p>
        </w:tc>
        <w:tc>
          <w:tcPr>
            <w:tcW w:w="1028" w:type="dxa"/>
            <w:tcBorders>
              <w:top w:val="single" w:sz="6" w:space="0" w:color="000000"/>
              <w:bottom w:val="single" w:sz="6" w:space="0" w:color="000000"/>
            </w:tcBorders>
          </w:tcPr>
          <w:p>
            <w:pPr>
              <w:pStyle w:val="TableParagraph"/>
              <w:spacing w:line="133" w:lineRule="exact"/>
              <w:ind w:right="182"/>
              <w:jc w:val="right"/>
              <w:rPr>
                <w:b/>
                <w:sz w:val="13"/>
              </w:rPr>
            </w:pPr>
            <w:r>
              <w:rPr>
                <w:b/>
                <w:spacing w:val="-2"/>
                <w:w w:val="105"/>
                <w:sz w:val="13"/>
              </w:rPr>
              <w:t>48,463</w:t>
            </w:r>
          </w:p>
        </w:tc>
        <w:tc>
          <w:tcPr>
            <w:tcW w:w="916" w:type="dxa"/>
            <w:tcBorders>
              <w:top w:val="single" w:sz="6" w:space="0" w:color="000000"/>
              <w:bottom w:val="single" w:sz="6" w:space="0" w:color="000000"/>
            </w:tcBorders>
          </w:tcPr>
          <w:p>
            <w:pPr>
              <w:pStyle w:val="TableParagraph"/>
              <w:spacing w:line="133" w:lineRule="exact"/>
              <w:ind w:right="182"/>
              <w:jc w:val="right"/>
              <w:rPr>
                <w:b/>
                <w:sz w:val="13"/>
              </w:rPr>
            </w:pPr>
            <w:r>
              <w:rPr>
                <w:b/>
                <w:spacing w:val="-2"/>
                <w:w w:val="105"/>
                <w:sz w:val="13"/>
              </w:rPr>
              <w:t>70,084</w:t>
            </w:r>
          </w:p>
        </w:tc>
        <w:tc>
          <w:tcPr>
            <w:tcW w:w="916" w:type="dxa"/>
            <w:tcBorders>
              <w:top w:val="single" w:sz="6" w:space="0" w:color="000000"/>
              <w:bottom w:val="single" w:sz="6" w:space="0" w:color="000000"/>
            </w:tcBorders>
          </w:tcPr>
          <w:p>
            <w:pPr>
              <w:pStyle w:val="TableParagraph"/>
              <w:spacing w:line="133" w:lineRule="exact"/>
              <w:ind w:right="183"/>
              <w:jc w:val="right"/>
              <w:rPr>
                <w:b/>
                <w:sz w:val="13"/>
              </w:rPr>
            </w:pPr>
            <w:r>
              <w:rPr>
                <w:b/>
                <w:spacing w:val="-2"/>
                <w:w w:val="105"/>
                <w:sz w:val="13"/>
              </w:rPr>
              <w:t>47,495</w:t>
            </w:r>
          </w:p>
        </w:tc>
        <w:tc>
          <w:tcPr>
            <w:tcW w:w="806" w:type="dxa"/>
            <w:tcBorders>
              <w:top w:val="single" w:sz="6" w:space="0" w:color="000000"/>
              <w:bottom w:val="single" w:sz="6" w:space="0" w:color="000000"/>
            </w:tcBorders>
          </w:tcPr>
          <w:p>
            <w:pPr>
              <w:pStyle w:val="TableParagraph"/>
              <w:spacing w:line="133" w:lineRule="exact"/>
              <w:ind w:right="73"/>
              <w:jc w:val="right"/>
              <w:rPr>
                <w:b/>
                <w:sz w:val="13"/>
              </w:rPr>
            </w:pPr>
            <w:r>
              <w:rPr>
                <w:b/>
                <w:spacing w:val="-2"/>
                <w:w w:val="105"/>
                <w:sz w:val="13"/>
              </w:rPr>
              <w:t>68,230</w:t>
            </w:r>
          </w:p>
        </w:tc>
      </w:tr>
    </w:tbl>
    <w:p>
      <w:pPr>
        <w:spacing w:before="155"/>
        <w:ind w:left="756" w:right="0" w:firstLine="0"/>
        <w:jc w:val="both"/>
        <w:rPr>
          <w:b/>
          <w:i/>
          <w:sz w:val="13"/>
        </w:rPr>
      </w:pPr>
      <w:r>
        <w:rPr>
          <w:b/>
          <w:i/>
          <w:color w:val="0070C0"/>
          <w:w w:val="105"/>
          <w:sz w:val="13"/>
        </w:rPr>
        <w:t>Accounting</w:t>
      </w:r>
      <w:r>
        <w:rPr>
          <w:b/>
          <w:i/>
          <w:color w:val="0070C0"/>
          <w:spacing w:val="-6"/>
          <w:w w:val="105"/>
          <w:sz w:val="13"/>
        </w:rPr>
        <w:t> </w:t>
      </w:r>
      <w:r>
        <w:rPr>
          <w:b/>
          <w:i/>
          <w:color w:val="0070C0"/>
          <w:spacing w:val="-2"/>
          <w:w w:val="105"/>
          <w:sz w:val="13"/>
        </w:rPr>
        <w:t>policy</w:t>
      </w:r>
    </w:p>
    <w:p>
      <w:pPr>
        <w:spacing w:line="273" w:lineRule="auto" w:before="25"/>
        <w:ind w:left="756" w:right="287" w:firstLine="0"/>
        <w:jc w:val="both"/>
        <w:rPr>
          <w:sz w:val="13"/>
        </w:rPr>
      </w:pPr>
      <w:r>
        <w:rPr>
          <w:w w:val="105"/>
          <w:sz w:val="13"/>
        </w:rPr>
        <w:t>Payables represent liabilities for goods or services incurred on or before the reporting date. Trade payables are initially recorded at fair</w:t>
      </w:r>
      <w:r>
        <w:rPr>
          <w:spacing w:val="40"/>
          <w:w w:val="105"/>
          <w:sz w:val="13"/>
        </w:rPr>
        <w:t> </w:t>
      </w:r>
      <w:r>
        <w:rPr>
          <w:w w:val="105"/>
          <w:sz w:val="13"/>
        </w:rPr>
        <w:t>value and subsequently</w:t>
      </w:r>
      <w:r>
        <w:rPr>
          <w:spacing w:val="-2"/>
          <w:w w:val="105"/>
          <w:sz w:val="13"/>
        </w:rPr>
        <w:t> </w:t>
      </w:r>
      <w:r>
        <w:rPr>
          <w:w w:val="105"/>
          <w:sz w:val="13"/>
        </w:rPr>
        <w:t>recorded at amortised cost. Due to the short duration and other terms of payment these amounts usually</w:t>
      </w:r>
      <w:r>
        <w:rPr>
          <w:spacing w:val="-2"/>
          <w:w w:val="105"/>
          <w:sz w:val="13"/>
        </w:rPr>
        <w:t> </w:t>
      </w:r>
      <w:r>
        <w:rPr>
          <w:w w:val="105"/>
          <w:sz w:val="13"/>
        </w:rPr>
        <w:t>equate</w:t>
      </w:r>
      <w:r>
        <w:rPr>
          <w:spacing w:val="40"/>
          <w:w w:val="105"/>
          <w:sz w:val="13"/>
        </w:rPr>
        <w:t> </w:t>
      </w:r>
      <w:r>
        <w:rPr>
          <w:w w:val="105"/>
          <w:sz w:val="13"/>
        </w:rPr>
        <w:t>to</w:t>
      </w:r>
      <w:r>
        <w:rPr>
          <w:spacing w:val="-6"/>
          <w:w w:val="105"/>
          <w:sz w:val="13"/>
        </w:rPr>
        <w:t> </w:t>
      </w:r>
      <w:r>
        <w:rPr>
          <w:w w:val="105"/>
          <w:sz w:val="13"/>
        </w:rPr>
        <w:t>cost.</w:t>
      </w:r>
    </w:p>
    <w:p>
      <w:pPr>
        <w:spacing w:line="240" w:lineRule="auto" w:before="6"/>
        <w:rPr>
          <w:sz w:val="5"/>
        </w:rPr>
      </w:pPr>
      <w:r>
        <w:rPr/>
        <mc:AlternateContent>
          <mc:Choice Requires="wps">
            <w:drawing>
              <wp:anchor distT="0" distB="0" distL="0" distR="0" allowOverlap="1" layoutInCell="1" locked="0" behindDoc="1" simplePos="0" relativeHeight="487754240">
                <wp:simplePos x="0" y="0"/>
                <wp:positionH relativeFrom="page">
                  <wp:posOffset>726008</wp:posOffset>
                </wp:positionH>
                <wp:positionV relativeFrom="paragraph">
                  <wp:posOffset>55734</wp:posOffset>
                </wp:positionV>
                <wp:extent cx="5688330" cy="17145"/>
                <wp:effectExtent l="0" t="0" r="0" b="0"/>
                <wp:wrapTopAndBottom/>
                <wp:docPr id="942" name="Graphic 942"/>
                <wp:cNvGraphicFramePr>
                  <a:graphicFrameLocks/>
                </wp:cNvGraphicFramePr>
                <a:graphic>
                  <a:graphicData uri="http://schemas.microsoft.com/office/word/2010/wordprocessingShape">
                    <wps:wsp>
                      <wps:cNvPr id="942" name="Graphic 942"/>
                      <wps:cNvSpPr/>
                      <wps:spPr>
                        <a:xfrm>
                          <a:off x="0" y="0"/>
                          <a:ext cx="5688330" cy="17145"/>
                        </a:xfrm>
                        <a:custGeom>
                          <a:avLst/>
                          <a:gdLst/>
                          <a:ahLst/>
                          <a:cxnLst/>
                          <a:rect l="l" t="t" r="r" b="b"/>
                          <a:pathLst>
                            <a:path w="5688330" h="17145">
                              <a:moveTo>
                                <a:pt x="5688139" y="0"/>
                              </a:moveTo>
                              <a:lnTo>
                                <a:pt x="0" y="0"/>
                              </a:lnTo>
                              <a:lnTo>
                                <a:pt x="0" y="16814"/>
                              </a:lnTo>
                              <a:lnTo>
                                <a:pt x="5688139" y="16814"/>
                              </a:lnTo>
                              <a:lnTo>
                                <a:pt x="5688139"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7.166pt;margin-top:4.388558pt;width:447.885pt;height:1.324pt;mso-position-horizontal-relative:page;mso-position-vertical-relative:paragraph;z-index:-15562240;mso-wrap-distance-left:0;mso-wrap-distance-right:0" id="docshape635" filled="true" fillcolor="#4f81bd" stroked="false">
                <v:fill type="solid"/>
                <w10:wrap type="topAndBottom"/>
              </v:rect>
            </w:pict>
          </mc:Fallback>
        </mc:AlternateContent>
      </w:r>
    </w:p>
    <w:p>
      <w:pPr>
        <w:pStyle w:val="ListParagraph"/>
        <w:numPr>
          <w:ilvl w:val="1"/>
          <w:numId w:val="24"/>
        </w:numPr>
        <w:tabs>
          <w:tab w:pos="760" w:val="left" w:leader="none"/>
          <w:tab w:pos="5905" w:val="left" w:leader="none"/>
          <w:tab w:pos="7840" w:val="left" w:leader="none"/>
        </w:tabs>
        <w:spacing w:line="240" w:lineRule="auto" w:before="181" w:after="0"/>
        <w:ind w:left="760" w:right="0" w:hanging="606"/>
        <w:jc w:val="left"/>
        <w:rPr>
          <w:b/>
          <w:sz w:val="13"/>
        </w:rPr>
      </w:pPr>
      <w:r>
        <w:rPr>
          <w:b/>
          <w:color w:val="0070C0"/>
          <w:sz w:val="16"/>
        </w:rPr>
        <w:t>Contract</w:t>
      </w:r>
      <w:r>
        <w:rPr>
          <w:b/>
          <w:color w:val="0070C0"/>
          <w:spacing w:val="7"/>
          <w:sz w:val="16"/>
        </w:rPr>
        <w:t> </w:t>
      </w:r>
      <w:r>
        <w:rPr>
          <w:b/>
          <w:color w:val="0070C0"/>
          <w:sz w:val="16"/>
        </w:rPr>
        <w:t>and</w:t>
      </w:r>
      <w:r>
        <w:rPr>
          <w:b/>
          <w:color w:val="0070C0"/>
          <w:spacing w:val="7"/>
          <w:sz w:val="16"/>
        </w:rPr>
        <w:t> </w:t>
      </w:r>
      <w:r>
        <w:rPr>
          <w:b/>
          <w:color w:val="0070C0"/>
          <w:sz w:val="16"/>
        </w:rPr>
        <w:t>other</w:t>
      </w:r>
      <w:r>
        <w:rPr>
          <w:b/>
          <w:color w:val="0070C0"/>
          <w:spacing w:val="7"/>
          <w:sz w:val="16"/>
        </w:rPr>
        <w:t> </w:t>
      </w:r>
      <w:r>
        <w:rPr>
          <w:b/>
          <w:color w:val="0070C0"/>
          <w:spacing w:val="-2"/>
          <w:sz w:val="16"/>
        </w:rPr>
        <w:t>liabilities</w:t>
      </w:r>
      <w:r>
        <w:rPr>
          <w:b/>
          <w:color w:val="0070C0"/>
          <w:sz w:val="16"/>
        </w:rPr>
        <w:tab/>
      </w:r>
      <w:r>
        <w:rPr>
          <w:b/>
          <w:spacing w:val="-2"/>
          <w:sz w:val="13"/>
        </w:rPr>
        <w:t>Consolidated</w:t>
      </w:r>
      <w:r>
        <w:rPr>
          <w:b/>
          <w:sz w:val="13"/>
        </w:rPr>
        <w:tab/>
      </w:r>
      <w:r>
        <w:rPr>
          <w:b/>
          <w:spacing w:val="-2"/>
          <w:sz w:val="13"/>
        </w:rPr>
        <w:t>University</w:t>
      </w:r>
    </w:p>
    <w:tbl>
      <w:tblPr>
        <w:tblW w:w="0" w:type="auto"/>
        <w:jc w:val="left"/>
        <w:tblInd w:w="7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693"/>
        <w:gridCol w:w="1028"/>
        <w:gridCol w:w="730"/>
        <w:gridCol w:w="208"/>
        <w:gridCol w:w="893"/>
        <w:gridCol w:w="805"/>
      </w:tblGrid>
      <w:tr>
        <w:trPr>
          <w:trHeight w:val="358" w:hRule="atLeast"/>
        </w:trPr>
        <w:tc>
          <w:tcPr>
            <w:tcW w:w="4693" w:type="dxa"/>
          </w:tcPr>
          <w:p>
            <w:pPr>
              <w:pStyle w:val="TableParagraph"/>
              <w:rPr>
                <w:rFonts w:ascii="Times New Roman"/>
                <w:sz w:val="12"/>
              </w:rPr>
            </w:pPr>
          </w:p>
        </w:tc>
        <w:tc>
          <w:tcPr>
            <w:tcW w:w="1028" w:type="dxa"/>
            <w:tcBorders>
              <w:bottom w:val="single" w:sz="6" w:space="0" w:color="000000"/>
            </w:tcBorders>
          </w:tcPr>
          <w:p>
            <w:pPr>
              <w:pStyle w:val="TableParagraph"/>
              <w:spacing w:before="23"/>
              <w:ind w:left="313"/>
              <w:rPr>
                <w:b/>
                <w:sz w:val="13"/>
              </w:rPr>
            </w:pPr>
            <w:r>
              <w:rPr>
                <w:b/>
                <w:spacing w:val="-4"/>
                <w:w w:val="105"/>
                <w:sz w:val="13"/>
              </w:rPr>
              <w:t>2020</w:t>
            </w:r>
          </w:p>
          <w:p>
            <w:pPr>
              <w:pStyle w:val="TableParagraph"/>
              <w:spacing w:line="148" w:lineRule="exact" w:before="18"/>
              <w:ind w:left="298"/>
              <w:rPr>
                <w:b/>
                <w:sz w:val="13"/>
              </w:rPr>
            </w:pPr>
            <w:r>
              <w:rPr>
                <w:b/>
                <w:spacing w:val="-2"/>
                <w:w w:val="105"/>
                <w:sz w:val="13"/>
              </w:rPr>
              <w:t>$'000</w:t>
            </w:r>
          </w:p>
        </w:tc>
        <w:tc>
          <w:tcPr>
            <w:tcW w:w="730" w:type="dxa"/>
            <w:tcBorders>
              <w:bottom w:val="single" w:sz="6" w:space="0" w:color="000000"/>
            </w:tcBorders>
          </w:tcPr>
          <w:p>
            <w:pPr>
              <w:pStyle w:val="TableParagraph"/>
              <w:spacing w:before="23"/>
              <w:ind w:left="201"/>
              <w:rPr>
                <w:b/>
                <w:sz w:val="13"/>
              </w:rPr>
            </w:pPr>
            <w:r>
              <w:rPr>
                <w:b/>
                <w:spacing w:val="-4"/>
                <w:w w:val="105"/>
                <w:sz w:val="13"/>
              </w:rPr>
              <w:t>2019</w:t>
            </w:r>
          </w:p>
          <w:p>
            <w:pPr>
              <w:pStyle w:val="TableParagraph"/>
              <w:spacing w:line="148" w:lineRule="exact" w:before="18"/>
              <w:ind w:left="186"/>
              <w:rPr>
                <w:b/>
                <w:sz w:val="13"/>
              </w:rPr>
            </w:pPr>
            <w:r>
              <w:rPr>
                <w:b/>
                <w:spacing w:val="-2"/>
                <w:w w:val="105"/>
                <w:sz w:val="13"/>
              </w:rPr>
              <w:t>$'000</w:t>
            </w:r>
          </w:p>
        </w:tc>
        <w:tc>
          <w:tcPr>
            <w:tcW w:w="208" w:type="dxa"/>
            <w:tcBorders>
              <w:bottom w:val="single" w:sz="6" w:space="0" w:color="000000"/>
            </w:tcBorders>
          </w:tcPr>
          <w:p>
            <w:pPr>
              <w:pStyle w:val="TableParagraph"/>
              <w:rPr>
                <w:rFonts w:ascii="Times New Roman"/>
                <w:sz w:val="12"/>
              </w:rPr>
            </w:pPr>
          </w:p>
        </w:tc>
        <w:tc>
          <w:tcPr>
            <w:tcW w:w="893" w:type="dxa"/>
            <w:tcBorders>
              <w:bottom w:val="single" w:sz="6" w:space="0" w:color="000000"/>
            </w:tcBorders>
          </w:tcPr>
          <w:p>
            <w:pPr>
              <w:pStyle w:val="TableParagraph"/>
              <w:spacing w:before="23"/>
              <w:ind w:left="179"/>
              <w:rPr>
                <w:b/>
                <w:sz w:val="13"/>
              </w:rPr>
            </w:pPr>
            <w:r>
              <w:rPr>
                <w:b/>
                <w:spacing w:val="-4"/>
                <w:w w:val="105"/>
                <w:sz w:val="13"/>
              </w:rPr>
              <w:t>2020</w:t>
            </w:r>
          </w:p>
          <w:p>
            <w:pPr>
              <w:pStyle w:val="TableParagraph"/>
              <w:spacing w:line="148" w:lineRule="exact" w:before="18"/>
              <w:ind w:left="164"/>
              <w:rPr>
                <w:b/>
                <w:sz w:val="13"/>
              </w:rPr>
            </w:pPr>
            <w:r>
              <w:rPr>
                <w:b/>
                <w:spacing w:val="-2"/>
                <w:w w:val="105"/>
                <w:sz w:val="13"/>
              </w:rPr>
              <w:t>$'000</w:t>
            </w:r>
          </w:p>
        </w:tc>
        <w:tc>
          <w:tcPr>
            <w:tcW w:w="805" w:type="dxa"/>
            <w:tcBorders>
              <w:bottom w:val="single" w:sz="6" w:space="0" w:color="000000"/>
            </w:tcBorders>
          </w:tcPr>
          <w:p>
            <w:pPr>
              <w:pStyle w:val="TableParagraph"/>
              <w:spacing w:before="23"/>
              <w:ind w:left="202"/>
              <w:rPr>
                <w:b/>
                <w:sz w:val="13"/>
              </w:rPr>
            </w:pPr>
            <w:r>
              <w:rPr>
                <w:b/>
                <w:spacing w:val="-4"/>
                <w:w w:val="105"/>
                <w:sz w:val="13"/>
              </w:rPr>
              <w:t>2019</w:t>
            </w:r>
          </w:p>
          <w:p>
            <w:pPr>
              <w:pStyle w:val="TableParagraph"/>
              <w:spacing w:line="148" w:lineRule="exact" w:before="18"/>
              <w:ind w:left="187"/>
              <w:rPr>
                <w:b/>
                <w:sz w:val="13"/>
              </w:rPr>
            </w:pPr>
            <w:r>
              <w:rPr>
                <w:b/>
                <w:spacing w:val="-2"/>
                <w:w w:val="105"/>
                <w:sz w:val="13"/>
              </w:rPr>
              <w:t>$'000</w:t>
            </w:r>
          </w:p>
        </w:tc>
      </w:tr>
      <w:tr>
        <w:trPr>
          <w:trHeight w:val="629" w:hRule="atLeast"/>
        </w:trPr>
        <w:tc>
          <w:tcPr>
            <w:tcW w:w="4693" w:type="dxa"/>
          </w:tcPr>
          <w:p>
            <w:pPr>
              <w:pStyle w:val="TableParagraph"/>
              <w:spacing w:before="124"/>
              <w:ind w:left="34"/>
              <w:rPr>
                <w:b/>
                <w:sz w:val="13"/>
              </w:rPr>
            </w:pPr>
            <w:r>
              <w:rPr>
                <w:b/>
                <w:spacing w:val="-2"/>
                <w:w w:val="105"/>
                <w:sz w:val="13"/>
              </w:rPr>
              <w:t>Current</w:t>
            </w:r>
          </w:p>
          <w:p>
            <w:pPr>
              <w:pStyle w:val="TableParagraph"/>
              <w:spacing w:before="18"/>
              <w:ind w:left="34"/>
              <w:rPr>
                <w:b/>
                <w:sz w:val="13"/>
              </w:rPr>
            </w:pPr>
            <w:r>
              <w:rPr>
                <w:b/>
                <w:w w:val="105"/>
                <w:sz w:val="13"/>
              </w:rPr>
              <w:t>Other</w:t>
            </w:r>
            <w:r>
              <w:rPr>
                <w:b/>
                <w:spacing w:val="-4"/>
                <w:w w:val="105"/>
                <w:sz w:val="13"/>
              </w:rPr>
              <w:t> </w:t>
            </w:r>
            <w:r>
              <w:rPr>
                <w:b/>
                <w:spacing w:val="-2"/>
                <w:w w:val="105"/>
                <w:sz w:val="13"/>
              </w:rPr>
              <w:t>Liabilities</w:t>
            </w:r>
          </w:p>
          <w:p>
            <w:pPr>
              <w:pStyle w:val="TableParagraph"/>
              <w:spacing w:before="18"/>
              <w:ind w:left="34"/>
              <w:rPr>
                <w:sz w:val="13"/>
              </w:rPr>
            </w:pPr>
            <w:r>
              <w:rPr>
                <w:spacing w:val="-2"/>
                <w:w w:val="105"/>
                <w:sz w:val="13"/>
              </w:rPr>
              <w:t>Australian</w:t>
            </w:r>
            <w:r>
              <w:rPr>
                <w:spacing w:val="8"/>
                <w:w w:val="105"/>
                <w:sz w:val="13"/>
              </w:rPr>
              <w:t> </w:t>
            </w:r>
            <w:r>
              <w:rPr>
                <w:spacing w:val="-2"/>
                <w:w w:val="105"/>
                <w:sz w:val="13"/>
              </w:rPr>
              <w:t>Government</w:t>
            </w:r>
            <w:r>
              <w:rPr>
                <w:spacing w:val="8"/>
                <w:w w:val="105"/>
                <w:sz w:val="13"/>
              </w:rPr>
              <w:t> </w:t>
            </w:r>
            <w:r>
              <w:rPr>
                <w:spacing w:val="-2"/>
                <w:w w:val="105"/>
                <w:sz w:val="13"/>
              </w:rPr>
              <w:t>financial</w:t>
            </w:r>
            <w:r>
              <w:rPr>
                <w:spacing w:val="9"/>
                <w:w w:val="105"/>
                <w:sz w:val="13"/>
              </w:rPr>
              <w:t> </w:t>
            </w:r>
            <w:r>
              <w:rPr>
                <w:spacing w:val="-2"/>
                <w:w w:val="105"/>
                <w:sz w:val="13"/>
              </w:rPr>
              <w:t>assistance</w:t>
            </w:r>
          </w:p>
        </w:tc>
        <w:tc>
          <w:tcPr>
            <w:tcW w:w="1028" w:type="dxa"/>
            <w:tcBorders>
              <w:top w:val="single" w:sz="6" w:space="0" w:color="000000"/>
            </w:tcBorders>
          </w:tcPr>
          <w:p>
            <w:pPr>
              <w:pStyle w:val="TableParagraph"/>
              <w:rPr>
                <w:b/>
                <w:sz w:val="13"/>
              </w:rPr>
            </w:pPr>
          </w:p>
          <w:p>
            <w:pPr>
              <w:pStyle w:val="TableParagraph"/>
              <w:rPr>
                <w:b/>
                <w:sz w:val="13"/>
              </w:rPr>
            </w:pPr>
          </w:p>
          <w:p>
            <w:pPr>
              <w:pStyle w:val="TableParagraph"/>
              <w:spacing w:before="10"/>
              <w:rPr>
                <w:b/>
                <w:sz w:val="13"/>
              </w:rPr>
            </w:pPr>
          </w:p>
          <w:p>
            <w:pPr>
              <w:pStyle w:val="TableParagraph"/>
              <w:ind w:right="182"/>
              <w:jc w:val="right"/>
              <w:rPr>
                <w:sz w:val="13"/>
              </w:rPr>
            </w:pPr>
            <w:r>
              <w:rPr>
                <w:spacing w:val="-2"/>
                <w:w w:val="105"/>
                <w:sz w:val="13"/>
              </w:rPr>
              <w:t>14,510</w:t>
            </w:r>
          </w:p>
        </w:tc>
        <w:tc>
          <w:tcPr>
            <w:tcW w:w="730" w:type="dxa"/>
            <w:tcBorders>
              <w:top w:val="single" w:sz="6" w:space="0" w:color="000000"/>
            </w:tcBorders>
          </w:tcPr>
          <w:p>
            <w:pPr>
              <w:pStyle w:val="TableParagraph"/>
              <w:rPr>
                <w:rFonts w:ascii="Times New Roman"/>
                <w:sz w:val="12"/>
              </w:rPr>
            </w:pPr>
          </w:p>
        </w:tc>
        <w:tc>
          <w:tcPr>
            <w:tcW w:w="208" w:type="dxa"/>
            <w:tcBorders>
              <w:top w:val="single" w:sz="6" w:space="0" w:color="000000"/>
            </w:tcBorders>
          </w:tcPr>
          <w:p>
            <w:pPr>
              <w:pStyle w:val="TableParagraph"/>
              <w:rPr>
                <w:b/>
                <w:sz w:val="13"/>
              </w:rPr>
            </w:pPr>
          </w:p>
          <w:p>
            <w:pPr>
              <w:pStyle w:val="TableParagraph"/>
              <w:rPr>
                <w:b/>
                <w:sz w:val="13"/>
              </w:rPr>
            </w:pPr>
          </w:p>
          <w:p>
            <w:pPr>
              <w:pStyle w:val="TableParagraph"/>
              <w:spacing w:before="10"/>
              <w:rPr>
                <w:b/>
                <w:sz w:val="13"/>
              </w:rPr>
            </w:pPr>
          </w:p>
          <w:p>
            <w:pPr>
              <w:pStyle w:val="TableParagraph"/>
              <w:ind w:left="1"/>
              <w:rPr>
                <w:sz w:val="13"/>
              </w:rPr>
            </w:pPr>
            <w:r>
              <w:rPr>
                <w:spacing w:val="-10"/>
                <w:w w:val="105"/>
                <w:sz w:val="13"/>
              </w:rPr>
              <w:t>-</w:t>
            </w:r>
          </w:p>
        </w:tc>
        <w:tc>
          <w:tcPr>
            <w:tcW w:w="893" w:type="dxa"/>
            <w:tcBorders>
              <w:top w:val="single" w:sz="6" w:space="0" w:color="000000"/>
            </w:tcBorders>
          </w:tcPr>
          <w:p>
            <w:pPr>
              <w:pStyle w:val="TableParagraph"/>
              <w:rPr>
                <w:b/>
                <w:sz w:val="13"/>
              </w:rPr>
            </w:pPr>
          </w:p>
          <w:p>
            <w:pPr>
              <w:pStyle w:val="TableParagraph"/>
              <w:rPr>
                <w:b/>
                <w:sz w:val="13"/>
              </w:rPr>
            </w:pPr>
          </w:p>
          <w:p>
            <w:pPr>
              <w:pStyle w:val="TableParagraph"/>
              <w:spacing w:before="10"/>
              <w:rPr>
                <w:b/>
                <w:sz w:val="13"/>
              </w:rPr>
            </w:pPr>
          </w:p>
          <w:p>
            <w:pPr>
              <w:pStyle w:val="TableParagraph"/>
              <w:ind w:left="187" w:right="75"/>
              <w:jc w:val="center"/>
              <w:rPr>
                <w:sz w:val="13"/>
              </w:rPr>
            </w:pPr>
            <w:r>
              <w:rPr>
                <w:spacing w:val="-2"/>
                <w:w w:val="105"/>
                <w:sz w:val="13"/>
              </w:rPr>
              <w:t>14,510</w:t>
            </w:r>
          </w:p>
        </w:tc>
        <w:tc>
          <w:tcPr>
            <w:tcW w:w="805" w:type="dxa"/>
            <w:tcBorders>
              <w:top w:val="single" w:sz="6" w:space="0" w:color="000000"/>
            </w:tcBorders>
          </w:tcPr>
          <w:p>
            <w:pPr>
              <w:pStyle w:val="TableParagraph"/>
              <w:rPr>
                <w:b/>
                <w:sz w:val="13"/>
              </w:rPr>
            </w:pPr>
          </w:p>
          <w:p>
            <w:pPr>
              <w:pStyle w:val="TableParagraph"/>
              <w:rPr>
                <w:b/>
                <w:sz w:val="13"/>
              </w:rPr>
            </w:pPr>
          </w:p>
          <w:p>
            <w:pPr>
              <w:pStyle w:val="TableParagraph"/>
              <w:spacing w:before="10"/>
              <w:rPr>
                <w:b/>
                <w:sz w:val="13"/>
              </w:rPr>
            </w:pPr>
          </w:p>
          <w:p>
            <w:pPr>
              <w:pStyle w:val="TableParagraph"/>
              <w:ind w:right="25"/>
              <w:jc w:val="right"/>
              <w:rPr>
                <w:sz w:val="13"/>
              </w:rPr>
            </w:pPr>
            <w:r>
              <w:rPr>
                <w:spacing w:val="-10"/>
                <w:w w:val="105"/>
                <w:sz w:val="13"/>
              </w:rPr>
              <w:t>-</w:t>
            </w:r>
          </w:p>
        </w:tc>
      </w:tr>
      <w:tr>
        <w:trPr>
          <w:trHeight w:val="167" w:hRule="atLeast"/>
        </w:trPr>
        <w:tc>
          <w:tcPr>
            <w:tcW w:w="4693" w:type="dxa"/>
          </w:tcPr>
          <w:p>
            <w:pPr>
              <w:pStyle w:val="TableParagraph"/>
              <w:spacing w:line="143" w:lineRule="exact"/>
              <w:ind w:left="34"/>
              <w:rPr>
                <w:sz w:val="13"/>
              </w:rPr>
            </w:pPr>
            <w:r>
              <w:rPr>
                <w:spacing w:val="-2"/>
                <w:w w:val="105"/>
                <w:sz w:val="13"/>
              </w:rPr>
              <w:t>Student</w:t>
            </w:r>
            <w:r>
              <w:rPr>
                <w:spacing w:val="2"/>
                <w:w w:val="105"/>
                <w:sz w:val="13"/>
              </w:rPr>
              <w:t> </w:t>
            </w:r>
            <w:r>
              <w:rPr>
                <w:spacing w:val="-4"/>
                <w:w w:val="105"/>
                <w:sz w:val="13"/>
              </w:rPr>
              <w:t>fees</w:t>
            </w:r>
          </w:p>
        </w:tc>
        <w:tc>
          <w:tcPr>
            <w:tcW w:w="1028" w:type="dxa"/>
          </w:tcPr>
          <w:p>
            <w:pPr>
              <w:pStyle w:val="TableParagraph"/>
              <w:spacing w:line="147" w:lineRule="exact"/>
              <w:ind w:right="182"/>
              <w:jc w:val="right"/>
              <w:rPr>
                <w:sz w:val="13"/>
              </w:rPr>
            </w:pPr>
            <w:r>
              <w:rPr>
                <w:spacing w:val="-2"/>
                <w:w w:val="105"/>
                <w:sz w:val="13"/>
              </w:rPr>
              <w:t>26,394</w:t>
            </w:r>
          </w:p>
        </w:tc>
        <w:tc>
          <w:tcPr>
            <w:tcW w:w="730" w:type="dxa"/>
          </w:tcPr>
          <w:p>
            <w:pPr>
              <w:pStyle w:val="TableParagraph"/>
              <w:spacing w:line="147" w:lineRule="exact"/>
              <w:ind w:right="-15"/>
              <w:jc w:val="right"/>
              <w:rPr>
                <w:sz w:val="13"/>
              </w:rPr>
            </w:pPr>
            <w:r>
              <w:rPr>
                <w:spacing w:val="-2"/>
                <w:w w:val="105"/>
                <w:sz w:val="13"/>
              </w:rPr>
              <w:t>19,336</w:t>
            </w:r>
          </w:p>
        </w:tc>
        <w:tc>
          <w:tcPr>
            <w:tcW w:w="208" w:type="dxa"/>
          </w:tcPr>
          <w:p>
            <w:pPr>
              <w:pStyle w:val="TableParagraph"/>
              <w:rPr>
                <w:rFonts w:ascii="Times New Roman"/>
                <w:sz w:val="10"/>
              </w:rPr>
            </w:pPr>
          </w:p>
        </w:tc>
        <w:tc>
          <w:tcPr>
            <w:tcW w:w="893" w:type="dxa"/>
          </w:tcPr>
          <w:p>
            <w:pPr>
              <w:pStyle w:val="TableParagraph"/>
              <w:spacing w:line="147" w:lineRule="exact"/>
              <w:ind w:left="187" w:right="75"/>
              <w:jc w:val="center"/>
              <w:rPr>
                <w:sz w:val="13"/>
              </w:rPr>
            </w:pPr>
            <w:r>
              <w:rPr>
                <w:spacing w:val="-2"/>
                <w:w w:val="105"/>
                <w:sz w:val="13"/>
              </w:rPr>
              <w:t>26,393</w:t>
            </w:r>
          </w:p>
        </w:tc>
        <w:tc>
          <w:tcPr>
            <w:tcW w:w="805" w:type="dxa"/>
          </w:tcPr>
          <w:p>
            <w:pPr>
              <w:pStyle w:val="TableParagraph"/>
              <w:spacing w:line="147" w:lineRule="exact"/>
              <w:ind w:right="71"/>
              <w:jc w:val="right"/>
              <w:rPr>
                <w:sz w:val="13"/>
              </w:rPr>
            </w:pPr>
            <w:r>
              <w:rPr>
                <w:spacing w:val="-2"/>
                <w:w w:val="105"/>
                <w:sz w:val="13"/>
              </w:rPr>
              <w:t>19,336</w:t>
            </w:r>
          </w:p>
        </w:tc>
      </w:tr>
      <w:tr>
        <w:trPr>
          <w:trHeight w:val="167" w:hRule="atLeast"/>
        </w:trPr>
        <w:tc>
          <w:tcPr>
            <w:tcW w:w="4693" w:type="dxa"/>
          </w:tcPr>
          <w:p>
            <w:pPr>
              <w:pStyle w:val="TableParagraph"/>
              <w:spacing w:line="143" w:lineRule="exact"/>
              <w:ind w:left="34"/>
              <w:rPr>
                <w:sz w:val="13"/>
              </w:rPr>
            </w:pPr>
            <w:r>
              <w:rPr>
                <w:w w:val="105"/>
                <w:sz w:val="13"/>
              </w:rPr>
              <w:t>Funds</w:t>
            </w:r>
            <w:r>
              <w:rPr>
                <w:spacing w:val="-6"/>
                <w:w w:val="105"/>
                <w:sz w:val="13"/>
              </w:rPr>
              <w:t> </w:t>
            </w:r>
            <w:r>
              <w:rPr>
                <w:w w:val="105"/>
                <w:sz w:val="13"/>
              </w:rPr>
              <w:t>held</w:t>
            </w:r>
            <w:r>
              <w:rPr>
                <w:spacing w:val="-6"/>
                <w:w w:val="105"/>
                <w:sz w:val="13"/>
              </w:rPr>
              <w:t> </w:t>
            </w:r>
            <w:r>
              <w:rPr>
                <w:w w:val="105"/>
                <w:sz w:val="13"/>
              </w:rPr>
              <w:t>for</w:t>
            </w:r>
            <w:r>
              <w:rPr>
                <w:spacing w:val="-4"/>
                <w:w w:val="105"/>
                <w:sz w:val="13"/>
              </w:rPr>
              <w:t> </w:t>
            </w:r>
            <w:r>
              <w:rPr>
                <w:w w:val="105"/>
                <w:sz w:val="13"/>
              </w:rPr>
              <w:t>outside</w:t>
            </w:r>
            <w:r>
              <w:rPr>
                <w:spacing w:val="-7"/>
                <w:w w:val="105"/>
                <w:sz w:val="13"/>
              </w:rPr>
              <w:t> </w:t>
            </w:r>
            <w:r>
              <w:rPr>
                <w:spacing w:val="-2"/>
                <w:w w:val="105"/>
                <w:sz w:val="13"/>
              </w:rPr>
              <w:t>parties</w:t>
            </w:r>
          </w:p>
        </w:tc>
        <w:tc>
          <w:tcPr>
            <w:tcW w:w="1028" w:type="dxa"/>
          </w:tcPr>
          <w:p>
            <w:pPr>
              <w:pStyle w:val="TableParagraph"/>
              <w:spacing w:line="147" w:lineRule="exact"/>
              <w:ind w:right="182"/>
              <w:jc w:val="right"/>
              <w:rPr>
                <w:sz w:val="13"/>
              </w:rPr>
            </w:pPr>
            <w:r>
              <w:rPr>
                <w:spacing w:val="-2"/>
                <w:w w:val="105"/>
                <w:sz w:val="13"/>
              </w:rPr>
              <w:t>4,927</w:t>
            </w:r>
          </w:p>
        </w:tc>
        <w:tc>
          <w:tcPr>
            <w:tcW w:w="730" w:type="dxa"/>
          </w:tcPr>
          <w:p>
            <w:pPr>
              <w:pStyle w:val="TableParagraph"/>
              <w:spacing w:line="147" w:lineRule="exact"/>
              <w:ind w:right="-15"/>
              <w:jc w:val="right"/>
              <w:rPr>
                <w:sz w:val="13"/>
              </w:rPr>
            </w:pPr>
            <w:r>
              <w:rPr>
                <w:spacing w:val="-2"/>
                <w:w w:val="105"/>
                <w:sz w:val="13"/>
              </w:rPr>
              <w:t>6,067</w:t>
            </w:r>
          </w:p>
        </w:tc>
        <w:tc>
          <w:tcPr>
            <w:tcW w:w="208" w:type="dxa"/>
          </w:tcPr>
          <w:p>
            <w:pPr>
              <w:pStyle w:val="TableParagraph"/>
              <w:rPr>
                <w:rFonts w:ascii="Times New Roman"/>
                <w:sz w:val="10"/>
              </w:rPr>
            </w:pPr>
          </w:p>
        </w:tc>
        <w:tc>
          <w:tcPr>
            <w:tcW w:w="893" w:type="dxa"/>
          </w:tcPr>
          <w:p>
            <w:pPr>
              <w:pStyle w:val="TableParagraph"/>
              <w:spacing w:line="147" w:lineRule="exact"/>
              <w:ind w:left="187"/>
              <w:jc w:val="center"/>
              <w:rPr>
                <w:sz w:val="13"/>
              </w:rPr>
            </w:pPr>
            <w:r>
              <w:rPr>
                <w:spacing w:val="-2"/>
                <w:w w:val="105"/>
                <w:sz w:val="13"/>
              </w:rPr>
              <w:t>4,926</w:t>
            </w:r>
          </w:p>
        </w:tc>
        <w:tc>
          <w:tcPr>
            <w:tcW w:w="805" w:type="dxa"/>
          </w:tcPr>
          <w:p>
            <w:pPr>
              <w:pStyle w:val="TableParagraph"/>
              <w:spacing w:line="147" w:lineRule="exact"/>
              <w:ind w:right="70"/>
              <w:jc w:val="right"/>
              <w:rPr>
                <w:sz w:val="13"/>
              </w:rPr>
            </w:pPr>
            <w:r>
              <w:rPr>
                <w:spacing w:val="-2"/>
                <w:w w:val="105"/>
                <w:sz w:val="13"/>
              </w:rPr>
              <w:t>6,064</w:t>
            </w:r>
          </w:p>
        </w:tc>
      </w:tr>
      <w:tr>
        <w:trPr>
          <w:trHeight w:val="165" w:hRule="atLeast"/>
        </w:trPr>
        <w:tc>
          <w:tcPr>
            <w:tcW w:w="4693" w:type="dxa"/>
          </w:tcPr>
          <w:p>
            <w:pPr>
              <w:pStyle w:val="TableParagraph"/>
              <w:spacing w:line="143" w:lineRule="exact"/>
              <w:ind w:left="34"/>
              <w:rPr>
                <w:sz w:val="13"/>
              </w:rPr>
            </w:pPr>
            <w:r>
              <w:rPr>
                <w:spacing w:val="-2"/>
                <w:w w:val="105"/>
                <w:sz w:val="13"/>
              </w:rPr>
              <w:t>Other</w:t>
            </w:r>
          </w:p>
        </w:tc>
        <w:tc>
          <w:tcPr>
            <w:tcW w:w="1028" w:type="dxa"/>
            <w:tcBorders>
              <w:bottom w:val="single" w:sz="6" w:space="0" w:color="000000"/>
            </w:tcBorders>
          </w:tcPr>
          <w:p>
            <w:pPr>
              <w:pStyle w:val="TableParagraph"/>
              <w:spacing w:line="146" w:lineRule="exact"/>
              <w:ind w:right="182"/>
              <w:jc w:val="right"/>
              <w:rPr>
                <w:sz w:val="13"/>
              </w:rPr>
            </w:pPr>
            <w:r>
              <w:rPr>
                <w:spacing w:val="-2"/>
                <w:w w:val="105"/>
                <w:sz w:val="13"/>
              </w:rPr>
              <w:t>18,407</w:t>
            </w:r>
          </w:p>
        </w:tc>
        <w:tc>
          <w:tcPr>
            <w:tcW w:w="730" w:type="dxa"/>
            <w:tcBorders>
              <w:bottom w:val="single" w:sz="6" w:space="0" w:color="000000"/>
            </w:tcBorders>
          </w:tcPr>
          <w:p>
            <w:pPr>
              <w:pStyle w:val="TableParagraph"/>
              <w:spacing w:line="146" w:lineRule="exact"/>
              <w:ind w:right="-15"/>
              <w:jc w:val="right"/>
              <w:rPr>
                <w:sz w:val="13"/>
              </w:rPr>
            </w:pPr>
            <w:r>
              <w:rPr>
                <w:spacing w:val="-2"/>
                <w:w w:val="105"/>
                <w:sz w:val="13"/>
              </w:rPr>
              <w:t>17,844</w:t>
            </w:r>
          </w:p>
        </w:tc>
        <w:tc>
          <w:tcPr>
            <w:tcW w:w="208" w:type="dxa"/>
            <w:tcBorders>
              <w:bottom w:val="single" w:sz="6" w:space="0" w:color="000000"/>
            </w:tcBorders>
          </w:tcPr>
          <w:p>
            <w:pPr>
              <w:pStyle w:val="TableParagraph"/>
              <w:rPr>
                <w:rFonts w:ascii="Times New Roman"/>
                <w:sz w:val="10"/>
              </w:rPr>
            </w:pPr>
          </w:p>
        </w:tc>
        <w:tc>
          <w:tcPr>
            <w:tcW w:w="893" w:type="dxa"/>
            <w:tcBorders>
              <w:bottom w:val="single" w:sz="6" w:space="0" w:color="000000"/>
            </w:tcBorders>
          </w:tcPr>
          <w:p>
            <w:pPr>
              <w:pStyle w:val="TableParagraph"/>
              <w:spacing w:line="146" w:lineRule="exact"/>
              <w:ind w:left="187" w:right="75"/>
              <w:jc w:val="center"/>
              <w:rPr>
                <w:sz w:val="13"/>
              </w:rPr>
            </w:pPr>
            <w:r>
              <w:rPr>
                <w:spacing w:val="-2"/>
                <w:w w:val="105"/>
                <w:sz w:val="13"/>
              </w:rPr>
              <w:t>15,550</w:t>
            </w:r>
          </w:p>
        </w:tc>
        <w:tc>
          <w:tcPr>
            <w:tcW w:w="805" w:type="dxa"/>
            <w:tcBorders>
              <w:bottom w:val="single" w:sz="6" w:space="0" w:color="000000"/>
            </w:tcBorders>
          </w:tcPr>
          <w:p>
            <w:pPr>
              <w:pStyle w:val="TableParagraph"/>
              <w:spacing w:line="146" w:lineRule="exact"/>
              <w:ind w:right="71"/>
              <w:jc w:val="right"/>
              <w:rPr>
                <w:sz w:val="13"/>
              </w:rPr>
            </w:pPr>
            <w:r>
              <w:rPr>
                <w:spacing w:val="-2"/>
                <w:w w:val="105"/>
                <w:sz w:val="13"/>
              </w:rPr>
              <w:t>14,866</w:t>
            </w:r>
          </w:p>
        </w:tc>
      </w:tr>
      <w:tr>
        <w:trPr>
          <w:trHeight w:val="152" w:hRule="atLeast"/>
        </w:trPr>
        <w:tc>
          <w:tcPr>
            <w:tcW w:w="4693" w:type="dxa"/>
          </w:tcPr>
          <w:p>
            <w:pPr>
              <w:pStyle w:val="TableParagraph"/>
              <w:spacing w:line="133" w:lineRule="exact"/>
              <w:ind w:left="34"/>
              <w:rPr>
                <w:b/>
                <w:sz w:val="13"/>
              </w:rPr>
            </w:pPr>
            <w:r>
              <w:rPr>
                <w:b/>
                <w:w w:val="105"/>
                <w:sz w:val="13"/>
              </w:rPr>
              <w:t>Total</w:t>
            </w:r>
            <w:r>
              <w:rPr>
                <w:b/>
                <w:spacing w:val="-4"/>
                <w:w w:val="105"/>
                <w:sz w:val="13"/>
              </w:rPr>
              <w:t> </w:t>
            </w:r>
            <w:r>
              <w:rPr>
                <w:b/>
                <w:spacing w:val="-2"/>
                <w:w w:val="105"/>
                <w:sz w:val="13"/>
              </w:rPr>
              <w:t>liabilities</w:t>
            </w:r>
          </w:p>
        </w:tc>
        <w:tc>
          <w:tcPr>
            <w:tcW w:w="1028" w:type="dxa"/>
            <w:tcBorders>
              <w:top w:val="single" w:sz="6" w:space="0" w:color="000000"/>
              <w:bottom w:val="single" w:sz="6" w:space="0" w:color="000000"/>
            </w:tcBorders>
          </w:tcPr>
          <w:p>
            <w:pPr>
              <w:pStyle w:val="TableParagraph"/>
              <w:spacing w:line="133" w:lineRule="exact"/>
              <w:ind w:right="182"/>
              <w:jc w:val="right"/>
              <w:rPr>
                <w:sz w:val="13"/>
              </w:rPr>
            </w:pPr>
            <w:r>
              <w:rPr>
                <w:spacing w:val="-2"/>
                <w:w w:val="105"/>
                <w:sz w:val="13"/>
              </w:rPr>
              <w:t>64,238</w:t>
            </w:r>
          </w:p>
        </w:tc>
        <w:tc>
          <w:tcPr>
            <w:tcW w:w="730" w:type="dxa"/>
            <w:tcBorders>
              <w:top w:val="single" w:sz="6" w:space="0" w:color="000000"/>
              <w:bottom w:val="single" w:sz="6" w:space="0" w:color="000000"/>
            </w:tcBorders>
          </w:tcPr>
          <w:p>
            <w:pPr>
              <w:pStyle w:val="TableParagraph"/>
              <w:spacing w:line="133" w:lineRule="exact"/>
              <w:ind w:right="-15"/>
              <w:jc w:val="right"/>
              <w:rPr>
                <w:sz w:val="13"/>
              </w:rPr>
            </w:pPr>
            <w:r>
              <w:rPr>
                <w:spacing w:val="-2"/>
                <w:w w:val="105"/>
                <w:sz w:val="13"/>
              </w:rPr>
              <w:t>43,247</w:t>
            </w:r>
          </w:p>
        </w:tc>
        <w:tc>
          <w:tcPr>
            <w:tcW w:w="208" w:type="dxa"/>
            <w:tcBorders>
              <w:top w:val="single" w:sz="6" w:space="0" w:color="000000"/>
              <w:bottom w:val="single" w:sz="6" w:space="0" w:color="000000"/>
            </w:tcBorders>
          </w:tcPr>
          <w:p>
            <w:pPr>
              <w:pStyle w:val="TableParagraph"/>
              <w:rPr>
                <w:rFonts w:ascii="Times New Roman"/>
                <w:sz w:val="8"/>
              </w:rPr>
            </w:pPr>
          </w:p>
        </w:tc>
        <w:tc>
          <w:tcPr>
            <w:tcW w:w="893" w:type="dxa"/>
            <w:tcBorders>
              <w:top w:val="single" w:sz="6" w:space="0" w:color="000000"/>
              <w:bottom w:val="single" w:sz="6" w:space="0" w:color="000000"/>
            </w:tcBorders>
          </w:tcPr>
          <w:p>
            <w:pPr>
              <w:pStyle w:val="TableParagraph"/>
              <w:spacing w:line="133" w:lineRule="exact"/>
              <w:ind w:left="187" w:right="75"/>
              <w:jc w:val="center"/>
              <w:rPr>
                <w:sz w:val="13"/>
              </w:rPr>
            </w:pPr>
            <w:r>
              <w:rPr>
                <w:spacing w:val="-2"/>
                <w:w w:val="105"/>
                <w:sz w:val="13"/>
              </w:rPr>
              <w:t>61,379</w:t>
            </w:r>
          </w:p>
        </w:tc>
        <w:tc>
          <w:tcPr>
            <w:tcW w:w="805" w:type="dxa"/>
            <w:tcBorders>
              <w:top w:val="single" w:sz="6" w:space="0" w:color="000000"/>
              <w:bottom w:val="single" w:sz="6" w:space="0" w:color="000000"/>
            </w:tcBorders>
          </w:tcPr>
          <w:p>
            <w:pPr>
              <w:pStyle w:val="TableParagraph"/>
              <w:spacing w:line="133" w:lineRule="exact"/>
              <w:ind w:right="71"/>
              <w:jc w:val="right"/>
              <w:rPr>
                <w:sz w:val="13"/>
              </w:rPr>
            </w:pPr>
            <w:r>
              <w:rPr>
                <w:spacing w:val="-2"/>
                <w:w w:val="105"/>
                <w:sz w:val="13"/>
              </w:rPr>
              <w:t>40,266</w:t>
            </w:r>
          </w:p>
        </w:tc>
      </w:tr>
      <w:tr>
        <w:trPr>
          <w:trHeight w:val="488" w:hRule="atLeast"/>
        </w:trPr>
        <w:tc>
          <w:tcPr>
            <w:tcW w:w="4693" w:type="dxa"/>
          </w:tcPr>
          <w:p>
            <w:pPr>
              <w:pStyle w:val="TableParagraph"/>
              <w:spacing w:before="148"/>
              <w:ind w:left="34"/>
              <w:rPr>
                <w:sz w:val="13"/>
              </w:rPr>
            </w:pPr>
            <w:r>
              <w:rPr>
                <w:w w:val="105"/>
                <w:sz w:val="13"/>
              </w:rPr>
              <w:t>Contract</w:t>
            </w:r>
            <w:r>
              <w:rPr>
                <w:spacing w:val="-9"/>
                <w:w w:val="105"/>
                <w:sz w:val="13"/>
              </w:rPr>
              <w:t> </w:t>
            </w:r>
            <w:r>
              <w:rPr>
                <w:spacing w:val="-2"/>
                <w:w w:val="105"/>
                <w:sz w:val="13"/>
              </w:rPr>
              <w:t>liabilities</w:t>
            </w:r>
          </w:p>
        </w:tc>
        <w:tc>
          <w:tcPr>
            <w:tcW w:w="1028" w:type="dxa"/>
            <w:tcBorders>
              <w:top w:val="single" w:sz="6" w:space="0" w:color="000000"/>
              <w:bottom w:val="single" w:sz="6" w:space="0" w:color="000000"/>
            </w:tcBorders>
          </w:tcPr>
          <w:p>
            <w:pPr>
              <w:pStyle w:val="TableParagraph"/>
              <w:spacing w:before="2"/>
              <w:rPr>
                <w:b/>
                <w:sz w:val="13"/>
              </w:rPr>
            </w:pPr>
          </w:p>
          <w:p>
            <w:pPr>
              <w:pStyle w:val="TableParagraph"/>
              <w:spacing w:before="1"/>
              <w:ind w:right="182"/>
              <w:jc w:val="right"/>
              <w:rPr>
                <w:sz w:val="13"/>
              </w:rPr>
            </w:pPr>
            <w:r>
              <w:rPr>
                <w:spacing w:val="-2"/>
                <w:w w:val="105"/>
                <w:sz w:val="13"/>
              </w:rPr>
              <w:t>89,605</w:t>
            </w:r>
          </w:p>
        </w:tc>
        <w:tc>
          <w:tcPr>
            <w:tcW w:w="730" w:type="dxa"/>
            <w:tcBorders>
              <w:top w:val="single" w:sz="6" w:space="0" w:color="000000"/>
              <w:bottom w:val="single" w:sz="6" w:space="0" w:color="000000"/>
            </w:tcBorders>
          </w:tcPr>
          <w:p>
            <w:pPr>
              <w:pStyle w:val="TableParagraph"/>
              <w:spacing w:before="2"/>
              <w:rPr>
                <w:b/>
                <w:sz w:val="13"/>
              </w:rPr>
            </w:pPr>
          </w:p>
          <w:p>
            <w:pPr>
              <w:pStyle w:val="TableParagraph"/>
              <w:spacing w:before="1"/>
              <w:ind w:right="-15"/>
              <w:jc w:val="right"/>
              <w:rPr>
                <w:sz w:val="13"/>
              </w:rPr>
            </w:pPr>
            <w:r>
              <w:rPr>
                <w:spacing w:val="-2"/>
                <w:w w:val="105"/>
                <w:sz w:val="13"/>
              </w:rPr>
              <w:t>3,004</w:t>
            </w:r>
          </w:p>
        </w:tc>
        <w:tc>
          <w:tcPr>
            <w:tcW w:w="208" w:type="dxa"/>
            <w:tcBorders>
              <w:top w:val="single" w:sz="6" w:space="0" w:color="000000"/>
              <w:bottom w:val="single" w:sz="6" w:space="0" w:color="000000"/>
            </w:tcBorders>
          </w:tcPr>
          <w:p>
            <w:pPr>
              <w:pStyle w:val="TableParagraph"/>
              <w:rPr>
                <w:rFonts w:ascii="Times New Roman"/>
                <w:sz w:val="12"/>
              </w:rPr>
            </w:pPr>
          </w:p>
        </w:tc>
        <w:tc>
          <w:tcPr>
            <w:tcW w:w="893" w:type="dxa"/>
            <w:tcBorders>
              <w:top w:val="single" w:sz="6" w:space="0" w:color="000000"/>
              <w:bottom w:val="single" w:sz="6" w:space="0" w:color="000000"/>
            </w:tcBorders>
          </w:tcPr>
          <w:p>
            <w:pPr>
              <w:pStyle w:val="TableParagraph"/>
              <w:spacing w:before="2"/>
              <w:rPr>
                <w:b/>
                <w:sz w:val="13"/>
              </w:rPr>
            </w:pPr>
          </w:p>
          <w:p>
            <w:pPr>
              <w:pStyle w:val="TableParagraph"/>
              <w:spacing w:before="1"/>
              <w:ind w:left="187" w:right="75"/>
              <w:jc w:val="center"/>
              <w:rPr>
                <w:sz w:val="13"/>
              </w:rPr>
            </w:pPr>
            <w:r>
              <w:rPr>
                <w:spacing w:val="-2"/>
                <w:w w:val="105"/>
                <w:sz w:val="13"/>
              </w:rPr>
              <w:t>89,605</w:t>
            </w:r>
          </w:p>
        </w:tc>
        <w:tc>
          <w:tcPr>
            <w:tcW w:w="805" w:type="dxa"/>
            <w:tcBorders>
              <w:top w:val="single" w:sz="6" w:space="0" w:color="000000"/>
              <w:bottom w:val="single" w:sz="6" w:space="0" w:color="000000"/>
            </w:tcBorders>
          </w:tcPr>
          <w:p>
            <w:pPr>
              <w:pStyle w:val="TableParagraph"/>
              <w:spacing w:before="2"/>
              <w:rPr>
                <w:b/>
                <w:sz w:val="13"/>
              </w:rPr>
            </w:pPr>
          </w:p>
          <w:p>
            <w:pPr>
              <w:pStyle w:val="TableParagraph"/>
              <w:spacing w:before="1"/>
              <w:ind w:right="71"/>
              <w:jc w:val="right"/>
              <w:rPr>
                <w:sz w:val="13"/>
              </w:rPr>
            </w:pPr>
            <w:r>
              <w:rPr>
                <w:spacing w:val="-2"/>
                <w:w w:val="105"/>
                <w:sz w:val="13"/>
              </w:rPr>
              <w:t>2,897</w:t>
            </w:r>
          </w:p>
        </w:tc>
      </w:tr>
      <w:tr>
        <w:trPr>
          <w:trHeight w:val="152" w:hRule="atLeast"/>
        </w:trPr>
        <w:tc>
          <w:tcPr>
            <w:tcW w:w="4693" w:type="dxa"/>
          </w:tcPr>
          <w:p>
            <w:pPr>
              <w:pStyle w:val="TableParagraph"/>
              <w:spacing w:line="133" w:lineRule="exact"/>
              <w:ind w:left="34"/>
              <w:rPr>
                <w:b/>
                <w:sz w:val="13"/>
              </w:rPr>
            </w:pPr>
            <w:r>
              <w:rPr>
                <w:b/>
                <w:w w:val="105"/>
                <w:sz w:val="13"/>
              </w:rPr>
              <w:t>Total</w:t>
            </w:r>
            <w:r>
              <w:rPr>
                <w:b/>
                <w:spacing w:val="-6"/>
                <w:w w:val="105"/>
                <w:sz w:val="13"/>
              </w:rPr>
              <w:t> </w:t>
            </w:r>
            <w:r>
              <w:rPr>
                <w:b/>
                <w:w w:val="105"/>
                <w:sz w:val="13"/>
              </w:rPr>
              <w:t>current</w:t>
            </w:r>
            <w:r>
              <w:rPr>
                <w:b/>
                <w:spacing w:val="-4"/>
                <w:w w:val="105"/>
                <w:sz w:val="13"/>
              </w:rPr>
              <w:t> </w:t>
            </w:r>
            <w:r>
              <w:rPr>
                <w:b/>
                <w:w w:val="105"/>
                <w:sz w:val="13"/>
              </w:rPr>
              <w:t>contract</w:t>
            </w:r>
            <w:r>
              <w:rPr>
                <w:b/>
                <w:spacing w:val="-3"/>
                <w:w w:val="105"/>
                <w:sz w:val="13"/>
              </w:rPr>
              <w:t> </w:t>
            </w:r>
            <w:r>
              <w:rPr>
                <w:b/>
                <w:w w:val="105"/>
                <w:sz w:val="13"/>
              </w:rPr>
              <w:t>and</w:t>
            </w:r>
            <w:r>
              <w:rPr>
                <w:b/>
                <w:spacing w:val="-5"/>
                <w:w w:val="105"/>
                <w:sz w:val="13"/>
              </w:rPr>
              <w:t> </w:t>
            </w:r>
            <w:r>
              <w:rPr>
                <w:b/>
                <w:w w:val="105"/>
                <w:sz w:val="13"/>
              </w:rPr>
              <w:t>other</w:t>
            </w:r>
            <w:r>
              <w:rPr>
                <w:b/>
                <w:spacing w:val="-5"/>
                <w:w w:val="105"/>
                <w:sz w:val="13"/>
              </w:rPr>
              <w:t> </w:t>
            </w:r>
            <w:r>
              <w:rPr>
                <w:b/>
                <w:spacing w:val="-2"/>
                <w:w w:val="105"/>
                <w:sz w:val="13"/>
              </w:rPr>
              <w:t>liabilities</w:t>
            </w:r>
          </w:p>
        </w:tc>
        <w:tc>
          <w:tcPr>
            <w:tcW w:w="1028" w:type="dxa"/>
            <w:tcBorders>
              <w:top w:val="single" w:sz="6" w:space="0" w:color="000000"/>
              <w:bottom w:val="single" w:sz="6" w:space="0" w:color="000000"/>
            </w:tcBorders>
          </w:tcPr>
          <w:p>
            <w:pPr>
              <w:pStyle w:val="TableParagraph"/>
              <w:spacing w:line="133" w:lineRule="exact"/>
              <w:ind w:right="182"/>
              <w:jc w:val="right"/>
              <w:rPr>
                <w:b/>
                <w:sz w:val="13"/>
              </w:rPr>
            </w:pPr>
            <w:r>
              <w:rPr>
                <w:b/>
                <w:spacing w:val="-2"/>
                <w:w w:val="105"/>
                <w:sz w:val="13"/>
              </w:rPr>
              <w:t>153,843</w:t>
            </w:r>
          </w:p>
        </w:tc>
        <w:tc>
          <w:tcPr>
            <w:tcW w:w="730" w:type="dxa"/>
            <w:tcBorders>
              <w:top w:val="single" w:sz="6" w:space="0" w:color="000000"/>
              <w:bottom w:val="single" w:sz="6" w:space="0" w:color="000000"/>
            </w:tcBorders>
          </w:tcPr>
          <w:p>
            <w:pPr>
              <w:pStyle w:val="TableParagraph"/>
              <w:spacing w:line="133" w:lineRule="exact"/>
              <w:ind w:right="-15"/>
              <w:jc w:val="right"/>
              <w:rPr>
                <w:b/>
                <w:sz w:val="13"/>
              </w:rPr>
            </w:pPr>
            <w:r>
              <w:rPr>
                <w:b/>
                <w:spacing w:val="-2"/>
                <w:w w:val="105"/>
                <w:sz w:val="13"/>
              </w:rPr>
              <w:t>46,251</w:t>
            </w:r>
          </w:p>
        </w:tc>
        <w:tc>
          <w:tcPr>
            <w:tcW w:w="208" w:type="dxa"/>
            <w:tcBorders>
              <w:top w:val="single" w:sz="6" w:space="0" w:color="000000"/>
              <w:bottom w:val="single" w:sz="6" w:space="0" w:color="000000"/>
            </w:tcBorders>
          </w:tcPr>
          <w:p>
            <w:pPr>
              <w:pStyle w:val="TableParagraph"/>
              <w:rPr>
                <w:rFonts w:ascii="Times New Roman"/>
                <w:sz w:val="8"/>
              </w:rPr>
            </w:pPr>
          </w:p>
        </w:tc>
        <w:tc>
          <w:tcPr>
            <w:tcW w:w="893" w:type="dxa"/>
            <w:tcBorders>
              <w:top w:val="single" w:sz="6" w:space="0" w:color="000000"/>
              <w:bottom w:val="single" w:sz="6" w:space="0" w:color="000000"/>
            </w:tcBorders>
          </w:tcPr>
          <w:p>
            <w:pPr>
              <w:pStyle w:val="TableParagraph"/>
              <w:spacing w:line="133" w:lineRule="exact"/>
              <w:ind w:left="187" w:right="150"/>
              <w:jc w:val="center"/>
              <w:rPr>
                <w:b/>
                <w:sz w:val="13"/>
              </w:rPr>
            </w:pPr>
            <w:r>
              <w:rPr>
                <w:b/>
                <w:spacing w:val="-2"/>
                <w:w w:val="105"/>
                <w:sz w:val="13"/>
              </w:rPr>
              <w:t>150,984</w:t>
            </w:r>
          </w:p>
        </w:tc>
        <w:tc>
          <w:tcPr>
            <w:tcW w:w="805" w:type="dxa"/>
            <w:tcBorders>
              <w:top w:val="single" w:sz="6" w:space="0" w:color="000000"/>
              <w:bottom w:val="single" w:sz="6" w:space="0" w:color="000000"/>
            </w:tcBorders>
          </w:tcPr>
          <w:p>
            <w:pPr>
              <w:pStyle w:val="TableParagraph"/>
              <w:spacing w:line="133" w:lineRule="exact"/>
              <w:ind w:right="71"/>
              <w:jc w:val="right"/>
              <w:rPr>
                <w:b/>
                <w:sz w:val="13"/>
              </w:rPr>
            </w:pPr>
            <w:r>
              <w:rPr>
                <w:b/>
                <w:spacing w:val="-2"/>
                <w:w w:val="105"/>
                <w:sz w:val="13"/>
              </w:rPr>
              <w:t>43,163</w:t>
            </w:r>
          </w:p>
        </w:tc>
      </w:tr>
      <w:tr>
        <w:trPr>
          <w:trHeight w:val="488" w:hRule="atLeast"/>
        </w:trPr>
        <w:tc>
          <w:tcPr>
            <w:tcW w:w="4693" w:type="dxa"/>
          </w:tcPr>
          <w:p>
            <w:pPr>
              <w:pStyle w:val="TableParagraph"/>
              <w:spacing w:before="3"/>
              <w:rPr>
                <w:b/>
                <w:sz w:val="13"/>
              </w:rPr>
            </w:pPr>
          </w:p>
          <w:p>
            <w:pPr>
              <w:pStyle w:val="TableParagraph"/>
              <w:ind w:left="34"/>
              <w:rPr>
                <w:b/>
                <w:sz w:val="13"/>
              </w:rPr>
            </w:pPr>
            <w:r>
              <w:rPr>
                <w:b/>
                <w:w w:val="105"/>
                <w:sz w:val="13"/>
              </w:rPr>
              <w:t>Non-</w:t>
            </w:r>
            <w:r>
              <w:rPr>
                <w:b/>
                <w:spacing w:val="-2"/>
                <w:w w:val="105"/>
                <w:sz w:val="13"/>
              </w:rPr>
              <w:t>current</w:t>
            </w:r>
          </w:p>
          <w:p>
            <w:pPr>
              <w:pStyle w:val="TableParagraph"/>
              <w:spacing w:before="14"/>
              <w:ind w:left="34"/>
              <w:rPr>
                <w:sz w:val="13"/>
              </w:rPr>
            </w:pPr>
            <w:r>
              <w:rPr>
                <w:w w:val="105"/>
                <w:sz w:val="13"/>
              </w:rPr>
              <w:t>Contract</w:t>
            </w:r>
            <w:r>
              <w:rPr>
                <w:spacing w:val="-9"/>
                <w:w w:val="105"/>
                <w:sz w:val="13"/>
              </w:rPr>
              <w:t> </w:t>
            </w:r>
            <w:r>
              <w:rPr>
                <w:spacing w:val="-2"/>
                <w:w w:val="105"/>
                <w:sz w:val="13"/>
              </w:rPr>
              <w:t>liabilities</w:t>
            </w:r>
          </w:p>
        </w:tc>
        <w:tc>
          <w:tcPr>
            <w:tcW w:w="1028" w:type="dxa"/>
            <w:tcBorders>
              <w:top w:val="single" w:sz="6" w:space="0" w:color="000000"/>
              <w:bottom w:val="single" w:sz="6" w:space="0" w:color="000000"/>
            </w:tcBorders>
          </w:tcPr>
          <w:p>
            <w:pPr>
              <w:pStyle w:val="TableParagraph"/>
              <w:rPr>
                <w:b/>
                <w:sz w:val="13"/>
              </w:rPr>
            </w:pPr>
          </w:p>
          <w:p>
            <w:pPr>
              <w:pStyle w:val="TableParagraph"/>
              <w:spacing w:before="21"/>
              <w:rPr>
                <w:b/>
                <w:sz w:val="13"/>
              </w:rPr>
            </w:pPr>
          </w:p>
          <w:p>
            <w:pPr>
              <w:pStyle w:val="TableParagraph"/>
              <w:spacing w:line="148" w:lineRule="exact"/>
              <w:ind w:right="182"/>
              <w:jc w:val="right"/>
              <w:rPr>
                <w:sz w:val="13"/>
              </w:rPr>
            </w:pPr>
            <w:r>
              <w:rPr>
                <w:spacing w:val="-2"/>
                <w:w w:val="105"/>
                <w:sz w:val="13"/>
              </w:rPr>
              <w:t>30,672</w:t>
            </w:r>
          </w:p>
        </w:tc>
        <w:tc>
          <w:tcPr>
            <w:tcW w:w="730" w:type="dxa"/>
            <w:tcBorders>
              <w:top w:val="single" w:sz="6" w:space="0" w:color="000000"/>
              <w:bottom w:val="single" w:sz="6" w:space="0" w:color="000000"/>
            </w:tcBorders>
          </w:tcPr>
          <w:p>
            <w:pPr>
              <w:pStyle w:val="TableParagraph"/>
              <w:rPr>
                <w:rFonts w:ascii="Times New Roman"/>
                <w:sz w:val="12"/>
              </w:rPr>
            </w:pPr>
          </w:p>
        </w:tc>
        <w:tc>
          <w:tcPr>
            <w:tcW w:w="208" w:type="dxa"/>
            <w:tcBorders>
              <w:top w:val="single" w:sz="6" w:space="0" w:color="000000"/>
              <w:bottom w:val="single" w:sz="6" w:space="0" w:color="000000"/>
            </w:tcBorders>
          </w:tcPr>
          <w:p>
            <w:pPr>
              <w:pStyle w:val="TableParagraph"/>
              <w:rPr>
                <w:b/>
                <w:sz w:val="13"/>
              </w:rPr>
            </w:pPr>
          </w:p>
          <w:p>
            <w:pPr>
              <w:pStyle w:val="TableParagraph"/>
              <w:spacing w:before="25"/>
              <w:rPr>
                <w:b/>
                <w:sz w:val="13"/>
              </w:rPr>
            </w:pPr>
          </w:p>
          <w:p>
            <w:pPr>
              <w:pStyle w:val="TableParagraph"/>
              <w:spacing w:line="144" w:lineRule="exact"/>
              <w:ind w:left="1"/>
              <w:rPr>
                <w:sz w:val="13"/>
              </w:rPr>
            </w:pPr>
            <w:r>
              <w:rPr>
                <w:spacing w:val="-10"/>
                <w:w w:val="105"/>
                <w:sz w:val="13"/>
              </w:rPr>
              <w:t>-</w:t>
            </w:r>
          </w:p>
        </w:tc>
        <w:tc>
          <w:tcPr>
            <w:tcW w:w="893" w:type="dxa"/>
            <w:tcBorders>
              <w:top w:val="single" w:sz="6" w:space="0" w:color="000000"/>
              <w:bottom w:val="single" w:sz="6" w:space="0" w:color="000000"/>
            </w:tcBorders>
          </w:tcPr>
          <w:p>
            <w:pPr>
              <w:pStyle w:val="TableParagraph"/>
              <w:rPr>
                <w:b/>
                <w:sz w:val="13"/>
              </w:rPr>
            </w:pPr>
          </w:p>
          <w:p>
            <w:pPr>
              <w:pStyle w:val="TableParagraph"/>
              <w:spacing w:before="21"/>
              <w:rPr>
                <w:b/>
                <w:sz w:val="13"/>
              </w:rPr>
            </w:pPr>
          </w:p>
          <w:p>
            <w:pPr>
              <w:pStyle w:val="TableParagraph"/>
              <w:spacing w:line="148" w:lineRule="exact"/>
              <w:ind w:left="187" w:right="75"/>
              <w:jc w:val="center"/>
              <w:rPr>
                <w:sz w:val="13"/>
              </w:rPr>
            </w:pPr>
            <w:r>
              <w:rPr>
                <w:spacing w:val="-2"/>
                <w:w w:val="105"/>
                <w:sz w:val="13"/>
              </w:rPr>
              <w:t>30,672</w:t>
            </w:r>
          </w:p>
        </w:tc>
        <w:tc>
          <w:tcPr>
            <w:tcW w:w="805" w:type="dxa"/>
            <w:tcBorders>
              <w:top w:val="single" w:sz="6" w:space="0" w:color="000000"/>
              <w:bottom w:val="single" w:sz="6" w:space="0" w:color="000000"/>
            </w:tcBorders>
          </w:tcPr>
          <w:p>
            <w:pPr>
              <w:pStyle w:val="TableParagraph"/>
              <w:rPr>
                <w:b/>
                <w:sz w:val="13"/>
              </w:rPr>
            </w:pPr>
          </w:p>
          <w:p>
            <w:pPr>
              <w:pStyle w:val="TableParagraph"/>
              <w:spacing w:before="25"/>
              <w:rPr>
                <w:b/>
                <w:sz w:val="13"/>
              </w:rPr>
            </w:pPr>
          </w:p>
          <w:p>
            <w:pPr>
              <w:pStyle w:val="TableParagraph"/>
              <w:spacing w:line="144" w:lineRule="exact"/>
              <w:ind w:right="25"/>
              <w:jc w:val="right"/>
              <w:rPr>
                <w:sz w:val="13"/>
              </w:rPr>
            </w:pPr>
            <w:r>
              <w:rPr>
                <w:spacing w:val="-10"/>
                <w:w w:val="105"/>
                <w:sz w:val="13"/>
              </w:rPr>
              <w:t>-</w:t>
            </w:r>
          </w:p>
        </w:tc>
      </w:tr>
      <w:tr>
        <w:trPr>
          <w:trHeight w:val="152" w:hRule="atLeast"/>
        </w:trPr>
        <w:tc>
          <w:tcPr>
            <w:tcW w:w="4693" w:type="dxa"/>
          </w:tcPr>
          <w:p>
            <w:pPr>
              <w:pStyle w:val="TableParagraph"/>
              <w:spacing w:line="133" w:lineRule="exact"/>
              <w:ind w:left="34"/>
              <w:rPr>
                <w:b/>
                <w:sz w:val="13"/>
              </w:rPr>
            </w:pPr>
            <w:r>
              <w:rPr>
                <w:b/>
                <w:w w:val="105"/>
                <w:sz w:val="13"/>
              </w:rPr>
              <w:t>Total</w:t>
            </w:r>
            <w:r>
              <w:rPr>
                <w:b/>
                <w:spacing w:val="-6"/>
                <w:w w:val="105"/>
                <w:sz w:val="13"/>
              </w:rPr>
              <w:t> </w:t>
            </w:r>
            <w:r>
              <w:rPr>
                <w:b/>
                <w:w w:val="105"/>
                <w:sz w:val="13"/>
              </w:rPr>
              <w:t>non-current</w:t>
            </w:r>
            <w:r>
              <w:rPr>
                <w:b/>
                <w:spacing w:val="-4"/>
                <w:w w:val="105"/>
                <w:sz w:val="13"/>
              </w:rPr>
              <w:t> </w:t>
            </w:r>
            <w:r>
              <w:rPr>
                <w:b/>
                <w:w w:val="105"/>
                <w:sz w:val="13"/>
              </w:rPr>
              <w:t>contract</w:t>
            </w:r>
            <w:r>
              <w:rPr>
                <w:b/>
                <w:spacing w:val="-3"/>
                <w:w w:val="105"/>
                <w:sz w:val="13"/>
              </w:rPr>
              <w:t> </w:t>
            </w:r>
            <w:r>
              <w:rPr>
                <w:b/>
                <w:w w:val="105"/>
                <w:sz w:val="13"/>
              </w:rPr>
              <w:t>and</w:t>
            </w:r>
            <w:r>
              <w:rPr>
                <w:b/>
                <w:spacing w:val="-5"/>
                <w:w w:val="105"/>
                <w:sz w:val="13"/>
              </w:rPr>
              <w:t> </w:t>
            </w:r>
            <w:r>
              <w:rPr>
                <w:b/>
                <w:w w:val="105"/>
                <w:sz w:val="13"/>
              </w:rPr>
              <w:t>other</w:t>
            </w:r>
            <w:r>
              <w:rPr>
                <w:b/>
                <w:spacing w:val="-5"/>
                <w:w w:val="105"/>
                <w:sz w:val="13"/>
              </w:rPr>
              <w:t> </w:t>
            </w:r>
            <w:r>
              <w:rPr>
                <w:b/>
                <w:spacing w:val="-2"/>
                <w:w w:val="105"/>
                <w:sz w:val="13"/>
              </w:rPr>
              <w:t>liabilities</w:t>
            </w:r>
          </w:p>
        </w:tc>
        <w:tc>
          <w:tcPr>
            <w:tcW w:w="1028" w:type="dxa"/>
            <w:tcBorders>
              <w:top w:val="single" w:sz="6" w:space="0" w:color="000000"/>
              <w:bottom w:val="single" w:sz="6" w:space="0" w:color="000000"/>
            </w:tcBorders>
          </w:tcPr>
          <w:p>
            <w:pPr>
              <w:pStyle w:val="TableParagraph"/>
              <w:spacing w:line="133" w:lineRule="exact"/>
              <w:ind w:right="182"/>
              <w:jc w:val="right"/>
              <w:rPr>
                <w:b/>
                <w:sz w:val="13"/>
              </w:rPr>
            </w:pPr>
            <w:r>
              <w:rPr>
                <w:b/>
                <w:spacing w:val="-2"/>
                <w:w w:val="105"/>
                <w:sz w:val="13"/>
              </w:rPr>
              <w:t>30,672</w:t>
            </w:r>
          </w:p>
        </w:tc>
        <w:tc>
          <w:tcPr>
            <w:tcW w:w="730" w:type="dxa"/>
            <w:tcBorders>
              <w:top w:val="single" w:sz="6" w:space="0" w:color="000000"/>
              <w:bottom w:val="single" w:sz="6" w:space="0" w:color="000000"/>
            </w:tcBorders>
          </w:tcPr>
          <w:p>
            <w:pPr>
              <w:pStyle w:val="TableParagraph"/>
              <w:rPr>
                <w:rFonts w:ascii="Times New Roman"/>
                <w:sz w:val="8"/>
              </w:rPr>
            </w:pPr>
          </w:p>
        </w:tc>
        <w:tc>
          <w:tcPr>
            <w:tcW w:w="208" w:type="dxa"/>
            <w:tcBorders>
              <w:top w:val="single" w:sz="6" w:space="0" w:color="000000"/>
              <w:bottom w:val="single" w:sz="6" w:space="0" w:color="000000"/>
            </w:tcBorders>
          </w:tcPr>
          <w:p>
            <w:pPr>
              <w:pStyle w:val="TableParagraph"/>
              <w:spacing w:line="133" w:lineRule="exact"/>
              <w:ind w:left="1"/>
              <w:rPr>
                <w:b/>
                <w:sz w:val="13"/>
              </w:rPr>
            </w:pPr>
            <w:r>
              <w:rPr>
                <w:b/>
                <w:spacing w:val="-10"/>
                <w:w w:val="105"/>
                <w:sz w:val="13"/>
              </w:rPr>
              <w:t>-</w:t>
            </w:r>
          </w:p>
        </w:tc>
        <w:tc>
          <w:tcPr>
            <w:tcW w:w="893" w:type="dxa"/>
            <w:tcBorders>
              <w:top w:val="single" w:sz="6" w:space="0" w:color="000000"/>
              <w:bottom w:val="single" w:sz="6" w:space="0" w:color="000000"/>
            </w:tcBorders>
          </w:tcPr>
          <w:p>
            <w:pPr>
              <w:pStyle w:val="TableParagraph"/>
              <w:spacing w:line="133" w:lineRule="exact"/>
              <w:ind w:left="187" w:right="75"/>
              <w:jc w:val="center"/>
              <w:rPr>
                <w:b/>
                <w:sz w:val="13"/>
              </w:rPr>
            </w:pPr>
            <w:r>
              <w:rPr>
                <w:b/>
                <w:spacing w:val="-2"/>
                <w:w w:val="105"/>
                <w:sz w:val="13"/>
              </w:rPr>
              <w:t>30,672</w:t>
            </w:r>
          </w:p>
        </w:tc>
        <w:tc>
          <w:tcPr>
            <w:tcW w:w="805" w:type="dxa"/>
            <w:tcBorders>
              <w:top w:val="single" w:sz="6" w:space="0" w:color="000000"/>
              <w:bottom w:val="single" w:sz="6" w:space="0" w:color="000000"/>
            </w:tcBorders>
          </w:tcPr>
          <w:p>
            <w:pPr>
              <w:pStyle w:val="TableParagraph"/>
              <w:spacing w:line="133" w:lineRule="exact"/>
              <w:ind w:right="25"/>
              <w:jc w:val="right"/>
              <w:rPr>
                <w:b/>
                <w:sz w:val="13"/>
              </w:rPr>
            </w:pPr>
            <w:r>
              <w:rPr>
                <w:b/>
                <w:spacing w:val="-10"/>
                <w:w w:val="105"/>
                <w:sz w:val="13"/>
              </w:rPr>
              <w:t>-</w:t>
            </w:r>
          </w:p>
        </w:tc>
      </w:tr>
      <w:tr>
        <w:trPr>
          <w:trHeight w:val="152" w:hRule="atLeast"/>
        </w:trPr>
        <w:tc>
          <w:tcPr>
            <w:tcW w:w="4693" w:type="dxa"/>
          </w:tcPr>
          <w:p>
            <w:pPr>
              <w:pStyle w:val="TableParagraph"/>
              <w:rPr>
                <w:rFonts w:ascii="Times New Roman"/>
                <w:sz w:val="8"/>
              </w:rPr>
            </w:pPr>
          </w:p>
        </w:tc>
        <w:tc>
          <w:tcPr>
            <w:tcW w:w="1028" w:type="dxa"/>
            <w:tcBorders>
              <w:top w:val="single" w:sz="6" w:space="0" w:color="000000"/>
              <w:bottom w:val="single" w:sz="6" w:space="0" w:color="000000"/>
            </w:tcBorders>
          </w:tcPr>
          <w:p>
            <w:pPr>
              <w:pStyle w:val="TableParagraph"/>
              <w:rPr>
                <w:rFonts w:ascii="Times New Roman"/>
                <w:sz w:val="8"/>
              </w:rPr>
            </w:pPr>
          </w:p>
        </w:tc>
        <w:tc>
          <w:tcPr>
            <w:tcW w:w="730" w:type="dxa"/>
            <w:tcBorders>
              <w:top w:val="single" w:sz="6" w:space="0" w:color="000000"/>
              <w:bottom w:val="single" w:sz="6" w:space="0" w:color="000000"/>
            </w:tcBorders>
          </w:tcPr>
          <w:p>
            <w:pPr>
              <w:pStyle w:val="TableParagraph"/>
              <w:rPr>
                <w:rFonts w:ascii="Times New Roman"/>
                <w:sz w:val="8"/>
              </w:rPr>
            </w:pPr>
          </w:p>
        </w:tc>
        <w:tc>
          <w:tcPr>
            <w:tcW w:w="208" w:type="dxa"/>
            <w:tcBorders>
              <w:top w:val="single" w:sz="6" w:space="0" w:color="000000"/>
              <w:bottom w:val="single" w:sz="6" w:space="0" w:color="000000"/>
            </w:tcBorders>
          </w:tcPr>
          <w:p>
            <w:pPr>
              <w:pStyle w:val="TableParagraph"/>
              <w:rPr>
                <w:rFonts w:ascii="Times New Roman"/>
                <w:sz w:val="8"/>
              </w:rPr>
            </w:pPr>
          </w:p>
        </w:tc>
        <w:tc>
          <w:tcPr>
            <w:tcW w:w="893" w:type="dxa"/>
            <w:tcBorders>
              <w:top w:val="single" w:sz="6" w:space="0" w:color="000000"/>
              <w:bottom w:val="single" w:sz="6" w:space="0" w:color="000000"/>
            </w:tcBorders>
          </w:tcPr>
          <w:p>
            <w:pPr>
              <w:pStyle w:val="TableParagraph"/>
              <w:rPr>
                <w:rFonts w:ascii="Times New Roman"/>
                <w:sz w:val="8"/>
              </w:rPr>
            </w:pPr>
          </w:p>
        </w:tc>
        <w:tc>
          <w:tcPr>
            <w:tcW w:w="805" w:type="dxa"/>
            <w:tcBorders>
              <w:top w:val="single" w:sz="6" w:space="0" w:color="000000"/>
              <w:bottom w:val="single" w:sz="6" w:space="0" w:color="000000"/>
            </w:tcBorders>
          </w:tcPr>
          <w:p>
            <w:pPr>
              <w:pStyle w:val="TableParagraph"/>
              <w:rPr>
                <w:rFonts w:ascii="Times New Roman"/>
                <w:sz w:val="8"/>
              </w:rPr>
            </w:pPr>
          </w:p>
        </w:tc>
      </w:tr>
      <w:tr>
        <w:trPr>
          <w:trHeight w:val="152" w:hRule="atLeast"/>
        </w:trPr>
        <w:tc>
          <w:tcPr>
            <w:tcW w:w="4693" w:type="dxa"/>
          </w:tcPr>
          <w:p>
            <w:pPr>
              <w:pStyle w:val="TableParagraph"/>
              <w:spacing w:line="133" w:lineRule="exact"/>
              <w:ind w:left="34"/>
              <w:rPr>
                <w:b/>
                <w:sz w:val="13"/>
              </w:rPr>
            </w:pPr>
            <w:r>
              <w:rPr>
                <w:b/>
                <w:w w:val="105"/>
                <w:sz w:val="13"/>
              </w:rPr>
              <w:t>Total</w:t>
            </w:r>
            <w:r>
              <w:rPr>
                <w:b/>
                <w:spacing w:val="-5"/>
                <w:w w:val="105"/>
                <w:sz w:val="13"/>
              </w:rPr>
              <w:t> </w:t>
            </w:r>
            <w:r>
              <w:rPr>
                <w:b/>
                <w:w w:val="105"/>
                <w:sz w:val="13"/>
              </w:rPr>
              <w:t>contract</w:t>
            </w:r>
            <w:r>
              <w:rPr>
                <w:b/>
                <w:spacing w:val="-4"/>
                <w:w w:val="105"/>
                <w:sz w:val="13"/>
              </w:rPr>
              <w:t> </w:t>
            </w:r>
            <w:r>
              <w:rPr>
                <w:b/>
                <w:w w:val="105"/>
                <w:sz w:val="13"/>
              </w:rPr>
              <w:t>and</w:t>
            </w:r>
            <w:r>
              <w:rPr>
                <w:b/>
                <w:spacing w:val="-4"/>
                <w:w w:val="105"/>
                <w:sz w:val="13"/>
              </w:rPr>
              <w:t> </w:t>
            </w:r>
            <w:r>
              <w:rPr>
                <w:b/>
                <w:w w:val="105"/>
                <w:sz w:val="13"/>
              </w:rPr>
              <w:t>other</w:t>
            </w:r>
            <w:r>
              <w:rPr>
                <w:b/>
                <w:spacing w:val="-4"/>
                <w:w w:val="105"/>
                <w:sz w:val="13"/>
              </w:rPr>
              <w:t> </w:t>
            </w:r>
            <w:r>
              <w:rPr>
                <w:b/>
                <w:spacing w:val="-2"/>
                <w:w w:val="105"/>
                <w:sz w:val="13"/>
              </w:rPr>
              <w:t>liabilities</w:t>
            </w:r>
          </w:p>
        </w:tc>
        <w:tc>
          <w:tcPr>
            <w:tcW w:w="1028" w:type="dxa"/>
            <w:tcBorders>
              <w:top w:val="single" w:sz="6" w:space="0" w:color="000000"/>
              <w:bottom w:val="single" w:sz="6" w:space="0" w:color="000000"/>
            </w:tcBorders>
          </w:tcPr>
          <w:p>
            <w:pPr>
              <w:pStyle w:val="TableParagraph"/>
              <w:spacing w:line="133" w:lineRule="exact"/>
              <w:ind w:right="182"/>
              <w:jc w:val="right"/>
              <w:rPr>
                <w:b/>
                <w:sz w:val="13"/>
              </w:rPr>
            </w:pPr>
            <w:r>
              <w:rPr>
                <w:b/>
                <w:spacing w:val="-2"/>
                <w:w w:val="105"/>
                <w:sz w:val="13"/>
              </w:rPr>
              <w:t>184,515</w:t>
            </w:r>
          </w:p>
        </w:tc>
        <w:tc>
          <w:tcPr>
            <w:tcW w:w="730" w:type="dxa"/>
            <w:tcBorders>
              <w:top w:val="single" w:sz="6" w:space="0" w:color="000000"/>
              <w:bottom w:val="single" w:sz="6" w:space="0" w:color="000000"/>
            </w:tcBorders>
          </w:tcPr>
          <w:p>
            <w:pPr>
              <w:pStyle w:val="TableParagraph"/>
              <w:spacing w:line="133" w:lineRule="exact"/>
              <w:ind w:right="-15"/>
              <w:jc w:val="right"/>
              <w:rPr>
                <w:b/>
                <w:sz w:val="13"/>
              </w:rPr>
            </w:pPr>
            <w:r>
              <w:rPr>
                <w:b/>
                <w:spacing w:val="-2"/>
                <w:w w:val="105"/>
                <w:sz w:val="13"/>
              </w:rPr>
              <w:t>46,251</w:t>
            </w:r>
          </w:p>
        </w:tc>
        <w:tc>
          <w:tcPr>
            <w:tcW w:w="208" w:type="dxa"/>
            <w:tcBorders>
              <w:top w:val="single" w:sz="6" w:space="0" w:color="000000"/>
              <w:bottom w:val="single" w:sz="6" w:space="0" w:color="000000"/>
            </w:tcBorders>
          </w:tcPr>
          <w:p>
            <w:pPr>
              <w:pStyle w:val="TableParagraph"/>
              <w:rPr>
                <w:rFonts w:ascii="Times New Roman"/>
                <w:sz w:val="8"/>
              </w:rPr>
            </w:pPr>
          </w:p>
        </w:tc>
        <w:tc>
          <w:tcPr>
            <w:tcW w:w="893" w:type="dxa"/>
            <w:tcBorders>
              <w:top w:val="single" w:sz="6" w:space="0" w:color="000000"/>
              <w:bottom w:val="single" w:sz="6" w:space="0" w:color="000000"/>
            </w:tcBorders>
          </w:tcPr>
          <w:p>
            <w:pPr>
              <w:pStyle w:val="TableParagraph"/>
              <w:spacing w:line="133" w:lineRule="exact"/>
              <w:ind w:left="187" w:right="150"/>
              <w:jc w:val="center"/>
              <w:rPr>
                <w:b/>
                <w:sz w:val="13"/>
              </w:rPr>
            </w:pPr>
            <w:r>
              <w:rPr>
                <w:b/>
                <w:spacing w:val="-2"/>
                <w:w w:val="105"/>
                <w:sz w:val="13"/>
              </w:rPr>
              <w:t>181,656</w:t>
            </w:r>
          </w:p>
        </w:tc>
        <w:tc>
          <w:tcPr>
            <w:tcW w:w="805" w:type="dxa"/>
            <w:tcBorders>
              <w:top w:val="single" w:sz="6" w:space="0" w:color="000000"/>
              <w:bottom w:val="single" w:sz="6" w:space="0" w:color="000000"/>
            </w:tcBorders>
          </w:tcPr>
          <w:p>
            <w:pPr>
              <w:pStyle w:val="TableParagraph"/>
              <w:spacing w:line="133" w:lineRule="exact"/>
              <w:ind w:right="71"/>
              <w:jc w:val="right"/>
              <w:rPr>
                <w:b/>
                <w:sz w:val="13"/>
              </w:rPr>
            </w:pPr>
            <w:r>
              <w:rPr>
                <w:b/>
                <w:spacing w:val="-2"/>
                <w:w w:val="105"/>
                <w:sz w:val="13"/>
              </w:rPr>
              <w:t>43,163</w:t>
            </w:r>
          </w:p>
        </w:tc>
      </w:tr>
    </w:tbl>
    <w:p>
      <w:pPr>
        <w:spacing w:before="159"/>
        <w:ind w:left="756" w:right="0" w:firstLine="0"/>
        <w:jc w:val="both"/>
        <w:rPr>
          <w:b/>
          <w:sz w:val="13"/>
        </w:rPr>
      </w:pPr>
      <w:r>
        <w:rPr>
          <w:b/>
          <w:w w:val="105"/>
          <w:sz w:val="13"/>
        </w:rPr>
        <w:t>Other</w:t>
      </w:r>
      <w:r>
        <w:rPr>
          <w:b/>
          <w:spacing w:val="-4"/>
          <w:w w:val="105"/>
          <w:sz w:val="13"/>
        </w:rPr>
        <w:t> </w:t>
      </w:r>
      <w:r>
        <w:rPr>
          <w:b/>
          <w:w w:val="105"/>
          <w:sz w:val="13"/>
        </w:rPr>
        <w:t>funds</w:t>
      </w:r>
      <w:r>
        <w:rPr>
          <w:b/>
          <w:spacing w:val="-4"/>
          <w:w w:val="105"/>
          <w:sz w:val="13"/>
        </w:rPr>
        <w:t> </w:t>
      </w:r>
      <w:r>
        <w:rPr>
          <w:b/>
          <w:w w:val="105"/>
          <w:sz w:val="13"/>
        </w:rPr>
        <w:t>held</w:t>
      </w:r>
      <w:r>
        <w:rPr>
          <w:b/>
          <w:spacing w:val="-3"/>
          <w:w w:val="105"/>
          <w:sz w:val="13"/>
        </w:rPr>
        <w:t> </w:t>
      </w:r>
      <w:r>
        <w:rPr>
          <w:b/>
          <w:w w:val="105"/>
          <w:sz w:val="13"/>
        </w:rPr>
        <w:t>for</w:t>
      </w:r>
      <w:r>
        <w:rPr>
          <w:b/>
          <w:spacing w:val="-4"/>
          <w:w w:val="105"/>
          <w:sz w:val="13"/>
        </w:rPr>
        <w:t> </w:t>
      </w:r>
      <w:r>
        <w:rPr>
          <w:b/>
          <w:w w:val="105"/>
          <w:sz w:val="13"/>
        </w:rPr>
        <w:t>outside</w:t>
      </w:r>
      <w:r>
        <w:rPr>
          <w:b/>
          <w:spacing w:val="-4"/>
          <w:w w:val="105"/>
          <w:sz w:val="13"/>
        </w:rPr>
        <w:t> </w:t>
      </w:r>
      <w:r>
        <w:rPr>
          <w:b/>
          <w:w w:val="105"/>
          <w:sz w:val="13"/>
        </w:rPr>
        <w:t>parties</w:t>
      </w:r>
      <w:r>
        <w:rPr>
          <w:b/>
          <w:spacing w:val="-4"/>
          <w:w w:val="105"/>
          <w:sz w:val="13"/>
        </w:rPr>
        <w:t> </w:t>
      </w:r>
      <w:r>
        <w:rPr>
          <w:b/>
          <w:w w:val="105"/>
          <w:sz w:val="13"/>
        </w:rPr>
        <w:t>that</w:t>
      </w:r>
      <w:r>
        <w:rPr>
          <w:b/>
          <w:spacing w:val="-2"/>
          <w:w w:val="105"/>
          <w:sz w:val="13"/>
        </w:rPr>
        <w:t> </w:t>
      </w:r>
      <w:r>
        <w:rPr>
          <w:b/>
          <w:w w:val="105"/>
          <w:sz w:val="13"/>
        </w:rPr>
        <w:t>do</w:t>
      </w:r>
      <w:r>
        <w:rPr>
          <w:b/>
          <w:spacing w:val="-4"/>
          <w:w w:val="105"/>
          <w:sz w:val="13"/>
        </w:rPr>
        <w:t> </w:t>
      </w:r>
      <w:r>
        <w:rPr>
          <w:b/>
          <w:w w:val="105"/>
          <w:sz w:val="13"/>
        </w:rPr>
        <w:t>not</w:t>
      </w:r>
      <w:r>
        <w:rPr>
          <w:b/>
          <w:spacing w:val="-2"/>
          <w:w w:val="105"/>
          <w:sz w:val="13"/>
        </w:rPr>
        <w:t> </w:t>
      </w:r>
      <w:r>
        <w:rPr>
          <w:b/>
          <w:w w:val="105"/>
          <w:sz w:val="13"/>
        </w:rPr>
        <w:t>qualify</w:t>
      </w:r>
      <w:r>
        <w:rPr>
          <w:b/>
          <w:spacing w:val="-4"/>
          <w:w w:val="105"/>
          <w:sz w:val="13"/>
        </w:rPr>
        <w:t> </w:t>
      </w:r>
      <w:r>
        <w:rPr>
          <w:b/>
          <w:w w:val="105"/>
          <w:sz w:val="13"/>
        </w:rPr>
        <w:t>for</w:t>
      </w:r>
      <w:r>
        <w:rPr>
          <w:b/>
          <w:spacing w:val="-4"/>
          <w:w w:val="105"/>
          <w:sz w:val="13"/>
        </w:rPr>
        <w:t> </w:t>
      </w:r>
      <w:r>
        <w:rPr>
          <w:b/>
          <w:w w:val="105"/>
          <w:sz w:val="13"/>
        </w:rPr>
        <w:t>recognition</w:t>
      </w:r>
      <w:r>
        <w:rPr>
          <w:b/>
          <w:spacing w:val="-3"/>
          <w:w w:val="105"/>
          <w:sz w:val="13"/>
        </w:rPr>
        <w:t> </w:t>
      </w:r>
      <w:r>
        <w:rPr>
          <w:b/>
          <w:w w:val="105"/>
          <w:sz w:val="13"/>
        </w:rPr>
        <w:t>in</w:t>
      </w:r>
      <w:r>
        <w:rPr>
          <w:b/>
          <w:spacing w:val="-3"/>
          <w:w w:val="105"/>
          <w:sz w:val="13"/>
        </w:rPr>
        <w:t> </w:t>
      </w:r>
      <w:r>
        <w:rPr>
          <w:b/>
          <w:w w:val="105"/>
          <w:sz w:val="13"/>
        </w:rPr>
        <w:t>the</w:t>
      </w:r>
      <w:r>
        <w:rPr>
          <w:b/>
          <w:spacing w:val="-4"/>
          <w:w w:val="105"/>
          <w:sz w:val="13"/>
        </w:rPr>
        <w:t> </w:t>
      </w:r>
      <w:r>
        <w:rPr>
          <w:b/>
          <w:w w:val="105"/>
          <w:sz w:val="13"/>
        </w:rPr>
        <w:t>financial</w:t>
      </w:r>
      <w:r>
        <w:rPr>
          <w:b/>
          <w:spacing w:val="-5"/>
          <w:w w:val="105"/>
          <w:sz w:val="13"/>
        </w:rPr>
        <w:t> </w:t>
      </w:r>
      <w:r>
        <w:rPr>
          <w:b/>
          <w:spacing w:val="-2"/>
          <w:w w:val="105"/>
          <w:sz w:val="13"/>
        </w:rPr>
        <w:t>statements</w:t>
      </w:r>
    </w:p>
    <w:p>
      <w:pPr>
        <w:spacing w:line="273" w:lineRule="auto" w:before="25"/>
        <w:ind w:left="756" w:right="288" w:firstLine="0"/>
        <w:jc w:val="both"/>
        <w:rPr>
          <w:sz w:val="13"/>
        </w:rPr>
      </w:pPr>
      <w:r>
        <w:rPr>
          <w:w w:val="105"/>
          <w:sz w:val="13"/>
        </w:rPr>
        <w:t>As at reporting date, the Group held $17.7 million (2019: $16.8 million) in financial assets on behalf of various outside</w:t>
      </w:r>
      <w:r>
        <w:rPr>
          <w:spacing w:val="-2"/>
          <w:w w:val="105"/>
          <w:sz w:val="13"/>
        </w:rPr>
        <w:t> </w:t>
      </w:r>
      <w:r>
        <w:rPr>
          <w:w w:val="105"/>
          <w:sz w:val="13"/>
        </w:rPr>
        <w:t>parties. The</w:t>
      </w:r>
      <w:r>
        <w:rPr>
          <w:spacing w:val="-2"/>
          <w:w w:val="105"/>
          <w:sz w:val="13"/>
        </w:rPr>
        <w:t> </w:t>
      </w:r>
      <w:r>
        <w:rPr>
          <w:w w:val="105"/>
          <w:sz w:val="13"/>
        </w:rPr>
        <w:t>Group</w:t>
      </w:r>
      <w:r>
        <w:rPr>
          <w:spacing w:val="40"/>
          <w:w w:val="105"/>
          <w:sz w:val="13"/>
        </w:rPr>
        <w:t> </w:t>
      </w:r>
      <w:r>
        <w:rPr>
          <w:w w:val="105"/>
          <w:sz w:val="13"/>
        </w:rPr>
        <w:t>performs</w:t>
      </w:r>
      <w:r>
        <w:rPr>
          <w:w w:val="105"/>
          <w:sz w:val="13"/>
        </w:rPr>
        <w:t> administrative functions</w:t>
      </w:r>
      <w:r>
        <w:rPr>
          <w:w w:val="105"/>
          <w:sz w:val="13"/>
        </w:rPr>
        <w:t> for these</w:t>
      </w:r>
      <w:r>
        <w:rPr>
          <w:w w:val="105"/>
          <w:sz w:val="13"/>
        </w:rPr>
        <w:t> entities. These funds do not meet</w:t>
      </w:r>
      <w:r>
        <w:rPr>
          <w:w w:val="105"/>
          <w:sz w:val="13"/>
        </w:rPr>
        <w:t> the asset</w:t>
      </w:r>
      <w:r>
        <w:rPr>
          <w:w w:val="105"/>
          <w:sz w:val="13"/>
        </w:rPr>
        <w:t> recognition criteria and consequently have not</w:t>
      </w:r>
      <w:r>
        <w:rPr>
          <w:spacing w:val="40"/>
          <w:w w:val="105"/>
          <w:sz w:val="13"/>
        </w:rPr>
        <w:t> </w:t>
      </w:r>
      <w:r>
        <w:rPr>
          <w:w w:val="105"/>
          <w:sz w:val="13"/>
        </w:rPr>
        <w:t>been included in the assets (or the related liabilities) of the consolidated entity</w:t>
      </w:r>
      <w:r>
        <w:rPr>
          <w:spacing w:val="-4"/>
          <w:w w:val="105"/>
          <w:sz w:val="13"/>
        </w:rPr>
        <w:t> </w:t>
      </w:r>
      <w:r>
        <w:rPr>
          <w:w w:val="105"/>
          <w:sz w:val="13"/>
        </w:rPr>
        <w:t>or the Group.</w:t>
      </w:r>
    </w:p>
    <w:p>
      <w:pPr>
        <w:spacing w:line="240" w:lineRule="auto" w:before="105"/>
        <w:rPr>
          <w:sz w:val="13"/>
        </w:rPr>
      </w:pPr>
    </w:p>
    <w:p>
      <w:pPr>
        <w:spacing w:before="0"/>
        <w:ind w:left="756" w:right="0" w:firstLine="0"/>
        <w:jc w:val="left"/>
        <w:rPr>
          <w:b/>
          <w:sz w:val="13"/>
        </w:rPr>
      </w:pPr>
      <w:r>
        <w:rPr>
          <w:b/>
          <w:w w:val="105"/>
          <w:sz w:val="13"/>
        </w:rPr>
        <w:t>Contract</w:t>
      </w:r>
      <w:r>
        <w:rPr>
          <w:b/>
          <w:spacing w:val="-5"/>
          <w:w w:val="105"/>
          <w:sz w:val="13"/>
        </w:rPr>
        <w:t> </w:t>
      </w:r>
      <w:r>
        <w:rPr>
          <w:b/>
          <w:spacing w:val="-2"/>
          <w:w w:val="105"/>
          <w:sz w:val="13"/>
        </w:rPr>
        <w:t>liabilities</w:t>
      </w:r>
    </w:p>
    <w:p>
      <w:pPr>
        <w:spacing w:line="273" w:lineRule="auto" w:before="25"/>
        <w:ind w:left="756" w:right="268" w:firstLine="0"/>
        <w:jc w:val="left"/>
        <w:rPr>
          <w:sz w:val="13"/>
        </w:rPr>
      </w:pPr>
      <w:r>
        <w:rPr>
          <w:w w:val="105"/>
          <w:sz w:val="13"/>
        </w:rPr>
        <w:t>The Group assesses, based on the contract terms, facts and circumstances whether a contract liability is classified as current</w:t>
      </w:r>
      <w:r>
        <w:rPr>
          <w:spacing w:val="14"/>
          <w:w w:val="105"/>
          <w:sz w:val="13"/>
        </w:rPr>
        <w:t> </w:t>
      </w:r>
      <w:r>
        <w:rPr>
          <w:w w:val="105"/>
          <w:sz w:val="13"/>
        </w:rPr>
        <w:t>or non-</w:t>
      </w:r>
      <w:r>
        <w:rPr>
          <w:spacing w:val="40"/>
          <w:w w:val="105"/>
          <w:sz w:val="13"/>
        </w:rPr>
        <w:t> </w:t>
      </w:r>
      <w:r>
        <w:rPr>
          <w:w w:val="105"/>
          <w:sz w:val="13"/>
        </w:rPr>
        <w:t>current on the basis when the Group expects to satisfy</w:t>
      </w:r>
      <w:r>
        <w:rPr>
          <w:spacing w:val="-2"/>
          <w:w w:val="105"/>
          <w:sz w:val="13"/>
        </w:rPr>
        <w:t> </w:t>
      </w:r>
      <w:r>
        <w:rPr>
          <w:w w:val="105"/>
          <w:sz w:val="13"/>
        </w:rPr>
        <w:t>its performance obligations.</w:t>
      </w:r>
    </w:p>
    <w:p>
      <w:pPr>
        <w:spacing w:line="240" w:lineRule="auto" w:before="50"/>
        <w:rPr>
          <w:sz w:val="13"/>
        </w:rPr>
      </w:pPr>
    </w:p>
    <w:p>
      <w:pPr>
        <w:spacing w:before="0"/>
        <w:ind w:left="756" w:right="0" w:firstLine="0"/>
        <w:jc w:val="both"/>
        <w:rPr>
          <w:b/>
          <w:i/>
          <w:sz w:val="13"/>
        </w:rPr>
      </w:pPr>
      <w:r>
        <w:rPr>
          <w:b/>
          <w:i/>
          <w:color w:val="0070C0"/>
          <w:w w:val="105"/>
          <w:sz w:val="13"/>
        </w:rPr>
        <w:t>Accounting</w:t>
      </w:r>
      <w:r>
        <w:rPr>
          <w:b/>
          <w:i/>
          <w:color w:val="0070C0"/>
          <w:spacing w:val="-6"/>
          <w:w w:val="105"/>
          <w:sz w:val="13"/>
        </w:rPr>
        <w:t> </w:t>
      </w:r>
      <w:r>
        <w:rPr>
          <w:b/>
          <w:i/>
          <w:color w:val="0070C0"/>
          <w:spacing w:val="-2"/>
          <w:w w:val="105"/>
          <w:sz w:val="13"/>
        </w:rPr>
        <w:t>policy</w:t>
      </w:r>
    </w:p>
    <w:p>
      <w:pPr>
        <w:spacing w:line="273" w:lineRule="auto" w:before="23"/>
        <w:ind w:left="756" w:right="288" w:hanging="1"/>
        <w:jc w:val="both"/>
        <w:rPr>
          <w:sz w:val="13"/>
        </w:rPr>
      </w:pPr>
      <w:r>
        <w:rPr>
          <w:w w:val="105"/>
          <w:sz w:val="13"/>
        </w:rPr>
        <w:t>A contract liability is the obligation to transfer goods or services to a customer for which the Group has received consideration from the</w:t>
      </w:r>
      <w:r>
        <w:rPr>
          <w:spacing w:val="40"/>
          <w:w w:val="105"/>
          <w:sz w:val="13"/>
        </w:rPr>
        <w:t> </w:t>
      </w:r>
      <w:r>
        <w:rPr>
          <w:w w:val="105"/>
          <w:sz w:val="13"/>
        </w:rPr>
        <w:t>customer.</w:t>
      </w:r>
      <w:r>
        <w:rPr>
          <w:spacing w:val="-1"/>
          <w:w w:val="105"/>
          <w:sz w:val="13"/>
        </w:rPr>
        <w:t> </w:t>
      </w:r>
      <w:r>
        <w:rPr>
          <w:w w:val="105"/>
          <w:sz w:val="13"/>
        </w:rPr>
        <w:t>If a</w:t>
      </w:r>
      <w:r>
        <w:rPr>
          <w:spacing w:val="-2"/>
          <w:w w:val="105"/>
          <w:sz w:val="13"/>
        </w:rPr>
        <w:t> </w:t>
      </w:r>
      <w:r>
        <w:rPr>
          <w:w w:val="105"/>
          <w:sz w:val="13"/>
        </w:rPr>
        <w:t>customer</w:t>
      </w:r>
      <w:r>
        <w:rPr>
          <w:spacing w:val="-1"/>
          <w:w w:val="105"/>
          <w:sz w:val="13"/>
        </w:rPr>
        <w:t> </w:t>
      </w:r>
      <w:r>
        <w:rPr>
          <w:w w:val="105"/>
          <w:sz w:val="13"/>
        </w:rPr>
        <w:t>pays</w:t>
      </w:r>
      <w:r>
        <w:rPr>
          <w:spacing w:val="-1"/>
          <w:w w:val="105"/>
          <w:sz w:val="13"/>
        </w:rPr>
        <w:t> </w:t>
      </w:r>
      <w:r>
        <w:rPr>
          <w:w w:val="105"/>
          <w:sz w:val="13"/>
        </w:rPr>
        <w:t>consideration</w:t>
      </w:r>
      <w:r>
        <w:rPr>
          <w:spacing w:val="-2"/>
          <w:w w:val="105"/>
          <w:sz w:val="13"/>
        </w:rPr>
        <w:t> </w:t>
      </w:r>
      <w:r>
        <w:rPr>
          <w:w w:val="105"/>
          <w:sz w:val="13"/>
        </w:rPr>
        <w:t>before</w:t>
      </w:r>
      <w:r>
        <w:rPr>
          <w:spacing w:val="-2"/>
          <w:w w:val="105"/>
          <w:sz w:val="13"/>
        </w:rPr>
        <w:t> </w:t>
      </w:r>
      <w:r>
        <w:rPr>
          <w:w w:val="105"/>
          <w:sz w:val="13"/>
        </w:rPr>
        <w:t>the</w:t>
      </w:r>
      <w:r>
        <w:rPr>
          <w:spacing w:val="-2"/>
          <w:w w:val="105"/>
          <w:sz w:val="13"/>
        </w:rPr>
        <w:t> </w:t>
      </w:r>
      <w:r>
        <w:rPr>
          <w:w w:val="105"/>
          <w:sz w:val="13"/>
        </w:rPr>
        <w:t>Group</w:t>
      </w:r>
      <w:r>
        <w:rPr>
          <w:spacing w:val="-2"/>
          <w:w w:val="105"/>
          <w:sz w:val="13"/>
        </w:rPr>
        <w:t> </w:t>
      </w:r>
      <w:r>
        <w:rPr>
          <w:w w:val="105"/>
          <w:sz w:val="13"/>
        </w:rPr>
        <w:t>transfers</w:t>
      </w:r>
      <w:r>
        <w:rPr>
          <w:spacing w:val="-1"/>
          <w:w w:val="105"/>
          <w:sz w:val="13"/>
        </w:rPr>
        <w:t> </w:t>
      </w:r>
      <w:r>
        <w:rPr>
          <w:w w:val="105"/>
          <w:sz w:val="13"/>
        </w:rPr>
        <w:t>goods</w:t>
      </w:r>
      <w:r>
        <w:rPr>
          <w:spacing w:val="-1"/>
          <w:w w:val="105"/>
          <w:sz w:val="13"/>
        </w:rPr>
        <w:t> </w:t>
      </w:r>
      <w:r>
        <w:rPr>
          <w:w w:val="105"/>
          <w:sz w:val="13"/>
        </w:rPr>
        <w:t>or</w:t>
      </w:r>
      <w:r>
        <w:rPr>
          <w:spacing w:val="-1"/>
          <w:w w:val="105"/>
          <w:sz w:val="13"/>
        </w:rPr>
        <w:t> </w:t>
      </w:r>
      <w:r>
        <w:rPr>
          <w:w w:val="105"/>
          <w:sz w:val="13"/>
        </w:rPr>
        <w:t>services</w:t>
      </w:r>
      <w:r>
        <w:rPr>
          <w:spacing w:val="-1"/>
          <w:w w:val="105"/>
          <w:sz w:val="13"/>
        </w:rPr>
        <w:t> </w:t>
      </w:r>
      <w:r>
        <w:rPr>
          <w:w w:val="105"/>
          <w:sz w:val="13"/>
        </w:rPr>
        <w:t>to</w:t>
      </w:r>
      <w:r>
        <w:rPr>
          <w:spacing w:val="-2"/>
          <w:w w:val="105"/>
          <w:sz w:val="13"/>
        </w:rPr>
        <w:t> </w:t>
      </w:r>
      <w:r>
        <w:rPr>
          <w:w w:val="105"/>
          <w:sz w:val="13"/>
        </w:rPr>
        <w:t>the</w:t>
      </w:r>
      <w:r>
        <w:rPr>
          <w:spacing w:val="-2"/>
          <w:w w:val="105"/>
          <w:sz w:val="13"/>
        </w:rPr>
        <w:t> </w:t>
      </w:r>
      <w:r>
        <w:rPr>
          <w:w w:val="105"/>
          <w:sz w:val="13"/>
        </w:rPr>
        <w:t>customer,</w:t>
      </w:r>
      <w:r>
        <w:rPr>
          <w:spacing w:val="-1"/>
          <w:w w:val="105"/>
          <w:sz w:val="13"/>
        </w:rPr>
        <w:t> </w:t>
      </w:r>
      <w:r>
        <w:rPr>
          <w:w w:val="105"/>
          <w:sz w:val="13"/>
        </w:rPr>
        <w:t>a</w:t>
      </w:r>
      <w:r>
        <w:rPr>
          <w:spacing w:val="-2"/>
          <w:w w:val="105"/>
          <w:sz w:val="13"/>
        </w:rPr>
        <w:t> </w:t>
      </w:r>
      <w:r>
        <w:rPr>
          <w:w w:val="105"/>
          <w:sz w:val="13"/>
        </w:rPr>
        <w:t>contract</w:t>
      </w:r>
      <w:r>
        <w:rPr>
          <w:spacing w:val="-1"/>
          <w:w w:val="105"/>
          <w:sz w:val="13"/>
        </w:rPr>
        <w:t> </w:t>
      </w:r>
      <w:r>
        <w:rPr>
          <w:w w:val="105"/>
          <w:sz w:val="13"/>
        </w:rPr>
        <w:t>liability</w:t>
      </w:r>
      <w:r>
        <w:rPr>
          <w:spacing w:val="-3"/>
          <w:w w:val="105"/>
          <w:sz w:val="13"/>
        </w:rPr>
        <w:t> </w:t>
      </w:r>
      <w:r>
        <w:rPr>
          <w:w w:val="105"/>
          <w:sz w:val="13"/>
        </w:rPr>
        <w:t>is</w:t>
      </w:r>
      <w:r>
        <w:rPr>
          <w:spacing w:val="-1"/>
          <w:w w:val="105"/>
          <w:sz w:val="13"/>
        </w:rPr>
        <w:t> </w:t>
      </w:r>
      <w:r>
        <w:rPr>
          <w:w w:val="105"/>
          <w:sz w:val="13"/>
        </w:rPr>
        <w:t>recognised</w:t>
      </w:r>
      <w:r>
        <w:rPr>
          <w:spacing w:val="40"/>
          <w:w w:val="105"/>
          <w:sz w:val="13"/>
        </w:rPr>
        <w:t> </w:t>
      </w:r>
      <w:r>
        <w:rPr>
          <w:w w:val="105"/>
          <w:sz w:val="13"/>
        </w:rPr>
        <w:t>when the payment is made or the payment is due (whichever is earlier). Contract liabilities are recognised as revenue when the Group</w:t>
      </w:r>
      <w:r>
        <w:rPr>
          <w:spacing w:val="40"/>
          <w:w w:val="105"/>
          <w:sz w:val="13"/>
        </w:rPr>
        <w:t> </w:t>
      </w:r>
      <w:r>
        <w:rPr>
          <w:w w:val="105"/>
          <w:sz w:val="13"/>
        </w:rPr>
        <w:t>performs</w:t>
      </w:r>
      <w:r>
        <w:rPr>
          <w:spacing w:val="-2"/>
          <w:w w:val="105"/>
          <w:sz w:val="13"/>
        </w:rPr>
        <w:t> </w:t>
      </w:r>
      <w:r>
        <w:rPr>
          <w:w w:val="105"/>
          <w:sz w:val="13"/>
        </w:rPr>
        <w:t>under</w:t>
      </w:r>
      <w:r>
        <w:rPr>
          <w:spacing w:val="-1"/>
          <w:w w:val="105"/>
          <w:sz w:val="13"/>
        </w:rPr>
        <w:t> </w:t>
      </w:r>
      <w:r>
        <w:rPr>
          <w:w w:val="105"/>
          <w:sz w:val="13"/>
        </w:rPr>
        <w:t>the</w:t>
      </w:r>
      <w:r>
        <w:rPr>
          <w:spacing w:val="-3"/>
          <w:w w:val="105"/>
          <w:sz w:val="13"/>
        </w:rPr>
        <w:t> </w:t>
      </w:r>
      <w:r>
        <w:rPr>
          <w:w w:val="105"/>
          <w:sz w:val="13"/>
        </w:rPr>
        <w:t>contract.</w:t>
      </w:r>
      <w:r>
        <w:rPr>
          <w:spacing w:val="-4"/>
          <w:w w:val="105"/>
          <w:sz w:val="13"/>
        </w:rPr>
        <w:t> </w:t>
      </w:r>
      <w:r>
        <w:rPr>
          <w:w w:val="105"/>
          <w:sz w:val="13"/>
        </w:rPr>
        <w:t>This</w:t>
      </w:r>
      <w:r>
        <w:rPr>
          <w:spacing w:val="-2"/>
          <w:w w:val="105"/>
          <w:sz w:val="13"/>
        </w:rPr>
        <w:t> </w:t>
      </w:r>
      <w:r>
        <w:rPr>
          <w:w w:val="105"/>
          <w:sz w:val="13"/>
        </w:rPr>
        <w:t>arises</w:t>
      </w:r>
      <w:r>
        <w:rPr>
          <w:spacing w:val="-4"/>
          <w:w w:val="105"/>
          <w:sz w:val="13"/>
        </w:rPr>
        <w:t> </w:t>
      </w:r>
      <w:r>
        <w:rPr>
          <w:w w:val="105"/>
          <w:sz w:val="13"/>
        </w:rPr>
        <w:t>where</w:t>
      </w:r>
      <w:r>
        <w:rPr>
          <w:spacing w:val="-3"/>
          <w:w w:val="105"/>
          <w:sz w:val="13"/>
        </w:rPr>
        <w:t> </w:t>
      </w:r>
      <w:r>
        <w:rPr>
          <w:w w:val="105"/>
          <w:sz w:val="13"/>
        </w:rPr>
        <w:t>cash</w:t>
      </w:r>
      <w:r>
        <w:rPr>
          <w:spacing w:val="-5"/>
          <w:w w:val="105"/>
          <w:sz w:val="13"/>
        </w:rPr>
        <w:t> </w:t>
      </w:r>
      <w:r>
        <w:rPr>
          <w:w w:val="105"/>
          <w:sz w:val="13"/>
        </w:rPr>
        <w:t>funds</w:t>
      </w:r>
      <w:r>
        <w:rPr>
          <w:spacing w:val="-2"/>
          <w:w w:val="105"/>
          <w:sz w:val="13"/>
        </w:rPr>
        <w:t> </w:t>
      </w:r>
      <w:r>
        <w:rPr>
          <w:w w:val="105"/>
          <w:sz w:val="13"/>
        </w:rPr>
        <w:t>have</w:t>
      </w:r>
      <w:r>
        <w:rPr>
          <w:spacing w:val="-5"/>
          <w:w w:val="105"/>
          <w:sz w:val="13"/>
        </w:rPr>
        <w:t> </w:t>
      </w:r>
      <w:r>
        <w:rPr>
          <w:w w:val="105"/>
          <w:sz w:val="13"/>
        </w:rPr>
        <w:t>been</w:t>
      </w:r>
      <w:r>
        <w:rPr>
          <w:spacing w:val="-3"/>
          <w:w w:val="105"/>
          <w:sz w:val="13"/>
        </w:rPr>
        <w:t> </w:t>
      </w:r>
      <w:r>
        <w:rPr>
          <w:w w:val="105"/>
          <w:sz w:val="13"/>
        </w:rPr>
        <w:t>receipted</w:t>
      </w:r>
      <w:r>
        <w:rPr>
          <w:spacing w:val="-5"/>
          <w:w w:val="105"/>
          <w:sz w:val="13"/>
        </w:rPr>
        <w:t> </w:t>
      </w:r>
      <w:r>
        <w:rPr>
          <w:w w:val="105"/>
          <w:sz w:val="13"/>
        </w:rPr>
        <w:t>under</w:t>
      </w:r>
      <w:r>
        <w:rPr>
          <w:spacing w:val="-1"/>
          <w:w w:val="105"/>
          <w:sz w:val="13"/>
        </w:rPr>
        <w:t> </w:t>
      </w:r>
      <w:r>
        <w:rPr>
          <w:w w:val="105"/>
          <w:sz w:val="13"/>
        </w:rPr>
        <w:t>a</w:t>
      </w:r>
      <w:r>
        <w:rPr>
          <w:spacing w:val="-5"/>
          <w:w w:val="105"/>
          <w:sz w:val="13"/>
        </w:rPr>
        <w:t> </w:t>
      </w:r>
      <w:r>
        <w:rPr>
          <w:w w:val="105"/>
          <w:sz w:val="13"/>
        </w:rPr>
        <w:t>research</w:t>
      </w:r>
      <w:r>
        <w:rPr>
          <w:spacing w:val="-3"/>
          <w:w w:val="105"/>
          <w:sz w:val="13"/>
        </w:rPr>
        <w:t> </w:t>
      </w:r>
      <w:r>
        <w:rPr>
          <w:w w:val="105"/>
          <w:sz w:val="13"/>
        </w:rPr>
        <w:t>and/or</w:t>
      </w:r>
      <w:r>
        <w:rPr>
          <w:spacing w:val="-3"/>
          <w:w w:val="105"/>
          <w:sz w:val="13"/>
        </w:rPr>
        <w:t> </w:t>
      </w:r>
      <w:r>
        <w:rPr>
          <w:w w:val="105"/>
          <w:sz w:val="13"/>
        </w:rPr>
        <w:t>non-research</w:t>
      </w:r>
      <w:r>
        <w:rPr>
          <w:spacing w:val="-3"/>
          <w:w w:val="105"/>
          <w:sz w:val="13"/>
        </w:rPr>
        <w:t> </w:t>
      </w:r>
      <w:r>
        <w:rPr>
          <w:w w:val="105"/>
          <w:sz w:val="13"/>
        </w:rPr>
        <w:t>grant</w:t>
      </w:r>
      <w:r>
        <w:rPr>
          <w:spacing w:val="-4"/>
          <w:w w:val="105"/>
          <w:sz w:val="13"/>
        </w:rPr>
        <w:t> </w:t>
      </w:r>
      <w:r>
        <w:rPr>
          <w:w w:val="105"/>
          <w:sz w:val="13"/>
        </w:rPr>
        <w:t>and</w:t>
      </w:r>
      <w:r>
        <w:rPr>
          <w:spacing w:val="-3"/>
          <w:w w:val="105"/>
          <w:sz w:val="13"/>
        </w:rPr>
        <w:t> </w:t>
      </w:r>
      <w:r>
        <w:rPr>
          <w:w w:val="105"/>
          <w:sz w:val="13"/>
        </w:rPr>
        <w:t>the</w:t>
      </w:r>
      <w:r>
        <w:rPr>
          <w:spacing w:val="-5"/>
          <w:w w:val="105"/>
          <w:sz w:val="13"/>
        </w:rPr>
        <w:t> </w:t>
      </w:r>
      <w:r>
        <w:rPr>
          <w:w w:val="105"/>
          <w:sz w:val="13"/>
        </w:rPr>
        <w:t>grant</w:t>
      </w:r>
      <w:r>
        <w:rPr>
          <w:spacing w:val="40"/>
          <w:w w:val="105"/>
          <w:sz w:val="13"/>
        </w:rPr>
        <w:t> </w:t>
      </w:r>
      <w:r>
        <w:rPr>
          <w:w w:val="105"/>
          <w:sz w:val="13"/>
        </w:rPr>
        <w:t>activity</w:t>
      </w:r>
      <w:r>
        <w:rPr>
          <w:spacing w:val="-3"/>
          <w:w w:val="105"/>
          <w:sz w:val="13"/>
        </w:rPr>
        <w:t> </w:t>
      </w:r>
      <w:r>
        <w:rPr>
          <w:w w:val="105"/>
          <w:sz w:val="13"/>
        </w:rPr>
        <w:t>and related expenditure have not yet been performed and expended.</w:t>
      </w:r>
    </w:p>
    <w:p>
      <w:pPr>
        <w:spacing w:line="240" w:lineRule="auto" w:before="141"/>
        <w:rPr>
          <w:sz w:val="20"/>
        </w:rPr>
      </w:pPr>
      <w:r>
        <w:rPr/>
        <mc:AlternateContent>
          <mc:Choice Requires="wps">
            <w:drawing>
              <wp:anchor distT="0" distB="0" distL="0" distR="0" allowOverlap="1" layoutInCell="1" locked="0" behindDoc="1" simplePos="0" relativeHeight="487754752">
                <wp:simplePos x="0" y="0"/>
                <wp:positionH relativeFrom="page">
                  <wp:posOffset>726008</wp:posOffset>
                </wp:positionH>
                <wp:positionV relativeFrom="paragraph">
                  <wp:posOffset>250812</wp:posOffset>
                </wp:positionV>
                <wp:extent cx="5688330" cy="17145"/>
                <wp:effectExtent l="0" t="0" r="0" b="0"/>
                <wp:wrapTopAndBottom/>
                <wp:docPr id="943" name="Graphic 943"/>
                <wp:cNvGraphicFramePr>
                  <a:graphicFrameLocks/>
                </wp:cNvGraphicFramePr>
                <a:graphic>
                  <a:graphicData uri="http://schemas.microsoft.com/office/word/2010/wordprocessingShape">
                    <wps:wsp>
                      <wps:cNvPr id="943" name="Graphic 943"/>
                      <wps:cNvSpPr/>
                      <wps:spPr>
                        <a:xfrm>
                          <a:off x="0" y="0"/>
                          <a:ext cx="5688330" cy="17145"/>
                        </a:xfrm>
                        <a:custGeom>
                          <a:avLst/>
                          <a:gdLst/>
                          <a:ahLst/>
                          <a:cxnLst/>
                          <a:rect l="l" t="t" r="r" b="b"/>
                          <a:pathLst>
                            <a:path w="5688330" h="17145">
                              <a:moveTo>
                                <a:pt x="5688139" y="0"/>
                              </a:moveTo>
                              <a:lnTo>
                                <a:pt x="0" y="0"/>
                              </a:lnTo>
                              <a:lnTo>
                                <a:pt x="0" y="16827"/>
                              </a:lnTo>
                              <a:lnTo>
                                <a:pt x="5688139" y="16827"/>
                              </a:lnTo>
                              <a:lnTo>
                                <a:pt x="5688139"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7.166pt;margin-top:19.749023pt;width:447.885pt;height:1.325pt;mso-position-horizontal-relative:page;mso-position-vertical-relative:paragraph;z-index:-15561728;mso-wrap-distance-left:0;mso-wrap-distance-right:0" id="docshape636" filled="true" fillcolor="#4f81bd" stroked="false">
                <v:fill type="solid"/>
                <w10:wrap type="topAndBottom"/>
              </v:rect>
            </w:pict>
          </mc:Fallback>
        </mc:AlternateContent>
      </w:r>
    </w:p>
    <w:p>
      <w:pPr>
        <w:spacing w:after="0" w:line="240" w:lineRule="auto"/>
        <w:rPr>
          <w:sz w:val="20"/>
        </w:rPr>
        <w:sectPr>
          <w:pgSz w:w="11910" w:h="16840"/>
          <w:pgMar w:header="468" w:footer="0" w:top="1580" w:bottom="280" w:left="1020" w:right="1540"/>
        </w:sectPr>
      </w:pPr>
    </w:p>
    <w:p>
      <w:pPr>
        <w:spacing w:before="83"/>
        <w:ind w:left="144" w:right="0" w:firstLine="0"/>
        <w:jc w:val="left"/>
        <w:rPr>
          <w:sz w:val="22"/>
        </w:rPr>
      </w:pPr>
      <w:r>
        <w:rPr>
          <w:color w:val="0070C0"/>
          <w:sz w:val="22"/>
        </w:rPr>
        <w:t>NOTES</w:t>
      </w:r>
      <w:r>
        <w:rPr>
          <w:color w:val="0070C0"/>
          <w:spacing w:val="-2"/>
          <w:sz w:val="22"/>
        </w:rPr>
        <w:t> </w:t>
      </w:r>
      <w:r>
        <w:rPr>
          <w:color w:val="0070C0"/>
          <w:sz w:val="22"/>
        </w:rPr>
        <w:t>TO</w:t>
      </w:r>
      <w:r>
        <w:rPr>
          <w:color w:val="0070C0"/>
          <w:spacing w:val="-1"/>
          <w:sz w:val="22"/>
        </w:rPr>
        <w:t> </w:t>
      </w:r>
      <w:r>
        <w:rPr>
          <w:color w:val="0070C0"/>
          <w:sz w:val="22"/>
        </w:rPr>
        <w:t>THE</w:t>
      </w:r>
      <w:r>
        <w:rPr>
          <w:color w:val="0070C0"/>
          <w:spacing w:val="-1"/>
          <w:sz w:val="22"/>
        </w:rPr>
        <w:t> </w:t>
      </w:r>
      <w:r>
        <w:rPr>
          <w:color w:val="0070C0"/>
          <w:sz w:val="22"/>
        </w:rPr>
        <w:t>FINANCIAL</w:t>
      </w:r>
      <w:r>
        <w:rPr>
          <w:color w:val="0070C0"/>
          <w:spacing w:val="-1"/>
          <w:sz w:val="22"/>
        </w:rPr>
        <w:t> </w:t>
      </w:r>
      <w:r>
        <w:rPr>
          <w:color w:val="0070C0"/>
          <w:spacing w:val="-2"/>
          <w:sz w:val="22"/>
        </w:rPr>
        <w:t>STATEMENTS</w:t>
      </w:r>
    </w:p>
    <w:p>
      <w:pPr>
        <w:spacing w:before="32"/>
        <w:ind w:left="131" w:right="0" w:firstLine="0"/>
        <w:jc w:val="left"/>
        <w:rPr>
          <w:sz w:val="12"/>
        </w:rPr>
      </w:pPr>
      <w:r>
        <w:rPr>
          <w:w w:val="105"/>
          <w:sz w:val="12"/>
        </w:rPr>
        <w:t>for</w:t>
      </w:r>
      <w:r>
        <w:rPr>
          <w:spacing w:val="-7"/>
          <w:w w:val="105"/>
          <w:sz w:val="12"/>
        </w:rPr>
        <w:t> </w:t>
      </w:r>
      <w:r>
        <w:rPr>
          <w:w w:val="105"/>
          <w:sz w:val="12"/>
        </w:rPr>
        <w:t>the</w:t>
      </w:r>
      <w:r>
        <w:rPr>
          <w:spacing w:val="-8"/>
          <w:w w:val="105"/>
          <w:sz w:val="12"/>
        </w:rPr>
        <w:t> </w:t>
      </w:r>
      <w:r>
        <w:rPr>
          <w:w w:val="105"/>
          <w:sz w:val="12"/>
        </w:rPr>
        <w:t>year</w:t>
      </w:r>
      <w:r>
        <w:rPr>
          <w:spacing w:val="-7"/>
          <w:w w:val="105"/>
          <w:sz w:val="12"/>
        </w:rPr>
        <w:t> </w:t>
      </w:r>
      <w:r>
        <w:rPr>
          <w:w w:val="105"/>
          <w:sz w:val="12"/>
        </w:rPr>
        <w:t>ended</w:t>
      </w:r>
      <w:r>
        <w:rPr>
          <w:spacing w:val="-7"/>
          <w:w w:val="105"/>
          <w:sz w:val="12"/>
        </w:rPr>
        <w:t> </w:t>
      </w:r>
      <w:r>
        <w:rPr>
          <w:w w:val="105"/>
          <w:sz w:val="12"/>
        </w:rPr>
        <w:t>31</w:t>
      </w:r>
      <w:r>
        <w:rPr>
          <w:spacing w:val="-8"/>
          <w:w w:val="105"/>
          <w:sz w:val="12"/>
        </w:rPr>
        <w:t> </w:t>
      </w:r>
      <w:r>
        <w:rPr>
          <w:w w:val="105"/>
          <w:sz w:val="12"/>
        </w:rPr>
        <w:t>December</w:t>
      </w:r>
      <w:r>
        <w:rPr>
          <w:spacing w:val="-7"/>
          <w:w w:val="105"/>
          <w:sz w:val="12"/>
        </w:rPr>
        <w:t> </w:t>
      </w:r>
      <w:r>
        <w:rPr>
          <w:spacing w:val="-4"/>
          <w:w w:val="105"/>
          <w:sz w:val="12"/>
        </w:rPr>
        <w:t>2020</w:t>
      </w:r>
    </w:p>
    <w:p>
      <w:pPr>
        <w:spacing w:line="240" w:lineRule="auto" w:before="39"/>
        <w:rPr>
          <w:sz w:val="12"/>
        </w:rPr>
      </w:pPr>
    </w:p>
    <w:p>
      <w:pPr>
        <w:pStyle w:val="ListParagraph"/>
        <w:numPr>
          <w:ilvl w:val="0"/>
          <w:numId w:val="13"/>
        </w:numPr>
        <w:tabs>
          <w:tab w:pos="772" w:val="left" w:leader="none"/>
        </w:tabs>
        <w:spacing w:line="240" w:lineRule="auto" w:before="0" w:after="0"/>
        <w:ind w:left="772" w:right="0" w:hanging="612"/>
        <w:jc w:val="left"/>
        <w:rPr>
          <w:b/>
          <w:color w:val="0070C0"/>
          <w:sz w:val="33"/>
        </w:rPr>
      </w:pPr>
      <w:r>
        <w:rPr/>
        <mc:AlternateContent>
          <mc:Choice Requires="wps">
            <w:drawing>
              <wp:anchor distT="0" distB="0" distL="0" distR="0" allowOverlap="1" layoutInCell="1" locked="0" behindDoc="1" simplePos="0" relativeHeight="487755776">
                <wp:simplePos x="0" y="0"/>
                <wp:positionH relativeFrom="page">
                  <wp:posOffset>715403</wp:posOffset>
                </wp:positionH>
                <wp:positionV relativeFrom="paragraph">
                  <wp:posOffset>250716</wp:posOffset>
                </wp:positionV>
                <wp:extent cx="5739130" cy="17145"/>
                <wp:effectExtent l="0" t="0" r="0" b="0"/>
                <wp:wrapTopAndBottom/>
                <wp:docPr id="944" name="Graphic 944"/>
                <wp:cNvGraphicFramePr>
                  <a:graphicFrameLocks/>
                </wp:cNvGraphicFramePr>
                <a:graphic>
                  <a:graphicData uri="http://schemas.microsoft.com/office/word/2010/wordprocessingShape">
                    <wps:wsp>
                      <wps:cNvPr id="944" name="Graphic 944"/>
                      <wps:cNvSpPr/>
                      <wps:spPr>
                        <a:xfrm>
                          <a:off x="0" y="0"/>
                          <a:ext cx="5739130" cy="17145"/>
                        </a:xfrm>
                        <a:custGeom>
                          <a:avLst/>
                          <a:gdLst/>
                          <a:ahLst/>
                          <a:cxnLst/>
                          <a:rect l="l" t="t" r="r" b="b"/>
                          <a:pathLst>
                            <a:path w="5739130" h="17145">
                              <a:moveTo>
                                <a:pt x="5739117" y="0"/>
                              </a:moveTo>
                              <a:lnTo>
                                <a:pt x="0" y="0"/>
                              </a:lnTo>
                              <a:lnTo>
                                <a:pt x="0" y="16979"/>
                              </a:lnTo>
                              <a:lnTo>
                                <a:pt x="5739117" y="16979"/>
                              </a:lnTo>
                              <a:lnTo>
                                <a:pt x="5739117"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6.331001pt;margin-top:19.74147pt;width:451.899pt;height:1.337pt;mso-position-horizontal-relative:page;mso-position-vertical-relative:paragraph;z-index:-15560704;mso-wrap-distance-left:0;mso-wrap-distance-right:0" id="docshape637" filled="true" fillcolor="#4f81bd" stroked="false">
                <v:fill type="solid"/>
                <w10:wrap type="topAndBottom"/>
              </v:rect>
            </w:pict>
          </mc:Fallback>
        </mc:AlternateContent>
      </w:r>
      <w:r>
        <w:rPr>
          <w:b/>
          <w:color w:val="0070C0"/>
          <w:sz w:val="33"/>
        </w:rPr>
        <w:t>Capital</w:t>
      </w:r>
      <w:r>
        <w:rPr>
          <w:b/>
          <w:color w:val="0070C0"/>
          <w:spacing w:val="-15"/>
          <w:sz w:val="33"/>
        </w:rPr>
        <w:t> </w:t>
      </w:r>
      <w:r>
        <w:rPr>
          <w:b/>
          <w:color w:val="0070C0"/>
          <w:sz w:val="33"/>
        </w:rPr>
        <w:t>and</w:t>
      </w:r>
      <w:r>
        <w:rPr>
          <w:b/>
          <w:color w:val="0070C0"/>
          <w:spacing w:val="-15"/>
          <w:sz w:val="33"/>
        </w:rPr>
        <w:t> </w:t>
      </w:r>
      <w:r>
        <w:rPr>
          <w:b/>
          <w:color w:val="0070C0"/>
          <w:sz w:val="33"/>
        </w:rPr>
        <w:t>financial</w:t>
      </w:r>
      <w:r>
        <w:rPr>
          <w:b/>
          <w:color w:val="0070C0"/>
          <w:spacing w:val="-14"/>
          <w:sz w:val="33"/>
        </w:rPr>
        <w:t> </w:t>
      </w:r>
      <w:r>
        <w:rPr>
          <w:b/>
          <w:color w:val="0070C0"/>
          <w:sz w:val="33"/>
        </w:rPr>
        <w:t>risk</w:t>
      </w:r>
      <w:r>
        <w:rPr>
          <w:b/>
          <w:color w:val="0070C0"/>
          <w:spacing w:val="-16"/>
          <w:sz w:val="33"/>
        </w:rPr>
        <w:t> </w:t>
      </w:r>
      <w:r>
        <w:rPr>
          <w:b/>
          <w:color w:val="0070C0"/>
          <w:spacing w:val="-2"/>
          <w:sz w:val="33"/>
        </w:rPr>
        <w:t>management</w:t>
      </w:r>
    </w:p>
    <w:p>
      <w:pPr>
        <w:spacing w:line="259" w:lineRule="auto" w:before="144"/>
        <w:ind w:left="747" w:right="0" w:firstLine="0"/>
        <w:jc w:val="left"/>
        <w:rPr>
          <w:sz w:val="15"/>
        </w:rPr>
      </w:pPr>
      <w:r>
        <w:rPr>
          <w:sz w:val="15"/>
        </w:rPr>
        <w:t>This</w:t>
      </w:r>
      <w:r>
        <w:rPr>
          <w:spacing w:val="20"/>
          <w:sz w:val="15"/>
        </w:rPr>
        <w:t> </w:t>
      </w:r>
      <w:r>
        <w:rPr>
          <w:sz w:val="15"/>
        </w:rPr>
        <w:t>section</w:t>
      </w:r>
      <w:r>
        <w:rPr>
          <w:spacing w:val="20"/>
          <w:sz w:val="15"/>
        </w:rPr>
        <w:t> </w:t>
      </w:r>
      <w:r>
        <w:rPr>
          <w:sz w:val="15"/>
        </w:rPr>
        <w:t>provides</w:t>
      </w:r>
      <w:r>
        <w:rPr>
          <w:spacing w:val="20"/>
          <w:sz w:val="15"/>
        </w:rPr>
        <w:t> </w:t>
      </w:r>
      <w:r>
        <w:rPr>
          <w:sz w:val="15"/>
        </w:rPr>
        <w:t>information</w:t>
      </w:r>
      <w:r>
        <w:rPr>
          <w:spacing w:val="20"/>
          <w:sz w:val="15"/>
        </w:rPr>
        <w:t> </w:t>
      </w:r>
      <w:r>
        <w:rPr>
          <w:sz w:val="15"/>
        </w:rPr>
        <w:t>relating</w:t>
      </w:r>
      <w:r>
        <w:rPr>
          <w:spacing w:val="20"/>
          <w:sz w:val="15"/>
        </w:rPr>
        <w:t> </w:t>
      </w:r>
      <w:r>
        <w:rPr>
          <w:sz w:val="15"/>
        </w:rPr>
        <w:t>to</w:t>
      </w:r>
      <w:r>
        <w:rPr>
          <w:spacing w:val="20"/>
          <w:sz w:val="15"/>
        </w:rPr>
        <w:t> </w:t>
      </w:r>
      <w:r>
        <w:rPr>
          <w:sz w:val="15"/>
        </w:rPr>
        <w:t>the</w:t>
      </w:r>
      <w:r>
        <w:rPr>
          <w:spacing w:val="20"/>
          <w:sz w:val="15"/>
        </w:rPr>
        <w:t> </w:t>
      </w:r>
      <w:r>
        <w:rPr>
          <w:sz w:val="15"/>
        </w:rPr>
        <w:t>University</w:t>
      </w:r>
      <w:r>
        <w:rPr>
          <w:spacing w:val="17"/>
          <w:sz w:val="15"/>
        </w:rPr>
        <w:t> </w:t>
      </w:r>
      <w:r>
        <w:rPr>
          <w:sz w:val="15"/>
        </w:rPr>
        <w:t>and</w:t>
      </w:r>
      <w:r>
        <w:rPr>
          <w:spacing w:val="20"/>
          <w:sz w:val="15"/>
        </w:rPr>
        <w:t> </w:t>
      </w:r>
      <w:r>
        <w:rPr>
          <w:sz w:val="15"/>
        </w:rPr>
        <w:t>its</w:t>
      </w:r>
      <w:r>
        <w:rPr>
          <w:spacing w:val="20"/>
          <w:sz w:val="15"/>
        </w:rPr>
        <w:t> </w:t>
      </w:r>
      <w:r>
        <w:rPr>
          <w:sz w:val="15"/>
        </w:rPr>
        <w:t>subsidiaries</w:t>
      </w:r>
      <w:r>
        <w:rPr>
          <w:spacing w:val="22"/>
          <w:sz w:val="15"/>
        </w:rPr>
        <w:t> </w:t>
      </w:r>
      <w:r>
        <w:rPr>
          <w:sz w:val="15"/>
        </w:rPr>
        <w:t>capital</w:t>
      </w:r>
      <w:r>
        <w:rPr>
          <w:spacing w:val="19"/>
          <w:sz w:val="15"/>
        </w:rPr>
        <w:t> </w:t>
      </w:r>
      <w:r>
        <w:rPr>
          <w:sz w:val="15"/>
        </w:rPr>
        <w:t>structure,</w:t>
      </w:r>
      <w:r>
        <w:rPr>
          <w:spacing w:val="22"/>
          <w:sz w:val="15"/>
        </w:rPr>
        <w:t> </w:t>
      </w:r>
      <w:r>
        <w:rPr>
          <w:sz w:val="15"/>
        </w:rPr>
        <w:t>financing,</w:t>
      </w:r>
      <w:r>
        <w:rPr>
          <w:spacing w:val="19"/>
          <w:sz w:val="15"/>
        </w:rPr>
        <w:t> </w:t>
      </w:r>
      <w:r>
        <w:rPr>
          <w:sz w:val="15"/>
        </w:rPr>
        <w:t>its</w:t>
      </w:r>
      <w:r>
        <w:rPr>
          <w:spacing w:val="22"/>
          <w:sz w:val="15"/>
        </w:rPr>
        <w:t> </w:t>
      </w:r>
      <w:r>
        <w:rPr>
          <w:sz w:val="15"/>
        </w:rPr>
        <w:t>exposure</w:t>
      </w:r>
      <w:r>
        <w:rPr>
          <w:spacing w:val="20"/>
          <w:sz w:val="15"/>
        </w:rPr>
        <w:t> </w:t>
      </w:r>
      <w:r>
        <w:rPr>
          <w:sz w:val="15"/>
        </w:rPr>
        <w:t>to financial risk, and how those risks are managed.</w:t>
      </w:r>
    </w:p>
    <w:p>
      <w:pPr>
        <w:pStyle w:val="ListParagraph"/>
        <w:numPr>
          <w:ilvl w:val="0"/>
          <w:numId w:val="31"/>
        </w:numPr>
        <w:tabs>
          <w:tab w:pos="842" w:val="left" w:leader="none"/>
          <w:tab w:pos="4976" w:val="left" w:leader="none"/>
        </w:tabs>
        <w:spacing w:line="240" w:lineRule="auto" w:before="44" w:after="0"/>
        <w:ind w:left="842" w:right="0" w:hanging="95"/>
        <w:jc w:val="left"/>
        <w:rPr>
          <w:sz w:val="15"/>
        </w:rPr>
      </w:pPr>
      <w:r>
        <w:rPr>
          <w:sz w:val="15"/>
        </w:rPr>
        <w:t>6.1 Cash</w:t>
      </w:r>
      <w:r>
        <w:rPr>
          <w:spacing w:val="1"/>
          <w:sz w:val="15"/>
        </w:rPr>
        <w:t> </w:t>
      </w:r>
      <w:r>
        <w:rPr>
          <w:sz w:val="15"/>
        </w:rPr>
        <w:t>and cash</w:t>
      </w:r>
      <w:r>
        <w:rPr>
          <w:spacing w:val="1"/>
          <w:sz w:val="15"/>
        </w:rPr>
        <w:t> </w:t>
      </w:r>
      <w:r>
        <w:rPr>
          <w:spacing w:val="-2"/>
          <w:sz w:val="15"/>
        </w:rPr>
        <w:t>equivalents</w:t>
      </w:r>
      <w:r>
        <w:rPr>
          <w:sz w:val="15"/>
        </w:rPr>
        <w:tab/>
        <w:t>•</w:t>
      </w:r>
      <w:r>
        <w:rPr>
          <w:spacing w:val="1"/>
          <w:sz w:val="15"/>
        </w:rPr>
        <w:t> </w:t>
      </w:r>
      <w:r>
        <w:rPr>
          <w:sz w:val="15"/>
        </w:rPr>
        <w:t>6.5</w:t>
      </w:r>
      <w:r>
        <w:rPr>
          <w:spacing w:val="1"/>
          <w:sz w:val="15"/>
        </w:rPr>
        <w:t> </w:t>
      </w:r>
      <w:r>
        <w:rPr>
          <w:sz w:val="15"/>
        </w:rPr>
        <w:t>Fair</w:t>
      </w:r>
      <w:r>
        <w:rPr>
          <w:spacing w:val="1"/>
          <w:sz w:val="15"/>
        </w:rPr>
        <w:t> </w:t>
      </w:r>
      <w:r>
        <w:rPr>
          <w:sz w:val="15"/>
        </w:rPr>
        <w:t>value</w:t>
      </w:r>
      <w:r>
        <w:rPr>
          <w:spacing w:val="2"/>
          <w:sz w:val="15"/>
        </w:rPr>
        <w:t> </w:t>
      </w:r>
      <w:r>
        <w:rPr>
          <w:spacing w:val="-2"/>
          <w:sz w:val="15"/>
        </w:rPr>
        <w:t>measurements</w:t>
      </w:r>
    </w:p>
    <w:p>
      <w:pPr>
        <w:pStyle w:val="ListParagraph"/>
        <w:numPr>
          <w:ilvl w:val="0"/>
          <w:numId w:val="31"/>
        </w:numPr>
        <w:tabs>
          <w:tab w:pos="842" w:val="left" w:leader="none"/>
          <w:tab w:pos="4976" w:val="left" w:leader="none"/>
        </w:tabs>
        <w:spacing w:line="240" w:lineRule="auto" w:before="17" w:after="0"/>
        <w:ind w:left="842" w:right="0" w:hanging="95"/>
        <w:jc w:val="left"/>
        <w:rPr>
          <w:sz w:val="15"/>
        </w:rPr>
      </w:pPr>
      <w:r>
        <w:rPr>
          <w:sz w:val="15"/>
        </w:rPr>
        <w:t>6.2 Other financial </w:t>
      </w:r>
      <w:r>
        <w:rPr>
          <w:spacing w:val="-2"/>
          <w:sz w:val="15"/>
        </w:rPr>
        <w:t>assets</w:t>
      </w:r>
      <w:r>
        <w:rPr>
          <w:sz w:val="15"/>
        </w:rPr>
        <w:tab/>
        <w:t>•</w:t>
      </w:r>
      <w:r>
        <w:rPr>
          <w:spacing w:val="1"/>
          <w:sz w:val="15"/>
        </w:rPr>
        <w:t> </w:t>
      </w:r>
      <w:r>
        <w:rPr>
          <w:sz w:val="15"/>
        </w:rPr>
        <w:t>6.6</w:t>
      </w:r>
      <w:r>
        <w:rPr>
          <w:spacing w:val="1"/>
          <w:sz w:val="15"/>
        </w:rPr>
        <w:t> </w:t>
      </w:r>
      <w:r>
        <w:rPr>
          <w:spacing w:val="-2"/>
          <w:sz w:val="15"/>
        </w:rPr>
        <w:t>Reserves</w:t>
      </w:r>
    </w:p>
    <w:p>
      <w:pPr>
        <w:pStyle w:val="ListParagraph"/>
        <w:numPr>
          <w:ilvl w:val="0"/>
          <w:numId w:val="31"/>
        </w:numPr>
        <w:tabs>
          <w:tab w:pos="842" w:val="left" w:leader="none"/>
          <w:tab w:pos="4976" w:val="left" w:leader="none"/>
        </w:tabs>
        <w:spacing w:line="240" w:lineRule="auto" w:before="16" w:after="0"/>
        <w:ind w:left="842" w:right="0" w:hanging="95"/>
        <w:jc w:val="left"/>
        <w:rPr>
          <w:sz w:val="15"/>
        </w:rPr>
      </w:pPr>
      <w:r>
        <w:rPr>
          <w:sz w:val="15"/>
        </w:rPr>
        <w:t>6.3</w:t>
      </w:r>
      <w:r>
        <w:rPr>
          <w:spacing w:val="1"/>
          <w:sz w:val="15"/>
        </w:rPr>
        <w:t> </w:t>
      </w:r>
      <w:r>
        <w:rPr>
          <w:spacing w:val="-2"/>
          <w:sz w:val="15"/>
        </w:rPr>
        <w:t>Borrowings</w:t>
      </w:r>
      <w:r>
        <w:rPr>
          <w:sz w:val="15"/>
        </w:rPr>
        <w:tab/>
        <w:t>•</w:t>
      </w:r>
      <w:r>
        <w:rPr>
          <w:spacing w:val="1"/>
          <w:sz w:val="15"/>
        </w:rPr>
        <w:t> </w:t>
      </w:r>
      <w:r>
        <w:rPr>
          <w:sz w:val="15"/>
        </w:rPr>
        <w:t>6.7</w:t>
      </w:r>
      <w:r>
        <w:rPr>
          <w:spacing w:val="1"/>
          <w:sz w:val="15"/>
        </w:rPr>
        <w:t> </w:t>
      </w:r>
      <w:r>
        <w:rPr>
          <w:spacing w:val="-2"/>
          <w:sz w:val="15"/>
        </w:rPr>
        <w:t>Commitments</w:t>
      </w:r>
    </w:p>
    <w:p>
      <w:pPr>
        <w:pStyle w:val="ListParagraph"/>
        <w:numPr>
          <w:ilvl w:val="0"/>
          <w:numId w:val="31"/>
        </w:numPr>
        <w:tabs>
          <w:tab w:pos="842" w:val="left" w:leader="none"/>
          <w:tab w:pos="4976" w:val="left" w:leader="none"/>
        </w:tabs>
        <w:spacing w:line="240" w:lineRule="auto" w:before="17" w:after="0"/>
        <w:ind w:left="842" w:right="0" w:hanging="95"/>
        <w:jc w:val="left"/>
        <w:rPr>
          <w:sz w:val="15"/>
        </w:rPr>
      </w:pPr>
      <w:r>
        <w:rPr>
          <w:sz w:val="15"/>
        </w:rPr>
        <w:t>6.4 Financial</w:t>
      </w:r>
      <w:r>
        <w:rPr>
          <w:spacing w:val="-1"/>
          <w:sz w:val="15"/>
        </w:rPr>
        <w:t> </w:t>
      </w:r>
      <w:r>
        <w:rPr>
          <w:sz w:val="15"/>
        </w:rPr>
        <w:t>risk </w:t>
      </w:r>
      <w:r>
        <w:rPr>
          <w:spacing w:val="-2"/>
          <w:sz w:val="15"/>
        </w:rPr>
        <w:t>management</w:t>
      </w:r>
      <w:r>
        <w:rPr>
          <w:sz w:val="15"/>
        </w:rPr>
        <w:tab/>
        <w:t>•</w:t>
      </w:r>
      <w:r>
        <w:rPr>
          <w:spacing w:val="1"/>
          <w:sz w:val="15"/>
        </w:rPr>
        <w:t> </w:t>
      </w:r>
      <w:r>
        <w:rPr>
          <w:sz w:val="15"/>
        </w:rPr>
        <w:t>6.8</w:t>
      </w:r>
      <w:r>
        <w:rPr>
          <w:spacing w:val="1"/>
          <w:sz w:val="15"/>
        </w:rPr>
        <w:t> </w:t>
      </w:r>
      <w:r>
        <w:rPr>
          <w:spacing w:val="-2"/>
          <w:sz w:val="15"/>
        </w:rPr>
        <w:t>Contingencies</w:t>
      </w:r>
    </w:p>
    <w:p>
      <w:pPr>
        <w:spacing w:line="240" w:lineRule="auto" w:before="10"/>
        <w:rPr>
          <w:sz w:val="14"/>
        </w:rPr>
      </w:pPr>
      <w:r>
        <w:rPr/>
        <mc:AlternateContent>
          <mc:Choice Requires="wps">
            <w:drawing>
              <wp:anchor distT="0" distB="0" distL="0" distR="0" allowOverlap="1" layoutInCell="1" locked="0" behindDoc="1" simplePos="0" relativeHeight="487756288">
                <wp:simplePos x="0" y="0"/>
                <wp:positionH relativeFrom="page">
                  <wp:posOffset>715403</wp:posOffset>
                </wp:positionH>
                <wp:positionV relativeFrom="paragraph">
                  <wp:posOffset>124339</wp:posOffset>
                </wp:positionV>
                <wp:extent cx="5739130" cy="17145"/>
                <wp:effectExtent l="0" t="0" r="0" b="0"/>
                <wp:wrapTopAndBottom/>
                <wp:docPr id="945" name="Graphic 945"/>
                <wp:cNvGraphicFramePr>
                  <a:graphicFrameLocks/>
                </wp:cNvGraphicFramePr>
                <a:graphic>
                  <a:graphicData uri="http://schemas.microsoft.com/office/word/2010/wordprocessingShape">
                    <wps:wsp>
                      <wps:cNvPr id="945" name="Graphic 945"/>
                      <wps:cNvSpPr/>
                      <wps:spPr>
                        <a:xfrm>
                          <a:off x="0" y="0"/>
                          <a:ext cx="5739130" cy="17145"/>
                        </a:xfrm>
                        <a:custGeom>
                          <a:avLst/>
                          <a:gdLst/>
                          <a:ahLst/>
                          <a:cxnLst/>
                          <a:rect l="l" t="t" r="r" b="b"/>
                          <a:pathLst>
                            <a:path w="5739130" h="17145">
                              <a:moveTo>
                                <a:pt x="5739117" y="0"/>
                              </a:moveTo>
                              <a:lnTo>
                                <a:pt x="0" y="0"/>
                              </a:lnTo>
                              <a:lnTo>
                                <a:pt x="0" y="16967"/>
                              </a:lnTo>
                              <a:lnTo>
                                <a:pt x="5739117" y="16967"/>
                              </a:lnTo>
                              <a:lnTo>
                                <a:pt x="5739117"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6.331001pt;margin-top:9.790512pt;width:451.899pt;height:1.336pt;mso-position-horizontal-relative:page;mso-position-vertical-relative:paragraph;z-index:-15560192;mso-wrap-distance-left:0;mso-wrap-distance-right:0" id="docshape638" filled="true" fillcolor="#4f81bd" stroked="false">
                <v:fill type="solid"/>
                <w10:wrap type="topAndBottom"/>
              </v:rect>
            </w:pict>
          </mc:Fallback>
        </mc:AlternateContent>
      </w:r>
    </w:p>
    <w:p>
      <w:pPr>
        <w:pStyle w:val="ListParagraph"/>
        <w:numPr>
          <w:ilvl w:val="1"/>
          <w:numId w:val="13"/>
        </w:numPr>
        <w:tabs>
          <w:tab w:pos="749" w:val="left" w:leader="none"/>
          <w:tab w:pos="5940" w:val="left" w:leader="none"/>
          <w:tab w:pos="7893" w:val="left" w:leader="none"/>
        </w:tabs>
        <w:spacing w:line="240" w:lineRule="auto" w:before="164" w:after="21"/>
        <w:ind w:left="749" w:right="0" w:hanging="612"/>
        <w:jc w:val="left"/>
        <w:rPr>
          <w:b/>
          <w:color w:val="0070C0"/>
          <w:sz w:val="16"/>
        </w:rPr>
      </w:pPr>
      <w:r>
        <w:rPr>
          <w:b/>
          <w:color w:val="0070C0"/>
          <w:sz w:val="16"/>
        </w:rPr>
        <w:t>Cash</w:t>
      </w:r>
      <w:r>
        <w:rPr>
          <w:b/>
          <w:color w:val="0070C0"/>
          <w:spacing w:val="5"/>
          <w:sz w:val="16"/>
        </w:rPr>
        <w:t> </w:t>
      </w:r>
      <w:r>
        <w:rPr>
          <w:b/>
          <w:color w:val="0070C0"/>
          <w:sz w:val="16"/>
        </w:rPr>
        <w:t>and</w:t>
      </w:r>
      <w:r>
        <w:rPr>
          <w:b/>
          <w:color w:val="0070C0"/>
          <w:spacing w:val="5"/>
          <w:sz w:val="16"/>
        </w:rPr>
        <w:t> </w:t>
      </w:r>
      <w:r>
        <w:rPr>
          <w:b/>
          <w:color w:val="0070C0"/>
          <w:sz w:val="16"/>
        </w:rPr>
        <w:t>cash</w:t>
      </w:r>
      <w:r>
        <w:rPr>
          <w:b/>
          <w:color w:val="0070C0"/>
          <w:spacing w:val="5"/>
          <w:sz w:val="16"/>
        </w:rPr>
        <w:t> </w:t>
      </w:r>
      <w:r>
        <w:rPr>
          <w:b/>
          <w:color w:val="0070C0"/>
          <w:spacing w:val="-2"/>
          <w:sz w:val="16"/>
        </w:rPr>
        <w:t>equivalents</w:t>
      </w:r>
      <w:r>
        <w:rPr>
          <w:b/>
          <w:color w:val="0070C0"/>
          <w:sz w:val="16"/>
        </w:rPr>
        <w:tab/>
      </w:r>
      <w:r>
        <w:rPr>
          <w:b/>
          <w:spacing w:val="-2"/>
          <w:sz w:val="14"/>
        </w:rPr>
        <w:t>Consolidated</w:t>
      </w:r>
      <w:r>
        <w:rPr>
          <w:b/>
          <w:sz w:val="14"/>
        </w:rPr>
        <w:tab/>
      </w:r>
      <w:r>
        <w:rPr>
          <w:b/>
          <w:spacing w:val="-2"/>
          <w:sz w:val="14"/>
        </w:rPr>
        <w:t>University</w:t>
      </w:r>
    </w:p>
    <w:tbl>
      <w:tblPr>
        <w:tblW w:w="0" w:type="auto"/>
        <w:jc w:val="left"/>
        <w:tblInd w:w="7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750"/>
        <w:gridCol w:w="1037"/>
        <w:gridCol w:w="923"/>
        <w:gridCol w:w="923"/>
        <w:gridCol w:w="811"/>
      </w:tblGrid>
      <w:tr>
        <w:trPr>
          <w:trHeight w:val="326" w:hRule="atLeast"/>
        </w:trPr>
        <w:tc>
          <w:tcPr>
            <w:tcW w:w="5787" w:type="dxa"/>
            <w:gridSpan w:val="2"/>
          </w:tcPr>
          <w:p>
            <w:pPr>
              <w:pStyle w:val="TableParagraph"/>
              <w:spacing w:line="155" w:lineRule="exact"/>
              <w:ind w:right="415"/>
              <w:jc w:val="right"/>
              <w:rPr>
                <w:b/>
                <w:sz w:val="14"/>
              </w:rPr>
            </w:pPr>
            <w:r>
              <w:rPr>
                <w:b/>
                <w:spacing w:val="-4"/>
                <w:sz w:val="14"/>
              </w:rPr>
              <w:t>2020</w:t>
            </w:r>
          </w:p>
          <w:p>
            <w:pPr>
              <w:pStyle w:val="TableParagraph"/>
              <w:spacing w:line="144" w:lineRule="exact" w:before="8"/>
              <w:ind w:right="397"/>
              <w:jc w:val="right"/>
              <w:rPr>
                <w:b/>
                <w:sz w:val="14"/>
              </w:rPr>
            </w:pPr>
            <w:r>
              <w:rPr>
                <w:b/>
                <w:spacing w:val="-2"/>
                <w:sz w:val="14"/>
              </w:rPr>
              <w:t>$'000</w:t>
            </w:r>
          </w:p>
        </w:tc>
        <w:tc>
          <w:tcPr>
            <w:tcW w:w="923" w:type="dxa"/>
            <w:tcBorders>
              <w:bottom w:val="single" w:sz="6" w:space="0" w:color="000000"/>
            </w:tcBorders>
          </w:tcPr>
          <w:p>
            <w:pPr>
              <w:pStyle w:val="TableParagraph"/>
              <w:spacing w:line="155" w:lineRule="exact"/>
              <w:ind w:left="203"/>
              <w:rPr>
                <w:b/>
                <w:sz w:val="14"/>
              </w:rPr>
            </w:pPr>
            <w:r>
              <w:rPr>
                <w:b/>
                <w:spacing w:val="-4"/>
                <w:sz w:val="14"/>
              </w:rPr>
              <w:t>2019</w:t>
            </w:r>
          </w:p>
          <w:p>
            <w:pPr>
              <w:pStyle w:val="TableParagraph"/>
              <w:spacing w:line="144" w:lineRule="exact" w:before="8"/>
              <w:ind w:left="188"/>
              <w:rPr>
                <w:b/>
                <w:sz w:val="14"/>
              </w:rPr>
            </w:pPr>
            <w:r>
              <w:rPr>
                <w:b/>
                <w:spacing w:val="-2"/>
                <w:sz w:val="14"/>
              </w:rPr>
              <w:t>$'000</w:t>
            </w:r>
          </w:p>
        </w:tc>
        <w:tc>
          <w:tcPr>
            <w:tcW w:w="923" w:type="dxa"/>
            <w:tcBorders>
              <w:bottom w:val="single" w:sz="6" w:space="0" w:color="000000"/>
            </w:tcBorders>
          </w:tcPr>
          <w:p>
            <w:pPr>
              <w:pStyle w:val="TableParagraph"/>
              <w:spacing w:line="155" w:lineRule="exact"/>
              <w:ind w:left="204"/>
              <w:rPr>
                <w:b/>
                <w:sz w:val="14"/>
              </w:rPr>
            </w:pPr>
            <w:r>
              <w:rPr>
                <w:b/>
                <w:spacing w:val="-4"/>
                <w:sz w:val="14"/>
              </w:rPr>
              <w:t>2020</w:t>
            </w:r>
          </w:p>
          <w:p>
            <w:pPr>
              <w:pStyle w:val="TableParagraph"/>
              <w:spacing w:line="144" w:lineRule="exact" w:before="8"/>
              <w:ind w:left="189"/>
              <w:rPr>
                <w:b/>
                <w:sz w:val="14"/>
              </w:rPr>
            </w:pPr>
            <w:r>
              <w:rPr>
                <w:b/>
                <w:spacing w:val="-2"/>
                <w:sz w:val="14"/>
              </w:rPr>
              <w:t>$'000</w:t>
            </w:r>
          </w:p>
        </w:tc>
        <w:tc>
          <w:tcPr>
            <w:tcW w:w="811" w:type="dxa"/>
            <w:tcBorders>
              <w:bottom w:val="single" w:sz="6" w:space="0" w:color="000000"/>
            </w:tcBorders>
          </w:tcPr>
          <w:p>
            <w:pPr>
              <w:pStyle w:val="TableParagraph"/>
              <w:spacing w:line="155" w:lineRule="exact"/>
              <w:ind w:left="206"/>
              <w:rPr>
                <w:b/>
                <w:sz w:val="14"/>
              </w:rPr>
            </w:pPr>
            <w:r>
              <w:rPr>
                <w:b/>
                <w:spacing w:val="-4"/>
                <w:sz w:val="14"/>
              </w:rPr>
              <w:t>2019</w:t>
            </w:r>
          </w:p>
          <w:p>
            <w:pPr>
              <w:pStyle w:val="TableParagraph"/>
              <w:spacing w:line="144" w:lineRule="exact" w:before="8"/>
              <w:ind w:left="190"/>
              <w:rPr>
                <w:b/>
                <w:sz w:val="14"/>
              </w:rPr>
            </w:pPr>
            <w:r>
              <w:rPr>
                <w:b/>
                <w:spacing w:val="-2"/>
                <w:sz w:val="14"/>
              </w:rPr>
              <w:t>$'000</w:t>
            </w:r>
          </w:p>
        </w:tc>
      </w:tr>
      <w:tr>
        <w:trPr>
          <w:trHeight w:val="338" w:hRule="atLeast"/>
        </w:trPr>
        <w:tc>
          <w:tcPr>
            <w:tcW w:w="4750" w:type="dxa"/>
          </w:tcPr>
          <w:p>
            <w:pPr>
              <w:pStyle w:val="TableParagraph"/>
              <w:rPr>
                <w:b/>
                <w:sz w:val="14"/>
              </w:rPr>
            </w:pPr>
          </w:p>
          <w:p>
            <w:pPr>
              <w:pStyle w:val="TableParagraph"/>
              <w:spacing w:line="150" w:lineRule="exact"/>
              <w:ind w:left="50"/>
              <w:rPr>
                <w:sz w:val="14"/>
              </w:rPr>
            </w:pPr>
            <w:r>
              <w:rPr>
                <w:spacing w:val="-2"/>
                <w:sz w:val="14"/>
              </w:rPr>
              <w:t>Cash</w:t>
            </w:r>
            <w:r>
              <w:rPr>
                <w:spacing w:val="-5"/>
                <w:sz w:val="14"/>
              </w:rPr>
              <w:t> </w:t>
            </w:r>
            <w:r>
              <w:rPr>
                <w:spacing w:val="-2"/>
                <w:sz w:val="14"/>
              </w:rPr>
              <w:t>at</w:t>
            </w:r>
            <w:r>
              <w:rPr>
                <w:spacing w:val="-4"/>
                <w:sz w:val="14"/>
              </w:rPr>
              <w:t> </w:t>
            </w:r>
            <w:r>
              <w:rPr>
                <w:spacing w:val="-2"/>
                <w:sz w:val="14"/>
              </w:rPr>
              <w:t>bank</w:t>
            </w:r>
            <w:r>
              <w:rPr>
                <w:spacing w:val="-1"/>
                <w:sz w:val="14"/>
              </w:rPr>
              <w:t> </w:t>
            </w:r>
            <w:r>
              <w:rPr>
                <w:spacing w:val="-2"/>
                <w:sz w:val="14"/>
              </w:rPr>
              <w:t>and</w:t>
            </w:r>
            <w:r>
              <w:rPr>
                <w:spacing w:val="-5"/>
                <w:sz w:val="14"/>
              </w:rPr>
              <w:t> </w:t>
            </w:r>
            <w:r>
              <w:rPr>
                <w:spacing w:val="-2"/>
                <w:sz w:val="14"/>
              </w:rPr>
              <w:t>on</w:t>
            </w:r>
            <w:r>
              <w:rPr>
                <w:spacing w:val="-4"/>
                <w:sz w:val="14"/>
              </w:rPr>
              <w:t> hand</w:t>
            </w:r>
          </w:p>
        </w:tc>
        <w:tc>
          <w:tcPr>
            <w:tcW w:w="1037" w:type="dxa"/>
          </w:tcPr>
          <w:p>
            <w:pPr>
              <w:pStyle w:val="TableParagraph"/>
              <w:rPr>
                <w:b/>
                <w:sz w:val="14"/>
              </w:rPr>
            </w:pPr>
          </w:p>
          <w:p>
            <w:pPr>
              <w:pStyle w:val="TableParagraph"/>
              <w:spacing w:line="150" w:lineRule="exact"/>
              <w:ind w:left="249" w:right="1"/>
              <w:jc w:val="center"/>
              <w:rPr>
                <w:sz w:val="14"/>
              </w:rPr>
            </w:pPr>
            <w:r>
              <w:rPr>
                <w:spacing w:val="-2"/>
                <w:sz w:val="14"/>
              </w:rPr>
              <w:t>44,048</w:t>
            </w:r>
          </w:p>
        </w:tc>
        <w:tc>
          <w:tcPr>
            <w:tcW w:w="923" w:type="dxa"/>
          </w:tcPr>
          <w:p>
            <w:pPr>
              <w:pStyle w:val="TableParagraph"/>
              <w:rPr>
                <w:b/>
                <w:sz w:val="14"/>
              </w:rPr>
            </w:pPr>
          </w:p>
          <w:p>
            <w:pPr>
              <w:pStyle w:val="TableParagraph"/>
              <w:spacing w:line="150" w:lineRule="exact"/>
              <w:ind w:right="182"/>
              <w:jc w:val="right"/>
              <w:rPr>
                <w:sz w:val="14"/>
              </w:rPr>
            </w:pPr>
            <w:r>
              <w:rPr>
                <w:spacing w:val="-2"/>
                <w:sz w:val="14"/>
              </w:rPr>
              <w:t>19,251</w:t>
            </w:r>
          </w:p>
        </w:tc>
        <w:tc>
          <w:tcPr>
            <w:tcW w:w="923" w:type="dxa"/>
          </w:tcPr>
          <w:p>
            <w:pPr>
              <w:pStyle w:val="TableParagraph"/>
              <w:rPr>
                <w:b/>
                <w:sz w:val="14"/>
              </w:rPr>
            </w:pPr>
          </w:p>
          <w:p>
            <w:pPr>
              <w:pStyle w:val="TableParagraph"/>
              <w:spacing w:line="150" w:lineRule="exact"/>
              <w:ind w:left="139"/>
              <w:jc w:val="center"/>
              <w:rPr>
                <w:sz w:val="14"/>
              </w:rPr>
            </w:pPr>
            <w:r>
              <w:rPr>
                <w:spacing w:val="-2"/>
                <w:sz w:val="14"/>
              </w:rPr>
              <w:t>33,347</w:t>
            </w:r>
          </w:p>
        </w:tc>
        <w:tc>
          <w:tcPr>
            <w:tcW w:w="811" w:type="dxa"/>
          </w:tcPr>
          <w:p>
            <w:pPr>
              <w:pStyle w:val="TableParagraph"/>
              <w:rPr>
                <w:b/>
                <w:sz w:val="14"/>
              </w:rPr>
            </w:pPr>
          </w:p>
          <w:p>
            <w:pPr>
              <w:pStyle w:val="TableParagraph"/>
              <w:spacing w:line="150" w:lineRule="exact"/>
              <w:ind w:right="68"/>
              <w:jc w:val="right"/>
              <w:rPr>
                <w:sz w:val="14"/>
              </w:rPr>
            </w:pPr>
            <w:r>
              <w:rPr>
                <w:spacing w:val="-2"/>
                <w:sz w:val="14"/>
              </w:rPr>
              <w:t>13,925</w:t>
            </w:r>
          </w:p>
        </w:tc>
      </w:tr>
      <w:tr>
        <w:trPr>
          <w:trHeight w:val="167" w:hRule="atLeast"/>
        </w:trPr>
        <w:tc>
          <w:tcPr>
            <w:tcW w:w="4750" w:type="dxa"/>
          </w:tcPr>
          <w:p>
            <w:pPr>
              <w:pStyle w:val="TableParagraph"/>
              <w:spacing w:line="144" w:lineRule="exact" w:before="3"/>
              <w:ind w:left="50"/>
              <w:rPr>
                <w:sz w:val="14"/>
              </w:rPr>
            </w:pPr>
            <w:r>
              <w:rPr>
                <w:spacing w:val="-2"/>
                <w:sz w:val="14"/>
              </w:rPr>
              <w:t>Short-term</w:t>
            </w:r>
            <w:r>
              <w:rPr>
                <w:spacing w:val="-4"/>
                <w:sz w:val="14"/>
              </w:rPr>
              <w:t> </w:t>
            </w:r>
            <w:r>
              <w:rPr>
                <w:spacing w:val="-2"/>
                <w:sz w:val="14"/>
              </w:rPr>
              <w:t>deposits</w:t>
            </w:r>
          </w:p>
        </w:tc>
        <w:tc>
          <w:tcPr>
            <w:tcW w:w="1037" w:type="dxa"/>
            <w:tcBorders>
              <w:bottom w:val="single" w:sz="6" w:space="0" w:color="000000"/>
            </w:tcBorders>
          </w:tcPr>
          <w:p>
            <w:pPr>
              <w:pStyle w:val="TableParagraph"/>
              <w:spacing w:line="144" w:lineRule="exact" w:before="3"/>
              <w:ind w:left="249"/>
              <w:jc w:val="center"/>
              <w:rPr>
                <w:sz w:val="14"/>
              </w:rPr>
            </w:pPr>
            <w:r>
              <w:rPr>
                <w:spacing w:val="-2"/>
                <w:sz w:val="14"/>
              </w:rPr>
              <w:t>83,042</w:t>
            </w:r>
          </w:p>
        </w:tc>
        <w:tc>
          <w:tcPr>
            <w:tcW w:w="923" w:type="dxa"/>
            <w:tcBorders>
              <w:bottom w:val="single" w:sz="6" w:space="0" w:color="000000"/>
            </w:tcBorders>
          </w:tcPr>
          <w:p>
            <w:pPr>
              <w:pStyle w:val="TableParagraph"/>
              <w:spacing w:line="144" w:lineRule="exact" w:before="3"/>
              <w:ind w:right="182"/>
              <w:jc w:val="right"/>
              <w:rPr>
                <w:sz w:val="14"/>
              </w:rPr>
            </w:pPr>
            <w:r>
              <w:rPr>
                <w:spacing w:val="-2"/>
                <w:sz w:val="14"/>
              </w:rPr>
              <w:t>66,556</w:t>
            </w:r>
          </w:p>
        </w:tc>
        <w:tc>
          <w:tcPr>
            <w:tcW w:w="923" w:type="dxa"/>
            <w:tcBorders>
              <w:bottom w:val="single" w:sz="6" w:space="0" w:color="000000"/>
            </w:tcBorders>
          </w:tcPr>
          <w:p>
            <w:pPr>
              <w:pStyle w:val="TableParagraph"/>
              <w:spacing w:line="144" w:lineRule="exact" w:before="3"/>
              <w:ind w:left="139"/>
              <w:jc w:val="center"/>
              <w:rPr>
                <w:sz w:val="14"/>
              </w:rPr>
            </w:pPr>
            <w:r>
              <w:rPr>
                <w:spacing w:val="-2"/>
                <w:sz w:val="14"/>
              </w:rPr>
              <w:t>83,042</w:t>
            </w:r>
          </w:p>
        </w:tc>
        <w:tc>
          <w:tcPr>
            <w:tcW w:w="811" w:type="dxa"/>
            <w:tcBorders>
              <w:bottom w:val="single" w:sz="6" w:space="0" w:color="000000"/>
            </w:tcBorders>
          </w:tcPr>
          <w:p>
            <w:pPr>
              <w:pStyle w:val="TableParagraph"/>
              <w:spacing w:line="144" w:lineRule="exact" w:before="3"/>
              <w:ind w:right="68"/>
              <w:jc w:val="right"/>
              <w:rPr>
                <w:sz w:val="14"/>
              </w:rPr>
            </w:pPr>
            <w:r>
              <w:rPr>
                <w:spacing w:val="-2"/>
                <w:sz w:val="14"/>
              </w:rPr>
              <w:t>59,042</w:t>
            </w:r>
          </w:p>
        </w:tc>
      </w:tr>
      <w:tr>
        <w:trPr>
          <w:trHeight w:val="154" w:hRule="atLeast"/>
        </w:trPr>
        <w:tc>
          <w:tcPr>
            <w:tcW w:w="4750" w:type="dxa"/>
          </w:tcPr>
          <w:p>
            <w:pPr>
              <w:pStyle w:val="TableParagraph"/>
              <w:spacing w:line="134" w:lineRule="exact"/>
              <w:ind w:left="50"/>
              <w:rPr>
                <w:b/>
                <w:sz w:val="14"/>
              </w:rPr>
            </w:pPr>
            <w:r>
              <w:rPr>
                <w:b/>
                <w:spacing w:val="-2"/>
                <w:sz w:val="14"/>
              </w:rPr>
              <w:t>Total</w:t>
            </w:r>
            <w:r>
              <w:rPr>
                <w:b/>
                <w:spacing w:val="-5"/>
                <w:sz w:val="14"/>
              </w:rPr>
              <w:t> </w:t>
            </w:r>
            <w:r>
              <w:rPr>
                <w:b/>
                <w:spacing w:val="-2"/>
                <w:sz w:val="14"/>
              </w:rPr>
              <w:t>cash</w:t>
            </w:r>
            <w:r>
              <w:rPr>
                <w:b/>
                <w:spacing w:val="-3"/>
                <w:sz w:val="14"/>
              </w:rPr>
              <w:t> </w:t>
            </w:r>
            <w:r>
              <w:rPr>
                <w:b/>
                <w:spacing w:val="-2"/>
                <w:sz w:val="14"/>
              </w:rPr>
              <w:t>and</w:t>
            </w:r>
            <w:r>
              <w:rPr>
                <w:b/>
                <w:spacing w:val="-3"/>
                <w:sz w:val="14"/>
              </w:rPr>
              <w:t> </w:t>
            </w:r>
            <w:r>
              <w:rPr>
                <w:b/>
                <w:spacing w:val="-2"/>
                <w:sz w:val="14"/>
              </w:rPr>
              <w:t>cash</w:t>
            </w:r>
            <w:r>
              <w:rPr>
                <w:b/>
                <w:spacing w:val="-3"/>
                <w:sz w:val="14"/>
              </w:rPr>
              <w:t> </w:t>
            </w:r>
            <w:r>
              <w:rPr>
                <w:b/>
                <w:spacing w:val="-2"/>
                <w:sz w:val="14"/>
              </w:rPr>
              <w:t>equivalents</w:t>
            </w:r>
          </w:p>
        </w:tc>
        <w:tc>
          <w:tcPr>
            <w:tcW w:w="1037" w:type="dxa"/>
            <w:tcBorders>
              <w:top w:val="single" w:sz="6" w:space="0" w:color="000000"/>
              <w:bottom w:val="single" w:sz="6" w:space="0" w:color="000000"/>
            </w:tcBorders>
          </w:tcPr>
          <w:p>
            <w:pPr>
              <w:pStyle w:val="TableParagraph"/>
              <w:spacing w:line="134" w:lineRule="exact"/>
              <w:ind w:left="249" w:right="77"/>
              <w:jc w:val="center"/>
              <w:rPr>
                <w:b/>
                <w:sz w:val="14"/>
              </w:rPr>
            </w:pPr>
            <w:r>
              <w:rPr>
                <w:b/>
                <w:spacing w:val="-2"/>
                <w:sz w:val="14"/>
              </w:rPr>
              <w:t>127,090</w:t>
            </w:r>
          </w:p>
        </w:tc>
        <w:tc>
          <w:tcPr>
            <w:tcW w:w="923" w:type="dxa"/>
            <w:tcBorders>
              <w:top w:val="single" w:sz="6" w:space="0" w:color="000000"/>
              <w:bottom w:val="single" w:sz="6" w:space="0" w:color="000000"/>
            </w:tcBorders>
          </w:tcPr>
          <w:p>
            <w:pPr>
              <w:pStyle w:val="TableParagraph"/>
              <w:spacing w:line="134" w:lineRule="exact"/>
              <w:ind w:right="183"/>
              <w:jc w:val="right"/>
              <w:rPr>
                <w:b/>
                <w:sz w:val="14"/>
              </w:rPr>
            </w:pPr>
            <w:r>
              <w:rPr>
                <w:b/>
                <w:spacing w:val="-2"/>
                <w:sz w:val="14"/>
              </w:rPr>
              <w:t>85,807</w:t>
            </w:r>
          </w:p>
        </w:tc>
        <w:tc>
          <w:tcPr>
            <w:tcW w:w="923" w:type="dxa"/>
            <w:tcBorders>
              <w:top w:val="single" w:sz="6" w:space="0" w:color="000000"/>
              <w:bottom w:val="single" w:sz="6" w:space="0" w:color="000000"/>
            </w:tcBorders>
          </w:tcPr>
          <w:p>
            <w:pPr>
              <w:pStyle w:val="TableParagraph"/>
              <w:spacing w:line="134" w:lineRule="exact"/>
              <w:ind w:left="139" w:right="76"/>
              <w:jc w:val="center"/>
              <w:rPr>
                <w:b/>
                <w:sz w:val="14"/>
              </w:rPr>
            </w:pPr>
            <w:r>
              <w:rPr>
                <w:b/>
                <w:spacing w:val="-2"/>
                <w:sz w:val="14"/>
              </w:rPr>
              <w:t>116,389</w:t>
            </w:r>
          </w:p>
        </w:tc>
        <w:tc>
          <w:tcPr>
            <w:tcW w:w="811" w:type="dxa"/>
            <w:tcBorders>
              <w:top w:val="single" w:sz="6" w:space="0" w:color="000000"/>
              <w:bottom w:val="single" w:sz="6" w:space="0" w:color="000000"/>
            </w:tcBorders>
          </w:tcPr>
          <w:p>
            <w:pPr>
              <w:pStyle w:val="TableParagraph"/>
              <w:spacing w:line="134" w:lineRule="exact"/>
              <w:ind w:right="68"/>
              <w:jc w:val="right"/>
              <w:rPr>
                <w:b/>
                <w:sz w:val="14"/>
              </w:rPr>
            </w:pPr>
            <w:r>
              <w:rPr>
                <w:b/>
                <w:spacing w:val="-2"/>
                <w:sz w:val="14"/>
              </w:rPr>
              <w:t>72,967</w:t>
            </w:r>
          </w:p>
        </w:tc>
      </w:tr>
    </w:tbl>
    <w:p>
      <w:pPr>
        <w:spacing w:before="170"/>
        <w:ind w:left="745" w:right="0" w:firstLine="0"/>
        <w:jc w:val="left"/>
        <w:rPr>
          <w:sz w:val="14"/>
        </w:rPr>
      </w:pPr>
      <w:r>
        <w:rPr>
          <w:spacing w:val="-2"/>
          <w:sz w:val="14"/>
        </w:rPr>
        <w:t>The</w:t>
      </w:r>
      <w:r>
        <w:rPr>
          <w:spacing w:val="-7"/>
          <w:sz w:val="14"/>
        </w:rPr>
        <w:t> </w:t>
      </w:r>
      <w:r>
        <w:rPr>
          <w:spacing w:val="-2"/>
          <w:sz w:val="14"/>
        </w:rPr>
        <w:t>Group</w:t>
      </w:r>
      <w:r>
        <w:rPr>
          <w:spacing w:val="-6"/>
          <w:sz w:val="14"/>
        </w:rPr>
        <w:t> </w:t>
      </w:r>
      <w:r>
        <w:rPr>
          <w:spacing w:val="-2"/>
          <w:sz w:val="14"/>
        </w:rPr>
        <w:t>has</w:t>
      </w:r>
      <w:r>
        <w:rPr>
          <w:spacing w:val="-5"/>
          <w:sz w:val="14"/>
        </w:rPr>
        <w:t> </w:t>
      </w:r>
      <w:r>
        <w:rPr>
          <w:spacing w:val="-2"/>
          <w:sz w:val="14"/>
        </w:rPr>
        <w:t>pledged</w:t>
      </w:r>
      <w:r>
        <w:rPr>
          <w:spacing w:val="-6"/>
          <w:sz w:val="14"/>
        </w:rPr>
        <w:t> </w:t>
      </w:r>
      <w:r>
        <w:rPr>
          <w:spacing w:val="-2"/>
          <w:sz w:val="14"/>
        </w:rPr>
        <w:t>$123,243</w:t>
      </w:r>
      <w:r>
        <w:rPr>
          <w:spacing w:val="-7"/>
          <w:sz w:val="14"/>
        </w:rPr>
        <w:t> </w:t>
      </w:r>
      <w:r>
        <w:rPr>
          <w:spacing w:val="-2"/>
          <w:sz w:val="14"/>
        </w:rPr>
        <w:t>(2019:</w:t>
      </w:r>
      <w:r>
        <w:rPr>
          <w:spacing w:val="-5"/>
          <w:sz w:val="14"/>
        </w:rPr>
        <w:t> </w:t>
      </w:r>
      <w:r>
        <w:rPr>
          <w:spacing w:val="-2"/>
          <w:sz w:val="14"/>
        </w:rPr>
        <w:t>$123,243)</w:t>
      </w:r>
      <w:r>
        <w:rPr>
          <w:spacing w:val="-4"/>
          <w:sz w:val="14"/>
        </w:rPr>
        <w:t> </w:t>
      </w:r>
      <w:r>
        <w:rPr>
          <w:spacing w:val="-2"/>
          <w:sz w:val="14"/>
        </w:rPr>
        <w:t>against</w:t>
      </w:r>
      <w:r>
        <w:rPr>
          <w:spacing w:val="-6"/>
          <w:sz w:val="14"/>
        </w:rPr>
        <w:t> </w:t>
      </w:r>
      <w:r>
        <w:rPr>
          <w:spacing w:val="-2"/>
          <w:sz w:val="14"/>
        </w:rPr>
        <w:t>cash</w:t>
      </w:r>
      <w:r>
        <w:rPr>
          <w:spacing w:val="-6"/>
          <w:sz w:val="14"/>
        </w:rPr>
        <w:t> </w:t>
      </w:r>
      <w:r>
        <w:rPr>
          <w:spacing w:val="-2"/>
          <w:sz w:val="14"/>
        </w:rPr>
        <w:t>assets</w:t>
      </w:r>
      <w:r>
        <w:rPr>
          <w:spacing w:val="-5"/>
          <w:sz w:val="14"/>
        </w:rPr>
        <w:t> </w:t>
      </w:r>
      <w:r>
        <w:rPr>
          <w:spacing w:val="-2"/>
          <w:sz w:val="14"/>
        </w:rPr>
        <w:t>as</w:t>
      </w:r>
      <w:r>
        <w:rPr>
          <w:spacing w:val="-5"/>
          <w:sz w:val="14"/>
        </w:rPr>
        <w:t> </w:t>
      </w:r>
      <w:r>
        <w:rPr>
          <w:spacing w:val="-2"/>
          <w:sz w:val="14"/>
        </w:rPr>
        <w:t>at</w:t>
      </w:r>
      <w:r>
        <w:rPr>
          <w:spacing w:val="-6"/>
          <w:sz w:val="14"/>
        </w:rPr>
        <w:t> </w:t>
      </w:r>
      <w:r>
        <w:rPr>
          <w:spacing w:val="-2"/>
          <w:sz w:val="14"/>
        </w:rPr>
        <w:t>31</w:t>
      </w:r>
      <w:r>
        <w:rPr>
          <w:spacing w:val="-6"/>
          <w:sz w:val="14"/>
        </w:rPr>
        <w:t> </w:t>
      </w:r>
      <w:r>
        <w:rPr>
          <w:spacing w:val="-2"/>
          <w:sz w:val="14"/>
        </w:rPr>
        <w:t>December</w:t>
      </w:r>
      <w:r>
        <w:rPr>
          <w:spacing w:val="-4"/>
          <w:sz w:val="14"/>
        </w:rPr>
        <w:t> </w:t>
      </w:r>
      <w:r>
        <w:rPr>
          <w:spacing w:val="-2"/>
          <w:sz w:val="14"/>
        </w:rPr>
        <w:t>2020.</w:t>
      </w:r>
    </w:p>
    <w:p>
      <w:pPr>
        <w:spacing w:line="240" w:lineRule="auto" w:before="30"/>
        <w:rPr>
          <w:sz w:val="14"/>
        </w:rPr>
      </w:pPr>
    </w:p>
    <w:p>
      <w:pPr>
        <w:pStyle w:val="ListParagraph"/>
        <w:numPr>
          <w:ilvl w:val="0"/>
          <w:numId w:val="32"/>
        </w:numPr>
        <w:tabs>
          <w:tab w:pos="745" w:val="left" w:leader="none"/>
        </w:tabs>
        <w:spacing w:line="240" w:lineRule="auto" w:before="0" w:after="0"/>
        <w:ind w:left="745" w:right="0" w:hanging="612"/>
        <w:jc w:val="left"/>
        <w:rPr>
          <w:b/>
          <w:sz w:val="14"/>
        </w:rPr>
      </w:pPr>
      <w:r>
        <w:rPr>
          <w:b/>
          <w:sz w:val="14"/>
        </w:rPr>
        <w:t>Cash</w:t>
      </w:r>
      <w:r>
        <w:rPr>
          <w:b/>
          <w:spacing w:val="-8"/>
          <w:sz w:val="14"/>
        </w:rPr>
        <w:t> </w:t>
      </w:r>
      <w:r>
        <w:rPr>
          <w:b/>
          <w:sz w:val="14"/>
        </w:rPr>
        <w:t>at</w:t>
      </w:r>
      <w:r>
        <w:rPr>
          <w:b/>
          <w:spacing w:val="-8"/>
          <w:sz w:val="14"/>
        </w:rPr>
        <w:t> </w:t>
      </w:r>
      <w:r>
        <w:rPr>
          <w:b/>
          <w:sz w:val="14"/>
        </w:rPr>
        <w:t>bank</w:t>
      </w:r>
      <w:r>
        <w:rPr>
          <w:b/>
          <w:spacing w:val="-10"/>
          <w:sz w:val="14"/>
        </w:rPr>
        <w:t> </w:t>
      </w:r>
      <w:r>
        <w:rPr>
          <w:b/>
          <w:sz w:val="14"/>
        </w:rPr>
        <w:t>and</w:t>
      </w:r>
      <w:r>
        <w:rPr>
          <w:b/>
          <w:spacing w:val="-8"/>
          <w:sz w:val="14"/>
        </w:rPr>
        <w:t> </w:t>
      </w:r>
      <w:r>
        <w:rPr>
          <w:b/>
          <w:sz w:val="14"/>
        </w:rPr>
        <w:t>on</w:t>
      </w:r>
      <w:r>
        <w:rPr>
          <w:b/>
          <w:spacing w:val="-8"/>
          <w:sz w:val="14"/>
        </w:rPr>
        <w:t> </w:t>
      </w:r>
      <w:r>
        <w:rPr>
          <w:b/>
          <w:spacing w:val="-4"/>
          <w:sz w:val="14"/>
        </w:rPr>
        <w:t>hand</w:t>
      </w:r>
    </w:p>
    <w:p>
      <w:pPr>
        <w:spacing w:before="8"/>
        <w:ind w:left="745" w:right="0" w:firstLine="0"/>
        <w:jc w:val="left"/>
        <w:rPr>
          <w:sz w:val="14"/>
        </w:rPr>
      </w:pPr>
      <w:r>
        <w:rPr>
          <w:spacing w:val="-2"/>
          <w:sz w:val="14"/>
        </w:rPr>
        <w:t>Cash</w:t>
      </w:r>
      <w:r>
        <w:rPr>
          <w:spacing w:val="-5"/>
          <w:sz w:val="14"/>
        </w:rPr>
        <w:t> </w:t>
      </w:r>
      <w:r>
        <w:rPr>
          <w:spacing w:val="-2"/>
          <w:sz w:val="14"/>
        </w:rPr>
        <w:t>at</w:t>
      </w:r>
      <w:r>
        <w:rPr>
          <w:spacing w:val="-4"/>
          <w:sz w:val="14"/>
        </w:rPr>
        <w:t> </w:t>
      </w:r>
      <w:r>
        <w:rPr>
          <w:spacing w:val="-2"/>
          <w:sz w:val="14"/>
        </w:rPr>
        <w:t>bank</w:t>
      </w:r>
      <w:r>
        <w:rPr>
          <w:spacing w:val="-1"/>
          <w:sz w:val="14"/>
        </w:rPr>
        <w:t> </w:t>
      </w:r>
      <w:r>
        <w:rPr>
          <w:spacing w:val="-2"/>
          <w:sz w:val="14"/>
        </w:rPr>
        <w:t>is</w:t>
      </w:r>
      <w:r>
        <w:rPr>
          <w:spacing w:val="-4"/>
          <w:sz w:val="14"/>
        </w:rPr>
        <w:t> </w:t>
      </w:r>
      <w:r>
        <w:rPr>
          <w:spacing w:val="-2"/>
          <w:sz w:val="14"/>
        </w:rPr>
        <w:t>interest</w:t>
      </w:r>
      <w:r>
        <w:rPr>
          <w:spacing w:val="-4"/>
          <w:sz w:val="14"/>
        </w:rPr>
        <w:t> </w:t>
      </w:r>
      <w:r>
        <w:rPr>
          <w:spacing w:val="-2"/>
          <w:sz w:val="14"/>
        </w:rPr>
        <w:t>bearing</w:t>
      </w:r>
      <w:r>
        <w:rPr>
          <w:spacing w:val="-4"/>
          <w:sz w:val="14"/>
        </w:rPr>
        <w:t> </w:t>
      </w:r>
      <w:r>
        <w:rPr>
          <w:spacing w:val="-2"/>
          <w:sz w:val="14"/>
        </w:rPr>
        <w:t>at</w:t>
      </w:r>
      <w:r>
        <w:rPr>
          <w:spacing w:val="-4"/>
          <w:sz w:val="14"/>
        </w:rPr>
        <w:t> </w:t>
      </w:r>
      <w:r>
        <w:rPr>
          <w:spacing w:val="-2"/>
          <w:sz w:val="14"/>
        </w:rPr>
        <w:t>an</w:t>
      </w:r>
      <w:r>
        <w:rPr>
          <w:spacing w:val="-5"/>
          <w:sz w:val="14"/>
        </w:rPr>
        <w:t> </w:t>
      </w:r>
      <w:r>
        <w:rPr>
          <w:spacing w:val="-2"/>
          <w:sz w:val="14"/>
        </w:rPr>
        <w:t>average</w:t>
      </w:r>
      <w:r>
        <w:rPr>
          <w:spacing w:val="-4"/>
          <w:sz w:val="14"/>
        </w:rPr>
        <w:t> </w:t>
      </w:r>
      <w:r>
        <w:rPr>
          <w:spacing w:val="-2"/>
          <w:sz w:val="14"/>
        </w:rPr>
        <w:t>interest</w:t>
      </w:r>
      <w:r>
        <w:rPr>
          <w:spacing w:val="-4"/>
          <w:sz w:val="14"/>
        </w:rPr>
        <w:t> </w:t>
      </w:r>
      <w:r>
        <w:rPr>
          <w:spacing w:val="-2"/>
          <w:sz w:val="14"/>
        </w:rPr>
        <w:t>rate</w:t>
      </w:r>
      <w:r>
        <w:rPr>
          <w:spacing w:val="-5"/>
          <w:sz w:val="14"/>
        </w:rPr>
        <w:t> </w:t>
      </w:r>
      <w:r>
        <w:rPr>
          <w:spacing w:val="-2"/>
          <w:sz w:val="14"/>
        </w:rPr>
        <w:t>of 0.08%</w:t>
      </w:r>
      <w:r>
        <w:rPr>
          <w:spacing w:val="-4"/>
          <w:sz w:val="14"/>
        </w:rPr>
        <w:t> </w:t>
      </w:r>
      <w:r>
        <w:rPr>
          <w:spacing w:val="-2"/>
          <w:sz w:val="14"/>
        </w:rPr>
        <w:t>as</w:t>
      </w:r>
      <w:r>
        <w:rPr>
          <w:spacing w:val="-3"/>
          <w:sz w:val="14"/>
        </w:rPr>
        <w:t> </w:t>
      </w:r>
      <w:r>
        <w:rPr>
          <w:spacing w:val="-2"/>
          <w:sz w:val="14"/>
        </w:rPr>
        <w:t>at</w:t>
      </w:r>
      <w:r>
        <w:rPr>
          <w:spacing w:val="-4"/>
          <w:sz w:val="14"/>
        </w:rPr>
        <w:t> </w:t>
      </w:r>
      <w:r>
        <w:rPr>
          <w:spacing w:val="-2"/>
          <w:sz w:val="14"/>
        </w:rPr>
        <w:t>31</w:t>
      </w:r>
      <w:r>
        <w:rPr>
          <w:spacing w:val="-5"/>
          <w:sz w:val="14"/>
        </w:rPr>
        <w:t> </w:t>
      </w:r>
      <w:r>
        <w:rPr>
          <w:spacing w:val="-2"/>
          <w:sz w:val="14"/>
        </w:rPr>
        <w:t>December</w:t>
      </w:r>
      <w:r>
        <w:rPr>
          <w:spacing w:val="-3"/>
          <w:sz w:val="14"/>
        </w:rPr>
        <w:t> </w:t>
      </w:r>
      <w:r>
        <w:rPr>
          <w:spacing w:val="-2"/>
          <w:sz w:val="14"/>
        </w:rPr>
        <w:t>2020</w:t>
      </w:r>
      <w:r>
        <w:rPr>
          <w:spacing w:val="-5"/>
          <w:sz w:val="14"/>
        </w:rPr>
        <w:t> </w:t>
      </w:r>
      <w:r>
        <w:rPr>
          <w:spacing w:val="-2"/>
          <w:sz w:val="14"/>
        </w:rPr>
        <w:t>(2019:</w:t>
      </w:r>
      <w:r>
        <w:rPr>
          <w:spacing w:val="-3"/>
          <w:sz w:val="14"/>
        </w:rPr>
        <w:t> </w:t>
      </w:r>
      <w:r>
        <w:rPr>
          <w:spacing w:val="-2"/>
          <w:sz w:val="14"/>
        </w:rPr>
        <w:t>0.42%).</w:t>
      </w:r>
    </w:p>
    <w:p>
      <w:pPr>
        <w:spacing w:line="240" w:lineRule="auto" w:before="30"/>
        <w:rPr>
          <w:sz w:val="14"/>
        </w:rPr>
      </w:pPr>
    </w:p>
    <w:p>
      <w:pPr>
        <w:pStyle w:val="ListParagraph"/>
        <w:numPr>
          <w:ilvl w:val="0"/>
          <w:numId w:val="32"/>
        </w:numPr>
        <w:tabs>
          <w:tab w:pos="745" w:val="left" w:leader="none"/>
        </w:tabs>
        <w:spacing w:line="240" w:lineRule="auto" w:before="0" w:after="0"/>
        <w:ind w:left="745" w:right="0" w:hanging="612"/>
        <w:jc w:val="left"/>
        <w:rPr>
          <w:b/>
          <w:sz w:val="14"/>
        </w:rPr>
      </w:pPr>
      <w:r>
        <w:rPr>
          <w:b/>
          <w:spacing w:val="-2"/>
          <w:sz w:val="14"/>
        </w:rPr>
        <w:t>Short-term deposits</w:t>
      </w:r>
    </w:p>
    <w:p>
      <w:pPr>
        <w:spacing w:line="256" w:lineRule="auto" w:before="11"/>
        <w:ind w:left="746" w:right="0" w:hanging="1"/>
        <w:jc w:val="left"/>
        <w:rPr>
          <w:sz w:val="14"/>
        </w:rPr>
      </w:pPr>
      <w:r>
        <w:rPr>
          <w:sz w:val="14"/>
        </w:rPr>
        <w:t>These deposits are bearing an average fixed interest rate of 0.40% as at 31 December 2020 (2019: 1.32%). These deposits have an</w:t>
      </w:r>
      <w:r>
        <w:rPr>
          <w:spacing w:val="40"/>
          <w:sz w:val="14"/>
        </w:rPr>
        <w:t> </w:t>
      </w:r>
      <w:r>
        <w:rPr>
          <w:sz w:val="14"/>
        </w:rPr>
        <w:t>average maturity</w:t>
      </w:r>
      <w:r>
        <w:rPr>
          <w:spacing w:val="-1"/>
          <w:sz w:val="14"/>
        </w:rPr>
        <w:t> </w:t>
      </w:r>
      <w:r>
        <w:rPr>
          <w:sz w:val="14"/>
        </w:rPr>
        <w:t>of 45 days (2019: 37 days).</w:t>
      </w:r>
    </w:p>
    <w:p>
      <w:pPr>
        <w:spacing w:line="240" w:lineRule="auto" w:before="2"/>
        <w:rPr>
          <w:sz w:val="14"/>
        </w:rPr>
      </w:pPr>
    </w:p>
    <w:p>
      <w:pPr>
        <w:spacing w:before="0"/>
        <w:ind w:left="745" w:right="0" w:firstLine="0"/>
        <w:jc w:val="left"/>
        <w:rPr>
          <w:sz w:val="14"/>
        </w:rPr>
      </w:pPr>
      <w:r>
        <w:rPr>
          <w:spacing w:val="-2"/>
          <w:sz w:val="14"/>
        </w:rPr>
        <w:t>Cash</w:t>
      </w:r>
      <w:r>
        <w:rPr>
          <w:spacing w:val="-4"/>
          <w:sz w:val="14"/>
        </w:rPr>
        <w:t> </w:t>
      </w:r>
      <w:r>
        <w:rPr>
          <w:spacing w:val="-2"/>
          <w:sz w:val="14"/>
        </w:rPr>
        <w:t>held</w:t>
      </w:r>
      <w:r>
        <w:rPr>
          <w:spacing w:val="-3"/>
          <w:sz w:val="14"/>
        </w:rPr>
        <w:t> </w:t>
      </w:r>
      <w:r>
        <w:rPr>
          <w:spacing w:val="-2"/>
          <w:sz w:val="14"/>
        </w:rPr>
        <w:t>in</w:t>
      </w:r>
      <w:r>
        <w:rPr>
          <w:spacing w:val="-3"/>
          <w:sz w:val="14"/>
        </w:rPr>
        <w:t> </w:t>
      </w:r>
      <w:r>
        <w:rPr>
          <w:spacing w:val="-2"/>
          <w:sz w:val="14"/>
        </w:rPr>
        <w:t>imprest is non-interest bearing.</w:t>
      </w:r>
    </w:p>
    <w:p>
      <w:pPr>
        <w:spacing w:line="240" w:lineRule="auto" w:before="15"/>
        <w:rPr>
          <w:sz w:val="14"/>
        </w:rPr>
      </w:pPr>
    </w:p>
    <w:p>
      <w:pPr>
        <w:pStyle w:val="ListParagraph"/>
        <w:numPr>
          <w:ilvl w:val="0"/>
          <w:numId w:val="32"/>
        </w:numPr>
        <w:tabs>
          <w:tab w:pos="745" w:val="left" w:leader="none"/>
        </w:tabs>
        <w:spacing w:line="240" w:lineRule="auto" w:before="0" w:after="0"/>
        <w:ind w:left="745" w:right="0" w:hanging="612"/>
        <w:jc w:val="left"/>
        <w:rPr>
          <w:b/>
          <w:sz w:val="14"/>
        </w:rPr>
      </w:pPr>
      <w:r>
        <w:rPr>
          <w:b/>
          <w:spacing w:val="-2"/>
          <w:position w:val="1"/>
          <w:sz w:val="14"/>
        </w:rPr>
        <w:t>Reconciliation</w:t>
      </w:r>
      <w:r>
        <w:rPr>
          <w:b/>
          <w:spacing w:val="-3"/>
          <w:position w:val="1"/>
          <w:sz w:val="14"/>
        </w:rPr>
        <w:t> </w:t>
      </w:r>
      <w:r>
        <w:rPr>
          <w:b/>
          <w:spacing w:val="-2"/>
          <w:position w:val="1"/>
          <w:sz w:val="14"/>
        </w:rPr>
        <w:t>of net result to net cash provided by/(used</w:t>
      </w:r>
      <w:r>
        <w:rPr>
          <w:b/>
          <w:spacing w:val="-3"/>
          <w:position w:val="1"/>
          <w:sz w:val="14"/>
        </w:rPr>
        <w:t> </w:t>
      </w:r>
      <w:r>
        <w:rPr>
          <w:b/>
          <w:spacing w:val="-2"/>
          <w:position w:val="1"/>
          <w:sz w:val="14"/>
        </w:rPr>
        <w:t>in) operating activities</w:t>
      </w:r>
    </w:p>
    <w:p>
      <w:pPr>
        <w:spacing w:line="240" w:lineRule="auto" w:before="2" w:after="1"/>
        <w:rPr>
          <w:b/>
          <w:sz w:val="15"/>
        </w:rPr>
      </w:pPr>
    </w:p>
    <w:tbl>
      <w:tblPr>
        <w:tblW w:w="0" w:type="auto"/>
        <w:jc w:val="left"/>
        <w:tblInd w:w="7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750"/>
        <w:gridCol w:w="1066"/>
        <w:gridCol w:w="947"/>
        <w:gridCol w:w="901"/>
        <w:gridCol w:w="784"/>
      </w:tblGrid>
      <w:tr>
        <w:trPr>
          <w:trHeight w:val="246" w:hRule="atLeast"/>
        </w:trPr>
        <w:tc>
          <w:tcPr>
            <w:tcW w:w="4750" w:type="dxa"/>
          </w:tcPr>
          <w:p>
            <w:pPr>
              <w:pStyle w:val="TableParagraph"/>
              <w:spacing w:line="155" w:lineRule="exact"/>
              <w:ind w:left="50"/>
              <w:rPr>
                <w:sz w:val="14"/>
              </w:rPr>
            </w:pPr>
            <w:r>
              <w:rPr>
                <w:sz w:val="14"/>
              </w:rPr>
              <w:t>Net</w:t>
            </w:r>
            <w:r>
              <w:rPr>
                <w:spacing w:val="-10"/>
                <w:sz w:val="14"/>
              </w:rPr>
              <w:t> </w:t>
            </w:r>
            <w:r>
              <w:rPr>
                <w:sz w:val="14"/>
              </w:rPr>
              <w:t>result</w:t>
            </w:r>
            <w:r>
              <w:rPr>
                <w:spacing w:val="-9"/>
                <w:sz w:val="14"/>
              </w:rPr>
              <w:t> </w:t>
            </w:r>
            <w:r>
              <w:rPr>
                <w:sz w:val="14"/>
              </w:rPr>
              <w:t>for</w:t>
            </w:r>
            <w:r>
              <w:rPr>
                <w:spacing w:val="-8"/>
                <w:sz w:val="14"/>
              </w:rPr>
              <w:t> </w:t>
            </w:r>
            <w:r>
              <w:rPr>
                <w:sz w:val="14"/>
              </w:rPr>
              <w:t>the</w:t>
            </w:r>
            <w:r>
              <w:rPr>
                <w:spacing w:val="-10"/>
                <w:sz w:val="14"/>
              </w:rPr>
              <w:t> </w:t>
            </w:r>
            <w:r>
              <w:rPr>
                <w:spacing w:val="-4"/>
                <w:sz w:val="14"/>
              </w:rPr>
              <w:t>year</w:t>
            </w:r>
          </w:p>
        </w:tc>
        <w:tc>
          <w:tcPr>
            <w:tcW w:w="1066" w:type="dxa"/>
          </w:tcPr>
          <w:p>
            <w:pPr>
              <w:pStyle w:val="TableParagraph"/>
              <w:spacing w:line="155" w:lineRule="exact"/>
              <w:ind w:left="434"/>
              <w:rPr>
                <w:sz w:val="14"/>
              </w:rPr>
            </w:pPr>
            <w:r>
              <w:rPr>
                <w:spacing w:val="-2"/>
                <w:sz w:val="14"/>
              </w:rPr>
              <w:t>55,107</w:t>
            </w:r>
          </w:p>
        </w:tc>
        <w:tc>
          <w:tcPr>
            <w:tcW w:w="947" w:type="dxa"/>
          </w:tcPr>
          <w:p>
            <w:pPr>
              <w:pStyle w:val="TableParagraph"/>
              <w:spacing w:line="155" w:lineRule="exact"/>
              <w:ind w:right="236"/>
              <w:jc w:val="right"/>
              <w:rPr>
                <w:sz w:val="14"/>
              </w:rPr>
            </w:pPr>
            <w:r>
              <w:rPr>
                <w:spacing w:val="-2"/>
                <w:sz w:val="14"/>
              </w:rPr>
              <w:t>120,981</w:t>
            </w:r>
          </w:p>
        </w:tc>
        <w:tc>
          <w:tcPr>
            <w:tcW w:w="901" w:type="dxa"/>
          </w:tcPr>
          <w:p>
            <w:pPr>
              <w:pStyle w:val="TableParagraph"/>
              <w:spacing w:line="155" w:lineRule="exact"/>
              <w:ind w:right="213"/>
              <w:jc w:val="right"/>
              <w:rPr>
                <w:sz w:val="14"/>
              </w:rPr>
            </w:pPr>
            <w:r>
              <w:rPr>
                <w:spacing w:val="-2"/>
                <w:sz w:val="14"/>
              </w:rPr>
              <w:t>58,089</w:t>
            </w:r>
          </w:p>
        </w:tc>
        <w:tc>
          <w:tcPr>
            <w:tcW w:w="784" w:type="dxa"/>
          </w:tcPr>
          <w:p>
            <w:pPr>
              <w:pStyle w:val="TableParagraph"/>
              <w:spacing w:line="155" w:lineRule="exact"/>
              <w:ind w:right="72"/>
              <w:jc w:val="right"/>
              <w:rPr>
                <w:sz w:val="14"/>
              </w:rPr>
            </w:pPr>
            <w:r>
              <w:rPr>
                <w:spacing w:val="-2"/>
                <w:sz w:val="14"/>
              </w:rPr>
              <w:t>111,682</w:t>
            </w:r>
          </w:p>
        </w:tc>
      </w:tr>
      <w:tr>
        <w:trPr>
          <w:trHeight w:val="423" w:hRule="atLeast"/>
        </w:trPr>
        <w:tc>
          <w:tcPr>
            <w:tcW w:w="4750" w:type="dxa"/>
          </w:tcPr>
          <w:p>
            <w:pPr>
              <w:pStyle w:val="TableParagraph"/>
              <w:spacing w:before="85"/>
              <w:ind w:left="50"/>
              <w:rPr>
                <w:sz w:val="14"/>
              </w:rPr>
            </w:pPr>
            <w:r>
              <w:rPr>
                <w:spacing w:val="-2"/>
                <w:sz w:val="14"/>
              </w:rPr>
              <w:t>Adjustments:</w:t>
            </w:r>
            <w:r>
              <w:rPr>
                <w:spacing w:val="-6"/>
                <w:sz w:val="14"/>
              </w:rPr>
              <w:t> </w:t>
            </w:r>
            <w:r>
              <w:rPr>
                <w:spacing w:val="-2"/>
                <w:sz w:val="14"/>
              </w:rPr>
              <w:t>non-cash</w:t>
            </w:r>
            <w:r>
              <w:rPr>
                <w:spacing w:val="-6"/>
                <w:sz w:val="14"/>
              </w:rPr>
              <w:t> </w:t>
            </w:r>
            <w:r>
              <w:rPr>
                <w:spacing w:val="-4"/>
                <w:sz w:val="14"/>
              </w:rPr>
              <w:t>items</w:t>
            </w:r>
          </w:p>
          <w:p>
            <w:pPr>
              <w:pStyle w:val="TableParagraph"/>
              <w:spacing w:line="148" w:lineRule="exact" w:before="9"/>
              <w:ind w:left="125"/>
              <w:rPr>
                <w:sz w:val="14"/>
              </w:rPr>
            </w:pPr>
            <w:r>
              <w:rPr>
                <w:spacing w:val="-2"/>
                <w:sz w:val="14"/>
              </w:rPr>
              <w:t>Depreciation,</w:t>
            </w:r>
            <w:r>
              <w:rPr>
                <w:spacing w:val="-5"/>
                <w:sz w:val="14"/>
              </w:rPr>
              <w:t> </w:t>
            </w:r>
            <w:r>
              <w:rPr>
                <w:spacing w:val="-2"/>
                <w:sz w:val="14"/>
              </w:rPr>
              <w:t>amortisation</w:t>
            </w:r>
            <w:r>
              <w:rPr>
                <w:spacing w:val="-5"/>
                <w:sz w:val="14"/>
              </w:rPr>
              <w:t> </w:t>
            </w:r>
            <w:r>
              <w:rPr>
                <w:spacing w:val="-2"/>
                <w:sz w:val="14"/>
              </w:rPr>
              <w:t>and</w:t>
            </w:r>
            <w:r>
              <w:rPr>
                <w:spacing w:val="-6"/>
                <w:sz w:val="14"/>
              </w:rPr>
              <w:t> </w:t>
            </w:r>
            <w:r>
              <w:rPr>
                <w:spacing w:val="-2"/>
                <w:sz w:val="14"/>
              </w:rPr>
              <w:t>impairment</w:t>
            </w:r>
          </w:p>
        </w:tc>
        <w:tc>
          <w:tcPr>
            <w:tcW w:w="1066" w:type="dxa"/>
          </w:tcPr>
          <w:p>
            <w:pPr>
              <w:pStyle w:val="TableParagraph"/>
              <w:spacing w:before="94"/>
              <w:rPr>
                <w:b/>
                <w:sz w:val="14"/>
              </w:rPr>
            </w:pPr>
          </w:p>
          <w:p>
            <w:pPr>
              <w:pStyle w:val="TableParagraph"/>
              <w:spacing w:line="148" w:lineRule="exact"/>
              <w:ind w:left="434"/>
              <w:rPr>
                <w:sz w:val="14"/>
              </w:rPr>
            </w:pPr>
            <w:r>
              <w:rPr>
                <w:spacing w:val="-2"/>
                <w:sz w:val="14"/>
              </w:rPr>
              <w:t>58,200</w:t>
            </w:r>
          </w:p>
        </w:tc>
        <w:tc>
          <w:tcPr>
            <w:tcW w:w="947" w:type="dxa"/>
          </w:tcPr>
          <w:p>
            <w:pPr>
              <w:pStyle w:val="TableParagraph"/>
              <w:spacing w:before="94"/>
              <w:rPr>
                <w:b/>
                <w:sz w:val="14"/>
              </w:rPr>
            </w:pPr>
          </w:p>
          <w:p>
            <w:pPr>
              <w:pStyle w:val="TableParagraph"/>
              <w:spacing w:line="148" w:lineRule="exact"/>
              <w:ind w:right="236"/>
              <w:jc w:val="right"/>
              <w:rPr>
                <w:sz w:val="14"/>
              </w:rPr>
            </w:pPr>
            <w:r>
              <w:rPr>
                <w:spacing w:val="-2"/>
                <w:sz w:val="14"/>
              </w:rPr>
              <w:t>50,525</w:t>
            </w:r>
          </w:p>
        </w:tc>
        <w:tc>
          <w:tcPr>
            <w:tcW w:w="901" w:type="dxa"/>
          </w:tcPr>
          <w:p>
            <w:pPr>
              <w:pStyle w:val="TableParagraph"/>
              <w:spacing w:before="94"/>
              <w:rPr>
                <w:b/>
                <w:sz w:val="14"/>
              </w:rPr>
            </w:pPr>
          </w:p>
          <w:p>
            <w:pPr>
              <w:pStyle w:val="TableParagraph"/>
              <w:spacing w:line="148" w:lineRule="exact"/>
              <w:ind w:right="212"/>
              <w:jc w:val="right"/>
              <w:rPr>
                <w:sz w:val="14"/>
              </w:rPr>
            </w:pPr>
            <w:r>
              <w:rPr>
                <w:spacing w:val="-2"/>
                <w:sz w:val="14"/>
              </w:rPr>
              <w:t>57,844</w:t>
            </w:r>
          </w:p>
        </w:tc>
        <w:tc>
          <w:tcPr>
            <w:tcW w:w="784" w:type="dxa"/>
          </w:tcPr>
          <w:p>
            <w:pPr>
              <w:pStyle w:val="TableParagraph"/>
              <w:spacing w:before="94"/>
              <w:rPr>
                <w:b/>
                <w:sz w:val="14"/>
              </w:rPr>
            </w:pPr>
          </w:p>
          <w:p>
            <w:pPr>
              <w:pStyle w:val="TableParagraph"/>
              <w:spacing w:line="148" w:lineRule="exact"/>
              <w:ind w:right="72"/>
              <w:jc w:val="right"/>
              <w:rPr>
                <w:sz w:val="14"/>
              </w:rPr>
            </w:pPr>
            <w:r>
              <w:rPr>
                <w:spacing w:val="-2"/>
                <w:sz w:val="14"/>
              </w:rPr>
              <w:t>50,142</w:t>
            </w:r>
          </w:p>
        </w:tc>
      </w:tr>
      <w:tr>
        <w:trPr>
          <w:trHeight w:val="169" w:hRule="atLeast"/>
        </w:trPr>
        <w:tc>
          <w:tcPr>
            <w:tcW w:w="4750" w:type="dxa"/>
          </w:tcPr>
          <w:p>
            <w:pPr>
              <w:pStyle w:val="TableParagraph"/>
              <w:spacing w:line="148" w:lineRule="exact" w:before="1"/>
              <w:ind w:left="125"/>
              <w:rPr>
                <w:sz w:val="14"/>
              </w:rPr>
            </w:pPr>
            <w:r>
              <w:rPr>
                <w:spacing w:val="-2"/>
                <w:sz w:val="14"/>
              </w:rPr>
              <w:t>Investment</w:t>
            </w:r>
            <w:r>
              <w:rPr>
                <w:spacing w:val="-6"/>
                <w:sz w:val="14"/>
              </w:rPr>
              <w:t> </w:t>
            </w:r>
            <w:r>
              <w:rPr>
                <w:spacing w:val="-2"/>
                <w:sz w:val="14"/>
              </w:rPr>
              <w:t>adjustments</w:t>
            </w:r>
          </w:p>
        </w:tc>
        <w:tc>
          <w:tcPr>
            <w:tcW w:w="1066" w:type="dxa"/>
          </w:tcPr>
          <w:p>
            <w:pPr>
              <w:pStyle w:val="TableParagraph"/>
              <w:spacing w:line="148" w:lineRule="exact" w:before="1"/>
              <w:ind w:right="168"/>
              <w:jc w:val="right"/>
              <w:rPr>
                <w:sz w:val="14"/>
              </w:rPr>
            </w:pPr>
            <w:r>
              <w:rPr>
                <w:spacing w:val="-2"/>
                <w:sz w:val="14"/>
              </w:rPr>
              <w:t>(47,282)</w:t>
            </w:r>
          </w:p>
        </w:tc>
        <w:tc>
          <w:tcPr>
            <w:tcW w:w="947" w:type="dxa"/>
          </w:tcPr>
          <w:p>
            <w:pPr>
              <w:pStyle w:val="TableParagraph"/>
              <w:spacing w:line="148" w:lineRule="exact" w:before="1"/>
              <w:ind w:right="191"/>
              <w:jc w:val="right"/>
              <w:rPr>
                <w:sz w:val="14"/>
              </w:rPr>
            </w:pPr>
            <w:r>
              <w:rPr>
                <w:spacing w:val="-2"/>
                <w:sz w:val="14"/>
              </w:rPr>
              <w:t>(125,546)</w:t>
            </w:r>
          </w:p>
        </w:tc>
        <w:tc>
          <w:tcPr>
            <w:tcW w:w="901" w:type="dxa"/>
          </w:tcPr>
          <w:p>
            <w:pPr>
              <w:pStyle w:val="TableParagraph"/>
              <w:spacing w:line="148" w:lineRule="exact" w:before="1"/>
              <w:ind w:right="169"/>
              <w:jc w:val="right"/>
              <w:rPr>
                <w:sz w:val="14"/>
              </w:rPr>
            </w:pPr>
            <w:r>
              <w:rPr>
                <w:spacing w:val="-2"/>
                <w:sz w:val="14"/>
              </w:rPr>
              <w:t>(47,261)</w:t>
            </w:r>
          </w:p>
        </w:tc>
        <w:tc>
          <w:tcPr>
            <w:tcW w:w="784" w:type="dxa"/>
          </w:tcPr>
          <w:p>
            <w:pPr>
              <w:pStyle w:val="TableParagraph"/>
              <w:spacing w:line="148" w:lineRule="exact" w:before="1"/>
              <w:ind w:right="27"/>
              <w:jc w:val="right"/>
              <w:rPr>
                <w:sz w:val="14"/>
              </w:rPr>
            </w:pPr>
            <w:r>
              <w:rPr>
                <w:spacing w:val="-2"/>
                <w:sz w:val="14"/>
              </w:rPr>
              <w:t>(124,887)</w:t>
            </w:r>
          </w:p>
        </w:tc>
      </w:tr>
      <w:tr>
        <w:trPr>
          <w:trHeight w:val="169" w:hRule="atLeast"/>
        </w:trPr>
        <w:tc>
          <w:tcPr>
            <w:tcW w:w="4750" w:type="dxa"/>
          </w:tcPr>
          <w:p>
            <w:pPr>
              <w:pStyle w:val="TableParagraph"/>
              <w:spacing w:line="148" w:lineRule="exact" w:before="1"/>
              <w:ind w:left="125"/>
              <w:rPr>
                <w:sz w:val="14"/>
              </w:rPr>
            </w:pPr>
            <w:r>
              <w:rPr>
                <w:spacing w:val="-2"/>
                <w:sz w:val="14"/>
              </w:rPr>
              <w:t>Net</w:t>
            </w:r>
            <w:r>
              <w:rPr>
                <w:spacing w:val="-3"/>
                <w:sz w:val="14"/>
              </w:rPr>
              <w:t> </w:t>
            </w:r>
            <w:r>
              <w:rPr>
                <w:spacing w:val="-2"/>
                <w:sz w:val="14"/>
              </w:rPr>
              <w:t>(profit)/loss on</w:t>
            </w:r>
            <w:r>
              <w:rPr>
                <w:spacing w:val="-3"/>
                <w:sz w:val="14"/>
              </w:rPr>
              <w:t> </w:t>
            </w:r>
            <w:r>
              <w:rPr>
                <w:spacing w:val="-2"/>
                <w:sz w:val="14"/>
              </w:rPr>
              <w:t>sale</w:t>
            </w:r>
            <w:r>
              <w:rPr>
                <w:spacing w:val="-3"/>
                <w:sz w:val="14"/>
              </w:rPr>
              <w:t> </w:t>
            </w:r>
            <w:r>
              <w:rPr>
                <w:spacing w:val="-2"/>
                <w:sz w:val="14"/>
              </w:rPr>
              <w:t>of</w:t>
            </w:r>
            <w:r>
              <w:rPr>
                <w:sz w:val="14"/>
              </w:rPr>
              <w:t> </w:t>
            </w:r>
            <w:r>
              <w:rPr>
                <w:spacing w:val="-2"/>
                <w:sz w:val="14"/>
              </w:rPr>
              <w:t>non-current assets</w:t>
            </w:r>
          </w:p>
        </w:tc>
        <w:tc>
          <w:tcPr>
            <w:tcW w:w="1066" w:type="dxa"/>
          </w:tcPr>
          <w:p>
            <w:pPr>
              <w:pStyle w:val="TableParagraph"/>
              <w:spacing w:line="148" w:lineRule="exact" w:before="1"/>
              <w:ind w:right="168"/>
              <w:jc w:val="right"/>
              <w:rPr>
                <w:sz w:val="14"/>
              </w:rPr>
            </w:pPr>
            <w:r>
              <w:rPr>
                <w:spacing w:val="-4"/>
                <w:sz w:val="14"/>
              </w:rPr>
              <w:t>(92)</w:t>
            </w:r>
          </w:p>
        </w:tc>
        <w:tc>
          <w:tcPr>
            <w:tcW w:w="947" w:type="dxa"/>
          </w:tcPr>
          <w:p>
            <w:pPr>
              <w:pStyle w:val="TableParagraph"/>
              <w:spacing w:line="148" w:lineRule="exact" w:before="1"/>
              <w:ind w:right="237"/>
              <w:jc w:val="right"/>
              <w:rPr>
                <w:sz w:val="14"/>
              </w:rPr>
            </w:pPr>
            <w:r>
              <w:rPr>
                <w:spacing w:val="-5"/>
                <w:sz w:val="14"/>
              </w:rPr>
              <w:t>176</w:t>
            </w:r>
          </w:p>
        </w:tc>
        <w:tc>
          <w:tcPr>
            <w:tcW w:w="901" w:type="dxa"/>
          </w:tcPr>
          <w:p>
            <w:pPr>
              <w:pStyle w:val="TableParagraph"/>
              <w:spacing w:line="148" w:lineRule="exact" w:before="1"/>
              <w:ind w:right="169"/>
              <w:jc w:val="right"/>
              <w:rPr>
                <w:sz w:val="14"/>
              </w:rPr>
            </w:pPr>
            <w:r>
              <w:rPr>
                <w:spacing w:val="-4"/>
                <w:sz w:val="14"/>
              </w:rPr>
              <w:t>(96)</w:t>
            </w:r>
          </w:p>
        </w:tc>
        <w:tc>
          <w:tcPr>
            <w:tcW w:w="784" w:type="dxa"/>
          </w:tcPr>
          <w:p>
            <w:pPr>
              <w:pStyle w:val="TableParagraph"/>
              <w:spacing w:line="148" w:lineRule="exact" w:before="1"/>
              <w:ind w:right="72"/>
              <w:jc w:val="right"/>
              <w:rPr>
                <w:sz w:val="14"/>
              </w:rPr>
            </w:pPr>
            <w:r>
              <w:rPr>
                <w:spacing w:val="-5"/>
                <w:sz w:val="14"/>
              </w:rPr>
              <w:t>101</w:t>
            </w:r>
          </w:p>
        </w:tc>
      </w:tr>
      <w:tr>
        <w:trPr>
          <w:trHeight w:val="169" w:hRule="atLeast"/>
        </w:trPr>
        <w:tc>
          <w:tcPr>
            <w:tcW w:w="4750" w:type="dxa"/>
          </w:tcPr>
          <w:p>
            <w:pPr>
              <w:pStyle w:val="TableParagraph"/>
              <w:spacing w:line="148" w:lineRule="exact" w:before="1"/>
              <w:ind w:left="125"/>
              <w:rPr>
                <w:sz w:val="14"/>
              </w:rPr>
            </w:pPr>
            <w:r>
              <w:rPr>
                <w:spacing w:val="-2"/>
                <w:sz w:val="14"/>
              </w:rPr>
              <w:t>Donation</w:t>
            </w:r>
            <w:r>
              <w:rPr>
                <w:spacing w:val="-6"/>
                <w:sz w:val="14"/>
              </w:rPr>
              <w:t> </w:t>
            </w:r>
            <w:r>
              <w:rPr>
                <w:spacing w:val="-2"/>
                <w:sz w:val="14"/>
              </w:rPr>
              <w:t>of artworks</w:t>
            </w:r>
            <w:r>
              <w:rPr>
                <w:spacing w:val="-4"/>
                <w:sz w:val="14"/>
              </w:rPr>
              <w:t> </w:t>
            </w:r>
            <w:r>
              <w:rPr>
                <w:spacing w:val="-2"/>
                <w:sz w:val="14"/>
              </w:rPr>
              <w:t>and</w:t>
            </w:r>
            <w:r>
              <w:rPr>
                <w:spacing w:val="-5"/>
                <w:sz w:val="14"/>
              </w:rPr>
              <w:t> </w:t>
            </w:r>
            <w:r>
              <w:rPr>
                <w:spacing w:val="-2"/>
                <w:sz w:val="14"/>
              </w:rPr>
              <w:t>equipment</w:t>
            </w:r>
          </w:p>
        </w:tc>
        <w:tc>
          <w:tcPr>
            <w:tcW w:w="1066" w:type="dxa"/>
          </w:tcPr>
          <w:p>
            <w:pPr>
              <w:pStyle w:val="TableParagraph"/>
              <w:spacing w:line="148" w:lineRule="exact" w:before="1"/>
              <w:ind w:right="168"/>
              <w:jc w:val="right"/>
              <w:rPr>
                <w:sz w:val="14"/>
              </w:rPr>
            </w:pPr>
            <w:r>
              <w:rPr>
                <w:spacing w:val="-2"/>
                <w:sz w:val="14"/>
              </w:rPr>
              <w:t>(662)</w:t>
            </w:r>
          </w:p>
        </w:tc>
        <w:tc>
          <w:tcPr>
            <w:tcW w:w="947" w:type="dxa"/>
          </w:tcPr>
          <w:p>
            <w:pPr>
              <w:pStyle w:val="TableParagraph"/>
              <w:spacing w:line="148" w:lineRule="exact" w:before="1"/>
              <w:ind w:right="191"/>
              <w:jc w:val="right"/>
              <w:rPr>
                <w:sz w:val="14"/>
              </w:rPr>
            </w:pPr>
            <w:r>
              <w:rPr>
                <w:spacing w:val="-2"/>
                <w:sz w:val="14"/>
              </w:rPr>
              <w:t>(1,966)</w:t>
            </w:r>
          </w:p>
        </w:tc>
        <w:tc>
          <w:tcPr>
            <w:tcW w:w="901" w:type="dxa"/>
          </w:tcPr>
          <w:p>
            <w:pPr>
              <w:pStyle w:val="TableParagraph"/>
              <w:spacing w:line="148" w:lineRule="exact" w:before="1"/>
              <w:ind w:right="167"/>
              <w:jc w:val="right"/>
              <w:rPr>
                <w:sz w:val="14"/>
              </w:rPr>
            </w:pPr>
            <w:r>
              <w:rPr>
                <w:spacing w:val="-2"/>
                <w:sz w:val="14"/>
              </w:rPr>
              <w:t>(658)</w:t>
            </w:r>
          </w:p>
        </w:tc>
        <w:tc>
          <w:tcPr>
            <w:tcW w:w="784" w:type="dxa"/>
          </w:tcPr>
          <w:p>
            <w:pPr>
              <w:pStyle w:val="TableParagraph"/>
              <w:spacing w:line="148" w:lineRule="exact" w:before="1"/>
              <w:ind w:right="27"/>
              <w:jc w:val="right"/>
              <w:rPr>
                <w:sz w:val="14"/>
              </w:rPr>
            </w:pPr>
            <w:r>
              <w:rPr>
                <w:spacing w:val="-2"/>
                <w:sz w:val="14"/>
              </w:rPr>
              <w:t>(1,967)</w:t>
            </w:r>
          </w:p>
        </w:tc>
      </w:tr>
      <w:tr>
        <w:trPr>
          <w:trHeight w:val="253" w:hRule="atLeast"/>
        </w:trPr>
        <w:tc>
          <w:tcPr>
            <w:tcW w:w="4750" w:type="dxa"/>
          </w:tcPr>
          <w:p>
            <w:pPr>
              <w:pStyle w:val="TableParagraph"/>
              <w:spacing w:before="1"/>
              <w:ind w:left="125"/>
              <w:rPr>
                <w:sz w:val="14"/>
              </w:rPr>
            </w:pPr>
            <w:r>
              <w:rPr>
                <w:spacing w:val="-2"/>
                <w:sz w:val="14"/>
              </w:rPr>
              <w:t>Net</w:t>
            </w:r>
            <w:r>
              <w:rPr>
                <w:spacing w:val="-7"/>
                <w:sz w:val="14"/>
              </w:rPr>
              <w:t> </w:t>
            </w:r>
            <w:r>
              <w:rPr>
                <w:spacing w:val="-2"/>
                <w:sz w:val="14"/>
              </w:rPr>
              <w:t>exchange</w:t>
            </w:r>
            <w:r>
              <w:rPr>
                <w:spacing w:val="-8"/>
                <w:sz w:val="14"/>
              </w:rPr>
              <w:t> </w:t>
            </w:r>
            <w:r>
              <w:rPr>
                <w:spacing w:val="-2"/>
                <w:sz w:val="14"/>
              </w:rPr>
              <w:t>differences</w:t>
            </w:r>
          </w:p>
        </w:tc>
        <w:tc>
          <w:tcPr>
            <w:tcW w:w="1066" w:type="dxa"/>
          </w:tcPr>
          <w:p>
            <w:pPr>
              <w:pStyle w:val="TableParagraph"/>
              <w:spacing w:before="1"/>
              <w:ind w:right="166"/>
              <w:jc w:val="right"/>
              <w:rPr>
                <w:sz w:val="14"/>
              </w:rPr>
            </w:pPr>
            <w:r>
              <w:rPr>
                <w:spacing w:val="-10"/>
                <w:sz w:val="14"/>
              </w:rPr>
              <w:t>-</w:t>
            </w:r>
          </w:p>
        </w:tc>
        <w:tc>
          <w:tcPr>
            <w:tcW w:w="947" w:type="dxa"/>
          </w:tcPr>
          <w:p>
            <w:pPr>
              <w:pStyle w:val="TableParagraph"/>
              <w:spacing w:before="1"/>
              <w:ind w:right="235"/>
              <w:jc w:val="right"/>
              <w:rPr>
                <w:sz w:val="14"/>
              </w:rPr>
            </w:pPr>
            <w:r>
              <w:rPr>
                <w:spacing w:val="-5"/>
                <w:sz w:val="14"/>
              </w:rPr>
              <w:t>34</w:t>
            </w:r>
          </w:p>
        </w:tc>
        <w:tc>
          <w:tcPr>
            <w:tcW w:w="901" w:type="dxa"/>
          </w:tcPr>
          <w:p>
            <w:pPr>
              <w:pStyle w:val="TableParagraph"/>
              <w:spacing w:before="1"/>
              <w:ind w:right="166"/>
              <w:jc w:val="right"/>
              <w:rPr>
                <w:sz w:val="14"/>
              </w:rPr>
            </w:pPr>
            <w:r>
              <w:rPr>
                <w:spacing w:val="-10"/>
                <w:sz w:val="14"/>
              </w:rPr>
              <w:t>-</w:t>
            </w:r>
          </w:p>
        </w:tc>
        <w:tc>
          <w:tcPr>
            <w:tcW w:w="784" w:type="dxa"/>
          </w:tcPr>
          <w:p>
            <w:pPr>
              <w:pStyle w:val="TableParagraph"/>
              <w:spacing w:before="1"/>
              <w:ind w:right="72"/>
              <w:jc w:val="right"/>
              <w:rPr>
                <w:sz w:val="14"/>
              </w:rPr>
            </w:pPr>
            <w:r>
              <w:rPr>
                <w:spacing w:val="-5"/>
                <w:sz w:val="14"/>
              </w:rPr>
              <w:t>34</w:t>
            </w:r>
          </w:p>
        </w:tc>
      </w:tr>
      <w:tr>
        <w:trPr>
          <w:trHeight w:val="423" w:hRule="atLeast"/>
        </w:trPr>
        <w:tc>
          <w:tcPr>
            <w:tcW w:w="4750" w:type="dxa"/>
          </w:tcPr>
          <w:p>
            <w:pPr>
              <w:pStyle w:val="TableParagraph"/>
              <w:spacing w:before="85"/>
              <w:ind w:left="50"/>
              <w:rPr>
                <w:sz w:val="14"/>
              </w:rPr>
            </w:pPr>
            <w:r>
              <w:rPr>
                <w:spacing w:val="-2"/>
                <w:sz w:val="14"/>
              </w:rPr>
              <w:t>Changes</w:t>
            </w:r>
            <w:r>
              <w:rPr>
                <w:spacing w:val="-5"/>
                <w:sz w:val="14"/>
              </w:rPr>
              <w:t> </w:t>
            </w:r>
            <w:r>
              <w:rPr>
                <w:spacing w:val="-2"/>
                <w:sz w:val="14"/>
              </w:rPr>
              <w:t>in</w:t>
            </w:r>
            <w:r>
              <w:rPr>
                <w:spacing w:val="-6"/>
                <w:sz w:val="14"/>
              </w:rPr>
              <w:t> </w:t>
            </w:r>
            <w:r>
              <w:rPr>
                <w:spacing w:val="-2"/>
                <w:sz w:val="14"/>
              </w:rPr>
              <w:t>assets</w:t>
            </w:r>
            <w:r>
              <w:rPr>
                <w:spacing w:val="-4"/>
                <w:sz w:val="14"/>
              </w:rPr>
              <w:t> </w:t>
            </w:r>
            <w:r>
              <w:rPr>
                <w:spacing w:val="-2"/>
                <w:sz w:val="14"/>
              </w:rPr>
              <w:t>and</w:t>
            </w:r>
            <w:r>
              <w:rPr>
                <w:spacing w:val="-6"/>
                <w:sz w:val="14"/>
              </w:rPr>
              <w:t> </w:t>
            </w:r>
            <w:r>
              <w:rPr>
                <w:spacing w:val="-2"/>
                <w:sz w:val="14"/>
              </w:rPr>
              <w:t>liabilities</w:t>
            </w:r>
          </w:p>
          <w:p>
            <w:pPr>
              <w:pStyle w:val="TableParagraph"/>
              <w:spacing w:line="148" w:lineRule="exact" w:before="9"/>
              <w:ind w:left="125"/>
              <w:rPr>
                <w:sz w:val="14"/>
              </w:rPr>
            </w:pPr>
            <w:r>
              <w:rPr>
                <w:spacing w:val="-2"/>
                <w:sz w:val="14"/>
              </w:rPr>
              <w:t>Decrease/(increase)</w:t>
            </w:r>
            <w:r>
              <w:rPr>
                <w:spacing w:val="-4"/>
                <w:sz w:val="14"/>
              </w:rPr>
              <w:t> </w:t>
            </w:r>
            <w:r>
              <w:rPr>
                <w:spacing w:val="-2"/>
                <w:sz w:val="14"/>
              </w:rPr>
              <w:t>in</w:t>
            </w:r>
            <w:r>
              <w:rPr>
                <w:spacing w:val="-5"/>
                <w:sz w:val="14"/>
              </w:rPr>
              <w:t> </w:t>
            </w:r>
            <w:r>
              <w:rPr>
                <w:spacing w:val="-2"/>
                <w:sz w:val="14"/>
              </w:rPr>
              <w:t>receivables</w:t>
            </w:r>
            <w:r>
              <w:rPr>
                <w:spacing w:val="-4"/>
                <w:sz w:val="14"/>
              </w:rPr>
              <w:t> </w:t>
            </w:r>
            <w:r>
              <w:rPr>
                <w:spacing w:val="-2"/>
                <w:sz w:val="14"/>
              </w:rPr>
              <w:t>and</w:t>
            </w:r>
            <w:r>
              <w:rPr>
                <w:spacing w:val="-5"/>
                <w:sz w:val="14"/>
              </w:rPr>
              <w:t> </w:t>
            </w:r>
            <w:r>
              <w:rPr>
                <w:spacing w:val="-2"/>
                <w:sz w:val="14"/>
              </w:rPr>
              <w:t>prepayments</w:t>
            </w:r>
          </w:p>
        </w:tc>
        <w:tc>
          <w:tcPr>
            <w:tcW w:w="1066" w:type="dxa"/>
          </w:tcPr>
          <w:p>
            <w:pPr>
              <w:pStyle w:val="TableParagraph"/>
              <w:spacing w:before="94"/>
              <w:rPr>
                <w:b/>
                <w:sz w:val="14"/>
              </w:rPr>
            </w:pPr>
          </w:p>
          <w:p>
            <w:pPr>
              <w:pStyle w:val="TableParagraph"/>
              <w:spacing w:line="148" w:lineRule="exact"/>
              <w:ind w:left="434"/>
              <w:rPr>
                <w:sz w:val="14"/>
              </w:rPr>
            </w:pPr>
            <w:r>
              <w:rPr>
                <w:spacing w:val="-2"/>
                <w:sz w:val="14"/>
              </w:rPr>
              <w:t>15,656</w:t>
            </w:r>
          </w:p>
        </w:tc>
        <w:tc>
          <w:tcPr>
            <w:tcW w:w="947" w:type="dxa"/>
          </w:tcPr>
          <w:p>
            <w:pPr>
              <w:pStyle w:val="TableParagraph"/>
              <w:spacing w:before="94"/>
              <w:rPr>
                <w:b/>
                <w:sz w:val="14"/>
              </w:rPr>
            </w:pPr>
          </w:p>
          <w:p>
            <w:pPr>
              <w:pStyle w:val="TableParagraph"/>
              <w:spacing w:line="148" w:lineRule="exact"/>
              <w:ind w:right="191"/>
              <w:jc w:val="right"/>
              <w:rPr>
                <w:sz w:val="14"/>
              </w:rPr>
            </w:pPr>
            <w:r>
              <w:rPr>
                <w:spacing w:val="-2"/>
                <w:sz w:val="14"/>
              </w:rPr>
              <w:t>(278)</w:t>
            </w:r>
          </w:p>
        </w:tc>
        <w:tc>
          <w:tcPr>
            <w:tcW w:w="901" w:type="dxa"/>
          </w:tcPr>
          <w:p>
            <w:pPr>
              <w:pStyle w:val="TableParagraph"/>
              <w:spacing w:before="94"/>
              <w:rPr>
                <w:b/>
                <w:sz w:val="14"/>
              </w:rPr>
            </w:pPr>
          </w:p>
          <w:p>
            <w:pPr>
              <w:pStyle w:val="TableParagraph"/>
              <w:spacing w:line="148" w:lineRule="exact"/>
              <w:ind w:right="213"/>
              <w:jc w:val="right"/>
              <w:rPr>
                <w:sz w:val="14"/>
              </w:rPr>
            </w:pPr>
            <w:r>
              <w:rPr>
                <w:spacing w:val="-2"/>
                <w:sz w:val="14"/>
              </w:rPr>
              <w:t>14,084</w:t>
            </w:r>
          </w:p>
        </w:tc>
        <w:tc>
          <w:tcPr>
            <w:tcW w:w="784" w:type="dxa"/>
          </w:tcPr>
          <w:p>
            <w:pPr>
              <w:pStyle w:val="TableParagraph"/>
              <w:spacing w:before="94"/>
              <w:rPr>
                <w:b/>
                <w:sz w:val="14"/>
              </w:rPr>
            </w:pPr>
          </w:p>
          <w:p>
            <w:pPr>
              <w:pStyle w:val="TableParagraph"/>
              <w:spacing w:line="148" w:lineRule="exact"/>
              <w:ind w:right="72"/>
              <w:jc w:val="right"/>
              <w:rPr>
                <w:sz w:val="14"/>
              </w:rPr>
            </w:pPr>
            <w:r>
              <w:rPr>
                <w:spacing w:val="-2"/>
                <w:sz w:val="14"/>
              </w:rPr>
              <w:t>1,930</w:t>
            </w:r>
          </w:p>
        </w:tc>
      </w:tr>
      <w:tr>
        <w:trPr>
          <w:trHeight w:val="169" w:hRule="atLeast"/>
        </w:trPr>
        <w:tc>
          <w:tcPr>
            <w:tcW w:w="4750" w:type="dxa"/>
          </w:tcPr>
          <w:p>
            <w:pPr>
              <w:pStyle w:val="TableParagraph"/>
              <w:spacing w:line="148" w:lineRule="exact" w:before="1"/>
              <w:ind w:left="125"/>
              <w:rPr>
                <w:sz w:val="14"/>
              </w:rPr>
            </w:pPr>
            <w:r>
              <w:rPr>
                <w:spacing w:val="-2"/>
                <w:sz w:val="14"/>
              </w:rPr>
              <w:t>Decrease/(increase)</w:t>
            </w:r>
            <w:r>
              <w:rPr>
                <w:spacing w:val="-3"/>
                <w:sz w:val="14"/>
              </w:rPr>
              <w:t> </w:t>
            </w:r>
            <w:r>
              <w:rPr>
                <w:spacing w:val="-2"/>
                <w:sz w:val="14"/>
              </w:rPr>
              <w:t>in</w:t>
            </w:r>
            <w:r>
              <w:rPr>
                <w:spacing w:val="-4"/>
                <w:sz w:val="14"/>
              </w:rPr>
              <w:t> </w:t>
            </w:r>
            <w:r>
              <w:rPr>
                <w:spacing w:val="-2"/>
                <w:sz w:val="14"/>
              </w:rPr>
              <w:t>inventories</w:t>
            </w:r>
          </w:p>
        </w:tc>
        <w:tc>
          <w:tcPr>
            <w:tcW w:w="1066" w:type="dxa"/>
          </w:tcPr>
          <w:p>
            <w:pPr>
              <w:pStyle w:val="TableParagraph"/>
              <w:spacing w:line="148" w:lineRule="exact" w:before="1"/>
              <w:ind w:right="213"/>
              <w:jc w:val="right"/>
              <w:rPr>
                <w:sz w:val="14"/>
              </w:rPr>
            </w:pPr>
            <w:r>
              <w:rPr>
                <w:spacing w:val="-5"/>
                <w:sz w:val="14"/>
              </w:rPr>
              <w:t>300</w:t>
            </w:r>
          </w:p>
        </w:tc>
        <w:tc>
          <w:tcPr>
            <w:tcW w:w="947" w:type="dxa"/>
          </w:tcPr>
          <w:p>
            <w:pPr>
              <w:pStyle w:val="TableParagraph"/>
              <w:spacing w:line="148" w:lineRule="exact" w:before="1"/>
              <w:ind w:right="191"/>
              <w:jc w:val="right"/>
              <w:rPr>
                <w:sz w:val="14"/>
              </w:rPr>
            </w:pPr>
            <w:r>
              <w:rPr>
                <w:spacing w:val="-2"/>
                <w:sz w:val="14"/>
              </w:rPr>
              <w:t>(259)</w:t>
            </w:r>
          </w:p>
        </w:tc>
        <w:tc>
          <w:tcPr>
            <w:tcW w:w="901" w:type="dxa"/>
          </w:tcPr>
          <w:p>
            <w:pPr>
              <w:pStyle w:val="TableParagraph"/>
              <w:spacing w:line="148" w:lineRule="exact" w:before="1"/>
              <w:ind w:right="214"/>
              <w:jc w:val="right"/>
              <w:rPr>
                <w:sz w:val="14"/>
              </w:rPr>
            </w:pPr>
            <w:r>
              <w:rPr>
                <w:spacing w:val="-5"/>
                <w:sz w:val="14"/>
              </w:rPr>
              <w:t>366</w:t>
            </w:r>
          </w:p>
        </w:tc>
        <w:tc>
          <w:tcPr>
            <w:tcW w:w="784" w:type="dxa"/>
          </w:tcPr>
          <w:p>
            <w:pPr>
              <w:pStyle w:val="TableParagraph"/>
              <w:spacing w:line="148" w:lineRule="exact" w:before="1"/>
              <w:ind w:right="27"/>
              <w:jc w:val="right"/>
              <w:rPr>
                <w:sz w:val="14"/>
              </w:rPr>
            </w:pPr>
            <w:r>
              <w:rPr>
                <w:spacing w:val="-2"/>
                <w:sz w:val="14"/>
              </w:rPr>
              <w:t>(274)</w:t>
            </w:r>
          </w:p>
        </w:tc>
      </w:tr>
      <w:tr>
        <w:trPr>
          <w:trHeight w:val="169" w:hRule="atLeast"/>
        </w:trPr>
        <w:tc>
          <w:tcPr>
            <w:tcW w:w="4750" w:type="dxa"/>
          </w:tcPr>
          <w:p>
            <w:pPr>
              <w:pStyle w:val="TableParagraph"/>
              <w:spacing w:line="148" w:lineRule="exact" w:before="1"/>
              <w:ind w:left="125"/>
              <w:rPr>
                <w:sz w:val="14"/>
              </w:rPr>
            </w:pPr>
            <w:r>
              <w:rPr>
                <w:spacing w:val="-2"/>
                <w:sz w:val="14"/>
              </w:rPr>
              <w:t>(Decrease)/increase</w:t>
            </w:r>
            <w:r>
              <w:rPr>
                <w:spacing w:val="-5"/>
                <w:sz w:val="14"/>
              </w:rPr>
              <w:t> </w:t>
            </w:r>
            <w:r>
              <w:rPr>
                <w:spacing w:val="-2"/>
                <w:sz w:val="14"/>
              </w:rPr>
              <w:t>in</w:t>
            </w:r>
            <w:r>
              <w:rPr>
                <w:spacing w:val="-4"/>
                <w:sz w:val="14"/>
              </w:rPr>
              <w:t> </w:t>
            </w:r>
            <w:r>
              <w:rPr>
                <w:spacing w:val="-2"/>
                <w:sz w:val="14"/>
              </w:rPr>
              <w:t>payables,</w:t>
            </w:r>
            <w:r>
              <w:rPr>
                <w:spacing w:val="-4"/>
                <w:sz w:val="14"/>
              </w:rPr>
              <w:t> </w:t>
            </w:r>
            <w:r>
              <w:rPr>
                <w:spacing w:val="-2"/>
                <w:sz w:val="14"/>
              </w:rPr>
              <w:t>contract</w:t>
            </w:r>
            <w:r>
              <w:rPr>
                <w:spacing w:val="-3"/>
                <w:sz w:val="14"/>
              </w:rPr>
              <w:t> </w:t>
            </w:r>
            <w:r>
              <w:rPr>
                <w:spacing w:val="-2"/>
                <w:sz w:val="14"/>
              </w:rPr>
              <w:t>liabilities</w:t>
            </w:r>
            <w:r>
              <w:rPr>
                <w:spacing w:val="-4"/>
                <w:sz w:val="14"/>
              </w:rPr>
              <w:t> </w:t>
            </w:r>
            <w:r>
              <w:rPr>
                <w:spacing w:val="-2"/>
                <w:sz w:val="14"/>
              </w:rPr>
              <w:t>and</w:t>
            </w:r>
            <w:r>
              <w:rPr>
                <w:spacing w:val="-4"/>
                <w:sz w:val="14"/>
              </w:rPr>
              <w:t> </w:t>
            </w:r>
            <w:r>
              <w:rPr>
                <w:spacing w:val="-2"/>
                <w:sz w:val="14"/>
              </w:rPr>
              <w:t>borrowings</w:t>
            </w:r>
          </w:p>
        </w:tc>
        <w:tc>
          <w:tcPr>
            <w:tcW w:w="1066" w:type="dxa"/>
          </w:tcPr>
          <w:p>
            <w:pPr>
              <w:pStyle w:val="TableParagraph"/>
              <w:spacing w:line="148" w:lineRule="exact" w:before="1"/>
              <w:ind w:right="168"/>
              <w:jc w:val="right"/>
              <w:rPr>
                <w:sz w:val="14"/>
              </w:rPr>
            </w:pPr>
            <w:r>
              <w:rPr>
                <w:spacing w:val="-2"/>
                <w:sz w:val="14"/>
              </w:rPr>
              <w:t>(8,273)</w:t>
            </w:r>
          </w:p>
        </w:tc>
        <w:tc>
          <w:tcPr>
            <w:tcW w:w="947" w:type="dxa"/>
          </w:tcPr>
          <w:p>
            <w:pPr>
              <w:pStyle w:val="TableParagraph"/>
              <w:spacing w:line="148" w:lineRule="exact" w:before="1"/>
              <w:ind w:right="191"/>
              <w:jc w:val="right"/>
              <w:rPr>
                <w:sz w:val="14"/>
              </w:rPr>
            </w:pPr>
            <w:r>
              <w:rPr>
                <w:spacing w:val="-2"/>
                <w:sz w:val="14"/>
              </w:rPr>
              <w:t>(7,278)</w:t>
            </w:r>
          </w:p>
        </w:tc>
        <w:tc>
          <w:tcPr>
            <w:tcW w:w="901" w:type="dxa"/>
          </w:tcPr>
          <w:p>
            <w:pPr>
              <w:pStyle w:val="TableParagraph"/>
              <w:spacing w:line="148" w:lineRule="exact" w:before="1"/>
              <w:ind w:right="167"/>
              <w:jc w:val="right"/>
              <w:rPr>
                <w:sz w:val="14"/>
              </w:rPr>
            </w:pPr>
            <w:r>
              <w:rPr>
                <w:spacing w:val="-2"/>
                <w:sz w:val="14"/>
              </w:rPr>
              <w:t>(7,475)</w:t>
            </w:r>
          </w:p>
        </w:tc>
        <w:tc>
          <w:tcPr>
            <w:tcW w:w="784" w:type="dxa"/>
          </w:tcPr>
          <w:p>
            <w:pPr>
              <w:pStyle w:val="TableParagraph"/>
              <w:spacing w:line="148" w:lineRule="exact" w:before="1"/>
              <w:ind w:right="27"/>
              <w:jc w:val="right"/>
              <w:rPr>
                <w:sz w:val="14"/>
              </w:rPr>
            </w:pPr>
            <w:r>
              <w:rPr>
                <w:spacing w:val="-2"/>
                <w:sz w:val="14"/>
              </w:rPr>
              <w:t>(7,524)</w:t>
            </w:r>
          </w:p>
        </w:tc>
      </w:tr>
      <w:tr>
        <w:trPr>
          <w:trHeight w:val="169" w:hRule="atLeast"/>
        </w:trPr>
        <w:tc>
          <w:tcPr>
            <w:tcW w:w="4750" w:type="dxa"/>
          </w:tcPr>
          <w:p>
            <w:pPr>
              <w:pStyle w:val="TableParagraph"/>
              <w:spacing w:line="148" w:lineRule="exact" w:before="1"/>
              <w:ind w:left="125"/>
              <w:rPr>
                <w:sz w:val="14"/>
              </w:rPr>
            </w:pPr>
            <w:r>
              <w:rPr>
                <w:spacing w:val="-2"/>
                <w:sz w:val="14"/>
              </w:rPr>
              <w:t>(Decrease)/increase</w:t>
            </w:r>
            <w:r>
              <w:rPr>
                <w:spacing w:val="-5"/>
                <w:sz w:val="14"/>
              </w:rPr>
              <w:t> </w:t>
            </w:r>
            <w:r>
              <w:rPr>
                <w:spacing w:val="-2"/>
                <w:sz w:val="14"/>
              </w:rPr>
              <w:t>in</w:t>
            </w:r>
            <w:r>
              <w:rPr>
                <w:spacing w:val="-4"/>
                <w:sz w:val="14"/>
              </w:rPr>
              <w:t> </w:t>
            </w:r>
            <w:r>
              <w:rPr>
                <w:spacing w:val="-2"/>
                <w:sz w:val="14"/>
              </w:rPr>
              <w:t>other liabilities</w:t>
            </w:r>
          </w:p>
        </w:tc>
        <w:tc>
          <w:tcPr>
            <w:tcW w:w="1066" w:type="dxa"/>
          </w:tcPr>
          <w:p>
            <w:pPr>
              <w:pStyle w:val="TableParagraph"/>
              <w:spacing w:line="148" w:lineRule="exact" w:before="1"/>
              <w:ind w:left="434"/>
              <w:rPr>
                <w:sz w:val="14"/>
              </w:rPr>
            </w:pPr>
            <w:r>
              <w:rPr>
                <w:spacing w:val="-2"/>
                <w:sz w:val="14"/>
              </w:rPr>
              <w:t>20,377</w:t>
            </w:r>
          </w:p>
        </w:tc>
        <w:tc>
          <w:tcPr>
            <w:tcW w:w="947" w:type="dxa"/>
          </w:tcPr>
          <w:p>
            <w:pPr>
              <w:pStyle w:val="TableParagraph"/>
              <w:spacing w:line="148" w:lineRule="exact" w:before="1"/>
              <w:ind w:right="236"/>
              <w:jc w:val="right"/>
              <w:rPr>
                <w:sz w:val="14"/>
              </w:rPr>
            </w:pPr>
            <w:r>
              <w:rPr>
                <w:spacing w:val="-2"/>
                <w:sz w:val="14"/>
              </w:rPr>
              <w:t>1,938</w:t>
            </w:r>
          </w:p>
        </w:tc>
        <w:tc>
          <w:tcPr>
            <w:tcW w:w="901" w:type="dxa"/>
          </w:tcPr>
          <w:p>
            <w:pPr>
              <w:pStyle w:val="TableParagraph"/>
              <w:spacing w:line="148" w:lineRule="exact" w:before="1"/>
              <w:ind w:right="213"/>
              <w:jc w:val="right"/>
              <w:rPr>
                <w:sz w:val="14"/>
              </w:rPr>
            </w:pPr>
            <w:r>
              <w:rPr>
                <w:spacing w:val="-2"/>
                <w:sz w:val="14"/>
              </w:rPr>
              <w:t>20,799</w:t>
            </w:r>
          </w:p>
        </w:tc>
        <w:tc>
          <w:tcPr>
            <w:tcW w:w="784" w:type="dxa"/>
          </w:tcPr>
          <w:p>
            <w:pPr>
              <w:pStyle w:val="TableParagraph"/>
              <w:spacing w:line="148" w:lineRule="exact" w:before="1"/>
              <w:ind w:right="29"/>
              <w:jc w:val="right"/>
              <w:rPr>
                <w:sz w:val="14"/>
              </w:rPr>
            </w:pPr>
            <w:r>
              <w:rPr>
                <w:spacing w:val="-4"/>
                <w:sz w:val="14"/>
              </w:rPr>
              <w:t>(11)</w:t>
            </w:r>
          </w:p>
        </w:tc>
      </w:tr>
      <w:tr>
        <w:trPr>
          <w:trHeight w:val="334" w:hRule="atLeast"/>
        </w:trPr>
        <w:tc>
          <w:tcPr>
            <w:tcW w:w="4750" w:type="dxa"/>
          </w:tcPr>
          <w:p>
            <w:pPr>
              <w:pStyle w:val="TableParagraph"/>
              <w:spacing w:before="1"/>
              <w:ind w:left="125"/>
              <w:rPr>
                <w:sz w:val="14"/>
              </w:rPr>
            </w:pPr>
            <w:r>
              <w:rPr>
                <w:spacing w:val="-2"/>
                <w:sz w:val="14"/>
              </w:rPr>
              <w:t>(Decrease)/increase</w:t>
            </w:r>
            <w:r>
              <w:rPr>
                <w:spacing w:val="-4"/>
                <w:sz w:val="14"/>
              </w:rPr>
              <w:t> </w:t>
            </w:r>
            <w:r>
              <w:rPr>
                <w:spacing w:val="-2"/>
                <w:sz w:val="14"/>
              </w:rPr>
              <w:t>in</w:t>
            </w:r>
            <w:r>
              <w:rPr>
                <w:spacing w:val="-3"/>
                <w:sz w:val="14"/>
              </w:rPr>
              <w:t> </w:t>
            </w:r>
            <w:r>
              <w:rPr>
                <w:spacing w:val="-2"/>
                <w:sz w:val="14"/>
              </w:rPr>
              <w:t>provisions</w:t>
            </w:r>
          </w:p>
        </w:tc>
        <w:tc>
          <w:tcPr>
            <w:tcW w:w="1066" w:type="dxa"/>
            <w:tcBorders>
              <w:bottom w:val="single" w:sz="6" w:space="0" w:color="000000"/>
            </w:tcBorders>
          </w:tcPr>
          <w:p>
            <w:pPr>
              <w:pStyle w:val="TableParagraph"/>
              <w:spacing w:before="1"/>
              <w:ind w:left="510"/>
              <w:rPr>
                <w:sz w:val="14"/>
              </w:rPr>
            </w:pPr>
            <w:r>
              <w:rPr>
                <w:spacing w:val="-2"/>
                <w:sz w:val="14"/>
              </w:rPr>
              <w:t>6,135</w:t>
            </w:r>
          </w:p>
        </w:tc>
        <w:tc>
          <w:tcPr>
            <w:tcW w:w="947" w:type="dxa"/>
            <w:tcBorders>
              <w:bottom w:val="single" w:sz="6" w:space="0" w:color="000000"/>
            </w:tcBorders>
          </w:tcPr>
          <w:p>
            <w:pPr>
              <w:pStyle w:val="TableParagraph"/>
              <w:spacing w:before="1"/>
              <w:ind w:right="235"/>
              <w:jc w:val="right"/>
              <w:rPr>
                <w:sz w:val="14"/>
              </w:rPr>
            </w:pPr>
            <w:r>
              <w:rPr>
                <w:spacing w:val="-2"/>
                <w:sz w:val="14"/>
              </w:rPr>
              <w:t>1,363</w:t>
            </w:r>
          </w:p>
        </w:tc>
        <w:tc>
          <w:tcPr>
            <w:tcW w:w="901" w:type="dxa"/>
            <w:tcBorders>
              <w:bottom w:val="single" w:sz="6" w:space="0" w:color="000000"/>
            </w:tcBorders>
          </w:tcPr>
          <w:p>
            <w:pPr>
              <w:pStyle w:val="TableParagraph"/>
              <w:spacing w:before="1"/>
              <w:ind w:right="212"/>
              <w:jc w:val="right"/>
              <w:rPr>
                <w:sz w:val="14"/>
              </w:rPr>
            </w:pPr>
            <w:r>
              <w:rPr>
                <w:spacing w:val="-2"/>
                <w:sz w:val="14"/>
              </w:rPr>
              <w:t>6,070</w:t>
            </w:r>
          </w:p>
        </w:tc>
        <w:tc>
          <w:tcPr>
            <w:tcW w:w="784" w:type="dxa"/>
            <w:tcBorders>
              <w:bottom w:val="single" w:sz="6" w:space="0" w:color="000000"/>
            </w:tcBorders>
          </w:tcPr>
          <w:p>
            <w:pPr>
              <w:pStyle w:val="TableParagraph"/>
              <w:spacing w:before="1"/>
              <w:ind w:right="72"/>
              <w:jc w:val="right"/>
              <w:rPr>
                <w:sz w:val="14"/>
              </w:rPr>
            </w:pPr>
            <w:r>
              <w:rPr>
                <w:spacing w:val="-2"/>
                <w:sz w:val="14"/>
              </w:rPr>
              <w:t>1,048</w:t>
            </w:r>
          </w:p>
        </w:tc>
      </w:tr>
      <w:tr>
        <w:trPr>
          <w:trHeight w:val="154" w:hRule="atLeast"/>
        </w:trPr>
        <w:tc>
          <w:tcPr>
            <w:tcW w:w="4750" w:type="dxa"/>
          </w:tcPr>
          <w:p>
            <w:pPr>
              <w:pStyle w:val="TableParagraph"/>
              <w:spacing w:line="134" w:lineRule="exact"/>
              <w:ind w:left="50"/>
              <w:rPr>
                <w:b/>
                <w:sz w:val="14"/>
              </w:rPr>
            </w:pPr>
            <w:r>
              <w:rPr>
                <w:b/>
                <w:spacing w:val="-2"/>
                <w:sz w:val="14"/>
              </w:rPr>
              <w:t>Net</w:t>
            </w:r>
            <w:r>
              <w:rPr>
                <w:b/>
                <w:spacing w:val="-3"/>
                <w:sz w:val="14"/>
              </w:rPr>
              <w:t> </w:t>
            </w:r>
            <w:r>
              <w:rPr>
                <w:b/>
                <w:spacing w:val="-2"/>
                <w:sz w:val="14"/>
              </w:rPr>
              <w:t>cash</w:t>
            </w:r>
            <w:r>
              <w:rPr>
                <w:b/>
                <w:spacing w:val="-3"/>
                <w:sz w:val="14"/>
              </w:rPr>
              <w:t> </w:t>
            </w:r>
            <w:r>
              <w:rPr>
                <w:b/>
                <w:spacing w:val="-2"/>
                <w:sz w:val="14"/>
              </w:rPr>
              <w:t>provided</w:t>
            </w:r>
            <w:r>
              <w:rPr>
                <w:b/>
                <w:spacing w:val="-3"/>
                <w:sz w:val="14"/>
              </w:rPr>
              <w:t> </w:t>
            </w:r>
            <w:r>
              <w:rPr>
                <w:b/>
                <w:spacing w:val="-2"/>
                <w:sz w:val="14"/>
              </w:rPr>
              <w:t>by/(used in)</w:t>
            </w:r>
            <w:r>
              <w:rPr>
                <w:b/>
                <w:spacing w:val="-3"/>
                <w:sz w:val="14"/>
              </w:rPr>
              <w:t> </w:t>
            </w:r>
            <w:r>
              <w:rPr>
                <w:b/>
                <w:spacing w:val="-2"/>
                <w:sz w:val="14"/>
              </w:rPr>
              <w:t>operating</w:t>
            </w:r>
            <w:r>
              <w:rPr>
                <w:b/>
                <w:spacing w:val="-3"/>
                <w:sz w:val="14"/>
              </w:rPr>
              <w:t> </w:t>
            </w:r>
            <w:r>
              <w:rPr>
                <w:b/>
                <w:spacing w:val="-2"/>
                <w:sz w:val="14"/>
              </w:rPr>
              <w:t>activities</w:t>
            </w:r>
          </w:p>
        </w:tc>
        <w:tc>
          <w:tcPr>
            <w:tcW w:w="1066" w:type="dxa"/>
            <w:tcBorders>
              <w:top w:val="single" w:sz="6" w:space="0" w:color="000000"/>
              <w:bottom w:val="single" w:sz="6" w:space="0" w:color="000000"/>
            </w:tcBorders>
          </w:tcPr>
          <w:p>
            <w:pPr>
              <w:pStyle w:val="TableParagraph"/>
              <w:spacing w:line="134" w:lineRule="exact"/>
              <w:ind w:left="434"/>
              <w:rPr>
                <w:b/>
                <w:sz w:val="14"/>
              </w:rPr>
            </w:pPr>
            <w:r>
              <w:rPr>
                <w:b/>
                <w:spacing w:val="-2"/>
                <w:sz w:val="14"/>
              </w:rPr>
              <w:t>99,466</w:t>
            </w:r>
          </w:p>
        </w:tc>
        <w:tc>
          <w:tcPr>
            <w:tcW w:w="947" w:type="dxa"/>
            <w:tcBorders>
              <w:top w:val="single" w:sz="6" w:space="0" w:color="000000"/>
              <w:bottom w:val="single" w:sz="6" w:space="0" w:color="000000"/>
            </w:tcBorders>
          </w:tcPr>
          <w:p>
            <w:pPr>
              <w:pStyle w:val="TableParagraph"/>
              <w:spacing w:line="134" w:lineRule="exact"/>
              <w:ind w:right="236"/>
              <w:jc w:val="right"/>
              <w:rPr>
                <w:b/>
                <w:sz w:val="14"/>
              </w:rPr>
            </w:pPr>
            <w:r>
              <w:rPr>
                <w:b/>
                <w:spacing w:val="-2"/>
                <w:sz w:val="14"/>
              </w:rPr>
              <w:t>39,690</w:t>
            </w:r>
          </w:p>
        </w:tc>
        <w:tc>
          <w:tcPr>
            <w:tcW w:w="901" w:type="dxa"/>
            <w:tcBorders>
              <w:top w:val="single" w:sz="6" w:space="0" w:color="000000"/>
              <w:bottom w:val="single" w:sz="6" w:space="0" w:color="000000"/>
            </w:tcBorders>
          </w:tcPr>
          <w:p>
            <w:pPr>
              <w:pStyle w:val="TableParagraph"/>
              <w:spacing w:line="134" w:lineRule="exact"/>
              <w:ind w:right="212"/>
              <w:jc w:val="right"/>
              <w:rPr>
                <w:b/>
                <w:sz w:val="14"/>
              </w:rPr>
            </w:pPr>
            <w:r>
              <w:rPr>
                <w:b/>
                <w:spacing w:val="-2"/>
                <w:sz w:val="14"/>
              </w:rPr>
              <w:t>101,762</w:t>
            </w:r>
          </w:p>
        </w:tc>
        <w:tc>
          <w:tcPr>
            <w:tcW w:w="784" w:type="dxa"/>
            <w:tcBorders>
              <w:top w:val="single" w:sz="6" w:space="0" w:color="000000"/>
              <w:bottom w:val="single" w:sz="6" w:space="0" w:color="000000"/>
            </w:tcBorders>
          </w:tcPr>
          <w:p>
            <w:pPr>
              <w:pStyle w:val="TableParagraph"/>
              <w:spacing w:line="134" w:lineRule="exact"/>
              <w:ind w:right="72"/>
              <w:jc w:val="right"/>
              <w:rPr>
                <w:b/>
                <w:sz w:val="14"/>
              </w:rPr>
            </w:pPr>
            <w:r>
              <w:rPr>
                <w:b/>
                <w:spacing w:val="-2"/>
                <w:sz w:val="14"/>
              </w:rPr>
              <w:t>30,274</w:t>
            </w:r>
          </w:p>
        </w:tc>
      </w:tr>
    </w:tbl>
    <w:p>
      <w:pPr>
        <w:spacing w:line="240" w:lineRule="auto" w:before="1"/>
        <w:rPr>
          <w:b/>
          <w:sz w:val="14"/>
        </w:rPr>
      </w:pPr>
    </w:p>
    <w:p>
      <w:pPr>
        <w:spacing w:before="0"/>
        <w:ind w:left="745" w:right="0" w:firstLine="0"/>
        <w:jc w:val="left"/>
        <w:rPr>
          <w:b/>
          <w:i/>
          <w:sz w:val="14"/>
        </w:rPr>
      </w:pPr>
      <w:r>
        <w:rPr>
          <w:b/>
          <w:i/>
          <w:color w:val="0070C0"/>
          <w:spacing w:val="-2"/>
          <w:sz w:val="14"/>
        </w:rPr>
        <w:t>Accounting policy</w:t>
      </w:r>
    </w:p>
    <w:p>
      <w:pPr>
        <w:spacing w:line="254" w:lineRule="auto" w:before="15"/>
        <w:ind w:left="745" w:right="0" w:firstLine="0"/>
        <w:jc w:val="left"/>
        <w:rPr>
          <w:sz w:val="14"/>
        </w:rPr>
      </w:pPr>
      <w:r>
        <w:rPr>
          <w:sz w:val="14"/>
        </w:rPr>
        <w:t>Cash</w:t>
      </w:r>
      <w:r>
        <w:rPr>
          <w:spacing w:val="21"/>
          <w:sz w:val="14"/>
        </w:rPr>
        <w:t> </w:t>
      </w:r>
      <w:r>
        <w:rPr>
          <w:sz w:val="14"/>
        </w:rPr>
        <w:t>and</w:t>
      </w:r>
      <w:r>
        <w:rPr>
          <w:spacing w:val="21"/>
          <w:sz w:val="14"/>
        </w:rPr>
        <w:t> </w:t>
      </w:r>
      <w:r>
        <w:rPr>
          <w:sz w:val="14"/>
        </w:rPr>
        <w:t>cash</w:t>
      </w:r>
      <w:r>
        <w:rPr>
          <w:spacing w:val="21"/>
          <w:sz w:val="14"/>
        </w:rPr>
        <w:t> </w:t>
      </w:r>
      <w:r>
        <w:rPr>
          <w:sz w:val="14"/>
        </w:rPr>
        <w:t>equivalents</w:t>
      </w:r>
      <w:r>
        <w:rPr>
          <w:spacing w:val="20"/>
          <w:sz w:val="14"/>
        </w:rPr>
        <w:t> </w:t>
      </w:r>
      <w:r>
        <w:rPr>
          <w:sz w:val="14"/>
        </w:rPr>
        <w:t>includes</w:t>
      </w:r>
      <w:r>
        <w:rPr>
          <w:spacing w:val="22"/>
          <w:sz w:val="14"/>
        </w:rPr>
        <w:t> </w:t>
      </w:r>
      <w:r>
        <w:rPr>
          <w:sz w:val="14"/>
        </w:rPr>
        <w:t>cash</w:t>
      </w:r>
      <w:r>
        <w:rPr>
          <w:spacing w:val="19"/>
          <w:sz w:val="14"/>
        </w:rPr>
        <w:t> </w:t>
      </w:r>
      <w:r>
        <w:rPr>
          <w:sz w:val="14"/>
        </w:rPr>
        <w:t>on</w:t>
      </w:r>
      <w:r>
        <w:rPr>
          <w:spacing w:val="21"/>
          <w:sz w:val="14"/>
        </w:rPr>
        <w:t> </w:t>
      </w:r>
      <w:r>
        <w:rPr>
          <w:sz w:val="14"/>
        </w:rPr>
        <w:t>hand,</w:t>
      </w:r>
      <w:r>
        <w:rPr>
          <w:spacing w:val="19"/>
          <w:sz w:val="14"/>
        </w:rPr>
        <w:t> </w:t>
      </w:r>
      <w:r>
        <w:rPr>
          <w:sz w:val="14"/>
        </w:rPr>
        <w:t>bank</w:t>
      </w:r>
      <w:r>
        <w:rPr>
          <w:spacing w:val="23"/>
          <w:sz w:val="14"/>
        </w:rPr>
        <w:t> </w:t>
      </w:r>
      <w:r>
        <w:rPr>
          <w:sz w:val="14"/>
        </w:rPr>
        <w:t>accounts</w:t>
      </w:r>
      <w:r>
        <w:rPr>
          <w:spacing w:val="20"/>
          <w:sz w:val="14"/>
        </w:rPr>
        <w:t> </w:t>
      </w:r>
      <w:r>
        <w:rPr>
          <w:sz w:val="14"/>
        </w:rPr>
        <w:t>and</w:t>
      </w:r>
      <w:r>
        <w:rPr>
          <w:spacing w:val="21"/>
          <w:sz w:val="14"/>
        </w:rPr>
        <w:t> </w:t>
      </w:r>
      <w:r>
        <w:rPr>
          <w:sz w:val="14"/>
        </w:rPr>
        <w:t>deposits</w:t>
      </w:r>
      <w:r>
        <w:rPr>
          <w:spacing w:val="20"/>
          <w:sz w:val="14"/>
        </w:rPr>
        <w:t> </w:t>
      </w:r>
      <w:r>
        <w:rPr>
          <w:sz w:val="14"/>
        </w:rPr>
        <w:t>and</w:t>
      </w:r>
      <w:r>
        <w:rPr>
          <w:spacing w:val="21"/>
          <w:sz w:val="14"/>
        </w:rPr>
        <w:t> </w:t>
      </w:r>
      <w:r>
        <w:rPr>
          <w:sz w:val="14"/>
        </w:rPr>
        <w:t>other</w:t>
      </w:r>
      <w:r>
        <w:rPr>
          <w:spacing w:val="20"/>
          <w:sz w:val="14"/>
        </w:rPr>
        <w:t> </w:t>
      </w:r>
      <w:r>
        <w:rPr>
          <w:sz w:val="14"/>
        </w:rPr>
        <w:t>short-term,</w:t>
      </w:r>
      <w:r>
        <w:rPr>
          <w:spacing w:val="21"/>
          <w:sz w:val="14"/>
        </w:rPr>
        <w:t> </w:t>
      </w:r>
      <w:r>
        <w:rPr>
          <w:sz w:val="14"/>
        </w:rPr>
        <w:t>highly</w:t>
      </w:r>
      <w:r>
        <w:rPr>
          <w:spacing w:val="16"/>
          <w:sz w:val="14"/>
        </w:rPr>
        <w:t> </w:t>
      </w:r>
      <w:r>
        <w:rPr>
          <w:sz w:val="14"/>
        </w:rPr>
        <w:t>liquid</w:t>
      </w:r>
      <w:r>
        <w:rPr>
          <w:spacing w:val="21"/>
          <w:sz w:val="14"/>
        </w:rPr>
        <w:t> </w:t>
      </w:r>
      <w:r>
        <w:rPr>
          <w:sz w:val="14"/>
        </w:rPr>
        <w:t>money</w:t>
      </w:r>
      <w:r>
        <w:rPr>
          <w:spacing w:val="16"/>
          <w:sz w:val="14"/>
        </w:rPr>
        <w:t> </w:t>
      </w:r>
      <w:r>
        <w:rPr>
          <w:sz w:val="14"/>
        </w:rPr>
        <w:t>market</w:t>
      </w:r>
      <w:r>
        <w:rPr>
          <w:spacing w:val="40"/>
          <w:sz w:val="14"/>
        </w:rPr>
        <w:t> </w:t>
      </w:r>
      <w:r>
        <w:rPr>
          <w:sz w:val="14"/>
        </w:rPr>
        <w:t>investments</w:t>
      </w:r>
      <w:r>
        <w:rPr>
          <w:spacing w:val="-7"/>
          <w:sz w:val="14"/>
        </w:rPr>
        <w:t> </w:t>
      </w:r>
      <w:r>
        <w:rPr>
          <w:sz w:val="14"/>
        </w:rPr>
        <w:t>that</w:t>
      </w:r>
      <w:r>
        <w:rPr>
          <w:spacing w:val="-7"/>
          <w:sz w:val="14"/>
        </w:rPr>
        <w:t> </w:t>
      </w:r>
      <w:r>
        <w:rPr>
          <w:sz w:val="14"/>
        </w:rPr>
        <w:t>are</w:t>
      </w:r>
      <w:r>
        <w:rPr>
          <w:spacing w:val="-7"/>
          <w:sz w:val="14"/>
        </w:rPr>
        <w:t> </w:t>
      </w:r>
      <w:r>
        <w:rPr>
          <w:sz w:val="14"/>
        </w:rPr>
        <w:t>readily</w:t>
      </w:r>
      <w:r>
        <w:rPr>
          <w:spacing w:val="-10"/>
          <w:sz w:val="14"/>
        </w:rPr>
        <w:t> </w:t>
      </w:r>
      <w:r>
        <w:rPr>
          <w:sz w:val="14"/>
        </w:rPr>
        <w:t>convertible</w:t>
      </w:r>
      <w:r>
        <w:rPr>
          <w:spacing w:val="-7"/>
          <w:sz w:val="14"/>
        </w:rPr>
        <w:t> </w:t>
      </w:r>
      <w:r>
        <w:rPr>
          <w:sz w:val="14"/>
        </w:rPr>
        <w:t>to</w:t>
      </w:r>
      <w:r>
        <w:rPr>
          <w:spacing w:val="-7"/>
          <w:sz w:val="14"/>
        </w:rPr>
        <w:t> </w:t>
      </w:r>
      <w:r>
        <w:rPr>
          <w:sz w:val="14"/>
        </w:rPr>
        <w:t>known</w:t>
      </w:r>
      <w:r>
        <w:rPr>
          <w:spacing w:val="-7"/>
          <w:sz w:val="14"/>
        </w:rPr>
        <w:t> </w:t>
      </w:r>
      <w:r>
        <w:rPr>
          <w:sz w:val="14"/>
        </w:rPr>
        <w:t>amounts</w:t>
      </w:r>
      <w:r>
        <w:rPr>
          <w:spacing w:val="-7"/>
          <w:sz w:val="14"/>
        </w:rPr>
        <w:t> </w:t>
      </w:r>
      <w:r>
        <w:rPr>
          <w:sz w:val="14"/>
        </w:rPr>
        <w:t>of</w:t>
      </w:r>
      <w:r>
        <w:rPr>
          <w:spacing w:val="-5"/>
          <w:sz w:val="14"/>
        </w:rPr>
        <w:t> </w:t>
      </w:r>
      <w:r>
        <w:rPr>
          <w:sz w:val="14"/>
        </w:rPr>
        <w:t>cash,</w:t>
      </w:r>
      <w:r>
        <w:rPr>
          <w:spacing w:val="-7"/>
          <w:sz w:val="14"/>
        </w:rPr>
        <w:t> </w:t>
      </w:r>
      <w:r>
        <w:rPr>
          <w:sz w:val="14"/>
        </w:rPr>
        <w:t>and</w:t>
      </w:r>
      <w:r>
        <w:rPr>
          <w:spacing w:val="-7"/>
          <w:sz w:val="14"/>
        </w:rPr>
        <w:t> </w:t>
      </w:r>
      <w:r>
        <w:rPr>
          <w:sz w:val="14"/>
        </w:rPr>
        <w:t>which</w:t>
      </w:r>
      <w:r>
        <w:rPr>
          <w:spacing w:val="-7"/>
          <w:sz w:val="14"/>
        </w:rPr>
        <w:t> </w:t>
      </w:r>
      <w:r>
        <w:rPr>
          <w:sz w:val="14"/>
        </w:rPr>
        <w:t>are</w:t>
      </w:r>
      <w:r>
        <w:rPr>
          <w:spacing w:val="-8"/>
          <w:sz w:val="14"/>
        </w:rPr>
        <w:t> </w:t>
      </w:r>
      <w:r>
        <w:rPr>
          <w:sz w:val="14"/>
        </w:rPr>
        <w:t>subject</w:t>
      </w:r>
      <w:r>
        <w:rPr>
          <w:spacing w:val="-7"/>
          <w:sz w:val="14"/>
        </w:rPr>
        <w:t> </w:t>
      </w:r>
      <w:r>
        <w:rPr>
          <w:sz w:val="14"/>
        </w:rPr>
        <w:t>to</w:t>
      </w:r>
      <w:r>
        <w:rPr>
          <w:spacing w:val="-7"/>
          <w:sz w:val="14"/>
        </w:rPr>
        <w:t> </w:t>
      </w:r>
      <w:r>
        <w:rPr>
          <w:sz w:val="14"/>
        </w:rPr>
        <w:t>an</w:t>
      </w:r>
      <w:r>
        <w:rPr>
          <w:spacing w:val="-7"/>
          <w:sz w:val="14"/>
        </w:rPr>
        <w:t> </w:t>
      </w:r>
      <w:r>
        <w:rPr>
          <w:sz w:val="14"/>
        </w:rPr>
        <w:t>insignificant</w:t>
      </w:r>
      <w:r>
        <w:rPr>
          <w:spacing w:val="-7"/>
          <w:sz w:val="14"/>
        </w:rPr>
        <w:t> </w:t>
      </w:r>
      <w:r>
        <w:rPr>
          <w:sz w:val="14"/>
        </w:rPr>
        <w:t>risk</w:t>
      </w:r>
      <w:r>
        <w:rPr>
          <w:spacing w:val="-4"/>
          <w:sz w:val="14"/>
        </w:rPr>
        <w:t> </w:t>
      </w:r>
      <w:r>
        <w:rPr>
          <w:sz w:val="14"/>
        </w:rPr>
        <w:t>of</w:t>
      </w:r>
      <w:r>
        <w:rPr>
          <w:spacing w:val="-5"/>
          <w:sz w:val="14"/>
        </w:rPr>
        <w:t> </w:t>
      </w:r>
      <w:r>
        <w:rPr>
          <w:sz w:val="14"/>
        </w:rPr>
        <w:t>changes</w:t>
      </w:r>
      <w:r>
        <w:rPr>
          <w:spacing w:val="-7"/>
          <w:sz w:val="14"/>
        </w:rPr>
        <w:t> </w:t>
      </w:r>
      <w:r>
        <w:rPr>
          <w:sz w:val="14"/>
        </w:rPr>
        <w:t>in</w:t>
      </w:r>
      <w:r>
        <w:rPr>
          <w:spacing w:val="-7"/>
          <w:sz w:val="14"/>
        </w:rPr>
        <w:t> </w:t>
      </w:r>
      <w:r>
        <w:rPr>
          <w:sz w:val="14"/>
        </w:rPr>
        <w:t>value.</w:t>
      </w:r>
    </w:p>
    <w:p>
      <w:pPr>
        <w:spacing w:line="240" w:lineRule="auto" w:before="1"/>
        <w:rPr>
          <w:sz w:val="16"/>
        </w:rPr>
      </w:pPr>
      <w:r>
        <w:rPr/>
        <mc:AlternateContent>
          <mc:Choice Requires="wps">
            <w:drawing>
              <wp:anchor distT="0" distB="0" distL="0" distR="0" allowOverlap="1" layoutInCell="1" locked="0" behindDoc="1" simplePos="0" relativeHeight="487756800">
                <wp:simplePos x="0" y="0"/>
                <wp:positionH relativeFrom="page">
                  <wp:posOffset>715403</wp:posOffset>
                </wp:positionH>
                <wp:positionV relativeFrom="paragraph">
                  <wp:posOffset>132705</wp:posOffset>
                </wp:positionV>
                <wp:extent cx="5739130" cy="17145"/>
                <wp:effectExtent l="0" t="0" r="0" b="0"/>
                <wp:wrapTopAndBottom/>
                <wp:docPr id="946" name="Graphic 946"/>
                <wp:cNvGraphicFramePr>
                  <a:graphicFrameLocks/>
                </wp:cNvGraphicFramePr>
                <a:graphic>
                  <a:graphicData uri="http://schemas.microsoft.com/office/word/2010/wordprocessingShape">
                    <wps:wsp>
                      <wps:cNvPr id="946" name="Graphic 946"/>
                      <wps:cNvSpPr/>
                      <wps:spPr>
                        <a:xfrm>
                          <a:off x="0" y="0"/>
                          <a:ext cx="5739130" cy="17145"/>
                        </a:xfrm>
                        <a:custGeom>
                          <a:avLst/>
                          <a:gdLst/>
                          <a:ahLst/>
                          <a:cxnLst/>
                          <a:rect l="l" t="t" r="r" b="b"/>
                          <a:pathLst>
                            <a:path w="5739130" h="17145">
                              <a:moveTo>
                                <a:pt x="5739117" y="0"/>
                              </a:moveTo>
                              <a:lnTo>
                                <a:pt x="0" y="0"/>
                              </a:lnTo>
                              <a:lnTo>
                                <a:pt x="0" y="16967"/>
                              </a:lnTo>
                              <a:lnTo>
                                <a:pt x="5739117" y="16967"/>
                              </a:lnTo>
                              <a:lnTo>
                                <a:pt x="5739117"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6.331001pt;margin-top:10.449219pt;width:451.899pt;height:1.336pt;mso-position-horizontal-relative:page;mso-position-vertical-relative:paragraph;z-index:-15559680;mso-wrap-distance-left:0;mso-wrap-distance-right:0" id="docshape639" filled="true" fillcolor="#4f81bd" stroked="false">
                <v:fill type="solid"/>
                <w10:wrap type="topAndBottom"/>
              </v:rect>
            </w:pict>
          </mc:Fallback>
        </mc:AlternateContent>
      </w:r>
    </w:p>
    <w:p>
      <w:pPr>
        <w:spacing w:after="0" w:line="240" w:lineRule="auto"/>
        <w:rPr>
          <w:sz w:val="16"/>
        </w:rPr>
        <w:sectPr>
          <w:pgSz w:w="11910" w:h="16840"/>
          <w:pgMar w:header="468" w:footer="0" w:top="1580" w:bottom="280" w:left="1020" w:right="1540"/>
        </w:sectPr>
      </w:pPr>
    </w:p>
    <w:p>
      <w:pPr>
        <w:spacing w:before="81"/>
        <w:ind w:left="144" w:right="0" w:firstLine="0"/>
        <w:jc w:val="left"/>
        <w:rPr>
          <w:sz w:val="22"/>
        </w:rPr>
      </w:pPr>
      <w:r>
        <w:rPr/>
        <mc:AlternateContent>
          <mc:Choice Requires="wps">
            <w:drawing>
              <wp:anchor distT="0" distB="0" distL="0" distR="0" allowOverlap="1" layoutInCell="1" locked="0" behindDoc="0" simplePos="0" relativeHeight="15898112">
                <wp:simplePos x="0" y="0"/>
                <wp:positionH relativeFrom="page">
                  <wp:posOffset>7111289</wp:posOffset>
                </wp:positionH>
                <wp:positionV relativeFrom="page">
                  <wp:posOffset>8040241</wp:posOffset>
                </wp:positionV>
                <wp:extent cx="177800" cy="1945005"/>
                <wp:effectExtent l="0" t="0" r="0" b="0"/>
                <wp:wrapNone/>
                <wp:docPr id="947" name="Textbox 947"/>
                <wp:cNvGraphicFramePr>
                  <a:graphicFrameLocks/>
                </wp:cNvGraphicFramePr>
                <a:graphic>
                  <a:graphicData uri="http://schemas.microsoft.com/office/word/2010/wordprocessingShape">
                    <wps:wsp>
                      <wps:cNvPr id="947" name="Textbox 947"/>
                      <wps:cNvSpPr txBox="1"/>
                      <wps:spPr>
                        <a:xfrm>
                          <a:off x="0" y="0"/>
                          <a:ext cx="177800" cy="194500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633.089905pt;width:14pt;height:153.15pt;mso-position-horizontal-relative:page;mso-position-vertical-relative:page;z-index:15898112" type="#_x0000_t202" id="docshape640"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v:textbox>
                <w10:wrap type="none"/>
              </v:shape>
            </w:pict>
          </mc:Fallback>
        </mc:AlternateContent>
      </w:r>
      <w:r>
        <w:rPr>
          <w:color w:val="0070C0"/>
          <w:sz w:val="22"/>
        </w:rPr>
        <w:t>NOTES</w:t>
      </w:r>
      <w:r>
        <w:rPr>
          <w:color w:val="0070C0"/>
          <w:spacing w:val="-9"/>
          <w:sz w:val="22"/>
        </w:rPr>
        <w:t> </w:t>
      </w:r>
      <w:r>
        <w:rPr>
          <w:color w:val="0070C0"/>
          <w:sz w:val="22"/>
        </w:rPr>
        <w:t>TO</w:t>
      </w:r>
      <w:r>
        <w:rPr>
          <w:color w:val="0070C0"/>
          <w:spacing w:val="-9"/>
          <w:sz w:val="22"/>
        </w:rPr>
        <w:t> </w:t>
      </w:r>
      <w:r>
        <w:rPr>
          <w:color w:val="0070C0"/>
          <w:sz w:val="22"/>
        </w:rPr>
        <w:t>THE</w:t>
      </w:r>
      <w:r>
        <w:rPr>
          <w:color w:val="0070C0"/>
          <w:spacing w:val="-9"/>
          <w:sz w:val="22"/>
        </w:rPr>
        <w:t> </w:t>
      </w:r>
      <w:r>
        <w:rPr>
          <w:color w:val="0070C0"/>
          <w:sz w:val="22"/>
        </w:rPr>
        <w:t>FINANCIAL</w:t>
      </w:r>
      <w:r>
        <w:rPr>
          <w:color w:val="0070C0"/>
          <w:spacing w:val="-9"/>
          <w:sz w:val="22"/>
        </w:rPr>
        <w:t> </w:t>
      </w:r>
      <w:r>
        <w:rPr>
          <w:color w:val="0070C0"/>
          <w:spacing w:val="-2"/>
          <w:sz w:val="22"/>
        </w:rPr>
        <w:t>STATEMENTS</w:t>
      </w:r>
    </w:p>
    <w:p>
      <w:pPr>
        <w:spacing w:before="31"/>
        <w:ind w:left="131" w:right="0" w:firstLine="0"/>
        <w:jc w:val="left"/>
        <w:rPr>
          <w:sz w:val="12"/>
        </w:rPr>
      </w:pPr>
      <w:r>
        <w:rPr>
          <w:sz w:val="12"/>
        </w:rPr>
        <w:t>for</w:t>
      </w:r>
      <w:r>
        <w:rPr>
          <w:spacing w:val="4"/>
          <w:sz w:val="12"/>
        </w:rPr>
        <w:t> </w:t>
      </w:r>
      <w:r>
        <w:rPr>
          <w:sz w:val="12"/>
        </w:rPr>
        <w:t>the</w:t>
      </w:r>
      <w:r>
        <w:rPr>
          <w:spacing w:val="3"/>
          <w:sz w:val="12"/>
        </w:rPr>
        <w:t> </w:t>
      </w:r>
      <w:r>
        <w:rPr>
          <w:sz w:val="12"/>
        </w:rPr>
        <w:t>year</w:t>
      </w:r>
      <w:r>
        <w:rPr>
          <w:spacing w:val="5"/>
          <w:sz w:val="12"/>
        </w:rPr>
        <w:t> </w:t>
      </w:r>
      <w:r>
        <w:rPr>
          <w:sz w:val="12"/>
        </w:rPr>
        <w:t>ended</w:t>
      </w:r>
      <w:r>
        <w:rPr>
          <w:spacing w:val="3"/>
          <w:sz w:val="12"/>
        </w:rPr>
        <w:t> </w:t>
      </w:r>
      <w:r>
        <w:rPr>
          <w:sz w:val="12"/>
        </w:rPr>
        <w:t>31</w:t>
      </w:r>
      <w:r>
        <w:rPr>
          <w:spacing w:val="3"/>
          <w:sz w:val="12"/>
        </w:rPr>
        <w:t> </w:t>
      </w:r>
      <w:r>
        <w:rPr>
          <w:sz w:val="12"/>
        </w:rPr>
        <w:t>December</w:t>
      </w:r>
      <w:r>
        <w:rPr>
          <w:spacing w:val="5"/>
          <w:sz w:val="12"/>
        </w:rPr>
        <w:t> </w:t>
      </w:r>
      <w:r>
        <w:rPr>
          <w:spacing w:val="-4"/>
          <w:sz w:val="12"/>
        </w:rPr>
        <w:t>2020</w:t>
      </w:r>
    </w:p>
    <w:p>
      <w:pPr>
        <w:spacing w:line="240" w:lineRule="auto" w:before="0"/>
        <w:rPr>
          <w:sz w:val="12"/>
        </w:rPr>
      </w:pPr>
    </w:p>
    <w:p>
      <w:pPr>
        <w:spacing w:line="240" w:lineRule="auto" w:before="111"/>
        <w:rPr>
          <w:sz w:val="12"/>
        </w:rPr>
      </w:pPr>
    </w:p>
    <w:p>
      <w:pPr>
        <w:pStyle w:val="ListParagraph"/>
        <w:numPr>
          <w:ilvl w:val="1"/>
          <w:numId w:val="13"/>
        </w:numPr>
        <w:tabs>
          <w:tab w:pos="744" w:val="left" w:leader="none"/>
          <w:tab w:pos="5889" w:val="left" w:leader="none"/>
          <w:tab w:pos="7824" w:val="left" w:leader="none"/>
        </w:tabs>
        <w:spacing w:line="240" w:lineRule="auto" w:before="0" w:after="0"/>
        <w:ind w:left="744" w:right="0" w:hanging="606"/>
        <w:jc w:val="left"/>
        <w:rPr>
          <w:b/>
          <w:color w:val="0070C0"/>
          <w:sz w:val="16"/>
        </w:rPr>
      </w:pPr>
      <w:r>
        <w:rPr>
          <w:b/>
          <w:color w:val="0070C0"/>
          <w:sz w:val="16"/>
        </w:rPr>
        <w:t>Other</w:t>
      </w:r>
      <w:r>
        <w:rPr>
          <w:b/>
          <w:color w:val="0070C0"/>
          <w:spacing w:val="9"/>
          <w:sz w:val="16"/>
        </w:rPr>
        <w:t> </w:t>
      </w:r>
      <w:r>
        <w:rPr>
          <w:b/>
          <w:color w:val="0070C0"/>
          <w:sz w:val="16"/>
        </w:rPr>
        <w:t>financial</w:t>
      </w:r>
      <w:r>
        <w:rPr>
          <w:b/>
          <w:color w:val="0070C0"/>
          <w:spacing w:val="9"/>
          <w:sz w:val="16"/>
        </w:rPr>
        <w:t> </w:t>
      </w:r>
      <w:r>
        <w:rPr>
          <w:b/>
          <w:color w:val="0070C0"/>
          <w:spacing w:val="-2"/>
          <w:sz w:val="16"/>
        </w:rPr>
        <w:t>assets</w:t>
      </w:r>
      <w:r>
        <w:rPr>
          <w:b/>
          <w:color w:val="0070C0"/>
          <w:sz w:val="16"/>
        </w:rPr>
        <w:tab/>
      </w:r>
      <w:r>
        <w:rPr>
          <w:b/>
          <w:spacing w:val="-2"/>
          <w:sz w:val="13"/>
        </w:rPr>
        <w:t>Consolidated</w:t>
      </w:r>
      <w:r>
        <w:rPr>
          <w:b/>
          <w:sz w:val="13"/>
        </w:rPr>
        <w:tab/>
      </w:r>
      <w:r>
        <w:rPr>
          <w:b/>
          <w:spacing w:val="-2"/>
          <w:sz w:val="13"/>
        </w:rPr>
        <w:t>University</w:t>
      </w:r>
    </w:p>
    <w:tbl>
      <w:tblPr>
        <w:tblW w:w="0" w:type="auto"/>
        <w:jc w:val="left"/>
        <w:tblInd w:w="7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694"/>
        <w:gridCol w:w="1051"/>
        <w:gridCol w:w="916"/>
        <w:gridCol w:w="916"/>
        <w:gridCol w:w="783"/>
      </w:tblGrid>
      <w:tr>
        <w:trPr>
          <w:trHeight w:val="358" w:hRule="atLeast"/>
        </w:trPr>
        <w:tc>
          <w:tcPr>
            <w:tcW w:w="4694" w:type="dxa"/>
          </w:tcPr>
          <w:p>
            <w:pPr>
              <w:pStyle w:val="TableParagraph"/>
              <w:rPr>
                <w:rFonts w:ascii="Times New Roman"/>
                <w:sz w:val="12"/>
              </w:rPr>
            </w:pPr>
          </w:p>
        </w:tc>
        <w:tc>
          <w:tcPr>
            <w:tcW w:w="1051" w:type="dxa"/>
            <w:tcBorders>
              <w:bottom w:val="single" w:sz="6" w:space="0" w:color="000000"/>
            </w:tcBorders>
          </w:tcPr>
          <w:p>
            <w:pPr>
              <w:pStyle w:val="TableParagraph"/>
              <w:spacing w:before="23"/>
              <w:ind w:left="312"/>
              <w:rPr>
                <w:b/>
                <w:sz w:val="13"/>
              </w:rPr>
            </w:pPr>
            <w:r>
              <w:rPr>
                <w:b/>
                <w:spacing w:val="-4"/>
                <w:w w:val="105"/>
                <w:sz w:val="13"/>
              </w:rPr>
              <w:t>2020</w:t>
            </w:r>
          </w:p>
          <w:p>
            <w:pPr>
              <w:pStyle w:val="TableParagraph"/>
              <w:spacing w:line="147" w:lineRule="exact" w:before="18"/>
              <w:ind w:left="297"/>
              <w:rPr>
                <w:b/>
                <w:sz w:val="13"/>
              </w:rPr>
            </w:pPr>
            <w:r>
              <w:rPr>
                <w:b/>
                <w:spacing w:val="-2"/>
                <w:w w:val="105"/>
                <w:sz w:val="13"/>
              </w:rPr>
              <w:t>$'000</w:t>
            </w:r>
          </w:p>
        </w:tc>
        <w:tc>
          <w:tcPr>
            <w:tcW w:w="916" w:type="dxa"/>
            <w:tcBorders>
              <w:bottom w:val="single" w:sz="6" w:space="0" w:color="000000"/>
            </w:tcBorders>
          </w:tcPr>
          <w:p>
            <w:pPr>
              <w:pStyle w:val="TableParagraph"/>
              <w:spacing w:before="23"/>
              <w:ind w:left="177"/>
              <w:rPr>
                <w:b/>
                <w:sz w:val="13"/>
              </w:rPr>
            </w:pPr>
            <w:r>
              <w:rPr>
                <w:b/>
                <w:spacing w:val="-4"/>
                <w:w w:val="105"/>
                <w:sz w:val="13"/>
              </w:rPr>
              <w:t>2019</w:t>
            </w:r>
          </w:p>
          <w:p>
            <w:pPr>
              <w:pStyle w:val="TableParagraph"/>
              <w:spacing w:line="147" w:lineRule="exact" w:before="18"/>
              <w:ind w:left="162"/>
              <w:rPr>
                <w:b/>
                <w:sz w:val="13"/>
              </w:rPr>
            </w:pPr>
            <w:r>
              <w:rPr>
                <w:b/>
                <w:spacing w:val="-2"/>
                <w:w w:val="105"/>
                <w:sz w:val="13"/>
              </w:rPr>
              <w:t>$'000</w:t>
            </w:r>
          </w:p>
        </w:tc>
        <w:tc>
          <w:tcPr>
            <w:tcW w:w="916" w:type="dxa"/>
            <w:tcBorders>
              <w:bottom w:val="single" w:sz="6" w:space="0" w:color="000000"/>
            </w:tcBorders>
          </w:tcPr>
          <w:p>
            <w:pPr>
              <w:pStyle w:val="TableParagraph"/>
              <w:spacing w:before="23"/>
              <w:ind w:left="177"/>
              <w:rPr>
                <w:b/>
                <w:sz w:val="13"/>
              </w:rPr>
            </w:pPr>
            <w:r>
              <w:rPr>
                <w:b/>
                <w:spacing w:val="-4"/>
                <w:w w:val="105"/>
                <w:sz w:val="13"/>
              </w:rPr>
              <w:t>2020</w:t>
            </w:r>
          </w:p>
          <w:p>
            <w:pPr>
              <w:pStyle w:val="TableParagraph"/>
              <w:spacing w:line="147" w:lineRule="exact" w:before="18"/>
              <w:ind w:left="162"/>
              <w:rPr>
                <w:b/>
                <w:sz w:val="13"/>
              </w:rPr>
            </w:pPr>
            <w:r>
              <w:rPr>
                <w:b/>
                <w:spacing w:val="-2"/>
                <w:w w:val="105"/>
                <w:sz w:val="13"/>
              </w:rPr>
              <w:t>$'000</w:t>
            </w:r>
          </w:p>
        </w:tc>
        <w:tc>
          <w:tcPr>
            <w:tcW w:w="783" w:type="dxa"/>
            <w:tcBorders>
              <w:bottom w:val="single" w:sz="6" w:space="0" w:color="000000"/>
            </w:tcBorders>
          </w:tcPr>
          <w:p>
            <w:pPr>
              <w:pStyle w:val="TableParagraph"/>
              <w:spacing w:before="23"/>
              <w:ind w:left="177"/>
              <w:rPr>
                <w:b/>
                <w:sz w:val="13"/>
              </w:rPr>
            </w:pPr>
            <w:r>
              <w:rPr>
                <w:b/>
                <w:spacing w:val="-4"/>
                <w:w w:val="105"/>
                <w:sz w:val="13"/>
              </w:rPr>
              <w:t>2019</w:t>
            </w:r>
          </w:p>
          <w:p>
            <w:pPr>
              <w:pStyle w:val="TableParagraph"/>
              <w:spacing w:line="147" w:lineRule="exact" w:before="18"/>
              <w:ind w:left="162"/>
              <w:rPr>
                <w:b/>
                <w:sz w:val="13"/>
              </w:rPr>
            </w:pPr>
            <w:r>
              <w:rPr>
                <w:b/>
                <w:spacing w:val="-2"/>
                <w:w w:val="105"/>
                <w:sz w:val="13"/>
              </w:rPr>
              <w:t>$'000</w:t>
            </w:r>
          </w:p>
        </w:tc>
      </w:tr>
      <w:tr>
        <w:trPr>
          <w:trHeight w:val="342" w:hRule="atLeast"/>
        </w:trPr>
        <w:tc>
          <w:tcPr>
            <w:tcW w:w="4694" w:type="dxa"/>
          </w:tcPr>
          <w:p>
            <w:pPr>
              <w:pStyle w:val="TableParagraph"/>
              <w:spacing w:line="135" w:lineRule="exact"/>
              <w:ind w:left="34"/>
              <w:rPr>
                <w:b/>
                <w:sz w:val="13"/>
              </w:rPr>
            </w:pPr>
            <w:r>
              <w:rPr>
                <w:b/>
                <w:w w:val="105"/>
                <w:sz w:val="13"/>
              </w:rPr>
              <w:t>Non-</w:t>
            </w:r>
            <w:r>
              <w:rPr>
                <w:b/>
                <w:spacing w:val="-2"/>
                <w:w w:val="105"/>
                <w:sz w:val="13"/>
              </w:rPr>
              <w:t>current</w:t>
            </w:r>
          </w:p>
          <w:p>
            <w:pPr>
              <w:pStyle w:val="TableParagraph"/>
              <w:spacing w:before="33"/>
              <w:ind w:left="34"/>
              <w:rPr>
                <w:sz w:val="13"/>
              </w:rPr>
            </w:pPr>
            <w:r>
              <w:rPr>
                <w:w w:val="105"/>
                <w:sz w:val="13"/>
              </w:rPr>
              <w:t>Other</w:t>
            </w:r>
            <w:r>
              <w:rPr>
                <w:spacing w:val="-5"/>
                <w:w w:val="105"/>
                <w:sz w:val="13"/>
              </w:rPr>
              <w:t> </w:t>
            </w:r>
            <w:r>
              <w:rPr>
                <w:w w:val="105"/>
                <w:sz w:val="13"/>
              </w:rPr>
              <w:t>financial</w:t>
            </w:r>
            <w:r>
              <w:rPr>
                <w:spacing w:val="-5"/>
                <w:w w:val="105"/>
                <w:sz w:val="13"/>
              </w:rPr>
              <w:t> </w:t>
            </w:r>
            <w:r>
              <w:rPr>
                <w:w w:val="105"/>
                <w:sz w:val="13"/>
              </w:rPr>
              <w:t>assets</w:t>
            </w:r>
            <w:r>
              <w:rPr>
                <w:spacing w:val="-5"/>
                <w:w w:val="105"/>
                <w:sz w:val="13"/>
              </w:rPr>
              <w:t> </w:t>
            </w:r>
            <w:r>
              <w:rPr>
                <w:w w:val="105"/>
                <w:sz w:val="13"/>
              </w:rPr>
              <w:t>at</w:t>
            </w:r>
            <w:r>
              <w:rPr>
                <w:spacing w:val="-7"/>
                <w:w w:val="105"/>
                <w:sz w:val="13"/>
              </w:rPr>
              <w:t> </w:t>
            </w:r>
            <w:r>
              <w:rPr>
                <w:w w:val="105"/>
                <w:sz w:val="13"/>
              </w:rPr>
              <w:t>fair</w:t>
            </w:r>
            <w:r>
              <w:rPr>
                <w:spacing w:val="-4"/>
                <w:w w:val="105"/>
                <w:sz w:val="13"/>
              </w:rPr>
              <w:t> </w:t>
            </w:r>
            <w:r>
              <w:rPr>
                <w:w w:val="105"/>
                <w:sz w:val="13"/>
              </w:rPr>
              <w:t>value</w:t>
            </w:r>
            <w:r>
              <w:rPr>
                <w:spacing w:val="-6"/>
                <w:w w:val="105"/>
                <w:sz w:val="13"/>
              </w:rPr>
              <w:t> </w:t>
            </w:r>
            <w:r>
              <w:rPr>
                <w:w w:val="105"/>
                <w:sz w:val="13"/>
              </w:rPr>
              <w:t>through</w:t>
            </w:r>
            <w:r>
              <w:rPr>
                <w:spacing w:val="-6"/>
                <w:w w:val="105"/>
                <w:sz w:val="13"/>
              </w:rPr>
              <w:t> </w:t>
            </w:r>
            <w:r>
              <w:rPr>
                <w:w w:val="105"/>
                <w:sz w:val="13"/>
              </w:rPr>
              <w:t>profit</w:t>
            </w:r>
            <w:r>
              <w:rPr>
                <w:spacing w:val="-6"/>
                <w:w w:val="105"/>
                <w:sz w:val="13"/>
              </w:rPr>
              <w:t> </w:t>
            </w:r>
            <w:r>
              <w:rPr>
                <w:w w:val="105"/>
                <w:sz w:val="13"/>
              </w:rPr>
              <w:t>or</w:t>
            </w:r>
            <w:r>
              <w:rPr>
                <w:spacing w:val="-5"/>
                <w:w w:val="105"/>
                <w:sz w:val="13"/>
              </w:rPr>
              <w:t> </w:t>
            </w:r>
            <w:r>
              <w:rPr>
                <w:spacing w:val="-4"/>
                <w:w w:val="105"/>
                <w:sz w:val="13"/>
              </w:rPr>
              <w:t>loss</w:t>
            </w:r>
            <w:r>
              <w:rPr>
                <w:spacing w:val="-4"/>
                <w:w w:val="105"/>
                <w:sz w:val="13"/>
                <w:vertAlign w:val="superscript"/>
              </w:rPr>
              <w:t>#</w:t>
            </w:r>
          </w:p>
        </w:tc>
        <w:tc>
          <w:tcPr>
            <w:tcW w:w="1051" w:type="dxa"/>
            <w:tcBorders>
              <w:top w:val="single" w:sz="6" w:space="0" w:color="000000"/>
            </w:tcBorders>
          </w:tcPr>
          <w:p>
            <w:pPr>
              <w:pStyle w:val="TableParagraph"/>
              <w:spacing w:before="23"/>
              <w:rPr>
                <w:b/>
                <w:sz w:val="13"/>
              </w:rPr>
            </w:pPr>
          </w:p>
          <w:p>
            <w:pPr>
              <w:pStyle w:val="TableParagraph"/>
              <w:ind w:right="206"/>
              <w:jc w:val="right"/>
              <w:rPr>
                <w:sz w:val="13"/>
              </w:rPr>
            </w:pPr>
            <w:r>
              <w:rPr>
                <w:spacing w:val="-2"/>
                <w:w w:val="105"/>
                <w:sz w:val="13"/>
              </w:rPr>
              <w:t>939,283</w:t>
            </w:r>
          </w:p>
        </w:tc>
        <w:tc>
          <w:tcPr>
            <w:tcW w:w="916" w:type="dxa"/>
            <w:tcBorders>
              <w:top w:val="single" w:sz="6" w:space="0" w:color="000000"/>
            </w:tcBorders>
          </w:tcPr>
          <w:p>
            <w:pPr>
              <w:pStyle w:val="TableParagraph"/>
              <w:spacing w:before="23"/>
              <w:rPr>
                <w:b/>
                <w:sz w:val="13"/>
              </w:rPr>
            </w:pPr>
          </w:p>
          <w:p>
            <w:pPr>
              <w:pStyle w:val="TableParagraph"/>
              <w:ind w:right="206"/>
              <w:jc w:val="right"/>
              <w:rPr>
                <w:sz w:val="13"/>
              </w:rPr>
            </w:pPr>
            <w:r>
              <w:rPr>
                <w:spacing w:val="-2"/>
                <w:w w:val="105"/>
                <w:sz w:val="13"/>
              </w:rPr>
              <w:t>849,142</w:t>
            </w:r>
          </w:p>
        </w:tc>
        <w:tc>
          <w:tcPr>
            <w:tcW w:w="916" w:type="dxa"/>
            <w:tcBorders>
              <w:top w:val="single" w:sz="6" w:space="0" w:color="000000"/>
            </w:tcBorders>
          </w:tcPr>
          <w:p>
            <w:pPr>
              <w:pStyle w:val="TableParagraph"/>
              <w:spacing w:before="23"/>
              <w:rPr>
                <w:b/>
                <w:sz w:val="13"/>
              </w:rPr>
            </w:pPr>
          </w:p>
          <w:p>
            <w:pPr>
              <w:pStyle w:val="TableParagraph"/>
              <w:ind w:right="206"/>
              <w:jc w:val="right"/>
              <w:rPr>
                <w:sz w:val="13"/>
              </w:rPr>
            </w:pPr>
            <w:r>
              <w:rPr>
                <w:spacing w:val="-2"/>
                <w:w w:val="105"/>
                <w:sz w:val="13"/>
              </w:rPr>
              <w:t>938,244</w:t>
            </w:r>
          </w:p>
        </w:tc>
        <w:tc>
          <w:tcPr>
            <w:tcW w:w="783" w:type="dxa"/>
            <w:tcBorders>
              <w:top w:val="single" w:sz="6" w:space="0" w:color="000000"/>
            </w:tcBorders>
          </w:tcPr>
          <w:p>
            <w:pPr>
              <w:pStyle w:val="TableParagraph"/>
              <w:spacing w:before="23"/>
              <w:rPr>
                <w:b/>
                <w:sz w:val="13"/>
              </w:rPr>
            </w:pPr>
          </w:p>
          <w:p>
            <w:pPr>
              <w:pStyle w:val="TableParagraph"/>
              <w:ind w:right="73"/>
              <w:jc w:val="right"/>
              <w:rPr>
                <w:sz w:val="13"/>
              </w:rPr>
            </w:pPr>
            <w:r>
              <w:rPr>
                <w:spacing w:val="-2"/>
                <w:w w:val="105"/>
                <w:sz w:val="13"/>
              </w:rPr>
              <w:t>848,124</w:t>
            </w:r>
          </w:p>
        </w:tc>
      </w:tr>
      <w:tr>
        <w:trPr>
          <w:trHeight w:val="169" w:hRule="atLeast"/>
        </w:trPr>
        <w:tc>
          <w:tcPr>
            <w:tcW w:w="4694" w:type="dxa"/>
          </w:tcPr>
          <w:p>
            <w:pPr>
              <w:pStyle w:val="TableParagraph"/>
              <w:spacing w:line="143" w:lineRule="exact"/>
              <w:ind w:left="34"/>
              <w:rPr>
                <w:sz w:val="13"/>
              </w:rPr>
            </w:pPr>
            <w:r>
              <w:rPr>
                <w:w w:val="105"/>
                <w:sz w:val="13"/>
              </w:rPr>
              <w:t>Other</w:t>
            </w:r>
            <w:r>
              <w:rPr>
                <w:spacing w:val="-6"/>
                <w:w w:val="105"/>
                <w:sz w:val="13"/>
              </w:rPr>
              <w:t> </w:t>
            </w:r>
            <w:r>
              <w:rPr>
                <w:w w:val="105"/>
                <w:sz w:val="13"/>
              </w:rPr>
              <w:t>financial</w:t>
            </w:r>
            <w:r>
              <w:rPr>
                <w:spacing w:val="-7"/>
                <w:w w:val="105"/>
                <w:sz w:val="13"/>
              </w:rPr>
              <w:t> </w:t>
            </w:r>
            <w:r>
              <w:rPr>
                <w:w w:val="105"/>
                <w:sz w:val="13"/>
              </w:rPr>
              <w:t>assets</w:t>
            </w:r>
            <w:r>
              <w:rPr>
                <w:spacing w:val="-6"/>
                <w:w w:val="105"/>
                <w:sz w:val="13"/>
              </w:rPr>
              <w:t> </w:t>
            </w:r>
            <w:r>
              <w:rPr>
                <w:w w:val="105"/>
                <w:sz w:val="13"/>
              </w:rPr>
              <w:t>at</w:t>
            </w:r>
            <w:r>
              <w:rPr>
                <w:spacing w:val="-7"/>
                <w:w w:val="105"/>
                <w:sz w:val="13"/>
              </w:rPr>
              <w:t> </w:t>
            </w:r>
            <w:r>
              <w:rPr>
                <w:w w:val="105"/>
                <w:sz w:val="13"/>
              </w:rPr>
              <w:t>amortised</w:t>
            </w:r>
            <w:r>
              <w:rPr>
                <w:spacing w:val="-8"/>
                <w:w w:val="105"/>
                <w:sz w:val="13"/>
              </w:rPr>
              <w:t> </w:t>
            </w:r>
            <w:r>
              <w:rPr>
                <w:spacing w:val="-4"/>
                <w:w w:val="105"/>
                <w:sz w:val="13"/>
              </w:rPr>
              <w:t>cost</w:t>
            </w:r>
          </w:p>
        </w:tc>
        <w:tc>
          <w:tcPr>
            <w:tcW w:w="1051" w:type="dxa"/>
          </w:tcPr>
          <w:p>
            <w:pPr>
              <w:pStyle w:val="TableParagraph"/>
              <w:spacing w:line="148" w:lineRule="exact"/>
              <w:ind w:right="206"/>
              <w:jc w:val="right"/>
              <w:rPr>
                <w:sz w:val="13"/>
              </w:rPr>
            </w:pPr>
            <w:r>
              <w:rPr>
                <w:spacing w:val="-2"/>
                <w:w w:val="105"/>
                <w:sz w:val="13"/>
              </w:rPr>
              <w:t>1,314</w:t>
            </w:r>
          </w:p>
        </w:tc>
        <w:tc>
          <w:tcPr>
            <w:tcW w:w="916" w:type="dxa"/>
          </w:tcPr>
          <w:p>
            <w:pPr>
              <w:pStyle w:val="TableParagraph"/>
              <w:spacing w:line="148" w:lineRule="exact"/>
              <w:ind w:right="206"/>
              <w:jc w:val="right"/>
              <w:rPr>
                <w:sz w:val="13"/>
              </w:rPr>
            </w:pPr>
            <w:r>
              <w:rPr>
                <w:spacing w:val="-2"/>
                <w:w w:val="105"/>
                <w:sz w:val="13"/>
              </w:rPr>
              <w:t>1,351</w:t>
            </w:r>
          </w:p>
        </w:tc>
        <w:tc>
          <w:tcPr>
            <w:tcW w:w="916" w:type="dxa"/>
          </w:tcPr>
          <w:p>
            <w:pPr>
              <w:pStyle w:val="TableParagraph"/>
              <w:spacing w:line="148" w:lineRule="exact"/>
              <w:ind w:right="206"/>
              <w:jc w:val="right"/>
              <w:rPr>
                <w:sz w:val="13"/>
              </w:rPr>
            </w:pPr>
            <w:r>
              <w:rPr>
                <w:spacing w:val="-2"/>
                <w:w w:val="105"/>
                <w:sz w:val="13"/>
              </w:rPr>
              <w:t>1,314</w:t>
            </w:r>
          </w:p>
        </w:tc>
        <w:tc>
          <w:tcPr>
            <w:tcW w:w="783" w:type="dxa"/>
          </w:tcPr>
          <w:p>
            <w:pPr>
              <w:pStyle w:val="TableParagraph"/>
              <w:spacing w:line="148" w:lineRule="exact"/>
              <w:ind w:right="73"/>
              <w:jc w:val="right"/>
              <w:rPr>
                <w:sz w:val="13"/>
              </w:rPr>
            </w:pPr>
            <w:r>
              <w:rPr>
                <w:spacing w:val="-2"/>
                <w:w w:val="105"/>
                <w:sz w:val="13"/>
              </w:rPr>
              <w:t>1,351</w:t>
            </w:r>
          </w:p>
        </w:tc>
      </w:tr>
      <w:tr>
        <w:trPr>
          <w:trHeight w:val="163" w:hRule="atLeast"/>
        </w:trPr>
        <w:tc>
          <w:tcPr>
            <w:tcW w:w="4694" w:type="dxa"/>
          </w:tcPr>
          <w:p>
            <w:pPr>
              <w:pStyle w:val="TableParagraph"/>
              <w:spacing w:line="144" w:lineRule="exact"/>
              <w:ind w:left="34"/>
              <w:rPr>
                <w:sz w:val="13"/>
              </w:rPr>
            </w:pPr>
            <w:r>
              <w:rPr>
                <w:w w:val="105"/>
                <w:sz w:val="13"/>
              </w:rPr>
              <w:t>Less:</w:t>
            </w:r>
            <w:r>
              <w:rPr>
                <w:spacing w:val="-7"/>
                <w:w w:val="105"/>
                <w:sz w:val="13"/>
              </w:rPr>
              <w:t> </w:t>
            </w:r>
            <w:r>
              <w:rPr>
                <w:spacing w:val="-2"/>
                <w:w w:val="105"/>
                <w:sz w:val="13"/>
              </w:rPr>
              <w:t>Impairment</w:t>
            </w:r>
          </w:p>
        </w:tc>
        <w:tc>
          <w:tcPr>
            <w:tcW w:w="1051" w:type="dxa"/>
            <w:tcBorders>
              <w:bottom w:val="single" w:sz="6" w:space="0" w:color="000000"/>
            </w:tcBorders>
          </w:tcPr>
          <w:p>
            <w:pPr>
              <w:pStyle w:val="TableParagraph"/>
              <w:spacing w:line="144" w:lineRule="exact"/>
              <w:ind w:right="162"/>
              <w:jc w:val="right"/>
              <w:rPr>
                <w:sz w:val="13"/>
              </w:rPr>
            </w:pPr>
            <w:r>
              <w:rPr>
                <w:spacing w:val="-2"/>
                <w:w w:val="105"/>
                <w:sz w:val="13"/>
              </w:rPr>
              <w:t>(449)</w:t>
            </w:r>
          </w:p>
        </w:tc>
        <w:tc>
          <w:tcPr>
            <w:tcW w:w="916" w:type="dxa"/>
            <w:tcBorders>
              <w:bottom w:val="single" w:sz="6" w:space="0" w:color="000000"/>
            </w:tcBorders>
          </w:tcPr>
          <w:p>
            <w:pPr>
              <w:pStyle w:val="TableParagraph"/>
              <w:spacing w:line="144" w:lineRule="exact"/>
              <w:ind w:right="162"/>
              <w:jc w:val="right"/>
              <w:rPr>
                <w:sz w:val="13"/>
              </w:rPr>
            </w:pPr>
            <w:r>
              <w:rPr>
                <w:spacing w:val="-2"/>
                <w:w w:val="105"/>
                <w:sz w:val="13"/>
              </w:rPr>
              <w:t>(449)</w:t>
            </w:r>
          </w:p>
        </w:tc>
        <w:tc>
          <w:tcPr>
            <w:tcW w:w="916" w:type="dxa"/>
            <w:tcBorders>
              <w:bottom w:val="single" w:sz="6" w:space="0" w:color="000000"/>
            </w:tcBorders>
          </w:tcPr>
          <w:p>
            <w:pPr>
              <w:pStyle w:val="TableParagraph"/>
              <w:spacing w:line="144" w:lineRule="exact"/>
              <w:ind w:right="162"/>
              <w:jc w:val="right"/>
              <w:rPr>
                <w:sz w:val="13"/>
              </w:rPr>
            </w:pPr>
            <w:r>
              <w:rPr>
                <w:spacing w:val="-2"/>
                <w:w w:val="105"/>
                <w:sz w:val="13"/>
              </w:rPr>
              <w:t>(449)</w:t>
            </w:r>
          </w:p>
        </w:tc>
        <w:tc>
          <w:tcPr>
            <w:tcW w:w="783" w:type="dxa"/>
            <w:tcBorders>
              <w:bottom w:val="single" w:sz="6" w:space="0" w:color="000000"/>
            </w:tcBorders>
          </w:tcPr>
          <w:p>
            <w:pPr>
              <w:pStyle w:val="TableParagraph"/>
              <w:spacing w:line="144" w:lineRule="exact"/>
              <w:ind w:right="29"/>
              <w:jc w:val="right"/>
              <w:rPr>
                <w:sz w:val="13"/>
              </w:rPr>
            </w:pPr>
            <w:r>
              <w:rPr>
                <w:spacing w:val="-2"/>
                <w:w w:val="105"/>
                <w:sz w:val="13"/>
              </w:rPr>
              <w:t>(449)</w:t>
            </w:r>
          </w:p>
        </w:tc>
      </w:tr>
      <w:tr>
        <w:trPr>
          <w:trHeight w:val="152" w:hRule="atLeast"/>
        </w:trPr>
        <w:tc>
          <w:tcPr>
            <w:tcW w:w="4694" w:type="dxa"/>
          </w:tcPr>
          <w:p>
            <w:pPr>
              <w:pStyle w:val="TableParagraph"/>
              <w:spacing w:line="133" w:lineRule="exact"/>
              <w:ind w:left="34"/>
              <w:rPr>
                <w:b/>
                <w:sz w:val="13"/>
              </w:rPr>
            </w:pPr>
            <w:r>
              <w:rPr>
                <w:b/>
                <w:w w:val="105"/>
                <w:sz w:val="13"/>
              </w:rPr>
              <w:t>Total</w:t>
            </w:r>
            <w:r>
              <w:rPr>
                <w:b/>
                <w:spacing w:val="-7"/>
                <w:w w:val="105"/>
                <w:sz w:val="13"/>
              </w:rPr>
              <w:t> </w:t>
            </w:r>
            <w:r>
              <w:rPr>
                <w:b/>
                <w:w w:val="105"/>
                <w:sz w:val="13"/>
              </w:rPr>
              <w:t>non-current</w:t>
            </w:r>
            <w:r>
              <w:rPr>
                <w:b/>
                <w:spacing w:val="-4"/>
                <w:w w:val="105"/>
                <w:sz w:val="13"/>
              </w:rPr>
              <w:t> </w:t>
            </w:r>
            <w:r>
              <w:rPr>
                <w:b/>
                <w:w w:val="105"/>
                <w:sz w:val="13"/>
              </w:rPr>
              <w:t>other</w:t>
            </w:r>
            <w:r>
              <w:rPr>
                <w:b/>
                <w:spacing w:val="-5"/>
                <w:w w:val="105"/>
                <w:sz w:val="13"/>
              </w:rPr>
              <w:t> </w:t>
            </w:r>
            <w:r>
              <w:rPr>
                <w:b/>
                <w:w w:val="105"/>
                <w:sz w:val="13"/>
              </w:rPr>
              <w:t>financial</w:t>
            </w:r>
            <w:r>
              <w:rPr>
                <w:b/>
                <w:spacing w:val="-7"/>
                <w:w w:val="105"/>
                <w:sz w:val="13"/>
              </w:rPr>
              <w:t> </w:t>
            </w:r>
            <w:r>
              <w:rPr>
                <w:b/>
                <w:spacing w:val="-2"/>
                <w:w w:val="105"/>
                <w:sz w:val="13"/>
              </w:rPr>
              <w:t>assets</w:t>
            </w:r>
          </w:p>
        </w:tc>
        <w:tc>
          <w:tcPr>
            <w:tcW w:w="1051" w:type="dxa"/>
            <w:tcBorders>
              <w:top w:val="single" w:sz="6" w:space="0" w:color="000000"/>
              <w:bottom w:val="single" w:sz="6" w:space="0" w:color="000000"/>
            </w:tcBorders>
          </w:tcPr>
          <w:p>
            <w:pPr>
              <w:pStyle w:val="TableParagraph"/>
              <w:spacing w:line="133" w:lineRule="exact"/>
              <w:ind w:right="206"/>
              <w:jc w:val="right"/>
              <w:rPr>
                <w:b/>
                <w:sz w:val="13"/>
              </w:rPr>
            </w:pPr>
            <w:r>
              <w:rPr>
                <w:b/>
                <w:spacing w:val="-2"/>
                <w:w w:val="105"/>
                <w:sz w:val="13"/>
              </w:rPr>
              <w:t>940,148</w:t>
            </w:r>
          </w:p>
        </w:tc>
        <w:tc>
          <w:tcPr>
            <w:tcW w:w="916" w:type="dxa"/>
            <w:tcBorders>
              <w:top w:val="single" w:sz="6" w:space="0" w:color="000000"/>
              <w:bottom w:val="single" w:sz="6" w:space="0" w:color="000000"/>
            </w:tcBorders>
          </w:tcPr>
          <w:p>
            <w:pPr>
              <w:pStyle w:val="TableParagraph"/>
              <w:spacing w:line="133" w:lineRule="exact"/>
              <w:ind w:right="206"/>
              <w:jc w:val="right"/>
              <w:rPr>
                <w:b/>
                <w:sz w:val="13"/>
              </w:rPr>
            </w:pPr>
            <w:r>
              <w:rPr>
                <w:b/>
                <w:spacing w:val="-2"/>
                <w:w w:val="105"/>
                <w:sz w:val="13"/>
              </w:rPr>
              <w:t>850,044</w:t>
            </w:r>
          </w:p>
        </w:tc>
        <w:tc>
          <w:tcPr>
            <w:tcW w:w="916" w:type="dxa"/>
            <w:tcBorders>
              <w:top w:val="single" w:sz="6" w:space="0" w:color="000000"/>
              <w:bottom w:val="single" w:sz="6" w:space="0" w:color="000000"/>
            </w:tcBorders>
          </w:tcPr>
          <w:p>
            <w:pPr>
              <w:pStyle w:val="TableParagraph"/>
              <w:spacing w:line="133" w:lineRule="exact"/>
              <w:ind w:right="206"/>
              <w:jc w:val="right"/>
              <w:rPr>
                <w:b/>
                <w:sz w:val="13"/>
              </w:rPr>
            </w:pPr>
            <w:r>
              <w:rPr>
                <w:b/>
                <w:spacing w:val="-2"/>
                <w:w w:val="105"/>
                <w:sz w:val="13"/>
              </w:rPr>
              <w:t>939,109</w:t>
            </w:r>
          </w:p>
        </w:tc>
        <w:tc>
          <w:tcPr>
            <w:tcW w:w="783" w:type="dxa"/>
            <w:tcBorders>
              <w:top w:val="single" w:sz="6" w:space="0" w:color="000000"/>
              <w:bottom w:val="single" w:sz="6" w:space="0" w:color="000000"/>
            </w:tcBorders>
          </w:tcPr>
          <w:p>
            <w:pPr>
              <w:pStyle w:val="TableParagraph"/>
              <w:spacing w:line="133" w:lineRule="exact"/>
              <w:ind w:right="73"/>
              <w:jc w:val="right"/>
              <w:rPr>
                <w:b/>
                <w:sz w:val="13"/>
              </w:rPr>
            </w:pPr>
            <w:r>
              <w:rPr>
                <w:b/>
                <w:spacing w:val="-2"/>
                <w:w w:val="105"/>
                <w:sz w:val="13"/>
              </w:rPr>
              <w:t>849,026</w:t>
            </w:r>
          </w:p>
        </w:tc>
      </w:tr>
    </w:tbl>
    <w:p>
      <w:pPr>
        <w:spacing w:line="240" w:lineRule="auto" w:before="7"/>
        <w:rPr>
          <w:b/>
          <w:sz w:val="16"/>
        </w:rPr>
      </w:pPr>
    </w:p>
    <w:p>
      <w:pPr>
        <w:spacing w:line="273" w:lineRule="auto" w:before="0"/>
        <w:ind w:left="740" w:right="0" w:hanging="1"/>
        <w:jc w:val="left"/>
        <w:rPr>
          <w:sz w:val="13"/>
        </w:rPr>
      </w:pPr>
      <w:r>
        <w:rPr>
          <w:w w:val="105"/>
          <w:sz w:val="13"/>
          <w:vertAlign w:val="superscript"/>
        </w:rPr>
        <w:t>#</w:t>
      </w:r>
      <w:r>
        <w:rPr>
          <w:spacing w:val="26"/>
          <w:w w:val="105"/>
          <w:sz w:val="13"/>
          <w:vertAlign w:val="baseline"/>
        </w:rPr>
        <w:t> </w:t>
      </w:r>
      <w:r>
        <w:rPr>
          <w:w w:val="105"/>
          <w:sz w:val="13"/>
          <w:vertAlign w:val="baseline"/>
        </w:rPr>
        <w:t>Other</w:t>
      </w:r>
      <w:r>
        <w:rPr>
          <w:spacing w:val="39"/>
          <w:w w:val="105"/>
          <w:sz w:val="13"/>
          <w:vertAlign w:val="baseline"/>
        </w:rPr>
        <w:t> </w:t>
      </w:r>
      <w:r>
        <w:rPr>
          <w:w w:val="105"/>
          <w:sz w:val="13"/>
          <w:vertAlign w:val="baseline"/>
        </w:rPr>
        <w:t>financial</w:t>
      </w:r>
      <w:r>
        <w:rPr>
          <w:spacing w:val="38"/>
          <w:w w:val="105"/>
          <w:sz w:val="13"/>
          <w:vertAlign w:val="baseline"/>
        </w:rPr>
        <w:t> </w:t>
      </w:r>
      <w:r>
        <w:rPr>
          <w:w w:val="105"/>
          <w:sz w:val="13"/>
          <w:vertAlign w:val="baseline"/>
        </w:rPr>
        <w:t>assets</w:t>
      </w:r>
      <w:r>
        <w:rPr>
          <w:spacing w:val="38"/>
          <w:w w:val="105"/>
          <w:sz w:val="13"/>
          <w:vertAlign w:val="baseline"/>
        </w:rPr>
        <w:t> </w:t>
      </w:r>
      <w:r>
        <w:rPr>
          <w:w w:val="105"/>
          <w:sz w:val="13"/>
          <w:vertAlign w:val="baseline"/>
        </w:rPr>
        <w:t>recognised</w:t>
      </w:r>
      <w:r>
        <w:rPr>
          <w:spacing w:val="37"/>
          <w:w w:val="105"/>
          <w:sz w:val="13"/>
          <w:vertAlign w:val="baseline"/>
        </w:rPr>
        <w:t> </w:t>
      </w:r>
      <w:r>
        <w:rPr>
          <w:w w:val="105"/>
          <w:sz w:val="13"/>
          <w:vertAlign w:val="baseline"/>
        </w:rPr>
        <w:t>through</w:t>
      </w:r>
      <w:r>
        <w:rPr>
          <w:spacing w:val="37"/>
          <w:w w:val="105"/>
          <w:sz w:val="13"/>
          <w:vertAlign w:val="baseline"/>
        </w:rPr>
        <w:t> </w:t>
      </w:r>
      <w:r>
        <w:rPr>
          <w:w w:val="105"/>
          <w:sz w:val="13"/>
          <w:vertAlign w:val="baseline"/>
        </w:rPr>
        <w:t>profit</w:t>
      </w:r>
      <w:r>
        <w:rPr>
          <w:spacing w:val="37"/>
          <w:w w:val="105"/>
          <w:sz w:val="13"/>
          <w:vertAlign w:val="baseline"/>
        </w:rPr>
        <w:t> </w:t>
      </w:r>
      <w:r>
        <w:rPr>
          <w:w w:val="105"/>
          <w:sz w:val="13"/>
          <w:vertAlign w:val="baseline"/>
        </w:rPr>
        <w:t>or</w:t>
      </w:r>
      <w:r>
        <w:rPr>
          <w:spacing w:val="39"/>
          <w:w w:val="105"/>
          <w:sz w:val="13"/>
          <w:vertAlign w:val="baseline"/>
        </w:rPr>
        <w:t> </w:t>
      </w:r>
      <w:r>
        <w:rPr>
          <w:w w:val="105"/>
          <w:sz w:val="13"/>
          <w:vertAlign w:val="baseline"/>
        </w:rPr>
        <w:t>loss</w:t>
      </w:r>
      <w:r>
        <w:rPr>
          <w:spacing w:val="38"/>
          <w:w w:val="105"/>
          <w:sz w:val="13"/>
          <w:vertAlign w:val="baseline"/>
        </w:rPr>
        <w:t> </w:t>
      </w:r>
      <w:r>
        <w:rPr>
          <w:w w:val="105"/>
          <w:sz w:val="13"/>
          <w:vertAlign w:val="baseline"/>
        </w:rPr>
        <w:t>relates</w:t>
      </w:r>
      <w:r>
        <w:rPr>
          <w:spacing w:val="38"/>
          <w:w w:val="105"/>
          <w:sz w:val="13"/>
          <w:vertAlign w:val="baseline"/>
        </w:rPr>
        <w:t> </w:t>
      </w:r>
      <w:r>
        <w:rPr>
          <w:w w:val="105"/>
          <w:sz w:val="13"/>
          <w:vertAlign w:val="baseline"/>
        </w:rPr>
        <w:t>predominantly</w:t>
      </w:r>
      <w:r>
        <w:rPr>
          <w:spacing w:val="34"/>
          <w:w w:val="105"/>
          <w:sz w:val="13"/>
          <w:vertAlign w:val="baseline"/>
        </w:rPr>
        <w:t> </w:t>
      </w:r>
      <w:r>
        <w:rPr>
          <w:w w:val="105"/>
          <w:sz w:val="13"/>
          <w:vertAlign w:val="baseline"/>
        </w:rPr>
        <w:t>to</w:t>
      </w:r>
      <w:r>
        <w:rPr>
          <w:spacing w:val="37"/>
          <w:w w:val="105"/>
          <w:sz w:val="13"/>
          <w:vertAlign w:val="baseline"/>
        </w:rPr>
        <w:t> </w:t>
      </w:r>
      <w:r>
        <w:rPr>
          <w:w w:val="105"/>
          <w:sz w:val="13"/>
          <w:vertAlign w:val="baseline"/>
        </w:rPr>
        <w:t>the</w:t>
      </w:r>
      <w:r>
        <w:rPr>
          <w:spacing w:val="37"/>
          <w:w w:val="105"/>
          <w:sz w:val="13"/>
          <w:vertAlign w:val="baseline"/>
        </w:rPr>
        <w:t> </w:t>
      </w:r>
      <w:r>
        <w:rPr>
          <w:w w:val="105"/>
          <w:sz w:val="13"/>
          <w:vertAlign w:val="baseline"/>
        </w:rPr>
        <w:t>University</w:t>
      </w:r>
      <w:r>
        <w:rPr>
          <w:spacing w:val="35"/>
          <w:w w:val="105"/>
          <w:sz w:val="13"/>
          <w:vertAlign w:val="baseline"/>
        </w:rPr>
        <w:t> </w:t>
      </w:r>
      <w:r>
        <w:rPr>
          <w:w w:val="105"/>
          <w:sz w:val="13"/>
          <w:vertAlign w:val="baseline"/>
        </w:rPr>
        <w:t>investment</w:t>
      </w:r>
      <w:r>
        <w:rPr>
          <w:spacing w:val="37"/>
          <w:w w:val="105"/>
          <w:sz w:val="13"/>
          <w:vertAlign w:val="baseline"/>
        </w:rPr>
        <w:t> </w:t>
      </w:r>
      <w:r>
        <w:rPr>
          <w:w w:val="105"/>
          <w:sz w:val="13"/>
          <w:vertAlign w:val="baseline"/>
        </w:rPr>
        <w:t>portfolio</w:t>
      </w:r>
      <w:r>
        <w:rPr>
          <w:spacing w:val="39"/>
          <w:w w:val="105"/>
          <w:sz w:val="13"/>
          <w:vertAlign w:val="baseline"/>
        </w:rPr>
        <w:t> </w:t>
      </w:r>
      <w:r>
        <w:rPr>
          <w:w w:val="105"/>
          <w:sz w:val="13"/>
          <w:vertAlign w:val="baseline"/>
        </w:rPr>
        <w:t>and</w:t>
      </w:r>
      <w:r>
        <w:rPr>
          <w:spacing w:val="37"/>
          <w:w w:val="105"/>
          <w:sz w:val="13"/>
          <w:vertAlign w:val="baseline"/>
        </w:rPr>
        <w:t> </w:t>
      </w:r>
      <w:r>
        <w:rPr>
          <w:w w:val="105"/>
          <w:sz w:val="13"/>
          <w:vertAlign w:val="baseline"/>
        </w:rPr>
        <w:t>equity</w:t>
      </w:r>
      <w:r>
        <w:rPr>
          <w:spacing w:val="40"/>
          <w:w w:val="105"/>
          <w:sz w:val="13"/>
          <w:vertAlign w:val="baseline"/>
        </w:rPr>
        <w:t> </w:t>
      </w:r>
      <w:r>
        <w:rPr>
          <w:spacing w:val="-2"/>
          <w:w w:val="105"/>
          <w:sz w:val="13"/>
          <w:vertAlign w:val="baseline"/>
        </w:rPr>
        <w:t>instruments.</w:t>
      </w:r>
    </w:p>
    <w:p>
      <w:pPr>
        <w:spacing w:line="273" w:lineRule="auto" w:before="70"/>
        <w:ind w:left="740" w:right="268" w:hanging="1"/>
        <w:jc w:val="left"/>
        <w:rPr>
          <w:sz w:val="13"/>
        </w:rPr>
      </w:pPr>
      <w:r>
        <w:rPr>
          <w:w w:val="105"/>
          <w:sz w:val="13"/>
        </w:rPr>
        <w:t>Changes in fair values of other financial assets at fair value through profit or loss are recorded in other income in the income statement</w:t>
      </w:r>
      <w:r>
        <w:rPr>
          <w:spacing w:val="40"/>
          <w:w w:val="105"/>
          <w:sz w:val="13"/>
        </w:rPr>
        <w:t> </w:t>
      </w:r>
      <w:r>
        <w:rPr>
          <w:w w:val="105"/>
          <w:sz w:val="13"/>
        </w:rPr>
        <w:t>(note 2.4 Net investment revenue).</w:t>
      </w:r>
    </w:p>
    <w:p>
      <w:pPr>
        <w:spacing w:line="240" w:lineRule="auto" w:before="15"/>
        <w:rPr>
          <w:sz w:val="13"/>
        </w:rPr>
      </w:pPr>
    </w:p>
    <w:p>
      <w:pPr>
        <w:spacing w:before="0"/>
        <w:ind w:left="740" w:right="0" w:firstLine="0"/>
        <w:jc w:val="left"/>
        <w:rPr>
          <w:b/>
          <w:sz w:val="13"/>
        </w:rPr>
      </w:pPr>
      <w:r>
        <w:rPr>
          <w:b/>
          <w:spacing w:val="-2"/>
          <w:w w:val="105"/>
          <w:sz w:val="13"/>
        </w:rPr>
        <w:t>Impairment</w:t>
      </w:r>
    </w:p>
    <w:p>
      <w:pPr>
        <w:spacing w:before="18"/>
        <w:ind w:left="740" w:right="0" w:firstLine="0"/>
        <w:jc w:val="left"/>
        <w:rPr>
          <w:sz w:val="13"/>
        </w:rPr>
      </w:pPr>
      <w:r>
        <w:rPr>
          <w:w w:val="105"/>
          <w:sz w:val="13"/>
        </w:rPr>
        <w:t>Allowance</w:t>
      </w:r>
      <w:r>
        <w:rPr>
          <w:spacing w:val="-9"/>
          <w:w w:val="105"/>
          <w:sz w:val="13"/>
        </w:rPr>
        <w:t> </w:t>
      </w:r>
      <w:r>
        <w:rPr>
          <w:w w:val="105"/>
          <w:sz w:val="13"/>
        </w:rPr>
        <w:t>for</w:t>
      </w:r>
      <w:r>
        <w:rPr>
          <w:spacing w:val="-6"/>
          <w:w w:val="105"/>
          <w:sz w:val="13"/>
        </w:rPr>
        <w:t> </w:t>
      </w:r>
      <w:r>
        <w:rPr>
          <w:w w:val="105"/>
          <w:sz w:val="13"/>
        </w:rPr>
        <w:t>debt</w:t>
      </w:r>
      <w:r>
        <w:rPr>
          <w:spacing w:val="-9"/>
          <w:w w:val="105"/>
          <w:sz w:val="13"/>
        </w:rPr>
        <w:t> </w:t>
      </w:r>
      <w:r>
        <w:rPr>
          <w:w w:val="105"/>
          <w:sz w:val="13"/>
        </w:rPr>
        <w:t>instruments</w:t>
      </w:r>
      <w:r>
        <w:rPr>
          <w:spacing w:val="-7"/>
          <w:w w:val="105"/>
          <w:sz w:val="13"/>
        </w:rPr>
        <w:t> </w:t>
      </w:r>
      <w:r>
        <w:rPr>
          <w:w w:val="105"/>
          <w:sz w:val="13"/>
        </w:rPr>
        <w:t>other</w:t>
      </w:r>
      <w:r>
        <w:rPr>
          <w:spacing w:val="-7"/>
          <w:w w:val="105"/>
          <w:sz w:val="13"/>
        </w:rPr>
        <w:t> </w:t>
      </w:r>
      <w:r>
        <w:rPr>
          <w:w w:val="105"/>
          <w:sz w:val="13"/>
        </w:rPr>
        <w:t>than</w:t>
      </w:r>
      <w:r>
        <w:rPr>
          <w:spacing w:val="-8"/>
          <w:w w:val="105"/>
          <w:sz w:val="13"/>
        </w:rPr>
        <w:t> </w:t>
      </w:r>
      <w:r>
        <w:rPr>
          <w:spacing w:val="-2"/>
          <w:w w:val="105"/>
          <w:sz w:val="13"/>
        </w:rPr>
        <w:t>receivables.</w:t>
      </w:r>
    </w:p>
    <w:p>
      <w:pPr>
        <w:spacing w:line="240" w:lineRule="auto" w:before="43"/>
        <w:rPr>
          <w:sz w:val="13"/>
        </w:rPr>
      </w:pPr>
    </w:p>
    <w:p>
      <w:pPr>
        <w:spacing w:before="0"/>
        <w:ind w:left="740" w:right="0" w:firstLine="0"/>
        <w:jc w:val="left"/>
        <w:rPr>
          <w:sz w:val="13"/>
        </w:rPr>
      </w:pPr>
      <w:r>
        <w:rPr>
          <w:w w:val="105"/>
          <w:sz w:val="13"/>
        </w:rPr>
        <w:t>Set</w:t>
      </w:r>
      <w:r>
        <w:rPr>
          <w:spacing w:val="-7"/>
          <w:w w:val="105"/>
          <w:sz w:val="13"/>
        </w:rPr>
        <w:t> </w:t>
      </w:r>
      <w:r>
        <w:rPr>
          <w:w w:val="105"/>
          <w:sz w:val="13"/>
        </w:rPr>
        <w:t>out</w:t>
      </w:r>
      <w:r>
        <w:rPr>
          <w:spacing w:val="-7"/>
          <w:w w:val="105"/>
          <w:sz w:val="13"/>
        </w:rPr>
        <w:t> </w:t>
      </w:r>
      <w:r>
        <w:rPr>
          <w:w w:val="105"/>
          <w:sz w:val="13"/>
        </w:rPr>
        <w:t>below</w:t>
      </w:r>
      <w:r>
        <w:rPr>
          <w:spacing w:val="-9"/>
          <w:w w:val="105"/>
          <w:sz w:val="13"/>
        </w:rPr>
        <w:t> </w:t>
      </w:r>
      <w:r>
        <w:rPr>
          <w:w w:val="105"/>
          <w:sz w:val="13"/>
        </w:rPr>
        <w:t>is</w:t>
      </w:r>
      <w:r>
        <w:rPr>
          <w:spacing w:val="-6"/>
          <w:w w:val="105"/>
          <w:sz w:val="13"/>
        </w:rPr>
        <w:t> </w:t>
      </w:r>
      <w:r>
        <w:rPr>
          <w:w w:val="105"/>
          <w:sz w:val="13"/>
        </w:rPr>
        <w:t>the</w:t>
      </w:r>
      <w:r>
        <w:rPr>
          <w:spacing w:val="-7"/>
          <w:w w:val="105"/>
          <w:sz w:val="13"/>
        </w:rPr>
        <w:t> </w:t>
      </w:r>
      <w:r>
        <w:rPr>
          <w:w w:val="105"/>
          <w:sz w:val="13"/>
        </w:rPr>
        <w:t>movement</w:t>
      </w:r>
      <w:r>
        <w:rPr>
          <w:spacing w:val="-6"/>
          <w:w w:val="105"/>
          <w:sz w:val="13"/>
        </w:rPr>
        <w:t> </w:t>
      </w:r>
      <w:r>
        <w:rPr>
          <w:w w:val="105"/>
          <w:sz w:val="13"/>
        </w:rPr>
        <w:t>in</w:t>
      </w:r>
      <w:r>
        <w:rPr>
          <w:spacing w:val="-7"/>
          <w:w w:val="105"/>
          <w:sz w:val="13"/>
        </w:rPr>
        <w:t> </w:t>
      </w:r>
      <w:r>
        <w:rPr>
          <w:w w:val="105"/>
          <w:sz w:val="13"/>
        </w:rPr>
        <w:t>the</w:t>
      </w:r>
      <w:r>
        <w:rPr>
          <w:spacing w:val="-7"/>
          <w:w w:val="105"/>
          <w:sz w:val="13"/>
        </w:rPr>
        <w:t> </w:t>
      </w:r>
      <w:r>
        <w:rPr>
          <w:w w:val="105"/>
          <w:sz w:val="13"/>
        </w:rPr>
        <w:t>allowance</w:t>
      </w:r>
      <w:r>
        <w:rPr>
          <w:spacing w:val="-7"/>
          <w:w w:val="105"/>
          <w:sz w:val="13"/>
        </w:rPr>
        <w:t> </w:t>
      </w:r>
      <w:r>
        <w:rPr>
          <w:w w:val="105"/>
          <w:sz w:val="13"/>
        </w:rPr>
        <w:t>for</w:t>
      </w:r>
      <w:r>
        <w:rPr>
          <w:spacing w:val="-5"/>
          <w:w w:val="105"/>
          <w:sz w:val="13"/>
        </w:rPr>
        <w:t> </w:t>
      </w:r>
      <w:r>
        <w:rPr>
          <w:w w:val="105"/>
          <w:sz w:val="13"/>
        </w:rPr>
        <w:t>debt</w:t>
      </w:r>
      <w:r>
        <w:rPr>
          <w:spacing w:val="-6"/>
          <w:w w:val="105"/>
          <w:sz w:val="13"/>
        </w:rPr>
        <w:t> </w:t>
      </w:r>
      <w:r>
        <w:rPr>
          <w:w w:val="105"/>
          <w:sz w:val="13"/>
        </w:rPr>
        <w:t>instruments</w:t>
      </w:r>
      <w:r>
        <w:rPr>
          <w:spacing w:val="-6"/>
          <w:w w:val="105"/>
          <w:sz w:val="13"/>
        </w:rPr>
        <w:t> </w:t>
      </w:r>
      <w:r>
        <w:rPr>
          <w:w w:val="105"/>
          <w:sz w:val="13"/>
        </w:rPr>
        <w:t>other</w:t>
      </w:r>
      <w:r>
        <w:rPr>
          <w:spacing w:val="-5"/>
          <w:w w:val="105"/>
          <w:sz w:val="13"/>
        </w:rPr>
        <w:t> </w:t>
      </w:r>
      <w:r>
        <w:rPr>
          <w:w w:val="105"/>
          <w:sz w:val="13"/>
        </w:rPr>
        <w:t>than</w:t>
      </w:r>
      <w:r>
        <w:rPr>
          <w:spacing w:val="-7"/>
          <w:w w:val="105"/>
          <w:sz w:val="13"/>
        </w:rPr>
        <w:t> </w:t>
      </w:r>
      <w:r>
        <w:rPr>
          <w:spacing w:val="-2"/>
          <w:w w:val="105"/>
          <w:sz w:val="13"/>
        </w:rPr>
        <w:t>receivables:</w:t>
      </w:r>
    </w:p>
    <w:p>
      <w:pPr>
        <w:spacing w:line="240" w:lineRule="auto" w:before="7" w:after="0"/>
        <w:rPr>
          <w:sz w:val="12"/>
        </w:rPr>
      </w:pPr>
    </w:p>
    <w:tbl>
      <w:tblPr>
        <w:tblW w:w="0" w:type="auto"/>
        <w:jc w:val="left"/>
        <w:tblInd w:w="7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694"/>
        <w:gridCol w:w="1189"/>
        <w:gridCol w:w="916"/>
        <w:gridCol w:w="917"/>
        <w:gridCol w:w="646"/>
      </w:tblGrid>
      <w:tr>
        <w:trPr>
          <w:trHeight w:val="197" w:hRule="atLeast"/>
        </w:trPr>
        <w:tc>
          <w:tcPr>
            <w:tcW w:w="4694" w:type="dxa"/>
          </w:tcPr>
          <w:p>
            <w:pPr>
              <w:pStyle w:val="TableParagraph"/>
              <w:spacing w:line="141" w:lineRule="exact" w:before="36"/>
              <w:ind w:left="34"/>
              <w:rPr>
                <w:sz w:val="13"/>
              </w:rPr>
            </w:pPr>
            <w:r>
              <w:rPr>
                <w:w w:val="105"/>
                <w:sz w:val="13"/>
              </w:rPr>
              <w:t>At</w:t>
            </w:r>
            <w:r>
              <w:rPr>
                <w:spacing w:val="-3"/>
                <w:w w:val="105"/>
                <w:sz w:val="13"/>
              </w:rPr>
              <w:t> </w:t>
            </w:r>
            <w:r>
              <w:rPr>
                <w:w w:val="105"/>
                <w:sz w:val="13"/>
              </w:rPr>
              <w:t>1</w:t>
            </w:r>
            <w:r>
              <w:rPr>
                <w:spacing w:val="-2"/>
                <w:w w:val="105"/>
                <w:sz w:val="13"/>
              </w:rPr>
              <w:t> January</w:t>
            </w:r>
          </w:p>
        </w:tc>
        <w:tc>
          <w:tcPr>
            <w:tcW w:w="1189" w:type="dxa"/>
          </w:tcPr>
          <w:p>
            <w:pPr>
              <w:pStyle w:val="TableParagraph"/>
              <w:spacing w:line="136" w:lineRule="exact" w:before="41"/>
              <w:ind w:right="300"/>
              <w:jc w:val="right"/>
              <w:rPr>
                <w:sz w:val="13"/>
              </w:rPr>
            </w:pPr>
            <w:r>
              <w:rPr>
                <w:spacing w:val="-2"/>
                <w:w w:val="105"/>
                <w:sz w:val="13"/>
              </w:rPr>
              <w:t>(449)</w:t>
            </w:r>
          </w:p>
        </w:tc>
        <w:tc>
          <w:tcPr>
            <w:tcW w:w="916" w:type="dxa"/>
          </w:tcPr>
          <w:p>
            <w:pPr>
              <w:pStyle w:val="TableParagraph"/>
              <w:spacing w:line="136" w:lineRule="exact" w:before="41"/>
              <w:ind w:right="300"/>
              <w:jc w:val="right"/>
              <w:rPr>
                <w:sz w:val="13"/>
              </w:rPr>
            </w:pPr>
            <w:r>
              <w:rPr>
                <w:spacing w:val="-2"/>
                <w:w w:val="105"/>
                <w:sz w:val="13"/>
              </w:rPr>
              <w:t>(449)</w:t>
            </w:r>
          </w:p>
        </w:tc>
        <w:tc>
          <w:tcPr>
            <w:tcW w:w="917" w:type="dxa"/>
          </w:tcPr>
          <w:p>
            <w:pPr>
              <w:pStyle w:val="TableParagraph"/>
              <w:spacing w:line="136" w:lineRule="exact" w:before="41"/>
              <w:ind w:right="301"/>
              <w:jc w:val="right"/>
              <w:rPr>
                <w:sz w:val="13"/>
              </w:rPr>
            </w:pPr>
            <w:r>
              <w:rPr>
                <w:spacing w:val="-2"/>
                <w:w w:val="105"/>
                <w:sz w:val="13"/>
              </w:rPr>
              <w:t>(449)</w:t>
            </w:r>
          </w:p>
        </w:tc>
        <w:tc>
          <w:tcPr>
            <w:tcW w:w="646" w:type="dxa"/>
          </w:tcPr>
          <w:p>
            <w:pPr>
              <w:pStyle w:val="TableParagraph"/>
              <w:spacing w:line="136" w:lineRule="exact" w:before="41"/>
              <w:ind w:right="31"/>
              <w:jc w:val="right"/>
              <w:rPr>
                <w:sz w:val="13"/>
              </w:rPr>
            </w:pPr>
            <w:r>
              <w:rPr>
                <w:spacing w:val="-2"/>
                <w:w w:val="105"/>
                <w:sz w:val="13"/>
              </w:rPr>
              <w:t>(449)</w:t>
            </w:r>
          </w:p>
        </w:tc>
      </w:tr>
      <w:tr>
        <w:trPr>
          <w:trHeight w:val="169" w:hRule="atLeast"/>
        </w:trPr>
        <w:tc>
          <w:tcPr>
            <w:tcW w:w="4694" w:type="dxa"/>
          </w:tcPr>
          <w:p>
            <w:pPr>
              <w:pStyle w:val="TableParagraph"/>
              <w:spacing w:line="143" w:lineRule="exact" w:before="7"/>
              <w:ind w:left="34"/>
              <w:rPr>
                <w:sz w:val="13"/>
              </w:rPr>
            </w:pPr>
            <w:r>
              <w:rPr>
                <w:spacing w:val="-2"/>
                <w:w w:val="105"/>
                <w:sz w:val="13"/>
              </w:rPr>
              <w:t>Additions</w:t>
            </w:r>
          </w:p>
        </w:tc>
        <w:tc>
          <w:tcPr>
            <w:tcW w:w="1189" w:type="dxa"/>
          </w:tcPr>
          <w:p>
            <w:pPr>
              <w:pStyle w:val="TableParagraph"/>
              <w:spacing w:line="134" w:lineRule="exact" w:before="16"/>
              <w:ind w:right="298"/>
              <w:jc w:val="right"/>
              <w:rPr>
                <w:sz w:val="13"/>
              </w:rPr>
            </w:pPr>
            <w:r>
              <w:rPr>
                <w:spacing w:val="-10"/>
                <w:w w:val="105"/>
                <w:sz w:val="13"/>
              </w:rPr>
              <w:t>-</w:t>
            </w:r>
          </w:p>
        </w:tc>
        <w:tc>
          <w:tcPr>
            <w:tcW w:w="916" w:type="dxa"/>
          </w:tcPr>
          <w:p>
            <w:pPr>
              <w:pStyle w:val="TableParagraph"/>
              <w:spacing w:line="134" w:lineRule="exact" w:before="16"/>
              <w:ind w:right="336"/>
              <w:jc w:val="right"/>
              <w:rPr>
                <w:sz w:val="13"/>
              </w:rPr>
            </w:pPr>
            <w:r>
              <w:rPr>
                <w:spacing w:val="-10"/>
                <w:w w:val="105"/>
                <w:sz w:val="13"/>
              </w:rPr>
              <w:t>-</w:t>
            </w:r>
          </w:p>
        </w:tc>
        <w:tc>
          <w:tcPr>
            <w:tcW w:w="917" w:type="dxa"/>
          </w:tcPr>
          <w:p>
            <w:pPr>
              <w:pStyle w:val="TableParagraph"/>
              <w:spacing w:line="134" w:lineRule="exact" w:before="16"/>
              <w:ind w:right="300"/>
              <w:jc w:val="right"/>
              <w:rPr>
                <w:sz w:val="13"/>
              </w:rPr>
            </w:pPr>
            <w:r>
              <w:rPr>
                <w:spacing w:val="-10"/>
                <w:w w:val="105"/>
                <w:sz w:val="13"/>
              </w:rPr>
              <w:t>-</w:t>
            </w:r>
          </w:p>
        </w:tc>
        <w:tc>
          <w:tcPr>
            <w:tcW w:w="646" w:type="dxa"/>
          </w:tcPr>
          <w:p>
            <w:pPr>
              <w:pStyle w:val="TableParagraph"/>
              <w:spacing w:line="134" w:lineRule="exact" w:before="16"/>
              <w:ind w:right="67"/>
              <w:jc w:val="right"/>
              <w:rPr>
                <w:sz w:val="13"/>
              </w:rPr>
            </w:pPr>
            <w:r>
              <w:rPr>
                <w:spacing w:val="-10"/>
                <w:w w:val="105"/>
                <w:sz w:val="13"/>
              </w:rPr>
              <w:t>-</w:t>
            </w:r>
          </w:p>
        </w:tc>
      </w:tr>
      <w:tr>
        <w:trPr>
          <w:trHeight w:val="163" w:hRule="atLeast"/>
        </w:trPr>
        <w:tc>
          <w:tcPr>
            <w:tcW w:w="4694" w:type="dxa"/>
          </w:tcPr>
          <w:p>
            <w:pPr>
              <w:pStyle w:val="TableParagraph"/>
              <w:spacing w:line="139" w:lineRule="exact" w:before="5"/>
              <w:ind w:left="34"/>
              <w:rPr>
                <w:sz w:val="13"/>
              </w:rPr>
            </w:pPr>
            <w:r>
              <w:rPr>
                <w:w w:val="105"/>
                <w:sz w:val="13"/>
              </w:rPr>
              <w:t>Write-</w:t>
            </w:r>
            <w:r>
              <w:rPr>
                <w:spacing w:val="-5"/>
                <w:w w:val="105"/>
                <w:sz w:val="13"/>
              </w:rPr>
              <w:t>off</w:t>
            </w:r>
          </w:p>
        </w:tc>
        <w:tc>
          <w:tcPr>
            <w:tcW w:w="1189" w:type="dxa"/>
            <w:tcBorders>
              <w:bottom w:val="single" w:sz="6" w:space="0" w:color="000000"/>
            </w:tcBorders>
          </w:tcPr>
          <w:p>
            <w:pPr>
              <w:pStyle w:val="TableParagraph"/>
              <w:spacing w:line="130" w:lineRule="exact" w:before="14"/>
              <w:ind w:right="298"/>
              <w:jc w:val="right"/>
              <w:rPr>
                <w:sz w:val="13"/>
              </w:rPr>
            </w:pPr>
            <w:r>
              <w:rPr>
                <w:spacing w:val="-10"/>
                <w:w w:val="105"/>
                <w:sz w:val="13"/>
              </w:rPr>
              <w:t>-</w:t>
            </w:r>
          </w:p>
        </w:tc>
        <w:tc>
          <w:tcPr>
            <w:tcW w:w="916" w:type="dxa"/>
            <w:tcBorders>
              <w:bottom w:val="single" w:sz="6" w:space="0" w:color="000000"/>
            </w:tcBorders>
          </w:tcPr>
          <w:p>
            <w:pPr>
              <w:pStyle w:val="TableParagraph"/>
              <w:spacing w:line="130" w:lineRule="exact" w:before="14"/>
              <w:ind w:right="336"/>
              <w:jc w:val="right"/>
              <w:rPr>
                <w:sz w:val="13"/>
              </w:rPr>
            </w:pPr>
            <w:r>
              <w:rPr>
                <w:spacing w:val="-10"/>
                <w:w w:val="105"/>
                <w:sz w:val="13"/>
              </w:rPr>
              <w:t>-</w:t>
            </w:r>
          </w:p>
        </w:tc>
        <w:tc>
          <w:tcPr>
            <w:tcW w:w="917" w:type="dxa"/>
            <w:tcBorders>
              <w:bottom w:val="single" w:sz="6" w:space="0" w:color="000000"/>
            </w:tcBorders>
          </w:tcPr>
          <w:p>
            <w:pPr>
              <w:pStyle w:val="TableParagraph"/>
              <w:spacing w:line="130" w:lineRule="exact" w:before="14"/>
              <w:ind w:right="300"/>
              <w:jc w:val="right"/>
              <w:rPr>
                <w:sz w:val="13"/>
              </w:rPr>
            </w:pPr>
            <w:r>
              <w:rPr>
                <w:spacing w:val="-10"/>
                <w:w w:val="105"/>
                <w:sz w:val="13"/>
              </w:rPr>
              <w:t>-</w:t>
            </w:r>
          </w:p>
        </w:tc>
        <w:tc>
          <w:tcPr>
            <w:tcW w:w="646" w:type="dxa"/>
            <w:tcBorders>
              <w:bottom w:val="single" w:sz="6" w:space="0" w:color="000000"/>
            </w:tcBorders>
          </w:tcPr>
          <w:p>
            <w:pPr>
              <w:pStyle w:val="TableParagraph"/>
              <w:spacing w:line="130" w:lineRule="exact" w:before="14"/>
              <w:ind w:right="67"/>
              <w:jc w:val="right"/>
              <w:rPr>
                <w:sz w:val="13"/>
              </w:rPr>
            </w:pPr>
            <w:r>
              <w:rPr>
                <w:spacing w:val="-10"/>
                <w:w w:val="105"/>
                <w:sz w:val="13"/>
              </w:rPr>
              <w:t>-</w:t>
            </w:r>
          </w:p>
        </w:tc>
      </w:tr>
      <w:tr>
        <w:trPr>
          <w:trHeight w:val="152" w:hRule="atLeast"/>
        </w:trPr>
        <w:tc>
          <w:tcPr>
            <w:tcW w:w="4694" w:type="dxa"/>
          </w:tcPr>
          <w:p>
            <w:pPr>
              <w:pStyle w:val="TableParagraph"/>
              <w:spacing w:line="133" w:lineRule="exact"/>
              <w:ind w:left="34"/>
              <w:rPr>
                <w:b/>
                <w:sz w:val="13"/>
              </w:rPr>
            </w:pPr>
            <w:r>
              <w:rPr>
                <w:b/>
                <w:w w:val="105"/>
                <w:sz w:val="13"/>
              </w:rPr>
              <w:t>At</w:t>
            </w:r>
            <w:r>
              <w:rPr>
                <w:b/>
                <w:spacing w:val="-3"/>
                <w:w w:val="105"/>
                <w:sz w:val="13"/>
              </w:rPr>
              <w:t> </w:t>
            </w:r>
            <w:r>
              <w:rPr>
                <w:b/>
                <w:w w:val="105"/>
                <w:sz w:val="13"/>
              </w:rPr>
              <w:t>31</w:t>
            </w:r>
            <w:r>
              <w:rPr>
                <w:b/>
                <w:spacing w:val="-5"/>
                <w:w w:val="105"/>
                <w:sz w:val="13"/>
              </w:rPr>
              <w:t> </w:t>
            </w:r>
            <w:r>
              <w:rPr>
                <w:b/>
                <w:spacing w:val="-2"/>
                <w:w w:val="105"/>
                <w:sz w:val="13"/>
              </w:rPr>
              <w:t>December</w:t>
            </w:r>
          </w:p>
        </w:tc>
        <w:tc>
          <w:tcPr>
            <w:tcW w:w="1189" w:type="dxa"/>
            <w:tcBorders>
              <w:top w:val="single" w:sz="6" w:space="0" w:color="000000"/>
              <w:bottom w:val="single" w:sz="6" w:space="0" w:color="000000"/>
            </w:tcBorders>
          </w:tcPr>
          <w:p>
            <w:pPr>
              <w:pStyle w:val="TableParagraph"/>
              <w:spacing w:line="133" w:lineRule="exact"/>
              <w:ind w:right="300"/>
              <w:jc w:val="right"/>
              <w:rPr>
                <w:b/>
                <w:sz w:val="13"/>
              </w:rPr>
            </w:pPr>
            <w:r>
              <w:rPr>
                <w:b/>
                <w:spacing w:val="-2"/>
                <w:w w:val="105"/>
                <w:sz w:val="13"/>
              </w:rPr>
              <w:t>(449)</w:t>
            </w:r>
          </w:p>
        </w:tc>
        <w:tc>
          <w:tcPr>
            <w:tcW w:w="916" w:type="dxa"/>
            <w:tcBorders>
              <w:top w:val="single" w:sz="6" w:space="0" w:color="000000"/>
              <w:bottom w:val="single" w:sz="6" w:space="0" w:color="000000"/>
            </w:tcBorders>
          </w:tcPr>
          <w:p>
            <w:pPr>
              <w:pStyle w:val="TableParagraph"/>
              <w:spacing w:line="133" w:lineRule="exact"/>
              <w:ind w:right="300"/>
              <w:jc w:val="right"/>
              <w:rPr>
                <w:b/>
                <w:sz w:val="13"/>
              </w:rPr>
            </w:pPr>
            <w:r>
              <w:rPr>
                <w:b/>
                <w:spacing w:val="-2"/>
                <w:w w:val="105"/>
                <w:sz w:val="13"/>
              </w:rPr>
              <w:t>(449)</w:t>
            </w:r>
          </w:p>
        </w:tc>
        <w:tc>
          <w:tcPr>
            <w:tcW w:w="917" w:type="dxa"/>
            <w:tcBorders>
              <w:top w:val="single" w:sz="6" w:space="0" w:color="000000"/>
              <w:bottom w:val="single" w:sz="6" w:space="0" w:color="000000"/>
            </w:tcBorders>
          </w:tcPr>
          <w:p>
            <w:pPr>
              <w:pStyle w:val="TableParagraph"/>
              <w:spacing w:line="133" w:lineRule="exact"/>
              <w:ind w:right="301"/>
              <w:jc w:val="right"/>
              <w:rPr>
                <w:b/>
                <w:sz w:val="13"/>
              </w:rPr>
            </w:pPr>
            <w:r>
              <w:rPr>
                <w:b/>
                <w:spacing w:val="-2"/>
                <w:w w:val="105"/>
                <w:sz w:val="13"/>
              </w:rPr>
              <w:t>(449)</w:t>
            </w:r>
          </w:p>
        </w:tc>
        <w:tc>
          <w:tcPr>
            <w:tcW w:w="646" w:type="dxa"/>
            <w:tcBorders>
              <w:top w:val="single" w:sz="6" w:space="0" w:color="000000"/>
              <w:bottom w:val="single" w:sz="6" w:space="0" w:color="000000"/>
            </w:tcBorders>
          </w:tcPr>
          <w:p>
            <w:pPr>
              <w:pStyle w:val="TableParagraph"/>
              <w:spacing w:line="133" w:lineRule="exact"/>
              <w:ind w:right="31"/>
              <w:jc w:val="right"/>
              <w:rPr>
                <w:b/>
                <w:sz w:val="13"/>
              </w:rPr>
            </w:pPr>
            <w:r>
              <w:rPr>
                <w:b/>
                <w:spacing w:val="-2"/>
                <w:w w:val="105"/>
                <w:sz w:val="13"/>
              </w:rPr>
              <w:t>(449)</w:t>
            </w:r>
          </w:p>
        </w:tc>
      </w:tr>
    </w:tbl>
    <w:p>
      <w:pPr>
        <w:spacing w:line="240" w:lineRule="auto" w:before="0"/>
        <w:rPr>
          <w:sz w:val="13"/>
        </w:rPr>
      </w:pPr>
    </w:p>
    <w:p>
      <w:pPr>
        <w:spacing w:line="240" w:lineRule="auto" w:before="37"/>
        <w:rPr>
          <w:sz w:val="13"/>
        </w:rPr>
      </w:pPr>
    </w:p>
    <w:p>
      <w:pPr>
        <w:spacing w:before="0"/>
        <w:ind w:left="740" w:right="0" w:firstLine="0"/>
        <w:jc w:val="left"/>
        <w:rPr>
          <w:sz w:val="13"/>
        </w:rPr>
      </w:pPr>
      <w:r>
        <w:rPr>
          <w:w w:val="105"/>
          <w:sz w:val="13"/>
        </w:rPr>
        <w:t>The</w:t>
      </w:r>
      <w:r>
        <w:rPr>
          <w:spacing w:val="-7"/>
          <w:w w:val="105"/>
          <w:sz w:val="13"/>
        </w:rPr>
        <w:t> </w:t>
      </w:r>
      <w:r>
        <w:rPr>
          <w:w w:val="105"/>
          <w:sz w:val="13"/>
        </w:rPr>
        <w:t>information</w:t>
      </w:r>
      <w:r>
        <w:rPr>
          <w:spacing w:val="-6"/>
          <w:w w:val="105"/>
          <w:sz w:val="13"/>
        </w:rPr>
        <w:t> </w:t>
      </w:r>
      <w:r>
        <w:rPr>
          <w:w w:val="105"/>
          <w:sz w:val="13"/>
        </w:rPr>
        <w:t>about</w:t>
      </w:r>
      <w:r>
        <w:rPr>
          <w:spacing w:val="-7"/>
          <w:w w:val="105"/>
          <w:sz w:val="13"/>
        </w:rPr>
        <w:t> </w:t>
      </w:r>
      <w:r>
        <w:rPr>
          <w:w w:val="105"/>
          <w:sz w:val="13"/>
        </w:rPr>
        <w:t>the</w:t>
      </w:r>
      <w:r>
        <w:rPr>
          <w:spacing w:val="-6"/>
          <w:w w:val="105"/>
          <w:sz w:val="13"/>
        </w:rPr>
        <w:t> </w:t>
      </w:r>
      <w:r>
        <w:rPr>
          <w:w w:val="105"/>
          <w:sz w:val="13"/>
        </w:rPr>
        <w:t>credit</w:t>
      </w:r>
      <w:r>
        <w:rPr>
          <w:spacing w:val="-7"/>
          <w:w w:val="105"/>
          <w:sz w:val="13"/>
        </w:rPr>
        <w:t> </w:t>
      </w:r>
      <w:r>
        <w:rPr>
          <w:w w:val="105"/>
          <w:sz w:val="13"/>
        </w:rPr>
        <w:t>exposures</w:t>
      </w:r>
      <w:r>
        <w:rPr>
          <w:spacing w:val="-5"/>
          <w:w w:val="105"/>
          <w:sz w:val="13"/>
        </w:rPr>
        <w:t> </w:t>
      </w:r>
      <w:r>
        <w:rPr>
          <w:w w:val="105"/>
          <w:sz w:val="13"/>
        </w:rPr>
        <w:t>are</w:t>
      </w:r>
      <w:r>
        <w:rPr>
          <w:spacing w:val="-7"/>
          <w:w w:val="105"/>
          <w:sz w:val="13"/>
        </w:rPr>
        <w:t> </w:t>
      </w:r>
      <w:r>
        <w:rPr>
          <w:w w:val="105"/>
          <w:sz w:val="13"/>
        </w:rPr>
        <w:t>disclosed</w:t>
      </w:r>
      <w:r>
        <w:rPr>
          <w:spacing w:val="-6"/>
          <w:w w:val="105"/>
          <w:sz w:val="13"/>
        </w:rPr>
        <w:t> </w:t>
      </w:r>
      <w:r>
        <w:rPr>
          <w:w w:val="105"/>
          <w:sz w:val="13"/>
        </w:rPr>
        <w:t>in</w:t>
      </w:r>
      <w:r>
        <w:rPr>
          <w:spacing w:val="-7"/>
          <w:w w:val="105"/>
          <w:sz w:val="13"/>
        </w:rPr>
        <w:t> </w:t>
      </w:r>
      <w:r>
        <w:rPr>
          <w:w w:val="105"/>
          <w:sz w:val="13"/>
        </w:rPr>
        <w:t>Note</w:t>
      </w:r>
      <w:r>
        <w:rPr>
          <w:spacing w:val="-6"/>
          <w:w w:val="105"/>
          <w:sz w:val="13"/>
        </w:rPr>
        <w:t> </w:t>
      </w:r>
      <w:r>
        <w:rPr>
          <w:w w:val="105"/>
          <w:sz w:val="13"/>
        </w:rPr>
        <w:t>6.4</w:t>
      </w:r>
      <w:r>
        <w:rPr>
          <w:spacing w:val="-7"/>
          <w:w w:val="105"/>
          <w:sz w:val="13"/>
        </w:rPr>
        <w:t> </w:t>
      </w:r>
      <w:r>
        <w:rPr>
          <w:w w:val="105"/>
          <w:sz w:val="13"/>
        </w:rPr>
        <w:t>Financial</w:t>
      </w:r>
      <w:r>
        <w:rPr>
          <w:spacing w:val="-5"/>
          <w:w w:val="105"/>
          <w:sz w:val="13"/>
        </w:rPr>
        <w:t> </w:t>
      </w:r>
      <w:r>
        <w:rPr>
          <w:w w:val="105"/>
          <w:sz w:val="13"/>
        </w:rPr>
        <w:t>risk</w:t>
      </w:r>
      <w:r>
        <w:rPr>
          <w:spacing w:val="-4"/>
          <w:w w:val="105"/>
          <w:sz w:val="13"/>
        </w:rPr>
        <w:t> </w:t>
      </w:r>
      <w:r>
        <w:rPr>
          <w:spacing w:val="-2"/>
          <w:w w:val="105"/>
          <w:sz w:val="13"/>
        </w:rPr>
        <w:t>management.</w:t>
      </w:r>
    </w:p>
    <w:p>
      <w:pPr>
        <w:spacing w:line="240" w:lineRule="auto" w:before="36"/>
        <w:rPr>
          <w:sz w:val="13"/>
        </w:rPr>
      </w:pPr>
    </w:p>
    <w:p>
      <w:pPr>
        <w:spacing w:before="1"/>
        <w:ind w:left="740" w:right="0" w:firstLine="0"/>
        <w:jc w:val="left"/>
        <w:rPr>
          <w:b/>
          <w:i/>
          <w:sz w:val="13"/>
        </w:rPr>
      </w:pPr>
      <w:r>
        <w:rPr>
          <w:b/>
          <w:i/>
          <w:color w:val="0070C0"/>
          <w:w w:val="105"/>
          <w:sz w:val="13"/>
        </w:rPr>
        <w:t>Accounting</w:t>
      </w:r>
      <w:r>
        <w:rPr>
          <w:b/>
          <w:i/>
          <w:color w:val="0070C0"/>
          <w:spacing w:val="-6"/>
          <w:w w:val="105"/>
          <w:sz w:val="13"/>
        </w:rPr>
        <w:t> </w:t>
      </w:r>
      <w:r>
        <w:rPr>
          <w:b/>
          <w:i/>
          <w:color w:val="0070C0"/>
          <w:spacing w:val="-2"/>
          <w:w w:val="105"/>
          <w:sz w:val="13"/>
        </w:rPr>
        <w:t>policy</w:t>
      </w:r>
    </w:p>
    <w:p>
      <w:pPr>
        <w:spacing w:before="27"/>
        <w:ind w:left="740" w:right="0" w:firstLine="0"/>
        <w:jc w:val="left"/>
        <w:rPr>
          <w:b/>
          <w:sz w:val="13"/>
        </w:rPr>
      </w:pPr>
      <w:r>
        <w:rPr>
          <w:b/>
          <w:spacing w:val="-2"/>
          <w:w w:val="105"/>
          <w:sz w:val="13"/>
        </w:rPr>
        <w:t>Financial</w:t>
      </w:r>
      <w:r>
        <w:rPr>
          <w:b/>
          <w:spacing w:val="8"/>
          <w:w w:val="105"/>
          <w:sz w:val="13"/>
        </w:rPr>
        <w:t> </w:t>
      </w:r>
      <w:r>
        <w:rPr>
          <w:b/>
          <w:spacing w:val="-2"/>
          <w:w w:val="105"/>
          <w:sz w:val="13"/>
        </w:rPr>
        <w:t>assets</w:t>
      </w:r>
    </w:p>
    <w:p>
      <w:pPr>
        <w:spacing w:line="273" w:lineRule="auto" w:before="16"/>
        <w:ind w:left="740" w:right="268" w:firstLine="0"/>
        <w:jc w:val="left"/>
        <w:rPr>
          <w:sz w:val="13"/>
        </w:rPr>
      </w:pPr>
      <w:r>
        <w:rPr>
          <w:w w:val="105"/>
          <w:sz w:val="13"/>
        </w:rPr>
        <w:t>A</w:t>
      </w:r>
      <w:r>
        <w:rPr>
          <w:spacing w:val="-2"/>
          <w:w w:val="105"/>
          <w:sz w:val="13"/>
        </w:rPr>
        <w:t> </w:t>
      </w:r>
      <w:r>
        <w:rPr>
          <w:w w:val="105"/>
          <w:sz w:val="13"/>
        </w:rPr>
        <w:t>financial instrument</w:t>
      </w:r>
      <w:r>
        <w:rPr>
          <w:spacing w:val="-1"/>
          <w:w w:val="105"/>
          <w:sz w:val="13"/>
        </w:rPr>
        <w:t> </w:t>
      </w:r>
      <w:r>
        <w:rPr>
          <w:w w:val="105"/>
          <w:sz w:val="13"/>
        </w:rPr>
        <w:t>is</w:t>
      </w:r>
      <w:r>
        <w:rPr>
          <w:spacing w:val="-1"/>
          <w:w w:val="105"/>
          <w:sz w:val="13"/>
        </w:rPr>
        <w:t> </w:t>
      </w:r>
      <w:r>
        <w:rPr>
          <w:w w:val="105"/>
          <w:sz w:val="13"/>
        </w:rPr>
        <w:t>any</w:t>
      </w:r>
      <w:r>
        <w:rPr>
          <w:spacing w:val="-5"/>
          <w:w w:val="105"/>
          <w:sz w:val="13"/>
        </w:rPr>
        <w:t> </w:t>
      </w:r>
      <w:r>
        <w:rPr>
          <w:w w:val="105"/>
          <w:sz w:val="13"/>
        </w:rPr>
        <w:t>contract</w:t>
      </w:r>
      <w:r>
        <w:rPr>
          <w:spacing w:val="-1"/>
          <w:w w:val="105"/>
          <w:sz w:val="13"/>
        </w:rPr>
        <w:t> </w:t>
      </w:r>
      <w:r>
        <w:rPr>
          <w:w w:val="105"/>
          <w:sz w:val="13"/>
        </w:rPr>
        <w:t>that</w:t>
      </w:r>
      <w:r>
        <w:rPr>
          <w:spacing w:val="-1"/>
          <w:w w:val="105"/>
          <w:sz w:val="13"/>
        </w:rPr>
        <w:t> </w:t>
      </w:r>
      <w:r>
        <w:rPr>
          <w:w w:val="105"/>
          <w:sz w:val="13"/>
        </w:rPr>
        <w:t>gives</w:t>
      </w:r>
      <w:r>
        <w:rPr>
          <w:spacing w:val="-1"/>
          <w:w w:val="105"/>
          <w:sz w:val="13"/>
        </w:rPr>
        <w:t> </w:t>
      </w:r>
      <w:r>
        <w:rPr>
          <w:w w:val="105"/>
          <w:sz w:val="13"/>
        </w:rPr>
        <w:t>rise</w:t>
      </w:r>
      <w:r>
        <w:rPr>
          <w:spacing w:val="-2"/>
          <w:w w:val="105"/>
          <w:sz w:val="13"/>
        </w:rPr>
        <w:t> </w:t>
      </w:r>
      <w:r>
        <w:rPr>
          <w:w w:val="105"/>
          <w:sz w:val="13"/>
        </w:rPr>
        <w:t>to</w:t>
      </w:r>
      <w:r>
        <w:rPr>
          <w:spacing w:val="-2"/>
          <w:w w:val="105"/>
          <w:sz w:val="13"/>
        </w:rPr>
        <w:t> </w:t>
      </w:r>
      <w:r>
        <w:rPr>
          <w:w w:val="105"/>
          <w:sz w:val="13"/>
        </w:rPr>
        <w:t>a</w:t>
      </w:r>
      <w:r>
        <w:rPr>
          <w:spacing w:val="-2"/>
          <w:w w:val="105"/>
          <w:sz w:val="13"/>
        </w:rPr>
        <w:t> </w:t>
      </w:r>
      <w:r>
        <w:rPr>
          <w:w w:val="105"/>
          <w:sz w:val="13"/>
        </w:rPr>
        <w:t>financial asset</w:t>
      </w:r>
      <w:r>
        <w:rPr>
          <w:spacing w:val="-1"/>
          <w:w w:val="105"/>
          <w:sz w:val="13"/>
        </w:rPr>
        <w:t> </w:t>
      </w:r>
      <w:r>
        <w:rPr>
          <w:w w:val="105"/>
          <w:sz w:val="13"/>
        </w:rPr>
        <w:t>of one</w:t>
      </w:r>
      <w:r>
        <w:rPr>
          <w:spacing w:val="-2"/>
          <w:w w:val="105"/>
          <w:sz w:val="13"/>
        </w:rPr>
        <w:t> </w:t>
      </w:r>
      <w:r>
        <w:rPr>
          <w:w w:val="105"/>
          <w:sz w:val="13"/>
        </w:rPr>
        <w:t>entity</w:t>
      </w:r>
      <w:r>
        <w:rPr>
          <w:spacing w:val="-7"/>
          <w:w w:val="105"/>
          <w:sz w:val="13"/>
        </w:rPr>
        <w:t> </w:t>
      </w:r>
      <w:r>
        <w:rPr>
          <w:w w:val="105"/>
          <w:sz w:val="13"/>
        </w:rPr>
        <w:t>and</w:t>
      </w:r>
      <w:r>
        <w:rPr>
          <w:spacing w:val="-2"/>
          <w:w w:val="105"/>
          <w:sz w:val="13"/>
        </w:rPr>
        <w:t> </w:t>
      </w:r>
      <w:r>
        <w:rPr>
          <w:w w:val="105"/>
          <w:sz w:val="13"/>
        </w:rPr>
        <w:t>a</w:t>
      </w:r>
      <w:r>
        <w:rPr>
          <w:spacing w:val="-4"/>
          <w:w w:val="105"/>
          <w:sz w:val="13"/>
        </w:rPr>
        <w:t> </w:t>
      </w:r>
      <w:r>
        <w:rPr>
          <w:w w:val="105"/>
          <w:sz w:val="13"/>
        </w:rPr>
        <w:t>financial liability</w:t>
      </w:r>
      <w:r>
        <w:rPr>
          <w:spacing w:val="-8"/>
          <w:w w:val="105"/>
          <w:sz w:val="13"/>
        </w:rPr>
        <w:t> </w:t>
      </w:r>
      <w:r>
        <w:rPr>
          <w:w w:val="105"/>
          <w:sz w:val="13"/>
        </w:rPr>
        <w:t>or equity</w:t>
      </w:r>
      <w:r>
        <w:rPr>
          <w:spacing w:val="-7"/>
          <w:w w:val="105"/>
          <w:sz w:val="13"/>
        </w:rPr>
        <w:t> </w:t>
      </w:r>
      <w:r>
        <w:rPr>
          <w:w w:val="105"/>
          <w:sz w:val="13"/>
        </w:rPr>
        <w:t>instrument</w:t>
      </w:r>
      <w:r>
        <w:rPr>
          <w:spacing w:val="-1"/>
          <w:w w:val="105"/>
          <w:sz w:val="13"/>
        </w:rPr>
        <w:t> </w:t>
      </w:r>
      <w:r>
        <w:rPr>
          <w:w w:val="105"/>
          <w:sz w:val="13"/>
        </w:rPr>
        <w:t>of</w:t>
      </w:r>
      <w:r>
        <w:rPr>
          <w:spacing w:val="-1"/>
          <w:w w:val="105"/>
          <w:sz w:val="13"/>
        </w:rPr>
        <w:t> </w:t>
      </w:r>
      <w:r>
        <w:rPr>
          <w:w w:val="105"/>
          <w:sz w:val="13"/>
        </w:rPr>
        <w:t>another</w:t>
      </w:r>
      <w:r>
        <w:rPr>
          <w:spacing w:val="40"/>
          <w:w w:val="105"/>
          <w:sz w:val="13"/>
        </w:rPr>
        <w:t> </w:t>
      </w:r>
      <w:r>
        <w:rPr>
          <w:spacing w:val="-2"/>
          <w:w w:val="105"/>
          <w:sz w:val="13"/>
        </w:rPr>
        <w:t>entity.</w:t>
      </w:r>
    </w:p>
    <w:p>
      <w:pPr>
        <w:spacing w:line="240" w:lineRule="auto" w:before="28"/>
        <w:rPr>
          <w:sz w:val="13"/>
        </w:rPr>
      </w:pPr>
    </w:p>
    <w:p>
      <w:pPr>
        <w:spacing w:before="0"/>
        <w:ind w:left="740" w:right="0" w:firstLine="0"/>
        <w:jc w:val="both"/>
        <w:rPr>
          <w:b/>
          <w:sz w:val="13"/>
        </w:rPr>
      </w:pPr>
      <w:r>
        <w:rPr>
          <w:b/>
          <w:w w:val="105"/>
          <w:sz w:val="13"/>
        </w:rPr>
        <w:t>Initial</w:t>
      </w:r>
      <w:r>
        <w:rPr>
          <w:b/>
          <w:spacing w:val="-7"/>
          <w:w w:val="105"/>
          <w:sz w:val="13"/>
        </w:rPr>
        <w:t> </w:t>
      </w:r>
      <w:r>
        <w:rPr>
          <w:b/>
          <w:w w:val="105"/>
          <w:sz w:val="13"/>
        </w:rPr>
        <w:t>recognition</w:t>
      </w:r>
      <w:r>
        <w:rPr>
          <w:b/>
          <w:spacing w:val="-5"/>
          <w:w w:val="105"/>
          <w:sz w:val="13"/>
        </w:rPr>
        <w:t> </w:t>
      </w:r>
      <w:r>
        <w:rPr>
          <w:b/>
          <w:w w:val="105"/>
          <w:sz w:val="13"/>
        </w:rPr>
        <w:t>and</w:t>
      </w:r>
      <w:r>
        <w:rPr>
          <w:b/>
          <w:spacing w:val="-6"/>
          <w:w w:val="105"/>
          <w:sz w:val="13"/>
        </w:rPr>
        <w:t> </w:t>
      </w:r>
      <w:r>
        <w:rPr>
          <w:b/>
          <w:spacing w:val="-2"/>
          <w:w w:val="105"/>
          <w:sz w:val="13"/>
        </w:rPr>
        <w:t>measurement</w:t>
      </w:r>
    </w:p>
    <w:p>
      <w:pPr>
        <w:spacing w:line="273" w:lineRule="auto" w:before="16"/>
        <w:ind w:left="740" w:right="305" w:firstLine="0"/>
        <w:jc w:val="both"/>
        <w:rPr>
          <w:sz w:val="13"/>
        </w:rPr>
      </w:pPr>
      <w:r>
        <w:rPr>
          <w:w w:val="105"/>
          <w:sz w:val="13"/>
        </w:rPr>
        <w:t>Financial</w:t>
      </w:r>
      <w:r>
        <w:rPr>
          <w:w w:val="105"/>
          <w:sz w:val="13"/>
        </w:rPr>
        <w:t> assets</w:t>
      </w:r>
      <w:r>
        <w:rPr>
          <w:w w:val="105"/>
          <w:sz w:val="13"/>
        </w:rPr>
        <w:t> are</w:t>
      </w:r>
      <w:r>
        <w:rPr>
          <w:w w:val="105"/>
          <w:sz w:val="13"/>
        </w:rPr>
        <w:t> classified,</w:t>
      </w:r>
      <w:r>
        <w:rPr>
          <w:w w:val="105"/>
          <w:sz w:val="13"/>
        </w:rPr>
        <w:t> at</w:t>
      </w:r>
      <w:r>
        <w:rPr>
          <w:w w:val="105"/>
          <w:sz w:val="13"/>
        </w:rPr>
        <w:t> initial</w:t>
      </w:r>
      <w:r>
        <w:rPr>
          <w:w w:val="105"/>
          <w:sz w:val="13"/>
        </w:rPr>
        <w:t> recognition,</w:t>
      </w:r>
      <w:r>
        <w:rPr>
          <w:w w:val="105"/>
          <w:sz w:val="13"/>
        </w:rPr>
        <w:t> at</w:t>
      </w:r>
      <w:r>
        <w:rPr>
          <w:w w:val="105"/>
          <w:sz w:val="13"/>
        </w:rPr>
        <w:t> amortised</w:t>
      </w:r>
      <w:r>
        <w:rPr>
          <w:w w:val="105"/>
          <w:sz w:val="13"/>
        </w:rPr>
        <w:t> cost,</w:t>
      </w:r>
      <w:r>
        <w:rPr>
          <w:w w:val="105"/>
          <w:sz w:val="13"/>
        </w:rPr>
        <w:t> fair</w:t>
      </w:r>
      <w:r>
        <w:rPr>
          <w:w w:val="105"/>
          <w:sz w:val="13"/>
        </w:rPr>
        <w:t> value</w:t>
      </w:r>
      <w:r>
        <w:rPr>
          <w:w w:val="105"/>
          <w:sz w:val="13"/>
        </w:rPr>
        <w:t> through</w:t>
      </w:r>
      <w:r>
        <w:rPr>
          <w:w w:val="105"/>
          <w:sz w:val="13"/>
        </w:rPr>
        <w:t> other</w:t>
      </w:r>
      <w:r>
        <w:rPr>
          <w:w w:val="105"/>
          <w:sz w:val="13"/>
        </w:rPr>
        <w:t> comprehensive</w:t>
      </w:r>
      <w:r>
        <w:rPr>
          <w:w w:val="105"/>
          <w:sz w:val="13"/>
        </w:rPr>
        <w:t> income (OCI),</w:t>
      </w:r>
      <w:r>
        <w:rPr>
          <w:w w:val="105"/>
          <w:sz w:val="13"/>
        </w:rPr>
        <w:t> and fair</w:t>
      </w:r>
      <w:r>
        <w:rPr>
          <w:spacing w:val="40"/>
          <w:w w:val="105"/>
          <w:sz w:val="13"/>
        </w:rPr>
        <w:t> </w:t>
      </w:r>
      <w:r>
        <w:rPr>
          <w:w w:val="105"/>
          <w:sz w:val="13"/>
        </w:rPr>
        <w:t>value through profit or loss.</w:t>
      </w:r>
    </w:p>
    <w:p>
      <w:pPr>
        <w:spacing w:line="240" w:lineRule="auto" w:before="19"/>
        <w:rPr>
          <w:sz w:val="13"/>
        </w:rPr>
      </w:pPr>
    </w:p>
    <w:p>
      <w:pPr>
        <w:spacing w:line="273" w:lineRule="auto" w:before="0"/>
        <w:ind w:left="740" w:right="303" w:firstLine="0"/>
        <w:jc w:val="both"/>
        <w:rPr>
          <w:sz w:val="13"/>
        </w:rPr>
      </w:pPr>
      <w:r>
        <w:rPr>
          <w:w w:val="105"/>
          <w:sz w:val="13"/>
        </w:rPr>
        <w:t>The classification of</w:t>
      </w:r>
      <w:r>
        <w:rPr>
          <w:w w:val="105"/>
          <w:sz w:val="13"/>
        </w:rPr>
        <w:t> financial assets at initial recognition depends on the financial asset’s contractual cash flow characteristics and the</w:t>
      </w:r>
      <w:r>
        <w:rPr>
          <w:spacing w:val="40"/>
          <w:w w:val="105"/>
          <w:sz w:val="13"/>
        </w:rPr>
        <w:t> </w:t>
      </w:r>
      <w:r>
        <w:rPr>
          <w:w w:val="105"/>
          <w:sz w:val="13"/>
        </w:rPr>
        <w:t>Group’s</w:t>
      </w:r>
      <w:r>
        <w:rPr>
          <w:spacing w:val="-2"/>
          <w:w w:val="105"/>
          <w:sz w:val="13"/>
        </w:rPr>
        <w:t> </w:t>
      </w:r>
      <w:r>
        <w:rPr>
          <w:w w:val="105"/>
          <w:sz w:val="13"/>
        </w:rPr>
        <w:t>business</w:t>
      </w:r>
      <w:r>
        <w:rPr>
          <w:spacing w:val="-2"/>
          <w:w w:val="105"/>
          <w:sz w:val="13"/>
        </w:rPr>
        <w:t> </w:t>
      </w:r>
      <w:r>
        <w:rPr>
          <w:w w:val="105"/>
          <w:sz w:val="13"/>
        </w:rPr>
        <w:t>model</w:t>
      </w:r>
      <w:r>
        <w:rPr>
          <w:spacing w:val="-1"/>
          <w:w w:val="105"/>
          <w:sz w:val="13"/>
        </w:rPr>
        <w:t> </w:t>
      </w:r>
      <w:r>
        <w:rPr>
          <w:w w:val="105"/>
          <w:sz w:val="13"/>
        </w:rPr>
        <w:t>for</w:t>
      </w:r>
      <w:r>
        <w:rPr>
          <w:spacing w:val="-1"/>
          <w:w w:val="105"/>
          <w:sz w:val="13"/>
        </w:rPr>
        <w:t> </w:t>
      </w:r>
      <w:r>
        <w:rPr>
          <w:w w:val="105"/>
          <w:sz w:val="13"/>
        </w:rPr>
        <w:t>managing</w:t>
      </w:r>
      <w:r>
        <w:rPr>
          <w:spacing w:val="-2"/>
          <w:w w:val="105"/>
          <w:sz w:val="13"/>
        </w:rPr>
        <w:t> </w:t>
      </w:r>
      <w:r>
        <w:rPr>
          <w:w w:val="105"/>
          <w:sz w:val="13"/>
        </w:rPr>
        <w:t>them.</w:t>
      </w:r>
      <w:r>
        <w:rPr>
          <w:spacing w:val="-2"/>
          <w:w w:val="105"/>
          <w:sz w:val="13"/>
        </w:rPr>
        <w:t> </w:t>
      </w:r>
      <w:r>
        <w:rPr>
          <w:w w:val="105"/>
          <w:sz w:val="13"/>
        </w:rPr>
        <w:t>With</w:t>
      </w:r>
      <w:r>
        <w:rPr>
          <w:spacing w:val="-2"/>
          <w:w w:val="105"/>
          <w:sz w:val="13"/>
        </w:rPr>
        <w:t> </w:t>
      </w:r>
      <w:r>
        <w:rPr>
          <w:w w:val="105"/>
          <w:sz w:val="13"/>
        </w:rPr>
        <w:t>the</w:t>
      </w:r>
      <w:r>
        <w:rPr>
          <w:spacing w:val="-2"/>
          <w:w w:val="105"/>
          <w:sz w:val="13"/>
        </w:rPr>
        <w:t> </w:t>
      </w:r>
      <w:r>
        <w:rPr>
          <w:w w:val="105"/>
          <w:sz w:val="13"/>
        </w:rPr>
        <w:t>exception</w:t>
      </w:r>
      <w:r>
        <w:rPr>
          <w:spacing w:val="-2"/>
          <w:w w:val="105"/>
          <w:sz w:val="13"/>
        </w:rPr>
        <w:t> </w:t>
      </w:r>
      <w:r>
        <w:rPr>
          <w:w w:val="105"/>
          <w:sz w:val="13"/>
        </w:rPr>
        <w:t>of trade</w:t>
      </w:r>
      <w:r>
        <w:rPr>
          <w:spacing w:val="-2"/>
          <w:w w:val="105"/>
          <w:sz w:val="13"/>
        </w:rPr>
        <w:t> </w:t>
      </w:r>
      <w:r>
        <w:rPr>
          <w:w w:val="105"/>
          <w:sz w:val="13"/>
        </w:rPr>
        <w:t>receivables</w:t>
      </w:r>
      <w:r>
        <w:rPr>
          <w:spacing w:val="-2"/>
          <w:w w:val="105"/>
          <w:sz w:val="13"/>
        </w:rPr>
        <w:t> </w:t>
      </w:r>
      <w:r>
        <w:rPr>
          <w:w w:val="105"/>
          <w:sz w:val="13"/>
        </w:rPr>
        <w:t>that</w:t>
      </w:r>
      <w:r>
        <w:rPr>
          <w:spacing w:val="-2"/>
          <w:w w:val="105"/>
          <w:sz w:val="13"/>
        </w:rPr>
        <w:t> </w:t>
      </w:r>
      <w:r>
        <w:rPr>
          <w:w w:val="105"/>
          <w:sz w:val="13"/>
        </w:rPr>
        <w:t>do</w:t>
      </w:r>
      <w:r>
        <w:rPr>
          <w:spacing w:val="-1"/>
          <w:w w:val="105"/>
          <w:sz w:val="13"/>
        </w:rPr>
        <w:t> </w:t>
      </w:r>
      <w:r>
        <w:rPr>
          <w:w w:val="105"/>
          <w:sz w:val="13"/>
        </w:rPr>
        <w:t>not</w:t>
      </w:r>
      <w:r>
        <w:rPr>
          <w:spacing w:val="-2"/>
          <w:w w:val="105"/>
          <w:sz w:val="13"/>
        </w:rPr>
        <w:t> </w:t>
      </w:r>
      <w:r>
        <w:rPr>
          <w:w w:val="105"/>
          <w:sz w:val="13"/>
        </w:rPr>
        <w:t>contain</w:t>
      </w:r>
      <w:r>
        <w:rPr>
          <w:spacing w:val="-1"/>
          <w:w w:val="105"/>
          <w:sz w:val="13"/>
        </w:rPr>
        <w:t> </w:t>
      </w:r>
      <w:r>
        <w:rPr>
          <w:w w:val="105"/>
          <w:sz w:val="13"/>
        </w:rPr>
        <w:t>a</w:t>
      </w:r>
      <w:r>
        <w:rPr>
          <w:spacing w:val="-2"/>
          <w:w w:val="105"/>
          <w:sz w:val="13"/>
        </w:rPr>
        <w:t> </w:t>
      </w:r>
      <w:r>
        <w:rPr>
          <w:w w:val="105"/>
          <w:sz w:val="13"/>
        </w:rPr>
        <w:t>significant financing</w:t>
      </w:r>
      <w:r>
        <w:rPr>
          <w:spacing w:val="-2"/>
          <w:w w:val="105"/>
          <w:sz w:val="13"/>
        </w:rPr>
        <w:t> </w:t>
      </w:r>
      <w:r>
        <w:rPr>
          <w:w w:val="105"/>
          <w:sz w:val="13"/>
        </w:rPr>
        <w:t>component</w:t>
      </w:r>
      <w:r>
        <w:rPr>
          <w:spacing w:val="40"/>
          <w:w w:val="105"/>
          <w:sz w:val="13"/>
        </w:rPr>
        <w:t> </w:t>
      </w:r>
      <w:r>
        <w:rPr>
          <w:w w:val="105"/>
          <w:sz w:val="13"/>
        </w:rPr>
        <w:t>or for which the Group has applied the practical expedient, the Group initially</w:t>
      </w:r>
      <w:r>
        <w:rPr>
          <w:spacing w:val="-1"/>
          <w:w w:val="105"/>
          <w:sz w:val="13"/>
        </w:rPr>
        <w:t> </w:t>
      </w:r>
      <w:r>
        <w:rPr>
          <w:w w:val="105"/>
          <w:sz w:val="13"/>
        </w:rPr>
        <w:t>measures a financial asset at its fair value plus, in the case</w:t>
      </w:r>
      <w:r>
        <w:rPr>
          <w:spacing w:val="40"/>
          <w:w w:val="105"/>
          <w:sz w:val="13"/>
        </w:rPr>
        <w:t> </w:t>
      </w:r>
      <w:r>
        <w:rPr>
          <w:w w:val="105"/>
          <w:sz w:val="13"/>
        </w:rPr>
        <w:t>of a financial asset not at fair value through profit or loss, transaction costs.</w:t>
      </w:r>
    </w:p>
    <w:p>
      <w:pPr>
        <w:spacing w:line="240" w:lineRule="auto" w:before="19"/>
        <w:rPr>
          <w:sz w:val="13"/>
        </w:rPr>
      </w:pPr>
    </w:p>
    <w:p>
      <w:pPr>
        <w:spacing w:line="273" w:lineRule="auto" w:before="0"/>
        <w:ind w:left="740" w:right="304" w:firstLine="0"/>
        <w:jc w:val="both"/>
        <w:rPr>
          <w:sz w:val="13"/>
        </w:rPr>
      </w:pPr>
      <w:r>
        <w:rPr>
          <w:w w:val="105"/>
          <w:sz w:val="13"/>
        </w:rPr>
        <w:t>In order for a financial asset to be classified and measured at amortised cost or fair value through OCI, it needs to give rise</w:t>
      </w:r>
      <w:r>
        <w:rPr>
          <w:spacing w:val="-1"/>
          <w:w w:val="105"/>
          <w:sz w:val="13"/>
        </w:rPr>
        <w:t> </w:t>
      </w:r>
      <w:r>
        <w:rPr>
          <w:w w:val="105"/>
          <w:sz w:val="13"/>
        </w:rPr>
        <w:t>to cash</w:t>
      </w:r>
      <w:r>
        <w:rPr>
          <w:spacing w:val="-1"/>
          <w:w w:val="105"/>
          <w:sz w:val="13"/>
        </w:rPr>
        <w:t> </w:t>
      </w:r>
      <w:r>
        <w:rPr>
          <w:w w:val="105"/>
          <w:sz w:val="13"/>
        </w:rPr>
        <w:t>flows</w:t>
      </w:r>
      <w:r>
        <w:rPr>
          <w:spacing w:val="40"/>
          <w:w w:val="105"/>
          <w:sz w:val="13"/>
        </w:rPr>
        <w:t> </w:t>
      </w:r>
      <w:r>
        <w:rPr>
          <w:w w:val="105"/>
          <w:sz w:val="13"/>
        </w:rPr>
        <w:t>that</w:t>
      </w:r>
      <w:r>
        <w:rPr>
          <w:spacing w:val="-2"/>
          <w:w w:val="105"/>
          <w:sz w:val="13"/>
        </w:rPr>
        <w:t> </w:t>
      </w:r>
      <w:r>
        <w:rPr>
          <w:w w:val="105"/>
          <w:sz w:val="13"/>
        </w:rPr>
        <w:t>are</w:t>
      </w:r>
      <w:r>
        <w:rPr>
          <w:spacing w:val="-3"/>
          <w:w w:val="105"/>
          <w:sz w:val="13"/>
        </w:rPr>
        <w:t> </w:t>
      </w:r>
      <w:r>
        <w:rPr>
          <w:w w:val="105"/>
          <w:sz w:val="13"/>
        </w:rPr>
        <w:t>‘solely</w:t>
      </w:r>
      <w:r>
        <w:rPr>
          <w:spacing w:val="-5"/>
          <w:w w:val="105"/>
          <w:sz w:val="13"/>
        </w:rPr>
        <w:t> </w:t>
      </w:r>
      <w:r>
        <w:rPr>
          <w:w w:val="105"/>
          <w:sz w:val="13"/>
        </w:rPr>
        <w:t>payments</w:t>
      </w:r>
      <w:r>
        <w:rPr>
          <w:spacing w:val="-2"/>
          <w:w w:val="105"/>
          <w:sz w:val="13"/>
        </w:rPr>
        <w:t> </w:t>
      </w:r>
      <w:r>
        <w:rPr>
          <w:w w:val="105"/>
          <w:sz w:val="13"/>
        </w:rPr>
        <w:t>of principal</w:t>
      </w:r>
      <w:r>
        <w:rPr>
          <w:spacing w:val="-1"/>
          <w:w w:val="105"/>
          <w:sz w:val="13"/>
        </w:rPr>
        <w:t> </w:t>
      </w:r>
      <w:r>
        <w:rPr>
          <w:w w:val="105"/>
          <w:sz w:val="13"/>
        </w:rPr>
        <w:t>and</w:t>
      </w:r>
      <w:r>
        <w:rPr>
          <w:spacing w:val="-3"/>
          <w:w w:val="105"/>
          <w:sz w:val="13"/>
        </w:rPr>
        <w:t> </w:t>
      </w:r>
      <w:r>
        <w:rPr>
          <w:w w:val="105"/>
          <w:sz w:val="13"/>
        </w:rPr>
        <w:t>interest</w:t>
      </w:r>
      <w:r>
        <w:rPr>
          <w:spacing w:val="-3"/>
          <w:w w:val="105"/>
          <w:sz w:val="13"/>
        </w:rPr>
        <w:t> </w:t>
      </w:r>
      <w:r>
        <w:rPr>
          <w:w w:val="105"/>
          <w:sz w:val="13"/>
        </w:rPr>
        <w:t>(SPPI)’</w:t>
      </w:r>
      <w:r>
        <w:rPr>
          <w:spacing w:val="-1"/>
          <w:w w:val="105"/>
          <w:sz w:val="13"/>
        </w:rPr>
        <w:t> </w:t>
      </w:r>
      <w:r>
        <w:rPr>
          <w:w w:val="105"/>
          <w:sz w:val="13"/>
        </w:rPr>
        <w:t>on</w:t>
      </w:r>
      <w:r>
        <w:rPr>
          <w:spacing w:val="-3"/>
          <w:w w:val="105"/>
          <w:sz w:val="13"/>
        </w:rPr>
        <w:t> </w:t>
      </w:r>
      <w:r>
        <w:rPr>
          <w:w w:val="105"/>
          <w:sz w:val="13"/>
        </w:rPr>
        <w:t>the</w:t>
      </w:r>
      <w:r>
        <w:rPr>
          <w:spacing w:val="-3"/>
          <w:w w:val="105"/>
          <w:sz w:val="13"/>
        </w:rPr>
        <w:t> </w:t>
      </w:r>
      <w:r>
        <w:rPr>
          <w:w w:val="105"/>
          <w:sz w:val="13"/>
        </w:rPr>
        <w:t>principal</w:t>
      </w:r>
      <w:r>
        <w:rPr>
          <w:spacing w:val="-1"/>
          <w:w w:val="105"/>
          <w:sz w:val="13"/>
        </w:rPr>
        <w:t> </w:t>
      </w:r>
      <w:r>
        <w:rPr>
          <w:w w:val="105"/>
          <w:sz w:val="13"/>
        </w:rPr>
        <w:t>amount</w:t>
      </w:r>
      <w:r>
        <w:rPr>
          <w:spacing w:val="-2"/>
          <w:w w:val="105"/>
          <w:sz w:val="13"/>
        </w:rPr>
        <w:t> </w:t>
      </w:r>
      <w:r>
        <w:rPr>
          <w:w w:val="105"/>
          <w:sz w:val="13"/>
        </w:rPr>
        <w:t>outstanding.</w:t>
      </w:r>
      <w:r>
        <w:rPr>
          <w:spacing w:val="-2"/>
          <w:w w:val="105"/>
          <w:sz w:val="13"/>
        </w:rPr>
        <w:t> </w:t>
      </w:r>
      <w:r>
        <w:rPr>
          <w:w w:val="105"/>
          <w:sz w:val="13"/>
        </w:rPr>
        <w:t>This</w:t>
      </w:r>
      <w:r>
        <w:rPr>
          <w:spacing w:val="-2"/>
          <w:w w:val="105"/>
          <w:sz w:val="13"/>
        </w:rPr>
        <w:t> </w:t>
      </w:r>
      <w:r>
        <w:rPr>
          <w:w w:val="105"/>
          <w:sz w:val="13"/>
        </w:rPr>
        <w:t>assessment is</w:t>
      </w:r>
      <w:r>
        <w:rPr>
          <w:spacing w:val="-2"/>
          <w:w w:val="105"/>
          <w:sz w:val="13"/>
        </w:rPr>
        <w:t> </w:t>
      </w:r>
      <w:r>
        <w:rPr>
          <w:w w:val="105"/>
          <w:sz w:val="13"/>
        </w:rPr>
        <w:t>referred</w:t>
      </w:r>
      <w:r>
        <w:rPr>
          <w:spacing w:val="-1"/>
          <w:w w:val="105"/>
          <w:sz w:val="13"/>
        </w:rPr>
        <w:t> </w:t>
      </w:r>
      <w:r>
        <w:rPr>
          <w:w w:val="105"/>
          <w:sz w:val="13"/>
        </w:rPr>
        <w:t>to</w:t>
      </w:r>
      <w:r>
        <w:rPr>
          <w:spacing w:val="-3"/>
          <w:w w:val="105"/>
          <w:sz w:val="13"/>
        </w:rPr>
        <w:t> </w:t>
      </w:r>
      <w:r>
        <w:rPr>
          <w:w w:val="105"/>
          <w:sz w:val="13"/>
        </w:rPr>
        <w:t>as the</w:t>
      </w:r>
      <w:r>
        <w:rPr>
          <w:spacing w:val="-3"/>
          <w:w w:val="105"/>
          <w:sz w:val="13"/>
        </w:rPr>
        <w:t> </w:t>
      </w:r>
      <w:r>
        <w:rPr>
          <w:w w:val="105"/>
          <w:sz w:val="13"/>
        </w:rPr>
        <w:t>SPPI</w:t>
      </w:r>
      <w:r>
        <w:rPr>
          <w:spacing w:val="40"/>
          <w:w w:val="105"/>
          <w:sz w:val="13"/>
        </w:rPr>
        <w:t> </w:t>
      </w:r>
      <w:r>
        <w:rPr>
          <w:w w:val="105"/>
          <w:sz w:val="13"/>
        </w:rPr>
        <w:t>test</w:t>
      </w:r>
      <w:r>
        <w:rPr>
          <w:w w:val="105"/>
          <w:sz w:val="13"/>
        </w:rPr>
        <w:t> and is</w:t>
      </w:r>
      <w:r>
        <w:rPr>
          <w:w w:val="105"/>
          <w:sz w:val="13"/>
        </w:rPr>
        <w:t> performed</w:t>
      </w:r>
      <w:r>
        <w:rPr>
          <w:w w:val="105"/>
          <w:sz w:val="13"/>
        </w:rPr>
        <w:t> at</w:t>
      </w:r>
      <w:r>
        <w:rPr>
          <w:w w:val="105"/>
          <w:sz w:val="13"/>
        </w:rPr>
        <w:t> an</w:t>
      </w:r>
      <w:r>
        <w:rPr>
          <w:w w:val="105"/>
          <w:sz w:val="13"/>
        </w:rPr>
        <w:t> instrument</w:t>
      </w:r>
      <w:r>
        <w:rPr>
          <w:w w:val="105"/>
          <w:sz w:val="13"/>
        </w:rPr>
        <w:t> level.</w:t>
      </w:r>
      <w:r>
        <w:rPr>
          <w:w w:val="105"/>
          <w:sz w:val="13"/>
        </w:rPr>
        <w:t> The</w:t>
      </w:r>
      <w:r>
        <w:rPr>
          <w:w w:val="105"/>
          <w:sz w:val="13"/>
        </w:rPr>
        <w:t> Group’s</w:t>
      </w:r>
      <w:r>
        <w:rPr>
          <w:w w:val="105"/>
          <w:sz w:val="13"/>
        </w:rPr>
        <w:t> business</w:t>
      </w:r>
      <w:r>
        <w:rPr>
          <w:w w:val="105"/>
          <w:sz w:val="13"/>
        </w:rPr>
        <w:t> model</w:t>
      </w:r>
      <w:r>
        <w:rPr>
          <w:w w:val="105"/>
          <w:sz w:val="13"/>
        </w:rPr>
        <w:t> for</w:t>
      </w:r>
      <w:r>
        <w:rPr>
          <w:w w:val="105"/>
          <w:sz w:val="13"/>
        </w:rPr>
        <w:t> managing</w:t>
      </w:r>
      <w:r>
        <w:rPr>
          <w:w w:val="105"/>
          <w:sz w:val="13"/>
        </w:rPr>
        <w:t> financial</w:t>
      </w:r>
      <w:r>
        <w:rPr>
          <w:w w:val="105"/>
          <w:sz w:val="13"/>
        </w:rPr>
        <w:t> assets</w:t>
      </w:r>
      <w:r>
        <w:rPr>
          <w:w w:val="105"/>
          <w:sz w:val="13"/>
        </w:rPr>
        <w:t> refers</w:t>
      </w:r>
      <w:r>
        <w:rPr>
          <w:w w:val="105"/>
          <w:sz w:val="13"/>
        </w:rPr>
        <w:t> to</w:t>
      </w:r>
      <w:r>
        <w:rPr>
          <w:w w:val="105"/>
          <w:sz w:val="13"/>
        </w:rPr>
        <w:t> how it</w:t>
      </w:r>
      <w:r>
        <w:rPr>
          <w:w w:val="105"/>
          <w:sz w:val="13"/>
        </w:rPr>
        <w:t> manages</w:t>
      </w:r>
      <w:r>
        <w:rPr>
          <w:w w:val="105"/>
          <w:sz w:val="13"/>
        </w:rPr>
        <w:t> its</w:t>
      </w:r>
      <w:r>
        <w:rPr>
          <w:spacing w:val="40"/>
          <w:w w:val="105"/>
          <w:sz w:val="13"/>
        </w:rPr>
        <w:t> </w:t>
      </w:r>
      <w:r>
        <w:rPr>
          <w:w w:val="105"/>
          <w:sz w:val="13"/>
        </w:rPr>
        <w:t>financial assets in</w:t>
      </w:r>
      <w:r>
        <w:rPr>
          <w:spacing w:val="-1"/>
          <w:w w:val="105"/>
          <w:sz w:val="13"/>
        </w:rPr>
        <w:t> </w:t>
      </w:r>
      <w:r>
        <w:rPr>
          <w:w w:val="105"/>
          <w:sz w:val="13"/>
        </w:rPr>
        <w:t>order to</w:t>
      </w:r>
      <w:r>
        <w:rPr>
          <w:spacing w:val="-1"/>
          <w:w w:val="105"/>
          <w:sz w:val="13"/>
        </w:rPr>
        <w:t> </w:t>
      </w:r>
      <w:r>
        <w:rPr>
          <w:w w:val="105"/>
          <w:sz w:val="13"/>
        </w:rPr>
        <w:t>generate</w:t>
      </w:r>
      <w:r>
        <w:rPr>
          <w:spacing w:val="-1"/>
          <w:w w:val="105"/>
          <w:sz w:val="13"/>
        </w:rPr>
        <w:t> </w:t>
      </w:r>
      <w:r>
        <w:rPr>
          <w:w w:val="105"/>
          <w:sz w:val="13"/>
        </w:rPr>
        <w:t>cash</w:t>
      </w:r>
      <w:r>
        <w:rPr>
          <w:spacing w:val="-1"/>
          <w:w w:val="105"/>
          <w:sz w:val="13"/>
        </w:rPr>
        <w:t> </w:t>
      </w:r>
      <w:r>
        <w:rPr>
          <w:w w:val="105"/>
          <w:sz w:val="13"/>
        </w:rPr>
        <w:t>flows. The</w:t>
      </w:r>
      <w:r>
        <w:rPr>
          <w:spacing w:val="-3"/>
          <w:w w:val="105"/>
          <w:sz w:val="13"/>
        </w:rPr>
        <w:t> </w:t>
      </w:r>
      <w:r>
        <w:rPr>
          <w:w w:val="105"/>
          <w:sz w:val="13"/>
        </w:rPr>
        <w:t>business model</w:t>
      </w:r>
      <w:r>
        <w:rPr>
          <w:spacing w:val="-1"/>
          <w:w w:val="105"/>
          <w:sz w:val="13"/>
        </w:rPr>
        <w:t> </w:t>
      </w:r>
      <w:r>
        <w:rPr>
          <w:w w:val="105"/>
          <w:sz w:val="13"/>
        </w:rPr>
        <w:t>determines whether</w:t>
      </w:r>
      <w:r>
        <w:rPr>
          <w:spacing w:val="-1"/>
          <w:w w:val="105"/>
          <w:sz w:val="13"/>
        </w:rPr>
        <w:t> </w:t>
      </w:r>
      <w:r>
        <w:rPr>
          <w:w w:val="105"/>
          <w:sz w:val="13"/>
        </w:rPr>
        <w:t>cash</w:t>
      </w:r>
      <w:r>
        <w:rPr>
          <w:spacing w:val="-1"/>
          <w:w w:val="105"/>
          <w:sz w:val="13"/>
        </w:rPr>
        <w:t> </w:t>
      </w:r>
      <w:r>
        <w:rPr>
          <w:w w:val="105"/>
          <w:sz w:val="13"/>
        </w:rPr>
        <w:t>flows</w:t>
      </w:r>
      <w:r>
        <w:rPr>
          <w:spacing w:val="-2"/>
          <w:w w:val="105"/>
          <w:sz w:val="13"/>
        </w:rPr>
        <w:t> </w:t>
      </w:r>
      <w:r>
        <w:rPr>
          <w:w w:val="105"/>
          <w:sz w:val="13"/>
        </w:rPr>
        <w:t>will result</w:t>
      </w:r>
      <w:r>
        <w:rPr>
          <w:spacing w:val="-2"/>
          <w:w w:val="105"/>
          <w:sz w:val="13"/>
        </w:rPr>
        <w:t> </w:t>
      </w:r>
      <w:r>
        <w:rPr>
          <w:w w:val="105"/>
          <w:sz w:val="13"/>
        </w:rPr>
        <w:t>from collecting</w:t>
      </w:r>
      <w:r>
        <w:rPr>
          <w:spacing w:val="-3"/>
          <w:w w:val="105"/>
          <w:sz w:val="13"/>
        </w:rPr>
        <w:t> </w:t>
      </w:r>
      <w:r>
        <w:rPr>
          <w:w w:val="105"/>
          <w:sz w:val="13"/>
        </w:rPr>
        <w:t>contractual</w:t>
      </w:r>
      <w:r>
        <w:rPr>
          <w:spacing w:val="40"/>
          <w:w w:val="105"/>
          <w:sz w:val="13"/>
        </w:rPr>
        <w:t> </w:t>
      </w:r>
      <w:r>
        <w:rPr>
          <w:w w:val="105"/>
          <w:sz w:val="13"/>
        </w:rPr>
        <w:t>cash flows, selling the financial assets, or both.</w:t>
      </w:r>
    </w:p>
    <w:p>
      <w:pPr>
        <w:spacing w:line="240" w:lineRule="auto" w:before="18"/>
        <w:rPr>
          <w:sz w:val="13"/>
        </w:rPr>
      </w:pPr>
    </w:p>
    <w:p>
      <w:pPr>
        <w:spacing w:line="273" w:lineRule="auto" w:before="0"/>
        <w:ind w:left="740" w:right="304" w:firstLine="0"/>
        <w:jc w:val="both"/>
        <w:rPr>
          <w:sz w:val="13"/>
        </w:rPr>
      </w:pPr>
      <w:r>
        <w:rPr>
          <w:w w:val="105"/>
          <w:sz w:val="13"/>
        </w:rPr>
        <w:t>Purchases or sales of financial assets that require delivery of assets within a time frame established by regulation or convention in the</w:t>
      </w:r>
      <w:r>
        <w:rPr>
          <w:spacing w:val="40"/>
          <w:w w:val="105"/>
          <w:sz w:val="13"/>
        </w:rPr>
        <w:t> </w:t>
      </w:r>
      <w:r>
        <w:rPr>
          <w:w w:val="105"/>
          <w:sz w:val="13"/>
        </w:rPr>
        <w:t>market</w:t>
      </w:r>
      <w:r>
        <w:rPr>
          <w:spacing w:val="-1"/>
          <w:w w:val="105"/>
          <w:sz w:val="13"/>
        </w:rPr>
        <w:t> </w:t>
      </w:r>
      <w:r>
        <w:rPr>
          <w:w w:val="105"/>
          <w:sz w:val="13"/>
        </w:rPr>
        <w:t>place</w:t>
      </w:r>
      <w:r>
        <w:rPr>
          <w:spacing w:val="-1"/>
          <w:w w:val="105"/>
          <w:sz w:val="13"/>
        </w:rPr>
        <w:t> </w:t>
      </w:r>
      <w:r>
        <w:rPr>
          <w:w w:val="105"/>
          <w:sz w:val="13"/>
        </w:rPr>
        <w:t>(regular way</w:t>
      </w:r>
      <w:r>
        <w:rPr>
          <w:spacing w:val="-6"/>
          <w:w w:val="105"/>
          <w:sz w:val="13"/>
        </w:rPr>
        <w:t> </w:t>
      </w:r>
      <w:r>
        <w:rPr>
          <w:w w:val="105"/>
          <w:sz w:val="13"/>
        </w:rPr>
        <w:t>trades) are</w:t>
      </w:r>
      <w:r>
        <w:rPr>
          <w:spacing w:val="-1"/>
          <w:w w:val="105"/>
          <w:sz w:val="13"/>
        </w:rPr>
        <w:t> </w:t>
      </w:r>
      <w:r>
        <w:rPr>
          <w:w w:val="105"/>
          <w:sz w:val="13"/>
        </w:rPr>
        <w:t>recognised</w:t>
      </w:r>
      <w:r>
        <w:rPr>
          <w:spacing w:val="-1"/>
          <w:w w:val="105"/>
          <w:sz w:val="13"/>
        </w:rPr>
        <w:t> </w:t>
      </w:r>
      <w:r>
        <w:rPr>
          <w:w w:val="105"/>
          <w:sz w:val="13"/>
        </w:rPr>
        <w:t>on</w:t>
      </w:r>
      <w:r>
        <w:rPr>
          <w:spacing w:val="-1"/>
          <w:w w:val="105"/>
          <w:sz w:val="13"/>
        </w:rPr>
        <w:t> </w:t>
      </w:r>
      <w:r>
        <w:rPr>
          <w:w w:val="105"/>
          <w:sz w:val="13"/>
        </w:rPr>
        <w:t>the</w:t>
      </w:r>
      <w:r>
        <w:rPr>
          <w:spacing w:val="-1"/>
          <w:w w:val="105"/>
          <w:sz w:val="13"/>
        </w:rPr>
        <w:t> </w:t>
      </w:r>
      <w:r>
        <w:rPr>
          <w:w w:val="105"/>
          <w:sz w:val="13"/>
        </w:rPr>
        <w:t>trade</w:t>
      </w:r>
      <w:r>
        <w:rPr>
          <w:spacing w:val="-1"/>
          <w:w w:val="105"/>
          <w:sz w:val="13"/>
        </w:rPr>
        <w:t> </w:t>
      </w:r>
      <w:r>
        <w:rPr>
          <w:w w:val="105"/>
          <w:sz w:val="13"/>
        </w:rPr>
        <w:t>date,</w:t>
      </w:r>
      <w:r>
        <w:rPr>
          <w:spacing w:val="-1"/>
          <w:w w:val="105"/>
          <w:sz w:val="13"/>
        </w:rPr>
        <w:t> </w:t>
      </w:r>
      <w:r>
        <w:rPr>
          <w:w w:val="105"/>
          <w:sz w:val="13"/>
        </w:rPr>
        <w:t>i.e.,</w:t>
      </w:r>
      <w:r>
        <w:rPr>
          <w:spacing w:val="-1"/>
          <w:w w:val="105"/>
          <w:sz w:val="13"/>
        </w:rPr>
        <w:t> </w:t>
      </w:r>
      <w:r>
        <w:rPr>
          <w:w w:val="105"/>
          <w:sz w:val="13"/>
        </w:rPr>
        <w:t>the</w:t>
      </w:r>
      <w:r>
        <w:rPr>
          <w:spacing w:val="-1"/>
          <w:w w:val="105"/>
          <w:sz w:val="13"/>
        </w:rPr>
        <w:t> </w:t>
      </w:r>
      <w:r>
        <w:rPr>
          <w:w w:val="105"/>
          <w:sz w:val="13"/>
        </w:rPr>
        <w:t>date</w:t>
      </w:r>
      <w:r>
        <w:rPr>
          <w:spacing w:val="-1"/>
          <w:w w:val="105"/>
          <w:sz w:val="13"/>
        </w:rPr>
        <w:t> </w:t>
      </w:r>
      <w:r>
        <w:rPr>
          <w:w w:val="105"/>
          <w:sz w:val="13"/>
        </w:rPr>
        <w:t>that</w:t>
      </w:r>
      <w:r>
        <w:rPr>
          <w:spacing w:val="-1"/>
          <w:w w:val="105"/>
          <w:sz w:val="13"/>
        </w:rPr>
        <w:t> </w:t>
      </w:r>
      <w:r>
        <w:rPr>
          <w:w w:val="105"/>
          <w:sz w:val="13"/>
        </w:rPr>
        <w:t>the</w:t>
      </w:r>
      <w:r>
        <w:rPr>
          <w:spacing w:val="-1"/>
          <w:w w:val="105"/>
          <w:sz w:val="13"/>
        </w:rPr>
        <w:t> </w:t>
      </w:r>
      <w:r>
        <w:rPr>
          <w:w w:val="105"/>
          <w:sz w:val="13"/>
        </w:rPr>
        <w:t>Group</w:t>
      </w:r>
      <w:r>
        <w:rPr>
          <w:spacing w:val="-1"/>
          <w:w w:val="105"/>
          <w:sz w:val="13"/>
        </w:rPr>
        <w:t> </w:t>
      </w:r>
      <w:r>
        <w:rPr>
          <w:w w:val="105"/>
          <w:sz w:val="13"/>
        </w:rPr>
        <w:t>commits to</w:t>
      </w:r>
      <w:r>
        <w:rPr>
          <w:spacing w:val="-1"/>
          <w:w w:val="105"/>
          <w:sz w:val="13"/>
        </w:rPr>
        <w:t> </w:t>
      </w:r>
      <w:r>
        <w:rPr>
          <w:w w:val="105"/>
          <w:sz w:val="13"/>
        </w:rPr>
        <w:t>purchase</w:t>
      </w:r>
      <w:r>
        <w:rPr>
          <w:spacing w:val="-1"/>
          <w:w w:val="105"/>
          <w:sz w:val="13"/>
        </w:rPr>
        <w:t> </w:t>
      </w:r>
      <w:r>
        <w:rPr>
          <w:w w:val="105"/>
          <w:sz w:val="13"/>
        </w:rPr>
        <w:t>or sell the</w:t>
      </w:r>
      <w:r>
        <w:rPr>
          <w:spacing w:val="-1"/>
          <w:w w:val="105"/>
          <w:sz w:val="13"/>
        </w:rPr>
        <w:t> </w:t>
      </w:r>
      <w:r>
        <w:rPr>
          <w:w w:val="105"/>
          <w:sz w:val="13"/>
        </w:rPr>
        <w:t>asset.</w:t>
      </w:r>
    </w:p>
    <w:p>
      <w:pPr>
        <w:spacing w:after="0" w:line="273" w:lineRule="auto"/>
        <w:jc w:val="both"/>
        <w:rPr>
          <w:sz w:val="13"/>
        </w:rPr>
        <w:sectPr>
          <w:pgSz w:w="11910" w:h="16840"/>
          <w:pgMar w:header="468" w:footer="0" w:top="1580" w:bottom="280" w:left="1020" w:right="1540"/>
        </w:sectPr>
      </w:pPr>
    </w:p>
    <w:p>
      <w:pPr>
        <w:spacing w:before="81"/>
        <w:ind w:left="154" w:right="0" w:firstLine="0"/>
        <w:jc w:val="left"/>
        <w:rPr>
          <w:sz w:val="22"/>
        </w:rPr>
      </w:pPr>
      <w:r>
        <w:rPr>
          <w:color w:val="0070C0"/>
          <w:sz w:val="22"/>
        </w:rPr>
        <w:t>NOTES</w:t>
      </w:r>
      <w:r>
        <w:rPr>
          <w:color w:val="0070C0"/>
          <w:spacing w:val="-9"/>
          <w:sz w:val="22"/>
        </w:rPr>
        <w:t> </w:t>
      </w:r>
      <w:r>
        <w:rPr>
          <w:color w:val="0070C0"/>
          <w:sz w:val="22"/>
        </w:rPr>
        <w:t>TO</w:t>
      </w:r>
      <w:r>
        <w:rPr>
          <w:color w:val="0070C0"/>
          <w:spacing w:val="-9"/>
          <w:sz w:val="22"/>
        </w:rPr>
        <w:t> </w:t>
      </w:r>
      <w:r>
        <w:rPr>
          <w:color w:val="0070C0"/>
          <w:sz w:val="22"/>
        </w:rPr>
        <w:t>THE</w:t>
      </w:r>
      <w:r>
        <w:rPr>
          <w:color w:val="0070C0"/>
          <w:spacing w:val="-9"/>
          <w:sz w:val="22"/>
        </w:rPr>
        <w:t> </w:t>
      </w:r>
      <w:r>
        <w:rPr>
          <w:color w:val="0070C0"/>
          <w:sz w:val="22"/>
        </w:rPr>
        <w:t>FINANCIAL</w:t>
      </w:r>
      <w:r>
        <w:rPr>
          <w:color w:val="0070C0"/>
          <w:spacing w:val="-9"/>
          <w:sz w:val="22"/>
        </w:rPr>
        <w:t> </w:t>
      </w:r>
      <w:r>
        <w:rPr>
          <w:color w:val="0070C0"/>
          <w:spacing w:val="-2"/>
          <w:sz w:val="22"/>
        </w:rPr>
        <w:t>STATEMENTS</w:t>
      </w:r>
    </w:p>
    <w:p>
      <w:pPr>
        <w:spacing w:before="31"/>
        <w:ind w:left="141" w:right="0" w:firstLine="0"/>
        <w:jc w:val="left"/>
        <w:rPr>
          <w:sz w:val="12"/>
        </w:rPr>
      </w:pPr>
      <w:r>
        <w:rPr>
          <w:w w:val="105"/>
          <w:sz w:val="12"/>
        </w:rPr>
        <w:t>for</w:t>
      </w:r>
      <w:r>
        <w:rPr>
          <w:spacing w:val="-8"/>
          <w:w w:val="105"/>
          <w:sz w:val="12"/>
        </w:rPr>
        <w:t> </w:t>
      </w:r>
      <w:r>
        <w:rPr>
          <w:w w:val="105"/>
          <w:sz w:val="12"/>
        </w:rPr>
        <w:t>the</w:t>
      </w:r>
      <w:r>
        <w:rPr>
          <w:spacing w:val="-9"/>
          <w:w w:val="105"/>
          <w:sz w:val="12"/>
        </w:rPr>
        <w:t> </w:t>
      </w:r>
      <w:r>
        <w:rPr>
          <w:w w:val="105"/>
          <w:sz w:val="12"/>
        </w:rPr>
        <w:t>year</w:t>
      </w:r>
      <w:r>
        <w:rPr>
          <w:spacing w:val="-8"/>
          <w:w w:val="105"/>
          <w:sz w:val="12"/>
        </w:rPr>
        <w:t> </w:t>
      </w:r>
      <w:r>
        <w:rPr>
          <w:w w:val="105"/>
          <w:sz w:val="12"/>
        </w:rPr>
        <w:t>ended</w:t>
      </w:r>
      <w:r>
        <w:rPr>
          <w:spacing w:val="-8"/>
          <w:w w:val="105"/>
          <w:sz w:val="12"/>
        </w:rPr>
        <w:t> </w:t>
      </w:r>
      <w:r>
        <w:rPr>
          <w:w w:val="105"/>
          <w:sz w:val="12"/>
        </w:rPr>
        <w:t>31</w:t>
      </w:r>
      <w:r>
        <w:rPr>
          <w:spacing w:val="-9"/>
          <w:w w:val="105"/>
          <w:sz w:val="12"/>
        </w:rPr>
        <w:t> </w:t>
      </w:r>
      <w:r>
        <w:rPr>
          <w:w w:val="105"/>
          <w:sz w:val="12"/>
        </w:rPr>
        <w:t>December</w:t>
      </w:r>
      <w:r>
        <w:rPr>
          <w:spacing w:val="-8"/>
          <w:w w:val="105"/>
          <w:sz w:val="12"/>
        </w:rPr>
        <w:t> </w:t>
      </w:r>
      <w:r>
        <w:rPr>
          <w:spacing w:val="-4"/>
          <w:w w:val="105"/>
          <w:sz w:val="12"/>
        </w:rPr>
        <w:t>2020</w:t>
      </w:r>
    </w:p>
    <w:p>
      <w:pPr>
        <w:spacing w:line="240" w:lineRule="auto" w:before="0"/>
        <w:rPr>
          <w:sz w:val="12"/>
        </w:rPr>
      </w:pPr>
    </w:p>
    <w:p>
      <w:pPr>
        <w:spacing w:line="240" w:lineRule="auto" w:before="80"/>
        <w:rPr>
          <w:sz w:val="12"/>
        </w:rPr>
      </w:pPr>
    </w:p>
    <w:p>
      <w:pPr>
        <w:spacing w:before="0"/>
        <w:ind w:left="750" w:right="0" w:firstLine="0"/>
        <w:jc w:val="left"/>
        <w:rPr>
          <w:b/>
          <w:sz w:val="13"/>
        </w:rPr>
      </w:pPr>
      <w:r>
        <w:rPr>
          <w:b/>
          <w:w w:val="105"/>
          <w:sz w:val="13"/>
        </w:rPr>
        <w:t>Subsequent</w:t>
      </w:r>
      <w:r>
        <w:rPr>
          <w:b/>
          <w:spacing w:val="-7"/>
          <w:w w:val="105"/>
          <w:sz w:val="13"/>
        </w:rPr>
        <w:t> </w:t>
      </w:r>
      <w:r>
        <w:rPr>
          <w:b/>
          <w:spacing w:val="-2"/>
          <w:w w:val="105"/>
          <w:sz w:val="13"/>
        </w:rPr>
        <w:t>measurement</w:t>
      </w:r>
    </w:p>
    <w:p>
      <w:pPr>
        <w:spacing w:before="16"/>
        <w:ind w:left="750" w:right="0" w:firstLine="0"/>
        <w:jc w:val="left"/>
        <w:rPr>
          <w:sz w:val="13"/>
        </w:rPr>
      </w:pPr>
      <w:r>
        <w:rPr>
          <w:w w:val="105"/>
          <w:sz w:val="13"/>
        </w:rPr>
        <w:t>For</w:t>
      </w:r>
      <w:r>
        <w:rPr>
          <w:spacing w:val="-6"/>
          <w:w w:val="105"/>
          <w:sz w:val="13"/>
        </w:rPr>
        <w:t> </w:t>
      </w:r>
      <w:r>
        <w:rPr>
          <w:w w:val="105"/>
          <w:sz w:val="13"/>
        </w:rPr>
        <w:t>purposes</w:t>
      </w:r>
      <w:r>
        <w:rPr>
          <w:spacing w:val="-6"/>
          <w:w w:val="105"/>
          <w:sz w:val="13"/>
        </w:rPr>
        <w:t> </w:t>
      </w:r>
      <w:r>
        <w:rPr>
          <w:w w:val="105"/>
          <w:sz w:val="13"/>
        </w:rPr>
        <w:t>of</w:t>
      </w:r>
      <w:r>
        <w:rPr>
          <w:spacing w:val="-4"/>
          <w:w w:val="105"/>
          <w:sz w:val="13"/>
        </w:rPr>
        <w:t> </w:t>
      </w:r>
      <w:r>
        <w:rPr>
          <w:w w:val="105"/>
          <w:sz w:val="13"/>
        </w:rPr>
        <w:t>subsequent</w:t>
      </w:r>
      <w:r>
        <w:rPr>
          <w:spacing w:val="-7"/>
          <w:w w:val="105"/>
          <w:sz w:val="13"/>
        </w:rPr>
        <w:t> </w:t>
      </w:r>
      <w:r>
        <w:rPr>
          <w:w w:val="105"/>
          <w:sz w:val="13"/>
        </w:rPr>
        <w:t>measurement,</w:t>
      </w:r>
      <w:r>
        <w:rPr>
          <w:spacing w:val="-7"/>
          <w:w w:val="105"/>
          <w:sz w:val="13"/>
        </w:rPr>
        <w:t> </w:t>
      </w:r>
      <w:r>
        <w:rPr>
          <w:w w:val="105"/>
          <w:sz w:val="13"/>
        </w:rPr>
        <w:t>financial</w:t>
      </w:r>
      <w:r>
        <w:rPr>
          <w:spacing w:val="-6"/>
          <w:w w:val="105"/>
          <w:sz w:val="13"/>
        </w:rPr>
        <w:t> </w:t>
      </w:r>
      <w:r>
        <w:rPr>
          <w:w w:val="105"/>
          <w:sz w:val="13"/>
        </w:rPr>
        <w:t>assets</w:t>
      </w:r>
      <w:r>
        <w:rPr>
          <w:spacing w:val="-6"/>
          <w:w w:val="105"/>
          <w:sz w:val="13"/>
        </w:rPr>
        <w:t> </w:t>
      </w:r>
      <w:r>
        <w:rPr>
          <w:w w:val="105"/>
          <w:sz w:val="13"/>
        </w:rPr>
        <w:t>are</w:t>
      </w:r>
      <w:r>
        <w:rPr>
          <w:spacing w:val="-7"/>
          <w:w w:val="105"/>
          <w:sz w:val="13"/>
        </w:rPr>
        <w:t> </w:t>
      </w:r>
      <w:r>
        <w:rPr>
          <w:w w:val="105"/>
          <w:sz w:val="13"/>
        </w:rPr>
        <w:t>classified</w:t>
      </w:r>
      <w:r>
        <w:rPr>
          <w:spacing w:val="-7"/>
          <w:w w:val="105"/>
          <w:sz w:val="13"/>
        </w:rPr>
        <w:t> </w:t>
      </w:r>
      <w:r>
        <w:rPr>
          <w:w w:val="105"/>
          <w:sz w:val="13"/>
        </w:rPr>
        <w:t>in</w:t>
      </w:r>
      <w:r>
        <w:rPr>
          <w:spacing w:val="-6"/>
          <w:w w:val="105"/>
          <w:sz w:val="13"/>
        </w:rPr>
        <w:t> </w:t>
      </w:r>
      <w:r>
        <w:rPr>
          <w:w w:val="105"/>
          <w:sz w:val="13"/>
        </w:rPr>
        <w:t>five</w:t>
      </w:r>
      <w:r>
        <w:rPr>
          <w:spacing w:val="-7"/>
          <w:w w:val="105"/>
          <w:sz w:val="13"/>
        </w:rPr>
        <w:t> </w:t>
      </w:r>
      <w:r>
        <w:rPr>
          <w:spacing w:val="-2"/>
          <w:w w:val="105"/>
          <w:sz w:val="13"/>
        </w:rPr>
        <w:t>categories:</w:t>
      </w:r>
    </w:p>
    <w:p>
      <w:pPr>
        <w:pStyle w:val="ListParagraph"/>
        <w:numPr>
          <w:ilvl w:val="0"/>
          <w:numId w:val="33"/>
        </w:numPr>
        <w:tabs>
          <w:tab w:pos="873" w:val="left" w:leader="none"/>
        </w:tabs>
        <w:spacing w:line="240" w:lineRule="auto" w:before="19" w:after="0"/>
        <w:ind w:left="873" w:right="0" w:hanging="123"/>
        <w:jc w:val="left"/>
        <w:rPr>
          <w:sz w:val="13"/>
        </w:rPr>
      </w:pPr>
      <w:r>
        <w:rPr>
          <w:w w:val="105"/>
          <w:sz w:val="13"/>
        </w:rPr>
        <w:t>(Other)</w:t>
      </w:r>
      <w:r>
        <w:rPr>
          <w:spacing w:val="-6"/>
          <w:w w:val="105"/>
          <w:sz w:val="13"/>
        </w:rPr>
        <w:t> </w:t>
      </w:r>
      <w:r>
        <w:rPr>
          <w:w w:val="105"/>
          <w:sz w:val="13"/>
        </w:rPr>
        <w:t>financial</w:t>
      </w:r>
      <w:r>
        <w:rPr>
          <w:spacing w:val="-6"/>
          <w:w w:val="105"/>
          <w:sz w:val="13"/>
        </w:rPr>
        <w:t> </w:t>
      </w:r>
      <w:r>
        <w:rPr>
          <w:w w:val="105"/>
          <w:sz w:val="13"/>
        </w:rPr>
        <w:t>assets</w:t>
      </w:r>
      <w:r>
        <w:rPr>
          <w:spacing w:val="-6"/>
          <w:w w:val="105"/>
          <w:sz w:val="13"/>
        </w:rPr>
        <w:t> </w:t>
      </w:r>
      <w:r>
        <w:rPr>
          <w:w w:val="105"/>
          <w:sz w:val="13"/>
        </w:rPr>
        <w:t>at</w:t>
      </w:r>
      <w:r>
        <w:rPr>
          <w:spacing w:val="-7"/>
          <w:w w:val="105"/>
          <w:sz w:val="13"/>
        </w:rPr>
        <w:t> </w:t>
      </w:r>
      <w:r>
        <w:rPr>
          <w:w w:val="105"/>
          <w:sz w:val="13"/>
        </w:rPr>
        <w:t>amortised</w:t>
      </w:r>
      <w:r>
        <w:rPr>
          <w:spacing w:val="-8"/>
          <w:w w:val="105"/>
          <w:sz w:val="13"/>
        </w:rPr>
        <w:t> </w:t>
      </w:r>
      <w:r>
        <w:rPr>
          <w:spacing w:val="-2"/>
          <w:w w:val="105"/>
          <w:sz w:val="13"/>
        </w:rPr>
        <w:t>costs;</w:t>
      </w:r>
    </w:p>
    <w:p>
      <w:pPr>
        <w:pStyle w:val="ListParagraph"/>
        <w:numPr>
          <w:ilvl w:val="0"/>
          <w:numId w:val="33"/>
        </w:numPr>
        <w:tabs>
          <w:tab w:pos="873" w:val="left" w:leader="none"/>
        </w:tabs>
        <w:spacing w:line="240" w:lineRule="auto" w:before="38" w:after="0"/>
        <w:ind w:left="873" w:right="0" w:hanging="123"/>
        <w:jc w:val="left"/>
        <w:rPr>
          <w:sz w:val="13"/>
        </w:rPr>
      </w:pPr>
      <w:r>
        <w:rPr>
          <w:w w:val="105"/>
          <w:sz w:val="13"/>
        </w:rPr>
        <w:t>(Other)</w:t>
      </w:r>
      <w:r>
        <w:rPr>
          <w:spacing w:val="-6"/>
          <w:w w:val="105"/>
          <w:sz w:val="13"/>
        </w:rPr>
        <w:t> </w:t>
      </w:r>
      <w:r>
        <w:rPr>
          <w:w w:val="105"/>
          <w:sz w:val="13"/>
        </w:rPr>
        <w:t>financial</w:t>
      </w:r>
      <w:r>
        <w:rPr>
          <w:spacing w:val="-7"/>
          <w:w w:val="105"/>
          <w:sz w:val="13"/>
        </w:rPr>
        <w:t> </w:t>
      </w:r>
      <w:r>
        <w:rPr>
          <w:w w:val="105"/>
          <w:sz w:val="13"/>
        </w:rPr>
        <w:t>assets</w:t>
      </w:r>
      <w:r>
        <w:rPr>
          <w:spacing w:val="-7"/>
          <w:w w:val="105"/>
          <w:sz w:val="13"/>
        </w:rPr>
        <w:t> </w:t>
      </w:r>
      <w:r>
        <w:rPr>
          <w:w w:val="105"/>
          <w:sz w:val="13"/>
        </w:rPr>
        <w:t>at</w:t>
      </w:r>
      <w:r>
        <w:rPr>
          <w:spacing w:val="-7"/>
          <w:w w:val="105"/>
          <w:sz w:val="13"/>
        </w:rPr>
        <w:t> </w:t>
      </w:r>
      <w:r>
        <w:rPr>
          <w:w w:val="105"/>
          <w:sz w:val="13"/>
        </w:rPr>
        <w:t>fair</w:t>
      </w:r>
      <w:r>
        <w:rPr>
          <w:spacing w:val="-6"/>
          <w:w w:val="105"/>
          <w:sz w:val="13"/>
        </w:rPr>
        <w:t> </w:t>
      </w:r>
      <w:r>
        <w:rPr>
          <w:w w:val="105"/>
          <w:sz w:val="13"/>
        </w:rPr>
        <w:t>value</w:t>
      </w:r>
      <w:r>
        <w:rPr>
          <w:spacing w:val="-8"/>
          <w:w w:val="105"/>
          <w:sz w:val="13"/>
        </w:rPr>
        <w:t> </w:t>
      </w:r>
      <w:r>
        <w:rPr>
          <w:w w:val="105"/>
          <w:sz w:val="13"/>
        </w:rPr>
        <w:t>through</w:t>
      </w:r>
      <w:r>
        <w:rPr>
          <w:spacing w:val="-7"/>
          <w:w w:val="105"/>
          <w:sz w:val="13"/>
        </w:rPr>
        <w:t> </w:t>
      </w:r>
      <w:r>
        <w:rPr>
          <w:w w:val="105"/>
          <w:sz w:val="13"/>
        </w:rPr>
        <w:t>other</w:t>
      </w:r>
      <w:r>
        <w:rPr>
          <w:spacing w:val="-6"/>
          <w:w w:val="105"/>
          <w:sz w:val="13"/>
        </w:rPr>
        <w:t> </w:t>
      </w:r>
      <w:r>
        <w:rPr>
          <w:w w:val="105"/>
          <w:sz w:val="13"/>
        </w:rPr>
        <w:t>comprehensive</w:t>
      </w:r>
      <w:r>
        <w:rPr>
          <w:spacing w:val="-8"/>
          <w:w w:val="105"/>
          <w:sz w:val="13"/>
        </w:rPr>
        <w:t> </w:t>
      </w:r>
      <w:r>
        <w:rPr>
          <w:spacing w:val="-2"/>
          <w:w w:val="105"/>
          <w:sz w:val="13"/>
        </w:rPr>
        <w:t>income;</w:t>
      </w:r>
    </w:p>
    <w:p>
      <w:pPr>
        <w:pStyle w:val="ListParagraph"/>
        <w:numPr>
          <w:ilvl w:val="0"/>
          <w:numId w:val="33"/>
        </w:numPr>
        <w:tabs>
          <w:tab w:pos="873" w:val="left" w:leader="none"/>
        </w:tabs>
        <w:spacing w:line="240" w:lineRule="auto" w:before="34" w:after="0"/>
        <w:ind w:left="873" w:right="0" w:hanging="123"/>
        <w:jc w:val="left"/>
        <w:rPr>
          <w:sz w:val="13"/>
        </w:rPr>
      </w:pPr>
      <w:r>
        <w:rPr>
          <w:w w:val="105"/>
          <w:sz w:val="13"/>
        </w:rPr>
        <w:t>Investments</w:t>
      </w:r>
      <w:r>
        <w:rPr>
          <w:spacing w:val="-10"/>
          <w:w w:val="105"/>
          <w:sz w:val="13"/>
        </w:rPr>
        <w:t> </w:t>
      </w:r>
      <w:r>
        <w:rPr>
          <w:w w:val="105"/>
          <w:sz w:val="13"/>
        </w:rPr>
        <w:t>in</w:t>
      </w:r>
      <w:r>
        <w:rPr>
          <w:spacing w:val="-9"/>
          <w:w w:val="105"/>
          <w:sz w:val="13"/>
        </w:rPr>
        <w:t> </w:t>
      </w:r>
      <w:r>
        <w:rPr>
          <w:w w:val="105"/>
          <w:sz w:val="13"/>
        </w:rPr>
        <w:t>equity</w:t>
      </w:r>
      <w:r>
        <w:rPr>
          <w:spacing w:val="-10"/>
          <w:w w:val="105"/>
          <w:sz w:val="13"/>
        </w:rPr>
        <w:t> </w:t>
      </w:r>
      <w:r>
        <w:rPr>
          <w:w w:val="105"/>
          <w:sz w:val="13"/>
        </w:rPr>
        <w:t>instruments</w:t>
      </w:r>
      <w:r>
        <w:rPr>
          <w:spacing w:val="-8"/>
          <w:w w:val="105"/>
          <w:sz w:val="13"/>
        </w:rPr>
        <w:t> </w:t>
      </w:r>
      <w:r>
        <w:rPr>
          <w:w w:val="105"/>
          <w:sz w:val="13"/>
        </w:rPr>
        <w:t>designated</w:t>
      </w:r>
      <w:r>
        <w:rPr>
          <w:spacing w:val="-9"/>
          <w:w w:val="105"/>
          <w:sz w:val="13"/>
        </w:rPr>
        <w:t> </w:t>
      </w:r>
      <w:r>
        <w:rPr>
          <w:w w:val="105"/>
          <w:sz w:val="13"/>
        </w:rPr>
        <w:t>at</w:t>
      </w:r>
      <w:r>
        <w:rPr>
          <w:spacing w:val="-8"/>
          <w:w w:val="105"/>
          <w:sz w:val="13"/>
        </w:rPr>
        <w:t> </w:t>
      </w:r>
      <w:r>
        <w:rPr>
          <w:w w:val="105"/>
          <w:sz w:val="13"/>
        </w:rPr>
        <w:t>fair</w:t>
      </w:r>
      <w:r>
        <w:rPr>
          <w:spacing w:val="-7"/>
          <w:w w:val="105"/>
          <w:sz w:val="13"/>
        </w:rPr>
        <w:t> </w:t>
      </w:r>
      <w:r>
        <w:rPr>
          <w:w w:val="105"/>
          <w:sz w:val="13"/>
        </w:rPr>
        <w:t>value</w:t>
      </w:r>
      <w:r>
        <w:rPr>
          <w:spacing w:val="-9"/>
          <w:w w:val="105"/>
          <w:sz w:val="13"/>
        </w:rPr>
        <w:t> </w:t>
      </w:r>
      <w:r>
        <w:rPr>
          <w:w w:val="105"/>
          <w:sz w:val="13"/>
        </w:rPr>
        <w:t>through</w:t>
      </w:r>
      <w:r>
        <w:rPr>
          <w:spacing w:val="-9"/>
          <w:w w:val="105"/>
          <w:sz w:val="13"/>
        </w:rPr>
        <w:t> </w:t>
      </w:r>
      <w:r>
        <w:rPr>
          <w:w w:val="105"/>
          <w:sz w:val="13"/>
        </w:rPr>
        <w:t>other</w:t>
      </w:r>
      <w:r>
        <w:rPr>
          <w:spacing w:val="-7"/>
          <w:w w:val="105"/>
          <w:sz w:val="13"/>
        </w:rPr>
        <w:t> </w:t>
      </w:r>
      <w:r>
        <w:rPr>
          <w:w w:val="105"/>
          <w:sz w:val="13"/>
        </w:rPr>
        <w:t>comprehensive</w:t>
      </w:r>
      <w:r>
        <w:rPr>
          <w:spacing w:val="-8"/>
          <w:w w:val="105"/>
          <w:sz w:val="13"/>
        </w:rPr>
        <w:t> </w:t>
      </w:r>
      <w:r>
        <w:rPr>
          <w:spacing w:val="-2"/>
          <w:w w:val="105"/>
          <w:sz w:val="13"/>
        </w:rPr>
        <w:t>income;</w:t>
      </w:r>
    </w:p>
    <w:p>
      <w:pPr>
        <w:pStyle w:val="ListParagraph"/>
        <w:numPr>
          <w:ilvl w:val="0"/>
          <w:numId w:val="33"/>
        </w:numPr>
        <w:tabs>
          <w:tab w:pos="873" w:val="left" w:leader="none"/>
        </w:tabs>
        <w:spacing w:line="240" w:lineRule="auto" w:before="33" w:after="0"/>
        <w:ind w:left="873" w:right="0" w:hanging="123"/>
        <w:jc w:val="left"/>
        <w:rPr>
          <w:sz w:val="13"/>
        </w:rPr>
      </w:pPr>
      <w:r>
        <w:rPr>
          <w:w w:val="105"/>
          <w:sz w:val="13"/>
        </w:rPr>
        <w:t>(Other)</w:t>
      </w:r>
      <w:r>
        <w:rPr>
          <w:spacing w:val="-5"/>
          <w:w w:val="105"/>
          <w:sz w:val="13"/>
        </w:rPr>
        <w:t> </w:t>
      </w:r>
      <w:r>
        <w:rPr>
          <w:w w:val="105"/>
          <w:sz w:val="13"/>
        </w:rPr>
        <w:t>financial</w:t>
      </w:r>
      <w:r>
        <w:rPr>
          <w:spacing w:val="-4"/>
          <w:w w:val="105"/>
          <w:sz w:val="13"/>
        </w:rPr>
        <w:t> </w:t>
      </w:r>
      <w:r>
        <w:rPr>
          <w:w w:val="105"/>
          <w:sz w:val="13"/>
        </w:rPr>
        <w:t>assets</w:t>
      </w:r>
      <w:r>
        <w:rPr>
          <w:spacing w:val="-5"/>
          <w:w w:val="105"/>
          <w:sz w:val="13"/>
        </w:rPr>
        <w:t> </w:t>
      </w:r>
      <w:r>
        <w:rPr>
          <w:w w:val="105"/>
          <w:sz w:val="13"/>
        </w:rPr>
        <w:t>at</w:t>
      </w:r>
      <w:r>
        <w:rPr>
          <w:spacing w:val="-6"/>
          <w:w w:val="105"/>
          <w:sz w:val="13"/>
        </w:rPr>
        <w:t> </w:t>
      </w:r>
      <w:r>
        <w:rPr>
          <w:w w:val="105"/>
          <w:sz w:val="13"/>
        </w:rPr>
        <w:t>fair</w:t>
      </w:r>
      <w:r>
        <w:rPr>
          <w:spacing w:val="-4"/>
          <w:w w:val="105"/>
          <w:sz w:val="13"/>
        </w:rPr>
        <w:t> </w:t>
      </w:r>
      <w:r>
        <w:rPr>
          <w:w w:val="105"/>
          <w:sz w:val="13"/>
        </w:rPr>
        <w:t>value</w:t>
      </w:r>
      <w:r>
        <w:rPr>
          <w:spacing w:val="-6"/>
          <w:w w:val="105"/>
          <w:sz w:val="13"/>
        </w:rPr>
        <w:t> </w:t>
      </w:r>
      <w:r>
        <w:rPr>
          <w:w w:val="105"/>
          <w:sz w:val="13"/>
        </w:rPr>
        <w:t>through</w:t>
      </w:r>
      <w:r>
        <w:rPr>
          <w:spacing w:val="-6"/>
          <w:w w:val="105"/>
          <w:sz w:val="13"/>
        </w:rPr>
        <w:t> </w:t>
      </w:r>
      <w:r>
        <w:rPr>
          <w:w w:val="105"/>
          <w:sz w:val="13"/>
        </w:rPr>
        <w:t>profit</w:t>
      </w:r>
      <w:r>
        <w:rPr>
          <w:spacing w:val="-6"/>
          <w:w w:val="105"/>
          <w:sz w:val="13"/>
        </w:rPr>
        <w:t> </w:t>
      </w:r>
      <w:r>
        <w:rPr>
          <w:w w:val="105"/>
          <w:sz w:val="13"/>
        </w:rPr>
        <w:t>or</w:t>
      </w:r>
      <w:r>
        <w:rPr>
          <w:spacing w:val="-4"/>
          <w:w w:val="105"/>
          <w:sz w:val="13"/>
        </w:rPr>
        <w:t> </w:t>
      </w:r>
      <w:r>
        <w:rPr>
          <w:w w:val="105"/>
          <w:sz w:val="13"/>
        </w:rPr>
        <w:t>loss;</w:t>
      </w:r>
      <w:r>
        <w:rPr>
          <w:spacing w:val="-6"/>
          <w:w w:val="105"/>
          <w:sz w:val="13"/>
        </w:rPr>
        <w:t> </w:t>
      </w:r>
      <w:r>
        <w:rPr>
          <w:spacing w:val="-5"/>
          <w:w w:val="105"/>
          <w:sz w:val="13"/>
        </w:rPr>
        <w:t>and</w:t>
      </w:r>
    </w:p>
    <w:p>
      <w:pPr>
        <w:pStyle w:val="ListParagraph"/>
        <w:numPr>
          <w:ilvl w:val="0"/>
          <w:numId w:val="33"/>
        </w:numPr>
        <w:tabs>
          <w:tab w:pos="873" w:val="left" w:leader="none"/>
        </w:tabs>
        <w:spacing w:line="240" w:lineRule="auto" w:before="34" w:after="0"/>
        <w:ind w:left="873" w:right="0" w:hanging="123"/>
        <w:jc w:val="left"/>
        <w:rPr>
          <w:sz w:val="13"/>
        </w:rPr>
      </w:pPr>
      <w:r>
        <w:rPr>
          <w:w w:val="105"/>
          <w:sz w:val="13"/>
        </w:rPr>
        <w:t>(Other)</w:t>
      </w:r>
      <w:r>
        <w:rPr>
          <w:spacing w:val="-6"/>
          <w:w w:val="105"/>
          <w:sz w:val="13"/>
        </w:rPr>
        <w:t> </w:t>
      </w:r>
      <w:r>
        <w:rPr>
          <w:w w:val="105"/>
          <w:sz w:val="13"/>
        </w:rPr>
        <w:t>financial</w:t>
      </w:r>
      <w:r>
        <w:rPr>
          <w:spacing w:val="-6"/>
          <w:w w:val="105"/>
          <w:sz w:val="13"/>
        </w:rPr>
        <w:t> </w:t>
      </w:r>
      <w:r>
        <w:rPr>
          <w:w w:val="105"/>
          <w:sz w:val="13"/>
        </w:rPr>
        <w:t>assets</w:t>
      </w:r>
      <w:r>
        <w:rPr>
          <w:spacing w:val="-6"/>
          <w:w w:val="105"/>
          <w:sz w:val="13"/>
        </w:rPr>
        <w:t> </w:t>
      </w:r>
      <w:r>
        <w:rPr>
          <w:w w:val="105"/>
          <w:sz w:val="13"/>
        </w:rPr>
        <w:t>designated</w:t>
      </w:r>
      <w:r>
        <w:rPr>
          <w:spacing w:val="-7"/>
          <w:w w:val="105"/>
          <w:sz w:val="13"/>
        </w:rPr>
        <w:t> </w:t>
      </w:r>
      <w:r>
        <w:rPr>
          <w:w w:val="105"/>
          <w:sz w:val="13"/>
        </w:rPr>
        <w:t>at</w:t>
      </w:r>
      <w:r>
        <w:rPr>
          <w:spacing w:val="-7"/>
          <w:w w:val="105"/>
          <w:sz w:val="13"/>
        </w:rPr>
        <w:t> </w:t>
      </w:r>
      <w:r>
        <w:rPr>
          <w:w w:val="105"/>
          <w:sz w:val="13"/>
        </w:rPr>
        <w:t>fair</w:t>
      </w:r>
      <w:r>
        <w:rPr>
          <w:spacing w:val="-5"/>
          <w:w w:val="105"/>
          <w:sz w:val="13"/>
        </w:rPr>
        <w:t> </w:t>
      </w:r>
      <w:r>
        <w:rPr>
          <w:w w:val="105"/>
          <w:sz w:val="13"/>
        </w:rPr>
        <w:t>value</w:t>
      </w:r>
      <w:r>
        <w:rPr>
          <w:spacing w:val="-7"/>
          <w:w w:val="105"/>
          <w:sz w:val="13"/>
        </w:rPr>
        <w:t> </w:t>
      </w:r>
      <w:r>
        <w:rPr>
          <w:w w:val="105"/>
          <w:sz w:val="13"/>
        </w:rPr>
        <w:t>through</w:t>
      </w:r>
      <w:r>
        <w:rPr>
          <w:spacing w:val="-7"/>
          <w:w w:val="105"/>
          <w:sz w:val="13"/>
        </w:rPr>
        <w:t> </w:t>
      </w:r>
      <w:r>
        <w:rPr>
          <w:w w:val="105"/>
          <w:sz w:val="13"/>
        </w:rPr>
        <w:t>profit</w:t>
      </w:r>
      <w:r>
        <w:rPr>
          <w:spacing w:val="-7"/>
          <w:w w:val="105"/>
          <w:sz w:val="13"/>
        </w:rPr>
        <w:t> </w:t>
      </w:r>
      <w:r>
        <w:rPr>
          <w:w w:val="105"/>
          <w:sz w:val="13"/>
        </w:rPr>
        <w:t>or</w:t>
      </w:r>
      <w:r>
        <w:rPr>
          <w:spacing w:val="-6"/>
          <w:w w:val="105"/>
          <w:sz w:val="13"/>
        </w:rPr>
        <w:t> </w:t>
      </w:r>
      <w:r>
        <w:rPr>
          <w:spacing w:val="-2"/>
          <w:w w:val="105"/>
          <w:sz w:val="13"/>
        </w:rPr>
        <w:t>loss.</w:t>
      </w:r>
    </w:p>
    <w:p>
      <w:pPr>
        <w:spacing w:line="240" w:lineRule="auto" w:before="74"/>
        <w:rPr>
          <w:sz w:val="13"/>
        </w:rPr>
      </w:pPr>
    </w:p>
    <w:p>
      <w:pPr>
        <w:spacing w:before="0"/>
        <w:ind w:left="750" w:right="0" w:firstLine="0"/>
        <w:jc w:val="left"/>
        <w:rPr>
          <w:b/>
          <w:sz w:val="13"/>
        </w:rPr>
      </w:pPr>
      <w:r>
        <w:rPr>
          <w:b/>
          <w:w w:val="105"/>
          <w:sz w:val="13"/>
        </w:rPr>
        <w:t>Financial</w:t>
      </w:r>
      <w:r>
        <w:rPr>
          <w:b/>
          <w:spacing w:val="-9"/>
          <w:w w:val="105"/>
          <w:sz w:val="13"/>
        </w:rPr>
        <w:t> </w:t>
      </w:r>
      <w:r>
        <w:rPr>
          <w:b/>
          <w:w w:val="105"/>
          <w:sz w:val="13"/>
        </w:rPr>
        <w:t>assets</w:t>
      </w:r>
      <w:r>
        <w:rPr>
          <w:b/>
          <w:spacing w:val="-8"/>
          <w:w w:val="105"/>
          <w:sz w:val="13"/>
        </w:rPr>
        <w:t> </w:t>
      </w:r>
      <w:r>
        <w:rPr>
          <w:b/>
          <w:w w:val="105"/>
          <w:sz w:val="13"/>
        </w:rPr>
        <w:t>at</w:t>
      </w:r>
      <w:r>
        <w:rPr>
          <w:b/>
          <w:spacing w:val="-7"/>
          <w:w w:val="105"/>
          <w:sz w:val="13"/>
        </w:rPr>
        <w:t> </w:t>
      </w:r>
      <w:r>
        <w:rPr>
          <w:b/>
          <w:w w:val="105"/>
          <w:sz w:val="13"/>
        </w:rPr>
        <w:t>amortised</w:t>
      </w:r>
      <w:r>
        <w:rPr>
          <w:b/>
          <w:spacing w:val="-8"/>
          <w:w w:val="105"/>
          <w:sz w:val="13"/>
        </w:rPr>
        <w:t> </w:t>
      </w:r>
      <w:r>
        <w:rPr>
          <w:b/>
          <w:spacing w:val="-4"/>
          <w:w w:val="105"/>
          <w:sz w:val="13"/>
        </w:rPr>
        <w:t>cost</w:t>
      </w:r>
    </w:p>
    <w:p>
      <w:pPr>
        <w:spacing w:before="36"/>
        <w:ind w:left="750" w:right="0" w:firstLine="0"/>
        <w:jc w:val="left"/>
        <w:rPr>
          <w:sz w:val="13"/>
        </w:rPr>
      </w:pPr>
      <w:r>
        <w:rPr>
          <w:w w:val="105"/>
          <w:sz w:val="13"/>
        </w:rPr>
        <w:t>The</w:t>
      </w:r>
      <w:r>
        <w:rPr>
          <w:spacing w:val="-7"/>
          <w:w w:val="105"/>
          <w:sz w:val="13"/>
        </w:rPr>
        <w:t> </w:t>
      </w:r>
      <w:r>
        <w:rPr>
          <w:w w:val="105"/>
          <w:sz w:val="13"/>
        </w:rPr>
        <w:t>Group</w:t>
      </w:r>
      <w:r>
        <w:rPr>
          <w:spacing w:val="-7"/>
          <w:w w:val="105"/>
          <w:sz w:val="13"/>
        </w:rPr>
        <w:t> </w:t>
      </w:r>
      <w:r>
        <w:rPr>
          <w:w w:val="105"/>
          <w:sz w:val="13"/>
        </w:rPr>
        <w:t>measures</w:t>
      </w:r>
      <w:r>
        <w:rPr>
          <w:spacing w:val="-5"/>
          <w:w w:val="105"/>
          <w:sz w:val="13"/>
        </w:rPr>
        <w:t> </w:t>
      </w:r>
      <w:r>
        <w:rPr>
          <w:w w:val="105"/>
          <w:sz w:val="13"/>
        </w:rPr>
        <w:t>financial</w:t>
      </w:r>
      <w:r>
        <w:rPr>
          <w:spacing w:val="-6"/>
          <w:w w:val="105"/>
          <w:sz w:val="13"/>
        </w:rPr>
        <w:t> </w:t>
      </w:r>
      <w:r>
        <w:rPr>
          <w:w w:val="105"/>
          <w:sz w:val="13"/>
        </w:rPr>
        <w:t>assets</w:t>
      </w:r>
      <w:r>
        <w:rPr>
          <w:spacing w:val="-5"/>
          <w:w w:val="105"/>
          <w:sz w:val="13"/>
        </w:rPr>
        <w:t> </w:t>
      </w:r>
      <w:r>
        <w:rPr>
          <w:w w:val="105"/>
          <w:sz w:val="13"/>
        </w:rPr>
        <w:t>at</w:t>
      </w:r>
      <w:r>
        <w:rPr>
          <w:spacing w:val="-7"/>
          <w:w w:val="105"/>
          <w:sz w:val="13"/>
        </w:rPr>
        <w:t> </w:t>
      </w:r>
      <w:r>
        <w:rPr>
          <w:w w:val="105"/>
          <w:sz w:val="13"/>
        </w:rPr>
        <w:t>amortised</w:t>
      </w:r>
      <w:r>
        <w:rPr>
          <w:spacing w:val="-7"/>
          <w:w w:val="105"/>
          <w:sz w:val="13"/>
        </w:rPr>
        <w:t> </w:t>
      </w:r>
      <w:r>
        <w:rPr>
          <w:w w:val="105"/>
          <w:sz w:val="13"/>
        </w:rPr>
        <w:t>cost</w:t>
      </w:r>
      <w:r>
        <w:rPr>
          <w:spacing w:val="-6"/>
          <w:w w:val="105"/>
          <w:sz w:val="13"/>
        </w:rPr>
        <w:t> </w:t>
      </w:r>
      <w:r>
        <w:rPr>
          <w:w w:val="105"/>
          <w:sz w:val="13"/>
        </w:rPr>
        <w:t>if</w:t>
      </w:r>
      <w:r>
        <w:rPr>
          <w:spacing w:val="-4"/>
          <w:w w:val="105"/>
          <w:sz w:val="13"/>
        </w:rPr>
        <w:t> </w:t>
      </w:r>
      <w:r>
        <w:rPr>
          <w:w w:val="105"/>
          <w:sz w:val="13"/>
        </w:rPr>
        <w:t>both</w:t>
      </w:r>
      <w:r>
        <w:rPr>
          <w:spacing w:val="-6"/>
          <w:w w:val="105"/>
          <w:sz w:val="13"/>
        </w:rPr>
        <w:t> </w:t>
      </w:r>
      <w:r>
        <w:rPr>
          <w:w w:val="105"/>
          <w:sz w:val="13"/>
        </w:rPr>
        <w:t>of</w:t>
      </w:r>
      <w:r>
        <w:rPr>
          <w:spacing w:val="-4"/>
          <w:w w:val="105"/>
          <w:sz w:val="13"/>
        </w:rPr>
        <w:t> </w:t>
      </w:r>
      <w:r>
        <w:rPr>
          <w:w w:val="105"/>
          <w:sz w:val="13"/>
        </w:rPr>
        <w:t>the</w:t>
      </w:r>
      <w:r>
        <w:rPr>
          <w:spacing w:val="-7"/>
          <w:w w:val="105"/>
          <w:sz w:val="13"/>
        </w:rPr>
        <w:t> </w:t>
      </w:r>
      <w:r>
        <w:rPr>
          <w:w w:val="105"/>
          <w:sz w:val="13"/>
        </w:rPr>
        <w:t>following</w:t>
      </w:r>
      <w:r>
        <w:rPr>
          <w:spacing w:val="-6"/>
          <w:w w:val="105"/>
          <w:sz w:val="13"/>
        </w:rPr>
        <w:t> </w:t>
      </w:r>
      <w:r>
        <w:rPr>
          <w:w w:val="105"/>
          <w:sz w:val="13"/>
        </w:rPr>
        <w:t>conditions</w:t>
      </w:r>
      <w:r>
        <w:rPr>
          <w:spacing w:val="-6"/>
          <w:w w:val="105"/>
          <w:sz w:val="13"/>
        </w:rPr>
        <w:t> </w:t>
      </w:r>
      <w:r>
        <w:rPr>
          <w:w w:val="105"/>
          <w:sz w:val="13"/>
        </w:rPr>
        <w:t>are</w:t>
      </w:r>
      <w:r>
        <w:rPr>
          <w:spacing w:val="-7"/>
          <w:w w:val="105"/>
          <w:sz w:val="13"/>
        </w:rPr>
        <w:t> </w:t>
      </w:r>
      <w:r>
        <w:rPr>
          <w:spacing w:val="-4"/>
          <w:w w:val="105"/>
          <w:sz w:val="13"/>
        </w:rPr>
        <w:t>met:</w:t>
      </w:r>
    </w:p>
    <w:p>
      <w:pPr>
        <w:pStyle w:val="ListParagraph"/>
        <w:numPr>
          <w:ilvl w:val="0"/>
          <w:numId w:val="33"/>
        </w:numPr>
        <w:tabs>
          <w:tab w:pos="750" w:val="left" w:leader="none"/>
          <w:tab w:pos="879" w:val="left" w:leader="none"/>
        </w:tabs>
        <w:spacing w:line="273" w:lineRule="auto" w:before="39" w:after="0"/>
        <w:ind w:left="750" w:right="288" w:hanging="1"/>
        <w:jc w:val="left"/>
        <w:rPr>
          <w:sz w:val="13"/>
        </w:rPr>
      </w:pPr>
      <w:r>
        <w:rPr>
          <w:w w:val="105"/>
          <w:sz w:val="13"/>
        </w:rPr>
        <w:t>The financial asset is held within a business model with the objective to hold financial assets in order to collect contractual cash flows;</w:t>
      </w:r>
      <w:r>
        <w:rPr>
          <w:spacing w:val="40"/>
          <w:w w:val="105"/>
          <w:sz w:val="13"/>
        </w:rPr>
        <w:t> </w:t>
      </w:r>
      <w:r>
        <w:rPr>
          <w:spacing w:val="-4"/>
          <w:w w:val="105"/>
          <w:sz w:val="13"/>
        </w:rPr>
        <w:t>and</w:t>
      </w:r>
    </w:p>
    <w:p>
      <w:pPr>
        <w:pStyle w:val="ListParagraph"/>
        <w:numPr>
          <w:ilvl w:val="0"/>
          <w:numId w:val="33"/>
        </w:numPr>
        <w:tabs>
          <w:tab w:pos="750" w:val="left" w:leader="none"/>
          <w:tab w:pos="879" w:val="left" w:leader="none"/>
        </w:tabs>
        <w:spacing w:line="273" w:lineRule="auto" w:before="8" w:after="0"/>
        <w:ind w:left="750" w:right="288" w:hanging="1"/>
        <w:jc w:val="left"/>
        <w:rPr>
          <w:sz w:val="13"/>
        </w:rPr>
      </w:pPr>
      <w:r>
        <w:rPr>
          <w:w w:val="105"/>
          <w:sz w:val="13"/>
        </w:rPr>
        <w:t>The contractual terms of the financial asset give rise on specified dates to cash flows that are solely</w:t>
      </w:r>
      <w:r>
        <w:rPr>
          <w:spacing w:val="-3"/>
          <w:w w:val="105"/>
          <w:sz w:val="13"/>
        </w:rPr>
        <w:t> </w:t>
      </w:r>
      <w:r>
        <w:rPr>
          <w:w w:val="105"/>
          <w:sz w:val="13"/>
        </w:rPr>
        <w:t>payments of principal and interest</w:t>
      </w:r>
      <w:r>
        <w:rPr>
          <w:spacing w:val="40"/>
          <w:w w:val="105"/>
          <w:sz w:val="13"/>
        </w:rPr>
        <w:t> </w:t>
      </w:r>
      <w:r>
        <w:rPr>
          <w:w w:val="105"/>
          <w:sz w:val="13"/>
        </w:rPr>
        <w:t>on the principal amount outstanding.</w:t>
      </w:r>
    </w:p>
    <w:p>
      <w:pPr>
        <w:spacing w:line="240" w:lineRule="auto" w:before="46"/>
        <w:rPr>
          <w:sz w:val="13"/>
        </w:rPr>
      </w:pPr>
    </w:p>
    <w:p>
      <w:pPr>
        <w:spacing w:line="273" w:lineRule="auto" w:before="0"/>
        <w:ind w:left="750" w:right="0" w:firstLine="0"/>
        <w:jc w:val="left"/>
        <w:rPr>
          <w:sz w:val="13"/>
        </w:rPr>
      </w:pPr>
      <w:r>
        <w:rPr>
          <w:w w:val="105"/>
          <w:sz w:val="13"/>
        </w:rPr>
        <w:t>Financial</w:t>
      </w:r>
      <w:r>
        <w:rPr>
          <w:spacing w:val="32"/>
          <w:w w:val="105"/>
          <w:sz w:val="13"/>
        </w:rPr>
        <w:t> </w:t>
      </w:r>
      <w:r>
        <w:rPr>
          <w:w w:val="105"/>
          <w:sz w:val="13"/>
        </w:rPr>
        <w:t>assets</w:t>
      </w:r>
      <w:r>
        <w:rPr>
          <w:spacing w:val="30"/>
          <w:w w:val="105"/>
          <w:sz w:val="13"/>
        </w:rPr>
        <w:t> </w:t>
      </w:r>
      <w:r>
        <w:rPr>
          <w:w w:val="105"/>
          <w:sz w:val="13"/>
        </w:rPr>
        <w:t>at</w:t>
      </w:r>
      <w:r>
        <w:rPr>
          <w:spacing w:val="32"/>
          <w:w w:val="105"/>
          <w:sz w:val="13"/>
        </w:rPr>
        <w:t> </w:t>
      </w:r>
      <w:r>
        <w:rPr>
          <w:w w:val="105"/>
          <w:sz w:val="13"/>
        </w:rPr>
        <w:t>amortised</w:t>
      </w:r>
      <w:r>
        <w:rPr>
          <w:spacing w:val="29"/>
          <w:w w:val="105"/>
          <w:sz w:val="13"/>
        </w:rPr>
        <w:t> </w:t>
      </w:r>
      <w:r>
        <w:rPr>
          <w:w w:val="105"/>
          <w:sz w:val="13"/>
        </w:rPr>
        <w:t>cost</w:t>
      </w:r>
      <w:r>
        <w:rPr>
          <w:spacing w:val="32"/>
          <w:w w:val="105"/>
          <w:sz w:val="13"/>
        </w:rPr>
        <w:t> </w:t>
      </w:r>
      <w:r>
        <w:rPr>
          <w:w w:val="105"/>
          <w:sz w:val="13"/>
        </w:rPr>
        <w:t>are</w:t>
      </w:r>
      <w:r>
        <w:rPr>
          <w:spacing w:val="29"/>
          <w:w w:val="105"/>
          <w:sz w:val="13"/>
        </w:rPr>
        <w:t> </w:t>
      </w:r>
      <w:r>
        <w:rPr>
          <w:w w:val="105"/>
          <w:sz w:val="13"/>
        </w:rPr>
        <w:t>subsequently</w:t>
      </w:r>
      <w:r>
        <w:rPr>
          <w:spacing w:val="28"/>
          <w:w w:val="105"/>
          <w:sz w:val="13"/>
        </w:rPr>
        <w:t> </w:t>
      </w:r>
      <w:r>
        <w:rPr>
          <w:w w:val="105"/>
          <w:sz w:val="13"/>
        </w:rPr>
        <w:t>measured</w:t>
      </w:r>
      <w:r>
        <w:rPr>
          <w:spacing w:val="29"/>
          <w:w w:val="105"/>
          <w:sz w:val="13"/>
        </w:rPr>
        <w:t> </w:t>
      </w:r>
      <w:r>
        <w:rPr>
          <w:w w:val="105"/>
          <w:sz w:val="13"/>
        </w:rPr>
        <w:t>using</w:t>
      </w:r>
      <w:r>
        <w:rPr>
          <w:spacing w:val="31"/>
          <w:w w:val="105"/>
          <w:sz w:val="13"/>
        </w:rPr>
        <w:t> </w:t>
      </w:r>
      <w:r>
        <w:rPr>
          <w:w w:val="105"/>
          <w:sz w:val="13"/>
        </w:rPr>
        <w:t>the</w:t>
      </w:r>
      <w:r>
        <w:rPr>
          <w:spacing w:val="29"/>
          <w:w w:val="105"/>
          <w:sz w:val="13"/>
        </w:rPr>
        <w:t> </w:t>
      </w:r>
      <w:r>
        <w:rPr>
          <w:w w:val="105"/>
          <w:sz w:val="13"/>
        </w:rPr>
        <w:t>Effective</w:t>
      </w:r>
      <w:r>
        <w:rPr>
          <w:spacing w:val="31"/>
          <w:w w:val="105"/>
          <w:sz w:val="13"/>
        </w:rPr>
        <w:t> </w:t>
      </w:r>
      <w:r>
        <w:rPr>
          <w:w w:val="105"/>
          <w:sz w:val="13"/>
        </w:rPr>
        <w:t>Interest</w:t>
      </w:r>
      <w:r>
        <w:rPr>
          <w:spacing w:val="30"/>
          <w:w w:val="105"/>
          <w:sz w:val="13"/>
        </w:rPr>
        <w:t> </w:t>
      </w:r>
      <w:r>
        <w:rPr>
          <w:w w:val="105"/>
          <w:sz w:val="13"/>
        </w:rPr>
        <w:t>Rate</w:t>
      </w:r>
      <w:r>
        <w:rPr>
          <w:spacing w:val="31"/>
          <w:w w:val="105"/>
          <w:sz w:val="13"/>
        </w:rPr>
        <w:t> </w:t>
      </w:r>
      <w:r>
        <w:rPr>
          <w:w w:val="105"/>
          <w:sz w:val="13"/>
        </w:rPr>
        <w:t>(EIR)</w:t>
      </w:r>
      <w:r>
        <w:rPr>
          <w:spacing w:val="31"/>
          <w:w w:val="105"/>
          <w:sz w:val="13"/>
        </w:rPr>
        <w:t> </w:t>
      </w:r>
      <w:r>
        <w:rPr>
          <w:w w:val="105"/>
          <w:sz w:val="13"/>
        </w:rPr>
        <w:t>method</w:t>
      </w:r>
      <w:r>
        <w:rPr>
          <w:spacing w:val="31"/>
          <w:w w:val="105"/>
          <w:sz w:val="13"/>
        </w:rPr>
        <w:t> </w:t>
      </w:r>
      <w:r>
        <w:rPr>
          <w:w w:val="105"/>
          <w:sz w:val="13"/>
        </w:rPr>
        <w:t>and</w:t>
      </w:r>
      <w:r>
        <w:rPr>
          <w:spacing w:val="29"/>
          <w:w w:val="105"/>
          <w:sz w:val="13"/>
        </w:rPr>
        <w:t> </w:t>
      </w:r>
      <w:r>
        <w:rPr>
          <w:w w:val="105"/>
          <w:sz w:val="13"/>
        </w:rPr>
        <w:t>are</w:t>
      </w:r>
      <w:r>
        <w:rPr>
          <w:spacing w:val="31"/>
          <w:w w:val="105"/>
          <w:sz w:val="13"/>
        </w:rPr>
        <w:t> </w:t>
      </w:r>
      <w:r>
        <w:rPr>
          <w:w w:val="105"/>
          <w:sz w:val="13"/>
        </w:rPr>
        <w:t>subject</w:t>
      </w:r>
      <w:r>
        <w:rPr>
          <w:spacing w:val="30"/>
          <w:w w:val="105"/>
          <w:sz w:val="13"/>
        </w:rPr>
        <w:t> </w:t>
      </w:r>
      <w:r>
        <w:rPr>
          <w:w w:val="105"/>
          <w:sz w:val="13"/>
        </w:rPr>
        <w:t>to</w:t>
      </w:r>
      <w:r>
        <w:rPr>
          <w:spacing w:val="40"/>
          <w:w w:val="105"/>
          <w:sz w:val="13"/>
        </w:rPr>
        <w:t> </w:t>
      </w:r>
      <w:r>
        <w:rPr>
          <w:w w:val="105"/>
          <w:sz w:val="13"/>
        </w:rPr>
        <w:t>impairment. Gains and losses are recognised in profit or loss when the asset is derecognised, modified or impaired.</w:t>
      </w:r>
    </w:p>
    <w:p>
      <w:pPr>
        <w:spacing w:line="240" w:lineRule="auto" w:before="31"/>
        <w:rPr>
          <w:sz w:val="13"/>
        </w:rPr>
      </w:pPr>
    </w:p>
    <w:p>
      <w:pPr>
        <w:spacing w:before="0"/>
        <w:ind w:left="750" w:right="0" w:firstLine="0"/>
        <w:jc w:val="left"/>
        <w:rPr>
          <w:sz w:val="13"/>
        </w:rPr>
      </w:pPr>
      <w:r>
        <w:rPr>
          <w:w w:val="105"/>
          <w:sz w:val="13"/>
        </w:rPr>
        <w:t>The</w:t>
      </w:r>
      <w:r>
        <w:rPr>
          <w:spacing w:val="-8"/>
          <w:w w:val="105"/>
          <w:sz w:val="13"/>
        </w:rPr>
        <w:t> </w:t>
      </w:r>
      <w:r>
        <w:rPr>
          <w:w w:val="105"/>
          <w:sz w:val="13"/>
        </w:rPr>
        <w:t>Group’s</w:t>
      </w:r>
      <w:r>
        <w:rPr>
          <w:spacing w:val="-6"/>
          <w:w w:val="105"/>
          <w:sz w:val="13"/>
        </w:rPr>
        <w:t> </w:t>
      </w:r>
      <w:r>
        <w:rPr>
          <w:w w:val="105"/>
          <w:sz w:val="13"/>
        </w:rPr>
        <w:t>financial</w:t>
      </w:r>
      <w:r>
        <w:rPr>
          <w:spacing w:val="-6"/>
          <w:w w:val="105"/>
          <w:sz w:val="13"/>
        </w:rPr>
        <w:t> </w:t>
      </w:r>
      <w:r>
        <w:rPr>
          <w:w w:val="105"/>
          <w:sz w:val="13"/>
        </w:rPr>
        <w:t>assets</w:t>
      </w:r>
      <w:r>
        <w:rPr>
          <w:spacing w:val="-6"/>
          <w:w w:val="105"/>
          <w:sz w:val="13"/>
        </w:rPr>
        <w:t> </w:t>
      </w:r>
      <w:r>
        <w:rPr>
          <w:w w:val="105"/>
          <w:sz w:val="13"/>
        </w:rPr>
        <w:t>at</w:t>
      </w:r>
      <w:r>
        <w:rPr>
          <w:spacing w:val="-7"/>
          <w:w w:val="105"/>
          <w:sz w:val="13"/>
        </w:rPr>
        <w:t> </w:t>
      </w:r>
      <w:r>
        <w:rPr>
          <w:w w:val="105"/>
          <w:sz w:val="13"/>
        </w:rPr>
        <w:t>amortised</w:t>
      </w:r>
      <w:r>
        <w:rPr>
          <w:spacing w:val="-7"/>
          <w:w w:val="105"/>
          <w:sz w:val="13"/>
        </w:rPr>
        <w:t> </w:t>
      </w:r>
      <w:r>
        <w:rPr>
          <w:w w:val="105"/>
          <w:sz w:val="13"/>
        </w:rPr>
        <w:t>cost</w:t>
      </w:r>
      <w:r>
        <w:rPr>
          <w:spacing w:val="-7"/>
          <w:w w:val="105"/>
          <w:sz w:val="13"/>
        </w:rPr>
        <w:t> </w:t>
      </w:r>
      <w:r>
        <w:rPr>
          <w:w w:val="105"/>
          <w:sz w:val="13"/>
        </w:rPr>
        <w:t>includes</w:t>
      </w:r>
      <w:r>
        <w:rPr>
          <w:spacing w:val="-6"/>
          <w:w w:val="105"/>
          <w:sz w:val="13"/>
        </w:rPr>
        <w:t> </w:t>
      </w:r>
      <w:r>
        <w:rPr>
          <w:w w:val="105"/>
          <w:sz w:val="13"/>
        </w:rPr>
        <w:t>trade</w:t>
      </w:r>
      <w:r>
        <w:rPr>
          <w:spacing w:val="-7"/>
          <w:w w:val="105"/>
          <w:sz w:val="13"/>
        </w:rPr>
        <w:t> </w:t>
      </w:r>
      <w:r>
        <w:rPr>
          <w:w w:val="105"/>
          <w:sz w:val="13"/>
        </w:rPr>
        <w:t>receivables</w:t>
      </w:r>
      <w:r>
        <w:rPr>
          <w:spacing w:val="-7"/>
          <w:w w:val="105"/>
          <w:sz w:val="13"/>
        </w:rPr>
        <w:t> </w:t>
      </w:r>
      <w:r>
        <w:rPr>
          <w:w w:val="105"/>
          <w:sz w:val="13"/>
        </w:rPr>
        <w:t>and</w:t>
      </w:r>
      <w:r>
        <w:rPr>
          <w:spacing w:val="-7"/>
          <w:w w:val="105"/>
          <w:sz w:val="13"/>
        </w:rPr>
        <w:t> </w:t>
      </w:r>
      <w:r>
        <w:rPr>
          <w:w w:val="105"/>
          <w:sz w:val="13"/>
        </w:rPr>
        <w:t>loans</w:t>
      </w:r>
      <w:r>
        <w:rPr>
          <w:spacing w:val="-6"/>
          <w:w w:val="105"/>
          <w:sz w:val="13"/>
        </w:rPr>
        <w:t> </w:t>
      </w:r>
      <w:r>
        <w:rPr>
          <w:w w:val="105"/>
          <w:sz w:val="13"/>
        </w:rPr>
        <w:t>to</w:t>
      </w:r>
      <w:r>
        <w:rPr>
          <w:spacing w:val="-7"/>
          <w:w w:val="105"/>
          <w:sz w:val="13"/>
        </w:rPr>
        <w:t> </w:t>
      </w:r>
      <w:r>
        <w:rPr>
          <w:w w:val="105"/>
          <w:sz w:val="13"/>
        </w:rPr>
        <w:t>related</w:t>
      </w:r>
      <w:r>
        <w:rPr>
          <w:spacing w:val="-7"/>
          <w:w w:val="105"/>
          <w:sz w:val="13"/>
        </w:rPr>
        <w:t> </w:t>
      </w:r>
      <w:r>
        <w:rPr>
          <w:spacing w:val="-2"/>
          <w:w w:val="105"/>
          <w:sz w:val="13"/>
        </w:rPr>
        <w:t>parties.</w:t>
      </w:r>
    </w:p>
    <w:p>
      <w:pPr>
        <w:spacing w:line="240" w:lineRule="auto" w:before="47"/>
        <w:rPr>
          <w:sz w:val="13"/>
        </w:rPr>
      </w:pPr>
    </w:p>
    <w:p>
      <w:pPr>
        <w:spacing w:before="1"/>
        <w:ind w:left="750" w:right="0" w:firstLine="0"/>
        <w:jc w:val="both"/>
        <w:rPr>
          <w:b/>
          <w:sz w:val="13"/>
        </w:rPr>
      </w:pPr>
      <w:r>
        <w:rPr>
          <w:b/>
          <w:w w:val="105"/>
          <w:sz w:val="13"/>
        </w:rPr>
        <w:t>Investments</w:t>
      </w:r>
      <w:r>
        <w:rPr>
          <w:b/>
          <w:spacing w:val="-8"/>
          <w:w w:val="105"/>
          <w:sz w:val="13"/>
        </w:rPr>
        <w:t> </w:t>
      </w:r>
      <w:r>
        <w:rPr>
          <w:b/>
          <w:w w:val="105"/>
          <w:sz w:val="13"/>
        </w:rPr>
        <w:t>in</w:t>
      </w:r>
      <w:r>
        <w:rPr>
          <w:b/>
          <w:spacing w:val="-6"/>
          <w:w w:val="105"/>
          <w:sz w:val="13"/>
        </w:rPr>
        <w:t> </w:t>
      </w:r>
      <w:r>
        <w:rPr>
          <w:b/>
          <w:w w:val="105"/>
          <w:sz w:val="13"/>
        </w:rPr>
        <w:t>equity</w:t>
      </w:r>
      <w:r>
        <w:rPr>
          <w:b/>
          <w:spacing w:val="-8"/>
          <w:w w:val="105"/>
          <w:sz w:val="13"/>
        </w:rPr>
        <w:t> </w:t>
      </w:r>
      <w:r>
        <w:rPr>
          <w:b/>
          <w:w w:val="105"/>
          <w:sz w:val="13"/>
        </w:rPr>
        <w:t>instruments</w:t>
      </w:r>
      <w:r>
        <w:rPr>
          <w:b/>
          <w:spacing w:val="-7"/>
          <w:w w:val="105"/>
          <w:sz w:val="13"/>
        </w:rPr>
        <w:t> </w:t>
      </w:r>
      <w:r>
        <w:rPr>
          <w:b/>
          <w:w w:val="105"/>
          <w:sz w:val="13"/>
        </w:rPr>
        <w:t>designated</w:t>
      </w:r>
      <w:r>
        <w:rPr>
          <w:b/>
          <w:spacing w:val="-7"/>
          <w:w w:val="105"/>
          <w:sz w:val="13"/>
        </w:rPr>
        <w:t> </w:t>
      </w:r>
      <w:r>
        <w:rPr>
          <w:b/>
          <w:w w:val="105"/>
          <w:sz w:val="13"/>
        </w:rPr>
        <w:t>at</w:t>
      </w:r>
      <w:r>
        <w:rPr>
          <w:b/>
          <w:spacing w:val="-5"/>
          <w:w w:val="105"/>
          <w:sz w:val="13"/>
        </w:rPr>
        <w:t> </w:t>
      </w:r>
      <w:r>
        <w:rPr>
          <w:b/>
          <w:w w:val="105"/>
          <w:sz w:val="13"/>
        </w:rPr>
        <w:t>fair</w:t>
      </w:r>
      <w:r>
        <w:rPr>
          <w:b/>
          <w:spacing w:val="-7"/>
          <w:w w:val="105"/>
          <w:sz w:val="13"/>
        </w:rPr>
        <w:t> </w:t>
      </w:r>
      <w:r>
        <w:rPr>
          <w:b/>
          <w:w w:val="105"/>
          <w:sz w:val="13"/>
        </w:rPr>
        <w:t>value</w:t>
      </w:r>
      <w:r>
        <w:rPr>
          <w:b/>
          <w:spacing w:val="-7"/>
          <w:w w:val="105"/>
          <w:sz w:val="13"/>
        </w:rPr>
        <w:t> </w:t>
      </w:r>
      <w:r>
        <w:rPr>
          <w:b/>
          <w:w w:val="105"/>
          <w:sz w:val="13"/>
        </w:rPr>
        <w:t>through</w:t>
      </w:r>
      <w:r>
        <w:rPr>
          <w:b/>
          <w:spacing w:val="-7"/>
          <w:w w:val="105"/>
          <w:sz w:val="13"/>
        </w:rPr>
        <w:t> </w:t>
      </w:r>
      <w:r>
        <w:rPr>
          <w:b/>
          <w:w w:val="105"/>
          <w:sz w:val="13"/>
        </w:rPr>
        <w:t>other</w:t>
      </w:r>
      <w:r>
        <w:rPr>
          <w:b/>
          <w:spacing w:val="-6"/>
          <w:w w:val="105"/>
          <w:sz w:val="13"/>
        </w:rPr>
        <w:t> </w:t>
      </w:r>
      <w:r>
        <w:rPr>
          <w:b/>
          <w:w w:val="105"/>
          <w:sz w:val="13"/>
        </w:rPr>
        <w:t>comprehensive</w:t>
      </w:r>
      <w:r>
        <w:rPr>
          <w:b/>
          <w:spacing w:val="-7"/>
          <w:w w:val="105"/>
          <w:sz w:val="13"/>
        </w:rPr>
        <w:t> </w:t>
      </w:r>
      <w:r>
        <w:rPr>
          <w:b/>
          <w:spacing w:val="-2"/>
          <w:w w:val="105"/>
          <w:sz w:val="13"/>
        </w:rPr>
        <w:t>income</w:t>
      </w:r>
    </w:p>
    <w:p>
      <w:pPr>
        <w:spacing w:line="273" w:lineRule="auto" w:before="20"/>
        <w:ind w:left="750" w:right="288" w:firstLine="0"/>
        <w:jc w:val="both"/>
        <w:rPr>
          <w:sz w:val="13"/>
        </w:rPr>
      </w:pPr>
      <w:r>
        <w:rPr>
          <w:w w:val="105"/>
          <w:sz w:val="13"/>
        </w:rPr>
        <w:t>Upon initial recognition, the Group can elect to classify irrevocably its equity investments as equity instruments designated at fair value</w:t>
      </w:r>
      <w:r>
        <w:rPr>
          <w:spacing w:val="40"/>
          <w:w w:val="105"/>
          <w:sz w:val="13"/>
        </w:rPr>
        <w:t> </w:t>
      </w:r>
      <w:r>
        <w:rPr>
          <w:w w:val="105"/>
          <w:sz w:val="13"/>
        </w:rPr>
        <w:t>through OCI, when they meet the definition of equity under AASB 132 </w:t>
      </w:r>
      <w:r>
        <w:rPr>
          <w:i/>
          <w:w w:val="105"/>
          <w:sz w:val="13"/>
        </w:rPr>
        <w:t>Financial Instruments: Presentation</w:t>
      </w:r>
      <w:r>
        <w:rPr>
          <w:i/>
          <w:spacing w:val="30"/>
          <w:w w:val="105"/>
          <w:sz w:val="13"/>
        </w:rPr>
        <w:t> </w:t>
      </w:r>
      <w:r>
        <w:rPr>
          <w:w w:val="105"/>
          <w:sz w:val="13"/>
        </w:rPr>
        <w:t>and are not held for trading.</w:t>
      </w:r>
      <w:r>
        <w:rPr>
          <w:spacing w:val="40"/>
          <w:w w:val="105"/>
          <w:sz w:val="13"/>
        </w:rPr>
        <w:t> </w:t>
      </w:r>
      <w:r>
        <w:rPr>
          <w:w w:val="105"/>
          <w:sz w:val="13"/>
        </w:rPr>
        <w:t>The classification is determined on an instrument-by-instrument basis. Gains and losses on these financial assets are never recycled to</w:t>
      </w:r>
      <w:r>
        <w:rPr>
          <w:spacing w:val="40"/>
          <w:w w:val="105"/>
          <w:sz w:val="13"/>
        </w:rPr>
        <w:t> </w:t>
      </w:r>
      <w:r>
        <w:rPr>
          <w:w w:val="105"/>
          <w:sz w:val="13"/>
        </w:rPr>
        <w:t>profit or loss. Dividends are</w:t>
      </w:r>
      <w:r>
        <w:rPr>
          <w:spacing w:val="-1"/>
          <w:w w:val="105"/>
          <w:sz w:val="13"/>
        </w:rPr>
        <w:t> </w:t>
      </w:r>
      <w:r>
        <w:rPr>
          <w:w w:val="105"/>
          <w:sz w:val="13"/>
        </w:rPr>
        <w:t>recognised as other income</w:t>
      </w:r>
      <w:r>
        <w:rPr>
          <w:spacing w:val="-1"/>
          <w:w w:val="105"/>
          <w:sz w:val="13"/>
        </w:rPr>
        <w:t> </w:t>
      </w:r>
      <w:r>
        <w:rPr>
          <w:w w:val="105"/>
          <w:sz w:val="13"/>
        </w:rPr>
        <w:t>in</w:t>
      </w:r>
      <w:r>
        <w:rPr>
          <w:spacing w:val="-1"/>
          <w:w w:val="105"/>
          <w:sz w:val="13"/>
        </w:rPr>
        <w:t> </w:t>
      </w:r>
      <w:r>
        <w:rPr>
          <w:w w:val="105"/>
          <w:sz w:val="13"/>
        </w:rPr>
        <w:t>the</w:t>
      </w:r>
      <w:r>
        <w:rPr>
          <w:spacing w:val="-1"/>
          <w:w w:val="105"/>
          <w:sz w:val="13"/>
        </w:rPr>
        <w:t> </w:t>
      </w:r>
      <w:r>
        <w:rPr>
          <w:w w:val="105"/>
          <w:sz w:val="13"/>
        </w:rPr>
        <w:t>income</w:t>
      </w:r>
      <w:r>
        <w:rPr>
          <w:spacing w:val="-1"/>
          <w:w w:val="105"/>
          <w:sz w:val="13"/>
        </w:rPr>
        <w:t> </w:t>
      </w:r>
      <w:r>
        <w:rPr>
          <w:w w:val="105"/>
          <w:sz w:val="13"/>
        </w:rPr>
        <w:t>statement</w:t>
      </w:r>
      <w:r>
        <w:rPr>
          <w:spacing w:val="-2"/>
          <w:w w:val="105"/>
          <w:sz w:val="13"/>
        </w:rPr>
        <w:t> </w:t>
      </w:r>
      <w:r>
        <w:rPr>
          <w:w w:val="105"/>
          <w:sz w:val="13"/>
        </w:rPr>
        <w:t>when</w:t>
      </w:r>
      <w:r>
        <w:rPr>
          <w:spacing w:val="-1"/>
          <w:w w:val="105"/>
          <w:sz w:val="13"/>
        </w:rPr>
        <w:t> </w:t>
      </w:r>
      <w:r>
        <w:rPr>
          <w:w w:val="105"/>
          <w:sz w:val="13"/>
        </w:rPr>
        <w:t>the</w:t>
      </w:r>
      <w:r>
        <w:rPr>
          <w:spacing w:val="-3"/>
          <w:w w:val="105"/>
          <w:sz w:val="13"/>
        </w:rPr>
        <w:t> </w:t>
      </w:r>
      <w:r>
        <w:rPr>
          <w:w w:val="105"/>
          <w:sz w:val="13"/>
        </w:rPr>
        <w:t>right of payment has</w:t>
      </w:r>
      <w:r>
        <w:rPr>
          <w:spacing w:val="-2"/>
          <w:w w:val="105"/>
          <w:sz w:val="13"/>
        </w:rPr>
        <w:t> </w:t>
      </w:r>
      <w:r>
        <w:rPr>
          <w:w w:val="105"/>
          <w:sz w:val="13"/>
        </w:rPr>
        <w:t>been</w:t>
      </w:r>
      <w:r>
        <w:rPr>
          <w:spacing w:val="-1"/>
          <w:w w:val="105"/>
          <w:sz w:val="13"/>
        </w:rPr>
        <w:t> </w:t>
      </w:r>
      <w:r>
        <w:rPr>
          <w:w w:val="105"/>
          <w:sz w:val="13"/>
        </w:rPr>
        <w:t>established,</w:t>
      </w:r>
      <w:r>
        <w:rPr>
          <w:spacing w:val="-2"/>
          <w:w w:val="105"/>
          <w:sz w:val="13"/>
        </w:rPr>
        <w:t> </w:t>
      </w:r>
      <w:r>
        <w:rPr>
          <w:w w:val="105"/>
          <w:sz w:val="13"/>
        </w:rPr>
        <w:t>except</w:t>
      </w:r>
      <w:r>
        <w:rPr>
          <w:spacing w:val="40"/>
          <w:w w:val="105"/>
          <w:sz w:val="13"/>
        </w:rPr>
        <w:t> </w:t>
      </w:r>
      <w:r>
        <w:rPr>
          <w:w w:val="105"/>
          <w:sz w:val="13"/>
        </w:rPr>
        <w:t>when</w:t>
      </w:r>
      <w:r>
        <w:rPr>
          <w:w w:val="105"/>
          <w:sz w:val="13"/>
        </w:rPr>
        <w:t> the</w:t>
      </w:r>
      <w:r>
        <w:rPr>
          <w:w w:val="105"/>
          <w:sz w:val="13"/>
        </w:rPr>
        <w:t> Group</w:t>
      </w:r>
      <w:r>
        <w:rPr>
          <w:w w:val="105"/>
          <w:sz w:val="13"/>
        </w:rPr>
        <w:t> benefits</w:t>
      </w:r>
      <w:r>
        <w:rPr>
          <w:w w:val="105"/>
          <w:sz w:val="13"/>
        </w:rPr>
        <w:t> from</w:t>
      </w:r>
      <w:r>
        <w:rPr>
          <w:w w:val="105"/>
          <w:sz w:val="13"/>
        </w:rPr>
        <w:t> such</w:t>
      </w:r>
      <w:r>
        <w:rPr>
          <w:w w:val="105"/>
          <w:sz w:val="13"/>
        </w:rPr>
        <w:t> proceeds</w:t>
      </w:r>
      <w:r>
        <w:rPr>
          <w:w w:val="105"/>
          <w:sz w:val="13"/>
        </w:rPr>
        <w:t> as</w:t>
      </w:r>
      <w:r>
        <w:rPr>
          <w:w w:val="105"/>
          <w:sz w:val="13"/>
        </w:rPr>
        <w:t> a</w:t>
      </w:r>
      <w:r>
        <w:rPr>
          <w:w w:val="105"/>
          <w:sz w:val="13"/>
        </w:rPr>
        <w:t> recovery</w:t>
      </w:r>
      <w:r>
        <w:rPr>
          <w:w w:val="105"/>
          <w:sz w:val="13"/>
        </w:rPr>
        <w:t> of</w:t>
      </w:r>
      <w:r>
        <w:rPr>
          <w:w w:val="105"/>
          <w:sz w:val="13"/>
        </w:rPr>
        <w:t> part</w:t>
      </w:r>
      <w:r>
        <w:rPr>
          <w:w w:val="105"/>
          <w:sz w:val="13"/>
        </w:rPr>
        <w:t> of</w:t>
      </w:r>
      <w:r>
        <w:rPr>
          <w:w w:val="105"/>
          <w:sz w:val="13"/>
        </w:rPr>
        <w:t> the</w:t>
      </w:r>
      <w:r>
        <w:rPr>
          <w:w w:val="105"/>
          <w:sz w:val="13"/>
        </w:rPr>
        <w:t> cost</w:t>
      </w:r>
      <w:r>
        <w:rPr>
          <w:w w:val="105"/>
          <w:sz w:val="13"/>
        </w:rPr>
        <w:t> of</w:t>
      </w:r>
      <w:r>
        <w:rPr>
          <w:w w:val="105"/>
          <w:sz w:val="13"/>
        </w:rPr>
        <w:t> the</w:t>
      </w:r>
      <w:r>
        <w:rPr>
          <w:w w:val="105"/>
          <w:sz w:val="13"/>
        </w:rPr>
        <w:t> financial</w:t>
      </w:r>
      <w:r>
        <w:rPr>
          <w:w w:val="105"/>
          <w:sz w:val="13"/>
        </w:rPr>
        <w:t> asset:</w:t>
      </w:r>
      <w:r>
        <w:rPr>
          <w:w w:val="105"/>
          <w:sz w:val="13"/>
        </w:rPr>
        <w:t> in</w:t>
      </w:r>
      <w:r>
        <w:rPr>
          <w:w w:val="105"/>
          <w:sz w:val="13"/>
        </w:rPr>
        <w:t> which</w:t>
      </w:r>
      <w:r>
        <w:rPr>
          <w:w w:val="105"/>
          <w:sz w:val="13"/>
        </w:rPr>
        <w:t> case,</w:t>
      </w:r>
      <w:r>
        <w:rPr>
          <w:w w:val="105"/>
          <w:sz w:val="13"/>
        </w:rPr>
        <w:t> such</w:t>
      </w:r>
      <w:r>
        <w:rPr>
          <w:w w:val="105"/>
          <w:sz w:val="13"/>
        </w:rPr>
        <w:t> gains</w:t>
      </w:r>
      <w:r>
        <w:rPr>
          <w:w w:val="105"/>
          <w:sz w:val="13"/>
        </w:rPr>
        <w:t> are</w:t>
      </w:r>
      <w:r>
        <w:rPr>
          <w:spacing w:val="40"/>
          <w:w w:val="105"/>
          <w:sz w:val="13"/>
        </w:rPr>
        <w:t> </w:t>
      </w:r>
      <w:r>
        <w:rPr>
          <w:w w:val="105"/>
          <w:sz w:val="13"/>
        </w:rPr>
        <w:t>recorded in OCI. Equity</w:t>
      </w:r>
      <w:r>
        <w:rPr>
          <w:spacing w:val="-4"/>
          <w:w w:val="105"/>
          <w:sz w:val="13"/>
        </w:rPr>
        <w:t> </w:t>
      </w:r>
      <w:r>
        <w:rPr>
          <w:w w:val="105"/>
          <w:sz w:val="13"/>
        </w:rPr>
        <w:t>instruments designated at fair value through OCI are not subject to impairment assessment.</w:t>
      </w:r>
    </w:p>
    <w:p>
      <w:pPr>
        <w:spacing w:line="240" w:lineRule="auto" w:before="25"/>
        <w:rPr>
          <w:sz w:val="13"/>
        </w:rPr>
      </w:pPr>
    </w:p>
    <w:p>
      <w:pPr>
        <w:spacing w:before="0"/>
        <w:ind w:left="750" w:right="0" w:firstLine="0"/>
        <w:jc w:val="both"/>
        <w:rPr>
          <w:b/>
          <w:sz w:val="13"/>
        </w:rPr>
      </w:pPr>
      <w:r>
        <w:rPr>
          <w:b/>
          <w:w w:val="105"/>
          <w:sz w:val="13"/>
        </w:rPr>
        <w:t>Financial</w:t>
      </w:r>
      <w:r>
        <w:rPr>
          <w:b/>
          <w:spacing w:val="-6"/>
          <w:w w:val="105"/>
          <w:sz w:val="13"/>
        </w:rPr>
        <w:t> </w:t>
      </w:r>
      <w:r>
        <w:rPr>
          <w:b/>
          <w:w w:val="105"/>
          <w:sz w:val="13"/>
        </w:rPr>
        <w:t>assets</w:t>
      </w:r>
      <w:r>
        <w:rPr>
          <w:b/>
          <w:spacing w:val="-6"/>
          <w:w w:val="105"/>
          <w:sz w:val="13"/>
        </w:rPr>
        <w:t> </w:t>
      </w:r>
      <w:r>
        <w:rPr>
          <w:b/>
          <w:w w:val="105"/>
          <w:sz w:val="13"/>
        </w:rPr>
        <w:t>at</w:t>
      </w:r>
      <w:r>
        <w:rPr>
          <w:b/>
          <w:spacing w:val="-4"/>
          <w:w w:val="105"/>
          <w:sz w:val="13"/>
        </w:rPr>
        <w:t> </w:t>
      </w:r>
      <w:r>
        <w:rPr>
          <w:b/>
          <w:w w:val="105"/>
          <w:sz w:val="13"/>
        </w:rPr>
        <w:t>fair</w:t>
      </w:r>
      <w:r>
        <w:rPr>
          <w:b/>
          <w:spacing w:val="-4"/>
          <w:w w:val="105"/>
          <w:sz w:val="13"/>
        </w:rPr>
        <w:t> </w:t>
      </w:r>
      <w:r>
        <w:rPr>
          <w:b/>
          <w:w w:val="105"/>
          <w:sz w:val="13"/>
        </w:rPr>
        <w:t>value</w:t>
      </w:r>
      <w:r>
        <w:rPr>
          <w:b/>
          <w:spacing w:val="-6"/>
          <w:w w:val="105"/>
          <w:sz w:val="13"/>
        </w:rPr>
        <w:t> </w:t>
      </w:r>
      <w:r>
        <w:rPr>
          <w:b/>
          <w:w w:val="105"/>
          <w:sz w:val="13"/>
        </w:rPr>
        <w:t>through</w:t>
      </w:r>
      <w:r>
        <w:rPr>
          <w:b/>
          <w:spacing w:val="-5"/>
          <w:w w:val="105"/>
          <w:sz w:val="13"/>
        </w:rPr>
        <w:t> </w:t>
      </w:r>
      <w:r>
        <w:rPr>
          <w:b/>
          <w:w w:val="105"/>
          <w:sz w:val="13"/>
        </w:rPr>
        <w:t>profit</w:t>
      </w:r>
      <w:r>
        <w:rPr>
          <w:b/>
          <w:spacing w:val="-3"/>
          <w:w w:val="105"/>
          <w:sz w:val="13"/>
        </w:rPr>
        <w:t> </w:t>
      </w:r>
      <w:r>
        <w:rPr>
          <w:b/>
          <w:w w:val="105"/>
          <w:sz w:val="13"/>
        </w:rPr>
        <w:t>or</w:t>
      </w:r>
      <w:r>
        <w:rPr>
          <w:b/>
          <w:spacing w:val="-5"/>
          <w:w w:val="105"/>
          <w:sz w:val="13"/>
        </w:rPr>
        <w:t> </w:t>
      </w:r>
      <w:r>
        <w:rPr>
          <w:b/>
          <w:w w:val="105"/>
          <w:sz w:val="13"/>
        </w:rPr>
        <w:t>loss</w:t>
      </w:r>
      <w:r>
        <w:rPr>
          <w:b/>
          <w:spacing w:val="-6"/>
          <w:w w:val="105"/>
          <w:sz w:val="13"/>
        </w:rPr>
        <w:t> </w:t>
      </w:r>
      <w:r>
        <w:rPr>
          <w:b/>
          <w:w w:val="105"/>
          <w:sz w:val="13"/>
        </w:rPr>
        <w:t>(including</w:t>
      </w:r>
      <w:r>
        <w:rPr>
          <w:b/>
          <w:spacing w:val="-5"/>
          <w:w w:val="105"/>
          <w:sz w:val="13"/>
        </w:rPr>
        <w:t> </w:t>
      </w:r>
      <w:r>
        <w:rPr>
          <w:b/>
          <w:spacing w:val="-2"/>
          <w:w w:val="105"/>
          <w:sz w:val="13"/>
        </w:rPr>
        <w:t>designated)</w:t>
      </w:r>
    </w:p>
    <w:p>
      <w:pPr>
        <w:spacing w:line="273" w:lineRule="auto" w:before="21"/>
        <w:ind w:left="750" w:right="287" w:firstLine="0"/>
        <w:jc w:val="both"/>
        <w:rPr>
          <w:sz w:val="13"/>
        </w:rPr>
      </w:pPr>
      <w:r>
        <w:rPr>
          <w:w w:val="105"/>
          <w:sz w:val="13"/>
        </w:rPr>
        <w:t>Financial</w:t>
      </w:r>
      <w:r>
        <w:rPr>
          <w:w w:val="105"/>
          <w:sz w:val="13"/>
        </w:rPr>
        <w:t> assets</w:t>
      </w:r>
      <w:r>
        <w:rPr>
          <w:w w:val="105"/>
          <w:sz w:val="13"/>
        </w:rPr>
        <w:t> at</w:t>
      </w:r>
      <w:r>
        <w:rPr>
          <w:w w:val="105"/>
          <w:sz w:val="13"/>
        </w:rPr>
        <w:t> fair</w:t>
      </w:r>
      <w:r>
        <w:rPr>
          <w:w w:val="105"/>
          <w:sz w:val="13"/>
        </w:rPr>
        <w:t> value</w:t>
      </w:r>
      <w:r>
        <w:rPr>
          <w:w w:val="105"/>
          <w:sz w:val="13"/>
        </w:rPr>
        <w:t> through</w:t>
      </w:r>
      <w:r>
        <w:rPr>
          <w:w w:val="105"/>
          <w:sz w:val="13"/>
        </w:rPr>
        <w:t> profit</w:t>
      </w:r>
      <w:r>
        <w:rPr>
          <w:w w:val="105"/>
          <w:sz w:val="13"/>
        </w:rPr>
        <w:t> or</w:t>
      </w:r>
      <w:r>
        <w:rPr>
          <w:w w:val="105"/>
          <w:sz w:val="13"/>
        </w:rPr>
        <w:t> loss</w:t>
      </w:r>
      <w:r>
        <w:rPr>
          <w:w w:val="105"/>
          <w:sz w:val="13"/>
        </w:rPr>
        <w:t> include</w:t>
      </w:r>
      <w:r>
        <w:rPr>
          <w:w w:val="105"/>
          <w:sz w:val="13"/>
        </w:rPr>
        <w:t> financial</w:t>
      </w:r>
      <w:r>
        <w:rPr>
          <w:w w:val="105"/>
          <w:sz w:val="13"/>
        </w:rPr>
        <w:t> assets</w:t>
      </w:r>
      <w:r>
        <w:rPr>
          <w:w w:val="105"/>
          <w:sz w:val="13"/>
        </w:rPr>
        <w:t> held</w:t>
      </w:r>
      <w:r>
        <w:rPr>
          <w:w w:val="105"/>
          <w:sz w:val="13"/>
        </w:rPr>
        <w:t> for</w:t>
      </w:r>
      <w:r>
        <w:rPr>
          <w:w w:val="105"/>
          <w:sz w:val="13"/>
        </w:rPr>
        <w:t> trading,</w:t>
      </w:r>
      <w:r>
        <w:rPr>
          <w:w w:val="105"/>
          <w:sz w:val="13"/>
        </w:rPr>
        <w:t> financial</w:t>
      </w:r>
      <w:r>
        <w:rPr>
          <w:w w:val="105"/>
          <w:sz w:val="13"/>
        </w:rPr>
        <w:t> assets</w:t>
      </w:r>
      <w:r>
        <w:rPr>
          <w:w w:val="105"/>
          <w:sz w:val="13"/>
        </w:rPr>
        <w:t> designated</w:t>
      </w:r>
      <w:r>
        <w:rPr>
          <w:w w:val="105"/>
          <w:sz w:val="13"/>
        </w:rPr>
        <w:t> upon</w:t>
      </w:r>
      <w:r>
        <w:rPr>
          <w:w w:val="105"/>
          <w:sz w:val="13"/>
        </w:rPr>
        <w:t> initial</w:t>
      </w:r>
      <w:r>
        <w:rPr>
          <w:spacing w:val="40"/>
          <w:w w:val="105"/>
          <w:sz w:val="13"/>
        </w:rPr>
        <w:t> </w:t>
      </w:r>
      <w:r>
        <w:rPr>
          <w:w w:val="105"/>
          <w:sz w:val="13"/>
        </w:rPr>
        <w:t>recognition at fair value through profit or loss, or financial assets mandatorily required to be measured at fair value. Financial assets are</w:t>
      </w:r>
      <w:r>
        <w:rPr>
          <w:spacing w:val="40"/>
          <w:w w:val="105"/>
          <w:sz w:val="13"/>
        </w:rPr>
        <w:t> </w:t>
      </w:r>
      <w:r>
        <w:rPr>
          <w:w w:val="105"/>
          <w:sz w:val="13"/>
        </w:rPr>
        <w:t>classified</w:t>
      </w:r>
      <w:r>
        <w:rPr>
          <w:w w:val="105"/>
          <w:sz w:val="13"/>
        </w:rPr>
        <w:t> as</w:t>
      </w:r>
      <w:r>
        <w:rPr>
          <w:w w:val="105"/>
          <w:sz w:val="13"/>
        </w:rPr>
        <w:t> held</w:t>
      </w:r>
      <w:r>
        <w:rPr>
          <w:w w:val="105"/>
          <w:sz w:val="13"/>
        </w:rPr>
        <w:t> for</w:t>
      </w:r>
      <w:r>
        <w:rPr>
          <w:w w:val="105"/>
          <w:sz w:val="13"/>
        </w:rPr>
        <w:t> trading</w:t>
      </w:r>
      <w:r>
        <w:rPr>
          <w:w w:val="105"/>
          <w:sz w:val="13"/>
        </w:rPr>
        <w:t> if</w:t>
      </w:r>
      <w:r>
        <w:rPr>
          <w:w w:val="105"/>
          <w:sz w:val="13"/>
        </w:rPr>
        <w:t> they</w:t>
      </w:r>
      <w:r>
        <w:rPr>
          <w:w w:val="105"/>
          <w:sz w:val="13"/>
        </w:rPr>
        <w:t> are</w:t>
      </w:r>
      <w:r>
        <w:rPr>
          <w:w w:val="105"/>
          <w:sz w:val="13"/>
        </w:rPr>
        <w:t> acquired</w:t>
      </w:r>
      <w:r>
        <w:rPr>
          <w:w w:val="105"/>
          <w:sz w:val="13"/>
        </w:rPr>
        <w:t> for</w:t>
      </w:r>
      <w:r>
        <w:rPr>
          <w:w w:val="105"/>
          <w:sz w:val="13"/>
        </w:rPr>
        <w:t> the</w:t>
      </w:r>
      <w:r>
        <w:rPr>
          <w:w w:val="105"/>
          <w:sz w:val="13"/>
        </w:rPr>
        <w:t> purpose</w:t>
      </w:r>
      <w:r>
        <w:rPr>
          <w:w w:val="105"/>
          <w:sz w:val="13"/>
        </w:rPr>
        <w:t> of</w:t>
      </w:r>
      <w:r>
        <w:rPr>
          <w:w w:val="105"/>
          <w:sz w:val="13"/>
        </w:rPr>
        <w:t> selling</w:t>
      </w:r>
      <w:r>
        <w:rPr>
          <w:w w:val="105"/>
          <w:sz w:val="13"/>
        </w:rPr>
        <w:t> or</w:t>
      </w:r>
      <w:r>
        <w:rPr>
          <w:w w:val="105"/>
          <w:sz w:val="13"/>
        </w:rPr>
        <w:t> repurchasing</w:t>
      </w:r>
      <w:r>
        <w:rPr>
          <w:w w:val="105"/>
          <w:sz w:val="13"/>
        </w:rPr>
        <w:t> in</w:t>
      </w:r>
      <w:r>
        <w:rPr>
          <w:w w:val="105"/>
          <w:sz w:val="13"/>
        </w:rPr>
        <w:t> the</w:t>
      </w:r>
      <w:r>
        <w:rPr>
          <w:w w:val="105"/>
          <w:sz w:val="13"/>
        </w:rPr>
        <w:t> near</w:t>
      </w:r>
      <w:r>
        <w:rPr>
          <w:w w:val="105"/>
          <w:sz w:val="13"/>
        </w:rPr>
        <w:t> term.</w:t>
      </w:r>
      <w:r>
        <w:rPr>
          <w:w w:val="105"/>
          <w:sz w:val="13"/>
        </w:rPr>
        <w:t> Derivatives,</w:t>
      </w:r>
      <w:r>
        <w:rPr>
          <w:w w:val="105"/>
          <w:sz w:val="13"/>
        </w:rPr>
        <w:t> including</w:t>
      </w:r>
      <w:r>
        <w:rPr>
          <w:spacing w:val="40"/>
          <w:w w:val="105"/>
          <w:sz w:val="13"/>
        </w:rPr>
        <w:t> </w:t>
      </w:r>
      <w:r>
        <w:rPr>
          <w:w w:val="105"/>
          <w:sz w:val="13"/>
        </w:rPr>
        <w:t>separated</w:t>
      </w:r>
      <w:r>
        <w:rPr>
          <w:w w:val="105"/>
          <w:sz w:val="13"/>
        </w:rPr>
        <w:t> embedded</w:t>
      </w:r>
      <w:r>
        <w:rPr>
          <w:w w:val="105"/>
          <w:sz w:val="13"/>
        </w:rPr>
        <w:t> derivatives,</w:t>
      </w:r>
      <w:r>
        <w:rPr>
          <w:w w:val="105"/>
          <w:sz w:val="13"/>
        </w:rPr>
        <w:t> are</w:t>
      </w:r>
      <w:r>
        <w:rPr>
          <w:w w:val="105"/>
          <w:sz w:val="13"/>
        </w:rPr>
        <w:t> also</w:t>
      </w:r>
      <w:r>
        <w:rPr>
          <w:w w:val="105"/>
          <w:sz w:val="13"/>
        </w:rPr>
        <w:t> classified</w:t>
      </w:r>
      <w:r>
        <w:rPr>
          <w:w w:val="105"/>
          <w:sz w:val="13"/>
        </w:rPr>
        <w:t> as</w:t>
      </w:r>
      <w:r>
        <w:rPr>
          <w:w w:val="105"/>
          <w:sz w:val="13"/>
        </w:rPr>
        <w:t> held</w:t>
      </w:r>
      <w:r>
        <w:rPr>
          <w:w w:val="105"/>
          <w:sz w:val="13"/>
        </w:rPr>
        <w:t> for</w:t>
      </w:r>
      <w:r>
        <w:rPr>
          <w:w w:val="105"/>
          <w:sz w:val="13"/>
        </w:rPr>
        <w:t> trading</w:t>
      </w:r>
      <w:r>
        <w:rPr>
          <w:w w:val="105"/>
          <w:sz w:val="13"/>
        </w:rPr>
        <w:t> unless</w:t>
      </w:r>
      <w:r>
        <w:rPr>
          <w:w w:val="105"/>
          <w:sz w:val="13"/>
        </w:rPr>
        <w:t> they</w:t>
      </w:r>
      <w:r>
        <w:rPr>
          <w:w w:val="105"/>
          <w:sz w:val="13"/>
        </w:rPr>
        <w:t> are</w:t>
      </w:r>
      <w:r>
        <w:rPr>
          <w:w w:val="105"/>
          <w:sz w:val="13"/>
        </w:rPr>
        <w:t> designated</w:t>
      </w:r>
      <w:r>
        <w:rPr>
          <w:w w:val="105"/>
          <w:sz w:val="13"/>
        </w:rPr>
        <w:t> as</w:t>
      </w:r>
      <w:r>
        <w:rPr>
          <w:w w:val="105"/>
          <w:sz w:val="13"/>
        </w:rPr>
        <w:t> effective</w:t>
      </w:r>
      <w:r>
        <w:rPr>
          <w:w w:val="105"/>
          <w:sz w:val="13"/>
        </w:rPr>
        <w:t> hedging</w:t>
      </w:r>
      <w:r>
        <w:rPr>
          <w:w w:val="105"/>
          <w:sz w:val="13"/>
        </w:rPr>
        <w:t> instruments.</w:t>
      </w:r>
      <w:r>
        <w:rPr>
          <w:spacing w:val="40"/>
          <w:w w:val="105"/>
          <w:sz w:val="13"/>
        </w:rPr>
        <w:t> </w:t>
      </w:r>
      <w:r>
        <w:rPr>
          <w:w w:val="105"/>
          <w:sz w:val="13"/>
        </w:rPr>
        <w:t>Financial assets with cash flows that are not solely payments of principal and interest are classified and measured at fair value through</w:t>
      </w:r>
      <w:r>
        <w:rPr>
          <w:spacing w:val="40"/>
          <w:w w:val="105"/>
          <w:sz w:val="13"/>
        </w:rPr>
        <w:t> </w:t>
      </w:r>
      <w:r>
        <w:rPr>
          <w:w w:val="105"/>
          <w:sz w:val="13"/>
        </w:rPr>
        <w:t>profit or loss, irrespective of the business model. Notwithstanding the criteria for debt instruments to be classified at amortised cost or at</w:t>
      </w:r>
      <w:r>
        <w:rPr>
          <w:spacing w:val="40"/>
          <w:w w:val="105"/>
          <w:sz w:val="13"/>
        </w:rPr>
        <w:t> </w:t>
      </w:r>
      <w:r>
        <w:rPr>
          <w:w w:val="105"/>
          <w:sz w:val="13"/>
        </w:rPr>
        <w:t>fair value through OCI, as described above, debt instruments may</w:t>
      </w:r>
      <w:r>
        <w:rPr>
          <w:spacing w:val="-3"/>
          <w:w w:val="105"/>
          <w:sz w:val="13"/>
        </w:rPr>
        <w:t> </w:t>
      </w:r>
      <w:r>
        <w:rPr>
          <w:w w:val="105"/>
          <w:sz w:val="13"/>
        </w:rPr>
        <w:t>be designated at fair value through profit or loss on</w:t>
      </w:r>
      <w:r>
        <w:rPr>
          <w:spacing w:val="-3"/>
          <w:w w:val="105"/>
          <w:sz w:val="13"/>
        </w:rPr>
        <w:t> </w:t>
      </w:r>
      <w:r>
        <w:rPr>
          <w:w w:val="105"/>
          <w:sz w:val="13"/>
        </w:rPr>
        <w:t>initial recognition</w:t>
      </w:r>
      <w:r>
        <w:rPr>
          <w:spacing w:val="-2"/>
          <w:w w:val="105"/>
          <w:sz w:val="13"/>
        </w:rPr>
        <w:t> </w:t>
      </w:r>
      <w:r>
        <w:rPr>
          <w:w w:val="105"/>
          <w:sz w:val="13"/>
        </w:rPr>
        <w:t>if</w:t>
      </w:r>
      <w:r>
        <w:rPr>
          <w:spacing w:val="40"/>
          <w:w w:val="105"/>
          <w:sz w:val="13"/>
        </w:rPr>
        <w:t> </w:t>
      </w:r>
      <w:r>
        <w:rPr>
          <w:w w:val="105"/>
          <w:sz w:val="13"/>
        </w:rPr>
        <w:t>doing so eliminates, or significantly reduces, an accounting mismatch.</w:t>
      </w:r>
    </w:p>
    <w:p>
      <w:pPr>
        <w:spacing w:line="240" w:lineRule="auto" w:before="17"/>
        <w:rPr>
          <w:sz w:val="13"/>
        </w:rPr>
      </w:pPr>
    </w:p>
    <w:p>
      <w:pPr>
        <w:spacing w:line="273" w:lineRule="auto" w:before="0"/>
        <w:ind w:left="751" w:right="289" w:hanging="1"/>
        <w:jc w:val="both"/>
        <w:rPr>
          <w:sz w:val="13"/>
        </w:rPr>
      </w:pPr>
      <w:r>
        <w:rPr>
          <w:w w:val="105"/>
          <w:sz w:val="13"/>
        </w:rPr>
        <w:t>Financial assets at fair value through profit or loss are carried in the statement of financial position at fair value with net changes in fair</w:t>
      </w:r>
      <w:r>
        <w:rPr>
          <w:spacing w:val="40"/>
          <w:w w:val="105"/>
          <w:sz w:val="13"/>
        </w:rPr>
        <w:t> </w:t>
      </w:r>
      <w:r>
        <w:rPr>
          <w:w w:val="105"/>
          <w:sz w:val="13"/>
        </w:rPr>
        <w:t>value recognised in the income statement.</w:t>
      </w:r>
      <w:r>
        <w:rPr>
          <w:spacing w:val="40"/>
          <w:w w:val="105"/>
          <w:sz w:val="13"/>
        </w:rPr>
        <w:t> </w:t>
      </w:r>
      <w:r>
        <w:rPr>
          <w:w w:val="105"/>
          <w:sz w:val="13"/>
        </w:rPr>
        <w:t>This category includes derivative instruments and listed equity investments which the Group</w:t>
      </w:r>
      <w:r>
        <w:rPr>
          <w:spacing w:val="40"/>
          <w:w w:val="105"/>
          <w:sz w:val="13"/>
        </w:rPr>
        <w:t> </w:t>
      </w:r>
      <w:r>
        <w:rPr>
          <w:w w:val="105"/>
          <w:sz w:val="13"/>
        </w:rPr>
        <w:t>had</w:t>
      </w:r>
      <w:r>
        <w:rPr>
          <w:w w:val="105"/>
          <w:sz w:val="13"/>
        </w:rPr>
        <w:t> not</w:t>
      </w:r>
      <w:r>
        <w:rPr>
          <w:w w:val="105"/>
          <w:sz w:val="13"/>
        </w:rPr>
        <w:t> irrevocably elected</w:t>
      </w:r>
      <w:r>
        <w:rPr>
          <w:w w:val="105"/>
          <w:sz w:val="13"/>
        </w:rPr>
        <w:t> to</w:t>
      </w:r>
      <w:r>
        <w:rPr>
          <w:w w:val="105"/>
          <w:sz w:val="13"/>
        </w:rPr>
        <w:t> classify at</w:t>
      </w:r>
      <w:r>
        <w:rPr>
          <w:w w:val="105"/>
          <w:sz w:val="13"/>
        </w:rPr>
        <w:t> fair</w:t>
      </w:r>
      <w:r>
        <w:rPr>
          <w:w w:val="105"/>
          <w:sz w:val="13"/>
        </w:rPr>
        <w:t> value</w:t>
      </w:r>
      <w:r>
        <w:rPr>
          <w:w w:val="105"/>
          <w:sz w:val="13"/>
        </w:rPr>
        <w:t> through</w:t>
      </w:r>
      <w:r>
        <w:rPr>
          <w:w w:val="105"/>
          <w:sz w:val="13"/>
        </w:rPr>
        <w:t> OCI.</w:t>
      </w:r>
      <w:r>
        <w:rPr>
          <w:w w:val="105"/>
          <w:sz w:val="13"/>
        </w:rPr>
        <w:t> Dividends</w:t>
      </w:r>
      <w:r>
        <w:rPr>
          <w:w w:val="105"/>
          <w:sz w:val="13"/>
        </w:rPr>
        <w:t> on</w:t>
      </w:r>
      <w:r>
        <w:rPr>
          <w:w w:val="105"/>
          <w:sz w:val="13"/>
        </w:rPr>
        <w:t> listed</w:t>
      </w:r>
      <w:r>
        <w:rPr>
          <w:w w:val="105"/>
          <w:sz w:val="13"/>
        </w:rPr>
        <w:t> equity</w:t>
      </w:r>
      <w:r>
        <w:rPr>
          <w:w w:val="105"/>
          <w:sz w:val="13"/>
        </w:rPr>
        <w:t> investments</w:t>
      </w:r>
      <w:r>
        <w:rPr>
          <w:w w:val="105"/>
          <w:sz w:val="13"/>
        </w:rPr>
        <w:t> are</w:t>
      </w:r>
      <w:r>
        <w:rPr>
          <w:w w:val="105"/>
          <w:sz w:val="13"/>
        </w:rPr>
        <w:t> also</w:t>
      </w:r>
      <w:r>
        <w:rPr>
          <w:w w:val="105"/>
          <w:sz w:val="13"/>
        </w:rPr>
        <w:t> recognised</w:t>
      </w:r>
      <w:r>
        <w:rPr>
          <w:w w:val="105"/>
          <w:sz w:val="13"/>
        </w:rPr>
        <w:t> as</w:t>
      </w:r>
      <w:r>
        <w:rPr>
          <w:w w:val="105"/>
          <w:sz w:val="13"/>
        </w:rPr>
        <w:t> other</w:t>
      </w:r>
      <w:r>
        <w:rPr>
          <w:spacing w:val="40"/>
          <w:w w:val="105"/>
          <w:sz w:val="13"/>
        </w:rPr>
        <w:t> </w:t>
      </w:r>
      <w:r>
        <w:rPr>
          <w:w w:val="105"/>
          <w:sz w:val="13"/>
        </w:rPr>
        <w:t>income in the income statement when the right of payment has been established.</w:t>
      </w:r>
    </w:p>
    <w:p>
      <w:pPr>
        <w:spacing w:line="240" w:lineRule="auto" w:before="19"/>
        <w:rPr>
          <w:sz w:val="13"/>
        </w:rPr>
      </w:pPr>
    </w:p>
    <w:p>
      <w:pPr>
        <w:spacing w:before="0"/>
        <w:ind w:left="750" w:right="0" w:firstLine="0"/>
        <w:jc w:val="both"/>
        <w:rPr>
          <w:sz w:val="13"/>
        </w:rPr>
      </w:pPr>
      <w:r>
        <w:rPr>
          <w:w w:val="105"/>
          <w:sz w:val="13"/>
        </w:rPr>
        <w:t>The</w:t>
      </w:r>
      <w:r>
        <w:rPr>
          <w:spacing w:val="-10"/>
          <w:w w:val="105"/>
          <w:sz w:val="13"/>
        </w:rPr>
        <w:t> </w:t>
      </w:r>
      <w:r>
        <w:rPr>
          <w:w w:val="105"/>
          <w:sz w:val="13"/>
        </w:rPr>
        <w:t>Group</w:t>
      </w:r>
      <w:r>
        <w:rPr>
          <w:spacing w:val="-7"/>
          <w:w w:val="105"/>
          <w:sz w:val="13"/>
        </w:rPr>
        <w:t> </w:t>
      </w:r>
      <w:r>
        <w:rPr>
          <w:w w:val="105"/>
          <w:sz w:val="13"/>
        </w:rPr>
        <w:t>has</w:t>
      </w:r>
      <w:r>
        <w:rPr>
          <w:spacing w:val="-6"/>
          <w:w w:val="105"/>
          <w:sz w:val="13"/>
        </w:rPr>
        <w:t> </w:t>
      </w:r>
      <w:r>
        <w:rPr>
          <w:w w:val="105"/>
          <w:sz w:val="13"/>
        </w:rPr>
        <w:t>elected</w:t>
      </w:r>
      <w:r>
        <w:rPr>
          <w:spacing w:val="-7"/>
          <w:w w:val="105"/>
          <w:sz w:val="13"/>
        </w:rPr>
        <w:t> </w:t>
      </w:r>
      <w:r>
        <w:rPr>
          <w:w w:val="105"/>
          <w:sz w:val="13"/>
        </w:rPr>
        <w:t>to</w:t>
      </w:r>
      <w:r>
        <w:rPr>
          <w:spacing w:val="-7"/>
          <w:w w:val="105"/>
          <w:sz w:val="13"/>
        </w:rPr>
        <w:t> </w:t>
      </w:r>
      <w:r>
        <w:rPr>
          <w:w w:val="105"/>
          <w:sz w:val="13"/>
        </w:rPr>
        <w:t>classify</w:t>
      </w:r>
      <w:r>
        <w:rPr>
          <w:spacing w:val="-10"/>
          <w:w w:val="105"/>
          <w:sz w:val="13"/>
        </w:rPr>
        <w:t> </w:t>
      </w:r>
      <w:r>
        <w:rPr>
          <w:w w:val="105"/>
          <w:sz w:val="13"/>
        </w:rPr>
        <w:t>irrevocably</w:t>
      </w:r>
      <w:r>
        <w:rPr>
          <w:spacing w:val="-9"/>
          <w:w w:val="105"/>
          <w:sz w:val="13"/>
        </w:rPr>
        <w:t> </w:t>
      </w:r>
      <w:r>
        <w:rPr>
          <w:w w:val="105"/>
          <w:sz w:val="13"/>
        </w:rPr>
        <w:t>its</w:t>
      </w:r>
      <w:r>
        <w:rPr>
          <w:spacing w:val="-6"/>
          <w:w w:val="105"/>
          <w:sz w:val="13"/>
        </w:rPr>
        <w:t> </w:t>
      </w:r>
      <w:r>
        <w:rPr>
          <w:w w:val="105"/>
          <w:sz w:val="13"/>
        </w:rPr>
        <w:t>non-listed</w:t>
      </w:r>
      <w:r>
        <w:rPr>
          <w:spacing w:val="-7"/>
          <w:w w:val="105"/>
          <w:sz w:val="13"/>
        </w:rPr>
        <w:t> </w:t>
      </w:r>
      <w:r>
        <w:rPr>
          <w:w w:val="105"/>
          <w:sz w:val="13"/>
        </w:rPr>
        <w:t>equity</w:t>
      </w:r>
      <w:r>
        <w:rPr>
          <w:spacing w:val="-10"/>
          <w:w w:val="105"/>
          <w:sz w:val="13"/>
        </w:rPr>
        <w:t> </w:t>
      </w:r>
      <w:r>
        <w:rPr>
          <w:w w:val="105"/>
          <w:sz w:val="13"/>
        </w:rPr>
        <w:t>investments</w:t>
      </w:r>
      <w:r>
        <w:rPr>
          <w:spacing w:val="-6"/>
          <w:w w:val="105"/>
          <w:sz w:val="13"/>
        </w:rPr>
        <w:t> </w:t>
      </w:r>
      <w:r>
        <w:rPr>
          <w:w w:val="105"/>
          <w:sz w:val="13"/>
        </w:rPr>
        <w:t>under</w:t>
      </w:r>
      <w:r>
        <w:rPr>
          <w:spacing w:val="-5"/>
          <w:w w:val="105"/>
          <w:sz w:val="13"/>
        </w:rPr>
        <w:t> </w:t>
      </w:r>
      <w:r>
        <w:rPr>
          <w:w w:val="105"/>
          <w:sz w:val="13"/>
        </w:rPr>
        <w:t>this</w:t>
      </w:r>
      <w:r>
        <w:rPr>
          <w:spacing w:val="-6"/>
          <w:w w:val="105"/>
          <w:sz w:val="13"/>
        </w:rPr>
        <w:t> </w:t>
      </w:r>
      <w:r>
        <w:rPr>
          <w:spacing w:val="-2"/>
          <w:w w:val="105"/>
          <w:sz w:val="13"/>
        </w:rPr>
        <w:t>category.</w:t>
      </w:r>
    </w:p>
    <w:p>
      <w:pPr>
        <w:spacing w:line="240" w:lineRule="auto" w:before="59"/>
        <w:rPr>
          <w:sz w:val="13"/>
        </w:rPr>
      </w:pPr>
    </w:p>
    <w:p>
      <w:pPr>
        <w:spacing w:before="0"/>
        <w:ind w:left="750" w:right="0" w:firstLine="0"/>
        <w:jc w:val="left"/>
        <w:rPr>
          <w:b/>
          <w:sz w:val="13"/>
        </w:rPr>
      </w:pPr>
      <w:r>
        <w:rPr>
          <w:b/>
          <w:spacing w:val="-2"/>
          <w:w w:val="105"/>
          <w:sz w:val="13"/>
        </w:rPr>
        <w:t>Derecognition</w:t>
      </w:r>
    </w:p>
    <w:p>
      <w:pPr>
        <w:spacing w:line="273" w:lineRule="auto" w:before="21"/>
        <w:ind w:left="750" w:right="268" w:firstLine="0"/>
        <w:jc w:val="left"/>
        <w:rPr>
          <w:sz w:val="13"/>
        </w:rPr>
      </w:pPr>
      <w:r>
        <w:rPr>
          <w:w w:val="105"/>
          <w:sz w:val="13"/>
        </w:rPr>
        <w:t>A financial asset (or, where applicable, a part of a financial asset or part of a group of similar financial assets) is primarily derecognised</w:t>
      </w:r>
      <w:r>
        <w:rPr>
          <w:spacing w:val="40"/>
          <w:w w:val="105"/>
          <w:sz w:val="13"/>
        </w:rPr>
        <w:t> </w:t>
      </w:r>
      <w:r>
        <w:rPr>
          <w:w w:val="105"/>
          <w:sz w:val="13"/>
        </w:rPr>
        <w:t>(i.e., removed from the Group’s consolidated statement of financial position) when:</w:t>
      </w:r>
    </w:p>
    <w:p>
      <w:pPr>
        <w:pStyle w:val="ListParagraph"/>
        <w:numPr>
          <w:ilvl w:val="0"/>
          <w:numId w:val="33"/>
        </w:numPr>
        <w:tabs>
          <w:tab w:pos="873" w:val="left" w:leader="none"/>
        </w:tabs>
        <w:spacing w:line="240" w:lineRule="auto" w:before="8" w:after="0"/>
        <w:ind w:left="873" w:right="0" w:hanging="123"/>
        <w:jc w:val="both"/>
        <w:rPr>
          <w:sz w:val="13"/>
        </w:rPr>
      </w:pPr>
      <w:r>
        <w:rPr>
          <w:w w:val="105"/>
          <w:sz w:val="13"/>
        </w:rPr>
        <w:t>The</w:t>
      </w:r>
      <w:r>
        <w:rPr>
          <w:spacing w:val="-6"/>
          <w:w w:val="105"/>
          <w:sz w:val="13"/>
        </w:rPr>
        <w:t> </w:t>
      </w:r>
      <w:r>
        <w:rPr>
          <w:w w:val="105"/>
          <w:sz w:val="13"/>
        </w:rPr>
        <w:t>rights</w:t>
      </w:r>
      <w:r>
        <w:rPr>
          <w:spacing w:val="-5"/>
          <w:w w:val="105"/>
          <w:sz w:val="13"/>
        </w:rPr>
        <w:t> </w:t>
      </w:r>
      <w:r>
        <w:rPr>
          <w:w w:val="105"/>
          <w:sz w:val="13"/>
        </w:rPr>
        <w:t>to</w:t>
      </w:r>
      <w:r>
        <w:rPr>
          <w:spacing w:val="-5"/>
          <w:w w:val="105"/>
          <w:sz w:val="13"/>
        </w:rPr>
        <w:t> </w:t>
      </w:r>
      <w:r>
        <w:rPr>
          <w:w w:val="105"/>
          <w:sz w:val="13"/>
        </w:rPr>
        <w:t>receive</w:t>
      </w:r>
      <w:r>
        <w:rPr>
          <w:spacing w:val="-6"/>
          <w:w w:val="105"/>
          <w:sz w:val="13"/>
        </w:rPr>
        <w:t> </w:t>
      </w:r>
      <w:r>
        <w:rPr>
          <w:w w:val="105"/>
          <w:sz w:val="13"/>
        </w:rPr>
        <w:t>cash</w:t>
      </w:r>
      <w:r>
        <w:rPr>
          <w:spacing w:val="-6"/>
          <w:w w:val="105"/>
          <w:sz w:val="13"/>
        </w:rPr>
        <w:t> </w:t>
      </w:r>
      <w:r>
        <w:rPr>
          <w:w w:val="105"/>
          <w:sz w:val="13"/>
        </w:rPr>
        <w:t>flows</w:t>
      </w:r>
      <w:r>
        <w:rPr>
          <w:spacing w:val="-4"/>
          <w:w w:val="105"/>
          <w:sz w:val="13"/>
        </w:rPr>
        <w:t> </w:t>
      </w:r>
      <w:r>
        <w:rPr>
          <w:w w:val="105"/>
          <w:sz w:val="13"/>
        </w:rPr>
        <w:t>from</w:t>
      </w:r>
      <w:r>
        <w:rPr>
          <w:spacing w:val="-4"/>
          <w:w w:val="105"/>
          <w:sz w:val="13"/>
        </w:rPr>
        <w:t> </w:t>
      </w:r>
      <w:r>
        <w:rPr>
          <w:w w:val="105"/>
          <w:sz w:val="13"/>
        </w:rPr>
        <w:t>the</w:t>
      </w:r>
      <w:r>
        <w:rPr>
          <w:spacing w:val="-6"/>
          <w:w w:val="105"/>
          <w:sz w:val="13"/>
        </w:rPr>
        <w:t> </w:t>
      </w:r>
      <w:r>
        <w:rPr>
          <w:w w:val="105"/>
          <w:sz w:val="13"/>
        </w:rPr>
        <w:t>asset</w:t>
      </w:r>
      <w:r>
        <w:rPr>
          <w:spacing w:val="-5"/>
          <w:w w:val="105"/>
          <w:sz w:val="13"/>
        </w:rPr>
        <w:t> </w:t>
      </w:r>
      <w:r>
        <w:rPr>
          <w:w w:val="105"/>
          <w:sz w:val="13"/>
        </w:rPr>
        <w:t>have</w:t>
      </w:r>
      <w:r>
        <w:rPr>
          <w:spacing w:val="-6"/>
          <w:w w:val="105"/>
          <w:sz w:val="13"/>
        </w:rPr>
        <w:t> </w:t>
      </w:r>
      <w:r>
        <w:rPr>
          <w:w w:val="105"/>
          <w:sz w:val="13"/>
        </w:rPr>
        <w:t>expired;</w:t>
      </w:r>
      <w:r>
        <w:rPr>
          <w:spacing w:val="-5"/>
          <w:w w:val="105"/>
          <w:sz w:val="13"/>
        </w:rPr>
        <w:t> or</w:t>
      </w:r>
    </w:p>
    <w:p>
      <w:pPr>
        <w:pStyle w:val="ListParagraph"/>
        <w:numPr>
          <w:ilvl w:val="0"/>
          <w:numId w:val="33"/>
        </w:numPr>
        <w:tabs>
          <w:tab w:pos="873" w:val="left" w:leader="none"/>
        </w:tabs>
        <w:spacing w:line="273" w:lineRule="auto" w:before="22" w:after="0"/>
        <w:ind w:left="750" w:right="288" w:firstLine="0"/>
        <w:jc w:val="both"/>
        <w:rPr>
          <w:sz w:val="13"/>
        </w:rPr>
      </w:pPr>
      <w:r>
        <w:rPr>
          <w:w w:val="105"/>
          <w:sz w:val="13"/>
        </w:rPr>
        <w:t>The</w:t>
      </w:r>
      <w:r>
        <w:rPr>
          <w:spacing w:val="-2"/>
          <w:w w:val="105"/>
          <w:sz w:val="13"/>
        </w:rPr>
        <w:t> </w:t>
      </w:r>
      <w:r>
        <w:rPr>
          <w:w w:val="105"/>
          <w:sz w:val="13"/>
        </w:rPr>
        <w:t>Group</w:t>
      </w:r>
      <w:r>
        <w:rPr>
          <w:spacing w:val="-4"/>
          <w:w w:val="105"/>
          <w:sz w:val="13"/>
        </w:rPr>
        <w:t> </w:t>
      </w:r>
      <w:r>
        <w:rPr>
          <w:w w:val="105"/>
          <w:sz w:val="13"/>
        </w:rPr>
        <w:t>has</w:t>
      </w:r>
      <w:r>
        <w:rPr>
          <w:spacing w:val="-1"/>
          <w:w w:val="105"/>
          <w:sz w:val="13"/>
        </w:rPr>
        <w:t> </w:t>
      </w:r>
      <w:r>
        <w:rPr>
          <w:w w:val="105"/>
          <w:sz w:val="13"/>
        </w:rPr>
        <w:t>transferred</w:t>
      </w:r>
      <w:r>
        <w:rPr>
          <w:spacing w:val="-4"/>
          <w:w w:val="105"/>
          <w:sz w:val="13"/>
        </w:rPr>
        <w:t> </w:t>
      </w:r>
      <w:r>
        <w:rPr>
          <w:w w:val="105"/>
          <w:sz w:val="13"/>
        </w:rPr>
        <w:t>its</w:t>
      </w:r>
      <w:r>
        <w:rPr>
          <w:spacing w:val="-1"/>
          <w:w w:val="105"/>
          <w:sz w:val="13"/>
        </w:rPr>
        <w:t> </w:t>
      </w:r>
      <w:r>
        <w:rPr>
          <w:w w:val="105"/>
          <w:sz w:val="13"/>
        </w:rPr>
        <w:t>rights</w:t>
      </w:r>
      <w:r>
        <w:rPr>
          <w:spacing w:val="-3"/>
          <w:w w:val="105"/>
          <w:sz w:val="13"/>
        </w:rPr>
        <w:t> </w:t>
      </w:r>
      <w:r>
        <w:rPr>
          <w:w w:val="105"/>
          <w:sz w:val="13"/>
        </w:rPr>
        <w:t>to</w:t>
      </w:r>
      <w:r>
        <w:rPr>
          <w:spacing w:val="-2"/>
          <w:w w:val="105"/>
          <w:sz w:val="13"/>
        </w:rPr>
        <w:t> </w:t>
      </w:r>
      <w:r>
        <w:rPr>
          <w:w w:val="105"/>
          <w:sz w:val="13"/>
        </w:rPr>
        <w:t>receive</w:t>
      </w:r>
      <w:r>
        <w:rPr>
          <w:spacing w:val="-4"/>
          <w:w w:val="105"/>
          <w:sz w:val="13"/>
        </w:rPr>
        <w:t> </w:t>
      </w:r>
      <w:r>
        <w:rPr>
          <w:w w:val="105"/>
          <w:sz w:val="13"/>
        </w:rPr>
        <w:t>cash</w:t>
      </w:r>
      <w:r>
        <w:rPr>
          <w:spacing w:val="-2"/>
          <w:w w:val="105"/>
          <w:sz w:val="13"/>
        </w:rPr>
        <w:t> </w:t>
      </w:r>
      <w:r>
        <w:rPr>
          <w:w w:val="105"/>
          <w:sz w:val="13"/>
        </w:rPr>
        <w:t>flows</w:t>
      </w:r>
      <w:r>
        <w:rPr>
          <w:spacing w:val="-3"/>
          <w:w w:val="105"/>
          <w:sz w:val="13"/>
        </w:rPr>
        <w:t> </w:t>
      </w:r>
      <w:r>
        <w:rPr>
          <w:w w:val="105"/>
          <w:sz w:val="13"/>
        </w:rPr>
        <w:t>from the</w:t>
      </w:r>
      <w:r>
        <w:rPr>
          <w:spacing w:val="-4"/>
          <w:w w:val="105"/>
          <w:sz w:val="13"/>
        </w:rPr>
        <w:t> </w:t>
      </w:r>
      <w:r>
        <w:rPr>
          <w:w w:val="105"/>
          <w:sz w:val="13"/>
        </w:rPr>
        <w:t>asset</w:t>
      </w:r>
      <w:r>
        <w:rPr>
          <w:spacing w:val="-1"/>
          <w:w w:val="105"/>
          <w:sz w:val="13"/>
        </w:rPr>
        <w:t> </w:t>
      </w:r>
      <w:r>
        <w:rPr>
          <w:w w:val="105"/>
          <w:sz w:val="13"/>
        </w:rPr>
        <w:t>or</w:t>
      </w:r>
      <w:r>
        <w:rPr>
          <w:spacing w:val="-2"/>
          <w:w w:val="105"/>
          <w:sz w:val="13"/>
        </w:rPr>
        <w:t> </w:t>
      </w:r>
      <w:r>
        <w:rPr>
          <w:w w:val="105"/>
          <w:sz w:val="13"/>
        </w:rPr>
        <w:t>has</w:t>
      </w:r>
      <w:r>
        <w:rPr>
          <w:spacing w:val="-1"/>
          <w:w w:val="105"/>
          <w:sz w:val="13"/>
        </w:rPr>
        <w:t> </w:t>
      </w:r>
      <w:r>
        <w:rPr>
          <w:w w:val="105"/>
          <w:sz w:val="13"/>
        </w:rPr>
        <w:t>assumed</w:t>
      </w:r>
      <w:r>
        <w:rPr>
          <w:spacing w:val="-4"/>
          <w:w w:val="105"/>
          <w:sz w:val="13"/>
        </w:rPr>
        <w:t> </w:t>
      </w:r>
      <w:r>
        <w:rPr>
          <w:w w:val="105"/>
          <w:sz w:val="13"/>
        </w:rPr>
        <w:t>an</w:t>
      </w:r>
      <w:r>
        <w:rPr>
          <w:spacing w:val="-2"/>
          <w:w w:val="105"/>
          <w:sz w:val="13"/>
        </w:rPr>
        <w:t> </w:t>
      </w:r>
      <w:r>
        <w:rPr>
          <w:w w:val="105"/>
          <w:sz w:val="13"/>
        </w:rPr>
        <w:t>obligation</w:t>
      </w:r>
      <w:r>
        <w:rPr>
          <w:spacing w:val="-4"/>
          <w:w w:val="105"/>
          <w:sz w:val="13"/>
        </w:rPr>
        <w:t> </w:t>
      </w:r>
      <w:r>
        <w:rPr>
          <w:w w:val="105"/>
          <w:sz w:val="13"/>
        </w:rPr>
        <w:t>to</w:t>
      </w:r>
      <w:r>
        <w:rPr>
          <w:spacing w:val="-2"/>
          <w:w w:val="105"/>
          <w:sz w:val="13"/>
        </w:rPr>
        <w:t> </w:t>
      </w:r>
      <w:r>
        <w:rPr>
          <w:w w:val="105"/>
          <w:sz w:val="13"/>
        </w:rPr>
        <w:t>pay</w:t>
      </w:r>
      <w:r>
        <w:rPr>
          <w:spacing w:val="-7"/>
          <w:w w:val="105"/>
          <w:sz w:val="13"/>
        </w:rPr>
        <w:t> </w:t>
      </w:r>
      <w:r>
        <w:rPr>
          <w:w w:val="105"/>
          <w:sz w:val="13"/>
        </w:rPr>
        <w:t>the</w:t>
      </w:r>
      <w:r>
        <w:rPr>
          <w:spacing w:val="-2"/>
          <w:w w:val="105"/>
          <w:sz w:val="13"/>
        </w:rPr>
        <w:t> </w:t>
      </w:r>
      <w:r>
        <w:rPr>
          <w:w w:val="105"/>
          <w:sz w:val="13"/>
        </w:rPr>
        <w:t>received</w:t>
      </w:r>
      <w:r>
        <w:rPr>
          <w:spacing w:val="-4"/>
          <w:w w:val="105"/>
          <w:sz w:val="13"/>
        </w:rPr>
        <w:t> </w:t>
      </w:r>
      <w:r>
        <w:rPr>
          <w:w w:val="105"/>
          <w:sz w:val="13"/>
        </w:rPr>
        <w:t>cash</w:t>
      </w:r>
      <w:r>
        <w:rPr>
          <w:spacing w:val="-2"/>
          <w:w w:val="105"/>
          <w:sz w:val="13"/>
        </w:rPr>
        <w:t> </w:t>
      </w:r>
      <w:r>
        <w:rPr>
          <w:w w:val="105"/>
          <w:sz w:val="13"/>
        </w:rPr>
        <w:t>flows</w:t>
      </w:r>
      <w:r>
        <w:rPr>
          <w:spacing w:val="-3"/>
          <w:w w:val="105"/>
          <w:sz w:val="13"/>
        </w:rPr>
        <w:t> </w:t>
      </w:r>
      <w:r>
        <w:rPr>
          <w:w w:val="105"/>
          <w:sz w:val="13"/>
        </w:rPr>
        <w:t>in</w:t>
      </w:r>
      <w:r>
        <w:rPr>
          <w:spacing w:val="40"/>
          <w:w w:val="105"/>
          <w:sz w:val="13"/>
        </w:rPr>
        <w:t> </w:t>
      </w:r>
      <w:r>
        <w:rPr>
          <w:w w:val="105"/>
          <w:sz w:val="13"/>
        </w:rPr>
        <w:t>full</w:t>
      </w:r>
      <w:r>
        <w:rPr>
          <w:spacing w:val="-1"/>
          <w:w w:val="105"/>
          <w:sz w:val="13"/>
        </w:rPr>
        <w:t> </w:t>
      </w:r>
      <w:r>
        <w:rPr>
          <w:w w:val="105"/>
          <w:sz w:val="13"/>
        </w:rPr>
        <w:t>without</w:t>
      </w:r>
      <w:r>
        <w:rPr>
          <w:spacing w:val="-2"/>
          <w:w w:val="105"/>
          <w:sz w:val="13"/>
        </w:rPr>
        <w:t> </w:t>
      </w:r>
      <w:r>
        <w:rPr>
          <w:w w:val="105"/>
          <w:sz w:val="13"/>
        </w:rPr>
        <w:t>material</w:t>
      </w:r>
      <w:r>
        <w:rPr>
          <w:spacing w:val="-3"/>
          <w:w w:val="105"/>
          <w:sz w:val="13"/>
        </w:rPr>
        <w:t> </w:t>
      </w:r>
      <w:r>
        <w:rPr>
          <w:w w:val="105"/>
          <w:sz w:val="13"/>
        </w:rPr>
        <w:t>delay</w:t>
      </w:r>
      <w:r>
        <w:rPr>
          <w:spacing w:val="-6"/>
          <w:w w:val="105"/>
          <w:sz w:val="13"/>
        </w:rPr>
        <w:t> </w:t>
      </w:r>
      <w:r>
        <w:rPr>
          <w:w w:val="105"/>
          <w:sz w:val="13"/>
        </w:rPr>
        <w:t>to</w:t>
      </w:r>
      <w:r>
        <w:rPr>
          <w:spacing w:val="-5"/>
          <w:w w:val="105"/>
          <w:sz w:val="13"/>
        </w:rPr>
        <w:t> </w:t>
      </w:r>
      <w:r>
        <w:rPr>
          <w:w w:val="105"/>
          <w:sz w:val="13"/>
        </w:rPr>
        <w:t>a</w:t>
      </w:r>
      <w:r>
        <w:rPr>
          <w:spacing w:val="-3"/>
          <w:w w:val="105"/>
          <w:sz w:val="13"/>
        </w:rPr>
        <w:t> </w:t>
      </w:r>
      <w:r>
        <w:rPr>
          <w:w w:val="105"/>
          <w:sz w:val="13"/>
        </w:rPr>
        <w:t>third</w:t>
      </w:r>
      <w:r>
        <w:rPr>
          <w:spacing w:val="-5"/>
          <w:w w:val="105"/>
          <w:sz w:val="13"/>
        </w:rPr>
        <w:t> </w:t>
      </w:r>
      <w:r>
        <w:rPr>
          <w:w w:val="105"/>
          <w:sz w:val="13"/>
        </w:rPr>
        <w:t>party</w:t>
      </w:r>
      <w:r>
        <w:rPr>
          <w:spacing w:val="-6"/>
          <w:w w:val="105"/>
          <w:sz w:val="13"/>
        </w:rPr>
        <w:t> </w:t>
      </w:r>
      <w:r>
        <w:rPr>
          <w:w w:val="105"/>
          <w:sz w:val="13"/>
        </w:rPr>
        <w:t>under</w:t>
      </w:r>
      <w:r>
        <w:rPr>
          <w:spacing w:val="-3"/>
          <w:w w:val="105"/>
          <w:sz w:val="13"/>
        </w:rPr>
        <w:t> </w:t>
      </w:r>
      <w:r>
        <w:rPr>
          <w:w w:val="105"/>
          <w:sz w:val="13"/>
        </w:rPr>
        <w:t>a</w:t>
      </w:r>
      <w:r>
        <w:rPr>
          <w:spacing w:val="-3"/>
          <w:w w:val="105"/>
          <w:sz w:val="13"/>
        </w:rPr>
        <w:t> </w:t>
      </w:r>
      <w:r>
        <w:rPr>
          <w:w w:val="105"/>
          <w:sz w:val="13"/>
        </w:rPr>
        <w:t>‘pass-through’</w:t>
      </w:r>
      <w:r>
        <w:rPr>
          <w:spacing w:val="-3"/>
          <w:w w:val="105"/>
          <w:sz w:val="13"/>
        </w:rPr>
        <w:t> </w:t>
      </w:r>
      <w:r>
        <w:rPr>
          <w:w w:val="105"/>
          <w:sz w:val="13"/>
        </w:rPr>
        <w:t>arrangement;</w:t>
      </w:r>
      <w:r>
        <w:rPr>
          <w:spacing w:val="-2"/>
          <w:w w:val="105"/>
          <w:sz w:val="13"/>
        </w:rPr>
        <w:t> </w:t>
      </w:r>
      <w:r>
        <w:rPr>
          <w:w w:val="105"/>
          <w:sz w:val="13"/>
        </w:rPr>
        <w:t>and</w:t>
      </w:r>
      <w:r>
        <w:rPr>
          <w:spacing w:val="-5"/>
          <w:w w:val="105"/>
          <w:sz w:val="13"/>
        </w:rPr>
        <w:t> </w:t>
      </w:r>
      <w:r>
        <w:rPr>
          <w:w w:val="105"/>
          <w:sz w:val="13"/>
        </w:rPr>
        <w:t>either</w:t>
      </w:r>
      <w:r>
        <w:rPr>
          <w:spacing w:val="-1"/>
          <w:w w:val="105"/>
          <w:sz w:val="13"/>
        </w:rPr>
        <w:t> </w:t>
      </w:r>
      <w:r>
        <w:rPr>
          <w:w w:val="105"/>
          <w:sz w:val="13"/>
        </w:rPr>
        <w:t>(a)</w:t>
      </w:r>
      <w:r>
        <w:rPr>
          <w:spacing w:val="-3"/>
          <w:w w:val="105"/>
          <w:sz w:val="13"/>
        </w:rPr>
        <w:t> </w:t>
      </w:r>
      <w:r>
        <w:rPr>
          <w:w w:val="105"/>
          <w:sz w:val="13"/>
        </w:rPr>
        <w:t>the</w:t>
      </w:r>
      <w:r>
        <w:rPr>
          <w:spacing w:val="-3"/>
          <w:w w:val="105"/>
          <w:sz w:val="13"/>
        </w:rPr>
        <w:t> </w:t>
      </w:r>
      <w:r>
        <w:rPr>
          <w:w w:val="105"/>
          <w:sz w:val="13"/>
        </w:rPr>
        <w:t>Group</w:t>
      </w:r>
      <w:r>
        <w:rPr>
          <w:spacing w:val="-5"/>
          <w:w w:val="105"/>
          <w:sz w:val="13"/>
        </w:rPr>
        <w:t> </w:t>
      </w:r>
      <w:r>
        <w:rPr>
          <w:w w:val="105"/>
          <w:sz w:val="13"/>
        </w:rPr>
        <w:t>has</w:t>
      </w:r>
      <w:r>
        <w:rPr>
          <w:spacing w:val="-2"/>
          <w:w w:val="105"/>
          <w:sz w:val="13"/>
        </w:rPr>
        <w:t> </w:t>
      </w:r>
      <w:r>
        <w:rPr>
          <w:w w:val="105"/>
          <w:sz w:val="13"/>
        </w:rPr>
        <w:t>transferred</w:t>
      </w:r>
      <w:r>
        <w:rPr>
          <w:spacing w:val="-5"/>
          <w:w w:val="105"/>
          <w:sz w:val="13"/>
        </w:rPr>
        <w:t> </w:t>
      </w:r>
      <w:r>
        <w:rPr>
          <w:w w:val="105"/>
          <w:sz w:val="13"/>
        </w:rPr>
        <w:t>substantially</w:t>
      </w:r>
      <w:r>
        <w:rPr>
          <w:spacing w:val="-6"/>
          <w:w w:val="105"/>
          <w:sz w:val="13"/>
        </w:rPr>
        <w:t> </w:t>
      </w:r>
      <w:r>
        <w:rPr>
          <w:w w:val="105"/>
          <w:sz w:val="13"/>
        </w:rPr>
        <w:t>all</w:t>
      </w:r>
      <w:r>
        <w:rPr>
          <w:spacing w:val="-4"/>
          <w:w w:val="105"/>
          <w:sz w:val="13"/>
        </w:rPr>
        <w:t> </w:t>
      </w:r>
      <w:r>
        <w:rPr>
          <w:w w:val="105"/>
          <w:sz w:val="13"/>
        </w:rPr>
        <w:t>the</w:t>
      </w:r>
      <w:r>
        <w:rPr>
          <w:spacing w:val="40"/>
          <w:w w:val="105"/>
          <w:sz w:val="13"/>
        </w:rPr>
        <w:t> </w:t>
      </w:r>
      <w:r>
        <w:rPr>
          <w:w w:val="105"/>
          <w:sz w:val="13"/>
        </w:rPr>
        <w:t>risks and rewards of the asset, or (b) the Group has neither transferred nor retained substantially all the risks and rewards of the asset,</w:t>
      </w:r>
      <w:r>
        <w:rPr>
          <w:spacing w:val="40"/>
          <w:w w:val="105"/>
          <w:sz w:val="13"/>
        </w:rPr>
        <w:t> </w:t>
      </w:r>
      <w:r>
        <w:rPr>
          <w:w w:val="105"/>
          <w:sz w:val="13"/>
        </w:rPr>
        <w:t>but has transferred control of the asset.</w:t>
      </w:r>
    </w:p>
    <w:p>
      <w:pPr>
        <w:spacing w:line="240" w:lineRule="auto" w:before="35"/>
        <w:rPr>
          <w:sz w:val="13"/>
        </w:rPr>
      </w:pPr>
    </w:p>
    <w:p>
      <w:pPr>
        <w:spacing w:line="273" w:lineRule="auto" w:before="0"/>
        <w:ind w:left="749" w:right="288" w:firstLine="0"/>
        <w:jc w:val="both"/>
        <w:rPr>
          <w:sz w:val="13"/>
        </w:rPr>
      </w:pPr>
      <w:r>
        <w:rPr>
          <w:w w:val="105"/>
          <w:sz w:val="13"/>
        </w:rPr>
        <w:t>When</w:t>
      </w:r>
      <w:r>
        <w:rPr>
          <w:w w:val="105"/>
          <w:sz w:val="13"/>
        </w:rPr>
        <w:t> the</w:t>
      </w:r>
      <w:r>
        <w:rPr>
          <w:w w:val="105"/>
          <w:sz w:val="13"/>
        </w:rPr>
        <w:t> Group</w:t>
      </w:r>
      <w:r>
        <w:rPr>
          <w:w w:val="105"/>
          <w:sz w:val="13"/>
        </w:rPr>
        <w:t> has</w:t>
      </w:r>
      <w:r>
        <w:rPr>
          <w:w w:val="105"/>
          <w:sz w:val="13"/>
        </w:rPr>
        <w:t> transferred</w:t>
      </w:r>
      <w:r>
        <w:rPr>
          <w:w w:val="105"/>
          <w:sz w:val="13"/>
        </w:rPr>
        <w:t> its</w:t>
      </w:r>
      <w:r>
        <w:rPr>
          <w:w w:val="105"/>
          <w:sz w:val="13"/>
        </w:rPr>
        <w:t> rights</w:t>
      </w:r>
      <w:r>
        <w:rPr>
          <w:w w:val="105"/>
          <w:sz w:val="13"/>
        </w:rPr>
        <w:t> to</w:t>
      </w:r>
      <w:r>
        <w:rPr>
          <w:w w:val="105"/>
          <w:sz w:val="13"/>
        </w:rPr>
        <w:t> receive</w:t>
      </w:r>
      <w:r>
        <w:rPr>
          <w:w w:val="105"/>
          <w:sz w:val="13"/>
        </w:rPr>
        <w:t> cash</w:t>
      </w:r>
      <w:r>
        <w:rPr>
          <w:w w:val="105"/>
          <w:sz w:val="13"/>
        </w:rPr>
        <w:t> flows</w:t>
      </w:r>
      <w:r>
        <w:rPr>
          <w:w w:val="105"/>
          <w:sz w:val="13"/>
        </w:rPr>
        <w:t> from</w:t>
      </w:r>
      <w:r>
        <w:rPr>
          <w:w w:val="105"/>
          <w:sz w:val="13"/>
        </w:rPr>
        <w:t> an</w:t>
      </w:r>
      <w:r>
        <w:rPr>
          <w:w w:val="105"/>
          <w:sz w:val="13"/>
        </w:rPr>
        <w:t> asset</w:t>
      </w:r>
      <w:r>
        <w:rPr>
          <w:w w:val="105"/>
          <w:sz w:val="13"/>
        </w:rPr>
        <w:t> or</w:t>
      </w:r>
      <w:r>
        <w:rPr>
          <w:w w:val="105"/>
          <w:sz w:val="13"/>
        </w:rPr>
        <w:t> has</w:t>
      </w:r>
      <w:r>
        <w:rPr>
          <w:w w:val="105"/>
          <w:sz w:val="13"/>
        </w:rPr>
        <w:t> entered</w:t>
      </w:r>
      <w:r>
        <w:rPr>
          <w:w w:val="105"/>
          <w:sz w:val="13"/>
        </w:rPr>
        <w:t> into</w:t>
      </w:r>
      <w:r>
        <w:rPr>
          <w:w w:val="105"/>
          <w:sz w:val="13"/>
        </w:rPr>
        <w:t> a</w:t>
      </w:r>
      <w:r>
        <w:rPr>
          <w:w w:val="105"/>
          <w:sz w:val="13"/>
        </w:rPr>
        <w:t> pass-through</w:t>
      </w:r>
      <w:r>
        <w:rPr>
          <w:w w:val="105"/>
          <w:sz w:val="13"/>
        </w:rPr>
        <w:t> arrangement,</w:t>
      </w:r>
      <w:r>
        <w:rPr>
          <w:w w:val="105"/>
          <w:sz w:val="13"/>
        </w:rPr>
        <w:t> it</w:t>
      </w:r>
      <w:r>
        <w:rPr>
          <w:spacing w:val="40"/>
          <w:w w:val="105"/>
          <w:sz w:val="13"/>
        </w:rPr>
        <w:t> </w:t>
      </w:r>
      <w:r>
        <w:rPr>
          <w:w w:val="105"/>
          <w:sz w:val="13"/>
        </w:rPr>
        <w:t>evaluates</w:t>
      </w:r>
      <w:r>
        <w:rPr>
          <w:w w:val="105"/>
          <w:sz w:val="13"/>
        </w:rPr>
        <w:t> if,</w:t>
      </w:r>
      <w:r>
        <w:rPr>
          <w:w w:val="105"/>
          <w:sz w:val="13"/>
        </w:rPr>
        <w:t> and</w:t>
      </w:r>
      <w:r>
        <w:rPr>
          <w:w w:val="105"/>
          <w:sz w:val="13"/>
        </w:rPr>
        <w:t> to</w:t>
      </w:r>
      <w:r>
        <w:rPr>
          <w:w w:val="105"/>
          <w:sz w:val="13"/>
        </w:rPr>
        <w:t> what</w:t>
      </w:r>
      <w:r>
        <w:rPr>
          <w:w w:val="105"/>
          <w:sz w:val="13"/>
        </w:rPr>
        <w:t> extent,</w:t>
      </w:r>
      <w:r>
        <w:rPr>
          <w:w w:val="105"/>
          <w:sz w:val="13"/>
        </w:rPr>
        <w:t> it</w:t>
      </w:r>
      <w:r>
        <w:rPr>
          <w:w w:val="105"/>
          <w:sz w:val="13"/>
        </w:rPr>
        <w:t> has</w:t>
      </w:r>
      <w:r>
        <w:rPr>
          <w:w w:val="105"/>
          <w:sz w:val="13"/>
        </w:rPr>
        <w:t> retained</w:t>
      </w:r>
      <w:r>
        <w:rPr>
          <w:w w:val="105"/>
          <w:sz w:val="13"/>
        </w:rPr>
        <w:t> the</w:t>
      </w:r>
      <w:r>
        <w:rPr>
          <w:w w:val="105"/>
          <w:sz w:val="13"/>
        </w:rPr>
        <w:t> risks</w:t>
      </w:r>
      <w:r>
        <w:rPr>
          <w:w w:val="105"/>
          <w:sz w:val="13"/>
        </w:rPr>
        <w:t> and</w:t>
      </w:r>
      <w:r>
        <w:rPr>
          <w:w w:val="105"/>
          <w:sz w:val="13"/>
        </w:rPr>
        <w:t> rewards</w:t>
      </w:r>
      <w:r>
        <w:rPr>
          <w:w w:val="105"/>
          <w:sz w:val="13"/>
        </w:rPr>
        <w:t> of ownership.</w:t>
      </w:r>
      <w:r>
        <w:rPr>
          <w:w w:val="105"/>
          <w:sz w:val="13"/>
        </w:rPr>
        <w:t> When</w:t>
      </w:r>
      <w:r>
        <w:rPr>
          <w:w w:val="105"/>
          <w:sz w:val="13"/>
        </w:rPr>
        <w:t> it</w:t>
      </w:r>
      <w:r>
        <w:rPr>
          <w:w w:val="105"/>
          <w:sz w:val="13"/>
        </w:rPr>
        <w:t> has</w:t>
      </w:r>
      <w:r>
        <w:rPr>
          <w:w w:val="105"/>
          <w:sz w:val="13"/>
        </w:rPr>
        <w:t> neither</w:t>
      </w:r>
      <w:r>
        <w:rPr>
          <w:w w:val="105"/>
          <w:sz w:val="13"/>
        </w:rPr>
        <w:t> transferred</w:t>
      </w:r>
      <w:r>
        <w:rPr>
          <w:w w:val="105"/>
          <w:sz w:val="13"/>
        </w:rPr>
        <w:t> nor</w:t>
      </w:r>
      <w:r>
        <w:rPr>
          <w:w w:val="105"/>
          <w:sz w:val="13"/>
        </w:rPr>
        <w:t> retained</w:t>
      </w:r>
      <w:r>
        <w:rPr>
          <w:spacing w:val="40"/>
          <w:w w:val="105"/>
          <w:sz w:val="13"/>
        </w:rPr>
        <w:t> </w:t>
      </w:r>
      <w:r>
        <w:rPr>
          <w:w w:val="105"/>
          <w:sz w:val="13"/>
        </w:rPr>
        <w:t>substantially</w:t>
      </w:r>
      <w:r>
        <w:rPr>
          <w:spacing w:val="-7"/>
          <w:w w:val="105"/>
          <w:sz w:val="13"/>
        </w:rPr>
        <w:t> </w:t>
      </w:r>
      <w:r>
        <w:rPr>
          <w:w w:val="105"/>
          <w:sz w:val="13"/>
        </w:rPr>
        <w:t>all</w:t>
      </w:r>
      <w:r>
        <w:rPr>
          <w:spacing w:val="-3"/>
          <w:w w:val="105"/>
          <w:sz w:val="13"/>
        </w:rPr>
        <w:t> </w:t>
      </w:r>
      <w:r>
        <w:rPr>
          <w:w w:val="105"/>
          <w:sz w:val="13"/>
        </w:rPr>
        <w:t>of</w:t>
      </w:r>
      <w:r>
        <w:rPr>
          <w:spacing w:val="-1"/>
          <w:w w:val="105"/>
          <w:sz w:val="13"/>
        </w:rPr>
        <w:t> </w:t>
      </w:r>
      <w:r>
        <w:rPr>
          <w:w w:val="105"/>
          <w:sz w:val="13"/>
        </w:rPr>
        <w:t>the</w:t>
      </w:r>
      <w:r>
        <w:rPr>
          <w:spacing w:val="-4"/>
          <w:w w:val="105"/>
          <w:sz w:val="13"/>
        </w:rPr>
        <w:t> </w:t>
      </w:r>
      <w:r>
        <w:rPr>
          <w:w w:val="105"/>
          <w:sz w:val="13"/>
        </w:rPr>
        <w:t>risks</w:t>
      </w:r>
      <w:r>
        <w:rPr>
          <w:spacing w:val="-3"/>
          <w:w w:val="105"/>
          <w:sz w:val="13"/>
        </w:rPr>
        <w:t> </w:t>
      </w:r>
      <w:r>
        <w:rPr>
          <w:w w:val="105"/>
          <w:sz w:val="13"/>
        </w:rPr>
        <w:t>and</w:t>
      </w:r>
      <w:r>
        <w:rPr>
          <w:spacing w:val="-4"/>
          <w:w w:val="105"/>
          <w:sz w:val="13"/>
        </w:rPr>
        <w:t> </w:t>
      </w:r>
      <w:r>
        <w:rPr>
          <w:w w:val="105"/>
          <w:sz w:val="13"/>
        </w:rPr>
        <w:t>rewards</w:t>
      </w:r>
      <w:r>
        <w:rPr>
          <w:spacing w:val="-3"/>
          <w:w w:val="105"/>
          <w:sz w:val="13"/>
        </w:rPr>
        <w:t> </w:t>
      </w:r>
      <w:r>
        <w:rPr>
          <w:w w:val="105"/>
          <w:sz w:val="13"/>
        </w:rPr>
        <w:t>of</w:t>
      </w:r>
      <w:r>
        <w:rPr>
          <w:spacing w:val="-1"/>
          <w:w w:val="105"/>
          <w:sz w:val="13"/>
        </w:rPr>
        <w:t> </w:t>
      </w:r>
      <w:r>
        <w:rPr>
          <w:w w:val="105"/>
          <w:sz w:val="13"/>
        </w:rPr>
        <w:t>the</w:t>
      </w:r>
      <w:r>
        <w:rPr>
          <w:spacing w:val="-4"/>
          <w:w w:val="105"/>
          <w:sz w:val="13"/>
        </w:rPr>
        <w:t> </w:t>
      </w:r>
      <w:r>
        <w:rPr>
          <w:w w:val="105"/>
          <w:sz w:val="13"/>
        </w:rPr>
        <w:t>asset,</w:t>
      </w:r>
      <w:r>
        <w:rPr>
          <w:spacing w:val="-4"/>
          <w:w w:val="105"/>
          <w:sz w:val="13"/>
        </w:rPr>
        <w:t> </w:t>
      </w:r>
      <w:r>
        <w:rPr>
          <w:w w:val="105"/>
          <w:sz w:val="13"/>
        </w:rPr>
        <w:t>nor</w:t>
      </w:r>
      <w:r>
        <w:rPr>
          <w:spacing w:val="-2"/>
          <w:w w:val="105"/>
          <w:sz w:val="13"/>
        </w:rPr>
        <w:t> </w:t>
      </w:r>
      <w:r>
        <w:rPr>
          <w:w w:val="105"/>
          <w:sz w:val="13"/>
        </w:rPr>
        <w:t>transferred</w:t>
      </w:r>
      <w:r>
        <w:rPr>
          <w:spacing w:val="-4"/>
          <w:w w:val="105"/>
          <w:sz w:val="13"/>
        </w:rPr>
        <w:t> </w:t>
      </w:r>
      <w:r>
        <w:rPr>
          <w:w w:val="105"/>
          <w:sz w:val="13"/>
        </w:rPr>
        <w:t>control of</w:t>
      </w:r>
      <w:r>
        <w:rPr>
          <w:spacing w:val="-1"/>
          <w:w w:val="105"/>
          <w:sz w:val="13"/>
        </w:rPr>
        <w:t> </w:t>
      </w:r>
      <w:r>
        <w:rPr>
          <w:w w:val="105"/>
          <w:sz w:val="13"/>
        </w:rPr>
        <w:t>the</w:t>
      </w:r>
      <w:r>
        <w:rPr>
          <w:spacing w:val="-2"/>
          <w:w w:val="105"/>
          <w:sz w:val="13"/>
        </w:rPr>
        <w:t> </w:t>
      </w:r>
      <w:r>
        <w:rPr>
          <w:w w:val="105"/>
          <w:sz w:val="13"/>
        </w:rPr>
        <w:t>asset,</w:t>
      </w:r>
      <w:r>
        <w:rPr>
          <w:spacing w:val="-4"/>
          <w:w w:val="105"/>
          <w:sz w:val="13"/>
        </w:rPr>
        <w:t> </w:t>
      </w:r>
      <w:r>
        <w:rPr>
          <w:w w:val="105"/>
          <w:sz w:val="13"/>
        </w:rPr>
        <w:t>the</w:t>
      </w:r>
      <w:r>
        <w:rPr>
          <w:spacing w:val="-2"/>
          <w:w w:val="105"/>
          <w:sz w:val="13"/>
        </w:rPr>
        <w:t> </w:t>
      </w:r>
      <w:r>
        <w:rPr>
          <w:w w:val="105"/>
          <w:sz w:val="13"/>
        </w:rPr>
        <w:t>Group</w:t>
      </w:r>
      <w:r>
        <w:rPr>
          <w:spacing w:val="-4"/>
          <w:w w:val="105"/>
          <w:sz w:val="13"/>
        </w:rPr>
        <w:t> </w:t>
      </w:r>
      <w:r>
        <w:rPr>
          <w:w w:val="105"/>
          <w:sz w:val="13"/>
        </w:rPr>
        <w:t>continues</w:t>
      </w:r>
      <w:r>
        <w:rPr>
          <w:spacing w:val="-1"/>
          <w:w w:val="105"/>
          <w:sz w:val="13"/>
        </w:rPr>
        <w:t> </w:t>
      </w:r>
      <w:r>
        <w:rPr>
          <w:w w:val="105"/>
          <w:sz w:val="13"/>
        </w:rPr>
        <w:t>to</w:t>
      </w:r>
      <w:r>
        <w:rPr>
          <w:spacing w:val="-4"/>
          <w:w w:val="105"/>
          <w:sz w:val="13"/>
        </w:rPr>
        <w:t> </w:t>
      </w:r>
      <w:r>
        <w:rPr>
          <w:w w:val="105"/>
          <w:sz w:val="13"/>
        </w:rPr>
        <w:t>recognise</w:t>
      </w:r>
      <w:r>
        <w:rPr>
          <w:spacing w:val="-2"/>
          <w:w w:val="105"/>
          <w:sz w:val="13"/>
        </w:rPr>
        <w:t> </w:t>
      </w:r>
      <w:r>
        <w:rPr>
          <w:w w:val="105"/>
          <w:sz w:val="13"/>
        </w:rPr>
        <w:t>the</w:t>
      </w:r>
      <w:r>
        <w:rPr>
          <w:spacing w:val="-4"/>
          <w:w w:val="105"/>
          <w:sz w:val="13"/>
        </w:rPr>
        <w:t> </w:t>
      </w:r>
      <w:r>
        <w:rPr>
          <w:w w:val="105"/>
          <w:sz w:val="13"/>
        </w:rPr>
        <w:t>transferred</w:t>
      </w:r>
      <w:r>
        <w:rPr>
          <w:spacing w:val="40"/>
          <w:w w:val="105"/>
          <w:sz w:val="13"/>
        </w:rPr>
        <w:t> </w:t>
      </w:r>
      <w:r>
        <w:rPr>
          <w:w w:val="105"/>
          <w:sz w:val="13"/>
        </w:rPr>
        <w:t>asset</w:t>
      </w:r>
      <w:r>
        <w:rPr>
          <w:spacing w:val="-2"/>
          <w:w w:val="105"/>
          <w:sz w:val="13"/>
        </w:rPr>
        <w:t> </w:t>
      </w:r>
      <w:r>
        <w:rPr>
          <w:w w:val="105"/>
          <w:sz w:val="13"/>
        </w:rPr>
        <w:t>to</w:t>
      </w:r>
      <w:r>
        <w:rPr>
          <w:spacing w:val="-2"/>
          <w:w w:val="105"/>
          <w:sz w:val="13"/>
        </w:rPr>
        <w:t> </w:t>
      </w:r>
      <w:r>
        <w:rPr>
          <w:w w:val="105"/>
          <w:sz w:val="13"/>
        </w:rPr>
        <w:t>the</w:t>
      </w:r>
      <w:r>
        <w:rPr>
          <w:spacing w:val="-2"/>
          <w:w w:val="105"/>
          <w:sz w:val="13"/>
        </w:rPr>
        <w:t> </w:t>
      </w:r>
      <w:r>
        <w:rPr>
          <w:w w:val="105"/>
          <w:sz w:val="13"/>
        </w:rPr>
        <w:t>extent of its continuing</w:t>
      </w:r>
      <w:r>
        <w:rPr>
          <w:spacing w:val="-2"/>
          <w:w w:val="105"/>
          <w:sz w:val="13"/>
        </w:rPr>
        <w:t> </w:t>
      </w:r>
      <w:r>
        <w:rPr>
          <w:w w:val="105"/>
          <w:sz w:val="13"/>
        </w:rPr>
        <w:t>involvement. In</w:t>
      </w:r>
      <w:r>
        <w:rPr>
          <w:spacing w:val="-2"/>
          <w:w w:val="105"/>
          <w:sz w:val="13"/>
        </w:rPr>
        <w:t> </w:t>
      </w:r>
      <w:r>
        <w:rPr>
          <w:w w:val="105"/>
          <w:sz w:val="13"/>
        </w:rPr>
        <w:t>that case,</w:t>
      </w:r>
      <w:r>
        <w:rPr>
          <w:spacing w:val="-2"/>
          <w:w w:val="105"/>
          <w:sz w:val="13"/>
        </w:rPr>
        <w:t> </w:t>
      </w:r>
      <w:r>
        <w:rPr>
          <w:w w:val="105"/>
          <w:sz w:val="13"/>
        </w:rPr>
        <w:t>the</w:t>
      </w:r>
      <w:r>
        <w:rPr>
          <w:spacing w:val="-1"/>
          <w:w w:val="105"/>
          <w:sz w:val="13"/>
        </w:rPr>
        <w:t> </w:t>
      </w:r>
      <w:r>
        <w:rPr>
          <w:w w:val="105"/>
          <w:sz w:val="13"/>
        </w:rPr>
        <w:t>Group</w:t>
      </w:r>
      <w:r>
        <w:rPr>
          <w:spacing w:val="-2"/>
          <w:w w:val="105"/>
          <w:sz w:val="13"/>
        </w:rPr>
        <w:t> </w:t>
      </w:r>
      <w:r>
        <w:rPr>
          <w:w w:val="105"/>
          <w:sz w:val="13"/>
        </w:rPr>
        <w:t>also</w:t>
      </w:r>
      <w:r>
        <w:rPr>
          <w:spacing w:val="-1"/>
          <w:w w:val="105"/>
          <w:sz w:val="13"/>
        </w:rPr>
        <w:t> </w:t>
      </w:r>
      <w:r>
        <w:rPr>
          <w:w w:val="105"/>
          <w:sz w:val="13"/>
        </w:rPr>
        <w:t>recognises</w:t>
      </w:r>
      <w:r>
        <w:rPr>
          <w:spacing w:val="-2"/>
          <w:w w:val="105"/>
          <w:sz w:val="13"/>
        </w:rPr>
        <w:t> </w:t>
      </w:r>
      <w:r>
        <w:rPr>
          <w:w w:val="105"/>
          <w:sz w:val="13"/>
        </w:rPr>
        <w:t>an</w:t>
      </w:r>
      <w:r>
        <w:rPr>
          <w:spacing w:val="-1"/>
          <w:w w:val="105"/>
          <w:sz w:val="13"/>
        </w:rPr>
        <w:t> </w:t>
      </w:r>
      <w:r>
        <w:rPr>
          <w:w w:val="105"/>
          <w:sz w:val="13"/>
        </w:rPr>
        <w:t>associated</w:t>
      </w:r>
      <w:r>
        <w:rPr>
          <w:spacing w:val="-2"/>
          <w:w w:val="105"/>
          <w:sz w:val="13"/>
        </w:rPr>
        <w:t> </w:t>
      </w:r>
      <w:r>
        <w:rPr>
          <w:w w:val="105"/>
          <w:sz w:val="13"/>
        </w:rPr>
        <w:t>liability. The</w:t>
      </w:r>
      <w:r>
        <w:rPr>
          <w:spacing w:val="-2"/>
          <w:w w:val="105"/>
          <w:sz w:val="13"/>
        </w:rPr>
        <w:t> </w:t>
      </w:r>
      <w:r>
        <w:rPr>
          <w:w w:val="105"/>
          <w:sz w:val="13"/>
        </w:rPr>
        <w:t>transferred</w:t>
      </w:r>
      <w:r>
        <w:rPr>
          <w:spacing w:val="-1"/>
          <w:w w:val="105"/>
          <w:sz w:val="13"/>
        </w:rPr>
        <w:t> </w:t>
      </w:r>
      <w:r>
        <w:rPr>
          <w:w w:val="105"/>
          <w:sz w:val="13"/>
        </w:rPr>
        <w:t>asset</w:t>
      </w:r>
      <w:r>
        <w:rPr>
          <w:spacing w:val="-2"/>
          <w:w w:val="105"/>
          <w:sz w:val="13"/>
        </w:rPr>
        <w:t> </w:t>
      </w:r>
      <w:r>
        <w:rPr>
          <w:w w:val="105"/>
          <w:sz w:val="13"/>
        </w:rPr>
        <w:t>and</w:t>
      </w:r>
      <w:r>
        <w:rPr>
          <w:spacing w:val="40"/>
          <w:w w:val="105"/>
          <w:sz w:val="13"/>
        </w:rPr>
        <w:t> </w:t>
      </w:r>
      <w:r>
        <w:rPr>
          <w:w w:val="105"/>
          <w:sz w:val="13"/>
        </w:rPr>
        <w:t>the</w:t>
      </w:r>
      <w:r>
        <w:rPr>
          <w:spacing w:val="-1"/>
          <w:w w:val="105"/>
          <w:sz w:val="13"/>
        </w:rPr>
        <w:t> </w:t>
      </w:r>
      <w:r>
        <w:rPr>
          <w:w w:val="105"/>
          <w:sz w:val="13"/>
        </w:rPr>
        <w:t>associated</w:t>
      </w:r>
      <w:r>
        <w:rPr>
          <w:spacing w:val="-1"/>
          <w:w w:val="105"/>
          <w:sz w:val="13"/>
        </w:rPr>
        <w:t> </w:t>
      </w:r>
      <w:r>
        <w:rPr>
          <w:w w:val="105"/>
          <w:sz w:val="13"/>
        </w:rPr>
        <w:t>liability</w:t>
      </w:r>
      <w:r>
        <w:rPr>
          <w:spacing w:val="-5"/>
          <w:w w:val="105"/>
          <w:sz w:val="13"/>
        </w:rPr>
        <w:t> </w:t>
      </w:r>
      <w:r>
        <w:rPr>
          <w:w w:val="105"/>
          <w:sz w:val="13"/>
        </w:rPr>
        <w:t>are</w:t>
      </w:r>
      <w:r>
        <w:rPr>
          <w:spacing w:val="-1"/>
          <w:w w:val="105"/>
          <w:sz w:val="13"/>
        </w:rPr>
        <w:t> </w:t>
      </w:r>
      <w:r>
        <w:rPr>
          <w:w w:val="105"/>
          <w:sz w:val="13"/>
        </w:rPr>
        <w:t>measured</w:t>
      </w:r>
      <w:r>
        <w:rPr>
          <w:spacing w:val="-1"/>
          <w:w w:val="105"/>
          <w:sz w:val="13"/>
        </w:rPr>
        <w:t> </w:t>
      </w:r>
      <w:r>
        <w:rPr>
          <w:w w:val="105"/>
          <w:sz w:val="13"/>
        </w:rPr>
        <w:t>on</w:t>
      </w:r>
      <w:r>
        <w:rPr>
          <w:spacing w:val="-1"/>
          <w:w w:val="105"/>
          <w:sz w:val="13"/>
        </w:rPr>
        <w:t> </w:t>
      </w:r>
      <w:r>
        <w:rPr>
          <w:w w:val="105"/>
          <w:sz w:val="13"/>
        </w:rPr>
        <w:t>a</w:t>
      </w:r>
      <w:r>
        <w:rPr>
          <w:spacing w:val="-1"/>
          <w:w w:val="105"/>
          <w:sz w:val="13"/>
        </w:rPr>
        <w:t> </w:t>
      </w:r>
      <w:r>
        <w:rPr>
          <w:w w:val="105"/>
          <w:sz w:val="13"/>
        </w:rPr>
        <w:t>basis that</w:t>
      </w:r>
      <w:r>
        <w:rPr>
          <w:spacing w:val="-1"/>
          <w:w w:val="105"/>
          <w:sz w:val="13"/>
        </w:rPr>
        <w:t> </w:t>
      </w:r>
      <w:r>
        <w:rPr>
          <w:w w:val="105"/>
          <w:sz w:val="13"/>
        </w:rPr>
        <w:t>reflects the</w:t>
      </w:r>
      <w:r>
        <w:rPr>
          <w:spacing w:val="-1"/>
          <w:w w:val="105"/>
          <w:sz w:val="13"/>
        </w:rPr>
        <w:t> </w:t>
      </w:r>
      <w:r>
        <w:rPr>
          <w:w w:val="105"/>
          <w:sz w:val="13"/>
        </w:rPr>
        <w:t>rights and</w:t>
      </w:r>
      <w:r>
        <w:rPr>
          <w:spacing w:val="-1"/>
          <w:w w:val="105"/>
          <w:sz w:val="13"/>
        </w:rPr>
        <w:t> </w:t>
      </w:r>
      <w:r>
        <w:rPr>
          <w:w w:val="105"/>
          <w:sz w:val="13"/>
        </w:rPr>
        <w:t>obligations that</w:t>
      </w:r>
      <w:r>
        <w:rPr>
          <w:spacing w:val="-1"/>
          <w:w w:val="105"/>
          <w:sz w:val="13"/>
        </w:rPr>
        <w:t> </w:t>
      </w:r>
      <w:r>
        <w:rPr>
          <w:w w:val="105"/>
          <w:sz w:val="13"/>
        </w:rPr>
        <w:t>the</w:t>
      </w:r>
      <w:r>
        <w:rPr>
          <w:spacing w:val="-1"/>
          <w:w w:val="105"/>
          <w:sz w:val="13"/>
        </w:rPr>
        <w:t> </w:t>
      </w:r>
      <w:r>
        <w:rPr>
          <w:w w:val="105"/>
          <w:sz w:val="13"/>
        </w:rPr>
        <w:t>Group</w:t>
      </w:r>
      <w:r>
        <w:rPr>
          <w:spacing w:val="-1"/>
          <w:w w:val="105"/>
          <w:sz w:val="13"/>
        </w:rPr>
        <w:t> </w:t>
      </w:r>
      <w:r>
        <w:rPr>
          <w:w w:val="105"/>
          <w:sz w:val="13"/>
        </w:rPr>
        <w:t>has retained.</w:t>
      </w:r>
    </w:p>
    <w:p>
      <w:pPr>
        <w:spacing w:line="240" w:lineRule="auto" w:before="18"/>
        <w:rPr>
          <w:sz w:val="13"/>
        </w:rPr>
      </w:pPr>
    </w:p>
    <w:p>
      <w:pPr>
        <w:spacing w:line="273" w:lineRule="auto" w:before="1"/>
        <w:ind w:left="749" w:right="268" w:firstLine="0"/>
        <w:jc w:val="left"/>
        <w:rPr>
          <w:sz w:val="13"/>
        </w:rPr>
      </w:pPr>
      <w:r>
        <w:rPr>
          <w:w w:val="105"/>
          <w:sz w:val="13"/>
        </w:rPr>
        <w:t>Continuing involvement that takes the form</w:t>
      </w:r>
      <w:r>
        <w:rPr>
          <w:spacing w:val="13"/>
          <w:w w:val="105"/>
          <w:sz w:val="13"/>
        </w:rPr>
        <w:t> </w:t>
      </w:r>
      <w:r>
        <w:rPr>
          <w:w w:val="105"/>
          <w:sz w:val="13"/>
        </w:rPr>
        <w:t>of</w:t>
      </w:r>
      <w:r>
        <w:rPr>
          <w:spacing w:val="14"/>
          <w:w w:val="105"/>
          <w:sz w:val="13"/>
        </w:rPr>
        <w:t> </w:t>
      </w:r>
      <w:r>
        <w:rPr>
          <w:w w:val="105"/>
          <w:sz w:val="13"/>
        </w:rPr>
        <w:t>a guarantee over</w:t>
      </w:r>
      <w:r>
        <w:rPr>
          <w:spacing w:val="13"/>
          <w:w w:val="105"/>
          <w:sz w:val="13"/>
        </w:rPr>
        <w:t> </w:t>
      </w:r>
      <w:r>
        <w:rPr>
          <w:w w:val="105"/>
          <w:sz w:val="13"/>
        </w:rPr>
        <w:t>the transferred</w:t>
      </w:r>
      <w:r>
        <w:rPr>
          <w:spacing w:val="14"/>
          <w:w w:val="105"/>
          <w:sz w:val="13"/>
        </w:rPr>
        <w:t> </w:t>
      </w:r>
      <w:r>
        <w:rPr>
          <w:w w:val="105"/>
          <w:sz w:val="13"/>
        </w:rPr>
        <w:t>asset is</w:t>
      </w:r>
      <w:r>
        <w:rPr>
          <w:spacing w:val="14"/>
          <w:w w:val="105"/>
          <w:sz w:val="13"/>
        </w:rPr>
        <w:t> </w:t>
      </w:r>
      <w:r>
        <w:rPr>
          <w:w w:val="105"/>
          <w:sz w:val="13"/>
        </w:rPr>
        <w:t>measured at</w:t>
      </w:r>
      <w:r>
        <w:rPr>
          <w:spacing w:val="14"/>
          <w:w w:val="105"/>
          <w:sz w:val="13"/>
        </w:rPr>
        <w:t> </w:t>
      </w:r>
      <w:r>
        <w:rPr>
          <w:w w:val="105"/>
          <w:sz w:val="13"/>
        </w:rPr>
        <w:t>the lower</w:t>
      </w:r>
      <w:r>
        <w:rPr>
          <w:spacing w:val="14"/>
          <w:w w:val="105"/>
          <w:sz w:val="13"/>
        </w:rPr>
        <w:t> </w:t>
      </w:r>
      <w:r>
        <w:rPr>
          <w:w w:val="105"/>
          <w:sz w:val="13"/>
        </w:rPr>
        <w:t>of</w:t>
      </w:r>
      <w:r>
        <w:rPr>
          <w:spacing w:val="14"/>
          <w:w w:val="105"/>
          <w:sz w:val="13"/>
        </w:rPr>
        <w:t> </w:t>
      </w:r>
      <w:r>
        <w:rPr>
          <w:w w:val="105"/>
          <w:sz w:val="13"/>
        </w:rPr>
        <w:t>the</w:t>
      </w:r>
      <w:r>
        <w:rPr>
          <w:spacing w:val="14"/>
          <w:w w:val="105"/>
          <w:sz w:val="13"/>
        </w:rPr>
        <w:t> </w:t>
      </w:r>
      <w:r>
        <w:rPr>
          <w:w w:val="105"/>
          <w:sz w:val="13"/>
        </w:rPr>
        <w:t>original</w:t>
      </w:r>
      <w:r>
        <w:rPr>
          <w:spacing w:val="13"/>
          <w:w w:val="105"/>
          <w:sz w:val="13"/>
        </w:rPr>
        <w:t> </w:t>
      </w:r>
      <w:r>
        <w:rPr>
          <w:w w:val="105"/>
          <w:sz w:val="13"/>
        </w:rPr>
        <w:t>carrying</w:t>
      </w:r>
      <w:r>
        <w:rPr>
          <w:spacing w:val="40"/>
          <w:w w:val="105"/>
          <w:sz w:val="13"/>
        </w:rPr>
        <w:t> </w:t>
      </w:r>
      <w:r>
        <w:rPr>
          <w:w w:val="105"/>
          <w:sz w:val="13"/>
        </w:rPr>
        <w:t>amount of the asset and the maximum amount of consideration that the Group could be required to repay.</w:t>
      </w:r>
    </w:p>
    <w:p>
      <w:pPr>
        <w:spacing w:after="0" w:line="273" w:lineRule="auto"/>
        <w:jc w:val="left"/>
        <w:rPr>
          <w:sz w:val="13"/>
        </w:rPr>
        <w:sectPr>
          <w:pgSz w:w="11910" w:h="16840"/>
          <w:pgMar w:header="468" w:footer="0" w:top="1580" w:bottom="280" w:left="1020" w:right="1540"/>
        </w:sectPr>
      </w:pPr>
    </w:p>
    <w:p>
      <w:pPr>
        <w:spacing w:before="91"/>
        <w:ind w:left="151" w:right="0" w:firstLine="0"/>
        <w:jc w:val="left"/>
        <w:rPr>
          <w:sz w:val="22"/>
        </w:rPr>
      </w:pPr>
      <w:r>
        <w:rPr>
          <w:color w:val="0070C0"/>
          <w:sz w:val="22"/>
        </w:rPr>
        <w:t>NOTES</w:t>
      </w:r>
      <w:r>
        <w:rPr>
          <w:color w:val="0070C0"/>
          <w:spacing w:val="-9"/>
          <w:sz w:val="22"/>
        </w:rPr>
        <w:t> </w:t>
      </w:r>
      <w:r>
        <w:rPr>
          <w:color w:val="0070C0"/>
          <w:sz w:val="22"/>
        </w:rPr>
        <w:t>TO</w:t>
      </w:r>
      <w:r>
        <w:rPr>
          <w:color w:val="0070C0"/>
          <w:spacing w:val="-9"/>
          <w:sz w:val="22"/>
        </w:rPr>
        <w:t> </w:t>
      </w:r>
      <w:r>
        <w:rPr>
          <w:color w:val="0070C0"/>
          <w:sz w:val="22"/>
        </w:rPr>
        <w:t>THE</w:t>
      </w:r>
      <w:r>
        <w:rPr>
          <w:color w:val="0070C0"/>
          <w:spacing w:val="-9"/>
          <w:sz w:val="22"/>
        </w:rPr>
        <w:t> </w:t>
      </w:r>
      <w:r>
        <w:rPr>
          <w:color w:val="0070C0"/>
          <w:sz w:val="22"/>
        </w:rPr>
        <w:t>FINANCIAL</w:t>
      </w:r>
      <w:r>
        <w:rPr>
          <w:color w:val="0070C0"/>
          <w:spacing w:val="-9"/>
          <w:sz w:val="22"/>
        </w:rPr>
        <w:t> </w:t>
      </w:r>
      <w:r>
        <w:rPr>
          <w:color w:val="0070C0"/>
          <w:spacing w:val="-2"/>
          <w:sz w:val="22"/>
        </w:rPr>
        <w:t>STATEMENTS</w:t>
      </w:r>
    </w:p>
    <w:p>
      <w:pPr>
        <w:spacing w:before="31"/>
        <w:ind w:left="138" w:right="0" w:firstLine="0"/>
        <w:jc w:val="left"/>
        <w:rPr>
          <w:sz w:val="12"/>
        </w:rPr>
      </w:pPr>
      <w:r>
        <w:rPr>
          <w:sz w:val="12"/>
        </w:rPr>
        <w:t>for</w:t>
      </w:r>
      <w:r>
        <w:rPr>
          <w:spacing w:val="4"/>
          <w:sz w:val="12"/>
        </w:rPr>
        <w:t> </w:t>
      </w:r>
      <w:r>
        <w:rPr>
          <w:sz w:val="12"/>
        </w:rPr>
        <w:t>the</w:t>
      </w:r>
      <w:r>
        <w:rPr>
          <w:spacing w:val="3"/>
          <w:sz w:val="12"/>
        </w:rPr>
        <w:t> </w:t>
      </w:r>
      <w:r>
        <w:rPr>
          <w:sz w:val="12"/>
        </w:rPr>
        <w:t>year</w:t>
      </w:r>
      <w:r>
        <w:rPr>
          <w:spacing w:val="5"/>
          <w:sz w:val="12"/>
        </w:rPr>
        <w:t> </w:t>
      </w:r>
      <w:r>
        <w:rPr>
          <w:sz w:val="12"/>
        </w:rPr>
        <w:t>ended</w:t>
      </w:r>
      <w:r>
        <w:rPr>
          <w:spacing w:val="3"/>
          <w:sz w:val="12"/>
        </w:rPr>
        <w:t> </w:t>
      </w:r>
      <w:r>
        <w:rPr>
          <w:sz w:val="12"/>
        </w:rPr>
        <w:t>31</w:t>
      </w:r>
      <w:r>
        <w:rPr>
          <w:spacing w:val="3"/>
          <w:sz w:val="12"/>
        </w:rPr>
        <w:t> </w:t>
      </w:r>
      <w:r>
        <w:rPr>
          <w:sz w:val="12"/>
        </w:rPr>
        <w:t>December</w:t>
      </w:r>
      <w:r>
        <w:rPr>
          <w:spacing w:val="5"/>
          <w:sz w:val="12"/>
        </w:rPr>
        <w:t> </w:t>
      </w:r>
      <w:r>
        <w:rPr>
          <w:spacing w:val="-4"/>
          <w:sz w:val="12"/>
        </w:rPr>
        <w:t>2020</w:t>
      </w:r>
    </w:p>
    <w:p>
      <w:pPr>
        <w:spacing w:line="240" w:lineRule="auto" w:before="0"/>
        <w:rPr>
          <w:sz w:val="13"/>
        </w:rPr>
      </w:pPr>
    </w:p>
    <w:p>
      <w:pPr>
        <w:spacing w:line="240" w:lineRule="auto" w:before="60"/>
        <w:rPr>
          <w:sz w:val="13"/>
        </w:rPr>
      </w:pPr>
    </w:p>
    <w:p>
      <w:pPr>
        <w:spacing w:before="0"/>
        <w:ind w:left="746" w:right="0" w:firstLine="0"/>
        <w:jc w:val="left"/>
        <w:rPr>
          <w:b/>
          <w:sz w:val="13"/>
        </w:rPr>
      </w:pPr>
      <w:r>
        <w:rPr>
          <w:b/>
          <w:spacing w:val="-2"/>
          <w:w w:val="105"/>
          <w:sz w:val="13"/>
        </w:rPr>
        <w:t>Offsetting</w:t>
      </w:r>
    </w:p>
    <w:p>
      <w:pPr>
        <w:spacing w:line="273" w:lineRule="auto" w:before="21"/>
        <w:ind w:left="746" w:right="303" w:firstLine="0"/>
        <w:jc w:val="both"/>
        <w:rPr>
          <w:sz w:val="13"/>
        </w:rPr>
      </w:pPr>
      <w:r>
        <w:rPr>
          <w:w w:val="105"/>
          <w:sz w:val="13"/>
        </w:rPr>
        <w:t>Financial</w:t>
      </w:r>
      <w:r>
        <w:rPr>
          <w:spacing w:val="-1"/>
          <w:w w:val="105"/>
          <w:sz w:val="13"/>
        </w:rPr>
        <w:t> </w:t>
      </w:r>
      <w:r>
        <w:rPr>
          <w:w w:val="105"/>
          <w:sz w:val="13"/>
        </w:rPr>
        <w:t>assets</w:t>
      </w:r>
      <w:r>
        <w:rPr>
          <w:spacing w:val="-2"/>
          <w:w w:val="105"/>
          <w:sz w:val="13"/>
        </w:rPr>
        <w:t> </w:t>
      </w:r>
      <w:r>
        <w:rPr>
          <w:w w:val="105"/>
          <w:sz w:val="13"/>
        </w:rPr>
        <w:t>and</w:t>
      </w:r>
      <w:r>
        <w:rPr>
          <w:spacing w:val="-3"/>
          <w:w w:val="105"/>
          <w:sz w:val="13"/>
        </w:rPr>
        <w:t> </w:t>
      </w:r>
      <w:r>
        <w:rPr>
          <w:w w:val="105"/>
          <w:sz w:val="13"/>
        </w:rPr>
        <w:t>financial</w:t>
      </w:r>
      <w:r>
        <w:rPr>
          <w:spacing w:val="-1"/>
          <w:w w:val="105"/>
          <w:sz w:val="13"/>
        </w:rPr>
        <w:t> </w:t>
      </w:r>
      <w:r>
        <w:rPr>
          <w:w w:val="105"/>
          <w:sz w:val="13"/>
        </w:rPr>
        <w:t>liabilities</w:t>
      </w:r>
      <w:r>
        <w:rPr>
          <w:spacing w:val="-4"/>
          <w:w w:val="105"/>
          <w:sz w:val="13"/>
        </w:rPr>
        <w:t> </w:t>
      </w:r>
      <w:r>
        <w:rPr>
          <w:w w:val="105"/>
          <w:sz w:val="13"/>
        </w:rPr>
        <w:t>are</w:t>
      </w:r>
      <w:r>
        <w:rPr>
          <w:spacing w:val="-3"/>
          <w:w w:val="105"/>
          <w:sz w:val="13"/>
        </w:rPr>
        <w:t> </w:t>
      </w:r>
      <w:r>
        <w:rPr>
          <w:w w:val="105"/>
          <w:sz w:val="13"/>
        </w:rPr>
        <w:t>offset</w:t>
      </w:r>
      <w:r>
        <w:rPr>
          <w:spacing w:val="-4"/>
          <w:w w:val="105"/>
          <w:sz w:val="13"/>
        </w:rPr>
        <w:t> </w:t>
      </w:r>
      <w:r>
        <w:rPr>
          <w:w w:val="105"/>
          <w:sz w:val="13"/>
        </w:rPr>
        <w:t>and</w:t>
      </w:r>
      <w:r>
        <w:rPr>
          <w:spacing w:val="-3"/>
          <w:w w:val="105"/>
          <w:sz w:val="13"/>
        </w:rPr>
        <w:t> </w:t>
      </w:r>
      <w:r>
        <w:rPr>
          <w:w w:val="105"/>
          <w:sz w:val="13"/>
        </w:rPr>
        <w:t>the</w:t>
      </w:r>
      <w:r>
        <w:rPr>
          <w:spacing w:val="-5"/>
          <w:w w:val="105"/>
          <w:sz w:val="13"/>
        </w:rPr>
        <w:t> </w:t>
      </w:r>
      <w:r>
        <w:rPr>
          <w:w w:val="105"/>
          <w:sz w:val="13"/>
        </w:rPr>
        <w:t>net</w:t>
      </w:r>
      <w:r>
        <w:rPr>
          <w:spacing w:val="-2"/>
          <w:w w:val="105"/>
          <w:sz w:val="13"/>
        </w:rPr>
        <w:t> </w:t>
      </w:r>
      <w:r>
        <w:rPr>
          <w:w w:val="105"/>
          <w:sz w:val="13"/>
        </w:rPr>
        <w:t>amount</w:t>
      </w:r>
      <w:r>
        <w:rPr>
          <w:spacing w:val="-5"/>
          <w:w w:val="105"/>
          <w:sz w:val="13"/>
        </w:rPr>
        <w:t> </w:t>
      </w:r>
      <w:r>
        <w:rPr>
          <w:w w:val="105"/>
          <w:sz w:val="13"/>
        </w:rPr>
        <w:t>is</w:t>
      </w:r>
      <w:r>
        <w:rPr>
          <w:spacing w:val="-2"/>
          <w:w w:val="105"/>
          <w:sz w:val="13"/>
        </w:rPr>
        <w:t> </w:t>
      </w:r>
      <w:r>
        <w:rPr>
          <w:w w:val="105"/>
          <w:sz w:val="13"/>
        </w:rPr>
        <w:t>reported</w:t>
      </w:r>
      <w:r>
        <w:rPr>
          <w:spacing w:val="-5"/>
          <w:w w:val="105"/>
          <w:sz w:val="13"/>
        </w:rPr>
        <w:t> </w:t>
      </w:r>
      <w:r>
        <w:rPr>
          <w:w w:val="105"/>
          <w:sz w:val="13"/>
        </w:rPr>
        <w:t>in</w:t>
      </w:r>
      <w:r>
        <w:rPr>
          <w:spacing w:val="-3"/>
          <w:w w:val="105"/>
          <w:sz w:val="13"/>
        </w:rPr>
        <w:t> </w:t>
      </w:r>
      <w:r>
        <w:rPr>
          <w:w w:val="105"/>
          <w:sz w:val="13"/>
        </w:rPr>
        <w:t>the</w:t>
      </w:r>
      <w:r>
        <w:rPr>
          <w:spacing w:val="-5"/>
          <w:w w:val="105"/>
          <w:sz w:val="13"/>
        </w:rPr>
        <w:t> </w:t>
      </w:r>
      <w:r>
        <w:rPr>
          <w:w w:val="105"/>
          <w:sz w:val="13"/>
        </w:rPr>
        <w:t>consolidated</w:t>
      </w:r>
      <w:r>
        <w:rPr>
          <w:spacing w:val="-3"/>
          <w:w w:val="105"/>
          <w:sz w:val="13"/>
        </w:rPr>
        <w:t> </w:t>
      </w:r>
      <w:r>
        <w:rPr>
          <w:w w:val="105"/>
          <w:sz w:val="13"/>
        </w:rPr>
        <w:t>statement</w:t>
      </w:r>
      <w:r>
        <w:rPr>
          <w:spacing w:val="-4"/>
          <w:w w:val="105"/>
          <w:sz w:val="13"/>
        </w:rPr>
        <w:t> </w:t>
      </w:r>
      <w:r>
        <w:rPr>
          <w:w w:val="105"/>
          <w:sz w:val="13"/>
        </w:rPr>
        <w:t>of financial</w:t>
      </w:r>
      <w:r>
        <w:rPr>
          <w:spacing w:val="-3"/>
          <w:w w:val="105"/>
          <w:sz w:val="13"/>
        </w:rPr>
        <w:t> </w:t>
      </w:r>
      <w:r>
        <w:rPr>
          <w:w w:val="105"/>
          <w:sz w:val="13"/>
        </w:rPr>
        <w:t>position</w:t>
      </w:r>
      <w:r>
        <w:rPr>
          <w:spacing w:val="-3"/>
          <w:w w:val="105"/>
          <w:sz w:val="13"/>
        </w:rPr>
        <w:t> </w:t>
      </w:r>
      <w:r>
        <w:rPr>
          <w:w w:val="105"/>
          <w:sz w:val="13"/>
        </w:rPr>
        <w:t>if</w:t>
      </w:r>
      <w:r>
        <w:rPr>
          <w:spacing w:val="-3"/>
          <w:w w:val="105"/>
          <w:sz w:val="13"/>
        </w:rPr>
        <w:t> </w:t>
      </w:r>
      <w:r>
        <w:rPr>
          <w:w w:val="105"/>
          <w:sz w:val="13"/>
        </w:rPr>
        <w:t>there</w:t>
      </w:r>
      <w:r>
        <w:rPr>
          <w:spacing w:val="40"/>
          <w:w w:val="105"/>
          <w:sz w:val="13"/>
        </w:rPr>
        <w:t> </w:t>
      </w:r>
      <w:r>
        <w:rPr>
          <w:w w:val="105"/>
          <w:sz w:val="13"/>
        </w:rPr>
        <w:t>is</w:t>
      </w:r>
      <w:r>
        <w:rPr>
          <w:w w:val="105"/>
          <w:sz w:val="13"/>
        </w:rPr>
        <w:t> a currently enforceable</w:t>
      </w:r>
      <w:r>
        <w:rPr>
          <w:w w:val="105"/>
          <w:sz w:val="13"/>
        </w:rPr>
        <w:t> legal</w:t>
      </w:r>
      <w:r>
        <w:rPr>
          <w:w w:val="105"/>
          <w:sz w:val="13"/>
        </w:rPr>
        <w:t> right</w:t>
      </w:r>
      <w:r>
        <w:rPr>
          <w:w w:val="105"/>
          <w:sz w:val="13"/>
        </w:rPr>
        <w:t> to offset</w:t>
      </w:r>
      <w:r>
        <w:rPr>
          <w:w w:val="105"/>
          <w:sz w:val="13"/>
        </w:rPr>
        <w:t> the recognised</w:t>
      </w:r>
      <w:r>
        <w:rPr>
          <w:w w:val="105"/>
          <w:sz w:val="13"/>
        </w:rPr>
        <w:t> amounts</w:t>
      </w:r>
      <w:r>
        <w:rPr>
          <w:w w:val="105"/>
          <w:sz w:val="13"/>
        </w:rPr>
        <w:t> and there is</w:t>
      </w:r>
      <w:r>
        <w:rPr>
          <w:w w:val="105"/>
          <w:sz w:val="13"/>
        </w:rPr>
        <w:t> an intention to settle</w:t>
      </w:r>
      <w:r>
        <w:rPr>
          <w:w w:val="105"/>
          <w:sz w:val="13"/>
        </w:rPr>
        <w:t> on a net</w:t>
      </w:r>
      <w:r>
        <w:rPr>
          <w:w w:val="105"/>
          <w:sz w:val="13"/>
        </w:rPr>
        <w:t> basis, to realise the</w:t>
      </w:r>
      <w:r>
        <w:rPr>
          <w:spacing w:val="40"/>
          <w:w w:val="105"/>
          <w:sz w:val="13"/>
        </w:rPr>
        <w:t> </w:t>
      </w:r>
      <w:r>
        <w:rPr>
          <w:w w:val="105"/>
          <w:sz w:val="13"/>
        </w:rPr>
        <w:t>assets and settle the liabilities simultaneously.</w:t>
      </w:r>
    </w:p>
    <w:p>
      <w:pPr>
        <w:spacing w:line="240" w:lineRule="auto" w:before="36"/>
        <w:rPr>
          <w:sz w:val="13"/>
        </w:rPr>
      </w:pPr>
    </w:p>
    <w:p>
      <w:pPr>
        <w:spacing w:before="0"/>
        <w:ind w:left="746" w:right="0" w:firstLine="0"/>
        <w:jc w:val="both"/>
        <w:rPr>
          <w:b/>
          <w:sz w:val="13"/>
        </w:rPr>
      </w:pPr>
      <w:r>
        <w:rPr>
          <w:b/>
          <w:w w:val="105"/>
          <w:sz w:val="13"/>
        </w:rPr>
        <w:t>Impairment</w:t>
      </w:r>
      <w:r>
        <w:rPr>
          <w:b/>
          <w:spacing w:val="-4"/>
          <w:w w:val="105"/>
          <w:sz w:val="13"/>
        </w:rPr>
        <w:t> </w:t>
      </w:r>
      <w:r>
        <w:rPr>
          <w:b/>
          <w:w w:val="105"/>
          <w:sz w:val="13"/>
        </w:rPr>
        <w:t>of</w:t>
      </w:r>
      <w:r>
        <w:rPr>
          <w:b/>
          <w:spacing w:val="-4"/>
          <w:w w:val="105"/>
          <w:sz w:val="13"/>
        </w:rPr>
        <w:t> </w:t>
      </w:r>
      <w:r>
        <w:rPr>
          <w:b/>
          <w:w w:val="105"/>
          <w:sz w:val="13"/>
        </w:rPr>
        <w:t>debt</w:t>
      </w:r>
      <w:r>
        <w:rPr>
          <w:b/>
          <w:spacing w:val="-3"/>
          <w:w w:val="105"/>
          <w:sz w:val="13"/>
        </w:rPr>
        <w:t> </w:t>
      </w:r>
      <w:r>
        <w:rPr>
          <w:b/>
          <w:w w:val="105"/>
          <w:sz w:val="13"/>
        </w:rPr>
        <w:t>instruments</w:t>
      </w:r>
      <w:r>
        <w:rPr>
          <w:b/>
          <w:spacing w:val="-5"/>
          <w:w w:val="105"/>
          <w:sz w:val="13"/>
        </w:rPr>
        <w:t> </w:t>
      </w:r>
      <w:r>
        <w:rPr>
          <w:b/>
          <w:w w:val="105"/>
          <w:sz w:val="13"/>
        </w:rPr>
        <w:t>other</w:t>
      </w:r>
      <w:r>
        <w:rPr>
          <w:b/>
          <w:spacing w:val="-5"/>
          <w:w w:val="105"/>
          <w:sz w:val="13"/>
        </w:rPr>
        <w:t> </w:t>
      </w:r>
      <w:r>
        <w:rPr>
          <w:b/>
          <w:w w:val="105"/>
          <w:sz w:val="13"/>
        </w:rPr>
        <w:t>than</w:t>
      </w:r>
      <w:r>
        <w:rPr>
          <w:b/>
          <w:spacing w:val="-4"/>
          <w:w w:val="105"/>
          <w:sz w:val="13"/>
        </w:rPr>
        <w:t> </w:t>
      </w:r>
      <w:r>
        <w:rPr>
          <w:b/>
          <w:spacing w:val="-2"/>
          <w:w w:val="105"/>
          <w:sz w:val="13"/>
        </w:rPr>
        <w:t>receivables</w:t>
      </w:r>
    </w:p>
    <w:p>
      <w:pPr>
        <w:spacing w:line="273" w:lineRule="auto" w:before="20"/>
        <w:ind w:left="746" w:right="304" w:firstLine="0"/>
        <w:jc w:val="both"/>
        <w:rPr>
          <w:sz w:val="13"/>
        </w:rPr>
      </w:pPr>
      <w:r>
        <w:rPr>
          <w:w w:val="105"/>
          <w:sz w:val="13"/>
        </w:rPr>
        <w:t>The Group recognises an allowance for expected credit losses (ECLs) for all debt instruments other than receivables and not held at fair</w:t>
      </w:r>
      <w:r>
        <w:rPr>
          <w:spacing w:val="40"/>
          <w:w w:val="105"/>
          <w:sz w:val="13"/>
        </w:rPr>
        <w:t> </w:t>
      </w:r>
      <w:r>
        <w:rPr>
          <w:w w:val="105"/>
          <w:sz w:val="13"/>
        </w:rPr>
        <w:t>value</w:t>
      </w:r>
      <w:r>
        <w:rPr>
          <w:spacing w:val="-3"/>
          <w:w w:val="105"/>
          <w:sz w:val="13"/>
        </w:rPr>
        <w:t> </w:t>
      </w:r>
      <w:r>
        <w:rPr>
          <w:w w:val="105"/>
          <w:sz w:val="13"/>
        </w:rPr>
        <w:t>through</w:t>
      </w:r>
      <w:r>
        <w:rPr>
          <w:spacing w:val="-5"/>
          <w:w w:val="105"/>
          <w:sz w:val="13"/>
        </w:rPr>
        <w:t> </w:t>
      </w:r>
      <w:r>
        <w:rPr>
          <w:w w:val="105"/>
          <w:sz w:val="13"/>
        </w:rPr>
        <w:t>profit</w:t>
      </w:r>
      <w:r>
        <w:rPr>
          <w:spacing w:val="-2"/>
          <w:w w:val="105"/>
          <w:sz w:val="13"/>
        </w:rPr>
        <w:t> </w:t>
      </w:r>
      <w:r>
        <w:rPr>
          <w:w w:val="105"/>
          <w:sz w:val="13"/>
        </w:rPr>
        <w:t>or</w:t>
      </w:r>
      <w:r>
        <w:rPr>
          <w:spacing w:val="-3"/>
          <w:w w:val="105"/>
          <w:sz w:val="13"/>
        </w:rPr>
        <w:t> </w:t>
      </w:r>
      <w:r>
        <w:rPr>
          <w:w w:val="105"/>
          <w:sz w:val="13"/>
        </w:rPr>
        <w:t>loss.</w:t>
      </w:r>
      <w:r>
        <w:rPr>
          <w:spacing w:val="-2"/>
          <w:w w:val="105"/>
          <w:sz w:val="13"/>
        </w:rPr>
        <w:t> </w:t>
      </w:r>
      <w:r>
        <w:rPr>
          <w:w w:val="105"/>
          <w:sz w:val="13"/>
        </w:rPr>
        <w:t>ECLs</w:t>
      </w:r>
      <w:r>
        <w:rPr>
          <w:spacing w:val="-4"/>
          <w:w w:val="105"/>
          <w:sz w:val="13"/>
        </w:rPr>
        <w:t> </w:t>
      </w:r>
      <w:r>
        <w:rPr>
          <w:w w:val="105"/>
          <w:sz w:val="13"/>
        </w:rPr>
        <w:t>are</w:t>
      </w:r>
      <w:r>
        <w:rPr>
          <w:spacing w:val="-3"/>
          <w:w w:val="105"/>
          <w:sz w:val="13"/>
        </w:rPr>
        <w:t> </w:t>
      </w:r>
      <w:r>
        <w:rPr>
          <w:w w:val="105"/>
          <w:sz w:val="13"/>
        </w:rPr>
        <w:t>based</w:t>
      </w:r>
      <w:r>
        <w:rPr>
          <w:spacing w:val="-5"/>
          <w:w w:val="105"/>
          <w:sz w:val="13"/>
        </w:rPr>
        <w:t> </w:t>
      </w:r>
      <w:r>
        <w:rPr>
          <w:w w:val="105"/>
          <w:sz w:val="13"/>
        </w:rPr>
        <w:t>on</w:t>
      </w:r>
      <w:r>
        <w:rPr>
          <w:spacing w:val="-3"/>
          <w:w w:val="105"/>
          <w:sz w:val="13"/>
        </w:rPr>
        <w:t> </w:t>
      </w:r>
      <w:r>
        <w:rPr>
          <w:w w:val="105"/>
          <w:sz w:val="13"/>
        </w:rPr>
        <w:t>the</w:t>
      </w:r>
      <w:r>
        <w:rPr>
          <w:spacing w:val="-5"/>
          <w:w w:val="105"/>
          <w:sz w:val="13"/>
        </w:rPr>
        <w:t> </w:t>
      </w:r>
      <w:r>
        <w:rPr>
          <w:w w:val="105"/>
          <w:sz w:val="13"/>
        </w:rPr>
        <w:t>difference</w:t>
      </w:r>
      <w:r>
        <w:rPr>
          <w:spacing w:val="-3"/>
          <w:w w:val="105"/>
          <w:sz w:val="13"/>
        </w:rPr>
        <w:t> </w:t>
      </w:r>
      <w:r>
        <w:rPr>
          <w:w w:val="105"/>
          <w:sz w:val="13"/>
        </w:rPr>
        <w:t>between</w:t>
      </w:r>
      <w:r>
        <w:rPr>
          <w:spacing w:val="-5"/>
          <w:w w:val="105"/>
          <w:sz w:val="13"/>
        </w:rPr>
        <w:t> </w:t>
      </w:r>
      <w:r>
        <w:rPr>
          <w:w w:val="105"/>
          <w:sz w:val="13"/>
        </w:rPr>
        <w:t>the</w:t>
      </w:r>
      <w:r>
        <w:rPr>
          <w:spacing w:val="-3"/>
          <w:w w:val="105"/>
          <w:sz w:val="13"/>
        </w:rPr>
        <w:t> </w:t>
      </w:r>
      <w:r>
        <w:rPr>
          <w:w w:val="105"/>
          <w:sz w:val="13"/>
        </w:rPr>
        <w:t>contractual</w:t>
      </w:r>
      <w:r>
        <w:rPr>
          <w:spacing w:val="-4"/>
          <w:w w:val="105"/>
          <w:sz w:val="13"/>
        </w:rPr>
        <w:t> </w:t>
      </w:r>
      <w:r>
        <w:rPr>
          <w:w w:val="105"/>
          <w:sz w:val="13"/>
        </w:rPr>
        <w:t>cash</w:t>
      </w:r>
      <w:r>
        <w:rPr>
          <w:spacing w:val="-3"/>
          <w:w w:val="105"/>
          <w:sz w:val="13"/>
        </w:rPr>
        <w:t> </w:t>
      </w:r>
      <w:r>
        <w:rPr>
          <w:w w:val="105"/>
          <w:sz w:val="13"/>
        </w:rPr>
        <w:t>flows</w:t>
      </w:r>
      <w:r>
        <w:rPr>
          <w:spacing w:val="-4"/>
          <w:w w:val="105"/>
          <w:sz w:val="13"/>
        </w:rPr>
        <w:t> </w:t>
      </w:r>
      <w:r>
        <w:rPr>
          <w:w w:val="105"/>
          <w:sz w:val="13"/>
        </w:rPr>
        <w:t>due</w:t>
      </w:r>
      <w:r>
        <w:rPr>
          <w:spacing w:val="-3"/>
          <w:w w:val="105"/>
          <w:sz w:val="13"/>
        </w:rPr>
        <w:t> </w:t>
      </w:r>
      <w:r>
        <w:rPr>
          <w:w w:val="105"/>
          <w:sz w:val="13"/>
        </w:rPr>
        <w:t>in</w:t>
      </w:r>
      <w:r>
        <w:rPr>
          <w:spacing w:val="-5"/>
          <w:w w:val="105"/>
          <w:sz w:val="13"/>
        </w:rPr>
        <w:t> </w:t>
      </w:r>
      <w:r>
        <w:rPr>
          <w:w w:val="105"/>
          <w:sz w:val="13"/>
        </w:rPr>
        <w:t>accordance</w:t>
      </w:r>
      <w:r>
        <w:rPr>
          <w:spacing w:val="-3"/>
          <w:w w:val="105"/>
          <w:sz w:val="13"/>
        </w:rPr>
        <w:t> </w:t>
      </w:r>
      <w:r>
        <w:rPr>
          <w:w w:val="105"/>
          <w:sz w:val="13"/>
        </w:rPr>
        <w:t>with</w:t>
      </w:r>
      <w:r>
        <w:rPr>
          <w:spacing w:val="-5"/>
          <w:w w:val="105"/>
          <w:sz w:val="13"/>
        </w:rPr>
        <w:t> </w:t>
      </w:r>
      <w:r>
        <w:rPr>
          <w:w w:val="105"/>
          <w:sz w:val="13"/>
        </w:rPr>
        <w:t>the</w:t>
      </w:r>
      <w:r>
        <w:rPr>
          <w:spacing w:val="-3"/>
          <w:w w:val="105"/>
          <w:sz w:val="13"/>
        </w:rPr>
        <w:t> </w:t>
      </w:r>
      <w:r>
        <w:rPr>
          <w:w w:val="105"/>
          <w:sz w:val="13"/>
        </w:rPr>
        <w:t>contract</w:t>
      </w:r>
      <w:r>
        <w:rPr>
          <w:spacing w:val="-5"/>
          <w:w w:val="105"/>
          <w:sz w:val="13"/>
        </w:rPr>
        <w:t> </w:t>
      </w:r>
      <w:r>
        <w:rPr>
          <w:w w:val="105"/>
          <w:sz w:val="13"/>
        </w:rPr>
        <w:t>and</w:t>
      </w:r>
      <w:r>
        <w:rPr>
          <w:spacing w:val="40"/>
          <w:w w:val="105"/>
          <w:sz w:val="13"/>
        </w:rPr>
        <w:t> </w:t>
      </w:r>
      <w:r>
        <w:rPr>
          <w:w w:val="105"/>
          <w:sz w:val="13"/>
        </w:rPr>
        <w:t>all the cash flows that the Group expects to receive, discounted at an approximation of the original effective interest rate. The expected</w:t>
      </w:r>
      <w:r>
        <w:rPr>
          <w:spacing w:val="40"/>
          <w:w w:val="105"/>
          <w:sz w:val="13"/>
        </w:rPr>
        <w:t> </w:t>
      </w:r>
      <w:r>
        <w:rPr>
          <w:w w:val="105"/>
          <w:sz w:val="13"/>
        </w:rPr>
        <w:t>cash</w:t>
      </w:r>
      <w:r>
        <w:rPr>
          <w:spacing w:val="-2"/>
          <w:w w:val="105"/>
          <w:sz w:val="13"/>
        </w:rPr>
        <w:t> </w:t>
      </w:r>
      <w:r>
        <w:rPr>
          <w:w w:val="105"/>
          <w:sz w:val="13"/>
        </w:rPr>
        <w:t>flows</w:t>
      </w:r>
      <w:r>
        <w:rPr>
          <w:spacing w:val="-1"/>
          <w:w w:val="105"/>
          <w:sz w:val="13"/>
        </w:rPr>
        <w:t> </w:t>
      </w:r>
      <w:r>
        <w:rPr>
          <w:w w:val="105"/>
          <w:sz w:val="13"/>
        </w:rPr>
        <w:t>will</w:t>
      </w:r>
      <w:r>
        <w:rPr>
          <w:spacing w:val="-1"/>
          <w:w w:val="105"/>
          <w:sz w:val="13"/>
        </w:rPr>
        <w:t> </w:t>
      </w:r>
      <w:r>
        <w:rPr>
          <w:w w:val="105"/>
          <w:sz w:val="13"/>
        </w:rPr>
        <w:t>include</w:t>
      </w:r>
      <w:r>
        <w:rPr>
          <w:spacing w:val="-2"/>
          <w:w w:val="105"/>
          <w:sz w:val="13"/>
        </w:rPr>
        <w:t> </w:t>
      </w:r>
      <w:r>
        <w:rPr>
          <w:w w:val="105"/>
          <w:sz w:val="13"/>
        </w:rPr>
        <w:t>cash</w:t>
      </w:r>
      <w:r>
        <w:rPr>
          <w:spacing w:val="-2"/>
          <w:w w:val="105"/>
          <w:sz w:val="13"/>
        </w:rPr>
        <w:t> </w:t>
      </w:r>
      <w:r>
        <w:rPr>
          <w:w w:val="105"/>
          <w:sz w:val="13"/>
        </w:rPr>
        <w:t>flows</w:t>
      </w:r>
      <w:r>
        <w:rPr>
          <w:spacing w:val="-1"/>
          <w:w w:val="105"/>
          <w:sz w:val="13"/>
        </w:rPr>
        <w:t> </w:t>
      </w:r>
      <w:r>
        <w:rPr>
          <w:w w:val="105"/>
          <w:sz w:val="13"/>
        </w:rPr>
        <w:t>from the</w:t>
      </w:r>
      <w:r>
        <w:rPr>
          <w:spacing w:val="-2"/>
          <w:w w:val="105"/>
          <w:sz w:val="13"/>
        </w:rPr>
        <w:t> </w:t>
      </w:r>
      <w:r>
        <w:rPr>
          <w:w w:val="105"/>
          <w:sz w:val="13"/>
        </w:rPr>
        <w:t>sale</w:t>
      </w:r>
      <w:r>
        <w:rPr>
          <w:spacing w:val="-2"/>
          <w:w w:val="105"/>
          <w:sz w:val="13"/>
        </w:rPr>
        <w:t> </w:t>
      </w:r>
      <w:r>
        <w:rPr>
          <w:w w:val="105"/>
          <w:sz w:val="13"/>
        </w:rPr>
        <w:t>of collateral</w:t>
      </w:r>
      <w:r>
        <w:rPr>
          <w:spacing w:val="-1"/>
          <w:w w:val="105"/>
          <w:sz w:val="13"/>
        </w:rPr>
        <w:t> </w:t>
      </w:r>
      <w:r>
        <w:rPr>
          <w:w w:val="105"/>
          <w:sz w:val="13"/>
        </w:rPr>
        <w:t>held</w:t>
      </w:r>
      <w:r>
        <w:rPr>
          <w:spacing w:val="-2"/>
          <w:w w:val="105"/>
          <w:sz w:val="13"/>
        </w:rPr>
        <w:t> </w:t>
      </w:r>
      <w:r>
        <w:rPr>
          <w:w w:val="105"/>
          <w:sz w:val="13"/>
        </w:rPr>
        <w:t>or other credit</w:t>
      </w:r>
      <w:r>
        <w:rPr>
          <w:spacing w:val="-2"/>
          <w:w w:val="105"/>
          <w:sz w:val="13"/>
        </w:rPr>
        <w:t> </w:t>
      </w:r>
      <w:r>
        <w:rPr>
          <w:w w:val="105"/>
          <w:sz w:val="13"/>
        </w:rPr>
        <w:t>enhancements</w:t>
      </w:r>
      <w:r>
        <w:rPr>
          <w:spacing w:val="-1"/>
          <w:w w:val="105"/>
          <w:sz w:val="13"/>
        </w:rPr>
        <w:t> </w:t>
      </w:r>
      <w:r>
        <w:rPr>
          <w:w w:val="105"/>
          <w:sz w:val="13"/>
        </w:rPr>
        <w:t>that</w:t>
      </w:r>
      <w:r>
        <w:rPr>
          <w:spacing w:val="-2"/>
          <w:w w:val="105"/>
          <w:sz w:val="13"/>
        </w:rPr>
        <w:t> </w:t>
      </w:r>
      <w:r>
        <w:rPr>
          <w:w w:val="105"/>
          <w:sz w:val="13"/>
        </w:rPr>
        <w:t>are</w:t>
      </w:r>
      <w:r>
        <w:rPr>
          <w:spacing w:val="-2"/>
          <w:w w:val="105"/>
          <w:sz w:val="13"/>
        </w:rPr>
        <w:t> </w:t>
      </w:r>
      <w:r>
        <w:rPr>
          <w:w w:val="105"/>
          <w:sz w:val="13"/>
        </w:rPr>
        <w:t>integral</w:t>
      </w:r>
      <w:r>
        <w:rPr>
          <w:spacing w:val="-1"/>
          <w:w w:val="105"/>
          <w:sz w:val="13"/>
        </w:rPr>
        <w:t> </w:t>
      </w:r>
      <w:r>
        <w:rPr>
          <w:w w:val="105"/>
          <w:sz w:val="13"/>
        </w:rPr>
        <w:t>to</w:t>
      </w:r>
      <w:r>
        <w:rPr>
          <w:spacing w:val="-2"/>
          <w:w w:val="105"/>
          <w:sz w:val="13"/>
        </w:rPr>
        <w:t> </w:t>
      </w:r>
      <w:r>
        <w:rPr>
          <w:w w:val="105"/>
          <w:sz w:val="13"/>
        </w:rPr>
        <w:t>the</w:t>
      </w:r>
      <w:r>
        <w:rPr>
          <w:spacing w:val="-2"/>
          <w:w w:val="105"/>
          <w:sz w:val="13"/>
        </w:rPr>
        <w:t> </w:t>
      </w:r>
      <w:r>
        <w:rPr>
          <w:w w:val="105"/>
          <w:sz w:val="13"/>
        </w:rPr>
        <w:t>contractual</w:t>
      </w:r>
      <w:r>
        <w:rPr>
          <w:spacing w:val="-1"/>
          <w:w w:val="105"/>
          <w:sz w:val="13"/>
        </w:rPr>
        <w:t> </w:t>
      </w:r>
      <w:r>
        <w:rPr>
          <w:w w:val="105"/>
          <w:sz w:val="13"/>
        </w:rPr>
        <w:t>terms.</w:t>
      </w:r>
    </w:p>
    <w:p>
      <w:pPr>
        <w:spacing w:line="240" w:lineRule="auto" w:before="18"/>
        <w:rPr>
          <w:sz w:val="13"/>
        </w:rPr>
      </w:pPr>
    </w:p>
    <w:p>
      <w:pPr>
        <w:spacing w:line="273" w:lineRule="auto" w:before="0"/>
        <w:ind w:left="746" w:right="303" w:firstLine="0"/>
        <w:jc w:val="both"/>
        <w:rPr>
          <w:sz w:val="13"/>
        </w:rPr>
      </w:pPr>
      <w:r>
        <w:rPr>
          <w:w w:val="105"/>
          <w:sz w:val="13"/>
        </w:rPr>
        <w:t>ECLs</w:t>
      </w:r>
      <w:r>
        <w:rPr>
          <w:w w:val="105"/>
          <w:sz w:val="13"/>
        </w:rPr>
        <w:t> are recognised</w:t>
      </w:r>
      <w:r>
        <w:rPr>
          <w:w w:val="105"/>
          <w:sz w:val="13"/>
        </w:rPr>
        <w:t> in two stages. For</w:t>
      </w:r>
      <w:r>
        <w:rPr>
          <w:w w:val="105"/>
          <w:sz w:val="13"/>
        </w:rPr>
        <w:t> credit exposures</w:t>
      </w:r>
      <w:r>
        <w:rPr>
          <w:w w:val="105"/>
          <w:sz w:val="13"/>
        </w:rPr>
        <w:t> for which there has</w:t>
      </w:r>
      <w:r>
        <w:rPr>
          <w:w w:val="105"/>
          <w:sz w:val="13"/>
        </w:rPr>
        <w:t> not been a significant</w:t>
      </w:r>
      <w:r>
        <w:rPr>
          <w:w w:val="105"/>
          <w:sz w:val="13"/>
        </w:rPr>
        <w:t> increase in credit risk</w:t>
      </w:r>
      <w:r>
        <w:rPr>
          <w:w w:val="105"/>
          <w:sz w:val="13"/>
        </w:rPr>
        <w:t> since initial</w:t>
      </w:r>
      <w:r>
        <w:rPr>
          <w:spacing w:val="40"/>
          <w:w w:val="105"/>
          <w:sz w:val="13"/>
        </w:rPr>
        <w:t> </w:t>
      </w:r>
      <w:r>
        <w:rPr>
          <w:w w:val="105"/>
          <w:sz w:val="13"/>
        </w:rPr>
        <w:t>recognition, ECLs are provided for credit losses that result from default events that are possible within the next 12-months (a 12-month</w:t>
      </w:r>
      <w:r>
        <w:rPr>
          <w:spacing w:val="40"/>
          <w:w w:val="105"/>
          <w:sz w:val="13"/>
        </w:rPr>
        <w:t> </w:t>
      </w:r>
      <w:r>
        <w:rPr>
          <w:w w:val="105"/>
          <w:sz w:val="13"/>
        </w:rPr>
        <w:t>ECL). For those credit exposures for which there has been a significant increase in credit risk since initial recognition, a loss allowance is</w:t>
      </w:r>
      <w:r>
        <w:rPr>
          <w:spacing w:val="40"/>
          <w:w w:val="105"/>
          <w:sz w:val="13"/>
        </w:rPr>
        <w:t> </w:t>
      </w:r>
      <w:r>
        <w:rPr>
          <w:w w:val="105"/>
          <w:sz w:val="13"/>
        </w:rPr>
        <w:t>required</w:t>
      </w:r>
      <w:r>
        <w:rPr>
          <w:spacing w:val="-1"/>
          <w:w w:val="105"/>
          <w:sz w:val="13"/>
        </w:rPr>
        <w:t> </w:t>
      </w:r>
      <w:r>
        <w:rPr>
          <w:w w:val="105"/>
          <w:sz w:val="13"/>
        </w:rPr>
        <w:t>for credit</w:t>
      </w:r>
      <w:r>
        <w:rPr>
          <w:spacing w:val="-1"/>
          <w:w w:val="105"/>
          <w:sz w:val="13"/>
        </w:rPr>
        <w:t> </w:t>
      </w:r>
      <w:r>
        <w:rPr>
          <w:w w:val="105"/>
          <w:sz w:val="13"/>
        </w:rPr>
        <w:t>losses expected</w:t>
      </w:r>
      <w:r>
        <w:rPr>
          <w:spacing w:val="-1"/>
          <w:w w:val="105"/>
          <w:sz w:val="13"/>
        </w:rPr>
        <w:t> </w:t>
      </w:r>
      <w:r>
        <w:rPr>
          <w:w w:val="105"/>
          <w:sz w:val="13"/>
        </w:rPr>
        <w:t>over the</w:t>
      </w:r>
      <w:r>
        <w:rPr>
          <w:spacing w:val="-1"/>
          <w:w w:val="105"/>
          <w:sz w:val="13"/>
        </w:rPr>
        <w:t> </w:t>
      </w:r>
      <w:r>
        <w:rPr>
          <w:w w:val="105"/>
          <w:sz w:val="13"/>
        </w:rPr>
        <w:t>remaining</w:t>
      </w:r>
      <w:r>
        <w:rPr>
          <w:spacing w:val="-1"/>
          <w:w w:val="105"/>
          <w:sz w:val="13"/>
        </w:rPr>
        <w:t> </w:t>
      </w:r>
      <w:r>
        <w:rPr>
          <w:w w:val="105"/>
          <w:sz w:val="13"/>
        </w:rPr>
        <w:t>life</w:t>
      </w:r>
      <w:r>
        <w:rPr>
          <w:spacing w:val="-1"/>
          <w:w w:val="105"/>
          <w:sz w:val="13"/>
        </w:rPr>
        <w:t> </w:t>
      </w:r>
      <w:r>
        <w:rPr>
          <w:w w:val="105"/>
          <w:sz w:val="13"/>
        </w:rPr>
        <w:t>of the</w:t>
      </w:r>
      <w:r>
        <w:rPr>
          <w:spacing w:val="-1"/>
          <w:w w:val="105"/>
          <w:sz w:val="13"/>
        </w:rPr>
        <w:t> </w:t>
      </w:r>
      <w:r>
        <w:rPr>
          <w:w w:val="105"/>
          <w:sz w:val="13"/>
        </w:rPr>
        <w:t>exposure,</w:t>
      </w:r>
      <w:r>
        <w:rPr>
          <w:spacing w:val="-1"/>
          <w:w w:val="105"/>
          <w:sz w:val="13"/>
        </w:rPr>
        <w:t> </w:t>
      </w:r>
      <w:r>
        <w:rPr>
          <w:w w:val="105"/>
          <w:sz w:val="13"/>
        </w:rPr>
        <w:t>irrespective</w:t>
      </w:r>
      <w:r>
        <w:rPr>
          <w:spacing w:val="-1"/>
          <w:w w:val="105"/>
          <w:sz w:val="13"/>
        </w:rPr>
        <w:t> </w:t>
      </w:r>
      <w:r>
        <w:rPr>
          <w:w w:val="105"/>
          <w:sz w:val="13"/>
        </w:rPr>
        <w:t>of the</w:t>
      </w:r>
      <w:r>
        <w:rPr>
          <w:spacing w:val="-1"/>
          <w:w w:val="105"/>
          <w:sz w:val="13"/>
        </w:rPr>
        <w:t> </w:t>
      </w:r>
      <w:r>
        <w:rPr>
          <w:w w:val="105"/>
          <w:sz w:val="13"/>
        </w:rPr>
        <w:t>timing</w:t>
      </w:r>
      <w:r>
        <w:rPr>
          <w:spacing w:val="-1"/>
          <w:w w:val="105"/>
          <w:sz w:val="13"/>
        </w:rPr>
        <w:t> </w:t>
      </w:r>
      <w:r>
        <w:rPr>
          <w:w w:val="105"/>
          <w:sz w:val="13"/>
        </w:rPr>
        <w:t>of the</w:t>
      </w:r>
      <w:r>
        <w:rPr>
          <w:spacing w:val="-1"/>
          <w:w w:val="105"/>
          <w:sz w:val="13"/>
        </w:rPr>
        <w:t> </w:t>
      </w:r>
      <w:r>
        <w:rPr>
          <w:w w:val="105"/>
          <w:sz w:val="13"/>
        </w:rPr>
        <w:t>default</w:t>
      </w:r>
      <w:r>
        <w:rPr>
          <w:spacing w:val="-1"/>
          <w:w w:val="105"/>
          <w:sz w:val="13"/>
        </w:rPr>
        <w:t> </w:t>
      </w:r>
      <w:r>
        <w:rPr>
          <w:w w:val="105"/>
          <w:sz w:val="13"/>
        </w:rPr>
        <w:t>(a</w:t>
      </w:r>
      <w:r>
        <w:rPr>
          <w:spacing w:val="-1"/>
          <w:w w:val="105"/>
          <w:sz w:val="13"/>
        </w:rPr>
        <w:t> </w:t>
      </w:r>
      <w:r>
        <w:rPr>
          <w:w w:val="105"/>
          <w:sz w:val="13"/>
        </w:rPr>
        <w:t>lifetime</w:t>
      </w:r>
      <w:r>
        <w:rPr>
          <w:spacing w:val="-1"/>
          <w:w w:val="105"/>
          <w:sz w:val="13"/>
        </w:rPr>
        <w:t> </w:t>
      </w:r>
      <w:r>
        <w:rPr>
          <w:w w:val="105"/>
          <w:sz w:val="13"/>
        </w:rPr>
        <w:t>ECL).</w:t>
      </w:r>
    </w:p>
    <w:p>
      <w:pPr>
        <w:spacing w:line="240" w:lineRule="auto" w:before="0"/>
        <w:rPr>
          <w:sz w:val="13"/>
        </w:rPr>
      </w:pPr>
    </w:p>
    <w:p>
      <w:pPr>
        <w:spacing w:line="240" w:lineRule="auto" w:before="58"/>
        <w:rPr>
          <w:sz w:val="13"/>
        </w:rPr>
      </w:pPr>
    </w:p>
    <w:p>
      <w:pPr>
        <w:spacing w:line="273" w:lineRule="auto" w:before="0"/>
        <w:ind w:left="746" w:right="303" w:firstLine="0"/>
        <w:jc w:val="both"/>
        <w:rPr>
          <w:sz w:val="13"/>
        </w:rPr>
      </w:pPr>
      <w:r>
        <w:rPr>
          <w:w w:val="105"/>
          <w:sz w:val="13"/>
        </w:rPr>
        <w:t>The Group considers a financial asset in default when contractual payments are 90 days past due. However, in certain cases, the Group</w:t>
      </w:r>
      <w:r>
        <w:rPr>
          <w:spacing w:val="40"/>
          <w:w w:val="105"/>
          <w:sz w:val="13"/>
        </w:rPr>
        <w:t> </w:t>
      </w:r>
      <w:r>
        <w:rPr>
          <w:w w:val="105"/>
          <w:sz w:val="13"/>
        </w:rPr>
        <w:t>may</w:t>
      </w:r>
      <w:r>
        <w:rPr>
          <w:spacing w:val="-3"/>
          <w:w w:val="105"/>
          <w:sz w:val="13"/>
        </w:rPr>
        <w:t> </w:t>
      </w:r>
      <w:r>
        <w:rPr>
          <w:w w:val="105"/>
          <w:sz w:val="13"/>
        </w:rPr>
        <w:t>also consider a financial</w:t>
      </w:r>
      <w:r>
        <w:rPr>
          <w:spacing w:val="-1"/>
          <w:w w:val="105"/>
          <w:sz w:val="13"/>
        </w:rPr>
        <w:t> </w:t>
      </w:r>
      <w:r>
        <w:rPr>
          <w:w w:val="105"/>
          <w:sz w:val="13"/>
        </w:rPr>
        <w:t>asset to</w:t>
      </w:r>
      <w:r>
        <w:rPr>
          <w:spacing w:val="-2"/>
          <w:w w:val="105"/>
          <w:sz w:val="13"/>
        </w:rPr>
        <w:t> </w:t>
      </w:r>
      <w:r>
        <w:rPr>
          <w:w w:val="105"/>
          <w:sz w:val="13"/>
        </w:rPr>
        <w:t>be in</w:t>
      </w:r>
      <w:r>
        <w:rPr>
          <w:spacing w:val="-2"/>
          <w:w w:val="105"/>
          <w:sz w:val="13"/>
        </w:rPr>
        <w:t> </w:t>
      </w:r>
      <w:r>
        <w:rPr>
          <w:w w:val="105"/>
          <w:sz w:val="13"/>
        </w:rPr>
        <w:t>default when</w:t>
      </w:r>
      <w:r>
        <w:rPr>
          <w:spacing w:val="-2"/>
          <w:w w:val="105"/>
          <w:sz w:val="13"/>
        </w:rPr>
        <w:t> </w:t>
      </w:r>
      <w:r>
        <w:rPr>
          <w:w w:val="105"/>
          <w:sz w:val="13"/>
        </w:rPr>
        <w:t>internal or external information</w:t>
      </w:r>
      <w:r>
        <w:rPr>
          <w:spacing w:val="-2"/>
          <w:w w:val="105"/>
          <w:sz w:val="13"/>
        </w:rPr>
        <w:t> </w:t>
      </w:r>
      <w:r>
        <w:rPr>
          <w:w w:val="105"/>
          <w:sz w:val="13"/>
        </w:rPr>
        <w:t>indicates that</w:t>
      </w:r>
      <w:r>
        <w:rPr>
          <w:spacing w:val="-1"/>
          <w:w w:val="105"/>
          <w:sz w:val="13"/>
        </w:rPr>
        <w:t> </w:t>
      </w:r>
      <w:r>
        <w:rPr>
          <w:w w:val="105"/>
          <w:sz w:val="13"/>
        </w:rPr>
        <w:t>the Group</w:t>
      </w:r>
      <w:r>
        <w:rPr>
          <w:spacing w:val="-2"/>
          <w:w w:val="105"/>
          <w:sz w:val="13"/>
        </w:rPr>
        <w:t> </w:t>
      </w:r>
      <w:r>
        <w:rPr>
          <w:w w:val="105"/>
          <w:sz w:val="13"/>
        </w:rPr>
        <w:t>is unlikely</w:t>
      </w:r>
      <w:r>
        <w:rPr>
          <w:spacing w:val="-5"/>
          <w:w w:val="105"/>
          <w:sz w:val="13"/>
        </w:rPr>
        <w:t> </w:t>
      </w:r>
      <w:r>
        <w:rPr>
          <w:w w:val="105"/>
          <w:sz w:val="13"/>
        </w:rPr>
        <w:t>to receive</w:t>
      </w:r>
      <w:r>
        <w:rPr>
          <w:spacing w:val="-2"/>
          <w:w w:val="105"/>
          <w:sz w:val="13"/>
        </w:rPr>
        <w:t> </w:t>
      </w:r>
      <w:r>
        <w:rPr>
          <w:w w:val="105"/>
          <w:sz w:val="13"/>
        </w:rPr>
        <w:t>the</w:t>
      </w:r>
      <w:r>
        <w:rPr>
          <w:spacing w:val="40"/>
          <w:w w:val="105"/>
          <w:sz w:val="13"/>
        </w:rPr>
        <w:t> </w:t>
      </w:r>
      <w:r>
        <w:rPr>
          <w:w w:val="105"/>
          <w:sz w:val="13"/>
        </w:rPr>
        <w:t>outstanding</w:t>
      </w:r>
      <w:r>
        <w:rPr>
          <w:spacing w:val="-1"/>
          <w:w w:val="105"/>
          <w:sz w:val="13"/>
        </w:rPr>
        <w:t> </w:t>
      </w:r>
      <w:r>
        <w:rPr>
          <w:w w:val="105"/>
          <w:sz w:val="13"/>
        </w:rPr>
        <w:t>contractual amounts in</w:t>
      </w:r>
      <w:r>
        <w:rPr>
          <w:spacing w:val="-1"/>
          <w:w w:val="105"/>
          <w:sz w:val="13"/>
        </w:rPr>
        <w:t> </w:t>
      </w:r>
      <w:r>
        <w:rPr>
          <w:w w:val="105"/>
          <w:sz w:val="13"/>
        </w:rPr>
        <w:t>full before</w:t>
      </w:r>
      <w:r>
        <w:rPr>
          <w:spacing w:val="-1"/>
          <w:w w:val="105"/>
          <w:sz w:val="13"/>
        </w:rPr>
        <w:t> </w:t>
      </w:r>
      <w:r>
        <w:rPr>
          <w:w w:val="105"/>
          <w:sz w:val="13"/>
        </w:rPr>
        <w:t>taking</w:t>
      </w:r>
      <w:r>
        <w:rPr>
          <w:spacing w:val="-1"/>
          <w:w w:val="105"/>
          <w:sz w:val="13"/>
        </w:rPr>
        <w:t> </w:t>
      </w:r>
      <w:r>
        <w:rPr>
          <w:w w:val="105"/>
          <w:sz w:val="13"/>
        </w:rPr>
        <w:t>into</w:t>
      </w:r>
      <w:r>
        <w:rPr>
          <w:spacing w:val="-1"/>
          <w:w w:val="105"/>
          <w:sz w:val="13"/>
        </w:rPr>
        <w:t> </w:t>
      </w:r>
      <w:r>
        <w:rPr>
          <w:w w:val="105"/>
          <w:sz w:val="13"/>
        </w:rPr>
        <w:t>account any</w:t>
      </w:r>
      <w:r>
        <w:rPr>
          <w:spacing w:val="-4"/>
          <w:w w:val="105"/>
          <w:sz w:val="13"/>
        </w:rPr>
        <w:t> </w:t>
      </w:r>
      <w:r>
        <w:rPr>
          <w:w w:val="105"/>
          <w:sz w:val="13"/>
        </w:rPr>
        <w:t>credit enhancements held</w:t>
      </w:r>
      <w:r>
        <w:rPr>
          <w:spacing w:val="-1"/>
          <w:w w:val="105"/>
          <w:sz w:val="13"/>
        </w:rPr>
        <w:t> </w:t>
      </w:r>
      <w:r>
        <w:rPr>
          <w:w w:val="105"/>
          <w:sz w:val="13"/>
        </w:rPr>
        <w:t>by</w:t>
      </w:r>
      <w:r>
        <w:rPr>
          <w:spacing w:val="-4"/>
          <w:w w:val="105"/>
          <w:sz w:val="13"/>
        </w:rPr>
        <w:t> </w:t>
      </w:r>
      <w:r>
        <w:rPr>
          <w:w w:val="105"/>
          <w:sz w:val="13"/>
        </w:rPr>
        <w:t>the</w:t>
      </w:r>
      <w:r>
        <w:rPr>
          <w:spacing w:val="-1"/>
          <w:w w:val="105"/>
          <w:sz w:val="13"/>
        </w:rPr>
        <w:t> </w:t>
      </w:r>
      <w:r>
        <w:rPr>
          <w:w w:val="105"/>
          <w:sz w:val="13"/>
        </w:rPr>
        <w:t>Group.</w:t>
      </w:r>
      <w:r>
        <w:rPr>
          <w:spacing w:val="-1"/>
          <w:w w:val="105"/>
          <w:sz w:val="13"/>
        </w:rPr>
        <w:t> </w:t>
      </w:r>
      <w:r>
        <w:rPr>
          <w:w w:val="105"/>
          <w:sz w:val="13"/>
        </w:rPr>
        <w:t>A financial asset is written</w:t>
      </w:r>
      <w:r>
        <w:rPr>
          <w:spacing w:val="40"/>
          <w:w w:val="105"/>
          <w:sz w:val="13"/>
        </w:rPr>
        <w:t> </w:t>
      </w:r>
      <w:r>
        <w:rPr>
          <w:w w:val="105"/>
          <w:sz w:val="13"/>
        </w:rPr>
        <w:t>off when there is no reasonable expectation of recovering the contractual cash flows.</w:t>
      </w:r>
    </w:p>
    <w:p>
      <w:pPr>
        <w:spacing w:line="240" w:lineRule="auto" w:before="0"/>
        <w:rPr>
          <w:sz w:val="15"/>
        </w:rPr>
      </w:pPr>
      <w:r>
        <w:rPr/>
        <mc:AlternateContent>
          <mc:Choice Requires="wps">
            <w:drawing>
              <wp:anchor distT="0" distB="0" distL="0" distR="0" allowOverlap="1" layoutInCell="1" locked="0" behindDoc="1" simplePos="0" relativeHeight="487757824">
                <wp:simplePos x="0" y="0"/>
                <wp:positionH relativeFrom="page">
                  <wp:posOffset>720001</wp:posOffset>
                </wp:positionH>
                <wp:positionV relativeFrom="paragraph">
                  <wp:posOffset>125226</wp:posOffset>
                </wp:positionV>
                <wp:extent cx="5684520" cy="17145"/>
                <wp:effectExtent l="0" t="0" r="0" b="0"/>
                <wp:wrapTopAndBottom/>
                <wp:docPr id="948" name="Graphic 948"/>
                <wp:cNvGraphicFramePr>
                  <a:graphicFrameLocks/>
                </wp:cNvGraphicFramePr>
                <a:graphic>
                  <a:graphicData uri="http://schemas.microsoft.com/office/word/2010/wordprocessingShape">
                    <wps:wsp>
                      <wps:cNvPr id="948" name="Graphic 948"/>
                      <wps:cNvSpPr/>
                      <wps:spPr>
                        <a:xfrm>
                          <a:off x="0" y="0"/>
                          <a:ext cx="5684520" cy="17145"/>
                        </a:xfrm>
                        <a:custGeom>
                          <a:avLst/>
                          <a:gdLst/>
                          <a:ahLst/>
                          <a:cxnLst/>
                          <a:rect l="l" t="t" r="r" b="b"/>
                          <a:pathLst>
                            <a:path w="5684520" h="17145">
                              <a:moveTo>
                                <a:pt x="5684139" y="0"/>
                              </a:moveTo>
                              <a:lnTo>
                                <a:pt x="0" y="0"/>
                              </a:lnTo>
                              <a:lnTo>
                                <a:pt x="0" y="16802"/>
                              </a:lnTo>
                              <a:lnTo>
                                <a:pt x="5684139" y="16802"/>
                              </a:lnTo>
                              <a:lnTo>
                                <a:pt x="5684139"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6.693001pt;margin-top:9.860318pt;width:447.57pt;height:1.323pt;mso-position-horizontal-relative:page;mso-position-vertical-relative:paragraph;z-index:-15558656;mso-wrap-distance-left:0;mso-wrap-distance-right:0" id="docshape641" filled="true" fillcolor="#4f81bd" stroked="false">
                <v:fill type="solid"/>
                <w10:wrap type="topAndBottom"/>
              </v:rect>
            </w:pict>
          </mc:Fallback>
        </mc:AlternateContent>
      </w:r>
    </w:p>
    <w:p>
      <w:pPr>
        <w:spacing w:line="240" w:lineRule="auto" w:before="2"/>
        <w:rPr>
          <w:sz w:val="7"/>
        </w:rPr>
      </w:pPr>
    </w:p>
    <w:p>
      <w:pPr>
        <w:spacing w:after="0" w:line="240" w:lineRule="auto"/>
        <w:rPr>
          <w:sz w:val="7"/>
        </w:rPr>
        <w:sectPr>
          <w:pgSz w:w="11910" w:h="16840"/>
          <w:pgMar w:header="468" w:footer="0" w:top="1580" w:bottom="280" w:left="1020" w:right="1540"/>
        </w:sectPr>
      </w:pPr>
    </w:p>
    <w:p>
      <w:pPr>
        <w:pStyle w:val="ListParagraph"/>
        <w:numPr>
          <w:ilvl w:val="1"/>
          <w:numId w:val="13"/>
        </w:numPr>
        <w:tabs>
          <w:tab w:pos="751" w:val="left" w:leader="none"/>
        </w:tabs>
        <w:spacing w:line="240" w:lineRule="auto" w:before="98" w:after="0"/>
        <w:ind w:left="751" w:right="0" w:hanging="607"/>
        <w:jc w:val="left"/>
        <w:rPr>
          <w:b/>
          <w:color w:val="0070C0"/>
          <w:sz w:val="16"/>
        </w:rPr>
      </w:pPr>
      <w:r>
        <w:rPr>
          <w:b/>
          <w:color w:val="0070C0"/>
          <w:spacing w:val="-2"/>
          <w:sz w:val="16"/>
        </w:rPr>
        <w:t>Borrowings</w:t>
      </w:r>
    </w:p>
    <w:p>
      <w:pPr>
        <w:spacing w:line="240" w:lineRule="auto" w:before="0"/>
        <w:rPr>
          <w:b/>
          <w:sz w:val="13"/>
        </w:rPr>
      </w:pPr>
      <w:r>
        <w:rPr/>
        <w:br w:type="column"/>
      </w:r>
      <w:r>
        <w:rPr>
          <w:b/>
          <w:sz w:val="13"/>
        </w:rPr>
      </w:r>
    </w:p>
    <w:p>
      <w:pPr>
        <w:spacing w:line="240" w:lineRule="auto" w:before="6"/>
        <w:rPr>
          <w:b/>
          <w:sz w:val="13"/>
        </w:rPr>
      </w:pPr>
    </w:p>
    <w:p>
      <w:pPr>
        <w:tabs>
          <w:tab w:pos="2078" w:val="left" w:leader="none"/>
        </w:tabs>
        <w:spacing w:before="0"/>
        <w:ind w:left="144" w:right="0" w:firstLine="0"/>
        <w:jc w:val="left"/>
        <w:rPr>
          <w:b/>
          <w:sz w:val="13"/>
        </w:rPr>
      </w:pPr>
      <w:r>
        <w:rPr>
          <w:b/>
          <w:spacing w:val="-2"/>
          <w:w w:val="105"/>
          <w:sz w:val="13"/>
        </w:rPr>
        <w:t>Consolidated</w:t>
      </w:r>
      <w:r>
        <w:rPr>
          <w:b/>
          <w:sz w:val="13"/>
        </w:rPr>
        <w:tab/>
      </w:r>
      <w:r>
        <w:rPr>
          <w:b/>
          <w:spacing w:val="-2"/>
          <w:w w:val="105"/>
          <w:sz w:val="13"/>
        </w:rPr>
        <w:t>University</w:t>
      </w:r>
    </w:p>
    <w:p>
      <w:pPr>
        <w:spacing w:after="0"/>
        <w:jc w:val="left"/>
        <w:rPr>
          <w:sz w:val="13"/>
        </w:rPr>
        <w:sectPr>
          <w:type w:val="continuous"/>
          <w:pgSz w:w="11910" w:h="16840"/>
          <w:pgMar w:header="468" w:footer="0" w:top="980" w:bottom="280" w:left="1020" w:right="1540"/>
          <w:cols w:num="2" w:equalWidth="0">
            <w:col w:w="1702" w:space="4045"/>
            <w:col w:w="3603"/>
          </w:cols>
        </w:sectPr>
      </w:pPr>
    </w:p>
    <w:tbl>
      <w:tblPr>
        <w:tblW w:w="0" w:type="auto"/>
        <w:jc w:val="left"/>
        <w:tblInd w:w="7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690"/>
        <w:gridCol w:w="1028"/>
        <w:gridCol w:w="916"/>
        <w:gridCol w:w="916"/>
        <w:gridCol w:w="806"/>
      </w:tblGrid>
      <w:tr>
        <w:trPr>
          <w:trHeight w:val="358" w:hRule="atLeast"/>
        </w:trPr>
        <w:tc>
          <w:tcPr>
            <w:tcW w:w="4690" w:type="dxa"/>
          </w:tcPr>
          <w:p>
            <w:pPr>
              <w:pStyle w:val="TableParagraph"/>
              <w:rPr>
                <w:rFonts w:ascii="Times New Roman"/>
                <w:sz w:val="12"/>
              </w:rPr>
            </w:pPr>
          </w:p>
        </w:tc>
        <w:tc>
          <w:tcPr>
            <w:tcW w:w="1028" w:type="dxa"/>
            <w:tcBorders>
              <w:bottom w:val="single" w:sz="6" w:space="0" w:color="000000"/>
            </w:tcBorders>
          </w:tcPr>
          <w:p>
            <w:pPr>
              <w:pStyle w:val="TableParagraph"/>
              <w:spacing w:before="18"/>
              <w:ind w:left="313"/>
              <w:rPr>
                <w:b/>
                <w:sz w:val="13"/>
              </w:rPr>
            </w:pPr>
            <w:r>
              <w:rPr>
                <w:b/>
                <w:spacing w:val="-4"/>
                <w:w w:val="105"/>
                <w:sz w:val="13"/>
              </w:rPr>
              <w:t>2020</w:t>
            </w:r>
          </w:p>
          <w:p>
            <w:pPr>
              <w:pStyle w:val="TableParagraph"/>
              <w:spacing w:before="18"/>
              <w:ind w:left="297"/>
              <w:rPr>
                <w:b/>
                <w:sz w:val="13"/>
              </w:rPr>
            </w:pPr>
            <w:r>
              <w:rPr>
                <w:b/>
                <w:spacing w:val="-2"/>
                <w:w w:val="105"/>
                <w:sz w:val="13"/>
              </w:rPr>
              <w:t>$'000</w:t>
            </w:r>
          </w:p>
        </w:tc>
        <w:tc>
          <w:tcPr>
            <w:tcW w:w="916" w:type="dxa"/>
            <w:tcBorders>
              <w:bottom w:val="single" w:sz="6" w:space="0" w:color="000000"/>
            </w:tcBorders>
          </w:tcPr>
          <w:p>
            <w:pPr>
              <w:pStyle w:val="TableParagraph"/>
              <w:spacing w:before="18"/>
              <w:ind w:left="200"/>
              <w:rPr>
                <w:b/>
                <w:sz w:val="13"/>
              </w:rPr>
            </w:pPr>
            <w:r>
              <w:rPr>
                <w:b/>
                <w:spacing w:val="-4"/>
                <w:w w:val="105"/>
                <w:sz w:val="13"/>
              </w:rPr>
              <w:t>2019</w:t>
            </w:r>
          </w:p>
          <w:p>
            <w:pPr>
              <w:pStyle w:val="TableParagraph"/>
              <w:spacing w:before="18"/>
              <w:ind w:left="184"/>
              <w:rPr>
                <w:b/>
                <w:sz w:val="13"/>
              </w:rPr>
            </w:pPr>
            <w:r>
              <w:rPr>
                <w:b/>
                <w:spacing w:val="-2"/>
                <w:w w:val="105"/>
                <w:sz w:val="13"/>
              </w:rPr>
              <w:t>$'000</w:t>
            </w:r>
          </w:p>
        </w:tc>
        <w:tc>
          <w:tcPr>
            <w:tcW w:w="916" w:type="dxa"/>
            <w:tcBorders>
              <w:bottom w:val="single" w:sz="6" w:space="0" w:color="000000"/>
            </w:tcBorders>
          </w:tcPr>
          <w:p>
            <w:pPr>
              <w:pStyle w:val="TableParagraph"/>
              <w:spacing w:before="18"/>
              <w:ind w:left="199"/>
              <w:rPr>
                <w:b/>
                <w:sz w:val="13"/>
              </w:rPr>
            </w:pPr>
            <w:r>
              <w:rPr>
                <w:b/>
                <w:spacing w:val="-4"/>
                <w:w w:val="105"/>
                <w:sz w:val="13"/>
              </w:rPr>
              <w:t>2020</w:t>
            </w:r>
          </w:p>
          <w:p>
            <w:pPr>
              <w:pStyle w:val="TableParagraph"/>
              <w:spacing w:before="18"/>
              <w:ind w:left="184"/>
              <w:rPr>
                <w:b/>
                <w:sz w:val="13"/>
              </w:rPr>
            </w:pPr>
            <w:r>
              <w:rPr>
                <w:b/>
                <w:spacing w:val="-2"/>
                <w:w w:val="105"/>
                <w:sz w:val="13"/>
              </w:rPr>
              <w:t>$'000</w:t>
            </w:r>
          </w:p>
        </w:tc>
        <w:tc>
          <w:tcPr>
            <w:tcW w:w="806" w:type="dxa"/>
            <w:tcBorders>
              <w:bottom w:val="single" w:sz="6" w:space="0" w:color="000000"/>
            </w:tcBorders>
          </w:tcPr>
          <w:p>
            <w:pPr>
              <w:pStyle w:val="TableParagraph"/>
              <w:spacing w:before="18"/>
              <w:ind w:left="198"/>
              <w:rPr>
                <w:b/>
                <w:sz w:val="13"/>
              </w:rPr>
            </w:pPr>
            <w:r>
              <w:rPr>
                <w:b/>
                <w:spacing w:val="-4"/>
                <w:w w:val="105"/>
                <w:sz w:val="13"/>
              </w:rPr>
              <w:t>2019</w:t>
            </w:r>
          </w:p>
          <w:p>
            <w:pPr>
              <w:pStyle w:val="TableParagraph"/>
              <w:spacing w:before="18"/>
              <w:ind w:left="183"/>
              <w:rPr>
                <w:b/>
                <w:sz w:val="13"/>
              </w:rPr>
            </w:pPr>
            <w:r>
              <w:rPr>
                <w:b/>
                <w:spacing w:val="-2"/>
                <w:w w:val="105"/>
                <w:sz w:val="13"/>
              </w:rPr>
              <w:t>$'000</w:t>
            </w:r>
          </w:p>
        </w:tc>
      </w:tr>
      <w:tr>
        <w:trPr>
          <w:trHeight w:val="322" w:hRule="atLeast"/>
        </w:trPr>
        <w:tc>
          <w:tcPr>
            <w:tcW w:w="4690" w:type="dxa"/>
          </w:tcPr>
          <w:p>
            <w:pPr>
              <w:pStyle w:val="TableParagraph"/>
              <w:spacing w:line="130" w:lineRule="exact"/>
              <w:ind w:left="34"/>
              <w:rPr>
                <w:b/>
                <w:sz w:val="13"/>
              </w:rPr>
            </w:pPr>
            <w:r>
              <w:rPr>
                <w:b/>
                <w:spacing w:val="-2"/>
                <w:w w:val="105"/>
                <w:sz w:val="13"/>
              </w:rPr>
              <w:t>Current</w:t>
            </w:r>
          </w:p>
          <w:p>
            <w:pPr>
              <w:pStyle w:val="TableParagraph"/>
              <w:spacing w:before="13"/>
              <w:ind w:left="34"/>
              <w:rPr>
                <w:sz w:val="13"/>
              </w:rPr>
            </w:pPr>
            <w:r>
              <w:rPr>
                <w:w w:val="105"/>
                <w:sz w:val="13"/>
              </w:rPr>
              <w:t>Western</w:t>
            </w:r>
            <w:r>
              <w:rPr>
                <w:spacing w:val="-6"/>
                <w:w w:val="105"/>
                <w:sz w:val="13"/>
              </w:rPr>
              <w:t> </w:t>
            </w:r>
            <w:r>
              <w:rPr>
                <w:w w:val="105"/>
                <w:sz w:val="13"/>
              </w:rPr>
              <w:t>Australian</w:t>
            </w:r>
            <w:r>
              <w:rPr>
                <w:spacing w:val="-6"/>
                <w:w w:val="105"/>
                <w:sz w:val="13"/>
              </w:rPr>
              <w:t> </w:t>
            </w:r>
            <w:r>
              <w:rPr>
                <w:w w:val="105"/>
                <w:sz w:val="13"/>
              </w:rPr>
              <w:t>Treasury</w:t>
            </w:r>
            <w:r>
              <w:rPr>
                <w:spacing w:val="-10"/>
                <w:w w:val="105"/>
                <w:sz w:val="13"/>
              </w:rPr>
              <w:t> </w:t>
            </w:r>
            <w:r>
              <w:rPr>
                <w:spacing w:val="-2"/>
                <w:w w:val="105"/>
                <w:sz w:val="13"/>
              </w:rPr>
              <w:t>Corporation</w:t>
            </w:r>
          </w:p>
        </w:tc>
        <w:tc>
          <w:tcPr>
            <w:tcW w:w="1028" w:type="dxa"/>
            <w:tcBorders>
              <w:top w:val="single" w:sz="6" w:space="0" w:color="000000"/>
            </w:tcBorders>
          </w:tcPr>
          <w:p>
            <w:pPr>
              <w:pStyle w:val="TableParagraph"/>
              <w:spacing w:before="148"/>
              <w:ind w:right="183"/>
              <w:jc w:val="right"/>
              <w:rPr>
                <w:sz w:val="13"/>
              </w:rPr>
            </w:pPr>
            <w:r>
              <w:rPr>
                <w:spacing w:val="-2"/>
                <w:w w:val="105"/>
                <w:sz w:val="13"/>
              </w:rPr>
              <w:t>5,655</w:t>
            </w:r>
          </w:p>
        </w:tc>
        <w:tc>
          <w:tcPr>
            <w:tcW w:w="916" w:type="dxa"/>
            <w:tcBorders>
              <w:top w:val="single" w:sz="6" w:space="0" w:color="000000"/>
            </w:tcBorders>
          </w:tcPr>
          <w:p>
            <w:pPr>
              <w:pStyle w:val="TableParagraph"/>
              <w:spacing w:before="148"/>
              <w:ind w:right="184"/>
              <w:jc w:val="right"/>
              <w:rPr>
                <w:sz w:val="13"/>
              </w:rPr>
            </w:pPr>
            <w:r>
              <w:rPr>
                <w:spacing w:val="-2"/>
                <w:w w:val="105"/>
                <w:sz w:val="13"/>
              </w:rPr>
              <w:t>3,420</w:t>
            </w:r>
          </w:p>
        </w:tc>
        <w:tc>
          <w:tcPr>
            <w:tcW w:w="916" w:type="dxa"/>
            <w:tcBorders>
              <w:top w:val="single" w:sz="6" w:space="0" w:color="000000"/>
            </w:tcBorders>
          </w:tcPr>
          <w:p>
            <w:pPr>
              <w:pStyle w:val="TableParagraph"/>
              <w:spacing w:before="148"/>
              <w:ind w:right="185"/>
              <w:jc w:val="right"/>
              <w:rPr>
                <w:sz w:val="13"/>
              </w:rPr>
            </w:pPr>
            <w:r>
              <w:rPr>
                <w:spacing w:val="-2"/>
                <w:w w:val="105"/>
                <w:sz w:val="13"/>
              </w:rPr>
              <w:t>5,655</w:t>
            </w:r>
          </w:p>
        </w:tc>
        <w:tc>
          <w:tcPr>
            <w:tcW w:w="806" w:type="dxa"/>
            <w:tcBorders>
              <w:top w:val="single" w:sz="6" w:space="0" w:color="000000"/>
            </w:tcBorders>
          </w:tcPr>
          <w:p>
            <w:pPr>
              <w:pStyle w:val="TableParagraph"/>
              <w:spacing w:before="148"/>
              <w:ind w:right="76"/>
              <w:jc w:val="right"/>
              <w:rPr>
                <w:sz w:val="13"/>
              </w:rPr>
            </w:pPr>
            <w:r>
              <w:rPr>
                <w:spacing w:val="-2"/>
                <w:w w:val="105"/>
                <w:sz w:val="13"/>
              </w:rPr>
              <w:t>3,419</w:t>
            </w:r>
          </w:p>
        </w:tc>
      </w:tr>
      <w:tr>
        <w:trPr>
          <w:trHeight w:val="165" w:hRule="atLeast"/>
        </w:trPr>
        <w:tc>
          <w:tcPr>
            <w:tcW w:w="4690" w:type="dxa"/>
          </w:tcPr>
          <w:p>
            <w:pPr>
              <w:pStyle w:val="TableParagraph"/>
              <w:spacing w:line="138" w:lineRule="exact"/>
              <w:ind w:left="34"/>
              <w:rPr>
                <w:sz w:val="13"/>
              </w:rPr>
            </w:pPr>
            <w:r>
              <w:rPr>
                <w:w w:val="105"/>
                <w:sz w:val="13"/>
              </w:rPr>
              <w:t>Lease</w:t>
            </w:r>
            <w:r>
              <w:rPr>
                <w:spacing w:val="-8"/>
                <w:w w:val="105"/>
                <w:sz w:val="13"/>
              </w:rPr>
              <w:t> </w:t>
            </w:r>
            <w:r>
              <w:rPr>
                <w:spacing w:val="-2"/>
                <w:w w:val="105"/>
                <w:sz w:val="13"/>
              </w:rPr>
              <w:t>liabilities</w:t>
            </w:r>
          </w:p>
        </w:tc>
        <w:tc>
          <w:tcPr>
            <w:tcW w:w="1028" w:type="dxa"/>
            <w:tcBorders>
              <w:bottom w:val="single" w:sz="6" w:space="0" w:color="000000"/>
            </w:tcBorders>
          </w:tcPr>
          <w:p>
            <w:pPr>
              <w:pStyle w:val="TableParagraph"/>
              <w:spacing w:line="143" w:lineRule="exact"/>
              <w:ind w:right="183"/>
              <w:jc w:val="right"/>
              <w:rPr>
                <w:sz w:val="13"/>
              </w:rPr>
            </w:pPr>
            <w:r>
              <w:rPr>
                <w:spacing w:val="-5"/>
                <w:w w:val="105"/>
                <w:sz w:val="13"/>
              </w:rPr>
              <w:t>587</w:t>
            </w:r>
          </w:p>
        </w:tc>
        <w:tc>
          <w:tcPr>
            <w:tcW w:w="916" w:type="dxa"/>
            <w:tcBorders>
              <w:bottom w:val="single" w:sz="6" w:space="0" w:color="000000"/>
            </w:tcBorders>
          </w:tcPr>
          <w:p>
            <w:pPr>
              <w:pStyle w:val="TableParagraph"/>
              <w:spacing w:line="143" w:lineRule="exact"/>
              <w:ind w:right="184"/>
              <w:jc w:val="right"/>
              <w:rPr>
                <w:sz w:val="13"/>
              </w:rPr>
            </w:pPr>
            <w:r>
              <w:rPr>
                <w:spacing w:val="-5"/>
                <w:w w:val="105"/>
                <w:sz w:val="13"/>
              </w:rPr>
              <w:t>365</w:t>
            </w:r>
          </w:p>
        </w:tc>
        <w:tc>
          <w:tcPr>
            <w:tcW w:w="916" w:type="dxa"/>
            <w:tcBorders>
              <w:bottom w:val="single" w:sz="6" w:space="0" w:color="000000"/>
            </w:tcBorders>
          </w:tcPr>
          <w:p>
            <w:pPr>
              <w:pStyle w:val="TableParagraph"/>
              <w:spacing w:line="143" w:lineRule="exact"/>
              <w:ind w:right="185"/>
              <w:jc w:val="right"/>
              <w:rPr>
                <w:sz w:val="13"/>
              </w:rPr>
            </w:pPr>
            <w:r>
              <w:rPr>
                <w:spacing w:val="-5"/>
                <w:w w:val="105"/>
                <w:sz w:val="13"/>
              </w:rPr>
              <w:t>587</w:t>
            </w:r>
          </w:p>
        </w:tc>
        <w:tc>
          <w:tcPr>
            <w:tcW w:w="806" w:type="dxa"/>
            <w:tcBorders>
              <w:bottom w:val="single" w:sz="6" w:space="0" w:color="000000"/>
            </w:tcBorders>
          </w:tcPr>
          <w:p>
            <w:pPr>
              <w:pStyle w:val="TableParagraph"/>
              <w:spacing w:line="146" w:lineRule="exact"/>
              <w:ind w:right="76"/>
              <w:jc w:val="right"/>
              <w:rPr>
                <w:sz w:val="13"/>
              </w:rPr>
            </w:pPr>
            <w:r>
              <w:rPr>
                <w:spacing w:val="-5"/>
                <w:w w:val="105"/>
                <w:sz w:val="13"/>
              </w:rPr>
              <w:t>342</w:t>
            </w:r>
          </w:p>
        </w:tc>
      </w:tr>
      <w:tr>
        <w:trPr>
          <w:trHeight w:val="152" w:hRule="atLeast"/>
        </w:trPr>
        <w:tc>
          <w:tcPr>
            <w:tcW w:w="4690" w:type="dxa"/>
          </w:tcPr>
          <w:p>
            <w:pPr>
              <w:pStyle w:val="TableParagraph"/>
              <w:spacing w:line="130" w:lineRule="exact"/>
              <w:ind w:left="34"/>
              <w:rPr>
                <w:b/>
                <w:sz w:val="13"/>
              </w:rPr>
            </w:pPr>
            <w:r>
              <w:rPr>
                <w:b/>
                <w:w w:val="105"/>
                <w:sz w:val="13"/>
              </w:rPr>
              <w:t>Total</w:t>
            </w:r>
            <w:r>
              <w:rPr>
                <w:b/>
                <w:spacing w:val="-6"/>
                <w:w w:val="105"/>
                <w:sz w:val="13"/>
              </w:rPr>
              <w:t> </w:t>
            </w:r>
            <w:r>
              <w:rPr>
                <w:b/>
                <w:w w:val="105"/>
                <w:sz w:val="13"/>
              </w:rPr>
              <w:t>current</w:t>
            </w:r>
            <w:r>
              <w:rPr>
                <w:b/>
                <w:spacing w:val="-4"/>
                <w:w w:val="105"/>
                <w:sz w:val="13"/>
              </w:rPr>
              <w:t> </w:t>
            </w:r>
            <w:r>
              <w:rPr>
                <w:b/>
                <w:spacing w:val="-2"/>
                <w:w w:val="105"/>
                <w:sz w:val="13"/>
              </w:rPr>
              <w:t>borrowings</w:t>
            </w:r>
          </w:p>
        </w:tc>
        <w:tc>
          <w:tcPr>
            <w:tcW w:w="1028" w:type="dxa"/>
            <w:tcBorders>
              <w:top w:val="single" w:sz="6" w:space="0" w:color="000000"/>
              <w:bottom w:val="single" w:sz="6" w:space="0" w:color="000000"/>
            </w:tcBorders>
          </w:tcPr>
          <w:p>
            <w:pPr>
              <w:pStyle w:val="TableParagraph"/>
              <w:spacing w:line="130" w:lineRule="exact"/>
              <w:ind w:right="183"/>
              <w:jc w:val="right"/>
              <w:rPr>
                <w:b/>
                <w:sz w:val="13"/>
              </w:rPr>
            </w:pPr>
            <w:r>
              <w:rPr>
                <w:b/>
                <w:spacing w:val="-2"/>
                <w:w w:val="105"/>
                <w:sz w:val="13"/>
              </w:rPr>
              <w:t>6,242</w:t>
            </w:r>
          </w:p>
        </w:tc>
        <w:tc>
          <w:tcPr>
            <w:tcW w:w="916" w:type="dxa"/>
            <w:tcBorders>
              <w:top w:val="single" w:sz="6" w:space="0" w:color="000000"/>
              <w:bottom w:val="single" w:sz="6" w:space="0" w:color="000000"/>
            </w:tcBorders>
          </w:tcPr>
          <w:p>
            <w:pPr>
              <w:pStyle w:val="TableParagraph"/>
              <w:spacing w:line="130" w:lineRule="exact"/>
              <w:ind w:right="184"/>
              <w:jc w:val="right"/>
              <w:rPr>
                <w:b/>
                <w:sz w:val="13"/>
              </w:rPr>
            </w:pPr>
            <w:r>
              <w:rPr>
                <w:b/>
                <w:spacing w:val="-2"/>
                <w:w w:val="105"/>
                <w:sz w:val="13"/>
              </w:rPr>
              <w:t>3,785</w:t>
            </w:r>
          </w:p>
        </w:tc>
        <w:tc>
          <w:tcPr>
            <w:tcW w:w="916" w:type="dxa"/>
            <w:tcBorders>
              <w:top w:val="single" w:sz="6" w:space="0" w:color="000000"/>
              <w:bottom w:val="single" w:sz="6" w:space="0" w:color="000000"/>
            </w:tcBorders>
          </w:tcPr>
          <w:p>
            <w:pPr>
              <w:pStyle w:val="TableParagraph"/>
              <w:spacing w:line="130" w:lineRule="exact"/>
              <w:ind w:right="185"/>
              <w:jc w:val="right"/>
              <w:rPr>
                <w:b/>
                <w:sz w:val="13"/>
              </w:rPr>
            </w:pPr>
            <w:r>
              <w:rPr>
                <w:b/>
                <w:spacing w:val="-2"/>
                <w:w w:val="105"/>
                <w:sz w:val="13"/>
              </w:rPr>
              <w:t>6,242</w:t>
            </w:r>
          </w:p>
        </w:tc>
        <w:tc>
          <w:tcPr>
            <w:tcW w:w="806" w:type="dxa"/>
            <w:tcBorders>
              <w:top w:val="single" w:sz="6" w:space="0" w:color="000000"/>
              <w:bottom w:val="single" w:sz="6" w:space="0" w:color="000000"/>
            </w:tcBorders>
          </w:tcPr>
          <w:p>
            <w:pPr>
              <w:pStyle w:val="TableParagraph"/>
              <w:spacing w:line="130" w:lineRule="exact"/>
              <w:ind w:right="76"/>
              <w:jc w:val="right"/>
              <w:rPr>
                <w:b/>
                <w:sz w:val="13"/>
              </w:rPr>
            </w:pPr>
            <w:r>
              <w:rPr>
                <w:b/>
                <w:spacing w:val="-2"/>
                <w:w w:val="105"/>
                <w:sz w:val="13"/>
              </w:rPr>
              <w:t>3,761</w:t>
            </w:r>
          </w:p>
        </w:tc>
      </w:tr>
      <w:tr>
        <w:trPr>
          <w:trHeight w:val="489" w:hRule="atLeast"/>
        </w:trPr>
        <w:tc>
          <w:tcPr>
            <w:tcW w:w="4690" w:type="dxa"/>
          </w:tcPr>
          <w:p>
            <w:pPr>
              <w:pStyle w:val="TableParagraph"/>
              <w:spacing w:before="148"/>
              <w:ind w:left="34"/>
              <w:rPr>
                <w:b/>
                <w:sz w:val="13"/>
              </w:rPr>
            </w:pPr>
            <w:r>
              <w:rPr>
                <w:b/>
                <w:w w:val="105"/>
                <w:sz w:val="13"/>
              </w:rPr>
              <w:t>Non-</w:t>
            </w:r>
            <w:r>
              <w:rPr>
                <w:b/>
                <w:spacing w:val="-2"/>
                <w:w w:val="105"/>
                <w:sz w:val="13"/>
              </w:rPr>
              <w:t>current</w:t>
            </w:r>
          </w:p>
          <w:p>
            <w:pPr>
              <w:pStyle w:val="TableParagraph"/>
              <w:spacing w:before="18"/>
              <w:ind w:left="34"/>
              <w:rPr>
                <w:sz w:val="13"/>
              </w:rPr>
            </w:pPr>
            <w:r>
              <w:rPr>
                <w:w w:val="105"/>
                <w:sz w:val="13"/>
              </w:rPr>
              <w:t>Western</w:t>
            </w:r>
            <w:r>
              <w:rPr>
                <w:spacing w:val="-6"/>
                <w:w w:val="105"/>
                <w:sz w:val="13"/>
              </w:rPr>
              <w:t> </w:t>
            </w:r>
            <w:r>
              <w:rPr>
                <w:w w:val="105"/>
                <w:sz w:val="13"/>
              </w:rPr>
              <w:t>Australian</w:t>
            </w:r>
            <w:r>
              <w:rPr>
                <w:spacing w:val="-6"/>
                <w:w w:val="105"/>
                <w:sz w:val="13"/>
              </w:rPr>
              <w:t> </w:t>
            </w:r>
            <w:r>
              <w:rPr>
                <w:w w:val="105"/>
                <w:sz w:val="13"/>
              </w:rPr>
              <w:t>Treasury</w:t>
            </w:r>
            <w:r>
              <w:rPr>
                <w:spacing w:val="-10"/>
                <w:w w:val="105"/>
                <w:sz w:val="13"/>
              </w:rPr>
              <w:t> </w:t>
            </w:r>
            <w:r>
              <w:rPr>
                <w:spacing w:val="-2"/>
                <w:w w:val="105"/>
                <w:sz w:val="13"/>
              </w:rPr>
              <w:t>Corporation</w:t>
            </w:r>
          </w:p>
        </w:tc>
        <w:tc>
          <w:tcPr>
            <w:tcW w:w="1028" w:type="dxa"/>
            <w:tcBorders>
              <w:top w:val="single" w:sz="6" w:space="0" w:color="000000"/>
            </w:tcBorders>
          </w:tcPr>
          <w:p>
            <w:pPr>
              <w:pStyle w:val="TableParagraph"/>
              <w:rPr>
                <w:b/>
                <w:sz w:val="13"/>
              </w:rPr>
            </w:pPr>
          </w:p>
          <w:p>
            <w:pPr>
              <w:pStyle w:val="TableParagraph"/>
              <w:spacing w:before="16"/>
              <w:rPr>
                <w:b/>
                <w:sz w:val="13"/>
              </w:rPr>
            </w:pPr>
          </w:p>
          <w:p>
            <w:pPr>
              <w:pStyle w:val="TableParagraph"/>
              <w:ind w:right="183"/>
              <w:jc w:val="right"/>
              <w:rPr>
                <w:sz w:val="13"/>
              </w:rPr>
            </w:pPr>
            <w:r>
              <w:rPr>
                <w:spacing w:val="-2"/>
                <w:w w:val="105"/>
                <w:sz w:val="13"/>
              </w:rPr>
              <w:t>180,502</w:t>
            </w:r>
          </w:p>
        </w:tc>
        <w:tc>
          <w:tcPr>
            <w:tcW w:w="916" w:type="dxa"/>
            <w:tcBorders>
              <w:top w:val="single" w:sz="6" w:space="0" w:color="000000"/>
            </w:tcBorders>
          </w:tcPr>
          <w:p>
            <w:pPr>
              <w:pStyle w:val="TableParagraph"/>
              <w:rPr>
                <w:b/>
                <w:sz w:val="13"/>
              </w:rPr>
            </w:pPr>
          </w:p>
          <w:p>
            <w:pPr>
              <w:pStyle w:val="TableParagraph"/>
              <w:spacing w:before="16"/>
              <w:rPr>
                <w:b/>
                <w:sz w:val="13"/>
              </w:rPr>
            </w:pPr>
          </w:p>
          <w:p>
            <w:pPr>
              <w:pStyle w:val="TableParagraph"/>
              <w:ind w:right="184"/>
              <w:jc w:val="right"/>
              <w:rPr>
                <w:sz w:val="13"/>
              </w:rPr>
            </w:pPr>
            <w:r>
              <w:rPr>
                <w:spacing w:val="-2"/>
                <w:w w:val="105"/>
                <w:sz w:val="13"/>
              </w:rPr>
              <w:t>130,850</w:t>
            </w:r>
          </w:p>
        </w:tc>
        <w:tc>
          <w:tcPr>
            <w:tcW w:w="916" w:type="dxa"/>
            <w:tcBorders>
              <w:top w:val="single" w:sz="6" w:space="0" w:color="000000"/>
            </w:tcBorders>
          </w:tcPr>
          <w:p>
            <w:pPr>
              <w:pStyle w:val="TableParagraph"/>
              <w:rPr>
                <w:b/>
                <w:sz w:val="13"/>
              </w:rPr>
            </w:pPr>
          </w:p>
          <w:p>
            <w:pPr>
              <w:pStyle w:val="TableParagraph"/>
              <w:spacing w:before="16"/>
              <w:rPr>
                <w:b/>
                <w:sz w:val="13"/>
              </w:rPr>
            </w:pPr>
          </w:p>
          <w:p>
            <w:pPr>
              <w:pStyle w:val="TableParagraph"/>
              <w:ind w:right="185"/>
              <w:jc w:val="right"/>
              <w:rPr>
                <w:sz w:val="13"/>
              </w:rPr>
            </w:pPr>
            <w:r>
              <w:rPr>
                <w:spacing w:val="-2"/>
                <w:w w:val="105"/>
                <w:sz w:val="13"/>
              </w:rPr>
              <w:t>180,502</w:t>
            </w:r>
          </w:p>
        </w:tc>
        <w:tc>
          <w:tcPr>
            <w:tcW w:w="806" w:type="dxa"/>
            <w:tcBorders>
              <w:top w:val="single" w:sz="6" w:space="0" w:color="000000"/>
            </w:tcBorders>
          </w:tcPr>
          <w:p>
            <w:pPr>
              <w:pStyle w:val="TableParagraph"/>
              <w:rPr>
                <w:b/>
                <w:sz w:val="13"/>
              </w:rPr>
            </w:pPr>
          </w:p>
          <w:p>
            <w:pPr>
              <w:pStyle w:val="TableParagraph"/>
              <w:spacing w:before="16"/>
              <w:rPr>
                <w:b/>
                <w:sz w:val="13"/>
              </w:rPr>
            </w:pPr>
          </w:p>
          <w:p>
            <w:pPr>
              <w:pStyle w:val="TableParagraph"/>
              <w:ind w:right="76"/>
              <w:jc w:val="right"/>
              <w:rPr>
                <w:sz w:val="13"/>
              </w:rPr>
            </w:pPr>
            <w:r>
              <w:rPr>
                <w:spacing w:val="-2"/>
                <w:w w:val="105"/>
                <w:sz w:val="13"/>
              </w:rPr>
              <w:t>130,850</w:t>
            </w:r>
          </w:p>
        </w:tc>
      </w:tr>
      <w:tr>
        <w:trPr>
          <w:trHeight w:val="165" w:hRule="atLeast"/>
        </w:trPr>
        <w:tc>
          <w:tcPr>
            <w:tcW w:w="4690" w:type="dxa"/>
          </w:tcPr>
          <w:p>
            <w:pPr>
              <w:pStyle w:val="TableParagraph"/>
              <w:spacing w:line="138" w:lineRule="exact"/>
              <w:ind w:left="34"/>
              <w:rPr>
                <w:sz w:val="13"/>
              </w:rPr>
            </w:pPr>
            <w:r>
              <w:rPr>
                <w:w w:val="105"/>
                <w:sz w:val="13"/>
              </w:rPr>
              <w:t>Lease</w:t>
            </w:r>
            <w:r>
              <w:rPr>
                <w:spacing w:val="-8"/>
                <w:w w:val="105"/>
                <w:sz w:val="13"/>
              </w:rPr>
              <w:t> </w:t>
            </w:r>
            <w:r>
              <w:rPr>
                <w:spacing w:val="-2"/>
                <w:w w:val="105"/>
                <w:sz w:val="13"/>
              </w:rPr>
              <w:t>liabilities</w:t>
            </w:r>
          </w:p>
        </w:tc>
        <w:tc>
          <w:tcPr>
            <w:tcW w:w="1028" w:type="dxa"/>
            <w:tcBorders>
              <w:bottom w:val="single" w:sz="6" w:space="0" w:color="000000"/>
            </w:tcBorders>
          </w:tcPr>
          <w:p>
            <w:pPr>
              <w:pStyle w:val="TableParagraph"/>
              <w:spacing w:line="143" w:lineRule="exact"/>
              <w:ind w:right="183"/>
              <w:jc w:val="right"/>
              <w:rPr>
                <w:sz w:val="13"/>
              </w:rPr>
            </w:pPr>
            <w:r>
              <w:rPr>
                <w:spacing w:val="-5"/>
                <w:w w:val="105"/>
                <w:sz w:val="13"/>
              </w:rPr>
              <w:t>807</w:t>
            </w:r>
          </w:p>
        </w:tc>
        <w:tc>
          <w:tcPr>
            <w:tcW w:w="916" w:type="dxa"/>
            <w:tcBorders>
              <w:bottom w:val="single" w:sz="6" w:space="0" w:color="000000"/>
            </w:tcBorders>
          </w:tcPr>
          <w:p>
            <w:pPr>
              <w:pStyle w:val="TableParagraph"/>
              <w:spacing w:line="143" w:lineRule="exact"/>
              <w:ind w:right="184"/>
              <w:jc w:val="right"/>
              <w:rPr>
                <w:sz w:val="13"/>
              </w:rPr>
            </w:pPr>
            <w:r>
              <w:rPr>
                <w:spacing w:val="-5"/>
                <w:w w:val="105"/>
                <w:sz w:val="13"/>
              </w:rPr>
              <w:t>161</w:t>
            </w:r>
          </w:p>
        </w:tc>
        <w:tc>
          <w:tcPr>
            <w:tcW w:w="916" w:type="dxa"/>
            <w:tcBorders>
              <w:bottom w:val="single" w:sz="6" w:space="0" w:color="000000"/>
            </w:tcBorders>
          </w:tcPr>
          <w:p>
            <w:pPr>
              <w:pStyle w:val="TableParagraph"/>
              <w:spacing w:line="143" w:lineRule="exact"/>
              <w:ind w:right="185"/>
              <w:jc w:val="right"/>
              <w:rPr>
                <w:sz w:val="13"/>
              </w:rPr>
            </w:pPr>
            <w:r>
              <w:rPr>
                <w:spacing w:val="-5"/>
                <w:w w:val="105"/>
                <w:sz w:val="13"/>
              </w:rPr>
              <w:t>664</w:t>
            </w:r>
          </w:p>
        </w:tc>
        <w:tc>
          <w:tcPr>
            <w:tcW w:w="806" w:type="dxa"/>
            <w:tcBorders>
              <w:bottom w:val="single" w:sz="6" w:space="0" w:color="000000"/>
            </w:tcBorders>
          </w:tcPr>
          <w:p>
            <w:pPr>
              <w:pStyle w:val="TableParagraph"/>
              <w:spacing w:line="146" w:lineRule="exact"/>
              <w:ind w:right="76"/>
              <w:jc w:val="right"/>
              <w:rPr>
                <w:sz w:val="13"/>
              </w:rPr>
            </w:pPr>
            <w:r>
              <w:rPr>
                <w:spacing w:val="-5"/>
                <w:w w:val="105"/>
                <w:sz w:val="13"/>
              </w:rPr>
              <w:t>161</w:t>
            </w:r>
          </w:p>
        </w:tc>
      </w:tr>
      <w:tr>
        <w:trPr>
          <w:trHeight w:val="152" w:hRule="atLeast"/>
        </w:trPr>
        <w:tc>
          <w:tcPr>
            <w:tcW w:w="4690" w:type="dxa"/>
          </w:tcPr>
          <w:p>
            <w:pPr>
              <w:pStyle w:val="TableParagraph"/>
              <w:spacing w:line="130" w:lineRule="exact"/>
              <w:ind w:left="34"/>
              <w:rPr>
                <w:b/>
                <w:sz w:val="13"/>
              </w:rPr>
            </w:pPr>
            <w:r>
              <w:rPr>
                <w:b/>
                <w:w w:val="105"/>
                <w:sz w:val="13"/>
              </w:rPr>
              <w:t>Total</w:t>
            </w:r>
            <w:r>
              <w:rPr>
                <w:b/>
                <w:spacing w:val="-6"/>
                <w:w w:val="105"/>
                <w:sz w:val="13"/>
              </w:rPr>
              <w:t> </w:t>
            </w:r>
            <w:r>
              <w:rPr>
                <w:b/>
                <w:w w:val="105"/>
                <w:sz w:val="13"/>
              </w:rPr>
              <w:t>non-current</w:t>
            </w:r>
            <w:r>
              <w:rPr>
                <w:b/>
                <w:spacing w:val="-4"/>
                <w:w w:val="105"/>
                <w:sz w:val="13"/>
              </w:rPr>
              <w:t> </w:t>
            </w:r>
            <w:r>
              <w:rPr>
                <w:b/>
                <w:spacing w:val="-2"/>
                <w:w w:val="105"/>
                <w:sz w:val="13"/>
              </w:rPr>
              <w:t>borrowings</w:t>
            </w:r>
          </w:p>
        </w:tc>
        <w:tc>
          <w:tcPr>
            <w:tcW w:w="1028" w:type="dxa"/>
            <w:tcBorders>
              <w:top w:val="single" w:sz="6" w:space="0" w:color="000000"/>
              <w:bottom w:val="single" w:sz="6" w:space="0" w:color="000000"/>
            </w:tcBorders>
          </w:tcPr>
          <w:p>
            <w:pPr>
              <w:pStyle w:val="TableParagraph"/>
              <w:spacing w:line="130" w:lineRule="exact"/>
              <w:ind w:right="183"/>
              <w:jc w:val="right"/>
              <w:rPr>
                <w:b/>
                <w:sz w:val="13"/>
              </w:rPr>
            </w:pPr>
            <w:r>
              <w:rPr>
                <w:b/>
                <w:spacing w:val="-2"/>
                <w:w w:val="105"/>
                <w:sz w:val="13"/>
              </w:rPr>
              <w:t>181,309</w:t>
            </w:r>
          </w:p>
        </w:tc>
        <w:tc>
          <w:tcPr>
            <w:tcW w:w="916" w:type="dxa"/>
            <w:tcBorders>
              <w:top w:val="single" w:sz="6" w:space="0" w:color="000000"/>
              <w:bottom w:val="single" w:sz="6" w:space="0" w:color="000000"/>
            </w:tcBorders>
          </w:tcPr>
          <w:p>
            <w:pPr>
              <w:pStyle w:val="TableParagraph"/>
              <w:spacing w:line="130" w:lineRule="exact"/>
              <w:ind w:right="184"/>
              <w:jc w:val="right"/>
              <w:rPr>
                <w:b/>
                <w:sz w:val="13"/>
              </w:rPr>
            </w:pPr>
            <w:r>
              <w:rPr>
                <w:b/>
                <w:spacing w:val="-2"/>
                <w:w w:val="105"/>
                <w:sz w:val="13"/>
              </w:rPr>
              <w:t>131,011</w:t>
            </w:r>
          </w:p>
        </w:tc>
        <w:tc>
          <w:tcPr>
            <w:tcW w:w="916" w:type="dxa"/>
            <w:tcBorders>
              <w:top w:val="single" w:sz="6" w:space="0" w:color="000000"/>
              <w:bottom w:val="single" w:sz="6" w:space="0" w:color="000000"/>
            </w:tcBorders>
          </w:tcPr>
          <w:p>
            <w:pPr>
              <w:pStyle w:val="TableParagraph"/>
              <w:spacing w:line="130" w:lineRule="exact"/>
              <w:ind w:right="185"/>
              <w:jc w:val="right"/>
              <w:rPr>
                <w:b/>
                <w:sz w:val="13"/>
              </w:rPr>
            </w:pPr>
            <w:r>
              <w:rPr>
                <w:b/>
                <w:spacing w:val="-2"/>
                <w:w w:val="105"/>
                <w:sz w:val="13"/>
              </w:rPr>
              <w:t>181,166</w:t>
            </w:r>
          </w:p>
        </w:tc>
        <w:tc>
          <w:tcPr>
            <w:tcW w:w="806" w:type="dxa"/>
            <w:tcBorders>
              <w:top w:val="single" w:sz="6" w:space="0" w:color="000000"/>
              <w:bottom w:val="single" w:sz="6" w:space="0" w:color="000000"/>
            </w:tcBorders>
          </w:tcPr>
          <w:p>
            <w:pPr>
              <w:pStyle w:val="TableParagraph"/>
              <w:spacing w:line="130" w:lineRule="exact"/>
              <w:ind w:right="76"/>
              <w:jc w:val="right"/>
              <w:rPr>
                <w:b/>
                <w:sz w:val="13"/>
              </w:rPr>
            </w:pPr>
            <w:r>
              <w:rPr>
                <w:b/>
                <w:spacing w:val="-2"/>
                <w:w w:val="105"/>
                <w:sz w:val="13"/>
              </w:rPr>
              <w:t>131,011</w:t>
            </w:r>
          </w:p>
        </w:tc>
      </w:tr>
      <w:tr>
        <w:trPr>
          <w:trHeight w:val="152" w:hRule="atLeast"/>
        </w:trPr>
        <w:tc>
          <w:tcPr>
            <w:tcW w:w="4690" w:type="dxa"/>
          </w:tcPr>
          <w:p>
            <w:pPr>
              <w:pStyle w:val="TableParagraph"/>
              <w:rPr>
                <w:rFonts w:ascii="Times New Roman"/>
                <w:sz w:val="8"/>
              </w:rPr>
            </w:pPr>
          </w:p>
        </w:tc>
        <w:tc>
          <w:tcPr>
            <w:tcW w:w="1028" w:type="dxa"/>
            <w:tcBorders>
              <w:top w:val="single" w:sz="6" w:space="0" w:color="000000"/>
              <w:bottom w:val="single" w:sz="6" w:space="0" w:color="000000"/>
            </w:tcBorders>
          </w:tcPr>
          <w:p>
            <w:pPr>
              <w:pStyle w:val="TableParagraph"/>
              <w:rPr>
                <w:rFonts w:ascii="Times New Roman"/>
                <w:sz w:val="8"/>
              </w:rPr>
            </w:pPr>
          </w:p>
        </w:tc>
        <w:tc>
          <w:tcPr>
            <w:tcW w:w="916" w:type="dxa"/>
            <w:tcBorders>
              <w:top w:val="single" w:sz="6" w:space="0" w:color="000000"/>
              <w:bottom w:val="single" w:sz="6" w:space="0" w:color="000000"/>
            </w:tcBorders>
          </w:tcPr>
          <w:p>
            <w:pPr>
              <w:pStyle w:val="TableParagraph"/>
              <w:rPr>
                <w:rFonts w:ascii="Times New Roman"/>
                <w:sz w:val="8"/>
              </w:rPr>
            </w:pPr>
          </w:p>
        </w:tc>
        <w:tc>
          <w:tcPr>
            <w:tcW w:w="916" w:type="dxa"/>
            <w:tcBorders>
              <w:top w:val="single" w:sz="6" w:space="0" w:color="000000"/>
              <w:bottom w:val="single" w:sz="6" w:space="0" w:color="000000"/>
            </w:tcBorders>
          </w:tcPr>
          <w:p>
            <w:pPr>
              <w:pStyle w:val="TableParagraph"/>
              <w:rPr>
                <w:rFonts w:ascii="Times New Roman"/>
                <w:sz w:val="8"/>
              </w:rPr>
            </w:pPr>
          </w:p>
        </w:tc>
        <w:tc>
          <w:tcPr>
            <w:tcW w:w="806" w:type="dxa"/>
            <w:tcBorders>
              <w:top w:val="single" w:sz="6" w:space="0" w:color="000000"/>
              <w:bottom w:val="single" w:sz="6" w:space="0" w:color="000000"/>
            </w:tcBorders>
          </w:tcPr>
          <w:p>
            <w:pPr>
              <w:pStyle w:val="TableParagraph"/>
              <w:rPr>
                <w:rFonts w:ascii="Times New Roman"/>
                <w:sz w:val="8"/>
              </w:rPr>
            </w:pPr>
          </w:p>
        </w:tc>
      </w:tr>
      <w:tr>
        <w:trPr>
          <w:trHeight w:val="152" w:hRule="atLeast"/>
        </w:trPr>
        <w:tc>
          <w:tcPr>
            <w:tcW w:w="4690" w:type="dxa"/>
          </w:tcPr>
          <w:p>
            <w:pPr>
              <w:pStyle w:val="TableParagraph"/>
              <w:spacing w:line="130" w:lineRule="exact"/>
              <w:ind w:left="34"/>
              <w:rPr>
                <w:b/>
                <w:sz w:val="13"/>
              </w:rPr>
            </w:pPr>
            <w:r>
              <w:rPr>
                <w:b/>
                <w:w w:val="105"/>
                <w:sz w:val="13"/>
              </w:rPr>
              <w:t>Total</w:t>
            </w:r>
            <w:r>
              <w:rPr>
                <w:b/>
                <w:spacing w:val="-4"/>
                <w:w w:val="105"/>
                <w:sz w:val="13"/>
              </w:rPr>
              <w:t> </w:t>
            </w:r>
            <w:r>
              <w:rPr>
                <w:b/>
                <w:spacing w:val="-2"/>
                <w:w w:val="105"/>
                <w:sz w:val="13"/>
              </w:rPr>
              <w:t>borrowings</w:t>
            </w:r>
          </w:p>
        </w:tc>
        <w:tc>
          <w:tcPr>
            <w:tcW w:w="1028" w:type="dxa"/>
            <w:tcBorders>
              <w:top w:val="single" w:sz="6" w:space="0" w:color="000000"/>
              <w:bottom w:val="single" w:sz="6" w:space="0" w:color="000000"/>
            </w:tcBorders>
          </w:tcPr>
          <w:p>
            <w:pPr>
              <w:pStyle w:val="TableParagraph"/>
              <w:spacing w:line="130" w:lineRule="exact"/>
              <w:ind w:right="183"/>
              <w:jc w:val="right"/>
              <w:rPr>
                <w:b/>
                <w:sz w:val="13"/>
              </w:rPr>
            </w:pPr>
            <w:r>
              <w:rPr>
                <w:b/>
                <w:spacing w:val="-2"/>
                <w:w w:val="105"/>
                <w:sz w:val="13"/>
              </w:rPr>
              <w:t>187,551</w:t>
            </w:r>
          </w:p>
        </w:tc>
        <w:tc>
          <w:tcPr>
            <w:tcW w:w="916" w:type="dxa"/>
            <w:tcBorders>
              <w:top w:val="single" w:sz="6" w:space="0" w:color="000000"/>
              <w:bottom w:val="single" w:sz="6" w:space="0" w:color="000000"/>
            </w:tcBorders>
          </w:tcPr>
          <w:p>
            <w:pPr>
              <w:pStyle w:val="TableParagraph"/>
              <w:spacing w:line="130" w:lineRule="exact"/>
              <w:ind w:right="184"/>
              <w:jc w:val="right"/>
              <w:rPr>
                <w:b/>
                <w:sz w:val="13"/>
              </w:rPr>
            </w:pPr>
            <w:r>
              <w:rPr>
                <w:b/>
                <w:spacing w:val="-2"/>
                <w:w w:val="105"/>
                <w:sz w:val="13"/>
              </w:rPr>
              <w:t>134,796</w:t>
            </w:r>
          </w:p>
        </w:tc>
        <w:tc>
          <w:tcPr>
            <w:tcW w:w="916" w:type="dxa"/>
            <w:tcBorders>
              <w:top w:val="single" w:sz="6" w:space="0" w:color="000000"/>
              <w:bottom w:val="single" w:sz="6" w:space="0" w:color="000000"/>
            </w:tcBorders>
          </w:tcPr>
          <w:p>
            <w:pPr>
              <w:pStyle w:val="TableParagraph"/>
              <w:spacing w:line="130" w:lineRule="exact"/>
              <w:ind w:right="185"/>
              <w:jc w:val="right"/>
              <w:rPr>
                <w:b/>
                <w:sz w:val="13"/>
              </w:rPr>
            </w:pPr>
            <w:r>
              <w:rPr>
                <w:b/>
                <w:spacing w:val="-2"/>
                <w:w w:val="105"/>
                <w:sz w:val="13"/>
              </w:rPr>
              <w:t>187,408</w:t>
            </w:r>
          </w:p>
        </w:tc>
        <w:tc>
          <w:tcPr>
            <w:tcW w:w="806" w:type="dxa"/>
            <w:tcBorders>
              <w:top w:val="single" w:sz="6" w:space="0" w:color="000000"/>
              <w:bottom w:val="single" w:sz="6" w:space="0" w:color="000000"/>
            </w:tcBorders>
          </w:tcPr>
          <w:p>
            <w:pPr>
              <w:pStyle w:val="TableParagraph"/>
              <w:spacing w:line="130" w:lineRule="exact"/>
              <w:ind w:right="76"/>
              <w:jc w:val="right"/>
              <w:rPr>
                <w:b/>
                <w:sz w:val="13"/>
              </w:rPr>
            </w:pPr>
            <w:r>
              <w:rPr>
                <w:b/>
                <w:spacing w:val="-2"/>
                <w:w w:val="105"/>
                <w:sz w:val="13"/>
              </w:rPr>
              <w:t>134,772</w:t>
            </w:r>
          </w:p>
        </w:tc>
      </w:tr>
    </w:tbl>
    <w:p>
      <w:pPr>
        <w:spacing w:line="240" w:lineRule="auto" w:before="9"/>
        <w:rPr>
          <w:b/>
          <w:sz w:val="13"/>
        </w:rPr>
      </w:pPr>
      <w:r>
        <w:rPr/>
        <mc:AlternateContent>
          <mc:Choice Requires="wps">
            <w:drawing>
              <wp:anchor distT="0" distB="0" distL="0" distR="0" allowOverlap="1" layoutInCell="1" locked="0" behindDoc="0" simplePos="0" relativeHeight="15899136">
                <wp:simplePos x="0" y="0"/>
                <wp:positionH relativeFrom="page">
                  <wp:posOffset>7111289</wp:posOffset>
                </wp:positionH>
                <wp:positionV relativeFrom="page">
                  <wp:posOffset>8040241</wp:posOffset>
                </wp:positionV>
                <wp:extent cx="177800" cy="1945005"/>
                <wp:effectExtent l="0" t="0" r="0" b="0"/>
                <wp:wrapNone/>
                <wp:docPr id="949" name="Textbox 949"/>
                <wp:cNvGraphicFramePr>
                  <a:graphicFrameLocks/>
                </wp:cNvGraphicFramePr>
                <a:graphic>
                  <a:graphicData uri="http://schemas.microsoft.com/office/word/2010/wordprocessingShape">
                    <wps:wsp>
                      <wps:cNvPr id="949" name="Textbox 949"/>
                      <wps:cNvSpPr txBox="1"/>
                      <wps:spPr>
                        <a:xfrm>
                          <a:off x="0" y="0"/>
                          <a:ext cx="177800" cy="194500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633.089905pt;width:14pt;height:153.15pt;mso-position-horizontal-relative:page;mso-position-vertical-relative:page;z-index:15899136" type="#_x0000_t202" id="docshape642"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v:textbox>
                <w10:wrap type="none"/>
              </v:shape>
            </w:pict>
          </mc:Fallback>
        </mc:AlternateContent>
      </w:r>
    </w:p>
    <w:p>
      <w:pPr>
        <w:spacing w:line="273" w:lineRule="auto" w:before="0"/>
        <w:ind w:left="746" w:right="304" w:firstLine="0"/>
        <w:jc w:val="both"/>
        <w:rPr>
          <w:sz w:val="13"/>
        </w:rPr>
      </w:pPr>
      <w:r>
        <w:rPr>
          <w:w w:val="105"/>
          <w:sz w:val="13"/>
        </w:rPr>
        <w:t>Borrowings</w:t>
      </w:r>
      <w:r>
        <w:rPr>
          <w:w w:val="105"/>
          <w:sz w:val="13"/>
        </w:rPr>
        <w:t> are measured</w:t>
      </w:r>
      <w:r>
        <w:rPr>
          <w:w w:val="105"/>
          <w:sz w:val="13"/>
        </w:rPr>
        <w:t> at</w:t>
      </w:r>
      <w:r>
        <w:rPr>
          <w:w w:val="105"/>
          <w:sz w:val="13"/>
        </w:rPr>
        <w:t> amortised cost</w:t>
      </w:r>
      <w:r>
        <w:rPr>
          <w:w w:val="105"/>
          <w:sz w:val="13"/>
        </w:rPr>
        <w:t> using the</w:t>
      </w:r>
      <w:r>
        <w:rPr>
          <w:w w:val="105"/>
          <w:sz w:val="13"/>
        </w:rPr>
        <w:t> effective interest</w:t>
      </w:r>
      <w:r>
        <w:rPr>
          <w:w w:val="105"/>
          <w:sz w:val="13"/>
        </w:rPr>
        <w:t> rate method.</w:t>
      </w:r>
      <w:r>
        <w:rPr>
          <w:w w:val="105"/>
          <w:sz w:val="13"/>
        </w:rPr>
        <w:t> The difference</w:t>
      </w:r>
      <w:r>
        <w:rPr>
          <w:w w:val="105"/>
          <w:sz w:val="13"/>
        </w:rPr>
        <w:t> between</w:t>
      </w:r>
      <w:r>
        <w:rPr>
          <w:w w:val="105"/>
          <w:sz w:val="13"/>
        </w:rPr>
        <w:t> total</w:t>
      </w:r>
      <w:r>
        <w:rPr>
          <w:w w:val="105"/>
          <w:sz w:val="13"/>
        </w:rPr>
        <w:t> Western Australian</w:t>
      </w:r>
      <w:r>
        <w:rPr>
          <w:spacing w:val="40"/>
          <w:w w:val="105"/>
          <w:sz w:val="13"/>
        </w:rPr>
        <w:t> </w:t>
      </w:r>
      <w:r>
        <w:rPr>
          <w:w w:val="105"/>
          <w:sz w:val="13"/>
        </w:rPr>
        <w:t>Treasury Corporation (WATC) borrowings of</w:t>
      </w:r>
      <w:r>
        <w:rPr>
          <w:w w:val="105"/>
          <w:sz w:val="13"/>
        </w:rPr>
        <w:t> $186.2 million and the principal outstanding on the loans of</w:t>
      </w:r>
      <w:r>
        <w:rPr>
          <w:w w:val="105"/>
          <w:sz w:val="13"/>
        </w:rPr>
        <w:t> $184.7 million represents the</w:t>
      </w:r>
      <w:r>
        <w:rPr>
          <w:spacing w:val="40"/>
          <w:w w:val="105"/>
          <w:sz w:val="13"/>
        </w:rPr>
        <w:t> </w:t>
      </w:r>
      <w:r>
        <w:rPr>
          <w:w w:val="105"/>
          <w:sz w:val="13"/>
        </w:rPr>
        <w:t>amortised cost adjustment. The amortised cost adjustment recognises the difference between the proceeds and the redemption amount</w:t>
      </w:r>
      <w:r>
        <w:rPr>
          <w:spacing w:val="40"/>
          <w:w w:val="105"/>
          <w:sz w:val="13"/>
        </w:rPr>
        <w:t> </w:t>
      </w:r>
      <w:r>
        <w:rPr>
          <w:w w:val="105"/>
          <w:sz w:val="13"/>
        </w:rPr>
        <w:t>over the</w:t>
      </w:r>
      <w:r>
        <w:rPr>
          <w:spacing w:val="-1"/>
          <w:w w:val="105"/>
          <w:sz w:val="13"/>
        </w:rPr>
        <w:t> </w:t>
      </w:r>
      <w:r>
        <w:rPr>
          <w:w w:val="105"/>
          <w:sz w:val="13"/>
        </w:rPr>
        <w:t>period</w:t>
      </w:r>
      <w:r>
        <w:rPr>
          <w:spacing w:val="-1"/>
          <w:w w:val="105"/>
          <w:sz w:val="13"/>
        </w:rPr>
        <w:t> </w:t>
      </w:r>
      <w:r>
        <w:rPr>
          <w:w w:val="105"/>
          <w:sz w:val="13"/>
        </w:rPr>
        <w:t>of the borrowings,</w:t>
      </w:r>
      <w:r>
        <w:rPr>
          <w:spacing w:val="-1"/>
          <w:w w:val="105"/>
          <w:sz w:val="13"/>
        </w:rPr>
        <w:t> </w:t>
      </w:r>
      <w:r>
        <w:rPr>
          <w:w w:val="105"/>
          <w:sz w:val="13"/>
        </w:rPr>
        <w:t>which for the Group</w:t>
      </w:r>
      <w:r>
        <w:rPr>
          <w:spacing w:val="-1"/>
          <w:w w:val="105"/>
          <w:sz w:val="13"/>
        </w:rPr>
        <w:t> </w:t>
      </w:r>
      <w:r>
        <w:rPr>
          <w:w w:val="105"/>
          <w:sz w:val="13"/>
        </w:rPr>
        <w:t>predominately</w:t>
      </w:r>
      <w:r>
        <w:rPr>
          <w:spacing w:val="-2"/>
          <w:w w:val="105"/>
          <w:sz w:val="13"/>
        </w:rPr>
        <w:t> </w:t>
      </w:r>
      <w:r>
        <w:rPr>
          <w:w w:val="105"/>
          <w:sz w:val="13"/>
        </w:rPr>
        <w:t>represents the impact</w:t>
      </w:r>
      <w:r>
        <w:rPr>
          <w:spacing w:val="-1"/>
          <w:w w:val="105"/>
          <w:sz w:val="13"/>
        </w:rPr>
        <w:t> </w:t>
      </w:r>
      <w:r>
        <w:rPr>
          <w:w w:val="105"/>
          <w:sz w:val="13"/>
        </w:rPr>
        <w:t>of accrued</w:t>
      </w:r>
      <w:r>
        <w:rPr>
          <w:spacing w:val="-1"/>
          <w:w w:val="105"/>
          <w:sz w:val="13"/>
        </w:rPr>
        <w:t> </w:t>
      </w:r>
      <w:r>
        <w:rPr>
          <w:w w:val="105"/>
          <w:sz w:val="13"/>
        </w:rPr>
        <w:t>interest payments at each</w:t>
      </w:r>
      <w:r>
        <w:rPr>
          <w:spacing w:val="-1"/>
          <w:w w:val="105"/>
          <w:sz w:val="13"/>
        </w:rPr>
        <w:t> </w:t>
      </w:r>
      <w:r>
        <w:rPr>
          <w:w w:val="105"/>
          <w:sz w:val="13"/>
        </w:rPr>
        <w:t>period-</w:t>
      </w:r>
      <w:r>
        <w:rPr>
          <w:spacing w:val="40"/>
          <w:w w:val="105"/>
          <w:sz w:val="13"/>
        </w:rPr>
        <w:t> </w:t>
      </w:r>
      <w:r>
        <w:rPr>
          <w:spacing w:val="-4"/>
          <w:w w:val="105"/>
          <w:sz w:val="13"/>
        </w:rPr>
        <w:t>end.</w:t>
      </w:r>
    </w:p>
    <w:p>
      <w:pPr>
        <w:spacing w:line="240" w:lineRule="auto" w:before="99"/>
        <w:rPr>
          <w:sz w:val="13"/>
        </w:rPr>
      </w:pPr>
    </w:p>
    <w:p>
      <w:pPr>
        <w:spacing w:line="273" w:lineRule="auto" w:before="0"/>
        <w:ind w:left="746" w:right="0" w:firstLine="0"/>
        <w:jc w:val="left"/>
        <w:rPr>
          <w:sz w:val="13"/>
        </w:rPr>
      </w:pPr>
      <w:r>
        <w:rPr>
          <w:w w:val="105"/>
          <w:sz w:val="13"/>
        </w:rPr>
        <w:t>The Group has the following loans with the WATC for the purpose of financing the University's Capital Program and other specific capital</w:t>
      </w:r>
      <w:r>
        <w:rPr>
          <w:spacing w:val="40"/>
          <w:w w:val="105"/>
          <w:sz w:val="13"/>
        </w:rPr>
        <w:t> </w:t>
      </w:r>
      <w:r>
        <w:rPr>
          <w:spacing w:val="-2"/>
          <w:w w:val="105"/>
          <w:sz w:val="13"/>
        </w:rPr>
        <w:t>projects:</w:t>
      </w:r>
    </w:p>
    <w:p>
      <w:pPr>
        <w:spacing w:line="240" w:lineRule="auto" w:before="31"/>
        <w:rPr>
          <w:sz w:val="13"/>
        </w:rPr>
      </w:pPr>
    </w:p>
    <w:p>
      <w:pPr>
        <w:tabs>
          <w:tab w:pos="5626" w:val="left" w:leader="none"/>
          <w:tab w:pos="7481" w:val="left" w:leader="none"/>
        </w:tabs>
        <w:spacing w:before="0"/>
        <w:ind w:left="4006" w:right="0" w:firstLine="0"/>
        <w:jc w:val="left"/>
        <w:rPr>
          <w:b/>
          <w:sz w:val="13"/>
        </w:rPr>
      </w:pPr>
      <w:r>
        <w:rPr>
          <w:b/>
          <w:w w:val="105"/>
          <w:sz w:val="13"/>
        </w:rPr>
        <w:t>Maturity</w:t>
      </w:r>
      <w:r>
        <w:rPr>
          <w:b/>
          <w:spacing w:val="-3"/>
          <w:w w:val="105"/>
          <w:sz w:val="13"/>
        </w:rPr>
        <w:t> </w:t>
      </w:r>
      <w:r>
        <w:rPr>
          <w:b/>
          <w:spacing w:val="-4"/>
          <w:w w:val="105"/>
          <w:sz w:val="13"/>
        </w:rPr>
        <w:t>date</w:t>
      </w:r>
      <w:r>
        <w:rPr>
          <w:b/>
          <w:sz w:val="13"/>
        </w:rPr>
        <w:tab/>
      </w:r>
      <w:r>
        <w:rPr>
          <w:b/>
          <w:spacing w:val="-2"/>
          <w:w w:val="105"/>
          <w:position w:val="1"/>
          <w:sz w:val="13"/>
        </w:rPr>
        <w:t>Principal</w:t>
      </w:r>
      <w:r>
        <w:rPr>
          <w:b/>
          <w:spacing w:val="8"/>
          <w:w w:val="105"/>
          <w:position w:val="1"/>
          <w:sz w:val="13"/>
        </w:rPr>
        <w:t> </w:t>
      </w:r>
      <w:r>
        <w:rPr>
          <w:b/>
          <w:spacing w:val="-2"/>
          <w:w w:val="105"/>
          <w:position w:val="1"/>
          <w:sz w:val="13"/>
        </w:rPr>
        <w:t>outstanding</w:t>
      </w:r>
      <w:r>
        <w:rPr>
          <w:b/>
          <w:position w:val="1"/>
          <w:sz w:val="13"/>
        </w:rPr>
        <w:tab/>
      </w:r>
      <w:r>
        <w:rPr>
          <w:b/>
          <w:spacing w:val="-2"/>
          <w:w w:val="105"/>
          <w:position w:val="1"/>
          <w:sz w:val="13"/>
        </w:rPr>
        <w:t>Average</w:t>
      </w:r>
      <w:r>
        <w:rPr>
          <w:b/>
          <w:spacing w:val="2"/>
          <w:w w:val="105"/>
          <w:position w:val="1"/>
          <w:sz w:val="13"/>
        </w:rPr>
        <w:t> </w:t>
      </w:r>
      <w:r>
        <w:rPr>
          <w:b/>
          <w:spacing w:val="-2"/>
          <w:w w:val="105"/>
          <w:position w:val="1"/>
          <w:sz w:val="13"/>
        </w:rPr>
        <w:t>interest</w:t>
      </w:r>
      <w:r>
        <w:rPr>
          <w:b/>
          <w:spacing w:val="5"/>
          <w:w w:val="105"/>
          <w:position w:val="1"/>
          <w:sz w:val="13"/>
        </w:rPr>
        <w:t> </w:t>
      </w:r>
      <w:r>
        <w:rPr>
          <w:b/>
          <w:spacing w:val="-4"/>
          <w:w w:val="105"/>
          <w:position w:val="1"/>
          <w:sz w:val="13"/>
        </w:rPr>
        <w:t>rate</w:t>
      </w:r>
    </w:p>
    <w:tbl>
      <w:tblPr>
        <w:tblW w:w="0" w:type="auto"/>
        <w:jc w:val="left"/>
        <w:tblInd w:w="7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45"/>
        <w:gridCol w:w="1745"/>
        <w:gridCol w:w="1040"/>
        <w:gridCol w:w="949"/>
        <w:gridCol w:w="901"/>
        <w:gridCol w:w="775"/>
      </w:tblGrid>
      <w:tr>
        <w:trPr>
          <w:trHeight w:val="190" w:hRule="atLeast"/>
        </w:trPr>
        <w:tc>
          <w:tcPr>
            <w:tcW w:w="4690" w:type="dxa"/>
            <w:gridSpan w:val="2"/>
          </w:tcPr>
          <w:p>
            <w:pPr>
              <w:pStyle w:val="TableParagraph"/>
              <w:rPr>
                <w:rFonts w:ascii="Times New Roman"/>
                <w:sz w:val="12"/>
              </w:rPr>
            </w:pPr>
          </w:p>
        </w:tc>
        <w:tc>
          <w:tcPr>
            <w:tcW w:w="1040" w:type="dxa"/>
            <w:tcBorders>
              <w:bottom w:val="single" w:sz="6" w:space="0" w:color="000000"/>
            </w:tcBorders>
          </w:tcPr>
          <w:p>
            <w:pPr>
              <w:pStyle w:val="TableParagraph"/>
              <w:spacing w:before="10"/>
              <w:ind w:left="313"/>
              <w:rPr>
                <w:b/>
                <w:sz w:val="13"/>
              </w:rPr>
            </w:pPr>
            <w:r>
              <w:rPr>
                <w:b/>
                <w:spacing w:val="-4"/>
                <w:w w:val="105"/>
                <w:sz w:val="13"/>
              </w:rPr>
              <w:t>2020</w:t>
            </w:r>
          </w:p>
        </w:tc>
        <w:tc>
          <w:tcPr>
            <w:tcW w:w="949" w:type="dxa"/>
            <w:tcBorders>
              <w:bottom w:val="single" w:sz="6" w:space="0" w:color="000000"/>
            </w:tcBorders>
          </w:tcPr>
          <w:p>
            <w:pPr>
              <w:pStyle w:val="TableParagraph"/>
              <w:spacing w:before="10"/>
              <w:ind w:left="188"/>
              <w:rPr>
                <w:b/>
                <w:sz w:val="13"/>
              </w:rPr>
            </w:pPr>
            <w:r>
              <w:rPr>
                <w:b/>
                <w:spacing w:val="-4"/>
                <w:w w:val="105"/>
                <w:sz w:val="13"/>
              </w:rPr>
              <w:t>2019</w:t>
            </w:r>
          </w:p>
        </w:tc>
        <w:tc>
          <w:tcPr>
            <w:tcW w:w="901" w:type="dxa"/>
            <w:tcBorders>
              <w:bottom w:val="single" w:sz="6" w:space="0" w:color="000000"/>
            </w:tcBorders>
          </w:tcPr>
          <w:p>
            <w:pPr>
              <w:pStyle w:val="TableParagraph"/>
              <w:spacing w:before="10"/>
              <w:ind w:left="154"/>
              <w:rPr>
                <w:b/>
                <w:sz w:val="13"/>
              </w:rPr>
            </w:pPr>
            <w:r>
              <w:rPr>
                <w:b/>
                <w:spacing w:val="-4"/>
                <w:w w:val="105"/>
                <w:sz w:val="13"/>
              </w:rPr>
              <w:t>2020</w:t>
            </w:r>
          </w:p>
        </w:tc>
        <w:tc>
          <w:tcPr>
            <w:tcW w:w="775" w:type="dxa"/>
            <w:tcBorders>
              <w:bottom w:val="single" w:sz="6" w:space="0" w:color="000000"/>
            </w:tcBorders>
          </w:tcPr>
          <w:p>
            <w:pPr>
              <w:pStyle w:val="TableParagraph"/>
              <w:spacing w:before="10"/>
              <w:ind w:left="168"/>
              <w:rPr>
                <w:b/>
                <w:sz w:val="13"/>
              </w:rPr>
            </w:pPr>
            <w:r>
              <w:rPr>
                <w:b/>
                <w:spacing w:val="-4"/>
                <w:w w:val="105"/>
                <w:sz w:val="13"/>
              </w:rPr>
              <w:t>2019</w:t>
            </w:r>
          </w:p>
        </w:tc>
      </w:tr>
      <w:tr>
        <w:trPr>
          <w:trHeight w:val="327" w:hRule="atLeast"/>
        </w:trPr>
        <w:tc>
          <w:tcPr>
            <w:tcW w:w="2945" w:type="dxa"/>
          </w:tcPr>
          <w:p>
            <w:pPr>
              <w:pStyle w:val="TableParagraph"/>
              <w:spacing w:line="128" w:lineRule="exact"/>
              <w:ind w:left="34"/>
              <w:rPr>
                <w:sz w:val="13"/>
              </w:rPr>
            </w:pPr>
            <w:r>
              <w:rPr>
                <w:w w:val="105"/>
                <w:sz w:val="13"/>
              </w:rPr>
              <w:t>Western</w:t>
            </w:r>
            <w:r>
              <w:rPr>
                <w:spacing w:val="-10"/>
                <w:w w:val="105"/>
                <w:sz w:val="13"/>
              </w:rPr>
              <w:t> </w:t>
            </w:r>
            <w:r>
              <w:rPr>
                <w:w w:val="105"/>
                <w:sz w:val="13"/>
              </w:rPr>
              <w:t>Australian</w:t>
            </w:r>
            <w:r>
              <w:rPr>
                <w:spacing w:val="-8"/>
                <w:w w:val="105"/>
                <w:sz w:val="13"/>
              </w:rPr>
              <w:t> </w:t>
            </w:r>
            <w:r>
              <w:rPr>
                <w:w w:val="105"/>
                <w:sz w:val="13"/>
              </w:rPr>
              <w:t>Treasury</w:t>
            </w:r>
            <w:r>
              <w:rPr>
                <w:spacing w:val="-9"/>
                <w:w w:val="105"/>
                <w:sz w:val="13"/>
              </w:rPr>
              <w:t> </w:t>
            </w:r>
            <w:r>
              <w:rPr>
                <w:w w:val="105"/>
                <w:sz w:val="13"/>
              </w:rPr>
              <w:t>Corporation</w:t>
            </w:r>
            <w:r>
              <w:rPr>
                <w:spacing w:val="-8"/>
                <w:w w:val="105"/>
                <w:sz w:val="13"/>
              </w:rPr>
              <w:t> </w:t>
            </w:r>
            <w:r>
              <w:rPr>
                <w:spacing w:val="-2"/>
                <w:w w:val="105"/>
                <w:sz w:val="13"/>
              </w:rPr>
              <w:t>Loans</w:t>
            </w:r>
          </w:p>
          <w:p>
            <w:pPr>
              <w:pStyle w:val="TableParagraph"/>
              <w:spacing w:before="18"/>
              <w:ind w:left="34"/>
              <w:rPr>
                <w:sz w:val="13"/>
              </w:rPr>
            </w:pPr>
            <w:r>
              <w:rPr>
                <w:w w:val="105"/>
                <w:sz w:val="13"/>
              </w:rPr>
              <w:t>-</w:t>
            </w:r>
            <w:r>
              <w:rPr>
                <w:spacing w:val="-3"/>
                <w:w w:val="105"/>
                <w:sz w:val="13"/>
              </w:rPr>
              <w:t> </w:t>
            </w:r>
            <w:r>
              <w:rPr>
                <w:w w:val="105"/>
                <w:sz w:val="13"/>
              </w:rPr>
              <w:t>Term</w:t>
            </w:r>
            <w:r>
              <w:rPr>
                <w:spacing w:val="-3"/>
                <w:w w:val="105"/>
                <w:sz w:val="13"/>
              </w:rPr>
              <w:t> </w:t>
            </w:r>
            <w:r>
              <w:rPr>
                <w:w w:val="105"/>
                <w:sz w:val="13"/>
              </w:rPr>
              <w:t>floating</w:t>
            </w:r>
            <w:r>
              <w:rPr>
                <w:spacing w:val="-4"/>
                <w:w w:val="105"/>
                <w:sz w:val="13"/>
              </w:rPr>
              <w:t> </w:t>
            </w:r>
            <w:r>
              <w:rPr>
                <w:w w:val="105"/>
                <w:sz w:val="13"/>
              </w:rPr>
              <w:t>rate</w:t>
            </w:r>
            <w:r>
              <w:rPr>
                <w:spacing w:val="-5"/>
                <w:w w:val="105"/>
                <w:sz w:val="13"/>
              </w:rPr>
              <w:t> </w:t>
            </w:r>
            <w:r>
              <w:rPr>
                <w:spacing w:val="-2"/>
                <w:w w:val="105"/>
                <w:sz w:val="13"/>
              </w:rPr>
              <w:t>lending</w:t>
            </w:r>
          </w:p>
        </w:tc>
        <w:tc>
          <w:tcPr>
            <w:tcW w:w="1745" w:type="dxa"/>
          </w:tcPr>
          <w:p>
            <w:pPr>
              <w:pStyle w:val="TableParagraph"/>
              <w:spacing w:before="146"/>
              <w:ind w:left="14" w:right="207"/>
              <w:jc w:val="center"/>
              <w:rPr>
                <w:sz w:val="13"/>
              </w:rPr>
            </w:pPr>
            <w:r>
              <w:rPr>
                <w:spacing w:val="-2"/>
                <w:w w:val="105"/>
                <w:sz w:val="13"/>
              </w:rPr>
              <w:t>15/10/2019</w:t>
            </w:r>
          </w:p>
        </w:tc>
        <w:tc>
          <w:tcPr>
            <w:tcW w:w="1040" w:type="dxa"/>
            <w:tcBorders>
              <w:top w:val="single" w:sz="6" w:space="0" w:color="000000"/>
            </w:tcBorders>
          </w:tcPr>
          <w:p>
            <w:pPr>
              <w:pStyle w:val="TableParagraph"/>
              <w:spacing w:before="144"/>
              <w:ind w:right="187"/>
              <w:jc w:val="right"/>
              <w:rPr>
                <w:sz w:val="13"/>
              </w:rPr>
            </w:pPr>
            <w:r>
              <w:rPr>
                <w:spacing w:val="-10"/>
                <w:w w:val="105"/>
                <w:sz w:val="13"/>
              </w:rPr>
              <w:t>-</w:t>
            </w:r>
          </w:p>
        </w:tc>
        <w:tc>
          <w:tcPr>
            <w:tcW w:w="949" w:type="dxa"/>
            <w:tcBorders>
              <w:top w:val="single" w:sz="6" w:space="0" w:color="000000"/>
            </w:tcBorders>
          </w:tcPr>
          <w:p>
            <w:pPr>
              <w:pStyle w:val="TableParagraph"/>
              <w:spacing w:before="144"/>
              <w:ind w:right="221"/>
              <w:jc w:val="right"/>
              <w:rPr>
                <w:sz w:val="13"/>
              </w:rPr>
            </w:pPr>
            <w:r>
              <w:rPr>
                <w:spacing w:val="-10"/>
                <w:w w:val="105"/>
                <w:sz w:val="13"/>
              </w:rPr>
              <w:t>-</w:t>
            </w:r>
          </w:p>
        </w:tc>
        <w:tc>
          <w:tcPr>
            <w:tcW w:w="901" w:type="dxa"/>
            <w:tcBorders>
              <w:top w:val="single" w:sz="6" w:space="0" w:color="000000"/>
            </w:tcBorders>
          </w:tcPr>
          <w:p>
            <w:pPr>
              <w:pStyle w:val="TableParagraph"/>
              <w:spacing w:before="144"/>
              <w:ind w:right="207"/>
              <w:jc w:val="right"/>
              <w:rPr>
                <w:sz w:val="13"/>
              </w:rPr>
            </w:pPr>
            <w:r>
              <w:rPr>
                <w:spacing w:val="-10"/>
                <w:w w:val="105"/>
                <w:sz w:val="13"/>
              </w:rPr>
              <w:t>-</w:t>
            </w:r>
          </w:p>
        </w:tc>
        <w:tc>
          <w:tcPr>
            <w:tcW w:w="775" w:type="dxa"/>
            <w:tcBorders>
              <w:top w:val="single" w:sz="6" w:space="0" w:color="000000"/>
            </w:tcBorders>
          </w:tcPr>
          <w:p>
            <w:pPr>
              <w:pStyle w:val="TableParagraph"/>
              <w:spacing w:before="140"/>
              <w:ind w:right="29"/>
              <w:jc w:val="right"/>
              <w:rPr>
                <w:sz w:val="13"/>
              </w:rPr>
            </w:pPr>
            <w:r>
              <w:rPr>
                <w:spacing w:val="-2"/>
                <w:w w:val="105"/>
                <w:sz w:val="13"/>
              </w:rPr>
              <w:t>1.96%</w:t>
            </w:r>
          </w:p>
        </w:tc>
      </w:tr>
      <w:tr>
        <w:trPr>
          <w:trHeight w:val="167" w:hRule="atLeast"/>
        </w:trPr>
        <w:tc>
          <w:tcPr>
            <w:tcW w:w="2945" w:type="dxa"/>
          </w:tcPr>
          <w:p>
            <w:pPr>
              <w:pStyle w:val="TableParagraph"/>
              <w:spacing w:line="136" w:lineRule="exact"/>
              <w:ind w:left="34"/>
              <w:rPr>
                <w:sz w:val="13"/>
              </w:rPr>
            </w:pPr>
            <w:r>
              <w:rPr>
                <w:w w:val="105"/>
                <w:sz w:val="13"/>
              </w:rPr>
              <w:t>-</w:t>
            </w:r>
            <w:r>
              <w:rPr>
                <w:spacing w:val="-4"/>
                <w:w w:val="105"/>
                <w:sz w:val="13"/>
              </w:rPr>
              <w:t> </w:t>
            </w:r>
            <w:r>
              <w:rPr>
                <w:w w:val="105"/>
                <w:sz w:val="13"/>
              </w:rPr>
              <w:t>Debt</w:t>
            </w:r>
            <w:r>
              <w:rPr>
                <w:spacing w:val="-6"/>
                <w:w w:val="105"/>
                <w:sz w:val="13"/>
              </w:rPr>
              <w:t> </w:t>
            </w:r>
            <w:r>
              <w:rPr>
                <w:w w:val="105"/>
                <w:sz w:val="13"/>
              </w:rPr>
              <w:t>portfolio</w:t>
            </w:r>
            <w:r>
              <w:rPr>
                <w:spacing w:val="-5"/>
                <w:w w:val="105"/>
                <w:sz w:val="13"/>
              </w:rPr>
              <w:t> </w:t>
            </w:r>
            <w:r>
              <w:rPr>
                <w:w w:val="105"/>
                <w:sz w:val="13"/>
              </w:rPr>
              <w:t>manager</w:t>
            </w:r>
            <w:r>
              <w:rPr>
                <w:spacing w:val="-4"/>
                <w:w w:val="105"/>
                <w:sz w:val="13"/>
              </w:rPr>
              <w:t> </w:t>
            </w:r>
            <w:r>
              <w:rPr>
                <w:w w:val="105"/>
                <w:sz w:val="13"/>
              </w:rPr>
              <w:t>-</w:t>
            </w:r>
            <w:r>
              <w:rPr>
                <w:spacing w:val="-4"/>
                <w:w w:val="105"/>
                <w:sz w:val="13"/>
              </w:rPr>
              <w:t> </w:t>
            </w:r>
            <w:r>
              <w:rPr>
                <w:w w:val="105"/>
                <w:sz w:val="13"/>
              </w:rPr>
              <w:t>term</w:t>
            </w:r>
            <w:r>
              <w:rPr>
                <w:spacing w:val="-4"/>
                <w:w w:val="105"/>
                <w:sz w:val="13"/>
              </w:rPr>
              <w:t> </w:t>
            </w:r>
            <w:r>
              <w:rPr>
                <w:w w:val="105"/>
                <w:sz w:val="13"/>
              </w:rPr>
              <w:t>fixed</w:t>
            </w:r>
            <w:r>
              <w:rPr>
                <w:spacing w:val="-5"/>
                <w:w w:val="105"/>
                <w:sz w:val="13"/>
              </w:rPr>
              <w:t> </w:t>
            </w:r>
            <w:r>
              <w:rPr>
                <w:spacing w:val="-4"/>
                <w:w w:val="105"/>
                <w:sz w:val="13"/>
              </w:rPr>
              <w:t>rate</w:t>
            </w:r>
          </w:p>
        </w:tc>
        <w:tc>
          <w:tcPr>
            <w:tcW w:w="1745" w:type="dxa"/>
          </w:tcPr>
          <w:p>
            <w:pPr>
              <w:pStyle w:val="TableParagraph"/>
              <w:spacing w:line="136" w:lineRule="exact"/>
              <w:ind w:right="207"/>
              <w:jc w:val="center"/>
              <w:rPr>
                <w:sz w:val="13"/>
              </w:rPr>
            </w:pPr>
            <w:r>
              <w:rPr>
                <w:w w:val="105"/>
                <w:sz w:val="13"/>
              </w:rPr>
              <w:t>15/01/2021</w:t>
            </w:r>
            <w:r>
              <w:rPr>
                <w:spacing w:val="-10"/>
                <w:w w:val="105"/>
                <w:sz w:val="13"/>
              </w:rPr>
              <w:t> </w:t>
            </w:r>
            <w:r>
              <w:rPr>
                <w:w w:val="105"/>
                <w:sz w:val="13"/>
              </w:rPr>
              <w:t>-</w:t>
            </w:r>
            <w:r>
              <w:rPr>
                <w:spacing w:val="-8"/>
                <w:w w:val="105"/>
                <w:sz w:val="13"/>
              </w:rPr>
              <w:t> </w:t>
            </w:r>
            <w:r>
              <w:rPr>
                <w:spacing w:val="-2"/>
                <w:w w:val="105"/>
                <w:sz w:val="13"/>
              </w:rPr>
              <w:t>15/10/2030</w:t>
            </w:r>
          </w:p>
        </w:tc>
        <w:tc>
          <w:tcPr>
            <w:tcW w:w="1040" w:type="dxa"/>
          </w:tcPr>
          <w:p>
            <w:pPr>
              <w:pStyle w:val="TableParagraph"/>
              <w:spacing w:line="129" w:lineRule="exact"/>
              <w:ind w:right="195"/>
              <w:jc w:val="right"/>
              <w:rPr>
                <w:sz w:val="13"/>
              </w:rPr>
            </w:pPr>
            <w:r>
              <w:rPr>
                <w:spacing w:val="-2"/>
                <w:w w:val="105"/>
                <w:sz w:val="13"/>
              </w:rPr>
              <w:t>114,125</w:t>
            </w:r>
          </w:p>
        </w:tc>
        <w:tc>
          <w:tcPr>
            <w:tcW w:w="949" w:type="dxa"/>
          </w:tcPr>
          <w:p>
            <w:pPr>
              <w:pStyle w:val="TableParagraph"/>
              <w:spacing w:line="129" w:lineRule="exact"/>
              <w:ind w:right="229"/>
              <w:jc w:val="right"/>
              <w:rPr>
                <w:sz w:val="13"/>
              </w:rPr>
            </w:pPr>
            <w:r>
              <w:rPr>
                <w:spacing w:val="-2"/>
                <w:w w:val="105"/>
                <w:sz w:val="13"/>
              </w:rPr>
              <w:t>98,125</w:t>
            </w:r>
          </w:p>
        </w:tc>
        <w:tc>
          <w:tcPr>
            <w:tcW w:w="901" w:type="dxa"/>
          </w:tcPr>
          <w:p>
            <w:pPr>
              <w:pStyle w:val="TableParagraph"/>
              <w:spacing w:line="129" w:lineRule="exact"/>
              <w:ind w:right="169"/>
              <w:jc w:val="right"/>
              <w:rPr>
                <w:sz w:val="13"/>
              </w:rPr>
            </w:pPr>
            <w:r>
              <w:rPr>
                <w:spacing w:val="-2"/>
                <w:w w:val="105"/>
                <w:sz w:val="13"/>
              </w:rPr>
              <w:t>3.31%</w:t>
            </w:r>
          </w:p>
        </w:tc>
        <w:tc>
          <w:tcPr>
            <w:tcW w:w="775" w:type="dxa"/>
          </w:tcPr>
          <w:p>
            <w:pPr>
              <w:pStyle w:val="TableParagraph"/>
              <w:spacing w:line="129" w:lineRule="exact"/>
              <w:ind w:right="29"/>
              <w:jc w:val="right"/>
              <w:rPr>
                <w:sz w:val="13"/>
              </w:rPr>
            </w:pPr>
            <w:r>
              <w:rPr>
                <w:spacing w:val="-2"/>
                <w:w w:val="105"/>
                <w:sz w:val="13"/>
              </w:rPr>
              <w:t>3.85%</w:t>
            </w:r>
          </w:p>
        </w:tc>
      </w:tr>
      <w:tr>
        <w:trPr>
          <w:trHeight w:val="167" w:hRule="atLeast"/>
        </w:trPr>
        <w:tc>
          <w:tcPr>
            <w:tcW w:w="2945" w:type="dxa"/>
          </w:tcPr>
          <w:p>
            <w:pPr>
              <w:pStyle w:val="TableParagraph"/>
              <w:spacing w:line="136" w:lineRule="exact"/>
              <w:ind w:left="34"/>
              <w:rPr>
                <w:sz w:val="13"/>
              </w:rPr>
            </w:pPr>
            <w:r>
              <w:rPr>
                <w:w w:val="105"/>
                <w:sz w:val="13"/>
              </w:rPr>
              <w:t>-</w:t>
            </w:r>
            <w:r>
              <w:rPr>
                <w:spacing w:val="-5"/>
                <w:w w:val="105"/>
                <w:sz w:val="13"/>
              </w:rPr>
              <w:t> </w:t>
            </w:r>
            <w:r>
              <w:rPr>
                <w:w w:val="105"/>
                <w:sz w:val="13"/>
              </w:rPr>
              <w:t>Debt</w:t>
            </w:r>
            <w:r>
              <w:rPr>
                <w:spacing w:val="-5"/>
                <w:w w:val="105"/>
                <w:sz w:val="13"/>
              </w:rPr>
              <w:t> </w:t>
            </w:r>
            <w:r>
              <w:rPr>
                <w:w w:val="105"/>
                <w:sz w:val="13"/>
              </w:rPr>
              <w:t>portfolio</w:t>
            </w:r>
            <w:r>
              <w:rPr>
                <w:spacing w:val="-6"/>
                <w:w w:val="105"/>
                <w:sz w:val="13"/>
              </w:rPr>
              <w:t> </w:t>
            </w:r>
            <w:r>
              <w:rPr>
                <w:w w:val="105"/>
                <w:sz w:val="13"/>
              </w:rPr>
              <w:t>manager</w:t>
            </w:r>
            <w:r>
              <w:rPr>
                <w:spacing w:val="-4"/>
                <w:w w:val="105"/>
                <w:sz w:val="13"/>
              </w:rPr>
              <w:t> </w:t>
            </w:r>
            <w:r>
              <w:rPr>
                <w:w w:val="105"/>
                <w:sz w:val="13"/>
              </w:rPr>
              <w:t>-</w:t>
            </w:r>
            <w:r>
              <w:rPr>
                <w:spacing w:val="-4"/>
                <w:w w:val="105"/>
                <w:sz w:val="13"/>
              </w:rPr>
              <w:t> </w:t>
            </w:r>
            <w:r>
              <w:rPr>
                <w:w w:val="105"/>
                <w:sz w:val="13"/>
              </w:rPr>
              <w:t>term</w:t>
            </w:r>
            <w:r>
              <w:rPr>
                <w:spacing w:val="-4"/>
                <w:w w:val="105"/>
                <w:sz w:val="13"/>
              </w:rPr>
              <w:t> </w:t>
            </w:r>
            <w:r>
              <w:rPr>
                <w:w w:val="105"/>
                <w:sz w:val="13"/>
              </w:rPr>
              <w:t>floating</w:t>
            </w:r>
            <w:r>
              <w:rPr>
                <w:spacing w:val="-6"/>
                <w:w w:val="105"/>
                <w:sz w:val="13"/>
              </w:rPr>
              <w:t> </w:t>
            </w:r>
            <w:r>
              <w:rPr>
                <w:spacing w:val="-4"/>
                <w:w w:val="105"/>
                <w:sz w:val="13"/>
              </w:rPr>
              <w:t>rate</w:t>
            </w:r>
          </w:p>
        </w:tc>
        <w:tc>
          <w:tcPr>
            <w:tcW w:w="1745" w:type="dxa"/>
          </w:tcPr>
          <w:p>
            <w:pPr>
              <w:pStyle w:val="TableParagraph"/>
              <w:spacing w:line="136" w:lineRule="exact"/>
              <w:ind w:left="4" w:right="207"/>
              <w:jc w:val="center"/>
              <w:rPr>
                <w:sz w:val="13"/>
              </w:rPr>
            </w:pPr>
            <w:r>
              <w:rPr>
                <w:w w:val="105"/>
                <w:sz w:val="13"/>
              </w:rPr>
              <w:t>21/01/2021</w:t>
            </w:r>
            <w:r>
              <w:rPr>
                <w:spacing w:val="-10"/>
                <w:w w:val="105"/>
                <w:sz w:val="13"/>
              </w:rPr>
              <w:t> </w:t>
            </w:r>
            <w:r>
              <w:rPr>
                <w:w w:val="105"/>
                <w:sz w:val="13"/>
              </w:rPr>
              <w:t>-</w:t>
            </w:r>
            <w:r>
              <w:rPr>
                <w:spacing w:val="-8"/>
                <w:w w:val="105"/>
                <w:sz w:val="13"/>
              </w:rPr>
              <w:t> </w:t>
            </w:r>
            <w:r>
              <w:rPr>
                <w:spacing w:val="-2"/>
                <w:w w:val="105"/>
                <w:sz w:val="13"/>
              </w:rPr>
              <w:t>21/10/2025</w:t>
            </w:r>
          </w:p>
        </w:tc>
        <w:tc>
          <w:tcPr>
            <w:tcW w:w="1040" w:type="dxa"/>
          </w:tcPr>
          <w:p>
            <w:pPr>
              <w:pStyle w:val="TableParagraph"/>
              <w:spacing w:line="129" w:lineRule="exact"/>
              <w:ind w:right="195"/>
              <w:jc w:val="right"/>
              <w:rPr>
                <w:sz w:val="13"/>
              </w:rPr>
            </w:pPr>
            <w:r>
              <w:rPr>
                <w:spacing w:val="-2"/>
                <w:w w:val="105"/>
                <w:sz w:val="13"/>
              </w:rPr>
              <w:t>24,600</w:t>
            </w:r>
          </w:p>
        </w:tc>
        <w:tc>
          <w:tcPr>
            <w:tcW w:w="949" w:type="dxa"/>
          </w:tcPr>
          <w:p>
            <w:pPr>
              <w:pStyle w:val="TableParagraph"/>
              <w:spacing w:line="129" w:lineRule="exact"/>
              <w:ind w:right="229"/>
              <w:jc w:val="right"/>
              <w:rPr>
                <w:sz w:val="13"/>
              </w:rPr>
            </w:pPr>
            <w:r>
              <w:rPr>
                <w:spacing w:val="-2"/>
                <w:w w:val="105"/>
                <w:sz w:val="13"/>
              </w:rPr>
              <w:t>20,600</w:t>
            </w:r>
          </w:p>
        </w:tc>
        <w:tc>
          <w:tcPr>
            <w:tcW w:w="901" w:type="dxa"/>
          </w:tcPr>
          <w:p>
            <w:pPr>
              <w:pStyle w:val="TableParagraph"/>
              <w:spacing w:line="129" w:lineRule="exact"/>
              <w:ind w:right="169"/>
              <w:jc w:val="right"/>
              <w:rPr>
                <w:sz w:val="13"/>
              </w:rPr>
            </w:pPr>
            <w:r>
              <w:rPr>
                <w:spacing w:val="-2"/>
                <w:w w:val="105"/>
                <w:sz w:val="13"/>
              </w:rPr>
              <w:t>0.67%</w:t>
            </w:r>
          </w:p>
        </w:tc>
        <w:tc>
          <w:tcPr>
            <w:tcW w:w="775" w:type="dxa"/>
          </w:tcPr>
          <w:p>
            <w:pPr>
              <w:pStyle w:val="TableParagraph"/>
              <w:spacing w:line="129" w:lineRule="exact"/>
              <w:ind w:right="29"/>
              <w:jc w:val="right"/>
              <w:rPr>
                <w:sz w:val="13"/>
              </w:rPr>
            </w:pPr>
            <w:r>
              <w:rPr>
                <w:spacing w:val="-2"/>
                <w:w w:val="105"/>
                <w:sz w:val="13"/>
              </w:rPr>
              <w:t>1.84%</w:t>
            </w:r>
          </w:p>
        </w:tc>
      </w:tr>
      <w:tr>
        <w:trPr>
          <w:trHeight w:val="197" w:hRule="atLeast"/>
        </w:trPr>
        <w:tc>
          <w:tcPr>
            <w:tcW w:w="2945" w:type="dxa"/>
          </w:tcPr>
          <w:p>
            <w:pPr>
              <w:pStyle w:val="TableParagraph"/>
              <w:spacing w:line="136" w:lineRule="exact"/>
              <w:ind w:left="34"/>
              <w:rPr>
                <w:sz w:val="13"/>
              </w:rPr>
            </w:pPr>
            <w:r>
              <w:rPr>
                <w:w w:val="105"/>
                <w:sz w:val="13"/>
              </w:rPr>
              <w:t>-</w:t>
            </w:r>
            <w:r>
              <w:rPr>
                <w:spacing w:val="-3"/>
                <w:w w:val="105"/>
                <w:sz w:val="13"/>
              </w:rPr>
              <w:t> </w:t>
            </w:r>
            <w:r>
              <w:rPr>
                <w:w w:val="105"/>
                <w:sz w:val="13"/>
              </w:rPr>
              <w:t>Fixed</w:t>
            </w:r>
            <w:r>
              <w:rPr>
                <w:spacing w:val="-4"/>
                <w:w w:val="105"/>
                <w:sz w:val="13"/>
              </w:rPr>
              <w:t> </w:t>
            </w:r>
            <w:r>
              <w:rPr>
                <w:w w:val="105"/>
                <w:sz w:val="13"/>
              </w:rPr>
              <w:t>rate</w:t>
            </w:r>
            <w:r>
              <w:rPr>
                <w:spacing w:val="-5"/>
                <w:w w:val="105"/>
                <w:sz w:val="13"/>
              </w:rPr>
              <w:t> </w:t>
            </w:r>
            <w:r>
              <w:rPr>
                <w:spacing w:val="-2"/>
                <w:w w:val="105"/>
                <w:sz w:val="13"/>
              </w:rPr>
              <w:t>project</w:t>
            </w:r>
          </w:p>
        </w:tc>
        <w:tc>
          <w:tcPr>
            <w:tcW w:w="1745" w:type="dxa"/>
          </w:tcPr>
          <w:p>
            <w:pPr>
              <w:pStyle w:val="TableParagraph"/>
              <w:spacing w:line="136" w:lineRule="exact"/>
              <w:ind w:left="1" w:right="207"/>
              <w:jc w:val="center"/>
              <w:rPr>
                <w:sz w:val="13"/>
              </w:rPr>
            </w:pPr>
            <w:r>
              <w:rPr>
                <w:spacing w:val="-2"/>
                <w:w w:val="105"/>
                <w:sz w:val="13"/>
              </w:rPr>
              <w:t>15/10/2023</w:t>
            </w:r>
          </w:p>
        </w:tc>
        <w:tc>
          <w:tcPr>
            <w:tcW w:w="1040" w:type="dxa"/>
          </w:tcPr>
          <w:p>
            <w:pPr>
              <w:pStyle w:val="TableParagraph"/>
              <w:spacing w:line="129" w:lineRule="exact"/>
              <w:ind w:right="195"/>
              <w:jc w:val="right"/>
              <w:rPr>
                <w:sz w:val="13"/>
              </w:rPr>
            </w:pPr>
            <w:r>
              <w:rPr>
                <w:spacing w:val="-2"/>
                <w:w w:val="105"/>
                <w:sz w:val="13"/>
              </w:rPr>
              <w:t>10,968</w:t>
            </w:r>
          </w:p>
        </w:tc>
        <w:tc>
          <w:tcPr>
            <w:tcW w:w="949" w:type="dxa"/>
          </w:tcPr>
          <w:p>
            <w:pPr>
              <w:pStyle w:val="TableParagraph"/>
              <w:spacing w:line="129" w:lineRule="exact"/>
              <w:ind w:right="229"/>
              <w:jc w:val="right"/>
              <w:rPr>
                <w:sz w:val="13"/>
              </w:rPr>
            </w:pPr>
            <w:r>
              <w:rPr>
                <w:spacing w:val="-2"/>
                <w:w w:val="105"/>
                <w:sz w:val="13"/>
              </w:rPr>
              <w:t>14,360</w:t>
            </w:r>
          </w:p>
        </w:tc>
        <w:tc>
          <w:tcPr>
            <w:tcW w:w="901" w:type="dxa"/>
          </w:tcPr>
          <w:p>
            <w:pPr>
              <w:pStyle w:val="TableParagraph"/>
              <w:spacing w:line="129" w:lineRule="exact"/>
              <w:ind w:right="169"/>
              <w:jc w:val="right"/>
              <w:rPr>
                <w:sz w:val="13"/>
              </w:rPr>
            </w:pPr>
            <w:r>
              <w:rPr>
                <w:spacing w:val="-2"/>
                <w:w w:val="105"/>
                <w:sz w:val="13"/>
              </w:rPr>
              <w:t>3.78%</w:t>
            </w:r>
          </w:p>
        </w:tc>
        <w:tc>
          <w:tcPr>
            <w:tcW w:w="775" w:type="dxa"/>
          </w:tcPr>
          <w:p>
            <w:pPr>
              <w:pStyle w:val="TableParagraph"/>
              <w:spacing w:line="129" w:lineRule="exact"/>
              <w:ind w:right="29"/>
              <w:jc w:val="right"/>
              <w:rPr>
                <w:sz w:val="13"/>
              </w:rPr>
            </w:pPr>
            <w:r>
              <w:rPr>
                <w:spacing w:val="-2"/>
                <w:w w:val="105"/>
                <w:sz w:val="13"/>
              </w:rPr>
              <w:t>3.78%</w:t>
            </w:r>
          </w:p>
        </w:tc>
      </w:tr>
      <w:tr>
        <w:trPr>
          <w:trHeight w:val="137" w:hRule="atLeast"/>
        </w:trPr>
        <w:tc>
          <w:tcPr>
            <w:tcW w:w="2945" w:type="dxa"/>
          </w:tcPr>
          <w:p>
            <w:pPr>
              <w:pStyle w:val="TableParagraph"/>
              <w:spacing w:line="106" w:lineRule="exact"/>
              <w:ind w:left="34"/>
              <w:rPr>
                <w:sz w:val="13"/>
              </w:rPr>
            </w:pPr>
            <w:r>
              <w:rPr>
                <w:w w:val="105"/>
                <w:sz w:val="13"/>
              </w:rPr>
              <w:t>-</w:t>
            </w:r>
            <w:r>
              <w:rPr>
                <w:spacing w:val="-3"/>
                <w:w w:val="105"/>
                <w:sz w:val="13"/>
              </w:rPr>
              <w:t> </w:t>
            </w:r>
            <w:r>
              <w:rPr>
                <w:w w:val="105"/>
                <w:sz w:val="13"/>
              </w:rPr>
              <w:t>Fixed</w:t>
            </w:r>
            <w:r>
              <w:rPr>
                <w:spacing w:val="-4"/>
                <w:w w:val="105"/>
                <w:sz w:val="13"/>
              </w:rPr>
              <w:t> </w:t>
            </w:r>
            <w:r>
              <w:rPr>
                <w:w w:val="105"/>
                <w:sz w:val="13"/>
              </w:rPr>
              <w:t>rate</w:t>
            </w:r>
            <w:r>
              <w:rPr>
                <w:spacing w:val="-5"/>
                <w:w w:val="105"/>
                <w:sz w:val="13"/>
              </w:rPr>
              <w:t> </w:t>
            </w:r>
            <w:r>
              <w:rPr>
                <w:spacing w:val="-2"/>
                <w:w w:val="105"/>
                <w:sz w:val="13"/>
              </w:rPr>
              <w:t>project</w:t>
            </w:r>
          </w:p>
        </w:tc>
        <w:tc>
          <w:tcPr>
            <w:tcW w:w="1745" w:type="dxa"/>
          </w:tcPr>
          <w:p>
            <w:pPr>
              <w:pStyle w:val="TableParagraph"/>
              <w:spacing w:line="106" w:lineRule="exact"/>
              <w:ind w:left="1" w:right="207"/>
              <w:jc w:val="center"/>
              <w:rPr>
                <w:sz w:val="13"/>
              </w:rPr>
            </w:pPr>
            <w:r>
              <w:rPr>
                <w:spacing w:val="-2"/>
                <w:w w:val="105"/>
                <w:sz w:val="13"/>
              </w:rPr>
              <w:t>15/01/2035</w:t>
            </w:r>
          </w:p>
        </w:tc>
        <w:tc>
          <w:tcPr>
            <w:tcW w:w="1989" w:type="dxa"/>
            <w:gridSpan w:val="2"/>
          </w:tcPr>
          <w:p>
            <w:pPr>
              <w:pStyle w:val="TableParagraph"/>
              <w:tabs>
                <w:tab w:pos="429" w:val="left" w:leader="none"/>
                <w:tab w:pos="1719" w:val="left" w:leader="none"/>
              </w:tabs>
              <w:spacing w:line="103" w:lineRule="exact"/>
              <w:ind w:left="-1"/>
              <w:rPr>
                <w:sz w:val="13"/>
              </w:rPr>
            </w:pPr>
            <w:r>
              <w:rPr>
                <w:sz w:val="13"/>
                <w:u w:val="single"/>
              </w:rPr>
              <w:tab/>
            </w:r>
            <w:r>
              <w:rPr>
                <w:spacing w:val="-2"/>
                <w:w w:val="105"/>
                <w:sz w:val="13"/>
                <w:u w:val="single"/>
              </w:rPr>
              <w:t>34,962</w:t>
            </w:r>
            <w:r>
              <w:rPr>
                <w:sz w:val="13"/>
                <w:u w:val="single"/>
              </w:rPr>
              <w:tab/>
            </w:r>
            <w:r>
              <w:rPr>
                <w:spacing w:val="-10"/>
                <w:w w:val="105"/>
                <w:sz w:val="13"/>
                <w:u w:val="single"/>
              </w:rPr>
              <w:t>-</w:t>
            </w:r>
            <w:r>
              <w:rPr>
                <w:spacing w:val="80"/>
                <w:w w:val="105"/>
                <w:sz w:val="13"/>
                <w:u w:val="single"/>
              </w:rPr>
              <w:t> </w:t>
            </w:r>
          </w:p>
        </w:tc>
        <w:tc>
          <w:tcPr>
            <w:tcW w:w="901" w:type="dxa"/>
          </w:tcPr>
          <w:p>
            <w:pPr>
              <w:pStyle w:val="TableParagraph"/>
              <w:spacing w:line="99" w:lineRule="exact"/>
              <w:ind w:right="170"/>
              <w:jc w:val="right"/>
              <w:rPr>
                <w:sz w:val="13"/>
              </w:rPr>
            </w:pPr>
            <w:r>
              <w:rPr>
                <w:spacing w:val="-2"/>
                <w:w w:val="105"/>
                <w:sz w:val="13"/>
              </w:rPr>
              <w:t>1.96%</w:t>
            </w:r>
          </w:p>
        </w:tc>
        <w:tc>
          <w:tcPr>
            <w:tcW w:w="775" w:type="dxa"/>
          </w:tcPr>
          <w:p>
            <w:pPr>
              <w:pStyle w:val="TableParagraph"/>
              <w:spacing w:line="103" w:lineRule="exact"/>
              <w:ind w:right="67"/>
              <w:jc w:val="right"/>
              <w:rPr>
                <w:sz w:val="13"/>
              </w:rPr>
            </w:pPr>
            <w:r>
              <w:rPr>
                <w:spacing w:val="-10"/>
                <w:w w:val="105"/>
                <w:sz w:val="13"/>
              </w:rPr>
              <w:t>-</w:t>
            </w:r>
          </w:p>
        </w:tc>
      </w:tr>
      <w:tr>
        <w:trPr>
          <w:trHeight w:val="200" w:hRule="atLeast"/>
        </w:trPr>
        <w:tc>
          <w:tcPr>
            <w:tcW w:w="2945" w:type="dxa"/>
          </w:tcPr>
          <w:p>
            <w:pPr>
              <w:pStyle w:val="TableParagraph"/>
              <w:spacing w:line="138" w:lineRule="exact"/>
              <w:ind w:left="34"/>
              <w:rPr>
                <w:b/>
                <w:sz w:val="13"/>
              </w:rPr>
            </w:pPr>
            <w:r>
              <w:rPr>
                <w:b/>
                <w:w w:val="105"/>
                <w:sz w:val="13"/>
              </w:rPr>
              <w:t>Total</w:t>
            </w:r>
            <w:r>
              <w:rPr>
                <w:b/>
                <w:spacing w:val="-7"/>
                <w:w w:val="105"/>
                <w:sz w:val="13"/>
              </w:rPr>
              <w:t> </w:t>
            </w:r>
            <w:r>
              <w:rPr>
                <w:b/>
                <w:w w:val="105"/>
                <w:sz w:val="13"/>
              </w:rPr>
              <w:t>WATC</w:t>
            </w:r>
            <w:r>
              <w:rPr>
                <w:b/>
                <w:spacing w:val="-6"/>
                <w:w w:val="105"/>
                <w:sz w:val="13"/>
              </w:rPr>
              <w:t> </w:t>
            </w:r>
            <w:r>
              <w:rPr>
                <w:b/>
                <w:spacing w:val="-2"/>
                <w:w w:val="105"/>
                <w:sz w:val="13"/>
              </w:rPr>
              <w:t>loans</w:t>
            </w:r>
          </w:p>
        </w:tc>
        <w:tc>
          <w:tcPr>
            <w:tcW w:w="1745" w:type="dxa"/>
          </w:tcPr>
          <w:p>
            <w:pPr>
              <w:pStyle w:val="TableParagraph"/>
              <w:rPr>
                <w:rFonts w:ascii="Times New Roman"/>
                <w:sz w:val="12"/>
              </w:rPr>
            </w:pPr>
          </w:p>
        </w:tc>
        <w:tc>
          <w:tcPr>
            <w:tcW w:w="1989" w:type="dxa"/>
            <w:gridSpan w:val="2"/>
          </w:tcPr>
          <w:p>
            <w:pPr>
              <w:pStyle w:val="TableParagraph"/>
              <w:tabs>
                <w:tab w:pos="354" w:val="left" w:leader="none"/>
                <w:tab w:pos="1270" w:val="left" w:leader="none"/>
              </w:tabs>
              <w:spacing w:line="129" w:lineRule="exact"/>
              <w:ind w:left="-1"/>
              <w:rPr>
                <w:b/>
                <w:sz w:val="13"/>
              </w:rPr>
            </w:pPr>
            <w:r>
              <w:rPr>
                <w:b/>
                <w:sz w:val="13"/>
                <w:u w:val="single"/>
              </w:rPr>
              <w:tab/>
            </w:r>
            <w:r>
              <w:rPr>
                <w:b/>
                <w:spacing w:val="-2"/>
                <w:w w:val="105"/>
                <w:sz w:val="13"/>
                <w:u w:val="single"/>
              </w:rPr>
              <w:t>184,655</w:t>
            </w:r>
            <w:r>
              <w:rPr>
                <w:b/>
                <w:sz w:val="13"/>
                <w:u w:val="single"/>
              </w:rPr>
              <w:tab/>
            </w:r>
            <w:r>
              <w:rPr>
                <w:b/>
                <w:spacing w:val="-2"/>
                <w:w w:val="105"/>
                <w:sz w:val="13"/>
                <w:u w:val="single"/>
              </w:rPr>
              <w:t>133,085</w:t>
            </w:r>
            <w:r>
              <w:rPr>
                <w:b/>
                <w:spacing w:val="80"/>
                <w:w w:val="105"/>
                <w:sz w:val="13"/>
                <w:u w:val="single"/>
              </w:rPr>
              <w:t> </w:t>
            </w:r>
          </w:p>
        </w:tc>
        <w:tc>
          <w:tcPr>
            <w:tcW w:w="901" w:type="dxa"/>
          </w:tcPr>
          <w:p>
            <w:pPr>
              <w:pStyle w:val="TableParagraph"/>
              <w:rPr>
                <w:rFonts w:ascii="Times New Roman"/>
                <w:sz w:val="12"/>
              </w:rPr>
            </w:pPr>
          </w:p>
        </w:tc>
        <w:tc>
          <w:tcPr>
            <w:tcW w:w="775" w:type="dxa"/>
          </w:tcPr>
          <w:p>
            <w:pPr>
              <w:pStyle w:val="TableParagraph"/>
              <w:rPr>
                <w:rFonts w:ascii="Times New Roman"/>
                <w:sz w:val="12"/>
              </w:rPr>
            </w:pPr>
          </w:p>
        </w:tc>
      </w:tr>
    </w:tbl>
    <w:p>
      <w:pPr>
        <w:spacing w:line="273" w:lineRule="auto" w:before="125"/>
        <w:ind w:left="746" w:right="303" w:firstLine="0"/>
        <w:jc w:val="both"/>
        <w:rPr>
          <w:sz w:val="13"/>
        </w:rPr>
      </w:pPr>
      <w:r>
        <w:rPr>
          <w:w w:val="105"/>
          <w:sz w:val="13"/>
        </w:rPr>
        <w:t>Average</w:t>
      </w:r>
      <w:r>
        <w:rPr>
          <w:w w:val="105"/>
          <w:sz w:val="13"/>
        </w:rPr>
        <w:t> interest</w:t>
      </w:r>
      <w:r>
        <w:rPr>
          <w:w w:val="105"/>
          <w:sz w:val="13"/>
        </w:rPr>
        <w:t> rates</w:t>
      </w:r>
      <w:r>
        <w:rPr>
          <w:w w:val="105"/>
          <w:sz w:val="13"/>
        </w:rPr>
        <w:t> are</w:t>
      </w:r>
      <w:r>
        <w:rPr>
          <w:w w:val="105"/>
          <w:sz w:val="13"/>
        </w:rPr>
        <w:t> calculated</w:t>
      </w:r>
      <w:r>
        <w:rPr>
          <w:w w:val="105"/>
          <w:sz w:val="13"/>
        </w:rPr>
        <w:t> based</w:t>
      </w:r>
      <w:r>
        <w:rPr>
          <w:w w:val="105"/>
          <w:sz w:val="13"/>
        </w:rPr>
        <w:t> on</w:t>
      </w:r>
      <w:r>
        <w:rPr>
          <w:w w:val="105"/>
          <w:sz w:val="13"/>
        </w:rPr>
        <w:t> the</w:t>
      </w:r>
      <w:r>
        <w:rPr>
          <w:w w:val="105"/>
          <w:sz w:val="13"/>
        </w:rPr>
        <w:t> total</w:t>
      </w:r>
      <w:r>
        <w:rPr>
          <w:w w:val="105"/>
          <w:sz w:val="13"/>
        </w:rPr>
        <w:t> interest</w:t>
      </w:r>
      <w:r>
        <w:rPr>
          <w:w w:val="105"/>
          <w:sz w:val="13"/>
        </w:rPr>
        <w:t> expenses</w:t>
      </w:r>
      <w:r>
        <w:rPr>
          <w:w w:val="105"/>
          <w:sz w:val="13"/>
        </w:rPr>
        <w:t> and</w:t>
      </w:r>
      <w:r>
        <w:rPr>
          <w:w w:val="105"/>
          <w:sz w:val="13"/>
        </w:rPr>
        <w:t> average</w:t>
      </w:r>
      <w:r>
        <w:rPr>
          <w:w w:val="105"/>
          <w:sz w:val="13"/>
        </w:rPr>
        <w:t> borrowing</w:t>
      </w:r>
      <w:r>
        <w:rPr>
          <w:w w:val="105"/>
          <w:sz w:val="13"/>
        </w:rPr>
        <w:t> amount</w:t>
      </w:r>
      <w:r>
        <w:rPr>
          <w:w w:val="105"/>
          <w:sz w:val="13"/>
        </w:rPr>
        <w:t> of</w:t>
      </w:r>
      <w:r>
        <w:rPr>
          <w:w w:val="105"/>
          <w:sz w:val="13"/>
        </w:rPr>
        <w:t> each</w:t>
      </w:r>
      <w:r>
        <w:rPr>
          <w:w w:val="105"/>
          <w:sz w:val="13"/>
        </w:rPr>
        <w:t> loan</w:t>
      </w:r>
      <w:r>
        <w:rPr>
          <w:w w:val="105"/>
          <w:sz w:val="13"/>
        </w:rPr>
        <w:t> during</w:t>
      </w:r>
      <w:r>
        <w:rPr>
          <w:w w:val="105"/>
          <w:sz w:val="13"/>
        </w:rPr>
        <w:t> the</w:t>
      </w:r>
      <w:r>
        <w:rPr>
          <w:spacing w:val="40"/>
          <w:w w:val="105"/>
          <w:sz w:val="13"/>
        </w:rPr>
        <w:t> </w:t>
      </w:r>
      <w:r>
        <w:rPr>
          <w:w w:val="105"/>
          <w:sz w:val="13"/>
        </w:rPr>
        <w:t>reporting</w:t>
      </w:r>
      <w:r>
        <w:rPr>
          <w:spacing w:val="-6"/>
          <w:w w:val="105"/>
          <w:sz w:val="13"/>
        </w:rPr>
        <w:t> </w:t>
      </w:r>
      <w:r>
        <w:rPr>
          <w:w w:val="105"/>
          <w:sz w:val="13"/>
        </w:rPr>
        <w:t>period.</w:t>
      </w:r>
    </w:p>
    <w:p>
      <w:pPr>
        <w:spacing w:line="240" w:lineRule="auto" w:before="19"/>
        <w:rPr>
          <w:sz w:val="13"/>
        </w:rPr>
      </w:pPr>
    </w:p>
    <w:p>
      <w:pPr>
        <w:spacing w:line="273" w:lineRule="auto" w:before="0"/>
        <w:ind w:left="746" w:right="305" w:firstLine="0"/>
        <w:jc w:val="both"/>
        <w:rPr>
          <w:sz w:val="13"/>
        </w:rPr>
      </w:pPr>
      <w:r>
        <w:rPr>
          <w:w w:val="105"/>
          <w:sz w:val="13"/>
        </w:rPr>
        <w:t>The borrowings, excluding the fixed rate project facility, have varying maturity dates up to 10 years and are expected to be refinanced or</w:t>
      </w:r>
      <w:r>
        <w:rPr>
          <w:spacing w:val="40"/>
          <w:w w:val="105"/>
          <w:sz w:val="13"/>
        </w:rPr>
        <w:t> </w:t>
      </w:r>
      <w:r>
        <w:rPr>
          <w:w w:val="105"/>
          <w:sz w:val="13"/>
        </w:rPr>
        <w:t>rolled over under a rolling facility arrangement. The Fixed Rate Project loans have fixed maturity dates with annual repayments for the</w:t>
      </w:r>
      <w:r>
        <w:rPr>
          <w:spacing w:val="40"/>
          <w:w w:val="105"/>
          <w:sz w:val="13"/>
        </w:rPr>
        <w:t> </w:t>
      </w:r>
      <w:r>
        <w:rPr>
          <w:w w:val="105"/>
          <w:sz w:val="13"/>
        </w:rPr>
        <w:t>loan maturing in 2023 and semi-annual repayments for the loan maturing 2035.</w:t>
      </w:r>
    </w:p>
    <w:p>
      <w:pPr>
        <w:spacing w:after="0" w:line="273" w:lineRule="auto"/>
        <w:jc w:val="both"/>
        <w:rPr>
          <w:sz w:val="13"/>
        </w:rPr>
        <w:sectPr>
          <w:type w:val="continuous"/>
          <w:pgSz w:w="11910" w:h="16840"/>
          <w:pgMar w:header="468" w:footer="0" w:top="980" w:bottom="280" w:left="1020" w:right="1540"/>
        </w:sectPr>
      </w:pPr>
    </w:p>
    <w:p>
      <w:pPr>
        <w:spacing w:before="91"/>
        <w:ind w:left="154" w:right="0" w:firstLine="0"/>
        <w:jc w:val="left"/>
        <w:rPr>
          <w:sz w:val="22"/>
        </w:rPr>
      </w:pPr>
      <w:r>
        <w:rPr>
          <w:color w:val="0070C0"/>
          <w:sz w:val="22"/>
        </w:rPr>
        <w:t>NOTES</w:t>
      </w:r>
      <w:r>
        <w:rPr>
          <w:color w:val="0070C0"/>
          <w:spacing w:val="-9"/>
          <w:sz w:val="22"/>
        </w:rPr>
        <w:t> </w:t>
      </w:r>
      <w:r>
        <w:rPr>
          <w:color w:val="0070C0"/>
          <w:sz w:val="22"/>
        </w:rPr>
        <w:t>TO</w:t>
      </w:r>
      <w:r>
        <w:rPr>
          <w:color w:val="0070C0"/>
          <w:spacing w:val="-9"/>
          <w:sz w:val="22"/>
        </w:rPr>
        <w:t> </w:t>
      </w:r>
      <w:r>
        <w:rPr>
          <w:color w:val="0070C0"/>
          <w:sz w:val="22"/>
        </w:rPr>
        <w:t>THE</w:t>
      </w:r>
      <w:r>
        <w:rPr>
          <w:color w:val="0070C0"/>
          <w:spacing w:val="-9"/>
          <w:sz w:val="22"/>
        </w:rPr>
        <w:t> </w:t>
      </w:r>
      <w:r>
        <w:rPr>
          <w:color w:val="0070C0"/>
          <w:sz w:val="22"/>
        </w:rPr>
        <w:t>FINANCIAL</w:t>
      </w:r>
      <w:r>
        <w:rPr>
          <w:color w:val="0070C0"/>
          <w:spacing w:val="-9"/>
          <w:sz w:val="22"/>
        </w:rPr>
        <w:t> </w:t>
      </w:r>
      <w:r>
        <w:rPr>
          <w:color w:val="0070C0"/>
          <w:spacing w:val="-2"/>
          <w:sz w:val="22"/>
        </w:rPr>
        <w:t>STATEMENTS</w:t>
      </w:r>
    </w:p>
    <w:p>
      <w:pPr>
        <w:spacing w:before="31"/>
        <w:ind w:left="141" w:right="0" w:firstLine="0"/>
        <w:jc w:val="left"/>
        <w:rPr>
          <w:sz w:val="12"/>
        </w:rPr>
      </w:pPr>
      <w:r>
        <w:rPr>
          <w:w w:val="105"/>
          <w:sz w:val="12"/>
        </w:rPr>
        <w:t>for</w:t>
      </w:r>
      <w:r>
        <w:rPr>
          <w:spacing w:val="-8"/>
          <w:w w:val="105"/>
          <w:sz w:val="12"/>
        </w:rPr>
        <w:t> </w:t>
      </w:r>
      <w:r>
        <w:rPr>
          <w:w w:val="105"/>
          <w:sz w:val="12"/>
        </w:rPr>
        <w:t>the</w:t>
      </w:r>
      <w:r>
        <w:rPr>
          <w:spacing w:val="-9"/>
          <w:w w:val="105"/>
          <w:sz w:val="12"/>
        </w:rPr>
        <w:t> </w:t>
      </w:r>
      <w:r>
        <w:rPr>
          <w:w w:val="105"/>
          <w:sz w:val="12"/>
        </w:rPr>
        <w:t>year</w:t>
      </w:r>
      <w:r>
        <w:rPr>
          <w:spacing w:val="-8"/>
          <w:w w:val="105"/>
          <w:sz w:val="12"/>
        </w:rPr>
        <w:t> </w:t>
      </w:r>
      <w:r>
        <w:rPr>
          <w:w w:val="105"/>
          <w:sz w:val="12"/>
        </w:rPr>
        <w:t>ended</w:t>
      </w:r>
      <w:r>
        <w:rPr>
          <w:spacing w:val="-8"/>
          <w:w w:val="105"/>
          <w:sz w:val="12"/>
        </w:rPr>
        <w:t> </w:t>
      </w:r>
      <w:r>
        <w:rPr>
          <w:w w:val="105"/>
          <w:sz w:val="12"/>
        </w:rPr>
        <w:t>31</w:t>
      </w:r>
      <w:r>
        <w:rPr>
          <w:spacing w:val="-9"/>
          <w:w w:val="105"/>
          <w:sz w:val="12"/>
        </w:rPr>
        <w:t> </w:t>
      </w:r>
      <w:r>
        <w:rPr>
          <w:w w:val="105"/>
          <w:sz w:val="12"/>
        </w:rPr>
        <w:t>December</w:t>
      </w:r>
      <w:r>
        <w:rPr>
          <w:spacing w:val="-8"/>
          <w:w w:val="105"/>
          <w:sz w:val="12"/>
        </w:rPr>
        <w:t> </w:t>
      </w:r>
      <w:r>
        <w:rPr>
          <w:spacing w:val="-4"/>
          <w:w w:val="105"/>
          <w:sz w:val="12"/>
        </w:rPr>
        <w:t>2020</w:t>
      </w:r>
    </w:p>
    <w:p>
      <w:pPr>
        <w:spacing w:line="240" w:lineRule="auto" w:before="30"/>
        <w:rPr>
          <w:sz w:val="13"/>
        </w:rPr>
      </w:pPr>
    </w:p>
    <w:p>
      <w:pPr>
        <w:spacing w:before="0"/>
        <w:ind w:left="3325" w:right="0" w:firstLine="0"/>
        <w:jc w:val="center"/>
        <w:rPr>
          <w:b/>
          <w:sz w:val="13"/>
        </w:rPr>
      </w:pPr>
      <w:r>
        <w:rPr>
          <w:b/>
          <w:spacing w:val="-2"/>
          <w:w w:val="105"/>
          <w:sz w:val="13"/>
        </w:rPr>
        <w:t>Principal</w:t>
      </w:r>
      <w:r>
        <w:rPr>
          <w:b/>
          <w:spacing w:val="8"/>
          <w:w w:val="105"/>
          <w:sz w:val="13"/>
        </w:rPr>
        <w:t> </w:t>
      </w:r>
      <w:r>
        <w:rPr>
          <w:b/>
          <w:spacing w:val="-2"/>
          <w:w w:val="105"/>
          <w:sz w:val="13"/>
        </w:rPr>
        <w:t>outstanding</w:t>
      </w:r>
    </w:p>
    <w:p>
      <w:pPr>
        <w:tabs>
          <w:tab w:pos="3628" w:val="left" w:leader="none"/>
          <w:tab w:pos="4544" w:val="left" w:leader="none"/>
          <w:tab w:pos="5149" w:val="left" w:leader="none"/>
        </w:tabs>
        <w:spacing w:before="18"/>
        <w:ind w:left="3314" w:right="0" w:firstLine="0"/>
        <w:jc w:val="center"/>
        <w:rPr>
          <w:b/>
          <w:sz w:val="13"/>
        </w:rPr>
      </w:pPr>
      <w:r>
        <w:rPr>
          <w:b/>
          <w:sz w:val="13"/>
          <w:u w:val="single"/>
        </w:rPr>
        <w:tab/>
      </w:r>
      <w:r>
        <w:rPr>
          <w:b/>
          <w:spacing w:val="-4"/>
          <w:w w:val="105"/>
          <w:sz w:val="13"/>
          <w:u w:val="single"/>
        </w:rPr>
        <w:t>2020</w:t>
      </w:r>
      <w:r>
        <w:rPr>
          <w:b/>
          <w:sz w:val="13"/>
          <w:u w:val="single"/>
        </w:rPr>
        <w:tab/>
      </w:r>
      <w:r>
        <w:rPr>
          <w:b/>
          <w:spacing w:val="-4"/>
          <w:w w:val="105"/>
          <w:sz w:val="13"/>
          <w:u w:val="single"/>
        </w:rPr>
        <w:t>2019</w:t>
      </w:r>
      <w:r>
        <w:rPr>
          <w:b/>
          <w:sz w:val="13"/>
          <w:u w:val="single"/>
        </w:rPr>
        <w:tab/>
      </w:r>
    </w:p>
    <w:p>
      <w:pPr>
        <w:spacing w:before="28"/>
        <w:ind w:left="750" w:right="0" w:firstLine="0"/>
        <w:jc w:val="left"/>
        <w:rPr>
          <w:b/>
          <w:sz w:val="13"/>
        </w:rPr>
      </w:pPr>
      <w:r>
        <w:rPr>
          <w:b/>
          <w:w w:val="105"/>
          <w:sz w:val="13"/>
        </w:rPr>
        <w:t>Financing</w:t>
      </w:r>
      <w:r>
        <w:rPr>
          <w:b/>
          <w:spacing w:val="-10"/>
          <w:w w:val="105"/>
          <w:sz w:val="13"/>
        </w:rPr>
        <w:t> </w:t>
      </w:r>
      <w:r>
        <w:rPr>
          <w:b/>
          <w:w w:val="105"/>
          <w:sz w:val="13"/>
        </w:rPr>
        <w:t>facilities</w:t>
      </w:r>
      <w:r>
        <w:rPr>
          <w:b/>
          <w:spacing w:val="-9"/>
          <w:w w:val="105"/>
          <w:sz w:val="13"/>
        </w:rPr>
        <w:t> </w:t>
      </w:r>
      <w:r>
        <w:rPr>
          <w:b/>
          <w:spacing w:val="-2"/>
          <w:w w:val="105"/>
          <w:sz w:val="13"/>
        </w:rPr>
        <w:t>available</w:t>
      </w:r>
    </w:p>
    <w:p>
      <w:pPr>
        <w:spacing w:line="273" w:lineRule="auto" w:before="16"/>
        <w:ind w:left="750" w:right="3979" w:firstLine="0"/>
        <w:jc w:val="left"/>
        <w:rPr>
          <w:sz w:val="13"/>
        </w:rPr>
      </w:pPr>
      <w:r>
        <w:rPr>
          <w:w w:val="105"/>
          <w:sz w:val="13"/>
        </w:rPr>
        <w:t>The</w:t>
      </w:r>
      <w:r>
        <w:rPr>
          <w:spacing w:val="-3"/>
          <w:w w:val="105"/>
          <w:sz w:val="13"/>
        </w:rPr>
        <w:t> </w:t>
      </w:r>
      <w:r>
        <w:rPr>
          <w:w w:val="105"/>
          <w:sz w:val="13"/>
        </w:rPr>
        <w:t>following</w:t>
      </w:r>
      <w:r>
        <w:rPr>
          <w:spacing w:val="-3"/>
          <w:w w:val="105"/>
          <w:sz w:val="13"/>
        </w:rPr>
        <w:t> </w:t>
      </w:r>
      <w:r>
        <w:rPr>
          <w:w w:val="105"/>
          <w:sz w:val="13"/>
        </w:rPr>
        <w:t>facilities</w:t>
      </w:r>
      <w:r>
        <w:rPr>
          <w:spacing w:val="-2"/>
          <w:w w:val="105"/>
          <w:sz w:val="13"/>
        </w:rPr>
        <w:t> </w:t>
      </w:r>
      <w:r>
        <w:rPr>
          <w:w w:val="105"/>
          <w:sz w:val="13"/>
        </w:rPr>
        <w:t>had</w:t>
      </w:r>
      <w:r>
        <w:rPr>
          <w:spacing w:val="-3"/>
          <w:w w:val="105"/>
          <w:sz w:val="13"/>
        </w:rPr>
        <w:t> </w:t>
      </w:r>
      <w:r>
        <w:rPr>
          <w:w w:val="105"/>
          <w:sz w:val="13"/>
        </w:rPr>
        <w:t>been negotiated</w:t>
      </w:r>
      <w:r>
        <w:rPr>
          <w:spacing w:val="-2"/>
          <w:w w:val="105"/>
          <w:sz w:val="13"/>
        </w:rPr>
        <w:t> </w:t>
      </w:r>
      <w:r>
        <w:rPr>
          <w:w w:val="105"/>
          <w:sz w:val="13"/>
        </w:rPr>
        <w:t>and</w:t>
      </w:r>
      <w:r>
        <w:rPr>
          <w:spacing w:val="-1"/>
          <w:w w:val="105"/>
          <w:sz w:val="13"/>
        </w:rPr>
        <w:t> </w:t>
      </w:r>
      <w:r>
        <w:rPr>
          <w:w w:val="105"/>
          <w:sz w:val="13"/>
        </w:rPr>
        <w:t>were</w:t>
      </w:r>
      <w:r>
        <w:rPr>
          <w:spacing w:val="-3"/>
          <w:w w:val="105"/>
          <w:sz w:val="13"/>
        </w:rPr>
        <w:t> </w:t>
      </w:r>
      <w:r>
        <w:rPr>
          <w:w w:val="105"/>
          <w:sz w:val="13"/>
        </w:rPr>
        <w:t>available as</w:t>
      </w:r>
      <w:r>
        <w:rPr>
          <w:spacing w:val="-2"/>
          <w:w w:val="105"/>
          <w:sz w:val="13"/>
        </w:rPr>
        <w:t> </w:t>
      </w:r>
      <w:r>
        <w:rPr>
          <w:w w:val="105"/>
          <w:sz w:val="13"/>
        </w:rPr>
        <w:t>at</w:t>
      </w:r>
      <w:r>
        <w:rPr>
          <w:spacing w:val="40"/>
          <w:w w:val="105"/>
          <w:sz w:val="13"/>
        </w:rPr>
        <w:t> </w:t>
      </w:r>
      <w:r>
        <w:rPr>
          <w:w w:val="105"/>
          <w:sz w:val="13"/>
        </w:rPr>
        <w:t>reporting</w:t>
      </w:r>
      <w:r>
        <w:rPr>
          <w:spacing w:val="-6"/>
          <w:w w:val="105"/>
          <w:sz w:val="13"/>
        </w:rPr>
        <w:t> </w:t>
      </w:r>
      <w:r>
        <w:rPr>
          <w:w w:val="105"/>
          <w:sz w:val="13"/>
        </w:rPr>
        <w:t>date:</w:t>
      </w:r>
    </w:p>
    <w:p>
      <w:pPr>
        <w:spacing w:line="240" w:lineRule="auto" w:before="15"/>
        <w:rPr>
          <w:sz w:val="13"/>
        </w:rPr>
      </w:pPr>
    </w:p>
    <w:p>
      <w:pPr>
        <w:spacing w:before="0"/>
        <w:ind w:left="750" w:right="0" w:firstLine="0"/>
        <w:jc w:val="left"/>
        <w:rPr>
          <w:sz w:val="13"/>
        </w:rPr>
      </w:pPr>
      <w:r>
        <w:rPr>
          <w:w w:val="105"/>
          <w:sz w:val="13"/>
        </w:rPr>
        <w:t>Facilities</w:t>
      </w:r>
      <w:r>
        <w:rPr>
          <w:spacing w:val="-6"/>
          <w:w w:val="105"/>
          <w:sz w:val="13"/>
        </w:rPr>
        <w:t> </w:t>
      </w:r>
      <w:r>
        <w:rPr>
          <w:w w:val="105"/>
          <w:sz w:val="13"/>
        </w:rPr>
        <w:t>used</w:t>
      </w:r>
      <w:r>
        <w:rPr>
          <w:spacing w:val="-7"/>
          <w:w w:val="105"/>
          <w:sz w:val="13"/>
        </w:rPr>
        <w:t> </w:t>
      </w:r>
      <w:r>
        <w:rPr>
          <w:w w:val="105"/>
          <w:sz w:val="13"/>
        </w:rPr>
        <w:t>at</w:t>
      </w:r>
      <w:r>
        <w:rPr>
          <w:spacing w:val="-7"/>
          <w:w w:val="105"/>
          <w:sz w:val="13"/>
        </w:rPr>
        <w:t> </w:t>
      </w:r>
      <w:r>
        <w:rPr>
          <w:w w:val="105"/>
          <w:sz w:val="13"/>
        </w:rPr>
        <w:t>reporting</w:t>
      </w:r>
      <w:r>
        <w:rPr>
          <w:spacing w:val="-7"/>
          <w:w w:val="105"/>
          <w:sz w:val="13"/>
        </w:rPr>
        <w:t> </w:t>
      </w:r>
      <w:r>
        <w:rPr>
          <w:spacing w:val="-2"/>
          <w:w w:val="105"/>
          <w:sz w:val="13"/>
        </w:rPr>
        <w:t>date:</w:t>
      </w:r>
    </w:p>
    <w:p>
      <w:pPr>
        <w:tabs>
          <w:tab w:pos="5767" w:val="left" w:leader="none"/>
          <w:tab w:pos="6684" w:val="left" w:leader="none"/>
        </w:tabs>
        <w:spacing w:before="8"/>
        <w:ind w:left="788" w:right="0" w:firstLine="0"/>
        <w:jc w:val="left"/>
        <w:rPr>
          <w:sz w:val="13"/>
        </w:rPr>
      </w:pPr>
      <w:r>
        <w:rPr>
          <w:w w:val="105"/>
          <w:sz w:val="13"/>
        </w:rPr>
        <w:t>-</w:t>
      </w:r>
      <w:r>
        <w:rPr>
          <w:spacing w:val="3"/>
          <w:w w:val="105"/>
          <w:sz w:val="13"/>
        </w:rPr>
        <w:t> </w:t>
      </w:r>
      <w:r>
        <w:rPr>
          <w:w w:val="105"/>
          <w:sz w:val="13"/>
        </w:rPr>
        <w:t>WATC</w:t>
      </w:r>
      <w:r>
        <w:rPr>
          <w:spacing w:val="2"/>
          <w:w w:val="105"/>
          <w:sz w:val="13"/>
        </w:rPr>
        <w:t> </w:t>
      </w:r>
      <w:r>
        <w:rPr>
          <w:spacing w:val="-2"/>
          <w:w w:val="105"/>
          <w:sz w:val="13"/>
        </w:rPr>
        <w:t>loans</w:t>
      </w:r>
      <w:r>
        <w:rPr>
          <w:sz w:val="13"/>
        </w:rPr>
        <w:tab/>
      </w:r>
      <w:r>
        <w:rPr>
          <w:spacing w:val="-2"/>
          <w:w w:val="105"/>
          <w:position w:val="1"/>
          <w:sz w:val="13"/>
        </w:rPr>
        <w:t>184,655</w:t>
      </w:r>
      <w:r>
        <w:rPr>
          <w:position w:val="1"/>
          <w:sz w:val="13"/>
        </w:rPr>
        <w:tab/>
      </w:r>
      <w:r>
        <w:rPr>
          <w:spacing w:val="-2"/>
          <w:w w:val="105"/>
          <w:position w:val="1"/>
          <w:sz w:val="13"/>
        </w:rPr>
        <w:t>133,085</w:t>
      </w:r>
    </w:p>
    <w:p>
      <w:pPr>
        <w:spacing w:before="19"/>
        <w:ind w:left="750" w:right="0" w:firstLine="0"/>
        <w:jc w:val="left"/>
        <w:rPr>
          <w:sz w:val="13"/>
        </w:rPr>
      </w:pPr>
      <w:r>
        <w:rPr>
          <w:w w:val="105"/>
          <w:sz w:val="13"/>
        </w:rPr>
        <w:t>Facilities</w:t>
      </w:r>
      <w:r>
        <w:rPr>
          <w:spacing w:val="-7"/>
          <w:w w:val="105"/>
          <w:sz w:val="13"/>
        </w:rPr>
        <w:t> </w:t>
      </w:r>
      <w:r>
        <w:rPr>
          <w:w w:val="105"/>
          <w:sz w:val="13"/>
        </w:rPr>
        <w:t>unused</w:t>
      </w:r>
      <w:r>
        <w:rPr>
          <w:spacing w:val="-8"/>
          <w:w w:val="105"/>
          <w:sz w:val="13"/>
        </w:rPr>
        <w:t> </w:t>
      </w:r>
      <w:r>
        <w:rPr>
          <w:w w:val="105"/>
          <w:sz w:val="13"/>
        </w:rPr>
        <w:t>at</w:t>
      </w:r>
      <w:r>
        <w:rPr>
          <w:spacing w:val="-8"/>
          <w:w w:val="105"/>
          <w:sz w:val="13"/>
        </w:rPr>
        <w:t> </w:t>
      </w:r>
      <w:r>
        <w:rPr>
          <w:w w:val="105"/>
          <w:sz w:val="13"/>
        </w:rPr>
        <w:t>reporting</w:t>
      </w:r>
      <w:r>
        <w:rPr>
          <w:spacing w:val="-8"/>
          <w:w w:val="105"/>
          <w:sz w:val="13"/>
        </w:rPr>
        <w:t> </w:t>
      </w:r>
      <w:r>
        <w:rPr>
          <w:spacing w:val="-2"/>
          <w:w w:val="105"/>
          <w:sz w:val="13"/>
        </w:rPr>
        <w:t>date:</w:t>
      </w:r>
    </w:p>
    <w:p>
      <w:pPr>
        <w:tabs>
          <w:tab w:pos="5412" w:val="left" w:leader="none"/>
          <w:tab w:pos="5918" w:val="left" w:leader="none"/>
          <w:tab w:pos="6759" w:val="left" w:leader="none"/>
        </w:tabs>
        <w:spacing w:before="8"/>
        <w:ind w:left="788" w:right="0" w:firstLine="0"/>
        <w:jc w:val="left"/>
        <w:rPr>
          <w:sz w:val="13"/>
        </w:rPr>
      </w:pPr>
      <w:r>
        <w:rPr>
          <w:w w:val="105"/>
          <w:sz w:val="13"/>
        </w:rPr>
        <w:t>-</w:t>
      </w:r>
      <w:r>
        <w:rPr>
          <w:spacing w:val="3"/>
          <w:w w:val="105"/>
          <w:sz w:val="13"/>
        </w:rPr>
        <w:t> </w:t>
      </w:r>
      <w:r>
        <w:rPr>
          <w:w w:val="105"/>
          <w:sz w:val="13"/>
        </w:rPr>
        <w:t>WATC</w:t>
      </w:r>
      <w:r>
        <w:rPr>
          <w:spacing w:val="2"/>
          <w:w w:val="105"/>
          <w:sz w:val="13"/>
        </w:rPr>
        <w:t> </w:t>
      </w:r>
      <w:r>
        <w:rPr>
          <w:spacing w:val="-2"/>
          <w:w w:val="105"/>
          <w:sz w:val="13"/>
        </w:rPr>
        <w:t>loans</w:t>
      </w:r>
      <w:r>
        <w:rPr>
          <w:sz w:val="13"/>
        </w:rPr>
        <w:tab/>
      </w:r>
      <w:r>
        <w:rPr>
          <w:position w:val="1"/>
          <w:sz w:val="13"/>
          <w:u w:val="single"/>
        </w:rPr>
        <w:tab/>
      </w:r>
      <w:r>
        <w:rPr>
          <w:spacing w:val="-2"/>
          <w:w w:val="105"/>
          <w:position w:val="1"/>
          <w:sz w:val="13"/>
          <w:u w:val="single"/>
        </w:rPr>
        <w:t>1,313</w:t>
      </w:r>
      <w:r>
        <w:rPr>
          <w:position w:val="1"/>
          <w:sz w:val="13"/>
          <w:u w:val="single"/>
        </w:rPr>
        <w:tab/>
      </w:r>
      <w:r>
        <w:rPr>
          <w:spacing w:val="-2"/>
          <w:w w:val="105"/>
          <w:position w:val="1"/>
          <w:sz w:val="13"/>
          <w:u w:val="single"/>
        </w:rPr>
        <w:t>56,215</w:t>
      </w:r>
      <w:r>
        <w:rPr>
          <w:spacing w:val="80"/>
          <w:w w:val="105"/>
          <w:position w:val="1"/>
          <w:sz w:val="13"/>
          <w:u w:val="single"/>
        </w:rPr>
        <w:t> </w:t>
      </w:r>
    </w:p>
    <w:p>
      <w:pPr>
        <w:tabs>
          <w:tab w:pos="5412" w:val="left" w:leader="none"/>
          <w:tab w:pos="5767" w:val="left" w:leader="none"/>
          <w:tab w:pos="6684" w:val="left" w:leader="none"/>
        </w:tabs>
        <w:spacing w:before="9"/>
        <w:ind w:left="750" w:right="0" w:firstLine="0"/>
        <w:jc w:val="left"/>
        <w:rPr>
          <w:b/>
          <w:sz w:val="13"/>
        </w:rPr>
      </w:pPr>
      <w:r>
        <w:rPr>
          <w:w w:val="105"/>
          <w:sz w:val="13"/>
        </w:rPr>
        <w:t>Total</w:t>
      </w:r>
      <w:r>
        <w:rPr>
          <w:spacing w:val="-7"/>
          <w:w w:val="105"/>
          <w:sz w:val="13"/>
        </w:rPr>
        <w:t> </w:t>
      </w:r>
      <w:r>
        <w:rPr>
          <w:w w:val="105"/>
          <w:sz w:val="13"/>
        </w:rPr>
        <w:t>debt</w:t>
      </w:r>
      <w:r>
        <w:rPr>
          <w:spacing w:val="-7"/>
          <w:w w:val="105"/>
          <w:sz w:val="13"/>
        </w:rPr>
        <w:t> </w:t>
      </w:r>
      <w:r>
        <w:rPr>
          <w:spacing w:val="-2"/>
          <w:w w:val="105"/>
          <w:sz w:val="13"/>
        </w:rPr>
        <w:t>facilities</w:t>
      </w:r>
      <w:r>
        <w:rPr>
          <w:sz w:val="13"/>
        </w:rPr>
        <w:tab/>
      </w:r>
      <w:r>
        <w:rPr>
          <w:b/>
          <w:position w:val="1"/>
          <w:sz w:val="13"/>
          <w:u w:val="single"/>
        </w:rPr>
        <w:tab/>
      </w:r>
      <w:r>
        <w:rPr>
          <w:b/>
          <w:spacing w:val="-2"/>
          <w:w w:val="105"/>
          <w:position w:val="1"/>
          <w:sz w:val="13"/>
          <w:u w:val="single"/>
        </w:rPr>
        <w:t>185,968</w:t>
      </w:r>
      <w:r>
        <w:rPr>
          <w:b/>
          <w:position w:val="1"/>
          <w:sz w:val="13"/>
          <w:u w:val="single"/>
        </w:rPr>
        <w:tab/>
      </w:r>
      <w:r>
        <w:rPr>
          <w:b/>
          <w:spacing w:val="-2"/>
          <w:w w:val="105"/>
          <w:position w:val="1"/>
          <w:sz w:val="13"/>
          <w:u w:val="single"/>
        </w:rPr>
        <w:t>189,300</w:t>
      </w:r>
      <w:r>
        <w:rPr>
          <w:b/>
          <w:spacing w:val="80"/>
          <w:w w:val="105"/>
          <w:position w:val="1"/>
          <w:sz w:val="13"/>
          <w:u w:val="single"/>
        </w:rPr>
        <w:t> </w:t>
      </w:r>
    </w:p>
    <w:p>
      <w:pPr>
        <w:spacing w:line="240" w:lineRule="auto" w:before="38"/>
        <w:rPr>
          <w:b/>
          <w:sz w:val="13"/>
        </w:rPr>
      </w:pPr>
    </w:p>
    <w:p>
      <w:pPr>
        <w:spacing w:before="0"/>
        <w:ind w:left="750" w:right="0" w:firstLine="0"/>
        <w:jc w:val="left"/>
        <w:rPr>
          <w:b/>
          <w:sz w:val="13"/>
        </w:rPr>
      </w:pPr>
      <w:r>
        <w:rPr>
          <w:b/>
          <w:w w:val="105"/>
          <w:sz w:val="13"/>
        </w:rPr>
        <w:t>Asset</w:t>
      </w:r>
      <w:r>
        <w:rPr>
          <w:b/>
          <w:spacing w:val="-6"/>
          <w:w w:val="105"/>
          <w:sz w:val="13"/>
        </w:rPr>
        <w:t> </w:t>
      </w:r>
      <w:r>
        <w:rPr>
          <w:b/>
          <w:w w:val="105"/>
          <w:sz w:val="13"/>
        </w:rPr>
        <w:t>pledged</w:t>
      </w:r>
      <w:r>
        <w:rPr>
          <w:b/>
          <w:spacing w:val="-7"/>
          <w:w w:val="105"/>
          <w:sz w:val="13"/>
        </w:rPr>
        <w:t> </w:t>
      </w:r>
      <w:r>
        <w:rPr>
          <w:b/>
          <w:w w:val="105"/>
          <w:sz w:val="13"/>
        </w:rPr>
        <w:t>as</w:t>
      </w:r>
      <w:r>
        <w:rPr>
          <w:b/>
          <w:spacing w:val="-7"/>
          <w:w w:val="105"/>
          <w:sz w:val="13"/>
        </w:rPr>
        <w:t> </w:t>
      </w:r>
      <w:r>
        <w:rPr>
          <w:b/>
          <w:spacing w:val="-2"/>
          <w:w w:val="105"/>
          <w:sz w:val="13"/>
        </w:rPr>
        <w:t>security</w:t>
      </w:r>
    </w:p>
    <w:p>
      <w:pPr>
        <w:spacing w:line="273" w:lineRule="auto" w:before="17"/>
        <w:ind w:left="750" w:right="0" w:firstLine="0"/>
        <w:jc w:val="left"/>
        <w:rPr>
          <w:sz w:val="13"/>
        </w:rPr>
      </w:pPr>
      <w:r>
        <w:rPr>
          <w:w w:val="105"/>
          <w:sz w:val="13"/>
        </w:rPr>
        <w:t>The Group has not pledged any assets as security</w:t>
      </w:r>
      <w:r>
        <w:rPr>
          <w:spacing w:val="-2"/>
          <w:w w:val="105"/>
          <w:sz w:val="13"/>
        </w:rPr>
        <w:t> </w:t>
      </w:r>
      <w:r>
        <w:rPr>
          <w:w w:val="105"/>
          <w:sz w:val="13"/>
        </w:rPr>
        <w:t>against the borrowings in the current and previous financial year. A State Treasurer's</w:t>
      </w:r>
      <w:r>
        <w:rPr>
          <w:spacing w:val="40"/>
          <w:w w:val="105"/>
          <w:sz w:val="13"/>
        </w:rPr>
        <w:t> </w:t>
      </w:r>
      <w:r>
        <w:rPr>
          <w:w w:val="105"/>
          <w:sz w:val="13"/>
        </w:rPr>
        <w:t>Guarantee</w:t>
      </w:r>
      <w:r>
        <w:rPr>
          <w:spacing w:val="-1"/>
          <w:w w:val="105"/>
          <w:sz w:val="13"/>
        </w:rPr>
        <w:t> </w:t>
      </w:r>
      <w:r>
        <w:rPr>
          <w:w w:val="105"/>
          <w:sz w:val="13"/>
        </w:rPr>
        <w:t>has been</w:t>
      </w:r>
      <w:r>
        <w:rPr>
          <w:spacing w:val="-1"/>
          <w:w w:val="105"/>
          <w:sz w:val="13"/>
        </w:rPr>
        <w:t> </w:t>
      </w:r>
      <w:r>
        <w:rPr>
          <w:w w:val="105"/>
          <w:sz w:val="13"/>
        </w:rPr>
        <w:t>provided,</w:t>
      </w:r>
      <w:r>
        <w:rPr>
          <w:spacing w:val="-1"/>
          <w:w w:val="105"/>
          <w:sz w:val="13"/>
        </w:rPr>
        <w:t> </w:t>
      </w:r>
      <w:r>
        <w:rPr>
          <w:w w:val="105"/>
          <w:sz w:val="13"/>
        </w:rPr>
        <w:t>at</w:t>
      </w:r>
      <w:r>
        <w:rPr>
          <w:spacing w:val="-1"/>
          <w:w w:val="105"/>
          <w:sz w:val="13"/>
        </w:rPr>
        <w:t> </w:t>
      </w:r>
      <w:r>
        <w:rPr>
          <w:w w:val="105"/>
          <w:sz w:val="13"/>
        </w:rPr>
        <w:t>a</w:t>
      </w:r>
      <w:r>
        <w:rPr>
          <w:spacing w:val="-1"/>
          <w:w w:val="105"/>
          <w:sz w:val="13"/>
        </w:rPr>
        <w:t> </w:t>
      </w:r>
      <w:r>
        <w:rPr>
          <w:w w:val="105"/>
          <w:sz w:val="13"/>
        </w:rPr>
        <w:t>cost</w:t>
      </w:r>
      <w:r>
        <w:rPr>
          <w:spacing w:val="-1"/>
          <w:w w:val="105"/>
          <w:sz w:val="13"/>
        </w:rPr>
        <w:t> </w:t>
      </w:r>
      <w:r>
        <w:rPr>
          <w:w w:val="105"/>
          <w:sz w:val="13"/>
        </w:rPr>
        <w:t>of 0.7% (2019</w:t>
      </w:r>
      <w:r>
        <w:rPr>
          <w:spacing w:val="-1"/>
          <w:w w:val="105"/>
          <w:sz w:val="13"/>
        </w:rPr>
        <w:t> </w:t>
      </w:r>
      <w:r>
        <w:rPr>
          <w:w w:val="105"/>
          <w:sz w:val="13"/>
        </w:rPr>
        <w:t>0.7%) per annum of the</w:t>
      </w:r>
      <w:r>
        <w:rPr>
          <w:spacing w:val="-1"/>
          <w:w w:val="105"/>
          <w:sz w:val="13"/>
        </w:rPr>
        <w:t> </w:t>
      </w:r>
      <w:r>
        <w:rPr>
          <w:w w:val="105"/>
          <w:sz w:val="13"/>
        </w:rPr>
        <w:t>outstanding</w:t>
      </w:r>
      <w:r>
        <w:rPr>
          <w:spacing w:val="-1"/>
          <w:w w:val="105"/>
          <w:sz w:val="13"/>
        </w:rPr>
        <w:t> </w:t>
      </w:r>
      <w:r>
        <w:rPr>
          <w:w w:val="105"/>
          <w:sz w:val="13"/>
        </w:rPr>
        <w:t>loan</w:t>
      </w:r>
      <w:r>
        <w:rPr>
          <w:spacing w:val="-1"/>
          <w:w w:val="105"/>
          <w:sz w:val="13"/>
        </w:rPr>
        <w:t> </w:t>
      </w:r>
      <w:r>
        <w:rPr>
          <w:w w:val="105"/>
          <w:sz w:val="13"/>
        </w:rPr>
        <w:t>principal.</w:t>
      </w:r>
    </w:p>
    <w:p>
      <w:pPr>
        <w:spacing w:line="240" w:lineRule="auto" w:before="41"/>
        <w:rPr>
          <w:sz w:val="13"/>
        </w:rPr>
      </w:pPr>
    </w:p>
    <w:p>
      <w:pPr>
        <w:spacing w:before="0"/>
        <w:ind w:left="750" w:right="0" w:firstLine="0"/>
        <w:jc w:val="left"/>
        <w:rPr>
          <w:b/>
          <w:i/>
          <w:sz w:val="13"/>
        </w:rPr>
      </w:pPr>
      <w:r>
        <w:rPr>
          <w:b/>
          <w:i/>
          <w:color w:val="0070C0"/>
          <w:w w:val="105"/>
          <w:sz w:val="13"/>
        </w:rPr>
        <w:t>Accounting</w:t>
      </w:r>
      <w:r>
        <w:rPr>
          <w:b/>
          <w:i/>
          <w:color w:val="0070C0"/>
          <w:spacing w:val="-6"/>
          <w:w w:val="105"/>
          <w:sz w:val="13"/>
        </w:rPr>
        <w:t> </w:t>
      </w:r>
      <w:r>
        <w:rPr>
          <w:b/>
          <w:i/>
          <w:color w:val="0070C0"/>
          <w:spacing w:val="-2"/>
          <w:w w:val="105"/>
          <w:sz w:val="13"/>
        </w:rPr>
        <w:t>policy</w:t>
      </w:r>
    </w:p>
    <w:p>
      <w:pPr>
        <w:spacing w:before="28"/>
        <w:ind w:left="750" w:right="0" w:firstLine="0"/>
        <w:jc w:val="left"/>
        <w:rPr>
          <w:b/>
          <w:sz w:val="13"/>
        </w:rPr>
      </w:pPr>
      <w:r>
        <w:rPr>
          <w:b/>
          <w:spacing w:val="-2"/>
          <w:w w:val="105"/>
          <w:sz w:val="13"/>
        </w:rPr>
        <w:t>Borrowings</w:t>
      </w:r>
    </w:p>
    <w:p>
      <w:pPr>
        <w:spacing w:line="273" w:lineRule="auto" w:before="25"/>
        <w:ind w:left="750" w:right="288" w:firstLine="0"/>
        <w:jc w:val="both"/>
        <w:rPr>
          <w:sz w:val="13"/>
        </w:rPr>
      </w:pPr>
      <w:r>
        <w:rPr>
          <w:w w:val="105"/>
          <w:sz w:val="13"/>
        </w:rPr>
        <w:t>Borrowings are recognised initially at fair value net of transaction costs that are directly attributable to its issue. After initial recognition,</w:t>
      </w:r>
      <w:r>
        <w:rPr>
          <w:spacing w:val="40"/>
          <w:w w:val="105"/>
          <w:sz w:val="13"/>
        </w:rPr>
        <w:t> </w:t>
      </w:r>
      <w:r>
        <w:rPr>
          <w:w w:val="105"/>
          <w:sz w:val="13"/>
        </w:rPr>
        <w:t>borrowings</w:t>
      </w:r>
      <w:r>
        <w:rPr>
          <w:w w:val="105"/>
          <w:sz w:val="13"/>
        </w:rPr>
        <w:t> are</w:t>
      </w:r>
      <w:r>
        <w:rPr>
          <w:w w:val="105"/>
          <w:sz w:val="13"/>
        </w:rPr>
        <w:t> subsequently</w:t>
      </w:r>
      <w:r>
        <w:rPr>
          <w:w w:val="105"/>
          <w:sz w:val="13"/>
        </w:rPr>
        <w:t> measured</w:t>
      </w:r>
      <w:r>
        <w:rPr>
          <w:w w:val="105"/>
          <w:sz w:val="13"/>
        </w:rPr>
        <w:t> at</w:t>
      </w:r>
      <w:r>
        <w:rPr>
          <w:w w:val="105"/>
          <w:sz w:val="13"/>
        </w:rPr>
        <w:t> amortised</w:t>
      </w:r>
      <w:r>
        <w:rPr>
          <w:w w:val="105"/>
          <w:sz w:val="13"/>
        </w:rPr>
        <w:t> cost</w:t>
      </w:r>
      <w:r>
        <w:rPr>
          <w:w w:val="105"/>
          <w:sz w:val="13"/>
        </w:rPr>
        <w:t> using</w:t>
      </w:r>
      <w:r>
        <w:rPr>
          <w:w w:val="105"/>
          <w:sz w:val="13"/>
        </w:rPr>
        <w:t> the</w:t>
      </w:r>
      <w:r>
        <w:rPr>
          <w:w w:val="105"/>
          <w:sz w:val="13"/>
        </w:rPr>
        <w:t> Effective</w:t>
      </w:r>
      <w:r>
        <w:rPr>
          <w:w w:val="105"/>
          <w:sz w:val="13"/>
        </w:rPr>
        <w:t> Interest</w:t>
      </w:r>
      <w:r>
        <w:rPr>
          <w:w w:val="105"/>
          <w:sz w:val="13"/>
        </w:rPr>
        <w:t> Rate</w:t>
      </w:r>
      <w:r>
        <w:rPr>
          <w:w w:val="105"/>
          <w:sz w:val="13"/>
        </w:rPr>
        <w:t> (EIR)</w:t>
      </w:r>
      <w:r>
        <w:rPr>
          <w:w w:val="105"/>
          <w:sz w:val="13"/>
        </w:rPr>
        <w:t> method.</w:t>
      </w:r>
      <w:r>
        <w:rPr>
          <w:w w:val="105"/>
          <w:sz w:val="13"/>
        </w:rPr>
        <w:t> Gains</w:t>
      </w:r>
      <w:r>
        <w:rPr>
          <w:w w:val="105"/>
          <w:sz w:val="13"/>
        </w:rPr>
        <w:t> and</w:t>
      </w:r>
      <w:r>
        <w:rPr>
          <w:w w:val="105"/>
          <w:sz w:val="13"/>
        </w:rPr>
        <w:t> losses</w:t>
      </w:r>
      <w:r>
        <w:rPr>
          <w:w w:val="105"/>
          <w:sz w:val="13"/>
        </w:rPr>
        <w:t> are</w:t>
      </w:r>
      <w:r>
        <w:rPr>
          <w:spacing w:val="40"/>
          <w:w w:val="105"/>
          <w:sz w:val="13"/>
        </w:rPr>
        <w:t> </w:t>
      </w:r>
      <w:r>
        <w:rPr>
          <w:w w:val="105"/>
          <w:sz w:val="13"/>
        </w:rPr>
        <w:t>recognised</w:t>
      </w:r>
      <w:r>
        <w:rPr>
          <w:spacing w:val="-5"/>
          <w:w w:val="105"/>
          <w:sz w:val="13"/>
        </w:rPr>
        <w:t> </w:t>
      </w:r>
      <w:r>
        <w:rPr>
          <w:w w:val="105"/>
          <w:sz w:val="13"/>
        </w:rPr>
        <w:t>in</w:t>
      </w:r>
      <w:r>
        <w:rPr>
          <w:spacing w:val="-5"/>
          <w:w w:val="105"/>
          <w:sz w:val="13"/>
        </w:rPr>
        <w:t> </w:t>
      </w:r>
      <w:r>
        <w:rPr>
          <w:w w:val="105"/>
          <w:sz w:val="13"/>
        </w:rPr>
        <w:t>the</w:t>
      </w:r>
      <w:r>
        <w:rPr>
          <w:spacing w:val="-5"/>
          <w:w w:val="105"/>
          <w:sz w:val="13"/>
        </w:rPr>
        <w:t> </w:t>
      </w:r>
      <w:r>
        <w:rPr>
          <w:w w:val="105"/>
          <w:sz w:val="13"/>
        </w:rPr>
        <w:t>income</w:t>
      </w:r>
      <w:r>
        <w:rPr>
          <w:spacing w:val="-5"/>
          <w:w w:val="105"/>
          <w:sz w:val="13"/>
        </w:rPr>
        <w:t> </w:t>
      </w:r>
      <w:r>
        <w:rPr>
          <w:w w:val="105"/>
          <w:sz w:val="13"/>
        </w:rPr>
        <w:t>statement</w:t>
      </w:r>
      <w:r>
        <w:rPr>
          <w:spacing w:val="-4"/>
          <w:w w:val="105"/>
          <w:sz w:val="13"/>
        </w:rPr>
        <w:t> </w:t>
      </w:r>
      <w:r>
        <w:rPr>
          <w:w w:val="105"/>
          <w:sz w:val="13"/>
        </w:rPr>
        <w:t>when</w:t>
      </w:r>
      <w:r>
        <w:rPr>
          <w:spacing w:val="-5"/>
          <w:w w:val="105"/>
          <w:sz w:val="13"/>
        </w:rPr>
        <w:t> </w:t>
      </w:r>
      <w:r>
        <w:rPr>
          <w:w w:val="105"/>
          <w:sz w:val="13"/>
        </w:rPr>
        <w:t>the</w:t>
      </w:r>
      <w:r>
        <w:rPr>
          <w:spacing w:val="-5"/>
          <w:w w:val="105"/>
          <w:sz w:val="13"/>
        </w:rPr>
        <w:t> </w:t>
      </w:r>
      <w:r>
        <w:rPr>
          <w:w w:val="105"/>
          <w:sz w:val="13"/>
        </w:rPr>
        <w:t>liabilities</w:t>
      </w:r>
      <w:r>
        <w:rPr>
          <w:spacing w:val="-4"/>
          <w:w w:val="105"/>
          <w:sz w:val="13"/>
        </w:rPr>
        <w:t> </w:t>
      </w:r>
      <w:r>
        <w:rPr>
          <w:w w:val="105"/>
          <w:sz w:val="13"/>
        </w:rPr>
        <w:t>are</w:t>
      </w:r>
      <w:r>
        <w:rPr>
          <w:spacing w:val="-5"/>
          <w:w w:val="105"/>
          <w:sz w:val="13"/>
        </w:rPr>
        <w:t> </w:t>
      </w:r>
      <w:r>
        <w:rPr>
          <w:w w:val="105"/>
          <w:sz w:val="13"/>
        </w:rPr>
        <w:t>derecognised,</w:t>
      </w:r>
      <w:r>
        <w:rPr>
          <w:spacing w:val="-4"/>
          <w:w w:val="105"/>
          <w:sz w:val="13"/>
        </w:rPr>
        <w:t> </w:t>
      </w:r>
      <w:r>
        <w:rPr>
          <w:w w:val="105"/>
          <w:sz w:val="13"/>
        </w:rPr>
        <w:t>as</w:t>
      </w:r>
      <w:r>
        <w:rPr>
          <w:spacing w:val="-4"/>
          <w:w w:val="105"/>
          <w:sz w:val="13"/>
        </w:rPr>
        <w:t> </w:t>
      </w:r>
      <w:r>
        <w:rPr>
          <w:w w:val="105"/>
          <w:sz w:val="13"/>
        </w:rPr>
        <w:t>well</w:t>
      </w:r>
      <w:r>
        <w:rPr>
          <w:spacing w:val="-1"/>
          <w:w w:val="105"/>
          <w:sz w:val="13"/>
        </w:rPr>
        <w:t> </w:t>
      </w:r>
      <w:r>
        <w:rPr>
          <w:w w:val="105"/>
          <w:sz w:val="13"/>
        </w:rPr>
        <w:t>as</w:t>
      </w:r>
      <w:r>
        <w:rPr>
          <w:spacing w:val="-4"/>
          <w:w w:val="105"/>
          <w:sz w:val="13"/>
        </w:rPr>
        <w:t> </w:t>
      </w:r>
      <w:r>
        <w:rPr>
          <w:w w:val="105"/>
          <w:sz w:val="13"/>
        </w:rPr>
        <w:t>through</w:t>
      </w:r>
      <w:r>
        <w:rPr>
          <w:spacing w:val="-3"/>
          <w:w w:val="105"/>
          <w:sz w:val="13"/>
        </w:rPr>
        <w:t> </w:t>
      </w:r>
      <w:r>
        <w:rPr>
          <w:w w:val="105"/>
          <w:sz w:val="13"/>
        </w:rPr>
        <w:t>the</w:t>
      </w:r>
      <w:r>
        <w:rPr>
          <w:spacing w:val="-5"/>
          <w:w w:val="105"/>
          <w:sz w:val="13"/>
        </w:rPr>
        <w:t> </w:t>
      </w:r>
      <w:r>
        <w:rPr>
          <w:w w:val="105"/>
          <w:sz w:val="13"/>
        </w:rPr>
        <w:t>EIR</w:t>
      </w:r>
      <w:r>
        <w:rPr>
          <w:spacing w:val="-1"/>
          <w:w w:val="105"/>
          <w:sz w:val="13"/>
        </w:rPr>
        <w:t> </w:t>
      </w:r>
      <w:r>
        <w:rPr>
          <w:w w:val="105"/>
          <w:sz w:val="13"/>
        </w:rPr>
        <w:t>amortisation</w:t>
      </w:r>
      <w:r>
        <w:rPr>
          <w:spacing w:val="-5"/>
          <w:w w:val="105"/>
          <w:sz w:val="13"/>
        </w:rPr>
        <w:t> </w:t>
      </w:r>
      <w:r>
        <w:rPr>
          <w:w w:val="105"/>
          <w:sz w:val="13"/>
        </w:rPr>
        <w:t>process.</w:t>
      </w:r>
      <w:r>
        <w:rPr>
          <w:spacing w:val="-2"/>
          <w:w w:val="105"/>
          <w:sz w:val="13"/>
        </w:rPr>
        <w:t> </w:t>
      </w:r>
      <w:r>
        <w:rPr>
          <w:w w:val="105"/>
          <w:sz w:val="13"/>
        </w:rPr>
        <w:t>Amortised</w:t>
      </w:r>
      <w:r>
        <w:rPr>
          <w:spacing w:val="-5"/>
          <w:w w:val="105"/>
          <w:sz w:val="13"/>
        </w:rPr>
        <w:t> </w:t>
      </w:r>
      <w:r>
        <w:rPr>
          <w:w w:val="105"/>
          <w:sz w:val="13"/>
        </w:rPr>
        <w:t>cost</w:t>
      </w:r>
      <w:r>
        <w:rPr>
          <w:spacing w:val="40"/>
          <w:w w:val="105"/>
          <w:sz w:val="13"/>
        </w:rPr>
        <w:t> </w:t>
      </w:r>
      <w:r>
        <w:rPr>
          <w:w w:val="105"/>
          <w:sz w:val="13"/>
        </w:rPr>
        <w:t>is calculated by</w:t>
      </w:r>
      <w:r>
        <w:rPr>
          <w:spacing w:val="-3"/>
          <w:w w:val="105"/>
          <w:sz w:val="13"/>
        </w:rPr>
        <w:t> </w:t>
      </w:r>
      <w:r>
        <w:rPr>
          <w:w w:val="105"/>
          <w:sz w:val="13"/>
        </w:rPr>
        <w:t>taking into</w:t>
      </w:r>
      <w:r>
        <w:rPr>
          <w:spacing w:val="-2"/>
          <w:w w:val="105"/>
          <w:sz w:val="13"/>
        </w:rPr>
        <w:t> </w:t>
      </w:r>
      <w:r>
        <w:rPr>
          <w:w w:val="105"/>
          <w:sz w:val="13"/>
        </w:rPr>
        <w:t>account any</w:t>
      </w:r>
      <w:r>
        <w:rPr>
          <w:spacing w:val="-5"/>
          <w:w w:val="105"/>
          <w:sz w:val="13"/>
        </w:rPr>
        <w:t> </w:t>
      </w:r>
      <w:r>
        <w:rPr>
          <w:w w:val="105"/>
          <w:sz w:val="13"/>
        </w:rPr>
        <w:t>discount or premium on</w:t>
      </w:r>
      <w:r>
        <w:rPr>
          <w:spacing w:val="-2"/>
          <w:w w:val="105"/>
          <w:sz w:val="13"/>
        </w:rPr>
        <w:t> </w:t>
      </w:r>
      <w:r>
        <w:rPr>
          <w:w w:val="105"/>
          <w:sz w:val="13"/>
        </w:rPr>
        <w:t>acquisition and</w:t>
      </w:r>
      <w:r>
        <w:rPr>
          <w:spacing w:val="-2"/>
          <w:w w:val="105"/>
          <w:sz w:val="13"/>
        </w:rPr>
        <w:t> </w:t>
      </w:r>
      <w:r>
        <w:rPr>
          <w:w w:val="105"/>
          <w:sz w:val="13"/>
        </w:rPr>
        <w:t>fees or</w:t>
      </w:r>
      <w:r>
        <w:rPr>
          <w:spacing w:val="-1"/>
          <w:w w:val="105"/>
          <w:sz w:val="13"/>
        </w:rPr>
        <w:t> </w:t>
      </w:r>
      <w:r>
        <w:rPr>
          <w:w w:val="105"/>
          <w:sz w:val="13"/>
        </w:rPr>
        <w:t>costs that</w:t>
      </w:r>
      <w:r>
        <w:rPr>
          <w:spacing w:val="-1"/>
          <w:w w:val="105"/>
          <w:sz w:val="13"/>
        </w:rPr>
        <w:t> </w:t>
      </w:r>
      <w:r>
        <w:rPr>
          <w:w w:val="105"/>
          <w:sz w:val="13"/>
        </w:rPr>
        <w:t>are an</w:t>
      </w:r>
      <w:r>
        <w:rPr>
          <w:spacing w:val="-2"/>
          <w:w w:val="105"/>
          <w:sz w:val="13"/>
        </w:rPr>
        <w:t> </w:t>
      </w:r>
      <w:r>
        <w:rPr>
          <w:w w:val="105"/>
          <w:sz w:val="13"/>
        </w:rPr>
        <w:t>integral part</w:t>
      </w:r>
      <w:r>
        <w:rPr>
          <w:spacing w:val="-1"/>
          <w:w w:val="105"/>
          <w:sz w:val="13"/>
        </w:rPr>
        <w:t> </w:t>
      </w:r>
      <w:r>
        <w:rPr>
          <w:w w:val="105"/>
          <w:sz w:val="13"/>
        </w:rPr>
        <w:t>of the</w:t>
      </w:r>
      <w:r>
        <w:rPr>
          <w:spacing w:val="-2"/>
          <w:w w:val="105"/>
          <w:sz w:val="13"/>
        </w:rPr>
        <w:t> </w:t>
      </w:r>
      <w:r>
        <w:rPr>
          <w:w w:val="105"/>
          <w:sz w:val="13"/>
        </w:rPr>
        <w:t>EIR. The</w:t>
      </w:r>
      <w:r>
        <w:rPr>
          <w:spacing w:val="-2"/>
          <w:w w:val="105"/>
          <w:sz w:val="13"/>
        </w:rPr>
        <w:t> </w:t>
      </w:r>
      <w:r>
        <w:rPr>
          <w:w w:val="105"/>
          <w:sz w:val="13"/>
        </w:rPr>
        <w:t>EIR</w:t>
      </w:r>
      <w:r>
        <w:rPr>
          <w:spacing w:val="40"/>
          <w:w w:val="105"/>
          <w:sz w:val="13"/>
        </w:rPr>
        <w:t> </w:t>
      </w:r>
      <w:r>
        <w:rPr>
          <w:w w:val="105"/>
          <w:sz w:val="13"/>
        </w:rPr>
        <w:t>amortisation is included in finance costs in the income statement.</w:t>
      </w:r>
    </w:p>
    <w:p>
      <w:pPr>
        <w:spacing w:line="240" w:lineRule="auto" w:before="18"/>
        <w:rPr>
          <w:sz w:val="13"/>
        </w:rPr>
      </w:pPr>
    </w:p>
    <w:p>
      <w:pPr>
        <w:spacing w:line="273" w:lineRule="auto" w:before="0"/>
        <w:ind w:left="750" w:right="289" w:firstLine="0"/>
        <w:jc w:val="both"/>
        <w:rPr>
          <w:sz w:val="13"/>
        </w:rPr>
      </w:pPr>
      <w:r>
        <w:rPr>
          <w:w w:val="105"/>
          <w:sz w:val="13"/>
        </w:rPr>
        <w:t>Borrowings are classified as current liabilities unless the Group has an unconditional right to defer settlement of the liability</w:t>
      </w:r>
      <w:r>
        <w:rPr>
          <w:spacing w:val="-3"/>
          <w:w w:val="105"/>
          <w:sz w:val="13"/>
        </w:rPr>
        <w:t> </w:t>
      </w:r>
      <w:r>
        <w:rPr>
          <w:w w:val="105"/>
          <w:sz w:val="13"/>
        </w:rPr>
        <w:t>for at least</w:t>
      </w:r>
      <w:r>
        <w:rPr>
          <w:spacing w:val="-1"/>
          <w:w w:val="105"/>
          <w:sz w:val="13"/>
        </w:rPr>
        <w:t> </w:t>
      </w:r>
      <w:r>
        <w:rPr>
          <w:w w:val="105"/>
          <w:sz w:val="13"/>
        </w:rPr>
        <w:t>12</w:t>
      </w:r>
      <w:r>
        <w:rPr>
          <w:spacing w:val="40"/>
          <w:w w:val="105"/>
          <w:sz w:val="13"/>
        </w:rPr>
        <w:t> </w:t>
      </w:r>
      <w:r>
        <w:rPr>
          <w:w w:val="105"/>
          <w:sz w:val="13"/>
        </w:rPr>
        <w:t>months</w:t>
      </w:r>
      <w:r>
        <w:rPr>
          <w:spacing w:val="-1"/>
          <w:w w:val="105"/>
          <w:sz w:val="13"/>
        </w:rPr>
        <w:t> </w:t>
      </w:r>
      <w:r>
        <w:rPr>
          <w:w w:val="105"/>
          <w:sz w:val="13"/>
        </w:rPr>
        <w:t>after the</w:t>
      </w:r>
      <w:r>
        <w:rPr>
          <w:spacing w:val="-2"/>
          <w:w w:val="105"/>
          <w:sz w:val="13"/>
        </w:rPr>
        <w:t> </w:t>
      </w:r>
      <w:r>
        <w:rPr>
          <w:w w:val="105"/>
          <w:sz w:val="13"/>
        </w:rPr>
        <w:t>balance</w:t>
      </w:r>
      <w:r>
        <w:rPr>
          <w:spacing w:val="-2"/>
          <w:w w:val="105"/>
          <w:sz w:val="13"/>
        </w:rPr>
        <w:t> </w:t>
      </w:r>
      <w:r>
        <w:rPr>
          <w:w w:val="105"/>
          <w:sz w:val="13"/>
        </w:rPr>
        <w:t>sheet</w:t>
      </w:r>
      <w:r>
        <w:rPr>
          <w:spacing w:val="-2"/>
          <w:w w:val="105"/>
          <w:sz w:val="13"/>
        </w:rPr>
        <w:t> </w:t>
      </w:r>
      <w:r>
        <w:rPr>
          <w:w w:val="105"/>
          <w:sz w:val="13"/>
        </w:rPr>
        <w:t>date</w:t>
      </w:r>
      <w:r>
        <w:rPr>
          <w:spacing w:val="-2"/>
          <w:w w:val="105"/>
          <w:sz w:val="13"/>
        </w:rPr>
        <w:t> </w:t>
      </w:r>
      <w:r>
        <w:rPr>
          <w:w w:val="105"/>
          <w:sz w:val="13"/>
        </w:rPr>
        <w:t>and</w:t>
      </w:r>
      <w:r>
        <w:rPr>
          <w:spacing w:val="-2"/>
          <w:w w:val="105"/>
          <w:sz w:val="13"/>
        </w:rPr>
        <w:t> </w:t>
      </w:r>
      <w:r>
        <w:rPr>
          <w:w w:val="105"/>
          <w:sz w:val="13"/>
        </w:rPr>
        <w:t>does</w:t>
      </w:r>
      <w:r>
        <w:rPr>
          <w:spacing w:val="-1"/>
          <w:w w:val="105"/>
          <w:sz w:val="13"/>
        </w:rPr>
        <w:t> </w:t>
      </w:r>
      <w:r>
        <w:rPr>
          <w:w w:val="105"/>
          <w:sz w:val="13"/>
        </w:rPr>
        <w:t>not</w:t>
      </w:r>
      <w:r>
        <w:rPr>
          <w:spacing w:val="-2"/>
          <w:w w:val="105"/>
          <w:sz w:val="13"/>
        </w:rPr>
        <w:t> </w:t>
      </w:r>
      <w:r>
        <w:rPr>
          <w:w w:val="105"/>
          <w:sz w:val="13"/>
        </w:rPr>
        <w:t>expect</w:t>
      </w:r>
      <w:r>
        <w:rPr>
          <w:spacing w:val="-2"/>
          <w:w w:val="105"/>
          <w:sz w:val="13"/>
        </w:rPr>
        <w:t> </w:t>
      </w:r>
      <w:r>
        <w:rPr>
          <w:w w:val="105"/>
          <w:sz w:val="13"/>
        </w:rPr>
        <w:t>to</w:t>
      </w:r>
      <w:r>
        <w:rPr>
          <w:spacing w:val="-2"/>
          <w:w w:val="105"/>
          <w:sz w:val="13"/>
        </w:rPr>
        <w:t> </w:t>
      </w:r>
      <w:r>
        <w:rPr>
          <w:w w:val="105"/>
          <w:sz w:val="13"/>
        </w:rPr>
        <w:t>settle</w:t>
      </w:r>
      <w:r>
        <w:rPr>
          <w:spacing w:val="-2"/>
          <w:w w:val="105"/>
          <w:sz w:val="13"/>
        </w:rPr>
        <w:t> </w:t>
      </w:r>
      <w:r>
        <w:rPr>
          <w:w w:val="105"/>
          <w:sz w:val="13"/>
        </w:rPr>
        <w:t>the</w:t>
      </w:r>
      <w:r>
        <w:rPr>
          <w:spacing w:val="-2"/>
          <w:w w:val="105"/>
          <w:sz w:val="13"/>
        </w:rPr>
        <w:t> </w:t>
      </w:r>
      <w:r>
        <w:rPr>
          <w:w w:val="105"/>
          <w:sz w:val="13"/>
        </w:rPr>
        <w:t>liability</w:t>
      </w:r>
      <w:r>
        <w:rPr>
          <w:spacing w:val="-6"/>
          <w:w w:val="105"/>
          <w:sz w:val="13"/>
        </w:rPr>
        <w:t> </w:t>
      </w:r>
      <w:r>
        <w:rPr>
          <w:w w:val="105"/>
          <w:sz w:val="13"/>
        </w:rPr>
        <w:t>for at</w:t>
      </w:r>
      <w:r>
        <w:rPr>
          <w:spacing w:val="-2"/>
          <w:w w:val="105"/>
          <w:sz w:val="13"/>
        </w:rPr>
        <w:t> </w:t>
      </w:r>
      <w:r>
        <w:rPr>
          <w:w w:val="105"/>
          <w:sz w:val="13"/>
        </w:rPr>
        <w:t>least</w:t>
      </w:r>
      <w:r>
        <w:rPr>
          <w:spacing w:val="-2"/>
          <w:w w:val="105"/>
          <w:sz w:val="13"/>
        </w:rPr>
        <w:t> </w:t>
      </w:r>
      <w:r>
        <w:rPr>
          <w:w w:val="105"/>
          <w:sz w:val="13"/>
        </w:rPr>
        <w:t>12</w:t>
      </w:r>
      <w:r>
        <w:rPr>
          <w:spacing w:val="-2"/>
          <w:w w:val="105"/>
          <w:sz w:val="13"/>
        </w:rPr>
        <w:t> </w:t>
      </w:r>
      <w:r>
        <w:rPr>
          <w:w w:val="105"/>
          <w:sz w:val="13"/>
        </w:rPr>
        <w:t>months</w:t>
      </w:r>
      <w:r>
        <w:rPr>
          <w:spacing w:val="-1"/>
          <w:w w:val="105"/>
          <w:sz w:val="13"/>
        </w:rPr>
        <w:t> </w:t>
      </w:r>
      <w:r>
        <w:rPr>
          <w:w w:val="105"/>
          <w:sz w:val="13"/>
        </w:rPr>
        <w:t>after the</w:t>
      </w:r>
      <w:r>
        <w:rPr>
          <w:spacing w:val="-2"/>
          <w:w w:val="105"/>
          <w:sz w:val="13"/>
        </w:rPr>
        <w:t> </w:t>
      </w:r>
      <w:r>
        <w:rPr>
          <w:w w:val="105"/>
          <w:sz w:val="13"/>
        </w:rPr>
        <w:t>balance</w:t>
      </w:r>
      <w:r>
        <w:rPr>
          <w:spacing w:val="-2"/>
          <w:w w:val="105"/>
          <w:sz w:val="13"/>
        </w:rPr>
        <w:t> </w:t>
      </w:r>
      <w:r>
        <w:rPr>
          <w:w w:val="105"/>
          <w:sz w:val="13"/>
        </w:rPr>
        <w:t>sheet</w:t>
      </w:r>
      <w:r>
        <w:rPr>
          <w:spacing w:val="-2"/>
          <w:w w:val="105"/>
          <w:sz w:val="13"/>
        </w:rPr>
        <w:t> </w:t>
      </w:r>
      <w:r>
        <w:rPr>
          <w:w w:val="105"/>
          <w:sz w:val="13"/>
        </w:rPr>
        <w:t>date.</w:t>
      </w:r>
    </w:p>
    <w:p>
      <w:pPr>
        <w:spacing w:line="240" w:lineRule="auto" w:before="20"/>
        <w:rPr>
          <w:sz w:val="13"/>
        </w:rPr>
      </w:pPr>
    </w:p>
    <w:p>
      <w:pPr>
        <w:spacing w:line="273" w:lineRule="auto" w:before="0"/>
        <w:ind w:left="750" w:right="288" w:firstLine="0"/>
        <w:jc w:val="both"/>
        <w:rPr>
          <w:sz w:val="13"/>
        </w:rPr>
      </w:pPr>
      <w:r>
        <w:rPr>
          <w:w w:val="105"/>
          <w:sz w:val="13"/>
        </w:rPr>
        <w:t>Borrowing costs incurred for the construction of any</w:t>
      </w:r>
      <w:r>
        <w:rPr>
          <w:spacing w:val="-1"/>
          <w:w w:val="105"/>
          <w:sz w:val="13"/>
        </w:rPr>
        <w:t> </w:t>
      </w:r>
      <w:r>
        <w:rPr>
          <w:w w:val="105"/>
          <w:sz w:val="13"/>
        </w:rPr>
        <w:t>qualifying asset are capitalised during the period of time that is required to complete</w:t>
      </w:r>
      <w:r>
        <w:rPr>
          <w:spacing w:val="40"/>
          <w:w w:val="105"/>
          <w:sz w:val="13"/>
        </w:rPr>
        <w:t> </w:t>
      </w:r>
      <w:r>
        <w:rPr>
          <w:w w:val="105"/>
          <w:sz w:val="13"/>
        </w:rPr>
        <w:t>and prepare the asset for its intended use or sale. Other borrowing costs are expensed.</w:t>
      </w:r>
    </w:p>
    <w:p>
      <w:pPr>
        <w:spacing w:line="240" w:lineRule="auto" w:before="59"/>
        <w:rPr>
          <w:sz w:val="13"/>
        </w:rPr>
      </w:pPr>
    </w:p>
    <w:p>
      <w:pPr>
        <w:spacing w:before="1"/>
        <w:ind w:left="750" w:right="0" w:firstLine="0"/>
        <w:jc w:val="both"/>
        <w:rPr>
          <w:b/>
          <w:sz w:val="13"/>
        </w:rPr>
      </w:pPr>
      <w:r>
        <w:rPr>
          <w:b/>
          <w:w w:val="105"/>
          <w:sz w:val="13"/>
        </w:rPr>
        <w:t>Lease</w:t>
      </w:r>
      <w:r>
        <w:rPr>
          <w:b/>
          <w:spacing w:val="-8"/>
          <w:w w:val="105"/>
          <w:sz w:val="13"/>
        </w:rPr>
        <w:t> </w:t>
      </w:r>
      <w:r>
        <w:rPr>
          <w:b/>
          <w:spacing w:val="-2"/>
          <w:w w:val="105"/>
          <w:sz w:val="13"/>
        </w:rPr>
        <w:t>liabilities</w:t>
      </w:r>
    </w:p>
    <w:p>
      <w:pPr>
        <w:spacing w:line="273" w:lineRule="auto" w:before="25"/>
        <w:ind w:left="750" w:right="288" w:firstLine="0"/>
        <w:jc w:val="both"/>
        <w:rPr>
          <w:sz w:val="13"/>
        </w:rPr>
      </w:pPr>
      <w:r>
        <w:rPr>
          <w:w w:val="105"/>
          <w:sz w:val="13"/>
        </w:rPr>
        <w:t>A lease liability</w:t>
      </w:r>
      <w:r>
        <w:rPr>
          <w:spacing w:val="-1"/>
          <w:w w:val="105"/>
          <w:sz w:val="13"/>
        </w:rPr>
        <w:t> </w:t>
      </w:r>
      <w:r>
        <w:rPr>
          <w:w w:val="105"/>
          <w:sz w:val="13"/>
        </w:rPr>
        <w:t>is initially</w:t>
      </w:r>
      <w:r>
        <w:rPr>
          <w:spacing w:val="-1"/>
          <w:w w:val="105"/>
          <w:sz w:val="13"/>
        </w:rPr>
        <w:t> </w:t>
      </w:r>
      <w:r>
        <w:rPr>
          <w:w w:val="105"/>
          <w:sz w:val="13"/>
        </w:rPr>
        <w:t>measured at the present value of unpaid lease payments at the commencement date of the lease. To calculate</w:t>
      </w:r>
      <w:r>
        <w:rPr>
          <w:spacing w:val="40"/>
          <w:w w:val="105"/>
          <w:sz w:val="13"/>
        </w:rPr>
        <w:t> </w:t>
      </w:r>
      <w:r>
        <w:rPr>
          <w:w w:val="105"/>
          <w:sz w:val="13"/>
        </w:rPr>
        <w:t>the present value, the</w:t>
      </w:r>
      <w:r>
        <w:rPr>
          <w:spacing w:val="-2"/>
          <w:w w:val="105"/>
          <w:sz w:val="13"/>
        </w:rPr>
        <w:t> </w:t>
      </w:r>
      <w:r>
        <w:rPr>
          <w:w w:val="105"/>
          <w:sz w:val="13"/>
        </w:rPr>
        <w:t>unpaid lease</w:t>
      </w:r>
      <w:r>
        <w:rPr>
          <w:spacing w:val="-2"/>
          <w:w w:val="105"/>
          <w:sz w:val="13"/>
        </w:rPr>
        <w:t> </w:t>
      </w:r>
      <w:r>
        <w:rPr>
          <w:w w:val="105"/>
          <w:sz w:val="13"/>
        </w:rPr>
        <w:t>payments are</w:t>
      </w:r>
      <w:r>
        <w:rPr>
          <w:spacing w:val="-2"/>
          <w:w w:val="105"/>
          <w:sz w:val="13"/>
        </w:rPr>
        <w:t> </w:t>
      </w:r>
      <w:r>
        <w:rPr>
          <w:w w:val="105"/>
          <w:sz w:val="13"/>
        </w:rPr>
        <w:t>discounted using</w:t>
      </w:r>
      <w:r>
        <w:rPr>
          <w:spacing w:val="-2"/>
          <w:w w:val="105"/>
          <w:sz w:val="13"/>
        </w:rPr>
        <w:t> </w:t>
      </w:r>
      <w:r>
        <w:rPr>
          <w:w w:val="105"/>
          <w:sz w:val="13"/>
        </w:rPr>
        <w:t>the interest</w:t>
      </w:r>
      <w:r>
        <w:rPr>
          <w:spacing w:val="-1"/>
          <w:w w:val="105"/>
          <w:sz w:val="13"/>
        </w:rPr>
        <w:t> </w:t>
      </w:r>
      <w:r>
        <w:rPr>
          <w:w w:val="105"/>
          <w:sz w:val="13"/>
        </w:rPr>
        <w:t>rate implicit</w:t>
      </w:r>
      <w:r>
        <w:rPr>
          <w:spacing w:val="-1"/>
          <w:w w:val="105"/>
          <w:sz w:val="13"/>
        </w:rPr>
        <w:t> </w:t>
      </w:r>
      <w:r>
        <w:rPr>
          <w:w w:val="105"/>
          <w:sz w:val="13"/>
        </w:rPr>
        <w:t>in the</w:t>
      </w:r>
      <w:r>
        <w:rPr>
          <w:spacing w:val="-2"/>
          <w:w w:val="105"/>
          <w:sz w:val="13"/>
        </w:rPr>
        <w:t> </w:t>
      </w:r>
      <w:r>
        <w:rPr>
          <w:w w:val="105"/>
          <w:sz w:val="13"/>
        </w:rPr>
        <w:t>lease if the rate</w:t>
      </w:r>
      <w:r>
        <w:rPr>
          <w:spacing w:val="-2"/>
          <w:w w:val="105"/>
          <w:sz w:val="13"/>
        </w:rPr>
        <w:t> </w:t>
      </w:r>
      <w:r>
        <w:rPr>
          <w:w w:val="105"/>
          <w:sz w:val="13"/>
        </w:rPr>
        <w:t>is readily</w:t>
      </w:r>
      <w:r>
        <w:rPr>
          <w:spacing w:val="-5"/>
          <w:w w:val="105"/>
          <w:sz w:val="13"/>
        </w:rPr>
        <w:t> </w:t>
      </w:r>
      <w:r>
        <w:rPr>
          <w:w w:val="105"/>
          <w:sz w:val="13"/>
        </w:rPr>
        <w:t>determinable.</w:t>
      </w:r>
      <w:r>
        <w:rPr>
          <w:spacing w:val="40"/>
          <w:w w:val="105"/>
          <w:sz w:val="13"/>
        </w:rPr>
        <w:t> </w:t>
      </w:r>
      <w:r>
        <w:rPr>
          <w:w w:val="105"/>
          <w:sz w:val="13"/>
        </w:rPr>
        <w:t>If</w:t>
      </w:r>
      <w:r>
        <w:rPr>
          <w:w w:val="105"/>
          <w:sz w:val="13"/>
        </w:rPr>
        <w:t> the interest rate implicit in the lease cannot be readily determined, the incremental borrowing rate at the commencement date of the</w:t>
      </w:r>
      <w:r>
        <w:rPr>
          <w:spacing w:val="40"/>
          <w:w w:val="105"/>
          <w:sz w:val="13"/>
        </w:rPr>
        <w:t> </w:t>
      </w:r>
      <w:r>
        <w:rPr>
          <w:w w:val="105"/>
          <w:sz w:val="13"/>
        </w:rPr>
        <w:t>lease is used.</w:t>
      </w:r>
    </w:p>
    <w:p>
      <w:pPr>
        <w:spacing w:line="240" w:lineRule="auto" w:before="19"/>
        <w:rPr>
          <w:sz w:val="13"/>
        </w:rPr>
      </w:pPr>
    </w:p>
    <w:p>
      <w:pPr>
        <w:spacing w:before="0"/>
        <w:ind w:left="750" w:right="0" w:firstLine="0"/>
        <w:jc w:val="left"/>
        <w:rPr>
          <w:sz w:val="13"/>
        </w:rPr>
      </w:pPr>
      <w:r>
        <w:rPr>
          <w:w w:val="105"/>
          <w:sz w:val="13"/>
        </w:rPr>
        <w:t>Lease</w:t>
      </w:r>
      <w:r>
        <w:rPr>
          <w:spacing w:val="-8"/>
          <w:w w:val="105"/>
          <w:sz w:val="13"/>
        </w:rPr>
        <w:t> </w:t>
      </w:r>
      <w:r>
        <w:rPr>
          <w:w w:val="105"/>
          <w:sz w:val="13"/>
        </w:rPr>
        <w:t>payments</w:t>
      </w:r>
      <w:r>
        <w:rPr>
          <w:spacing w:val="-8"/>
          <w:w w:val="105"/>
          <w:sz w:val="13"/>
        </w:rPr>
        <w:t> </w:t>
      </w:r>
      <w:r>
        <w:rPr>
          <w:w w:val="105"/>
          <w:sz w:val="13"/>
        </w:rPr>
        <w:t>included</w:t>
      </w:r>
      <w:r>
        <w:rPr>
          <w:spacing w:val="-7"/>
          <w:w w:val="105"/>
          <w:sz w:val="13"/>
        </w:rPr>
        <w:t> </w:t>
      </w:r>
      <w:r>
        <w:rPr>
          <w:w w:val="105"/>
          <w:sz w:val="13"/>
        </w:rPr>
        <w:t>in</w:t>
      </w:r>
      <w:r>
        <w:rPr>
          <w:spacing w:val="-8"/>
          <w:w w:val="105"/>
          <w:sz w:val="13"/>
        </w:rPr>
        <w:t> </w:t>
      </w:r>
      <w:r>
        <w:rPr>
          <w:w w:val="105"/>
          <w:sz w:val="13"/>
        </w:rPr>
        <w:t>the</w:t>
      </w:r>
      <w:r>
        <w:rPr>
          <w:spacing w:val="-8"/>
          <w:w w:val="105"/>
          <w:sz w:val="13"/>
        </w:rPr>
        <w:t> </w:t>
      </w:r>
      <w:r>
        <w:rPr>
          <w:w w:val="105"/>
          <w:sz w:val="13"/>
        </w:rPr>
        <w:t>measurement</w:t>
      </w:r>
      <w:r>
        <w:rPr>
          <w:spacing w:val="-8"/>
          <w:w w:val="105"/>
          <w:sz w:val="13"/>
        </w:rPr>
        <w:t> </w:t>
      </w:r>
      <w:r>
        <w:rPr>
          <w:w w:val="105"/>
          <w:sz w:val="13"/>
        </w:rPr>
        <w:t>of</w:t>
      </w:r>
      <w:r>
        <w:rPr>
          <w:spacing w:val="-6"/>
          <w:w w:val="105"/>
          <w:sz w:val="13"/>
        </w:rPr>
        <w:t> </w:t>
      </w:r>
      <w:r>
        <w:rPr>
          <w:w w:val="105"/>
          <w:sz w:val="13"/>
        </w:rPr>
        <w:t>lease</w:t>
      </w:r>
      <w:r>
        <w:rPr>
          <w:spacing w:val="-8"/>
          <w:w w:val="105"/>
          <w:sz w:val="13"/>
        </w:rPr>
        <w:t> </w:t>
      </w:r>
      <w:r>
        <w:rPr>
          <w:w w:val="105"/>
          <w:sz w:val="13"/>
        </w:rPr>
        <w:t>liabilities</w:t>
      </w:r>
      <w:r>
        <w:rPr>
          <w:spacing w:val="-7"/>
          <w:w w:val="105"/>
          <w:sz w:val="13"/>
        </w:rPr>
        <w:t> </w:t>
      </w:r>
      <w:r>
        <w:rPr>
          <w:spacing w:val="-2"/>
          <w:w w:val="105"/>
          <w:sz w:val="13"/>
        </w:rPr>
        <w:t>comprise:</w:t>
      </w:r>
    </w:p>
    <w:p>
      <w:pPr>
        <w:pStyle w:val="ListParagraph"/>
        <w:numPr>
          <w:ilvl w:val="0"/>
          <w:numId w:val="34"/>
        </w:numPr>
        <w:tabs>
          <w:tab w:pos="870" w:val="left" w:leader="none"/>
        </w:tabs>
        <w:spacing w:line="240" w:lineRule="auto" w:before="20" w:after="0"/>
        <w:ind w:left="870" w:right="0" w:hanging="120"/>
        <w:jc w:val="left"/>
        <w:rPr>
          <w:sz w:val="13"/>
        </w:rPr>
      </w:pPr>
      <w:r>
        <w:rPr>
          <w:spacing w:val="-2"/>
          <w:w w:val="105"/>
          <w:sz w:val="13"/>
        </w:rPr>
        <w:t>Fixed</w:t>
      </w:r>
      <w:r>
        <w:rPr>
          <w:spacing w:val="5"/>
          <w:w w:val="105"/>
          <w:sz w:val="13"/>
        </w:rPr>
        <w:t> </w:t>
      </w:r>
      <w:r>
        <w:rPr>
          <w:spacing w:val="-2"/>
          <w:w w:val="105"/>
          <w:sz w:val="13"/>
        </w:rPr>
        <w:t>payments,</w:t>
      </w:r>
      <w:r>
        <w:rPr>
          <w:spacing w:val="6"/>
          <w:w w:val="105"/>
          <w:sz w:val="13"/>
        </w:rPr>
        <w:t> </w:t>
      </w:r>
      <w:r>
        <w:rPr>
          <w:spacing w:val="-2"/>
          <w:w w:val="105"/>
          <w:sz w:val="13"/>
        </w:rPr>
        <w:t>including</w:t>
      </w:r>
      <w:r>
        <w:rPr>
          <w:spacing w:val="6"/>
          <w:w w:val="105"/>
          <w:sz w:val="13"/>
        </w:rPr>
        <w:t> </w:t>
      </w:r>
      <w:r>
        <w:rPr>
          <w:spacing w:val="-2"/>
          <w:w w:val="105"/>
          <w:sz w:val="13"/>
        </w:rPr>
        <w:t>in-substance</w:t>
      </w:r>
      <w:r>
        <w:rPr>
          <w:spacing w:val="6"/>
          <w:w w:val="105"/>
          <w:sz w:val="13"/>
        </w:rPr>
        <w:t> </w:t>
      </w:r>
      <w:r>
        <w:rPr>
          <w:spacing w:val="-2"/>
          <w:w w:val="105"/>
          <w:sz w:val="13"/>
        </w:rPr>
        <w:t>fixed</w:t>
      </w:r>
      <w:r>
        <w:rPr>
          <w:spacing w:val="5"/>
          <w:w w:val="105"/>
          <w:sz w:val="13"/>
        </w:rPr>
        <w:t> </w:t>
      </w:r>
      <w:r>
        <w:rPr>
          <w:spacing w:val="-2"/>
          <w:w w:val="105"/>
          <w:sz w:val="13"/>
        </w:rPr>
        <w:t>payments</w:t>
      </w:r>
    </w:p>
    <w:p>
      <w:pPr>
        <w:pStyle w:val="ListParagraph"/>
        <w:numPr>
          <w:ilvl w:val="0"/>
          <w:numId w:val="34"/>
        </w:numPr>
        <w:tabs>
          <w:tab w:pos="883" w:val="left" w:leader="none"/>
        </w:tabs>
        <w:spacing w:line="273" w:lineRule="auto" w:before="21" w:after="0"/>
        <w:ind w:left="750" w:right="288" w:firstLine="0"/>
        <w:jc w:val="left"/>
        <w:rPr>
          <w:sz w:val="13"/>
        </w:rPr>
      </w:pPr>
      <w:r>
        <w:rPr>
          <w:w w:val="105"/>
          <w:sz w:val="13"/>
        </w:rPr>
        <w:t>Variable lease payments that depend on an index or a rate, initially measured using the index or rate as at the commencement date</w:t>
      </w:r>
      <w:r>
        <w:rPr>
          <w:spacing w:val="40"/>
          <w:w w:val="105"/>
          <w:sz w:val="13"/>
        </w:rPr>
        <w:t> </w:t>
      </w:r>
      <w:r>
        <w:rPr>
          <w:w w:val="105"/>
          <w:sz w:val="13"/>
        </w:rPr>
        <w:t>(e.g. payments varying on account of changes in CPI)</w:t>
      </w:r>
    </w:p>
    <w:p>
      <w:pPr>
        <w:pStyle w:val="ListParagraph"/>
        <w:numPr>
          <w:ilvl w:val="0"/>
          <w:numId w:val="34"/>
        </w:numPr>
        <w:tabs>
          <w:tab w:pos="870" w:val="left" w:leader="none"/>
        </w:tabs>
        <w:spacing w:line="149" w:lineRule="exact" w:before="0" w:after="0"/>
        <w:ind w:left="870" w:right="0" w:hanging="120"/>
        <w:jc w:val="left"/>
        <w:rPr>
          <w:sz w:val="13"/>
        </w:rPr>
      </w:pPr>
      <w:r>
        <w:rPr>
          <w:w w:val="105"/>
          <w:sz w:val="13"/>
        </w:rPr>
        <w:t>Amounts</w:t>
      </w:r>
      <w:r>
        <w:rPr>
          <w:spacing w:val="-9"/>
          <w:w w:val="105"/>
          <w:sz w:val="13"/>
        </w:rPr>
        <w:t> </w:t>
      </w:r>
      <w:r>
        <w:rPr>
          <w:w w:val="105"/>
          <w:sz w:val="13"/>
        </w:rPr>
        <w:t>expected</w:t>
      </w:r>
      <w:r>
        <w:rPr>
          <w:spacing w:val="-8"/>
          <w:w w:val="105"/>
          <w:sz w:val="13"/>
        </w:rPr>
        <w:t> </w:t>
      </w:r>
      <w:r>
        <w:rPr>
          <w:w w:val="105"/>
          <w:sz w:val="13"/>
        </w:rPr>
        <w:t>to</w:t>
      </w:r>
      <w:r>
        <w:rPr>
          <w:spacing w:val="-7"/>
          <w:w w:val="105"/>
          <w:sz w:val="13"/>
        </w:rPr>
        <w:t> </w:t>
      </w:r>
      <w:r>
        <w:rPr>
          <w:w w:val="105"/>
          <w:sz w:val="13"/>
        </w:rPr>
        <w:t>be</w:t>
      </w:r>
      <w:r>
        <w:rPr>
          <w:spacing w:val="-8"/>
          <w:w w:val="105"/>
          <w:sz w:val="13"/>
        </w:rPr>
        <w:t> </w:t>
      </w:r>
      <w:r>
        <w:rPr>
          <w:w w:val="105"/>
          <w:sz w:val="13"/>
        </w:rPr>
        <w:t>payable</w:t>
      </w:r>
      <w:r>
        <w:rPr>
          <w:spacing w:val="-8"/>
          <w:w w:val="105"/>
          <w:sz w:val="13"/>
        </w:rPr>
        <w:t> </w:t>
      </w:r>
      <w:r>
        <w:rPr>
          <w:w w:val="105"/>
          <w:sz w:val="13"/>
        </w:rPr>
        <w:t>by</w:t>
      </w:r>
      <w:r>
        <w:rPr>
          <w:spacing w:val="-9"/>
          <w:w w:val="105"/>
          <w:sz w:val="13"/>
        </w:rPr>
        <w:t> </w:t>
      </w:r>
      <w:r>
        <w:rPr>
          <w:w w:val="105"/>
          <w:sz w:val="13"/>
        </w:rPr>
        <w:t>the</w:t>
      </w:r>
      <w:r>
        <w:rPr>
          <w:spacing w:val="-8"/>
          <w:w w:val="105"/>
          <w:sz w:val="13"/>
        </w:rPr>
        <w:t> </w:t>
      </w:r>
      <w:r>
        <w:rPr>
          <w:w w:val="105"/>
          <w:sz w:val="13"/>
        </w:rPr>
        <w:t>lessee</w:t>
      </w:r>
      <w:r>
        <w:rPr>
          <w:spacing w:val="-8"/>
          <w:w w:val="105"/>
          <w:sz w:val="13"/>
        </w:rPr>
        <w:t> </w:t>
      </w:r>
      <w:r>
        <w:rPr>
          <w:w w:val="105"/>
          <w:sz w:val="13"/>
        </w:rPr>
        <w:t>under</w:t>
      </w:r>
      <w:r>
        <w:rPr>
          <w:spacing w:val="-6"/>
          <w:w w:val="105"/>
          <w:sz w:val="13"/>
        </w:rPr>
        <w:t> </w:t>
      </w:r>
      <w:r>
        <w:rPr>
          <w:w w:val="105"/>
          <w:sz w:val="13"/>
        </w:rPr>
        <w:t>residual</w:t>
      </w:r>
      <w:r>
        <w:rPr>
          <w:spacing w:val="-7"/>
          <w:w w:val="105"/>
          <w:sz w:val="13"/>
        </w:rPr>
        <w:t> </w:t>
      </w:r>
      <w:r>
        <w:rPr>
          <w:w w:val="105"/>
          <w:sz w:val="13"/>
        </w:rPr>
        <w:t>value</w:t>
      </w:r>
      <w:r>
        <w:rPr>
          <w:spacing w:val="-7"/>
          <w:w w:val="105"/>
          <w:sz w:val="13"/>
        </w:rPr>
        <w:t> </w:t>
      </w:r>
      <w:r>
        <w:rPr>
          <w:spacing w:val="-2"/>
          <w:w w:val="105"/>
          <w:sz w:val="13"/>
        </w:rPr>
        <w:t>guarantees</w:t>
      </w:r>
    </w:p>
    <w:p>
      <w:pPr>
        <w:pStyle w:val="ListParagraph"/>
        <w:numPr>
          <w:ilvl w:val="0"/>
          <w:numId w:val="34"/>
        </w:numPr>
        <w:tabs>
          <w:tab w:pos="870" w:val="left" w:leader="none"/>
        </w:tabs>
        <w:spacing w:line="240" w:lineRule="auto" w:before="20" w:after="0"/>
        <w:ind w:left="870" w:right="0" w:hanging="120"/>
        <w:jc w:val="left"/>
        <w:rPr>
          <w:sz w:val="13"/>
        </w:rPr>
      </w:pPr>
      <w:r>
        <w:rPr>
          <w:w w:val="105"/>
          <w:sz w:val="13"/>
        </w:rPr>
        <w:t>The</w:t>
      </w:r>
      <w:r>
        <w:rPr>
          <w:spacing w:val="-6"/>
          <w:w w:val="105"/>
          <w:sz w:val="13"/>
        </w:rPr>
        <w:t> </w:t>
      </w:r>
      <w:r>
        <w:rPr>
          <w:w w:val="105"/>
          <w:sz w:val="13"/>
        </w:rPr>
        <w:t>exercise</w:t>
      </w:r>
      <w:r>
        <w:rPr>
          <w:spacing w:val="-6"/>
          <w:w w:val="105"/>
          <w:sz w:val="13"/>
        </w:rPr>
        <w:t> </w:t>
      </w:r>
      <w:r>
        <w:rPr>
          <w:w w:val="105"/>
          <w:sz w:val="13"/>
        </w:rPr>
        <w:t>price</w:t>
      </w:r>
      <w:r>
        <w:rPr>
          <w:spacing w:val="-6"/>
          <w:w w:val="105"/>
          <w:sz w:val="13"/>
        </w:rPr>
        <w:t> </w:t>
      </w:r>
      <w:r>
        <w:rPr>
          <w:w w:val="105"/>
          <w:sz w:val="13"/>
        </w:rPr>
        <w:t>of</w:t>
      </w:r>
      <w:r>
        <w:rPr>
          <w:spacing w:val="-4"/>
          <w:w w:val="105"/>
          <w:sz w:val="13"/>
        </w:rPr>
        <w:t> </w:t>
      </w:r>
      <w:r>
        <w:rPr>
          <w:w w:val="105"/>
          <w:sz w:val="13"/>
        </w:rPr>
        <w:t>a</w:t>
      </w:r>
      <w:r>
        <w:rPr>
          <w:spacing w:val="-6"/>
          <w:w w:val="105"/>
          <w:sz w:val="13"/>
        </w:rPr>
        <w:t> </w:t>
      </w:r>
      <w:r>
        <w:rPr>
          <w:w w:val="105"/>
          <w:sz w:val="13"/>
        </w:rPr>
        <w:t>purchase</w:t>
      </w:r>
      <w:r>
        <w:rPr>
          <w:spacing w:val="-6"/>
          <w:w w:val="105"/>
          <w:sz w:val="13"/>
        </w:rPr>
        <w:t> </w:t>
      </w:r>
      <w:r>
        <w:rPr>
          <w:w w:val="105"/>
          <w:sz w:val="13"/>
        </w:rPr>
        <w:t>option</w:t>
      </w:r>
      <w:r>
        <w:rPr>
          <w:spacing w:val="-6"/>
          <w:w w:val="105"/>
          <w:sz w:val="13"/>
        </w:rPr>
        <w:t> </w:t>
      </w:r>
      <w:r>
        <w:rPr>
          <w:w w:val="105"/>
          <w:sz w:val="13"/>
        </w:rPr>
        <w:t>if</w:t>
      </w:r>
      <w:r>
        <w:rPr>
          <w:spacing w:val="-3"/>
          <w:w w:val="105"/>
          <w:sz w:val="13"/>
        </w:rPr>
        <w:t> </w:t>
      </w:r>
      <w:r>
        <w:rPr>
          <w:w w:val="105"/>
          <w:sz w:val="13"/>
        </w:rPr>
        <w:t>the</w:t>
      </w:r>
      <w:r>
        <w:rPr>
          <w:spacing w:val="-6"/>
          <w:w w:val="105"/>
          <w:sz w:val="13"/>
        </w:rPr>
        <w:t> </w:t>
      </w:r>
      <w:r>
        <w:rPr>
          <w:w w:val="105"/>
          <w:sz w:val="13"/>
        </w:rPr>
        <w:t>group</w:t>
      </w:r>
      <w:r>
        <w:rPr>
          <w:spacing w:val="-6"/>
          <w:w w:val="105"/>
          <w:sz w:val="13"/>
        </w:rPr>
        <w:t> </w:t>
      </w:r>
      <w:r>
        <w:rPr>
          <w:w w:val="105"/>
          <w:sz w:val="13"/>
        </w:rPr>
        <w:t>is</w:t>
      </w:r>
      <w:r>
        <w:rPr>
          <w:spacing w:val="-5"/>
          <w:w w:val="105"/>
          <w:sz w:val="13"/>
        </w:rPr>
        <w:t> </w:t>
      </w:r>
      <w:r>
        <w:rPr>
          <w:w w:val="105"/>
          <w:sz w:val="13"/>
        </w:rPr>
        <w:t>reasonably</w:t>
      </w:r>
      <w:r>
        <w:rPr>
          <w:spacing w:val="-9"/>
          <w:w w:val="105"/>
          <w:sz w:val="13"/>
        </w:rPr>
        <w:t> </w:t>
      </w:r>
      <w:r>
        <w:rPr>
          <w:w w:val="105"/>
          <w:sz w:val="13"/>
        </w:rPr>
        <w:t>certain</w:t>
      </w:r>
      <w:r>
        <w:rPr>
          <w:spacing w:val="-6"/>
          <w:w w:val="105"/>
          <w:sz w:val="13"/>
        </w:rPr>
        <w:t> </w:t>
      </w:r>
      <w:r>
        <w:rPr>
          <w:w w:val="105"/>
          <w:sz w:val="13"/>
        </w:rPr>
        <w:t>to</w:t>
      </w:r>
      <w:r>
        <w:rPr>
          <w:spacing w:val="-6"/>
          <w:w w:val="105"/>
          <w:sz w:val="13"/>
        </w:rPr>
        <w:t> </w:t>
      </w:r>
      <w:r>
        <w:rPr>
          <w:w w:val="105"/>
          <w:sz w:val="13"/>
        </w:rPr>
        <w:t>exercise</w:t>
      </w:r>
      <w:r>
        <w:rPr>
          <w:spacing w:val="-6"/>
          <w:w w:val="105"/>
          <w:sz w:val="13"/>
        </w:rPr>
        <w:t> </w:t>
      </w:r>
      <w:r>
        <w:rPr>
          <w:w w:val="105"/>
          <w:sz w:val="13"/>
        </w:rPr>
        <w:t>that</w:t>
      </w:r>
      <w:r>
        <w:rPr>
          <w:spacing w:val="-6"/>
          <w:w w:val="105"/>
          <w:sz w:val="13"/>
        </w:rPr>
        <w:t> </w:t>
      </w:r>
      <w:r>
        <w:rPr>
          <w:spacing w:val="-2"/>
          <w:w w:val="105"/>
          <w:sz w:val="13"/>
        </w:rPr>
        <w:t>option</w:t>
      </w:r>
    </w:p>
    <w:p>
      <w:pPr>
        <w:pStyle w:val="ListParagraph"/>
        <w:numPr>
          <w:ilvl w:val="0"/>
          <w:numId w:val="34"/>
        </w:numPr>
        <w:tabs>
          <w:tab w:pos="870" w:val="left" w:leader="none"/>
        </w:tabs>
        <w:spacing w:line="240" w:lineRule="auto" w:before="21" w:after="0"/>
        <w:ind w:left="870" w:right="0" w:hanging="120"/>
        <w:jc w:val="left"/>
        <w:rPr>
          <w:sz w:val="13"/>
        </w:rPr>
      </w:pPr>
      <w:r>
        <w:rPr>
          <w:w w:val="105"/>
          <w:sz w:val="13"/>
        </w:rPr>
        <w:t>Payments</w:t>
      </w:r>
      <w:r>
        <w:rPr>
          <w:spacing w:val="-6"/>
          <w:w w:val="105"/>
          <w:sz w:val="13"/>
        </w:rPr>
        <w:t> </w:t>
      </w:r>
      <w:r>
        <w:rPr>
          <w:w w:val="105"/>
          <w:sz w:val="13"/>
        </w:rPr>
        <w:t>of</w:t>
      </w:r>
      <w:r>
        <w:rPr>
          <w:spacing w:val="-4"/>
          <w:w w:val="105"/>
          <w:sz w:val="13"/>
        </w:rPr>
        <w:t> </w:t>
      </w:r>
      <w:r>
        <w:rPr>
          <w:w w:val="105"/>
          <w:sz w:val="13"/>
        </w:rPr>
        <w:t>penalties</w:t>
      </w:r>
      <w:r>
        <w:rPr>
          <w:spacing w:val="-6"/>
          <w:w w:val="105"/>
          <w:sz w:val="13"/>
        </w:rPr>
        <w:t> </w:t>
      </w:r>
      <w:r>
        <w:rPr>
          <w:w w:val="105"/>
          <w:sz w:val="13"/>
        </w:rPr>
        <w:t>for</w:t>
      </w:r>
      <w:r>
        <w:rPr>
          <w:spacing w:val="-5"/>
          <w:w w:val="105"/>
          <w:sz w:val="13"/>
        </w:rPr>
        <w:t> </w:t>
      </w:r>
      <w:r>
        <w:rPr>
          <w:w w:val="105"/>
          <w:sz w:val="13"/>
        </w:rPr>
        <w:t>terminating</w:t>
      </w:r>
      <w:r>
        <w:rPr>
          <w:spacing w:val="-7"/>
          <w:w w:val="105"/>
          <w:sz w:val="13"/>
        </w:rPr>
        <w:t> </w:t>
      </w:r>
      <w:r>
        <w:rPr>
          <w:w w:val="105"/>
          <w:sz w:val="13"/>
        </w:rPr>
        <w:t>the</w:t>
      </w:r>
      <w:r>
        <w:rPr>
          <w:spacing w:val="-6"/>
          <w:w w:val="105"/>
          <w:sz w:val="13"/>
        </w:rPr>
        <w:t> </w:t>
      </w:r>
      <w:r>
        <w:rPr>
          <w:w w:val="105"/>
          <w:sz w:val="13"/>
        </w:rPr>
        <w:t>lease,</w:t>
      </w:r>
      <w:r>
        <w:rPr>
          <w:spacing w:val="-7"/>
          <w:w w:val="105"/>
          <w:sz w:val="13"/>
        </w:rPr>
        <w:t> </w:t>
      </w:r>
      <w:r>
        <w:rPr>
          <w:w w:val="105"/>
          <w:sz w:val="13"/>
        </w:rPr>
        <w:t>if</w:t>
      </w:r>
      <w:r>
        <w:rPr>
          <w:spacing w:val="-4"/>
          <w:w w:val="105"/>
          <w:sz w:val="13"/>
        </w:rPr>
        <w:t> </w:t>
      </w:r>
      <w:r>
        <w:rPr>
          <w:w w:val="105"/>
          <w:sz w:val="13"/>
        </w:rPr>
        <w:t>the</w:t>
      </w:r>
      <w:r>
        <w:rPr>
          <w:spacing w:val="-7"/>
          <w:w w:val="105"/>
          <w:sz w:val="13"/>
        </w:rPr>
        <w:t> </w:t>
      </w:r>
      <w:r>
        <w:rPr>
          <w:w w:val="105"/>
          <w:sz w:val="13"/>
        </w:rPr>
        <w:t>lease</w:t>
      </w:r>
      <w:r>
        <w:rPr>
          <w:spacing w:val="-7"/>
          <w:w w:val="105"/>
          <w:sz w:val="13"/>
        </w:rPr>
        <w:t> </w:t>
      </w:r>
      <w:r>
        <w:rPr>
          <w:w w:val="105"/>
          <w:sz w:val="13"/>
        </w:rPr>
        <w:t>term</w:t>
      </w:r>
      <w:r>
        <w:rPr>
          <w:spacing w:val="-4"/>
          <w:w w:val="105"/>
          <w:sz w:val="13"/>
        </w:rPr>
        <w:t> </w:t>
      </w:r>
      <w:r>
        <w:rPr>
          <w:w w:val="105"/>
          <w:sz w:val="13"/>
        </w:rPr>
        <w:t>reflects</w:t>
      </w:r>
      <w:r>
        <w:rPr>
          <w:spacing w:val="-6"/>
          <w:w w:val="105"/>
          <w:sz w:val="13"/>
        </w:rPr>
        <w:t> </w:t>
      </w:r>
      <w:r>
        <w:rPr>
          <w:w w:val="105"/>
          <w:sz w:val="13"/>
        </w:rPr>
        <w:t>the</w:t>
      </w:r>
      <w:r>
        <w:rPr>
          <w:spacing w:val="-7"/>
          <w:w w:val="105"/>
          <w:sz w:val="13"/>
        </w:rPr>
        <w:t> </w:t>
      </w:r>
      <w:r>
        <w:rPr>
          <w:w w:val="105"/>
          <w:sz w:val="13"/>
        </w:rPr>
        <w:t>lessee</w:t>
      </w:r>
      <w:r>
        <w:rPr>
          <w:spacing w:val="-7"/>
          <w:w w:val="105"/>
          <w:sz w:val="13"/>
        </w:rPr>
        <w:t> </w:t>
      </w:r>
      <w:r>
        <w:rPr>
          <w:w w:val="105"/>
          <w:sz w:val="13"/>
        </w:rPr>
        <w:t>exercising</w:t>
      </w:r>
      <w:r>
        <w:rPr>
          <w:spacing w:val="-6"/>
          <w:w w:val="105"/>
          <w:sz w:val="13"/>
        </w:rPr>
        <w:t> </w:t>
      </w:r>
      <w:r>
        <w:rPr>
          <w:w w:val="105"/>
          <w:sz w:val="13"/>
        </w:rPr>
        <w:t>an</w:t>
      </w:r>
      <w:r>
        <w:rPr>
          <w:spacing w:val="-7"/>
          <w:w w:val="105"/>
          <w:sz w:val="13"/>
        </w:rPr>
        <w:t> </w:t>
      </w:r>
      <w:r>
        <w:rPr>
          <w:w w:val="105"/>
          <w:sz w:val="13"/>
        </w:rPr>
        <w:t>option</w:t>
      </w:r>
      <w:r>
        <w:rPr>
          <w:spacing w:val="-7"/>
          <w:w w:val="105"/>
          <w:sz w:val="13"/>
        </w:rPr>
        <w:t> </w:t>
      </w:r>
      <w:r>
        <w:rPr>
          <w:w w:val="105"/>
          <w:sz w:val="13"/>
        </w:rPr>
        <w:t>to</w:t>
      </w:r>
      <w:r>
        <w:rPr>
          <w:spacing w:val="-6"/>
          <w:w w:val="105"/>
          <w:sz w:val="13"/>
        </w:rPr>
        <w:t> </w:t>
      </w:r>
      <w:r>
        <w:rPr>
          <w:w w:val="105"/>
          <w:sz w:val="13"/>
        </w:rPr>
        <w:t>terminate</w:t>
      </w:r>
      <w:r>
        <w:rPr>
          <w:spacing w:val="-7"/>
          <w:w w:val="105"/>
          <w:sz w:val="13"/>
        </w:rPr>
        <w:t> </w:t>
      </w:r>
      <w:r>
        <w:rPr>
          <w:w w:val="105"/>
          <w:sz w:val="13"/>
        </w:rPr>
        <w:t>the</w:t>
      </w:r>
      <w:r>
        <w:rPr>
          <w:spacing w:val="-7"/>
          <w:w w:val="105"/>
          <w:sz w:val="13"/>
        </w:rPr>
        <w:t> </w:t>
      </w:r>
      <w:r>
        <w:rPr>
          <w:spacing w:val="-2"/>
          <w:w w:val="105"/>
          <w:sz w:val="13"/>
        </w:rPr>
        <w:t>lease.</w:t>
      </w:r>
    </w:p>
    <w:p>
      <w:pPr>
        <w:spacing w:line="273" w:lineRule="auto" w:before="21"/>
        <w:ind w:left="751" w:right="288" w:hanging="1"/>
        <w:jc w:val="both"/>
        <w:rPr>
          <w:sz w:val="13"/>
        </w:rPr>
      </w:pPr>
      <w:r>
        <w:rPr>
          <w:w w:val="105"/>
          <w:sz w:val="13"/>
        </w:rPr>
        <w:t>For</w:t>
      </w:r>
      <w:r>
        <w:rPr>
          <w:w w:val="105"/>
          <w:sz w:val="13"/>
        </w:rPr>
        <w:t> a</w:t>
      </w:r>
      <w:r>
        <w:rPr>
          <w:w w:val="105"/>
          <w:sz w:val="13"/>
        </w:rPr>
        <w:t> contract</w:t>
      </w:r>
      <w:r>
        <w:rPr>
          <w:w w:val="105"/>
          <w:sz w:val="13"/>
        </w:rPr>
        <w:t> that</w:t>
      </w:r>
      <w:r>
        <w:rPr>
          <w:w w:val="105"/>
          <w:sz w:val="13"/>
        </w:rPr>
        <w:t> contains</w:t>
      </w:r>
      <w:r>
        <w:rPr>
          <w:w w:val="105"/>
          <w:sz w:val="13"/>
        </w:rPr>
        <w:t> a</w:t>
      </w:r>
      <w:r>
        <w:rPr>
          <w:w w:val="105"/>
          <w:sz w:val="13"/>
        </w:rPr>
        <w:t> lease</w:t>
      </w:r>
      <w:r>
        <w:rPr>
          <w:w w:val="105"/>
          <w:sz w:val="13"/>
        </w:rPr>
        <w:t> component</w:t>
      </w:r>
      <w:r>
        <w:rPr>
          <w:w w:val="105"/>
          <w:sz w:val="13"/>
        </w:rPr>
        <w:t> and</w:t>
      </w:r>
      <w:r>
        <w:rPr>
          <w:w w:val="105"/>
          <w:sz w:val="13"/>
        </w:rPr>
        <w:t> one</w:t>
      </w:r>
      <w:r>
        <w:rPr>
          <w:w w:val="105"/>
          <w:sz w:val="13"/>
        </w:rPr>
        <w:t> or</w:t>
      </w:r>
      <w:r>
        <w:rPr>
          <w:w w:val="105"/>
          <w:sz w:val="13"/>
        </w:rPr>
        <w:t> more</w:t>
      </w:r>
      <w:r>
        <w:rPr>
          <w:w w:val="105"/>
          <w:sz w:val="13"/>
        </w:rPr>
        <w:t> additional</w:t>
      </w:r>
      <w:r>
        <w:rPr>
          <w:w w:val="105"/>
          <w:sz w:val="13"/>
        </w:rPr>
        <w:t> lease</w:t>
      </w:r>
      <w:r>
        <w:rPr>
          <w:w w:val="105"/>
          <w:sz w:val="13"/>
        </w:rPr>
        <w:t> or</w:t>
      </w:r>
      <w:r>
        <w:rPr>
          <w:w w:val="105"/>
          <w:sz w:val="13"/>
        </w:rPr>
        <w:t> non-lease</w:t>
      </w:r>
      <w:r>
        <w:rPr>
          <w:w w:val="105"/>
          <w:sz w:val="13"/>
        </w:rPr>
        <w:t> components,</w:t>
      </w:r>
      <w:r>
        <w:rPr>
          <w:w w:val="105"/>
          <w:sz w:val="13"/>
        </w:rPr>
        <w:t> the</w:t>
      </w:r>
      <w:r>
        <w:rPr>
          <w:w w:val="105"/>
          <w:sz w:val="13"/>
        </w:rPr>
        <w:t> Group</w:t>
      </w:r>
      <w:r>
        <w:rPr>
          <w:w w:val="105"/>
          <w:sz w:val="13"/>
        </w:rPr>
        <w:t> allocates</w:t>
      </w:r>
      <w:r>
        <w:rPr>
          <w:w w:val="105"/>
          <w:sz w:val="13"/>
        </w:rPr>
        <w:t> the</w:t>
      </w:r>
      <w:r>
        <w:rPr>
          <w:spacing w:val="40"/>
          <w:w w:val="105"/>
          <w:sz w:val="13"/>
        </w:rPr>
        <w:t> </w:t>
      </w:r>
      <w:r>
        <w:rPr>
          <w:w w:val="105"/>
          <w:sz w:val="13"/>
        </w:rPr>
        <w:t>consideration</w:t>
      </w:r>
      <w:r>
        <w:rPr>
          <w:w w:val="105"/>
          <w:sz w:val="13"/>
        </w:rPr>
        <w:t> in</w:t>
      </w:r>
      <w:r>
        <w:rPr>
          <w:w w:val="105"/>
          <w:sz w:val="13"/>
        </w:rPr>
        <w:t> the</w:t>
      </w:r>
      <w:r>
        <w:rPr>
          <w:w w:val="105"/>
          <w:sz w:val="13"/>
        </w:rPr>
        <w:t> contract</w:t>
      </w:r>
      <w:r>
        <w:rPr>
          <w:w w:val="105"/>
          <w:sz w:val="13"/>
        </w:rPr>
        <w:t> to</w:t>
      </w:r>
      <w:r>
        <w:rPr>
          <w:w w:val="105"/>
          <w:sz w:val="13"/>
        </w:rPr>
        <w:t> each</w:t>
      </w:r>
      <w:r>
        <w:rPr>
          <w:w w:val="105"/>
          <w:sz w:val="13"/>
        </w:rPr>
        <w:t> lease</w:t>
      </w:r>
      <w:r>
        <w:rPr>
          <w:w w:val="105"/>
          <w:sz w:val="13"/>
        </w:rPr>
        <w:t> component</w:t>
      </w:r>
      <w:r>
        <w:rPr>
          <w:w w:val="105"/>
          <w:sz w:val="13"/>
        </w:rPr>
        <w:t> on</w:t>
      </w:r>
      <w:r>
        <w:rPr>
          <w:w w:val="105"/>
          <w:sz w:val="13"/>
        </w:rPr>
        <w:t> the</w:t>
      </w:r>
      <w:r>
        <w:rPr>
          <w:w w:val="105"/>
          <w:sz w:val="13"/>
        </w:rPr>
        <w:t> basis</w:t>
      </w:r>
      <w:r>
        <w:rPr>
          <w:w w:val="105"/>
          <w:sz w:val="13"/>
        </w:rPr>
        <w:t> of</w:t>
      </w:r>
      <w:r>
        <w:rPr>
          <w:w w:val="105"/>
          <w:sz w:val="13"/>
        </w:rPr>
        <w:t> the</w:t>
      </w:r>
      <w:r>
        <w:rPr>
          <w:w w:val="105"/>
          <w:sz w:val="13"/>
        </w:rPr>
        <w:t> relative</w:t>
      </w:r>
      <w:r>
        <w:rPr>
          <w:w w:val="105"/>
          <w:sz w:val="13"/>
        </w:rPr>
        <w:t> stand-alone</w:t>
      </w:r>
      <w:r>
        <w:rPr>
          <w:w w:val="105"/>
          <w:sz w:val="13"/>
        </w:rPr>
        <w:t> price</w:t>
      </w:r>
      <w:r>
        <w:rPr>
          <w:w w:val="105"/>
          <w:sz w:val="13"/>
        </w:rPr>
        <w:t> of</w:t>
      </w:r>
      <w:r>
        <w:rPr>
          <w:w w:val="105"/>
          <w:sz w:val="13"/>
        </w:rPr>
        <w:t> the</w:t>
      </w:r>
      <w:r>
        <w:rPr>
          <w:w w:val="105"/>
          <w:sz w:val="13"/>
        </w:rPr>
        <w:t> lease</w:t>
      </w:r>
      <w:r>
        <w:rPr>
          <w:w w:val="105"/>
          <w:sz w:val="13"/>
        </w:rPr>
        <w:t> component</w:t>
      </w:r>
      <w:r>
        <w:rPr>
          <w:w w:val="105"/>
          <w:sz w:val="13"/>
        </w:rPr>
        <w:t> and</w:t>
      </w:r>
      <w:r>
        <w:rPr>
          <w:w w:val="105"/>
          <w:sz w:val="13"/>
        </w:rPr>
        <w:t> the</w:t>
      </w:r>
      <w:r>
        <w:rPr>
          <w:spacing w:val="40"/>
          <w:w w:val="105"/>
          <w:sz w:val="13"/>
        </w:rPr>
        <w:t> </w:t>
      </w:r>
      <w:r>
        <w:rPr>
          <w:w w:val="105"/>
          <w:sz w:val="13"/>
        </w:rPr>
        <w:t>aggregate stand-alone price of the non-lease components.</w:t>
      </w:r>
    </w:p>
    <w:p>
      <w:pPr>
        <w:spacing w:line="240" w:lineRule="auto" w:before="19"/>
        <w:rPr>
          <w:sz w:val="13"/>
        </w:rPr>
      </w:pPr>
    </w:p>
    <w:p>
      <w:pPr>
        <w:spacing w:line="273" w:lineRule="auto" w:before="0"/>
        <w:ind w:left="750" w:right="288" w:firstLine="0"/>
        <w:jc w:val="both"/>
        <w:rPr>
          <w:sz w:val="13"/>
        </w:rPr>
      </w:pPr>
      <w:r>
        <w:rPr>
          <w:w w:val="105"/>
          <w:sz w:val="13"/>
        </w:rPr>
        <w:t>Subsequently, the lease liability</w:t>
      </w:r>
      <w:r>
        <w:rPr>
          <w:spacing w:val="-3"/>
          <w:w w:val="105"/>
          <w:sz w:val="13"/>
        </w:rPr>
        <w:t> </w:t>
      </w:r>
      <w:r>
        <w:rPr>
          <w:w w:val="105"/>
          <w:sz w:val="13"/>
        </w:rPr>
        <w:t>is measured at amortised cost using the effective interest rate method resulting in interest expense being</w:t>
      </w:r>
      <w:r>
        <w:rPr>
          <w:spacing w:val="40"/>
          <w:w w:val="105"/>
          <w:sz w:val="13"/>
        </w:rPr>
        <w:t> </w:t>
      </w:r>
      <w:r>
        <w:rPr>
          <w:w w:val="105"/>
          <w:sz w:val="13"/>
        </w:rPr>
        <w:t>recognised</w:t>
      </w:r>
      <w:r>
        <w:rPr>
          <w:w w:val="105"/>
          <w:sz w:val="13"/>
        </w:rPr>
        <w:t> as</w:t>
      </w:r>
      <w:r>
        <w:rPr>
          <w:w w:val="105"/>
          <w:sz w:val="13"/>
        </w:rPr>
        <w:t> a</w:t>
      </w:r>
      <w:r>
        <w:rPr>
          <w:w w:val="105"/>
          <w:sz w:val="13"/>
        </w:rPr>
        <w:t> borrowing</w:t>
      </w:r>
      <w:r>
        <w:rPr>
          <w:w w:val="105"/>
          <w:sz w:val="13"/>
        </w:rPr>
        <w:t> cost</w:t>
      </w:r>
      <w:r>
        <w:rPr>
          <w:w w:val="105"/>
          <w:sz w:val="13"/>
        </w:rPr>
        <w:t> in</w:t>
      </w:r>
      <w:r>
        <w:rPr>
          <w:w w:val="105"/>
          <w:sz w:val="13"/>
        </w:rPr>
        <w:t> the</w:t>
      </w:r>
      <w:r>
        <w:rPr>
          <w:w w:val="105"/>
          <w:sz w:val="13"/>
        </w:rPr>
        <w:t> income</w:t>
      </w:r>
      <w:r>
        <w:rPr>
          <w:w w:val="105"/>
          <w:sz w:val="13"/>
        </w:rPr>
        <w:t> statement.</w:t>
      </w:r>
      <w:r>
        <w:rPr>
          <w:w w:val="105"/>
          <w:sz w:val="13"/>
        </w:rPr>
        <w:t> The</w:t>
      </w:r>
      <w:r>
        <w:rPr>
          <w:w w:val="105"/>
          <w:sz w:val="13"/>
        </w:rPr>
        <w:t> lease</w:t>
      </w:r>
      <w:r>
        <w:rPr>
          <w:w w:val="105"/>
          <w:sz w:val="13"/>
        </w:rPr>
        <w:t> liability</w:t>
      </w:r>
      <w:r>
        <w:rPr>
          <w:w w:val="105"/>
          <w:sz w:val="13"/>
        </w:rPr>
        <w:t> is</w:t>
      </w:r>
      <w:r>
        <w:rPr>
          <w:w w:val="105"/>
          <w:sz w:val="13"/>
        </w:rPr>
        <w:t> remeasured</w:t>
      </w:r>
      <w:r>
        <w:rPr>
          <w:w w:val="105"/>
          <w:sz w:val="13"/>
        </w:rPr>
        <w:t> when</w:t>
      </w:r>
      <w:r>
        <w:rPr>
          <w:w w:val="105"/>
          <w:sz w:val="13"/>
        </w:rPr>
        <w:t> there</w:t>
      </w:r>
      <w:r>
        <w:rPr>
          <w:w w:val="105"/>
          <w:sz w:val="13"/>
        </w:rPr>
        <w:t> are</w:t>
      </w:r>
      <w:r>
        <w:rPr>
          <w:w w:val="105"/>
          <w:sz w:val="13"/>
        </w:rPr>
        <w:t> changes</w:t>
      </w:r>
      <w:r>
        <w:rPr>
          <w:w w:val="105"/>
          <w:sz w:val="13"/>
        </w:rPr>
        <w:t> in</w:t>
      </w:r>
      <w:r>
        <w:rPr>
          <w:w w:val="105"/>
          <w:sz w:val="13"/>
        </w:rPr>
        <w:t> future</w:t>
      </w:r>
      <w:r>
        <w:rPr>
          <w:w w:val="105"/>
          <w:sz w:val="13"/>
        </w:rPr>
        <w:t> lease</w:t>
      </w:r>
      <w:r>
        <w:rPr>
          <w:spacing w:val="40"/>
          <w:w w:val="105"/>
          <w:sz w:val="13"/>
        </w:rPr>
        <w:t> </w:t>
      </w:r>
      <w:r>
        <w:rPr>
          <w:w w:val="105"/>
          <w:sz w:val="13"/>
        </w:rPr>
        <w:t>payments arising from a change in an index</w:t>
      </w:r>
      <w:r>
        <w:rPr>
          <w:spacing w:val="-1"/>
          <w:w w:val="105"/>
          <w:sz w:val="13"/>
        </w:rPr>
        <w:t> </w:t>
      </w:r>
      <w:r>
        <w:rPr>
          <w:w w:val="105"/>
          <w:sz w:val="13"/>
        </w:rPr>
        <w:t>or rate with a corresponding adjustment to the right-of-use asset.</w:t>
      </w:r>
    </w:p>
    <w:p>
      <w:pPr>
        <w:spacing w:line="240" w:lineRule="auto" w:before="19"/>
        <w:rPr>
          <w:sz w:val="13"/>
        </w:rPr>
      </w:pPr>
    </w:p>
    <w:p>
      <w:pPr>
        <w:spacing w:before="1"/>
        <w:ind w:left="750" w:right="0" w:firstLine="0"/>
        <w:jc w:val="left"/>
        <w:rPr>
          <w:sz w:val="13"/>
        </w:rPr>
      </w:pPr>
      <w:r>
        <w:rPr>
          <w:w w:val="105"/>
          <w:sz w:val="13"/>
        </w:rPr>
        <w:t>The</w:t>
      </w:r>
      <w:r>
        <w:rPr>
          <w:spacing w:val="-8"/>
          <w:w w:val="105"/>
          <w:sz w:val="13"/>
        </w:rPr>
        <w:t> </w:t>
      </w:r>
      <w:r>
        <w:rPr>
          <w:w w:val="105"/>
          <w:sz w:val="13"/>
        </w:rPr>
        <w:t>adjustment</w:t>
      </w:r>
      <w:r>
        <w:rPr>
          <w:spacing w:val="-7"/>
          <w:w w:val="105"/>
          <w:sz w:val="13"/>
        </w:rPr>
        <w:t> </w:t>
      </w:r>
      <w:r>
        <w:rPr>
          <w:w w:val="105"/>
          <w:sz w:val="13"/>
        </w:rPr>
        <w:t>amount</w:t>
      </w:r>
      <w:r>
        <w:rPr>
          <w:spacing w:val="-7"/>
          <w:w w:val="105"/>
          <w:sz w:val="13"/>
        </w:rPr>
        <w:t> </w:t>
      </w:r>
      <w:r>
        <w:rPr>
          <w:w w:val="105"/>
          <w:sz w:val="13"/>
        </w:rPr>
        <w:t>is</w:t>
      </w:r>
      <w:r>
        <w:rPr>
          <w:spacing w:val="-7"/>
          <w:w w:val="105"/>
          <w:sz w:val="13"/>
        </w:rPr>
        <w:t> </w:t>
      </w:r>
      <w:r>
        <w:rPr>
          <w:w w:val="105"/>
          <w:sz w:val="13"/>
        </w:rPr>
        <w:t>factored</w:t>
      </w:r>
      <w:r>
        <w:rPr>
          <w:spacing w:val="-7"/>
          <w:w w:val="105"/>
          <w:sz w:val="13"/>
        </w:rPr>
        <w:t> </w:t>
      </w:r>
      <w:r>
        <w:rPr>
          <w:w w:val="105"/>
          <w:sz w:val="13"/>
        </w:rPr>
        <w:t>into</w:t>
      </w:r>
      <w:r>
        <w:rPr>
          <w:spacing w:val="-7"/>
          <w:w w:val="105"/>
          <w:sz w:val="13"/>
        </w:rPr>
        <w:t> </w:t>
      </w:r>
      <w:r>
        <w:rPr>
          <w:w w:val="105"/>
          <w:sz w:val="13"/>
        </w:rPr>
        <w:t>depreciation</w:t>
      </w:r>
      <w:r>
        <w:rPr>
          <w:spacing w:val="-8"/>
          <w:w w:val="105"/>
          <w:sz w:val="13"/>
        </w:rPr>
        <w:t> </w:t>
      </w:r>
      <w:r>
        <w:rPr>
          <w:w w:val="105"/>
          <w:sz w:val="13"/>
        </w:rPr>
        <w:t>of</w:t>
      </w:r>
      <w:r>
        <w:rPr>
          <w:spacing w:val="-4"/>
          <w:w w:val="105"/>
          <w:sz w:val="13"/>
        </w:rPr>
        <w:t> </w:t>
      </w:r>
      <w:r>
        <w:rPr>
          <w:w w:val="105"/>
          <w:sz w:val="13"/>
        </w:rPr>
        <w:t>the</w:t>
      </w:r>
      <w:r>
        <w:rPr>
          <w:spacing w:val="-8"/>
          <w:w w:val="105"/>
          <w:sz w:val="13"/>
        </w:rPr>
        <w:t> </w:t>
      </w:r>
      <w:r>
        <w:rPr>
          <w:w w:val="105"/>
          <w:sz w:val="13"/>
        </w:rPr>
        <w:t>right-of-use</w:t>
      </w:r>
      <w:r>
        <w:rPr>
          <w:spacing w:val="-7"/>
          <w:w w:val="105"/>
          <w:sz w:val="13"/>
        </w:rPr>
        <w:t> </w:t>
      </w:r>
      <w:r>
        <w:rPr>
          <w:w w:val="105"/>
          <w:sz w:val="13"/>
        </w:rPr>
        <w:t>asset</w:t>
      </w:r>
      <w:r>
        <w:rPr>
          <w:spacing w:val="-7"/>
          <w:w w:val="105"/>
          <w:sz w:val="13"/>
        </w:rPr>
        <w:t> </w:t>
      </w:r>
      <w:r>
        <w:rPr>
          <w:spacing w:val="-2"/>
          <w:w w:val="105"/>
          <w:sz w:val="13"/>
        </w:rPr>
        <w:t>prospectively.</w:t>
      </w:r>
    </w:p>
    <w:p>
      <w:pPr>
        <w:spacing w:line="273" w:lineRule="auto" w:before="20"/>
        <w:ind w:left="750" w:right="268" w:firstLine="0"/>
        <w:jc w:val="left"/>
        <w:rPr>
          <w:sz w:val="13"/>
        </w:rPr>
      </w:pPr>
      <w:r>
        <w:rPr>
          <w:w w:val="105"/>
          <w:sz w:val="13"/>
        </w:rPr>
        <w:t>Right-of-use assets are presented within property, plant and equipment in Note 5.5 and lease liabilities are presented as borrowings in</w:t>
      </w:r>
      <w:r>
        <w:rPr>
          <w:spacing w:val="40"/>
          <w:w w:val="105"/>
          <w:sz w:val="13"/>
        </w:rPr>
        <w:t> </w:t>
      </w:r>
      <w:r>
        <w:rPr>
          <w:w w:val="105"/>
          <w:sz w:val="13"/>
        </w:rPr>
        <w:t>Note</w:t>
      </w:r>
      <w:r>
        <w:rPr>
          <w:spacing w:val="-6"/>
          <w:w w:val="105"/>
          <w:sz w:val="13"/>
        </w:rPr>
        <w:t> </w:t>
      </w:r>
      <w:r>
        <w:rPr>
          <w:w w:val="105"/>
          <w:sz w:val="13"/>
        </w:rPr>
        <w:t>6.3.</w:t>
      </w:r>
    </w:p>
    <w:p>
      <w:pPr>
        <w:spacing w:line="240" w:lineRule="auto" w:before="22"/>
        <w:rPr>
          <w:sz w:val="13"/>
        </w:rPr>
      </w:pPr>
    </w:p>
    <w:p>
      <w:pPr>
        <w:spacing w:before="0"/>
        <w:ind w:left="750" w:right="0" w:firstLine="0"/>
        <w:jc w:val="both"/>
        <w:rPr>
          <w:b/>
          <w:sz w:val="13"/>
        </w:rPr>
      </w:pPr>
      <w:r>
        <w:rPr>
          <w:b/>
          <w:w w:val="105"/>
          <w:sz w:val="13"/>
        </w:rPr>
        <w:t>Short-term</w:t>
      </w:r>
      <w:r>
        <w:rPr>
          <w:b/>
          <w:spacing w:val="-7"/>
          <w:w w:val="105"/>
          <w:sz w:val="13"/>
        </w:rPr>
        <w:t> </w:t>
      </w:r>
      <w:r>
        <w:rPr>
          <w:b/>
          <w:w w:val="105"/>
          <w:sz w:val="13"/>
        </w:rPr>
        <w:t>leases</w:t>
      </w:r>
      <w:r>
        <w:rPr>
          <w:b/>
          <w:spacing w:val="-7"/>
          <w:w w:val="105"/>
          <w:sz w:val="13"/>
        </w:rPr>
        <w:t> </w:t>
      </w:r>
      <w:r>
        <w:rPr>
          <w:b/>
          <w:w w:val="105"/>
          <w:sz w:val="13"/>
        </w:rPr>
        <w:t>and</w:t>
      </w:r>
      <w:r>
        <w:rPr>
          <w:b/>
          <w:spacing w:val="-6"/>
          <w:w w:val="105"/>
          <w:sz w:val="13"/>
        </w:rPr>
        <w:t> </w:t>
      </w:r>
      <w:r>
        <w:rPr>
          <w:b/>
          <w:w w:val="105"/>
          <w:sz w:val="13"/>
        </w:rPr>
        <w:t>leases</w:t>
      </w:r>
      <w:r>
        <w:rPr>
          <w:b/>
          <w:spacing w:val="-7"/>
          <w:w w:val="105"/>
          <w:sz w:val="13"/>
        </w:rPr>
        <w:t> </w:t>
      </w:r>
      <w:r>
        <w:rPr>
          <w:b/>
          <w:w w:val="105"/>
          <w:sz w:val="13"/>
        </w:rPr>
        <w:t>of</w:t>
      </w:r>
      <w:r>
        <w:rPr>
          <w:b/>
          <w:spacing w:val="-5"/>
          <w:w w:val="105"/>
          <w:sz w:val="13"/>
        </w:rPr>
        <w:t> </w:t>
      </w:r>
      <w:r>
        <w:rPr>
          <w:b/>
          <w:w w:val="105"/>
          <w:sz w:val="13"/>
        </w:rPr>
        <w:t>low-value</w:t>
      </w:r>
      <w:r>
        <w:rPr>
          <w:b/>
          <w:spacing w:val="-7"/>
          <w:w w:val="105"/>
          <w:sz w:val="13"/>
        </w:rPr>
        <w:t> </w:t>
      </w:r>
      <w:r>
        <w:rPr>
          <w:b/>
          <w:spacing w:val="-2"/>
          <w:w w:val="105"/>
          <w:sz w:val="13"/>
        </w:rPr>
        <w:t>assets</w:t>
      </w:r>
    </w:p>
    <w:p>
      <w:pPr>
        <w:spacing w:line="273" w:lineRule="auto" w:before="25"/>
        <w:ind w:left="750" w:right="289" w:firstLine="0"/>
        <w:jc w:val="both"/>
        <w:rPr>
          <w:sz w:val="13"/>
        </w:rPr>
      </w:pPr>
      <w:r>
        <w:rPr>
          <w:w w:val="105"/>
          <w:sz w:val="13"/>
        </w:rPr>
        <w:t>The Group has elected not to recognise right-of-use assets and lease liabilities for short-term leases i.e. leases with a lease term of 12</w:t>
      </w:r>
      <w:r>
        <w:rPr>
          <w:spacing w:val="40"/>
          <w:w w:val="105"/>
          <w:sz w:val="13"/>
        </w:rPr>
        <w:t> </w:t>
      </w:r>
      <w:r>
        <w:rPr>
          <w:w w:val="105"/>
          <w:sz w:val="13"/>
        </w:rPr>
        <w:t>months</w:t>
      </w:r>
      <w:r>
        <w:rPr>
          <w:w w:val="105"/>
          <w:sz w:val="13"/>
        </w:rPr>
        <w:t> or</w:t>
      </w:r>
      <w:r>
        <w:rPr>
          <w:w w:val="105"/>
          <w:sz w:val="13"/>
        </w:rPr>
        <w:t> less</w:t>
      </w:r>
      <w:r>
        <w:rPr>
          <w:w w:val="105"/>
          <w:sz w:val="13"/>
        </w:rPr>
        <w:t> and</w:t>
      </w:r>
      <w:r>
        <w:rPr>
          <w:w w:val="105"/>
          <w:sz w:val="13"/>
        </w:rPr>
        <w:t> leases</w:t>
      </w:r>
      <w:r>
        <w:rPr>
          <w:w w:val="105"/>
          <w:sz w:val="13"/>
        </w:rPr>
        <w:t> of</w:t>
      </w:r>
      <w:r>
        <w:rPr>
          <w:w w:val="105"/>
          <w:sz w:val="13"/>
        </w:rPr>
        <w:t> low-value</w:t>
      </w:r>
      <w:r>
        <w:rPr>
          <w:w w:val="105"/>
          <w:sz w:val="13"/>
        </w:rPr>
        <w:t> assets</w:t>
      </w:r>
      <w:r>
        <w:rPr>
          <w:w w:val="105"/>
          <w:sz w:val="13"/>
        </w:rPr>
        <w:t> i.e.,</w:t>
      </w:r>
      <w:r>
        <w:rPr>
          <w:w w:val="105"/>
          <w:sz w:val="13"/>
        </w:rPr>
        <w:t> when</w:t>
      </w:r>
      <w:r>
        <w:rPr>
          <w:w w:val="105"/>
          <w:sz w:val="13"/>
        </w:rPr>
        <w:t> the</w:t>
      </w:r>
      <w:r>
        <w:rPr>
          <w:w w:val="105"/>
          <w:sz w:val="13"/>
        </w:rPr>
        <w:t> value</w:t>
      </w:r>
      <w:r>
        <w:rPr>
          <w:w w:val="105"/>
          <w:sz w:val="13"/>
        </w:rPr>
        <w:t> of</w:t>
      </w:r>
      <w:r>
        <w:rPr>
          <w:w w:val="105"/>
          <w:sz w:val="13"/>
        </w:rPr>
        <w:t> the</w:t>
      </w:r>
      <w:r>
        <w:rPr>
          <w:w w:val="105"/>
          <w:sz w:val="13"/>
        </w:rPr>
        <w:t> leased</w:t>
      </w:r>
      <w:r>
        <w:rPr>
          <w:w w:val="105"/>
          <w:sz w:val="13"/>
        </w:rPr>
        <w:t> asset</w:t>
      </w:r>
      <w:r>
        <w:rPr>
          <w:w w:val="105"/>
          <w:sz w:val="13"/>
        </w:rPr>
        <w:t> when</w:t>
      </w:r>
      <w:r>
        <w:rPr>
          <w:w w:val="105"/>
          <w:sz w:val="13"/>
        </w:rPr>
        <w:t> new</w:t>
      </w:r>
      <w:r>
        <w:rPr>
          <w:w w:val="105"/>
          <w:sz w:val="13"/>
        </w:rPr>
        <w:t> is</w:t>
      </w:r>
      <w:r>
        <w:rPr>
          <w:w w:val="105"/>
          <w:sz w:val="13"/>
        </w:rPr>
        <w:t> $20,000</w:t>
      </w:r>
      <w:r>
        <w:rPr>
          <w:w w:val="105"/>
          <w:sz w:val="13"/>
        </w:rPr>
        <w:t> or</w:t>
      </w:r>
      <w:r>
        <w:rPr>
          <w:w w:val="105"/>
          <w:sz w:val="13"/>
        </w:rPr>
        <w:t> less.</w:t>
      </w:r>
      <w:r>
        <w:rPr>
          <w:w w:val="105"/>
          <w:sz w:val="13"/>
        </w:rPr>
        <w:t> The</w:t>
      </w:r>
      <w:r>
        <w:rPr>
          <w:w w:val="105"/>
          <w:sz w:val="13"/>
        </w:rPr>
        <w:t> Group</w:t>
      </w:r>
      <w:r>
        <w:rPr>
          <w:spacing w:val="40"/>
          <w:w w:val="105"/>
          <w:sz w:val="13"/>
        </w:rPr>
        <w:t> </w:t>
      </w:r>
      <w:r>
        <w:rPr>
          <w:w w:val="105"/>
          <w:sz w:val="13"/>
        </w:rPr>
        <w:t>recognises the</w:t>
      </w:r>
      <w:r>
        <w:rPr>
          <w:spacing w:val="-1"/>
          <w:w w:val="105"/>
          <w:sz w:val="13"/>
        </w:rPr>
        <w:t> </w:t>
      </w:r>
      <w:r>
        <w:rPr>
          <w:w w:val="105"/>
          <w:sz w:val="13"/>
        </w:rPr>
        <w:t>lease</w:t>
      </w:r>
      <w:r>
        <w:rPr>
          <w:spacing w:val="-1"/>
          <w:w w:val="105"/>
          <w:sz w:val="13"/>
        </w:rPr>
        <w:t> </w:t>
      </w:r>
      <w:r>
        <w:rPr>
          <w:w w:val="105"/>
          <w:sz w:val="13"/>
        </w:rPr>
        <w:t>payments associated</w:t>
      </w:r>
      <w:r>
        <w:rPr>
          <w:spacing w:val="-1"/>
          <w:w w:val="105"/>
          <w:sz w:val="13"/>
        </w:rPr>
        <w:t> </w:t>
      </w:r>
      <w:r>
        <w:rPr>
          <w:w w:val="105"/>
          <w:sz w:val="13"/>
        </w:rPr>
        <w:t>with</w:t>
      </w:r>
      <w:r>
        <w:rPr>
          <w:spacing w:val="-1"/>
          <w:w w:val="105"/>
          <w:sz w:val="13"/>
        </w:rPr>
        <w:t> </w:t>
      </w:r>
      <w:r>
        <w:rPr>
          <w:w w:val="105"/>
          <w:sz w:val="13"/>
        </w:rPr>
        <w:t>these</w:t>
      </w:r>
      <w:r>
        <w:rPr>
          <w:spacing w:val="-1"/>
          <w:w w:val="105"/>
          <w:sz w:val="13"/>
        </w:rPr>
        <w:t> </w:t>
      </w:r>
      <w:r>
        <w:rPr>
          <w:w w:val="105"/>
          <w:sz w:val="13"/>
        </w:rPr>
        <w:t>leases as expense</w:t>
      </w:r>
      <w:r>
        <w:rPr>
          <w:spacing w:val="-1"/>
          <w:w w:val="105"/>
          <w:sz w:val="13"/>
        </w:rPr>
        <w:t> </w:t>
      </w:r>
      <w:r>
        <w:rPr>
          <w:w w:val="105"/>
          <w:sz w:val="13"/>
        </w:rPr>
        <w:t>on</w:t>
      </w:r>
      <w:r>
        <w:rPr>
          <w:spacing w:val="-1"/>
          <w:w w:val="105"/>
          <w:sz w:val="13"/>
        </w:rPr>
        <w:t> </w:t>
      </w:r>
      <w:r>
        <w:rPr>
          <w:w w:val="105"/>
          <w:sz w:val="13"/>
        </w:rPr>
        <w:t>a</w:t>
      </w:r>
      <w:r>
        <w:rPr>
          <w:spacing w:val="-1"/>
          <w:w w:val="105"/>
          <w:sz w:val="13"/>
        </w:rPr>
        <w:t> </w:t>
      </w:r>
      <w:r>
        <w:rPr>
          <w:w w:val="105"/>
          <w:sz w:val="13"/>
        </w:rPr>
        <w:t>straight-line</w:t>
      </w:r>
      <w:r>
        <w:rPr>
          <w:spacing w:val="-1"/>
          <w:w w:val="105"/>
          <w:sz w:val="13"/>
        </w:rPr>
        <w:t> </w:t>
      </w:r>
      <w:r>
        <w:rPr>
          <w:w w:val="105"/>
          <w:sz w:val="13"/>
        </w:rPr>
        <w:t>basis over the</w:t>
      </w:r>
      <w:r>
        <w:rPr>
          <w:spacing w:val="-1"/>
          <w:w w:val="105"/>
          <w:sz w:val="13"/>
        </w:rPr>
        <w:t> </w:t>
      </w:r>
      <w:r>
        <w:rPr>
          <w:w w:val="105"/>
          <w:sz w:val="13"/>
        </w:rPr>
        <w:t>lease</w:t>
      </w:r>
      <w:r>
        <w:rPr>
          <w:spacing w:val="-1"/>
          <w:w w:val="105"/>
          <w:sz w:val="13"/>
        </w:rPr>
        <w:t> </w:t>
      </w:r>
      <w:r>
        <w:rPr>
          <w:w w:val="105"/>
          <w:sz w:val="13"/>
        </w:rPr>
        <w:t>term.</w:t>
      </w:r>
    </w:p>
    <w:p>
      <w:pPr>
        <w:spacing w:after="0" w:line="273" w:lineRule="auto"/>
        <w:jc w:val="both"/>
        <w:rPr>
          <w:sz w:val="13"/>
        </w:rPr>
        <w:sectPr>
          <w:headerReference w:type="even" r:id="rId114"/>
          <w:headerReference w:type="default" r:id="rId115"/>
          <w:pgSz w:w="11910" w:h="16840"/>
          <w:pgMar w:header="468" w:footer="0" w:top="1580" w:bottom="280" w:left="1020" w:right="1540"/>
          <w:pgNumType w:start="100"/>
        </w:sectPr>
      </w:pPr>
    </w:p>
    <w:p>
      <w:pPr>
        <w:spacing w:before="82"/>
        <w:ind w:left="155" w:right="0" w:firstLine="0"/>
        <w:jc w:val="left"/>
        <w:rPr>
          <w:sz w:val="22"/>
        </w:rPr>
      </w:pPr>
      <w:r>
        <w:rPr/>
        <mc:AlternateContent>
          <mc:Choice Requires="wps">
            <w:drawing>
              <wp:anchor distT="0" distB="0" distL="0" distR="0" allowOverlap="1" layoutInCell="1" locked="0" behindDoc="0" simplePos="0" relativeHeight="15899648">
                <wp:simplePos x="0" y="0"/>
                <wp:positionH relativeFrom="page">
                  <wp:posOffset>7111289</wp:posOffset>
                </wp:positionH>
                <wp:positionV relativeFrom="page">
                  <wp:posOffset>8040241</wp:posOffset>
                </wp:positionV>
                <wp:extent cx="177800" cy="1945005"/>
                <wp:effectExtent l="0" t="0" r="0" b="0"/>
                <wp:wrapNone/>
                <wp:docPr id="953" name="Textbox 953"/>
                <wp:cNvGraphicFramePr>
                  <a:graphicFrameLocks/>
                </wp:cNvGraphicFramePr>
                <a:graphic>
                  <a:graphicData uri="http://schemas.microsoft.com/office/word/2010/wordprocessingShape">
                    <wps:wsp>
                      <wps:cNvPr id="953" name="Textbox 953"/>
                      <wps:cNvSpPr txBox="1"/>
                      <wps:spPr>
                        <a:xfrm>
                          <a:off x="0" y="0"/>
                          <a:ext cx="177800" cy="194500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633.089905pt;width:14pt;height:153.15pt;mso-position-horizontal-relative:page;mso-position-vertical-relative:page;z-index:15899648" type="#_x0000_t202" id="docshape646"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v:textbox>
                <w10:wrap type="none"/>
              </v:shape>
            </w:pict>
          </mc:Fallback>
        </mc:AlternateContent>
      </w:r>
      <w:r>
        <w:rPr>
          <w:color w:val="0070C0"/>
          <w:sz w:val="22"/>
        </w:rPr>
        <w:t>NOTES</w:t>
      </w:r>
      <w:r>
        <w:rPr>
          <w:color w:val="0070C0"/>
          <w:spacing w:val="-9"/>
          <w:sz w:val="22"/>
        </w:rPr>
        <w:t> </w:t>
      </w:r>
      <w:r>
        <w:rPr>
          <w:color w:val="0070C0"/>
          <w:sz w:val="22"/>
        </w:rPr>
        <w:t>TO</w:t>
      </w:r>
      <w:r>
        <w:rPr>
          <w:color w:val="0070C0"/>
          <w:spacing w:val="-9"/>
          <w:sz w:val="22"/>
        </w:rPr>
        <w:t> </w:t>
      </w:r>
      <w:r>
        <w:rPr>
          <w:color w:val="0070C0"/>
          <w:sz w:val="22"/>
        </w:rPr>
        <w:t>THE</w:t>
      </w:r>
      <w:r>
        <w:rPr>
          <w:color w:val="0070C0"/>
          <w:spacing w:val="-9"/>
          <w:sz w:val="22"/>
        </w:rPr>
        <w:t> </w:t>
      </w:r>
      <w:r>
        <w:rPr>
          <w:color w:val="0070C0"/>
          <w:sz w:val="22"/>
        </w:rPr>
        <w:t>FINANCIAL</w:t>
      </w:r>
      <w:r>
        <w:rPr>
          <w:color w:val="0070C0"/>
          <w:spacing w:val="-9"/>
          <w:sz w:val="22"/>
        </w:rPr>
        <w:t> </w:t>
      </w:r>
      <w:r>
        <w:rPr>
          <w:color w:val="0070C0"/>
          <w:spacing w:val="-2"/>
          <w:sz w:val="22"/>
        </w:rPr>
        <w:t>STATEMENTS</w:t>
      </w:r>
    </w:p>
    <w:p>
      <w:pPr>
        <w:spacing w:before="31"/>
        <w:ind w:left="141" w:right="0" w:firstLine="0"/>
        <w:jc w:val="left"/>
        <w:rPr>
          <w:sz w:val="12"/>
        </w:rPr>
      </w:pPr>
      <w:r>
        <w:rPr>
          <w:w w:val="105"/>
          <w:sz w:val="12"/>
        </w:rPr>
        <w:t>for</w:t>
      </w:r>
      <w:r>
        <w:rPr>
          <w:spacing w:val="-8"/>
          <w:w w:val="105"/>
          <w:sz w:val="12"/>
        </w:rPr>
        <w:t> </w:t>
      </w:r>
      <w:r>
        <w:rPr>
          <w:w w:val="105"/>
          <w:sz w:val="12"/>
        </w:rPr>
        <w:t>the</w:t>
      </w:r>
      <w:r>
        <w:rPr>
          <w:spacing w:val="-9"/>
          <w:w w:val="105"/>
          <w:sz w:val="12"/>
        </w:rPr>
        <w:t> </w:t>
      </w:r>
      <w:r>
        <w:rPr>
          <w:w w:val="105"/>
          <w:sz w:val="12"/>
        </w:rPr>
        <w:t>year</w:t>
      </w:r>
      <w:r>
        <w:rPr>
          <w:spacing w:val="-8"/>
          <w:w w:val="105"/>
          <w:sz w:val="12"/>
        </w:rPr>
        <w:t> </w:t>
      </w:r>
      <w:r>
        <w:rPr>
          <w:w w:val="105"/>
          <w:sz w:val="12"/>
        </w:rPr>
        <w:t>ended</w:t>
      </w:r>
      <w:r>
        <w:rPr>
          <w:spacing w:val="-8"/>
          <w:w w:val="105"/>
          <w:sz w:val="12"/>
        </w:rPr>
        <w:t> </w:t>
      </w:r>
      <w:r>
        <w:rPr>
          <w:w w:val="105"/>
          <w:sz w:val="12"/>
        </w:rPr>
        <w:t>31</w:t>
      </w:r>
      <w:r>
        <w:rPr>
          <w:spacing w:val="-9"/>
          <w:w w:val="105"/>
          <w:sz w:val="12"/>
        </w:rPr>
        <w:t> </w:t>
      </w:r>
      <w:r>
        <w:rPr>
          <w:w w:val="105"/>
          <w:sz w:val="12"/>
        </w:rPr>
        <w:t>December</w:t>
      </w:r>
      <w:r>
        <w:rPr>
          <w:spacing w:val="-8"/>
          <w:w w:val="105"/>
          <w:sz w:val="12"/>
        </w:rPr>
        <w:t> </w:t>
      </w:r>
      <w:r>
        <w:rPr>
          <w:spacing w:val="-4"/>
          <w:w w:val="105"/>
          <w:sz w:val="12"/>
        </w:rPr>
        <w:t>2020</w:t>
      </w:r>
    </w:p>
    <w:p>
      <w:pPr>
        <w:spacing w:line="240" w:lineRule="auto" w:before="43"/>
        <w:rPr>
          <w:sz w:val="12"/>
        </w:rPr>
      </w:pPr>
    </w:p>
    <w:p>
      <w:pPr>
        <w:pStyle w:val="ListParagraph"/>
        <w:numPr>
          <w:ilvl w:val="1"/>
          <w:numId w:val="13"/>
        </w:numPr>
        <w:tabs>
          <w:tab w:pos="652" w:val="left" w:leader="none"/>
        </w:tabs>
        <w:spacing w:line="240" w:lineRule="auto" w:before="0" w:after="0"/>
        <w:ind w:left="652" w:right="0" w:hanging="504"/>
        <w:jc w:val="both"/>
        <w:rPr>
          <w:b/>
          <w:color w:val="0070C0"/>
          <w:sz w:val="16"/>
        </w:rPr>
      </w:pPr>
      <w:r>
        <w:rPr>
          <w:b/>
          <w:color w:val="0070C0"/>
          <w:sz w:val="16"/>
        </w:rPr>
        <w:t>Financial</w:t>
      </w:r>
      <w:r>
        <w:rPr>
          <w:b/>
          <w:color w:val="0070C0"/>
          <w:spacing w:val="9"/>
          <w:sz w:val="16"/>
        </w:rPr>
        <w:t> </w:t>
      </w:r>
      <w:r>
        <w:rPr>
          <w:b/>
          <w:color w:val="0070C0"/>
          <w:sz w:val="16"/>
        </w:rPr>
        <w:t>risk</w:t>
      </w:r>
      <w:r>
        <w:rPr>
          <w:b/>
          <w:color w:val="0070C0"/>
          <w:spacing w:val="7"/>
          <w:sz w:val="16"/>
        </w:rPr>
        <w:t> </w:t>
      </w:r>
      <w:r>
        <w:rPr>
          <w:b/>
          <w:color w:val="0070C0"/>
          <w:spacing w:val="-2"/>
          <w:sz w:val="16"/>
        </w:rPr>
        <w:t>management</w:t>
      </w:r>
    </w:p>
    <w:p>
      <w:pPr>
        <w:pStyle w:val="ListParagraph"/>
        <w:numPr>
          <w:ilvl w:val="0"/>
          <w:numId w:val="35"/>
        </w:numPr>
        <w:tabs>
          <w:tab w:pos="647" w:val="left" w:leader="none"/>
        </w:tabs>
        <w:spacing w:line="240" w:lineRule="auto" w:before="181" w:after="0"/>
        <w:ind w:left="647" w:right="0" w:hanging="504"/>
        <w:jc w:val="both"/>
        <w:rPr>
          <w:b/>
          <w:sz w:val="13"/>
        </w:rPr>
      </w:pPr>
      <w:r>
        <w:rPr>
          <w:b/>
          <w:w w:val="105"/>
          <w:sz w:val="13"/>
        </w:rPr>
        <w:t>Financial</w:t>
      </w:r>
      <w:r>
        <w:rPr>
          <w:b/>
          <w:spacing w:val="-7"/>
          <w:w w:val="105"/>
          <w:sz w:val="13"/>
        </w:rPr>
        <w:t> </w:t>
      </w:r>
      <w:r>
        <w:rPr>
          <w:b/>
          <w:w w:val="105"/>
          <w:sz w:val="13"/>
        </w:rPr>
        <w:t>risk</w:t>
      </w:r>
      <w:r>
        <w:rPr>
          <w:b/>
          <w:spacing w:val="-7"/>
          <w:w w:val="105"/>
          <w:sz w:val="13"/>
        </w:rPr>
        <w:t> </w:t>
      </w:r>
      <w:r>
        <w:rPr>
          <w:b/>
          <w:w w:val="105"/>
          <w:sz w:val="13"/>
        </w:rPr>
        <w:t>management</w:t>
      </w:r>
      <w:r>
        <w:rPr>
          <w:b/>
          <w:spacing w:val="-5"/>
          <w:w w:val="105"/>
          <w:sz w:val="13"/>
        </w:rPr>
        <w:t> </w:t>
      </w:r>
      <w:r>
        <w:rPr>
          <w:b/>
          <w:w w:val="105"/>
          <w:sz w:val="13"/>
        </w:rPr>
        <w:t>-</w:t>
      </w:r>
      <w:r>
        <w:rPr>
          <w:b/>
          <w:spacing w:val="-6"/>
          <w:w w:val="105"/>
          <w:sz w:val="13"/>
        </w:rPr>
        <w:t> </w:t>
      </w:r>
      <w:r>
        <w:rPr>
          <w:b/>
          <w:spacing w:val="-2"/>
          <w:w w:val="105"/>
          <w:sz w:val="13"/>
        </w:rPr>
        <w:t>overview</w:t>
      </w:r>
    </w:p>
    <w:p>
      <w:pPr>
        <w:spacing w:line="273" w:lineRule="auto" w:before="21"/>
        <w:ind w:left="651" w:right="289" w:firstLine="0"/>
        <w:jc w:val="both"/>
        <w:rPr>
          <w:sz w:val="13"/>
        </w:rPr>
      </w:pPr>
      <w:r>
        <w:rPr>
          <w:w w:val="105"/>
          <w:sz w:val="13"/>
        </w:rPr>
        <w:t>The</w:t>
      </w:r>
      <w:r>
        <w:rPr>
          <w:spacing w:val="-1"/>
          <w:w w:val="105"/>
          <w:sz w:val="13"/>
        </w:rPr>
        <w:t> </w:t>
      </w:r>
      <w:r>
        <w:rPr>
          <w:w w:val="105"/>
          <w:sz w:val="13"/>
        </w:rPr>
        <w:t>University's Governing</w:t>
      </w:r>
      <w:r>
        <w:rPr>
          <w:spacing w:val="-1"/>
          <w:w w:val="105"/>
          <w:sz w:val="13"/>
        </w:rPr>
        <w:t> </w:t>
      </w:r>
      <w:r>
        <w:rPr>
          <w:w w:val="105"/>
          <w:sz w:val="13"/>
        </w:rPr>
        <w:t>Body, the</w:t>
      </w:r>
      <w:r>
        <w:rPr>
          <w:spacing w:val="-1"/>
          <w:w w:val="105"/>
          <w:sz w:val="13"/>
        </w:rPr>
        <w:t> </w:t>
      </w:r>
      <w:r>
        <w:rPr>
          <w:w w:val="105"/>
          <w:sz w:val="13"/>
        </w:rPr>
        <w:t>Senate, has overall responsibility</w:t>
      </w:r>
      <w:r>
        <w:rPr>
          <w:spacing w:val="-4"/>
          <w:w w:val="105"/>
          <w:sz w:val="13"/>
        </w:rPr>
        <w:t> </w:t>
      </w:r>
      <w:r>
        <w:rPr>
          <w:w w:val="105"/>
          <w:sz w:val="13"/>
        </w:rPr>
        <w:t>for risk management. To</w:t>
      </w:r>
      <w:r>
        <w:rPr>
          <w:spacing w:val="-1"/>
          <w:w w:val="105"/>
          <w:sz w:val="13"/>
        </w:rPr>
        <w:t> </w:t>
      </w:r>
      <w:r>
        <w:rPr>
          <w:w w:val="105"/>
          <w:sz w:val="13"/>
        </w:rPr>
        <w:t>assist in</w:t>
      </w:r>
      <w:r>
        <w:rPr>
          <w:spacing w:val="-1"/>
          <w:w w:val="105"/>
          <w:sz w:val="13"/>
        </w:rPr>
        <w:t> </w:t>
      </w:r>
      <w:r>
        <w:rPr>
          <w:w w:val="105"/>
          <w:sz w:val="13"/>
        </w:rPr>
        <w:t>fulfilling</w:t>
      </w:r>
      <w:r>
        <w:rPr>
          <w:spacing w:val="-1"/>
          <w:w w:val="105"/>
          <w:sz w:val="13"/>
        </w:rPr>
        <w:t> </w:t>
      </w:r>
      <w:r>
        <w:rPr>
          <w:w w:val="105"/>
          <w:sz w:val="13"/>
        </w:rPr>
        <w:t>this</w:t>
      </w:r>
      <w:r>
        <w:rPr>
          <w:spacing w:val="-2"/>
          <w:w w:val="105"/>
          <w:sz w:val="13"/>
        </w:rPr>
        <w:t> </w:t>
      </w:r>
      <w:r>
        <w:rPr>
          <w:w w:val="105"/>
          <w:sz w:val="13"/>
        </w:rPr>
        <w:t>aspect of its role,</w:t>
      </w:r>
      <w:r>
        <w:rPr>
          <w:spacing w:val="-2"/>
          <w:w w:val="105"/>
          <w:sz w:val="13"/>
        </w:rPr>
        <w:t> </w:t>
      </w:r>
      <w:r>
        <w:rPr>
          <w:w w:val="105"/>
          <w:sz w:val="13"/>
        </w:rPr>
        <w:t>the</w:t>
      </w:r>
      <w:r>
        <w:rPr>
          <w:spacing w:val="40"/>
          <w:w w:val="105"/>
          <w:sz w:val="13"/>
        </w:rPr>
        <w:t> </w:t>
      </w:r>
      <w:r>
        <w:rPr>
          <w:w w:val="105"/>
          <w:sz w:val="13"/>
        </w:rPr>
        <w:t>Senate has established two standing committees - the Strategic Resources Committee and the Audit and Risk Committee, both of which</w:t>
      </w:r>
      <w:r>
        <w:rPr>
          <w:spacing w:val="40"/>
          <w:w w:val="105"/>
          <w:sz w:val="13"/>
        </w:rPr>
        <w:t> </w:t>
      </w:r>
      <w:r>
        <w:rPr>
          <w:w w:val="105"/>
          <w:sz w:val="13"/>
        </w:rPr>
        <w:t>report directly to the Senate. The Strategic Resources Committee has, as part of its role, responsibility for</w:t>
      </w:r>
      <w:r>
        <w:rPr>
          <w:spacing w:val="8"/>
          <w:w w:val="105"/>
          <w:sz w:val="13"/>
        </w:rPr>
        <w:t> </w:t>
      </w:r>
      <w:r>
        <w:rPr>
          <w:w w:val="105"/>
          <w:sz w:val="13"/>
        </w:rPr>
        <w:t>monitoring the financial welfare</w:t>
      </w:r>
      <w:r>
        <w:rPr>
          <w:spacing w:val="40"/>
          <w:w w:val="105"/>
          <w:sz w:val="13"/>
        </w:rPr>
        <w:t> </w:t>
      </w:r>
      <w:r>
        <w:rPr>
          <w:w w:val="105"/>
          <w:sz w:val="13"/>
        </w:rPr>
        <w:t>of the University; and, within the limits of agreed delegations, making decisions, or recommendations to Senate, on investments, debt and</w:t>
      </w:r>
      <w:r>
        <w:rPr>
          <w:spacing w:val="40"/>
          <w:w w:val="105"/>
          <w:sz w:val="13"/>
        </w:rPr>
        <w:t> </w:t>
      </w:r>
      <w:r>
        <w:rPr>
          <w:w w:val="105"/>
          <w:sz w:val="13"/>
        </w:rPr>
        <w:t>the</w:t>
      </w:r>
      <w:r>
        <w:rPr>
          <w:w w:val="105"/>
          <w:sz w:val="13"/>
        </w:rPr>
        <w:t> capital</w:t>
      </w:r>
      <w:r>
        <w:rPr>
          <w:w w:val="105"/>
          <w:sz w:val="13"/>
        </w:rPr>
        <w:t> structure</w:t>
      </w:r>
      <w:r>
        <w:rPr>
          <w:w w:val="105"/>
          <w:sz w:val="13"/>
        </w:rPr>
        <w:t> within</w:t>
      </w:r>
      <w:r>
        <w:rPr>
          <w:w w:val="105"/>
          <w:sz w:val="13"/>
        </w:rPr>
        <w:t> a</w:t>
      </w:r>
      <w:r>
        <w:rPr>
          <w:w w:val="105"/>
          <w:sz w:val="13"/>
        </w:rPr>
        <w:t> framework</w:t>
      </w:r>
      <w:r>
        <w:rPr>
          <w:w w:val="105"/>
          <w:sz w:val="13"/>
        </w:rPr>
        <w:t> of</w:t>
      </w:r>
      <w:r>
        <w:rPr>
          <w:w w:val="105"/>
          <w:sz w:val="13"/>
        </w:rPr>
        <w:t> strategy</w:t>
      </w:r>
      <w:r>
        <w:rPr>
          <w:w w:val="105"/>
          <w:sz w:val="13"/>
        </w:rPr>
        <w:t> approved</w:t>
      </w:r>
      <w:r>
        <w:rPr>
          <w:w w:val="105"/>
          <w:sz w:val="13"/>
        </w:rPr>
        <w:t> by Senate.</w:t>
      </w:r>
      <w:r>
        <w:rPr>
          <w:w w:val="105"/>
          <w:sz w:val="13"/>
        </w:rPr>
        <w:t> The</w:t>
      </w:r>
      <w:r>
        <w:rPr>
          <w:w w:val="105"/>
          <w:sz w:val="13"/>
        </w:rPr>
        <w:t> Audit</w:t>
      </w:r>
      <w:r>
        <w:rPr>
          <w:w w:val="105"/>
          <w:sz w:val="13"/>
        </w:rPr>
        <w:t> and</w:t>
      </w:r>
      <w:r>
        <w:rPr>
          <w:w w:val="105"/>
          <w:sz w:val="13"/>
        </w:rPr>
        <w:t> Risk</w:t>
      </w:r>
      <w:r>
        <w:rPr>
          <w:w w:val="105"/>
          <w:sz w:val="13"/>
        </w:rPr>
        <w:t> Committee</w:t>
      </w:r>
      <w:r>
        <w:rPr>
          <w:w w:val="105"/>
          <w:sz w:val="13"/>
        </w:rPr>
        <w:t> has,</w:t>
      </w:r>
      <w:r>
        <w:rPr>
          <w:w w:val="105"/>
          <w:sz w:val="13"/>
        </w:rPr>
        <w:t> as</w:t>
      </w:r>
      <w:r>
        <w:rPr>
          <w:w w:val="105"/>
          <w:sz w:val="13"/>
        </w:rPr>
        <w:t> part</w:t>
      </w:r>
      <w:r>
        <w:rPr>
          <w:w w:val="105"/>
          <w:sz w:val="13"/>
        </w:rPr>
        <w:t> of</w:t>
      </w:r>
      <w:r>
        <w:rPr>
          <w:w w:val="105"/>
          <w:sz w:val="13"/>
        </w:rPr>
        <w:t> its</w:t>
      </w:r>
      <w:r>
        <w:rPr>
          <w:w w:val="105"/>
          <w:sz w:val="13"/>
        </w:rPr>
        <w:t> role,</w:t>
      </w:r>
      <w:r>
        <w:rPr>
          <w:spacing w:val="40"/>
          <w:w w:val="105"/>
          <w:sz w:val="13"/>
        </w:rPr>
        <w:t> </w:t>
      </w:r>
      <w:r>
        <w:rPr>
          <w:w w:val="105"/>
          <w:sz w:val="13"/>
        </w:rPr>
        <w:t>responsibility to</w:t>
      </w:r>
      <w:r>
        <w:rPr>
          <w:w w:val="105"/>
          <w:sz w:val="13"/>
        </w:rPr>
        <w:t> satisfy the</w:t>
      </w:r>
      <w:r>
        <w:rPr>
          <w:w w:val="105"/>
          <w:sz w:val="13"/>
        </w:rPr>
        <w:t> Senate</w:t>
      </w:r>
      <w:r>
        <w:rPr>
          <w:w w:val="105"/>
          <w:sz w:val="13"/>
        </w:rPr>
        <w:t> that</w:t>
      </w:r>
      <w:r>
        <w:rPr>
          <w:w w:val="105"/>
          <w:sz w:val="13"/>
        </w:rPr>
        <w:t> the</w:t>
      </w:r>
      <w:r>
        <w:rPr>
          <w:w w:val="105"/>
          <w:sz w:val="13"/>
        </w:rPr>
        <w:t> University</w:t>
      </w:r>
      <w:r>
        <w:rPr>
          <w:w w:val="105"/>
          <w:sz w:val="13"/>
        </w:rPr>
        <w:t> has</w:t>
      </w:r>
      <w:r>
        <w:rPr>
          <w:w w:val="105"/>
          <w:sz w:val="13"/>
        </w:rPr>
        <w:t> sound</w:t>
      </w:r>
      <w:r>
        <w:rPr>
          <w:w w:val="105"/>
          <w:sz w:val="13"/>
        </w:rPr>
        <w:t> policies</w:t>
      </w:r>
      <w:r>
        <w:rPr>
          <w:w w:val="105"/>
          <w:sz w:val="13"/>
        </w:rPr>
        <w:t> and</w:t>
      </w:r>
      <w:r>
        <w:rPr>
          <w:w w:val="105"/>
          <w:sz w:val="13"/>
        </w:rPr>
        <w:t> arrangements</w:t>
      </w:r>
      <w:r>
        <w:rPr>
          <w:w w:val="105"/>
          <w:sz w:val="13"/>
        </w:rPr>
        <w:t> in</w:t>
      </w:r>
      <w:r>
        <w:rPr>
          <w:w w:val="105"/>
          <w:sz w:val="13"/>
        </w:rPr>
        <w:t> place</w:t>
      </w:r>
      <w:r>
        <w:rPr>
          <w:w w:val="105"/>
          <w:sz w:val="13"/>
        </w:rPr>
        <w:t> for</w:t>
      </w:r>
      <w:r>
        <w:rPr>
          <w:w w:val="105"/>
          <w:sz w:val="13"/>
        </w:rPr>
        <w:t> corporate</w:t>
      </w:r>
      <w:r>
        <w:rPr>
          <w:w w:val="105"/>
          <w:sz w:val="13"/>
        </w:rPr>
        <w:t> governance</w:t>
      </w:r>
      <w:r>
        <w:rPr>
          <w:w w:val="105"/>
          <w:sz w:val="13"/>
        </w:rPr>
        <w:t> and</w:t>
      </w:r>
      <w:r>
        <w:rPr>
          <w:w w:val="105"/>
          <w:sz w:val="13"/>
        </w:rPr>
        <w:t> for</w:t>
      </w:r>
      <w:r>
        <w:rPr>
          <w:spacing w:val="40"/>
          <w:w w:val="105"/>
          <w:sz w:val="13"/>
        </w:rPr>
        <w:t> </w:t>
      </w:r>
      <w:r>
        <w:rPr>
          <w:w w:val="105"/>
          <w:sz w:val="13"/>
        </w:rPr>
        <w:t>controlling</w:t>
      </w:r>
      <w:r>
        <w:rPr>
          <w:w w:val="105"/>
          <w:sz w:val="13"/>
        </w:rPr>
        <w:t> the</w:t>
      </w:r>
      <w:r>
        <w:rPr>
          <w:w w:val="105"/>
          <w:sz w:val="13"/>
        </w:rPr>
        <w:t> institution's</w:t>
      </w:r>
      <w:r>
        <w:rPr>
          <w:w w:val="105"/>
          <w:sz w:val="13"/>
        </w:rPr>
        <w:t> exposure</w:t>
      </w:r>
      <w:r>
        <w:rPr>
          <w:w w:val="105"/>
          <w:sz w:val="13"/>
        </w:rPr>
        <w:t> to</w:t>
      </w:r>
      <w:r>
        <w:rPr>
          <w:w w:val="105"/>
          <w:sz w:val="13"/>
        </w:rPr>
        <w:t> risk.</w:t>
      </w:r>
      <w:r>
        <w:rPr>
          <w:spacing w:val="40"/>
          <w:w w:val="105"/>
          <w:sz w:val="13"/>
        </w:rPr>
        <w:t> </w:t>
      </w:r>
      <w:r>
        <w:rPr>
          <w:w w:val="105"/>
          <w:sz w:val="13"/>
        </w:rPr>
        <w:t>The</w:t>
      </w:r>
      <w:r>
        <w:rPr>
          <w:w w:val="105"/>
          <w:sz w:val="13"/>
        </w:rPr>
        <w:t> Audit</w:t>
      </w:r>
      <w:r>
        <w:rPr>
          <w:w w:val="105"/>
          <w:sz w:val="13"/>
        </w:rPr>
        <w:t> and</w:t>
      </w:r>
      <w:r>
        <w:rPr>
          <w:w w:val="105"/>
          <w:sz w:val="13"/>
        </w:rPr>
        <w:t> Risk</w:t>
      </w:r>
      <w:r>
        <w:rPr>
          <w:w w:val="105"/>
          <w:sz w:val="13"/>
        </w:rPr>
        <w:t> Committee</w:t>
      </w:r>
      <w:r>
        <w:rPr>
          <w:w w:val="105"/>
          <w:sz w:val="13"/>
        </w:rPr>
        <w:t> also</w:t>
      </w:r>
      <w:r>
        <w:rPr>
          <w:w w:val="105"/>
          <w:sz w:val="13"/>
        </w:rPr>
        <w:t> oversees</w:t>
      </w:r>
      <w:r>
        <w:rPr>
          <w:w w:val="105"/>
          <w:sz w:val="13"/>
        </w:rPr>
        <w:t> how</w:t>
      </w:r>
      <w:r>
        <w:rPr>
          <w:w w:val="105"/>
          <w:sz w:val="13"/>
        </w:rPr>
        <w:t> the</w:t>
      </w:r>
      <w:r>
        <w:rPr>
          <w:w w:val="105"/>
          <w:sz w:val="13"/>
        </w:rPr>
        <w:t> University’s</w:t>
      </w:r>
      <w:r>
        <w:rPr>
          <w:w w:val="105"/>
          <w:sz w:val="13"/>
        </w:rPr>
        <w:t> management</w:t>
      </w:r>
      <w:r>
        <w:rPr>
          <w:w w:val="105"/>
          <w:sz w:val="13"/>
        </w:rPr>
        <w:t> monitors</w:t>
      </w:r>
      <w:r>
        <w:rPr>
          <w:spacing w:val="40"/>
          <w:w w:val="105"/>
          <w:sz w:val="13"/>
        </w:rPr>
        <w:t> </w:t>
      </w:r>
      <w:r>
        <w:rPr>
          <w:w w:val="105"/>
          <w:sz w:val="13"/>
        </w:rPr>
        <w:t>compliance</w:t>
      </w:r>
      <w:r>
        <w:rPr>
          <w:spacing w:val="-3"/>
          <w:w w:val="105"/>
          <w:sz w:val="13"/>
        </w:rPr>
        <w:t> </w:t>
      </w:r>
      <w:r>
        <w:rPr>
          <w:w w:val="105"/>
          <w:sz w:val="13"/>
        </w:rPr>
        <w:t>with</w:t>
      </w:r>
      <w:r>
        <w:rPr>
          <w:spacing w:val="-3"/>
          <w:w w:val="105"/>
          <w:sz w:val="13"/>
        </w:rPr>
        <w:t> </w:t>
      </w:r>
      <w:r>
        <w:rPr>
          <w:w w:val="105"/>
          <w:sz w:val="13"/>
        </w:rPr>
        <w:t>the</w:t>
      </w:r>
      <w:r>
        <w:rPr>
          <w:spacing w:val="-3"/>
          <w:w w:val="105"/>
          <w:sz w:val="13"/>
        </w:rPr>
        <w:t> </w:t>
      </w:r>
      <w:r>
        <w:rPr>
          <w:w w:val="105"/>
          <w:sz w:val="13"/>
        </w:rPr>
        <w:t>risk management</w:t>
      </w:r>
      <w:r>
        <w:rPr>
          <w:spacing w:val="-2"/>
          <w:w w:val="105"/>
          <w:sz w:val="13"/>
        </w:rPr>
        <w:t> </w:t>
      </w:r>
      <w:r>
        <w:rPr>
          <w:w w:val="105"/>
          <w:sz w:val="13"/>
        </w:rPr>
        <w:t>policies</w:t>
      </w:r>
      <w:r>
        <w:rPr>
          <w:spacing w:val="-2"/>
          <w:w w:val="105"/>
          <w:sz w:val="13"/>
        </w:rPr>
        <w:t> </w:t>
      </w:r>
      <w:r>
        <w:rPr>
          <w:w w:val="105"/>
          <w:sz w:val="13"/>
        </w:rPr>
        <w:t>and</w:t>
      </w:r>
      <w:r>
        <w:rPr>
          <w:spacing w:val="-3"/>
          <w:w w:val="105"/>
          <w:sz w:val="13"/>
        </w:rPr>
        <w:t> </w:t>
      </w:r>
      <w:r>
        <w:rPr>
          <w:w w:val="105"/>
          <w:sz w:val="13"/>
        </w:rPr>
        <w:t>reviews</w:t>
      </w:r>
      <w:r>
        <w:rPr>
          <w:spacing w:val="-2"/>
          <w:w w:val="105"/>
          <w:sz w:val="13"/>
        </w:rPr>
        <w:t> </w:t>
      </w:r>
      <w:r>
        <w:rPr>
          <w:w w:val="105"/>
          <w:sz w:val="13"/>
        </w:rPr>
        <w:t>the</w:t>
      </w:r>
      <w:r>
        <w:rPr>
          <w:spacing w:val="-3"/>
          <w:w w:val="105"/>
          <w:sz w:val="13"/>
        </w:rPr>
        <w:t> </w:t>
      </w:r>
      <w:r>
        <w:rPr>
          <w:w w:val="105"/>
          <w:sz w:val="13"/>
        </w:rPr>
        <w:t>adequacy</w:t>
      </w:r>
      <w:r>
        <w:rPr>
          <w:spacing w:val="-6"/>
          <w:w w:val="105"/>
          <w:sz w:val="13"/>
        </w:rPr>
        <w:t> </w:t>
      </w:r>
      <w:r>
        <w:rPr>
          <w:w w:val="105"/>
          <w:sz w:val="13"/>
        </w:rPr>
        <w:t>of the</w:t>
      </w:r>
      <w:r>
        <w:rPr>
          <w:spacing w:val="-3"/>
          <w:w w:val="105"/>
          <w:sz w:val="13"/>
        </w:rPr>
        <w:t> </w:t>
      </w:r>
      <w:r>
        <w:rPr>
          <w:w w:val="105"/>
          <w:sz w:val="13"/>
        </w:rPr>
        <w:t>risk management</w:t>
      </w:r>
      <w:r>
        <w:rPr>
          <w:spacing w:val="-2"/>
          <w:w w:val="105"/>
          <w:sz w:val="13"/>
        </w:rPr>
        <w:t> </w:t>
      </w:r>
      <w:r>
        <w:rPr>
          <w:w w:val="105"/>
          <w:sz w:val="13"/>
        </w:rPr>
        <w:t>framework in</w:t>
      </w:r>
      <w:r>
        <w:rPr>
          <w:spacing w:val="-3"/>
          <w:w w:val="105"/>
          <w:sz w:val="13"/>
        </w:rPr>
        <w:t> </w:t>
      </w:r>
      <w:r>
        <w:rPr>
          <w:w w:val="105"/>
          <w:sz w:val="13"/>
        </w:rPr>
        <w:t>relation</w:t>
      </w:r>
      <w:r>
        <w:rPr>
          <w:spacing w:val="-1"/>
          <w:w w:val="105"/>
          <w:sz w:val="13"/>
        </w:rPr>
        <w:t> </w:t>
      </w:r>
      <w:r>
        <w:rPr>
          <w:w w:val="105"/>
          <w:sz w:val="13"/>
        </w:rPr>
        <w:t>to</w:t>
      </w:r>
      <w:r>
        <w:rPr>
          <w:spacing w:val="-3"/>
          <w:w w:val="105"/>
          <w:sz w:val="13"/>
        </w:rPr>
        <w:t> </w:t>
      </w:r>
      <w:r>
        <w:rPr>
          <w:w w:val="105"/>
          <w:sz w:val="13"/>
        </w:rPr>
        <w:t>the</w:t>
      </w:r>
      <w:r>
        <w:rPr>
          <w:spacing w:val="-1"/>
          <w:w w:val="105"/>
          <w:sz w:val="13"/>
        </w:rPr>
        <w:t> </w:t>
      </w:r>
      <w:r>
        <w:rPr>
          <w:w w:val="105"/>
          <w:sz w:val="13"/>
        </w:rPr>
        <w:t>financial</w:t>
      </w:r>
      <w:r>
        <w:rPr>
          <w:spacing w:val="-1"/>
          <w:w w:val="105"/>
          <w:sz w:val="13"/>
        </w:rPr>
        <w:t> </w:t>
      </w:r>
      <w:r>
        <w:rPr>
          <w:w w:val="105"/>
          <w:sz w:val="13"/>
        </w:rPr>
        <w:t>risks</w:t>
      </w:r>
      <w:r>
        <w:rPr>
          <w:spacing w:val="40"/>
          <w:w w:val="105"/>
          <w:sz w:val="13"/>
        </w:rPr>
        <w:t> </w:t>
      </w:r>
      <w:r>
        <w:rPr>
          <w:w w:val="105"/>
          <w:sz w:val="13"/>
        </w:rPr>
        <w:t>faced by the University.</w:t>
      </w:r>
    </w:p>
    <w:p>
      <w:pPr>
        <w:spacing w:line="273" w:lineRule="auto" w:before="149"/>
        <w:ind w:left="651" w:right="289" w:firstLine="0"/>
        <w:jc w:val="both"/>
        <w:rPr>
          <w:sz w:val="13"/>
        </w:rPr>
      </w:pPr>
      <w:r>
        <w:rPr>
          <w:w w:val="105"/>
          <w:sz w:val="13"/>
        </w:rPr>
        <w:t>The University is committed to a strong, integrity-driven risk</w:t>
      </w:r>
      <w:r>
        <w:rPr>
          <w:w w:val="105"/>
          <w:sz w:val="13"/>
        </w:rPr>
        <w:t> culture and</w:t>
      </w:r>
      <w:r>
        <w:rPr>
          <w:w w:val="105"/>
          <w:sz w:val="13"/>
        </w:rPr>
        <w:t> transparent risk</w:t>
      </w:r>
      <w:r>
        <w:rPr>
          <w:spacing w:val="18"/>
          <w:w w:val="105"/>
          <w:sz w:val="13"/>
        </w:rPr>
        <w:t> </w:t>
      </w:r>
      <w:r>
        <w:rPr>
          <w:w w:val="105"/>
          <w:sz w:val="13"/>
        </w:rPr>
        <w:t>management practices.</w:t>
      </w:r>
      <w:r>
        <w:rPr>
          <w:w w:val="105"/>
          <w:sz w:val="13"/>
        </w:rPr>
        <w:t> The Senate,</w:t>
      </w:r>
      <w:r>
        <w:rPr>
          <w:w w:val="105"/>
          <w:sz w:val="13"/>
        </w:rPr>
        <w:t> Audit and</w:t>
      </w:r>
      <w:r>
        <w:rPr>
          <w:spacing w:val="40"/>
          <w:w w:val="105"/>
          <w:sz w:val="13"/>
        </w:rPr>
        <w:t> </w:t>
      </w:r>
      <w:r>
        <w:rPr>
          <w:w w:val="105"/>
          <w:sz w:val="13"/>
        </w:rPr>
        <w:t>Risk Committee and the Vice-Chancellor oversee the University’s risk management framework, which includes policies, procedures and a</w:t>
      </w:r>
      <w:r>
        <w:rPr>
          <w:spacing w:val="40"/>
          <w:w w:val="105"/>
          <w:sz w:val="13"/>
        </w:rPr>
        <w:t> </w:t>
      </w:r>
      <w:r>
        <w:rPr>
          <w:w w:val="105"/>
          <w:sz w:val="13"/>
        </w:rPr>
        <w:t>risk appetite guidance statement. The University’s risk profile informs the annual internal audit plan.</w:t>
      </w:r>
    </w:p>
    <w:p>
      <w:pPr>
        <w:spacing w:line="240" w:lineRule="auto" w:before="21"/>
        <w:rPr>
          <w:sz w:val="13"/>
        </w:rPr>
      </w:pPr>
    </w:p>
    <w:p>
      <w:pPr>
        <w:spacing w:line="273" w:lineRule="auto" w:before="0"/>
        <w:ind w:left="651" w:right="289" w:firstLine="0"/>
        <w:jc w:val="both"/>
        <w:rPr>
          <w:sz w:val="13"/>
        </w:rPr>
      </w:pPr>
      <w:r>
        <w:rPr>
          <w:w w:val="105"/>
          <w:sz w:val="13"/>
        </w:rPr>
        <w:t>During</w:t>
      </w:r>
      <w:r>
        <w:rPr>
          <w:w w:val="105"/>
          <w:sz w:val="13"/>
        </w:rPr>
        <w:t> 2019,</w:t>
      </w:r>
      <w:r>
        <w:rPr>
          <w:w w:val="105"/>
          <w:sz w:val="13"/>
        </w:rPr>
        <w:t> a</w:t>
      </w:r>
      <w:r>
        <w:rPr>
          <w:w w:val="105"/>
          <w:sz w:val="13"/>
        </w:rPr>
        <w:t> revised</w:t>
      </w:r>
      <w:r>
        <w:rPr>
          <w:w w:val="105"/>
          <w:sz w:val="13"/>
        </w:rPr>
        <w:t> strategic</w:t>
      </w:r>
      <w:r>
        <w:rPr>
          <w:w w:val="105"/>
          <w:sz w:val="13"/>
        </w:rPr>
        <w:t> risk</w:t>
      </w:r>
      <w:r>
        <w:rPr>
          <w:w w:val="105"/>
          <w:sz w:val="13"/>
        </w:rPr>
        <w:t> profile</w:t>
      </w:r>
      <w:r>
        <w:rPr>
          <w:w w:val="105"/>
          <w:sz w:val="13"/>
        </w:rPr>
        <w:t> was</w:t>
      </w:r>
      <w:r>
        <w:rPr>
          <w:w w:val="105"/>
          <w:sz w:val="13"/>
        </w:rPr>
        <w:t> completed</w:t>
      </w:r>
      <w:r>
        <w:rPr>
          <w:w w:val="105"/>
          <w:sz w:val="13"/>
        </w:rPr>
        <w:t> to</w:t>
      </w:r>
      <w:r>
        <w:rPr>
          <w:w w:val="105"/>
          <w:sz w:val="13"/>
        </w:rPr>
        <w:t> support</w:t>
      </w:r>
      <w:r>
        <w:rPr>
          <w:w w:val="105"/>
          <w:sz w:val="13"/>
        </w:rPr>
        <w:t> the</w:t>
      </w:r>
      <w:r>
        <w:rPr>
          <w:w w:val="105"/>
          <w:sz w:val="13"/>
        </w:rPr>
        <w:t> 2020–2025</w:t>
      </w:r>
      <w:r>
        <w:rPr>
          <w:w w:val="105"/>
          <w:sz w:val="13"/>
        </w:rPr>
        <w:t> strategic</w:t>
      </w:r>
      <w:r>
        <w:rPr>
          <w:w w:val="105"/>
          <w:sz w:val="13"/>
        </w:rPr>
        <w:t> plan.</w:t>
      </w:r>
      <w:r>
        <w:rPr>
          <w:w w:val="105"/>
          <w:sz w:val="13"/>
        </w:rPr>
        <w:t> In</w:t>
      </w:r>
      <w:r>
        <w:rPr>
          <w:w w:val="105"/>
          <w:sz w:val="13"/>
        </w:rPr>
        <w:t> addition,</w:t>
      </w:r>
      <w:r>
        <w:rPr>
          <w:w w:val="105"/>
          <w:sz w:val="13"/>
        </w:rPr>
        <w:t> regulatory compliance</w:t>
      </w:r>
      <w:r>
        <w:rPr>
          <w:spacing w:val="40"/>
          <w:w w:val="105"/>
          <w:sz w:val="13"/>
        </w:rPr>
        <w:t> </w:t>
      </w:r>
      <w:r>
        <w:rPr>
          <w:w w:val="105"/>
          <w:sz w:val="13"/>
        </w:rPr>
        <w:t>practices were</w:t>
      </w:r>
      <w:r>
        <w:rPr>
          <w:spacing w:val="-2"/>
          <w:w w:val="105"/>
          <w:sz w:val="13"/>
        </w:rPr>
        <w:t> </w:t>
      </w:r>
      <w:r>
        <w:rPr>
          <w:w w:val="105"/>
          <w:sz w:val="13"/>
        </w:rPr>
        <w:t>enhanced and</w:t>
      </w:r>
      <w:r>
        <w:rPr>
          <w:spacing w:val="-2"/>
          <w:w w:val="105"/>
          <w:sz w:val="13"/>
        </w:rPr>
        <w:t> </w:t>
      </w:r>
      <w:r>
        <w:rPr>
          <w:w w:val="105"/>
          <w:sz w:val="13"/>
        </w:rPr>
        <w:t>risk workshops</w:t>
      </w:r>
      <w:r>
        <w:rPr>
          <w:spacing w:val="-1"/>
          <w:w w:val="105"/>
          <w:sz w:val="13"/>
        </w:rPr>
        <w:t> </w:t>
      </w:r>
      <w:r>
        <w:rPr>
          <w:w w:val="105"/>
          <w:sz w:val="13"/>
        </w:rPr>
        <w:t>were conducted</w:t>
      </w:r>
      <w:r>
        <w:rPr>
          <w:spacing w:val="-2"/>
          <w:w w:val="105"/>
          <w:sz w:val="13"/>
        </w:rPr>
        <w:t> </w:t>
      </w:r>
      <w:r>
        <w:rPr>
          <w:w w:val="105"/>
          <w:sz w:val="13"/>
        </w:rPr>
        <w:t>across business units to</w:t>
      </w:r>
      <w:r>
        <w:rPr>
          <w:spacing w:val="-2"/>
          <w:w w:val="105"/>
          <w:sz w:val="13"/>
        </w:rPr>
        <w:t> </w:t>
      </w:r>
      <w:r>
        <w:rPr>
          <w:w w:val="105"/>
          <w:sz w:val="13"/>
        </w:rPr>
        <w:t>assess key</w:t>
      </w:r>
      <w:r>
        <w:rPr>
          <w:spacing w:val="-5"/>
          <w:w w:val="105"/>
          <w:sz w:val="13"/>
        </w:rPr>
        <w:t> </w:t>
      </w:r>
      <w:r>
        <w:rPr>
          <w:w w:val="105"/>
          <w:sz w:val="13"/>
        </w:rPr>
        <w:t>operational risks.</w:t>
      </w:r>
      <w:r>
        <w:rPr>
          <w:spacing w:val="-1"/>
          <w:w w:val="105"/>
          <w:sz w:val="13"/>
        </w:rPr>
        <w:t> </w:t>
      </w:r>
      <w:r>
        <w:rPr>
          <w:w w:val="105"/>
          <w:sz w:val="13"/>
        </w:rPr>
        <w:t>Highlights, trends</w:t>
      </w:r>
      <w:r>
        <w:rPr>
          <w:spacing w:val="-1"/>
          <w:w w:val="105"/>
          <w:sz w:val="13"/>
        </w:rPr>
        <w:t> </w:t>
      </w:r>
      <w:r>
        <w:rPr>
          <w:w w:val="105"/>
          <w:sz w:val="13"/>
        </w:rPr>
        <w:t>and</w:t>
      </w:r>
      <w:r>
        <w:rPr>
          <w:spacing w:val="40"/>
          <w:w w:val="105"/>
          <w:sz w:val="13"/>
        </w:rPr>
        <w:t> </w:t>
      </w:r>
      <w:r>
        <w:rPr>
          <w:w w:val="105"/>
          <w:sz w:val="13"/>
        </w:rPr>
        <w:t>issues were reported to the Senate and Audit and Risk Committee throughout the year.</w:t>
      </w:r>
    </w:p>
    <w:p>
      <w:pPr>
        <w:spacing w:line="240" w:lineRule="auto" w:before="53"/>
        <w:rPr>
          <w:sz w:val="13"/>
        </w:rPr>
      </w:pPr>
    </w:p>
    <w:p>
      <w:pPr>
        <w:spacing w:line="273" w:lineRule="auto" w:before="0"/>
        <w:ind w:left="651" w:right="287" w:firstLine="0"/>
        <w:jc w:val="both"/>
        <w:rPr>
          <w:sz w:val="13"/>
        </w:rPr>
      </w:pPr>
      <w:r>
        <w:rPr>
          <w:w w:val="105"/>
          <w:sz w:val="13"/>
        </w:rPr>
        <w:t>A</w:t>
      </w:r>
      <w:r>
        <w:rPr>
          <w:w w:val="105"/>
          <w:sz w:val="13"/>
        </w:rPr>
        <w:t> major</w:t>
      </w:r>
      <w:r>
        <w:rPr>
          <w:w w:val="105"/>
          <w:sz w:val="13"/>
        </w:rPr>
        <w:t> component</w:t>
      </w:r>
      <w:r>
        <w:rPr>
          <w:w w:val="105"/>
          <w:sz w:val="13"/>
        </w:rPr>
        <w:t> of</w:t>
      </w:r>
      <w:r>
        <w:rPr>
          <w:w w:val="105"/>
          <w:sz w:val="13"/>
        </w:rPr>
        <w:t> the</w:t>
      </w:r>
      <w:r>
        <w:rPr>
          <w:w w:val="105"/>
          <w:sz w:val="13"/>
        </w:rPr>
        <w:t> University's</w:t>
      </w:r>
      <w:r>
        <w:rPr>
          <w:w w:val="105"/>
          <w:sz w:val="13"/>
        </w:rPr>
        <w:t> governance</w:t>
      </w:r>
      <w:r>
        <w:rPr>
          <w:w w:val="105"/>
          <w:sz w:val="13"/>
        </w:rPr>
        <w:t> framework</w:t>
      </w:r>
      <w:r>
        <w:rPr>
          <w:w w:val="105"/>
          <w:sz w:val="13"/>
        </w:rPr>
        <w:t> is</w:t>
      </w:r>
      <w:r>
        <w:rPr>
          <w:w w:val="105"/>
          <w:sz w:val="13"/>
        </w:rPr>
        <w:t> the</w:t>
      </w:r>
      <w:r>
        <w:rPr>
          <w:w w:val="105"/>
          <w:sz w:val="13"/>
        </w:rPr>
        <w:t> annual</w:t>
      </w:r>
      <w:r>
        <w:rPr>
          <w:w w:val="105"/>
          <w:sz w:val="13"/>
        </w:rPr>
        <w:t> Planning</w:t>
      </w:r>
      <w:r>
        <w:rPr>
          <w:w w:val="105"/>
          <w:sz w:val="13"/>
        </w:rPr>
        <w:t> and</w:t>
      </w:r>
      <w:r>
        <w:rPr>
          <w:w w:val="105"/>
          <w:sz w:val="13"/>
        </w:rPr>
        <w:t> Budget</w:t>
      </w:r>
      <w:r>
        <w:rPr>
          <w:w w:val="105"/>
          <w:sz w:val="13"/>
        </w:rPr>
        <w:t> cycle.</w:t>
      </w:r>
      <w:r>
        <w:rPr>
          <w:w w:val="105"/>
          <w:sz w:val="13"/>
        </w:rPr>
        <w:t> This</w:t>
      </w:r>
      <w:r>
        <w:rPr>
          <w:w w:val="105"/>
          <w:sz w:val="13"/>
        </w:rPr>
        <w:t> cycle</w:t>
      </w:r>
      <w:r>
        <w:rPr>
          <w:w w:val="105"/>
          <w:sz w:val="13"/>
        </w:rPr>
        <w:t> involves</w:t>
      </w:r>
      <w:r>
        <w:rPr>
          <w:w w:val="105"/>
          <w:sz w:val="13"/>
        </w:rPr>
        <w:t> two</w:t>
      </w:r>
      <w:r>
        <w:rPr>
          <w:w w:val="105"/>
          <w:sz w:val="13"/>
        </w:rPr>
        <w:t> key</w:t>
      </w:r>
      <w:r>
        <w:rPr>
          <w:spacing w:val="40"/>
          <w:w w:val="105"/>
          <w:sz w:val="13"/>
        </w:rPr>
        <w:t> </w:t>
      </w:r>
      <w:r>
        <w:rPr>
          <w:w w:val="105"/>
          <w:sz w:val="13"/>
        </w:rPr>
        <w:t>processes, being the preparation of budgets and the review of actual performance against budget or other relevant benchmarks. Where</w:t>
      </w:r>
      <w:r>
        <w:rPr>
          <w:spacing w:val="40"/>
          <w:w w:val="105"/>
          <w:sz w:val="13"/>
        </w:rPr>
        <w:t> </w:t>
      </w:r>
      <w:r>
        <w:rPr>
          <w:w w:val="105"/>
          <w:sz w:val="13"/>
        </w:rPr>
        <w:t>necessary, the monthly reporting process highlights significant financial issues and risks. The monitoring and review process is fulfilled by</w:t>
      </w:r>
      <w:r>
        <w:rPr>
          <w:spacing w:val="40"/>
          <w:w w:val="105"/>
          <w:sz w:val="13"/>
        </w:rPr>
        <w:t> </w:t>
      </w:r>
      <w:r>
        <w:rPr>
          <w:w w:val="105"/>
          <w:sz w:val="13"/>
        </w:rPr>
        <w:t>the University Management and Executive, Strategic Resources Committee and Senate.</w:t>
      </w:r>
    </w:p>
    <w:p>
      <w:pPr>
        <w:spacing w:line="240" w:lineRule="auto" w:before="21"/>
        <w:rPr>
          <w:sz w:val="13"/>
        </w:rPr>
      </w:pPr>
    </w:p>
    <w:p>
      <w:pPr>
        <w:spacing w:before="0"/>
        <w:ind w:left="651" w:right="0" w:firstLine="0"/>
        <w:jc w:val="both"/>
        <w:rPr>
          <w:sz w:val="13"/>
        </w:rPr>
      </w:pPr>
      <w:r>
        <w:rPr>
          <w:w w:val="105"/>
          <w:sz w:val="13"/>
        </w:rPr>
        <w:t>The</w:t>
      </w:r>
      <w:r>
        <w:rPr>
          <w:spacing w:val="-7"/>
          <w:w w:val="105"/>
          <w:sz w:val="13"/>
        </w:rPr>
        <w:t> </w:t>
      </w:r>
      <w:r>
        <w:rPr>
          <w:w w:val="105"/>
          <w:sz w:val="13"/>
        </w:rPr>
        <w:t>Group</w:t>
      </w:r>
      <w:r>
        <w:rPr>
          <w:spacing w:val="-6"/>
          <w:w w:val="105"/>
          <w:sz w:val="13"/>
        </w:rPr>
        <w:t> </w:t>
      </w:r>
      <w:r>
        <w:rPr>
          <w:w w:val="105"/>
          <w:sz w:val="13"/>
        </w:rPr>
        <w:t>has</w:t>
      </w:r>
      <w:r>
        <w:rPr>
          <w:spacing w:val="-6"/>
          <w:w w:val="105"/>
          <w:sz w:val="13"/>
        </w:rPr>
        <w:t> </w:t>
      </w:r>
      <w:r>
        <w:rPr>
          <w:w w:val="105"/>
          <w:sz w:val="13"/>
        </w:rPr>
        <w:t>exposure</w:t>
      </w:r>
      <w:r>
        <w:rPr>
          <w:spacing w:val="-6"/>
          <w:w w:val="105"/>
          <w:sz w:val="13"/>
        </w:rPr>
        <w:t> </w:t>
      </w:r>
      <w:r>
        <w:rPr>
          <w:w w:val="105"/>
          <w:sz w:val="13"/>
        </w:rPr>
        <w:t>to</w:t>
      </w:r>
      <w:r>
        <w:rPr>
          <w:spacing w:val="-6"/>
          <w:w w:val="105"/>
          <w:sz w:val="13"/>
        </w:rPr>
        <w:t> </w:t>
      </w:r>
      <w:r>
        <w:rPr>
          <w:w w:val="105"/>
          <w:sz w:val="13"/>
        </w:rPr>
        <w:t>credit,</w:t>
      </w:r>
      <w:r>
        <w:rPr>
          <w:spacing w:val="-6"/>
          <w:w w:val="105"/>
          <w:sz w:val="13"/>
        </w:rPr>
        <w:t> </w:t>
      </w:r>
      <w:r>
        <w:rPr>
          <w:w w:val="105"/>
          <w:sz w:val="13"/>
        </w:rPr>
        <w:t>market</w:t>
      </w:r>
      <w:r>
        <w:rPr>
          <w:spacing w:val="-5"/>
          <w:w w:val="105"/>
          <w:sz w:val="13"/>
        </w:rPr>
        <w:t> </w:t>
      </w:r>
      <w:r>
        <w:rPr>
          <w:w w:val="105"/>
          <w:sz w:val="13"/>
        </w:rPr>
        <w:t>and</w:t>
      </w:r>
      <w:r>
        <w:rPr>
          <w:spacing w:val="-7"/>
          <w:w w:val="105"/>
          <w:sz w:val="13"/>
        </w:rPr>
        <w:t> </w:t>
      </w:r>
      <w:r>
        <w:rPr>
          <w:w w:val="105"/>
          <w:sz w:val="13"/>
        </w:rPr>
        <w:t>liquidity</w:t>
      </w:r>
      <w:r>
        <w:rPr>
          <w:spacing w:val="-9"/>
          <w:w w:val="105"/>
          <w:sz w:val="13"/>
        </w:rPr>
        <w:t> </w:t>
      </w:r>
      <w:r>
        <w:rPr>
          <w:spacing w:val="-2"/>
          <w:w w:val="105"/>
          <w:sz w:val="13"/>
        </w:rPr>
        <w:t>risk.</w:t>
      </w:r>
    </w:p>
    <w:p>
      <w:pPr>
        <w:spacing w:line="240" w:lineRule="auto" w:before="42"/>
        <w:rPr>
          <w:sz w:val="13"/>
        </w:rPr>
      </w:pPr>
    </w:p>
    <w:p>
      <w:pPr>
        <w:spacing w:line="273" w:lineRule="auto" w:before="0"/>
        <w:ind w:left="650" w:right="287" w:firstLine="0"/>
        <w:jc w:val="both"/>
        <w:rPr>
          <w:sz w:val="13"/>
        </w:rPr>
      </w:pPr>
      <w:r>
        <w:rPr>
          <w:w w:val="105"/>
          <w:sz w:val="13"/>
        </w:rPr>
        <w:t>The</w:t>
      </w:r>
      <w:r>
        <w:rPr>
          <w:spacing w:val="-2"/>
          <w:w w:val="105"/>
          <w:sz w:val="13"/>
        </w:rPr>
        <w:t> </w:t>
      </w:r>
      <w:r>
        <w:rPr>
          <w:w w:val="105"/>
          <w:sz w:val="13"/>
        </w:rPr>
        <w:t>Group</w:t>
      </w:r>
      <w:r>
        <w:rPr>
          <w:spacing w:val="-2"/>
          <w:w w:val="105"/>
          <w:sz w:val="13"/>
        </w:rPr>
        <w:t> </w:t>
      </w:r>
      <w:r>
        <w:rPr>
          <w:w w:val="105"/>
          <w:sz w:val="13"/>
        </w:rPr>
        <w:t>has</w:t>
      </w:r>
      <w:r>
        <w:rPr>
          <w:spacing w:val="-1"/>
          <w:w w:val="105"/>
          <w:sz w:val="13"/>
        </w:rPr>
        <w:t> </w:t>
      </w:r>
      <w:r>
        <w:rPr>
          <w:w w:val="105"/>
          <w:sz w:val="13"/>
        </w:rPr>
        <w:t>appointed</w:t>
      </w:r>
      <w:r>
        <w:rPr>
          <w:spacing w:val="-2"/>
          <w:w w:val="105"/>
          <w:sz w:val="13"/>
        </w:rPr>
        <w:t> </w:t>
      </w:r>
      <w:r>
        <w:rPr>
          <w:w w:val="105"/>
          <w:sz w:val="13"/>
        </w:rPr>
        <w:t>an</w:t>
      </w:r>
      <w:r>
        <w:rPr>
          <w:spacing w:val="-4"/>
          <w:w w:val="105"/>
          <w:sz w:val="13"/>
        </w:rPr>
        <w:t> </w:t>
      </w:r>
      <w:r>
        <w:rPr>
          <w:w w:val="105"/>
          <w:sz w:val="13"/>
        </w:rPr>
        <w:t>Implemented</w:t>
      </w:r>
      <w:r>
        <w:rPr>
          <w:spacing w:val="-2"/>
          <w:w w:val="105"/>
          <w:sz w:val="13"/>
        </w:rPr>
        <w:t> </w:t>
      </w:r>
      <w:r>
        <w:rPr>
          <w:w w:val="105"/>
          <w:sz w:val="13"/>
        </w:rPr>
        <w:t>Consultant</w:t>
      </w:r>
      <w:r>
        <w:rPr>
          <w:spacing w:val="-3"/>
          <w:w w:val="105"/>
          <w:sz w:val="13"/>
        </w:rPr>
        <w:t> </w:t>
      </w:r>
      <w:r>
        <w:rPr>
          <w:w w:val="105"/>
          <w:sz w:val="13"/>
        </w:rPr>
        <w:t>to</w:t>
      </w:r>
      <w:r>
        <w:rPr>
          <w:spacing w:val="-2"/>
          <w:w w:val="105"/>
          <w:sz w:val="13"/>
        </w:rPr>
        <w:t> </w:t>
      </w:r>
      <w:r>
        <w:rPr>
          <w:w w:val="105"/>
          <w:sz w:val="13"/>
        </w:rPr>
        <w:t>manage</w:t>
      </w:r>
      <w:r>
        <w:rPr>
          <w:spacing w:val="-4"/>
          <w:w w:val="105"/>
          <w:sz w:val="13"/>
        </w:rPr>
        <w:t> </w:t>
      </w:r>
      <w:r>
        <w:rPr>
          <w:w w:val="105"/>
          <w:sz w:val="13"/>
        </w:rPr>
        <w:t>the</w:t>
      </w:r>
      <w:r>
        <w:rPr>
          <w:spacing w:val="-2"/>
          <w:w w:val="105"/>
          <w:sz w:val="13"/>
        </w:rPr>
        <w:t> </w:t>
      </w:r>
      <w:r>
        <w:rPr>
          <w:w w:val="105"/>
          <w:sz w:val="13"/>
        </w:rPr>
        <w:t>Group’s</w:t>
      </w:r>
      <w:r>
        <w:rPr>
          <w:spacing w:val="-3"/>
          <w:w w:val="105"/>
          <w:sz w:val="13"/>
        </w:rPr>
        <w:t> </w:t>
      </w:r>
      <w:r>
        <w:rPr>
          <w:w w:val="105"/>
          <w:sz w:val="13"/>
        </w:rPr>
        <w:t>investment</w:t>
      </w:r>
      <w:r>
        <w:rPr>
          <w:spacing w:val="-1"/>
          <w:w w:val="105"/>
          <w:sz w:val="13"/>
        </w:rPr>
        <w:t> </w:t>
      </w:r>
      <w:r>
        <w:rPr>
          <w:w w:val="105"/>
          <w:sz w:val="13"/>
        </w:rPr>
        <w:t>portfolio.</w:t>
      </w:r>
      <w:r>
        <w:rPr>
          <w:spacing w:val="-3"/>
          <w:w w:val="105"/>
          <w:sz w:val="13"/>
        </w:rPr>
        <w:t> </w:t>
      </w:r>
      <w:r>
        <w:rPr>
          <w:w w:val="105"/>
          <w:sz w:val="13"/>
        </w:rPr>
        <w:t>The</w:t>
      </w:r>
      <w:r>
        <w:rPr>
          <w:spacing w:val="-2"/>
          <w:w w:val="105"/>
          <w:sz w:val="13"/>
        </w:rPr>
        <w:t> </w:t>
      </w:r>
      <w:r>
        <w:rPr>
          <w:w w:val="105"/>
          <w:sz w:val="13"/>
        </w:rPr>
        <w:t>Implemented</w:t>
      </w:r>
      <w:r>
        <w:rPr>
          <w:spacing w:val="-4"/>
          <w:w w:val="105"/>
          <w:sz w:val="13"/>
        </w:rPr>
        <w:t> </w:t>
      </w:r>
      <w:r>
        <w:rPr>
          <w:w w:val="105"/>
          <w:sz w:val="13"/>
        </w:rPr>
        <w:t>Consultant</w:t>
      </w:r>
      <w:r>
        <w:rPr>
          <w:spacing w:val="-1"/>
          <w:w w:val="105"/>
          <w:sz w:val="13"/>
        </w:rPr>
        <w:t> </w:t>
      </w:r>
      <w:r>
        <w:rPr>
          <w:w w:val="105"/>
          <w:sz w:val="13"/>
        </w:rPr>
        <w:t>provides</w:t>
      </w:r>
      <w:r>
        <w:rPr>
          <w:spacing w:val="-3"/>
          <w:w w:val="105"/>
          <w:sz w:val="13"/>
        </w:rPr>
        <w:t> </w:t>
      </w:r>
      <w:r>
        <w:rPr>
          <w:w w:val="105"/>
          <w:sz w:val="13"/>
        </w:rPr>
        <w:t>a</w:t>
      </w:r>
      <w:r>
        <w:rPr>
          <w:spacing w:val="40"/>
          <w:w w:val="105"/>
          <w:sz w:val="13"/>
        </w:rPr>
        <w:t> </w:t>
      </w:r>
      <w:r>
        <w:rPr>
          <w:w w:val="105"/>
          <w:sz w:val="13"/>
        </w:rPr>
        <w:t>fully</w:t>
      </w:r>
      <w:r>
        <w:rPr>
          <w:w w:val="105"/>
          <w:sz w:val="13"/>
        </w:rPr>
        <w:t> implemented</w:t>
      </w:r>
      <w:r>
        <w:rPr>
          <w:w w:val="105"/>
          <w:sz w:val="13"/>
        </w:rPr>
        <w:t> investment</w:t>
      </w:r>
      <w:r>
        <w:rPr>
          <w:w w:val="105"/>
          <w:sz w:val="13"/>
        </w:rPr>
        <w:t> management</w:t>
      </w:r>
      <w:r>
        <w:rPr>
          <w:w w:val="105"/>
          <w:sz w:val="13"/>
        </w:rPr>
        <w:t> solution</w:t>
      </w:r>
      <w:r>
        <w:rPr>
          <w:w w:val="105"/>
          <w:sz w:val="13"/>
        </w:rPr>
        <w:t> via</w:t>
      </w:r>
      <w:r>
        <w:rPr>
          <w:w w:val="105"/>
          <w:sz w:val="13"/>
        </w:rPr>
        <w:t> a</w:t>
      </w:r>
      <w:r>
        <w:rPr>
          <w:w w:val="105"/>
          <w:sz w:val="13"/>
        </w:rPr>
        <w:t> manager</w:t>
      </w:r>
      <w:r>
        <w:rPr>
          <w:w w:val="105"/>
          <w:sz w:val="13"/>
        </w:rPr>
        <w:t> of</w:t>
      </w:r>
      <w:r>
        <w:rPr>
          <w:w w:val="105"/>
          <w:sz w:val="13"/>
        </w:rPr>
        <w:t> managers</w:t>
      </w:r>
      <w:r>
        <w:rPr>
          <w:w w:val="105"/>
          <w:sz w:val="13"/>
        </w:rPr>
        <w:t> style</w:t>
      </w:r>
      <w:r>
        <w:rPr>
          <w:w w:val="105"/>
          <w:sz w:val="13"/>
        </w:rPr>
        <w:t> approach</w:t>
      </w:r>
      <w:r>
        <w:rPr>
          <w:w w:val="105"/>
          <w:sz w:val="13"/>
        </w:rPr>
        <w:t> to</w:t>
      </w:r>
      <w:r>
        <w:rPr>
          <w:w w:val="105"/>
          <w:sz w:val="13"/>
        </w:rPr>
        <w:t> portfolio</w:t>
      </w:r>
      <w:r>
        <w:rPr>
          <w:w w:val="105"/>
          <w:sz w:val="13"/>
        </w:rPr>
        <w:t> construction,</w:t>
      </w:r>
      <w:r>
        <w:rPr>
          <w:w w:val="105"/>
          <w:sz w:val="13"/>
        </w:rPr>
        <w:t> strategy</w:t>
      </w:r>
      <w:r>
        <w:rPr>
          <w:spacing w:val="40"/>
          <w:w w:val="105"/>
          <w:sz w:val="13"/>
        </w:rPr>
        <w:t> </w:t>
      </w:r>
      <w:r>
        <w:rPr>
          <w:w w:val="105"/>
          <w:sz w:val="13"/>
        </w:rPr>
        <w:t>implementation, diversification, management and overarching risk management.</w:t>
      </w:r>
    </w:p>
    <w:p>
      <w:pPr>
        <w:spacing w:line="240" w:lineRule="auto" w:before="0"/>
        <w:rPr>
          <w:sz w:val="13"/>
        </w:rPr>
      </w:pPr>
    </w:p>
    <w:p>
      <w:pPr>
        <w:spacing w:line="240" w:lineRule="auto" w:before="0"/>
        <w:rPr>
          <w:sz w:val="13"/>
        </w:rPr>
      </w:pPr>
    </w:p>
    <w:p>
      <w:pPr>
        <w:pStyle w:val="ListParagraph"/>
        <w:numPr>
          <w:ilvl w:val="0"/>
          <w:numId w:val="35"/>
        </w:numPr>
        <w:tabs>
          <w:tab w:pos="651" w:val="left" w:leader="none"/>
        </w:tabs>
        <w:spacing w:line="240" w:lineRule="auto" w:before="0" w:after="0"/>
        <w:ind w:left="651" w:right="0" w:hanging="508"/>
        <w:jc w:val="left"/>
        <w:rPr>
          <w:b/>
          <w:sz w:val="13"/>
        </w:rPr>
      </w:pPr>
      <w:r>
        <w:rPr>
          <w:b/>
          <w:w w:val="105"/>
          <w:sz w:val="13"/>
        </w:rPr>
        <w:t>Credit</w:t>
      </w:r>
      <w:r>
        <w:rPr>
          <w:b/>
          <w:spacing w:val="-4"/>
          <w:w w:val="105"/>
          <w:sz w:val="13"/>
        </w:rPr>
        <w:t> risk</w:t>
      </w:r>
    </w:p>
    <w:p>
      <w:pPr>
        <w:spacing w:line="273" w:lineRule="auto" w:before="21"/>
        <w:ind w:left="651" w:right="0" w:firstLine="0"/>
        <w:jc w:val="left"/>
        <w:rPr>
          <w:sz w:val="13"/>
        </w:rPr>
      </w:pPr>
      <w:r>
        <w:rPr>
          <w:w w:val="105"/>
          <w:sz w:val="13"/>
        </w:rPr>
        <w:t>Credit</w:t>
      </w:r>
      <w:r>
        <w:rPr>
          <w:spacing w:val="-2"/>
          <w:w w:val="105"/>
          <w:sz w:val="13"/>
        </w:rPr>
        <w:t> </w:t>
      </w:r>
      <w:r>
        <w:rPr>
          <w:w w:val="105"/>
          <w:sz w:val="13"/>
        </w:rPr>
        <w:t>risk arises</w:t>
      </w:r>
      <w:r>
        <w:rPr>
          <w:spacing w:val="-2"/>
          <w:w w:val="105"/>
          <w:sz w:val="13"/>
        </w:rPr>
        <w:t> </w:t>
      </w:r>
      <w:r>
        <w:rPr>
          <w:w w:val="105"/>
          <w:sz w:val="13"/>
        </w:rPr>
        <w:t>principally</w:t>
      </w:r>
      <w:r>
        <w:rPr>
          <w:spacing w:val="-6"/>
          <w:w w:val="105"/>
          <w:sz w:val="13"/>
        </w:rPr>
        <w:t> </w:t>
      </w:r>
      <w:r>
        <w:rPr>
          <w:w w:val="105"/>
          <w:sz w:val="13"/>
        </w:rPr>
        <w:t>from</w:t>
      </w:r>
      <w:r>
        <w:rPr>
          <w:spacing w:val="-1"/>
          <w:w w:val="105"/>
          <w:sz w:val="13"/>
        </w:rPr>
        <w:t> </w:t>
      </w:r>
      <w:r>
        <w:rPr>
          <w:w w:val="105"/>
          <w:sz w:val="13"/>
        </w:rPr>
        <w:t>the</w:t>
      </w:r>
      <w:r>
        <w:rPr>
          <w:spacing w:val="-3"/>
          <w:w w:val="105"/>
          <w:sz w:val="13"/>
        </w:rPr>
        <w:t> </w:t>
      </w:r>
      <w:r>
        <w:rPr>
          <w:w w:val="105"/>
          <w:sz w:val="13"/>
        </w:rPr>
        <w:t>Group's</w:t>
      </w:r>
      <w:r>
        <w:rPr>
          <w:spacing w:val="-2"/>
          <w:w w:val="105"/>
          <w:sz w:val="13"/>
        </w:rPr>
        <w:t> </w:t>
      </w:r>
      <w:r>
        <w:rPr>
          <w:w w:val="105"/>
          <w:sz w:val="13"/>
        </w:rPr>
        <w:t>investment securities,</w:t>
      </w:r>
      <w:r>
        <w:rPr>
          <w:spacing w:val="-2"/>
          <w:w w:val="105"/>
          <w:sz w:val="13"/>
        </w:rPr>
        <w:t> </w:t>
      </w:r>
      <w:r>
        <w:rPr>
          <w:w w:val="105"/>
          <w:sz w:val="13"/>
        </w:rPr>
        <w:t>and</w:t>
      </w:r>
      <w:r>
        <w:rPr>
          <w:spacing w:val="-1"/>
          <w:w w:val="105"/>
          <w:sz w:val="13"/>
        </w:rPr>
        <w:t> </w:t>
      </w:r>
      <w:r>
        <w:rPr>
          <w:w w:val="105"/>
          <w:sz w:val="13"/>
        </w:rPr>
        <w:t>to</w:t>
      </w:r>
      <w:r>
        <w:rPr>
          <w:spacing w:val="-3"/>
          <w:w w:val="105"/>
          <w:sz w:val="13"/>
        </w:rPr>
        <w:t> </w:t>
      </w:r>
      <w:r>
        <w:rPr>
          <w:w w:val="105"/>
          <w:sz w:val="13"/>
        </w:rPr>
        <w:t>a</w:t>
      </w:r>
      <w:r>
        <w:rPr>
          <w:spacing w:val="-1"/>
          <w:w w:val="105"/>
          <w:sz w:val="13"/>
        </w:rPr>
        <w:t> </w:t>
      </w:r>
      <w:r>
        <w:rPr>
          <w:w w:val="105"/>
          <w:sz w:val="13"/>
        </w:rPr>
        <w:t>limited</w:t>
      </w:r>
      <w:r>
        <w:rPr>
          <w:spacing w:val="-3"/>
          <w:w w:val="105"/>
          <w:sz w:val="13"/>
        </w:rPr>
        <w:t> </w:t>
      </w:r>
      <w:r>
        <w:rPr>
          <w:w w:val="105"/>
          <w:sz w:val="13"/>
        </w:rPr>
        <w:t>extent from</w:t>
      </w:r>
      <w:r>
        <w:rPr>
          <w:spacing w:val="-1"/>
          <w:w w:val="105"/>
          <w:sz w:val="13"/>
        </w:rPr>
        <w:t> </w:t>
      </w:r>
      <w:r>
        <w:rPr>
          <w:w w:val="105"/>
          <w:sz w:val="13"/>
        </w:rPr>
        <w:t>its receivables</w:t>
      </w:r>
      <w:r>
        <w:rPr>
          <w:spacing w:val="-2"/>
          <w:w w:val="105"/>
          <w:sz w:val="13"/>
        </w:rPr>
        <w:t> </w:t>
      </w:r>
      <w:r>
        <w:rPr>
          <w:w w:val="105"/>
          <w:sz w:val="13"/>
        </w:rPr>
        <w:t>and</w:t>
      </w:r>
      <w:r>
        <w:rPr>
          <w:spacing w:val="-1"/>
          <w:w w:val="105"/>
          <w:sz w:val="13"/>
        </w:rPr>
        <w:t> </w:t>
      </w:r>
      <w:r>
        <w:rPr>
          <w:w w:val="105"/>
          <w:sz w:val="13"/>
        </w:rPr>
        <w:t>other</w:t>
      </w:r>
      <w:r>
        <w:rPr>
          <w:spacing w:val="-1"/>
          <w:w w:val="105"/>
          <w:sz w:val="13"/>
        </w:rPr>
        <w:t> </w:t>
      </w:r>
      <w:r>
        <w:rPr>
          <w:w w:val="105"/>
          <w:sz w:val="13"/>
        </w:rPr>
        <w:t>financial assets</w:t>
      </w:r>
      <w:r>
        <w:rPr>
          <w:spacing w:val="-2"/>
          <w:w w:val="105"/>
          <w:sz w:val="13"/>
        </w:rPr>
        <w:t> </w:t>
      </w:r>
      <w:r>
        <w:rPr>
          <w:w w:val="105"/>
          <w:sz w:val="13"/>
        </w:rPr>
        <w:t>at</w:t>
      </w:r>
      <w:r>
        <w:rPr>
          <w:spacing w:val="40"/>
          <w:w w:val="105"/>
          <w:sz w:val="13"/>
        </w:rPr>
        <w:t> </w:t>
      </w:r>
      <w:r>
        <w:rPr>
          <w:w w:val="105"/>
          <w:sz w:val="13"/>
        </w:rPr>
        <w:t>amortised cost. The carrying amount of the financial assets represents the maximum credit risk exposure at the reporting date.</w:t>
      </w:r>
    </w:p>
    <w:p>
      <w:pPr>
        <w:spacing w:line="240" w:lineRule="auto" w:before="21"/>
        <w:rPr>
          <w:sz w:val="13"/>
        </w:rPr>
      </w:pPr>
    </w:p>
    <w:p>
      <w:pPr>
        <w:spacing w:line="273" w:lineRule="auto" w:before="1"/>
        <w:ind w:left="650" w:right="268" w:firstLine="0"/>
        <w:jc w:val="left"/>
        <w:rPr>
          <w:sz w:val="13"/>
        </w:rPr>
      </w:pPr>
      <w:r>
        <w:rPr>
          <w:w w:val="105"/>
          <w:sz w:val="13"/>
        </w:rPr>
        <w:t>In</w:t>
      </w:r>
      <w:r>
        <w:rPr>
          <w:spacing w:val="16"/>
          <w:w w:val="105"/>
          <w:sz w:val="13"/>
        </w:rPr>
        <w:t> </w:t>
      </w:r>
      <w:r>
        <w:rPr>
          <w:w w:val="105"/>
          <w:sz w:val="13"/>
        </w:rPr>
        <w:t>accordance</w:t>
      </w:r>
      <w:r>
        <w:rPr>
          <w:spacing w:val="16"/>
          <w:w w:val="105"/>
          <w:sz w:val="13"/>
        </w:rPr>
        <w:t> </w:t>
      </w:r>
      <w:r>
        <w:rPr>
          <w:w w:val="105"/>
          <w:sz w:val="13"/>
        </w:rPr>
        <w:t>with</w:t>
      </w:r>
      <w:r>
        <w:rPr>
          <w:spacing w:val="16"/>
          <w:w w:val="105"/>
          <w:sz w:val="13"/>
        </w:rPr>
        <w:t> </w:t>
      </w:r>
      <w:r>
        <w:rPr>
          <w:w w:val="105"/>
          <w:sz w:val="13"/>
        </w:rPr>
        <w:t>the</w:t>
      </w:r>
      <w:r>
        <w:rPr>
          <w:spacing w:val="16"/>
          <w:w w:val="105"/>
          <w:sz w:val="13"/>
        </w:rPr>
        <w:t> </w:t>
      </w:r>
      <w:r>
        <w:rPr>
          <w:w w:val="105"/>
          <w:sz w:val="13"/>
        </w:rPr>
        <w:t>Group’s</w:t>
      </w:r>
      <w:r>
        <w:rPr>
          <w:spacing w:val="17"/>
          <w:w w:val="105"/>
          <w:sz w:val="13"/>
        </w:rPr>
        <w:t> </w:t>
      </w:r>
      <w:r>
        <w:rPr>
          <w:w w:val="105"/>
          <w:sz w:val="13"/>
        </w:rPr>
        <w:t>Investment</w:t>
      </w:r>
      <w:r>
        <w:rPr>
          <w:spacing w:val="16"/>
          <w:w w:val="105"/>
          <w:sz w:val="13"/>
        </w:rPr>
        <w:t> </w:t>
      </w:r>
      <w:r>
        <w:rPr>
          <w:w w:val="105"/>
          <w:sz w:val="13"/>
        </w:rPr>
        <w:t>Policy,</w:t>
      </w:r>
      <w:r>
        <w:rPr>
          <w:spacing w:val="16"/>
          <w:w w:val="105"/>
          <w:sz w:val="13"/>
        </w:rPr>
        <w:t> </w:t>
      </w:r>
      <w:r>
        <w:rPr>
          <w:w w:val="105"/>
          <w:sz w:val="13"/>
        </w:rPr>
        <w:t>credit</w:t>
      </w:r>
      <w:r>
        <w:rPr>
          <w:spacing w:val="16"/>
          <w:w w:val="105"/>
          <w:sz w:val="13"/>
        </w:rPr>
        <w:t> </w:t>
      </w:r>
      <w:r>
        <w:rPr>
          <w:w w:val="105"/>
          <w:sz w:val="13"/>
        </w:rPr>
        <w:t>risk</w:t>
      </w:r>
      <w:r>
        <w:rPr>
          <w:spacing w:val="19"/>
          <w:w w:val="105"/>
          <w:sz w:val="13"/>
        </w:rPr>
        <w:t> </w:t>
      </w:r>
      <w:r>
        <w:rPr>
          <w:w w:val="105"/>
          <w:sz w:val="13"/>
        </w:rPr>
        <w:t>is</w:t>
      </w:r>
      <w:r>
        <w:rPr>
          <w:spacing w:val="17"/>
          <w:w w:val="105"/>
          <w:sz w:val="13"/>
        </w:rPr>
        <w:t> </w:t>
      </w:r>
      <w:r>
        <w:rPr>
          <w:w w:val="105"/>
          <w:sz w:val="13"/>
        </w:rPr>
        <w:t>minimised</w:t>
      </w:r>
      <w:r>
        <w:rPr>
          <w:spacing w:val="16"/>
          <w:w w:val="105"/>
          <w:sz w:val="13"/>
        </w:rPr>
        <w:t> </w:t>
      </w:r>
      <w:r>
        <w:rPr>
          <w:w w:val="105"/>
          <w:sz w:val="13"/>
        </w:rPr>
        <w:t>by appropriate</w:t>
      </w:r>
      <w:r>
        <w:rPr>
          <w:spacing w:val="16"/>
          <w:w w:val="105"/>
          <w:sz w:val="13"/>
        </w:rPr>
        <w:t> </w:t>
      </w:r>
      <w:r>
        <w:rPr>
          <w:w w:val="105"/>
          <w:sz w:val="13"/>
        </w:rPr>
        <w:t>diversification</w:t>
      </w:r>
      <w:r>
        <w:rPr>
          <w:spacing w:val="16"/>
          <w:w w:val="105"/>
          <w:sz w:val="13"/>
        </w:rPr>
        <w:t> </w:t>
      </w:r>
      <w:r>
        <w:rPr>
          <w:w w:val="105"/>
          <w:sz w:val="13"/>
        </w:rPr>
        <w:t>of</w:t>
      </w:r>
      <w:r>
        <w:rPr>
          <w:spacing w:val="16"/>
          <w:w w:val="105"/>
          <w:sz w:val="13"/>
        </w:rPr>
        <w:t> </w:t>
      </w:r>
      <w:r>
        <w:rPr>
          <w:w w:val="105"/>
          <w:sz w:val="13"/>
        </w:rPr>
        <w:t>investments</w:t>
      </w:r>
      <w:r>
        <w:rPr>
          <w:spacing w:val="17"/>
          <w:w w:val="105"/>
          <w:sz w:val="13"/>
        </w:rPr>
        <w:t> </w:t>
      </w:r>
      <w:r>
        <w:rPr>
          <w:w w:val="105"/>
          <w:sz w:val="13"/>
        </w:rPr>
        <w:t>gained</w:t>
      </w:r>
      <w:r>
        <w:rPr>
          <w:spacing w:val="14"/>
          <w:w w:val="105"/>
          <w:sz w:val="13"/>
        </w:rPr>
        <w:t> </w:t>
      </w:r>
      <w:r>
        <w:rPr>
          <w:w w:val="105"/>
          <w:sz w:val="13"/>
        </w:rPr>
        <w:t>through</w:t>
      </w:r>
      <w:r>
        <w:rPr>
          <w:spacing w:val="40"/>
          <w:w w:val="105"/>
          <w:sz w:val="13"/>
        </w:rPr>
        <w:t> </w:t>
      </w:r>
      <w:r>
        <w:rPr>
          <w:w w:val="105"/>
          <w:sz w:val="13"/>
        </w:rPr>
        <w:t>asset allocation, investment styles, manager and portfolio construction.</w:t>
      </w:r>
    </w:p>
    <w:p>
      <w:pPr>
        <w:spacing w:line="240" w:lineRule="auto" w:before="0"/>
        <w:rPr>
          <w:sz w:val="13"/>
        </w:rPr>
      </w:pPr>
    </w:p>
    <w:p>
      <w:pPr>
        <w:spacing w:line="240" w:lineRule="auto" w:before="95"/>
        <w:rPr>
          <w:sz w:val="13"/>
        </w:rPr>
      </w:pPr>
    </w:p>
    <w:p>
      <w:pPr>
        <w:spacing w:before="0"/>
        <w:ind w:left="651" w:right="0" w:firstLine="0"/>
        <w:jc w:val="left"/>
        <w:rPr>
          <w:b/>
          <w:sz w:val="13"/>
        </w:rPr>
      </w:pPr>
      <w:r>
        <w:rPr>
          <w:b/>
          <w:spacing w:val="-2"/>
          <w:w w:val="105"/>
          <w:sz w:val="13"/>
        </w:rPr>
        <w:t>Receivables</w:t>
      </w:r>
    </w:p>
    <w:p>
      <w:pPr>
        <w:spacing w:line="273" w:lineRule="auto" w:before="37"/>
        <w:ind w:left="651" w:right="268" w:firstLine="0"/>
        <w:jc w:val="left"/>
        <w:rPr>
          <w:sz w:val="13"/>
        </w:rPr>
      </w:pPr>
      <w:r>
        <w:rPr>
          <w:w w:val="105"/>
          <w:sz w:val="13"/>
        </w:rPr>
        <w:t>Credit risk is managed at group level subject to the Group's established policy, procedures and control relating to credit risk management.</w:t>
      </w:r>
      <w:r>
        <w:rPr>
          <w:spacing w:val="40"/>
          <w:w w:val="105"/>
          <w:sz w:val="13"/>
        </w:rPr>
        <w:t> </w:t>
      </w:r>
      <w:r>
        <w:rPr>
          <w:w w:val="105"/>
          <w:sz w:val="13"/>
        </w:rPr>
        <w:t>Credit quality</w:t>
      </w:r>
      <w:r>
        <w:rPr>
          <w:spacing w:val="-2"/>
          <w:w w:val="105"/>
          <w:sz w:val="13"/>
        </w:rPr>
        <w:t> </w:t>
      </w:r>
      <w:r>
        <w:rPr>
          <w:w w:val="105"/>
          <w:sz w:val="13"/>
        </w:rPr>
        <w:t>of a customer is assessed based on individual credit limits. Outstanding receivables are regularly</w:t>
      </w:r>
      <w:r>
        <w:rPr>
          <w:spacing w:val="-2"/>
          <w:w w:val="105"/>
          <w:sz w:val="13"/>
        </w:rPr>
        <w:t> </w:t>
      </w:r>
      <w:r>
        <w:rPr>
          <w:w w:val="105"/>
          <w:sz w:val="13"/>
        </w:rPr>
        <w:t>monitored.</w:t>
      </w:r>
    </w:p>
    <w:p>
      <w:pPr>
        <w:spacing w:line="240" w:lineRule="auto" w:before="0"/>
        <w:rPr>
          <w:sz w:val="13"/>
        </w:rPr>
      </w:pPr>
    </w:p>
    <w:p>
      <w:pPr>
        <w:spacing w:line="240" w:lineRule="auto" w:before="15"/>
        <w:rPr>
          <w:sz w:val="13"/>
        </w:rPr>
      </w:pPr>
    </w:p>
    <w:p>
      <w:pPr>
        <w:spacing w:line="273" w:lineRule="auto" w:before="0"/>
        <w:ind w:left="651" w:right="290" w:firstLine="0"/>
        <w:jc w:val="both"/>
        <w:rPr>
          <w:sz w:val="13"/>
        </w:rPr>
      </w:pPr>
      <w:r>
        <w:rPr>
          <w:w w:val="105"/>
          <w:sz w:val="13"/>
        </w:rPr>
        <w:t>An</w:t>
      </w:r>
      <w:r>
        <w:rPr>
          <w:spacing w:val="-1"/>
          <w:w w:val="105"/>
          <w:sz w:val="13"/>
        </w:rPr>
        <w:t> </w:t>
      </w:r>
      <w:r>
        <w:rPr>
          <w:w w:val="105"/>
          <w:sz w:val="13"/>
        </w:rPr>
        <w:t>impairment analysis is</w:t>
      </w:r>
      <w:r>
        <w:rPr>
          <w:spacing w:val="-2"/>
          <w:w w:val="105"/>
          <w:sz w:val="13"/>
        </w:rPr>
        <w:t> </w:t>
      </w:r>
      <w:r>
        <w:rPr>
          <w:w w:val="105"/>
          <w:sz w:val="13"/>
        </w:rPr>
        <w:t>performed</w:t>
      </w:r>
      <w:r>
        <w:rPr>
          <w:spacing w:val="-1"/>
          <w:w w:val="105"/>
          <w:sz w:val="13"/>
        </w:rPr>
        <w:t> </w:t>
      </w:r>
      <w:r>
        <w:rPr>
          <w:w w:val="105"/>
          <w:sz w:val="13"/>
        </w:rPr>
        <w:t>at</w:t>
      </w:r>
      <w:r>
        <w:rPr>
          <w:spacing w:val="-2"/>
          <w:w w:val="105"/>
          <w:sz w:val="13"/>
        </w:rPr>
        <w:t> </w:t>
      </w:r>
      <w:r>
        <w:rPr>
          <w:w w:val="105"/>
          <w:sz w:val="13"/>
        </w:rPr>
        <w:t>each</w:t>
      </w:r>
      <w:r>
        <w:rPr>
          <w:spacing w:val="-1"/>
          <w:w w:val="105"/>
          <w:sz w:val="13"/>
        </w:rPr>
        <w:t> </w:t>
      </w:r>
      <w:r>
        <w:rPr>
          <w:w w:val="105"/>
          <w:sz w:val="13"/>
        </w:rPr>
        <w:t>reporting</w:t>
      </w:r>
      <w:r>
        <w:rPr>
          <w:spacing w:val="-3"/>
          <w:w w:val="105"/>
          <w:sz w:val="13"/>
        </w:rPr>
        <w:t> </w:t>
      </w:r>
      <w:r>
        <w:rPr>
          <w:w w:val="105"/>
          <w:sz w:val="13"/>
        </w:rPr>
        <w:t>date</w:t>
      </w:r>
      <w:r>
        <w:rPr>
          <w:spacing w:val="-1"/>
          <w:w w:val="105"/>
          <w:sz w:val="13"/>
        </w:rPr>
        <w:t> </w:t>
      </w:r>
      <w:r>
        <w:rPr>
          <w:w w:val="105"/>
          <w:sz w:val="13"/>
        </w:rPr>
        <w:t>using</w:t>
      </w:r>
      <w:r>
        <w:rPr>
          <w:spacing w:val="-3"/>
          <w:w w:val="105"/>
          <w:sz w:val="13"/>
        </w:rPr>
        <w:t> </w:t>
      </w:r>
      <w:r>
        <w:rPr>
          <w:w w:val="105"/>
          <w:sz w:val="13"/>
        </w:rPr>
        <w:t>a</w:t>
      </w:r>
      <w:r>
        <w:rPr>
          <w:spacing w:val="-1"/>
          <w:w w:val="105"/>
          <w:sz w:val="13"/>
        </w:rPr>
        <w:t> </w:t>
      </w:r>
      <w:r>
        <w:rPr>
          <w:w w:val="105"/>
          <w:sz w:val="13"/>
        </w:rPr>
        <w:t>provision</w:t>
      </w:r>
      <w:r>
        <w:rPr>
          <w:spacing w:val="-3"/>
          <w:w w:val="105"/>
          <w:sz w:val="13"/>
        </w:rPr>
        <w:t> </w:t>
      </w:r>
      <w:r>
        <w:rPr>
          <w:w w:val="105"/>
          <w:sz w:val="13"/>
        </w:rPr>
        <w:t>matrix</w:t>
      </w:r>
      <w:r>
        <w:rPr>
          <w:spacing w:val="-2"/>
          <w:w w:val="105"/>
          <w:sz w:val="13"/>
        </w:rPr>
        <w:t> </w:t>
      </w:r>
      <w:r>
        <w:rPr>
          <w:w w:val="105"/>
          <w:sz w:val="13"/>
        </w:rPr>
        <w:t>to</w:t>
      </w:r>
      <w:r>
        <w:rPr>
          <w:spacing w:val="-3"/>
          <w:w w:val="105"/>
          <w:sz w:val="13"/>
        </w:rPr>
        <w:t> </w:t>
      </w:r>
      <w:r>
        <w:rPr>
          <w:w w:val="105"/>
          <w:sz w:val="13"/>
        </w:rPr>
        <w:t>measure</w:t>
      </w:r>
      <w:r>
        <w:rPr>
          <w:spacing w:val="-1"/>
          <w:w w:val="105"/>
          <w:sz w:val="13"/>
        </w:rPr>
        <w:t> </w:t>
      </w:r>
      <w:r>
        <w:rPr>
          <w:w w:val="105"/>
          <w:sz w:val="13"/>
        </w:rPr>
        <w:t>expected</w:t>
      </w:r>
      <w:r>
        <w:rPr>
          <w:spacing w:val="-3"/>
          <w:w w:val="105"/>
          <w:sz w:val="13"/>
        </w:rPr>
        <w:t> </w:t>
      </w:r>
      <w:r>
        <w:rPr>
          <w:w w:val="105"/>
          <w:sz w:val="13"/>
        </w:rPr>
        <w:t>credit losses.</w:t>
      </w:r>
      <w:r>
        <w:rPr>
          <w:spacing w:val="-2"/>
          <w:w w:val="105"/>
          <w:sz w:val="13"/>
        </w:rPr>
        <w:t> </w:t>
      </w:r>
      <w:r>
        <w:rPr>
          <w:w w:val="105"/>
          <w:sz w:val="13"/>
        </w:rPr>
        <w:t>The</w:t>
      </w:r>
      <w:r>
        <w:rPr>
          <w:spacing w:val="-1"/>
          <w:w w:val="105"/>
          <w:sz w:val="13"/>
        </w:rPr>
        <w:t> </w:t>
      </w:r>
      <w:r>
        <w:rPr>
          <w:w w:val="105"/>
          <w:sz w:val="13"/>
        </w:rPr>
        <w:t>provision</w:t>
      </w:r>
      <w:r>
        <w:rPr>
          <w:spacing w:val="-3"/>
          <w:w w:val="105"/>
          <w:sz w:val="13"/>
        </w:rPr>
        <w:t> </w:t>
      </w:r>
      <w:r>
        <w:rPr>
          <w:w w:val="105"/>
          <w:sz w:val="13"/>
        </w:rPr>
        <w:t>rates</w:t>
      </w:r>
      <w:r>
        <w:rPr>
          <w:spacing w:val="40"/>
          <w:w w:val="105"/>
          <w:sz w:val="13"/>
        </w:rPr>
        <w:t> </w:t>
      </w:r>
      <w:r>
        <w:rPr>
          <w:w w:val="105"/>
          <w:sz w:val="13"/>
        </w:rPr>
        <w:t>are based on days past due for groupings of various customer segments with similar loss patterns (i.e., by geographical region, product</w:t>
      </w:r>
      <w:r>
        <w:rPr>
          <w:spacing w:val="40"/>
          <w:w w:val="105"/>
          <w:sz w:val="13"/>
        </w:rPr>
        <w:t> </w:t>
      </w:r>
      <w:r>
        <w:rPr>
          <w:w w:val="105"/>
          <w:sz w:val="13"/>
        </w:rPr>
        <w:t>type, customer type and rating). The calculation reflects the probability-weighted outcome, the time value of</w:t>
      </w:r>
      <w:r>
        <w:rPr>
          <w:w w:val="105"/>
          <w:sz w:val="13"/>
        </w:rPr>
        <w:t> money and reasonable and</w:t>
      </w:r>
      <w:r>
        <w:rPr>
          <w:spacing w:val="40"/>
          <w:w w:val="105"/>
          <w:sz w:val="13"/>
        </w:rPr>
        <w:t> </w:t>
      </w:r>
      <w:r>
        <w:rPr>
          <w:w w:val="105"/>
          <w:sz w:val="13"/>
        </w:rPr>
        <w:t>supportable</w:t>
      </w:r>
      <w:r>
        <w:rPr>
          <w:w w:val="105"/>
          <w:sz w:val="13"/>
        </w:rPr>
        <w:t> information</w:t>
      </w:r>
      <w:r>
        <w:rPr>
          <w:w w:val="105"/>
          <w:sz w:val="13"/>
        </w:rPr>
        <w:t> that</w:t>
      </w:r>
      <w:r>
        <w:rPr>
          <w:w w:val="105"/>
          <w:sz w:val="13"/>
        </w:rPr>
        <w:t> is</w:t>
      </w:r>
      <w:r>
        <w:rPr>
          <w:w w:val="105"/>
          <w:sz w:val="13"/>
        </w:rPr>
        <w:t> available</w:t>
      </w:r>
      <w:r>
        <w:rPr>
          <w:w w:val="105"/>
          <w:sz w:val="13"/>
        </w:rPr>
        <w:t> at</w:t>
      </w:r>
      <w:r>
        <w:rPr>
          <w:w w:val="105"/>
          <w:sz w:val="13"/>
        </w:rPr>
        <w:t> the</w:t>
      </w:r>
      <w:r>
        <w:rPr>
          <w:w w:val="105"/>
          <w:sz w:val="13"/>
        </w:rPr>
        <w:t> reporting</w:t>
      </w:r>
      <w:r>
        <w:rPr>
          <w:w w:val="105"/>
          <w:sz w:val="13"/>
        </w:rPr>
        <w:t> date</w:t>
      </w:r>
      <w:r>
        <w:rPr>
          <w:w w:val="105"/>
          <w:sz w:val="13"/>
        </w:rPr>
        <w:t> about</w:t>
      </w:r>
      <w:r>
        <w:rPr>
          <w:w w:val="105"/>
          <w:sz w:val="13"/>
        </w:rPr>
        <w:t> past</w:t>
      </w:r>
      <w:r>
        <w:rPr>
          <w:w w:val="105"/>
          <w:sz w:val="13"/>
        </w:rPr>
        <w:t> events,</w:t>
      </w:r>
      <w:r>
        <w:rPr>
          <w:w w:val="105"/>
          <w:sz w:val="13"/>
        </w:rPr>
        <w:t> current</w:t>
      </w:r>
      <w:r>
        <w:rPr>
          <w:w w:val="105"/>
          <w:sz w:val="13"/>
        </w:rPr>
        <w:t> conditions</w:t>
      </w:r>
      <w:r>
        <w:rPr>
          <w:w w:val="105"/>
          <w:sz w:val="13"/>
        </w:rPr>
        <w:t> and</w:t>
      </w:r>
      <w:r>
        <w:rPr>
          <w:w w:val="105"/>
          <w:sz w:val="13"/>
        </w:rPr>
        <w:t> forecasts</w:t>
      </w:r>
      <w:r>
        <w:rPr>
          <w:w w:val="105"/>
          <w:sz w:val="13"/>
        </w:rPr>
        <w:t> of</w:t>
      </w:r>
      <w:r>
        <w:rPr>
          <w:w w:val="105"/>
          <w:sz w:val="13"/>
        </w:rPr>
        <w:t> future</w:t>
      </w:r>
      <w:r>
        <w:rPr>
          <w:w w:val="105"/>
          <w:sz w:val="13"/>
        </w:rPr>
        <w:t> economic</w:t>
      </w:r>
      <w:r>
        <w:rPr>
          <w:spacing w:val="40"/>
          <w:w w:val="105"/>
          <w:sz w:val="13"/>
        </w:rPr>
        <w:t> </w:t>
      </w:r>
      <w:r>
        <w:rPr>
          <w:w w:val="105"/>
          <w:sz w:val="13"/>
        </w:rPr>
        <w:t>conditions.</w:t>
      </w:r>
      <w:r>
        <w:rPr>
          <w:spacing w:val="-1"/>
          <w:w w:val="105"/>
          <w:sz w:val="13"/>
        </w:rPr>
        <w:t> </w:t>
      </w:r>
      <w:r>
        <w:rPr>
          <w:w w:val="105"/>
          <w:sz w:val="13"/>
        </w:rPr>
        <w:t>Generally,</w:t>
      </w:r>
      <w:r>
        <w:rPr>
          <w:spacing w:val="-1"/>
          <w:w w:val="105"/>
          <w:sz w:val="13"/>
        </w:rPr>
        <w:t> </w:t>
      </w:r>
      <w:r>
        <w:rPr>
          <w:w w:val="105"/>
          <w:sz w:val="13"/>
        </w:rPr>
        <w:t>trade</w:t>
      </w:r>
      <w:r>
        <w:rPr>
          <w:spacing w:val="-2"/>
          <w:w w:val="105"/>
          <w:sz w:val="13"/>
        </w:rPr>
        <w:t> </w:t>
      </w:r>
      <w:r>
        <w:rPr>
          <w:w w:val="105"/>
          <w:sz w:val="13"/>
        </w:rPr>
        <w:t>receivables are</w:t>
      </w:r>
      <w:r>
        <w:rPr>
          <w:spacing w:val="-2"/>
          <w:w w:val="105"/>
          <w:sz w:val="13"/>
        </w:rPr>
        <w:t> </w:t>
      </w:r>
      <w:r>
        <w:rPr>
          <w:w w:val="105"/>
          <w:sz w:val="13"/>
        </w:rPr>
        <w:t>written</w:t>
      </w:r>
      <w:r>
        <w:rPr>
          <w:spacing w:val="-2"/>
          <w:w w:val="105"/>
          <w:sz w:val="13"/>
        </w:rPr>
        <w:t> </w:t>
      </w:r>
      <w:r>
        <w:rPr>
          <w:w w:val="105"/>
          <w:sz w:val="13"/>
        </w:rPr>
        <w:t>off if past</w:t>
      </w:r>
      <w:r>
        <w:rPr>
          <w:spacing w:val="-1"/>
          <w:w w:val="105"/>
          <w:sz w:val="13"/>
        </w:rPr>
        <w:t> </w:t>
      </w:r>
      <w:r>
        <w:rPr>
          <w:w w:val="105"/>
          <w:sz w:val="13"/>
        </w:rPr>
        <w:t>due</w:t>
      </w:r>
      <w:r>
        <w:rPr>
          <w:spacing w:val="-2"/>
          <w:w w:val="105"/>
          <w:sz w:val="13"/>
        </w:rPr>
        <w:t> </w:t>
      </w:r>
      <w:r>
        <w:rPr>
          <w:w w:val="105"/>
          <w:sz w:val="13"/>
        </w:rPr>
        <w:t>for more</w:t>
      </w:r>
      <w:r>
        <w:rPr>
          <w:spacing w:val="-2"/>
          <w:w w:val="105"/>
          <w:sz w:val="13"/>
        </w:rPr>
        <w:t> </w:t>
      </w:r>
      <w:r>
        <w:rPr>
          <w:w w:val="105"/>
          <w:sz w:val="13"/>
        </w:rPr>
        <w:t>than</w:t>
      </w:r>
      <w:r>
        <w:rPr>
          <w:spacing w:val="-2"/>
          <w:w w:val="105"/>
          <w:sz w:val="13"/>
        </w:rPr>
        <w:t> </w:t>
      </w:r>
      <w:r>
        <w:rPr>
          <w:w w:val="105"/>
          <w:sz w:val="13"/>
        </w:rPr>
        <w:t>one</w:t>
      </w:r>
      <w:r>
        <w:rPr>
          <w:spacing w:val="-2"/>
          <w:w w:val="105"/>
          <w:sz w:val="13"/>
        </w:rPr>
        <w:t> </w:t>
      </w:r>
      <w:r>
        <w:rPr>
          <w:w w:val="105"/>
          <w:sz w:val="13"/>
        </w:rPr>
        <w:t>year not</w:t>
      </w:r>
      <w:r>
        <w:rPr>
          <w:spacing w:val="-1"/>
          <w:w w:val="105"/>
          <w:sz w:val="13"/>
        </w:rPr>
        <w:t> </w:t>
      </w:r>
      <w:r>
        <w:rPr>
          <w:w w:val="105"/>
          <w:sz w:val="13"/>
        </w:rPr>
        <w:t>subject</w:t>
      </w:r>
      <w:r>
        <w:rPr>
          <w:spacing w:val="-3"/>
          <w:w w:val="105"/>
          <w:sz w:val="13"/>
        </w:rPr>
        <w:t> </w:t>
      </w:r>
      <w:r>
        <w:rPr>
          <w:w w:val="105"/>
          <w:sz w:val="13"/>
        </w:rPr>
        <w:t>to</w:t>
      </w:r>
      <w:r>
        <w:rPr>
          <w:spacing w:val="-2"/>
          <w:w w:val="105"/>
          <w:sz w:val="13"/>
        </w:rPr>
        <w:t> </w:t>
      </w:r>
      <w:r>
        <w:rPr>
          <w:w w:val="105"/>
          <w:sz w:val="13"/>
        </w:rPr>
        <w:t>enforcement</w:t>
      </w:r>
      <w:r>
        <w:rPr>
          <w:spacing w:val="-3"/>
          <w:w w:val="105"/>
          <w:sz w:val="13"/>
        </w:rPr>
        <w:t> </w:t>
      </w:r>
      <w:r>
        <w:rPr>
          <w:w w:val="105"/>
          <w:sz w:val="13"/>
        </w:rPr>
        <w:t>activity.</w:t>
      </w:r>
      <w:r>
        <w:rPr>
          <w:spacing w:val="-1"/>
          <w:w w:val="105"/>
          <w:sz w:val="13"/>
        </w:rPr>
        <w:t> </w:t>
      </w:r>
      <w:r>
        <w:rPr>
          <w:w w:val="105"/>
          <w:sz w:val="13"/>
        </w:rPr>
        <w:t>The</w:t>
      </w:r>
      <w:r>
        <w:rPr>
          <w:spacing w:val="-4"/>
          <w:w w:val="105"/>
          <w:sz w:val="13"/>
        </w:rPr>
        <w:t> </w:t>
      </w:r>
      <w:r>
        <w:rPr>
          <w:w w:val="105"/>
          <w:sz w:val="13"/>
        </w:rPr>
        <w:t>maximum</w:t>
      </w:r>
      <w:r>
        <w:rPr>
          <w:spacing w:val="40"/>
          <w:w w:val="105"/>
          <w:sz w:val="13"/>
        </w:rPr>
        <w:t> </w:t>
      </w:r>
      <w:r>
        <w:rPr>
          <w:w w:val="105"/>
          <w:sz w:val="13"/>
        </w:rPr>
        <w:t>exposure to credit risk at the reporting date is the carrying value of each class of financial assets disclosed in the notes above.</w:t>
      </w:r>
    </w:p>
    <w:p>
      <w:pPr>
        <w:spacing w:line="240" w:lineRule="auto" w:before="132"/>
        <w:rPr>
          <w:sz w:val="13"/>
        </w:rPr>
      </w:pPr>
    </w:p>
    <w:p>
      <w:pPr>
        <w:spacing w:line="273" w:lineRule="auto" w:before="1"/>
        <w:ind w:left="651" w:right="268" w:firstLine="0"/>
        <w:jc w:val="left"/>
        <w:rPr>
          <w:sz w:val="13"/>
        </w:rPr>
      </w:pPr>
      <w:r>
        <w:rPr>
          <w:w w:val="105"/>
          <w:sz w:val="13"/>
        </w:rPr>
        <w:t>The Group evaluates the concentration of risk with respect to trade receivables as low, as its customers are located</w:t>
      </w:r>
      <w:r>
        <w:rPr>
          <w:spacing w:val="-1"/>
          <w:w w:val="105"/>
          <w:sz w:val="13"/>
        </w:rPr>
        <w:t> </w:t>
      </w:r>
      <w:r>
        <w:rPr>
          <w:w w:val="105"/>
          <w:sz w:val="13"/>
        </w:rPr>
        <w:t>in several jurisdictions</w:t>
      </w:r>
      <w:r>
        <w:rPr>
          <w:spacing w:val="40"/>
          <w:w w:val="105"/>
          <w:sz w:val="13"/>
        </w:rPr>
        <w:t> </w:t>
      </w:r>
      <w:r>
        <w:rPr>
          <w:w w:val="105"/>
          <w:sz w:val="13"/>
        </w:rPr>
        <w:t>and industries and operate in largely independent markets.</w:t>
      </w:r>
    </w:p>
    <w:p>
      <w:pPr>
        <w:spacing w:before="128"/>
        <w:ind w:left="651" w:right="0" w:firstLine="0"/>
        <w:jc w:val="left"/>
        <w:rPr>
          <w:b/>
          <w:sz w:val="13"/>
        </w:rPr>
      </w:pPr>
      <w:r>
        <w:rPr>
          <w:b/>
          <w:w w:val="105"/>
          <w:sz w:val="13"/>
        </w:rPr>
        <w:t>Consolidated</w:t>
      </w:r>
      <w:r>
        <w:rPr>
          <w:b/>
          <w:spacing w:val="-8"/>
          <w:w w:val="105"/>
          <w:sz w:val="13"/>
        </w:rPr>
        <w:t> </w:t>
      </w:r>
      <w:r>
        <w:rPr>
          <w:b/>
          <w:w w:val="105"/>
          <w:sz w:val="13"/>
        </w:rPr>
        <w:t>31</w:t>
      </w:r>
      <w:r>
        <w:rPr>
          <w:b/>
          <w:spacing w:val="-8"/>
          <w:w w:val="105"/>
          <w:sz w:val="13"/>
        </w:rPr>
        <w:t> </w:t>
      </w:r>
      <w:r>
        <w:rPr>
          <w:b/>
          <w:w w:val="105"/>
          <w:sz w:val="13"/>
        </w:rPr>
        <w:t>December</w:t>
      </w:r>
      <w:r>
        <w:rPr>
          <w:b/>
          <w:spacing w:val="-7"/>
          <w:w w:val="105"/>
          <w:sz w:val="13"/>
        </w:rPr>
        <w:t> </w:t>
      </w:r>
      <w:r>
        <w:rPr>
          <w:b/>
          <w:spacing w:val="-4"/>
          <w:w w:val="105"/>
          <w:sz w:val="13"/>
        </w:rPr>
        <w:t>2020</w:t>
      </w:r>
    </w:p>
    <w:p>
      <w:pPr>
        <w:spacing w:before="10" w:after="24"/>
        <w:ind w:left="5817" w:right="0" w:firstLine="0"/>
        <w:jc w:val="left"/>
        <w:rPr>
          <w:b/>
          <w:sz w:val="13"/>
        </w:rPr>
      </w:pPr>
      <w:r>
        <w:rPr>
          <w:b/>
          <w:w w:val="105"/>
          <w:sz w:val="13"/>
        </w:rPr>
        <w:t>Day</w:t>
      </w:r>
      <w:r>
        <w:rPr>
          <w:b/>
          <w:spacing w:val="-5"/>
          <w:w w:val="105"/>
          <w:sz w:val="13"/>
        </w:rPr>
        <w:t> </w:t>
      </w:r>
      <w:r>
        <w:rPr>
          <w:b/>
          <w:w w:val="105"/>
          <w:sz w:val="13"/>
        </w:rPr>
        <w:t>past</w:t>
      </w:r>
      <w:r>
        <w:rPr>
          <w:b/>
          <w:spacing w:val="-3"/>
          <w:w w:val="105"/>
          <w:sz w:val="13"/>
        </w:rPr>
        <w:t> </w:t>
      </w:r>
      <w:r>
        <w:rPr>
          <w:b/>
          <w:spacing w:val="-5"/>
          <w:w w:val="105"/>
          <w:sz w:val="13"/>
        </w:rPr>
        <w:t>due</w:t>
      </w:r>
    </w:p>
    <w:tbl>
      <w:tblPr>
        <w:tblW w:w="0" w:type="auto"/>
        <w:jc w:val="left"/>
        <w:tblInd w:w="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860"/>
        <w:gridCol w:w="879"/>
        <w:gridCol w:w="932"/>
        <w:gridCol w:w="941"/>
        <w:gridCol w:w="1001"/>
        <w:gridCol w:w="899"/>
        <w:gridCol w:w="950"/>
      </w:tblGrid>
      <w:tr>
        <w:trPr>
          <w:trHeight w:val="323" w:hRule="atLeast"/>
        </w:trPr>
        <w:tc>
          <w:tcPr>
            <w:tcW w:w="2860" w:type="dxa"/>
          </w:tcPr>
          <w:p>
            <w:pPr>
              <w:pStyle w:val="TableParagraph"/>
              <w:rPr>
                <w:rFonts w:ascii="Times New Roman"/>
                <w:sz w:val="12"/>
              </w:rPr>
            </w:pPr>
          </w:p>
        </w:tc>
        <w:tc>
          <w:tcPr>
            <w:tcW w:w="879" w:type="dxa"/>
            <w:tcBorders>
              <w:bottom w:val="single" w:sz="6" w:space="0" w:color="000000"/>
            </w:tcBorders>
          </w:tcPr>
          <w:p>
            <w:pPr>
              <w:pStyle w:val="TableParagraph"/>
              <w:spacing w:line="142" w:lineRule="exact"/>
              <w:ind w:left="197"/>
              <w:rPr>
                <w:b/>
                <w:sz w:val="13"/>
              </w:rPr>
            </w:pPr>
            <w:r>
              <w:rPr>
                <w:b/>
                <w:spacing w:val="-2"/>
                <w:w w:val="105"/>
                <w:sz w:val="13"/>
              </w:rPr>
              <w:t>Current</w:t>
            </w:r>
          </w:p>
          <w:p>
            <w:pPr>
              <w:pStyle w:val="TableParagraph"/>
              <w:spacing w:line="145" w:lineRule="exact" w:before="19"/>
              <w:ind w:left="279"/>
              <w:rPr>
                <w:b/>
                <w:sz w:val="13"/>
              </w:rPr>
            </w:pPr>
            <w:r>
              <w:rPr>
                <w:b/>
                <w:spacing w:val="-2"/>
                <w:w w:val="105"/>
                <w:sz w:val="13"/>
              </w:rPr>
              <w:t>$'000</w:t>
            </w:r>
          </w:p>
        </w:tc>
        <w:tc>
          <w:tcPr>
            <w:tcW w:w="932" w:type="dxa"/>
            <w:tcBorders>
              <w:top w:val="single" w:sz="6" w:space="0" w:color="000000"/>
              <w:bottom w:val="single" w:sz="6" w:space="0" w:color="000000"/>
            </w:tcBorders>
          </w:tcPr>
          <w:p>
            <w:pPr>
              <w:pStyle w:val="TableParagraph"/>
              <w:spacing w:before="5"/>
              <w:ind w:right="48"/>
              <w:jc w:val="center"/>
              <w:rPr>
                <w:b/>
                <w:sz w:val="13"/>
              </w:rPr>
            </w:pPr>
            <w:r>
              <w:rPr>
                <w:b/>
                <w:w w:val="105"/>
                <w:sz w:val="13"/>
              </w:rPr>
              <w:t>&lt;</w:t>
            </w:r>
            <w:r>
              <w:rPr>
                <w:b/>
                <w:spacing w:val="-2"/>
                <w:w w:val="105"/>
                <w:sz w:val="13"/>
              </w:rPr>
              <w:t> </w:t>
            </w:r>
            <w:r>
              <w:rPr>
                <w:b/>
                <w:w w:val="105"/>
                <w:sz w:val="13"/>
              </w:rPr>
              <w:t>30</w:t>
            </w:r>
            <w:r>
              <w:rPr>
                <w:b/>
                <w:spacing w:val="-3"/>
                <w:w w:val="105"/>
                <w:sz w:val="13"/>
              </w:rPr>
              <w:t> </w:t>
            </w:r>
            <w:r>
              <w:rPr>
                <w:b/>
                <w:spacing w:val="-4"/>
                <w:w w:val="105"/>
                <w:sz w:val="13"/>
              </w:rPr>
              <w:t>days</w:t>
            </w:r>
          </w:p>
          <w:p>
            <w:pPr>
              <w:pStyle w:val="TableParagraph"/>
              <w:spacing w:line="145" w:lineRule="exact" w:before="6"/>
              <w:ind w:left="11" w:right="48"/>
              <w:jc w:val="center"/>
              <w:rPr>
                <w:b/>
                <w:sz w:val="13"/>
              </w:rPr>
            </w:pPr>
            <w:r>
              <w:rPr>
                <w:b/>
                <w:spacing w:val="-2"/>
                <w:w w:val="105"/>
                <w:sz w:val="13"/>
              </w:rPr>
              <w:t>$'000</w:t>
            </w:r>
          </w:p>
        </w:tc>
        <w:tc>
          <w:tcPr>
            <w:tcW w:w="941" w:type="dxa"/>
            <w:tcBorders>
              <w:top w:val="single" w:sz="6" w:space="0" w:color="000000"/>
              <w:bottom w:val="single" w:sz="6" w:space="0" w:color="000000"/>
            </w:tcBorders>
          </w:tcPr>
          <w:p>
            <w:pPr>
              <w:pStyle w:val="TableParagraph"/>
              <w:spacing w:before="5"/>
              <w:ind w:right="92"/>
              <w:jc w:val="center"/>
              <w:rPr>
                <w:b/>
                <w:sz w:val="13"/>
              </w:rPr>
            </w:pPr>
            <w:r>
              <w:rPr>
                <w:b/>
                <w:w w:val="105"/>
                <w:sz w:val="13"/>
              </w:rPr>
              <w:t>31-90</w:t>
            </w:r>
            <w:r>
              <w:rPr>
                <w:b/>
                <w:spacing w:val="-8"/>
                <w:w w:val="105"/>
                <w:sz w:val="13"/>
              </w:rPr>
              <w:t> </w:t>
            </w:r>
            <w:r>
              <w:rPr>
                <w:b/>
                <w:spacing w:val="-4"/>
                <w:w w:val="105"/>
                <w:sz w:val="13"/>
              </w:rPr>
              <w:t>days</w:t>
            </w:r>
          </w:p>
          <w:p>
            <w:pPr>
              <w:pStyle w:val="TableParagraph"/>
              <w:spacing w:line="145" w:lineRule="exact" w:before="6"/>
              <w:ind w:left="11" w:right="92"/>
              <w:jc w:val="center"/>
              <w:rPr>
                <w:b/>
                <w:sz w:val="13"/>
              </w:rPr>
            </w:pPr>
            <w:r>
              <w:rPr>
                <w:b/>
                <w:spacing w:val="-2"/>
                <w:w w:val="105"/>
                <w:sz w:val="13"/>
              </w:rPr>
              <w:t>$'000</w:t>
            </w:r>
          </w:p>
        </w:tc>
        <w:tc>
          <w:tcPr>
            <w:tcW w:w="1001" w:type="dxa"/>
            <w:tcBorders>
              <w:top w:val="single" w:sz="6" w:space="0" w:color="000000"/>
              <w:bottom w:val="single" w:sz="6" w:space="0" w:color="000000"/>
            </w:tcBorders>
          </w:tcPr>
          <w:p>
            <w:pPr>
              <w:pStyle w:val="TableParagraph"/>
              <w:spacing w:before="5"/>
              <w:ind w:right="94"/>
              <w:jc w:val="center"/>
              <w:rPr>
                <w:b/>
                <w:sz w:val="13"/>
              </w:rPr>
            </w:pPr>
            <w:r>
              <w:rPr>
                <w:b/>
                <w:spacing w:val="-2"/>
                <w:w w:val="105"/>
                <w:sz w:val="13"/>
              </w:rPr>
              <w:t>91-120</w:t>
            </w:r>
            <w:r>
              <w:rPr>
                <w:b/>
                <w:spacing w:val="2"/>
                <w:w w:val="105"/>
                <w:sz w:val="13"/>
              </w:rPr>
              <w:t> </w:t>
            </w:r>
            <w:r>
              <w:rPr>
                <w:b/>
                <w:spacing w:val="-4"/>
                <w:w w:val="105"/>
                <w:sz w:val="13"/>
              </w:rPr>
              <w:t>days</w:t>
            </w:r>
          </w:p>
          <w:p>
            <w:pPr>
              <w:pStyle w:val="TableParagraph"/>
              <w:spacing w:line="145" w:lineRule="exact" w:before="6"/>
              <w:ind w:left="11" w:right="94"/>
              <w:jc w:val="center"/>
              <w:rPr>
                <w:b/>
                <w:sz w:val="13"/>
              </w:rPr>
            </w:pPr>
            <w:r>
              <w:rPr>
                <w:b/>
                <w:spacing w:val="-2"/>
                <w:w w:val="105"/>
                <w:sz w:val="13"/>
              </w:rPr>
              <w:t>$'000</w:t>
            </w:r>
          </w:p>
        </w:tc>
        <w:tc>
          <w:tcPr>
            <w:tcW w:w="899" w:type="dxa"/>
            <w:tcBorders>
              <w:top w:val="single" w:sz="6" w:space="0" w:color="000000"/>
              <w:bottom w:val="single" w:sz="6" w:space="0" w:color="000000"/>
            </w:tcBorders>
          </w:tcPr>
          <w:p>
            <w:pPr>
              <w:pStyle w:val="TableParagraph"/>
              <w:spacing w:before="5"/>
              <w:ind w:right="50"/>
              <w:jc w:val="center"/>
              <w:rPr>
                <w:b/>
                <w:sz w:val="13"/>
              </w:rPr>
            </w:pPr>
            <w:r>
              <w:rPr>
                <w:b/>
                <w:w w:val="105"/>
                <w:sz w:val="13"/>
              </w:rPr>
              <w:t>&gt;</w:t>
            </w:r>
            <w:r>
              <w:rPr>
                <w:b/>
                <w:spacing w:val="-3"/>
                <w:w w:val="105"/>
                <w:sz w:val="13"/>
              </w:rPr>
              <w:t> </w:t>
            </w:r>
            <w:r>
              <w:rPr>
                <w:b/>
                <w:w w:val="105"/>
                <w:sz w:val="13"/>
              </w:rPr>
              <w:t>120</w:t>
            </w:r>
            <w:r>
              <w:rPr>
                <w:b/>
                <w:spacing w:val="-4"/>
                <w:w w:val="105"/>
                <w:sz w:val="13"/>
              </w:rPr>
              <w:t> days</w:t>
            </w:r>
          </w:p>
          <w:p>
            <w:pPr>
              <w:pStyle w:val="TableParagraph"/>
              <w:spacing w:line="145" w:lineRule="exact" w:before="6"/>
              <w:ind w:right="39"/>
              <w:jc w:val="center"/>
              <w:rPr>
                <w:b/>
                <w:sz w:val="13"/>
              </w:rPr>
            </w:pPr>
            <w:r>
              <w:rPr>
                <w:b/>
                <w:spacing w:val="-2"/>
                <w:w w:val="105"/>
                <w:sz w:val="13"/>
              </w:rPr>
              <w:t>$'000</w:t>
            </w:r>
          </w:p>
        </w:tc>
        <w:tc>
          <w:tcPr>
            <w:tcW w:w="950" w:type="dxa"/>
            <w:tcBorders>
              <w:bottom w:val="single" w:sz="6" w:space="0" w:color="000000"/>
            </w:tcBorders>
          </w:tcPr>
          <w:p>
            <w:pPr>
              <w:pStyle w:val="TableParagraph"/>
              <w:spacing w:line="142" w:lineRule="exact"/>
              <w:ind w:left="310"/>
              <w:rPr>
                <w:b/>
                <w:sz w:val="13"/>
              </w:rPr>
            </w:pPr>
            <w:r>
              <w:rPr>
                <w:b/>
                <w:spacing w:val="-2"/>
                <w:w w:val="105"/>
                <w:sz w:val="13"/>
              </w:rPr>
              <w:t>Total</w:t>
            </w:r>
          </w:p>
          <w:p>
            <w:pPr>
              <w:pStyle w:val="TableParagraph"/>
              <w:spacing w:line="145" w:lineRule="exact" w:before="19"/>
              <w:ind w:left="312"/>
              <w:rPr>
                <w:b/>
                <w:sz w:val="13"/>
              </w:rPr>
            </w:pPr>
            <w:r>
              <w:rPr>
                <w:b/>
                <w:spacing w:val="-2"/>
                <w:w w:val="105"/>
                <w:sz w:val="13"/>
              </w:rPr>
              <w:t>$'000</w:t>
            </w:r>
          </w:p>
        </w:tc>
      </w:tr>
      <w:tr>
        <w:trPr>
          <w:trHeight w:val="162" w:hRule="atLeast"/>
        </w:trPr>
        <w:tc>
          <w:tcPr>
            <w:tcW w:w="2860" w:type="dxa"/>
          </w:tcPr>
          <w:p>
            <w:pPr>
              <w:pStyle w:val="TableParagraph"/>
              <w:spacing w:line="142" w:lineRule="exact"/>
              <w:ind w:left="34"/>
              <w:rPr>
                <w:sz w:val="13"/>
              </w:rPr>
            </w:pPr>
            <w:r>
              <w:rPr>
                <w:w w:val="105"/>
                <w:sz w:val="13"/>
              </w:rPr>
              <w:t>Expected</w:t>
            </w:r>
            <w:r>
              <w:rPr>
                <w:spacing w:val="-7"/>
                <w:w w:val="105"/>
                <w:sz w:val="13"/>
              </w:rPr>
              <w:t> </w:t>
            </w:r>
            <w:r>
              <w:rPr>
                <w:w w:val="105"/>
                <w:sz w:val="13"/>
              </w:rPr>
              <w:t>credit</w:t>
            </w:r>
            <w:r>
              <w:rPr>
                <w:spacing w:val="-6"/>
                <w:w w:val="105"/>
                <w:sz w:val="13"/>
              </w:rPr>
              <w:t> </w:t>
            </w:r>
            <w:r>
              <w:rPr>
                <w:w w:val="105"/>
                <w:sz w:val="13"/>
              </w:rPr>
              <w:t>loss</w:t>
            </w:r>
            <w:r>
              <w:rPr>
                <w:spacing w:val="-6"/>
                <w:w w:val="105"/>
                <w:sz w:val="13"/>
              </w:rPr>
              <w:t> </w:t>
            </w:r>
            <w:r>
              <w:rPr>
                <w:w w:val="105"/>
                <w:sz w:val="13"/>
              </w:rPr>
              <w:t>rate</w:t>
            </w:r>
            <w:r>
              <w:rPr>
                <w:spacing w:val="-7"/>
                <w:w w:val="105"/>
                <w:sz w:val="13"/>
              </w:rPr>
              <w:t> </w:t>
            </w:r>
            <w:r>
              <w:rPr>
                <w:spacing w:val="-5"/>
                <w:w w:val="105"/>
                <w:sz w:val="13"/>
              </w:rPr>
              <w:t>(%)</w:t>
            </w:r>
          </w:p>
        </w:tc>
        <w:tc>
          <w:tcPr>
            <w:tcW w:w="879" w:type="dxa"/>
            <w:tcBorders>
              <w:top w:val="single" w:sz="6" w:space="0" w:color="000000"/>
            </w:tcBorders>
          </w:tcPr>
          <w:p>
            <w:pPr>
              <w:pStyle w:val="TableParagraph"/>
              <w:spacing w:line="134" w:lineRule="exact" w:before="5"/>
              <w:ind w:right="23"/>
              <w:jc w:val="right"/>
              <w:rPr>
                <w:b/>
                <w:sz w:val="13"/>
              </w:rPr>
            </w:pPr>
            <w:r>
              <w:rPr>
                <w:b/>
                <w:spacing w:val="-2"/>
                <w:w w:val="105"/>
                <w:sz w:val="13"/>
              </w:rPr>
              <w:t>0.02%</w:t>
            </w:r>
          </w:p>
        </w:tc>
        <w:tc>
          <w:tcPr>
            <w:tcW w:w="932" w:type="dxa"/>
            <w:tcBorders>
              <w:top w:val="single" w:sz="6" w:space="0" w:color="000000"/>
            </w:tcBorders>
          </w:tcPr>
          <w:p>
            <w:pPr>
              <w:pStyle w:val="TableParagraph"/>
              <w:spacing w:line="134" w:lineRule="exact" w:before="5"/>
              <w:ind w:right="75"/>
              <w:jc w:val="right"/>
              <w:rPr>
                <w:b/>
                <w:sz w:val="13"/>
              </w:rPr>
            </w:pPr>
            <w:r>
              <w:rPr>
                <w:b/>
                <w:spacing w:val="-2"/>
                <w:w w:val="105"/>
                <w:sz w:val="13"/>
              </w:rPr>
              <w:t>0.20%</w:t>
            </w:r>
          </w:p>
        </w:tc>
        <w:tc>
          <w:tcPr>
            <w:tcW w:w="941" w:type="dxa"/>
            <w:tcBorders>
              <w:top w:val="single" w:sz="6" w:space="0" w:color="000000"/>
            </w:tcBorders>
          </w:tcPr>
          <w:p>
            <w:pPr>
              <w:pStyle w:val="TableParagraph"/>
              <w:spacing w:line="134" w:lineRule="exact" w:before="5"/>
              <w:ind w:right="67"/>
              <w:jc w:val="right"/>
              <w:rPr>
                <w:b/>
                <w:sz w:val="13"/>
              </w:rPr>
            </w:pPr>
            <w:r>
              <w:rPr>
                <w:b/>
                <w:spacing w:val="-2"/>
                <w:w w:val="105"/>
                <w:sz w:val="13"/>
              </w:rPr>
              <w:t>0.26%</w:t>
            </w:r>
          </w:p>
        </w:tc>
        <w:tc>
          <w:tcPr>
            <w:tcW w:w="1001" w:type="dxa"/>
            <w:tcBorders>
              <w:top w:val="single" w:sz="6" w:space="0" w:color="000000"/>
            </w:tcBorders>
          </w:tcPr>
          <w:p>
            <w:pPr>
              <w:pStyle w:val="TableParagraph"/>
              <w:spacing w:line="134" w:lineRule="exact" w:before="5"/>
              <w:ind w:right="75"/>
              <w:jc w:val="right"/>
              <w:rPr>
                <w:b/>
                <w:sz w:val="13"/>
              </w:rPr>
            </w:pPr>
            <w:r>
              <w:rPr>
                <w:b/>
                <w:spacing w:val="-2"/>
                <w:w w:val="105"/>
                <w:sz w:val="13"/>
              </w:rPr>
              <w:t>1.73%</w:t>
            </w:r>
          </w:p>
        </w:tc>
        <w:tc>
          <w:tcPr>
            <w:tcW w:w="899" w:type="dxa"/>
            <w:tcBorders>
              <w:top w:val="single" w:sz="6" w:space="0" w:color="000000"/>
            </w:tcBorders>
          </w:tcPr>
          <w:p>
            <w:pPr>
              <w:pStyle w:val="TableParagraph"/>
              <w:spacing w:line="134" w:lineRule="exact" w:before="5"/>
              <w:ind w:right="24"/>
              <w:jc w:val="right"/>
              <w:rPr>
                <w:b/>
                <w:sz w:val="13"/>
              </w:rPr>
            </w:pPr>
            <w:r>
              <w:rPr>
                <w:b/>
                <w:spacing w:val="-2"/>
                <w:w w:val="105"/>
                <w:sz w:val="13"/>
              </w:rPr>
              <w:t>22.88%</w:t>
            </w:r>
          </w:p>
        </w:tc>
        <w:tc>
          <w:tcPr>
            <w:tcW w:w="950" w:type="dxa"/>
            <w:tcBorders>
              <w:top w:val="single" w:sz="6" w:space="0" w:color="000000"/>
            </w:tcBorders>
          </w:tcPr>
          <w:p>
            <w:pPr>
              <w:pStyle w:val="TableParagraph"/>
              <w:rPr>
                <w:rFonts w:ascii="Times New Roman"/>
                <w:sz w:val="10"/>
              </w:rPr>
            </w:pPr>
          </w:p>
        </w:tc>
      </w:tr>
      <w:tr>
        <w:trPr>
          <w:trHeight w:val="172" w:hRule="atLeast"/>
        </w:trPr>
        <w:tc>
          <w:tcPr>
            <w:tcW w:w="2860" w:type="dxa"/>
          </w:tcPr>
          <w:p>
            <w:pPr>
              <w:pStyle w:val="TableParagraph"/>
              <w:spacing w:line="147" w:lineRule="exact" w:before="5"/>
              <w:ind w:left="34"/>
              <w:rPr>
                <w:sz w:val="13"/>
              </w:rPr>
            </w:pPr>
            <w:r>
              <w:rPr>
                <w:w w:val="105"/>
                <w:sz w:val="13"/>
              </w:rPr>
              <w:t>Total</w:t>
            </w:r>
            <w:r>
              <w:rPr>
                <w:spacing w:val="-6"/>
                <w:w w:val="105"/>
                <w:sz w:val="13"/>
              </w:rPr>
              <w:t> </w:t>
            </w:r>
            <w:r>
              <w:rPr>
                <w:w w:val="105"/>
                <w:sz w:val="13"/>
              </w:rPr>
              <w:t>gross</w:t>
            </w:r>
            <w:r>
              <w:rPr>
                <w:spacing w:val="-6"/>
                <w:w w:val="105"/>
                <w:sz w:val="13"/>
              </w:rPr>
              <w:t> </w:t>
            </w:r>
            <w:r>
              <w:rPr>
                <w:w w:val="105"/>
                <w:sz w:val="13"/>
              </w:rPr>
              <w:t>carrying</w:t>
            </w:r>
            <w:r>
              <w:rPr>
                <w:spacing w:val="-8"/>
                <w:w w:val="105"/>
                <w:sz w:val="13"/>
              </w:rPr>
              <w:t> </w:t>
            </w:r>
            <w:r>
              <w:rPr>
                <w:w w:val="105"/>
                <w:sz w:val="13"/>
              </w:rPr>
              <w:t>amount</w:t>
            </w:r>
            <w:r>
              <w:rPr>
                <w:spacing w:val="-6"/>
                <w:w w:val="105"/>
                <w:sz w:val="13"/>
              </w:rPr>
              <w:t> </w:t>
            </w:r>
            <w:r>
              <w:rPr>
                <w:w w:val="105"/>
                <w:sz w:val="13"/>
              </w:rPr>
              <w:t>at</w:t>
            </w:r>
            <w:r>
              <w:rPr>
                <w:spacing w:val="-7"/>
                <w:w w:val="105"/>
                <w:sz w:val="13"/>
              </w:rPr>
              <w:t> </w:t>
            </w:r>
            <w:r>
              <w:rPr>
                <w:spacing w:val="-2"/>
                <w:w w:val="105"/>
                <w:sz w:val="13"/>
              </w:rPr>
              <w:t>default</w:t>
            </w:r>
          </w:p>
        </w:tc>
        <w:tc>
          <w:tcPr>
            <w:tcW w:w="879" w:type="dxa"/>
          </w:tcPr>
          <w:p>
            <w:pPr>
              <w:pStyle w:val="TableParagraph"/>
              <w:spacing w:line="134" w:lineRule="exact" w:before="18"/>
              <w:ind w:right="22"/>
              <w:jc w:val="right"/>
              <w:rPr>
                <w:sz w:val="13"/>
              </w:rPr>
            </w:pPr>
            <w:r>
              <w:rPr>
                <w:spacing w:val="-2"/>
                <w:w w:val="105"/>
                <w:sz w:val="13"/>
              </w:rPr>
              <w:t>6,400</w:t>
            </w:r>
          </w:p>
        </w:tc>
        <w:tc>
          <w:tcPr>
            <w:tcW w:w="932" w:type="dxa"/>
          </w:tcPr>
          <w:p>
            <w:pPr>
              <w:pStyle w:val="TableParagraph"/>
              <w:spacing w:line="134" w:lineRule="exact" w:before="18"/>
              <w:ind w:right="75"/>
              <w:jc w:val="right"/>
              <w:rPr>
                <w:sz w:val="13"/>
              </w:rPr>
            </w:pPr>
            <w:r>
              <w:rPr>
                <w:spacing w:val="-2"/>
                <w:w w:val="105"/>
                <w:sz w:val="13"/>
              </w:rPr>
              <w:t>8,896</w:t>
            </w:r>
          </w:p>
        </w:tc>
        <w:tc>
          <w:tcPr>
            <w:tcW w:w="941" w:type="dxa"/>
          </w:tcPr>
          <w:p>
            <w:pPr>
              <w:pStyle w:val="TableParagraph"/>
              <w:spacing w:line="134" w:lineRule="exact" w:before="18"/>
              <w:ind w:right="66"/>
              <w:jc w:val="right"/>
              <w:rPr>
                <w:sz w:val="13"/>
              </w:rPr>
            </w:pPr>
            <w:r>
              <w:rPr>
                <w:spacing w:val="-2"/>
                <w:w w:val="105"/>
                <w:sz w:val="13"/>
              </w:rPr>
              <w:t>3,465</w:t>
            </w:r>
          </w:p>
        </w:tc>
        <w:tc>
          <w:tcPr>
            <w:tcW w:w="1001" w:type="dxa"/>
          </w:tcPr>
          <w:p>
            <w:pPr>
              <w:pStyle w:val="TableParagraph"/>
              <w:spacing w:line="134" w:lineRule="exact" w:before="18"/>
              <w:ind w:right="75"/>
              <w:jc w:val="right"/>
              <w:rPr>
                <w:sz w:val="13"/>
              </w:rPr>
            </w:pPr>
            <w:r>
              <w:rPr>
                <w:spacing w:val="-5"/>
                <w:w w:val="105"/>
                <w:sz w:val="13"/>
              </w:rPr>
              <w:t>693</w:t>
            </w:r>
          </w:p>
        </w:tc>
        <w:tc>
          <w:tcPr>
            <w:tcW w:w="899" w:type="dxa"/>
          </w:tcPr>
          <w:p>
            <w:pPr>
              <w:pStyle w:val="TableParagraph"/>
              <w:spacing w:line="134" w:lineRule="exact" w:before="18"/>
              <w:ind w:right="24"/>
              <w:jc w:val="right"/>
              <w:rPr>
                <w:sz w:val="13"/>
              </w:rPr>
            </w:pPr>
            <w:r>
              <w:rPr>
                <w:spacing w:val="-2"/>
                <w:w w:val="105"/>
                <w:sz w:val="13"/>
              </w:rPr>
              <w:t>8,924</w:t>
            </w:r>
          </w:p>
        </w:tc>
        <w:tc>
          <w:tcPr>
            <w:tcW w:w="950" w:type="dxa"/>
          </w:tcPr>
          <w:p>
            <w:pPr>
              <w:pStyle w:val="TableParagraph"/>
              <w:spacing w:line="134" w:lineRule="exact" w:before="18"/>
              <w:ind w:right="24"/>
              <w:jc w:val="right"/>
              <w:rPr>
                <w:sz w:val="13"/>
              </w:rPr>
            </w:pPr>
            <w:r>
              <w:rPr>
                <w:spacing w:val="-2"/>
                <w:w w:val="105"/>
                <w:sz w:val="13"/>
              </w:rPr>
              <w:t>28,378</w:t>
            </w:r>
          </w:p>
        </w:tc>
      </w:tr>
      <w:tr>
        <w:trPr>
          <w:trHeight w:val="259" w:hRule="atLeast"/>
        </w:trPr>
        <w:tc>
          <w:tcPr>
            <w:tcW w:w="2860" w:type="dxa"/>
          </w:tcPr>
          <w:p>
            <w:pPr>
              <w:pStyle w:val="TableParagraph"/>
              <w:spacing w:before="5"/>
              <w:ind w:left="34"/>
              <w:rPr>
                <w:sz w:val="13"/>
              </w:rPr>
            </w:pPr>
            <w:r>
              <w:rPr>
                <w:w w:val="105"/>
                <w:sz w:val="13"/>
              </w:rPr>
              <w:t>Expected</w:t>
            </w:r>
            <w:r>
              <w:rPr>
                <w:spacing w:val="-10"/>
                <w:w w:val="105"/>
                <w:sz w:val="13"/>
              </w:rPr>
              <w:t> </w:t>
            </w:r>
            <w:r>
              <w:rPr>
                <w:w w:val="105"/>
                <w:sz w:val="13"/>
              </w:rPr>
              <w:t>credit</w:t>
            </w:r>
            <w:r>
              <w:rPr>
                <w:spacing w:val="-8"/>
                <w:w w:val="105"/>
                <w:sz w:val="13"/>
              </w:rPr>
              <w:t> </w:t>
            </w:r>
            <w:r>
              <w:rPr>
                <w:spacing w:val="-2"/>
                <w:w w:val="105"/>
                <w:sz w:val="13"/>
              </w:rPr>
              <w:t>losses</w:t>
            </w:r>
          </w:p>
        </w:tc>
        <w:tc>
          <w:tcPr>
            <w:tcW w:w="879" w:type="dxa"/>
          </w:tcPr>
          <w:p>
            <w:pPr>
              <w:pStyle w:val="TableParagraph"/>
              <w:spacing w:before="18"/>
              <w:ind w:right="21"/>
              <w:jc w:val="right"/>
              <w:rPr>
                <w:sz w:val="13"/>
              </w:rPr>
            </w:pPr>
            <w:r>
              <w:rPr>
                <w:spacing w:val="-10"/>
                <w:w w:val="105"/>
                <w:sz w:val="13"/>
              </w:rPr>
              <w:t>1</w:t>
            </w:r>
          </w:p>
        </w:tc>
        <w:tc>
          <w:tcPr>
            <w:tcW w:w="932" w:type="dxa"/>
          </w:tcPr>
          <w:p>
            <w:pPr>
              <w:pStyle w:val="TableParagraph"/>
              <w:spacing w:before="18"/>
              <w:ind w:right="75"/>
              <w:jc w:val="right"/>
              <w:rPr>
                <w:sz w:val="13"/>
              </w:rPr>
            </w:pPr>
            <w:r>
              <w:rPr>
                <w:spacing w:val="-5"/>
                <w:w w:val="105"/>
                <w:sz w:val="13"/>
              </w:rPr>
              <w:t>18</w:t>
            </w:r>
          </w:p>
        </w:tc>
        <w:tc>
          <w:tcPr>
            <w:tcW w:w="941" w:type="dxa"/>
          </w:tcPr>
          <w:p>
            <w:pPr>
              <w:pStyle w:val="TableParagraph"/>
              <w:spacing w:before="18"/>
              <w:ind w:right="64"/>
              <w:jc w:val="right"/>
              <w:rPr>
                <w:sz w:val="13"/>
              </w:rPr>
            </w:pPr>
            <w:r>
              <w:rPr>
                <w:spacing w:val="-10"/>
                <w:w w:val="105"/>
                <w:sz w:val="13"/>
              </w:rPr>
              <w:t>9</w:t>
            </w:r>
          </w:p>
        </w:tc>
        <w:tc>
          <w:tcPr>
            <w:tcW w:w="1001" w:type="dxa"/>
          </w:tcPr>
          <w:p>
            <w:pPr>
              <w:pStyle w:val="TableParagraph"/>
              <w:spacing w:before="18"/>
              <w:ind w:right="75"/>
              <w:jc w:val="right"/>
              <w:rPr>
                <w:sz w:val="13"/>
              </w:rPr>
            </w:pPr>
            <w:r>
              <w:rPr>
                <w:spacing w:val="-5"/>
                <w:w w:val="105"/>
                <w:sz w:val="13"/>
              </w:rPr>
              <w:t>12</w:t>
            </w:r>
          </w:p>
        </w:tc>
        <w:tc>
          <w:tcPr>
            <w:tcW w:w="899" w:type="dxa"/>
          </w:tcPr>
          <w:p>
            <w:pPr>
              <w:pStyle w:val="TableParagraph"/>
              <w:spacing w:before="18"/>
              <w:ind w:right="24"/>
              <w:jc w:val="right"/>
              <w:rPr>
                <w:sz w:val="13"/>
              </w:rPr>
            </w:pPr>
            <w:r>
              <w:rPr>
                <w:spacing w:val="-2"/>
                <w:w w:val="105"/>
                <w:sz w:val="13"/>
              </w:rPr>
              <w:t>2,042</w:t>
            </w:r>
          </w:p>
        </w:tc>
        <w:tc>
          <w:tcPr>
            <w:tcW w:w="950" w:type="dxa"/>
          </w:tcPr>
          <w:p>
            <w:pPr>
              <w:pStyle w:val="TableParagraph"/>
              <w:spacing w:before="18"/>
              <w:ind w:right="24"/>
              <w:jc w:val="right"/>
              <w:rPr>
                <w:sz w:val="13"/>
              </w:rPr>
            </w:pPr>
            <w:r>
              <w:rPr>
                <w:spacing w:val="-2"/>
                <w:w w:val="105"/>
                <w:sz w:val="13"/>
              </w:rPr>
              <w:t>2,082</w:t>
            </w:r>
          </w:p>
        </w:tc>
      </w:tr>
      <w:tr>
        <w:trPr>
          <w:trHeight w:val="277" w:hRule="atLeast"/>
        </w:trPr>
        <w:tc>
          <w:tcPr>
            <w:tcW w:w="2860" w:type="dxa"/>
          </w:tcPr>
          <w:p>
            <w:pPr>
              <w:pStyle w:val="TableParagraph"/>
              <w:spacing w:before="91"/>
              <w:ind w:left="34"/>
              <w:rPr>
                <w:b/>
                <w:sz w:val="13"/>
              </w:rPr>
            </w:pPr>
            <w:r>
              <w:rPr>
                <w:b/>
                <w:w w:val="105"/>
                <w:sz w:val="13"/>
              </w:rPr>
              <w:t>Consolidated</w:t>
            </w:r>
            <w:r>
              <w:rPr>
                <w:b/>
                <w:spacing w:val="-8"/>
                <w:w w:val="105"/>
                <w:sz w:val="13"/>
              </w:rPr>
              <w:t> </w:t>
            </w:r>
            <w:r>
              <w:rPr>
                <w:b/>
                <w:w w:val="105"/>
                <w:sz w:val="13"/>
              </w:rPr>
              <w:t>31</w:t>
            </w:r>
            <w:r>
              <w:rPr>
                <w:b/>
                <w:spacing w:val="-8"/>
                <w:w w:val="105"/>
                <w:sz w:val="13"/>
              </w:rPr>
              <w:t> </w:t>
            </w:r>
            <w:r>
              <w:rPr>
                <w:b/>
                <w:w w:val="105"/>
                <w:sz w:val="13"/>
              </w:rPr>
              <w:t>December</w:t>
            </w:r>
            <w:r>
              <w:rPr>
                <w:b/>
                <w:spacing w:val="-7"/>
                <w:w w:val="105"/>
                <w:sz w:val="13"/>
              </w:rPr>
              <w:t> </w:t>
            </w:r>
            <w:r>
              <w:rPr>
                <w:b/>
                <w:spacing w:val="-4"/>
                <w:w w:val="105"/>
                <w:sz w:val="13"/>
              </w:rPr>
              <w:t>2019</w:t>
            </w:r>
          </w:p>
        </w:tc>
        <w:tc>
          <w:tcPr>
            <w:tcW w:w="879" w:type="dxa"/>
          </w:tcPr>
          <w:p>
            <w:pPr>
              <w:pStyle w:val="TableParagraph"/>
              <w:rPr>
                <w:rFonts w:ascii="Times New Roman"/>
                <w:sz w:val="12"/>
              </w:rPr>
            </w:pPr>
          </w:p>
        </w:tc>
        <w:tc>
          <w:tcPr>
            <w:tcW w:w="932" w:type="dxa"/>
          </w:tcPr>
          <w:p>
            <w:pPr>
              <w:pStyle w:val="TableParagraph"/>
              <w:rPr>
                <w:rFonts w:ascii="Times New Roman"/>
                <w:sz w:val="12"/>
              </w:rPr>
            </w:pPr>
          </w:p>
        </w:tc>
        <w:tc>
          <w:tcPr>
            <w:tcW w:w="941" w:type="dxa"/>
          </w:tcPr>
          <w:p>
            <w:pPr>
              <w:pStyle w:val="TableParagraph"/>
              <w:rPr>
                <w:rFonts w:ascii="Times New Roman"/>
                <w:sz w:val="12"/>
              </w:rPr>
            </w:pPr>
          </w:p>
        </w:tc>
        <w:tc>
          <w:tcPr>
            <w:tcW w:w="1001" w:type="dxa"/>
          </w:tcPr>
          <w:p>
            <w:pPr>
              <w:pStyle w:val="TableParagraph"/>
              <w:rPr>
                <w:rFonts w:ascii="Times New Roman"/>
                <w:sz w:val="12"/>
              </w:rPr>
            </w:pPr>
          </w:p>
        </w:tc>
        <w:tc>
          <w:tcPr>
            <w:tcW w:w="899" w:type="dxa"/>
          </w:tcPr>
          <w:p>
            <w:pPr>
              <w:pStyle w:val="TableParagraph"/>
              <w:rPr>
                <w:rFonts w:ascii="Times New Roman"/>
                <w:sz w:val="12"/>
              </w:rPr>
            </w:pPr>
          </w:p>
        </w:tc>
        <w:tc>
          <w:tcPr>
            <w:tcW w:w="950" w:type="dxa"/>
          </w:tcPr>
          <w:p>
            <w:pPr>
              <w:pStyle w:val="TableParagraph"/>
              <w:rPr>
                <w:rFonts w:ascii="Times New Roman"/>
                <w:sz w:val="12"/>
              </w:rPr>
            </w:pPr>
          </w:p>
        </w:tc>
      </w:tr>
      <w:tr>
        <w:trPr>
          <w:trHeight w:val="145" w:hRule="atLeast"/>
        </w:trPr>
        <w:tc>
          <w:tcPr>
            <w:tcW w:w="2860" w:type="dxa"/>
          </w:tcPr>
          <w:p>
            <w:pPr>
              <w:pStyle w:val="TableParagraph"/>
              <w:rPr>
                <w:rFonts w:ascii="Times New Roman"/>
                <w:sz w:val="8"/>
              </w:rPr>
            </w:pPr>
          </w:p>
        </w:tc>
        <w:tc>
          <w:tcPr>
            <w:tcW w:w="879" w:type="dxa"/>
          </w:tcPr>
          <w:p>
            <w:pPr>
              <w:pStyle w:val="TableParagraph"/>
              <w:rPr>
                <w:rFonts w:ascii="Times New Roman"/>
                <w:sz w:val="8"/>
              </w:rPr>
            </w:pPr>
          </w:p>
        </w:tc>
        <w:tc>
          <w:tcPr>
            <w:tcW w:w="932" w:type="dxa"/>
            <w:tcBorders>
              <w:bottom w:val="single" w:sz="6" w:space="0" w:color="000000"/>
            </w:tcBorders>
          </w:tcPr>
          <w:p>
            <w:pPr>
              <w:pStyle w:val="TableParagraph"/>
              <w:rPr>
                <w:rFonts w:ascii="Times New Roman"/>
                <w:sz w:val="8"/>
              </w:rPr>
            </w:pPr>
          </w:p>
        </w:tc>
        <w:tc>
          <w:tcPr>
            <w:tcW w:w="1942" w:type="dxa"/>
            <w:gridSpan w:val="2"/>
            <w:tcBorders>
              <w:bottom w:val="single" w:sz="6" w:space="0" w:color="000000"/>
            </w:tcBorders>
          </w:tcPr>
          <w:p>
            <w:pPr>
              <w:pStyle w:val="TableParagraph"/>
              <w:spacing w:line="128" w:lineRule="exact"/>
              <w:ind w:left="529"/>
              <w:rPr>
                <w:b/>
                <w:sz w:val="13"/>
              </w:rPr>
            </w:pPr>
            <w:r>
              <w:rPr>
                <w:b/>
                <w:w w:val="105"/>
                <w:sz w:val="13"/>
              </w:rPr>
              <w:t>Day</w:t>
            </w:r>
            <w:r>
              <w:rPr>
                <w:b/>
                <w:spacing w:val="-5"/>
                <w:w w:val="105"/>
                <w:sz w:val="13"/>
              </w:rPr>
              <w:t> </w:t>
            </w:r>
            <w:r>
              <w:rPr>
                <w:b/>
                <w:w w:val="105"/>
                <w:sz w:val="13"/>
              </w:rPr>
              <w:t>past</w:t>
            </w:r>
            <w:r>
              <w:rPr>
                <w:b/>
                <w:spacing w:val="-3"/>
                <w:w w:val="105"/>
                <w:sz w:val="13"/>
              </w:rPr>
              <w:t> </w:t>
            </w:r>
            <w:r>
              <w:rPr>
                <w:b/>
                <w:spacing w:val="-5"/>
                <w:w w:val="105"/>
                <w:sz w:val="13"/>
              </w:rPr>
              <w:t>due</w:t>
            </w:r>
          </w:p>
        </w:tc>
        <w:tc>
          <w:tcPr>
            <w:tcW w:w="899" w:type="dxa"/>
            <w:tcBorders>
              <w:bottom w:val="single" w:sz="6" w:space="0" w:color="000000"/>
            </w:tcBorders>
          </w:tcPr>
          <w:p>
            <w:pPr>
              <w:pStyle w:val="TableParagraph"/>
              <w:rPr>
                <w:rFonts w:ascii="Times New Roman"/>
                <w:sz w:val="8"/>
              </w:rPr>
            </w:pPr>
          </w:p>
        </w:tc>
        <w:tc>
          <w:tcPr>
            <w:tcW w:w="950" w:type="dxa"/>
          </w:tcPr>
          <w:p>
            <w:pPr>
              <w:pStyle w:val="TableParagraph"/>
              <w:rPr>
                <w:rFonts w:ascii="Times New Roman"/>
                <w:sz w:val="8"/>
              </w:rPr>
            </w:pPr>
          </w:p>
        </w:tc>
      </w:tr>
      <w:tr>
        <w:trPr>
          <w:trHeight w:val="326" w:hRule="atLeast"/>
        </w:trPr>
        <w:tc>
          <w:tcPr>
            <w:tcW w:w="2860" w:type="dxa"/>
          </w:tcPr>
          <w:p>
            <w:pPr>
              <w:pStyle w:val="TableParagraph"/>
              <w:rPr>
                <w:rFonts w:ascii="Times New Roman"/>
                <w:sz w:val="12"/>
              </w:rPr>
            </w:pPr>
          </w:p>
        </w:tc>
        <w:tc>
          <w:tcPr>
            <w:tcW w:w="879" w:type="dxa"/>
            <w:tcBorders>
              <w:bottom w:val="single" w:sz="6" w:space="0" w:color="000000"/>
            </w:tcBorders>
          </w:tcPr>
          <w:p>
            <w:pPr>
              <w:pStyle w:val="TableParagraph"/>
              <w:spacing w:line="144" w:lineRule="exact"/>
              <w:ind w:left="197"/>
              <w:rPr>
                <w:b/>
                <w:sz w:val="13"/>
              </w:rPr>
            </w:pPr>
            <w:r>
              <w:rPr>
                <w:b/>
                <w:spacing w:val="-2"/>
                <w:w w:val="105"/>
                <w:sz w:val="13"/>
              </w:rPr>
              <w:t>Current</w:t>
            </w:r>
          </w:p>
          <w:p>
            <w:pPr>
              <w:pStyle w:val="TableParagraph"/>
              <w:spacing w:line="145" w:lineRule="exact" w:before="19"/>
              <w:ind w:left="279"/>
              <w:rPr>
                <w:b/>
                <w:sz w:val="13"/>
              </w:rPr>
            </w:pPr>
            <w:r>
              <w:rPr>
                <w:b/>
                <w:spacing w:val="-2"/>
                <w:w w:val="105"/>
                <w:sz w:val="13"/>
              </w:rPr>
              <w:t>$'000</w:t>
            </w:r>
          </w:p>
        </w:tc>
        <w:tc>
          <w:tcPr>
            <w:tcW w:w="932" w:type="dxa"/>
            <w:tcBorders>
              <w:top w:val="single" w:sz="6" w:space="0" w:color="000000"/>
              <w:bottom w:val="single" w:sz="6" w:space="0" w:color="000000"/>
            </w:tcBorders>
          </w:tcPr>
          <w:p>
            <w:pPr>
              <w:pStyle w:val="TableParagraph"/>
              <w:spacing w:before="5"/>
              <w:ind w:right="48"/>
              <w:jc w:val="center"/>
              <w:rPr>
                <w:b/>
                <w:sz w:val="13"/>
              </w:rPr>
            </w:pPr>
            <w:r>
              <w:rPr>
                <w:b/>
                <w:w w:val="105"/>
                <w:sz w:val="13"/>
              </w:rPr>
              <w:t>&lt;</w:t>
            </w:r>
            <w:r>
              <w:rPr>
                <w:b/>
                <w:spacing w:val="-2"/>
                <w:w w:val="105"/>
                <w:sz w:val="13"/>
              </w:rPr>
              <w:t> </w:t>
            </w:r>
            <w:r>
              <w:rPr>
                <w:b/>
                <w:w w:val="105"/>
                <w:sz w:val="13"/>
              </w:rPr>
              <w:t>30</w:t>
            </w:r>
            <w:r>
              <w:rPr>
                <w:b/>
                <w:spacing w:val="-3"/>
                <w:w w:val="105"/>
                <w:sz w:val="13"/>
              </w:rPr>
              <w:t> </w:t>
            </w:r>
            <w:r>
              <w:rPr>
                <w:b/>
                <w:spacing w:val="-4"/>
                <w:w w:val="105"/>
                <w:sz w:val="13"/>
              </w:rPr>
              <w:t>days</w:t>
            </w:r>
          </w:p>
          <w:p>
            <w:pPr>
              <w:pStyle w:val="TableParagraph"/>
              <w:spacing w:line="145" w:lineRule="exact" w:before="6"/>
              <w:ind w:left="11" w:right="48"/>
              <w:jc w:val="center"/>
              <w:rPr>
                <w:b/>
                <w:sz w:val="13"/>
              </w:rPr>
            </w:pPr>
            <w:r>
              <w:rPr>
                <w:b/>
                <w:spacing w:val="-2"/>
                <w:w w:val="105"/>
                <w:sz w:val="13"/>
              </w:rPr>
              <w:t>$'000</w:t>
            </w:r>
          </w:p>
        </w:tc>
        <w:tc>
          <w:tcPr>
            <w:tcW w:w="1942" w:type="dxa"/>
            <w:gridSpan w:val="2"/>
            <w:tcBorders>
              <w:top w:val="single" w:sz="6" w:space="0" w:color="000000"/>
              <w:bottom w:val="single" w:sz="6" w:space="0" w:color="000000"/>
            </w:tcBorders>
          </w:tcPr>
          <w:p>
            <w:pPr>
              <w:pStyle w:val="TableParagraph"/>
              <w:tabs>
                <w:tab w:pos="932" w:val="left" w:leader="none"/>
              </w:tabs>
              <w:spacing w:before="5"/>
              <w:ind w:right="85"/>
              <w:jc w:val="center"/>
              <w:rPr>
                <w:b/>
                <w:sz w:val="13"/>
              </w:rPr>
            </w:pPr>
            <w:r>
              <w:rPr>
                <w:b/>
                <w:w w:val="105"/>
                <w:sz w:val="13"/>
              </w:rPr>
              <w:t>31-90</w:t>
            </w:r>
            <w:r>
              <w:rPr>
                <w:b/>
                <w:spacing w:val="-8"/>
                <w:w w:val="105"/>
                <w:sz w:val="13"/>
              </w:rPr>
              <w:t> </w:t>
            </w:r>
            <w:r>
              <w:rPr>
                <w:b/>
                <w:spacing w:val="-4"/>
                <w:w w:val="105"/>
                <w:sz w:val="13"/>
              </w:rPr>
              <w:t>days</w:t>
            </w:r>
            <w:r>
              <w:rPr>
                <w:b/>
                <w:sz w:val="13"/>
              </w:rPr>
              <w:tab/>
            </w:r>
            <w:r>
              <w:rPr>
                <w:b/>
                <w:spacing w:val="-2"/>
                <w:w w:val="105"/>
                <w:sz w:val="13"/>
              </w:rPr>
              <w:t>91-120</w:t>
            </w:r>
            <w:r>
              <w:rPr>
                <w:b/>
                <w:spacing w:val="2"/>
                <w:w w:val="105"/>
                <w:sz w:val="13"/>
              </w:rPr>
              <w:t> </w:t>
            </w:r>
            <w:r>
              <w:rPr>
                <w:b/>
                <w:spacing w:val="-4"/>
                <w:w w:val="105"/>
                <w:sz w:val="13"/>
              </w:rPr>
              <w:t>days</w:t>
            </w:r>
          </w:p>
          <w:p>
            <w:pPr>
              <w:pStyle w:val="TableParagraph"/>
              <w:tabs>
                <w:tab w:pos="969" w:val="left" w:leader="none"/>
              </w:tabs>
              <w:spacing w:line="145" w:lineRule="exact" w:before="6"/>
              <w:ind w:right="112"/>
              <w:jc w:val="center"/>
              <w:rPr>
                <w:b/>
                <w:sz w:val="13"/>
              </w:rPr>
            </w:pPr>
            <w:r>
              <w:rPr>
                <w:b/>
                <w:spacing w:val="-2"/>
                <w:w w:val="105"/>
                <w:sz w:val="13"/>
              </w:rPr>
              <w:t>$'000</w:t>
            </w:r>
            <w:r>
              <w:rPr>
                <w:b/>
                <w:sz w:val="13"/>
              </w:rPr>
              <w:tab/>
            </w:r>
            <w:r>
              <w:rPr>
                <w:b/>
                <w:spacing w:val="-2"/>
                <w:w w:val="105"/>
                <w:sz w:val="13"/>
              </w:rPr>
              <w:t>$'000</w:t>
            </w:r>
          </w:p>
        </w:tc>
        <w:tc>
          <w:tcPr>
            <w:tcW w:w="899" w:type="dxa"/>
            <w:tcBorders>
              <w:top w:val="single" w:sz="6" w:space="0" w:color="000000"/>
              <w:bottom w:val="single" w:sz="6" w:space="0" w:color="000000"/>
            </w:tcBorders>
          </w:tcPr>
          <w:p>
            <w:pPr>
              <w:pStyle w:val="TableParagraph"/>
              <w:spacing w:before="5"/>
              <w:ind w:right="50"/>
              <w:jc w:val="center"/>
              <w:rPr>
                <w:b/>
                <w:sz w:val="13"/>
              </w:rPr>
            </w:pPr>
            <w:r>
              <w:rPr>
                <w:b/>
                <w:w w:val="105"/>
                <w:sz w:val="13"/>
              </w:rPr>
              <w:t>&gt;</w:t>
            </w:r>
            <w:r>
              <w:rPr>
                <w:b/>
                <w:spacing w:val="-3"/>
                <w:w w:val="105"/>
                <w:sz w:val="13"/>
              </w:rPr>
              <w:t> </w:t>
            </w:r>
            <w:r>
              <w:rPr>
                <w:b/>
                <w:w w:val="105"/>
                <w:sz w:val="13"/>
              </w:rPr>
              <w:t>120</w:t>
            </w:r>
            <w:r>
              <w:rPr>
                <w:b/>
                <w:spacing w:val="-4"/>
                <w:w w:val="105"/>
                <w:sz w:val="13"/>
              </w:rPr>
              <w:t> days</w:t>
            </w:r>
          </w:p>
          <w:p>
            <w:pPr>
              <w:pStyle w:val="TableParagraph"/>
              <w:spacing w:line="145" w:lineRule="exact" w:before="6"/>
              <w:ind w:right="39"/>
              <w:jc w:val="center"/>
              <w:rPr>
                <w:b/>
                <w:sz w:val="13"/>
              </w:rPr>
            </w:pPr>
            <w:r>
              <w:rPr>
                <w:b/>
                <w:spacing w:val="-2"/>
                <w:w w:val="105"/>
                <w:sz w:val="13"/>
              </w:rPr>
              <w:t>$'000</w:t>
            </w:r>
          </w:p>
        </w:tc>
        <w:tc>
          <w:tcPr>
            <w:tcW w:w="950" w:type="dxa"/>
            <w:tcBorders>
              <w:bottom w:val="single" w:sz="6" w:space="0" w:color="000000"/>
            </w:tcBorders>
          </w:tcPr>
          <w:p>
            <w:pPr>
              <w:pStyle w:val="TableParagraph"/>
              <w:spacing w:line="144" w:lineRule="exact"/>
              <w:ind w:left="310"/>
              <w:rPr>
                <w:b/>
                <w:sz w:val="13"/>
              </w:rPr>
            </w:pPr>
            <w:r>
              <w:rPr>
                <w:b/>
                <w:spacing w:val="-2"/>
                <w:w w:val="105"/>
                <w:sz w:val="13"/>
              </w:rPr>
              <w:t>Total</w:t>
            </w:r>
          </w:p>
          <w:p>
            <w:pPr>
              <w:pStyle w:val="TableParagraph"/>
              <w:spacing w:line="145" w:lineRule="exact" w:before="19"/>
              <w:ind w:left="312"/>
              <w:rPr>
                <w:b/>
                <w:sz w:val="13"/>
              </w:rPr>
            </w:pPr>
            <w:r>
              <w:rPr>
                <w:b/>
                <w:spacing w:val="-2"/>
                <w:w w:val="105"/>
                <w:sz w:val="13"/>
              </w:rPr>
              <w:t>$'000</w:t>
            </w:r>
          </w:p>
        </w:tc>
      </w:tr>
      <w:tr>
        <w:trPr>
          <w:trHeight w:val="162" w:hRule="atLeast"/>
        </w:trPr>
        <w:tc>
          <w:tcPr>
            <w:tcW w:w="2860" w:type="dxa"/>
          </w:tcPr>
          <w:p>
            <w:pPr>
              <w:pStyle w:val="TableParagraph"/>
              <w:spacing w:line="142" w:lineRule="exact"/>
              <w:ind w:left="34"/>
              <w:rPr>
                <w:sz w:val="13"/>
              </w:rPr>
            </w:pPr>
            <w:r>
              <w:rPr>
                <w:w w:val="105"/>
                <w:sz w:val="13"/>
              </w:rPr>
              <w:t>Expected</w:t>
            </w:r>
            <w:r>
              <w:rPr>
                <w:spacing w:val="-7"/>
                <w:w w:val="105"/>
                <w:sz w:val="13"/>
              </w:rPr>
              <w:t> </w:t>
            </w:r>
            <w:r>
              <w:rPr>
                <w:w w:val="105"/>
                <w:sz w:val="13"/>
              </w:rPr>
              <w:t>credit</w:t>
            </w:r>
            <w:r>
              <w:rPr>
                <w:spacing w:val="-6"/>
                <w:w w:val="105"/>
                <w:sz w:val="13"/>
              </w:rPr>
              <w:t> </w:t>
            </w:r>
            <w:r>
              <w:rPr>
                <w:w w:val="105"/>
                <w:sz w:val="13"/>
              </w:rPr>
              <w:t>loss</w:t>
            </w:r>
            <w:r>
              <w:rPr>
                <w:spacing w:val="-6"/>
                <w:w w:val="105"/>
                <w:sz w:val="13"/>
              </w:rPr>
              <w:t> </w:t>
            </w:r>
            <w:r>
              <w:rPr>
                <w:w w:val="105"/>
                <w:sz w:val="13"/>
              </w:rPr>
              <w:t>rate</w:t>
            </w:r>
            <w:r>
              <w:rPr>
                <w:spacing w:val="-7"/>
                <w:w w:val="105"/>
                <w:sz w:val="13"/>
              </w:rPr>
              <w:t> </w:t>
            </w:r>
            <w:r>
              <w:rPr>
                <w:spacing w:val="-5"/>
                <w:w w:val="105"/>
                <w:sz w:val="13"/>
              </w:rPr>
              <w:t>(%)</w:t>
            </w:r>
          </w:p>
        </w:tc>
        <w:tc>
          <w:tcPr>
            <w:tcW w:w="879" w:type="dxa"/>
            <w:tcBorders>
              <w:top w:val="single" w:sz="6" w:space="0" w:color="000000"/>
            </w:tcBorders>
          </w:tcPr>
          <w:p>
            <w:pPr>
              <w:pStyle w:val="TableParagraph"/>
              <w:spacing w:line="134" w:lineRule="exact" w:before="5"/>
              <w:ind w:right="23"/>
              <w:jc w:val="right"/>
              <w:rPr>
                <w:b/>
                <w:sz w:val="13"/>
              </w:rPr>
            </w:pPr>
            <w:r>
              <w:rPr>
                <w:b/>
                <w:spacing w:val="-2"/>
                <w:w w:val="105"/>
                <w:sz w:val="13"/>
              </w:rPr>
              <w:t>0.00%</w:t>
            </w:r>
          </w:p>
        </w:tc>
        <w:tc>
          <w:tcPr>
            <w:tcW w:w="932" w:type="dxa"/>
            <w:tcBorders>
              <w:top w:val="single" w:sz="6" w:space="0" w:color="000000"/>
            </w:tcBorders>
          </w:tcPr>
          <w:p>
            <w:pPr>
              <w:pStyle w:val="TableParagraph"/>
              <w:spacing w:line="134" w:lineRule="exact" w:before="5"/>
              <w:ind w:right="75"/>
              <w:jc w:val="right"/>
              <w:rPr>
                <w:b/>
                <w:sz w:val="13"/>
              </w:rPr>
            </w:pPr>
            <w:r>
              <w:rPr>
                <w:b/>
                <w:spacing w:val="-2"/>
                <w:w w:val="105"/>
                <w:sz w:val="13"/>
              </w:rPr>
              <w:t>0.00%</w:t>
            </w:r>
          </w:p>
        </w:tc>
        <w:tc>
          <w:tcPr>
            <w:tcW w:w="1942" w:type="dxa"/>
            <w:gridSpan w:val="2"/>
            <w:tcBorders>
              <w:top w:val="single" w:sz="6" w:space="0" w:color="000000"/>
            </w:tcBorders>
          </w:tcPr>
          <w:p>
            <w:pPr>
              <w:pStyle w:val="TableParagraph"/>
              <w:tabs>
                <w:tab w:pos="1479" w:val="left" w:leader="none"/>
              </w:tabs>
              <w:spacing w:line="134" w:lineRule="exact" w:before="5"/>
              <w:ind w:left="487"/>
              <w:rPr>
                <w:b/>
                <w:sz w:val="13"/>
              </w:rPr>
            </w:pPr>
            <w:r>
              <w:rPr>
                <w:b/>
                <w:spacing w:val="-2"/>
                <w:w w:val="105"/>
                <w:sz w:val="13"/>
              </w:rPr>
              <w:t>0.08%</w:t>
            </w:r>
            <w:r>
              <w:rPr>
                <w:b/>
                <w:sz w:val="13"/>
              </w:rPr>
              <w:tab/>
            </w:r>
            <w:r>
              <w:rPr>
                <w:b/>
                <w:spacing w:val="-2"/>
                <w:w w:val="105"/>
                <w:sz w:val="13"/>
              </w:rPr>
              <w:t>1.01%</w:t>
            </w:r>
          </w:p>
        </w:tc>
        <w:tc>
          <w:tcPr>
            <w:tcW w:w="899" w:type="dxa"/>
            <w:tcBorders>
              <w:top w:val="single" w:sz="6" w:space="0" w:color="000000"/>
            </w:tcBorders>
          </w:tcPr>
          <w:p>
            <w:pPr>
              <w:pStyle w:val="TableParagraph"/>
              <w:spacing w:line="134" w:lineRule="exact" w:before="5"/>
              <w:ind w:right="24"/>
              <w:jc w:val="right"/>
              <w:rPr>
                <w:b/>
                <w:sz w:val="13"/>
              </w:rPr>
            </w:pPr>
            <w:r>
              <w:rPr>
                <w:b/>
                <w:spacing w:val="-2"/>
                <w:w w:val="105"/>
                <w:sz w:val="13"/>
              </w:rPr>
              <w:t>19.09%</w:t>
            </w:r>
          </w:p>
        </w:tc>
        <w:tc>
          <w:tcPr>
            <w:tcW w:w="950" w:type="dxa"/>
            <w:tcBorders>
              <w:top w:val="single" w:sz="6" w:space="0" w:color="000000"/>
            </w:tcBorders>
          </w:tcPr>
          <w:p>
            <w:pPr>
              <w:pStyle w:val="TableParagraph"/>
              <w:rPr>
                <w:rFonts w:ascii="Times New Roman"/>
                <w:sz w:val="10"/>
              </w:rPr>
            </w:pPr>
          </w:p>
        </w:tc>
      </w:tr>
      <w:tr>
        <w:trPr>
          <w:trHeight w:val="172" w:hRule="atLeast"/>
        </w:trPr>
        <w:tc>
          <w:tcPr>
            <w:tcW w:w="2860" w:type="dxa"/>
          </w:tcPr>
          <w:p>
            <w:pPr>
              <w:pStyle w:val="TableParagraph"/>
              <w:spacing w:line="147" w:lineRule="exact" w:before="5"/>
              <w:ind w:left="34"/>
              <w:rPr>
                <w:sz w:val="13"/>
              </w:rPr>
            </w:pPr>
            <w:r>
              <w:rPr>
                <w:w w:val="105"/>
                <w:sz w:val="13"/>
              </w:rPr>
              <w:t>Total</w:t>
            </w:r>
            <w:r>
              <w:rPr>
                <w:spacing w:val="-6"/>
                <w:w w:val="105"/>
                <w:sz w:val="13"/>
              </w:rPr>
              <w:t> </w:t>
            </w:r>
            <w:r>
              <w:rPr>
                <w:w w:val="105"/>
                <w:sz w:val="13"/>
              </w:rPr>
              <w:t>gross</w:t>
            </w:r>
            <w:r>
              <w:rPr>
                <w:spacing w:val="-6"/>
                <w:w w:val="105"/>
                <w:sz w:val="13"/>
              </w:rPr>
              <w:t> </w:t>
            </w:r>
            <w:r>
              <w:rPr>
                <w:w w:val="105"/>
                <w:sz w:val="13"/>
              </w:rPr>
              <w:t>carrying</w:t>
            </w:r>
            <w:r>
              <w:rPr>
                <w:spacing w:val="-8"/>
                <w:w w:val="105"/>
                <w:sz w:val="13"/>
              </w:rPr>
              <w:t> </w:t>
            </w:r>
            <w:r>
              <w:rPr>
                <w:w w:val="105"/>
                <w:sz w:val="13"/>
              </w:rPr>
              <w:t>amount</w:t>
            </w:r>
            <w:r>
              <w:rPr>
                <w:spacing w:val="-6"/>
                <w:w w:val="105"/>
                <w:sz w:val="13"/>
              </w:rPr>
              <w:t> </w:t>
            </w:r>
            <w:r>
              <w:rPr>
                <w:w w:val="105"/>
                <w:sz w:val="13"/>
              </w:rPr>
              <w:t>at</w:t>
            </w:r>
            <w:r>
              <w:rPr>
                <w:spacing w:val="-7"/>
                <w:w w:val="105"/>
                <w:sz w:val="13"/>
              </w:rPr>
              <w:t> </w:t>
            </w:r>
            <w:r>
              <w:rPr>
                <w:spacing w:val="-2"/>
                <w:w w:val="105"/>
                <w:sz w:val="13"/>
              </w:rPr>
              <w:t>default</w:t>
            </w:r>
          </w:p>
        </w:tc>
        <w:tc>
          <w:tcPr>
            <w:tcW w:w="879" w:type="dxa"/>
          </w:tcPr>
          <w:p>
            <w:pPr>
              <w:pStyle w:val="TableParagraph"/>
              <w:spacing w:line="134" w:lineRule="exact" w:before="18"/>
              <w:ind w:right="22"/>
              <w:jc w:val="right"/>
              <w:rPr>
                <w:sz w:val="13"/>
              </w:rPr>
            </w:pPr>
            <w:r>
              <w:rPr>
                <w:spacing w:val="-2"/>
                <w:w w:val="105"/>
                <w:sz w:val="13"/>
              </w:rPr>
              <w:t>5,002</w:t>
            </w:r>
          </w:p>
        </w:tc>
        <w:tc>
          <w:tcPr>
            <w:tcW w:w="932" w:type="dxa"/>
          </w:tcPr>
          <w:p>
            <w:pPr>
              <w:pStyle w:val="TableParagraph"/>
              <w:spacing w:line="134" w:lineRule="exact" w:before="18"/>
              <w:ind w:right="75"/>
              <w:jc w:val="right"/>
              <w:rPr>
                <w:sz w:val="13"/>
              </w:rPr>
            </w:pPr>
            <w:r>
              <w:rPr>
                <w:spacing w:val="-2"/>
                <w:w w:val="105"/>
                <w:sz w:val="13"/>
              </w:rPr>
              <w:t>13,154</w:t>
            </w:r>
          </w:p>
        </w:tc>
        <w:tc>
          <w:tcPr>
            <w:tcW w:w="1942" w:type="dxa"/>
            <w:gridSpan w:val="2"/>
          </w:tcPr>
          <w:p>
            <w:pPr>
              <w:pStyle w:val="TableParagraph"/>
              <w:tabs>
                <w:tab w:pos="1526" w:val="left" w:leader="none"/>
              </w:tabs>
              <w:spacing w:line="134" w:lineRule="exact" w:before="18"/>
              <w:ind w:left="534"/>
              <w:rPr>
                <w:sz w:val="13"/>
              </w:rPr>
            </w:pPr>
            <w:r>
              <w:rPr>
                <w:spacing w:val="-2"/>
                <w:w w:val="105"/>
                <w:sz w:val="13"/>
              </w:rPr>
              <w:t>4,781</w:t>
            </w:r>
            <w:r>
              <w:rPr>
                <w:sz w:val="13"/>
              </w:rPr>
              <w:tab/>
            </w:r>
            <w:r>
              <w:rPr>
                <w:spacing w:val="-2"/>
                <w:w w:val="105"/>
                <w:sz w:val="13"/>
              </w:rPr>
              <w:t>1,478</w:t>
            </w:r>
          </w:p>
        </w:tc>
        <w:tc>
          <w:tcPr>
            <w:tcW w:w="899" w:type="dxa"/>
          </w:tcPr>
          <w:p>
            <w:pPr>
              <w:pStyle w:val="TableParagraph"/>
              <w:spacing w:line="134" w:lineRule="exact" w:before="18"/>
              <w:ind w:right="24"/>
              <w:jc w:val="right"/>
              <w:rPr>
                <w:sz w:val="13"/>
              </w:rPr>
            </w:pPr>
            <w:r>
              <w:rPr>
                <w:spacing w:val="-2"/>
                <w:w w:val="105"/>
                <w:sz w:val="13"/>
              </w:rPr>
              <w:t>9,574</w:t>
            </w:r>
          </w:p>
        </w:tc>
        <w:tc>
          <w:tcPr>
            <w:tcW w:w="950" w:type="dxa"/>
          </w:tcPr>
          <w:p>
            <w:pPr>
              <w:pStyle w:val="TableParagraph"/>
              <w:spacing w:line="134" w:lineRule="exact" w:before="18"/>
              <w:ind w:right="24"/>
              <w:jc w:val="right"/>
              <w:rPr>
                <w:sz w:val="13"/>
              </w:rPr>
            </w:pPr>
            <w:r>
              <w:rPr>
                <w:spacing w:val="-2"/>
                <w:w w:val="105"/>
                <w:sz w:val="13"/>
              </w:rPr>
              <w:t>33,989</w:t>
            </w:r>
          </w:p>
        </w:tc>
      </w:tr>
      <w:tr>
        <w:trPr>
          <w:trHeight w:val="204" w:hRule="atLeast"/>
        </w:trPr>
        <w:tc>
          <w:tcPr>
            <w:tcW w:w="2860" w:type="dxa"/>
          </w:tcPr>
          <w:p>
            <w:pPr>
              <w:pStyle w:val="TableParagraph"/>
              <w:spacing w:before="5"/>
              <w:ind w:left="34"/>
              <w:rPr>
                <w:sz w:val="13"/>
              </w:rPr>
            </w:pPr>
            <w:r>
              <w:rPr>
                <w:w w:val="105"/>
                <w:sz w:val="13"/>
              </w:rPr>
              <w:t>Expected</w:t>
            </w:r>
            <w:r>
              <w:rPr>
                <w:spacing w:val="-10"/>
                <w:w w:val="105"/>
                <w:sz w:val="13"/>
              </w:rPr>
              <w:t> </w:t>
            </w:r>
            <w:r>
              <w:rPr>
                <w:w w:val="105"/>
                <w:sz w:val="13"/>
              </w:rPr>
              <w:t>credit</w:t>
            </w:r>
            <w:r>
              <w:rPr>
                <w:spacing w:val="-8"/>
                <w:w w:val="105"/>
                <w:sz w:val="13"/>
              </w:rPr>
              <w:t> </w:t>
            </w:r>
            <w:r>
              <w:rPr>
                <w:spacing w:val="-2"/>
                <w:w w:val="105"/>
                <w:sz w:val="13"/>
              </w:rPr>
              <w:t>losses</w:t>
            </w:r>
          </w:p>
        </w:tc>
        <w:tc>
          <w:tcPr>
            <w:tcW w:w="879" w:type="dxa"/>
          </w:tcPr>
          <w:p>
            <w:pPr>
              <w:pStyle w:val="TableParagraph"/>
              <w:spacing w:before="18"/>
              <w:ind w:right="21"/>
              <w:jc w:val="right"/>
              <w:rPr>
                <w:sz w:val="13"/>
              </w:rPr>
            </w:pPr>
            <w:r>
              <w:rPr>
                <w:spacing w:val="-10"/>
                <w:w w:val="105"/>
                <w:sz w:val="13"/>
              </w:rPr>
              <w:t>0</w:t>
            </w:r>
          </w:p>
        </w:tc>
        <w:tc>
          <w:tcPr>
            <w:tcW w:w="932" w:type="dxa"/>
          </w:tcPr>
          <w:p>
            <w:pPr>
              <w:pStyle w:val="TableParagraph"/>
              <w:spacing w:before="18"/>
              <w:ind w:right="73"/>
              <w:jc w:val="right"/>
              <w:rPr>
                <w:sz w:val="13"/>
              </w:rPr>
            </w:pPr>
            <w:r>
              <w:rPr>
                <w:spacing w:val="-10"/>
                <w:w w:val="105"/>
                <w:sz w:val="13"/>
              </w:rPr>
              <w:t>0</w:t>
            </w:r>
          </w:p>
        </w:tc>
        <w:tc>
          <w:tcPr>
            <w:tcW w:w="1942" w:type="dxa"/>
            <w:gridSpan w:val="2"/>
          </w:tcPr>
          <w:p>
            <w:pPr>
              <w:pStyle w:val="TableParagraph"/>
              <w:tabs>
                <w:tab w:pos="1714" w:val="left" w:leader="none"/>
              </w:tabs>
              <w:spacing w:before="18"/>
              <w:ind w:left="797"/>
              <w:rPr>
                <w:sz w:val="13"/>
              </w:rPr>
            </w:pPr>
            <w:r>
              <w:rPr>
                <w:spacing w:val="-10"/>
                <w:w w:val="105"/>
                <w:sz w:val="13"/>
              </w:rPr>
              <w:t>4</w:t>
            </w:r>
            <w:r>
              <w:rPr>
                <w:sz w:val="13"/>
              </w:rPr>
              <w:tab/>
            </w:r>
            <w:r>
              <w:rPr>
                <w:spacing w:val="-7"/>
                <w:w w:val="105"/>
                <w:sz w:val="13"/>
              </w:rPr>
              <w:t>15</w:t>
            </w:r>
          </w:p>
        </w:tc>
        <w:tc>
          <w:tcPr>
            <w:tcW w:w="899" w:type="dxa"/>
          </w:tcPr>
          <w:p>
            <w:pPr>
              <w:pStyle w:val="TableParagraph"/>
              <w:spacing w:before="18"/>
              <w:ind w:right="24"/>
              <w:jc w:val="right"/>
              <w:rPr>
                <w:sz w:val="13"/>
              </w:rPr>
            </w:pPr>
            <w:r>
              <w:rPr>
                <w:spacing w:val="-2"/>
                <w:w w:val="105"/>
                <w:sz w:val="13"/>
              </w:rPr>
              <w:t>1,828</w:t>
            </w:r>
          </w:p>
        </w:tc>
        <w:tc>
          <w:tcPr>
            <w:tcW w:w="950" w:type="dxa"/>
          </w:tcPr>
          <w:p>
            <w:pPr>
              <w:pStyle w:val="TableParagraph"/>
              <w:spacing w:before="18"/>
              <w:ind w:right="24"/>
              <w:jc w:val="right"/>
              <w:rPr>
                <w:sz w:val="13"/>
              </w:rPr>
            </w:pPr>
            <w:r>
              <w:rPr>
                <w:spacing w:val="-2"/>
                <w:w w:val="105"/>
                <w:sz w:val="13"/>
              </w:rPr>
              <w:t>1,847</w:t>
            </w:r>
          </w:p>
        </w:tc>
      </w:tr>
    </w:tbl>
    <w:p>
      <w:pPr>
        <w:spacing w:after="0"/>
        <w:jc w:val="right"/>
        <w:rPr>
          <w:sz w:val="13"/>
        </w:rPr>
        <w:sectPr>
          <w:pgSz w:w="11910" w:h="16840"/>
          <w:pgMar w:header="468" w:footer="0" w:top="1580" w:bottom="280" w:left="1020" w:right="1540"/>
        </w:sectPr>
      </w:pPr>
    </w:p>
    <w:p>
      <w:pPr>
        <w:spacing w:before="92"/>
        <w:ind w:left="144" w:right="0" w:firstLine="0"/>
        <w:jc w:val="left"/>
        <w:rPr>
          <w:sz w:val="22"/>
        </w:rPr>
      </w:pPr>
      <w:r>
        <w:rPr>
          <w:color w:val="0070C0"/>
          <w:sz w:val="22"/>
        </w:rPr>
        <w:t>NOTES</w:t>
      </w:r>
      <w:r>
        <w:rPr>
          <w:color w:val="0070C0"/>
          <w:spacing w:val="-9"/>
          <w:sz w:val="22"/>
        </w:rPr>
        <w:t> </w:t>
      </w:r>
      <w:r>
        <w:rPr>
          <w:color w:val="0070C0"/>
          <w:sz w:val="22"/>
        </w:rPr>
        <w:t>TO</w:t>
      </w:r>
      <w:r>
        <w:rPr>
          <w:color w:val="0070C0"/>
          <w:spacing w:val="-9"/>
          <w:sz w:val="22"/>
        </w:rPr>
        <w:t> </w:t>
      </w:r>
      <w:r>
        <w:rPr>
          <w:color w:val="0070C0"/>
          <w:sz w:val="22"/>
        </w:rPr>
        <w:t>THE</w:t>
      </w:r>
      <w:r>
        <w:rPr>
          <w:color w:val="0070C0"/>
          <w:spacing w:val="-9"/>
          <w:sz w:val="22"/>
        </w:rPr>
        <w:t> </w:t>
      </w:r>
      <w:r>
        <w:rPr>
          <w:color w:val="0070C0"/>
          <w:sz w:val="22"/>
        </w:rPr>
        <w:t>FINANCIAL</w:t>
      </w:r>
      <w:r>
        <w:rPr>
          <w:color w:val="0070C0"/>
          <w:spacing w:val="-9"/>
          <w:sz w:val="22"/>
        </w:rPr>
        <w:t> </w:t>
      </w:r>
      <w:r>
        <w:rPr>
          <w:color w:val="0070C0"/>
          <w:spacing w:val="-2"/>
          <w:sz w:val="22"/>
        </w:rPr>
        <w:t>STATEMENTS</w:t>
      </w:r>
    </w:p>
    <w:p>
      <w:pPr>
        <w:spacing w:before="31"/>
        <w:ind w:left="131" w:right="0" w:firstLine="0"/>
        <w:jc w:val="left"/>
        <w:rPr>
          <w:sz w:val="12"/>
        </w:rPr>
      </w:pPr>
      <w:r>
        <w:rPr>
          <w:w w:val="105"/>
          <w:sz w:val="12"/>
        </w:rPr>
        <w:t>for</w:t>
      </w:r>
      <w:r>
        <w:rPr>
          <w:spacing w:val="-8"/>
          <w:w w:val="105"/>
          <w:sz w:val="12"/>
        </w:rPr>
        <w:t> </w:t>
      </w:r>
      <w:r>
        <w:rPr>
          <w:w w:val="105"/>
          <w:sz w:val="12"/>
        </w:rPr>
        <w:t>the</w:t>
      </w:r>
      <w:r>
        <w:rPr>
          <w:spacing w:val="-9"/>
          <w:w w:val="105"/>
          <w:sz w:val="12"/>
        </w:rPr>
        <w:t> </w:t>
      </w:r>
      <w:r>
        <w:rPr>
          <w:w w:val="105"/>
          <w:sz w:val="12"/>
        </w:rPr>
        <w:t>year</w:t>
      </w:r>
      <w:r>
        <w:rPr>
          <w:spacing w:val="-8"/>
          <w:w w:val="105"/>
          <w:sz w:val="12"/>
        </w:rPr>
        <w:t> </w:t>
      </w:r>
      <w:r>
        <w:rPr>
          <w:w w:val="105"/>
          <w:sz w:val="12"/>
        </w:rPr>
        <w:t>ended</w:t>
      </w:r>
      <w:r>
        <w:rPr>
          <w:spacing w:val="-8"/>
          <w:w w:val="105"/>
          <w:sz w:val="12"/>
        </w:rPr>
        <w:t> </w:t>
      </w:r>
      <w:r>
        <w:rPr>
          <w:w w:val="105"/>
          <w:sz w:val="12"/>
        </w:rPr>
        <w:t>31</w:t>
      </w:r>
      <w:r>
        <w:rPr>
          <w:spacing w:val="-9"/>
          <w:w w:val="105"/>
          <w:sz w:val="12"/>
        </w:rPr>
        <w:t> </w:t>
      </w:r>
      <w:r>
        <w:rPr>
          <w:w w:val="105"/>
          <w:sz w:val="12"/>
        </w:rPr>
        <w:t>December</w:t>
      </w:r>
      <w:r>
        <w:rPr>
          <w:spacing w:val="-8"/>
          <w:w w:val="105"/>
          <w:sz w:val="12"/>
        </w:rPr>
        <w:t> </w:t>
      </w:r>
      <w:r>
        <w:rPr>
          <w:spacing w:val="-4"/>
          <w:w w:val="105"/>
          <w:sz w:val="12"/>
        </w:rPr>
        <w:t>2020</w:t>
      </w:r>
    </w:p>
    <w:p>
      <w:pPr>
        <w:spacing w:line="240" w:lineRule="auto" w:before="71"/>
        <w:rPr>
          <w:sz w:val="12"/>
        </w:rPr>
      </w:pPr>
    </w:p>
    <w:p>
      <w:pPr>
        <w:spacing w:before="0"/>
        <w:ind w:left="640" w:right="0" w:firstLine="0"/>
        <w:jc w:val="both"/>
        <w:rPr>
          <w:b/>
          <w:sz w:val="13"/>
        </w:rPr>
      </w:pPr>
      <w:r>
        <w:rPr>
          <w:b/>
          <w:w w:val="105"/>
          <w:sz w:val="13"/>
        </w:rPr>
        <w:t>Financial</w:t>
      </w:r>
      <w:r>
        <w:rPr>
          <w:b/>
          <w:spacing w:val="-8"/>
          <w:w w:val="105"/>
          <w:sz w:val="13"/>
        </w:rPr>
        <w:t> </w:t>
      </w:r>
      <w:r>
        <w:rPr>
          <w:b/>
          <w:w w:val="105"/>
          <w:sz w:val="13"/>
        </w:rPr>
        <w:t>instruments</w:t>
      </w:r>
      <w:r>
        <w:rPr>
          <w:b/>
          <w:spacing w:val="-7"/>
          <w:w w:val="105"/>
          <w:sz w:val="13"/>
        </w:rPr>
        <w:t> </w:t>
      </w:r>
      <w:r>
        <w:rPr>
          <w:b/>
          <w:w w:val="105"/>
          <w:sz w:val="13"/>
        </w:rPr>
        <w:t>and</w:t>
      </w:r>
      <w:r>
        <w:rPr>
          <w:b/>
          <w:spacing w:val="-7"/>
          <w:w w:val="105"/>
          <w:sz w:val="13"/>
        </w:rPr>
        <w:t> </w:t>
      </w:r>
      <w:r>
        <w:rPr>
          <w:b/>
          <w:w w:val="105"/>
          <w:sz w:val="13"/>
        </w:rPr>
        <w:t>cash</w:t>
      </w:r>
      <w:r>
        <w:rPr>
          <w:b/>
          <w:spacing w:val="-7"/>
          <w:w w:val="105"/>
          <w:sz w:val="13"/>
        </w:rPr>
        <w:t> </w:t>
      </w:r>
      <w:r>
        <w:rPr>
          <w:b/>
          <w:spacing w:val="-2"/>
          <w:w w:val="105"/>
          <w:sz w:val="13"/>
        </w:rPr>
        <w:t>deposits</w:t>
      </w:r>
    </w:p>
    <w:p>
      <w:pPr>
        <w:spacing w:line="273" w:lineRule="auto" w:before="36"/>
        <w:ind w:left="640" w:right="306" w:firstLine="0"/>
        <w:jc w:val="both"/>
        <w:rPr>
          <w:sz w:val="13"/>
        </w:rPr>
      </w:pPr>
      <w:r>
        <w:rPr>
          <w:w w:val="105"/>
          <w:sz w:val="13"/>
        </w:rPr>
        <w:t>The Investment Policy</w:t>
      </w:r>
      <w:r>
        <w:rPr>
          <w:spacing w:val="-1"/>
          <w:w w:val="105"/>
          <w:sz w:val="13"/>
        </w:rPr>
        <w:t> </w:t>
      </w:r>
      <w:r>
        <w:rPr>
          <w:w w:val="105"/>
          <w:sz w:val="13"/>
        </w:rPr>
        <w:t>Statement, which is managed by</w:t>
      </w:r>
      <w:r>
        <w:rPr>
          <w:spacing w:val="-1"/>
          <w:w w:val="105"/>
          <w:sz w:val="13"/>
        </w:rPr>
        <w:t> </w:t>
      </w:r>
      <w:r>
        <w:rPr>
          <w:w w:val="105"/>
          <w:sz w:val="13"/>
        </w:rPr>
        <w:t>the Strategic Resources Committee and approved by</w:t>
      </w:r>
      <w:r>
        <w:rPr>
          <w:spacing w:val="-1"/>
          <w:w w:val="105"/>
          <w:sz w:val="13"/>
        </w:rPr>
        <w:t> </w:t>
      </w:r>
      <w:r>
        <w:rPr>
          <w:w w:val="105"/>
          <w:sz w:val="13"/>
        </w:rPr>
        <w:t>Senate, sets out investment</w:t>
      </w:r>
      <w:r>
        <w:rPr>
          <w:spacing w:val="40"/>
          <w:w w:val="105"/>
          <w:sz w:val="13"/>
        </w:rPr>
        <w:t> </w:t>
      </w:r>
      <w:r>
        <w:rPr>
          <w:w w:val="105"/>
          <w:sz w:val="13"/>
        </w:rPr>
        <w:t>policy</w:t>
      </w:r>
      <w:r>
        <w:rPr>
          <w:w w:val="105"/>
          <w:sz w:val="13"/>
        </w:rPr>
        <w:t> for</w:t>
      </w:r>
      <w:r>
        <w:rPr>
          <w:w w:val="105"/>
          <w:sz w:val="13"/>
        </w:rPr>
        <w:t> matters</w:t>
      </w:r>
      <w:r>
        <w:rPr>
          <w:w w:val="105"/>
          <w:sz w:val="13"/>
        </w:rPr>
        <w:t> such</w:t>
      </w:r>
      <w:r>
        <w:rPr>
          <w:w w:val="105"/>
          <w:sz w:val="13"/>
        </w:rPr>
        <w:t> as</w:t>
      </w:r>
      <w:r>
        <w:rPr>
          <w:w w:val="105"/>
          <w:sz w:val="13"/>
        </w:rPr>
        <w:t> performance</w:t>
      </w:r>
      <w:r>
        <w:rPr>
          <w:w w:val="105"/>
          <w:sz w:val="13"/>
        </w:rPr>
        <w:t> objectives,</w:t>
      </w:r>
      <w:r>
        <w:rPr>
          <w:w w:val="105"/>
          <w:sz w:val="13"/>
        </w:rPr>
        <w:t> investment</w:t>
      </w:r>
      <w:r>
        <w:rPr>
          <w:w w:val="105"/>
          <w:sz w:val="13"/>
        </w:rPr>
        <w:t> restrictions,</w:t>
      </w:r>
      <w:r>
        <w:rPr>
          <w:w w:val="105"/>
          <w:sz w:val="13"/>
        </w:rPr>
        <w:t> performance</w:t>
      </w:r>
      <w:r>
        <w:rPr>
          <w:w w:val="105"/>
          <w:sz w:val="13"/>
        </w:rPr>
        <w:t> benchmarks</w:t>
      </w:r>
      <w:r>
        <w:rPr>
          <w:w w:val="105"/>
          <w:sz w:val="13"/>
        </w:rPr>
        <w:t> and</w:t>
      </w:r>
      <w:r>
        <w:rPr>
          <w:w w:val="105"/>
          <w:sz w:val="13"/>
        </w:rPr>
        <w:t> monitoring,</w:t>
      </w:r>
      <w:r>
        <w:rPr>
          <w:w w:val="105"/>
          <w:sz w:val="13"/>
        </w:rPr>
        <w:t> and</w:t>
      </w:r>
      <w:r>
        <w:rPr>
          <w:w w:val="105"/>
          <w:sz w:val="13"/>
        </w:rPr>
        <w:t> the</w:t>
      </w:r>
      <w:r>
        <w:rPr>
          <w:w w:val="105"/>
          <w:sz w:val="13"/>
        </w:rPr>
        <w:t> strategic</w:t>
      </w:r>
      <w:r>
        <w:rPr>
          <w:spacing w:val="40"/>
          <w:w w:val="105"/>
          <w:sz w:val="13"/>
        </w:rPr>
        <w:t> </w:t>
      </w:r>
      <w:r>
        <w:rPr>
          <w:w w:val="105"/>
          <w:sz w:val="13"/>
        </w:rPr>
        <w:t>asset</w:t>
      </w:r>
      <w:r>
        <w:rPr>
          <w:spacing w:val="-1"/>
          <w:w w:val="105"/>
          <w:sz w:val="13"/>
        </w:rPr>
        <w:t> </w:t>
      </w:r>
      <w:r>
        <w:rPr>
          <w:w w:val="105"/>
          <w:sz w:val="13"/>
        </w:rPr>
        <w:t>allocation</w:t>
      </w:r>
      <w:r>
        <w:rPr>
          <w:spacing w:val="-2"/>
          <w:w w:val="105"/>
          <w:sz w:val="13"/>
        </w:rPr>
        <w:t> </w:t>
      </w:r>
      <w:r>
        <w:rPr>
          <w:w w:val="105"/>
          <w:sz w:val="13"/>
        </w:rPr>
        <w:t>benchmark for</w:t>
      </w:r>
      <w:r>
        <w:rPr>
          <w:spacing w:val="-2"/>
          <w:w w:val="105"/>
          <w:sz w:val="13"/>
        </w:rPr>
        <w:t> </w:t>
      </w:r>
      <w:r>
        <w:rPr>
          <w:w w:val="105"/>
          <w:sz w:val="13"/>
        </w:rPr>
        <w:t>each</w:t>
      </w:r>
      <w:r>
        <w:rPr>
          <w:spacing w:val="-2"/>
          <w:w w:val="105"/>
          <w:sz w:val="13"/>
        </w:rPr>
        <w:t> </w:t>
      </w:r>
      <w:r>
        <w:rPr>
          <w:w w:val="105"/>
          <w:sz w:val="13"/>
        </w:rPr>
        <w:t>investment</w:t>
      </w:r>
      <w:r>
        <w:rPr>
          <w:spacing w:val="-3"/>
          <w:w w:val="105"/>
          <w:sz w:val="13"/>
        </w:rPr>
        <w:t> </w:t>
      </w:r>
      <w:r>
        <w:rPr>
          <w:w w:val="105"/>
          <w:sz w:val="13"/>
        </w:rPr>
        <w:t>pool.</w:t>
      </w:r>
      <w:r>
        <w:rPr>
          <w:spacing w:val="-1"/>
          <w:w w:val="105"/>
          <w:sz w:val="13"/>
        </w:rPr>
        <w:t> </w:t>
      </w:r>
      <w:r>
        <w:rPr>
          <w:w w:val="105"/>
          <w:sz w:val="13"/>
        </w:rPr>
        <w:t>The</w:t>
      </w:r>
      <w:r>
        <w:rPr>
          <w:spacing w:val="-4"/>
          <w:w w:val="105"/>
          <w:sz w:val="13"/>
        </w:rPr>
        <w:t> </w:t>
      </w:r>
      <w:r>
        <w:rPr>
          <w:w w:val="105"/>
          <w:sz w:val="13"/>
        </w:rPr>
        <w:t>investment</w:t>
      </w:r>
      <w:r>
        <w:rPr>
          <w:spacing w:val="-1"/>
          <w:w w:val="105"/>
          <w:sz w:val="13"/>
        </w:rPr>
        <w:t> </w:t>
      </w:r>
      <w:r>
        <w:rPr>
          <w:w w:val="105"/>
          <w:sz w:val="13"/>
        </w:rPr>
        <w:t>policy</w:t>
      </w:r>
      <w:r>
        <w:rPr>
          <w:spacing w:val="-8"/>
          <w:w w:val="105"/>
          <w:sz w:val="13"/>
        </w:rPr>
        <w:t> </w:t>
      </w:r>
      <w:r>
        <w:rPr>
          <w:w w:val="105"/>
          <w:sz w:val="13"/>
        </w:rPr>
        <w:t>is</w:t>
      </w:r>
      <w:r>
        <w:rPr>
          <w:spacing w:val="-1"/>
          <w:w w:val="105"/>
          <w:sz w:val="13"/>
        </w:rPr>
        <w:t> </w:t>
      </w:r>
      <w:r>
        <w:rPr>
          <w:w w:val="105"/>
          <w:sz w:val="13"/>
        </w:rPr>
        <w:t>formally</w:t>
      </w:r>
      <w:r>
        <w:rPr>
          <w:spacing w:val="-7"/>
          <w:w w:val="105"/>
          <w:sz w:val="13"/>
        </w:rPr>
        <w:t> </w:t>
      </w:r>
      <w:r>
        <w:rPr>
          <w:w w:val="105"/>
          <w:sz w:val="13"/>
        </w:rPr>
        <w:t>reviewed</w:t>
      </w:r>
      <w:r>
        <w:rPr>
          <w:spacing w:val="-2"/>
          <w:w w:val="105"/>
          <w:sz w:val="13"/>
        </w:rPr>
        <w:t> </w:t>
      </w:r>
      <w:r>
        <w:rPr>
          <w:w w:val="105"/>
          <w:sz w:val="13"/>
        </w:rPr>
        <w:t>every</w:t>
      </w:r>
      <w:r>
        <w:rPr>
          <w:spacing w:val="-7"/>
          <w:w w:val="105"/>
          <w:sz w:val="13"/>
        </w:rPr>
        <w:t> </w:t>
      </w:r>
      <w:r>
        <w:rPr>
          <w:w w:val="105"/>
          <w:sz w:val="13"/>
        </w:rPr>
        <w:t>two</w:t>
      </w:r>
      <w:r>
        <w:rPr>
          <w:spacing w:val="-2"/>
          <w:w w:val="105"/>
          <w:sz w:val="13"/>
        </w:rPr>
        <w:t> </w:t>
      </w:r>
      <w:r>
        <w:rPr>
          <w:w w:val="105"/>
          <w:sz w:val="13"/>
        </w:rPr>
        <w:t>years.</w:t>
      </w:r>
      <w:r>
        <w:rPr>
          <w:spacing w:val="-3"/>
          <w:w w:val="105"/>
          <w:sz w:val="13"/>
        </w:rPr>
        <w:t> </w:t>
      </w:r>
      <w:r>
        <w:rPr>
          <w:w w:val="105"/>
          <w:sz w:val="13"/>
        </w:rPr>
        <w:t>An</w:t>
      </w:r>
      <w:r>
        <w:rPr>
          <w:spacing w:val="-2"/>
          <w:w w:val="105"/>
          <w:sz w:val="13"/>
        </w:rPr>
        <w:t> </w:t>
      </w:r>
      <w:r>
        <w:rPr>
          <w:w w:val="105"/>
          <w:sz w:val="13"/>
        </w:rPr>
        <w:t>investment</w:t>
      </w:r>
      <w:r>
        <w:rPr>
          <w:spacing w:val="-3"/>
          <w:w w:val="105"/>
          <w:sz w:val="13"/>
        </w:rPr>
        <w:t> </w:t>
      </w:r>
      <w:r>
        <w:rPr>
          <w:w w:val="105"/>
          <w:sz w:val="13"/>
        </w:rPr>
        <w:t>consultant</w:t>
      </w:r>
      <w:r>
        <w:rPr>
          <w:spacing w:val="40"/>
          <w:w w:val="105"/>
          <w:sz w:val="13"/>
        </w:rPr>
        <w:t> </w:t>
      </w:r>
      <w:r>
        <w:rPr>
          <w:w w:val="105"/>
          <w:sz w:val="13"/>
        </w:rPr>
        <w:t>is appointed</w:t>
      </w:r>
      <w:r>
        <w:rPr>
          <w:spacing w:val="-1"/>
          <w:w w:val="105"/>
          <w:sz w:val="13"/>
        </w:rPr>
        <w:t> </w:t>
      </w:r>
      <w:r>
        <w:rPr>
          <w:w w:val="105"/>
          <w:sz w:val="13"/>
        </w:rPr>
        <w:t>to</w:t>
      </w:r>
      <w:r>
        <w:rPr>
          <w:spacing w:val="-1"/>
          <w:w w:val="105"/>
          <w:sz w:val="13"/>
        </w:rPr>
        <w:t> </w:t>
      </w:r>
      <w:r>
        <w:rPr>
          <w:w w:val="105"/>
          <w:sz w:val="13"/>
        </w:rPr>
        <w:t>undertake</w:t>
      </w:r>
      <w:r>
        <w:rPr>
          <w:spacing w:val="-1"/>
          <w:w w:val="105"/>
          <w:sz w:val="13"/>
        </w:rPr>
        <w:t> </w:t>
      </w:r>
      <w:r>
        <w:rPr>
          <w:w w:val="105"/>
          <w:sz w:val="13"/>
        </w:rPr>
        <w:t>an</w:t>
      </w:r>
      <w:r>
        <w:rPr>
          <w:spacing w:val="-1"/>
          <w:w w:val="105"/>
          <w:sz w:val="13"/>
        </w:rPr>
        <w:t> </w:t>
      </w:r>
      <w:r>
        <w:rPr>
          <w:w w:val="105"/>
          <w:sz w:val="13"/>
        </w:rPr>
        <w:t>independent</w:t>
      </w:r>
      <w:r>
        <w:rPr>
          <w:spacing w:val="-1"/>
          <w:w w:val="105"/>
          <w:sz w:val="13"/>
        </w:rPr>
        <w:t> </w:t>
      </w:r>
      <w:r>
        <w:rPr>
          <w:w w:val="105"/>
          <w:sz w:val="13"/>
        </w:rPr>
        <w:t>review</w:t>
      </w:r>
      <w:r>
        <w:rPr>
          <w:spacing w:val="-4"/>
          <w:w w:val="105"/>
          <w:sz w:val="13"/>
        </w:rPr>
        <w:t> </w:t>
      </w:r>
      <w:r>
        <w:rPr>
          <w:w w:val="105"/>
          <w:sz w:val="13"/>
        </w:rPr>
        <w:t>every</w:t>
      </w:r>
      <w:r>
        <w:rPr>
          <w:spacing w:val="-4"/>
          <w:w w:val="105"/>
          <w:sz w:val="13"/>
        </w:rPr>
        <w:t> </w:t>
      </w:r>
      <w:r>
        <w:rPr>
          <w:w w:val="105"/>
          <w:sz w:val="13"/>
        </w:rPr>
        <w:t>four years and</w:t>
      </w:r>
      <w:r>
        <w:rPr>
          <w:spacing w:val="-1"/>
          <w:w w:val="105"/>
          <w:sz w:val="13"/>
        </w:rPr>
        <w:t> </w:t>
      </w:r>
      <w:r>
        <w:rPr>
          <w:w w:val="105"/>
          <w:sz w:val="13"/>
        </w:rPr>
        <w:t>at</w:t>
      </w:r>
      <w:r>
        <w:rPr>
          <w:spacing w:val="-1"/>
          <w:w w:val="105"/>
          <w:sz w:val="13"/>
        </w:rPr>
        <w:t> </w:t>
      </w:r>
      <w:r>
        <w:rPr>
          <w:w w:val="105"/>
          <w:sz w:val="13"/>
        </w:rPr>
        <w:t>any</w:t>
      </w:r>
      <w:r>
        <w:rPr>
          <w:spacing w:val="-4"/>
          <w:w w:val="105"/>
          <w:sz w:val="13"/>
        </w:rPr>
        <w:t> </w:t>
      </w:r>
      <w:r>
        <w:rPr>
          <w:w w:val="105"/>
          <w:sz w:val="13"/>
        </w:rPr>
        <w:t>time</w:t>
      </w:r>
      <w:r>
        <w:rPr>
          <w:spacing w:val="-1"/>
          <w:w w:val="105"/>
          <w:sz w:val="13"/>
        </w:rPr>
        <w:t> </w:t>
      </w:r>
      <w:r>
        <w:rPr>
          <w:w w:val="105"/>
          <w:sz w:val="13"/>
        </w:rPr>
        <w:t>a</w:t>
      </w:r>
      <w:r>
        <w:rPr>
          <w:spacing w:val="-1"/>
          <w:w w:val="105"/>
          <w:sz w:val="13"/>
        </w:rPr>
        <w:t> </w:t>
      </w:r>
      <w:r>
        <w:rPr>
          <w:w w:val="105"/>
          <w:sz w:val="13"/>
        </w:rPr>
        <w:t>material change</w:t>
      </w:r>
      <w:r>
        <w:rPr>
          <w:spacing w:val="-1"/>
          <w:w w:val="105"/>
          <w:sz w:val="13"/>
        </w:rPr>
        <w:t> </w:t>
      </w:r>
      <w:r>
        <w:rPr>
          <w:w w:val="105"/>
          <w:sz w:val="13"/>
        </w:rPr>
        <w:t>to</w:t>
      </w:r>
      <w:r>
        <w:rPr>
          <w:spacing w:val="-1"/>
          <w:w w:val="105"/>
          <w:sz w:val="13"/>
        </w:rPr>
        <w:t> </w:t>
      </w:r>
      <w:r>
        <w:rPr>
          <w:w w:val="105"/>
          <w:sz w:val="13"/>
        </w:rPr>
        <w:t>the</w:t>
      </w:r>
      <w:r>
        <w:rPr>
          <w:spacing w:val="-1"/>
          <w:w w:val="105"/>
          <w:sz w:val="13"/>
        </w:rPr>
        <w:t> </w:t>
      </w:r>
      <w:r>
        <w:rPr>
          <w:w w:val="105"/>
          <w:sz w:val="13"/>
        </w:rPr>
        <w:t>policy</w:t>
      </w:r>
      <w:r>
        <w:rPr>
          <w:spacing w:val="-4"/>
          <w:w w:val="105"/>
          <w:sz w:val="13"/>
        </w:rPr>
        <w:t> </w:t>
      </w:r>
      <w:r>
        <w:rPr>
          <w:w w:val="105"/>
          <w:sz w:val="13"/>
        </w:rPr>
        <w:t>is proposed.</w:t>
      </w:r>
    </w:p>
    <w:p>
      <w:pPr>
        <w:spacing w:line="240" w:lineRule="auto" w:before="123"/>
        <w:rPr>
          <w:sz w:val="13"/>
        </w:rPr>
      </w:pPr>
    </w:p>
    <w:p>
      <w:pPr>
        <w:spacing w:line="273" w:lineRule="auto" w:before="0"/>
        <w:ind w:left="640" w:right="306" w:firstLine="0"/>
        <w:jc w:val="both"/>
        <w:rPr>
          <w:sz w:val="13"/>
        </w:rPr>
      </w:pPr>
      <w:r>
        <w:rPr>
          <w:w w:val="105"/>
          <w:sz w:val="13"/>
        </w:rPr>
        <w:t>The majority of the Group's exposure to credit risk from other financial assets at amortised cost is denominated in Australian dollars. The</w:t>
      </w:r>
      <w:r>
        <w:rPr>
          <w:spacing w:val="40"/>
          <w:w w:val="105"/>
          <w:sz w:val="13"/>
        </w:rPr>
        <w:t> </w:t>
      </w:r>
      <w:r>
        <w:rPr>
          <w:w w:val="105"/>
          <w:sz w:val="13"/>
        </w:rPr>
        <w:t>Group's</w:t>
      </w:r>
      <w:r>
        <w:rPr>
          <w:w w:val="105"/>
          <w:sz w:val="13"/>
        </w:rPr>
        <w:t> credit</w:t>
      </w:r>
      <w:r>
        <w:rPr>
          <w:w w:val="105"/>
          <w:sz w:val="13"/>
        </w:rPr>
        <w:t> control</w:t>
      </w:r>
      <w:r>
        <w:rPr>
          <w:w w:val="105"/>
          <w:sz w:val="13"/>
        </w:rPr>
        <w:t> policy</w:t>
      </w:r>
      <w:r>
        <w:rPr>
          <w:w w:val="105"/>
          <w:sz w:val="13"/>
        </w:rPr>
        <w:t> is</w:t>
      </w:r>
      <w:r>
        <w:rPr>
          <w:w w:val="105"/>
          <w:sz w:val="13"/>
        </w:rPr>
        <w:t> designed</w:t>
      </w:r>
      <w:r>
        <w:rPr>
          <w:w w:val="105"/>
          <w:sz w:val="13"/>
        </w:rPr>
        <w:t> to</w:t>
      </w:r>
      <w:r>
        <w:rPr>
          <w:w w:val="105"/>
          <w:sz w:val="13"/>
        </w:rPr>
        <w:t> ensure</w:t>
      </w:r>
      <w:r>
        <w:rPr>
          <w:w w:val="105"/>
          <w:sz w:val="13"/>
        </w:rPr>
        <w:t> that</w:t>
      </w:r>
      <w:r>
        <w:rPr>
          <w:w w:val="105"/>
          <w:sz w:val="13"/>
        </w:rPr>
        <w:t> credit</w:t>
      </w:r>
      <w:r>
        <w:rPr>
          <w:w w:val="105"/>
          <w:sz w:val="13"/>
        </w:rPr>
        <w:t> facilities</w:t>
      </w:r>
      <w:r>
        <w:rPr>
          <w:w w:val="105"/>
          <w:sz w:val="13"/>
        </w:rPr>
        <w:t> are</w:t>
      </w:r>
      <w:r>
        <w:rPr>
          <w:w w:val="105"/>
          <w:sz w:val="13"/>
        </w:rPr>
        <w:t> provided</w:t>
      </w:r>
      <w:r>
        <w:rPr>
          <w:w w:val="105"/>
          <w:sz w:val="13"/>
        </w:rPr>
        <w:t> to</w:t>
      </w:r>
      <w:r>
        <w:rPr>
          <w:w w:val="105"/>
          <w:sz w:val="13"/>
        </w:rPr>
        <w:t> customers</w:t>
      </w:r>
      <w:r>
        <w:rPr>
          <w:w w:val="105"/>
          <w:sz w:val="13"/>
        </w:rPr>
        <w:t> with</w:t>
      </w:r>
      <w:r>
        <w:rPr>
          <w:w w:val="105"/>
          <w:sz w:val="13"/>
        </w:rPr>
        <w:t> an</w:t>
      </w:r>
      <w:r>
        <w:rPr>
          <w:w w:val="105"/>
          <w:sz w:val="13"/>
        </w:rPr>
        <w:t> appropriate</w:t>
      </w:r>
      <w:r>
        <w:rPr>
          <w:w w:val="105"/>
          <w:sz w:val="13"/>
        </w:rPr>
        <w:t> credit</w:t>
      </w:r>
      <w:r>
        <w:rPr>
          <w:w w:val="105"/>
          <w:sz w:val="13"/>
        </w:rPr>
        <w:t> history.</w:t>
      </w:r>
      <w:r>
        <w:rPr>
          <w:spacing w:val="40"/>
          <w:w w:val="105"/>
          <w:sz w:val="13"/>
        </w:rPr>
        <w:t> </w:t>
      </w:r>
      <w:r>
        <w:rPr>
          <w:w w:val="105"/>
          <w:sz w:val="13"/>
        </w:rPr>
        <w:t>Thereafter, the Group has an active credit management policy.</w:t>
      </w:r>
    </w:p>
    <w:p>
      <w:pPr>
        <w:spacing w:line="240" w:lineRule="auto" w:before="36"/>
        <w:rPr>
          <w:sz w:val="13"/>
        </w:rPr>
      </w:pPr>
    </w:p>
    <w:p>
      <w:pPr>
        <w:spacing w:line="273" w:lineRule="auto" w:before="0"/>
        <w:ind w:left="640" w:right="304" w:firstLine="0"/>
        <w:jc w:val="both"/>
        <w:rPr>
          <w:sz w:val="13"/>
        </w:rPr>
      </w:pPr>
      <w:r>
        <w:rPr>
          <w:w w:val="105"/>
          <w:sz w:val="13"/>
        </w:rPr>
        <w:t>The Group's cash and cash equivalent transactions are invested only through pre-approved authorised deposit-taking institutions</w:t>
      </w:r>
      <w:r>
        <w:rPr>
          <w:w w:val="105"/>
          <w:sz w:val="13"/>
        </w:rPr>
        <w:t> and in</w:t>
      </w:r>
      <w:r>
        <w:rPr>
          <w:spacing w:val="40"/>
          <w:w w:val="105"/>
          <w:sz w:val="13"/>
        </w:rPr>
        <w:t> </w:t>
      </w:r>
      <w:r>
        <w:rPr>
          <w:w w:val="105"/>
          <w:sz w:val="13"/>
        </w:rPr>
        <w:t>accordance with the Group's Investment Policy, where maximum exposure limits are set for each institution according to their risk profile.</w:t>
      </w:r>
    </w:p>
    <w:p>
      <w:pPr>
        <w:spacing w:line="240" w:lineRule="auto" w:before="0"/>
        <w:rPr>
          <w:sz w:val="13"/>
        </w:rPr>
      </w:pPr>
    </w:p>
    <w:p>
      <w:pPr>
        <w:spacing w:line="240" w:lineRule="auto" w:before="77"/>
        <w:rPr>
          <w:sz w:val="13"/>
        </w:rPr>
      </w:pPr>
    </w:p>
    <w:p>
      <w:pPr>
        <w:pStyle w:val="ListParagraph"/>
        <w:numPr>
          <w:ilvl w:val="0"/>
          <w:numId w:val="35"/>
        </w:numPr>
        <w:tabs>
          <w:tab w:pos="637" w:val="left" w:leader="none"/>
        </w:tabs>
        <w:spacing w:line="240" w:lineRule="auto" w:before="1" w:after="0"/>
        <w:ind w:left="637" w:right="0" w:hanging="504"/>
        <w:jc w:val="both"/>
        <w:rPr>
          <w:b/>
          <w:sz w:val="13"/>
        </w:rPr>
      </w:pPr>
      <w:r>
        <w:rPr>
          <w:b/>
          <w:w w:val="105"/>
          <w:sz w:val="13"/>
        </w:rPr>
        <w:t>Liquidity</w:t>
      </w:r>
      <w:r>
        <w:rPr>
          <w:b/>
          <w:spacing w:val="-5"/>
          <w:w w:val="105"/>
          <w:sz w:val="13"/>
        </w:rPr>
        <w:t> </w:t>
      </w:r>
      <w:r>
        <w:rPr>
          <w:b/>
          <w:spacing w:val="-4"/>
          <w:w w:val="105"/>
          <w:sz w:val="13"/>
        </w:rPr>
        <w:t>risk</w:t>
      </w:r>
    </w:p>
    <w:p>
      <w:pPr>
        <w:spacing w:line="273" w:lineRule="auto" w:before="20"/>
        <w:ind w:left="640" w:right="306" w:firstLine="0"/>
        <w:jc w:val="both"/>
        <w:rPr>
          <w:sz w:val="13"/>
        </w:rPr>
      </w:pPr>
      <w:r>
        <w:rPr>
          <w:w w:val="105"/>
          <w:sz w:val="13"/>
        </w:rPr>
        <w:t>Liquidity</w:t>
      </w:r>
      <w:r>
        <w:rPr>
          <w:spacing w:val="-2"/>
          <w:w w:val="105"/>
          <w:sz w:val="13"/>
        </w:rPr>
        <w:t> </w:t>
      </w:r>
      <w:r>
        <w:rPr>
          <w:w w:val="105"/>
          <w:sz w:val="13"/>
        </w:rPr>
        <w:t>risk is the risk that the Group will not be able to meet its financial obligations as they</w:t>
      </w:r>
      <w:r>
        <w:rPr>
          <w:spacing w:val="-2"/>
          <w:w w:val="105"/>
          <w:sz w:val="13"/>
        </w:rPr>
        <w:t> </w:t>
      </w:r>
      <w:r>
        <w:rPr>
          <w:w w:val="105"/>
          <w:sz w:val="13"/>
        </w:rPr>
        <w:t>fall due. The Group's approach to managing</w:t>
      </w:r>
      <w:r>
        <w:rPr>
          <w:spacing w:val="40"/>
          <w:w w:val="105"/>
          <w:sz w:val="13"/>
        </w:rPr>
        <w:t> </w:t>
      </w:r>
      <w:r>
        <w:rPr>
          <w:w w:val="105"/>
          <w:sz w:val="13"/>
        </w:rPr>
        <w:t>liquidity is to ensure, as far as possible, that it will always have sufficient liquidity to meet its liabilities when due, under both normal and</w:t>
      </w:r>
      <w:r>
        <w:rPr>
          <w:spacing w:val="40"/>
          <w:w w:val="105"/>
          <w:sz w:val="13"/>
        </w:rPr>
        <w:t> </w:t>
      </w:r>
      <w:r>
        <w:rPr>
          <w:w w:val="105"/>
          <w:sz w:val="13"/>
        </w:rPr>
        <w:t>stressed conditions, without incurring unacceptable losses or other related costs. Under normal conditions, the Group aims to achieve the</w:t>
      </w:r>
      <w:r>
        <w:rPr>
          <w:spacing w:val="40"/>
          <w:w w:val="105"/>
          <w:sz w:val="13"/>
        </w:rPr>
        <w:t> </w:t>
      </w:r>
      <w:r>
        <w:rPr>
          <w:w w:val="105"/>
          <w:sz w:val="13"/>
        </w:rPr>
        <w:t>optimum</w:t>
      </w:r>
      <w:r>
        <w:rPr>
          <w:w w:val="105"/>
          <w:sz w:val="13"/>
        </w:rPr>
        <w:t> level</w:t>
      </w:r>
      <w:r>
        <w:rPr>
          <w:w w:val="105"/>
          <w:sz w:val="13"/>
        </w:rPr>
        <w:t> of</w:t>
      </w:r>
      <w:r>
        <w:rPr>
          <w:w w:val="105"/>
          <w:sz w:val="13"/>
        </w:rPr>
        <w:t> cash</w:t>
      </w:r>
      <w:r>
        <w:rPr>
          <w:w w:val="105"/>
          <w:sz w:val="13"/>
        </w:rPr>
        <w:t> holding,</w:t>
      </w:r>
      <w:r>
        <w:rPr>
          <w:w w:val="105"/>
          <w:sz w:val="13"/>
        </w:rPr>
        <w:t> so</w:t>
      </w:r>
      <w:r>
        <w:rPr>
          <w:w w:val="105"/>
          <w:sz w:val="13"/>
        </w:rPr>
        <w:t> that</w:t>
      </w:r>
      <w:r>
        <w:rPr>
          <w:w w:val="105"/>
          <w:sz w:val="13"/>
        </w:rPr>
        <w:t> it</w:t>
      </w:r>
      <w:r>
        <w:rPr>
          <w:w w:val="105"/>
          <w:sz w:val="13"/>
        </w:rPr>
        <w:t> minimises</w:t>
      </w:r>
      <w:r>
        <w:rPr>
          <w:w w:val="105"/>
          <w:sz w:val="13"/>
        </w:rPr>
        <w:t> liquidity risk</w:t>
      </w:r>
      <w:r>
        <w:rPr>
          <w:w w:val="105"/>
          <w:sz w:val="13"/>
        </w:rPr>
        <w:t> to</w:t>
      </w:r>
      <w:r>
        <w:rPr>
          <w:w w:val="105"/>
          <w:sz w:val="13"/>
        </w:rPr>
        <w:t> an</w:t>
      </w:r>
      <w:r>
        <w:rPr>
          <w:w w:val="105"/>
          <w:sz w:val="13"/>
        </w:rPr>
        <w:t> acceptable</w:t>
      </w:r>
      <w:r>
        <w:rPr>
          <w:w w:val="105"/>
          <w:sz w:val="13"/>
        </w:rPr>
        <w:t> level,</w:t>
      </w:r>
      <w:r>
        <w:rPr>
          <w:w w:val="105"/>
          <w:sz w:val="13"/>
        </w:rPr>
        <w:t> while</w:t>
      </w:r>
      <w:r>
        <w:rPr>
          <w:w w:val="105"/>
          <w:sz w:val="13"/>
        </w:rPr>
        <w:t> at</w:t>
      </w:r>
      <w:r>
        <w:rPr>
          <w:w w:val="105"/>
          <w:sz w:val="13"/>
        </w:rPr>
        <w:t> the</w:t>
      </w:r>
      <w:r>
        <w:rPr>
          <w:w w:val="105"/>
          <w:sz w:val="13"/>
        </w:rPr>
        <w:t> same</w:t>
      </w:r>
      <w:r>
        <w:rPr>
          <w:w w:val="105"/>
          <w:sz w:val="13"/>
        </w:rPr>
        <w:t> time</w:t>
      </w:r>
      <w:r>
        <w:rPr>
          <w:w w:val="105"/>
          <w:sz w:val="13"/>
        </w:rPr>
        <w:t> maximising</w:t>
      </w:r>
      <w:r>
        <w:rPr>
          <w:w w:val="105"/>
          <w:sz w:val="13"/>
        </w:rPr>
        <w:t> return</w:t>
      </w:r>
      <w:r>
        <w:rPr>
          <w:w w:val="105"/>
          <w:sz w:val="13"/>
        </w:rPr>
        <w:t> from</w:t>
      </w:r>
      <w:r>
        <w:rPr>
          <w:spacing w:val="40"/>
          <w:w w:val="105"/>
          <w:sz w:val="13"/>
        </w:rPr>
        <w:t> </w:t>
      </w:r>
      <w:r>
        <w:rPr>
          <w:w w:val="105"/>
          <w:sz w:val="13"/>
        </w:rPr>
        <w:t>investment, for an agreed level of risk.</w:t>
      </w:r>
    </w:p>
    <w:p>
      <w:pPr>
        <w:spacing w:line="240" w:lineRule="auto" w:before="21"/>
        <w:rPr>
          <w:sz w:val="13"/>
        </w:rPr>
      </w:pPr>
    </w:p>
    <w:p>
      <w:pPr>
        <w:spacing w:line="273" w:lineRule="auto" w:before="0"/>
        <w:ind w:left="640" w:right="308" w:firstLine="0"/>
        <w:jc w:val="both"/>
        <w:rPr>
          <w:sz w:val="13"/>
        </w:rPr>
      </w:pPr>
      <w:r>
        <w:rPr>
          <w:w w:val="105"/>
          <w:sz w:val="13"/>
        </w:rPr>
        <w:t>To manage these conflicting objectives, and achieve a workable solution, the Group prepares daily rolling liquidity forecasts, so that pro-</w:t>
      </w:r>
      <w:r>
        <w:rPr>
          <w:spacing w:val="40"/>
          <w:w w:val="105"/>
          <w:sz w:val="13"/>
        </w:rPr>
        <w:t> </w:t>
      </w:r>
      <w:r>
        <w:rPr>
          <w:w w:val="105"/>
          <w:sz w:val="13"/>
        </w:rPr>
        <w:t>active, informed</w:t>
      </w:r>
      <w:r>
        <w:rPr>
          <w:spacing w:val="-1"/>
          <w:w w:val="105"/>
          <w:sz w:val="13"/>
        </w:rPr>
        <w:t> </w:t>
      </w:r>
      <w:r>
        <w:rPr>
          <w:w w:val="105"/>
          <w:sz w:val="13"/>
        </w:rPr>
        <w:t>decisions may</w:t>
      </w:r>
      <w:r>
        <w:rPr>
          <w:spacing w:val="-4"/>
          <w:w w:val="105"/>
          <w:sz w:val="13"/>
        </w:rPr>
        <w:t> </w:t>
      </w:r>
      <w:r>
        <w:rPr>
          <w:w w:val="105"/>
          <w:sz w:val="13"/>
        </w:rPr>
        <w:t>be</w:t>
      </w:r>
      <w:r>
        <w:rPr>
          <w:spacing w:val="-1"/>
          <w:w w:val="105"/>
          <w:sz w:val="13"/>
        </w:rPr>
        <w:t> </w:t>
      </w:r>
      <w:r>
        <w:rPr>
          <w:w w:val="105"/>
          <w:sz w:val="13"/>
        </w:rPr>
        <w:t>made</w:t>
      </w:r>
      <w:r>
        <w:rPr>
          <w:spacing w:val="-1"/>
          <w:w w:val="105"/>
          <w:sz w:val="13"/>
        </w:rPr>
        <w:t> </w:t>
      </w:r>
      <w:r>
        <w:rPr>
          <w:w w:val="105"/>
          <w:sz w:val="13"/>
        </w:rPr>
        <w:t>in</w:t>
      </w:r>
      <w:r>
        <w:rPr>
          <w:spacing w:val="-1"/>
          <w:w w:val="105"/>
          <w:sz w:val="13"/>
        </w:rPr>
        <w:t> </w:t>
      </w:r>
      <w:r>
        <w:rPr>
          <w:w w:val="105"/>
          <w:sz w:val="13"/>
        </w:rPr>
        <w:t>relation</w:t>
      </w:r>
      <w:r>
        <w:rPr>
          <w:spacing w:val="-1"/>
          <w:w w:val="105"/>
          <w:sz w:val="13"/>
        </w:rPr>
        <w:t> </w:t>
      </w:r>
      <w:r>
        <w:rPr>
          <w:w w:val="105"/>
          <w:sz w:val="13"/>
        </w:rPr>
        <w:t>to</w:t>
      </w:r>
      <w:r>
        <w:rPr>
          <w:spacing w:val="-1"/>
          <w:w w:val="105"/>
          <w:sz w:val="13"/>
        </w:rPr>
        <w:t> </w:t>
      </w:r>
      <w:r>
        <w:rPr>
          <w:w w:val="105"/>
          <w:sz w:val="13"/>
        </w:rPr>
        <w:t>liquidity</w:t>
      </w:r>
      <w:r>
        <w:rPr>
          <w:spacing w:val="-4"/>
          <w:w w:val="105"/>
          <w:sz w:val="13"/>
        </w:rPr>
        <w:t> </w:t>
      </w:r>
      <w:r>
        <w:rPr>
          <w:w w:val="105"/>
          <w:sz w:val="13"/>
        </w:rPr>
        <w:t>management. In</w:t>
      </w:r>
      <w:r>
        <w:rPr>
          <w:spacing w:val="-1"/>
          <w:w w:val="105"/>
          <w:sz w:val="13"/>
        </w:rPr>
        <w:t> </w:t>
      </w:r>
      <w:r>
        <w:rPr>
          <w:w w:val="105"/>
          <w:sz w:val="13"/>
        </w:rPr>
        <w:t>addition, the</w:t>
      </w:r>
      <w:r>
        <w:rPr>
          <w:spacing w:val="-3"/>
          <w:w w:val="105"/>
          <w:sz w:val="13"/>
        </w:rPr>
        <w:t> </w:t>
      </w:r>
      <w:r>
        <w:rPr>
          <w:w w:val="105"/>
          <w:sz w:val="13"/>
        </w:rPr>
        <w:t>Group</w:t>
      </w:r>
      <w:r>
        <w:rPr>
          <w:spacing w:val="-1"/>
          <w:w w:val="105"/>
          <w:sz w:val="13"/>
        </w:rPr>
        <w:t> </w:t>
      </w:r>
      <w:r>
        <w:rPr>
          <w:w w:val="105"/>
          <w:sz w:val="13"/>
        </w:rPr>
        <w:t>has</w:t>
      </w:r>
      <w:r>
        <w:rPr>
          <w:spacing w:val="-2"/>
          <w:w w:val="105"/>
          <w:sz w:val="13"/>
        </w:rPr>
        <w:t> </w:t>
      </w:r>
      <w:r>
        <w:rPr>
          <w:w w:val="105"/>
          <w:sz w:val="13"/>
        </w:rPr>
        <w:t>the</w:t>
      </w:r>
      <w:r>
        <w:rPr>
          <w:spacing w:val="-1"/>
          <w:w w:val="105"/>
          <w:sz w:val="13"/>
        </w:rPr>
        <w:t> </w:t>
      </w:r>
      <w:r>
        <w:rPr>
          <w:w w:val="105"/>
          <w:sz w:val="13"/>
        </w:rPr>
        <w:t>flexibility</w:t>
      </w:r>
      <w:r>
        <w:rPr>
          <w:spacing w:val="-7"/>
          <w:w w:val="105"/>
          <w:sz w:val="13"/>
        </w:rPr>
        <w:t> </w:t>
      </w:r>
      <w:r>
        <w:rPr>
          <w:w w:val="105"/>
          <w:sz w:val="13"/>
        </w:rPr>
        <w:t>to</w:t>
      </w:r>
      <w:r>
        <w:rPr>
          <w:spacing w:val="-1"/>
          <w:w w:val="105"/>
          <w:sz w:val="13"/>
        </w:rPr>
        <w:t> </w:t>
      </w:r>
      <w:r>
        <w:rPr>
          <w:w w:val="105"/>
          <w:sz w:val="13"/>
        </w:rPr>
        <w:t>liquidate</w:t>
      </w:r>
      <w:r>
        <w:rPr>
          <w:spacing w:val="-3"/>
          <w:w w:val="105"/>
          <w:sz w:val="13"/>
        </w:rPr>
        <w:t> </w:t>
      </w:r>
      <w:r>
        <w:rPr>
          <w:w w:val="105"/>
          <w:sz w:val="13"/>
        </w:rPr>
        <w:t>a</w:t>
      </w:r>
      <w:r>
        <w:rPr>
          <w:spacing w:val="-1"/>
          <w:w w:val="105"/>
          <w:sz w:val="13"/>
        </w:rPr>
        <w:t> </w:t>
      </w:r>
      <w:r>
        <w:rPr>
          <w:w w:val="105"/>
          <w:sz w:val="13"/>
        </w:rPr>
        <w:t>portion</w:t>
      </w:r>
      <w:r>
        <w:rPr>
          <w:spacing w:val="-3"/>
          <w:w w:val="105"/>
          <w:sz w:val="13"/>
        </w:rPr>
        <w:t> </w:t>
      </w:r>
      <w:r>
        <w:rPr>
          <w:w w:val="105"/>
          <w:sz w:val="13"/>
        </w:rPr>
        <w:t>of</w:t>
      </w:r>
      <w:r>
        <w:rPr>
          <w:spacing w:val="40"/>
          <w:w w:val="105"/>
          <w:sz w:val="13"/>
        </w:rPr>
        <w:t> </w:t>
      </w:r>
      <w:r>
        <w:rPr>
          <w:w w:val="105"/>
          <w:sz w:val="13"/>
        </w:rPr>
        <w:t>its pool investments in a short time-frame, if required.</w:t>
      </w:r>
    </w:p>
    <w:p>
      <w:pPr>
        <w:spacing w:line="240" w:lineRule="auto" w:before="21"/>
        <w:rPr>
          <w:sz w:val="13"/>
        </w:rPr>
      </w:pPr>
    </w:p>
    <w:p>
      <w:pPr>
        <w:spacing w:line="273" w:lineRule="auto" w:before="0"/>
        <w:ind w:left="640" w:right="306" w:firstLine="0"/>
        <w:jc w:val="both"/>
        <w:rPr>
          <w:sz w:val="13"/>
        </w:rPr>
      </w:pPr>
      <w:r>
        <w:rPr>
          <w:w w:val="105"/>
          <w:sz w:val="13"/>
        </w:rPr>
        <w:t>The</w:t>
      </w:r>
      <w:r>
        <w:rPr>
          <w:spacing w:val="-1"/>
          <w:w w:val="105"/>
          <w:sz w:val="13"/>
        </w:rPr>
        <w:t> </w:t>
      </w:r>
      <w:r>
        <w:rPr>
          <w:w w:val="105"/>
          <w:sz w:val="13"/>
        </w:rPr>
        <w:t>Group</w:t>
      </w:r>
      <w:r>
        <w:rPr>
          <w:spacing w:val="-1"/>
          <w:w w:val="105"/>
          <w:sz w:val="13"/>
        </w:rPr>
        <w:t> </w:t>
      </w:r>
      <w:r>
        <w:rPr>
          <w:w w:val="105"/>
          <w:sz w:val="13"/>
        </w:rPr>
        <w:t>has</w:t>
      </w:r>
      <w:r>
        <w:rPr>
          <w:spacing w:val="-2"/>
          <w:w w:val="105"/>
          <w:sz w:val="13"/>
        </w:rPr>
        <w:t> </w:t>
      </w:r>
      <w:r>
        <w:rPr>
          <w:w w:val="105"/>
          <w:sz w:val="13"/>
        </w:rPr>
        <w:t>a</w:t>
      </w:r>
      <w:r>
        <w:rPr>
          <w:spacing w:val="-1"/>
          <w:w w:val="105"/>
          <w:sz w:val="13"/>
        </w:rPr>
        <w:t> </w:t>
      </w:r>
      <w:r>
        <w:rPr>
          <w:w w:val="105"/>
          <w:sz w:val="13"/>
        </w:rPr>
        <w:t>lending</w:t>
      </w:r>
      <w:r>
        <w:rPr>
          <w:spacing w:val="-3"/>
          <w:w w:val="105"/>
          <w:sz w:val="13"/>
        </w:rPr>
        <w:t> </w:t>
      </w:r>
      <w:r>
        <w:rPr>
          <w:w w:val="105"/>
          <w:sz w:val="13"/>
        </w:rPr>
        <w:t>agreement</w:t>
      </w:r>
      <w:r>
        <w:rPr>
          <w:spacing w:val="-1"/>
          <w:w w:val="105"/>
          <w:sz w:val="13"/>
        </w:rPr>
        <w:t> </w:t>
      </w:r>
      <w:r>
        <w:rPr>
          <w:w w:val="105"/>
          <w:sz w:val="13"/>
        </w:rPr>
        <w:t>with</w:t>
      </w:r>
      <w:r>
        <w:rPr>
          <w:spacing w:val="-3"/>
          <w:w w:val="105"/>
          <w:sz w:val="13"/>
        </w:rPr>
        <w:t> </w:t>
      </w:r>
      <w:r>
        <w:rPr>
          <w:w w:val="105"/>
          <w:sz w:val="13"/>
        </w:rPr>
        <w:t>the</w:t>
      </w:r>
      <w:r>
        <w:rPr>
          <w:spacing w:val="-1"/>
          <w:w w:val="105"/>
          <w:sz w:val="13"/>
        </w:rPr>
        <w:t> </w:t>
      </w:r>
      <w:r>
        <w:rPr>
          <w:w w:val="105"/>
          <w:sz w:val="13"/>
        </w:rPr>
        <w:t>Western</w:t>
      </w:r>
      <w:r>
        <w:rPr>
          <w:spacing w:val="-3"/>
          <w:w w:val="105"/>
          <w:sz w:val="13"/>
        </w:rPr>
        <w:t> </w:t>
      </w:r>
      <w:r>
        <w:rPr>
          <w:w w:val="105"/>
          <w:sz w:val="13"/>
        </w:rPr>
        <w:t>Australian</w:t>
      </w:r>
      <w:r>
        <w:rPr>
          <w:spacing w:val="-1"/>
          <w:w w:val="105"/>
          <w:sz w:val="13"/>
        </w:rPr>
        <w:t> </w:t>
      </w:r>
      <w:r>
        <w:rPr>
          <w:w w:val="105"/>
          <w:sz w:val="13"/>
        </w:rPr>
        <w:t>Treasury</w:t>
      </w:r>
      <w:r>
        <w:rPr>
          <w:spacing w:val="-6"/>
          <w:w w:val="105"/>
          <w:sz w:val="13"/>
        </w:rPr>
        <w:t> </w:t>
      </w:r>
      <w:r>
        <w:rPr>
          <w:w w:val="105"/>
          <w:sz w:val="13"/>
        </w:rPr>
        <w:t>Corporation.</w:t>
      </w:r>
      <w:r>
        <w:rPr>
          <w:spacing w:val="-1"/>
          <w:w w:val="105"/>
          <w:sz w:val="13"/>
        </w:rPr>
        <w:t> </w:t>
      </w:r>
      <w:r>
        <w:rPr>
          <w:w w:val="105"/>
          <w:sz w:val="13"/>
        </w:rPr>
        <w:t>The</w:t>
      </w:r>
      <w:r>
        <w:rPr>
          <w:spacing w:val="-3"/>
          <w:w w:val="105"/>
          <w:sz w:val="13"/>
        </w:rPr>
        <w:t> </w:t>
      </w:r>
      <w:r>
        <w:rPr>
          <w:w w:val="105"/>
          <w:sz w:val="13"/>
        </w:rPr>
        <w:t>maximum amount</w:t>
      </w:r>
      <w:r>
        <w:rPr>
          <w:spacing w:val="-3"/>
          <w:w w:val="105"/>
          <w:sz w:val="13"/>
        </w:rPr>
        <w:t> </w:t>
      </w:r>
      <w:r>
        <w:rPr>
          <w:w w:val="105"/>
          <w:sz w:val="13"/>
        </w:rPr>
        <w:t>eligible</w:t>
      </w:r>
      <w:r>
        <w:rPr>
          <w:spacing w:val="-1"/>
          <w:w w:val="105"/>
          <w:sz w:val="13"/>
        </w:rPr>
        <w:t> </w:t>
      </w:r>
      <w:r>
        <w:rPr>
          <w:w w:val="105"/>
          <w:sz w:val="13"/>
        </w:rPr>
        <w:t>for</w:t>
      </w:r>
      <w:r>
        <w:rPr>
          <w:spacing w:val="-1"/>
          <w:w w:val="105"/>
          <w:sz w:val="13"/>
        </w:rPr>
        <w:t> </w:t>
      </w:r>
      <w:r>
        <w:rPr>
          <w:w w:val="105"/>
          <w:sz w:val="13"/>
        </w:rPr>
        <w:t>draw</w:t>
      </w:r>
      <w:r>
        <w:rPr>
          <w:spacing w:val="-4"/>
          <w:w w:val="105"/>
          <w:sz w:val="13"/>
        </w:rPr>
        <w:t> </w:t>
      </w:r>
      <w:r>
        <w:rPr>
          <w:w w:val="105"/>
          <w:sz w:val="13"/>
        </w:rPr>
        <w:t>down</w:t>
      </w:r>
      <w:r>
        <w:rPr>
          <w:spacing w:val="-3"/>
          <w:w w:val="105"/>
          <w:sz w:val="13"/>
        </w:rPr>
        <w:t> </w:t>
      </w:r>
      <w:r>
        <w:rPr>
          <w:w w:val="105"/>
          <w:sz w:val="13"/>
        </w:rPr>
        <w:t>under</w:t>
      </w:r>
      <w:r>
        <w:rPr>
          <w:spacing w:val="40"/>
          <w:w w:val="105"/>
          <w:sz w:val="13"/>
        </w:rPr>
        <w:t> </w:t>
      </w:r>
      <w:r>
        <w:rPr>
          <w:w w:val="105"/>
          <w:sz w:val="13"/>
        </w:rPr>
        <w:t>the agreement is $185.9 million (2019: $189.3 million).</w:t>
      </w:r>
      <w:r>
        <w:rPr>
          <w:spacing w:val="-1"/>
          <w:w w:val="105"/>
          <w:sz w:val="13"/>
        </w:rPr>
        <w:t> </w:t>
      </w:r>
      <w:r>
        <w:rPr>
          <w:w w:val="105"/>
          <w:sz w:val="13"/>
        </w:rPr>
        <w:t>As at</w:t>
      </w:r>
      <w:r>
        <w:rPr>
          <w:spacing w:val="-1"/>
          <w:w w:val="105"/>
          <w:sz w:val="13"/>
        </w:rPr>
        <w:t> </w:t>
      </w:r>
      <w:r>
        <w:rPr>
          <w:w w:val="105"/>
          <w:sz w:val="13"/>
        </w:rPr>
        <w:t>reporting date</w:t>
      </w:r>
      <w:r>
        <w:rPr>
          <w:spacing w:val="-2"/>
          <w:w w:val="105"/>
          <w:sz w:val="13"/>
        </w:rPr>
        <w:t> </w:t>
      </w:r>
      <w:r>
        <w:rPr>
          <w:w w:val="105"/>
          <w:sz w:val="13"/>
        </w:rPr>
        <w:t>the outstanding</w:t>
      </w:r>
      <w:r>
        <w:rPr>
          <w:spacing w:val="-2"/>
          <w:w w:val="105"/>
          <w:sz w:val="13"/>
        </w:rPr>
        <w:t> </w:t>
      </w:r>
      <w:r>
        <w:rPr>
          <w:w w:val="105"/>
          <w:sz w:val="13"/>
        </w:rPr>
        <w:t>balance owing</w:t>
      </w:r>
      <w:r>
        <w:rPr>
          <w:spacing w:val="-2"/>
          <w:w w:val="105"/>
          <w:sz w:val="13"/>
        </w:rPr>
        <w:t> </w:t>
      </w:r>
      <w:r>
        <w:rPr>
          <w:w w:val="105"/>
          <w:sz w:val="13"/>
        </w:rPr>
        <w:t>by</w:t>
      </w:r>
      <w:r>
        <w:rPr>
          <w:spacing w:val="-3"/>
          <w:w w:val="105"/>
          <w:sz w:val="13"/>
        </w:rPr>
        <w:t> </w:t>
      </w:r>
      <w:r>
        <w:rPr>
          <w:w w:val="105"/>
          <w:sz w:val="13"/>
        </w:rPr>
        <w:t>the</w:t>
      </w:r>
      <w:r>
        <w:rPr>
          <w:spacing w:val="-2"/>
          <w:w w:val="105"/>
          <w:sz w:val="13"/>
        </w:rPr>
        <w:t> </w:t>
      </w:r>
      <w:r>
        <w:rPr>
          <w:w w:val="105"/>
          <w:sz w:val="13"/>
        </w:rPr>
        <w:t>Group, including</w:t>
      </w:r>
      <w:r>
        <w:rPr>
          <w:spacing w:val="-2"/>
          <w:w w:val="105"/>
          <w:sz w:val="13"/>
        </w:rPr>
        <w:t> </w:t>
      </w:r>
      <w:r>
        <w:rPr>
          <w:w w:val="105"/>
          <w:sz w:val="13"/>
        </w:rPr>
        <w:t>accrued</w:t>
      </w:r>
      <w:r>
        <w:rPr>
          <w:spacing w:val="40"/>
          <w:w w:val="105"/>
          <w:sz w:val="13"/>
        </w:rPr>
        <w:t> </w:t>
      </w:r>
      <w:r>
        <w:rPr>
          <w:w w:val="105"/>
          <w:sz w:val="13"/>
        </w:rPr>
        <w:t>interest and guarantee levy fees is $186.2 million (2019: $134.3 million). The borrowings provide</w:t>
      </w:r>
      <w:r>
        <w:rPr>
          <w:w w:val="105"/>
          <w:sz w:val="13"/>
        </w:rPr>
        <w:t> liquidity to</w:t>
      </w:r>
      <w:r>
        <w:rPr>
          <w:w w:val="105"/>
          <w:sz w:val="13"/>
        </w:rPr>
        <w:t> support the</w:t>
      </w:r>
      <w:r>
        <w:rPr>
          <w:w w:val="105"/>
          <w:sz w:val="13"/>
        </w:rPr>
        <w:t> Group’s capital</w:t>
      </w:r>
      <w:r>
        <w:rPr>
          <w:spacing w:val="40"/>
          <w:w w:val="105"/>
          <w:sz w:val="13"/>
        </w:rPr>
        <w:t> </w:t>
      </w:r>
      <w:r>
        <w:rPr>
          <w:w w:val="105"/>
          <w:sz w:val="13"/>
        </w:rPr>
        <w:t>program, and to fund the student accommodation under the National Rental Affordability</w:t>
      </w:r>
      <w:r>
        <w:rPr>
          <w:spacing w:val="-1"/>
          <w:w w:val="105"/>
          <w:sz w:val="13"/>
        </w:rPr>
        <w:t> </w:t>
      </w:r>
      <w:r>
        <w:rPr>
          <w:w w:val="105"/>
          <w:sz w:val="13"/>
        </w:rPr>
        <w:t>Scheme (NRAS).</w:t>
      </w:r>
    </w:p>
    <w:p>
      <w:pPr>
        <w:spacing w:line="240" w:lineRule="auto" w:before="143"/>
        <w:rPr>
          <w:sz w:val="13"/>
        </w:rPr>
      </w:pPr>
    </w:p>
    <w:p>
      <w:pPr>
        <w:spacing w:before="0"/>
        <w:ind w:left="640" w:right="0" w:firstLine="0"/>
        <w:jc w:val="both"/>
        <w:rPr>
          <w:sz w:val="13"/>
        </w:rPr>
      </w:pPr>
      <w:r>
        <w:rPr>
          <w:w w:val="105"/>
          <w:sz w:val="13"/>
        </w:rPr>
        <w:t>The</w:t>
      </w:r>
      <w:r>
        <w:rPr>
          <w:spacing w:val="-8"/>
          <w:w w:val="105"/>
          <w:sz w:val="13"/>
        </w:rPr>
        <w:t> </w:t>
      </w:r>
      <w:r>
        <w:rPr>
          <w:w w:val="105"/>
          <w:sz w:val="13"/>
        </w:rPr>
        <w:t>following</w:t>
      </w:r>
      <w:r>
        <w:rPr>
          <w:spacing w:val="-7"/>
          <w:w w:val="105"/>
          <w:sz w:val="13"/>
        </w:rPr>
        <w:t> </w:t>
      </w:r>
      <w:r>
        <w:rPr>
          <w:w w:val="105"/>
          <w:sz w:val="13"/>
        </w:rPr>
        <w:t>table</w:t>
      </w:r>
      <w:r>
        <w:rPr>
          <w:spacing w:val="-7"/>
          <w:w w:val="105"/>
          <w:sz w:val="13"/>
        </w:rPr>
        <w:t> </w:t>
      </w:r>
      <w:r>
        <w:rPr>
          <w:w w:val="105"/>
          <w:sz w:val="13"/>
        </w:rPr>
        <w:t>presents</w:t>
      </w:r>
      <w:r>
        <w:rPr>
          <w:spacing w:val="-6"/>
          <w:w w:val="105"/>
          <w:sz w:val="13"/>
        </w:rPr>
        <w:t> </w:t>
      </w:r>
      <w:r>
        <w:rPr>
          <w:w w:val="105"/>
          <w:sz w:val="13"/>
        </w:rPr>
        <w:t>the</w:t>
      </w:r>
      <w:r>
        <w:rPr>
          <w:spacing w:val="-7"/>
          <w:w w:val="105"/>
          <w:sz w:val="13"/>
        </w:rPr>
        <w:t> </w:t>
      </w:r>
      <w:r>
        <w:rPr>
          <w:w w:val="105"/>
          <w:sz w:val="13"/>
        </w:rPr>
        <w:t>maturities</w:t>
      </w:r>
      <w:r>
        <w:rPr>
          <w:spacing w:val="-6"/>
          <w:w w:val="105"/>
          <w:sz w:val="13"/>
        </w:rPr>
        <w:t> </w:t>
      </w:r>
      <w:r>
        <w:rPr>
          <w:w w:val="105"/>
          <w:sz w:val="13"/>
        </w:rPr>
        <w:t>of</w:t>
      </w:r>
      <w:r>
        <w:rPr>
          <w:spacing w:val="-4"/>
          <w:w w:val="105"/>
          <w:sz w:val="13"/>
        </w:rPr>
        <w:t> </w:t>
      </w:r>
      <w:r>
        <w:rPr>
          <w:w w:val="105"/>
          <w:sz w:val="13"/>
        </w:rPr>
        <w:t>the</w:t>
      </w:r>
      <w:r>
        <w:rPr>
          <w:spacing w:val="-8"/>
          <w:w w:val="105"/>
          <w:sz w:val="13"/>
        </w:rPr>
        <w:t> </w:t>
      </w:r>
      <w:r>
        <w:rPr>
          <w:w w:val="105"/>
          <w:sz w:val="13"/>
        </w:rPr>
        <w:t>financial</w:t>
      </w:r>
      <w:r>
        <w:rPr>
          <w:spacing w:val="-6"/>
          <w:w w:val="105"/>
          <w:sz w:val="13"/>
        </w:rPr>
        <w:t> </w:t>
      </w:r>
      <w:r>
        <w:rPr>
          <w:w w:val="105"/>
          <w:sz w:val="13"/>
        </w:rPr>
        <w:t>assets</w:t>
      </w:r>
      <w:r>
        <w:rPr>
          <w:spacing w:val="-6"/>
          <w:w w:val="105"/>
          <w:sz w:val="13"/>
        </w:rPr>
        <w:t> </w:t>
      </w:r>
      <w:r>
        <w:rPr>
          <w:w w:val="105"/>
          <w:sz w:val="13"/>
        </w:rPr>
        <w:t>and</w:t>
      </w:r>
      <w:r>
        <w:rPr>
          <w:spacing w:val="-7"/>
          <w:w w:val="105"/>
          <w:sz w:val="13"/>
        </w:rPr>
        <w:t> </w:t>
      </w:r>
      <w:r>
        <w:rPr>
          <w:w w:val="105"/>
          <w:sz w:val="13"/>
        </w:rPr>
        <w:t>financial</w:t>
      </w:r>
      <w:r>
        <w:rPr>
          <w:spacing w:val="-6"/>
          <w:w w:val="105"/>
          <w:sz w:val="13"/>
        </w:rPr>
        <w:t> </w:t>
      </w:r>
      <w:r>
        <w:rPr>
          <w:w w:val="105"/>
          <w:sz w:val="13"/>
        </w:rPr>
        <w:t>liabilities</w:t>
      </w:r>
      <w:r>
        <w:rPr>
          <w:spacing w:val="-6"/>
          <w:w w:val="105"/>
          <w:sz w:val="13"/>
        </w:rPr>
        <w:t> </w:t>
      </w:r>
      <w:r>
        <w:rPr>
          <w:w w:val="105"/>
          <w:sz w:val="13"/>
        </w:rPr>
        <w:t>at</w:t>
      </w:r>
      <w:r>
        <w:rPr>
          <w:spacing w:val="-7"/>
          <w:w w:val="105"/>
          <w:sz w:val="13"/>
        </w:rPr>
        <w:t> </w:t>
      </w:r>
      <w:r>
        <w:rPr>
          <w:w w:val="105"/>
          <w:sz w:val="13"/>
        </w:rPr>
        <w:t>the</w:t>
      </w:r>
      <w:r>
        <w:rPr>
          <w:spacing w:val="-7"/>
          <w:w w:val="105"/>
          <w:sz w:val="13"/>
        </w:rPr>
        <w:t> </w:t>
      </w:r>
      <w:r>
        <w:rPr>
          <w:w w:val="105"/>
          <w:sz w:val="13"/>
        </w:rPr>
        <w:t>reporting</w:t>
      </w:r>
      <w:r>
        <w:rPr>
          <w:spacing w:val="-7"/>
          <w:w w:val="105"/>
          <w:sz w:val="13"/>
        </w:rPr>
        <w:t> </w:t>
      </w:r>
      <w:r>
        <w:rPr>
          <w:spacing w:val="-2"/>
          <w:w w:val="105"/>
          <w:sz w:val="13"/>
        </w:rPr>
        <w:t>date:</w:t>
      </w:r>
    </w:p>
    <w:p>
      <w:pPr>
        <w:spacing w:after="0"/>
        <w:jc w:val="both"/>
        <w:rPr>
          <w:sz w:val="13"/>
        </w:rPr>
        <w:sectPr>
          <w:headerReference w:type="even" r:id="rId116"/>
          <w:headerReference w:type="default" r:id="rId117"/>
          <w:pgSz w:w="11910" w:h="16840"/>
          <w:pgMar w:header="468" w:footer="0" w:top="1580" w:bottom="280" w:left="1020" w:right="1540"/>
          <w:pgNumType w:start="102"/>
        </w:sectPr>
      </w:pPr>
    </w:p>
    <w:p>
      <w:pPr>
        <w:spacing w:line="240" w:lineRule="auto" w:before="126"/>
        <w:rPr>
          <w:sz w:val="13"/>
        </w:rPr>
      </w:pPr>
    </w:p>
    <w:p>
      <w:pPr>
        <w:spacing w:line="66" w:lineRule="exact" w:before="0"/>
        <w:ind w:left="0" w:right="0" w:firstLine="0"/>
        <w:jc w:val="right"/>
        <w:rPr>
          <w:b/>
          <w:sz w:val="13"/>
        </w:rPr>
      </w:pPr>
      <w:r>
        <w:rPr>
          <w:b/>
          <w:spacing w:val="-2"/>
          <w:w w:val="105"/>
          <w:sz w:val="13"/>
        </w:rPr>
        <w:t>Average</w:t>
      </w:r>
    </w:p>
    <w:p>
      <w:pPr>
        <w:spacing w:line="240" w:lineRule="auto" w:before="126"/>
        <w:rPr>
          <w:b/>
          <w:sz w:val="13"/>
        </w:rPr>
      </w:pPr>
      <w:r>
        <w:rPr/>
        <w:br w:type="column"/>
      </w:r>
      <w:r>
        <w:rPr>
          <w:b/>
          <w:sz w:val="13"/>
        </w:rPr>
      </w:r>
    </w:p>
    <w:p>
      <w:pPr>
        <w:spacing w:line="66" w:lineRule="exact" w:before="0"/>
        <w:ind w:left="167" w:right="0" w:firstLine="0"/>
        <w:jc w:val="left"/>
        <w:rPr>
          <w:b/>
          <w:sz w:val="13"/>
        </w:rPr>
      </w:pPr>
      <w:r>
        <w:rPr>
          <w:b/>
          <w:w w:val="105"/>
          <w:sz w:val="13"/>
        </w:rPr>
        <w:t>Non-</w:t>
      </w:r>
      <w:r>
        <w:rPr>
          <w:b/>
          <w:spacing w:val="-2"/>
          <w:w w:val="105"/>
          <w:sz w:val="13"/>
        </w:rPr>
        <w:t>interest</w:t>
      </w:r>
    </w:p>
    <w:p>
      <w:pPr>
        <w:spacing w:line="240" w:lineRule="auto" w:before="126"/>
        <w:rPr>
          <w:b/>
          <w:sz w:val="13"/>
        </w:rPr>
      </w:pPr>
      <w:r>
        <w:rPr/>
        <w:br w:type="column"/>
      </w:r>
      <w:r>
        <w:rPr>
          <w:b/>
          <w:sz w:val="13"/>
        </w:rPr>
      </w:r>
    </w:p>
    <w:p>
      <w:pPr>
        <w:spacing w:line="66" w:lineRule="exact" w:before="0"/>
        <w:ind w:left="189" w:right="0" w:firstLine="0"/>
        <w:jc w:val="left"/>
        <w:rPr>
          <w:b/>
          <w:sz w:val="13"/>
        </w:rPr>
      </w:pPr>
      <w:r>
        <w:rPr>
          <w:b/>
          <w:spacing w:val="-2"/>
          <w:w w:val="105"/>
          <w:sz w:val="13"/>
        </w:rPr>
        <w:t>Interest</w:t>
      </w:r>
    </w:p>
    <w:p>
      <w:pPr>
        <w:spacing w:line="240" w:lineRule="auto" w:before="39"/>
        <w:rPr>
          <w:b/>
          <w:sz w:val="13"/>
        </w:rPr>
      </w:pPr>
      <w:r>
        <w:rPr/>
        <w:br w:type="column"/>
      </w:r>
      <w:r>
        <w:rPr>
          <w:b/>
          <w:sz w:val="13"/>
        </w:rPr>
      </w:r>
    </w:p>
    <w:p>
      <w:pPr>
        <w:tabs>
          <w:tab w:pos="1581" w:val="left" w:leader="none"/>
          <w:tab w:pos="3996" w:val="left" w:leader="none"/>
        </w:tabs>
        <w:spacing w:before="0"/>
        <w:ind w:left="154" w:right="0" w:firstLine="0"/>
        <w:jc w:val="left"/>
        <w:rPr>
          <w:b/>
          <w:sz w:val="13"/>
        </w:rPr>
      </w:pPr>
      <w:r>
        <w:rPr>
          <w:b/>
          <w:sz w:val="13"/>
          <w:u w:val="single"/>
        </w:rPr>
        <w:tab/>
      </w:r>
      <w:r>
        <w:rPr>
          <w:b/>
          <w:w w:val="105"/>
          <w:sz w:val="13"/>
          <w:u w:val="single"/>
        </w:rPr>
        <w:t>Maturity</w:t>
      </w:r>
      <w:r>
        <w:rPr>
          <w:b/>
          <w:spacing w:val="-3"/>
          <w:w w:val="105"/>
          <w:sz w:val="13"/>
          <w:u w:val="single"/>
        </w:rPr>
        <w:t> </w:t>
      </w:r>
      <w:r>
        <w:rPr>
          <w:b/>
          <w:spacing w:val="-2"/>
          <w:w w:val="105"/>
          <w:sz w:val="13"/>
          <w:u w:val="single"/>
        </w:rPr>
        <w:t>Profile</w:t>
      </w:r>
      <w:r>
        <w:rPr>
          <w:b/>
          <w:sz w:val="13"/>
          <w:u w:val="single"/>
        </w:rPr>
        <w:tab/>
      </w:r>
    </w:p>
    <w:p>
      <w:pPr>
        <w:spacing w:after="0"/>
        <w:jc w:val="left"/>
        <w:rPr>
          <w:sz w:val="13"/>
        </w:rPr>
        <w:sectPr>
          <w:type w:val="continuous"/>
          <w:pgSz w:w="11910" w:h="16840"/>
          <w:pgMar w:header="468" w:footer="0" w:top="980" w:bottom="280" w:left="1020" w:right="1540"/>
          <w:cols w:num="4" w:equalWidth="0">
            <w:col w:w="3293" w:space="40"/>
            <w:col w:w="973" w:space="39"/>
            <w:col w:w="682" w:space="40"/>
            <w:col w:w="4283"/>
          </w:cols>
        </w:sectPr>
      </w:pPr>
    </w:p>
    <w:p>
      <w:pPr>
        <w:spacing w:before="2"/>
        <w:ind w:left="640" w:right="0" w:firstLine="0"/>
        <w:jc w:val="left"/>
        <w:rPr>
          <w:b/>
          <w:sz w:val="13"/>
        </w:rPr>
      </w:pPr>
      <w:r>
        <w:rPr>
          <w:b/>
          <w:spacing w:val="-2"/>
          <w:w w:val="105"/>
          <w:sz w:val="13"/>
        </w:rPr>
        <w:t>Consolidated</w:t>
      </w:r>
    </w:p>
    <w:p>
      <w:pPr>
        <w:spacing w:before="28"/>
        <w:ind w:left="640" w:right="0" w:firstLine="0"/>
        <w:jc w:val="left"/>
        <w:rPr>
          <w:b/>
          <w:sz w:val="13"/>
        </w:rPr>
      </w:pPr>
      <w:r>
        <w:rPr>
          <w:b/>
          <w:w w:val="105"/>
          <w:sz w:val="13"/>
        </w:rPr>
        <w:t>31</w:t>
      </w:r>
      <w:r>
        <w:rPr>
          <w:b/>
          <w:spacing w:val="-8"/>
          <w:w w:val="105"/>
          <w:sz w:val="13"/>
        </w:rPr>
        <w:t> </w:t>
      </w:r>
      <w:r>
        <w:rPr>
          <w:b/>
          <w:w w:val="105"/>
          <w:sz w:val="13"/>
        </w:rPr>
        <w:t>December</w:t>
      </w:r>
      <w:r>
        <w:rPr>
          <w:b/>
          <w:spacing w:val="-6"/>
          <w:w w:val="105"/>
          <w:sz w:val="13"/>
        </w:rPr>
        <w:t> </w:t>
      </w:r>
      <w:r>
        <w:rPr>
          <w:b/>
          <w:spacing w:val="-4"/>
          <w:w w:val="105"/>
          <w:sz w:val="13"/>
        </w:rPr>
        <w:t>2020</w:t>
      </w:r>
    </w:p>
    <w:p>
      <w:pPr>
        <w:spacing w:before="110"/>
        <w:ind w:left="640" w:right="0" w:firstLine="0"/>
        <w:jc w:val="left"/>
        <w:rPr>
          <w:b/>
          <w:sz w:val="13"/>
        </w:rPr>
      </w:pPr>
      <w:r>
        <w:rPr/>
        <w:br w:type="column"/>
      </w:r>
      <w:r>
        <w:rPr>
          <w:b/>
          <w:w w:val="105"/>
          <w:sz w:val="13"/>
        </w:rPr>
        <w:t>interest</w:t>
      </w:r>
      <w:r>
        <w:rPr>
          <w:b/>
          <w:spacing w:val="-8"/>
          <w:w w:val="105"/>
          <w:sz w:val="13"/>
        </w:rPr>
        <w:t> </w:t>
      </w:r>
      <w:r>
        <w:rPr>
          <w:b/>
          <w:spacing w:val="-4"/>
          <w:w w:val="105"/>
          <w:sz w:val="13"/>
        </w:rPr>
        <w:t>rate</w:t>
      </w:r>
    </w:p>
    <w:p>
      <w:pPr>
        <w:spacing w:before="110"/>
        <w:ind w:left="200" w:right="0" w:firstLine="0"/>
        <w:jc w:val="left"/>
        <w:rPr>
          <w:b/>
          <w:sz w:val="13"/>
        </w:rPr>
      </w:pPr>
      <w:r>
        <w:rPr/>
        <w:br w:type="column"/>
      </w:r>
      <w:r>
        <w:rPr>
          <w:b/>
          <w:spacing w:val="-2"/>
          <w:w w:val="105"/>
          <w:sz w:val="13"/>
        </w:rPr>
        <w:t>bearing</w:t>
      </w:r>
    </w:p>
    <w:p>
      <w:pPr>
        <w:spacing w:before="110"/>
        <w:ind w:left="345" w:right="0" w:firstLine="0"/>
        <w:jc w:val="left"/>
        <w:rPr>
          <w:b/>
          <w:sz w:val="13"/>
        </w:rPr>
      </w:pPr>
      <w:r>
        <w:rPr/>
        <w:br w:type="column"/>
      </w:r>
      <w:r>
        <w:rPr>
          <w:b/>
          <w:spacing w:val="-2"/>
          <w:w w:val="105"/>
          <w:sz w:val="13"/>
        </w:rPr>
        <w:t>bearing</w:t>
      </w:r>
    </w:p>
    <w:p>
      <w:pPr>
        <w:spacing w:line="283" w:lineRule="auto" w:before="2"/>
        <w:ind w:left="433" w:right="0" w:hanging="124"/>
        <w:jc w:val="left"/>
        <w:rPr>
          <w:b/>
          <w:sz w:val="13"/>
        </w:rPr>
      </w:pPr>
      <w:r>
        <w:rPr/>
        <w:br w:type="column"/>
      </w:r>
      <w:r>
        <w:rPr>
          <w:b/>
          <w:spacing w:val="-2"/>
          <w:w w:val="105"/>
          <w:sz w:val="13"/>
        </w:rPr>
        <w:t>Less</w:t>
      </w:r>
      <w:r>
        <w:rPr>
          <w:b/>
          <w:spacing w:val="-8"/>
          <w:w w:val="105"/>
          <w:sz w:val="13"/>
        </w:rPr>
        <w:t> </w:t>
      </w:r>
      <w:r>
        <w:rPr>
          <w:b/>
          <w:spacing w:val="-2"/>
          <w:w w:val="105"/>
          <w:sz w:val="13"/>
        </w:rPr>
        <w:t>than</w:t>
      </w:r>
      <w:r>
        <w:rPr>
          <w:b/>
          <w:spacing w:val="40"/>
          <w:w w:val="105"/>
          <w:sz w:val="13"/>
        </w:rPr>
        <w:t> </w:t>
      </w:r>
      <w:r>
        <w:rPr>
          <w:b/>
          <w:w w:val="105"/>
          <w:sz w:val="13"/>
        </w:rPr>
        <w:t>1</w:t>
      </w:r>
      <w:r>
        <w:rPr>
          <w:b/>
          <w:spacing w:val="-6"/>
          <w:w w:val="105"/>
          <w:sz w:val="13"/>
        </w:rPr>
        <w:t> </w:t>
      </w:r>
      <w:r>
        <w:rPr>
          <w:b/>
          <w:w w:val="105"/>
          <w:sz w:val="13"/>
        </w:rPr>
        <w:t>year</w:t>
      </w:r>
    </w:p>
    <w:p>
      <w:pPr>
        <w:spacing w:line="283" w:lineRule="auto" w:before="2"/>
        <w:ind w:left="437" w:right="0" w:hanging="3"/>
        <w:jc w:val="left"/>
        <w:rPr>
          <w:b/>
          <w:sz w:val="13"/>
        </w:rPr>
      </w:pPr>
      <w:r>
        <w:rPr/>
        <w:br w:type="column"/>
      </w:r>
      <w:r>
        <w:rPr>
          <w:b/>
          <w:w w:val="105"/>
          <w:sz w:val="13"/>
        </w:rPr>
        <w:t>1</w:t>
      </w:r>
      <w:r>
        <w:rPr>
          <w:b/>
          <w:spacing w:val="-10"/>
          <w:w w:val="105"/>
          <w:sz w:val="13"/>
        </w:rPr>
        <w:t> </w:t>
      </w:r>
      <w:r>
        <w:rPr>
          <w:b/>
          <w:w w:val="105"/>
          <w:sz w:val="13"/>
        </w:rPr>
        <w:t>to</w:t>
      </w:r>
      <w:r>
        <w:rPr>
          <w:b/>
          <w:spacing w:val="-9"/>
          <w:w w:val="105"/>
          <w:sz w:val="13"/>
        </w:rPr>
        <w:t> </w:t>
      </w:r>
      <w:r>
        <w:rPr>
          <w:b/>
          <w:w w:val="105"/>
          <w:sz w:val="13"/>
        </w:rPr>
        <w:t>5</w:t>
      </w:r>
      <w:r>
        <w:rPr>
          <w:b/>
          <w:spacing w:val="40"/>
          <w:w w:val="105"/>
          <w:sz w:val="13"/>
        </w:rPr>
        <w:t> </w:t>
      </w:r>
      <w:r>
        <w:rPr>
          <w:b/>
          <w:spacing w:val="-4"/>
          <w:w w:val="105"/>
          <w:sz w:val="13"/>
        </w:rPr>
        <w:t>years</w:t>
      </w:r>
    </w:p>
    <w:p>
      <w:pPr>
        <w:spacing w:before="2"/>
        <w:ind w:left="673" w:right="0" w:firstLine="0"/>
        <w:jc w:val="left"/>
        <w:rPr>
          <w:b/>
          <w:sz w:val="13"/>
        </w:rPr>
      </w:pPr>
      <w:r>
        <w:rPr/>
        <w:br w:type="column"/>
      </w:r>
      <w:r>
        <w:rPr>
          <w:b/>
          <w:spacing w:val="-5"/>
          <w:w w:val="105"/>
          <w:sz w:val="13"/>
        </w:rPr>
        <w:t>5+</w:t>
      </w:r>
    </w:p>
    <w:p>
      <w:pPr>
        <w:tabs>
          <w:tab w:pos="1541" w:val="left" w:leader="none"/>
        </w:tabs>
        <w:spacing w:before="29"/>
        <w:ind w:left="574" w:right="0" w:firstLine="0"/>
        <w:jc w:val="left"/>
        <w:rPr>
          <w:b/>
          <w:sz w:val="13"/>
        </w:rPr>
      </w:pPr>
      <w:r>
        <w:rPr>
          <w:b/>
          <w:spacing w:val="-2"/>
          <w:w w:val="105"/>
          <w:position w:val="1"/>
          <w:sz w:val="13"/>
        </w:rPr>
        <w:t>years</w:t>
      </w:r>
      <w:r>
        <w:rPr>
          <w:b/>
          <w:position w:val="1"/>
          <w:sz w:val="13"/>
        </w:rPr>
        <w:tab/>
      </w:r>
      <w:r>
        <w:rPr>
          <w:b/>
          <w:spacing w:val="-2"/>
          <w:w w:val="105"/>
          <w:sz w:val="13"/>
        </w:rPr>
        <w:t>Total</w:t>
      </w:r>
    </w:p>
    <w:p>
      <w:pPr>
        <w:spacing w:after="0"/>
        <w:jc w:val="left"/>
        <w:rPr>
          <w:sz w:val="13"/>
        </w:rPr>
        <w:sectPr>
          <w:type w:val="continuous"/>
          <w:pgSz w:w="11910" w:h="16840"/>
          <w:pgMar w:header="468" w:footer="0" w:top="980" w:bottom="280" w:left="1020" w:right="1540"/>
          <w:cols w:num="7" w:equalWidth="0">
            <w:col w:w="1867" w:space="127"/>
            <w:col w:w="1423" w:space="40"/>
            <w:col w:w="694" w:space="39"/>
            <w:col w:w="839" w:space="40"/>
            <w:col w:w="946" w:space="39"/>
            <w:col w:w="793" w:space="40"/>
            <w:col w:w="2463"/>
          </w:cols>
        </w:sectPr>
      </w:pPr>
    </w:p>
    <w:p>
      <w:pPr>
        <w:spacing w:line="240" w:lineRule="auto" w:before="26"/>
        <w:rPr>
          <w:b/>
          <w:sz w:val="13"/>
        </w:rPr>
      </w:pPr>
    </w:p>
    <w:p>
      <w:pPr>
        <w:spacing w:before="1"/>
        <w:ind w:left="640" w:right="0" w:firstLine="0"/>
        <w:jc w:val="left"/>
        <w:rPr>
          <w:b/>
          <w:sz w:val="13"/>
        </w:rPr>
      </w:pPr>
      <w:r>
        <w:rPr>
          <w:b/>
          <w:spacing w:val="-2"/>
          <w:w w:val="105"/>
          <w:sz w:val="13"/>
        </w:rPr>
        <w:t>Financial</w:t>
      </w:r>
      <w:r>
        <w:rPr>
          <w:b/>
          <w:spacing w:val="8"/>
          <w:w w:val="105"/>
          <w:sz w:val="13"/>
        </w:rPr>
        <w:t> </w:t>
      </w:r>
      <w:r>
        <w:rPr>
          <w:b/>
          <w:spacing w:val="-2"/>
          <w:w w:val="105"/>
          <w:sz w:val="13"/>
        </w:rPr>
        <w:t>assets</w:t>
      </w:r>
    </w:p>
    <w:p>
      <w:pPr>
        <w:spacing w:line="276" w:lineRule="auto" w:before="23"/>
        <w:ind w:left="640" w:right="0" w:firstLine="0"/>
        <w:jc w:val="left"/>
        <w:rPr>
          <w:sz w:val="13"/>
        </w:rPr>
      </w:pPr>
      <w:r>
        <w:rPr>
          <w:w w:val="105"/>
          <w:sz w:val="13"/>
        </w:rPr>
        <w:t>Cash</w:t>
      </w:r>
      <w:r>
        <w:rPr>
          <w:spacing w:val="-10"/>
          <w:w w:val="105"/>
          <w:sz w:val="13"/>
        </w:rPr>
        <w:t> </w:t>
      </w:r>
      <w:r>
        <w:rPr>
          <w:w w:val="105"/>
          <w:sz w:val="13"/>
        </w:rPr>
        <w:t>and</w:t>
      </w:r>
      <w:r>
        <w:rPr>
          <w:spacing w:val="-9"/>
          <w:w w:val="105"/>
          <w:sz w:val="13"/>
        </w:rPr>
        <w:t> </w:t>
      </w:r>
      <w:r>
        <w:rPr>
          <w:w w:val="105"/>
          <w:sz w:val="13"/>
        </w:rPr>
        <w:t>cash</w:t>
      </w:r>
      <w:r>
        <w:rPr>
          <w:spacing w:val="-10"/>
          <w:w w:val="105"/>
          <w:sz w:val="13"/>
        </w:rPr>
        <w:t> </w:t>
      </w:r>
      <w:r>
        <w:rPr>
          <w:w w:val="105"/>
          <w:sz w:val="13"/>
        </w:rPr>
        <w:t>equivalents</w:t>
      </w:r>
      <w:r>
        <w:rPr>
          <w:spacing w:val="40"/>
          <w:w w:val="105"/>
          <w:sz w:val="13"/>
        </w:rPr>
        <w:t> </w:t>
      </w:r>
      <w:r>
        <w:rPr>
          <w:spacing w:val="-2"/>
          <w:w w:val="105"/>
          <w:sz w:val="13"/>
        </w:rPr>
        <w:t>Receivables</w:t>
      </w:r>
    </w:p>
    <w:p>
      <w:pPr>
        <w:spacing w:before="1"/>
        <w:ind w:left="640" w:right="0" w:firstLine="0"/>
        <w:jc w:val="left"/>
        <w:rPr>
          <w:sz w:val="13"/>
        </w:rPr>
      </w:pPr>
      <w:r>
        <w:rPr>
          <w:w w:val="105"/>
          <w:sz w:val="13"/>
        </w:rPr>
        <w:t>Other</w:t>
      </w:r>
      <w:r>
        <w:rPr>
          <w:spacing w:val="-7"/>
          <w:w w:val="105"/>
          <w:sz w:val="13"/>
        </w:rPr>
        <w:t> </w:t>
      </w:r>
      <w:r>
        <w:rPr>
          <w:w w:val="105"/>
          <w:sz w:val="13"/>
        </w:rPr>
        <w:t>financial</w:t>
      </w:r>
      <w:r>
        <w:rPr>
          <w:spacing w:val="-7"/>
          <w:w w:val="105"/>
          <w:sz w:val="13"/>
        </w:rPr>
        <w:t> </w:t>
      </w:r>
      <w:r>
        <w:rPr>
          <w:spacing w:val="-2"/>
          <w:w w:val="105"/>
          <w:sz w:val="13"/>
        </w:rPr>
        <w:t>assets</w:t>
      </w:r>
    </w:p>
    <w:p>
      <w:pPr>
        <w:spacing w:before="23"/>
        <w:ind w:left="640" w:right="0" w:firstLine="0"/>
        <w:jc w:val="left"/>
        <w:rPr>
          <w:b/>
          <w:sz w:val="13"/>
        </w:rPr>
      </w:pPr>
      <w:r>
        <w:rPr>
          <w:b/>
          <w:spacing w:val="-2"/>
          <w:w w:val="105"/>
          <w:sz w:val="13"/>
        </w:rPr>
        <w:t>Total</w:t>
      </w:r>
    </w:p>
    <w:p>
      <w:pPr>
        <w:tabs>
          <w:tab w:pos="1412" w:val="left" w:leader="none"/>
          <w:tab w:pos="2291" w:val="left" w:leader="none"/>
          <w:tab w:pos="3205" w:val="left" w:leader="none"/>
          <w:tab w:pos="4174" w:val="left" w:leader="none"/>
          <w:tab w:pos="5146" w:val="left" w:leader="none"/>
          <w:tab w:pos="6095" w:val="left" w:leader="none"/>
        </w:tabs>
        <w:spacing w:before="8"/>
        <w:ind w:left="640" w:right="0" w:firstLine="0"/>
        <w:jc w:val="left"/>
        <w:rPr>
          <w:b/>
          <w:sz w:val="13"/>
        </w:rPr>
      </w:pPr>
      <w:r>
        <w:rPr/>
        <w:br w:type="column"/>
      </w:r>
      <w:r>
        <w:rPr>
          <w:b/>
          <w:spacing w:val="-10"/>
          <w:w w:val="105"/>
          <w:sz w:val="13"/>
        </w:rPr>
        <w:t>%</w:t>
      </w:r>
      <w:r>
        <w:rPr>
          <w:b/>
          <w:sz w:val="13"/>
        </w:rPr>
        <w:tab/>
      </w:r>
      <w:r>
        <w:rPr>
          <w:b/>
          <w:spacing w:val="-2"/>
          <w:w w:val="105"/>
          <w:sz w:val="13"/>
        </w:rPr>
        <w:t>$'000</w:t>
      </w:r>
      <w:r>
        <w:rPr>
          <w:b/>
          <w:sz w:val="13"/>
        </w:rPr>
        <w:tab/>
      </w:r>
      <w:r>
        <w:rPr>
          <w:b/>
          <w:spacing w:val="-4"/>
          <w:w w:val="105"/>
          <w:sz w:val="13"/>
        </w:rPr>
        <w:t>$'000</w:t>
      </w:r>
      <w:r>
        <w:rPr>
          <w:b/>
          <w:sz w:val="13"/>
        </w:rPr>
        <w:tab/>
      </w:r>
      <w:r>
        <w:rPr>
          <w:b/>
          <w:spacing w:val="-2"/>
          <w:w w:val="105"/>
          <w:sz w:val="13"/>
        </w:rPr>
        <w:t>$'000</w:t>
      </w:r>
      <w:r>
        <w:rPr>
          <w:b/>
          <w:sz w:val="13"/>
        </w:rPr>
        <w:tab/>
      </w:r>
      <w:r>
        <w:rPr>
          <w:b/>
          <w:spacing w:val="-2"/>
          <w:w w:val="105"/>
          <w:sz w:val="13"/>
        </w:rPr>
        <w:t>$'000</w:t>
      </w:r>
      <w:r>
        <w:rPr>
          <w:b/>
          <w:sz w:val="13"/>
        </w:rPr>
        <w:tab/>
      </w:r>
      <w:r>
        <w:rPr>
          <w:b/>
          <w:spacing w:val="-2"/>
          <w:w w:val="105"/>
          <w:sz w:val="13"/>
        </w:rPr>
        <w:t>$'000</w:t>
      </w:r>
      <w:r>
        <w:rPr>
          <w:b/>
          <w:sz w:val="13"/>
        </w:rPr>
        <w:tab/>
      </w:r>
      <w:r>
        <w:rPr>
          <w:b/>
          <w:spacing w:val="-2"/>
          <w:w w:val="105"/>
          <w:sz w:val="13"/>
        </w:rPr>
        <w:t>$'000</w:t>
      </w:r>
    </w:p>
    <w:p>
      <w:pPr>
        <w:spacing w:after="0"/>
        <w:jc w:val="left"/>
        <w:rPr>
          <w:sz w:val="13"/>
        </w:rPr>
        <w:sectPr>
          <w:type w:val="continuous"/>
          <w:pgSz w:w="11910" w:h="16840"/>
          <w:pgMar w:header="468" w:footer="0" w:top="980" w:bottom="280" w:left="1020" w:right="1540"/>
          <w:cols w:num="2" w:equalWidth="0">
            <w:col w:w="2274" w:space="57"/>
            <w:col w:w="7019"/>
          </w:cols>
        </w:sectPr>
      </w:pPr>
    </w:p>
    <w:p>
      <w:pPr>
        <w:spacing w:line="240" w:lineRule="auto" w:before="46"/>
        <w:rPr>
          <w:b/>
          <w:sz w:val="13"/>
        </w:rPr>
      </w:pPr>
    </w:p>
    <w:p>
      <w:pPr>
        <w:spacing w:line="276" w:lineRule="auto" w:before="1"/>
        <w:ind w:left="640" w:right="-3" w:firstLine="0"/>
        <w:jc w:val="left"/>
        <w:rPr>
          <w:sz w:val="13"/>
        </w:rPr>
      </w:pPr>
      <w:r>
        <w:rPr>
          <w:b/>
          <w:w w:val="105"/>
          <w:sz w:val="13"/>
        </w:rPr>
        <w:t>Financial</w:t>
      </w:r>
      <w:r>
        <w:rPr>
          <w:b/>
          <w:spacing w:val="-6"/>
          <w:w w:val="105"/>
          <w:sz w:val="13"/>
        </w:rPr>
        <w:t> </w:t>
      </w:r>
      <w:r>
        <w:rPr>
          <w:b/>
          <w:w w:val="105"/>
          <w:sz w:val="13"/>
        </w:rPr>
        <w:t>liabilities</w:t>
      </w:r>
      <w:r>
        <w:rPr>
          <w:b/>
          <w:spacing w:val="40"/>
          <w:w w:val="105"/>
          <w:sz w:val="13"/>
        </w:rPr>
        <w:t> </w:t>
      </w:r>
      <w:r>
        <w:rPr>
          <w:w w:val="105"/>
          <w:sz w:val="13"/>
        </w:rPr>
        <w:t>Trade</w:t>
      </w:r>
      <w:r>
        <w:rPr>
          <w:spacing w:val="-10"/>
          <w:w w:val="105"/>
          <w:sz w:val="13"/>
        </w:rPr>
        <w:t> </w:t>
      </w:r>
      <w:r>
        <w:rPr>
          <w:w w:val="105"/>
          <w:sz w:val="13"/>
        </w:rPr>
        <w:t>and</w:t>
      </w:r>
      <w:r>
        <w:rPr>
          <w:spacing w:val="-9"/>
          <w:w w:val="105"/>
          <w:sz w:val="13"/>
        </w:rPr>
        <w:t> </w:t>
      </w:r>
      <w:r>
        <w:rPr>
          <w:w w:val="105"/>
          <w:sz w:val="13"/>
        </w:rPr>
        <w:t>other</w:t>
      </w:r>
      <w:r>
        <w:rPr>
          <w:spacing w:val="-10"/>
          <w:w w:val="105"/>
          <w:sz w:val="13"/>
        </w:rPr>
        <w:t> </w:t>
      </w:r>
      <w:r>
        <w:rPr>
          <w:w w:val="105"/>
          <w:sz w:val="13"/>
        </w:rPr>
        <w:t>payables</w:t>
      </w:r>
      <w:r>
        <w:rPr>
          <w:spacing w:val="40"/>
          <w:w w:val="105"/>
          <w:sz w:val="13"/>
        </w:rPr>
        <w:t> </w:t>
      </w:r>
      <w:r>
        <w:rPr>
          <w:spacing w:val="-2"/>
          <w:w w:val="105"/>
          <w:sz w:val="13"/>
        </w:rPr>
        <w:t>Borrowings</w:t>
      </w:r>
    </w:p>
    <w:p>
      <w:pPr>
        <w:spacing w:before="2"/>
        <w:ind w:left="640" w:right="0" w:firstLine="0"/>
        <w:jc w:val="left"/>
        <w:rPr>
          <w:sz w:val="13"/>
        </w:rPr>
      </w:pPr>
      <w:r>
        <w:rPr>
          <w:w w:val="105"/>
          <w:sz w:val="13"/>
        </w:rPr>
        <w:t>Other</w:t>
      </w:r>
      <w:r>
        <w:rPr>
          <w:spacing w:val="-7"/>
          <w:w w:val="105"/>
          <w:sz w:val="13"/>
        </w:rPr>
        <w:t> </w:t>
      </w:r>
      <w:r>
        <w:rPr>
          <w:w w:val="105"/>
          <w:sz w:val="13"/>
        </w:rPr>
        <w:t>financial</w:t>
      </w:r>
      <w:r>
        <w:rPr>
          <w:spacing w:val="-7"/>
          <w:w w:val="105"/>
          <w:sz w:val="13"/>
        </w:rPr>
        <w:t> </w:t>
      </w:r>
      <w:r>
        <w:rPr>
          <w:spacing w:val="-2"/>
          <w:w w:val="105"/>
          <w:sz w:val="13"/>
        </w:rPr>
        <w:t>liabilities</w:t>
      </w:r>
    </w:p>
    <w:p>
      <w:pPr>
        <w:spacing w:before="23"/>
        <w:ind w:left="640" w:right="0" w:firstLine="0"/>
        <w:jc w:val="left"/>
        <w:rPr>
          <w:b/>
          <w:sz w:val="13"/>
        </w:rPr>
      </w:pPr>
      <w:r>
        <w:rPr>
          <w:b/>
          <w:spacing w:val="-2"/>
          <w:w w:val="105"/>
          <w:sz w:val="13"/>
        </w:rPr>
        <w:t>Total</w:t>
      </w:r>
    </w:p>
    <w:p>
      <w:pPr>
        <w:spacing w:line="240" w:lineRule="auto" w:before="0"/>
        <w:rPr>
          <w:b/>
          <w:sz w:val="13"/>
        </w:rPr>
      </w:pPr>
      <w:r>
        <w:rPr/>
        <w:br w:type="column"/>
      </w:r>
      <w:r>
        <w:rPr>
          <w:b/>
          <w:sz w:val="13"/>
        </w:rPr>
      </w: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129"/>
        <w:rPr>
          <w:b/>
          <w:sz w:val="13"/>
        </w:rPr>
      </w:pPr>
    </w:p>
    <w:p>
      <w:pPr>
        <w:spacing w:line="66" w:lineRule="exact" w:before="0"/>
        <w:ind w:left="537" w:right="0" w:firstLine="0"/>
        <w:jc w:val="left"/>
        <w:rPr>
          <w:b/>
          <w:sz w:val="13"/>
        </w:rPr>
      </w:pPr>
      <w:r>
        <w:rPr>
          <w:b/>
          <w:spacing w:val="-4"/>
          <w:w w:val="105"/>
          <w:sz w:val="13"/>
        </w:rPr>
        <w:t>Average</w:t>
      </w:r>
    </w:p>
    <w:p>
      <w:pPr>
        <w:spacing w:line="240" w:lineRule="auto" w:before="0"/>
        <w:rPr>
          <w:b/>
          <w:sz w:val="13"/>
        </w:rPr>
      </w:pPr>
      <w:r>
        <w:rPr/>
        <w:br w:type="column"/>
      </w:r>
      <w:r>
        <w:rPr>
          <w:b/>
          <w:sz w:val="13"/>
        </w:rPr>
      </w: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129"/>
        <w:rPr>
          <w:b/>
          <w:sz w:val="13"/>
        </w:rPr>
      </w:pPr>
    </w:p>
    <w:p>
      <w:pPr>
        <w:spacing w:line="66" w:lineRule="exact" w:before="0"/>
        <w:ind w:left="166" w:right="0" w:firstLine="0"/>
        <w:jc w:val="left"/>
        <w:rPr>
          <w:b/>
          <w:sz w:val="13"/>
        </w:rPr>
      </w:pPr>
      <w:r>
        <w:rPr>
          <w:b/>
          <w:w w:val="105"/>
          <w:sz w:val="13"/>
        </w:rPr>
        <w:t>Non-</w:t>
      </w:r>
      <w:r>
        <w:rPr>
          <w:b/>
          <w:spacing w:val="-2"/>
          <w:w w:val="105"/>
          <w:sz w:val="13"/>
        </w:rPr>
        <w:t>interest</w:t>
      </w:r>
    </w:p>
    <w:p>
      <w:pPr>
        <w:spacing w:line="240" w:lineRule="auto" w:before="0"/>
        <w:rPr>
          <w:b/>
          <w:sz w:val="13"/>
        </w:rPr>
      </w:pPr>
      <w:r>
        <w:rPr/>
        <w:br w:type="column"/>
      </w:r>
      <w:r>
        <w:rPr>
          <w:b/>
          <w:sz w:val="13"/>
        </w:rPr>
      </w: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129"/>
        <w:rPr>
          <w:b/>
          <w:sz w:val="13"/>
        </w:rPr>
      </w:pPr>
    </w:p>
    <w:p>
      <w:pPr>
        <w:spacing w:line="66" w:lineRule="exact" w:before="0"/>
        <w:ind w:left="189" w:right="0" w:firstLine="0"/>
        <w:jc w:val="left"/>
        <w:rPr>
          <w:b/>
          <w:sz w:val="13"/>
        </w:rPr>
      </w:pPr>
      <w:r>
        <w:rPr>
          <w:b/>
          <w:spacing w:val="-2"/>
          <w:w w:val="105"/>
          <w:sz w:val="13"/>
        </w:rPr>
        <w:t>Interest</w:t>
      </w:r>
    </w:p>
    <w:p>
      <w:pPr>
        <w:spacing w:line="240" w:lineRule="auto" w:before="0"/>
        <w:rPr>
          <w:b/>
          <w:sz w:val="13"/>
        </w:rPr>
      </w:pPr>
      <w:r>
        <w:rPr/>
        <w:br w:type="column"/>
      </w:r>
      <w:r>
        <w:rPr>
          <w:b/>
          <w:sz w:val="13"/>
        </w:rPr>
      </w: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43"/>
        <w:rPr>
          <w:b/>
          <w:sz w:val="13"/>
        </w:rPr>
      </w:pPr>
    </w:p>
    <w:p>
      <w:pPr>
        <w:spacing w:line="2" w:lineRule="exact" w:before="0"/>
        <w:ind w:left="311" w:right="0" w:firstLine="0"/>
        <w:jc w:val="left"/>
        <w:rPr>
          <w:b/>
          <w:sz w:val="13"/>
        </w:rPr>
      </w:pPr>
      <w:r>
        <w:rPr>
          <w:b/>
          <w:w w:val="105"/>
          <w:sz w:val="13"/>
        </w:rPr>
        <w:t>Less</w:t>
      </w:r>
      <w:r>
        <w:rPr>
          <w:b/>
          <w:spacing w:val="-6"/>
          <w:w w:val="105"/>
          <w:sz w:val="13"/>
        </w:rPr>
        <w:t> </w:t>
      </w:r>
      <w:r>
        <w:rPr>
          <w:b/>
          <w:spacing w:val="-4"/>
          <w:w w:val="105"/>
          <w:sz w:val="13"/>
        </w:rPr>
        <w:t>than</w:t>
      </w:r>
    </w:p>
    <w:p>
      <w:pPr>
        <w:spacing w:line="240" w:lineRule="auto" w:before="0"/>
        <w:rPr>
          <w:b/>
          <w:sz w:val="13"/>
        </w:rPr>
      </w:pPr>
      <w:r>
        <w:rPr/>
        <w:br w:type="column"/>
      </w:r>
      <w:r>
        <w:rPr>
          <w:b/>
          <w:sz w:val="13"/>
        </w:rPr>
      </w: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51"/>
        <w:rPr>
          <w:b/>
          <w:sz w:val="13"/>
        </w:rPr>
      </w:pPr>
    </w:p>
    <w:p>
      <w:pPr>
        <w:spacing w:line="144" w:lineRule="exact" w:before="0"/>
        <w:ind w:left="594" w:right="0" w:firstLine="0"/>
        <w:jc w:val="left"/>
        <w:rPr>
          <w:b/>
          <w:sz w:val="13"/>
        </w:rPr>
      </w:pPr>
      <w:r>
        <w:rPr/>
        <mc:AlternateContent>
          <mc:Choice Requires="wps">
            <w:drawing>
              <wp:anchor distT="0" distB="0" distL="0" distR="0" allowOverlap="1" layoutInCell="1" locked="0" behindDoc="0" simplePos="0" relativeHeight="15900672">
                <wp:simplePos x="0" y="0"/>
                <wp:positionH relativeFrom="page">
                  <wp:posOffset>2251607</wp:posOffset>
                </wp:positionH>
                <wp:positionV relativeFrom="paragraph">
                  <wp:posOffset>-1326011</wp:posOffset>
                </wp:positionV>
                <wp:extent cx="4189729" cy="1209039"/>
                <wp:effectExtent l="0" t="0" r="0" b="0"/>
                <wp:wrapNone/>
                <wp:docPr id="957" name="Textbox 957"/>
                <wp:cNvGraphicFramePr>
                  <a:graphicFrameLocks/>
                </wp:cNvGraphicFramePr>
                <a:graphic>
                  <a:graphicData uri="http://schemas.microsoft.com/office/word/2010/wordprocessingShape">
                    <wps:wsp>
                      <wps:cNvPr id="957" name="Textbox 957"/>
                      <wps:cNvSpPr txBox="1"/>
                      <wps:spPr>
                        <a:xfrm>
                          <a:off x="0" y="0"/>
                          <a:ext cx="4189729" cy="1209039"/>
                        </a:xfrm>
                        <a:prstGeom prst="rect">
                          <a:avLst/>
                        </a:prstGeom>
                      </wps:spPr>
                      <wps:txbx>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79"/>
                              <w:gridCol w:w="1005"/>
                              <w:gridCol w:w="753"/>
                              <w:gridCol w:w="1188"/>
                              <w:gridCol w:w="933"/>
                              <w:gridCol w:w="893"/>
                              <w:gridCol w:w="828"/>
                            </w:tblGrid>
                            <w:tr>
                              <w:trPr>
                                <w:trHeight w:val="327" w:hRule="atLeast"/>
                              </w:trPr>
                              <w:tc>
                                <w:tcPr>
                                  <w:tcW w:w="879" w:type="dxa"/>
                                  <w:tcBorders>
                                    <w:top w:val="single" w:sz="6" w:space="0" w:color="000000"/>
                                  </w:tcBorders>
                                </w:tcPr>
                                <w:p>
                                  <w:pPr>
                                    <w:pStyle w:val="TableParagraph"/>
                                    <w:spacing w:before="10"/>
                                    <w:rPr>
                                      <w:b/>
                                      <w:sz w:val="13"/>
                                    </w:rPr>
                                  </w:pPr>
                                </w:p>
                                <w:p>
                                  <w:pPr>
                                    <w:pStyle w:val="TableParagraph"/>
                                    <w:spacing w:line="147" w:lineRule="exact" w:before="1"/>
                                    <w:ind w:right="25"/>
                                    <w:jc w:val="right"/>
                                    <w:rPr>
                                      <w:sz w:val="13"/>
                                    </w:rPr>
                                  </w:pPr>
                                  <w:r>
                                    <w:rPr>
                                      <w:spacing w:val="-2"/>
                                      <w:w w:val="105"/>
                                      <w:sz w:val="13"/>
                                    </w:rPr>
                                    <w:t>0.88%</w:t>
                                  </w:r>
                                </w:p>
                              </w:tc>
                              <w:tc>
                                <w:tcPr>
                                  <w:tcW w:w="1005" w:type="dxa"/>
                                  <w:tcBorders>
                                    <w:top w:val="single" w:sz="6" w:space="0" w:color="000000"/>
                                  </w:tcBorders>
                                </w:tcPr>
                                <w:p>
                                  <w:pPr>
                                    <w:pStyle w:val="TableParagraph"/>
                                    <w:spacing w:before="10"/>
                                    <w:rPr>
                                      <w:b/>
                                      <w:sz w:val="13"/>
                                    </w:rPr>
                                  </w:pPr>
                                </w:p>
                                <w:p>
                                  <w:pPr>
                                    <w:pStyle w:val="TableParagraph"/>
                                    <w:spacing w:line="147" w:lineRule="exact" w:before="1"/>
                                    <w:ind w:right="197"/>
                                    <w:jc w:val="right"/>
                                    <w:rPr>
                                      <w:sz w:val="13"/>
                                    </w:rPr>
                                  </w:pPr>
                                  <w:r>
                                    <w:rPr>
                                      <w:spacing w:val="-5"/>
                                      <w:w w:val="105"/>
                                      <w:sz w:val="13"/>
                                    </w:rPr>
                                    <w:t>93</w:t>
                                  </w:r>
                                </w:p>
                              </w:tc>
                              <w:tc>
                                <w:tcPr>
                                  <w:tcW w:w="753" w:type="dxa"/>
                                  <w:tcBorders>
                                    <w:top w:val="single" w:sz="6" w:space="0" w:color="000000"/>
                                    <w:right w:val="single" w:sz="6" w:space="0" w:color="000000"/>
                                  </w:tcBorders>
                                </w:tcPr>
                                <w:p>
                                  <w:pPr>
                                    <w:pStyle w:val="TableParagraph"/>
                                    <w:spacing w:before="10"/>
                                    <w:rPr>
                                      <w:b/>
                                      <w:sz w:val="13"/>
                                    </w:rPr>
                                  </w:pPr>
                                </w:p>
                                <w:p>
                                  <w:pPr>
                                    <w:pStyle w:val="TableParagraph"/>
                                    <w:spacing w:line="147" w:lineRule="exact" w:before="1"/>
                                    <w:ind w:right="66"/>
                                    <w:jc w:val="right"/>
                                    <w:rPr>
                                      <w:sz w:val="13"/>
                                    </w:rPr>
                                  </w:pPr>
                                  <w:r>
                                    <w:rPr>
                                      <w:spacing w:val="-2"/>
                                      <w:w w:val="105"/>
                                      <w:sz w:val="13"/>
                                    </w:rPr>
                                    <w:t>126,998</w:t>
                                  </w:r>
                                </w:p>
                              </w:tc>
                              <w:tc>
                                <w:tcPr>
                                  <w:tcW w:w="1188" w:type="dxa"/>
                                  <w:tcBorders>
                                    <w:top w:val="single" w:sz="6" w:space="0" w:color="000000"/>
                                    <w:left w:val="single" w:sz="6" w:space="0" w:color="000000"/>
                                  </w:tcBorders>
                                </w:tcPr>
                                <w:p>
                                  <w:pPr>
                                    <w:pStyle w:val="TableParagraph"/>
                                    <w:spacing w:before="10"/>
                                    <w:rPr>
                                      <w:b/>
                                      <w:sz w:val="13"/>
                                    </w:rPr>
                                  </w:pPr>
                                </w:p>
                                <w:p>
                                  <w:pPr>
                                    <w:pStyle w:val="TableParagraph"/>
                                    <w:spacing w:line="147" w:lineRule="exact" w:before="1"/>
                                    <w:ind w:left="378"/>
                                    <w:rPr>
                                      <w:sz w:val="13"/>
                                    </w:rPr>
                                  </w:pPr>
                                  <w:r>
                                    <w:rPr>
                                      <w:spacing w:val="-2"/>
                                      <w:w w:val="105"/>
                                      <w:sz w:val="13"/>
                                    </w:rPr>
                                    <w:t>127,090</w:t>
                                  </w:r>
                                </w:p>
                              </w:tc>
                              <w:tc>
                                <w:tcPr>
                                  <w:tcW w:w="933" w:type="dxa"/>
                                  <w:tcBorders>
                                    <w:top w:val="single" w:sz="6" w:space="0" w:color="000000"/>
                                  </w:tcBorders>
                                </w:tcPr>
                                <w:p>
                                  <w:pPr>
                                    <w:pStyle w:val="TableParagraph"/>
                                    <w:spacing w:before="24"/>
                                    <w:rPr>
                                      <w:b/>
                                      <w:sz w:val="13"/>
                                    </w:rPr>
                                  </w:pPr>
                                </w:p>
                                <w:p>
                                  <w:pPr>
                                    <w:pStyle w:val="TableParagraph"/>
                                    <w:spacing w:line="134" w:lineRule="exact"/>
                                    <w:ind w:right="206"/>
                                    <w:jc w:val="right"/>
                                    <w:rPr>
                                      <w:sz w:val="13"/>
                                    </w:rPr>
                                  </w:pPr>
                                  <w:r>
                                    <w:rPr>
                                      <w:spacing w:val="-10"/>
                                      <w:w w:val="105"/>
                                      <w:sz w:val="13"/>
                                    </w:rPr>
                                    <w:t>-</w:t>
                                  </w:r>
                                </w:p>
                              </w:tc>
                              <w:tc>
                                <w:tcPr>
                                  <w:tcW w:w="893" w:type="dxa"/>
                                  <w:tcBorders>
                                    <w:top w:val="single" w:sz="6" w:space="0" w:color="000000"/>
                                  </w:tcBorders>
                                </w:tcPr>
                                <w:p>
                                  <w:pPr>
                                    <w:pStyle w:val="TableParagraph"/>
                                    <w:spacing w:before="24"/>
                                    <w:rPr>
                                      <w:b/>
                                      <w:sz w:val="13"/>
                                    </w:rPr>
                                  </w:pPr>
                                </w:p>
                                <w:p>
                                  <w:pPr>
                                    <w:pStyle w:val="TableParagraph"/>
                                    <w:spacing w:line="134" w:lineRule="exact"/>
                                    <w:ind w:right="150"/>
                                    <w:jc w:val="right"/>
                                    <w:rPr>
                                      <w:sz w:val="13"/>
                                    </w:rPr>
                                  </w:pPr>
                                  <w:r>
                                    <w:rPr>
                                      <w:spacing w:val="-10"/>
                                      <w:w w:val="105"/>
                                      <w:sz w:val="13"/>
                                    </w:rPr>
                                    <w:t>-</w:t>
                                  </w:r>
                                </w:p>
                              </w:tc>
                              <w:tc>
                                <w:tcPr>
                                  <w:tcW w:w="828" w:type="dxa"/>
                                  <w:tcBorders>
                                    <w:top w:val="single" w:sz="6" w:space="0" w:color="000000"/>
                                  </w:tcBorders>
                                </w:tcPr>
                                <w:p>
                                  <w:pPr>
                                    <w:pStyle w:val="TableParagraph"/>
                                    <w:spacing w:before="10"/>
                                    <w:rPr>
                                      <w:b/>
                                      <w:sz w:val="13"/>
                                    </w:rPr>
                                  </w:pPr>
                                </w:p>
                                <w:p>
                                  <w:pPr>
                                    <w:pStyle w:val="TableParagraph"/>
                                    <w:spacing w:line="147" w:lineRule="exact" w:before="1"/>
                                    <w:ind w:right="74"/>
                                    <w:jc w:val="right"/>
                                    <w:rPr>
                                      <w:sz w:val="13"/>
                                    </w:rPr>
                                  </w:pPr>
                                  <w:r>
                                    <w:rPr>
                                      <w:spacing w:val="-2"/>
                                      <w:w w:val="105"/>
                                      <w:sz w:val="13"/>
                                    </w:rPr>
                                    <w:t>127,090</w:t>
                                  </w:r>
                                </w:p>
                              </w:tc>
                            </w:tr>
                            <w:tr>
                              <w:trPr>
                                <w:trHeight w:val="172" w:hRule="atLeast"/>
                              </w:trPr>
                              <w:tc>
                                <w:tcPr>
                                  <w:tcW w:w="879" w:type="dxa"/>
                                </w:tcPr>
                                <w:p>
                                  <w:pPr>
                                    <w:pStyle w:val="TableParagraph"/>
                                    <w:spacing w:line="134" w:lineRule="exact" w:before="18"/>
                                    <w:ind w:right="63"/>
                                    <w:jc w:val="right"/>
                                    <w:rPr>
                                      <w:sz w:val="13"/>
                                    </w:rPr>
                                  </w:pPr>
                                  <w:r>
                                    <w:rPr>
                                      <w:spacing w:val="-10"/>
                                      <w:w w:val="105"/>
                                      <w:sz w:val="13"/>
                                    </w:rPr>
                                    <w:t>-</w:t>
                                  </w:r>
                                </w:p>
                              </w:tc>
                              <w:tc>
                                <w:tcPr>
                                  <w:tcW w:w="1005" w:type="dxa"/>
                                </w:tcPr>
                                <w:p>
                                  <w:pPr>
                                    <w:pStyle w:val="TableParagraph"/>
                                    <w:spacing w:line="147" w:lineRule="exact" w:before="5"/>
                                    <w:ind w:right="198"/>
                                    <w:jc w:val="right"/>
                                    <w:rPr>
                                      <w:sz w:val="13"/>
                                    </w:rPr>
                                  </w:pPr>
                                  <w:r>
                                    <w:rPr>
                                      <w:spacing w:val="-2"/>
                                      <w:w w:val="105"/>
                                      <w:sz w:val="13"/>
                                    </w:rPr>
                                    <w:t>41,322</w:t>
                                  </w:r>
                                </w:p>
                              </w:tc>
                              <w:tc>
                                <w:tcPr>
                                  <w:tcW w:w="753" w:type="dxa"/>
                                  <w:tcBorders>
                                    <w:right w:val="single" w:sz="6" w:space="0" w:color="000000"/>
                                  </w:tcBorders>
                                </w:tcPr>
                                <w:p>
                                  <w:pPr>
                                    <w:pStyle w:val="TableParagraph"/>
                                    <w:spacing w:line="134" w:lineRule="exact" w:before="18"/>
                                    <w:ind w:right="56"/>
                                    <w:jc w:val="right"/>
                                    <w:rPr>
                                      <w:sz w:val="13"/>
                                    </w:rPr>
                                  </w:pPr>
                                  <w:r>
                                    <w:rPr>
                                      <w:spacing w:val="-10"/>
                                      <w:w w:val="105"/>
                                      <w:sz w:val="13"/>
                                    </w:rPr>
                                    <w:t>-</w:t>
                                  </w:r>
                                </w:p>
                              </w:tc>
                              <w:tc>
                                <w:tcPr>
                                  <w:tcW w:w="1188" w:type="dxa"/>
                                  <w:tcBorders>
                                    <w:left w:val="single" w:sz="6" w:space="0" w:color="000000"/>
                                  </w:tcBorders>
                                </w:tcPr>
                                <w:p>
                                  <w:pPr>
                                    <w:pStyle w:val="TableParagraph"/>
                                    <w:spacing w:line="147" w:lineRule="exact" w:before="5"/>
                                    <w:ind w:left="453"/>
                                    <w:rPr>
                                      <w:sz w:val="13"/>
                                    </w:rPr>
                                  </w:pPr>
                                  <w:r>
                                    <w:rPr>
                                      <w:spacing w:val="-2"/>
                                      <w:w w:val="105"/>
                                      <w:sz w:val="13"/>
                                    </w:rPr>
                                    <w:t>41,322</w:t>
                                  </w:r>
                                </w:p>
                              </w:tc>
                              <w:tc>
                                <w:tcPr>
                                  <w:tcW w:w="933" w:type="dxa"/>
                                </w:tcPr>
                                <w:p>
                                  <w:pPr>
                                    <w:pStyle w:val="TableParagraph"/>
                                    <w:spacing w:line="134" w:lineRule="exact" w:before="18"/>
                                    <w:ind w:right="206"/>
                                    <w:jc w:val="right"/>
                                    <w:rPr>
                                      <w:sz w:val="13"/>
                                    </w:rPr>
                                  </w:pPr>
                                  <w:r>
                                    <w:rPr>
                                      <w:spacing w:val="-10"/>
                                      <w:w w:val="105"/>
                                      <w:sz w:val="13"/>
                                    </w:rPr>
                                    <w:t>-</w:t>
                                  </w:r>
                                </w:p>
                              </w:tc>
                              <w:tc>
                                <w:tcPr>
                                  <w:tcW w:w="893" w:type="dxa"/>
                                </w:tcPr>
                                <w:p>
                                  <w:pPr>
                                    <w:pStyle w:val="TableParagraph"/>
                                    <w:spacing w:line="134" w:lineRule="exact" w:before="18"/>
                                    <w:ind w:right="150"/>
                                    <w:jc w:val="right"/>
                                    <w:rPr>
                                      <w:sz w:val="13"/>
                                    </w:rPr>
                                  </w:pPr>
                                  <w:r>
                                    <w:rPr>
                                      <w:spacing w:val="-10"/>
                                      <w:w w:val="105"/>
                                      <w:sz w:val="13"/>
                                    </w:rPr>
                                    <w:t>-</w:t>
                                  </w:r>
                                </w:p>
                              </w:tc>
                              <w:tc>
                                <w:tcPr>
                                  <w:tcW w:w="828" w:type="dxa"/>
                                </w:tcPr>
                                <w:p>
                                  <w:pPr>
                                    <w:pStyle w:val="TableParagraph"/>
                                    <w:spacing w:line="147" w:lineRule="exact" w:before="5"/>
                                    <w:ind w:right="76"/>
                                    <w:jc w:val="right"/>
                                    <w:rPr>
                                      <w:sz w:val="13"/>
                                    </w:rPr>
                                  </w:pPr>
                                  <w:r>
                                    <w:rPr>
                                      <w:spacing w:val="-2"/>
                                      <w:w w:val="105"/>
                                      <w:sz w:val="13"/>
                                    </w:rPr>
                                    <w:t>41,322</w:t>
                                  </w:r>
                                </w:p>
                              </w:tc>
                            </w:tr>
                            <w:tr>
                              <w:trPr>
                                <w:trHeight w:val="170" w:hRule="atLeast"/>
                              </w:trPr>
                              <w:tc>
                                <w:tcPr>
                                  <w:tcW w:w="879" w:type="dxa"/>
                                </w:tcPr>
                                <w:p>
                                  <w:pPr>
                                    <w:pStyle w:val="TableParagraph"/>
                                    <w:spacing w:line="132" w:lineRule="exact" w:before="18"/>
                                    <w:ind w:right="63"/>
                                    <w:jc w:val="right"/>
                                    <w:rPr>
                                      <w:sz w:val="13"/>
                                    </w:rPr>
                                  </w:pPr>
                                  <w:r>
                                    <w:rPr>
                                      <w:spacing w:val="-10"/>
                                      <w:w w:val="105"/>
                                      <w:sz w:val="13"/>
                                    </w:rPr>
                                    <w:t>-</w:t>
                                  </w:r>
                                </w:p>
                              </w:tc>
                              <w:tc>
                                <w:tcPr>
                                  <w:tcW w:w="1005" w:type="dxa"/>
                                  <w:tcBorders>
                                    <w:bottom w:val="single" w:sz="6" w:space="0" w:color="000000"/>
                                  </w:tcBorders>
                                </w:tcPr>
                                <w:p>
                                  <w:pPr>
                                    <w:pStyle w:val="TableParagraph"/>
                                    <w:spacing w:line="145" w:lineRule="exact" w:before="5"/>
                                    <w:ind w:right="198"/>
                                    <w:jc w:val="right"/>
                                    <w:rPr>
                                      <w:sz w:val="13"/>
                                    </w:rPr>
                                  </w:pPr>
                                  <w:r>
                                    <w:rPr>
                                      <w:spacing w:val="-2"/>
                                      <w:w w:val="105"/>
                                      <w:sz w:val="13"/>
                                    </w:rPr>
                                    <w:t>940,148</w:t>
                                  </w:r>
                                </w:p>
                              </w:tc>
                              <w:tc>
                                <w:tcPr>
                                  <w:tcW w:w="753" w:type="dxa"/>
                                  <w:tcBorders>
                                    <w:bottom w:val="single" w:sz="6" w:space="0" w:color="000000"/>
                                    <w:right w:val="single" w:sz="6" w:space="0" w:color="000000"/>
                                  </w:tcBorders>
                                </w:tcPr>
                                <w:p>
                                  <w:pPr>
                                    <w:pStyle w:val="TableParagraph"/>
                                    <w:spacing w:line="132" w:lineRule="exact" w:before="18"/>
                                    <w:ind w:right="56"/>
                                    <w:jc w:val="right"/>
                                    <w:rPr>
                                      <w:sz w:val="13"/>
                                    </w:rPr>
                                  </w:pPr>
                                  <w:r>
                                    <w:rPr>
                                      <w:spacing w:val="-10"/>
                                      <w:w w:val="105"/>
                                      <w:sz w:val="13"/>
                                    </w:rPr>
                                    <w:t>-</w:t>
                                  </w:r>
                                </w:p>
                              </w:tc>
                              <w:tc>
                                <w:tcPr>
                                  <w:tcW w:w="1188" w:type="dxa"/>
                                  <w:tcBorders>
                                    <w:left w:val="single" w:sz="6" w:space="0" w:color="000000"/>
                                    <w:bottom w:val="single" w:sz="6" w:space="0" w:color="000000"/>
                                  </w:tcBorders>
                                </w:tcPr>
                                <w:p>
                                  <w:pPr>
                                    <w:pStyle w:val="TableParagraph"/>
                                    <w:spacing w:line="145" w:lineRule="exact" w:before="5"/>
                                    <w:ind w:right="265"/>
                                    <w:jc w:val="right"/>
                                    <w:rPr>
                                      <w:sz w:val="13"/>
                                    </w:rPr>
                                  </w:pPr>
                                  <w:r>
                                    <w:rPr>
                                      <w:spacing w:val="-10"/>
                                      <w:w w:val="105"/>
                                      <w:sz w:val="13"/>
                                    </w:rPr>
                                    <w:t>-</w:t>
                                  </w:r>
                                </w:p>
                              </w:tc>
                              <w:tc>
                                <w:tcPr>
                                  <w:tcW w:w="933" w:type="dxa"/>
                                  <w:tcBorders>
                                    <w:bottom w:val="single" w:sz="6" w:space="0" w:color="000000"/>
                                  </w:tcBorders>
                                </w:tcPr>
                                <w:p>
                                  <w:pPr>
                                    <w:pStyle w:val="TableParagraph"/>
                                    <w:spacing w:line="132" w:lineRule="exact" w:before="18"/>
                                    <w:ind w:right="206"/>
                                    <w:jc w:val="right"/>
                                    <w:rPr>
                                      <w:sz w:val="13"/>
                                    </w:rPr>
                                  </w:pPr>
                                  <w:r>
                                    <w:rPr>
                                      <w:spacing w:val="-10"/>
                                      <w:w w:val="105"/>
                                      <w:sz w:val="13"/>
                                    </w:rPr>
                                    <w:t>-</w:t>
                                  </w:r>
                                </w:p>
                              </w:tc>
                              <w:tc>
                                <w:tcPr>
                                  <w:tcW w:w="893" w:type="dxa"/>
                                  <w:tcBorders>
                                    <w:bottom w:val="single" w:sz="6" w:space="0" w:color="000000"/>
                                  </w:tcBorders>
                                </w:tcPr>
                                <w:p>
                                  <w:pPr>
                                    <w:pStyle w:val="TableParagraph"/>
                                    <w:spacing w:line="145" w:lineRule="exact" w:before="5"/>
                                    <w:ind w:right="196"/>
                                    <w:jc w:val="right"/>
                                    <w:rPr>
                                      <w:sz w:val="13"/>
                                    </w:rPr>
                                  </w:pPr>
                                  <w:r>
                                    <w:rPr>
                                      <w:spacing w:val="-2"/>
                                      <w:w w:val="105"/>
                                      <w:sz w:val="13"/>
                                    </w:rPr>
                                    <w:t>940,148</w:t>
                                  </w:r>
                                </w:p>
                              </w:tc>
                              <w:tc>
                                <w:tcPr>
                                  <w:tcW w:w="828" w:type="dxa"/>
                                  <w:tcBorders>
                                    <w:bottom w:val="single" w:sz="6" w:space="0" w:color="000000"/>
                                  </w:tcBorders>
                                </w:tcPr>
                                <w:p>
                                  <w:pPr>
                                    <w:pStyle w:val="TableParagraph"/>
                                    <w:spacing w:line="145" w:lineRule="exact" w:before="5"/>
                                    <w:ind w:right="74"/>
                                    <w:jc w:val="right"/>
                                    <w:rPr>
                                      <w:sz w:val="13"/>
                                    </w:rPr>
                                  </w:pPr>
                                  <w:r>
                                    <w:rPr>
                                      <w:spacing w:val="-2"/>
                                      <w:w w:val="105"/>
                                      <w:sz w:val="13"/>
                                    </w:rPr>
                                    <w:t>940,148</w:t>
                                  </w:r>
                                </w:p>
                              </w:tc>
                            </w:tr>
                            <w:tr>
                              <w:trPr>
                                <w:trHeight w:val="157" w:hRule="atLeast"/>
                              </w:trPr>
                              <w:tc>
                                <w:tcPr>
                                  <w:tcW w:w="879" w:type="dxa"/>
                                </w:tcPr>
                                <w:p>
                                  <w:pPr>
                                    <w:pStyle w:val="TableParagraph"/>
                                    <w:rPr>
                                      <w:rFonts w:ascii="Times New Roman"/>
                                      <w:sz w:val="10"/>
                                    </w:rPr>
                                  </w:pPr>
                                </w:p>
                              </w:tc>
                              <w:tc>
                                <w:tcPr>
                                  <w:tcW w:w="1005" w:type="dxa"/>
                                  <w:tcBorders>
                                    <w:top w:val="single" w:sz="6" w:space="0" w:color="000000"/>
                                    <w:bottom w:val="single" w:sz="6" w:space="0" w:color="000000"/>
                                  </w:tcBorders>
                                </w:tcPr>
                                <w:p>
                                  <w:pPr>
                                    <w:pStyle w:val="TableParagraph"/>
                                    <w:spacing w:line="138" w:lineRule="exact"/>
                                    <w:ind w:right="198"/>
                                    <w:jc w:val="right"/>
                                    <w:rPr>
                                      <w:b/>
                                      <w:sz w:val="13"/>
                                    </w:rPr>
                                  </w:pPr>
                                  <w:r>
                                    <w:rPr>
                                      <w:b/>
                                      <w:spacing w:val="-2"/>
                                      <w:w w:val="105"/>
                                      <w:sz w:val="13"/>
                                    </w:rPr>
                                    <w:t>981,563</w:t>
                                  </w:r>
                                </w:p>
                              </w:tc>
                              <w:tc>
                                <w:tcPr>
                                  <w:tcW w:w="753" w:type="dxa"/>
                                  <w:tcBorders>
                                    <w:top w:val="single" w:sz="6" w:space="0" w:color="000000"/>
                                    <w:bottom w:val="single" w:sz="6" w:space="0" w:color="000000"/>
                                    <w:right w:val="single" w:sz="6" w:space="0" w:color="000000"/>
                                  </w:tcBorders>
                                </w:tcPr>
                                <w:p>
                                  <w:pPr>
                                    <w:pStyle w:val="TableParagraph"/>
                                    <w:spacing w:line="138" w:lineRule="exact"/>
                                    <w:ind w:right="66"/>
                                    <w:jc w:val="right"/>
                                    <w:rPr>
                                      <w:b/>
                                      <w:sz w:val="13"/>
                                    </w:rPr>
                                  </w:pPr>
                                  <w:r>
                                    <w:rPr>
                                      <w:b/>
                                      <w:spacing w:val="-2"/>
                                      <w:w w:val="105"/>
                                      <w:sz w:val="13"/>
                                    </w:rPr>
                                    <w:t>126,998</w:t>
                                  </w:r>
                                </w:p>
                              </w:tc>
                              <w:tc>
                                <w:tcPr>
                                  <w:tcW w:w="1188" w:type="dxa"/>
                                  <w:tcBorders>
                                    <w:top w:val="single" w:sz="6" w:space="0" w:color="000000"/>
                                    <w:left w:val="single" w:sz="6" w:space="0" w:color="000000"/>
                                    <w:bottom w:val="single" w:sz="6" w:space="0" w:color="000000"/>
                                  </w:tcBorders>
                                </w:tcPr>
                                <w:p>
                                  <w:pPr>
                                    <w:pStyle w:val="TableParagraph"/>
                                    <w:spacing w:line="138" w:lineRule="exact"/>
                                    <w:ind w:left="378"/>
                                    <w:rPr>
                                      <w:b/>
                                      <w:sz w:val="13"/>
                                    </w:rPr>
                                  </w:pPr>
                                  <w:r>
                                    <w:rPr>
                                      <w:b/>
                                      <w:spacing w:val="-2"/>
                                      <w:w w:val="105"/>
                                      <w:sz w:val="13"/>
                                    </w:rPr>
                                    <w:t>168,412</w:t>
                                  </w:r>
                                </w:p>
                              </w:tc>
                              <w:tc>
                                <w:tcPr>
                                  <w:tcW w:w="933" w:type="dxa"/>
                                  <w:tcBorders>
                                    <w:top w:val="single" w:sz="6" w:space="0" w:color="000000"/>
                                    <w:bottom w:val="single" w:sz="6" w:space="0" w:color="000000"/>
                                  </w:tcBorders>
                                </w:tcPr>
                                <w:p>
                                  <w:pPr>
                                    <w:pStyle w:val="TableParagraph"/>
                                    <w:spacing w:line="132" w:lineRule="exact" w:before="5"/>
                                    <w:ind w:right="244"/>
                                    <w:jc w:val="right"/>
                                    <w:rPr>
                                      <w:sz w:val="13"/>
                                    </w:rPr>
                                  </w:pPr>
                                  <w:r>
                                    <w:rPr>
                                      <w:spacing w:val="-10"/>
                                      <w:w w:val="105"/>
                                      <w:sz w:val="13"/>
                                    </w:rPr>
                                    <w:t>-</w:t>
                                  </w:r>
                                </w:p>
                              </w:tc>
                              <w:tc>
                                <w:tcPr>
                                  <w:tcW w:w="893" w:type="dxa"/>
                                  <w:tcBorders>
                                    <w:top w:val="single" w:sz="6" w:space="0" w:color="000000"/>
                                    <w:bottom w:val="single" w:sz="6" w:space="0" w:color="000000"/>
                                  </w:tcBorders>
                                </w:tcPr>
                                <w:p>
                                  <w:pPr>
                                    <w:pStyle w:val="TableParagraph"/>
                                    <w:spacing w:line="138" w:lineRule="exact"/>
                                    <w:ind w:right="196"/>
                                    <w:jc w:val="right"/>
                                    <w:rPr>
                                      <w:b/>
                                      <w:sz w:val="13"/>
                                    </w:rPr>
                                  </w:pPr>
                                  <w:r>
                                    <w:rPr>
                                      <w:b/>
                                      <w:spacing w:val="-2"/>
                                      <w:w w:val="105"/>
                                      <w:sz w:val="13"/>
                                    </w:rPr>
                                    <w:t>940,148</w:t>
                                  </w:r>
                                </w:p>
                              </w:tc>
                              <w:tc>
                                <w:tcPr>
                                  <w:tcW w:w="828" w:type="dxa"/>
                                  <w:tcBorders>
                                    <w:top w:val="single" w:sz="6" w:space="0" w:color="000000"/>
                                    <w:bottom w:val="single" w:sz="6" w:space="0" w:color="000000"/>
                                  </w:tcBorders>
                                </w:tcPr>
                                <w:p>
                                  <w:pPr>
                                    <w:pStyle w:val="TableParagraph"/>
                                    <w:spacing w:line="138" w:lineRule="exact"/>
                                    <w:ind w:right="74"/>
                                    <w:jc w:val="right"/>
                                    <w:rPr>
                                      <w:b/>
                                      <w:sz w:val="13"/>
                                    </w:rPr>
                                  </w:pPr>
                                  <w:r>
                                    <w:rPr>
                                      <w:b/>
                                      <w:spacing w:val="-2"/>
                                      <w:w w:val="105"/>
                                      <w:sz w:val="13"/>
                                    </w:rPr>
                                    <w:t>1,108,560</w:t>
                                  </w:r>
                                </w:p>
                              </w:tc>
                            </w:tr>
                            <w:tr>
                              <w:trPr>
                                <w:trHeight w:val="504" w:hRule="atLeast"/>
                              </w:trPr>
                              <w:tc>
                                <w:tcPr>
                                  <w:tcW w:w="879" w:type="dxa"/>
                                </w:tcPr>
                                <w:p>
                                  <w:pPr>
                                    <w:pStyle w:val="TableParagraph"/>
                                    <w:rPr>
                                      <w:b/>
                                      <w:sz w:val="13"/>
                                    </w:rPr>
                                  </w:pPr>
                                </w:p>
                                <w:p>
                                  <w:pPr>
                                    <w:pStyle w:val="TableParagraph"/>
                                    <w:spacing w:before="51"/>
                                    <w:rPr>
                                      <w:b/>
                                      <w:sz w:val="13"/>
                                    </w:rPr>
                                  </w:pPr>
                                </w:p>
                                <w:p>
                                  <w:pPr>
                                    <w:pStyle w:val="TableParagraph"/>
                                    <w:spacing w:line="134" w:lineRule="exact" w:before="1"/>
                                    <w:ind w:right="63"/>
                                    <w:jc w:val="right"/>
                                    <w:rPr>
                                      <w:sz w:val="13"/>
                                    </w:rPr>
                                  </w:pPr>
                                  <w:r>
                                    <w:rPr>
                                      <w:spacing w:val="-10"/>
                                      <w:w w:val="105"/>
                                      <w:sz w:val="13"/>
                                    </w:rPr>
                                    <w:t>-</w:t>
                                  </w:r>
                                </w:p>
                              </w:tc>
                              <w:tc>
                                <w:tcPr>
                                  <w:tcW w:w="1005" w:type="dxa"/>
                                  <w:tcBorders>
                                    <w:top w:val="single" w:sz="6" w:space="0" w:color="000000"/>
                                  </w:tcBorders>
                                </w:tcPr>
                                <w:p>
                                  <w:pPr>
                                    <w:pStyle w:val="TableParagraph"/>
                                    <w:rPr>
                                      <w:b/>
                                      <w:sz w:val="13"/>
                                    </w:rPr>
                                  </w:pPr>
                                </w:p>
                                <w:p>
                                  <w:pPr>
                                    <w:pStyle w:val="TableParagraph"/>
                                    <w:spacing w:before="38"/>
                                    <w:rPr>
                                      <w:b/>
                                      <w:sz w:val="13"/>
                                    </w:rPr>
                                  </w:pPr>
                                </w:p>
                                <w:p>
                                  <w:pPr>
                                    <w:pStyle w:val="TableParagraph"/>
                                    <w:spacing w:line="147" w:lineRule="exact"/>
                                    <w:ind w:right="198"/>
                                    <w:jc w:val="right"/>
                                    <w:rPr>
                                      <w:sz w:val="13"/>
                                    </w:rPr>
                                  </w:pPr>
                                  <w:r>
                                    <w:rPr>
                                      <w:spacing w:val="-2"/>
                                      <w:w w:val="105"/>
                                      <w:sz w:val="13"/>
                                    </w:rPr>
                                    <w:t>44,929</w:t>
                                  </w:r>
                                </w:p>
                              </w:tc>
                              <w:tc>
                                <w:tcPr>
                                  <w:tcW w:w="753" w:type="dxa"/>
                                  <w:tcBorders>
                                    <w:top w:val="single" w:sz="6" w:space="0" w:color="000000"/>
                                    <w:right w:val="single" w:sz="6" w:space="0" w:color="000000"/>
                                  </w:tcBorders>
                                </w:tcPr>
                                <w:p>
                                  <w:pPr>
                                    <w:pStyle w:val="TableParagraph"/>
                                    <w:rPr>
                                      <w:b/>
                                      <w:sz w:val="13"/>
                                    </w:rPr>
                                  </w:pPr>
                                </w:p>
                                <w:p>
                                  <w:pPr>
                                    <w:pStyle w:val="TableParagraph"/>
                                    <w:spacing w:before="51"/>
                                    <w:rPr>
                                      <w:b/>
                                      <w:sz w:val="13"/>
                                    </w:rPr>
                                  </w:pPr>
                                </w:p>
                                <w:p>
                                  <w:pPr>
                                    <w:pStyle w:val="TableParagraph"/>
                                    <w:spacing w:line="134" w:lineRule="exact" w:before="1"/>
                                    <w:ind w:right="56"/>
                                    <w:jc w:val="right"/>
                                    <w:rPr>
                                      <w:sz w:val="13"/>
                                    </w:rPr>
                                  </w:pPr>
                                  <w:r>
                                    <w:rPr>
                                      <w:spacing w:val="-10"/>
                                      <w:w w:val="105"/>
                                      <w:sz w:val="13"/>
                                    </w:rPr>
                                    <w:t>-</w:t>
                                  </w:r>
                                </w:p>
                              </w:tc>
                              <w:tc>
                                <w:tcPr>
                                  <w:tcW w:w="1188" w:type="dxa"/>
                                  <w:tcBorders>
                                    <w:top w:val="single" w:sz="6" w:space="0" w:color="000000"/>
                                    <w:left w:val="single" w:sz="6" w:space="0" w:color="000000"/>
                                  </w:tcBorders>
                                </w:tcPr>
                                <w:p>
                                  <w:pPr>
                                    <w:pStyle w:val="TableParagraph"/>
                                    <w:rPr>
                                      <w:b/>
                                      <w:sz w:val="13"/>
                                    </w:rPr>
                                  </w:pPr>
                                </w:p>
                                <w:p>
                                  <w:pPr>
                                    <w:pStyle w:val="TableParagraph"/>
                                    <w:spacing w:before="38"/>
                                    <w:rPr>
                                      <w:b/>
                                      <w:sz w:val="13"/>
                                    </w:rPr>
                                  </w:pPr>
                                </w:p>
                                <w:p>
                                  <w:pPr>
                                    <w:pStyle w:val="TableParagraph"/>
                                    <w:spacing w:line="147" w:lineRule="exact"/>
                                    <w:ind w:left="453"/>
                                    <w:rPr>
                                      <w:sz w:val="13"/>
                                    </w:rPr>
                                  </w:pPr>
                                  <w:r>
                                    <w:rPr>
                                      <w:spacing w:val="-2"/>
                                      <w:w w:val="105"/>
                                      <w:sz w:val="13"/>
                                    </w:rPr>
                                    <w:t>44,929</w:t>
                                  </w:r>
                                </w:p>
                              </w:tc>
                              <w:tc>
                                <w:tcPr>
                                  <w:tcW w:w="933" w:type="dxa"/>
                                  <w:tcBorders>
                                    <w:top w:val="single" w:sz="6" w:space="0" w:color="000000"/>
                                  </w:tcBorders>
                                </w:tcPr>
                                <w:p>
                                  <w:pPr>
                                    <w:pStyle w:val="TableParagraph"/>
                                    <w:rPr>
                                      <w:b/>
                                      <w:sz w:val="13"/>
                                    </w:rPr>
                                  </w:pPr>
                                </w:p>
                                <w:p>
                                  <w:pPr>
                                    <w:pStyle w:val="TableParagraph"/>
                                    <w:spacing w:before="51"/>
                                    <w:rPr>
                                      <w:b/>
                                      <w:sz w:val="13"/>
                                    </w:rPr>
                                  </w:pPr>
                                </w:p>
                                <w:p>
                                  <w:pPr>
                                    <w:pStyle w:val="TableParagraph"/>
                                    <w:spacing w:line="134" w:lineRule="exact" w:before="1"/>
                                    <w:ind w:right="206"/>
                                    <w:jc w:val="right"/>
                                    <w:rPr>
                                      <w:sz w:val="13"/>
                                    </w:rPr>
                                  </w:pPr>
                                  <w:r>
                                    <w:rPr>
                                      <w:spacing w:val="-10"/>
                                      <w:w w:val="105"/>
                                      <w:sz w:val="13"/>
                                    </w:rPr>
                                    <w:t>-</w:t>
                                  </w:r>
                                </w:p>
                              </w:tc>
                              <w:tc>
                                <w:tcPr>
                                  <w:tcW w:w="893" w:type="dxa"/>
                                  <w:tcBorders>
                                    <w:top w:val="single" w:sz="6" w:space="0" w:color="000000"/>
                                  </w:tcBorders>
                                </w:tcPr>
                                <w:p>
                                  <w:pPr>
                                    <w:pStyle w:val="TableParagraph"/>
                                    <w:rPr>
                                      <w:b/>
                                      <w:sz w:val="13"/>
                                    </w:rPr>
                                  </w:pPr>
                                </w:p>
                                <w:p>
                                  <w:pPr>
                                    <w:pStyle w:val="TableParagraph"/>
                                    <w:spacing w:before="51"/>
                                    <w:rPr>
                                      <w:b/>
                                      <w:sz w:val="13"/>
                                    </w:rPr>
                                  </w:pPr>
                                </w:p>
                                <w:p>
                                  <w:pPr>
                                    <w:pStyle w:val="TableParagraph"/>
                                    <w:spacing w:line="134" w:lineRule="exact" w:before="1"/>
                                    <w:ind w:right="150"/>
                                    <w:jc w:val="right"/>
                                    <w:rPr>
                                      <w:sz w:val="13"/>
                                    </w:rPr>
                                  </w:pPr>
                                  <w:r>
                                    <w:rPr>
                                      <w:spacing w:val="-10"/>
                                      <w:w w:val="105"/>
                                      <w:sz w:val="13"/>
                                    </w:rPr>
                                    <w:t>-</w:t>
                                  </w:r>
                                </w:p>
                              </w:tc>
                              <w:tc>
                                <w:tcPr>
                                  <w:tcW w:w="828" w:type="dxa"/>
                                  <w:tcBorders>
                                    <w:top w:val="single" w:sz="6" w:space="0" w:color="000000"/>
                                  </w:tcBorders>
                                </w:tcPr>
                                <w:p>
                                  <w:pPr>
                                    <w:pStyle w:val="TableParagraph"/>
                                    <w:rPr>
                                      <w:b/>
                                      <w:sz w:val="13"/>
                                    </w:rPr>
                                  </w:pPr>
                                </w:p>
                                <w:p>
                                  <w:pPr>
                                    <w:pStyle w:val="TableParagraph"/>
                                    <w:spacing w:before="38"/>
                                    <w:rPr>
                                      <w:b/>
                                      <w:sz w:val="13"/>
                                    </w:rPr>
                                  </w:pPr>
                                </w:p>
                                <w:p>
                                  <w:pPr>
                                    <w:pStyle w:val="TableParagraph"/>
                                    <w:spacing w:line="147" w:lineRule="exact"/>
                                    <w:ind w:right="76"/>
                                    <w:jc w:val="right"/>
                                    <w:rPr>
                                      <w:sz w:val="13"/>
                                    </w:rPr>
                                  </w:pPr>
                                  <w:r>
                                    <w:rPr>
                                      <w:spacing w:val="-2"/>
                                      <w:w w:val="105"/>
                                      <w:sz w:val="13"/>
                                    </w:rPr>
                                    <w:t>44,929</w:t>
                                  </w:r>
                                </w:p>
                              </w:tc>
                            </w:tr>
                            <w:tr>
                              <w:trPr>
                                <w:trHeight w:val="172" w:hRule="atLeast"/>
                              </w:trPr>
                              <w:tc>
                                <w:tcPr>
                                  <w:tcW w:w="879" w:type="dxa"/>
                                </w:tcPr>
                                <w:p>
                                  <w:pPr>
                                    <w:pStyle w:val="TableParagraph"/>
                                    <w:spacing w:line="147" w:lineRule="exact" w:before="5"/>
                                    <w:ind w:right="25"/>
                                    <w:jc w:val="right"/>
                                    <w:rPr>
                                      <w:sz w:val="13"/>
                                    </w:rPr>
                                  </w:pPr>
                                  <w:r>
                                    <w:rPr>
                                      <w:spacing w:val="-2"/>
                                      <w:w w:val="105"/>
                                      <w:sz w:val="13"/>
                                    </w:rPr>
                                    <w:t>3.45%</w:t>
                                  </w:r>
                                </w:p>
                              </w:tc>
                              <w:tc>
                                <w:tcPr>
                                  <w:tcW w:w="1005" w:type="dxa"/>
                                </w:tcPr>
                                <w:p>
                                  <w:pPr>
                                    <w:pStyle w:val="TableParagraph"/>
                                    <w:spacing w:line="134" w:lineRule="exact" w:before="18"/>
                                    <w:ind w:right="189"/>
                                    <w:jc w:val="right"/>
                                    <w:rPr>
                                      <w:sz w:val="13"/>
                                    </w:rPr>
                                  </w:pPr>
                                  <w:r>
                                    <w:rPr>
                                      <w:spacing w:val="-10"/>
                                      <w:w w:val="105"/>
                                      <w:sz w:val="13"/>
                                    </w:rPr>
                                    <w:t>-</w:t>
                                  </w:r>
                                </w:p>
                              </w:tc>
                              <w:tc>
                                <w:tcPr>
                                  <w:tcW w:w="753" w:type="dxa"/>
                                  <w:tcBorders>
                                    <w:right w:val="single" w:sz="6" w:space="0" w:color="000000"/>
                                  </w:tcBorders>
                                </w:tcPr>
                                <w:p>
                                  <w:pPr>
                                    <w:pStyle w:val="TableParagraph"/>
                                    <w:spacing w:line="147" w:lineRule="exact" w:before="5"/>
                                    <w:ind w:right="64"/>
                                    <w:jc w:val="right"/>
                                    <w:rPr>
                                      <w:sz w:val="13"/>
                                    </w:rPr>
                                  </w:pPr>
                                  <w:r>
                                    <w:rPr>
                                      <w:spacing w:val="-2"/>
                                      <w:w w:val="105"/>
                                      <w:sz w:val="13"/>
                                    </w:rPr>
                                    <w:t>187,551</w:t>
                                  </w:r>
                                </w:p>
                              </w:tc>
                              <w:tc>
                                <w:tcPr>
                                  <w:tcW w:w="1188" w:type="dxa"/>
                                  <w:tcBorders>
                                    <w:left w:val="single" w:sz="6" w:space="0" w:color="000000"/>
                                  </w:tcBorders>
                                </w:tcPr>
                                <w:p>
                                  <w:pPr>
                                    <w:pStyle w:val="TableParagraph"/>
                                    <w:spacing w:line="147" w:lineRule="exact" w:before="5"/>
                                    <w:ind w:left="453"/>
                                    <w:rPr>
                                      <w:sz w:val="13"/>
                                    </w:rPr>
                                  </w:pPr>
                                  <w:r>
                                    <w:rPr>
                                      <w:spacing w:val="-2"/>
                                      <w:w w:val="105"/>
                                      <w:sz w:val="13"/>
                                    </w:rPr>
                                    <w:t>24,049</w:t>
                                  </w:r>
                                </w:p>
                              </w:tc>
                              <w:tc>
                                <w:tcPr>
                                  <w:tcW w:w="933" w:type="dxa"/>
                                </w:tcPr>
                                <w:p>
                                  <w:pPr>
                                    <w:pStyle w:val="TableParagraph"/>
                                    <w:spacing w:line="147" w:lineRule="exact" w:before="5"/>
                                    <w:ind w:right="252"/>
                                    <w:jc w:val="right"/>
                                    <w:rPr>
                                      <w:sz w:val="13"/>
                                    </w:rPr>
                                  </w:pPr>
                                  <w:r>
                                    <w:rPr>
                                      <w:spacing w:val="-2"/>
                                      <w:w w:val="105"/>
                                      <w:sz w:val="13"/>
                                    </w:rPr>
                                    <w:t>82,434</w:t>
                                  </w:r>
                                </w:p>
                              </w:tc>
                              <w:tc>
                                <w:tcPr>
                                  <w:tcW w:w="893" w:type="dxa"/>
                                </w:tcPr>
                                <w:p>
                                  <w:pPr>
                                    <w:pStyle w:val="TableParagraph"/>
                                    <w:spacing w:line="147" w:lineRule="exact" w:before="5"/>
                                    <w:ind w:right="196"/>
                                    <w:jc w:val="right"/>
                                    <w:rPr>
                                      <w:sz w:val="13"/>
                                    </w:rPr>
                                  </w:pPr>
                                  <w:r>
                                    <w:rPr>
                                      <w:spacing w:val="-2"/>
                                      <w:w w:val="105"/>
                                      <w:sz w:val="13"/>
                                    </w:rPr>
                                    <w:t>81,068</w:t>
                                  </w:r>
                                </w:p>
                              </w:tc>
                              <w:tc>
                                <w:tcPr>
                                  <w:tcW w:w="828" w:type="dxa"/>
                                </w:tcPr>
                                <w:p>
                                  <w:pPr>
                                    <w:pStyle w:val="TableParagraph"/>
                                    <w:spacing w:line="147" w:lineRule="exact" w:before="5"/>
                                    <w:ind w:right="74"/>
                                    <w:jc w:val="right"/>
                                    <w:rPr>
                                      <w:sz w:val="13"/>
                                    </w:rPr>
                                  </w:pPr>
                                  <w:r>
                                    <w:rPr>
                                      <w:spacing w:val="-2"/>
                                      <w:w w:val="105"/>
                                      <w:sz w:val="13"/>
                                    </w:rPr>
                                    <w:t>187,551</w:t>
                                  </w:r>
                                </w:p>
                              </w:tc>
                            </w:tr>
                            <w:tr>
                              <w:trPr>
                                <w:trHeight w:val="170" w:hRule="atLeast"/>
                              </w:trPr>
                              <w:tc>
                                <w:tcPr>
                                  <w:tcW w:w="879" w:type="dxa"/>
                                </w:tcPr>
                                <w:p>
                                  <w:pPr>
                                    <w:pStyle w:val="TableParagraph"/>
                                    <w:spacing w:line="132" w:lineRule="exact" w:before="18"/>
                                    <w:ind w:right="63"/>
                                    <w:jc w:val="right"/>
                                    <w:rPr>
                                      <w:sz w:val="13"/>
                                    </w:rPr>
                                  </w:pPr>
                                  <w:r>
                                    <w:rPr>
                                      <w:spacing w:val="-10"/>
                                      <w:w w:val="105"/>
                                      <w:sz w:val="13"/>
                                    </w:rPr>
                                    <w:t>-</w:t>
                                  </w:r>
                                </w:p>
                              </w:tc>
                              <w:tc>
                                <w:tcPr>
                                  <w:tcW w:w="1005" w:type="dxa"/>
                                  <w:tcBorders>
                                    <w:bottom w:val="single" w:sz="6" w:space="0" w:color="000000"/>
                                  </w:tcBorders>
                                </w:tcPr>
                                <w:p>
                                  <w:pPr>
                                    <w:pStyle w:val="TableParagraph"/>
                                    <w:spacing w:line="145" w:lineRule="exact" w:before="5"/>
                                    <w:ind w:right="198"/>
                                    <w:jc w:val="right"/>
                                    <w:rPr>
                                      <w:sz w:val="13"/>
                                    </w:rPr>
                                  </w:pPr>
                                  <w:r>
                                    <w:rPr>
                                      <w:spacing w:val="-2"/>
                                      <w:w w:val="105"/>
                                      <w:sz w:val="13"/>
                                    </w:rPr>
                                    <w:t>19,437</w:t>
                                  </w:r>
                                </w:p>
                              </w:tc>
                              <w:tc>
                                <w:tcPr>
                                  <w:tcW w:w="753" w:type="dxa"/>
                                  <w:tcBorders>
                                    <w:bottom w:val="single" w:sz="6" w:space="0" w:color="000000"/>
                                    <w:right w:val="single" w:sz="6" w:space="0" w:color="000000"/>
                                  </w:tcBorders>
                                </w:tcPr>
                                <w:p>
                                  <w:pPr>
                                    <w:pStyle w:val="TableParagraph"/>
                                    <w:spacing w:line="132" w:lineRule="exact" w:before="18"/>
                                    <w:ind w:right="56"/>
                                    <w:jc w:val="right"/>
                                    <w:rPr>
                                      <w:sz w:val="13"/>
                                    </w:rPr>
                                  </w:pPr>
                                  <w:r>
                                    <w:rPr>
                                      <w:spacing w:val="-10"/>
                                      <w:w w:val="105"/>
                                      <w:sz w:val="13"/>
                                    </w:rPr>
                                    <w:t>-</w:t>
                                  </w:r>
                                </w:p>
                              </w:tc>
                              <w:tc>
                                <w:tcPr>
                                  <w:tcW w:w="1188" w:type="dxa"/>
                                  <w:tcBorders>
                                    <w:left w:val="single" w:sz="6" w:space="0" w:color="000000"/>
                                    <w:bottom w:val="single" w:sz="6" w:space="0" w:color="000000"/>
                                  </w:tcBorders>
                                </w:tcPr>
                                <w:p>
                                  <w:pPr>
                                    <w:pStyle w:val="TableParagraph"/>
                                    <w:spacing w:line="145" w:lineRule="exact" w:before="5"/>
                                    <w:ind w:left="453"/>
                                    <w:rPr>
                                      <w:sz w:val="13"/>
                                    </w:rPr>
                                  </w:pPr>
                                  <w:r>
                                    <w:rPr>
                                      <w:spacing w:val="-2"/>
                                      <w:w w:val="105"/>
                                      <w:sz w:val="13"/>
                                    </w:rPr>
                                    <w:t>19,437</w:t>
                                  </w:r>
                                </w:p>
                              </w:tc>
                              <w:tc>
                                <w:tcPr>
                                  <w:tcW w:w="933" w:type="dxa"/>
                                  <w:tcBorders>
                                    <w:bottom w:val="single" w:sz="6" w:space="0" w:color="000000"/>
                                  </w:tcBorders>
                                </w:tcPr>
                                <w:p>
                                  <w:pPr>
                                    <w:pStyle w:val="TableParagraph"/>
                                    <w:spacing w:line="132" w:lineRule="exact" w:before="18"/>
                                    <w:ind w:right="206"/>
                                    <w:jc w:val="right"/>
                                    <w:rPr>
                                      <w:sz w:val="13"/>
                                    </w:rPr>
                                  </w:pPr>
                                  <w:r>
                                    <w:rPr>
                                      <w:spacing w:val="-10"/>
                                      <w:w w:val="105"/>
                                      <w:sz w:val="13"/>
                                    </w:rPr>
                                    <w:t>-</w:t>
                                  </w:r>
                                </w:p>
                              </w:tc>
                              <w:tc>
                                <w:tcPr>
                                  <w:tcW w:w="893" w:type="dxa"/>
                                  <w:tcBorders>
                                    <w:bottom w:val="single" w:sz="6" w:space="0" w:color="000000"/>
                                  </w:tcBorders>
                                </w:tcPr>
                                <w:p>
                                  <w:pPr>
                                    <w:pStyle w:val="TableParagraph"/>
                                    <w:spacing w:line="132" w:lineRule="exact" w:before="18"/>
                                    <w:ind w:right="150"/>
                                    <w:jc w:val="right"/>
                                    <w:rPr>
                                      <w:sz w:val="13"/>
                                    </w:rPr>
                                  </w:pPr>
                                  <w:r>
                                    <w:rPr>
                                      <w:spacing w:val="-10"/>
                                      <w:w w:val="105"/>
                                      <w:sz w:val="13"/>
                                    </w:rPr>
                                    <w:t>-</w:t>
                                  </w:r>
                                </w:p>
                              </w:tc>
                              <w:tc>
                                <w:tcPr>
                                  <w:tcW w:w="828" w:type="dxa"/>
                                  <w:tcBorders>
                                    <w:bottom w:val="single" w:sz="6" w:space="0" w:color="000000"/>
                                  </w:tcBorders>
                                </w:tcPr>
                                <w:p>
                                  <w:pPr>
                                    <w:pStyle w:val="TableParagraph"/>
                                    <w:spacing w:line="145" w:lineRule="exact" w:before="5"/>
                                    <w:ind w:right="76"/>
                                    <w:jc w:val="right"/>
                                    <w:rPr>
                                      <w:sz w:val="13"/>
                                    </w:rPr>
                                  </w:pPr>
                                  <w:r>
                                    <w:rPr>
                                      <w:spacing w:val="-2"/>
                                      <w:w w:val="105"/>
                                      <w:sz w:val="13"/>
                                    </w:rPr>
                                    <w:t>19,437</w:t>
                                  </w:r>
                                </w:p>
                              </w:tc>
                            </w:tr>
                            <w:tr>
                              <w:trPr>
                                <w:trHeight w:val="157" w:hRule="atLeast"/>
                              </w:trPr>
                              <w:tc>
                                <w:tcPr>
                                  <w:tcW w:w="879" w:type="dxa"/>
                                </w:tcPr>
                                <w:p>
                                  <w:pPr>
                                    <w:pStyle w:val="TableParagraph"/>
                                    <w:rPr>
                                      <w:rFonts w:ascii="Times New Roman"/>
                                      <w:sz w:val="10"/>
                                    </w:rPr>
                                  </w:pPr>
                                </w:p>
                              </w:tc>
                              <w:tc>
                                <w:tcPr>
                                  <w:tcW w:w="1005" w:type="dxa"/>
                                  <w:tcBorders>
                                    <w:top w:val="single" w:sz="6" w:space="0" w:color="000000"/>
                                    <w:bottom w:val="single" w:sz="6" w:space="0" w:color="000000"/>
                                  </w:tcBorders>
                                </w:tcPr>
                                <w:p>
                                  <w:pPr>
                                    <w:pStyle w:val="TableParagraph"/>
                                    <w:spacing w:line="138" w:lineRule="exact"/>
                                    <w:ind w:right="198"/>
                                    <w:jc w:val="right"/>
                                    <w:rPr>
                                      <w:b/>
                                      <w:sz w:val="13"/>
                                    </w:rPr>
                                  </w:pPr>
                                  <w:r>
                                    <w:rPr>
                                      <w:b/>
                                      <w:spacing w:val="-2"/>
                                      <w:w w:val="105"/>
                                      <w:sz w:val="13"/>
                                    </w:rPr>
                                    <w:t>64,366</w:t>
                                  </w:r>
                                </w:p>
                              </w:tc>
                              <w:tc>
                                <w:tcPr>
                                  <w:tcW w:w="753" w:type="dxa"/>
                                  <w:tcBorders>
                                    <w:top w:val="single" w:sz="6" w:space="0" w:color="000000"/>
                                    <w:bottom w:val="single" w:sz="6" w:space="0" w:color="000000"/>
                                    <w:right w:val="single" w:sz="6" w:space="0" w:color="000000"/>
                                  </w:tcBorders>
                                </w:tcPr>
                                <w:p>
                                  <w:pPr>
                                    <w:pStyle w:val="TableParagraph"/>
                                    <w:spacing w:line="138" w:lineRule="exact"/>
                                    <w:ind w:right="66"/>
                                    <w:jc w:val="right"/>
                                    <w:rPr>
                                      <w:b/>
                                      <w:sz w:val="13"/>
                                    </w:rPr>
                                  </w:pPr>
                                  <w:r>
                                    <w:rPr>
                                      <w:b/>
                                      <w:spacing w:val="-2"/>
                                      <w:w w:val="105"/>
                                      <w:sz w:val="13"/>
                                    </w:rPr>
                                    <w:t>187,551</w:t>
                                  </w:r>
                                </w:p>
                              </w:tc>
                              <w:tc>
                                <w:tcPr>
                                  <w:tcW w:w="1188" w:type="dxa"/>
                                  <w:tcBorders>
                                    <w:top w:val="single" w:sz="6" w:space="0" w:color="000000"/>
                                    <w:left w:val="single" w:sz="6" w:space="0" w:color="000000"/>
                                    <w:bottom w:val="single" w:sz="6" w:space="0" w:color="000000"/>
                                  </w:tcBorders>
                                </w:tcPr>
                                <w:p>
                                  <w:pPr>
                                    <w:pStyle w:val="TableParagraph"/>
                                    <w:spacing w:line="138" w:lineRule="exact"/>
                                    <w:ind w:left="453"/>
                                    <w:rPr>
                                      <w:b/>
                                      <w:sz w:val="13"/>
                                    </w:rPr>
                                  </w:pPr>
                                  <w:r>
                                    <w:rPr>
                                      <w:b/>
                                      <w:spacing w:val="-2"/>
                                      <w:w w:val="105"/>
                                      <w:sz w:val="13"/>
                                    </w:rPr>
                                    <w:t>88,415</w:t>
                                  </w:r>
                                </w:p>
                              </w:tc>
                              <w:tc>
                                <w:tcPr>
                                  <w:tcW w:w="933" w:type="dxa"/>
                                  <w:tcBorders>
                                    <w:top w:val="single" w:sz="6" w:space="0" w:color="000000"/>
                                    <w:bottom w:val="single" w:sz="6" w:space="0" w:color="000000"/>
                                  </w:tcBorders>
                                </w:tcPr>
                                <w:p>
                                  <w:pPr>
                                    <w:pStyle w:val="TableParagraph"/>
                                    <w:spacing w:line="138" w:lineRule="exact"/>
                                    <w:ind w:right="252"/>
                                    <w:jc w:val="right"/>
                                    <w:rPr>
                                      <w:b/>
                                      <w:sz w:val="13"/>
                                    </w:rPr>
                                  </w:pPr>
                                  <w:r>
                                    <w:rPr>
                                      <w:b/>
                                      <w:spacing w:val="-2"/>
                                      <w:w w:val="105"/>
                                      <w:sz w:val="13"/>
                                    </w:rPr>
                                    <w:t>82,434</w:t>
                                  </w:r>
                                </w:p>
                              </w:tc>
                              <w:tc>
                                <w:tcPr>
                                  <w:tcW w:w="893" w:type="dxa"/>
                                  <w:tcBorders>
                                    <w:top w:val="single" w:sz="6" w:space="0" w:color="000000"/>
                                    <w:bottom w:val="single" w:sz="6" w:space="0" w:color="000000"/>
                                  </w:tcBorders>
                                </w:tcPr>
                                <w:p>
                                  <w:pPr>
                                    <w:pStyle w:val="TableParagraph"/>
                                    <w:spacing w:line="138" w:lineRule="exact"/>
                                    <w:ind w:right="196"/>
                                    <w:jc w:val="right"/>
                                    <w:rPr>
                                      <w:b/>
                                      <w:sz w:val="13"/>
                                    </w:rPr>
                                  </w:pPr>
                                  <w:r>
                                    <w:rPr>
                                      <w:b/>
                                      <w:spacing w:val="-2"/>
                                      <w:w w:val="105"/>
                                      <w:sz w:val="13"/>
                                    </w:rPr>
                                    <w:t>81,068</w:t>
                                  </w:r>
                                </w:p>
                              </w:tc>
                              <w:tc>
                                <w:tcPr>
                                  <w:tcW w:w="828" w:type="dxa"/>
                                  <w:tcBorders>
                                    <w:top w:val="single" w:sz="6" w:space="0" w:color="000000"/>
                                    <w:bottom w:val="single" w:sz="6" w:space="0" w:color="000000"/>
                                  </w:tcBorders>
                                </w:tcPr>
                                <w:p>
                                  <w:pPr>
                                    <w:pStyle w:val="TableParagraph"/>
                                    <w:spacing w:line="138" w:lineRule="exact"/>
                                    <w:ind w:right="74"/>
                                    <w:jc w:val="right"/>
                                    <w:rPr>
                                      <w:b/>
                                      <w:sz w:val="13"/>
                                    </w:rPr>
                                  </w:pPr>
                                  <w:r>
                                    <w:rPr>
                                      <w:b/>
                                      <w:spacing w:val="-2"/>
                                      <w:w w:val="105"/>
                                      <w:sz w:val="13"/>
                                    </w:rPr>
                                    <w:t>251,917</w:t>
                                  </w:r>
                                </w:p>
                              </w:tc>
                            </w:tr>
                          </w:tbl>
                          <w:p>
                            <w:pPr>
                              <w:pStyle w:val="BodyText"/>
                            </w:pPr>
                          </w:p>
                        </w:txbxContent>
                      </wps:txbx>
                      <wps:bodyPr wrap="square" lIns="0" tIns="0" rIns="0" bIns="0" rtlCol="0">
                        <a:noAutofit/>
                      </wps:bodyPr>
                    </wps:wsp>
                  </a:graphicData>
                </a:graphic>
              </wp:anchor>
            </w:drawing>
          </mc:Choice>
          <mc:Fallback>
            <w:pict>
              <v:shape style="position:absolute;margin-left:177.291901pt;margin-top:-104.410378pt;width:329.9pt;height:95.2pt;mso-position-horizontal-relative:page;mso-position-vertical-relative:paragraph;z-index:15900672" type="#_x0000_t202" id="docshape650"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79"/>
                        <w:gridCol w:w="1005"/>
                        <w:gridCol w:w="753"/>
                        <w:gridCol w:w="1188"/>
                        <w:gridCol w:w="933"/>
                        <w:gridCol w:w="893"/>
                        <w:gridCol w:w="828"/>
                      </w:tblGrid>
                      <w:tr>
                        <w:trPr>
                          <w:trHeight w:val="327" w:hRule="atLeast"/>
                        </w:trPr>
                        <w:tc>
                          <w:tcPr>
                            <w:tcW w:w="879" w:type="dxa"/>
                            <w:tcBorders>
                              <w:top w:val="single" w:sz="6" w:space="0" w:color="000000"/>
                            </w:tcBorders>
                          </w:tcPr>
                          <w:p>
                            <w:pPr>
                              <w:pStyle w:val="TableParagraph"/>
                              <w:spacing w:before="10"/>
                              <w:rPr>
                                <w:b/>
                                <w:sz w:val="13"/>
                              </w:rPr>
                            </w:pPr>
                          </w:p>
                          <w:p>
                            <w:pPr>
                              <w:pStyle w:val="TableParagraph"/>
                              <w:spacing w:line="147" w:lineRule="exact" w:before="1"/>
                              <w:ind w:right="25"/>
                              <w:jc w:val="right"/>
                              <w:rPr>
                                <w:sz w:val="13"/>
                              </w:rPr>
                            </w:pPr>
                            <w:r>
                              <w:rPr>
                                <w:spacing w:val="-2"/>
                                <w:w w:val="105"/>
                                <w:sz w:val="13"/>
                              </w:rPr>
                              <w:t>0.88%</w:t>
                            </w:r>
                          </w:p>
                        </w:tc>
                        <w:tc>
                          <w:tcPr>
                            <w:tcW w:w="1005" w:type="dxa"/>
                            <w:tcBorders>
                              <w:top w:val="single" w:sz="6" w:space="0" w:color="000000"/>
                            </w:tcBorders>
                          </w:tcPr>
                          <w:p>
                            <w:pPr>
                              <w:pStyle w:val="TableParagraph"/>
                              <w:spacing w:before="10"/>
                              <w:rPr>
                                <w:b/>
                                <w:sz w:val="13"/>
                              </w:rPr>
                            </w:pPr>
                          </w:p>
                          <w:p>
                            <w:pPr>
                              <w:pStyle w:val="TableParagraph"/>
                              <w:spacing w:line="147" w:lineRule="exact" w:before="1"/>
                              <w:ind w:right="197"/>
                              <w:jc w:val="right"/>
                              <w:rPr>
                                <w:sz w:val="13"/>
                              </w:rPr>
                            </w:pPr>
                            <w:r>
                              <w:rPr>
                                <w:spacing w:val="-5"/>
                                <w:w w:val="105"/>
                                <w:sz w:val="13"/>
                              </w:rPr>
                              <w:t>93</w:t>
                            </w:r>
                          </w:p>
                        </w:tc>
                        <w:tc>
                          <w:tcPr>
                            <w:tcW w:w="753" w:type="dxa"/>
                            <w:tcBorders>
                              <w:top w:val="single" w:sz="6" w:space="0" w:color="000000"/>
                              <w:right w:val="single" w:sz="6" w:space="0" w:color="000000"/>
                            </w:tcBorders>
                          </w:tcPr>
                          <w:p>
                            <w:pPr>
                              <w:pStyle w:val="TableParagraph"/>
                              <w:spacing w:before="10"/>
                              <w:rPr>
                                <w:b/>
                                <w:sz w:val="13"/>
                              </w:rPr>
                            </w:pPr>
                          </w:p>
                          <w:p>
                            <w:pPr>
                              <w:pStyle w:val="TableParagraph"/>
                              <w:spacing w:line="147" w:lineRule="exact" w:before="1"/>
                              <w:ind w:right="66"/>
                              <w:jc w:val="right"/>
                              <w:rPr>
                                <w:sz w:val="13"/>
                              </w:rPr>
                            </w:pPr>
                            <w:r>
                              <w:rPr>
                                <w:spacing w:val="-2"/>
                                <w:w w:val="105"/>
                                <w:sz w:val="13"/>
                              </w:rPr>
                              <w:t>126,998</w:t>
                            </w:r>
                          </w:p>
                        </w:tc>
                        <w:tc>
                          <w:tcPr>
                            <w:tcW w:w="1188" w:type="dxa"/>
                            <w:tcBorders>
                              <w:top w:val="single" w:sz="6" w:space="0" w:color="000000"/>
                              <w:left w:val="single" w:sz="6" w:space="0" w:color="000000"/>
                            </w:tcBorders>
                          </w:tcPr>
                          <w:p>
                            <w:pPr>
                              <w:pStyle w:val="TableParagraph"/>
                              <w:spacing w:before="10"/>
                              <w:rPr>
                                <w:b/>
                                <w:sz w:val="13"/>
                              </w:rPr>
                            </w:pPr>
                          </w:p>
                          <w:p>
                            <w:pPr>
                              <w:pStyle w:val="TableParagraph"/>
                              <w:spacing w:line="147" w:lineRule="exact" w:before="1"/>
                              <w:ind w:left="378"/>
                              <w:rPr>
                                <w:sz w:val="13"/>
                              </w:rPr>
                            </w:pPr>
                            <w:r>
                              <w:rPr>
                                <w:spacing w:val="-2"/>
                                <w:w w:val="105"/>
                                <w:sz w:val="13"/>
                              </w:rPr>
                              <w:t>127,090</w:t>
                            </w:r>
                          </w:p>
                        </w:tc>
                        <w:tc>
                          <w:tcPr>
                            <w:tcW w:w="933" w:type="dxa"/>
                            <w:tcBorders>
                              <w:top w:val="single" w:sz="6" w:space="0" w:color="000000"/>
                            </w:tcBorders>
                          </w:tcPr>
                          <w:p>
                            <w:pPr>
                              <w:pStyle w:val="TableParagraph"/>
                              <w:spacing w:before="24"/>
                              <w:rPr>
                                <w:b/>
                                <w:sz w:val="13"/>
                              </w:rPr>
                            </w:pPr>
                          </w:p>
                          <w:p>
                            <w:pPr>
                              <w:pStyle w:val="TableParagraph"/>
                              <w:spacing w:line="134" w:lineRule="exact"/>
                              <w:ind w:right="206"/>
                              <w:jc w:val="right"/>
                              <w:rPr>
                                <w:sz w:val="13"/>
                              </w:rPr>
                            </w:pPr>
                            <w:r>
                              <w:rPr>
                                <w:spacing w:val="-10"/>
                                <w:w w:val="105"/>
                                <w:sz w:val="13"/>
                              </w:rPr>
                              <w:t>-</w:t>
                            </w:r>
                          </w:p>
                        </w:tc>
                        <w:tc>
                          <w:tcPr>
                            <w:tcW w:w="893" w:type="dxa"/>
                            <w:tcBorders>
                              <w:top w:val="single" w:sz="6" w:space="0" w:color="000000"/>
                            </w:tcBorders>
                          </w:tcPr>
                          <w:p>
                            <w:pPr>
                              <w:pStyle w:val="TableParagraph"/>
                              <w:spacing w:before="24"/>
                              <w:rPr>
                                <w:b/>
                                <w:sz w:val="13"/>
                              </w:rPr>
                            </w:pPr>
                          </w:p>
                          <w:p>
                            <w:pPr>
                              <w:pStyle w:val="TableParagraph"/>
                              <w:spacing w:line="134" w:lineRule="exact"/>
                              <w:ind w:right="150"/>
                              <w:jc w:val="right"/>
                              <w:rPr>
                                <w:sz w:val="13"/>
                              </w:rPr>
                            </w:pPr>
                            <w:r>
                              <w:rPr>
                                <w:spacing w:val="-10"/>
                                <w:w w:val="105"/>
                                <w:sz w:val="13"/>
                              </w:rPr>
                              <w:t>-</w:t>
                            </w:r>
                          </w:p>
                        </w:tc>
                        <w:tc>
                          <w:tcPr>
                            <w:tcW w:w="828" w:type="dxa"/>
                            <w:tcBorders>
                              <w:top w:val="single" w:sz="6" w:space="0" w:color="000000"/>
                            </w:tcBorders>
                          </w:tcPr>
                          <w:p>
                            <w:pPr>
                              <w:pStyle w:val="TableParagraph"/>
                              <w:spacing w:before="10"/>
                              <w:rPr>
                                <w:b/>
                                <w:sz w:val="13"/>
                              </w:rPr>
                            </w:pPr>
                          </w:p>
                          <w:p>
                            <w:pPr>
                              <w:pStyle w:val="TableParagraph"/>
                              <w:spacing w:line="147" w:lineRule="exact" w:before="1"/>
                              <w:ind w:right="74"/>
                              <w:jc w:val="right"/>
                              <w:rPr>
                                <w:sz w:val="13"/>
                              </w:rPr>
                            </w:pPr>
                            <w:r>
                              <w:rPr>
                                <w:spacing w:val="-2"/>
                                <w:w w:val="105"/>
                                <w:sz w:val="13"/>
                              </w:rPr>
                              <w:t>127,090</w:t>
                            </w:r>
                          </w:p>
                        </w:tc>
                      </w:tr>
                      <w:tr>
                        <w:trPr>
                          <w:trHeight w:val="172" w:hRule="atLeast"/>
                        </w:trPr>
                        <w:tc>
                          <w:tcPr>
                            <w:tcW w:w="879" w:type="dxa"/>
                          </w:tcPr>
                          <w:p>
                            <w:pPr>
                              <w:pStyle w:val="TableParagraph"/>
                              <w:spacing w:line="134" w:lineRule="exact" w:before="18"/>
                              <w:ind w:right="63"/>
                              <w:jc w:val="right"/>
                              <w:rPr>
                                <w:sz w:val="13"/>
                              </w:rPr>
                            </w:pPr>
                            <w:r>
                              <w:rPr>
                                <w:spacing w:val="-10"/>
                                <w:w w:val="105"/>
                                <w:sz w:val="13"/>
                              </w:rPr>
                              <w:t>-</w:t>
                            </w:r>
                          </w:p>
                        </w:tc>
                        <w:tc>
                          <w:tcPr>
                            <w:tcW w:w="1005" w:type="dxa"/>
                          </w:tcPr>
                          <w:p>
                            <w:pPr>
                              <w:pStyle w:val="TableParagraph"/>
                              <w:spacing w:line="147" w:lineRule="exact" w:before="5"/>
                              <w:ind w:right="198"/>
                              <w:jc w:val="right"/>
                              <w:rPr>
                                <w:sz w:val="13"/>
                              </w:rPr>
                            </w:pPr>
                            <w:r>
                              <w:rPr>
                                <w:spacing w:val="-2"/>
                                <w:w w:val="105"/>
                                <w:sz w:val="13"/>
                              </w:rPr>
                              <w:t>41,322</w:t>
                            </w:r>
                          </w:p>
                        </w:tc>
                        <w:tc>
                          <w:tcPr>
                            <w:tcW w:w="753" w:type="dxa"/>
                            <w:tcBorders>
                              <w:right w:val="single" w:sz="6" w:space="0" w:color="000000"/>
                            </w:tcBorders>
                          </w:tcPr>
                          <w:p>
                            <w:pPr>
                              <w:pStyle w:val="TableParagraph"/>
                              <w:spacing w:line="134" w:lineRule="exact" w:before="18"/>
                              <w:ind w:right="56"/>
                              <w:jc w:val="right"/>
                              <w:rPr>
                                <w:sz w:val="13"/>
                              </w:rPr>
                            </w:pPr>
                            <w:r>
                              <w:rPr>
                                <w:spacing w:val="-10"/>
                                <w:w w:val="105"/>
                                <w:sz w:val="13"/>
                              </w:rPr>
                              <w:t>-</w:t>
                            </w:r>
                          </w:p>
                        </w:tc>
                        <w:tc>
                          <w:tcPr>
                            <w:tcW w:w="1188" w:type="dxa"/>
                            <w:tcBorders>
                              <w:left w:val="single" w:sz="6" w:space="0" w:color="000000"/>
                            </w:tcBorders>
                          </w:tcPr>
                          <w:p>
                            <w:pPr>
                              <w:pStyle w:val="TableParagraph"/>
                              <w:spacing w:line="147" w:lineRule="exact" w:before="5"/>
                              <w:ind w:left="453"/>
                              <w:rPr>
                                <w:sz w:val="13"/>
                              </w:rPr>
                            </w:pPr>
                            <w:r>
                              <w:rPr>
                                <w:spacing w:val="-2"/>
                                <w:w w:val="105"/>
                                <w:sz w:val="13"/>
                              </w:rPr>
                              <w:t>41,322</w:t>
                            </w:r>
                          </w:p>
                        </w:tc>
                        <w:tc>
                          <w:tcPr>
                            <w:tcW w:w="933" w:type="dxa"/>
                          </w:tcPr>
                          <w:p>
                            <w:pPr>
                              <w:pStyle w:val="TableParagraph"/>
                              <w:spacing w:line="134" w:lineRule="exact" w:before="18"/>
                              <w:ind w:right="206"/>
                              <w:jc w:val="right"/>
                              <w:rPr>
                                <w:sz w:val="13"/>
                              </w:rPr>
                            </w:pPr>
                            <w:r>
                              <w:rPr>
                                <w:spacing w:val="-10"/>
                                <w:w w:val="105"/>
                                <w:sz w:val="13"/>
                              </w:rPr>
                              <w:t>-</w:t>
                            </w:r>
                          </w:p>
                        </w:tc>
                        <w:tc>
                          <w:tcPr>
                            <w:tcW w:w="893" w:type="dxa"/>
                          </w:tcPr>
                          <w:p>
                            <w:pPr>
                              <w:pStyle w:val="TableParagraph"/>
                              <w:spacing w:line="134" w:lineRule="exact" w:before="18"/>
                              <w:ind w:right="150"/>
                              <w:jc w:val="right"/>
                              <w:rPr>
                                <w:sz w:val="13"/>
                              </w:rPr>
                            </w:pPr>
                            <w:r>
                              <w:rPr>
                                <w:spacing w:val="-10"/>
                                <w:w w:val="105"/>
                                <w:sz w:val="13"/>
                              </w:rPr>
                              <w:t>-</w:t>
                            </w:r>
                          </w:p>
                        </w:tc>
                        <w:tc>
                          <w:tcPr>
                            <w:tcW w:w="828" w:type="dxa"/>
                          </w:tcPr>
                          <w:p>
                            <w:pPr>
                              <w:pStyle w:val="TableParagraph"/>
                              <w:spacing w:line="147" w:lineRule="exact" w:before="5"/>
                              <w:ind w:right="76"/>
                              <w:jc w:val="right"/>
                              <w:rPr>
                                <w:sz w:val="13"/>
                              </w:rPr>
                            </w:pPr>
                            <w:r>
                              <w:rPr>
                                <w:spacing w:val="-2"/>
                                <w:w w:val="105"/>
                                <w:sz w:val="13"/>
                              </w:rPr>
                              <w:t>41,322</w:t>
                            </w:r>
                          </w:p>
                        </w:tc>
                      </w:tr>
                      <w:tr>
                        <w:trPr>
                          <w:trHeight w:val="170" w:hRule="atLeast"/>
                        </w:trPr>
                        <w:tc>
                          <w:tcPr>
                            <w:tcW w:w="879" w:type="dxa"/>
                          </w:tcPr>
                          <w:p>
                            <w:pPr>
                              <w:pStyle w:val="TableParagraph"/>
                              <w:spacing w:line="132" w:lineRule="exact" w:before="18"/>
                              <w:ind w:right="63"/>
                              <w:jc w:val="right"/>
                              <w:rPr>
                                <w:sz w:val="13"/>
                              </w:rPr>
                            </w:pPr>
                            <w:r>
                              <w:rPr>
                                <w:spacing w:val="-10"/>
                                <w:w w:val="105"/>
                                <w:sz w:val="13"/>
                              </w:rPr>
                              <w:t>-</w:t>
                            </w:r>
                          </w:p>
                        </w:tc>
                        <w:tc>
                          <w:tcPr>
                            <w:tcW w:w="1005" w:type="dxa"/>
                            <w:tcBorders>
                              <w:bottom w:val="single" w:sz="6" w:space="0" w:color="000000"/>
                            </w:tcBorders>
                          </w:tcPr>
                          <w:p>
                            <w:pPr>
                              <w:pStyle w:val="TableParagraph"/>
                              <w:spacing w:line="145" w:lineRule="exact" w:before="5"/>
                              <w:ind w:right="198"/>
                              <w:jc w:val="right"/>
                              <w:rPr>
                                <w:sz w:val="13"/>
                              </w:rPr>
                            </w:pPr>
                            <w:r>
                              <w:rPr>
                                <w:spacing w:val="-2"/>
                                <w:w w:val="105"/>
                                <w:sz w:val="13"/>
                              </w:rPr>
                              <w:t>940,148</w:t>
                            </w:r>
                          </w:p>
                        </w:tc>
                        <w:tc>
                          <w:tcPr>
                            <w:tcW w:w="753" w:type="dxa"/>
                            <w:tcBorders>
                              <w:bottom w:val="single" w:sz="6" w:space="0" w:color="000000"/>
                              <w:right w:val="single" w:sz="6" w:space="0" w:color="000000"/>
                            </w:tcBorders>
                          </w:tcPr>
                          <w:p>
                            <w:pPr>
                              <w:pStyle w:val="TableParagraph"/>
                              <w:spacing w:line="132" w:lineRule="exact" w:before="18"/>
                              <w:ind w:right="56"/>
                              <w:jc w:val="right"/>
                              <w:rPr>
                                <w:sz w:val="13"/>
                              </w:rPr>
                            </w:pPr>
                            <w:r>
                              <w:rPr>
                                <w:spacing w:val="-10"/>
                                <w:w w:val="105"/>
                                <w:sz w:val="13"/>
                              </w:rPr>
                              <w:t>-</w:t>
                            </w:r>
                          </w:p>
                        </w:tc>
                        <w:tc>
                          <w:tcPr>
                            <w:tcW w:w="1188" w:type="dxa"/>
                            <w:tcBorders>
                              <w:left w:val="single" w:sz="6" w:space="0" w:color="000000"/>
                              <w:bottom w:val="single" w:sz="6" w:space="0" w:color="000000"/>
                            </w:tcBorders>
                          </w:tcPr>
                          <w:p>
                            <w:pPr>
                              <w:pStyle w:val="TableParagraph"/>
                              <w:spacing w:line="145" w:lineRule="exact" w:before="5"/>
                              <w:ind w:right="265"/>
                              <w:jc w:val="right"/>
                              <w:rPr>
                                <w:sz w:val="13"/>
                              </w:rPr>
                            </w:pPr>
                            <w:r>
                              <w:rPr>
                                <w:spacing w:val="-10"/>
                                <w:w w:val="105"/>
                                <w:sz w:val="13"/>
                              </w:rPr>
                              <w:t>-</w:t>
                            </w:r>
                          </w:p>
                        </w:tc>
                        <w:tc>
                          <w:tcPr>
                            <w:tcW w:w="933" w:type="dxa"/>
                            <w:tcBorders>
                              <w:bottom w:val="single" w:sz="6" w:space="0" w:color="000000"/>
                            </w:tcBorders>
                          </w:tcPr>
                          <w:p>
                            <w:pPr>
                              <w:pStyle w:val="TableParagraph"/>
                              <w:spacing w:line="132" w:lineRule="exact" w:before="18"/>
                              <w:ind w:right="206"/>
                              <w:jc w:val="right"/>
                              <w:rPr>
                                <w:sz w:val="13"/>
                              </w:rPr>
                            </w:pPr>
                            <w:r>
                              <w:rPr>
                                <w:spacing w:val="-10"/>
                                <w:w w:val="105"/>
                                <w:sz w:val="13"/>
                              </w:rPr>
                              <w:t>-</w:t>
                            </w:r>
                          </w:p>
                        </w:tc>
                        <w:tc>
                          <w:tcPr>
                            <w:tcW w:w="893" w:type="dxa"/>
                            <w:tcBorders>
                              <w:bottom w:val="single" w:sz="6" w:space="0" w:color="000000"/>
                            </w:tcBorders>
                          </w:tcPr>
                          <w:p>
                            <w:pPr>
                              <w:pStyle w:val="TableParagraph"/>
                              <w:spacing w:line="145" w:lineRule="exact" w:before="5"/>
                              <w:ind w:right="196"/>
                              <w:jc w:val="right"/>
                              <w:rPr>
                                <w:sz w:val="13"/>
                              </w:rPr>
                            </w:pPr>
                            <w:r>
                              <w:rPr>
                                <w:spacing w:val="-2"/>
                                <w:w w:val="105"/>
                                <w:sz w:val="13"/>
                              </w:rPr>
                              <w:t>940,148</w:t>
                            </w:r>
                          </w:p>
                        </w:tc>
                        <w:tc>
                          <w:tcPr>
                            <w:tcW w:w="828" w:type="dxa"/>
                            <w:tcBorders>
                              <w:bottom w:val="single" w:sz="6" w:space="0" w:color="000000"/>
                            </w:tcBorders>
                          </w:tcPr>
                          <w:p>
                            <w:pPr>
                              <w:pStyle w:val="TableParagraph"/>
                              <w:spacing w:line="145" w:lineRule="exact" w:before="5"/>
                              <w:ind w:right="74"/>
                              <w:jc w:val="right"/>
                              <w:rPr>
                                <w:sz w:val="13"/>
                              </w:rPr>
                            </w:pPr>
                            <w:r>
                              <w:rPr>
                                <w:spacing w:val="-2"/>
                                <w:w w:val="105"/>
                                <w:sz w:val="13"/>
                              </w:rPr>
                              <w:t>940,148</w:t>
                            </w:r>
                          </w:p>
                        </w:tc>
                      </w:tr>
                      <w:tr>
                        <w:trPr>
                          <w:trHeight w:val="157" w:hRule="atLeast"/>
                        </w:trPr>
                        <w:tc>
                          <w:tcPr>
                            <w:tcW w:w="879" w:type="dxa"/>
                          </w:tcPr>
                          <w:p>
                            <w:pPr>
                              <w:pStyle w:val="TableParagraph"/>
                              <w:rPr>
                                <w:rFonts w:ascii="Times New Roman"/>
                                <w:sz w:val="10"/>
                              </w:rPr>
                            </w:pPr>
                          </w:p>
                        </w:tc>
                        <w:tc>
                          <w:tcPr>
                            <w:tcW w:w="1005" w:type="dxa"/>
                            <w:tcBorders>
                              <w:top w:val="single" w:sz="6" w:space="0" w:color="000000"/>
                              <w:bottom w:val="single" w:sz="6" w:space="0" w:color="000000"/>
                            </w:tcBorders>
                          </w:tcPr>
                          <w:p>
                            <w:pPr>
                              <w:pStyle w:val="TableParagraph"/>
                              <w:spacing w:line="138" w:lineRule="exact"/>
                              <w:ind w:right="198"/>
                              <w:jc w:val="right"/>
                              <w:rPr>
                                <w:b/>
                                <w:sz w:val="13"/>
                              </w:rPr>
                            </w:pPr>
                            <w:r>
                              <w:rPr>
                                <w:b/>
                                <w:spacing w:val="-2"/>
                                <w:w w:val="105"/>
                                <w:sz w:val="13"/>
                              </w:rPr>
                              <w:t>981,563</w:t>
                            </w:r>
                          </w:p>
                        </w:tc>
                        <w:tc>
                          <w:tcPr>
                            <w:tcW w:w="753" w:type="dxa"/>
                            <w:tcBorders>
                              <w:top w:val="single" w:sz="6" w:space="0" w:color="000000"/>
                              <w:bottom w:val="single" w:sz="6" w:space="0" w:color="000000"/>
                              <w:right w:val="single" w:sz="6" w:space="0" w:color="000000"/>
                            </w:tcBorders>
                          </w:tcPr>
                          <w:p>
                            <w:pPr>
                              <w:pStyle w:val="TableParagraph"/>
                              <w:spacing w:line="138" w:lineRule="exact"/>
                              <w:ind w:right="66"/>
                              <w:jc w:val="right"/>
                              <w:rPr>
                                <w:b/>
                                <w:sz w:val="13"/>
                              </w:rPr>
                            </w:pPr>
                            <w:r>
                              <w:rPr>
                                <w:b/>
                                <w:spacing w:val="-2"/>
                                <w:w w:val="105"/>
                                <w:sz w:val="13"/>
                              </w:rPr>
                              <w:t>126,998</w:t>
                            </w:r>
                          </w:p>
                        </w:tc>
                        <w:tc>
                          <w:tcPr>
                            <w:tcW w:w="1188" w:type="dxa"/>
                            <w:tcBorders>
                              <w:top w:val="single" w:sz="6" w:space="0" w:color="000000"/>
                              <w:left w:val="single" w:sz="6" w:space="0" w:color="000000"/>
                              <w:bottom w:val="single" w:sz="6" w:space="0" w:color="000000"/>
                            </w:tcBorders>
                          </w:tcPr>
                          <w:p>
                            <w:pPr>
                              <w:pStyle w:val="TableParagraph"/>
                              <w:spacing w:line="138" w:lineRule="exact"/>
                              <w:ind w:left="378"/>
                              <w:rPr>
                                <w:b/>
                                <w:sz w:val="13"/>
                              </w:rPr>
                            </w:pPr>
                            <w:r>
                              <w:rPr>
                                <w:b/>
                                <w:spacing w:val="-2"/>
                                <w:w w:val="105"/>
                                <w:sz w:val="13"/>
                              </w:rPr>
                              <w:t>168,412</w:t>
                            </w:r>
                          </w:p>
                        </w:tc>
                        <w:tc>
                          <w:tcPr>
                            <w:tcW w:w="933" w:type="dxa"/>
                            <w:tcBorders>
                              <w:top w:val="single" w:sz="6" w:space="0" w:color="000000"/>
                              <w:bottom w:val="single" w:sz="6" w:space="0" w:color="000000"/>
                            </w:tcBorders>
                          </w:tcPr>
                          <w:p>
                            <w:pPr>
                              <w:pStyle w:val="TableParagraph"/>
                              <w:spacing w:line="132" w:lineRule="exact" w:before="5"/>
                              <w:ind w:right="244"/>
                              <w:jc w:val="right"/>
                              <w:rPr>
                                <w:sz w:val="13"/>
                              </w:rPr>
                            </w:pPr>
                            <w:r>
                              <w:rPr>
                                <w:spacing w:val="-10"/>
                                <w:w w:val="105"/>
                                <w:sz w:val="13"/>
                              </w:rPr>
                              <w:t>-</w:t>
                            </w:r>
                          </w:p>
                        </w:tc>
                        <w:tc>
                          <w:tcPr>
                            <w:tcW w:w="893" w:type="dxa"/>
                            <w:tcBorders>
                              <w:top w:val="single" w:sz="6" w:space="0" w:color="000000"/>
                              <w:bottom w:val="single" w:sz="6" w:space="0" w:color="000000"/>
                            </w:tcBorders>
                          </w:tcPr>
                          <w:p>
                            <w:pPr>
                              <w:pStyle w:val="TableParagraph"/>
                              <w:spacing w:line="138" w:lineRule="exact"/>
                              <w:ind w:right="196"/>
                              <w:jc w:val="right"/>
                              <w:rPr>
                                <w:b/>
                                <w:sz w:val="13"/>
                              </w:rPr>
                            </w:pPr>
                            <w:r>
                              <w:rPr>
                                <w:b/>
                                <w:spacing w:val="-2"/>
                                <w:w w:val="105"/>
                                <w:sz w:val="13"/>
                              </w:rPr>
                              <w:t>940,148</w:t>
                            </w:r>
                          </w:p>
                        </w:tc>
                        <w:tc>
                          <w:tcPr>
                            <w:tcW w:w="828" w:type="dxa"/>
                            <w:tcBorders>
                              <w:top w:val="single" w:sz="6" w:space="0" w:color="000000"/>
                              <w:bottom w:val="single" w:sz="6" w:space="0" w:color="000000"/>
                            </w:tcBorders>
                          </w:tcPr>
                          <w:p>
                            <w:pPr>
                              <w:pStyle w:val="TableParagraph"/>
                              <w:spacing w:line="138" w:lineRule="exact"/>
                              <w:ind w:right="74"/>
                              <w:jc w:val="right"/>
                              <w:rPr>
                                <w:b/>
                                <w:sz w:val="13"/>
                              </w:rPr>
                            </w:pPr>
                            <w:r>
                              <w:rPr>
                                <w:b/>
                                <w:spacing w:val="-2"/>
                                <w:w w:val="105"/>
                                <w:sz w:val="13"/>
                              </w:rPr>
                              <w:t>1,108,560</w:t>
                            </w:r>
                          </w:p>
                        </w:tc>
                      </w:tr>
                      <w:tr>
                        <w:trPr>
                          <w:trHeight w:val="504" w:hRule="atLeast"/>
                        </w:trPr>
                        <w:tc>
                          <w:tcPr>
                            <w:tcW w:w="879" w:type="dxa"/>
                          </w:tcPr>
                          <w:p>
                            <w:pPr>
                              <w:pStyle w:val="TableParagraph"/>
                              <w:rPr>
                                <w:b/>
                                <w:sz w:val="13"/>
                              </w:rPr>
                            </w:pPr>
                          </w:p>
                          <w:p>
                            <w:pPr>
                              <w:pStyle w:val="TableParagraph"/>
                              <w:spacing w:before="51"/>
                              <w:rPr>
                                <w:b/>
                                <w:sz w:val="13"/>
                              </w:rPr>
                            </w:pPr>
                          </w:p>
                          <w:p>
                            <w:pPr>
                              <w:pStyle w:val="TableParagraph"/>
                              <w:spacing w:line="134" w:lineRule="exact" w:before="1"/>
                              <w:ind w:right="63"/>
                              <w:jc w:val="right"/>
                              <w:rPr>
                                <w:sz w:val="13"/>
                              </w:rPr>
                            </w:pPr>
                            <w:r>
                              <w:rPr>
                                <w:spacing w:val="-10"/>
                                <w:w w:val="105"/>
                                <w:sz w:val="13"/>
                              </w:rPr>
                              <w:t>-</w:t>
                            </w:r>
                          </w:p>
                        </w:tc>
                        <w:tc>
                          <w:tcPr>
                            <w:tcW w:w="1005" w:type="dxa"/>
                            <w:tcBorders>
                              <w:top w:val="single" w:sz="6" w:space="0" w:color="000000"/>
                            </w:tcBorders>
                          </w:tcPr>
                          <w:p>
                            <w:pPr>
                              <w:pStyle w:val="TableParagraph"/>
                              <w:rPr>
                                <w:b/>
                                <w:sz w:val="13"/>
                              </w:rPr>
                            </w:pPr>
                          </w:p>
                          <w:p>
                            <w:pPr>
                              <w:pStyle w:val="TableParagraph"/>
                              <w:spacing w:before="38"/>
                              <w:rPr>
                                <w:b/>
                                <w:sz w:val="13"/>
                              </w:rPr>
                            </w:pPr>
                          </w:p>
                          <w:p>
                            <w:pPr>
                              <w:pStyle w:val="TableParagraph"/>
                              <w:spacing w:line="147" w:lineRule="exact"/>
                              <w:ind w:right="198"/>
                              <w:jc w:val="right"/>
                              <w:rPr>
                                <w:sz w:val="13"/>
                              </w:rPr>
                            </w:pPr>
                            <w:r>
                              <w:rPr>
                                <w:spacing w:val="-2"/>
                                <w:w w:val="105"/>
                                <w:sz w:val="13"/>
                              </w:rPr>
                              <w:t>44,929</w:t>
                            </w:r>
                          </w:p>
                        </w:tc>
                        <w:tc>
                          <w:tcPr>
                            <w:tcW w:w="753" w:type="dxa"/>
                            <w:tcBorders>
                              <w:top w:val="single" w:sz="6" w:space="0" w:color="000000"/>
                              <w:right w:val="single" w:sz="6" w:space="0" w:color="000000"/>
                            </w:tcBorders>
                          </w:tcPr>
                          <w:p>
                            <w:pPr>
                              <w:pStyle w:val="TableParagraph"/>
                              <w:rPr>
                                <w:b/>
                                <w:sz w:val="13"/>
                              </w:rPr>
                            </w:pPr>
                          </w:p>
                          <w:p>
                            <w:pPr>
                              <w:pStyle w:val="TableParagraph"/>
                              <w:spacing w:before="51"/>
                              <w:rPr>
                                <w:b/>
                                <w:sz w:val="13"/>
                              </w:rPr>
                            </w:pPr>
                          </w:p>
                          <w:p>
                            <w:pPr>
                              <w:pStyle w:val="TableParagraph"/>
                              <w:spacing w:line="134" w:lineRule="exact" w:before="1"/>
                              <w:ind w:right="56"/>
                              <w:jc w:val="right"/>
                              <w:rPr>
                                <w:sz w:val="13"/>
                              </w:rPr>
                            </w:pPr>
                            <w:r>
                              <w:rPr>
                                <w:spacing w:val="-10"/>
                                <w:w w:val="105"/>
                                <w:sz w:val="13"/>
                              </w:rPr>
                              <w:t>-</w:t>
                            </w:r>
                          </w:p>
                        </w:tc>
                        <w:tc>
                          <w:tcPr>
                            <w:tcW w:w="1188" w:type="dxa"/>
                            <w:tcBorders>
                              <w:top w:val="single" w:sz="6" w:space="0" w:color="000000"/>
                              <w:left w:val="single" w:sz="6" w:space="0" w:color="000000"/>
                            </w:tcBorders>
                          </w:tcPr>
                          <w:p>
                            <w:pPr>
                              <w:pStyle w:val="TableParagraph"/>
                              <w:rPr>
                                <w:b/>
                                <w:sz w:val="13"/>
                              </w:rPr>
                            </w:pPr>
                          </w:p>
                          <w:p>
                            <w:pPr>
                              <w:pStyle w:val="TableParagraph"/>
                              <w:spacing w:before="38"/>
                              <w:rPr>
                                <w:b/>
                                <w:sz w:val="13"/>
                              </w:rPr>
                            </w:pPr>
                          </w:p>
                          <w:p>
                            <w:pPr>
                              <w:pStyle w:val="TableParagraph"/>
                              <w:spacing w:line="147" w:lineRule="exact"/>
                              <w:ind w:left="453"/>
                              <w:rPr>
                                <w:sz w:val="13"/>
                              </w:rPr>
                            </w:pPr>
                            <w:r>
                              <w:rPr>
                                <w:spacing w:val="-2"/>
                                <w:w w:val="105"/>
                                <w:sz w:val="13"/>
                              </w:rPr>
                              <w:t>44,929</w:t>
                            </w:r>
                          </w:p>
                        </w:tc>
                        <w:tc>
                          <w:tcPr>
                            <w:tcW w:w="933" w:type="dxa"/>
                            <w:tcBorders>
                              <w:top w:val="single" w:sz="6" w:space="0" w:color="000000"/>
                            </w:tcBorders>
                          </w:tcPr>
                          <w:p>
                            <w:pPr>
                              <w:pStyle w:val="TableParagraph"/>
                              <w:rPr>
                                <w:b/>
                                <w:sz w:val="13"/>
                              </w:rPr>
                            </w:pPr>
                          </w:p>
                          <w:p>
                            <w:pPr>
                              <w:pStyle w:val="TableParagraph"/>
                              <w:spacing w:before="51"/>
                              <w:rPr>
                                <w:b/>
                                <w:sz w:val="13"/>
                              </w:rPr>
                            </w:pPr>
                          </w:p>
                          <w:p>
                            <w:pPr>
                              <w:pStyle w:val="TableParagraph"/>
                              <w:spacing w:line="134" w:lineRule="exact" w:before="1"/>
                              <w:ind w:right="206"/>
                              <w:jc w:val="right"/>
                              <w:rPr>
                                <w:sz w:val="13"/>
                              </w:rPr>
                            </w:pPr>
                            <w:r>
                              <w:rPr>
                                <w:spacing w:val="-10"/>
                                <w:w w:val="105"/>
                                <w:sz w:val="13"/>
                              </w:rPr>
                              <w:t>-</w:t>
                            </w:r>
                          </w:p>
                        </w:tc>
                        <w:tc>
                          <w:tcPr>
                            <w:tcW w:w="893" w:type="dxa"/>
                            <w:tcBorders>
                              <w:top w:val="single" w:sz="6" w:space="0" w:color="000000"/>
                            </w:tcBorders>
                          </w:tcPr>
                          <w:p>
                            <w:pPr>
                              <w:pStyle w:val="TableParagraph"/>
                              <w:rPr>
                                <w:b/>
                                <w:sz w:val="13"/>
                              </w:rPr>
                            </w:pPr>
                          </w:p>
                          <w:p>
                            <w:pPr>
                              <w:pStyle w:val="TableParagraph"/>
                              <w:spacing w:before="51"/>
                              <w:rPr>
                                <w:b/>
                                <w:sz w:val="13"/>
                              </w:rPr>
                            </w:pPr>
                          </w:p>
                          <w:p>
                            <w:pPr>
                              <w:pStyle w:val="TableParagraph"/>
                              <w:spacing w:line="134" w:lineRule="exact" w:before="1"/>
                              <w:ind w:right="150"/>
                              <w:jc w:val="right"/>
                              <w:rPr>
                                <w:sz w:val="13"/>
                              </w:rPr>
                            </w:pPr>
                            <w:r>
                              <w:rPr>
                                <w:spacing w:val="-10"/>
                                <w:w w:val="105"/>
                                <w:sz w:val="13"/>
                              </w:rPr>
                              <w:t>-</w:t>
                            </w:r>
                          </w:p>
                        </w:tc>
                        <w:tc>
                          <w:tcPr>
                            <w:tcW w:w="828" w:type="dxa"/>
                            <w:tcBorders>
                              <w:top w:val="single" w:sz="6" w:space="0" w:color="000000"/>
                            </w:tcBorders>
                          </w:tcPr>
                          <w:p>
                            <w:pPr>
                              <w:pStyle w:val="TableParagraph"/>
                              <w:rPr>
                                <w:b/>
                                <w:sz w:val="13"/>
                              </w:rPr>
                            </w:pPr>
                          </w:p>
                          <w:p>
                            <w:pPr>
                              <w:pStyle w:val="TableParagraph"/>
                              <w:spacing w:before="38"/>
                              <w:rPr>
                                <w:b/>
                                <w:sz w:val="13"/>
                              </w:rPr>
                            </w:pPr>
                          </w:p>
                          <w:p>
                            <w:pPr>
                              <w:pStyle w:val="TableParagraph"/>
                              <w:spacing w:line="147" w:lineRule="exact"/>
                              <w:ind w:right="76"/>
                              <w:jc w:val="right"/>
                              <w:rPr>
                                <w:sz w:val="13"/>
                              </w:rPr>
                            </w:pPr>
                            <w:r>
                              <w:rPr>
                                <w:spacing w:val="-2"/>
                                <w:w w:val="105"/>
                                <w:sz w:val="13"/>
                              </w:rPr>
                              <w:t>44,929</w:t>
                            </w:r>
                          </w:p>
                        </w:tc>
                      </w:tr>
                      <w:tr>
                        <w:trPr>
                          <w:trHeight w:val="172" w:hRule="atLeast"/>
                        </w:trPr>
                        <w:tc>
                          <w:tcPr>
                            <w:tcW w:w="879" w:type="dxa"/>
                          </w:tcPr>
                          <w:p>
                            <w:pPr>
                              <w:pStyle w:val="TableParagraph"/>
                              <w:spacing w:line="147" w:lineRule="exact" w:before="5"/>
                              <w:ind w:right="25"/>
                              <w:jc w:val="right"/>
                              <w:rPr>
                                <w:sz w:val="13"/>
                              </w:rPr>
                            </w:pPr>
                            <w:r>
                              <w:rPr>
                                <w:spacing w:val="-2"/>
                                <w:w w:val="105"/>
                                <w:sz w:val="13"/>
                              </w:rPr>
                              <w:t>3.45%</w:t>
                            </w:r>
                          </w:p>
                        </w:tc>
                        <w:tc>
                          <w:tcPr>
                            <w:tcW w:w="1005" w:type="dxa"/>
                          </w:tcPr>
                          <w:p>
                            <w:pPr>
                              <w:pStyle w:val="TableParagraph"/>
                              <w:spacing w:line="134" w:lineRule="exact" w:before="18"/>
                              <w:ind w:right="189"/>
                              <w:jc w:val="right"/>
                              <w:rPr>
                                <w:sz w:val="13"/>
                              </w:rPr>
                            </w:pPr>
                            <w:r>
                              <w:rPr>
                                <w:spacing w:val="-10"/>
                                <w:w w:val="105"/>
                                <w:sz w:val="13"/>
                              </w:rPr>
                              <w:t>-</w:t>
                            </w:r>
                          </w:p>
                        </w:tc>
                        <w:tc>
                          <w:tcPr>
                            <w:tcW w:w="753" w:type="dxa"/>
                            <w:tcBorders>
                              <w:right w:val="single" w:sz="6" w:space="0" w:color="000000"/>
                            </w:tcBorders>
                          </w:tcPr>
                          <w:p>
                            <w:pPr>
                              <w:pStyle w:val="TableParagraph"/>
                              <w:spacing w:line="147" w:lineRule="exact" w:before="5"/>
                              <w:ind w:right="64"/>
                              <w:jc w:val="right"/>
                              <w:rPr>
                                <w:sz w:val="13"/>
                              </w:rPr>
                            </w:pPr>
                            <w:r>
                              <w:rPr>
                                <w:spacing w:val="-2"/>
                                <w:w w:val="105"/>
                                <w:sz w:val="13"/>
                              </w:rPr>
                              <w:t>187,551</w:t>
                            </w:r>
                          </w:p>
                        </w:tc>
                        <w:tc>
                          <w:tcPr>
                            <w:tcW w:w="1188" w:type="dxa"/>
                            <w:tcBorders>
                              <w:left w:val="single" w:sz="6" w:space="0" w:color="000000"/>
                            </w:tcBorders>
                          </w:tcPr>
                          <w:p>
                            <w:pPr>
                              <w:pStyle w:val="TableParagraph"/>
                              <w:spacing w:line="147" w:lineRule="exact" w:before="5"/>
                              <w:ind w:left="453"/>
                              <w:rPr>
                                <w:sz w:val="13"/>
                              </w:rPr>
                            </w:pPr>
                            <w:r>
                              <w:rPr>
                                <w:spacing w:val="-2"/>
                                <w:w w:val="105"/>
                                <w:sz w:val="13"/>
                              </w:rPr>
                              <w:t>24,049</w:t>
                            </w:r>
                          </w:p>
                        </w:tc>
                        <w:tc>
                          <w:tcPr>
                            <w:tcW w:w="933" w:type="dxa"/>
                          </w:tcPr>
                          <w:p>
                            <w:pPr>
                              <w:pStyle w:val="TableParagraph"/>
                              <w:spacing w:line="147" w:lineRule="exact" w:before="5"/>
                              <w:ind w:right="252"/>
                              <w:jc w:val="right"/>
                              <w:rPr>
                                <w:sz w:val="13"/>
                              </w:rPr>
                            </w:pPr>
                            <w:r>
                              <w:rPr>
                                <w:spacing w:val="-2"/>
                                <w:w w:val="105"/>
                                <w:sz w:val="13"/>
                              </w:rPr>
                              <w:t>82,434</w:t>
                            </w:r>
                          </w:p>
                        </w:tc>
                        <w:tc>
                          <w:tcPr>
                            <w:tcW w:w="893" w:type="dxa"/>
                          </w:tcPr>
                          <w:p>
                            <w:pPr>
                              <w:pStyle w:val="TableParagraph"/>
                              <w:spacing w:line="147" w:lineRule="exact" w:before="5"/>
                              <w:ind w:right="196"/>
                              <w:jc w:val="right"/>
                              <w:rPr>
                                <w:sz w:val="13"/>
                              </w:rPr>
                            </w:pPr>
                            <w:r>
                              <w:rPr>
                                <w:spacing w:val="-2"/>
                                <w:w w:val="105"/>
                                <w:sz w:val="13"/>
                              </w:rPr>
                              <w:t>81,068</w:t>
                            </w:r>
                          </w:p>
                        </w:tc>
                        <w:tc>
                          <w:tcPr>
                            <w:tcW w:w="828" w:type="dxa"/>
                          </w:tcPr>
                          <w:p>
                            <w:pPr>
                              <w:pStyle w:val="TableParagraph"/>
                              <w:spacing w:line="147" w:lineRule="exact" w:before="5"/>
                              <w:ind w:right="74"/>
                              <w:jc w:val="right"/>
                              <w:rPr>
                                <w:sz w:val="13"/>
                              </w:rPr>
                            </w:pPr>
                            <w:r>
                              <w:rPr>
                                <w:spacing w:val="-2"/>
                                <w:w w:val="105"/>
                                <w:sz w:val="13"/>
                              </w:rPr>
                              <w:t>187,551</w:t>
                            </w:r>
                          </w:p>
                        </w:tc>
                      </w:tr>
                      <w:tr>
                        <w:trPr>
                          <w:trHeight w:val="170" w:hRule="atLeast"/>
                        </w:trPr>
                        <w:tc>
                          <w:tcPr>
                            <w:tcW w:w="879" w:type="dxa"/>
                          </w:tcPr>
                          <w:p>
                            <w:pPr>
                              <w:pStyle w:val="TableParagraph"/>
                              <w:spacing w:line="132" w:lineRule="exact" w:before="18"/>
                              <w:ind w:right="63"/>
                              <w:jc w:val="right"/>
                              <w:rPr>
                                <w:sz w:val="13"/>
                              </w:rPr>
                            </w:pPr>
                            <w:r>
                              <w:rPr>
                                <w:spacing w:val="-10"/>
                                <w:w w:val="105"/>
                                <w:sz w:val="13"/>
                              </w:rPr>
                              <w:t>-</w:t>
                            </w:r>
                          </w:p>
                        </w:tc>
                        <w:tc>
                          <w:tcPr>
                            <w:tcW w:w="1005" w:type="dxa"/>
                            <w:tcBorders>
                              <w:bottom w:val="single" w:sz="6" w:space="0" w:color="000000"/>
                            </w:tcBorders>
                          </w:tcPr>
                          <w:p>
                            <w:pPr>
                              <w:pStyle w:val="TableParagraph"/>
                              <w:spacing w:line="145" w:lineRule="exact" w:before="5"/>
                              <w:ind w:right="198"/>
                              <w:jc w:val="right"/>
                              <w:rPr>
                                <w:sz w:val="13"/>
                              </w:rPr>
                            </w:pPr>
                            <w:r>
                              <w:rPr>
                                <w:spacing w:val="-2"/>
                                <w:w w:val="105"/>
                                <w:sz w:val="13"/>
                              </w:rPr>
                              <w:t>19,437</w:t>
                            </w:r>
                          </w:p>
                        </w:tc>
                        <w:tc>
                          <w:tcPr>
                            <w:tcW w:w="753" w:type="dxa"/>
                            <w:tcBorders>
                              <w:bottom w:val="single" w:sz="6" w:space="0" w:color="000000"/>
                              <w:right w:val="single" w:sz="6" w:space="0" w:color="000000"/>
                            </w:tcBorders>
                          </w:tcPr>
                          <w:p>
                            <w:pPr>
                              <w:pStyle w:val="TableParagraph"/>
                              <w:spacing w:line="132" w:lineRule="exact" w:before="18"/>
                              <w:ind w:right="56"/>
                              <w:jc w:val="right"/>
                              <w:rPr>
                                <w:sz w:val="13"/>
                              </w:rPr>
                            </w:pPr>
                            <w:r>
                              <w:rPr>
                                <w:spacing w:val="-10"/>
                                <w:w w:val="105"/>
                                <w:sz w:val="13"/>
                              </w:rPr>
                              <w:t>-</w:t>
                            </w:r>
                          </w:p>
                        </w:tc>
                        <w:tc>
                          <w:tcPr>
                            <w:tcW w:w="1188" w:type="dxa"/>
                            <w:tcBorders>
                              <w:left w:val="single" w:sz="6" w:space="0" w:color="000000"/>
                              <w:bottom w:val="single" w:sz="6" w:space="0" w:color="000000"/>
                            </w:tcBorders>
                          </w:tcPr>
                          <w:p>
                            <w:pPr>
                              <w:pStyle w:val="TableParagraph"/>
                              <w:spacing w:line="145" w:lineRule="exact" w:before="5"/>
                              <w:ind w:left="453"/>
                              <w:rPr>
                                <w:sz w:val="13"/>
                              </w:rPr>
                            </w:pPr>
                            <w:r>
                              <w:rPr>
                                <w:spacing w:val="-2"/>
                                <w:w w:val="105"/>
                                <w:sz w:val="13"/>
                              </w:rPr>
                              <w:t>19,437</w:t>
                            </w:r>
                          </w:p>
                        </w:tc>
                        <w:tc>
                          <w:tcPr>
                            <w:tcW w:w="933" w:type="dxa"/>
                            <w:tcBorders>
                              <w:bottom w:val="single" w:sz="6" w:space="0" w:color="000000"/>
                            </w:tcBorders>
                          </w:tcPr>
                          <w:p>
                            <w:pPr>
                              <w:pStyle w:val="TableParagraph"/>
                              <w:spacing w:line="132" w:lineRule="exact" w:before="18"/>
                              <w:ind w:right="206"/>
                              <w:jc w:val="right"/>
                              <w:rPr>
                                <w:sz w:val="13"/>
                              </w:rPr>
                            </w:pPr>
                            <w:r>
                              <w:rPr>
                                <w:spacing w:val="-10"/>
                                <w:w w:val="105"/>
                                <w:sz w:val="13"/>
                              </w:rPr>
                              <w:t>-</w:t>
                            </w:r>
                          </w:p>
                        </w:tc>
                        <w:tc>
                          <w:tcPr>
                            <w:tcW w:w="893" w:type="dxa"/>
                            <w:tcBorders>
                              <w:bottom w:val="single" w:sz="6" w:space="0" w:color="000000"/>
                            </w:tcBorders>
                          </w:tcPr>
                          <w:p>
                            <w:pPr>
                              <w:pStyle w:val="TableParagraph"/>
                              <w:spacing w:line="132" w:lineRule="exact" w:before="18"/>
                              <w:ind w:right="150"/>
                              <w:jc w:val="right"/>
                              <w:rPr>
                                <w:sz w:val="13"/>
                              </w:rPr>
                            </w:pPr>
                            <w:r>
                              <w:rPr>
                                <w:spacing w:val="-10"/>
                                <w:w w:val="105"/>
                                <w:sz w:val="13"/>
                              </w:rPr>
                              <w:t>-</w:t>
                            </w:r>
                          </w:p>
                        </w:tc>
                        <w:tc>
                          <w:tcPr>
                            <w:tcW w:w="828" w:type="dxa"/>
                            <w:tcBorders>
                              <w:bottom w:val="single" w:sz="6" w:space="0" w:color="000000"/>
                            </w:tcBorders>
                          </w:tcPr>
                          <w:p>
                            <w:pPr>
                              <w:pStyle w:val="TableParagraph"/>
                              <w:spacing w:line="145" w:lineRule="exact" w:before="5"/>
                              <w:ind w:right="76"/>
                              <w:jc w:val="right"/>
                              <w:rPr>
                                <w:sz w:val="13"/>
                              </w:rPr>
                            </w:pPr>
                            <w:r>
                              <w:rPr>
                                <w:spacing w:val="-2"/>
                                <w:w w:val="105"/>
                                <w:sz w:val="13"/>
                              </w:rPr>
                              <w:t>19,437</w:t>
                            </w:r>
                          </w:p>
                        </w:tc>
                      </w:tr>
                      <w:tr>
                        <w:trPr>
                          <w:trHeight w:val="157" w:hRule="atLeast"/>
                        </w:trPr>
                        <w:tc>
                          <w:tcPr>
                            <w:tcW w:w="879" w:type="dxa"/>
                          </w:tcPr>
                          <w:p>
                            <w:pPr>
                              <w:pStyle w:val="TableParagraph"/>
                              <w:rPr>
                                <w:rFonts w:ascii="Times New Roman"/>
                                <w:sz w:val="10"/>
                              </w:rPr>
                            </w:pPr>
                          </w:p>
                        </w:tc>
                        <w:tc>
                          <w:tcPr>
                            <w:tcW w:w="1005" w:type="dxa"/>
                            <w:tcBorders>
                              <w:top w:val="single" w:sz="6" w:space="0" w:color="000000"/>
                              <w:bottom w:val="single" w:sz="6" w:space="0" w:color="000000"/>
                            </w:tcBorders>
                          </w:tcPr>
                          <w:p>
                            <w:pPr>
                              <w:pStyle w:val="TableParagraph"/>
                              <w:spacing w:line="138" w:lineRule="exact"/>
                              <w:ind w:right="198"/>
                              <w:jc w:val="right"/>
                              <w:rPr>
                                <w:b/>
                                <w:sz w:val="13"/>
                              </w:rPr>
                            </w:pPr>
                            <w:r>
                              <w:rPr>
                                <w:b/>
                                <w:spacing w:val="-2"/>
                                <w:w w:val="105"/>
                                <w:sz w:val="13"/>
                              </w:rPr>
                              <w:t>64,366</w:t>
                            </w:r>
                          </w:p>
                        </w:tc>
                        <w:tc>
                          <w:tcPr>
                            <w:tcW w:w="753" w:type="dxa"/>
                            <w:tcBorders>
                              <w:top w:val="single" w:sz="6" w:space="0" w:color="000000"/>
                              <w:bottom w:val="single" w:sz="6" w:space="0" w:color="000000"/>
                              <w:right w:val="single" w:sz="6" w:space="0" w:color="000000"/>
                            </w:tcBorders>
                          </w:tcPr>
                          <w:p>
                            <w:pPr>
                              <w:pStyle w:val="TableParagraph"/>
                              <w:spacing w:line="138" w:lineRule="exact"/>
                              <w:ind w:right="66"/>
                              <w:jc w:val="right"/>
                              <w:rPr>
                                <w:b/>
                                <w:sz w:val="13"/>
                              </w:rPr>
                            </w:pPr>
                            <w:r>
                              <w:rPr>
                                <w:b/>
                                <w:spacing w:val="-2"/>
                                <w:w w:val="105"/>
                                <w:sz w:val="13"/>
                              </w:rPr>
                              <w:t>187,551</w:t>
                            </w:r>
                          </w:p>
                        </w:tc>
                        <w:tc>
                          <w:tcPr>
                            <w:tcW w:w="1188" w:type="dxa"/>
                            <w:tcBorders>
                              <w:top w:val="single" w:sz="6" w:space="0" w:color="000000"/>
                              <w:left w:val="single" w:sz="6" w:space="0" w:color="000000"/>
                              <w:bottom w:val="single" w:sz="6" w:space="0" w:color="000000"/>
                            </w:tcBorders>
                          </w:tcPr>
                          <w:p>
                            <w:pPr>
                              <w:pStyle w:val="TableParagraph"/>
                              <w:spacing w:line="138" w:lineRule="exact"/>
                              <w:ind w:left="453"/>
                              <w:rPr>
                                <w:b/>
                                <w:sz w:val="13"/>
                              </w:rPr>
                            </w:pPr>
                            <w:r>
                              <w:rPr>
                                <w:b/>
                                <w:spacing w:val="-2"/>
                                <w:w w:val="105"/>
                                <w:sz w:val="13"/>
                              </w:rPr>
                              <w:t>88,415</w:t>
                            </w:r>
                          </w:p>
                        </w:tc>
                        <w:tc>
                          <w:tcPr>
                            <w:tcW w:w="933" w:type="dxa"/>
                            <w:tcBorders>
                              <w:top w:val="single" w:sz="6" w:space="0" w:color="000000"/>
                              <w:bottom w:val="single" w:sz="6" w:space="0" w:color="000000"/>
                            </w:tcBorders>
                          </w:tcPr>
                          <w:p>
                            <w:pPr>
                              <w:pStyle w:val="TableParagraph"/>
                              <w:spacing w:line="138" w:lineRule="exact"/>
                              <w:ind w:right="252"/>
                              <w:jc w:val="right"/>
                              <w:rPr>
                                <w:b/>
                                <w:sz w:val="13"/>
                              </w:rPr>
                            </w:pPr>
                            <w:r>
                              <w:rPr>
                                <w:b/>
                                <w:spacing w:val="-2"/>
                                <w:w w:val="105"/>
                                <w:sz w:val="13"/>
                              </w:rPr>
                              <w:t>82,434</w:t>
                            </w:r>
                          </w:p>
                        </w:tc>
                        <w:tc>
                          <w:tcPr>
                            <w:tcW w:w="893" w:type="dxa"/>
                            <w:tcBorders>
                              <w:top w:val="single" w:sz="6" w:space="0" w:color="000000"/>
                              <w:bottom w:val="single" w:sz="6" w:space="0" w:color="000000"/>
                            </w:tcBorders>
                          </w:tcPr>
                          <w:p>
                            <w:pPr>
                              <w:pStyle w:val="TableParagraph"/>
                              <w:spacing w:line="138" w:lineRule="exact"/>
                              <w:ind w:right="196"/>
                              <w:jc w:val="right"/>
                              <w:rPr>
                                <w:b/>
                                <w:sz w:val="13"/>
                              </w:rPr>
                            </w:pPr>
                            <w:r>
                              <w:rPr>
                                <w:b/>
                                <w:spacing w:val="-2"/>
                                <w:w w:val="105"/>
                                <w:sz w:val="13"/>
                              </w:rPr>
                              <w:t>81,068</w:t>
                            </w:r>
                          </w:p>
                        </w:tc>
                        <w:tc>
                          <w:tcPr>
                            <w:tcW w:w="828" w:type="dxa"/>
                            <w:tcBorders>
                              <w:top w:val="single" w:sz="6" w:space="0" w:color="000000"/>
                              <w:bottom w:val="single" w:sz="6" w:space="0" w:color="000000"/>
                            </w:tcBorders>
                          </w:tcPr>
                          <w:p>
                            <w:pPr>
                              <w:pStyle w:val="TableParagraph"/>
                              <w:spacing w:line="138" w:lineRule="exact"/>
                              <w:ind w:right="74"/>
                              <w:jc w:val="right"/>
                              <w:rPr>
                                <w:b/>
                                <w:sz w:val="13"/>
                              </w:rPr>
                            </w:pPr>
                            <w:r>
                              <w:rPr>
                                <w:b/>
                                <w:spacing w:val="-2"/>
                                <w:w w:val="105"/>
                                <w:sz w:val="13"/>
                              </w:rPr>
                              <w:t>251,917</w:t>
                            </w:r>
                          </w:p>
                        </w:tc>
                      </w:tr>
                    </w:tbl>
                    <w:p>
                      <w:pPr>
                        <w:pStyle w:val="BodyText"/>
                      </w:pPr>
                    </w:p>
                  </w:txbxContent>
                </v:textbox>
                <w10:wrap type="none"/>
              </v:shape>
            </w:pict>
          </mc:Fallback>
        </mc:AlternateContent>
      </w:r>
      <w:r>
        <w:rPr>
          <w:b/>
          <w:w w:val="105"/>
          <w:sz w:val="13"/>
        </w:rPr>
        <w:t>Maturity</w:t>
      </w:r>
      <w:r>
        <w:rPr>
          <w:b/>
          <w:spacing w:val="-3"/>
          <w:w w:val="105"/>
          <w:sz w:val="13"/>
        </w:rPr>
        <w:t> </w:t>
      </w:r>
      <w:r>
        <w:rPr>
          <w:b/>
          <w:spacing w:val="-2"/>
          <w:w w:val="105"/>
          <w:sz w:val="13"/>
        </w:rPr>
        <w:t>Profile</w:t>
      </w:r>
    </w:p>
    <w:p>
      <w:pPr>
        <w:spacing w:after="0" w:line="144" w:lineRule="exact"/>
        <w:jc w:val="left"/>
        <w:rPr>
          <w:sz w:val="13"/>
        </w:rPr>
        <w:sectPr>
          <w:type w:val="continuous"/>
          <w:pgSz w:w="11910" w:h="16840"/>
          <w:pgMar w:header="468" w:footer="0" w:top="980" w:bottom="280" w:left="1020" w:right="1540"/>
          <w:cols w:num="6" w:equalWidth="0">
            <w:col w:w="2184" w:space="40"/>
            <w:col w:w="1070" w:space="39"/>
            <w:col w:w="973" w:space="39"/>
            <w:col w:w="682" w:space="40"/>
            <w:col w:w="948" w:space="40"/>
            <w:col w:w="3295"/>
          </w:cols>
        </w:sectPr>
      </w:pPr>
    </w:p>
    <w:p>
      <w:pPr>
        <w:spacing w:before="13"/>
        <w:ind w:left="640" w:right="0" w:firstLine="0"/>
        <w:jc w:val="left"/>
        <w:rPr>
          <w:b/>
          <w:sz w:val="13"/>
        </w:rPr>
      </w:pPr>
      <w:r>
        <w:rPr>
          <w:b/>
          <w:spacing w:val="-2"/>
          <w:w w:val="105"/>
          <w:sz w:val="13"/>
        </w:rPr>
        <w:t>Consolidated</w:t>
      </w:r>
    </w:p>
    <w:p>
      <w:pPr>
        <w:spacing w:before="28"/>
        <w:ind w:left="640" w:right="0" w:firstLine="0"/>
        <w:jc w:val="left"/>
        <w:rPr>
          <w:b/>
          <w:sz w:val="13"/>
        </w:rPr>
      </w:pPr>
      <w:r>
        <w:rPr>
          <w:b/>
          <w:w w:val="105"/>
          <w:sz w:val="13"/>
        </w:rPr>
        <w:t>31</w:t>
      </w:r>
      <w:r>
        <w:rPr>
          <w:b/>
          <w:spacing w:val="-8"/>
          <w:w w:val="105"/>
          <w:sz w:val="13"/>
        </w:rPr>
        <w:t> </w:t>
      </w:r>
      <w:r>
        <w:rPr>
          <w:b/>
          <w:w w:val="105"/>
          <w:sz w:val="13"/>
        </w:rPr>
        <w:t>December</w:t>
      </w:r>
      <w:r>
        <w:rPr>
          <w:b/>
          <w:spacing w:val="-6"/>
          <w:w w:val="105"/>
          <w:sz w:val="13"/>
        </w:rPr>
        <w:t> </w:t>
      </w:r>
      <w:r>
        <w:rPr>
          <w:b/>
          <w:spacing w:val="-4"/>
          <w:w w:val="105"/>
          <w:sz w:val="13"/>
        </w:rPr>
        <w:t>2019</w:t>
      </w:r>
    </w:p>
    <w:p>
      <w:pPr>
        <w:spacing w:before="111"/>
        <w:ind w:left="640" w:right="0" w:firstLine="0"/>
        <w:jc w:val="left"/>
        <w:rPr>
          <w:b/>
          <w:sz w:val="13"/>
        </w:rPr>
      </w:pPr>
      <w:r>
        <w:rPr/>
        <w:br w:type="column"/>
      </w:r>
      <w:r>
        <w:rPr>
          <w:b/>
          <w:w w:val="105"/>
          <w:sz w:val="13"/>
        </w:rPr>
        <w:t>interest</w:t>
      </w:r>
      <w:r>
        <w:rPr>
          <w:b/>
          <w:spacing w:val="-8"/>
          <w:w w:val="105"/>
          <w:sz w:val="13"/>
        </w:rPr>
        <w:t> </w:t>
      </w:r>
      <w:r>
        <w:rPr>
          <w:b/>
          <w:spacing w:val="-4"/>
          <w:w w:val="105"/>
          <w:sz w:val="13"/>
        </w:rPr>
        <w:t>rate</w:t>
      </w:r>
    </w:p>
    <w:p>
      <w:pPr>
        <w:spacing w:before="111"/>
        <w:ind w:left="200" w:right="0" w:firstLine="0"/>
        <w:jc w:val="left"/>
        <w:rPr>
          <w:b/>
          <w:sz w:val="13"/>
        </w:rPr>
      </w:pPr>
      <w:r>
        <w:rPr/>
        <w:br w:type="column"/>
      </w:r>
      <w:r>
        <w:rPr>
          <w:b/>
          <w:spacing w:val="-2"/>
          <w:w w:val="105"/>
          <w:sz w:val="13"/>
        </w:rPr>
        <w:t>bearing</w:t>
      </w:r>
    </w:p>
    <w:p>
      <w:pPr>
        <w:spacing w:before="111"/>
        <w:ind w:left="345" w:right="0" w:firstLine="0"/>
        <w:jc w:val="left"/>
        <w:rPr>
          <w:b/>
          <w:sz w:val="13"/>
        </w:rPr>
      </w:pPr>
      <w:r>
        <w:rPr/>
        <w:br w:type="column"/>
      </w:r>
      <w:r>
        <w:rPr>
          <w:b/>
          <w:spacing w:val="-2"/>
          <w:w w:val="105"/>
          <w:sz w:val="13"/>
        </w:rPr>
        <w:t>bearing</w:t>
      </w:r>
    </w:p>
    <w:p>
      <w:pPr>
        <w:spacing w:line="240" w:lineRule="auto" w:before="29"/>
        <w:rPr>
          <w:b/>
          <w:sz w:val="13"/>
        </w:rPr>
      </w:pPr>
      <w:r>
        <w:rPr/>
        <w:br w:type="column"/>
      </w:r>
      <w:r>
        <w:rPr>
          <w:b/>
          <w:sz w:val="13"/>
        </w:rPr>
      </w:r>
    </w:p>
    <w:p>
      <w:pPr>
        <w:spacing w:before="1"/>
        <w:ind w:left="434" w:right="0" w:firstLine="0"/>
        <w:jc w:val="left"/>
        <w:rPr>
          <w:b/>
          <w:sz w:val="13"/>
        </w:rPr>
      </w:pPr>
      <w:r>
        <w:rPr/>
        <mc:AlternateContent>
          <mc:Choice Requires="wps">
            <w:drawing>
              <wp:anchor distT="0" distB="0" distL="0" distR="0" allowOverlap="1" layoutInCell="1" locked="0" behindDoc="0" simplePos="0" relativeHeight="15900160">
                <wp:simplePos x="0" y="0"/>
                <wp:positionH relativeFrom="page">
                  <wp:posOffset>3963403</wp:posOffset>
                </wp:positionH>
                <wp:positionV relativeFrom="paragraph">
                  <wp:posOffset>-108844</wp:posOffset>
                </wp:positionV>
                <wp:extent cx="2439670" cy="8890"/>
                <wp:effectExtent l="0" t="0" r="0" b="0"/>
                <wp:wrapNone/>
                <wp:docPr id="958" name="Group 958"/>
                <wp:cNvGraphicFramePr>
                  <a:graphicFrameLocks/>
                </wp:cNvGraphicFramePr>
                <a:graphic>
                  <a:graphicData uri="http://schemas.microsoft.com/office/word/2010/wordprocessingGroup">
                    <wpg:wgp>
                      <wpg:cNvPr id="958" name="Group 958"/>
                      <wpg:cNvGrpSpPr/>
                      <wpg:grpSpPr>
                        <a:xfrm>
                          <a:off x="0" y="0"/>
                          <a:ext cx="2439670" cy="8890"/>
                          <a:chExt cx="2439670" cy="8890"/>
                        </a:xfrm>
                      </wpg:grpSpPr>
                      <wps:wsp>
                        <wps:cNvPr id="959" name="Graphic 959"/>
                        <wps:cNvSpPr/>
                        <wps:spPr>
                          <a:xfrm>
                            <a:off x="6" y="0"/>
                            <a:ext cx="2439670" cy="1270"/>
                          </a:xfrm>
                          <a:custGeom>
                            <a:avLst/>
                            <a:gdLst/>
                            <a:ahLst/>
                            <a:cxnLst/>
                            <a:rect l="l" t="t" r="r" b="b"/>
                            <a:pathLst>
                              <a:path w="2439670" h="0">
                                <a:moveTo>
                                  <a:pt x="0" y="0"/>
                                </a:moveTo>
                                <a:lnTo>
                                  <a:pt x="2439581" y="0"/>
                                </a:lnTo>
                              </a:path>
                            </a:pathLst>
                          </a:custGeom>
                          <a:ln w="0">
                            <a:solidFill>
                              <a:srgbClr val="000000"/>
                            </a:solidFill>
                            <a:prstDash val="solid"/>
                          </a:ln>
                        </wps:spPr>
                        <wps:bodyPr wrap="square" lIns="0" tIns="0" rIns="0" bIns="0" rtlCol="0">
                          <a:prstTxWarp prst="textNoShape">
                            <a:avLst/>
                          </a:prstTxWarp>
                          <a:noAutofit/>
                        </wps:bodyPr>
                      </wps:wsp>
                      <wps:wsp>
                        <wps:cNvPr id="960" name="Graphic 960"/>
                        <wps:cNvSpPr/>
                        <wps:spPr>
                          <a:xfrm>
                            <a:off x="0" y="2"/>
                            <a:ext cx="2439670" cy="8890"/>
                          </a:xfrm>
                          <a:custGeom>
                            <a:avLst/>
                            <a:gdLst/>
                            <a:ahLst/>
                            <a:cxnLst/>
                            <a:rect l="l" t="t" r="r" b="b"/>
                            <a:pathLst>
                              <a:path w="2439670" h="8890">
                                <a:moveTo>
                                  <a:pt x="2439593" y="0"/>
                                </a:moveTo>
                                <a:lnTo>
                                  <a:pt x="0" y="0"/>
                                </a:lnTo>
                                <a:lnTo>
                                  <a:pt x="0" y="8432"/>
                                </a:lnTo>
                                <a:lnTo>
                                  <a:pt x="2439593" y="8432"/>
                                </a:lnTo>
                                <a:lnTo>
                                  <a:pt x="243959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312.07901pt;margin-top:-8.570439pt;width:192.1pt;height:.7pt;mso-position-horizontal-relative:page;mso-position-vertical-relative:paragraph;z-index:15900160" id="docshapegroup651" coordorigin="6242,-171" coordsize="3842,14">
                <v:line style="position:absolute" from="6242,-171" to="10083,-171" stroked="true" strokeweight="0pt" strokecolor="#000000">
                  <v:stroke dashstyle="solid"/>
                </v:line>
                <v:rect style="position:absolute;left:6241;top:-172;width:3842;height:14" id="docshape652" filled="true" fillcolor="#000000" stroked="false">
                  <v:fill type="solid"/>
                </v:rect>
                <w10:wrap type="none"/>
              </v:group>
            </w:pict>
          </mc:Fallback>
        </mc:AlternateContent>
      </w:r>
      <w:r>
        <w:rPr>
          <w:b/>
          <w:w w:val="105"/>
          <w:sz w:val="13"/>
        </w:rPr>
        <w:t>1</w:t>
      </w:r>
      <w:r>
        <w:rPr>
          <w:b/>
          <w:spacing w:val="-2"/>
          <w:w w:val="105"/>
          <w:sz w:val="13"/>
        </w:rPr>
        <w:t> </w:t>
      </w:r>
      <w:r>
        <w:rPr>
          <w:b/>
          <w:spacing w:val="-4"/>
          <w:w w:val="105"/>
          <w:sz w:val="13"/>
        </w:rPr>
        <w:t>yea</w:t>
      </w:r>
      <w:r>
        <w:rPr>
          <w:b/>
          <w:spacing w:val="-4"/>
          <w:w w:val="105"/>
          <w:sz w:val="13"/>
        </w:rPr>
        <w:t>r</w:t>
      </w:r>
    </w:p>
    <w:p>
      <w:pPr>
        <w:spacing w:line="283" w:lineRule="auto" w:before="2"/>
        <w:ind w:left="558" w:right="0" w:hanging="3"/>
        <w:jc w:val="left"/>
        <w:rPr>
          <w:b/>
          <w:sz w:val="13"/>
        </w:rPr>
      </w:pPr>
      <w:r>
        <w:rPr/>
        <w:br w:type="column"/>
      </w:r>
      <w:r>
        <w:rPr>
          <w:b/>
          <w:w w:val="105"/>
          <w:sz w:val="13"/>
        </w:rPr>
        <w:t>1</w:t>
      </w:r>
      <w:r>
        <w:rPr>
          <w:b/>
          <w:spacing w:val="-10"/>
          <w:w w:val="105"/>
          <w:sz w:val="13"/>
        </w:rPr>
        <w:t> </w:t>
      </w:r>
      <w:r>
        <w:rPr>
          <w:b/>
          <w:w w:val="105"/>
          <w:sz w:val="13"/>
        </w:rPr>
        <w:t>to</w:t>
      </w:r>
      <w:r>
        <w:rPr>
          <w:b/>
          <w:spacing w:val="-9"/>
          <w:w w:val="105"/>
          <w:sz w:val="13"/>
        </w:rPr>
        <w:t> </w:t>
      </w:r>
      <w:r>
        <w:rPr>
          <w:b/>
          <w:w w:val="105"/>
          <w:sz w:val="13"/>
        </w:rPr>
        <w:t>5</w:t>
      </w:r>
      <w:r>
        <w:rPr>
          <w:b/>
          <w:spacing w:val="40"/>
          <w:w w:val="105"/>
          <w:sz w:val="13"/>
        </w:rPr>
        <w:t> </w:t>
      </w:r>
      <w:r>
        <w:rPr>
          <w:b/>
          <w:spacing w:val="-4"/>
          <w:w w:val="105"/>
          <w:sz w:val="13"/>
        </w:rPr>
        <w:t>years</w:t>
      </w:r>
    </w:p>
    <w:p>
      <w:pPr>
        <w:spacing w:before="2"/>
        <w:ind w:left="673" w:right="0" w:firstLine="0"/>
        <w:jc w:val="left"/>
        <w:rPr>
          <w:b/>
          <w:sz w:val="13"/>
        </w:rPr>
      </w:pPr>
      <w:r>
        <w:rPr/>
        <w:br w:type="column"/>
      </w:r>
      <w:r>
        <w:rPr>
          <w:b/>
          <w:spacing w:val="-5"/>
          <w:w w:val="105"/>
          <w:sz w:val="13"/>
        </w:rPr>
        <w:t>5+</w:t>
      </w:r>
    </w:p>
    <w:p>
      <w:pPr>
        <w:tabs>
          <w:tab w:pos="1541" w:val="left" w:leader="none"/>
        </w:tabs>
        <w:spacing w:before="29"/>
        <w:ind w:left="574" w:right="0" w:firstLine="0"/>
        <w:jc w:val="left"/>
        <w:rPr>
          <w:b/>
          <w:sz w:val="13"/>
        </w:rPr>
      </w:pPr>
      <w:r>
        <w:rPr>
          <w:b/>
          <w:spacing w:val="-2"/>
          <w:w w:val="105"/>
          <w:position w:val="1"/>
          <w:sz w:val="13"/>
        </w:rPr>
        <w:t>years</w:t>
      </w:r>
      <w:r>
        <w:rPr>
          <w:b/>
          <w:position w:val="1"/>
          <w:sz w:val="13"/>
        </w:rPr>
        <w:tab/>
      </w:r>
      <w:r>
        <w:rPr>
          <w:b/>
          <w:spacing w:val="-2"/>
          <w:w w:val="105"/>
          <w:sz w:val="13"/>
        </w:rPr>
        <w:t>Total</w:t>
      </w:r>
    </w:p>
    <w:p>
      <w:pPr>
        <w:spacing w:after="0"/>
        <w:jc w:val="left"/>
        <w:rPr>
          <w:sz w:val="13"/>
        </w:rPr>
        <w:sectPr>
          <w:type w:val="continuous"/>
          <w:pgSz w:w="11910" w:h="16840"/>
          <w:pgMar w:header="468" w:footer="0" w:top="980" w:bottom="280" w:left="1020" w:right="1540"/>
          <w:cols w:num="7" w:equalWidth="0">
            <w:col w:w="1867" w:space="127"/>
            <w:col w:w="1423" w:space="40"/>
            <w:col w:w="694" w:space="39"/>
            <w:col w:w="839" w:space="40"/>
            <w:col w:w="825" w:space="39"/>
            <w:col w:w="914" w:space="40"/>
            <w:col w:w="2463"/>
          </w:cols>
        </w:sectPr>
      </w:pPr>
    </w:p>
    <w:p>
      <w:pPr>
        <w:tabs>
          <w:tab w:pos="3743" w:val="left" w:leader="none"/>
          <w:tab w:pos="4621" w:val="left" w:leader="none"/>
          <w:tab w:pos="5535" w:val="left" w:leader="none"/>
          <w:tab w:pos="6504" w:val="left" w:leader="none"/>
          <w:tab w:pos="7476" w:val="left" w:leader="none"/>
          <w:tab w:pos="8425" w:val="left" w:leader="none"/>
        </w:tabs>
        <w:spacing w:before="8" w:after="24"/>
        <w:ind w:left="2970" w:right="0" w:firstLine="0"/>
        <w:jc w:val="left"/>
        <w:rPr>
          <w:b/>
          <w:sz w:val="13"/>
        </w:rPr>
      </w:pPr>
      <w:r>
        <w:rPr>
          <w:b/>
          <w:spacing w:val="-10"/>
          <w:w w:val="105"/>
          <w:sz w:val="13"/>
        </w:rPr>
        <w:t>%</w:t>
      </w:r>
      <w:r>
        <w:rPr>
          <w:b/>
          <w:sz w:val="13"/>
        </w:rPr>
        <w:tab/>
      </w:r>
      <w:r>
        <w:rPr>
          <w:b/>
          <w:spacing w:val="-2"/>
          <w:w w:val="105"/>
          <w:sz w:val="13"/>
        </w:rPr>
        <w:t>$'000</w:t>
      </w:r>
      <w:r>
        <w:rPr>
          <w:b/>
          <w:sz w:val="13"/>
        </w:rPr>
        <w:tab/>
      </w:r>
      <w:r>
        <w:rPr>
          <w:b/>
          <w:spacing w:val="-4"/>
          <w:w w:val="105"/>
          <w:sz w:val="13"/>
        </w:rPr>
        <w:t>$'000</w:t>
      </w:r>
      <w:r>
        <w:rPr>
          <w:b/>
          <w:sz w:val="13"/>
        </w:rPr>
        <w:tab/>
      </w:r>
      <w:r>
        <w:rPr>
          <w:b/>
          <w:spacing w:val="-2"/>
          <w:w w:val="105"/>
          <w:sz w:val="13"/>
        </w:rPr>
        <w:t>$'000</w:t>
      </w:r>
      <w:r>
        <w:rPr>
          <w:b/>
          <w:sz w:val="13"/>
        </w:rPr>
        <w:tab/>
      </w:r>
      <w:r>
        <w:rPr>
          <w:b/>
          <w:spacing w:val="-2"/>
          <w:w w:val="105"/>
          <w:sz w:val="13"/>
        </w:rPr>
        <w:t>$'000</w:t>
      </w:r>
      <w:r>
        <w:rPr>
          <w:b/>
          <w:sz w:val="13"/>
        </w:rPr>
        <w:tab/>
      </w:r>
      <w:r>
        <w:rPr>
          <w:b/>
          <w:spacing w:val="-2"/>
          <w:w w:val="105"/>
          <w:sz w:val="13"/>
        </w:rPr>
        <w:t>$'000</w:t>
      </w:r>
      <w:r>
        <w:rPr>
          <w:b/>
          <w:sz w:val="13"/>
        </w:rPr>
        <w:tab/>
      </w:r>
      <w:r>
        <w:rPr>
          <w:b/>
          <w:spacing w:val="-2"/>
          <w:w w:val="105"/>
          <w:sz w:val="13"/>
        </w:rPr>
        <w:t>$'000</w:t>
      </w:r>
    </w:p>
    <w:tbl>
      <w:tblPr>
        <w:tblW w:w="0" w:type="auto"/>
        <w:jc w:val="left"/>
        <w:tblInd w:w="5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94"/>
        <w:gridCol w:w="879"/>
        <w:gridCol w:w="986"/>
        <w:gridCol w:w="772"/>
        <w:gridCol w:w="1097"/>
        <w:gridCol w:w="981"/>
        <w:gridCol w:w="939"/>
        <w:gridCol w:w="828"/>
      </w:tblGrid>
      <w:tr>
        <w:trPr>
          <w:trHeight w:val="332" w:hRule="atLeast"/>
        </w:trPr>
        <w:tc>
          <w:tcPr>
            <w:tcW w:w="1994" w:type="dxa"/>
          </w:tcPr>
          <w:p>
            <w:pPr>
              <w:pStyle w:val="TableParagraph"/>
              <w:spacing w:line="142" w:lineRule="exact"/>
              <w:ind w:left="48"/>
              <w:rPr>
                <w:b/>
                <w:sz w:val="13"/>
              </w:rPr>
            </w:pPr>
            <w:r>
              <w:rPr>
                <w:b/>
                <w:spacing w:val="-2"/>
                <w:w w:val="105"/>
                <w:sz w:val="13"/>
              </w:rPr>
              <w:t>Financial</w:t>
            </w:r>
            <w:r>
              <w:rPr>
                <w:b/>
                <w:spacing w:val="8"/>
                <w:w w:val="105"/>
                <w:sz w:val="13"/>
              </w:rPr>
              <w:t> </w:t>
            </w:r>
            <w:r>
              <w:rPr>
                <w:b/>
                <w:spacing w:val="-2"/>
                <w:w w:val="105"/>
                <w:sz w:val="13"/>
              </w:rPr>
              <w:t>assets</w:t>
            </w:r>
          </w:p>
          <w:p>
            <w:pPr>
              <w:pStyle w:val="TableParagraph"/>
              <w:spacing w:line="147" w:lineRule="exact" w:before="23"/>
              <w:ind w:left="48"/>
              <w:rPr>
                <w:sz w:val="13"/>
              </w:rPr>
            </w:pPr>
            <w:r>
              <w:rPr>
                <w:w w:val="105"/>
                <w:sz w:val="13"/>
              </w:rPr>
              <w:t>Cash</w:t>
            </w:r>
            <w:r>
              <w:rPr>
                <w:spacing w:val="-5"/>
                <w:w w:val="105"/>
                <w:sz w:val="13"/>
              </w:rPr>
              <w:t> </w:t>
            </w:r>
            <w:r>
              <w:rPr>
                <w:w w:val="105"/>
                <w:sz w:val="13"/>
              </w:rPr>
              <w:t>and</w:t>
            </w:r>
            <w:r>
              <w:rPr>
                <w:spacing w:val="-4"/>
                <w:w w:val="105"/>
                <w:sz w:val="13"/>
              </w:rPr>
              <w:t> </w:t>
            </w:r>
            <w:r>
              <w:rPr>
                <w:w w:val="105"/>
                <w:sz w:val="13"/>
              </w:rPr>
              <w:t>cash</w:t>
            </w:r>
            <w:r>
              <w:rPr>
                <w:spacing w:val="-5"/>
                <w:w w:val="105"/>
                <w:sz w:val="13"/>
              </w:rPr>
              <w:t> </w:t>
            </w:r>
            <w:r>
              <w:rPr>
                <w:spacing w:val="-2"/>
                <w:w w:val="105"/>
                <w:sz w:val="13"/>
              </w:rPr>
              <w:t>equivalents</w:t>
            </w:r>
          </w:p>
        </w:tc>
        <w:tc>
          <w:tcPr>
            <w:tcW w:w="879" w:type="dxa"/>
            <w:tcBorders>
              <w:top w:val="single" w:sz="6" w:space="0" w:color="000000"/>
            </w:tcBorders>
          </w:tcPr>
          <w:p>
            <w:pPr>
              <w:pStyle w:val="TableParagraph"/>
              <w:spacing w:before="15"/>
              <w:rPr>
                <w:b/>
                <w:sz w:val="13"/>
              </w:rPr>
            </w:pPr>
          </w:p>
          <w:p>
            <w:pPr>
              <w:pStyle w:val="TableParagraph"/>
              <w:spacing w:line="147" w:lineRule="exact"/>
              <w:ind w:right="26"/>
              <w:jc w:val="right"/>
              <w:rPr>
                <w:sz w:val="13"/>
              </w:rPr>
            </w:pPr>
            <w:r>
              <w:rPr>
                <w:spacing w:val="-2"/>
                <w:w w:val="105"/>
                <w:sz w:val="13"/>
              </w:rPr>
              <w:t>1.12%</w:t>
            </w:r>
          </w:p>
        </w:tc>
        <w:tc>
          <w:tcPr>
            <w:tcW w:w="986" w:type="dxa"/>
            <w:tcBorders>
              <w:top w:val="single" w:sz="6" w:space="0" w:color="000000"/>
            </w:tcBorders>
          </w:tcPr>
          <w:p>
            <w:pPr>
              <w:pStyle w:val="TableParagraph"/>
              <w:spacing w:before="15"/>
              <w:rPr>
                <w:b/>
                <w:sz w:val="13"/>
              </w:rPr>
            </w:pPr>
          </w:p>
          <w:p>
            <w:pPr>
              <w:pStyle w:val="TableParagraph"/>
              <w:spacing w:line="147" w:lineRule="exact"/>
              <w:ind w:right="179"/>
              <w:jc w:val="right"/>
              <w:rPr>
                <w:sz w:val="13"/>
              </w:rPr>
            </w:pPr>
            <w:r>
              <w:rPr>
                <w:spacing w:val="-5"/>
                <w:w w:val="105"/>
                <w:sz w:val="13"/>
              </w:rPr>
              <w:t>75</w:t>
            </w:r>
          </w:p>
        </w:tc>
        <w:tc>
          <w:tcPr>
            <w:tcW w:w="772" w:type="dxa"/>
            <w:tcBorders>
              <w:top w:val="single" w:sz="6" w:space="0" w:color="000000"/>
              <w:right w:val="single" w:sz="6" w:space="0" w:color="000000"/>
            </w:tcBorders>
          </w:tcPr>
          <w:p>
            <w:pPr>
              <w:pStyle w:val="TableParagraph"/>
              <w:spacing w:before="15"/>
              <w:rPr>
                <w:b/>
                <w:sz w:val="13"/>
              </w:rPr>
            </w:pPr>
          </w:p>
          <w:p>
            <w:pPr>
              <w:pStyle w:val="TableParagraph"/>
              <w:spacing w:line="147" w:lineRule="exact"/>
              <w:ind w:right="65"/>
              <w:jc w:val="right"/>
              <w:rPr>
                <w:sz w:val="13"/>
              </w:rPr>
            </w:pPr>
            <w:r>
              <w:rPr>
                <w:spacing w:val="-2"/>
                <w:w w:val="105"/>
                <w:sz w:val="13"/>
              </w:rPr>
              <w:t>85,731</w:t>
            </w:r>
          </w:p>
        </w:tc>
        <w:tc>
          <w:tcPr>
            <w:tcW w:w="1097" w:type="dxa"/>
            <w:tcBorders>
              <w:top w:val="single" w:sz="6" w:space="0" w:color="000000"/>
              <w:left w:val="single" w:sz="6" w:space="0" w:color="000000"/>
            </w:tcBorders>
          </w:tcPr>
          <w:p>
            <w:pPr>
              <w:pStyle w:val="TableParagraph"/>
              <w:spacing w:before="15"/>
              <w:rPr>
                <w:b/>
                <w:sz w:val="13"/>
              </w:rPr>
            </w:pPr>
          </w:p>
          <w:p>
            <w:pPr>
              <w:pStyle w:val="TableParagraph"/>
              <w:spacing w:line="147" w:lineRule="exact"/>
              <w:ind w:left="453"/>
              <w:rPr>
                <w:sz w:val="13"/>
              </w:rPr>
            </w:pPr>
            <w:r>
              <w:rPr>
                <w:spacing w:val="-2"/>
                <w:w w:val="105"/>
                <w:sz w:val="13"/>
              </w:rPr>
              <w:t>85,806</w:t>
            </w:r>
          </w:p>
        </w:tc>
        <w:tc>
          <w:tcPr>
            <w:tcW w:w="981" w:type="dxa"/>
            <w:tcBorders>
              <w:top w:val="single" w:sz="6" w:space="0" w:color="000000"/>
            </w:tcBorders>
          </w:tcPr>
          <w:p>
            <w:pPr>
              <w:pStyle w:val="TableParagraph"/>
              <w:spacing w:before="28"/>
              <w:rPr>
                <w:b/>
                <w:sz w:val="13"/>
              </w:rPr>
            </w:pPr>
          </w:p>
          <w:p>
            <w:pPr>
              <w:pStyle w:val="TableParagraph"/>
              <w:spacing w:line="134" w:lineRule="exact"/>
              <w:ind w:right="201"/>
              <w:jc w:val="right"/>
              <w:rPr>
                <w:sz w:val="13"/>
              </w:rPr>
            </w:pPr>
            <w:r>
              <w:rPr>
                <w:spacing w:val="-10"/>
                <w:w w:val="105"/>
                <w:sz w:val="13"/>
              </w:rPr>
              <w:t>-</w:t>
            </w:r>
          </w:p>
        </w:tc>
        <w:tc>
          <w:tcPr>
            <w:tcW w:w="939" w:type="dxa"/>
            <w:tcBorders>
              <w:top w:val="single" w:sz="6" w:space="0" w:color="000000"/>
            </w:tcBorders>
          </w:tcPr>
          <w:p>
            <w:pPr>
              <w:pStyle w:val="TableParagraph"/>
              <w:spacing w:before="28"/>
              <w:rPr>
                <w:b/>
                <w:sz w:val="13"/>
              </w:rPr>
            </w:pPr>
          </w:p>
          <w:p>
            <w:pPr>
              <w:pStyle w:val="TableParagraph"/>
              <w:spacing w:line="134" w:lineRule="exact"/>
              <w:ind w:right="191"/>
              <w:jc w:val="right"/>
              <w:rPr>
                <w:sz w:val="13"/>
              </w:rPr>
            </w:pPr>
            <w:r>
              <w:rPr>
                <w:spacing w:val="-10"/>
                <w:w w:val="105"/>
                <w:sz w:val="13"/>
              </w:rPr>
              <w:t>-</w:t>
            </w:r>
          </w:p>
        </w:tc>
        <w:tc>
          <w:tcPr>
            <w:tcW w:w="828" w:type="dxa"/>
            <w:tcBorders>
              <w:top w:val="single" w:sz="6" w:space="0" w:color="000000"/>
            </w:tcBorders>
          </w:tcPr>
          <w:p>
            <w:pPr>
              <w:pStyle w:val="TableParagraph"/>
              <w:spacing w:before="15"/>
              <w:rPr>
                <w:b/>
                <w:sz w:val="13"/>
              </w:rPr>
            </w:pPr>
          </w:p>
          <w:p>
            <w:pPr>
              <w:pStyle w:val="TableParagraph"/>
              <w:spacing w:line="147" w:lineRule="exact"/>
              <w:ind w:right="78"/>
              <w:jc w:val="right"/>
              <w:rPr>
                <w:sz w:val="13"/>
              </w:rPr>
            </w:pPr>
            <w:r>
              <w:rPr>
                <w:spacing w:val="-2"/>
                <w:w w:val="105"/>
                <w:sz w:val="13"/>
              </w:rPr>
              <w:t>85,806</w:t>
            </w:r>
          </w:p>
        </w:tc>
      </w:tr>
      <w:tr>
        <w:trPr>
          <w:trHeight w:val="172" w:hRule="atLeast"/>
        </w:trPr>
        <w:tc>
          <w:tcPr>
            <w:tcW w:w="1994" w:type="dxa"/>
          </w:tcPr>
          <w:p>
            <w:pPr>
              <w:pStyle w:val="TableParagraph"/>
              <w:spacing w:line="147" w:lineRule="exact" w:before="5"/>
              <w:ind w:left="48"/>
              <w:rPr>
                <w:sz w:val="13"/>
              </w:rPr>
            </w:pPr>
            <w:r>
              <w:rPr>
                <w:w w:val="105"/>
                <w:sz w:val="13"/>
              </w:rPr>
              <w:t>Accounts</w:t>
            </w:r>
            <w:r>
              <w:rPr>
                <w:spacing w:val="-9"/>
                <w:w w:val="105"/>
                <w:sz w:val="13"/>
              </w:rPr>
              <w:t> </w:t>
            </w:r>
            <w:r>
              <w:rPr>
                <w:spacing w:val="-2"/>
                <w:w w:val="105"/>
                <w:sz w:val="13"/>
              </w:rPr>
              <w:t>receivable</w:t>
            </w:r>
          </w:p>
        </w:tc>
        <w:tc>
          <w:tcPr>
            <w:tcW w:w="879" w:type="dxa"/>
          </w:tcPr>
          <w:p>
            <w:pPr>
              <w:pStyle w:val="TableParagraph"/>
              <w:spacing w:line="134" w:lineRule="exact" w:before="18"/>
              <w:ind w:right="63"/>
              <w:jc w:val="right"/>
              <w:rPr>
                <w:sz w:val="13"/>
              </w:rPr>
            </w:pPr>
            <w:r>
              <w:rPr>
                <w:spacing w:val="-10"/>
                <w:w w:val="105"/>
                <w:sz w:val="13"/>
              </w:rPr>
              <w:t>-</w:t>
            </w:r>
          </w:p>
        </w:tc>
        <w:tc>
          <w:tcPr>
            <w:tcW w:w="986" w:type="dxa"/>
          </w:tcPr>
          <w:p>
            <w:pPr>
              <w:pStyle w:val="TableParagraph"/>
              <w:spacing w:line="147" w:lineRule="exact" w:before="5"/>
              <w:ind w:right="179"/>
              <w:jc w:val="right"/>
              <w:rPr>
                <w:sz w:val="13"/>
              </w:rPr>
            </w:pPr>
            <w:r>
              <w:rPr>
                <w:spacing w:val="-2"/>
                <w:w w:val="105"/>
                <w:sz w:val="13"/>
              </w:rPr>
              <w:t>54,079</w:t>
            </w:r>
          </w:p>
        </w:tc>
        <w:tc>
          <w:tcPr>
            <w:tcW w:w="772" w:type="dxa"/>
            <w:tcBorders>
              <w:right w:val="single" w:sz="6" w:space="0" w:color="000000"/>
            </w:tcBorders>
          </w:tcPr>
          <w:p>
            <w:pPr>
              <w:pStyle w:val="TableParagraph"/>
              <w:spacing w:line="134" w:lineRule="exact" w:before="18"/>
              <w:ind w:right="57"/>
              <w:jc w:val="right"/>
              <w:rPr>
                <w:sz w:val="13"/>
              </w:rPr>
            </w:pPr>
            <w:r>
              <w:rPr>
                <w:spacing w:val="-10"/>
                <w:w w:val="105"/>
                <w:sz w:val="13"/>
              </w:rPr>
              <w:t>-</w:t>
            </w:r>
          </w:p>
        </w:tc>
        <w:tc>
          <w:tcPr>
            <w:tcW w:w="1097" w:type="dxa"/>
            <w:tcBorders>
              <w:left w:val="single" w:sz="6" w:space="0" w:color="000000"/>
            </w:tcBorders>
          </w:tcPr>
          <w:p>
            <w:pPr>
              <w:pStyle w:val="TableParagraph"/>
              <w:spacing w:line="147" w:lineRule="exact" w:before="5"/>
              <w:ind w:left="453"/>
              <w:rPr>
                <w:sz w:val="13"/>
              </w:rPr>
            </w:pPr>
            <w:r>
              <w:rPr>
                <w:spacing w:val="-2"/>
                <w:w w:val="105"/>
                <w:sz w:val="13"/>
              </w:rPr>
              <w:t>54,079</w:t>
            </w:r>
          </w:p>
        </w:tc>
        <w:tc>
          <w:tcPr>
            <w:tcW w:w="981" w:type="dxa"/>
          </w:tcPr>
          <w:p>
            <w:pPr>
              <w:pStyle w:val="TableParagraph"/>
              <w:spacing w:line="134" w:lineRule="exact" w:before="18"/>
              <w:ind w:right="201"/>
              <w:jc w:val="right"/>
              <w:rPr>
                <w:sz w:val="13"/>
              </w:rPr>
            </w:pPr>
            <w:r>
              <w:rPr>
                <w:spacing w:val="-10"/>
                <w:w w:val="105"/>
                <w:sz w:val="13"/>
              </w:rPr>
              <w:t>-</w:t>
            </w:r>
          </w:p>
        </w:tc>
        <w:tc>
          <w:tcPr>
            <w:tcW w:w="939" w:type="dxa"/>
          </w:tcPr>
          <w:p>
            <w:pPr>
              <w:pStyle w:val="TableParagraph"/>
              <w:spacing w:line="134" w:lineRule="exact" w:before="18"/>
              <w:ind w:right="191"/>
              <w:jc w:val="right"/>
              <w:rPr>
                <w:sz w:val="13"/>
              </w:rPr>
            </w:pPr>
            <w:r>
              <w:rPr>
                <w:spacing w:val="-10"/>
                <w:w w:val="105"/>
                <w:sz w:val="13"/>
              </w:rPr>
              <w:t>-</w:t>
            </w:r>
          </w:p>
        </w:tc>
        <w:tc>
          <w:tcPr>
            <w:tcW w:w="828" w:type="dxa"/>
          </w:tcPr>
          <w:p>
            <w:pPr>
              <w:pStyle w:val="TableParagraph"/>
              <w:spacing w:line="147" w:lineRule="exact" w:before="5"/>
              <w:ind w:right="78"/>
              <w:jc w:val="right"/>
              <w:rPr>
                <w:sz w:val="13"/>
              </w:rPr>
            </w:pPr>
            <w:r>
              <w:rPr>
                <w:spacing w:val="-2"/>
                <w:w w:val="105"/>
                <w:sz w:val="13"/>
              </w:rPr>
              <w:t>54,079</w:t>
            </w:r>
          </w:p>
        </w:tc>
      </w:tr>
      <w:tr>
        <w:trPr>
          <w:trHeight w:val="168" w:hRule="atLeast"/>
        </w:trPr>
        <w:tc>
          <w:tcPr>
            <w:tcW w:w="1994" w:type="dxa"/>
          </w:tcPr>
          <w:p>
            <w:pPr>
              <w:pStyle w:val="TableParagraph"/>
              <w:spacing w:line="143" w:lineRule="exact" w:before="5"/>
              <w:ind w:left="48"/>
              <w:rPr>
                <w:sz w:val="13"/>
              </w:rPr>
            </w:pPr>
            <w:r>
              <w:rPr>
                <w:w w:val="105"/>
                <w:sz w:val="13"/>
              </w:rPr>
              <w:t>Other</w:t>
            </w:r>
            <w:r>
              <w:rPr>
                <w:spacing w:val="-7"/>
                <w:w w:val="105"/>
                <w:sz w:val="13"/>
              </w:rPr>
              <w:t> </w:t>
            </w:r>
            <w:r>
              <w:rPr>
                <w:w w:val="105"/>
                <w:sz w:val="13"/>
              </w:rPr>
              <w:t>financial</w:t>
            </w:r>
            <w:r>
              <w:rPr>
                <w:spacing w:val="-7"/>
                <w:w w:val="105"/>
                <w:sz w:val="13"/>
              </w:rPr>
              <w:t> </w:t>
            </w:r>
            <w:r>
              <w:rPr>
                <w:spacing w:val="-2"/>
                <w:w w:val="105"/>
                <w:sz w:val="13"/>
              </w:rPr>
              <w:t>assets</w:t>
            </w:r>
          </w:p>
        </w:tc>
        <w:tc>
          <w:tcPr>
            <w:tcW w:w="879" w:type="dxa"/>
          </w:tcPr>
          <w:p>
            <w:pPr>
              <w:pStyle w:val="TableParagraph"/>
              <w:spacing w:line="132" w:lineRule="exact" w:before="18"/>
              <w:ind w:right="63"/>
              <w:jc w:val="right"/>
              <w:rPr>
                <w:sz w:val="13"/>
              </w:rPr>
            </w:pPr>
            <w:r>
              <w:rPr>
                <w:spacing w:val="-10"/>
                <w:w w:val="105"/>
                <w:sz w:val="13"/>
              </w:rPr>
              <w:t>-</w:t>
            </w:r>
          </w:p>
        </w:tc>
        <w:tc>
          <w:tcPr>
            <w:tcW w:w="986" w:type="dxa"/>
            <w:tcBorders>
              <w:bottom w:val="single" w:sz="6" w:space="0" w:color="000000"/>
            </w:tcBorders>
          </w:tcPr>
          <w:p>
            <w:pPr>
              <w:pStyle w:val="TableParagraph"/>
              <w:spacing w:line="145" w:lineRule="exact" w:before="5"/>
              <w:ind w:right="179"/>
              <w:jc w:val="right"/>
              <w:rPr>
                <w:sz w:val="13"/>
              </w:rPr>
            </w:pPr>
            <w:r>
              <w:rPr>
                <w:spacing w:val="-2"/>
                <w:w w:val="105"/>
                <w:sz w:val="13"/>
              </w:rPr>
              <w:t>850,044</w:t>
            </w:r>
          </w:p>
        </w:tc>
        <w:tc>
          <w:tcPr>
            <w:tcW w:w="772" w:type="dxa"/>
            <w:tcBorders>
              <w:bottom w:val="single" w:sz="6" w:space="0" w:color="000000"/>
              <w:right w:val="single" w:sz="6" w:space="0" w:color="000000"/>
            </w:tcBorders>
          </w:tcPr>
          <w:p>
            <w:pPr>
              <w:pStyle w:val="TableParagraph"/>
              <w:spacing w:line="132" w:lineRule="exact" w:before="18"/>
              <w:ind w:right="56"/>
              <w:jc w:val="right"/>
              <w:rPr>
                <w:sz w:val="13"/>
              </w:rPr>
            </w:pPr>
            <w:r>
              <w:rPr>
                <w:spacing w:val="-10"/>
                <w:w w:val="105"/>
                <w:sz w:val="13"/>
              </w:rPr>
              <w:t>-</w:t>
            </w:r>
          </w:p>
        </w:tc>
        <w:tc>
          <w:tcPr>
            <w:tcW w:w="1097" w:type="dxa"/>
            <w:tcBorders>
              <w:left w:val="single" w:sz="6" w:space="0" w:color="000000"/>
              <w:bottom w:val="single" w:sz="6" w:space="0" w:color="000000"/>
            </w:tcBorders>
          </w:tcPr>
          <w:p>
            <w:pPr>
              <w:pStyle w:val="TableParagraph"/>
              <w:spacing w:line="145" w:lineRule="exact" w:before="5"/>
              <w:ind w:right="174"/>
              <w:jc w:val="right"/>
              <w:rPr>
                <w:sz w:val="13"/>
              </w:rPr>
            </w:pPr>
            <w:r>
              <w:rPr>
                <w:spacing w:val="-10"/>
                <w:w w:val="105"/>
                <w:sz w:val="13"/>
              </w:rPr>
              <w:t>-</w:t>
            </w:r>
          </w:p>
        </w:tc>
        <w:tc>
          <w:tcPr>
            <w:tcW w:w="981" w:type="dxa"/>
            <w:tcBorders>
              <w:bottom w:val="single" w:sz="6" w:space="0" w:color="000000"/>
            </w:tcBorders>
          </w:tcPr>
          <w:p>
            <w:pPr>
              <w:pStyle w:val="TableParagraph"/>
              <w:spacing w:line="132" w:lineRule="exact" w:before="18"/>
              <w:ind w:right="201"/>
              <w:jc w:val="right"/>
              <w:rPr>
                <w:sz w:val="13"/>
              </w:rPr>
            </w:pPr>
            <w:r>
              <w:rPr>
                <w:spacing w:val="-10"/>
                <w:w w:val="105"/>
                <w:sz w:val="13"/>
              </w:rPr>
              <w:t>-</w:t>
            </w:r>
          </w:p>
        </w:tc>
        <w:tc>
          <w:tcPr>
            <w:tcW w:w="939" w:type="dxa"/>
            <w:tcBorders>
              <w:bottom w:val="single" w:sz="6" w:space="0" w:color="000000"/>
            </w:tcBorders>
          </w:tcPr>
          <w:p>
            <w:pPr>
              <w:pStyle w:val="TableParagraph"/>
              <w:spacing w:line="145" w:lineRule="exact" w:before="5"/>
              <w:ind w:right="199"/>
              <w:jc w:val="right"/>
              <w:rPr>
                <w:sz w:val="13"/>
              </w:rPr>
            </w:pPr>
            <w:r>
              <w:rPr>
                <w:spacing w:val="-2"/>
                <w:w w:val="105"/>
                <w:sz w:val="13"/>
              </w:rPr>
              <w:t>850,044</w:t>
            </w:r>
          </w:p>
        </w:tc>
        <w:tc>
          <w:tcPr>
            <w:tcW w:w="828" w:type="dxa"/>
            <w:tcBorders>
              <w:bottom w:val="single" w:sz="6" w:space="0" w:color="000000"/>
            </w:tcBorders>
          </w:tcPr>
          <w:p>
            <w:pPr>
              <w:pStyle w:val="TableParagraph"/>
              <w:spacing w:line="145" w:lineRule="exact" w:before="5"/>
              <w:ind w:right="77"/>
              <w:jc w:val="right"/>
              <w:rPr>
                <w:sz w:val="13"/>
              </w:rPr>
            </w:pPr>
            <w:r>
              <w:rPr>
                <w:spacing w:val="-2"/>
                <w:w w:val="105"/>
                <w:sz w:val="13"/>
              </w:rPr>
              <w:t>850,044</w:t>
            </w:r>
          </w:p>
        </w:tc>
      </w:tr>
      <w:tr>
        <w:trPr>
          <w:trHeight w:val="160" w:hRule="atLeast"/>
        </w:trPr>
        <w:tc>
          <w:tcPr>
            <w:tcW w:w="1994" w:type="dxa"/>
          </w:tcPr>
          <w:p>
            <w:pPr>
              <w:pStyle w:val="TableParagraph"/>
              <w:spacing w:line="140" w:lineRule="exact"/>
              <w:ind w:left="48"/>
              <w:rPr>
                <w:b/>
                <w:sz w:val="13"/>
              </w:rPr>
            </w:pPr>
            <w:r>
              <w:rPr>
                <w:b/>
                <w:spacing w:val="-2"/>
                <w:w w:val="105"/>
                <w:sz w:val="13"/>
              </w:rPr>
              <w:t>Total</w:t>
            </w:r>
          </w:p>
        </w:tc>
        <w:tc>
          <w:tcPr>
            <w:tcW w:w="879" w:type="dxa"/>
          </w:tcPr>
          <w:p>
            <w:pPr>
              <w:pStyle w:val="TableParagraph"/>
              <w:rPr>
                <w:rFonts w:ascii="Times New Roman"/>
                <w:sz w:val="10"/>
              </w:rPr>
            </w:pPr>
          </w:p>
        </w:tc>
        <w:tc>
          <w:tcPr>
            <w:tcW w:w="986" w:type="dxa"/>
            <w:tcBorders>
              <w:top w:val="single" w:sz="6" w:space="0" w:color="000000"/>
              <w:bottom w:val="single" w:sz="6" w:space="0" w:color="000000"/>
            </w:tcBorders>
          </w:tcPr>
          <w:p>
            <w:pPr>
              <w:pStyle w:val="TableParagraph"/>
              <w:spacing w:line="138" w:lineRule="exact"/>
              <w:ind w:right="179"/>
              <w:jc w:val="right"/>
              <w:rPr>
                <w:b/>
                <w:sz w:val="13"/>
              </w:rPr>
            </w:pPr>
            <w:r>
              <w:rPr>
                <w:b/>
                <w:spacing w:val="-2"/>
                <w:w w:val="105"/>
                <w:sz w:val="13"/>
              </w:rPr>
              <w:t>904,198</w:t>
            </w:r>
          </w:p>
        </w:tc>
        <w:tc>
          <w:tcPr>
            <w:tcW w:w="772" w:type="dxa"/>
            <w:tcBorders>
              <w:top w:val="single" w:sz="6" w:space="0" w:color="000000"/>
              <w:bottom w:val="single" w:sz="6" w:space="0" w:color="000000"/>
              <w:right w:val="single" w:sz="6" w:space="0" w:color="000000"/>
            </w:tcBorders>
          </w:tcPr>
          <w:p>
            <w:pPr>
              <w:pStyle w:val="TableParagraph"/>
              <w:spacing w:line="138" w:lineRule="exact"/>
              <w:ind w:right="65"/>
              <w:jc w:val="right"/>
              <w:rPr>
                <w:b/>
                <w:sz w:val="13"/>
              </w:rPr>
            </w:pPr>
            <w:r>
              <w:rPr>
                <w:b/>
                <w:spacing w:val="-2"/>
                <w:w w:val="105"/>
                <w:sz w:val="13"/>
              </w:rPr>
              <w:t>85,731</w:t>
            </w:r>
          </w:p>
        </w:tc>
        <w:tc>
          <w:tcPr>
            <w:tcW w:w="1097" w:type="dxa"/>
            <w:tcBorders>
              <w:top w:val="single" w:sz="6" w:space="0" w:color="000000"/>
              <w:left w:val="single" w:sz="6" w:space="0" w:color="000000"/>
              <w:bottom w:val="single" w:sz="6" w:space="0" w:color="000000"/>
            </w:tcBorders>
          </w:tcPr>
          <w:p>
            <w:pPr>
              <w:pStyle w:val="TableParagraph"/>
              <w:spacing w:line="138" w:lineRule="exact"/>
              <w:ind w:left="378"/>
              <w:rPr>
                <w:b/>
                <w:sz w:val="13"/>
              </w:rPr>
            </w:pPr>
            <w:r>
              <w:rPr>
                <w:b/>
                <w:spacing w:val="-2"/>
                <w:w w:val="105"/>
                <w:sz w:val="13"/>
              </w:rPr>
              <w:t>139,885</w:t>
            </w:r>
          </w:p>
        </w:tc>
        <w:tc>
          <w:tcPr>
            <w:tcW w:w="981" w:type="dxa"/>
            <w:tcBorders>
              <w:top w:val="single" w:sz="6" w:space="0" w:color="000000"/>
              <w:bottom w:val="single" w:sz="6" w:space="0" w:color="000000"/>
            </w:tcBorders>
          </w:tcPr>
          <w:p>
            <w:pPr>
              <w:pStyle w:val="TableParagraph"/>
              <w:spacing w:line="138" w:lineRule="exact"/>
              <w:ind w:right="164"/>
              <w:jc w:val="right"/>
              <w:rPr>
                <w:b/>
                <w:sz w:val="13"/>
              </w:rPr>
            </w:pPr>
            <w:r>
              <w:rPr>
                <w:b/>
                <w:spacing w:val="-10"/>
                <w:w w:val="105"/>
                <w:sz w:val="13"/>
              </w:rPr>
              <w:t>-</w:t>
            </w:r>
          </w:p>
        </w:tc>
        <w:tc>
          <w:tcPr>
            <w:tcW w:w="939" w:type="dxa"/>
            <w:tcBorders>
              <w:top w:val="single" w:sz="6" w:space="0" w:color="000000"/>
              <w:bottom w:val="single" w:sz="6" w:space="0" w:color="000000"/>
            </w:tcBorders>
          </w:tcPr>
          <w:p>
            <w:pPr>
              <w:pStyle w:val="TableParagraph"/>
              <w:spacing w:line="138" w:lineRule="exact"/>
              <w:ind w:right="199"/>
              <w:jc w:val="right"/>
              <w:rPr>
                <w:b/>
                <w:sz w:val="13"/>
              </w:rPr>
            </w:pPr>
            <w:r>
              <w:rPr>
                <w:b/>
                <w:spacing w:val="-2"/>
                <w:w w:val="105"/>
                <w:sz w:val="13"/>
              </w:rPr>
              <w:t>850,044</w:t>
            </w:r>
          </w:p>
        </w:tc>
        <w:tc>
          <w:tcPr>
            <w:tcW w:w="828" w:type="dxa"/>
            <w:tcBorders>
              <w:top w:val="single" w:sz="6" w:space="0" w:color="000000"/>
              <w:bottom w:val="single" w:sz="6" w:space="0" w:color="000000"/>
            </w:tcBorders>
          </w:tcPr>
          <w:p>
            <w:pPr>
              <w:pStyle w:val="TableParagraph"/>
              <w:spacing w:line="138" w:lineRule="exact"/>
              <w:ind w:right="78"/>
              <w:jc w:val="right"/>
              <w:rPr>
                <w:b/>
                <w:sz w:val="13"/>
              </w:rPr>
            </w:pPr>
            <w:r>
              <w:rPr>
                <w:b/>
                <w:spacing w:val="-2"/>
                <w:w w:val="105"/>
                <w:sz w:val="13"/>
              </w:rPr>
              <w:t>989,929</w:t>
            </w:r>
          </w:p>
        </w:tc>
      </w:tr>
      <w:tr>
        <w:trPr>
          <w:trHeight w:val="504" w:hRule="atLeast"/>
        </w:trPr>
        <w:tc>
          <w:tcPr>
            <w:tcW w:w="1994" w:type="dxa"/>
          </w:tcPr>
          <w:p>
            <w:pPr>
              <w:pStyle w:val="TableParagraph"/>
              <w:spacing w:before="15"/>
              <w:rPr>
                <w:b/>
                <w:sz w:val="13"/>
              </w:rPr>
            </w:pPr>
          </w:p>
          <w:p>
            <w:pPr>
              <w:pStyle w:val="TableParagraph"/>
              <w:ind w:left="48"/>
              <w:rPr>
                <w:b/>
                <w:sz w:val="13"/>
              </w:rPr>
            </w:pPr>
            <w:r>
              <w:rPr>
                <w:b/>
                <w:spacing w:val="-2"/>
                <w:w w:val="105"/>
                <w:sz w:val="13"/>
              </w:rPr>
              <w:t>Financial</w:t>
            </w:r>
            <w:r>
              <w:rPr>
                <w:b/>
                <w:spacing w:val="8"/>
                <w:w w:val="105"/>
                <w:sz w:val="13"/>
              </w:rPr>
              <w:t> </w:t>
            </w:r>
            <w:r>
              <w:rPr>
                <w:b/>
                <w:spacing w:val="-2"/>
                <w:w w:val="105"/>
                <w:sz w:val="13"/>
              </w:rPr>
              <w:t>liabilities</w:t>
            </w:r>
          </w:p>
          <w:p>
            <w:pPr>
              <w:pStyle w:val="TableParagraph"/>
              <w:spacing w:line="147" w:lineRule="exact" w:before="23"/>
              <w:ind w:left="48"/>
              <w:rPr>
                <w:sz w:val="13"/>
              </w:rPr>
            </w:pPr>
            <w:r>
              <w:rPr>
                <w:w w:val="105"/>
                <w:sz w:val="13"/>
              </w:rPr>
              <w:t>Trade</w:t>
            </w:r>
            <w:r>
              <w:rPr>
                <w:spacing w:val="-7"/>
                <w:w w:val="105"/>
                <w:sz w:val="13"/>
              </w:rPr>
              <w:t> </w:t>
            </w:r>
            <w:r>
              <w:rPr>
                <w:w w:val="105"/>
                <w:sz w:val="13"/>
              </w:rPr>
              <w:t>and</w:t>
            </w:r>
            <w:r>
              <w:rPr>
                <w:spacing w:val="-7"/>
                <w:w w:val="105"/>
                <w:sz w:val="13"/>
              </w:rPr>
              <w:t> </w:t>
            </w:r>
            <w:r>
              <w:rPr>
                <w:w w:val="105"/>
                <w:sz w:val="13"/>
              </w:rPr>
              <w:t>other</w:t>
            </w:r>
            <w:r>
              <w:rPr>
                <w:spacing w:val="-5"/>
                <w:w w:val="105"/>
                <w:sz w:val="13"/>
              </w:rPr>
              <w:t> </w:t>
            </w:r>
            <w:r>
              <w:rPr>
                <w:spacing w:val="-2"/>
                <w:w w:val="105"/>
                <w:sz w:val="13"/>
              </w:rPr>
              <w:t>payables</w:t>
            </w:r>
          </w:p>
        </w:tc>
        <w:tc>
          <w:tcPr>
            <w:tcW w:w="879" w:type="dxa"/>
          </w:tcPr>
          <w:p>
            <w:pPr>
              <w:pStyle w:val="TableParagraph"/>
              <w:rPr>
                <w:b/>
                <w:sz w:val="13"/>
              </w:rPr>
            </w:pPr>
          </w:p>
          <w:p>
            <w:pPr>
              <w:pStyle w:val="TableParagraph"/>
              <w:spacing w:before="51"/>
              <w:rPr>
                <w:b/>
                <w:sz w:val="13"/>
              </w:rPr>
            </w:pPr>
          </w:p>
          <w:p>
            <w:pPr>
              <w:pStyle w:val="TableParagraph"/>
              <w:spacing w:line="134" w:lineRule="exact" w:before="1"/>
              <w:ind w:right="63"/>
              <w:jc w:val="right"/>
              <w:rPr>
                <w:sz w:val="13"/>
              </w:rPr>
            </w:pPr>
            <w:r>
              <w:rPr>
                <w:spacing w:val="-10"/>
                <w:w w:val="105"/>
                <w:sz w:val="13"/>
              </w:rPr>
              <w:t>-</w:t>
            </w:r>
          </w:p>
        </w:tc>
        <w:tc>
          <w:tcPr>
            <w:tcW w:w="986" w:type="dxa"/>
            <w:tcBorders>
              <w:top w:val="single" w:sz="6" w:space="0" w:color="000000"/>
            </w:tcBorders>
          </w:tcPr>
          <w:p>
            <w:pPr>
              <w:pStyle w:val="TableParagraph"/>
              <w:rPr>
                <w:b/>
                <w:sz w:val="13"/>
              </w:rPr>
            </w:pPr>
          </w:p>
          <w:p>
            <w:pPr>
              <w:pStyle w:val="TableParagraph"/>
              <w:spacing w:before="38"/>
              <w:rPr>
                <w:b/>
                <w:sz w:val="13"/>
              </w:rPr>
            </w:pPr>
          </w:p>
          <w:p>
            <w:pPr>
              <w:pStyle w:val="TableParagraph"/>
              <w:spacing w:line="147" w:lineRule="exact"/>
              <w:ind w:right="179"/>
              <w:jc w:val="right"/>
              <w:rPr>
                <w:sz w:val="13"/>
              </w:rPr>
            </w:pPr>
            <w:r>
              <w:rPr>
                <w:spacing w:val="-2"/>
                <w:w w:val="105"/>
                <w:sz w:val="13"/>
              </w:rPr>
              <w:t>69,557</w:t>
            </w:r>
          </w:p>
        </w:tc>
        <w:tc>
          <w:tcPr>
            <w:tcW w:w="772" w:type="dxa"/>
            <w:tcBorders>
              <w:top w:val="single" w:sz="6" w:space="0" w:color="000000"/>
              <w:right w:val="single" w:sz="6" w:space="0" w:color="000000"/>
            </w:tcBorders>
          </w:tcPr>
          <w:p>
            <w:pPr>
              <w:pStyle w:val="TableParagraph"/>
              <w:rPr>
                <w:b/>
                <w:sz w:val="13"/>
              </w:rPr>
            </w:pPr>
          </w:p>
          <w:p>
            <w:pPr>
              <w:pStyle w:val="TableParagraph"/>
              <w:spacing w:before="51"/>
              <w:rPr>
                <w:b/>
                <w:sz w:val="13"/>
              </w:rPr>
            </w:pPr>
          </w:p>
          <w:p>
            <w:pPr>
              <w:pStyle w:val="TableParagraph"/>
              <w:spacing w:line="134" w:lineRule="exact" w:before="1"/>
              <w:ind w:right="57"/>
              <w:jc w:val="right"/>
              <w:rPr>
                <w:sz w:val="13"/>
              </w:rPr>
            </w:pPr>
            <w:r>
              <w:rPr>
                <w:spacing w:val="-10"/>
                <w:w w:val="105"/>
                <w:sz w:val="13"/>
              </w:rPr>
              <w:t>-</w:t>
            </w:r>
          </w:p>
        </w:tc>
        <w:tc>
          <w:tcPr>
            <w:tcW w:w="1097" w:type="dxa"/>
            <w:tcBorders>
              <w:top w:val="single" w:sz="6" w:space="0" w:color="000000"/>
              <w:left w:val="single" w:sz="6" w:space="0" w:color="000000"/>
            </w:tcBorders>
          </w:tcPr>
          <w:p>
            <w:pPr>
              <w:pStyle w:val="TableParagraph"/>
              <w:rPr>
                <w:b/>
                <w:sz w:val="13"/>
              </w:rPr>
            </w:pPr>
          </w:p>
          <w:p>
            <w:pPr>
              <w:pStyle w:val="TableParagraph"/>
              <w:spacing w:before="38"/>
              <w:rPr>
                <w:b/>
                <w:sz w:val="13"/>
              </w:rPr>
            </w:pPr>
          </w:p>
          <w:p>
            <w:pPr>
              <w:pStyle w:val="TableParagraph"/>
              <w:spacing w:line="147" w:lineRule="exact"/>
              <w:ind w:left="453"/>
              <w:rPr>
                <w:sz w:val="13"/>
              </w:rPr>
            </w:pPr>
            <w:r>
              <w:rPr>
                <w:spacing w:val="-2"/>
                <w:w w:val="105"/>
                <w:sz w:val="13"/>
              </w:rPr>
              <w:t>69,557</w:t>
            </w:r>
          </w:p>
        </w:tc>
        <w:tc>
          <w:tcPr>
            <w:tcW w:w="981" w:type="dxa"/>
            <w:tcBorders>
              <w:top w:val="single" w:sz="6" w:space="0" w:color="000000"/>
            </w:tcBorders>
          </w:tcPr>
          <w:p>
            <w:pPr>
              <w:pStyle w:val="TableParagraph"/>
              <w:rPr>
                <w:b/>
                <w:sz w:val="13"/>
              </w:rPr>
            </w:pPr>
          </w:p>
          <w:p>
            <w:pPr>
              <w:pStyle w:val="TableParagraph"/>
              <w:spacing w:before="51"/>
              <w:rPr>
                <w:b/>
                <w:sz w:val="13"/>
              </w:rPr>
            </w:pPr>
          </w:p>
          <w:p>
            <w:pPr>
              <w:pStyle w:val="TableParagraph"/>
              <w:spacing w:line="134" w:lineRule="exact" w:before="1"/>
              <w:ind w:right="201"/>
              <w:jc w:val="right"/>
              <w:rPr>
                <w:sz w:val="13"/>
              </w:rPr>
            </w:pPr>
            <w:r>
              <w:rPr>
                <w:spacing w:val="-10"/>
                <w:w w:val="105"/>
                <w:sz w:val="13"/>
              </w:rPr>
              <w:t>-</w:t>
            </w:r>
          </w:p>
        </w:tc>
        <w:tc>
          <w:tcPr>
            <w:tcW w:w="939" w:type="dxa"/>
            <w:tcBorders>
              <w:top w:val="single" w:sz="6" w:space="0" w:color="000000"/>
            </w:tcBorders>
          </w:tcPr>
          <w:p>
            <w:pPr>
              <w:pStyle w:val="TableParagraph"/>
              <w:rPr>
                <w:b/>
                <w:sz w:val="13"/>
              </w:rPr>
            </w:pPr>
          </w:p>
          <w:p>
            <w:pPr>
              <w:pStyle w:val="TableParagraph"/>
              <w:spacing w:before="51"/>
              <w:rPr>
                <w:b/>
                <w:sz w:val="13"/>
              </w:rPr>
            </w:pPr>
          </w:p>
          <w:p>
            <w:pPr>
              <w:pStyle w:val="TableParagraph"/>
              <w:spacing w:line="134" w:lineRule="exact" w:before="1"/>
              <w:ind w:right="191"/>
              <w:jc w:val="right"/>
              <w:rPr>
                <w:sz w:val="13"/>
              </w:rPr>
            </w:pPr>
            <w:r>
              <w:rPr>
                <w:spacing w:val="-10"/>
                <w:w w:val="105"/>
                <w:sz w:val="13"/>
              </w:rPr>
              <w:t>-</w:t>
            </w:r>
          </w:p>
        </w:tc>
        <w:tc>
          <w:tcPr>
            <w:tcW w:w="828" w:type="dxa"/>
            <w:tcBorders>
              <w:top w:val="single" w:sz="6" w:space="0" w:color="000000"/>
            </w:tcBorders>
          </w:tcPr>
          <w:p>
            <w:pPr>
              <w:pStyle w:val="TableParagraph"/>
              <w:rPr>
                <w:b/>
                <w:sz w:val="13"/>
              </w:rPr>
            </w:pPr>
          </w:p>
          <w:p>
            <w:pPr>
              <w:pStyle w:val="TableParagraph"/>
              <w:spacing w:before="38"/>
              <w:rPr>
                <w:b/>
                <w:sz w:val="13"/>
              </w:rPr>
            </w:pPr>
          </w:p>
          <w:p>
            <w:pPr>
              <w:pStyle w:val="TableParagraph"/>
              <w:spacing w:line="147" w:lineRule="exact"/>
              <w:ind w:right="78"/>
              <w:jc w:val="right"/>
              <w:rPr>
                <w:sz w:val="13"/>
              </w:rPr>
            </w:pPr>
            <w:r>
              <w:rPr>
                <w:spacing w:val="-2"/>
                <w:w w:val="105"/>
                <w:sz w:val="13"/>
              </w:rPr>
              <w:t>69,557</w:t>
            </w:r>
          </w:p>
        </w:tc>
      </w:tr>
      <w:tr>
        <w:trPr>
          <w:trHeight w:val="172" w:hRule="atLeast"/>
        </w:trPr>
        <w:tc>
          <w:tcPr>
            <w:tcW w:w="1994" w:type="dxa"/>
          </w:tcPr>
          <w:p>
            <w:pPr>
              <w:pStyle w:val="TableParagraph"/>
              <w:spacing w:line="147" w:lineRule="exact" w:before="5"/>
              <w:ind w:left="48"/>
              <w:rPr>
                <w:sz w:val="13"/>
              </w:rPr>
            </w:pPr>
            <w:r>
              <w:rPr>
                <w:spacing w:val="-2"/>
                <w:w w:val="105"/>
                <w:sz w:val="13"/>
              </w:rPr>
              <w:t>Borrowings</w:t>
            </w:r>
          </w:p>
        </w:tc>
        <w:tc>
          <w:tcPr>
            <w:tcW w:w="879" w:type="dxa"/>
          </w:tcPr>
          <w:p>
            <w:pPr>
              <w:pStyle w:val="TableParagraph"/>
              <w:spacing w:line="147" w:lineRule="exact" w:before="5"/>
              <w:ind w:right="26"/>
              <w:jc w:val="right"/>
              <w:rPr>
                <w:sz w:val="13"/>
              </w:rPr>
            </w:pPr>
            <w:r>
              <w:rPr>
                <w:spacing w:val="-2"/>
                <w:w w:val="105"/>
                <w:sz w:val="13"/>
              </w:rPr>
              <w:t>4.10%</w:t>
            </w:r>
          </w:p>
        </w:tc>
        <w:tc>
          <w:tcPr>
            <w:tcW w:w="986" w:type="dxa"/>
          </w:tcPr>
          <w:p>
            <w:pPr>
              <w:pStyle w:val="TableParagraph"/>
              <w:spacing w:line="134" w:lineRule="exact" w:before="18"/>
              <w:ind w:right="171"/>
              <w:jc w:val="right"/>
              <w:rPr>
                <w:sz w:val="13"/>
              </w:rPr>
            </w:pPr>
            <w:r>
              <w:rPr>
                <w:spacing w:val="-10"/>
                <w:w w:val="105"/>
                <w:sz w:val="13"/>
              </w:rPr>
              <w:t>-</w:t>
            </w:r>
          </w:p>
        </w:tc>
        <w:tc>
          <w:tcPr>
            <w:tcW w:w="772" w:type="dxa"/>
            <w:tcBorders>
              <w:right w:val="single" w:sz="6" w:space="0" w:color="000000"/>
            </w:tcBorders>
          </w:tcPr>
          <w:p>
            <w:pPr>
              <w:pStyle w:val="TableParagraph"/>
              <w:spacing w:line="147" w:lineRule="exact" w:before="5"/>
              <w:ind w:right="65"/>
              <w:jc w:val="right"/>
              <w:rPr>
                <w:sz w:val="13"/>
              </w:rPr>
            </w:pPr>
            <w:r>
              <w:rPr>
                <w:spacing w:val="-2"/>
                <w:w w:val="105"/>
                <w:sz w:val="13"/>
              </w:rPr>
              <w:t>134,796</w:t>
            </w:r>
          </w:p>
        </w:tc>
        <w:tc>
          <w:tcPr>
            <w:tcW w:w="1097" w:type="dxa"/>
            <w:tcBorders>
              <w:left w:val="single" w:sz="6" w:space="0" w:color="000000"/>
            </w:tcBorders>
          </w:tcPr>
          <w:p>
            <w:pPr>
              <w:pStyle w:val="TableParagraph"/>
              <w:spacing w:line="147" w:lineRule="exact" w:before="5"/>
              <w:ind w:left="453"/>
              <w:rPr>
                <w:sz w:val="13"/>
              </w:rPr>
            </w:pPr>
            <w:r>
              <w:rPr>
                <w:spacing w:val="-2"/>
                <w:w w:val="105"/>
                <w:sz w:val="13"/>
              </w:rPr>
              <w:t>18,850</w:t>
            </w:r>
          </w:p>
        </w:tc>
        <w:tc>
          <w:tcPr>
            <w:tcW w:w="981" w:type="dxa"/>
          </w:tcPr>
          <w:p>
            <w:pPr>
              <w:pStyle w:val="TableParagraph"/>
              <w:spacing w:line="147" w:lineRule="exact" w:before="5"/>
              <w:ind w:right="209"/>
              <w:jc w:val="right"/>
              <w:rPr>
                <w:sz w:val="13"/>
              </w:rPr>
            </w:pPr>
            <w:r>
              <w:rPr>
                <w:spacing w:val="-2"/>
                <w:w w:val="105"/>
                <w:sz w:val="13"/>
              </w:rPr>
              <w:t>66,883</w:t>
            </w:r>
          </w:p>
        </w:tc>
        <w:tc>
          <w:tcPr>
            <w:tcW w:w="939" w:type="dxa"/>
          </w:tcPr>
          <w:p>
            <w:pPr>
              <w:pStyle w:val="TableParagraph"/>
              <w:spacing w:line="147" w:lineRule="exact" w:before="5"/>
              <w:ind w:right="199"/>
              <w:jc w:val="right"/>
              <w:rPr>
                <w:sz w:val="13"/>
              </w:rPr>
            </w:pPr>
            <w:r>
              <w:rPr>
                <w:spacing w:val="-2"/>
                <w:w w:val="105"/>
                <w:sz w:val="13"/>
              </w:rPr>
              <w:t>49,063</w:t>
            </w:r>
          </w:p>
        </w:tc>
        <w:tc>
          <w:tcPr>
            <w:tcW w:w="828" w:type="dxa"/>
          </w:tcPr>
          <w:p>
            <w:pPr>
              <w:pStyle w:val="TableParagraph"/>
              <w:spacing w:line="147" w:lineRule="exact" w:before="5"/>
              <w:ind w:right="77"/>
              <w:jc w:val="right"/>
              <w:rPr>
                <w:sz w:val="13"/>
              </w:rPr>
            </w:pPr>
            <w:r>
              <w:rPr>
                <w:spacing w:val="-2"/>
                <w:w w:val="105"/>
                <w:sz w:val="13"/>
              </w:rPr>
              <w:t>134,796</w:t>
            </w:r>
          </w:p>
        </w:tc>
      </w:tr>
      <w:tr>
        <w:trPr>
          <w:trHeight w:val="168" w:hRule="atLeast"/>
        </w:trPr>
        <w:tc>
          <w:tcPr>
            <w:tcW w:w="1994" w:type="dxa"/>
          </w:tcPr>
          <w:p>
            <w:pPr>
              <w:pStyle w:val="TableParagraph"/>
              <w:spacing w:line="143" w:lineRule="exact" w:before="5"/>
              <w:ind w:left="48"/>
              <w:rPr>
                <w:sz w:val="13"/>
              </w:rPr>
            </w:pPr>
            <w:r>
              <w:rPr>
                <w:w w:val="105"/>
                <w:sz w:val="13"/>
              </w:rPr>
              <w:t>Other</w:t>
            </w:r>
            <w:r>
              <w:rPr>
                <w:spacing w:val="-7"/>
                <w:w w:val="105"/>
                <w:sz w:val="13"/>
              </w:rPr>
              <w:t> </w:t>
            </w:r>
            <w:r>
              <w:rPr>
                <w:w w:val="105"/>
                <w:sz w:val="13"/>
              </w:rPr>
              <w:t>financial</w:t>
            </w:r>
            <w:r>
              <w:rPr>
                <w:spacing w:val="-7"/>
                <w:w w:val="105"/>
                <w:sz w:val="13"/>
              </w:rPr>
              <w:t> </w:t>
            </w:r>
            <w:r>
              <w:rPr>
                <w:spacing w:val="-2"/>
                <w:w w:val="105"/>
                <w:sz w:val="13"/>
              </w:rPr>
              <w:t>liabilities</w:t>
            </w:r>
          </w:p>
        </w:tc>
        <w:tc>
          <w:tcPr>
            <w:tcW w:w="879" w:type="dxa"/>
          </w:tcPr>
          <w:p>
            <w:pPr>
              <w:pStyle w:val="TableParagraph"/>
              <w:spacing w:line="132" w:lineRule="exact" w:before="18"/>
              <w:ind w:right="63"/>
              <w:jc w:val="right"/>
              <w:rPr>
                <w:sz w:val="13"/>
              </w:rPr>
            </w:pPr>
            <w:r>
              <w:rPr>
                <w:spacing w:val="-10"/>
                <w:w w:val="105"/>
                <w:sz w:val="13"/>
              </w:rPr>
              <w:t>-</w:t>
            </w:r>
          </w:p>
        </w:tc>
        <w:tc>
          <w:tcPr>
            <w:tcW w:w="986" w:type="dxa"/>
            <w:tcBorders>
              <w:bottom w:val="single" w:sz="6" w:space="0" w:color="000000"/>
            </w:tcBorders>
          </w:tcPr>
          <w:p>
            <w:pPr>
              <w:pStyle w:val="TableParagraph"/>
              <w:spacing w:line="145" w:lineRule="exact" w:before="5"/>
              <w:ind w:right="179"/>
              <w:jc w:val="right"/>
              <w:rPr>
                <w:sz w:val="13"/>
              </w:rPr>
            </w:pPr>
            <w:r>
              <w:rPr>
                <w:spacing w:val="-2"/>
                <w:w w:val="105"/>
                <w:sz w:val="13"/>
              </w:rPr>
              <w:t>4,801</w:t>
            </w:r>
          </w:p>
        </w:tc>
        <w:tc>
          <w:tcPr>
            <w:tcW w:w="772" w:type="dxa"/>
            <w:tcBorders>
              <w:bottom w:val="single" w:sz="6" w:space="0" w:color="000000"/>
              <w:right w:val="single" w:sz="6" w:space="0" w:color="000000"/>
            </w:tcBorders>
          </w:tcPr>
          <w:p>
            <w:pPr>
              <w:pStyle w:val="TableParagraph"/>
              <w:spacing w:line="132" w:lineRule="exact" w:before="18"/>
              <w:ind w:right="56"/>
              <w:jc w:val="right"/>
              <w:rPr>
                <w:sz w:val="13"/>
              </w:rPr>
            </w:pPr>
            <w:r>
              <w:rPr>
                <w:spacing w:val="-10"/>
                <w:w w:val="105"/>
                <w:sz w:val="13"/>
              </w:rPr>
              <w:t>-</w:t>
            </w:r>
          </w:p>
        </w:tc>
        <w:tc>
          <w:tcPr>
            <w:tcW w:w="1097" w:type="dxa"/>
            <w:tcBorders>
              <w:left w:val="single" w:sz="6" w:space="0" w:color="000000"/>
              <w:bottom w:val="single" w:sz="6" w:space="0" w:color="000000"/>
            </w:tcBorders>
          </w:tcPr>
          <w:p>
            <w:pPr>
              <w:pStyle w:val="TableParagraph"/>
              <w:spacing w:line="145" w:lineRule="exact" w:before="5"/>
              <w:ind w:right="220"/>
              <w:jc w:val="right"/>
              <w:rPr>
                <w:sz w:val="13"/>
              </w:rPr>
            </w:pPr>
            <w:r>
              <w:rPr>
                <w:spacing w:val="-2"/>
                <w:w w:val="105"/>
                <w:sz w:val="13"/>
              </w:rPr>
              <w:t>4,801</w:t>
            </w:r>
          </w:p>
        </w:tc>
        <w:tc>
          <w:tcPr>
            <w:tcW w:w="981" w:type="dxa"/>
            <w:tcBorders>
              <w:bottom w:val="single" w:sz="6" w:space="0" w:color="000000"/>
            </w:tcBorders>
          </w:tcPr>
          <w:p>
            <w:pPr>
              <w:pStyle w:val="TableParagraph"/>
              <w:spacing w:line="132" w:lineRule="exact" w:before="18"/>
              <w:ind w:right="201"/>
              <w:jc w:val="right"/>
              <w:rPr>
                <w:sz w:val="13"/>
              </w:rPr>
            </w:pPr>
            <w:r>
              <w:rPr>
                <w:spacing w:val="-10"/>
                <w:w w:val="105"/>
                <w:sz w:val="13"/>
              </w:rPr>
              <w:t>-</w:t>
            </w:r>
          </w:p>
        </w:tc>
        <w:tc>
          <w:tcPr>
            <w:tcW w:w="939" w:type="dxa"/>
            <w:tcBorders>
              <w:bottom w:val="single" w:sz="6" w:space="0" w:color="000000"/>
            </w:tcBorders>
          </w:tcPr>
          <w:p>
            <w:pPr>
              <w:pStyle w:val="TableParagraph"/>
              <w:spacing w:line="132" w:lineRule="exact" w:before="18"/>
              <w:ind w:right="191"/>
              <w:jc w:val="right"/>
              <w:rPr>
                <w:sz w:val="13"/>
              </w:rPr>
            </w:pPr>
            <w:r>
              <w:rPr>
                <w:spacing w:val="-10"/>
                <w:w w:val="105"/>
                <w:sz w:val="13"/>
              </w:rPr>
              <w:t>-</w:t>
            </w:r>
          </w:p>
        </w:tc>
        <w:tc>
          <w:tcPr>
            <w:tcW w:w="828" w:type="dxa"/>
            <w:tcBorders>
              <w:bottom w:val="single" w:sz="6" w:space="0" w:color="000000"/>
            </w:tcBorders>
          </w:tcPr>
          <w:p>
            <w:pPr>
              <w:pStyle w:val="TableParagraph"/>
              <w:spacing w:line="145" w:lineRule="exact" w:before="5"/>
              <w:ind w:right="78"/>
              <w:jc w:val="right"/>
              <w:rPr>
                <w:sz w:val="13"/>
              </w:rPr>
            </w:pPr>
            <w:r>
              <w:rPr>
                <w:spacing w:val="-2"/>
                <w:w w:val="105"/>
                <w:sz w:val="13"/>
              </w:rPr>
              <w:t>4,801</w:t>
            </w:r>
          </w:p>
        </w:tc>
      </w:tr>
      <w:tr>
        <w:trPr>
          <w:trHeight w:val="160" w:hRule="atLeast"/>
        </w:trPr>
        <w:tc>
          <w:tcPr>
            <w:tcW w:w="1994" w:type="dxa"/>
          </w:tcPr>
          <w:p>
            <w:pPr>
              <w:pStyle w:val="TableParagraph"/>
              <w:spacing w:line="140" w:lineRule="exact"/>
              <w:ind w:left="48"/>
              <w:rPr>
                <w:b/>
                <w:sz w:val="13"/>
              </w:rPr>
            </w:pPr>
            <w:r>
              <w:rPr>
                <w:b/>
                <w:spacing w:val="-2"/>
                <w:w w:val="105"/>
                <w:sz w:val="13"/>
              </w:rPr>
              <w:t>Total</w:t>
            </w:r>
          </w:p>
        </w:tc>
        <w:tc>
          <w:tcPr>
            <w:tcW w:w="879" w:type="dxa"/>
          </w:tcPr>
          <w:p>
            <w:pPr>
              <w:pStyle w:val="TableParagraph"/>
              <w:rPr>
                <w:rFonts w:ascii="Times New Roman"/>
                <w:sz w:val="10"/>
              </w:rPr>
            </w:pPr>
          </w:p>
        </w:tc>
        <w:tc>
          <w:tcPr>
            <w:tcW w:w="986" w:type="dxa"/>
            <w:tcBorders>
              <w:top w:val="single" w:sz="6" w:space="0" w:color="000000"/>
              <w:bottom w:val="single" w:sz="6" w:space="0" w:color="000000"/>
            </w:tcBorders>
          </w:tcPr>
          <w:p>
            <w:pPr>
              <w:pStyle w:val="TableParagraph"/>
              <w:spacing w:line="138" w:lineRule="exact"/>
              <w:ind w:right="179"/>
              <w:jc w:val="right"/>
              <w:rPr>
                <w:b/>
                <w:sz w:val="13"/>
              </w:rPr>
            </w:pPr>
            <w:r>
              <w:rPr>
                <w:b/>
                <w:spacing w:val="-2"/>
                <w:w w:val="105"/>
                <w:sz w:val="13"/>
              </w:rPr>
              <w:t>74,358</w:t>
            </w:r>
          </w:p>
        </w:tc>
        <w:tc>
          <w:tcPr>
            <w:tcW w:w="772" w:type="dxa"/>
            <w:tcBorders>
              <w:top w:val="single" w:sz="6" w:space="0" w:color="000000"/>
              <w:bottom w:val="single" w:sz="6" w:space="0" w:color="000000"/>
              <w:right w:val="single" w:sz="6" w:space="0" w:color="000000"/>
            </w:tcBorders>
          </w:tcPr>
          <w:p>
            <w:pPr>
              <w:pStyle w:val="TableParagraph"/>
              <w:spacing w:line="138" w:lineRule="exact"/>
              <w:ind w:right="65"/>
              <w:jc w:val="right"/>
              <w:rPr>
                <w:b/>
                <w:sz w:val="13"/>
              </w:rPr>
            </w:pPr>
            <w:r>
              <w:rPr>
                <w:b/>
                <w:spacing w:val="-2"/>
                <w:w w:val="105"/>
                <w:sz w:val="13"/>
              </w:rPr>
              <w:t>134,796</w:t>
            </w:r>
          </w:p>
        </w:tc>
        <w:tc>
          <w:tcPr>
            <w:tcW w:w="1097" w:type="dxa"/>
            <w:tcBorders>
              <w:top w:val="single" w:sz="6" w:space="0" w:color="000000"/>
              <w:left w:val="single" w:sz="6" w:space="0" w:color="000000"/>
              <w:bottom w:val="single" w:sz="6" w:space="0" w:color="000000"/>
            </w:tcBorders>
          </w:tcPr>
          <w:p>
            <w:pPr>
              <w:pStyle w:val="TableParagraph"/>
              <w:spacing w:line="138" w:lineRule="exact"/>
              <w:ind w:left="453"/>
              <w:rPr>
                <w:b/>
                <w:sz w:val="13"/>
              </w:rPr>
            </w:pPr>
            <w:r>
              <w:rPr>
                <w:b/>
                <w:spacing w:val="-2"/>
                <w:w w:val="105"/>
                <w:sz w:val="13"/>
              </w:rPr>
              <w:t>93,208</w:t>
            </w:r>
          </w:p>
        </w:tc>
        <w:tc>
          <w:tcPr>
            <w:tcW w:w="981" w:type="dxa"/>
            <w:tcBorders>
              <w:top w:val="single" w:sz="6" w:space="0" w:color="000000"/>
              <w:bottom w:val="single" w:sz="6" w:space="0" w:color="000000"/>
            </w:tcBorders>
          </w:tcPr>
          <w:p>
            <w:pPr>
              <w:pStyle w:val="TableParagraph"/>
              <w:spacing w:line="138" w:lineRule="exact"/>
              <w:ind w:right="209"/>
              <w:jc w:val="right"/>
              <w:rPr>
                <w:b/>
                <w:sz w:val="13"/>
              </w:rPr>
            </w:pPr>
            <w:r>
              <w:rPr>
                <w:b/>
                <w:spacing w:val="-2"/>
                <w:w w:val="105"/>
                <w:sz w:val="13"/>
              </w:rPr>
              <w:t>66,883</w:t>
            </w:r>
          </w:p>
        </w:tc>
        <w:tc>
          <w:tcPr>
            <w:tcW w:w="939" w:type="dxa"/>
            <w:tcBorders>
              <w:top w:val="single" w:sz="6" w:space="0" w:color="000000"/>
              <w:bottom w:val="single" w:sz="6" w:space="0" w:color="000000"/>
            </w:tcBorders>
          </w:tcPr>
          <w:p>
            <w:pPr>
              <w:pStyle w:val="TableParagraph"/>
              <w:spacing w:line="138" w:lineRule="exact"/>
              <w:ind w:right="199"/>
              <w:jc w:val="right"/>
              <w:rPr>
                <w:b/>
                <w:sz w:val="13"/>
              </w:rPr>
            </w:pPr>
            <w:r>
              <w:rPr>
                <w:b/>
                <w:spacing w:val="-2"/>
                <w:w w:val="105"/>
                <w:sz w:val="13"/>
              </w:rPr>
              <w:t>49,063</w:t>
            </w:r>
          </w:p>
        </w:tc>
        <w:tc>
          <w:tcPr>
            <w:tcW w:w="828" w:type="dxa"/>
            <w:tcBorders>
              <w:top w:val="single" w:sz="6" w:space="0" w:color="000000"/>
              <w:bottom w:val="single" w:sz="6" w:space="0" w:color="000000"/>
            </w:tcBorders>
          </w:tcPr>
          <w:p>
            <w:pPr>
              <w:pStyle w:val="TableParagraph"/>
              <w:spacing w:line="138" w:lineRule="exact"/>
              <w:ind w:right="78"/>
              <w:jc w:val="right"/>
              <w:rPr>
                <w:b/>
                <w:sz w:val="13"/>
              </w:rPr>
            </w:pPr>
            <w:r>
              <w:rPr>
                <w:b/>
                <w:spacing w:val="-2"/>
                <w:w w:val="105"/>
                <w:sz w:val="13"/>
              </w:rPr>
              <w:t>209,154</w:t>
            </w:r>
          </w:p>
        </w:tc>
      </w:tr>
    </w:tbl>
    <w:p>
      <w:pPr>
        <w:spacing w:after="0" w:line="138" w:lineRule="exact"/>
        <w:jc w:val="right"/>
        <w:rPr>
          <w:sz w:val="13"/>
        </w:rPr>
        <w:sectPr>
          <w:type w:val="continuous"/>
          <w:pgSz w:w="11910" w:h="16840"/>
          <w:pgMar w:header="468" w:footer="0" w:top="980" w:bottom="280" w:left="1020" w:right="1540"/>
        </w:sectPr>
      </w:pPr>
    </w:p>
    <w:p>
      <w:pPr>
        <w:spacing w:before="82"/>
        <w:ind w:left="154" w:right="0" w:firstLine="0"/>
        <w:jc w:val="left"/>
        <w:rPr>
          <w:sz w:val="22"/>
        </w:rPr>
      </w:pPr>
      <w:r>
        <w:rPr/>
        <mc:AlternateContent>
          <mc:Choice Requires="wps">
            <w:drawing>
              <wp:anchor distT="0" distB="0" distL="0" distR="0" allowOverlap="1" layoutInCell="1" locked="0" behindDoc="0" simplePos="0" relativeHeight="15901184">
                <wp:simplePos x="0" y="0"/>
                <wp:positionH relativeFrom="page">
                  <wp:posOffset>7111289</wp:posOffset>
                </wp:positionH>
                <wp:positionV relativeFrom="page">
                  <wp:posOffset>8040241</wp:posOffset>
                </wp:positionV>
                <wp:extent cx="177800" cy="1945005"/>
                <wp:effectExtent l="0" t="0" r="0" b="0"/>
                <wp:wrapNone/>
                <wp:docPr id="961" name="Textbox 961"/>
                <wp:cNvGraphicFramePr>
                  <a:graphicFrameLocks/>
                </wp:cNvGraphicFramePr>
                <a:graphic>
                  <a:graphicData uri="http://schemas.microsoft.com/office/word/2010/wordprocessingShape">
                    <wps:wsp>
                      <wps:cNvPr id="961" name="Textbox 961"/>
                      <wps:cNvSpPr txBox="1"/>
                      <wps:spPr>
                        <a:xfrm>
                          <a:off x="0" y="0"/>
                          <a:ext cx="177800" cy="194500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633.089905pt;width:14pt;height:153.15pt;mso-position-horizontal-relative:page;mso-position-vertical-relative:page;z-index:15901184" type="#_x0000_t202" id="docshape653"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v:textbox>
                <w10:wrap type="none"/>
              </v:shape>
            </w:pict>
          </mc:Fallback>
        </mc:AlternateContent>
      </w:r>
      <w:r>
        <w:rPr>
          <w:color w:val="0070C0"/>
          <w:sz w:val="22"/>
        </w:rPr>
        <w:t>NOTES</w:t>
      </w:r>
      <w:r>
        <w:rPr>
          <w:color w:val="0070C0"/>
          <w:spacing w:val="-9"/>
          <w:sz w:val="22"/>
        </w:rPr>
        <w:t> </w:t>
      </w:r>
      <w:r>
        <w:rPr>
          <w:color w:val="0070C0"/>
          <w:sz w:val="22"/>
        </w:rPr>
        <w:t>TO</w:t>
      </w:r>
      <w:r>
        <w:rPr>
          <w:color w:val="0070C0"/>
          <w:spacing w:val="-9"/>
          <w:sz w:val="22"/>
        </w:rPr>
        <w:t> </w:t>
      </w:r>
      <w:r>
        <w:rPr>
          <w:color w:val="0070C0"/>
          <w:sz w:val="22"/>
        </w:rPr>
        <w:t>THE</w:t>
      </w:r>
      <w:r>
        <w:rPr>
          <w:color w:val="0070C0"/>
          <w:spacing w:val="-9"/>
          <w:sz w:val="22"/>
        </w:rPr>
        <w:t> </w:t>
      </w:r>
      <w:r>
        <w:rPr>
          <w:color w:val="0070C0"/>
          <w:sz w:val="22"/>
        </w:rPr>
        <w:t>FINANCIAL</w:t>
      </w:r>
      <w:r>
        <w:rPr>
          <w:color w:val="0070C0"/>
          <w:spacing w:val="-9"/>
          <w:sz w:val="22"/>
        </w:rPr>
        <w:t> </w:t>
      </w:r>
      <w:r>
        <w:rPr>
          <w:color w:val="0070C0"/>
          <w:spacing w:val="-2"/>
          <w:sz w:val="22"/>
        </w:rPr>
        <w:t>STATEMENTS</w:t>
      </w:r>
    </w:p>
    <w:p>
      <w:pPr>
        <w:spacing w:before="31"/>
        <w:ind w:left="141" w:right="0" w:firstLine="0"/>
        <w:jc w:val="left"/>
        <w:rPr>
          <w:sz w:val="12"/>
        </w:rPr>
      </w:pPr>
      <w:r>
        <w:rPr>
          <w:w w:val="105"/>
          <w:sz w:val="12"/>
        </w:rPr>
        <w:t>for</w:t>
      </w:r>
      <w:r>
        <w:rPr>
          <w:spacing w:val="-8"/>
          <w:w w:val="105"/>
          <w:sz w:val="12"/>
        </w:rPr>
        <w:t> </w:t>
      </w:r>
      <w:r>
        <w:rPr>
          <w:w w:val="105"/>
          <w:sz w:val="12"/>
        </w:rPr>
        <w:t>the</w:t>
      </w:r>
      <w:r>
        <w:rPr>
          <w:spacing w:val="-9"/>
          <w:w w:val="105"/>
          <w:sz w:val="12"/>
        </w:rPr>
        <w:t> </w:t>
      </w:r>
      <w:r>
        <w:rPr>
          <w:w w:val="105"/>
          <w:sz w:val="12"/>
        </w:rPr>
        <w:t>year</w:t>
      </w:r>
      <w:r>
        <w:rPr>
          <w:spacing w:val="-8"/>
          <w:w w:val="105"/>
          <w:sz w:val="12"/>
        </w:rPr>
        <w:t> </w:t>
      </w:r>
      <w:r>
        <w:rPr>
          <w:w w:val="105"/>
          <w:sz w:val="12"/>
        </w:rPr>
        <w:t>ended</w:t>
      </w:r>
      <w:r>
        <w:rPr>
          <w:spacing w:val="-8"/>
          <w:w w:val="105"/>
          <w:sz w:val="12"/>
        </w:rPr>
        <w:t> </w:t>
      </w:r>
      <w:r>
        <w:rPr>
          <w:w w:val="105"/>
          <w:sz w:val="12"/>
        </w:rPr>
        <w:t>31</w:t>
      </w:r>
      <w:r>
        <w:rPr>
          <w:spacing w:val="-9"/>
          <w:w w:val="105"/>
          <w:sz w:val="12"/>
        </w:rPr>
        <w:t> </w:t>
      </w:r>
      <w:r>
        <w:rPr>
          <w:w w:val="105"/>
          <w:sz w:val="12"/>
        </w:rPr>
        <w:t>December</w:t>
      </w:r>
      <w:r>
        <w:rPr>
          <w:spacing w:val="-8"/>
          <w:w w:val="105"/>
          <w:sz w:val="12"/>
        </w:rPr>
        <w:t> </w:t>
      </w:r>
      <w:r>
        <w:rPr>
          <w:spacing w:val="-4"/>
          <w:w w:val="105"/>
          <w:sz w:val="12"/>
        </w:rPr>
        <w:t>2020</w:t>
      </w:r>
    </w:p>
    <w:p>
      <w:pPr>
        <w:spacing w:line="240" w:lineRule="auto" w:before="51"/>
        <w:rPr>
          <w:sz w:val="12"/>
        </w:rPr>
      </w:pPr>
    </w:p>
    <w:p>
      <w:pPr>
        <w:pStyle w:val="ListParagraph"/>
        <w:numPr>
          <w:ilvl w:val="0"/>
          <w:numId w:val="35"/>
        </w:numPr>
        <w:tabs>
          <w:tab w:pos="650" w:val="left" w:leader="none"/>
        </w:tabs>
        <w:spacing w:line="240" w:lineRule="auto" w:before="0" w:after="0"/>
        <w:ind w:left="650" w:right="0" w:hanging="507"/>
        <w:jc w:val="left"/>
        <w:rPr>
          <w:b/>
          <w:sz w:val="13"/>
        </w:rPr>
      </w:pPr>
      <w:r>
        <w:rPr>
          <w:b/>
          <w:w w:val="105"/>
          <w:sz w:val="13"/>
        </w:rPr>
        <w:t>Market</w:t>
      </w:r>
      <w:r>
        <w:rPr>
          <w:b/>
          <w:spacing w:val="-4"/>
          <w:w w:val="105"/>
          <w:sz w:val="13"/>
        </w:rPr>
        <w:t> risk</w:t>
      </w:r>
    </w:p>
    <w:p>
      <w:pPr>
        <w:spacing w:line="273" w:lineRule="auto" w:before="21"/>
        <w:ind w:left="650" w:right="268" w:firstLine="0"/>
        <w:jc w:val="left"/>
        <w:rPr>
          <w:sz w:val="13"/>
        </w:rPr>
      </w:pPr>
      <w:r>
        <w:rPr>
          <w:w w:val="105"/>
          <w:sz w:val="13"/>
        </w:rPr>
        <w:t>The objective of market risk management is to manage and control market risk exposures within acceptable parameters, while optimising</w:t>
      </w:r>
      <w:r>
        <w:rPr>
          <w:spacing w:val="40"/>
          <w:w w:val="105"/>
          <w:sz w:val="13"/>
        </w:rPr>
        <w:t> </w:t>
      </w:r>
      <w:r>
        <w:rPr>
          <w:w w:val="105"/>
          <w:sz w:val="13"/>
        </w:rPr>
        <w:t>the return. The Group Investment Policy</w:t>
      </w:r>
      <w:r>
        <w:rPr>
          <w:spacing w:val="-1"/>
          <w:w w:val="105"/>
          <w:sz w:val="13"/>
        </w:rPr>
        <w:t> </w:t>
      </w:r>
      <w:r>
        <w:rPr>
          <w:w w:val="105"/>
          <w:sz w:val="13"/>
        </w:rPr>
        <w:t>provides strategies for managing the impact from market risk.</w:t>
      </w:r>
    </w:p>
    <w:p>
      <w:pPr>
        <w:spacing w:line="240" w:lineRule="auto" w:before="18"/>
        <w:rPr>
          <w:sz w:val="13"/>
        </w:rPr>
      </w:pPr>
    </w:p>
    <w:p>
      <w:pPr>
        <w:pStyle w:val="ListParagraph"/>
        <w:numPr>
          <w:ilvl w:val="1"/>
          <w:numId w:val="35"/>
        </w:numPr>
        <w:tabs>
          <w:tab w:pos="816" w:val="left" w:leader="none"/>
        </w:tabs>
        <w:spacing w:line="240" w:lineRule="auto" w:before="0" w:after="0"/>
        <w:ind w:left="816" w:right="0" w:hanging="166"/>
        <w:jc w:val="both"/>
        <w:rPr>
          <w:b/>
          <w:sz w:val="13"/>
        </w:rPr>
      </w:pPr>
      <w:r>
        <w:rPr>
          <w:b/>
          <w:w w:val="105"/>
          <w:sz w:val="13"/>
        </w:rPr>
        <w:t>Foreign</w:t>
      </w:r>
      <w:r>
        <w:rPr>
          <w:b/>
          <w:spacing w:val="-7"/>
          <w:w w:val="105"/>
          <w:sz w:val="13"/>
        </w:rPr>
        <w:t> </w:t>
      </w:r>
      <w:r>
        <w:rPr>
          <w:b/>
          <w:w w:val="105"/>
          <w:sz w:val="13"/>
        </w:rPr>
        <w:t>exchange</w:t>
      </w:r>
      <w:r>
        <w:rPr>
          <w:b/>
          <w:spacing w:val="-8"/>
          <w:w w:val="105"/>
          <w:sz w:val="13"/>
        </w:rPr>
        <w:t> </w:t>
      </w:r>
      <w:r>
        <w:rPr>
          <w:b/>
          <w:spacing w:val="-4"/>
          <w:w w:val="105"/>
          <w:sz w:val="13"/>
        </w:rPr>
        <w:t>risk</w:t>
      </w:r>
    </w:p>
    <w:p>
      <w:pPr>
        <w:spacing w:line="273" w:lineRule="auto" w:before="37"/>
        <w:ind w:left="650" w:right="295" w:firstLine="0"/>
        <w:jc w:val="both"/>
        <w:rPr>
          <w:sz w:val="13"/>
        </w:rPr>
      </w:pPr>
      <w:r>
        <w:rPr>
          <w:w w:val="105"/>
          <w:sz w:val="13"/>
        </w:rPr>
        <w:t>Foreign exchange risk arises principally</w:t>
      </w:r>
      <w:r>
        <w:rPr>
          <w:spacing w:val="-1"/>
          <w:w w:val="105"/>
          <w:sz w:val="13"/>
        </w:rPr>
        <w:t> </w:t>
      </w:r>
      <w:r>
        <w:rPr>
          <w:w w:val="105"/>
          <w:sz w:val="13"/>
        </w:rPr>
        <w:t>from overseas sources of income and expenditure in relation to the Group's international offshore</w:t>
      </w:r>
      <w:r>
        <w:rPr>
          <w:spacing w:val="40"/>
          <w:w w:val="105"/>
          <w:sz w:val="13"/>
        </w:rPr>
        <w:t> </w:t>
      </w:r>
      <w:r>
        <w:rPr>
          <w:w w:val="105"/>
          <w:sz w:val="13"/>
        </w:rPr>
        <w:t>teaching programmes, foreign donors, foreign customers and foreign sourced supplies. For the purposes of managing some international</w:t>
      </w:r>
      <w:r>
        <w:rPr>
          <w:spacing w:val="40"/>
          <w:w w:val="105"/>
          <w:sz w:val="13"/>
        </w:rPr>
        <w:t> </w:t>
      </w:r>
      <w:r>
        <w:rPr>
          <w:w w:val="105"/>
          <w:sz w:val="13"/>
        </w:rPr>
        <w:t>transactional activities, the Group holds a US dollar bank account. At year end, the Group has foreign exchange risk exposure on these</w:t>
      </w:r>
      <w:r>
        <w:rPr>
          <w:spacing w:val="40"/>
          <w:w w:val="105"/>
          <w:sz w:val="13"/>
        </w:rPr>
        <w:t> </w:t>
      </w:r>
      <w:r>
        <w:rPr>
          <w:w w:val="105"/>
          <w:sz w:val="13"/>
        </w:rPr>
        <w:t>bank accounts, as disclosed in the market sensitivity analysis.</w:t>
      </w:r>
    </w:p>
    <w:p>
      <w:pPr>
        <w:spacing w:line="240" w:lineRule="auto" w:before="23"/>
        <w:rPr>
          <w:sz w:val="13"/>
        </w:rPr>
      </w:pPr>
    </w:p>
    <w:p>
      <w:pPr>
        <w:spacing w:before="0"/>
        <w:ind w:left="650" w:right="0" w:firstLine="0"/>
        <w:jc w:val="both"/>
        <w:rPr>
          <w:b/>
          <w:sz w:val="13"/>
        </w:rPr>
      </w:pPr>
      <w:r>
        <w:rPr>
          <w:b/>
          <w:w w:val="105"/>
          <w:sz w:val="13"/>
        </w:rPr>
        <w:t>Foreign</w:t>
      </w:r>
      <w:r>
        <w:rPr>
          <w:b/>
          <w:spacing w:val="-7"/>
          <w:w w:val="105"/>
          <w:sz w:val="13"/>
        </w:rPr>
        <w:t> </w:t>
      </w:r>
      <w:r>
        <w:rPr>
          <w:b/>
          <w:w w:val="105"/>
          <w:sz w:val="13"/>
        </w:rPr>
        <w:t>Exchange</w:t>
      </w:r>
      <w:r>
        <w:rPr>
          <w:b/>
          <w:spacing w:val="-7"/>
          <w:w w:val="105"/>
          <w:sz w:val="13"/>
        </w:rPr>
        <w:t> </w:t>
      </w:r>
      <w:r>
        <w:rPr>
          <w:b/>
          <w:spacing w:val="-2"/>
          <w:w w:val="105"/>
          <w:sz w:val="13"/>
        </w:rPr>
        <w:t>Contracts</w:t>
      </w:r>
    </w:p>
    <w:p>
      <w:pPr>
        <w:spacing w:line="273" w:lineRule="auto" w:before="25"/>
        <w:ind w:left="650" w:right="295" w:firstLine="0"/>
        <w:jc w:val="both"/>
        <w:rPr>
          <w:sz w:val="13"/>
        </w:rPr>
      </w:pPr>
      <w:r>
        <w:rPr>
          <w:w w:val="105"/>
          <w:sz w:val="13"/>
        </w:rPr>
        <w:t>The</w:t>
      </w:r>
      <w:r>
        <w:rPr>
          <w:spacing w:val="-5"/>
          <w:w w:val="105"/>
          <w:sz w:val="13"/>
        </w:rPr>
        <w:t> </w:t>
      </w:r>
      <w:r>
        <w:rPr>
          <w:w w:val="105"/>
          <w:sz w:val="13"/>
        </w:rPr>
        <w:t>Group</w:t>
      </w:r>
      <w:r>
        <w:rPr>
          <w:spacing w:val="-5"/>
          <w:w w:val="105"/>
          <w:sz w:val="13"/>
        </w:rPr>
        <w:t> </w:t>
      </w:r>
      <w:r>
        <w:rPr>
          <w:w w:val="105"/>
          <w:sz w:val="13"/>
        </w:rPr>
        <w:t>enters</w:t>
      </w:r>
      <w:r>
        <w:rPr>
          <w:spacing w:val="-4"/>
          <w:w w:val="105"/>
          <w:sz w:val="13"/>
        </w:rPr>
        <w:t> </w:t>
      </w:r>
      <w:r>
        <w:rPr>
          <w:w w:val="105"/>
          <w:sz w:val="13"/>
        </w:rPr>
        <w:t>into</w:t>
      </w:r>
      <w:r>
        <w:rPr>
          <w:spacing w:val="-5"/>
          <w:w w:val="105"/>
          <w:sz w:val="13"/>
        </w:rPr>
        <w:t> </w:t>
      </w:r>
      <w:r>
        <w:rPr>
          <w:w w:val="105"/>
          <w:sz w:val="13"/>
        </w:rPr>
        <w:t>forward</w:t>
      </w:r>
      <w:r>
        <w:rPr>
          <w:spacing w:val="-5"/>
          <w:w w:val="105"/>
          <w:sz w:val="13"/>
        </w:rPr>
        <w:t> </w:t>
      </w:r>
      <w:r>
        <w:rPr>
          <w:w w:val="105"/>
          <w:sz w:val="13"/>
        </w:rPr>
        <w:t>exchange</w:t>
      </w:r>
      <w:r>
        <w:rPr>
          <w:spacing w:val="-5"/>
          <w:w w:val="105"/>
          <w:sz w:val="13"/>
        </w:rPr>
        <w:t> </w:t>
      </w:r>
      <w:r>
        <w:rPr>
          <w:w w:val="105"/>
          <w:sz w:val="13"/>
        </w:rPr>
        <w:t>contracts</w:t>
      </w:r>
      <w:r>
        <w:rPr>
          <w:spacing w:val="-4"/>
          <w:w w:val="105"/>
          <w:sz w:val="13"/>
        </w:rPr>
        <w:t> </w:t>
      </w:r>
      <w:r>
        <w:rPr>
          <w:w w:val="105"/>
          <w:sz w:val="13"/>
        </w:rPr>
        <w:t>which</w:t>
      </w:r>
      <w:r>
        <w:rPr>
          <w:spacing w:val="-5"/>
          <w:w w:val="105"/>
          <w:sz w:val="13"/>
        </w:rPr>
        <w:t> </w:t>
      </w:r>
      <w:r>
        <w:rPr>
          <w:w w:val="105"/>
          <w:sz w:val="13"/>
        </w:rPr>
        <w:t>are</w:t>
      </w:r>
      <w:r>
        <w:rPr>
          <w:spacing w:val="-5"/>
          <w:w w:val="105"/>
          <w:sz w:val="13"/>
        </w:rPr>
        <w:t> </w:t>
      </w:r>
      <w:r>
        <w:rPr>
          <w:w w:val="105"/>
          <w:sz w:val="13"/>
        </w:rPr>
        <w:t>economic</w:t>
      </w:r>
      <w:r>
        <w:rPr>
          <w:spacing w:val="-4"/>
          <w:w w:val="105"/>
          <w:sz w:val="13"/>
        </w:rPr>
        <w:t> </w:t>
      </w:r>
      <w:r>
        <w:rPr>
          <w:w w:val="105"/>
          <w:sz w:val="13"/>
        </w:rPr>
        <w:t>hedges</w:t>
      </w:r>
      <w:r>
        <w:rPr>
          <w:spacing w:val="-4"/>
          <w:w w:val="105"/>
          <w:sz w:val="13"/>
        </w:rPr>
        <w:t> </w:t>
      </w:r>
      <w:r>
        <w:rPr>
          <w:w w:val="105"/>
          <w:sz w:val="13"/>
        </w:rPr>
        <w:t>that</w:t>
      </w:r>
      <w:r>
        <w:rPr>
          <w:spacing w:val="-4"/>
          <w:w w:val="105"/>
          <w:sz w:val="13"/>
        </w:rPr>
        <w:t> </w:t>
      </w:r>
      <w:r>
        <w:rPr>
          <w:w w:val="105"/>
          <w:sz w:val="13"/>
        </w:rPr>
        <w:t>are</w:t>
      </w:r>
      <w:r>
        <w:rPr>
          <w:spacing w:val="-5"/>
          <w:w w:val="105"/>
          <w:sz w:val="13"/>
        </w:rPr>
        <w:t> </w:t>
      </w:r>
      <w:r>
        <w:rPr>
          <w:w w:val="105"/>
          <w:sz w:val="13"/>
        </w:rPr>
        <w:t>not</w:t>
      </w:r>
      <w:r>
        <w:rPr>
          <w:spacing w:val="-4"/>
          <w:w w:val="105"/>
          <w:sz w:val="13"/>
        </w:rPr>
        <w:t> </w:t>
      </w:r>
      <w:r>
        <w:rPr>
          <w:w w:val="105"/>
          <w:sz w:val="13"/>
        </w:rPr>
        <w:t>designated</w:t>
      </w:r>
      <w:r>
        <w:rPr>
          <w:spacing w:val="-5"/>
          <w:w w:val="105"/>
          <w:sz w:val="13"/>
        </w:rPr>
        <w:t> </w:t>
      </w:r>
      <w:r>
        <w:rPr>
          <w:w w:val="105"/>
          <w:sz w:val="13"/>
        </w:rPr>
        <w:t>for</w:t>
      </w:r>
      <w:r>
        <w:rPr>
          <w:spacing w:val="-3"/>
          <w:w w:val="105"/>
          <w:sz w:val="13"/>
        </w:rPr>
        <w:t> </w:t>
      </w:r>
      <w:r>
        <w:rPr>
          <w:w w:val="105"/>
          <w:sz w:val="13"/>
        </w:rPr>
        <w:t>hedge</w:t>
      </w:r>
      <w:r>
        <w:rPr>
          <w:spacing w:val="-3"/>
          <w:w w:val="105"/>
          <w:sz w:val="13"/>
        </w:rPr>
        <w:t> </w:t>
      </w:r>
      <w:r>
        <w:rPr>
          <w:w w:val="105"/>
          <w:sz w:val="13"/>
        </w:rPr>
        <w:t>accounting;</w:t>
      </w:r>
      <w:r>
        <w:rPr>
          <w:spacing w:val="-4"/>
          <w:w w:val="105"/>
          <w:sz w:val="13"/>
        </w:rPr>
        <w:t> </w:t>
      </w:r>
      <w:r>
        <w:rPr>
          <w:w w:val="105"/>
          <w:sz w:val="13"/>
        </w:rPr>
        <w:t>consequently,</w:t>
      </w:r>
      <w:r>
        <w:rPr>
          <w:spacing w:val="40"/>
          <w:w w:val="105"/>
          <w:sz w:val="13"/>
        </w:rPr>
        <w:t> </w:t>
      </w:r>
      <w:r>
        <w:rPr>
          <w:w w:val="105"/>
          <w:sz w:val="13"/>
        </w:rPr>
        <w:t>fair</w:t>
      </w:r>
      <w:r>
        <w:rPr>
          <w:spacing w:val="-2"/>
          <w:w w:val="105"/>
          <w:sz w:val="13"/>
        </w:rPr>
        <w:t> </w:t>
      </w:r>
      <w:r>
        <w:rPr>
          <w:w w:val="105"/>
          <w:sz w:val="13"/>
        </w:rPr>
        <w:t>value</w:t>
      </w:r>
      <w:r>
        <w:rPr>
          <w:spacing w:val="-3"/>
          <w:w w:val="105"/>
          <w:sz w:val="13"/>
        </w:rPr>
        <w:t> </w:t>
      </w:r>
      <w:r>
        <w:rPr>
          <w:w w:val="105"/>
          <w:sz w:val="13"/>
        </w:rPr>
        <w:t>gains</w:t>
      </w:r>
      <w:r>
        <w:rPr>
          <w:spacing w:val="-3"/>
          <w:w w:val="105"/>
          <w:sz w:val="13"/>
        </w:rPr>
        <w:t> </w:t>
      </w:r>
      <w:r>
        <w:rPr>
          <w:w w:val="105"/>
          <w:sz w:val="13"/>
        </w:rPr>
        <w:t>and</w:t>
      </w:r>
      <w:r>
        <w:rPr>
          <w:spacing w:val="-3"/>
          <w:w w:val="105"/>
          <w:sz w:val="13"/>
        </w:rPr>
        <w:t> </w:t>
      </w:r>
      <w:r>
        <w:rPr>
          <w:w w:val="105"/>
          <w:sz w:val="13"/>
        </w:rPr>
        <w:t>losses</w:t>
      </w:r>
      <w:r>
        <w:rPr>
          <w:spacing w:val="-3"/>
          <w:w w:val="105"/>
          <w:sz w:val="13"/>
        </w:rPr>
        <w:t> </w:t>
      </w:r>
      <w:r>
        <w:rPr>
          <w:w w:val="105"/>
          <w:sz w:val="13"/>
        </w:rPr>
        <w:t>are</w:t>
      </w:r>
      <w:r>
        <w:rPr>
          <w:spacing w:val="-3"/>
          <w:w w:val="105"/>
          <w:sz w:val="13"/>
        </w:rPr>
        <w:t> </w:t>
      </w:r>
      <w:r>
        <w:rPr>
          <w:w w:val="105"/>
          <w:sz w:val="13"/>
        </w:rPr>
        <w:t>recorded</w:t>
      </w:r>
      <w:r>
        <w:rPr>
          <w:spacing w:val="-3"/>
          <w:w w:val="105"/>
          <w:sz w:val="13"/>
        </w:rPr>
        <w:t> </w:t>
      </w:r>
      <w:r>
        <w:rPr>
          <w:w w:val="105"/>
          <w:sz w:val="13"/>
        </w:rPr>
        <w:t>in</w:t>
      </w:r>
      <w:r>
        <w:rPr>
          <w:spacing w:val="-3"/>
          <w:w w:val="105"/>
          <w:sz w:val="13"/>
        </w:rPr>
        <w:t> </w:t>
      </w:r>
      <w:r>
        <w:rPr>
          <w:w w:val="105"/>
          <w:sz w:val="13"/>
        </w:rPr>
        <w:t>the</w:t>
      </w:r>
      <w:r>
        <w:rPr>
          <w:spacing w:val="-3"/>
          <w:w w:val="105"/>
          <w:sz w:val="13"/>
        </w:rPr>
        <w:t> </w:t>
      </w:r>
      <w:r>
        <w:rPr>
          <w:w w:val="105"/>
          <w:sz w:val="13"/>
        </w:rPr>
        <w:t>income</w:t>
      </w:r>
      <w:r>
        <w:rPr>
          <w:spacing w:val="-2"/>
          <w:w w:val="105"/>
          <w:sz w:val="13"/>
        </w:rPr>
        <w:t> </w:t>
      </w:r>
      <w:r>
        <w:rPr>
          <w:w w:val="105"/>
          <w:sz w:val="13"/>
        </w:rPr>
        <w:t>statement.</w:t>
      </w:r>
      <w:r>
        <w:rPr>
          <w:spacing w:val="-3"/>
          <w:w w:val="105"/>
          <w:sz w:val="13"/>
        </w:rPr>
        <w:t> </w:t>
      </w:r>
      <w:r>
        <w:rPr>
          <w:w w:val="105"/>
          <w:sz w:val="13"/>
        </w:rPr>
        <w:t>Foreign</w:t>
      </w:r>
      <w:r>
        <w:rPr>
          <w:spacing w:val="-2"/>
          <w:w w:val="105"/>
          <w:sz w:val="13"/>
        </w:rPr>
        <w:t> </w:t>
      </w:r>
      <w:r>
        <w:rPr>
          <w:w w:val="105"/>
          <w:sz w:val="13"/>
        </w:rPr>
        <w:t>exchange</w:t>
      </w:r>
      <w:r>
        <w:rPr>
          <w:spacing w:val="-3"/>
          <w:w w:val="105"/>
          <w:sz w:val="13"/>
        </w:rPr>
        <w:t> </w:t>
      </w:r>
      <w:r>
        <w:rPr>
          <w:w w:val="105"/>
          <w:sz w:val="13"/>
        </w:rPr>
        <w:t>contracts</w:t>
      </w:r>
      <w:r>
        <w:rPr>
          <w:spacing w:val="-1"/>
          <w:w w:val="105"/>
          <w:sz w:val="13"/>
        </w:rPr>
        <w:t> </w:t>
      </w:r>
      <w:r>
        <w:rPr>
          <w:w w:val="105"/>
          <w:sz w:val="13"/>
        </w:rPr>
        <w:t>are</w:t>
      </w:r>
      <w:r>
        <w:rPr>
          <w:spacing w:val="-3"/>
          <w:w w:val="105"/>
          <w:sz w:val="13"/>
        </w:rPr>
        <w:t> </w:t>
      </w:r>
      <w:r>
        <w:rPr>
          <w:w w:val="105"/>
          <w:sz w:val="13"/>
        </w:rPr>
        <w:t>used</w:t>
      </w:r>
      <w:r>
        <w:rPr>
          <w:spacing w:val="-2"/>
          <w:w w:val="105"/>
          <w:sz w:val="13"/>
        </w:rPr>
        <w:t> </w:t>
      </w:r>
      <w:r>
        <w:rPr>
          <w:w w:val="105"/>
          <w:sz w:val="13"/>
        </w:rPr>
        <w:t>to</w:t>
      </w:r>
      <w:r>
        <w:rPr>
          <w:spacing w:val="-3"/>
          <w:w w:val="105"/>
          <w:sz w:val="13"/>
        </w:rPr>
        <w:t> </w:t>
      </w:r>
      <w:r>
        <w:rPr>
          <w:w w:val="105"/>
          <w:sz w:val="13"/>
        </w:rPr>
        <w:t>manage</w:t>
      </w:r>
      <w:r>
        <w:rPr>
          <w:spacing w:val="-2"/>
          <w:w w:val="105"/>
          <w:sz w:val="13"/>
        </w:rPr>
        <w:t> </w:t>
      </w:r>
      <w:r>
        <w:rPr>
          <w:w w:val="105"/>
          <w:sz w:val="13"/>
        </w:rPr>
        <w:t>foreign</w:t>
      </w:r>
      <w:r>
        <w:rPr>
          <w:spacing w:val="-3"/>
          <w:w w:val="105"/>
          <w:sz w:val="13"/>
        </w:rPr>
        <w:t> </w:t>
      </w:r>
      <w:r>
        <w:rPr>
          <w:w w:val="105"/>
          <w:sz w:val="13"/>
        </w:rPr>
        <w:t>exchange</w:t>
      </w:r>
      <w:r>
        <w:rPr>
          <w:spacing w:val="-2"/>
          <w:w w:val="105"/>
          <w:sz w:val="13"/>
        </w:rPr>
        <w:t> </w:t>
      </w:r>
      <w:r>
        <w:rPr>
          <w:w w:val="105"/>
          <w:sz w:val="13"/>
        </w:rPr>
        <w:t>risk</w:t>
      </w:r>
      <w:r>
        <w:rPr>
          <w:spacing w:val="-1"/>
          <w:w w:val="105"/>
          <w:sz w:val="13"/>
        </w:rPr>
        <w:t> </w:t>
      </w:r>
      <w:r>
        <w:rPr>
          <w:w w:val="105"/>
          <w:sz w:val="13"/>
        </w:rPr>
        <w:t>to</w:t>
      </w:r>
      <w:r>
        <w:rPr>
          <w:spacing w:val="40"/>
          <w:w w:val="105"/>
          <w:sz w:val="13"/>
        </w:rPr>
        <w:t> </w:t>
      </w:r>
      <w:r>
        <w:rPr>
          <w:w w:val="105"/>
          <w:sz w:val="13"/>
        </w:rPr>
        <w:t>specifically identified transactional activity.</w:t>
      </w:r>
    </w:p>
    <w:p>
      <w:pPr>
        <w:spacing w:line="240" w:lineRule="auto" w:before="103"/>
        <w:rPr>
          <w:sz w:val="13"/>
        </w:rPr>
      </w:pPr>
    </w:p>
    <w:p>
      <w:pPr>
        <w:spacing w:before="0"/>
        <w:ind w:left="650" w:right="0" w:firstLine="0"/>
        <w:jc w:val="left"/>
        <w:rPr>
          <w:sz w:val="13"/>
        </w:rPr>
      </w:pPr>
      <w:r>
        <w:rPr>
          <w:w w:val="105"/>
          <w:sz w:val="13"/>
        </w:rPr>
        <w:t>Details</w:t>
      </w:r>
      <w:r>
        <w:rPr>
          <w:spacing w:val="-7"/>
          <w:w w:val="105"/>
          <w:sz w:val="13"/>
        </w:rPr>
        <w:t> </w:t>
      </w:r>
      <w:r>
        <w:rPr>
          <w:w w:val="105"/>
          <w:sz w:val="13"/>
        </w:rPr>
        <w:t>of</w:t>
      </w:r>
      <w:r>
        <w:rPr>
          <w:spacing w:val="-4"/>
          <w:w w:val="105"/>
          <w:sz w:val="13"/>
        </w:rPr>
        <w:t> </w:t>
      </w:r>
      <w:r>
        <w:rPr>
          <w:w w:val="105"/>
          <w:sz w:val="13"/>
        </w:rPr>
        <w:t>the</w:t>
      </w:r>
      <w:r>
        <w:rPr>
          <w:spacing w:val="-8"/>
          <w:w w:val="105"/>
          <w:sz w:val="13"/>
        </w:rPr>
        <w:t> </w:t>
      </w:r>
      <w:r>
        <w:rPr>
          <w:w w:val="105"/>
          <w:sz w:val="13"/>
        </w:rPr>
        <w:t>forward</w:t>
      </w:r>
      <w:r>
        <w:rPr>
          <w:spacing w:val="-7"/>
          <w:w w:val="105"/>
          <w:sz w:val="13"/>
        </w:rPr>
        <w:t> </w:t>
      </w:r>
      <w:r>
        <w:rPr>
          <w:w w:val="105"/>
          <w:sz w:val="13"/>
        </w:rPr>
        <w:t>exchange</w:t>
      </w:r>
      <w:r>
        <w:rPr>
          <w:spacing w:val="-7"/>
          <w:w w:val="105"/>
          <w:sz w:val="13"/>
        </w:rPr>
        <w:t> </w:t>
      </w:r>
      <w:r>
        <w:rPr>
          <w:w w:val="105"/>
          <w:sz w:val="13"/>
        </w:rPr>
        <w:t>contracts</w:t>
      </w:r>
      <w:r>
        <w:rPr>
          <w:spacing w:val="-6"/>
          <w:w w:val="105"/>
          <w:sz w:val="13"/>
        </w:rPr>
        <w:t> </w:t>
      </w:r>
      <w:r>
        <w:rPr>
          <w:w w:val="105"/>
          <w:sz w:val="13"/>
        </w:rPr>
        <w:t>outstanding</w:t>
      </w:r>
      <w:r>
        <w:rPr>
          <w:spacing w:val="-7"/>
          <w:w w:val="105"/>
          <w:sz w:val="13"/>
        </w:rPr>
        <w:t> </w:t>
      </w:r>
      <w:r>
        <w:rPr>
          <w:w w:val="105"/>
          <w:sz w:val="13"/>
        </w:rPr>
        <w:t>at</w:t>
      </w:r>
      <w:r>
        <w:rPr>
          <w:spacing w:val="-8"/>
          <w:w w:val="105"/>
          <w:sz w:val="13"/>
        </w:rPr>
        <w:t> </w:t>
      </w:r>
      <w:r>
        <w:rPr>
          <w:w w:val="105"/>
          <w:sz w:val="13"/>
        </w:rPr>
        <w:t>the</w:t>
      </w:r>
      <w:r>
        <w:rPr>
          <w:spacing w:val="-7"/>
          <w:w w:val="105"/>
          <w:sz w:val="13"/>
        </w:rPr>
        <w:t> </w:t>
      </w:r>
      <w:r>
        <w:rPr>
          <w:w w:val="105"/>
          <w:sz w:val="13"/>
        </w:rPr>
        <w:t>end</w:t>
      </w:r>
      <w:r>
        <w:rPr>
          <w:spacing w:val="-7"/>
          <w:w w:val="105"/>
          <w:sz w:val="13"/>
        </w:rPr>
        <w:t> </w:t>
      </w:r>
      <w:r>
        <w:rPr>
          <w:w w:val="105"/>
          <w:sz w:val="13"/>
        </w:rPr>
        <w:t>of</w:t>
      </w:r>
      <w:r>
        <w:rPr>
          <w:spacing w:val="-5"/>
          <w:w w:val="105"/>
          <w:sz w:val="13"/>
        </w:rPr>
        <w:t> </w:t>
      </w:r>
      <w:r>
        <w:rPr>
          <w:w w:val="105"/>
          <w:sz w:val="13"/>
        </w:rPr>
        <w:t>the</w:t>
      </w:r>
      <w:r>
        <w:rPr>
          <w:spacing w:val="-7"/>
          <w:w w:val="105"/>
          <w:sz w:val="13"/>
        </w:rPr>
        <w:t> </w:t>
      </w:r>
      <w:r>
        <w:rPr>
          <w:w w:val="105"/>
          <w:sz w:val="13"/>
        </w:rPr>
        <w:t>reporting</w:t>
      </w:r>
      <w:r>
        <w:rPr>
          <w:spacing w:val="-7"/>
          <w:w w:val="105"/>
          <w:sz w:val="13"/>
        </w:rPr>
        <w:t> </w:t>
      </w:r>
      <w:r>
        <w:rPr>
          <w:w w:val="105"/>
          <w:sz w:val="13"/>
        </w:rPr>
        <w:t>period</w:t>
      </w:r>
      <w:r>
        <w:rPr>
          <w:spacing w:val="-7"/>
          <w:w w:val="105"/>
          <w:sz w:val="13"/>
        </w:rPr>
        <w:t> </w:t>
      </w:r>
      <w:r>
        <w:rPr>
          <w:w w:val="105"/>
          <w:sz w:val="13"/>
        </w:rPr>
        <w:t>are</w:t>
      </w:r>
      <w:r>
        <w:rPr>
          <w:spacing w:val="-7"/>
          <w:w w:val="105"/>
          <w:sz w:val="13"/>
        </w:rPr>
        <w:t> </w:t>
      </w:r>
      <w:r>
        <w:rPr>
          <w:w w:val="105"/>
          <w:sz w:val="13"/>
        </w:rPr>
        <w:t>given</w:t>
      </w:r>
      <w:r>
        <w:rPr>
          <w:spacing w:val="-7"/>
          <w:w w:val="105"/>
          <w:sz w:val="13"/>
        </w:rPr>
        <w:t> </w:t>
      </w:r>
      <w:r>
        <w:rPr>
          <w:spacing w:val="-2"/>
          <w:w w:val="105"/>
          <w:sz w:val="13"/>
        </w:rPr>
        <w:t>below:</w:t>
      </w:r>
    </w:p>
    <w:p>
      <w:pPr>
        <w:spacing w:line="240" w:lineRule="auto" w:before="6" w:after="0"/>
        <w:rPr>
          <w:sz w:val="15"/>
        </w:rPr>
      </w:pPr>
    </w:p>
    <w:tbl>
      <w:tblPr>
        <w:tblW w:w="0" w:type="auto"/>
        <w:jc w:val="left"/>
        <w:tblInd w:w="6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737"/>
        <w:gridCol w:w="1611"/>
        <w:gridCol w:w="1127"/>
        <w:gridCol w:w="1034"/>
      </w:tblGrid>
      <w:tr>
        <w:trPr>
          <w:trHeight w:val="150" w:hRule="atLeast"/>
        </w:trPr>
        <w:tc>
          <w:tcPr>
            <w:tcW w:w="3737" w:type="dxa"/>
          </w:tcPr>
          <w:p>
            <w:pPr>
              <w:pStyle w:val="TableParagraph"/>
              <w:spacing w:line="131" w:lineRule="exact"/>
              <w:ind w:left="34"/>
              <w:rPr>
                <w:b/>
                <w:sz w:val="13"/>
              </w:rPr>
            </w:pPr>
            <w:r>
              <w:rPr>
                <w:b/>
                <w:w w:val="105"/>
                <w:sz w:val="13"/>
              </w:rPr>
              <w:t>2020</w:t>
            </w:r>
            <w:r>
              <w:rPr>
                <w:b/>
                <w:spacing w:val="-8"/>
                <w:w w:val="105"/>
                <w:sz w:val="13"/>
              </w:rPr>
              <w:t> </w:t>
            </w:r>
            <w:r>
              <w:rPr>
                <w:b/>
                <w:spacing w:val="-2"/>
                <w:w w:val="105"/>
                <w:sz w:val="13"/>
              </w:rPr>
              <w:t>instrument</w:t>
            </w:r>
          </w:p>
        </w:tc>
        <w:tc>
          <w:tcPr>
            <w:tcW w:w="1611" w:type="dxa"/>
            <w:tcBorders>
              <w:top w:val="single" w:sz="6" w:space="0" w:color="000000"/>
              <w:bottom w:val="single" w:sz="6" w:space="0" w:color="000000"/>
            </w:tcBorders>
          </w:tcPr>
          <w:p>
            <w:pPr>
              <w:pStyle w:val="TableParagraph"/>
              <w:spacing w:line="138" w:lineRule="exact"/>
              <w:ind w:left="26"/>
              <w:rPr>
                <w:b/>
                <w:sz w:val="13"/>
              </w:rPr>
            </w:pPr>
            <w:r>
              <w:rPr>
                <w:b/>
                <w:w w:val="105"/>
                <w:sz w:val="13"/>
              </w:rPr>
              <w:t>Notional</w:t>
            </w:r>
            <w:r>
              <w:rPr>
                <w:b/>
                <w:spacing w:val="-5"/>
                <w:w w:val="105"/>
                <w:sz w:val="13"/>
              </w:rPr>
              <w:t> </w:t>
            </w:r>
            <w:r>
              <w:rPr>
                <w:b/>
                <w:spacing w:val="-2"/>
                <w:w w:val="105"/>
                <w:sz w:val="13"/>
              </w:rPr>
              <w:t>amount</w:t>
            </w:r>
          </w:p>
        </w:tc>
        <w:tc>
          <w:tcPr>
            <w:tcW w:w="1127" w:type="dxa"/>
            <w:tcBorders>
              <w:top w:val="single" w:sz="6" w:space="0" w:color="000000"/>
              <w:bottom w:val="single" w:sz="6" w:space="0" w:color="000000"/>
            </w:tcBorders>
          </w:tcPr>
          <w:p>
            <w:pPr>
              <w:pStyle w:val="TableParagraph"/>
              <w:spacing w:line="138" w:lineRule="exact"/>
              <w:ind w:right="256"/>
              <w:jc w:val="right"/>
              <w:rPr>
                <w:b/>
                <w:sz w:val="13"/>
              </w:rPr>
            </w:pPr>
            <w:r>
              <w:rPr>
                <w:b/>
                <w:spacing w:val="-4"/>
                <w:w w:val="105"/>
                <w:sz w:val="13"/>
              </w:rPr>
              <w:t>Rate</w:t>
            </w:r>
          </w:p>
        </w:tc>
        <w:tc>
          <w:tcPr>
            <w:tcW w:w="1034" w:type="dxa"/>
            <w:tcBorders>
              <w:top w:val="single" w:sz="6" w:space="0" w:color="000000"/>
              <w:bottom w:val="single" w:sz="6" w:space="0" w:color="000000"/>
            </w:tcBorders>
          </w:tcPr>
          <w:p>
            <w:pPr>
              <w:pStyle w:val="TableParagraph"/>
              <w:spacing w:line="138" w:lineRule="exact"/>
              <w:ind w:left="90"/>
              <w:jc w:val="center"/>
              <w:rPr>
                <w:b/>
                <w:sz w:val="13"/>
              </w:rPr>
            </w:pPr>
            <w:r>
              <w:rPr>
                <w:b/>
                <w:spacing w:val="-2"/>
                <w:w w:val="105"/>
                <w:sz w:val="13"/>
              </w:rPr>
              <w:t>Expiry</w:t>
            </w:r>
          </w:p>
        </w:tc>
      </w:tr>
      <w:tr>
        <w:trPr>
          <w:trHeight w:val="153" w:hRule="atLeast"/>
        </w:trPr>
        <w:tc>
          <w:tcPr>
            <w:tcW w:w="3737" w:type="dxa"/>
          </w:tcPr>
          <w:p>
            <w:pPr>
              <w:pStyle w:val="TableParagraph"/>
              <w:spacing w:line="133" w:lineRule="exact"/>
              <w:ind w:left="34"/>
              <w:rPr>
                <w:b/>
                <w:sz w:val="13"/>
              </w:rPr>
            </w:pPr>
            <w:r>
              <w:rPr>
                <w:b/>
                <w:w w:val="105"/>
                <w:sz w:val="13"/>
              </w:rPr>
              <w:t>Forward</w:t>
            </w:r>
            <w:r>
              <w:rPr>
                <w:b/>
                <w:spacing w:val="-7"/>
                <w:w w:val="105"/>
                <w:sz w:val="13"/>
              </w:rPr>
              <w:t> </w:t>
            </w:r>
            <w:r>
              <w:rPr>
                <w:b/>
                <w:w w:val="105"/>
                <w:sz w:val="13"/>
              </w:rPr>
              <w:t>Foreign</w:t>
            </w:r>
            <w:r>
              <w:rPr>
                <w:b/>
                <w:spacing w:val="-6"/>
                <w:w w:val="105"/>
                <w:sz w:val="13"/>
              </w:rPr>
              <w:t> </w:t>
            </w:r>
            <w:r>
              <w:rPr>
                <w:b/>
                <w:w w:val="105"/>
                <w:sz w:val="13"/>
              </w:rPr>
              <w:t>Exchange</w:t>
            </w:r>
            <w:r>
              <w:rPr>
                <w:b/>
                <w:spacing w:val="-7"/>
                <w:w w:val="105"/>
                <w:sz w:val="13"/>
              </w:rPr>
              <w:t> </w:t>
            </w:r>
            <w:r>
              <w:rPr>
                <w:b/>
                <w:w w:val="105"/>
                <w:sz w:val="13"/>
              </w:rPr>
              <w:t>contract</w:t>
            </w:r>
            <w:r>
              <w:rPr>
                <w:b/>
                <w:spacing w:val="-5"/>
                <w:w w:val="105"/>
                <w:sz w:val="13"/>
              </w:rPr>
              <w:t> </w:t>
            </w:r>
            <w:r>
              <w:rPr>
                <w:b/>
                <w:spacing w:val="-2"/>
                <w:w w:val="105"/>
                <w:sz w:val="13"/>
              </w:rPr>
              <w:t>(buy)</w:t>
            </w:r>
          </w:p>
        </w:tc>
        <w:tc>
          <w:tcPr>
            <w:tcW w:w="1611" w:type="dxa"/>
            <w:tcBorders>
              <w:top w:val="single" w:sz="6" w:space="0" w:color="000000"/>
            </w:tcBorders>
          </w:tcPr>
          <w:p>
            <w:pPr>
              <w:pStyle w:val="TableParagraph"/>
              <w:spacing w:line="126" w:lineRule="exact"/>
              <w:ind w:left="26"/>
              <w:rPr>
                <w:sz w:val="13"/>
              </w:rPr>
            </w:pPr>
            <w:r>
              <w:rPr>
                <w:w w:val="105"/>
                <w:sz w:val="13"/>
              </w:rPr>
              <w:t>USD</w:t>
            </w:r>
            <w:r>
              <w:rPr>
                <w:spacing w:val="-4"/>
                <w:w w:val="105"/>
                <w:sz w:val="13"/>
              </w:rPr>
              <w:t> </w:t>
            </w:r>
            <w:r>
              <w:rPr>
                <w:w w:val="105"/>
                <w:sz w:val="13"/>
              </w:rPr>
              <w:t>$0.56</w:t>
            </w:r>
            <w:r>
              <w:rPr>
                <w:spacing w:val="-6"/>
                <w:w w:val="105"/>
                <w:sz w:val="13"/>
              </w:rPr>
              <w:t> </w:t>
            </w:r>
            <w:r>
              <w:rPr>
                <w:spacing w:val="-2"/>
                <w:w w:val="105"/>
                <w:sz w:val="13"/>
              </w:rPr>
              <w:t>million</w:t>
            </w:r>
          </w:p>
        </w:tc>
        <w:tc>
          <w:tcPr>
            <w:tcW w:w="1127" w:type="dxa"/>
            <w:tcBorders>
              <w:top w:val="single" w:sz="6" w:space="0" w:color="000000"/>
            </w:tcBorders>
          </w:tcPr>
          <w:p>
            <w:pPr>
              <w:pStyle w:val="TableParagraph"/>
              <w:spacing w:line="126" w:lineRule="exact"/>
              <w:ind w:right="222"/>
              <w:jc w:val="right"/>
              <w:rPr>
                <w:sz w:val="13"/>
              </w:rPr>
            </w:pPr>
            <w:r>
              <w:rPr>
                <w:spacing w:val="-2"/>
                <w:w w:val="105"/>
                <w:sz w:val="13"/>
              </w:rPr>
              <w:t>0.6506</w:t>
            </w:r>
          </w:p>
        </w:tc>
        <w:tc>
          <w:tcPr>
            <w:tcW w:w="1034" w:type="dxa"/>
            <w:tcBorders>
              <w:top w:val="single" w:sz="6" w:space="0" w:color="000000"/>
            </w:tcBorders>
          </w:tcPr>
          <w:p>
            <w:pPr>
              <w:pStyle w:val="TableParagraph"/>
              <w:spacing w:line="126" w:lineRule="exact"/>
              <w:ind w:left="90" w:right="2"/>
              <w:jc w:val="center"/>
              <w:rPr>
                <w:sz w:val="13"/>
              </w:rPr>
            </w:pPr>
            <w:r>
              <w:rPr>
                <w:spacing w:val="-2"/>
                <w:w w:val="105"/>
                <w:sz w:val="13"/>
              </w:rPr>
              <w:t>30/03/2021</w:t>
            </w:r>
          </w:p>
        </w:tc>
      </w:tr>
      <w:tr>
        <w:trPr>
          <w:trHeight w:val="168" w:hRule="atLeast"/>
        </w:trPr>
        <w:tc>
          <w:tcPr>
            <w:tcW w:w="3737" w:type="dxa"/>
          </w:tcPr>
          <w:p>
            <w:pPr>
              <w:pStyle w:val="TableParagraph"/>
              <w:rPr>
                <w:rFonts w:ascii="Times New Roman"/>
                <w:sz w:val="10"/>
              </w:rPr>
            </w:pPr>
          </w:p>
        </w:tc>
        <w:tc>
          <w:tcPr>
            <w:tcW w:w="1611" w:type="dxa"/>
          </w:tcPr>
          <w:p>
            <w:pPr>
              <w:pStyle w:val="TableParagraph"/>
              <w:spacing w:line="138" w:lineRule="exact" w:before="9"/>
              <w:ind w:left="26"/>
              <w:rPr>
                <w:sz w:val="13"/>
              </w:rPr>
            </w:pPr>
            <w:r>
              <w:rPr>
                <w:w w:val="105"/>
                <w:sz w:val="13"/>
              </w:rPr>
              <w:t>USD</w:t>
            </w:r>
            <w:r>
              <w:rPr>
                <w:spacing w:val="-4"/>
                <w:w w:val="105"/>
                <w:sz w:val="13"/>
              </w:rPr>
              <w:t> </w:t>
            </w:r>
            <w:r>
              <w:rPr>
                <w:w w:val="105"/>
                <w:sz w:val="13"/>
              </w:rPr>
              <w:t>$0.13</w:t>
            </w:r>
            <w:r>
              <w:rPr>
                <w:spacing w:val="-6"/>
                <w:w w:val="105"/>
                <w:sz w:val="13"/>
              </w:rPr>
              <w:t> </w:t>
            </w:r>
            <w:r>
              <w:rPr>
                <w:spacing w:val="-2"/>
                <w:w w:val="105"/>
                <w:sz w:val="13"/>
              </w:rPr>
              <w:t>million</w:t>
            </w:r>
          </w:p>
        </w:tc>
        <w:tc>
          <w:tcPr>
            <w:tcW w:w="1127" w:type="dxa"/>
          </w:tcPr>
          <w:p>
            <w:pPr>
              <w:pStyle w:val="TableParagraph"/>
              <w:spacing w:line="138" w:lineRule="exact" w:before="9"/>
              <w:ind w:right="222"/>
              <w:jc w:val="right"/>
              <w:rPr>
                <w:sz w:val="13"/>
              </w:rPr>
            </w:pPr>
            <w:r>
              <w:rPr>
                <w:spacing w:val="-2"/>
                <w:w w:val="105"/>
                <w:sz w:val="13"/>
              </w:rPr>
              <w:t>0.6508</w:t>
            </w:r>
          </w:p>
        </w:tc>
        <w:tc>
          <w:tcPr>
            <w:tcW w:w="1034" w:type="dxa"/>
          </w:tcPr>
          <w:p>
            <w:pPr>
              <w:pStyle w:val="TableParagraph"/>
              <w:spacing w:line="138" w:lineRule="exact" w:before="9"/>
              <w:ind w:left="90" w:right="1"/>
              <w:jc w:val="center"/>
              <w:rPr>
                <w:sz w:val="13"/>
              </w:rPr>
            </w:pPr>
            <w:r>
              <w:rPr>
                <w:spacing w:val="-2"/>
                <w:w w:val="105"/>
                <w:sz w:val="13"/>
              </w:rPr>
              <w:t>29/01/2021</w:t>
            </w:r>
          </w:p>
        </w:tc>
      </w:tr>
      <w:tr>
        <w:trPr>
          <w:trHeight w:val="168" w:hRule="atLeast"/>
        </w:trPr>
        <w:tc>
          <w:tcPr>
            <w:tcW w:w="3737" w:type="dxa"/>
          </w:tcPr>
          <w:p>
            <w:pPr>
              <w:pStyle w:val="TableParagraph"/>
              <w:rPr>
                <w:rFonts w:ascii="Times New Roman"/>
                <w:sz w:val="10"/>
              </w:rPr>
            </w:pPr>
          </w:p>
        </w:tc>
        <w:tc>
          <w:tcPr>
            <w:tcW w:w="1611" w:type="dxa"/>
          </w:tcPr>
          <w:p>
            <w:pPr>
              <w:pStyle w:val="TableParagraph"/>
              <w:spacing w:line="138" w:lineRule="exact" w:before="9"/>
              <w:ind w:left="26"/>
              <w:rPr>
                <w:sz w:val="13"/>
              </w:rPr>
            </w:pPr>
            <w:r>
              <w:rPr>
                <w:w w:val="105"/>
                <w:sz w:val="13"/>
              </w:rPr>
              <w:t>USD</w:t>
            </w:r>
            <w:r>
              <w:rPr>
                <w:spacing w:val="-4"/>
                <w:w w:val="105"/>
                <w:sz w:val="13"/>
              </w:rPr>
              <w:t> </w:t>
            </w:r>
            <w:r>
              <w:rPr>
                <w:w w:val="105"/>
                <w:sz w:val="13"/>
              </w:rPr>
              <w:t>$0.14</w:t>
            </w:r>
            <w:r>
              <w:rPr>
                <w:spacing w:val="-6"/>
                <w:w w:val="105"/>
                <w:sz w:val="13"/>
              </w:rPr>
              <w:t> </w:t>
            </w:r>
            <w:r>
              <w:rPr>
                <w:spacing w:val="-2"/>
                <w:w w:val="105"/>
                <w:sz w:val="13"/>
              </w:rPr>
              <w:t>million</w:t>
            </w:r>
          </w:p>
        </w:tc>
        <w:tc>
          <w:tcPr>
            <w:tcW w:w="1127" w:type="dxa"/>
          </w:tcPr>
          <w:p>
            <w:pPr>
              <w:pStyle w:val="TableParagraph"/>
              <w:spacing w:line="138" w:lineRule="exact" w:before="9"/>
              <w:ind w:right="222"/>
              <w:jc w:val="right"/>
              <w:rPr>
                <w:sz w:val="13"/>
              </w:rPr>
            </w:pPr>
            <w:r>
              <w:rPr>
                <w:spacing w:val="-2"/>
                <w:w w:val="105"/>
                <w:sz w:val="13"/>
              </w:rPr>
              <w:t>0.6504</w:t>
            </w:r>
          </w:p>
        </w:tc>
        <w:tc>
          <w:tcPr>
            <w:tcW w:w="1034" w:type="dxa"/>
          </w:tcPr>
          <w:p>
            <w:pPr>
              <w:pStyle w:val="TableParagraph"/>
              <w:spacing w:line="138" w:lineRule="exact" w:before="9"/>
              <w:ind w:left="90" w:right="1"/>
              <w:jc w:val="center"/>
              <w:rPr>
                <w:sz w:val="13"/>
              </w:rPr>
            </w:pPr>
            <w:r>
              <w:rPr>
                <w:spacing w:val="-2"/>
                <w:w w:val="105"/>
                <w:sz w:val="13"/>
              </w:rPr>
              <w:t>29/04/2021</w:t>
            </w:r>
          </w:p>
        </w:tc>
      </w:tr>
      <w:tr>
        <w:trPr>
          <w:trHeight w:val="175" w:hRule="atLeast"/>
        </w:trPr>
        <w:tc>
          <w:tcPr>
            <w:tcW w:w="3737" w:type="dxa"/>
          </w:tcPr>
          <w:p>
            <w:pPr>
              <w:pStyle w:val="TableParagraph"/>
              <w:rPr>
                <w:rFonts w:ascii="Times New Roman"/>
                <w:sz w:val="10"/>
              </w:rPr>
            </w:pPr>
          </w:p>
        </w:tc>
        <w:tc>
          <w:tcPr>
            <w:tcW w:w="1611" w:type="dxa"/>
            <w:tcBorders>
              <w:bottom w:val="single" w:sz="6" w:space="0" w:color="000000"/>
            </w:tcBorders>
          </w:tcPr>
          <w:p>
            <w:pPr>
              <w:pStyle w:val="TableParagraph"/>
              <w:spacing w:line="145" w:lineRule="exact" w:before="9"/>
              <w:ind w:left="26"/>
              <w:rPr>
                <w:sz w:val="13"/>
              </w:rPr>
            </w:pPr>
            <w:r>
              <w:rPr>
                <w:w w:val="105"/>
                <w:sz w:val="13"/>
              </w:rPr>
              <w:t>USD</w:t>
            </w:r>
            <w:r>
              <w:rPr>
                <w:spacing w:val="-4"/>
                <w:w w:val="105"/>
                <w:sz w:val="13"/>
              </w:rPr>
              <w:t> </w:t>
            </w:r>
            <w:r>
              <w:rPr>
                <w:w w:val="105"/>
                <w:sz w:val="13"/>
              </w:rPr>
              <w:t>$0.03</w:t>
            </w:r>
            <w:r>
              <w:rPr>
                <w:spacing w:val="-6"/>
                <w:w w:val="105"/>
                <w:sz w:val="13"/>
              </w:rPr>
              <w:t> </w:t>
            </w:r>
            <w:r>
              <w:rPr>
                <w:spacing w:val="-2"/>
                <w:w w:val="105"/>
                <w:sz w:val="13"/>
              </w:rPr>
              <w:t>million</w:t>
            </w:r>
          </w:p>
        </w:tc>
        <w:tc>
          <w:tcPr>
            <w:tcW w:w="1127" w:type="dxa"/>
            <w:tcBorders>
              <w:bottom w:val="single" w:sz="6" w:space="0" w:color="000000"/>
            </w:tcBorders>
          </w:tcPr>
          <w:p>
            <w:pPr>
              <w:pStyle w:val="TableParagraph"/>
              <w:spacing w:line="145" w:lineRule="exact" w:before="9"/>
              <w:ind w:right="222"/>
              <w:jc w:val="right"/>
              <w:rPr>
                <w:sz w:val="13"/>
              </w:rPr>
            </w:pPr>
            <w:r>
              <w:rPr>
                <w:spacing w:val="-2"/>
                <w:w w:val="105"/>
                <w:sz w:val="13"/>
              </w:rPr>
              <w:t>0.6507</w:t>
            </w:r>
          </w:p>
        </w:tc>
        <w:tc>
          <w:tcPr>
            <w:tcW w:w="1034" w:type="dxa"/>
            <w:tcBorders>
              <w:bottom w:val="single" w:sz="6" w:space="0" w:color="000000"/>
            </w:tcBorders>
          </w:tcPr>
          <w:p>
            <w:pPr>
              <w:pStyle w:val="TableParagraph"/>
              <w:spacing w:line="145" w:lineRule="exact" w:before="9"/>
              <w:ind w:left="90" w:right="1"/>
              <w:jc w:val="center"/>
              <w:rPr>
                <w:sz w:val="13"/>
              </w:rPr>
            </w:pPr>
            <w:r>
              <w:rPr>
                <w:spacing w:val="-2"/>
                <w:w w:val="105"/>
                <w:sz w:val="13"/>
              </w:rPr>
              <w:t>26/02/2021</w:t>
            </w:r>
          </w:p>
        </w:tc>
      </w:tr>
      <w:tr>
        <w:trPr>
          <w:trHeight w:val="150" w:hRule="atLeast"/>
        </w:trPr>
        <w:tc>
          <w:tcPr>
            <w:tcW w:w="3737" w:type="dxa"/>
          </w:tcPr>
          <w:p>
            <w:pPr>
              <w:pStyle w:val="TableParagraph"/>
              <w:rPr>
                <w:rFonts w:ascii="Times New Roman"/>
                <w:sz w:val="8"/>
              </w:rPr>
            </w:pPr>
          </w:p>
        </w:tc>
        <w:tc>
          <w:tcPr>
            <w:tcW w:w="1611" w:type="dxa"/>
            <w:tcBorders>
              <w:top w:val="single" w:sz="6" w:space="0" w:color="000000"/>
              <w:bottom w:val="single" w:sz="6" w:space="0" w:color="000000"/>
            </w:tcBorders>
          </w:tcPr>
          <w:p>
            <w:pPr>
              <w:pStyle w:val="TableParagraph"/>
              <w:rPr>
                <w:rFonts w:ascii="Times New Roman"/>
                <w:sz w:val="10"/>
              </w:rPr>
            </w:pPr>
          </w:p>
        </w:tc>
        <w:tc>
          <w:tcPr>
            <w:tcW w:w="1127" w:type="dxa"/>
            <w:tcBorders>
              <w:top w:val="single" w:sz="6" w:space="0" w:color="000000"/>
              <w:bottom w:val="single" w:sz="6" w:space="0" w:color="000000"/>
            </w:tcBorders>
          </w:tcPr>
          <w:p>
            <w:pPr>
              <w:pStyle w:val="TableParagraph"/>
              <w:rPr>
                <w:rFonts w:ascii="Times New Roman"/>
                <w:sz w:val="10"/>
              </w:rPr>
            </w:pPr>
          </w:p>
        </w:tc>
        <w:tc>
          <w:tcPr>
            <w:tcW w:w="1034" w:type="dxa"/>
            <w:tcBorders>
              <w:top w:val="single" w:sz="6" w:space="0" w:color="000000"/>
              <w:bottom w:val="single" w:sz="6" w:space="0" w:color="000000"/>
            </w:tcBorders>
          </w:tcPr>
          <w:p>
            <w:pPr>
              <w:pStyle w:val="TableParagraph"/>
              <w:rPr>
                <w:rFonts w:ascii="Times New Roman"/>
                <w:sz w:val="10"/>
              </w:rPr>
            </w:pPr>
          </w:p>
        </w:tc>
      </w:tr>
      <w:tr>
        <w:trPr>
          <w:trHeight w:val="157" w:hRule="atLeast"/>
        </w:trPr>
        <w:tc>
          <w:tcPr>
            <w:tcW w:w="3737" w:type="dxa"/>
          </w:tcPr>
          <w:p>
            <w:pPr>
              <w:pStyle w:val="TableParagraph"/>
              <w:spacing w:line="138" w:lineRule="exact"/>
              <w:ind w:left="34"/>
              <w:rPr>
                <w:b/>
                <w:sz w:val="13"/>
              </w:rPr>
            </w:pPr>
            <w:r>
              <w:rPr>
                <w:b/>
                <w:w w:val="105"/>
                <w:sz w:val="13"/>
              </w:rPr>
              <w:t>2019</w:t>
            </w:r>
            <w:r>
              <w:rPr>
                <w:b/>
                <w:spacing w:val="-8"/>
                <w:w w:val="105"/>
                <w:sz w:val="13"/>
              </w:rPr>
              <w:t> </w:t>
            </w:r>
            <w:r>
              <w:rPr>
                <w:b/>
                <w:spacing w:val="-2"/>
                <w:w w:val="105"/>
                <w:sz w:val="13"/>
              </w:rPr>
              <w:t>instrument</w:t>
            </w:r>
          </w:p>
        </w:tc>
        <w:tc>
          <w:tcPr>
            <w:tcW w:w="1611" w:type="dxa"/>
            <w:tcBorders>
              <w:top w:val="single" w:sz="6" w:space="0" w:color="000000"/>
              <w:bottom w:val="single" w:sz="6" w:space="0" w:color="000000"/>
            </w:tcBorders>
          </w:tcPr>
          <w:p>
            <w:pPr>
              <w:pStyle w:val="TableParagraph"/>
              <w:spacing w:line="133" w:lineRule="exact"/>
              <w:ind w:left="26"/>
              <w:rPr>
                <w:b/>
                <w:sz w:val="13"/>
              </w:rPr>
            </w:pPr>
            <w:r>
              <w:rPr>
                <w:b/>
                <w:w w:val="105"/>
                <w:sz w:val="13"/>
              </w:rPr>
              <w:t>Notional</w:t>
            </w:r>
            <w:r>
              <w:rPr>
                <w:b/>
                <w:spacing w:val="-5"/>
                <w:w w:val="105"/>
                <w:sz w:val="13"/>
              </w:rPr>
              <w:t> </w:t>
            </w:r>
            <w:r>
              <w:rPr>
                <w:b/>
                <w:spacing w:val="-2"/>
                <w:w w:val="105"/>
                <w:sz w:val="13"/>
              </w:rPr>
              <w:t>amount</w:t>
            </w:r>
          </w:p>
        </w:tc>
        <w:tc>
          <w:tcPr>
            <w:tcW w:w="1127" w:type="dxa"/>
            <w:tcBorders>
              <w:top w:val="single" w:sz="6" w:space="0" w:color="000000"/>
              <w:bottom w:val="single" w:sz="6" w:space="0" w:color="000000"/>
            </w:tcBorders>
          </w:tcPr>
          <w:p>
            <w:pPr>
              <w:pStyle w:val="TableParagraph"/>
              <w:spacing w:line="133" w:lineRule="exact"/>
              <w:ind w:right="256"/>
              <w:jc w:val="right"/>
              <w:rPr>
                <w:b/>
                <w:sz w:val="13"/>
              </w:rPr>
            </w:pPr>
            <w:r>
              <w:rPr>
                <w:b/>
                <w:spacing w:val="-4"/>
                <w:w w:val="105"/>
                <w:sz w:val="13"/>
              </w:rPr>
              <w:t>Rate</w:t>
            </w:r>
          </w:p>
        </w:tc>
        <w:tc>
          <w:tcPr>
            <w:tcW w:w="1034" w:type="dxa"/>
            <w:tcBorders>
              <w:top w:val="single" w:sz="6" w:space="0" w:color="000000"/>
              <w:bottom w:val="single" w:sz="6" w:space="0" w:color="000000"/>
            </w:tcBorders>
          </w:tcPr>
          <w:p>
            <w:pPr>
              <w:pStyle w:val="TableParagraph"/>
              <w:spacing w:line="133" w:lineRule="exact"/>
              <w:ind w:left="90"/>
              <w:jc w:val="center"/>
              <w:rPr>
                <w:b/>
                <w:sz w:val="13"/>
              </w:rPr>
            </w:pPr>
            <w:r>
              <w:rPr>
                <w:b/>
                <w:spacing w:val="-2"/>
                <w:w w:val="105"/>
                <w:sz w:val="13"/>
              </w:rPr>
              <w:t>Expiry</w:t>
            </w:r>
          </w:p>
        </w:tc>
      </w:tr>
      <w:tr>
        <w:trPr>
          <w:trHeight w:val="160" w:hRule="atLeast"/>
        </w:trPr>
        <w:tc>
          <w:tcPr>
            <w:tcW w:w="3737" w:type="dxa"/>
          </w:tcPr>
          <w:p>
            <w:pPr>
              <w:pStyle w:val="TableParagraph"/>
              <w:spacing w:line="140" w:lineRule="exact"/>
              <w:ind w:left="34"/>
              <w:rPr>
                <w:b/>
                <w:sz w:val="13"/>
              </w:rPr>
            </w:pPr>
            <w:r>
              <w:rPr>
                <w:b/>
                <w:w w:val="105"/>
                <w:sz w:val="13"/>
              </w:rPr>
              <w:t>Forward</w:t>
            </w:r>
            <w:r>
              <w:rPr>
                <w:b/>
                <w:spacing w:val="-7"/>
                <w:w w:val="105"/>
                <w:sz w:val="13"/>
              </w:rPr>
              <w:t> </w:t>
            </w:r>
            <w:r>
              <w:rPr>
                <w:b/>
                <w:w w:val="105"/>
                <w:sz w:val="13"/>
              </w:rPr>
              <w:t>Foreign</w:t>
            </w:r>
            <w:r>
              <w:rPr>
                <w:b/>
                <w:spacing w:val="-6"/>
                <w:w w:val="105"/>
                <w:sz w:val="13"/>
              </w:rPr>
              <w:t> </w:t>
            </w:r>
            <w:r>
              <w:rPr>
                <w:b/>
                <w:w w:val="105"/>
                <w:sz w:val="13"/>
              </w:rPr>
              <w:t>Exchange</w:t>
            </w:r>
            <w:r>
              <w:rPr>
                <w:b/>
                <w:spacing w:val="-7"/>
                <w:w w:val="105"/>
                <w:sz w:val="13"/>
              </w:rPr>
              <w:t> </w:t>
            </w:r>
            <w:r>
              <w:rPr>
                <w:b/>
                <w:w w:val="105"/>
                <w:sz w:val="13"/>
              </w:rPr>
              <w:t>contract</w:t>
            </w:r>
            <w:r>
              <w:rPr>
                <w:b/>
                <w:spacing w:val="-5"/>
                <w:w w:val="105"/>
                <w:sz w:val="13"/>
              </w:rPr>
              <w:t> </w:t>
            </w:r>
            <w:r>
              <w:rPr>
                <w:b/>
                <w:spacing w:val="-2"/>
                <w:w w:val="105"/>
                <w:sz w:val="13"/>
              </w:rPr>
              <w:t>(buy)</w:t>
            </w:r>
          </w:p>
        </w:tc>
        <w:tc>
          <w:tcPr>
            <w:tcW w:w="1611" w:type="dxa"/>
            <w:tcBorders>
              <w:top w:val="single" w:sz="6" w:space="0" w:color="000000"/>
              <w:bottom w:val="single" w:sz="6" w:space="0" w:color="000000"/>
            </w:tcBorders>
          </w:tcPr>
          <w:p>
            <w:pPr>
              <w:pStyle w:val="TableParagraph"/>
              <w:spacing w:line="138" w:lineRule="exact"/>
              <w:ind w:left="26"/>
              <w:rPr>
                <w:sz w:val="13"/>
              </w:rPr>
            </w:pPr>
            <w:r>
              <w:rPr>
                <w:w w:val="105"/>
                <w:sz w:val="13"/>
              </w:rPr>
              <w:t>USD</w:t>
            </w:r>
            <w:r>
              <w:rPr>
                <w:spacing w:val="-4"/>
                <w:w w:val="105"/>
                <w:sz w:val="13"/>
              </w:rPr>
              <w:t> </w:t>
            </w:r>
            <w:r>
              <w:rPr>
                <w:w w:val="105"/>
                <w:sz w:val="13"/>
              </w:rPr>
              <w:t>$0.24</w:t>
            </w:r>
            <w:r>
              <w:rPr>
                <w:spacing w:val="-6"/>
                <w:w w:val="105"/>
                <w:sz w:val="13"/>
              </w:rPr>
              <w:t> </w:t>
            </w:r>
            <w:r>
              <w:rPr>
                <w:spacing w:val="-2"/>
                <w:w w:val="105"/>
                <w:sz w:val="13"/>
              </w:rPr>
              <w:t>million</w:t>
            </w:r>
          </w:p>
        </w:tc>
        <w:tc>
          <w:tcPr>
            <w:tcW w:w="1127" w:type="dxa"/>
            <w:tcBorders>
              <w:top w:val="single" w:sz="6" w:space="0" w:color="000000"/>
              <w:bottom w:val="single" w:sz="6" w:space="0" w:color="000000"/>
            </w:tcBorders>
          </w:tcPr>
          <w:p>
            <w:pPr>
              <w:pStyle w:val="TableParagraph"/>
              <w:spacing w:line="138" w:lineRule="exact"/>
              <w:ind w:right="222"/>
              <w:jc w:val="right"/>
              <w:rPr>
                <w:sz w:val="13"/>
              </w:rPr>
            </w:pPr>
            <w:r>
              <w:rPr>
                <w:spacing w:val="-2"/>
                <w:w w:val="105"/>
                <w:sz w:val="13"/>
              </w:rPr>
              <w:t>0.7280</w:t>
            </w:r>
          </w:p>
        </w:tc>
        <w:tc>
          <w:tcPr>
            <w:tcW w:w="1034" w:type="dxa"/>
            <w:tcBorders>
              <w:top w:val="single" w:sz="6" w:space="0" w:color="000000"/>
              <w:bottom w:val="single" w:sz="6" w:space="0" w:color="000000"/>
            </w:tcBorders>
          </w:tcPr>
          <w:p>
            <w:pPr>
              <w:pStyle w:val="TableParagraph"/>
              <w:spacing w:line="138" w:lineRule="exact"/>
              <w:ind w:left="90" w:right="2"/>
              <w:jc w:val="center"/>
              <w:rPr>
                <w:sz w:val="13"/>
              </w:rPr>
            </w:pPr>
            <w:r>
              <w:rPr>
                <w:spacing w:val="-2"/>
                <w:w w:val="105"/>
                <w:sz w:val="13"/>
              </w:rPr>
              <w:t>31/01/2020</w:t>
            </w:r>
          </w:p>
        </w:tc>
      </w:tr>
    </w:tbl>
    <w:p>
      <w:pPr>
        <w:spacing w:line="240" w:lineRule="auto" w:before="0"/>
        <w:rPr>
          <w:sz w:val="13"/>
        </w:rPr>
      </w:pPr>
    </w:p>
    <w:p>
      <w:pPr>
        <w:spacing w:line="240" w:lineRule="auto" w:before="33"/>
        <w:rPr>
          <w:sz w:val="13"/>
        </w:rPr>
      </w:pPr>
    </w:p>
    <w:p>
      <w:pPr>
        <w:spacing w:before="1"/>
        <w:ind w:left="650" w:right="0" w:firstLine="0"/>
        <w:jc w:val="left"/>
        <w:rPr>
          <w:sz w:val="13"/>
        </w:rPr>
      </w:pPr>
      <w:r>
        <w:rPr>
          <w:w w:val="105"/>
          <w:sz w:val="13"/>
        </w:rPr>
        <w:t>Subsequent</w:t>
      </w:r>
      <w:r>
        <w:rPr>
          <w:spacing w:val="-9"/>
          <w:w w:val="105"/>
          <w:sz w:val="13"/>
        </w:rPr>
        <w:t> </w:t>
      </w:r>
      <w:r>
        <w:rPr>
          <w:w w:val="105"/>
          <w:sz w:val="13"/>
        </w:rPr>
        <w:t>to</w:t>
      </w:r>
      <w:r>
        <w:rPr>
          <w:spacing w:val="-8"/>
          <w:w w:val="105"/>
          <w:sz w:val="13"/>
        </w:rPr>
        <w:t> </w:t>
      </w:r>
      <w:r>
        <w:rPr>
          <w:w w:val="105"/>
          <w:sz w:val="13"/>
        </w:rPr>
        <w:t>the</w:t>
      </w:r>
      <w:r>
        <w:rPr>
          <w:spacing w:val="-9"/>
          <w:w w:val="105"/>
          <w:sz w:val="13"/>
        </w:rPr>
        <w:t> </w:t>
      </w:r>
      <w:r>
        <w:rPr>
          <w:w w:val="105"/>
          <w:sz w:val="13"/>
        </w:rPr>
        <w:t>year-end,</w:t>
      </w:r>
      <w:r>
        <w:rPr>
          <w:spacing w:val="-8"/>
          <w:w w:val="105"/>
          <w:sz w:val="13"/>
        </w:rPr>
        <w:t> </w:t>
      </w:r>
      <w:r>
        <w:rPr>
          <w:w w:val="105"/>
          <w:sz w:val="13"/>
        </w:rPr>
        <w:t>a</w:t>
      </w:r>
      <w:r>
        <w:rPr>
          <w:spacing w:val="-9"/>
          <w:w w:val="105"/>
          <w:sz w:val="13"/>
        </w:rPr>
        <w:t> </w:t>
      </w:r>
      <w:r>
        <w:rPr>
          <w:w w:val="105"/>
          <w:sz w:val="13"/>
        </w:rPr>
        <w:t>Forward</w:t>
      </w:r>
      <w:r>
        <w:rPr>
          <w:spacing w:val="-8"/>
          <w:w w:val="105"/>
          <w:sz w:val="13"/>
        </w:rPr>
        <w:t> </w:t>
      </w:r>
      <w:r>
        <w:rPr>
          <w:w w:val="105"/>
          <w:sz w:val="13"/>
        </w:rPr>
        <w:t>Exchange</w:t>
      </w:r>
      <w:r>
        <w:rPr>
          <w:spacing w:val="-8"/>
          <w:w w:val="105"/>
          <w:sz w:val="13"/>
        </w:rPr>
        <w:t> </w:t>
      </w:r>
      <w:r>
        <w:rPr>
          <w:w w:val="105"/>
          <w:sz w:val="13"/>
        </w:rPr>
        <w:t>contract</w:t>
      </w:r>
      <w:r>
        <w:rPr>
          <w:spacing w:val="-9"/>
          <w:w w:val="105"/>
          <w:sz w:val="13"/>
        </w:rPr>
        <w:t> </w:t>
      </w:r>
      <w:r>
        <w:rPr>
          <w:w w:val="105"/>
          <w:sz w:val="13"/>
        </w:rPr>
        <w:t>with</w:t>
      </w:r>
      <w:r>
        <w:rPr>
          <w:spacing w:val="-8"/>
          <w:w w:val="105"/>
          <w:sz w:val="13"/>
        </w:rPr>
        <w:t> </w:t>
      </w:r>
      <w:r>
        <w:rPr>
          <w:w w:val="105"/>
          <w:sz w:val="13"/>
        </w:rPr>
        <w:t>a</w:t>
      </w:r>
      <w:r>
        <w:rPr>
          <w:spacing w:val="-9"/>
          <w:w w:val="105"/>
          <w:sz w:val="13"/>
        </w:rPr>
        <w:t> </w:t>
      </w:r>
      <w:r>
        <w:rPr>
          <w:w w:val="105"/>
          <w:sz w:val="13"/>
        </w:rPr>
        <w:t>notional</w:t>
      </w:r>
      <w:r>
        <w:rPr>
          <w:spacing w:val="-7"/>
          <w:w w:val="105"/>
          <w:sz w:val="13"/>
        </w:rPr>
        <w:t> </w:t>
      </w:r>
      <w:r>
        <w:rPr>
          <w:w w:val="105"/>
          <w:sz w:val="13"/>
        </w:rPr>
        <w:t>value</w:t>
      </w:r>
      <w:r>
        <w:rPr>
          <w:spacing w:val="-9"/>
          <w:w w:val="105"/>
          <w:sz w:val="13"/>
        </w:rPr>
        <w:t> </w:t>
      </w:r>
      <w:r>
        <w:rPr>
          <w:w w:val="105"/>
          <w:sz w:val="13"/>
        </w:rPr>
        <w:t>USD</w:t>
      </w:r>
      <w:r>
        <w:rPr>
          <w:spacing w:val="-7"/>
          <w:w w:val="105"/>
          <w:sz w:val="13"/>
        </w:rPr>
        <w:t> </w:t>
      </w:r>
      <w:r>
        <w:rPr>
          <w:w w:val="105"/>
          <w:sz w:val="13"/>
        </w:rPr>
        <w:t>$6</w:t>
      </w:r>
      <w:r>
        <w:rPr>
          <w:spacing w:val="-9"/>
          <w:w w:val="105"/>
          <w:sz w:val="13"/>
        </w:rPr>
        <w:t> </w:t>
      </w:r>
      <w:r>
        <w:rPr>
          <w:w w:val="105"/>
          <w:sz w:val="13"/>
        </w:rPr>
        <w:t>million</w:t>
      </w:r>
      <w:r>
        <w:rPr>
          <w:spacing w:val="-8"/>
          <w:w w:val="105"/>
          <w:sz w:val="13"/>
        </w:rPr>
        <w:t> </w:t>
      </w:r>
      <w:r>
        <w:rPr>
          <w:w w:val="105"/>
          <w:sz w:val="13"/>
        </w:rPr>
        <w:t>expiring</w:t>
      </w:r>
      <w:r>
        <w:rPr>
          <w:spacing w:val="-8"/>
          <w:w w:val="105"/>
          <w:sz w:val="13"/>
        </w:rPr>
        <w:t> </w:t>
      </w:r>
      <w:r>
        <w:rPr>
          <w:w w:val="105"/>
          <w:sz w:val="13"/>
        </w:rPr>
        <w:t>31/12/2021</w:t>
      </w:r>
      <w:r>
        <w:rPr>
          <w:spacing w:val="-9"/>
          <w:w w:val="105"/>
          <w:sz w:val="13"/>
        </w:rPr>
        <w:t> </w:t>
      </w:r>
      <w:r>
        <w:rPr>
          <w:w w:val="105"/>
          <w:sz w:val="13"/>
        </w:rPr>
        <w:t>was</w:t>
      </w:r>
      <w:r>
        <w:rPr>
          <w:spacing w:val="-7"/>
          <w:w w:val="105"/>
          <w:sz w:val="13"/>
        </w:rPr>
        <w:t> </w:t>
      </w:r>
      <w:r>
        <w:rPr>
          <w:w w:val="105"/>
          <w:sz w:val="13"/>
        </w:rPr>
        <w:t>entered</w:t>
      </w:r>
      <w:r>
        <w:rPr>
          <w:spacing w:val="-9"/>
          <w:w w:val="105"/>
          <w:sz w:val="13"/>
        </w:rPr>
        <w:t> </w:t>
      </w:r>
      <w:r>
        <w:rPr>
          <w:spacing w:val="-2"/>
          <w:w w:val="105"/>
          <w:sz w:val="13"/>
        </w:rPr>
        <w:t>into.</w:t>
      </w:r>
    </w:p>
    <w:p>
      <w:pPr>
        <w:spacing w:line="240" w:lineRule="auto" w:before="59"/>
        <w:rPr>
          <w:sz w:val="13"/>
        </w:rPr>
      </w:pPr>
    </w:p>
    <w:p>
      <w:pPr>
        <w:spacing w:line="273" w:lineRule="auto" w:before="0"/>
        <w:ind w:left="650" w:right="291" w:firstLine="0"/>
        <w:jc w:val="both"/>
        <w:rPr>
          <w:sz w:val="13"/>
        </w:rPr>
      </w:pPr>
      <w:r>
        <w:rPr>
          <w:w w:val="105"/>
          <w:sz w:val="13"/>
        </w:rPr>
        <w:t>Where possible, the Group requires that transactions be contracted in Australian dollars and, if this is not possible, then forward currency</w:t>
      </w:r>
      <w:r>
        <w:rPr>
          <w:spacing w:val="40"/>
          <w:w w:val="105"/>
          <w:sz w:val="13"/>
        </w:rPr>
        <w:t> </w:t>
      </w:r>
      <w:r>
        <w:rPr>
          <w:w w:val="105"/>
          <w:sz w:val="13"/>
        </w:rPr>
        <w:t>contracts</w:t>
      </w:r>
      <w:r>
        <w:rPr>
          <w:w w:val="105"/>
          <w:sz w:val="13"/>
        </w:rPr>
        <w:t> may be</w:t>
      </w:r>
      <w:r>
        <w:rPr>
          <w:w w:val="105"/>
          <w:sz w:val="13"/>
        </w:rPr>
        <w:t> considered</w:t>
      </w:r>
      <w:r>
        <w:rPr>
          <w:w w:val="105"/>
          <w:sz w:val="13"/>
        </w:rPr>
        <w:t> to</w:t>
      </w:r>
      <w:r>
        <w:rPr>
          <w:w w:val="105"/>
          <w:sz w:val="13"/>
        </w:rPr>
        <w:t> manage</w:t>
      </w:r>
      <w:r>
        <w:rPr>
          <w:w w:val="105"/>
          <w:sz w:val="13"/>
        </w:rPr>
        <w:t> the</w:t>
      </w:r>
      <w:r>
        <w:rPr>
          <w:w w:val="105"/>
          <w:sz w:val="13"/>
        </w:rPr>
        <w:t> currency exposure.</w:t>
      </w:r>
      <w:r>
        <w:rPr>
          <w:w w:val="105"/>
          <w:sz w:val="13"/>
        </w:rPr>
        <w:t> The</w:t>
      </w:r>
      <w:r>
        <w:rPr>
          <w:w w:val="105"/>
          <w:sz w:val="13"/>
        </w:rPr>
        <w:t> Group</w:t>
      </w:r>
      <w:r>
        <w:rPr>
          <w:w w:val="105"/>
          <w:sz w:val="13"/>
        </w:rPr>
        <w:t> enters</w:t>
      </w:r>
      <w:r>
        <w:rPr>
          <w:w w:val="105"/>
          <w:sz w:val="13"/>
        </w:rPr>
        <w:t> into</w:t>
      </w:r>
      <w:r>
        <w:rPr>
          <w:w w:val="105"/>
          <w:sz w:val="13"/>
        </w:rPr>
        <w:t> a</w:t>
      </w:r>
      <w:r>
        <w:rPr>
          <w:w w:val="105"/>
          <w:sz w:val="13"/>
        </w:rPr>
        <w:t> forward</w:t>
      </w:r>
      <w:r>
        <w:rPr>
          <w:w w:val="105"/>
          <w:sz w:val="13"/>
        </w:rPr>
        <w:t> contract</w:t>
      </w:r>
      <w:r>
        <w:rPr>
          <w:w w:val="105"/>
          <w:sz w:val="13"/>
        </w:rPr>
        <w:t> when</w:t>
      </w:r>
      <w:r>
        <w:rPr>
          <w:w w:val="105"/>
          <w:sz w:val="13"/>
        </w:rPr>
        <w:t> there is</w:t>
      </w:r>
      <w:r>
        <w:rPr>
          <w:w w:val="105"/>
          <w:sz w:val="13"/>
        </w:rPr>
        <w:t> an</w:t>
      </w:r>
      <w:r>
        <w:rPr>
          <w:w w:val="105"/>
          <w:sz w:val="13"/>
        </w:rPr>
        <w:t> underlying</w:t>
      </w:r>
      <w:r>
        <w:rPr>
          <w:spacing w:val="40"/>
          <w:w w:val="105"/>
          <w:sz w:val="13"/>
        </w:rPr>
        <w:t> </w:t>
      </w:r>
      <w:r>
        <w:rPr>
          <w:w w:val="105"/>
          <w:sz w:val="13"/>
        </w:rPr>
        <w:t>actual exposure and not for speculative purposes.</w:t>
      </w:r>
    </w:p>
    <w:p>
      <w:pPr>
        <w:spacing w:line="240" w:lineRule="auto" w:before="21"/>
        <w:rPr>
          <w:sz w:val="13"/>
        </w:rPr>
      </w:pPr>
    </w:p>
    <w:p>
      <w:pPr>
        <w:spacing w:line="273" w:lineRule="auto" w:before="0"/>
        <w:ind w:left="650" w:right="296" w:firstLine="0"/>
        <w:jc w:val="both"/>
        <w:rPr>
          <w:sz w:val="13"/>
        </w:rPr>
      </w:pPr>
      <w:r>
        <w:rPr>
          <w:w w:val="105"/>
          <w:sz w:val="13"/>
        </w:rPr>
        <w:t>The Group's portfolio of</w:t>
      </w:r>
      <w:r>
        <w:rPr>
          <w:w w:val="105"/>
          <w:sz w:val="13"/>
        </w:rPr>
        <w:t> investment assets includes, amongst other things, investments in unit trusts which have underlying exposure to</w:t>
      </w:r>
      <w:r>
        <w:rPr>
          <w:spacing w:val="40"/>
          <w:w w:val="105"/>
          <w:sz w:val="13"/>
        </w:rPr>
        <w:t> </w:t>
      </w:r>
      <w:r>
        <w:rPr>
          <w:w w:val="105"/>
          <w:sz w:val="13"/>
        </w:rPr>
        <w:t>international debt, equity</w:t>
      </w:r>
      <w:r>
        <w:rPr>
          <w:spacing w:val="-3"/>
          <w:w w:val="105"/>
          <w:sz w:val="13"/>
        </w:rPr>
        <w:t> </w:t>
      </w:r>
      <w:r>
        <w:rPr>
          <w:w w:val="105"/>
          <w:sz w:val="13"/>
        </w:rPr>
        <w:t>and property</w:t>
      </w:r>
      <w:r>
        <w:rPr>
          <w:spacing w:val="-3"/>
          <w:w w:val="105"/>
          <w:sz w:val="13"/>
        </w:rPr>
        <w:t> </w:t>
      </w:r>
      <w:r>
        <w:rPr>
          <w:w w:val="105"/>
          <w:sz w:val="13"/>
        </w:rPr>
        <w:t>asset classes. This risk is</w:t>
      </w:r>
      <w:r>
        <w:rPr>
          <w:spacing w:val="37"/>
          <w:w w:val="105"/>
          <w:sz w:val="13"/>
        </w:rPr>
        <w:t> </w:t>
      </w:r>
      <w:r>
        <w:rPr>
          <w:w w:val="105"/>
          <w:sz w:val="13"/>
        </w:rPr>
        <w:t>managed under the Investment Policy</w:t>
      </w:r>
      <w:r>
        <w:rPr>
          <w:spacing w:val="-1"/>
          <w:w w:val="105"/>
          <w:sz w:val="13"/>
        </w:rPr>
        <w:t> </w:t>
      </w:r>
      <w:r>
        <w:rPr>
          <w:w w:val="105"/>
          <w:sz w:val="13"/>
        </w:rPr>
        <w:t>Statement, which sets parameters</w:t>
      </w:r>
      <w:r>
        <w:rPr>
          <w:spacing w:val="40"/>
          <w:w w:val="105"/>
          <w:sz w:val="13"/>
        </w:rPr>
        <w:t> </w:t>
      </w:r>
      <w:r>
        <w:rPr>
          <w:w w:val="105"/>
          <w:sz w:val="13"/>
        </w:rPr>
        <w:t>for</w:t>
      </w:r>
      <w:r>
        <w:rPr>
          <w:w w:val="105"/>
          <w:sz w:val="13"/>
        </w:rPr>
        <w:t> the</w:t>
      </w:r>
      <w:r>
        <w:rPr>
          <w:w w:val="105"/>
          <w:sz w:val="13"/>
        </w:rPr>
        <w:t> level</w:t>
      </w:r>
      <w:r>
        <w:rPr>
          <w:w w:val="105"/>
          <w:sz w:val="13"/>
        </w:rPr>
        <w:t> of</w:t>
      </w:r>
      <w:r>
        <w:rPr>
          <w:w w:val="105"/>
          <w:sz w:val="13"/>
        </w:rPr>
        <w:t> exposure</w:t>
      </w:r>
      <w:r>
        <w:rPr>
          <w:w w:val="105"/>
          <w:sz w:val="13"/>
        </w:rPr>
        <w:t> to</w:t>
      </w:r>
      <w:r>
        <w:rPr>
          <w:w w:val="105"/>
          <w:sz w:val="13"/>
        </w:rPr>
        <w:t> unhedged</w:t>
      </w:r>
      <w:r>
        <w:rPr>
          <w:w w:val="105"/>
          <w:sz w:val="13"/>
        </w:rPr>
        <w:t> asset</w:t>
      </w:r>
      <w:r>
        <w:rPr>
          <w:w w:val="105"/>
          <w:sz w:val="13"/>
        </w:rPr>
        <w:t> classes.</w:t>
      </w:r>
      <w:r>
        <w:rPr>
          <w:w w:val="105"/>
          <w:sz w:val="13"/>
        </w:rPr>
        <w:t> Currently,</w:t>
      </w:r>
      <w:r>
        <w:rPr>
          <w:w w:val="105"/>
          <w:sz w:val="13"/>
        </w:rPr>
        <w:t> the</w:t>
      </w:r>
      <w:r>
        <w:rPr>
          <w:w w:val="105"/>
          <w:sz w:val="13"/>
        </w:rPr>
        <w:t> Group</w:t>
      </w:r>
      <w:r>
        <w:rPr>
          <w:w w:val="105"/>
          <w:sz w:val="13"/>
        </w:rPr>
        <w:t> only invests</w:t>
      </w:r>
      <w:r>
        <w:rPr>
          <w:w w:val="105"/>
          <w:sz w:val="13"/>
        </w:rPr>
        <w:t> in</w:t>
      </w:r>
      <w:r>
        <w:rPr>
          <w:w w:val="105"/>
          <w:sz w:val="13"/>
        </w:rPr>
        <w:t> unit</w:t>
      </w:r>
      <w:r>
        <w:rPr>
          <w:w w:val="105"/>
          <w:sz w:val="13"/>
        </w:rPr>
        <w:t> trusts</w:t>
      </w:r>
      <w:r>
        <w:rPr>
          <w:w w:val="105"/>
          <w:sz w:val="13"/>
        </w:rPr>
        <w:t> priced</w:t>
      </w:r>
      <w:r>
        <w:rPr>
          <w:w w:val="105"/>
          <w:sz w:val="13"/>
        </w:rPr>
        <w:t> in</w:t>
      </w:r>
      <w:r>
        <w:rPr>
          <w:w w:val="105"/>
          <w:sz w:val="13"/>
        </w:rPr>
        <w:t> Australian</w:t>
      </w:r>
      <w:r>
        <w:rPr>
          <w:w w:val="105"/>
          <w:sz w:val="13"/>
        </w:rPr>
        <w:t> dollars,</w:t>
      </w:r>
      <w:r>
        <w:rPr>
          <w:spacing w:val="40"/>
          <w:w w:val="105"/>
          <w:sz w:val="13"/>
        </w:rPr>
        <w:t> </w:t>
      </w:r>
      <w:r>
        <w:rPr>
          <w:w w:val="105"/>
          <w:sz w:val="13"/>
        </w:rPr>
        <w:t>consequently there is no direct foreign currency risk, risk is reflected in other price risk through changes in Australian dollar quoted unit</w:t>
      </w:r>
      <w:r>
        <w:rPr>
          <w:spacing w:val="40"/>
          <w:w w:val="105"/>
          <w:sz w:val="13"/>
        </w:rPr>
        <w:t> </w:t>
      </w:r>
      <w:r>
        <w:rPr>
          <w:spacing w:val="-2"/>
          <w:w w:val="105"/>
          <w:sz w:val="13"/>
        </w:rPr>
        <w:t>prices.</w:t>
      </w:r>
    </w:p>
    <w:p>
      <w:pPr>
        <w:spacing w:line="240" w:lineRule="auto" w:before="21"/>
        <w:rPr>
          <w:sz w:val="13"/>
        </w:rPr>
      </w:pPr>
    </w:p>
    <w:p>
      <w:pPr>
        <w:spacing w:line="273" w:lineRule="auto" w:before="0"/>
        <w:ind w:left="649" w:right="296" w:firstLine="0"/>
        <w:jc w:val="both"/>
        <w:rPr>
          <w:sz w:val="13"/>
        </w:rPr>
      </w:pPr>
      <w:r>
        <w:rPr>
          <w:w w:val="105"/>
          <w:sz w:val="13"/>
        </w:rPr>
        <w:t>The</w:t>
      </w:r>
      <w:r>
        <w:rPr>
          <w:w w:val="105"/>
          <w:sz w:val="13"/>
        </w:rPr>
        <w:t> Debt</w:t>
      </w:r>
      <w:r>
        <w:rPr>
          <w:w w:val="105"/>
          <w:sz w:val="13"/>
        </w:rPr>
        <w:t> Management</w:t>
      </w:r>
      <w:r>
        <w:rPr>
          <w:w w:val="105"/>
          <w:sz w:val="13"/>
        </w:rPr>
        <w:t> Policy</w:t>
      </w:r>
      <w:r>
        <w:rPr>
          <w:w w:val="105"/>
          <w:sz w:val="13"/>
        </w:rPr>
        <w:t> restricts</w:t>
      </w:r>
      <w:r>
        <w:rPr>
          <w:w w:val="105"/>
          <w:sz w:val="13"/>
        </w:rPr>
        <w:t> borrowings</w:t>
      </w:r>
      <w:r>
        <w:rPr>
          <w:w w:val="105"/>
          <w:sz w:val="13"/>
        </w:rPr>
        <w:t> so</w:t>
      </w:r>
      <w:r>
        <w:rPr>
          <w:w w:val="105"/>
          <w:sz w:val="13"/>
        </w:rPr>
        <w:t> that</w:t>
      </w:r>
      <w:r>
        <w:rPr>
          <w:w w:val="105"/>
          <w:sz w:val="13"/>
        </w:rPr>
        <w:t> all</w:t>
      </w:r>
      <w:r>
        <w:rPr>
          <w:w w:val="105"/>
          <w:sz w:val="13"/>
        </w:rPr>
        <w:t> borrowings</w:t>
      </w:r>
      <w:r>
        <w:rPr>
          <w:w w:val="105"/>
          <w:sz w:val="13"/>
        </w:rPr>
        <w:t> are</w:t>
      </w:r>
      <w:r>
        <w:rPr>
          <w:w w:val="105"/>
          <w:sz w:val="13"/>
        </w:rPr>
        <w:t> in</w:t>
      </w:r>
      <w:r>
        <w:rPr>
          <w:w w:val="105"/>
          <w:sz w:val="13"/>
        </w:rPr>
        <w:t> Australian</w:t>
      </w:r>
      <w:r>
        <w:rPr>
          <w:w w:val="105"/>
          <w:sz w:val="13"/>
        </w:rPr>
        <w:t> currency</w:t>
      </w:r>
      <w:r>
        <w:rPr>
          <w:w w:val="105"/>
          <w:sz w:val="13"/>
        </w:rPr>
        <w:t> only.</w:t>
      </w:r>
      <w:r>
        <w:rPr>
          <w:w w:val="105"/>
          <w:sz w:val="13"/>
        </w:rPr>
        <w:t> Specific</w:t>
      </w:r>
      <w:r>
        <w:rPr>
          <w:w w:val="105"/>
          <w:sz w:val="13"/>
        </w:rPr>
        <w:t> Senate</w:t>
      </w:r>
      <w:r>
        <w:rPr>
          <w:w w:val="105"/>
          <w:sz w:val="13"/>
        </w:rPr>
        <w:t> approval</w:t>
      </w:r>
      <w:r>
        <w:rPr>
          <w:w w:val="105"/>
          <w:sz w:val="13"/>
        </w:rPr>
        <w:t> is</w:t>
      </w:r>
      <w:r>
        <w:rPr>
          <w:spacing w:val="40"/>
          <w:w w:val="105"/>
          <w:sz w:val="13"/>
        </w:rPr>
        <w:t> </w:t>
      </w:r>
      <w:r>
        <w:rPr>
          <w:w w:val="105"/>
          <w:sz w:val="13"/>
        </w:rPr>
        <w:t>required for foreign currency borrowings.</w:t>
      </w:r>
    </w:p>
    <w:p>
      <w:pPr>
        <w:spacing w:line="240" w:lineRule="auto" w:before="21"/>
        <w:rPr>
          <w:sz w:val="13"/>
        </w:rPr>
      </w:pPr>
    </w:p>
    <w:p>
      <w:pPr>
        <w:spacing w:before="0"/>
        <w:ind w:left="649" w:right="0" w:firstLine="0"/>
        <w:jc w:val="both"/>
        <w:rPr>
          <w:sz w:val="13"/>
        </w:rPr>
      </w:pPr>
      <w:r>
        <w:rPr>
          <w:w w:val="105"/>
          <w:sz w:val="13"/>
        </w:rPr>
        <w:t>Given</w:t>
      </w:r>
      <w:r>
        <w:rPr>
          <w:spacing w:val="-8"/>
          <w:w w:val="105"/>
          <w:sz w:val="13"/>
        </w:rPr>
        <w:t> </w:t>
      </w:r>
      <w:r>
        <w:rPr>
          <w:w w:val="105"/>
          <w:sz w:val="13"/>
        </w:rPr>
        <w:t>these</w:t>
      </w:r>
      <w:r>
        <w:rPr>
          <w:spacing w:val="-8"/>
          <w:w w:val="105"/>
          <w:sz w:val="13"/>
        </w:rPr>
        <w:t> </w:t>
      </w:r>
      <w:r>
        <w:rPr>
          <w:w w:val="105"/>
          <w:sz w:val="13"/>
        </w:rPr>
        <w:t>risk</w:t>
      </w:r>
      <w:r>
        <w:rPr>
          <w:spacing w:val="-5"/>
          <w:w w:val="105"/>
          <w:sz w:val="13"/>
        </w:rPr>
        <w:t> </w:t>
      </w:r>
      <w:r>
        <w:rPr>
          <w:w w:val="105"/>
          <w:sz w:val="13"/>
        </w:rPr>
        <w:t>management</w:t>
      </w:r>
      <w:r>
        <w:rPr>
          <w:spacing w:val="-8"/>
          <w:w w:val="105"/>
          <w:sz w:val="13"/>
        </w:rPr>
        <w:t> </w:t>
      </w:r>
      <w:r>
        <w:rPr>
          <w:w w:val="105"/>
          <w:sz w:val="13"/>
        </w:rPr>
        <w:t>procedures,</w:t>
      </w:r>
      <w:r>
        <w:rPr>
          <w:spacing w:val="-7"/>
          <w:w w:val="105"/>
          <w:sz w:val="13"/>
        </w:rPr>
        <w:t> </w:t>
      </w:r>
      <w:r>
        <w:rPr>
          <w:w w:val="105"/>
          <w:sz w:val="13"/>
        </w:rPr>
        <w:t>the</w:t>
      </w:r>
      <w:r>
        <w:rPr>
          <w:spacing w:val="-8"/>
          <w:w w:val="105"/>
          <w:sz w:val="13"/>
        </w:rPr>
        <w:t> </w:t>
      </w:r>
      <w:r>
        <w:rPr>
          <w:w w:val="105"/>
          <w:sz w:val="13"/>
        </w:rPr>
        <w:t>level</w:t>
      </w:r>
      <w:r>
        <w:rPr>
          <w:spacing w:val="-7"/>
          <w:w w:val="105"/>
          <w:sz w:val="13"/>
        </w:rPr>
        <w:t> </w:t>
      </w:r>
      <w:r>
        <w:rPr>
          <w:w w:val="105"/>
          <w:sz w:val="13"/>
        </w:rPr>
        <w:t>of</w:t>
      </w:r>
      <w:r>
        <w:rPr>
          <w:spacing w:val="-5"/>
          <w:w w:val="105"/>
          <w:sz w:val="13"/>
        </w:rPr>
        <w:t> </w:t>
      </w:r>
      <w:r>
        <w:rPr>
          <w:w w:val="105"/>
          <w:sz w:val="13"/>
        </w:rPr>
        <w:t>foreign</w:t>
      </w:r>
      <w:r>
        <w:rPr>
          <w:spacing w:val="-8"/>
          <w:w w:val="105"/>
          <w:sz w:val="13"/>
        </w:rPr>
        <w:t> </w:t>
      </w:r>
      <w:r>
        <w:rPr>
          <w:w w:val="105"/>
          <w:sz w:val="13"/>
        </w:rPr>
        <w:t>exchange</w:t>
      </w:r>
      <w:r>
        <w:rPr>
          <w:spacing w:val="-7"/>
          <w:w w:val="105"/>
          <w:sz w:val="13"/>
        </w:rPr>
        <w:t> </w:t>
      </w:r>
      <w:r>
        <w:rPr>
          <w:w w:val="105"/>
          <w:sz w:val="13"/>
        </w:rPr>
        <w:t>risk</w:t>
      </w:r>
      <w:r>
        <w:rPr>
          <w:spacing w:val="-6"/>
          <w:w w:val="105"/>
          <w:sz w:val="13"/>
        </w:rPr>
        <w:t> </w:t>
      </w:r>
      <w:r>
        <w:rPr>
          <w:w w:val="105"/>
          <w:sz w:val="13"/>
        </w:rPr>
        <w:t>exposure</w:t>
      </w:r>
      <w:r>
        <w:rPr>
          <w:spacing w:val="-7"/>
          <w:w w:val="105"/>
          <w:sz w:val="13"/>
        </w:rPr>
        <w:t> </w:t>
      </w:r>
      <w:r>
        <w:rPr>
          <w:w w:val="105"/>
          <w:sz w:val="13"/>
        </w:rPr>
        <w:t>is</w:t>
      </w:r>
      <w:r>
        <w:rPr>
          <w:spacing w:val="-7"/>
          <w:w w:val="105"/>
          <w:sz w:val="13"/>
        </w:rPr>
        <w:t> </w:t>
      </w:r>
      <w:r>
        <w:rPr>
          <w:w w:val="105"/>
          <w:sz w:val="13"/>
        </w:rPr>
        <w:t>considered</w:t>
      </w:r>
      <w:r>
        <w:rPr>
          <w:spacing w:val="-8"/>
          <w:w w:val="105"/>
          <w:sz w:val="13"/>
        </w:rPr>
        <w:t> </w:t>
      </w:r>
      <w:r>
        <w:rPr>
          <w:spacing w:val="-2"/>
          <w:w w:val="105"/>
          <w:sz w:val="13"/>
        </w:rPr>
        <w:t>minimal.</w:t>
      </w:r>
    </w:p>
    <w:p>
      <w:pPr>
        <w:spacing w:line="240" w:lineRule="auto" w:before="134"/>
        <w:rPr>
          <w:sz w:val="13"/>
        </w:rPr>
      </w:pPr>
    </w:p>
    <w:p>
      <w:pPr>
        <w:pStyle w:val="ListParagraph"/>
        <w:numPr>
          <w:ilvl w:val="1"/>
          <w:numId w:val="35"/>
        </w:numPr>
        <w:tabs>
          <w:tab w:pos="853" w:val="left" w:leader="none"/>
        </w:tabs>
        <w:spacing w:line="240" w:lineRule="auto" w:before="1" w:after="0"/>
        <w:ind w:left="853" w:right="0" w:hanging="203"/>
        <w:jc w:val="both"/>
        <w:rPr>
          <w:b/>
          <w:sz w:val="13"/>
        </w:rPr>
      </w:pPr>
      <w:r>
        <w:rPr>
          <w:b/>
          <w:w w:val="105"/>
          <w:sz w:val="13"/>
        </w:rPr>
        <w:t>Interest</w:t>
      </w:r>
      <w:r>
        <w:rPr>
          <w:b/>
          <w:spacing w:val="-6"/>
          <w:w w:val="105"/>
          <w:sz w:val="13"/>
        </w:rPr>
        <w:t> </w:t>
      </w:r>
      <w:r>
        <w:rPr>
          <w:b/>
          <w:w w:val="105"/>
          <w:sz w:val="13"/>
        </w:rPr>
        <w:t>rate</w:t>
      </w:r>
      <w:r>
        <w:rPr>
          <w:b/>
          <w:spacing w:val="-7"/>
          <w:w w:val="105"/>
          <w:sz w:val="13"/>
        </w:rPr>
        <w:t> </w:t>
      </w:r>
      <w:r>
        <w:rPr>
          <w:b/>
          <w:spacing w:val="-4"/>
          <w:w w:val="105"/>
          <w:sz w:val="13"/>
        </w:rPr>
        <w:t>risk</w:t>
      </w:r>
    </w:p>
    <w:p>
      <w:pPr>
        <w:spacing w:line="273" w:lineRule="auto" w:before="36"/>
        <w:ind w:left="650" w:right="295" w:firstLine="0"/>
        <w:jc w:val="both"/>
        <w:rPr>
          <w:sz w:val="13"/>
        </w:rPr>
      </w:pPr>
      <w:r>
        <w:rPr>
          <w:w w:val="105"/>
          <w:sz w:val="13"/>
        </w:rPr>
        <w:t>Interest rate risk arises from holding interest-bearing financial assets. Fixed interest rate investments expose the Group to changes in fair</w:t>
      </w:r>
      <w:r>
        <w:rPr>
          <w:spacing w:val="40"/>
          <w:w w:val="105"/>
          <w:sz w:val="13"/>
        </w:rPr>
        <w:t> </w:t>
      </w:r>
      <w:r>
        <w:rPr>
          <w:w w:val="105"/>
          <w:sz w:val="13"/>
        </w:rPr>
        <w:t>value through profit and loss, while variable interest rate investments expose the Group to fluctuations in interest income and cash flow.</w:t>
      </w:r>
      <w:r>
        <w:rPr>
          <w:spacing w:val="40"/>
          <w:w w:val="105"/>
          <w:sz w:val="13"/>
        </w:rPr>
        <w:t> </w:t>
      </w:r>
      <w:r>
        <w:rPr>
          <w:w w:val="105"/>
          <w:sz w:val="13"/>
        </w:rPr>
        <w:t>However, fixed and floating rate interest securities are critical to a well diversified</w:t>
      </w:r>
      <w:r>
        <w:rPr>
          <w:spacing w:val="-1"/>
          <w:w w:val="105"/>
          <w:sz w:val="13"/>
        </w:rPr>
        <w:t> </w:t>
      </w:r>
      <w:r>
        <w:rPr>
          <w:w w:val="105"/>
          <w:sz w:val="13"/>
        </w:rPr>
        <w:t>investment strategy, forming the</w:t>
      </w:r>
      <w:r>
        <w:rPr>
          <w:spacing w:val="-1"/>
          <w:w w:val="105"/>
          <w:sz w:val="13"/>
        </w:rPr>
        <w:t> </w:t>
      </w:r>
      <w:r>
        <w:rPr>
          <w:w w:val="105"/>
          <w:sz w:val="13"/>
        </w:rPr>
        <w:t>defensive component of</w:t>
      </w:r>
      <w:r>
        <w:rPr>
          <w:spacing w:val="40"/>
          <w:w w:val="105"/>
          <w:sz w:val="13"/>
        </w:rPr>
        <w:t> </w:t>
      </w:r>
      <w:r>
        <w:rPr>
          <w:w w:val="105"/>
          <w:sz w:val="13"/>
        </w:rPr>
        <w:t>the overall investment strategy.</w:t>
      </w:r>
    </w:p>
    <w:p>
      <w:pPr>
        <w:spacing w:line="240" w:lineRule="auto" w:before="21"/>
        <w:rPr>
          <w:sz w:val="13"/>
        </w:rPr>
      </w:pPr>
    </w:p>
    <w:p>
      <w:pPr>
        <w:spacing w:line="273" w:lineRule="auto" w:before="0"/>
        <w:ind w:left="650" w:right="296" w:firstLine="0"/>
        <w:jc w:val="both"/>
        <w:rPr>
          <w:sz w:val="13"/>
        </w:rPr>
      </w:pPr>
      <w:r>
        <w:rPr>
          <w:w w:val="105"/>
          <w:sz w:val="13"/>
        </w:rPr>
        <w:t>The</w:t>
      </w:r>
      <w:r>
        <w:rPr>
          <w:w w:val="105"/>
          <w:sz w:val="13"/>
        </w:rPr>
        <w:t> Group</w:t>
      </w:r>
      <w:r>
        <w:rPr>
          <w:w w:val="105"/>
          <w:sz w:val="13"/>
        </w:rPr>
        <w:t> has</w:t>
      </w:r>
      <w:r>
        <w:rPr>
          <w:w w:val="105"/>
          <w:sz w:val="13"/>
        </w:rPr>
        <w:t> interest</w:t>
      </w:r>
      <w:r>
        <w:rPr>
          <w:w w:val="105"/>
          <w:sz w:val="13"/>
        </w:rPr>
        <w:t> bearing</w:t>
      </w:r>
      <w:r>
        <w:rPr>
          <w:w w:val="105"/>
          <w:sz w:val="13"/>
        </w:rPr>
        <w:t> liabilities</w:t>
      </w:r>
      <w:r>
        <w:rPr>
          <w:w w:val="105"/>
          <w:sz w:val="13"/>
        </w:rPr>
        <w:t> by way of</w:t>
      </w:r>
      <w:r>
        <w:rPr>
          <w:w w:val="105"/>
          <w:sz w:val="13"/>
        </w:rPr>
        <w:t> a</w:t>
      </w:r>
      <w:r>
        <w:rPr>
          <w:w w:val="105"/>
          <w:sz w:val="13"/>
        </w:rPr>
        <w:t> long</w:t>
      </w:r>
      <w:r>
        <w:rPr>
          <w:w w:val="105"/>
          <w:sz w:val="13"/>
        </w:rPr>
        <w:t> term</w:t>
      </w:r>
      <w:r>
        <w:rPr>
          <w:w w:val="105"/>
          <w:sz w:val="13"/>
        </w:rPr>
        <w:t> borrowing</w:t>
      </w:r>
      <w:r>
        <w:rPr>
          <w:w w:val="105"/>
          <w:sz w:val="13"/>
        </w:rPr>
        <w:t> for</w:t>
      </w:r>
      <w:r>
        <w:rPr>
          <w:w w:val="105"/>
          <w:sz w:val="13"/>
        </w:rPr>
        <w:t> financing</w:t>
      </w:r>
      <w:r>
        <w:rPr>
          <w:w w:val="105"/>
          <w:sz w:val="13"/>
        </w:rPr>
        <w:t> the</w:t>
      </w:r>
      <w:r>
        <w:rPr>
          <w:w w:val="105"/>
          <w:sz w:val="13"/>
        </w:rPr>
        <w:t> Group's</w:t>
      </w:r>
      <w:r>
        <w:rPr>
          <w:w w:val="105"/>
          <w:sz w:val="13"/>
        </w:rPr>
        <w:t> capital</w:t>
      </w:r>
      <w:r>
        <w:rPr>
          <w:w w:val="105"/>
          <w:sz w:val="13"/>
        </w:rPr>
        <w:t> program</w:t>
      </w:r>
      <w:r>
        <w:rPr>
          <w:w w:val="105"/>
          <w:sz w:val="13"/>
        </w:rPr>
        <w:t> and</w:t>
      </w:r>
      <w:r>
        <w:rPr>
          <w:w w:val="105"/>
          <w:sz w:val="13"/>
        </w:rPr>
        <w:t> other</w:t>
      </w:r>
      <w:r>
        <w:rPr>
          <w:w w:val="105"/>
          <w:sz w:val="13"/>
        </w:rPr>
        <w:t> specific</w:t>
      </w:r>
      <w:r>
        <w:rPr>
          <w:spacing w:val="40"/>
          <w:w w:val="105"/>
          <w:sz w:val="13"/>
        </w:rPr>
        <w:t> </w:t>
      </w:r>
      <w:r>
        <w:rPr>
          <w:w w:val="105"/>
          <w:sz w:val="13"/>
        </w:rPr>
        <w:t>capital projects.</w:t>
      </w:r>
      <w:r>
        <w:rPr>
          <w:spacing w:val="36"/>
          <w:w w:val="105"/>
          <w:sz w:val="13"/>
        </w:rPr>
        <w:t> </w:t>
      </w:r>
      <w:r>
        <w:rPr>
          <w:w w:val="105"/>
          <w:sz w:val="13"/>
        </w:rPr>
        <w:t>Interest rate</w:t>
      </w:r>
      <w:r>
        <w:rPr>
          <w:spacing w:val="-1"/>
          <w:w w:val="105"/>
          <w:sz w:val="13"/>
        </w:rPr>
        <w:t> </w:t>
      </w:r>
      <w:r>
        <w:rPr>
          <w:w w:val="105"/>
          <w:sz w:val="13"/>
        </w:rPr>
        <w:t>risk arises on</w:t>
      </w:r>
      <w:r>
        <w:rPr>
          <w:spacing w:val="-1"/>
          <w:w w:val="105"/>
          <w:sz w:val="13"/>
        </w:rPr>
        <w:t> </w:t>
      </w:r>
      <w:r>
        <w:rPr>
          <w:w w:val="105"/>
          <w:sz w:val="13"/>
        </w:rPr>
        <w:t>the</w:t>
      </w:r>
      <w:r>
        <w:rPr>
          <w:spacing w:val="-1"/>
          <w:w w:val="105"/>
          <w:sz w:val="13"/>
        </w:rPr>
        <w:t> </w:t>
      </w:r>
      <w:r>
        <w:rPr>
          <w:w w:val="105"/>
          <w:sz w:val="13"/>
        </w:rPr>
        <w:t>borrowing</w:t>
      </w:r>
      <w:r>
        <w:rPr>
          <w:spacing w:val="-1"/>
          <w:w w:val="105"/>
          <w:sz w:val="13"/>
        </w:rPr>
        <w:t> </w:t>
      </w:r>
      <w:r>
        <w:rPr>
          <w:w w:val="105"/>
          <w:sz w:val="13"/>
        </w:rPr>
        <w:t>portfolio</w:t>
      </w:r>
      <w:r>
        <w:rPr>
          <w:spacing w:val="-1"/>
          <w:w w:val="105"/>
          <w:sz w:val="13"/>
        </w:rPr>
        <w:t> </w:t>
      </w:r>
      <w:r>
        <w:rPr>
          <w:w w:val="105"/>
          <w:sz w:val="13"/>
        </w:rPr>
        <w:t>and</w:t>
      </w:r>
      <w:r>
        <w:rPr>
          <w:spacing w:val="-1"/>
          <w:w w:val="105"/>
          <w:sz w:val="13"/>
        </w:rPr>
        <w:t> </w:t>
      </w:r>
      <w:r>
        <w:rPr>
          <w:w w:val="105"/>
          <w:sz w:val="13"/>
        </w:rPr>
        <w:t>is managed</w:t>
      </w:r>
      <w:r>
        <w:rPr>
          <w:spacing w:val="-3"/>
          <w:w w:val="105"/>
          <w:sz w:val="13"/>
        </w:rPr>
        <w:t> </w:t>
      </w:r>
      <w:r>
        <w:rPr>
          <w:w w:val="105"/>
          <w:sz w:val="13"/>
        </w:rPr>
        <w:t>by</w:t>
      </w:r>
      <w:r>
        <w:rPr>
          <w:spacing w:val="-4"/>
          <w:w w:val="105"/>
          <w:sz w:val="13"/>
        </w:rPr>
        <w:t> </w:t>
      </w:r>
      <w:r>
        <w:rPr>
          <w:w w:val="105"/>
          <w:sz w:val="13"/>
        </w:rPr>
        <w:t>using</w:t>
      </w:r>
      <w:r>
        <w:rPr>
          <w:spacing w:val="-3"/>
          <w:w w:val="105"/>
          <w:sz w:val="13"/>
        </w:rPr>
        <w:t> </w:t>
      </w:r>
      <w:r>
        <w:rPr>
          <w:w w:val="105"/>
          <w:sz w:val="13"/>
        </w:rPr>
        <w:t>a</w:t>
      </w:r>
      <w:r>
        <w:rPr>
          <w:spacing w:val="-1"/>
          <w:w w:val="105"/>
          <w:sz w:val="13"/>
        </w:rPr>
        <w:t> </w:t>
      </w:r>
      <w:r>
        <w:rPr>
          <w:w w:val="105"/>
          <w:sz w:val="13"/>
        </w:rPr>
        <w:t>portfolio</w:t>
      </w:r>
      <w:r>
        <w:rPr>
          <w:spacing w:val="-3"/>
          <w:w w:val="105"/>
          <w:sz w:val="13"/>
        </w:rPr>
        <w:t> </w:t>
      </w:r>
      <w:r>
        <w:rPr>
          <w:w w:val="105"/>
          <w:sz w:val="13"/>
        </w:rPr>
        <w:t>of debt</w:t>
      </w:r>
      <w:r>
        <w:rPr>
          <w:spacing w:val="-2"/>
          <w:w w:val="105"/>
          <w:sz w:val="13"/>
        </w:rPr>
        <w:t> </w:t>
      </w:r>
      <w:r>
        <w:rPr>
          <w:w w:val="105"/>
          <w:sz w:val="13"/>
        </w:rPr>
        <w:t>diversified</w:t>
      </w:r>
      <w:r>
        <w:rPr>
          <w:spacing w:val="-1"/>
          <w:w w:val="105"/>
          <w:sz w:val="13"/>
        </w:rPr>
        <w:t> </w:t>
      </w:r>
      <w:r>
        <w:rPr>
          <w:w w:val="105"/>
          <w:sz w:val="13"/>
        </w:rPr>
        <w:t>across</w:t>
      </w:r>
      <w:r>
        <w:rPr>
          <w:spacing w:val="-2"/>
          <w:w w:val="105"/>
          <w:sz w:val="13"/>
        </w:rPr>
        <w:t> </w:t>
      </w:r>
      <w:r>
        <w:rPr>
          <w:w w:val="105"/>
          <w:sz w:val="13"/>
        </w:rPr>
        <w:t>a</w:t>
      </w:r>
      <w:r>
        <w:rPr>
          <w:spacing w:val="-1"/>
          <w:w w:val="105"/>
          <w:sz w:val="13"/>
        </w:rPr>
        <w:t> </w:t>
      </w:r>
      <w:r>
        <w:rPr>
          <w:w w:val="105"/>
          <w:sz w:val="13"/>
        </w:rPr>
        <w:t>range</w:t>
      </w:r>
      <w:r>
        <w:rPr>
          <w:spacing w:val="-3"/>
          <w:w w:val="105"/>
          <w:sz w:val="13"/>
        </w:rPr>
        <w:t> </w:t>
      </w:r>
      <w:r>
        <w:rPr>
          <w:w w:val="105"/>
          <w:sz w:val="13"/>
        </w:rPr>
        <w:t>of</w:t>
      </w:r>
      <w:r>
        <w:rPr>
          <w:spacing w:val="40"/>
          <w:w w:val="105"/>
          <w:sz w:val="13"/>
        </w:rPr>
        <w:t> </w:t>
      </w:r>
      <w:r>
        <w:rPr>
          <w:w w:val="105"/>
          <w:sz w:val="13"/>
        </w:rPr>
        <w:t>debt maturities and interest rate term exposures and diversification of fixed and floating rate debt.</w:t>
      </w:r>
    </w:p>
    <w:p>
      <w:pPr>
        <w:spacing w:line="240" w:lineRule="auto" w:before="21"/>
        <w:rPr>
          <w:sz w:val="13"/>
        </w:rPr>
      </w:pPr>
    </w:p>
    <w:p>
      <w:pPr>
        <w:spacing w:line="273" w:lineRule="auto" w:before="0"/>
        <w:ind w:left="650" w:right="292" w:firstLine="0"/>
        <w:jc w:val="both"/>
        <w:rPr>
          <w:sz w:val="13"/>
        </w:rPr>
      </w:pPr>
      <w:r>
        <w:rPr>
          <w:w w:val="105"/>
          <w:sz w:val="13"/>
        </w:rPr>
        <w:t>The Capital Debt Management Policy Statement, which is reviewed by</w:t>
      </w:r>
      <w:r>
        <w:rPr>
          <w:spacing w:val="-1"/>
          <w:w w:val="105"/>
          <w:sz w:val="13"/>
        </w:rPr>
        <w:t> </w:t>
      </w:r>
      <w:r>
        <w:rPr>
          <w:w w:val="105"/>
          <w:sz w:val="13"/>
        </w:rPr>
        <w:t>the Strategic Resources Committee and approved by Senate, sets</w:t>
      </w:r>
      <w:r>
        <w:rPr>
          <w:spacing w:val="40"/>
          <w:w w:val="105"/>
          <w:sz w:val="13"/>
        </w:rPr>
        <w:t> </w:t>
      </w:r>
      <w:r>
        <w:rPr>
          <w:w w:val="105"/>
          <w:sz w:val="13"/>
        </w:rPr>
        <w:t>out the</w:t>
      </w:r>
      <w:r>
        <w:rPr>
          <w:w w:val="105"/>
          <w:sz w:val="13"/>
        </w:rPr>
        <w:t> debt policy</w:t>
      </w:r>
      <w:r>
        <w:rPr>
          <w:w w:val="105"/>
          <w:sz w:val="13"/>
        </w:rPr>
        <w:t> requirements</w:t>
      </w:r>
      <w:r>
        <w:rPr>
          <w:w w:val="105"/>
          <w:sz w:val="13"/>
        </w:rPr>
        <w:t> for</w:t>
      </w:r>
      <w:r>
        <w:rPr>
          <w:w w:val="105"/>
          <w:sz w:val="13"/>
        </w:rPr>
        <w:t> the</w:t>
      </w:r>
      <w:r>
        <w:rPr>
          <w:w w:val="105"/>
          <w:sz w:val="13"/>
        </w:rPr>
        <w:t> administration and</w:t>
      </w:r>
      <w:r>
        <w:rPr>
          <w:w w:val="105"/>
          <w:sz w:val="13"/>
        </w:rPr>
        <w:t> management of the</w:t>
      </w:r>
      <w:r>
        <w:rPr>
          <w:w w:val="105"/>
          <w:sz w:val="13"/>
        </w:rPr>
        <w:t> portfolio</w:t>
      </w:r>
      <w:r>
        <w:rPr>
          <w:w w:val="105"/>
          <w:sz w:val="13"/>
        </w:rPr>
        <w:t> and</w:t>
      </w:r>
      <w:r>
        <w:rPr>
          <w:w w:val="105"/>
          <w:sz w:val="13"/>
        </w:rPr>
        <w:t> includes</w:t>
      </w:r>
      <w:r>
        <w:rPr>
          <w:w w:val="105"/>
          <w:sz w:val="13"/>
        </w:rPr>
        <w:t> interest rate</w:t>
      </w:r>
      <w:r>
        <w:rPr>
          <w:w w:val="105"/>
          <w:sz w:val="13"/>
        </w:rPr>
        <w:t> and</w:t>
      </w:r>
      <w:r>
        <w:rPr>
          <w:w w:val="105"/>
          <w:sz w:val="13"/>
        </w:rPr>
        <w:t> short:</w:t>
      </w:r>
      <w:r>
        <w:rPr>
          <w:w w:val="105"/>
          <w:sz w:val="13"/>
        </w:rPr>
        <w:t> long</w:t>
      </w:r>
      <w:r>
        <w:rPr>
          <w:spacing w:val="40"/>
          <w:w w:val="105"/>
          <w:sz w:val="13"/>
        </w:rPr>
        <w:t> </w:t>
      </w:r>
      <w:r>
        <w:rPr>
          <w:w w:val="105"/>
          <w:sz w:val="13"/>
        </w:rPr>
        <w:t>benchmarks, borrowing restrictions and reporting and monitoring obligations. The Capital Debt Management Policy Statement is regularly</w:t>
      </w:r>
      <w:r>
        <w:rPr>
          <w:spacing w:val="40"/>
          <w:w w:val="105"/>
          <w:sz w:val="13"/>
        </w:rPr>
        <w:t> </w:t>
      </w:r>
      <w:r>
        <w:rPr>
          <w:w w:val="105"/>
          <w:sz w:val="13"/>
        </w:rPr>
        <w:t>and routinely reviewed.</w:t>
      </w:r>
    </w:p>
    <w:p>
      <w:pPr>
        <w:spacing w:after="0" w:line="273" w:lineRule="auto"/>
        <w:jc w:val="both"/>
        <w:rPr>
          <w:sz w:val="13"/>
        </w:rPr>
        <w:sectPr>
          <w:pgSz w:w="11910" w:h="16840"/>
          <w:pgMar w:header="468" w:footer="0" w:top="1580" w:bottom="280" w:left="1020" w:right="1540"/>
        </w:sectPr>
      </w:pPr>
    </w:p>
    <w:p>
      <w:pPr>
        <w:spacing w:before="82"/>
        <w:ind w:left="155" w:right="0" w:firstLine="0"/>
        <w:jc w:val="left"/>
        <w:rPr>
          <w:sz w:val="22"/>
        </w:rPr>
      </w:pPr>
      <w:r>
        <w:rPr>
          <w:color w:val="0070C0"/>
          <w:sz w:val="22"/>
        </w:rPr>
        <w:t>NOTES</w:t>
      </w:r>
      <w:r>
        <w:rPr>
          <w:color w:val="0070C0"/>
          <w:spacing w:val="-9"/>
          <w:sz w:val="22"/>
        </w:rPr>
        <w:t> </w:t>
      </w:r>
      <w:r>
        <w:rPr>
          <w:color w:val="0070C0"/>
          <w:sz w:val="22"/>
        </w:rPr>
        <w:t>TO</w:t>
      </w:r>
      <w:r>
        <w:rPr>
          <w:color w:val="0070C0"/>
          <w:spacing w:val="-9"/>
          <w:sz w:val="22"/>
        </w:rPr>
        <w:t> </w:t>
      </w:r>
      <w:r>
        <w:rPr>
          <w:color w:val="0070C0"/>
          <w:sz w:val="22"/>
        </w:rPr>
        <w:t>THE</w:t>
      </w:r>
      <w:r>
        <w:rPr>
          <w:color w:val="0070C0"/>
          <w:spacing w:val="-9"/>
          <w:sz w:val="22"/>
        </w:rPr>
        <w:t> </w:t>
      </w:r>
      <w:r>
        <w:rPr>
          <w:color w:val="0070C0"/>
          <w:sz w:val="22"/>
        </w:rPr>
        <w:t>FINANCIAL</w:t>
      </w:r>
      <w:r>
        <w:rPr>
          <w:color w:val="0070C0"/>
          <w:spacing w:val="-9"/>
          <w:sz w:val="22"/>
        </w:rPr>
        <w:t> </w:t>
      </w:r>
      <w:r>
        <w:rPr>
          <w:color w:val="0070C0"/>
          <w:spacing w:val="-2"/>
          <w:sz w:val="22"/>
        </w:rPr>
        <w:t>STATEMENTS</w:t>
      </w:r>
    </w:p>
    <w:p>
      <w:pPr>
        <w:spacing w:before="31"/>
        <w:ind w:left="141" w:right="0" w:firstLine="0"/>
        <w:jc w:val="left"/>
        <w:rPr>
          <w:sz w:val="12"/>
        </w:rPr>
      </w:pPr>
      <w:r>
        <w:rPr>
          <w:w w:val="105"/>
          <w:sz w:val="12"/>
        </w:rPr>
        <w:t>for</w:t>
      </w:r>
      <w:r>
        <w:rPr>
          <w:spacing w:val="-8"/>
          <w:w w:val="105"/>
          <w:sz w:val="12"/>
        </w:rPr>
        <w:t> </w:t>
      </w:r>
      <w:r>
        <w:rPr>
          <w:w w:val="105"/>
          <w:sz w:val="12"/>
        </w:rPr>
        <w:t>the</w:t>
      </w:r>
      <w:r>
        <w:rPr>
          <w:spacing w:val="-9"/>
          <w:w w:val="105"/>
          <w:sz w:val="12"/>
        </w:rPr>
        <w:t> </w:t>
      </w:r>
      <w:r>
        <w:rPr>
          <w:w w:val="105"/>
          <w:sz w:val="12"/>
        </w:rPr>
        <w:t>year</w:t>
      </w:r>
      <w:r>
        <w:rPr>
          <w:spacing w:val="-8"/>
          <w:w w:val="105"/>
          <w:sz w:val="12"/>
        </w:rPr>
        <w:t> </w:t>
      </w:r>
      <w:r>
        <w:rPr>
          <w:w w:val="105"/>
          <w:sz w:val="12"/>
        </w:rPr>
        <w:t>ended</w:t>
      </w:r>
      <w:r>
        <w:rPr>
          <w:spacing w:val="-8"/>
          <w:w w:val="105"/>
          <w:sz w:val="12"/>
        </w:rPr>
        <w:t> </w:t>
      </w:r>
      <w:r>
        <w:rPr>
          <w:w w:val="105"/>
          <w:sz w:val="12"/>
        </w:rPr>
        <w:t>31</w:t>
      </w:r>
      <w:r>
        <w:rPr>
          <w:spacing w:val="-9"/>
          <w:w w:val="105"/>
          <w:sz w:val="12"/>
        </w:rPr>
        <w:t> </w:t>
      </w:r>
      <w:r>
        <w:rPr>
          <w:w w:val="105"/>
          <w:sz w:val="12"/>
        </w:rPr>
        <w:t>December</w:t>
      </w:r>
      <w:r>
        <w:rPr>
          <w:spacing w:val="-8"/>
          <w:w w:val="105"/>
          <w:sz w:val="12"/>
        </w:rPr>
        <w:t> </w:t>
      </w:r>
      <w:r>
        <w:rPr>
          <w:spacing w:val="-4"/>
          <w:w w:val="105"/>
          <w:sz w:val="12"/>
        </w:rPr>
        <w:t>2020</w:t>
      </w:r>
    </w:p>
    <w:p>
      <w:pPr>
        <w:spacing w:line="240" w:lineRule="auto" w:before="0"/>
        <w:rPr>
          <w:sz w:val="12"/>
        </w:rPr>
      </w:pPr>
    </w:p>
    <w:p>
      <w:pPr>
        <w:spacing w:line="240" w:lineRule="auto" w:before="70"/>
        <w:rPr>
          <w:sz w:val="12"/>
        </w:rPr>
      </w:pPr>
    </w:p>
    <w:p>
      <w:pPr>
        <w:pStyle w:val="ListParagraph"/>
        <w:numPr>
          <w:ilvl w:val="1"/>
          <w:numId w:val="35"/>
        </w:numPr>
        <w:tabs>
          <w:tab w:pos="892" w:val="left" w:leader="none"/>
        </w:tabs>
        <w:spacing w:line="240" w:lineRule="auto" w:before="1" w:after="0"/>
        <w:ind w:left="892" w:right="0" w:hanging="241"/>
        <w:jc w:val="both"/>
        <w:rPr>
          <w:b/>
          <w:sz w:val="13"/>
        </w:rPr>
      </w:pPr>
      <w:r>
        <w:rPr>
          <w:b/>
          <w:w w:val="105"/>
          <w:sz w:val="13"/>
        </w:rPr>
        <w:t>Price</w:t>
      </w:r>
      <w:r>
        <w:rPr>
          <w:b/>
          <w:spacing w:val="-7"/>
          <w:w w:val="105"/>
          <w:sz w:val="13"/>
        </w:rPr>
        <w:t> </w:t>
      </w:r>
      <w:r>
        <w:rPr>
          <w:b/>
          <w:spacing w:val="-4"/>
          <w:w w:val="105"/>
          <w:sz w:val="13"/>
        </w:rPr>
        <w:t>risk</w:t>
      </w:r>
    </w:p>
    <w:p>
      <w:pPr>
        <w:spacing w:line="273" w:lineRule="auto" w:before="36"/>
        <w:ind w:left="650" w:right="290" w:firstLine="0"/>
        <w:jc w:val="both"/>
        <w:rPr>
          <w:sz w:val="13"/>
        </w:rPr>
      </w:pPr>
      <w:r>
        <w:rPr>
          <w:w w:val="105"/>
          <w:sz w:val="13"/>
        </w:rPr>
        <w:t>The</w:t>
      </w:r>
      <w:r>
        <w:rPr>
          <w:w w:val="105"/>
          <w:sz w:val="13"/>
        </w:rPr>
        <w:t> Group's</w:t>
      </w:r>
      <w:r>
        <w:rPr>
          <w:w w:val="105"/>
          <w:sz w:val="13"/>
        </w:rPr>
        <w:t> investment</w:t>
      </w:r>
      <w:r>
        <w:rPr>
          <w:w w:val="105"/>
          <w:sz w:val="13"/>
        </w:rPr>
        <w:t> pools</w:t>
      </w:r>
      <w:r>
        <w:rPr>
          <w:w w:val="105"/>
          <w:sz w:val="13"/>
        </w:rPr>
        <w:t> are</w:t>
      </w:r>
      <w:r>
        <w:rPr>
          <w:w w:val="105"/>
          <w:sz w:val="13"/>
        </w:rPr>
        <w:t> exposed</w:t>
      </w:r>
      <w:r>
        <w:rPr>
          <w:w w:val="105"/>
          <w:sz w:val="13"/>
        </w:rPr>
        <w:t> to</w:t>
      </w:r>
      <w:r>
        <w:rPr>
          <w:w w:val="105"/>
          <w:sz w:val="13"/>
        </w:rPr>
        <w:t> fluctuations</w:t>
      </w:r>
      <w:r>
        <w:rPr>
          <w:w w:val="105"/>
          <w:sz w:val="13"/>
        </w:rPr>
        <w:t> in</w:t>
      </w:r>
      <w:r>
        <w:rPr>
          <w:w w:val="105"/>
          <w:sz w:val="13"/>
        </w:rPr>
        <w:t> the</w:t>
      </w:r>
      <w:r>
        <w:rPr>
          <w:w w:val="105"/>
          <w:sz w:val="13"/>
        </w:rPr>
        <w:t> prices</w:t>
      </w:r>
      <w:r>
        <w:rPr>
          <w:w w:val="105"/>
          <w:sz w:val="13"/>
        </w:rPr>
        <w:t> of</w:t>
      </w:r>
      <w:r>
        <w:rPr>
          <w:w w:val="105"/>
          <w:sz w:val="13"/>
        </w:rPr>
        <w:t> debt</w:t>
      </w:r>
      <w:r>
        <w:rPr>
          <w:w w:val="105"/>
          <w:sz w:val="13"/>
        </w:rPr>
        <w:t> and</w:t>
      </w:r>
      <w:r>
        <w:rPr>
          <w:w w:val="105"/>
          <w:sz w:val="13"/>
        </w:rPr>
        <w:t> equity</w:t>
      </w:r>
      <w:r>
        <w:rPr>
          <w:w w:val="105"/>
          <w:sz w:val="13"/>
        </w:rPr>
        <w:t> securities</w:t>
      </w:r>
      <w:r>
        <w:rPr>
          <w:w w:val="105"/>
          <w:sz w:val="13"/>
        </w:rPr>
        <w:t> and</w:t>
      </w:r>
      <w:r>
        <w:rPr>
          <w:w w:val="105"/>
          <w:sz w:val="13"/>
        </w:rPr>
        <w:t> property</w:t>
      </w:r>
      <w:r>
        <w:rPr>
          <w:w w:val="105"/>
          <w:sz w:val="13"/>
        </w:rPr>
        <w:t> units.</w:t>
      </w:r>
      <w:r>
        <w:rPr>
          <w:w w:val="105"/>
          <w:sz w:val="13"/>
        </w:rPr>
        <w:t> The</w:t>
      </w:r>
      <w:r>
        <w:rPr>
          <w:w w:val="105"/>
          <w:sz w:val="13"/>
        </w:rPr>
        <w:t> Group</w:t>
      </w:r>
      <w:r>
        <w:rPr>
          <w:spacing w:val="40"/>
          <w:w w:val="105"/>
          <w:sz w:val="13"/>
        </w:rPr>
        <w:t> </w:t>
      </w:r>
      <w:r>
        <w:rPr>
          <w:w w:val="105"/>
          <w:sz w:val="13"/>
        </w:rPr>
        <w:t>Investment Policy provides strategies for the minimisation of price risk with the diversification of that risk across a number of investment</w:t>
      </w:r>
      <w:r>
        <w:rPr>
          <w:spacing w:val="40"/>
          <w:w w:val="105"/>
          <w:sz w:val="13"/>
        </w:rPr>
        <w:t> </w:t>
      </w:r>
      <w:r>
        <w:rPr>
          <w:w w:val="105"/>
          <w:sz w:val="13"/>
        </w:rPr>
        <w:t>managers</w:t>
      </w:r>
      <w:r>
        <w:rPr>
          <w:w w:val="105"/>
          <w:sz w:val="13"/>
        </w:rPr>
        <w:t> and</w:t>
      </w:r>
      <w:r>
        <w:rPr>
          <w:w w:val="105"/>
          <w:sz w:val="13"/>
        </w:rPr>
        <w:t> classes</w:t>
      </w:r>
      <w:r>
        <w:rPr>
          <w:w w:val="105"/>
          <w:sz w:val="13"/>
        </w:rPr>
        <w:t> of</w:t>
      </w:r>
      <w:r>
        <w:rPr>
          <w:w w:val="105"/>
          <w:sz w:val="13"/>
        </w:rPr>
        <w:t> investment.</w:t>
      </w:r>
      <w:r>
        <w:rPr>
          <w:w w:val="105"/>
          <w:sz w:val="13"/>
        </w:rPr>
        <w:t> The</w:t>
      </w:r>
      <w:r>
        <w:rPr>
          <w:w w:val="105"/>
          <w:sz w:val="13"/>
        </w:rPr>
        <w:t> Investment</w:t>
      </w:r>
      <w:r>
        <w:rPr>
          <w:w w:val="105"/>
          <w:sz w:val="13"/>
        </w:rPr>
        <w:t> Policy</w:t>
      </w:r>
      <w:r>
        <w:rPr>
          <w:w w:val="105"/>
          <w:sz w:val="13"/>
        </w:rPr>
        <w:t> explicitly</w:t>
      </w:r>
      <w:r>
        <w:rPr>
          <w:w w:val="105"/>
          <w:sz w:val="13"/>
        </w:rPr>
        <w:t> restricts</w:t>
      </w:r>
      <w:r>
        <w:rPr>
          <w:w w:val="105"/>
          <w:sz w:val="13"/>
        </w:rPr>
        <w:t> the</w:t>
      </w:r>
      <w:r>
        <w:rPr>
          <w:w w:val="105"/>
          <w:sz w:val="13"/>
        </w:rPr>
        <w:t> level</w:t>
      </w:r>
      <w:r>
        <w:rPr>
          <w:w w:val="105"/>
          <w:sz w:val="13"/>
        </w:rPr>
        <w:t> of</w:t>
      </w:r>
      <w:r>
        <w:rPr>
          <w:w w:val="105"/>
          <w:sz w:val="13"/>
        </w:rPr>
        <w:t> investment</w:t>
      </w:r>
      <w:r>
        <w:rPr>
          <w:w w:val="105"/>
          <w:sz w:val="13"/>
        </w:rPr>
        <w:t> in</w:t>
      </w:r>
      <w:r>
        <w:rPr>
          <w:w w:val="105"/>
          <w:sz w:val="13"/>
        </w:rPr>
        <w:t> any</w:t>
      </w:r>
      <w:r>
        <w:rPr>
          <w:w w:val="105"/>
          <w:sz w:val="13"/>
        </w:rPr>
        <w:t> particular</w:t>
      </w:r>
      <w:r>
        <w:rPr>
          <w:w w:val="105"/>
          <w:sz w:val="13"/>
        </w:rPr>
        <w:t> security</w:t>
      </w:r>
      <w:r>
        <w:rPr>
          <w:w w:val="105"/>
          <w:sz w:val="13"/>
        </w:rPr>
        <w:t> by</w:t>
      </w:r>
      <w:r>
        <w:rPr>
          <w:w w:val="105"/>
          <w:sz w:val="13"/>
        </w:rPr>
        <w:t> an</w:t>
      </w:r>
      <w:r>
        <w:rPr>
          <w:spacing w:val="40"/>
          <w:w w:val="105"/>
          <w:sz w:val="13"/>
        </w:rPr>
        <w:t> </w:t>
      </w:r>
      <w:r>
        <w:rPr>
          <w:w w:val="105"/>
          <w:sz w:val="13"/>
        </w:rPr>
        <w:t>individual investment manager. Ongoing monitoring takes place to ensure there is no concentration of risk exposure in any one area. The</w:t>
      </w:r>
      <w:r>
        <w:rPr>
          <w:spacing w:val="40"/>
          <w:w w:val="105"/>
          <w:sz w:val="13"/>
        </w:rPr>
        <w:t> </w:t>
      </w:r>
      <w:r>
        <w:rPr>
          <w:w w:val="105"/>
          <w:sz w:val="13"/>
        </w:rPr>
        <w:t>Group has a long term strategic approach to its Investment Policy, which decreases its exposure to price risk over the longer term.</w:t>
      </w:r>
    </w:p>
    <w:p>
      <w:pPr>
        <w:spacing w:line="240" w:lineRule="auto" w:before="71"/>
        <w:rPr>
          <w:sz w:val="20"/>
        </w:rPr>
      </w:pPr>
    </w:p>
    <w:p>
      <w:pPr>
        <w:spacing w:after="0" w:line="240" w:lineRule="auto"/>
        <w:rPr>
          <w:sz w:val="20"/>
        </w:rPr>
        <w:sectPr>
          <w:pgSz w:w="11910" w:h="16840"/>
          <w:pgMar w:header="468" w:footer="0" w:top="1580" w:bottom="280" w:left="1020" w:right="1540"/>
        </w:sectPr>
      </w:pPr>
    </w:p>
    <w:p>
      <w:pPr>
        <w:pStyle w:val="ListParagraph"/>
        <w:numPr>
          <w:ilvl w:val="1"/>
          <w:numId w:val="35"/>
        </w:numPr>
        <w:tabs>
          <w:tab w:pos="890" w:val="left" w:leader="none"/>
        </w:tabs>
        <w:spacing w:line="278" w:lineRule="auto" w:before="103" w:after="0"/>
        <w:ind w:left="651" w:right="38" w:firstLine="0"/>
        <w:jc w:val="left"/>
        <w:rPr>
          <w:b/>
          <w:sz w:val="13"/>
        </w:rPr>
      </w:pPr>
      <w:r>
        <w:rPr>
          <w:b/>
          <w:w w:val="105"/>
          <w:sz w:val="13"/>
        </w:rPr>
        <w:t>Summarised</w:t>
      </w:r>
      <w:r>
        <w:rPr>
          <w:b/>
          <w:spacing w:val="-10"/>
          <w:w w:val="105"/>
          <w:sz w:val="13"/>
        </w:rPr>
        <w:t> </w:t>
      </w:r>
      <w:r>
        <w:rPr>
          <w:b/>
          <w:w w:val="105"/>
          <w:sz w:val="13"/>
        </w:rPr>
        <w:t>sensitivity</w:t>
      </w:r>
      <w:r>
        <w:rPr>
          <w:b/>
          <w:spacing w:val="-9"/>
          <w:w w:val="105"/>
          <w:sz w:val="13"/>
        </w:rPr>
        <w:t> </w:t>
      </w:r>
      <w:r>
        <w:rPr>
          <w:b/>
          <w:w w:val="105"/>
          <w:sz w:val="13"/>
        </w:rPr>
        <w:t>analysis</w:t>
      </w:r>
      <w:r>
        <w:rPr>
          <w:b/>
          <w:spacing w:val="40"/>
          <w:w w:val="105"/>
          <w:sz w:val="13"/>
        </w:rPr>
        <w:t> </w:t>
      </w:r>
      <w:r>
        <w:rPr>
          <w:b/>
          <w:w w:val="105"/>
          <w:sz w:val="13"/>
        </w:rPr>
        <w:t>Consolidated 31 December 2020</w:t>
      </w:r>
    </w:p>
    <w:p>
      <w:pPr>
        <w:spacing w:line="240" w:lineRule="auto" w:before="0"/>
        <w:rPr>
          <w:b/>
          <w:sz w:val="13"/>
        </w:rPr>
      </w:pPr>
      <w:r>
        <w:rPr/>
        <w:br w:type="column"/>
      </w:r>
      <w:r>
        <w:rPr>
          <w:b/>
          <w:sz w:val="13"/>
        </w:rPr>
      </w:r>
    </w:p>
    <w:p>
      <w:pPr>
        <w:spacing w:line="240" w:lineRule="auto" w:before="136"/>
        <w:rPr>
          <w:b/>
          <w:sz w:val="13"/>
        </w:rPr>
      </w:pPr>
    </w:p>
    <w:p>
      <w:pPr>
        <w:spacing w:line="285" w:lineRule="auto" w:before="1"/>
        <w:ind w:left="684" w:right="-2" w:hanging="34"/>
        <w:jc w:val="left"/>
        <w:rPr>
          <w:b/>
          <w:sz w:val="13"/>
        </w:rPr>
      </w:pPr>
      <w:r>
        <w:rPr>
          <w:b/>
          <w:spacing w:val="-2"/>
          <w:w w:val="105"/>
          <w:sz w:val="13"/>
        </w:rPr>
        <w:t>Carrying</w:t>
      </w:r>
      <w:r>
        <w:rPr>
          <w:b/>
          <w:spacing w:val="40"/>
          <w:w w:val="105"/>
          <w:sz w:val="13"/>
        </w:rPr>
        <w:t> </w:t>
      </w:r>
      <w:r>
        <w:rPr>
          <w:b/>
          <w:spacing w:val="-2"/>
          <w:w w:val="105"/>
          <w:sz w:val="13"/>
        </w:rPr>
        <w:t>amount</w:t>
      </w:r>
    </w:p>
    <w:p>
      <w:pPr>
        <w:spacing w:line="240" w:lineRule="auto" w:before="126"/>
        <w:rPr>
          <w:b/>
          <w:sz w:val="13"/>
        </w:rPr>
      </w:pPr>
      <w:r>
        <w:rPr/>
        <w:br w:type="column"/>
      </w:r>
      <w:r>
        <w:rPr>
          <w:b/>
          <w:sz w:val="13"/>
        </w:rPr>
      </w:r>
    </w:p>
    <w:p>
      <w:pPr>
        <w:spacing w:before="0"/>
        <w:ind w:left="0" w:right="135" w:firstLine="0"/>
        <w:jc w:val="center"/>
        <w:rPr>
          <w:b/>
          <w:sz w:val="13"/>
        </w:rPr>
      </w:pPr>
      <w:r>
        <w:rPr>
          <w:b/>
          <w:w w:val="105"/>
          <w:sz w:val="13"/>
        </w:rPr>
        <w:t>Interest</w:t>
      </w:r>
      <w:r>
        <w:rPr>
          <w:b/>
          <w:spacing w:val="-6"/>
          <w:w w:val="105"/>
          <w:sz w:val="13"/>
        </w:rPr>
        <w:t> </w:t>
      </w:r>
      <w:r>
        <w:rPr>
          <w:b/>
          <w:w w:val="105"/>
          <w:sz w:val="13"/>
        </w:rPr>
        <w:t>rate</w:t>
      </w:r>
      <w:r>
        <w:rPr>
          <w:b/>
          <w:spacing w:val="-7"/>
          <w:w w:val="105"/>
          <w:sz w:val="13"/>
        </w:rPr>
        <w:t> </w:t>
      </w:r>
      <w:r>
        <w:rPr>
          <w:b/>
          <w:spacing w:val="-4"/>
          <w:w w:val="105"/>
          <w:sz w:val="13"/>
        </w:rPr>
        <w:t>risk</w:t>
      </w:r>
    </w:p>
    <w:p>
      <w:pPr>
        <w:tabs>
          <w:tab w:pos="1904" w:val="left" w:leader="none"/>
        </w:tabs>
        <w:spacing w:before="23"/>
        <w:ind w:left="0" w:right="100" w:firstLine="0"/>
        <w:jc w:val="center"/>
        <w:rPr>
          <w:b/>
          <w:sz w:val="13"/>
        </w:rPr>
      </w:pPr>
      <w:r>
        <w:rPr>
          <w:b/>
          <w:w w:val="105"/>
          <w:sz w:val="13"/>
        </w:rPr>
        <w:t>-</w:t>
      </w:r>
      <w:r>
        <w:rPr>
          <w:b/>
          <w:spacing w:val="-5"/>
          <w:w w:val="105"/>
          <w:sz w:val="13"/>
        </w:rPr>
        <w:t>1%</w:t>
      </w:r>
      <w:r>
        <w:rPr>
          <w:b/>
          <w:sz w:val="13"/>
        </w:rPr>
        <w:tab/>
      </w:r>
      <w:r>
        <w:rPr>
          <w:b/>
          <w:spacing w:val="-5"/>
          <w:w w:val="105"/>
          <w:sz w:val="13"/>
        </w:rPr>
        <w:t>+1%</w:t>
      </w:r>
    </w:p>
    <w:p>
      <w:pPr>
        <w:tabs>
          <w:tab w:pos="941" w:val="left" w:leader="none"/>
          <w:tab w:pos="1942" w:val="left" w:leader="none"/>
          <w:tab w:pos="2861" w:val="left" w:leader="none"/>
        </w:tabs>
        <w:spacing w:before="12"/>
        <w:ind w:left="0" w:right="116" w:firstLine="0"/>
        <w:jc w:val="center"/>
        <w:rPr>
          <w:b/>
          <w:sz w:val="13"/>
        </w:rPr>
      </w:pPr>
      <w:r>
        <w:rPr>
          <w:b/>
          <w:spacing w:val="-2"/>
          <w:w w:val="105"/>
          <w:sz w:val="13"/>
        </w:rPr>
        <w:t>Profit</w:t>
      </w:r>
      <w:r>
        <w:rPr>
          <w:b/>
          <w:sz w:val="13"/>
        </w:rPr>
        <w:tab/>
      </w:r>
      <w:r>
        <w:rPr>
          <w:b/>
          <w:spacing w:val="-2"/>
          <w:w w:val="105"/>
          <w:sz w:val="13"/>
        </w:rPr>
        <w:t>Equity</w:t>
      </w:r>
      <w:r>
        <w:rPr>
          <w:b/>
          <w:sz w:val="13"/>
        </w:rPr>
        <w:tab/>
      </w:r>
      <w:r>
        <w:rPr>
          <w:b/>
          <w:spacing w:val="-2"/>
          <w:w w:val="105"/>
          <w:sz w:val="13"/>
        </w:rPr>
        <w:t>Profit</w:t>
      </w:r>
      <w:r>
        <w:rPr>
          <w:b/>
          <w:sz w:val="13"/>
        </w:rPr>
        <w:tab/>
      </w:r>
      <w:r>
        <w:rPr>
          <w:b/>
          <w:spacing w:val="-2"/>
          <w:w w:val="105"/>
          <w:sz w:val="13"/>
        </w:rPr>
        <w:t>Equity</w:t>
      </w:r>
    </w:p>
    <w:p>
      <w:pPr>
        <w:spacing w:after="0"/>
        <w:jc w:val="center"/>
        <w:rPr>
          <w:sz w:val="13"/>
        </w:rPr>
        <w:sectPr>
          <w:type w:val="continuous"/>
          <w:pgSz w:w="11910" w:h="16840"/>
          <w:pgMar w:header="468" w:footer="0" w:top="980" w:bottom="280" w:left="1020" w:right="1540"/>
          <w:cols w:num="3" w:equalWidth="0">
            <w:col w:w="3029" w:space="836"/>
            <w:col w:w="1214" w:space="39"/>
            <w:col w:w="4232"/>
          </w:cols>
        </w:sectPr>
      </w:pPr>
    </w:p>
    <w:p>
      <w:pPr>
        <w:spacing w:line="240" w:lineRule="auto" w:before="25"/>
        <w:rPr>
          <w:b/>
          <w:sz w:val="13"/>
        </w:rPr>
      </w:pPr>
    </w:p>
    <w:p>
      <w:pPr>
        <w:spacing w:before="0"/>
        <w:ind w:left="651" w:right="0" w:firstLine="0"/>
        <w:jc w:val="left"/>
        <w:rPr>
          <w:b/>
          <w:sz w:val="13"/>
        </w:rPr>
      </w:pPr>
      <w:r>
        <w:rPr>
          <w:b/>
          <w:w w:val="105"/>
          <w:sz w:val="13"/>
        </w:rPr>
        <w:t>Financial</w:t>
      </w:r>
      <w:r>
        <w:rPr>
          <w:b/>
          <w:spacing w:val="-9"/>
          <w:w w:val="105"/>
          <w:sz w:val="13"/>
        </w:rPr>
        <w:t> </w:t>
      </w:r>
      <w:r>
        <w:rPr>
          <w:b/>
          <w:spacing w:val="-2"/>
          <w:w w:val="105"/>
          <w:sz w:val="13"/>
        </w:rPr>
        <w:t>assets</w:t>
      </w:r>
    </w:p>
    <w:p>
      <w:pPr>
        <w:spacing w:line="278" w:lineRule="auto" w:before="23"/>
        <w:ind w:left="651" w:right="0" w:firstLine="0"/>
        <w:jc w:val="left"/>
        <w:rPr>
          <w:sz w:val="13"/>
        </w:rPr>
      </w:pPr>
      <w:r>
        <w:rPr>
          <w:w w:val="105"/>
          <w:sz w:val="13"/>
        </w:rPr>
        <w:t>Cash</w:t>
      </w:r>
      <w:r>
        <w:rPr>
          <w:spacing w:val="-10"/>
          <w:w w:val="105"/>
          <w:sz w:val="13"/>
        </w:rPr>
        <w:t> </w:t>
      </w:r>
      <w:r>
        <w:rPr>
          <w:w w:val="105"/>
          <w:sz w:val="13"/>
        </w:rPr>
        <w:t>and</w:t>
      </w:r>
      <w:r>
        <w:rPr>
          <w:spacing w:val="-9"/>
          <w:w w:val="105"/>
          <w:sz w:val="13"/>
        </w:rPr>
        <w:t> </w:t>
      </w:r>
      <w:r>
        <w:rPr>
          <w:w w:val="105"/>
          <w:sz w:val="13"/>
        </w:rPr>
        <w:t>cash</w:t>
      </w:r>
      <w:r>
        <w:rPr>
          <w:spacing w:val="-10"/>
          <w:w w:val="105"/>
          <w:sz w:val="13"/>
        </w:rPr>
        <w:t> </w:t>
      </w:r>
      <w:r>
        <w:rPr>
          <w:w w:val="105"/>
          <w:sz w:val="13"/>
        </w:rPr>
        <w:t>equivalents</w:t>
      </w:r>
      <w:r>
        <w:rPr>
          <w:spacing w:val="40"/>
          <w:w w:val="105"/>
          <w:sz w:val="13"/>
        </w:rPr>
        <w:t> </w:t>
      </w:r>
      <w:r>
        <w:rPr>
          <w:spacing w:val="-2"/>
          <w:w w:val="105"/>
          <w:sz w:val="13"/>
        </w:rPr>
        <w:t>Receivables</w:t>
      </w:r>
    </w:p>
    <w:p>
      <w:pPr>
        <w:spacing w:before="15"/>
        <w:ind w:left="651" w:right="0" w:firstLine="0"/>
        <w:jc w:val="left"/>
        <w:rPr>
          <w:sz w:val="13"/>
        </w:rPr>
      </w:pPr>
      <w:r>
        <w:rPr>
          <w:w w:val="105"/>
          <w:sz w:val="13"/>
        </w:rPr>
        <w:t>Other</w:t>
      </w:r>
      <w:r>
        <w:rPr>
          <w:spacing w:val="-7"/>
          <w:w w:val="105"/>
          <w:sz w:val="13"/>
        </w:rPr>
        <w:t> </w:t>
      </w:r>
      <w:r>
        <w:rPr>
          <w:w w:val="105"/>
          <w:sz w:val="13"/>
        </w:rPr>
        <w:t>financial</w:t>
      </w:r>
      <w:r>
        <w:rPr>
          <w:spacing w:val="-6"/>
          <w:w w:val="105"/>
          <w:sz w:val="13"/>
        </w:rPr>
        <w:t> </w:t>
      </w:r>
      <w:r>
        <w:rPr>
          <w:spacing w:val="-2"/>
          <w:w w:val="105"/>
          <w:sz w:val="13"/>
        </w:rPr>
        <w:t>assets</w:t>
      </w:r>
    </w:p>
    <w:p>
      <w:pPr>
        <w:spacing w:line="240" w:lineRule="auto" w:before="46"/>
        <w:rPr>
          <w:sz w:val="13"/>
        </w:rPr>
      </w:pPr>
    </w:p>
    <w:p>
      <w:pPr>
        <w:spacing w:line="278" w:lineRule="auto" w:before="0"/>
        <w:ind w:left="651" w:right="586" w:firstLine="0"/>
        <w:jc w:val="left"/>
        <w:rPr>
          <w:sz w:val="13"/>
        </w:rPr>
      </w:pPr>
      <w:r>
        <w:rPr>
          <w:b/>
          <w:w w:val="105"/>
          <w:sz w:val="13"/>
        </w:rPr>
        <w:t>Financial</w:t>
      </w:r>
      <w:r>
        <w:rPr>
          <w:b/>
          <w:spacing w:val="-6"/>
          <w:w w:val="105"/>
          <w:sz w:val="13"/>
        </w:rPr>
        <w:t> </w:t>
      </w:r>
      <w:r>
        <w:rPr>
          <w:b/>
          <w:w w:val="105"/>
          <w:sz w:val="13"/>
        </w:rPr>
        <w:t>liabilities</w:t>
      </w:r>
      <w:r>
        <w:rPr>
          <w:b/>
          <w:spacing w:val="40"/>
          <w:w w:val="105"/>
          <w:sz w:val="13"/>
        </w:rPr>
        <w:t> </w:t>
      </w:r>
      <w:r>
        <w:rPr>
          <w:w w:val="105"/>
          <w:sz w:val="13"/>
        </w:rPr>
        <w:t>Trade</w:t>
      </w:r>
      <w:r>
        <w:rPr>
          <w:spacing w:val="-10"/>
          <w:w w:val="105"/>
          <w:sz w:val="13"/>
        </w:rPr>
        <w:t> </w:t>
      </w:r>
      <w:r>
        <w:rPr>
          <w:w w:val="105"/>
          <w:sz w:val="13"/>
        </w:rPr>
        <w:t>and</w:t>
      </w:r>
      <w:r>
        <w:rPr>
          <w:spacing w:val="-9"/>
          <w:w w:val="105"/>
          <w:sz w:val="13"/>
        </w:rPr>
        <w:t> </w:t>
      </w:r>
      <w:r>
        <w:rPr>
          <w:w w:val="105"/>
          <w:sz w:val="13"/>
        </w:rPr>
        <w:t>other</w:t>
      </w:r>
      <w:r>
        <w:rPr>
          <w:spacing w:val="-10"/>
          <w:w w:val="105"/>
          <w:sz w:val="13"/>
        </w:rPr>
        <w:t> </w:t>
      </w:r>
      <w:r>
        <w:rPr>
          <w:w w:val="105"/>
          <w:sz w:val="13"/>
        </w:rPr>
        <w:t>payables</w:t>
      </w:r>
      <w:r>
        <w:rPr>
          <w:spacing w:val="40"/>
          <w:w w:val="105"/>
          <w:sz w:val="13"/>
        </w:rPr>
        <w:t> </w:t>
      </w:r>
      <w:r>
        <w:rPr>
          <w:spacing w:val="-2"/>
          <w:w w:val="105"/>
          <w:sz w:val="13"/>
        </w:rPr>
        <w:t>Borrowings</w:t>
      </w:r>
    </w:p>
    <w:p>
      <w:pPr>
        <w:spacing w:line="147" w:lineRule="exact" w:before="0"/>
        <w:ind w:left="651" w:right="0" w:firstLine="0"/>
        <w:jc w:val="left"/>
        <w:rPr>
          <w:sz w:val="13"/>
        </w:rPr>
      </w:pPr>
      <w:r>
        <w:rPr>
          <w:w w:val="105"/>
          <w:sz w:val="13"/>
        </w:rPr>
        <w:t>Other</w:t>
      </w:r>
      <w:r>
        <w:rPr>
          <w:spacing w:val="-7"/>
          <w:w w:val="105"/>
          <w:sz w:val="13"/>
        </w:rPr>
        <w:t> </w:t>
      </w:r>
      <w:r>
        <w:rPr>
          <w:w w:val="105"/>
          <w:sz w:val="13"/>
        </w:rPr>
        <w:t>financial</w:t>
      </w:r>
      <w:r>
        <w:rPr>
          <w:spacing w:val="-6"/>
          <w:w w:val="105"/>
          <w:sz w:val="13"/>
        </w:rPr>
        <w:t> </w:t>
      </w:r>
      <w:r>
        <w:rPr>
          <w:spacing w:val="-2"/>
          <w:w w:val="105"/>
          <w:sz w:val="13"/>
        </w:rPr>
        <w:t>liabilities</w:t>
      </w:r>
    </w:p>
    <w:p>
      <w:pPr>
        <w:spacing w:before="23"/>
        <w:ind w:left="651" w:right="0" w:firstLine="0"/>
        <w:jc w:val="left"/>
        <w:rPr>
          <w:b/>
          <w:sz w:val="13"/>
        </w:rPr>
      </w:pPr>
      <w:r>
        <w:rPr>
          <w:b/>
          <w:w w:val="105"/>
          <w:sz w:val="13"/>
        </w:rPr>
        <w:t>Total</w:t>
      </w:r>
      <w:r>
        <w:rPr>
          <w:b/>
          <w:spacing w:val="-3"/>
          <w:w w:val="105"/>
          <w:sz w:val="13"/>
        </w:rPr>
        <w:t> </w:t>
      </w:r>
      <w:r>
        <w:rPr>
          <w:b/>
          <w:spacing w:val="-2"/>
          <w:w w:val="105"/>
          <w:sz w:val="13"/>
        </w:rPr>
        <w:t>increase/(decrease)</w:t>
      </w:r>
    </w:p>
    <w:p>
      <w:pPr>
        <w:spacing w:line="240" w:lineRule="auto" w:before="47"/>
        <w:rPr>
          <w:b/>
          <w:sz w:val="13"/>
        </w:rPr>
      </w:pPr>
    </w:p>
    <w:p>
      <w:pPr>
        <w:spacing w:before="0"/>
        <w:ind w:left="651" w:right="0" w:firstLine="0"/>
        <w:jc w:val="left"/>
        <w:rPr>
          <w:b/>
          <w:sz w:val="13"/>
        </w:rPr>
      </w:pPr>
      <w:r>
        <w:rPr>
          <w:b/>
          <w:w w:val="105"/>
          <w:sz w:val="13"/>
        </w:rPr>
        <w:t>Consolidated</w:t>
      </w:r>
      <w:r>
        <w:rPr>
          <w:b/>
          <w:spacing w:val="-8"/>
          <w:w w:val="105"/>
          <w:sz w:val="13"/>
        </w:rPr>
        <w:t> </w:t>
      </w:r>
      <w:r>
        <w:rPr>
          <w:b/>
          <w:w w:val="105"/>
          <w:sz w:val="13"/>
        </w:rPr>
        <w:t>31</w:t>
      </w:r>
      <w:r>
        <w:rPr>
          <w:b/>
          <w:spacing w:val="-8"/>
          <w:w w:val="105"/>
          <w:sz w:val="13"/>
        </w:rPr>
        <w:t> </w:t>
      </w:r>
      <w:r>
        <w:rPr>
          <w:b/>
          <w:w w:val="105"/>
          <w:sz w:val="13"/>
        </w:rPr>
        <w:t>December</w:t>
      </w:r>
      <w:r>
        <w:rPr>
          <w:b/>
          <w:spacing w:val="-7"/>
          <w:w w:val="105"/>
          <w:sz w:val="13"/>
        </w:rPr>
        <w:t> </w:t>
      </w:r>
      <w:r>
        <w:rPr>
          <w:b/>
          <w:spacing w:val="-4"/>
          <w:w w:val="105"/>
          <w:sz w:val="13"/>
        </w:rPr>
        <w:t>2020</w:t>
      </w:r>
    </w:p>
    <w:p>
      <w:pPr>
        <w:tabs>
          <w:tab w:pos="1844" w:val="left" w:leader="none"/>
          <w:tab w:pos="2814" w:val="left" w:leader="none"/>
          <w:tab w:pos="3786" w:val="left" w:leader="none"/>
          <w:tab w:pos="4736" w:val="left" w:leader="none"/>
        </w:tabs>
        <w:spacing w:before="2"/>
        <w:ind w:left="930" w:right="0" w:firstLine="0"/>
        <w:jc w:val="left"/>
        <w:rPr>
          <w:b/>
          <w:sz w:val="13"/>
        </w:rPr>
      </w:pPr>
      <w:r>
        <w:rPr/>
        <w:br w:type="column"/>
      </w:r>
      <w:r>
        <w:rPr>
          <w:b/>
          <w:spacing w:val="-2"/>
          <w:w w:val="105"/>
          <w:sz w:val="13"/>
        </w:rPr>
        <w:t>$'000</w:t>
      </w:r>
      <w:r>
        <w:rPr>
          <w:b/>
          <w:sz w:val="13"/>
        </w:rPr>
        <w:tab/>
      </w:r>
      <w:r>
        <w:rPr>
          <w:b/>
          <w:spacing w:val="-2"/>
          <w:w w:val="105"/>
          <w:sz w:val="13"/>
        </w:rPr>
        <w:t>$'000</w:t>
      </w:r>
      <w:r>
        <w:rPr>
          <w:b/>
          <w:sz w:val="13"/>
        </w:rPr>
        <w:tab/>
      </w:r>
      <w:r>
        <w:rPr>
          <w:b/>
          <w:spacing w:val="-4"/>
          <w:w w:val="105"/>
          <w:sz w:val="13"/>
        </w:rPr>
        <w:t>$'000</w:t>
      </w:r>
      <w:r>
        <w:rPr>
          <w:b/>
          <w:sz w:val="13"/>
        </w:rPr>
        <w:tab/>
      </w:r>
      <w:r>
        <w:rPr>
          <w:b/>
          <w:spacing w:val="-2"/>
          <w:w w:val="105"/>
          <w:sz w:val="13"/>
        </w:rPr>
        <w:t>$'000</w:t>
      </w:r>
      <w:r>
        <w:rPr>
          <w:b/>
          <w:sz w:val="13"/>
        </w:rPr>
        <w:tab/>
      </w:r>
      <w:r>
        <w:rPr>
          <w:b/>
          <w:spacing w:val="-2"/>
          <w:w w:val="105"/>
          <w:sz w:val="13"/>
        </w:rPr>
        <w:t>$'000</w:t>
      </w:r>
    </w:p>
    <w:tbl>
      <w:tblPr>
        <w:tblW w:w="0" w:type="auto"/>
        <w:jc w:val="left"/>
        <w:tblInd w:w="6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79"/>
        <w:gridCol w:w="1377"/>
        <w:gridCol w:w="565"/>
        <w:gridCol w:w="1333"/>
        <w:gridCol w:w="568"/>
      </w:tblGrid>
      <w:tr>
        <w:trPr>
          <w:trHeight w:val="332" w:hRule="atLeast"/>
        </w:trPr>
        <w:tc>
          <w:tcPr>
            <w:tcW w:w="879" w:type="dxa"/>
            <w:tcBorders>
              <w:top w:val="single" w:sz="6" w:space="0" w:color="000000"/>
            </w:tcBorders>
          </w:tcPr>
          <w:p>
            <w:pPr>
              <w:pStyle w:val="TableParagraph"/>
              <w:spacing w:before="15"/>
              <w:rPr>
                <w:b/>
                <w:sz w:val="13"/>
              </w:rPr>
            </w:pPr>
          </w:p>
          <w:p>
            <w:pPr>
              <w:pStyle w:val="TableParagraph"/>
              <w:spacing w:line="147" w:lineRule="exact"/>
              <w:ind w:right="71"/>
              <w:jc w:val="right"/>
              <w:rPr>
                <w:sz w:val="13"/>
              </w:rPr>
            </w:pPr>
            <w:r>
              <w:rPr>
                <w:spacing w:val="-2"/>
                <w:w w:val="105"/>
                <w:sz w:val="13"/>
              </w:rPr>
              <w:t>127,090</w:t>
            </w:r>
          </w:p>
        </w:tc>
        <w:tc>
          <w:tcPr>
            <w:tcW w:w="1377" w:type="dxa"/>
            <w:tcBorders>
              <w:top w:val="single" w:sz="6" w:space="0" w:color="000000"/>
            </w:tcBorders>
          </w:tcPr>
          <w:p>
            <w:pPr>
              <w:pStyle w:val="TableParagraph"/>
              <w:spacing w:before="15"/>
              <w:rPr>
                <w:b/>
                <w:sz w:val="13"/>
              </w:rPr>
            </w:pPr>
          </w:p>
          <w:p>
            <w:pPr>
              <w:pStyle w:val="TableParagraph"/>
              <w:spacing w:line="147" w:lineRule="exact"/>
              <w:ind w:right="453"/>
              <w:jc w:val="right"/>
              <w:rPr>
                <w:sz w:val="13"/>
              </w:rPr>
            </w:pPr>
            <w:r>
              <w:rPr>
                <w:spacing w:val="-2"/>
                <w:w w:val="105"/>
                <w:sz w:val="13"/>
              </w:rPr>
              <w:t>(1,380)</w:t>
            </w:r>
          </w:p>
        </w:tc>
        <w:tc>
          <w:tcPr>
            <w:tcW w:w="565" w:type="dxa"/>
            <w:tcBorders>
              <w:top w:val="single" w:sz="6" w:space="0" w:color="000000"/>
              <w:right w:val="single" w:sz="6" w:space="0" w:color="000000"/>
            </w:tcBorders>
          </w:tcPr>
          <w:p>
            <w:pPr>
              <w:pStyle w:val="TableParagraph"/>
              <w:spacing w:before="28"/>
              <w:rPr>
                <w:b/>
                <w:sz w:val="13"/>
              </w:rPr>
            </w:pPr>
          </w:p>
          <w:p>
            <w:pPr>
              <w:pStyle w:val="TableParagraph"/>
              <w:spacing w:line="134" w:lineRule="exact" w:before="1"/>
              <w:ind w:right="17"/>
              <w:jc w:val="right"/>
              <w:rPr>
                <w:sz w:val="13"/>
              </w:rPr>
            </w:pPr>
            <w:r>
              <w:rPr>
                <w:spacing w:val="-10"/>
                <w:w w:val="105"/>
                <w:sz w:val="13"/>
              </w:rPr>
              <w:t>-</w:t>
            </w:r>
          </w:p>
        </w:tc>
        <w:tc>
          <w:tcPr>
            <w:tcW w:w="1901" w:type="dxa"/>
            <w:gridSpan w:val="2"/>
            <w:tcBorders>
              <w:top w:val="single" w:sz="6" w:space="0" w:color="000000"/>
              <w:left w:val="single" w:sz="6" w:space="0" w:color="000000"/>
            </w:tcBorders>
          </w:tcPr>
          <w:p>
            <w:pPr>
              <w:pStyle w:val="TableParagraph"/>
              <w:spacing w:before="18"/>
              <w:rPr>
                <w:b/>
                <w:sz w:val="13"/>
              </w:rPr>
            </w:pPr>
          </w:p>
          <w:p>
            <w:pPr>
              <w:pStyle w:val="TableParagraph"/>
              <w:tabs>
                <w:tab w:pos="1819" w:val="left" w:leader="none"/>
              </w:tabs>
              <w:spacing w:line="144" w:lineRule="exact" w:before="1"/>
              <w:ind w:left="530"/>
              <w:rPr>
                <w:sz w:val="13"/>
              </w:rPr>
            </w:pPr>
            <w:r>
              <w:rPr>
                <w:spacing w:val="-2"/>
                <w:w w:val="105"/>
                <w:position w:val="1"/>
                <w:sz w:val="13"/>
              </w:rPr>
              <w:t>1,380</w:t>
            </w:r>
            <w:r>
              <w:rPr>
                <w:position w:val="1"/>
                <w:sz w:val="13"/>
              </w:rPr>
              <w:tab/>
            </w:r>
            <w:r>
              <w:rPr>
                <w:spacing w:val="-10"/>
                <w:w w:val="105"/>
                <w:sz w:val="13"/>
              </w:rPr>
              <w:t>-</w:t>
            </w:r>
          </w:p>
        </w:tc>
      </w:tr>
      <w:tr>
        <w:trPr>
          <w:trHeight w:val="180" w:hRule="atLeast"/>
        </w:trPr>
        <w:tc>
          <w:tcPr>
            <w:tcW w:w="879" w:type="dxa"/>
          </w:tcPr>
          <w:p>
            <w:pPr>
              <w:pStyle w:val="TableParagraph"/>
              <w:spacing w:before="5"/>
              <w:ind w:right="71"/>
              <w:jc w:val="right"/>
              <w:rPr>
                <w:sz w:val="13"/>
              </w:rPr>
            </w:pPr>
            <w:r>
              <w:rPr>
                <w:spacing w:val="-2"/>
                <w:w w:val="105"/>
                <w:sz w:val="13"/>
              </w:rPr>
              <w:t>41,322</w:t>
            </w:r>
          </w:p>
        </w:tc>
        <w:tc>
          <w:tcPr>
            <w:tcW w:w="1377" w:type="dxa"/>
          </w:tcPr>
          <w:p>
            <w:pPr>
              <w:pStyle w:val="TableParagraph"/>
              <w:spacing w:line="142" w:lineRule="exact" w:before="18"/>
              <w:ind w:right="452"/>
              <w:jc w:val="right"/>
              <w:rPr>
                <w:sz w:val="13"/>
              </w:rPr>
            </w:pPr>
            <w:r>
              <w:rPr>
                <w:spacing w:val="-10"/>
                <w:w w:val="105"/>
                <w:sz w:val="13"/>
              </w:rPr>
              <w:t>-</w:t>
            </w:r>
          </w:p>
        </w:tc>
        <w:tc>
          <w:tcPr>
            <w:tcW w:w="565" w:type="dxa"/>
            <w:tcBorders>
              <w:right w:val="single" w:sz="6" w:space="0" w:color="000000"/>
            </w:tcBorders>
          </w:tcPr>
          <w:p>
            <w:pPr>
              <w:pStyle w:val="TableParagraph"/>
              <w:spacing w:line="142" w:lineRule="exact" w:before="18"/>
              <w:ind w:right="17"/>
              <w:jc w:val="right"/>
              <w:rPr>
                <w:sz w:val="13"/>
              </w:rPr>
            </w:pPr>
            <w:r>
              <w:rPr>
                <w:spacing w:val="-10"/>
                <w:w w:val="105"/>
                <w:sz w:val="13"/>
              </w:rPr>
              <w:t>-</w:t>
            </w:r>
          </w:p>
        </w:tc>
        <w:tc>
          <w:tcPr>
            <w:tcW w:w="1901" w:type="dxa"/>
            <w:gridSpan w:val="2"/>
            <w:tcBorders>
              <w:left w:val="single" w:sz="6" w:space="0" w:color="000000"/>
            </w:tcBorders>
          </w:tcPr>
          <w:p>
            <w:pPr>
              <w:pStyle w:val="TableParagraph"/>
              <w:tabs>
                <w:tab w:pos="1819" w:val="left" w:leader="none"/>
              </w:tabs>
              <w:spacing w:line="142" w:lineRule="exact" w:before="18"/>
              <w:ind w:left="869"/>
              <w:rPr>
                <w:sz w:val="13"/>
              </w:rPr>
            </w:pPr>
            <w:r>
              <w:rPr>
                <w:spacing w:val="-10"/>
                <w:w w:val="105"/>
                <w:sz w:val="13"/>
              </w:rPr>
              <w:t>-</w:t>
            </w:r>
            <w:r>
              <w:rPr>
                <w:sz w:val="13"/>
              </w:rPr>
              <w:tab/>
            </w:r>
            <w:r>
              <w:rPr>
                <w:spacing w:val="-10"/>
                <w:w w:val="105"/>
                <w:sz w:val="13"/>
              </w:rPr>
              <w:t>-</w:t>
            </w:r>
          </w:p>
        </w:tc>
      </w:tr>
      <w:tr>
        <w:trPr>
          <w:trHeight w:val="349" w:hRule="atLeast"/>
        </w:trPr>
        <w:tc>
          <w:tcPr>
            <w:tcW w:w="879" w:type="dxa"/>
          </w:tcPr>
          <w:p>
            <w:pPr>
              <w:pStyle w:val="TableParagraph"/>
              <w:spacing w:before="13"/>
              <w:ind w:right="71"/>
              <w:jc w:val="right"/>
              <w:rPr>
                <w:sz w:val="13"/>
              </w:rPr>
            </w:pPr>
            <w:r>
              <w:rPr>
                <w:spacing w:val="-2"/>
                <w:w w:val="105"/>
                <w:sz w:val="13"/>
              </w:rPr>
              <w:t>940,148</w:t>
            </w:r>
          </w:p>
        </w:tc>
        <w:tc>
          <w:tcPr>
            <w:tcW w:w="1377" w:type="dxa"/>
          </w:tcPr>
          <w:p>
            <w:pPr>
              <w:pStyle w:val="TableParagraph"/>
              <w:spacing w:before="13"/>
              <w:ind w:right="453"/>
              <w:jc w:val="right"/>
              <w:rPr>
                <w:sz w:val="13"/>
              </w:rPr>
            </w:pPr>
            <w:r>
              <w:rPr>
                <w:spacing w:val="-2"/>
                <w:w w:val="105"/>
                <w:sz w:val="13"/>
              </w:rPr>
              <w:t>(30,174)</w:t>
            </w:r>
          </w:p>
        </w:tc>
        <w:tc>
          <w:tcPr>
            <w:tcW w:w="565" w:type="dxa"/>
            <w:tcBorders>
              <w:right w:val="single" w:sz="6" w:space="0" w:color="000000"/>
            </w:tcBorders>
          </w:tcPr>
          <w:p>
            <w:pPr>
              <w:pStyle w:val="TableParagraph"/>
              <w:spacing w:before="19"/>
              <w:ind w:right="17"/>
              <w:jc w:val="right"/>
              <w:rPr>
                <w:sz w:val="13"/>
              </w:rPr>
            </w:pPr>
            <w:r>
              <w:rPr>
                <w:spacing w:val="-10"/>
                <w:w w:val="105"/>
                <w:sz w:val="13"/>
              </w:rPr>
              <w:t>-</w:t>
            </w:r>
          </w:p>
        </w:tc>
        <w:tc>
          <w:tcPr>
            <w:tcW w:w="1901" w:type="dxa"/>
            <w:gridSpan w:val="2"/>
            <w:tcBorders>
              <w:left w:val="single" w:sz="6" w:space="0" w:color="000000"/>
            </w:tcBorders>
          </w:tcPr>
          <w:p>
            <w:pPr>
              <w:pStyle w:val="TableParagraph"/>
              <w:tabs>
                <w:tab w:pos="1819" w:val="left" w:leader="none"/>
              </w:tabs>
              <w:spacing w:before="9"/>
              <w:ind w:left="455"/>
              <w:rPr>
                <w:sz w:val="13"/>
              </w:rPr>
            </w:pPr>
            <w:r>
              <w:rPr>
                <w:spacing w:val="-2"/>
                <w:w w:val="105"/>
                <w:position w:val="1"/>
                <w:sz w:val="13"/>
              </w:rPr>
              <w:t>30,174</w:t>
            </w:r>
            <w:r>
              <w:rPr>
                <w:position w:val="1"/>
                <w:sz w:val="13"/>
              </w:rPr>
              <w:tab/>
            </w:r>
            <w:r>
              <w:rPr>
                <w:spacing w:val="-10"/>
                <w:w w:val="105"/>
                <w:sz w:val="13"/>
              </w:rPr>
              <w:t>-</w:t>
            </w:r>
          </w:p>
        </w:tc>
      </w:tr>
      <w:tr>
        <w:trPr>
          <w:trHeight w:val="348" w:hRule="atLeast"/>
        </w:trPr>
        <w:tc>
          <w:tcPr>
            <w:tcW w:w="879" w:type="dxa"/>
          </w:tcPr>
          <w:p>
            <w:pPr>
              <w:pStyle w:val="TableParagraph"/>
              <w:spacing w:before="31"/>
              <w:rPr>
                <w:b/>
                <w:sz w:val="13"/>
              </w:rPr>
            </w:pPr>
          </w:p>
          <w:p>
            <w:pPr>
              <w:pStyle w:val="TableParagraph"/>
              <w:spacing w:line="147" w:lineRule="exact" w:before="1"/>
              <w:ind w:right="26"/>
              <w:jc w:val="right"/>
              <w:rPr>
                <w:sz w:val="13"/>
              </w:rPr>
            </w:pPr>
            <w:r>
              <w:rPr>
                <w:spacing w:val="-2"/>
                <w:w w:val="105"/>
                <w:sz w:val="13"/>
              </w:rPr>
              <w:t>(44,929)</w:t>
            </w:r>
          </w:p>
        </w:tc>
        <w:tc>
          <w:tcPr>
            <w:tcW w:w="1377" w:type="dxa"/>
          </w:tcPr>
          <w:p>
            <w:pPr>
              <w:pStyle w:val="TableParagraph"/>
              <w:spacing w:before="45"/>
              <w:rPr>
                <w:b/>
                <w:sz w:val="13"/>
              </w:rPr>
            </w:pPr>
          </w:p>
          <w:p>
            <w:pPr>
              <w:pStyle w:val="TableParagraph"/>
              <w:spacing w:line="134" w:lineRule="exact"/>
              <w:ind w:right="452"/>
              <w:jc w:val="right"/>
              <w:rPr>
                <w:sz w:val="13"/>
              </w:rPr>
            </w:pPr>
            <w:r>
              <w:rPr>
                <w:spacing w:val="-10"/>
                <w:w w:val="105"/>
                <w:sz w:val="13"/>
              </w:rPr>
              <w:t>-</w:t>
            </w:r>
          </w:p>
        </w:tc>
        <w:tc>
          <w:tcPr>
            <w:tcW w:w="565" w:type="dxa"/>
            <w:tcBorders>
              <w:right w:val="single" w:sz="6" w:space="0" w:color="000000"/>
            </w:tcBorders>
          </w:tcPr>
          <w:p>
            <w:pPr>
              <w:pStyle w:val="TableParagraph"/>
              <w:spacing w:before="45"/>
              <w:rPr>
                <w:b/>
                <w:sz w:val="13"/>
              </w:rPr>
            </w:pPr>
          </w:p>
          <w:p>
            <w:pPr>
              <w:pStyle w:val="TableParagraph"/>
              <w:spacing w:line="134" w:lineRule="exact"/>
              <w:ind w:right="17"/>
              <w:jc w:val="right"/>
              <w:rPr>
                <w:sz w:val="13"/>
              </w:rPr>
            </w:pPr>
            <w:r>
              <w:rPr>
                <w:spacing w:val="-10"/>
                <w:w w:val="105"/>
                <w:sz w:val="13"/>
              </w:rPr>
              <w:t>-</w:t>
            </w:r>
          </w:p>
        </w:tc>
        <w:tc>
          <w:tcPr>
            <w:tcW w:w="1901" w:type="dxa"/>
            <w:gridSpan w:val="2"/>
            <w:tcBorders>
              <w:left w:val="single" w:sz="6" w:space="0" w:color="000000"/>
            </w:tcBorders>
          </w:tcPr>
          <w:p>
            <w:pPr>
              <w:pStyle w:val="TableParagraph"/>
              <w:spacing w:before="45"/>
              <w:rPr>
                <w:b/>
                <w:sz w:val="13"/>
              </w:rPr>
            </w:pPr>
          </w:p>
          <w:p>
            <w:pPr>
              <w:pStyle w:val="TableParagraph"/>
              <w:tabs>
                <w:tab w:pos="1819" w:val="left" w:leader="none"/>
              </w:tabs>
              <w:spacing w:line="134" w:lineRule="exact"/>
              <w:ind w:left="869"/>
              <w:rPr>
                <w:sz w:val="13"/>
              </w:rPr>
            </w:pPr>
            <w:r>
              <w:rPr>
                <w:spacing w:val="-10"/>
                <w:w w:val="105"/>
                <w:sz w:val="13"/>
              </w:rPr>
              <w:t>-</w:t>
            </w:r>
            <w:r>
              <w:rPr>
                <w:sz w:val="13"/>
              </w:rPr>
              <w:tab/>
            </w:r>
            <w:r>
              <w:rPr>
                <w:spacing w:val="-10"/>
                <w:w w:val="105"/>
                <w:sz w:val="13"/>
              </w:rPr>
              <w:t>-</w:t>
            </w:r>
          </w:p>
        </w:tc>
      </w:tr>
      <w:tr>
        <w:trPr>
          <w:trHeight w:val="172" w:hRule="atLeast"/>
        </w:trPr>
        <w:tc>
          <w:tcPr>
            <w:tcW w:w="879" w:type="dxa"/>
          </w:tcPr>
          <w:p>
            <w:pPr>
              <w:pStyle w:val="TableParagraph"/>
              <w:spacing w:line="147" w:lineRule="exact" w:before="5"/>
              <w:ind w:right="26"/>
              <w:jc w:val="right"/>
              <w:rPr>
                <w:sz w:val="13"/>
              </w:rPr>
            </w:pPr>
            <w:r>
              <w:rPr>
                <w:spacing w:val="-2"/>
                <w:w w:val="105"/>
                <w:sz w:val="13"/>
              </w:rPr>
              <w:t>(187,551)</w:t>
            </w:r>
          </w:p>
        </w:tc>
        <w:tc>
          <w:tcPr>
            <w:tcW w:w="1377" w:type="dxa"/>
          </w:tcPr>
          <w:p>
            <w:pPr>
              <w:pStyle w:val="TableParagraph"/>
              <w:spacing w:line="147" w:lineRule="exact" w:before="5"/>
              <w:ind w:right="498"/>
              <w:jc w:val="right"/>
              <w:rPr>
                <w:sz w:val="13"/>
              </w:rPr>
            </w:pPr>
            <w:r>
              <w:rPr>
                <w:spacing w:val="-5"/>
                <w:w w:val="105"/>
                <w:sz w:val="13"/>
              </w:rPr>
              <w:t>318</w:t>
            </w:r>
          </w:p>
        </w:tc>
        <w:tc>
          <w:tcPr>
            <w:tcW w:w="565" w:type="dxa"/>
            <w:tcBorders>
              <w:right w:val="single" w:sz="6" w:space="0" w:color="000000"/>
            </w:tcBorders>
          </w:tcPr>
          <w:p>
            <w:pPr>
              <w:pStyle w:val="TableParagraph"/>
              <w:spacing w:line="134" w:lineRule="exact" w:before="18"/>
              <w:ind w:right="17"/>
              <w:jc w:val="right"/>
              <w:rPr>
                <w:sz w:val="13"/>
              </w:rPr>
            </w:pPr>
            <w:r>
              <w:rPr>
                <w:spacing w:val="-10"/>
                <w:w w:val="105"/>
                <w:sz w:val="13"/>
              </w:rPr>
              <w:t>-</w:t>
            </w:r>
          </w:p>
        </w:tc>
        <w:tc>
          <w:tcPr>
            <w:tcW w:w="1901" w:type="dxa"/>
            <w:gridSpan w:val="2"/>
            <w:tcBorders>
              <w:left w:val="single" w:sz="6" w:space="0" w:color="000000"/>
            </w:tcBorders>
          </w:tcPr>
          <w:p>
            <w:pPr>
              <w:pStyle w:val="TableParagraph"/>
              <w:tabs>
                <w:tab w:pos="1819" w:val="left" w:leader="none"/>
              </w:tabs>
              <w:spacing w:line="144" w:lineRule="exact" w:before="8"/>
              <w:ind w:left="597"/>
              <w:rPr>
                <w:sz w:val="13"/>
              </w:rPr>
            </w:pPr>
            <w:r>
              <w:rPr>
                <w:spacing w:val="-2"/>
                <w:w w:val="105"/>
                <w:position w:val="1"/>
                <w:sz w:val="13"/>
              </w:rPr>
              <w:t>(318)</w:t>
            </w:r>
            <w:r>
              <w:rPr>
                <w:position w:val="1"/>
                <w:sz w:val="13"/>
              </w:rPr>
              <w:tab/>
            </w:r>
            <w:r>
              <w:rPr>
                <w:spacing w:val="-10"/>
                <w:w w:val="105"/>
                <w:sz w:val="13"/>
              </w:rPr>
              <w:t>-</w:t>
            </w:r>
          </w:p>
        </w:tc>
      </w:tr>
      <w:tr>
        <w:trPr>
          <w:trHeight w:val="170" w:hRule="atLeast"/>
        </w:trPr>
        <w:tc>
          <w:tcPr>
            <w:tcW w:w="879" w:type="dxa"/>
          </w:tcPr>
          <w:p>
            <w:pPr>
              <w:pStyle w:val="TableParagraph"/>
              <w:spacing w:line="145" w:lineRule="exact" w:before="5"/>
              <w:ind w:right="26"/>
              <w:jc w:val="right"/>
              <w:rPr>
                <w:sz w:val="13"/>
              </w:rPr>
            </w:pPr>
            <w:r>
              <w:rPr>
                <w:spacing w:val="-2"/>
                <w:w w:val="105"/>
                <w:sz w:val="13"/>
              </w:rPr>
              <w:t>(19,437)</w:t>
            </w:r>
          </w:p>
        </w:tc>
        <w:tc>
          <w:tcPr>
            <w:tcW w:w="1377" w:type="dxa"/>
            <w:tcBorders>
              <w:bottom w:val="single" w:sz="6" w:space="0" w:color="000000"/>
            </w:tcBorders>
          </w:tcPr>
          <w:p>
            <w:pPr>
              <w:pStyle w:val="TableParagraph"/>
              <w:spacing w:line="132" w:lineRule="exact" w:before="18"/>
              <w:ind w:right="452"/>
              <w:jc w:val="right"/>
              <w:rPr>
                <w:sz w:val="13"/>
              </w:rPr>
            </w:pPr>
            <w:r>
              <w:rPr>
                <w:spacing w:val="-10"/>
                <w:w w:val="105"/>
                <w:sz w:val="13"/>
              </w:rPr>
              <w:t>-</w:t>
            </w:r>
          </w:p>
        </w:tc>
        <w:tc>
          <w:tcPr>
            <w:tcW w:w="565" w:type="dxa"/>
            <w:tcBorders>
              <w:bottom w:val="single" w:sz="6" w:space="0" w:color="000000"/>
              <w:right w:val="single" w:sz="6" w:space="0" w:color="000000"/>
            </w:tcBorders>
          </w:tcPr>
          <w:p>
            <w:pPr>
              <w:pStyle w:val="TableParagraph"/>
              <w:spacing w:line="132" w:lineRule="exact" w:before="18"/>
              <w:ind w:right="17"/>
              <w:jc w:val="right"/>
              <w:rPr>
                <w:sz w:val="13"/>
              </w:rPr>
            </w:pPr>
            <w:r>
              <w:rPr>
                <w:spacing w:val="-10"/>
                <w:w w:val="105"/>
                <w:sz w:val="13"/>
              </w:rPr>
              <w:t>-</w:t>
            </w:r>
          </w:p>
        </w:tc>
        <w:tc>
          <w:tcPr>
            <w:tcW w:w="1901" w:type="dxa"/>
            <w:gridSpan w:val="2"/>
            <w:tcBorders>
              <w:left w:val="single" w:sz="6" w:space="0" w:color="000000"/>
              <w:bottom w:val="single" w:sz="6" w:space="0" w:color="000000"/>
            </w:tcBorders>
          </w:tcPr>
          <w:p>
            <w:pPr>
              <w:pStyle w:val="TableParagraph"/>
              <w:tabs>
                <w:tab w:pos="1819" w:val="left" w:leader="none"/>
              </w:tabs>
              <w:spacing w:line="132" w:lineRule="exact" w:before="18"/>
              <w:ind w:left="869"/>
              <w:rPr>
                <w:sz w:val="13"/>
              </w:rPr>
            </w:pPr>
            <w:r>
              <w:rPr>
                <w:spacing w:val="-10"/>
                <w:w w:val="105"/>
                <w:sz w:val="13"/>
              </w:rPr>
              <w:t>-</w:t>
            </w:r>
            <w:r>
              <w:rPr>
                <w:sz w:val="13"/>
              </w:rPr>
              <w:tab/>
            </w:r>
            <w:r>
              <w:rPr>
                <w:spacing w:val="-10"/>
                <w:w w:val="105"/>
                <w:sz w:val="13"/>
              </w:rPr>
              <w:t>-</w:t>
            </w:r>
          </w:p>
        </w:tc>
      </w:tr>
      <w:tr>
        <w:trPr>
          <w:trHeight w:val="157" w:hRule="atLeast"/>
        </w:trPr>
        <w:tc>
          <w:tcPr>
            <w:tcW w:w="879" w:type="dxa"/>
          </w:tcPr>
          <w:p>
            <w:pPr>
              <w:pStyle w:val="TableParagraph"/>
              <w:rPr>
                <w:rFonts w:ascii="Times New Roman"/>
                <w:sz w:val="10"/>
              </w:rPr>
            </w:pPr>
          </w:p>
        </w:tc>
        <w:tc>
          <w:tcPr>
            <w:tcW w:w="1377" w:type="dxa"/>
            <w:tcBorders>
              <w:top w:val="single" w:sz="6" w:space="0" w:color="000000"/>
              <w:bottom w:val="single" w:sz="6" w:space="0" w:color="000000"/>
            </w:tcBorders>
          </w:tcPr>
          <w:p>
            <w:pPr>
              <w:pStyle w:val="TableParagraph"/>
              <w:spacing w:line="138" w:lineRule="exact"/>
              <w:ind w:right="453"/>
              <w:jc w:val="right"/>
              <w:rPr>
                <w:b/>
                <w:sz w:val="13"/>
              </w:rPr>
            </w:pPr>
            <w:r>
              <w:rPr>
                <w:b/>
                <w:spacing w:val="-2"/>
                <w:w w:val="105"/>
                <w:sz w:val="13"/>
              </w:rPr>
              <w:t>(31,236)</w:t>
            </w:r>
          </w:p>
        </w:tc>
        <w:tc>
          <w:tcPr>
            <w:tcW w:w="565" w:type="dxa"/>
            <w:tcBorders>
              <w:top w:val="single" w:sz="6" w:space="0" w:color="000000"/>
              <w:bottom w:val="single" w:sz="6" w:space="0" w:color="000000"/>
              <w:right w:val="single" w:sz="6" w:space="0" w:color="000000"/>
            </w:tcBorders>
          </w:tcPr>
          <w:p>
            <w:pPr>
              <w:pStyle w:val="TableParagraph"/>
              <w:spacing w:line="132" w:lineRule="exact" w:before="5"/>
              <w:ind w:right="55"/>
              <w:jc w:val="right"/>
              <w:rPr>
                <w:sz w:val="13"/>
              </w:rPr>
            </w:pPr>
            <w:r>
              <w:rPr>
                <w:spacing w:val="-10"/>
                <w:w w:val="105"/>
                <w:sz w:val="13"/>
              </w:rPr>
              <w:t>-</w:t>
            </w:r>
          </w:p>
        </w:tc>
        <w:tc>
          <w:tcPr>
            <w:tcW w:w="1333" w:type="dxa"/>
            <w:tcBorders>
              <w:top w:val="single" w:sz="6" w:space="0" w:color="000000"/>
              <w:left w:val="single" w:sz="6" w:space="0" w:color="000000"/>
              <w:bottom w:val="single" w:sz="6" w:space="0" w:color="000000"/>
            </w:tcBorders>
          </w:tcPr>
          <w:p>
            <w:pPr>
              <w:pStyle w:val="TableParagraph"/>
              <w:spacing w:line="138" w:lineRule="exact"/>
              <w:ind w:left="1" w:right="1"/>
              <w:jc w:val="center"/>
              <w:rPr>
                <w:b/>
                <w:sz w:val="13"/>
              </w:rPr>
            </w:pPr>
            <w:r>
              <w:rPr>
                <w:b/>
                <w:spacing w:val="-2"/>
                <w:w w:val="105"/>
                <w:sz w:val="13"/>
              </w:rPr>
              <w:t>31,236</w:t>
            </w:r>
          </w:p>
        </w:tc>
        <w:tc>
          <w:tcPr>
            <w:tcW w:w="568" w:type="dxa"/>
            <w:tcBorders>
              <w:top w:val="single" w:sz="6" w:space="0" w:color="000000"/>
              <w:bottom w:val="single" w:sz="6" w:space="0" w:color="000000"/>
            </w:tcBorders>
          </w:tcPr>
          <w:p>
            <w:pPr>
              <w:pStyle w:val="TableParagraph"/>
              <w:spacing w:line="132" w:lineRule="exact" w:before="5"/>
              <w:ind w:right="63"/>
              <w:jc w:val="right"/>
              <w:rPr>
                <w:sz w:val="13"/>
              </w:rPr>
            </w:pPr>
            <w:r>
              <w:rPr>
                <w:spacing w:val="-10"/>
                <w:w w:val="105"/>
                <w:sz w:val="13"/>
              </w:rPr>
              <w:t>-</w:t>
            </w:r>
          </w:p>
        </w:tc>
      </w:tr>
    </w:tbl>
    <w:p>
      <w:pPr>
        <w:spacing w:line="240" w:lineRule="auto" w:before="36"/>
        <w:rPr>
          <w:b/>
          <w:sz w:val="13"/>
        </w:rPr>
      </w:pPr>
    </w:p>
    <w:p>
      <w:pPr>
        <w:spacing w:before="0"/>
        <w:ind w:left="2588" w:right="0" w:firstLine="0"/>
        <w:jc w:val="left"/>
        <w:rPr>
          <w:b/>
          <w:sz w:val="13"/>
        </w:rPr>
      </w:pPr>
      <w:r>
        <w:rPr>
          <w:b/>
          <w:w w:val="105"/>
          <w:sz w:val="13"/>
        </w:rPr>
        <w:t>Foreign</w:t>
      </w:r>
      <w:r>
        <w:rPr>
          <w:b/>
          <w:spacing w:val="-6"/>
          <w:w w:val="105"/>
          <w:sz w:val="13"/>
        </w:rPr>
        <w:t> </w:t>
      </w:r>
      <w:r>
        <w:rPr>
          <w:b/>
          <w:w w:val="105"/>
          <w:sz w:val="13"/>
        </w:rPr>
        <w:t>exchange</w:t>
      </w:r>
      <w:r>
        <w:rPr>
          <w:b/>
          <w:spacing w:val="-7"/>
          <w:w w:val="105"/>
          <w:sz w:val="13"/>
        </w:rPr>
        <w:t> </w:t>
      </w:r>
      <w:r>
        <w:rPr>
          <w:b/>
          <w:w w:val="105"/>
          <w:sz w:val="13"/>
        </w:rPr>
        <w:t>rate</w:t>
      </w:r>
      <w:r>
        <w:rPr>
          <w:b/>
          <w:spacing w:val="-7"/>
          <w:w w:val="105"/>
          <w:sz w:val="13"/>
        </w:rPr>
        <w:t> </w:t>
      </w:r>
      <w:r>
        <w:rPr>
          <w:b/>
          <w:spacing w:val="-4"/>
          <w:w w:val="105"/>
          <w:sz w:val="13"/>
        </w:rPr>
        <w:t>risk</w:t>
      </w:r>
    </w:p>
    <w:p>
      <w:pPr>
        <w:spacing w:after="0"/>
        <w:jc w:val="left"/>
        <w:rPr>
          <w:sz w:val="13"/>
        </w:rPr>
        <w:sectPr>
          <w:type w:val="continuous"/>
          <w:pgSz w:w="11910" w:h="16840"/>
          <w:pgMar w:header="468" w:footer="0" w:top="980" w:bottom="280" w:left="1020" w:right="1540"/>
          <w:cols w:num="2" w:equalWidth="0">
            <w:col w:w="2784" w:space="921"/>
            <w:col w:w="5645"/>
          </w:cols>
        </w:sectPr>
      </w:pPr>
    </w:p>
    <w:p>
      <w:pPr>
        <w:spacing w:before="19"/>
        <w:ind w:left="0" w:right="0" w:firstLine="0"/>
        <w:jc w:val="right"/>
        <w:rPr>
          <w:b/>
          <w:sz w:val="13"/>
        </w:rPr>
      </w:pPr>
      <w:r>
        <w:rPr>
          <w:b/>
          <w:spacing w:val="-2"/>
          <w:w w:val="105"/>
          <w:sz w:val="13"/>
        </w:rPr>
        <w:t>Carrying</w:t>
      </w:r>
    </w:p>
    <w:p>
      <w:pPr>
        <w:spacing w:before="23"/>
        <w:ind w:left="0" w:right="0" w:firstLine="0"/>
        <w:jc w:val="right"/>
        <w:rPr>
          <w:b/>
          <w:sz w:val="13"/>
        </w:rPr>
      </w:pPr>
      <w:r>
        <w:rPr/>
        <w:br w:type="column"/>
      </w:r>
      <w:r>
        <w:rPr>
          <w:b/>
          <w:w w:val="105"/>
          <w:sz w:val="13"/>
        </w:rPr>
        <w:t>-</w:t>
      </w:r>
      <w:r>
        <w:rPr>
          <w:b/>
          <w:spacing w:val="-5"/>
          <w:w w:val="105"/>
          <w:sz w:val="13"/>
        </w:rPr>
        <w:t>20%</w:t>
      </w:r>
    </w:p>
    <w:p>
      <w:pPr>
        <w:spacing w:before="23"/>
        <w:ind w:left="509" w:right="0" w:firstLine="0"/>
        <w:jc w:val="center"/>
        <w:rPr>
          <w:b/>
          <w:sz w:val="13"/>
        </w:rPr>
      </w:pPr>
      <w:r>
        <w:rPr/>
        <w:br w:type="column"/>
      </w:r>
      <w:r>
        <w:rPr>
          <w:b/>
          <w:spacing w:val="-4"/>
          <w:w w:val="105"/>
          <w:sz w:val="13"/>
        </w:rPr>
        <w:t>+20%</w:t>
      </w:r>
    </w:p>
    <w:p>
      <w:pPr>
        <w:spacing w:after="0"/>
        <w:jc w:val="center"/>
        <w:rPr>
          <w:sz w:val="13"/>
        </w:rPr>
        <w:sectPr>
          <w:type w:val="continuous"/>
          <w:pgSz w:w="11910" w:h="16840"/>
          <w:pgMar w:header="468" w:footer="0" w:top="980" w:bottom="280" w:left="1020" w:right="1540"/>
          <w:cols w:num="3" w:equalWidth="0">
            <w:col w:w="5078" w:space="40"/>
            <w:col w:w="1253" w:space="39"/>
            <w:col w:w="2940"/>
          </w:cols>
        </w:sectPr>
      </w:pPr>
    </w:p>
    <w:p>
      <w:pPr>
        <w:tabs>
          <w:tab w:pos="5531" w:val="left" w:leader="none"/>
          <w:tab w:pos="6473" w:val="left" w:leader="none"/>
          <w:tab w:pos="7474" w:val="left" w:leader="none"/>
          <w:tab w:pos="8393" w:val="left" w:leader="none"/>
        </w:tabs>
        <w:spacing w:before="13"/>
        <w:ind w:left="4548" w:right="0" w:firstLine="0"/>
        <w:jc w:val="left"/>
        <w:rPr>
          <w:b/>
          <w:sz w:val="13"/>
        </w:rPr>
      </w:pPr>
      <w:r>
        <w:rPr>
          <w:b/>
          <w:spacing w:val="-2"/>
          <w:w w:val="105"/>
          <w:sz w:val="13"/>
        </w:rPr>
        <w:t>amount</w:t>
      </w:r>
      <w:r>
        <w:rPr>
          <w:b/>
          <w:sz w:val="13"/>
        </w:rPr>
        <w:tab/>
      </w:r>
      <w:r>
        <w:rPr>
          <w:b/>
          <w:spacing w:val="-2"/>
          <w:w w:val="105"/>
          <w:position w:val="1"/>
          <w:sz w:val="13"/>
        </w:rPr>
        <w:t>Profit</w:t>
      </w:r>
      <w:r>
        <w:rPr>
          <w:b/>
          <w:position w:val="1"/>
          <w:sz w:val="13"/>
        </w:rPr>
        <w:tab/>
      </w:r>
      <w:r>
        <w:rPr>
          <w:b/>
          <w:spacing w:val="-2"/>
          <w:w w:val="105"/>
          <w:position w:val="1"/>
          <w:sz w:val="13"/>
        </w:rPr>
        <w:t>Equity</w:t>
      </w:r>
      <w:r>
        <w:rPr>
          <w:b/>
          <w:position w:val="1"/>
          <w:sz w:val="13"/>
        </w:rPr>
        <w:tab/>
      </w:r>
      <w:r>
        <w:rPr>
          <w:b/>
          <w:spacing w:val="-2"/>
          <w:w w:val="105"/>
          <w:position w:val="1"/>
          <w:sz w:val="13"/>
        </w:rPr>
        <w:t>Profit</w:t>
      </w:r>
      <w:r>
        <w:rPr>
          <w:b/>
          <w:position w:val="1"/>
          <w:sz w:val="13"/>
        </w:rPr>
        <w:tab/>
      </w:r>
      <w:r>
        <w:rPr>
          <w:b/>
          <w:spacing w:val="-2"/>
          <w:w w:val="105"/>
          <w:position w:val="1"/>
          <w:sz w:val="13"/>
        </w:rPr>
        <w:t>Equity</w:t>
      </w:r>
    </w:p>
    <w:p>
      <w:pPr>
        <w:spacing w:after="0"/>
        <w:jc w:val="left"/>
        <w:rPr>
          <w:sz w:val="13"/>
        </w:rPr>
        <w:sectPr>
          <w:type w:val="continuous"/>
          <w:pgSz w:w="11910" w:h="16840"/>
          <w:pgMar w:header="468" w:footer="0" w:top="980" w:bottom="280" w:left="1020" w:right="1540"/>
        </w:sectPr>
      </w:pPr>
    </w:p>
    <w:p>
      <w:pPr>
        <w:spacing w:line="240" w:lineRule="auto" w:before="47"/>
        <w:rPr>
          <w:b/>
          <w:sz w:val="13"/>
        </w:rPr>
      </w:pPr>
    </w:p>
    <w:p>
      <w:pPr>
        <w:spacing w:before="0"/>
        <w:ind w:left="651" w:right="0" w:firstLine="0"/>
        <w:jc w:val="left"/>
        <w:rPr>
          <w:b/>
          <w:sz w:val="13"/>
        </w:rPr>
      </w:pPr>
      <w:r>
        <w:rPr>
          <w:b/>
          <w:w w:val="105"/>
          <w:sz w:val="13"/>
        </w:rPr>
        <w:t>Financial</w:t>
      </w:r>
      <w:r>
        <w:rPr>
          <w:b/>
          <w:spacing w:val="-9"/>
          <w:w w:val="105"/>
          <w:sz w:val="13"/>
        </w:rPr>
        <w:t> </w:t>
      </w:r>
      <w:r>
        <w:rPr>
          <w:b/>
          <w:spacing w:val="-2"/>
          <w:w w:val="105"/>
          <w:sz w:val="13"/>
        </w:rPr>
        <w:t>assets</w:t>
      </w:r>
    </w:p>
    <w:p>
      <w:pPr>
        <w:spacing w:line="278" w:lineRule="auto" w:before="23"/>
        <w:ind w:left="651" w:right="0" w:firstLine="0"/>
        <w:jc w:val="left"/>
        <w:rPr>
          <w:sz w:val="13"/>
        </w:rPr>
      </w:pPr>
      <w:r>
        <w:rPr>
          <w:w w:val="105"/>
          <w:sz w:val="13"/>
        </w:rPr>
        <w:t>Cash</w:t>
      </w:r>
      <w:r>
        <w:rPr>
          <w:spacing w:val="-10"/>
          <w:w w:val="105"/>
          <w:sz w:val="13"/>
        </w:rPr>
        <w:t> </w:t>
      </w:r>
      <w:r>
        <w:rPr>
          <w:w w:val="105"/>
          <w:sz w:val="13"/>
        </w:rPr>
        <w:t>and</w:t>
      </w:r>
      <w:r>
        <w:rPr>
          <w:spacing w:val="-9"/>
          <w:w w:val="105"/>
          <w:sz w:val="13"/>
        </w:rPr>
        <w:t> </w:t>
      </w:r>
      <w:r>
        <w:rPr>
          <w:w w:val="105"/>
          <w:sz w:val="13"/>
        </w:rPr>
        <w:t>cash</w:t>
      </w:r>
      <w:r>
        <w:rPr>
          <w:spacing w:val="-10"/>
          <w:w w:val="105"/>
          <w:sz w:val="13"/>
        </w:rPr>
        <w:t> </w:t>
      </w:r>
      <w:r>
        <w:rPr>
          <w:w w:val="105"/>
          <w:sz w:val="13"/>
        </w:rPr>
        <w:t>equivalents</w:t>
      </w:r>
      <w:r>
        <w:rPr>
          <w:spacing w:val="40"/>
          <w:w w:val="105"/>
          <w:sz w:val="13"/>
        </w:rPr>
        <w:t> </w:t>
      </w:r>
      <w:r>
        <w:rPr>
          <w:spacing w:val="-2"/>
          <w:w w:val="105"/>
          <w:sz w:val="13"/>
        </w:rPr>
        <w:t>Receivables</w:t>
      </w:r>
    </w:p>
    <w:p>
      <w:pPr>
        <w:spacing w:line="144" w:lineRule="exact" w:before="0"/>
        <w:ind w:left="651" w:right="0" w:firstLine="0"/>
        <w:jc w:val="left"/>
        <w:rPr>
          <w:sz w:val="13"/>
        </w:rPr>
      </w:pPr>
      <w:r>
        <w:rPr>
          <w:w w:val="105"/>
          <w:sz w:val="13"/>
        </w:rPr>
        <w:t>Other</w:t>
      </w:r>
      <w:r>
        <w:rPr>
          <w:spacing w:val="-7"/>
          <w:w w:val="105"/>
          <w:sz w:val="13"/>
        </w:rPr>
        <w:t> </w:t>
      </w:r>
      <w:r>
        <w:rPr>
          <w:w w:val="105"/>
          <w:sz w:val="13"/>
        </w:rPr>
        <w:t>financial</w:t>
      </w:r>
      <w:r>
        <w:rPr>
          <w:spacing w:val="-6"/>
          <w:w w:val="105"/>
          <w:sz w:val="13"/>
        </w:rPr>
        <w:t> </w:t>
      </w:r>
      <w:r>
        <w:rPr>
          <w:spacing w:val="-2"/>
          <w:w w:val="105"/>
          <w:sz w:val="13"/>
        </w:rPr>
        <w:t>assets</w:t>
      </w:r>
    </w:p>
    <w:p>
      <w:pPr>
        <w:spacing w:line="240" w:lineRule="auto" w:before="46"/>
        <w:rPr>
          <w:sz w:val="13"/>
        </w:rPr>
      </w:pPr>
    </w:p>
    <w:p>
      <w:pPr>
        <w:spacing w:line="278" w:lineRule="auto" w:before="1"/>
        <w:ind w:left="651" w:right="128" w:firstLine="0"/>
        <w:jc w:val="left"/>
        <w:rPr>
          <w:sz w:val="13"/>
        </w:rPr>
      </w:pPr>
      <w:r>
        <w:rPr>
          <w:b/>
          <w:w w:val="105"/>
          <w:sz w:val="13"/>
        </w:rPr>
        <w:t>Financial</w:t>
      </w:r>
      <w:r>
        <w:rPr>
          <w:b/>
          <w:spacing w:val="-6"/>
          <w:w w:val="105"/>
          <w:sz w:val="13"/>
        </w:rPr>
        <w:t> </w:t>
      </w:r>
      <w:r>
        <w:rPr>
          <w:b/>
          <w:w w:val="105"/>
          <w:sz w:val="13"/>
        </w:rPr>
        <w:t>liabilities</w:t>
      </w:r>
      <w:r>
        <w:rPr>
          <w:b/>
          <w:spacing w:val="40"/>
          <w:w w:val="105"/>
          <w:sz w:val="13"/>
        </w:rPr>
        <w:t> </w:t>
      </w:r>
      <w:r>
        <w:rPr>
          <w:w w:val="105"/>
          <w:sz w:val="13"/>
        </w:rPr>
        <w:t>Trade</w:t>
      </w:r>
      <w:r>
        <w:rPr>
          <w:spacing w:val="-10"/>
          <w:w w:val="105"/>
          <w:sz w:val="13"/>
        </w:rPr>
        <w:t> </w:t>
      </w:r>
      <w:r>
        <w:rPr>
          <w:w w:val="105"/>
          <w:sz w:val="13"/>
        </w:rPr>
        <w:t>and</w:t>
      </w:r>
      <w:r>
        <w:rPr>
          <w:spacing w:val="-9"/>
          <w:w w:val="105"/>
          <w:sz w:val="13"/>
        </w:rPr>
        <w:t> </w:t>
      </w:r>
      <w:r>
        <w:rPr>
          <w:w w:val="105"/>
          <w:sz w:val="13"/>
        </w:rPr>
        <w:t>other</w:t>
      </w:r>
      <w:r>
        <w:rPr>
          <w:spacing w:val="-10"/>
          <w:w w:val="105"/>
          <w:sz w:val="13"/>
        </w:rPr>
        <w:t> </w:t>
      </w:r>
      <w:r>
        <w:rPr>
          <w:w w:val="105"/>
          <w:sz w:val="13"/>
        </w:rPr>
        <w:t>payables</w:t>
      </w:r>
      <w:r>
        <w:rPr>
          <w:spacing w:val="40"/>
          <w:w w:val="105"/>
          <w:sz w:val="13"/>
        </w:rPr>
        <w:t> </w:t>
      </w:r>
      <w:r>
        <w:rPr>
          <w:spacing w:val="-2"/>
          <w:w w:val="105"/>
          <w:sz w:val="13"/>
        </w:rPr>
        <w:t>Borrowings</w:t>
      </w:r>
    </w:p>
    <w:p>
      <w:pPr>
        <w:spacing w:line="147" w:lineRule="exact" w:before="0"/>
        <w:ind w:left="651" w:right="0" w:firstLine="0"/>
        <w:jc w:val="left"/>
        <w:rPr>
          <w:sz w:val="13"/>
        </w:rPr>
      </w:pPr>
      <w:r>
        <w:rPr>
          <w:w w:val="105"/>
          <w:sz w:val="13"/>
        </w:rPr>
        <w:t>Other</w:t>
      </w:r>
      <w:r>
        <w:rPr>
          <w:spacing w:val="-7"/>
          <w:w w:val="105"/>
          <w:sz w:val="13"/>
        </w:rPr>
        <w:t> </w:t>
      </w:r>
      <w:r>
        <w:rPr>
          <w:w w:val="105"/>
          <w:sz w:val="13"/>
        </w:rPr>
        <w:t>financial</w:t>
      </w:r>
      <w:r>
        <w:rPr>
          <w:spacing w:val="-6"/>
          <w:w w:val="105"/>
          <w:sz w:val="13"/>
        </w:rPr>
        <w:t> </w:t>
      </w:r>
      <w:r>
        <w:rPr>
          <w:spacing w:val="-2"/>
          <w:w w:val="105"/>
          <w:sz w:val="13"/>
        </w:rPr>
        <w:t>liabilities</w:t>
      </w:r>
    </w:p>
    <w:p>
      <w:pPr>
        <w:spacing w:before="23"/>
        <w:ind w:left="651" w:right="0" w:firstLine="0"/>
        <w:jc w:val="left"/>
        <w:rPr>
          <w:b/>
          <w:sz w:val="13"/>
        </w:rPr>
      </w:pPr>
      <w:r>
        <w:rPr>
          <w:b/>
          <w:w w:val="105"/>
          <w:sz w:val="13"/>
        </w:rPr>
        <w:t>Total</w:t>
      </w:r>
      <w:r>
        <w:rPr>
          <w:b/>
          <w:spacing w:val="-3"/>
          <w:w w:val="105"/>
          <w:sz w:val="13"/>
        </w:rPr>
        <w:t> </w:t>
      </w:r>
      <w:r>
        <w:rPr>
          <w:b/>
          <w:spacing w:val="-2"/>
          <w:w w:val="105"/>
          <w:sz w:val="13"/>
        </w:rPr>
        <w:t>increase/(decrease)</w:t>
      </w:r>
    </w:p>
    <w:p>
      <w:pPr>
        <w:tabs>
          <w:tab w:pos="1844" w:val="left" w:leader="none"/>
          <w:tab w:pos="2814" w:val="left" w:leader="none"/>
          <w:tab w:pos="3786" w:val="left" w:leader="none"/>
          <w:tab w:pos="4736" w:val="left" w:leader="none"/>
        </w:tabs>
        <w:spacing w:before="24"/>
        <w:ind w:left="930" w:right="0" w:firstLine="0"/>
        <w:jc w:val="left"/>
        <w:rPr>
          <w:b/>
          <w:sz w:val="13"/>
        </w:rPr>
      </w:pPr>
      <w:r>
        <w:rPr/>
        <w:br w:type="column"/>
      </w:r>
      <w:r>
        <w:rPr>
          <w:b/>
          <w:spacing w:val="-2"/>
          <w:w w:val="105"/>
          <w:sz w:val="13"/>
        </w:rPr>
        <w:t>$'000</w:t>
      </w:r>
      <w:r>
        <w:rPr>
          <w:b/>
          <w:sz w:val="13"/>
        </w:rPr>
        <w:tab/>
      </w:r>
      <w:r>
        <w:rPr>
          <w:b/>
          <w:spacing w:val="-2"/>
          <w:w w:val="105"/>
          <w:sz w:val="13"/>
        </w:rPr>
        <w:t>$'000</w:t>
      </w:r>
      <w:r>
        <w:rPr>
          <w:b/>
          <w:sz w:val="13"/>
        </w:rPr>
        <w:tab/>
      </w:r>
      <w:r>
        <w:rPr>
          <w:b/>
          <w:spacing w:val="-4"/>
          <w:w w:val="105"/>
          <w:sz w:val="13"/>
        </w:rPr>
        <w:t>$'000</w:t>
      </w:r>
      <w:r>
        <w:rPr>
          <w:b/>
          <w:sz w:val="13"/>
        </w:rPr>
        <w:tab/>
      </w:r>
      <w:r>
        <w:rPr>
          <w:b/>
          <w:spacing w:val="-2"/>
          <w:w w:val="105"/>
          <w:sz w:val="13"/>
        </w:rPr>
        <w:t>$'000</w:t>
      </w:r>
      <w:r>
        <w:rPr>
          <w:b/>
          <w:sz w:val="13"/>
        </w:rPr>
        <w:tab/>
      </w:r>
      <w:r>
        <w:rPr>
          <w:b/>
          <w:spacing w:val="-2"/>
          <w:w w:val="105"/>
          <w:sz w:val="13"/>
        </w:rPr>
        <w:t>$'000</w:t>
      </w:r>
    </w:p>
    <w:tbl>
      <w:tblPr>
        <w:tblW w:w="0" w:type="auto"/>
        <w:jc w:val="left"/>
        <w:tblInd w:w="6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79"/>
        <w:gridCol w:w="1377"/>
        <w:gridCol w:w="565"/>
        <w:gridCol w:w="1902"/>
      </w:tblGrid>
      <w:tr>
        <w:trPr>
          <w:trHeight w:val="332" w:hRule="atLeast"/>
        </w:trPr>
        <w:tc>
          <w:tcPr>
            <w:tcW w:w="879" w:type="dxa"/>
            <w:tcBorders>
              <w:top w:val="single" w:sz="6" w:space="0" w:color="000000"/>
            </w:tcBorders>
          </w:tcPr>
          <w:p>
            <w:pPr>
              <w:pStyle w:val="TableParagraph"/>
              <w:spacing w:before="44"/>
              <w:rPr>
                <w:b/>
                <w:sz w:val="13"/>
              </w:rPr>
            </w:pPr>
          </w:p>
          <w:p>
            <w:pPr>
              <w:pStyle w:val="TableParagraph"/>
              <w:spacing w:line="119" w:lineRule="exact"/>
              <w:ind w:right="71"/>
              <w:jc w:val="right"/>
              <w:rPr>
                <w:sz w:val="13"/>
              </w:rPr>
            </w:pPr>
            <w:r>
              <w:rPr>
                <w:spacing w:val="-2"/>
                <w:w w:val="105"/>
                <w:sz w:val="13"/>
              </w:rPr>
              <w:t>127,090</w:t>
            </w:r>
          </w:p>
        </w:tc>
        <w:tc>
          <w:tcPr>
            <w:tcW w:w="1377" w:type="dxa"/>
            <w:tcBorders>
              <w:top w:val="single" w:sz="6" w:space="0" w:color="000000"/>
            </w:tcBorders>
          </w:tcPr>
          <w:p>
            <w:pPr>
              <w:pStyle w:val="TableParagraph"/>
              <w:spacing w:before="44"/>
              <w:rPr>
                <w:b/>
                <w:sz w:val="13"/>
              </w:rPr>
            </w:pPr>
          </w:p>
          <w:p>
            <w:pPr>
              <w:pStyle w:val="TableParagraph"/>
              <w:spacing w:line="119" w:lineRule="exact"/>
              <w:ind w:right="452"/>
              <w:jc w:val="right"/>
              <w:rPr>
                <w:sz w:val="13"/>
              </w:rPr>
            </w:pPr>
            <w:r>
              <w:rPr>
                <w:spacing w:val="-10"/>
                <w:w w:val="105"/>
                <w:sz w:val="13"/>
              </w:rPr>
              <w:t>-</w:t>
            </w:r>
          </w:p>
        </w:tc>
        <w:tc>
          <w:tcPr>
            <w:tcW w:w="565" w:type="dxa"/>
            <w:tcBorders>
              <w:top w:val="single" w:sz="6" w:space="0" w:color="000000"/>
              <w:right w:val="single" w:sz="6" w:space="0" w:color="000000"/>
            </w:tcBorders>
          </w:tcPr>
          <w:p>
            <w:pPr>
              <w:pStyle w:val="TableParagraph"/>
              <w:spacing w:before="57"/>
              <w:rPr>
                <w:b/>
                <w:sz w:val="13"/>
              </w:rPr>
            </w:pPr>
          </w:p>
          <w:p>
            <w:pPr>
              <w:pStyle w:val="TableParagraph"/>
              <w:spacing w:line="106" w:lineRule="exact"/>
              <w:ind w:right="17"/>
              <w:jc w:val="right"/>
              <w:rPr>
                <w:sz w:val="13"/>
              </w:rPr>
            </w:pPr>
            <w:r>
              <w:rPr>
                <w:spacing w:val="-10"/>
                <w:w w:val="105"/>
                <w:sz w:val="13"/>
              </w:rPr>
              <w:t>-</w:t>
            </w:r>
          </w:p>
        </w:tc>
        <w:tc>
          <w:tcPr>
            <w:tcW w:w="1902" w:type="dxa"/>
            <w:tcBorders>
              <w:top w:val="single" w:sz="6" w:space="0" w:color="000000"/>
              <w:left w:val="single" w:sz="6" w:space="0" w:color="000000"/>
            </w:tcBorders>
          </w:tcPr>
          <w:p>
            <w:pPr>
              <w:pStyle w:val="TableParagraph"/>
              <w:spacing w:before="47"/>
              <w:rPr>
                <w:b/>
                <w:sz w:val="13"/>
              </w:rPr>
            </w:pPr>
          </w:p>
          <w:p>
            <w:pPr>
              <w:pStyle w:val="TableParagraph"/>
              <w:tabs>
                <w:tab w:pos="949" w:val="left" w:leader="none"/>
              </w:tabs>
              <w:spacing w:line="116" w:lineRule="exact"/>
              <w:ind w:right="27"/>
              <w:jc w:val="right"/>
              <w:rPr>
                <w:sz w:val="13"/>
              </w:rPr>
            </w:pPr>
            <w:r>
              <w:rPr>
                <w:spacing w:val="-10"/>
                <w:w w:val="105"/>
                <w:position w:val="1"/>
                <w:sz w:val="13"/>
              </w:rPr>
              <w:t>-</w:t>
            </w:r>
            <w:r>
              <w:rPr>
                <w:position w:val="1"/>
                <w:sz w:val="13"/>
              </w:rPr>
              <w:tab/>
            </w:r>
            <w:r>
              <w:rPr>
                <w:spacing w:val="-10"/>
                <w:w w:val="105"/>
                <w:sz w:val="13"/>
              </w:rPr>
              <w:t>-</w:t>
            </w:r>
          </w:p>
        </w:tc>
      </w:tr>
      <w:tr>
        <w:trPr>
          <w:trHeight w:val="170" w:hRule="atLeast"/>
        </w:trPr>
        <w:tc>
          <w:tcPr>
            <w:tcW w:w="879" w:type="dxa"/>
          </w:tcPr>
          <w:p>
            <w:pPr>
              <w:pStyle w:val="TableParagraph"/>
              <w:spacing w:line="117" w:lineRule="exact" w:before="34"/>
              <w:ind w:right="71"/>
              <w:jc w:val="right"/>
              <w:rPr>
                <w:sz w:val="13"/>
              </w:rPr>
            </w:pPr>
            <w:r>
              <w:rPr>
                <w:spacing w:val="-2"/>
                <w:w w:val="105"/>
                <w:sz w:val="13"/>
              </w:rPr>
              <w:t>41,322</w:t>
            </w:r>
          </w:p>
        </w:tc>
        <w:tc>
          <w:tcPr>
            <w:tcW w:w="1377" w:type="dxa"/>
          </w:tcPr>
          <w:p>
            <w:pPr>
              <w:pStyle w:val="TableParagraph"/>
              <w:spacing w:line="117" w:lineRule="exact" w:before="34"/>
              <w:ind w:right="498"/>
              <w:jc w:val="right"/>
              <w:rPr>
                <w:sz w:val="13"/>
              </w:rPr>
            </w:pPr>
            <w:r>
              <w:rPr>
                <w:spacing w:val="-5"/>
                <w:w w:val="105"/>
                <w:sz w:val="13"/>
              </w:rPr>
              <w:t>224</w:t>
            </w:r>
          </w:p>
        </w:tc>
        <w:tc>
          <w:tcPr>
            <w:tcW w:w="565" w:type="dxa"/>
            <w:tcBorders>
              <w:right w:val="single" w:sz="6" w:space="0" w:color="000000"/>
            </w:tcBorders>
          </w:tcPr>
          <w:p>
            <w:pPr>
              <w:pStyle w:val="TableParagraph"/>
              <w:spacing w:line="103" w:lineRule="exact" w:before="47"/>
              <w:ind w:right="17"/>
              <w:jc w:val="right"/>
              <w:rPr>
                <w:sz w:val="13"/>
              </w:rPr>
            </w:pPr>
            <w:r>
              <w:rPr>
                <w:spacing w:val="-10"/>
                <w:w w:val="105"/>
                <w:sz w:val="13"/>
              </w:rPr>
              <w:t>-</w:t>
            </w:r>
          </w:p>
        </w:tc>
        <w:tc>
          <w:tcPr>
            <w:tcW w:w="1902" w:type="dxa"/>
            <w:tcBorders>
              <w:left w:val="single" w:sz="6" w:space="0" w:color="000000"/>
            </w:tcBorders>
          </w:tcPr>
          <w:p>
            <w:pPr>
              <w:pStyle w:val="TableParagraph"/>
              <w:tabs>
                <w:tab w:pos="1222" w:val="left" w:leader="none"/>
              </w:tabs>
              <w:spacing w:line="113" w:lineRule="exact" w:before="37"/>
              <w:ind w:right="27"/>
              <w:jc w:val="right"/>
              <w:rPr>
                <w:sz w:val="13"/>
              </w:rPr>
            </w:pPr>
            <w:r>
              <w:rPr>
                <w:spacing w:val="-2"/>
                <w:w w:val="105"/>
                <w:position w:val="1"/>
                <w:sz w:val="13"/>
              </w:rPr>
              <w:t>(224)</w:t>
            </w:r>
            <w:r>
              <w:rPr>
                <w:position w:val="1"/>
                <w:sz w:val="13"/>
              </w:rPr>
              <w:tab/>
            </w:r>
            <w:r>
              <w:rPr>
                <w:spacing w:val="-10"/>
                <w:w w:val="105"/>
                <w:sz w:val="13"/>
              </w:rPr>
              <w:t>-</w:t>
            </w:r>
          </w:p>
        </w:tc>
      </w:tr>
      <w:tr>
        <w:trPr>
          <w:trHeight w:val="344" w:hRule="atLeast"/>
        </w:trPr>
        <w:tc>
          <w:tcPr>
            <w:tcW w:w="879" w:type="dxa"/>
          </w:tcPr>
          <w:p>
            <w:pPr>
              <w:pStyle w:val="TableParagraph"/>
              <w:spacing w:before="31"/>
              <w:ind w:right="71"/>
              <w:jc w:val="right"/>
              <w:rPr>
                <w:sz w:val="13"/>
              </w:rPr>
            </w:pPr>
            <w:r>
              <w:rPr>
                <w:spacing w:val="-2"/>
                <w:w w:val="105"/>
                <w:sz w:val="13"/>
              </w:rPr>
              <w:t>940,148</w:t>
            </w:r>
          </w:p>
        </w:tc>
        <w:tc>
          <w:tcPr>
            <w:tcW w:w="1377" w:type="dxa"/>
          </w:tcPr>
          <w:p>
            <w:pPr>
              <w:pStyle w:val="TableParagraph"/>
              <w:spacing w:before="47"/>
              <w:ind w:right="452"/>
              <w:jc w:val="right"/>
              <w:rPr>
                <w:sz w:val="13"/>
              </w:rPr>
            </w:pPr>
            <w:r>
              <w:rPr>
                <w:spacing w:val="-10"/>
                <w:w w:val="105"/>
                <w:sz w:val="13"/>
              </w:rPr>
              <w:t>-</w:t>
            </w:r>
          </w:p>
        </w:tc>
        <w:tc>
          <w:tcPr>
            <w:tcW w:w="565" w:type="dxa"/>
            <w:tcBorders>
              <w:right w:val="single" w:sz="6" w:space="0" w:color="000000"/>
            </w:tcBorders>
          </w:tcPr>
          <w:p>
            <w:pPr>
              <w:pStyle w:val="TableParagraph"/>
              <w:spacing w:before="47"/>
              <w:ind w:right="17"/>
              <w:jc w:val="right"/>
              <w:rPr>
                <w:sz w:val="13"/>
              </w:rPr>
            </w:pPr>
            <w:r>
              <w:rPr>
                <w:spacing w:val="-10"/>
                <w:w w:val="105"/>
                <w:sz w:val="13"/>
              </w:rPr>
              <w:t>-</w:t>
            </w:r>
          </w:p>
        </w:tc>
        <w:tc>
          <w:tcPr>
            <w:tcW w:w="1902" w:type="dxa"/>
            <w:tcBorders>
              <w:left w:val="single" w:sz="6" w:space="0" w:color="000000"/>
            </w:tcBorders>
          </w:tcPr>
          <w:p>
            <w:pPr>
              <w:pStyle w:val="TableParagraph"/>
              <w:tabs>
                <w:tab w:pos="949" w:val="left" w:leader="none"/>
              </w:tabs>
              <w:spacing w:before="47"/>
              <w:ind w:right="27"/>
              <w:jc w:val="right"/>
              <w:rPr>
                <w:sz w:val="13"/>
              </w:rPr>
            </w:pPr>
            <w:r>
              <w:rPr>
                <w:spacing w:val="-10"/>
                <w:w w:val="105"/>
                <w:sz w:val="13"/>
              </w:rPr>
              <w:t>-</w:t>
            </w:r>
            <w:r>
              <w:rPr>
                <w:sz w:val="13"/>
              </w:rPr>
              <w:tab/>
            </w:r>
            <w:r>
              <w:rPr>
                <w:spacing w:val="-10"/>
                <w:w w:val="105"/>
                <w:sz w:val="13"/>
              </w:rPr>
              <w:t>-</w:t>
            </w:r>
          </w:p>
        </w:tc>
      </w:tr>
      <w:tr>
        <w:trPr>
          <w:trHeight w:val="344" w:hRule="atLeast"/>
        </w:trPr>
        <w:tc>
          <w:tcPr>
            <w:tcW w:w="879" w:type="dxa"/>
          </w:tcPr>
          <w:p>
            <w:pPr>
              <w:pStyle w:val="TableParagraph"/>
              <w:spacing w:before="56"/>
              <w:rPr>
                <w:b/>
                <w:sz w:val="13"/>
              </w:rPr>
            </w:pPr>
          </w:p>
          <w:p>
            <w:pPr>
              <w:pStyle w:val="TableParagraph"/>
              <w:spacing w:line="119" w:lineRule="exact"/>
              <w:ind w:right="26"/>
              <w:jc w:val="right"/>
              <w:rPr>
                <w:sz w:val="13"/>
              </w:rPr>
            </w:pPr>
            <w:r>
              <w:rPr>
                <w:spacing w:val="-2"/>
                <w:w w:val="105"/>
                <w:sz w:val="13"/>
              </w:rPr>
              <w:t>(44,929)</w:t>
            </w:r>
          </w:p>
        </w:tc>
        <w:tc>
          <w:tcPr>
            <w:tcW w:w="1377" w:type="dxa"/>
          </w:tcPr>
          <w:p>
            <w:pPr>
              <w:pStyle w:val="TableParagraph"/>
              <w:spacing w:before="69"/>
              <w:rPr>
                <w:b/>
                <w:sz w:val="13"/>
              </w:rPr>
            </w:pPr>
          </w:p>
          <w:p>
            <w:pPr>
              <w:pStyle w:val="TableParagraph"/>
              <w:spacing w:line="106" w:lineRule="exact"/>
              <w:ind w:right="452"/>
              <w:jc w:val="right"/>
              <w:rPr>
                <w:sz w:val="13"/>
              </w:rPr>
            </w:pPr>
            <w:r>
              <w:rPr>
                <w:spacing w:val="-10"/>
                <w:w w:val="105"/>
                <w:sz w:val="13"/>
              </w:rPr>
              <w:t>-</w:t>
            </w:r>
          </w:p>
        </w:tc>
        <w:tc>
          <w:tcPr>
            <w:tcW w:w="565" w:type="dxa"/>
            <w:tcBorders>
              <w:right w:val="single" w:sz="6" w:space="0" w:color="000000"/>
            </w:tcBorders>
          </w:tcPr>
          <w:p>
            <w:pPr>
              <w:pStyle w:val="TableParagraph"/>
              <w:spacing w:before="69"/>
              <w:rPr>
                <w:b/>
                <w:sz w:val="13"/>
              </w:rPr>
            </w:pPr>
          </w:p>
          <w:p>
            <w:pPr>
              <w:pStyle w:val="TableParagraph"/>
              <w:spacing w:line="106" w:lineRule="exact"/>
              <w:ind w:right="17"/>
              <w:jc w:val="right"/>
              <w:rPr>
                <w:sz w:val="13"/>
              </w:rPr>
            </w:pPr>
            <w:r>
              <w:rPr>
                <w:spacing w:val="-10"/>
                <w:w w:val="105"/>
                <w:sz w:val="13"/>
              </w:rPr>
              <w:t>-</w:t>
            </w:r>
          </w:p>
        </w:tc>
        <w:tc>
          <w:tcPr>
            <w:tcW w:w="1902" w:type="dxa"/>
            <w:tcBorders>
              <w:left w:val="single" w:sz="6" w:space="0" w:color="000000"/>
            </w:tcBorders>
          </w:tcPr>
          <w:p>
            <w:pPr>
              <w:pStyle w:val="TableParagraph"/>
              <w:spacing w:before="69"/>
              <w:rPr>
                <w:b/>
                <w:sz w:val="13"/>
              </w:rPr>
            </w:pPr>
          </w:p>
          <w:p>
            <w:pPr>
              <w:pStyle w:val="TableParagraph"/>
              <w:tabs>
                <w:tab w:pos="949" w:val="left" w:leader="none"/>
              </w:tabs>
              <w:spacing w:line="106" w:lineRule="exact"/>
              <w:ind w:right="27"/>
              <w:jc w:val="right"/>
              <w:rPr>
                <w:sz w:val="13"/>
              </w:rPr>
            </w:pPr>
            <w:r>
              <w:rPr>
                <w:spacing w:val="-10"/>
                <w:w w:val="105"/>
                <w:sz w:val="13"/>
              </w:rPr>
              <w:t>-</w:t>
            </w:r>
            <w:r>
              <w:rPr>
                <w:sz w:val="13"/>
              </w:rPr>
              <w:tab/>
            </w:r>
            <w:r>
              <w:rPr>
                <w:spacing w:val="-10"/>
                <w:w w:val="105"/>
                <w:sz w:val="13"/>
              </w:rPr>
              <w:t>-</w:t>
            </w:r>
          </w:p>
        </w:tc>
      </w:tr>
      <w:tr>
        <w:trPr>
          <w:trHeight w:val="172" w:hRule="atLeast"/>
        </w:trPr>
        <w:tc>
          <w:tcPr>
            <w:tcW w:w="879" w:type="dxa"/>
          </w:tcPr>
          <w:p>
            <w:pPr>
              <w:pStyle w:val="TableParagraph"/>
              <w:spacing w:line="119" w:lineRule="exact" w:before="34"/>
              <w:ind w:right="26"/>
              <w:jc w:val="right"/>
              <w:rPr>
                <w:sz w:val="13"/>
              </w:rPr>
            </w:pPr>
            <w:r>
              <w:rPr>
                <w:spacing w:val="-2"/>
                <w:w w:val="105"/>
                <w:sz w:val="13"/>
              </w:rPr>
              <w:t>(187,551)</w:t>
            </w:r>
          </w:p>
        </w:tc>
        <w:tc>
          <w:tcPr>
            <w:tcW w:w="1377" w:type="dxa"/>
          </w:tcPr>
          <w:p>
            <w:pPr>
              <w:pStyle w:val="TableParagraph"/>
              <w:spacing w:line="106" w:lineRule="exact" w:before="47"/>
              <w:ind w:right="452"/>
              <w:jc w:val="right"/>
              <w:rPr>
                <w:sz w:val="13"/>
              </w:rPr>
            </w:pPr>
            <w:r>
              <w:rPr>
                <w:spacing w:val="-10"/>
                <w:w w:val="105"/>
                <w:sz w:val="13"/>
              </w:rPr>
              <w:t>-</w:t>
            </w:r>
          </w:p>
        </w:tc>
        <w:tc>
          <w:tcPr>
            <w:tcW w:w="565" w:type="dxa"/>
            <w:tcBorders>
              <w:right w:val="single" w:sz="6" w:space="0" w:color="000000"/>
            </w:tcBorders>
          </w:tcPr>
          <w:p>
            <w:pPr>
              <w:pStyle w:val="TableParagraph"/>
              <w:spacing w:line="106" w:lineRule="exact" w:before="47"/>
              <w:ind w:right="17"/>
              <w:jc w:val="right"/>
              <w:rPr>
                <w:sz w:val="13"/>
              </w:rPr>
            </w:pPr>
            <w:r>
              <w:rPr>
                <w:spacing w:val="-10"/>
                <w:w w:val="105"/>
                <w:sz w:val="13"/>
              </w:rPr>
              <w:t>-</w:t>
            </w:r>
          </w:p>
        </w:tc>
        <w:tc>
          <w:tcPr>
            <w:tcW w:w="1902" w:type="dxa"/>
            <w:tcBorders>
              <w:left w:val="single" w:sz="6" w:space="0" w:color="000000"/>
            </w:tcBorders>
          </w:tcPr>
          <w:p>
            <w:pPr>
              <w:pStyle w:val="TableParagraph"/>
              <w:tabs>
                <w:tab w:pos="949" w:val="left" w:leader="none"/>
              </w:tabs>
              <w:spacing w:line="106" w:lineRule="exact" w:before="47"/>
              <w:ind w:right="27"/>
              <w:jc w:val="right"/>
              <w:rPr>
                <w:sz w:val="13"/>
              </w:rPr>
            </w:pPr>
            <w:r>
              <w:rPr>
                <w:spacing w:val="-10"/>
                <w:w w:val="105"/>
                <w:sz w:val="13"/>
              </w:rPr>
              <w:t>-</w:t>
            </w:r>
            <w:r>
              <w:rPr>
                <w:sz w:val="13"/>
              </w:rPr>
              <w:tab/>
            </w:r>
            <w:r>
              <w:rPr>
                <w:spacing w:val="-10"/>
                <w:w w:val="105"/>
                <w:sz w:val="13"/>
              </w:rPr>
              <w:t>-</w:t>
            </w:r>
          </w:p>
        </w:tc>
      </w:tr>
      <w:tr>
        <w:trPr>
          <w:trHeight w:val="170" w:hRule="atLeast"/>
        </w:trPr>
        <w:tc>
          <w:tcPr>
            <w:tcW w:w="879" w:type="dxa"/>
          </w:tcPr>
          <w:p>
            <w:pPr>
              <w:pStyle w:val="TableParagraph"/>
              <w:spacing w:line="117" w:lineRule="exact" w:before="34"/>
              <w:ind w:right="26"/>
              <w:jc w:val="right"/>
              <w:rPr>
                <w:sz w:val="13"/>
              </w:rPr>
            </w:pPr>
            <w:r>
              <w:rPr>
                <w:spacing w:val="-2"/>
                <w:w w:val="105"/>
                <w:sz w:val="13"/>
              </w:rPr>
              <w:t>(19,437)</w:t>
            </w:r>
          </w:p>
        </w:tc>
        <w:tc>
          <w:tcPr>
            <w:tcW w:w="1377" w:type="dxa"/>
            <w:tcBorders>
              <w:bottom w:val="single" w:sz="6" w:space="0" w:color="000000"/>
            </w:tcBorders>
          </w:tcPr>
          <w:p>
            <w:pPr>
              <w:pStyle w:val="TableParagraph"/>
              <w:spacing w:line="104" w:lineRule="exact" w:before="47"/>
              <w:ind w:right="452"/>
              <w:jc w:val="right"/>
              <w:rPr>
                <w:sz w:val="13"/>
              </w:rPr>
            </w:pPr>
            <w:r>
              <w:rPr>
                <w:spacing w:val="-10"/>
                <w:w w:val="105"/>
                <w:sz w:val="13"/>
              </w:rPr>
              <w:t>-</w:t>
            </w:r>
          </w:p>
        </w:tc>
        <w:tc>
          <w:tcPr>
            <w:tcW w:w="565" w:type="dxa"/>
            <w:tcBorders>
              <w:bottom w:val="single" w:sz="6" w:space="0" w:color="000000"/>
              <w:right w:val="single" w:sz="6" w:space="0" w:color="000000"/>
            </w:tcBorders>
          </w:tcPr>
          <w:p>
            <w:pPr>
              <w:pStyle w:val="TableParagraph"/>
              <w:spacing w:line="104" w:lineRule="exact" w:before="47"/>
              <w:ind w:right="17"/>
              <w:jc w:val="right"/>
              <w:rPr>
                <w:sz w:val="13"/>
              </w:rPr>
            </w:pPr>
            <w:r>
              <w:rPr>
                <w:spacing w:val="-10"/>
                <w:w w:val="105"/>
                <w:sz w:val="13"/>
              </w:rPr>
              <w:t>-</w:t>
            </w:r>
          </w:p>
        </w:tc>
        <w:tc>
          <w:tcPr>
            <w:tcW w:w="1902" w:type="dxa"/>
            <w:tcBorders>
              <w:left w:val="single" w:sz="6" w:space="0" w:color="000000"/>
              <w:bottom w:val="single" w:sz="6" w:space="0" w:color="000000"/>
            </w:tcBorders>
          </w:tcPr>
          <w:p>
            <w:pPr>
              <w:pStyle w:val="TableParagraph"/>
              <w:tabs>
                <w:tab w:pos="949" w:val="left" w:leader="none"/>
              </w:tabs>
              <w:spacing w:line="104" w:lineRule="exact" w:before="47"/>
              <w:ind w:right="27"/>
              <w:jc w:val="right"/>
              <w:rPr>
                <w:sz w:val="13"/>
              </w:rPr>
            </w:pPr>
            <w:r>
              <w:rPr>
                <w:spacing w:val="-10"/>
                <w:w w:val="105"/>
                <w:sz w:val="13"/>
              </w:rPr>
              <w:t>-</w:t>
            </w:r>
            <w:r>
              <w:rPr>
                <w:sz w:val="13"/>
              </w:rPr>
              <w:tab/>
            </w:r>
            <w:r>
              <w:rPr>
                <w:spacing w:val="-10"/>
                <w:w w:val="105"/>
                <w:sz w:val="13"/>
              </w:rPr>
              <w:t>-</w:t>
            </w:r>
          </w:p>
        </w:tc>
      </w:tr>
      <w:tr>
        <w:trPr>
          <w:trHeight w:val="157" w:hRule="atLeast"/>
        </w:trPr>
        <w:tc>
          <w:tcPr>
            <w:tcW w:w="879" w:type="dxa"/>
          </w:tcPr>
          <w:p>
            <w:pPr>
              <w:pStyle w:val="TableParagraph"/>
              <w:rPr>
                <w:rFonts w:ascii="Times New Roman"/>
                <w:sz w:val="10"/>
              </w:rPr>
            </w:pPr>
          </w:p>
        </w:tc>
        <w:tc>
          <w:tcPr>
            <w:tcW w:w="1377" w:type="dxa"/>
            <w:tcBorders>
              <w:top w:val="single" w:sz="6" w:space="0" w:color="000000"/>
              <w:bottom w:val="single" w:sz="6" w:space="0" w:color="000000"/>
            </w:tcBorders>
          </w:tcPr>
          <w:p>
            <w:pPr>
              <w:pStyle w:val="TableParagraph"/>
              <w:spacing w:line="117" w:lineRule="exact" w:before="21"/>
              <w:ind w:right="498"/>
              <w:jc w:val="right"/>
              <w:rPr>
                <w:b/>
                <w:sz w:val="13"/>
              </w:rPr>
            </w:pPr>
            <w:r>
              <w:rPr>
                <w:b/>
                <w:spacing w:val="-5"/>
                <w:w w:val="105"/>
                <w:sz w:val="13"/>
              </w:rPr>
              <w:t>224</w:t>
            </w:r>
          </w:p>
        </w:tc>
        <w:tc>
          <w:tcPr>
            <w:tcW w:w="565" w:type="dxa"/>
            <w:tcBorders>
              <w:top w:val="single" w:sz="6" w:space="0" w:color="000000"/>
              <w:bottom w:val="single" w:sz="6" w:space="0" w:color="000000"/>
              <w:right w:val="single" w:sz="6" w:space="0" w:color="000000"/>
            </w:tcBorders>
          </w:tcPr>
          <w:p>
            <w:pPr>
              <w:pStyle w:val="TableParagraph"/>
              <w:spacing w:line="104" w:lineRule="exact" w:before="34"/>
              <w:ind w:right="55"/>
              <w:jc w:val="right"/>
              <w:rPr>
                <w:sz w:val="13"/>
              </w:rPr>
            </w:pPr>
            <w:r>
              <w:rPr>
                <w:spacing w:val="-10"/>
                <w:w w:val="105"/>
                <w:sz w:val="13"/>
              </w:rPr>
              <w:t>-</w:t>
            </w:r>
          </w:p>
        </w:tc>
        <w:tc>
          <w:tcPr>
            <w:tcW w:w="1902" w:type="dxa"/>
            <w:tcBorders>
              <w:top w:val="single" w:sz="6" w:space="0" w:color="000000"/>
              <w:left w:val="single" w:sz="6" w:space="0" w:color="000000"/>
              <w:bottom w:val="single" w:sz="6" w:space="0" w:color="000000"/>
            </w:tcBorders>
          </w:tcPr>
          <w:p>
            <w:pPr>
              <w:pStyle w:val="TableParagraph"/>
              <w:tabs>
                <w:tab w:pos="1184" w:val="left" w:leader="none"/>
              </w:tabs>
              <w:spacing w:line="114" w:lineRule="exact" w:before="24"/>
              <w:ind w:right="64"/>
              <w:jc w:val="right"/>
              <w:rPr>
                <w:sz w:val="13"/>
              </w:rPr>
            </w:pPr>
            <w:r>
              <w:rPr>
                <w:b/>
                <w:spacing w:val="-2"/>
                <w:w w:val="105"/>
                <w:position w:val="1"/>
                <w:sz w:val="13"/>
              </w:rPr>
              <w:t>(224)</w:t>
            </w:r>
            <w:r>
              <w:rPr>
                <w:b/>
                <w:position w:val="1"/>
                <w:sz w:val="13"/>
              </w:rPr>
              <w:tab/>
            </w:r>
            <w:r>
              <w:rPr>
                <w:spacing w:val="-10"/>
                <w:w w:val="105"/>
                <w:sz w:val="13"/>
              </w:rPr>
              <w:t>-</w:t>
            </w:r>
          </w:p>
        </w:tc>
      </w:tr>
    </w:tbl>
    <w:p>
      <w:pPr>
        <w:spacing w:after="0" w:line="114" w:lineRule="exact"/>
        <w:jc w:val="right"/>
        <w:rPr>
          <w:sz w:val="13"/>
        </w:rPr>
        <w:sectPr>
          <w:type w:val="continuous"/>
          <w:pgSz w:w="11910" w:h="16840"/>
          <w:pgMar w:header="468" w:footer="0" w:top="980" w:bottom="280" w:left="1020" w:right="1540"/>
          <w:cols w:num="2" w:equalWidth="0">
            <w:col w:w="2326" w:space="1379"/>
            <w:col w:w="5645"/>
          </w:cols>
        </w:sectPr>
      </w:pPr>
    </w:p>
    <w:p>
      <w:pPr>
        <w:spacing w:line="240" w:lineRule="auto" w:before="35"/>
        <w:rPr>
          <w:b/>
          <w:sz w:val="13"/>
        </w:rPr>
      </w:pPr>
    </w:p>
    <w:p>
      <w:pPr>
        <w:spacing w:before="0"/>
        <w:ind w:left="651" w:right="0" w:firstLine="0"/>
        <w:jc w:val="left"/>
        <w:rPr>
          <w:b/>
          <w:sz w:val="13"/>
        </w:rPr>
      </w:pPr>
      <w:r>
        <w:rPr>
          <w:b/>
          <w:w w:val="105"/>
          <w:sz w:val="13"/>
        </w:rPr>
        <w:t>Consolidated</w:t>
      </w:r>
      <w:r>
        <w:rPr>
          <w:b/>
          <w:spacing w:val="-8"/>
          <w:w w:val="105"/>
          <w:sz w:val="13"/>
        </w:rPr>
        <w:t> </w:t>
      </w:r>
      <w:r>
        <w:rPr>
          <w:b/>
          <w:w w:val="105"/>
          <w:sz w:val="13"/>
        </w:rPr>
        <w:t>31</w:t>
      </w:r>
      <w:r>
        <w:rPr>
          <w:b/>
          <w:spacing w:val="-8"/>
          <w:w w:val="105"/>
          <w:sz w:val="13"/>
        </w:rPr>
        <w:t> </w:t>
      </w:r>
      <w:r>
        <w:rPr>
          <w:b/>
          <w:w w:val="105"/>
          <w:sz w:val="13"/>
        </w:rPr>
        <w:t>December</w:t>
      </w:r>
      <w:r>
        <w:rPr>
          <w:b/>
          <w:spacing w:val="-7"/>
          <w:w w:val="105"/>
          <w:sz w:val="13"/>
        </w:rPr>
        <w:t> </w:t>
      </w:r>
      <w:r>
        <w:rPr>
          <w:b/>
          <w:spacing w:val="-4"/>
          <w:w w:val="105"/>
          <w:sz w:val="13"/>
        </w:rPr>
        <w:t>2020</w:t>
      </w:r>
    </w:p>
    <w:p>
      <w:pPr>
        <w:spacing w:line="240" w:lineRule="auto" w:before="0"/>
        <w:rPr>
          <w:b/>
          <w:sz w:val="13"/>
        </w:rPr>
      </w:pPr>
      <w:r>
        <w:rPr/>
        <w:br w:type="column"/>
      </w:r>
      <w:r>
        <w:rPr>
          <w:b/>
          <w:sz w:val="13"/>
        </w:rPr>
      </w:r>
    </w:p>
    <w:p>
      <w:pPr>
        <w:spacing w:line="240" w:lineRule="auto" w:before="45"/>
        <w:rPr>
          <w:b/>
          <w:sz w:val="13"/>
        </w:rPr>
      </w:pPr>
    </w:p>
    <w:p>
      <w:pPr>
        <w:spacing w:line="285" w:lineRule="auto" w:before="1"/>
        <w:ind w:left="684" w:right="-2" w:hanging="34"/>
        <w:jc w:val="left"/>
        <w:rPr>
          <w:b/>
          <w:sz w:val="13"/>
        </w:rPr>
      </w:pPr>
      <w:r>
        <w:rPr>
          <w:b/>
          <w:spacing w:val="-2"/>
          <w:w w:val="105"/>
          <w:sz w:val="13"/>
        </w:rPr>
        <w:t>Carrying</w:t>
      </w:r>
      <w:r>
        <w:rPr>
          <w:b/>
          <w:spacing w:val="40"/>
          <w:w w:val="105"/>
          <w:sz w:val="13"/>
        </w:rPr>
        <w:t> </w:t>
      </w:r>
      <w:r>
        <w:rPr>
          <w:b/>
          <w:spacing w:val="-2"/>
          <w:w w:val="105"/>
          <w:sz w:val="13"/>
        </w:rPr>
        <w:t>amount</w:t>
      </w:r>
    </w:p>
    <w:p>
      <w:pPr>
        <w:spacing w:line="240" w:lineRule="auto" w:before="35"/>
        <w:rPr>
          <w:b/>
          <w:sz w:val="13"/>
        </w:rPr>
      </w:pPr>
      <w:r>
        <w:rPr/>
        <w:br w:type="column"/>
      </w:r>
      <w:r>
        <w:rPr>
          <w:b/>
          <w:sz w:val="13"/>
        </w:rPr>
      </w:r>
    </w:p>
    <w:p>
      <w:pPr>
        <w:spacing w:before="0"/>
        <w:ind w:left="0" w:right="135" w:firstLine="0"/>
        <w:jc w:val="center"/>
        <w:rPr>
          <w:b/>
          <w:sz w:val="13"/>
        </w:rPr>
      </w:pPr>
      <w:r>
        <w:rPr>
          <w:b/>
          <w:w w:val="105"/>
          <w:sz w:val="13"/>
        </w:rPr>
        <w:t>Other</w:t>
      </w:r>
      <w:r>
        <w:rPr>
          <w:b/>
          <w:spacing w:val="-5"/>
          <w:w w:val="105"/>
          <w:sz w:val="13"/>
        </w:rPr>
        <w:t> </w:t>
      </w:r>
      <w:r>
        <w:rPr>
          <w:b/>
          <w:w w:val="105"/>
          <w:sz w:val="13"/>
        </w:rPr>
        <w:t>price</w:t>
      </w:r>
      <w:r>
        <w:rPr>
          <w:b/>
          <w:spacing w:val="-5"/>
          <w:w w:val="105"/>
          <w:sz w:val="13"/>
        </w:rPr>
        <w:t> </w:t>
      </w:r>
      <w:r>
        <w:rPr>
          <w:b/>
          <w:spacing w:val="-4"/>
          <w:w w:val="105"/>
          <w:sz w:val="13"/>
        </w:rPr>
        <w:t>risk</w:t>
      </w:r>
    </w:p>
    <w:p>
      <w:pPr>
        <w:tabs>
          <w:tab w:pos="1904" w:val="left" w:leader="none"/>
        </w:tabs>
        <w:spacing w:before="23"/>
        <w:ind w:left="0" w:right="100" w:firstLine="0"/>
        <w:jc w:val="center"/>
        <w:rPr>
          <w:b/>
          <w:sz w:val="13"/>
        </w:rPr>
      </w:pPr>
      <w:r>
        <w:rPr>
          <w:b/>
          <w:w w:val="105"/>
          <w:sz w:val="13"/>
        </w:rPr>
        <w:t>-</w:t>
      </w:r>
      <w:r>
        <w:rPr>
          <w:b/>
          <w:spacing w:val="-5"/>
          <w:w w:val="105"/>
          <w:sz w:val="13"/>
        </w:rPr>
        <w:t>20%</w:t>
      </w:r>
      <w:r>
        <w:rPr>
          <w:b/>
          <w:sz w:val="13"/>
        </w:rPr>
        <w:tab/>
      </w:r>
      <w:r>
        <w:rPr>
          <w:b/>
          <w:spacing w:val="-4"/>
          <w:w w:val="105"/>
          <w:sz w:val="13"/>
        </w:rPr>
        <w:t>+20%</w:t>
      </w:r>
    </w:p>
    <w:p>
      <w:pPr>
        <w:tabs>
          <w:tab w:pos="941" w:val="left" w:leader="none"/>
          <w:tab w:pos="1942" w:val="left" w:leader="none"/>
          <w:tab w:pos="2861" w:val="left" w:leader="none"/>
        </w:tabs>
        <w:spacing w:before="12"/>
        <w:ind w:left="0" w:right="116" w:firstLine="0"/>
        <w:jc w:val="center"/>
        <w:rPr>
          <w:b/>
          <w:sz w:val="13"/>
        </w:rPr>
      </w:pPr>
      <w:r>
        <w:rPr>
          <w:b/>
          <w:spacing w:val="-2"/>
          <w:w w:val="105"/>
          <w:sz w:val="13"/>
        </w:rPr>
        <w:t>Profit</w:t>
      </w:r>
      <w:r>
        <w:rPr>
          <w:b/>
          <w:sz w:val="13"/>
        </w:rPr>
        <w:tab/>
      </w:r>
      <w:r>
        <w:rPr>
          <w:b/>
          <w:spacing w:val="-2"/>
          <w:w w:val="105"/>
          <w:sz w:val="13"/>
        </w:rPr>
        <w:t>Equity</w:t>
      </w:r>
      <w:r>
        <w:rPr>
          <w:b/>
          <w:sz w:val="13"/>
        </w:rPr>
        <w:tab/>
      </w:r>
      <w:r>
        <w:rPr>
          <w:b/>
          <w:spacing w:val="-2"/>
          <w:w w:val="105"/>
          <w:sz w:val="13"/>
        </w:rPr>
        <w:t>Profit</w:t>
      </w:r>
      <w:r>
        <w:rPr>
          <w:b/>
          <w:sz w:val="13"/>
        </w:rPr>
        <w:tab/>
      </w:r>
      <w:r>
        <w:rPr>
          <w:b/>
          <w:spacing w:val="-2"/>
          <w:w w:val="105"/>
          <w:sz w:val="13"/>
        </w:rPr>
        <w:t>Equity</w:t>
      </w:r>
    </w:p>
    <w:p>
      <w:pPr>
        <w:spacing w:after="0"/>
        <w:jc w:val="center"/>
        <w:rPr>
          <w:sz w:val="13"/>
        </w:rPr>
        <w:sectPr>
          <w:type w:val="continuous"/>
          <w:pgSz w:w="11910" w:h="16840"/>
          <w:pgMar w:header="468" w:footer="0" w:top="980" w:bottom="280" w:left="1020" w:right="1540"/>
          <w:cols w:num="3" w:equalWidth="0">
            <w:col w:w="2784" w:space="1081"/>
            <w:col w:w="1214" w:space="39"/>
            <w:col w:w="4232"/>
          </w:cols>
        </w:sectPr>
      </w:pPr>
    </w:p>
    <w:p>
      <w:pPr>
        <w:spacing w:line="240" w:lineRule="auto" w:before="25"/>
        <w:rPr>
          <w:b/>
          <w:sz w:val="13"/>
        </w:rPr>
      </w:pPr>
    </w:p>
    <w:p>
      <w:pPr>
        <w:spacing w:before="0"/>
        <w:ind w:left="651" w:right="0" w:firstLine="0"/>
        <w:jc w:val="left"/>
        <w:rPr>
          <w:b/>
          <w:sz w:val="13"/>
        </w:rPr>
      </w:pPr>
      <w:r>
        <w:rPr>
          <w:b/>
          <w:w w:val="105"/>
          <w:sz w:val="13"/>
        </w:rPr>
        <w:t>Financial</w:t>
      </w:r>
      <w:r>
        <w:rPr>
          <w:b/>
          <w:spacing w:val="-9"/>
          <w:w w:val="105"/>
          <w:sz w:val="13"/>
        </w:rPr>
        <w:t> </w:t>
      </w:r>
      <w:r>
        <w:rPr>
          <w:b/>
          <w:spacing w:val="-2"/>
          <w:w w:val="105"/>
          <w:sz w:val="13"/>
        </w:rPr>
        <w:t>assets</w:t>
      </w:r>
    </w:p>
    <w:p>
      <w:pPr>
        <w:spacing w:line="278" w:lineRule="auto" w:before="23"/>
        <w:ind w:left="651" w:right="0" w:firstLine="0"/>
        <w:jc w:val="left"/>
        <w:rPr>
          <w:sz w:val="13"/>
        </w:rPr>
      </w:pPr>
      <w:r>
        <w:rPr>
          <w:w w:val="105"/>
          <w:sz w:val="13"/>
        </w:rPr>
        <w:t>Cash</w:t>
      </w:r>
      <w:r>
        <w:rPr>
          <w:spacing w:val="-10"/>
          <w:w w:val="105"/>
          <w:sz w:val="13"/>
        </w:rPr>
        <w:t> </w:t>
      </w:r>
      <w:r>
        <w:rPr>
          <w:w w:val="105"/>
          <w:sz w:val="13"/>
        </w:rPr>
        <w:t>and</w:t>
      </w:r>
      <w:r>
        <w:rPr>
          <w:spacing w:val="-9"/>
          <w:w w:val="105"/>
          <w:sz w:val="13"/>
        </w:rPr>
        <w:t> </w:t>
      </w:r>
      <w:r>
        <w:rPr>
          <w:w w:val="105"/>
          <w:sz w:val="13"/>
        </w:rPr>
        <w:t>cash</w:t>
      </w:r>
      <w:r>
        <w:rPr>
          <w:spacing w:val="-10"/>
          <w:w w:val="105"/>
          <w:sz w:val="13"/>
        </w:rPr>
        <w:t> </w:t>
      </w:r>
      <w:r>
        <w:rPr>
          <w:w w:val="105"/>
          <w:sz w:val="13"/>
        </w:rPr>
        <w:t>equivalents</w:t>
      </w:r>
      <w:r>
        <w:rPr>
          <w:spacing w:val="40"/>
          <w:w w:val="105"/>
          <w:sz w:val="13"/>
        </w:rPr>
        <w:t> </w:t>
      </w:r>
      <w:r>
        <w:rPr>
          <w:spacing w:val="-2"/>
          <w:w w:val="105"/>
          <w:sz w:val="13"/>
        </w:rPr>
        <w:t>Receivables</w:t>
      </w:r>
    </w:p>
    <w:p>
      <w:pPr>
        <w:spacing w:line="148" w:lineRule="exact" w:before="0"/>
        <w:ind w:left="651" w:right="0" w:firstLine="0"/>
        <w:jc w:val="left"/>
        <w:rPr>
          <w:sz w:val="13"/>
        </w:rPr>
      </w:pPr>
      <w:r>
        <w:rPr>
          <w:w w:val="105"/>
          <w:sz w:val="13"/>
        </w:rPr>
        <w:t>Other</w:t>
      </w:r>
      <w:r>
        <w:rPr>
          <w:spacing w:val="-7"/>
          <w:w w:val="105"/>
          <w:sz w:val="13"/>
        </w:rPr>
        <w:t> </w:t>
      </w:r>
      <w:r>
        <w:rPr>
          <w:w w:val="105"/>
          <w:sz w:val="13"/>
        </w:rPr>
        <w:t>financial</w:t>
      </w:r>
      <w:r>
        <w:rPr>
          <w:spacing w:val="-6"/>
          <w:w w:val="105"/>
          <w:sz w:val="13"/>
        </w:rPr>
        <w:t> </w:t>
      </w:r>
      <w:r>
        <w:rPr>
          <w:spacing w:val="-2"/>
          <w:w w:val="105"/>
          <w:sz w:val="13"/>
        </w:rPr>
        <w:t>assets</w:t>
      </w:r>
    </w:p>
    <w:p>
      <w:pPr>
        <w:spacing w:line="240" w:lineRule="auto" w:before="47"/>
        <w:rPr>
          <w:sz w:val="13"/>
        </w:rPr>
      </w:pPr>
    </w:p>
    <w:p>
      <w:pPr>
        <w:spacing w:line="278" w:lineRule="auto" w:before="0"/>
        <w:ind w:left="651" w:right="128" w:firstLine="0"/>
        <w:jc w:val="left"/>
        <w:rPr>
          <w:sz w:val="13"/>
        </w:rPr>
      </w:pPr>
      <w:r>
        <w:rPr>
          <w:b/>
          <w:w w:val="105"/>
          <w:sz w:val="13"/>
        </w:rPr>
        <w:t>Financial</w:t>
      </w:r>
      <w:r>
        <w:rPr>
          <w:b/>
          <w:spacing w:val="-6"/>
          <w:w w:val="105"/>
          <w:sz w:val="13"/>
        </w:rPr>
        <w:t> </w:t>
      </w:r>
      <w:r>
        <w:rPr>
          <w:b/>
          <w:w w:val="105"/>
          <w:sz w:val="13"/>
        </w:rPr>
        <w:t>liabilities</w:t>
      </w:r>
      <w:r>
        <w:rPr>
          <w:b/>
          <w:spacing w:val="40"/>
          <w:w w:val="105"/>
          <w:sz w:val="13"/>
        </w:rPr>
        <w:t> </w:t>
      </w:r>
      <w:r>
        <w:rPr>
          <w:w w:val="105"/>
          <w:sz w:val="13"/>
        </w:rPr>
        <w:t>Trade</w:t>
      </w:r>
      <w:r>
        <w:rPr>
          <w:spacing w:val="-10"/>
          <w:w w:val="105"/>
          <w:sz w:val="13"/>
        </w:rPr>
        <w:t> </w:t>
      </w:r>
      <w:r>
        <w:rPr>
          <w:w w:val="105"/>
          <w:sz w:val="13"/>
        </w:rPr>
        <w:t>and</w:t>
      </w:r>
      <w:r>
        <w:rPr>
          <w:spacing w:val="-9"/>
          <w:w w:val="105"/>
          <w:sz w:val="13"/>
        </w:rPr>
        <w:t> </w:t>
      </w:r>
      <w:r>
        <w:rPr>
          <w:w w:val="105"/>
          <w:sz w:val="13"/>
        </w:rPr>
        <w:t>other</w:t>
      </w:r>
      <w:r>
        <w:rPr>
          <w:spacing w:val="-10"/>
          <w:w w:val="105"/>
          <w:sz w:val="13"/>
        </w:rPr>
        <w:t> </w:t>
      </w:r>
      <w:r>
        <w:rPr>
          <w:w w:val="105"/>
          <w:sz w:val="13"/>
        </w:rPr>
        <w:t>payables</w:t>
      </w:r>
      <w:r>
        <w:rPr>
          <w:spacing w:val="40"/>
          <w:w w:val="105"/>
          <w:sz w:val="13"/>
        </w:rPr>
        <w:t> </w:t>
      </w:r>
      <w:r>
        <w:rPr>
          <w:spacing w:val="-2"/>
          <w:w w:val="105"/>
          <w:sz w:val="13"/>
        </w:rPr>
        <w:t>Borrowings</w:t>
      </w:r>
    </w:p>
    <w:p>
      <w:pPr>
        <w:spacing w:line="147" w:lineRule="exact" w:before="0"/>
        <w:ind w:left="651" w:right="0" w:firstLine="0"/>
        <w:jc w:val="left"/>
        <w:rPr>
          <w:sz w:val="13"/>
        </w:rPr>
      </w:pPr>
      <w:r>
        <w:rPr>
          <w:w w:val="105"/>
          <w:sz w:val="13"/>
        </w:rPr>
        <w:t>Other</w:t>
      </w:r>
      <w:r>
        <w:rPr>
          <w:spacing w:val="-7"/>
          <w:w w:val="105"/>
          <w:sz w:val="13"/>
        </w:rPr>
        <w:t> </w:t>
      </w:r>
      <w:r>
        <w:rPr>
          <w:w w:val="105"/>
          <w:sz w:val="13"/>
        </w:rPr>
        <w:t>financial</w:t>
      </w:r>
      <w:r>
        <w:rPr>
          <w:spacing w:val="-6"/>
          <w:w w:val="105"/>
          <w:sz w:val="13"/>
        </w:rPr>
        <w:t> </w:t>
      </w:r>
      <w:r>
        <w:rPr>
          <w:spacing w:val="-2"/>
          <w:w w:val="105"/>
          <w:sz w:val="13"/>
        </w:rPr>
        <w:t>liabilities</w:t>
      </w:r>
    </w:p>
    <w:p>
      <w:pPr>
        <w:spacing w:before="23"/>
        <w:ind w:left="651" w:right="0" w:firstLine="0"/>
        <w:jc w:val="left"/>
        <w:rPr>
          <w:b/>
          <w:sz w:val="13"/>
        </w:rPr>
      </w:pPr>
      <w:r>
        <w:rPr>
          <w:b/>
          <w:w w:val="105"/>
          <w:sz w:val="13"/>
        </w:rPr>
        <w:t>Total</w:t>
      </w:r>
      <w:r>
        <w:rPr>
          <w:b/>
          <w:spacing w:val="-3"/>
          <w:w w:val="105"/>
          <w:sz w:val="13"/>
        </w:rPr>
        <w:t> </w:t>
      </w:r>
      <w:r>
        <w:rPr>
          <w:b/>
          <w:spacing w:val="-2"/>
          <w:w w:val="105"/>
          <w:sz w:val="13"/>
        </w:rPr>
        <w:t>increase/(decrease)</w:t>
      </w:r>
    </w:p>
    <w:p>
      <w:pPr>
        <w:tabs>
          <w:tab w:pos="1844" w:val="left" w:leader="none"/>
          <w:tab w:pos="2814" w:val="left" w:leader="none"/>
          <w:tab w:pos="3786" w:val="left" w:leader="none"/>
          <w:tab w:pos="4736" w:val="left" w:leader="none"/>
        </w:tabs>
        <w:spacing w:before="2"/>
        <w:ind w:left="930" w:right="0" w:firstLine="0"/>
        <w:jc w:val="left"/>
        <w:rPr>
          <w:b/>
          <w:sz w:val="13"/>
        </w:rPr>
      </w:pPr>
      <w:r>
        <w:rPr/>
        <w:br w:type="column"/>
      </w:r>
      <w:r>
        <w:rPr>
          <w:b/>
          <w:spacing w:val="-2"/>
          <w:w w:val="105"/>
          <w:sz w:val="13"/>
        </w:rPr>
        <w:t>$'000</w:t>
      </w:r>
      <w:r>
        <w:rPr>
          <w:b/>
          <w:sz w:val="13"/>
        </w:rPr>
        <w:tab/>
      </w:r>
      <w:r>
        <w:rPr>
          <w:b/>
          <w:spacing w:val="-2"/>
          <w:w w:val="105"/>
          <w:sz w:val="13"/>
        </w:rPr>
        <w:t>$'000</w:t>
      </w:r>
      <w:r>
        <w:rPr>
          <w:b/>
          <w:sz w:val="13"/>
        </w:rPr>
        <w:tab/>
      </w:r>
      <w:r>
        <w:rPr>
          <w:b/>
          <w:spacing w:val="-4"/>
          <w:w w:val="105"/>
          <w:sz w:val="13"/>
        </w:rPr>
        <w:t>$'000</w:t>
      </w:r>
      <w:r>
        <w:rPr>
          <w:b/>
          <w:sz w:val="13"/>
        </w:rPr>
        <w:tab/>
      </w:r>
      <w:r>
        <w:rPr>
          <w:b/>
          <w:spacing w:val="-2"/>
          <w:w w:val="105"/>
          <w:sz w:val="13"/>
        </w:rPr>
        <w:t>$'000</w:t>
      </w:r>
      <w:r>
        <w:rPr>
          <w:b/>
          <w:sz w:val="13"/>
        </w:rPr>
        <w:tab/>
      </w:r>
      <w:r>
        <w:rPr>
          <w:b/>
          <w:spacing w:val="-2"/>
          <w:w w:val="105"/>
          <w:sz w:val="13"/>
        </w:rPr>
        <w:t>$'000</w:t>
      </w:r>
    </w:p>
    <w:tbl>
      <w:tblPr>
        <w:tblW w:w="0" w:type="auto"/>
        <w:jc w:val="left"/>
        <w:tblInd w:w="6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79"/>
        <w:gridCol w:w="1377"/>
        <w:gridCol w:w="565"/>
        <w:gridCol w:w="1356"/>
        <w:gridCol w:w="546"/>
      </w:tblGrid>
      <w:tr>
        <w:trPr>
          <w:trHeight w:val="332" w:hRule="atLeast"/>
        </w:trPr>
        <w:tc>
          <w:tcPr>
            <w:tcW w:w="879" w:type="dxa"/>
            <w:tcBorders>
              <w:top w:val="single" w:sz="6" w:space="0" w:color="000000"/>
            </w:tcBorders>
          </w:tcPr>
          <w:p>
            <w:pPr>
              <w:pStyle w:val="TableParagraph"/>
              <w:spacing w:before="30"/>
              <w:rPr>
                <w:b/>
                <w:sz w:val="13"/>
              </w:rPr>
            </w:pPr>
          </w:p>
          <w:p>
            <w:pPr>
              <w:pStyle w:val="TableParagraph"/>
              <w:spacing w:line="132" w:lineRule="exact"/>
              <w:ind w:right="71"/>
              <w:jc w:val="right"/>
              <w:rPr>
                <w:sz w:val="13"/>
              </w:rPr>
            </w:pPr>
            <w:r>
              <w:rPr>
                <w:spacing w:val="-2"/>
                <w:w w:val="105"/>
                <w:sz w:val="13"/>
              </w:rPr>
              <w:t>127,090</w:t>
            </w:r>
          </w:p>
        </w:tc>
        <w:tc>
          <w:tcPr>
            <w:tcW w:w="1377" w:type="dxa"/>
            <w:tcBorders>
              <w:top w:val="single" w:sz="6" w:space="0" w:color="000000"/>
            </w:tcBorders>
          </w:tcPr>
          <w:p>
            <w:pPr>
              <w:pStyle w:val="TableParagraph"/>
              <w:spacing w:before="44"/>
              <w:rPr>
                <w:b/>
                <w:sz w:val="13"/>
              </w:rPr>
            </w:pPr>
          </w:p>
          <w:p>
            <w:pPr>
              <w:pStyle w:val="TableParagraph"/>
              <w:spacing w:line="119" w:lineRule="exact"/>
              <w:ind w:right="452"/>
              <w:jc w:val="right"/>
              <w:rPr>
                <w:sz w:val="13"/>
              </w:rPr>
            </w:pPr>
            <w:r>
              <w:rPr>
                <w:spacing w:val="-10"/>
                <w:w w:val="105"/>
                <w:sz w:val="13"/>
              </w:rPr>
              <w:t>-</w:t>
            </w:r>
          </w:p>
        </w:tc>
        <w:tc>
          <w:tcPr>
            <w:tcW w:w="565" w:type="dxa"/>
            <w:tcBorders>
              <w:top w:val="single" w:sz="6" w:space="0" w:color="000000"/>
              <w:right w:val="single" w:sz="6" w:space="0" w:color="000000"/>
            </w:tcBorders>
          </w:tcPr>
          <w:p>
            <w:pPr>
              <w:pStyle w:val="TableParagraph"/>
              <w:spacing w:before="44"/>
              <w:rPr>
                <w:b/>
                <w:sz w:val="13"/>
              </w:rPr>
            </w:pPr>
          </w:p>
          <w:p>
            <w:pPr>
              <w:pStyle w:val="TableParagraph"/>
              <w:spacing w:line="119" w:lineRule="exact"/>
              <w:ind w:right="17"/>
              <w:jc w:val="right"/>
              <w:rPr>
                <w:sz w:val="13"/>
              </w:rPr>
            </w:pPr>
            <w:r>
              <w:rPr>
                <w:spacing w:val="-10"/>
                <w:w w:val="105"/>
                <w:sz w:val="13"/>
              </w:rPr>
              <w:t>-</w:t>
            </w:r>
          </w:p>
        </w:tc>
        <w:tc>
          <w:tcPr>
            <w:tcW w:w="1356" w:type="dxa"/>
            <w:tcBorders>
              <w:top w:val="single" w:sz="6" w:space="0" w:color="000000"/>
              <w:left w:val="single" w:sz="6" w:space="0" w:color="000000"/>
            </w:tcBorders>
          </w:tcPr>
          <w:p>
            <w:pPr>
              <w:pStyle w:val="TableParagraph"/>
              <w:spacing w:before="44"/>
              <w:rPr>
                <w:b/>
                <w:sz w:val="13"/>
              </w:rPr>
            </w:pPr>
          </w:p>
          <w:p>
            <w:pPr>
              <w:pStyle w:val="TableParagraph"/>
              <w:spacing w:line="119" w:lineRule="exact"/>
              <w:ind w:right="431"/>
              <w:jc w:val="right"/>
              <w:rPr>
                <w:sz w:val="13"/>
              </w:rPr>
            </w:pPr>
            <w:r>
              <w:rPr>
                <w:spacing w:val="-10"/>
                <w:w w:val="105"/>
                <w:sz w:val="13"/>
              </w:rPr>
              <w:t>-</w:t>
            </w:r>
          </w:p>
        </w:tc>
        <w:tc>
          <w:tcPr>
            <w:tcW w:w="546" w:type="dxa"/>
            <w:tcBorders>
              <w:top w:val="single" w:sz="6" w:space="0" w:color="000000"/>
            </w:tcBorders>
          </w:tcPr>
          <w:p>
            <w:pPr>
              <w:pStyle w:val="TableParagraph"/>
              <w:spacing w:before="44"/>
              <w:rPr>
                <w:b/>
                <w:sz w:val="13"/>
              </w:rPr>
            </w:pPr>
          </w:p>
          <w:p>
            <w:pPr>
              <w:pStyle w:val="TableParagraph"/>
              <w:spacing w:line="119" w:lineRule="exact"/>
              <w:ind w:right="27"/>
              <w:jc w:val="right"/>
              <w:rPr>
                <w:sz w:val="13"/>
              </w:rPr>
            </w:pPr>
            <w:r>
              <w:rPr>
                <w:spacing w:val="-10"/>
                <w:w w:val="105"/>
                <w:sz w:val="13"/>
              </w:rPr>
              <w:t>-</w:t>
            </w:r>
          </w:p>
        </w:tc>
      </w:tr>
      <w:tr>
        <w:trPr>
          <w:trHeight w:val="172" w:hRule="atLeast"/>
        </w:trPr>
        <w:tc>
          <w:tcPr>
            <w:tcW w:w="879" w:type="dxa"/>
          </w:tcPr>
          <w:p>
            <w:pPr>
              <w:pStyle w:val="TableParagraph"/>
              <w:spacing w:line="132" w:lineRule="exact" w:before="20"/>
              <w:ind w:right="71"/>
              <w:jc w:val="right"/>
              <w:rPr>
                <w:sz w:val="13"/>
              </w:rPr>
            </w:pPr>
            <w:r>
              <w:rPr>
                <w:spacing w:val="-2"/>
                <w:w w:val="105"/>
                <w:sz w:val="13"/>
              </w:rPr>
              <w:t>41,322</w:t>
            </w:r>
          </w:p>
        </w:tc>
        <w:tc>
          <w:tcPr>
            <w:tcW w:w="1377" w:type="dxa"/>
          </w:tcPr>
          <w:p>
            <w:pPr>
              <w:pStyle w:val="TableParagraph"/>
              <w:spacing w:line="119" w:lineRule="exact" w:before="34"/>
              <w:ind w:right="452"/>
              <w:jc w:val="right"/>
              <w:rPr>
                <w:sz w:val="13"/>
              </w:rPr>
            </w:pPr>
            <w:r>
              <w:rPr>
                <w:spacing w:val="-10"/>
                <w:w w:val="105"/>
                <w:sz w:val="13"/>
              </w:rPr>
              <w:t>-</w:t>
            </w:r>
          </w:p>
        </w:tc>
        <w:tc>
          <w:tcPr>
            <w:tcW w:w="565" w:type="dxa"/>
            <w:tcBorders>
              <w:right w:val="single" w:sz="6" w:space="0" w:color="000000"/>
            </w:tcBorders>
          </w:tcPr>
          <w:p>
            <w:pPr>
              <w:pStyle w:val="TableParagraph"/>
              <w:spacing w:line="119" w:lineRule="exact" w:before="34"/>
              <w:ind w:right="17"/>
              <w:jc w:val="right"/>
              <w:rPr>
                <w:sz w:val="13"/>
              </w:rPr>
            </w:pPr>
            <w:r>
              <w:rPr>
                <w:spacing w:val="-10"/>
                <w:w w:val="105"/>
                <w:sz w:val="13"/>
              </w:rPr>
              <w:t>-</w:t>
            </w:r>
          </w:p>
        </w:tc>
        <w:tc>
          <w:tcPr>
            <w:tcW w:w="1356" w:type="dxa"/>
            <w:tcBorders>
              <w:left w:val="single" w:sz="6" w:space="0" w:color="000000"/>
            </w:tcBorders>
          </w:tcPr>
          <w:p>
            <w:pPr>
              <w:pStyle w:val="TableParagraph"/>
              <w:spacing w:line="119" w:lineRule="exact" w:before="34"/>
              <w:ind w:right="431"/>
              <w:jc w:val="right"/>
              <w:rPr>
                <w:sz w:val="13"/>
              </w:rPr>
            </w:pPr>
            <w:r>
              <w:rPr>
                <w:spacing w:val="-10"/>
                <w:w w:val="105"/>
                <w:sz w:val="13"/>
              </w:rPr>
              <w:t>-</w:t>
            </w:r>
          </w:p>
        </w:tc>
        <w:tc>
          <w:tcPr>
            <w:tcW w:w="546" w:type="dxa"/>
          </w:tcPr>
          <w:p>
            <w:pPr>
              <w:pStyle w:val="TableParagraph"/>
              <w:spacing w:line="119" w:lineRule="exact" w:before="34"/>
              <w:ind w:right="27"/>
              <w:jc w:val="right"/>
              <w:rPr>
                <w:sz w:val="13"/>
              </w:rPr>
            </w:pPr>
            <w:r>
              <w:rPr>
                <w:spacing w:val="-10"/>
                <w:w w:val="105"/>
                <w:sz w:val="13"/>
              </w:rPr>
              <w:t>-</w:t>
            </w:r>
          </w:p>
        </w:tc>
      </w:tr>
      <w:tr>
        <w:trPr>
          <w:trHeight w:val="345" w:hRule="atLeast"/>
        </w:trPr>
        <w:tc>
          <w:tcPr>
            <w:tcW w:w="879" w:type="dxa"/>
          </w:tcPr>
          <w:p>
            <w:pPr>
              <w:pStyle w:val="TableParagraph"/>
              <w:spacing w:before="20"/>
              <w:ind w:right="71"/>
              <w:jc w:val="right"/>
              <w:rPr>
                <w:sz w:val="13"/>
              </w:rPr>
            </w:pPr>
            <w:r>
              <w:rPr>
                <w:spacing w:val="-2"/>
                <w:w w:val="105"/>
                <w:sz w:val="13"/>
              </w:rPr>
              <w:t>940,148</w:t>
            </w:r>
          </w:p>
        </w:tc>
        <w:tc>
          <w:tcPr>
            <w:tcW w:w="1377" w:type="dxa"/>
          </w:tcPr>
          <w:p>
            <w:pPr>
              <w:pStyle w:val="TableParagraph"/>
              <w:spacing w:before="20"/>
              <w:ind w:right="453"/>
              <w:jc w:val="right"/>
              <w:rPr>
                <w:sz w:val="13"/>
              </w:rPr>
            </w:pPr>
            <w:r>
              <w:rPr>
                <w:spacing w:val="-2"/>
                <w:w w:val="105"/>
                <w:sz w:val="13"/>
              </w:rPr>
              <w:t>(118,522)</w:t>
            </w:r>
          </w:p>
        </w:tc>
        <w:tc>
          <w:tcPr>
            <w:tcW w:w="565" w:type="dxa"/>
            <w:tcBorders>
              <w:right w:val="single" w:sz="6" w:space="0" w:color="000000"/>
            </w:tcBorders>
          </w:tcPr>
          <w:p>
            <w:pPr>
              <w:pStyle w:val="TableParagraph"/>
              <w:spacing w:before="34"/>
              <w:ind w:right="17"/>
              <w:jc w:val="right"/>
              <w:rPr>
                <w:sz w:val="13"/>
              </w:rPr>
            </w:pPr>
            <w:r>
              <w:rPr>
                <w:spacing w:val="-10"/>
                <w:w w:val="105"/>
                <w:sz w:val="13"/>
              </w:rPr>
              <w:t>-</w:t>
            </w:r>
          </w:p>
        </w:tc>
        <w:tc>
          <w:tcPr>
            <w:tcW w:w="1356" w:type="dxa"/>
            <w:tcBorders>
              <w:left w:val="single" w:sz="6" w:space="0" w:color="000000"/>
            </w:tcBorders>
          </w:tcPr>
          <w:p>
            <w:pPr>
              <w:pStyle w:val="TableParagraph"/>
              <w:spacing w:before="20"/>
              <w:ind w:left="380"/>
              <w:rPr>
                <w:sz w:val="13"/>
              </w:rPr>
            </w:pPr>
            <w:r>
              <w:rPr>
                <w:spacing w:val="-2"/>
                <w:w w:val="105"/>
                <w:sz w:val="13"/>
              </w:rPr>
              <w:t>118,522</w:t>
            </w:r>
          </w:p>
        </w:tc>
        <w:tc>
          <w:tcPr>
            <w:tcW w:w="546" w:type="dxa"/>
          </w:tcPr>
          <w:p>
            <w:pPr>
              <w:pStyle w:val="TableParagraph"/>
              <w:spacing w:before="34"/>
              <w:ind w:right="26"/>
              <w:jc w:val="right"/>
              <w:rPr>
                <w:sz w:val="13"/>
              </w:rPr>
            </w:pPr>
            <w:r>
              <w:rPr>
                <w:spacing w:val="-10"/>
                <w:w w:val="105"/>
                <w:sz w:val="13"/>
              </w:rPr>
              <w:t>-</w:t>
            </w:r>
          </w:p>
        </w:tc>
      </w:tr>
      <w:tr>
        <w:trPr>
          <w:trHeight w:val="345" w:hRule="atLeast"/>
        </w:trPr>
        <w:tc>
          <w:tcPr>
            <w:tcW w:w="879" w:type="dxa"/>
          </w:tcPr>
          <w:p>
            <w:pPr>
              <w:pStyle w:val="TableParagraph"/>
              <w:spacing w:before="43"/>
              <w:rPr>
                <w:b/>
                <w:sz w:val="13"/>
              </w:rPr>
            </w:pPr>
          </w:p>
          <w:p>
            <w:pPr>
              <w:pStyle w:val="TableParagraph"/>
              <w:spacing w:line="132" w:lineRule="exact"/>
              <w:ind w:right="26"/>
              <w:jc w:val="right"/>
              <w:rPr>
                <w:sz w:val="13"/>
              </w:rPr>
            </w:pPr>
            <w:r>
              <w:rPr>
                <w:spacing w:val="-2"/>
                <w:w w:val="105"/>
                <w:sz w:val="13"/>
              </w:rPr>
              <w:t>(44,929)</w:t>
            </w:r>
          </w:p>
        </w:tc>
        <w:tc>
          <w:tcPr>
            <w:tcW w:w="1377" w:type="dxa"/>
          </w:tcPr>
          <w:p>
            <w:pPr>
              <w:pStyle w:val="TableParagraph"/>
              <w:spacing w:before="57"/>
              <w:rPr>
                <w:b/>
                <w:sz w:val="13"/>
              </w:rPr>
            </w:pPr>
          </w:p>
          <w:p>
            <w:pPr>
              <w:pStyle w:val="TableParagraph"/>
              <w:spacing w:line="119" w:lineRule="exact"/>
              <w:ind w:right="452"/>
              <w:jc w:val="right"/>
              <w:rPr>
                <w:sz w:val="13"/>
              </w:rPr>
            </w:pPr>
            <w:r>
              <w:rPr>
                <w:spacing w:val="-10"/>
                <w:w w:val="105"/>
                <w:sz w:val="13"/>
              </w:rPr>
              <w:t>-</w:t>
            </w:r>
          </w:p>
        </w:tc>
        <w:tc>
          <w:tcPr>
            <w:tcW w:w="565" w:type="dxa"/>
            <w:tcBorders>
              <w:right w:val="single" w:sz="6" w:space="0" w:color="000000"/>
            </w:tcBorders>
          </w:tcPr>
          <w:p>
            <w:pPr>
              <w:pStyle w:val="TableParagraph"/>
              <w:spacing w:before="57"/>
              <w:rPr>
                <w:b/>
                <w:sz w:val="13"/>
              </w:rPr>
            </w:pPr>
          </w:p>
          <w:p>
            <w:pPr>
              <w:pStyle w:val="TableParagraph"/>
              <w:spacing w:line="119" w:lineRule="exact"/>
              <w:ind w:right="17"/>
              <w:jc w:val="right"/>
              <w:rPr>
                <w:sz w:val="13"/>
              </w:rPr>
            </w:pPr>
            <w:r>
              <w:rPr>
                <w:spacing w:val="-10"/>
                <w:w w:val="105"/>
                <w:sz w:val="13"/>
              </w:rPr>
              <w:t>-</w:t>
            </w:r>
          </w:p>
        </w:tc>
        <w:tc>
          <w:tcPr>
            <w:tcW w:w="1356" w:type="dxa"/>
            <w:tcBorders>
              <w:left w:val="single" w:sz="6" w:space="0" w:color="000000"/>
            </w:tcBorders>
          </w:tcPr>
          <w:p>
            <w:pPr>
              <w:pStyle w:val="TableParagraph"/>
              <w:spacing w:before="57"/>
              <w:rPr>
                <w:b/>
                <w:sz w:val="13"/>
              </w:rPr>
            </w:pPr>
          </w:p>
          <w:p>
            <w:pPr>
              <w:pStyle w:val="TableParagraph"/>
              <w:spacing w:line="119" w:lineRule="exact"/>
              <w:ind w:right="431"/>
              <w:jc w:val="right"/>
              <w:rPr>
                <w:sz w:val="13"/>
              </w:rPr>
            </w:pPr>
            <w:r>
              <w:rPr>
                <w:spacing w:val="-10"/>
                <w:w w:val="105"/>
                <w:sz w:val="13"/>
              </w:rPr>
              <w:t>-</w:t>
            </w:r>
          </w:p>
        </w:tc>
        <w:tc>
          <w:tcPr>
            <w:tcW w:w="546" w:type="dxa"/>
          </w:tcPr>
          <w:p>
            <w:pPr>
              <w:pStyle w:val="TableParagraph"/>
              <w:spacing w:before="57"/>
              <w:rPr>
                <w:b/>
                <w:sz w:val="13"/>
              </w:rPr>
            </w:pPr>
          </w:p>
          <w:p>
            <w:pPr>
              <w:pStyle w:val="TableParagraph"/>
              <w:spacing w:line="119" w:lineRule="exact"/>
              <w:ind w:right="27"/>
              <w:jc w:val="right"/>
              <w:rPr>
                <w:sz w:val="13"/>
              </w:rPr>
            </w:pPr>
            <w:r>
              <w:rPr>
                <w:spacing w:val="-10"/>
                <w:w w:val="105"/>
                <w:sz w:val="13"/>
              </w:rPr>
              <w:t>-</w:t>
            </w:r>
          </w:p>
        </w:tc>
      </w:tr>
      <w:tr>
        <w:trPr>
          <w:trHeight w:val="172" w:hRule="atLeast"/>
        </w:trPr>
        <w:tc>
          <w:tcPr>
            <w:tcW w:w="879" w:type="dxa"/>
          </w:tcPr>
          <w:p>
            <w:pPr>
              <w:pStyle w:val="TableParagraph"/>
              <w:spacing w:line="132" w:lineRule="exact" w:before="20"/>
              <w:ind w:right="26"/>
              <w:jc w:val="right"/>
              <w:rPr>
                <w:sz w:val="13"/>
              </w:rPr>
            </w:pPr>
            <w:r>
              <w:rPr>
                <w:spacing w:val="-2"/>
                <w:w w:val="105"/>
                <w:sz w:val="13"/>
              </w:rPr>
              <w:t>(187,551)</w:t>
            </w:r>
          </w:p>
        </w:tc>
        <w:tc>
          <w:tcPr>
            <w:tcW w:w="1377" w:type="dxa"/>
          </w:tcPr>
          <w:p>
            <w:pPr>
              <w:pStyle w:val="TableParagraph"/>
              <w:spacing w:line="119" w:lineRule="exact" w:before="34"/>
              <w:ind w:right="452"/>
              <w:jc w:val="right"/>
              <w:rPr>
                <w:sz w:val="13"/>
              </w:rPr>
            </w:pPr>
            <w:r>
              <w:rPr>
                <w:spacing w:val="-10"/>
                <w:w w:val="105"/>
                <w:sz w:val="13"/>
              </w:rPr>
              <w:t>-</w:t>
            </w:r>
          </w:p>
        </w:tc>
        <w:tc>
          <w:tcPr>
            <w:tcW w:w="565" w:type="dxa"/>
            <w:tcBorders>
              <w:right w:val="single" w:sz="6" w:space="0" w:color="000000"/>
            </w:tcBorders>
          </w:tcPr>
          <w:p>
            <w:pPr>
              <w:pStyle w:val="TableParagraph"/>
              <w:spacing w:line="119" w:lineRule="exact" w:before="34"/>
              <w:ind w:right="17"/>
              <w:jc w:val="right"/>
              <w:rPr>
                <w:sz w:val="13"/>
              </w:rPr>
            </w:pPr>
            <w:r>
              <w:rPr>
                <w:spacing w:val="-10"/>
                <w:w w:val="105"/>
                <w:sz w:val="13"/>
              </w:rPr>
              <w:t>-</w:t>
            </w:r>
          </w:p>
        </w:tc>
        <w:tc>
          <w:tcPr>
            <w:tcW w:w="1356" w:type="dxa"/>
            <w:tcBorders>
              <w:left w:val="single" w:sz="6" w:space="0" w:color="000000"/>
            </w:tcBorders>
          </w:tcPr>
          <w:p>
            <w:pPr>
              <w:pStyle w:val="TableParagraph"/>
              <w:spacing w:line="119" w:lineRule="exact" w:before="34"/>
              <w:ind w:right="431"/>
              <w:jc w:val="right"/>
              <w:rPr>
                <w:sz w:val="13"/>
              </w:rPr>
            </w:pPr>
            <w:r>
              <w:rPr>
                <w:spacing w:val="-10"/>
                <w:w w:val="105"/>
                <w:sz w:val="13"/>
              </w:rPr>
              <w:t>-</w:t>
            </w:r>
          </w:p>
        </w:tc>
        <w:tc>
          <w:tcPr>
            <w:tcW w:w="546" w:type="dxa"/>
          </w:tcPr>
          <w:p>
            <w:pPr>
              <w:pStyle w:val="TableParagraph"/>
              <w:spacing w:line="119" w:lineRule="exact" w:before="34"/>
              <w:ind w:right="27"/>
              <w:jc w:val="right"/>
              <w:rPr>
                <w:sz w:val="13"/>
              </w:rPr>
            </w:pPr>
            <w:r>
              <w:rPr>
                <w:spacing w:val="-10"/>
                <w:w w:val="105"/>
                <w:sz w:val="13"/>
              </w:rPr>
              <w:t>-</w:t>
            </w:r>
          </w:p>
        </w:tc>
      </w:tr>
      <w:tr>
        <w:trPr>
          <w:trHeight w:val="170" w:hRule="atLeast"/>
        </w:trPr>
        <w:tc>
          <w:tcPr>
            <w:tcW w:w="879" w:type="dxa"/>
          </w:tcPr>
          <w:p>
            <w:pPr>
              <w:pStyle w:val="TableParagraph"/>
              <w:spacing w:line="130" w:lineRule="exact" w:before="20"/>
              <w:ind w:right="26"/>
              <w:jc w:val="right"/>
              <w:rPr>
                <w:sz w:val="13"/>
              </w:rPr>
            </w:pPr>
            <w:r>
              <w:rPr>
                <w:spacing w:val="-2"/>
                <w:w w:val="105"/>
                <w:sz w:val="13"/>
              </w:rPr>
              <w:t>(19,437)</w:t>
            </w:r>
          </w:p>
        </w:tc>
        <w:tc>
          <w:tcPr>
            <w:tcW w:w="1377" w:type="dxa"/>
            <w:tcBorders>
              <w:bottom w:val="single" w:sz="6" w:space="0" w:color="000000"/>
            </w:tcBorders>
          </w:tcPr>
          <w:p>
            <w:pPr>
              <w:pStyle w:val="TableParagraph"/>
              <w:spacing w:line="130" w:lineRule="exact" w:before="20"/>
              <w:ind w:right="498"/>
              <w:jc w:val="right"/>
              <w:rPr>
                <w:sz w:val="13"/>
              </w:rPr>
            </w:pPr>
            <w:r>
              <w:rPr>
                <w:spacing w:val="-5"/>
                <w:w w:val="105"/>
                <w:sz w:val="13"/>
              </w:rPr>
              <w:t>638</w:t>
            </w:r>
          </w:p>
        </w:tc>
        <w:tc>
          <w:tcPr>
            <w:tcW w:w="565" w:type="dxa"/>
            <w:tcBorders>
              <w:bottom w:val="single" w:sz="6" w:space="0" w:color="000000"/>
              <w:right w:val="single" w:sz="6" w:space="0" w:color="000000"/>
            </w:tcBorders>
          </w:tcPr>
          <w:p>
            <w:pPr>
              <w:pStyle w:val="TableParagraph"/>
              <w:spacing w:line="117" w:lineRule="exact" w:before="34"/>
              <w:ind w:right="17"/>
              <w:jc w:val="right"/>
              <w:rPr>
                <w:sz w:val="13"/>
              </w:rPr>
            </w:pPr>
            <w:r>
              <w:rPr>
                <w:spacing w:val="-10"/>
                <w:w w:val="105"/>
                <w:sz w:val="13"/>
              </w:rPr>
              <w:t>-</w:t>
            </w:r>
          </w:p>
        </w:tc>
        <w:tc>
          <w:tcPr>
            <w:tcW w:w="1356" w:type="dxa"/>
            <w:tcBorders>
              <w:left w:val="single" w:sz="6" w:space="0" w:color="000000"/>
              <w:bottom w:val="single" w:sz="6" w:space="0" w:color="000000"/>
            </w:tcBorders>
          </w:tcPr>
          <w:p>
            <w:pPr>
              <w:pStyle w:val="TableParagraph"/>
              <w:spacing w:line="130" w:lineRule="exact" w:before="20"/>
              <w:ind w:right="432"/>
              <w:jc w:val="right"/>
              <w:rPr>
                <w:sz w:val="13"/>
              </w:rPr>
            </w:pPr>
            <w:r>
              <w:rPr>
                <w:spacing w:val="-2"/>
                <w:w w:val="105"/>
                <w:sz w:val="13"/>
              </w:rPr>
              <w:t>(638)</w:t>
            </w:r>
          </w:p>
        </w:tc>
        <w:tc>
          <w:tcPr>
            <w:tcW w:w="546" w:type="dxa"/>
            <w:tcBorders>
              <w:bottom w:val="single" w:sz="6" w:space="0" w:color="000000"/>
            </w:tcBorders>
          </w:tcPr>
          <w:p>
            <w:pPr>
              <w:pStyle w:val="TableParagraph"/>
              <w:spacing w:line="117" w:lineRule="exact" w:before="34"/>
              <w:ind w:right="27"/>
              <w:jc w:val="right"/>
              <w:rPr>
                <w:sz w:val="13"/>
              </w:rPr>
            </w:pPr>
            <w:r>
              <w:rPr>
                <w:spacing w:val="-10"/>
                <w:w w:val="105"/>
                <w:sz w:val="13"/>
              </w:rPr>
              <w:t>-</w:t>
            </w:r>
          </w:p>
        </w:tc>
      </w:tr>
      <w:tr>
        <w:trPr>
          <w:trHeight w:val="157" w:hRule="atLeast"/>
        </w:trPr>
        <w:tc>
          <w:tcPr>
            <w:tcW w:w="879" w:type="dxa"/>
          </w:tcPr>
          <w:p>
            <w:pPr>
              <w:pStyle w:val="TableParagraph"/>
              <w:rPr>
                <w:rFonts w:ascii="Times New Roman"/>
                <w:sz w:val="10"/>
              </w:rPr>
            </w:pPr>
          </w:p>
        </w:tc>
        <w:tc>
          <w:tcPr>
            <w:tcW w:w="1377" w:type="dxa"/>
            <w:tcBorders>
              <w:top w:val="single" w:sz="6" w:space="0" w:color="000000"/>
              <w:bottom w:val="single" w:sz="6" w:space="0" w:color="000000"/>
            </w:tcBorders>
          </w:tcPr>
          <w:p>
            <w:pPr>
              <w:pStyle w:val="TableParagraph"/>
              <w:spacing w:line="130" w:lineRule="exact" w:before="7"/>
              <w:ind w:right="453"/>
              <w:jc w:val="right"/>
              <w:rPr>
                <w:b/>
                <w:sz w:val="13"/>
              </w:rPr>
            </w:pPr>
            <w:r>
              <w:rPr>
                <w:b/>
                <w:spacing w:val="-2"/>
                <w:w w:val="105"/>
                <w:sz w:val="13"/>
              </w:rPr>
              <w:t>(117,884)</w:t>
            </w:r>
          </w:p>
        </w:tc>
        <w:tc>
          <w:tcPr>
            <w:tcW w:w="565" w:type="dxa"/>
            <w:tcBorders>
              <w:top w:val="single" w:sz="6" w:space="0" w:color="000000"/>
              <w:bottom w:val="single" w:sz="6" w:space="0" w:color="000000"/>
              <w:right w:val="single" w:sz="6" w:space="0" w:color="000000"/>
            </w:tcBorders>
          </w:tcPr>
          <w:p>
            <w:pPr>
              <w:pStyle w:val="TableParagraph"/>
              <w:spacing w:line="117" w:lineRule="exact" w:before="21"/>
              <w:ind w:right="55"/>
              <w:jc w:val="right"/>
              <w:rPr>
                <w:sz w:val="13"/>
              </w:rPr>
            </w:pPr>
            <w:r>
              <w:rPr>
                <w:spacing w:val="-10"/>
                <w:w w:val="105"/>
                <w:sz w:val="13"/>
              </w:rPr>
              <w:t>-</w:t>
            </w:r>
          </w:p>
        </w:tc>
        <w:tc>
          <w:tcPr>
            <w:tcW w:w="1356" w:type="dxa"/>
            <w:tcBorders>
              <w:top w:val="single" w:sz="6" w:space="0" w:color="000000"/>
              <w:left w:val="single" w:sz="6" w:space="0" w:color="000000"/>
              <w:bottom w:val="single" w:sz="6" w:space="0" w:color="000000"/>
            </w:tcBorders>
          </w:tcPr>
          <w:p>
            <w:pPr>
              <w:pStyle w:val="TableParagraph"/>
              <w:spacing w:line="130" w:lineRule="exact" w:before="7"/>
              <w:ind w:left="380"/>
              <w:rPr>
                <w:b/>
                <w:sz w:val="13"/>
              </w:rPr>
            </w:pPr>
            <w:r>
              <w:rPr>
                <w:b/>
                <w:spacing w:val="-2"/>
                <w:w w:val="105"/>
                <w:sz w:val="13"/>
              </w:rPr>
              <w:t>117,884</w:t>
            </w:r>
          </w:p>
        </w:tc>
        <w:tc>
          <w:tcPr>
            <w:tcW w:w="546" w:type="dxa"/>
            <w:tcBorders>
              <w:top w:val="single" w:sz="6" w:space="0" w:color="000000"/>
              <w:bottom w:val="single" w:sz="6" w:space="0" w:color="000000"/>
            </w:tcBorders>
          </w:tcPr>
          <w:p>
            <w:pPr>
              <w:pStyle w:val="TableParagraph"/>
              <w:spacing w:line="117" w:lineRule="exact" w:before="21"/>
              <w:ind w:right="64"/>
              <w:jc w:val="right"/>
              <w:rPr>
                <w:sz w:val="13"/>
              </w:rPr>
            </w:pPr>
            <w:r>
              <w:rPr>
                <w:spacing w:val="-10"/>
                <w:w w:val="105"/>
                <w:sz w:val="13"/>
              </w:rPr>
              <w:t>-</w:t>
            </w:r>
          </w:p>
        </w:tc>
      </w:tr>
    </w:tbl>
    <w:p>
      <w:pPr>
        <w:spacing w:after="0" w:line="117" w:lineRule="exact"/>
        <w:jc w:val="right"/>
        <w:rPr>
          <w:sz w:val="13"/>
        </w:rPr>
        <w:sectPr>
          <w:type w:val="continuous"/>
          <w:pgSz w:w="11910" w:h="16840"/>
          <w:pgMar w:header="468" w:footer="0" w:top="980" w:bottom="280" w:left="1020" w:right="1540"/>
          <w:cols w:num="2" w:equalWidth="0">
            <w:col w:w="2326" w:space="1379"/>
            <w:col w:w="5645"/>
          </w:cols>
        </w:sectPr>
      </w:pPr>
    </w:p>
    <w:p>
      <w:pPr>
        <w:spacing w:before="82"/>
        <w:ind w:left="161" w:right="0" w:firstLine="0"/>
        <w:jc w:val="left"/>
        <w:rPr>
          <w:sz w:val="22"/>
        </w:rPr>
      </w:pPr>
      <w:r>
        <w:rPr>
          <w:color w:val="0070C0"/>
          <w:sz w:val="22"/>
        </w:rPr>
        <w:t>NOTES</w:t>
      </w:r>
      <w:r>
        <w:rPr>
          <w:color w:val="0070C0"/>
          <w:spacing w:val="-9"/>
          <w:sz w:val="22"/>
        </w:rPr>
        <w:t> </w:t>
      </w:r>
      <w:r>
        <w:rPr>
          <w:color w:val="0070C0"/>
          <w:sz w:val="22"/>
        </w:rPr>
        <w:t>TO</w:t>
      </w:r>
      <w:r>
        <w:rPr>
          <w:color w:val="0070C0"/>
          <w:spacing w:val="-9"/>
          <w:sz w:val="22"/>
        </w:rPr>
        <w:t> </w:t>
      </w:r>
      <w:r>
        <w:rPr>
          <w:color w:val="0070C0"/>
          <w:sz w:val="22"/>
        </w:rPr>
        <w:t>THE</w:t>
      </w:r>
      <w:r>
        <w:rPr>
          <w:color w:val="0070C0"/>
          <w:spacing w:val="-9"/>
          <w:sz w:val="22"/>
        </w:rPr>
        <w:t> </w:t>
      </w:r>
      <w:r>
        <w:rPr>
          <w:color w:val="0070C0"/>
          <w:sz w:val="22"/>
        </w:rPr>
        <w:t>FINANCIAL</w:t>
      </w:r>
      <w:r>
        <w:rPr>
          <w:color w:val="0070C0"/>
          <w:spacing w:val="-9"/>
          <w:sz w:val="22"/>
        </w:rPr>
        <w:t> </w:t>
      </w:r>
      <w:r>
        <w:rPr>
          <w:color w:val="0070C0"/>
          <w:spacing w:val="-2"/>
          <w:sz w:val="22"/>
        </w:rPr>
        <w:t>STATEMENTS</w:t>
      </w:r>
    </w:p>
    <w:p>
      <w:pPr>
        <w:spacing w:before="31"/>
        <w:ind w:left="148" w:right="0" w:firstLine="0"/>
        <w:jc w:val="left"/>
        <w:rPr>
          <w:sz w:val="12"/>
        </w:rPr>
      </w:pPr>
      <w:r>
        <w:rPr>
          <w:w w:val="105"/>
          <w:sz w:val="12"/>
        </w:rPr>
        <w:t>for</w:t>
      </w:r>
      <w:r>
        <w:rPr>
          <w:spacing w:val="-8"/>
          <w:w w:val="105"/>
          <w:sz w:val="12"/>
        </w:rPr>
        <w:t> </w:t>
      </w:r>
      <w:r>
        <w:rPr>
          <w:w w:val="105"/>
          <w:sz w:val="12"/>
        </w:rPr>
        <w:t>the</w:t>
      </w:r>
      <w:r>
        <w:rPr>
          <w:spacing w:val="-9"/>
          <w:w w:val="105"/>
          <w:sz w:val="12"/>
        </w:rPr>
        <w:t> </w:t>
      </w:r>
      <w:r>
        <w:rPr>
          <w:w w:val="105"/>
          <w:sz w:val="12"/>
        </w:rPr>
        <w:t>year</w:t>
      </w:r>
      <w:r>
        <w:rPr>
          <w:spacing w:val="-8"/>
          <w:w w:val="105"/>
          <w:sz w:val="12"/>
        </w:rPr>
        <w:t> </w:t>
      </w:r>
      <w:r>
        <w:rPr>
          <w:w w:val="105"/>
          <w:sz w:val="12"/>
        </w:rPr>
        <w:t>ended</w:t>
      </w:r>
      <w:r>
        <w:rPr>
          <w:spacing w:val="-8"/>
          <w:w w:val="105"/>
          <w:sz w:val="12"/>
        </w:rPr>
        <w:t> </w:t>
      </w:r>
      <w:r>
        <w:rPr>
          <w:w w:val="105"/>
          <w:sz w:val="12"/>
        </w:rPr>
        <w:t>31</w:t>
      </w:r>
      <w:r>
        <w:rPr>
          <w:spacing w:val="-9"/>
          <w:w w:val="105"/>
          <w:sz w:val="12"/>
        </w:rPr>
        <w:t> </w:t>
      </w:r>
      <w:r>
        <w:rPr>
          <w:w w:val="105"/>
          <w:sz w:val="12"/>
        </w:rPr>
        <w:t>December</w:t>
      </w:r>
      <w:r>
        <w:rPr>
          <w:spacing w:val="-8"/>
          <w:w w:val="105"/>
          <w:sz w:val="12"/>
        </w:rPr>
        <w:t> </w:t>
      </w:r>
      <w:r>
        <w:rPr>
          <w:spacing w:val="-4"/>
          <w:w w:val="105"/>
          <w:sz w:val="12"/>
        </w:rPr>
        <w:t>2020</w:t>
      </w:r>
    </w:p>
    <w:p>
      <w:pPr>
        <w:spacing w:after="0"/>
        <w:jc w:val="left"/>
        <w:rPr>
          <w:sz w:val="12"/>
        </w:rPr>
        <w:sectPr>
          <w:pgSz w:w="11910" w:h="16840"/>
          <w:pgMar w:header="468" w:footer="0" w:top="1580" w:bottom="280" w:left="1020" w:right="1540"/>
        </w:sectPr>
      </w:pPr>
    </w:p>
    <w:p>
      <w:pPr>
        <w:spacing w:line="240" w:lineRule="auto" w:before="24"/>
        <w:rPr>
          <w:sz w:val="13"/>
        </w:rPr>
      </w:pPr>
    </w:p>
    <w:p>
      <w:pPr>
        <w:spacing w:before="0"/>
        <w:ind w:left="657" w:right="0" w:firstLine="0"/>
        <w:jc w:val="left"/>
        <w:rPr>
          <w:b/>
          <w:sz w:val="13"/>
        </w:rPr>
      </w:pPr>
      <w:r>
        <w:rPr>
          <w:b/>
          <w:w w:val="105"/>
          <w:sz w:val="13"/>
        </w:rPr>
        <w:t>Consolidated</w:t>
      </w:r>
      <w:r>
        <w:rPr>
          <w:b/>
          <w:spacing w:val="-8"/>
          <w:w w:val="105"/>
          <w:sz w:val="13"/>
        </w:rPr>
        <w:t> </w:t>
      </w:r>
      <w:r>
        <w:rPr>
          <w:b/>
          <w:w w:val="105"/>
          <w:sz w:val="13"/>
        </w:rPr>
        <w:t>31</w:t>
      </w:r>
      <w:r>
        <w:rPr>
          <w:b/>
          <w:spacing w:val="-8"/>
          <w:w w:val="105"/>
          <w:sz w:val="13"/>
        </w:rPr>
        <w:t> </w:t>
      </w:r>
      <w:r>
        <w:rPr>
          <w:b/>
          <w:w w:val="105"/>
          <w:sz w:val="13"/>
        </w:rPr>
        <w:t>December</w:t>
      </w:r>
      <w:r>
        <w:rPr>
          <w:b/>
          <w:spacing w:val="-7"/>
          <w:w w:val="105"/>
          <w:sz w:val="13"/>
        </w:rPr>
        <w:t> </w:t>
      </w:r>
      <w:r>
        <w:rPr>
          <w:b/>
          <w:spacing w:val="-4"/>
          <w:w w:val="105"/>
          <w:sz w:val="13"/>
        </w:rPr>
        <w:t>2019</w:t>
      </w:r>
    </w:p>
    <w:p>
      <w:pPr>
        <w:spacing w:line="240" w:lineRule="auto" w:before="0"/>
        <w:rPr>
          <w:b/>
          <w:sz w:val="13"/>
        </w:rPr>
      </w:pPr>
      <w:r>
        <w:rPr/>
        <w:br w:type="column"/>
      </w:r>
      <w:r>
        <w:rPr>
          <w:b/>
          <w:sz w:val="13"/>
        </w:rPr>
      </w:r>
    </w:p>
    <w:p>
      <w:pPr>
        <w:spacing w:line="240" w:lineRule="auto" w:before="42"/>
        <w:rPr>
          <w:b/>
          <w:sz w:val="13"/>
        </w:rPr>
      </w:pPr>
    </w:p>
    <w:p>
      <w:pPr>
        <w:spacing w:before="0"/>
        <w:ind w:left="657" w:right="0" w:firstLine="0"/>
        <w:jc w:val="left"/>
        <w:rPr>
          <w:b/>
          <w:sz w:val="13"/>
        </w:rPr>
      </w:pPr>
      <w:r>
        <w:rPr>
          <w:b/>
          <w:spacing w:val="-2"/>
          <w:w w:val="105"/>
          <w:sz w:val="13"/>
        </w:rPr>
        <w:t>Carrying</w:t>
      </w:r>
    </w:p>
    <w:p>
      <w:pPr>
        <w:spacing w:line="240" w:lineRule="auto" w:before="0"/>
        <w:rPr>
          <w:b/>
          <w:sz w:val="13"/>
        </w:rPr>
      </w:pPr>
      <w:r>
        <w:rPr/>
        <w:br w:type="column"/>
      </w:r>
      <w:r>
        <w:rPr>
          <w:b/>
          <w:sz w:val="13"/>
        </w:rPr>
      </w:r>
    </w:p>
    <w:p>
      <w:pPr>
        <w:spacing w:line="240" w:lineRule="auto" w:before="47"/>
        <w:rPr>
          <w:b/>
          <w:sz w:val="13"/>
        </w:rPr>
      </w:pPr>
    </w:p>
    <w:p>
      <w:pPr>
        <w:spacing w:before="0"/>
        <w:ind w:left="0" w:right="0" w:firstLine="0"/>
        <w:jc w:val="right"/>
        <w:rPr>
          <w:b/>
          <w:sz w:val="13"/>
        </w:rPr>
      </w:pPr>
      <w:r>
        <w:rPr>
          <w:b/>
          <w:w w:val="105"/>
          <w:sz w:val="13"/>
        </w:rPr>
        <w:t>-</w:t>
      </w:r>
      <w:r>
        <w:rPr>
          <w:b/>
          <w:spacing w:val="-5"/>
          <w:w w:val="105"/>
          <w:sz w:val="13"/>
        </w:rPr>
        <w:t>1%</w:t>
      </w:r>
    </w:p>
    <w:p>
      <w:pPr>
        <w:spacing w:line="240" w:lineRule="auto" w:before="24"/>
        <w:rPr>
          <w:b/>
          <w:sz w:val="13"/>
        </w:rPr>
      </w:pPr>
      <w:r>
        <w:rPr/>
        <w:br w:type="column"/>
      </w:r>
      <w:r>
        <w:rPr>
          <w:b/>
          <w:sz w:val="13"/>
        </w:rPr>
      </w:r>
    </w:p>
    <w:p>
      <w:pPr>
        <w:spacing w:before="0"/>
        <w:ind w:left="259" w:right="0" w:firstLine="0"/>
        <w:jc w:val="left"/>
        <w:rPr>
          <w:b/>
          <w:sz w:val="13"/>
        </w:rPr>
      </w:pPr>
      <w:r>
        <w:rPr>
          <w:b/>
          <w:w w:val="105"/>
          <w:sz w:val="13"/>
        </w:rPr>
        <w:t>Interest</w:t>
      </w:r>
      <w:r>
        <w:rPr>
          <w:b/>
          <w:spacing w:val="-6"/>
          <w:w w:val="105"/>
          <w:sz w:val="13"/>
        </w:rPr>
        <w:t> </w:t>
      </w:r>
      <w:r>
        <w:rPr>
          <w:b/>
          <w:w w:val="105"/>
          <w:sz w:val="13"/>
        </w:rPr>
        <w:t>rate</w:t>
      </w:r>
      <w:r>
        <w:rPr>
          <w:b/>
          <w:spacing w:val="-7"/>
          <w:w w:val="105"/>
          <w:sz w:val="13"/>
        </w:rPr>
        <w:t> </w:t>
      </w:r>
      <w:r>
        <w:rPr>
          <w:b/>
          <w:spacing w:val="-4"/>
          <w:w w:val="105"/>
          <w:sz w:val="13"/>
        </w:rPr>
        <w:t>risk</w:t>
      </w:r>
    </w:p>
    <w:p>
      <w:pPr>
        <w:spacing w:line="240" w:lineRule="auto" w:before="0"/>
        <w:rPr>
          <w:b/>
          <w:sz w:val="13"/>
        </w:rPr>
      </w:pPr>
      <w:r>
        <w:rPr/>
        <w:br w:type="column"/>
      </w:r>
      <w:r>
        <w:rPr>
          <w:b/>
          <w:sz w:val="13"/>
        </w:rPr>
      </w:r>
    </w:p>
    <w:p>
      <w:pPr>
        <w:spacing w:line="240" w:lineRule="auto" w:before="47"/>
        <w:rPr>
          <w:b/>
          <w:sz w:val="13"/>
        </w:rPr>
      </w:pPr>
    </w:p>
    <w:p>
      <w:pPr>
        <w:spacing w:before="0"/>
        <w:ind w:left="261" w:right="0" w:firstLine="0"/>
        <w:jc w:val="left"/>
        <w:rPr>
          <w:b/>
          <w:sz w:val="13"/>
        </w:rPr>
      </w:pPr>
      <w:r>
        <w:rPr>
          <w:b/>
          <w:spacing w:val="-5"/>
          <w:w w:val="105"/>
          <w:sz w:val="13"/>
        </w:rPr>
        <w:t>+1%</w:t>
      </w:r>
    </w:p>
    <w:p>
      <w:pPr>
        <w:spacing w:after="0"/>
        <w:jc w:val="left"/>
        <w:rPr>
          <w:sz w:val="13"/>
        </w:rPr>
        <w:sectPr>
          <w:type w:val="continuous"/>
          <w:pgSz w:w="11910" w:h="16840"/>
          <w:pgMar w:header="468" w:footer="0" w:top="980" w:bottom="280" w:left="1020" w:right="1540"/>
          <w:cols w:num="5" w:equalWidth="0">
            <w:col w:w="2788" w:space="1073"/>
            <w:col w:w="1259" w:space="314"/>
            <w:col w:w="900" w:space="40"/>
            <w:col w:w="1320" w:space="40"/>
            <w:col w:w="1616"/>
          </w:cols>
        </w:sectPr>
      </w:pPr>
    </w:p>
    <w:p>
      <w:pPr>
        <w:tabs>
          <w:tab w:pos="5534" w:val="left" w:leader="none"/>
          <w:tab w:pos="6474" w:val="left" w:leader="none"/>
          <w:tab w:pos="7474" w:val="left" w:leader="none"/>
          <w:tab w:pos="8393" w:val="left" w:leader="none"/>
        </w:tabs>
        <w:spacing w:before="13"/>
        <w:ind w:left="4551" w:right="0" w:firstLine="0"/>
        <w:jc w:val="left"/>
        <w:rPr>
          <w:b/>
          <w:sz w:val="13"/>
        </w:rPr>
      </w:pPr>
      <w:r>
        <w:rPr>
          <w:b/>
          <w:spacing w:val="-2"/>
          <w:w w:val="105"/>
          <w:sz w:val="13"/>
        </w:rPr>
        <w:t>amount</w:t>
      </w:r>
      <w:r>
        <w:rPr>
          <w:b/>
          <w:sz w:val="13"/>
        </w:rPr>
        <w:tab/>
      </w:r>
      <w:r>
        <w:rPr>
          <w:b/>
          <w:spacing w:val="-2"/>
          <w:w w:val="105"/>
          <w:position w:val="1"/>
          <w:sz w:val="13"/>
        </w:rPr>
        <w:t>Profit</w:t>
      </w:r>
      <w:r>
        <w:rPr>
          <w:b/>
          <w:position w:val="1"/>
          <w:sz w:val="13"/>
        </w:rPr>
        <w:tab/>
      </w:r>
      <w:r>
        <w:rPr>
          <w:b/>
          <w:spacing w:val="-2"/>
          <w:w w:val="105"/>
          <w:position w:val="1"/>
          <w:sz w:val="13"/>
        </w:rPr>
        <w:t>Equity</w:t>
      </w:r>
      <w:r>
        <w:rPr>
          <w:b/>
          <w:position w:val="1"/>
          <w:sz w:val="13"/>
        </w:rPr>
        <w:tab/>
      </w:r>
      <w:r>
        <w:rPr>
          <w:b/>
          <w:spacing w:val="-2"/>
          <w:w w:val="105"/>
          <w:position w:val="1"/>
          <w:sz w:val="13"/>
        </w:rPr>
        <w:t>Profit</w:t>
      </w:r>
      <w:r>
        <w:rPr>
          <w:b/>
          <w:position w:val="1"/>
          <w:sz w:val="13"/>
        </w:rPr>
        <w:tab/>
      </w:r>
      <w:r>
        <w:rPr>
          <w:b/>
          <w:spacing w:val="-2"/>
          <w:w w:val="105"/>
          <w:position w:val="1"/>
          <w:sz w:val="13"/>
        </w:rPr>
        <w:t>Equity</w:t>
      </w:r>
    </w:p>
    <w:p>
      <w:pPr>
        <w:spacing w:after="0"/>
        <w:jc w:val="left"/>
        <w:rPr>
          <w:sz w:val="13"/>
        </w:rPr>
        <w:sectPr>
          <w:type w:val="continuous"/>
          <w:pgSz w:w="11910" w:h="16840"/>
          <w:pgMar w:header="468" w:footer="0" w:top="980" w:bottom="280" w:left="1020" w:right="1540"/>
        </w:sectPr>
      </w:pPr>
    </w:p>
    <w:p>
      <w:pPr>
        <w:spacing w:line="240" w:lineRule="auto" w:before="46"/>
        <w:rPr>
          <w:b/>
          <w:sz w:val="13"/>
        </w:rPr>
      </w:pPr>
    </w:p>
    <w:p>
      <w:pPr>
        <w:spacing w:before="0"/>
        <w:ind w:left="657" w:right="0" w:firstLine="0"/>
        <w:jc w:val="left"/>
        <w:rPr>
          <w:b/>
          <w:sz w:val="13"/>
        </w:rPr>
      </w:pPr>
      <w:r>
        <w:rPr>
          <w:b/>
          <w:spacing w:val="-2"/>
          <w:w w:val="105"/>
          <w:sz w:val="13"/>
        </w:rPr>
        <w:t>Financial</w:t>
      </w:r>
      <w:r>
        <w:rPr>
          <w:b/>
          <w:spacing w:val="8"/>
          <w:w w:val="105"/>
          <w:sz w:val="13"/>
        </w:rPr>
        <w:t> </w:t>
      </w:r>
      <w:r>
        <w:rPr>
          <w:b/>
          <w:spacing w:val="-2"/>
          <w:w w:val="105"/>
          <w:sz w:val="13"/>
        </w:rPr>
        <w:t>assets</w:t>
      </w:r>
    </w:p>
    <w:p>
      <w:pPr>
        <w:spacing w:line="276" w:lineRule="auto" w:before="23"/>
        <w:ind w:left="657" w:right="0" w:firstLine="0"/>
        <w:jc w:val="left"/>
        <w:rPr>
          <w:sz w:val="13"/>
        </w:rPr>
      </w:pPr>
      <w:r>
        <w:rPr>
          <w:w w:val="105"/>
          <w:sz w:val="13"/>
        </w:rPr>
        <w:t>Cash</w:t>
      </w:r>
      <w:r>
        <w:rPr>
          <w:spacing w:val="-10"/>
          <w:w w:val="105"/>
          <w:sz w:val="13"/>
        </w:rPr>
        <w:t> </w:t>
      </w:r>
      <w:r>
        <w:rPr>
          <w:w w:val="105"/>
          <w:sz w:val="13"/>
        </w:rPr>
        <w:t>and</w:t>
      </w:r>
      <w:r>
        <w:rPr>
          <w:spacing w:val="-9"/>
          <w:w w:val="105"/>
          <w:sz w:val="13"/>
        </w:rPr>
        <w:t> </w:t>
      </w:r>
      <w:r>
        <w:rPr>
          <w:w w:val="105"/>
          <w:sz w:val="13"/>
        </w:rPr>
        <w:t>cash</w:t>
      </w:r>
      <w:r>
        <w:rPr>
          <w:spacing w:val="-10"/>
          <w:w w:val="105"/>
          <w:sz w:val="13"/>
        </w:rPr>
        <w:t> </w:t>
      </w:r>
      <w:r>
        <w:rPr>
          <w:w w:val="105"/>
          <w:sz w:val="13"/>
        </w:rPr>
        <w:t>equivalents</w:t>
      </w:r>
      <w:r>
        <w:rPr>
          <w:spacing w:val="40"/>
          <w:w w:val="105"/>
          <w:sz w:val="13"/>
        </w:rPr>
        <w:t> </w:t>
      </w:r>
      <w:r>
        <w:rPr>
          <w:w w:val="105"/>
          <w:sz w:val="13"/>
        </w:rPr>
        <w:t>Accounts</w:t>
      </w:r>
      <w:r>
        <w:rPr>
          <w:spacing w:val="-4"/>
          <w:w w:val="105"/>
          <w:sz w:val="13"/>
        </w:rPr>
        <w:t> </w:t>
      </w:r>
      <w:r>
        <w:rPr>
          <w:w w:val="105"/>
          <w:sz w:val="13"/>
        </w:rPr>
        <w:t>receivable</w:t>
      </w:r>
    </w:p>
    <w:p>
      <w:pPr>
        <w:spacing w:before="2"/>
        <w:ind w:left="657" w:right="0" w:firstLine="0"/>
        <w:jc w:val="left"/>
        <w:rPr>
          <w:sz w:val="13"/>
        </w:rPr>
      </w:pPr>
      <w:r>
        <w:rPr>
          <w:w w:val="105"/>
          <w:sz w:val="13"/>
        </w:rPr>
        <w:t>Other</w:t>
      </w:r>
      <w:r>
        <w:rPr>
          <w:spacing w:val="-7"/>
          <w:w w:val="105"/>
          <w:sz w:val="13"/>
        </w:rPr>
        <w:t> </w:t>
      </w:r>
      <w:r>
        <w:rPr>
          <w:w w:val="105"/>
          <w:sz w:val="13"/>
        </w:rPr>
        <w:t>financial</w:t>
      </w:r>
      <w:r>
        <w:rPr>
          <w:spacing w:val="-7"/>
          <w:w w:val="105"/>
          <w:sz w:val="13"/>
        </w:rPr>
        <w:t> </w:t>
      </w:r>
      <w:r>
        <w:rPr>
          <w:spacing w:val="-2"/>
          <w:w w:val="105"/>
          <w:sz w:val="13"/>
        </w:rPr>
        <w:t>assets</w:t>
      </w:r>
    </w:p>
    <w:p>
      <w:pPr>
        <w:spacing w:line="240" w:lineRule="auto" w:before="46"/>
        <w:rPr>
          <w:sz w:val="13"/>
        </w:rPr>
      </w:pPr>
    </w:p>
    <w:p>
      <w:pPr>
        <w:spacing w:line="276" w:lineRule="auto" w:before="0"/>
        <w:ind w:left="657" w:right="127" w:firstLine="0"/>
        <w:jc w:val="left"/>
        <w:rPr>
          <w:sz w:val="13"/>
        </w:rPr>
      </w:pPr>
      <w:r>
        <w:rPr>
          <w:b/>
          <w:w w:val="105"/>
          <w:sz w:val="13"/>
        </w:rPr>
        <w:t>Financial</w:t>
      </w:r>
      <w:r>
        <w:rPr>
          <w:b/>
          <w:spacing w:val="-6"/>
          <w:w w:val="105"/>
          <w:sz w:val="13"/>
        </w:rPr>
        <w:t> </w:t>
      </w:r>
      <w:r>
        <w:rPr>
          <w:b/>
          <w:w w:val="105"/>
          <w:sz w:val="13"/>
        </w:rPr>
        <w:t>liabilities</w:t>
      </w:r>
      <w:r>
        <w:rPr>
          <w:b/>
          <w:spacing w:val="40"/>
          <w:w w:val="105"/>
          <w:sz w:val="13"/>
        </w:rPr>
        <w:t> </w:t>
      </w:r>
      <w:r>
        <w:rPr>
          <w:w w:val="105"/>
          <w:sz w:val="13"/>
        </w:rPr>
        <w:t>Trade</w:t>
      </w:r>
      <w:r>
        <w:rPr>
          <w:spacing w:val="-10"/>
          <w:w w:val="105"/>
          <w:sz w:val="13"/>
        </w:rPr>
        <w:t> </w:t>
      </w:r>
      <w:r>
        <w:rPr>
          <w:w w:val="105"/>
          <w:sz w:val="13"/>
        </w:rPr>
        <w:t>and</w:t>
      </w:r>
      <w:r>
        <w:rPr>
          <w:spacing w:val="-9"/>
          <w:w w:val="105"/>
          <w:sz w:val="13"/>
        </w:rPr>
        <w:t> </w:t>
      </w:r>
      <w:r>
        <w:rPr>
          <w:w w:val="105"/>
          <w:sz w:val="13"/>
        </w:rPr>
        <w:t>other</w:t>
      </w:r>
      <w:r>
        <w:rPr>
          <w:spacing w:val="-10"/>
          <w:w w:val="105"/>
          <w:sz w:val="13"/>
        </w:rPr>
        <w:t> </w:t>
      </w:r>
      <w:r>
        <w:rPr>
          <w:w w:val="105"/>
          <w:sz w:val="13"/>
        </w:rPr>
        <w:t>payables</w:t>
      </w:r>
      <w:r>
        <w:rPr>
          <w:spacing w:val="40"/>
          <w:w w:val="105"/>
          <w:sz w:val="13"/>
        </w:rPr>
        <w:t> </w:t>
      </w:r>
      <w:r>
        <w:rPr>
          <w:spacing w:val="-2"/>
          <w:w w:val="105"/>
          <w:sz w:val="13"/>
        </w:rPr>
        <w:t>Borrowings</w:t>
      </w:r>
    </w:p>
    <w:p>
      <w:pPr>
        <w:spacing w:before="2"/>
        <w:ind w:left="657" w:right="0" w:firstLine="0"/>
        <w:jc w:val="left"/>
        <w:rPr>
          <w:sz w:val="13"/>
        </w:rPr>
      </w:pPr>
      <w:r>
        <w:rPr>
          <w:w w:val="105"/>
          <w:sz w:val="13"/>
        </w:rPr>
        <w:t>Other</w:t>
      </w:r>
      <w:r>
        <w:rPr>
          <w:spacing w:val="-7"/>
          <w:w w:val="105"/>
          <w:sz w:val="13"/>
        </w:rPr>
        <w:t> </w:t>
      </w:r>
      <w:r>
        <w:rPr>
          <w:w w:val="105"/>
          <w:sz w:val="13"/>
        </w:rPr>
        <w:t>financial</w:t>
      </w:r>
      <w:r>
        <w:rPr>
          <w:spacing w:val="-7"/>
          <w:w w:val="105"/>
          <w:sz w:val="13"/>
        </w:rPr>
        <w:t> </w:t>
      </w:r>
      <w:r>
        <w:rPr>
          <w:spacing w:val="-2"/>
          <w:w w:val="105"/>
          <w:sz w:val="13"/>
        </w:rPr>
        <w:t>liabilities</w:t>
      </w:r>
    </w:p>
    <w:p>
      <w:pPr>
        <w:spacing w:before="23"/>
        <w:ind w:left="657" w:right="0" w:firstLine="0"/>
        <w:jc w:val="left"/>
        <w:rPr>
          <w:b/>
          <w:sz w:val="13"/>
        </w:rPr>
      </w:pPr>
      <w:r>
        <w:rPr>
          <w:b/>
          <w:w w:val="105"/>
          <w:sz w:val="13"/>
        </w:rPr>
        <w:t>Total</w:t>
      </w:r>
      <w:r>
        <w:rPr>
          <w:b/>
          <w:spacing w:val="-4"/>
          <w:w w:val="105"/>
          <w:sz w:val="13"/>
        </w:rPr>
        <w:t> </w:t>
      </w:r>
      <w:r>
        <w:rPr>
          <w:b/>
          <w:spacing w:val="-2"/>
          <w:w w:val="105"/>
          <w:sz w:val="13"/>
        </w:rPr>
        <w:t>increase/(decrease)</w:t>
      </w:r>
    </w:p>
    <w:p>
      <w:pPr>
        <w:tabs>
          <w:tab w:pos="1849" w:val="left" w:leader="none"/>
          <w:tab w:pos="2818" w:val="left" w:leader="none"/>
          <w:tab w:pos="3790" w:val="left" w:leader="none"/>
          <w:tab w:pos="4739" w:val="left" w:leader="none"/>
        </w:tabs>
        <w:spacing w:before="23"/>
        <w:ind w:left="936" w:right="0" w:firstLine="0"/>
        <w:jc w:val="left"/>
        <w:rPr>
          <w:b/>
          <w:sz w:val="13"/>
        </w:rPr>
      </w:pPr>
      <w:r>
        <w:rPr/>
        <w:br w:type="column"/>
      </w:r>
      <w:r>
        <w:rPr>
          <w:b/>
          <w:spacing w:val="-2"/>
          <w:w w:val="105"/>
          <w:sz w:val="13"/>
        </w:rPr>
        <w:t>$'000</w:t>
      </w:r>
      <w:r>
        <w:rPr>
          <w:b/>
          <w:sz w:val="13"/>
        </w:rPr>
        <w:tab/>
      </w:r>
      <w:r>
        <w:rPr>
          <w:b/>
          <w:spacing w:val="-2"/>
          <w:w w:val="105"/>
          <w:sz w:val="13"/>
        </w:rPr>
        <w:t>$'000</w:t>
      </w:r>
      <w:r>
        <w:rPr>
          <w:b/>
          <w:sz w:val="13"/>
        </w:rPr>
        <w:tab/>
      </w:r>
      <w:r>
        <w:rPr>
          <w:b/>
          <w:spacing w:val="-4"/>
          <w:w w:val="105"/>
          <w:sz w:val="13"/>
        </w:rPr>
        <w:t>$'000</w:t>
      </w:r>
      <w:r>
        <w:rPr>
          <w:b/>
          <w:sz w:val="13"/>
        </w:rPr>
        <w:tab/>
      </w:r>
      <w:r>
        <w:rPr>
          <w:b/>
          <w:spacing w:val="-2"/>
          <w:w w:val="105"/>
          <w:sz w:val="13"/>
        </w:rPr>
        <w:t>$'000</w:t>
      </w:r>
      <w:r>
        <w:rPr>
          <w:b/>
          <w:sz w:val="13"/>
        </w:rPr>
        <w:tab/>
      </w:r>
      <w:r>
        <w:rPr>
          <w:b/>
          <w:spacing w:val="-2"/>
          <w:w w:val="105"/>
          <w:sz w:val="13"/>
        </w:rPr>
        <w:t>$'000</w:t>
      </w:r>
    </w:p>
    <w:tbl>
      <w:tblPr>
        <w:tblW w:w="0" w:type="auto"/>
        <w:jc w:val="left"/>
        <w:tblInd w:w="6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79"/>
        <w:gridCol w:w="1376"/>
        <w:gridCol w:w="565"/>
        <w:gridCol w:w="1333"/>
        <w:gridCol w:w="569"/>
      </w:tblGrid>
      <w:tr>
        <w:trPr>
          <w:trHeight w:val="332" w:hRule="atLeast"/>
        </w:trPr>
        <w:tc>
          <w:tcPr>
            <w:tcW w:w="879" w:type="dxa"/>
            <w:tcBorders>
              <w:top w:val="single" w:sz="6" w:space="0" w:color="000000"/>
            </w:tcBorders>
          </w:tcPr>
          <w:p>
            <w:pPr>
              <w:pStyle w:val="TableParagraph"/>
              <w:spacing w:before="43"/>
              <w:rPr>
                <w:b/>
                <w:sz w:val="13"/>
              </w:rPr>
            </w:pPr>
          </w:p>
          <w:p>
            <w:pPr>
              <w:pStyle w:val="TableParagraph"/>
              <w:spacing w:line="119" w:lineRule="exact" w:before="1"/>
              <w:ind w:right="71"/>
              <w:jc w:val="right"/>
              <w:rPr>
                <w:sz w:val="13"/>
              </w:rPr>
            </w:pPr>
            <w:r>
              <w:rPr>
                <w:spacing w:val="-2"/>
                <w:w w:val="105"/>
                <w:sz w:val="13"/>
              </w:rPr>
              <w:t>85,806</w:t>
            </w:r>
          </w:p>
        </w:tc>
        <w:tc>
          <w:tcPr>
            <w:tcW w:w="1376" w:type="dxa"/>
            <w:tcBorders>
              <w:top w:val="single" w:sz="6" w:space="0" w:color="000000"/>
            </w:tcBorders>
          </w:tcPr>
          <w:p>
            <w:pPr>
              <w:pStyle w:val="TableParagraph"/>
              <w:spacing w:before="43"/>
              <w:rPr>
                <w:b/>
                <w:sz w:val="13"/>
              </w:rPr>
            </w:pPr>
          </w:p>
          <w:p>
            <w:pPr>
              <w:pStyle w:val="TableParagraph"/>
              <w:spacing w:line="119" w:lineRule="exact" w:before="1"/>
              <w:ind w:right="453"/>
              <w:jc w:val="right"/>
              <w:rPr>
                <w:sz w:val="13"/>
              </w:rPr>
            </w:pPr>
            <w:r>
              <w:rPr>
                <w:spacing w:val="-2"/>
                <w:w w:val="105"/>
                <w:sz w:val="13"/>
              </w:rPr>
              <w:t>(857)</w:t>
            </w:r>
          </w:p>
        </w:tc>
        <w:tc>
          <w:tcPr>
            <w:tcW w:w="565" w:type="dxa"/>
            <w:tcBorders>
              <w:top w:val="single" w:sz="6" w:space="0" w:color="000000"/>
              <w:right w:val="single" w:sz="6" w:space="0" w:color="000000"/>
            </w:tcBorders>
          </w:tcPr>
          <w:p>
            <w:pPr>
              <w:pStyle w:val="TableParagraph"/>
              <w:spacing w:before="57"/>
              <w:rPr>
                <w:b/>
                <w:sz w:val="13"/>
              </w:rPr>
            </w:pPr>
          </w:p>
          <w:p>
            <w:pPr>
              <w:pStyle w:val="TableParagraph"/>
              <w:spacing w:line="106" w:lineRule="exact"/>
              <w:ind w:right="56"/>
              <w:jc w:val="right"/>
              <w:rPr>
                <w:sz w:val="13"/>
              </w:rPr>
            </w:pPr>
            <w:r>
              <w:rPr>
                <w:spacing w:val="-10"/>
                <w:w w:val="105"/>
                <w:sz w:val="13"/>
              </w:rPr>
              <w:t>-</w:t>
            </w:r>
          </w:p>
        </w:tc>
        <w:tc>
          <w:tcPr>
            <w:tcW w:w="1902" w:type="dxa"/>
            <w:gridSpan w:val="2"/>
            <w:tcBorders>
              <w:top w:val="single" w:sz="6" w:space="0" w:color="000000"/>
              <w:left w:val="single" w:sz="6" w:space="0" w:color="000000"/>
            </w:tcBorders>
          </w:tcPr>
          <w:p>
            <w:pPr>
              <w:pStyle w:val="TableParagraph"/>
              <w:spacing w:before="47"/>
              <w:rPr>
                <w:b/>
                <w:sz w:val="13"/>
              </w:rPr>
            </w:pPr>
          </w:p>
          <w:p>
            <w:pPr>
              <w:pStyle w:val="TableParagraph"/>
              <w:tabs>
                <w:tab w:pos="1779" w:val="left" w:leader="none"/>
              </w:tabs>
              <w:spacing w:line="116" w:lineRule="exact"/>
              <w:ind w:left="642"/>
              <w:rPr>
                <w:sz w:val="13"/>
              </w:rPr>
            </w:pPr>
            <w:r>
              <w:rPr>
                <w:spacing w:val="-5"/>
                <w:w w:val="105"/>
                <w:position w:val="1"/>
                <w:sz w:val="13"/>
              </w:rPr>
              <w:t>857</w:t>
            </w:r>
            <w:r>
              <w:rPr>
                <w:position w:val="1"/>
                <w:sz w:val="13"/>
              </w:rPr>
              <w:tab/>
            </w:r>
            <w:r>
              <w:rPr>
                <w:spacing w:val="-10"/>
                <w:w w:val="105"/>
                <w:sz w:val="13"/>
              </w:rPr>
              <w:t>-</w:t>
            </w:r>
          </w:p>
        </w:tc>
      </w:tr>
      <w:tr>
        <w:trPr>
          <w:trHeight w:val="172" w:hRule="atLeast"/>
        </w:trPr>
        <w:tc>
          <w:tcPr>
            <w:tcW w:w="879" w:type="dxa"/>
          </w:tcPr>
          <w:p>
            <w:pPr>
              <w:pStyle w:val="TableParagraph"/>
              <w:spacing w:line="119" w:lineRule="exact" w:before="33"/>
              <w:ind w:right="71"/>
              <w:jc w:val="right"/>
              <w:rPr>
                <w:sz w:val="13"/>
              </w:rPr>
            </w:pPr>
            <w:r>
              <w:rPr>
                <w:spacing w:val="-2"/>
                <w:w w:val="105"/>
                <w:sz w:val="13"/>
              </w:rPr>
              <w:t>54,079</w:t>
            </w:r>
          </w:p>
        </w:tc>
        <w:tc>
          <w:tcPr>
            <w:tcW w:w="1376" w:type="dxa"/>
          </w:tcPr>
          <w:p>
            <w:pPr>
              <w:pStyle w:val="TableParagraph"/>
              <w:spacing w:line="106" w:lineRule="exact" w:before="47"/>
              <w:ind w:right="490"/>
              <w:jc w:val="right"/>
              <w:rPr>
                <w:sz w:val="13"/>
              </w:rPr>
            </w:pPr>
            <w:r>
              <w:rPr>
                <w:spacing w:val="-10"/>
                <w:w w:val="105"/>
                <w:sz w:val="13"/>
              </w:rPr>
              <w:t>-</w:t>
            </w:r>
          </w:p>
        </w:tc>
        <w:tc>
          <w:tcPr>
            <w:tcW w:w="565" w:type="dxa"/>
            <w:tcBorders>
              <w:right w:val="single" w:sz="6" w:space="0" w:color="000000"/>
            </w:tcBorders>
          </w:tcPr>
          <w:p>
            <w:pPr>
              <w:pStyle w:val="TableParagraph"/>
              <w:spacing w:line="106" w:lineRule="exact" w:before="47"/>
              <w:ind w:right="56"/>
              <w:jc w:val="right"/>
              <w:rPr>
                <w:sz w:val="13"/>
              </w:rPr>
            </w:pPr>
            <w:r>
              <w:rPr>
                <w:spacing w:val="-10"/>
                <w:w w:val="105"/>
                <w:sz w:val="13"/>
              </w:rPr>
              <w:t>-</w:t>
            </w:r>
          </w:p>
        </w:tc>
        <w:tc>
          <w:tcPr>
            <w:tcW w:w="1902" w:type="dxa"/>
            <w:gridSpan w:val="2"/>
            <w:tcBorders>
              <w:left w:val="single" w:sz="6" w:space="0" w:color="000000"/>
            </w:tcBorders>
          </w:tcPr>
          <w:p>
            <w:pPr>
              <w:pStyle w:val="TableParagraph"/>
              <w:tabs>
                <w:tab w:pos="1779" w:val="left" w:leader="none"/>
              </w:tabs>
              <w:spacing w:line="106" w:lineRule="exact" w:before="47"/>
              <w:ind w:left="830"/>
              <w:rPr>
                <w:sz w:val="13"/>
              </w:rPr>
            </w:pPr>
            <w:r>
              <w:rPr>
                <w:spacing w:val="-10"/>
                <w:w w:val="105"/>
                <w:sz w:val="13"/>
              </w:rPr>
              <w:t>-</w:t>
            </w:r>
            <w:r>
              <w:rPr>
                <w:sz w:val="13"/>
              </w:rPr>
              <w:tab/>
            </w:r>
            <w:r>
              <w:rPr>
                <w:spacing w:val="-10"/>
                <w:w w:val="105"/>
                <w:sz w:val="13"/>
              </w:rPr>
              <w:t>-</w:t>
            </w:r>
          </w:p>
        </w:tc>
      </w:tr>
      <w:tr>
        <w:trPr>
          <w:trHeight w:val="345" w:hRule="atLeast"/>
        </w:trPr>
        <w:tc>
          <w:tcPr>
            <w:tcW w:w="879" w:type="dxa"/>
          </w:tcPr>
          <w:p>
            <w:pPr>
              <w:pStyle w:val="TableParagraph"/>
              <w:spacing w:before="33"/>
              <w:ind w:right="71"/>
              <w:jc w:val="right"/>
              <w:rPr>
                <w:sz w:val="13"/>
              </w:rPr>
            </w:pPr>
            <w:r>
              <w:rPr>
                <w:spacing w:val="-2"/>
                <w:w w:val="105"/>
                <w:sz w:val="13"/>
              </w:rPr>
              <w:t>850,044</w:t>
            </w:r>
          </w:p>
        </w:tc>
        <w:tc>
          <w:tcPr>
            <w:tcW w:w="1376" w:type="dxa"/>
          </w:tcPr>
          <w:p>
            <w:pPr>
              <w:pStyle w:val="TableParagraph"/>
              <w:spacing w:before="33"/>
              <w:ind w:right="453"/>
              <w:jc w:val="right"/>
              <w:rPr>
                <w:sz w:val="13"/>
              </w:rPr>
            </w:pPr>
            <w:r>
              <w:rPr>
                <w:spacing w:val="-2"/>
                <w:w w:val="105"/>
                <w:sz w:val="13"/>
              </w:rPr>
              <w:t>(18,791)</w:t>
            </w:r>
          </w:p>
        </w:tc>
        <w:tc>
          <w:tcPr>
            <w:tcW w:w="565" w:type="dxa"/>
            <w:tcBorders>
              <w:right w:val="single" w:sz="6" w:space="0" w:color="000000"/>
            </w:tcBorders>
          </w:tcPr>
          <w:p>
            <w:pPr>
              <w:pStyle w:val="TableParagraph"/>
              <w:spacing w:before="47"/>
              <w:ind w:right="56"/>
              <w:jc w:val="right"/>
              <w:rPr>
                <w:sz w:val="13"/>
              </w:rPr>
            </w:pPr>
            <w:r>
              <w:rPr>
                <w:spacing w:val="-10"/>
                <w:w w:val="105"/>
                <w:sz w:val="13"/>
              </w:rPr>
              <w:t>-</w:t>
            </w:r>
          </w:p>
        </w:tc>
        <w:tc>
          <w:tcPr>
            <w:tcW w:w="1902" w:type="dxa"/>
            <w:gridSpan w:val="2"/>
            <w:tcBorders>
              <w:left w:val="single" w:sz="6" w:space="0" w:color="000000"/>
            </w:tcBorders>
          </w:tcPr>
          <w:p>
            <w:pPr>
              <w:pStyle w:val="TableParagraph"/>
              <w:tabs>
                <w:tab w:pos="1779" w:val="left" w:leader="none"/>
              </w:tabs>
              <w:spacing w:before="37"/>
              <w:ind w:left="454"/>
              <w:rPr>
                <w:sz w:val="13"/>
              </w:rPr>
            </w:pPr>
            <w:r>
              <w:rPr>
                <w:spacing w:val="-2"/>
                <w:w w:val="105"/>
                <w:position w:val="1"/>
                <w:sz w:val="13"/>
              </w:rPr>
              <w:t>18,791</w:t>
            </w:r>
            <w:r>
              <w:rPr>
                <w:position w:val="1"/>
                <w:sz w:val="13"/>
              </w:rPr>
              <w:tab/>
            </w:r>
            <w:r>
              <w:rPr>
                <w:spacing w:val="-10"/>
                <w:w w:val="105"/>
                <w:sz w:val="13"/>
              </w:rPr>
              <w:t>-</w:t>
            </w:r>
          </w:p>
        </w:tc>
      </w:tr>
      <w:tr>
        <w:trPr>
          <w:trHeight w:val="345" w:hRule="atLeast"/>
        </w:trPr>
        <w:tc>
          <w:tcPr>
            <w:tcW w:w="879" w:type="dxa"/>
          </w:tcPr>
          <w:p>
            <w:pPr>
              <w:pStyle w:val="TableParagraph"/>
              <w:spacing w:before="56"/>
              <w:rPr>
                <w:b/>
                <w:sz w:val="13"/>
              </w:rPr>
            </w:pPr>
          </w:p>
          <w:p>
            <w:pPr>
              <w:pStyle w:val="TableParagraph"/>
              <w:spacing w:line="119" w:lineRule="exact" w:before="1"/>
              <w:ind w:right="27"/>
              <w:jc w:val="right"/>
              <w:rPr>
                <w:sz w:val="13"/>
              </w:rPr>
            </w:pPr>
            <w:r>
              <w:rPr>
                <w:spacing w:val="-2"/>
                <w:w w:val="105"/>
                <w:sz w:val="13"/>
              </w:rPr>
              <w:t>(68,865)</w:t>
            </w:r>
          </w:p>
        </w:tc>
        <w:tc>
          <w:tcPr>
            <w:tcW w:w="1376" w:type="dxa"/>
          </w:tcPr>
          <w:p>
            <w:pPr>
              <w:pStyle w:val="TableParagraph"/>
              <w:spacing w:before="70"/>
              <w:rPr>
                <w:b/>
                <w:sz w:val="13"/>
              </w:rPr>
            </w:pPr>
          </w:p>
          <w:p>
            <w:pPr>
              <w:pStyle w:val="TableParagraph"/>
              <w:spacing w:line="106" w:lineRule="exact"/>
              <w:ind w:right="490"/>
              <w:jc w:val="right"/>
              <w:rPr>
                <w:sz w:val="13"/>
              </w:rPr>
            </w:pPr>
            <w:r>
              <w:rPr>
                <w:spacing w:val="-10"/>
                <w:w w:val="105"/>
                <w:sz w:val="13"/>
              </w:rPr>
              <w:t>-</w:t>
            </w:r>
          </w:p>
        </w:tc>
        <w:tc>
          <w:tcPr>
            <w:tcW w:w="565" w:type="dxa"/>
            <w:tcBorders>
              <w:right w:val="single" w:sz="6" w:space="0" w:color="000000"/>
            </w:tcBorders>
          </w:tcPr>
          <w:p>
            <w:pPr>
              <w:pStyle w:val="TableParagraph"/>
              <w:spacing w:before="70"/>
              <w:rPr>
                <w:b/>
                <w:sz w:val="13"/>
              </w:rPr>
            </w:pPr>
          </w:p>
          <w:p>
            <w:pPr>
              <w:pStyle w:val="TableParagraph"/>
              <w:spacing w:line="106" w:lineRule="exact"/>
              <w:ind w:right="56"/>
              <w:jc w:val="right"/>
              <w:rPr>
                <w:sz w:val="13"/>
              </w:rPr>
            </w:pPr>
            <w:r>
              <w:rPr>
                <w:spacing w:val="-10"/>
                <w:w w:val="105"/>
                <w:sz w:val="13"/>
              </w:rPr>
              <w:t>-</w:t>
            </w:r>
          </w:p>
        </w:tc>
        <w:tc>
          <w:tcPr>
            <w:tcW w:w="1902" w:type="dxa"/>
            <w:gridSpan w:val="2"/>
            <w:tcBorders>
              <w:left w:val="single" w:sz="6" w:space="0" w:color="000000"/>
            </w:tcBorders>
          </w:tcPr>
          <w:p>
            <w:pPr>
              <w:pStyle w:val="TableParagraph"/>
              <w:spacing w:before="70"/>
              <w:rPr>
                <w:b/>
                <w:sz w:val="13"/>
              </w:rPr>
            </w:pPr>
          </w:p>
          <w:p>
            <w:pPr>
              <w:pStyle w:val="TableParagraph"/>
              <w:tabs>
                <w:tab w:pos="1779" w:val="left" w:leader="none"/>
              </w:tabs>
              <w:spacing w:line="106" w:lineRule="exact"/>
              <w:ind w:left="830"/>
              <w:rPr>
                <w:sz w:val="13"/>
              </w:rPr>
            </w:pPr>
            <w:r>
              <w:rPr>
                <w:spacing w:val="-10"/>
                <w:w w:val="105"/>
                <w:sz w:val="13"/>
              </w:rPr>
              <w:t>-</w:t>
            </w:r>
            <w:r>
              <w:rPr>
                <w:sz w:val="13"/>
              </w:rPr>
              <w:tab/>
            </w:r>
            <w:r>
              <w:rPr>
                <w:spacing w:val="-10"/>
                <w:w w:val="105"/>
                <w:sz w:val="13"/>
              </w:rPr>
              <w:t>-</w:t>
            </w:r>
          </w:p>
        </w:tc>
      </w:tr>
      <w:tr>
        <w:trPr>
          <w:trHeight w:val="172" w:hRule="atLeast"/>
        </w:trPr>
        <w:tc>
          <w:tcPr>
            <w:tcW w:w="879" w:type="dxa"/>
          </w:tcPr>
          <w:p>
            <w:pPr>
              <w:pStyle w:val="TableParagraph"/>
              <w:spacing w:line="119" w:lineRule="exact" w:before="33"/>
              <w:ind w:right="27"/>
              <w:jc w:val="right"/>
              <w:rPr>
                <w:sz w:val="13"/>
              </w:rPr>
            </w:pPr>
            <w:r>
              <w:rPr>
                <w:spacing w:val="-2"/>
                <w:w w:val="105"/>
                <w:sz w:val="13"/>
              </w:rPr>
              <w:t>(134,796)</w:t>
            </w:r>
          </w:p>
        </w:tc>
        <w:tc>
          <w:tcPr>
            <w:tcW w:w="1376" w:type="dxa"/>
          </w:tcPr>
          <w:p>
            <w:pPr>
              <w:pStyle w:val="TableParagraph"/>
              <w:spacing w:line="119" w:lineRule="exact" w:before="33"/>
              <w:ind w:right="498"/>
              <w:jc w:val="right"/>
              <w:rPr>
                <w:sz w:val="13"/>
              </w:rPr>
            </w:pPr>
            <w:r>
              <w:rPr>
                <w:spacing w:val="-5"/>
                <w:w w:val="105"/>
                <w:sz w:val="13"/>
              </w:rPr>
              <w:t>267</w:t>
            </w:r>
          </w:p>
        </w:tc>
        <w:tc>
          <w:tcPr>
            <w:tcW w:w="565" w:type="dxa"/>
            <w:tcBorders>
              <w:right w:val="single" w:sz="6" w:space="0" w:color="000000"/>
            </w:tcBorders>
          </w:tcPr>
          <w:p>
            <w:pPr>
              <w:pStyle w:val="TableParagraph"/>
              <w:spacing w:line="106" w:lineRule="exact" w:before="47"/>
              <w:ind w:right="56"/>
              <w:jc w:val="right"/>
              <w:rPr>
                <w:sz w:val="13"/>
              </w:rPr>
            </w:pPr>
            <w:r>
              <w:rPr>
                <w:spacing w:val="-10"/>
                <w:w w:val="105"/>
                <w:sz w:val="13"/>
              </w:rPr>
              <w:t>-</w:t>
            </w:r>
          </w:p>
        </w:tc>
        <w:tc>
          <w:tcPr>
            <w:tcW w:w="1902" w:type="dxa"/>
            <w:gridSpan w:val="2"/>
            <w:tcBorders>
              <w:left w:val="single" w:sz="6" w:space="0" w:color="000000"/>
            </w:tcBorders>
          </w:tcPr>
          <w:p>
            <w:pPr>
              <w:pStyle w:val="TableParagraph"/>
              <w:tabs>
                <w:tab w:pos="1779" w:val="left" w:leader="none"/>
              </w:tabs>
              <w:spacing w:line="116" w:lineRule="exact" w:before="37"/>
              <w:ind w:left="595"/>
              <w:rPr>
                <w:sz w:val="13"/>
              </w:rPr>
            </w:pPr>
            <w:r>
              <w:rPr>
                <w:spacing w:val="-2"/>
                <w:w w:val="105"/>
                <w:position w:val="1"/>
                <w:sz w:val="13"/>
              </w:rPr>
              <w:t>(267)</w:t>
            </w:r>
            <w:r>
              <w:rPr>
                <w:position w:val="1"/>
                <w:sz w:val="13"/>
              </w:rPr>
              <w:tab/>
            </w:r>
            <w:r>
              <w:rPr>
                <w:spacing w:val="-10"/>
                <w:w w:val="105"/>
                <w:sz w:val="13"/>
              </w:rPr>
              <w:t>-</w:t>
            </w:r>
          </w:p>
        </w:tc>
      </w:tr>
      <w:tr>
        <w:trPr>
          <w:trHeight w:val="170" w:hRule="atLeast"/>
        </w:trPr>
        <w:tc>
          <w:tcPr>
            <w:tcW w:w="879" w:type="dxa"/>
          </w:tcPr>
          <w:p>
            <w:pPr>
              <w:pStyle w:val="TableParagraph"/>
              <w:spacing w:line="117" w:lineRule="exact" w:before="33"/>
              <w:ind w:right="27"/>
              <w:jc w:val="right"/>
              <w:rPr>
                <w:sz w:val="13"/>
              </w:rPr>
            </w:pPr>
            <w:r>
              <w:rPr>
                <w:spacing w:val="-2"/>
                <w:w w:val="105"/>
                <w:sz w:val="13"/>
              </w:rPr>
              <w:t>(4,801)</w:t>
            </w:r>
          </w:p>
        </w:tc>
        <w:tc>
          <w:tcPr>
            <w:tcW w:w="1376" w:type="dxa"/>
            <w:tcBorders>
              <w:bottom w:val="single" w:sz="6" w:space="0" w:color="000000"/>
            </w:tcBorders>
          </w:tcPr>
          <w:p>
            <w:pPr>
              <w:pStyle w:val="TableParagraph"/>
              <w:spacing w:line="104" w:lineRule="exact" w:before="47"/>
              <w:ind w:right="490"/>
              <w:jc w:val="right"/>
              <w:rPr>
                <w:sz w:val="13"/>
              </w:rPr>
            </w:pPr>
            <w:r>
              <w:rPr>
                <w:spacing w:val="-10"/>
                <w:w w:val="105"/>
                <w:sz w:val="13"/>
              </w:rPr>
              <w:t>-</w:t>
            </w:r>
          </w:p>
        </w:tc>
        <w:tc>
          <w:tcPr>
            <w:tcW w:w="565" w:type="dxa"/>
            <w:tcBorders>
              <w:bottom w:val="single" w:sz="6" w:space="0" w:color="000000"/>
              <w:right w:val="single" w:sz="6" w:space="0" w:color="000000"/>
            </w:tcBorders>
          </w:tcPr>
          <w:p>
            <w:pPr>
              <w:pStyle w:val="TableParagraph"/>
              <w:spacing w:line="104" w:lineRule="exact" w:before="47"/>
              <w:ind w:right="56"/>
              <w:jc w:val="right"/>
              <w:rPr>
                <w:sz w:val="13"/>
              </w:rPr>
            </w:pPr>
            <w:r>
              <w:rPr>
                <w:spacing w:val="-10"/>
                <w:w w:val="105"/>
                <w:sz w:val="13"/>
              </w:rPr>
              <w:t>-</w:t>
            </w:r>
          </w:p>
        </w:tc>
        <w:tc>
          <w:tcPr>
            <w:tcW w:w="1902" w:type="dxa"/>
            <w:gridSpan w:val="2"/>
            <w:tcBorders>
              <w:left w:val="single" w:sz="6" w:space="0" w:color="000000"/>
              <w:bottom w:val="single" w:sz="6" w:space="0" w:color="000000"/>
            </w:tcBorders>
          </w:tcPr>
          <w:p>
            <w:pPr>
              <w:pStyle w:val="TableParagraph"/>
              <w:tabs>
                <w:tab w:pos="1779" w:val="left" w:leader="none"/>
              </w:tabs>
              <w:spacing w:line="104" w:lineRule="exact" w:before="47"/>
              <w:ind w:left="830"/>
              <w:rPr>
                <w:sz w:val="13"/>
              </w:rPr>
            </w:pPr>
            <w:r>
              <w:rPr>
                <w:spacing w:val="-10"/>
                <w:w w:val="105"/>
                <w:sz w:val="13"/>
              </w:rPr>
              <w:t>-</w:t>
            </w:r>
            <w:r>
              <w:rPr>
                <w:sz w:val="13"/>
              </w:rPr>
              <w:tab/>
            </w:r>
            <w:r>
              <w:rPr>
                <w:spacing w:val="-10"/>
                <w:w w:val="105"/>
                <w:sz w:val="13"/>
              </w:rPr>
              <w:t>-</w:t>
            </w:r>
          </w:p>
        </w:tc>
      </w:tr>
      <w:tr>
        <w:trPr>
          <w:trHeight w:val="157" w:hRule="atLeast"/>
        </w:trPr>
        <w:tc>
          <w:tcPr>
            <w:tcW w:w="879" w:type="dxa"/>
          </w:tcPr>
          <w:p>
            <w:pPr>
              <w:pStyle w:val="TableParagraph"/>
              <w:rPr>
                <w:rFonts w:ascii="Times New Roman"/>
                <w:sz w:val="10"/>
              </w:rPr>
            </w:pPr>
          </w:p>
        </w:tc>
        <w:tc>
          <w:tcPr>
            <w:tcW w:w="1376" w:type="dxa"/>
            <w:tcBorders>
              <w:top w:val="single" w:sz="6" w:space="0" w:color="000000"/>
              <w:bottom w:val="single" w:sz="6" w:space="0" w:color="000000"/>
            </w:tcBorders>
          </w:tcPr>
          <w:p>
            <w:pPr>
              <w:pStyle w:val="TableParagraph"/>
              <w:spacing w:line="117" w:lineRule="exact" w:before="20"/>
              <w:ind w:right="453"/>
              <w:jc w:val="right"/>
              <w:rPr>
                <w:b/>
                <w:sz w:val="13"/>
              </w:rPr>
            </w:pPr>
            <w:r>
              <w:rPr>
                <w:b/>
                <w:spacing w:val="-2"/>
                <w:w w:val="105"/>
                <w:sz w:val="13"/>
              </w:rPr>
              <w:t>(19,381)</w:t>
            </w:r>
          </w:p>
        </w:tc>
        <w:tc>
          <w:tcPr>
            <w:tcW w:w="565" w:type="dxa"/>
            <w:tcBorders>
              <w:top w:val="single" w:sz="6" w:space="0" w:color="000000"/>
              <w:bottom w:val="single" w:sz="6" w:space="0" w:color="000000"/>
              <w:right w:val="single" w:sz="6" w:space="0" w:color="000000"/>
            </w:tcBorders>
          </w:tcPr>
          <w:p>
            <w:pPr>
              <w:pStyle w:val="TableParagraph"/>
              <w:spacing w:line="104" w:lineRule="exact" w:before="34"/>
              <w:ind w:right="56"/>
              <w:jc w:val="right"/>
              <w:rPr>
                <w:sz w:val="13"/>
              </w:rPr>
            </w:pPr>
            <w:r>
              <w:rPr>
                <w:spacing w:val="-10"/>
                <w:w w:val="105"/>
                <w:sz w:val="13"/>
              </w:rPr>
              <w:t>-</w:t>
            </w:r>
          </w:p>
        </w:tc>
        <w:tc>
          <w:tcPr>
            <w:tcW w:w="1333" w:type="dxa"/>
            <w:tcBorders>
              <w:top w:val="single" w:sz="6" w:space="0" w:color="000000"/>
              <w:left w:val="single" w:sz="6" w:space="0" w:color="000000"/>
              <w:bottom w:val="single" w:sz="6" w:space="0" w:color="000000"/>
            </w:tcBorders>
          </w:tcPr>
          <w:p>
            <w:pPr>
              <w:pStyle w:val="TableParagraph"/>
              <w:spacing w:line="117" w:lineRule="exact" w:before="20"/>
              <w:ind w:right="1"/>
              <w:jc w:val="center"/>
              <w:rPr>
                <w:b/>
                <w:sz w:val="13"/>
              </w:rPr>
            </w:pPr>
            <w:r>
              <w:rPr>
                <w:b/>
                <w:spacing w:val="-2"/>
                <w:w w:val="105"/>
                <w:sz w:val="13"/>
              </w:rPr>
              <w:t>19,381</w:t>
            </w:r>
          </w:p>
        </w:tc>
        <w:tc>
          <w:tcPr>
            <w:tcW w:w="569" w:type="dxa"/>
            <w:tcBorders>
              <w:top w:val="single" w:sz="6" w:space="0" w:color="000000"/>
              <w:bottom w:val="single" w:sz="6" w:space="0" w:color="000000"/>
            </w:tcBorders>
          </w:tcPr>
          <w:p>
            <w:pPr>
              <w:pStyle w:val="TableParagraph"/>
              <w:spacing w:line="104" w:lineRule="exact" w:before="34"/>
              <w:ind w:right="67"/>
              <w:jc w:val="right"/>
              <w:rPr>
                <w:sz w:val="13"/>
              </w:rPr>
            </w:pPr>
            <w:r>
              <w:rPr>
                <w:spacing w:val="-10"/>
                <w:w w:val="105"/>
                <w:sz w:val="13"/>
              </w:rPr>
              <w:t>-</w:t>
            </w:r>
          </w:p>
        </w:tc>
      </w:tr>
    </w:tbl>
    <w:p>
      <w:pPr>
        <w:spacing w:after="0" w:line="104" w:lineRule="exact"/>
        <w:jc w:val="right"/>
        <w:rPr>
          <w:sz w:val="13"/>
        </w:rPr>
        <w:sectPr>
          <w:type w:val="continuous"/>
          <w:pgSz w:w="11910" w:h="16840"/>
          <w:pgMar w:header="468" w:footer="0" w:top="980" w:bottom="280" w:left="1020" w:right="1540"/>
          <w:cols w:num="2" w:equalWidth="0">
            <w:col w:w="2331" w:space="1371"/>
            <w:col w:w="5648"/>
          </w:cols>
        </w:sectPr>
      </w:pPr>
    </w:p>
    <w:p>
      <w:pPr>
        <w:spacing w:line="240" w:lineRule="auto" w:before="34"/>
        <w:rPr>
          <w:b/>
          <w:sz w:val="13"/>
        </w:rPr>
      </w:pPr>
    </w:p>
    <w:p>
      <w:pPr>
        <w:spacing w:before="0"/>
        <w:ind w:left="657" w:right="0" w:firstLine="0"/>
        <w:jc w:val="left"/>
        <w:rPr>
          <w:b/>
          <w:sz w:val="13"/>
        </w:rPr>
      </w:pPr>
      <w:r>
        <w:rPr>
          <w:b/>
          <w:w w:val="105"/>
          <w:sz w:val="13"/>
        </w:rPr>
        <w:t>Consolidated</w:t>
      </w:r>
      <w:r>
        <w:rPr>
          <w:b/>
          <w:spacing w:val="-8"/>
          <w:w w:val="105"/>
          <w:sz w:val="13"/>
        </w:rPr>
        <w:t> </w:t>
      </w:r>
      <w:r>
        <w:rPr>
          <w:b/>
          <w:w w:val="105"/>
          <w:sz w:val="13"/>
        </w:rPr>
        <w:t>31</w:t>
      </w:r>
      <w:r>
        <w:rPr>
          <w:b/>
          <w:spacing w:val="-8"/>
          <w:w w:val="105"/>
          <w:sz w:val="13"/>
        </w:rPr>
        <w:t> </w:t>
      </w:r>
      <w:r>
        <w:rPr>
          <w:b/>
          <w:w w:val="105"/>
          <w:sz w:val="13"/>
        </w:rPr>
        <w:t>December</w:t>
      </w:r>
      <w:r>
        <w:rPr>
          <w:b/>
          <w:spacing w:val="-7"/>
          <w:w w:val="105"/>
          <w:sz w:val="13"/>
        </w:rPr>
        <w:t> </w:t>
      </w:r>
      <w:r>
        <w:rPr>
          <w:b/>
          <w:spacing w:val="-4"/>
          <w:w w:val="105"/>
          <w:sz w:val="13"/>
        </w:rPr>
        <w:t>2019</w:t>
      </w:r>
    </w:p>
    <w:p>
      <w:pPr>
        <w:spacing w:line="240" w:lineRule="auto" w:before="0"/>
        <w:rPr>
          <w:b/>
          <w:sz w:val="13"/>
        </w:rPr>
      </w:pPr>
      <w:r>
        <w:rPr/>
        <w:br w:type="column"/>
      </w:r>
      <w:r>
        <w:rPr>
          <w:b/>
          <w:sz w:val="13"/>
        </w:rPr>
      </w:r>
    </w:p>
    <w:p>
      <w:pPr>
        <w:spacing w:line="240" w:lineRule="auto" w:before="47"/>
        <w:rPr>
          <w:b/>
          <w:sz w:val="13"/>
        </w:rPr>
      </w:pPr>
    </w:p>
    <w:p>
      <w:pPr>
        <w:spacing w:line="283" w:lineRule="auto" w:before="1"/>
        <w:ind w:left="690" w:right="-3" w:hanging="34"/>
        <w:jc w:val="left"/>
        <w:rPr>
          <w:b/>
          <w:sz w:val="13"/>
        </w:rPr>
      </w:pPr>
      <w:r>
        <w:rPr>
          <w:b/>
          <w:spacing w:val="-2"/>
          <w:w w:val="105"/>
          <w:sz w:val="13"/>
        </w:rPr>
        <w:t>Carrying</w:t>
      </w:r>
      <w:r>
        <w:rPr>
          <w:b/>
          <w:spacing w:val="40"/>
          <w:w w:val="105"/>
          <w:sz w:val="13"/>
        </w:rPr>
        <w:t> </w:t>
      </w:r>
      <w:r>
        <w:rPr>
          <w:b/>
          <w:spacing w:val="-2"/>
          <w:w w:val="105"/>
          <w:sz w:val="13"/>
        </w:rPr>
        <w:t>amount</w:t>
      </w:r>
    </w:p>
    <w:p>
      <w:pPr>
        <w:spacing w:line="240" w:lineRule="auto" w:before="34"/>
        <w:rPr>
          <w:b/>
          <w:sz w:val="13"/>
        </w:rPr>
      </w:pPr>
      <w:r>
        <w:rPr/>
        <w:br w:type="column"/>
      </w:r>
      <w:r>
        <w:rPr>
          <w:b/>
          <w:sz w:val="13"/>
        </w:rPr>
      </w:r>
    </w:p>
    <w:p>
      <w:pPr>
        <w:spacing w:before="0"/>
        <w:ind w:left="0" w:right="138" w:firstLine="0"/>
        <w:jc w:val="center"/>
        <w:rPr>
          <w:b/>
          <w:sz w:val="13"/>
        </w:rPr>
      </w:pPr>
      <w:r>
        <w:rPr>
          <w:b/>
          <w:w w:val="105"/>
          <w:sz w:val="13"/>
        </w:rPr>
        <w:t>Foreign</w:t>
      </w:r>
      <w:r>
        <w:rPr>
          <w:b/>
          <w:spacing w:val="-6"/>
          <w:w w:val="105"/>
          <w:sz w:val="13"/>
        </w:rPr>
        <w:t> </w:t>
      </w:r>
      <w:r>
        <w:rPr>
          <w:b/>
          <w:w w:val="105"/>
          <w:sz w:val="13"/>
        </w:rPr>
        <w:t>exchange</w:t>
      </w:r>
      <w:r>
        <w:rPr>
          <w:b/>
          <w:spacing w:val="-7"/>
          <w:w w:val="105"/>
          <w:sz w:val="13"/>
        </w:rPr>
        <w:t> </w:t>
      </w:r>
      <w:r>
        <w:rPr>
          <w:b/>
          <w:w w:val="105"/>
          <w:sz w:val="13"/>
        </w:rPr>
        <w:t>rate</w:t>
      </w:r>
      <w:r>
        <w:rPr>
          <w:b/>
          <w:spacing w:val="-7"/>
          <w:w w:val="105"/>
          <w:sz w:val="13"/>
        </w:rPr>
        <w:t> </w:t>
      </w:r>
      <w:r>
        <w:rPr>
          <w:b/>
          <w:spacing w:val="-4"/>
          <w:w w:val="105"/>
          <w:sz w:val="13"/>
        </w:rPr>
        <w:t>risk</w:t>
      </w:r>
    </w:p>
    <w:p>
      <w:pPr>
        <w:tabs>
          <w:tab w:pos="1902" w:val="left" w:leader="none"/>
        </w:tabs>
        <w:spacing w:before="23"/>
        <w:ind w:left="0" w:right="101" w:firstLine="0"/>
        <w:jc w:val="center"/>
        <w:rPr>
          <w:b/>
          <w:sz w:val="13"/>
        </w:rPr>
      </w:pPr>
      <w:r>
        <w:rPr>
          <w:b/>
          <w:w w:val="105"/>
          <w:sz w:val="13"/>
        </w:rPr>
        <w:t>-</w:t>
      </w:r>
      <w:r>
        <w:rPr>
          <w:b/>
          <w:spacing w:val="-5"/>
          <w:w w:val="105"/>
          <w:sz w:val="13"/>
        </w:rPr>
        <w:t>20%</w:t>
      </w:r>
      <w:r>
        <w:rPr>
          <w:b/>
          <w:sz w:val="13"/>
        </w:rPr>
        <w:tab/>
      </w:r>
      <w:r>
        <w:rPr>
          <w:b/>
          <w:spacing w:val="-4"/>
          <w:w w:val="105"/>
          <w:sz w:val="13"/>
        </w:rPr>
        <w:t>+20%</w:t>
      </w:r>
    </w:p>
    <w:p>
      <w:pPr>
        <w:tabs>
          <w:tab w:pos="940" w:val="left" w:leader="none"/>
          <w:tab w:pos="1940" w:val="left" w:leader="none"/>
          <w:tab w:pos="2858" w:val="left" w:leader="none"/>
        </w:tabs>
        <w:spacing w:before="13"/>
        <w:ind w:left="0" w:right="116" w:firstLine="0"/>
        <w:jc w:val="center"/>
        <w:rPr>
          <w:b/>
          <w:sz w:val="13"/>
        </w:rPr>
      </w:pPr>
      <w:r>
        <w:rPr>
          <w:b/>
          <w:spacing w:val="-2"/>
          <w:w w:val="105"/>
          <w:sz w:val="13"/>
        </w:rPr>
        <w:t>Profit</w:t>
      </w:r>
      <w:r>
        <w:rPr>
          <w:b/>
          <w:sz w:val="13"/>
        </w:rPr>
        <w:tab/>
      </w:r>
      <w:r>
        <w:rPr>
          <w:b/>
          <w:spacing w:val="-2"/>
          <w:w w:val="105"/>
          <w:sz w:val="13"/>
        </w:rPr>
        <w:t>Equity</w:t>
      </w:r>
      <w:r>
        <w:rPr>
          <w:b/>
          <w:sz w:val="13"/>
        </w:rPr>
        <w:tab/>
      </w:r>
      <w:r>
        <w:rPr>
          <w:b/>
          <w:spacing w:val="-2"/>
          <w:w w:val="105"/>
          <w:sz w:val="13"/>
        </w:rPr>
        <w:t>Profit</w:t>
      </w:r>
      <w:r>
        <w:rPr>
          <w:b/>
          <w:sz w:val="13"/>
        </w:rPr>
        <w:tab/>
      </w:r>
      <w:r>
        <w:rPr>
          <w:b/>
          <w:spacing w:val="-2"/>
          <w:w w:val="105"/>
          <w:sz w:val="13"/>
        </w:rPr>
        <w:t>Equity</w:t>
      </w:r>
    </w:p>
    <w:p>
      <w:pPr>
        <w:spacing w:after="0"/>
        <w:jc w:val="center"/>
        <w:rPr>
          <w:sz w:val="13"/>
        </w:rPr>
        <w:sectPr>
          <w:type w:val="continuous"/>
          <w:pgSz w:w="11910" w:h="16840"/>
          <w:pgMar w:header="468" w:footer="0" w:top="980" w:bottom="280" w:left="1020" w:right="1540"/>
          <w:cols w:num="3" w:equalWidth="0">
            <w:col w:w="2788" w:space="1073"/>
            <w:col w:w="1219" w:space="40"/>
            <w:col w:w="4230"/>
          </w:cols>
        </w:sectPr>
      </w:pPr>
    </w:p>
    <w:p>
      <w:pPr>
        <w:spacing w:line="240" w:lineRule="auto" w:before="25"/>
        <w:rPr>
          <w:b/>
          <w:sz w:val="13"/>
        </w:rPr>
      </w:pPr>
    </w:p>
    <w:p>
      <w:pPr>
        <w:spacing w:before="0"/>
        <w:ind w:left="657" w:right="0" w:firstLine="0"/>
        <w:jc w:val="left"/>
        <w:rPr>
          <w:b/>
          <w:sz w:val="13"/>
        </w:rPr>
      </w:pPr>
      <w:r>
        <w:rPr>
          <w:b/>
          <w:spacing w:val="-2"/>
          <w:w w:val="105"/>
          <w:sz w:val="13"/>
        </w:rPr>
        <w:t>Financial</w:t>
      </w:r>
      <w:r>
        <w:rPr>
          <w:b/>
          <w:spacing w:val="8"/>
          <w:w w:val="105"/>
          <w:sz w:val="13"/>
        </w:rPr>
        <w:t> </w:t>
      </w:r>
      <w:r>
        <w:rPr>
          <w:b/>
          <w:spacing w:val="-2"/>
          <w:w w:val="105"/>
          <w:sz w:val="13"/>
        </w:rPr>
        <w:t>assets</w:t>
      </w:r>
    </w:p>
    <w:p>
      <w:pPr>
        <w:spacing w:line="276" w:lineRule="auto" w:before="23"/>
        <w:ind w:left="657" w:right="0" w:firstLine="0"/>
        <w:jc w:val="left"/>
        <w:rPr>
          <w:sz w:val="13"/>
        </w:rPr>
      </w:pPr>
      <w:r>
        <w:rPr>
          <w:w w:val="105"/>
          <w:sz w:val="13"/>
        </w:rPr>
        <w:t>Cash</w:t>
      </w:r>
      <w:r>
        <w:rPr>
          <w:spacing w:val="-10"/>
          <w:w w:val="105"/>
          <w:sz w:val="13"/>
        </w:rPr>
        <w:t> </w:t>
      </w:r>
      <w:r>
        <w:rPr>
          <w:w w:val="105"/>
          <w:sz w:val="13"/>
        </w:rPr>
        <w:t>and</w:t>
      </w:r>
      <w:r>
        <w:rPr>
          <w:spacing w:val="-9"/>
          <w:w w:val="105"/>
          <w:sz w:val="13"/>
        </w:rPr>
        <w:t> </w:t>
      </w:r>
      <w:r>
        <w:rPr>
          <w:w w:val="105"/>
          <w:sz w:val="13"/>
        </w:rPr>
        <w:t>cash</w:t>
      </w:r>
      <w:r>
        <w:rPr>
          <w:spacing w:val="-10"/>
          <w:w w:val="105"/>
          <w:sz w:val="13"/>
        </w:rPr>
        <w:t> </w:t>
      </w:r>
      <w:r>
        <w:rPr>
          <w:w w:val="105"/>
          <w:sz w:val="13"/>
        </w:rPr>
        <w:t>equivalents</w:t>
      </w:r>
      <w:r>
        <w:rPr>
          <w:spacing w:val="40"/>
          <w:w w:val="105"/>
          <w:sz w:val="13"/>
        </w:rPr>
        <w:t> </w:t>
      </w:r>
      <w:r>
        <w:rPr>
          <w:w w:val="105"/>
          <w:sz w:val="13"/>
        </w:rPr>
        <w:t>Accounts</w:t>
      </w:r>
      <w:r>
        <w:rPr>
          <w:spacing w:val="-4"/>
          <w:w w:val="105"/>
          <w:sz w:val="13"/>
        </w:rPr>
        <w:t> </w:t>
      </w:r>
      <w:r>
        <w:rPr>
          <w:w w:val="105"/>
          <w:sz w:val="13"/>
        </w:rPr>
        <w:t>receivable</w:t>
      </w:r>
    </w:p>
    <w:p>
      <w:pPr>
        <w:spacing w:before="1"/>
        <w:ind w:left="657" w:right="0" w:firstLine="0"/>
        <w:jc w:val="left"/>
        <w:rPr>
          <w:sz w:val="13"/>
        </w:rPr>
      </w:pPr>
      <w:r>
        <w:rPr>
          <w:w w:val="105"/>
          <w:sz w:val="13"/>
        </w:rPr>
        <w:t>Other</w:t>
      </w:r>
      <w:r>
        <w:rPr>
          <w:spacing w:val="-7"/>
          <w:w w:val="105"/>
          <w:sz w:val="13"/>
        </w:rPr>
        <w:t> </w:t>
      </w:r>
      <w:r>
        <w:rPr>
          <w:w w:val="105"/>
          <w:sz w:val="13"/>
        </w:rPr>
        <w:t>financial</w:t>
      </w:r>
      <w:r>
        <w:rPr>
          <w:spacing w:val="-7"/>
          <w:w w:val="105"/>
          <w:sz w:val="13"/>
        </w:rPr>
        <w:t> </w:t>
      </w:r>
      <w:r>
        <w:rPr>
          <w:spacing w:val="-2"/>
          <w:w w:val="105"/>
          <w:sz w:val="13"/>
        </w:rPr>
        <w:t>assets</w:t>
      </w:r>
    </w:p>
    <w:p>
      <w:pPr>
        <w:spacing w:line="240" w:lineRule="auto" w:before="47"/>
        <w:rPr>
          <w:sz w:val="13"/>
        </w:rPr>
      </w:pPr>
    </w:p>
    <w:p>
      <w:pPr>
        <w:spacing w:line="276" w:lineRule="auto" w:before="0"/>
        <w:ind w:left="657" w:right="127" w:firstLine="0"/>
        <w:jc w:val="left"/>
        <w:rPr>
          <w:sz w:val="13"/>
        </w:rPr>
      </w:pPr>
      <w:r>
        <w:rPr>
          <w:b/>
          <w:w w:val="105"/>
          <w:sz w:val="13"/>
        </w:rPr>
        <w:t>Financial</w:t>
      </w:r>
      <w:r>
        <w:rPr>
          <w:b/>
          <w:spacing w:val="-6"/>
          <w:w w:val="105"/>
          <w:sz w:val="13"/>
        </w:rPr>
        <w:t> </w:t>
      </w:r>
      <w:r>
        <w:rPr>
          <w:b/>
          <w:w w:val="105"/>
          <w:sz w:val="13"/>
        </w:rPr>
        <w:t>liabilities</w:t>
      </w:r>
      <w:r>
        <w:rPr>
          <w:b/>
          <w:spacing w:val="40"/>
          <w:w w:val="105"/>
          <w:sz w:val="13"/>
        </w:rPr>
        <w:t> </w:t>
      </w:r>
      <w:r>
        <w:rPr>
          <w:w w:val="105"/>
          <w:sz w:val="13"/>
        </w:rPr>
        <w:t>Trade</w:t>
      </w:r>
      <w:r>
        <w:rPr>
          <w:spacing w:val="-10"/>
          <w:w w:val="105"/>
          <w:sz w:val="13"/>
        </w:rPr>
        <w:t> </w:t>
      </w:r>
      <w:r>
        <w:rPr>
          <w:w w:val="105"/>
          <w:sz w:val="13"/>
        </w:rPr>
        <w:t>and</w:t>
      </w:r>
      <w:r>
        <w:rPr>
          <w:spacing w:val="-9"/>
          <w:w w:val="105"/>
          <w:sz w:val="13"/>
        </w:rPr>
        <w:t> </w:t>
      </w:r>
      <w:r>
        <w:rPr>
          <w:w w:val="105"/>
          <w:sz w:val="13"/>
        </w:rPr>
        <w:t>other</w:t>
      </w:r>
      <w:r>
        <w:rPr>
          <w:spacing w:val="-10"/>
          <w:w w:val="105"/>
          <w:sz w:val="13"/>
        </w:rPr>
        <w:t> </w:t>
      </w:r>
      <w:r>
        <w:rPr>
          <w:w w:val="105"/>
          <w:sz w:val="13"/>
        </w:rPr>
        <w:t>payables</w:t>
      </w:r>
      <w:r>
        <w:rPr>
          <w:spacing w:val="40"/>
          <w:w w:val="105"/>
          <w:sz w:val="13"/>
        </w:rPr>
        <w:t> </w:t>
      </w:r>
      <w:r>
        <w:rPr>
          <w:spacing w:val="-2"/>
          <w:w w:val="105"/>
          <w:sz w:val="13"/>
        </w:rPr>
        <w:t>Borrowings</w:t>
      </w:r>
    </w:p>
    <w:p>
      <w:pPr>
        <w:spacing w:before="2"/>
        <w:ind w:left="657" w:right="0" w:firstLine="0"/>
        <w:jc w:val="left"/>
        <w:rPr>
          <w:sz w:val="13"/>
        </w:rPr>
      </w:pPr>
      <w:r>
        <w:rPr>
          <w:w w:val="105"/>
          <w:sz w:val="13"/>
        </w:rPr>
        <w:t>Other</w:t>
      </w:r>
      <w:r>
        <w:rPr>
          <w:spacing w:val="-7"/>
          <w:w w:val="105"/>
          <w:sz w:val="13"/>
        </w:rPr>
        <w:t> </w:t>
      </w:r>
      <w:r>
        <w:rPr>
          <w:w w:val="105"/>
          <w:sz w:val="13"/>
        </w:rPr>
        <w:t>financial</w:t>
      </w:r>
      <w:r>
        <w:rPr>
          <w:spacing w:val="-7"/>
          <w:w w:val="105"/>
          <w:sz w:val="13"/>
        </w:rPr>
        <w:t> </w:t>
      </w:r>
      <w:r>
        <w:rPr>
          <w:spacing w:val="-2"/>
          <w:w w:val="105"/>
          <w:sz w:val="13"/>
        </w:rPr>
        <w:t>liabilities</w:t>
      </w:r>
    </w:p>
    <w:p>
      <w:pPr>
        <w:spacing w:before="23"/>
        <w:ind w:left="657" w:right="0" w:firstLine="0"/>
        <w:jc w:val="left"/>
        <w:rPr>
          <w:b/>
          <w:sz w:val="13"/>
        </w:rPr>
      </w:pPr>
      <w:r>
        <w:rPr>
          <w:b/>
          <w:w w:val="105"/>
          <w:sz w:val="13"/>
        </w:rPr>
        <w:t>Total</w:t>
      </w:r>
      <w:r>
        <w:rPr>
          <w:b/>
          <w:spacing w:val="-4"/>
          <w:w w:val="105"/>
          <w:sz w:val="13"/>
        </w:rPr>
        <w:t> </w:t>
      </w:r>
      <w:r>
        <w:rPr>
          <w:b/>
          <w:spacing w:val="-2"/>
          <w:w w:val="105"/>
          <w:sz w:val="13"/>
        </w:rPr>
        <w:t>increase/(decrease)</w:t>
      </w:r>
    </w:p>
    <w:p>
      <w:pPr>
        <w:tabs>
          <w:tab w:pos="1849" w:val="left" w:leader="none"/>
          <w:tab w:pos="2818" w:val="left" w:leader="none"/>
          <w:tab w:pos="3790" w:val="left" w:leader="none"/>
          <w:tab w:pos="4739" w:val="left" w:leader="none"/>
        </w:tabs>
        <w:spacing w:before="2"/>
        <w:ind w:left="936" w:right="0" w:firstLine="0"/>
        <w:jc w:val="left"/>
        <w:rPr>
          <w:b/>
          <w:sz w:val="13"/>
        </w:rPr>
      </w:pPr>
      <w:r>
        <w:rPr/>
        <w:br w:type="column"/>
      </w:r>
      <w:r>
        <w:rPr>
          <w:b/>
          <w:spacing w:val="-2"/>
          <w:w w:val="105"/>
          <w:sz w:val="13"/>
        </w:rPr>
        <w:t>$'000</w:t>
      </w:r>
      <w:r>
        <w:rPr>
          <w:b/>
          <w:sz w:val="13"/>
        </w:rPr>
        <w:tab/>
      </w:r>
      <w:r>
        <w:rPr>
          <w:b/>
          <w:spacing w:val="-2"/>
          <w:w w:val="105"/>
          <w:sz w:val="13"/>
        </w:rPr>
        <w:t>$'000</w:t>
      </w:r>
      <w:r>
        <w:rPr>
          <w:b/>
          <w:sz w:val="13"/>
        </w:rPr>
        <w:tab/>
      </w:r>
      <w:r>
        <w:rPr>
          <w:b/>
          <w:spacing w:val="-4"/>
          <w:w w:val="105"/>
          <w:sz w:val="13"/>
        </w:rPr>
        <w:t>$'000</w:t>
      </w:r>
      <w:r>
        <w:rPr>
          <w:b/>
          <w:sz w:val="13"/>
        </w:rPr>
        <w:tab/>
      </w:r>
      <w:r>
        <w:rPr>
          <w:b/>
          <w:spacing w:val="-2"/>
          <w:w w:val="105"/>
          <w:sz w:val="13"/>
        </w:rPr>
        <w:t>$'000</w:t>
      </w:r>
      <w:r>
        <w:rPr>
          <w:b/>
          <w:sz w:val="13"/>
        </w:rPr>
        <w:tab/>
      </w:r>
      <w:r>
        <w:rPr>
          <w:b/>
          <w:spacing w:val="-2"/>
          <w:w w:val="105"/>
          <w:sz w:val="13"/>
        </w:rPr>
        <w:t>$'000</w:t>
      </w:r>
    </w:p>
    <w:tbl>
      <w:tblPr>
        <w:tblW w:w="0" w:type="auto"/>
        <w:jc w:val="left"/>
        <w:tblInd w:w="6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79"/>
        <w:gridCol w:w="1358"/>
        <w:gridCol w:w="584"/>
        <w:gridCol w:w="1901"/>
      </w:tblGrid>
      <w:tr>
        <w:trPr>
          <w:trHeight w:val="332" w:hRule="atLeast"/>
        </w:trPr>
        <w:tc>
          <w:tcPr>
            <w:tcW w:w="879" w:type="dxa"/>
            <w:tcBorders>
              <w:top w:val="single" w:sz="6" w:space="0" w:color="000000"/>
            </w:tcBorders>
          </w:tcPr>
          <w:p>
            <w:pPr>
              <w:pStyle w:val="TableParagraph"/>
              <w:spacing w:before="43"/>
              <w:rPr>
                <w:b/>
                <w:sz w:val="13"/>
              </w:rPr>
            </w:pPr>
          </w:p>
          <w:p>
            <w:pPr>
              <w:pStyle w:val="TableParagraph"/>
              <w:spacing w:line="119" w:lineRule="exact" w:before="1"/>
              <w:ind w:right="71"/>
              <w:jc w:val="right"/>
              <w:rPr>
                <w:sz w:val="13"/>
              </w:rPr>
            </w:pPr>
            <w:r>
              <w:rPr>
                <w:spacing w:val="-2"/>
                <w:w w:val="105"/>
                <w:sz w:val="13"/>
              </w:rPr>
              <w:t>85,806</w:t>
            </w:r>
          </w:p>
        </w:tc>
        <w:tc>
          <w:tcPr>
            <w:tcW w:w="1358" w:type="dxa"/>
            <w:tcBorders>
              <w:top w:val="single" w:sz="6" w:space="0" w:color="000000"/>
            </w:tcBorders>
          </w:tcPr>
          <w:p>
            <w:pPr>
              <w:pStyle w:val="TableParagraph"/>
              <w:spacing w:before="43"/>
              <w:rPr>
                <w:b/>
                <w:sz w:val="13"/>
              </w:rPr>
            </w:pPr>
          </w:p>
          <w:p>
            <w:pPr>
              <w:pStyle w:val="TableParagraph"/>
              <w:spacing w:line="119" w:lineRule="exact" w:before="1"/>
              <w:ind w:right="480"/>
              <w:jc w:val="right"/>
              <w:rPr>
                <w:sz w:val="13"/>
              </w:rPr>
            </w:pPr>
            <w:r>
              <w:rPr>
                <w:spacing w:val="-5"/>
                <w:w w:val="105"/>
                <w:sz w:val="13"/>
              </w:rPr>
              <w:t>184</w:t>
            </w:r>
          </w:p>
        </w:tc>
        <w:tc>
          <w:tcPr>
            <w:tcW w:w="584" w:type="dxa"/>
            <w:tcBorders>
              <w:top w:val="single" w:sz="6" w:space="0" w:color="000000"/>
              <w:right w:val="single" w:sz="6" w:space="0" w:color="000000"/>
            </w:tcBorders>
          </w:tcPr>
          <w:p>
            <w:pPr>
              <w:pStyle w:val="TableParagraph"/>
              <w:spacing w:before="57"/>
              <w:rPr>
                <w:b/>
                <w:sz w:val="13"/>
              </w:rPr>
            </w:pPr>
          </w:p>
          <w:p>
            <w:pPr>
              <w:pStyle w:val="TableParagraph"/>
              <w:spacing w:line="106" w:lineRule="exact"/>
              <w:ind w:right="57"/>
              <w:jc w:val="right"/>
              <w:rPr>
                <w:sz w:val="13"/>
              </w:rPr>
            </w:pPr>
            <w:r>
              <w:rPr>
                <w:spacing w:val="-10"/>
                <w:w w:val="105"/>
                <w:sz w:val="13"/>
              </w:rPr>
              <w:t>-</w:t>
            </w:r>
          </w:p>
        </w:tc>
        <w:tc>
          <w:tcPr>
            <w:tcW w:w="1901" w:type="dxa"/>
            <w:tcBorders>
              <w:top w:val="single" w:sz="6" w:space="0" w:color="000000"/>
              <w:left w:val="single" w:sz="6" w:space="0" w:color="000000"/>
            </w:tcBorders>
          </w:tcPr>
          <w:p>
            <w:pPr>
              <w:pStyle w:val="TableParagraph"/>
              <w:spacing w:before="47"/>
              <w:rPr>
                <w:b/>
                <w:sz w:val="13"/>
              </w:rPr>
            </w:pPr>
          </w:p>
          <w:p>
            <w:pPr>
              <w:pStyle w:val="TableParagraph"/>
              <w:tabs>
                <w:tab w:pos="1183" w:val="left" w:leader="none"/>
              </w:tabs>
              <w:spacing w:line="116" w:lineRule="exact"/>
              <w:ind w:right="67"/>
              <w:jc w:val="right"/>
              <w:rPr>
                <w:sz w:val="13"/>
              </w:rPr>
            </w:pPr>
            <w:r>
              <w:rPr>
                <w:spacing w:val="-2"/>
                <w:w w:val="105"/>
                <w:position w:val="1"/>
                <w:sz w:val="13"/>
              </w:rPr>
              <w:t>(184)</w:t>
            </w:r>
            <w:r>
              <w:rPr>
                <w:position w:val="1"/>
                <w:sz w:val="13"/>
              </w:rPr>
              <w:tab/>
            </w:r>
            <w:r>
              <w:rPr>
                <w:spacing w:val="-10"/>
                <w:w w:val="105"/>
                <w:sz w:val="13"/>
              </w:rPr>
              <w:t>-</w:t>
            </w:r>
          </w:p>
        </w:tc>
      </w:tr>
      <w:tr>
        <w:trPr>
          <w:trHeight w:val="172" w:hRule="atLeast"/>
        </w:trPr>
        <w:tc>
          <w:tcPr>
            <w:tcW w:w="879" w:type="dxa"/>
          </w:tcPr>
          <w:p>
            <w:pPr>
              <w:pStyle w:val="TableParagraph"/>
              <w:spacing w:line="119" w:lineRule="exact" w:before="33"/>
              <w:ind w:right="71"/>
              <w:jc w:val="right"/>
              <w:rPr>
                <w:sz w:val="13"/>
              </w:rPr>
            </w:pPr>
            <w:r>
              <w:rPr>
                <w:spacing w:val="-2"/>
                <w:w w:val="105"/>
                <w:sz w:val="13"/>
              </w:rPr>
              <w:t>54,079</w:t>
            </w:r>
          </w:p>
        </w:tc>
        <w:tc>
          <w:tcPr>
            <w:tcW w:w="1358" w:type="dxa"/>
          </w:tcPr>
          <w:p>
            <w:pPr>
              <w:pStyle w:val="TableParagraph"/>
              <w:spacing w:line="119" w:lineRule="exact" w:before="33"/>
              <w:ind w:right="480"/>
              <w:jc w:val="right"/>
              <w:rPr>
                <w:sz w:val="13"/>
              </w:rPr>
            </w:pPr>
            <w:r>
              <w:rPr>
                <w:spacing w:val="-5"/>
                <w:w w:val="105"/>
                <w:sz w:val="13"/>
              </w:rPr>
              <w:t>113</w:t>
            </w:r>
          </w:p>
        </w:tc>
        <w:tc>
          <w:tcPr>
            <w:tcW w:w="584" w:type="dxa"/>
            <w:tcBorders>
              <w:right w:val="single" w:sz="6" w:space="0" w:color="000000"/>
            </w:tcBorders>
          </w:tcPr>
          <w:p>
            <w:pPr>
              <w:pStyle w:val="TableParagraph"/>
              <w:spacing w:line="106" w:lineRule="exact" w:before="47"/>
              <w:ind w:right="57"/>
              <w:jc w:val="right"/>
              <w:rPr>
                <w:sz w:val="13"/>
              </w:rPr>
            </w:pPr>
            <w:r>
              <w:rPr>
                <w:spacing w:val="-10"/>
                <w:w w:val="105"/>
                <w:sz w:val="13"/>
              </w:rPr>
              <w:t>-</w:t>
            </w:r>
          </w:p>
        </w:tc>
        <w:tc>
          <w:tcPr>
            <w:tcW w:w="1901" w:type="dxa"/>
            <w:tcBorders>
              <w:left w:val="single" w:sz="6" w:space="0" w:color="000000"/>
            </w:tcBorders>
          </w:tcPr>
          <w:p>
            <w:pPr>
              <w:pStyle w:val="TableParagraph"/>
              <w:tabs>
                <w:tab w:pos="1183" w:val="left" w:leader="none"/>
              </w:tabs>
              <w:spacing w:line="116" w:lineRule="exact" w:before="37"/>
              <w:ind w:right="67"/>
              <w:jc w:val="right"/>
              <w:rPr>
                <w:sz w:val="13"/>
              </w:rPr>
            </w:pPr>
            <w:r>
              <w:rPr>
                <w:spacing w:val="-2"/>
                <w:w w:val="105"/>
                <w:position w:val="1"/>
                <w:sz w:val="13"/>
              </w:rPr>
              <w:t>(113)</w:t>
            </w:r>
            <w:r>
              <w:rPr>
                <w:position w:val="1"/>
                <w:sz w:val="13"/>
              </w:rPr>
              <w:tab/>
            </w:r>
            <w:r>
              <w:rPr>
                <w:spacing w:val="-10"/>
                <w:w w:val="105"/>
                <w:sz w:val="13"/>
              </w:rPr>
              <w:t>-</w:t>
            </w:r>
          </w:p>
        </w:tc>
      </w:tr>
      <w:tr>
        <w:trPr>
          <w:trHeight w:val="345" w:hRule="atLeast"/>
        </w:trPr>
        <w:tc>
          <w:tcPr>
            <w:tcW w:w="879" w:type="dxa"/>
          </w:tcPr>
          <w:p>
            <w:pPr>
              <w:pStyle w:val="TableParagraph"/>
              <w:spacing w:before="33"/>
              <w:ind w:right="71"/>
              <w:jc w:val="right"/>
              <w:rPr>
                <w:sz w:val="13"/>
              </w:rPr>
            </w:pPr>
            <w:r>
              <w:rPr>
                <w:spacing w:val="-2"/>
                <w:w w:val="105"/>
                <w:sz w:val="13"/>
              </w:rPr>
              <w:t>850,044</w:t>
            </w:r>
          </w:p>
        </w:tc>
        <w:tc>
          <w:tcPr>
            <w:tcW w:w="1358" w:type="dxa"/>
          </w:tcPr>
          <w:p>
            <w:pPr>
              <w:pStyle w:val="TableParagraph"/>
              <w:spacing w:before="47"/>
              <w:ind w:right="472"/>
              <w:jc w:val="right"/>
              <w:rPr>
                <w:sz w:val="13"/>
              </w:rPr>
            </w:pPr>
            <w:r>
              <w:rPr>
                <w:spacing w:val="-10"/>
                <w:w w:val="105"/>
                <w:sz w:val="13"/>
              </w:rPr>
              <w:t>-</w:t>
            </w:r>
          </w:p>
        </w:tc>
        <w:tc>
          <w:tcPr>
            <w:tcW w:w="584" w:type="dxa"/>
            <w:tcBorders>
              <w:right w:val="single" w:sz="6" w:space="0" w:color="000000"/>
            </w:tcBorders>
          </w:tcPr>
          <w:p>
            <w:pPr>
              <w:pStyle w:val="TableParagraph"/>
              <w:spacing w:before="47"/>
              <w:ind w:right="57"/>
              <w:jc w:val="right"/>
              <w:rPr>
                <w:sz w:val="13"/>
              </w:rPr>
            </w:pPr>
            <w:r>
              <w:rPr>
                <w:spacing w:val="-10"/>
                <w:w w:val="105"/>
                <w:sz w:val="13"/>
              </w:rPr>
              <w:t>-</w:t>
            </w:r>
          </w:p>
        </w:tc>
        <w:tc>
          <w:tcPr>
            <w:tcW w:w="1901" w:type="dxa"/>
            <w:tcBorders>
              <w:left w:val="single" w:sz="6" w:space="0" w:color="000000"/>
            </w:tcBorders>
          </w:tcPr>
          <w:p>
            <w:pPr>
              <w:pStyle w:val="TableParagraph"/>
              <w:tabs>
                <w:tab w:pos="949" w:val="left" w:leader="none"/>
              </w:tabs>
              <w:spacing w:before="47"/>
              <w:ind w:right="67"/>
              <w:jc w:val="right"/>
              <w:rPr>
                <w:sz w:val="13"/>
              </w:rPr>
            </w:pPr>
            <w:r>
              <w:rPr>
                <w:spacing w:val="-10"/>
                <w:w w:val="105"/>
                <w:sz w:val="13"/>
              </w:rPr>
              <w:t>-</w:t>
            </w:r>
            <w:r>
              <w:rPr>
                <w:sz w:val="13"/>
              </w:rPr>
              <w:tab/>
            </w:r>
            <w:r>
              <w:rPr>
                <w:spacing w:val="-10"/>
                <w:w w:val="105"/>
                <w:sz w:val="13"/>
              </w:rPr>
              <w:t>-</w:t>
            </w:r>
          </w:p>
        </w:tc>
      </w:tr>
      <w:tr>
        <w:trPr>
          <w:trHeight w:val="345" w:hRule="atLeast"/>
        </w:trPr>
        <w:tc>
          <w:tcPr>
            <w:tcW w:w="879" w:type="dxa"/>
          </w:tcPr>
          <w:p>
            <w:pPr>
              <w:pStyle w:val="TableParagraph"/>
              <w:spacing w:before="56"/>
              <w:rPr>
                <w:b/>
                <w:sz w:val="13"/>
              </w:rPr>
            </w:pPr>
          </w:p>
          <w:p>
            <w:pPr>
              <w:pStyle w:val="TableParagraph"/>
              <w:spacing w:line="119" w:lineRule="exact" w:before="1"/>
              <w:ind w:right="27"/>
              <w:jc w:val="right"/>
              <w:rPr>
                <w:sz w:val="13"/>
              </w:rPr>
            </w:pPr>
            <w:r>
              <w:rPr>
                <w:spacing w:val="-2"/>
                <w:w w:val="105"/>
                <w:sz w:val="13"/>
              </w:rPr>
              <w:t>(68,865)</w:t>
            </w:r>
          </w:p>
        </w:tc>
        <w:tc>
          <w:tcPr>
            <w:tcW w:w="1358" w:type="dxa"/>
          </w:tcPr>
          <w:p>
            <w:pPr>
              <w:pStyle w:val="TableParagraph"/>
              <w:spacing w:before="70"/>
              <w:rPr>
                <w:b/>
                <w:sz w:val="13"/>
              </w:rPr>
            </w:pPr>
          </w:p>
          <w:p>
            <w:pPr>
              <w:pStyle w:val="TableParagraph"/>
              <w:spacing w:line="106" w:lineRule="exact"/>
              <w:ind w:right="472"/>
              <w:jc w:val="right"/>
              <w:rPr>
                <w:sz w:val="13"/>
              </w:rPr>
            </w:pPr>
            <w:r>
              <w:rPr>
                <w:spacing w:val="-10"/>
                <w:w w:val="105"/>
                <w:sz w:val="13"/>
              </w:rPr>
              <w:t>-</w:t>
            </w:r>
          </w:p>
        </w:tc>
        <w:tc>
          <w:tcPr>
            <w:tcW w:w="584" w:type="dxa"/>
            <w:tcBorders>
              <w:right w:val="single" w:sz="6" w:space="0" w:color="000000"/>
            </w:tcBorders>
          </w:tcPr>
          <w:p>
            <w:pPr>
              <w:pStyle w:val="TableParagraph"/>
              <w:spacing w:before="70"/>
              <w:rPr>
                <w:b/>
                <w:sz w:val="13"/>
              </w:rPr>
            </w:pPr>
          </w:p>
          <w:p>
            <w:pPr>
              <w:pStyle w:val="TableParagraph"/>
              <w:spacing w:line="106" w:lineRule="exact"/>
              <w:ind w:right="57"/>
              <w:jc w:val="right"/>
              <w:rPr>
                <w:sz w:val="13"/>
              </w:rPr>
            </w:pPr>
            <w:r>
              <w:rPr>
                <w:spacing w:val="-10"/>
                <w:w w:val="105"/>
                <w:sz w:val="13"/>
              </w:rPr>
              <w:t>-</w:t>
            </w:r>
          </w:p>
        </w:tc>
        <w:tc>
          <w:tcPr>
            <w:tcW w:w="1901" w:type="dxa"/>
            <w:tcBorders>
              <w:left w:val="single" w:sz="6" w:space="0" w:color="000000"/>
            </w:tcBorders>
          </w:tcPr>
          <w:p>
            <w:pPr>
              <w:pStyle w:val="TableParagraph"/>
              <w:spacing w:before="70"/>
              <w:rPr>
                <w:b/>
                <w:sz w:val="13"/>
              </w:rPr>
            </w:pPr>
          </w:p>
          <w:p>
            <w:pPr>
              <w:pStyle w:val="TableParagraph"/>
              <w:tabs>
                <w:tab w:pos="949" w:val="left" w:leader="none"/>
              </w:tabs>
              <w:spacing w:line="106" w:lineRule="exact"/>
              <w:ind w:right="67"/>
              <w:jc w:val="right"/>
              <w:rPr>
                <w:sz w:val="13"/>
              </w:rPr>
            </w:pPr>
            <w:r>
              <w:rPr>
                <w:spacing w:val="-10"/>
                <w:w w:val="105"/>
                <w:sz w:val="13"/>
              </w:rPr>
              <w:t>-</w:t>
            </w:r>
            <w:r>
              <w:rPr>
                <w:sz w:val="13"/>
              </w:rPr>
              <w:tab/>
            </w:r>
            <w:r>
              <w:rPr>
                <w:spacing w:val="-10"/>
                <w:w w:val="105"/>
                <w:sz w:val="13"/>
              </w:rPr>
              <w:t>-</w:t>
            </w:r>
          </w:p>
        </w:tc>
      </w:tr>
      <w:tr>
        <w:trPr>
          <w:trHeight w:val="172" w:hRule="atLeast"/>
        </w:trPr>
        <w:tc>
          <w:tcPr>
            <w:tcW w:w="879" w:type="dxa"/>
          </w:tcPr>
          <w:p>
            <w:pPr>
              <w:pStyle w:val="TableParagraph"/>
              <w:spacing w:line="119" w:lineRule="exact" w:before="33"/>
              <w:ind w:right="27"/>
              <w:jc w:val="right"/>
              <w:rPr>
                <w:sz w:val="13"/>
              </w:rPr>
            </w:pPr>
            <w:r>
              <w:rPr>
                <w:spacing w:val="-2"/>
                <w:w w:val="105"/>
                <w:sz w:val="13"/>
              </w:rPr>
              <w:t>(134,796)</w:t>
            </w:r>
          </w:p>
        </w:tc>
        <w:tc>
          <w:tcPr>
            <w:tcW w:w="1358" w:type="dxa"/>
          </w:tcPr>
          <w:p>
            <w:pPr>
              <w:pStyle w:val="TableParagraph"/>
              <w:spacing w:line="106" w:lineRule="exact" w:before="47"/>
              <w:ind w:right="472"/>
              <w:jc w:val="right"/>
              <w:rPr>
                <w:sz w:val="13"/>
              </w:rPr>
            </w:pPr>
            <w:r>
              <w:rPr>
                <w:spacing w:val="-10"/>
                <w:w w:val="105"/>
                <w:sz w:val="13"/>
              </w:rPr>
              <w:t>-</w:t>
            </w:r>
          </w:p>
        </w:tc>
        <w:tc>
          <w:tcPr>
            <w:tcW w:w="584" w:type="dxa"/>
            <w:tcBorders>
              <w:right w:val="single" w:sz="6" w:space="0" w:color="000000"/>
            </w:tcBorders>
          </w:tcPr>
          <w:p>
            <w:pPr>
              <w:pStyle w:val="TableParagraph"/>
              <w:spacing w:line="106" w:lineRule="exact" w:before="47"/>
              <w:ind w:right="57"/>
              <w:jc w:val="right"/>
              <w:rPr>
                <w:sz w:val="13"/>
              </w:rPr>
            </w:pPr>
            <w:r>
              <w:rPr>
                <w:spacing w:val="-10"/>
                <w:w w:val="105"/>
                <w:sz w:val="13"/>
              </w:rPr>
              <w:t>-</w:t>
            </w:r>
          </w:p>
        </w:tc>
        <w:tc>
          <w:tcPr>
            <w:tcW w:w="1901" w:type="dxa"/>
            <w:tcBorders>
              <w:left w:val="single" w:sz="6" w:space="0" w:color="000000"/>
            </w:tcBorders>
          </w:tcPr>
          <w:p>
            <w:pPr>
              <w:pStyle w:val="TableParagraph"/>
              <w:tabs>
                <w:tab w:pos="949" w:val="left" w:leader="none"/>
              </w:tabs>
              <w:spacing w:line="106" w:lineRule="exact" w:before="47"/>
              <w:ind w:right="67"/>
              <w:jc w:val="right"/>
              <w:rPr>
                <w:sz w:val="13"/>
              </w:rPr>
            </w:pPr>
            <w:r>
              <w:rPr>
                <w:spacing w:val="-10"/>
                <w:w w:val="105"/>
                <w:sz w:val="13"/>
              </w:rPr>
              <w:t>-</w:t>
            </w:r>
            <w:r>
              <w:rPr>
                <w:sz w:val="13"/>
              </w:rPr>
              <w:tab/>
            </w:r>
            <w:r>
              <w:rPr>
                <w:spacing w:val="-10"/>
                <w:w w:val="105"/>
                <w:sz w:val="13"/>
              </w:rPr>
              <w:t>-</w:t>
            </w:r>
          </w:p>
        </w:tc>
      </w:tr>
      <w:tr>
        <w:trPr>
          <w:trHeight w:val="170" w:hRule="atLeast"/>
        </w:trPr>
        <w:tc>
          <w:tcPr>
            <w:tcW w:w="879" w:type="dxa"/>
          </w:tcPr>
          <w:p>
            <w:pPr>
              <w:pStyle w:val="TableParagraph"/>
              <w:spacing w:line="117" w:lineRule="exact" w:before="33"/>
              <w:ind w:right="27"/>
              <w:jc w:val="right"/>
              <w:rPr>
                <w:sz w:val="13"/>
              </w:rPr>
            </w:pPr>
            <w:r>
              <w:rPr>
                <w:spacing w:val="-2"/>
                <w:w w:val="105"/>
                <w:sz w:val="13"/>
              </w:rPr>
              <w:t>(4,801)</w:t>
            </w:r>
          </w:p>
        </w:tc>
        <w:tc>
          <w:tcPr>
            <w:tcW w:w="1358" w:type="dxa"/>
            <w:tcBorders>
              <w:bottom w:val="single" w:sz="6" w:space="0" w:color="000000"/>
            </w:tcBorders>
          </w:tcPr>
          <w:p>
            <w:pPr>
              <w:pStyle w:val="TableParagraph"/>
              <w:spacing w:line="104" w:lineRule="exact" w:before="47"/>
              <w:ind w:right="472"/>
              <w:jc w:val="right"/>
              <w:rPr>
                <w:sz w:val="13"/>
              </w:rPr>
            </w:pPr>
            <w:r>
              <w:rPr>
                <w:spacing w:val="-10"/>
                <w:w w:val="105"/>
                <w:sz w:val="13"/>
              </w:rPr>
              <w:t>-</w:t>
            </w:r>
          </w:p>
        </w:tc>
        <w:tc>
          <w:tcPr>
            <w:tcW w:w="584" w:type="dxa"/>
            <w:tcBorders>
              <w:bottom w:val="single" w:sz="6" w:space="0" w:color="000000"/>
              <w:right w:val="single" w:sz="6" w:space="0" w:color="000000"/>
            </w:tcBorders>
          </w:tcPr>
          <w:p>
            <w:pPr>
              <w:pStyle w:val="TableParagraph"/>
              <w:spacing w:line="104" w:lineRule="exact" w:before="47"/>
              <w:ind w:right="57"/>
              <w:jc w:val="right"/>
              <w:rPr>
                <w:sz w:val="13"/>
              </w:rPr>
            </w:pPr>
            <w:r>
              <w:rPr>
                <w:spacing w:val="-10"/>
                <w:w w:val="105"/>
                <w:sz w:val="13"/>
              </w:rPr>
              <w:t>-</w:t>
            </w:r>
          </w:p>
        </w:tc>
        <w:tc>
          <w:tcPr>
            <w:tcW w:w="1901" w:type="dxa"/>
            <w:tcBorders>
              <w:left w:val="single" w:sz="6" w:space="0" w:color="000000"/>
              <w:bottom w:val="single" w:sz="6" w:space="0" w:color="000000"/>
            </w:tcBorders>
          </w:tcPr>
          <w:p>
            <w:pPr>
              <w:pStyle w:val="TableParagraph"/>
              <w:tabs>
                <w:tab w:pos="949" w:val="left" w:leader="none"/>
              </w:tabs>
              <w:spacing w:line="104" w:lineRule="exact" w:before="47"/>
              <w:ind w:right="67"/>
              <w:jc w:val="right"/>
              <w:rPr>
                <w:sz w:val="13"/>
              </w:rPr>
            </w:pPr>
            <w:r>
              <w:rPr>
                <w:spacing w:val="-10"/>
                <w:w w:val="105"/>
                <w:sz w:val="13"/>
              </w:rPr>
              <w:t>-</w:t>
            </w:r>
            <w:r>
              <w:rPr>
                <w:sz w:val="13"/>
              </w:rPr>
              <w:tab/>
            </w:r>
            <w:r>
              <w:rPr>
                <w:spacing w:val="-10"/>
                <w:w w:val="105"/>
                <w:sz w:val="13"/>
              </w:rPr>
              <w:t>-</w:t>
            </w:r>
          </w:p>
        </w:tc>
      </w:tr>
      <w:tr>
        <w:trPr>
          <w:trHeight w:val="157" w:hRule="atLeast"/>
        </w:trPr>
        <w:tc>
          <w:tcPr>
            <w:tcW w:w="879" w:type="dxa"/>
          </w:tcPr>
          <w:p>
            <w:pPr>
              <w:pStyle w:val="TableParagraph"/>
              <w:rPr>
                <w:rFonts w:ascii="Times New Roman"/>
                <w:sz w:val="10"/>
              </w:rPr>
            </w:pPr>
          </w:p>
        </w:tc>
        <w:tc>
          <w:tcPr>
            <w:tcW w:w="1358" w:type="dxa"/>
            <w:tcBorders>
              <w:top w:val="single" w:sz="6" w:space="0" w:color="000000"/>
              <w:bottom w:val="single" w:sz="6" w:space="0" w:color="000000"/>
            </w:tcBorders>
          </w:tcPr>
          <w:p>
            <w:pPr>
              <w:pStyle w:val="TableParagraph"/>
              <w:spacing w:line="117" w:lineRule="exact" w:before="20"/>
              <w:ind w:right="480"/>
              <w:jc w:val="right"/>
              <w:rPr>
                <w:b/>
                <w:sz w:val="13"/>
              </w:rPr>
            </w:pPr>
            <w:r>
              <w:rPr>
                <w:b/>
                <w:spacing w:val="-5"/>
                <w:w w:val="105"/>
                <w:sz w:val="13"/>
              </w:rPr>
              <w:t>297</w:t>
            </w:r>
          </w:p>
        </w:tc>
        <w:tc>
          <w:tcPr>
            <w:tcW w:w="584" w:type="dxa"/>
            <w:tcBorders>
              <w:top w:val="single" w:sz="6" w:space="0" w:color="000000"/>
              <w:bottom w:val="single" w:sz="6" w:space="0" w:color="000000"/>
              <w:right w:val="single" w:sz="6" w:space="0" w:color="000000"/>
            </w:tcBorders>
          </w:tcPr>
          <w:p>
            <w:pPr>
              <w:pStyle w:val="TableParagraph"/>
              <w:spacing w:line="104" w:lineRule="exact" w:before="34"/>
              <w:ind w:right="57"/>
              <w:jc w:val="right"/>
              <w:rPr>
                <w:sz w:val="13"/>
              </w:rPr>
            </w:pPr>
            <w:r>
              <w:rPr>
                <w:spacing w:val="-10"/>
                <w:w w:val="105"/>
                <w:sz w:val="13"/>
              </w:rPr>
              <w:t>-</w:t>
            </w:r>
          </w:p>
        </w:tc>
        <w:tc>
          <w:tcPr>
            <w:tcW w:w="1901" w:type="dxa"/>
            <w:tcBorders>
              <w:top w:val="single" w:sz="6" w:space="0" w:color="000000"/>
              <w:left w:val="single" w:sz="6" w:space="0" w:color="000000"/>
              <w:bottom w:val="single" w:sz="6" w:space="0" w:color="000000"/>
            </w:tcBorders>
          </w:tcPr>
          <w:p>
            <w:pPr>
              <w:pStyle w:val="TableParagraph"/>
              <w:tabs>
                <w:tab w:pos="1183" w:val="left" w:leader="none"/>
              </w:tabs>
              <w:spacing w:line="114" w:lineRule="exact" w:before="24"/>
              <w:ind w:right="67"/>
              <w:jc w:val="right"/>
              <w:rPr>
                <w:sz w:val="13"/>
              </w:rPr>
            </w:pPr>
            <w:r>
              <w:rPr>
                <w:b/>
                <w:spacing w:val="-2"/>
                <w:w w:val="105"/>
                <w:position w:val="1"/>
                <w:sz w:val="13"/>
              </w:rPr>
              <w:t>(297)</w:t>
            </w:r>
            <w:r>
              <w:rPr>
                <w:b/>
                <w:position w:val="1"/>
                <w:sz w:val="13"/>
              </w:rPr>
              <w:tab/>
            </w:r>
            <w:r>
              <w:rPr>
                <w:spacing w:val="-10"/>
                <w:w w:val="105"/>
                <w:sz w:val="13"/>
              </w:rPr>
              <w:t>-</w:t>
            </w:r>
          </w:p>
        </w:tc>
      </w:tr>
    </w:tbl>
    <w:p>
      <w:pPr>
        <w:spacing w:after="0" w:line="114" w:lineRule="exact"/>
        <w:jc w:val="right"/>
        <w:rPr>
          <w:sz w:val="13"/>
        </w:rPr>
        <w:sectPr>
          <w:type w:val="continuous"/>
          <w:pgSz w:w="11910" w:h="16840"/>
          <w:pgMar w:header="468" w:footer="0" w:top="980" w:bottom="280" w:left="1020" w:right="1540"/>
          <w:cols w:num="2" w:equalWidth="0">
            <w:col w:w="2331" w:space="1371"/>
            <w:col w:w="5648"/>
          </w:cols>
        </w:sectPr>
      </w:pPr>
    </w:p>
    <w:p>
      <w:pPr>
        <w:spacing w:line="240" w:lineRule="auto" w:before="34"/>
        <w:rPr>
          <w:b/>
          <w:sz w:val="13"/>
        </w:rPr>
      </w:pPr>
    </w:p>
    <w:p>
      <w:pPr>
        <w:spacing w:before="0"/>
        <w:ind w:left="657" w:right="0" w:firstLine="0"/>
        <w:jc w:val="left"/>
        <w:rPr>
          <w:b/>
          <w:sz w:val="13"/>
        </w:rPr>
      </w:pPr>
      <w:r>
        <w:rPr>
          <w:b/>
          <w:w w:val="105"/>
          <w:sz w:val="13"/>
        </w:rPr>
        <w:t>Consolidated</w:t>
      </w:r>
      <w:r>
        <w:rPr>
          <w:b/>
          <w:spacing w:val="-8"/>
          <w:w w:val="105"/>
          <w:sz w:val="13"/>
        </w:rPr>
        <w:t> </w:t>
      </w:r>
      <w:r>
        <w:rPr>
          <w:b/>
          <w:w w:val="105"/>
          <w:sz w:val="13"/>
        </w:rPr>
        <w:t>31</w:t>
      </w:r>
      <w:r>
        <w:rPr>
          <w:b/>
          <w:spacing w:val="-8"/>
          <w:w w:val="105"/>
          <w:sz w:val="13"/>
        </w:rPr>
        <w:t> </w:t>
      </w:r>
      <w:r>
        <w:rPr>
          <w:b/>
          <w:w w:val="105"/>
          <w:sz w:val="13"/>
        </w:rPr>
        <w:t>December</w:t>
      </w:r>
      <w:r>
        <w:rPr>
          <w:b/>
          <w:spacing w:val="-7"/>
          <w:w w:val="105"/>
          <w:sz w:val="13"/>
        </w:rPr>
        <w:t> </w:t>
      </w:r>
      <w:r>
        <w:rPr>
          <w:b/>
          <w:spacing w:val="-4"/>
          <w:w w:val="105"/>
          <w:sz w:val="13"/>
        </w:rPr>
        <w:t>2019</w:t>
      </w:r>
    </w:p>
    <w:p>
      <w:pPr>
        <w:spacing w:line="240" w:lineRule="auto" w:before="0"/>
        <w:rPr>
          <w:b/>
          <w:sz w:val="13"/>
        </w:rPr>
      </w:pPr>
      <w:r>
        <w:rPr/>
        <w:br w:type="column"/>
      </w:r>
      <w:r>
        <w:rPr>
          <w:b/>
          <w:sz w:val="13"/>
        </w:rPr>
      </w:r>
    </w:p>
    <w:p>
      <w:pPr>
        <w:spacing w:line="240" w:lineRule="auto" w:before="47"/>
        <w:rPr>
          <w:b/>
          <w:sz w:val="13"/>
        </w:rPr>
      </w:pPr>
    </w:p>
    <w:p>
      <w:pPr>
        <w:spacing w:line="283" w:lineRule="auto" w:before="0"/>
        <w:ind w:left="690" w:right="-3" w:hanging="34"/>
        <w:jc w:val="left"/>
        <w:rPr>
          <w:b/>
          <w:sz w:val="13"/>
        </w:rPr>
      </w:pPr>
      <w:r>
        <w:rPr>
          <w:b/>
          <w:spacing w:val="-2"/>
          <w:w w:val="105"/>
          <w:sz w:val="13"/>
        </w:rPr>
        <w:t>Carrying</w:t>
      </w:r>
      <w:r>
        <w:rPr>
          <w:b/>
          <w:spacing w:val="40"/>
          <w:w w:val="105"/>
          <w:sz w:val="13"/>
        </w:rPr>
        <w:t> </w:t>
      </w:r>
      <w:r>
        <w:rPr>
          <w:b/>
          <w:spacing w:val="-2"/>
          <w:w w:val="105"/>
          <w:sz w:val="13"/>
        </w:rPr>
        <w:t>amount</w:t>
      </w:r>
    </w:p>
    <w:p>
      <w:pPr>
        <w:spacing w:line="240" w:lineRule="auto" w:before="34"/>
        <w:rPr>
          <w:b/>
          <w:sz w:val="13"/>
        </w:rPr>
      </w:pPr>
      <w:r>
        <w:rPr/>
        <w:br w:type="column"/>
      </w:r>
      <w:r>
        <w:rPr>
          <w:b/>
          <w:sz w:val="13"/>
        </w:rPr>
      </w:r>
    </w:p>
    <w:p>
      <w:pPr>
        <w:spacing w:before="0"/>
        <w:ind w:left="0" w:right="136" w:firstLine="0"/>
        <w:jc w:val="center"/>
        <w:rPr>
          <w:b/>
          <w:sz w:val="13"/>
        </w:rPr>
      </w:pPr>
      <w:r>
        <w:rPr>
          <w:b/>
          <w:w w:val="105"/>
          <w:sz w:val="13"/>
        </w:rPr>
        <w:t>Other</w:t>
      </w:r>
      <w:r>
        <w:rPr>
          <w:b/>
          <w:spacing w:val="-5"/>
          <w:w w:val="105"/>
          <w:sz w:val="13"/>
        </w:rPr>
        <w:t> </w:t>
      </w:r>
      <w:r>
        <w:rPr>
          <w:b/>
          <w:w w:val="105"/>
          <w:sz w:val="13"/>
        </w:rPr>
        <w:t>price</w:t>
      </w:r>
      <w:r>
        <w:rPr>
          <w:b/>
          <w:spacing w:val="-5"/>
          <w:w w:val="105"/>
          <w:sz w:val="13"/>
        </w:rPr>
        <w:t> </w:t>
      </w:r>
      <w:r>
        <w:rPr>
          <w:b/>
          <w:spacing w:val="-4"/>
          <w:w w:val="105"/>
          <w:sz w:val="13"/>
        </w:rPr>
        <w:t>risk</w:t>
      </w:r>
    </w:p>
    <w:p>
      <w:pPr>
        <w:tabs>
          <w:tab w:pos="1902" w:val="left" w:leader="none"/>
        </w:tabs>
        <w:spacing w:before="23"/>
        <w:ind w:left="0" w:right="101" w:firstLine="0"/>
        <w:jc w:val="center"/>
        <w:rPr>
          <w:b/>
          <w:sz w:val="13"/>
        </w:rPr>
      </w:pPr>
      <w:r>
        <w:rPr>
          <w:b/>
          <w:w w:val="105"/>
          <w:sz w:val="13"/>
        </w:rPr>
        <w:t>-</w:t>
      </w:r>
      <w:r>
        <w:rPr>
          <w:b/>
          <w:spacing w:val="-5"/>
          <w:w w:val="105"/>
          <w:sz w:val="13"/>
        </w:rPr>
        <w:t>20%</w:t>
      </w:r>
      <w:r>
        <w:rPr>
          <w:b/>
          <w:sz w:val="13"/>
        </w:rPr>
        <w:tab/>
      </w:r>
      <w:r>
        <w:rPr>
          <w:b/>
          <w:spacing w:val="-4"/>
          <w:w w:val="105"/>
          <w:sz w:val="13"/>
        </w:rPr>
        <w:t>+20%</w:t>
      </w:r>
    </w:p>
    <w:p>
      <w:pPr>
        <w:tabs>
          <w:tab w:pos="940" w:val="left" w:leader="none"/>
          <w:tab w:pos="1940" w:val="left" w:leader="none"/>
          <w:tab w:pos="2858" w:val="left" w:leader="none"/>
        </w:tabs>
        <w:spacing w:before="12"/>
        <w:ind w:left="0" w:right="116" w:firstLine="0"/>
        <w:jc w:val="center"/>
        <w:rPr>
          <w:b/>
          <w:sz w:val="13"/>
        </w:rPr>
      </w:pPr>
      <w:r>
        <w:rPr>
          <w:b/>
          <w:spacing w:val="-2"/>
          <w:w w:val="105"/>
          <w:sz w:val="13"/>
        </w:rPr>
        <w:t>Profit</w:t>
      </w:r>
      <w:r>
        <w:rPr>
          <w:b/>
          <w:sz w:val="13"/>
        </w:rPr>
        <w:tab/>
      </w:r>
      <w:r>
        <w:rPr>
          <w:b/>
          <w:spacing w:val="-2"/>
          <w:w w:val="105"/>
          <w:sz w:val="13"/>
        </w:rPr>
        <w:t>Equity</w:t>
      </w:r>
      <w:r>
        <w:rPr>
          <w:b/>
          <w:sz w:val="13"/>
        </w:rPr>
        <w:tab/>
      </w:r>
      <w:r>
        <w:rPr>
          <w:b/>
          <w:spacing w:val="-2"/>
          <w:w w:val="105"/>
          <w:sz w:val="13"/>
        </w:rPr>
        <w:t>Profit</w:t>
      </w:r>
      <w:r>
        <w:rPr>
          <w:b/>
          <w:sz w:val="13"/>
        </w:rPr>
        <w:tab/>
      </w:r>
      <w:r>
        <w:rPr>
          <w:b/>
          <w:spacing w:val="-2"/>
          <w:w w:val="105"/>
          <w:sz w:val="13"/>
        </w:rPr>
        <w:t>Equity</w:t>
      </w:r>
    </w:p>
    <w:p>
      <w:pPr>
        <w:spacing w:after="0"/>
        <w:jc w:val="center"/>
        <w:rPr>
          <w:sz w:val="13"/>
        </w:rPr>
        <w:sectPr>
          <w:type w:val="continuous"/>
          <w:pgSz w:w="11910" w:h="16840"/>
          <w:pgMar w:header="468" w:footer="0" w:top="980" w:bottom="280" w:left="1020" w:right="1540"/>
          <w:cols w:num="3" w:equalWidth="0">
            <w:col w:w="2788" w:space="1073"/>
            <w:col w:w="1219" w:space="40"/>
            <w:col w:w="4230"/>
          </w:cols>
        </w:sectPr>
      </w:pPr>
    </w:p>
    <w:p>
      <w:pPr>
        <w:spacing w:line="240" w:lineRule="auto" w:before="26"/>
        <w:rPr>
          <w:b/>
          <w:sz w:val="13"/>
        </w:rPr>
      </w:pPr>
    </w:p>
    <w:p>
      <w:pPr>
        <w:spacing w:before="0"/>
        <w:ind w:left="657" w:right="0" w:firstLine="0"/>
        <w:jc w:val="left"/>
        <w:rPr>
          <w:b/>
          <w:sz w:val="13"/>
        </w:rPr>
      </w:pPr>
      <w:r>
        <w:rPr>
          <w:b/>
          <w:spacing w:val="-2"/>
          <w:w w:val="105"/>
          <w:sz w:val="13"/>
        </w:rPr>
        <w:t>Financial</w:t>
      </w:r>
      <w:r>
        <w:rPr>
          <w:b/>
          <w:spacing w:val="8"/>
          <w:w w:val="105"/>
          <w:sz w:val="13"/>
        </w:rPr>
        <w:t> </w:t>
      </w:r>
      <w:r>
        <w:rPr>
          <w:b/>
          <w:spacing w:val="-2"/>
          <w:w w:val="105"/>
          <w:sz w:val="13"/>
        </w:rPr>
        <w:t>assets</w:t>
      </w:r>
    </w:p>
    <w:p>
      <w:pPr>
        <w:spacing w:line="276" w:lineRule="auto" w:before="23"/>
        <w:ind w:left="657" w:right="0" w:firstLine="0"/>
        <w:jc w:val="left"/>
        <w:rPr>
          <w:sz w:val="13"/>
        </w:rPr>
      </w:pPr>
      <w:r>
        <w:rPr>
          <w:w w:val="105"/>
          <w:sz w:val="13"/>
        </w:rPr>
        <w:t>Cash</w:t>
      </w:r>
      <w:r>
        <w:rPr>
          <w:spacing w:val="-10"/>
          <w:w w:val="105"/>
          <w:sz w:val="13"/>
        </w:rPr>
        <w:t> </w:t>
      </w:r>
      <w:r>
        <w:rPr>
          <w:w w:val="105"/>
          <w:sz w:val="13"/>
        </w:rPr>
        <w:t>and</w:t>
      </w:r>
      <w:r>
        <w:rPr>
          <w:spacing w:val="-9"/>
          <w:w w:val="105"/>
          <w:sz w:val="13"/>
        </w:rPr>
        <w:t> </w:t>
      </w:r>
      <w:r>
        <w:rPr>
          <w:w w:val="105"/>
          <w:sz w:val="13"/>
        </w:rPr>
        <w:t>cash</w:t>
      </w:r>
      <w:r>
        <w:rPr>
          <w:spacing w:val="-10"/>
          <w:w w:val="105"/>
          <w:sz w:val="13"/>
        </w:rPr>
        <w:t> </w:t>
      </w:r>
      <w:r>
        <w:rPr>
          <w:w w:val="105"/>
          <w:sz w:val="13"/>
        </w:rPr>
        <w:t>equivalents</w:t>
      </w:r>
      <w:r>
        <w:rPr>
          <w:spacing w:val="40"/>
          <w:w w:val="105"/>
          <w:sz w:val="13"/>
        </w:rPr>
        <w:t> </w:t>
      </w:r>
      <w:r>
        <w:rPr>
          <w:w w:val="105"/>
          <w:sz w:val="13"/>
        </w:rPr>
        <w:t>Accounts</w:t>
      </w:r>
      <w:r>
        <w:rPr>
          <w:spacing w:val="-4"/>
          <w:w w:val="105"/>
          <w:sz w:val="13"/>
        </w:rPr>
        <w:t> </w:t>
      </w:r>
      <w:r>
        <w:rPr>
          <w:w w:val="105"/>
          <w:sz w:val="13"/>
        </w:rPr>
        <w:t>receivable</w:t>
      </w:r>
    </w:p>
    <w:p>
      <w:pPr>
        <w:spacing w:before="1"/>
        <w:ind w:left="657" w:right="0" w:firstLine="0"/>
        <w:jc w:val="left"/>
        <w:rPr>
          <w:sz w:val="13"/>
        </w:rPr>
      </w:pPr>
      <w:r>
        <w:rPr>
          <w:w w:val="105"/>
          <w:sz w:val="13"/>
        </w:rPr>
        <w:t>Other</w:t>
      </w:r>
      <w:r>
        <w:rPr>
          <w:spacing w:val="-7"/>
          <w:w w:val="105"/>
          <w:sz w:val="13"/>
        </w:rPr>
        <w:t> </w:t>
      </w:r>
      <w:r>
        <w:rPr>
          <w:w w:val="105"/>
          <w:sz w:val="13"/>
        </w:rPr>
        <w:t>financial</w:t>
      </w:r>
      <w:r>
        <w:rPr>
          <w:spacing w:val="-7"/>
          <w:w w:val="105"/>
          <w:sz w:val="13"/>
        </w:rPr>
        <w:t> </w:t>
      </w:r>
      <w:r>
        <w:rPr>
          <w:spacing w:val="-2"/>
          <w:w w:val="105"/>
          <w:sz w:val="13"/>
        </w:rPr>
        <w:t>assets</w:t>
      </w:r>
    </w:p>
    <w:p>
      <w:pPr>
        <w:spacing w:line="240" w:lineRule="auto" w:before="46"/>
        <w:rPr>
          <w:sz w:val="13"/>
        </w:rPr>
      </w:pPr>
    </w:p>
    <w:p>
      <w:pPr>
        <w:spacing w:line="276" w:lineRule="auto" w:before="0"/>
        <w:ind w:left="657" w:right="127" w:firstLine="0"/>
        <w:jc w:val="left"/>
        <w:rPr>
          <w:sz w:val="13"/>
        </w:rPr>
      </w:pPr>
      <w:r>
        <w:rPr>
          <w:b/>
          <w:w w:val="105"/>
          <w:sz w:val="13"/>
        </w:rPr>
        <w:t>Financial</w:t>
      </w:r>
      <w:r>
        <w:rPr>
          <w:b/>
          <w:spacing w:val="-6"/>
          <w:w w:val="105"/>
          <w:sz w:val="13"/>
        </w:rPr>
        <w:t> </w:t>
      </w:r>
      <w:r>
        <w:rPr>
          <w:b/>
          <w:w w:val="105"/>
          <w:sz w:val="13"/>
        </w:rPr>
        <w:t>liabilities</w:t>
      </w:r>
      <w:r>
        <w:rPr>
          <w:b/>
          <w:spacing w:val="40"/>
          <w:w w:val="105"/>
          <w:sz w:val="13"/>
        </w:rPr>
        <w:t> </w:t>
      </w:r>
      <w:r>
        <w:rPr>
          <w:w w:val="105"/>
          <w:sz w:val="13"/>
        </w:rPr>
        <w:t>Trade</w:t>
      </w:r>
      <w:r>
        <w:rPr>
          <w:spacing w:val="-10"/>
          <w:w w:val="105"/>
          <w:sz w:val="13"/>
        </w:rPr>
        <w:t> </w:t>
      </w:r>
      <w:r>
        <w:rPr>
          <w:w w:val="105"/>
          <w:sz w:val="13"/>
        </w:rPr>
        <w:t>and</w:t>
      </w:r>
      <w:r>
        <w:rPr>
          <w:spacing w:val="-9"/>
          <w:w w:val="105"/>
          <w:sz w:val="13"/>
        </w:rPr>
        <w:t> </w:t>
      </w:r>
      <w:r>
        <w:rPr>
          <w:w w:val="105"/>
          <w:sz w:val="13"/>
        </w:rPr>
        <w:t>other</w:t>
      </w:r>
      <w:r>
        <w:rPr>
          <w:spacing w:val="-10"/>
          <w:w w:val="105"/>
          <w:sz w:val="13"/>
        </w:rPr>
        <w:t> </w:t>
      </w:r>
      <w:r>
        <w:rPr>
          <w:w w:val="105"/>
          <w:sz w:val="13"/>
        </w:rPr>
        <w:t>payables</w:t>
      </w:r>
      <w:r>
        <w:rPr>
          <w:spacing w:val="40"/>
          <w:w w:val="105"/>
          <w:sz w:val="13"/>
        </w:rPr>
        <w:t> </w:t>
      </w:r>
      <w:r>
        <w:rPr>
          <w:spacing w:val="-2"/>
          <w:w w:val="105"/>
          <w:sz w:val="13"/>
        </w:rPr>
        <w:t>Borrowings</w:t>
      </w:r>
    </w:p>
    <w:p>
      <w:pPr>
        <w:spacing w:before="3"/>
        <w:ind w:left="657" w:right="0" w:firstLine="0"/>
        <w:jc w:val="left"/>
        <w:rPr>
          <w:sz w:val="13"/>
        </w:rPr>
      </w:pPr>
      <w:r>
        <w:rPr>
          <w:w w:val="105"/>
          <w:sz w:val="13"/>
        </w:rPr>
        <w:t>Other</w:t>
      </w:r>
      <w:r>
        <w:rPr>
          <w:spacing w:val="-7"/>
          <w:w w:val="105"/>
          <w:sz w:val="13"/>
        </w:rPr>
        <w:t> </w:t>
      </w:r>
      <w:r>
        <w:rPr>
          <w:w w:val="105"/>
          <w:sz w:val="13"/>
        </w:rPr>
        <w:t>financial</w:t>
      </w:r>
      <w:r>
        <w:rPr>
          <w:spacing w:val="-7"/>
          <w:w w:val="105"/>
          <w:sz w:val="13"/>
        </w:rPr>
        <w:t> </w:t>
      </w:r>
      <w:r>
        <w:rPr>
          <w:spacing w:val="-2"/>
          <w:w w:val="105"/>
          <w:sz w:val="13"/>
        </w:rPr>
        <w:t>liabilities</w:t>
      </w:r>
    </w:p>
    <w:p>
      <w:pPr>
        <w:spacing w:before="23"/>
        <w:ind w:left="657" w:right="0" w:firstLine="0"/>
        <w:jc w:val="left"/>
        <w:rPr>
          <w:b/>
          <w:sz w:val="13"/>
        </w:rPr>
      </w:pPr>
      <w:r>
        <w:rPr>
          <w:b/>
          <w:w w:val="105"/>
          <w:sz w:val="13"/>
        </w:rPr>
        <w:t>Total</w:t>
      </w:r>
      <w:r>
        <w:rPr>
          <w:b/>
          <w:spacing w:val="-4"/>
          <w:w w:val="105"/>
          <w:sz w:val="13"/>
        </w:rPr>
        <w:t> </w:t>
      </w:r>
      <w:r>
        <w:rPr>
          <w:b/>
          <w:spacing w:val="-2"/>
          <w:w w:val="105"/>
          <w:sz w:val="13"/>
        </w:rPr>
        <w:t>increase/(decrease)</w:t>
      </w:r>
    </w:p>
    <w:p>
      <w:pPr>
        <w:tabs>
          <w:tab w:pos="1849" w:val="left" w:leader="none"/>
          <w:tab w:pos="2818" w:val="left" w:leader="none"/>
          <w:tab w:pos="3790" w:val="left" w:leader="none"/>
          <w:tab w:pos="4739" w:val="left" w:leader="none"/>
        </w:tabs>
        <w:spacing w:before="3"/>
        <w:ind w:left="936" w:right="0" w:firstLine="0"/>
        <w:jc w:val="left"/>
        <w:rPr>
          <w:b/>
          <w:sz w:val="13"/>
        </w:rPr>
      </w:pPr>
      <w:r>
        <w:rPr/>
        <w:br w:type="column"/>
      </w:r>
      <w:r>
        <w:rPr>
          <w:b/>
          <w:spacing w:val="-2"/>
          <w:w w:val="105"/>
          <w:sz w:val="13"/>
        </w:rPr>
        <w:t>$'000</w:t>
      </w:r>
      <w:r>
        <w:rPr>
          <w:b/>
          <w:sz w:val="13"/>
        </w:rPr>
        <w:tab/>
      </w:r>
      <w:r>
        <w:rPr>
          <w:b/>
          <w:spacing w:val="-2"/>
          <w:w w:val="105"/>
          <w:sz w:val="13"/>
        </w:rPr>
        <w:t>$'000</w:t>
      </w:r>
      <w:r>
        <w:rPr>
          <w:b/>
          <w:sz w:val="13"/>
        </w:rPr>
        <w:tab/>
      </w:r>
      <w:r>
        <w:rPr>
          <w:b/>
          <w:spacing w:val="-4"/>
          <w:w w:val="105"/>
          <w:sz w:val="13"/>
        </w:rPr>
        <w:t>$'000</w:t>
      </w:r>
      <w:r>
        <w:rPr>
          <w:b/>
          <w:sz w:val="13"/>
        </w:rPr>
        <w:tab/>
      </w:r>
      <w:r>
        <w:rPr>
          <w:b/>
          <w:spacing w:val="-2"/>
          <w:w w:val="105"/>
          <w:sz w:val="13"/>
        </w:rPr>
        <w:t>$'000</w:t>
      </w:r>
      <w:r>
        <w:rPr>
          <w:b/>
          <w:sz w:val="13"/>
        </w:rPr>
        <w:tab/>
      </w:r>
      <w:r>
        <w:rPr>
          <w:b/>
          <w:spacing w:val="-2"/>
          <w:w w:val="105"/>
          <w:sz w:val="13"/>
        </w:rPr>
        <w:t>$'000</w:t>
      </w:r>
    </w:p>
    <w:tbl>
      <w:tblPr>
        <w:tblW w:w="0" w:type="auto"/>
        <w:jc w:val="left"/>
        <w:tblInd w:w="6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79"/>
        <w:gridCol w:w="1376"/>
        <w:gridCol w:w="565"/>
        <w:gridCol w:w="1355"/>
        <w:gridCol w:w="546"/>
      </w:tblGrid>
      <w:tr>
        <w:trPr>
          <w:trHeight w:val="332" w:hRule="atLeast"/>
        </w:trPr>
        <w:tc>
          <w:tcPr>
            <w:tcW w:w="879" w:type="dxa"/>
            <w:tcBorders>
              <w:top w:val="single" w:sz="6" w:space="0" w:color="000000"/>
            </w:tcBorders>
          </w:tcPr>
          <w:p>
            <w:pPr>
              <w:pStyle w:val="TableParagraph"/>
              <w:spacing w:before="43"/>
              <w:rPr>
                <w:b/>
                <w:sz w:val="13"/>
              </w:rPr>
            </w:pPr>
          </w:p>
          <w:p>
            <w:pPr>
              <w:pStyle w:val="TableParagraph"/>
              <w:spacing w:line="119" w:lineRule="exact" w:before="1"/>
              <w:ind w:right="71"/>
              <w:jc w:val="right"/>
              <w:rPr>
                <w:sz w:val="13"/>
              </w:rPr>
            </w:pPr>
            <w:r>
              <w:rPr>
                <w:spacing w:val="-2"/>
                <w:w w:val="105"/>
                <w:sz w:val="13"/>
              </w:rPr>
              <w:t>85,806</w:t>
            </w:r>
          </w:p>
        </w:tc>
        <w:tc>
          <w:tcPr>
            <w:tcW w:w="1376" w:type="dxa"/>
            <w:tcBorders>
              <w:top w:val="single" w:sz="6" w:space="0" w:color="000000"/>
            </w:tcBorders>
          </w:tcPr>
          <w:p>
            <w:pPr>
              <w:pStyle w:val="TableParagraph"/>
              <w:spacing w:before="57"/>
              <w:rPr>
                <w:b/>
                <w:sz w:val="13"/>
              </w:rPr>
            </w:pPr>
          </w:p>
          <w:p>
            <w:pPr>
              <w:pStyle w:val="TableParagraph"/>
              <w:spacing w:line="106" w:lineRule="exact"/>
              <w:ind w:right="490"/>
              <w:jc w:val="right"/>
              <w:rPr>
                <w:sz w:val="13"/>
              </w:rPr>
            </w:pPr>
            <w:r>
              <w:rPr>
                <w:spacing w:val="-10"/>
                <w:w w:val="105"/>
                <w:sz w:val="13"/>
              </w:rPr>
              <w:t>-</w:t>
            </w:r>
          </w:p>
        </w:tc>
        <w:tc>
          <w:tcPr>
            <w:tcW w:w="565" w:type="dxa"/>
            <w:tcBorders>
              <w:top w:val="single" w:sz="6" w:space="0" w:color="000000"/>
              <w:right w:val="single" w:sz="6" w:space="0" w:color="000000"/>
            </w:tcBorders>
          </w:tcPr>
          <w:p>
            <w:pPr>
              <w:pStyle w:val="TableParagraph"/>
              <w:spacing w:before="57"/>
              <w:rPr>
                <w:b/>
                <w:sz w:val="13"/>
              </w:rPr>
            </w:pPr>
          </w:p>
          <w:p>
            <w:pPr>
              <w:pStyle w:val="TableParagraph"/>
              <w:spacing w:line="106" w:lineRule="exact"/>
              <w:ind w:right="56"/>
              <w:jc w:val="right"/>
              <w:rPr>
                <w:sz w:val="13"/>
              </w:rPr>
            </w:pPr>
            <w:r>
              <w:rPr>
                <w:spacing w:val="-10"/>
                <w:w w:val="105"/>
                <w:sz w:val="13"/>
              </w:rPr>
              <w:t>-</w:t>
            </w:r>
          </w:p>
        </w:tc>
        <w:tc>
          <w:tcPr>
            <w:tcW w:w="1355" w:type="dxa"/>
            <w:tcBorders>
              <w:top w:val="single" w:sz="6" w:space="0" w:color="000000"/>
              <w:left w:val="single" w:sz="6" w:space="0" w:color="000000"/>
            </w:tcBorders>
          </w:tcPr>
          <w:p>
            <w:pPr>
              <w:pStyle w:val="TableParagraph"/>
              <w:spacing w:before="57"/>
              <w:rPr>
                <w:b/>
                <w:sz w:val="13"/>
              </w:rPr>
            </w:pPr>
          </w:p>
          <w:p>
            <w:pPr>
              <w:pStyle w:val="TableParagraph"/>
              <w:spacing w:line="106" w:lineRule="exact"/>
              <w:ind w:right="469"/>
              <w:jc w:val="right"/>
              <w:rPr>
                <w:sz w:val="13"/>
              </w:rPr>
            </w:pPr>
            <w:r>
              <w:rPr>
                <w:spacing w:val="-10"/>
                <w:w w:val="105"/>
                <w:sz w:val="13"/>
              </w:rPr>
              <w:t>-</w:t>
            </w:r>
          </w:p>
        </w:tc>
        <w:tc>
          <w:tcPr>
            <w:tcW w:w="546" w:type="dxa"/>
            <w:tcBorders>
              <w:top w:val="single" w:sz="6" w:space="0" w:color="000000"/>
            </w:tcBorders>
          </w:tcPr>
          <w:p>
            <w:pPr>
              <w:pStyle w:val="TableParagraph"/>
              <w:spacing w:before="57"/>
              <w:rPr>
                <w:b/>
                <w:sz w:val="13"/>
              </w:rPr>
            </w:pPr>
          </w:p>
          <w:p>
            <w:pPr>
              <w:pStyle w:val="TableParagraph"/>
              <w:spacing w:line="106" w:lineRule="exact"/>
              <w:ind w:right="66"/>
              <w:jc w:val="right"/>
              <w:rPr>
                <w:sz w:val="13"/>
              </w:rPr>
            </w:pPr>
            <w:r>
              <w:rPr>
                <w:spacing w:val="-10"/>
                <w:w w:val="105"/>
                <w:sz w:val="13"/>
              </w:rPr>
              <w:t>-</w:t>
            </w:r>
          </w:p>
        </w:tc>
      </w:tr>
      <w:tr>
        <w:trPr>
          <w:trHeight w:val="172" w:hRule="atLeast"/>
        </w:trPr>
        <w:tc>
          <w:tcPr>
            <w:tcW w:w="879" w:type="dxa"/>
          </w:tcPr>
          <w:p>
            <w:pPr>
              <w:pStyle w:val="TableParagraph"/>
              <w:spacing w:line="119" w:lineRule="exact" w:before="33"/>
              <w:ind w:right="71"/>
              <w:jc w:val="right"/>
              <w:rPr>
                <w:sz w:val="13"/>
              </w:rPr>
            </w:pPr>
            <w:r>
              <w:rPr>
                <w:spacing w:val="-2"/>
                <w:w w:val="105"/>
                <w:sz w:val="13"/>
              </w:rPr>
              <w:t>54,079</w:t>
            </w:r>
          </w:p>
        </w:tc>
        <w:tc>
          <w:tcPr>
            <w:tcW w:w="1376" w:type="dxa"/>
          </w:tcPr>
          <w:p>
            <w:pPr>
              <w:pStyle w:val="TableParagraph"/>
              <w:spacing w:line="106" w:lineRule="exact" w:before="47"/>
              <w:ind w:right="490"/>
              <w:jc w:val="right"/>
              <w:rPr>
                <w:sz w:val="13"/>
              </w:rPr>
            </w:pPr>
            <w:r>
              <w:rPr>
                <w:spacing w:val="-10"/>
                <w:w w:val="105"/>
                <w:sz w:val="13"/>
              </w:rPr>
              <w:t>-</w:t>
            </w:r>
          </w:p>
        </w:tc>
        <w:tc>
          <w:tcPr>
            <w:tcW w:w="565" w:type="dxa"/>
            <w:tcBorders>
              <w:right w:val="single" w:sz="6" w:space="0" w:color="000000"/>
            </w:tcBorders>
          </w:tcPr>
          <w:p>
            <w:pPr>
              <w:pStyle w:val="TableParagraph"/>
              <w:spacing w:line="106" w:lineRule="exact" w:before="47"/>
              <w:ind w:right="56"/>
              <w:jc w:val="right"/>
              <w:rPr>
                <w:sz w:val="13"/>
              </w:rPr>
            </w:pPr>
            <w:r>
              <w:rPr>
                <w:spacing w:val="-10"/>
                <w:w w:val="105"/>
                <w:sz w:val="13"/>
              </w:rPr>
              <w:t>-</w:t>
            </w:r>
          </w:p>
        </w:tc>
        <w:tc>
          <w:tcPr>
            <w:tcW w:w="1355" w:type="dxa"/>
            <w:tcBorders>
              <w:left w:val="single" w:sz="6" w:space="0" w:color="000000"/>
            </w:tcBorders>
          </w:tcPr>
          <w:p>
            <w:pPr>
              <w:pStyle w:val="TableParagraph"/>
              <w:spacing w:line="106" w:lineRule="exact" w:before="47"/>
              <w:ind w:right="469"/>
              <w:jc w:val="right"/>
              <w:rPr>
                <w:sz w:val="13"/>
              </w:rPr>
            </w:pPr>
            <w:r>
              <w:rPr>
                <w:spacing w:val="-10"/>
                <w:w w:val="105"/>
                <w:sz w:val="13"/>
              </w:rPr>
              <w:t>-</w:t>
            </w:r>
          </w:p>
        </w:tc>
        <w:tc>
          <w:tcPr>
            <w:tcW w:w="546" w:type="dxa"/>
          </w:tcPr>
          <w:p>
            <w:pPr>
              <w:pStyle w:val="TableParagraph"/>
              <w:spacing w:line="106" w:lineRule="exact" w:before="47"/>
              <w:ind w:right="66"/>
              <w:jc w:val="right"/>
              <w:rPr>
                <w:sz w:val="13"/>
              </w:rPr>
            </w:pPr>
            <w:r>
              <w:rPr>
                <w:spacing w:val="-10"/>
                <w:w w:val="105"/>
                <w:sz w:val="13"/>
              </w:rPr>
              <w:t>-</w:t>
            </w:r>
          </w:p>
        </w:tc>
      </w:tr>
      <w:tr>
        <w:trPr>
          <w:trHeight w:val="345" w:hRule="atLeast"/>
        </w:trPr>
        <w:tc>
          <w:tcPr>
            <w:tcW w:w="879" w:type="dxa"/>
          </w:tcPr>
          <w:p>
            <w:pPr>
              <w:pStyle w:val="TableParagraph"/>
              <w:spacing w:before="33"/>
              <w:ind w:right="71"/>
              <w:jc w:val="right"/>
              <w:rPr>
                <w:sz w:val="13"/>
              </w:rPr>
            </w:pPr>
            <w:r>
              <w:rPr>
                <w:spacing w:val="-2"/>
                <w:w w:val="105"/>
                <w:sz w:val="13"/>
              </w:rPr>
              <w:t>850,044</w:t>
            </w:r>
          </w:p>
        </w:tc>
        <w:tc>
          <w:tcPr>
            <w:tcW w:w="1376" w:type="dxa"/>
          </w:tcPr>
          <w:p>
            <w:pPr>
              <w:pStyle w:val="TableParagraph"/>
              <w:spacing w:before="33"/>
              <w:ind w:right="453"/>
              <w:jc w:val="right"/>
              <w:rPr>
                <w:sz w:val="13"/>
              </w:rPr>
            </w:pPr>
            <w:r>
              <w:rPr>
                <w:spacing w:val="-2"/>
                <w:w w:val="105"/>
                <w:sz w:val="13"/>
              </w:rPr>
              <w:t>(107,641)</w:t>
            </w:r>
          </w:p>
        </w:tc>
        <w:tc>
          <w:tcPr>
            <w:tcW w:w="565" w:type="dxa"/>
            <w:tcBorders>
              <w:right w:val="single" w:sz="6" w:space="0" w:color="000000"/>
            </w:tcBorders>
          </w:tcPr>
          <w:p>
            <w:pPr>
              <w:pStyle w:val="TableParagraph"/>
              <w:spacing w:before="47"/>
              <w:ind w:right="56"/>
              <w:jc w:val="right"/>
              <w:rPr>
                <w:sz w:val="13"/>
              </w:rPr>
            </w:pPr>
            <w:r>
              <w:rPr>
                <w:spacing w:val="-10"/>
                <w:w w:val="105"/>
                <w:sz w:val="13"/>
              </w:rPr>
              <w:t>-</w:t>
            </w:r>
          </w:p>
        </w:tc>
        <w:tc>
          <w:tcPr>
            <w:tcW w:w="1355" w:type="dxa"/>
            <w:tcBorders>
              <w:left w:val="single" w:sz="6" w:space="0" w:color="000000"/>
            </w:tcBorders>
          </w:tcPr>
          <w:p>
            <w:pPr>
              <w:pStyle w:val="TableParagraph"/>
              <w:spacing w:before="33"/>
              <w:ind w:right="477"/>
              <w:jc w:val="right"/>
              <w:rPr>
                <w:sz w:val="13"/>
              </w:rPr>
            </w:pPr>
            <w:r>
              <w:rPr>
                <w:spacing w:val="-2"/>
                <w:w w:val="105"/>
                <w:sz w:val="13"/>
              </w:rPr>
              <w:t>107,641</w:t>
            </w:r>
          </w:p>
        </w:tc>
        <w:tc>
          <w:tcPr>
            <w:tcW w:w="546" w:type="dxa"/>
          </w:tcPr>
          <w:p>
            <w:pPr>
              <w:pStyle w:val="TableParagraph"/>
              <w:spacing w:before="47"/>
              <w:ind w:right="66"/>
              <w:jc w:val="right"/>
              <w:rPr>
                <w:sz w:val="13"/>
              </w:rPr>
            </w:pPr>
            <w:r>
              <w:rPr>
                <w:spacing w:val="-10"/>
                <w:w w:val="105"/>
                <w:sz w:val="13"/>
              </w:rPr>
              <w:t>-</w:t>
            </w:r>
          </w:p>
        </w:tc>
      </w:tr>
      <w:tr>
        <w:trPr>
          <w:trHeight w:val="345" w:hRule="atLeast"/>
        </w:trPr>
        <w:tc>
          <w:tcPr>
            <w:tcW w:w="879" w:type="dxa"/>
          </w:tcPr>
          <w:p>
            <w:pPr>
              <w:pStyle w:val="TableParagraph"/>
              <w:spacing w:before="56"/>
              <w:rPr>
                <w:b/>
                <w:sz w:val="13"/>
              </w:rPr>
            </w:pPr>
          </w:p>
          <w:p>
            <w:pPr>
              <w:pStyle w:val="TableParagraph"/>
              <w:spacing w:line="119" w:lineRule="exact" w:before="1"/>
              <w:ind w:right="27"/>
              <w:jc w:val="right"/>
              <w:rPr>
                <w:sz w:val="13"/>
              </w:rPr>
            </w:pPr>
            <w:r>
              <w:rPr>
                <w:spacing w:val="-2"/>
                <w:w w:val="105"/>
                <w:sz w:val="13"/>
              </w:rPr>
              <w:t>(68,865)</w:t>
            </w:r>
          </w:p>
        </w:tc>
        <w:tc>
          <w:tcPr>
            <w:tcW w:w="1376" w:type="dxa"/>
          </w:tcPr>
          <w:p>
            <w:pPr>
              <w:pStyle w:val="TableParagraph"/>
              <w:spacing w:before="70"/>
              <w:rPr>
                <w:b/>
                <w:sz w:val="13"/>
              </w:rPr>
            </w:pPr>
          </w:p>
          <w:p>
            <w:pPr>
              <w:pStyle w:val="TableParagraph"/>
              <w:spacing w:line="106" w:lineRule="exact"/>
              <w:ind w:right="490"/>
              <w:jc w:val="right"/>
              <w:rPr>
                <w:sz w:val="13"/>
              </w:rPr>
            </w:pPr>
            <w:r>
              <w:rPr>
                <w:spacing w:val="-10"/>
                <w:w w:val="105"/>
                <w:sz w:val="13"/>
              </w:rPr>
              <w:t>-</w:t>
            </w:r>
          </w:p>
        </w:tc>
        <w:tc>
          <w:tcPr>
            <w:tcW w:w="565" w:type="dxa"/>
            <w:tcBorders>
              <w:right w:val="single" w:sz="6" w:space="0" w:color="000000"/>
            </w:tcBorders>
          </w:tcPr>
          <w:p>
            <w:pPr>
              <w:pStyle w:val="TableParagraph"/>
              <w:spacing w:before="70"/>
              <w:rPr>
                <w:b/>
                <w:sz w:val="13"/>
              </w:rPr>
            </w:pPr>
          </w:p>
          <w:p>
            <w:pPr>
              <w:pStyle w:val="TableParagraph"/>
              <w:spacing w:line="106" w:lineRule="exact"/>
              <w:ind w:right="56"/>
              <w:jc w:val="right"/>
              <w:rPr>
                <w:sz w:val="13"/>
              </w:rPr>
            </w:pPr>
            <w:r>
              <w:rPr>
                <w:spacing w:val="-10"/>
                <w:w w:val="105"/>
                <w:sz w:val="13"/>
              </w:rPr>
              <w:t>-</w:t>
            </w:r>
          </w:p>
        </w:tc>
        <w:tc>
          <w:tcPr>
            <w:tcW w:w="1355" w:type="dxa"/>
            <w:tcBorders>
              <w:left w:val="single" w:sz="6" w:space="0" w:color="000000"/>
            </w:tcBorders>
          </w:tcPr>
          <w:p>
            <w:pPr>
              <w:pStyle w:val="TableParagraph"/>
              <w:spacing w:before="70"/>
              <w:rPr>
                <w:b/>
                <w:sz w:val="13"/>
              </w:rPr>
            </w:pPr>
          </w:p>
          <w:p>
            <w:pPr>
              <w:pStyle w:val="TableParagraph"/>
              <w:spacing w:line="106" w:lineRule="exact"/>
              <w:ind w:right="469"/>
              <w:jc w:val="right"/>
              <w:rPr>
                <w:sz w:val="13"/>
              </w:rPr>
            </w:pPr>
            <w:r>
              <w:rPr>
                <w:spacing w:val="-10"/>
                <w:w w:val="105"/>
                <w:sz w:val="13"/>
              </w:rPr>
              <w:t>-</w:t>
            </w:r>
          </w:p>
        </w:tc>
        <w:tc>
          <w:tcPr>
            <w:tcW w:w="546" w:type="dxa"/>
          </w:tcPr>
          <w:p>
            <w:pPr>
              <w:pStyle w:val="TableParagraph"/>
              <w:spacing w:before="70"/>
              <w:rPr>
                <w:b/>
                <w:sz w:val="13"/>
              </w:rPr>
            </w:pPr>
          </w:p>
          <w:p>
            <w:pPr>
              <w:pStyle w:val="TableParagraph"/>
              <w:spacing w:line="106" w:lineRule="exact"/>
              <w:ind w:right="66"/>
              <w:jc w:val="right"/>
              <w:rPr>
                <w:sz w:val="13"/>
              </w:rPr>
            </w:pPr>
            <w:r>
              <w:rPr>
                <w:spacing w:val="-10"/>
                <w:w w:val="105"/>
                <w:sz w:val="13"/>
              </w:rPr>
              <w:t>-</w:t>
            </w:r>
          </w:p>
        </w:tc>
      </w:tr>
      <w:tr>
        <w:trPr>
          <w:trHeight w:val="172" w:hRule="atLeast"/>
        </w:trPr>
        <w:tc>
          <w:tcPr>
            <w:tcW w:w="879" w:type="dxa"/>
          </w:tcPr>
          <w:p>
            <w:pPr>
              <w:pStyle w:val="TableParagraph"/>
              <w:spacing w:line="119" w:lineRule="exact" w:before="33"/>
              <w:ind w:right="27"/>
              <w:jc w:val="right"/>
              <w:rPr>
                <w:sz w:val="13"/>
              </w:rPr>
            </w:pPr>
            <w:r>
              <w:rPr>
                <w:spacing w:val="-2"/>
                <w:w w:val="105"/>
                <w:sz w:val="13"/>
              </w:rPr>
              <w:t>(134,796)</w:t>
            </w:r>
          </w:p>
        </w:tc>
        <w:tc>
          <w:tcPr>
            <w:tcW w:w="1376" w:type="dxa"/>
          </w:tcPr>
          <w:p>
            <w:pPr>
              <w:pStyle w:val="TableParagraph"/>
              <w:spacing w:line="106" w:lineRule="exact" w:before="47"/>
              <w:ind w:right="490"/>
              <w:jc w:val="right"/>
              <w:rPr>
                <w:sz w:val="13"/>
              </w:rPr>
            </w:pPr>
            <w:r>
              <w:rPr>
                <w:spacing w:val="-10"/>
                <w:w w:val="105"/>
                <w:sz w:val="13"/>
              </w:rPr>
              <w:t>-</w:t>
            </w:r>
          </w:p>
        </w:tc>
        <w:tc>
          <w:tcPr>
            <w:tcW w:w="565" w:type="dxa"/>
            <w:tcBorders>
              <w:right w:val="single" w:sz="6" w:space="0" w:color="000000"/>
            </w:tcBorders>
          </w:tcPr>
          <w:p>
            <w:pPr>
              <w:pStyle w:val="TableParagraph"/>
              <w:spacing w:line="106" w:lineRule="exact" w:before="47"/>
              <w:ind w:right="56"/>
              <w:jc w:val="right"/>
              <w:rPr>
                <w:sz w:val="13"/>
              </w:rPr>
            </w:pPr>
            <w:r>
              <w:rPr>
                <w:spacing w:val="-10"/>
                <w:w w:val="105"/>
                <w:sz w:val="13"/>
              </w:rPr>
              <w:t>-</w:t>
            </w:r>
          </w:p>
        </w:tc>
        <w:tc>
          <w:tcPr>
            <w:tcW w:w="1355" w:type="dxa"/>
            <w:tcBorders>
              <w:left w:val="single" w:sz="6" w:space="0" w:color="000000"/>
            </w:tcBorders>
          </w:tcPr>
          <w:p>
            <w:pPr>
              <w:pStyle w:val="TableParagraph"/>
              <w:spacing w:line="106" w:lineRule="exact" w:before="47"/>
              <w:ind w:right="469"/>
              <w:jc w:val="right"/>
              <w:rPr>
                <w:sz w:val="13"/>
              </w:rPr>
            </w:pPr>
            <w:r>
              <w:rPr>
                <w:spacing w:val="-10"/>
                <w:w w:val="105"/>
                <w:sz w:val="13"/>
              </w:rPr>
              <w:t>-</w:t>
            </w:r>
          </w:p>
        </w:tc>
        <w:tc>
          <w:tcPr>
            <w:tcW w:w="546" w:type="dxa"/>
          </w:tcPr>
          <w:p>
            <w:pPr>
              <w:pStyle w:val="TableParagraph"/>
              <w:spacing w:line="106" w:lineRule="exact" w:before="47"/>
              <w:ind w:right="66"/>
              <w:jc w:val="right"/>
              <w:rPr>
                <w:sz w:val="13"/>
              </w:rPr>
            </w:pPr>
            <w:r>
              <w:rPr>
                <w:spacing w:val="-10"/>
                <w:w w:val="105"/>
                <w:sz w:val="13"/>
              </w:rPr>
              <w:t>-</w:t>
            </w:r>
          </w:p>
        </w:tc>
      </w:tr>
      <w:tr>
        <w:trPr>
          <w:trHeight w:val="170" w:hRule="atLeast"/>
        </w:trPr>
        <w:tc>
          <w:tcPr>
            <w:tcW w:w="879" w:type="dxa"/>
          </w:tcPr>
          <w:p>
            <w:pPr>
              <w:pStyle w:val="TableParagraph"/>
              <w:spacing w:line="117" w:lineRule="exact" w:before="33"/>
              <w:ind w:right="27"/>
              <w:jc w:val="right"/>
              <w:rPr>
                <w:sz w:val="13"/>
              </w:rPr>
            </w:pPr>
            <w:r>
              <w:rPr>
                <w:spacing w:val="-2"/>
                <w:w w:val="105"/>
                <w:sz w:val="13"/>
              </w:rPr>
              <w:t>(4,801)</w:t>
            </w:r>
          </w:p>
        </w:tc>
        <w:tc>
          <w:tcPr>
            <w:tcW w:w="1376" w:type="dxa"/>
            <w:tcBorders>
              <w:bottom w:val="single" w:sz="6" w:space="0" w:color="000000"/>
            </w:tcBorders>
          </w:tcPr>
          <w:p>
            <w:pPr>
              <w:pStyle w:val="TableParagraph"/>
              <w:spacing w:line="117" w:lineRule="exact" w:before="33"/>
              <w:ind w:right="498"/>
              <w:jc w:val="right"/>
              <w:rPr>
                <w:sz w:val="13"/>
              </w:rPr>
            </w:pPr>
            <w:r>
              <w:rPr>
                <w:spacing w:val="-5"/>
                <w:w w:val="105"/>
                <w:sz w:val="13"/>
              </w:rPr>
              <w:t>960</w:t>
            </w:r>
          </w:p>
        </w:tc>
        <w:tc>
          <w:tcPr>
            <w:tcW w:w="565" w:type="dxa"/>
            <w:tcBorders>
              <w:bottom w:val="single" w:sz="6" w:space="0" w:color="000000"/>
              <w:right w:val="single" w:sz="6" w:space="0" w:color="000000"/>
            </w:tcBorders>
          </w:tcPr>
          <w:p>
            <w:pPr>
              <w:pStyle w:val="TableParagraph"/>
              <w:spacing w:line="104" w:lineRule="exact" w:before="47"/>
              <w:ind w:right="56"/>
              <w:jc w:val="right"/>
              <w:rPr>
                <w:sz w:val="13"/>
              </w:rPr>
            </w:pPr>
            <w:r>
              <w:rPr>
                <w:spacing w:val="-10"/>
                <w:w w:val="105"/>
                <w:sz w:val="13"/>
              </w:rPr>
              <w:t>-</w:t>
            </w:r>
          </w:p>
        </w:tc>
        <w:tc>
          <w:tcPr>
            <w:tcW w:w="1355" w:type="dxa"/>
            <w:tcBorders>
              <w:left w:val="single" w:sz="6" w:space="0" w:color="000000"/>
              <w:bottom w:val="single" w:sz="6" w:space="0" w:color="000000"/>
            </w:tcBorders>
          </w:tcPr>
          <w:p>
            <w:pPr>
              <w:pStyle w:val="TableParagraph"/>
              <w:spacing w:line="117" w:lineRule="exact" w:before="33"/>
              <w:ind w:right="432"/>
              <w:jc w:val="right"/>
              <w:rPr>
                <w:sz w:val="13"/>
              </w:rPr>
            </w:pPr>
            <w:r>
              <w:rPr>
                <w:spacing w:val="-2"/>
                <w:w w:val="105"/>
                <w:sz w:val="13"/>
              </w:rPr>
              <w:t>(960)</w:t>
            </w:r>
          </w:p>
        </w:tc>
        <w:tc>
          <w:tcPr>
            <w:tcW w:w="546" w:type="dxa"/>
            <w:tcBorders>
              <w:bottom w:val="single" w:sz="6" w:space="0" w:color="000000"/>
            </w:tcBorders>
          </w:tcPr>
          <w:p>
            <w:pPr>
              <w:pStyle w:val="TableParagraph"/>
              <w:spacing w:line="104" w:lineRule="exact" w:before="47"/>
              <w:ind w:right="66"/>
              <w:jc w:val="right"/>
              <w:rPr>
                <w:sz w:val="13"/>
              </w:rPr>
            </w:pPr>
            <w:r>
              <w:rPr>
                <w:spacing w:val="-10"/>
                <w:w w:val="105"/>
                <w:sz w:val="13"/>
              </w:rPr>
              <w:t>-</w:t>
            </w:r>
          </w:p>
        </w:tc>
      </w:tr>
      <w:tr>
        <w:trPr>
          <w:trHeight w:val="157" w:hRule="atLeast"/>
        </w:trPr>
        <w:tc>
          <w:tcPr>
            <w:tcW w:w="879" w:type="dxa"/>
          </w:tcPr>
          <w:p>
            <w:pPr>
              <w:pStyle w:val="TableParagraph"/>
              <w:rPr>
                <w:rFonts w:ascii="Times New Roman"/>
                <w:sz w:val="10"/>
              </w:rPr>
            </w:pPr>
          </w:p>
        </w:tc>
        <w:tc>
          <w:tcPr>
            <w:tcW w:w="1376" w:type="dxa"/>
            <w:tcBorders>
              <w:top w:val="single" w:sz="6" w:space="0" w:color="000000"/>
              <w:bottom w:val="single" w:sz="6" w:space="0" w:color="000000"/>
            </w:tcBorders>
          </w:tcPr>
          <w:p>
            <w:pPr>
              <w:pStyle w:val="TableParagraph"/>
              <w:spacing w:line="117" w:lineRule="exact" w:before="20"/>
              <w:ind w:right="453"/>
              <w:jc w:val="right"/>
              <w:rPr>
                <w:b/>
                <w:sz w:val="13"/>
              </w:rPr>
            </w:pPr>
            <w:r>
              <w:rPr>
                <w:b/>
                <w:spacing w:val="-2"/>
                <w:w w:val="105"/>
                <w:sz w:val="13"/>
              </w:rPr>
              <w:t>(106,681)</w:t>
            </w:r>
          </w:p>
        </w:tc>
        <w:tc>
          <w:tcPr>
            <w:tcW w:w="565" w:type="dxa"/>
            <w:tcBorders>
              <w:top w:val="single" w:sz="6" w:space="0" w:color="000000"/>
              <w:bottom w:val="single" w:sz="6" w:space="0" w:color="000000"/>
              <w:right w:val="single" w:sz="6" w:space="0" w:color="000000"/>
            </w:tcBorders>
          </w:tcPr>
          <w:p>
            <w:pPr>
              <w:pStyle w:val="TableParagraph"/>
              <w:spacing w:line="104" w:lineRule="exact" w:before="34"/>
              <w:ind w:right="56"/>
              <w:jc w:val="right"/>
              <w:rPr>
                <w:sz w:val="13"/>
              </w:rPr>
            </w:pPr>
            <w:r>
              <w:rPr>
                <w:spacing w:val="-10"/>
                <w:w w:val="105"/>
                <w:sz w:val="13"/>
              </w:rPr>
              <w:t>-</w:t>
            </w:r>
          </w:p>
        </w:tc>
        <w:tc>
          <w:tcPr>
            <w:tcW w:w="1355" w:type="dxa"/>
            <w:tcBorders>
              <w:top w:val="single" w:sz="6" w:space="0" w:color="000000"/>
              <w:left w:val="single" w:sz="6" w:space="0" w:color="000000"/>
              <w:bottom w:val="single" w:sz="6" w:space="0" w:color="000000"/>
            </w:tcBorders>
          </w:tcPr>
          <w:p>
            <w:pPr>
              <w:pStyle w:val="TableParagraph"/>
              <w:spacing w:line="117" w:lineRule="exact" w:before="20"/>
              <w:ind w:right="477"/>
              <w:jc w:val="right"/>
              <w:rPr>
                <w:b/>
                <w:sz w:val="13"/>
              </w:rPr>
            </w:pPr>
            <w:r>
              <w:rPr>
                <w:b/>
                <w:spacing w:val="-2"/>
                <w:w w:val="105"/>
                <w:sz w:val="13"/>
              </w:rPr>
              <w:t>106,681</w:t>
            </w:r>
          </w:p>
        </w:tc>
        <w:tc>
          <w:tcPr>
            <w:tcW w:w="546" w:type="dxa"/>
            <w:tcBorders>
              <w:top w:val="single" w:sz="6" w:space="0" w:color="000000"/>
              <w:bottom w:val="single" w:sz="6" w:space="0" w:color="000000"/>
            </w:tcBorders>
          </w:tcPr>
          <w:p>
            <w:pPr>
              <w:pStyle w:val="TableParagraph"/>
              <w:spacing w:line="104" w:lineRule="exact" w:before="34"/>
              <w:ind w:right="66"/>
              <w:jc w:val="right"/>
              <w:rPr>
                <w:sz w:val="13"/>
              </w:rPr>
            </w:pPr>
            <w:r>
              <w:rPr>
                <w:spacing w:val="-10"/>
                <w:w w:val="105"/>
                <w:sz w:val="13"/>
              </w:rPr>
              <w:t>-</w:t>
            </w:r>
          </w:p>
        </w:tc>
      </w:tr>
    </w:tbl>
    <w:p>
      <w:pPr>
        <w:spacing w:after="0" w:line="104" w:lineRule="exact"/>
        <w:jc w:val="right"/>
        <w:rPr>
          <w:sz w:val="13"/>
        </w:rPr>
        <w:sectPr>
          <w:type w:val="continuous"/>
          <w:pgSz w:w="11910" w:h="16840"/>
          <w:pgMar w:header="468" w:footer="0" w:top="980" w:bottom="280" w:left="1020" w:right="1540"/>
          <w:cols w:num="2" w:equalWidth="0">
            <w:col w:w="2331" w:space="1371"/>
            <w:col w:w="5648"/>
          </w:cols>
        </w:sectPr>
      </w:pPr>
    </w:p>
    <w:p>
      <w:pPr>
        <w:spacing w:line="240" w:lineRule="auto" w:before="49"/>
        <w:rPr>
          <w:b/>
          <w:sz w:val="13"/>
        </w:rPr>
      </w:pPr>
      <w:r>
        <w:rPr/>
        <mc:AlternateContent>
          <mc:Choice Requires="wps">
            <w:drawing>
              <wp:anchor distT="0" distB="0" distL="0" distR="0" allowOverlap="1" layoutInCell="1" locked="0" behindDoc="0" simplePos="0" relativeHeight="15902208">
                <wp:simplePos x="0" y="0"/>
                <wp:positionH relativeFrom="page">
                  <wp:posOffset>7111289</wp:posOffset>
                </wp:positionH>
                <wp:positionV relativeFrom="page">
                  <wp:posOffset>8040241</wp:posOffset>
                </wp:positionV>
                <wp:extent cx="177800" cy="1945005"/>
                <wp:effectExtent l="0" t="0" r="0" b="0"/>
                <wp:wrapNone/>
                <wp:docPr id="962" name="Textbox 962"/>
                <wp:cNvGraphicFramePr>
                  <a:graphicFrameLocks/>
                </wp:cNvGraphicFramePr>
                <a:graphic>
                  <a:graphicData uri="http://schemas.microsoft.com/office/word/2010/wordprocessingShape">
                    <wps:wsp>
                      <wps:cNvPr id="962" name="Textbox 962"/>
                      <wps:cNvSpPr txBox="1"/>
                      <wps:spPr>
                        <a:xfrm>
                          <a:off x="0" y="0"/>
                          <a:ext cx="177800" cy="194500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633.089905pt;width:14pt;height:153.15pt;mso-position-horizontal-relative:page;mso-position-vertical-relative:page;z-index:15902208" type="#_x0000_t202" id="docshape654"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v:textbox>
                <w10:wrap type="none"/>
              </v:shape>
            </w:pict>
          </mc:Fallback>
        </mc:AlternateContent>
      </w:r>
    </w:p>
    <w:p>
      <w:pPr>
        <w:pStyle w:val="ListParagraph"/>
        <w:numPr>
          <w:ilvl w:val="0"/>
          <w:numId w:val="35"/>
        </w:numPr>
        <w:tabs>
          <w:tab w:pos="654" w:val="left" w:leader="none"/>
        </w:tabs>
        <w:spacing w:line="240" w:lineRule="auto" w:before="0" w:after="0"/>
        <w:ind w:left="654" w:right="0" w:hanging="504"/>
        <w:jc w:val="both"/>
        <w:rPr>
          <w:b/>
          <w:sz w:val="13"/>
        </w:rPr>
      </w:pPr>
      <w:r>
        <w:rPr>
          <w:b/>
          <w:w w:val="105"/>
          <w:sz w:val="13"/>
        </w:rPr>
        <w:t>Capital</w:t>
      </w:r>
      <w:r>
        <w:rPr>
          <w:b/>
          <w:spacing w:val="-7"/>
          <w:w w:val="105"/>
          <w:sz w:val="13"/>
        </w:rPr>
        <w:t> </w:t>
      </w:r>
      <w:r>
        <w:rPr>
          <w:b/>
          <w:spacing w:val="-2"/>
          <w:w w:val="105"/>
          <w:sz w:val="13"/>
        </w:rPr>
        <w:t>management</w:t>
      </w:r>
    </w:p>
    <w:p>
      <w:pPr>
        <w:spacing w:line="273" w:lineRule="auto" w:before="21"/>
        <w:ind w:left="657" w:right="290" w:firstLine="0"/>
        <w:jc w:val="both"/>
        <w:rPr>
          <w:sz w:val="13"/>
        </w:rPr>
      </w:pPr>
      <w:r>
        <w:rPr>
          <w:w w:val="105"/>
          <w:sz w:val="13"/>
        </w:rPr>
        <w:t>The</w:t>
      </w:r>
      <w:r>
        <w:rPr>
          <w:w w:val="105"/>
          <w:sz w:val="13"/>
        </w:rPr>
        <w:t> Group</w:t>
      </w:r>
      <w:r>
        <w:rPr>
          <w:w w:val="105"/>
          <w:sz w:val="13"/>
        </w:rPr>
        <w:t> is</w:t>
      </w:r>
      <w:r>
        <w:rPr>
          <w:w w:val="105"/>
          <w:sz w:val="13"/>
        </w:rPr>
        <w:t> funded</w:t>
      </w:r>
      <w:r>
        <w:rPr>
          <w:w w:val="105"/>
          <w:sz w:val="13"/>
        </w:rPr>
        <w:t> principally</w:t>
      </w:r>
      <w:r>
        <w:rPr>
          <w:w w:val="105"/>
          <w:sz w:val="13"/>
        </w:rPr>
        <w:t> by</w:t>
      </w:r>
      <w:r>
        <w:rPr>
          <w:w w:val="105"/>
          <w:sz w:val="13"/>
        </w:rPr>
        <w:t> equity</w:t>
      </w:r>
      <w:r>
        <w:rPr>
          <w:w w:val="105"/>
          <w:sz w:val="13"/>
        </w:rPr>
        <w:t> capital</w:t>
      </w:r>
      <w:r>
        <w:rPr>
          <w:w w:val="105"/>
          <w:sz w:val="13"/>
        </w:rPr>
        <w:t> which</w:t>
      </w:r>
      <w:r>
        <w:rPr>
          <w:w w:val="105"/>
          <w:sz w:val="13"/>
        </w:rPr>
        <w:t> is</w:t>
      </w:r>
      <w:r>
        <w:rPr>
          <w:w w:val="105"/>
          <w:sz w:val="13"/>
        </w:rPr>
        <w:t> comprised</w:t>
      </w:r>
      <w:r>
        <w:rPr>
          <w:w w:val="105"/>
          <w:sz w:val="13"/>
        </w:rPr>
        <w:t> of</w:t>
      </w:r>
      <w:r>
        <w:rPr>
          <w:w w:val="105"/>
          <w:sz w:val="13"/>
        </w:rPr>
        <w:t> retained</w:t>
      </w:r>
      <w:r>
        <w:rPr>
          <w:w w:val="105"/>
          <w:sz w:val="13"/>
        </w:rPr>
        <w:t> earnings.</w:t>
      </w:r>
      <w:r>
        <w:rPr>
          <w:spacing w:val="40"/>
          <w:w w:val="105"/>
          <w:sz w:val="13"/>
        </w:rPr>
        <w:t> </w:t>
      </w:r>
      <w:r>
        <w:rPr>
          <w:w w:val="105"/>
          <w:sz w:val="13"/>
        </w:rPr>
        <w:t>The</w:t>
      </w:r>
      <w:r>
        <w:rPr>
          <w:w w:val="105"/>
          <w:sz w:val="13"/>
        </w:rPr>
        <w:t> Group</w:t>
      </w:r>
      <w:r>
        <w:rPr>
          <w:w w:val="105"/>
          <w:sz w:val="13"/>
        </w:rPr>
        <w:t> also</w:t>
      </w:r>
      <w:r>
        <w:rPr>
          <w:w w:val="105"/>
          <w:sz w:val="13"/>
        </w:rPr>
        <w:t> employs</w:t>
      </w:r>
      <w:r>
        <w:rPr>
          <w:w w:val="105"/>
          <w:sz w:val="13"/>
        </w:rPr>
        <w:t> debt</w:t>
      </w:r>
      <w:r>
        <w:rPr>
          <w:w w:val="105"/>
          <w:sz w:val="13"/>
        </w:rPr>
        <w:t> funding</w:t>
      </w:r>
      <w:r>
        <w:rPr>
          <w:w w:val="105"/>
          <w:sz w:val="13"/>
        </w:rPr>
        <w:t> to</w:t>
      </w:r>
      <w:r>
        <w:rPr>
          <w:spacing w:val="40"/>
          <w:w w:val="105"/>
          <w:sz w:val="13"/>
        </w:rPr>
        <w:t> </w:t>
      </w:r>
      <w:r>
        <w:rPr>
          <w:w w:val="105"/>
          <w:sz w:val="13"/>
        </w:rPr>
        <w:t>specifically</w:t>
      </w:r>
      <w:r>
        <w:rPr>
          <w:spacing w:val="-1"/>
          <w:w w:val="105"/>
          <w:sz w:val="13"/>
        </w:rPr>
        <w:t> </w:t>
      </w:r>
      <w:r>
        <w:rPr>
          <w:w w:val="105"/>
          <w:sz w:val="13"/>
        </w:rPr>
        <w:t>support the Group's capital program as outlined in note 6.3.</w:t>
      </w:r>
      <w:r>
        <w:rPr>
          <w:spacing w:val="40"/>
          <w:w w:val="105"/>
          <w:sz w:val="13"/>
        </w:rPr>
        <w:t> </w:t>
      </w:r>
      <w:r>
        <w:rPr>
          <w:w w:val="105"/>
          <w:sz w:val="13"/>
        </w:rPr>
        <w:t>Senate’s policy</w:t>
      </w:r>
      <w:r>
        <w:rPr>
          <w:spacing w:val="-1"/>
          <w:w w:val="105"/>
          <w:sz w:val="13"/>
        </w:rPr>
        <w:t> </w:t>
      </w:r>
      <w:r>
        <w:rPr>
          <w:w w:val="105"/>
          <w:sz w:val="13"/>
        </w:rPr>
        <w:t>is to maintain a strong capital base to ensure that</w:t>
      </w:r>
      <w:r>
        <w:rPr>
          <w:spacing w:val="40"/>
          <w:w w:val="105"/>
          <w:sz w:val="13"/>
        </w:rPr>
        <w:t> </w:t>
      </w:r>
      <w:r>
        <w:rPr>
          <w:w w:val="105"/>
          <w:sz w:val="13"/>
        </w:rPr>
        <w:t>the Group is able to continue to provide the services to the community</w:t>
      </w:r>
      <w:r>
        <w:rPr>
          <w:spacing w:val="-2"/>
          <w:w w:val="105"/>
          <w:sz w:val="13"/>
        </w:rPr>
        <w:t> </w:t>
      </w:r>
      <w:r>
        <w:rPr>
          <w:w w:val="105"/>
          <w:sz w:val="13"/>
        </w:rPr>
        <w:t>for which it was originally</w:t>
      </w:r>
      <w:r>
        <w:rPr>
          <w:spacing w:val="-2"/>
          <w:w w:val="105"/>
          <w:sz w:val="13"/>
        </w:rPr>
        <w:t> </w:t>
      </w:r>
      <w:r>
        <w:rPr>
          <w:w w:val="105"/>
          <w:sz w:val="13"/>
        </w:rPr>
        <w:t>established.</w:t>
      </w:r>
    </w:p>
    <w:p>
      <w:pPr>
        <w:spacing w:line="240" w:lineRule="auto" w:before="21"/>
        <w:rPr>
          <w:sz w:val="13"/>
        </w:rPr>
      </w:pPr>
    </w:p>
    <w:p>
      <w:pPr>
        <w:spacing w:line="273" w:lineRule="auto" w:before="0"/>
        <w:ind w:left="657" w:right="289" w:hanging="1"/>
        <w:jc w:val="both"/>
        <w:rPr>
          <w:sz w:val="13"/>
        </w:rPr>
      </w:pPr>
      <w:r>
        <w:rPr>
          <w:w w:val="105"/>
          <w:sz w:val="13"/>
        </w:rPr>
        <w:t>The Group is not subject to externally imposed capital requirements, but does have responsibilities in relation to maintaining the level of</w:t>
      </w:r>
      <w:r>
        <w:rPr>
          <w:spacing w:val="40"/>
          <w:w w:val="105"/>
          <w:sz w:val="13"/>
        </w:rPr>
        <w:t> </w:t>
      </w:r>
      <w:r>
        <w:rPr>
          <w:w w:val="105"/>
          <w:sz w:val="13"/>
        </w:rPr>
        <w:t>restricted funds derived from funds that have been endowed upon the Group referred to in Note 1.4 - Unrestricted and restricted assets.</w:t>
      </w:r>
      <w:r>
        <w:rPr>
          <w:spacing w:val="40"/>
          <w:w w:val="105"/>
          <w:sz w:val="13"/>
        </w:rPr>
        <w:t> </w:t>
      </w:r>
      <w:r>
        <w:rPr>
          <w:w w:val="105"/>
          <w:sz w:val="13"/>
        </w:rPr>
        <w:t>The Group continuously</w:t>
      </w:r>
      <w:r>
        <w:rPr>
          <w:spacing w:val="-3"/>
          <w:w w:val="105"/>
          <w:sz w:val="13"/>
        </w:rPr>
        <w:t> </w:t>
      </w:r>
      <w:r>
        <w:rPr>
          <w:w w:val="105"/>
          <w:sz w:val="13"/>
        </w:rPr>
        <w:t>monitors its profitability</w:t>
      </w:r>
      <w:r>
        <w:rPr>
          <w:spacing w:val="-3"/>
          <w:w w:val="105"/>
          <w:sz w:val="13"/>
        </w:rPr>
        <w:t> </w:t>
      </w:r>
      <w:r>
        <w:rPr>
          <w:w w:val="105"/>
          <w:sz w:val="13"/>
        </w:rPr>
        <w:t>and level of restricted and unrestricted funds, within its risk management framework.</w:t>
      </w:r>
    </w:p>
    <w:p>
      <w:pPr>
        <w:spacing w:line="240" w:lineRule="auto" w:before="220"/>
        <w:rPr>
          <w:sz w:val="20"/>
        </w:rPr>
      </w:pPr>
      <w:r>
        <w:rPr/>
        <mc:AlternateContent>
          <mc:Choice Requires="wps">
            <w:drawing>
              <wp:anchor distT="0" distB="0" distL="0" distR="0" allowOverlap="1" layoutInCell="1" locked="0" behindDoc="1" simplePos="0" relativeHeight="487760896">
                <wp:simplePos x="0" y="0"/>
                <wp:positionH relativeFrom="page">
                  <wp:posOffset>726376</wp:posOffset>
                </wp:positionH>
                <wp:positionV relativeFrom="paragraph">
                  <wp:posOffset>301004</wp:posOffset>
                </wp:positionV>
                <wp:extent cx="5687060" cy="17145"/>
                <wp:effectExtent l="0" t="0" r="0" b="0"/>
                <wp:wrapTopAndBottom/>
                <wp:docPr id="963" name="Graphic 963"/>
                <wp:cNvGraphicFramePr>
                  <a:graphicFrameLocks/>
                </wp:cNvGraphicFramePr>
                <a:graphic>
                  <a:graphicData uri="http://schemas.microsoft.com/office/word/2010/wordprocessingShape">
                    <wps:wsp>
                      <wps:cNvPr id="963" name="Graphic 963"/>
                      <wps:cNvSpPr/>
                      <wps:spPr>
                        <a:xfrm>
                          <a:off x="0" y="0"/>
                          <a:ext cx="5687060" cy="17145"/>
                        </a:xfrm>
                        <a:custGeom>
                          <a:avLst/>
                          <a:gdLst/>
                          <a:ahLst/>
                          <a:cxnLst/>
                          <a:rect l="l" t="t" r="r" b="b"/>
                          <a:pathLst>
                            <a:path w="5687060" h="17145">
                              <a:moveTo>
                                <a:pt x="5686590" y="0"/>
                              </a:moveTo>
                              <a:lnTo>
                                <a:pt x="0" y="0"/>
                              </a:lnTo>
                              <a:lnTo>
                                <a:pt x="0" y="16865"/>
                              </a:lnTo>
                              <a:lnTo>
                                <a:pt x="5686590" y="16865"/>
                              </a:lnTo>
                              <a:lnTo>
                                <a:pt x="5686590"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7.195pt;margin-top:23.701109pt;width:447.763pt;height:1.328pt;mso-position-horizontal-relative:page;mso-position-vertical-relative:paragraph;z-index:-15555584;mso-wrap-distance-left:0;mso-wrap-distance-right:0" id="docshape655" filled="true" fillcolor="#4f81bd" stroked="false">
                <v:fill type="solid"/>
                <w10:wrap type="topAndBottom"/>
              </v:rect>
            </w:pict>
          </mc:Fallback>
        </mc:AlternateContent>
      </w:r>
    </w:p>
    <w:p>
      <w:pPr>
        <w:spacing w:after="0" w:line="240" w:lineRule="auto"/>
        <w:rPr>
          <w:sz w:val="20"/>
        </w:rPr>
        <w:sectPr>
          <w:type w:val="continuous"/>
          <w:pgSz w:w="11910" w:h="16840"/>
          <w:pgMar w:header="468" w:footer="0" w:top="980" w:bottom="280" w:left="1020" w:right="1540"/>
        </w:sectPr>
      </w:pPr>
    </w:p>
    <w:p>
      <w:pPr>
        <w:spacing w:before="92"/>
        <w:ind w:left="144" w:right="0" w:firstLine="0"/>
        <w:jc w:val="left"/>
        <w:rPr>
          <w:sz w:val="22"/>
        </w:rPr>
      </w:pPr>
      <w:r>
        <w:rPr>
          <w:color w:val="0070C0"/>
          <w:sz w:val="22"/>
        </w:rPr>
        <w:t>NOTES</w:t>
      </w:r>
      <w:r>
        <w:rPr>
          <w:color w:val="0070C0"/>
          <w:spacing w:val="-9"/>
          <w:sz w:val="22"/>
        </w:rPr>
        <w:t> </w:t>
      </w:r>
      <w:r>
        <w:rPr>
          <w:color w:val="0070C0"/>
          <w:sz w:val="22"/>
        </w:rPr>
        <w:t>TO</w:t>
      </w:r>
      <w:r>
        <w:rPr>
          <w:color w:val="0070C0"/>
          <w:spacing w:val="-9"/>
          <w:sz w:val="22"/>
        </w:rPr>
        <w:t> </w:t>
      </w:r>
      <w:r>
        <w:rPr>
          <w:color w:val="0070C0"/>
          <w:sz w:val="22"/>
        </w:rPr>
        <w:t>THE</w:t>
      </w:r>
      <w:r>
        <w:rPr>
          <w:color w:val="0070C0"/>
          <w:spacing w:val="-9"/>
          <w:sz w:val="22"/>
        </w:rPr>
        <w:t> </w:t>
      </w:r>
      <w:r>
        <w:rPr>
          <w:color w:val="0070C0"/>
          <w:sz w:val="22"/>
        </w:rPr>
        <w:t>FINANCIAL</w:t>
      </w:r>
      <w:r>
        <w:rPr>
          <w:color w:val="0070C0"/>
          <w:spacing w:val="-9"/>
          <w:sz w:val="22"/>
        </w:rPr>
        <w:t> </w:t>
      </w:r>
      <w:r>
        <w:rPr>
          <w:color w:val="0070C0"/>
          <w:spacing w:val="-2"/>
          <w:sz w:val="22"/>
        </w:rPr>
        <w:t>STATEMENTS</w:t>
      </w:r>
    </w:p>
    <w:p>
      <w:pPr>
        <w:spacing w:before="31"/>
        <w:ind w:left="131" w:right="0" w:firstLine="0"/>
        <w:jc w:val="left"/>
        <w:rPr>
          <w:sz w:val="12"/>
        </w:rPr>
      </w:pPr>
      <w:r>
        <w:rPr>
          <w:w w:val="105"/>
          <w:sz w:val="12"/>
        </w:rPr>
        <w:t>for</w:t>
      </w:r>
      <w:r>
        <w:rPr>
          <w:spacing w:val="-8"/>
          <w:w w:val="105"/>
          <w:sz w:val="12"/>
        </w:rPr>
        <w:t> </w:t>
      </w:r>
      <w:r>
        <w:rPr>
          <w:w w:val="105"/>
          <w:sz w:val="12"/>
        </w:rPr>
        <w:t>the</w:t>
      </w:r>
      <w:r>
        <w:rPr>
          <w:spacing w:val="-9"/>
          <w:w w:val="105"/>
          <w:sz w:val="12"/>
        </w:rPr>
        <w:t> </w:t>
      </w:r>
      <w:r>
        <w:rPr>
          <w:w w:val="105"/>
          <w:sz w:val="12"/>
        </w:rPr>
        <w:t>year</w:t>
      </w:r>
      <w:r>
        <w:rPr>
          <w:spacing w:val="-8"/>
          <w:w w:val="105"/>
          <w:sz w:val="12"/>
        </w:rPr>
        <w:t> </w:t>
      </w:r>
      <w:r>
        <w:rPr>
          <w:w w:val="105"/>
          <w:sz w:val="12"/>
        </w:rPr>
        <w:t>ended</w:t>
      </w:r>
      <w:r>
        <w:rPr>
          <w:spacing w:val="-8"/>
          <w:w w:val="105"/>
          <w:sz w:val="12"/>
        </w:rPr>
        <w:t> </w:t>
      </w:r>
      <w:r>
        <w:rPr>
          <w:w w:val="105"/>
          <w:sz w:val="12"/>
        </w:rPr>
        <w:t>31</w:t>
      </w:r>
      <w:r>
        <w:rPr>
          <w:spacing w:val="-9"/>
          <w:w w:val="105"/>
          <w:sz w:val="12"/>
        </w:rPr>
        <w:t> </w:t>
      </w:r>
      <w:r>
        <w:rPr>
          <w:w w:val="105"/>
          <w:sz w:val="12"/>
        </w:rPr>
        <w:t>December</w:t>
      </w:r>
      <w:r>
        <w:rPr>
          <w:spacing w:val="-8"/>
          <w:w w:val="105"/>
          <w:sz w:val="12"/>
        </w:rPr>
        <w:t> </w:t>
      </w:r>
      <w:r>
        <w:rPr>
          <w:spacing w:val="-4"/>
          <w:w w:val="105"/>
          <w:sz w:val="12"/>
        </w:rPr>
        <w:t>2020</w:t>
      </w:r>
    </w:p>
    <w:p>
      <w:pPr>
        <w:spacing w:line="240" w:lineRule="auto" w:before="43"/>
        <w:rPr>
          <w:sz w:val="12"/>
        </w:rPr>
      </w:pPr>
    </w:p>
    <w:p>
      <w:pPr>
        <w:pStyle w:val="ListParagraph"/>
        <w:numPr>
          <w:ilvl w:val="1"/>
          <w:numId w:val="13"/>
        </w:numPr>
        <w:tabs>
          <w:tab w:pos="645" w:val="left" w:leader="none"/>
        </w:tabs>
        <w:spacing w:line="240" w:lineRule="auto" w:before="0" w:after="0"/>
        <w:ind w:left="645" w:right="0" w:hanging="507"/>
        <w:jc w:val="left"/>
        <w:rPr>
          <w:b/>
          <w:color w:val="0070C0"/>
          <w:sz w:val="16"/>
        </w:rPr>
      </w:pPr>
      <w:r>
        <w:rPr>
          <w:b/>
          <w:color w:val="0070C0"/>
          <w:sz w:val="16"/>
        </w:rPr>
        <w:t>Fair</w:t>
      </w:r>
      <w:r>
        <w:rPr>
          <w:b/>
          <w:color w:val="0070C0"/>
          <w:spacing w:val="4"/>
          <w:sz w:val="16"/>
        </w:rPr>
        <w:t> </w:t>
      </w:r>
      <w:r>
        <w:rPr>
          <w:b/>
          <w:color w:val="0070C0"/>
          <w:sz w:val="16"/>
        </w:rPr>
        <w:t>value</w:t>
      </w:r>
      <w:r>
        <w:rPr>
          <w:b/>
          <w:color w:val="0070C0"/>
          <w:spacing w:val="4"/>
          <w:sz w:val="16"/>
        </w:rPr>
        <w:t> </w:t>
      </w:r>
      <w:r>
        <w:rPr>
          <w:b/>
          <w:color w:val="0070C0"/>
          <w:spacing w:val="-2"/>
          <w:sz w:val="16"/>
        </w:rPr>
        <w:t>measurements</w:t>
      </w:r>
    </w:p>
    <w:p>
      <w:pPr>
        <w:spacing w:line="240" w:lineRule="auto" w:before="46"/>
        <w:rPr>
          <w:b/>
          <w:sz w:val="16"/>
        </w:rPr>
      </w:pPr>
    </w:p>
    <w:p>
      <w:pPr>
        <w:pStyle w:val="ListParagraph"/>
        <w:numPr>
          <w:ilvl w:val="0"/>
          <w:numId w:val="36"/>
        </w:numPr>
        <w:tabs>
          <w:tab w:pos="640" w:val="left" w:leader="none"/>
        </w:tabs>
        <w:spacing w:line="240" w:lineRule="auto" w:before="1" w:after="0"/>
        <w:ind w:left="640" w:right="0" w:hanging="507"/>
        <w:jc w:val="left"/>
        <w:rPr>
          <w:b/>
          <w:sz w:val="13"/>
        </w:rPr>
      </w:pPr>
      <w:r>
        <w:rPr>
          <w:b/>
          <w:w w:val="105"/>
          <w:position w:val="1"/>
          <w:sz w:val="13"/>
        </w:rPr>
        <w:t>Fair</w:t>
      </w:r>
      <w:r>
        <w:rPr>
          <w:b/>
          <w:spacing w:val="-6"/>
          <w:w w:val="105"/>
          <w:position w:val="1"/>
          <w:sz w:val="13"/>
        </w:rPr>
        <w:t> </w:t>
      </w:r>
      <w:r>
        <w:rPr>
          <w:b/>
          <w:w w:val="105"/>
          <w:position w:val="1"/>
          <w:sz w:val="13"/>
        </w:rPr>
        <w:t>value</w:t>
      </w:r>
      <w:r>
        <w:rPr>
          <w:b/>
          <w:spacing w:val="-7"/>
          <w:w w:val="105"/>
          <w:position w:val="1"/>
          <w:sz w:val="13"/>
        </w:rPr>
        <w:t> </w:t>
      </w:r>
      <w:r>
        <w:rPr>
          <w:b/>
          <w:spacing w:val="-2"/>
          <w:w w:val="105"/>
          <w:position w:val="1"/>
          <w:sz w:val="13"/>
        </w:rPr>
        <w:t>measurements</w:t>
      </w:r>
    </w:p>
    <w:p>
      <w:pPr>
        <w:spacing w:before="16"/>
        <w:ind w:left="640" w:right="0" w:firstLine="0"/>
        <w:jc w:val="left"/>
        <w:rPr>
          <w:sz w:val="13"/>
        </w:rPr>
      </w:pPr>
      <w:r>
        <w:rPr>
          <w:w w:val="105"/>
          <w:sz w:val="13"/>
        </w:rPr>
        <w:t>The</w:t>
      </w:r>
      <w:r>
        <w:rPr>
          <w:spacing w:val="-7"/>
          <w:w w:val="105"/>
          <w:sz w:val="13"/>
        </w:rPr>
        <w:t> </w:t>
      </w:r>
      <w:r>
        <w:rPr>
          <w:w w:val="105"/>
          <w:sz w:val="13"/>
        </w:rPr>
        <w:t>fair</w:t>
      </w:r>
      <w:r>
        <w:rPr>
          <w:spacing w:val="-4"/>
          <w:w w:val="105"/>
          <w:sz w:val="13"/>
        </w:rPr>
        <w:t> </w:t>
      </w:r>
      <w:r>
        <w:rPr>
          <w:w w:val="105"/>
          <w:sz w:val="13"/>
        </w:rPr>
        <w:t>value</w:t>
      </w:r>
      <w:r>
        <w:rPr>
          <w:spacing w:val="-7"/>
          <w:w w:val="105"/>
          <w:sz w:val="13"/>
        </w:rPr>
        <w:t> </w:t>
      </w:r>
      <w:r>
        <w:rPr>
          <w:w w:val="105"/>
          <w:sz w:val="13"/>
        </w:rPr>
        <w:t>of</w:t>
      </w:r>
      <w:r>
        <w:rPr>
          <w:spacing w:val="-4"/>
          <w:w w:val="105"/>
          <w:sz w:val="13"/>
        </w:rPr>
        <w:t> </w:t>
      </w:r>
      <w:r>
        <w:rPr>
          <w:w w:val="105"/>
          <w:sz w:val="13"/>
        </w:rPr>
        <w:t>financial</w:t>
      </w:r>
      <w:r>
        <w:rPr>
          <w:spacing w:val="-4"/>
          <w:w w:val="105"/>
          <w:sz w:val="13"/>
        </w:rPr>
        <w:t> </w:t>
      </w:r>
      <w:r>
        <w:rPr>
          <w:w w:val="105"/>
          <w:sz w:val="13"/>
        </w:rPr>
        <w:t>assets</w:t>
      </w:r>
      <w:r>
        <w:rPr>
          <w:spacing w:val="-6"/>
          <w:w w:val="105"/>
          <w:sz w:val="13"/>
        </w:rPr>
        <w:t> </w:t>
      </w:r>
      <w:r>
        <w:rPr>
          <w:w w:val="105"/>
          <w:sz w:val="13"/>
        </w:rPr>
        <w:t>and</w:t>
      </w:r>
      <w:r>
        <w:rPr>
          <w:spacing w:val="-6"/>
          <w:w w:val="105"/>
          <w:sz w:val="13"/>
        </w:rPr>
        <w:t> </w:t>
      </w:r>
      <w:r>
        <w:rPr>
          <w:w w:val="105"/>
          <w:sz w:val="13"/>
        </w:rPr>
        <w:t>financial</w:t>
      </w:r>
      <w:r>
        <w:rPr>
          <w:spacing w:val="-6"/>
          <w:w w:val="105"/>
          <w:sz w:val="13"/>
        </w:rPr>
        <w:t> </w:t>
      </w:r>
      <w:r>
        <w:rPr>
          <w:w w:val="105"/>
          <w:sz w:val="13"/>
        </w:rPr>
        <w:t>liabilities</w:t>
      </w:r>
      <w:r>
        <w:rPr>
          <w:spacing w:val="-5"/>
          <w:w w:val="105"/>
          <w:sz w:val="13"/>
        </w:rPr>
        <w:t> </w:t>
      </w:r>
      <w:r>
        <w:rPr>
          <w:w w:val="105"/>
          <w:sz w:val="13"/>
        </w:rPr>
        <w:t>must</w:t>
      </w:r>
      <w:r>
        <w:rPr>
          <w:spacing w:val="-6"/>
          <w:w w:val="105"/>
          <w:sz w:val="13"/>
        </w:rPr>
        <w:t> </w:t>
      </w:r>
      <w:r>
        <w:rPr>
          <w:w w:val="105"/>
          <w:sz w:val="13"/>
        </w:rPr>
        <w:t>be</w:t>
      </w:r>
      <w:r>
        <w:rPr>
          <w:spacing w:val="-6"/>
          <w:w w:val="105"/>
          <w:sz w:val="13"/>
        </w:rPr>
        <w:t> </w:t>
      </w:r>
      <w:r>
        <w:rPr>
          <w:w w:val="105"/>
          <w:sz w:val="13"/>
        </w:rPr>
        <w:t>estimated</w:t>
      </w:r>
      <w:r>
        <w:rPr>
          <w:spacing w:val="-6"/>
          <w:w w:val="105"/>
          <w:sz w:val="13"/>
        </w:rPr>
        <w:t> </w:t>
      </w:r>
      <w:r>
        <w:rPr>
          <w:w w:val="105"/>
          <w:sz w:val="13"/>
        </w:rPr>
        <w:t>for</w:t>
      </w:r>
      <w:r>
        <w:rPr>
          <w:spacing w:val="-5"/>
          <w:w w:val="105"/>
          <w:sz w:val="13"/>
        </w:rPr>
        <w:t> </w:t>
      </w:r>
      <w:r>
        <w:rPr>
          <w:w w:val="105"/>
          <w:sz w:val="13"/>
        </w:rPr>
        <w:t>recognition</w:t>
      </w:r>
      <w:r>
        <w:rPr>
          <w:spacing w:val="-6"/>
          <w:w w:val="105"/>
          <w:sz w:val="13"/>
        </w:rPr>
        <w:t> </w:t>
      </w:r>
      <w:r>
        <w:rPr>
          <w:w w:val="105"/>
          <w:sz w:val="13"/>
        </w:rPr>
        <w:t>and</w:t>
      </w:r>
      <w:r>
        <w:rPr>
          <w:spacing w:val="-7"/>
          <w:w w:val="105"/>
          <w:sz w:val="13"/>
        </w:rPr>
        <w:t> </w:t>
      </w:r>
      <w:r>
        <w:rPr>
          <w:w w:val="105"/>
          <w:sz w:val="13"/>
        </w:rPr>
        <w:t>measurement</w:t>
      </w:r>
      <w:r>
        <w:rPr>
          <w:spacing w:val="-5"/>
          <w:w w:val="105"/>
          <w:sz w:val="13"/>
        </w:rPr>
        <w:t> </w:t>
      </w:r>
      <w:r>
        <w:rPr>
          <w:w w:val="105"/>
          <w:sz w:val="13"/>
        </w:rPr>
        <w:t>or</w:t>
      </w:r>
      <w:r>
        <w:rPr>
          <w:spacing w:val="-5"/>
          <w:w w:val="105"/>
          <w:sz w:val="13"/>
        </w:rPr>
        <w:t> </w:t>
      </w:r>
      <w:r>
        <w:rPr>
          <w:w w:val="105"/>
          <w:sz w:val="13"/>
        </w:rPr>
        <w:t>for</w:t>
      </w:r>
      <w:r>
        <w:rPr>
          <w:spacing w:val="-4"/>
          <w:w w:val="105"/>
          <w:sz w:val="13"/>
        </w:rPr>
        <w:t> </w:t>
      </w:r>
      <w:r>
        <w:rPr>
          <w:w w:val="105"/>
          <w:sz w:val="13"/>
        </w:rPr>
        <w:t>disclosure</w:t>
      </w:r>
      <w:r>
        <w:rPr>
          <w:spacing w:val="-7"/>
          <w:w w:val="105"/>
          <w:sz w:val="13"/>
        </w:rPr>
        <w:t> </w:t>
      </w:r>
      <w:r>
        <w:rPr>
          <w:spacing w:val="-2"/>
          <w:w w:val="105"/>
          <w:sz w:val="13"/>
        </w:rPr>
        <w:t>purposes.</w:t>
      </w:r>
    </w:p>
    <w:p>
      <w:pPr>
        <w:spacing w:line="240" w:lineRule="auto" w:before="0"/>
        <w:rPr>
          <w:sz w:val="13"/>
        </w:rPr>
      </w:pPr>
    </w:p>
    <w:p>
      <w:pPr>
        <w:spacing w:line="240" w:lineRule="auto" w:before="43"/>
        <w:rPr>
          <w:sz w:val="13"/>
        </w:rPr>
      </w:pPr>
    </w:p>
    <w:p>
      <w:pPr>
        <w:spacing w:line="273" w:lineRule="auto" w:before="0"/>
        <w:ind w:left="640" w:right="302" w:firstLine="0"/>
        <w:jc w:val="both"/>
        <w:rPr>
          <w:sz w:val="13"/>
        </w:rPr>
      </w:pPr>
      <w:r>
        <w:rPr>
          <w:w w:val="105"/>
          <w:sz w:val="13"/>
        </w:rPr>
        <w:t>The</w:t>
      </w:r>
      <w:r>
        <w:rPr>
          <w:w w:val="105"/>
          <w:sz w:val="13"/>
        </w:rPr>
        <w:t> following</w:t>
      </w:r>
      <w:r>
        <w:rPr>
          <w:w w:val="105"/>
          <w:sz w:val="13"/>
        </w:rPr>
        <w:t> table</w:t>
      </w:r>
      <w:r>
        <w:rPr>
          <w:w w:val="105"/>
          <w:sz w:val="13"/>
        </w:rPr>
        <w:t> shows</w:t>
      </w:r>
      <w:r>
        <w:rPr>
          <w:w w:val="105"/>
          <w:sz w:val="13"/>
        </w:rPr>
        <w:t> the</w:t>
      </w:r>
      <w:r>
        <w:rPr>
          <w:w w:val="105"/>
          <w:sz w:val="13"/>
        </w:rPr>
        <w:t> carrying</w:t>
      </w:r>
      <w:r>
        <w:rPr>
          <w:w w:val="105"/>
          <w:sz w:val="13"/>
        </w:rPr>
        <w:t> amounts</w:t>
      </w:r>
      <w:r>
        <w:rPr>
          <w:w w:val="105"/>
          <w:sz w:val="13"/>
        </w:rPr>
        <w:t> and</w:t>
      </w:r>
      <w:r>
        <w:rPr>
          <w:w w:val="105"/>
          <w:sz w:val="13"/>
        </w:rPr>
        <w:t> fair</w:t>
      </w:r>
      <w:r>
        <w:rPr>
          <w:w w:val="105"/>
          <w:sz w:val="13"/>
        </w:rPr>
        <w:t> values</w:t>
      </w:r>
      <w:r>
        <w:rPr>
          <w:w w:val="105"/>
          <w:sz w:val="13"/>
        </w:rPr>
        <w:t> of</w:t>
      </w:r>
      <w:r>
        <w:rPr>
          <w:w w:val="105"/>
          <w:sz w:val="13"/>
        </w:rPr>
        <w:t> financial</w:t>
      </w:r>
      <w:r>
        <w:rPr>
          <w:w w:val="105"/>
          <w:sz w:val="13"/>
        </w:rPr>
        <w:t> assets and</w:t>
      </w:r>
      <w:r>
        <w:rPr>
          <w:w w:val="105"/>
          <w:sz w:val="13"/>
        </w:rPr>
        <w:t> financial liabilities.</w:t>
      </w:r>
      <w:r>
        <w:rPr>
          <w:w w:val="105"/>
          <w:sz w:val="13"/>
        </w:rPr>
        <w:t> It does</w:t>
      </w:r>
      <w:r>
        <w:rPr>
          <w:w w:val="105"/>
          <w:sz w:val="13"/>
        </w:rPr>
        <w:t> not include</w:t>
      </w:r>
      <w:r>
        <w:rPr>
          <w:w w:val="105"/>
          <w:sz w:val="13"/>
        </w:rPr>
        <w:t> fair value</w:t>
      </w:r>
      <w:r>
        <w:rPr>
          <w:spacing w:val="40"/>
          <w:w w:val="105"/>
          <w:sz w:val="13"/>
        </w:rPr>
        <w:t> </w:t>
      </w:r>
      <w:r>
        <w:rPr>
          <w:w w:val="105"/>
          <w:sz w:val="13"/>
        </w:rPr>
        <w:t>information for financial assets and financial liabilities measured at fair value if the carrying amount is a reasonable approximation of fair</w:t>
      </w:r>
      <w:r>
        <w:rPr>
          <w:spacing w:val="40"/>
          <w:w w:val="105"/>
          <w:sz w:val="13"/>
        </w:rPr>
        <w:t> </w:t>
      </w:r>
      <w:r>
        <w:rPr>
          <w:spacing w:val="-2"/>
          <w:w w:val="105"/>
          <w:sz w:val="13"/>
        </w:rPr>
        <w:t>value.</w:t>
      </w:r>
    </w:p>
    <w:p>
      <w:pPr>
        <w:spacing w:line="240" w:lineRule="auto" w:before="21"/>
        <w:rPr>
          <w:sz w:val="13"/>
        </w:rPr>
      </w:pPr>
    </w:p>
    <w:p>
      <w:pPr>
        <w:spacing w:line="273" w:lineRule="auto" w:before="0"/>
        <w:ind w:left="640" w:right="303" w:firstLine="0"/>
        <w:jc w:val="both"/>
        <w:rPr>
          <w:sz w:val="13"/>
        </w:rPr>
      </w:pPr>
      <w:r>
        <w:rPr>
          <w:w w:val="105"/>
          <w:sz w:val="13"/>
        </w:rPr>
        <w:t>Due to the short-term nature of the cash and cash equivalents and current receivables, they are not included in the table below as their</w:t>
      </w:r>
      <w:r>
        <w:rPr>
          <w:spacing w:val="40"/>
          <w:w w:val="105"/>
          <w:sz w:val="13"/>
        </w:rPr>
        <w:t> </w:t>
      </w:r>
      <w:r>
        <w:rPr>
          <w:w w:val="105"/>
          <w:sz w:val="13"/>
        </w:rPr>
        <w:t>carrying value is assumed to approximate their fair value, and based on credit history it is expected that the receivables that are neither</w:t>
      </w:r>
      <w:r>
        <w:rPr>
          <w:spacing w:val="40"/>
          <w:w w:val="105"/>
          <w:sz w:val="13"/>
        </w:rPr>
        <w:t> </w:t>
      </w:r>
      <w:r>
        <w:rPr>
          <w:w w:val="105"/>
          <w:sz w:val="13"/>
        </w:rPr>
        <w:t>past due nor impaired will be received when due.</w:t>
      </w:r>
    </w:p>
    <w:p>
      <w:pPr>
        <w:spacing w:line="240" w:lineRule="auto" w:before="130"/>
        <w:rPr>
          <w:sz w:val="13"/>
        </w:rPr>
      </w:pPr>
    </w:p>
    <w:p>
      <w:pPr>
        <w:tabs>
          <w:tab w:pos="5653" w:val="left" w:leader="none"/>
          <w:tab w:pos="7805" w:val="left" w:leader="none"/>
        </w:tabs>
        <w:spacing w:before="0" w:after="57"/>
        <w:ind w:left="640" w:right="0" w:firstLine="0"/>
        <w:jc w:val="left"/>
        <w:rPr>
          <w:b/>
          <w:sz w:val="13"/>
        </w:rPr>
      </w:pPr>
      <w:r>
        <w:rPr>
          <w:b/>
          <w:w w:val="105"/>
          <w:sz w:val="13"/>
        </w:rPr>
        <w:t>Consolidated</w:t>
      </w:r>
      <w:r>
        <w:rPr>
          <w:b/>
          <w:spacing w:val="-6"/>
          <w:w w:val="105"/>
          <w:sz w:val="13"/>
        </w:rPr>
        <w:t> </w:t>
      </w:r>
      <w:r>
        <w:rPr>
          <w:b/>
          <w:w w:val="105"/>
          <w:sz w:val="13"/>
        </w:rPr>
        <w:t>31</w:t>
      </w:r>
      <w:r>
        <w:rPr>
          <w:b/>
          <w:spacing w:val="-7"/>
          <w:w w:val="105"/>
          <w:sz w:val="13"/>
        </w:rPr>
        <w:t> </w:t>
      </w:r>
      <w:r>
        <w:rPr>
          <w:b/>
          <w:spacing w:val="-2"/>
          <w:w w:val="105"/>
          <w:sz w:val="13"/>
        </w:rPr>
        <w:t>December</w:t>
      </w:r>
      <w:r>
        <w:rPr>
          <w:b/>
          <w:sz w:val="13"/>
        </w:rPr>
        <w:tab/>
      </w:r>
      <w:r>
        <w:rPr>
          <w:b/>
          <w:w w:val="105"/>
          <w:sz w:val="13"/>
        </w:rPr>
        <w:t>Carrying</w:t>
      </w:r>
      <w:r>
        <w:rPr>
          <w:b/>
          <w:spacing w:val="-8"/>
          <w:w w:val="105"/>
          <w:sz w:val="13"/>
        </w:rPr>
        <w:t> </w:t>
      </w:r>
      <w:r>
        <w:rPr>
          <w:b/>
          <w:spacing w:val="-2"/>
          <w:w w:val="105"/>
          <w:sz w:val="13"/>
        </w:rPr>
        <w:t>amount</w:t>
      </w:r>
      <w:r>
        <w:rPr>
          <w:b/>
          <w:sz w:val="13"/>
        </w:rPr>
        <w:tab/>
      </w:r>
      <w:r>
        <w:rPr>
          <w:b/>
          <w:w w:val="105"/>
          <w:sz w:val="13"/>
        </w:rPr>
        <w:t>Fair</w:t>
      </w:r>
      <w:r>
        <w:rPr>
          <w:b/>
          <w:spacing w:val="-4"/>
          <w:w w:val="105"/>
          <w:sz w:val="13"/>
        </w:rPr>
        <w:t> </w:t>
      </w:r>
      <w:r>
        <w:rPr>
          <w:b/>
          <w:spacing w:val="-2"/>
          <w:w w:val="105"/>
          <w:sz w:val="13"/>
        </w:rPr>
        <w:t>value</w:t>
      </w:r>
    </w:p>
    <w:tbl>
      <w:tblPr>
        <w:tblW w:w="0" w:type="auto"/>
        <w:jc w:val="left"/>
        <w:tblInd w:w="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618"/>
        <w:gridCol w:w="943"/>
        <w:gridCol w:w="971"/>
        <w:gridCol w:w="960"/>
        <w:gridCol w:w="970"/>
      </w:tblGrid>
      <w:tr>
        <w:trPr>
          <w:trHeight w:val="373" w:hRule="atLeast"/>
        </w:trPr>
        <w:tc>
          <w:tcPr>
            <w:tcW w:w="4618" w:type="dxa"/>
          </w:tcPr>
          <w:p>
            <w:pPr>
              <w:pStyle w:val="TableParagraph"/>
              <w:rPr>
                <w:rFonts w:ascii="Times New Roman"/>
                <w:sz w:val="12"/>
              </w:rPr>
            </w:pPr>
          </w:p>
        </w:tc>
        <w:tc>
          <w:tcPr>
            <w:tcW w:w="943" w:type="dxa"/>
            <w:tcBorders>
              <w:bottom w:val="single" w:sz="6" w:space="0" w:color="000000"/>
            </w:tcBorders>
          </w:tcPr>
          <w:p>
            <w:pPr>
              <w:pStyle w:val="TableParagraph"/>
              <w:spacing w:before="2"/>
              <w:ind w:left="329"/>
              <w:rPr>
                <w:b/>
                <w:sz w:val="13"/>
              </w:rPr>
            </w:pPr>
            <w:r>
              <w:rPr>
                <w:b/>
                <w:spacing w:val="-4"/>
                <w:w w:val="105"/>
                <w:sz w:val="13"/>
              </w:rPr>
              <w:t>2020</w:t>
            </w:r>
          </w:p>
          <w:p>
            <w:pPr>
              <w:pStyle w:val="TableParagraph"/>
              <w:spacing w:line="145" w:lineRule="exact" w:before="59"/>
              <w:ind w:left="314"/>
              <w:rPr>
                <w:b/>
                <w:sz w:val="13"/>
              </w:rPr>
            </w:pPr>
            <w:r>
              <w:rPr>
                <w:b/>
                <w:spacing w:val="-2"/>
                <w:w w:val="105"/>
                <w:sz w:val="13"/>
              </w:rPr>
              <w:t>$'000</w:t>
            </w:r>
          </w:p>
        </w:tc>
        <w:tc>
          <w:tcPr>
            <w:tcW w:w="971" w:type="dxa"/>
            <w:tcBorders>
              <w:bottom w:val="single" w:sz="6" w:space="0" w:color="000000"/>
            </w:tcBorders>
          </w:tcPr>
          <w:p>
            <w:pPr>
              <w:pStyle w:val="TableParagraph"/>
              <w:spacing w:before="2"/>
              <w:ind w:left="358"/>
              <w:rPr>
                <w:b/>
                <w:sz w:val="13"/>
              </w:rPr>
            </w:pPr>
            <w:r>
              <w:rPr>
                <w:b/>
                <w:spacing w:val="-4"/>
                <w:w w:val="105"/>
                <w:sz w:val="13"/>
              </w:rPr>
              <w:t>2019</w:t>
            </w:r>
          </w:p>
          <w:p>
            <w:pPr>
              <w:pStyle w:val="TableParagraph"/>
              <w:spacing w:line="145" w:lineRule="exact" w:before="59"/>
              <w:ind w:left="341"/>
              <w:rPr>
                <w:b/>
                <w:sz w:val="13"/>
              </w:rPr>
            </w:pPr>
            <w:r>
              <w:rPr>
                <w:b/>
                <w:spacing w:val="-2"/>
                <w:w w:val="105"/>
                <w:sz w:val="13"/>
              </w:rPr>
              <w:t>$'000</w:t>
            </w:r>
          </w:p>
        </w:tc>
        <w:tc>
          <w:tcPr>
            <w:tcW w:w="960" w:type="dxa"/>
            <w:tcBorders>
              <w:bottom w:val="single" w:sz="6" w:space="0" w:color="000000"/>
            </w:tcBorders>
          </w:tcPr>
          <w:p>
            <w:pPr>
              <w:pStyle w:val="TableParagraph"/>
              <w:spacing w:before="2"/>
              <w:ind w:left="357"/>
              <w:rPr>
                <w:b/>
                <w:sz w:val="13"/>
              </w:rPr>
            </w:pPr>
            <w:r>
              <w:rPr>
                <w:b/>
                <w:spacing w:val="-4"/>
                <w:w w:val="105"/>
                <w:sz w:val="13"/>
              </w:rPr>
              <w:t>2020</w:t>
            </w:r>
          </w:p>
          <w:p>
            <w:pPr>
              <w:pStyle w:val="TableParagraph"/>
              <w:spacing w:line="145" w:lineRule="exact" w:before="59"/>
              <w:ind w:left="342"/>
              <w:rPr>
                <w:b/>
                <w:sz w:val="13"/>
              </w:rPr>
            </w:pPr>
            <w:r>
              <w:rPr>
                <w:b/>
                <w:spacing w:val="-2"/>
                <w:w w:val="105"/>
                <w:sz w:val="13"/>
              </w:rPr>
              <w:t>$'000</w:t>
            </w:r>
          </w:p>
        </w:tc>
        <w:tc>
          <w:tcPr>
            <w:tcW w:w="970" w:type="dxa"/>
            <w:tcBorders>
              <w:bottom w:val="single" w:sz="6" w:space="0" w:color="000000"/>
            </w:tcBorders>
          </w:tcPr>
          <w:p>
            <w:pPr>
              <w:pStyle w:val="TableParagraph"/>
              <w:spacing w:before="2"/>
              <w:ind w:left="347"/>
              <w:rPr>
                <w:b/>
                <w:sz w:val="13"/>
              </w:rPr>
            </w:pPr>
            <w:r>
              <w:rPr>
                <w:b/>
                <w:spacing w:val="-4"/>
                <w:w w:val="105"/>
                <w:sz w:val="13"/>
              </w:rPr>
              <w:t>2019</w:t>
            </w:r>
          </w:p>
          <w:p>
            <w:pPr>
              <w:pStyle w:val="TableParagraph"/>
              <w:spacing w:line="145" w:lineRule="exact" w:before="59"/>
              <w:ind w:left="332"/>
              <w:rPr>
                <w:b/>
                <w:sz w:val="13"/>
              </w:rPr>
            </w:pPr>
            <w:r>
              <w:rPr>
                <w:b/>
                <w:spacing w:val="-2"/>
                <w:w w:val="105"/>
                <w:sz w:val="13"/>
              </w:rPr>
              <w:t>$'000</w:t>
            </w:r>
          </w:p>
        </w:tc>
      </w:tr>
      <w:tr>
        <w:trPr>
          <w:trHeight w:val="318" w:hRule="atLeast"/>
        </w:trPr>
        <w:tc>
          <w:tcPr>
            <w:tcW w:w="4618" w:type="dxa"/>
          </w:tcPr>
          <w:p>
            <w:pPr>
              <w:pStyle w:val="TableParagraph"/>
              <w:spacing w:line="144" w:lineRule="exact"/>
              <w:ind w:left="34"/>
              <w:rPr>
                <w:b/>
                <w:sz w:val="13"/>
              </w:rPr>
            </w:pPr>
            <w:r>
              <w:rPr>
                <w:b/>
                <w:spacing w:val="-2"/>
                <w:w w:val="105"/>
                <w:sz w:val="13"/>
              </w:rPr>
              <w:t>Financial</w:t>
            </w:r>
            <w:r>
              <w:rPr>
                <w:b/>
                <w:spacing w:val="8"/>
                <w:w w:val="105"/>
                <w:sz w:val="13"/>
              </w:rPr>
              <w:t> </w:t>
            </w:r>
            <w:r>
              <w:rPr>
                <w:b/>
                <w:spacing w:val="-2"/>
                <w:w w:val="105"/>
                <w:sz w:val="13"/>
              </w:rPr>
              <w:t>liabilities</w:t>
            </w:r>
          </w:p>
          <w:p>
            <w:pPr>
              <w:pStyle w:val="TableParagraph"/>
              <w:spacing w:line="131" w:lineRule="exact" w:before="23"/>
              <w:ind w:left="34"/>
              <w:rPr>
                <w:sz w:val="13"/>
              </w:rPr>
            </w:pPr>
            <w:r>
              <w:rPr>
                <w:w w:val="105"/>
                <w:sz w:val="13"/>
              </w:rPr>
              <w:t>Borrowings</w:t>
            </w:r>
            <w:r>
              <w:rPr>
                <w:spacing w:val="-9"/>
                <w:w w:val="105"/>
                <w:sz w:val="13"/>
              </w:rPr>
              <w:t> </w:t>
            </w:r>
            <w:r>
              <w:rPr>
                <w:w w:val="105"/>
                <w:sz w:val="13"/>
              </w:rPr>
              <w:t>(include</w:t>
            </w:r>
            <w:r>
              <w:rPr>
                <w:spacing w:val="-10"/>
                <w:w w:val="105"/>
                <w:sz w:val="13"/>
              </w:rPr>
              <w:t> </w:t>
            </w:r>
            <w:r>
              <w:rPr>
                <w:w w:val="105"/>
                <w:sz w:val="13"/>
              </w:rPr>
              <w:t>lease</w:t>
            </w:r>
            <w:r>
              <w:rPr>
                <w:spacing w:val="-9"/>
                <w:w w:val="105"/>
                <w:sz w:val="13"/>
              </w:rPr>
              <w:t> </w:t>
            </w:r>
            <w:r>
              <w:rPr>
                <w:spacing w:val="-2"/>
                <w:w w:val="105"/>
                <w:sz w:val="13"/>
              </w:rPr>
              <w:t>liabilities)</w:t>
            </w:r>
          </w:p>
        </w:tc>
        <w:tc>
          <w:tcPr>
            <w:tcW w:w="943" w:type="dxa"/>
            <w:tcBorders>
              <w:top w:val="single" w:sz="6" w:space="0" w:color="000000"/>
            </w:tcBorders>
          </w:tcPr>
          <w:p>
            <w:pPr>
              <w:pStyle w:val="TableParagraph"/>
              <w:spacing w:before="15"/>
              <w:rPr>
                <w:b/>
                <w:sz w:val="13"/>
              </w:rPr>
            </w:pPr>
          </w:p>
          <w:p>
            <w:pPr>
              <w:pStyle w:val="TableParagraph"/>
              <w:spacing w:line="131" w:lineRule="exact"/>
              <w:ind w:left="212"/>
              <w:rPr>
                <w:sz w:val="13"/>
              </w:rPr>
            </w:pPr>
            <w:r>
              <w:rPr>
                <w:spacing w:val="-2"/>
                <w:w w:val="105"/>
                <w:sz w:val="13"/>
              </w:rPr>
              <w:t>187,551</w:t>
            </w:r>
          </w:p>
        </w:tc>
        <w:tc>
          <w:tcPr>
            <w:tcW w:w="971" w:type="dxa"/>
            <w:tcBorders>
              <w:top w:val="single" w:sz="6" w:space="0" w:color="000000"/>
            </w:tcBorders>
          </w:tcPr>
          <w:p>
            <w:pPr>
              <w:pStyle w:val="TableParagraph"/>
              <w:spacing w:before="15"/>
              <w:rPr>
                <w:b/>
                <w:sz w:val="13"/>
              </w:rPr>
            </w:pPr>
          </w:p>
          <w:p>
            <w:pPr>
              <w:pStyle w:val="TableParagraph"/>
              <w:spacing w:line="131" w:lineRule="exact"/>
              <w:ind w:left="241"/>
              <w:rPr>
                <w:sz w:val="13"/>
              </w:rPr>
            </w:pPr>
            <w:r>
              <w:rPr>
                <w:spacing w:val="-2"/>
                <w:w w:val="105"/>
                <w:sz w:val="13"/>
              </w:rPr>
              <w:t>134,796</w:t>
            </w:r>
          </w:p>
        </w:tc>
        <w:tc>
          <w:tcPr>
            <w:tcW w:w="960" w:type="dxa"/>
            <w:tcBorders>
              <w:top w:val="single" w:sz="6" w:space="0" w:color="000000"/>
            </w:tcBorders>
          </w:tcPr>
          <w:p>
            <w:pPr>
              <w:pStyle w:val="TableParagraph"/>
              <w:spacing w:before="15"/>
              <w:rPr>
                <w:b/>
                <w:sz w:val="13"/>
              </w:rPr>
            </w:pPr>
          </w:p>
          <w:p>
            <w:pPr>
              <w:pStyle w:val="TableParagraph"/>
              <w:spacing w:line="131" w:lineRule="exact"/>
              <w:ind w:left="240"/>
              <w:rPr>
                <w:sz w:val="13"/>
              </w:rPr>
            </w:pPr>
            <w:r>
              <w:rPr>
                <w:spacing w:val="-2"/>
                <w:w w:val="105"/>
                <w:sz w:val="13"/>
              </w:rPr>
              <w:t>200,770</w:t>
            </w:r>
          </w:p>
        </w:tc>
        <w:tc>
          <w:tcPr>
            <w:tcW w:w="970" w:type="dxa"/>
            <w:tcBorders>
              <w:top w:val="single" w:sz="6" w:space="0" w:color="000000"/>
            </w:tcBorders>
          </w:tcPr>
          <w:p>
            <w:pPr>
              <w:pStyle w:val="TableParagraph"/>
              <w:spacing w:before="15"/>
              <w:rPr>
                <w:b/>
                <w:sz w:val="13"/>
              </w:rPr>
            </w:pPr>
          </w:p>
          <w:p>
            <w:pPr>
              <w:pStyle w:val="TableParagraph"/>
              <w:spacing w:line="131" w:lineRule="exact"/>
              <w:ind w:left="229"/>
              <w:rPr>
                <w:sz w:val="13"/>
              </w:rPr>
            </w:pPr>
            <w:r>
              <w:rPr>
                <w:spacing w:val="-2"/>
                <w:w w:val="105"/>
                <w:sz w:val="13"/>
              </w:rPr>
              <w:t>143,553</w:t>
            </w:r>
          </w:p>
        </w:tc>
      </w:tr>
    </w:tbl>
    <w:p>
      <w:pPr>
        <w:spacing w:line="240" w:lineRule="auto" w:before="61"/>
        <w:rPr>
          <w:b/>
          <w:sz w:val="13"/>
        </w:rPr>
      </w:pPr>
    </w:p>
    <w:p>
      <w:pPr>
        <w:pStyle w:val="ListParagraph"/>
        <w:numPr>
          <w:ilvl w:val="0"/>
          <w:numId w:val="36"/>
        </w:numPr>
        <w:tabs>
          <w:tab w:pos="640" w:val="left" w:leader="none"/>
        </w:tabs>
        <w:spacing w:line="240" w:lineRule="auto" w:before="0" w:after="0"/>
        <w:ind w:left="640" w:right="0" w:hanging="507"/>
        <w:jc w:val="left"/>
        <w:rPr>
          <w:b/>
          <w:sz w:val="13"/>
        </w:rPr>
      </w:pPr>
      <w:r>
        <w:rPr>
          <w:b/>
          <w:w w:val="105"/>
          <w:sz w:val="13"/>
        </w:rPr>
        <w:t>Fair</w:t>
      </w:r>
      <w:r>
        <w:rPr>
          <w:b/>
          <w:spacing w:val="-6"/>
          <w:w w:val="105"/>
          <w:sz w:val="13"/>
        </w:rPr>
        <w:t> </w:t>
      </w:r>
      <w:r>
        <w:rPr>
          <w:b/>
          <w:w w:val="105"/>
          <w:sz w:val="13"/>
        </w:rPr>
        <w:t>value</w:t>
      </w:r>
      <w:r>
        <w:rPr>
          <w:b/>
          <w:spacing w:val="-7"/>
          <w:w w:val="105"/>
          <w:sz w:val="13"/>
        </w:rPr>
        <w:t> </w:t>
      </w:r>
      <w:r>
        <w:rPr>
          <w:b/>
          <w:spacing w:val="-2"/>
          <w:w w:val="105"/>
          <w:sz w:val="13"/>
        </w:rPr>
        <w:t>hierarchy</w:t>
      </w:r>
    </w:p>
    <w:p>
      <w:pPr>
        <w:spacing w:before="21"/>
        <w:ind w:left="640" w:right="0" w:firstLine="0"/>
        <w:jc w:val="left"/>
        <w:rPr>
          <w:sz w:val="13"/>
        </w:rPr>
      </w:pPr>
      <w:r>
        <w:rPr>
          <w:w w:val="105"/>
          <w:sz w:val="13"/>
        </w:rPr>
        <w:t>The</w:t>
      </w:r>
      <w:r>
        <w:rPr>
          <w:spacing w:val="-7"/>
          <w:w w:val="105"/>
          <w:sz w:val="13"/>
        </w:rPr>
        <w:t> </w:t>
      </w:r>
      <w:r>
        <w:rPr>
          <w:w w:val="105"/>
          <w:sz w:val="13"/>
        </w:rPr>
        <w:t>University</w:t>
      </w:r>
      <w:r>
        <w:rPr>
          <w:spacing w:val="-8"/>
          <w:w w:val="105"/>
          <w:sz w:val="13"/>
        </w:rPr>
        <w:t> </w:t>
      </w:r>
      <w:r>
        <w:rPr>
          <w:w w:val="105"/>
          <w:sz w:val="13"/>
        </w:rPr>
        <w:t>categorises</w:t>
      </w:r>
      <w:r>
        <w:rPr>
          <w:spacing w:val="-5"/>
          <w:w w:val="105"/>
          <w:sz w:val="13"/>
        </w:rPr>
        <w:t> </w:t>
      </w:r>
      <w:r>
        <w:rPr>
          <w:w w:val="105"/>
          <w:sz w:val="13"/>
        </w:rPr>
        <w:t>assets</w:t>
      </w:r>
      <w:r>
        <w:rPr>
          <w:spacing w:val="-5"/>
          <w:w w:val="105"/>
          <w:sz w:val="13"/>
        </w:rPr>
        <w:t> </w:t>
      </w:r>
      <w:r>
        <w:rPr>
          <w:w w:val="105"/>
          <w:sz w:val="13"/>
        </w:rPr>
        <w:t>and</w:t>
      </w:r>
      <w:r>
        <w:rPr>
          <w:spacing w:val="-6"/>
          <w:w w:val="105"/>
          <w:sz w:val="13"/>
        </w:rPr>
        <w:t> </w:t>
      </w:r>
      <w:r>
        <w:rPr>
          <w:w w:val="105"/>
          <w:sz w:val="13"/>
        </w:rPr>
        <w:t>liabilities</w:t>
      </w:r>
      <w:r>
        <w:rPr>
          <w:spacing w:val="-6"/>
          <w:w w:val="105"/>
          <w:sz w:val="13"/>
        </w:rPr>
        <w:t> </w:t>
      </w:r>
      <w:r>
        <w:rPr>
          <w:w w:val="105"/>
          <w:sz w:val="13"/>
        </w:rPr>
        <w:t>measured</w:t>
      </w:r>
      <w:r>
        <w:rPr>
          <w:spacing w:val="-6"/>
          <w:w w:val="105"/>
          <w:sz w:val="13"/>
        </w:rPr>
        <w:t> </w:t>
      </w:r>
      <w:r>
        <w:rPr>
          <w:w w:val="105"/>
          <w:sz w:val="13"/>
        </w:rPr>
        <w:t>at</w:t>
      </w:r>
      <w:r>
        <w:rPr>
          <w:spacing w:val="-5"/>
          <w:w w:val="105"/>
          <w:sz w:val="13"/>
        </w:rPr>
        <w:t> </w:t>
      </w:r>
      <w:r>
        <w:rPr>
          <w:w w:val="105"/>
          <w:sz w:val="13"/>
        </w:rPr>
        <w:t>fair</w:t>
      </w:r>
      <w:r>
        <w:rPr>
          <w:spacing w:val="-4"/>
          <w:w w:val="105"/>
          <w:sz w:val="13"/>
        </w:rPr>
        <w:t> </w:t>
      </w:r>
      <w:r>
        <w:rPr>
          <w:w w:val="105"/>
          <w:sz w:val="13"/>
        </w:rPr>
        <w:t>value</w:t>
      </w:r>
      <w:r>
        <w:rPr>
          <w:spacing w:val="-6"/>
          <w:w w:val="105"/>
          <w:sz w:val="13"/>
        </w:rPr>
        <w:t> </w:t>
      </w:r>
      <w:r>
        <w:rPr>
          <w:w w:val="105"/>
          <w:sz w:val="13"/>
        </w:rPr>
        <w:t>into</w:t>
      </w:r>
      <w:r>
        <w:rPr>
          <w:spacing w:val="-6"/>
          <w:w w:val="105"/>
          <w:sz w:val="13"/>
        </w:rPr>
        <w:t> </w:t>
      </w:r>
      <w:r>
        <w:rPr>
          <w:w w:val="105"/>
          <w:sz w:val="13"/>
        </w:rPr>
        <w:t>a</w:t>
      </w:r>
      <w:r>
        <w:rPr>
          <w:spacing w:val="-6"/>
          <w:w w:val="105"/>
          <w:sz w:val="13"/>
        </w:rPr>
        <w:t> </w:t>
      </w:r>
      <w:r>
        <w:rPr>
          <w:w w:val="105"/>
          <w:sz w:val="13"/>
        </w:rPr>
        <w:t>hierarchy</w:t>
      </w:r>
      <w:r>
        <w:rPr>
          <w:spacing w:val="-9"/>
          <w:w w:val="105"/>
          <w:sz w:val="13"/>
        </w:rPr>
        <w:t> </w:t>
      </w:r>
      <w:r>
        <w:rPr>
          <w:w w:val="105"/>
          <w:sz w:val="13"/>
        </w:rPr>
        <w:t>based</w:t>
      </w:r>
      <w:r>
        <w:rPr>
          <w:spacing w:val="-6"/>
          <w:w w:val="105"/>
          <w:sz w:val="13"/>
        </w:rPr>
        <w:t> </w:t>
      </w:r>
      <w:r>
        <w:rPr>
          <w:w w:val="105"/>
          <w:sz w:val="13"/>
        </w:rPr>
        <w:t>on</w:t>
      </w:r>
      <w:r>
        <w:rPr>
          <w:spacing w:val="-6"/>
          <w:w w:val="105"/>
          <w:sz w:val="13"/>
        </w:rPr>
        <w:t> </w:t>
      </w:r>
      <w:r>
        <w:rPr>
          <w:w w:val="105"/>
          <w:sz w:val="13"/>
        </w:rPr>
        <w:t>the</w:t>
      </w:r>
      <w:r>
        <w:rPr>
          <w:spacing w:val="-6"/>
          <w:w w:val="105"/>
          <w:sz w:val="13"/>
        </w:rPr>
        <w:t> </w:t>
      </w:r>
      <w:r>
        <w:rPr>
          <w:w w:val="105"/>
          <w:sz w:val="13"/>
        </w:rPr>
        <w:t>level</w:t>
      </w:r>
      <w:r>
        <w:rPr>
          <w:spacing w:val="-4"/>
          <w:w w:val="105"/>
          <w:sz w:val="13"/>
        </w:rPr>
        <w:t> </w:t>
      </w:r>
      <w:r>
        <w:rPr>
          <w:w w:val="105"/>
          <w:sz w:val="13"/>
        </w:rPr>
        <w:t>of</w:t>
      </w:r>
      <w:r>
        <w:rPr>
          <w:spacing w:val="-3"/>
          <w:w w:val="105"/>
          <w:sz w:val="13"/>
        </w:rPr>
        <w:t> </w:t>
      </w:r>
      <w:r>
        <w:rPr>
          <w:w w:val="105"/>
          <w:sz w:val="13"/>
        </w:rPr>
        <w:t>inputs</w:t>
      </w:r>
      <w:r>
        <w:rPr>
          <w:spacing w:val="-5"/>
          <w:w w:val="105"/>
          <w:sz w:val="13"/>
        </w:rPr>
        <w:t> </w:t>
      </w:r>
      <w:r>
        <w:rPr>
          <w:w w:val="105"/>
          <w:sz w:val="13"/>
        </w:rPr>
        <w:t>used</w:t>
      </w:r>
      <w:r>
        <w:rPr>
          <w:spacing w:val="-6"/>
          <w:w w:val="105"/>
          <w:sz w:val="13"/>
        </w:rPr>
        <w:t> </w:t>
      </w:r>
      <w:r>
        <w:rPr>
          <w:w w:val="105"/>
          <w:sz w:val="13"/>
        </w:rPr>
        <w:t>in</w:t>
      </w:r>
      <w:r>
        <w:rPr>
          <w:spacing w:val="-6"/>
          <w:w w:val="105"/>
          <w:sz w:val="13"/>
        </w:rPr>
        <w:t> </w:t>
      </w:r>
      <w:r>
        <w:rPr>
          <w:spacing w:val="-2"/>
          <w:w w:val="105"/>
          <w:sz w:val="13"/>
        </w:rPr>
        <w:t>measurement:</w:t>
      </w:r>
    </w:p>
    <w:p>
      <w:pPr>
        <w:pStyle w:val="ListParagraph"/>
        <w:numPr>
          <w:ilvl w:val="1"/>
          <w:numId w:val="36"/>
        </w:numPr>
        <w:tabs>
          <w:tab w:pos="949" w:val="left" w:leader="none"/>
        </w:tabs>
        <w:spacing w:line="240" w:lineRule="auto" w:before="21" w:after="0"/>
        <w:ind w:left="949" w:right="0" w:hanging="83"/>
        <w:jc w:val="left"/>
        <w:rPr>
          <w:sz w:val="13"/>
        </w:rPr>
      </w:pPr>
      <w:r>
        <w:rPr>
          <w:w w:val="105"/>
          <w:sz w:val="13"/>
        </w:rPr>
        <w:t>Level</w:t>
      </w:r>
      <w:r>
        <w:rPr>
          <w:spacing w:val="-5"/>
          <w:w w:val="105"/>
          <w:sz w:val="13"/>
        </w:rPr>
        <w:t> </w:t>
      </w:r>
      <w:r>
        <w:rPr>
          <w:w w:val="105"/>
          <w:sz w:val="13"/>
        </w:rPr>
        <w:t>1:</w:t>
      </w:r>
      <w:r>
        <w:rPr>
          <w:spacing w:val="-6"/>
          <w:w w:val="105"/>
          <w:sz w:val="13"/>
        </w:rPr>
        <w:t> </w:t>
      </w:r>
      <w:r>
        <w:rPr>
          <w:w w:val="105"/>
          <w:sz w:val="13"/>
        </w:rPr>
        <w:t>Unadjusted</w:t>
      </w:r>
      <w:r>
        <w:rPr>
          <w:spacing w:val="-6"/>
          <w:w w:val="105"/>
          <w:sz w:val="13"/>
        </w:rPr>
        <w:t> </w:t>
      </w:r>
      <w:r>
        <w:rPr>
          <w:w w:val="105"/>
          <w:sz w:val="13"/>
        </w:rPr>
        <w:t>quoted</w:t>
      </w:r>
      <w:r>
        <w:rPr>
          <w:spacing w:val="-6"/>
          <w:w w:val="105"/>
          <w:sz w:val="13"/>
        </w:rPr>
        <w:t> </w:t>
      </w:r>
      <w:r>
        <w:rPr>
          <w:w w:val="105"/>
          <w:sz w:val="13"/>
        </w:rPr>
        <w:t>prices</w:t>
      </w:r>
      <w:r>
        <w:rPr>
          <w:spacing w:val="-6"/>
          <w:w w:val="105"/>
          <w:sz w:val="13"/>
        </w:rPr>
        <w:t> </w:t>
      </w:r>
      <w:r>
        <w:rPr>
          <w:w w:val="105"/>
          <w:sz w:val="13"/>
        </w:rPr>
        <w:t>in</w:t>
      </w:r>
      <w:r>
        <w:rPr>
          <w:spacing w:val="-6"/>
          <w:w w:val="105"/>
          <w:sz w:val="13"/>
        </w:rPr>
        <w:t> </w:t>
      </w:r>
      <w:r>
        <w:rPr>
          <w:w w:val="105"/>
          <w:sz w:val="13"/>
        </w:rPr>
        <w:t>active</w:t>
      </w:r>
      <w:r>
        <w:rPr>
          <w:spacing w:val="-6"/>
          <w:w w:val="105"/>
          <w:sz w:val="13"/>
        </w:rPr>
        <w:t> </w:t>
      </w:r>
      <w:r>
        <w:rPr>
          <w:w w:val="105"/>
          <w:sz w:val="13"/>
        </w:rPr>
        <w:t>markets</w:t>
      </w:r>
      <w:r>
        <w:rPr>
          <w:spacing w:val="-6"/>
          <w:w w:val="105"/>
          <w:sz w:val="13"/>
        </w:rPr>
        <w:t> </w:t>
      </w:r>
      <w:r>
        <w:rPr>
          <w:w w:val="105"/>
          <w:sz w:val="13"/>
        </w:rPr>
        <w:t>for</w:t>
      </w:r>
      <w:r>
        <w:rPr>
          <w:spacing w:val="-4"/>
          <w:w w:val="105"/>
          <w:sz w:val="13"/>
        </w:rPr>
        <w:t> </w:t>
      </w:r>
      <w:r>
        <w:rPr>
          <w:w w:val="105"/>
          <w:sz w:val="13"/>
        </w:rPr>
        <w:t>identical</w:t>
      </w:r>
      <w:r>
        <w:rPr>
          <w:spacing w:val="-5"/>
          <w:w w:val="105"/>
          <w:sz w:val="13"/>
        </w:rPr>
        <w:t> </w:t>
      </w:r>
      <w:r>
        <w:rPr>
          <w:w w:val="105"/>
          <w:sz w:val="13"/>
        </w:rPr>
        <w:t>assets</w:t>
      </w:r>
      <w:r>
        <w:rPr>
          <w:spacing w:val="-6"/>
          <w:w w:val="105"/>
          <w:sz w:val="13"/>
        </w:rPr>
        <w:t> </w:t>
      </w:r>
      <w:r>
        <w:rPr>
          <w:w w:val="105"/>
          <w:sz w:val="13"/>
        </w:rPr>
        <w:t>or</w:t>
      </w:r>
      <w:r>
        <w:rPr>
          <w:spacing w:val="-4"/>
          <w:w w:val="105"/>
          <w:sz w:val="13"/>
        </w:rPr>
        <w:t> </w:t>
      </w:r>
      <w:r>
        <w:rPr>
          <w:spacing w:val="-2"/>
          <w:w w:val="105"/>
          <w:sz w:val="13"/>
        </w:rPr>
        <w:t>liabilities;</w:t>
      </w:r>
    </w:p>
    <w:p>
      <w:pPr>
        <w:pStyle w:val="ListParagraph"/>
        <w:numPr>
          <w:ilvl w:val="1"/>
          <w:numId w:val="36"/>
        </w:numPr>
        <w:tabs>
          <w:tab w:pos="949" w:val="left" w:leader="none"/>
        </w:tabs>
        <w:spacing w:line="240" w:lineRule="auto" w:before="21" w:after="0"/>
        <w:ind w:left="949" w:right="0" w:hanging="83"/>
        <w:jc w:val="left"/>
        <w:rPr>
          <w:sz w:val="13"/>
        </w:rPr>
      </w:pPr>
      <w:r>
        <w:rPr>
          <w:w w:val="105"/>
          <w:sz w:val="13"/>
        </w:rPr>
        <w:t>Level</w:t>
      </w:r>
      <w:r>
        <w:rPr>
          <w:spacing w:val="-6"/>
          <w:w w:val="105"/>
          <w:sz w:val="13"/>
        </w:rPr>
        <w:t> </w:t>
      </w:r>
      <w:r>
        <w:rPr>
          <w:w w:val="105"/>
          <w:sz w:val="13"/>
        </w:rPr>
        <w:t>2:</w:t>
      </w:r>
      <w:r>
        <w:rPr>
          <w:spacing w:val="-6"/>
          <w:w w:val="105"/>
          <w:sz w:val="13"/>
        </w:rPr>
        <w:t> </w:t>
      </w:r>
      <w:r>
        <w:rPr>
          <w:w w:val="105"/>
          <w:sz w:val="13"/>
        </w:rPr>
        <w:t>Inputs</w:t>
      </w:r>
      <w:r>
        <w:rPr>
          <w:spacing w:val="-6"/>
          <w:w w:val="105"/>
          <w:sz w:val="13"/>
        </w:rPr>
        <w:t> </w:t>
      </w:r>
      <w:r>
        <w:rPr>
          <w:w w:val="105"/>
          <w:sz w:val="13"/>
        </w:rPr>
        <w:t>other</w:t>
      </w:r>
      <w:r>
        <w:rPr>
          <w:spacing w:val="-6"/>
          <w:w w:val="105"/>
          <w:sz w:val="13"/>
        </w:rPr>
        <w:t> </w:t>
      </w:r>
      <w:r>
        <w:rPr>
          <w:w w:val="105"/>
          <w:sz w:val="13"/>
        </w:rPr>
        <w:t>than</w:t>
      </w:r>
      <w:r>
        <w:rPr>
          <w:spacing w:val="-7"/>
          <w:w w:val="105"/>
          <w:sz w:val="13"/>
        </w:rPr>
        <w:t> </w:t>
      </w:r>
      <w:r>
        <w:rPr>
          <w:w w:val="105"/>
          <w:sz w:val="13"/>
        </w:rPr>
        <w:t>quoted</w:t>
      </w:r>
      <w:r>
        <w:rPr>
          <w:spacing w:val="-7"/>
          <w:w w:val="105"/>
          <w:sz w:val="13"/>
        </w:rPr>
        <w:t> </w:t>
      </w:r>
      <w:r>
        <w:rPr>
          <w:w w:val="105"/>
          <w:sz w:val="13"/>
        </w:rPr>
        <w:t>prices</w:t>
      </w:r>
      <w:r>
        <w:rPr>
          <w:spacing w:val="-6"/>
          <w:w w:val="105"/>
          <w:sz w:val="13"/>
        </w:rPr>
        <w:t> </w:t>
      </w:r>
      <w:r>
        <w:rPr>
          <w:w w:val="105"/>
          <w:sz w:val="13"/>
        </w:rPr>
        <w:t>within</w:t>
      </w:r>
      <w:r>
        <w:rPr>
          <w:spacing w:val="-7"/>
          <w:w w:val="105"/>
          <w:sz w:val="13"/>
        </w:rPr>
        <w:t> </w:t>
      </w:r>
      <w:r>
        <w:rPr>
          <w:w w:val="105"/>
          <w:sz w:val="13"/>
        </w:rPr>
        <w:t>Level</w:t>
      </w:r>
      <w:r>
        <w:rPr>
          <w:spacing w:val="-5"/>
          <w:w w:val="105"/>
          <w:sz w:val="13"/>
        </w:rPr>
        <w:t> </w:t>
      </w:r>
      <w:r>
        <w:rPr>
          <w:w w:val="105"/>
          <w:sz w:val="13"/>
        </w:rPr>
        <w:t>1</w:t>
      </w:r>
      <w:r>
        <w:rPr>
          <w:spacing w:val="-7"/>
          <w:w w:val="105"/>
          <w:sz w:val="13"/>
        </w:rPr>
        <w:t> </w:t>
      </w:r>
      <w:r>
        <w:rPr>
          <w:w w:val="105"/>
          <w:sz w:val="13"/>
        </w:rPr>
        <w:t>that</w:t>
      </w:r>
      <w:r>
        <w:rPr>
          <w:spacing w:val="-7"/>
          <w:w w:val="105"/>
          <w:sz w:val="13"/>
        </w:rPr>
        <w:t> </w:t>
      </w:r>
      <w:r>
        <w:rPr>
          <w:w w:val="105"/>
          <w:sz w:val="13"/>
        </w:rPr>
        <w:t>are</w:t>
      </w:r>
      <w:r>
        <w:rPr>
          <w:spacing w:val="-7"/>
          <w:w w:val="105"/>
          <w:sz w:val="13"/>
        </w:rPr>
        <w:t> </w:t>
      </w:r>
      <w:r>
        <w:rPr>
          <w:w w:val="105"/>
          <w:sz w:val="13"/>
        </w:rPr>
        <w:t>observable</w:t>
      </w:r>
      <w:r>
        <w:rPr>
          <w:spacing w:val="-7"/>
          <w:w w:val="105"/>
          <w:sz w:val="13"/>
        </w:rPr>
        <w:t> </w:t>
      </w:r>
      <w:r>
        <w:rPr>
          <w:w w:val="105"/>
          <w:sz w:val="13"/>
        </w:rPr>
        <w:t>for</w:t>
      </w:r>
      <w:r>
        <w:rPr>
          <w:spacing w:val="-5"/>
          <w:w w:val="105"/>
          <w:sz w:val="13"/>
        </w:rPr>
        <w:t> </w:t>
      </w:r>
      <w:r>
        <w:rPr>
          <w:w w:val="105"/>
          <w:sz w:val="13"/>
        </w:rPr>
        <w:t>the</w:t>
      </w:r>
      <w:r>
        <w:rPr>
          <w:spacing w:val="-7"/>
          <w:w w:val="105"/>
          <w:sz w:val="13"/>
        </w:rPr>
        <w:t> </w:t>
      </w:r>
      <w:r>
        <w:rPr>
          <w:w w:val="105"/>
          <w:sz w:val="13"/>
        </w:rPr>
        <w:t>asset</w:t>
      </w:r>
      <w:r>
        <w:rPr>
          <w:spacing w:val="-6"/>
          <w:w w:val="105"/>
          <w:sz w:val="13"/>
        </w:rPr>
        <w:t> </w:t>
      </w:r>
      <w:r>
        <w:rPr>
          <w:w w:val="105"/>
          <w:sz w:val="13"/>
        </w:rPr>
        <w:t>or</w:t>
      </w:r>
      <w:r>
        <w:rPr>
          <w:spacing w:val="-6"/>
          <w:w w:val="105"/>
          <w:sz w:val="13"/>
        </w:rPr>
        <w:t> </w:t>
      </w:r>
      <w:r>
        <w:rPr>
          <w:w w:val="105"/>
          <w:sz w:val="13"/>
        </w:rPr>
        <w:t>liability,</w:t>
      </w:r>
      <w:r>
        <w:rPr>
          <w:spacing w:val="-6"/>
          <w:w w:val="105"/>
          <w:sz w:val="13"/>
        </w:rPr>
        <w:t> </w:t>
      </w:r>
      <w:r>
        <w:rPr>
          <w:w w:val="105"/>
          <w:sz w:val="13"/>
        </w:rPr>
        <w:t>either</w:t>
      </w:r>
      <w:r>
        <w:rPr>
          <w:spacing w:val="-5"/>
          <w:w w:val="105"/>
          <w:sz w:val="13"/>
        </w:rPr>
        <w:t> </w:t>
      </w:r>
      <w:r>
        <w:rPr>
          <w:w w:val="105"/>
          <w:sz w:val="13"/>
        </w:rPr>
        <w:t>directly</w:t>
      </w:r>
      <w:r>
        <w:rPr>
          <w:spacing w:val="-10"/>
          <w:w w:val="105"/>
          <w:sz w:val="13"/>
        </w:rPr>
        <w:t> </w:t>
      </w:r>
      <w:r>
        <w:rPr>
          <w:w w:val="105"/>
          <w:sz w:val="13"/>
        </w:rPr>
        <w:t>or</w:t>
      </w:r>
      <w:r>
        <w:rPr>
          <w:spacing w:val="-5"/>
          <w:w w:val="105"/>
          <w:sz w:val="13"/>
        </w:rPr>
        <w:t> </w:t>
      </w:r>
      <w:r>
        <w:rPr>
          <w:w w:val="105"/>
          <w:sz w:val="13"/>
        </w:rPr>
        <w:t>indirectly;</w:t>
      </w:r>
      <w:r>
        <w:rPr>
          <w:spacing w:val="-6"/>
          <w:w w:val="105"/>
          <w:sz w:val="13"/>
        </w:rPr>
        <w:t> </w:t>
      </w:r>
      <w:r>
        <w:rPr>
          <w:spacing w:val="-5"/>
          <w:w w:val="105"/>
          <w:sz w:val="13"/>
        </w:rPr>
        <w:t>and</w:t>
      </w:r>
    </w:p>
    <w:p>
      <w:pPr>
        <w:pStyle w:val="ListParagraph"/>
        <w:numPr>
          <w:ilvl w:val="1"/>
          <w:numId w:val="36"/>
        </w:numPr>
        <w:tabs>
          <w:tab w:pos="949" w:val="left" w:leader="none"/>
        </w:tabs>
        <w:spacing w:line="240" w:lineRule="auto" w:before="21" w:after="0"/>
        <w:ind w:left="949" w:right="0" w:hanging="83"/>
        <w:jc w:val="left"/>
        <w:rPr>
          <w:sz w:val="13"/>
        </w:rPr>
      </w:pPr>
      <w:r>
        <w:rPr>
          <w:w w:val="105"/>
          <w:sz w:val="13"/>
        </w:rPr>
        <w:t>Level</w:t>
      </w:r>
      <w:r>
        <w:rPr>
          <w:spacing w:val="-5"/>
          <w:w w:val="105"/>
          <w:sz w:val="13"/>
        </w:rPr>
        <w:t> </w:t>
      </w:r>
      <w:r>
        <w:rPr>
          <w:w w:val="105"/>
          <w:sz w:val="13"/>
        </w:rPr>
        <w:t>3:</w:t>
      </w:r>
      <w:r>
        <w:rPr>
          <w:spacing w:val="-6"/>
          <w:w w:val="105"/>
          <w:sz w:val="13"/>
        </w:rPr>
        <w:t> </w:t>
      </w:r>
      <w:r>
        <w:rPr>
          <w:w w:val="105"/>
          <w:sz w:val="13"/>
        </w:rPr>
        <w:t>Inputs</w:t>
      </w:r>
      <w:r>
        <w:rPr>
          <w:spacing w:val="-5"/>
          <w:w w:val="105"/>
          <w:sz w:val="13"/>
        </w:rPr>
        <w:t> </w:t>
      </w:r>
      <w:r>
        <w:rPr>
          <w:w w:val="105"/>
          <w:sz w:val="13"/>
        </w:rPr>
        <w:t>for</w:t>
      </w:r>
      <w:r>
        <w:rPr>
          <w:spacing w:val="-5"/>
          <w:w w:val="105"/>
          <w:sz w:val="13"/>
        </w:rPr>
        <w:t> </w:t>
      </w:r>
      <w:r>
        <w:rPr>
          <w:w w:val="105"/>
          <w:sz w:val="13"/>
        </w:rPr>
        <w:t>the</w:t>
      </w:r>
      <w:r>
        <w:rPr>
          <w:spacing w:val="-6"/>
          <w:w w:val="105"/>
          <w:sz w:val="13"/>
        </w:rPr>
        <w:t> </w:t>
      </w:r>
      <w:r>
        <w:rPr>
          <w:w w:val="105"/>
          <w:sz w:val="13"/>
        </w:rPr>
        <w:t>asset</w:t>
      </w:r>
      <w:r>
        <w:rPr>
          <w:spacing w:val="-7"/>
          <w:w w:val="105"/>
          <w:sz w:val="13"/>
        </w:rPr>
        <w:t> </w:t>
      </w:r>
      <w:r>
        <w:rPr>
          <w:w w:val="105"/>
          <w:sz w:val="13"/>
        </w:rPr>
        <w:t>or</w:t>
      </w:r>
      <w:r>
        <w:rPr>
          <w:spacing w:val="-4"/>
          <w:w w:val="105"/>
          <w:sz w:val="13"/>
        </w:rPr>
        <w:t> </w:t>
      </w:r>
      <w:r>
        <w:rPr>
          <w:w w:val="105"/>
          <w:sz w:val="13"/>
        </w:rPr>
        <w:t>liability</w:t>
      </w:r>
      <w:r>
        <w:rPr>
          <w:spacing w:val="-9"/>
          <w:w w:val="105"/>
          <w:sz w:val="13"/>
        </w:rPr>
        <w:t> </w:t>
      </w:r>
      <w:r>
        <w:rPr>
          <w:w w:val="105"/>
          <w:sz w:val="13"/>
        </w:rPr>
        <w:t>that</w:t>
      </w:r>
      <w:r>
        <w:rPr>
          <w:spacing w:val="-6"/>
          <w:w w:val="105"/>
          <w:sz w:val="13"/>
        </w:rPr>
        <w:t> </w:t>
      </w:r>
      <w:r>
        <w:rPr>
          <w:w w:val="105"/>
          <w:sz w:val="13"/>
        </w:rPr>
        <w:t>are</w:t>
      </w:r>
      <w:r>
        <w:rPr>
          <w:spacing w:val="-6"/>
          <w:w w:val="105"/>
          <w:sz w:val="13"/>
        </w:rPr>
        <w:t> </w:t>
      </w:r>
      <w:r>
        <w:rPr>
          <w:w w:val="105"/>
          <w:sz w:val="13"/>
        </w:rPr>
        <w:t>not</w:t>
      </w:r>
      <w:r>
        <w:rPr>
          <w:spacing w:val="-6"/>
          <w:w w:val="105"/>
          <w:sz w:val="13"/>
        </w:rPr>
        <w:t> </w:t>
      </w:r>
      <w:r>
        <w:rPr>
          <w:w w:val="105"/>
          <w:sz w:val="13"/>
        </w:rPr>
        <w:t>based</w:t>
      </w:r>
      <w:r>
        <w:rPr>
          <w:spacing w:val="-6"/>
          <w:w w:val="105"/>
          <w:sz w:val="13"/>
        </w:rPr>
        <w:t> </w:t>
      </w:r>
      <w:r>
        <w:rPr>
          <w:w w:val="105"/>
          <w:sz w:val="13"/>
        </w:rPr>
        <w:t>on</w:t>
      </w:r>
      <w:r>
        <w:rPr>
          <w:spacing w:val="-7"/>
          <w:w w:val="105"/>
          <w:sz w:val="13"/>
        </w:rPr>
        <w:t> </w:t>
      </w:r>
      <w:r>
        <w:rPr>
          <w:w w:val="105"/>
          <w:sz w:val="13"/>
        </w:rPr>
        <w:t>observable</w:t>
      </w:r>
      <w:r>
        <w:rPr>
          <w:spacing w:val="-6"/>
          <w:w w:val="105"/>
          <w:sz w:val="13"/>
        </w:rPr>
        <w:t> </w:t>
      </w:r>
      <w:r>
        <w:rPr>
          <w:w w:val="105"/>
          <w:sz w:val="13"/>
        </w:rPr>
        <w:t>market</w:t>
      </w:r>
      <w:r>
        <w:rPr>
          <w:spacing w:val="-6"/>
          <w:w w:val="105"/>
          <w:sz w:val="13"/>
        </w:rPr>
        <w:t> </w:t>
      </w:r>
      <w:r>
        <w:rPr>
          <w:w w:val="105"/>
          <w:sz w:val="13"/>
        </w:rPr>
        <w:t>data,</w:t>
      </w:r>
      <w:r>
        <w:rPr>
          <w:spacing w:val="-5"/>
          <w:w w:val="105"/>
          <w:sz w:val="13"/>
        </w:rPr>
        <w:t> </w:t>
      </w:r>
      <w:r>
        <w:rPr>
          <w:w w:val="105"/>
          <w:sz w:val="13"/>
        </w:rPr>
        <w:t>that</w:t>
      </w:r>
      <w:r>
        <w:rPr>
          <w:spacing w:val="-6"/>
          <w:w w:val="105"/>
          <w:sz w:val="13"/>
        </w:rPr>
        <w:t> </w:t>
      </w:r>
      <w:r>
        <w:rPr>
          <w:w w:val="105"/>
          <w:sz w:val="13"/>
        </w:rPr>
        <w:t>is,</w:t>
      </w:r>
      <w:r>
        <w:rPr>
          <w:spacing w:val="-5"/>
          <w:w w:val="105"/>
          <w:sz w:val="13"/>
        </w:rPr>
        <w:t> </w:t>
      </w:r>
      <w:r>
        <w:rPr>
          <w:w w:val="105"/>
          <w:sz w:val="13"/>
        </w:rPr>
        <w:t>unobservable</w:t>
      </w:r>
      <w:r>
        <w:rPr>
          <w:spacing w:val="-7"/>
          <w:w w:val="105"/>
          <w:sz w:val="13"/>
        </w:rPr>
        <w:t> </w:t>
      </w:r>
      <w:r>
        <w:rPr>
          <w:spacing w:val="-2"/>
          <w:w w:val="105"/>
          <w:sz w:val="13"/>
        </w:rPr>
        <w:t>inputs.</w:t>
      </w:r>
    </w:p>
    <w:p>
      <w:pPr>
        <w:spacing w:line="240" w:lineRule="auto" w:before="0"/>
        <w:rPr>
          <w:sz w:val="13"/>
        </w:rPr>
      </w:pPr>
    </w:p>
    <w:p>
      <w:pPr>
        <w:spacing w:line="240" w:lineRule="auto" w:before="89"/>
        <w:rPr>
          <w:sz w:val="13"/>
        </w:rPr>
      </w:pPr>
    </w:p>
    <w:p>
      <w:pPr>
        <w:spacing w:before="1"/>
        <w:ind w:left="640" w:right="0" w:firstLine="0"/>
        <w:jc w:val="left"/>
        <w:rPr>
          <w:sz w:val="13"/>
        </w:rPr>
      </w:pPr>
      <w:r>
        <w:rPr>
          <w:w w:val="105"/>
          <w:sz w:val="13"/>
        </w:rPr>
        <w:t>The</w:t>
      </w:r>
      <w:r>
        <w:rPr>
          <w:spacing w:val="-7"/>
          <w:w w:val="105"/>
          <w:sz w:val="13"/>
        </w:rPr>
        <w:t> </w:t>
      </w:r>
      <w:r>
        <w:rPr>
          <w:w w:val="105"/>
          <w:sz w:val="13"/>
        </w:rPr>
        <w:t>valuation</w:t>
      </w:r>
      <w:r>
        <w:rPr>
          <w:spacing w:val="-6"/>
          <w:w w:val="105"/>
          <w:sz w:val="13"/>
        </w:rPr>
        <w:t> </w:t>
      </w:r>
      <w:r>
        <w:rPr>
          <w:w w:val="105"/>
          <w:sz w:val="13"/>
        </w:rPr>
        <w:t>level</w:t>
      </w:r>
      <w:r>
        <w:rPr>
          <w:spacing w:val="-5"/>
          <w:w w:val="105"/>
          <w:sz w:val="13"/>
        </w:rPr>
        <w:t> </w:t>
      </w:r>
      <w:r>
        <w:rPr>
          <w:w w:val="105"/>
          <w:sz w:val="13"/>
        </w:rPr>
        <w:t>has</w:t>
      </w:r>
      <w:r>
        <w:rPr>
          <w:spacing w:val="-6"/>
          <w:w w:val="105"/>
          <w:sz w:val="13"/>
        </w:rPr>
        <w:t> </w:t>
      </w:r>
      <w:r>
        <w:rPr>
          <w:w w:val="105"/>
          <w:sz w:val="13"/>
        </w:rPr>
        <w:t>been</w:t>
      </w:r>
      <w:r>
        <w:rPr>
          <w:spacing w:val="-6"/>
          <w:w w:val="105"/>
          <w:sz w:val="13"/>
        </w:rPr>
        <w:t> </w:t>
      </w:r>
      <w:r>
        <w:rPr>
          <w:w w:val="105"/>
          <w:sz w:val="13"/>
        </w:rPr>
        <w:t>determined</w:t>
      </w:r>
      <w:r>
        <w:rPr>
          <w:spacing w:val="-7"/>
          <w:w w:val="105"/>
          <w:sz w:val="13"/>
        </w:rPr>
        <w:t> </w:t>
      </w:r>
      <w:r>
        <w:rPr>
          <w:w w:val="105"/>
          <w:sz w:val="13"/>
        </w:rPr>
        <w:t>on</w:t>
      </w:r>
      <w:r>
        <w:rPr>
          <w:spacing w:val="-6"/>
          <w:w w:val="105"/>
          <w:sz w:val="13"/>
        </w:rPr>
        <w:t> </w:t>
      </w:r>
      <w:r>
        <w:rPr>
          <w:w w:val="105"/>
          <w:sz w:val="13"/>
        </w:rPr>
        <w:t>the</w:t>
      </w:r>
      <w:r>
        <w:rPr>
          <w:spacing w:val="-7"/>
          <w:w w:val="105"/>
          <w:sz w:val="13"/>
        </w:rPr>
        <w:t> </w:t>
      </w:r>
      <w:r>
        <w:rPr>
          <w:w w:val="105"/>
          <w:sz w:val="13"/>
        </w:rPr>
        <w:t>basis</w:t>
      </w:r>
      <w:r>
        <w:rPr>
          <w:spacing w:val="-5"/>
          <w:w w:val="105"/>
          <w:sz w:val="13"/>
        </w:rPr>
        <w:t> </w:t>
      </w:r>
      <w:r>
        <w:rPr>
          <w:w w:val="105"/>
          <w:sz w:val="13"/>
        </w:rPr>
        <w:t>of</w:t>
      </w:r>
      <w:r>
        <w:rPr>
          <w:spacing w:val="-4"/>
          <w:w w:val="105"/>
          <w:sz w:val="13"/>
        </w:rPr>
        <w:t> </w:t>
      </w:r>
      <w:r>
        <w:rPr>
          <w:w w:val="105"/>
          <w:sz w:val="13"/>
        </w:rPr>
        <w:t>the</w:t>
      </w:r>
      <w:r>
        <w:rPr>
          <w:spacing w:val="-7"/>
          <w:w w:val="105"/>
          <w:sz w:val="13"/>
        </w:rPr>
        <w:t> </w:t>
      </w:r>
      <w:r>
        <w:rPr>
          <w:w w:val="105"/>
          <w:sz w:val="13"/>
        </w:rPr>
        <w:t>lowest</w:t>
      </w:r>
      <w:r>
        <w:rPr>
          <w:spacing w:val="-5"/>
          <w:w w:val="105"/>
          <w:sz w:val="13"/>
        </w:rPr>
        <w:t> </w:t>
      </w:r>
      <w:r>
        <w:rPr>
          <w:w w:val="105"/>
          <w:sz w:val="13"/>
        </w:rPr>
        <w:t>level</w:t>
      </w:r>
      <w:r>
        <w:rPr>
          <w:spacing w:val="-5"/>
          <w:w w:val="105"/>
          <w:sz w:val="13"/>
        </w:rPr>
        <w:t> </w:t>
      </w:r>
      <w:r>
        <w:rPr>
          <w:spacing w:val="-2"/>
          <w:w w:val="105"/>
          <w:sz w:val="13"/>
        </w:rPr>
        <w:t>input.</w:t>
      </w:r>
    </w:p>
    <w:p>
      <w:pPr>
        <w:spacing w:line="240" w:lineRule="auto" w:before="46"/>
        <w:rPr>
          <w:sz w:val="13"/>
        </w:rPr>
      </w:pPr>
    </w:p>
    <w:p>
      <w:pPr>
        <w:spacing w:before="0"/>
        <w:ind w:left="640" w:right="0" w:firstLine="0"/>
        <w:jc w:val="left"/>
        <w:rPr>
          <w:sz w:val="13"/>
        </w:rPr>
      </w:pPr>
      <w:r>
        <w:rPr>
          <w:w w:val="105"/>
          <w:sz w:val="13"/>
        </w:rPr>
        <w:t>The</w:t>
      </w:r>
      <w:r>
        <w:rPr>
          <w:spacing w:val="-6"/>
          <w:w w:val="105"/>
          <w:sz w:val="13"/>
        </w:rPr>
        <w:t> </w:t>
      </w:r>
      <w:r>
        <w:rPr>
          <w:w w:val="105"/>
          <w:sz w:val="13"/>
        </w:rPr>
        <w:t>level</w:t>
      </w:r>
      <w:r>
        <w:rPr>
          <w:spacing w:val="-5"/>
          <w:w w:val="105"/>
          <w:sz w:val="13"/>
        </w:rPr>
        <w:t> </w:t>
      </w:r>
      <w:r>
        <w:rPr>
          <w:w w:val="105"/>
          <w:sz w:val="13"/>
        </w:rPr>
        <w:t>classification</w:t>
      </w:r>
      <w:r>
        <w:rPr>
          <w:spacing w:val="-6"/>
          <w:w w:val="105"/>
          <w:sz w:val="13"/>
        </w:rPr>
        <w:t> </w:t>
      </w:r>
      <w:r>
        <w:rPr>
          <w:w w:val="105"/>
          <w:sz w:val="13"/>
        </w:rPr>
        <w:t>for</w:t>
      </w:r>
      <w:r>
        <w:rPr>
          <w:spacing w:val="-4"/>
          <w:w w:val="105"/>
          <w:sz w:val="13"/>
        </w:rPr>
        <w:t> </w:t>
      </w:r>
      <w:r>
        <w:rPr>
          <w:w w:val="105"/>
          <w:sz w:val="13"/>
        </w:rPr>
        <w:t>financial</w:t>
      </w:r>
      <w:r>
        <w:rPr>
          <w:spacing w:val="-4"/>
          <w:w w:val="105"/>
          <w:sz w:val="13"/>
        </w:rPr>
        <w:t> </w:t>
      </w:r>
      <w:r>
        <w:rPr>
          <w:w w:val="105"/>
          <w:sz w:val="13"/>
        </w:rPr>
        <w:t>assets</w:t>
      </w:r>
      <w:r>
        <w:rPr>
          <w:spacing w:val="-5"/>
          <w:w w:val="105"/>
          <w:sz w:val="13"/>
        </w:rPr>
        <w:t> </w:t>
      </w:r>
      <w:r>
        <w:rPr>
          <w:w w:val="105"/>
          <w:sz w:val="13"/>
        </w:rPr>
        <w:t>at</w:t>
      </w:r>
      <w:r>
        <w:rPr>
          <w:spacing w:val="-5"/>
          <w:w w:val="105"/>
          <w:sz w:val="13"/>
        </w:rPr>
        <w:t> </w:t>
      </w:r>
      <w:r>
        <w:rPr>
          <w:w w:val="105"/>
          <w:sz w:val="13"/>
        </w:rPr>
        <w:t>fair</w:t>
      </w:r>
      <w:r>
        <w:rPr>
          <w:spacing w:val="-5"/>
          <w:w w:val="105"/>
          <w:sz w:val="13"/>
        </w:rPr>
        <w:t> </w:t>
      </w:r>
      <w:r>
        <w:rPr>
          <w:w w:val="105"/>
          <w:sz w:val="13"/>
        </w:rPr>
        <w:t>value</w:t>
      </w:r>
      <w:r>
        <w:rPr>
          <w:spacing w:val="-6"/>
          <w:w w:val="105"/>
          <w:sz w:val="13"/>
        </w:rPr>
        <w:t> </w:t>
      </w:r>
      <w:r>
        <w:rPr>
          <w:w w:val="105"/>
          <w:sz w:val="13"/>
        </w:rPr>
        <w:t>through</w:t>
      </w:r>
      <w:r>
        <w:rPr>
          <w:spacing w:val="-5"/>
          <w:w w:val="105"/>
          <w:sz w:val="13"/>
        </w:rPr>
        <w:t> </w:t>
      </w:r>
      <w:r>
        <w:rPr>
          <w:w w:val="105"/>
          <w:sz w:val="13"/>
        </w:rPr>
        <w:t>profit</w:t>
      </w:r>
      <w:r>
        <w:rPr>
          <w:spacing w:val="-6"/>
          <w:w w:val="105"/>
          <w:sz w:val="13"/>
        </w:rPr>
        <w:t> </w:t>
      </w:r>
      <w:r>
        <w:rPr>
          <w:w w:val="105"/>
          <w:sz w:val="13"/>
        </w:rPr>
        <w:t>or</w:t>
      </w:r>
      <w:r>
        <w:rPr>
          <w:spacing w:val="-4"/>
          <w:w w:val="105"/>
          <w:sz w:val="13"/>
        </w:rPr>
        <w:t> </w:t>
      </w:r>
      <w:r>
        <w:rPr>
          <w:w w:val="105"/>
          <w:sz w:val="13"/>
        </w:rPr>
        <w:t>loss</w:t>
      </w:r>
      <w:r>
        <w:rPr>
          <w:spacing w:val="-5"/>
          <w:w w:val="105"/>
          <w:sz w:val="13"/>
        </w:rPr>
        <w:t> </w:t>
      </w:r>
      <w:r>
        <w:rPr>
          <w:w w:val="105"/>
          <w:sz w:val="13"/>
        </w:rPr>
        <w:t>have</w:t>
      </w:r>
      <w:r>
        <w:rPr>
          <w:spacing w:val="-6"/>
          <w:w w:val="105"/>
          <w:sz w:val="13"/>
        </w:rPr>
        <w:t> </w:t>
      </w:r>
      <w:r>
        <w:rPr>
          <w:w w:val="105"/>
          <w:sz w:val="13"/>
        </w:rPr>
        <w:t>been</w:t>
      </w:r>
      <w:r>
        <w:rPr>
          <w:spacing w:val="-6"/>
          <w:w w:val="105"/>
          <w:sz w:val="13"/>
        </w:rPr>
        <w:t> </w:t>
      </w:r>
      <w:r>
        <w:rPr>
          <w:w w:val="105"/>
          <w:sz w:val="13"/>
        </w:rPr>
        <w:t>determined</w:t>
      </w:r>
      <w:r>
        <w:rPr>
          <w:spacing w:val="-6"/>
          <w:w w:val="105"/>
          <w:sz w:val="13"/>
        </w:rPr>
        <w:t> </w:t>
      </w:r>
      <w:r>
        <w:rPr>
          <w:w w:val="105"/>
          <w:sz w:val="13"/>
        </w:rPr>
        <w:t>by</w:t>
      </w:r>
      <w:r>
        <w:rPr>
          <w:spacing w:val="-8"/>
          <w:w w:val="105"/>
          <w:sz w:val="13"/>
        </w:rPr>
        <w:t> </w:t>
      </w:r>
      <w:r>
        <w:rPr>
          <w:w w:val="105"/>
          <w:sz w:val="13"/>
        </w:rPr>
        <w:t>type</w:t>
      </w:r>
      <w:r>
        <w:rPr>
          <w:spacing w:val="-6"/>
          <w:w w:val="105"/>
          <w:sz w:val="13"/>
        </w:rPr>
        <w:t> </w:t>
      </w:r>
      <w:r>
        <w:rPr>
          <w:w w:val="105"/>
          <w:sz w:val="13"/>
        </w:rPr>
        <w:t>of</w:t>
      </w:r>
      <w:r>
        <w:rPr>
          <w:spacing w:val="-4"/>
          <w:w w:val="105"/>
          <w:sz w:val="13"/>
        </w:rPr>
        <w:t> </w:t>
      </w:r>
      <w:r>
        <w:rPr>
          <w:spacing w:val="-2"/>
          <w:w w:val="105"/>
          <w:sz w:val="13"/>
        </w:rPr>
        <w:t>investments:</w:t>
      </w:r>
    </w:p>
    <w:p>
      <w:pPr>
        <w:spacing w:after="0"/>
        <w:jc w:val="left"/>
        <w:rPr>
          <w:sz w:val="13"/>
        </w:rPr>
        <w:sectPr>
          <w:pgSz w:w="11910" w:h="16840"/>
          <w:pgMar w:header="468" w:footer="0" w:top="1580" w:bottom="280" w:left="1020" w:right="1540"/>
        </w:sectPr>
      </w:pPr>
    </w:p>
    <w:p>
      <w:pPr>
        <w:pStyle w:val="ListParagraph"/>
        <w:numPr>
          <w:ilvl w:val="0"/>
          <w:numId w:val="37"/>
        </w:numPr>
        <w:tabs>
          <w:tab w:pos="763" w:val="left" w:leader="none"/>
        </w:tabs>
        <w:spacing w:line="240" w:lineRule="auto" w:before="50" w:after="0"/>
        <w:ind w:left="763" w:right="0" w:hanging="123"/>
        <w:jc w:val="left"/>
        <w:rPr>
          <w:sz w:val="13"/>
        </w:rPr>
      </w:pPr>
      <w:r>
        <w:rPr>
          <w:spacing w:val="-2"/>
          <w:w w:val="105"/>
          <w:sz w:val="13"/>
        </w:rPr>
        <w:t>Managed</w:t>
      </w:r>
      <w:r>
        <w:rPr>
          <w:w w:val="105"/>
          <w:sz w:val="13"/>
        </w:rPr>
        <w:t> </w:t>
      </w:r>
      <w:r>
        <w:rPr>
          <w:spacing w:val="-2"/>
          <w:w w:val="105"/>
          <w:sz w:val="13"/>
        </w:rPr>
        <w:t>investments</w:t>
      </w:r>
    </w:p>
    <w:p>
      <w:pPr>
        <w:spacing w:line="240" w:lineRule="auto" w:before="0"/>
        <w:rPr>
          <w:sz w:val="13"/>
        </w:rPr>
      </w:pPr>
    </w:p>
    <w:p>
      <w:pPr>
        <w:spacing w:line="240" w:lineRule="auto" w:before="0"/>
        <w:rPr>
          <w:sz w:val="13"/>
        </w:rPr>
      </w:pPr>
    </w:p>
    <w:p>
      <w:pPr>
        <w:spacing w:line="240" w:lineRule="auto" w:before="139"/>
        <w:rPr>
          <w:sz w:val="13"/>
        </w:rPr>
      </w:pPr>
    </w:p>
    <w:p>
      <w:pPr>
        <w:pStyle w:val="ListParagraph"/>
        <w:numPr>
          <w:ilvl w:val="0"/>
          <w:numId w:val="37"/>
        </w:numPr>
        <w:tabs>
          <w:tab w:pos="763" w:val="left" w:leader="none"/>
        </w:tabs>
        <w:spacing w:line="240" w:lineRule="auto" w:before="0" w:after="0"/>
        <w:ind w:left="763" w:right="0" w:hanging="123"/>
        <w:jc w:val="left"/>
        <w:rPr>
          <w:sz w:val="13"/>
        </w:rPr>
      </w:pPr>
      <w:r>
        <w:rPr>
          <w:w w:val="105"/>
          <w:sz w:val="13"/>
        </w:rPr>
        <w:t>Direct</w:t>
      </w:r>
      <w:r>
        <w:rPr>
          <w:spacing w:val="-3"/>
          <w:w w:val="105"/>
          <w:sz w:val="13"/>
        </w:rPr>
        <w:t> </w:t>
      </w:r>
      <w:r>
        <w:rPr>
          <w:spacing w:val="-2"/>
          <w:w w:val="105"/>
          <w:sz w:val="13"/>
        </w:rPr>
        <w:t>investments</w:t>
      </w:r>
    </w:p>
    <w:p>
      <w:pPr>
        <w:spacing w:line="240" w:lineRule="auto" w:before="0"/>
        <w:rPr>
          <w:sz w:val="13"/>
        </w:rPr>
      </w:pPr>
    </w:p>
    <w:p>
      <w:pPr>
        <w:spacing w:line="240" w:lineRule="auto" w:before="109"/>
        <w:rPr>
          <w:sz w:val="13"/>
        </w:rPr>
      </w:pPr>
    </w:p>
    <w:p>
      <w:pPr>
        <w:pStyle w:val="ListParagraph"/>
        <w:numPr>
          <w:ilvl w:val="0"/>
          <w:numId w:val="37"/>
        </w:numPr>
        <w:tabs>
          <w:tab w:pos="763" w:val="left" w:leader="none"/>
        </w:tabs>
        <w:spacing w:line="273" w:lineRule="auto" w:before="1" w:after="0"/>
        <w:ind w:left="640" w:right="0" w:firstLine="0"/>
        <w:jc w:val="left"/>
        <w:rPr>
          <w:sz w:val="13"/>
        </w:rPr>
      </w:pPr>
      <w:r>
        <w:rPr>
          <w:w w:val="105"/>
          <w:sz w:val="13"/>
        </w:rPr>
        <w:t>Other</w:t>
      </w:r>
      <w:r>
        <w:rPr>
          <w:spacing w:val="-10"/>
          <w:w w:val="105"/>
          <w:sz w:val="13"/>
        </w:rPr>
        <w:t> </w:t>
      </w:r>
      <w:r>
        <w:rPr>
          <w:w w:val="105"/>
          <w:sz w:val="13"/>
        </w:rPr>
        <w:t>financial</w:t>
      </w:r>
      <w:r>
        <w:rPr>
          <w:spacing w:val="-9"/>
          <w:w w:val="105"/>
          <w:sz w:val="13"/>
        </w:rPr>
        <w:t> </w:t>
      </w:r>
      <w:r>
        <w:rPr>
          <w:w w:val="105"/>
          <w:sz w:val="13"/>
        </w:rPr>
        <w:t>assets</w:t>
      </w:r>
      <w:r>
        <w:rPr>
          <w:spacing w:val="-10"/>
          <w:w w:val="105"/>
          <w:sz w:val="13"/>
        </w:rPr>
        <w:t> </w:t>
      </w:r>
      <w:r>
        <w:rPr>
          <w:w w:val="105"/>
          <w:sz w:val="13"/>
        </w:rPr>
        <w:t>at</w:t>
      </w:r>
      <w:r>
        <w:rPr>
          <w:spacing w:val="40"/>
          <w:w w:val="105"/>
          <w:sz w:val="13"/>
        </w:rPr>
        <w:t> </w:t>
      </w:r>
      <w:r>
        <w:rPr>
          <w:w w:val="105"/>
          <w:sz w:val="13"/>
        </w:rPr>
        <w:t>amortised</w:t>
      </w:r>
      <w:r>
        <w:rPr>
          <w:spacing w:val="-6"/>
          <w:w w:val="105"/>
          <w:sz w:val="13"/>
        </w:rPr>
        <w:t> </w:t>
      </w:r>
      <w:r>
        <w:rPr>
          <w:w w:val="105"/>
          <w:sz w:val="13"/>
        </w:rPr>
        <w:t>cost</w:t>
      </w:r>
    </w:p>
    <w:p>
      <w:pPr>
        <w:spacing w:line="273" w:lineRule="auto" w:before="50"/>
        <w:ind w:left="346" w:right="273" w:firstLine="0"/>
        <w:jc w:val="left"/>
        <w:rPr>
          <w:sz w:val="13"/>
        </w:rPr>
      </w:pPr>
      <w:r>
        <w:rPr/>
        <w:br w:type="column"/>
      </w:r>
      <w:r>
        <w:rPr>
          <w:w w:val="105"/>
          <w:sz w:val="13"/>
        </w:rPr>
        <w:t>Classified based on valuation of the investments, being either unit trusts or direct holdings. Unit trusts are</w:t>
      </w:r>
      <w:r>
        <w:rPr>
          <w:spacing w:val="40"/>
          <w:w w:val="105"/>
          <w:sz w:val="13"/>
        </w:rPr>
        <w:t> </w:t>
      </w:r>
      <w:r>
        <w:rPr>
          <w:w w:val="105"/>
          <w:sz w:val="13"/>
        </w:rPr>
        <w:t>priced based on the latest net asset price per unit. The managed investments are classified as level 1 fair</w:t>
      </w:r>
      <w:r>
        <w:rPr>
          <w:spacing w:val="40"/>
          <w:w w:val="105"/>
          <w:sz w:val="13"/>
        </w:rPr>
        <w:t> </w:t>
      </w:r>
      <w:r>
        <w:rPr>
          <w:w w:val="105"/>
          <w:sz w:val="13"/>
        </w:rPr>
        <w:t>value</w:t>
      </w:r>
      <w:r>
        <w:rPr>
          <w:spacing w:val="-5"/>
          <w:w w:val="105"/>
          <w:sz w:val="13"/>
        </w:rPr>
        <w:t> </w:t>
      </w:r>
      <w:r>
        <w:rPr>
          <w:w w:val="105"/>
          <w:sz w:val="13"/>
        </w:rPr>
        <w:t>assets</w:t>
      </w:r>
      <w:r>
        <w:rPr>
          <w:spacing w:val="-4"/>
          <w:w w:val="105"/>
          <w:sz w:val="13"/>
        </w:rPr>
        <w:t> </w:t>
      </w:r>
      <w:r>
        <w:rPr>
          <w:w w:val="105"/>
          <w:sz w:val="13"/>
        </w:rPr>
        <w:t>and</w:t>
      </w:r>
      <w:r>
        <w:rPr>
          <w:spacing w:val="-5"/>
          <w:w w:val="105"/>
          <w:sz w:val="13"/>
        </w:rPr>
        <w:t> </w:t>
      </w:r>
      <w:r>
        <w:rPr>
          <w:w w:val="105"/>
          <w:sz w:val="13"/>
        </w:rPr>
        <w:t>consist</w:t>
      </w:r>
      <w:r>
        <w:rPr>
          <w:spacing w:val="-5"/>
          <w:w w:val="105"/>
          <w:sz w:val="13"/>
        </w:rPr>
        <w:t> </w:t>
      </w:r>
      <w:r>
        <w:rPr>
          <w:w w:val="105"/>
          <w:sz w:val="13"/>
        </w:rPr>
        <w:t>either</w:t>
      </w:r>
      <w:r>
        <w:rPr>
          <w:spacing w:val="-3"/>
          <w:w w:val="105"/>
          <w:sz w:val="13"/>
        </w:rPr>
        <w:t> </w:t>
      </w:r>
      <w:r>
        <w:rPr>
          <w:w w:val="105"/>
          <w:sz w:val="13"/>
        </w:rPr>
        <w:t>of</w:t>
      </w:r>
      <w:r>
        <w:rPr>
          <w:spacing w:val="-2"/>
          <w:w w:val="105"/>
          <w:sz w:val="13"/>
        </w:rPr>
        <w:t> </w:t>
      </w:r>
      <w:r>
        <w:rPr>
          <w:w w:val="105"/>
          <w:sz w:val="13"/>
        </w:rPr>
        <w:t>publicly</w:t>
      </w:r>
      <w:r>
        <w:rPr>
          <w:spacing w:val="-7"/>
          <w:w w:val="105"/>
          <w:sz w:val="13"/>
        </w:rPr>
        <w:t> </w:t>
      </w:r>
      <w:r>
        <w:rPr>
          <w:w w:val="105"/>
          <w:sz w:val="13"/>
        </w:rPr>
        <w:t>quoted</w:t>
      </w:r>
      <w:r>
        <w:rPr>
          <w:spacing w:val="-5"/>
          <w:w w:val="105"/>
          <w:sz w:val="13"/>
        </w:rPr>
        <w:t> </w:t>
      </w:r>
      <w:r>
        <w:rPr>
          <w:w w:val="105"/>
          <w:sz w:val="13"/>
        </w:rPr>
        <w:t>unit</w:t>
      </w:r>
      <w:r>
        <w:rPr>
          <w:spacing w:val="-4"/>
          <w:w w:val="105"/>
          <w:sz w:val="13"/>
        </w:rPr>
        <w:t> </w:t>
      </w:r>
      <w:r>
        <w:rPr>
          <w:w w:val="105"/>
          <w:sz w:val="13"/>
        </w:rPr>
        <w:t>trusts</w:t>
      </w:r>
      <w:r>
        <w:rPr>
          <w:spacing w:val="-4"/>
          <w:w w:val="105"/>
          <w:sz w:val="13"/>
        </w:rPr>
        <w:t> </w:t>
      </w:r>
      <w:r>
        <w:rPr>
          <w:w w:val="105"/>
          <w:sz w:val="13"/>
        </w:rPr>
        <w:t>or</w:t>
      </w:r>
      <w:r>
        <w:rPr>
          <w:spacing w:val="-3"/>
          <w:w w:val="105"/>
          <w:sz w:val="13"/>
        </w:rPr>
        <w:t> </w:t>
      </w:r>
      <w:r>
        <w:rPr>
          <w:w w:val="105"/>
          <w:sz w:val="13"/>
        </w:rPr>
        <w:t>assets</w:t>
      </w:r>
      <w:r>
        <w:rPr>
          <w:spacing w:val="-4"/>
          <w:w w:val="105"/>
          <w:sz w:val="13"/>
        </w:rPr>
        <w:t> </w:t>
      </w:r>
      <w:r>
        <w:rPr>
          <w:w w:val="105"/>
          <w:sz w:val="13"/>
        </w:rPr>
        <w:t>with</w:t>
      </w:r>
      <w:r>
        <w:rPr>
          <w:spacing w:val="-5"/>
          <w:w w:val="105"/>
          <w:sz w:val="13"/>
        </w:rPr>
        <w:t> </w:t>
      </w:r>
      <w:r>
        <w:rPr>
          <w:w w:val="105"/>
          <w:sz w:val="13"/>
        </w:rPr>
        <w:t>quoted</w:t>
      </w:r>
      <w:r>
        <w:rPr>
          <w:spacing w:val="-5"/>
          <w:w w:val="105"/>
          <w:sz w:val="13"/>
        </w:rPr>
        <w:t> </w:t>
      </w:r>
      <w:r>
        <w:rPr>
          <w:w w:val="105"/>
          <w:sz w:val="13"/>
        </w:rPr>
        <w:t>pricing</w:t>
      </w:r>
      <w:r>
        <w:rPr>
          <w:spacing w:val="-5"/>
          <w:w w:val="105"/>
          <w:sz w:val="13"/>
        </w:rPr>
        <w:t> </w:t>
      </w:r>
      <w:r>
        <w:rPr>
          <w:w w:val="105"/>
          <w:sz w:val="13"/>
        </w:rPr>
        <w:t>readily</w:t>
      </w:r>
      <w:r>
        <w:rPr>
          <w:spacing w:val="-7"/>
          <w:w w:val="105"/>
          <w:sz w:val="13"/>
        </w:rPr>
        <w:t> </w:t>
      </w:r>
      <w:r>
        <w:rPr>
          <w:w w:val="105"/>
          <w:sz w:val="13"/>
        </w:rPr>
        <w:t>available,</w:t>
      </w:r>
      <w:r>
        <w:rPr>
          <w:spacing w:val="40"/>
          <w:w w:val="105"/>
          <w:sz w:val="13"/>
        </w:rPr>
        <w:t> </w:t>
      </w:r>
      <w:r>
        <w:rPr>
          <w:w w:val="105"/>
          <w:sz w:val="13"/>
        </w:rPr>
        <w:t>all in active markets.</w:t>
      </w:r>
    </w:p>
    <w:p>
      <w:pPr>
        <w:spacing w:line="273" w:lineRule="auto" w:before="55"/>
        <w:ind w:left="346" w:right="330" w:firstLine="0"/>
        <w:jc w:val="left"/>
        <w:rPr>
          <w:sz w:val="13"/>
        </w:rPr>
      </w:pPr>
      <w:r>
        <w:rPr>
          <w:w w:val="105"/>
          <w:sz w:val="13"/>
        </w:rPr>
        <w:t>Holdings</w:t>
      </w:r>
      <w:r>
        <w:rPr>
          <w:spacing w:val="-3"/>
          <w:w w:val="105"/>
          <w:sz w:val="13"/>
        </w:rPr>
        <w:t> </w:t>
      </w:r>
      <w:r>
        <w:rPr>
          <w:w w:val="105"/>
          <w:sz w:val="13"/>
        </w:rPr>
        <w:t>have</w:t>
      </w:r>
      <w:r>
        <w:rPr>
          <w:spacing w:val="-4"/>
          <w:w w:val="105"/>
          <w:sz w:val="13"/>
        </w:rPr>
        <w:t> </w:t>
      </w:r>
      <w:r>
        <w:rPr>
          <w:w w:val="105"/>
          <w:sz w:val="13"/>
        </w:rPr>
        <w:t>been</w:t>
      </w:r>
      <w:r>
        <w:rPr>
          <w:spacing w:val="-4"/>
          <w:w w:val="105"/>
          <w:sz w:val="13"/>
        </w:rPr>
        <w:t> </w:t>
      </w:r>
      <w:r>
        <w:rPr>
          <w:w w:val="105"/>
          <w:sz w:val="13"/>
        </w:rPr>
        <w:t>classified</w:t>
      </w:r>
      <w:r>
        <w:rPr>
          <w:spacing w:val="-4"/>
          <w:w w:val="105"/>
          <w:sz w:val="13"/>
        </w:rPr>
        <w:t> </w:t>
      </w:r>
      <w:r>
        <w:rPr>
          <w:w w:val="105"/>
          <w:sz w:val="13"/>
        </w:rPr>
        <w:t>based</w:t>
      </w:r>
      <w:r>
        <w:rPr>
          <w:spacing w:val="-4"/>
          <w:w w:val="105"/>
          <w:sz w:val="13"/>
        </w:rPr>
        <w:t> </w:t>
      </w:r>
      <w:r>
        <w:rPr>
          <w:w w:val="105"/>
          <w:sz w:val="13"/>
        </w:rPr>
        <w:t>on</w:t>
      </w:r>
      <w:r>
        <w:rPr>
          <w:spacing w:val="-4"/>
          <w:w w:val="105"/>
          <w:sz w:val="13"/>
        </w:rPr>
        <w:t> </w:t>
      </w:r>
      <w:r>
        <w:rPr>
          <w:w w:val="105"/>
          <w:sz w:val="13"/>
        </w:rPr>
        <w:t>the</w:t>
      </w:r>
      <w:r>
        <w:rPr>
          <w:spacing w:val="-4"/>
          <w:w w:val="105"/>
          <w:sz w:val="13"/>
        </w:rPr>
        <w:t> </w:t>
      </w:r>
      <w:r>
        <w:rPr>
          <w:w w:val="105"/>
          <w:sz w:val="13"/>
        </w:rPr>
        <w:t>market</w:t>
      </w:r>
      <w:r>
        <w:rPr>
          <w:spacing w:val="-3"/>
          <w:w w:val="105"/>
          <w:sz w:val="13"/>
        </w:rPr>
        <w:t> </w:t>
      </w:r>
      <w:r>
        <w:rPr>
          <w:w w:val="105"/>
          <w:sz w:val="13"/>
        </w:rPr>
        <w:t>price</w:t>
      </w:r>
      <w:r>
        <w:rPr>
          <w:spacing w:val="-4"/>
          <w:w w:val="105"/>
          <w:sz w:val="13"/>
        </w:rPr>
        <w:t> </w:t>
      </w:r>
      <w:r>
        <w:rPr>
          <w:w w:val="105"/>
          <w:sz w:val="13"/>
        </w:rPr>
        <w:t>of</w:t>
      </w:r>
      <w:r>
        <w:rPr>
          <w:spacing w:val="-1"/>
          <w:w w:val="105"/>
          <w:sz w:val="13"/>
        </w:rPr>
        <w:t> </w:t>
      </w:r>
      <w:r>
        <w:rPr>
          <w:w w:val="105"/>
          <w:sz w:val="13"/>
        </w:rPr>
        <w:t>each</w:t>
      </w:r>
      <w:r>
        <w:rPr>
          <w:spacing w:val="-4"/>
          <w:w w:val="105"/>
          <w:sz w:val="13"/>
        </w:rPr>
        <w:t> </w:t>
      </w:r>
      <w:r>
        <w:rPr>
          <w:w w:val="105"/>
          <w:sz w:val="13"/>
        </w:rPr>
        <w:t>holding</w:t>
      </w:r>
      <w:r>
        <w:rPr>
          <w:spacing w:val="-4"/>
          <w:w w:val="105"/>
          <w:sz w:val="13"/>
        </w:rPr>
        <w:t> </w:t>
      </w:r>
      <w:r>
        <w:rPr>
          <w:w w:val="105"/>
          <w:sz w:val="13"/>
        </w:rPr>
        <w:t>and</w:t>
      </w:r>
      <w:r>
        <w:rPr>
          <w:spacing w:val="-4"/>
          <w:w w:val="105"/>
          <w:sz w:val="13"/>
        </w:rPr>
        <w:t> </w:t>
      </w:r>
      <w:r>
        <w:rPr>
          <w:w w:val="105"/>
          <w:sz w:val="13"/>
        </w:rPr>
        <w:t>have</w:t>
      </w:r>
      <w:r>
        <w:rPr>
          <w:spacing w:val="-4"/>
          <w:w w:val="105"/>
          <w:sz w:val="13"/>
        </w:rPr>
        <w:t> </w:t>
      </w:r>
      <w:r>
        <w:rPr>
          <w:w w:val="105"/>
          <w:sz w:val="13"/>
        </w:rPr>
        <w:t>been</w:t>
      </w:r>
      <w:r>
        <w:rPr>
          <w:spacing w:val="-4"/>
          <w:w w:val="105"/>
          <w:sz w:val="13"/>
        </w:rPr>
        <w:t> </w:t>
      </w:r>
      <w:r>
        <w:rPr>
          <w:w w:val="105"/>
          <w:sz w:val="13"/>
        </w:rPr>
        <w:t>classified</w:t>
      </w:r>
      <w:r>
        <w:rPr>
          <w:spacing w:val="-4"/>
          <w:w w:val="105"/>
          <w:sz w:val="13"/>
        </w:rPr>
        <w:t> </w:t>
      </w:r>
      <w:r>
        <w:rPr>
          <w:w w:val="105"/>
          <w:sz w:val="13"/>
        </w:rPr>
        <w:t>as</w:t>
      </w:r>
      <w:r>
        <w:rPr>
          <w:spacing w:val="-3"/>
          <w:w w:val="105"/>
          <w:sz w:val="13"/>
        </w:rPr>
        <w:t> </w:t>
      </w:r>
      <w:r>
        <w:rPr>
          <w:w w:val="105"/>
          <w:sz w:val="13"/>
        </w:rPr>
        <w:t>level</w:t>
      </w:r>
      <w:r>
        <w:rPr>
          <w:spacing w:val="40"/>
          <w:w w:val="105"/>
          <w:sz w:val="13"/>
        </w:rPr>
        <w:t> </w:t>
      </w:r>
      <w:r>
        <w:rPr>
          <w:w w:val="105"/>
          <w:sz w:val="13"/>
        </w:rPr>
        <w:t>1 fair value assets. Holdings in unlisted equity</w:t>
      </w:r>
      <w:r>
        <w:rPr>
          <w:spacing w:val="-1"/>
          <w:w w:val="105"/>
          <w:sz w:val="13"/>
        </w:rPr>
        <w:t> </w:t>
      </w:r>
      <w:r>
        <w:rPr>
          <w:w w:val="105"/>
          <w:sz w:val="13"/>
        </w:rPr>
        <w:t>instruments have been classified as level 3 fair value</w:t>
      </w:r>
      <w:r>
        <w:rPr>
          <w:spacing w:val="40"/>
          <w:w w:val="105"/>
          <w:sz w:val="13"/>
        </w:rPr>
        <w:t> </w:t>
      </w:r>
      <w:r>
        <w:rPr>
          <w:spacing w:val="-2"/>
          <w:w w:val="105"/>
          <w:sz w:val="13"/>
        </w:rPr>
        <w:t>assets.</w:t>
      </w:r>
    </w:p>
    <w:p>
      <w:pPr>
        <w:spacing w:line="273" w:lineRule="auto" w:before="47"/>
        <w:ind w:left="346" w:right="641" w:firstLine="0"/>
        <w:jc w:val="left"/>
        <w:rPr>
          <w:sz w:val="13"/>
        </w:rPr>
      </w:pPr>
      <w:r>
        <w:rPr>
          <w:w w:val="105"/>
          <w:sz w:val="13"/>
        </w:rPr>
        <w:t>Fair</w:t>
      </w:r>
      <w:r>
        <w:rPr>
          <w:spacing w:val="-2"/>
          <w:w w:val="105"/>
          <w:sz w:val="13"/>
        </w:rPr>
        <w:t> </w:t>
      </w:r>
      <w:r>
        <w:rPr>
          <w:w w:val="105"/>
          <w:sz w:val="13"/>
        </w:rPr>
        <w:t>value</w:t>
      </w:r>
      <w:r>
        <w:rPr>
          <w:spacing w:val="-4"/>
          <w:w w:val="105"/>
          <w:sz w:val="13"/>
        </w:rPr>
        <w:t> </w:t>
      </w:r>
      <w:r>
        <w:rPr>
          <w:w w:val="105"/>
          <w:sz w:val="13"/>
        </w:rPr>
        <w:t>is</w:t>
      </w:r>
      <w:r>
        <w:rPr>
          <w:spacing w:val="-3"/>
          <w:w w:val="105"/>
          <w:sz w:val="13"/>
        </w:rPr>
        <w:t> </w:t>
      </w:r>
      <w:r>
        <w:rPr>
          <w:w w:val="105"/>
          <w:sz w:val="13"/>
        </w:rPr>
        <w:t>estimated</w:t>
      </w:r>
      <w:r>
        <w:rPr>
          <w:spacing w:val="-4"/>
          <w:w w:val="105"/>
          <w:sz w:val="13"/>
        </w:rPr>
        <w:t> </w:t>
      </w:r>
      <w:r>
        <w:rPr>
          <w:w w:val="105"/>
          <w:sz w:val="13"/>
        </w:rPr>
        <w:t>as</w:t>
      </w:r>
      <w:r>
        <w:rPr>
          <w:spacing w:val="-3"/>
          <w:w w:val="105"/>
          <w:sz w:val="13"/>
        </w:rPr>
        <w:t> </w:t>
      </w:r>
      <w:r>
        <w:rPr>
          <w:w w:val="105"/>
          <w:sz w:val="13"/>
        </w:rPr>
        <w:t>the</w:t>
      </w:r>
      <w:r>
        <w:rPr>
          <w:spacing w:val="-4"/>
          <w:w w:val="105"/>
          <w:sz w:val="13"/>
        </w:rPr>
        <w:t> </w:t>
      </w:r>
      <w:r>
        <w:rPr>
          <w:w w:val="105"/>
          <w:sz w:val="13"/>
        </w:rPr>
        <w:t>present</w:t>
      </w:r>
      <w:r>
        <w:rPr>
          <w:spacing w:val="-4"/>
          <w:w w:val="105"/>
          <w:sz w:val="13"/>
        </w:rPr>
        <w:t> </w:t>
      </w:r>
      <w:r>
        <w:rPr>
          <w:w w:val="105"/>
          <w:sz w:val="13"/>
        </w:rPr>
        <w:t>value</w:t>
      </w:r>
      <w:r>
        <w:rPr>
          <w:spacing w:val="-4"/>
          <w:w w:val="105"/>
          <w:sz w:val="13"/>
        </w:rPr>
        <w:t> </w:t>
      </w:r>
      <w:r>
        <w:rPr>
          <w:w w:val="105"/>
          <w:sz w:val="13"/>
        </w:rPr>
        <w:t>of</w:t>
      </w:r>
      <w:r>
        <w:rPr>
          <w:spacing w:val="-1"/>
          <w:w w:val="105"/>
          <w:sz w:val="13"/>
        </w:rPr>
        <w:t> </w:t>
      </w:r>
      <w:r>
        <w:rPr>
          <w:w w:val="105"/>
          <w:sz w:val="13"/>
        </w:rPr>
        <w:t>all</w:t>
      </w:r>
      <w:r>
        <w:rPr>
          <w:spacing w:val="-2"/>
          <w:w w:val="105"/>
          <w:sz w:val="13"/>
        </w:rPr>
        <w:t> </w:t>
      </w:r>
      <w:r>
        <w:rPr>
          <w:w w:val="105"/>
          <w:sz w:val="13"/>
        </w:rPr>
        <w:t>future</w:t>
      </w:r>
      <w:r>
        <w:rPr>
          <w:spacing w:val="-4"/>
          <w:w w:val="105"/>
          <w:sz w:val="13"/>
        </w:rPr>
        <w:t> </w:t>
      </w:r>
      <w:r>
        <w:rPr>
          <w:w w:val="105"/>
          <w:sz w:val="13"/>
        </w:rPr>
        <w:t>cash</w:t>
      </w:r>
      <w:r>
        <w:rPr>
          <w:spacing w:val="-4"/>
          <w:w w:val="105"/>
          <w:sz w:val="13"/>
        </w:rPr>
        <w:t> </w:t>
      </w:r>
      <w:r>
        <w:rPr>
          <w:w w:val="105"/>
          <w:sz w:val="13"/>
        </w:rPr>
        <w:t>receipts</w:t>
      </w:r>
      <w:r>
        <w:rPr>
          <w:spacing w:val="-3"/>
          <w:w w:val="105"/>
          <w:sz w:val="13"/>
        </w:rPr>
        <w:t> </w:t>
      </w:r>
      <w:r>
        <w:rPr>
          <w:w w:val="105"/>
          <w:sz w:val="13"/>
        </w:rPr>
        <w:t>discounted</w:t>
      </w:r>
      <w:r>
        <w:rPr>
          <w:spacing w:val="-4"/>
          <w:w w:val="105"/>
          <w:sz w:val="13"/>
        </w:rPr>
        <w:t> </w:t>
      </w:r>
      <w:r>
        <w:rPr>
          <w:w w:val="105"/>
          <w:sz w:val="13"/>
        </w:rPr>
        <w:t>using</w:t>
      </w:r>
      <w:r>
        <w:rPr>
          <w:spacing w:val="-4"/>
          <w:w w:val="105"/>
          <w:sz w:val="13"/>
        </w:rPr>
        <w:t> </w:t>
      </w:r>
      <w:r>
        <w:rPr>
          <w:w w:val="105"/>
          <w:sz w:val="13"/>
        </w:rPr>
        <w:t>the</w:t>
      </w:r>
      <w:r>
        <w:rPr>
          <w:spacing w:val="-4"/>
          <w:w w:val="105"/>
          <w:sz w:val="13"/>
        </w:rPr>
        <w:t> </w:t>
      </w:r>
      <w:r>
        <w:rPr>
          <w:w w:val="105"/>
          <w:sz w:val="13"/>
        </w:rPr>
        <w:t>prevailing</w:t>
      </w:r>
      <w:r>
        <w:rPr>
          <w:spacing w:val="40"/>
          <w:w w:val="105"/>
          <w:sz w:val="13"/>
        </w:rPr>
        <w:t> </w:t>
      </w:r>
      <w:r>
        <w:rPr>
          <w:w w:val="105"/>
          <w:sz w:val="13"/>
        </w:rPr>
        <w:t>market rates of interest for a similar instrument, net of impairment.</w:t>
      </w:r>
    </w:p>
    <w:p>
      <w:pPr>
        <w:spacing w:after="0" w:line="273" w:lineRule="auto"/>
        <w:jc w:val="left"/>
        <w:rPr>
          <w:sz w:val="13"/>
        </w:rPr>
        <w:sectPr>
          <w:type w:val="continuous"/>
          <w:pgSz w:w="11910" w:h="16840"/>
          <w:pgMar w:header="468" w:footer="0" w:top="980" w:bottom="280" w:left="1020" w:right="1540"/>
          <w:cols w:num="2" w:equalWidth="0">
            <w:col w:w="2228" w:space="40"/>
            <w:col w:w="7082"/>
          </w:cols>
        </w:sectPr>
      </w:pPr>
    </w:p>
    <w:p>
      <w:pPr>
        <w:spacing w:line="240" w:lineRule="auto" w:before="78"/>
        <w:rPr>
          <w:sz w:val="13"/>
        </w:rPr>
      </w:pPr>
    </w:p>
    <w:p>
      <w:pPr>
        <w:pStyle w:val="ListParagraph"/>
        <w:numPr>
          <w:ilvl w:val="0"/>
          <w:numId w:val="38"/>
        </w:numPr>
        <w:tabs>
          <w:tab w:pos="806" w:val="left" w:leader="none"/>
        </w:tabs>
        <w:spacing w:line="240" w:lineRule="auto" w:before="0" w:after="0"/>
        <w:ind w:left="806" w:right="0" w:hanging="166"/>
        <w:jc w:val="left"/>
        <w:rPr>
          <w:b/>
          <w:sz w:val="13"/>
        </w:rPr>
      </w:pPr>
      <w:r>
        <w:rPr>
          <w:b/>
          <w:w w:val="105"/>
          <w:sz w:val="13"/>
        </w:rPr>
        <w:t>Recognised</w:t>
      </w:r>
      <w:r>
        <w:rPr>
          <w:b/>
          <w:spacing w:val="-8"/>
          <w:w w:val="105"/>
          <w:sz w:val="13"/>
        </w:rPr>
        <w:t> </w:t>
      </w:r>
      <w:r>
        <w:rPr>
          <w:b/>
          <w:w w:val="105"/>
          <w:sz w:val="13"/>
        </w:rPr>
        <w:t>fair</w:t>
      </w:r>
      <w:r>
        <w:rPr>
          <w:b/>
          <w:spacing w:val="-7"/>
          <w:w w:val="105"/>
          <w:sz w:val="13"/>
        </w:rPr>
        <w:t> </w:t>
      </w:r>
      <w:r>
        <w:rPr>
          <w:b/>
          <w:w w:val="105"/>
          <w:sz w:val="13"/>
        </w:rPr>
        <w:t>value</w:t>
      </w:r>
      <w:r>
        <w:rPr>
          <w:b/>
          <w:spacing w:val="-8"/>
          <w:w w:val="105"/>
          <w:sz w:val="13"/>
        </w:rPr>
        <w:t> </w:t>
      </w:r>
      <w:r>
        <w:rPr>
          <w:b/>
          <w:spacing w:val="-2"/>
          <w:w w:val="105"/>
          <w:sz w:val="13"/>
        </w:rPr>
        <w:t>measurements</w:t>
      </w:r>
    </w:p>
    <w:p>
      <w:pPr>
        <w:spacing w:before="21"/>
        <w:ind w:left="640" w:right="0" w:firstLine="0"/>
        <w:jc w:val="left"/>
        <w:rPr>
          <w:sz w:val="13"/>
        </w:rPr>
      </w:pPr>
      <w:r>
        <w:rPr>
          <w:w w:val="105"/>
          <w:sz w:val="13"/>
        </w:rPr>
        <w:t>Fair</w:t>
      </w:r>
      <w:r>
        <w:rPr>
          <w:spacing w:val="-6"/>
          <w:w w:val="105"/>
          <w:sz w:val="13"/>
        </w:rPr>
        <w:t> </w:t>
      </w:r>
      <w:r>
        <w:rPr>
          <w:w w:val="105"/>
          <w:sz w:val="13"/>
        </w:rPr>
        <w:t>value</w:t>
      </w:r>
      <w:r>
        <w:rPr>
          <w:spacing w:val="-8"/>
          <w:w w:val="105"/>
          <w:sz w:val="13"/>
        </w:rPr>
        <w:t> </w:t>
      </w:r>
      <w:r>
        <w:rPr>
          <w:w w:val="105"/>
          <w:sz w:val="13"/>
        </w:rPr>
        <w:t>measurements</w:t>
      </w:r>
      <w:r>
        <w:rPr>
          <w:spacing w:val="-7"/>
          <w:w w:val="105"/>
          <w:sz w:val="13"/>
        </w:rPr>
        <w:t> </w:t>
      </w:r>
      <w:r>
        <w:rPr>
          <w:w w:val="105"/>
          <w:sz w:val="13"/>
        </w:rPr>
        <w:t>recognised</w:t>
      </w:r>
      <w:r>
        <w:rPr>
          <w:spacing w:val="-7"/>
          <w:w w:val="105"/>
          <w:sz w:val="13"/>
        </w:rPr>
        <w:t> </w:t>
      </w:r>
      <w:r>
        <w:rPr>
          <w:w w:val="105"/>
          <w:sz w:val="13"/>
        </w:rPr>
        <w:t>in</w:t>
      </w:r>
      <w:r>
        <w:rPr>
          <w:spacing w:val="-8"/>
          <w:w w:val="105"/>
          <w:sz w:val="13"/>
        </w:rPr>
        <w:t> </w:t>
      </w:r>
      <w:r>
        <w:rPr>
          <w:w w:val="105"/>
          <w:sz w:val="13"/>
        </w:rPr>
        <w:t>the</w:t>
      </w:r>
      <w:r>
        <w:rPr>
          <w:spacing w:val="-8"/>
          <w:w w:val="105"/>
          <w:sz w:val="13"/>
        </w:rPr>
        <w:t> </w:t>
      </w:r>
      <w:r>
        <w:rPr>
          <w:w w:val="105"/>
          <w:sz w:val="13"/>
        </w:rPr>
        <w:t>balance</w:t>
      </w:r>
      <w:r>
        <w:rPr>
          <w:spacing w:val="-7"/>
          <w:w w:val="105"/>
          <w:sz w:val="13"/>
        </w:rPr>
        <w:t> </w:t>
      </w:r>
      <w:r>
        <w:rPr>
          <w:w w:val="105"/>
          <w:sz w:val="13"/>
        </w:rPr>
        <w:t>sheet</w:t>
      </w:r>
      <w:r>
        <w:rPr>
          <w:spacing w:val="-8"/>
          <w:w w:val="105"/>
          <w:sz w:val="13"/>
        </w:rPr>
        <w:t> </w:t>
      </w:r>
      <w:r>
        <w:rPr>
          <w:w w:val="105"/>
          <w:sz w:val="13"/>
        </w:rPr>
        <w:t>are</w:t>
      </w:r>
      <w:r>
        <w:rPr>
          <w:spacing w:val="-8"/>
          <w:w w:val="105"/>
          <w:sz w:val="13"/>
        </w:rPr>
        <w:t> </w:t>
      </w:r>
      <w:r>
        <w:rPr>
          <w:w w:val="105"/>
          <w:sz w:val="13"/>
        </w:rPr>
        <w:t>categorised</w:t>
      </w:r>
      <w:r>
        <w:rPr>
          <w:spacing w:val="-7"/>
          <w:w w:val="105"/>
          <w:sz w:val="13"/>
        </w:rPr>
        <w:t> </w:t>
      </w:r>
      <w:r>
        <w:rPr>
          <w:w w:val="105"/>
          <w:sz w:val="13"/>
        </w:rPr>
        <w:t>into</w:t>
      </w:r>
      <w:r>
        <w:rPr>
          <w:spacing w:val="-8"/>
          <w:w w:val="105"/>
          <w:sz w:val="13"/>
        </w:rPr>
        <w:t> </w:t>
      </w:r>
      <w:r>
        <w:rPr>
          <w:w w:val="105"/>
          <w:sz w:val="13"/>
        </w:rPr>
        <w:t>the</w:t>
      </w:r>
      <w:r>
        <w:rPr>
          <w:spacing w:val="-7"/>
          <w:w w:val="105"/>
          <w:sz w:val="13"/>
        </w:rPr>
        <w:t> </w:t>
      </w:r>
      <w:r>
        <w:rPr>
          <w:w w:val="105"/>
          <w:sz w:val="13"/>
        </w:rPr>
        <w:t>following</w:t>
      </w:r>
      <w:r>
        <w:rPr>
          <w:spacing w:val="-8"/>
          <w:w w:val="105"/>
          <w:sz w:val="13"/>
        </w:rPr>
        <w:t> </w:t>
      </w:r>
      <w:r>
        <w:rPr>
          <w:spacing w:val="-2"/>
          <w:w w:val="105"/>
          <w:sz w:val="13"/>
        </w:rPr>
        <w:t>levels:</w:t>
      </w:r>
    </w:p>
    <w:p>
      <w:pPr>
        <w:spacing w:line="240" w:lineRule="auto" w:before="8" w:after="0"/>
        <w:rPr>
          <w:sz w:val="15"/>
        </w:rPr>
      </w:pPr>
    </w:p>
    <w:tbl>
      <w:tblPr>
        <w:tblW w:w="0" w:type="auto"/>
        <w:jc w:val="left"/>
        <w:tblInd w:w="5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85"/>
        <w:gridCol w:w="1446"/>
        <w:gridCol w:w="949"/>
        <w:gridCol w:w="1104"/>
        <w:gridCol w:w="927"/>
        <w:gridCol w:w="861"/>
      </w:tblGrid>
      <w:tr>
        <w:trPr>
          <w:trHeight w:val="340" w:hRule="atLeast"/>
        </w:trPr>
        <w:tc>
          <w:tcPr>
            <w:tcW w:w="3185" w:type="dxa"/>
          </w:tcPr>
          <w:p>
            <w:pPr>
              <w:pStyle w:val="TableParagraph"/>
              <w:spacing w:line="172" w:lineRule="exact"/>
              <w:ind w:left="48" w:right="418"/>
              <w:rPr>
                <w:b/>
                <w:sz w:val="13"/>
              </w:rPr>
            </w:pPr>
            <w:r>
              <w:rPr>
                <w:b/>
                <w:w w:val="105"/>
                <w:sz w:val="13"/>
              </w:rPr>
              <w:t>Consolidated 31 December 2020</w:t>
            </w:r>
            <w:r>
              <w:rPr>
                <w:b/>
                <w:spacing w:val="40"/>
                <w:w w:val="105"/>
                <w:sz w:val="13"/>
              </w:rPr>
              <w:t> </w:t>
            </w:r>
            <w:r>
              <w:rPr>
                <w:b/>
                <w:w w:val="105"/>
                <w:sz w:val="13"/>
              </w:rPr>
              <w:t>Recurring</w:t>
            </w:r>
            <w:r>
              <w:rPr>
                <w:b/>
                <w:spacing w:val="-10"/>
                <w:w w:val="105"/>
                <w:sz w:val="13"/>
              </w:rPr>
              <w:t> </w:t>
            </w:r>
            <w:r>
              <w:rPr>
                <w:b/>
                <w:w w:val="105"/>
                <w:sz w:val="13"/>
              </w:rPr>
              <w:t>fair</w:t>
            </w:r>
            <w:r>
              <w:rPr>
                <w:b/>
                <w:spacing w:val="-9"/>
                <w:w w:val="105"/>
                <w:sz w:val="13"/>
              </w:rPr>
              <w:t> </w:t>
            </w:r>
            <w:r>
              <w:rPr>
                <w:b/>
                <w:w w:val="105"/>
                <w:sz w:val="13"/>
              </w:rPr>
              <w:t>value</w:t>
            </w:r>
            <w:r>
              <w:rPr>
                <w:b/>
                <w:spacing w:val="-10"/>
                <w:w w:val="105"/>
                <w:sz w:val="13"/>
              </w:rPr>
              <w:t> </w:t>
            </w:r>
            <w:r>
              <w:rPr>
                <w:b/>
                <w:w w:val="105"/>
                <w:sz w:val="13"/>
              </w:rPr>
              <w:t>measurements</w:t>
            </w:r>
          </w:p>
        </w:tc>
        <w:tc>
          <w:tcPr>
            <w:tcW w:w="1446" w:type="dxa"/>
          </w:tcPr>
          <w:p>
            <w:pPr>
              <w:pStyle w:val="TableParagraph"/>
              <w:spacing w:before="41"/>
              <w:rPr>
                <w:sz w:val="13"/>
              </w:rPr>
            </w:pPr>
          </w:p>
          <w:p>
            <w:pPr>
              <w:pStyle w:val="TableParagraph"/>
              <w:spacing w:line="130" w:lineRule="exact"/>
              <w:ind w:right="281"/>
              <w:jc w:val="right"/>
              <w:rPr>
                <w:b/>
                <w:sz w:val="13"/>
              </w:rPr>
            </w:pPr>
            <w:r>
              <w:rPr>
                <w:b/>
                <w:spacing w:val="-4"/>
                <w:w w:val="105"/>
                <w:sz w:val="13"/>
              </w:rPr>
              <w:t>Note</w:t>
            </w:r>
          </w:p>
        </w:tc>
        <w:tc>
          <w:tcPr>
            <w:tcW w:w="949" w:type="dxa"/>
            <w:tcBorders>
              <w:bottom w:val="single" w:sz="6" w:space="0" w:color="000000"/>
            </w:tcBorders>
          </w:tcPr>
          <w:p>
            <w:pPr>
              <w:pStyle w:val="TableParagraph"/>
              <w:spacing w:before="2"/>
              <w:ind w:left="15" w:right="2"/>
              <w:jc w:val="center"/>
              <w:rPr>
                <w:b/>
                <w:sz w:val="13"/>
              </w:rPr>
            </w:pPr>
            <w:r>
              <w:rPr>
                <w:b/>
                <w:spacing w:val="-4"/>
                <w:w w:val="105"/>
                <w:sz w:val="13"/>
              </w:rPr>
              <w:t>2020</w:t>
            </w:r>
          </w:p>
          <w:p>
            <w:pPr>
              <w:pStyle w:val="TableParagraph"/>
              <w:spacing w:line="145" w:lineRule="exact" w:before="23"/>
              <w:ind w:left="15"/>
              <w:jc w:val="center"/>
              <w:rPr>
                <w:b/>
                <w:sz w:val="13"/>
              </w:rPr>
            </w:pPr>
            <w:r>
              <w:rPr>
                <w:b/>
                <w:spacing w:val="-2"/>
                <w:w w:val="105"/>
                <w:sz w:val="13"/>
              </w:rPr>
              <w:t>$'000</w:t>
            </w:r>
          </w:p>
        </w:tc>
        <w:tc>
          <w:tcPr>
            <w:tcW w:w="1104" w:type="dxa"/>
            <w:tcBorders>
              <w:bottom w:val="single" w:sz="6" w:space="0" w:color="000000"/>
            </w:tcBorders>
          </w:tcPr>
          <w:p>
            <w:pPr>
              <w:pStyle w:val="TableParagraph"/>
              <w:spacing w:before="2"/>
              <w:ind w:left="273"/>
              <w:rPr>
                <w:b/>
                <w:sz w:val="13"/>
              </w:rPr>
            </w:pPr>
            <w:r>
              <w:rPr>
                <w:b/>
                <w:w w:val="105"/>
                <w:sz w:val="13"/>
              </w:rPr>
              <w:t>Level</w:t>
            </w:r>
            <w:r>
              <w:rPr>
                <w:b/>
                <w:spacing w:val="-9"/>
                <w:w w:val="105"/>
                <w:sz w:val="13"/>
              </w:rPr>
              <w:t> </w:t>
            </w:r>
            <w:r>
              <w:rPr>
                <w:b/>
                <w:spacing w:val="-10"/>
                <w:w w:val="105"/>
                <w:sz w:val="13"/>
              </w:rPr>
              <w:t>1</w:t>
            </w:r>
          </w:p>
          <w:p>
            <w:pPr>
              <w:pStyle w:val="TableParagraph"/>
              <w:spacing w:line="145" w:lineRule="exact" w:before="23"/>
              <w:ind w:left="336"/>
              <w:rPr>
                <w:b/>
                <w:sz w:val="13"/>
              </w:rPr>
            </w:pPr>
            <w:r>
              <w:rPr>
                <w:b/>
                <w:spacing w:val="-2"/>
                <w:w w:val="105"/>
                <w:sz w:val="13"/>
              </w:rPr>
              <w:t>$'000</w:t>
            </w:r>
          </w:p>
        </w:tc>
        <w:tc>
          <w:tcPr>
            <w:tcW w:w="927" w:type="dxa"/>
            <w:tcBorders>
              <w:bottom w:val="single" w:sz="6" w:space="0" w:color="000000"/>
            </w:tcBorders>
          </w:tcPr>
          <w:p>
            <w:pPr>
              <w:pStyle w:val="TableParagraph"/>
              <w:spacing w:before="2"/>
              <w:ind w:left="142"/>
              <w:rPr>
                <w:b/>
                <w:sz w:val="13"/>
              </w:rPr>
            </w:pPr>
            <w:r>
              <w:rPr>
                <w:b/>
                <w:w w:val="105"/>
                <w:sz w:val="13"/>
              </w:rPr>
              <w:t>Level</w:t>
            </w:r>
            <w:r>
              <w:rPr>
                <w:b/>
                <w:spacing w:val="-9"/>
                <w:w w:val="105"/>
                <w:sz w:val="13"/>
              </w:rPr>
              <w:t> </w:t>
            </w:r>
            <w:r>
              <w:rPr>
                <w:b/>
                <w:spacing w:val="-10"/>
                <w:w w:val="105"/>
                <w:sz w:val="13"/>
              </w:rPr>
              <w:t>2</w:t>
            </w:r>
          </w:p>
          <w:p>
            <w:pPr>
              <w:pStyle w:val="TableParagraph"/>
              <w:spacing w:line="145" w:lineRule="exact" w:before="23"/>
              <w:ind w:left="204"/>
              <w:rPr>
                <w:b/>
                <w:sz w:val="13"/>
              </w:rPr>
            </w:pPr>
            <w:r>
              <w:rPr>
                <w:b/>
                <w:spacing w:val="-2"/>
                <w:w w:val="105"/>
                <w:sz w:val="13"/>
              </w:rPr>
              <w:t>$'000</w:t>
            </w:r>
          </w:p>
        </w:tc>
        <w:tc>
          <w:tcPr>
            <w:tcW w:w="861" w:type="dxa"/>
            <w:tcBorders>
              <w:bottom w:val="single" w:sz="6" w:space="0" w:color="000000"/>
            </w:tcBorders>
          </w:tcPr>
          <w:p>
            <w:pPr>
              <w:pStyle w:val="TableParagraph"/>
              <w:spacing w:before="2"/>
              <w:ind w:left="164"/>
              <w:rPr>
                <w:b/>
                <w:sz w:val="13"/>
              </w:rPr>
            </w:pPr>
            <w:r>
              <w:rPr>
                <w:b/>
                <w:w w:val="105"/>
                <w:sz w:val="13"/>
              </w:rPr>
              <w:t>Level</w:t>
            </w:r>
            <w:r>
              <w:rPr>
                <w:b/>
                <w:spacing w:val="-9"/>
                <w:w w:val="105"/>
                <w:sz w:val="13"/>
              </w:rPr>
              <w:t> </w:t>
            </w:r>
            <w:r>
              <w:rPr>
                <w:b/>
                <w:spacing w:val="-10"/>
                <w:w w:val="105"/>
                <w:sz w:val="13"/>
              </w:rPr>
              <w:t>3</w:t>
            </w:r>
          </w:p>
          <w:p>
            <w:pPr>
              <w:pStyle w:val="TableParagraph"/>
              <w:spacing w:line="145" w:lineRule="exact" w:before="23"/>
              <w:ind w:left="226"/>
              <w:rPr>
                <w:b/>
                <w:sz w:val="13"/>
              </w:rPr>
            </w:pPr>
            <w:r>
              <w:rPr>
                <w:b/>
                <w:spacing w:val="-2"/>
                <w:w w:val="105"/>
                <w:sz w:val="13"/>
              </w:rPr>
              <w:t>$'000</w:t>
            </w:r>
          </w:p>
        </w:tc>
      </w:tr>
      <w:tr>
        <w:trPr>
          <w:trHeight w:val="499" w:hRule="atLeast"/>
        </w:trPr>
        <w:tc>
          <w:tcPr>
            <w:tcW w:w="3185" w:type="dxa"/>
          </w:tcPr>
          <w:p>
            <w:pPr>
              <w:pStyle w:val="TableParagraph"/>
              <w:spacing w:before="27"/>
              <w:rPr>
                <w:sz w:val="13"/>
              </w:rPr>
            </w:pPr>
          </w:p>
          <w:p>
            <w:pPr>
              <w:pStyle w:val="TableParagraph"/>
              <w:ind w:left="48"/>
              <w:rPr>
                <w:b/>
                <w:sz w:val="13"/>
              </w:rPr>
            </w:pPr>
            <w:r>
              <w:rPr>
                <w:b/>
                <w:w w:val="105"/>
                <w:sz w:val="13"/>
              </w:rPr>
              <w:t>Financial</w:t>
            </w:r>
            <w:r>
              <w:rPr>
                <w:b/>
                <w:spacing w:val="-9"/>
                <w:w w:val="105"/>
                <w:sz w:val="13"/>
              </w:rPr>
              <w:t> </w:t>
            </w:r>
            <w:r>
              <w:rPr>
                <w:b/>
                <w:spacing w:val="-2"/>
                <w:w w:val="105"/>
                <w:sz w:val="13"/>
              </w:rPr>
              <w:t>assets</w:t>
            </w:r>
          </w:p>
          <w:p>
            <w:pPr>
              <w:pStyle w:val="TableParagraph"/>
              <w:spacing w:line="132" w:lineRule="exact" w:before="21"/>
              <w:ind w:left="48"/>
              <w:rPr>
                <w:sz w:val="13"/>
              </w:rPr>
            </w:pPr>
            <w:r>
              <w:rPr>
                <w:w w:val="105"/>
                <w:sz w:val="13"/>
              </w:rPr>
              <w:t>Other</w:t>
            </w:r>
            <w:r>
              <w:rPr>
                <w:spacing w:val="-7"/>
                <w:w w:val="105"/>
                <w:sz w:val="13"/>
              </w:rPr>
              <w:t> </w:t>
            </w:r>
            <w:r>
              <w:rPr>
                <w:w w:val="105"/>
                <w:sz w:val="13"/>
              </w:rPr>
              <w:t>financial</w:t>
            </w:r>
            <w:r>
              <w:rPr>
                <w:spacing w:val="-6"/>
                <w:w w:val="105"/>
                <w:sz w:val="13"/>
              </w:rPr>
              <w:t> </w:t>
            </w:r>
            <w:r>
              <w:rPr>
                <w:spacing w:val="-2"/>
                <w:w w:val="105"/>
                <w:sz w:val="13"/>
              </w:rPr>
              <w:t>assets</w:t>
            </w:r>
          </w:p>
        </w:tc>
        <w:tc>
          <w:tcPr>
            <w:tcW w:w="1446" w:type="dxa"/>
          </w:tcPr>
          <w:p>
            <w:pPr>
              <w:pStyle w:val="TableParagraph"/>
              <w:rPr>
                <w:sz w:val="13"/>
              </w:rPr>
            </w:pPr>
          </w:p>
          <w:p>
            <w:pPr>
              <w:pStyle w:val="TableParagraph"/>
              <w:spacing w:before="48"/>
              <w:rPr>
                <w:sz w:val="13"/>
              </w:rPr>
            </w:pPr>
          </w:p>
          <w:p>
            <w:pPr>
              <w:pStyle w:val="TableParagraph"/>
              <w:spacing w:line="132" w:lineRule="exact"/>
              <w:ind w:right="341"/>
              <w:jc w:val="right"/>
              <w:rPr>
                <w:sz w:val="13"/>
              </w:rPr>
            </w:pPr>
            <w:r>
              <w:rPr>
                <w:spacing w:val="-5"/>
                <w:w w:val="105"/>
                <w:sz w:val="13"/>
              </w:rPr>
              <w:t>6.2</w:t>
            </w:r>
          </w:p>
        </w:tc>
        <w:tc>
          <w:tcPr>
            <w:tcW w:w="949" w:type="dxa"/>
            <w:tcBorders>
              <w:top w:val="single" w:sz="6" w:space="0" w:color="000000"/>
              <w:bottom w:val="single" w:sz="6" w:space="0" w:color="000000"/>
              <w:right w:val="single" w:sz="6" w:space="0" w:color="000000"/>
            </w:tcBorders>
          </w:tcPr>
          <w:p>
            <w:pPr>
              <w:pStyle w:val="TableParagraph"/>
              <w:rPr>
                <w:sz w:val="13"/>
              </w:rPr>
            </w:pPr>
          </w:p>
          <w:p>
            <w:pPr>
              <w:pStyle w:val="TableParagraph"/>
              <w:spacing w:before="35"/>
              <w:rPr>
                <w:sz w:val="13"/>
              </w:rPr>
            </w:pPr>
          </w:p>
          <w:p>
            <w:pPr>
              <w:pStyle w:val="TableParagraph"/>
              <w:spacing w:line="145" w:lineRule="exact"/>
              <w:ind w:right="62"/>
              <w:jc w:val="right"/>
              <w:rPr>
                <w:sz w:val="13"/>
              </w:rPr>
            </w:pPr>
            <w:r>
              <w:rPr>
                <w:spacing w:val="-2"/>
                <w:w w:val="105"/>
                <w:sz w:val="13"/>
              </w:rPr>
              <w:t>940,148</w:t>
            </w:r>
          </w:p>
        </w:tc>
        <w:tc>
          <w:tcPr>
            <w:tcW w:w="1104" w:type="dxa"/>
            <w:tcBorders>
              <w:top w:val="single" w:sz="6" w:space="0" w:color="000000"/>
              <w:left w:val="single" w:sz="6" w:space="0" w:color="000000"/>
              <w:bottom w:val="single" w:sz="6" w:space="0" w:color="000000"/>
            </w:tcBorders>
          </w:tcPr>
          <w:p>
            <w:pPr>
              <w:pStyle w:val="TableParagraph"/>
              <w:rPr>
                <w:sz w:val="13"/>
              </w:rPr>
            </w:pPr>
          </w:p>
          <w:p>
            <w:pPr>
              <w:pStyle w:val="TableParagraph"/>
              <w:spacing w:before="35"/>
              <w:rPr>
                <w:sz w:val="13"/>
              </w:rPr>
            </w:pPr>
          </w:p>
          <w:p>
            <w:pPr>
              <w:pStyle w:val="TableParagraph"/>
              <w:spacing w:line="145" w:lineRule="exact"/>
              <w:ind w:right="181"/>
              <w:jc w:val="right"/>
              <w:rPr>
                <w:sz w:val="13"/>
              </w:rPr>
            </w:pPr>
            <w:r>
              <w:rPr>
                <w:spacing w:val="-2"/>
                <w:w w:val="105"/>
                <w:sz w:val="13"/>
              </w:rPr>
              <w:t>870,012</w:t>
            </w:r>
          </w:p>
        </w:tc>
        <w:tc>
          <w:tcPr>
            <w:tcW w:w="927" w:type="dxa"/>
            <w:tcBorders>
              <w:top w:val="single" w:sz="6" w:space="0" w:color="000000"/>
              <w:bottom w:val="single" w:sz="6" w:space="0" w:color="000000"/>
            </w:tcBorders>
          </w:tcPr>
          <w:p>
            <w:pPr>
              <w:pStyle w:val="TableParagraph"/>
              <w:rPr>
                <w:sz w:val="13"/>
              </w:rPr>
            </w:pPr>
          </w:p>
          <w:p>
            <w:pPr>
              <w:pStyle w:val="TableParagraph"/>
              <w:spacing w:before="35"/>
              <w:rPr>
                <w:sz w:val="13"/>
              </w:rPr>
            </w:pPr>
          </w:p>
          <w:p>
            <w:pPr>
              <w:pStyle w:val="TableParagraph"/>
              <w:spacing w:line="145" w:lineRule="exact"/>
              <w:ind w:right="158"/>
              <w:jc w:val="right"/>
              <w:rPr>
                <w:sz w:val="13"/>
              </w:rPr>
            </w:pPr>
            <w:r>
              <w:rPr>
                <w:spacing w:val="-2"/>
                <w:w w:val="105"/>
                <w:sz w:val="13"/>
              </w:rPr>
              <w:t>13,172</w:t>
            </w:r>
          </w:p>
        </w:tc>
        <w:tc>
          <w:tcPr>
            <w:tcW w:w="861" w:type="dxa"/>
            <w:tcBorders>
              <w:top w:val="single" w:sz="6" w:space="0" w:color="000000"/>
              <w:bottom w:val="single" w:sz="6" w:space="0" w:color="000000"/>
            </w:tcBorders>
          </w:tcPr>
          <w:p>
            <w:pPr>
              <w:pStyle w:val="TableParagraph"/>
              <w:rPr>
                <w:sz w:val="13"/>
              </w:rPr>
            </w:pPr>
          </w:p>
          <w:p>
            <w:pPr>
              <w:pStyle w:val="TableParagraph"/>
              <w:spacing w:before="35"/>
              <w:rPr>
                <w:sz w:val="13"/>
              </w:rPr>
            </w:pPr>
          </w:p>
          <w:p>
            <w:pPr>
              <w:pStyle w:val="TableParagraph"/>
              <w:spacing w:line="145" w:lineRule="exact"/>
              <w:ind w:right="69"/>
              <w:jc w:val="right"/>
              <w:rPr>
                <w:sz w:val="13"/>
              </w:rPr>
            </w:pPr>
            <w:r>
              <w:rPr>
                <w:spacing w:val="-2"/>
                <w:w w:val="105"/>
                <w:sz w:val="13"/>
              </w:rPr>
              <w:t>56,964</w:t>
            </w:r>
          </w:p>
        </w:tc>
      </w:tr>
      <w:tr>
        <w:trPr>
          <w:trHeight w:val="157" w:hRule="atLeast"/>
        </w:trPr>
        <w:tc>
          <w:tcPr>
            <w:tcW w:w="3185" w:type="dxa"/>
          </w:tcPr>
          <w:p>
            <w:pPr>
              <w:pStyle w:val="TableParagraph"/>
              <w:spacing w:line="130" w:lineRule="exact" w:before="8"/>
              <w:ind w:left="48"/>
              <w:rPr>
                <w:b/>
                <w:sz w:val="13"/>
              </w:rPr>
            </w:pPr>
            <w:r>
              <w:rPr>
                <w:b/>
                <w:w w:val="105"/>
                <w:sz w:val="13"/>
              </w:rPr>
              <w:t>Total</w:t>
            </w:r>
            <w:r>
              <w:rPr>
                <w:b/>
                <w:spacing w:val="-6"/>
                <w:w w:val="105"/>
                <w:sz w:val="13"/>
              </w:rPr>
              <w:t> </w:t>
            </w:r>
            <w:r>
              <w:rPr>
                <w:b/>
                <w:w w:val="105"/>
                <w:sz w:val="13"/>
              </w:rPr>
              <w:t>financial</w:t>
            </w:r>
            <w:r>
              <w:rPr>
                <w:b/>
                <w:spacing w:val="-6"/>
                <w:w w:val="105"/>
                <w:sz w:val="13"/>
              </w:rPr>
              <w:t> </w:t>
            </w:r>
            <w:r>
              <w:rPr>
                <w:b/>
                <w:spacing w:val="-2"/>
                <w:w w:val="105"/>
                <w:sz w:val="13"/>
              </w:rPr>
              <w:t>assets</w:t>
            </w:r>
          </w:p>
        </w:tc>
        <w:tc>
          <w:tcPr>
            <w:tcW w:w="1446" w:type="dxa"/>
          </w:tcPr>
          <w:p>
            <w:pPr>
              <w:pStyle w:val="TableParagraph"/>
              <w:rPr>
                <w:rFonts w:ascii="Times New Roman"/>
                <w:sz w:val="10"/>
              </w:rPr>
            </w:pPr>
          </w:p>
        </w:tc>
        <w:tc>
          <w:tcPr>
            <w:tcW w:w="949" w:type="dxa"/>
            <w:tcBorders>
              <w:top w:val="single" w:sz="6" w:space="0" w:color="000000"/>
              <w:bottom w:val="single" w:sz="6" w:space="0" w:color="000000"/>
              <w:right w:val="single" w:sz="6" w:space="0" w:color="000000"/>
            </w:tcBorders>
          </w:tcPr>
          <w:p>
            <w:pPr>
              <w:pStyle w:val="TableParagraph"/>
              <w:spacing w:line="138" w:lineRule="exact"/>
              <w:ind w:right="62"/>
              <w:jc w:val="right"/>
              <w:rPr>
                <w:b/>
                <w:sz w:val="13"/>
              </w:rPr>
            </w:pPr>
            <w:r>
              <w:rPr>
                <w:b/>
                <w:spacing w:val="-2"/>
                <w:w w:val="105"/>
                <w:sz w:val="13"/>
              </w:rPr>
              <w:t>940,148</w:t>
            </w:r>
          </w:p>
        </w:tc>
        <w:tc>
          <w:tcPr>
            <w:tcW w:w="1104" w:type="dxa"/>
            <w:tcBorders>
              <w:top w:val="single" w:sz="6" w:space="0" w:color="000000"/>
              <w:left w:val="single" w:sz="6" w:space="0" w:color="000000"/>
              <w:bottom w:val="single" w:sz="6" w:space="0" w:color="000000"/>
            </w:tcBorders>
          </w:tcPr>
          <w:p>
            <w:pPr>
              <w:pStyle w:val="TableParagraph"/>
              <w:spacing w:line="138" w:lineRule="exact"/>
              <w:ind w:right="181"/>
              <w:jc w:val="right"/>
              <w:rPr>
                <w:b/>
                <w:sz w:val="13"/>
              </w:rPr>
            </w:pPr>
            <w:r>
              <w:rPr>
                <w:b/>
                <w:spacing w:val="-2"/>
                <w:w w:val="105"/>
                <w:sz w:val="13"/>
              </w:rPr>
              <w:t>870,012</w:t>
            </w:r>
          </w:p>
        </w:tc>
        <w:tc>
          <w:tcPr>
            <w:tcW w:w="927" w:type="dxa"/>
            <w:tcBorders>
              <w:top w:val="single" w:sz="6" w:space="0" w:color="000000"/>
              <w:bottom w:val="single" w:sz="6" w:space="0" w:color="000000"/>
            </w:tcBorders>
          </w:tcPr>
          <w:p>
            <w:pPr>
              <w:pStyle w:val="TableParagraph"/>
              <w:spacing w:line="138" w:lineRule="exact"/>
              <w:ind w:right="158"/>
              <w:jc w:val="right"/>
              <w:rPr>
                <w:b/>
                <w:sz w:val="13"/>
              </w:rPr>
            </w:pPr>
            <w:r>
              <w:rPr>
                <w:b/>
                <w:spacing w:val="-2"/>
                <w:w w:val="105"/>
                <w:sz w:val="13"/>
              </w:rPr>
              <w:t>13,172</w:t>
            </w:r>
          </w:p>
        </w:tc>
        <w:tc>
          <w:tcPr>
            <w:tcW w:w="861" w:type="dxa"/>
            <w:tcBorders>
              <w:top w:val="single" w:sz="6" w:space="0" w:color="000000"/>
              <w:bottom w:val="single" w:sz="6" w:space="0" w:color="000000"/>
            </w:tcBorders>
          </w:tcPr>
          <w:p>
            <w:pPr>
              <w:pStyle w:val="TableParagraph"/>
              <w:spacing w:line="138" w:lineRule="exact"/>
              <w:ind w:right="69"/>
              <w:jc w:val="right"/>
              <w:rPr>
                <w:b/>
                <w:sz w:val="13"/>
              </w:rPr>
            </w:pPr>
            <w:r>
              <w:rPr>
                <w:b/>
                <w:spacing w:val="-2"/>
                <w:w w:val="105"/>
                <w:sz w:val="13"/>
              </w:rPr>
              <w:t>56,964</w:t>
            </w:r>
          </w:p>
        </w:tc>
      </w:tr>
      <w:tr>
        <w:trPr>
          <w:trHeight w:val="503" w:hRule="atLeast"/>
        </w:trPr>
        <w:tc>
          <w:tcPr>
            <w:tcW w:w="3185" w:type="dxa"/>
          </w:tcPr>
          <w:p>
            <w:pPr>
              <w:pStyle w:val="TableParagraph"/>
              <w:spacing w:before="31"/>
              <w:rPr>
                <w:sz w:val="13"/>
              </w:rPr>
            </w:pPr>
          </w:p>
          <w:p>
            <w:pPr>
              <w:pStyle w:val="TableParagraph"/>
              <w:ind w:left="48"/>
              <w:rPr>
                <w:b/>
                <w:sz w:val="13"/>
              </w:rPr>
            </w:pPr>
            <w:r>
              <w:rPr>
                <w:b/>
                <w:w w:val="105"/>
                <w:sz w:val="13"/>
              </w:rPr>
              <w:t>Non-financial</w:t>
            </w:r>
            <w:r>
              <w:rPr>
                <w:b/>
                <w:spacing w:val="-9"/>
                <w:w w:val="105"/>
                <w:sz w:val="13"/>
              </w:rPr>
              <w:t> </w:t>
            </w:r>
            <w:r>
              <w:rPr>
                <w:b/>
                <w:spacing w:val="-2"/>
                <w:w w:val="105"/>
                <w:sz w:val="13"/>
              </w:rPr>
              <w:t>assets</w:t>
            </w:r>
          </w:p>
          <w:p>
            <w:pPr>
              <w:pStyle w:val="TableParagraph"/>
              <w:spacing w:line="132" w:lineRule="exact" w:before="21"/>
              <w:ind w:left="48"/>
              <w:rPr>
                <w:sz w:val="13"/>
              </w:rPr>
            </w:pPr>
            <w:r>
              <w:rPr>
                <w:spacing w:val="-2"/>
                <w:w w:val="105"/>
                <w:sz w:val="13"/>
              </w:rPr>
              <w:t>Investment</w:t>
            </w:r>
            <w:r>
              <w:rPr>
                <w:spacing w:val="8"/>
                <w:w w:val="105"/>
                <w:sz w:val="13"/>
              </w:rPr>
              <w:t> </w:t>
            </w:r>
            <w:r>
              <w:rPr>
                <w:spacing w:val="-2"/>
                <w:w w:val="105"/>
                <w:sz w:val="13"/>
              </w:rPr>
              <w:t>properties</w:t>
            </w:r>
          </w:p>
        </w:tc>
        <w:tc>
          <w:tcPr>
            <w:tcW w:w="1446" w:type="dxa"/>
          </w:tcPr>
          <w:p>
            <w:pPr>
              <w:pStyle w:val="TableParagraph"/>
              <w:rPr>
                <w:sz w:val="13"/>
              </w:rPr>
            </w:pPr>
          </w:p>
          <w:p>
            <w:pPr>
              <w:pStyle w:val="TableParagraph"/>
              <w:spacing w:before="52"/>
              <w:rPr>
                <w:sz w:val="13"/>
              </w:rPr>
            </w:pPr>
          </w:p>
          <w:p>
            <w:pPr>
              <w:pStyle w:val="TableParagraph"/>
              <w:spacing w:line="132" w:lineRule="exact"/>
              <w:ind w:right="341"/>
              <w:jc w:val="right"/>
              <w:rPr>
                <w:sz w:val="13"/>
              </w:rPr>
            </w:pPr>
            <w:r>
              <w:rPr>
                <w:spacing w:val="-5"/>
                <w:w w:val="105"/>
                <w:sz w:val="13"/>
              </w:rPr>
              <w:t>5.3</w:t>
            </w:r>
          </w:p>
        </w:tc>
        <w:tc>
          <w:tcPr>
            <w:tcW w:w="949" w:type="dxa"/>
            <w:tcBorders>
              <w:top w:val="single" w:sz="6" w:space="0" w:color="000000"/>
              <w:bottom w:val="single" w:sz="6" w:space="0" w:color="000000"/>
              <w:right w:val="single" w:sz="6" w:space="0" w:color="000000"/>
            </w:tcBorders>
          </w:tcPr>
          <w:p>
            <w:pPr>
              <w:pStyle w:val="TableParagraph"/>
              <w:rPr>
                <w:sz w:val="13"/>
              </w:rPr>
            </w:pPr>
          </w:p>
          <w:p>
            <w:pPr>
              <w:pStyle w:val="TableParagraph"/>
              <w:spacing w:before="38"/>
              <w:rPr>
                <w:sz w:val="13"/>
              </w:rPr>
            </w:pPr>
          </w:p>
          <w:p>
            <w:pPr>
              <w:pStyle w:val="TableParagraph"/>
              <w:spacing w:line="145" w:lineRule="exact"/>
              <w:ind w:right="62"/>
              <w:jc w:val="right"/>
              <w:rPr>
                <w:sz w:val="13"/>
              </w:rPr>
            </w:pPr>
            <w:r>
              <w:rPr>
                <w:spacing w:val="-2"/>
                <w:w w:val="105"/>
                <w:sz w:val="13"/>
              </w:rPr>
              <w:t>34,958</w:t>
            </w:r>
          </w:p>
        </w:tc>
        <w:tc>
          <w:tcPr>
            <w:tcW w:w="1104" w:type="dxa"/>
            <w:tcBorders>
              <w:top w:val="single" w:sz="6" w:space="0" w:color="000000"/>
              <w:left w:val="single" w:sz="6" w:space="0" w:color="000000"/>
              <w:bottom w:val="single" w:sz="6" w:space="0" w:color="000000"/>
            </w:tcBorders>
          </w:tcPr>
          <w:p>
            <w:pPr>
              <w:pStyle w:val="TableParagraph"/>
              <w:rPr>
                <w:sz w:val="13"/>
              </w:rPr>
            </w:pPr>
          </w:p>
          <w:p>
            <w:pPr>
              <w:pStyle w:val="TableParagraph"/>
              <w:spacing w:before="52"/>
              <w:rPr>
                <w:sz w:val="13"/>
              </w:rPr>
            </w:pPr>
          </w:p>
          <w:p>
            <w:pPr>
              <w:pStyle w:val="TableParagraph"/>
              <w:spacing w:line="132" w:lineRule="exact"/>
              <w:ind w:right="135"/>
              <w:jc w:val="right"/>
              <w:rPr>
                <w:sz w:val="13"/>
              </w:rPr>
            </w:pPr>
            <w:r>
              <w:rPr>
                <w:spacing w:val="-10"/>
                <w:w w:val="105"/>
                <w:sz w:val="13"/>
              </w:rPr>
              <w:t>-</w:t>
            </w:r>
          </w:p>
        </w:tc>
        <w:tc>
          <w:tcPr>
            <w:tcW w:w="927" w:type="dxa"/>
            <w:tcBorders>
              <w:top w:val="single" w:sz="6" w:space="0" w:color="000000"/>
              <w:bottom w:val="single" w:sz="6" w:space="0" w:color="000000"/>
            </w:tcBorders>
          </w:tcPr>
          <w:p>
            <w:pPr>
              <w:pStyle w:val="TableParagraph"/>
              <w:rPr>
                <w:sz w:val="13"/>
              </w:rPr>
            </w:pPr>
          </w:p>
          <w:p>
            <w:pPr>
              <w:pStyle w:val="TableParagraph"/>
              <w:spacing w:before="38"/>
              <w:rPr>
                <w:sz w:val="13"/>
              </w:rPr>
            </w:pPr>
          </w:p>
          <w:p>
            <w:pPr>
              <w:pStyle w:val="TableParagraph"/>
              <w:spacing w:line="145" w:lineRule="exact"/>
              <w:ind w:right="158"/>
              <w:jc w:val="right"/>
              <w:rPr>
                <w:sz w:val="13"/>
              </w:rPr>
            </w:pPr>
            <w:r>
              <w:rPr>
                <w:spacing w:val="-2"/>
                <w:w w:val="105"/>
                <w:sz w:val="13"/>
              </w:rPr>
              <w:t>34,958</w:t>
            </w:r>
          </w:p>
        </w:tc>
        <w:tc>
          <w:tcPr>
            <w:tcW w:w="861" w:type="dxa"/>
            <w:tcBorders>
              <w:top w:val="single" w:sz="6" w:space="0" w:color="000000"/>
              <w:bottom w:val="single" w:sz="6" w:space="0" w:color="000000"/>
            </w:tcBorders>
          </w:tcPr>
          <w:p>
            <w:pPr>
              <w:pStyle w:val="TableParagraph"/>
              <w:rPr>
                <w:sz w:val="13"/>
              </w:rPr>
            </w:pPr>
          </w:p>
          <w:p>
            <w:pPr>
              <w:pStyle w:val="TableParagraph"/>
              <w:spacing w:before="52"/>
              <w:rPr>
                <w:sz w:val="13"/>
              </w:rPr>
            </w:pPr>
          </w:p>
          <w:p>
            <w:pPr>
              <w:pStyle w:val="TableParagraph"/>
              <w:spacing w:line="132" w:lineRule="exact"/>
              <w:ind w:right="24"/>
              <w:jc w:val="right"/>
              <w:rPr>
                <w:sz w:val="13"/>
              </w:rPr>
            </w:pPr>
            <w:r>
              <w:rPr>
                <w:spacing w:val="-10"/>
                <w:w w:val="105"/>
                <w:sz w:val="13"/>
              </w:rPr>
              <w:t>-</w:t>
            </w:r>
          </w:p>
        </w:tc>
      </w:tr>
      <w:tr>
        <w:trPr>
          <w:trHeight w:val="157" w:hRule="atLeast"/>
        </w:trPr>
        <w:tc>
          <w:tcPr>
            <w:tcW w:w="3185" w:type="dxa"/>
          </w:tcPr>
          <w:p>
            <w:pPr>
              <w:pStyle w:val="TableParagraph"/>
              <w:spacing w:line="130" w:lineRule="exact" w:before="8"/>
              <w:ind w:left="48"/>
              <w:rPr>
                <w:b/>
                <w:sz w:val="13"/>
              </w:rPr>
            </w:pPr>
            <w:r>
              <w:rPr>
                <w:b/>
                <w:w w:val="105"/>
                <w:sz w:val="13"/>
              </w:rPr>
              <w:t>Total</w:t>
            </w:r>
            <w:r>
              <w:rPr>
                <w:b/>
                <w:spacing w:val="-6"/>
                <w:w w:val="105"/>
                <w:sz w:val="13"/>
              </w:rPr>
              <w:t> </w:t>
            </w:r>
            <w:r>
              <w:rPr>
                <w:b/>
                <w:w w:val="105"/>
                <w:sz w:val="13"/>
              </w:rPr>
              <w:t>non-financial</w:t>
            </w:r>
            <w:r>
              <w:rPr>
                <w:b/>
                <w:spacing w:val="-6"/>
                <w:w w:val="105"/>
                <w:sz w:val="13"/>
              </w:rPr>
              <w:t> </w:t>
            </w:r>
            <w:r>
              <w:rPr>
                <w:b/>
                <w:spacing w:val="-2"/>
                <w:w w:val="105"/>
                <w:sz w:val="13"/>
              </w:rPr>
              <w:t>assets</w:t>
            </w:r>
          </w:p>
        </w:tc>
        <w:tc>
          <w:tcPr>
            <w:tcW w:w="1446" w:type="dxa"/>
          </w:tcPr>
          <w:p>
            <w:pPr>
              <w:pStyle w:val="TableParagraph"/>
              <w:rPr>
                <w:rFonts w:ascii="Times New Roman"/>
                <w:sz w:val="10"/>
              </w:rPr>
            </w:pPr>
          </w:p>
        </w:tc>
        <w:tc>
          <w:tcPr>
            <w:tcW w:w="949" w:type="dxa"/>
            <w:tcBorders>
              <w:top w:val="single" w:sz="6" w:space="0" w:color="000000"/>
              <w:bottom w:val="single" w:sz="6" w:space="0" w:color="000000"/>
              <w:right w:val="single" w:sz="6" w:space="0" w:color="000000"/>
            </w:tcBorders>
          </w:tcPr>
          <w:p>
            <w:pPr>
              <w:pStyle w:val="TableParagraph"/>
              <w:spacing w:line="138" w:lineRule="exact"/>
              <w:ind w:right="62"/>
              <w:jc w:val="right"/>
              <w:rPr>
                <w:b/>
                <w:sz w:val="13"/>
              </w:rPr>
            </w:pPr>
            <w:r>
              <w:rPr>
                <w:b/>
                <w:spacing w:val="-2"/>
                <w:w w:val="105"/>
                <w:sz w:val="13"/>
              </w:rPr>
              <w:t>34,958</w:t>
            </w:r>
          </w:p>
        </w:tc>
        <w:tc>
          <w:tcPr>
            <w:tcW w:w="1104" w:type="dxa"/>
            <w:tcBorders>
              <w:top w:val="single" w:sz="6" w:space="0" w:color="000000"/>
              <w:left w:val="single" w:sz="6" w:space="0" w:color="000000"/>
              <w:bottom w:val="single" w:sz="6" w:space="0" w:color="000000"/>
            </w:tcBorders>
          </w:tcPr>
          <w:p>
            <w:pPr>
              <w:pStyle w:val="TableParagraph"/>
              <w:spacing w:line="132" w:lineRule="exact" w:before="5"/>
              <w:ind w:right="173"/>
              <w:jc w:val="right"/>
              <w:rPr>
                <w:sz w:val="13"/>
              </w:rPr>
            </w:pPr>
            <w:r>
              <w:rPr>
                <w:spacing w:val="-10"/>
                <w:w w:val="105"/>
                <w:sz w:val="13"/>
              </w:rPr>
              <w:t>-</w:t>
            </w:r>
          </w:p>
        </w:tc>
        <w:tc>
          <w:tcPr>
            <w:tcW w:w="927" w:type="dxa"/>
            <w:tcBorders>
              <w:top w:val="single" w:sz="6" w:space="0" w:color="000000"/>
              <w:bottom w:val="single" w:sz="6" w:space="0" w:color="000000"/>
            </w:tcBorders>
          </w:tcPr>
          <w:p>
            <w:pPr>
              <w:pStyle w:val="TableParagraph"/>
              <w:spacing w:line="138" w:lineRule="exact"/>
              <w:ind w:right="158"/>
              <w:jc w:val="right"/>
              <w:rPr>
                <w:b/>
                <w:sz w:val="13"/>
              </w:rPr>
            </w:pPr>
            <w:r>
              <w:rPr>
                <w:b/>
                <w:spacing w:val="-2"/>
                <w:w w:val="105"/>
                <w:sz w:val="13"/>
              </w:rPr>
              <w:t>34,958</w:t>
            </w:r>
          </w:p>
        </w:tc>
        <w:tc>
          <w:tcPr>
            <w:tcW w:w="861" w:type="dxa"/>
            <w:tcBorders>
              <w:top w:val="single" w:sz="6" w:space="0" w:color="000000"/>
              <w:bottom w:val="single" w:sz="6" w:space="0" w:color="000000"/>
            </w:tcBorders>
          </w:tcPr>
          <w:p>
            <w:pPr>
              <w:pStyle w:val="TableParagraph"/>
              <w:spacing w:line="132" w:lineRule="exact" w:before="5"/>
              <w:ind w:right="61"/>
              <w:jc w:val="right"/>
              <w:rPr>
                <w:sz w:val="13"/>
              </w:rPr>
            </w:pPr>
            <w:r>
              <w:rPr>
                <w:spacing w:val="-10"/>
                <w:w w:val="105"/>
                <w:sz w:val="13"/>
              </w:rPr>
              <w:t>-</w:t>
            </w:r>
          </w:p>
        </w:tc>
      </w:tr>
    </w:tbl>
    <w:p>
      <w:pPr>
        <w:spacing w:after="0" w:line="132" w:lineRule="exact"/>
        <w:jc w:val="right"/>
        <w:rPr>
          <w:sz w:val="13"/>
        </w:rPr>
        <w:sectPr>
          <w:type w:val="continuous"/>
          <w:pgSz w:w="11910" w:h="16840"/>
          <w:pgMar w:header="468" w:footer="0" w:top="980" w:bottom="280" w:left="1020" w:right="1540"/>
        </w:sectPr>
      </w:pPr>
    </w:p>
    <w:p>
      <w:pPr>
        <w:spacing w:before="82"/>
        <w:ind w:left="154" w:right="0" w:firstLine="0"/>
        <w:jc w:val="left"/>
        <w:rPr>
          <w:sz w:val="22"/>
        </w:rPr>
      </w:pPr>
      <w:r>
        <w:rPr>
          <w:color w:val="0070C0"/>
          <w:sz w:val="22"/>
        </w:rPr>
        <w:t>NOTES</w:t>
      </w:r>
      <w:r>
        <w:rPr>
          <w:color w:val="0070C0"/>
          <w:spacing w:val="-9"/>
          <w:sz w:val="22"/>
        </w:rPr>
        <w:t> </w:t>
      </w:r>
      <w:r>
        <w:rPr>
          <w:color w:val="0070C0"/>
          <w:sz w:val="22"/>
        </w:rPr>
        <w:t>TO</w:t>
      </w:r>
      <w:r>
        <w:rPr>
          <w:color w:val="0070C0"/>
          <w:spacing w:val="-9"/>
          <w:sz w:val="22"/>
        </w:rPr>
        <w:t> </w:t>
      </w:r>
      <w:r>
        <w:rPr>
          <w:color w:val="0070C0"/>
          <w:sz w:val="22"/>
        </w:rPr>
        <w:t>THE</w:t>
      </w:r>
      <w:r>
        <w:rPr>
          <w:color w:val="0070C0"/>
          <w:spacing w:val="-9"/>
          <w:sz w:val="22"/>
        </w:rPr>
        <w:t> </w:t>
      </w:r>
      <w:r>
        <w:rPr>
          <w:color w:val="0070C0"/>
          <w:sz w:val="22"/>
        </w:rPr>
        <w:t>FINANCIAL</w:t>
      </w:r>
      <w:r>
        <w:rPr>
          <w:color w:val="0070C0"/>
          <w:spacing w:val="-9"/>
          <w:sz w:val="22"/>
        </w:rPr>
        <w:t> </w:t>
      </w:r>
      <w:r>
        <w:rPr>
          <w:color w:val="0070C0"/>
          <w:spacing w:val="-2"/>
          <w:sz w:val="22"/>
        </w:rPr>
        <w:t>STATEMENTS</w:t>
      </w:r>
    </w:p>
    <w:p>
      <w:pPr>
        <w:spacing w:before="31"/>
        <w:ind w:left="141" w:right="0" w:firstLine="0"/>
        <w:jc w:val="left"/>
        <w:rPr>
          <w:sz w:val="12"/>
        </w:rPr>
      </w:pPr>
      <w:r>
        <w:rPr>
          <w:w w:val="105"/>
          <w:sz w:val="12"/>
        </w:rPr>
        <w:t>for</w:t>
      </w:r>
      <w:r>
        <w:rPr>
          <w:spacing w:val="-8"/>
          <w:w w:val="105"/>
          <w:sz w:val="12"/>
        </w:rPr>
        <w:t> </w:t>
      </w:r>
      <w:r>
        <w:rPr>
          <w:w w:val="105"/>
          <w:sz w:val="12"/>
        </w:rPr>
        <w:t>the</w:t>
      </w:r>
      <w:r>
        <w:rPr>
          <w:spacing w:val="-9"/>
          <w:w w:val="105"/>
          <w:sz w:val="12"/>
        </w:rPr>
        <w:t> </w:t>
      </w:r>
      <w:r>
        <w:rPr>
          <w:w w:val="105"/>
          <w:sz w:val="12"/>
        </w:rPr>
        <w:t>year</w:t>
      </w:r>
      <w:r>
        <w:rPr>
          <w:spacing w:val="-8"/>
          <w:w w:val="105"/>
          <w:sz w:val="12"/>
        </w:rPr>
        <w:t> </w:t>
      </w:r>
      <w:r>
        <w:rPr>
          <w:w w:val="105"/>
          <w:sz w:val="12"/>
        </w:rPr>
        <w:t>ended</w:t>
      </w:r>
      <w:r>
        <w:rPr>
          <w:spacing w:val="-8"/>
          <w:w w:val="105"/>
          <w:sz w:val="12"/>
        </w:rPr>
        <w:t> </w:t>
      </w:r>
      <w:r>
        <w:rPr>
          <w:w w:val="105"/>
          <w:sz w:val="12"/>
        </w:rPr>
        <w:t>31</w:t>
      </w:r>
      <w:r>
        <w:rPr>
          <w:spacing w:val="-9"/>
          <w:w w:val="105"/>
          <w:sz w:val="12"/>
        </w:rPr>
        <w:t> </w:t>
      </w:r>
      <w:r>
        <w:rPr>
          <w:w w:val="105"/>
          <w:sz w:val="12"/>
        </w:rPr>
        <w:t>December</w:t>
      </w:r>
      <w:r>
        <w:rPr>
          <w:spacing w:val="-8"/>
          <w:w w:val="105"/>
          <w:sz w:val="12"/>
        </w:rPr>
        <w:t> </w:t>
      </w:r>
      <w:r>
        <w:rPr>
          <w:spacing w:val="-4"/>
          <w:w w:val="105"/>
          <w:sz w:val="12"/>
        </w:rPr>
        <w:t>2020</w:t>
      </w:r>
    </w:p>
    <w:p>
      <w:pPr>
        <w:spacing w:line="240" w:lineRule="auto" w:before="8" w:after="0"/>
        <w:rPr>
          <w:sz w:val="13"/>
        </w:rPr>
      </w:pPr>
    </w:p>
    <w:tbl>
      <w:tblPr>
        <w:tblW w:w="0" w:type="auto"/>
        <w:jc w:val="left"/>
        <w:tblInd w:w="6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83"/>
        <w:gridCol w:w="1445"/>
        <w:gridCol w:w="949"/>
        <w:gridCol w:w="1085"/>
        <w:gridCol w:w="946"/>
        <w:gridCol w:w="862"/>
      </w:tblGrid>
      <w:tr>
        <w:trPr>
          <w:trHeight w:val="354" w:hRule="atLeast"/>
        </w:trPr>
        <w:tc>
          <w:tcPr>
            <w:tcW w:w="3183" w:type="dxa"/>
          </w:tcPr>
          <w:p>
            <w:pPr>
              <w:pStyle w:val="TableParagraph"/>
              <w:spacing w:line="170" w:lineRule="atLeast"/>
              <w:ind w:left="48" w:right="456"/>
              <w:rPr>
                <w:b/>
                <w:sz w:val="13"/>
              </w:rPr>
            </w:pPr>
            <w:r>
              <w:rPr>
                <w:b/>
                <w:w w:val="105"/>
                <w:sz w:val="13"/>
              </w:rPr>
              <w:t>Consolidated 31 December 2019</w:t>
            </w:r>
            <w:r>
              <w:rPr>
                <w:b/>
                <w:spacing w:val="40"/>
                <w:w w:val="105"/>
                <w:sz w:val="13"/>
              </w:rPr>
              <w:t> </w:t>
            </w:r>
            <w:r>
              <w:rPr>
                <w:b/>
                <w:w w:val="105"/>
                <w:sz w:val="13"/>
              </w:rPr>
              <w:t>Recurring</w:t>
            </w:r>
            <w:r>
              <w:rPr>
                <w:b/>
                <w:spacing w:val="-10"/>
                <w:w w:val="105"/>
                <w:sz w:val="13"/>
              </w:rPr>
              <w:t> </w:t>
            </w:r>
            <w:r>
              <w:rPr>
                <w:b/>
                <w:w w:val="105"/>
                <w:sz w:val="13"/>
              </w:rPr>
              <w:t>fair</w:t>
            </w:r>
            <w:r>
              <w:rPr>
                <w:b/>
                <w:spacing w:val="-9"/>
                <w:w w:val="105"/>
                <w:sz w:val="13"/>
              </w:rPr>
              <w:t> </w:t>
            </w:r>
            <w:r>
              <w:rPr>
                <w:b/>
                <w:w w:val="105"/>
                <w:sz w:val="13"/>
              </w:rPr>
              <w:t>value</w:t>
            </w:r>
            <w:r>
              <w:rPr>
                <w:b/>
                <w:spacing w:val="-10"/>
                <w:w w:val="105"/>
                <w:sz w:val="13"/>
              </w:rPr>
              <w:t> </w:t>
            </w:r>
            <w:r>
              <w:rPr>
                <w:b/>
                <w:w w:val="105"/>
                <w:sz w:val="13"/>
              </w:rPr>
              <w:t>measurements</w:t>
            </w:r>
          </w:p>
        </w:tc>
        <w:tc>
          <w:tcPr>
            <w:tcW w:w="1445" w:type="dxa"/>
          </w:tcPr>
          <w:p>
            <w:pPr>
              <w:pStyle w:val="TableParagraph"/>
              <w:spacing w:before="54"/>
              <w:rPr>
                <w:sz w:val="13"/>
              </w:rPr>
            </w:pPr>
          </w:p>
          <w:p>
            <w:pPr>
              <w:pStyle w:val="TableParagraph"/>
              <w:spacing w:line="130" w:lineRule="exact"/>
              <w:ind w:right="281"/>
              <w:jc w:val="right"/>
              <w:rPr>
                <w:b/>
                <w:sz w:val="13"/>
              </w:rPr>
            </w:pPr>
            <w:r>
              <w:rPr>
                <w:b/>
                <w:spacing w:val="-4"/>
                <w:w w:val="105"/>
                <w:sz w:val="13"/>
              </w:rPr>
              <w:t>Note</w:t>
            </w:r>
          </w:p>
        </w:tc>
        <w:tc>
          <w:tcPr>
            <w:tcW w:w="949" w:type="dxa"/>
            <w:tcBorders>
              <w:bottom w:val="single" w:sz="6" w:space="0" w:color="000000"/>
            </w:tcBorders>
          </w:tcPr>
          <w:p>
            <w:pPr>
              <w:pStyle w:val="TableParagraph"/>
              <w:spacing w:before="16"/>
              <w:ind w:left="15" w:right="2"/>
              <w:jc w:val="center"/>
              <w:rPr>
                <w:b/>
                <w:sz w:val="13"/>
              </w:rPr>
            </w:pPr>
            <w:r>
              <w:rPr>
                <w:b/>
                <w:spacing w:val="-4"/>
                <w:w w:val="105"/>
                <w:sz w:val="13"/>
              </w:rPr>
              <w:t>2019</w:t>
            </w:r>
          </w:p>
          <w:p>
            <w:pPr>
              <w:pStyle w:val="TableParagraph"/>
              <w:spacing w:line="145" w:lineRule="exact" w:before="23"/>
              <w:ind w:left="15"/>
              <w:jc w:val="center"/>
              <w:rPr>
                <w:b/>
                <w:sz w:val="13"/>
              </w:rPr>
            </w:pPr>
            <w:r>
              <w:rPr>
                <w:b/>
                <w:spacing w:val="-2"/>
                <w:w w:val="105"/>
                <w:sz w:val="13"/>
              </w:rPr>
              <w:t>$'000</w:t>
            </w:r>
          </w:p>
        </w:tc>
        <w:tc>
          <w:tcPr>
            <w:tcW w:w="1085" w:type="dxa"/>
            <w:tcBorders>
              <w:bottom w:val="single" w:sz="6" w:space="0" w:color="000000"/>
            </w:tcBorders>
          </w:tcPr>
          <w:p>
            <w:pPr>
              <w:pStyle w:val="TableParagraph"/>
              <w:spacing w:before="16"/>
              <w:ind w:left="273"/>
              <w:rPr>
                <w:b/>
                <w:sz w:val="13"/>
              </w:rPr>
            </w:pPr>
            <w:r>
              <w:rPr>
                <w:b/>
                <w:spacing w:val="-2"/>
                <w:w w:val="105"/>
                <w:sz w:val="13"/>
              </w:rPr>
              <w:t>Level</w:t>
            </w:r>
            <w:r>
              <w:rPr>
                <w:b/>
                <w:w w:val="105"/>
                <w:sz w:val="13"/>
              </w:rPr>
              <w:t> </w:t>
            </w:r>
            <w:r>
              <w:rPr>
                <w:b/>
                <w:spacing w:val="-10"/>
                <w:w w:val="105"/>
                <w:sz w:val="13"/>
              </w:rPr>
              <w:t>1</w:t>
            </w:r>
          </w:p>
          <w:p>
            <w:pPr>
              <w:pStyle w:val="TableParagraph"/>
              <w:spacing w:line="145" w:lineRule="exact" w:before="23"/>
              <w:ind w:left="335"/>
              <w:rPr>
                <w:b/>
                <w:sz w:val="13"/>
              </w:rPr>
            </w:pPr>
            <w:r>
              <w:rPr>
                <w:b/>
                <w:spacing w:val="-2"/>
                <w:w w:val="105"/>
                <w:sz w:val="13"/>
              </w:rPr>
              <w:t>$'000</w:t>
            </w:r>
          </w:p>
        </w:tc>
        <w:tc>
          <w:tcPr>
            <w:tcW w:w="946" w:type="dxa"/>
            <w:tcBorders>
              <w:bottom w:val="single" w:sz="6" w:space="0" w:color="000000"/>
            </w:tcBorders>
          </w:tcPr>
          <w:p>
            <w:pPr>
              <w:pStyle w:val="TableParagraph"/>
              <w:spacing w:before="16"/>
              <w:ind w:left="160"/>
              <w:rPr>
                <w:b/>
                <w:sz w:val="13"/>
              </w:rPr>
            </w:pPr>
            <w:r>
              <w:rPr>
                <w:b/>
                <w:spacing w:val="-2"/>
                <w:w w:val="105"/>
                <w:sz w:val="13"/>
              </w:rPr>
              <w:t>Level</w:t>
            </w:r>
            <w:r>
              <w:rPr>
                <w:b/>
                <w:w w:val="105"/>
                <w:sz w:val="13"/>
              </w:rPr>
              <w:t> </w:t>
            </w:r>
            <w:r>
              <w:rPr>
                <w:b/>
                <w:spacing w:val="-10"/>
                <w:w w:val="105"/>
                <w:sz w:val="13"/>
              </w:rPr>
              <w:t>2</w:t>
            </w:r>
          </w:p>
          <w:p>
            <w:pPr>
              <w:pStyle w:val="TableParagraph"/>
              <w:spacing w:line="145" w:lineRule="exact" w:before="23"/>
              <w:ind w:left="222"/>
              <w:rPr>
                <w:b/>
                <w:sz w:val="13"/>
              </w:rPr>
            </w:pPr>
            <w:r>
              <w:rPr>
                <w:b/>
                <w:spacing w:val="-2"/>
                <w:w w:val="105"/>
                <w:sz w:val="13"/>
              </w:rPr>
              <w:t>$'000</w:t>
            </w:r>
          </w:p>
        </w:tc>
        <w:tc>
          <w:tcPr>
            <w:tcW w:w="862" w:type="dxa"/>
            <w:tcBorders>
              <w:bottom w:val="single" w:sz="6" w:space="0" w:color="000000"/>
            </w:tcBorders>
          </w:tcPr>
          <w:p>
            <w:pPr>
              <w:pStyle w:val="TableParagraph"/>
              <w:spacing w:before="16"/>
              <w:ind w:left="163"/>
              <w:rPr>
                <w:b/>
                <w:sz w:val="13"/>
              </w:rPr>
            </w:pPr>
            <w:r>
              <w:rPr>
                <w:b/>
                <w:spacing w:val="-2"/>
                <w:w w:val="105"/>
                <w:sz w:val="13"/>
              </w:rPr>
              <w:t>Level</w:t>
            </w:r>
            <w:r>
              <w:rPr>
                <w:b/>
                <w:w w:val="105"/>
                <w:sz w:val="13"/>
              </w:rPr>
              <w:t> </w:t>
            </w:r>
            <w:r>
              <w:rPr>
                <w:b/>
                <w:spacing w:val="-10"/>
                <w:w w:val="105"/>
                <w:sz w:val="13"/>
              </w:rPr>
              <w:t>3</w:t>
            </w:r>
          </w:p>
          <w:p>
            <w:pPr>
              <w:pStyle w:val="TableParagraph"/>
              <w:spacing w:line="145" w:lineRule="exact" w:before="23"/>
              <w:ind w:left="225"/>
              <w:rPr>
                <w:b/>
                <w:sz w:val="13"/>
              </w:rPr>
            </w:pPr>
            <w:r>
              <w:rPr>
                <w:b/>
                <w:spacing w:val="-2"/>
                <w:w w:val="105"/>
                <w:sz w:val="13"/>
              </w:rPr>
              <w:t>$'000</w:t>
            </w:r>
          </w:p>
        </w:tc>
      </w:tr>
      <w:tr>
        <w:trPr>
          <w:trHeight w:val="502" w:hRule="atLeast"/>
        </w:trPr>
        <w:tc>
          <w:tcPr>
            <w:tcW w:w="3183" w:type="dxa"/>
          </w:tcPr>
          <w:p>
            <w:pPr>
              <w:pStyle w:val="TableParagraph"/>
              <w:spacing w:before="30"/>
              <w:rPr>
                <w:sz w:val="13"/>
              </w:rPr>
            </w:pPr>
          </w:p>
          <w:p>
            <w:pPr>
              <w:pStyle w:val="TableParagraph"/>
              <w:spacing w:before="1"/>
              <w:ind w:left="48"/>
              <w:rPr>
                <w:b/>
                <w:sz w:val="13"/>
              </w:rPr>
            </w:pPr>
            <w:r>
              <w:rPr>
                <w:b/>
                <w:spacing w:val="-2"/>
                <w:w w:val="105"/>
                <w:sz w:val="13"/>
              </w:rPr>
              <w:t>Financial</w:t>
            </w:r>
            <w:r>
              <w:rPr>
                <w:b/>
                <w:spacing w:val="8"/>
                <w:w w:val="105"/>
                <w:sz w:val="13"/>
              </w:rPr>
              <w:t> </w:t>
            </w:r>
            <w:r>
              <w:rPr>
                <w:b/>
                <w:spacing w:val="-2"/>
                <w:w w:val="105"/>
                <w:sz w:val="13"/>
              </w:rPr>
              <w:t>assets</w:t>
            </w:r>
          </w:p>
          <w:p>
            <w:pPr>
              <w:pStyle w:val="TableParagraph"/>
              <w:spacing w:line="132" w:lineRule="exact" w:before="20"/>
              <w:ind w:left="48"/>
              <w:rPr>
                <w:sz w:val="13"/>
              </w:rPr>
            </w:pPr>
            <w:r>
              <w:rPr>
                <w:w w:val="105"/>
                <w:sz w:val="13"/>
              </w:rPr>
              <w:t>Other</w:t>
            </w:r>
            <w:r>
              <w:rPr>
                <w:spacing w:val="-7"/>
                <w:w w:val="105"/>
                <w:sz w:val="13"/>
              </w:rPr>
              <w:t> </w:t>
            </w:r>
            <w:r>
              <w:rPr>
                <w:w w:val="105"/>
                <w:sz w:val="13"/>
              </w:rPr>
              <w:t>financial</w:t>
            </w:r>
            <w:r>
              <w:rPr>
                <w:spacing w:val="-7"/>
                <w:w w:val="105"/>
                <w:sz w:val="13"/>
              </w:rPr>
              <w:t> </w:t>
            </w:r>
            <w:r>
              <w:rPr>
                <w:spacing w:val="-2"/>
                <w:w w:val="105"/>
                <w:sz w:val="13"/>
              </w:rPr>
              <w:t>assets</w:t>
            </w:r>
          </w:p>
        </w:tc>
        <w:tc>
          <w:tcPr>
            <w:tcW w:w="1445" w:type="dxa"/>
          </w:tcPr>
          <w:p>
            <w:pPr>
              <w:pStyle w:val="TableParagraph"/>
              <w:rPr>
                <w:sz w:val="13"/>
              </w:rPr>
            </w:pPr>
          </w:p>
          <w:p>
            <w:pPr>
              <w:pStyle w:val="TableParagraph"/>
              <w:spacing w:before="51"/>
              <w:rPr>
                <w:sz w:val="13"/>
              </w:rPr>
            </w:pPr>
          </w:p>
          <w:p>
            <w:pPr>
              <w:pStyle w:val="TableParagraph"/>
              <w:spacing w:line="132" w:lineRule="exact"/>
              <w:ind w:right="340"/>
              <w:jc w:val="right"/>
              <w:rPr>
                <w:sz w:val="13"/>
              </w:rPr>
            </w:pPr>
            <w:r>
              <w:rPr>
                <w:spacing w:val="-5"/>
                <w:w w:val="105"/>
                <w:sz w:val="13"/>
              </w:rPr>
              <w:t>6.2</w:t>
            </w:r>
          </w:p>
        </w:tc>
        <w:tc>
          <w:tcPr>
            <w:tcW w:w="949" w:type="dxa"/>
            <w:tcBorders>
              <w:top w:val="single" w:sz="6" w:space="0" w:color="000000"/>
              <w:bottom w:val="single" w:sz="6" w:space="0" w:color="000000"/>
              <w:right w:val="single" w:sz="6" w:space="0" w:color="000000"/>
            </w:tcBorders>
          </w:tcPr>
          <w:p>
            <w:pPr>
              <w:pStyle w:val="TableParagraph"/>
              <w:rPr>
                <w:sz w:val="13"/>
              </w:rPr>
            </w:pPr>
          </w:p>
          <w:p>
            <w:pPr>
              <w:pStyle w:val="TableParagraph"/>
              <w:spacing w:before="38"/>
              <w:rPr>
                <w:sz w:val="13"/>
              </w:rPr>
            </w:pPr>
          </w:p>
          <w:p>
            <w:pPr>
              <w:pStyle w:val="TableParagraph"/>
              <w:spacing w:line="145" w:lineRule="exact"/>
              <w:ind w:right="62"/>
              <w:jc w:val="right"/>
              <w:rPr>
                <w:sz w:val="13"/>
              </w:rPr>
            </w:pPr>
            <w:r>
              <w:rPr>
                <w:spacing w:val="-2"/>
                <w:w w:val="105"/>
                <w:sz w:val="13"/>
              </w:rPr>
              <w:t>850,044</w:t>
            </w:r>
          </w:p>
        </w:tc>
        <w:tc>
          <w:tcPr>
            <w:tcW w:w="1085" w:type="dxa"/>
            <w:tcBorders>
              <w:top w:val="single" w:sz="6" w:space="0" w:color="000000"/>
              <w:left w:val="single" w:sz="6" w:space="0" w:color="000000"/>
              <w:bottom w:val="single" w:sz="6" w:space="0" w:color="000000"/>
            </w:tcBorders>
          </w:tcPr>
          <w:p>
            <w:pPr>
              <w:pStyle w:val="TableParagraph"/>
              <w:rPr>
                <w:sz w:val="13"/>
              </w:rPr>
            </w:pPr>
          </w:p>
          <w:p>
            <w:pPr>
              <w:pStyle w:val="TableParagraph"/>
              <w:spacing w:before="38"/>
              <w:rPr>
                <w:sz w:val="13"/>
              </w:rPr>
            </w:pPr>
          </w:p>
          <w:p>
            <w:pPr>
              <w:pStyle w:val="TableParagraph"/>
              <w:spacing w:line="145" w:lineRule="exact"/>
              <w:ind w:right="163"/>
              <w:jc w:val="right"/>
              <w:rPr>
                <w:sz w:val="13"/>
              </w:rPr>
            </w:pPr>
            <w:r>
              <w:rPr>
                <w:spacing w:val="-2"/>
                <w:w w:val="105"/>
                <w:sz w:val="13"/>
              </w:rPr>
              <w:t>802,182</w:t>
            </w:r>
          </w:p>
        </w:tc>
        <w:tc>
          <w:tcPr>
            <w:tcW w:w="946" w:type="dxa"/>
            <w:tcBorders>
              <w:top w:val="single" w:sz="6" w:space="0" w:color="000000"/>
              <w:bottom w:val="single" w:sz="6" w:space="0" w:color="000000"/>
            </w:tcBorders>
          </w:tcPr>
          <w:p>
            <w:pPr>
              <w:pStyle w:val="TableParagraph"/>
              <w:rPr>
                <w:sz w:val="13"/>
              </w:rPr>
            </w:pPr>
          </w:p>
          <w:p>
            <w:pPr>
              <w:pStyle w:val="TableParagraph"/>
              <w:spacing w:before="38"/>
              <w:rPr>
                <w:sz w:val="13"/>
              </w:rPr>
            </w:pPr>
          </w:p>
          <w:p>
            <w:pPr>
              <w:pStyle w:val="TableParagraph"/>
              <w:spacing w:line="145" w:lineRule="exact"/>
              <w:ind w:right="159"/>
              <w:jc w:val="right"/>
              <w:rPr>
                <w:sz w:val="13"/>
              </w:rPr>
            </w:pPr>
            <w:r>
              <w:rPr>
                <w:spacing w:val="-5"/>
                <w:w w:val="105"/>
                <w:sz w:val="13"/>
              </w:rPr>
              <w:t>902</w:t>
            </w:r>
          </w:p>
        </w:tc>
        <w:tc>
          <w:tcPr>
            <w:tcW w:w="862" w:type="dxa"/>
            <w:tcBorders>
              <w:top w:val="single" w:sz="6" w:space="0" w:color="000000"/>
              <w:bottom w:val="single" w:sz="6" w:space="0" w:color="000000"/>
            </w:tcBorders>
          </w:tcPr>
          <w:p>
            <w:pPr>
              <w:pStyle w:val="TableParagraph"/>
              <w:rPr>
                <w:sz w:val="13"/>
              </w:rPr>
            </w:pPr>
          </w:p>
          <w:p>
            <w:pPr>
              <w:pStyle w:val="TableParagraph"/>
              <w:spacing w:before="38"/>
              <w:rPr>
                <w:sz w:val="13"/>
              </w:rPr>
            </w:pPr>
          </w:p>
          <w:p>
            <w:pPr>
              <w:pStyle w:val="TableParagraph"/>
              <w:spacing w:line="145" w:lineRule="exact"/>
              <w:ind w:right="72"/>
              <w:jc w:val="right"/>
              <w:rPr>
                <w:sz w:val="13"/>
              </w:rPr>
            </w:pPr>
            <w:r>
              <w:rPr>
                <w:spacing w:val="-2"/>
                <w:w w:val="105"/>
                <w:sz w:val="13"/>
              </w:rPr>
              <w:t>46,960</w:t>
            </w:r>
          </w:p>
        </w:tc>
      </w:tr>
      <w:tr>
        <w:trPr>
          <w:trHeight w:val="157" w:hRule="atLeast"/>
        </w:trPr>
        <w:tc>
          <w:tcPr>
            <w:tcW w:w="3183" w:type="dxa"/>
          </w:tcPr>
          <w:p>
            <w:pPr>
              <w:pStyle w:val="TableParagraph"/>
              <w:spacing w:line="130" w:lineRule="exact" w:before="7"/>
              <w:ind w:left="48"/>
              <w:rPr>
                <w:b/>
                <w:sz w:val="13"/>
              </w:rPr>
            </w:pPr>
            <w:r>
              <w:rPr>
                <w:b/>
                <w:w w:val="105"/>
                <w:sz w:val="13"/>
              </w:rPr>
              <w:t>Total</w:t>
            </w:r>
            <w:r>
              <w:rPr>
                <w:b/>
                <w:spacing w:val="-7"/>
                <w:w w:val="105"/>
                <w:sz w:val="13"/>
              </w:rPr>
              <w:t> </w:t>
            </w:r>
            <w:r>
              <w:rPr>
                <w:b/>
                <w:w w:val="105"/>
                <w:sz w:val="13"/>
              </w:rPr>
              <w:t>financial</w:t>
            </w:r>
            <w:r>
              <w:rPr>
                <w:b/>
                <w:spacing w:val="-7"/>
                <w:w w:val="105"/>
                <w:sz w:val="13"/>
              </w:rPr>
              <w:t> </w:t>
            </w:r>
            <w:r>
              <w:rPr>
                <w:b/>
                <w:spacing w:val="-2"/>
                <w:w w:val="105"/>
                <w:sz w:val="13"/>
              </w:rPr>
              <w:t>assets</w:t>
            </w:r>
          </w:p>
        </w:tc>
        <w:tc>
          <w:tcPr>
            <w:tcW w:w="1445" w:type="dxa"/>
          </w:tcPr>
          <w:p>
            <w:pPr>
              <w:pStyle w:val="TableParagraph"/>
              <w:rPr>
                <w:rFonts w:ascii="Times New Roman"/>
                <w:sz w:val="10"/>
              </w:rPr>
            </w:pPr>
          </w:p>
        </w:tc>
        <w:tc>
          <w:tcPr>
            <w:tcW w:w="949" w:type="dxa"/>
            <w:tcBorders>
              <w:top w:val="single" w:sz="6" w:space="0" w:color="000000"/>
              <w:bottom w:val="single" w:sz="6" w:space="0" w:color="000000"/>
              <w:right w:val="single" w:sz="6" w:space="0" w:color="000000"/>
            </w:tcBorders>
          </w:tcPr>
          <w:p>
            <w:pPr>
              <w:pStyle w:val="TableParagraph"/>
              <w:spacing w:line="138" w:lineRule="exact"/>
              <w:ind w:right="62"/>
              <w:jc w:val="right"/>
              <w:rPr>
                <w:b/>
                <w:sz w:val="13"/>
              </w:rPr>
            </w:pPr>
            <w:r>
              <w:rPr>
                <w:b/>
                <w:spacing w:val="-2"/>
                <w:w w:val="105"/>
                <w:sz w:val="13"/>
              </w:rPr>
              <w:t>850,044</w:t>
            </w:r>
          </w:p>
        </w:tc>
        <w:tc>
          <w:tcPr>
            <w:tcW w:w="1085" w:type="dxa"/>
            <w:tcBorders>
              <w:top w:val="single" w:sz="6" w:space="0" w:color="000000"/>
              <w:left w:val="single" w:sz="6" w:space="0" w:color="000000"/>
              <w:bottom w:val="single" w:sz="6" w:space="0" w:color="000000"/>
            </w:tcBorders>
          </w:tcPr>
          <w:p>
            <w:pPr>
              <w:pStyle w:val="TableParagraph"/>
              <w:spacing w:line="138" w:lineRule="exact"/>
              <w:ind w:right="163"/>
              <w:jc w:val="right"/>
              <w:rPr>
                <w:b/>
                <w:sz w:val="13"/>
              </w:rPr>
            </w:pPr>
            <w:r>
              <w:rPr>
                <w:b/>
                <w:spacing w:val="-2"/>
                <w:w w:val="105"/>
                <w:sz w:val="13"/>
              </w:rPr>
              <w:t>802,182</w:t>
            </w:r>
          </w:p>
        </w:tc>
        <w:tc>
          <w:tcPr>
            <w:tcW w:w="946" w:type="dxa"/>
            <w:tcBorders>
              <w:top w:val="single" w:sz="6" w:space="0" w:color="000000"/>
              <w:bottom w:val="single" w:sz="6" w:space="0" w:color="000000"/>
            </w:tcBorders>
          </w:tcPr>
          <w:p>
            <w:pPr>
              <w:pStyle w:val="TableParagraph"/>
              <w:spacing w:line="138" w:lineRule="exact"/>
              <w:ind w:right="159"/>
              <w:jc w:val="right"/>
              <w:rPr>
                <w:b/>
                <w:sz w:val="13"/>
              </w:rPr>
            </w:pPr>
            <w:r>
              <w:rPr>
                <w:b/>
                <w:spacing w:val="-5"/>
                <w:w w:val="105"/>
                <w:sz w:val="13"/>
              </w:rPr>
              <w:t>902</w:t>
            </w:r>
          </w:p>
        </w:tc>
        <w:tc>
          <w:tcPr>
            <w:tcW w:w="862" w:type="dxa"/>
            <w:tcBorders>
              <w:top w:val="single" w:sz="6" w:space="0" w:color="000000"/>
              <w:bottom w:val="single" w:sz="6" w:space="0" w:color="000000"/>
            </w:tcBorders>
          </w:tcPr>
          <w:p>
            <w:pPr>
              <w:pStyle w:val="TableParagraph"/>
              <w:spacing w:line="138" w:lineRule="exact"/>
              <w:ind w:right="72"/>
              <w:jc w:val="right"/>
              <w:rPr>
                <w:b/>
                <w:sz w:val="13"/>
              </w:rPr>
            </w:pPr>
            <w:r>
              <w:rPr>
                <w:b/>
                <w:spacing w:val="-2"/>
                <w:w w:val="105"/>
                <w:sz w:val="13"/>
              </w:rPr>
              <w:t>46,960</w:t>
            </w:r>
          </w:p>
        </w:tc>
      </w:tr>
      <w:tr>
        <w:trPr>
          <w:trHeight w:val="502" w:hRule="atLeast"/>
        </w:trPr>
        <w:tc>
          <w:tcPr>
            <w:tcW w:w="3183" w:type="dxa"/>
          </w:tcPr>
          <w:p>
            <w:pPr>
              <w:pStyle w:val="TableParagraph"/>
              <w:spacing w:before="30"/>
              <w:rPr>
                <w:sz w:val="13"/>
              </w:rPr>
            </w:pPr>
          </w:p>
          <w:p>
            <w:pPr>
              <w:pStyle w:val="TableParagraph"/>
              <w:spacing w:before="1"/>
              <w:ind w:left="48"/>
              <w:rPr>
                <w:b/>
                <w:sz w:val="13"/>
              </w:rPr>
            </w:pPr>
            <w:r>
              <w:rPr>
                <w:b/>
                <w:spacing w:val="-2"/>
                <w:w w:val="105"/>
                <w:sz w:val="13"/>
              </w:rPr>
              <w:t>Non-financial</w:t>
            </w:r>
            <w:r>
              <w:rPr>
                <w:b/>
                <w:spacing w:val="16"/>
                <w:w w:val="105"/>
                <w:sz w:val="13"/>
              </w:rPr>
              <w:t> </w:t>
            </w:r>
            <w:r>
              <w:rPr>
                <w:b/>
                <w:spacing w:val="-2"/>
                <w:w w:val="105"/>
                <w:sz w:val="13"/>
              </w:rPr>
              <w:t>assets</w:t>
            </w:r>
          </w:p>
          <w:p>
            <w:pPr>
              <w:pStyle w:val="TableParagraph"/>
              <w:spacing w:line="132" w:lineRule="exact" w:before="20"/>
              <w:ind w:left="48"/>
              <w:rPr>
                <w:sz w:val="13"/>
              </w:rPr>
            </w:pPr>
            <w:r>
              <w:rPr>
                <w:spacing w:val="-2"/>
                <w:w w:val="105"/>
                <w:sz w:val="13"/>
              </w:rPr>
              <w:t>Investment</w:t>
            </w:r>
            <w:r>
              <w:rPr>
                <w:spacing w:val="7"/>
                <w:w w:val="105"/>
                <w:sz w:val="13"/>
              </w:rPr>
              <w:t> </w:t>
            </w:r>
            <w:r>
              <w:rPr>
                <w:spacing w:val="-2"/>
                <w:w w:val="105"/>
                <w:sz w:val="13"/>
              </w:rPr>
              <w:t>properties</w:t>
            </w:r>
          </w:p>
        </w:tc>
        <w:tc>
          <w:tcPr>
            <w:tcW w:w="1445" w:type="dxa"/>
          </w:tcPr>
          <w:p>
            <w:pPr>
              <w:pStyle w:val="TableParagraph"/>
              <w:rPr>
                <w:sz w:val="13"/>
              </w:rPr>
            </w:pPr>
          </w:p>
          <w:p>
            <w:pPr>
              <w:pStyle w:val="TableParagraph"/>
              <w:spacing w:before="51"/>
              <w:rPr>
                <w:sz w:val="13"/>
              </w:rPr>
            </w:pPr>
          </w:p>
          <w:p>
            <w:pPr>
              <w:pStyle w:val="TableParagraph"/>
              <w:spacing w:line="132" w:lineRule="exact"/>
              <w:ind w:right="340"/>
              <w:jc w:val="right"/>
              <w:rPr>
                <w:sz w:val="13"/>
              </w:rPr>
            </w:pPr>
            <w:r>
              <w:rPr>
                <w:spacing w:val="-5"/>
                <w:w w:val="105"/>
                <w:sz w:val="13"/>
              </w:rPr>
              <w:t>5.3</w:t>
            </w:r>
          </w:p>
        </w:tc>
        <w:tc>
          <w:tcPr>
            <w:tcW w:w="949" w:type="dxa"/>
            <w:tcBorders>
              <w:top w:val="single" w:sz="6" w:space="0" w:color="000000"/>
              <w:bottom w:val="single" w:sz="6" w:space="0" w:color="000000"/>
              <w:right w:val="single" w:sz="6" w:space="0" w:color="000000"/>
            </w:tcBorders>
          </w:tcPr>
          <w:p>
            <w:pPr>
              <w:pStyle w:val="TableParagraph"/>
              <w:rPr>
                <w:sz w:val="13"/>
              </w:rPr>
            </w:pPr>
          </w:p>
          <w:p>
            <w:pPr>
              <w:pStyle w:val="TableParagraph"/>
              <w:spacing w:before="38"/>
              <w:rPr>
                <w:sz w:val="13"/>
              </w:rPr>
            </w:pPr>
          </w:p>
          <w:p>
            <w:pPr>
              <w:pStyle w:val="TableParagraph"/>
              <w:spacing w:line="145" w:lineRule="exact"/>
              <w:ind w:right="62"/>
              <w:jc w:val="right"/>
              <w:rPr>
                <w:sz w:val="13"/>
              </w:rPr>
            </w:pPr>
            <w:r>
              <w:rPr>
                <w:spacing w:val="-2"/>
                <w:w w:val="105"/>
                <w:sz w:val="13"/>
              </w:rPr>
              <w:t>32,072</w:t>
            </w:r>
          </w:p>
        </w:tc>
        <w:tc>
          <w:tcPr>
            <w:tcW w:w="1085" w:type="dxa"/>
            <w:tcBorders>
              <w:top w:val="single" w:sz="6" w:space="0" w:color="000000"/>
              <w:left w:val="single" w:sz="6" w:space="0" w:color="000000"/>
              <w:bottom w:val="single" w:sz="6" w:space="0" w:color="000000"/>
            </w:tcBorders>
          </w:tcPr>
          <w:p>
            <w:pPr>
              <w:pStyle w:val="TableParagraph"/>
              <w:rPr>
                <w:sz w:val="13"/>
              </w:rPr>
            </w:pPr>
          </w:p>
          <w:p>
            <w:pPr>
              <w:pStyle w:val="TableParagraph"/>
              <w:spacing w:before="51"/>
              <w:rPr>
                <w:sz w:val="13"/>
              </w:rPr>
            </w:pPr>
          </w:p>
          <w:p>
            <w:pPr>
              <w:pStyle w:val="TableParagraph"/>
              <w:spacing w:line="132" w:lineRule="exact"/>
              <w:ind w:right="156"/>
              <w:jc w:val="right"/>
              <w:rPr>
                <w:sz w:val="13"/>
              </w:rPr>
            </w:pPr>
            <w:r>
              <w:rPr>
                <w:spacing w:val="-10"/>
                <w:w w:val="105"/>
                <w:sz w:val="13"/>
              </w:rPr>
              <w:t>-</w:t>
            </w:r>
          </w:p>
        </w:tc>
        <w:tc>
          <w:tcPr>
            <w:tcW w:w="946" w:type="dxa"/>
            <w:tcBorders>
              <w:top w:val="single" w:sz="6" w:space="0" w:color="000000"/>
              <w:bottom w:val="single" w:sz="6" w:space="0" w:color="000000"/>
            </w:tcBorders>
          </w:tcPr>
          <w:p>
            <w:pPr>
              <w:pStyle w:val="TableParagraph"/>
              <w:rPr>
                <w:sz w:val="13"/>
              </w:rPr>
            </w:pPr>
          </w:p>
          <w:p>
            <w:pPr>
              <w:pStyle w:val="TableParagraph"/>
              <w:spacing w:before="38"/>
              <w:rPr>
                <w:sz w:val="13"/>
              </w:rPr>
            </w:pPr>
          </w:p>
          <w:p>
            <w:pPr>
              <w:pStyle w:val="TableParagraph"/>
              <w:spacing w:line="145" w:lineRule="exact"/>
              <w:ind w:right="159"/>
              <w:jc w:val="right"/>
              <w:rPr>
                <w:sz w:val="13"/>
              </w:rPr>
            </w:pPr>
            <w:r>
              <w:rPr>
                <w:spacing w:val="-2"/>
                <w:w w:val="105"/>
                <w:sz w:val="13"/>
              </w:rPr>
              <w:t>32,072</w:t>
            </w:r>
          </w:p>
        </w:tc>
        <w:tc>
          <w:tcPr>
            <w:tcW w:w="862" w:type="dxa"/>
            <w:tcBorders>
              <w:top w:val="single" w:sz="6" w:space="0" w:color="000000"/>
              <w:bottom w:val="single" w:sz="6" w:space="0" w:color="000000"/>
            </w:tcBorders>
          </w:tcPr>
          <w:p>
            <w:pPr>
              <w:pStyle w:val="TableParagraph"/>
              <w:rPr>
                <w:sz w:val="13"/>
              </w:rPr>
            </w:pPr>
          </w:p>
          <w:p>
            <w:pPr>
              <w:pStyle w:val="TableParagraph"/>
              <w:spacing w:before="51"/>
              <w:rPr>
                <w:sz w:val="13"/>
              </w:rPr>
            </w:pPr>
          </w:p>
          <w:p>
            <w:pPr>
              <w:pStyle w:val="TableParagraph"/>
              <w:spacing w:line="132" w:lineRule="exact"/>
              <w:ind w:right="64"/>
              <w:jc w:val="right"/>
              <w:rPr>
                <w:sz w:val="13"/>
              </w:rPr>
            </w:pPr>
            <w:r>
              <w:rPr>
                <w:spacing w:val="-10"/>
                <w:w w:val="105"/>
                <w:sz w:val="13"/>
              </w:rPr>
              <w:t>-</w:t>
            </w:r>
          </w:p>
        </w:tc>
      </w:tr>
      <w:tr>
        <w:trPr>
          <w:trHeight w:val="157" w:hRule="atLeast"/>
        </w:trPr>
        <w:tc>
          <w:tcPr>
            <w:tcW w:w="3183" w:type="dxa"/>
          </w:tcPr>
          <w:p>
            <w:pPr>
              <w:pStyle w:val="TableParagraph"/>
              <w:spacing w:line="130" w:lineRule="exact" w:before="7"/>
              <w:ind w:left="48"/>
              <w:rPr>
                <w:b/>
                <w:sz w:val="13"/>
              </w:rPr>
            </w:pPr>
            <w:r>
              <w:rPr>
                <w:b/>
                <w:w w:val="105"/>
                <w:sz w:val="13"/>
              </w:rPr>
              <w:t>Total</w:t>
            </w:r>
            <w:r>
              <w:rPr>
                <w:b/>
                <w:spacing w:val="-7"/>
                <w:w w:val="105"/>
                <w:sz w:val="13"/>
              </w:rPr>
              <w:t> </w:t>
            </w:r>
            <w:r>
              <w:rPr>
                <w:b/>
                <w:w w:val="105"/>
                <w:sz w:val="13"/>
              </w:rPr>
              <w:t>non-financial</w:t>
            </w:r>
            <w:r>
              <w:rPr>
                <w:b/>
                <w:spacing w:val="-7"/>
                <w:w w:val="105"/>
                <w:sz w:val="13"/>
              </w:rPr>
              <w:t> </w:t>
            </w:r>
            <w:r>
              <w:rPr>
                <w:b/>
                <w:spacing w:val="-2"/>
                <w:w w:val="105"/>
                <w:sz w:val="13"/>
              </w:rPr>
              <w:t>assets</w:t>
            </w:r>
          </w:p>
        </w:tc>
        <w:tc>
          <w:tcPr>
            <w:tcW w:w="1445" w:type="dxa"/>
          </w:tcPr>
          <w:p>
            <w:pPr>
              <w:pStyle w:val="TableParagraph"/>
              <w:rPr>
                <w:rFonts w:ascii="Times New Roman"/>
                <w:sz w:val="10"/>
              </w:rPr>
            </w:pPr>
          </w:p>
        </w:tc>
        <w:tc>
          <w:tcPr>
            <w:tcW w:w="949" w:type="dxa"/>
            <w:tcBorders>
              <w:top w:val="single" w:sz="6" w:space="0" w:color="000000"/>
              <w:bottom w:val="single" w:sz="6" w:space="0" w:color="000000"/>
              <w:right w:val="single" w:sz="6" w:space="0" w:color="000000"/>
            </w:tcBorders>
          </w:tcPr>
          <w:p>
            <w:pPr>
              <w:pStyle w:val="TableParagraph"/>
              <w:spacing w:line="138" w:lineRule="exact"/>
              <w:ind w:right="62"/>
              <w:jc w:val="right"/>
              <w:rPr>
                <w:b/>
                <w:sz w:val="13"/>
              </w:rPr>
            </w:pPr>
            <w:r>
              <w:rPr>
                <w:b/>
                <w:spacing w:val="-2"/>
                <w:w w:val="105"/>
                <w:sz w:val="13"/>
              </w:rPr>
              <w:t>32,072</w:t>
            </w:r>
          </w:p>
        </w:tc>
        <w:tc>
          <w:tcPr>
            <w:tcW w:w="1085" w:type="dxa"/>
            <w:tcBorders>
              <w:top w:val="single" w:sz="6" w:space="0" w:color="000000"/>
              <w:left w:val="single" w:sz="6" w:space="0" w:color="000000"/>
              <w:bottom w:val="single" w:sz="6" w:space="0" w:color="000000"/>
            </w:tcBorders>
          </w:tcPr>
          <w:p>
            <w:pPr>
              <w:pStyle w:val="TableParagraph"/>
              <w:spacing w:line="132" w:lineRule="exact" w:before="5"/>
              <w:ind w:right="156"/>
              <w:jc w:val="right"/>
              <w:rPr>
                <w:sz w:val="13"/>
              </w:rPr>
            </w:pPr>
            <w:r>
              <w:rPr>
                <w:spacing w:val="-10"/>
                <w:w w:val="105"/>
                <w:sz w:val="13"/>
              </w:rPr>
              <w:t>-</w:t>
            </w:r>
          </w:p>
        </w:tc>
        <w:tc>
          <w:tcPr>
            <w:tcW w:w="946" w:type="dxa"/>
            <w:tcBorders>
              <w:top w:val="single" w:sz="6" w:space="0" w:color="000000"/>
              <w:bottom w:val="single" w:sz="6" w:space="0" w:color="000000"/>
            </w:tcBorders>
          </w:tcPr>
          <w:p>
            <w:pPr>
              <w:pStyle w:val="TableParagraph"/>
              <w:spacing w:line="138" w:lineRule="exact"/>
              <w:ind w:right="159"/>
              <w:jc w:val="right"/>
              <w:rPr>
                <w:b/>
                <w:sz w:val="13"/>
              </w:rPr>
            </w:pPr>
            <w:r>
              <w:rPr>
                <w:b/>
                <w:spacing w:val="-2"/>
                <w:w w:val="105"/>
                <w:sz w:val="13"/>
              </w:rPr>
              <w:t>32,072</w:t>
            </w:r>
          </w:p>
        </w:tc>
        <w:tc>
          <w:tcPr>
            <w:tcW w:w="862" w:type="dxa"/>
            <w:tcBorders>
              <w:top w:val="single" w:sz="6" w:space="0" w:color="000000"/>
              <w:bottom w:val="single" w:sz="6" w:space="0" w:color="000000"/>
            </w:tcBorders>
          </w:tcPr>
          <w:p>
            <w:pPr>
              <w:pStyle w:val="TableParagraph"/>
              <w:spacing w:line="132" w:lineRule="exact" w:before="5"/>
              <w:ind w:right="64"/>
              <w:jc w:val="right"/>
              <w:rPr>
                <w:sz w:val="13"/>
              </w:rPr>
            </w:pPr>
            <w:r>
              <w:rPr>
                <w:spacing w:val="-10"/>
                <w:w w:val="105"/>
                <w:sz w:val="13"/>
              </w:rPr>
              <w:t>-</w:t>
            </w:r>
          </w:p>
        </w:tc>
      </w:tr>
    </w:tbl>
    <w:p>
      <w:pPr>
        <w:spacing w:line="240" w:lineRule="auto" w:before="43"/>
        <w:rPr>
          <w:sz w:val="12"/>
        </w:rPr>
      </w:pPr>
    </w:p>
    <w:p>
      <w:pPr>
        <w:spacing w:line="273" w:lineRule="auto" w:before="0"/>
        <w:ind w:left="650" w:right="268" w:firstLine="0"/>
        <w:jc w:val="left"/>
        <w:rPr>
          <w:sz w:val="13"/>
        </w:rPr>
      </w:pPr>
      <w:r>
        <w:rPr>
          <w:w w:val="105"/>
          <w:sz w:val="13"/>
        </w:rPr>
        <w:t>There were no transfers between fair value hierarchy</w:t>
      </w:r>
      <w:r>
        <w:rPr>
          <w:spacing w:val="-2"/>
          <w:w w:val="105"/>
          <w:sz w:val="13"/>
        </w:rPr>
        <w:t> </w:t>
      </w:r>
      <w:r>
        <w:rPr>
          <w:w w:val="105"/>
          <w:sz w:val="13"/>
        </w:rPr>
        <w:t>levels during the year. The Group's policy</w:t>
      </w:r>
      <w:r>
        <w:rPr>
          <w:spacing w:val="-2"/>
          <w:w w:val="105"/>
          <w:sz w:val="13"/>
        </w:rPr>
        <w:t> </w:t>
      </w:r>
      <w:r>
        <w:rPr>
          <w:w w:val="105"/>
          <w:sz w:val="13"/>
        </w:rPr>
        <w:t>is to recognise transfers into and transfers</w:t>
      </w:r>
      <w:r>
        <w:rPr>
          <w:spacing w:val="40"/>
          <w:w w:val="105"/>
          <w:sz w:val="13"/>
        </w:rPr>
        <w:t> </w:t>
      </w:r>
      <w:r>
        <w:rPr>
          <w:w w:val="105"/>
          <w:sz w:val="13"/>
        </w:rPr>
        <w:t>out of fair value hierarchy levels as at the end of the reporting period.</w:t>
      </w:r>
    </w:p>
    <w:p>
      <w:pPr>
        <w:spacing w:line="240" w:lineRule="auto" w:before="56"/>
        <w:rPr>
          <w:sz w:val="13"/>
        </w:rPr>
      </w:pPr>
    </w:p>
    <w:p>
      <w:pPr>
        <w:pStyle w:val="ListParagraph"/>
        <w:numPr>
          <w:ilvl w:val="0"/>
          <w:numId w:val="38"/>
        </w:numPr>
        <w:tabs>
          <w:tab w:pos="853" w:val="left" w:leader="none"/>
        </w:tabs>
        <w:spacing w:line="240" w:lineRule="auto" w:before="0" w:after="0"/>
        <w:ind w:left="853" w:right="0" w:hanging="203"/>
        <w:jc w:val="left"/>
        <w:rPr>
          <w:b/>
          <w:sz w:val="13"/>
        </w:rPr>
      </w:pPr>
      <w:r>
        <w:rPr>
          <w:b/>
          <w:w w:val="105"/>
          <w:sz w:val="13"/>
        </w:rPr>
        <w:t>Disclosed</w:t>
      </w:r>
      <w:r>
        <w:rPr>
          <w:b/>
          <w:spacing w:val="-8"/>
          <w:w w:val="105"/>
          <w:sz w:val="13"/>
        </w:rPr>
        <w:t> </w:t>
      </w:r>
      <w:r>
        <w:rPr>
          <w:b/>
          <w:w w:val="105"/>
          <w:sz w:val="13"/>
        </w:rPr>
        <w:t>fair</w:t>
      </w:r>
      <w:r>
        <w:rPr>
          <w:b/>
          <w:spacing w:val="-7"/>
          <w:w w:val="105"/>
          <w:sz w:val="13"/>
        </w:rPr>
        <w:t> </w:t>
      </w:r>
      <w:r>
        <w:rPr>
          <w:b/>
          <w:spacing w:val="-2"/>
          <w:w w:val="105"/>
          <w:sz w:val="13"/>
        </w:rPr>
        <w:t>values</w:t>
      </w:r>
    </w:p>
    <w:p>
      <w:pPr>
        <w:spacing w:line="273" w:lineRule="auto" w:before="21"/>
        <w:ind w:left="650" w:right="297" w:firstLine="0"/>
        <w:jc w:val="both"/>
        <w:rPr>
          <w:sz w:val="13"/>
        </w:rPr>
      </w:pPr>
      <w:r>
        <w:rPr>
          <w:w w:val="105"/>
          <w:sz w:val="13"/>
        </w:rPr>
        <w:t>The Group has a number of assets and liabilities which are not measured at fair value, but for which the fair values are disclosed in the</w:t>
      </w:r>
      <w:r>
        <w:rPr>
          <w:spacing w:val="40"/>
          <w:w w:val="105"/>
          <w:sz w:val="13"/>
        </w:rPr>
        <w:t> </w:t>
      </w:r>
      <w:r>
        <w:rPr>
          <w:spacing w:val="-2"/>
          <w:w w:val="105"/>
          <w:sz w:val="13"/>
        </w:rPr>
        <w:t>notes.</w:t>
      </w:r>
    </w:p>
    <w:p>
      <w:pPr>
        <w:spacing w:line="240" w:lineRule="auto" w:before="21"/>
        <w:rPr>
          <w:sz w:val="13"/>
        </w:rPr>
      </w:pPr>
    </w:p>
    <w:p>
      <w:pPr>
        <w:spacing w:line="273" w:lineRule="auto" w:before="0"/>
        <w:ind w:left="650" w:right="296" w:firstLine="0"/>
        <w:jc w:val="both"/>
        <w:rPr>
          <w:sz w:val="13"/>
        </w:rPr>
      </w:pPr>
      <w:r>
        <w:rPr>
          <w:w w:val="105"/>
          <w:sz w:val="13"/>
        </w:rPr>
        <w:t>The carrying value of cash and cash equivalents, net accounts receivable, trade and other payables and other liabilities are considered a</w:t>
      </w:r>
      <w:r>
        <w:rPr>
          <w:spacing w:val="40"/>
          <w:w w:val="105"/>
          <w:sz w:val="13"/>
        </w:rPr>
        <w:t> </w:t>
      </w:r>
      <w:r>
        <w:rPr>
          <w:w w:val="105"/>
          <w:sz w:val="13"/>
        </w:rPr>
        <w:t>reasonable approximation of fair value due to the relatively short-term nature of the instruments. The provision for impairment brings the</w:t>
      </w:r>
      <w:r>
        <w:rPr>
          <w:spacing w:val="40"/>
          <w:w w:val="105"/>
          <w:sz w:val="13"/>
        </w:rPr>
        <w:t> </w:t>
      </w:r>
      <w:r>
        <w:rPr>
          <w:w w:val="105"/>
          <w:sz w:val="13"/>
        </w:rPr>
        <w:t>face value of account receivables to fair value.</w:t>
      </w:r>
    </w:p>
    <w:p>
      <w:pPr>
        <w:spacing w:line="240" w:lineRule="auto" w:before="21"/>
        <w:rPr>
          <w:sz w:val="13"/>
        </w:rPr>
      </w:pPr>
    </w:p>
    <w:p>
      <w:pPr>
        <w:spacing w:line="273" w:lineRule="auto" w:before="0"/>
        <w:ind w:left="650" w:right="296" w:hanging="1"/>
        <w:jc w:val="both"/>
        <w:rPr>
          <w:sz w:val="13"/>
        </w:rPr>
      </w:pPr>
      <w:r>
        <w:rPr>
          <w:w w:val="105"/>
          <w:sz w:val="13"/>
        </w:rPr>
        <w:t>The fair value of borrowings for disclosure purposes is determined after consideration of the premium or discount that would be required</w:t>
      </w:r>
      <w:r>
        <w:rPr>
          <w:spacing w:val="40"/>
          <w:w w:val="105"/>
          <w:sz w:val="13"/>
        </w:rPr>
        <w:t> </w:t>
      </w:r>
      <w:r>
        <w:rPr>
          <w:w w:val="105"/>
          <w:sz w:val="13"/>
        </w:rPr>
        <w:t>under a hypothetical settlement at the reporting date.</w:t>
      </w:r>
    </w:p>
    <w:p>
      <w:pPr>
        <w:spacing w:line="240" w:lineRule="auto" w:before="20"/>
        <w:rPr>
          <w:sz w:val="13"/>
        </w:rPr>
      </w:pPr>
    </w:p>
    <w:p>
      <w:pPr>
        <w:spacing w:line="273" w:lineRule="auto" w:before="1"/>
        <w:ind w:left="650" w:right="296" w:hanging="1"/>
        <w:jc w:val="both"/>
        <w:rPr>
          <w:sz w:val="13"/>
        </w:rPr>
      </w:pPr>
      <w:r>
        <w:rPr>
          <w:w w:val="105"/>
          <w:sz w:val="13"/>
        </w:rPr>
        <w:t>Other</w:t>
      </w:r>
      <w:r>
        <w:rPr>
          <w:w w:val="105"/>
          <w:sz w:val="13"/>
        </w:rPr>
        <w:t> financial</w:t>
      </w:r>
      <w:r>
        <w:rPr>
          <w:w w:val="105"/>
          <w:sz w:val="13"/>
        </w:rPr>
        <w:t> liabilities</w:t>
      </w:r>
      <w:r>
        <w:rPr>
          <w:w w:val="105"/>
          <w:sz w:val="13"/>
        </w:rPr>
        <w:t> consists</w:t>
      </w:r>
      <w:r>
        <w:rPr>
          <w:w w:val="105"/>
          <w:sz w:val="13"/>
        </w:rPr>
        <w:t> of</w:t>
      </w:r>
      <w:r>
        <w:rPr>
          <w:w w:val="105"/>
          <w:sz w:val="13"/>
        </w:rPr>
        <w:t> funds</w:t>
      </w:r>
      <w:r>
        <w:rPr>
          <w:w w:val="105"/>
          <w:sz w:val="13"/>
        </w:rPr>
        <w:t> held</w:t>
      </w:r>
      <w:r>
        <w:rPr>
          <w:w w:val="105"/>
          <w:sz w:val="13"/>
        </w:rPr>
        <w:t> for</w:t>
      </w:r>
      <w:r>
        <w:rPr>
          <w:w w:val="105"/>
          <w:sz w:val="13"/>
        </w:rPr>
        <w:t> outside</w:t>
      </w:r>
      <w:r>
        <w:rPr>
          <w:w w:val="105"/>
          <w:sz w:val="13"/>
        </w:rPr>
        <w:t> parties</w:t>
      </w:r>
      <w:r>
        <w:rPr>
          <w:w w:val="105"/>
          <w:sz w:val="13"/>
        </w:rPr>
        <w:t> effectively</w:t>
      </w:r>
      <w:r>
        <w:rPr>
          <w:w w:val="105"/>
          <w:sz w:val="13"/>
        </w:rPr>
        <w:t> at</w:t>
      </w:r>
      <w:r>
        <w:rPr>
          <w:w w:val="105"/>
          <w:sz w:val="13"/>
        </w:rPr>
        <w:t> call</w:t>
      </w:r>
      <w:r>
        <w:rPr>
          <w:w w:val="105"/>
          <w:sz w:val="13"/>
        </w:rPr>
        <w:t> and</w:t>
      </w:r>
      <w:r>
        <w:rPr>
          <w:w w:val="105"/>
          <w:sz w:val="13"/>
        </w:rPr>
        <w:t> the</w:t>
      </w:r>
      <w:r>
        <w:rPr>
          <w:w w:val="105"/>
          <w:sz w:val="13"/>
        </w:rPr>
        <w:t> carrying</w:t>
      </w:r>
      <w:r>
        <w:rPr>
          <w:w w:val="105"/>
          <w:sz w:val="13"/>
        </w:rPr>
        <w:t> value</w:t>
      </w:r>
      <w:r>
        <w:rPr>
          <w:w w:val="105"/>
          <w:sz w:val="13"/>
        </w:rPr>
        <w:t> represents</w:t>
      </w:r>
      <w:r>
        <w:rPr>
          <w:w w:val="105"/>
          <w:sz w:val="13"/>
        </w:rPr>
        <w:t> the</w:t>
      </w:r>
      <w:r>
        <w:rPr>
          <w:w w:val="105"/>
          <w:sz w:val="13"/>
        </w:rPr>
        <w:t> amount</w:t>
      </w:r>
      <w:r>
        <w:rPr>
          <w:w w:val="105"/>
          <w:sz w:val="13"/>
        </w:rPr>
        <w:t> the</w:t>
      </w:r>
      <w:r>
        <w:rPr>
          <w:spacing w:val="40"/>
          <w:w w:val="105"/>
          <w:sz w:val="13"/>
        </w:rPr>
        <w:t> </w:t>
      </w:r>
      <w:r>
        <w:rPr>
          <w:w w:val="105"/>
          <w:sz w:val="13"/>
        </w:rPr>
        <w:t>University is required to pay to settle the liabilities.</w:t>
      </w:r>
    </w:p>
    <w:p>
      <w:pPr>
        <w:spacing w:line="240" w:lineRule="auto" w:before="138"/>
        <w:rPr>
          <w:sz w:val="13"/>
        </w:rPr>
      </w:pPr>
    </w:p>
    <w:p>
      <w:pPr>
        <w:pStyle w:val="ListParagraph"/>
        <w:numPr>
          <w:ilvl w:val="0"/>
          <w:numId w:val="36"/>
        </w:numPr>
        <w:tabs>
          <w:tab w:pos="650" w:val="left" w:leader="none"/>
        </w:tabs>
        <w:spacing w:line="240" w:lineRule="auto" w:before="0" w:after="0"/>
        <w:ind w:left="650" w:right="0" w:hanging="507"/>
        <w:jc w:val="left"/>
        <w:rPr>
          <w:b/>
          <w:sz w:val="13"/>
        </w:rPr>
      </w:pPr>
      <w:r>
        <w:rPr>
          <w:b/>
          <w:w w:val="105"/>
          <w:sz w:val="13"/>
        </w:rPr>
        <w:t>Valuation</w:t>
      </w:r>
      <w:r>
        <w:rPr>
          <w:b/>
          <w:spacing w:val="-6"/>
          <w:w w:val="105"/>
          <w:sz w:val="13"/>
        </w:rPr>
        <w:t> </w:t>
      </w:r>
      <w:r>
        <w:rPr>
          <w:b/>
          <w:w w:val="105"/>
          <w:sz w:val="13"/>
        </w:rPr>
        <w:t>techniques</w:t>
      </w:r>
      <w:r>
        <w:rPr>
          <w:b/>
          <w:spacing w:val="-6"/>
          <w:w w:val="105"/>
          <w:sz w:val="13"/>
        </w:rPr>
        <w:t> </w:t>
      </w:r>
      <w:r>
        <w:rPr>
          <w:b/>
          <w:w w:val="105"/>
          <w:sz w:val="13"/>
        </w:rPr>
        <w:t>used</w:t>
      </w:r>
      <w:r>
        <w:rPr>
          <w:b/>
          <w:spacing w:val="-5"/>
          <w:w w:val="105"/>
          <w:sz w:val="13"/>
        </w:rPr>
        <w:t> </w:t>
      </w:r>
      <w:r>
        <w:rPr>
          <w:b/>
          <w:w w:val="105"/>
          <w:sz w:val="13"/>
        </w:rPr>
        <w:t>to</w:t>
      </w:r>
      <w:r>
        <w:rPr>
          <w:b/>
          <w:spacing w:val="-6"/>
          <w:w w:val="105"/>
          <w:sz w:val="13"/>
        </w:rPr>
        <w:t> </w:t>
      </w:r>
      <w:r>
        <w:rPr>
          <w:b/>
          <w:w w:val="105"/>
          <w:sz w:val="13"/>
        </w:rPr>
        <w:t>derive</w:t>
      </w:r>
      <w:r>
        <w:rPr>
          <w:b/>
          <w:spacing w:val="-6"/>
          <w:w w:val="105"/>
          <w:sz w:val="13"/>
        </w:rPr>
        <w:t> </w:t>
      </w:r>
      <w:r>
        <w:rPr>
          <w:b/>
          <w:w w:val="105"/>
          <w:sz w:val="13"/>
        </w:rPr>
        <w:t>level</w:t>
      </w:r>
      <w:r>
        <w:rPr>
          <w:b/>
          <w:spacing w:val="-6"/>
          <w:w w:val="105"/>
          <w:sz w:val="13"/>
        </w:rPr>
        <w:t> </w:t>
      </w:r>
      <w:r>
        <w:rPr>
          <w:b/>
          <w:w w:val="105"/>
          <w:sz w:val="13"/>
        </w:rPr>
        <w:t>2</w:t>
      </w:r>
      <w:r>
        <w:rPr>
          <w:b/>
          <w:spacing w:val="-6"/>
          <w:w w:val="105"/>
          <w:sz w:val="13"/>
        </w:rPr>
        <w:t> </w:t>
      </w:r>
      <w:r>
        <w:rPr>
          <w:b/>
          <w:w w:val="105"/>
          <w:sz w:val="13"/>
        </w:rPr>
        <w:t>and</w:t>
      </w:r>
      <w:r>
        <w:rPr>
          <w:b/>
          <w:spacing w:val="-6"/>
          <w:w w:val="105"/>
          <w:sz w:val="13"/>
        </w:rPr>
        <w:t> </w:t>
      </w:r>
      <w:r>
        <w:rPr>
          <w:b/>
          <w:w w:val="105"/>
          <w:sz w:val="13"/>
        </w:rPr>
        <w:t>level</w:t>
      </w:r>
      <w:r>
        <w:rPr>
          <w:b/>
          <w:spacing w:val="-6"/>
          <w:w w:val="105"/>
          <w:sz w:val="13"/>
        </w:rPr>
        <w:t> </w:t>
      </w:r>
      <w:r>
        <w:rPr>
          <w:b/>
          <w:w w:val="105"/>
          <w:sz w:val="13"/>
        </w:rPr>
        <w:t>3</w:t>
      </w:r>
      <w:r>
        <w:rPr>
          <w:b/>
          <w:spacing w:val="-6"/>
          <w:w w:val="105"/>
          <w:sz w:val="13"/>
        </w:rPr>
        <w:t> </w:t>
      </w:r>
      <w:r>
        <w:rPr>
          <w:b/>
          <w:w w:val="105"/>
          <w:sz w:val="13"/>
        </w:rPr>
        <w:t>fair</w:t>
      </w:r>
      <w:r>
        <w:rPr>
          <w:b/>
          <w:spacing w:val="-5"/>
          <w:w w:val="105"/>
          <w:sz w:val="13"/>
        </w:rPr>
        <w:t> </w:t>
      </w:r>
      <w:r>
        <w:rPr>
          <w:b/>
          <w:spacing w:val="-2"/>
          <w:w w:val="105"/>
          <w:sz w:val="13"/>
        </w:rPr>
        <w:t>values</w:t>
      </w:r>
    </w:p>
    <w:p>
      <w:pPr>
        <w:spacing w:line="240" w:lineRule="auto" w:before="46"/>
        <w:rPr>
          <w:b/>
          <w:sz w:val="13"/>
        </w:rPr>
      </w:pPr>
    </w:p>
    <w:p>
      <w:pPr>
        <w:spacing w:before="0"/>
        <w:ind w:left="650" w:right="0" w:firstLine="0"/>
        <w:jc w:val="left"/>
        <w:rPr>
          <w:b/>
          <w:sz w:val="13"/>
        </w:rPr>
      </w:pPr>
      <w:r>
        <w:rPr>
          <w:b/>
          <w:w w:val="105"/>
          <w:sz w:val="13"/>
        </w:rPr>
        <w:t>(i)</w:t>
      </w:r>
      <w:r>
        <w:rPr>
          <w:b/>
          <w:spacing w:val="-5"/>
          <w:w w:val="105"/>
          <w:sz w:val="13"/>
        </w:rPr>
        <w:t> </w:t>
      </w:r>
      <w:r>
        <w:rPr>
          <w:b/>
          <w:w w:val="105"/>
          <w:sz w:val="13"/>
        </w:rPr>
        <w:t>Recurring</w:t>
      </w:r>
      <w:r>
        <w:rPr>
          <w:b/>
          <w:spacing w:val="-5"/>
          <w:w w:val="105"/>
          <w:sz w:val="13"/>
        </w:rPr>
        <w:t> </w:t>
      </w:r>
      <w:r>
        <w:rPr>
          <w:b/>
          <w:w w:val="105"/>
          <w:sz w:val="13"/>
        </w:rPr>
        <w:t>fair</w:t>
      </w:r>
      <w:r>
        <w:rPr>
          <w:b/>
          <w:spacing w:val="-6"/>
          <w:w w:val="105"/>
          <w:sz w:val="13"/>
        </w:rPr>
        <w:t> </w:t>
      </w:r>
      <w:r>
        <w:rPr>
          <w:b/>
          <w:w w:val="105"/>
          <w:sz w:val="13"/>
        </w:rPr>
        <w:t>value</w:t>
      </w:r>
      <w:r>
        <w:rPr>
          <w:b/>
          <w:spacing w:val="-6"/>
          <w:w w:val="105"/>
          <w:sz w:val="13"/>
        </w:rPr>
        <w:t> </w:t>
      </w:r>
      <w:r>
        <w:rPr>
          <w:b/>
          <w:spacing w:val="-2"/>
          <w:w w:val="105"/>
          <w:sz w:val="13"/>
        </w:rPr>
        <w:t>measurements</w:t>
      </w:r>
    </w:p>
    <w:p>
      <w:pPr>
        <w:spacing w:before="21"/>
        <w:ind w:left="650" w:right="0" w:firstLine="0"/>
        <w:jc w:val="left"/>
        <w:rPr>
          <w:sz w:val="13"/>
        </w:rPr>
      </w:pPr>
      <w:r>
        <w:rPr>
          <w:w w:val="105"/>
          <w:sz w:val="13"/>
        </w:rPr>
        <w:t>The</w:t>
      </w:r>
      <w:r>
        <w:rPr>
          <w:spacing w:val="-7"/>
          <w:w w:val="105"/>
          <w:sz w:val="13"/>
        </w:rPr>
        <w:t> </w:t>
      </w:r>
      <w:r>
        <w:rPr>
          <w:w w:val="105"/>
          <w:sz w:val="13"/>
        </w:rPr>
        <w:t>Group</w:t>
      </w:r>
      <w:r>
        <w:rPr>
          <w:spacing w:val="-6"/>
          <w:w w:val="105"/>
          <w:sz w:val="13"/>
        </w:rPr>
        <w:t> </w:t>
      </w:r>
      <w:r>
        <w:rPr>
          <w:w w:val="105"/>
          <w:sz w:val="13"/>
        </w:rPr>
        <w:t>measures</w:t>
      </w:r>
      <w:r>
        <w:rPr>
          <w:spacing w:val="-6"/>
          <w:w w:val="105"/>
          <w:sz w:val="13"/>
        </w:rPr>
        <w:t> </w:t>
      </w:r>
      <w:r>
        <w:rPr>
          <w:w w:val="105"/>
          <w:sz w:val="13"/>
        </w:rPr>
        <w:t>and</w:t>
      </w:r>
      <w:r>
        <w:rPr>
          <w:spacing w:val="-6"/>
          <w:w w:val="105"/>
          <w:sz w:val="13"/>
        </w:rPr>
        <w:t> </w:t>
      </w:r>
      <w:r>
        <w:rPr>
          <w:w w:val="105"/>
          <w:sz w:val="13"/>
        </w:rPr>
        <w:t>recognises</w:t>
      </w:r>
      <w:r>
        <w:rPr>
          <w:spacing w:val="-5"/>
          <w:w w:val="105"/>
          <w:sz w:val="13"/>
        </w:rPr>
        <w:t> </w:t>
      </w:r>
      <w:r>
        <w:rPr>
          <w:w w:val="105"/>
          <w:sz w:val="13"/>
        </w:rPr>
        <w:t>the</w:t>
      </w:r>
      <w:r>
        <w:rPr>
          <w:spacing w:val="-7"/>
          <w:w w:val="105"/>
          <w:sz w:val="13"/>
        </w:rPr>
        <w:t> </w:t>
      </w:r>
      <w:r>
        <w:rPr>
          <w:w w:val="105"/>
          <w:sz w:val="13"/>
        </w:rPr>
        <w:t>following</w:t>
      </w:r>
      <w:r>
        <w:rPr>
          <w:spacing w:val="-6"/>
          <w:w w:val="105"/>
          <w:sz w:val="13"/>
        </w:rPr>
        <w:t> </w:t>
      </w:r>
      <w:r>
        <w:rPr>
          <w:w w:val="105"/>
          <w:sz w:val="13"/>
        </w:rPr>
        <w:t>assets</w:t>
      </w:r>
      <w:r>
        <w:rPr>
          <w:spacing w:val="-5"/>
          <w:w w:val="105"/>
          <w:sz w:val="13"/>
        </w:rPr>
        <w:t> </w:t>
      </w:r>
      <w:r>
        <w:rPr>
          <w:w w:val="105"/>
          <w:sz w:val="13"/>
        </w:rPr>
        <w:t>and</w:t>
      </w:r>
      <w:r>
        <w:rPr>
          <w:spacing w:val="-7"/>
          <w:w w:val="105"/>
          <w:sz w:val="13"/>
        </w:rPr>
        <w:t> </w:t>
      </w:r>
      <w:r>
        <w:rPr>
          <w:w w:val="105"/>
          <w:sz w:val="13"/>
        </w:rPr>
        <w:t>liabilities</w:t>
      </w:r>
      <w:r>
        <w:rPr>
          <w:spacing w:val="-5"/>
          <w:w w:val="105"/>
          <w:sz w:val="13"/>
        </w:rPr>
        <w:t> </w:t>
      </w:r>
      <w:r>
        <w:rPr>
          <w:w w:val="105"/>
          <w:sz w:val="13"/>
        </w:rPr>
        <w:t>at</w:t>
      </w:r>
      <w:r>
        <w:rPr>
          <w:spacing w:val="-7"/>
          <w:w w:val="105"/>
          <w:sz w:val="13"/>
        </w:rPr>
        <w:t> </w:t>
      </w:r>
      <w:r>
        <w:rPr>
          <w:w w:val="105"/>
          <w:sz w:val="13"/>
        </w:rPr>
        <w:t>fair</w:t>
      </w:r>
      <w:r>
        <w:rPr>
          <w:spacing w:val="-4"/>
          <w:w w:val="105"/>
          <w:sz w:val="13"/>
        </w:rPr>
        <w:t> </w:t>
      </w:r>
      <w:r>
        <w:rPr>
          <w:w w:val="105"/>
          <w:sz w:val="13"/>
        </w:rPr>
        <w:t>value</w:t>
      </w:r>
      <w:r>
        <w:rPr>
          <w:spacing w:val="-6"/>
          <w:w w:val="105"/>
          <w:sz w:val="13"/>
        </w:rPr>
        <w:t> </w:t>
      </w:r>
      <w:r>
        <w:rPr>
          <w:w w:val="105"/>
          <w:sz w:val="13"/>
        </w:rPr>
        <w:t>on</w:t>
      </w:r>
      <w:r>
        <w:rPr>
          <w:spacing w:val="-7"/>
          <w:w w:val="105"/>
          <w:sz w:val="13"/>
        </w:rPr>
        <w:t> </w:t>
      </w:r>
      <w:r>
        <w:rPr>
          <w:w w:val="105"/>
          <w:sz w:val="13"/>
        </w:rPr>
        <w:t>a</w:t>
      </w:r>
      <w:r>
        <w:rPr>
          <w:spacing w:val="-6"/>
          <w:w w:val="105"/>
          <w:sz w:val="13"/>
        </w:rPr>
        <w:t> </w:t>
      </w:r>
      <w:r>
        <w:rPr>
          <w:w w:val="105"/>
          <w:sz w:val="13"/>
        </w:rPr>
        <w:t>recurring</w:t>
      </w:r>
      <w:r>
        <w:rPr>
          <w:spacing w:val="-6"/>
          <w:w w:val="105"/>
          <w:sz w:val="13"/>
        </w:rPr>
        <w:t> </w:t>
      </w:r>
      <w:r>
        <w:rPr>
          <w:spacing w:val="-2"/>
          <w:w w:val="105"/>
          <w:sz w:val="13"/>
        </w:rPr>
        <w:t>basis:</w:t>
      </w:r>
    </w:p>
    <w:p>
      <w:pPr>
        <w:pStyle w:val="ListParagraph"/>
        <w:numPr>
          <w:ilvl w:val="0"/>
          <w:numId w:val="39"/>
        </w:numPr>
        <w:tabs>
          <w:tab w:pos="733" w:val="left" w:leader="none"/>
        </w:tabs>
        <w:spacing w:line="240" w:lineRule="auto" w:before="23" w:after="0"/>
        <w:ind w:left="733" w:right="0" w:hanging="83"/>
        <w:jc w:val="left"/>
        <w:rPr>
          <w:sz w:val="13"/>
        </w:rPr>
      </w:pPr>
      <w:r>
        <w:rPr>
          <w:w w:val="105"/>
          <w:sz w:val="13"/>
        </w:rPr>
        <w:t>Financial</w:t>
      </w:r>
      <w:r>
        <w:rPr>
          <w:spacing w:val="-6"/>
          <w:w w:val="105"/>
          <w:sz w:val="13"/>
        </w:rPr>
        <w:t> </w:t>
      </w:r>
      <w:r>
        <w:rPr>
          <w:w w:val="105"/>
          <w:sz w:val="13"/>
        </w:rPr>
        <w:t>assets</w:t>
      </w:r>
      <w:r>
        <w:rPr>
          <w:spacing w:val="-5"/>
          <w:w w:val="105"/>
          <w:sz w:val="13"/>
        </w:rPr>
        <w:t> </w:t>
      </w:r>
      <w:r>
        <w:rPr>
          <w:w w:val="105"/>
          <w:sz w:val="13"/>
        </w:rPr>
        <w:t>at</w:t>
      </w:r>
      <w:r>
        <w:rPr>
          <w:spacing w:val="-6"/>
          <w:w w:val="105"/>
          <w:sz w:val="13"/>
        </w:rPr>
        <w:t> </w:t>
      </w:r>
      <w:r>
        <w:rPr>
          <w:w w:val="105"/>
          <w:sz w:val="13"/>
        </w:rPr>
        <w:t>fair</w:t>
      </w:r>
      <w:r>
        <w:rPr>
          <w:spacing w:val="-5"/>
          <w:w w:val="105"/>
          <w:sz w:val="13"/>
        </w:rPr>
        <w:t> </w:t>
      </w:r>
      <w:r>
        <w:rPr>
          <w:w w:val="105"/>
          <w:sz w:val="13"/>
        </w:rPr>
        <w:t>value</w:t>
      </w:r>
      <w:r>
        <w:rPr>
          <w:spacing w:val="-6"/>
          <w:w w:val="105"/>
          <w:sz w:val="13"/>
        </w:rPr>
        <w:t> </w:t>
      </w:r>
      <w:r>
        <w:rPr>
          <w:w w:val="105"/>
          <w:sz w:val="13"/>
        </w:rPr>
        <w:t>through</w:t>
      </w:r>
      <w:r>
        <w:rPr>
          <w:spacing w:val="-6"/>
          <w:w w:val="105"/>
          <w:sz w:val="13"/>
        </w:rPr>
        <w:t> </w:t>
      </w:r>
      <w:r>
        <w:rPr>
          <w:w w:val="105"/>
          <w:sz w:val="13"/>
        </w:rPr>
        <w:t>profit</w:t>
      </w:r>
      <w:r>
        <w:rPr>
          <w:spacing w:val="-7"/>
          <w:w w:val="105"/>
          <w:sz w:val="13"/>
        </w:rPr>
        <w:t> </w:t>
      </w:r>
      <w:r>
        <w:rPr>
          <w:w w:val="105"/>
          <w:sz w:val="13"/>
        </w:rPr>
        <w:t>and</w:t>
      </w:r>
      <w:r>
        <w:rPr>
          <w:spacing w:val="-6"/>
          <w:w w:val="105"/>
          <w:sz w:val="13"/>
        </w:rPr>
        <w:t> </w:t>
      </w:r>
      <w:r>
        <w:rPr>
          <w:spacing w:val="-4"/>
          <w:w w:val="105"/>
          <w:sz w:val="13"/>
        </w:rPr>
        <w:t>loss;</w:t>
      </w:r>
    </w:p>
    <w:p>
      <w:pPr>
        <w:pStyle w:val="ListParagraph"/>
        <w:numPr>
          <w:ilvl w:val="0"/>
          <w:numId w:val="39"/>
        </w:numPr>
        <w:tabs>
          <w:tab w:pos="733" w:val="left" w:leader="none"/>
        </w:tabs>
        <w:spacing w:line="240" w:lineRule="auto" w:before="23" w:after="0"/>
        <w:ind w:left="733" w:right="0" w:hanging="83"/>
        <w:jc w:val="left"/>
        <w:rPr>
          <w:sz w:val="13"/>
        </w:rPr>
      </w:pPr>
      <w:r>
        <w:rPr>
          <w:spacing w:val="-2"/>
          <w:w w:val="105"/>
          <w:sz w:val="13"/>
        </w:rPr>
        <w:t>Investment</w:t>
      </w:r>
      <w:r>
        <w:rPr>
          <w:spacing w:val="8"/>
          <w:w w:val="105"/>
          <w:sz w:val="13"/>
        </w:rPr>
        <w:t> </w:t>
      </w:r>
      <w:r>
        <w:rPr>
          <w:spacing w:val="-2"/>
          <w:w w:val="105"/>
          <w:sz w:val="13"/>
        </w:rPr>
        <w:t>properties;</w:t>
      </w:r>
      <w:r>
        <w:rPr>
          <w:spacing w:val="8"/>
          <w:w w:val="105"/>
          <w:sz w:val="13"/>
        </w:rPr>
        <w:t> </w:t>
      </w:r>
      <w:r>
        <w:rPr>
          <w:spacing w:val="-5"/>
          <w:w w:val="105"/>
          <w:sz w:val="13"/>
        </w:rPr>
        <w:t>and</w:t>
      </w:r>
    </w:p>
    <w:p>
      <w:pPr>
        <w:pStyle w:val="ListParagraph"/>
        <w:numPr>
          <w:ilvl w:val="0"/>
          <w:numId w:val="39"/>
        </w:numPr>
        <w:tabs>
          <w:tab w:pos="733" w:val="left" w:leader="none"/>
        </w:tabs>
        <w:spacing w:line="240" w:lineRule="auto" w:before="23" w:after="0"/>
        <w:ind w:left="733" w:right="0" w:hanging="83"/>
        <w:jc w:val="left"/>
        <w:rPr>
          <w:sz w:val="13"/>
        </w:rPr>
      </w:pPr>
      <w:r>
        <w:rPr>
          <w:w w:val="105"/>
          <w:sz w:val="13"/>
        </w:rPr>
        <w:t>Other</w:t>
      </w:r>
      <w:r>
        <w:rPr>
          <w:spacing w:val="-6"/>
          <w:w w:val="105"/>
          <w:sz w:val="13"/>
        </w:rPr>
        <w:t> </w:t>
      </w:r>
      <w:r>
        <w:rPr>
          <w:w w:val="105"/>
          <w:sz w:val="13"/>
        </w:rPr>
        <w:t>financial</w:t>
      </w:r>
      <w:r>
        <w:rPr>
          <w:spacing w:val="-7"/>
          <w:w w:val="105"/>
          <w:sz w:val="13"/>
        </w:rPr>
        <w:t> </w:t>
      </w:r>
      <w:r>
        <w:rPr>
          <w:w w:val="105"/>
          <w:sz w:val="13"/>
        </w:rPr>
        <w:t>assets</w:t>
      </w:r>
      <w:r>
        <w:rPr>
          <w:spacing w:val="-6"/>
          <w:w w:val="105"/>
          <w:sz w:val="13"/>
        </w:rPr>
        <w:t> </w:t>
      </w:r>
      <w:r>
        <w:rPr>
          <w:w w:val="105"/>
          <w:sz w:val="13"/>
        </w:rPr>
        <w:t>at</w:t>
      </w:r>
      <w:r>
        <w:rPr>
          <w:spacing w:val="-7"/>
          <w:w w:val="105"/>
          <w:sz w:val="13"/>
        </w:rPr>
        <w:t> </w:t>
      </w:r>
      <w:r>
        <w:rPr>
          <w:w w:val="105"/>
          <w:sz w:val="13"/>
        </w:rPr>
        <w:t>amortised</w:t>
      </w:r>
      <w:r>
        <w:rPr>
          <w:spacing w:val="-8"/>
          <w:w w:val="105"/>
          <w:sz w:val="13"/>
        </w:rPr>
        <w:t> </w:t>
      </w:r>
      <w:r>
        <w:rPr>
          <w:spacing w:val="-4"/>
          <w:w w:val="105"/>
          <w:sz w:val="13"/>
        </w:rPr>
        <w:t>cost.</w:t>
      </w:r>
    </w:p>
    <w:p>
      <w:pPr>
        <w:spacing w:line="240" w:lineRule="auto" w:before="46"/>
        <w:rPr>
          <w:sz w:val="13"/>
        </w:rPr>
      </w:pPr>
    </w:p>
    <w:p>
      <w:pPr>
        <w:spacing w:line="273" w:lineRule="auto" w:before="0"/>
        <w:ind w:left="650" w:right="296" w:firstLine="0"/>
        <w:jc w:val="both"/>
        <w:rPr>
          <w:sz w:val="13"/>
        </w:rPr>
      </w:pPr>
      <w:r>
        <w:rPr>
          <w:w w:val="105"/>
          <w:sz w:val="13"/>
        </w:rPr>
        <w:t>The fair value of financial instruments that are not traded in an active market is determined using valuation techniques. These valuation</w:t>
      </w:r>
      <w:r>
        <w:rPr>
          <w:spacing w:val="40"/>
          <w:w w:val="105"/>
          <w:sz w:val="13"/>
        </w:rPr>
        <w:t> </w:t>
      </w:r>
      <w:r>
        <w:rPr>
          <w:w w:val="105"/>
          <w:sz w:val="13"/>
        </w:rPr>
        <w:t>techniques maximise the use of observable market data where it is available and rely</w:t>
      </w:r>
      <w:r>
        <w:rPr>
          <w:spacing w:val="-2"/>
          <w:w w:val="105"/>
          <w:sz w:val="13"/>
        </w:rPr>
        <w:t> </w:t>
      </w:r>
      <w:r>
        <w:rPr>
          <w:w w:val="105"/>
          <w:sz w:val="13"/>
        </w:rPr>
        <w:t>as little as possible on entity-specific estimates. If all</w:t>
      </w:r>
      <w:r>
        <w:rPr>
          <w:spacing w:val="40"/>
          <w:w w:val="105"/>
          <w:sz w:val="13"/>
        </w:rPr>
        <w:t> </w:t>
      </w:r>
      <w:r>
        <w:rPr>
          <w:w w:val="105"/>
          <w:sz w:val="13"/>
        </w:rPr>
        <w:t>significant inputs required to fair value an instrument are observable, the instrument is included in level 2. If one or more of the significant</w:t>
      </w:r>
      <w:r>
        <w:rPr>
          <w:spacing w:val="40"/>
          <w:w w:val="105"/>
          <w:sz w:val="13"/>
        </w:rPr>
        <w:t> </w:t>
      </w:r>
      <w:r>
        <w:rPr>
          <w:w w:val="105"/>
          <w:sz w:val="13"/>
        </w:rPr>
        <w:t>inputs is not based on observable market data, the instrument is included in level 3. This is the case for unlisted equity</w:t>
      </w:r>
      <w:r>
        <w:rPr>
          <w:spacing w:val="-3"/>
          <w:w w:val="105"/>
          <w:sz w:val="13"/>
        </w:rPr>
        <w:t> </w:t>
      </w:r>
      <w:r>
        <w:rPr>
          <w:w w:val="105"/>
          <w:sz w:val="13"/>
        </w:rPr>
        <w:t>securities.</w:t>
      </w:r>
    </w:p>
    <w:p>
      <w:pPr>
        <w:spacing w:line="240" w:lineRule="auto" w:before="0"/>
        <w:rPr>
          <w:sz w:val="13"/>
        </w:rPr>
      </w:pPr>
    </w:p>
    <w:p>
      <w:pPr>
        <w:spacing w:line="240" w:lineRule="auto" w:before="97"/>
        <w:rPr>
          <w:sz w:val="13"/>
        </w:rPr>
      </w:pPr>
    </w:p>
    <w:p>
      <w:pPr>
        <w:spacing w:line="273" w:lineRule="auto" w:before="1"/>
        <w:ind w:left="650" w:right="0" w:hanging="1"/>
        <w:jc w:val="left"/>
        <w:rPr>
          <w:sz w:val="13"/>
        </w:rPr>
      </w:pPr>
      <w:r>
        <w:rPr>
          <w:w w:val="105"/>
          <w:sz w:val="13"/>
        </w:rPr>
        <w:t>The</w:t>
      </w:r>
      <w:r>
        <w:rPr>
          <w:spacing w:val="12"/>
          <w:w w:val="105"/>
          <w:sz w:val="13"/>
        </w:rPr>
        <w:t> </w:t>
      </w:r>
      <w:r>
        <w:rPr>
          <w:w w:val="105"/>
          <w:sz w:val="13"/>
        </w:rPr>
        <w:t>Group</w:t>
      </w:r>
      <w:r>
        <w:rPr>
          <w:spacing w:val="12"/>
          <w:w w:val="105"/>
          <w:sz w:val="13"/>
        </w:rPr>
        <w:t> </w:t>
      </w:r>
      <w:r>
        <w:rPr>
          <w:w w:val="105"/>
          <w:sz w:val="13"/>
        </w:rPr>
        <w:t>uses</w:t>
      </w:r>
      <w:r>
        <w:rPr>
          <w:spacing w:val="13"/>
          <w:w w:val="105"/>
          <w:sz w:val="13"/>
        </w:rPr>
        <w:t> </w:t>
      </w:r>
      <w:r>
        <w:rPr>
          <w:w w:val="105"/>
          <w:sz w:val="13"/>
        </w:rPr>
        <w:t>a</w:t>
      </w:r>
      <w:r>
        <w:rPr>
          <w:spacing w:val="11"/>
          <w:w w:val="105"/>
          <w:sz w:val="13"/>
        </w:rPr>
        <w:t> </w:t>
      </w:r>
      <w:r>
        <w:rPr>
          <w:w w:val="105"/>
          <w:sz w:val="13"/>
        </w:rPr>
        <w:t>variety of</w:t>
      </w:r>
      <w:r>
        <w:rPr>
          <w:spacing w:val="16"/>
          <w:w w:val="105"/>
          <w:sz w:val="13"/>
        </w:rPr>
        <w:t> </w:t>
      </w:r>
      <w:r>
        <w:rPr>
          <w:w w:val="105"/>
          <w:sz w:val="13"/>
        </w:rPr>
        <w:t>methods</w:t>
      </w:r>
      <w:r>
        <w:rPr>
          <w:spacing w:val="13"/>
          <w:w w:val="105"/>
          <w:sz w:val="13"/>
        </w:rPr>
        <w:t> </w:t>
      </w:r>
      <w:r>
        <w:rPr>
          <w:w w:val="105"/>
          <w:sz w:val="13"/>
        </w:rPr>
        <w:t>and</w:t>
      </w:r>
      <w:r>
        <w:rPr>
          <w:spacing w:val="14"/>
          <w:w w:val="105"/>
          <w:sz w:val="13"/>
        </w:rPr>
        <w:t> </w:t>
      </w:r>
      <w:r>
        <w:rPr>
          <w:w w:val="105"/>
          <w:sz w:val="13"/>
        </w:rPr>
        <w:t>makes</w:t>
      </w:r>
      <w:r>
        <w:rPr>
          <w:spacing w:val="13"/>
          <w:w w:val="105"/>
          <w:sz w:val="13"/>
        </w:rPr>
        <w:t> </w:t>
      </w:r>
      <w:r>
        <w:rPr>
          <w:w w:val="105"/>
          <w:sz w:val="13"/>
        </w:rPr>
        <w:t>assumptions</w:t>
      </w:r>
      <w:r>
        <w:rPr>
          <w:spacing w:val="15"/>
          <w:w w:val="105"/>
          <w:sz w:val="13"/>
        </w:rPr>
        <w:t> </w:t>
      </w:r>
      <w:r>
        <w:rPr>
          <w:w w:val="105"/>
          <w:sz w:val="13"/>
        </w:rPr>
        <w:t>that</w:t>
      </w:r>
      <w:r>
        <w:rPr>
          <w:spacing w:val="12"/>
          <w:w w:val="105"/>
          <w:sz w:val="13"/>
        </w:rPr>
        <w:t> </w:t>
      </w:r>
      <w:r>
        <w:rPr>
          <w:w w:val="105"/>
          <w:sz w:val="13"/>
        </w:rPr>
        <w:t>are</w:t>
      </w:r>
      <w:r>
        <w:rPr>
          <w:spacing w:val="14"/>
          <w:w w:val="105"/>
          <w:sz w:val="13"/>
        </w:rPr>
        <w:t> </w:t>
      </w:r>
      <w:r>
        <w:rPr>
          <w:w w:val="105"/>
          <w:sz w:val="13"/>
        </w:rPr>
        <w:t>based</w:t>
      </w:r>
      <w:r>
        <w:rPr>
          <w:spacing w:val="12"/>
          <w:w w:val="105"/>
          <w:sz w:val="13"/>
        </w:rPr>
        <w:t> </w:t>
      </w:r>
      <w:r>
        <w:rPr>
          <w:w w:val="105"/>
          <w:sz w:val="13"/>
        </w:rPr>
        <w:t>on</w:t>
      </w:r>
      <w:r>
        <w:rPr>
          <w:spacing w:val="14"/>
          <w:w w:val="105"/>
          <w:sz w:val="13"/>
        </w:rPr>
        <w:t> </w:t>
      </w:r>
      <w:r>
        <w:rPr>
          <w:w w:val="105"/>
          <w:sz w:val="13"/>
        </w:rPr>
        <w:t>market</w:t>
      </w:r>
      <w:r>
        <w:rPr>
          <w:spacing w:val="12"/>
          <w:w w:val="105"/>
          <w:sz w:val="13"/>
        </w:rPr>
        <w:t> </w:t>
      </w:r>
      <w:r>
        <w:rPr>
          <w:w w:val="105"/>
          <w:sz w:val="13"/>
        </w:rPr>
        <w:t>conditions</w:t>
      </w:r>
      <w:r>
        <w:rPr>
          <w:spacing w:val="15"/>
          <w:w w:val="105"/>
          <w:sz w:val="13"/>
        </w:rPr>
        <w:t> </w:t>
      </w:r>
      <w:r>
        <w:rPr>
          <w:w w:val="105"/>
          <w:sz w:val="13"/>
        </w:rPr>
        <w:t>existing</w:t>
      </w:r>
      <w:r>
        <w:rPr>
          <w:spacing w:val="12"/>
          <w:w w:val="105"/>
          <w:sz w:val="13"/>
        </w:rPr>
        <w:t> </w:t>
      </w:r>
      <w:r>
        <w:rPr>
          <w:w w:val="105"/>
          <w:sz w:val="13"/>
        </w:rPr>
        <w:t>at</w:t>
      </w:r>
      <w:r>
        <w:rPr>
          <w:spacing w:val="14"/>
          <w:w w:val="105"/>
          <w:sz w:val="13"/>
        </w:rPr>
        <w:t> </w:t>
      </w:r>
      <w:r>
        <w:rPr>
          <w:w w:val="105"/>
          <w:sz w:val="13"/>
        </w:rPr>
        <w:t>each</w:t>
      </w:r>
      <w:r>
        <w:rPr>
          <w:spacing w:val="11"/>
          <w:w w:val="105"/>
          <w:sz w:val="13"/>
        </w:rPr>
        <w:t> </w:t>
      </w:r>
      <w:r>
        <w:rPr>
          <w:w w:val="105"/>
          <w:sz w:val="13"/>
        </w:rPr>
        <w:t>balance</w:t>
      </w:r>
      <w:r>
        <w:rPr>
          <w:spacing w:val="14"/>
          <w:w w:val="105"/>
          <w:sz w:val="13"/>
        </w:rPr>
        <w:t> </w:t>
      </w:r>
      <w:r>
        <w:rPr>
          <w:w w:val="105"/>
          <w:sz w:val="13"/>
        </w:rPr>
        <w:t>date.</w:t>
      </w:r>
      <w:r>
        <w:rPr>
          <w:spacing w:val="12"/>
          <w:w w:val="105"/>
          <w:sz w:val="13"/>
        </w:rPr>
        <w:t> </w:t>
      </w:r>
      <w:r>
        <w:rPr>
          <w:w w:val="105"/>
          <w:sz w:val="13"/>
        </w:rPr>
        <w:t>The</w:t>
      </w:r>
      <w:r>
        <w:rPr>
          <w:spacing w:val="40"/>
          <w:w w:val="105"/>
          <w:sz w:val="13"/>
        </w:rPr>
        <w:t> </w:t>
      </w:r>
      <w:r>
        <w:rPr>
          <w:w w:val="105"/>
          <w:sz w:val="13"/>
        </w:rPr>
        <w:t>following table shows the valuation technique used in measuring Level 2 and 3 fair values:</w:t>
      </w:r>
    </w:p>
    <w:p>
      <w:pPr>
        <w:spacing w:after="0" w:line="273" w:lineRule="auto"/>
        <w:jc w:val="left"/>
        <w:rPr>
          <w:sz w:val="13"/>
        </w:rPr>
        <w:sectPr>
          <w:pgSz w:w="11910" w:h="16840"/>
          <w:pgMar w:header="468" w:footer="0" w:top="1580" w:bottom="280" w:left="1020" w:right="1540"/>
        </w:sectPr>
      </w:pPr>
    </w:p>
    <w:p>
      <w:pPr>
        <w:spacing w:line="240" w:lineRule="auto" w:before="33"/>
        <w:rPr>
          <w:sz w:val="13"/>
        </w:rPr>
      </w:pPr>
    </w:p>
    <w:p>
      <w:pPr>
        <w:spacing w:before="1"/>
        <w:ind w:left="650" w:right="0" w:firstLine="0"/>
        <w:jc w:val="left"/>
        <w:rPr>
          <w:b/>
          <w:sz w:val="13"/>
        </w:rPr>
      </w:pPr>
      <w:r>
        <w:rPr>
          <w:b/>
          <w:spacing w:val="-4"/>
          <w:w w:val="105"/>
          <w:sz w:val="13"/>
        </w:rPr>
        <w:t>Type</w:t>
      </w:r>
    </w:p>
    <w:p>
      <w:pPr>
        <w:spacing w:before="21"/>
        <w:ind w:left="650" w:right="0" w:firstLine="0"/>
        <w:jc w:val="left"/>
        <w:rPr>
          <w:sz w:val="13"/>
        </w:rPr>
      </w:pPr>
      <w:r>
        <w:rPr>
          <w:spacing w:val="-2"/>
          <w:w w:val="105"/>
          <w:sz w:val="13"/>
        </w:rPr>
        <w:t>Investment</w:t>
      </w:r>
      <w:r>
        <w:rPr>
          <w:spacing w:val="7"/>
          <w:w w:val="105"/>
          <w:sz w:val="13"/>
        </w:rPr>
        <w:t> </w:t>
      </w:r>
      <w:r>
        <w:rPr>
          <w:spacing w:val="-2"/>
          <w:w w:val="105"/>
          <w:sz w:val="13"/>
        </w:rPr>
        <w:t>property</w:t>
      </w:r>
    </w:p>
    <w:p>
      <w:pPr>
        <w:spacing w:line="240" w:lineRule="auto" w:before="0"/>
        <w:rPr>
          <w:sz w:val="13"/>
        </w:rPr>
      </w:pPr>
    </w:p>
    <w:p>
      <w:pPr>
        <w:spacing w:line="240" w:lineRule="auto" w:before="75"/>
        <w:rPr>
          <w:sz w:val="13"/>
        </w:rPr>
      </w:pPr>
    </w:p>
    <w:p>
      <w:pPr>
        <w:spacing w:before="1"/>
        <w:ind w:left="650" w:right="0" w:firstLine="0"/>
        <w:jc w:val="left"/>
        <w:rPr>
          <w:sz w:val="13"/>
        </w:rPr>
      </w:pPr>
      <w:r>
        <w:rPr>
          <w:w w:val="105"/>
          <w:sz w:val="13"/>
        </w:rPr>
        <w:t>Other</w:t>
      </w:r>
      <w:r>
        <w:rPr>
          <w:spacing w:val="-6"/>
          <w:w w:val="105"/>
          <w:sz w:val="13"/>
        </w:rPr>
        <w:t> </w:t>
      </w:r>
      <w:r>
        <w:rPr>
          <w:w w:val="105"/>
          <w:sz w:val="13"/>
        </w:rPr>
        <w:t>financial</w:t>
      </w:r>
      <w:r>
        <w:rPr>
          <w:spacing w:val="-7"/>
          <w:w w:val="105"/>
          <w:sz w:val="13"/>
        </w:rPr>
        <w:t> </w:t>
      </w:r>
      <w:r>
        <w:rPr>
          <w:w w:val="105"/>
          <w:sz w:val="13"/>
        </w:rPr>
        <w:t>assets</w:t>
      </w:r>
      <w:r>
        <w:rPr>
          <w:spacing w:val="-6"/>
          <w:w w:val="105"/>
          <w:sz w:val="13"/>
        </w:rPr>
        <w:t> </w:t>
      </w:r>
      <w:r>
        <w:rPr>
          <w:w w:val="105"/>
          <w:sz w:val="13"/>
        </w:rPr>
        <w:t>at</w:t>
      </w:r>
      <w:r>
        <w:rPr>
          <w:spacing w:val="-7"/>
          <w:w w:val="105"/>
          <w:sz w:val="13"/>
        </w:rPr>
        <w:t> </w:t>
      </w:r>
      <w:r>
        <w:rPr>
          <w:w w:val="105"/>
          <w:sz w:val="13"/>
        </w:rPr>
        <w:t>amortised</w:t>
      </w:r>
      <w:r>
        <w:rPr>
          <w:spacing w:val="-8"/>
          <w:w w:val="105"/>
          <w:sz w:val="13"/>
        </w:rPr>
        <w:t> </w:t>
      </w:r>
      <w:r>
        <w:rPr>
          <w:spacing w:val="-4"/>
          <w:w w:val="105"/>
          <w:sz w:val="13"/>
        </w:rPr>
        <w:t>cost</w:t>
      </w:r>
    </w:p>
    <w:p>
      <w:pPr>
        <w:spacing w:line="240" w:lineRule="auto" w:before="33"/>
        <w:rPr>
          <w:sz w:val="13"/>
        </w:rPr>
      </w:pPr>
      <w:r>
        <w:rPr/>
        <w:br w:type="column"/>
      </w:r>
      <w:r>
        <w:rPr>
          <w:sz w:val="13"/>
        </w:rPr>
      </w:r>
    </w:p>
    <w:p>
      <w:pPr>
        <w:spacing w:before="1"/>
        <w:ind w:left="422" w:right="0" w:firstLine="0"/>
        <w:jc w:val="both"/>
        <w:rPr>
          <w:b/>
          <w:sz w:val="13"/>
        </w:rPr>
      </w:pPr>
      <w:r>
        <w:rPr>
          <w:b/>
          <w:w w:val="105"/>
          <w:sz w:val="13"/>
        </w:rPr>
        <w:t>Valuation</w:t>
      </w:r>
      <w:r>
        <w:rPr>
          <w:b/>
          <w:spacing w:val="-8"/>
          <w:w w:val="105"/>
          <w:sz w:val="13"/>
        </w:rPr>
        <w:t> </w:t>
      </w:r>
      <w:r>
        <w:rPr>
          <w:b/>
          <w:spacing w:val="-2"/>
          <w:w w:val="105"/>
          <w:sz w:val="13"/>
        </w:rPr>
        <w:t>technique</w:t>
      </w:r>
    </w:p>
    <w:p>
      <w:pPr>
        <w:spacing w:line="273" w:lineRule="auto" w:before="21"/>
        <w:ind w:left="422" w:right="298" w:firstLine="0"/>
        <w:jc w:val="both"/>
        <w:rPr>
          <w:sz w:val="13"/>
        </w:rPr>
      </w:pPr>
      <w:r>
        <w:rPr>
          <w:w w:val="105"/>
          <w:sz w:val="13"/>
        </w:rPr>
        <w:t>Fair</w:t>
      </w:r>
      <w:r>
        <w:rPr>
          <w:w w:val="105"/>
          <w:sz w:val="13"/>
        </w:rPr>
        <w:t> values</w:t>
      </w:r>
      <w:r>
        <w:rPr>
          <w:w w:val="105"/>
          <w:sz w:val="13"/>
        </w:rPr>
        <w:t> were</w:t>
      </w:r>
      <w:r>
        <w:rPr>
          <w:w w:val="105"/>
          <w:sz w:val="13"/>
        </w:rPr>
        <w:t> determined</w:t>
      </w:r>
      <w:r>
        <w:rPr>
          <w:w w:val="105"/>
          <w:sz w:val="13"/>
        </w:rPr>
        <w:t> by an</w:t>
      </w:r>
      <w:r>
        <w:rPr>
          <w:w w:val="105"/>
          <w:sz w:val="13"/>
        </w:rPr>
        <w:t> independent</w:t>
      </w:r>
      <w:r>
        <w:rPr>
          <w:w w:val="105"/>
          <w:sz w:val="13"/>
        </w:rPr>
        <w:t> valuer,</w:t>
      </w:r>
      <w:r>
        <w:rPr>
          <w:w w:val="105"/>
          <w:sz w:val="13"/>
        </w:rPr>
        <w:t> and</w:t>
      </w:r>
      <w:r>
        <w:rPr>
          <w:w w:val="105"/>
          <w:sz w:val="13"/>
        </w:rPr>
        <w:t> were</w:t>
      </w:r>
      <w:r>
        <w:rPr>
          <w:w w:val="105"/>
          <w:sz w:val="13"/>
        </w:rPr>
        <w:t> derived</w:t>
      </w:r>
      <w:r>
        <w:rPr>
          <w:w w:val="105"/>
          <w:sz w:val="13"/>
        </w:rPr>
        <w:t> from</w:t>
      </w:r>
      <w:r>
        <w:rPr>
          <w:w w:val="105"/>
          <w:sz w:val="13"/>
        </w:rPr>
        <w:t> the</w:t>
      </w:r>
      <w:r>
        <w:rPr>
          <w:w w:val="105"/>
          <w:sz w:val="13"/>
        </w:rPr>
        <w:t> sales</w:t>
      </w:r>
      <w:r>
        <w:rPr>
          <w:spacing w:val="40"/>
          <w:w w:val="105"/>
          <w:sz w:val="13"/>
        </w:rPr>
        <w:t> </w:t>
      </w:r>
      <w:r>
        <w:rPr>
          <w:w w:val="105"/>
          <w:sz w:val="13"/>
        </w:rPr>
        <w:t>prices</w:t>
      </w:r>
      <w:r>
        <w:rPr>
          <w:w w:val="105"/>
          <w:sz w:val="13"/>
        </w:rPr>
        <w:t> of</w:t>
      </w:r>
      <w:r>
        <w:rPr>
          <w:w w:val="105"/>
          <w:sz w:val="13"/>
        </w:rPr>
        <w:t> comparable</w:t>
      </w:r>
      <w:r>
        <w:rPr>
          <w:w w:val="105"/>
          <w:sz w:val="13"/>
        </w:rPr>
        <w:t> properties</w:t>
      </w:r>
      <w:r>
        <w:rPr>
          <w:w w:val="105"/>
          <w:sz w:val="13"/>
        </w:rPr>
        <w:t> after</w:t>
      </w:r>
      <w:r>
        <w:rPr>
          <w:w w:val="105"/>
          <w:sz w:val="13"/>
        </w:rPr>
        <w:t> adjusting</w:t>
      </w:r>
      <w:r>
        <w:rPr>
          <w:w w:val="105"/>
          <w:sz w:val="13"/>
        </w:rPr>
        <w:t> for</w:t>
      </w:r>
      <w:r>
        <w:rPr>
          <w:w w:val="105"/>
          <w:sz w:val="13"/>
        </w:rPr>
        <w:t> differences</w:t>
      </w:r>
      <w:r>
        <w:rPr>
          <w:w w:val="105"/>
          <w:sz w:val="13"/>
        </w:rPr>
        <w:t> in</w:t>
      </w:r>
      <w:r>
        <w:rPr>
          <w:w w:val="105"/>
          <w:sz w:val="13"/>
        </w:rPr>
        <w:t> key</w:t>
      </w:r>
      <w:r>
        <w:rPr>
          <w:w w:val="105"/>
          <w:sz w:val="13"/>
        </w:rPr>
        <w:t> attributes</w:t>
      </w:r>
      <w:r>
        <w:rPr>
          <w:w w:val="105"/>
          <w:sz w:val="13"/>
        </w:rPr>
        <w:t> such</w:t>
      </w:r>
      <w:r>
        <w:rPr>
          <w:w w:val="105"/>
          <w:sz w:val="13"/>
        </w:rPr>
        <w:t> as</w:t>
      </w:r>
      <w:r>
        <w:rPr>
          <w:spacing w:val="40"/>
          <w:w w:val="105"/>
          <w:sz w:val="13"/>
        </w:rPr>
        <w:t> </w:t>
      </w:r>
      <w:r>
        <w:rPr>
          <w:w w:val="105"/>
          <w:sz w:val="13"/>
        </w:rPr>
        <w:t>property</w:t>
      </w:r>
      <w:r>
        <w:rPr>
          <w:spacing w:val="-10"/>
          <w:w w:val="105"/>
          <w:sz w:val="13"/>
        </w:rPr>
        <w:t> </w:t>
      </w:r>
      <w:r>
        <w:rPr>
          <w:w w:val="105"/>
          <w:sz w:val="13"/>
        </w:rPr>
        <w:t>size.</w:t>
      </w:r>
    </w:p>
    <w:p>
      <w:pPr>
        <w:spacing w:line="273" w:lineRule="auto" w:before="13"/>
        <w:ind w:left="422" w:right="297" w:firstLine="0"/>
        <w:jc w:val="both"/>
        <w:rPr>
          <w:sz w:val="13"/>
        </w:rPr>
      </w:pPr>
      <w:r>
        <w:rPr>
          <w:w w:val="105"/>
          <w:sz w:val="13"/>
        </w:rPr>
        <w:t>Fair value is estimated as the present value of all future cash receipts discounted using the</w:t>
      </w:r>
      <w:r>
        <w:rPr>
          <w:spacing w:val="40"/>
          <w:w w:val="105"/>
          <w:sz w:val="13"/>
        </w:rPr>
        <w:t> </w:t>
      </w:r>
      <w:r>
        <w:rPr>
          <w:w w:val="105"/>
          <w:sz w:val="13"/>
        </w:rPr>
        <w:t>prevailing market rates of interest for a similar instrument, net of impairment.</w:t>
      </w:r>
    </w:p>
    <w:p>
      <w:pPr>
        <w:spacing w:after="0" w:line="273" w:lineRule="auto"/>
        <w:jc w:val="both"/>
        <w:rPr>
          <w:sz w:val="13"/>
        </w:rPr>
        <w:sectPr>
          <w:type w:val="continuous"/>
          <w:pgSz w:w="11910" w:h="16840"/>
          <w:pgMar w:header="468" w:footer="0" w:top="980" w:bottom="280" w:left="1020" w:right="1540"/>
          <w:cols w:num="2" w:equalWidth="0">
            <w:col w:w="3039" w:space="40"/>
            <w:col w:w="6271"/>
          </w:cols>
        </w:sectPr>
      </w:pPr>
    </w:p>
    <w:p>
      <w:pPr>
        <w:spacing w:line="240" w:lineRule="auto" w:before="27"/>
        <w:rPr>
          <w:sz w:val="13"/>
        </w:rPr>
      </w:pPr>
    </w:p>
    <w:p>
      <w:pPr>
        <w:spacing w:before="0"/>
        <w:ind w:left="650" w:right="0" w:firstLine="0"/>
        <w:jc w:val="left"/>
        <w:rPr>
          <w:sz w:val="13"/>
        </w:rPr>
      </w:pPr>
      <w:r>
        <w:rPr>
          <w:w w:val="105"/>
          <w:sz w:val="13"/>
        </w:rPr>
        <w:t>Unlisted</w:t>
      </w:r>
      <w:r>
        <w:rPr>
          <w:spacing w:val="-6"/>
          <w:w w:val="105"/>
          <w:sz w:val="13"/>
        </w:rPr>
        <w:t> </w:t>
      </w:r>
      <w:r>
        <w:rPr>
          <w:w w:val="105"/>
          <w:sz w:val="13"/>
        </w:rPr>
        <w:t>shares</w:t>
      </w:r>
      <w:r>
        <w:rPr>
          <w:spacing w:val="-5"/>
          <w:w w:val="105"/>
          <w:sz w:val="13"/>
        </w:rPr>
        <w:t> </w:t>
      </w:r>
      <w:r>
        <w:rPr>
          <w:w w:val="105"/>
          <w:sz w:val="13"/>
        </w:rPr>
        <w:t>held</w:t>
      </w:r>
      <w:r>
        <w:rPr>
          <w:spacing w:val="-6"/>
          <w:w w:val="105"/>
          <w:sz w:val="13"/>
        </w:rPr>
        <w:t> </w:t>
      </w:r>
      <w:r>
        <w:rPr>
          <w:w w:val="105"/>
          <w:sz w:val="13"/>
        </w:rPr>
        <w:t>by</w:t>
      </w:r>
      <w:r>
        <w:rPr>
          <w:spacing w:val="-9"/>
          <w:w w:val="105"/>
          <w:sz w:val="13"/>
        </w:rPr>
        <w:t> </w:t>
      </w:r>
      <w:r>
        <w:rPr>
          <w:w w:val="105"/>
          <w:sz w:val="13"/>
        </w:rPr>
        <w:t>the</w:t>
      </w:r>
      <w:r>
        <w:rPr>
          <w:spacing w:val="-6"/>
          <w:w w:val="105"/>
          <w:sz w:val="13"/>
        </w:rPr>
        <w:t> </w:t>
      </w:r>
      <w:r>
        <w:rPr>
          <w:spacing w:val="-2"/>
          <w:w w:val="105"/>
          <w:sz w:val="13"/>
        </w:rPr>
        <w:t>University</w:t>
      </w:r>
    </w:p>
    <w:p>
      <w:pPr>
        <w:spacing w:line="240" w:lineRule="auto" w:before="27"/>
        <w:rPr>
          <w:sz w:val="13"/>
        </w:rPr>
      </w:pPr>
      <w:r>
        <w:rPr/>
        <w:br w:type="column"/>
      </w:r>
      <w:r>
        <w:rPr>
          <w:sz w:val="13"/>
        </w:rPr>
      </w:r>
    </w:p>
    <w:p>
      <w:pPr>
        <w:spacing w:line="273" w:lineRule="auto" w:before="0"/>
        <w:ind w:left="533" w:right="296" w:firstLine="0"/>
        <w:jc w:val="both"/>
        <w:rPr>
          <w:sz w:val="13"/>
        </w:rPr>
      </w:pPr>
      <w:r>
        <w:rPr>
          <w:w w:val="105"/>
          <w:sz w:val="13"/>
        </w:rPr>
        <w:t>Unlisted</w:t>
      </w:r>
      <w:r>
        <w:rPr>
          <w:w w:val="105"/>
          <w:sz w:val="13"/>
        </w:rPr>
        <w:t> shares</w:t>
      </w:r>
      <w:r>
        <w:rPr>
          <w:w w:val="105"/>
          <w:sz w:val="13"/>
        </w:rPr>
        <w:t> held</w:t>
      </w:r>
      <w:r>
        <w:rPr>
          <w:w w:val="105"/>
          <w:sz w:val="13"/>
        </w:rPr>
        <w:t> by</w:t>
      </w:r>
      <w:r>
        <w:rPr>
          <w:w w:val="105"/>
          <w:sz w:val="13"/>
        </w:rPr>
        <w:t> the</w:t>
      </w:r>
      <w:r>
        <w:rPr>
          <w:w w:val="105"/>
          <w:sz w:val="13"/>
        </w:rPr>
        <w:t> University</w:t>
      </w:r>
      <w:r>
        <w:rPr>
          <w:w w:val="105"/>
          <w:sz w:val="13"/>
        </w:rPr>
        <w:t> -</w:t>
      </w:r>
      <w:r>
        <w:rPr>
          <w:w w:val="105"/>
          <w:sz w:val="13"/>
        </w:rPr>
        <w:t> fair</w:t>
      </w:r>
      <w:r>
        <w:rPr>
          <w:w w:val="105"/>
          <w:sz w:val="13"/>
        </w:rPr>
        <w:t> value</w:t>
      </w:r>
      <w:r>
        <w:rPr>
          <w:w w:val="105"/>
          <w:sz w:val="13"/>
        </w:rPr>
        <w:t> is</w:t>
      </w:r>
      <w:r>
        <w:rPr>
          <w:w w:val="105"/>
          <w:sz w:val="13"/>
        </w:rPr>
        <w:t> based</w:t>
      </w:r>
      <w:r>
        <w:rPr>
          <w:w w:val="105"/>
          <w:sz w:val="13"/>
        </w:rPr>
        <w:t> on</w:t>
      </w:r>
      <w:r>
        <w:rPr>
          <w:w w:val="105"/>
          <w:sz w:val="13"/>
        </w:rPr>
        <w:t> their</w:t>
      </w:r>
      <w:r>
        <w:rPr>
          <w:w w:val="105"/>
          <w:sz w:val="13"/>
        </w:rPr>
        <w:t> last</w:t>
      </w:r>
      <w:r>
        <w:rPr>
          <w:w w:val="105"/>
          <w:sz w:val="13"/>
        </w:rPr>
        <w:t> issue</w:t>
      </w:r>
      <w:r>
        <w:rPr>
          <w:w w:val="105"/>
          <w:sz w:val="13"/>
        </w:rPr>
        <w:t> price</w:t>
      </w:r>
      <w:r>
        <w:rPr>
          <w:w w:val="105"/>
          <w:sz w:val="13"/>
        </w:rPr>
        <w:t> or</w:t>
      </w:r>
      <w:r>
        <w:rPr>
          <w:spacing w:val="40"/>
          <w:w w:val="105"/>
          <w:sz w:val="13"/>
        </w:rPr>
        <w:t> </w:t>
      </w:r>
      <w:r>
        <w:rPr>
          <w:w w:val="105"/>
          <w:sz w:val="13"/>
        </w:rPr>
        <w:t>fundraising value, net tangible asset value, discounted net asset value or at cost where the</w:t>
      </w:r>
      <w:r>
        <w:rPr>
          <w:spacing w:val="40"/>
          <w:w w:val="105"/>
          <w:sz w:val="13"/>
        </w:rPr>
        <w:t> </w:t>
      </w:r>
      <w:r>
        <w:rPr>
          <w:w w:val="105"/>
          <w:sz w:val="13"/>
        </w:rPr>
        <w:t>market is generally limited.</w:t>
      </w:r>
    </w:p>
    <w:p>
      <w:pPr>
        <w:spacing w:after="0" w:line="273" w:lineRule="auto"/>
        <w:jc w:val="both"/>
        <w:rPr>
          <w:sz w:val="13"/>
        </w:rPr>
        <w:sectPr>
          <w:type w:val="continuous"/>
          <w:pgSz w:w="11910" w:h="16840"/>
          <w:pgMar w:header="468" w:footer="0" w:top="980" w:bottom="280" w:left="1020" w:right="1540"/>
          <w:cols w:num="2" w:equalWidth="0">
            <w:col w:w="2927" w:space="40"/>
            <w:col w:w="6383"/>
          </w:cols>
        </w:sectPr>
      </w:pPr>
    </w:p>
    <w:p>
      <w:pPr>
        <w:spacing w:line="240" w:lineRule="auto" w:before="36"/>
        <w:rPr>
          <w:sz w:val="13"/>
        </w:rPr>
      </w:pPr>
      <w:r>
        <w:rPr/>
        <mc:AlternateContent>
          <mc:Choice Requires="wps">
            <w:drawing>
              <wp:anchor distT="0" distB="0" distL="0" distR="0" allowOverlap="1" layoutInCell="1" locked="0" behindDoc="0" simplePos="0" relativeHeight="15902720">
                <wp:simplePos x="0" y="0"/>
                <wp:positionH relativeFrom="page">
                  <wp:posOffset>7111289</wp:posOffset>
                </wp:positionH>
                <wp:positionV relativeFrom="page">
                  <wp:posOffset>8040241</wp:posOffset>
                </wp:positionV>
                <wp:extent cx="177800" cy="1945005"/>
                <wp:effectExtent l="0" t="0" r="0" b="0"/>
                <wp:wrapNone/>
                <wp:docPr id="964" name="Textbox 964"/>
                <wp:cNvGraphicFramePr>
                  <a:graphicFrameLocks/>
                </wp:cNvGraphicFramePr>
                <a:graphic>
                  <a:graphicData uri="http://schemas.microsoft.com/office/word/2010/wordprocessingShape">
                    <wps:wsp>
                      <wps:cNvPr id="964" name="Textbox 964"/>
                      <wps:cNvSpPr txBox="1"/>
                      <wps:spPr>
                        <a:xfrm>
                          <a:off x="0" y="0"/>
                          <a:ext cx="177800" cy="194500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633.089905pt;width:14pt;height:153.15pt;mso-position-horizontal-relative:page;mso-position-vertical-relative:page;z-index:15902720" type="#_x0000_t202" id="docshape656"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v:textbox>
                <w10:wrap type="none"/>
              </v:shape>
            </w:pict>
          </mc:Fallback>
        </mc:AlternateContent>
      </w:r>
    </w:p>
    <w:p>
      <w:pPr>
        <w:spacing w:before="1"/>
        <w:ind w:left="650" w:right="0" w:firstLine="0"/>
        <w:jc w:val="left"/>
        <w:rPr>
          <w:sz w:val="13"/>
        </w:rPr>
      </w:pPr>
      <w:r>
        <w:rPr>
          <w:w w:val="105"/>
          <w:sz w:val="13"/>
        </w:rPr>
        <w:t>All</w:t>
      </w:r>
      <w:r>
        <w:rPr>
          <w:spacing w:val="-6"/>
          <w:w w:val="105"/>
          <w:sz w:val="13"/>
        </w:rPr>
        <w:t> </w:t>
      </w:r>
      <w:r>
        <w:rPr>
          <w:w w:val="105"/>
          <w:sz w:val="13"/>
        </w:rPr>
        <w:t>of</w:t>
      </w:r>
      <w:r>
        <w:rPr>
          <w:spacing w:val="-3"/>
          <w:w w:val="105"/>
          <w:sz w:val="13"/>
        </w:rPr>
        <w:t> </w:t>
      </w:r>
      <w:r>
        <w:rPr>
          <w:w w:val="105"/>
          <w:sz w:val="13"/>
        </w:rPr>
        <w:t>the</w:t>
      </w:r>
      <w:r>
        <w:rPr>
          <w:spacing w:val="-6"/>
          <w:w w:val="105"/>
          <w:sz w:val="13"/>
        </w:rPr>
        <w:t> </w:t>
      </w:r>
      <w:r>
        <w:rPr>
          <w:w w:val="105"/>
          <w:sz w:val="13"/>
        </w:rPr>
        <w:t>resulting</w:t>
      </w:r>
      <w:r>
        <w:rPr>
          <w:spacing w:val="-6"/>
          <w:w w:val="105"/>
          <w:sz w:val="13"/>
        </w:rPr>
        <w:t> </w:t>
      </w:r>
      <w:r>
        <w:rPr>
          <w:w w:val="105"/>
          <w:sz w:val="13"/>
        </w:rPr>
        <w:t>fair</w:t>
      </w:r>
      <w:r>
        <w:rPr>
          <w:spacing w:val="-5"/>
          <w:w w:val="105"/>
          <w:sz w:val="13"/>
        </w:rPr>
        <w:t> </w:t>
      </w:r>
      <w:r>
        <w:rPr>
          <w:w w:val="105"/>
          <w:sz w:val="13"/>
        </w:rPr>
        <w:t>value</w:t>
      </w:r>
      <w:r>
        <w:rPr>
          <w:spacing w:val="-6"/>
          <w:w w:val="105"/>
          <w:sz w:val="13"/>
        </w:rPr>
        <w:t> </w:t>
      </w:r>
      <w:r>
        <w:rPr>
          <w:w w:val="105"/>
          <w:sz w:val="13"/>
        </w:rPr>
        <w:t>estimates</w:t>
      </w:r>
      <w:r>
        <w:rPr>
          <w:spacing w:val="-5"/>
          <w:w w:val="105"/>
          <w:sz w:val="13"/>
        </w:rPr>
        <w:t> </w:t>
      </w:r>
      <w:r>
        <w:rPr>
          <w:w w:val="105"/>
          <w:sz w:val="13"/>
        </w:rPr>
        <w:t>are</w:t>
      </w:r>
      <w:r>
        <w:rPr>
          <w:spacing w:val="-6"/>
          <w:w w:val="105"/>
          <w:sz w:val="13"/>
        </w:rPr>
        <w:t> </w:t>
      </w:r>
      <w:r>
        <w:rPr>
          <w:w w:val="105"/>
          <w:sz w:val="13"/>
        </w:rPr>
        <w:t>included</w:t>
      </w:r>
      <w:r>
        <w:rPr>
          <w:spacing w:val="-6"/>
          <w:w w:val="105"/>
          <w:sz w:val="13"/>
        </w:rPr>
        <w:t> </w:t>
      </w:r>
      <w:r>
        <w:rPr>
          <w:w w:val="105"/>
          <w:sz w:val="13"/>
        </w:rPr>
        <w:t>in</w:t>
      </w:r>
      <w:r>
        <w:rPr>
          <w:spacing w:val="-6"/>
          <w:w w:val="105"/>
          <w:sz w:val="13"/>
        </w:rPr>
        <w:t> </w:t>
      </w:r>
      <w:r>
        <w:rPr>
          <w:w w:val="105"/>
          <w:sz w:val="13"/>
        </w:rPr>
        <w:t>level</w:t>
      </w:r>
      <w:r>
        <w:rPr>
          <w:spacing w:val="-6"/>
          <w:w w:val="105"/>
          <w:sz w:val="13"/>
        </w:rPr>
        <w:t> </w:t>
      </w:r>
      <w:r>
        <w:rPr>
          <w:w w:val="105"/>
          <w:sz w:val="13"/>
        </w:rPr>
        <w:t>2</w:t>
      </w:r>
      <w:r>
        <w:rPr>
          <w:spacing w:val="-6"/>
          <w:w w:val="105"/>
          <w:sz w:val="13"/>
        </w:rPr>
        <w:t> </w:t>
      </w:r>
      <w:r>
        <w:rPr>
          <w:w w:val="105"/>
          <w:sz w:val="13"/>
        </w:rPr>
        <w:t>except</w:t>
      </w:r>
      <w:r>
        <w:rPr>
          <w:spacing w:val="-6"/>
          <w:w w:val="105"/>
          <w:sz w:val="13"/>
        </w:rPr>
        <w:t> </w:t>
      </w:r>
      <w:r>
        <w:rPr>
          <w:w w:val="105"/>
          <w:sz w:val="13"/>
        </w:rPr>
        <w:t>for</w:t>
      </w:r>
      <w:r>
        <w:rPr>
          <w:spacing w:val="-4"/>
          <w:w w:val="105"/>
          <w:sz w:val="13"/>
        </w:rPr>
        <w:t> </w:t>
      </w:r>
      <w:r>
        <w:rPr>
          <w:w w:val="105"/>
          <w:sz w:val="13"/>
        </w:rPr>
        <w:t>unlisted</w:t>
      </w:r>
      <w:r>
        <w:rPr>
          <w:spacing w:val="-6"/>
          <w:w w:val="105"/>
          <w:sz w:val="13"/>
        </w:rPr>
        <w:t> </w:t>
      </w:r>
      <w:r>
        <w:rPr>
          <w:w w:val="105"/>
          <w:sz w:val="13"/>
        </w:rPr>
        <w:t>equity</w:t>
      </w:r>
      <w:r>
        <w:rPr>
          <w:spacing w:val="-9"/>
          <w:w w:val="105"/>
          <w:sz w:val="13"/>
        </w:rPr>
        <w:t> </w:t>
      </w:r>
      <w:r>
        <w:rPr>
          <w:w w:val="105"/>
          <w:sz w:val="13"/>
        </w:rPr>
        <w:t>securities,</w:t>
      </w:r>
      <w:r>
        <w:rPr>
          <w:spacing w:val="-6"/>
          <w:w w:val="105"/>
          <w:sz w:val="13"/>
        </w:rPr>
        <w:t> </w:t>
      </w:r>
      <w:r>
        <w:rPr>
          <w:w w:val="105"/>
          <w:sz w:val="13"/>
        </w:rPr>
        <w:t>explained</w:t>
      </w:r>
      <w:r>
        <w:rPr>
          <w:spacing w:val="-6"/>
          <w:w w:val="105"/>
          <w:sz w:val="13"/>
        </w:rPr>
        <w:t> </w:t>
      </w:r>
      <w:r>
        <w:rPr>
          <w:w w:val="105"/>
          <w:sz w:val="13"/>
        </w:rPr>
        <w:t>in</w:t>
      </w:r>
      <w:r>
        <w:rPr>
          <w:spacing w:val="-6"/>
          <w:w w:val="105"/>
          <w:sz w:val="13"/>
        </w:rPr>
        <w:t> </w:t>
      </w:r>
      <w:r>
        <w:rPr>
          <w:w w:val="105"/>
          <w:sz w:val="13"/>
        </w:rPr>
        <w:t>(d)</w:t>
      </w:r>
      <w:r>
        <w:rPr>
          <w:spacing w:val="-5"/>
          <w:w w:val="105"/>
          <w:sz w:val="13"/>
        </w:rPr>
        <w:t> </w:t>
      </w:r>
      <w:r>
        <w:rPr>
          <w:spacing w:val="-2"/>
          <w:w w:val="105"/>
          <w:sz w:val="13"/>
        </w:rPr>
        <w:t>below.</w:t>
      </w:r>
    </w:p>
    <w:p>
      <w:pPr>
        <w:spacing w:line="240" w:lineRule="auto" w:before="48"/>
        <w:rPr>
          <w:sz w:val="13"/>
        </w:rPr>
      </w:pPr>
    </w:p>
    <w:p>
      <w:pPr>
        <w:spacing w:before="0"/>
        <w:ind w:left="650" w:right="0" w:firstLine="0"/>
        <w:jc w:val="left"/>
        <w:rPr>
          <w:b/>
          <w:sz w:val="13"/>
        </w:rPr>
      </w:pPr>
      <w:r>
        <w:rPr>
          <w:b/>
          <w:w w:val="105"/>
          <w:sz w:val="13"/>
        </w:rPr>
        <w:t>(ii)</w:t>
      </w:r>
      <w:r>
        <w:rPr>
          <w:b/>
          <w:spacing w:val="-5"/>
          <w:w w:val="105"/>
          <w:sz w:val="13"/>
        </w:rPr>
        <w:t> </w:t>
      </w:r>
      <w:r>
        <w:rPr>
          <w:b/>
          <w:w w:val="105"/>
          <w:sz w:val="13"/>
        </w:rPr>
        <w:t>Non-recurring</w:t>
      </w:r>
      <w:r>
        <w:rPr>
          <w:b/>
          <w:spacing w:val="-6"/>
          <w:w w:val="105"/>
          <w:sz w:val="13"/>
        </w:rPr>
        <w:t> </w:t>
      </w:r>
      <w:r>
        <w:rPr>
          <w:b/>
          <w:w w:val="105"/>
          <w:sz w:val="13"/>
        </w:rPr>
        <w:t>fair</w:t>
      </w:r>
      <w:r>
        <w:rPr>
          <w:b/>
          <w:spacing w:val="-6"/>
          <w:w w:val="105"/>
          <w:sz w:val="13"/>
        </w:rPr>
        <w:t> </w:t>
      </w:r>
      <w:r>
        <w:rPr>
          <w:b/>
          <w:w w:val="105"/>
          <w:sz w:val="13"/>
        </w:rPr>
        <w:t>value</w:t>
      </w:r>
      <w:r>
        <w:rPr>
          <w:b/>
          <w:spacing w:val="-7"/>
          <w:w w:val="105"/>
          <w:sz w:val="13"/>
        </w:rPr>
        <w:t> </w:t>
      </w:r>
      <w:r>
        <w:rPr>
          <w:b/>
          <w:spacing w:val="-2"/>
          <w:w w:val="105"/>
          <w:sz w:val="13"/>
        </w:rPr>
        <w:t>measurements</w:t>
      </w:r>
    </w:p>
    <w:p>
      <w:pPr>
        <w:spacing w:before="21"/>
        <w:ind w:left="650" w:right="0" w:firstLine="0"/>
        <w:jc w:val="left"/>
        <w:rPr>
          <w:sz w:val="13"/>
        </w:rPr>
      </w:pPr>
      <w:r>
        <w:rPr>
          <w:w w:val="105"/>
          <w:sz w:val="13"/>
        </w:rPr>
        <w:t>The</w:t>
      </w:r>
      <w:r>
        <w:rPr>
          <w:spacing w:val="-6"/>
          <w:w w:val="105"/>
          <w:sz w:val="13"/>
        </w:rPr>
        <w:t> </w:t>
      </w:r>
      <w:r>
        <w:rPr>
          <w:w w:val="105"/>
          <w:sz w:val="13"/>
        </w:rPr>
        <w:t>University</w:t>
      </w:r>
      <w:r>
        <w:rPr>
          <w:spacing w:val="-9"/>
          <w:w w:val="105"/>
          <w:sz w:val="13"/>
        </w:rPr>
        <w:t> </w:t>
      </w:r>
      <w:r>
        <w:rPr>
          <w:w w:val="105"/>
          <w:sz w:val="13"/>
        </w:rPr>
        <w:t>has</w:t>
      </w:r>
      <w:r>
        <w:rPr>
          <w:spacing w:val="-5"/>
          <w:w w:val="105"/>
          <w:sz w:val="13"/>
        </w:rPr>
        <w:t> </w:t>
      </w:r>
      <w:r>
        <w:rPr>
          <w:w w:val="105"/>
          <w:sz w:val="13"/>
        </w:rPr>
        <w:t>no</w:t>
      </w:r>
      <w:r>
        <w:rPr>
          <w:spacing w:val="-5"/>
          <w:w w:val="105"/>
          <w:sz w:val="13"/>
        </w:rPr>
        <w:t> </w:t>
      </w:r>
      <w:r>
        <w:rPr>
          <w:w w:val="105"/>
          <w:sz w:val="13"/>
        </w:rPr>
        <w:t>assets</w:t>
      </w:r>
      <w:r>
        <w:rPr>
          <w:spacing w:val="-5"/>
          <w:w w:val="105"/>
          <w:sz w:val="13"/>
        </w:rPr>
        <w:t> </w:t>
      </w:r>
      <w:r>
        <w:rPr>
          <w:w w:val="105"/>
          <w:sz w:val="13"/>
        </w:rPr>
        <w:t>or</w:t>
      </w:r>
      <w:r>
        <w:rPr>
          <w:spacing w:val="-4"/>
          <w:w w:val="105"/>
          <w:sz w:val="13"/>
        </w:rPr>
        <w:t> </w:t>
      </w:r>
      <w:r>
        <w:rPr>
          <w:w w:val="105"/>
          <w:sz w:val="13"/>
        </w:rPr>
        <w:t>liabilities</w:t>
      </w:r>
      <w:r>
        <w:rPr>
          <w:spacing w:val="-5"/>
          <w:w w:val="105"/>
          <w:sz w:val="13"/>
        </w:rPr>
        <w:t> </w:t>
      </w:r>
      <w:r>
        <w:rPr>
          <w:w w:val="105"/>
          <w:sz w:val="13"/>
        </w:rPr>
        <w:t>measured</w:t>
      </w:r>
      <w:r>
        <w:rPr>
          <w:spacing w:val="-6"/>
          <w:w w:val="105"/>
          <w:sz w:val="13"/>
        </w:rPr>
        <w:t> </w:t>
      </w:r>
      <w:r>
        <w:rPr>
          <w:w w:val="105"/>
          <w:sz w:val="13"/>
        </w:rPr>
        <w:t>at</w:t>
      </w:r>
      <w:r>
        <w:rPr>
          <w:spacing w:val="-6"/>
          <w:w w:val="105"/>
          <w:sz w:val="13"/>
        </w:rPr>
        <w:t> </w:t>
      </w:r>
      <w:r>
        <w:rPr>
          <w:w w:val="105"/>
          <w:sz w:val="13"/>
        </w:rPr>
        <w:t>fair</w:t>
      </w:r>
      <w:r>
        <w:rPr>
          <w:spacing w:val="-4"/>
          <w:w w:val="105"/>
          <w:sz w:val="13"/>
        </w:rPr>
        <w:t> </w:t>
      </w:r>
      <w:r>
        <w:rPr>
          <w:w w:val="105"/>
          <w:sz w:val="13"/>
        </w:rPr>
        <w:t>value</w:t>
      </w:r>
      <w:r>
        <w:rPr>
          <w:spacing w:val="-5"/>
          <w:w w:val="105"/>
          <w:sz w:val="13"/>
        </w:rPr>
        <w:t> </w:t>
      </w:r>
      <w:r>
        <w:rPr>
          <w:w w:val="105"/>
          <w:sz w:val="13"/>
        </w:rPr>
        <w:t>on</w:t>
      </w:r>
      <w:r>
        <w:rPr>
          <w:spacing w:val="-6"/>
          <w:w w:val="105"/>
          <w:sz w:val="13"/>
        </w:rPr>
        <w:t> </w:t>
      </w:r>
      <w:r>
        <w:rPr>
          <w:w w:val="105"/>
          <w:sz w:val="13"/>
        </w:rPr>
        <w:t>a</w:t>
      </w:r>
      <w:r>
        <w:rPr>
          <w:spacing w:val="-6"/>
          <w:w w:val="105"/>
          <w:sz w:val="13"/>
        </w:rPr>
        <w:t> </w:t>
      </w:r>
      <w:r>
        <w:rPr>
          <w:w w:val="105"/>
          <w:sz w:val="13"/>
        </w:rPr>
        <w:t>non-recurring</w:t>
      </w:r>
      <w:r>
        <w:rPr>
          <w:spacing w:val="-6"/>
          <w:w w:val="105"/>
          <w:sz w:val="13"/>
        </w:rPr>
        <w:t> </w:t>
      </w:r>
      <w:r>
        <w:rPr>
          <w:spacing w:val="-2"/>
          <w:w w:val="105"/>
          <w:sz w:val="13"/>
        </w:rPr>
        <w:t>basis.</w:t>
      </w:r>
    </w:p>
    <w:p>
      <w:pPr>
        <w:spacing w:after="0"/>
        <w:jc w:val="left"/>
        <w:rPr>
          <w:sz w:val="13"/>
        </w:rPr>
        <w:sectPr>
          <w:type w:val="continuous"/>
          <w:pgSz w:w="11910" w:h="16840"/>
          <w:pgMar w:header="468" w:footer="0" w:top="980" w:bottom="280" w:left="1020" w:right="1540"/>
        </w:sectPr>
      </w:pPr>
    </w:p>
    <w:p>
      <w:pPr>
        <w:spacing w:before="92"/>
        <w:ind w:left="155" w:right="0" w:firstLine="0"/>
        <w:jc w:val="left"/>
        <w:rPr>
          <w:sz w:val="22"/>
        </w:rPr>
      </w:pPr>
      <w:r>
        <w:rPr>
          <w:color w:val="0070C0"/>
          <w:sz w:val="22"/>
        </w:rPr>
        <w:t>NOTES</w:t>
      </w:r>
      <w:r>
        <w:rPr>
          <w:color w:val="0070C0"/>
          <w:spacing w:val="-9"/>
          <w:sz w:val="22"/>
        </w:rPr>
        <w:t> </w:t>
      </w:r>
      <w:r>
        <w:rPr>
          <w:color w:val="0070C0"/>
          <w:sz w:val="22"/>
        </w:rPr>
        <w:t>TO</w:t>
      </w:r>
      <w:r>
        <w:rPr>
          <w:color w:val="0070C0"/>
          <w:spacing w:val="-9"/>
          <w:sz w:val="22"/>
        </w:rPr>
        <w:t> </w:t>
      </w:r>
      <w:r>
        <w:rPr>
          <w:color w:val="0070C0"/>
          <w:sz w:val="22"/>
        </w:rPr>
        <w:t>THE</w:t>
      </w:r>
      <w:r>
        <w:rPr>
          <w:color w:val="0070C0"/>
          <w:spacing w:val="-9"/>
          <w:sz w:val="22"/>
        </w:rPr>
        <w:t> </w:t>
      </w:r>
      <w:r>
        <w:rPr>
          <w:color w:val="0070C0"/>
          <w:sz w:val="22"/>
        </w:rPr>
        <w:t>FINANCIAL</w:t>
      </w:r>
      <w:r>
        <w:rPr>
          <w:color w:val="0070C0"/>
          <w:spacing w:val="-9"/>
          <w:sz w:val="22"/>
        </w:rPr>
        <w:t> </w:t>
      </w:r>
      <w:r>
        <w:rPr>
          <w:color w:val="0070C0"/>
          <w:spacing w:val="-2"/>
          <w:sz w:val="22"/>
        </w:rPr>
        <w:t>STATEMENTS</w:t>
      </w:r>
    </w:p>
    <w:p>
      <w:pPr>
        <w:spacing w:before="31"/>
        <w:ind w:left="141" w:right="0" w:firstLine="0"/>
        <w:jc w:val="left"/>
        <w:rPr>
          <w:sz w:val="12"/>
        </w:rPr>
      </w:pPr>
      <w:r>
        <w:rPr>
          <w:w w:val="105"/>
          <w:sz w:val="12"/>
        </w:rPr>
        <w:t>for</w:t>
      </w:r>
      <w:r>
        <w:rPr>
          <w:spacing w:val="-8"/>
          <w:w w:val="105"/>
          <w:sz w:val="12"/>
        </w:rPr>
        <w:t> </w:t>
      </w:r>
      <w:r>
        <w:rPr>
          <w:w w:val="105"/>
          <w:sz w:val="12"/>
        </w:rPr>
        <w:t>the</w:t>
      </w:r>
      <w:r>
        <w:rPr>
          <w:spacing w:val="-9"/>
          <w:w w:val="105"/>
          <w:sz w:val="12"/>
        </w:rPr>
        <w:t> </w:t>
      </w:r>
      <w:r>
        <w:rPr>
          <w:w w:val="105"/>
          <w:sz w:val="12"/>
        </w:rPr>
        <w:t>year</w:t>
      </w:r>
      <w:r>
        <w:rPr>
          <w:spacing w:val="-8"/>
          <w:w w:val="105"/>
          <w:sz w:val="12"/>
        </w:rPr>
        <w:t> </w:t>
      </w:r>
      <w:r>
        <w:rPr>
          <w:w w:val="105"/>
          <w:sz w:val="12"/>
        </w:rPr>
        <w:t>ended</w:t>
      </w:r>
      <w:r>
        <w:rPr>
          <w:spacing w:val="-8"/>
          <w:w w:val="105"/>
          <w:sz w:val="12"/>
        </w:rPr>
        <w:t> </w:t>
      </w:r>
      <w:r>
        <w:rPr>
          <w:w w:val="105"/>
          <w:sz w:val="12"/>
        </w:rPr>
        <w:t>31</w:t>
      </w:r>
      <w:r>
        <w:rPr>
          <w:spacing w:val="-9"/>
          <w:w w:val="105"/>
          <w:sz w:val="12"/>
        </w:rPr>
        <w:t> </w:t>
      </w:r>
      <w:r>
        <w:rPr>
          <w:w w:val="105"/>
          <w:sz w:val="12"/>
        </w:rPr>
        <w:t>December</w:t>
      </w:r>
      <w:r>
        <w:rPr>
          <w:spacing w:val="-8"/>
          <w:w w:val="105"/>
          <w:sz w:val="12"/>
        </w:rPr>
        <w:t> </w:t>
      </w:r>
      <w:r>
        <w:rPr>
          <w:spacing w:val="-4"/>
          <w:w w:val="105"/>
          <w:sz w:val="12"/>
        </w:rPr>
        <w:t>2020</w:t>
      </w:r>
    </w:p>
    <w:p>
      <w:pPr>
        <w:spacing w:line="240" w:lineRule="auto" w:before="130" w:after="0"/>
        <w:rPr>
          <w:sz w:val="20"/>
        </w:rPr>
      </w:pPr>
    </w:p>
    <w:tbl>
      <w:tblPr>
        <w:tblW w:w="0" w:type="auto"/>
        <w:jc w:val="left"/>
        <w:tblInd w:w="1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76"/>
        <w:gridCol w:w="919"/>
        <w:gridCol w:w="217"/>
        <w:gridCol w:w="809"/>
      </w:tblGrid>
      <w:tr>
        <w:trPr>
          <w:trHeight w:val="241" w:hRule="atLeast"/>
        </w:trPr>
        <w:tc>
          <w:tcPr>
            <w:tcW w:w="6076" w:type="dxa"/>
          </w:tcPr>
          <w:p>
            <w:pPr>
              <w:pStyle w:val="TableParagraph"/>
              <w:tabs>
                <w:tab w:pos="541" w:val="left" w:leader="none"/>
              </w:tabs>
              <w:spacing w:before="2"/>
              <w:ind w:left="34"/>
              <w:rPr>
                <w:b/>
                <w:sz w:val="13"/>
              </w:rPr>
            </w:pPr>
            <w:r>
              <w:rPr>
                <w:b/>
                <w:spacing w:val="-5"/>
                <w:w w:val="105"/>
                <w:sz w:val="13"/>
              </w:rPr>
              <w:t>(d)</w:t>
            </w:r>
            <w:r>
              <w:rPr>
                <w:b/>
                <w:sz w:val="13"/>
              </w:rPr>
              <w:tab/>
            </w:r>
            <w:r>
              <w:rPr>
                <w:b/>
                <w:w w:val="105"/>
                <w:sz w:val="13"/>
              </w:rPr>
              <w:t>Fair</w:t>
            </w:r>
            <w:r>
              <w:rPr>
                <w:b/>
                <w:spacing w:val="-8"/>
                <w:w w:val="105"/>
                <w:sz w:val="13"/>
              </w:rPr>
              <w:t> </w:t>
            </w:r>
            <w:r>
              <w:rPr>
                <w:b/>
                <w:w w:val="105"/>
                <w:sz w:val="13"/>
              </w:rPr>
              <w:t>value</w:t>
            </w:r>
            <w:r>
              <w:rPr>
                <w:b/>
                <w:spacing w:val="-9"/>
                <w:w w:val="105"/>
                <w:sz w:val="13"/>
              </w:rPr>
              <w:t> </w:t>
            </w:r>
            <w:r>
              <w:rPr>
                <w:b/>
                <w:w w:val="105"/>
                <w:sz w:val="13"/>
              </w:rPr>
              <w:t>measurements</w:t>
            </w:r>
            <w:r>
              <w:rPr>
                <w:b/>
                <w:spacing w:val="-9"/>
                <w:w w:val="105"/>
                <w:sz w:val="13"/>
              </w:rPr>
              <w:t> </w:t>
            </w:r>
            <w:r>
              <w:rPr>
                <w:b/>
                <w:w w:val="105"/>
                <w:sz w:val="13"/>
              </w:rPr>
              <w:t>using</w:t>
            </w:r>
            <w:r>
              <w:rPr>
                <w:b/>
                <w:spacing w:val="-8"/>
                <w:w w:val="105"/>
                <w:sz w:val="13"/>
              </w:rPr>
              <w:t> </w:t>
            </w:r>
            <w:r>
              <w:rPr>
                <w:b/>
                <w:w w:val="105"/>
                <w:sz w:val="13"/>
              </w:rPr>
              <w:t>significant</w:t>
            </w:r>
            <w:r>
              <w:rPr>
                <w:b/>
                <w:spacing w:val="-7"/>
                <w:w w:val="105"/>
                <w:sz w:val="13"/>
              </w:rPr>
              <w:t> </w:t>
            </w:r>
            <w:r>
              <w:rPr>
                <w:b/>
                <w:w w:val="105"/>
                <w:sz w:val="13"/>
              </w:rPr>
              <w:t>unobservable</w:t>
            </w:r>
            <w:r>
              <w:rPr>
                <w:b/>
                <w:spacing w:val="-9"/>
                <w:w w:val="105"/>
                <w:sz w:val="13"/>
              </w:rPr>
              <w:t> </w:t>
            </w:r>
            <w:r>
              <w:rPr>
                <w:b/>
                <w:w w:val="105"/>
                <w:sz w:val="13"/>
              </w:rPr>
              <w:t>inputs</w:t>
            </w:r>
            <w:r>
              <w:rPr>
                <w:b/>
                <w:spacing w:val="-9"/>
                <w:w w:val="105"/>
                <w:sz w:val="13"/>
              </w:rPr>
              <w:t> </w:t>
            </w:r>
            <w:r>
              <w:rPr>
                <w:b/>
                <w:w w:val="105"/>
                <w:sz w:val="13"/>
              </w:rPr>
              <w:t>(level</w:t>
            </w:r>
            <w:r>
              <w:rPr>
                <w:b/>
                <w:spacing w:val="-8"/>
                <w:w w:val="105"/>
                <w:sz w:val="13"/>
              </w:rPr>
              <w:t> </w:t>
            </w:r>
            <w:r>
              <w:rPr>
                <w:b/>
                <w:spacing w:val="-7"/>
                <w:w w:val="105"/>
                <w:sz w:val="13"/>
              </w:rPr>
              <w:t>3)</w:t>
            </w:r>
          </w:p>
        </w:tc>
        <w:tc>
          <w:tcPr>
            <w:tcW w:w="1945" w:type="dxa"/>
            <w:gridSpan w:val="3"/>
          </w:tcPr>
          <w:p>
            <w:pPr>
              <w:pStyle w:val="TableParagraph"/>
              <w:rPr>
                <w:rFonts w:ascii="Times New Roman"/>
                <w:sz w:val="12"/>
              </w:rPr>
            </w:pPr>
          </w:p>
        </w:tc>
      </w:tr>
      <w:tr>
        <w:trPr>
          <w:trHeight w:val="426" w:hRule="atLeast"/>
        </w:trPr>
        <w:tc>
          <w:tcPr>
            <w:tcW w:w="6076" w:type="dxa"/>
          </w:tcPr>
          <w:p>
            <w:pPr>
              <w:pStyle w:val="TableParagraph"/>
              <w:spacing w:before="106"/>
              <w:ind w:left="541"/>
              <w:rPr>
                <w:b/>
                <w:sz w:val="13"/>
              </w:rPr>
            </w:pPr>
            <w:r>
              <w:rPr>
                <w:b/>
                <w:w w:val="105"/>
                <w:sz w:val="13"/>
              </w:rPr>
              <w:t>Level</w:t>
            </w:r>
            <w:r>
              <w:rPr>
                <w:b/>
                <w:spacing w:val="-6"/>
                <w:w w:val="105"/>
                <w:sz w:val="13"/>
              </w:rPr>
              <w:t> </w:t>
            </w:r>
            <w:r>
              <w:rPr>
                <w:b/>
                <w:w w:val="105"/>
                <w:sz w:val="13"/>
              </w:rPr>
              <w:t>3</w:t>
            </w:r>
            <w:r>
              <w:rPr>
                <w:b/>
                <w:spacing w:val="-7"/>
                <w:w w:val="105"/>
                <w:sz w:val="13"/>
              </w:rPr>
              <w:t> </w:t>
            </w:r>
            <w:r>
              <w:rPr>
                <w:b/>
                <w:w w:val="105"/>
                <w:sz w:val="13"/>
              </w:rPr>
              <w:t>fair</w:t>
            </w:r>
            <w:r>
              <w:rPr>
                <w:b/>
                <w:spacing w:val="-6"/>
                <w:w w:val="105"/>
                <w:sz w:val="13"/>
              </w:rPr>
              <w:t> </w:t>
            </w:r>
            <w:r>
              <w:rPr>
                <w:b/>
                <w:w w:val="105"/>
                <w:sz w:val="13"/>
              </w:rPr>
              <w:t>value</w:t>
            </w:r>
            <w:r>
              <w:rPr>
                <w:b/>
                <w:spacing w:val="-7"/>
                <w:w w:val="105"/>
                <w:sz w:val="13"/>
              </w:rPr>
              <w:t> </w:t>
            </w:r>
            <w:r>
              <w:rPr>
                <w:b/>
                <w:w w:val="105"/>
                <w:sz w:val="13"/>
              </w:rPr>
              <w:t>measurements</w:t>
            </w:r>
            <w:r>
              <w:rPr>
                <w:b/>
                <w:spacing w:val="-7"/>
                <w:w w:val="105"/>
                <w:sz w:val="13"/>
              </w:rPr>
              <w:t> </w:t>
            </w:r>
            <w:r>
              <w:rPr>
                <w:b/>
                <w:w w:val="105"/>
                <w:sz w:val="13"/>
              </w:rPr>
              <w:t>for</w:t>
            </w:r>
            <w:r>
              <w:rPr>
                <w:b/>
                <w:spacing w:val="-6"/>
                <w:w w:val="105"/>
                <w:sz w:val="13"/>
              </w:rPr>
              <w:t> </w:t>
            </w:r>
            <w:r>
              <w:rPr>
                <w:b/>
                <w:w w:val="105"/>
                <w:sz w:val="13"/>
              </w:rPr>
              <w:t>other</w:t>
            </w:r>
            <w:r>
              <w:rPr>
                <w:b/>
                <w:spacing w:val="-6"/>
                <w:w w:val="105"/>
                <w:sz w:val="13"/>
              </w:rPr>
              <w:t> </w:t>
            </w:r>
            <w:r>
              <w:rPr>
                <w:b/>
                <w:w w:val="105"/>
                <w:sz w:val="13"/>
              </w:rPr>
              <w:t>financial</w:t>
            </w:r>
            <w:r>
              <w:rPr>
                <w:b/>
                <w:spacing w:val="-6"/>
                <w:w w:val="105"/>
                <w:sz w:val="13"/>
              </w:rPr>
              <w:t> </w:t>
            </w:r>
            <w:r>
              <w:rPr>
                <w:b/>
                <w:spacing w:val="-2"/>
                <w:w w:val="105"/>
                <w:sz w:val="13"/>
              </w:rPr>
              <w:t>assets</w:t>
            </w:r>
          </w:p>
        </w:tc>
        <w:tc>
          <w:tcPr>
            <w:tcW w:w="919" w:type="dxa"/>
            <w:tcBorders>
              <w:bottom w:val="single" w:sz="6" w:space="0" w:color="000000"/>
            </w:tcBorders>
          </w:tcPr>
          <w:p>
            <w:pPr>
              <w:pStyle w:val="TableParagraph"/>
              <w:spacing w:before="90"/>
              <w:ind w:left="351"/>
              <w:rPr>
                <w:b/>
                <w:sz w:val="13"/>
              </w:rPr>
            </w:pPr>
            <w:r>
              <w:rPr>
                <w:b/>
                <w:spacing w:val="-4"/>
                <w:w w:val="105"/>
                <w:sz w:val="13"/>
              </w:rPr>
              <w:t>2020</w:t>
            </w:r>
          </w:p>
          <w:p>
            <w:pPr>
              <w:pStyle w:val="TableParagraph"/>
              <w:spacing w:line="145" w:lineRule="exact" w:before="24"/>
              <w:ind w:left="334"/>
              <w:rPr>
                <w:b/>
                <w:sz w:val="13"/>
              </w:rPr>
            </w:pPr>
            <w:r>
              <w:rPr>
                <w:b/>
                <w:spacing w:val="-2"/>
                <w:w w:val="105"/>
                <w:sz w:val="13"/>
              </w:rPr>
              <w:t>$'000</w:t>
            </w:r>
          </w:p>
        </w:tc>
        <w:tc>
          <w:tcPr>
            <w:tcW w:w="1026" w:type="dxa"/>
            <w:gridSpan w:val="2"/>
            <w:tcBorders>
              <w:bottom w:val="single" w:sz="6" w:space="0" w:color="000000"/>
            </w:tcBorders>
          </w:tcPr>
          <w:p>
            <w:pPr>
              <w:pStyle w:val="TableParagraph"/>
              <w:spacing w:before="90"/>
              <w:ind w:left="402"/>
              <w:rPr>
                <w:b/>
                <w:sz w:val="13"/>
              </w:rPr>
            </w:pPr>
            <w:r>
              <w:rPr>
                <w:b/>
                <w:spacing w:val="-4"/>
                <w:w w:val="105"/>
                <w:sz w:val="13"/>
              </w:rPr>
              <w:t>2019</w:t>
            </w:r>
          </w:p>
          <w:p>
            <w:pPr>
              <w:pStyle w:val="TableParagraph"/>
              <w:spacing w:line="145" w:lineRule="exact" w:before="24"/>
              <w:ind w:left="387"/>
              <w:rPr>
                <w:b/>
                <w:sz w:val="13"/>
              </w:rPr>
            </w:pPr>
            <w:r>
              <w:rPr>
                <w:b/>
                <w:spacing w:val="-2"/>
                <w:w w:val="105"/>
                <w:sz w:val="13"/>
              </w:rPr>
              <w:t>$'000</w:t>
            </w:r>
          </w:p>
        </w:tc>
      </w:tr>
      <w:tr>
        <w:trPr>
          <w:trHeight w:val="159" w:hRule="atLeast"/>
        </w:trPr>
        <w:tc>
          <w:tcPr>
            <w:tcW w:w="6076" w:type="dxa"/>
          </w:tcPr>
          <w:p>
            <w:pPr>
              <w:pStyle w:val="TableParagraph"/>
              <w:spacing w:line="131" w:lineRule="exact" w:before="8"/>
              <w:ind w:left="541"/>
              <w:rPr>
                <w:sz w:val="13"/>
              </w:rPr>
            </w:pPr>
            <w:r>
              <w:rPr>
                <w:spacing w:val="-2"/>
                <w:w w:val="105"/>
                <w:sz w:val="13"/>
              </w:rPr>
              <w:t>Opening</w:t>
            </w:r>
            <w:r>
              <w:rPr>
                <w:spacing w:val="3"/>
                <w:w w:val="105"/>
                <w:sz w:val="13"/>
              </w:rPr>
              <w:t> </w:t>
            </w:r>
            <w:r>
              <w:rPr>
                <w:spacing w:val="-2"/>
                <w:w w:val="105"/>
                <w:sz w:val="13"/>
              </w:rPr>
              <w:t>balance</w:t>
            </w:r>
          </w:p>
        </w:tc>
        <w:tc>
          <w:tcPr>
            <w:tcW w:w="919" w:type="dxa"/>
            <w:tcBorders>
              <w:top w:val="single" w:sz="6" w:space="0" w:color="000000"/>
            </w:tcBorders>
          </w:tcPr>
          <w:p>
            <w:pPr>
              <w:pStyle w:val="TableParagraph"/>
              <w:spacing w:line="137" w:lineRule="exact"/>
              <w:jc w:val="right"/>
              <w:rPr>
                <w:sz w:val="13"/>
              </w:rPr>
            </w:pPr>
            <w:r>
              <w:rPr>
                <w:spacing w:val="-2"/>
                <w:w w:val="105"/>
                <w:sz w:val="13"/>
              </w:rPr>
              <w:t>46,959</w:t>
            </w:r>
          </w:p>
        </w:tc>
        <w:tc>
          <w:tcPr>
            <w:tcW w:w="1026" w:type="dxa"/>
            <w:gridSpan w:val="2"/>
            <w:tcBorders>
              <w:top w:val="single" w:sz="6" w:space="0" w:color="000000"/>
            </w:tcBorders>
          </w:tcPr>
          <w:p>
            <w:pPr>
              <w:pStyle w:val="TableParagraph"/>
              <w:spacing w:line="131" w:lineRule="exact" w:before="5"/>
              <w:ind w:left="535"/>
              <w:rPr>
                <w:sz w:val="13"/>
              </w:rPr>
            </w:pPr>
            <w:r>
              <w:rPr>
                <w:spacing w:val="-2"/>
                <w:w w:val="105"/>
                <w:sz w:val="13"/>
              </w:rPr>
              <w:t>29,854</w:t>
            </w:r>
          </w:p>
        </w:tc>
      </w:tr>
      <w:tr>
        <w:trPr>
          <w:trHeight w:val="172" w:hRule="atLeast"/>
        </w:trPr>
        <w:tc>
          <w:tcPr>
            <w:tcW w:w="8021" w:type="dxa"/>
            <w:gridSpan w:val="4"/>
          </w:tcPr>
          <w:p>
            <w:pPr>
              <w:pStyle w:val="TableParagraph"/>
              <w:tabs>
                <w:tab w:pos="6075" w:val="left" w:leader="none"/>
                <w:tab w:pos="6957" w:val="left" w:leader="none"/>
                <w:tab w:pos="7907" w:val="left" w:leader="none"/>
              </w:tabs>
              <w:spacing w:line="131" w:lineRule="exact" w:before="21"/>
              <w:ind w:left="541"/>
              <w:rPr>
                <w:sz w:val="13"/>
              </w:rPr>
            </w:pPr>
            <w:r>
              <w:rPr>
                <w:w w:val="105"/>
                <w:sz w:val="13"/>
              </w:rPr>
              <w:t>Effect</w:t>
            </w:r>
            <w:r>
              <w:rPr>
                <w:spacing w:val="-7"/>
                <w:w w:val="105"/>
                <w:sz w:val="13"/>
              </w:rPr>
              <w:t> </w:t>
            </w:r>
            <w:r>
              <w:rPr>
                <w:w w:val="105"/>
                <w:sz w:val="13"/>
              </w:rPr>
              <w:t>of</w:t>
            </w:r>
            <w:r>
              <w:rPr>
                <w:spacing w:val="-4"/>
                <w:w w:val="105"/>
                <w:sz w:val="13"/>
              </w:rPr>
              <w:t> </w:t>
            </w:r>
            <w:r>
              <w:rPr>
                <w:w w:val="105"/>
                <w:sz w:val="13"/>
              </w:rPr>
              <w:t>adoption</w:t>
            </w:r>
            <w:r>
              <w:rPr>
                <w:spacing w:val="-7"/>
                <w:w w:val="105"/>
                <w:sz w:val="13"/>
              </w:rPr>
              <w:t> </w:t>
            </w:r>
            <w:r>
              <w:rPr>
                <w:w w:val="105"/>
                <w:sz w:val="13"/>
              </w:rPr>
              <w:t>of</w:t>
            </w:r>
            <w:r>
              <w:rPr>
                <w:spacing w:val="-4"/>
                <w:w w:val="105"/>
                <w:sz w:val="13"/>
              </w:rPr>
              <w:t> </w:t>
            </w:r>
            <w:r>
              <w:rPr>
                <w:w w:val="105"/>
                <w:sz w:val="13"/>
              </w:rPr>
              <w:t>new</w:t>
            </w:r>
            <w:r>
              <w:rPr>
                <w:spacing w:val="-9"/>
                <w:w w:val="105"/>
                <w:sz w:val="13"/>
              </w:rPr>
              <w:t> </w:t>
            </w:r>
            <w:r>
              <w:rPr>
                <w:w w:val="105"/>
                <w:sz w:val="13"/>
              </w:rPr>
              <w:t>accounting</w:t>
            </w:r>
            <w:r>
              <w:rPr>
                <w:spacing w:val="-7"/>
                <w:w w:val="105"/>
                <w:sz w:val="13"/>
              </w:rPr>
              <w:t> </w:t>
            </w:r>
            <w:r>
              <w:rPr>
                <w:spacing w:val="-2"/>
                <w:w w:val="105"/>
                <w:sz w:val="13"/>
              </w:rPr>
              <w:t>standards</w:t>
            </w:r>
            <w:r>
              <w:rPr>
                <w:sz w:val="13"/>
              </w:rPr>
              <w:tab/>
            </w:r>
            <w:r>
              <w:rPr>
                <w:sz w:val="13"/>
                <w:u w:val="single"/>
              </w:rPr>
              <w:tab/>
            </w:r>
            <w:r>
              <w:rPr>
                <w:spacing w:val="-10"/>
                <w:w w:val="105"/>
                <w:sz w:val="13"/>
                <w:u w:val="single"/>
              </w:rPr>
              <w:t>-</w:t>
            </w:r>
            <w:r>
              <w:rPr>
                <w:sz w:val="13"/>
                <w:u w:val="single"/>
              </w:rPr>
              <w:tab/>
            </w:r>
            <w:r>
              <w:rPr>
                <w:spacing w:val="-10"/>
                <w:w w:val="105"/>
                <w:sz w:val="13"/>
                <w:u w:val="single"/>
              </w:rPr>
              <w:t>-</w:t>
            </w:r>
            <w:r>
              <w:rPr>
                <w:spacing w:val="80"/>
                <w:w w:val="105"/>
                <w:sz w:val="13"/>
                <w:u w:val="single"/>
              </w:rPr>
              <w:t> </w:t>
            </w:r>
          </w:p>
        </w:tc>
      </w:tr>
      <w:tr>
        <w:trPr>
          <w:trHeight w:val="176" w:hRule="atLeast"/>
        </w:trPr>
        <w:tc>
          <w:tcPr>
            <w:tcW w:w="6076" w:type="dxa"/>
          </w:tcPr>
          <w:p>
            <w:pPr>
              <w:pStyle w:val="TableParagraph"/>
              <w:spacing w:line="133" w:lineRule="exact" w:before="18"/>
              <w:ind w:left="541"/>
              <w:rPr>
                <w:b/>
                <w:sz w:val="13"/>
              </w:rPr>
            </w:pPr>
            <w:r>
              <w:rPr>
                <w:b/>
                <w:w w:val="105"/>
                <w:sz w:val="13"/>
              </w:rPr>
              <w:t>Opening</w:t>
            </w:r>
            <w:r>
              <w:rPr>
                <w:b/>
                <w:spacing w:val="-6"/>
                <w:w w:val="105"/>
                <w:sz w:val="13"/>
              </w:rPr>
              <w:t> </w:t>
            </w:r>
            <w:r>
              <w:rPr>
                <w:b/>
                <w:w w:val="105"/>
                <w:sz w:val="13"/>
              </w:rPr>
              <w:t>balance</w:t>
            </w:r>
            <w:r>
              <w:rPr>
                <w:b/>
                <w:spacing w:val="-6"/>
                <w:w w:val="105"/>
                <w:sz w:val="13"/>
              </w:rPr>
              <w:t> </w:t>
            </w:r>
            <w:r>
              <w:rPr>
                <w:b/>
                <w:w w:val="105"/>
                <w:sz w:val="13"/>
              </w:rPr>
              <w:t>as</w:t>
            </w:r>
            <w:r>
              <w:rPr>
                <w:b/>
                <w:spacing w:val="-6"/>
                <w:w w:val="105"/>
                <w:sz w:val="13"/>
              </w:rPr>
              <w:t> </w:t>
            </w:r>
            <w:r>
              <w:rPr>
                <w:b/>
                <w:spacing w:val="-2"/>
                <w:w w:val="105"/>
                <w:sz w:val="13"/>
              </w:rPr>
              <w:t>restated</w:t>
            </w:r>
          </w:p>
        </w:tc>
        <w:tc>
          <w:tcPr>
            <w:tcW w:w="919" w:type="dxa"/>
          </w:tcPr>
          <w:p>
            <w:pPr>
              <w:pStyle w:val="TableParagraph"/>
              <w:spacing w:line="148" w:lineRule="exact" w:before="2"/>
              <w:jc w:val="right"/>
              <w:rPr>
                <w:b/>
                <w:sz w:val="13"/>
              </w:rPr>
            </w:pPr>
            <w:r>
              <w:rPr>
                <w:b/>
                <w:spacing w:val="-2"/>
                <w:w w:val="105"/>
                <w:sz w:val="13"/>
              </w:rPr>
              <w:t>46,959</w:t>
            </w:r>
          </w:p>
        </w:tc>
        <w:tc>
          <w:tcPr>
            <w:tcW w:w="217" w:type="dxa"/>
          </w:tcPr>
          <w:p>
            <w:pPr>
              <w:pStyle w:val="TableParagraph"/>
              <w:rPr>
                <w:rFonts w:ascii="Times New Roman"/>
                <w:sz w:val="10"/>
              </w:rPr>
            </w:pPr>
          </w:p>
        </w:tc>
        <w:tc>
          <w:tcPr>
            <w:tcW w:w="809" w:type="dxa"/>
          </w:tcPr>
          <w:p>
            <w:pPr>
              <w:pStyle w:val="TableParagraph"/>
              <w:spacing w:line="148" w:lineRule="exact" w:before="2"/>
              <w:ind w:right="74"/>
              <w:jc w:val="right"/>
              <w:rPr>
                <w:b/>
                <w:sz w:val="13"/>
              </w:rPr>
            </w:pPr>
            <w:r>
              <w:rPr>
                <w:b/>
                <w:spacing w:val="-2"/>
                <w:w w:val="105"/>
                <w:sz w:val="13"/>
              </w:rPr>
              <w:t>29,854</w:t>
            </w:r>
          </w:p>
        </w:tc>
      </w:tr>
      <w:tr>
        <w:trPr>
          <w:trHeight w:val="171" w:hRule="atLeast"/>
        </w:trPr>
        <w:tc>
          <w:tcPr>
            <w:tcW w:w="6076" w:type="dxa"/>
          </w:tcPr>
          <w:p>
            <w:pPr>
              <w:pStyle w:val="TableParagraph"/>
              <w:spacing w:line="134" w:lineRule="exact" w:before="17"/>
              <w:ind w:left="541"/>
              <w:rPr>
                <w:sz w:val="13"/>
              </w:rPr>
            </w:pPr>
            <w:r>
              <w:rPr>
                <w:spacing w:val="-2"/>
                <w:w w:val="105"/>
                <w:sz w:val="13"/>
              </w:rPr>
              <w:t>Acquisitions</w:t>
            </w:r>
          </w:p>
        </w:tc>
        <w:tc>
          <w:tcPr>
            <w:tcW w:w="919" w:type="dxa"/>
          </w:tcPr>
          <w:p>
            <w:pPr>
              <w:pStyle w:val="TableParagraph"/>
              <w:rPr>
                <w:rFonts w:ascii="Times New Roman"/>
                <w:sz w:val="10"/>
              </w:rPr>
            </w:pPr>
          </w:p>
        </w:tc>
        <w:tc>
          <w:tcPr>
            <w:tcW w:w="217" w:type="dxa"/>
          </w:tcPr>
          <w:p>
            <w:pPr>
              <w:pStyle w:val="TableParagraph"/>
              <w:spacing w:line="147" w:lineRule="exact" w:before="4"/>
              <w:ind w:left="-1"/>
              <w:rPr>
                <w:sz w:val="13"/>
              </w:rPr>
            </w:pPr>
            <w:r>
              <w:rPr>
                <w:spacing w:val="-10"/>
                <w:w w:val="105"/>
                <w:sz w:val="13"/>
              </w:rPr>
              <w:t>-</w:t>
            </w:r>
          </w:p>
        </w:tc>
        <w:tc>
          <w:tcPr>
            <w:tcW w:w="809" w:type="dxa"/>
          </w:tcPr>
          <w:p>
            <w:pPr>
              <w:pStyle w:val="TableParagraph"/>
              <w:spacing w:line="147" w:lineRule="exact" w:before="4"/>
              <w:ind w:right="74"/>
              <w:jc w:val="right"/>
              <w:rPr>
                <w:sz w:val="13"/>
              </w:rPr>
            </w:pPr>
            <w:r>
              <w:rPr>
                <w:spacing w:val="-5"/>
                <w:w w:val="105"/>
                <w:sz w:val="13"/>
              </w:rPr>
              <w:t>480</w:t>
            </w:r>
          </w:p>
        </w:tc>
      </w:tr>
      <w:tr>
        <w:trPr>
          <w:trHeight w:val="168" w:hRule="atLeast"/>
        </w:trPr>
        <w:tc>
          <w:tcPr>
            <w:tcW w:w="6076" w:type="dxa"/>
          </w:tcPr>
          <w:p>
            <w:pPr>
              <w:pStyle w:val="TableParagraph"/>
              <w:spacing w:line="127" w:lineRule="exact" w:before="21"/>
              <w:ind w:left="541"/>
              <w:rPr>
                <w:b/>
                <w:sz w:val="13"/>
              </w:rPr>
            </w:pPr>
            <w:r>
              <w:rPr>
                <w:b/>
                <w:w w:val="105"/>
                <w:sz w:val="13"/>
              </w:rPr>
              <w:t>Total</w:t>
            </w:r>
            <w:r>
              <w:rPr>
                <w:b/>
                <w:spacing w:val="-3"/>
                <w:w w:val="105"/>
                <w:sz w:val="13"/>
              </w:rPr>
              <w:t> </w:t>
            </w:r>
            <w:r>
              <w:rPr>
                <w:b/>
                <w:spacing w:val="-2"/>
                <w:w w:val="105"/>
                <w:sz w:val="13"/>
              </w:rPr>
              <w:t>gains/(losses)</w:t>
            </w:r>
          </w:p>
        </w:tc>
        <w:tc>
          <w:tcPr>
            <w:tcW w:w="919" w:type="dxa"/>
            <w:tcBorders>
              <w:bottom w:val="single" w:sz="6" w:space="0" w:color="000000"/>
            </w:tcBorders>
          </w:tcPr>
          <w:p>
            <w:pPr>
              <w:pStyle w:val="TableParagraph"/>
              <w:spacing w:line="145" w:lineRule="exact" w:before="5"/>
              <w:jc w:val="right"/>
              <w:rPr>
                <w:b/>
                <w:sz w:val="13"/>
              </w:rPr>
            </w:pPr>
            <w:r>
              <w:rPr>
                <w:b/>
                <w:spacing w:val="-2"/>
                <w:w w:val="105"/>
                <w:sz w:val="13"/>
              </w:rPr>
              <w:t>10,005</w:t>
            </w:r>
          </w:p>
        </w:tc>
        <w:tc>
          <w:tcPr>
            <w:tcW w:w="217" w:type="dxa"/>
            <w:tcBorders>
              <w:bottom w:val="single" w:sz="6" w:space="0" w:color="000000"/>
            </w:tcBorders>
          </w:tcPr>
          <w:p>
            <w:pPr>
              <w:pStyle w:val="TableParagraph"/>
              <w:rPr>
                <w:rFonts w:ascii="Times New Roman"/>
                <w:sz w:val="10"/>
              </w:rPr>
            </w:pPr>
          </w:p>
        </w:tc>
        <w:tc>
          <w:tcPr>
            <w:tcW w:w="809" w:type="dxa"/>
            <w:tcBorders>
              <w:bottom w:val="single" w:sz="6" w:space="0" w:color="000000"/>
            </w:tcBorders>
          </w:tcPr>
          <w:p>
            <w:pPr>
              <w:pStyle w:val="TableParagraph"/>
              <w:spacing w:line="145" w:lineRule="exact" w:before="5"/>
              <w:ind w:right="74"/>
              <w:jc w:val="right"/>
              <w:rPr>
                <w:b/>
                <w:sz w:val="13"/>
              </w:rPr>
            </w:pPr>
            <w:r>
              <w:rPr>
                <w:b/>
                <w:spacing w:val="-2"/>
                <w:w w:val="105"/>
                <w:sz w:val="13"/>
              </w:rPr>
              <w:t>16,625</w:t>
            </w:r>
          </w:p>
        </w:tc>
      </w:tr>
      <w:tr>
        <w:trPr>
          <w:trHeight w:val="159" w:hRule="atLeast"/>
        </w:trPr>
        <w:tc>
          <w:tcPr>
            <w:tcW w:w="6076" w:type="dxa"/>
          </w:tcPr>
          <w:p>
            <w:pPr>
              <w:pStyle w:val="TableParagraph"/>
              <w:spacing w:line="131" w:lineRule="exact" w:before="8"/>
              <w:ind w:left="541"/>
              <w:rPr>
                <w:sz w:val="13"/>
              </w:rPr>
            </w:pPr>
            <w:r>
              <w:rPr>
                <w:w w:val="105"/>
                <w:sz w:val="13"/>
              </w:rPr>
              <w:t>Recognised</w:t>
            </w:r>
            <w:r>
              <w:rPr>
                <w:spacing w:val="-6"/>
                <w:w w:val="105"/>
                <w:sz w:val="13"/>
              </w:rPr>
              <w:t> </w:t>
            </w:r>
            <w:r>
              <w:rPr>
                <w:w w:val="105"/>
                <w:sz w:val="13"/>
              </w:rPr>
              <w:t>in</w:t>
            </w:r>
            <w:r>
              <w:rPr>
                <w:spacing w:val="-5"/>
                <w:w w:val="105"/>
                <w:sz w:val="13"/>
              </w:rPr>
              <w:t> </w:t>
            </w:r>
            <w:r>
              <w:rPr>
                <w:w w:val="105"/>
                <w:sz w:val="13"/>
              </w:rPr>
              <w:t>profit</w:t>
            </w:r>
            <w:r>
              <w:rPr>
                <w:spacing w:val="-6"/>
                <w:w w:val="105"/>
                <w:sz w:val="13"/>
              </w:rPr>
              <w:t> </w:t>
            </w:r>
            <w:r>
              <w:rPr>
                <w:w w:val="105"/>
                <w:sz w:val="13"/>
              </w:rPr>
              <w:t>or</w:t>
            </w:r>
            <w:r>
              <w:rPr>
                <w:spacing w:val="-4"/>
                <w:w w:val="105"/>
                <w:sz w:val="13"/>
              </w:rPr>
              <w:t> loss*</w:t>
            </w:r>
          </w:p>
        </w:tc>
        <w:tc>
          <w:tcPr>
            <w:tcW w:w="919" w:type="dxa"/>
            <w:tcBorders>
              <w:top w:val="single" w:sz="6" w:space="0" w:color="000000"/>
            </w:tcBorders>
          </w:tcPr>
          <w:p>
            <w:pPr>
              <w:pStyle w:val="TableParagraph"/>
              <w:spacing w:line="137" w:lineRule="exact"/>
              <w:jc w:val="right"/>
              <w:rPr>
                <w:sz w:val="13"/>
              </w:rPr>
            </w:pPr>
            <w:r>
              <w:rPr>
                <w:spacing w:val="-2"/>
                <w:w w:val="105"/>
                <w:sz w:val="13"/>
              </w:rPr>
              <w:t>10,005</w:t>
            </w:r>
          </w:p>
        </w:tc>
        <w:tc>
          <w:tcPr>
            <w:tcW w:w="217" w:type="dxa"/>
            <w:tcBorders>
              <w:top w:val="single" w:sz="6" w:space="0" w:color="000000"/>
            </w:tcBorders>
          </w:tcPr>
          <w:p>
            <w:pPr>
              <w:pStyle w:val="TableParagraph"/>
              <w:rPr>
                <w:rFonts w:ascii="Times New Roman"/>
                <w:sz w:val="10"/>
              </w:rPr>
            </w:pPr>
          </w:p>
        </w:tc>
        <w:tc>
          <w:tcPr>
            <w:tcW w:w="809" w:type="dxa"/>
            <w:tcBorders>
              <w:top w:val="single" w:sz="6" w:space="0" w:color="000000"/>
            </w:tcBorders>
          </w:tcPr>
          <w:p>
            <w:pPr>
              <w:pStyle w:val="TableParagraph"/>
              <w:spacing w:line="137" w:lineRule="exact"/>
              <w:ind w:right="74"/>
              <w:jc w:val="right"/>
              <w:rPr>
                <w:sz w:val="13"/>
              </w:rPr>
            </w:pPr>
            <w:r>
              <w:rPr>
                <w:spacing w:val="-2"/>
                <w:w w:val="105"/>
                <w:sz w:val="13"/>
              </w:rPr>
              <w:t>16,625</w:t>
            </w:r>
          </w:p>
        </w:tc>
      </w:tr>
      <w:tr>
        <w:trPr>
          <w:trHeight w:val="172" w:hRule="atLeast"/>
        </w:trPr>
        <w:tc>
          <w:tcPr>
            <w:tcW w:w="8021" w:type="dxa"/>
            <w:gridSpan w:val="4"/>
          </w:tcPr>
          <w:p>
            <w:pPr>
              <w:pStyle w:val="TableParagraph"/>
              <w:tabs>
                <w:tab w:pos="6075" w:val="left" w:leader="none"/>
                <w:tab w:pos="6957" w:val="left" w:leader="none"/>
                <w:tab w:pos="7907" w:val="left" w:leader="none"/>
              </w:tabs>
              <w:spacing w:line="131" w:lineRule="exact" w:before="21"/>
              <w:ind w:left="541"/>
              <w:rPr>
                <w:sz w:val="13"/>
              </w:rPr>
            </w:pPr>
            <w:r>
              <w:rPr>
                <w:w w:val="105"/>
                <w:sz w:val="13"/>
              </w:rPr>
              <w:t>Recognised</w:t>
            </w:r>
            <w:r>
              <w:rPr>
                <w:spacing w:val="-10"/>
                <w:w w:val="105"/>
                <w:sz w:val="13"/>
              </w:rPr>
              <w:t> </w:t>
            </w:r>
            <w:r>
              <w:rPr>
                <w:w w:val="105"/>
                <w:sz w:val="13"/>
              </w:rPr>
              <w:t>in</w:t>
            </w:r>
            <w:r>
              <w:rPr>
                <w:spacing w:val="-9"/>
                <w:w w:val="105"/>
                <w:sz w:val="13"/>
              </w:rPr>
              <w:t> </w:t>
            </w:r>
            <w:r>
              <w:rPr>
                <w:w w:val="105"/>
                <w:sz w:val="13"/>
              </w:rPr>
              <w:t>other</w:t>
            </w:r>
            <w:r>
              <w:rPr>
                <w:spacing w:val="-8"/>
                <w:w w:val="105"/>
                <w:sz w:val="13"/>
              </w:rPr>
              <w:t> </w:t>
            </w:r>
            <w:r>
              <w:rPr>
                <w:w w:val="105"/>
                <w:sz w:val="13"/>
              </w:rPr>
              <w:t>comprehensive</w:t>
            </w:r>
            <w:r>
              <w:rPr>
                <w:spacing w:val="-9"/>
                <w:w w:val="105"/>
                <w:sz w:val="13"/>
              </w:rPr>
              <w:t> </w:t>
            </w:r>
            <w:r>
              <w:rPr>
                <w:spacing w:val="-2"/>
                <w:w w:val="105"/>
                <w:sz w:val="13"/>
              </w:rPr>
              <w:t>income</w:t>
            </w:r>
            <w:r>
              <w:rPr>
                <w:sz w:val="13"/>
              </w:rPr>
              <w:tab/>
            </w:r>
            <w:r>
              <w:rPr>
                <w:sz w:val="13"/>
                <w:u w:val="single"/>
              </w:rPr>
              <w:tab/>
            </w:r>
            <w:r>
              <w:rPr>
                <w:spacing w:val="-10"/>
                <w:w w:val="105"/>
                <w:sz w:val="13"/>
                <w:u w:val="single"/>
              </w:rPr>
              <w:t>-</w:t>
            </w:r>
            <w:r>
              <w:rPr>
                <w:sz w:val="13"/>
                <w:u w:val="single"/>
              </w:rPr>
              <w:tab/>
            </w:r>
            <w:r>
              <w:rPr>
                <w:spacing w:val="-10"/>
                <w:w w:val="105"/>
                <w:sz w:val="13"/>
                <w:u w:val="single"/>
              </w:rPr>
              <w:t>-</w:t>
            </w:r>
            <w:r>
              <w:rPr>
                <w:spacing w:val="80"/>
                <w:w w:val="105"/>
                <w:sz w:val="13"/>
                <w:u w:val="single"/>
              </w:rPr>
              <w:t> </w:t>
            </w:r>
          </w:p>
        </w:tc>
      </w:tr>
      <w:tr>
        <w:trPr>
          <w:trHeight w:val="173" w:hRule="atLeast"/>
        </w:trPr>
        <w:tc>
          <w:tcPr>
            <w:tcW w:w="6076" w:type="dxa"/>
          </w:tcPr>
          <w:p>
            <w:pPr>
              <w:pStyle w:val="TableParagraph"/>
              <w:spacing w:line="130" w:lineRule="exact" w:before="18"/>
              <w:ind w:left="541"/>
              <w:rPr>
                <w:b/>
                <w:sz w:val="13"/>
              </w:rPr>
            </w:pPr>
            <w:r>
              <w:rPr>
                <w:b/>
                <w:w w:val="105"/>
                <w:sz w:val="13"/>
              </w:rPr>
              <w:t>Closing</w:t>
            </w:r>
            <w:r>
              <w:rPr>
                <w:b/>
                <w:spacing w:val="-5"/>
                <w:w w:val="105"/>
                <w:sz w:val="13"/>
              </w:rPr>
              <w:t> </w:t>
            </w:r>
            <w:r>
              <w:rPr>
                <w:b/>
                <w:spacing w:val="-2"/>
                <w:w w:val="105"/>
                <w:sz w:val="13"/>
              </w:rPr>
              <w:t>balance</w:t>
            </w:r>
          </w:p>
        </w:tc>
        <w:tc>
          <w:tcPr>
            <w:tcW w:w="919" w:type="dxa"/>
            <w:tcBorders>
              <w:bottom w:val="single" w:sz="6" w:space="0" w:color="000000"/>
            </w:tcBorders>
          </w:tcPr>
          <w:p>
            <w:pPr>
              <w:pStyle w:val="TableParagraph"/>
              <w:spacing w:line="145" w:lineRule="exact" w:before="2"/>
              <w:jc w:val="right"/>
              <w:rPr>
                <w:b/>
                <w:sz w:val="13"/>
              </w:rPr>
            </w:pPr>
            <w:r>
              <w:rPr>
                <w:b/>
                <w:spacing w:val="-2"/>
                <w:w w:val="105"/>
                <w:sz w:val="13"/>
              </w:rPr>
              <w:t>56,964</w:t>
            </w:r>
          </w:p>
        </w:tc>
        <w:tc>
          <w:tcPr>
            <w:tcW w:w="1026" w:type="dxa"/>
            <w:gridSpan w:val="2"/>
            <w:tcBorders>
              <w:bottom w:val="single" w:sz="6" w:space="0" w:color="000000"/>
            </w:tcBorders>
          </w:tcPr>
          <w:p>
            <w:pPr>
              <w:pStyle w:val="TableParagraph"/>
              <w:spacing w:line="145" w:lineRule="exact" w:before="2"/>
              <w:ind w:left="535"/>
              <w:rPr>
                <w:b/>
                <w:sz w:val="13"/>
              </w:rPr>
            </w:pPr>
            <w:r>
              <w:rPr>
                <w:b/>
                <w:spacing w:val="-2"/>
                <w:w w:val="105"/>
                <w:sz w:val="13"/>
              </w:rPr>
              <w:t>46,959</w:t>
            </w:r>
          </w:p>
        </w:tc>
      </w:tr>
      <w:tr>
        <w:trPr>
          <w:trHeight w:val="157" w:hRule="atLeast"/>
        </w:trPr>
        <w:tc>
          <w:tcPr>
            <w:tcW w:w="6076" w:type="dxa"/>
          </w:tcPr>
          <w:p>
            <w:pPr>
              <w:pStyle w:val="TableParagraph"/>
              <w:rPr>
                <w:rFonts w:ascii="Times New Roman"/>
                <w:sz w:val="10"/>
              </w:rPr>
            </w:pPr>
          </w:p>
        </w:tc>
        <w:tc>
          <w:tcPr>
            <w:tcW w:w="919" w:type="dxa"/>
            <w:tcBorders>
              <w:top w:val="single" w:sz="6" w:space="0" w:color="000000"/>
              <w:bottom w:val="single" w:sz="6" w:space="0" w:color="000000"/>
            </w:tcBorders>
          </w:tcPr>
          <w:p>
            <w:pPr>
              <w:pStyle w:val="TableParagraph"/>
              <w:rPr>
                <w:rFonts w:ascii="Times New Roman"/>
                <w:sz w:val="10"/>
              </w:rPr>
            </w:pPr>
          </w:p>
        </w:tc>
        <w:tc>
          <w:tcPr>
            <w:tcW w:w="1026" w:type="dxa"/>
            <w:gridSpan w:val="2"/>
            <w:tcBorders>
              <w:top w:val="single" w:sz="6" w:space="0" w:color="000000"/>
              <w:bottom w:val="single" w:sz="6" w:space="0" w:color="000000"/>
            </w:tcBorders>
          </w:tcPr>
          <w:p>
            <w:pPr>
              <w:pStyle w:val="TableParagraph"/>
              <w:rPr>
                <w:rFonts w:ascii="Times New Roman"/>
                <w:sz w:val="10"/>
              </w:rPr>
            </w:pPr>
          </w:p>
        </w:tc>
      </w:tr>
      <w:tr>
        <w:trPr>
          <w:trHeight w:val="161" w:hRule="atLeast"/>
        </w:trPr>
        <w:tc>
          <w:tcPr>
            <w:tcW w:w="6076" w:type="dxa"/>
          </w:tcPr>
          <w:p>
            <w:pPr>
              <w:pStyle w:val="TableParagraph"/>
              <w:spacing w:line="136" w:lineRule="exact" w:before="5"/>
              <w:ind w:left="541"/>
              <w:rPr>
                <w:sz w:val="13"/>
              </w:rPr>
            </w:pPr>
            <w:r>
              <w:rPr>
                <w:w w:val="105"/>
                <w:sz w:val="13"/>
              </w:rPr>
              <w:t>*Unrealised</w:t>
            </w:r>
            <w:r>
              <w:rPr>
                <w:spacing w:val="-8"/>
                <w:w w:val="105"/>
                <w:sz w:val="13"/>
              </w:rPr>
              <w:t> </w:t>
            </w:r>
            <w:r>
              <w:rPr>
                <w:w w:val="105"/>
                <w:sz w:val="13"/>
              </w:rPr>
              <w:t>gains/(losses)</w:t>
            </w:r>
            <w:r>
              <w:rPr>
                <w:spacing w:val="-6"/>
                <w:w w:val="105"/>
                <w:sz w:val="13"/>
              </w:rPr>
              <w:t> </w:t>
            </w:r>
            <w:r>
              <w:rPr>
                <w:w w:val="105"/>
                <w:sz w:val="13"/>
              </w:rPr>
              <w:t>recognised</w:t>
            </w:r>
            <w:r>
              <w:rPr>
                <w:spacing w:val="-7"/>
                <w:w w:val="105"/>
                <w:sz w:val="13"/>
              </w:rPr>
              <w:t> </w:t>
            </w:r>
            <w:r>
              <w:rPr>
                <w:w w:val="105"/>
                <w:sz w:val="13"/>
              </w:rPr>
              <w:t>in</w:t>
            </w:r>
            <w:r>
              <w:rPr>
                <w:spacing w:val="-7"/>
                <w:w w:val="105"/>
                <w:sz w:val="13"/>
              </w:rPr>
              <w:t> </w:t>
            </w:r>
            <w:r>
              <w:rPr>
                <w:w w:val="105"/>
                <w:sz w:val="13"/>
              </w:rPr>
              <w:t>profit</w:t>
            </w:r>
            <w:r>
              <w:rPr>
                <w:spacing w:val="-7"/>
                <w:w w:val="105"/>
                <w:sz w:val="13"/>
              </w:rPr>
              <w:t> </w:t>
            </w:r>
            <w:r>
              <w:rPr>
                <w:w w:val="105"/>
                <w:sz w:val="13"/>
              </w:rPr>
              <w:t>or</w:t>
            </w:r>
            <w:r>
              <w:rPr>
                <w:spacing w:val="-5"/>
                <w:w w:val="105"/>
                <w:sz w:val="13"/>
              </w:rPr>
              <w:t> </w:t>
            </w:r>
            <w:r>
              <w:rPr>
                <w:w w:val="105"/>
                <w:sz w:val="13"/>
              </w:rPr>
              <w:t>loss</w:t>
            </w:r>
            <w:r>
              <w:rPr>
                <w:spacing w:val="-7"/>
                <w:w w:val="105"/>
                <w:sz w:val="13"/>
              </w:rPr>
              <w:t> </w:t>
            </w:r>
            <w:r>
              <w:rPr>
                <w:w w:val="105"/>
                <w:sz w:val="13"/>
              </w:rPr>
              <w:t>attributable</w:t>
            </w:r>
            <w:r>
              <w:rPr>
                <w:spacing w:val="-7"/>
                <w:w w:val="105"/>
                <w:sz w:val="13"/>
              </w:rPr>
              <w:t> </w:t>
            </w:r>
            <w:r>
              <w:rPr>
                <w:w w:val="105"/>
                <w:sz w:val="13"/>
              </w:rPr>
              <w:t>to</w:t>
            </w:r>
            <w:r>
              <w:rPr>
                <w:spacing w:val="-8"/>
                <w:w w:val="105"/>
                <w:sz w:val="13"/>
              </w:rPr>
              <w:t> </w:t>
            </w:r>
            <w:r>
              <w:rPr>
                <w:spacing w:val="-2"/>
                <w:w w:val="105"/>
                <w:sz w:val="13"/>
              </w:rPr>
              <w:t>assets</w:t>
            </w:r>
          </w:p>
        </w:tc>
        <w:tc>
          <w:tcPr>
            <w:tcW w:w="919" w:type="dxa"/>
            <w:tcBorders>
              <w:top w:val="single" w:sz="6" w:space="0" w:color="000000"/>
            </w:tcBorders>
          </w:tcPr>
          <w:p>
            <w:pPr>
              <w:pStyle w:val="TableParagraph"/>
              <w:rPr>
                <w:rFonts w:ascii="Times New Roman"/>
                <w:sz w:val="10"/>
              </w:rPr>
            </w:pPr>
          </w:p>
        </w:tc>
        <w:tc>
          <w:tcPr>
            <w:tcW w:w="1026" w:type="dxa"/>
            <w:gridSpan w:val="2"/>
            <w:tcBorders>
              <w:top w:val="single" w:sz="6" w:space="0" w:color="000000"/>
            </w:tcBorders>
          </w:tcPr>
          <w:p>
            <w:pPr>
              <w:pStyle w:val="TableParagraph"/>
              <w:rPr>
                <w:rFonts w:ascii="Times New Roman"/>
                <w:sz w:val="10"/>
              </w:rPr>
            </w:pPr>
          </w:p>
        </w:tc>
      </w:tr>
      <w:tr>
        <w:trPr>
          <w:trHeight w:val="172" w:hRule="atLeast"/>
        </w:trPr>
        <w:tc>
          <w:tcPr>
            <w:tcW w:w="6076" w:type="dxa"/>
          </w:tcPr>
          <w:p>
            <w:pPr>
              <w:pStyle w:val="TableParagraph"/>
              <w:spacing w:line="139" w:lineRule="exact" w:before="14"/>
              <w:ind w:left="541"/>
              <w:rPr>
                <w:sz w:val="13"/>
              </w:rPr>
            </w:pPr>
            <w:r>
              <w:rPr>
                <w:w w:val="105"/>
                <w:sz w:val="13"/>
              </w:rPr>
              <w:t>held</w:t>
            </w:r>
            <w:r>
              <w:rPr>
                <w:spacing w:val="-6"/>
                <w:w w:val="105"/>
                <w:sz w:val="13"/>
              </w:rPr>
              <w:t> </w:t>
            </w:r>
            <w:r>
              <w:rPr>
                <w:w w:val="105"/>
                <w:sz w:val="13"/>
              </w:rPr>
              <w:t>at</w:t>
            </w:r>
            <w:r>
              <w:rPr>
                <w:spacing w:val="-5"/>
                <w:w w:val="105"/>
                <w:sz w:val="13"/>
              </w:rPr>
              <w:t> </w:t>
            </w:r>
            <w:r>
              <w:rPr>
                <w:w w:val="105"/>
                <w:sz w:val="13"/>
              </w:rPr>
              <w:t>the</w:t>
            </w:r>
            <w:r>
              <w:rPr>
                <w:spacing w:val="-5"/>
                <w:w w:val="105"/>
                <w:sz w:val="13"/>
              </w:rPr>
              <w:t> </w:t>
            </w:r>
            <w:r>
              <w:rPr>
                <w:w w:val="105"/>
                <w:sz w:val="13"/>
              </w:rPr>
              <w:t>end</w:t>
            </w:r>
            <w:r>
              <w:rPr>
                <w:spacing w:val="-6"/>
                <w:w w:val="105"/>
                <w:sz w:val="13"/>
              </w:rPr>
              <w:t> </w:t>
            </w:r>
            <w:r>
              <w:rPr>
                <w:w w:val="105"/>
                <w:sz w:val="13"/>
              </w:rPr>
              <w:t>of</w:t>
            </w:r>
            <w:r>
              <w:rPr>
                <w:spacing w:val="-3"/>
                <w:w w:val="105"/>
                <w:sz w:val="13"/>
              </w:rPr>
              <w:t> </w:t>
            </w:r>
            <w:r>
              <w:rPr>
                <w:w w:val="105"/>
                <w:sz w:val="13"/>
              </w:rPr>
              <w:t>the</w:t>
            </w:r>
            <w:r>
              <w:rPr>
                <w:spacing w:val="-6"/>
                <w:w w:val="105"/>
                <w:sz w:val="13"/>
              </w:rPr>
              <w:t> </w:t>
            </w:r>
            <w:r>
              <w:rPr>
                <w:w w:val="105"/>
                <w:sz w:val="13"/>
              </w:rPr>
              <w:t>reporting</w:t>
            </w:r>
            <w:r>
              <w:rPr>
                <w:spacing w:val="-5"/>
                <w:w w:val="105"/>
                <w:sz w:val="13"/>
              </w:rPr>
              <w:t> </w:t>
            </w:r>
            <w:r>
              <w:rPr>
                <w:spacing w:val="-2"/>
                <w:w w:val="105"/>
                <w:sz w:val="13"/>
              </w:rPr>
              <w:t>period</w:t>
            </w:r>
          </w:p>
        </w:tc>
        <w:tc>
          <w:tcPr>
            <w:tcW w:w="919" w:type="dxa"/>
            <w:tcBorders>
              <w:bottom w:val="single" w:sz="6" w:space="0" w:color="000000"/>
            </w:tcBorders>
          </w:tcPr>
          <w:p>
            <w:pPr>
              <w:pStyle w:val="TableParagraph"/>
              <w:spacing w:line="145" w:lineRule="exact" w:before="7"/>
              <w:jc w:val="right"/>
              <w:rPr>
                <w:sz w:val="13"/>
              </w:rPr>
            </w:pPr>
            <w:r>
              <w:rPr>
                <w:spacing w:val="-2"/>
                <w:w w:val="105"/>
                <w:sz w:val="13"/>
              </w:rPr>
              <w:t>10,005</w:t>
            </w:r>
          </w:p>
        </w:tc>
        <w:tc>
          <w:tcPr>
            <w:tcW w:w="1026" w:type="dxa"/>
            <w:gridSpan w:val="2"/>
            <w:tcBorders>
              <w:bottom w:val="single" w:sz="6" w:space="0" w:color="000000"/>
            </w:tcBorders>
          </w:tcPr>
          <w:p>
            <w:pPr>
              <w:pStyle w:val="TableParagraph"/>
              <w:spacing w:line="145" w:lineRule="exact" w:before="7"/>
              <w:ind w:left="535"/>
              <w:rPr>
                <w:sz w:val="13"/>
              </w:rPr>
            </w:pPr>
            <w:r>
              <w:rPr>
                <w:spacing w:val="-2"/>
                <w:w w:val="105"/>
                <w:sz w:val="13"/>
              </w:rPr>
              <w:t>16,625</w:t>
            </w:r>
          </w:p>
        </w:tc>
      </w:tr>
    </w:tbl>
    <w:p>
      <w:pPr>
        <w:spacing w:line="240" w:lineRule="auto" w:before="48"/>
        <w:rPr>
          <w:sz w:val="12"/>
        </w:rPr>
      </w:pPr>
    </w:p>
    <w:p>
      <w:pPr>
        <w:spacing w:line="273" w:lineRule="auto" w:before="0"/>
        <w:ind w:left="651" w:right="291" w:firstLine="0"/>
        <w:jc w:val="both"/>
        <w:rPr>
          <w:sz w:val="13"/>
        </w:rPr>
      </w:pPr>
      <w:r>
        <w:rPr>
          <w:w w:val="105"/>
          <w:sz w:val="13"/>
        </w:rPr>
        <w:t>Under</w:t>
      </w:r>
      <w:r>
        <w:rPr>
          <w:spacing w:val="-1"/>
          <w:w w:val="105"/>
          <w:sz w:val="13"/>
        </w:rPr>
        <w:t> </w:t>
      </w:r>
      <w:r>
        <w:rPr>
          <w:w w:val="105"/>
          <w:sz w:val="13"/>
        </w:rPr>
        <w:t>AASB</w:t>
      </w:r>
      <w:r>
        <w:rPr>
          <w:spacing w:val="-3"/>
          <w:w w:val="105"/>
          <w:sz w:val="13"/>
        </w:rPr>
        <w:t> </w:t>
      </w:r>
      <w:r>
        <w:rPr>
          <w:w w:val="105"/>
          <w:sz w:val="13"/>
        </w:rPr>
        <w:t>139,</w:t>
      </w:r>
      <w:r>
        <w:rPr>
          <w:spacing w:val="-2"/>
          <w:w w:val="105"/>
          <w:sz w:val="13"/>
        </w:rPr>
        <w:t> </w:t>
      </w:r>
      <w:r>
        <w:rPr>
          <w:w w:val="105"/>
          <w:sz w:val="13"/>
        </w:rPr>
        <w:t>equity</w:t>
      </w:r>
      <w:r>
        <w:rPr>
          <w:spacing w:val="-6"/>
          <w:w w:val="105"/>
          <w:sz w:val="13"/>
        </w:rPr>
        <w:t> </w:t>
      </w:r>
      <w:r>
        <w:rPr>
          <w:w w:val="105"/>
          <w:sz w:val="13"/>
        </w:rPr>
        <w:t>instruments</w:t>
      </w:r>
      <w:r>
        <w:rPr>
          <w:spacing w:val="-2"/>
          <w:w w:val="105"/>
          <w:sz w:val="13"/>
        </w:rPr>
        <w:t> </w:t>
      </w:r>
      <w:r>
        <w:rPr>
          <w:w w:val="105"/>
          <w:sz w:val="13"/>
        </w:rPr>
        <w:t>that</w:t>
      </w:r>
      <w:r>
        <w:rPr>
          <w:spacing w:val="-3"/>
          <w:w w:val="105"/>
          <w:sz w:val="13"/>
        </w:rPr>
        <w:t> </w:t>
      </w:r>
      <w:r>
        <w:rPr>
          <w:w w:val="105"/>
          <w:sz w:val="13"/>
        </w:rPr>
        <w:t>did</w:t>
      </w:r>
      <w:r>
        <w:rPr>
          <w:spacing w:val="-3"/>
          <w:w w:val="105"/>
          <w:sz w:val="13"/>
        </w:rPr>
        <w:t> </w:t>
      </w:r>
      <w:r>
        <w:rPr>
          <w:w w:val="105"/>
          <w:sz w:val="13"/>
        </w:rPr>
        <w:t>not</w:t>
      </w:r>
      <w:r>
        <w:rPr>
          <w:spacing w:val="-2"/>
          <w:w w:val="105"/>
          <w:sz w:val="13"/>
        </w:rPr>
        <w:t> </w:t>
      </w:r>
      <w:r>
        <w:rPr>
          <w:w w:val="105"/>
          <w:sz w:val="13"/>
        </w:rPr>
        <w:t>have</w:t>
      </w:r>
      <w:r>
        <w:rPr>
          <w:spacing w:val="-3"/>
          <w:w w:val="105"/>
          <w:sz w:val="13"/>
        </w:rPr>
        <w:t> </w:t>
      </w:r>
      <w:r>
        <w:rPr>
          <w:w w:val="105"/>
          <w:sz w:val="13"/>
        </w:rPr>
        <w:t>an</w:t>
      </w:r>
      <w:r>
        <w:rPr>
          <w:spacing w:val="-3"/>
          <w:w w:val="105"/>
          <w:sz w:val="13"/>
        </w:rPr>
        <w:t> </w:t>
      </w:r>
      <w:r>
        <w:rPr>
          <w:w w:val="105"/>
          <w:sz w:val="13"/>
        </w:rPr>
        <w:t>active</w:t>
      </w:r>
      <w:r>
        <w:rPr>
          <w:spacing w:val="-3"/>
          <w:w w:val="105"/>
          <w:sz w:val="13"/>
        </w:rPr>
        <w:t> </w:t>
      </w:r>
      <w:r>
        <w:rPr>
          <w:w w:val="105"/>
          <w:sz w:val="13"/>
        </w:rPr>
        <w:t>market</w:t>
      </w:r>
      <w:r>
        <w:rPr>
          <w:spacing w:val="-3"/>
          <w:w w:val="105"/>
          <w:sz w:val="13"/>
        </w:rPr>
        <w:t> </w:t>
      </w:r>
      <w:r>
        <w:rPr>
          <w:w w:val="105"/>
          <w:sz w:val="13"/>
        </w:rPr>
        <w:t>and</w:t>
      </w:r>
      <w:r>
        <w:rPr>
          <w:spacing w:val="-3"/>
          <w:w w:val="105"/>
          <w:sz w:val="13"/>
        </w:rPr>
        <w:t> </w:t>
      </w:r>
      <w:r>
        <w:rPr>
          <w:w w:val="105"/>
          <w:sz w:val="13"/>
        </w:rPr>
        <w:t>whose</w:t>
      </w:r>
      <w:r>
        <w:rPr>
          <w:spacing w:val="-3"/>
          <w:w w:val="105"/>
          <w:sz w:val="13"/>
        </w:rPr>
        <w:t> </w:t>
      </w:r>
      <w:r>
        <w:rPr>
          <w:w w:val="105"/>
          <w:sz w:val="13"/>
        </w:rPr>
        <w:t>fair</w:t>
      </w:r>
      <w:r>
        <w:rPr>
          <w:spacing w:val="-1"/>
          <w:w w:val="105"/>
          <w:sz w:val="13"/>
        </w:rPr>
        <w:t> </w:t>
      </w:r>
      <w:r>
        <w:rPr>
          <w:w w:val="105"/>
          <w:sz w:val="13"/>
        </w:rPr>
        <w:t>value</w:t>
      </w:r>
      <w:r>
        <w:rPr>
          <w:spacing w:val="-3"/>
          <w:w w:val="105"/>
          <w:sz w:val="13"/>
        </w:rPr>
        <w:t> </w:t>
      </w:r>
      <w:r>
        <w:rPr>
          <w:w w:val="105"/>
          <w:sz w:val="13"/>
        </w:rPr>
        <w:t>could</w:t>
      </w:r>
      <w:r>
        <w:rPr>
          <w:spacing w:val="-3"/>
          <w:w w:val="105"/>
          <w:sz w:val="13"/>
        </w:rPr>
        <w:t> </w:t>
      </w:r>
      <w:r>
        <w:rPr>
          <w:w w:val="105"/>
          <w:sz w:val="13"/>
        </w:rPr>
        <w:t>not</w:t>
      </w:r>
      <w:r>
        <w:rPr>
          <w:spacing w:val="-2"/>
          <w:w w:val="105"/>
          <w:sz w:val="13"/>
        </w:rPr>
        <w:t> </w:t>
      </w:r>
      <w:r>
        <w:rPr>
          <w:w w:val="105"/>
          <w:sz w:val="13"/>
        </w:rPr>
        <w:t>be</w:t>
      </w:r>
      <w:r>
        <w:rPr>
          <w:spacing w:val="-3"/>
          <w:w w:val="105"/>
          <w:sz w:val="13"/>
        </w:rPr>
        <w:t> </w:t>
      </w:r>
      <w:r>
        <w:rPr>
          <w:w w:val="105"/>
          <w:sz w:val="13"/>
        </w:rPr>
        <w:t>reliably</w:t>
      </w:r>
      <w:r>
        <w:rPr>
          <w:spacing w:val="-6"/>
          <w:w w:val="105"/>
          <w:sz w:val="13"/>
        </w:rPr>
        <w:t> </w:t>
      </w:r>
      <w:r>
        <w:rPr>
          <w:w w:val="105"/>
          <w:sz w:val="13"/>
        </w:rPr>
        <w:t>measured</w:t>
      </w:r>
      <w:r>
        <w:rPr>
          <w:spacing w:val="-3"/>
          <w:w w:val="105"/>
          <w:sz w:val="13"/>
        </w:rPr>
        <w:t> </w:t>
      </w:r>
      <w:r>
        <w:rPr>
          <w:w w:val="105"/>
          <w:sz w:val="13"/>
        </w:rPr>
        <w:t>were</w:t>
      </w:r>
      <w:r>
        <w:rPr>
          <w:spacing w:val="-3"/>
          <w:w w:val="105"/>
          <w:sz w:val="13"/>
        </w:rPr>
        <w:t> </w:t>
      </w:r>
      <w:r>
        <w:rPr>
          <w:w w:val="105"/>
          <w:sz w:val="13"/>
        </w:rPr>
        <w:t>classified</w:t>
      </w:r>
      <w:r>
        <w:rPr>
          <w:spacing w:val="40"/>
          <w:w w:val="105"/>
          <w:sz w:val="13"/>
        </w:rPr>
        <w:t> </w:t>
      </w:r>
      <w:r>
        <w:rPr>
          <w:w w:val="105"/>
          <w:sz w:val="13"/>
        </w:rPr>
        <w:t>as available-for-sale financial assets, with gains/(losses) recognised in other comprehensive income. As part of the adoption of AASB 9,</w:t>
      </w:r>
      <w:r>
        <w:rPr>
          <w:spacing w:val="40"/>
          <w:w w:val="105"/>
          <w:sz w:val="13"/>
        </w:rPr>
        <w:t> </w:t>
      </w:r>
      <w:r>
        <w:rPr>
          <w:w w:val="105"/>
          <w:sz w:val="13"/>
        </w:rPr>
        <w:t>these assets have been reclassified to other financial assets at fair value through profit and loss.</w:t>
      </w:r>
    </w:p>
    <w:p>
      <w:pPr>
        <w:spacing w:line="240" w:lineRule="auto" w:before="52"/>
        <w:rPr>
          <w:sz w:val="13"/>
        </w:rPr>
      </w:pPr>
    </w:p>
    <w:p>
      <w:pPr>
        <w:pStyle w:val="ListParagraph"/>
        <w:numPr>
          <w:ilvl w:val="0"/>
          <w:numId w:val="40"/>
        </w:numPr>
        <w:tabs>
          <w:tab w:pos="817" w:val="left" w:leader="none"/>
        </w:tabs>
        <w:spacing w:line="240" w:lineRule="auto" w:before="0" w:after="0"/>
        <w:ind w:left="817" w:right="0" w:hanging="166"/>
        <w:jc w:val="left"/>
        <w:rPr>
          <w:b/>
          <w:sz w:val="13"/>
        </w:rPr>
      </w:pPr>
      <w:r>
        <w:rPr>
          <w:b/>
          <w:w w:val="105"/>
          <w:sz w:val="13"/>
        </w:rPr>
        <w:t>Transfers</w:t>
      </w:r>
      <w:r>
        <w:rPr>
          <w:b/>
          <w:spacing w:val="-8"/>
          <w:w w:val="105"/>
          <w:sz w:val="13"/>
        </w:rPr>
        <w:t> </w:t>
      </w:r>
      <w:r>
        <w:rPr>
          <w:b/>
          <w:w w:val="105"/>
          <w:sz w:val="13"/>
        </w:rPr>
        <w:t>between</w:t>
      </w:r>
      <w:r>
        <w:rPr>
          <w:b/>
          <w:spacing w:val="-7"/>
          <w:w w:val="105"/>
          <w:sz w:val="13"/>
        </w:rPr>
        <w:t> </w:t>
      </w:r>
      <w:r>
        <w:rPr>
          <w:b/>
          <w:w w:val="105"/>
          <w:sz w:val="13"/>
        </w:rPr>
        <w:t>categories</w:t>
      </w:r>
      <w:r>
        <w:rPr>
          <w:b/>
          <w:spacing w:val="-8"/>
          <w:w w:val="105"/>
          <w:sz w:val="13"/>
        </w:rPr>
        <w:t> </w:t>
      </w:r>
      <w:r>
        <w:rPr>
          <w:b/>
          <w:w w:val="105"/>
          <w:sz w:val="13"/>
        </w:rPr>
        <w:t>and</w:t>
      </w:r>
      <w:r>
        <w:rPr>
          <w:b/>
          <w:spacing w:val="-7"/>
          <w:w w:val="105"/>
          <w:sz w:val="13"/>
        </w:rPr>
        <w:t> </w:t>
      </w:r>
      <w:r>
        <w:rPr>
          <w:b/>
          <w:w w:val="105"/>
          <w:sz w:val="13"/>
        </w:rPr>
        <w:t>changes</w:t>
      </w:r>
      <w:r>
        <w:rPr>
          <w:b/>
          <w:spacing w:val="-7"/>
          <w:w w:val="105"/>
          <w:sz w:val="13"/>
        </w:rPr>
        <w:t> </w:t>
      </w:r>
      <w:r>
        <w:rPr>
          <w:b/>
          <w:w w:val="105"/>
          <w:sz w:val="13"/>
        </w:rPr>
        <w:t>in</w:t>
      </w:r>
      <w:r>
        <w:rPr>
          <w:b/>
          <w:spacing w:val="-7"/>
          <w:w w:val="105"/>
          <w:sz w:val="13"/>
        </w:rPr>
        <w:t> </w:t>
      </w:r>
      <w:r>
        <w:rPr>
          <w:b/>
          <w:w w:val="105"/>
          <w:sz w:val="13"/>
        </w:rPr>
        <w:t>valuation</w:t>
      </w:r>
      <w:r>
        <w:rPr>
          <w:b/>
          <w:spacing w:val="-7"/>
          <w:w w:val="105"/>
          <w:sz w:val="13"/>
        </w:rPr>
        <w:t> </w:t>
      </w:r>
      <w:r>
        <w:rPr>
          <w:b/>
          <w:spacing w:val="-2"/>
          <w:w w:val="105"/>
          <w:sz w:val="13"/>
        </w:rPr>
        <w:t>techniques</w:t>
      </w:r>
    </w:p>
    <w:p>
      <w:pPr>
        <w:spacing w:before="21"/>
        <w:ind w:left="651" w:right="0" w:firstLine="0"/>
        <w:jc w:val="left"/>
        <w:rPr>
          <w:sz w:val="13"/>
        </w:rPr>
      </w:pPr>
      <w:r>
        <w:rPr>
          <w:w w:val="105"/>
          <w:sz w:val="13"/>
        </w:rPr>
        <w:t>There</w:t>
      </w:r>
      <w:r>
        <w:rPr>
          <w:spacing w:val="-9"/>
          <w:w w:val="105"/>
          <w:sz w:val="13"/>
        </w:rPr>
        <w:t> </w:t>
      </w:r>
      <w:r>
        <w:rPr>
          <w:w w:val="105"/>
          <w:sz w:val="13"/>
        </w:rPr>
        <w:t>were</w:t>
      </w:r>
      <w:r>
        <w:rPr>
          <w:spacing w:val="-8"/>
          <w:w w:val="105"/>
          <w:sz w:val="13"/>
        </w:rPr>
        <w:t> </w:t>
      </w:r>
      <w:r>
        <w:rPr>
          <w:w w:val="105"/>
          <w:sz w:val="13"/>
        </w:rPr>
        <w:t>no</w:t>
      </w:r>
      <w:r>
        <w:rPr>
          <w:spacing w:val="-9"/>
          <w:w w:val="105"/>
          <w:sz w:val="13"/>
        </w:rPr>
        <w:t> </w:t>
      </w:r>
      <w:r>
        <w:rPr>
          <w:w w:val="105"/>
          <w:sz w:val="13"/>
        </w:rPr>
        <w:t>transfers</w:t>
      </w:r>
      <w:r>
        <w:rPr>
          <w:spacing w:val="-7"/>
          <w:w w:val="105"/>
          <w:sz w:val="13"/>
        </w:rPr>
        <w:t> </w:t>
      </w:r>
      <w:r>
        <w:rPr>
          <w:w w:val="105"/>
          <w:sz w:val="13"/>
        </w:rPr>
        <w:t>between</w:t>
      </w:r>
      <w:r>
        <w:rPr>
          <w:spacing w:val="-8"/>
          <w:w w:val="105"/>
          <w:sz w:val="13"/>
        </w:rPr>
        <w:t> </w:t>
      </w:r>
      <w:r>
        <w:rPr>
          <w:w w:val="105"/>
          <w:sz w:val="13"/>
        </w:rPr>
        <w:t>categories</w:t>
      </w:r>
      <w:r>
        <w:rPr>
          <w:spacing w:val="-8"/>
          <w:w w:val="105"/>
          <w:sz w:val="13"/>
        </w:rPr>
        <w:t> </w:t>
      </w:r>
      <w:r>
        <w:rPr>
          <w:w w:val="105"/>
          <w:sz w:val="13"/>
        </w:rPr>
        <w:t>or</w:t>
      </w:r>
      <w:r>
        <w:rPr>
          <w:spacing w:val="-7"/>
          <w:w w:val="105"/>
          <w:sz w:val="13"/>
        </w:rPr>
        <w:t> </w:t>
      </w:r>
      <w:r>
        <w:rPr>
          <w:w w:val="105"/>
          <w:sz w:val="13"/>
        </w:rPr>
        <w:t>changes</w:t>
      </w:r>
      <w:r>
        <w:rPr>
          <w:spacing w:val="-7"/>
          <w:w w:val="105"/>
          <w:sz w:val="13"/>
        </w:rPr>
        <w:t> </w:t>
      </w:r>
      <w:r>
        <w:rPr>
          <w:w w:val="105"/>
          <w:sz w:val="13"/>
        </w:rPr>
        <w:t>in</w:t>
      </w:r>
      <w:r>
        <w:rPr>
          <w:spacing w:val="-8"/>
          <w:w w:val="105"/>
          <w:sz w:val="13"/>
        </w:rPr>
        <w:t> </w:t>
      </w:r>
      <w:r>
        <w:rPr>
          <w:w w:val="105"/>
          <w:sz w:val="13"/>
        </w:rPr>
        <w:t>valuation</w:t>
      </w:r>
      <w:r>
        <w:rPr>
          <w:spacing w:val="-9"/>
          <w:w w:val="105"/>
          <w:sz w:val="13"/>
        </w:rPr>
        <w:t> </w:t>
      </w:r>
      <w:r>
        <w:rPr>
          <w:w w:val="105"/>
          <w:sz w:val="13"/>
        </w:rPr>
        <w:t>techniques</w:t>
      </w:r>
      <w:r>
        <w:rPr>
          <w:spacing w:val="-7"/>
          <w:w w:val="105"/>
          <w:sz w:val="13"/>
        </w:rPr>
        <w:t> </w:t>
      </w:r>
      <w:r>
        <w:rPr>
          <w:w w:val="105"/>
          <w:sz w:val="13"/>
        </w:rPr>
        <w:t>during</w:t>
      </w:r>
      <w:r>
        <w:rPr>
          <w:spacing w:val="-9"/>
          <w:w w:val="105"/>
          <w:sz w:val="13"/>
        </w:rPr>
        <w:t> </w:t>
      </w:r>
      <w:r>
        <w:rPr>
          <w:w w:val="105"/>
          <w:sz w:val="13"/>
        </w:rPr>
        <w:t>the</w:t>
      </w:r>
      <w:r>
        <w:rPr>
          <w:spacing w:val="-8"/>
          <w:w w:val="105"/>
          <w:sz w:val="13"/>
        </w:rPr>
        <w:t> </w:t>
      </w:r>
      <w:r>
        <w:rPr>
          <w:spacing w:val="-2"/>
          <w:w w:val="105"/>
          <w:sz w:val="13"/>
        </w:rPr>
        <w:t>year.</w:t>
      </w:r>
    </w:p>
    <w:p>
      <w:pPr>
        <w:spacing w:line="240" w:lineRule="auto" w:before="49"/>
        <w:rPr>
          <w:sz w:val="13"/>
        </w:rPr>
      </w:pPr>
    </w:p>
    <w:p>
      <w:pPr>
        <w:pStyle w:val="ListParagraph"/>
        <w:numPr>
          <w:ilvl w:val="0"/>
          <w:numId w:val="40"/>
        </w:numPr>
        <w:tabs>
          <w:tab w:pos="854" w:val="left" w:leader="none"/>
        </w:tabs>
        <w:spacing w:line="240" w:lineRule="auto" w:before="0" w:after="0"/>
        <w:ind w:left="854" w:right="0" w:hanging="203"/>
        <w:jc w:val="left"/>
        <w:rPr>
          <w:b/>
          <w:sz w:val="13"/>
        </w:rPr>
      </w:pPr>
      <w:r>
        <w:rPr>
          <w:b/>
          <w:w w:val="105"/>
          <w:sz w:val="13"/>
        </w:rPr>
        <w:t>Valuation</w:t>
      </w:r>
      <w:r>
        <w:rPr>
          <w:b/>
          <w:spacing w:val="-5"/>
          <w:w w:val="105"/>
          <w:sz w:val="13"/>
        </w:rPr>
        <w:t> </w:t>
      </w:r>
      <w:r>
        <w:rPr>
          <w:b/>
          <w:w w:val="105"/>
          <w:sz w:val="13"/>
        </w:rPr>
        <w:t>inputs</w:t>
      </w:r>
      <w:r>
        <w:rPr>
          <w:b/>
          <w:spacing w:val="-6"/>
          <w:w w:val="105"/>
          <w:sz w:val="13"/>
        </w:rPr>
        <w:t> </w:t>
      </w:r>
      <w:r>
        <w:rPr>
          <w:b/>
          <w:w w:val="105"/>
          <w:sz w:val="13"/>
        </w:rPr>
        <w:t>and</w:t>
      </w:r>
      <w:r>
        <w:rPr>
          <w:b/>
          <w:spacing w:val="-4"/>
          <w:w w:val="105"/>
          <w:sz w:val="13"/>
        </w:rPr>
        <w:t> </w:t>
      </w:r>
      <w:r>
        <w:rPr>
          <w:b/>
          <w:w w:val="105"/>
          <w:sz w:val="13"/>
        </w:rPr>
        <w:t>relationships</w:t>
      </w:r>
      <w:r>
        <w:rPr>
          <w:b/>
          <w:spacing w:val="-6"/>
          <w:w w:val="105"/>
          <w:sz w:val="13"/>
        </w:rPr>
        <w:t> </w:t>
      </w:r>
      <w:r>
        <w:rPr>
          <w:b/>
          <w:w w:val="105"/>
          <w:sz w:val="13"/>
        </w:rPr>
        <w:t>to</w:t>
      </w:r>
      <w:r>
        <w:rPr>
          <w:b/>
          <w:spacing w:val="-5"/>
          <w:w w:val="105"/>
          <w:sz w:val="13"/>
        </w:rPr>
        <w:t> </w:t>
      </w:r>
      <w:r>
        <w:rPr>
          <w:b/>
          <w:w w:val="105"/>
          <w:sz w:val="13"/>
        </w:rPr>
        <w:t>fair</w:t>
      </w:r>
      <w:r>
        <w:rPr>
          <w:b/>
          <w:spacing w:val="-4"/>
          <w:w w:val="105"/>
          <w:sz w:val="13"/>
        </w:rPr>
        <w:t> value</w:t>
      </w:r>
    </w:p>
    <w:p>
      <w:pPr>
        <w:spacing w:line="273" w:lineRule="auto" w:before="21"/>
        <w:ind w:left="651" w:right="0" w:firstLine="0"/>
        <w:jc w:val="left"/>
        <w:rPr>
          <w:sz w:val="13"/>
        </w:rPr>
      </w:pPr>
      <w:r>
        <w:rPr>
          <w:w w:val="105"/>
          <w:sz w:val="13"/>
        </w:rPr>
        <w:t>The</w:t>
      </w:r>
      <w:r>
        <w:rPr>
          <w:spacing w:val="40"/>
          <w:w w:val="105"/>
          <w:sz w:val="13"/>
        </w:rPr>
        <w:t> </w:t>
      </w:r>
      <w:r>
        <w:rPr>
          <w:w w:val="105"/>
          <w:sz w:val="13"/>
        </w:rPr>
        <w:t>following</w:t>
      </w:r>
      <w:r>
        <w:rPr>
          <w:spacing w:val="40"/>
          <w:w w:val="105"/>
          <w:sz w:val="13"/>
        </w:rPr>
        <w:t> </w:t>
      </w:r>
      <w:r>
        <w:rPr>
          <w:w w:val="105"/>
          <w:sz w:val="13"/>
        </w:rPr>
        <w:t>table</w:t>
      </w:r>
      <w:r>
        <w:rPr>
          <w:spacing w:val="40"/>
          <w:w w:val="105"/>
          <w:sz w:val="13"/>
        </w:rPr>
        <w:t> </w:t>
      </w:r>
      <w:r>
        <w:rPr>
          <w:w w:val="105"/>
          <w:sz w:val="13"/>
        </w:rPr>
        <w:t>summarises</w:t>
      </w:r>
      <w:r>
        <w:rPr>
          <w:spacing w:val="40"/>
          <w:w w:val="105"/>
          <w:sz w:val="13"/>
        </w:rPr>
        <w:t> </w:t>
      </w:r>
      <w:r>
        <w:rPr>
          <w:w w:val="105"/>
          <w:sz w:val="13"/>
        </w:rPr>
        <w:t>the</w:t>
      </w:r>
      <w:r>
        <w:rPr>
          <w:spacing w:val="40"/>
          <w:w w:val="105"/>
          <w:sz w:val="13"/>
        </w:rPr>
        <w:t> </w:t>
      </w:r>
      <w:r>
        <w:rPr>
          <w:w w:val="105"/>
          <w:sz w:val="13"/>
        </w:rPr>
        <w:t>quantitative</w:t>
      </w:r>
      <w:r>
        <w:rPr>
          <w:spacing w:val="40"/>
          <w:w w:val="105"/>
          <w:sz w:val="13"/>
        </w:rPr>
        <w:t> </w:t>
      </w:r>
      <w:r>
        <w:rPr>
          <w:w w:val="105"/>
          <w:sz w:val="13"/>
        </w:rPr>
        <w:t>information</w:t>
      </w:r>
      <w:r>
        <w:rPr>
          <w:spacing w:val="40"/>
          <w:w w:val="105"/>
          <w:sz w:val="13"/>
        </w:rPr>
        <w:t> </w:t>
      </w:r>
      <w:r>
        <w:rPr>
          <w:w w:val="105"/>
          <w:sz w:val="13"/>
        </w:rPr>
        <w:t>about</w:t>
      </w:r>
      <w:r>
        <w:rPr>
          <w:spacing w:val="40"/>
          <w:w w:val="105"/>
          <w:sz w:val="13"/>
        </w:rPr>
        <w:t> </w:t>
      </w:r>
      <w:r>
        <w:rPr>
          <w:w w:val="105"/>
          <w:sz w:val="13"/>
        </w:rPr>
        <w:t>the</w:t>
      </w:r>
      <w:r>
        <w:rPr>
          <w:spacing w:val="40"/>
          <w:w w:val="105"/>
          <w:sz w:val="13"/>
        </w:rPr>
        <w:t> </w:t>
      </w:r>
      <w:r>
        <w:rPr>
          <w:w w:val="105"/>
          <w:sz w:val="13"/>
        </w:rPr>
        <w:t>significant</w:t>
      </w:r>
      <w:r>
        <w:rPr>
          <w:spacing w:val="40"/>
          <w:w w:val="105"/>
          <w:sz w:val="13"/>
        </w:rPr>
        <w:t> </w:t>
      </w:r>
      <w:r>
        <w:rPr>
          <w:w w:val="105"/>
          <w:sz w:val="13"/>
        </w:rPr>
        <w:t>unobservable</w:t>
      </w:r>
      <w:r>
        <w:rPr>
          <w:spacing w:val="40"/>
          <w:w w:val="105"/>
          <w:sz w:val="13"/>
        </w:rPr>
        <w:t> </w:t>
      </w:r>
      <w:r>
        <w:rPr>
          <w:w w:val="105"/>
          <w:sz w:val="13"/>
        </w:rPr>
        <w:t>inputs</w:t>
      </w:r>
      <w:r>
        <w:rPr>
          <w:spacing w:val="40"/>
          <w:w w:val="105"/>
          <w:sz w:val="13"/>
        </w:rPr>
        <w:t> </w:t>
      </w:r>
      <w:r>
        <w:rPr>
          <w:w w:val="105"/>
          <w:sz w:val="13"/>
        </w:rPr>
        <w:t>used</w:t>
      </w:r>
      <w:r>
        <w:rPr>
          <w:spacing w:val="40"/>
          <w:w w:val="105"/>
          <w:sz w:val="13"/>
        </w:rPr>
        <w:t> </w:t>
      </w:r>
      <w:r>
        <w:rPr>
          <w:w w:val="105"/>
          <w:sz w:val="13"/>
        </w:rPr>
        <w:t>in</w:t>
      </w:r>
      <w:r>
        <w:rPr>
          <w:spacing w:val="40"/>
          <w:w w:val="105"/>
          <w:sz w:val="13"/>
        </w:rPr>
        <w:t> </w:t>
      </w:r>
      <w:r>
        <w:rPr>
          <w:w w:val="105"/>
          <w:sz w:val="13"/>
        </w:rPr>
        <w:t>level</w:t>
      </w:r>
      <w:r>
        <w:rPr>
          <w:spacing w:val="40"/>
          <w:w w:val="105"/>
          <w:sz w:val="13"/>
        </w:rPr>
        <w:t> </w:t>
      </w:r>
      <w:r>
        <w:rPr>
          <w:w w:val="105"/>
          <w:sz w:val="13"/>
        </w:rPr>
        <w:t>3</w:t>
      </w:r>
      <w:r>
        <w:rPr>
          <w:spacing w:val="40"/>
          <w:w w:val="105"/>
          <w:sz w:val="13"/>
        </w:rPr>
        <w:t> </w:t>
      </w:r>
      <w:r>
        <w:rPr>
          <w:w w:val="105"/>
          <w:sz w:val="13"/>
        </w:rPr>
        <w:t>fair</w:t>
      </w:r>
      <w:r>
        <w:rPr>
          <w:spacing w:val="40"/>
          <w:w w:val="105"/>
          <w:sz w:val="13"/>
        </w:rPr>
        <w:t> </w:t>
      </w:r>
      <w:r>
        <w:rPr>
          <w:w w:val="105"/>
          <w:sz w:val="13"/>
        </w:rPr>
        <w:t>value</w:t>
      </w:r>
      <w:r>
        <w:rPr>
          <w:spacing w:val="40"/>
          <w:w w:val="105"/>
          <w:sz w:val="13"/>
        </w:rPr>
        <w:t> </w:t>
      </w:r>
      <w:r>
        <w:rPr>
          <w:w w:val="105"/>
          <w:sz w:val="13"/>
        </w:rPr>
        <w:t>measurements. See (c) above for the valuation techniques adopted.</w:t>
      </w:r>
    </w:p>
    <w:p>
      <w:pPr>
        <w:spacing w:line="240" w:lineRule="auto" w:before="2" w:after="0"/>
        <w:rPr>
          <w:sz w:val="17"/>
        </w:rPr>
      </w:pPr>
    </w:p>
    <w:p>
      <w:pPr>
        <w:spacing w:line="20" w:lineRule="exact"/>
        <w:ind w:left="624" w:right="0" w:firstLine="0"/>
        <w:rPr>
          <w:sz w:val="2"/>
        </w:rPr>
      </w:pPr>
      <w:r>
        <w:rPr>
          <w:sz w:val="2"/>
        </w:rPr>
        <mc:AlternateContent>
          <mc:Choice Requires="wps">
            <w:drawing>
              <wp:inline distT="0" distB="0" distL="0" distR="0">
                <wp:extent cx="5368925" cy="8890"/>
                <wp:effectExtent l="0" t="0" r="0" b="635"/>
                <wp:docPr id="965" name="Group 965"/>
                <wp:cNvGraphicFramePr>
                  <a:graphicFrameLocks/>
                </wp:cNvGraphicFramePr>
                <a:graphic>
                  <a:graphicData uri="http://schemas.microsoft.com/office/word/2010/wordprocessingGroup">
                    <wpg:wgp>
                      <wpg:cNvPr id="965" name="Group 965"/>
                      <wpg:cNvGrpSpPr/>
                      <wpg:grpSpPr>
                        <a:xfrm>
                          <a:off x="0" y="0"/>
                          <a:ext cx="5368925" cy="8890"/>
                          <a:chExt cx="5368925" cy="8890"/>
                        </a:xfrm>
                      </wpg:grpSpPr>
                      <wps:wsp>
                        <wps:cNvPr id="966" name="Graphic 966"/>
                        <wps:cNvSpPr/>
                        <wps:spPr>
                          <a:xfrm>
                            <a:off x="0" y="0"/>
                            <a:ext cx="5368925" cy="1270"/>
                          </a:xfrm>
                          <a:custGeom>
                            <a:avLst/>
                            <a:gdLst/>
                            <a:ahLst/>
                            <a:cxnLst/>
                            <a:rect l="l" t="t" r="r" b="b"/>
                            <a:pathLst>
                              <a:path w="5368925" h="0">
                                <a:moveTo>
                                  <a:pt x="0" y="0"/>
                                </a:moveTo>
                                <a:lnTo>
                                  <a:pt x="5368747" y="0"/>
                                </a:lnTo>
                              </a:path>
                            </a:pathLst>
                          </a:custGeom>
                          <a:ln w="0">
                            <a:solidFill>
                              <a:srgbClr val="000000"/>
                            </a:solidFill>
                            <a:prstDash val="solid"/>
                          </a:ln>
                        </wps:spPr>
                        <wps:bodyPr wrap="square" lIns="0" tIns="0" rIns="0" bIns="0" rtlCol="0">
                          <a:prstTxWarp prst="textNoShape">
                            <a:avLst/>
                          </a:prstTxWarp>
                          <a:noAutofit/>
                        </wps:bodyPr>
                      </wps:wsp>
                      <wps:wsp>
                        <wps:cNvPr id="967" name="Graphic 967"/>
                        <wps:cNvSpPr/>
                        <wps:spPr>
                          <a:xfrm>
                            <a:off x="6" y="6"/>
                            <a:ext cx="5368925" cy="8890"/>
                          </a:xfrm>
                          <a:custGeom>
                            <a:avLst/>
                            <a:gdLst/>
                            <a:ahLst/>
                            <a:cxnLst/>
                            <a:rect l="l" t="t" r="r" b="b"/>
                            <a:pathLst>
                              <a:path w="5368925" h="8890">
                                <a:moveTo>
                                  <a:pt x="5368747" y="0"/>
                                </a:moveTo>
                                <a:lnTo>
                                  <a:pt x="0" y="0"/>
                                </a:lnTo>
                                <a:lnTo>
                                  <a:pt x="0" y="8432"/>
                                </a:lnTo>
                                <a:lnTo>
                                  <a:pt x="5368747" y="8432"/>
                                </a:lnTo>
                                <a:lnTo>
                                  <a:pt x="5368747"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422.75pt;height:.7pt;mso-position-horizontal-relative:char;mso-position-vertical-relative:line" id="docshapegroup657" coordorigin="0,0" coordsize="8455,14">
                <v:line style="position:absolute" from="0,0" to="8455,0" stroked="true" strokeweight="0pt" strokecolor="#000000">
                  <v:stroke dashstyle="solid"/>
                </v:line>
                <v:rect style="position:absolute;left:0;top:0;width:8455;height:14" id="docshape658" filled="true" fillcolor="#000000" stroked="false">
                  <v:fill type="solid"/>
                </v:rect>
              </v:group>
            </w:pict>
          </mc:Fallback>
        </mc:AlternateContent>
      </w:r>
      <w:r>
        <w:rPr>
          <w:sz w:val="2"/>
        </w:rPr>
      </w:r>
    </w:p>
    <w:p>
      <w:pPr>
        <w:spacing w:after="0" w:line="20" w:lineRule="exact"/>
        <w:rPr>
          <w:sz w:val="2"/>
        </w:rPr>
        <w:sectPr>
          <w:pgSz w:w="11910" w:h="16840"/>
          <w:pgMar w:header="468" w:footer="0" w:top="1580" w:bottom="280" w:left="1020" w:right="1540"/>
        </w:sectPr>
      </w:pPr>
    </w:p>
    <w:p>
      <w:pPr>
        <w:spacing w:line="240" w:lineRule="auto" w:before="102"/>
        <w:rPr>
          <w:sz w:val="13"/>
        </w:rPr>
      </w:pPr>
    </w:p>
    <w:p>
      <w:pPr>
        <w:spacing w:before="0"/>
        <w:ind w:left="1091" w:right="0" w:firstLine="0"/>
        <w:jc w:val="left"/>
        <w:rPr>
          <w:b/>
          <w:sz w:val="13"/>
        </w:rPr>
      </w:pPr>
      <w:r>
        <w:rPr>
          <w:b/>
          <w:spacing w:val="-2"/>
          <w:w w:val="105"/>
          <w:sz w:val="13"/>
        </w:rPr>
        <w:t>Description</w:t>
      </w:r>
    </w:p>
    <w:p>
      <w:pPr>
        <w:spacing w:line="285" w:lineRule="auto" w:before="75"/>
        <w:ind w:left="757" w:right="0" w:firstLine="0"/>
        <w:jc w:val="center"/>
        <w:rPr>
          <w:b/>
          <w:sz w:val="13"/>
        </w:rPr>
      </w:pPr>
      <w:r>
        <w:rPr/>
        <w:br w:type="column"/>
      </w:r>
      <w:r>
        <w:rPr>
          <w:b/>
          <w:w w:val="105"/>
          <w:sz w:val="13"/>
        </w:rPr>
        <w:t>Fair</w:t>
      </w:r>
      <w:r>
        <w:rPr>
          <w:b/>
          <w:spacing w:val="-8"/>
          <w:w w:val="105"/>
          <w:sz w:val="13"/>
        </w:rPr>
        <w:t> </w:t>
      </w:r>
      <w:r>
        <w:rPr>
          <w:b/>
          <w:w w:val="105"/>
          <w:sz w:val="13"/>
        </w:rPr>
        <w:t>value</w:t>
      </w:r>
      <w:r>
        <w:rPr>
          <w:b/>
          <w:spacing w:val="-9"/>
          <w:w w:val="105"/>
          <w:sz w:val="13"/>
        </w:rPr>
        <w:t> </w:t>
      </w:r>
      <w:r>
        <w:rPr>
          <w:b/>
          <w:w w:val="105"/>
          <w:sz w:val="13"/>
        </w:rPr>
        <w:t>at</w:t>
      </w:r>
      <w:r>
        <w:rPr>
          <w:b/>
          <w:spacing w:val="32"/>
          <w:w w:val="105"/>
          <w:sz w:val="13"/>
        </w:rPr>
        <w:t> </w:t>
      </w:r>
      <w:r>
        <w:rPr>
          <w:b/>
          <w:w w:val="105"/>
          <w:sz w:val="13"/>
        </w:rPr>
        <w:t>Fair</w:t>
      </w:r>
      <w:r>
        <w:rPr>
          <w:b/>
          <w:spacing w:val="-8"/>
          <w:w w:val="105"/>
          <w:sz w:val="13"/>
        </w:rPr>
        <w:t> </w:t>
      </w:r>
      <w:r>
        <w:rPr>
          <w:b/>
          <w:w w:val="105"/>
          <w:sz w:val="13"/>
        </w:rPr>
        <w:t>value</w:t>
      </w:r>
      <w:r>
        <w:rPr>
          <w:b/>
          <w:spacing w:val="-9"/>
          <w:w w:val="105"/>
          <w:sz w:val="13"/>
        </w:rPr>
        <w:t> </w:t>
      </w:r>
      <w:r>
        <w:rPr>
          <w:b/>
          <w:w w:val="105"/>
          <w:sz w:val="13"/>
        </w:rPr>
        <w:t>at</w:t>
      </w:r>
      <w:r>
        <w:rPr>
          <w:b/>
          <w:spacing w:val="40"/>
          <w:w w:val="105"/>
          <w:sz w:val="13"/>
        </w:rPr>
        <w:t> </w:t>
      </w:r>
      <w:r>
        <w:rPr>
          <w:b/>
          <w:w w:val="105"/>
          <w:sz w:val="13"/>
        </w:rPr>
        <w:t>31</w:t>
      </w:r>
      <w:r>
        <w:rPr>
          <w:b/>
          <w:spacing w:val="-4"/>
          <w:w w:val="105"/>
          <w:sz w:val="13"/>
        </w:rPr>
        <w:t> </w:t>
      </w:r>
      <w:r>
        <w:rPr>
          <w:b/>
          <w:w w:val="105"/>
          <w:sz w:val="13"/>
        </w:rPr>
        <w:t>Dec</w:t>
      </w:r>
      <w:r>
        <w:rPr>
          <w:b/>
          <w:spacing w:val="-4"/>
          <w:w w:val="105"/>
          <w:sz w:val="13"/>
        </w:rPr>
        <w:t> </w:t>
      </w:r>
      <w:r>
        <w:rPr>
          <w:b/>
          <w:w w:val="105"/>
          <w:sz w:val="13"/>
        </w:rPr>
        <w:t>2020</w:t>
      </w:r>
      <w:r>
        <w:rPr>
          <w:b/>
          <w:spacing w:val="56"/>
          <w:w w:val="105"/>
          <w:sz w:val="13"/>
        </w:rPr>
        <w:t> </w:t>
      </w:r>
      <w:r>
        <w:rPr>
          <w:b/>
          <w:w w:val="105"/>
          <w:sz w:val="13"/>
        </w:rPr>
        <w:t>31</w:t>
      </w:r>
      <w:r>
        <w:rPr>
          <w:b/>
          <w:spacing w:val="-4"/>
          <w:w w:val="105"/>
          <w:sz w:val="13"/>
        </w:rPr>
        <w:t> </w:t>
      </w:r>
      <w:r>
        <w:rPr>
          <w:b/>
          <w:w w:val="105"/>
          <w:sz w:val="13"/>
        </w:rPr>
        <w:t>Dec</w:t>
      </w:r>
      <w:r>
        <w:rPr>
          <w:b/>
          <w:spacing w:val="-4"/>
          <w:w w:val="105"/>
          <w:sz w:val="13"/>
        </w:rPr>
        <w:t> 2019</w:t>
      </w:r>
    </w:p>
    <w:p>
      <w:pPr>
        <w:tabs>
          <w:tab w:pos="1640" w:val="left" w:leader="none"/>
        </w:tabs>
        <w:spacing w:line="148" w:lineRule="exact" w:before="0"/>
        <w:ind w:left="761" w:right="0" w:firstLine="0"/>
        <w:jc w:val="center"/>
        <w:rPr>
          <w:b/>
          <w:sz w:val="13"/>
        </w:rPr>
      </w:pPr>
      <w:r>
        <w:rPr>
          <w:b/>
          <w:spacing w:val="-2"/>
          <w:w w:val="105"/>
          <w:sz w:val="13"/>
        </w:rPr>
        <w:t>$'000</w:t>
      </w:r>
      <w:r>
        <w:rPr>
          <w:b/>
          <w:sz w:val="13"/>
        </w:rPr>
        <w:tab/>
      </w:r>
      <w:r>
        <w:rPr>
          <w:b/>
          <w:spacing w:val="-2"/>
          <w:w w:val="105"/>
          <w:sz w:val="13"/>
        </w:rPr>
        <w:t>$'000</w:t>
      </w:r>
    </w:p>
    <w:p>
      <w:pPr>
        <w:spacing w:line="240" w:lineRule="auto" w:before="96"/>
        <w:rPr>
          <w:b/>
          <w:sz w:val="13"/>
        </w:rPr>
      </w:pPr>
      <w:r>
        <w:rPr/>
        <w:br w:type="column"/>
      </w:r>
      <w:r>
        <w:rPr>
          <w:b/>
          <w:sz w:val="13"/>
        </w:rPr>
      </w:r>
    </w:p>
    <w:p>
      <w:pPr>
        <w:spacing w:before="0"/>
        <w:ind w:left="243" w:right="0" w:firstLine="0"/>
        <w:jc w:val="left"/>
        <w:rPr>
          <w:b/>
          <w:sz w:val="13"/>
        </w:rPr>
      </w:pPr>
      <w:r>
        <w:rPr>
          <w:b/>
          <w:spacing w:val="-2"/>
          <w:w w:val="105"/>
          <w:sz w:val="13"/>
        </w:rPr>
        <w:t>Unobservable</w:t>
      </w:r>
      <w:r>
        <w:rPr>
          <w:b/>
          <w:spacing w:val="10"/>
          <w:w w:val="105"/>
          <w:sz w:val="13"/>
        </w:rPr>
        <w:t> </w:t>
      </w:r>
      <w:r>
        <w:rPr>
          <w:b/>
          <w:spacing w:val="-2"/>
          <w:w w:val="105"/>
          <w:sz w:val="13"/>
        </w:rPr>
        <w:t>inputs</w:t>
      </w:r>
    </w:p>
    <w:p>
      <w:pPr>
        <w:spacing w:line="240" w:lineRule="auto" w:before="14"/>
        <w:rPr>
          <w:b/>
          <w:sz w:val="13"/>
        </w:rPr>
      </w:pPr>
      <w:r>
        <w:rPr/>
        <w:br w:type="column"/>
      </w:r>
      <w:r>
        <w:rPr>
          <w:b/>
          <w:sz w:val="13"/>
        </w:rPr>
      </w:r>
    </w:p>
    <w:p>
      <w:pPr>
        <w:spacing w:line="283" w:lineRule="auto" w:before="0"/>
        <w:ind w:left="490" w:right="0" w:hanging="89"/>
        <w:jc w:val="left"/>
        <w:rPr>
          <w:b/>
          <w:sz w:val="13"/>
        </w:rPr>
      </w:pPr>
      <w:r>
        <w:rPr>
          <w:b/>
          <w:w w:val="105"/>
          <w:sz w:val="13"/>
        </w:rPr>
        <w:t>Range</w:t>
      </w:r>
      <w:r>
        <w:rPr>
          <w:b/>
          <w:spacing w:val="-10"/>
          <w:w w:val="105"/>
          <w:sz w:val="13"/>
        </w:rPr>
        <w:t> </w:t>
      </w:r>
      <w:r>
        <w:rPr>
          <w:b/>
          <w:w w:val="105"/>
          <w:sz w:val="13"/>
        </w:rPr>
        <w:t>of</w:t>
      </w:r>
      <w:r>
        <w:rPr>
          <w:b/>
          <w:spacing w:val="40"/>
          <w:w w:val="105"/>
          <w:sz w:val="13"/>
        </w:rPr>
        <w:t> </w:t>
      </w:r>
      <w:r>
        <w:rPr>
          <w:b/>
          <w:spacing w:val="-2"/>
          <w:w w:val="105"/>
          <w:sz w:val="13"/>
        </w:rPr>
        <w:t>inputs</w:t>
      </w:r>
    </w:p>
    <w:p>
      <w:pPr>
        <w:spacing w:line="283" w:lineRule="auto" w:before="68"/>
        <w:ind w:left="235" w:right="339" w:firstLine="1"/>
        <w:jc w:val="center"/>
        <w:rPr>
          <w:b/>
          <w:sz w:val="13"/>
        </w:rPr>
      </w:pPr>
      <w:r>
        <w:rPr/>
        <w:br w:type="column"/>
      </w:r>
      <w:r>
        <w:rPr>
          <w:b/>
          <w:w w:val="105"/>
          <w:sz w:val="13"/>
        </w:rPr>
        <w:t>Relationship</w:t>
      </w:r>
      <w:r>
        <w:rPr>
          <w:b/>
          <w:spacing w:val="-4"/>
          <w:w w:val="105"/>
          <w:sz w:val="13"/>
        </w:rPr>
        <w:t> </w:t>
      </w:r>
      <w:r>
        <w:rPr>
          <w:b/>
          <w:w w:val="105"/>
          <w:sz w:val="13"/>
        </w:rPr>
        <w:t>of</w:t>
      </w:r>
      <w:r>
        <w:rPr>
          <w:b/>
          <w:spacing w:val="40"/>
          <w:w w:val="105"/>
          <w:sz w:val="13"/>
        </w:rPr>
        <w:t> </w:t>
      </w:r>
      <w:r>
        <w:rPr>
          <w:b/>
          <w:w w:val="105"/>
          <w:sz w:val="13"/>
        </w:rPr>
        <w:t>unobservable</w:t>
      </w:r>
      <w:r>
        <w:rPr>
          <w:b/>
          <w:spacing w:val="-10"/>
          <w:w w:val="105"/>
          <w:sz w:val="13"/>
        </w:rPr>
        <w:t> </w:t>
      </w:r>
      <w:r>
        <w:rPr>
          <w:b/>
          <w:w w:val="105"/>
          <w:sz w:val="13"/>
        </w:rPr>
        <w:t>inputs</w:t>
      </w:r>
      <w:r>
        <w:rPr>
          <w:b/>
          <w:spacing w:val="-9"/>
          <w:w w:val="105"/>
          <w:sz w:val="13"/>
        </w:rPr>
        <w:t> </w:t>
      </w:r>
      <w:r>
        <w:rPr>
          <w:b/>
          <w:w w:val="105"/>
          <w:sz w:val="13"/>
        </w:rPr>
        <w:t>to</w:t>
      </w:r>
      <w:r>
        <w:rPr>
          <w:b/>
          <w:spacing w:val="-10"/>
          <w:w w:val="105"/>
          <w:sz w:val="13"/>
        </w:rPr>
        <w:t> </w:t>
      </w:r>
      <w:r>
        <w:rPr>
          <w:b/>
          <w:w w:val="105"/>
          <w:sz w:val="13"/>
        </w:rPr>
        <w:t>fair</w:t>
      </w:r>
      <w:r>
        <w:rPr>
          <w:b/>
          <w:spacing w:val="40"/>
          <w:w w:val="105"/>
          <w:sz w:val="13"/>
        </w:rPr>
        <w:t> </w:t>
      </w:r>
      <w:r>
        <w:rPr>
          <w:b/>
          <w:spacing w:val="-2"/>
          <w:w w:val="105"/>
          <w:sz w:val="13"/>
        </w:rPr>
        <w:t>value</w:t>
      </w:r>
    </w:p>
    <w:p>
      <w:pPr>
        <w:spacing w:after="0" w:line="283" w:lineRule="auto"/>
        <w:jc w:val="center"/>
        <w:rPr>
          <w:sz w:val="13"/>
        </w:rPr>
        <w:sectPr>
          <w:type w:val="continuous"/>
          <w:pgSz w:w="11910" w:h="16840"/>
          <w:pgMar w:header="468" w:footer="0" w:top="980" w:bottom="280" w:left="1020" w:right="1540"/>
          <w:cols w:num="5" w:equalWidth="0">
            <w:col w:w="1845" w:space="40"/>
            <w:col w:w="2428" w:space="39"/>
            <w:col w:w="1596" w:space="39"/>
            <w:col w:w="989" w:space="39"/>
            <w:col w:w="2335"/>
          </w:cols>
        </w:sectPr>
      </w:pPr>
    </w:p>
    <w:p>
      <w:pPr>
        <w:spacing w:line="240" w:lineRule="auto" w:before="2"/>
        <w:rPr>
          <w:b/>
          <w:sz w:val="5"/>
        </w:rPr>
      </w:pPr>
    </w:p>
    <w:p>
      <w:pPr>
        <w:spacing w:line="20" w:lineRule="exact"/>
        <w:ind w:left="624" w:right="0" w:firstLine="0"/>
        <w:rPr>
          <w:sz w:val="2"/>
        </w:rPr>
      </w:pPr>
      <w:r>
        <w:rPr>
          <w:sz w:val="2"/>
        </w:rPr>
        <mc:AlternateContent>
          <mc:Choice Requires="wps">
            <w:drawing>
              <wp:inline distT="0" distB="0" distL="0" distR="0">
                <wp:extent cx="5368925" cy="8890"/>
                <wp:effectExtent l="0" t="0" r="0" b="635"/>
                <wp:docPr id="968" name="Group 968"/>
                <wp:cNvGraphicFramePr>
                  <a:graphicFrameLocks/>
                </wp:cNvGraphicFramePr>
                <a:graphic>
                  <a:graphicData uri="http://schemas.microsoft.com/office/word/2010/wordprocessingGroup">
                    <wpg:wgp>
                      <wpg:cNvPr id="968" name="Group 968"/>
                      <wpg:cNvGrpSpPr/>
                      <wpg:grpSpPr>
                        <a:xfrm>
                          <a:off x="0" y="0"/>
                          <a:ext cx="5368925" cy="8890"/>
                          <a:chExt cx="5368925" cy="8890"/>
                        </a:xfrm>
                      </wpg:grpSpPr>
                      <wps:wsp>
                        <wps:cNvPr id="969" name="Graphic 969"/>
                        <wps:cNvSpPr/>
                        <wps:spPr>
                          <a:xfrm>
                            <a:off x="0" y="0"/>
                            <a:ext cx="5368925" cy="1270"/>
                          </a:xfrm>
                          <a:custGeom>
                            <a:avLst/>
                            <a:gdLst/>
                            <a:ahLst/>
                            <a:cxnLst/>
                            <a:rect l="l" t="t" r="r" b="b"/>
                            <a:pathLst>
                              <a:path w="5368925" h="0">
                                <a:moveTo>
                                  <a:pt x="0" y="0"/>
                                </a:moveTo>
                                <a:lnTo>
                                  <a:pt x="5368747" y="0"/>
                                </a:lnTo>
                              </a:path>
                            </a:pathLst>
                          </a:custGeom>
                          <a:ln w="0">
                            <a:solidFill>
                              <a:srgbClr val="000000"/>
                            </a:solidFill>
                            <a:prstDash val="solid"/>
                          </a:ln>
                        </wps:spPr>
                        <wps:bodyPr wrap="square" lIns="0" tIns="0" rIns="0" bIns="0" rtlCol="0">
                          <a:prstTxWarp prst="textNoShape">
                            <a:avLst/>
                          </a:prstTxWarp>
                          <a:noAutofit/>
                        </wps:bodyPr>
                      </wps:wsp>
                      <wps:wsp>
                        <wps:cNvPr id="970" name="Graphic 970"/>
                        <wps:cNvSpPr/>
                        <wps:spPr>
                          <a:xfrm>
                            <a:off x="6" y="8"/>
                            <a:ext cx="5368925" cy="8890"/>
                          </a:xfrm>
                          <a:custGeom>
                            <a:avLst/>
                            <a:gdLst/>
                            <a:ahLst/>
                            <a:cxnLst/>
                            <a:rect l="l" t="t" r="r" b="b"/>
                            <a:pathLst>
                              <a:path w="5368925" h="8890">
                                <a:moveTo>
                                  <a:pt x="5368747" y="0"/>
                                </a:moveTo>
                                <a:lnTo>
                                  <a:pt x="0" y="0"/>
                                </a:lnTo>
                                <a:lnTo>
                                  <a:pt x="0" y="8432"/>
                                </a:lnTo>
                                <a:lnTo>
                                  <a:pt x="5368747" y="8432"/>
                                </a:lnTo>
                                <a:lnTo>
                                  <a:pt x="5368747"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422.75pt;height:.7pt;mso-position-horizontal-relative:char;mso-position-vertical-relative:line" id="docshapegroup659" coordorigin="0,0" coordsize="8455,14">
                <v:line style="position:absolute" from="0,0" to="8455,0" stroked="true" strokeweight="0pt" strokecolor="#000000">
                  <v:stroke dashstyle="solid"/>
                </v:line>
                <v:rect style="position:absolute;left:0;top:0;width:8455;height:14" id="docshape660" filled="true" fillcolor="#000000" stroked="false">
                  <v:fill type="solid"/>
                </v:rect>
              </v:group>
            </w:pict>
          </mc:Fallback>
        </mc:AlternateContent>
      </w:r>
      <w:r>
        <w:rPr>
          <w:sz w:val="2"/>
        </w:rPr>
      </w:r>
    </w:p>
    <w:p>
      <w:pPr>
        <w:spacing w:line="240" w:lineRule="auto" w:before="0"/>
        <w:rPr>
          <w:b/>
          <w:sz w:val="13"/>
        </w:rPr>
      </w:pPr>
    </w:p>
    <w:p>
      <w:pPr>
        <w:spacing w:line="240" w:lineRule="auto" w:before="126"/>
        <w:rPr>
          <w:b/>
          <w:sz w:val="13"/>
        </w:rPr>
      </w:pPr>
    </w:p>
    <w:p>
      <w:pPr>
        <w:spacing w:line="273" w:lineRule="auto" w:before="1"/>
        <w:ind w:left="651" w:right="7210" w:firstLine="0"/>
        <w:jc w:val="left"/>
        <w:rPr>
          <w:sz w:val="13"/>
        </w:rPr>
      </w:pPr>
      <w:r>
        <w:rPr/>
        <mc:AlternateContent>
          <mc:Choice Requires="wps">
            <w:drawing>
              <wp:anchor distT="0" distB="0" distL="0" distR="0" allowOverlap="1" layoutInCell="1" locked="0" behindDoc="0" simplePos="0" relativeHeight="15904768">
                <wp:simplePos x="0" y="0"/>
                <wp:positionH relativeFrom="page">
                  <wp:posOffset>1006163</wp:posOffset>
                </wp:positionH>
                <wp:positionV relativeFrom="paragraph">
                  <wp:posOffset>-218850</wp:posOffset>
                </wp:positionV>
                <wp:extent cx="5445125" cy="603250"/>
                <wp:effectExtent l="0" t="0" r="0" b="0"/>
                <wp:wrapNone/>
                <wp:docPr id="971" name="Textbox 971"/>
                <wp:cNvGraphicFramePr>
                  <a:graphicFrameLocks/>
                </wp:cNvGraphicFramePr>
                <a:graphic>
                  <a:graphicData uri="http://schemas.microsoft.com/office/word/2010/wordprocessingShape">
                    <wps:wsp>
                      <wps:cNvPr id="971" name="Textbox 971"/>
                      <wps:cNvSpPr txBox="1"/>
                      <wps:spPr>
                        <a:xfrm>
                          <a:off x="0" y="0"/>
                          <a:ext cx="5445125" cy="603250"/>
                        </a:xfrm>
                        <a:prstGeom prst="rect">
                          <a:avLst/>
                        </a:prstGeom>
                      </wps:spPr>
                      <wps:txbx>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73"/>
                              <w:gridCol w:w="1038"/>
                              <w:gridCol w:w="807"/>
                              <w:gridCol w:w="4636"/>
                            </w:tblGrid>
                            <w:tr>
                              <w:trPr>
                                <w:trHeight w:val="417" w:hRule="atLeast"/>
                              </w:trPr>
                              <w:tc>
                                <w:tcPr>
                                  <w:tcW w:w="1973" w:type="dxa"/>
                                </w:tcPr>
                                <w:p>
                                  <w:pPr>
                                    <w:pStyle w:val="TableParagraph"/>
                                    <w:spacing w:before="25"/>
                                    <w:rPr>
                                      <w:sz w:val="13"/>
                                    </w:rPr>
                                  </w:pPr>
                                </w:p>
                                <w:p>
                                  <w:pPr>
                                    <w:pStyle w:val="TableParagraph"/>
                                    <w:ind w:left="26"/>
                                    <w:rPr>
                                      <w:sz w:val="13"/>
                                    </w:rPr>
                                  </w:pPr>
                                  <w:r>
                                    <w:rPr>
                                      <w:w w:val="105"/>
                                      <w:sz w:val="13"/>
                                    </w:rPr>
                                    <w:t>Unlisted</w:t>
                                  </w:r>
                                  <w:r>
                                    <w:rPr>
                                      <w:spacing w:val="-8"/>
                                      <w:w w:val="105"/>
                                      <w:sz w:val="13"/>
                                    </w:rPr>
                                    <w:t> </w:t>
                                  </w:r>
                                  <w:r>
                                    <w:rPr>
                                      <w:w w:val="105"/>
                                      <w:sz w:val="13"/>
                                    </w:rPr>
                                    <w:t>shares</w:t>
                                  </w:r>
                                  <w:r>
                                    <w:rPr>
                                      <w:spacing w:val="-6"/>
                                      <w:w w:val="105"/>
                                      <w:sz w:val="13"/>
                                    </w:rPr>
                                    <w:t> </w:t>
                                  </w:r>
                                  <w:r>
                                    <w:rPr>
                                      <w:spacing w:val="-4"/>
                                      <w:w w:val="105"/>
                                      <w:sz w:val="13"/>
                                    </w:rPr>
                                    <w:t>with</w:t>
                                  </w:r>
                                </w:p>
                              </w:tc>
                              <w:tc>
                                <w:tcPr>
                                  <w:tcW w:w="1038" w:type="dxa"/>
                                  <w:tcBorders>
                                    <w:bottom w:val="single" w:sz="6" w:space="0" w:color="000000"/>
                                  </w:tcBorders>
                                </w:tcPr>
                                <w:p>
                                  <w:pPr>
                                    <w:pStyle w:val="TableParagraph"/>
                                    <w:spacing w:before="93"/>
                                    <w:ind w:right="230"/>
                                    <w:jc w:val="right"/>
                                    <w:rPr>
                                      <w:sz w:val="13"/>
                                    </w:rPr>
                                  </w:pPr>
                                  <w:r>
                                    <w:rPr>
                                      <w:spacing w:val="-2"/>
                                      <w:w w:val="105"/>
                                      <w:sz w:val="13"/>
                                    </w:rPr>
                                    <w:t>50,092</w:t>
                                  </w:r>
                                </w:p>
                              </w:tc>
                              <w:tc>
                                <w:tcPr>
                                  <w:tcW w:w="807" w:type="dxa"/>
                                  <w:tcBorders>
                                    <w:bottom w:val="single" w:sz="6" w:space="0" w:color="000000"/>
                                  </w:tcBorders>
                                </w:tcPr>
                                <w:p>
                                  <w:pPr>
                                    <w:pStyle w:val="TableParagraph"/>
                                    <w:spacing w:before="93"/>
                                    <w:ind w:left="148" w:right="75"/>
                                    <w:jc w:val="center"/>
                                    <w:rPr>
                                      <w:sz w:val="13"/>
                                    </w:rPr>
                                  </w:pPr>
                                  <w:r>
                                    <w:rPr>
                                      <w:spacing w:val="-2"/>
                                      <w:w w:val="105"/>
                                      <w:sz w:val="13"/>
                                    </w:rPr>
                                    <w:t>39,723</w:t>
                                  </w:r>
                                </w:p>
                              </w:tc>
                              <w:tc>
                                <w:tcPr>
                                  <w:tcW w:w="4636" w:type="dxa"/>
                                  <w:tcBorders>
                                    <w:bottom w:val="single" w:sz="6" w:space="0" w:color="000000"/>
                                  </w:tcBorders>
                                </w:tcPr>
                                <w:p>
                                  <w:pPr>
                                    <w:pStyle w:val="TableParagraph"/>
                                    <w:tabs>
                                      <w:tab w:pos="2103" w:val="left" w:leader="none"/>
                                      <w:tab w:pos="2818" w:val="left" w:leader="none"/>
                                      <w:tab w:pos="3000" w:val="left" w:leader="none"/>
                                    </w:tabs>
                                    <w:spacing w:line="170" w:lineRule="auto" w:before="11"/>
                                    <w:ind w:left="1886" w:right="84" w:hanging="1460"/>
                                    <w:rPr>
                                      <w:sz w:val="13"/>
                                    </w:rPr>
                                  </w:pPr>
                                  <w:r>
                                    <w:rPr>
                                      <w:w w:val="105"/>
                                      <w:position w:val="-7"/>
                                      <w:sz w:val="13"/>
                                    </w:rPr>
                                    <w:t>Discount</w:t>
                                  </w:r>
                                  <w:r>
                                    <w:rPr>
                                      <w:spacing w:val="-4"/>
                                      <w:w w:val="105"/>
                                      <w:position w:val="-7"/>
                                      <w:sz w:val="13"/>
                                    </w:rPr>
                                    <w:t> </w:t>
                                  </w:r>
                                  <w:r>
                                    <w:rPr>
                                      <w:w w:val="105"/>
                                      <w:position w:val="-7"/>
                                      <w:sz w:val="13"/>
                                    </w:rPr>
                                    <w:t>rate</w:t>
                                  </w:r>
                                  <w:r>
                                    <w:rPr>
                                      <w:position w:val="-7"/>
                                      <w:sz w:val="13"/>
                                    </w:rPr>
                                    <w:tab/>
                                    <w:tab/>
                                  </w:r>
                                  <w:r>
                                    <w:rPr>
                                      <w:spacing w:val="-4"/>
                                      <w:w w:val="105"/>
                                      <w:sz w:val="13"/>
                                    </w:rPr>
                                    <w:t>15%</w:t>
                                  </w:r>
                                  <w:r>
                                    <w:rPr>
                                      <w:sz w:val="13"/>
                                    </w:rPr>
                                    <w:tab/>
                                  </w:r>
                                  <w:r>
                                    <w:rPr>
                                      <w:w w:val="105"/>
                                      <w:position w:val="1"/>
                                      <w:sz w:val="13"/>
                                    </w:rPr>
                                    <w:t>The</w:t>
                                  </w:r>
                                  <w:r>
                                    <w:rPr>
                                      <w:spacing w:val="-10"/>
                                      <w:w w:val="105"/>
                                      <w:position w:val="1"/>
                                      <w:sz w:val="13"/>
                                    </w:rPr>
                                    <w:t> </w:t>
                                  </w:r>
                                  <w:r>
                                    <w:rPr>
                                      <w:w w:val="105"/>
                                      <w:position w:val="1"/>
                                      <w:sz w:val="13"/>
                                    </w:rPr>
                                    <w:t>higher</w:t>
                                  </w:r>
                                  <w:r>
                                    <w:rPr>
                                      <w:spacing w:val="-9"/>
                                      <w:w w:val="105"/>
                                      <w:position w:val="1"/>
                                      <w:sz w:val="13"/>
                                    </w:rPr>
                                    <w:t> </w:t>
                                  </w:r>
                                  <w:r>
                                    <w:rPr>
                                      <w:w w:val="105"/>
                                      <w:position w:val="1"/>
                                      <w:sz w:val="13"/>
                                    </w:rPr>
                                    <w:t>the</w:t>
                                  </w:r>
                                  <w:r>
                                    <w:rPr>
                                      <w:spacing w:val="-10"/>
                                      <w:w w:val="105"/>
                                      <w:position w:val="1"/>
                                      <w:sz w:val="13"/>
                                    </w:rPr>
                                    <w:t> </w:t>
                                  </w:r>
                                  <w:r>
                                    <w:rPr>
                                      <w:w w:val="105"/>
                                      <w:position w:val="1"/>
                                      <w:sz w:val="13"/>
                                    </w:rPr>
                                    <w:t>discount</w:t>
                                  </w:r>
                                  <w:r>
                                    <w:rPr>
                                      <w:spacing w:val="-9"/>
                                      <w:w w:val="105"/>
                                      <w:position w:val="1"/>
                                      <w:sz w:val="13"/>
                                    </w:rPr>
                                    <w:t> </w:t>
                                  </w:r>
                                  <w:r>
                                    <w:rPr>
                                      <w:w w:val="105"/>
                                      <w:position w:val="1"/>
                                      <w:sz w:val="13"/>
                                    </w:rPr>
                                    <w:t>rate,</w:t>
                                  </w:r>
                                  <w:r>
                                    <w:rPr>
                                      <w:spacing w:val="40"/>
                                      <w:w w:val="105"/>
                                      <w:position w:val="1"/>
                                      <w:sz w:val="13"/>
                                    </w:rPr>
                                    <w:t> </w:t>
                                  </w:r>
                                  <w:r>
                                    <w:rPr>
                                      <w:spacing w:val="-2"/>
                                      <w:w w:val="105"/>
                                      <w:sz w:val="13"/>
                                    </w:rPr>
                                    <w:t>(2019:30%)</w:t>
                                  </w:r>
                                  <w:r>
                                    <w:rPr>
                                      <w:sz w:val="13"/>
                                    </w:rPr>
                                    <w:tab/>
                                    <w:tab/>
                                  </w:r>
                                  <w:r>
                                    <w:rPr>
                                      <w:w w:val="105"/>
                                      <w:position w:val="1"/>
                                      <w:sz w:val="13"/>
                                    </w:rPr>
                                    <w:t>the lower the fair value</w:t>
                                  </w:r>
                                </w:p>
                              </w:tc>
                            </w:tr>
                            <w:tr>
                              <w:trPr>
                                <w:trHeight w:val="163" w:hRule="atLeast"/>
                              </w:trPr>
                              <w:tc>
                                <w:tcPr>
                                  <w:tcW w:w="1973" w:type="dxa"/>
                                </w:tcPr>
                                <w:p>
                                  <w:pPr>
                                    <w:pStyle w:val="TableParagraph"/>
                                    <w:rPr>
                                      <w:rFonts w:ascii="Times New Roman"/>
                                      <w:sz w:val="10"/>
                                    </w:rPr>
                                  </w:pPr>
                                </w:p>
                              </w:tc>
                              <w:tc>
                                <w:tcPr>
                                  <w:tcW w:w="1038" w:type="dxa"/>
                                  <w:tcBorders>
                                    <w:top w:val="single" w:sz="6" w:space="0" w:color="000000"/>
                                  </w:tcBorders>
                                </w:tcPr>
                                <w:p>
                                  <w:pPr>
                                    <w:pStyle w:val="TableParagraph"/>
                                    <w:rPr>
                                      <w:rFonts w:ascii="Times New Roman"/>
                                      <w:sz w:val="10"/>
                                    </w:rPr>
                                  </w:pPr>
                                </w:p>
                              </w:tc>
                              <w:tc>
                                <w:tcPr>
                                  <w:tcW w:w="807" w:type="dxa"/>
                                  <w:tcBorders>
                                    <w:top w:val="single" w:sz="6" w:space="0" w:color="000000"/>
                                  </w:tcBorders>
                                </w:tcPr>
                                <w:p>
                                  <w:pPr>
                                    <w:pStyle w:val="TableParagraph"/>
                                    <w:rPr>
                                      <w:rFonts w:ascii="Times New Roman"/>
                                      <w:sz w:val="10"/>
                                    </w:rPr>
                                  </w:pPr>
                                </w:p>
                              </w:tc>
                              <w:tc>
                                <w:tcPr>
                                  <w:tcW w:w="4636" w:type="dxa"/>
                                  <w:tcBorders>
                                    <w:top w:val="single" w:sz="6" w:space="0" w:color="000000"/>
                                  </w:tcBorders>
                                </w:tcPr>
                                <w:p>
                                  <w:pPr>
                                    <w:pStyle w:val="TableParagraph"/>
                                    <w:spacing w:line="140" w:lineRule="exact" w:before="3"/>
                                    <w:ind w:left="247"/>
                                    <w:rPr>
                                      <w:sz w:val="13"/>
                                    </w:rPr>
                                  </w:pPr>
                                  <w:r>
                                    <w:rPr>
                                      <w:spacing w:val="-2"/>
                                      <w:w w:val="105"/>
                                      <w:sz w:val="13"/>
                                    </w:rPr>
                                    <w:t>Valuation</w:t>
                                  </w:r>
                                  <w:r>
                                    <w:rPr>
                                      <w:spacing w:val="4"/>
                                      <w:w w:val="105"/>
                                      <w:sz w:val="13"/>
                                    </w:rPr>
                                    <w:t> </w:t>
                                  </w:r>
                                  <w:r>
                                    <w:rPr>
                                      <w:spacing w:val="-2"/>
                                      <w:w w:val="105"/>
                                      <w:sz w:val="13"/>
                                    </w:rPr>
                                    <w:t>based</w:t>
                                  </w:r>
                                  <w:r>
                                    <w:rPr>
                                      <w:spacing w:val="4"/>
                                      <w:w w:val="105"/>
                                      <w:sz w:val="13"/>
                                    </w:rPr>
                                    <w:t> </w:t>
                                  </w:r>
                                  <w:r>
                                    <w:rPr>
                                      <w:spacing w:val="-5"/>
                                      <w:w w:val="105"/>
                                      <w:sz w:val="13"/>
                                    </w:rPr>
                                    <w:t>on</w:t>
                                  </w:r>
                                </w:p>
                              </w:tc>
                            </w:tr>
                            <w:tr>
                              <w:trPr>
                                <w:trHeight w:val="340" w:hRule="atLeast"/>
                              </w:trPr>
                              <w:tc>
                                <w:tcPr>
                                  <w:tcW w:w="1973" w:type="dxa"/>
                                  <w:tcBorders>
                                    <w:bottom w:val="single" w:sz="6" w:space="0" w:color="000000"/>
                                  </w:tcBorders>
                                </w:tcPr>
                                <w:p>
                                  <w:pPr>
                                    <w:pStyle w:val="TableParagraph"/>
                                    <w:rPr>
                                      <w:rFonts w:ascii="Times New Roman"/>
                                      <w:sz w:val="12"/>
                                    </w:rPr>
                                  </w:pPr>
                                </w:p>
                              </w:tc>
                              <w:tc>
                                <w:tcPr>
                                  <w:tcW w:w="1038" w:type="dxa"/>
                                  <w:tcBorders>
                                    <w:bottom w:val="single" w:sz="6" w:space="0" w:color="000000"/>
                                  </w:tcBorders>
                                </w:tcPr>
                                <w:p>
                                  <w:pPr>
                                    <w:pStyle w:val="TableParagraph"/>
                                    <w:spacing w:before="15"/>
                                    <w:ind w:right="230"/>
                                    <w:jc w:val="right"/>
                                    <w:rPr>
                                      <w:sz w:val="13"/>
                                    </w:rPr>
                                  </w:pPr>
                                  <w:r>
                                    <w:rPr>
                                      <w:spacing w:val="-2"/>
                                      <w:w w:val="105"/>
                                      <w:sz w:val="13"/>
                                    </w:rPr>
                                    <w:t>5,713</w:t>
                                  </w:r>
                                </w:p>
                              </w:tc>
                              <w:tc>
                                <w:tcPr>
                                  <w:tcW w:w="807" w:type="dxa"/>
                                  <w:tcBorders>
                                    <w:bottom w:val="single" w:sz="6" w:space="0" w:color="000000"/>
                                  </w:tcBorders>
                                </w:tcPr>
                                <w:p>
                                  <w:pPr>
                                    <w:pStyle w:val="TableParagraph"/>
                                    <w:spacing w:before="15"/>
                                    <w:ind w:left="148"/>
                                    <w:jc w:val="center"/>
                                    <w:rPr>
                                      <w:sz w:val="13"/>
                                    </w:rPr>
                                  </w:pPr>
                                  <w:r>
                                    <w:rPr>
                                      <w:spacing w:val="-2"/>
                                      <w:w w:val="105"/>
                                      <w:sz w:val="13"/>
                                    </w:rPr>
                                    <w:t>5,749</w:t>
                                  </w:r>
                                </w:p>
                              </w:tc>
                              <w:tc>
                                <w:tcPr>
                                  <w:tcW w:w="4636" w:type="dxa"/>
                                  <w:tcBorders>
                                    <w:bottom w:val="single" w:sz="6" w:space="0" w:color="000000"/>
                                  </w:tcBorders>
                                </w:tcPr>
                                <w:p>
                                  <w:pPr>
                                    <w:pStyle w:val="TableParagraph"/>
                                    <w:tabs>
                                      <w:tab w:pos="2129" w:val="left" w:leader="none"/>
                                      <w:tab w:pos="2732" w:val="left" w:leader="none"/>
                                    </w:tabs>
                                    <w:spacing w:line="91" w:lineRule="auto"/>
                                    <w:ind w:left="70"/>
                                    <w:jc w:val="center"/>
                                    <w:rPr>
                                      <w:sz w:val="13"/>
                                    </w:rPr>
                                  </w:pPr>
                                  <w:r>
                                    <w:rPr>
                                      <w:spacing w:val="-2"/>
                                      <w:w w:val="105"/>
                                      <w:position w:val="-8"/>
                                      <w:sz w:val="13"/>
                                    </w:rPr>
                                    <w:t>management</w:t>
                                  </w:r>
                                  <w:r>
                                    <w:rPr>
                                      <w:spacing w:val="5"/>
                                      <w:w w:val="105"/>
                                      <w:position w:val="-8"/>
                                      <w:sz w:val="13"/>
                                    </w:rPr>
                                    <w:t> </w:t>
                                  </w:r>
                                  <w:r>
                                    <w:rPr>
                                      <w:spacing w:val="-2"/>
                                      <w:w w:val="105"/>
                                      <w:position w:val="-8"/>
                                      <w:sz w:val="13"/>
                                    </w:rPr>
                                    <w:t>financial</w:t>
                                  </w:r>
                                  <w:r>
                                    <w:rPr>
                                      <w:position w:val="-8"/>
                                      <w:sz w:val="13"/>
                                    </w:rPr>
                                    <w:tab/>
                                  </w:r>
                                  <w:r>
                                    <w:rPr>
                                      <w:spacing w:val="-10"/>
                                      <w:w w:val="105"/>
                                      <w:position w:val="-8"/>
                                      <w:sz w:val="13"/>
                                    </w:rPr>
                                    <w:t>-</w:t>
                                  </w:r>
                                  <w:r>
                                    <w:rPr>
                                      <w:position w:val="-8"/>
                                      <w:sz w:val="13"/>
                                    </w:rPr>
                                    <w:tab/>
                                  </w:r>
                                  <w:r>
                                    <w:rPr>
                                      <w:w w:val="105"/>
                                      <w:sz w:val="13"/>
                                    </w:rPr>
                                    <w:t>The</w:t>
                                  </w:r>
                                  <w:r>
                                    <w:rPr>
                                      <w:spacing w:val="-8"/>
                                      <w:w w:val="105"/>
                                      <w:sz w:val="13"/>
                                    </w:rPr>
                                    <w:t> </w:t>
                                  </w:r>
                                  <w:r>
                                    <w:rPr>
                                      <w:w w:val="105"/>
                                      <w:sz w:val="13"/>
                                    </w:rPr>
                                    <w:t>higher</w:t>
                                  </w:r>
                                  <w:r>
                                    <w:rPr>
                                      <w:spacing w:val="-6"/>
                                      <w:w w:val="105"/>
                                      <w:sz w:val="13"/>
                                    </w:rPr>
                                    <w:t> </w:t>
                                  </w:r>
                                  <w:r>
                                    <w:rPr>
                                      <w:w w:val="105"/>
                                      <w:sz w:val="13"/>
                                    </w:rPr>
                                    <w:t>the</w:t>
                                  </w:r>
                                  <w:r>
                                    <w:rPr>
                                      <w:spacing w:val="-8"/>
                                      <w:w w:val="105"/>
                                      <w:sz w:val="13"/>
                                    </w:rPr>
                                    <w:t> </w:t>
                                  </w:r>
                                  <w:r>
                                    <w:rPr>
                                      <w:w w:val="105"/>
                                      <w:sz w:val="13"/>
                                    </w:rPr>
                                    <w:t>valuation,</w:t>
                                  </w:r>
                                  <w:r>
                                    <w:rPr>
                                      <w:spacing w:val="-7"/>
                                      <w:w w:val="105"/>
                                      <w:sz w:val="13"/>
                                    </w:rPr>
                                    <w:t> </w:t>
                                  </w:r>
                                  <w:r>
                                    <w:rPr>
                                      <w:spacing w:val="-5"/>
                                      <w:w w:val="105"/>
                                      <w:sz w:val="13"/>
                                    </w:rPr>
                                    <w:t>the</w:t>
                                  </w:r>
                                </w:p>
                                <w:p>
                                  <w:pPr>
                                    <w:pStyle w:val="TableParagraph"/>
                                    <w:tabs>
                                      <w:tab w:pos="2734" w:val="left" w:leader="none"/>
                                    </w:tabs>
                                    <w:spacing w:line="208" w:lineRule="auto"/>
                                    <w:ind w:left="170"/>
                                    <w:jc w:val="center"/>
                                    <w:rPr>
                                      <w:sz w:val="13"/>
                                    </w:rPr>
                                  </w:pPr>
                                  <w:r>
                                    <w:rPr>
                                      <w:spacing w:val="-2"/>
                                      <w:w w:val="105"/>
                                      <w:position w:val="-8"/>
                                      <w:sz w:val="13"/>
                                    </w:rPr>
                                    <w:t>statements</w:t>
                                  </w:r>
                                  <w:r>
                                    <w:rPr>
                                      <w:position w:val="-8"/>
                                      <w:sz w:val="13"/>
                                    </w:rPr>
                                    <w:tab/>
                                  </w:r>
                                  <w:r>
                                    <w:rPr>
                                      <w:w w:val="105"/>
                                      <w:sz w:val="13"/>
                                    </w:rPr>
                                    <w:t>greater</w:t>
                                  </w:r>
                                  <w:r>
                                    <w:rPr>
                                      <w:spacing w:val="-5"/>
                                      <w:w w:val="105"/>
                                      <w:sz w:val="13"/>
                                    </w:rPr>
                                    <w:t> </w:t>
                                  </w:r>
                                  <w:r>
                                    <w:rPr>
                                      <w:w w:val="105"/>
                                      <w:sz w:val="13"/>
                                    </w:rPr>
                                    <w:t>the</w:t>
                                  </w:r>
                                  <w:r>
                                    <w:rPr>
                                      <w:spacing w:val="-6"/>
                                      <w:w w:val="105"/>
                                      <w:sz w:val="13"/>
                                    </w:rPr>
                                    <w:t> </w:t>
                                  </w:r>
                                  <w:r>
                                    <w:rPr>
                                      <w:w w:val="105"/>
                                      <w:sz w:val="13"/>
                                    </w:rPr>
                                    <w:t>fair</w:t>
                                  </w:r>
                                  <w:r>
                                    <w:rPr>
                                      <w:spacing w:val="-4"/>
                                      <w:w w:val="105"/>
                                      <w:sz w:val="13"/>
                                    </w:rPr>
                                    <w:t> value</w:t>
                                  </w:r>
                                </w:p>
                              </w:tc>
                            </w:tr>
                          </w:tbl>
                          <w:p>
                            <w:pPr>
                              <w:pStyle w:val="BodyText"/>
                            </w:pPr>
                          </w:p>
                        </w:txbxContent>
                      </wps:txbx>
                      <wps:bodyPr wrap="square" lIns="0" tIns="0" rIns="0" bIns="0" rtlCol="0">
                        <a:noAutofit/>
                      </wps:bodyPr>
                    </wps:wsp>
                  </a:graphicData>
                </a:graphic>
              </wp:anchor>
            </w:drawing>
          </mc:Choice>
          <mc:Fallback>
            <w:pict>
              <v:shape style="position:absolute;margin-left:79.225502pt;margin-top:-17.232315pt;width:428.75pt;height:47.5pt;mso-position-horizontal-relative:page;mso-position-vertical-relative:paragraph;z-index:15904768" type="#_x0000_t202" id="docshape661"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73"/>
                        <w:gridCol w:w="1038"/>
                        <w:gridCol w:w="807"/>
                        <w:gridCol w:w="4636"/>
                      </w:tblGrid>
                      <w:tr>
                        <w:trPr>
                          <w:trHeight w:val="417" w:hRule="atLeast"/>
                        </w:trPr>
                        <w:tc>
                          <w:tcPr>
                            <w:tcW w:w="1973" w:type="dxa"/>
                          </w:tcPr>
                          <w:p>
                            <w:pPr>
                              <w:pStyle w:val="TableParagraph"/>
                              <w:spacing w:before="25"/>
                              <w:rPr>
                                <w:sz w:val="13"/>
                              </w:rPr>
                            </w:pPr>
                          </w:p>
                          <w:p>
                            <w:pPr>
                              <w:pStyle w:val="TableParagraph"/>
                              <w:ind w:left="26"/>
                              <w:rPr>
                                <w:sz w:val="13"/>
                              </w:rPr>
                            </w:pPr>
                            <w:r>
                              <w:rPr>
                                <w:w w:val="105"/>
                                <w:sz w:val="13"/>
                              </w:rPr>
                              <w:t>Unlisted</w:t>
                            </w:r>
                            <w:r>
                              <w:rPr>
                                <w:spacing w:val="-8"/>
                                <w:w w:val="105"/>
                                <w:sz w:val="13"/>
                              </w:rPr>
                              <w:t> </w:t>
                            </w:r>
                            <w:r>
                              <w:rPr>
                                <w:w w:val="105"/>
                                <w:sz w:val="13"/>
                              </w:rPr>
                              <w:t>shares</w:t>
                            </w:r>
                            <w:r>
                              <w:rPr>
                                <w:spacing w:val="-6"/>
                                <w:w w:val="105"/>
                                <w:sz w:val="13"/>
                              </w:rPr>
                              <w:t> </w:t>
                            </w:r>
                            <w:r>
                              <w:rPr>
                                <w:spacing w:val="-4"/>
                                <w:w w:val="105"/>
                                <w:sz w:val="13"/>
                              </w:rPr>
                              <w:t>with</w:t>
                            </w:r>
                          </w:p>
                        </w:tc>
                        <w:tc>
                          <w:tcPr>
                            <w:tcW w:w="1038" w:type="dxa"/>
                            <w:tcBorders>
                              <w:bottom w:val="single" w:sz="6" w:space="0" w:color="000000"/>
                            </w:tcBorders>
                          </w:tcPr>
                          <w:p>
                            <w:pPr>
                              <w:pStyle w:val="TableParagraph"/>
                              <w:spacing w:before="93"/>
                              <w:ind w:right="230"/>
                              <w:jc w:val="right"/>
                              <w:rPr>
                                <w:sz w:val="13"/>
                              </w:rPr>
                            </w:pPr>
                            <w:r>
                              <w:rPr>
                                <w:spacing w:val="-2"/>
                                <w:w w:val="105"/>
                                <w:sz w:val="13"/>
                              </w:rPr>
                              <w:t>50,092</w:t>
                            </w:r>
                          </w:p>
                        </w:tc>
                        <w:tc>
                          <w:tcPr>
                            <w:tcW w:w="807" w:type="dxa"/>
                            <w:tcBorders>
                              <w:bottom w:val="single" w:sz="6" w:space="0" w:color="000000"/>
                            </w:tcBorders>
                          </w:tcPr>
                          <w:p>
                            <w:pPr>
                              <w:pStyle w:val="TableParagraph"/>
                              <w:spacing w:before="93"/>
                              <w:ind w:left="148" w:right="75"/>
                              <w:jc w:val="center"/>
                              <w:rPr>
                                <w:sz w:val="13"/>
                              </w:rPr>
                            </w:pPr>
                            <w:r>
                              <w:rPr>
                                <w:spacing w:val="-2"/>
                                <w:w w:val="105"/>
                                <w:sz w:val="13"/>
                              </w:rPr>
                              <w:t>39,723</w:t>
                            </w:r>
                          </w:p>
                        </w:tc>
                        <w:tc>
                          <w:tcPr>
                            <w:tcW w:w="4636" w:type="dxa"/>
                            <w:tcBorders>
                              <w:bottom w:val="single" w:sz="6" w:space="0" w:color="000000"/>
                            </w:tcBorders>
                          </w:tcPr>
                          <w:p>
                            <w:pPr>
                              <w:pStyle w:val="TableParagraph"/>
                              <w:tabs>
                                <w:tab w:pos="2103" w:val="left" w:leader="none"/>
                                <w:tab w:pos="2818" w:val="left" w:leader="none"/>
                                <w:tab w:pos="3000" w:val="left" w:leader="none"/>
                              </w:tabs>
                              <w:spacing w:line="170" w:lineRule="auto" w:before="11"/>
                              <w:ind w:left="1886" w:right="84" w:hanging="1460"/>
                              <w:rPr>
                                <w:sz w:val="13"/>
                              </w:rPr>
                            </w:pPr>
                            <w:r>
                              <w:rPr>
                                <w:w w:val="105"/>
                                <w:position w:val="-7"/>
                                <w:sz w:val="13"/>
                              </w:rPr>
                              <w:t>Discount</w:t>
                            </w:r>
                            <w:r>
                              <w:rPr>
                                <w:spacing w:val="-4"/>
                                <w:w w:val="105"/>
                                <w:position w:val="-7"/>
                                <w:sz w:val="13"/>
                              </w:rPr>
                              <w:t> </w:t>
                            </w:r>
                            <w:r>
                              <w:rPr>
                                <w:w w:val="105"/>
                                <w:position w:val="-7"/>
                                <w:sz w:val="13"/>
                              </w:rPr>
                              <w:t>rate</w:t>
                            </w:r>
                            <w:r>
                              <w:rPr>
                                <w:position w:val="-7"/>
                                <w:sz w:val="13"/>
                              </w:rPr>
                              <w:tab/>
                              <w:tab/>
                            </w:r>
                            <w:r>
                              <w:rPr>
                                <w:spacing w:val="-4"/>
                                <w:w w:val="105"/>
                                <w:sz w:val="13"/>
                              </w:rPr>
                              <w:t>15%</w:t>
                            </w:r>
                            <w:r>
                              <w:rPr>
                                <w:sz w:val="13"/>
                              </w:rPr>
                              <w:tab/>
                            </w:r>
                            <w:r>
                              <w:rPr>
                                <w:w w:val="105"/>
                                <w:position w:val="1"/>
                                <w:sz w:val="13"/>
                              </w:rPr>
                              <w:t>The</w:t>
                            </w:r>
                            <w:r>
                              <w:rPr>
                                <w:spacing w:val="-10"/>
                                <w:w w:val="105"/>
                                <w:position w:val="1"/>
                                <w:sz w:val="13"/>
                              </w:rPr>
                              <w:t> </w:t>
                            </w:r>
                            <w:r>
                              <w:rPr>
                                <w:w w:val="105"/>
                                <w:position w:val="1"/>
                                <w:sz w:val="13"/>
                              </w:rPr>
                              <w:t>higher</w:t>
                            </w:r>
                            <w:r>
                              <w:rPr>
                                <w:spacing w:val="-9"/>
                                <w:w w:val="105"/>
                                <w:position w:val="1"/>
                                <w:sz w:val="13"/>
                              </w:rPr>
                              <w:t> </w:t>
                            </w:r>
                            <w:r>
                              <w:rPr>
                                <w:w w:val="105"/>
                                <w:position w:val="1"/>
                                <w:sz w:val="13"/>
                              </w:rPr>
                              <w:t>the</w:t>
                            </w:r>
                            <w:r>
                              <w:rPr>
                                <w:spacing w:val="-10"/>
                                <w:w w:val="105"/>
                                <w:position w:val="1"/>
                                <w:sz w:val="13"/>
                              </w:rPr>
                              <w:t> </w:t>
                            </w:r>
                            <w:r>
                              <w:rPr>
                                <w:w w:val="105"/>
                                <w:position w:val="1"/>
                                <w:sz w:val="13"/>
                              </w:rPr>
                              <w:t>discount</w:t>
                            </w:r>
                            <w:r>
                              <w:rPr>
                                <w:spacing w:val="-9"/>
                                <w:w w:val="105"/>
                                <w:position w:val="1"/>
                                <w:sz w:val="13"/>
                              </w:rPr>
                              <w:t> </w:t>
                            </w:r>
                            <w:r>
                              <w:rPr>
                                <w:w w:val="105"/>
                                <w:position w:val="1"/>
                                <w:sz w:val="13"/>
                              </w:rPr>
                              <w:t>rate,</w:t>
                            </w:r>
                            <w:r>
                              <w:rPr>
                                <w:spacing w:val="40"/>
                                <w:w w:val="105"/>
                                <w:position w:val="1"/>
                                <w:sz w:val="13"/>
                              </w:rPr>
                              <w:t> </w:t>
                            </w:r>
                            <w:r>
                              <w:rPr>
                                <w:spacing w:val="-2"/>
                                <w:w w:val="105"/>
                                <w:sz w:val="13"/>
                              </w:rPr>
                              <w:t>(2019:30%)</w:t>
                            </w:r>
                            <w:r>
                              <w:rPr>
                                <w:sz w:val="13"/>
                              </w:rPr>
                              <w:tab/>
                              <w:tab/>
                            </w:r>
                            <w:r>
                              <w:rPr>
                                <w:w w:val="105"/>
                                <w:position w:val="1"/>
                                <w:sz w:val="13"/>
                              </w:rPr>
                              <w:t>the lower the fair value</w:t>
                            </w:r>
                          </w:p>
                        </w:tc>
                      </w:tr>
                      <w:tr>
                        <w:trPr>
                          <w:trHeight w:val="163" w:hRule="atLeast"/>
                        </w:trPr>
                        <w:tc>
                          <w:tcPr>
                            <w:tcW w:w="1973" w:type="dxa"/>
                          </w:tcPr>
                          <w:p>
                            <w:pPr>
                              <w:pStyle w:val="TableParagraph"/>
                              <w:rPr>
                                <w:rFonts w:ascii="Times New Roman"/>
                                <w:sz w:val="10"/>
                              </w:rPr>
                            </w:pPr>
                          </w:p>
                        </w:tc>
                        <w:tc>
                          <w:tcPr>
                            <w:tcW w:w="1038" w:type="dxa"/>
                            <w:tcBorders>
                              <w:top w:val="single" w:sz="6" w:space="0" w:color="000000"/>
                            </w:tcBorders>
                          </w:tcPr>
                          <w:p>
                            <w:pPr>
                              <w:pStyle w:val="TableParagraph"/>
                              <w:rPr>
                                <w:rFonts w:ascii="Times New Roman"/>
                                <w:sz w:val="10"/>
                              </w:rPr>
                            </w:pPr>
                          </w:p>
                        </w:tc>
                        <w:tc>
                          <w:tcPr>
                            <w:tcW w:w="807" w:type="dxa"/>
                            <w:tcBorders>
                              <w:top w:val="single" w:sz="6" w:space="0" w:color="000000"/>
                            </w:tcBorders>
                          </w:tcPr>
                          <w:p>
                            <w:pPr>
                              <w:pStyle w:val="TableParagraph"/>
                              <w:rPr>
                                <w:rFonts w:ascii="Times New Roman"/>
                                <w:sz w:val="10"/>
                              </w:rPr>
                            </w:pPr>
                          </w:p>
                        </w:tc>
                        <w:tc>
                          <w:tcPr>
                            <w:tcW w:w="4636" w:type="dxa"/>
                            <w:tcBorders>
                              <w:top w:val="single" w:sz="6" w:space="0" w:color="000000"/>
                            </w:tcBorders>
                          </w:tcPr>
                          <w:p>
                            <w:pPr>
                              <w:pStyle w:val="TableParagraph"/>
                              <w:spacing w:line="140" w:lineRule="exact" w:before="3"/>
                              <w:ind w:left="247"/>
                              <w:rPr>
                                <w:sz w:val="13"/>
                              </w:rPr>
                            </w:pPr>
                            <w:r>
                              <w:rPr>
                                <w:spacing w:val="-2"/>
                                <w:w w:val="105"/>
                                <w:sz w:val="13"/>
                              </w:rPr>
                              <w:t>Valuation</w:t>
                            </w:r>
                            <w:r>
                              <w:rPr>
                                <w:spacing w:val="4"/>
                                <w:w w:val="105"/>
                                <w:sz w:val="13"/>
                              </w:rPr>
                              <w:t> </w:t>
                            </w:r>
                            <w:r>
                              <w:rPr>
                                <w:spacing w:val="-2"/>
                                <w:w w:val="105"/>
                                <w:sz w:val="13"/>
                              </w:rPr>
                              <w:t>based</w:t>
                            </w:r>
                            <w:r>
                              <w:rPr>
                                <w:spacing w:val="4"/>
                                <w:w w:val="105"/>
                                <w:sz w:val="13"/>
                              </w:rPr>
                              <w:t> </w:t>
                            </w:r>
                            <w:r>
                              <w:rPr>
                                <w:spacing w:val="-5"/>
                                <w:w w:val="105"/>
                                <w:sz w:val="13"/>
                              </w:rPr>
                              <w:t>on</w:t>
                            </w:r>
                          </w:p>
                        </w:tc>
                      </w:tr>
                      <w:tr>
                        <w:trPr>
                          <w:trHeight w:val="340" w:hRule="atLeast"/>
                        </w:trPr>
                        <w:tc>
                          <w:tcPr>
                            <w:tcW w:w="1973" w:type="dxa"/>
                            <w:tcBorders>
                              <w:bottom w:val="single" w:sz="6" w:space="0" w:color="000000"/>
                            </w:tcBorders>
                          </w:tcPr>
                          <w:p>
                            <w:pPr>
                              <w:pStyle w:val="TableParagraph"/>
                              <w:rPr>
                                <w:rFonts w:ascii="Times New Roman"/>
                                <w:sz w:val="12"/>
                              </w:rPr>
                            </w:pPr>
                          </w:p>
                        </w:tc>
                        <w:tc>
                          <w:tcPr>
                            <w:tcW w:w="1038" w:type="dxa"/>
                            <w:tcBorders>
                              <w:bottom w:val="single" w:sz="6" w:space="0" w:color="000000"/>
                            </w:tcBorders>
                          </w:tcPr>
                          <w:p>
                            <w:pPr>
                              <w:pStyle w:val="TableParagraph"/>
                              <w:spacing w:before="15"/>
                              <w:ind w:right="230"/>
                              <w:jc w:val="right"/>
                              <w:rPr>
                                <w:sz w:val="13"/>
                              </w:rPr>
                            </w:pPr>
                            <w:r>
                              <w:rPr>
                                <w:spacing w:val="-2"/>
                                <w:w w:val="105"/>
                                <w:sz w:val="13"/>
                              </w:rPr>
                              <w:t>5,713</w:t>
                            </w:r>
                          </w:p>
                        </w:tc>
                        <w:tc>
                          <w:tcPr>
                            <w:tcW w:w="807" w:type="dxa"/>
                            <w:tcBorders>
                              <w:bottom w:val="single" w:sz="6" w:space="0" w:color="000000"/>
                            </w:tcBorders>
                          </w:tcPr>
                          <w:p>
                            <w:pPr>
                              <w:pStyle w:val="TableParagraph"/>
                              <w:spacing w:before="15"/>
                              <w:ind w:left="148"/>
                              <w:jc w:val="center"/>
                              <w:rPr>
                                <w:sz w:val="13"/>
                              </w:rPr>
                            </w:pPr>
                            <w:r>
                              <w:rPr>
                                <w:spacing w:val="-2"/>
                                <w:w w:val="105"/>
                                <w:sz w:val="13"/>
                              </w:rPr>
                              <w:t>5,749</w:t>
                            </w:r>
                          </w:p>
                        </w:tc>
                        <w:tc>
                          <w:tcPr>
                            <w:tcW w:w="4636" w:type="dxa"/>
                            <w:tcBorders>
                              <w:bottom w:val="single" w:sz="6" w:space="0" w:color="000000"/>
                            </w:tcBorders>
                          </w:tcPr>
                          <w:p>
                            <w:pPr>
                              <w:pStyle w:val="TableParagraph"/>
                              <w:tabs>
                                <w:tab w:pos="2129" w:val="left" w:leader="none"/>
                                <w:tab w:pos="2732" w:val="left" w:leader="none"/>
                              </w:tabs>
                              <w:spacing w:line="91" w:lineRule="auto"/>
                              <w:ind w:left="70"/>
                              <w:jc w:val="center"/>
                              <w:rPr>
                                <w:sz w:val="13"/>
                              </w:rPr>
                            </w:pPr>
                            <w:r>
                              <w:rPr>
                                <w:spacing w:val="-2"/>
                                <w:w w:val="105"/>
                                <w:position w:val="-8"/>
                                <w:sz w:val="13"/>
                              </w:rPr>
                              <w:t>management</w:t>
                            </w:r>
                            <w:r>
                              <w:rPr>
                                <w:spacing w:val="5"/>
                                <w:w w:val="105"/>
                                <w:position w:val="-8"/>
                                <w:sz w:val="13"/>
                              </w:rPr>
                              <w:t> </w:t>
                            </w:r>
                            <w:r>
                              <w:rPr>
                                <w:spacing w:val="-2"/>
                                <w:w w:val="105"/>
                                <w:position w:val="-8"/>
                                <w:sz w:val="13"/>
                              </w:rPr>
                              <w:t>financial</w:t>
                            </w:r>
                            <w:r>
                              <w:rPr>
                                <w:position w:val="-8"/>
                                <w:sz w:val="13"/>
                              </w:rPr>
                              <w:tab/>
                            </w:r>
                            <w:r>
                              <w:rPr>
                                <w:spacing w:val="-10"/>
                                <w:w w:val="105"/>
                                <w:position w:val="-8"/>
                                <w:sz w:val="13"/>
                              </w:rPr>
                              <w:t>-</w:t>
                            </w:r>
                            <w:r>
                              <w:rPr>
                                <w:position w:val="-8"/>
                                <w:sz w:val="13"/>
                              </w:rPr>
                              <w:tab/>
                            </w:r>
                            <w:r>
                              <w:rPr>
                                <w:w w:val="105"/>
                                <w:sz w:val="13"/>
                              </w:rPr>
                              <w:t>The</w:t>
                            </w:r>
                            <w:r>
                              <w:rPr>
                                <w:spacing w:val="-8"/>
                                <w:w w:val="105"/>
                                <w:sz w:val="13"/>
                              </w:rPr>
                              <w:t> </w:t>
                            </w:r>
                            <w:r>
                              <w:rPr>
                                <w:w w:val="105"/>
                                <w:sz w:val="13"/>
                              </w:rPr>
                              <w:t>higher</w:t>
                            </w:r>
                            <w:r>
                              <w:rPr>
                                <w:spacing w:val="-6"/>
                                <w:w w:val="105"/>
                                <w:sz w:val="13"/>
                              </w:rPr>
                              <w:t> </w:t>
                            </w:r>
                            <w:r>
                              <w:rPr>
                                <w:w w:val="105"/>
                                <w:sz w:val="13"/>
                              </w:rPr>
                              <w:t>the</w:t>
                            </w:r>
                            <w:r>
                              <w:rPr>
                                <w:spacing w:val="-8"/>
                                <w:w w:val="105"/>
                                <w:sz w:val="13"/>
                              </w:rPr>
                              <w:t> </w:t>
                            </w:r>
                            <w:r>
                              <w:rPr>
                                <w:w w:val="105"/>
                                <w:sz w:val="13"/>
                              </w:rPr>
                              <w:t>valuation,</w:t>
                            </w:r>
                            <w:r>
                              <w:rPr>
                                <w:spacing w:val="-7"/>
                                <w:w w:val="105"/>
                                <w:sz w:val="13"/>
                              </w:rPr>
                              <w:t> </w:t>
                            </w:r>
                            <w:r>
                              <w:rPr>
                                <w:spacing w:val="-5"/>
                                <w:w w:val="105"/>
                                <w:sz w:val="13"/>
                              </w:rPr>
                              <w:t>the</w:t>
                            </w:r>
                          </w:p>
                          <w:p>
                            <w:pPr>
                              <w:pStyle w:val="TableParagraph"/>
                              <w:tabs>
                                <w:tab w:pos="2734" w:val="left" w:leader="none"/>
                              </w:tabs>
                              <w:spacing w:line="208" w:lineRule="auto"/>
                              <w:ind w:left="170"/>
                              <w:jc w:val="center"/>
                              <w:rPr>
                                <w:sz w:val="13"/>
                              </w:rPr>
                            </w:pPr>
                            <w:r>
                              <w:rPr>
                                <w:spacing w:val="-2"/>
                                <w:w w:val="105"/>
                                <w:position w:val="-8"/>
                                <w:sz w:val="13"/>
                              </w:rPr>
                              <w:t>statements</w:t>
                            </w:r>
                            <w:r>
                              <w:rPr>
                                <w:position w:val="-8"/>
                                <w:sz w:val="13"/>
                              </w:rPr>
                              <w:tab/>
                            </w:r>
                            <w:r>
                              <w:rPr>
                                <w:w w:val="105"/>
                                <w:sz w:val="13"/>
                              </w:rPr>
                              <w:t>greater</w:t>
                            </w:r>
                            <w:r>
                              <w:rPr>
                                <w:spacing w:val="-5"/>
                                <w:w w:val="105"/>
                                <w:sz w:val="13"/>
                              </w:rPr>
                              <w:t> </w:t>
                            </w:r>
                            <w:r>
                              <w:rPr>
                                <w:w w:val="105"/>
                                <w:sz w:val="13"/>
                              </w:rPr>
                              <w:t>the</w:t>
                            </w:r>
                            <w:r>
                              <w:rPr>
                                <w:spacing w:val="-6"/>
                                <w:w w:val="105"/>
                                <w:sz w:val="13"/>
                              </w:rPr>
                              <w:t> </w:t>
                            </w:r>
                            <w:r>
                              <w:rPr>
                                <w:w w:val="105"/>
                                <w:sz w:val="13"/>
                              </w:rPr>
                              <w:t>fair</w:t>
                            </w:r>
                            <w:r>
                              <w:rPr>
                                <w:spacing w:val="-4"/>
                                <w:w w:val="105"/>
                                <w:sz w:val="13"/>
                              </w:rPr>
                              <w:t> value</w:t>
                            </w:r>
                          </w:p>
                        </w:tc>
                      </w:tr>
                    </w:tbl>
                    <w:p>
                      <w:pPr>
                        <w:pStyle w:val="BodyText"/>
                      </w:pPr>
                    </w:p>
                  </w:txbxContent>
                </v:textbox>
                <w10:wrap type="none"/>
              </v:shape>
            </w:pict>
          </mc:Fallback>
        </mc:AlternateContent>
      </w:r>
      <w:r>
        <w:rPr>
          <w:w w:val="105"/>
          <w:sz w:val="13"/>
        </w:rPr>
        <w:t>underlying</w:t>
      </w:r>
      <w:r>
        <w:rPr>
          <w:spacing w:val="-10"/>
          <w:w w:val="105"/>
          <w:sz w:val="13"/>
        </w:rPr>
        <w:t> </w:t>
      </w:r>
      <w:r>
        <w:rPr>
          <w:w w:val="105"/>
          <w:sz w:val="13"/>
        </w:rPr>
        <w:t>investment</w:t>
      </w:r>
      <w:r>
        <w:rPr>
          <w:spacing w:val="-9"/>
          <w:w w:val="105"/>
          <w:sz w:val="13"/>
        </w:rPr>
        <w:t> </w:t>
      </w:r>
      <w:r>
        <w:rPr>
          <w:w w:val="105"/>
          <w:sz w:val="13"/>
        </w:rPr>
        <w:t>or</w:t>
      </w:r>
      <w:r>
        <w:rPr>
          <w:spacing w:val="40"/>
          <w:w w:val="105"/>
          <w:sz w:val="13"/>
        </w:rPr>
        <w:t> </w:t>
      </w:r>
      <w:r>
        <w:rPr>
          <w:w w:val="105"/>
          <w:sz w:val="13"/>
        </w:rPr>
        <w:t>infrastructure</w:t>
      </w:r>
      <w:r>
        <w:rPr>
          <w:spacing w:val="-6"/>
          <w:w w:val="105"/>
          <w:sz w:val="13"/>
        </w:rPr>
        <w:t> </w:t>
      </w:r>
      <w:r>
        <w:rPr>
          <w:w w:val="105"/>
          <w:sz w:val="13"/>
        </w:rPr>
        <w:t>assets</w:t>
      </w:r>
    </w:p>
    <w:p>
      <w:pPr>
        <w:spacing w:line="240" w:lineRule="auto" w:before="46"/>
        <w:rPr>
          <w:sz w:val="20"/>
        </w:rPr>
      </w:pPr>
    </w:p>
    <w:p>
      <w:pPr>
        <w:spacing w:after="0" w:line="240" w:lineRule="auto"/>
        <w:rPr>
          <w:sz w:val="20"/>
        </w:rPr>
        <w:sectPr>
          <w:type w:val="continuous"/>
          <w:pgSz w:w="11910" w:h="16840"/>
          <w:pgMar w:header="468" w:footer="0" w:top="980" w:bottom="280" w:left="1020" w:right="1540"/>
        </w:sectPr>
      </w:pPr>
    </w:p>
    <w:p>
      <w:pPr>
        <w:spacing w:line="273" w:lineRule="auto" w:before="102"/>
        <w:ind w:left="650" w:right="38" w:firstLine="0"/>
        <w:jc w:val="left"/>
        <w:rPr>
          <w:sz w:val="13"/>
        </w:rPr>
      </w:pPr>
      <w:r>
        <w:rPr>
          <w:w w:val="105"/>
          <w:sz w:val="13"/>
        </w:rPr>
        <w:t>Unlisted shares with</w:t>
      </w:r>
      <w:r>
        <w:rPr>
          <w:spacing w:val="40"/>
          <w:w w:val="105"/>
          <w:sz w:val="13"/>
        </w:rPr>
        <w:t> </w:t>
      </w:r>
      <w:r>
        <w:rPr>
          <w:w w:val="105"/>
          <w:sz w:val="13"/>
        </w:rPr>
        <w:t>intellectual</w:t>
      </w:r>
      <w:r>
        <w:rPr>
          <w:spacing w:val="-10"/>
          <w:w w:val="105"/>
          <w:sz w:val="13"/>
        </w:rPr>
        <w:t> </w:t>
      </w:r>
      <w:r>
        <w:rPr>
          <w:w w:val="105"/>
          <w:sz w:val="13"/>
        </w:rPr>
        <w:t>property</w:t>
      </w:r>
      <w:r>
        <w:rPr>
          <w:spacing w:val="-9"/>
          <w:w w:val="105"/>
          <w:sz w:val="13"/>
        </w:rPr>
        <w:t> </w:t>
      </w:r>
      <w:r>
        <w:rPr>
          <w:w w:val="105"/>
          <w:sz w:val="13"/>
        </w:rPr>
        <w:t>assets</w:t>
      </w:r>
    </w:p>
    <w:p>
      <w:pPr>
        <w:spacing w:line="240" w:lineRule="auto" w:before="27"/>
        <w:rPr>
          <w:sz w:val="13"/>
        </w:rPr>
      </w:pPr>
      <w:r>
        <w:rPr/>
        <w:br w:type="column"/>
      </w:r>
      <w:r>
        <w:rPr>
          <w:sz w:val="13"/>
        </w:rPr>
      </w:r>
    </w:p>
    <w:p>
      <w:pPr>
        <w:tabs>
          <w:tab w:pos="1529" w:val="left" w:leader="none"/>
          <w:tab w:pos="3288" w:val="left" w:leader="none"/>
        </w:tabs>
        <w:spacing w:before="0"/>
        <w:ind w:left="650" w:right="0" w:firstLine="0"/>
        <w:jc w:val="left"/>
        <w:rPr>
          <w:sz w:val="13"/>
        </w:rPr>
      </w:pPr>
      <w:r>
        <w:rPr>
          <w:spacing w:val="-2"/>
          <w:w w:val="105"/>
          <w:sz w:val="13"/>
        </w:rPr>
        <w:t>1,159</w:t>
      </w:r>
      <w:r>
        <w:rPr>
          <w:sz w:val="13"/>
        </w:rPr>
        <w:tab/>
      </w:r>
      <w:r>
        <w:rPr>
          <w:spacing w:val="-2"/>
          <w:w w:val="105"/>
          <w:sz w:val="13"/>
        </w:rPr>
        <w:t>1,487</w:t>
      </w:r>
      <w:r>
        <w:rPr>
          <w:sz w:val="13"/>
        </w:rPr>
        <w:tab/>
      </w:r>
      <w:r>
        <w:rPr>
          <w:w w:val="105"/>
          <w:position w:val="1"/>
          <w:sz w:val="13"/>
        </w:rPr>
        <w:t>Not</w:t>
      </w:r>
      <w:r>
        <w:rPr>
          <w:spacing w:val="-6"/>
          <w:w w:val="105"/>
          <w:position w:val="1"/>
          <w:sz w:val="13"/>
        </w:rPr>
        <w:t> </w:t>
      </w:r>
      <w:r>
        <w:rPr>
          <w:w w:val="105"/>
          <w:position w:val="1"/>
          <w:sz w:val="13"/>
        </w:rPr>
        <w:t>applicable</w:t>
      </w:r>
      <w:r>
        <w:rPr>
          <w:spacing w:val="-6"/>
          <w:w w:val="105"/>
          <w:position w:val="1"/>
          <w:sz w:val="13"/>
        </w:rPr>
        <w:t> </w:t>
      </w:r>
      <w:r>
        <w:rPr>
          <w:w w:val="105"/>
          <w:position w:val="1"/>
          <w:sz w:val="13"/>
        </w:rPr>
        <w:t>-</w:t>
      </w:r>
      <w:r>
        <w:rPr>
          <w:spacing w:val="-4"/>
          <w:w w:val="105"/>
          <w:position w:val="1"/>
          <w:sz w:val="13"/>
        </w:rPr>
        <w:t> </w:t>
      </w:r>
      <w:r>
        <w:rPr>
          <w:w w:val="105"/>
          <w:position w:val="1"/>
          <w:sz w:val="13"/>
        </w:rPr>
        <w:t>measured</w:t>
      </w:r>
      <w:r>
        <w:rPr>
          <w:spacing w:val="-6"/>
          <w:w w:val="105"/>
          <w:position w:val="1"/>
          <w:sz w:val="13"/>
        </w:rPr>
        <w:t> </w:t>
      </w:r>
      <w:r>
        <w:rPr>
          <w:w w:val="105"/>
          <w:position w:val="1"/>
          <w:sz w:val="13"/>
        </w:rPr>
        <w:t>at</w:t>
      </w:r>
      <w:r>
        <w:rPr>
          <w:spacing w:val="-6"/>
          <w:w w:val="105"/>
          <w:position w:val="1"/>
          <w:sz w:val="13"/>
        </w:rPr>
        <w:t> </w:t>
      </w:r>
      <w:r>
        <w:rPr>
          <w:spacing w:val="-4"/>
          <w:w w:val="105"/>
          <w:position w:val="1"/>
          <w:sz w:val="13"/>
        </w:rPr>
        <w:t>cost</w:t>
      </w:r>
    </w:p>
    <w:p>
      <w:pPr>
        <w:spacing w:after="0"/>
        <w:jc w:val="left"/>
        <w:rPr>
          <w:sz w:val="13"/>
        </w:rPr>
        <w:sectPr>
          <w:type w:val="continuous"/>
          <w:pgSz w:w="11910" w:h="16840"/>
          <w:pgMar w:header="468" w:footer="0" w:top="980" w:bottom="280" w:left="1020" w:right="1540"/>
          <w:cols w:num="2" w:equalWidth="0">
            <w:col w:w="2301" w:space="113"/>
            <w:col w:w="6936"/>
          </w:cols>
        </w:sectPr>
      </w:pPr>
    </w:p>
    <w:p>
      <w:pPr>
        <w:spacing w:line="240" w:lineRule="auto" w:before="9" w:after="0"/>
        <w:rPr>
          <w:sz w:val="7"/>
        </w:rPr>
      </w:pPr>
    </w:p>
    <w:p>
      <w:pPr>
        <w:spacing w:line="20" w:lineRule="exact"/>
        <w:ind w:left="624" w:right="0" w:firstLine="0"/>
        <w:rPr>
          <w:sz w:val="2"/>
        </w:rPr>
      </w:pPr>
      <w:r>
        <w:rPr>
          <w:sz w:val="2"/>
        </w:rPr>
        <mc:AlternateContent>
          <mc:Choice Requires="wps">
            <w:drawing>
              <wp:inline distT="0" distB="0" distL="0" distR="0">
                <wp:extent cx="5368925" cy="8890"/>
                <wp:effectExtent l="0" t="0" r="0" b="635"/>
                <wp:docPr id="972" name="Group 972"/>
                <wp:cNvGraphicFramePr>
                  <a:graphicFrameLocks/>
                </wp:cNvGraphicFramePr>
                <a:graphic>
                  <a:graphicData uri="http://schemas.microsoft.com/office/word/2010/wordprocessingGroup">
                    <wpg:wgp>
                      <wpg:cNvPr id="972" name="Group 972"/>
                      <wpg:cNvGrpSpPr/>
                      <wpg:grpSpPr>
                        <a:xfrm>
                          <a:off x="0" y="0"/>
                          <a:ext cx="5368925" cy="8890"/>
                          <a:chExt cx="5368925" cy="8890"/>
                        </a:xfrm>
                      </wpg:grpSpPr>
                      <wps:wsp>
                        <wps:cNvPr id="973" name="Graphic 973"/>
                        <wps:cNvSpPr/>
                        <wps:spPr>
                          <a:xfrm>
                            <a:off x="0" y="1"/>
                            <a:ext cx="5368925" cy="1270"/>
                          </a:xfrm>
                          <a:custGeom>
                            <a:avLst/>
                            <a:gdLst/>
                            <a:ahLst/>
                            <a:cxnLst/>
                            <a:rect l="l" t="t" r="r" b="b"/>
                            <a:pathLst>
                              <a:path w="5368925" h="0">
                                <a:moveTo>
                                  <a:pt x="0" y="0"/>
                                </a:moveTo>
                                <a:lnTo>
                                  <a:pt x="5368747" y="0"/>
                                </a:lnTo>
                              </a:path>
                            </a:pathLst>
                          </a:custGeom>
                          <a:ln w="0">
                            <a:solidFill>
                              <a:srgbClr val="000000"/>
                            </a:solidFill>
                            <a:prstDash val="solid"/>
                          </a:ln>
                        </wps:spPr>
                        <wps:bodyPr wrap="square" lIns="0" tIns="0" rIns="0" bIns="0" rtlCol="0">
                          <a:prstTxWarp prst="textNoShape">
                            <a:avLst/>
                          </a:prstTxWarp>
                          <a:noAutofit/>
                        </wps:bodyPr>
                      </wps:wsp>
                      <wps:wsp>
                        <wps:cNvPr id="974" name="Graphic 974"/>
                        <wps:cNvSpPr/>
                        <wps:spPr>
                          <a:xfrm>
                            <a:off x="6" y="0"/>
                            <a:ext cx="5368925" cy="8890"/>
                          </a:xfrm>
                          <a:custGeom>
                            <a:avLst/>
                            <a:gdLst/>
                            <a:ahLst/>
                            <a:cxnLst/>
                            <a:rect l="l" t="t" r="r" b="b"/>
                            <a:pathLst>
                              <a:path w="5368925" h="8890">
                                <a:moveTo>
                                  <a:pt x="5368747" y="0"/>
                                </a:moveTo>
                                <a:lnTo>
                                  <a:pt x="0" y="0"/>
                                </a:lnTo>
                                <a:lnTo>
                                  <a:pt x="0" y="8445"/>
                                </a:lnTo>
                                <a:lnTo>
                                  <a:pt x="5368747" y="8445"/>
                                </a:lnTo>
                                <a:lnTo>
                                  <a:pt x="5368747"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422.75pt;height:.7pt;mso-position-horizontal-relative:char;mso-position-vertical-relative:line" id="docshapegroup662" coordorigin="0,0" coordsize="8455,14">
                <v:line style="position:absolute" from="0,0" to="8455,0" stroked="true" strokeweight="0pt" strokecolor="#000000">
                  <v:stroke dashstyle="solid"/>
                </v:line>
                <v:rect style="position:absolute;left:0;top:0;width:8455;height:14" id="docshape663" filled="true" fillcolor="#000000" stroked="false">
                  <v:fill type="solid"/>
                </v:rect>
              </v:group>
            </w:pict>
          </mc:Fallback>
        </mc:AlternateContent>
      </w:r>
      <w:r>
        <w:rPr>
          <w:sz w:val="2"/>
        </w:rPr>
      </w:r>
    </w:p>
    <w:p>
      <w:pPr>
        <w:spacing w:line="240" w:lineRule="auto" w:before="60"/>
        <w:rPr>
          <w:sz w:val="13"/>
        </w:rPr>
      </w:pPr>
    </w:p>
    <w:p>
      <w:pPr>
        <w:pStyle w:val="ListParagraph"/>
        <w:numPr>
          <w:ilvl w:val="0"/>
          <w:numId w:val="40"/>
        </w:numPr>
        <w:tabs>
          <w:tab w:pos="892" w:val="left" w:leader="none"/>
        </w:tabs>
        <w:spacing w:line="240" w:lineRule="auto" w:before="0" w:after="0"/>
        <w:ind w:left="892" w:right="0" w:hanging="241"/>
        <w:jc w:val="both"/>
        <w:rPr>
          <w:b/>
          <w:sz w:val="13"/>
        </w:rPr>
      </w:pPr>
      <w:r>
        <w:rPr>
          <w:b/>
          <w:w w:val="105"/>
          <w:sz w:val="13"/>
        </w:rPr>
        <w:t>Valuation</w:t>
      </w:r>
      <w:r>
        <w:rPr>
          <w:b/>
          <w:spacing w:val="-8"/>
          <w:w w:val="105"/>
          <w:sz w:val="13"/>
        </w:rPr>
        <w:t> </w:t>
      </w:r>
      <w:r>
        <w:rPr>
          <w:b/>
          <w:spacing w:val="-2"/>
          <w:w w:val="105"/>
          <w:sz w:val="13"/>
        </w:rPr>
        <w:t>processes</w:t>
      </w:r>
    </w:p>
    <w:p>
      <w:pPr>
        <w:spacing w:line="273" w:lineRule="auto" w:before="57"/>
        <w:ind w:left="650" w:right="289" w:firstLine="0"/>
        <w:jc w:val="both"/>
        <w:rPr>
          <w:sz w:val="13"/>
        </w:rPr>
      </w:pPr>
      <w:r>
        <w:rPr>
          <w:w w:val="105"/>
          <w:sz w:val="13"/>
        </w:rPr>
        <w:t>The</w:t>
      </w:r>
      <w:r>
        <w:rPr>
          <w:w w:val="105"/>
          <w:sz w:val="13"/>
        </w:rPr>
        <w:t> fair</w:t>
      </w:r>
      <w:r>
        <w:rPr>
          <w:w w:val="105"/>
          <w:sz w:val="13"/>
        </w:rPr>
        <w:t> value</w:t>
      </w:r>
      <w:r>
        <w:rPr>
          <w:w w:val="105"/>
          <w:sz w:val="13"/>
        </w:rPr>
        <w:t> of</w:t>
      </w:r>
      <w:r>
        <w:rPr>
          <w:w w:val="105"/>
          <w:sz w:val="13"/>
        </w:rPr>
        <w:t> unlisted</w:t>
      </w:r>
      <w:r>
        <w:rPr>
          <w:w w:val="105"/>
          <w:sz w:val="13"/>
        </w:rPr>
        <w:t> shares</w:t>
      </w:r>
      <w:r>
        <w:rPr>
          <w:w w:val="105"/>
          <w:sz w:val="13"/>
        </w:rPr>
        <w:t> held</w:t>
      </w:r>
      <w:r>
        <w:rPr>
          <w:w w:val="105"/>
          <w:sz w:val="13"/>
        </w:rPr>
        <w:t> by</w:t>
      </w:r>
      <w:r>
        <w:rPr>
          <w:w w:val="105"/>
          <w:sz w:val="13"/>
        </w:rPr>
        <w:t> the</w:t>
      </w:r>
      <w:r>
        <w:rPr>
          <w:w w:val="105"/>
          <w:sz w:val="13"/>
        </w:rPr>
        <w:t> University</w:t>
      </w:r>
      <w:r>
        <w:rPr>
          <w:w w:val="105"/>
          <w:sz w:val="13"/>
        </w:rPr>
        <w:t> with</w:t>
      </w:r>
      <w:r>
        <w:rPr>
          <w:w w:val="105"/>
          <w:sz w:val="13"/>
        </w:rPr>
        <w:t> underlying</w:t>
      </w:r>
      <w:r>
        <w:rPr>
          <w:w w:val="105"/>
          <w:sz w:val="13"/>
        </w:rPr>
        <w:t> investment or</w:t>
      </w:r>
      <w:r>
        <w:rPr>
          <w:w w:val="105"/>
          <w:sz w:val="13"/>
        </w:rPr>
        <w:t> infrastructure assets</w:t>
      </w:r>
      <w:r>
        <w:rPr>
          <w:w w:val="105"/>
          <w:sz w:val="13"/>
        </w:rPr>
        <w:t> was determined</w:t>
      </w:r>
      <w:r>
        <w:rPr>
          <w:w w:val="105"/>
          <w:sz w:val="13"/>
        </w:rPr>
        <w:t> by</w:t>
      </w:r>
      <w:r>
        <w:rPr>
          <w:w w:val="105"/>
          <w:sz w:val="13"/>
        </w:rPr>
        <w:t> an</w:t>
      </w:r>
      <w:r>
        <w:rPr>
          <w:spacing w:val="40"/>
          <w:w w:val="105"/>
          <w:sz w:val="13"/>
        </w:rPr>
        <w:t> </w:t>
      </w:r>
      <w:r>
        <w:rPr>
          <w:w w:val="105"/>
          <w:sz w:val="13"/>
        </w:rPr>
        <w:t>independent</w:t>
      </w:r>
      <w:r>
        <w:rPr>
          <w:w w:val="105"/>
          <w:sz w:val="13"/>
        </w:rPr>
        <w:t> valuer,</w:t>
      </w:r>
      <w:r>
        <w:rPr>
          <w:w w:val="105"/>
          <w:sz w:val="13"/>
        </w:rPr>
        <w:t> and</w:t>
      </w:r>
      <w:r>
        <w:rPr>
          <w:w w:val="105"/>
          <w:sz w:val="13"/>
        </w:rPr>
        <w:t> was</w:t>
      </w:r>
      <w:r>
        <w:rPr>
          <w:w w:val="105"/>
          <w:sz w:val="13"/>
        </w:rPr>
        <w:t> derived</w:t>
      </w:r>
      <w:r>
        <w:rPr>
          <w:w w:val="105"/>
          <w:sz w:val="13"/>
        </w:rPr>
        <w:t> by</w:t>
      </w:r>
      <w:r>
        <w:rPr>
          <w:w w:val="105"/>
          <w:sz w:val="13"/>
        </w:rPr>
        <w:t> calculating</w:t>
      </w:r>
      <w:r>
        <w:rPr>
          <w:w w:val="105"/>
          <w:sz w:val="13"/>
        </w:rPr>
        <w:t> the</w:t>
      </w:r>
      <w:r>
        <w:rPr>
          <w:w w:val="105"/>
          <w:sz w:val="13"/>
        </w:rPr>
        <w:t> entity's</w:t>
      </w:r>
      <w:r>
        <w:rPr>
          <w:w w:val="105"/>
          <w:sz w:val="13"/>
        </w:rPr>
        <w:t> net</w:t>
      </w:r>
      <w:r>
        <w:rPr>
          <w:w w:val="105"/>
          <w:sz w:val="13"/>
        </w:rPr>
        <w:t> assets</w:t>
      </w:r>
      <w:r>
        <w:rPr>
          <w:w w:val="105"/>
          <w:sz w:val="13"/>
        </w:rPr>
        <w:t> and,</w:t>
      </w:r>
      <w:r>
        <w:rPr>
          <w:w w:val="105"/>
          <w:sz w:val="13"/>
        </w:rPr>
        <w:t> where</w:t>
      </w:r>
      <w:r>
        <w:rPr>
          <w:w w:val="105"/>
          <w:sz w:val="13"/>
        </w:rPr>
        <w:t> applicable,</w:t>
      </w:r>
      <w:r>
        <w:rPr>
          <w:w w:val="105"/>
          <w:sz w:val="13"/>
        </w:rPr>
        <w:t> applying</w:t>
      </w:r>
      <w:r>
        <w:rPr>
          <w:w w:val="105"/>
          <w:sz w:val="13"/>
        </w:rPr>
        <w:t> a</w:t>
      </w:r>
      <w:r>
        <w:rPr>
          <w:w w:val="105"/>
          <w:sz w:val="13"/>
        </w:rPr>
        <w:t> discount</w:t>
      </w:r>
      <w:r>
        <w:rPr>
          <w:w w:val="105"/>
          <w:sz w:val="13"/>
        </w:rPr>
        <w:t> rate</w:t>
      </w:r>
      <w:r>
        <w:rPr>
          <w:w w:val="105"/>
          <w:sz w:val="13"/>
        </w:rPr>
        <w:t> to</w:t>
      </w:r>
      <w:r>
        <w:rPr>
          <w:w w:val="105"/>
          <w:sz w:val="13"/>
        </w:rPr>
        <w:t> factor</w:t>
      </w:r>
      <w:r>
        <w:rPr>
          <w:w w:val="105"/>
          <w:sz w:val="13"/>
        </w:rPr>
        <w:t> in</w:t>
      </w:r>
      <w:r>
        <w:rPr>
          <w:spacing w:val="40"/>
          <w:w w:val="105"/>
          <w:sz w:val="13"/>
        </w:rPr>
        <w:t> </w:t>
      </w:r>
      <w:r>
        <w:rPr>
          <w:w w:val="105"/>
          <w:sz w:val="13"/>
        </w:rPr>
        <w:t>restrictions that prevent the entity from disposing its underlying net assets.</w:t>
      </w:r>
    </w:p>
    <w:p>
      <w:pPr>
        <w:spacing w:line="240" w:lineRule="auto" w:before="21"/>
        <w:rPr>
          <w:sz w:val="13"/>
        </w:rPr>
      </w:pPr>
    </w:p>
    <w:p>
      <w:pPr>
        <w:spacing w:line="273" w:lineRule="auto" w:before="0"/>
        <w:ind w:left="650" w:right="292" w:firstLine="0"/>
        <w:jc w:val="both"/>
        <w:rPr>
          <w:sz w:val="13"/>
        </w:rPr>
      </w:pPr>
      <w:r>
        <w:rPr>
          <w:w w:val="105"/>
          <w:sz w:val="13"/>
        </w:rPr>
        <w:t>The</w:t>
      </w:r>
      <w:r>
        <w:rPr>
          <w:spacing w:val="-1"/>
          <w:w w:val="105"/>
          <w:sz w:val="13"/>
        </w:rPr>
        <w:t> </w:t>
      </w:r>
      <w:r>
        <w:rPr>
          <w:w w:val="105"/>
          <w:sz w:val="13"/>
        </w:rPr>
        <w:t>unlisted</w:t>
      </w:r>
      <w:r>
        <w:rPr>
          <w:spacing w:val="-1"/>
          <w:w w:val="105"/>
          <w:sz w:val="13"/>
        </w:rPr>
        <w:t> </w:t>
      </w:r>
      <w:r>
        <w:rPr>
          <w:w w:val="105"/>
          <w:sz w:val="13"/>
        </w:rPr>
        <w:t>shares with</w:t>
      </w:r>
      <w:r>
        <w:rPr>
          <w:spacing w:val="-1"/>
          <w:w w:val="105"/>
          <w:sz w:val="13"/>
        </w:rPr>
        <w:t> </w:t>
      </w:r>
      <w:r>
        <w:rPr>
          <w:w w:val="105"/>
          <w:sz w:val="13"/>
        </w:rPr>
        <w:t>intellectual property</w:t>
      </w:r>
      <w:r>
        <w:rPr>
          <w:spacing w:val="-4"/>
          <w:w w:val="105"/>
          <w:sz w:val="13"/>
        </w:rPr>
        <w:t> </w:t>
      </w:r>
      <w:r>
        <w:rPr>
          <w:w w:val="105"/>
          <w:sz w:val="13"/>
        </w:rPr>
        <w:t>assets held</w:t>
      </w:r>
      <w:r>
        <w:rPr>
          <w:spacing w:val="-1"/>
          <w:w w:val="105"/>
          <w:sz w:val="13"/>
        </w:rPr>
        <w:t> </w:t>
      </w:r>
      <w:r>
        <w:rPr>
          <w:w w:val="105"/>
          <w:sz w:val="13"/>
        </w:rPr>
        <w:t>by</w:t>
      </w:r>
      <w:r>
        <w:rPr>
          <w:spacing w:val="-2"/>
          <w:w w:val="105"/>
          <w:sz w:val="13"/>
        </w:rPr>
        <w:t> </w:t>
      </w:r>
      <w:r>
        <w:rPr>
          <w:w w:val="105"/>
          <w:sz w:val="13"/>
        </w:rPr>
        <w:t>the</w:t>
      </w:r>
      <w:r>
        <w:rPr>
          <w:spacing w:val="-1"/>
          <w:w w:val="105"/>
          <w:sz w:val="13"/>
        </w:rPr>
        <w:t> </w:t>
      </w:r>
      <w:r>
        <w:rPr>
          <w:w w:val="105"/>
          <w:sz w:val="13"/>
        </w:rPr>
        <w:t>University</w:t>
      </w:r>
      <w:r>
        <w:rPr>
          <w:spacing w:val="-2"/>
          <w:w w:val="105"/>
          <w:sz w:val="13"/>
        </w:rPr>
        <w:t> </w:t>
      </w:r>
      <w:r>
        <w:rPr>
          <w:w w:val="105"/>
          <w:sz w:val="13"/>
        </w:rPr>
        <w:t>are</w:t>
      </w:r>
      <w:r>
        <w:rPr>
          <w:spacing w:val="-1"/>
          <w:w w:val="105"/>
          <w:sz w:val="13"/>
        </w:rPr>
        <w:t> </w:t>
      </w:r>
      <w:r>
        <w:rPr>
          <w:w w:val="105"/>
          <w:sz w:val="13"/>
        </w:rPr>
        <w:t>held for operational or research commercialisation</w:t>
      </w:r>
      <w:r>
        <w:rPr>
          <w:spacing w:val="-1"/>
          <w:w w:val="105"/>
          <w:sz w:val="13"/>
        </w:rPr>
        <w:t> </w:t>
      </w:r>
      <w:r>
        <w:rPr>
          <w:w w:val="105"/>
          <w:sz w:val="13"/>
        </w:rPr>
        <w:t>purposes</w:t>
      </w:r>
      <w:r>
        <w:rPr>
          <w:spacing w:val="40"/>
          <w:w w:val="105"/>
          <w:sz w:val="13"/>
        </w:rPr>
        <w:t> </w:t>
      </w:r>
      <w:r>
        <w:rPr>
          <w:w w:val="105"/>
          <w:sz w:val="13"/>
        </w:rPr>
        <w:t>where no active market exists. The fair value of these assets cannot be reliably</w:t>
      </w:r>
      <w:r>
        <w:rPr>
          <w:spacing w:val="-2"/>
          <w:w w:val="105"/>
          <w:sz w:val="13"/>
        </w:rPr>
        <w:t> </w:t>
      </w:r>
      <w:r>
        <w:rPr>
          <w:w w:val="105"/>
          <w:sz w:val="13"/>
        </w:rPr>
        <w:t>measured and are recognised at cost.</w:t>
      </w:r>
    </w:p>
    <w:p>
      <w:pPr>
        <w:spacing w:after="0" w:line="273" w:lineRule="auto"/>
        <w:jc w:val="both"/>
        <w:rPr>
          <w:sz w:val="13"/>
        </w:rPr>
        <w:sectPr>
          <w:type w:val="continuous"/>
          <w:pgSz w:w="11910" w:h="16840"/>
          <w:pgMar w:header="468" w:footer="0" w:top="980" w:bottom="280" w:left="1020" w:right="1540"/>
        </w:sectPr>
      </w:pPr>
    </w:p>
    <w:p>
      <w:pPr>
        <w:spacing w:before="82"/>
        <w:ind w:left="151" w:right="0" w:firstLine="0"/>
        <w:jc w:val="left"/>
        <w:rPr>
          <w:sz w:val="22"/>
        </w:rPr>
      </w:pPr>
      <w:r>
        <w:rPr/>
        <mc:AlternateContent>
          <mc:Choice Requires="wps">
            <w:drawing>
              <wp:anchor distT="0" distB="0" distL="0" distR="0" allowOverlap="1" layoutInCell="1" locked="0" behindDoc="0" simplePos="0" relativeHeight="15906816">
                <wp:simplePos x="0" y="0"/>
                <wp:positionH relativeFrom="page">
                  <wp:posOffset>7111289</wp:posOffset>
                </wp:positionH>
                <wp:positionV relativeFrom="page">
                  <wp:posOffset>8040241</wp:posOffset>
                </wp:positionV>
                <wp:extent cx="177800" cy="1945005"/>
                <wp:effectExtent l="0" t="0" r="0" b="0"/>
                <wp:wrapNone/>
                <wp:docPr id="975" name="Textbox 975"/>
                <wp:cNvGraphicFramePr>
                  <a:graphicFrameLocks/>
                </wp:cNvGraphicFramePr>
                <a:graphic>
                  <a:graphicData uri="http://schemas.microsoft.com/office/word/2010/wordprocessingShape">
                    <wps:wsp>
                      <wps:cNvPr id="975" name="Textbox 975"/>
                      <wps:cNvSpPr txBox="1"/>
                      <wps:spPr>
                        <a:xfrm>
                          <a:off x="0" y="0"/>
                          <a:ext cx="177800" cy="194500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633.089905pt;width:14pt;height:153.15pt;mso-position-horizontal-relative:page;mso-position-vertical-relative:page;z-index:15906816" type="#_x0000_t202" id="docshape664"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v:textbox>
                <w10:wrap type="none"/>
              </v:shape>
            </w:pict>
          </mc:Fallback>
        </mc:AlternateContent>
      </w:r>
      <w:r>
        <w:rPr>
          <w:color w:val="0070C0"/>
          <w:sz w:val="22"/>
        </w:rPr>
        <w:t>NOTES</w:t>
      </w:r>
      <w:r>
        <w:rPr>
          <w:color w:val="0070C0"/>
          <w:spacing w:val="-9"/>
          <w:sz w:val="22"/>
        </w:rPr>
        <w:t> </w:t>
      </w:r>
      <w:r>
        <w:rPr>
          <w:color w:val="0070C0"/>
          <w:sz w:val="22"/>
        </w:rPr>
        <w:t>TO</w:t>
      </w:r>
      <w:r>
        <w:rPr>
          <w:color w:val="0070C0"/>
          <w:spacing w:val="-9"/>
          <w:sz w:val="22"/>
        </w:rPr>
        <w:t> </w:t>
      </w:r>
      <w:r>
        <w:rPr>
          <w:color w:val="0070C0"/>
          <w:sz w:val="22"/>
        </w:rPr>
        <w:t>THE</w:t>
      </w:r>
      <w:r>
        <w:rPr>
          <w:color w:val="0070C0"/>
          <w:spacing w:val="-9"/>
          <w:sz w:val="22"/>
        </w:rPr>
        <w:t> </w:t>
      </w:r>
      <w:r>
        <w:rPr>
          <w:color w:val="0070C0"/>
          <w:sz w:val="22"/>
        </w:rPr>
        <w:t>FINANCIAL</w:t>
      </w:r>
      <w:r>
        <w:rPr>
          <w:color w:val="0070C0"/>
          <w:spacing w:val="-9"/>
          <w:sz w:val="22"/>
        </w:rPr>
        <w:t> </w:t>
      </w:r>
      <w:r>
        <w:rPr>
          <w:color w:val="0070C0"/>
          <w:spacing w:val="-2"/>
          <w:sz w:val="22"/>
        </w:rPr>
        <w:t>STATEMENTS</w:t>
      </w:r>
    </w:p>
    <w:p>
      <w:pPr>
        <w:spacing w:before="31"/>
        <w:ind w:left="138" w:right="0" w:firstLine="0"/>
        <w:jc w:val="left"/>
        <w:rPr>
          <w:sz w:val="12"/>
        </w:rPr>
      </w:pPr>
      <w:r>
        <w:rPr>
          <w:w w:val="105"/>
          <w:sz w:val="12"/>
        </w:rPr>
        <w:t>for</w:t>
      </w:r>
      <w:r>
        <w:rPr>
          <w:spacing w:val="-8"/>
          <w:w w:val="105"/>
          <w:sz w:val="12"/>
        </w:rPr>
        <w:t> </w:t>
      </w:r>
      <w:r>
        <w:rPr>
          <w:w w:val="105"/>
          <w:sz w:val="12"/>
        </w:rPr>
        <w:t>the</w:t>
      </w:r>
      <w:r>
        <w:rPr>
          <w:spacing w:val="-9"/>
          <w:w w:val="105"/>
          <w:sz w:val="12"/>
        </w:rPr>
        <w:t> </w:t>
      </w:r>
      <w:r>
        <w:rPr>
          <w:w w:val="105"/>
          <w:sz w:val="12"/>
        </w:rPr>
        <w:t>year</w:t>
      </w:r>
      <w:r>
        <w:rPr>
          <w:spacing w:val="-8"/>
          <w:w w:val="105"/>
          <w:sz w:val="12"/>
        </w:rPr>
        <w:t> </w:t>
      </w:r>
      <w:r>
        <w:rPr>
          <w:w w:val="105"/>
          <w:sz w:val="12"/>
        </w:rPr>
        <w:t>ended</w:t>
      </w:r>
      <w:r>
        <w:rPr>
          <w:spacing w:val="-8"/>
          <w:w w:val="105"/>
          <w:sz w:val="12"/>
        </w:rPr>
        <w:t> </w:t>
      </w:r>
      <w:r>
        <w:rPr>
          <w:w w:val="105"/>
          <w:sz w:val="12"/>
        </w:rPr>
        <w:t>31</w:t>
      </w:r>
      <w:r>
        <w:rPr>
          <w:spacing w:val="-9"/>
          <w:w w:val="105"/>
          <w:sz w:val="12"/>
        </w:rPr>
        <w:t> </w:t>
      </w:r>
      <w:r>
        <w:rPr>
          <w:w w:val="105"/>
          <w:sz w:val="12"/>
        </w:rPr>
        <w:t>December</w:t>
      </w:r>
      <w:r>
        <w:rPr>
          <w:spacing w:val="-8"/>
          <w:w w:val="105"/>
          <w:sz w:val="12"/>
        </w:rPr>
        <w:t> </w:t>
      </w:r>
      <w:r>
        <w:rPr>
          <w:spacing w:val="-4"/>
          <w:w w:val="105"/>
          <w:sz w:val="12"/>
        </w:rPr>
        <w:t>2020</w:t>
      </w:r>
    </w:p>
    <w:p>
      <w:pPr>
        <w:spacing w:line="240" w:lineRule="auto" w:before="90"/>
        <w:rPr>
          <w:sz w:val="12"/>
        </w:rPr>
      </w:pPr>
    </w:p>
    <w:p>
      <w:pPr>
        <w:spacing w:before="1"/>
        <w:ind w:left="647" w:right="0" w:firstLine="0"/>
        <w:jc w:val="both"/>
        <w:rPr>
          <w:b/>
          <w:i/>
          <w:sz w:val="13"/>
        </w:rPr>
      </w:pPr>
      <w:r>
        <w:rPr>
          <w:b/>
          <w:i/>
          <w:color w:val="0070C0"/>
          <w:w w:val="105"/>
          <w:sz w:val="13"/>
        </w:rPr>
        <w:t>Accounting</w:t>
      </w:r>
      <w:r>
        <w:rPr>
          <w:b/>
          <w:i/>
          <w:color w:val="0070C0"/>
          <w:spacing w:val="-6"/>
          <w:w w:val="105"/>
          <w:sz w:val="13"/>
        </w:rPr>
        <w:t> </w:t>
      </w:r>
      <w:r>
        <w:rPr>
          <w:b/>
          <w:i/>
          <w:color w:val="0070C0"/>
          <w:spacing w:val="-2"/>
          <w:w w:val="105"/>
          <w:sz w:val="13"/>
        </w:rPr>
        <w:t>policy</w:t>
      </w:r>
    </w:p>
    <w:p>
      <w:pPr>
        <w:spacing w:line="273" w:lineRule="auto" w:before="67"/>
        <w:ind w:left="647" w:right="301" w:firstLine="0"/>
        <w:jc w:val="both"/>
        <w:rPr>
          <w:sz w:val="13"/>
        </w:rPr>
      </w:pPr>
      <w:r>
        <w:rPr>
          <w:w w:val="105"/>
          <w:sz w:val="13"/>
        </w:rPr>
        <w:t>The</w:t>
      </w:r>
      <w:r>
        <w:rPr>
          <w:w w:val="105"/>
          <w:sz w:val="13"/>
        </w:rPr>
        <w:t> fair</w:t>
      </w:r>
      <w:r>
        <w:rPr>
          <w:w w:val="105"/>
          <w:sz w:val="13"/>
        </w:rPr>
        <w:t> value</w:t>
      </w:r>
      <w:r>
        <w:rPr>
          <w:w w:val="105"/>
          <w:sz w:val="13"/>
        </w:rPr>
        <w:t> of</w:t>
      </w:r>
      <w:r>
        <w:rPr>
          <w:w w:val="105"/>
          <w:sz w:val="13"/>
        </w:rPr>
        <w:t> assets</w:t>
      </w:r>
      <w:r>
        <w:rPr>
          <w:w w:val="105"/>
          <w:sz w:val="13"/>
        </w:rPr>
        <w:t> and</w:t>
      </w:r>
      <w:r>
        <w:rPr>
          <w:w w:val="105"/>
          <w:sz w:val="13"/>
        </w:rPr>
        <w:t> liabilities</w:t>
      </w:r>
      <w:r>
        <w:rPr>
          <w:w w:val="105"/>
          <w:sz w:val="13"/>
        </w:rPr>
        <w:t> must</w:t>
      </w:r>
      <w:r>
        <w:rPr>
          <w:w w:val="105"/>
          <w:sz w:val="13"/>
        </w:rPr>
        <w:t> be</w:t>
      </w:r>
      <w:r>
        <w:rPr>
          <w:w w:val="105"/>
          <w:sz w:val="13"/>
        </w:rPr>
        <w:t> measured</w:t>
      </w:r>
      <w:r>
        <w:rPr>
          <w:w w:val="105"/>
          <w:sz w:val="13"/>
        </w:rPr>
        <w:t> for</w:t>
      </w:r>
      <w:r>
        <w:rPr>
          <w:w w:val="105"/>
          <w:sz w:val="13"/>
        </w:rPr>
        <w:t> recognition</w:t>
      </w:r>
      <w:r>
        <w:rPr>
          <w:w w:val="105"/>
          <w:sz w:val="13"/>
        </w:rPr>
        <w:t> and</w:t>
      </w:r>
      <w:r>
        <w:rPr>
          <w:w w:val="105"/>
          <w:sz w:val="13"/>
        </w:rPr>
        <w:t> disclosure</w:t>
      </w:r>
      <w:r>
        <w:rPr>
          <w:w w:val="105"/>
          <w:sz w:val="13"/>
        </w:rPr>
        <w:t> purposes.</w:t>
      </w:r>
      <w:r>
        <w:rPr>
          <w:w w:val="105"/>
          <w:sz w:val="13"/>
        </w:rPr>
        <w:t> The</w:t>
      </w:r>
      <w:r>
        <w:rPr>
          <w:w w:val="105"/>
          <w:sz w:val="13"/>
        </w:rPr>
        <w:t> Group</w:t>
      </w:r>
      <w:r>
        <w:rPr>
          <w:w w:val="105"/>
          <w:sz w:val="13"/>
        </w:rPr>
        <w:t> measures</w:t>
      </w:r>
      <w:r>
        <w:rPr>
          <w:w w:val="105"/>
          <w:sz w:val="13"/>
        </w:rPr>
        <w:t> financial</w:t>
      </w:r>
      <w:r>
        <w:rPr>
          <w:spacing w:val="40"/>
          <w:w w:val="105"/>
          <w:sz w:val="13"/>
        </w:rPr>
        <w:t> </w:t>
      </w:r>
      <w:r>
        <w:rPr>
          <w:w w:val="105"/>
          <w:sz w:val="13"/>
        </w:rPr>
        <w:t>instruments and investment properties at fair value at each balance sheet date.</w:t>
      </w:r>
    </w:p>
    <w:p>
      <w:pPr>
        <w:spacing w:line="240" w:lineRule="auto" w:before="21"/>
        <w:rPr>
          <w:sz w:val="13"/>
        </w:rPr>
      </w:pPr>
    </w:p>
    <w:p>
      <w:pPr>
        <w:spacing w:line="273" w:lineRule="auto" w:before="0"/>
        <w:ind w:left="647" w:right="300" w:firstLine="0"/>
        <w:jc w:val="both"/>
        <w:rPr>
          <w:sz w:val="13"/>
        </w:rPr>
      </w:pPr>
      <w:r>
        <w:rPr>
          <w:w w:val="105"/>
          <w:sz w:val="13"/>
        </w:rPr>
        <w:t>The Group classifies fair value measurements using a fair value hierarchy that reflects the significance of the inputs used in making the</w:t>
      </w:r>
      <w:r>
        <w:rPr>
          <w:spacing w:val="40"/>
          <w:w w:val="105"/>
          <w:sz w:val="13"/>
        </w:rPr>
        <w:t> </w:t>
      </w:r>
      <w:r>
        <w:rPr>
          <w:spacing w:val="-2"/>
          <w:w w:val="105"/>
          <w:sz w:val="13"/>
        </w:rPr>
        <w:t>measurements.</w:t>
      </w:r>
    </w:p>
    <w:p>
      <w:pPr>
        <w:spacing w:line="240" w:lineRule="auto" w:before="21"/>
        <w:rPr>
          <w:sz w:val="13"/>
        </w:rPr>
      </w:pPr>
    </w:p>
    <w:p>
      <w:pPr>
        <w:spacing w:line="273" w:lineRule="auto" w:before="0"/>
        <w:ind w:left="646" w:right="300" w:firstLine="0"/>
        <w:jc w:val="both"/>
        <w:rPr>
          <w:sz w:val="13"/>
        </w:rPr>
      </w:pPr>
      <w:r>
        <w:rPr>
          <w:w w:val="105"/>
          <w:sz w:val="13"/>
        </w:rPr>
        <w:t>The</w:t>
      </w:r>
      <w:r>
        <w:rPr>
          <w:w w:val="105"/>
          <w:sz w:val="13"/>
        </w:rPr>
        <w:t> fair</w:t>
      </w:r>
      <w:r>
        <w:rPr>
          <w:w w:val="105"/>
          <w:sz w:val="13"/>
        </w:rPr>
        <w:t> value</w:t>
      </w:r>
      <w:r>
        <w:rPr>
          <w:w w:val="105"/>
          <w:sz w:val="13"/>
        </w:rPr>
        <w:t> of</w:t>
      </w:r>
      <w:r>
        <w:rPr>
          <w:w w:val="105"/>
          <w:sz w:val="13"/>
        </w:rPr>
        <w:t> assets</w:t>
      </w:r>
      <w:r>
        <w:rPr>
          <w:w w:val="105"/>
          <w:sz w:val="13"/>
        </w:rPr>
        <w:t> or</w:t>
      </w:r>
      <w:r>
        <w:rPr>
          <w:w w:val="105"/>
          <w:sz w:val="13"/>
        </w:rPr>
        <w:t> liabilities</w:t>
      </w:r>
      <w:r>
        <w:rPr>
          <w:w w:val="105"/>
          <w:sz w:val="13"/>
        </w:rPr>
        <w:t> traded</w:t>
      </w:r>
      <w:r>
        <w:rPr>
          <w:w w:val="105"/>
          <w:sz w:val="13"/>
        </w:rPr>
        <w:t> in</w:t>
      </w:r>
      <w:r>
        <w:rPr>
          <w:w w:val="105"/>
          <w:sz w:val="13"/>
        </w:rPr>
        <w:t> active</w:t>
      </w:r>
      <w:r>
        <w:rPr>
          <w:w w:val="105"/>
          <w:sz w:val="13"/>
        </w:rPr>
        <w:t> markets</w:t>
      </w:r>
      <w:r>
        <w:rPr>
          <w:w w:val="105"/>
          <w:sz w:val="13"/>
        </w:rPr>
        <w:t> is</w:t>
      </w:r>
      <w:r>
        <w:rPr>
          <w:w w:val="105"/>
          <w:sz w:val="13"/>
        </w:rPr>
        <w:t> based</w:t>
      </w:r>
      <w:r>
        <w:rPr>
          <w:w w:val="105"/>
          <w:sz w:val="13"/>
        </w:rPr>
        <w:t> on</w:t>
      </w:r>
      <w:r>
        <w:rPr>
          <w:w w:val="105"/>
          <w:sz w:val="13"/>
        </w:rPr>
        <w:t> quoted</w:t>
      </w:r>
      <w:r>
        <w:rPr>
          <w:w w:val="105"/>
          <w:sz w:val="13"/>
        </w:rPr>
        <w:t> market</w:t>
      </w:r>
      <w:r>
        <w:rPr>
          <w:w w:val="105"/>
          <w:sz w:val="13"/>
        </w:rPr>
        <w:t> prices</w:t>
      </w:r>
      <w:r>
        <w:rPr>
          <w:w w:val="105"/>
          <w:sz w:val="13"/>
        </w:rPr>
        <w:t> for</w:t>
      </w:r>
      <w:r>
        <w:rPr>
          <w:w w:val="105"/>
          <w:sz w:val="13"/>
        </w:rPr>
        <w:t> identical</w:t>
      </w:r>
      <w:r>
        <w:rPr>
          <w:w w:val="105"/>
          <w:sz w:val="13"/>
        </w:rPr>
        <w:t> assets</w:t>
      </w:r>
      <w:r>
        <w:rPr>
          <w:w w:val="105"/>
          <w:sz w:val="13"/>
        </w:rPr>
        <w:t> or</w:t>
      </w:r>
      <w:r>
        <w:rPr>
          <w:w w:val="105"/>
          <w:sz w:val="13"/>
        </w:rPr>
        <w:t> liabilities</w:t>
      </w:r>
      <w:r>
        <w:rPr>
          <w:w w:val="105"/>
          <w:sz w:val="13"/>
        </w:rPr>
        <w:t> at</w:t>
      </w:r>
      <w:r>
        <w:rPr>
          <w:w w:val="105"/>
          <w:sz w:val="13"/>
        </w:rPr>
        <w:t> the</w:t>
      </w:r>
      <w:r>
        <w:rPr>
          <w:spacing w:val="40"/>
          <w:w w:val="105"/>
          <w:sz w:val="13"/>
        </w:rPr>
        <w:t> </w:t>
      </w:r>
      <w:r>
        <w:rPr>
          <w:w w:val="105"/>
          <w:sz w:val="13"/>
        </w:rPr>
        <w:t>balance sheet date (level 1). The quoted market price used for assets held by the</w:t>
      </w:r>
      <w:r>
        <w:rPr>
          <w:w w:val="105"/>
          <w:sz w:val="13"/>
        </w:rPr>
        <w:t> Group is</w:t>
      </w:r>
      <w:r>
        <w:rPr>
          <w:w w:val="105"/>
          <w:sz w:val="13"/>
        </w:rPr>
        <w:t> the most</w:t>
      </w:r>
      <w:r>
        <w:rPr>
          <w:w w:val="105"/>
          <w:sz w:val="13"/>
        </w:rPr>
        <w:t> representative of</w:t>
      </w:r>
      <w:r>
        <w:rPr>
          <w:w w:val="105"/>
          <w:sz w:val="13"/>
        </w:rPr>
        <w:t> fair value in the</w:t>
      </w:r>
      <w:r>
        <w:rPr>
          <w:spacing w:val="40"/>
          <w:w w:val="105"/>
          <w:sz w:val="13"/>
        </w:rPr>
        <w:t> </w:t>
      </w:r>
      <w:r>
        <w:rPr>
          <w:w w:val="105"/>
          <w:sz w:val="13"/>
        </w:rPr>
        <w:t>circumstances within the bid-ask spread.</w:t>
      </w:r>
    </w:p>
    <w:p>
      <w:pPr>
        <w:spacing w:line="240" w:lineRule="auto" w:before="21"/>
        <w:rPr>
          <w:sz w:val="13"/>
        </w:rPr>
      </w:pPr>
    </w:p>
    <w:p>
      <w:pPr>
        <w:spacing w:line="273" w:lineRule="auto" w:before="0"/>
        <w:ind w:left="647" w:right="299" w:hanging="1"/>
        <w:jc w:val="both"/>
        <w:rPr>
          <w:sz w:val="13"/>
        </w:rPr>
      </w:pPr>
      <w:r>
        <w:rPr>
          <w:w w:val="105"/>
          <w:sz w:val="13"/>
        </w:rPr>
        <w:t>The fair value of assets or liabilities that are not traded in an active market is determined using valuation techniques. The Group uses a</w:t>
      </w:r>
      <w:r>
        <w:rPr>
          <w:spacing w:val="40"/>
          <w:w w:val="105"/>
          <w:sz w:val="13"/>
        </w:rPr>
        <w:t> </w:t>
      </w:r>
      <w:r>
        <w:rPr>
          <w:w w:val="105"/>
          <w:sz w:val="13"/>
        </w:rPr>
        <w:t>variety of methods and makes assumptions that are based on market conditions existing at each balance date. Quoted market prices or</w:t>
      </w:r>
      <w:r>
        <w:rPr>
          <w:spacing w:val="40"/>
          <w:w w:val="105"/>
          <w:sz w:val="13"/>
        </w:rPr>
        <w:t> </w:t>
      </w:r>
      <w:r>
        <w:rPr>
          <w:w w:val="105"/>
          <w:sz w:val="13"/>
        </w:rPr>
        <w:t>dealer</w:t>
      </w:r>
      <w:r>
        <w:rPr>
          <w:w w:val="105"/>
          <w:sz w:val="13"/>
        </w:rPr>
        <w:t> quotes</w:t>
      </w:r>
      <w:r>
        <w:rPr>
          <w:w w:val="105"/>
          <w:sz w:val="13"/>
        </w:rPr>
        <w:t> for</w:t>
      </w:r>
      <w:r>
        <w:rPr>
          <w:w w:val="105"/>
          <w:sz w:val="13"/>
        </w:rPr>
        <w:t> similar</w:t>
      </w:r>
      <w:r>
        <w:rPr>
          <w:w w:val="105"/>
          <w:sz w:val="13"/>
        </w:rPr>
        <w:t> instruments</w:t>
      </w:r>
      <w:r>
        <w:rPr>
          <w:w w:val="105"/>
          <w:sz w:val="13"/>
        </w:rPr>
        <w:t> (level</w:t>
      </w:r>
      <w:r>
        <w:rPr>
          <w:w w:val="105"/>
          <w:sz w:val="13"/>
        </w:rPr>
        <w:t> 2)</w:t>
      </w:r>
      <w:r>
        <w:rPr>
          <w:w w:val="105"/>
          <w:sz w:val="13"/>
        </w:rPr>
        <w:t> are</w:t>
      </w:r>
      <w:r>
        <w:rPr>
          <w:w w:val="105"/>
          <w:sz w:val="13"/>
        </w:rPr>
        <w:t> used</w:t>
      </w:r>
      <w:r>
        <w:rPr>
          <w:w w:val="105"/>
          <w:sz w:val="13"/>
        </w:rPr>
        <w:t> for</w:t>
      </w:r>
      <w:r>
        <w:rPr>
          <w:w w:val="105"/>
          <w:sz w:val="13"/>
        </w:rPr>
        <w:t> long-term</w:t>
      </w:r>
      <w:r>
        <w:rPr>
          <w:w w:val="105"/>
          <w:sz w:val="13"/>
        </w:rPr>
        <w:t> debt</w:t>
      </w:r>
      <w:r>
        <w:rPr>
          <w:w w:val="105"/>
          <w:sz w:val="13"/>
        </w:rPr>
        <w:t> instruments</w:t>
      </w:r>
      <w:r>
        <w:rPr>
          <w:w w:val="105"/>
          <w:sz w:val="13"/>
        </w:rPr>
        <w:t> held.</w:t>
      </w:r>
      <w:r>
        <w:rPr>
          <w:w w:val="105"/>
          <w:sz w:val="13"/>
        </w:rPr>
        <w:t> Other</w:t>
      </w:r>
      <w:r>
        <w:rPr>
          <w:w w:val="105"/>
          <w:sz w:val="13"/>
        </w:rPr>
        <w:t> techniques</w:t>
      </w:r>
      <w:r>
        <w:rPr>
          <w:w w:val="105"/>
          <w:sz w:val="13"/>
        </w:rPr>
        <w:t> that</w:t>
      </w:r>
      <w:r>
        <w:rPr>
          <w:w w:val="105"/>
          <w:sz w:val="13"/>
        </w:rPr>
        <w:t> are</w:t>
      </w:r>
      <w:r>
        <w:rPr>
          <w:w w:val="105"/>
          <w:sz w:val="13"/>
        </w:rPr>
        <w:t> not</w:t>
      </w:r>
      <w:r>
        <w:rPr>
          <w:w w:val="105"/>
          <w:sz w:val="13"/>
        </w:rPr>
        <w:t> based</w:t>
      </w:r>
      <w:r>
        <w:rPr>
          <w:w w:val="105"/>
          <w:sz w:val="13"/>
        </w:rPr>
        <w:t> on</w:t>
      </w:r>
      <w:r>
        <w:rPr>
          <w:spacing w:val="40"/>
          <w:w w:val="105"/>
          <w:sz w:val="13"/>
        </w:rPr>
        <w:t> </w:t>
      </w:r>
      <w:r>
        <w:rPr>
          <w:w w:val="105"/>
          <w:sz w:val="13"/>
        </w:rPr>
        <w:t>observable</w:t>
      </w:r>
      <w:r>
        <w:rPr>
          <w:w w:val="105"/>
          <w:sz w:val="13"/>
        </w:rPr>
        <w:t> market</w:t>
      </w:r>
      <w:r>
        <w:rPr>
          <w:w w:val="105"/>
          <w:sz w:val="13"/>
        </w:rPr>
        <w:t> data</w:t>
      </w:r>
      <w:r>
        <w:rPr>
          <w:w w:val="105"/>
          <w:sz w:val="13"/>
        </w:rPr>
        <w:t> (level</w:t>
      </w:r>
      <w:r>
        <w:rPr>
          <w:w w:val="105"/>
          <w:sz w:val="13"/>
        </w:rPr>
        <w:t> 3)</w:t>
      </w:r>
      <w:r>
        <w:rPr>
          <w:w w:val="105"/>
          <w:sz w:val="13"/>
        </w:rPr>
        <w:t> are</w:t>
      </w:r>
      <w:r>
        <w:rPr>
          <w:w w:val="105"/>
          <w:sz w:val="13"/>
        </w:rPr>
        <w:t> used</w:t>
      </w:r>
      <w:r>
        <w:rPr>
          <w:w w:val="105"/>
          <w:sz w:val="13"/>
        </w:rPr>
        <w:t> to</w:t>
      </w:r>
      <w:r>
        <w:rPr>
          <w:w w:val="105"/>
          <w:sz w:val="13"/>
        </w:rPr>
        <w:t> determine</w:t>
      </w:r>
      <w:r>
        <w:rPr>
          <w:w w:val="105"/>
          <w:sz w:val="13"/>
        </w:rPr>
        <w:t> fair</w:t>
      </w:r>
      <w:r>
        <w:rPr>
          <w:w w:val="105"/>
          <w:sz w:val="13"/>
        </w:rPr>
        <w:t> value</w:t>
      </w:r>
      <w:r>
        <w:rPr>
          <w:w w:val="105"/>
          <w:sz w:val="13"/>
        </w:rPr>
        <w:t> for</w:t>
      </w:r>
      <w:r>
        <w:rPr>
          <w:w w:val="105"/>
          <w:sz w:val="13"/>
        </w:rPr>
        <w:t> the</w:t>
      </w:r>
      <w:r>
        <w:rPr>
          <w:w w:val="105"/>
          <w:sz w:val="13"/>
        </w:rPr>
        <w:t> remaining</w:t>
      </w:r>
      <w:r>
        <w:rPr>
          <w:w w:val="105"/>
          <w:sz w:val="13"/>
        </w:rPr>
        <w:t> assets</w:t>
      </w:r>
      <w:r>
        <w:rPr>
          <w:w w:val="105"/>
          <w:sz w:val="13"/>
        </w:rPr>
        <w:t> and</w:t>
      </w:r>
      <w:r>
        <w:rPr>
          <w:w w:val="105"/>
          <w:sz w:val="13"/>
        </w:rPr>
        <w:t> liabilities.</w:t>
      </w:r>
      <w:r>
        <w:rPr>
          <w:w w:val="105"/>
          <w:sz w:val="13"/>
        </w:rPr>
        <w:t> The</w:t>
      </w:r>
      <w:r>
        <w:rPr>
          <w:w w:val="105"/>
          <w:sz w:val="13"/>
        </w:rPr>
        <w:t> level</w:t>
      </w:r>
      <w:r>
        <w:rPr>
          <w:w w:val="105"/>
          <w:sz w:val="13"/>
        </w:rPr>
        <w:t> in</w:t>
      </w:r>
      <w:r>
        <w:rPr>
          <w:w w:val="105"/>
          <w:sz w:val="13"/>
        </w:rPr>
        <w:t> the</w:t>
      </w:r>
      <w:r>
        <w:rPr>
          <w:w w:val="105"/>
          <w:sz w:val="13"/>
        </w:rPr>
        <w:t> fair</w:t>
      </w:r>
      <w:r>
        <w:rPr>
          <w:w w:val="105"/>
          <w:sz w:val="13"/>
        </w:rPr>
        <w:t> value</w:t>
      </w:r>
      <w:r>
        <w:rPr>
          <w:spacing w:val="40"/>
          <w:w w:val="105"/>
          <w:sz w:val="13"/>
        </w:rPr>
        <w:t> </w:t>
      </w:r>
      <w:r>
        <w:rPr>
          <w:w w:val="105"/>
          <w:sz w:val="13"/>
        </w:rPr>
        <w:t>hierarchy</w:t>
      </w:r>
      <w:r>
        <w:rPr>
          <w:spacing w:val="-3"/>
          <w:w w:val="105"/>
          <w:sz w:val="13"/>
        </w:rPr>
        <w:t> </w:t>
      </w:r>
      <w:r>
        <w:rPr>
          <w:w w:val="105"/>
          <w:sz w:val="13"/>
        </w:rPr>
        <w:t>is determined on the basis of the lowest level input that is significant to the fair value measurement in its entirety.</w:t>
      </w:r>
    </w:p>
    <w:p>
      <w:pPr>
        <w:spacing w:line="240" w:lineRule="auto" w:before="20"/>
        <w:rPr>
          <w:sz w:val="13"/>
        </w:rPr>
      </w:pPr>
    </w:p>
    <w:p>
      <w:pPr>
        <w:spacing w:line="273" w:lineRule="auto" w:before="1"/>
        <w:ind w:left="646" w:right="300" w:firstLine="0"/>
        <w:jc w:val="both"/>
        <w:rPr>
          <w:sz w:val="13"/>
        </w:rPr>
      </w:pPr>
      <w:r>
        <w:rPr>
          <w:w w:val="105"/>
          <w:sz w:val="13"/>
        </w:rPr>
        <w:t>Fair</w:t>
      </w:r>
      <w:r>
        <w:rPr>
          <w:w w:val="105"/>
          <w:sz w:val="13"/>
        </w:rPr>
        <w:t> value</w:t>
      </w:r>
      <w:r>
        <w:rPr>
          <w:w w:val="105"/>
          <w:sz w:val="13"/>
        </w:rPr>
        <w:t> measurement</w:t>
      </w:r>
      <w:r>
        <w:rPr>
          <w:w w:val="105"/>
          <w:sz w:val="13"/>
        </w:rPr>
        <w:t> of</w:t>
      </w:r>
      <w:r>
        <w:rPr>
          <w:w w:val="105"/>
          <w:sz w:val="13"/>
        </w:rPr>
        <w:t> non-financial</w:t>
      </w:r>
      <w:r>
        <w:rPr>
          <w:w w:val="105"/>
          <w:sz w:val="13"/>
        </w:rPr>
        <w:t> assets is</w:t>
      </w:r>
      <w:r>
        <w:rPr>
          <w:w w:val="105"/>
          <w:sz w:val="13"/>
        </w:rPr>
        <w:t> based</w:t>
      </w:r>
      <w:r>
        <w:rPr>
          <w:w w:val="105"/>
          <w:sz w:val="13"/>
        </w:rPr>
        <w:t> on</w:t>
      </w:r>
      <w:r>
        <w:rPr>
          <w:w w:val="105"/>
          <w:sz w:val="13"/>
        </w:rPr>
        <w:t> the</w:t>
      </w:r>
      <w:r>
        <w:rPr>
          <w:w w:val="105"/>
          <w:sz w:val="13"/>
        </w:rPr>
        <w:t> highest</w:t>
      </w:r>
      <w:r>
        <w:rPr>
          <w:w w:val="105"/>
          <w:sz w:val="13"/>
        </w:rPr>
        <w:t> and</w:t>
      </w:r>
      <w:r>
        <w:rPr>
          <w:w w:val="105"/>
          <w:sz w:val="13"/>
        </w:rPr>
        <w:t> best</w:t>
      </w:r>
      <w:r>
        <w:rPr>
          <w:w w:val="105"/>
          <w:sz w:val="13"/>
        </w:rPr>
        <w:t> use</w:t>
      </w:r>
      <w:r>
        <w:rPr>
          <w:w w:val="105"/>
          <w:sz w:val="13"/>
        </w:rPr>
        <w:t> of</w:t>
      </w:r>
      <w:r>
        <w:rPr>
          <w:w w:val="105"/>
          <w:sz w:val="13"/>
        </w:rPr>
        <w:t> the</w:t>
      </w:r>
      <w:r>
        <w:rPr>
          <w:w w:val="105"/>
          <w:sz w:val="13"/>
        </w:rPr>
        <w:t> asset.</w:t>
      </w:r>
      <w:r>
        <w:rPr>
          <w:w w:val="105"/>
          <w:sz w:val="13"/>
        </w:rPr>
        <w:t> The</w:t>
      </w:r>
      <w:r>
        <w:rPr>
          <w:w w:val="105"/>
          <w:sz w:val="13"/>
        </w:rPr>
        <w:t> Group</w:t>
      </w:r>
      <w:r>
        <w:rPr>
          <w:w w:val="105"/>
          <w:sz w:val="13"/>
        </w:rPr>
        <w:t> considers market</w:t>
      </w:r>
      <w:r>
        <w:rPr>
          <w:spacing w:val="40"/>
          <w:w w:val="105"/>
          <w:sz w:val="13"/>
        </w:rPr>
        <w:t> </w:t>
      </w:r>
      <w:r>
        <w:rPr>
          <w:w w:val="105"/>
          <w:sz w:val="13"/>
        </w:rPr>
        <w:t>participants’ use of, or purchase price of the asset, to use it in a manner that would be highest and best use.</w:t>
      </w:r>
    </w:p>
    <w:p>
      <w:pPr>
        <w:spacing w:line="240" w:lineRule="auto" w:before="20"/>
        <w:rPr>
          <w:sz w:val="13"/>
        </w:rPr>
      </w:pPr>
    </w:p>
    <w:p>
      <w:pPr>
        <w:spacing w:line="273" w:lineRule="auto" w:before="1"/>
        <w:ind w:left="647" w:right="300" w:hanging="1"/>
        <w:jc w:val="both"/>
        <w:rPr>
          <w:sz w:val="13"/>
        </w:rPr>
      </w:pPr>
      <w:r>
        <w:rPr>
          <w:w w:val="105"/>
          <w:sz w:val="13"/>
        </w:rPr>
        <w:t>The carrying value less impairment provision of</w:t>
      </w:r>
      <w:r>
        <w:rPr>
          <w:w w:val="105"/>
          <w:sz w:val="13"/>
        </w:rPr>
        <w:t> trade receivables and payables is assumed to approximate their fair values due to their</w:t>
      </w:r>
      <w:r>
        <w:rPr>
          <w:spacing w:val="40"/>
          <w:w w:val="105"/>
          <w:sz w:val="13"/>
        </w:rPr>
        <w:t> </w:t>
      </w:r>
      <w:r>
        <w:rPr>
          <w:w w:val="105"/>
          <w:sz w:val="13"/>
        </w:rPr>
        <w:t>short-term nature. The fair value of financial liabilities for disclosure purposes is estimated by discounting the future contractual cash flows</w:t>
      </w:r>
      <w:r>
        <w:rPr>
          <w:spacing w:val="40"/>
          <w:w w:val="105"/>
          <w:sz w:val="13"/>
        </w:rPr>
        <w:t> </w:t>
      </w:r>
      <w:r>
        <w:rPr>
          <w:w w:val="105"/>
          <w:sz w:val="13"/>
        </w:rPr>
        <w:t>at the current market interest rate that is available to the Group for similar financial instruments.</w:t>
      </w:r>
    </w:p>
    <w:p>
      <w:pPr>
        <w:spacing w:line="240" w:lineRule="auto" w:before="62"/>
        <w:rPr>
          <w:sz w:val="20"/>
        </w:rPr>
      </w:pPr>
      <w:r>
        <w:rPr/>
        <mc:AlternateContent>
          <mc:Choice Requires="wps">
            <w:drawing>
              <wp:anchor distT="0" distB="0" distL="0" distR="0" allowOverlap="1" layoutInCell="1" locked="0" behindDoc="1" simplePos="0" relativeHeight="487764480">
                <wp:simplePos x="0" y="0"/>
                <wp:positionH relativeFrom="page">
                  <wp:posOffset>720001</wp:posOffset>
                </wp:positionH>
                <wp:positionV relativeFrom="paragraph">
                  <wp:posOffset>200876</wp:posOffset>
                </wp:positionV>
                <wp:extent cx="5687060" cy="17145"/>
                <wp:effectExtent l="0" t="0" r="0" b="0"/>
                <wp:wrapTopAndBottom/>
                <wp:docPr id="976" name="Graphic 976"/>
                <wp:cNvGraphicFramePr>
                  <a:graphicFrameLocks/>
                </wp:cNvGraphicFramePr>
                <a:graphic>
                  <a:graphicData uri="http://schemas.microsoft.com/office/word/2010/wordprocessingShape">
                    <wps:wsp>
                      <wps:cNvPr id="976" name="Graphic 976"/>
                      <wps:cNvSpPr/>
                      <wps:spPr>
                        <a:xfrm>
                          <a:off x="0" y="0"/>
                          <a:ext cx="5687060" cy="17145"/>
                        </a:xfrm>
                        <a:custGeom>
                          <a:avLst/>
                          <a:gdLst/>
                          <a:ahLst/>
                          <a:cxnLst/>
                          <a:rect l="l" t="t" r="r" b="b"/>
                          <a:pathLst>
                            <a:path w="5687060" h="17145">
                              <a:moveTo>
                                <a:pt x="5687034" y="0"/>
                              </a:moveTo>
                              <a:lnTo>
                                <a:pt x="0" y="0"/>
                              </a:lnTo>
                              <a:lnTo>
                                <a:pt x="0" y="16852"/>
                              </a:lnTo>
                              <a:lnTo>
                                <a:pt x="5687034" y="16852"/>
                              </a:lnTo>
                              <a:lnTo>
                                <a:pt x="5687034"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6.693001pt;margin-top:15.817081pt;width:447.798pt;height:1.327pt;mso-position-horizontal-relative:page;mso-position-vertical-relative:paragraph;z-index:-15552000;mso-wrap-distance-left:0;mso-wrap-distance-right:0" id="docshape665" filled="true" fillcolor="#4f81bd" stroked="false">
                <v:fill type="solid"/>
                <w10:wrap type="topAndBottom"/>
              </v:rect>
            </w:pict>
          </mc:Fallback>
        </mc:AlternateContent>
      </w:r>
    </w:p>
    <w:p>
      <w:pPr>
        <w:pStyle w:val="ListParagraph"/>
        <w:numPr>
          <w:ilvl w:val="1"/>
          <w:numId w:val="13"/>
        </w:numPr>
        <w:tabs>
          <w:tab w:pos="651" w:val="left" w:leader="none"/>
          <w:tab w:pos="5770" w:val="left" w:leader="none"/>
          <w:tab w:pos="7795" w:val="left" w:leader="none"/>
        </w:tabs>
        <w:spacing w:line="240" w:lineRule="auto" w:before="131" w:after="0"/>
        <w:ind w:left="651" w:right="0" w:hanging="507"/>
        <w:jc w:val="left"/>
        <w:rPr>
          <w:b/>
          <w:color w:val="0070C0"/>
          <w:sz w:val="16"/>
        </w:rPr>
      </w:pPr>
      <w:r>
        <w:rPr>
          <w:b/>
          <w:color w:val="0070C0"/>
          <w:spacing w:val="-2"/>
          <w:w w:val="105"/>
          <w:sz w:val="16"/>
        </w:rPr>
        <w:t>Reserves</w:t>
      </w:r>
      <w:r>
        <w:rPr>
          <w:b/>
          <w:color w:val="0070C0"/>
          <w:sz w:val="16"/>
        </w:rPr>
        <w:tab/>
      </w:r>
      <w:r>
        <w:rPr>
          <w:b/>
          <w:spacing w:val="-2"/>
          <w:w w:val="105"/>
          <w:sz w:val="13"/>
        </w:rPr>
        <w:t>Consolidated</w:t>
      </w:r>
      <w:r>
        <w:rPr>
          <w:b/>
          <w:sz w:val="13"/>
        </w:rPr>
        <w:tab/>
      </w:r>
      <w:r>
        <w:rPr>
          <w:b/>
          <w:spacing w:val="-2"/>
          <w:w w:val="105"/>
          <w:sz w:val="13"/>
        </w:rPr>
        <w:t>University</w:t>
      </w:r>
    </w:p>
    <w:p>
      <w:pPr>
        <w:tabs>
          <w:tab w:pos="6529" w:val="left" w:leader="none"/>
          <w:tab w:pos="7498" w:val="left" w:leader="none"/>
          <w:tab w:pos="8447" w:val="left" w:leader="none"/>
        </w:tabs>
        <w:spacing w:before="16"/>
        <w:ind w:left="5557" w:right="0" w:firstLine="0"/>
        <w:jc w:val="left"/>
        <w:rPr>
          <w:b/>
          <w:sz w:val="13"/>
        </w:rPr>
      </w:pPr>
      <w:r>
        <w:rPr>
          <w:b/>
          <w:spacing w:val="-4"/>
          <w:w w:val="105"/>
          <w:sz w:val="13"/>
        </w:rPr>
        <w:t>2020</w:t>
      </w:r>
      <w:r>
        <w:rPr>
          <w:b/>
          <w:sz w:val="13"/>
        </w:rPr>
        <w:tab/>
      </w:r>
      <w:r>
        <w:rPr>
          <w:b/>
          <w:spacing w:val="-4"/>
          <w:w w:val="105"/>
          <w:sz w:val="13"/>
        </w:rPr>
        <w:t>2019</w:t>
      </w:r>
      <w:r>
        <w:rPr>
          <w:b/>
          <w:sz w:val="13"/>
        </w:rPr>
        <w:tab/>
      </w:r>
      <w:r>
        <w:rPr>
          <w:b/>
          <w:spacing w:val="-4"/>
          <w:w w:val="105"/>
          <w:sz w:val="13"/>
        </w:rPr>
        <w:t>2020</w:t>
      </w:r>
      <w:r>
        <w:rPr>
          <w:b/>
          <w:sz w:val="13"/>
        </w:rPr>
        <w:tab/>
      </w:r>
      <w:r>
        <w:rPr>
          <w:b/>
          <w:spacing w:val="-4"/>
          <w:w w:val="105"/>
          <w:sz w:val="13"/>
        </w:rPr>
        <w:t>2019</w:t>
      </w:r>
    </w:p>
    <w:p>
      <w:pPr>
        <w:tabs>
          <w:tab w:pos="6511" w:val="left" w:leader="none"/>
          <w:tab w:pos="7483" w:val="left" w:leader="none"/>
          <w:tab w:pos="8432" w:val="left" w:leader="none"/>
        </w:tabs>
        <w:spacing w:before="24"/>
        <w:ind w:left="5542" w:right="0" w:firstLine="0"/>
        <w:jc w:val="left"/>
        <w:rPr>
          <w:b/>
          <w:sz w:val="13"/>
        </w:rPr>
      </w:pPr>
      <w:r>
        <w:rPr/>
        <mc:AlternateContent>
          <mc:Choice Requires="wps">
            <w:drawing>
              <wp:anchor distT="0" distB="0" distL="0" distR="0" allowOverlap="1" layoutInCell="1" locked="0" behindDoc="1" simplePos="0" relativeHeight="487764992">
                <wp:simplePos x="0" y="0"/>
                <wp:positionH relativeFrom="page">
                  <wp:posOffset>3967523</wp:posOffset>
                </wp:positionH>
                <wp:positionV relativeFrom="paragraph">
                  <wp:posOffset>120693</wp:posOffset>
                </wp:positionV>
                <wp:extent cx="2439670" cy="8890"/>
                <wp:effectExtent l="0" t="0" r="0" b="0"/>
                <wp:wrapTopAndBottom/>
                <wp:docPr id="977" name="Group 977"/>
                <wp:cNvGraphicFramePr>
                  <a:graphicFrameLocks/>
                </wp:cNvGraphicFramePr>
                <a:graphic>
                  <a:graphicData uri="http://schemas.microsoft.com/office/word/2010/wordprocessingGroup">
                    <wpg:wgp>
                      <wpg:cNvPr id="977" name="Group 977"/>
                      <wpg:cNvGrpSpPr/>
                      <wpg:grpSpPr>
                        <a:xfrm>
                          <a:off x="0" y="0"/>
                          <a:ext cx="2439670" cy="8890"/>
                          <a:chExt cx="2439670" cy="8890"/>
                        </a:xfrm>
                      </wpg:grpSpPr>
                      <wps:wsp>
                        <wps:cNvPr id="978" name="Graphic 978"/>
                        <wps:cNvSpPr/>
                        <wps:spPr>
                          <a:xfrm>
                            <a:off x="0" y="0"/>
                            <a:ext cx="2439670" cy="1270"/>
                          </a:xfrm>
                          <a:custGeom>
                            <a:avLst/>
                            <a:gdLst/>
                            <a:ahLst/>
                            <a:cxnLst/>
                            <a:rect l="l" t="t" r="r" b="b"/>
                            <a:pathLst>
                              <a:path w="2439670" h="0">
                                <a:moveTo>
                                  <a:pt x="0" y="0"/>
                                </a:moveTo>
                                <a:lnTo>
                                  <a:pt x="2439504" y="0"/>
                                </a:lnTo>
                              </a:path>
                            </a:pathLst>
                          </a:custGeom>
                          <a:ln w="0">
                            <a:solidFill>
                              <a:srgbClr val="000000"/>
                            </a:solidFill>
                            <a:prstDash val="solid"/>
                          </a:ln>
                        </wps:spPr>
                        <wps:bodyPr wrap="square" lIns="0" tIns="0" rIns="0" bIns="0" rtlCol="0">
                          <a:prstTxWarp prst="textNoShape">
                            <a:avLst/>
                          </a:prstTxWarp>
                          <a:noAutofit/>
                        </wps:bodyPr>
                      </wps:wsp>
                      <wps:wsp>
                        <wps:cNvPr id="979" name="Graphic 979"/>
                        <wps:cNvSpPr/>
                        <wps:spPr>
                          <a:xfrm>
                            <a:off x="7" y="0"/>
                            <a:ext cx="2439670" cy="8890"/>
                          </a:xfrm>
                          <a:custGeom>
                            <a:avLst/>
                            <a:gdLst/>
                            <a:ahLst/>
                            <a:cxnLst/>
                            <a:rect l="l" t="t" r="r" b="b"/>
                            <a:pathLst>
                              <a:path w="2439670" h="8890">
                                <a:moveTo>
                                  <a:pt x="2439517" y="0"/>
                                </a:moveTo>
                                <a:lnTo>
                                  <a:pt x="0" y="0"/>
                                </a:lnTo>
                                <a:lnTo>
                                  <a:pt x="0" y="8432"/>
                                </a:lnTo>
                                <a:lnTo>
                                  <a:pt x="2439517" y="8432"/>
                                </a:lnTo>
                                <a:lnTo>
                                  <a:pt x="2439517"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312.403412pt;margin-top:9.503416pt;width:192.1pt;height:.7pt;mso-position-horizontal-relative:page;mso-position-vertical-relative:paragraph;z-index:-15551488;mso-wrap-distance-left:0;mso-wrap-distance-right:0" id="docshapegroup666" coordorigin="6248,190" coordsize="3842,14">
                <v:line style="position:absolute" from="6248,190" to="10090,190" stroked="true" strokeweight="0pt" strokecolor="#000000">
                  <v:stroke dashstyle="solid"/>
                </v:line>
                <v:rect style="position:absolute;left:6248;top:190;width:3842;height:14" id="docshape667" filled="true" fillcolor="#000000" stroked="false">
                  <v:fill type="solid"/>
                </v:rect>
                <w10:wrap type="topAndBottom"/>
              </v:group>
            </w:pict>
          </mc:Fallback>
        </mc:AlternateContent>
      </w:r>
      <w:r>
        <w:rPr>
          <w:b/>
          <w:spacing w:val="-2"/>
          <w:w w:val="105"/>
          <w:sz w:val="13"/>
        </w:rPr>
        <w:t>$'000</w:t>
      </w:r>
      <w:r>
        <w:rPr>
          <w:b/>
          <w:sz w:val="13"/>
        </w:rPr>
        <w:tab/>
      </w:r>
      <w:r>
        <w:rPr>
          <w:b/>
          <w:spacing w:val="-2"/>
          <w:w w:val="105"/>
          <w:sz w:val="13"/>
        </w:rPr>
        <w:t>$'000</w:t>
      </w:r>
      <w:r>
        <w:rPr>
          <w:b/>
          <w:sz w:val="13"/>
        </w:rPr>
        <w:tab/>
      </w:r>
      <w:r>
        <w:rPr>
          <w:b/>
          <w:spacing w:val="-4"/>
          <w:w w:val="105"/>
          <w:sz w:val="13"/>
        </w:rPr>
        <w:t>$'000</w:t>
      </w:r>
      <w:r>
        <w:rPr>
          <w:b/>
          <w:sz w:val="13"/>
        </w:rPr>
        <w:tab/>
      </w:r>
      <w:r>
        <w:rPr>
          <w:b/>
          <w:spacing w:val="-2"/>
          <w:w w:val="105"/>
          <w:sz w:val="13"/>
        </w:rPr>
        <w:t>$'000</w:t>
      </w:r>
    </w:p>
    <w:p>
      <w:pPr>
        <w:pStyle w:val="ListParagraph"/>
        <w:numPr>
          <w:ilvl w:val="0"/>
          <w:numId w:val="41"/>
        </w:numPr>
        <w:tabs>
          <w:tab w:pos="647" w:val="left" w:leader="none"/>
        </w:tabs>
        <w:spacing w:line="240" w:lineRule="auto" w:before="8" w:after="0"/>
        <w:ind w:left="647" w:right="0" w:hanging="507"/>
        <w:jc w:val="left"/>
        <w:rPr>
          <w:b/>
          <w:sz w:val="13"/>
        </w:rPr>
      </w:pPr>
      <w:r>
        <w:rPr>
          <w:b/>
          <w:spacing w:val="-2"/>
          <w:w w:val="105"/>
          <w:sz w:val="13"/>
        </w:rPr>
        <w:t>Movements</w:t>
      </w:r>
    </w:p>
    <w:p>
      <w:pPr>
        <w:spacing w:before="19"/>
        <w:ind w:left="647" w:right="0" w:firstLine="0"/>
        <w:jc w:val="left"/>
        <w:rPr>
          <w:b/>
          <w:sz w:val="13"/>
        </w:rPr>
      </w:pPr>
      <w:r>
        <w:rPr>
          <w:b/>
          <w:w w:val="105"/>
          <w:sz w:val="13"/>
        </w:rPr>
        <w:t>Short-term</w:t>
      </w:r>
      <w:r>
        <w:rPr>
          <w:b/>
          <w:spacing w:val="-9"/>
          <w:w w:val="105"/>
          <w:sz w:val="13"/>
        </w:rPr>
        <w:t> </w:t>
      </w:r>
      <w:r>
        <w:rPr>
          <w:b/>
          <w:w w:val="105"/>
          <w:sz w:val="13"/>
        </w:rPr>
        <w:t>investment</w:t>
      </w:r>
      <w:r>
        <w:rPr>
          <w:b/>
          <w:spacing w:val="-8"/>
          <w:w w:val="105"/>
          <w:sz w:val="13"/>
        </w:rPr>
        <w:t> </w:t>
      </w:r>
      <w:r>
        <w:rPr>
          <w:b/>
          <w:w w:val="105"/>
          <w:sz w:val="13"/>
        </w:rPr>
        <w:t>fluctuation</w:t>
      </w:r>
      <w:r>
        <w:rPr>
          <w:b/>
          <w:spacing w:val="-8"/>
          <w:w w:val="105"/>
          <w:sz w:val="13"/>
        </w:rPr>
        <w:t> </w:t>
      </w:r>
      <w:r>
        <w:rPr>
          <w:b/>
          <w:spacing w:val="-2"/>
          <w:w w:val="105"/>
          <w:sz w:val="13"/>
        </w:rPr>
        <w:t>reserves</w:t>
      </w:r>
    </w:p>
    <w:p>
      <w:pPr>
        <w:tabs>
          <w:tab w:pos="6104" w:val="left" w:leader="none"/>
          <w:tab w:pos="6681" w:val="left" w:leader="none"/>
          <w:tab w:pos="8045" w:val="left" w:leader="none"/>
          <w:tab w:pos="8580" w:val="left" w:leader="none"/>
        </w:tabs>
        <w:spacing w:before="23"/>
        <w:ind w:left="647" w:right="0" w:firstLine="0"/>
        <w:jc w:val="left"/>
        <w:rPr>
          <w:sz w:val="13"/>
        </w:rPr>
      </w:pPr>
      <w:r>
        <w:rPr>
          <w:w w:val="105"/>
          <w:sz w:val="13"/>
        </w:rPr>
        <w:t>Balance</w:t>
      </w:r>
      <w:r>
        <w:rPr>
          <w:spacing w:val="-6"/>
          <w:w w:val="105"/>
          <w:sz w:val="13"/>
        </w:rPr>
        <w:t> </w:t>
      </w:r>
      <w:r>
        <w:rPr>
          <w:w w:val="105"/>
          <w:sz w:val="13"/>
        </w:rPr>
        <w:t>1</w:t>
      </w:r>
      <w:r>
        <w:rPr>
          <w:spacing w:val="-5"/>
          <w:w w:val="105"/>
          <w:sz w:val="13"/>
        </w:rPr>
        <w:t> </w:t>
      </w:r>
      <w:r>
        <w:rPr>
          <w:spacing w:val="-2"/>
          <w:w w:val="105"/>
          <w:sz w:val="13"/>
        </w:rPr>
        <w:t>January</w:t>
      </w:r>
      <w:r>
        <w:rPr>
          <w:sz w:val="13"/>
        </w:rPr>
        <w:tab/>
      </w:r>
      <w:r>
        <w:rPr>
          <w:spacing w:val="-10"/>
          <w:w w:val="105"/>
          <w:sz w:val="13"/>
        </w:rPr>
        <w:t>-</w:t>
      </w:r>
      <w:r>
        <w:rPr>
          <w:sz w:val="13"/>
        </w:rPr>
        <w:tab/>
      </w:r>
      <w:r>
        <w:rPr>
          <w:spacing w:val="-2"/>
          <w:w w:val="105"/>
          <w:sz w:val="13"/>
        </w:rPr>
        <w:t>32,793</w:t>
      </w:r>
      <w:r>
        <w:rPr>
          <w:sz w:val="13"/>
        </w:rPr>
        <w:tab/>
      </w:r>
      <w:r>
        <w:rPr>
          <w:spacing w:val="-10"/>
          <w:w w:val="105"/>
          <w:sz w:val="13"/>
        </w:rPr>
        <w:t>-</w:t>
      </w:r>
      <w:r>
        <w:rPr>
          <w:sz w:val="13"/>
        </w:rPr>
        <w:tab/>
      </w:r>
      <w:r>
        <w:rPr>
          <w:spacing w:val="-2"/>
          <w:w w:val="105"/>
          <w:sz w:val="13"/>
        </w:rPr>
        <w:t>32,793</w:t>
      </w:r>
    </w:p>
    <w:p>
      <w:pPr>
        <w:tabs>
          <w:tab w:pos="5227" w:val="left" w:leader="none"/>
          <w:tab w:pos="6104" w:val="left" w:leader="none"/>
          <w:tab w:pos="6635" w:val="left" w:leader="none"/>
          <w:tab w:pos="8044" w:val="left" w:leader="none"/>
          <w:tab w:pos="8534" w:val="left" w:leader="none"/>
        </w:tabs>
        <w:spacing w:before="25"/>
        <w:ind w:left="647" w:right="0" w:firstLine="0"/>
        <w:jc w:val="left"/>
        <w:rPr>
          <w:sz w:val="13"/>
        </w:rPr>
      </w:pPr>
      <w:r>
        <w:rPr>
          <w:w w:val="105"/>
          <w:sz w:val="13"/>
        </w:rPr>
        <w:t>Transfer</w:t>
      </w:r>
      <w:r>
        <w:rPr>
          <w:spacing w:val="-7"/>
          <w:w w:val="105"/>
          <w:sz w:val="13"/>
        </w:rPr>
        <w:t> </w:t>
      </w:r>
      <w:r>
        <w:rPr>
          <w:w w:val="105"/>
          <w:sz w:val="13"/>
        </w:rPr>
        <w:t>from/(to)</w:t>
      </w:r>
      <w:r>
        <w:rPr>
          <w:spacing w:val="-7"/>
          <w:w w:val="105"/>
          <w:sz w:val="13"/>
        </w:rPr>
        <w:t> </w:t>
      </w:r>
      <w:r>
        <w:rPr>
          <w:w w:val="105"/>
          <w:sz w:val="13"/>
        </w:rPr>
        <w:t>accumulated</w:t>
      </w:r>
      <w:r>
        <w:rPr>
          <w:spacing w:val="-9"/>
          <w:w w:val="105"/>
          <w:sz w:val="13"/>
        </w:rPr>
        <w:t> </w:t>
      </w:r>
      <w:r>
        <w:rPr>
          <w:spacing w:val="-4"/>
          <w:w w:val="105"/>
          <w:sz w:val="13"/>
        </w:rPr>
        <w:t>funds</w:t>
      </w:r>
      <w:r>
        <w:rPr>
          <w:sz w:val="13"/>
        </w:rPr>
        <w:tab/>
      </w:r>
      <w:r>
        <w:rPr>
          <w:sz w:val="13"/>
          <w:u w:val="single"/>
        </w:rPr>
        <w:tab/>
      </w:r>
      <w:r>
        <w:rPr>
          <w:spacing w:val="-10"/>
          <w:w w:val="105"/>
          <w:sz w:val="13"/>
          <w:u w:val="single"/>
        </w:rPr>
        <w:t>-</w:t>
      </w:r>
      <w:r>
        <w:rPr>
          <w:sz w:val="13"/>
          <w:u w:val="single"/>
        </w:rPr>
        <w:tab/>
      </w:r>
      <w:r>
        <w:rPr>
          <w:spacing w:val="-2"/>
          <w:w w:val="105"/>
          <w:sz w:val="13"/>
          <w:u w:val="single"/>
        </w:rPr>
        <w:t>(32,793)</w:t>
      </w:r>
      <w:r>
        <w:rPr>
          <w:sz w:val="13"/>
          <w:u w:val="single"/>
        </w:rPr>
        <w:tab/>
      </w:r>
      <w:r>
        <w:rPr>
          <w:spacing w:val="-10"/>
          <w:w w:val="105"/>
          <w:sz w:val="13"/>
          <w:u w:val="single"/>
        </w:rPr>
        <w:t>-</w:t>
      </w:r>
      <w:r>
        <w:rPr>
          <w:sz w:val="13"/>
          <w:u w:val="single"/>
        </w:rPr>
        <w:tab/>
      </w:r>
      <w:r>
        <w:rPr>
          <w:spacing w:val="-2"/>
          <w:w w:val="105"/>
          <w:sz w:val="13"/>
          <w:u w:val="single"/>
        </w:rPr>
        <w:t>(32,793)</w:t>
      </w:r>
    </w:p>
    <w:p>
      <w:pPr>
        <w:tabs>
          <w:tab w:pos="5227" w:val="left" w:leader="none"/>
          <w:tab w:pos="6066" w:val="left" w:leader="none"/>
          <w:tab w:pos="7058" w:val="left" w:leader="none"/>
          <w:tab w:pos="8007" w:val="left" w:leader="none"/>
          <w:tab w:pos="8956" w:val="left" w:leader="none"/>
        </w:tabs>
        <w:spacing w:before="24"/>
        <w:ind w:left="647" w:right="0" w:firstLine="0"/>
        <w:jc w:val="left"/>
        <w:rPr>
          <w:sz w:val="13"/>
        </w:rPr>
      </w:pPr>
      <w:r>
        <w:rPr>
          <w:b/>
          <w:w w:val="105"/>
          <w:sz w:val="13"/>
        </w:rPr>
        <w:t>Balance</w:t>
      </w:r>
      <w:r>
        <w:rPr>
          <w:b/>
          <w:spacing w:val="-7"/>
          <w:w w:val="105"/>
          <w:sz w:val="13"/>
        </w:rPr>
        <w:t> </w:t>
      </w:r>
      <w:r>
        <w:rPr>
          <w:b/>
          <w:w w:val="105"/>
          <w:sz w:val="13"/>
        </w:rPr>
        <w:t>31</w:t>
      </w:r>
      <w:r>
        <w:rPr>
          <w:b/>
          <w:spacing w:val="-6"/>
          <w:w w:val="105"/>
          <w:sz w:val="13"/>
        </w:rPr>
        <w:t> </w:t>
      </w:r>
      <w:r>
        <w:rPr>
          <w:b/>
          <w:spacing w:val="-2"/>
          <w:w w:val="105"/>
          <w:sz w:val="13"/>
        </w:rPr>
        <w:t>December</w:t>
      </w:r>
      <w:r>
        <w:rPr>
          <w:b/>
          <w:sz w:val="13"/>
        </w:rPr>
        <w:tab/>
      </w:r>
      <w:r>
        <w:rPr>
          <w:sz w:val="13"/>
          <w:u w:val="single"/>
        </w:rPr>
        <w:tab/>
      </w:r>
      <w:r>
        <w:rPr>
          <w:spacing w:val="-10"/>
          <w:w w:val="105"/>
          <w:sz w:val="13"/>
          <w:u w:val="single"/>
        </w:rPr>
        <w:t>-</w:t>
      </w:r>
      <w:r>
        <w:rPr>
          <w:sz w:val="13"/>
          <w:u w:val="single"/>
        </w:rPr>
        <w:tab/>
      </w:r>
      <w:r>
        <w:rPr>
          <w:spacing w:val="-10"/>
          <w:w w:val="105"/>
          <w:sz w:val="13"/>
          <w:u w:val="single"/>
        </w:rPr>
        <w:t>-</w:t>
      </w:r>
      <w:r>
        <w:rPr>
          <w:sz w:val="13"/>
          <w:u w:val="single"/>
        </w:rPr>
        <w:tab/>
      </w:r>
      <w:r>
        <w:rPr>
          <w:spacing w:val="-10"/>
          <w:w w:val="105"/>
          <w:sz w:val="13"/>
          <w:u w:val="single"/>
        </w:rPr>
        <w:t>-</w:t>
      </w:r>
      <w:r>
        <w:rPr>
          <w:sz w:val="13"/>
          <w:u w:val="single"/>
        </w:rPr>
        <w:tab/>
      </w:r>
      <w:r>
        <w:rPr>
          <w:spacing w:val="-10"/>
          <w:w w:val="105"/>
          <w:sz w:val="13"/>
          <w:u w:val="single"/>
        </w:rPr>
        <w:t>-</w:t>
      </w:r>
      <w:r>
        <w:rPr>
          <w:spacing w:val="80"/>
          <w:w w:val="105"/>
          <w:sz w:val="13"/>
          <w:u w:val="single"/>
        </w:rPr>
        <w:t> </w:t>
      </w:r>
    </w:p>
    <w:p>
      <w:pPr>
        <w:spacing w:line="240" w:lineRule="auto" w:before="4"/>
        <w:rPr>
          <w:sz w:val="13"/>
        </w:rPr>
      </w:pPr>
    </w:p>
    <w:p>
      <w:pPr>
        <w:pStyle w:val="ListParagraph"/>
        <w:numPr>
          <w:ilvl w:val="0"/>
          <w:numId w:val="41"/>
        </w:numPr>
        <w:tabs>
          <w:tab w:pos="645" w:val="left" w:leader="none"/>
        </w:tabs>
        <w:spacing w:line="240" w:lineRule="auto" w:before="0" w:after="0"/>
        <w:ind w:left="645" w:right="0" w:hanging="505"/>
        <w:jc w:val="both"/>
        <w:rPr>
          <w:b/>
          <w:sz w:val="13"/>
        </w:rPr>
      </w:pPr>
      <w:r>
        <w:rPr>
          <w:b/>
          <w:w w:val="105"/>
          <w:sz w:val="13"/>
        </w:rPr>
        <w:t>Nature</w:t>
      </w:r>
      <w:r>
        <w:rPr>
          <w:b/>
          <w:spacing w:val="-4"/>
          <w:w w:val="105"/>
          <w:sz w:val="13"/>
        </w:rPr>
        <w:t> </w:t>
      </w:r>
      <w:r>
        <w:rPr>
          <w:b/>
          <w:w w:val="105"/>
          <w:sz w:val="13"/>
        </w:rPr>
        <w:t>and</w:t>
      </w:r>
      <w:r>
        <w:rPr>
          <w:b/>
          <w:spacing w:val="-3"/>
          <w:w w:val="105"/>
          <w:sz w:val="13"/>
        </w:rPr>
        <w:t> </w:t>
      </w:r>
      <w:r>
        <w:rPr>
          <w:b/>
          <w:w w:val="105"/>
          <w:sz w:val="13"/>
        </w:rPr>
        <w:t>purpose</w:t>
      </w:r>
      <w:r>
        <w:rPr>
          <w:b/>
          <w:spacing w:val="-4"/>
          <w:w w:val="105"/>
          <w:sz w:val="13"/>
        </w:rPr>
        <w:t> </w:t>
      </w:r>
      <w:r>
        <w:rPr>
          <w:b/>
          <w:w w:val="105"/>
          <w:sz w:val="13"/>
        </w:rPr>
        <w:t>of</w:t>
      </w:r>
      <w:r>
        <w:rPr>
          <w:b/>
          <w:spacing w:val="-2"/>
          <w:w w:val="105"/>
          <w:sz w:val="13"/>
        </w:rPr>
        <w:t> reserve</w:t>
      </w:r>
    </w:p>
    <w:p>
      <w:pPr>
        <w:spacing w:line="273" w:lineRule="auto" w:before="21"/>
        <w:ind w:left="647" w:right="299" w:firstLine="0"/>
        <w:jc w:val="both"/>
        <w:rPr>
          <w:sz w:val="13"/>
        </w:rPr>
      </w:pPr>
      <w:r>
        <w:rPr>
          <w:w w:val="105"/>
          <w:sz w:val="13"/>
        </w:rPr>
        <w:t>The</w:t>
      </w:r>
      <w:r>
        <w:rPr>
          <w:w w:val="105"/>
          <w:sz w:val="13"/>
        </w:rPr>
        <w:t> short-term</w:t>
      </w:r>
      <w:r>
        <w:rPr>
          <w:w w:val="105"/>
          <w:sz w:val="13"/>
        </w:rPr>
        <w:t> investment</w:t>
      </w:r>
      <w:r>
        <w:rPr>
          <w:w w:val="105"/>
          <w:sz w:val="13"/>
        </w:rPr>
        <w:t> fluctuation</w:t>
      </w:r>
      <w:r>
        <w:rPr>
          <w:w w:val="105"/>
          <w:sz w:val="13"/>
        </w:rPr>
        <w:t> reserves</w:t>
      </w:r>
      <w:r>
        <w:rPr>
          <w:w w:val="105"/>
          <w:sz w:val="13"/>
        </w:rPr>
        <w:t> were</w:t>
      </w:r>
      <w:r>
        <w:rPr>
          <w:w w:val="105"/>
          <w:sz w:val="13"/>
        </w:rPr>
        <w:t> created</w:t>
      </w:r>
      <w:r>
        <w:rPr>
          <w:w w:val="105"/>
          <w:sz w:val="13"/>
        </w:rPr>
        <w:t> to</w:t>
      </w:r>
      <w:r>
        <w:rPr>
          <w:w w:val="105"/>
          <w:sz w:val="13"/>
        </w:rPr>
        <w:t> provide</w:t>
      </w:r>
      <w:r>
        <w:rPr>
          <w:w w:val="105"/>
          <w:sz w:val="13"/>
        </w:rPr>
        <w:t> a</w:t>
      </w:r>
      <w:r>
        <w:rPr>
          <w:w w:val="105"/>
          <w:sz w:val="13"/>
        </w:rPr>
        <w:t> degree</w:t>
      </w:r>
      <w:r>
        <w:rPr>
          <w:w w:val="105"/>
          <w:sz w:val="13"/>
        </w:rPr>
        <w:t> of</w:t>
      </w:r>
      <w:r>
        <w:rPr>
          <w:w w:val="105"/>
          <w:sz w:val="13"/>
        </w:rPr>
        <w:t> smoothing</w:t>
      </w:r>
      <w:r>
        <w:rPr>
          <w:w w:val="105"/>
          <w:sz w:val="13"/>
        </w:rPr>
        <w:t> in</w:t>
      </w:r>
      <w:r>
        <w:rPr>
          <w:w w:val="105"/>
          <w:sz w:val="13"/>
        </w:rPr>
        <w:t> regards</w:t>
      </w:r>
      <w:r>
        <w:rPr>
          <w:w w:val="105"/>
          <w:sz w:val="13"/>
        </w:rPr>
        <w:t> to</w:t>
      </w:r>
      <w:r>
        <w:rPr>
          <w:w w:val="105"/>
          <w:sz w:val="13"/>
        </w:rPr>
        <w:t> investment</w:t>
      </w:r>
      <w:r>
        <w:rPr>
          <w:w w:val="105"/>
          <w:sz w:val="13"/>
        </w:rPr>
        <w:t> income</w:t>
      </w:r>
      <w:r>
        <w:rPr>
          <w:spacing w:val="40"/>
          <w:w w:val="105"/>
          <w:sz w:val="13"/>
        </w:rPr>
        <w:t> </w:t>
      </w:r>
      <w:r>
        <w:rPr>
          <w:w w:val="105"/>
          <w:sz w:val="13"/>
        </w:rPr>
        <w:t>distributions from year to year and provide increased predictability for planning and budgeting purposes. The Group policy for the short-</w:t>
      </w:r>
      <w:r>
        <w:rPr>
          <w:spacing w:val="40"/>
          <w:w w:val="105"/>
          <w:sz w:val="13"/>
        </w:rPr>
        <w:t> </w:t>
      </w:r>
      <w:r>
        <w:rPr>
          <w:w w:val="105"/>
          <w:sz w:val="13"/>
        </w:rPr>
        <w:t>term</w:t>
      </w:r>
      <w:r>
        <w:rPr>
          <w:w w:val="105"/>
          <w:sz w:val="13"/>
        </w:rPr>
        <w:t> investment</w:t>
      </w:r>
      <w:r>
        <w:rPr>
          <w:w w:val="105"/>
          <w:sz w:val="13"/>
        </w:rPr>
        <w:t> pool</w:t>
      </w:r>
      <w:r>
        <w:rPr>
          <w:w w:val="105"/>
          <w:sz w:val="13"/>
        </w:rPr>
        <w:t> is</w:t>
      </w:r>
      <w:r>
        <w:rPr>
          <w:w w:val="105"/>
          <w:sz w:val="13"/>
        </w:rPr>
        <w:t> to</w:t>
      </w:r>
      <w:r>
        <w:rPr>
          <w:w w:val="105"/>
          <w:sz w:val="13"/>
        </w:rPr>
        <w:t> distribute</w:t>
      </w:r>
      <w:r>
        <w:rPr>
          <w:w w:val="105"/>
          <w:sz w:val="13"/>
        </w:rPr>
        <w:t> the</w:t>
      </w:r>
      <w:r>
        <w:rPr>
          <w:w w:val="105"/>
          <w:sz w:val="13"/>
        </w:rPr>
        <w:t> income</w:t>
      </w:r>
      <w:r>
        <w:rPr>
          <w:w w:val="105"/>
          <w:sz w:val="13"/>
        </w:rPr>
        <w:t> at</w:t>
      </w:r>
      <w:r>
        <w:rPr>
          <w:w w:val="105"/>
          <w:sz w:val="13"/>
        </w:rPr>
        <w:t> a</w:t>
      </w:r>
      <w:r>
        <w:rPr>
          <w:w w:val="105"/>
          <w:sz w:val="13"/>
        </w:rPr>
        <w:t> smoothed</w:t>
      </w:r>
      <w:r>
        <w:rPr>
          <w:w w:val="105"/>
          <w:sz w:val="13"/>
        </w:rPr>
        <w:t> rate</w:t>
      </w:r>
      <w:r>
        <w:rPr>
          <w:w w:val="105"/>
          <w:sz w:val="13"/>
        </w:rPr>
        <w:t> and</w:t>
      </w:r>
      <w:r>
        <w:rPr>
          <w:w w:val="105"/>
          <w:sz w:val="13"/>
        </w:rPr>
        <w:t> to</w:t>
      </w:r>
      <w:r>
        <w:rPr>
          <w:w w:val="105"/>
          <w:sz w:val="13"/>
        </w:rPr>
        <w:t> credit</w:t>
      </w:r>
      <w:r>
        <w:rPr>
          <w:w w:val="105"/>
          <w:sz w:val="13"/>
        </w:rPr>
        <w:t> any</w:t>
      </w:r>
      <w:r>
        <w:rPr>
          <w:w w:val="105"/>
          <w:sz w:val="13"/>
        </w:rPr>
        <w:t> excess</w:t>
      </w:r>
      <w:r>
        <w:rPr>
          <w:w w:val="105"/>
          <w:sz w:val="13"/>
        </w:rPr>
        <w:t> or</w:t>
      </w:r>
      <w:r>
        <w:rPr>
          <w:w w:val="105"/>
          <w:sz w:val="13"/>
        </w:rPr>
        <w:t> debit</w:t>
      </w:r>
      <w:r>
        <w:rPr>
          <w:w w:val="105"/>
          <w:sz w:val="13"/>
        </w:rPr>
        <w:t> any</w:t>
      </w:r>
      <w:r>
        <w:rPr>
          <w:w w:val="105"/>
          <w:sz w:val="13"/>
        </w:rPr>
        <w:t> shortfall</w:t>
      </w:r>
      <w:r>
        <w:rPr>
          <w:w w:val="105"/>
          <w:sz w:val="13"/>
        </w:rPr>
        <w:t> to</w:t>
      </w:r>
      <w:r>
        <w:rPr>
          <w:w w:val="105"/>
          <w:sz w:val="13"/>
        </w:rPr>
        <w:t> the</w:t>
      </w:r>
      <w:r>
        <w:rPr>
          <w:w w:val="105"/>
          <w:sz w:val="13"/>
        </w:rPr>
        <w:t> investment</w:t>
      </w:r>
      <w:r>
        <w:rPr>
          <w:spacing w:val="40"/>
          <w:w w:val="105"/>
          <w:sz w:val="13"/>
        </w:rPr>
        <w:t> </w:t>
      </w:r>
      <w:r>
        <w:rPr>
          <w:w w:val="105"/>
          <w:sz w:val="13"/>
        </w:rPr>
        <w:t>fluctuation</w:t>
      </w:r>
      <w:r>
        <w:rPr>
          <w:spacing w:val="-1"/>
          <w:w w:val="105"/>
          <w:sz w:val="13"/>
        </w:rPr>
        <w:t> </w:t>
      </w:r>
      <w:r>
        <w:rPr>
          <w:w w:val="105"/>
          <w:sz w:val="13"/>
        </w:rPr>
        <w:t>reserve. These</w:t>
      </w:r>
      <w:r>
        <w:rPr>
          <w:spacing w:val="-1"/>
          <w:w w:val="105"/>
          <w:sz w:val="13"/>
        </w:rPr>
        <w:t> </w:t>
      </w:r>
      <w:r>
        <w:rPr>
          <w:w w:val="105"/>
          <w:sz w:val="13"/>
        </w:rPr>
        <w:t>reserves were</w:t>
      </w:r>
      <w:r>
        <w:rPr>
          <w:spacing w:val="-1"/>
          <w:w w:val="105"/>
          <w:sz w:val="13"/>
        </w:rPr>
        <w:t> </w:t>
      </w:r>
      <w:r>
        <w:rPr>
          <w:w w:val="105"/>
          <w:sz w:val="13"/>
        </w:rPr>
        <w:t>retired</w:t>
      </w:r>
      <w:r>
        <w:rPr>
          <w:spacing w:val="-1"/>
          <w:w w:val="105"/>
          <w:sz w:val="13"/>
        </w:rPr>
        <w:t> </w:t>
      </w:r>
      <w:r>
        <w:rPr>
          <w:w w:val="105"/>
          <w:sz w:val="13"/>
        </w:rPr>
        <w:t>in</w:t>
      </w:r>
      <w:r>
        <w:rPr>
          <w:spacing w:val="-1"/>
          <w:w w:val="105"/>
          <w:sz w:val="13"/>
        </w:rPr>
        <w:t> </w:t>
      </w:r>
      <w:r>
        <w:rPr>
          <w:w w:val="105"/>
          <w:sz w:val="13"/>
        </w:rPr>
        <w:t>2019, as changes to</w:t>
      </w:r>
      <w:r>
        <w:rPr>
          <w:spacing w:val="-1"/>
          <w:w w:val="105"/>
          <w:sz w:val="13"/>
        </w:rPr>
        <w:t> </w:t>
      </w:r>
      <w:r>
        <w:rPr>
          <w:w w:val="105"/>
          <w:sz w:val="13"/>
        </w:rPr>
        <w:t>the</w:t>
      </w:r>
      <w:r>
        <w:rPr>
          <w:spacing w:val="-1"/>
          <w:w w:val="105"/>
          <w:sz w:val="13"/>
        </w:rPr>
        <w:t> </w:t>
      </w:r>
      <w:r>
        <w:rPr>
          <w:w w:val="105"/>
          <w:sz w:val="13"/>
        </w:rPr>
        <w:t>risk profile</w:t>
      </w:r>
      <w:r>
        <w:rPr>
          <w:spacing w:val="-1"/>
          <w:w w:val="105"/>
          <w:sz w:val="13"/>
        </w:rPr>
        <w:t> </w:t>
      </w:r>
      <w:r>
        <w:rPr>
          <w:w w:val="105"/>
          <w:sz w:val="13"/>
        </w:rPr>
        <w:t>of the</w:t>
      </w:r>
      <w:r>
        <w:rPr>
          <w:spacing w:val="-1"/>
          <w:w w:val="105"/>
          <w:sz w:val="13"/>
        </w:rPr>
        <w:t> </w:t>
      </w:r>
      <w:r>
        <w:rPr>
          <w:w w:val="105"/>
          <w:sz w:val="13"/>
        </w:rPr>
        <w:t>short-term investment pool removed the</w:t>
      </w:r>
      <w:r>
        <w:rPr>
          <w:spacing w:val="-1"/>
          <w:w w:val="105"/>
          <w:sz w:val="13"/>
        </w:rPr>
        <w:t> </w:t>
      </w:r>
      <w:r>
        <w:rPr>
          <w:w w:val="105"/>
          <w:sz w:val="13"/>
        </w:rPr>
        <w:t>need</w:t>
      </w:r>
      <w:r>
        <w:rPr>
          <w:spacing w:val="40"/>
          <w:w w:val="105"/>
          <w:sz w:val="13"/>
        </w:rPr>
        <w:t> </w:t>
      </w:r>
      <w:r>
        <w:rPr>
          <w:w w:val="105"/>
          <w:sz w:val="13"/>
        </w:rPr>
        <w:t>for a formal reserve.</w:t>
      </w:r>
    </w:p>
    <w:p>
      <w:pPr>
        <w:spacing w:line="240" w:lineRule="auto" w:before="9"/>
        <w:rPr>
          <w:sz w:val="10"/>
        </w:rPr>
      </w:pPr>
      <w:r>
        <w:rPr/>
        <mc:AlternateContent>
          <mc:Choice Requires="wps">
            <w:drawing>
              <wp:anchor distT="0" distB="0" distL="0" distR="0" allowOverlap="1" layoutInCell="1" locked="0" behindDoc="1" simplePos="0" relativeHeight="487765504">
                <wp:simplePos x="0" y="0"/>
                <wp:positionH relativeFrom="page">
                  <wp:posOffset>720001</wp:posOffset>
                </wp:positionH>
                <wp:positionV relativeFrom="paragraph">
                  <wp:posOffset>93973</wp:posOffset>
                </wp:positionV>
                <wp:extent cx="5687060" cy="17145"/>
                <wp:effectExtent l="0" t="0" r="0" b="0"/>
                <wp:wrapTopAndBottom/>
                <wp:docPr id="980" name="Graphic 980"/>
                <wp:cNvGraphicFramePr>
                  <a:graphicFrameLocks/>
                </wp:cNvGraphicFramePr>
                <a:graphic>
                  <a:graphicData uri="http://schemas.microsoft.com/office/word/2010/wordprocessingShape">
                    <wps:wsp>
                      <wps:cNvPr id="980" name="Graphic 980"/>
                      <wps:cNvSpPr/>
                      <wps:spPr>
                        <a:xfrm>
                          <a:off x="0" y="0"/>
                          <a:ext cx="5687060" cy="17145"/>
                        </a:xfrm>
                        <a:custGeom>
                          <a:avLst/>
                          <a:gdLst/>
                          <a:ahLst/>
                          <a:cxnLst/>
                          <a:rect l="l" t="t" r="r" b="b"/>
                          <a:pathLst>
                            <a:path w="5687060" h="17145">
                              <a:moveTo>
                                <a:pt x="5687034" y="0"/>
                              </a:moveTo>
                              <a:lnTo>
                                <a:pt x="0" y="0"/>
                              </a:lnTo>
                              <a:lnTo>
                                <a:pt x="0" y="16865"/>
                              </a:lnTo>
                              <a:lnTo>
                                <a:pt x="5687034" y="16865"/>
                              </a:lnTo>
                              <a:lnTo>
                                <a:pt x="5687034"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6.693001pt;margin-top:7.399512pt;width:447.798pt;height:1.328pt;mso-position-horizontal-relative:page;mso-position-vertical-relative:paragraph;z-index:-15550976;mso-wrap-distance-left:0;mso-wrap-distance-right:0" id="docshape668" filled="true" fillcolor="#4f81bd" stroked="false">
                <v:fill type="solid"/>
                <w10:wrap type="topAndBottom"/>
              </v:rect>
            </w:pict>
          </mc:Fallback>
        </mc:AlternateContent>
      </w:r>
    </w:p>
    <w:p>
      <w:pPr>
        <w:spacing w:after="0" w:line="240" w:lineRule="auto"/>
        <w:rPr>
          <w:sz w:val="10"/>
        </w:rPr>
        <w:sectPr>
          <w:pgSz w:w="11910" w:h="16840"/>
          <w:pgMar w:header="468" w:footer="0" w:top="1580" w:bottom="280" w:left="1020" w:right="1540"/>
        </w:sectPr>
      </w:pPr>
    </w:p>
    <w:p>
      <w:pPr>
        <w:spacing w:before="85"/>
        <w:ind w:left="152" w:right="0" w:firstLine="0"/>
        <w:jc w:val="left"/>
        <w:rPr>
          <w:sz w:val="22"/>
        </w:rPr>
      </w:pPr>
      <w:r>
        <w:rPr>
          <w:color w:val="0070C0"/>
          <w:sz w:val="22"/>
        </w:rPr>
        <w:t>NOTES</w:t>
      </w:r>
      <w:r>
        <w:rPr>
          <w:color w:val="0070C0"/>
          <w:spacing w:val="6"/>
          <w:sz w:val="22"/>
        </w:rPr>
        <w:t> </w:t>
      </w:r>
      <w:r>
        <w:rPr>
          <w:color w:val="0070C0"/>
          <w:sz w:val="22"/>
        </w:rPr>
        <w:t>TO</w:t>
      </w:r>
      <w:r>
        <w:rPr>
          <w:color w:val="0070C0"/>
          <w:spacing w:val="6"/>
          <w:sz w:val="22"/>
        </w:rPr>
        <w:t> </w:t>
      </w:r>
      <w:r>
        <w:rPr>
          <w:color w:val="0070C0"/>
          <w:sz w:val="22"/>
        </w:rPr>
        <w:t>THE</w:t>
      </w:r>
      <w:r>
        <w:rPr>
          <w:color w:val="0070C0"/>
          <w:spacing w:val="7"/>
          <w:sz w:val="22"/>
        </w:rPr>
        <w:t> </w:t>
      </w:r>
      <w:r>
        <w:rPr>
          <w:color w:val="0070C0"/>
          <w:sz w:val="22"/>
        </w:rPr>
        <w:t>FINANCIAL</w:t>
      </w:r>
      <w:r>
        <w:rPr>
          <w:color w:val="0070C0"/>
          <w:spacing w:val="6"/>
          <w:sz w:val="22"/>
        </w:rPr>
        <w:t> </w:t>
      </w:r>
      <w:r>
        <w:rPr>
          <w:color w:val="0070C0"/>
          <w:spacing w:val="-2"/>
          <w:sz w:val="22"/>
        </w:rPr>
        <w:t>STATEMENTS</w:t>
      </w:r>
    </w:p>
    <w:p>
      <w:pPr>
        <w:spacing w:before="35"/>
        <w:ind w:left="138" w:right="0" w:firstLine="0"/>
        <w:jc w:val="left"/>
        <w:rPr>
          <w:sz w:val="12"/>
        </w:rPr>
      </w:pPr>
      <w:r>
        <w:rPr>
          <w:w w:val="105"/>
          <w:sz w:val="12"/>
        </w:rPr>
        <w:t>for</w:t>
      </w:r>
      <w:r>
        <w:rPr>
          <w:spacing w:val="-4"/>
          <w:w w:val="105"/>
          <w:sz w:val="12"/>
        </w:rPr>
        <w:t> </w:t>
      </w:r>
      <w:r>
        <w:rPr>
          <w:w w:val="105"/>
          <w:sz w:val="12"/>
        </w:rPr>
        <w:t>the</w:t>
      </w:r>
      <w:r>
        <w:rPr>
          <w:spacing w:val="-2"/>
          <w:w w:val="105"/>
          <w:sz w:val="12"/>
        </w:rPr>
        <w:t> </w:t>
      </w:r>
      <w:r>
        <w:rPr>
          <w:w w:val="105"/>
          <w:sz w:val="12"/>
        </w:rPr>
        <w:t>year</w:t>
      </w:r>
      <w:r>
        <w:rPr>
          <w:spacing w:val="-1"/>
          <w:w w:val="105"/>
          <w:sz w:val="12"/>
        </w:rPr>
        <w:t> </w:t>
      </w:r>
      <w:r>
        <w:rPr>
          <w:w w:val="105"/>
          <w:sz w:val="12"/>
        </w:rPr>
        <w:t>ended</w:t>
      </w:r>
      <w:r>
        <w:rPr>
          <w:spacing w:val="-2"/>
          <w:w w:val="105"/>
          <w:sz w:val="12"/>
        </w:rPr>
        <w:t> </w:t>
      </w:r>
      <w:r>
        <w:rPr>
          <w:w w:val="105"/>
          <w:sz w:val="12"/>
        </w:rPr>
        <w:t>31</w:t>
      </w:r>
      <w:r>
        <w:rPr>
          <w:spacing w:val="-2"/>
          <w:w w:val="105"/>
          <w:sz w:val="12"/>
        </w:rPr>
        <w:t> </w:t>
      </w:r>
      <w:r>
        <w:rPr>
          <w:w w:val="105"/>
          <w:sz w:val="12"/>
        </w:rPr>
        <w:t>December</w:t>
      </w:r>
      <w:r>
        <w:rPr>
          <w:spacing w:val="-1"/>
          <w:w w:val="105"/>
          <w:sz w:val="12"/>
        </w:rPr>
        <w:t> </w:t>
      </w:r>
      <w:r>
        <w:rPr>
          <w:spacing w:val="-4"/>
          <w:w w:val="105"/>
          <w:sz w:val="12"/>
        </w:rPr>
        <w:t>2020</w:t>
      </w:r>
    </w:p>
    <w:p>
      <w:pPr>
        <w:spacing w:line="240" w:lineRule="auto" w:before="0"/>
        <w:rPr>
          <w:sz w:val="12"/>
        </w:rPr>
      </w:pPr>
    </w:p>
    <w:p>
      <w:pPr>
        <w:spacing w:line="240" w:lineRule="auto" w:before="83"/>
        <w:rPr>
          <w:sz w:val="12"/>
        </w:rPr>
      </w:pPr>
    </w:p>
    <w:p>
      <w:pPr>
        <w:pStyle w:val="ListParagraph"/>
        <w:numPr>
          <w:ilvl w:val="1"/>
          <w:numId w:val="13"/>
        </w:numPr>
        <w:tabs>
          <w:tab w:pos="661" w:val="left" w:leader="none"/>
          <w:tab w:pos="5877" w:val="left" w:leader="none"/>
          <w:tab w:pos="7940" w:val="left" w:leader="none"/>
        </w:tabs>
        <w:spacing w:line="240" w:lineRule="auto" w:before="0" w:after="52"/>
        <w:ind w:left="661" w:right="0" w:hanging="516"/>
        <w:jc w:val="left"/>
        <w:rPr>
          <w:b/>
          <w:color w:val="0070C0"/>
          <w:sz w:val="16"/>
        </w:rPr>
      </w:pPr>
      <w:r>
        <w:rPr>
          <w:b/>
          <w:color w:val="0070C0"/>
          <w:spacing w:val="-2"/>
          <w:sz w:val="16"/>
        </w:rPr>
        <w:t>Commitments</w:t>
      </w:r>
      <w:r>
        <w:rPr>
          <w:b/>
          <w:color w:val="0070C0"/>
          <w:sz w:val="16"/>
        </w:rPr>
        <w:tab/>
      </w:r>
      <w:r>
        <w:rPr>
          <w:b/>
          <w:spacing w:val="-2"/>
          <w:sz w:val="14"/>
        </w:rPr>
        <w:t>Consolidated</w:t>
      </w:r>
      <w:r>
        <w:rPr>
          <w:b/>
          <w:sz w:val="14"/>
        </w:rPr>
        <w:tab/>
      </w:r>
      <w:r>
        <w:rPr>
          <w:b/>
          <w:spacing w:val="-2"/>
          <w:sz w:val="14"/>
        </w:rPr>
        <w:t>University</w:t>
      </w:r>
    </w:p>
    <w:tbl>
      <w:tblPr>
        <w:tblW w:w="0" w:type="auto"/>
        <w:jc w:val="left"/>
        <w:tblInd w:w="1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211"/>
        <w:gridCol w:w="893"/>
        <w:gridCol w:w="1212"/>
        <w:gridCol w:w="766"/>
        <w:gridCol w:w="1044"/>
      </w:tblGrid>
      <w:tr>
        <w:trPr>
          <w:trHeight w:val="382" w:hRule="atLeast"/>
        </w:trPr>
        <w:tc>
          <w:tcPr>
            <w:tcW w:w="5211" w:type="dxa"/>
          </w:tcPr>
          <w:p>
            <w:pPr>
              <w:pStyle w:val="TableParagraph"/>
              <w:rPr>
                <w:rFonts w:ascii="Times New Roman"/>
                <w:sz w:val="14"/>
              </w:rPr>
            </w:pPr>
          </w:p>
        </w:tc>
        <w:tc>
          <w:tcPr>
            <w:tcW w:w="893" w:type="dxa"/>
            <w:tcBorders>
              <w:bottom w:val="single" w:sz="6" w:space="0" w:color="000000"/>
            </w:tcBorders>
          </w:tcPr>
          <w:p>
            <w:pPr>
              <w:pStyle w:val="TableParagraph"/>
              <w:spacing w:line="156" w:lineRule="exact"/>
              <w:ind w:left="335"/>
              <w:rPr>
                <w:b/>
                <w:sz w:val="14"/>
              </w:rPr>
            </w:pPr>
            <w:r>
              <w:rPr>
                <w:b/>
                <w:spacing w:val="-4"/>
                <w:sz w:val="14"/>
              </w:rPr>
              <w:t>2020</w:t>
            </w:r>
          </w:p>
          <w:p>
            <w:pPr>
              <w:pStyle w:val="TableParagraph"/>
              <w:spacing w:line="156" w:lineRule="exact" w:before="51"/>
              <w:ind w:left="320"/>
              <w:rPr>
                <w:b/>
                <w:sz w:val="14"/>
              </w:rPr>
            </w:pPr>
            <w:r>
              <w:rPr>
                <w:b/>
                <w:spacing w:val="-2"/>
                <w:sz w:val="14"/>
              </w:rPr>
              <w:t>$'000</w:t>
            </w:r>
          </w:p>
        </w:tc>
        <w:tc>
          <w:tcPr>
            <w:tcW w:w="1212" w:type="dxa"/>
            <w:tcBorders>
              <w:bottom w:val="single" w:sz="6" w:space="0" w:color="000000"/>
            </w:tcBorders>
          </w:tcPr>
          <w:p>
            <w:pPr>
              <w:pStyle w:val="TableParagraph"/>
              <w:spacing w:line="156" w:lineRule="exact"/>
              <w:ind w:left="2" w:right="40"/>
              <w:jc w:val="center"/>
              <w:rPr>
                <w:b/>
                <w:sz w:val="14"/>
              </w:rPr>
            </w:pPr>
            <w:r>
              <w:rPr>
                <w:b/>
                <w:spacing w:val="-4"/>
                <w:sz w:val="14"/>
              </w:rPr>
              <w:t>2019</w:t>
            </w:r>
          </w:p>
          <w:p>
            <w:pPr>
              <w:pStyle w:val="TableParagraph"/>
              <w:spacing w:line="156" w:lineRule="exact" w:before="51"/>
              <w:ind w:right="40"/>
              <w:jc w:val="center"/>
              <w:rPr>
                <w:b/>
                <w:sz w:val="14"/>
              </w:rPr>
            </w:pPr>
            <w:r>
              <w:rPr>
                <w:b/>
                <w:spacing w:val="-2"/>
                <w:sz w:val="14"/>
              </w:rPr>
              <w:t>$'000</w:t>
            </w:r>
          </w:p>
        </w:tc>
        <w:tc>
          <w:tcPr>
            <w:tcW w:w="766" w:type="dxa"/>
            <w:tcBorders>
              <w:bottom w:val="single" w:sz="6" w:space="0" w:color="000000"/>
            </w:tcBorders>
          </w:tcPr>
          <w:p>
            <w:pPr>
              <w:pStyle w:val="TableParagraph"/>
              <w:spacing w:line="156" w:lineRule="exact"/>
              <w:ind w:left="208"/>
              <w:rPr>
                <w:b/>
                <w:sz w:val="14"/>
              </w:rPr>
            </w:pPr>
            <w:r>
              <w:rPr>
                <w:b/>
                <w:spacing w:val="-4"/>
                <w:sz w:val="14"/>
              </w:rPr>
              <w:t>2020</w:t>
            </w:r>
          </w:p>
          <w:p>
            <w:pPr>
              <w:pStyle w:val="TableParagraph"/>
              <w:spacing w:line="156" w:lineRule="exact" w:before="51"/>
              <w:ind w:left="192"/>
              <w:rPr>
                <w:b/>
                <w:sz w:val="14"/>
              </w:rPr>
            </w:pPr>
            <w:r>
              <w:rPr>
                <w:b/>
                <w:spacing w:val="-2"/>
                <w:sz w:val="14"/>
              </w:rPr>
              <w:t>$'000</w:t>
            </w:r>
          </w:p>
        </w:tc>
        <w:tc>
          <w:tcPr>
            <w:tcW w:w="1044" w:type="dxa"/>
            <w:tcBorders>
              <w:bottom w:val="single" w:sz="6" w:space="0" w:color="000000"/>
            </w:tcBorders>
          </w:tcPr>
          <w:p>
            <w:pPr>
              <w:pStyle w:val="TableParagraph"/>
              <w:spacing w:line="156" w:lineRule="exact"/>
              <w:ind w:left="409"/>
              <w:rPr>
                <w:b/>
                <w:sz w:val="14"/>
              </w:rPr>
            </w:pPr>
            <w:r>
              <w:rPr>
                <w:b/>
                <w:spacing w:val="-4"/>
                <w:sz w:val="14"/>
              </w:rPr>
              <w:t>2019</w:t>
            </w:r>
          </w:p>
          <w:p>
            <w:pPr>
              <w:pStyle w:val="TableParagraph"/>
              <w:spacing w:line="156" w:lineRule="exact" w:before="51"/>
              <w:ind w:left="393"/>
              <w:rPr>
                <w:b/>
                <w:sz w:val="14"/>
              </w:rPr>
            </w:pPr>
            <w:r>
              <w:rPr>
                <w:b/>
                <w:spacing w:val="-2"/>
                <w:sz w:val="14"/>
              </w:rPr>
              <w:t>$'000</w:t>
            </w:r>
          </w:p>
        </w:tc>
      </w:tr>
      <w:tr>
        <w:trPr>
          <w:trHeight w:val="170" w:hRule="atLeast"/>
        </w:trPr>
        <w:tc>
          <w:tcPr>
            <w:tcW w:w="5211" w:type="dxa"/>
          </w:tcPr>
          <w:p>
            <w:pPr>
              <w:pStyle w:val="TableParagraph"/>
              <w:tabs>
                <w:tab w:pos="543" w:val="left" w:leader="none"/>
              </w:tabs>
              <w:spacing w:line="150" w:lineRule="exact" w:before="1"/>
              <w:ind w:left="27"/>
              <w:rPr>
                <w:b/>
                <w:sz w:val="14"/>
              </w:rPr>
            </w:pPr>
            <w:r>
              <w:rPr>
                <w:b/>
                <w:spacing w:val="-5"/>
                <w:sz w:val="14"/>
              </w:rPr>
              <w:t>(a)</w:t>
            </w:r>
            <w:r>
              <w:rPr>
                <w:b/>
                <w:sz w:val="14"/>
              </w:rPr>
              <w:tab/>
            </w:r>
            <w:r>
              <w:rPr>
                <w:b/>
                <w:spacing w:val="-2"/>
                <w:sz w:val="14"/>
              </w:rPr>
              <w:t>Capital</w:t>
            </w:r>
            <w:r>
              <w:rPr>
                <w:b/>
                <w:spacing w:val="2"/>
                <w:sz w:val="14"/>
              </w:rPr>
              <w:t> </w:t>
            </w:r>
            <w:r>
              <w:rPr>
                <w:b/>
                <w:spacing w:val="-2"/>
                <w:sz w:val="14"/>
              </w:rPr>
              <w:t>commitments</w:t>
            </w:r>
          </w:p>
        </w:tc>
        <w:tc>
          <w:tcPr>
            <w:tcW w:w="893" w:type="dxa"/>
            <w:tcBorders>
              <w:top w:val="single" w:sz="6" w:space="0" w:color="000000"/>
            </w:tcBorders>
          </w:tcPr>
          <w:p>
            <w:pPr>
              <w:pStyle w:val="TableParagraph"/>
              <w:rPr>
                <w:rFonts w:ascii="Times New Roman"/>
                <w:sz w:val="10"/>
              </w:rPr>
            </w:pPr>
          </w:p>
        </w:tc>
        <w:tc>
          <w:tcPr>
            <w:tcW w:w="1212" w:type="dxa"/>
            <w:tcBorders>
              <w:top w:val="single" w:sz="6" w:space="0" w:color="000000"/>
            </w:tcBorders>
          </w:tcPr>
          <w:p>
            <w:pPr>
              <w:pStyle w:val="TableParagraph"/>
              <w:rPr>
                <w:rFonts w:ascii="Times New Roman"/>
                <w:sz w:val="10"/>
              </w:rPr>
            </w:pPr>
          </w:p>
        </w:tc>
        <w:tc>
          <w:tcPr>
            <w:tcW w:w="766" w:type="dxa"/>
            <w:tcBorders>
              <w:top w:val="single" w:sz="6" w:space="0" w:color="000000"/>
            </w:tcBorders>
          </w:tcPr>
          <w:p>
            <w:pPr>
              <w:pStyle w:val="TableParagraph"/>
              <w:rPr>
                <w:rFonts w:ascii="Times New Roman"/>
                <w:sz w:val="10"/>
              </w:rPr>
            </w:pPr>
          </w:p>
        </w:tc>
        <w:tc>
          <w:tcPr>
            <w:tcW w:w="1044" w:type="dxa"/>
            <w:tcBorders>
              <w:top w:val="single" w:sz="6" w:space="0" w:color="000000"/>
            </w:tcBorders>
          </w:tcPr>
          <w:p>
            <w:pPr>
              <w:pStyle w:val="TableParagraph"/>
              <w:rPr>
                <w:rFonts w:ascii="Times New Roman"/>
                <w:sz w:val="10"/>
              </w:rPr>
            </w:pPr>
          </w:p>
        </w:tc>
      </w:tr>
      <w:tr>
        <w:trPr>
          <w:trHeight w:val="173" w:hRule="atLeast"/>
        </w:trPr>
        <w:tc>
          <w:tcPr>
            <w:tcW w:w="5211" w:type="dxa"/>
          </w:tcPr>
          <w:p>
            <w:pPr>
              <w:pStyle w:val="TableParagraph"/>
              <w:spacing w:line="150" w:lineRule="exact" w:before="4"/>
              <w:ind w:right="132"/>
              <w:jc w:val="right"/>
              <w:rPr>
                <w:sz w:val="14"/>
              </w:rPr>
            </w:pPr>
            <w:r>
              <w:rPr>
                <w:spacing w:val="-2"/>
                <w:sz w:val="14"/>
              </w:rPr>
              <w:t>Capital</w:t>
            </w:r>
            <w:r>
              <w:rPr>
                <w:sz w:val="14"/>
              </w:rPr>
              <w:t> </w:t>
            </w:r>
            <w:r>
              <w:rPr>
                <w:spacing w:val="-2"/>
                <w:sz w:val="14"/>
              </w:rPr>
              <w:t>expenditure</w:t>
            </w:r>
            <w:r>
              <w:rPr>
                <w:spacing w:val="-1"/>
                <w:sz w:val="14"/>
              </w:rPr>
              <w:t> </w:t>
            </w:r>
            <w:r>
              <w:rPr>
                <w:spacing w:val="-2"/>
                <w:sz w:val="14"/>
              </w:rPr>
              <w:t>contracted</w:t>
            </w:r>
            <w:r>
              <w:rPr>
                <w:sz w:val="14"/>
              </w:rPr>
              <w:t> </w:t>
            </w:r>
            <w:r>
              <w:rPr>
                <w:spacing w:val="-2"/>
                <w:sz w:val="14"/>
              </w:rPr>
              <w:t>for</w:t>
            </w:r>
            <w:r>
              <w:rPr>
                <w:spacing w:val="1"/>
                <w:sz w:val="14"/>
              </w:rPr>
              <w:t> </w:t>
            </w:r>
            <w:r>
              <w:rPr>
                <w:spacing w:val="-2"/>
                <w:sz w:val="14"/>
              </w:rPr>
              <w:t>at</w:t>
            </w:r>
            <w:r>
              <w:rPr>
                <w:sz w:val="14"/>
              </w:rPr>
              <w:t> </w:t>
            </w:r>
            <w:r>
              <w:rPr>
                <w:spacing w:val="-2"/>
                <w:sz w:val="14"/>
              </w:rPr>
              <w:t>the</w:t>
            </w:r>
            <w:r>
              <w:rPr>
                <w:spacing w:val="-1"/>
                <w:sz w:val="14"/>
              </w:rPr>
              <w:t> </w:t>
            </w:r>
            <w:r>
              <w:rPr>
                <w:spacing w:val="-2"/>
                <w:sz w:val="14"/>
              </w:rPr>
              <w:t>reporting</w:t>
            </w:r>
            <w:r>
              <w:rPr>
                <w:spacing w:val="-1"/>
                <w:sz w:val="14"/>
              </w:rPr>
              <w:t> </w:t>
            </w:r>
            <w:r>
              <w:rPr>
                <w:spacing w:val="-2"/>
                <w:sz w:val="14"/>
              </w:rPr>
              <w:t>date</w:t>
            </w:r>
            <w:r>
              <w:rPr>
                <w:sz w:val="14"/>
              </w:rPr>
              <w:t> </w:t>
            </w:r>
            <w:r>
              <w:rPr>
                <w:spacing w:val="-2"/>
                <w:sz w:val="14"/>
              </w:rPr>
              <w:t>but</w:t>
            </w:r>
            <w:r>
              <w:rPr>
                <w:spacing w:val="-1"/>
                <w:sz w:val="14"/>
              </w:rPr>
              <w:t> </w:t>
            </w:r>
            <w:r>
              <w:rPr>
                <w:spacing w:val="-2"/>
                <w:sz w:val="14"/>
              </w:rPr>
              <w:t>not</w:t>
            </w:r>
            <w:r>
              <w:rPr>
                <w:spacing w:val="-1"/>
                <w:sz w:val="14"/>
              </w:rPr>
              <w:t> </w:t>
            </w:r>
            <w:r>
              <w:rPr>
                <w:spacing w:val="-2"/>
                <w:sz w:val="14"/>
              </w:rPr>
              <w:t>recognised</w:t>
            </w:r>
          </w:p>
        </w:tc>
        <w:tc>
          <w:tcPr>
            <w:tcW w:w="893" w:type="dxa"/>
          </w:tcPr>
          <w:p>
            <w:pPr>
              <w:pStyle w:val="TableParagraph"/>
              <w:rPr>
                <w:rFonts w:ascii="Times New Roman"/>
                <w:sz w:val="10"/>
              </w:rPr>
            </w:pPr>
          </w:p>
        </w:tc>
        <w:tc>
          <w:tcPr>
            <w:tcW w:w="1212" w:type="dxa"/>
          </w:tcPr>
          <w:p>
            <w:pPr>
              <w:pStyle w:val="TableParagraph"/>
              <w:rPr>
                <w:rFonts w:ascii="Times New Roman"/>
                <w:sz w:val="10"/>
              </w:rPr>
            </w:pPr>
          </w:p>
        </w:tc>
        <w:tc>
          <w:tcPr>
            <w:tcW w:w="766" w:type="dxa"/>
          </w:tcPr>
          <w:p>
            <w:pPr>
              <w:pStyle w:val="TableParagraph"/>
              <w:rPr>
                <w:rFonts w:ascii="Times New Roman"/>
                <w:sz w:val="10"/>
              </w:rPr>
            </w:pPr>
          </w:p>
        </w:tc>
        <w:tc>
          <w:tcPr>
            <w:tcW w:w="1044" w:type="dxa"/>
          </w:tcPr>
          <w:p>
            <w:pPr>
              <w:pStyle w:val="TableParagraph"/>
              <w:rPr>
                <w:rFonts w:ascii="Times New Roman"/>
                <w:sz w:val="10"/>
              </w:rPr>
            </w:pPr>
          </w:p>
        </w:tc>
      </w:tr>
      <w:tr>
        <w:trPr>
          <w:trHeight w:val="267" w:hRule="atLeast"/>
        </w:trPr>
        <w:tc>
          <w:tcPr>
            <w:tcW w:w="5211" w:type="dxa"/>
          </w:tcPr>
          <w:p>
            <w:pPr>
              <w:pStyle w:val="TableParagraph"/>
              <w:spacing w:before="4"/>
              <w:ind w:left="543"/>
              <w:rPr>
                <w:sz w:val="14"/>
              </w:rPr>
            </w:pPr>
            <w:r>
              <w:rPr>
                <w:sz w:val="14"/>
              </w:rPr>
              <w:t>as</w:t>
            </w:r>
            <w:r>
              <w:rPr>
                <w:spacing w:val="-10"/>
                <w:sz w:val="14"/>
              </w:rPr>
              <w:t> </w:t>
            </w:r>
            <w:r>
              <w:rPr>
                <w:sz w:val="14"/>
              </w:rPr>
              <w:t>liabilities</w:t>
            </w:r>
            <w:r>
              <w:rPr>
                <w:spacing w:val="-10"/>
                <w:sz w:val="14"/>
              </w:rPr>
              <w:t> </w:t>
            </w:r>
            <w:r>
              <w:rPr>
                <w:sz w:val="14"/>
              </w:rPr>
              <w:t>are</w:t>
            </w:r>
            <w:r>
              <w:rPr>
                <w:spacing w:val="-10"/>
                <w:sz w:val="14"/>
              </w:rPr>
              <w:t> </w:t>
            </w:r>
            <w:r>
              <w:rPr>
                <w:sz w:val="14"/>
              </w:rPr>
              <w:t>payable</w:t>
            </w:r>
            <w:r>
              <w:rPr>
                <w:spacing w:val="-9"/>
                <w:sz w:val="14"/>
              </w:rPr>
              <w:t> </w:t>
            </w:r>
            <w:r>
              <w:rPr>
                <w:sz w:val="14"/>
              </w:rPr>
              <w:t>as</w:t>
            </w:r>
            <w:r>
              <w:rPr>
                <w:spacing w:val="-10"/>
                <w:sz w:val="14"/>
              </w:rPr>
              <w:t> </w:t>
            </w:r>
            <w:r>
              <w:rPr>
                <w:spacing w:val="-2"/>
                <w:sz w:val="14"/>
              </w:rPr>
              <w:t>follows:</w:t>
            </w:r>
          </w:p>
        </w:tc>
        <w:tc>
          <w:tcPr>
            <w:tcW w:w="893" w:type="dxa"/>
          </w:tcPr>
          <w:p>
            <w:pPr>
              <w:pStyle w:val="TableParagraph"/>
              <w:rPr>
                <w:rFonts w:ascii="Times New Roman"/>
                <w:sz w:val="14"/>
              </w:rPr>
            </w:pPr>
          </w:p>
        </w:tc>
        <w:tc>
          <w:tcPr>
            <w:tcW w:w="1212" w:type="dxa"/>
          </w:tcPr>
          <w:p>
            <w:pPr>
              <w:pStyle w:val="TableParagraph"/>
              <w:rPr>
                <w:rFonts w:ascii="Times New Roman"/>
                <w:sz w:val="14"/>
              </w:rPr>
            </w:pPr>
          </w:p>
        </w:tc>
        <w:tc>
          <w:tcPr>
            <w:tcW w:w="766" w:type="dxa"/>
          </w:tcPr>
          <w:p>
            <w:pPr>
              <w:pStyle w:val="TableParagraph"/>
              <w:rPr>
                <w:rFonts w:ascii="Times New Roman"/>
                <w:sz w:val="14"/>
              </w:rPr>
            </w:pPr>
          </w:p>
        </w:tc>
        <w:tc>
          <w:tcPr>
            <w:tcW w:w="1044" w:type="dxa"/>
          </w:tcPr>
          <w:p>
            <w:pPr>
              <w:pStyle w:val="TableParagraph"/>
              <w:rPr>
                <w:rFonts w:ascii="Times New Roman"/>
                <w:sz w:val="14"/>
              </w:rPr>
            </w:pPr>
          </w:p>
        </w:tc>
      </w:tr>
      <w:tr>
        <w:trPr>
          <w:trHeight w:val="441" w:hRule="atLeast"/>
        </w:trPr>
        <w:tc>
          <w:tcPr>
            <w:tcW w:w="5211" w:type="dxa"/>
          </w:tcPr>
          <w:p>
            <w:pPr>
              <w:pStyle w:val="TableParagraph"/>
              <w:spacing w:before="97"/>
              <w:ind w:right="2842"/>
              <w:jc w:val="center"/>
              <w:rPr>
                <w:b/>
                <w:sz w:val="14"/>
              </w:rPr>
            </w:pPr>
            <w:r>
              <w:rPr>
                <w:b/>
                <w:sz w:val="14"/>
              </w:rPr>
              <w:t>Land</w:t>
            </w:r>
            <w:r>
              <w:rPr>
                <w:b/>
                <w:spacing w:val="-6"/>
                <w:sz w:val="14"/>
              </w:rPr>
              <w:t> </w:t>
            </w:r>
            <w:r>
              <w:rPr>
                <w:b/>
                <w:sz w:val="14"/>
              </w:rPr>
              <w:t>and</w:t>
            </w:r>
            <w:r>
              <w:rPr>
                <w:b/>
                <w:spacing w:val="-6"/>
                <w:sz w:val="14"/>
              </w:rPr>
              <w:t> </w:t>
            </w:r>
            <w:r>
              <w:rPr>
                <w:b/>
                <w:spacing w:val="-2"/>
                <w:sz w:val="14"/>
              </w:rPr>
              <w:t>buildings</w:t>
            </w:r>
          </w:p>
          <w:p>
            <w:pPr>
              <w:pStyle w:val="TableParagraph"/>
              <w:spacing w:line="151" w:lineRule="exact" w:before="13"/>
              <w:ind w:left="68" w:right="2842"/>
              <w:jc w:val="center"/>
              <w:rPr>
                <w:sz w:val="14"/>
              </w:rPr>
            </w:pPr>
            <w:r>
              <w:rPr>
                <w:sz w:val="14"/>
              </w:rPr>
              <w:t>Within</w:t>
            </w:r>
            <w:r>
              <w:rPr>
                <w:spacing w:val="-6"/>
                <w:sz w:val="14"/>
              </w:rPr>
              <w:t> </w:t>
            </w:r>
            <w:r>
              <w:rPr>
                <w:sz w:val="14"/>
              </w:rPr>
              <w:t>one</w:t>
            </w:r>
            <w:r>
              <w:rPr>
                <w:spacing w:val="-5"/>
                <w:sz w:val="14"/>
              </w:rPr>
              <w:t> </w:t>
            </w:r>
            <w:r>
              <w:rPr>
                <w:spacing w:val="-4"/>
                <w:sz w:val="14"/>
              </w:rPr>
              <w:t>year</w:t>
            </w:r>
          </w:p>
        </w:tc>
        <w:tc>
          <w:tcPr>
            <w:tcW w:w="893" w:type="dxa"/>
          </w:tcPr>
          <w:p>
            <w:pPr>
              <w:pStyle w:val="TableParagraph"/>
              <w:spacing w:before="96"/>
              <w:rPr>
                <w:b/>
                <w:sz w:val="14"/>
              </w:rPr>
            </w:pPr>
          </w:p>
          <w:p>
            <w:pPr>
              <w:pStyle w:val="TableParagraph"/>
              <w:jc w:val="right"/>
              <w:rPr>
                <w:sz w:val="14"/>
              </w:rPr>
            </w:pPr>
            <w:r>
              <w:rPr>
                <w:spacing w:val="-2"/>
                <w:sz w:val="14"/>
              </w:rPr>
              <w:t>32,467</w:t>
            </w:r>
          </w:p>
        </w:tc>
        <w:tc>
          <w:tcPr>
            <w:tcW w:w="1212" w:type="dxa"/>
          </w:tcPr>
          <w:p>
            <w:pPr>
              <w:pStyle w:val="TableParagraph"/>
              <w:spacing w:before="96"/>
              <w:rPr>
                <w:b/>
                <w:sz w:val="14"/>
              </w:rPr>
            </w:pPr>
          </w:p>
          <w:p>
            <w:pPr>
              <w:pStyle w:val="TableParagraph"/>
              <w:ind w:right="200"/>
              <w:jc w:val="right"/>
              <w:rPr>
                <w:sz w:val="14"/>
              </w:rPr>
            </w:pPr>
            <w:r>
              <w:rPr>
                <w:spacing w:val="-2"/>
                <w:sz w:val="14"/>
              </w:rPr>
              <w:t>26,437</w:t>
            </w:r>
          </w:p>
        </w:tc>
        <w:tc>
          <w:tcPr>
            <w:tcW w:w="766" w:type="dxa"/>
          </w:tcPr>
          <w:p>
            <w:pPr>
              <w:pStyle w:val="TableParagraph"/>
              <w:spacing w:before="96"/>
              <w:rPr>
                <w:b/>
                <w:sz w:val="14"/>
              </w:rPr>
            </w:pPr>
          </w:p>
          <w:p>
            <w:pPr>
              <w:pStyle w:val="TableParagraph"/>
              <w:jc w:val="right"/>
              <w:rPr>
                <w:sz w:val="14"/>
              </w:rPr>
            </w:pPr>
            <w:r>
              <w:rPr>
                <w:spacing w:val="-2"/>
                <w:sz w:val="14"/>
              </w:rPr>
              <w:t>32,467</w:t>
            </w:r>
          </w:p>
        </w:tc>
        <w:tc>
          <w:tcPr>
            <w:tcW w:w="1044" w:type="dxa"/>
          </w:tcPr>
          <w:p>
            <w:pPr>
              <w:pStyle w:val="TableParagraph"/>
              <w:spacing w:before="96"/>
              <w:rPr>
                <w:b/>
                <w:sz w:val="14"/>
              </w:rPr>
            </w:pPr>
          </w:p>
          <w:p>
            <w:pPr>
              <w:pStyle w:val="TableParagraph"/>
              <w:ind w:right="75"/>
              <w:jc w:val="right"/>
              <w:rPr>
                <w:sz w:val="14"/>
              </w:rPr>
            </w:pPr>
            <w:r>
              <w:rPr>
                <w:spacing w:val="-2"/>
                <w:sz w:val="14"/>
              </w:rPr>
              <w:t>26,437</w:t>
            </w:r>
          </w:p>
        </w:tc>
      </w:tr>
      <w:tr>
        <w:trPr>
          <w:trHeight w:val="175" w:hRule="atLeast"/>
        </w:trPr>
        <w:tc>
          <w:tcPr>
            <w:tcW w:w="5211" w:type="dxa"/>
          </w:tcPr>
          <w:p>
            <w:pPr>
              <w:pStyle w:val="TableParagraph"/>
              <w:spacing w:line="151" w:lineRule="exact" w:before="5"/>
              <w:ind w:left="734"/>
              <w:rPr>
                <w:sz w:val="14"/>
              </w:rPr>
            </w:pPr>
            <w:r>
              <w:rPr>
                <w:sz w:val="14"/>
              </w:rPr>
              <w:t>Later</w:t>
            </w:r>
            <w:r>
              <w:rPr>
                <w:spacing w:val="-8"/>
                <w:sz w:val="14"/>
              </w:rPr>
              <w:t> </w:t>
            </w:r>
            <w:r>
              <w:rPr>
                <w:sz w:val="14"/>
              </w:rPr>
              <w:t>than</w:t>
            </w:r>
            <w:r>
              <w:rPr>
                <w:spacing w:val="-8"/>
                <w:sz w:val="14"/>
              </w:rPr>
              <w:t> </w:t>
            </w:r>
            <w:r>
              <w:rPr>
                <w:sz w:val="14"/>
              </w:rPr>
              <w:t>one</w:t>
            </w:r>
            <w:r>
              <w:rPr>
                <w:spacing w:val="-9"/>
                <w:sz w:val="14"/>
              </w:rPr>
              <w:t> </w:t>
            </w:r>
            <w:r>
              <w:rPr>
                <w:sz w:val="14"/>
              </w:rPr>
              <w:t>year</w:t>
            </w:r>
            <w:r>
              <w:rPr>
                <w:spacing w:val="-7"/>
                <w:sz w:val="14"/>
              </w:rPr>
              <w:t> </w:t>
            </w:r>
            <w:r>
              <w:rPr>
                <w:sz w:val="14"/>
              </w:rPr>
              <w:t>but</w:t>
            </w:r>
            <w:r>
              <w:rPr>
                <w:spacing w:val="-9"/>
                <w:sz w:val="14"/>
              </w:rPr>
              <w:t> </w:t>
            </w:r>
            <w:r>
              <w:rPr>
                <w:sz w:val="14"/>
              </w:rPr>
              <w:t>no</w:t>
            </w:r>
            <w:r>
              <w:rPr>
                <w:spacing w:val="-9"/>
                <w:sz w:val="14"/>
              </w:rPr>
              <w:t> </w:t>
            </w:r>
            <w:r>
              <w:rPr>
                <w:sz w:val="14"/>
              </w:rPr>
              <w:t>later</w:t>
            </w:r>
            <w:r>
              <w:rPr>
                <w:spacing w:val="-7"/>
                <w:sz w:val="14"/>
              </w:rPr>
              <w:t> </w:t>
            </w:r>
            <w:r>
              <w:rPr>
                <w:sz w:val="14"/>
              </w:rPr>
              <w:t>than</w:t>
            </w:r>
            <w:r>
              <w:rPr>
                <w:spacing w:val="-9"/>
                <w:sz w:val="14"/>
              </w:rPr>
              <w:t> </w:t>
            </w:r>
            <w:r>
              <w:rPr>
                <w:sz w:val="14"/>
              </w:rPr>
              <w:t>five</w:t>
            </w:r>
            <w:r>
              <w:rPr>
                <w:spacing w:val="-9"/>
                <w:sz w:val="14"/>
              </w:rPr>
              <w:t> </w:t>
            </w:r>
            <w:r>
              <w:rPr>
                <w:spacing w:val="-4"/>
                <w:sz w:val="14"/>
              </w:rPr>
              <w:t>years</w:t>
            </w:r>
          </w:p>
        </w:tc>
        <w:tc>
          <w:tcPr>
            <w:tcW w:w="893" w:type="dxa"/>
          </w:tcPr>
          <w:p>
            <w:pPr>
              <w:pStyle w:val="TableParagraph"/>
              <w:rPr>
                <w:rFonts w:ascii="Times New Roman"/>
                <w:sz w:val="10"/>
              </w:rPr>
            </w:pPr>
          </w:p>
        </w:tc>
        <w:tc>
          <w:tcPr>
            <w:tcW w:w="1212" w:type="dxa"/>
          </w:tcPr>
          <w:p>
            <w:pPr>
              <w:pStyle w:val="TableParagraph"/>
              <w:tabs>
                <w:tab w:pos="971" w:val="left" w:leader="none"/>
              </w:tabs>
              <w:spacing w:line="151" w:lineRule="exact" w:before="5"/>
              <w:ind w:left="-1" w:right="191"/>
              <w:jc w:val="right"/>
              <w:rPr>
                <w:sz w:val="14"/>
              </w:rPr>
            </w:pPr>
            <w:r>
              <w:rPr>
                <w:spacing w:val="-10"/>
                <w:sz w:val="14"/>
              </w:rPr>
              <w:t>-</w:t>
            </w:r>
            <w:r>
              <w:rPr>
                <w:sz w:val="14"/>
              </w:rPr>
              <w:tab/>
            </w:r>
            <w:r>
              <w:rPr>
                <w:spacing w:val="-10"/>
                <w:sz w:val="14"/>
              </w:rPr>
              <w:t>-</w:t>
            </w:r>
          </w:p>
        </w:tc>
        <w:tc>
          <w:tcPr>
            <w:tcW w:w="766" w:type="dxa"/>
          </w:tcPr>
          <w:p>
            <w:pPr>
              <w:pStyle w:val="TableParagraph"/>
              <w:rPr>
                <w:rFonts w:ascii="Times New Roman"/>
                <w:sz w:val="10"/>
              </w:rPr>
            </w:pPr>
          </w:p>
        </w:tc>
        <w:tc>
          <w:tcPr>
            <w:tcW w:w="1044" w:type="dxa"/>
          </w:tcPr>
          <w:p>
            <w:pPr>
              <w:pStyle w:val="TableParagraph"/>
              <w:tabs>
                <w:tab w:pos="928" w:val="left" w:leader="none"/>
              </w:tabs>
              <w:spacing w:line="151" w:lineRule="exact" w:before="5"/>
              <w:ind w:left="-1"/>
              <w:rPr>
                <w:sz w:val="14"/>
              </w:rPr>
            </w:pPr>
            <w:r>
              <w:rPr>
                <w:spacing w:val="-10"/>
                <w:sz w:val="14"/>
              </w:rPr>
              <w:t>-</w:t>
            </w:r>
            <w:r>
              <w:rPr>
                <w:sz w:val="14"/>
              </w:rPr>
              <w:tab/>
            </w:r>
            <w:r>
              <w:rPr>
                <w:spacing w:val="-10"/>
                <w:sz w:val="14"/>
              </w:rPr>
              <w:t>-</w:t>
            </w:r>
          </w:p>
        </w:tc>
      </w:tr>
      <w:tr>
        <w:trPr>
          <w:trHeight w:val="164" w:hRule="atLeast"/>
        </w:trPr>
        <w:tc>
          <w:tcPr>
            <w:tcW w:w="5211" w:type="dxa"/>
          </w:tcPr>
          <w:p>
            <w:pPr>
              <w:pStyle w:val="TableParagraph"/>
              <w:spacing w:line="140" w:lineRule="exact" w:before="5"/>
              <w:ind w:left="734"/>
              <w:rPr>
                <w:sz w:val="14"/>
              </w:rPr>
            </w:pPr>
            <w:r>
              <w:rPr>
                <w:sz w:val="14"/>
              </w:rPr>
              <w:t>Later</w:t>
            </w:r>
            <w:r>
              <w:rPr>
                <w:spacing w:val="-7"/>
                <w:sz w:val="14"/>
              </w:rPr>
              <w:t> </w:t>
            </w:r>
            <w:r>
              <w:rPr>
                <w:sz w:val="14"/>
              </w:rPr>
              <w:t>than</w:t>
            </w:r>
            <w:r>
              <w:rPr>
                <w:spacing w:val="-8"/>
                <w:sz w:val="14"/>
              </w:rPr>
              <w:t> </w:t>
            </w:r>
            <w:r>
              <w:rPr>
                <w:sz w:val="14"/>
              </w:rPr>
              <w:t>five</w:t>
            </w:r>
            <w:r>
              <w:rPr>
                <w:spacing w:val="-9"/>
                <w:sz w:val="14"/>
              </w:rPr>
              <w:t> </w:t>
            </w:r>
            <w:r>
              <w:rPr>
                <w:spacing w:val="-2"/>
                <w:sz w:val="14"/>
              </w:rPr>
              <w:t>years</w:t>
            </w:r>
          </w:p>
        </w:tc>
        <w:tc>
          <w:tcPr>
            <w:tcW w:w="893" w:type="dxa"/>
            <w:tcBorders>
              <w:bottom w:val="single" w:sz="6" w:space="0" w:color="000000"/>
            </w:tcBorders>
          </w:tcPr>
          <w:p>
            <w:pPr>
              <w:pStyle w:val="TableParagraph"/>
              <w:rPr>
                <w:rFonts w:ascii="Times New Roman"/>
                <w:sz w:val="10"/>
              </w:rPr>
            </w:pPr>
          </w:p>
        </w:tc>
        <w:tc>
          <w:tcPr>
            <w:tcW w:w="1212" w:type="dxa"/>
            <w:tcBorders>
              <w:bottom w:val="single" w:sz="6" w:space="0" w:color="000000"/>
            </w:tcBorders>
          </w:tcPr>
          <w:p>
            <w:pPr>
              <w:pStyle w:val="TableParagraph"/>
              <w:tabs>
                <w:tab w:pos="971" w:val="left" w:leader="none"/>
              </w:tabs>
              <w:spacing w:line="142" w:lineRule="exact" w:before="5"/>
              <w:ind w:left="-1" w:right="191"/>
              <w:jc w:val="right"/>
              <w:rPr>
                <w:sz w:val="14"/>
              </w:rPr>
            </w:pPr>
            <w:r>
              <w:rPr>
                <w:spacing w:val="-10"/>
                <w:sz w:val="14"/>
              </w:rPr>
              <w:t>-</w:t>
            </w:r>
            <w:r>
              <w:rPr>
                <w:sz w:val="14"/>
              </w:rPr>
              <w:tab/>
            </w:r>
            <w:r>
              <w:rPr>
                <w:spacing w:val="-10"/>
                <w:sz w:val="14"/>
              </w:rPr>
              <w:t>-</w:t>
            </w:r>
          </w:p>
        </w:tc>
        <w:tc>
          <w:tcPr>
            <w:tcW w:w="766" w:type="dxa"/>
            <w:tcBorders>
              <w:bottom w:val="single" w:sz="6" w:space="0" w:color="000000"/>
            </w:tcBorders>
          </w:tcPr>
          <w:p>
            <w:pPr>
              <w:pStyle w:val="TableParagraph"/>
              <w:rPr>
                <w:rFonts w:ascii="Times New Roman"/>
                <w:sz w:val="10"/>
              </w:rPr>
            </w:pPr>
          </w:p>
        </w:tc>
        <w:tc>
          <w:tcPr>
            <w:tcW w:w="1044" w:type="dxa"/>
            <w:tcBorders>
              <w:bottom w:val="single" w:sz="6" w:space="0" w:color="000000"/>
            </w:tcBorders>
          </w:tcPr>
          <w:p>
            <w:pPr>
              <w:pStyle w:val="TableParagraph"/>
              <w:tabs>
                <w:tab w:pos="928" w:val="left" w:leader="none"/>
              </w:tabs>
              <w:spacing w:line="142" w:lineRule="exact" w:before="5"/>
              <w:ind w:left="-1"/>
              <w:rPr>
                <w:sz w:val="14"/>
              </w:rPr>
            </w:pPr>
            <w:r>
              <w:rPr>
                <w:spacing w:val="-10"/>
                <w:sz w:val="14"/>
              </w:rPr>
              <w:t>-</w:t>
            </w:r>
            <w:r>
              <w:rPr>
                <w:sz w:val="14"/>
              </w:rPr>
              <w:tab/>
            </w:r>
            <w:r>
              <w:rPr>
                <w:spacing w:val="-10"/>
                <w:sz w:val="14"/>
              </w:rPr>
              <w:t>-</w:t>
            </w:r>
          </w:p>
        </w:tc>
      </w:tr>
      <w:tr>
        <w:trPr>
          <w:trHeight w:val="163" w:hRule="atLeast"/>
        </w:trPr>
        <w:tc>
          <w:tcPr>
            <w:tcW w:w="5211" w:type="dxa"/>
          </w:tcPr>
          <w:p>
            <w:pPr>
              <w:pStyle w:val="TableParagraph"/>
              <w:rPr>
                <w:rFonts w:ascii="Times New Roman"/>
                <w:sz w:val="10"/>
              </w:rPr>
            </w:pPr>
          </w:p>
        </w:tc>
        <w:tc>
          <w:tcPr>
            <w:tcW w:w="893" w:type="dxa"/>
            <w:tcBorders>
              <w:top w:val="single" w:sz="6" w:space="0" w:color="000000"/>
              <w:bottom w:val="single" w:sz="6" w:space="0" w:color="000000"/>
            </w:tcBorders>
          </w:tcPr>
          <w:p>
            <w:pPr>
              <w:pStyle w:val="TableParagraph"/>
              <w:spacing w:line="141" w:lineRule="exact"/>
              <w:jc w:val="right"/>
              <w:rPr>
                <w:b/>
                <w:sz w:val="14"/>
              </w:rPr>
            </w:pPr>
            <w:r>
              <w:rPr>
                <w:b/>
                <w:spacing w:val="-2"/>
                <w:sz w:val="14"/>
              </w:rPr>
              <w:t>32,467</w:t>
            </w:r>
          </w:p>
        </w:tc>
        <w:tc>
          <w:tcPr>
            <w:tcW w:w="1212" w:type="dxa"/>
            <w:tcBorders>
              <w:top w:val="single" w:sz="6" w:space="0" w:color="000000"/>
              <w:bottom w:val="single" w:sz="6" w:space="0" w:color="000000"/>
            </w:tcBorders>
          </w:tcPr>
          <w:p>
            <w:pPr>
              <w:pStyle w:val="TableParagraph"/>
              <w:spacing w:line="141" w:lineRule="exact"/>
              <w:ind w:right="200"/>
              <w:jc w:val="right"/>
              <w:rPr>
                <w:b/>
                <w:sz w:val="14"/>
              </w:rPr>
            </w:pPr>
            <w:r>
              <w:rPr>
                <w:b/>
                <w:spacing w:val="-2"/>
                <w:sz w:val="14"/>
              </w:rPr>
              <w:t>26,437</w:t>
            </w:r>
          </w:p>
        </w:tc>
        <w:tc>
          <w:tcPr>
            <w:tcW w:w="766" w:type="dxa"/>
            <w:tcBorders>
              <w:top w:val="single" w:sz="6" w:space="0" w:color="000000"/>
              <w:bottom w:val="single" w:sz="6" w:space="0" w:color="000000"/>
            </w:tcBorders>
          </w:tcPr>
          <w:p>
            <w:pPr>
              <w:pStyle w:val="TableParagraph"/>
              <w:spacing w:line="141" w:lineRule="exact"/>
              <w:jc w:val="right"/>
              <w:rPr>
                <w:b/>
                <w:sz w:val="14"/>
              </w:rPr>
            </w:pPr>
            <w:r>
              <w:rPr>
                <w:b/>
                <w:spacing w:val="-2"/>
                <w:sz w:val="14"/>
              </w:rPr>
              <w:t>32,467</w:t>
            </w:r>
          </w:p>
        </w:tc>
        <w:tc>
          <w:tcPr>
            <w:tcW w:w="1044" w:type="dxa"/>
            <w:tcBorders>
              <w:top w:val="single" w:sz="6" w:space="0" w:color="000000"/>
              <w:bottom w:val="single" w:sz="6" w:space="0" w:color="000000"/>
            </w:tcBorders>
          </w:tcPr>
          <w:p>
            <w:pPr>
              <w:pStyle w:val="TableParagraph"/>
              <w:spacing w:line="141" w:lineRule="exact"/>
              <w:ind w:right="75"/>
              <w:jc w:val="right"/>
              <w:rPr>
                <w:b/>
                <w:sz w:val="14"/>
              </w:rPr>
            </w:pPr>
            <w:r>
              <w:rPr>
                <w:b/>
                <w:spacing w:val="-2"/>
                <w:sz w:val="14"/>
              </w:rPr>
              <w:t>26,437</w:t>
            </w:r>
          </w:p>
        </w:tc>
      </w:tr>
      <w:tr>
        <w:trPr>
          <w:trHeight w:val="345" w:hRule="atLeast"/>
        </w:trPr>
        <w:tc>
          <w:tcPr>
            <w:tcW w:w="5211" w:type="dxa"/>
          </w:tcPr>
          <w:p>
            <w:pPr>
              <w:pStyle w:val="TableParagraph"/>
              <w:spacing w:before="1"/>
              <w:ind w:left="543"/>
              <w:rPr>
                <w:b/>
                <w:sz w:val="14"/>
              </w:rPr>
            </w:pPr>
            <w:r>
              <w:rPr>
                <w:b/>
                <w:sz w:val="14"/>
              </w:rPr>
              <w:t>Other</w:t>
            </w:r>
            <w:r>
              <w:rPr>
                <w:b/>
                <w:spacing w:val="-7"/>
                <w:sz w:val="14"/>
              </w:rPr>
              <w:t> </w:t>
            </w:r>
            <w:r>
              <w:rPr>
                <w:b/>
                <w:sz w:val="14"/>
              </w:rPr>
              <w:t>plant</w:t>
            </w:r>
            <w:r>
              <w:rPr>
                <w:b/>
                <w:spacing w:val="-6"/>
                <w:sz w:val="14"/>
              </w:rPr>
              <w:t> </w:t>
            </w:r>
            <w:r>
              <w:rPr>
                <w:b/>
                <w:sz w:val="14"/>
              </w:rPr>
              <w:t>and</w:t>
            </w:r>
            <w:r>
              <w:rPr>
                <w:b/>
                <w:spacing w:val="-7"/>
                <w:sz w:val="14"/>
              </w:rPr>
              <w:t> </w:t>
            </w:r>
            <w:r>
              <w:rPr>
                <w:b/>
                <w:spacing w:val="-2"/>
                <w:sz w:val="14"/>
              </w:rPr>
              <w:t>equipment</w:t>
            </w:r>
          </w:p>
          <w:p>
            <w:pPr>
              <w:pStyle w:val="TableParagraph"/>
              <w:spacing w:line="151" w:lineRule="exact" w:before="12"/>
              <w:ind w:left="734"/>
              <w:rPr>
                <w:sz w:val="14"/>
              </w:rPr>
            </w:pPr>
            <w:r>
              <w:rPr>
                <w:sz w:val="14"/>
              </w:rPr>
              <w:t>Within</w:t>
            </w:r>
            <w:r>
              <w:rPr>
                <w:spacing w:val="-6"/>
                <w:sz w:val="14"/>
              </w:rPr>
              <w:t> </w:t>
            </w:r>
            <w:r>
              <w:rPr>
                <w:sz w:val="14"/>
              </w:rPr>
              <w:t>one</w:t>
            </w:r>
            <w:r>
              <w:rPr>
                <w:spacing w:val="-5"/>
                <w:sz w:val="14"/>
              </w:rPr>
              <w:t> </w:t>
            </w:r>
            <w:r>
              <w:rPr>
                <w:spacing w:val="-4"/>
                <w:sz w:val="14"/>
              </w:rPr>
              <w:t>year</w:t>
            </w:r>
          </w:p>
        </w:tc>
        <w:tc>
          <w:tcPr>
            <w:tcW w:w="893" w:type="dxa"/>
            <w:tcBorders>
              <w:top w:val="single" w:sz="6" w:space="0" w:color="000000"/>
            </w:tcBorders>
          </w:tcPr>
          <w:p>
            <w:pPr>
              <w:pStyle w:val="TableParagraph"/>
              <w:rPr>
                <w:b/>
                <w:sz w:val="14"/>
              </w:rPr>
            </w:pPr>
          </w:p>
          <w:p>
            <w:pPr>
              <w:pStyle w:val="TableParagraph"/>
              <w:jc w:val="right"/>
              <w:rPr>
                <w:sz w:val="14"/>
              </w:rPr>
            </w:pPr>
            <w:r>
              <w:rPr>
                <w:spacing w:val="-2"/>
                <w:sz w:val="14"/>
              </w:rPr>
              <w:t>11,327</w:t>
            </w:r>
          </w:p>
        </w:tc>
        <w:tc>
          <w:tcPr>
            <w:tcW w:w="1212" w:type="dxa"/>
            <w:tcBorders>
              <w:top w:val="single" w:sz="6" w:space="0" w:color="000000"/>
            </w:tcBorders>
          </w:tcPr>
          <w:p>
            <w:pPr>
              <w:pStyle w:val="TableParagraph"/>
              <w:rPr>
                <w:b/>
                <w:sz w:val="14"/>
              </w:rPr>
            </w:pPr>
          </w:p>
          <w:p>
            <w:pPr>
              <w:pStyle w:val="TableParagraph"/>
              <w:ind w:right="200"/>
              <w:jc w:val="right"/>
              <w:rPr>
                <w:sz w:val="14"/>
              </w:rPr>
            </w:pPr>
            <w:r>
              <w:rPr>
                <w:spacing w:val="-2"/>
                <w:sz w:val="14"/>
              </w:rPr>
              <w:t>9,818</w:t>
            </w:r>
          </w:p>
        </w:tc>
        <w:tc>
          <w:tcPr>
            <w:tcW w:w="766" w:type="dxa"/>
            <w:tcBorders>
              <w:top w:val="single" w:sz="6" w:space="0" w:color="000000"/>
            </w:tcBorders>
          </w:tcPr>
          <w:p>
            <w:pPr>
              <w:pStyle w:val="TableParagraph"/>
              <w:rPr>
                <w:b/>
                <w:sz w:val="14"/>
              </w:rPr>
            </w:pPr>
          </w:p>
          <w:p>
            <w:pPr>
              <w:pStyle w:val="TableParagraph"/>
              <w:jc w:val="right"/>
              <w:rPr>
                <w:sz w:val="14"/>
              </w:rPr>
            </w:pPr>
            <w:r>
              <w:rPr>
                <w:spacing w:val="-2"/>
                <w:sz w:val="14"/>
              </w:rPr>
              <w:t>11,324</w:t>
            </w:r>
          </w:p>
        </w:tc>
        <w:tc>
          <w:tcPr>
            <w:tcW w:w="1044" w:type="dxa"/>
            <w:tcBorders>
              <w:top w:val="single" w:sz="6" w:space="0" w:color="000000"/>
            </w:tcBorders>
          </w:tcPr>
          <w:p>
            <w:pPr>
              <w:pStyle w:val="TableParagraph"/>
              <w:rPr>
                <w:b/>
                <w:sz w:val="14"/>
              </w:rPr>
            </w:pPr>
          </w:p>
          <w:p>
            <w:pPr>
              <w:pStyle w:val="TableParagraph"/>
              <w:ind w:right="75"/>
              <w:jc w:val="right"/>
              <w:rPr>
                <w:sz w:val="14"/>
              </w:rPr>
            </w:pPr>
            <w:r>
              <w:rPr>
                <w:spacing w:val="-2"/>
                <w:sz w:val="14"/>
              </w:rPr>
              <w:t>9,818</w:t>
            </w:r>
          </w:p>
        </w:tc>
      </w:tr>
      <w:tr>
        <w:trPr>
          <w:trHeight w:val="175" w:hRule="atLeast"/>
        </w:trPr>
        <w:tc>
          <w:tcPr>
            <w:tcW w:w="5211" w:type="dxa"/>
          </w:tcPr>
          <w:p>
            <w:pPr>
              <w:pStyle w:val="TableParagraph"/>
              <w:spacing w:line="151" w:lineRule="exact" w:before="5"/>
              <w:ind w:left="734"/>
              <w:rPr>
                <w:sz w:val="14"/>
              </w:rPr>
            </w:pPr>
            <w:r>
              <w:rPr>
                <w:sz w:val="14"/>
              </w:rPr>
              <w:t>Later</w:t>
            </w:r>
            <w:r>
              <w:rPr>
                <w:spacing w:val="-8"/>
                <w:sz w:val="14"/>
              </w:rPr>
              <w:t> </w:t>
            </w:r>
            <w:r>
              <w:rPr>
                <w:sz w:val="14"/>
              </w:rPr>
              <w:t>than</w:t>
            </w:r>
            <w:r>
              <w:rPr>
                <w:spacing w:val="-8"/>
                <w:sz w:val="14"/>
              </w:rPr>
              <w:t> </w:t>
            </w:r>
            <w:r>
              <w:rPr>
                <w:sz w:val="14"/>
              </w:rPr>
              <w:t>one</w:t>
            </w:r>
            <w:r>
              <w:rPr>
                <w:spacing w:val="-9"/>
                <w:sz w:val="14"/>
              </w:rPr>
              <w:t> </w:t>
            </w:r>
            <w:r>
              <w:rPr>
                <w:sz w:val="14"/>
              </w:rPr>
              <w:t>year</w:t>
            </w:r>
            <w:r>
              <w:rPr>
                <w:spacing w:val="-7"/>
                <w:sz w:val="14"/>
              </w:rPr>
              <w:t> </w:t>
            </w:r>
            <w:r>
              <w:rPr>
                <w:sz w:val="14"/>
              </w:rPr>
              <w:t>but</w:t>
            </w:r>
            <w:r>
              <w:rPr>
                <w:spacing w:val="-9"/>
                <w:sz w:val="14"/>
              </w:rPr>
              <w:t> </w:t>
            </w:r>
            <w:r>
              <w:rPr>
                <w:sz w:val="14"/>
              </w:rPr>
              <w:t>no</w:t>
            </w:r>
            <w:r>
              <w:rPr>
                <w:spacing w:val="-9"/>
                <w:sz w:val="14"/>
              </w:rPr>
              <w:t> </w:t>
            </w:r>
            <w:r>
              <w:rPr>
                <w:sz w:val="14"/>
              </w:rPr>
              <w:t>later</w:t>
            </w:r>
            <w:r>
              <w:rPr>
                <w:spacing w:val="-7"/>
                <w:sz w:val="14"/>
              </w:rPr>
              <w:t> </w:t>
            </w:r>
            <w:r>
              <w:rPr>
                <w:sz w:val="14"/>
              </w:rPr>
              <w:t>than</w:t>
            </w:r>
            <w:r>
              <w:rPr>
                <w:spacing w:val="-9"/>
                <w:sz w:val="14"/>
              </w:rPr>
              <w:t> </w:t>
            </w:r>
            <w:r>
              <w:rPr>
                <w:sz w:val="14"/>
              </w:rPr>
              <w:t>five</w:t>
            </w:r>
            <w:r>
              <w:rPr>
                <w:spacing w:val="-9"/>
                <w:sz w:val="14"/>
              </w:rPr>
              <w:t> </w:t>
            </w:r>
            <w:r>
              <w:rPr>
                <w:spacing w:val="-4"/>
                <w:sz w:val="14"/>
              </w:rPr>
              <w:t>years</w:t>
            </w:r>
          </w:p>
        </w:tc>
        <w:tc>
          <w:tcPr>
            <w:tcW w:w="893" w:type="dxa"/>
          </w:tcPr>
          <w:p>
            <w:pPr>
              <w:pStyle w:val="TableParagraph"/>
              <w:spacing w:line="151" w:lineRule="exact" w:before="5"/>
              <w:jc w:val="right"/>
              <w:rPr>
                <w:sz w:val="14"/>
              </w:rPr>
            </w:pPr>
            <w:r>
              <w:rPr>
                <w:spacing w:val="-5"/>
                <w:sz w:val="14"/>
              </w:rPr>
              <w:t>13</w:t>
            </w:r>
          </w:p>
        </w:tc>
        <w:tc>
          <w:tcPr>
            <w:tcW w:w="1212" w:type="dxa"/>
          </w:tcPr>
          <w:p>
            <w:pPr>
              <w:pStyle w:val="TableParagraph"/>
              <w:spacing w:line="151" w:lineRule="exact" w:before="5"/>
              <w:ind w:left="-1" w:right="191"/>
              <w:jc w:val="right"/>
              <w:rPr>
                <w:sz w:val="14"/>
              </w:rPr>
            </w:pPr>
            <w:r>
              <w:rPr>
                <w:spacing w:val="-10"/>
                <w:sz w:val="14"/>
              </w:rPr>
              <w:t>-</w:t>
            </w:r>
          </w:p>
        </w:tc>
        <w:tc>
          <w:tcPr>
            <w:tcW w:w="766" w:type="dxa"/>
          </w:tcPr>
          <w:p>
            <w:pPr>
              <w:pStyle w:val="TableParagraph"/>
              <w:rPr>
                <w:rFonts w:ascii="Times New Roman"/>
                <w:sz w:val="10"/>
              </w:rPr>
            </w:pPr>
          </w:p>
        </w:tc>
        <w:tc>
          <w:tcPr>
            <w:tcW w:w="1044" w:type="dxa"/>
          </w:tcPr>
          <w:p>
            <w:pPr>
              <w:pStyle w:val="TableParagraph"/>
              <w:tabs>
                <w:tab w:pos="928" w:val="left" w:leader="none"/>
              </w:tabs>
              <w:spacing w:line="151" w:lineRule="exact" w:before="5"/>
              <w:ind w:left="-1"/>
              <w:rPr>
                <w:sz w:val="14"/>
              </w:rPr>
            </w:pPr>
            <w:r>
              <w:rPr>
                <w:spacing w:val="-10"/>
                <w:sz w:val="14"/>
              </w:rPr>
              <w:t>-</w:t>
            </w:r>
            <w:r>
              <w:rPr>
                <w:sz w:val="14"/>
              </w:rPr>
              <w:tab/>
            </w:r>
            <w:r>
              <w:rPr>
                <w:spacing w:val="-10"/>
                <w:sz w:val="14"/>
              </w:rPr>
              <w:t>-</w:t>
            </w:r>
          </w:p>
        </w:tc>
      </w:tr>
      <w:tr>
        <w:trPr>
          <w:trHeight w:val="164" w:hRule="atLeast"/>
        </w:trPr>
        <w:tc>
          <w:tcPr>
            <w:tcW w:w="5211" w:type="dxa"/>
          </w:tcPr>
          <w:p>
            <w:pPr>
              <w:pStyle w:val="TableParagraph"/>
              <w:spacing w:line="140" w:lineRule="exact" w:before="5"/>
              <w:ind w:left="734"/>
              <w:rPr>
                <w:sz w:val="14"/>
              </w:rPr>
            </w:pPr>
            <w:r>
              <w:rPr>
                <w:sz w:val="14"/>
              </w:rPr>
              <w:t>Later</w:t>
            </w:r>
            <w:r>
              <w:rPr>
                <w:spacing w:val="-7"/>
                <w:sz w:val="14"/>
              </w:rPr>
              <w:t> </w:t>
            </w:r>
            <w:r>
              <w:rPr>
                <w:sz w:val="14"/>
              </w:rPr>
              <w:t>than</w:t>
            </w:r>
            <w:r>
              <w:rPr>
                <w:spacing w:val="-8"/>
                <w:sz w:val="14"/>
              </w:rPr>
              <w:t> </w:t>
            </w:r>
            <w:r>
              <w:rPr>
                <w:sz w:val="14"/>
              </w:rPr>
              <w:t>five</w:t>
            </w:r>
            <w:r>
              <w:rPr>
                <w:spacing w:val="-9"/>
                <w:sz w:val="14"/>
              </w:rPr>
              <w:t> </w:t>
            </w:r>
            <w:r>
              <w:rPr>
                <w:spacing w:val="-2"/>
                <w:sz w:val="14"/>
              </w:rPr>
              <w:t>years</w:t>
            </w:r>
          </w:p>
        </w:tc>
        <w:tc>
          <w:tcPr>
            <w:tcW w:w="893" w:type="dxa"/>
            <w:tcBorders>
              <w:bottom w:val="single" w:sz="6" w:space="0" w:color="000000"/>
            </w:tcBorders>
          </w:tcPr>
          <w:p>
            <w:pPr>
              <w:pStyle w:val="TableParagraph"/>
              <w:rPr>
                <w:rFonts w:ascii="Times New Roman"/>
                <w:sz w:val="10"/>
              </w:rPr>
            </w:pPr>
          </w:p>
        </w:tc>
        <w:tc>
          <w:tcPr>
            <w:tcW w:w="1212" w:type="dxa"/>
            <w:tcBorders>
              <w:bottom w:val="single" w:sz="6" w:space="0" w:color="000000"/>
            </w:tcBorders>
          </w:tcPr>
          <w:p>
            <w:pPr>
              <w:pStyle w:val="TableParagraph"/>
              <w:tabs>
                <w:tab w:pos="971" w:val="left" w:leader="none"/>
              </w:tabs>
              <w:spacing w:line="142" w:lineRule="exact" w:before="5"/>
              <w:ind w:left="-1" w:right="191"/>
              <w:jc w:val="right"/>
              <w:rPr>
                <w:sz w:val="14"/>
              </w:rPr>
            </w:pPr>
            <w:r>
              <w:rPr>
                <w:spacing w:val="-10"/>
                <w:sz w:val="14"/>
              </w:rPr>
              <w:t>-</w:t>
            </w:r>
            <w:r>
              <w:rPr>
                <w:sz w:val="14"/>
              </w:rPr>
              <w:tab/>
            </w:r>
            <w:r>
              <w:rPr>
                <w:spacing w:val="-10"/>
                <w:sz w:val="14"/>
              </w:rPr>
              <w:t>-</w:t>
            </w:r>
          </w:p>
        </w:tc>
        <w:tc>
          <w:tcPr>
            <w:tcW w:w="766" w:type="dxa"/>
            <w:tcBorders>
              <w:bottom w:val="single" w:sz="6" w:space="0" w:color="000000"/>
            </w:tcBorders>
          </w:tcPr>
          <w:p>
            <w:pPr>
              <w:pStyle w:val="TableParagraph"/>
              <w:rPr>
                <w:rFonts w:ascii="Times New Roman"/>
                <w:sz w:val="10"/>
              </w:rPr>
            </w:pPr>
          </w:p>
        </w:tc>
        <w:tc>
          <w:tcPr>
            <w:tcW w:w="1044" w:type="dxa"/>
            <w:tcBorders>
              <w:bottom w:val="single" w:sz="6" w:space="0" w:color="000000"/>
            </w:tcBorders>
          </w:tcPr>
          <w:p>
            <w:pPr>
              <w:pStyle w:val="TableParagraph"/>
              <w:spacing w:line="142" w:lineRule="exact" w:before="5"/>
              <w:ind w:left="-1"/>
              <w:rPr>
                <w:sz w:val="14"/>
              </w:rPr>
            </w:pPr>
            <w:r>
              <w:rPr>
                <w:spacing w:val="-10"/>
                <w:sz w:val="14"/>
              </w:rPr>
              <w:t>-</w:t>
            </w:r>
          </w:p>
        </w:tc>
      </w:tr>
      <w:tr>
        <w:trPr>
          <w:trHeight w:val="163" w:hRule="atLeast"/>
        </w:trPr>
        <w:tc>
          <w:tcPr>
            <w:tcW w:w="5211" w:type="dxa"/>
          </w:tcPr>
          <w:p>
            <w:pPr>
              <w:pStyle w:val="TableParagraph"/>
              <w:rPr>
                <w:rFonts w:ascii="Times New Roman"/>
                <w:sz w:val="10"/>
              </w:rPr>
            </w:pPr>
          </w:p>
        </w:tc>
        <w:tc>
          <w:tcPr>
            <w:tcW w:w="893" w:type="dxa"/>
            <w:tcBorders>
              <w:top w:val="single" w:sz="6" w:space="0" w:color="000000"/>
              <w:bottom w:val="single" w:sz="6" w:space="0" w:color="000000"/>
            </w:tcBorders>
          </w:tcPr>
          <w:p>
            <w:pPr>
              <w:pStyle w:val="TableParagraph"/>
              <w:spacing w:line="141" w:lineRule="exact"/>
              <w:jc w:val="right"/>
              <w:rPr>
                <w:b/>
                <w:sz w:val="14"/>
              </w:rPr>
            </w:pPr>
            <w:r>
              <w:rPr>
                <w:b/>
                <w:spacing w:val="-2"/>
                <w:sz w:val="14"/>
              </w:rPr>
              <w:t>11,340</w:t>
            </w:r>
          </w:p>
        </w:tc>
        <w:tc>
          <w:tcPr>
            <w:tcW w:w="1212" w:type="dxa"/>
            <w:tcBorders>
              <w:top w:val="single" w:sz="6" w:space="0" w:color="000000"/>
              <w:bottom w:val="single" w:sz="6" w:space="0" w:color="000000"/>
            </w:tcBorders>
          </w:tcPr>
          <w:p>
            <w:pPr>
              <w:pStyle w:val="TableParagraph"/>
              <w:spacing w:line="141" w:lineRule="exact"/>
              <w:ind w:right="200"/>
              <w:jc w:val="right"/>
              <w:rPr>
                <w:b/>
                <w:sz w:val="14"/>
              </w:rPr>
            </w:pPr>
            <w:r>
              <w:rPr>
                <w:b/>
                <w:spacing w:val="-2"/>
                <w:sz w:val="14"/>
              </w:rPr>
              <w:t>9,818</w:t>
            </w:r>
          </w:p>
        </w:tc>
        <w:tc>
          <w:tcPr>
            <w:tcW w:w="766" w:type="dxa"/>
            <w:tcBorders>
              <w:top w:val="single" w:sz="6" w:space="0" w:color="000000"/>
              <w:bottom w:val="single" w:sz="6" w:space="0" w:color="000000"/>
            </w:tcBorders>
          </w:tcPr>
          <w:p>
            <w:pPr>
              <w:pStyle w:val="TableParagraph"/>
              <w:spacing w:line="141" w:lineRule="exact"/>
              <w:jc w:val="right"/>
              <w:rPr>
                <w:b/>
                <w:sz w:val="14"/>
              </w:rPr>
            </w:pPr>
            <w:r>
              <w:rPr>
                <w:b/>
                <w:spacing w:val="-2"/>
                <w:sz w:val="14"/>
              </w:rPr>
              <w:t>11,324</w:t>
            </w:r>
          </w:p>
        </w:tc>
        <w:tc>
          <w:tcPr>
            <w:tcW w:w="1044" w:type="dxa"/>
            <w:tcBorders>
              <w:top w:val="single" w:sz="6" w:space="0" w:color="000000"/>
              <w:bottom w:val="single" w:sz="6" w:space="0" w:color="000000"/>
            </w:tcBorders>
          </w:tcPr>
          <w:p>
            <w:pPr>
              <w:pStyle w:val="TableParagraph"/>
              <w:spacing w:line="141" w:lineRule="exact"/>
              <w:ind w:right="75"/>
              <w:jc w:val="right"/>
              <w:rPr>
                <w:b/>
                <w:sz w:val="14"/>
              </w:rPr>
            </w:pPr>
            <w:r>
              <w:rPr>
                <w:b/>
                <w:spacing w:val="-2"/>
                <w:sz w:val="14"/>
              </w:rPr>
              <w:t>9,818</w:t>
            </w:r>
          </w:p>
        </w:tc>
      </w:tr>
      <w:tr>
        <w:trPr>
          <w:trHeight w:val="338" w:hRule="atLeast"/>
        </w:trPr>
        <w:tc>
          <w:tcPr>
            <w:tcW w:w="5211" w:type="dxa"/>
          </w:tcPr>
          <w:p>
            <w:pPr>
              <w:pStyle w:val="TableParagraph"/>
              <w:spacing w:before="1"/>
              <w:ind w:right="3537"/>
              <w:jc w:val="right"/>
              <w:rPr>
                <w:b/>
                <w:sz w:val="14"/>
              </w:rPr>
            </w:pPr>
            <w:r>
              <w:rPr>
                <w:b/>
                <w:spacing w:val="-2"/>
                <w:sz w:val="14"/>
              </w:rPr>
              <w:t>Intangible</w:t>
            </w:r>
            <w:r>
              <w:rPr>
                <w:b/>
                <w:spacing w:val="6"/>
                <w:sz w:val="14"/>
              </w:rPr>
              <w:t> </w:t>
            </w:r>
            <w:r>
              <w:rPr>
                <w:b/>
                <w:spacing w:val="-2"/>
                <w:sz w:val="14"/>
              </w:rPr>
              <w:t>assets</w:t>
            </w:r>
          </w:p>
          <w:p>
            <w:pPr>
              <w:pStyle w:val="TableParagraph"/>
              <w:spacing w:line="144" w:lineRule="exact" w:before="12"/>
              <w:ind w:right="3509"/>
              <w:jc w:val="right"/>
              <w:rPr>
                <w:sz w:val="14"/>
              </w:rPr>
            </w:pPr>
            <w:r>
              <w:rPr>
                <w:sz w:val="14"/>
              </w:rPr>
              <w:t>Within</w:t>
            </w:r>
            <w:r>
              <w:rPr>
                <w:spacing w:val="-6"/>
                <w:sz w:val="14"/>
              </w:rPr>
              <w:t> </w:t>
            </w:r>
            <w:r>
              <w:rPr>
                <w:sz w:val="14"/>
              </w:rPr>
              <w:t>one</w:t>
            </w:r>
            <w:r>
              <w:rPr>
                <w:spacing w:val="-5"/>
                <w:sz w:val="14"/>
              </w:rPr>
              <w:t> </w:t>
            </w:r>
            <w:r>
              <w:rPr>
                <w:spacing w:val="-4"/>
                <w:sz w:val="14"/>
              </w:rPr>
              <w:t>year</w:t>
            </w:r>
          </w:p>
        </w:tc>
        <w:tc>
          <w:tcPr>
            <w:tcW w:w="893" w:type="dxa"/>
            <w:tcBorders>
              <w:top w:val="single" w:sz="6" w:space="0" w:color="000000"/>
            </w:tcBorders>
          </w:tcPr>
          <w:p>
            <w:pPr>
              <w:pStyle w:val="TableParagraph"/>
              <w:rPr>
                <w:b/>
                <w:sz w:val="14"/>
              </w:rPr>
            </w:pPr>
          </w:p>
          <w:p>
            <w:pPr>
              <w:pStyle w:val="TableParagraph"/>
              <w:spacing w:line="158" w:lineRule="exact"/>
              <w:jc w:val="right"/>
              <w:rPr>
                <w:sz w:val="14"/>
              </w:rPr>
            </w:pPr>
            <w:r>
              <w:rPr>
                <w:spacing w:val="-2"/>
                <w:sz w:val="14"/>
              </w:rPr>
              <w:t>3,741</w:t>
            </w:r>
          </w:p>
        </w:tc>
        <w:tc>
          <w:tcPr>
            <w:tcW w:w="1212" w:type="dxa"/>
            <w:tcBorders>
              <w:top w:val="single" w:sz="6" w:space="0" w:color="000000"/>
            </w:tcBorders>
          </w:tcPr>
          <w:p>
            <w:pPr>
              <w:pStyle w:val="TableParagraph"/>
              <w:rPr>
                <w:b/>
                <w:sz w:val="14"/>
              </w:rPr>
            </w:pPr>
          </w:p>
          <w:p>
            <w:pPr>
              <w:pStyle w:val="TableParagraph"/>
              <w:spacing w:line="158" w:lineRule="exact"/>
              <w:ind w:right="200"/>
              <w:jc w:val="right"/>
              <w:rPr>
                <w:sz w:val="14"/>
              </w:rPr>
            </w:pPr>
            <w:r>
              <w:rPr>
                <w:spacing w:val="-2"/>
                <w:sz w:val="14"/>
              </w:rPr>
              <w:t>2,583</w:t>
            </w:r>
          </w:p>
        </w:tc>
        <w:tc>
          <w:tcPr>
            <w:tcW w:w="766" w:type="dxa"/>
            <w:tcBorders>
              <w:top w:val="single" w:sz="6" w:space="0" w:color="000000"/>
            </w:tcBorders>
          </w:tcPr>
          <w:p>
            <w:pPr>
              <w:pStyle w:val="TableParagraph"/>
              <w:rPr>
                <w:b/>
                <w:sz w:val="14"/>
              </w:rPr>
            </w:pPr>
          </w:p>
          <w:p>
            <w:pPr>
              <w:pStyle w:val="TableParagraph"/>
              <w:spacing w:line="158" w:lineRule="exact"/>
              <w:ind w:right="1"/>
              <w:jc w:val="right"/>
              <w:rPr>
                <w:sz w:val="14"/>
              </w:rPr>
            </w:pPr>
            <w:r>
              <w:rPr>
                <w:spacing w:val="-2"/>
                <w:sz w:val="14"/>
              </w:rPr>
              <w:t>3,741</w:t>
            </w:r>
          </w:p>
        </w:tc>
        <w:tc>
          <w:tcPr>
            <w:tcW w:w="1044" w:type="dxa"/>
            <w:tcBorders>
              <w:top w:val="single" w:sz="6" w:space="0" w:color="000000"/>
            </w:tcBorders>
          </w:tcPr>
          <w:p>
            <w:pPr>
              <w:pStyle w:val="TableParagraph"/>
              <w:rPr>
                <w:b/>
                <w:sz w:val="14"/>
              </w:rPr>
            </w:pPr>
          </w:p>
          <w:p>
            <w:pPr>
              <w:pStyle w:val="TableParagraph"/>
              <w:spacing w:line="158" w:lineRule="exact"/>
              <w:ind w:right="75"/>
              <w:jc w:val="right"/>
              <w:rPr>
                <w:sz w:val="14"/>
              </w:rPr>
            </w:pPr>
            <w:r>
              <w:rPr>
                <w:spacing w:val="-2"/>
                <w:sz w:val="14"/>
              </w:rPr>
              <w:t>2,583</w:t>
            </w:r>
          </w:p>
        </w:tc>
      </w:tr>
      <w:tr>
        <w:trPr>
          <w:trHeight w:val="182" w:hRule="atLeast"/>
        </w:trPr>
        <w:tc>
          <w:tcPr>
            <w:tcW w:w="5211" w:type="dxa"/>
          </w:tcPr>
          <w:p>
            <w:pPr>
              <w:pStyle w:val="TableParagraph"/>
              <w:spacing w:line="151" w:lineRule="exact" w:before="12"/>
              <w:ind w:left="734"/>
              <w:rPr>
                <w:sz w:val="14"/>
              </w:rPr>
            </w:pPr>
            <w:r>
              <w:rPr>
                <w:sz w:val="14"/>
              </w:rPr>
              <w:t>Later</w:t>
            </w:r>
            <w:r>
              <w:rPr>
                <w:spacing w:val="-8"/>
                <w:sz w:val="14"/>
              </w:rPr>
              <w:t> </w:t>
            </w:r>
            <w:r>
              <w:rPr>
                <w:sz w:val="14"/>
              </w:rPr>
              <w:t>than</w:t>
            </w:r>
            <w:r>
              <w:rPr>
                <w:spacing w:val="-8"/>
                <w:sz w:val="14"/>
              </w:rPr>
              <w:t> </w:t>
            </w:r>
            <w:r>
              <w:rPr>
                <w:sz w:val="14"/>
              </w:rPr>
              <w:t>one</w:t>
            </w:r>
            <w:r>
              <w:rPr>
                <w:spacing w:val="-9"/>
                <w:sz w:val="14"/>
              </w:rPr>
              <w:t> </w:t>
            </w:r>
            <w:r>
              <w:rPr>
                <w:sz w:val="14"/>
              </w:rPr>
              <w:t>year</w:t>
            </w:r>
            <w:r>
              <w:rPr>
                <w:spacing w:val="-7"/>
                <w:sz w:val="14"/>
              </w:rPr>
              <w:t> </w:t>
            </w:r>
            <w:r>
              <w:rPr>
                <w:sz w:val="14"/>
              </w:rPr>
              <w:t>but</w:t>
            </w:r>
            <w:r>
              <w:rPr>
                <w:spacing w:val="-9"/>
                <w:sz w:val="14"/>
              </w:rPr>
              <w:t> </w:t>
            </w:r>
            <w:r>
              <w:rPr>
                <w:sz w:val="14"/>
              </w:rPr>
              <w:t>no</w:t>
            </w:r>
            <w:r>
              <w:rPr>
                <w:spacing w:val="-9"/>
                <w:sz w:val="14"/>
              </w:rPr>
              <w:t> </w:t>
            </w:r>
            <w:r>
              <w:rPr>
                <w:sz w:val="14"/>
              </w:rPr>
              <w:t>later</w:t>
            </w:r>
            <w:r>
              <w:rPr>
                <w:spacing w:val="-7"/>
                <w:sz w:val="14"/>
              </w:rPr>
              <w:t> </w:t>
            </w:r>
            <w:r>
              <w:rPr>
                <w:sz w:val="14"/>
              </w:rPr>
              <w:t>than</w:t>
            </w:r>
            <w:r>
              <w:rPr>
                <w:spacing w:val="-9"/>
                <w:sz w:val="14"/>
              </w:rPr>
              <w:t> </w:t>
            </w:r>
            <w:r>
              <w:rPr>
                <w:sz w:val="14"/>
              </w:rPr>
              <w:t>five</w:t>
            </w:r>
            <w:r>
              <w:rPr>
                <w:spacing w:val="-9"/>
                <w:sz w:val="14"/>
              </w:rPr>
              <w:t> </w:t>
            </w:r>
            <w:r>
              <w:rPr>
                <w:spacing w:val="-4"/>
                <w:sz w:val="14"/>
              </w:rPr>
              <w:t>years</w:t>
            </w:r>
          </w:p>
        </w:tc>
        <w:tc>
          <w:tcPr>
            <w:tcW w:w="893" w:type="dxa"/>
          </w:tcPr>
          <w:p>
            <w:pPr>
              <w:pStyle w:val="TableParagraph"/>
              <w:spacing w:line="159" w:lineRule="exact"/>
              <w:jc w:val="right"/>
              <w:rPr>
                <w:sz w:val="14"/>
              </w:rPr>
            </w:pPr>
            <w:r>
              <w:rPr>
                <w:spacing w:val="-5"/>
                <w:sz w:val="14"/>
              </w:rPr>
              <w:t>129</w:t>
            </w:r>
          </w:p>
        </w:tc>
        <w:tc>
          <w:tcPr>
            <w:tcW w:w="1212" w:type="dxa"/>
          </w:tcPr>
          <w:p>
            <w:pPr>
              <w:pStyle w:val="TableParagraph"/>
              <w:spacing w:line="159" w:lineRule="exact"/>
              <w:ind w:right="200"/>
              <w:jc w:val="right"/>
              <w:rPr>
                <w:sz w:val="14"/>
              </w:rPr>
            </w:pPr>
            <w:r>
              <w:rPr>
                <w:spacing w:val="-2"/>
                <w:sz w:val="14"/>
              </w:rPr>
              <w:t>2,712</w:t>
            </w:r>
          </w:p>
        </w:tc>
        <w:tc>
          <w:tcPr>
            <w:tcW w:w="766" w:type="dxa"/>
          </w:tcPr>
          <w:p>
            <w:pPr>
              <w:pStyle w:val="TableParagraph"/>
              <w:spacing w:line="159" w:lineRule="exact"/>
              <w:jc w:val="right"/>
              <w:rPr>
                <w:sz w:val="14"/>
              </w:rPr>
            </w:pPr>
            <w:r>
              <w:rPr>
                <w:spacing w:val="-5"/>
                <w:sz w:val="14"/>
              </w:rPr>
              <w:t>129</w:t>
            </w:r>
          </w:p>
        </w:tc>
        <w:tc>
          <w:tcPr>
            <w:tcW w:w="1044" w:type="dxa"/>
          </w:tcPr>
          <w:p>
            <w:pPr>
              <w:pStyle w:val="TableParagraph"/>
              <w:spacing w:line="159" w:lineRule="exact"/>
              <w:ind w:right="75"/>
              <w:jc w:val="right"/>
              <w:rPr>
                <w:sz w:val="14"/>
              </w:rPr>
            </w:pPr>
            <w:r>
              <w:rPr>
                <w:spacing w:val="-2"/>
                <w:sz w:val="14"/>
              </w:rPr>
              <w:t>2,712</w:t>
            </w:r>
          </w:p>
        </w:tc>
      </w:tr>
      <w:tr>
        <w:trPr>
          <w:trHeight w:val="164" w:hRule="atLeast"/>
        </w:trPr>
        <w:tc>
          <w:tcPr>
            <w:tcW w:w="5211" w:type="dxa"/>
          </w:tcPr>
          <w:p>
            <w:pPr>
              <w:pStyle w:val="TableParagraph"/>
              <w:spacing w:line="140" w:lineRule="exact" w:before="5"/>
              <w:ind w:left="734"/>
              <w:rPr>
                <w:sz w:val="14"/>
              </w:rPr>
            </w:pPr>
            <w:r>
              <w:rPr>
                <w:sz w:val="14"/>
              </w:rPr>
              <w:t>Later</w:t>
            </w:r>
            <w:r>
              <w:rPr>
                <w:spacing w:val="-7"/>
                <w:sz w:val="14"/>
              </w:rPr>
              <w:t> </w:t>
            </w:r>
            <w:r>
              <w:rPr>
                <w:sz w:val="14"/>
              </w:rPr>
              <w:t>than</w:t>
            </w:r>
            <w:r>
              <w:rPr>
                <w:spacing w:val="-8"/>
                <w:sz w:val="14"/>
              </w:rPr>
              <w:t> </w:t>
            </w:r>
            <w:r>
              <w:rPr>
                <w:sz w:val="14"/>
              </w:rPr>
              <w:t>five</w:t>
            </w:r>
            <w:r>
              <w:rPr>
                <w:spacing w:val="-9"/>
                <w:sz w:val="14"/>
              </w:rPr>
              <w:t> </w:t>
            </w:r>
            <w:r>
              <w:rPr>
                <w:spacing w:val="-2"/>
                <w:sz w:val="14"/>
              </w:rPr>
              <w:t>years</w:t>
            </w:r>
          </w:p>
        </w:tc>
        <w:tc>
          <w:tcPr>
            <w:tcW w:w="893" w:type="dxa"/>
            <w:tcBorders>
              <w:bottom w:val="single" w:sz="6" w:space="0" w:color="000000"/>
            </w:tcBorders>
          </w:tcPr>
          <w:p>
            <w:pPr>
              <w:pStyle w:val="TableParagraph"/>
              <w:rPr>
                <w:rFonts w:ascii="Times New Roman"/>
                <w:sz w:val="10"/>
              </w:rPr>
            </w:pPr>
          </w:p>
        </w:tc>
        <w:tc>
          <w:tcPr>
            <w:tcW w:w="1212" w:type="dxa"/>
            <w:tcBorders>
              <w:bottom w:val="single" w:sz="6" w:space="0" w:color="000000"/>
            </w:tcBorders>
          </w:tcPr>
          <w:p>
            <w:pPr>
              <w:pStyle w:val="TableParagraph"/>
              <w:tabs>
                <w:tab w:pos="971" w:val="left" w:leader="none"/>
              </w:tabs>
              <w:spacing w:line="142" w:lineRule="exact" w:before="5"/>
              <w:ind w:left="-1" w:right="191"/>
              <w:jc w:val="right"/>
              <w:rPr>
                <w:sz w:val="14"/>
              </w:rPr>
            </w:pPr>
            <w:r>
              <w:rPr>
                <w:spacing w:val="-10"/>
                <w:sz w:val="14"/>
              </w:rPr>
              <w:t>-</w:t>
            </w:r>
            <w:r>
              <w:rPr>
                <w:sz w:val="14"/>
              </w:rPr>
              <w:tab/>
            </w:r>
            <w:r>
              <w:rPr>
                <w:spacing w:val="-10"/>
                <w:sz w:val="14"/>
              </w:rPr>
              <w:t>-</w:t>
            </w:r>
          </w:p>
        </w:tc>
        <w:tc>
          <w:tcPr>
            <w:tcW w:w="766" w:type="dxa"/>
            <w:tcBorders>
              <w:bottom w:val="single" w:sz="6" w:space="0" w:color="000000"/>
            </w:tcBorders>
          </w:tcPr>
          <w:p>
            <w:pPr>
              <w:pStyle w:val="TableParagraph"/>
              <w:rPr>
                <w:rFonts w:ascii="Times New Roman"/>
                <w:sz w:val="10"/>
              </w:rPr>
            </w:pPr>
          </w:p>
        </w:tc>
        <w:tc>
          <w:tcPr>
            <w:tcW w:w="1044" w:type="dxa"/>
            <w:tcBorders>
              <w:bottom w:val="single" w:sz="6" w:space="0" w:color="000000"/>
            </w:tcBorders>
          </w:tcPr>
          <w:p>
            <w:pPr>
              <w:pStyle w:val="TableParagraph"/>
              <w:tabs>
                <w:tab w:pos="928" w:val="left" w:leader="none"/>
              </w:tabs>
              <w:spacing w:line="142" w:lineRule="exact" w:before="5"/>
              <w:ind w:left="-1"/>
              <w:rPr>
                <w:sz w:val="14"/>
              </w:rPr>
            </w:pPr>
            <w:r>
              <w:rPr>
                <w:spacing w:val="-10"/>
                <w:sz w:val="14"/>
              </w:rPr>
              <w:t>-</w:t>
            </w:r>
            <w:r>
              <w:rPr>
                <w:sz w:val="14"/>
              </w:rPr>
              <w:tab/>
            </w:r>
            <w:r>
              <w:rPr>
                <w:spacing w:val="-10"/>
                <w:sz w:val="14"/>
              </w:rPr>
              <w:t>-</w:t>
            </w:r>
          </w:p>
        </w:tc>
      </w:tr>
      <w:tr>
        <w:trPr>
          <w:trHeight w:val="163" w:hRule="atLeast"/>
        </w:trPr>
        <w:tc>
          <w:tcPr>
            <w:tcW w:w="5211" w:type="dxa"/>
          </w:tcPr>
          <w:p>
            <w:pPr>
              <w:pStyle w:val="TableParagraph"/>
              <w:rPr>
                <w:rFonts w:ascii="Times New Roman"/>
                <w:sz w:val="10"/>
              </w:rPr>
            </w:pPr>
          </w:p>
        </w:tc>
        <w:tc>
          <w:tcPr>
            <w:tcW w:w="893" w:type="dxa"/>
            <w:tcBorders>
              <w:top w:val="single" w:sz="6" w:space="0" w:color="000000"/>
              <w:bottom w:val="single" w:sz="6" w:space="0" w:color="000000"/>
            </w:tcBorders>
          </w:tcPr>
          <w:p>
            <w:pPr>
              <w:pStyle w:val="TableParagraph"/>
              <w:spacing w:line="141" w:lineRule="exact"/>
              <w:jc w:val="right"/>
              <w:rPr>
                <w:b/>
                <w:sz w:val="14"/>
              </w:rPr>
            </w:pPr>
            <w:r>
              <w:rPr>
                <w:b/>
                <w:spacing w:val="-2"/>
                <w:sz w:val="14"/>
              </w:rPr>
              <w:t>3,870</w:t>
            </w:r>
          </w:p>
        </w:tc>
        <w:tc>
          <w:tcPr>
            <w:tcW w:w="1212" w:type="dxa"/>
            <w:tcBorders>
              <w:top w:val="single" w:sz="6" w:space="0" w:color="000000"/>
              <w:bottom w:val="single" w:sz="6" w:space="0" w:color="000000"/>
            </w:tcBorders>
          </w:tcPr>
          <w:p>
            <w:pPr>
              <w:pStyle w:val="TableParagraph"/>
              <w:spacing w:line="141" w:lineRule="exact"/>
              <w:ind w:right="200"/>
              <w:jc w:val="right"/>
              <w:rPr>
                <w:b/>
                <w:sz w:val="14"/>
              </w:rPr>
            </w:pPr>
            <w:r>
              <w:rPr>
                <w:b/>
                <w:spacing w:val="-2"/>
                <w:sz w:val="14"/>
              </w:rPr>
              <w:t>5,295</w:t>
            </w:r>
          </w:p>
        </w:tc>
        <w:tc>
          <w:tcPr>
            <w:tcW w:w="766" w:type="dxa"/>
            <w:tcBorders>
              <w:top w:val="single" w:sz="6" w:space="0" w:color="000000"/>
              <w:bottom w:val="single" w:sz="6" w:space="0" w:color="000000"/>
            </w:tcBorders>
          </w:tcPr>
          <w:p>
            <w:pPr>
              <w:pStyle w:val="TableParagraph"/>
              <w:spacing w:line="141" w:lineRule="exact"/>
              <w:jc w:val="right"/>
              <w:rPr>
                <w:b/>
                <w:sz w:val="14"/>
              </w:rPr>
            </w:pPr>
            <w:r>
              <w:rPr>
                <w:b/>
                <w:spacing w:val="-2"/>
                <w:sz w:val="14"/>
              </w:rPr>
              <w:t>3,870</w:t>
            </w:r>
          </w:p>
        </w:tc>
        <w:tc>
          <w:tcPr>
            <w:tcW w:w="1044" w:type="dxa"/>
            <w:tcBorders>
              <w:top w:val="single" w:sz="6" w:space="0" w:color="000000"/>
              <w:bottom w:val="single" w:sz="6" w:space="0" w:color="000000"/>
            </w:tcBorders>
          </w:tcPr>
          <w:p>
            <w:pPr>
              <w:pStyle w:val="TableParagraph"/>
              <w:spacing w:line="141" w:lineRule="exact"/>
              <w:ind w:right="75"/>
              <w:jc w:val="right"/>
              <w:rPr>
                <w:b/>
                <w:sz w:val="14"/>
              </w:rPr>
            </w:pPr>
            <w:r>
              <w:rPr>
                <w:b/>
                <w:spacing w:val="-2"/>
                <w:sz w:val="14"/>
              </w:rPr>
              <w:t>5,295</w:t>
            </w:r>
          </w:p>
        </w:tc>
      </w:tr>
      <w:tr>
        <w:trPr>
          <w:trHeight w:val="361" w:hRule="atLeast"/>
        </w:trPr>
        <w:tc>
          <w:tcPr>
            <w:tcW w:w="5211" w:type="dxa"/>
          </w:tcPr>
          <w:p>
            <w:pPr>
              <w:pStyle w:val="TableParagraph"/>
              <w:tabs>
                <w:tab w:pos="543" w:val="left" w:leader="none"/>
              </w:tabs>
              <w:spacing w:before="102"/>
              <w:ind w:left="27"/>
              <w:rPr>
                <w:b/>
                <w:sz w:val="14"/>
              </w:rPr>
            </w:pPr>
            <w:r>
              <w:rPr>
                <w:b/>
                <w:spacing w:val="-5"/>
                <w:sz w:val="14"/>
              </w:rPr>
              <w:t>(b)</w:t>
            </w:r>
            <w:r>
              <w:rPr>
                <w:b/>
                <w:sz w:val="14"/>
              </w:rPr>
              <w:tab/>
            </w:r>
            <w:r>
              <w:rPr>
                <w:b/>
                <w:spacing w:val="-2"/>
                <w:sz w:val="14"/>
              </w:rPr>
              <w:t>Lease commitments</w:t>
            </w:r>
          </w:p>
        </w:tc>
        <w:tc>
          <w:tcPr>
            <w:tcW w:w="893" w:type="dxa"/>
            <w:tcBorders>
              <w:top w:val="single" w:sz="6" w:space="0" w:color="000000"/>
            </w:tcBorders>
          </w:tcPr>
          <w:p>
            <w:pPr>
              <w:pStyle w:val="TableParagraph"/>
              <w:rPr>
                <w:rFonts w:ascii="Times New Roman"/>
                <w:sz w:val="14"/>
              </w:rPr>
            </w:pPr>
          </w:p>
        </w:tc>
        <w:tc>
          <w:tcPr>
            <w:tcW w:w="1212" w:type="dxa"/>
            <w:tcBorders>
              <w:top w:val="single" w:sz="6" w:space="0" w:color="000000"/>
            </w:tcBorders>
          </w:tcPr>
          <w:p>
            <w:pPr>
              <w:pStyle w:val="TableParagraph"/>
              <w:rPr>
                <w:rFonts w:ascii="Times New Roman"/>
                <w:sz w:val="14"/>
              </w:rPr>
            </w:pPr>
          </w:p>
        </w:tc>
        <w:tc>
          <w:tcPr>
            <w:tcW w:w="766" w:type="dxa"/>
            <w:tcBorders>
              <w:top w:val="single" w:sz="6" w:space="0" w:color="000000"/>
            </w:tcBorders>
          </w:tcPr>
          <w:p>
            <w:pPr>
              <w:pStyle w:val="TableParagraph"/>
              <w:rPr>
                <w:rFonts w:ascii="Times New Roman"/>
                <w:sz w:val="14"/>
              </w:rPr>
            </w:pPr>
          </w:p>
        </w:tc>
        <w:tc>
          <w:tcPr>
            <w:tcW w:w="1044" w:type="dxa"/>
            <w:tcBorders>
              <w:top w:val="single" w:sz="6" w:space="0" w:color="000000"/>
            </w:tcBorders>
          </w:tcPr>
          <w:p>
            <w:pPr>
              <w:pStyle w:val="TableParagraph"/>
              <w:rPr>
                <w:rFonts w:ascii="Times New Roman"/>
                <w:sz w:val="14"/>
              </w:rPr>
            </w:pPr>
          </w:p>
        </w:tc>
      </w:tr>
      <w:tr>
        <w:trPr>
          <w:trHeight w:val="262" w:hRule="atLeast"/>
        </w:trPr>
        <w:tc>
          <w:tcPr>
            <w:tcW w:w="5211" w:type="dxa"/>
          </w:tcPr>
          <w:p>
            <w:pPr>
              <w:pStyle w:val="TableParagraph"/>
              <w:spacing w:line="150" w:lineRule="exact" w:before="93"/>
              <w:ind w:left="543"/>
              <w:rPr>
                <w:b/>
                <w:sz w:val="14"/>
              </w:rPr>
            </w:pPr>
            <w:r>
              <w:rPr>
                <w:b/>
                <w:spacing w:val="-2"/>
                <w:sz w:val="14"/>
              </w:rPr>
              <w:t>Short-term</w:t>
            </w:r>
            <w:r>
              <w:rPr>
                <w:b/>
                <w:spacing w:val="6"/>
                <w:sz w:val="14"/>
              </w:rPr>
              <w:t> </w:t>
            </w:r>
            <w:r>
              <w:rPr>
                <w:b/>
                <w:spacing w:val="-2"/>
                <w:sz w:val="14"/>
              </w:rPr>
              <w:t>leases</w:t>
            </w:r>
          </w:p>
        </w:tc>
        <w:tc>
          <w:tcPr>
            <w:tcW w:w="893" w:type="dxa"/>
          </w:tcPr>
          <w:p>
            <w:pPr>
              <w:pStyle w:val="TableParagraph"/>
              <w:rPr>
                <w:rFonts w:ascii="Times New Roman"/>
                <w:sz w:val="14"/>
              </w:rPr>
            </w:pPr>
          </w:p>
        </w:tc>
        <w:tc>
          <w:tcPr>
            <w:tcW w:w="1212" w:type="dxa"/>
          </w:tcPr>
          <w:p>
            <w:pPr>
              <w:pStyle w:val="TableParagraph"/>
              <w:rPr>
                <w:rFonts w:ascii="Times New Roman"/>
                <w:sz w:val="14"/>
              </w:rPr>
            </w:pPr>
          </w:p>
        </w:tc>
        <w:tc>
          <w:tcPr>
            <w:tcW w:w="766" w:type="dxa"/>
          </w:tcPr>
          <w:p>
            <w:pPr>
              <w:pStyle w:val="TableParagraph"/>
              <w:rPr>
                <w:rFonts w:ascii="Times New Roman"/>
                <w:sz w:val="14"/>
              </w:rPr>
            </w:pPr>
          </w:p>
        </w:tc>
        <w:tc>
          <w:tcPr>
            <w:tcW w:w="1044" w:type="dxa"/>
          </w:tcPr>
          <w:p>
            <w:pPr>
              <w:pStyle w:val="TableParagraph"/>
              <w:rPr>
                <w:rFonts w:ascii="Times New Roman"/>
                <w:sz w:val="14"/>
              </w:rPr>
            </w:pPr>
          </w:p>
        </w:tc>
      </w:tr>
      <w:tr>
        <w:trPr>
          <w:trHeight w:val="173" w:hRule="atLeast"/>
        </w:trPr>
        <w:tc>
          <w:tcPr>
            <w:tcW w:w="5211" w:type="dxa"/>
          </w:tcPr>
          <w:p>
            <w:pPr>
              <w:pStyle w:val="TableParagraph"/>
              <w:spacing w:line="150" w:lineRule="exact" w:before="4"/>
              <w:ind w:right="75"/>
              <w:jc w:val="right"/>
              <w:rPr>
                <w:sz w:val="14"/>
              </w:rPr>
            </w:pPr>
            <w:r>
              <w:rPr>
                <w:spacing w:val="-2"/>
                <w:sz w:val="14"/>
              </w:rPr>
              <w:t>The</w:t>
            </w:r>
            <w:r>
              <w:rPr>
                <w:sz w:val="14"/>
              </w:rPr>
              <w:t> </w:t>
            </w:r>
            <w:r>
              <w:rPr>
                <w:spacing w:val="-2"/>
                <w:sz w:val="14"/>
              </w:rPr>
              <w:t>nature</w:t>
            </w:r>
            <w:r>
              <w:rPr>
                <w:spacing w:val="1"/>
                <w:sz w:val="14"/>
              </w:rPr>
              <w:t> </w:t>
            </w:r>
            <w:r>
              <w:rPr>
                <w:spacing w:val="-2"/>
                <w:sz w:val="14"/>
              </w:rPr>
              <w:t>of</w:t>
            </w:r>
            <w:r>
              <w:rPr>
                <w:spacing w:val="4"/>
                <w:sz w:val="14"/>
              </w:rPr>
              <w:t> </w:t>
            </w:r>
            <w:r>
              <w:rPr>
                <w:spacing w:val="-2"/>
                <w:sz w:val="14"/>
              </w:rPr>
              <w:t>the</w:t>
            </w:r>
            <w:r>
              <w:rPr>
                <w:spacing w:val="1"/>
                <w:sz w:val="14"/>
              </w:rPr>
              <w:t> </w:t>
            </w:r>
            <w:r>
              <w:rPr>
                <w:spacing w:val="-2"/>
                <w:sz w:val="14"/>
              </w:rPr>
              <w:t>short-term</w:t>
            </w:r>
            <w:r>
              <w:rPr>
                <w:spacing w:val="3"/>
                <w:sz w:val="14"/>
              </w:rPr>
              <w:t> </w:t>
            </w:r>
            <w:r>
              <w:rPr>
                <w:spacing w:val="-2"/>
                <w:sz w:val="14"/>
              </w:rPr>
              <w:t>lease</w:t>
            </w:r>
            <w:r>
              <w:rPr>
                <w:sz w:val="14"/>
              </w:rPr>
              <w:t> </w:t>
            </w:r>
            <w:r>
              <w:rPr>
                <w:spacing w:val="-2"/>
                <w:sz w:val="14"/>
              </w:rPr>
              <w:t>commitments</w:t>
            </w:r>
            <w:r>
              <w:rPr>
                <w:spacing w:val="2"/>
                <w:sz w:val="14"/>
              </w:rPr>
              <w:t> </w:t>
            </w:r>
            <w:r>
              <w:rPr>
                <w:spacing w:val="-2"/>
                <w:sz w:val="14"/>
              </w:rPr>
              <w:t>disclosed</w:t>
            </w:r>
            <w:r>
              <w:rPr>
                <w:spacing w:val="1"/>
                <w:sz w:val="14"/>
              </w:rPr>
              <w:t> </w:t>
            </w:r>
            <w:r>
              <w:rPr>
                <w:spacing w:val="-2"/>
                <w:sz w:val="14"/>
              </w:rPr>
              <w:t>below</w:t>
            </w:r>
            <w:r>
              <w:rPr>
                <w:spacing w:val="-3"/>
                <w:sz w:val="14"/>
              </w:rPr>
              <w:t> </w:t>
            </w:r>
            <w:r>
              <w:rPr>
                <w:spacing w:val="-2"/>
                <w:sz w:val="14"/>
              </w:rPr>
              <w:t>relates</w:t>
            </w:r>
            <w:r>
              <w:rPr>
                <w:spacing w:val="2"/>
                <w:sz w:val="14"/>
              </w:rPr>
              <w:t> </w:t>
            </w:r>
            <w:r>
              <w:rPr>
                <w:spacing w:val="-5"/>
                <w:sz w:val="14"/>
              </w:rPr>
              <w:t>to</w:t>
            </w:r>
          </w:p>
        </w:tc>
        <w:tc>
          <w:tcPr>
            <w:tcW w:w="893" w:type="dxa"/>
          </w:tcPr>
          <w:p>
            <w:pPr>
              <w:pStyle w:val="TableParagraph"/>
              <w:rPr>
                <w:rFonts w:ascii="Times New Roman"/>
                <w:sz w:val="10"/>
              </w:rPr>
            </w:pPr>
          </w:p>
        </w:tc>
        <w:tc>
          <w:tcPr>
            <w:tcW w:w="1212" w:type="dxa"/>
          </w:tcPr>
          <w:p>
            <w:pPr>
              <w:pStyle w:val="TableParagraph"/>
              <w:rPr>
                <w:rFonts w:ascii="Times New Roman"/>
                <w:sz w:val="10"/>
              </w:rPr>
            </w:pPr>
          </w:p>
        </w:tc>
        <w:tc>
          <w:tcPr>
            <w:tcW w:w="766" w:type="dxa"/>
          </w:tcPr>
          <w:p>
            <w:pPr>
              <w:pStyle w:val="TableParagraph"/>
              <w:rPr>
                <w:rFonts w:ascii="Times New Roman"/>
                <w:sz w:val="10"/>
              </w:rPr>
            </w:pPr>
          </w:p>
        </w:tc>
        <w:tc>
          <w:tcPr>
            <w:tcW w:w="1044" w:type="dxa"/>
          </w:tcPr>
          <w:p>
            <w:pPr>
              <w:pStyle w:val="TableParagraph"/>
              <w:rPr>
                <w:rFonts w:ascii="Times New Roman"/>
                <w:sz w:val="10"/>
              </w:rPr>
            </w:pPr>
          </w:p>
        </w:tc>
      </w:tr>
      <w:tr>
        <w:trPr>
          <w:trHeight w:val="180" w:hRule="atLeast"/>
        </w:trPr>
        <w:tc>
          <w:tcPr>
            <w:tcW w:w="5211" w:type="dxa"/>
          </w:tcPr>
          <w:p>
            <w:pPr>
              <w:pStyle w:val="TableParagraph"/>
              <w:spacing w:line="156" w:lineRule="exact" w:before="4"/>
              <w:ind w:left="543"/>
              <w:rPr>
                <w:sz w:val="14"/>
              </w:rPr>
            </w:pPr>
            <w:r>
              <w:rPr>
                <w:spacing w:val="-2"/>
                <w:sz w:val="14"/>
              </w:rPr>
              <w:t>property</w:t>
            </w:r>
            <w:r>
              <w:rPr>
                <w:spacing w:val="-8"/>
                <w:sz w:val="14"/>
              </w:rPr>
              <w:t> </w:t>
            </w:r>
            <w:r>
              <w:rPr>
                <w:spacing w:val="-2"/>
                <w:sz w:val="14"/>
              </w:rPr>
              <w:t>and equipment</w:t>
            </w:r>
            <w:r>
              <w:rPr>
                <w:spacing w:val="-1"/>
                <w:sz w:val="14"/>
              </w:rPr>
              <w:t> </w:t>
            </w:r>
            <w:r>
              <w:rPr>
                <w:spacing w:val="-2"/>
                <w:sz w:val="14"/>
              </w:rPr>
              <w:t>leases.</w:t>
            </w:r>
          </w:p>
        </w:tc>
        <w:tc>
          <w:tcPr>
            <w:tcW w:w="893" w:type="dxa"/>
          </w:tcPr>
          <w:p>
            <w:pPr>
              <w:pStyle w:val="TableParagraph"/>
              <w:rPr>
                <w:rFonts w:ascii="Times New Roman"/>
                <w:sz w:val="12"/>
              </w:rPr>
            </w:pPr>
          </w:p>
        </w:tc>
        <w:tc>
          <w:tcPr>
            <w:tcW w:w="1212" w:type="dxa"/>
          </w:tcPr>
          <w:p>
            <w:pPr>
              <w:pStyle w:val="TableParagraph"/>
              <w:rPr>
                <w:rFonts w:ascii="Times New Roman"/>
                <w:sz w:val="12"/>
              </w:rPr>
            </w:pPr>
          </w:p>
        </w:tc>
        <w:tc>
          <w:tcPr>
            <w:tcW w:w="766" w:type="dxa"/>
          </w:tcPr>
          <w:p>
            <w:pPr>
              <w:pStyle w:val="TableParagraph"/>
              <w:rPr>
                <w:rFonts w:ascii="Times New Roman"/>
                <w:sz w:val="12"/>
              </w:rPr>
            </w:pPr>
          </w:p>
        </w:tc>
        <w:tc>
          <w:tcPr>
            <w:tcW w:w="1044" w:type="dxa"/>
          </w:tcPr>
          <w:p>
            <w:pPr>
              <w:pStyle w:val="TableParagraph"/>
              <w:rPr>
                <w:rFonts w:ascii="Times New Roman"/>
                <w:sz w:val="12"/>
              </w:rPr>
            </w:pPr>
          </w:p>
        </w:tc>
      </w:tr>
      <w:tr>
        <w:trPr>
          <w:trHeight w:val="195" w:hRule="atLeast"/>
        </w:trPr>
        <w:tc>
          <w:tcPr>
            <w:tcW w:w="5211" w:type="dxa"/>
          </w:tcPr>
          <w:p>
            <w:pPr>
              <w:pStyle w:val="TableParagraph"/>
              <w:spacing w:line="151" w:lineRule="exact" w:before="24"/>
              <w:ind w:left="734"/>
              <w:rPr>
                <w:sz w:val="14"/>
              </w:rPr>
            </w:pPr>
            <w:r>
              <w:rPr>
                <w:sz w:val="14"/>
              </w:rPr>
              <w:t>Within</w:t>
            </w:r>
            <w:r>
              <w:rPr>
                <w:spacing w:val="-6"/>
                <w:sz w:val="14"/>
              </w:rPr>
              <w:t> </w:t>
            </w:r>
            <w:r>
              <w:rPr>
                <w:sz w:val="14"/>
              </w:rPr>
              <w:t>one</w:t>
            </w:r>
            <w:r>
              <w:rPr>
                <w:spacing w:val="-5"/>
                <w:sz w:val="14"/>
              </w:rPr>
              <w:t> </w:t>
            </w:r>
            <w:r>
              <w:rPr>
                <w:spacing w:val="-4"/>
                <w:sz w:val="14"/>
              </w:rPr>
              <w:t>year</w:t>
            </w:r>
          </w:p>
        </w:tc>
        <w:tc>
          <w:tcPr>
            <w:tcW w:w="893" w:type="dxa"/>
          </w:tcPr>
          <w:p>
            <w:pPr>
              <w:pStyle w:val="TableParagraph"/>
              <w:spacing w:before="10"/>
              <w:jc w:val="right"/>
              <w:rPr>
                <w:sz w:val="14"/>
              </w:rPr>
            </w:pPr>
            <w:r>
              <w:rPr>
                <w:spacing w:val="-5"/>
                <w:sz w:val="14"/>
              </w:rPr>
              <w:t>791</w:t>
            </w:r>
          </w:p>
        </w:tc>
        <w:tc>
          <w:tcPr>
            <w:tcW w:w="1212" w:type="dxa"/>
          </w:tcPr>
          <w:p>
            <w:pPr>
              <w:pStyle w:val="TableParagraph"/>
              <w:spacing w:before="10"/>
              <w:ind w:right="200"/>
              <w:jc w:val="right"/>
              <w:rPr>
                <w:sz w:val="14"/>
              </w:rPr>
            </w:pPr>
            <w:r>
              <w:rPr>
                <w:spacing w:val="-5"/>
                <w:sz w:val="14"/>
              </w:rPr>
              <w:t>975</w:t>
            </w:r>
          </w:p>
        </w:tc>
        <w:tc>
          <w:tcPr>
            <w:tcW w:w="766" w:type="dxa"/>
          </w:tcPr>
          <w:p>
            <w:pPr>
              <w:pStyle w:val="TableParagraph"/>
              <w:spacing w:before="10"/>
              <w:jc w:val="right"/>
              <w:rPr>
                <w:sz w:val="14"/>
              </w:rPr>
            </w:pPr>
            <w:r>
              <w:rPr>
                <w:spacing w:val="-5"/>
                <w:sz w:val="14"/>
              </w:rPr>
              <w:t>692</w:t>
            </w:r>
          </w:p>
        </w:tc>
        <w:tc>
          <w:tcPr>
            <w:tcW w:w="1044" w:type="dxa"/>
          </w:tcPr>
          <w:p>
            <w:pPr>
              <w:pStyle w:val="TableParagraph"/>
              <w:spacing w:before="10"/>
              <w:ind w:right="75"/>
              <w:jc w:val="right"/>
              <w:rPr>
                <w:sz w:val="14"/>
              </w:rPr>
            </w:pPr>
            <w:r>
              <w:rPr>
                <w:spacing w:val="-5"/>
                <w:sz w:val="14"/>
              </w:rPr>
              <w:t>975</w:t>
            </w:r>
          </w:p>
        </w:tc>
      </w:tr>
      <w:tr>
        <w:trPr>
          <w:trHeight w:val="175" w:hRule="atLeast"/>
        </w:trPr>
        <w:tc>
          <w:tcPr>
            <w:tcW w:w="5211" w:type="dxa"/>
          </w:tcPr>
          <w:p>
            <w:pPr>
              <w:pStyle w:val="TableParagraph"/>
              <w:spacing w:line="151" w:lineRule="exact" w:before="5"/>
              <w:ind w:left="734"/>
              <w:rPr>
                <w:sz w:val="14"/>
              </w:rPr>
            </w:pPr>
            <w:r>
              <w:rPr>
                <w:sz w:val="14"/>
              </w:rPr>
              <w:t>Later</w:t>
            </w:r>
            <w:r>
              <w:rPr>
                <w:spacing w:val="-8"/>
                <w:sz w:val="14"/>
              </w:rPr>
              <w:t> </w:t>
            </w:r>
            <w:r>
              <w:rPr>
                <w:sz w:val="14"/>
              </w:rPr>
              <w:t>than</w:t>
            </w:r>
            <w:r>
              <w:rPr>
                <w:spacing w:val="-8"/>
                <w:sz w:val="14"/>
              </w:rPr>
              <w:t> </w:t>
            </w:r>
            <w:r>
              <w:rPr>
                <w:sz w:val="14"/>
              </w:rPr>
              <w:t>one</w:t>
            </w:r>
            <w:r>
              <w:rPr>
                <w:spacing w:val="-9"/>
                <w:sz w:val="14"/>
              </w:rPr>
              <w:t> </w:t>
            </w:r>
            <w:r>
              <w:rPr>
                <w:sz w:val="14"/>
              </w:rPr>
              <w:t>year</w:t>
            </w:r>
            <w:r>
              <w:rPr>
                <w:spacing w:val="-7"/>
                <w:sz w:val="14"/>
              </w:rPr>
              <w:t> </w:t>
            </w:r>
            <w:r>
              <w:rPr>
                <w:sz w:val="14"/>
              </w:rPr>
              <w:t>but</w:t>
            </w:r>
            <w:r>
              <w:rPr>
                <w:spacing w:val="-9"/>
                <w:sz w:val="14"/>
              </w:rPr>
              <w:t> </w:t>
            </w:r>
            <w:r>
              <w:rPr>
                <w:sz w:val="14"/>
              </w:rPr>
              <w:t>no</w:t>
            </w:r>
            <w:r>
              <w:rPr>
                <w:spacing w:val="-9"/>
                <w:sz w:val="14"/>
              </w:rPr>
              <w:t> </w:t>
            </w:r>
            <w:r>
              <w:rPr>
                <w:sz w:val="14"/>
              </w:rPr>
              <w:t>later</w:t>
            </w:r>
            <w:r>
              <w:rPr>
                <w:spacing w:val="-7"/>
                <w:sz w:val="14"/>
              </w:rPr>
              <w:t> </w:t>
            </w:r>
            <w:r>
              <w:rPr>
                <w:sz w:val="14"/>
              </w:rPr>
              <w:t>than</w:t>
            </w:r>
            <w:r>
              <w:rPr>
                <w:spacing w:val="-9"/>
                <w:sz w:val="14"/>
              </w:rPr>
              <w:t> </w:t>
            </w:r>
            <w:r>
              <w:rPr>
                <w:sz w:val="14"/>
              </w:rPr>
              <w:t>five</w:t>
            </w:r>
            <w:r>
              <w:rPr>
                <w:spacing w:val="-9"/>
                <w:sz w:val="14"/>
              </w:rPr>
              <w:t> </w:t>
            </w:r>
            <w:r>
              <w:rPr>
                <w:spacing w:val="-4"/>
                <w:sz w:val="14"/>
              </w:rPr>
              <w:t>years</w:t>
            </w:r>
          </w:p>
        </w:tc>
        <w:tc>
          <w:tcPr>
            <w:tcW w:w="893" w:type="dxa"/>
          </w:tcPr>
          <w:p>
            <w:pPr>
              <w:pStyle w:val="TableParagraph"/>
              <w:rPr>
                <w:rFonts w:ascii="Times New Roman"/>
                <w:sz w:val="10"/>
              </w:rPr>
            </w:pPr>
          </w:p>
        </w:tc>
        <w:tc>
          <w:tcPr>
            <w:tcW w:w="1212" w:type="dxa"/>
          </w:tcPr>
          <w:p>
            <w:pPr>
              <w:pStyle w:val="TableParagraph"/>
              <w:tabs>
                <w:tab w:pos="971" w:val="left" w:leader="none"/>
              </w:tabs>
              <w:spacing w:line="151" w:lineRule="exact" w:before="5"/>
              <w:ind w:left="-1" w:right="191"/>
              <w:jc w:val="right"/>
              <w:rPr>
                <w:sz w:val="14"/>
              </w:rPr>
            </w:pPr>
            <w:r>
              <w:rPr>
                <w:spacing w:val="-10"/>
                <w:sz w:val="14"/>
              </w:rPr>
              <w:t>-</w:t>
            </w:r>
            <w:r>
              <w:rPr>
                <w:sz w:val="14"/>
              </w:rPr>
              <w:tab/>
            </w:r>
            <w:r>
              <w:rPr>
                <w:spacing w:val="-10"/>
                <w:sz w:val="14"/>
              </w:rPr>
              <w:t>-</w:t>
            </w:r>
          </w:p>
        </w:tc>
        <w:tc>
          <w:tcPr>
            <w:tcW w:w="766" w:type="dxa"/>
          </w:tcPr>
          <w:p>
            <w:pPr>
              <w:pStyle w:val="TableParagraph"/>
              <w:rPr>
                <w:rFonts w:ascii="Times New Roman"/>
                <w:sz w:val="10"/>
              </w:rPr>
            </w:pPr>
          </w:p>
        </w:tc>
        <w:tc>
          <w:tcPr>
            <w:tcW w:w="1044" w:type="dxa"/>
          </w:tcPr>
          <w:p>
            <w:pPr>
              <w:pStyle w:val="TableParagraph"/>
              <w:tabs>
                <w:tab w:pos="928" w:val="left" w:leader="none"/>
              </w:tabs>
              <w:spacing w:line="151" w:lineRule="exact" w:before="5"/>
              <w:ind w:left="-1"/>
              <w:rPr>
                <w:sz w:val="14"/>
              </w:rPr>
            </w:pPr>
            <w:r>
              <w:rPr>
                <w:spacing w:val="-10"/>
                <w:sz w:val="14"/>
              </w:rPr>
              <w:t>-</w:t>
            </w:r>
            <w:r>
              <w:rPr>
                <w:sz w:val="14"/>
              </w:rPr>
              <w:tab/>
            </w:r>
            <w:r>
              <w:rPr>
                <w:spacing w:val="-10"/>
                <w:sz w:val="14"/>
              </w:rPr>
              <w:t>-</w:t>
            </w:r>
          </w:p>
        </w:tc>
      </w:tr>
      <w:tr>
        <w:trPr>
          <w:trHeight w:val="164" w:hRule="atLeast"/>
        </w:trPr>
        <w:tc>
          <w:tcPr>
            <w:tcW w:w="5211" w:type="dxa"/>
          </w:tcPr>
          <w:p>
            <w:pPr>
              <w:pStyle w:val="TableParagraph"/>
              <w:spacing w:line="140" w:lineRule="exact" w:before="5"/>
              <w:ind w:left="734"/>
              <w:rPr>
                <w:sz w:val="14"/>
              </w:rPr>
            </w:pPr>
            <w:r>
              <w:rPr>
                <w:sz w:val="14"/>
              </w:rPr>
              <w:t>Later</w:t>
            </w:r>
            <w:r>
              <w:rPr>
                <w:spacing w:val="-7"/>
                <w:sz w:val="14"/>
              </w:rPr>
              <w:t> </w:t>
            </w:r>
            <w:r>
              <w:rPr>
                <w:sz w:val="14"/>
              </w:rPr>
              <w:t>than</w:t>
            </w:r>
            <w:r>
              <w:rPr>
                <w:spacing w:val="-8"/>
                <w:sz w:val="14"/>
              </w:rPr>
              <w:t> </w:t>
            </w:r>
            <w:r>
              <w:rPr>
                <w:sz w:val="14"/>
              </w:rPr>
              <w:t>five</w:t>
            </w:r>
            <w:r>
              <w:rPr>
                <w:spacing w:val="-9"/>
                <w:sz w:val="14"/>
              </w:rPr>
              <w:t> </w:t>
            </w:r>
            <w:r>
              <w:rPr>
                <w:spacing w:val="-2"/>
                <w:sz w:val="14"/>
              </w:rPr>
              <w:t>years</w:t>
            </w:r>
          </w:p>
        </w:tc>
        <w:tc>
          <w:tcPr>
            <w:tcW w:w="893" w:type="dxa"/>
            <w:tcBorders>
              <w:bottom w:val="single" w:sz="6" w:space="0" w:color="000000"/>
            </w:tcBorders>
          </w:tcPr>
          <w:p>
            <w:pPr>
              <w:pStyle w:val="TableParagraph"/>
              <w:rPr>
                <w:rFonts w:ascii="Times New Roman"/>
                <w:sz w:val="10"/>
              </w:rPr>
            </w:pPr>
          </w:p>
        </w:tc>
        <w:tc>
          <w:tcPr>
            <w:tcW w:w="1212" w:type="dxa"/>
            <w:tcBorders>
              <w:bottom w:val="single" w:sz="6" w:space="0" w:color="000000"/>
            </w:tcBorders>
          </w:tcPr>
          <w:p>
            <w:pPr>
              <w:pStyle w:val="TableParagraph"/>
              <w:tabs>
                <w:tab w:pos="971" w:val="left" w:leader="none"/>
              </w:tabs>
              <w:spacing w:line="142" w:lineRule="exact" w:before="5"/>
              <w:ind w:left="-1" w:right="191"/>
              <w:jc w:val="right"/>
              <w:rPr>
                <w:sz w:val="14"/>
              </w:rPr>
            </w:pPr>
            <w:r>
              <w:rPr>
                <w:spacing w:val="-10"/>
                <w:sz w:val="14"/>
              </w:rPr>
              <w:t>-</w:t>
            </w:r>
            <w:r>
              <w:rPr>
                <w:sz w:val="14"/>
              </w:rPr>
              <w:tab/>
            </w:r>
            <w:r>
              <w:rPr>
                <w:spacing w:val="-10"/>
                <w:sz w:val="14"/>
              </w:rPr>
              <w:t>-</w:t>
            </w:r>
          </w:p>
        </w:tc>
        <w:tc>
          <w:tcPr>
            <w:tcW w:w="766" w:type="dxa"/>
            <w:tcBorders>
              <w:bottom w:val="single" w:sz="6" w:space="0" w:color="000000"/>
            </w:tcBorders>
          </w:tcPr>
          <w:p>
            <w:pPr>
              <w:pStyle w:val="TableParagraph"/>
              <w:rPr>
                <w:rFonts w:ascii="Times New Roman"/>
                <w:sz w:val="10"/>
              </w:rPr>
            </w:pPr>
          </w:p>
        </w:tc>
        <w:tc>
          <w:tcPr>
            <w:tcW w:w="1044" w:type="dxa"/>
            <w:tcBorders>
              <w:bottom w:val="single" w:sz="6" w:space="0" w:color="000000"/>
            </w:tcBorders>
          </w:tcPr>
          <w:p>
            <w:pPr>
              <w:pStyle w:val="TableParagraph"/>
              <w:tabs>
                <w:tab w:pos="928" w:val="left" w:leader="none"/>
              </w:tabs>
              <w:spacing w:line="142" w:lineRule="exact" w:before="5"/>
              <w:ind w:left="-1"/>
              <w:rPr>
                <w:sz w:val="14"/>
              </w:rPr>
            </w:pPr>
            <w:r>
              <w:rPr>
                <w:spacing w:val="-10"/>
                <w:sz w:val="14"/>
              </w:rPr>
              <w:t>-</w:t>
            </w:r>
            <w:r>
              <w:rPr>
                <w:sz w:val="14"/>
              </w:rPr>
              <w:tab/>
            </w:r>
            <w:r>
              <w:rPr>
                <w:spacing w:val="-10"/>
                <w:sz w:val="14"/>
              </w:rPr>
              <w:t>-</w:t>
            </w:r>
          </w:p>
        </w:tc>
      </w:tr>
      <w:tr>
        <w:trPr>
          <w:trHeight w:val="163" w:hRule="atLeast"/>
        </w:trPr>
        <w:tc>
          <w:tcPr>
            <w:tcW w:w="5211" w:type="dxa"/>
          </w:tcPr>
          <w:p>
            <w:pPr>
              <w:pStyle w:val="TableParagraph"/>
              <w:spacing w:line="140" w:lineRule="exact" w:before="3"/>
              <w:ind w:left="734"/>
              <w:rPr>
                <w:b/>
                <w:sz w:val="14"/>
              </w:rPr>
            </w:pPr>
            <w:r>
              <w:rPr>
                <w:b/>
                <w:sz w:val="14"/>
              </w:rPr>
              <w:t>Total</w:t>
            </w:r>
            <w:r>
              <w:rPr>
                <w:b/>
                <w:spacing w:val="-10"/>
                <w:sz w:val="14"/>
              </w:rPr>
              <w:t> </w:t>
            </w:r>
            <w:r>
              <w:rPr>
                <w:b/>
                <w:sz w:val="14"/>
              </w:rPr>
              <w:t>future</w:t>
            </w:r>
            <w:r>
              <w:rPr>
                <w:b/>
                <w:spacing w:val="-10"/>
                <w:sz w:val="14"/>
              </w:rPr>
              <w:t> </w:t>
            </w:r>
            <w:r>
              <w:rPr>
                <w:b/>
                <w:sz w:val="14"/>
              </w:rPr>
              <w:t>minimum</w:t>
            </w:r>
            <w:r>
              <w:rPr>
                <w:b/>
                <w:spacing w:val="-9"/>
                <w:sz w:val="14"/>
              </w:rPr>
              <w:t> </w:t>
            </w:r>
            <w:r>
              <w:rPr>
                <w:b/>
                <w:sz w:val="14"/>
              </w:rPr>
              <w:t>lease</w:t>
            </w:r>
            <w:r>
              <w:rPr>
                <w:b/>
                <w:spacing w:val="-10"/>
                <w:sz w:val="14"/>
              </w:rPr>
              <w:t> </w:t>
            </w:r>
            <w:r>
              <w:rPr>
                <w:b/>
                <w:spacing w:val="-2"/>
                <w:sz w:val="14"/>
              </w:rPr>
              <w:t>payments</w:t>
            </w:r>
          </w:p>
        </w:tc>
        <w:tc>
          <w:tcPr>
            <w:tcW w:w="893" w:type="dxa"/>
            <w:tcBorders>
              <w:top w:val="single" w:sz="6" w:space="0" w:color="000000"/>
              <w:bottom w:val="single" w:sz="6" w:space="0" w:color="000000"/>
            </w:tcBorders>
          </w:tcPr>
          <w:p>
            <w:pPr>
              <w:pStyle w:val="TableParagraph"/>
              <w:spacing w:line="141" w:lineRule="exact"/>
              <w:jc w:val="right"/>
              <w:rPr>
                <w:b/>
                <w:sz w:val="14"/>
              </w:rPr>
            </w:pPr>
            <w:r>
              <w:rPr>
                <w:b/>
                <w:spacing w:val="-5"/>
                <w:sz w:val="14"/>
              </w:rPr>
              <w:t>791</w:t>
            </w:r>
          </w:p>
        </w:tc>
        <w:tc>
          <w:tcPr>
            <w:tcW w:w="1212" w:type="dxa"/>
            <w:tcBorders>
              <w:top w:val="single" w:sz="6" w:space="0" w:color="000000"/>
              <w:bottom w:val="single" w:sz="6" w:space="0" w:color="000000"/>
            </w:tcBorders>
          </w:tcPr>
          <w:p>
            <w:pPr>
              <w:pStyle w:val="TableParagraph"/>
              <w:spacing w:line="141" w:lineRule="exact"/>
              <w:ind w:right="200"/>
              <w:jc w:val="right"/>
              <w:rPr>
                <w:b/>
                <w:sz w:val="14"/>
              </w:rPr>
            </w:pPr>
            <w:r>
              <w:rPr>
                <w:b/>
                <w:spacing w:val="-5"/>
                <w:sz w:val="14"/>
              </w:rPr>
              <w:t>975</w:t>
            </w:r>
          </w:p>
        </w:tc>
        <w:tc>
          <w:tcPr>
            <w:tcW w:w="766" w:type="dxa"/>
            <w:tcBorders>
              <w:top w:val="single" w:sz="6" w:space="0" w:color="000000"/>
              <w:bottom w:val="single" w:sz="6" w:space="0" w:color="000000"/>
            </w:tcBorders>
          </w:tcPr>
          <w:p>
            <w:pPr>
              <w:pStyle w:val="TableParagraph"/>
              <w:spacing w:line="141" w:lineRule="exact"/>
              <w:jc w:val="right"/>
              <w:rPr>
                <w:b/>
                <w:sz w:val="14"/>
              </w:rPr>
            </w:pPr>
            <w:r>
              <w:rPr>
                <w:b/>
                <w:spacing w:val="-5"/>
                <w:sz w:val="14"/>
              </w:rPr>
              <w:t>692</w:t>
            </w:r>
          </w:p>
        </w:tc>
        <w:tc>
          <w:tcPr>
            <w:tcW w:w="1044" w:type="dxa"/>
            <w:tcBorders>
              <w:top w:val="single" w:sz="6" w:space="0" w:color="000000"/>
              <w:bottom w:val="single" w:sz="6" w:space="0" w:color="000000"/>
            </w:tcBorders>
          </w:tcPr>
          <w:p>
            <w:pPr>
              <w:pStyle w:val="TableParagraph"/>
              <w:spacing w:line="141" w:lineRule="exact"/>
              <w:ind w:right="75"/>
              <w:jc w:val="right"/>
              <w:rPr>
                <w:b/>
                <w:sz w:val="14"/>
              </w:rPr>
            </w:pPr>
            <w:r>
              <w:rPr>
                <w:b/>
                <w:spacing w:val="-5"/>
                <w:sz w:val="14"/>
              </w:rPr>
              <w:t>975</w:t>
            </w:r>
          </w:p>
        </w:tc>
      </w:tr>
      <w:tr>
        <w:trPr>
          <w:trHeight w:val="153" w:hRule="atLeast"/>
        </w:trPr>
        <w:tc>
          <w:tcPr>
            <w:tcW w:w="5211" w:type="dxa"/>
            <w:tcBorders>
              <w:bottom w:val="single" w:sz="12" w:space="0" w:color="4F81BD"/>
            </w:tcBorders>
          </w:tcPr>
          <w:p>
            <w:pPr>
              <w:pStyle w:val="TableParagraph"/>
              <w:rPr>
                <w:rFonts w:ascii="Times New Roman"/>
                <w:sz w:val="8"/>
              </w:rPr>
            </w:pPr>
          </w:p>
        </w:tc>
        <w:tc>
          <w:tcPr>
            <w:tcW w:w="893" w:type="dxa"/>
            <w:tcBorders>
              <w:top w:val="single" w:sz="6" w:space="0" w:color="000000"/>
              <w:bottom w:val="single" w:sz="12" w:space="0" w:color="4F81BD"/>
            </w:tcBorders>
          </w:tcPr>
          <w:p>
            <w:pPr>
              <w:pStyle w:val="TableParagraph"/>
              <w:rPr>
                <w:rFonts w:ascii="Times New Roman"/>
                <w:sz w:val="8"/>
              </w:rPr>
            </w:pPr>
          </w:p>
        </w:tc>
        <w:tc>
          <w:tcPr>
            <w:tcW w:w="1212" w:type="dxa"/>
            <w:tcBorders>
              <w:top w:val="single" w:sz="6" w:space="0" w:color="000000"/>
              <w:bottom w:val="single" w:sz="12" w:space="0" w:color="4F81BD"/>
            </w:tcBorders>
          </w:tcPr>
          <w:p>
            <w:pPr>
              <w:pStyle w:val="TableParagraph"/>
              <w:rPr>
                <w:rFonts w:ascii="Times New Roman"/>
                <w:sz w:val="8"/>
              </w:rPr>
            </w:pPr>
          </w:p>
        </w:tc>
        <w:tc>
          <w:tcPr>
            <w:tcW w:w="766" w:type="dxa"/>
            <w:tcBorders>
              <w:top w:val="single" w:sz="6" w:space="0" w:color="000000"/>
              <w:bottom w:val="single" w:sz="12" w:space="0" w:color="4F81BD"/>
            </w:tcBorders>
          </w:tcPr>
          <w:p>
            <w:pPr>
              <w:pStyle w:val="TableParagraph"/>
              <w:rPr>
                <w:rFonts w:ascii="Times New Roman"/>
                <w:sz w:val="8"/>
              </w:rPr>
            </w:pPr>
          </w:p>
        </w:tc>
        <w:tc>
          <w:tcPr>
            <w:tcW w:w="1044" w:type="dxa"/>
            <w:tcBorders>
              <w:top w:val="single" w:sz="6" w:space="0" w:color="000000"/>
              <w:bottom w:val="single" w:sz="12" w:space="0" w:color="4F81BD"/>
            </w:tcBorders>
          </w:tcPr>
          <w:p>
            <w:pPr>
              <w:pStyle w:val="TableParagraph"/>
              <w:rPr>
                <w:rFonts w:ascii="Times New Roman"/>
                <w:sz w:val="8"/>
              </w:rPr>
            </w:pPr>
          </w:p>
        </w:tc>
      </w:tr>
    </w:tbl>
    <w:p>
      <w:pPr>
        <w:pStyle w:val="ListParagraph"/>
        <w:numPr>
          <w:ilvl w:val="1"/>
          <w:numId w:val="13"/>
        </w:numPr>
        <w:tabs>
          <w:tab w:pos="661" w:val="left" w:leader="none"/>
        </w:tabs>
        <w:spacing w:line="240" w:lineRule="auto" w:before="140" w:after="0"/>
        <w:ind w:left="661" w:right="0" w:hanging="516"/>
        <w:jc w:val="left"/>
        <w:rPr>
          <w:b/>
          <w:color w:val="0070C0"/>
          <w:sz w:val="16"/>
        </w:rPr>
      </w:pPr>
      <w:r>
        <w:rPr>
          <w:b/>
          <w:color w:val="0070C0"/>
          <w:spacing w:val="-2"/>
          <w:w w:val="105"/>
          <w:sz w:val="16"/>
        </w:rPr>
        <w:t>Contingencies</w:t>
      </w:r>
    </w:p>
    <w:p>
      <w:pPr>
        <w:pStyle w:val="ListParagraph"/>
        <w:numPr>
          <w:ilvl w:val="0"/>
          <w:numId w:val="42"/>
        </w:numPr>
        <w:tabs>
          <w:tab w:pos="653" w:val="left" w:leader="none"/>
        </w:tabs>
        <w:spacing w:line="240" w:lineRule="auto" w:before="116" w:after="0"/>
        <w:ind w:left="653" w:right="0" w:hanging="513"/>
        <w:jc w:val="both"/>
        <w:rPr>
          <w:b/>
          <w:sz w:val="14"/>
        </w:rPr>
      </w:pPr>
      <w:r>
        <w:rPr>
          <w:b/>
          <w:spacing w:val="-2"/>
          <w:sz w:val="14"/>
        </w:rPr>
        <w:t>Contingent</w:t>
      </w:r>
      <w:r>
        <w:rPr>
          <w:b/>
          <w:spacing w:val="9"/>
          <w:sz w:val="14"/>
        </w:rPr>
        <w:t> </w:t>
      </w:r>
      <w:r>
        <w:rPr>
          <w:b/>
          <w:spacing w:val="-2"/>
          <w:sz w:val="14"/>
        </w:rPr>
        <w:t>liabilities</w:t>
      </w:r>
    </w:p>
    <w:p>
      <w:pPr>
        <w:spacing w:line="259" w:lineRule="auto" w:before="69"/>
        <w:ind w:left="656" w:right="128" w:firstLine="0"/>
        <w:jc w:val="both"/>
        <w:rPr>
          <w:sz w:val="14"/>
        </w:rPr>
      </w:pPr>
      <w:r>
        <w:rPr>
          <w:sz w:val="14"/>
        </w:rPr>
        <w:t>The</w:t>
      </w:r>
      <w:r>
        <w:rPr>
          <w:spacing w:val="-5"/>
          <w:sz w:val="14"/>
        </w:rPr>
        <w:t> </w:t>
      </w:r>
      <w:r>
        <w:rPr>
          <w:sz w:val="14"/>
        </w:rPr>
        <w:t>Group</w:t>
      </w:r>
      <w:r>
        <w:rPr>
          <w:spacing w:val="-5"/>
          <w:sz w:val="14"/>
        </w:rPr>
        <w:t> </w:t>
      </w:r>
      <w:r>
        <w:rPr>
          <w:sz w:val="14"/>
        </w:rPr>
        <w:t>discloses</w:t>
      </w:r>
      <w:r>
        <w:rPr>
          <w:spacing w:val="-4"/>
          <w:sz w:val="14"/>
        </w:rPr>
        <w:t> </w:t>
      </w:r>
      <w:r>
        <w:rPr>
          <w:sz w:val="14"/>
        </w:rPr>
        <w:t>certain</w:t>
      </w:r>
      <w:r>
        <w:rPr>
          <w:spacing w:val="-5"/>
          <w:sz w:val="14"/>
        </w:rPr>
        <w:t> </w:t>
      </w:r>
      <w:r>
        <w:rPr>
          <w:sz w:val="14"/>
        </w:rPr>
        <w:t>items</w:t>
      </w:r>
      <w:r>
        <w:rPr>
          <w:spacing w:val="-4"/>
          <w:sz w:val="14"/>
        </w:rPr>
        <w:t> </w:t>
      </w:r>
      <w:r>
        <w:rPr>
          <w:sz w:val="14"/>
        </w:rPr>
        <w:t>as</w:t>
      </w:r>
      <w:r>
        <w:rPr>
          <w:spacing w:val="-4"/>
          <w:sz w:val="14"/>
        </w:rPr>
        <w:t> </w:t>
      </w:r>
      <w:r>
        <w:rPr>
          <w:sz w:val="14"/>
        </w:rPr>
        <w:t>contingent</w:t>
      </w:r>
      <w:r>
        <w:rPr>
          <w:spacing w:val="-4"/>
          <w:sz w:val="14"/>
        </w:rPr>
        <w:t> </w:t>
      </w:r>
      <w:r>
        <w:rPr>
          <w:sz w:val="14"/>
        </w:rPr>
        <w:t>liabilities,</w:t>
      </w:r>
      <w:r>
        <w:rPr>
          <w:spacing w:val="-5"/>
          <w:sz w:val="14"/>
        </w:rPr>
        <w:t> </w:t>
      </w:r>
      <w:r>
        <w:rPr>
          <w:sz w:val="14"/>
        </w:rPr>
        <w:t>as</w:t>
      </w:r>
      <w:r>
        <w:rPr>
          <w:spacing w:val="-4"/>
          <w:sz w:val="14"/>
        </w:rPr>
        <w:t> </w:t>
      </w:r>
      <w:r>
        <w:rPr>
          <w:sz w:val="14"/>
        </w:rPr>
        <w:t>they</w:t>
      </w:r>
      <w:r>
        <w:rPr>
          <w:spacing w:val="-7"/>
          <w:sz w:val="14"/>
        </w:rPr>
        <w:t> </w:t>
      </w:r>
      <w:r>
        <w:rPr>
          <w:sz w:val="14"/>
        </w:rPr>
        <w:t>are</w:t>
      </w:r>
      <w:r>
        <w:rPr>
          <w:spacing w:val="-5"/>
          <w:sz w:val="14"/>
        </w:rPr>
        <w:t> </w:t>
      </w:r>
      <w:r>
        <w:rPr>
          <w:sz w:val="14"/>
        </w:rPr>
        <w:t>either</w:t>
      </w:r>
      <w:r>
        <w:rPr>
          <w:spacing w:val="-5"/>
          <w:sz w:val="14"/>
        </w:rPr>
        <w:t> </w:t>
      </w:r>
      <w:r>
        <w:rPr>
          <w:sz w:val="14"/>
        </w:rPr>
        <w:t>possible</w:t>
      </w:r>
      <w:r>
        <w:rPr>
          <w:spacing w:val="-5"/>
          <w:sz w:val="14"/>
        </w:rPr>
        <w:t> </w:t>
      </w:r>
      <w:r>
        <w:rPr>
          <w:sz w:val="14"/>
        </w:rPr>
        <w:t>obligations</w:t>
      </w:r>
      <w:r>
        <w:rPr>
          <w:spacing w:val="-6"/>
          <w:sz w:val="14"/>
        </w:rPr>
        <w:t> </w:t>
      </w:r>
      <w:r>
        <w:rPr>
          <w:sz w:val="14"/>
        </w:rPr>
        <w:t>whose</w:t>
      </w:r>
      <w:r>
        <w:rPr>
          <w:spacing w:val="-5"/>
          <w:sz w:val="14"/>
        </w:rPr>
        <w:t> </w:t>
      </w:r>
      <w:r>
        <w:rPr>
          <w:sz w:val="14"/>
        </w:rPr>
        <w:t>existence</w:t>
      </w:r>
      <w:r>
        <w:rPr>
          <w:spacing w:val="-6"/>
          <w:sz w:val="14"/>
        </w:rPr>
        <w:t> </w:t>
      </w:r>
      <w:r>
        <w:rPr>
          <w:sz w:val="14"/>
        </w:rPr>
        <w:t>will</w:t>
      </w:r>
      <w:r>
        <w:rPr>
          <w:spacing w:val="-3"/>
          <w:sz w:val="14"/>
        </w:rPr>
        <w:t> </w:t>
      </w:r>
      <w:r>
        <w:rPr>
          <w:sz w:val="14"/>
        </w:rPr>
        <w:t>be</w:t>
      </w:r>
      <w:r>
        <w:rPr>
          <w:spacing w:val="-6"/>
          <w:sz w:val="14"/>
        </w:rPr>
        <w:t> </w:t>
      </w:r>
      <w:r>
        <w:rPr>
          <w:sz w:val="14"/>
        </w:rPr>
        <w:t>confirmed</w:t>
      </w:r>
      <w:r>
        <w:rPr>
          <w:spacing w:val="-5"/>
          <w:sz w:val="14"/>
        </w:rPr>
        <w:t> </w:t>
      </w:r>
      <w:r>
        <w:rPr>
          <w:sz w:val="14"/>
        </w:rPr>
        <w:t>only</w:t>
      </w:r>
      <w:r>
        <w:rPr>
          <w:spacing w:val="-9"/>
          <w:sz w:val="14"/>
        </w:rPr>
        <w:t> </w:t>
      </w:r>
      <w:r>
        <w:rPr>
          <w:sz w:val="14"/>
        </w:rPr>
        <w:t>by</w:t>
      </w:r>
      <w:r>
        <w:rPr>
          <w:spacing w:val="40"/>
          <w:sz w:val="14"/>
        </w:rPr>
        <w:t> </w:t>
      </w:r>
      <w:r>
        <w:rPr>
          <w:sz w:val="14"/>
        </w:rPr>
        <w:t>uncertain future events, or they are present obligations where a transfer of economic resources is not probable or cannot be reliably</w:t>
      </w:r>
      <w:r>
        <w:rPr>
          <w:spacing w:val="40"/>
          <w:sz w:val="14"/>
        </w:rPr>
        <w:t> </w:t>
      </w:r>
      <w:r>
        <w:rPr>
          <w:sz w:val="14"/>
        </w:rPr>
        <w:t>measured. Contingent liabilities are not recognised on the balance sheet but are disclosed unless an outflow of economic resources is</w:t>
      </w:r>
      <w:r>
        <w:rPr>
          <w:spacing w:val="40"/>
          <w:sz w:val="14"/>
        </w:rPr>
        <w:t> </w:t>
      </w:r>
      <w:r>
        <w:rPr>
          <w:spacing w:val="-2"/>
          <w:sz w:val="14"/>
        </w:rPr>
        <w:t>remote.</w:t>
      </w:r>
    </w:p>
    <w:p>
      <w:pPr>
        <w:spacing w:line="240" w:lineRule="auto" w:before="21"/>
        <w:rPr>
          <w:sz w:val="14"/>
        </w:rPr>
      </w:pPr>
    </w:p>
    <w:p>
      <w:pPr>
        <w:spacing w:before="0"/>
        <w:ind w:left="656" w:right="0" w:firstLine="0"/>
        <w:jc w:val="both"/>
        <w:rPr>
          <w:b/>
          <w:sz w:val="14"/>
        </w:rPr>
      </w:pPr>
      <w:r>
        <w:rPr>
          <w:b/>
          <w:sz w:val="14"/>
        </w:rPr>
        <w:t>Building</w:t>
      </w:r>
      <w:r>
        <w:rPr>
          <w:b/>
          <w:spacing w:val="-10"/>
          <w:sz w:val="14"/>
        </w:rPr>
        <w:t> </w:t>
      </w:r>
      <w:r>
        <w:rPr>
          <w:b/>
          <w:spacing w:val="-2"/>
          <w:sz w:val="14"/>
        </w:rPr>
        <w:t>cladding</w:t>
      </w:r>
    </w:p>
    <w:p>
      <w:pPr>
        <w:spacing w:line="259" w:lineRule="auto" w:before="17"/>
        <w:ind w:left="656" w:right="131" w:firstLine="0"/>
        <w:jc w:val="both"/>
        <w:rPr>
          <w:sz w:val="14"/>
        </w:rPr>
      </w:pPr>
      <w:r>
        <w:rPr>
          <w:sz w:val="14"/>
        </w:rPr>
        <w:t>The</w:t>
      </w:r>
      <w:r>
        <w:rPr>
          <w:spacing w:val="-2"/>
          <w:sz w:val="14"/>
        </w:rPr>
        <w:t> </w:t>
      </w:r>
      <w:r>
        <w:rPr>
          <w:sz w:val="14"/>
        </w:rPr>
        <w:t>Group</w:t>
      </w:r>
      <w:r>
        <w:rPr>
          <w:spacing w:val="-1"/>
          <w:sz w:val="14"/>
        </w:rPr>
        <w:t> </w:t>
      </w:r>
      <w:r>
        <w:rPr>
          <w:sz w:val="14"/>
        </w:rPr>
        <w:t>is</w:t>
      </w:r>
      <w:r>
        <w:rPr>
          <w:spacing w:val="-1"/>
          <w:sz w:val="14"/>
        </w:rPr>
        <w:t> </w:t>
      </w:r>
      <w:r>
        <w:rPr>
          <w:sz w:val="14"/>
        </w:rPr>
        <w:t>required</w:t>
      </w:r>
      <w:r>
        <w:rPr>
          <w:spacing w:val="-1"/>
          <w:sz w:val="14"/>
        </w:rPr>
        <w:t> </w:t>
      </w:r>
      <w:r>
        <w:rPr>
          <w:sz w:val="14"/>
        </w:rPr>
        <w:t>to</w:t>
      </w:r>
      <w:r>
        <w:rPr>
          <w:spacing w:val="-2"/>
          <w:sz w:val="14"/>
        </w:rPr>
        <w:t> </w:t>
      </w:r>
      <w:r>
        <w:rPr>
          <w:sz w:val="14"/>
        </w:rPr>
        <w:t>report known</w:t>
      </w:r>
      <w:r>
        <w:rPr>
          <w:spacing w:val="-2"/>
          <w:sz w:val="14"/>
        </w:rPr>
        <w:t> </w:t>
      </w:r>
      <w:r>
        <w:rPr>
          <w:sz w:val="14"/>
        </w:rPr>
        <w:t>and suspected</w:t>
      </w:r>
      <w:r>
        <w:rPr>
          <w:spacing w:val="-1"/>
          <w:sz w:val="14"/>
        </w:rPr>
        <w:t> </w:t>
      </w:r>
      <w:r>
        <w:rPr>
          <w:sz w:val="14"/>
        </w:rPr>
        <w:t>buildings with</w:t>
      </w:r>
      <w:r>
        <w:rPr>
          <w:spacing w:val="-2"/>
          <w:sz w:val="14"/>
        </w:rPr>
        <w:t> </w:t>
      </w:r>
      <w:r>
        <w:rPr>
          <w:sz w:val="14"/>
        </w:rPr>
        <w:t>combustible cladding</w:t>
      </w:r>
      <w:r>
        <w:rPr>
          <w:spacing w:val="-1"/>
          <w:sz w:val="14"/>
        </w:rPr>
        <w:t> </w:t>
      </w:r>
      <w:r>
        <w:rPr>
          <w:sz w:val="14"/>
        </w:rPr>
        <w:t>to the</w:t>
      </w:r>
      <w:r>
        <w:rPr>
          <w:spacing w:val="-2"/>
          <w:sz w:val="14"/>
        </w:rPr>
        <w:t> </w:t>
      </w:r>
      <w:r>
        <w:rPr>
          <w:sz w:val="14"/>
        </w:rPr>
        <w:t>Western Australian</w:t>
      </w:r>
      <w:r>
        <w:rPr>
          <w:spacing w:val="-1"/>
          <w:sz w:val="14"/>
        </w:rPr>
        <w:t> </w:t>
      </w:r>
      <w:r>
        <w:rPr>
          <w:sz w:val="14"/>
        </w:rPr>
        <w:t>Department of Mines,</w:t>
      </w:r>
      <w:r>
        <w:rPr>
          <w:spacing w:val="40"/>
          <w:sz w:val="14"/>
        </w:rPr>
        <w:t> </w:t>
      </w:r>
      <w:r>
        <w:rPr>
          <w:sz w:val="14"/>
        </w:rPr>
        <w:t>Industry Regulation and Safety (DMIRS). The DMIRS classifies these suspected buildings with combustible cladding as high or low risk</w:t>
      </w:r>
      <w:r>
        <w:rPr>
          <w:spacing w:val="40"/>
          <w:sz w:val="14"/>
        </w:rPr>
        <w:t> </w:t>
      </w:r>
      <w:r>
        <w:rPr>
          <w:sz w:val="14"/>
        </w:rPr>
        <w:t>following</w:t>
      </w:r>
      <w:r>
        <w:rPr>
          <w:spacing w:val="-2"/>
          <w:sz w:val="14"/>
        </w:rPr>
        <w:t> </w:t>
      </w:r>
      <w:r>
        <w:rPr>
          <w:sz w:val="14"/>
        </w:rPr>
        <w:t>detailed</w:t>
      </w:r>
      <w:r>
        <w:rPr>
          <w:spacing w:val="-2"/>
          <w:sz w:val="14"/>
        </w:rPr>
        <w:t> </w:t>
      </w:r>
      <w:r>
        <w:rPr>
          <w:sz w:val="14"/>
        </w:rPr>
        <w:t>investigation.</w:t>
      </w:r>
      <w:r>
        <w:rPr>
          <w:spacing w:val="-2"/>
          <w:sz w:val="14"/>
        </w:rPr>
        <w:t> </w:t>
      </w:r>
      <w:r>
        <w:rPr>
          <w:sz w:val="14"/>
        </w:rPr>
        <w:t>The</w:t>
      </w:r>
      <w:r>
        <w:rPr>
          <w:spacing w:val="-2"/>
          <w:sz w:val="14"/>
        </w:rPr>
        <w:t> </w:t>
      </w:r>
      <w:r>
        <w:rPr>
          <w:sz w:val="14"/>
        </w:rPr>
        <w:t>Group</w:t>
      </w:r>
      <w:r>
        <w:rPr>
          <w:spacing w:val="-2"/>
          <w:sz w:val="14"/>
        </w:rPr>
        <w:t> </w:t>
      </w:r>
      <w:r>
        <w:rPr>
          <w:sz w:val="14"/>
        </w:rPr>
        <w:t>will</w:t>
      </w:r>
      <w:r>
        <w:rPr>
          <w:spacing w:val="-1"/>
          <w:sz w:val="14"/>
        </w:rPr>
        <w:t> </w:t>
      </w:r>
      <w:r>
        <w:rPr>
          <w:sz w:val="14"/>
        </w:rPr>
        <w:t>have</w:t>
      </w:r>
      <w:r>
        <w:rPr>
          <w:spacing w:val="-2"/>
          <w:sz w:val="14"/>
        </w:rPr>
        <w:t> </w:t>
      </w:r>
      <w:r>
        <w:rPr>
          <w:sz w:val="14"/>
        </w:rPr>
        <w:t>a</w:t>
      </w:r>
      <w:r>
        <w:rPr>
          <w:spacing w:val="-2"/>
          <w:sz w:val="14"/>
        </w:rPr>
        <w:t> </w:t>
      </w:r>
      <w:r>
        <w:rPr>
          <w:sz w:val="14"/>
        </w:rPr>
        <w:t>liability</w:t>
      </w:r>
      <w:r>
        <w:rPr>
          <w:spacing w:val="-6"/>
          <w:sz w:val="14"/>
        </w:rPr>
        <w:t> </w:t>
      </w:r>
      <w:r>
        <w:rPr>
          <w:sz w:val="14"/>
        </w:rPr>
        <w:t>in</w:t>
      </w:r>
      <w:r>
        <w:rPr>
          <w:spacing w:val="-2"/>
          <w:sz w:val="14"/>
        </w:rPr>
        <w:t> </w:t>
      </w:r>
      <w:r>
        <w:rPr>
          <w:sz w:val="14"/>
        </w:rPr>
        <w:t>respect</w:t>
      </w:r>
      <w:r>
        <w:rPr>
          <w:spacing w:val="-2"/>
          <w:sz w:val="14"/>
        </w:rPr>
        <w:t> </w:t>
      </w:r>
      <w:r>
        <w:rPr>
          <w:sz w:val="14"/>
        </w:rPr>
        <w:t>of investigation</w:t>
      </w:r>
      <w:r>
        <w:rPr>
          <w:spacing w:val="-2"/>
          <w:sz w:val="14"/>
        </w:rPr>
        <w:t> </w:t>
      </w:r>
      <w:r>
        <w:rPr>
          <w:sz w:val="14"/>
        </w:rPr>
        <w:t>or remediation</w:t>
      </w:r>
      <w:r>
        <w:rPr>
          <w:spacing w:val="-2"/>
          <w:sz w:val="14"/>
        </w:rPr>
        <w:t> </w:t>
      </w:r>
      <w:r>
        <w:rPr>
          <w:sz w:val="14"/>
        </w:rPr>
        <w:t>expenses.</w:t>
      </w:r>
    </w:p>
    <w:p>
      <w:pPr>
        <w:spacing w:line="240" w:lineRule="auto" w:before="12"/>
        <w:rPr>
          <w:sz w:val="14"/>
        </w:rPr>
      </w:pPr>
    </w:p>
    <w:p>
      <w:pPr>
        <w:spacing w:line="259" w:lineRule="auto" w:before="0"/>
        <w:ind w:left="656" w:right="126" w:hanging="1"/>
        <w:jc w:val="both"/>
        <w:rPr>
          <w:sz w:val="14"/>
        </w:rPr>
      </w:pPr>
      <w:r>
        <w:rPr>
          <w:sz w:val="14"/>
        </w:rPr>
        <w:t>At the date of this report, seven buildings have been identified as requiring remedial action; one building having high risk Aluminium</w:t>
      </w:r>
      <w:r>
        <w:rPr>
          <w:spacing w:val="40"/>
          <w:sz w:val="14"/>
        </w:rPr>
        <w:t> </w:t>
      </w:r>
      <w:r>
        <w:rPr>
          <w:sz w:val="14"/>
        </w:rPr>
        <w:t>Composite Panel (ACP) has been remediated and another building with partial high risk ACP cladding component replaced, leaving only</w:t>
      </w:r>
      <w:r>
        <w:rPr>
          <w:spacing w:val="40"/>
          <w:sz w:val="14"/>
        </w:rPr>
        <w:t> </w:t>
      </w:r>
      <w:r>
        <w:rPr>
          <w:sz w:val="14"/>
        </w:rPr>
        <w:t>medium</w:t>
      </w:r>
      <w:r>
        <w:rPr>
          <w:spacing w:val="-2"/>
          <w:sz w:val="14"/>
        </w:rPr>
        <w:t> </w:t>
      </w:r>
      <w:r>
        <w:rPr>
          <w:sz w:val="14"/>
        </w:rPr>
        <w:t>risk</w:t>
      </w:r>
      <w:r>
        <w:rPr>
          <w:spacing w:val="-1"/>
          <w:sz w:val="14"/>
        </w:rPr>
        <w:t> </w:t>
      </w:r>
      <w:r>
        <w:rPr>
          <w:sz w:val="14"/>
        </w:rPr>
        <w:t>cladding.</w:t>
      </w:r>
      <w:r>
        <w:rPr>
          <w:spacing w:val="32"/>
          <w:sz w:val="14"/>
        </w:rPr>
        <w:t> </w:t>
      </w:r>
      <w:r>
        <w:rPr>
          <w:sz w:val="14"/>
        </w:rPr>
        <w:t>Assessment</w:t>
      </w:r>
      <w:r>
        <w:rPr>
          <w:spacing w:val="-3"/>
          <w:sz w:val="14"/>
        </w:rPr>
        <w:t> </w:t>
      </w:r>
      <w:r>
        <w:rPr>
          <w:sz w:val="14"/>
        </w:rPr>
        <w:t>is</w:t>
      </w:r>
      <w:r>
        <w:rPr>
          <w:spacing w:val="-3"/>
          <w:sz w:val="14"/>
        </w:rPr>
        <w:t> </w:t>
      </w:r>
      <w:r>
        <w:rPr>
          <w:sz w:val="14"/>
        </w:rPr>
        <w:t>being</w:t>
      </w:r>
      <w:r>
        <w:rPr>
          <w:spacing w:val="-4"/>
          <w:sz w:val="14"/>
        </w:rPr>
        <w:t> </w:t>
      </w:r>
      <w:r>
        <w:rPr>
          <w:sz w:val="14"/>
        </w:rPr>
        <w:t>carried</w:t>
      </w:r>
      <w:r>
        <w:rPr>
          <w:spacing w:val="-4"/>
          <w:sz w:val="14"/>
        </w:rPr>
        <w:t> </w:t>
      </w:r>
      <w:r>
        <w:rPr>
          <w:sz w:val="14"/>
        </w:rPr>
        <w:t>out</w:t>
      </w:r>
      <w:r>
        <w:rPr>
          <w:spacing w:val="-3"/>
          <w:sz w:val="14"/>
        </w:rPr>
        <w:t> </w:t>
      </w:r>
      <w:r>
        <w:rPr>
          <w:sz w:val="14"/>
        </w:rPr>
        <w:t>on</w:t>
      </w:r>
      <w:r>
        <w:rPr>
          <w:spacing w:val="-4"/>
          <w:sz w:val="14"/>
        </w:rPr>
        <w:t> </w:t>
      </w:r>
      <w:r>
        <w:rPr>
          <w:sz w:val="14"/>
        </w:rPr>
        <w:t>the</w:t>
      </w:r>
      <w:r>
        <w:rPr>
          <w:spacing w:val="-4"/>
          <w:sz w:val="14"/>
        </w:rPr>
        <w:t> </w:t>
      </w:r>
      <w:r>
        <w:rPr>
          <w:sz w:val="14"/>
        </w:rPr>
        <w:t>remaining</w:t>
      </w:r>
      <w:r>
        <w:rPr>
          <w:spacing w:val="-4"/>
          <w:sz w:val="14"/>
        </w:rPr>
        <w:t> </w:t>
      </w:r>
      <w:r>
        <w:rPr>
          <w:sz w:val="14"/>
        </w:rPr>
        <w:t>six</w:t>
      </w:r>
      <w:r>
        <w:rPr>
          <w:spacing w:val="-6"/>
          <w:sz w:val="14"/>
        </w:rPr>
        <w:t> </w:t>
      </w:r>
      <w:r>
        <w:rPr>
          <w:sz w:val="14"/>
        </w:rPr>
        <w:t>buildings</w:t>
      </w:r>
      <w:r>
        <w:rPr>
          <w:spacing w:val="-2"/>
          <w:sz w:val="14"/>
        </w:rPr>
        <w:t> </w:t>
      </w:r>
      <w:r>
        <w:rPr>
          <w:sz w:val="14"/>
        </w:rPr>
        <w:t>having</w:t>
      </w:r>
      <w:r>
        <w:rPr>
          <w:spacing w:val="-5"/>
          <w:sz w:val="14"/>
        </w:rPr>
        <w:t> </w:t>
      </w:r>
      <w:r>
        <w:rPr>
          <w:sz w:val="14"/>
        </w:rPr>
        <w:t>low</w:t>
      </w:r>
      <w:r>
        <w:rPr>
          <w:spacing w:val="-6"/>
          <w:sz w:val="14"/>
        </w:rPr>
        <w:t> </w:t>
      </w:r>
      <w:r>
        <w:rPr>
          <w:sz w:val="14"/>
        </w:rPr>
        <w:t>to</w:t>
      </w:r>
      <w:r>
        <w:rPr>
          <w:spacing w:val="-5"/>
          <w:sz w:val="14"/>
        </w:rPr>
        <w:t> </w:t>
      </w:r>
      <w:r>
        <w:rPr>
          <w:sz w:val="14"/>
        </w:rPr>
        <w:t>medium</w:t>
      </w:r>
      <w:r>
        <w:rPr>
          <w:spacing w:val="-2"/>
          <w:sz w:val="14"/>
        </w:rPr>
        <w:t> </w:t>
      </w:r>
      <w:r>
        <w:rPr>
          <w:sz w:val="14"/>
        </w:rPr>
        <w:t>risk</w:t>
      </w:r>
      <w:r>
        <w:rPr>
          <w:spacing w:val="-3"/>
          <w:sz w:val="14"/>
        </w:rPr>
        <w:t> </w:t>
      </w:r>
      <w:r>
        <w:rPr>
          <w:sz w:val="14"/>
        </w:rPr>
        <w:t>ACP</w:t>
      </w:r>
      <w:r>
        <w:rPr>
          <w:spacing w:val="-3"/>
          <w:sz w:val="14"/>
        </w:rPr>
        <w:t> </w:t>
      </w:r>
      <w:r>
        <w:rPr>
          <w:sz w:val="14"/>
        </w:rPr>
        <w:t>cladding.</w:t>
      </w:r>
      <w:r>
        <w:rPr>
          <w:spacing w:val="-5"/>
          <w:sz w:val="14"/>
        </w:rPr>
        <w:t> </w:t>
      </w:r>
      <w:r>
        <w:rPr>
          <w:sz w:val="14"/>
        </w:rPr>
        <w:t>Depending</w:t>
      </w:r>
      <w:r>
        <w:rPr>
          <w:spacing w:val="40"/>
          <w:sz w:val="14"/>
        </w:rPr>
        <w:t> </w:t>
      </w:r>
      <w:r>
        <w:rPr>
          <w:sz w:val="14"/>
        </w:rPr>
        <w:t>on</w:t>
      </w:r>
      <w:r>
        <w:rPr>
          <w:spacing w:val="-2"/>
          <w:sz w:val="14"/>
        </w:rPr>
        <w:t> </w:t>
      </w:r>
      <w:r>
        <w:rPr>
          <w:sz w:val="14"/>
        </w:rPr>
        <w:t>the</w:t>
      </w:r>
      <w:r>
        <w:rPr>
          <w:spacing w:val="-2"/>
          <w:sz w:val="14"/>
        </w:rPr>
        <w:t> </w:t>
      </w:r>
      <w:r>
        <w:rPr>
          <w:sz w:val="14"/>
        </w:rPr>
        <w:t>replacement</w:t>
      </w:r>
      <w:r>
        <w:rPr>
          <w:spacing w:val="-1"/>
          <w:sz w:val="14"/>
        </w:rPr>
        <w:t> </w:t>
      </w:r>
      <w:r>
        <w:rPr>
          <w:sz w:val="14"/>
        </w:rPr>
        <w:t>strategy,</w:t>
      </w:r>
      <w:r>
        <w:rPr>
          <w:spacing w:val="-1"/>
          <w:sz w:val="14"/>
        </w:rPr>
        <w:t> </w:t>
      </w:r>
      <w:r>
        <w:rPr>
          <w:sz w:val="14"/>
        </w:rPr>
        <w:t>the</w:t>
      </w:r>
      <w:r>
        <w:rPr>
          <w:spacing w:val="-2"/>
          <w:sz w:val="14"/>
        </w:rPr>
        <w:t> </w:t>
      </w:r>
      <w:r>
        <w:rPr>
          <w:sz w:val="14"/>
        </w:rPr>
        <w:t>estimated</w:t>
      </w:r>
      <w:r>
        <w:rPr>
          <w:spacing w:val="-2"/>
          <w:sz w:val="14"/>
        </w:rPr>
        <w:t> </w:t>
      </w:r>
      <w:r>
        <w:rPr>
          <w:sz w:val="14"/>
        </w:rPr>
        <w:t>cost</w:t>
      </w:r>
      <w:r>
        <w:rPr>
          <w:spacing w:val="-1"/>
          <w:sz w:val="14"/>
        </w:rPr>
        <w:t> </w:t>
      </w:r>
      <w:r>
        <w:rPr>
          <w:sz w:val="14"/>
        </w:rPr>
        <w:t>are</w:t>
      </w:r>
      <w:r>
        <w:rPr>
          <w:spacing w:val="-2"/>
          <w:sz w:val="14"/>
        </w:rPr>
        <w:t> </w:t>
      </w:r>
      <w:r>
        <w:rPr>
          <w:sz w:val="14"/>
        </w:rPr>
        <w:t>between</w:t>
      </w:r>
      <w:r>
        <w:rPr>
          <w:spacing w:val="-1"/>
          <w:sz w:val="14"/>
        </w:rPr>
        <w:t> </w:t>
      </w:r>
      <w:r>
        <w:rPr>
          <w:sz w:val="14"/>
        </w:rPr>
        <w:t>$3.2</w:t>
      </w:r>
      <w:r>
        <w:rPr>
          <w:spacing w:val="-2"/>
          <w:sz w:val="14"/>
        </w:rPr>
        <w:t> </w:t>
      </w:r>
      <w:r>
        <w:rPr>
          <w:sz w:val="14"/>
        </w:rPr>
        <w:t>million</w:t>
      </w:r>
      <w:r>
        <w:rPr>
          <w:spacing w:val="-2"/>
          <w:sz w:val="14"/>
        </w:rPr>
        <w:t> </w:t>
      </w:r>
      <w:r>
        <w:rPr>
          <w:sz w:val="14"/>
        </w:rPr>
        <w:t>for a</w:t>
      </w:r>
      <w:r>
        <w:rPr>
          <w:spacing w:val="-2"/>
          <w:sz w:val="14"/>
        </w:rPr>
        <w:t> </w:t>
      </w:r>
      <w:r>
        <w:rPr>
          <w:sz w:val="14"/>
        </w:rPr>
        <w:t>partial</w:t>
      </w:r>
      <w:r>
        <w:rPr>
          <w:spacing w:val="-2"/>
          <w:sz w:val="14"/>
        </w:rPr>
        <w:t> </w:t>
      </w:r>
      <w:r>
        <w:rPr>
          <w:sz w:val="14"/>
        </w:rPr>
        <w:t>ACP</w:t>
      </w:r>
      <w:r>
        <w:rPr>
          <w:spacing w:val="-1"/>
          <w:sz w:val="14"/>
        </w:rPr>
        <w:t> </w:t>
      </w:r>
      <w:r>
        <w:rPr>
          <w:sz w:val="14"/>
        </w:rPr>
        <w:t>replacement</w:t>
      </w:r>
      <w:r>
        <w:rPr>
          <w:spacing w:val="-2"/>
          <w:sz w:val="14"/>
        </w:rPr>
        <w:t> </w:t>
      </w:r>
      <w:r>
        <w:rPr>
          <w:sz w:val="14"/>
        </w:rPr>
        <w:t>strategy</w:t>
      </w:r>
      <w:r>
        <w:rPr>
          <w:spacing w:val="-4"/>
          <w:sz w:val="14"/>
        </w:rPr>
        <w:t> </w:t>
      </w:r>
      <w:r>
        <w:rPr>
          <w:sz w:val="14"/>
        </w:rPr>
        <w:t>and</w:t>
      </w:r>
      <w:r>
        <w:rPr>
          <w:spacing w:val="-3"/>
          <w:sz w:val="14"/>
        </w:rPr>
        <w:t> </w:t>
      </w:r>
      <w:r>
        <w:rPr>
          <w:sz w:val="14"/>
        </w:rPr>
        <w:t>$13.7</w:t>
      </w:r>
      <w:r>
        <w:rPr>
          <w:spacing w:val="-2"/>
          <w:sz w:val="14"/>
        </w:rPr>
        <w:t> </w:t>
      </w:r>
      <w:r>
        <w:rPr>
          <w:sz w:val="14"/>
        </w:rPr>
        <w:t>million</w:t>
      </w:r>
      <w:r>
        <w:rPr>
          <w:spacing w:val="-3"/>
          <w:sz w:val="14"/>
        </w:rPr>
        <w:t> </w:t>
      </w:r>
      <w:r>
        <w:rPr>
          <w:sz w:val="14"/>
        </w:rPr>
        <w:t>for a</w:t>
      </w:r>
      <w:r>
        <w:rPr>
          <w:spacing w:val="-3"/>
          <w:sz w:val="14"/>
        </w:rPr>
        <w:t> </w:t>
      </w:r>
      <w:r>
        <w:rPr>
          <w:sz w:val="14"/>
        </w:rPr>
        <w:t>full</w:t>
      </w:r>
      <w:r>
        <w:rPr>
          <w:spacing w:val="40"/>
          <w:sz w:val="14"/>
        </w:rPr>
        <w:t> </w:t>
      </w:r>
      <w:r>
        <w:rPr>
          <w:sz w:val="14"/>
        </w:rPr>
        <w:t>ACP replacement strategy. There is no externally or statutorily imposed timeframe for completion of ACP remediation, other than</w:t>
      </w:r>
      <w:r>
        <w:rPr>
          <w:spacing w:val="40"/>
          <w:sz w:val="14"/>
        </w:rPr>
        <w:t> </w:t>
      </w:r>
      <w:r>
        <w:rPr>
          <w:sz w:val="14"/>
        </w:rPr>
        <w:t>demonstrating that activities are underway.</w:t>
      </w:r>
    </w:p>
    <w:p>
      <w:pPr>
        <w:spacing w:line="240" w:lineRule="auto" w:before="13"/>
        <w:rPr>
          <w:sz w:val="14"/>
        </w:rPr>
      </w:pPr>
    </w:p>
    <w:p>
      <w:pPr>
        <w:spacing w:before="1"/>
        <w:ind w:left="657" w:right="0" w:firstLine="0"/>
        <w:jc w:val="both"/>
        <w:rPr>
          <w:b/>
          <w:sz w:val="14"/>
        </w:rPr>
      </w:pPr>
      <w:r>
        <w:rPr>
          <w:b/>
          <w:spacing w:val="-2"/>
          <w:sz w:val="14"/>
        </w:rPr>
        <w:t>Employee</w:t>
      </w:r>
      <w:r>
        <w:rPr>
          <w:b/>
          <w:sz w:val="14"/>
        </w:rPr>
        <w:t> </w:t>
      </w:r>
      <w:r>
        <w:rPr>
          <w:b/>
          <w:spacing w:val="-2"/>
          <w:sz w:val="14"/>
        </w:rPr>
        <w:t>benefits</w:t>
      </w:r>
    </w:p>
    <w:p>
      <w:pPr>
        <w:spacing w:line="259" w:lineRule="auto" w:before="17"/>
        <w:ind w:left="657" w:right="131" w:firstLine="0"/>
        <w:jc w:val="both"/>
        <w:rPr>
          <w:sz w:val="14"/>
        </w:rPr>
      </w:pPr>
      <w:r>
        <w:rPr>
          <w:sz w:val="14"/>
        </w:rPr>
        <w:t>The Group has a significant workforce, including casual staff, and the industrial instrument framework and legislation in which employee</w:t>
      </w:r>
      <w:r>
        <w:rPr>
          <w:spacing w:val="40"/>
          <w:sz w:val="14"/>
        </w:rPr>
        <w:t> </w:t>
      </w:r>
      <w:r>
        <w:rPr>
          <w:sz w:val="14"/>
        </w:rPr>
        <w:t>benefits are determined and applied is complex. The Group has a program of review over the application of its instruments and engages</w:t>
      </w:r>
      <w:r>
        <w:rPr>
          <w:spacing w:val="40"/>
          <w:sz w:val="14"/>
        </w:rPr>
        <w:t> </w:t>
      </w:r>
      <w:r>
        <w:rPr>
          <w:sz w:val="14"/>
        </w:rPr>
        <w:t>external specialist advice, where deemed appropriate.</w:t>
      </w:r>
    </w:p>
    <w:p>
      <w:pPr>
        <w:spacing w:line="240" w:lineRule="auto" w:before="11"/>
        <w:rPr>
          <w:sz w:val="14"/>
        </w:rPr>
      </w:pPr>
    </w:p>
    <w:p>
      <w:pPr>
        <w:spacing w:line="259" w:lineRule="auto" w:before="1"/>
        <w:ind w:left="657" w:right="130" w:firstLine="0"/>
        <w:jc w:val="both"/>
        <w:rPr>
          <w:sz w:val="14"/>
        </w:rPr>
      </w:pPr>
      <w:r>
        <w:rPr>
          <w:sz w:val="14"/>
        </w:rPr>
        <w:t>Given inconsistent application of historical industrial agreements across sectors, as well as evolving legislative and interpretations and</w:t>
      </w:r>
      <w:r>
        <w:rPr>
          <w:spacing w:val="40"/>
          <w:sz w:val="14"/>
        </w:rPr>
        <w:t> </w:t>
      </w:r>
      <w:r>
        <w:rPr>
          <w:sz w:val="14"/>
        </w:rPr>
        <w:t>ongoing industry</w:t>
      </w:r>
      <w:r>
        <w:rPr>
          <w:spacing w:val="-1"/>
          <w:sz w:val="14"/>
        </w:rPr>
        <w:t> </w:t>
      </w:r>
      <w:r>
        <w:rPr>
          <w:sz w:val="14"/>
        </w:rPr>
        <w:t>investigations, the Group continues to monitor and review</w:t>
      </w:r>
      <w:r>
        <w:rPr>
          <w:spacing w:val="-1"/>
          <w:sz w:val="14"/>
        </w:rPr>
        <w:t> </w:t>
      </w:r>
      <w:r>
        <w:rPr>
          <w:sz w:val="14"/>
        </w:rPr>
        <w:t>its application of employee benefits. At the date of this report,</w:t>
      </w:r>
      <w:r>
        <w:rPr>
          <w:spacing w:val="40"/>
          <w:sz w:val="14"/>
        </w:rPr>
        <w:t> </w:t>
      </w:r>
      <w:r>
        <w:rPr>
          <w:sz w:val="14"/>
        </w:rPr>
        <w:t>known</w:t>
      </w:r>
      <w:r>
        <w:rPr>
          <w:spacing w:val="-7"/>
          <w:sz w:val="14"/>
        </w:rPr>
        <w:t> </w:t>
      </w:r>
      <w:r>
        <w:rPr>
          <w:sz w:val="14"/>
        </w:rPr>
        <w:t>outcomes</w:t>
      </w:r>
      <w:r>
        <w:rPr>
          <w:spacing w:val="-6"/>
          <w:sz w:val="14"/>
        </w:rPr>
        <w:t> </w:t>
      </w:r>
      <w:r>
        <w:rPr>
          <w:sz w:val="14"/>
        </w:rPr>
        <w:t>have</w:t>
      </w:r>
      <w:r>
        <w:rPr>
          <w:spacing w:val="-7"/>
          <w:sz w:val="14"/>
        </w:rPr>
        <w:t> </w:t>
      </w:r>
      <w:r>
        <w:rPr>
          <w:sz w:val="14"/>
        </w:rPr>
        <w:t>been</w:t>
      </w:r>
      <w:r>
        <w:rPr>
          <w:spacing w:val="-7"/>
          <w:sz w:val="14"/>
        </w:rPr>
        <w:t> </w:t>
      </w:r>
      <w:r>
        <w:rPr>
          <w:sz w:val="14"/>
        </w:rPr>
        <w:t>reflected</w:t>
      </w:r>
      <w:r>
        <w:rPr>
          <w:spacing w:val="-7"/>
          <w:sz w:val="14"/>
        </w:rPr>
        <w:t> </w:t>
      </w:r>
      <w:r>
        <w:rPr>
          <w:sz w:val="14"/>
        </w:rPr>
        <w:t>in</w:t>
      </w:r>
      <w:r>
        <w:rPr>
          <w:spacing w:val="-7"/>
          <w:sz w:val="14"/>
        </w:rPr>
        <w:t> </w:t>
      </w:r>
      <w:r>
        <w:rPr>
          <w:sz w:val="14"/>
        </w:rPr>
        <w:t>the</w:t>
      </w:r>
      <w:r>
        <w:rPr>
          <w:spacing w:val="-7"/>
          <w:sz w:val="14"/>
        </w:rPr>
        <w:t> </w:t>
      </w:r>
      <w:r>
        <w:rPr>
          <w:sz w:val="14"/>
        </w:rPr>
        <w:t>financial</w:t>
      </w:r>
      <w:r>
        <w:rPr>
          <w:spacing w:val="-5"/>
          <w:sz w:val="14"/>
        </w:rPr>
        <w:t> </w:t>
      </w:r>
      <w:r>
        <w:rPr>
          <w:sz w:val="14"/>
        </w:rPr>
        <w:t>statements.</w:t>
      </w:r>
      <w:r>
        <w:rPr>
          <w:spacing w:val="-6"/>
          <w:sz w:val="14"/>
        </w:rPr>
        <w:t> </w:t>
      </w:r>
      <w:r>
        <w:rPr>
          <w:sz w:val="14"/>
        </w:rPr>
        <w:t>The</w:t>
      </w:r>
      <w:r>
        <w:rPr>
          <w:spacing w:val="-7"/>
          <w:sz w:val="14"/>
        </w:rPr>
        <w:t> </w:t>
      </w:r>
      <w:r>
        <w:rPr>
          <w:sz w:val="14"/>
        </w:rPr>
        <w:t>outcomes</w:t>
      </w:r>
      <w:r>
        <w:rPr>
          <w:spacing w:val="-6"/>
          <w:sz w:val="14"/>
        </w:rPr>
        <w:t> </w:t>
      </w:r>
      <w:r>
        <w:rPr>
          <w:sz w:val="14"/>
        </w:rPr>
        <w:t>and</w:t>
      </w:r>
      <w:r>
        <w:rPr>
          <w:spacing w:val="-7"/>
          <w:sz w:val="14"/>
        </w:rPr>
        <w:t> </w:t>
      </w:r>
      <w:r>
        <w:rPr>
          <w:sz w:val="14"/>
        </w:rPr>
        <w:t>possible</w:t>
      </w:r>
      <w:r>
        <w:rPr>
          <w:spacing w:val="-7"/>
          <w:sz w:val="14"/>
        </w:rPr>
        <w:t> </w:t>
      </w:r>
      <w:r>
        <w:rPr>
          <w:sz w:val="14"/>
        </w:rPr>
        <w:t>financial</w:t>
      </w:r>
      <w:r>
        <w:rPr>
          <w:spacing w:val="-4"/>
          <w:sz w:val="14"/>
        </w:rPr>
        <w:t> </w:t>
      </w:r>
      <w:r>
        <w:rPr>
          <w:sz w:val="14"/>
        </w:rPr>
        <w:t>impact</w:t>
      </w:r>
      <w:r>
        <w:rPr>
          <w:spacing w:val="-6"/>
          <w:sz w:val="14"/>
        </w:rPr>
        <w:t> </w:t>
      </w:r>
      <w:r>
        <w:rPr>
          <w:sz w:val="14"/>
        </w:rPr>
        <w:t>of</w:t>
      </w:r>
      <w:r>
        <w:rPr>
          <w:spacing w:val="-3"/>
          <w:sz w:val="14"/>
        </w:rPr>
        <w:t> </w:t>
      </w:r>
      <w:r>
        <w:rPr>
          <w:sz w:val="14"/>
        </w:rPr>
        <w:t>ongoing</w:t>
      </w:r>
      <w:r>
        <w:rPr>
          <w:spacing w:val="-7"/>
          <w:sz w:val="14"/>
        </w:rPr>
        <w:t> </w:t>
      </w:r>
      <w:r>
        <w:rPr>
          <w:sz w:val="14"/>
        </w:rPr>
        <w:t>reviews</w:t>
      </w:r>
      <w:r>
        <w:rPr>
          <w:spacing w:val="-4"/>
          <w:sz w:val="14"/>
        </w:rPr>
        <w:t> </w:t>
      </w:r>
      <w:r>
        <w:rPr>
          <w:sz w:val="14"/>
        </w:rPr>
        <w:t>cannot</w:t>
      </w:r>
      <w:r>
        <w:rPr>
          <w:spacing w:val="-6"/>
          <w:sz w:val="14"/>
        </w:rPr>
        <w:t> </w:t>
      </w:r>
      <w:r>
        <w:rPr>
          <w:sz w:val="14"/>
        </w:rPr>
        <w:t>be</w:t>
      </w:r>
      <w:r>
        <w:rPr>
          <w:spacing w:val="40"/>
          <w:sz w:val="14"/>
        </w:rPr>
        <w:t> </w:t>
      </w:r>
      <w:r>
        <w:rPr>
          <w:sz w:val="14"/>
        </w:rPr>
        <w:t>reliably determined at this time.</w:t>
      </w:r>
    </w:p>
    <w:p>
      <w:pPr>
        <w:spacing w:line="240" w:lineRule="auto" w:before="13"/>
        <w:rPr>
          <w:sz w:val="14"/>
        </w:rPr>
      </w:pPr>
    </w:p>
    <w:p>
      <w:pPr>
        <w:spacing w:before="1"/>
        <w:ind w:left="657" w:right="0" w:firstLine="0"/>
        <w:jc w:val="left"/>
        <w:rPr>
          <w:b/>
          <w:sz w:val="14"/>
        </w:rPr>
      </w:pPr>
      <w:r>
        <w:rPr>
          <w:b/>
          <w:spacing w:val="-2"/>
          <w:sz w:val="14"/>
        </w:rPr>
        <w:t>Other</w:t>
      </w:r>
    </w:p>
    <w:p>
      <w:pPr>
        <w:spacing w:line="259" w:lineRule="auto" w:before="17"/>
        <w:ind w:left="657" w:right="0" w:firstLine="0"/>
        <w:jc w:val="left"/>
        <w:rPr>
          <w:sz w:val="14"/>
        </w:rPr>
      </w:pPr>
      <w:r>
        <w:rPr>
          <w:sz w:val="14"/>
        </w:rPr>
        <w:t>As at 31</w:t>
      </w:r>
      <w:r>
        <w:rPr>
          <w:spacing w:val="-1"/>
          <w:sz w:val="14"/>
        </w:rPr>
        <w:t> </w:t>
      </w:r>
      <w:r>
        <w:rPr>
          <w:sz w:val="14"/>
        </w:rPr>
        <w:t>December 2020 or at the</w:t>
      </w:r>
      <w:r>
        <w:rPr>
          <w:spacing w:val="-1"/>
          <w:sz w:val="14"/>
        </w:rPr>
        <w:t> </w:t>
      </w:r>
      <w:r>
        <w:rPr>
          <w:sz w:val="14"/>
        </w:rPr>
        <w:t>date</w:t>
      </w:r>
      <w:r>
        <w:rPr>
          <w:spacing w:val="-1"/>
          <w:sz w:val="14"/>
        </w:rPr>
        <w:t> </w:t>
      </w:r>
      <w:r>
        <w:rPr>
          <w:sz w:val="14"/>
        </w:rPr>
        <w:t>of this report, there are no</w:t>
      </w:r>
      <w:r>
        <w:rPr>
          <w:spacing w:val="-1"/>
          <w:sz w:val="14"/>
        </w:rPr>
        <w:t> </w:t>
      </w:r>
      <w:r>
        <w:rPr>
          <w:sz w:val="14"/>
        </w:rPr>
        <w:t>other known</w:t>
      </w:r>
      <w:r>
        <w:rPr>
          <w:spacing w:val="-1"/>
          <w:sz w:val="14"/>
        </w:rPr>
        <w:t> </w:t>
      </w:r>
      <w:r>
        <w:rPr>
          <w:sz w:val="14"/>
        </w:rPr>
        <w:t>contingent liabilities which are</w:t>
      </w:r>
      <w:r>
        <w:rPr>
          <w:spacing w:val="-1"/>
          <w:sz w:val="14"/>
        </w:rPr>
        <w:t> </w:t>
      </w:r>
      <w:r>
        <w:rPr>
          <w:sz w:val="14"/>
        </w:rPr>
        <w:t>likely</w:t>
      </w:r>
      <w:r>
        <w:rPr>
          <w:spacing w:val="-2"/>
          <w:sz w:val="14"/>
        </w:rPr>
        <w:t> </w:t>
      </w:r>
      <w:r>
        <w:rPr>
          <w:sz w:val="14"/>
        </w:rPr>
        <w:t>to</w:t>
      </w:r>
      <w:r>
        <w:rPr>
          <w:spacing w:val="-1"/>
          <w:sz w:val="14"/>
        </w:rPr>
        <w:t> </w:t>
      </w:r>
      <w:r>
        <w:rPr>
          <w:sz w:val="14"/>
        </w:rPr>
        <w:t>materially</w:t>
      </w:r>
      <w:r>
        <w:rPr>
          <w:spacing w:val="-2"/>
          <w:sz w:val="14"/>
        </w:rPr>
        <w:t> </w:t>
      </w:r>
      <w:r>
        <w:rPr>
          <w:sz w:val="14"/>
        </w:rPr>
        <w:t>affect the</w:t>
      </w:r>
      <w:r>
        <w:rPr>
          <w:spacing w:val="40"/>
          <w:sz w:val="14"/>
        </w:rPr>
        <w:t> </w:t>
      </w:r>
      <w:r>
        <w:rPr>
          <w:sz w:val="14"/>
        </w:rPr>
        <w:t>Group’s financial position.</w:t>
      </w:r>
    </w:p>
    <w:p>
      <w:pPr>
        <w:pStyle w:val="ListParagraph"/>
        <w:numPr>
          <w:ilvl w:val="0"/>
          <w:numId w:val="42"/>
        </w:numPr>
        <w:tabs>
          <w:tab w:pos="654" w:val="left" w:leader="none"/>
        </w:tabs>
        <w:spacing w:line="240" w:lineRule="auto" w:before="101" w:after="0"/>
        <w:ind w:left="654" w:right="0" w:hanging="514"/>
        <w:jc w:val="both"/>
        <w:rPr>
          <w:b/>
          <w:sz w:val="14"/>
        </w:rPr>
      </w:pPr>
      <w:r>
        <w:rPr>
          <w:b/>
          <w:spacing w:val="-2"/>
          <w:sz w:val="14"/>
        </w:rPr>
        <w:t>Contingent</w:t>
      </w:r>
      <w:r>
        <w:rPr>
          <w:b/>
          <w:spacing w:val="9"/>
          <w:sz w:val="14"/>
        </w:rPr>
        <w:t> </w:t>
      </w:r>
      <w:r>
        <w:rPr>
          <w:b/>
          <w:spacing w:val="-2"/>
          <w:sz w:val="14"/>
        </w:rPr>
        <w:t>assets</w:t>
      </w:r>
    </w:p>
    <w:p>
      <w:pPr>
        <w:spacing w:line="259" w:lineRule="auto" w:before="80"/>
        <w:ind w:left="657" w:right="35" w:firstLine="0"/>
        <w:jc w:val="left"/>
        <w:rPr>
          <w:sz w:val="14"/>
        </w:rPr>
      </w:pPr>
      <w:r>
        <w:rPr>
          <w:sz w:val="14"/>
        </w:rPr>
        <w:t>Contingent assets exist in relation to funds bequeathed to the Group through a number of wills that are pending at year end. The amount</w:t>
      </w:r>
      <w:r>
        <w:rPr>
          <w:spacing w:val="40"/>
          <w:sz w:val="14"/>
        </w:rPr>
        <w:t> </w:t>
      </w:r>
      <w:r>
        <w:rPr>
          <w:sz w:val="14"/>
        </w:rPr>
        <w:t>and timing of the future inflow</w:t>
      </w:r>
      <w:r>
        <w:rPr>
          <w:spacing w:val="-3"/>
          <w:sz w:val="14"/>
        </w:rPr>
        <w:t> </w:t>
      </w:r>
      <w:r>
        <w:rPr>
          <w:sz w:val="14"/>
        </w:rPr>
        <w:t>of economic benefits cannot be reasonably</w:t>
      </w:r>
      <w:r>
        <w:rPr>
          <w:spacing w:val="-4"/>
          <w:sz w:val="14"/>
        </w:rPr>
        <w:t> </w:t>
      </w:r>
      <w:r>
        <w:rPr>
          <w:sz w:val="14"/>
        </w:rPr>
        <w:t>determined.</w:t>
      </w:r>
    </w:p>
    <w:p>
      <w:pPr>
        <w:spacing w:line="240" w:lineRule="auto" w:before="12"/>
        <w:rPr>
          <w:sz w:val="14"/>
        </w:rPr>
      </w:pPr>
    </w:p>
    <w:p>
      <w:pPr>
        <w:spacing w:line="259" w:lineRule="auto" w:before="0"/>
        <w:ind w:left="657" w:right="0" w:firstLine="0"/>
        <w:jc w:val="left"/>
        <w:rPr>
          <w:sz w:val="14"/>
        </w:rPr>
      </w:pPr>
      <w:r>
        <w:rPr>
          <w:sz w:val="14"/>
        </w:rPr>
        <w:t>As at 31 December 2020 or at the date of this report, there are no other known contingent assets which are likely to materially affect the</w:t>
      </w:r>
      <w:r>
        <w:rPr>
          <w:spacing w:val="40"/>
          <w:sz w:val="14"/>
        </w:rPr>
        <w:t> </w:t>
      </w:r>
      <w:r>
        <w:rPr>
          <w:sz w:val="14"/>
        </w:rPr>
        <w:t>University’s financial position.</w:t>
      </w:r>
    </w:p>
    <w:p>
      <w:pPr>
        <w:spacing w:after="0" w:line="259" w:lineRule="auto"/>
        <w:jc w:val="left"/>
        <w:rPr>
          <w:sz w:val="14"/>
        </w:rPr>
        <w:sectPr>
          <w:headerReference w:type="even" r:id="rId118"/>
          <w:headerReference w:type="default" r:id="rId119"/>
          <w:pgSz w:w="11910" w:h="16840"/>
          <w:pgMar w:header="468" w:footer="0" w:top="1580" w:bottom="280" w:left="1020" w:right="1540"/>
          <w:pgNumType w:start="110"/>
        </w:sectPr>
      </w:pPr>
    </w:p>
    <w:p>
      <w:pPr>
        <w:spacing w:before="92"/>
        <w:ind w:left="150" w:right="0" w:firstLine="0"/>
        <w:jc w:val="left"/>
        <w:rPr>
          <w:sz w:val="20"/>
        </w:rPr>
      </w:pPr>
      <w:r>
        <w:rPr/>
        <mc:AlternateContent>
          <mc:Choice Requires="wps">
            <w:drawing>
              <wp:anchor distT="0" distB="0" distL="0" distR="0" allowOverlap="1" layoutInCell="1" locked="0" behindDoc="0" simplePos="0" relativeHeight="15908864">
                <wp:simplePos x="0" y="0"/>
                <wp:positionH relativeFrom="page">
                  <wp:posOffset>7111289</wp:posOffset>
                </wp:positionH>
                <wp:positionV relativeFrom="page">
                  <wp:posOffset>8040241</wp:posOffset>
                </wp:positionV>
                <wp:extent cx="177800" cy="1945005"/>
                <wp:effectExtent l="0" t="0" r="0" b="0"/>
                <wp:wrapNone/>
                <wp:docPr id="984" name="Textbox 984"/>
                <wp:cNvGraphicFramePr>
                  <a:graphicFrameLocks/>
                </wp:cNvGraphicFramePr>
                <a:graphic>
                  <a:graphicData uri="http://schemas.microsoft.com/office/word/2010/wordprocessingShape">
                    <wps:wsp>
                      <wps:cNvPr id="984" name="Textbox 984"/>
                      <wps:cNvSpPr txBox="1"/>
                      <wps:spPr>
                        <a:xfrm>
                          <a:off x="0" y="0"/>
                          <a:ext cx="177800" cy="194500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633.089905pt;width:14pt;height:153.15pt;mso-position-horizontal-relative:page;mso-position-vertical-relative:page;z-index:15908864" type="#_x0000_t202" id="docshape672"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v:textbox>
                <w10:wrap type="none"/>
              </v:shape>
            </w:pict>
          </mc:Fallback>
        </mc:AlternateContent>
      </w:r>
      <w:r>
        <w:rPr>
          <w:color w:val="0070C0"/>
          <w:w w:val="105"/>
          <w:sz w:val="20"/>
        </w:rPr>
        <w:t>NOTES</w:t>
      </w:r>
      <w:r>
        <w:rPr>
          <w:color w:val="0070C0"/>
          <w:spacing w:val="-15"/>
          <w:w w:val="105"/>
          <w:sz w:val="20"/>
        </w:rPr>
        <w:t> </w:t>
      </w:r>
      <w:r>
        <w:rPr>
          <w:color w:val="0070C0"/>
          <w:w w:val="105"/>
          <w:sz w:val="20"/>
        </w:rPr>
        <w:t>TO</w:t>
      </w:r>
      <w:r>
        <w:rPr>
          <w:color w:val="0070C0"/>
          <w:spacing w:val="-15"/>
          <w:w w:val="105"/>
          <w:sz w:val="20"/>
        </w:rPr>
        <w:t> </w:t>
      </w:r>
      <w:r>
        <w:rPr>
          <w:color w:val="0070C0"/>
          <w:w w:val="105"/>
          <w:sz w:val="20"/>
        </w:rPr>
        <w:t>THE</w:t>
      </w:r>
      <w:r>
        <w:rPr>
          <w:color w:val="0070C0"/>
          <w:spacing w:val="-14"/>
          <w:w w:val="105"/>
          <w:sz w:val="20"/>
        </w:rPr>
        <w:t> </w:t>
      </w:r>
      <w:r>
        <w:rPr>
          <w:color w:val="0070C0"/>
          <w:w w:val="105"/>
          <w:sz w:val="20"/>
        </w:rPr>
        <w:t>FINANCIAL</w:t>
      </w:r>
      <w:r>
        <w:rPr>
          <w:color w:val="0070C0"/>
          <w:spacing w:val="-15"/>
          <w:w w:val="105"/>
          <w:sz w:val="20"/>
        </w:rPr>
        <w:t> </w:t>
      </w:r>
      <w:r>
        <w:rPr>
          <w:color w:val="0070C0"/>
          <w:spacing w:val="-2"/>
          <w:w w:val="105"/>
          <w:sz w:val="20"/>
        </w:rPr>
        <w:t>STATEMENTS</w:t>
      </w:r>
    </w:p>
    <w:p>
      <w:pPr>
        <w:spacing w:before="62"/>
        <w:ind w:left="137" w:right="0" w:firstLine="0"/>
        <w:jc w:val="left"/>
        <w:rPr>
          <w:sz w:val="11"/>
        </w:rPr>
      </w:pPr>
      <w:r>
        <w:rPr>
          <w:w w:val="105"/>
          <w:sz w:val="11"/>
        </w:rPr>
        <w:t>for</w:t>
      </w:r>
      <w:r>
        <w:rPr>
          <w:spacing w:val="-1"/>
          <w:w w:val="105"/>
          <w:sz w:val="11"/>
        </w:rPr>
        <w:t> </w:t>
      </w:r>
      <w:r>
        <w:rPr>
          <w:w w:val="105"/>
          <w:sz w:val="11"/>
        </w:rPr>
        <w:t>the</w:t>
      </w:r>
      <w:r>
        <w:rPr>
          <w:spacing w:val="-1"/>
          <w:w w:val="105"/>
          <w:sz w:val="11"/>
        </w:rPr>
        <w:t> </w:t>
      </w:r>
      <w:r>
        <w:rPr>
          <w:w w:val="105"/>
          <w:sz w:val="11"/>
        </w:rPr>
        <w:t>year</w:t>
      </w:r>
      <w:r>
        <w:rPr>
          <w:spacing w:val="-1"/>
          <w:w w:val="105"/>
          <w:sz w:val="11"/>
        </w:rPr>
        <w:t> </w:t>
      </w:r>
      <w:r>
        <w:rPr>
          <w:w w:val="105"/>
          <w:sz w:val="11"/>
        </w:rPr>
        <w:t>ended</w:t>
      </w:r>
      <w:r>
        <w:rPr>
          <w:spacing w:val="-1"/>
          <w:w w:val="105"/>
          <w:sz w:val="11"/>
        </w:rPr>
        <w:t> </w:t>
      </w:r>
      <w:r>
        <w:rPr>
          <w:w w:val="105"/>
          <w:sz w:val="11"/>
        </w:rPr>
        <w:t>31</w:t>
      </w:r>
      <w:r>
        <w:rPr>
          <w:spacing w:val="-1"/>
          <w:w w:val="105"/>
          <w:sz w:val="11"/>
        </w:rPr>
        <w:t> </w:t>
      </w:r>
      <w:r>
        <w:rPr>
          <w:w w:val="105"/>
          <w:sz w:val="11"/>
        </w:rPr>
        <w:t>December</w:t>
      </w:r>
      <w:r>
        <w:rPr>
          <w:spacing w:val="-1"/>
          <w:w w:val="105"/>
          <w:sz w:val="11"/>
        </w:rPr>
        <w:t> </w:t>
      </w:r>
      <w:r>
        <w:rPr>
          <w:spacing w:val="-4"/>
          <w:w w:val="105"/>
          <w:sz w:val="11"/>
        </w:rPr>
        <w:t>2020</w:t>
      </w:r>
    </w:p>
    <w:p>
      <w:pPr>
        <w:spacing w:line="240" w:lineRule="auto" w:before="73"/>
        <w:rPr>
          <w:sz w:val="11"/>
        </w:rPr>
      </w:pPr>
    </w:p>
    <w:p>
      <w:pPr>
        <w:pStyle w:val="ListParagraph"/>
        <w:numPr>
          <w:ilvl w:val="0"/>
          <w:numId w:val="13"/>
        </w:numPr>
        <w:tabs>
          <w:tab w:pos="739" w:val="left" w:leader="none"/>
        </w:tabs>
        <w:spacing w:line="240" w:lineRule="auto" w:before="0" w:after="0"/>
        <w:ind w:left="739" w:right="0" w:hanging="576"/>
        <w:jc w:val="left"/>
        <w:rPr>
          <w:b/>
          <w:color w:val="0070C0"/>
          <w:sz w:val="31"/>
        </w:rPr>
      </w:pPr>
      <w:r>
        <w:rPr/>
        <mc:AlternateContent>
          <mc:Choice Requires="wps">
            <w:drawing>
              <wp:anchor distT="0" distB="0" distL="0" distR="0" allowOverlap="1" layoutInCell="1" locked="0" behindDoc="1" simplePos="0" relativeHeight="487766528">
                <wp:simplePos x="0" y="0"/>
                <wp:positionH relativeFrom="page">
                  <wp:posOffset>720001</wp:posOffset>
                </wp:positionH>
                <wp:positionV relativeFrom="paragraph">
                  <wp:posOffset>234191</wp:posOffset>
                </wp:positionV>
                <wp:extent cx="5494655" cy="16510"/>
                <wp:effectExtent l="0" t="0" r="0" b="0"/>
                <wp:wrapTopAndBottom/>
                <wp:docPr id="985" name="Graphic 985"/>
                <wp:cNvGraphicFramePr>
                  <a:graphicFrameLocks/>
                </wp:cNvGraphicFramePr>
                <a:graphic>
                  <a:graphicData uri="http://schemas.microsoft.com/office/word/2010/wordprocessingShape">
                    <wps:wsp>
                      <wps:cNvPr id="985" name="Graphic 985"/>
                      <wps:cNvSpPr/>
                      <wps:spPr>
                        <a:xfrm>
                          <a:off x="0" y="0"/>
                          <a:ext cx="5494655" cy="16510"/>
                        </a:xfrm>
                        <a:custGeom>
                          <a:avLst/>
                          <a:gdLst/>
                          <a:ahLst/>
                          <a:cxnLst/>
                          <a:rect l="l" t="t" r="r" b="b"/>
                          <a:pathLst>
                            <a:path w="5494655" h="16510">
                              <a:moveTo>
                                <a:pt x="5494324" y="0"/>
                              </a:moveTo>
                              <a:lnTo>
                                <a:pt x="0" y="0"/>
                              </a:lnTo>
                              <a:lnTo>
                                <a:pt x="0" y="16497"/>
                              </a:lnTo>
                              <a:lnTo>
                                <a:pt x="5494324" y="16497"/>
                              </a:lnTo>
                              <a:lnTo>
                                <a:pt x="5494324"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6.693001pt;margin-top:18.440275pt;width:432.624pt;height:1.299pt;mso-position-horizontal-relative:page;mso-position-vertical-relative:paragraph;z-index:-15549952;mso-wrap-distance-left:0;mso-wrap-distance-right:0" id="docshape673" filled="true" fillcolor="#4f81bd" stroked="false">
                <v:fill type="solid"/>
                <w10:wrap type="topAndBottom"/>
              </v:rect>
            </w:pict>
          </mc:Fallback>
        </mc:AlternateContent>
      </w:r>
      <w:r>
        <w:rPr>
          <w:b/>
          <w:color w:val="0070C0"/>
          <w:sz w:val="31"/>
        </w:rPr>
        <w:t>Other</w:t>
      </w:r>
      <w:r>
        <w:rPr>
          <w:b/>
          <w:color w:val="0070C0"/>
          <w:spacing w:val="-4"/>
          <w:sz w:val="31"/>
        </w:rPr>
        <w:t> </w:t>
      </w:r>
      <w:r>
        <w:rPr>
          <w:b/>
          <w:color w:val="0070C0"/>
          <w:spacing w:val="-2"/>
          <w:sz w:val="31"/>
        </w:rPr>
        <w:t>disclosures</w:t>
      </w:r>
    </w:p>
    <w:p>
      <w:pPr>
        <w:spacing w:line="264" w:lineRule="auto" w:before="137"/>
        <w:ind w:left="718" w:right="605" w:hanging="1"/>
        <w:jc w:val="left"/>
        <w:rPr>
          <w:sz w:val="14"/>
        </w:rPr>
      </w:pPr>
      <w:r>
        <w:rPr>
          <w:sz w:val="14"/>
        </w:rPr>
        <w:t>This</w:t>
      </w:r>
      <w:r>
        <w:rPr>
          <w:spacing w:val="37"/>
          <w:sz w:val="14"/>
        </w:rPr>
        <w:t> </w:t>
      </w:r>
      <w:r>
        <w:rPr>
          <w:sz w:val="14"/>
        </w:rPr>
        <w:t>section</w:t>
      </w:r>
      <w:r>
        <w:rPr>
          <w:spacing w:val="37"/>
          <w:sz w:val="14"/>
        </w:rPr>
        <w:t> </w:t>
      </w:r>
      <w:r>
        <w:rPr>
          <w:sz w:val="14"/>
        </w:rPr>
        <w:t>provides</w:t>
      </w:r>
      <w:r>
        <w:rPr>
          <w:spacing w:val="37"/>
          <w:sz w:val="14"/>
        </w:rPr>
        <w:t> </w:t>
      </w:r>
      <w:r>
        <w:rPr>
          <w:sz w:val="14"/>
        </w:rPr>
        <w:t>details</w:t>
      </w:r>
      <w:r>
        <w:rPr>
          <w:spacing w:val="37"/>
          <w:sz w:val="14"/>
        </w:rPr>
        <w:t> </w:t>
      </w:r>
      <w:r>
        <w:rPr>
          <w:sz w:val="14"/>
        </w:rPr>
        <w:t>on</w:t>
      </w:r>
      <w:r>
        <w:rPr>
          <w:spacing w:val="37"/>
          <w:sz w:val="14"/>
        </w:rPr>
        <w:t> </w:t>
      </w:r>
      <w:r>
        <w:rPr>
          <w:sz w:val="14"/>
        </w:rPr>
        <w:t>other</w:t>
      </w:r>
      <w:r>
        <w:rPr>
          <w:spacing w:val="37"/>
          <w:sz w:val="14"/>
        </w:rPr>
        <w:t> </w:t>
      </w:r>
      <w:r>
        <w:rPr>
          <w:sz w:val="14"/>
        </w:rPr>
        <w:t>required</w:t>
      </w:r>
      <w:r>
        <w:rPr>
          <w:spacing w:val="37"/>
          <w:sz w:val="14"/>
        </w:rPr>
        <w:t> </w:t>
      </w:r>
      <w:r>
        <w:rPr>
          <w:sz w:val="14"/>
        </w:rPr>
        <w:t>disclosures</w:t>
      </w:r>
      <w:r>
        <w:rPr>
          <w:spacing w:val="34"/>
          <w:sz w:val="14"/>
        </w:rPr>
        <w:t> </w:t>
      </w:r>
      <w:r>
        <w:rPr>
          <w:sz w:val="14"/>
        </w:rPr>
        <w:t>relating</w:t>
      </w:r>
      <w:r>
        <w:rPr>
          <w:spacing w:val="37"/>
          <w:sz w:val="14"/>
        </w:rPr>
        <w:t> </w:t>
      </w:r>
      <w:r>
        <w:rPr>
          <w:sz w:val="14"/>
        </w:rPr>
        <w:t>to</w:t>
      </w:r>
      <w:r>
        <w:rPr>
          <w:spacing w:val="34"/>
          <w:sz w:val="14"/>
        </w:rPr>
        <w:t> </w:t>
      </w:r>
      <w:r>
        <w:rPr>
          <w:sz w:val="14"/>
        </w:rPr>
        <w:t>the</w:t>
      </w:r>
      <w:r>
        <w:rPr>
          <w:spacing w:val="38"/>
          <w:sz w:val="14"/>
        </w:rPr>
        <w:t> </w:t>
      </w:r>
      <w:r>
        <w:rPr>
          <w:sz w:val="14"/>
        </w:rPr>
        <w:t>University</w:t>
      </w:r>
      <w:r>
        <w:rPr>
          <w:spacing w:val="29"/>
          <w:sz w:val="14"/>
        </w:rPr>
        <w:t> </w:t>
      </w:r>
      <w:r>
        <w:rPr>
          <w:sz w:val="14"/>
        </w:rPr>
        <w:t>and</w:t>
      </w:r>
      <w:r>
        <w:rPr>
          <w:spacing w:val="38"/>
          <w:sz w:val="14"/>
        </w:rPr>
        <w:t> </w:t>
      </w:r>
      <w:r>
        <w:rPr>
          <w:sz w:val="14"/>
        </w:rPr>
        <w:t>its</w:t>
      </w:r>
      <w:r>
        <w:rPr>
          <w:spacing w:val="34"/>
          <w:sz w:val="14"/>
        </w:rPr>
        <w:t> </w:t>
      </w:r>
      <w:r>
        <w:rPr>
          <w:sz w:val="14"/>
        </w:rPr>
        <w:t>subsidiaries</w:t>
      </w:r>
      <w:r>
        <w:rPr>
          <w:spacing w:val="37"/>
          <w:sz w:val="14"/>
        </w:rPr>
        <w:t> </w:t>
      </w:r>
      <w:r>
        <w:rPr>
          <w:sz w:val="14"/>
        </w:rPr>
        <w:t>compliance</w:t>
      </w:r>
      <w:r>
        <w:rPr>
          <w:spacing w:val="34"/>
          <w:sz w:val="14"/>
        </w:rPr>
        <w:t> </w:t>
      </w:r>
      <w:r>
        <w:rPr>
          <w:sz w:val="14"/>
        </w:rPr>
        <w:t>with</w:t>
      </w:r>
      <w:r>
        <w:rPr>
          <w:spacing w:val="40"/>
          <w:sz w:val="14"/>
        </w:rPr>
        <w:t> </w:t>
      </w:r>
      <w:r>
        <w:rPr>
          <w:sz w:val="14"/>
        </w:rPr>
        <w:t>accounting</w:t>
      </w:r>
      <w:r>
        <w:rPr>
          <w:spacing w:val="-2"/>
          <w:sz w:val="14"/>
        </w:rPr>
        <w:t> </w:t>
      </w:r>
      <w:r>
        <w:rPr>
          <w:sz w:val="14"/>
        </w:rPr>
        <w:t>standards.</w:t>
      </w:r>
    </w:p>
    <w:p>
      <w:pPr>
        <w:pStyle w:val="ListParagraph"/>
        <w:numPr>
          <w:ilvl w:val="0"/>
          <w:numId w:val="43"/>
        </w:numPr>
        <w:tabs>
          <w:tab w:pos="804" w:val="left" w:leader="none"/>
          <w:tab w:pos="4930" w:val="left" w:leader="none"/>
        </w:tabs>
        <w:spacing w:line="240" w:lineRule="auto" w:before="9" w:after="0"/>
        <w:ind w:left="804" w:right="0" w:hanging="87"/>
        <w:jc w:val="left"/>
        <w:rPr>
          <w:sz w:val="14"/>
        </w:rPr>
      </w:pPr>
      <w:r>
        <w:rPr>
          <w:sz w:val="14"/>
        </w:rPr>
        <w:t>7.1</w:t>
      </w:r>
      <w:r>
        <w:rPr>
          <w:spacing w:val="7"/>
          <w:sz w:val="14"/>
        </w:rPr>
        <w:t> </w:t>
      </w:r>
      <w:r>
        <w:rPr>
          <w:sz w:val="14"/>
        </w:rPr>
        <w:t>Remuneration</w:t>
      </w:r>
      <w:r>
        <w:rPr>
          <w:spacing w:val="7"/>
          <w:sz w:val="14"/>
        </w:rPr>
        <w:t> </w:t>
      </w:r>
      <w:r>
        <w:rPr>
          <w:sz w:val="14"/>
        </w:rPr>
        <w:t>of</w:t>
      </w:r>
      <w:r>
        <w:rPr>
          <w:spacing w:val="8"/>
          <w:sz w:val="14"/>
        </w:rPr>
        <w:t> </w:t>
      </w:r>
      <w:r>
        <w:rPr>
          <w:spacing w:val="-2"/>
          <w:sz w:val="14"/>
        </w:rPr>
        <w:t>auditors</w:t>
      </w:r>
      <w:r>
        <w:rPr>
          <w:sz w:val="14"/>
        </w:rPr>
        <w:tab/>
        <w:t>•</w:t>
      </w:r>
      <w:r>
        <w:rPr>
          <w:spacing w:val="5"/>
          <w:sz w:val="14"/>
        </w:rPr>
        <w:t> </w:t>
      </w:r>
      <w:r>
        <w:rPr>
          <w:sz w:val="14"/>
        </w:rPr>
        <w:t>7.5</w:t>
      </w:r>
      <w:r>
        <w:rPr>
          <w:spacing w:val="6"/>
          <w:sz w:val="14"/>
        </w:rPr>
        <w:t> </w:t>
      </w:r>
      <w:r>
        <w:rPr>
          <w:sz w:val="14"/>
        </w:rPr>
        <w:t>Discontinued</w:t>
      </w:r>
      <w:r>
        <w:rPr>
          <w:spacing w:val="7"/>
          <w:sz w:val="14"/>
        </w:rPr>
        <w:t> </w:t>
      </w:r>
      <w:r>
        <w:rPr>
          <w:spacing w:val="-2"/>
          <w:sz w:val="14"/>
        </w:rPr>
        <w:t>operations</w:t>
      </w:r>
    </w:p>
    <w:p>
      <w:pPr>
        <w:pStyle w:val="ListParagraph"/>
        <w:numPr>
          <w:ilvl w:val="0"/>
          <w:numId w:val="43"/>
        </w:numPr>
        <w:tabs>
          <w:tab w:pos="804" w:val="left" w:leader="none"/>
          <w:tab w:pos="4930" w:val="left" w:leader="none"/>
        </w:tabs>
        <w:spacing w:line="240" w:lineRule="auto" w:before="25" w:after="0"/>
        <w:ind w:left="804" w:right="0" w:hanging="87"/>
        <w:jc w:val="left"/>
        <w:rPr>
          <w:sz w:val="14"/>
        </w:rPr>
      </w:pPr>
      <w:r>
        <w:rPr>
          <w:sz w:val="14"/>
        </w:rPr>
        <w:t>7.2</w:t>
      </w:r>
      <w:r>
        <w:rPr>
          <w:spacing w:val="7"/>
          <w:sz w:val="14"/>
        </w:rPr>
        <w:t> </w:t>
      </w:r>
      <w:r>
        <w:rPr>
          <w:sz w:val="14"/>
        </w:rPr>
        <w:t>Subsidiaries</w:t>
      </w:r>
      <w:r>
        <w:rPr>
          <w:spacing w:val="7"/>
          <w:sz w:val="14"/>
        </w:rPr>
        <w:t> </w:t>
      </w:r>
      <w:r>
        <w:rPr>
          <w:sz w:val="14"/>
        </w:rPr>
        <w:t>and</w:t>
      </w:r>
      <w:r>
        <w:rPr>
          <w:spacing w:val="7"/>
          <w:sz w:val="14"/>
        </w:rPr>
        <w:t> </w:t>
      </w:r>
      <w:r>
        <w:rPr>
          <w:spacing w:val="-2"/>
          <w:sz w:val="14"/>
        </w:rPr>
        <w:t>Associates</w:t>
      </w:r>
      <w:r>
        <w:rPr>
          <w:sz w:val="14"/>
        </w:rPr>
        <w:tab/>
        <w:t>•</w:t>
      </w:r>
      <w:r>
        <w:rPr>
          <w:spacing w:val="3"/>
          <w:sz w:val="14"/>
        </w:rPr>
        <w:t> </w:t>
      </w:r>
      <w:r>
        <w:rPr>
          <w:sz w:val="14"/>
        </w:rPr>
        <w:t>7.6</w:t>
      </w:r>
      <w:r>
        <w:rPr>
          <w:spacing w:val="5"/>
          <w:sz w:val="14"/>
        </w:rPr>
        <w:t> </w:t>
      </w:r>
      <w:r>
        <w:rPr>
          <w:sz w:val="14"/>
        </w:rPr>
        <w:t>Events</w:t>
      </w:r>
      <w:r>
        <w:rPr>
          <w:spacing w:val="5"/>
          <w:sz w:val="14"/>
        </w:rPr>
        <w:t> </w:t>
      </w:r>
      <w:r>
        <w:rPr>
          <w:sz w:val="14"/>
        </w:rPr>
        <w:t>occurring</w:t>
      </w:r>
      <w:r>
        <w:rPr>
          <w:spacing w:val="6"/>
          <w:sz w:val="14"/>
        </w:rPr>
        <w:t> </w:t>
      </w:r>
      <w:r>
        <w:rPr>
          <w:sz w:val="14"/>
        </w:rPr>
        <w:t>after</w:t>
      </w:r>
      <w:r>
        <w:rPr>
          <w:spacing w:val="5"/>
          <w:sz w:val="14"/>
        </w:rPr>
        <w:t> </w:t>
      </w:r>
      <w:r>
        <w:rPr>
          <w:sz w:val="14"/>
        </w:rPr>
        <w:t>the</w:t>
      </w:r>
      <w:r>
        <w:rPr>
          <w:spacing w:val="5"/>
          <w:sz w:val="14"/>
        </w:rPr>
        <w:t> </w:t>
      </w:r>
      <w:r>
        <w:rPr>
          <w:sz w:val="14"/>
        </w:rPr>
        <w:t>end</w:t>
      </w:r>
      <w:r>
        <w:rPr>
          <w:spacing w:val="5"/>
          <w:sz w:val="14"/>
        </w:rPr>
        <w:t> </w:t>
      </w:r>
      <w:r>
        <w:rPr>
          <w:sz w:val="14"/>
        </w:rPr>
        <w:t>of</w:t>
      </w:r>
      <w:r>
        <w:rPr>
          <w:spacing w:val="6"/>
          <w:sz w:val="14"/>
        </w:rPr>
        <w:t> </w:t>
      </w:r>
      <w:r>
        <w:rPr>
          <w:sz w:val="14"/>
        </w:rPr>
        <w:t>the</w:t>
      </w:r>
      <w:r>
        <w:rPr>
          <w:spacing w:val="5"/>
          <w:sz w:val="14"/>
        </w:rPr>
        <w:t> </w:t>
      </w:r>
      <w:r>
        <w:rPr>
          <w:sz w:val="14"/>
        </w:rPr>
        <w:t>reporting</w:t>
      </w:r>
      <w:r>
        <w:rPr>
          <w:spacing w:val="5"/>
          <w:sz w:val="14"/>
        </w:rPr>
        <w:t> </w:t>
      </w:r>
      <w:r>
        <w:rPr>
          <w:spacing w:val="-2"/>
          <w:sz w:val="14"/>
        </w:rPr>
        <w:t>period</w:t>
      </w:r>
    </w:p>
    <w:p>
      <w:pPr>
        <w:pStyle w:val="ListParagraph"/>
        <w:numPr>
          <w:ilvl w:val="0"/>
          <w:numId w:val="43"/>
        </w:numPr>
        <w:tabs>
          <w:tab w:pos="804" w:val="left" w:leader="none"/>
          <w:tab w:pos="4930" w:val="left" w:leader="none"/>
        </w:tabs>
        <w:spacing w:line="240" w:lineRule="auto" w:before="26" w:after="0"/>
        <w:ind w:left="804" w:right="0" w:hanging="87"/>
        <w:jc w:val="left"/>
        <w:rPr>
          <w:sz w:val="14"/>
        </w:rPr>
      </w:pPr>
      <w:r>
        <w:rPr>
          <w:sz w:val="14"/>
        </w:rPr>
        <w:t>7.3</w:t>
      </w:r>
      <w:r>
        <w:rPr>
          <w:spacing w:val="5"/>
          <w:sz w:val="14"/>
        </w:rPr>
        <w:t> </w:t>
      </w:r>
      <w:r>
        <w:rPr>
          <w:sz w:val="14"/>
        </w:rPr>
        <w:t>Related</w:t>
      </w:r>
      <w:r>
        <w:rPr>
          <w:spacing w:val="6"/>
          <w:sz w:val="14"/>
        </w:rPr>
        <w:t> </w:t>
      </w:r>
      <w:r>
        <w:rPr>
          <w:spacing w:val="-2"/>
          <w:sz w:val="14"/>
        </w:rPr>
        <w:t>parties</w:t>
      </w:r>
      <w:r>
        <w:rPr>
          <w:sz w:val="14"/>
        </w:rPr>
        <w:tab/>
        <w:t>•</w:t>
      </w:r>
      <w:r>
        <w:rPr>
          <w:spacing w:val="3"/>
          <w:sz w:val="14"/>
        </w:rPr>
        <w:t> </w:t>
      </w:r>
      <w:r>
        <w:rPr>
          <w:sz w:val="14"/>
        </w:rPr>
        <w:t>7.7</w:t>
      </w:r>
      <w:r>
        <w:rPr>
          <w:spacing w:val="4"/>
          <w:sz w:val="14"/>
        </w:rPr>
        <w:t> </w:t>
      </w:r>
      <w:r>
        <w:rPr>
          <w:sz w:val="14"/>
        </w:rPr>
        <w:t>New</w:t>
      </w:r>
      <w:r>
        <w:rPr>
          <w:spacing w:val="3"/>
          <w:sz w:val="14"/>
        </w:rPr>
        <w:t> </w:t>
      </w:r>
      <w:r>
        <w:rPr>
          <w:sz w:val="14"/>
        </w:rPr>
        <w:t>standards</w:t>
      </w:r>
      <w:r>
        <w:rPr>
          <w:spacing w:val="4"/>
          <w:sz w:val="14"/>
        </w:rPr>
        <w:t> </w:t>
      </w:r>
      <w:r>
        <w:rPr>
          <w:sz w:val="14"/>
        </w:rPr>
        <w:t>issued</w:t>
      </w:r>
      <w:r>
        <w:rPr>
          <w:spacing w:val="5"/>
          <w:sz w:val="14"/>
        </w:rPr>
        <w:t> </w:t>
      </w:r>
      <w:r>
        <w:rPr>
          <w:sz w:val="14"/>
        </w:rPr>
        <w:t>but</w:t>
      </w:r>
      <w:r>
        <w:rPr>
          <w:spacing w:val="3"/>
          <w:sz w:val="14"/>
        </w:rPr>
        <w:t> </w:t>
      </w:r>
      <w:r>
        <w:rPr>
          <w:sz w:val="14"/>
        </w:rPr>
        <w:t>not</w:t>
      </w:r>
      <w:r>
        <w:rPr>
          <w:spacing w:val="4"/>
          <w:sz w:val="14"/>
        </w:rPr>
        <w:t> </w:t>
      </w:r>
      <w:r>
        <w:rPr>
          <w:sz w:val="14"/>
        </w:rPr>
        <w:t>yet</w:t>
      </w:r>
      <w:r>
        <w:rPr>
          <w:spacing w:val="3"/>
          <w:sz w:val="14"/>
        </w:rPr>
        <w:t> </w:t>
      </w:r>
      <w:r>
        <w:rPr>
          <w:spacing w:val="-2"/>
          <w:sz w:val="14"/>
        </w:rPr>
        <w:t>effective</w:t>
      </w:r>
    </w:p>
    <w:p>
      <w:pPr>
        <w:pStyle w:val="ListParagraph"/>
        <w:numPr>
          <w:ilvl w:val="0"/>
          <w:numId w:val="43"/>
        </w:numPr>
        <w:tabs>
          <w:tab w:pos="804" w:val="left" w:leader="none"/>
          <w:tab w:pos="4930" w:val="left" w:leader="none"/>
        </w:tabs>
        <w:spacing w:line="240" w:lineRule="auto" w:before="25" w:after="0"/>
        <w:ind w:left="804" w:right="0" w:hanging="87"/>
        <w:jc w:val="left"/>
        <w:rPr>
          <w:sz w:val="14"/>
        </w:rPr>
      </w:pPr>
      <w:r>
        <w:rPr>
          <w:sz w:val="14"/>
        </w:rPr>
        <w:t>7.4</w:t>
      </w:r>
      <w:r>
        <w:rPr>
          <w:spacing w:val="8"/>
          <w:sz w:val="14"/>
        </w:rPr>
        <w:t> </w:t>
      </w:r>
      <w:r>
        <w:rPr>
          <w:sz w:val="14"/>
        </w:rPr>
        <w:t>Supplementary</w:t>
      </w:r>
      <w:r>
        <w:rPr>
          <w:spacing w:val="4"/>
          <w:sz w:val="14"/>
        </w:rPr>
        <w:t> </w:t>
      </w:r>
      <w:r>
        <w:rPr>
          <w:sz w:val="14"/>
        </w:rPr>
        <w:t>financial</w:t>
      </w:r>
      <w:r>
        <w:rPr>
          <w:spacing w:val="11"/>
          <w:sz w:val="14"/>
        </w:rPr>
        <w:t> </w:t>
      </w:r>
      <w:r>
        <w:rPr>
          <w:spacing w:val="-2"/>
          <w:sz w:val="14"/>
        </w:rPr>
        <w:t>information</w:t>
      </w:r>
      <w:r>
        <w:rPr>
          <w:sz w:val="14"/>
        </w:rPr>
        <w:tab/>
        <w:t>•</w:t>
      </w:r>
      <w:r>
        <w:rPr>
          <w:spacing w:val="6"/>
          <w:sz w:val="14"/>
        </w:rPr>
        <w:t> </w:t>
      </w:r>
      <w:r>
        <w:rPr>
          <w:sz w:val="14"/>
        </w:rPr>
        <w:t>7.8</w:t>
      </w:r>
      <w:r>
        <w:rPr>
          <w:spacing w:val="7"/>
          <w:sz w:val="14"/>
        </w:rPr>
        <w:t> </w:t>
      </w:r>
      <w:r>
        <w:rPr>
          <w:sz w:val="14"/>
        </w:rPr>
        <w:t>Acquittal</w:t>
      </w:r>
      <w:r>
        <w:rPr>
          <w:spacing w:val="7"/>
          <w:sz w:val="14"/>
        </w:rPr>
        <w:t> </w:t>
      </w:r>
      <w:r>
        <w:rPr>
          <w:sz w:val="14"/>
        </w:rPr>
        <w:t>of</w:t>
      </w:r>
      <w:r>
        <w:rPr>
          <w:spacing w:val="8"/>
          <w:sz w:val="14"/>
        </w:rPr>
        <w:t> </w:t>
      </w:r>
      <w:r>
        <w:rPr>
          <w:sz w:val="14"/>
        </w:rPr>
        <w:t>Australian</w:t>
      </w:r>
      <w:r>
        <w:rPr>
          <w:spacing w:val="7"/>
          <w:sz w:val="14"/>
        </w:rPr>
        <w:t> </w:t>
      </w:r>
      <w:r>
        <w:rPr>
          <w:sz w:val="14"/>
        </w:rPr>
        <w:t>Government</w:t>
      </w:r>
      <w:r>
        <w:rPr>
          <w:spacing w:val="6"/>
          <w:sz w:val="14"/>
        </w:rPr>
        <w:t> </w:t>
      </w:r>
      <w:r>
        <w:rPr>
          <w:sz w:val="14"/>
        </w:rPr>
        <w:t>financial</w:t>
      </w:r>
      <w:r>
        <w:rPr>
          <w:spacing w:val="8"/>
          <w:sz w:val="14"/>
        </w:rPr>
        <w:t> </w:t>
      </w:r>
      <w:r>
        <w:rPr>
          <w:spacing w:val="-2"/>
          <w:sz w:val="14"/>
        </w:rPr>
        <w:t>assistance</w:t>
      </w:r>
    </w:p>
    <w:p>
      <w:pPr>
        <w:spacing w:line="240" w:lineRule="auto" w:before="121"/>
        <w:rPr>
          <w:sz w:val="20"/>
        </w:rPr>
      </w:pPr>
      <w:r>
        <w:rPr/>
        <mc:AlternateContent>
          <mc:Choice Requires="wps">
            <w:drawing>
              <wp:anchor distT="0" distB="0" distL="0" distR="0" allowOverlap="1" layoutInCell="1" locked="0" behindDoc="1" simplePos="0" relativeHeight="487767040">
                <wp:simplePos x="0" y="0"/>
                <wp:positionH relativeFrom="page">
                  <wp:posOffset>720001</wp:posOffset>
                </wp:positionH>
                <wp:positionV relativeFrom="paragraph">
                  <wp:posOffset>238305</wp:posOffset>
                </wp:positionV>
                <wp:extent cx="5494655" cy="16510"/>
                <wp:effectExtent l="0" t="0" r="0" b="0"/>
                <wp:wrapTopAndBottom/>
                <wp:docPr id="986" name="Graphic 986"/>
                <wp:cNvGraphicFramePr>
                  <a:graphicFrameLocks/>
                </wp:cNvGraphicFramePr>
                <a:graphic>
                  <a:graphicData uri="http://schemas.microsoft.com/office/word/2010/wordprocessingShape">
                    <wps:wsp>
                      <wps:cNvPr id="986" name="Graphic 986"/>
                      <wps:cNvSpPr/>
                      <wps:spPr>
                        <a:xfrm>
                          <a:off x="0" y="0"/>
                          <a:ext cx="5494655" cy="16510"/>
                        </a:xfrm>
                        <a:custGeom>
                          <a:avLst/>
                          <a:gdLst/>
                          <a:ahLst/>
                          <a:cxnLst/>
                          <a:rect l="l" t="t" r="r" b="b"/>
                          <a:pathLst>
                            <a:path w="5494655" h="16510">
                              <a:moveTo>
                                <a:pt x="5494324" y="0"/>
                              </a:moveTo>
                              <a:lnTo>
                                <a:pt x="0" y="0"/>
                              </a:lnTo>
                              <a:lnTo>
                                <a:pt x="0" y="16497"/>
                              </a:lnTo>
                              <a:lnTo>
                                <a:pt x="5494324" y="16497"/>
                              </a:lnTo>
                              <a:lnTo>
                                <a:pt x="5494324"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6.693001pt;margin-top:18.764238pt;width:432.624pt;height:1.299pt;mso-position-horizontal-relative:page;mso-position-vertical-relative:paragraph;z-index:-15549440;mso-wrap-distance-left:0;mso-wrap-distance-right:0" id="docshape674" filled="true" fillcolor="#4f81bd" stroked="false">
                <v:fill type="solid"/>
                <w10:wrap type="topAndBottom"/>
              </v:rect>
            </w:pict>
          </mc:Fallback>
        </mc:AlternateContent>
      </w:r>
    </w:p>
    <w:p>
      <w:pPr>
        <w:pStyle w:val="ListParagraph"/>
        <w:numPr>
          <w:ilvl w:val="1"/>
          <w:numId w:val="13"/>
        </w:numPr>
        <w:tabs>
          <w:tab w:pos="717" w:val="left" w:leader="none"/>
          <w:tab w:pos="5744" w:val="left" w:leader="none"/>
          <w:tab w:pos="7605" w:val="left" w:leader="none"/>
        </w:tabs>
        <w:spacing w:line="240" w:lineRule="auto" w:before="151" w:after="11"/>
        <w:ind w:left="717" w:right="0" w:hanging="576"/>
        <w:jc w:val="left"/>
        <w:rPr>
          <w:b/>
          <w:color w:val="0070C0"/>
          <w:sz w:val="15"/>
        </w:rPr>
      </w:pPr>
      <w:r>
        <w:rPr>
          <w:b/>
          <w:color w:val="0070C0"/>
          <w:sz w:val="15"/>
        </w:rPr>
        <w:t>Remuneration</w:t>
      </w:r>
      <w:r>
        <w:rPr>
          <w:b/>
          <w:color w:val="0070C0"/>
          <w:spacing w:val="15"/>
          <w:sz w:val="15"/>
        </w:rPr>
        <w:t> </w:t>
      </w:r>
      <w:r>
        <w:rPr>
          <w:b/>
          <w:color w:val="0070C0"/>
          <w:sz w:val="15"/>
        </w:rPr>
        <w:t>of</w:t>
      </w:r>
      <w:r>
        <w:rPr>
          <w:b/>
          <w:color w:val="0070C0"/>
          <w:spacing w:val="15"/>
          <w:sz w:val="15"/>
        </w:rPr>
        <w:t> </w:t>
      </w:r>
      <w:r>
        <w:rPr>
          <w:b/>
          <w:color w:val="0070C0"/>
          <w:spacing w:val="-2"/>
          <w:sz w:val="15"/>
        </w:rPr>
        <w:t>auditors</w:t>
      </w:r>
      <w:r>
        <w:rPr>
          <w:b/>
          <w:color w:val="0070C0"/>
          <w:sz w:val="15"/>
        </w:rPr>
        <w:tab/>
      </w:r>
      <w:r>
        <w:rPr>
          <w:b/>
          <w:spacing w:val="-2"/>
          <w:sz w:val="13"/>
        </w:rPr>
        <w:t>Consolidated</w:t>
      </w:r>
      <w:r>
        <w:rPr>
          <w:b/>
          <w:sz w:val="13"/>
        </w:rPr>
        <w:tab/>
      </w:r>
      <w:r>
        <w:rPr>
          <w:b/>
          <w:spacing w:val="-2"/>
          <w:sz w:val="13"/>
        </w:rPr>
        <w:t>University</w:t>
      </w:r>
    </w:p>
    <w:tbl>
      <w:tblPr>
        <w:tblW w:w="0" w:type="auto"/>
        <w:jc w:val="left"/>
        <w:tblInd w:w="6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563"/>
        <w:gridCol w:w="620"/>
        <w:gridCol w:w="403"/>
        <w:gridCol w:w="504"/>
        <w:gridCol w:w="345"/>
        <w:gridCol w:w="755"/>
        <w:gridCol w:w="572"/>
        <w:gridCol w:w="322"/>
      </w:tblGrid>
      <w:tr>
        <w:trPr>
          <w:trHeight w:val="350" w:hRule="atLeast"/>
        </w:trPr>
        <w:tc>
          <w:tcPr>
            <w:tcW w:w="4563" w:type="dxa"/>
          </w:tcPr>
          <w:p>
            <w:pPr>
              <w:pStyle w:val="TableParagraph"/>
              <w:rPr>
                <w:rFonts w:ascii="Times New Roman"/>
                <w:sz w:val="12"/>
              </w:rPr>
            </w:pPr>
          </w:p>
        </w:tc>
        <w:tc>
          <w:tcPr>
            <w:tcW w:w="620" w:type="dxa"/>
            <w:tcBorders>
              <w:bottom w:val="single" w:sz="6" w:space="0" w:color="000000"/>
            </w:tcBorders>
          </w:tcPr>
          <w:p>
            <w:pPr>
              <w:pStyle w:val="TableParagraph"/>
              <w:spacing w:before="30"/>
              <w:ind w:left="316"/>
              <w:rPr>
                <w:b/>
                <w:sz w:val="13"/>
              </w:rPr>
            </w:pPr>
            <w:r>
              <w:rPr>
                <w:b/>
                <w:spacing w:val="-4"/>
                <w:sz w:val="13"/>
              </w:rPr>
              <w:t>2020</w:t>
            </w:r>
          </w:p>
          <w:p>
            <w:pPr>
              <w:pStyle w:val="TableParagraph"/>
              <w:spacing w:line="131" w:lineRule="exact" w:before="19"/>
              <w:ind w:left="301"/>
              <w:rPr>
                <w:b/>
                <w:sz w:val="13"/>
              </w:rPr>
            </w:pPr>
            <w:r>
              <w:rPr>
                <w:b/>
                <w:spacing w:val="-4"/>
                <w:sz w:val="13"/>
              </w:rPr>
              <w:t>$'000</w:t>
            </w:r>
          </w:p>
        </w:tc>
        <w:tc>
          <w:tcPr>
            <w:tcW w:w="403" w:type="dxa"/>
            <w:tcBorders>
              <w:bottom w:val="single" w:sz="6" w:space="0" w:color="000000"/>
            </w:tcBorders>
          </w:tcPr>
          <w:p>
            <w:pPr>
              <w:pStyle w:val="TableParagraph"/>
              <w:rPr>
                <w:rFonts w:ascii="Times New Roman"/>
                <w:sz w:val="12"/>
              </w:rPr>
            </w:pPr>
          </w:p>
        </w:tc>
        <w:tc>
          <w:tcPr>
            <w:tcW w:w="504" w:type="dxa"/>
            <w:tcBorders>
              <w:bottom w:val="single" w:sz="6" w:space="0" w:color="000000"/>
            </w:tcBorders>
          </w:tcPr>
          <w:p>
            <w:pPr>
              <w:pStyle w:val="TableParagraph"/>
              <w:spacing w:before="30"/>
              <w:ind w:left="200"/>
              <w:rPr>
                <w:b/>
                <w:sz w:val="13"/>
              </w:rPr>
            </w:pPr>
            <w:r>
              <w:rPr>
                <w:b/>
                <w:spacing w:val="-4"/>
                <w:sz w:val="13"/>
              </w:rPr>
              <w:t>2019</w:t>
            </w:r>
          </w:p>
          <w:p>
            <w:pPr>
              <w:pStyle w:val="TableParagraph"/>
              <w:spacing w:line="131" w:lineRule="exact" w:before="19"/>
              <w:ind w:left="185"/>
              <w:rPr>
                <w:b/>
                <w:sz w:val="13"/>
              </w:rPr>
            </w:pPr>
            <w:r>
              <w:rPr>
                <w:b/>
                <w:spacing w:val="-4"/>
                <w:sz w:val="13"/>
              </w:rPr>
              <w:t>$'000</w:t>
            </w:r>
          </w:p>
        </w:tc>
        <w:tc>
          <w:tcPr>
            <w:tcW w:w="345" w:type="dxa"/>
            <w:tcBorders>
              <w:bottom w:val="single" w:sz="6" w:space="0" w:color="000000"/>
            </w:tcBorders>
          </w:tcPr>
          <w:p>
            <w:pPr>
              <w:pStyle w:val="TableParagraph"/>
              <w:rPr>
                <w:rFonts w:ascii="Times New Roman"/>
                <w:sz w:val="12"/>
              </w:rPr>
            </w:pPr>
          </w:p>
        </w:tc>
        <w:tc>
          <w:tcPr>
            <w:tcW w:w="755" w:type="dxa"/>
            <w:tcBorders>
              <w:bottom w:val="single" w:sz="6" w:space="0" w:color="000000"/>
            </w:tcBorders>
          </w:tcPr>
          <w:p>
            <w:pPr>
              <w:pStyle w:val="TableParagraph"/>
              <w:spacing w:before="30"/>
              <w:ind w:left="137"/>
              <w:rPr>
                <w:b/>
                <w:sz w:val="13"/>
              </w:rPr>
            </w:pPr>
            <w:r>
              <w:rPr>
                <w:b/>
                <w:spacing w:val="-4"/>
                <w:sz w:val="13"/>
              </w:rPr>
              <w:t>2020</w:t>
            </w:r>
          </w:p>
          <w:p>
            <w:pPr>
              <w:pStyle w:val="TableParagraph"/>
              <w:spacing w:line="131" w:lineRule="exact" w:before="19"/>
              <w:ind w:left="122"/>
              <w:rPr>
                <w:b/>
                <w:sz w:val="13"/>
              </w:rPr>
            </w:pPr>
            <w:r>
              <w:rPr>
                <w:b/>
                <w:spacing w:val="-2"/>
                <w:sz w:val="13"/>
              </w:rPr>
              <w:t>$'000</w:t>
            </w:r>
          </w:p>
        </w:tc>
        <w:tc>
          <w:tcPr>
            <w:tcW w:w="572" w:type="dxa"/>
            <w:tcBorders>
              <w:bottom w:val="single" w:sz="6" w:space="0" w:color="000000"/>
            </w:tcBorders>
          </w:tcPr>
          <w:p>
            <w:pPr>
              <w:pStyle w:val="TableParagraph"/>
              <w:spacing w:before="30"/>
              <w:ind w:left="235"/>
              <w:rPr>
                <w:b/>
                <w:sz w:val="13"/>
              </w:rPr>
            </w:pPr>
            <w:r>
              <w:rPr>
                <w:b/>
                <w:spacing w:val="-4"/>
                <w:sz w:val="13"/>
              </w:rPr>
              <w:t>2019</w:t>
            </w:r>
          </w:p>
          <w:p>
            <w:pPr>
              <w:pStyle w:val="TableParagraph"/>
              <w:spacing w:line="131" w:lineRule="exact" w:before="19"/>
              <w:ind w:left="220"/>
              <w:rPr>
                <w:b/>
                <w:sz w:val="13"/>
              </w:rPr>
            </w:pPr>
            <w:r>
              <w:rPr>
                <w:b/>
                <w:spacing w:val="-2"/>
                <w:sz w:val="13"/>
              </w:rPr>
              <w:t>$'000</w:t>
            </w:r>
          </w:p>
        </w:tc>
        <w:tc>
          <w:tcPr>
            <w:tcW w:w="322" w:type="dxa"/>
            <w:tcBorders>
              <w:bottom w:val="single" w:sz="6" w:space="0" w:color="000000"/>
            </w:tcBorders>
          </w:tcPr>
          <w:p>
            <w:pPr>
              <w:pStyle w:val="TableParagraph"/>
              <w:rPr>
                <w:rFonts w:ascii="Times New Roman"/>
                <w:sz w:val="12"/>
              </w:rPr>
            </w:pPr>
          </w:p>
        </w:tc>
      </w:tr>
      <w:tr>
        <w:trPr>
          <w:trHeight w:val="542" w:hRule="atLeast"/>
        </w:trPr>
        <w:tc>
          <w:tcPr>
            <w:tcW w:w="4563" w:type="dxa"/>
          </w:tcPr>
          <w:p>
            <w:pPr>
              <w:pStyle w:val="TableParagraph"/>
              <w:spacing w:line="261" w:lineRule="auto" w:before="141"/>
              <w:ind w:left="34"/>
              <w:rPr>
                <w:sz w:val="13"/>
              </w:rPr>
            </w:pPr>
            <w:r>
              <w:rPr>
                <w:sz w:val="13"/>
              </w:rPr>
              <w:t>During the year, the following fees were paid for services provided by the</w:t>
            </w:r>
            <w:r>
              <w:rPr>
                <w:spacing w:val="40"/>
                <w:sz w:val="13"/>
              </w:rPr>
              <w:t> </w:t>
            </w:r>
            <w:r>
              <w:rPr>
                <w:sz w:val="13"/>
              </w:rPr>
              <w:t>auditor</w:t>
            </w:r>
            <w:r>
              <w:rPr>
                <w:spacing w:val="-6"/>
                <w:sz w:val="13"/>
              </w:rPr>
              <w:t> </w:t>
            </w:r>
            <w:r>
              <w:rPr>
                <w:sz w:val="13"/>
              </w:rPr>
              <w:t>of</w:t>
            </w:r>
            <w:r>
              <w:rPr>
                <w:spacing w:val="-5"/>
                <w:sz w:val="13"/>
              </w:rPr>
              <w:t> </w:t>
            </w:r>
            <w:r>
              <w:rPr>
                <w:sz w:val="13"/>
              </w:rPr>
              <w:t>the</w:t>
            </w:r>
            <w:r>
              <w:rPr>
                <w:spacing w:val="-7"/>
                <w:sz w:val="13"/>
              </w:rPr>
              <w:t> </w:t>
            </w:r>
            <w:r>
              <w:rPr>
                <w:sz w:val="13"/>
              </w:rPr>
              <w:t>parent</w:t>
            </w:r>
            <w:r>
              <w:rPr>
                <w:spacing w:val="-5"/>
                <w:sz w:val="13"/>
              </w:rPr>
              <w:t> </w:t>
            </w:r>
            <w:r>
              <w:rPr>
                <w:sz w:val="13"/>
              </w:rPr>
              <w:t>entity,</w:t>
            </w:r>
            <w:r>
              <w:rPr>
                <w:spacing w:val="-5"/>
                <w:sz w:val="13"/>
              </w:rPr>
              <w:t> </w:t>
            </w:r>
            <w:r>
              <w:rPr>
                <w:sz w:val="13"/>
              </w:rPr>
              <w:t>its</w:t>
            </w:r>
            <w:r>
              <w:rPr>
                <w:spacing w:val="-6"/>
                <w:sz w:val="13"/>
              </w:rPr>
              <w:t> </w:t>
            </w:r>
            <w:r>
              <w:rPr>
                <w:sz w:val="13"/>
              </w:rPr>
              <w:t>related</w:t>
            </w:r>
            <w:r>
              <w:rPr>
                <w:spacing w:val="-7"/>
                <w:sz w:val="13"/>
              </w:rPr>
              <w:t> </w:t>
            </w:r>
            <w:r>
              <w:rPr>
                <w:sz w:val="13"/>
              </w:rPr>
              <w:t>practices</w:t>
            </w:r>
            <w:r>
              <w:rPr>
                <w:spacing w:val="-6"/>
                <w:sz w:val="13"/>
              </w:rPr>
              <w:t> </w:t>
            </w:r>
            <w:r>
              <w:rPr>
                <w:sz w:val="13"/>
              </w:rPr>
              <w:t>and</w:t>
            </w:r>
            <w:r>
              <w:rPr>
                <w:spacing w:val="-7"/>
                <w:sz w:val="13"/>
              </w:rPr>
              <w:t> </w:t>
            </w:r>
            <w:r>
              <w:rPr>
                <w:sz w:val="13"/>
              </w:rPr>
              <w:t>non-related</w:t>
            </w:r>
            <w:r>
              <w:rPr>
                <w:spacing w:val="-7"/>
                <w:sz w:val="13"/>
              </w:rPr>
              <w:t> </w:t>
            </w:r>
            <w:r>
              <w:rPr>
                <w:sz w:val="13"/>
              </w:rPr>
              <w:t>audit</w:t>
            </w:r>
            <w:r>
              <w:rPr>
                <w:spacing w:val="-5"/>
                <w:sz w:val="13"/>
              </w:rPr>
              <w:t> </w:t>
            </w:r>
            <w:r>
              <w:rPr>
                <w:sz w:val="13"/>
              </w:rPr>
              <w:t>firms:</w:t>
            </w:r>
          </w:p>
        </w:tc>
        <w:tc>
          <w:tcPr>
            <w:tcW w:w="620" w:type="dxa"/>
            <w:tcBorders>
              <w:top w:val="single" w:sz="6" w:space="0" w:color="000000"/>
            </w:tcBorders>
          </w:tcPr>
          <w:p>
            <w:pPr>
              <w:pStyle w:val="TableParagraph"/>
              <w:rPr>
                <w:rFonts w:ascii="Times New Roman"/>
                <w:sz w:val="12"/>
              </w:rPr>
            </w:pPr>
          </w:p>
        </w:tc>
        <w:tc>
          <w:tcPr>
            <w:tcW w:w="403" w:type="dxa"/>
            <w:tcBorders>
              <w:top w:val="single" w:sz="6" w:space="0" w:color="000000"/>
            </w:tcBorders>
          </w:tcPr>
          <w:p>
            <w:pPr>
              <w:pStyle w:val="TableParagraph"/>
              <w:rPr>
                <w:rFonts w:ascii="Times New Roman"/>
                <w:sz w:val="12"/>
              </w:rPr>
            </w:pPr>
          </w:p>
        </w:tc>
        <w:tc>
          <w:tcPr>
            <w:tcW w:w="504" w:type="dxa"/>
            <w:tcBorders>
              <w:top w:val="single" w:sz="6" w:space="0" w:color="000000"/>
            </w:tcBorders>
          </w:tcPr>
          <w:p>
            <w:pPr>
              <w:pStyle w:val="TableParagraph"/>
              <w:rPr>
                <w:rFonts w:ascii="Times New Roman"/>
                <w:sz w:val="12"/>
              </w:rPr>
            </w:pPr>
          </w:p>
        </w:tc>
        <w:tc>
          <w:tcPr>
            <w:tcW w:w="345" w:type="dxa"/>
            <w:tcBorders>
              <w:top w:val="single" w:sz="6" w:space="0" w:color="000000"/>
            </w:tcBorders>
          </w:tcPr>
          <w:p>
            <w:pPr>
              <w:pStyle w:val="TableParagraph"/>
              <w:rPr>
                <w:rFonts w:ascii="Times New Roman"/>
                <w:sz w:val="12"/>
              </w:rPr>
            </w:pPr>
          </w:p>
        </w:tc>
        <w:tc>
          <w:tcPr>
            <w:tcW w:w="755" w:type="dxa"/>
            <w:tcBorders>
              <w:top w:val="single" w:sz="6" w:space="0" w:color="000000"/>
            </w:tcBorders>
          </w:tcPr>
          <w:p>
            <w:pPr>
              <w:pStyle w:val="TableParagraph"/>
              <w:rPr>
                <w:rFonts w:ascii="Times New Roman"/>
                <w:sz w:val="12"/>
              </w:rPr>
            </w:pPr>
          </w:p>
        </w:tc>
        <w:tc>
          <w:tcPr>
            <w:tcW w:w="572" w:type="dxa"/>
            <w:tcBorders>
              <w:top w:val="single" w:sz="6" w:space="0" w:color="000000"/>
            </w:tcBorders>
          </w:tcPr>
          <w:p>
            <w:pPr>
              <w:pStyle w:val="TableParagraph"/>
              <w:rPr>
                <w:rFonts w:ascii="Times New Roman"/>
                <w:sz w:val="12"/>
              </w:rPr>
            </w:pPr>
          </w:p>
        </w:tc>
        <w:tc>
          <w:tcPr>
            <w:tcW w:w="322" w:type="dxa"/>
            <w:tcBorders>
              <w:top w:val="single" w:sz="6" w:space="0" w:color="000000"/>
            </w:tcBorders>
          </w:tcPr>
          <w:p>
            <w:pPr>
              <w:pStyle w:val="TableParagraph"/>
              <w:rPr>
                <w:rFonts w:ascii="Times New Roman"/>
                <w:sz w:val="12"/>
              </w:rPr>
            </w:pPr>
          </w:p>
        </w:tc>
      </w:tr>
      <w:tr>
        <w:trPr>
          <w:trHeight w:val="399" w:hRule="atLeast"/>
        </w:trPr>
        <w:tc>
          <w:tcPr>
            <w:tcW w:w="4563" w:type="dxa"/>
          </w:tcPr>
          <w:p>
            <w:pPr>
              <w:pStyle w:val="TableParagraph"/>
              <w:spacing w:before="85"/>
              <w:ind w:left="34"/>
              <w:rPr>
                <w:b/>
                <w:sz w:val="13"/>
              </w:rPr>
            </w:pPr>
            <w:r>
              <w:rPr>
                <w:b/>
                <w:sz w:val="13"/>
              </w:rPr>
              <w:t>Audit</w:t>
            </w:r>
            <w:r>
              <w:rPr>
                <w:b/>
                <w:spacing w:val="-3"/>
                <w:sz w:val="13"/>
              </w:rPr>
              <w:t> </w:t>
            </w:r>
            <w:r>
              <w:rPr>
                <w:b/>
                <w:sz w:val="13"/>
              </w:rPr>
              <w:t>and</w:t>
            </w:r>
            <w:r>
              <w:rPr>
                <w:b/>
                <w:spacing w:val="-1"/>
                <w:sz w:val="13"/>
              </w:rPr>
              <w:t> </w:t>
            </w:r>
            <w:r>
              <w:rPr>
                <w:b/>
                <w:sz w:val="13"/>
              </w:rPr>
              <w:t>review</w:t>
            </w:r>
            <w:r>
              <w:rPr>
                <w:b/>
                <w:spacing w:val="2"/>
                <w:sz w:val="13"/>
              </w:rPr>
              <w:t> </w:t>
            </w:r>
            <w:r>
              <w:rPr>
                <w:b/>
                <w:sz w:val="13"/>
              </w:rPr>
              <w:t>of</w:t>
            </w:r>
            <w:r>
              <w:rPr>
                <w:b/>
                <w:spacing w:val="-2"/>
                <w:sz w:val="13"/>
              </w:rPr>
              <w:t> </w:t>
            </w:r>
            <w:r>
              <w:rPr>
                <w:b/>
                <w:sz w:val="13"/>
              </w:rPr>
              <w:t>the</w:t>
            </w:r>
            <w:r>
              <w:rPr>
                <w:b/>
                <w:spacing w:val="-3"/>
                <w:sz w:val="13"/>
              </w:rPr>
              <w:t> </w:t>
            </w:r>
            <w:r>
              <w:rPr>
                <w:b/>
                <w:sz w:val="13"/>
              </w:rPr>
              <w:t>Financial</w:t>
            </w:r>
            <w:r>
              <w:rPr>
                <w:b/>
                <w:spacing w:val="-1"/>
                <w:sz w:val="13"/>
              </w:rPr>
              <w:t> </w:t>
            </w:r>
            <w:r>
              <w:rPr>
                <w:b/>
                <w:spacing w:val="-2"/>
                <w:sz w:val="13"/>
              </w:rPr>
              <w:t>Statements</w:t>
            </w:r>
          </w:p>
          <w:p>
            <w:pPr>
              <w:pStyle w:val="TableParagraph"/>
              <w:spacing w:line="131" w:lineRule="exact" w:before="13"/>
              <w:ind w:left="34"/>
              <w:rPr>
                <w:sz w:val="13"/>
              </w:rPr>
            </w:pPr>
            <w:r>
              <w:rPr>
                <w:sz w:val="13"/>
              </w:rPr>
              <w:t>Office</w:t>
            </w:r>
            <w:r>
              <w:rPr>
                <w:spacing w:val="-4"/>
                <w:sz w:val="13"/>
              </w:rPr>
              <w:t> </w:t>
            </w:r>
            <w:r>
              <w:rPr>
                <w:sz w:val="13"/>
              </w:rPr>
              <w:t>of</w:t>
            </w:r>
            <w:r>
              <w:rPr>
                <w:spacing w:val="-1"/>
                <w:sz w:val="13"/>
              </w:rPr>
              <w:t> </w:t>
            </w:r>
            <w:r>
              <w:rPr>
                <w:sz w:val="13"/>
              </w:rPr>
              <w:t>the</w:t>
            </w:r>
            <w:r>
              <w:rPr>
                <w:spacing w:val="-3"/>
                <w:sz w:val="13"/>
              </w:rPr>
              <w:t> </w:t>
            </w:r>
            <w:r>
              <w:rPr>
                <w:sz w:val="13"/>
              </w:rPr>
              <w:t>Auditor</w:t>
            </w:r>
            <w:r>
              <w:rPr>
                <w:spacing w:val="-2"/>
                <w:sz w:val="13"/>
              </w:rPr>
              <w:t> General</w:t>
            </w:r>
          </w:p>
        </w:tc>
        <w:tc>
          <w:tcPr>
            <w:tcW w:w="620" w:type="dxa"/>
            <w:tcBorders>
              <w:bottom w:val="single" w:sz="6" w:space="0" w:color="000000"/>
            </w:tcBorders>
          </w:tcPr>
          <w:p>
            <w:pPr>
              <w:pStyle w:val="TableParagraph"/>
              <w:rPr>
                <w:rFonts w:ascii="Times New Roman"/>
                <w:sz w:val="12"/>
              </w:rPr>
            </w:pPr>
          </w:p>
        </w:tc>
        <w:tc>
          <w:tcPr>
            <w:tcW w:w="403" w:type="dxa"/>
            <w:tcBorders>
              <w:bottom w:val="single" w:sz="6" w:space="0" w:color="000000"/>
            </w:tcBorders>
          </w:tcPr>
          <w:p>
            <w:pPr>
              <w:pStyle w:val="TableParagraph"/>
              <w:spacing w:before="98"/>
              <w:rPr>
                <w:b/>
                <w:sz w:val="13"/>
              </w:rPr>
            </w:pPr>
          </w:p>
          <w:p>
            <w:pPr>
              <w:pStyle w:val="TableParagraph"/>
              <w:spacing w:line="131" w:lineRule="exact"/>
              <w:ind w:right="182"/>
              <w:jc w:val="right"/>
              <w:rPr>
                <w:sz w:val="13"/>
              </w:rPr>
            </w:pPr>
            <w:r>
              <w:rPr>
                <w:spacing w:val="-5"/>
                <w:sz w:val="13"/>
              </w:rPr>
              <w:t>416</w:t>
            </w:r>
          </w:p>
        </w:tc>
        <w:tc>
          <w:tcPr>
            <w:tcW w:w="504" w:type="dxa"/>
            <w:tcBorders>
              <w:bottom w:val="single" w:sz="6" w:space="0" w:color="000000"/>
            </w:tcBorders>
          </w:tcPr>
          <w:p>
            <w:pPr>
              <w:pStyle w:val="TableParagraph"/>
              <w:rPr>
                <w:rFonts w:ascii="Times New Roman"/>
                <w:sz w:val="12"/>
              </w:rPr>
            </w:pPr>
          </w:p>
        </w:tc>
        <w:tc>
          <w:tcPr>
            <w:tcW w:w="345" w:type="dxa"/>
            <w:tcBorders>
              <w:bottom w:val="single" w:sz="6" w:space="0" w:color="000000"/>
            </w:tcBorders>
          </w:tcPr>
          <w:p>
            <w:pPr>
              <w:pStyle w:val="TableParagraph"/>
              <w:spacing w:before="98"/>
              <w:rPr>
                <w:b/>
                <w:sz w:val="13"/>
              </w:rPr>
            </w:pPr>
          </w:p>
          <w:p>
            <w:pPr>
              <w:pStyle w:val="TableParagraph"/>
              <w:spacing w:line="131" w:lineRule="exact"/>
              <w:ind w:right="124"/>
              <w:jc w:val="right"/>
              <w:rPr>
                <w:sz w:val="13"/>
              </w:rPr>
            </w:pPr>
            <w:r>
              <w:rPr>
                <w:spacing w:val="-5"/>
                <w:sz w:val="13"/>
              </w:rPr>
              <w:t>372</w:t>
            </w:r>
          </w:p>
        </w:tc>
        <w:tc>
          <w:tcPr>
            <w:tcW w:w="755" w:type="dxa"/>
            <w:tcBorders>
              <w:bottom w:val="single" w:sz="6" w:space="0" w:color="000000"/>
            </w:tcBorders>
          </w:tcPr>
          <w:p>
            <w:pPr>
              <w:pStyle w:val="TableParagraph"/>
              <w:spacing w:before="98"/>
              <w:rPr>
                <w:b/>
                <w:sz w:val="13"/>
              </w:rPr>
            </w:pPr>
          </w:p>
          <w:p>
            <w:pPr>
              <w:pStyle w:val="TableParagraph"/>
              <w:spacing w:line="131" w:lineRule="exact"/>
              <w:ind w:left="245" w:right="144"/>
              <w:jc w:val="center"/>
              <w:rPr>
                <w:sz w:val="13"/>
              </w:rPr>
            </w:pPr>
            <w:r>
              <w:rPr>
                <w:spacing w:val="-5"/>
                <w:sz w:val="13"/>
              </w:rPr>
              <w:t>324</w:t>
            </w:r>
          </w:p>
        </w:tc>
        <w:tc>
          <w:tcPr>
            <w:tcW w:w="572" w:type="dxa"/>
            <w:tcBorders>
              <w:bottom w:val="single" w:sz="6" w:space="0" w:color="000000"/>
            </w:tcBorders>
          </w:tcPr>
          <w:p>
            <w:pPr>
              <w:pStyle w:val="TableParagraph"/>
              <w:rPr>
                <w:rFonts w:ascii="Times New Roman"/>
                <w:sz w:val="12"/>
              </w:rPr>
            </w:pPr>
          </w:p>
        </w:tc>
        <w:tc>
          <w:tcPr>
            <w:tcW w:w="322" w:type="dxa"/>
            <w:tcBorders>
              <w:bottom w:val="single" w:sz="6" w:space="0" w:color="000000"/>
            </w:tcBorders>
          </w:tcPr>
          <w:p>
            <w:pPr>
              <w:pStyle w:val="TableParagraph"/>
              <w:spacing w:before="98"/>
              <w:rPr>
                <w:b/>
                <w:sz w:val="13"/>
              </w:rPr>
            </w:pPr>
          </w:p>
          <w:p>
            <w:pPr>
              <w:pStyle w:val="TableParagraph"/>
              <w:spacing w:line="131" w:lineRule="exact"/>
              <w:ind w:right="68"/>
              <w:jc w:val="right"/>
              <w:rPr>
                <w:sz w:val="13"/>
              </w:rPr>
            </w:pPr>
            <w:r>
              <w:rPr>
                <w:spacing w:val="-5"/>
                <w:sz w:val="13"/>
              </w:rPr>
              <w:t>315</w:t>
            </w:r>
          </w:p>
        </w:tc>
      </w:tr>
      <w:tr>
        <w:trPr>
          <w:trHeight w:val="147" w:hRule="atLeast"/>
        </w:trPr>
        <w:tc>
          <w:tcPr>
            <w:tcW w:w="4563" w:type="dxa"/>
          </w:tcPr>
          <w:p>
            <w:pPr>
              <w:pStyle w:val="TableParagraph"/>
              <w:spacing w:line="127" w:lineRule="exact"/>
              <w:ind w:left="34"/>
              <w:rPr>
                <w:b/>
                <w:sz w:val="13"/>
              </w:rPr>
            </w:pPr>
            <w:r>
              <w:rPr>
                <w:b/>
                <w:sz w:val="13"/>
              </w:rPr>
              <w:t>Total</w:t>
            </w:r>
            <w:r>
              <w:rPr>
                <w:b/>
                <w:spacing w:val="-3"/>
                <w:sz w:val="13"/>
              </w:rPr>
              <w:t> </w:t>
            </w:r>
            <w:r>
              <w:rPr>
                <w:b/>
                <w:sz w:val="13"/>
              </w:rPr>
              <w:t>paid for</w:t>
            </w:r>
            <w:r>
              <w:rPr>
                <w:b/>
                <w:spacing w:val="-2"/>
                <w:sz w:val="13"/>
              </w:rPr>
              <w:t> </w:t>
            </w:r>
            <w:r>
              <w:rPr>
                <w:b/>
                <w:sz w:val="13"/>
              </w:rPr>
              <w:t>audit</w:t>
            </w:r>
            <w:r>
              <w:rPr>
                <w:b/>
                <w:spacing w:val="-1"/>
                <w:sz w:val="13"/>
              </w:rPr>
              <w:t> </w:t>
            </w:r>
            <w:r>
              <w:rPr>
                <w:b/>
                <w:sz w:val="13"/>
              </w:rPr>
              <w:t>and</w:t>
            </w:r>
            <w:r>
              <w:rPr>
                <w:b/>
                <w:spacing w:val="-1"/>
                <w:sz w:val="13"/>
              </w:rPr>
              <w:t> </w:t>
            </w:r>
            <w:r>
              <w:rPr>
                <w:b/>
                <w:sz w:val="13"/>
              </w:rPr>
              <w:t>review</w:t>
            </w:r>
            <w:r>
              <w:rPr>
                <w:b/>
                <w:spacing w:val="4"/>
                <w:sz w:val="13"/>
              </w:rPr>
              <w:t> </w:t>
            </w:r>
            <w:r>
              <w:rPr>
                <w:b/>
                <w:sz w:val="13"/>
              </w:rPr>
              <w:t>of</w:t>
            </w:r>
            <w:r>
              <w:rPr>
                <w:b/>
                <w:spacing w:val="-1"/>
                <w:sz w:val="13"/>
              </w:rPr>
              <w:t> </w:t>
            </w:r>
            <w:r>
              <w:rPr>
                <w:b/>
                <w:sz w:val="13"/>
              </w:rPr>
              <w:t>the</w:t>
            </w:r>
            <w:r>
              <w:rPr>
                <w:b/>
                <w:spacing w:val="-2"/>
                <w:sz w:val="13"/>
              </w:rPr>
              <w:t> </w:t>
            </w:r>
            <w:r>
              <w:rPr>
                <w:b/>
                <w:sz w:val="13"/>
              </w:rPr>
              <w:t>Financial </w:t>
            </w:r>
            <w:r>
              <w:rPr>
                <w:b/>
                <w:spacing w:val="-2"/>
                <w:sz w:val="13"/>
              </w:rPr>
              <w:t>Statements</w:t>
            </w:r>
          </w:p>
        </w:tc>
        <w:tc>
          <w:tcPr>
            <w:tcW w:w="620" w:type="dxa"/>
            <w:tcBorders>
              <w:top w:val="single" w:sz="6" w:space="0" w:color="000000"/>
              <w:bottom w:val="single" w:sz="6" w:space="0" w:color="000000"/>
            </w:tcBorders>
          </w:tcPr>
          <w:p>
            <w:pPr>
              <w:pStyle w:val="TableParagraph"/>
              <w:rPr>
                <w:rFonts w:ascii="Times New Roman"/>
                <w:sz w:val="8"/>
              </w:rPr>
            </w:pPr>
          </w:p>
        </w:tc>
        <w:tc>
          <w:tcPr>
            <w:tcW w:w="403" w:type="dxa"/>
            <w:tcBorders>
              <w:top w:val="single" w:sz="6" w:space="0" w:color="000000"/>
              <w:bottom w:val="single" w:sz="6" w:space="0" w:color="000000"/>
            </w:tcBorders>
          </w:tcPr>
          <w:p>
            <w:pPr>
              <w:pStyle w:val="TableParagraph"/>
              <w:spacing w:line="127" w:lineRule="exact"/>
              <w:ind w:right="182"/>
              <w:jc w:val="right"/>
              <w:rPr>
                <w:b/>
                <w:sz w:val="13"/>
              </w:rPr>
            </w:pPr>
            <w:r>
              <w:rPr>
                <w:b/>
                <w:spacing w:val="-5"/>
                <w:sz w:val="13"/>
              </w:rPr>
              <w:t>416</w:t>
            </w:r>
          </w:p>
        </w:tc>
        <w:tc>
          <w:tcPr>
            <w:tcW w:w="504" w:type="dxa"/>
            <w:tcBorders>
              <w:top w:val="single" w:sz="6" w:space="0" w:color="000000"/>
              <w:bottom w:val="single" w:sz="6" w:space="0" w:color="000000"/>
            </w:tcBorders>
          </w:tcPr>
          <w:p>
            <w:pPr>
              <w:pStyle w:val="TableParagraph"/>
              <w:rPr>
                <w:rFonts w:ascii="Times New Roman"/>
                <w:sz w:val="8"/>
              </w:rPr>
            </w:pPr>
          </w:p>
        </w:tc>
        <w:tc>
          <w:tcPr>
            <w:tcW w:w="345" w:type="dxa"/>
            <w:tcBorders>
              <w:top w:val="single" w:sz="6" w:space="0" w:color="000000"/>
              <w:bottom w:val="single" w:sz="6" w:space="0" w:color="000000"/>
            </w:tcBorders>
          </w:tcPr>
          <w:p>
            <w:pPr>
              <w:pStyle w:val="TableParagraph"/>
              <w:spacing w:line="127" w:lineRule="exact"/>
              <w:ind w:right="124"/>
              <w:jc w:val="right"/>
              <w:rPr>
                <w:b/>
                <w:sz w:val="13"/>
              </w:rPr>
            </w:pPr>
            <w:r>
              <w:rPr>
                <w:b/>
                <w:spacing w:val="-5"/>
                <w:sz w:val="13"/>
              </w:rPr>
              <w:t>372</w:t>
            </w:r>
          </w:p>
        </w:tc>
        <w:tc>
          <w:tcPr>
            <w:tcW w:w="755" w:type="dxa"/>
            <w:tcBorders>
              <w:top w:val="single" w:sz="6" w:space="0" w:color="000000"/>
              <w:bottom w:val="single" w:sz="6" w:space="0" w:color="000000"/>
            </w:tcBorders>
          </w:tcPr>
          <w:p>
            <w:pPr>
              <w:pStyle w:val="TableParagraph"/>
              <w:spacing w:line="127" w:lineRule="exact"/>
              <w:ind w:left="245" w:right="144"/>
              <w:jc w:val="center"/>
              <w:rPr>
                <w:b/>
                <w:sz w:val="13"/>
              </w:rPr>
            </w:pPr>
            <w:r>
              <w:rPr>
                <w:b/>
                <w:spacing w:val="-5"/>
                <w:sz w:val="13"/>
              </w:rPr>
              <w:t>324</w:t>
            </w:r>
          </w:p>
        </w:tc>
        <w:tc>
          <w:tcPr>
            <w:tcW w:w="572" w:type="dxa"/>
            <w:tcBorders>
              <w:top w:val="single" w:sz="6" w:space="0" w:color="000000"/>
              <w:bottom w:val="single" w:sz="6" w:space="0" w:color="000000"/>
            </w:tcBorders>
          </w:tcPr>
          <w:p>
            <w:pPr>
              <w:pStyle w:val="TableParagraph"/>
              <w:rPr>
                <w:rFonts w:ascii="Times New Roman"/>
                <w:sz w:val="8"/>
              </w:rPr>
            </w:pPr>
          </w:p>
        </w:tc>
        <w:tc>
          <w:tcPr>
            <w:tcW w:w="322" w:type="dxa"/>
            <w:tcBorders>
              <w:top w:val="single" w:sz="6" w:space="0" w:color="000000"/>
              <w:bottom w:val="single" w:sz="6" w:space="0" w:color="000000"/>
            </w:tcBorders>
          </w:tcPr>
          <w:p>
            <w:pPr>
              <w:pStyle w:val="TableParagraph"/>
              <w:spacing w:line="127" w:lineRule="exact"/>
              <w:ind w:right="68"/>
              <w:jc w:val="right"/>
              <w:rPr>
                <w:b/>
                <w:sz w:val="13"/>
              </w:rPr>
            </w:pPr>
            <w:r>
              <w:rPr>
                <w:b/>
                <w:spacing w:val="-5"/>
                <w:sz w:val="13"/>
              </w:rPr>
              <w:t>315</w:t>
            </w:r>
          </w:p>
        </w:tc>
      </w:tr>
      <w:tr>
        <w:trPr>
          <w:trHeight w:val="478" w:hRule="atLeast"/>
        </w:trPr>
        <w:tc>
          <w:tcPr>
            <w:tcW w:w="4563" w:type="dxa"/>
          </w:tcPr>
          <w:p>
            <w:pPr>
              <w:pStyle w:val="TableParagraph"/>
              <w:spacing w:before="8"/>
              <w:rPr>
                <w:b/>
                <w:sz w:val="13"/>
              </w:rPr>
            </w:pPr>
          </w:p>
          <w:p>
            <w:pPr>
              <w:pStyle w:val="TableParagraph"/>
              <w:spacing w:before="1"/>
              <w:ind w:left="34"/>
              <w:rPr>
                <w:b/>
                <w:sz w:val="13"/>
              </w:rPr>
            </w:pPr>
            <w:r>
              <w:rPr>
                <w:b/>
                <w:sz w:val="13"/>
              </w:rPr>
              <w:t>Other</w:t>
            </w:r>
            <w:r>
              <w:rPr>
                <w:b/>
                <w:spacing w:val="-4"/>
                <w:sz w:val="13"/>
              </w:rPr>
              <w:t> </w:t>
            </w:r>
            <w:r>
              <w:rPr>
                <w:b/>
                <w:sz w:val="13"/>
              </w:rPr>
              <w:t>audit</w:t>
            </w:r>
            <w:r>
              <w:rPr>
                <w:b/>
                <w:spacing w:val="-2"/>
                <w:sz w:val="13"/>
              </w:rPr>
              <w:t> </w:t>
            </w:r>
            <w:r>
              <w:rPr>
                <w:b/>
                <w:sz w:val="13"/>
              </w:rPr>
              <w:t>and</w:t>
            </w:r>
            <w:r>
              <w:rPr>
                <w:b/>
                <w:spacing w:val="-1"/>
                <w:sz w:val="13"/>
              </w:rPr>
              <w:t> </w:t>
            </w:r>
            <w:r>
              <w:rPr>
                <w:b/>
                <w:sz w:val="13"/>
              </w:rPr>
              <w:t>assurance</w:t>
            </w:r>
            <w:r>
              <w:rPr>
                <w:b/>
                <w:spacing w:val="-3"/>
                <w:sz w:val="13"/>
              </w:rPr>
              <w:t> </w:t>
            </w:r>
            <w:r>
              <w:rPr>
                <w:b/>
                <w:spacing w:val="-2"/>
                <w:sz w:val="13"/>
              </w:rPr>
              <w:t>services*</w:t>
            </w:r>
          </w:p>
          <w:p>
            <w:pPr>
              <w:pStyle w:val="TableParagraph"/>
              <w:spacing w:line="138" w:lineRule="exact" w:before="13"/>
              <w:ind w:left="34"/>
              <w:rPr>
                <w:sz w:val="13"/>
              </w:rPr>
            </w:pPr>
            <w:r>
              <w:rPr>
                <w:sz w:val="13"/>
              </w:rPr>
              <w:t>Office</w:t>
            </w:r>
            <w:r>
              <w:rPr>
                <w:spacing w:val="-4"/>
                <w:sz w:val="13"/>
              </w:rPr>
              <w:t> </w:t>
            </w:r>
            <w:r>
              <w:rPr>
                <w:sz w:val="13"/>
              </w:rPr>
              <w:t>of</w:t>
            </w:r>
            <w:r>
              <w:rPr>
                <w:spacing w:val="-1"/>
                <w:sz w:val="13"/>
              </w:rPr>
              <w:t> </w:t>
            </w:r>
            <w:r>
              <w:rPr>
                <w:sz w:val="13"/>
              </w:rPr>
              <w:t>the</w:t>
            </w:r>
            <w:r>
              <w:rPr>
                <w:spacing w:val="-3"/>
                <w:sz w:val="13"/>
              </w:rPr>
              <w:t> </w:t>
            </w:r>
            <w:r>
              <w:rPr>
                <w:sz w:val="13"/>
              </w:rPr>
              <w:t>Auditor</w:t>
            </w:r>
            <w:r>
              <w:rPr>
                <w:spacing w:val="-2"/>
                <w:sz w:val="13"/>
              </w:rPr>
              <w:t> General</w:t>
            </w:r>
          </w:p>
        </w:tc>
        <w:tc>
          <w:tcPr>
            <w:tcW w:w="620" w:type="dxa"/>
            <w:tcBorders>
              <w:top w:val="single" w:sz="6" w:space="0" w:color="000000"/>
            </w:tcBorders>
          </w:tcPr>
          <w:p>
            <w:pPr>
              <w:pStyle w:val="TableParagraph"/>
              <w:rPr>
                <w:rFonts w:ascii="Times New Roman"/>
                <w:sz w:val="12"/>
              </w:rPr>
            </w:pPr>
          </w:p>
        </w:tc>
        <w:tc>
          <w:tcPr>
            <w:tcW w:w="403" w:type="dxa"/>
            <w:tcBorders>
              <w:top w:val="single" w:sz="6" w:space="0" w:color="000000"/>
            </w:tcBorders>
          </w:tcPr>
          <w:p>
            <w:pPr>
              <w:pStyle w:val="TableParagraph"/>
              <w:rPr>
                <w:b/>
                <w:sz w:val="13"/>
              </w:rPr>
            </w:pPr>
          </w:p>
          <w:p>
            <w:pPr>
              <w:pStyle w:val="TableParagraph"/>
              <w:spacing w:before="21"/>
              <w:rPr>
                <w:b/>
                <w:sz w:val="13"/>
              </w:rPr>
            </w:pPr>
          </w:p>
          <w:p>
            <w:pPr>
              <w:pStyle w:val="TableParagraph"/>
              <w:spacing w:line="138" w:lineRule="exact" w:before="1"/>
              <w:ind w:right="182"/>
              <w:jc w:val="right"/>
              <w:rPr>
                <w:sz w:val="13"/>
              </w:rPr>
            </w:pPr>
            <w:r>
              <w:rPr>
                <w:spacing w:val="-5"/>
                <w:sz w:val="13"/>
              </w:rPr>
              <w:t>20</w:t>
            </w:r>
          </w:p>
        </w:tc>
        <w:tc>
          <w:tcPr>
            <w:tcW w:w="504" w:type="dxa"/>
            <w:tcBorders>
              <w:top w:val="single" w:sz="6" w:space="0" w:color="000000"/>
            </w:tcBorders>
          </w:tcPr>
          <w:p>
            <w:pPr>
              <w:pStyle w:val="TableParagraph"/>
              <w:rPr>
                <w:rFonts w:ascii="Times New Roman"/>
                <w:sz w:val="12"/>
              </w:rPr>
            </w:pPr>
          </w:p>
        </w:tc>
        <w:tc>
          <w:tcPr>
            <w:tcW w:w="345" w:type="dxa"/>
            <w:tcBorders>
              <w:top w:val="single" w:sz="6" w:space="0" w:color="000000"/>
            </w:tcBorders>
          </w:tcPr>
          <w:p>
            <w:pPr>
              <w:pStyle w:val="TableParagraph"/>
              <w:rPr>
                <w:b/>
                <w:sz w:val="13"/>
              </w:rPr>
            </w:pPr>
          </w:p>
          <w:p>
            <w:pPr>
              <w:pStyle w:val="TableParagraph"/>
              <w:spacing w:before="21"/>
              <w:rPr>
                <w:b/>
                <w:sz w:val="13"/>
              </w:rPr>
            </w:pPr>
          </w:p>
          <w:p>
            <w:pPr>
              <w:pStyle w:val="TableParagraph"/>
              <w:spacing w:line="138" w:lineRule="exact" w:before="1"/>
              <w:ind w:right="124"/>
              <w:jc w:val="right"/>
              <w:rPr>
                <w:sz w:val="13"/>
              </w:rPr>
            </w:pPr>
            <w:r>
              <w:rPr>
                <w:spacing w:val="-5"/>
                <w:sz w:val="13"/>
              </w:rPr>
              <w:t>14</w:t>
            </w:r>
          </w:p>
        </w:tc>
        <w:tc>
          <w:tcPr>
            <w:tcW w:w="755" w:type="dxa"/>
            <w:tcBorders>
              <w:top w:val="single" w:sz="6" w:space="0" w:color="000000"/>
            </w:tcBorders>
          </w:tcPr>
          <w:p>
            <w:pPr>
              <w:pStyle w:val="TableParagraph"/>
              <w:rPr>
                <w:b/>
                <w:sz w:val="13"/>
              </w:rPr>
            </w:pPr>
          </w:p>
          <w:p>
            <w:pPr>
              <w:pStyle w:val="TableParagraph"/>
              <w:spacing w:before="21"/>
              <w:rPr>
                <w:b/>
                <w:sz w:val="13"/>
              </w:rPr>
            </w:pPr>
          </w:p>
          <w:p>
            <w:pPr>
              <w:pStyle w:val="TableParagraph"/>
              <w:spacing w:line="138" w:lineRule="exact" w:before="1"/>
              <w:ind w:left="245" w:right="72"/>
              <w:jc w:val="center"/>
              <w:rPr>
                <w:sz w:val="13"/>
              </w:rPr>
            </w:pPr>
            <w:r>
              <w:rPr>
                <w:spacing w:val="-5"/>
                <w:sz w:val="13"/>
              </w:rPr>
              <w:t>20</w:t>
            </w:r>
          </w:p>
        </w:tc>
        <w:tc>
          <w:tcPr>
            <w:tcW w:w="572" w:type="dxa"/>
            <w:tcBorders>
              <w:top w:val="single" w:sz="6" w:space="0" w:color="000000"/>
            </w:tcBorders>
          </w:tcPr>
          <w:p>
            <w:pPr>
              <w:pStyle w:val="TableParagraph"/>
              <w:rPr>
                <w:rFonts w:ascii="Times New Roman"/>
                <w:sz w:val="12"/>
              </w:rPr>
            </w:pPr>
          </w:p>
        </w:tc>
        <w:tc>
          <w:tcPr>
            <w:tcW w:w="322" w:type="dxa"/>
            <w:tcBorders>
              <w:top w:val="single" w:sz="6" w:space="0" w:color="000000"/>
            </w:tcBorders>
          </w:tcPr>
          <w:p>
            <w:pPr>
              <w:pStyle w:val="TableParagraph"/>
              <w:rPr>
                <w:b/>
                <w:sz w:val="13"/>
              </w:rPr>
            </w:pPr>
          </w:p>
          <w:p>
            <w:pPr>
              <w:pStyle w:val="TableParagraph"/>
              <w:spacing w:before="21"/>
              <w:rPr>
                <w:b/>
                <w:sz w:val="13"/>
              </w:rPr>
            </w:pPr>
          </w:p>
          <w:p>
            <w:pPr>
              <w:pStyle w:val="TableParagraph"/>
              <w:spacing w:line="138" w:lineRule="exact" w:before="1"/>
              <w:ind w:right="68"/>
              <w:jc w:val="right"/>
              <w:rPr>
                <w:sz w:val="13"/>
              </w:rPr>
            </w:pPr>
            <w:r>
              <w:rPr>
                <w:spacing w:val="-5"/>
                <w:sz w:val="13"/>
              </w:rPr>
              <w:t>14</w:t>
            </w:r>
          </w:p>
        </w:tc>
      </w:tr>
      <w:tr>
        <w:trPr>
          <w:trHeight w:val="162" w:hRule="atLeast"/>
        </w:trPr>
        <w:tc>
          <w:tcPr>
            <w:tcW w:w="4563" w:type="dxa"/>
          </w:tcPr>
          <w:p>
            <w:pPr>
              <w:pStyle w:val="TableParagraph"/>
              <w:spacing w:line="138" w:lineRule="exact" w:before="4"/>
              <w:ind w:left="34"/>
              <w:rPr>
                <w:sz w:val="13"/>
              </w:rPr>
            </w:pPr>
            <w:r>
              <w:rPr>
                <w:sz w:val="13"/>
              </w:rPr>
              <w:t>AvantEdge</w:t>
            </w:r>
            <w:r>
              <w:rPr>
                <w:spacing w:val="-5"/>
                <w:sz w:val="13"/>
              </w:rPr>
              <w:t> </w:t>
            </w:r>
            <w:r>
              <w:rPr>
                <w:spacing w:val="-2"/>
                <w:sz w:val="13"/>
              </w:rPr>
              <w:t>Consulting</w:t>
            </w:r>
          </w:p>
        </w:tc>
        <w:tc>
          <w:tcPr>
            <w:tcW w:w="620" w:type="dxa"/>
          </w:tcPr>
          <w:p>
            <w:pPr>
              <w:pStyle w:val="TableParagraph"/>
              <w:rPr>
                <w:rFonts w:ascii="Times New Roman"/>
                <w:sz w:val="10"/>
              </w:rPr>
            </w:pPr>
          </w:p>
        </w:tc>
        <w:tc>
          <w:tcPr>
            <w:tcW w:w="403" w:type="dxa"/>
          </w:tcPr>
          <w:p>
            <w:pPr>
              <w:pStyle w:val="TableParagraph"/>
              <w:spacing w:line="138" w:lineRule="exact" w:before="4"/>
              <w:ind w:right="182"/>
              <w:jc w:val="right"/>
              <w:rPr>
                <w:sz w:val="13"/>
              </w:rPr>
            </w:pPr>
            <w:r>
              <w:rPr>
                <w:spacing w:val="-5"/>
                <w:sz w:val="13"/>
              </w:rPr>
              <w:t>15</w:t>
            </w:r>
          </w:p>
        </w:tc>
        <w:tc>
          <w:tcPr>
            <w:tcW w:w="504" w:type="dxa"/>
          </w:tcPr>
          <w:p>
            <w:pPr>
              <w:pStyle w:val="TableParagraph"/>
              <w:rPr>
                <w:rFonts w:ascii="Times New Roman"/>
                <w:sz w:val="10"/>
              </w:rPr>
            </w:pPr>
          </w:p>
        </w:tc>
        <w:tc>
          <w:tcPr>
            <w:tcW w:w="345" w:type="dxa"/>
          </w:tcPr>
          <w:p>
            <w:pPr>
              <w:pStyle w:val="TableParagraph"/>
              <w:spacing w:line="138" w:lineRule="exact" w:before="4"/>
              <w:ind w:right="124"/>
              <w:jc w:val="right"/>
              <w:rPr>
                <w:sz w:val="13"/>
              </w:rPr>
            </w:pPr>
            <w:r>
              <w:rPr>
                <w:spacing w:val="-5"/>
                <w:sz w:val="13"/>
              </w:rPr>
              <w:t>18</w:t>
            </w:r>
          </w:p>
        </w:tc>
        <w:tc>
          <w:tcPr>
            <w:tcW w:w="755" w:type="dxa"/>
          </w:tcPr>
          <w:p>
            <w:pPr>
              <w:pStyle w:val="TableParagraph"/>
              <w:spacing w:line="138" w:lineRule="exact" w:before="4"/>
              <w:ind w:left="245" w:right="72"/>
              <w:jc w:val="center"/>
              <w:rPr>
                <w:sz w:val="13"/>
              </w:rPr>
            </w:pPr>
            <w:r>
              <w:rPr>
                <w:spacing w:val="-5"/>
                <w:sz w:val="13"/>
              </w:rPr>
              <w:t>15</w:t>
            </w:r>
          </w:p>
        </w:tc>
        <w:tc>
          <w:tcPr>
            <w:tcW w:w="572" w:type="dxa"/>
          </w:tcPr>
          <w:p>
            <w:pPr>
              <w:pStyle w:val="TableParagraph"/>
              <w:rPr>
                <w:rFonts w:ascii="Times New Roman"/>
                <w:sz w:val="10"/>
              </w:rPr>
            </w:pPr>
          </w:p>
        </w:tc>
        <w:tc>
          <w:tcPr>
            <w:tcW w:w="322" w:type="dxa"/>
          </w:tcPr>
          <w:p>
            <w:pPr>
              <w:pStyle w:val="TableParagraph"/>
              <w:spacing w:line="138" w:lineRule="exact" w:before="4"/>
              <w:ind w:right="68"/>
              <w:jc w:val="right"/>
              <w:rPr>
                <w:sz w:val="13"/>
              </w:rPr>
            </w:pPr>
            <w:r>
              <w:rPr>
                <w:spacing w:val="-5"/>
                <w:sz w:val="13"/>
              </w:rPr>
              <w:t>15</w:t>
            </w:r>
          </w:p>
        </w:tc>
      </w:tr>
      <w:tr>
        <w:trPr>
          <w:trHeight w:val="163" w:hRule="atLeast"/>
        </w:trPr>
        <w:tc>
          <w:tcPr>
            <w:tcW w:w="4563" w:type="dxa"/>
          </w:tcPr>
          <w:p>
            <w:pPr>
              <w:pStyle w:val="TableParagraph"/>
              <w:spacing w:line="139" w:lineRule="exact" w:before="4"/>
              <w:ind w:left="34"/>
              <w:rPr>
                <w:sz w:val="13"/>
              </w:rPr>
            </w:pPr>
            <w:r>
              <w:rPr>
                <w:sz w:val="13"/>
              </w:rPr>
              <w:t>Butler</w:t>
            </w:r>
            <w:r>
              <w:rPr>
                <w:spacing w:val="-6"/>
                <w:sz w:val="13"/>
              </w:rPr>
              <w:t> </w:t>
            </w:r>
            <w:r>
              <w:rPr>
                <w:spacing w:val="-2"/>
                <w:sz w:val="13"/>
              </w:rPr>
              <w:t>Settineri</w:t>
            </w:r>
          </w:p>
        </w:tc>
        <w:tc>
          <w:tcPr>
            <w:tcW w:w="620" w:type="dxa"/>
          </w:tcPr>
          <w:p>
            <w:pPr>
              <w:pStyle w:val="TableParagraph"/>
              <w:rPr>
                <w:rFonts w:ascii="Times New Roman"/>
                <w:sz w:val="10"/>
              </w:rPr>
            </w:pPr>
          </w:p>
        </w:tc>
        <w:tc>
          <w:tcPr>
            <w:tcW w:w="403" w:type="dxa"/>
          </w:tcPr>
          <w:p>
            <w:pPr>
              <w:pStyle w:val="TableParagraph"/>
              <w:spacing w:line="137" w:lineRule="exact" w:before="6"/>
              <w:ind w:right="183"/>
              <w:jc w:val="right"/>
              <w:rPr>
                <w:sz w:val="13"/>
              </w:rPr>
            </w:pPr>
            <w:r>
              <w:rPr>
                <w:spacing w:val="-10"/>
                <w:sz w:val="13"/>
              </w:rPr>
              <w:t>3</w:t>
            </w:r>
          </w:p>
        </w:tc>
        <w:tc>
          <w:tcPr>
            <w:tcW w:w="504" w:type="dxa"/>
          </w:tcPr>
          <w:p>
            <w:pPr>
              <w:pStyle w:val="TableParagraph"/>
              <w:rPr>
                <w:rFonts w:ascii="Times New Roman"/>
                <w:sz w:val="10"/>
              </w:rPr>
            </w:pPr>
          </w:p>
        </w:tc>
        <w:tc>
          <w:tcPr>
            <w:tcW w:w="345" w:type="dxa"/>
          </w:tcPr>
          <w:p>
            <w:pPr>
              <w:pStyle w:val="TableParagraph"/>
              <w:spacing w:line="137" w:lineRule="exact" w:before="6"/>
              <w:ind w:right="118"/>
              <w:jc w:val="right"/>
              <w:rPr>
                <w:sz w:val="13"/>
              </w:rPr>
            </w:pPr>
            <w:r>
              <w:rPr>
                <w:spacing w:val="-10"/>
                <w:sz w:val="13"/>
              </w:rPr>
              <w:t>-</w:t>
            </w:r>
          </w:p>
        </w:tc>
        <w:tc>
          <w:tcPr>
            <w:tcW w:w="755" w:type="dxa"/>
          </w:tcPr>
          <w:p>
            <w:pPr>
              <w:pStyle w:val="TableParagraph"/>
              <w:spacing w:line="137" w:lineRule="exact" w:before="6"/>
              <w:ind w:left="245"/>
              <w:jc w:val="center"/>
              <w:rPr>
                <w:sz w:val="13"/>
              </w:rPr>
            </w:pPr>
            <w:r>
              <w:rPr>
                <w:spacing w:val="-10"/>
                <w:sz w:val="13"/>
              </w:rPr>
              <w:t>3</w:t>
            </w:r>
          </w:p>
        </w:tc>
        <w:tc>
          <w:tcPr>
            <w:tcW w:w="572" w:type="dxa"/>
          </w:tcPr>
          <w:p>
            <w:pPr>
              <w:pStyle w:val="TableParagraph"/>
              <w:rPr>
                <w:rFonts w:ascii="Times New Roman"/>
                <w:sz w:val="10"/>
              </w:rPr>
            </w:pPr>
          </w:p>
        </w:tc>
        <w:tc>
          <w:tcPr>
            <w:tcW w:w="322" w:type="dxa"/>
          </w:tcPr>
          <w:p>
            <w:pPr>
              <w:pStyle w:val="TableParagraph"/>
              <w:spacing w:line="137" w:lineRule="exact" w:before="6"/>
              <w:ind w:right="61"/>
              <w:jc w:val="right"/>
              <w:rPr>
                <w:sz w:val="13"/>
              </w:rPr>
            </w:pPr>
            <w:r>
              <w:rPr>
                <w:spacing w:val="-10"/>
                <w:sz w:val="13"/>
              </w:rPr>
              <w:t>-</w:t>
            </w:r>
          </w:p>
        </w:tc>
      </w:tr>
      <w:tr>
        <w:trPr>
          <w:trHeight w:val="161" w:hRule="atLeast"/>
        </w:trPr>
        <w:tc>
          <w:tcPr>
            <w:tcW w:w="4563" w:type="dxa"/>
          </w:tcPr>
          <w:p>
            <w:pPr>
              <w:pStyle w:val="TableParagraph"/>
              <w:spacing w:line="138" w:lineRule="exact" w:before="3"/>
              <w:ind w:left="34"/>
              <w:rPr>
                <w:sz w:val="13"/>
              </w:rPr>
            </w:pPr>
            <w:r>
              <w:rPr>
                <w:sz w:val="13"/>
              </w:rPr>
              <w:t>Ernst</w:t>
            </w:r>
            <w:r>
              <w:rPr>
                <w:spacing w:val="-2"/>
                <w:sz w:val="13"/>
              </w:rPr>
              <w:t> </w:t>
            </w:r>
            <w:r>
              <w:rPr>
                <w:sz w:val="13"/>
              </w:rPr>
              <w:t>and</w:t>
            </w:r>
            <w:r>
              <w:rPr>
                <w:spacing w:val="-2"/>
                <w:sz w:val="13"/>
              </w:rPr>
              <w:t> Young</w:t>
            </w:r>
          </w:p>
        </w:tc>
        <w:tc>
          <w:tcPr>
            <w:tcW w:w="620" w:type="dxa"/>
          </w:tcPr>
          <w:p>
            <w:pPr>
              <w:pStyle w:val="TableParagraph"/>
              <w:rPr>
                <w:rFonts w:ascii="Times New Roman"/>
                <w:sz w:val="10"/>
              </w:rPr>
            </w:pPr>
          </w:p>
        </w:tc>
        <w:tc>
          <w:tcPr>
            <w:tcW w:w="403" w:type="dxa"/>
          </w:tcPr>
          <w:p>
            <w:pPr>
              <w:pStyle w:val="TableParagraph"/>
              <w:spacing w:line="138" w:lineRule="exact" w:before="3"/>
              <w:ind w:right="182"/>
              <w:jc w:val="right"/>
              <w:rPr>
                <w:sz w:val="13"/>
              </w:rPr>
            </w:pPr>
            <w:r>
              <w:rPr>
                <w:spacing w:val="-5"/>
                <w:sz w:val="13"/>
              </w:rPr>
              <w:t>213</w:t>
            </w:r>
          </w:p>
        </w:tc>
        <w:tc>
          <w:tcPr>
            <w:tcW w:w="504" w:type="dxa"/>
          </w:tcPr>
          <w:p>
            <w:pPr>
              <w:pStyle w:val="TableParagraph"/>
              <w:rPr>
                <w:rFonts w:ascii="Times New Roman"/>
                <w:sz w:val="10"/>
              </w:rPr>
            </w:pPr>
          </w:p>
        </w:tc>
        <w:tc>
          <w:tcPr>
            <w:tcW w:w="345" w:type="dxa"/>
          </w:tcPr>
          <w:p>
            <w:pPr>
              <w:pStyle w:val="TableParagraph"/>
              <w:spacing w:line="138" w:lineRule="exact" w:before="3"/>
              <w:ind w:right="124"/>
              <w:jc w:val="right"/>
              <w:rPr>
                <w:sz w:val="13"/>
              </w:rPr>
            </w:pPr>
            <w:r>
              <w:rPr>
                <w:spacing w:val="-5"/>
                <w:sz w:val="13"/>
              </w:rPr>
              <w:t>214</w:t>
            </w:r>
          </w:p>
        </w:tc>
        <w:tc>
          <w:tcPr>
            <w:tcW w:w="755" w:type="dxa"/>
          </w:tcPr>
          <w:p>
            <w:pPr>
              <w:pStyle w:val="TableParagraph"/>
              <w:spacing w:line="138" w:lineRule="exact" w:before="3"/>
              <w:ind w:left="245" w:right="144"/>
              <w:jc w:val="center"/>
              <w:rPr>
                <w:sz w:val="13"/>
              </w:rPr>
            </w:pPr>
            <w:r>
              <w:rPr>
                <w:spacing w:val="-5"/>
                <w:sz w:val="13"/>
              </w:rPr>
              <w:t>213</w:t>
            </w:r>
          </w:p>
        </w:tc>
        <w:tc>
          <w:tcPr>
            <w:tcW w:w="572" w:type="dxa"/>
          </w:tcPr>
          <w:p>
            <w:pPr>
              <w:pStyle w:val="TableParagraph"/>
              <w:rPr>
                <w:rFonts w:ascii="Times New Roman"/>
                <w:sz w:val="10"/>
              </w:rPr>
            </w:pPr>
          </w:p>
        </w:tc>
        <w:tc>
          <w:tcPr>
            <w:tcW w:w="322" w:type="dxa"/>
          </w:tcPr>
          <w:p>
            <w:pPr>
              <w:pStyle w:val="TableParagraph"/>
              <w:spacing w:line="138" w:lineRule="exact" w:before="3"/>
              <w:ind w:right="68"/>
              <w:jc w:val="right"/>
              <w:rPr>
                <w:sz w:val="13"/>
              </w:rPr>
            </w:pPr>
            <w:r>
              <w:rPr>
                <w:spacing w:val="-5"/>
                <w:sz w:val="13"/>
              </w:rPr>
              <w:t>214</w:t>
            </w:r>
          </w:p>
        </w:tc>
      </w:tr>
      <w:tr>
        <w:trPr>
          <w:trHeight w:val="163" w:hRule="atLeast"/>
        </w:trPr>
        <w:tc>
          <w:tcPr>
            <w:tcW w:w="4563" w:type="dxa"/>
          </w:tcPr>
          <w:p>
            <w:pPr>
              <w:pStyle w:val="TableParagraph"/>
              <w:spacing w:line="139" w:lineRule="exact" w:before="4"/>
              <w:ind w:left="34"/>
              <w:rPr>
                <w:sz w:val="13"/>
              </w:rPr>
            </w:pPr>
            <w:r>
              <w:rPr>
                <w:sz w:val="13"/>
              </w:rPr>
              <w:t>KPMG</w:t>
            </w:r>
            <w:r>
              <w:rPr>
                <w:spacing w:val="-2"/>
                <w:sz w:val="13"/>
              </w:rPr>
              <w:t> Australia</w:t>
            </w:r>
          </w:p>
        </w:tc>
        <w:tc>
          <w:tcPr>
            <w:tcW w:w="620" w:type="dxa"/>
          </w:tcPr>
          <w:p>
            <w:pPr>
              <w:pStyle w:val="TableParagraph"/>
              <w:rPr>
                <w:rFonts w:ascii="Times New Roman"/>
                <w:sz w:val="10"/>
              </w:rPr>
            </w:pPr>
          </w:p>
        </w:tc>
        <w:tc>
          <w:tcPr>
            <w:tcW w:w="403" w:type="dxa"/>
          </w:tcPr>
          <w:p>
            <w:pPr>
              <w:pStyle w:val="TableParagraph"/>
              <w:spacing w:line="137" w:lineRule="exact" w:before="6"/>
              <w:ind w:right="182"/>
              <w:jc w:val="right"/>
              <w:rPr>
                <w:sz w:val="13"/>
              </w:rPr>
            </w:pPr>
            <w:r>
              <w:rPr>
                <w:spacing w:val="-5"/>
                <w:sz w:val="13"/>
              </w:rPr>
              <w:t>37</w:t>
            </w:r>
          </w:p>
        </w:tc>
        <w:tc>
          <w:tcPr>
            <w:tcW w:w="504" w:type="dxa"/>
          </w:tcPr>
          <w:p>
            <w:pPr>
              <w:pStyle w:val="TableParagraph"/>
              <w:rPr>
                <w:rFonts w:ascii="Times New Roman"/>
                <w:sz w:val="10"/>
              </w:rPr>
            </w:pPr>
          </w:p>
        </w:tc>
        <w:tc>
          <w:tcPr>
            <w:tcW w:w="345" w:type="dxa"/>
          </w:tcPr>
          <w:p>
            <w:pPr>
              <w:pStyle w:val="TableParagraph"/>
              <w:spacing w:line="137" w:lineRule="exact" w:before="6"/>
              <w:ind w:right="124"/>
              <w:jc w:val="right"/>
              <w:rPr>
                <w:sz w:val="13"/>
              </w:rPr>
            </w:pPr>
            <w:r>
              <w:rPr>
                <w:spacing w:val="-5"/>
                <w:sz w:val="13"/>
              </w:rPr>
              <w:t>20</w:t>
            </w:r>
          </w:p>
        </w:tc>
        <w:tc>
          <w:tcPr>
            <w:tcW w:w="755" w:type="dxa"/>
          </w:tcPr>
          <w:p>
            <w:pPr>
              <w:pStyle w:val="TableParagraph"/>
              <w:spacing w:line="137" w:lineRule="exact" w:before="6"/>
              <w:ind w:left="245" w:right="72"/>
              <w:jc w:val="center"/>
              <w:rPr>
                <w:sz w:val="13"/>
              </w:rPr>
            </w:pPr>
            <w:r>
              <w:rPr>
                <w:spacing w:val="-5"/>
                <w:sz w:val="13"/>
              </w:rPr>
              <w:t>37</w:t>
            </w:r>
          </w:p>
        </w:tc>
        <w:tc>
          <w:tcPr>
            <w:tcW w:w="572" w:type="dxa"/>
          </w:tcPr>
          <w:p>
            <w:pPr>
              <w:pStyle w:val="TableParagraph"/>
              <w:rPr>
                <w:rFonts w:ascii="Times New Roman"/>
                <w:sz w:val="10"/>
              </w:rPr>
            </w:pPr>
          </w:p>
        </w:tc>
        <w:tc>
          <w:tcPr>
            <w:tcW w:w="322" w:type="dxa"/>
          </w:tcPr>
          <w:p>
            <w:pPr>
              <w:pStyle w:val="TableParagraph"/>
              <w:spacing w:line="137" w:lineRule="exact" w:before="6"/>
              <w:ind w:right="68"/>
              <w:jc w:val="right"/>
              <w:rPr>
                <w:sz w:val="13"/>
              </w:rPr>
            </w:pPr>
            <w:r>
              <w:rPr>
                <w:spacing w:val="-5"/>
                <w:sz w:val="13"/>
              </w:rPr>
              <w:t>20</w:t>
            </w:r>
          </w:p>
        </w:tc>
      </w:tr>
      <w:tr>
        <w:trPr>
          <w:trHeight w:val="162" w:hRule="atLeast"/>
        </w:trPr>
        <w:tc>
          <w:tcPr>
            <w:tcW w:w="4563" w:type="dxa"/>
          </w:tcPr>
          <w:p>
            <w:pPr>
              <w:pStyle w:val="TableParagraph"/>
              <w:spacing w:line="139" w:lineRule="exact" w:before="3"/>
              <w:ind w:left="34"/>
              <w:rPr>
                <w:sz w:val="13"/>
              </w:rPr>
            </w:pPr>
            <w:r>
              <w:rPr>
                <w:sz w:val="13"/>
              </w:rPr>
              <w:t>Marsden</w:t>
            </w:r>
            <w:r>
              <w:rPr>
                <w:spacing w:val="-9"/>
                <w:sz w:val="13"/>
              </w:rPr>
              <w:t> </w:t>
            </w:r>
            <w:r>
              <w:rPr>
                <w:spacing w:val="-2"/>
                <w:sz w:val="13"/>
              </w:rPr>
              <w:t>Stantons</w:t>
            </w:r>
          </w:p>
        </w:tc>
        <w:tc>
          <w:tcPr>
            <w:tcW w:w="620" w:type="dxa"/>
          </w:tcPr>
          <w:p>
            <w:pPr>
              <w:pStyle w:val="TableParagraph"/>
              <w:rPr>
                <w:rFonts w:ascii="Times New Roman"/>
                <w:sz w:val="10"/>
              </w:rPr>
            </w:pPr>
          </w:p>
        </w:tc>
        <w:tc>
          <w:tcPr>
            <w:tcW w:w="403" w:type="dxa"/>
          </w:tcPr>
          <w:p>
            <w:pPr>
              <w:pStyle w:val="TableParagraph"/>
              <w:spacing w:line="137" w:lineRule="exact" w:before="5"/>
              <w:ind w:right="183"/>
              <w:jc w:val="right"/>
              <w:rPr>
                <w:sz w:val="13"/>
              </w:rPr>
            </w:pPr>
            <w:r>
              <w:rPr>
                <w:spacing w:val="-10"/>
                <w:sz w:val="13"/>
              </w:rPr>
              <w:t>4</w:t>
            </w:r>
          </w:p>
        </w:tc>
        <w:tc>
          <w:tcPr>
            <w:tcW w:w="504" w:type="dxa"/>
          </w:tcPr>
          <w:p>
            <w:pPr>
              <w:pStyle w:val="TableParagraph"/>
              <w:rPr>
                <w:rFonts w:ascii="Times New Roman"/>
                <w:sz w:val="10"/>
              </w:rPr>
            </w:pPr>
          </w:p>
        </w:tc>
        <w:tc>
          <w:tcPr>
            <w:tcW w:w="345" w:type="dxa"/>
          </w:tcPr>
          <w:p>
            <w:pPr>
              <w:pStyle w:val="TableParagraph"/>
              <w:rPr>
                <w:rFonts w:ascii="Times New Roman"/>
                <w:sz w:val="10"/>
              </w:rPr>
            </w:pPr>
          </w:p>
        </w:tc>
        <w:tc>
          <w:tcPr>
            <w:tcW w:w="755" w:type="dxa"/>
          </w:tcPr>
          <w:p>
            <w:pPr>
              <w:pStyle w:val="TableParagraph"/>
              <w:spacing w:line="137" w:lineRule="exact" w:before="5"/>
              <w:ind w:left="245"/>
              <w:jc w:val="center"/>
              <w:rPr>
                <w:sz w:val="13"/>
              </w:rPr>
            </w:pPr>
            <w:r>
              <w:rPr>
                <w:spacing w:val="-10"/>
                <w:sz w:val="13"/>
              </w:rPr>
              <w:t>4</w:t>
            </w:r>
          </w:p>
        </w:tc>
        <w:tc>
          <w:tcPr>
            <w:tcW w:w="572" w:type="dxa"/>
          </w:tcPr>
          <w:p>
            <w:pPr>
              <w:pStyle w:val="TableParagraph"/>
              <w:rPr>
                <w:rFonts w:ascii="Times New Roman"/>
                <w:sz w:val="10"/>
              </w:rPr>
            </w:pPr>
          </w:p>
        </w:tc>
        <w:tc>
          <w:tcPr>
            <w:tcW w:w="322" w:type="dxa"/>
          </w:tcPr>
          <w:p>
            <w:pPr>
              <w:pStyle w:val="TableParagraph"/>
              <w:rPr>
                <w:rFonts w:ascii="Times New Roman"/>
                <w:sz w:val="10"/>
              </w:rPr>
            </w:pPr>
          </w:p>
        </w:tc>
      </w:tr>
      <w:tr>
        <w:trPr>
          <w:trHeight w:val="162" w:hRule="atLeast"/>
        </w:trPr>
        <w:tc>
          <w:tcPr>
            <w:tcW w:w="4563" w:type="dxa"/>
          </w:tcPr>
          <w:p>
            <w:pPr>
              <w:pStyle w:val="TableParagraph"/>
              <w:spacing w:line="139" w:lineRule="exact" w:before="3"/>
              <w:ind w:left="34"/>
              <w:rPr>
                <w:sz w:val="13"/>
              </w:rPr>
            </w:pPr>
            <w:r>
              <w:rPr>
                <w:sz w:val="13"/>
              </w:rPr>
              <w:t>Latitude</w:t>
            </w:r>
            <w:r>
              <w:rPr>
                <w:spacing w:val="-5"/>
                <w:sz w:val="13"/>
              </w:rPr>
              <w:t> </w:t>
            </w:r>
            <w:r>
              <w:rPr>
                <w:sz w:val="13"/>
              </w:rPr>
              <w:t>Creative</w:t>
            </w:r>
            <w:r>
              <w:rPr>
                <w:spacing w:val="-4"/>
                <w:sz w:val="13"/>
              </w:rPr>
              <w:t> </w:t>
            </w:r>
            <w:r>
              <w:rPr>
                <w:spacing w:val="-2"/>
                <w:sz w:val="13"/>
              </w:rPr>
              <w:t>Services</w:t>
            </w:r>
          </w:p>
        </w:tc>
        <w:tc>
          <w:tcPr>
            <w:tcW w:w="620" w:type="dxa"/>
          </w:tcPr>
          <w:p>
            <w:pPr>
              <w:pStyle w:val="TableParagraph"/>
              <w:rPr>
                <w:rFonts w:ascii="Times New Roman"/>
                <w:sz w:val="10"/>
              </w:rPr>
            </w:pPr>
          </w:p>
        </w:tc>
        <w:tc>
          <w:tcPr>
            <w:tcW w:w="403" w:type="dxa"/>
          </w:tcPr>
          <w:p>
            <w:pPr>
              <w:pStyle w:val="TableParagraph"/>
              <w:spacing w:line="139" w:lineRule="exact" w:before="3"/>
              <w:ind w:right="183"/>
              <w:jc w:val="right"/>
              <w:rPr>
                <w:sz w:val="13"/>
              </w:rPr>
            </w:pPr>
            <w:r>
              <w:rPr>
                <w:spacing w:val="-10"/>
                <w:sz w:val="13"/>
              </w:rPr>
              <w:t>4</w:t>
            </w:r>
          </w:p>
        </w:tc>
        <w:tc>
          <w:tcPr>
            <w:tcW w:w="504" w:type="dxa"/>
          </w:tcPr>
          <w:p>
            <w:pPr>
              <w:pStyle w:val="TableParagraph"/>
              <w:rPr>
                <w:rFonts w:ascii="Times New Roman"/>
                <w:sz w:val="10"/>
              </w:rPr>
            </w:pPr>
          </w:p>
        </w:tc>
        <w:tc>
          <w:tcPr>
            <w:tcW w:w="345" w:type="dxa"/>
          </w:tcPr>
          <w:p>
            <w:pPr>
              <w:pStyle w:val="TableParagraph"/>
              <w:spacing w:line="137" w:lineRule="exact" w:before="5"/>
              <w:ind w:right="124"/>
              <w:jc w:val="right"/>
              <w:rPr>
                <w:sz w:val="13"/>
              </w:rPr>
            </w:pPr>
            <w:r>
              <w:rPr>
                <w:spacing w:val="-10"/>
                <w:sz w:val="13"/>
              </w:rPr>
              <w:t>4</w:t>
            </w:r>
          </w:p>
        </w:tc>
        <w:tc>
          <w:tcPr>
            <w:tcW w:w="755" w:type="dxa"/>
          </w:tcPr>
          <w:p>
            <w:pPr>
              <w:pStyle w:val="TableParagraph"/>
              <w:spacing w:line="139" w:lineRule="exact" w:before="3"/>
              <w:ind w:left="245"/>
              <w:jc w:val="center"/>
              <w:rPr>
                <w:sz w:val="13"/>
              </w:rPr>
            </w:pPr>
            <w:r>
              <w:rPr>
                <w:spacing w:val="-10"/>
                <w:sz w:val="13"/>
              </w:rPr>
              <w:t>4</w:t>
            </w:r>
          </w:p>
        </w:tc>
        <w:tc>
          <w:tcPr>
            <w:tcW w:w="572" w:type="dxa"/>
          </w:tcPr>
          <w:p>
            <w:pPr>
              <w:pStyle w:val="TableParagraph"/>
              <w:rPr>
                <w:rFonts w:ascii="Times New Roman"/>
                <w:sz w:val="10"/>
              </w:rPr>
            </w:pPr>
          </w:p>
        </w:tc>
        <w:tc>
          <w:tcPr>
            <w:tcW w:w="322" w:type="dxa"/>
          </w:tcPr>
          <w:p>
            <w:pPr>
              <w:pStyle w:val="TableParagraph"/>
              <w:spacing w:line="137" w:lineRule="exact" w:before="5"/>
              <w:ind w:right="67"/>
              <w:jc w:val="right"/>
              <w:rPr>
                <w:sz w:val="13"/>
              </w:rPr>
            </w:pPr>
            <w:r>
              <w:rPr>
                <w:spacing w:val="-10"/>
                <w:sz w:val="13"/>
              </w:rPr>
              <w:t>4</w:t>
            </w:r>
          </w:p>
        </w:tc>
      </w:tr>
      <w:tr>
        <w:trPr>
          <w:trHeight w:val="162" w:hRule="atLeast"/>
        </w:trPr>
        <w:tc>
          <w:tcPr>
            <w:tcW w:w="4563" w:type="dxa"/>
          </w:tcPr>
          <w:p>
            <w:pPr>
              <w:pStyle w:val="TableParagraph"/>
              <w:spacing w:line="139" w:lineRule="exact" w:before="3"/>
              <w:ind w:left="34"/>
              <w:rPr>
                <w:sz w:val="13"/>
              </w:rPr>
            </w:pPr>
            <w:r>
              <w:rPr>
                <w:sz w:val="13"/>
              </w:rPr>
              <w:t>PSZ</w:t>
            </w:r>
            <w:r>
              <w:rPr>
                <w:spacing w:val="1"/>
                <w:sz w:val="13"/>
              </w:rPr>
              <w:t> </w:t>
            </w:r>
            <w:r>
              <w:rPr>
                <w:spacing w:val="-2"/>
                <w:sz w:val="13"/>
              </w:rPr>
              <w:t>Accounting</w:t>
            </w:r>
          </w:p>
        </w:tc>
        <w:tc>
          <w:tcPr>
            <w:tcW w:w="620" w:type="dxa"/>
          </w:tcPr>
          <w:p>
            <w:pPr>
              <w:pStyle w:val="TableParagraph"/>
              <w:rPr>
                <w:rFonts w:ascii="Times New Roman"/>
                <w:sz w:val="10"/>
              </w:rPr>
            </w:pPr>
          </w:p>
        </w:tc>
        <w:tc>
          <w:tcPr>
            <w:tcW w:w="403" w:type="dxa"/>
          </w:tcPr>
          <w:p>
            <w:pPr>
              <w:pStyle w:val="TableParagraph"/>
              <w:spacing w:line="139" w:lineRule="exact" w:before="3"/>
              <w:ind w:right="183"/>
              <w:jc w:val="right"/>
              <w:rPr>
                <w:sz w:val="13"/>
              </w:rPr>
            </w:pPr>
            <w:r>
              <w:rPr>
                <w:spacing w:val="-10"/>
                <w:sz w:val="13"/>
              </w:rPr>
              <w:t>6</w:t>
            </w:r>
          </w:p>
        </w:tc>
        <w:tc>
          <w:tcPr>
            <w:tcW w:w="504" w:type="dxa"/>
          </w:tcPr>
          <w:p>
            <w:pPr>
              <w:pStyle w:val="TableParagraph"/>
              <w:rPr>
                <w:rFonts w:ascii="Times New Roman"/>
                <w:sz w:val="10"/>
              </w:rPr>
            </w:pPr>
          </w:p>
        </w:tc>
        <w:tc>
          <w:tcPr>
            <w:tcW w:w="345" w:type="dxa"/>
          </w:tcPr>
          <w:p>
            <w:pPr>
              <w:pStyle w:val="TableParagraph"/>
              <w:spacing w:line="137" w:lineRule="exact" w:before="5"/>
              <w:ind w:right="124"/>
              <w:jc w:val="right"/>
              <w:rPr>
                <w:sz w:val="13"/>
              </w:rPr>
            </w:pPr>
            <w:r>
              <w:rPr>
                <w:spacing w:val="-10"/>
                <w:sz w:val="13"/>
              </w:rPr>
              <w:t>6</w:t>
            </w:r>
          </w:p>
        </w:tc>
        <w:tc>
          <w:tcPr>
            <w:tcW w:w="755" w:type="dxa"/>
          </w:tcPr>
          <w:p>
            <w:pPr>
              <w:pStyle w:val="TableParagraph"/>
              <w:spacing w:line="139" w:lineRule="exact" w:before="3"/>
              <w:ind w:left="245"/>
              <w:jc w:val="center"/>
              <w:rPr>
                <w:sz w:val="13"/>
              </w:rPr>
            </w:pPr>
            <w:r>
              <w:rPr>
                <w:spacing w:val="-10"/>
                <w:sz w:val="13"/>
              </w:rPr>
              <w:t>6</w:t>
            </w:r>
          </w:p>
        </w:tc>
        <w:tc>
          <w:tcPr>
            <w:tcW w:w="572" w:type="dxa"/>
          </w:tcPr>
          <w:p>
            <w:pPr>
              <w:pStyle w:val="TableParagraph"/>
              <w:rPr>
                <w:rFonts w:ascii="Times New Roman"/>
                <w:sz w:val="10"/>
              </w:rPr>
            </w:pPr>
          </w:p>
        </w:tc>
        <w:tc>
          <w:tcPr>
            <w:tcW w:w="322" w:type="dxa"/>
          </w:tcPr>
          <w:p>
            <w:pPr>
              <w:pStyle w:val="TableParagraph"/>
              <w:spacing w:line="137" w:lineRule="exact" w:before="5"/>
              <w:ind w:right="67"/>
              <w:jc w:val="right"/>
              <w:rPr>
                <w:sz w:val="13"/>
              </w:rPr>
            </w:pPr>
            <w:r>
              <w:rPr>
                <w:spacing w:val="-10"/>
                <w:sz w:val="13"/>
              </w:rPr>
              <w:t>6</w:t>
            </w:r>
          </w:p>
        </w:tc>
      </w:tr>
      <w:tr>
        <w:trPr>
          <w:trHeight w:val="162" w:hRule="atLeast"/>
        </w:trPr>
        <w:tc>
          <w:tcPr>
            <w:tcW w:w="4563" w:type="dxa"/>
          </w:tcPr>
          <w:p>
            <w:pPr>
              <w:pStyle w:val="TableParagraph"/>
              <w:spacing w:line="139" w:lineRule="exact" w:before="3"/>
              <w:ind w:left="34"/>
              <w:rPr>
                <w:sz w:val="13"/>
              </w:rPr>
            </w:pPr>
            <w:r>
              <w:rPr>
                <w:sz w:val="13"/>
              </w:rPr>
              <w:t>Quantum</w:t>
            </w:r>
            <w:r>
              <w:rPr>
                <w:spacing w:val="-8"/>
                <w:sz w:val="13"/>
              </w:rPr>
              <w:t> </w:t>
            </w:r>
            <w:r>
              <w:rPr>
                <w:spacing w:val="-2"/>
                <w:sz w:val="13"/>
              </w:rPr>
              <w:t>Assurance</w:t>
            </w:r>
          </w:p>
        </w:tc>
        <w:tc>
          <w:tcPr>
            <w:tcW w:w="620" w:type="dxa"/>
          </w:tcPr>
          <w:p>
            <w:pPr>
              <w:pStyle w:val="TableParagraph"/>
              <w:rPr>
                <w:rFonts w:ascii="Times New Roman"/>
                <w:sz w:val="10"/>
              </w:rPr>
            </w:pPr>
          </w:p>
        </w:tc>
        <w:tc>
          <w:tcPr>
            <w:tcW w:w="403" w:type="dxa"/>
          </w:tcPr>
          <w:p>
            <w:pPr>
              <w:pStyle w:val="TableParagraph"/>
              <w:spacing w:line="137" w:lineRule="exact" w:before="5"/>
              <w:ind w:right="183"/>
              <w:jc w:val="right"/>
              <w:rPr>
                <w:sz w:val="13"/>
              </w:rPr>
            </w:pPr>
            <w:r>
              <w:rPr>
                <w:spacing w:val="-10"/>
                <w:sz w:val="13"/>
              </w:rPr>
              <w:t>3</w:t>
            </w:r>
          </w:p>
        </w:tc>
        <w:tc>
          <w:tcPr>
            <w:tcW w:w="504" w:type="dxa"/>
          </w:tcPr>
          <w:p>
            <w:pPr>
              <w:pStyle w:val="TableParagraph"/>
              <w:rPr>
                <w:rFonts w:ascii="Times New Roman"/>
                <w:sz w:val="10"/>
              </w:rPr>
            </w:pPr>
          </w:p>
        </w:tc>
        <w:tc>
          <w:tcPr>
            <w:tcW w:w="345" w:type="dxa"/>
          </w:tcPr>
          <w:p>
            <w:pPr>
              <w:pStyle w:val="TableParagraph"/>
              <w:spacing w:line="137" w:lineRule="exact" w:before="5"/>
              <w:ind w:right="124"/>
              <w:jc w:val="right"/>
              <w:rPr>
                <w:sz w:val="13"/>
              </w:rPr>
            </w:pPr>
            <w:r>
              <w:rPr>
                <w:spacing w:val="-10"/>
                <w:sz w:val="13"/>
              </w:rPr>
              <w:t>3</w:t>
            </w:r>
          </w:p>
        </w:tc>
        <w:tc>
          <w:tcPr>
            <w:tcW w:w="755" w:type="dxa"/>
          </w:tcPr>
          <w:p>
            <w:pPr>
              <w:pStyle w:val="TableParagraph"/>
              <w:spacing w:line="137" w:lineRule="exact" w:before="5"/>
              <w:ind w:left="245"/>
              <w:jc w:val="center"/>
              <w:rPr>
                <w:sz w:val="13"/>
              </w:rPr>
            </w:pPr>
            <w:r>
              <w:rPr>
                <w:spacing w:val="-10"/>
                <w:sz w:val="13"/>
              </w:rPr>
              <w:t>3</w:t>
            </w:r>
          </w:p>
        </w:tc>
        <w:tc>
          <w:tcPr>
            <w:tcW w:w="572" w:type="dxa"/>
          </w:tcPr>
          <w:p>
            <w:pPr>
              <w:pStyle w:val="TableParagraph"/>
              <w:rPr>
                <w:rFonts w:ascii="Times New Roman"/>
                <w:sz w:val="10"/>
              </w:rPr>
            </w:pPr>
          </w:p>
        </w:tc>
        <w:tc>
          <w:tcPr>
            <w:tcW w:w="322" w:type="dxa"/>
          </w:tcPr>
          <w:p>
            <w:pPr>
              <w:pStyle w:val="TableParagraph"/>
              <w:spacing w:line="137" w:lineRule="exact" w:before="5"/>
              <w:ind w:right="67"/>
              <w:jc w:val="right"/>
              <w:rPr>
                <w:sz w:val="13"/>
              </w:rPr>
            </w:pPr>
            <w:r>
              <w:rPr>
                <w:spacing w:val="-10"/>
                <w:sz w:val="13"/>
              </w:rPr>
              <w:t>3</w:t>
            </w:r>
          </w:p>
        </w:tc>
      </w:tr>
      <w:tr>
        <w:trPr>
          <w:trHeight w:val="162" w:hRule="atLeast"/>
        </w:trPr>
        <w:tc>
          <w:tcPr>
            <w:tcW w:w="4563" w:type="dxa"/>
          </w:tcPr>
          <w:p>
            <w:pPr>
              <w:pStyle w:val="TableParagraph"/>
              <w:spacing w:line="139" w:lineRule="exact" w:before="3"/>
              <w:ind w:left="34"/>
              <w:rPr>
                <w:sz w:val="13"/>
              </w:rPr>
            </w:pPr>
            <w:r>
              <w:rPr>
                <w:sz w:val="13"/>
              </w:rPr>
              <w:t>RSM</w:t>
            </w:r>
            <w:r>
              <w:rPr>
                <w:spacing w:val="-4"/>
                <w:sz w:val="13"/>
              </w:rPr>
              <w:t> </w:t>
            </w:r>
            <w:r>
              <w:rPr>
                <w:sz w:val="13"/>
              </w:rPr>
              <w:t>Australia</w:t>
            </w:r>
            <w:r>
              <w:rPr>
                <w:spacing w:val="-3"/>
                <w:sz w:val="13"/>
              </w:rPr>
              <w:t> </w:t>
            </w:r>
            <w:r>
              <w:rPr>
                <w:sz w:val="13"/>
              </w:rPr>
              <w:t>Pty</w:t>
            </w:r>
            <w:r>
              <w:rPr>
                <w:spacing w:val="-3"/>
                <w:sz w:val="13"/>
              </w:rPr>
              <w:t> </w:t>
            </w:r>
            <w:r>
              <w:rPr>
                <w:spacing w:val="-5"/>
                <w:sz w:val="13"/>
              </w:rPr>
              <w:t>Ltd</w:t>
            </w:r>
          </w:p>
        </w:tc>
        <w:tc>
          <w:tcPr>
            <w:tcW w:w="620" w:type="dxa"/>
          </w:tcPr>
          <w:p>
            <w:pPr>
              <w:pStyle w:val="TableParagraph"/>
              <w:rPr>
                <w:rFonts w:ascii="Times New Roman"/>
                <w:sz w:val="10"/>
              </w:rPr>
            </w:pPr>
          </w:p>
        </w:tc>
        <w:tc>
          <w:tcPr>
            <w:tcW w:w="403" w:type="dxa"/>
          </w:tcPr>
          <w:p>
            <w:pPr>
              <w:pStyle w:val="TableParagraph"/>
              <w:spacing w:line="137" w:lineRule="exact" w:before="5"/>
              <w:ind w:right="182"/>
              <w:jc w:val="right"/>
              <w:rPr>
                <w:sz w:val="13"/>
              </w:rPr>
            </w:pPr>
            <w:r>
              <w:rPr>
                <w:spacing w:val="-5"/>
                <w:sz w:val="13"/>
              </w:rPr>
              <w:t>30</w:t>
            </w:r>
          </w:p>
        </w:tc>
        <w:tc>
          <w:tcPr>
            <w:tcW w:w="504" w:type="dxa"/>
          </w:tcPr>
          <w:p>
            <w:pPr>
              <w:pStyle w:val="TableParagraph"/>
              <w:rPr>
                <w:rFonts w:ascii="Times New Roman"/>
                <w:sz w:val="10"/>
              </w:rPr>
            </w:pPr>
          </w:p>
        </w:tc>
        <w:tc>
          <w:tcPr>
            <w:tcW w:w="345" w:type="dxa"/>
          </w:tcPr>
          <w:p>
            <w:pPr>
              <w:pStyle w:val="TableParagraph"/>
              <w:spacing w:line="137" w:lineRule="exact" w:before="5"/>
              <w:ind w:right="124"/>
              <w:jc w:val="right"/>
              <w:rPr>
                <w:sz w:val="13"/>
              </w:rPr>
            </w:pPr>
            <w:r>
              <w:rPr>
                <w:spacing w:val="-5"/>
                <w:sz w:val="13"/>
              </w:rPr>
              <w:t>29</w:t>
            </w:r>
          </w:p>
        </w:tc>
        <w:tc>
          <w:tcPr>
            <w:tcW w:w="755" w:type="dxa"/>
          </w:tcPr>
          <w:p>
            <w:pPr>
              <w:pStyle w:val="TableParagraph"/>
              <w:spacing w:line="137" w:lineRule="exact" w:before="5"/>
              <w:ind w:left="245" w:right="72"/>
              <w:jc w:val="center"/>
              <w:rPr>
                <w:sz w:val="13"/>
              </w:rPr>
            </w:pPr>
            <w:r>
              <w:rPr>
                <w:spacing w:val="-5"/>
                <w:sz w:val="13"/>
              </w:rPr>
              <w:t>30</w:t>
            </w:r>
          </w:p>
        </w:tc>
        <w:tc>
          <w:tcPr>
            <w:tcW w:w="572" w:type="dxa"/>
          </w:tcPr>
          <w:p>
            <w:pPr>
              <w:pStyle w:val="TableParagraph"/>
              <w:rPr>
                <w:rFonts w:ascii="Times New Roman"/>
                <w:sz w:val="10"/>
              </w:rPr>
            </w:pPr>
          </w:p>
        </w:tc>
        <w:tc>
          <w:tcPr>
            <w:tcW w:w="322" w:type="dxa"/>
          </w:tcPr>
          <w:p>
            <w:pPr>
              <w:pStyle w:val="TableParagraph"/>
              <w:spacing w:line="137" w:lineRule="exact" w:before="5"/>
              <w:ind w:right="68"/>
              <w:jc w:val="right"/>
              <w:rPr>
                <w:sz w:val="13"/>
              </w:rPr>
            </w:pPr>
            <w:r>
              <w:rPr>
                <w:spacing w:val="-5"/>
                <w:sz w:val="13"/>
              </w:rPr>
              <w:t>29</w:t>
            </w:r>
          </w:p>
        </w:tc>
      </w:tr>
      <w:tr>
        <w:trPr>
          <w:trHeight w:val="154" w:hRule="atLeast"/>
        </w:trPr>
        <w:tc>
          <w:tcPr>
            <w:tcW w:w="4563" w:type="dxa"/>
          </w:tcPr>
          <w:p>
            <w:pPr>
              <w:pStyle w:val="TableParagraph"/>
              <w:spacing w:line="131" w:lineRule="exact" w:before="3"/>
              <w:ind w:left="34"/>
              <w:rPr>
                <w:sz w:val="13"/>
              </w:rPr>
            </w:pPr>
            <w:r>
              <w:rPr>
                <w:sz w:val="13"/>
              </w:rPr>
              <w:t>ShineWing</w:t>
            </w:r>
            <w:r>
              <w:rPr>
                <w:spacing w:val="-1"/>
                <w:sz w:val="13"/>
              </w:rPr>
              <w:t> </w:t>
            </w:r>
            <w:r>
              <w:rPr>
                <w:spacing w:val="-2"/>
                <w:sz w:val="13"/>
              </w:rPr>
              <w:t>Australia</w:t>
            </w:r>
          </w:p>
        </w:tc>
        <w:tc>
          <w:tcPr>
            <w:tcW w:w="620" w:type="dxa"/>
            <w:tcBorders>
              <w:bottom w:val="single" w:sz="6" w:space="0" w:color="000000"/>
            </w:tcBorders>
          </w:tcPr>
          <w:p>
            <w:pPr>
              <w:pStyle w:val="TableParagraph"/>
              <w:rPr>
                <w:rFonts w:ascii="Times New Roman"/>
                <w:sz w:val="8"/>
              </w:rPr>
            </w:pPr>
          </w:p>
        </w:tc>
        <w:tc>
          <w:tcPr>
            <w:tcW w:w="403" w:type="dxa"/>
            <w:tcBorders>
              <w:bottom w:val="single" w:sz="6" w:space="0" w:color="000000"/>
            </w:tcBorders>
          </w:tcPr>
          <w:p>
            <w:pPr>
              <w:pStyle w:val="TableParagraph"/>
              <w:spacing w:line="131" w:lineRule="exact" w:before="3"/>
              <w:ind w:right="182"/>
              <w:jc w:val="right"/>
              <w:rPr>
                <w:sz w:val="13"/>
              </w:rPr>
            </w:pPr>
            <w:r>
              <w:rPr>
                <w:spacing w:val="-5"/>
                <w:sz w:val="13"/>
              </w:rPr>
              <w:t>30</w:t>
            </w:r>
          </w:p>
        </w:tc>
        <w:tc>
          <w:tcPr>
            <w:tcW w:w="504" w:type="dxa"/>
            <w:tcBorders>
              <w:bottom w:val="single" w:sz="6" w:space="0" w:color="000000"/>
            </w:tcBorders>
          </w:tcPr>
          <w:p>
            <w:pPr>
              <w:pStyle w:val="TableParagraph"/>
              <w:rPr>
                <w:rFonts w:ascii="Times New Roman"/>
                <w:sz w:val="8"/>
              </w:rPr>
            </w:pPr>
          </w:p>
        </w:tc>
        <w:tc>
          <w:tcPr>
            <w:tcW w:w="345" w:type="dxa"/>
            <w:tcBorders>
              <w:bottom w:val="single" w:sz="6" w:space="0" w:color="000000"/>
            </w:tcBorders>
          </w:tcPr>
          <w:p>
            <w:pPr>
              <w:pStyle w:val="TableParagraph"/>
              <w:spacing w:line="131" w:lineRule="exact" w:before="3"/>
              <w:ind w:right="124"/>
              <w:jc w:val="right"/>
              <w:rPr>
                <w:sz w:val="13"/>
              </w:rPr>
            </w:pPr>
            <w:r>
              <w:rPr>
                <w:spacing w:val="-10"/>
                <w:sz w:val="13"/>
              </w:rPr>
              <w:t>1</w:t>
            </w:r>
          </w:p>
        </w:tc>
        <w:tc>
          <w:tcPr>
            <w:tcW w:w="755" w:type="dxa"/>
            <w:tcBorders>
              <w:bottom w:val="single" w:sz="6" w:space="0" w:color="000000"/>
            </w:tcBorders>
          </w:tcPr>
          <w:p>
            <w:pPr>
              <w:pStyle w:val="TableParagraph"/>
              <w:spacing w:line="131" w:lineRule="exact" w:before="3"/>
              <w:ind w:left="245" w:right="72"/>
              <w:jc w:val="center"/>
              <w:rPr>
                <w:sz w:val="13"/>
              </w:rPr>
            </w:pPr>
            <w:r>
              <w:rPr>
                <w:spacing w:val="-5"/>
                <w:sz w:val="13"/>
              </w:rPr>
              <w:t>30</w:t>
            </w:r>
          </w:p>
        </w:tc>
        <w:tc>
          <w:tcPr>
            <w:tcW w:w="572" w:type="dxa"/>
            <w:tcBorders>
              <w:bottom w:val="single" w:sz="6" w:space="0" w:color="000000"/>
            </w:tcBorders>
          </w:tcPr>
          <w:p>
            <w:pPr>
              <w:pStyle w:val="TableParagraph"/>
              <w:rPr>
                <w:rFonts w:ascii="Times New Roman"/>
                <w:sz w:val="8"/>
              </w:rPr>
            </w:pPr>
          </w:p>
        </w:tc>
        <w:tc>
          <w:tcPr>
            <w:tcW w:w="322" w:type="dxa"/>
            <w:tcBorders>
              <w:bottom w:val="single" w:sz="6" w:space="0" w:color="000000"/>
            </w:tcBorders>
          </w:tcPr>
          <w:p>
            <w:pPr>
              <w:pStyle w:val="TableParagraph"/>
              <w:spacing w:line="131" w:lineRule="exact" w:before="3"/>
              <w:ind w:right="67"/>
              <w:jc w:val="right"/>
              <w:rPr>
                <w:sz w:val="13"/>
              </w:rPr>
            </w:pPr>
            <w:r>
              <w:rPr>
                <w:spacing w:val="-10"/>
                <w:sz w:val="13"/>
              </w:rPr>
              <w:t>1</w:t>
            </w:r>
          </w:p>
        </w:tc>
      </w:tr>
      <w:tr>
        <w:trPr>
          <w:trHeight w:val="147" w:hRule="atLeast"/>
        </w:trPr>
        <w:tc>
          <w:tcPr>
            <w:tcW w:w="4563" w:type="dxa"/>
          </w:tcPr>
          <w:p>
            <w:pPr>
              <w:pStyle w:val="TableParagraph"/>
              <w:spacing w:line="127" w:lineRule="exact"/>
              <w:ind w:left="34"/>
              <w:rPr>
                <w:b/>
                <w:sz w:val="13"/>
              </w:rPr>
            </w:pPr>
            <w:r>
              <w:rPr>
                <w:b/>
                <w:sz w:val="13"/>
              </w:rPr>
              <w:t>Total</w:t>
            </w:r>
            <w:r>
              <w:rPr>
                <w:b/>
                <w:spacing w:val="-1"/>
                <w:sz w:val="13"/>
              </w:rPr>
              <w:t> </w:t>
            </w:r>
            <w:r>
              <w:rPr>
                <w:b/>
                <w:sz w:val="13"/>
              </w:rPr>
              <w:t>paid</w:t>
            </w:r>
            <w:r>
              <w:rPr>
                <w:b/>
                <w:spacing w:val="-1"/>
                <w:sz w:val="13"/>
              </w:rPr>
              <w:t> </w:t>
            </w:r>
            <w:r>
              <w:rPr>
                <w:b/>
                <w:sz w:val="13"/>
              </w:rPr>
              <w:t>for</w:t>
            </w:r>
            <w:r>
              <w:rPr>
                <w:b/>
                <w:spacing w:val="-2"/>
                <w:sz w:val="13"/>
              </w:rPr>
              <w:t> </w:t>
            </w:r>
            <w:r>
              <w:rPr>
                <w:b/>
                <w:sz w:val="13"/>
              </w:rPr>
              <w:t>other</w:t>
            </w:r>
            <w:r>
              <w:rPr>
                <w:b/>
                <w:spacing w:val="-3"/>
                <w:sz w:val="13"/>
              </w:rPr>
              <w:t> </w:t>
            </w:r>
            <w:r>
              <w:rPr>
                <w:b/>
                <w:sz w:val="13"/>
              </w:rPr>
              <w:t>audit</w:t>
            </w:r>
            <w:r>
              <w:rPr>
                <w:b/>
                <w:spacing w:val="-1"/>
                <w:sz w:val="13"/>
              </w:rPr>
              <w:t> </w:t>
            </w:r>
            <w:r>
              <w:rPr>
                <w:b/>
                <w:sz w:val="13"/>
              </w:rPr>
              <w:t>and</w:t>
            </w:r>
            <w:r>
              <w:rPr>
                <w:b/>
                <w:spacing w:val="-1"/>
                <w:sz w:val="13"/>
              </w:rPr>
              <w:t> </w:t>
            </w:r>
            <w:r>
              <w:rPr>
                <w:b/>
                <w:sz w:val="13"/>
              </w:rPr>
              <w:t>assurance</w:t>
            </w:r>
            <w:r>
              <w:rPr>
                <w:b/>
                <w:spacing w:val="-2"/>
                <w:sz w:val="13"/>
              </w:rPr>
              <w:t> services</w:t>
            </w:r>
          </w:p>
        </w:tc>
        <w:tc>
          <w:tcPr>
            <w:tcW w:w="620" w:type="dxa"/>
            <w:tcBorders>
              <w:top w:val="single" w:sz="6" w:space="0" w:color="000000"/>
              <w:bottom w:val="single" w:sz="6" w:space="0" w:color="000000"/>
            </w:tcBorders>
          </w:tcPr>
          <w:p>
            <w:pPr>
              <w:pStyle w:val="TableParagraph"/>
              <w:rPr>
                <w:rFonts w:ascii="Times New Roman"/>
                <w:sz w:val="8"/>
              </w:rPr>
            </w:pPr>
          </w:p>
        </w:tc>
        <w:tc>
          <w:tcPr>
            <w:tcW w:w="403" w:type="dxa"/>
            <w:tcBorders>
              <w:top w:val="single" w:sz="6" w:space="0" w:color="000000"/>
              <w:bottom w:val="single" w:sz="6" w:space="0" w:color="000000"/>
            </w:tcBorders>
          </w:tcPr>
          <w:p>
            <w:pPr>
              <w:pStyle w:val="TableParagraph"/>
              <w:spacing w:line="127" w:lineRule="exact"/>
              <w:ind w:right="182"/>
              <w:jc w:val="right"/>
              <w:rPr>
                <w:b/>
                <w:sz w:val="13"/>
              </w:rPr>
            </w:pPr>
            <w:r>
              <w:rPr>
                <w:b/>
                <w:spacing w:val="-5"/>
                <w:sz w:val="13"/>
              </w:rPr>
              <w:t>365</w:t>
            </w:r>
          </w:p>
        </w:tc>
        <w:tc>
          <w:tcPr>
            <w:tcW w:w="504" w:type="dxa"/>
            <w:tcBorders>
              <w:top w:val="single" w:sz="6" w:space="0" w:color="000000"/>
              <w:bottom w:val="single" w:sz="6" w:space="0" w:color="000000"/>
            </w:tcBorders>
          </w:tcPr>
          <w:p>
            <w:pPr>
              <w:pStyle w:val="TableParagraph"/>
              <w:rPr>
                <w:rFonts w:ascii="Times New Roman"/>
                <w:sz w:val="8"/>
              </w:rPr>
            </w:pPr>
          </w:p>
        </w:tc>
        <w:tc>
          <w:tcPr>
            <w:tcW w:w="345" w:type="dxa"/>
            <w:tcBorders>
              <w:top w:val="single" w:sz="6" w:space="0" w:color="000000"/>
              <w:bottom w:val="single" w:sz="6" w:space="0" w:color="000000"/>
            </w:tcBorders>
          </w:tcPr>
          <w:p>
            <w:pPr>
              <w:pStyle w:val="TableParagraph"/>
              <w:spacing w:line="127" w:lineRule="exact"/>
              <w:ind w:right="124"/>
              <w:jc w:val="right"/>
              <w:rPr>
                <w:b/>
                <w:sz w:val="13"/>
              </w:rPr>
            </w:pPr>
            <w:r>
              <w:rPr>
                <w:b/>
                <w:spacing w:val="-5"/>
                <w:sz w:val="13"/>
              </w:rPr>
              <w:t>309</w:t>
            </w:r>
          </w:p>
        </w:tc>
        <w:tc>
          <w:tcPr>
            <w:tcW w:w="755" w:type="dxa"/>
            <w:tcBorders>
              <w:top w:val="single" w:sz="6" w:space="0" w:color="000000"/>
              <w:bottom w:val="single" w:sz="6" w:space="0" w:color="000000"/>
            </w:tcBorders>
          </w:tcPr>
          <w:p>
            <w:pPr>
              <w:pStyle w:val="TableParagraph"/>
              <w:spacing w:line="127" w:lineRule="exact"/>
              <w:ind w:left="245" w:right="144"/>
              <w:jc w:val="center"/>
              <w:rPr>
                <w:b/>
                <w:sz w:val="13"/>
              </w:rPr>
            </w:pPr>
            <w:r>
              <w:rPr>
                <w:b/>
                <w:spacing w:val="-5"/>
                <w:sz w:val="13"/>
              </w:rPr>
              <w:t>365</w:t>
            </w:r>
          </w:p>
        </w:tc>
        <w:tc>
          <w:tcPr>
            <w:tcW w:w="572" w:type="dxa"/>
            <w:tcBorders>
              <w:top w:val="single" w:sz="6" w:space="0" w:color="000000"/>
              <w:bottom w:val="single" w:sz="6" w:space="0" w:color="000000"/>
            </w:tcBorders>
          </w:tcPr>
          <w:p>
            <w:pPr>
              <w:pStyle w:val="TableParagraph"/>
              <w:rPr>
                <w:rFonts w:ascii="Times New Roman"/>
                <w:sz w:val="8"/>
              </w:rPr>
            </w:pPr>
          </w:p>
        </w:tc>
        <w:tc>
          <w:tcPr>
            <w:tcW w:w="322" w:type="dxa"/>
            <w:tcBorders>
              <w:top w:val="single" w:sz="6" w:space="0" w:color="000000"/>
              <w:bottom w:val="single" w:sz="6" w:space="0" w:color="000000"/>
            </w:tcBorders>
          </w:tcPr>
          <w:p>
            <w:pPr>
              <w:pStyle w:val="TableParagraph"/>
              <w:spacing w:line="127" w:lineRule="exact"/>
              <w:ind w:right="68"/>
              <w:jc w:val="right"/>
              <w:rPr>
                <w:b/>
                <w:sz w:val="13"/>
              </w:rPr>
            </w:pPr>
            <w:r>
              <w:rPr>
                <w:b/>
                <w:spacing w:val="-5"/>
                <w:sz w:val="13"/>
              </w:rPr>
              <w:t>306</w:t>
            </w:r>
          </w:p>
        </w:tc>
      </w:tr>
      <w:tr>
        <w:trPr>
          <w:trHeight w:val="147" w:hRule="atLeast"/>
        </w:trPr>
        <w:tc>
          <w:tcPr>
            <w:tcW w:w="4563" w:type="dxa"/>
          </w:tcPr>
          <w:p>
            <w:pPr>
              <w:pStyle w:val="TableParagraph"/>
              <w:rPr>
                <w:rFonts w:ascii="Times New Roman"/>
                <w:sz w:val="8"/>
              </w:rPr>
            </w:pPr>
          </w:p>
        </w:tc>
        <w:tc>
          <w:tcPr>
            <w:tcW w:w="620" w:type="dxa"/>
            <w:tcBorders>
              <w:top w:val="single" w:sz="6" w:space="0" w:color="000000"/>
              <w:bottom w:val="single" w:sz="6" w:space="0" w:color="000000"/>
            </w:tcBorders>
          </w:tcPr>
          <w:p>
            <w:pPr>
              <w:pStyle w:val="TableParagraph"/>
              <w:rPr>
                <w:rFonts w:ascii="Times New Roman"/>
                <w:sz w:val="8"/>
              </w:rPr>
            </w:pPr>
          </w:p>
        </w:tc>
        <w:tc>
          <w:tcPr>
            <w:tcW w:w="403" w:type="dxa"/>
            <w:tcBorders>
              <w:top w:val="single" w:sz="6" w:space="0" w:color="000000"/>
              <w:bottom w:val="single" w:sz="6" w:space="0" w:color="000000"/>
            </w:tcBorders>
          </w:tcPr>
          <w:p>
            <w:pPr>
              <w:pStyle w:val="TableParagraph"/>
              <w:rPr>
                <w:rFonts w:ascii="Times New Roman"/>
                <w:sz w:val="8"/>
              </w:rPr>
            </w:pPr>
          </w:p>
        </w:tc>
        <w:tc>
          <w:tcPr>
            <w:tcW w:w="504" w:type="dxa"/>
            <w:tcBorders>
              <w:top w:val="single" w:sz="6" w:space="0" w:color="000000"/>
              <w:bottom w:val="single" w:sz="6" w:space="0" w:color="000000"/>
            </w:tcBorders>
          </w:tcPr>
          <w:p>
            <w:pPr>
              <w:pStyle w:val="TableParagraph"/>
              <w:rPr>
                <w:rFonts w:ascii="Times New Roman"/>
                <w:sz w:val="8"/>
              </w:rPr>
            </w:pPr>
          </w:p>
        </w:tc>
        <w:tc>
          <w:tcPr>
            <w:tcW w:w="345" w:type="dxa"/>
            <w:tcBorders>
              <w:top w:val="single" w:sz="6" w:space="0" w:color="000000"/>
              <w:bottom w:val="single" w:sz="6" w:space="0" w:color="000000"/>
            </w:tcBorders>
          </w:tcPr>
          <w:p>
            <w:pPr>
              <w:pStyle w:val="TableParagraph"/>
              <w:rPr>
                <w:rFonts w:ascii="Times New Roman"/>
                <w:sz w:val="8"/>
              </w:rPr>
            </w:pPr>
          </w:p>
        </w:tc>
        <w:tc>
          <w:tcPr>
            <w:tcW w:w="755" w:type="dxa"/>
            <w:tcBorders>
              <w:top w:val="single" w:sz="6" w:space="0" w:color="000000"/>
              <w:bottom w:val="single" w:sz="6" w:space="0" w:color="000000"/>
            </w:tcBorders>
          </w:tcPr>
          <w:p>
            <w:pPr>
              <w:pStyle w:val="TableParagraph"/>
              <w:rPr>
                <w:rFonts w:ascii="Times New Roman"/>
                <w:sz w:val="8"/>
              </w:rPr>
            </w:pPr>
          </w:p>
        </w:tc>
        <w:tc>
          <w:tcPr>
            <w:tcW w:w="572" w:type="dxa"/>
            <w:tcBorders>
              <w:top w:val="single" w:sz="6" w:space="0" w:color="000000"/>
              <w:bottom w:val="single" w:sz="6" w:space="0" w:color="000000"/>
            </w:tcBorders>
          </w:tcPr>
          <w:p>
            <w:pPr>
              <w:pStyle w:val="TableParagraph"/>
              <w:rPr>
                <w:rFonts w:ascii="Times New Roman"/>
                <w:sz w:val="8"/>
              </w:rPr>
            </w:pPr>
          </w:p>
        </w:tc>
        <w:tc>
          <w:tcPr>
            <w:tcW w:w="322" w:type="dxa"/>
            <w:tcBorders>
              <w:top w:val="single" w:sz="6" w:space="0" w:color="000000"/>
              <w:bottom w:val="single" w:sz="6" w:space="0" w:color="000000"/>
            </w:tcBorders>
          </w:tcPr>
          <w:p>
            <w:pPr>
              <w:pStyle w:val="TableParagraph"/>
              <w:rPr>
                <w:rFonts w:ascii="Times New Roman"/>
                <w:sz w:val="8"/>
              </w:rPr>
            </w:pPr>
          </w:p>
        </w:tc>
      </w:tr>
      <w:tr>
        <w:trPr>
          <w:trHeight w:val="147" w:hRule="atLeast"/>
        </w:trPr>
        <w:tc>
          <w:tcPr>
            <w:tcW w:w="4563" w:type="dxa"/>
          </w:tcPr>
          <w:p>
            <w:pPr>
              <w:pStyle w:val="TableParagraph"/>
              <w:spacing w:line="127" w:lineRule="exact"/>
              <w:ind w:left="34"/>
              <w:rPr>
                <w:b/>
                <w:sz w:val="13"/>
              </w:rPr>
            </w:pPr>
            <w:r>
              <w:rPr>
                <w:b/>
                <w:sz w:val="13"/>
              </w:rPr>
              <w:t>Total</w:t>
            </w:r>
            <w:r>
              <w:rPr>
                <w:b/>
                <w:spacing w:val="-2"/>
                <w:sz w:val="13"/>
              </w:rPr>
              <w:t> </w:t>
            </w:r>
            <w:r>
              <w:rPr>
                <w:b/>
                <w:sz w:val="13"/>
              </w:rPr>
              <w:t>remuneration</w:t>
            </w:r>
            <w:r>
              <w:rPr>
                <w:b/>
                <w:spacing w:val="-1"/>
                <w:sz w:val="13"/>
              </w:rPr>
              <w:t> </w:t>
            </w:r>
            <w:r>
              <w:rPr>
                <w:b/>
                <w:sz w:val="13"/>
              </w:rPr>
              <w:t>of</w:t>
            </w:r>
            <w:r>
              <w:rPr>
                <w:b/>
                <w:spacing w:val="-2"/>
                <w:sz w:val="13"/>
              </w:rPr>
              <w:t> auditors</w:t>
            </w:r>
          </w:p>
        </w:tc>
        <w:tc>
          <w:tcPr>
            <w:tcW w:w="620" w:type="dxa"/>
            <w:tcBorders>
              <w:top w:val="single" w:sz="6" w:space="0" w:color="000000"/>
              <w:bottom w:val="single" w:sz="6" w:space="0" w:color="000000"/>
            </w:tcBorders>
          </w:tcPr>
          <w:p>
            <w:pPr>
              <w:pStyle w:val="TableParagraph"/>
              <w:rPr>
                <w:rFonts w:ascii="Times New Roman"/>
                <w:sz w:val="8"/>
              </w:rPr>
            </w:pPr>
          </w:p>
        </w:tc>
        <w:tc>
          <w:tcPr>
            <w:tcW w:w="403" w:type="dxa"/>
            <w:tcBorders>
              <w:top w:val="single" w:sz="6" w:space="0" w:color="000000"/>
              <w:bottom w:val="single" w:sz="6" w:space="0" w:color="000000"/>
            </w:tcBorders>
          </w:tcPr>
          <w:p>
            <w:pPr>
              <w:pStyle w:val="TableParagraph"/>
              <w:spacing w:line="127" w:lineRule="exact"/>
              <w:ind w:right="182"/>
              <w:jc w:val="right"/>
              <w:rPr>
                <w:b/>
                <w:sz w:val="13"/>
              </w:rPr>
            </w:pPr>
            <w:r>
              <w:rPr>
                <w:b/>
                <w:spacing w:val="-5"/>
                <w:sz w:val="13"/>
              </w:rPr>
              <w:t>781</w:t>
            </w:r>
          </w:p>
        </w:tc>
        <w:tc>
          <w:tcPr>
            <w:tcW w:w="504" w:type="dxa"/>
            <w:tcBorders>
              <w:top w:val="single" w:sz="6" w:space="0" w:color="000000"/>
              <w:bottom w:val="single" w:sz="6" w:space="0" w:color="000000"/>
            </w:tcBorders>
          </w:tcPr>
          <w:p>
            <w:pPr>
              <w:pStyle w:val="TableParagraph"/>
              <w:rPr>
                <w:rFonts w:ascii="Times New Roman"/>
                <w:sz w:val="8"/>
              </w:rPr>
            </w:pPr>
          </w:p>
        </w:tc>
        <w:tc>
          <w:tcPr>
            <w:tcW w:w="345" w:type="dxa"/>
            <w:tcBorders>
              <w:top w:val="single" w:sz="6" w:space="0" w:color="000000"/>
              <w:bottom w:val="single" w:sz="6" w:space="0" w:color="000000"/>
            </w:tcBorders>
          </w:tcPr>
          <w:p>
            <w:pPr>
              <w:pStyle w:val="TableParagraph"/>
              <w:spacing w:line="127" w:lineRule="exact"/>
              <w:ind w:right="124"/>
              <w:jc w:val="right"/>
              <w:rPr>
                <w:b/>
                <w:sz w:val="13"/>
              </w:rPr>
            </w:pPr>
            <w:r>
              <w:rPr>
                <w:b/>
                <w:spacing w:val="-5"/>
                <w:sz w:val="13"/>
              </w:rPr>
              <w:t>681</w:t>
            </w:r>
          </w:p>
        </w:tc>
        <w:tc>
          <w:tcPr>
            <w:tcW w:w="755" w:type="dxa"/>
            <w:tcBorders>
              <w:top w:val="single" w:sz="6" w:space="0" w:color="000000"/>
              <w:bottom w:val="single" w:sz="6" w:space="0" w:color="000000"/>
            </w:tcBorders>
          </w:tcPr>
          <w:p>
            <w:pPr>
              <w:pStyle w:val="TableParagraph"/>
              <w:spacing w:line="127" w:lineRule="exact"/>
              <w:ind w:left="245" w:right="144"/>
              <w:jc w:val="center"/>
              <w:rPr>
                <w:b/>
                <w:sz w:val="13"/>
              </w:rPr>
            </w:pPr>
            <w:r>
              <w:rPr>
                <w:b/>
                <w:spacing w:val="-5"/>
                <w:sz w:val="13"/>
              </w:rPr>
              <w:t>689</w:t>
            </w:r>
          </w:p>
        </w:tc>
        <w:tc>
          <w:tcPr>
            <w:tcW w:w="572" w:type="dxa"/>
            <w:tcBorders>
              <w:top w:val="single" w:sz="6" w:space="0" w:color="000000"/>
              <w:bottom w:val="single" w:sz="6" w:space="0" w:color="000000"/>
            </w:tcBorders>
          </w:tcPr>
          <w:p>
            <w:pPr>
              <w:pStyle w:val="TableParagraph"/>
              <w:rPr>
                <w:rFonts w:ascii="Times New Roman"/>
                <w:sz w:val="8"/>
              </w:rPr>
            </w:pPr>
          </w:p>
        </w:tc>
        <w:tc>
          <w:tcPr>
            <w:tcW w:w="322" w:type="dxa"/>
            <w:tcBorders>
              <w:top w:val="single" w:sz="6" w:space="0" w:color="000000"/>
              <w:bottom w:val="single" w:sz="6" w:space="0" w:color="000000"/>
            </w:tcBorders>
          </w:tcPr>
          <w:p>
            <w:pPr>
              <w:pStyle w:val="TableParagraph"/>
              <w:spacing w:line="127" w:lineRule="exact"/>
              <w:ind w:right="68"/>
              <w:jc w:val="right"/>
              <w:rPr>
                <w:b/>
                <w:sz w:val="13"/>
              </w:rPr>
            </w:pPr>
            <w:r>
              <w:rPr>
                <w:b/>
                <w:spacing w:val="-5"/>
                <w:sz w:val="13"/>
              </w:rPr>
              <w:t>621</w:t>
            </w:r>
          </w:p>
        </w:tc>
      </w:tr>
    </w:tbl>
    <w:p>
      <w:pPr>
        <w:spacing w:before="166"/>
        <w:ind w:left="715" w:right="0" w:firstLine="0"/>
        <w:jc w:val="left"/>
        <w:rPr>
          <w:sz w:val="13"/>
        </w:rPr>
      </w:pPr>
      <w:r>
        <w:rPr>
          <w:sz w:val="13"/>
        </w:rPr>
        <w:t>*</w:t>
      </w:r>
      <w:r>
        <w:rPr>
          <w:spacing w:val="-7"/>
          <w:sz w:val="13"/>
        </w:rPr>
        <w:t> </w:t>
      </w:r>
      <w:r>
        <w:rPr>
          <w:sz w:val="13"/>
        </w:rPr>
        <w:t>Other</w:t>
      </w:r>
      <w:r>
        <w:rPr>
          <w:spacing w:val="-3"/>
          <w:sz w:val="13"/>
        </w:rPr>
        <w:t> </w:t>
      </w:r>
      <w:r>
        <w:rPr>
          <w:sz w:val="13"/>
        </w:rPr>
        <w:t>audit</w:t>
      </w:r>
      <w:r>
        <w:rPr>
          <w:spacing w:val="-2"/>
          <w:sz w:val="13"/>
        </w:rPr>
        <w:t> </w:t>
      </w:r>
      <w:r>
        <w:rPr>
          <w:sz w:val="13"/>
        </w:rPr>
        <w:t>and</w:t>
      </w:r>
      <w:r>
        <w:rPr>
          <w:spacing w:val="-4"/>
          <w:sz w:val="13"/>
        </w:rPr>
        <w:t> </w:t>
      </w:r>
      <w:r>
        <w:rPr>
          <w:sz w:val="13"/>
        </w:rPr>
        <w:t>assurance</w:t>
      </w:r>
      <w:r>
        <w:rPr>
          <w:spacing w:val="-5"/>
          <w:sz w:val="13"/>
        </w:rPr>
        <w:t> </w:t>
      </w:r>
      <w:r>
        <w:rPr>
          <w:sz w:val="13"/>
        </w:rPr>
        <w:t>services</w:t>
      </w:r>
      <w:r>
        <w:rPr>
          <w:spacing w:val="-3"/>
          <w:sz w:val="13"/>
        </w:rPr>
        <w:t> </w:t>
      </w:r>
      <w:r>
        <w:rPr>
          <w:sz w:val="13"/>
        </w:rPr>
        <w:t>are</w:t>
      </w:r>
      <w:r>
        <w:rPr>
          <w:spacing w:val="-4"/>
          <w:sz w:val="13"/>
        </w:rPr>
        <w:t> </w:t>
      </w:r>
      <w:r>
        <w:rPr>
          <w:sz w:val="13"/>
        </w:rPr>
        <w:t>related</w:t>
      </w:r>
      <w:r>
        <w:rPr>
          <w:spacing w:val="-4"/>
          <w:sz w:val="13"/>
        </w:rPr>
        <w:t> </w:t>
      </w:r>
      <w:r>
        <w:rPr>
          <w:sz w:val="13"/>
        </w:rPr>
        <w:t>to</w:t>
      </w:r>
      <w:r>
        <w:rPr>
          <w:spacing w:val="-4"/>
          <w:sz w:val="13"/>
        </w:rPr>
        <w:t> </w:t>
      </w:r>
      <w:r>
        <w:rPr>
          <w:sz w:val="13"/>
        </w:rPr>
        <w:t>compliance</w:t>
      </w:r>
      <w:r>
        <w:rPr>
          <w:spacing w:val="-4"/>
          <w:sz w:val="13"/>
        </w:rPr>
        <w:t> </w:t>
      </w:r>
      <w:r>
        <w:rPr>
          <w:sz w:val="13"/>
        </w:rPr>
        <w:t>audits,</w:t>
      </w:r>
      <w:r>
        <w:rPr>
          <w:spacing w:val="-3"/>
          <w:sz w:val="13"/>
        </w:rPr>
        <w:t> </w:t>
      </w:r>
      <w:r>
        <w:rPr>
          <w:sz w:val="13"/>
        </w:rPr>
        <w:t>internal</w:t>
      </w:r>
      <w:r>
        <w:rPr>
          <w:spacing w:val="-4"/>
          <w:sz w:val="13"/>
        </w:rPr>
        <w:t> </w:t>
      </w:r>
      <w:r>
        <w:rPr>
          <w:sz w:val="13"/>
        </w:rPr>
        <w:t>audits,</w:t>
      </w:r>
      <w:r>
        <w:rPr>
          <w:spacing w:val="-2"/>
          <w:sz w:val="13"/>
        </w:rPr>
        <w:t> </w:t>
      </w:r>
      <w:r>
        <w:rPr>
          <w:sz w:val="13"/>
        </w:rPr>
        <w:t>grant</w:t>
      </w:r>
      <w:r>
        <w:rPr>
          <w:spacing w:val="-3"/>
          <w:sz w:val="13"/>
        </w:rPr>
        <w:t> </w:t>
      </w:r>
      <w:r>
        <w:rPr>
          <w:sz w:val="13"/>
        </w:rPr>
        <w:t>acquittals</w:t>
      </w:r>
      <w:r>
        <w:rPr>
          <w:spacing w:val="-3"/>
          <w:sz w:val="13"/>
        </w:rPr>
        <w:t> </w:t>
      </w:r>
      <w:r>
        <w:rPr>
          <w:sz w:val="13"/>
        </w:rPr>
        <w:t>and</w:t>
      </w:r>
      <w:r>
        <w:rPr>
          <w:spacing w:val="-4"/>
          <w:sz w:val="13"/>
        </w:rPr>
        <w:t> </w:t>
      </w:r>
      <w:r>
        <w:rPr>
          <w:sz w:val="13"/>
        </w:rPr>
        <w:t>research</w:t>
      </w:r>
      <w:r>
        <w:rPr>
          <w:spacing w:val="-4"/>
          <w:sz w:val="13"/>
        </w:rPr>
        <w:t> </w:t>
      </w:r>
      <w:r>
        <w:rPr>
          <w:sz w:val="13"/>
        </w:rPr>
        <w:t>project</w:t>
      </w:r>
      <w:r>
        <w:rPr>
          <w:spacing w:val="-2"/>
          <w:sz w:val="13"/>
        </w:rPr>
        <w:t> audits.</w:t>
      </w:r>
    </w:p>
    <w:p>
      <w:pPr>
        <w:spacing w:line="240" w:lineRule="auto" w:before="7"/>
        <w:rPr>
          <w:sz w:val="11"/>
        </w:rPr>
      </w:pPr>
      <w:r>
        <w:rPr/>
        <mc:AlternateContent>
          <mc:Choice Requires="wps">
            <w:drawing>
              <wp:anchor distT="0" distB="0" distL="0" distR="0" allowOverlap="1" layoutInCell="1" locked="0" behindDoc="1" simplePos="0" relativeHeight="487767552">
                <wp:simplePos x="0" y="0"/>
                <wp:positionH relativeFrom="page">
                  <wp:posOffset>720001</wp:posOffset>
                </wp:positionH>
                <wp:positionV relativeFrom="paragraph">
                  <wp:posOffset>100005</wp:posOffset>
                </wp:positionV>
                <wp:extent cx="5494655" cy="16510"/>
                <wp:effectExtent l="0" t="0" r="0" b="0"/>
                <wp:wrapTopAndBottom/>
                <wp:docPr id="987" name="Graphic 987"/>
                <wp:cNvGraphicFramePr>
                  <a:graphicFrameLocks/>
                </wp:cNvGraphicFramePr>
                <a:graphic>
                  <a:graphicData uri="http://schemas.microsoft.com/office/word/2010/wordprocessingShape">
                    <wps:wsp>
                      <wps:cNvPr id="987" name="Graphic 987"/>
                      <wps:cNvSpPr/>
                      <wps:spPr>
                        <a:xfrm>
                          <a:off x="0" y="0"/>
                          <a:ext cx="5494655" cy="16510"/>
                        </a:xfrm>
                        <a:custGeom>
                          <a:avLst/>
                          <a:gdLst/>
                          <a:ahLst/>
                          <a:cxnLst/>
                          <a:rect l="l" t="t" r="r" b="b"/>
                          <a:pathLst>
                            <a:path w="5494655" h="16510">
                              <a:moveTo>
                                <a:pt x="5494324" y="0"/>
                              </a:moveTo>
                              <a:lnTo>
                                <a:pt x="0" y="0"/>
                              </a:lnTo>
                              <a:lnTo>
                                <a:pt x="0" y="16497"/>
                              </a:lnTo>
                              <a:lnTo>
                                <a:pt x="5494324" y="16497"/>
                              </a:lnTo>
                              <a:lnTo>
                                <a:pt x="5494324"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6.693001pt;margin-top:7.874463pt;width:432.624pt;height:1.299pt;mso-position-horizontal-relative:page;mso-position-vertical-relative:paragraph;z-index:-15548928;mso-wrap-distance-left:0;mso-wrap-distance-right:0" id="docshape675" filled="true" fillcolor="#4f81bd" stroked="false">
                <v:fill type="solid"/>
                <w10:wrap type="topAndBottom"/>
              </v:rect>
            </w:pict>
          </mc:Fallback>
        </mc:AlternateContent>
      </w:r>
    </w:p>
    <w:p>
      <w:pPr>
        <w:spacing w:after="0" w:line="240" w:lineRule="auto"/>
        <w:rPr>
          <w:sz w:val="11"/>
        </w:rPr>
        <w:sectPr>
          <w:pgSz w:w="11910" w:h="16840"/>
          <w:pgMar w:header="468" w:footer="0" w:top="1580" w:bottom="280" w:left="1020" w:right="1540"/>
        </w:sectPr>
      </w:pPr>
    </w:p>
    <w:p>
      <w:pPr>
        <w:spacing w:before="92"/>
        <w:ind w:left="144" w:right="0" w:firstLine="0"/>
        <w:jc w:val="left"/>
        <w:rPr>
          <w:sz w:val="21"/>
        </w:rPr>
      </w:pPr>
      <w:r>
        <w:rPr>
          <w:color w:val="0070C0"/>
          <w:sz w:val="21"/>
        </w:rPr>
        <w:t>NOTES</w:t>
      </w:r>
      <w:r>
        <w:rPr>
          <w:color w:val="0070C0"/>
          <w:spacing w:val="5"/>
          <w:sz w:val="21"/>
        </w:rPr>
        <w:t> </w:t>
      </w:r>
      <w:r>
        <w:rPr>
          <w:color w:val="0070C0"/>
          <w:sz w:val="21"/>
        </w:rPr>
        <w:t>TO</w:t>
      </w:r>
      <w:r>
        <w:rPr>
          <w:color w:val="0070C0"/>
          <w:spacing w:val="7"/>
          <w:sz w:val="21"/>
        </w:rPr>
        <w:t> </w:t>
      </w:r>
      <w:r>
        <w:rPr>
          <w:color w:val="0070C0"/>
          <w:sz w:val="21"/>
        </w:rPr>
        <w:t>THE</w:t>
      </w:r>
      <w:r>
        <w:rPr>
          <w:color w:val="0070C0"/>
          <w:spacing w:val="5"/>
          <w:sz w:val="21"/>
        </w:rPr>
        <w:t> </w:t>
      </w:r>
      <w:r>
        <w:rPr>
          <w:color w:val="0070C0"/>
          <w:sz w:val="21"/>
        </w:rPr>
        <w:t>FINANCIAL</w:t>
      </w:r>
      <w:r>
        <w:rPr>
          <w:color w:val="0070C0"/>
          <w:spacing w:val="5"/>
          <w:sz w:val="21"/>
        </w:rPr>
        <w:t> </w:t>
      </w:r>
      <w:r>
        <w:rPr>
          <w:color w:val="0070C0"/>
          <w:spacing w:val="-2"/>
          <w:sz w:val="21"/>
        </w:rPr>
        <w:t>STATEMENTS</w:t>
      </w:r>
    </w:p>
    <w:p>
      <w:pPr>
        <w:spacing w:before="56"/>
        <w:ind w:left="130" w:right="0" w:firstLine="0"/>
        <w:jc w:val="left"/>
        <w:rPr>
          <w:sz w:val="12"/>
        </w:rPr>
      </w:pPr>
      <w:r>
        <w:rPr>
          <w:sz w:val="12"/>
        </w:rPr>
        <w:t>for</w:t>
      </w:r>
      <w:r>
        <w:rPr>
          <w:spacing w:val="-7"/>
          <w:sz w:val="12"/>
        </w:rPr>
        <w:t> </w:t>
      </w:r>
      <w:r>
        <w:rPr>
          <w:sz w:val="12"/>
        </w:rPr>
        <w:t>the</w:t>
      </w:r>
      <w:r>
        <w:rPr>
          <w:spacing w:val="-6"/>
          <w:sz w:val="12"/>
        </w:rPr>
        <w:t> </w:t>
      </w:r>
      <w:r>
        <w:rPr>
          <w:sz w:val="12"/>
        </w:rPr>
        <w:t>year</w:t>
      </w:r>
      <w:r>
        <w:rPr>
          <w:spacing w:val="-7"/>
          <w:sz w:val="12"/>
        </w:rPr>
        <w:t> </w:t>
      </w:r>
      <w:r>
        <w:rPr>
          <w:sz w:val="12"/>
        </w:rPr>
        <w:t>ended</w:t>
      </w:r>
      <w:r>
        <w:rPr>
          <w:spacing w:val="-6"/>
          <w:sz w:val="12"/>
        </w:rPr>
        <w:t> </w:t>
      </w:r>
      <w:r>
        <w:rPr>
          <w:sz w:val="12"/>
        </w:rPr>
        <w:t>31</w:t>
      </w:r>
      <w:r>
        <w:rPr>
          <w:spacing w:val="-7"/>
          <w:sz w:val="12"/>
        </w:rPr>
        <w:t> </w:t>
      </w:r>
      <w:r>
        <w:rPr>
          <w:sz w:val="12"/>
        </w:rPr>
        <w:t>December</w:t>
      </w:r>
      <w:r>
        <w:rPr>
          <w:spacing w:val="-6"/>
          <w:sz w:val="12"/>
        </w:rPr>
        <w:t> </w:t>
      </w:r>
      <w:r>
        <w:rPr>
          <w:spacing w:val="-4"/>
          <w:sz w:val="12"/>
        </w:rPr>
        <w:t>2020</w:t>
      </w:r>
    </w:p>
    <w:p>
      <w:pPr>
        <w:spacing w:line="240" w:lineRule="auto" w:before="65"/>
        <w:rPr>
          <w:sz w:val="12"/>
        </w:rPr>
      </w:pPr>
    </w:p>
    <w:p>
      <w:pPr>
        <w:pStyle w:val="ListParagraph"/>
        <w:numPr>
          <w:ilvl w:val="1"/>
          <w:numId w:val="13"/>
        </w:numPr>
        <w:tabs>
          <w:tab w:pos="724" w:val="left" w:leader="none"/>
        </w:tabs>
        <w:spacing w:line="240" w:lineRule="auto" w:before="0" w:after="0"/>
        <w:ind w:left="724" w:right="0" w:hanging="589"/>
        <w:jc w:val="left"/>
        <w:rPr>
          <w:b/>
          <w:color w:val="0070C0"/>
          <w:sz w:val="16"/>
        </w:rPr>
      </w:pPr>
      <w:r>
        <w:rPr>
          <w:b/>
          <w:color w:val="0070C0"/>
          <w:spacing w:val="-2"/>
          <w:sz w:val="16"/>
        </w:rPr>
        <w:t>Subsidiaries</w:t>
      </w:r>
      <w:r>
        <w:rPr>
          <w:b/>
          <w:color w:val="0070C0"/>
          <w:spacing w:val="2"/>
          <w:sz w:val="16"/>
        </w:rPr>
        <w:t> </w:t>
      </w:r>
      <w:r>
        <w:rPr>
          <w:b/>
          <w:color w:val="0070C0"/>
          <w:spacing w:val="-2"/>
          <w:sz w:val="16"/>
        </w:rPr>
        <w:t>and</w:t>
      </w:r>
      <w:r>
        <w:rPr>
          <w:b/>
          <w:color w:val="0070C0"/>
          <w:spacing w:val="2"/>
          <w:sz w:val="16"/>
        </w:rPr>
        <w:t> </w:t>
      </w:r>
      <w:r>
        <w:rPr>
          <w:b/>
          <w:color w:val="0070C0"/>
          <w:spacing w:val="-2"/>
          <w:sz w:val="16"/>
        </w:rPr>
        <w:t>Associates</w:t>
      </w:r>
    </w:p>
    <w:p>
      <w:pPr>
        <w:spacing w:line="240" w:lineRule="auto" w:before="33"/>
        <w:rPr>
          <w:b/>
          <w:sz w:val="16"/>
        </w:rPr>
      </w:pPr>
    </w:p>
    <w:p>
      <w:pPr>
        <w:pStyle w:val="ListParagraph"/>
        <w:numPr>
          <w:ilvl w:val="0"/>
          <w:numId w:val="44"/>
        </w:numPr>
        <w:tabs>
          <w:tab w:pos="721" w:val="left" w:leader="none"/>
        </w:tabs>
        <w:spacing w:line="240" w:lineRule="auto" w:before="0" w:after="0"/>
        <w:ind w:left="721" w:right="0" w:hanging="588"/>
        <w:jc w:val="left"/>
        <w:rPr>
          <w:b/>
          <w:sz w:val="13"/>
        </w:rPr>
      </w:pPr>
      <w:r>
        <w:rPr>
          <w:b/>
          <w:spacing w:val="-2"/>
          <w:position w:val="1"/>
          <w:sz w:val="13"/>
        </w:rPr>
        <w:t>Subsidiaries</w:t>
      </w:r>
    </w:p>
    <w:tbl>
      <w:tblPr>
        <w:tblW w:w="0" w:type="auto"/>
        <w:jc w:val="left"/>
        <w:tblInd w:w="7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308"/>
        <w:gridCol w:w="1196"/>
        <w:gridCol w:w="1047"/>
        <w:gridCol w:w="800"/>
        <w:gridCol w:w="1910"/>
      </w:tblGrid>
      <w:tr>
        <w:trPr>
          <w:trHeight w:val="529" w:hRule="atLeast"/>
        </w:trPr>
        <w:tc>
          <w:tcPr>
            <w:tcW w:w="3308" w:type="dxa"/>
            <w:tcBorders>
              <w:top w:val="single" w:sz="6" w:space="0" w:color="000000"/>
              <w:bottom w:val="single" w:sz="6" w:space="0" w:color="000000"/>
            </w:tcBorders>
          </w:tcPr>
          <w:p>
            <w:pPr>
              <w:pStyle w:val="TableParagraph"/>
              <w:spacing w:before="35"/>
              <w:rPr>
                <w:b/>
                <w:sz w:val="13"/>
              </w:rPr>
            </w:pPr>
          </w:p>
          <w:p>
            <w:pPr>
              <w:pStyle w:val="TableParagraph"/>
              <w:ind w:left="26"/>
              <w:rPr>
                <w:b/>
                <w:sz w:val="13"/>
              </w:rPr>
            </w:pPr>
            <w:r>
              <w:rPr>
                <w:b/>
                <w:sz w:val="13"/>
              </w:rPr>
              <w:t>Name</w:t>
            </w:r>
            <w:r>
              <w:rPr>
                <w:b/>
                <w:spacing w:val="3"/>
                <w:sz w:val="13"/>
              </w:rPr>
              <w:t> </w:t>
            </w:r>
            <w:r>
              <w:rPr>
                <w:b/>
                <w:sz w:val="13"/>
              </w:rPr>
              <w:t>of</w:t>
            </w:r>
            <w:r>
              <w:rPr>
                <w:b/>
                <w:spacing w:val="4"/>
                <w:sz w:val="13"/>
              </w:rPr>
              <w:t> </w:t>
            </w:r>
            <w:r>
              <w:rPr>
                <w:b/>
                <w:spacing w:val="-2"/>
                <w:sz w:val="13"/>
              </w:rPr>
              <w:t>entity</w:t>
            </w:r>
          </w:p>
        </w:tc>
        <w:tc>
          <w:tcPr>
            <w:tcW w:w="1196" w:type="dxa"/>
            <w:tcBorders>
              <w:top w:val="single" w:sz="6" w:space="0" w:color="000000"/>
              <w:bottom w:val="single" w:sz="6" w:space="0" w:color="000000"/>
            </w:tcBorders>
          </w:tcPr>
          <w:p>
            <w:pPr>
              <w:pStyle w:val="TableParagraph"/>
              <w:spacing w:line="278" w:lineRule="auto" w:before="12"/>
              <w:ind w:left="437"/>
              <w:rPr>
                <w:b/>
                <w:sz w:val="13"/>
              </w:rPr>
            </w:pPr>
            <w:r>
              <w:rPr>
                <w:b/>
                <w:spacing w:val="-2"/>
                <w:sz w:val="13"/>
              </w:rPr>
              <w:t>Principal</w:t>
            </w:r>
            <w:r>
              <w:rPr>
                <w:b/>
                <w:spacing w:val="40"/>
                <w:sz w:val="13"/>
              </w:rPr>
              <w:t> </w:t>
            </w:r>
            <w:r>
              <w:rPr>
                <w:b/>
                <w:sz w:val="13"/>
              </w:rPr>
              <w:t>place</w:t>
            </w:r>
            <w:r>
              <w:rPr>
                <w:b/>
                <w:spacing w:val="-5"/>
                <w:sz w:val="13"/>
              </w:rPr>
              <w:t> </w:t>
            </w:r>
            <w:r>
              <w:rPr>
                <w:b/>
                <w:sz w:val="13"/>
              </w:rPr>
              <w:t>of</w:t>
            </w:r>
          </w:p>
          <w:p>
            <w:pPr>
              <w:pStyle w:val="TableParagraph"/>
              <w:spacing w:line="148" w:lineRule="exact"/>
              <w:ind w:left="437"/>
              <w:rPr>
                <w:b/>
                <w:sz w:val="13"/>
              </w:rPr>
            </w:pPr>
            <w:r>
              <w:rPr>
                <w:b/>
                <w:spacing w:val="-2"/>
                <w:sz w:val="13"/>
              </w:rPr>
              <w:t>business</w:t>
            </w:r>
          </w:p>
        </w:tc>
        <w:tc>
          <w:tcPr>
            <w:tcW w:w="1047" w:type="dxa"/>
            <w:tcBorders>
              <w:top w:val="single" w:sz="6" w:space="0" w:color="000000"/>
              <w:bottom w:val="single" w:sz="6" w:space="0" w:color="000000"/>
            </w:tcBorders>
          </w:tcPr>
          <w:p>
            <w:pPr>
              <w:pStyle w:val="TableParagraph"/>
              <w:spacing w:line="278" w:lineRule="auto" w:before="98"/>
              <w:ind w:left="180"/>
              <w:rPr>
                <w:b/>
                <w:sz w:val="13"/>
              </w:rPr>
            </w:pPr>
            <w:r>
              <w:rPr>
                <w:b/>
                <w:sz w:val="13"/>
              </w:rPr>
              <w:t>Class</w:t>
            </w:r>
            <w:r>
              <w:rPr>
                <w:b/>
                <w:spacing w:val="-10"/>
                <w:sz w:val="13"/>
              </w:rPr>
              <w:t> </w:t>
            </w:r>
            <w:r>
              <w:rPr>
                <w:b/>
                <w:sz w:val="13"/>
              </w:rPr>
              <w:t>of</w:t>
            </w:r>
            <w:r>
              <w:rPr>
                <w:b/>
                <w:spacing w:val="40"/>
                <w:sz w:val="13"/>
              </w:rPr>
              <w:t> </w:t>
            </w:r>
            <w:r>
              <w:rPr>
                <w:b/>
                <w:spacing w:val="-2"/>
                <w:sz w:val="13"/>
              </w:rPr>
              <w:t>shares</w:t>
            </w:r>
          </w:p>
        </w:tc>
        <w:tc>
          <w:tcPr>
            <w:tcW w:w="800" w:type="dxa"/>
            <w:tcBorders>
              <w:top w:val="single" w:sz="6" w:space="0" w:color="000000"/>
              <w:bottom w:val="single" w:sz="6" w:space="0" w:color="000000"/>
            </w:tcBorders>
          </w:tcPr>
          <w:p>
            <w:pPr>
              <w:pStyle w:val="TableParagraph"/>
              <w:spacing w:line="144" w:lineRule="exact"/>
              <w:ind w:left="372"/>
              <w:rPr>
                <w:b/>
                <w:sz w:val="13"/>
              </w:rPr>
            </w:pPr>
            <w:r>
              <w:rPr>
                <w:b/>
                <w:spacing w:val="-2"/>
                <w:sz w:val="13"/>
              </w:rPr>
              <w:t>Equity</w:t>
            </w:r>
          </w:p>
          <w:p>
            <w:pPr>
              <w:pStyle w:val="TableParagraph"/>
              <w:spacing w:before="72"/>
              <w:rPr>
                <w:b/>
                <w:sz w:val="13"/>
              </w:rPr>
            </w:pPr>
          </w:p>
          <w:p>
            <w:pPr>
              <w:pStyle w:val="TableParagraph"/>
              <w:spacing w:line="143" w:lineRule="exact" w:before="1"/>
              <w:ind w:left="357"/>
              <w:rPr>
                <w:b/>
                <w:sz w:val="13"/>
              </w:rPr>
            </w:pPr>
            <w:r>
              <w:rPr>
                <w:b/>
                <w:spacing w:val="-4"/>
                <w:sz w:val="13"/>
              </w:rPr>
              <w:t>2020</w:t>
            </w:r>
          </w:p>
        </w:tc>
        <w:tc>
          <w:tcPr>
            <w:tcW w:w="1910" w:type="dxa"/>
            <w:tcBorders>
              <w:top w:val="single" w:sz="6" w:space="0" w:color="000000"/>
              <w:bottom w:val="single" w:sz="6" w:space="0" w:color="000000"/>
            </w:tcBorders>
          </w:tcPr>
          <w:p>
            <w:pPr>
              <w:pStyle w:val="TableParagraph"/>
              <w:spacing w:line="121" w:lineRule="exact"/>
              <w:ind w:left="15"/>
              <w:rPr>
                <w:b/>
                <w:sz w:val="13"/>
              </w:rPr>
            </w:pPr>
            <w:r>
              <w:rPr>
                <w:b/>
                <w:spacing w:val="-2"/>
                <w:sz w:val="13"/>
              </w:rPr>
              <w:t>holding</w:t>
            </w:r>
          </w:p>
          <w:p>
            <w:pPr>
              <w:pStyle w:val="TableParagraph"/>
              <w:tabs>
                <w:tab w:pos="865" w:val="left" w:leader="none"/>
              </w:tabs>
              <w:spacing w:line="182" w:lineRule="auto"/>
              <w:ind w:left="-21"/>
              <w:rPr>
                <w:b/>
                <w:sz w:val="13"/>
              </w:rPr>
            </w:pPr>
            <w:r>
              <w:rPr>
                <w:b/>
                <w:spacing w:val="-10"/>
                <w:position w:val="-6"/>
                <w:sz w:val="13"/>
              </w:rPr>
              <w:t>%</w:t>
            </w:r>
            <w:r>
              <w:rPr>
                <w:b/>
                <w:position w:val="-6"/>
                <w:sz w:val="13"/>
              </w:rPr>
              <w:tab/>
            </w:r>
            <w:r>
              <w:rPr>
                <w:b/>
                <w:spacing w:val="-2"/>
                <w:sz w:val="13"/>
              </w:rPr>
              <w:t>Principal</w:t>
            </w:r>
          </w:p>
          <w:p>
            <w:pPr>
              <w:pStyle w:val="TableParagraph"/>
              <w:tabs>
                <w:tab w:pos="865" w:val="left" w:leader="none"/>
              </w:tabs>
              <w:spacing w:line="192" w:lineRule="auto"/>
              <w:ind w:left="360"/>
              <w:rPr>
                <w:b/>
                <w:sz w:val="13"/>
              </w:rPr>
            </w:pPr>
            <w:r>
              <w:rPr>
                <w:b/>
                <w:spacing w:val="-4"/>
                <w:position w:val="-9"/>
                <w:sz w:val="13"/>
              </w:rPr>
              <w:t>2019</w:t>
            </w:r>
            <w:r>
              <w:rPr>
                <w:b/>
                <w:position w:val="-9"/>
                <w:sz w:val="13"/>
              </w:rPr>
              <w:tab/>
            </w:r>
            <w:r>
              <w:rPr>
                <w:b/>
                <w:spacing w:val="-2"/>
                <w:sz w:val="13"/>
              </w:rPr>
              <w:t>activity</w:t>
            </w:r>
          </w:p>
        </w:tc>
      </w:tr>
      <w:tr>
        <w:trPr>
          <w:trHeight w:val="406" w:hRule="atLeast"/>
        </w:trPr>
        <w:tc>
          <w:tcPr>
            <w:tcW w:w="3308" w:type="dxa"/>
            <w:tcBorders>
              <w:top w:val="single" w:sz="6" w:space="0" w:color="000000"/>
            </w:tcBorders>
          </w:tcPr>
          <w:p>
            <w:pPr>
              <w:pStyle w:val="TableParagraph"/>
              <w:spacing w:before="15"/>
              <w:rPr>
                <w:b/>
                <w:sz w:val="13"/>
              </w:rPr>
            </w:pPr>
          </w:p>
          <w:p>
            <w:pPr>
              <w:pStyle w:val="TableParagraph"/>
              <w:ind w:left="26"/>
              <w:rPr>
                <w:sz w:val="13"/>
              </w:rPr>
            </w:pPr>
            <w:r>
              <w:rPr>
                <w:sz w:val="13"/>
              </w:rPr>
              <w:t>The</w:t>
            </w:r>
            <w:r>
              <w:rPr>
                <w:spacing w:val="5"/>
                <w:sz w:val="13"/>
              </w:rPr>
              <w:t> </w:t>
            </w:r>
            <w:r>
              <w:rPr>
                <w:sz w:val="13"/>
              </w:rPr>
              <w:t>University</w:t>
            </w:r>
            <w:r>
              <w:rPr>
                <w:spacing w:val="5"/>
                <w:sz w:val="13"/>
              </w:rPr>
              <w:t> </w:t>
            </w:r>
            <w:r>
              <w:rPr>
                <w:sz w:val="13"/>
              </w:rPr>
              <w:t>Club</w:t>
            </w:r>
            <w:r>
              <w:rPr>
                <w:spacing w:val="5"/>
                <w:sz w:val="13"/>
              </w:rPr>
              <w:t> </w:t>
            </w:r>
            <w:r>
              <w:rPr>
                <w:sz w:val="13"/>
              </w:rPr>
              <w:t>of</w:t>
            </w:r>
            <w:r>
              <w:rPr>
                <w:spacing w:val="9"/>
                <w:sz w:val="13"/>
              </w:rPr>
              <w:t> </w:t>
            </w:r>
            <w:r>
              <w:rPr>
                <w:sz w:val="13"/>
              </w:rPr>
              <w:t>Western</w:t>
            </w:r>
            <w:r>
              <w:rPr>
                <w:spacing w:val="5"/>
                <w:sz w:val="13"/>
              </w:rPr>
              <w:t> </w:t>
            </w:r>
            <w:r>
              <w:rPr>
                <w:sz w:val="13"/>
              </w:rPr>
              <w:t>Australia</w:t>
            </w:r>
            <w:r>
              <w:rPr>
                <w:spacing w:val="6"/>
                <w:sz w:val="13"/>
              </w:rPr>
              <w:t> </w:t>
            </w:r>
            <w:r>
              <w:rPr>
                <w:sz w:val="13"/>
              </w:rPr>
              <w:t>Pty</w:t>
            </w:r>
            <w:r>
              <w:rPr>
                <w:spacing w:val="4"/>
                <w:sz w:val="13"/>
              </w:rPr>
              <w:t> </w:t>
            </w:r>
            <w:r>
              <w:rPr>
                <w:spacing w:val="-5"/>
                <w:sz w:val="13"/>
              </w:rPr>
              <w:t>Ltd</w:t>
            </w:r>
          </w:p>
        </w:tc>
        <w:tc>
          <w:tcPr>
            <w:tcW w:w="1196" w:type="dxa"/>
            <w:tcBorders>
              <w:top w:val="single" w:sz="6" w:space="0" w:color="000000"/>
            </w:tcBorders>
          </w:tcPr>
          <w:p>
            <w:pPr>
              <w:pStyle w:val="TableParagraph"/>
              <w:spacing w:before="15"/>
              <w:rPr>
                <w:b/>
                <w:sz w:val="13"/>
              </w:rPr>
            </w:pPr>
          </w:p>
          <w:p>
            <w:pPr>
              <w:pStyle w:val="TableParagraph"/>
              <w:ind w:right="242"/>
              <w:jc w:val="right"/>
              <w:rPr>
                <w:sz w:val="13"/>
              </w:rPr>
            </w:pPr>
            <w:r>
              <w:rPr>
                <w:spacing w:val="-2"/>
                <w:sz w:val="13"/>
              </w:rPr>
              <w:t>Australia</w:t>
            </w:r>
          </w:p>
        </w:tc>
        <w:tc>
          <w:tcPr>
            <w:tcW w:w="1047" w:type="dxa"/>
            <w:tcBorders>
              <w:top w:val="single" w:sz="6" w:space="0" w:color="000000"/>
            </w:tcBorders>
          </w:tcPr>
          <w:p>
            <w:pPr>
              <w:pStyle w:val="TableParagraph"/>
              <w:spacing w:before="15"/>
              <w:rPr>
                <w:b/>
                <w:sz w:val="13"/>
              </w:rPr>
            </w:pPr>
          </w:p>
          <w:p>
            <w:pPr>
              <w:pStyle w:val="TableParagraph"/>
              <w:ind w:left="180"/>
              <w:rPr>
                <w:sz w:val="13"/>
              </w:rPr>
            </w:pPr>
            <w:r>
              <w:rPr>
                <w:spacing w:val="-2"/>
                <w:sz w:val="13"/>
              </w:rPr>
              <w:t>Ordinary</w:t>
            </w:r>
          </w:p>
        </w:tc>
        <w:tc>
          <w:tcPr>
            <w:tcW w:w="800" w:type="dxa"/>
            <w:tcBorders>
              <w:top w:val="single" w:sz="6" w:space="0" w:color="000000"/>
            </w:tcBorders>
          </w:tcPr>
          <w:p>
            <w:pPr>
              <w:pStyle w:val="TableParagraph"/>
              <w:spacing w:before="15"/>
              <w:rPr>
                <w:b/>
                <w:sz w:val="13"/>
              </w:rPr>
            </w:pPr>
          </w:p>
          <w:p>
            <w:pPr>
              <w:pStyle w:val="TableParagraph"/>
              <w:ind w:left="164"/>
              <w:jc w:val="center"/>
              <w:rPr>
                <w:sz w:val="13"/>
              </w:rPr>
            </w:pPr>
            <w:r>
              <w:rPr>
                <w:spacing w:val="-5"/>
                <w:sz w:val="13"/>
              </w:rPr>
              <w:t>100</w:t>
            </w:r>
          </w:p>
        </w:tc>
        <w:tc>
          <w:tcPr>
            <w:tcW w:w="1910" w:type="dxa"/>
            <w:tcBorders>
              <w:top w:val="single" w:sz="6" w:space="0" w:color="000000"/>
            </w:tcBorders>
          </w:tcPr>
          <w:p>
            <w:pPr>
              <w:pStyle w:val="TableParagraph"/>
              <w:tabs>
                <w:tab w:pos="865" w:val="left" w:leader="none"/>
              </w:tabs>
              <w:spacing w:line="168" w:lineRule="auto" w:before="95"/>
              <w:ind w:left="373"/>
              <w:rPr>
                <w:sz w:val="13"/>
              </w:rPr>
            </w:pPr>
            <w:r>
              <w:rPr>
                <w:spacing w:val="-5"/>
                <w:position w:val="-7"/>
                <w:sz w:val="13"/>
              </w:rPr>
              <w:t>100</w:t>
            </w:r>
            <w:r>
              <w:rPr>
                <w:position w:val="-7"/>
                <w:sz w:val="13"/>
              </w:rPr>
              <w:tab/>
            </w:r>
            <w:r>
              <w:rPr>
                <w:sz w:val="13"/>
              </w:rPr>
              <w:t>Events</w:t>
            </w:r>
            <w:r>
              <w:rPr>
                <w:spacing w:val="7"/>
                <w:sz w:val="13"/>
              </w:rPr>
              <w:t> </w:t>
            </w:r>
            <w:r>
              <w:rPr>
                <w:spacing w:val="-5"/>
                <w:sz w:val="13"/>
              </w:rPr>
              <w:t>and</w:t>
            </w:r>
          </w:p>
          <w:p>
            <w:pPr>
              <w:pStyle w:val="TableParagraph"/>
              <w:spacing w:line="107" w:lineRule="exact"/>
              <w:ind w:left="865"/>
              <w:rPr>
                <w:sz w:val="13"/>
              </w:rPr>
            </w:pPr>
            <w:r>
              <w:rPr>
                <w:sz w:val="13"/>
              </w:rPr>
              <w:t>function</w:t>
            </w:r>
            <w:r>
              <w:rPr>
                <w:spacing w:val="5"/>
                <w:sz w:val="13"/>
              </w:rPr>
              <w:t> </w:t>
            </w:r>
            <w:r>
              <w:rPr>
                <w:spacing w:val="-2"/>
                <w:sz w:val="13"/>
              </w:rPr>
              <w:t>centre</w:t>
            </w:r>
          </w:p>
        </w:tc>
      </w:tr>
      <w:tr>
        <w:trPr>
          <w:trHeight w:val="413" w:hRule="atLeast"/>
        </w:trPr>
        <w:tc>
          <w:tcPr>
            <w:tcW w:w="3308" w:type="dxa"/>
          </w:tcPr>
          <w:p>
            <w:pPr>
              <w:pStyle w:val="TableParagraph"/>
              <w:spacing w:before="104"/>
              <w:rPr>
                <w:b/>
                <w:sz w:val="13"/>
              </w:rPr>
            </w:pPr>
          </w:p>
          <w:p>
            <w:pPr>
              <w:pStyle w:val="TableParagraph"/>
              <w:spacing w:line="140" w:lineRule="exact"/>
              <w:ind w:left="26"/>
              <w:rPr>
                <w:sz w:val="13"/>
              </w:rPr>
            </w:pPr>
            <w:r>
              <w:rPr>
                <w:sz w:val="13"/>
              </w:rPr>
              <w:t>UWA</w:t>
            </w:r>
            <w:r>
              <w:rPr>
                <w:spacing w:val="7"/>
                <w:sz w:val="13"/>
              </w:rPr>
              <w:t> </w:t>
            </w:r>
            <w:r>
              <w:rPr>
                <w:sz w:val="13"/>
              </w:rPr>
              <w:t>Sport</w:t>
            </w:r>
            <w:r>
              <w:rPr>
                <w:spacing w:val="8"/>
                <w:sz w:val="13"/>
              </w:rPr>
              <w:t> </w:t>
            </w:r>
            <w:r>
              <w:rPr>
                <w:sz w:val="13"/>
              </w:rPr>
              <w:t>Pty</w:t>
            </w:r>
            <w:r>
              <w:rPr>
                <w:spacing w:val="6"/>
                <w:sz w:val="13"/>
              </w:rPr>
              <w:t> </w:t>
            </w:r>
            <w:r>
              <w:rPr>
                <w:spacing w:val="-5"/>
                <w:sz w:val="13"/>
              </w:rPr>
              <w:t>Ltd</w:t>
            </w:r>
          </w:p>
        </w:tc>
        <w:tc>
          <w:tcPr>
            <w:tcW w:w="1196" w:type="dxa"/>
          </w:tcPr>
          <w:p>
            <w:pPr>
              <w:pStyle w:val="TableParagraph"/>
              <w:spacing w:before="104"/>
              <w:rPr>
                <w:b/>
                <w:sz w:val="13"/>
              </w:rPr>
            </w:pPr>
          </w:p>
          <w:p>
            <w:pPr>
              <w:pStyle w:val="TableParagraph"/>
              <w:spacing w:line="140" w:lineRule="exact"/>
              <w:ind w:right="242"/>
              <w:jc w:val="right"/>
              <w:rPr>
                <w:sz w:val="13"/>
              </w:rPr>
            </w:pPr>
            <w:r>
              <w:rPr>
                <w:spacing w:val="-2"/>
                <w:sz w:val="13"/>
              </w:rPr>
              <w:t>Australia</w:t>
            </w:r>
          </w:p>
        </w:tc>
        <w:tc>
          <w:tcPr>
            <w:tcW w:w="1047" w:type="dxa"/>
          </w:tcPr>
          <w:p>
            <w:pPr>
              <w:pStyle w:val="TableParagraph"/>
              <w:spacing w:before="104"/>
              <w:rPr>
                <w:b/>
                <w:sz w:val="13"/>
              </w:rPr>
            </w:pPr>
          </w:p>
          <w:p>
            <w:pPr>
              <w:pStyle w:val="TableParagraph"/>
              <w:spacing w:line="140" w:lineRule="exact"/>
              <w:ind w:left="180"/>
              <w:rPr>
                <w:sz w:val="13"/>
              </w:rPr>
            </w:pPr>
            <w:r>
              <w:rPr>
                <w:spacing w:val="-2"/>
                <w:sz w:val="13"/>
              </w:rPr>
              <w:t>Ordinary</w:t>
            </w:r>
          </w:p>
        </w:tc>
        <w:tc>
          <w:tcPr>
            <w:tcW w:w="800" w:type="dxa"/>
          </w:tcPr>
          <w:p>
            <w:pPr>
              <w:pStyle w:val="TableParagraph"/>
              <w:spacing w:before="104"/>
              <w:rPr>
                <w:b/>
                <w:sz w:val="13"/>
              </w:rPr>
            </w:pPr>
          </w:p>
          <w:p>
            <w:pPr>
              <w:pStyle w:val="TableParagraph"/>
              <w:spacing w:line="140" w:lineRule="exact"/>
              <w:ind w:left="164"/>
              <w:jc w:val="center"/>
              <w:rPr>
                <w:sz w:val="13"/>
              </w:rPr>
            </w:pPr>
            <w:r>
              <w:rPr>
                <w:spacing w:val="-5"/>
                <w:sz w:val="13"/>
              </w:rPr>
              <w:t>100</w:t>
            </w:r>
          </w:p>
        </w:tc>
        <w:tc>
          <w:tcPr>
            <w:tcW w:w="1910" w:type="dxa"/>
          </w:tcPr>
          <w:p>
            <w:pPr>
              <w:pStyle w:val="TableParagraph"/>
              <w:spacing w:before="90"/>
              <w:ind w:right="402"/>
              <w:jc w:val="right"/>
              <w:rPr>
                <w:sz w:val="13"/>
              </w:rPr>
            </w:pPr>
            <w:r>
              <w:rPr>
                <w:sz w:val="13"/>
              </w:rPr>
              <w:t>Sports</w:t>
            </w:r>
            <w:r>
              <w:rPr>
                <w:spacing w:val="5"/>
                <w:sz w:val="13"/>
              </w:rPr>
              <w:t> </w:t>
            </w:r>
            <w:r>
              <w:rPr>
                <w:spacing w:val="-5"/>
                <w:sz w:val="13"/>
              </w:rPr>
              <w:t>and</w:t>
            </w:r>
          </w:p>
          <w:p>
            <w:pPr>
              <w:pStyle w:val="TableParagraph"/>
              <w:tabs>
                <w:tab w:pos="491" w:val="left" w:leader="none"/>
              </w:tabs>
              <w:spacing w:line="138" w:lineRule="exact" w:before="16"/>
              <w:ind w:right="354"/>
              <w:jc w:val="right"/>
              <w:rPr>
                <w:sz w:val="13"/>
              </w:rPr>
            </w:pPr>
            <w:r>
              <w:rPr>
                <w:spacing w:val="-5"/>
                <w:sz w:val="13"/>
              </w:rPr>
              <w:t>100</w:t>
            </w:r>
            <w:r>
              <w:rPr>
                <w:sz w:val="13"/>
              </w:rPr>
              <w:tab/>
            </w:r>
            <w:r>
              <w:rPr>
                <w:spacing w:val="-2"/>
                <w:sz w:val="13"/>
              </w:rPr>
              <w:t>recreational</w:t>
            </w:r>
          </w:p>
        </w:tc>
      </w:tr>
      <w:tr>
        <w:trPr>
          <w:trHeight w:val="247" w:hRule="atLeast"/>
        </w:trPr>
        <w:tc>
          <w:tcPr>
            <w:tcW w:w="3308" w:type="dxa"/>
          </w:tcPr>
          <w:p>
            <w:pPr>
              <w:pStyle w:val="TableParagraph"/>
              <w:rPr>
                <w:rFonts w:ascii="Times New Roman"/>
                <w:sz w:val="12"/>
              </w:rPr>
            </w:pPr>
          </w:p>
        </w:tc>
        <w:tc>
          <w:tcPr>
            <w:tcW w:w="1196" w:type="dxa"/>
          </w:tcPr>
          <w:p>
            <w:pPr>
              <w:pStyle w:val="TableParagraph"/>
              <w:rPr>
                <w:rFonts w:ascii="Times New Roman"/>
                <w:sz w:val="12"/>
              </w:rPr>
            </w:pPr>
          </w:p>
        </w:tc>
        <w:tc>
          <w:tcPr>
            <w:tcW w:w="1047" w:type="dxa"/>
          </w:tcPr>
          <w:p>
            <w:pPr>
              <w:pStyle w:val="TableParagraph"/>
              <w:rPr>
                <w:rFonts w:ascii="Times New Roman"/>
                <w:sz w:val="12"/>
              </w:rPr>
            </w:pPr>
          </w:p>
        </w:tc>
        <w:tc>
          <w:tcPr>
            <w:tcW w:w="800" w:type="dxa"/>
          </w:tcPr>
          <w:p>
            <w:pPr>
              <w:pStyle w:val="TableParagraph"/>
              <w:rPr>
                <w:rFonts w:ascii="Times New Roman"/>
                <w:sz w:val="12"/>
              </w:rPr>
            </w:pPr>
          </w:p>
        </w:tc>
        <w:tc>
          <w:tcPr>
            <w:tcW w:w="1910" w:type="dxa"/>
          </w:tcPr>
          <w:p>
            <w:pPr>
              <w:pStyle w:val="TableParagraph"/>
              <w:spacing w:before="8"/>
              <w:ind w:left="865"/>
              <w:rPr>
                <w:sz w:val="13"/>
              </w:rPr>
            </w:pPr>
            <w:r>
              <w:rPr>
                <w:spacing w:val="-2"/>
                <w:sz w:val="13"/>
              </w:rPr>
              <w:t>activities</w:t>
            </w:r>
          </w:p>
        </w:tc>
      </w:tr>
      <w:tr>
        <w:trPr>
          <w:trHeight w:val="408" w:hRule="atLeast"/>
        </w:trPr>
        <w:tc>
          <w:tcPr>
            <w:tcW w:w="3308" w:type="dxa"/>
          </w:tcPr>
          <w:p>
            <w:pPr>
              <w:pStyle w:val="TableParagraph"/>
              <w:spacing w:before="88"/>
              <w:ind w:left="26"/>
              <w:rPr>
                <w:sz w:val="13"/>
              </w:rPr>
            </w:pPr>
            <w:r>
              <w:rPr>
                <w:sz w:val="13"/>
              </w:rPr>
              <w:t>UWA</w:t>
            </w:r>
            <w:r>
              <w:rPr>
                <w:spacing w:val="8"/>
                <w:sz w:val="13"/>
              </w:rPr>
              <w:t> </w:t>
            </w:r>
            <w:r>
              <w:rPr>
                <w:sz w:val="13"/>
              </w:rPr>
              <w:t>Accommodation</w:t>
            </w:r>
            <w:r>
              <w:rPr>
                <w:spacing w:val="7"/>
                <w:sz w:val="13"/>
              </w:rPr>
              <w:t> </w:t>
            </w:r>
            <w:r>
              <w:rPr>
                <w:sz w:val="13"/>
              </w:rPr>
              <w:t>Services</w:t>
            </w:r>
            <w:r>
              <w:rPr>
                <w:spacing w:val="8"/>
                <w:sz w:val="13"/>
              </w:rPr>
              <w:t> </w:t>
            </w:r>
            <w:r>
              <w:rPr>
                <w:sz w:val="13"/>
              </w:rPr>
              <w:t>Pty</w:t>
            </w:r>
            <w:r>
              <w:rPr>
                <w:spacing w:val="6"/>
                <w:sz w:val="13"/>
              </w:rPr>
              <w:t> </w:t>
            </w:r>
            <w:r>
              <w:rPr>
                <w:spacing w:val="-5"/>
                <w:sz w:val="13"/>
              </w:rPr>
              <w:t>Ltd</w:t>
            </w:r>
          </w:p>
        </w:tc>
        <w:tc>
          <w:tcPr>
            <w:tcW w:w="1196" w:type="dxa"/>
          </w:tcPr>
          <w:p>
            <w:pPr>
              <w:pStyle w:val="TableParagraph"/>
              <w:spacing w:before="88"/>
              <w:ind w:right="242"/>
              <w:jc w:val="right"/>
              <w:rPr>
                <w:sz w:val="13"/>
              </w:rPr>
            </w:pPr>
            <w:r>
              <w:rPr>
                <w:spacing w:val="-2"/>
                <w:sz w:val="13"/>
              </w:rPr>
              <w:t>Australia</w:t>
            </w:r>
          </w:p>
        </w:tc>
        <w:tc>
          <w:tcPr>
            <w:tcW w:w="1047" w:type="dxa"/>
          </w:tcPr>
          <w:p>
            <w:pPr>
              <w:pStyle w:val="TableParagraph"/>
              <w:spacing w:before="88"/>
              <w:ind w:left="180"/>
              <w:rPr>
                <w:sz w:val="13"/>
              </w:rPr>
            </w:pPr>
            <w:r>
              <w:rPr>
                <w:spacing w:val="-2"/>
                <w:sz w:val="13"/>
              </w:rPr>
              <w:t>Ordinary</w:t>
            </w:r>
          </w:p>
        </w:tc>
        <w:tc>
          <w:tcPr>
            <w:tcW w:w="800" w:type="dxa"/>
          </w:tcPr>
          <w:p>
            <w:pPr>
              <w:pStyle w:val="TableParagraph"/>
              <w:spacing w:before="88"/>
              <w:ind w:left="164"/>
              <w:jc w:val="center"/>
              <w:rPr>
                <w:sz w:val="13"/>
              </w:rPr>
            </w:pPr>
            <w:r>
              <w:rPr>
                <w:spacing w:val="-5"/>
                <w:sz w:val="13"/>
              </w:rPr>
              <w:t>100</w:t>
            </w:r>
          </w:p>
        </w:tc>
        <w:tc>
          <w:tcPr>
            <w:tcW w:w="1910" w:type="dxa"/>
          </w:tcPr>
          <w:p>
            <w:pPr>
              <w:pStyle w:val="TableParagraph"/>
              <w:tabs>
                <w:tab w:pos="865" w:val="left" w:leader="none"/>
              </w:tabs>
              <w:spacing w:line="172" w:lineRule="auto" w:before="17"/>
              <w:ind w:left="865" w:right="115" w:hanging="492"/>
              <w:rPr>
                <w:sz w:val="13"/>
              </w:rPr>
            </w:pPr>
            <w:r>
              <w:rPr>
                <w:spacing w:val="-4"/>
                <w:position w:val="-7"/>
                <w:sz w:val="13"/>
              </w:rPr>
              <w:t>100</w:t>
            </w:r>
            <w:r>
              <w:rPr>
                <w:position w:val="-7"/>
                <w:sz w:val="13"/>
              </w:rPr>
              <w:tab/>
            </w:r>
            <w:r>
              <w:rPr>
                <w:spacing w:val="-2"/>
                <w:sz w:val="13"/>
              </w:rPr>
              <w:t>Student</w:t>
            </w:r>
            <w:r>
              <w:rPr>
                <w:spacing w:val="40"/>
                <w:sz w:val="13"/>
              </w:rPr>
              <w:t> </w:t>
            </w:r>
            <w:r>
              <w:rPr>
                <w:spacing w:val="-2"/>
                <w:sz w:val="13"/>
              </w:rPr>
              <w:t>accommodation</w:t>
            </w:r>
          </w:p>
        </w:tc>
      </w:tr>
      <w:tr>
        <w:trPr>
          <w:trHeight w:val="417" w:hRule="atLeast"/>
        </w:trPr>
        <w:tc>
          <w:tcPr>
            <w:tcW w:w="3308" w:type="dxa"/>
          </w:tcPr>
          <w:p>
            <w:pPr>
              <w:pStyle w:val="TableParagraph"/>
              <w:spacing w:before="19"/>
              <w:rPr>
                <w:b/>
                <w:sz w:val="13"/>
              </w:rPr>
            </w:pPr>
          </w:p>
          <w:p>
            <w:pPr>
              <w:pStyle w:val="TableParagraph"/>
              <w:ind w:left="26"/>
              <w:rPr>
                <w:sz w:val="13"/>
              </w:rPr>
            </w:pPr>
            <w:r>
              <w:rPr>
                <w:sz w:val="13"/>
              </w:rPr>
              <w:t>Perth</w:t>
            </w:r>
            <w:r>
              <w:rPr>
                <w:spacing w:val="5"/>
                <w:sz w:val="13"/>
              </w:rPr>
              <w:t> </w:t>
            </w:r>
            <w:r>
              <w:rPr>
                <w:sz w:val="13"/>
              </w:rPr>
              <w:t>International</w:t>
            </w:r>
            <w:r>
              <w:rPr>
                <w:spacing w:val="4"/>
                <w:sz w:val="13"/>
              </w:rPr>
              <w:t> </w:t>
            </w:r>
            <w:r>
              <w:rPr>
                <w:sz w:val="13"/>
              </w:rPr>
              <w:t>Arts</w:t>
            </w:r>
            <w:r>
              <w:rPr>
                <w:spacing w:val="7"/>
                <w:sz w:val="13"/>
              </w:rPr>
              <w:t> </w:t>
            </w:r>
            <w:r>
              <w:rPr>
                <w:sz w:val="13"/>
              </w:rPr>
              <w:t>Festival</w:t>
            </w:r>
            <w:r>
              <w:rPr>
                <w:spacing w:val="5"/>
                <w:sz w:val="13"/>
              </w:rPr>
              <w:t> </w:t>
            </w:r>
            <w:r>
              <w:rPr>
                <w:spacing w:val="-5"/>
                <w:sz w:val="13"/>
              </w:rPr>
              <w:t>Ltd</w:t>
            </w:r>
          </w:p>
        </w:tc>
        <w:tc>
          <w:tcPr>
            <w:tcW w:w="1196" w:type="dxa"/>
          </w:tcPr>
          <w:p>
            <w:pPr>
              <w:pStyle w:val="TableParagraph"/>
              <w:spacing w:before="25"/>
              <w:rPr>
                <w:b/>
                <w:sz w:val="13"/>
              </w:rPr>
            </w:pPr>
          </w:p>
          <w:p>
            <w:pPr>
              <w:pStyle w:val="TableParagraph"/>
              <w:spacing w:before="1"/>
              <w:ind w:right="242"/>
              <w:jc w:val="right"/>
              <w:rPr>
                <w:sz w:val="13"/>
              </w:rPr>
            </w:pPr>
            <w:r>
              <w:rPr>
                <w:spacing w:val="-2"/>
                <w:sz w:val="13"/>
              </w:rPr>
              <w:t>Australia</w:t>
            </w:r>
          </w:p>
        </w:tc>
        <w:tc>
          <w:tcPr>
            <w:tcW w:w="1047" w:type="dxa"/>
          </w:tcPr>
          <w:p>
            <w:pPr>
              <w:pStyle w:val="TableParagraph"/>
              <w:spacing w:before="25"/>
              <w:rPr>
                <w:b/>
                <w:sz w:val="13"/>
              </w:rPr>
            </w:pPr>
          </w:p>
          <w:p>
            <w:pPr>
              <w:pStyle w:val="TableParagraph"/>
              <w:spacing w:before="1"/>
              <w:ind w:left="180"/>
              <w:rPr>
                <w:sz w:val="13"/>
              </w:rPr>
            </w:pPr>
            <w:r>
              <w:rPr>
                <w:spacing w:val="-2"/>
                <w:sz w:val="13"/>
              </w:rPr>
              <w:t>Ordinary</w:t>
            </w:r>
          </w:p>
        </w:tc>
        <w:tc>
          <w:tcPr>
            <w:tcW w:w="800" w:type="dxa"/>
          </w:tcPr>
          <w:p>
            <w:pPr>
              <w:pStyle w:val="TableParagraph"/>
              <w:spacing w:before="25"/>
              <w:rPr>
                <w:b/>
                <w:sz w:val="13"/>
              </w:rPr>
            </w:pPr>
          </w:p>
          <w:p>
            <w:pPr>
              <w:pStyle w:val="TableParagraph"/>
              <w:spacing w:before="1"/>
              <w:ind w:left="164"/>
              <w:jc w:val="center"/>
              <w:rPr>
                <w:sz w:val="13"/>
              </w:rPr>
            </w:pPr>
            <w:r>
              <w:rPr>
                <w:spacing w:val="-5"/>
                <w:sz w:val="13"/>
              </w:rPr>
              <w:t>100</w:t>
            </w:r>
          </w:p>
        </w:tc>
        <w:tc>
          <w:tcPr>
            <w:tcW w:w="1910" w:type="dxa"/>
          </w:tcPr>
          <w:p>
            <w:pPr>
              <w:pStyle w:val="TableParagraph"/>
              <w:tabs>
                <w:tab w:pos="865" w:val="left" w:leader="none"/>
              </w:tabs>
              <w:spacing w:line="168" w:lineRule="auto" w:before="106"/>
              <w:ind w:left="373"/>
              <w:rPr>
                <w:sz w:val="13"/>
              </w:rPr>
            </w:pPr>
            <w:r>
              <w:rPr>
                <w:spacing w:val="-5"/>
                <w:position w:val="-7"/>
                <w:sz w:val="13"/>
              </w:rPr>
              <w:t>100</w:t>
            </w:r>
            <w:r>
              <w:rPr>
                <w:position w:val="-7"/>
                <w:sz w:val="13"/>
              </w:rPr>
              <w:tab/>
            </w:r>
            <w:r>
              <w:rPr>
                <w:sz w:val="13"/>
              </w:rPr>
              <w:t>Arts</w:t>
            </w:r>
            <w:r>
              <w:rPr>
                <w:spacing w:val="4"/>
                <w:sz w:val="13"/>
              </w:rPr>
              <w:t> </w:t>
            </w:r>
            <w:r>
              <w:rPr>
                <w:sz w:val="13"/>
              </w:rPr>
              <w:t>and</w:t>
            </w:r>
            <w:r>
              <w:rPr>
                <w:spacing w:val="2"/>
                <w:sz w:val="13"/>
              </w:rPr>
              <w:t> </w:t>
            </w:r>
            <w:r>
              <w:rPr>
                <w:spacing w:val="-2"/>
                <w:sz w:val="13"/>
              </w:rPr>
              <w:t>culture</w:t>
            </w:r>
          </w:p>
          <w:p>
            <w:pPr>
              <w:pStyle w:val="TableParagraph"/>
              <w:spacing w:line="107" w:lineRule="exact"/>
              <w:ind w:left="212"/>
              <w:jc w:val="center"/>
              <w:rPr>
                <w:sz w:val="13"/>
              </w:rPr>
            </w:pPr>
            <w:r>
              <w:rPr>
                <w:spacing w:val="-2"/>
                <w:sz w:val="13"/>
              </w:rPr>
              <w:t>events</w:t>
            </w:r>
          </w:p>
        </w:tc>
      </w:tr>
      <w:tr>
        <w:trPr>
          <w:trHeight w:val="569" w:hRule="atLeast"/>
        </w:trPr>
        <w:tc>
          <w:tcPr>
            <w:tcW w:w="3308" w:type="dxa"/>
            <w:tcBorders>
              <w:bottom w:val="single" w:sz="6" w:space="0" w:color="000000"/>
            </w:tcBorders>
          </w:tcPr>
          <w:p>
            <w:pPr>
              <w:pStyle w:val="TableParagraph"/>
              <w:spacing w:before="104"/>
              <w:rPr>
                <w:b/>
                <w:sz w:val="13"/>
              </w:rPr>
            </w:pPr>
          </w:p>
          <w:p>
            <w:pPr>
              <w:pStyle w:val="TableParagraph"/>
              <w:ind w:left="26"/>
              <w:rPr>
                <w:sz w:val="13"/>
              </w:rPr>
            </w:pPr>
            <w:r>
              <w:rPr>
                <w:sz w:val="13"/>
              </w:rPr>
              <w:t>Young</w:t>
            </w:r>
            <w:r>
              <w:rPr>
                <w:spacing w:val="5"/>
                <w:sz w:val="13"/>
              </w:rPr>
              <w:t> </w:t>
            </w:r>
            <w:r>
              <w:rPr>
                <w:sz w:val="13"/>
              </w:rPr>
              <w:t>Lives</w:t>
            </w:r>
            <w:r>
              <w:rPr>
                <w:spacing w:val="7"/>
                <w:sz w:val="13"/>
              </w:rPr>
              <w:t> </w:t>
            </w:r>
            <w:r>
              <w:rPr>
                <w:sz w:val="13"/>
              </w:rPr>
              <w:t>Matter</w:t>
            </w:r>
            <w:r>
              <w:rPr>
                <w:spacing w:val="7"/>
                <w:sz w:val="13"/>
              </w:rPr>
              <w:t> </w:t>
            </w:r>
            <w:r>
              <w:rPr>
                <w:sz w:val="13"/>
              </w:rPr>
              <w:t>Foundation</w:t>
            </w:r>
            <w:r>
              <w:rPr>
                <w:spacing w:val="6"/>
                <w:sz w:val="13"/>
              </w:rPr>
              <w:t> </w:t>
            </w:r>
            <w:r>
              <w:rPr>
                <w:sz w:val="13"/>
              </w:rPr>
              <w:t>UWA</w:t>
            </w:r>
            <w:r>
              <w:rPr>
                <w:spacing w:val="7"/>
                <w:sz w:val="13"/>
              </w:rPr>
              <w:t> </w:t>
            </w:r>
            <w:r>
              <w:rPr>
                <w:spacing w:val="-2"/>
                <w:sz w:val="13"/>
              </w:rPr>
              <w:t>Limited*</w:t>
            </w:r>
          </w:p>
        </w:tc>
        <w:tc>
          <w:tcPr>
            <w:tcW w:w="1196" w:type="dxa"/>
            <w:tcBorders>
              <w:bottom w:val="single" w:sz="6" w:space="0" w:color="000000"/>
            </w:tcBorders>
          </w:tcPr>
          <w:p>
            <w:pPr>
              <w:pStyle w:val="TableParagraph"/>
              <w:spacing w:before="104"/>
              <w:rPr>
                <w:b/>
                <w:sz w:val="13"/>
              </w:rPr>
            </w:pPr>
          </w:p>
          <w:p>
            <w:pPr>
              <w:pStyle w:val="TableParagraph"/>
              <w:ind w:right="242"/>
              <w:jc w:val="right"/>
              <w:rPr>
                <w:sz w:val="13"/>
              </w:rPr>
            </w:pPr>
            <w:r>
              <w:rPr>
                <w:spacing w:val="-2"/>
                <w:sz w:val="13"/>
              </w:rPr>
              <w:t>Australia</w:t>
            </w:r>
          </w:p>
        </w:tc>
        <w:tc>
          <w:tcPr>
            <w:tcW w:w="1047" w:type="dxa"/>
            <w:tcBorders>
              <w:bottom w:val="single" w:sz="6" w:space="0" w:color="000000"/>
            </w:tcBorders>
          </w:tcPr>
          <w:p>
            <w:pPr>
              <w:pStyle w:val="TableParagraph"/>
              <w:spacing w:before="104"/>
              <w:rPr>
                <w:b/>
                <w:sz w:val="13"/>
              </w:rPr>
            </w:pPr>
          </w:p>
          <w:p>
            <w:pPr>
              <w:pStyle w:val="TableParagraph"/>
              <w:ind w:left="180"/>
              <w:rPr>
                <w:sz w:val="13"/>
              </w:rPr>
            </w:pPr>
            <w:r>
              <w:rPr>
                <w:spacing w:val="-10"/>
                <w:sz w:val="13"/>
              </w:rPr>
              <w:t>-</w:t>
            </w:r>
          </w:p>
        </w:tc>
        <w:tc>
          <w:tcPr>
            <w:tcW w:w="800" w:type="dxa"/>
            <w:tcBorders>
              <w:bottom w:val="single" w:sz="6" w:space="0" w:color="000000"/>
            </w:tcBorders>
          </w:tcPr>
          <w:p>
            <w:pPr>
              <w:pStyle w:val="TableParagraph"/>
              <w:spacing w:before="104"/>
              <w:rPr>
                <w:b/>
                <w:sz w:val="13"/>
              </w:rPr>
            </w:pPr>
          </w:p>
          <w:p>
            <w:pPr>
              <w:pStyle w:val="TableParagraph"/>
              <w:ind w:left="164"/>
              <w:jc w:val="center"/>
              <w:rPr>
                <w:sz w:val="13"/>
              </w:rPr>
            </w:pPr>
            <w:r>
              <w:rPr>
                <w:spacing w:val="-5"/>
                <w:sz w:val="13"/>
              </w:rPr>
              <w:t>100</w:t>
            </w:r>
          </w:p>
        </w:tc>
        <w:tc>
          <w:tcPr>
            <w:tcW w:w="1910" w:type="dxa"/>
            <w:tcBorders>
              <w:bottom w:val="single" w:sz="6" w:space="0" w:color="000000"/>
            </w:tcBorders>
          </w:tcPr>
          <w:p>
            <w:pPr>
              <w:pStyle w:val="TableParagraph"/>
              <w:spacing w:before="90"/>
              <w:ind w:left="865"/>
              <w:rPr>
                <w:sz w:val="13"/>
              </w:rPr>
            </w:pPr>
            <w:r>
              <w:rPr>
                <w:sz w:val="13"/>
              </w:rPr>
              <w:t>Youth</w:t>
            </w:r>
            <w:r>
              <w:rPr>
                <w:spacing w:val="3"/>
                <w:sz w:val="13"/>
              </w:rPr>
              <w:t> </w:t>
            </w:r>
            <w:r>
              <w:rPr>
                <w:spacing w:val="-2"/>
                <w:sz w:val="13"/>
              </w:rPr>
              <w:t>suicide</w:t>
            </w:r>
          </w:p>
          <w:p>
            <w:pPr>
              <w:pStyle w:val="TableParagraph"/>
              <w:tabs>
                <w:tab w:pos="865" w:val="left" w:leader="none"/>
              </w:tabs>
              <w:spacing w:line="160" w:lineRule="atLeast"/>
              <w:ind w:left="865" w:right="424" w:hanging="492"/>
              <w:rPr>
                <w:sz w:val="13"/>
              </w:rPr>
            </w:pPr>
            <w:r>
              <w:rPr>
                <w:spacing w:val="-4"/>
                <w:sz w:val="13"/>
              </w:rPr>
              <w:t>100</w:t>
            </w:r>
            <w:r>
              <w:rPr>
                <w:sz w:val="13"/>
              </w:rPr>
              <w:tab/>
            </w:r>
            <w:r>
              <w:rPr>
                <w:spacing w:val="-2"/>
                <w:sz w:val="13"/>
              </w:rPr>
              <w:t>prevention</w:t>
            </w:r>
            <w:r>
              <w:rPr>
                <w:spacing w:val="40"/>
                <w:sz w:val="13"/>
              </w:rPr>
              <w:t> </w:t>
            </w:r>
            <w:r>
              <w:rPr>
                <w:spacing w:val="-2"/>
                <w:sz w:val="13"/>
              </w:rPr>
              <w:t>research</w:t>
            </w:r>
          </w:p>
        </w:tc>
      </w:tr>
      <w:tr>
        <w:trPr>
          <w:trHeight w:val="328" w:hRule="atLeast"/>
        </w:trPr>
        <w:tc>
          <w:tcPr>
            <w:tcW w:w="3308" w:type="dxa"/>
            <w:tcBorders>
              <w:top w:val="single" w:sz="6" w:space="0" w:color="000000"/>
            </w:tcBorders>
          </w:tcPr>
          <w:p>
            <w:pPr>
              <w:pStyle w:val="TableParagraph"/>
              <w:spacing w:before="145"/>
              <w:ind w:left="26"/>
              <w:rPr>
                <w:sz w:val="13"/>
              </w:rPr>
            </w:pPr>
            <w:r>
              <w:rPr>
                <w:sz w:val="13"/>
              </w:rPr>
              <w:t>*</w:t>
            </w:r>
            <w:r>
              <w:rPr>
                <w:spacing w:val="2"/>
                <w:sz w:val="13"/>
              </w:rPr>
              <w:t> </w:t>
            </w:r>
            <w:r>
              <w:rPr>
                <w:sz w:val="13"/>
              </w:rPr>
              <w:t>The</w:t>
            </w:r>
            <w:r>
              <w:rPr>
                <w:spacing w:val="2"/>
                <w:sz w:val="13"/>
              </w:rPr>
              <w:t> </w:t>
            </w:r>
            <w:r>
              <w:rPr>
                <w:sz w:val="13"/>
              </w:rPr>
              <w:t>company</w:t>
            </w:r>
            <w:r>
              <w:rPr>
                <w:spacing w:val="1"/>
                <w:sz w:val="13"/>
              </w:rPr>
              <w:t> </w:t>
            </w:r>
            <w:r>
              <w:rPr>
                <w:sz w:val="13"/>
              </w:rPr>
              <w:t>is</w:t>
            </w:r>
            <w:r>
              <w:rPr>
                <w:spacing w:val="4"/>
                <w:sz w:val="13"/>
              </w:rPr>
              <w:t> </w:t>
            </w:r>
            <w:r>
              <w:rPr>
                <w:sz w:val="13"/>
              </w:rPr>
              <w:t>"Limited</w:t>
            </w:r>
            <w:r>
              <w:rPr>
                <w:spacing w:val="2"/>
                <w:sz w:val="13"/>
              </w:rPr>
              <w:t> </w:t>
            </w:r>
            <w:r>
              <w:rPr>
                <w:sz w:val="13"/>
              </w:rPr>
              <w:t>by</w:t>
            </w:r>
            <w:r>
              <w:rPr>
                <w:spacing w:val="1"/>
                <w:sz w:val="13"/>
              </w:rPr>
              <w:t> </w:t>
            </w:r>
            <w:r>
              <w:rPr>
                <w:spacing w:val="-2"/>
                <w:sz w:val="13"/>
              </w:rPr>
              <w:t>Guarantee".</w:t>
            </w:r>
          </w:p>
        </w:tc>
        <w:tc>
          <w:tcPr>
            <w:tcW w:w="1196" w:type="dxa"/>
            <w:tcBorders>
              <w:top w:val="single" w:sz="6" w:space="0" w:color="000000"/>
            </w:tcBorders>
          </w:tcPr>
          <w:p>
            <w:pPr>
              <w:pStyle w:val="TableParagraph"/>
              <w:rPr>
                <w:rFonts w:ascii="Times New Roman"/>
                <w:sz w:val="12"/>
              </w:rPr>
            </w:pPr>
          </w:p>
        </w:tc>
        <w:tc>
          <w:tcPr>
            <w:tcW w:w="1047" w:type="dxa"/>
            <w:tcBorders>
              <w:top w:val="single" w:sz="6" w:space="0" w:color="000000"/>
            </w:tcBorders>
          </w:tcPr>
          <w:p>
            <w:pPr>
              <w:pStyle w:val="TableParagraph"/>
              <w:rPr>
                <w:rFonts w:ascii="Times New Roman"/>
                <w:sz w:val="12"/>
              </w:rPr>
            </w:pPr>
          </w:p>
        </w:tc>
        <w:tc>
          <w:tcPr>
            <w:tcW w:w="800" w:type="dxa"/>
            <w:tcBorders>
              <w:top w:val="single" w:sz="6" w:space="0" w:color="000000"/>
            </w:tcBorders>
          </w:tcPr>
          <w:p>
            <w:pPr>
              <w:pStyle w:val="TableParagraph"/>
              <w:rPr>
                <w:rFonts w:ascii="Times New Roman"/>
                <w:sz w:val="12"/>
              </w:rPr>
            </w:pPr>
          </w:p>
        </w:tc>
        <w:tc>
          <w:tcPr>
            <w:tcW w:w="1910" w:type="dxa"/>
            <w:tcBorders>
              <w:top w:val="single" w:sz="6" w:space="0" w:color="000000"/>
            </w:tcBorders>
          </w:tcPr>
          <w:p>
            <w:pPr>
              <w:pStyle w:val="TableParagraph"/>
              <w:rPr>
                <w:rFonts w:ascii="Times New Roman"/>
                <w:sz w:val="12"/>
              </w:rPr>
            </w:pPr>
          </w:p>
        </w:tc>
      </w:tr>
    </w:tbl>
    <w:p>
      <w:pPr>
        <w:spacing w:line="240" w:lineRule="auto" w:before="24"/>
        <w:rPr>
          <w:b/>
          <w:sz w:val="13"/>
        </w:rPr>
      </w:pPr>
    </w:p>
    <w:p>
      <w:pPr>
        <w:spacing w:before="1"/>
        <w:ind w:left="721" w:right="0" w:firstLine="0"/>
        <w:jc w:val="both"/>
        <w:rPr>
          <w:b/>
          <w:i/>
          <w:sz w:val="13"/>
        </w:rPr>
      </w:pPr>
      <w:r>
        <w:rPr>
          <w:b/>
          <w:i/>
          <w:color w:val="0070C0"/>
          <w:sz w:val="13"/>
        </w:rPr>
        <w:t>Accounting</w:t>
      </w:r>
      <w:r>
        <w:rPr>
          <w:b/>
          <w:i/>
          <w:color w:val="0070C0"/>
          <w:spacing w:val="13"/>
          <w:sz w:val="13"/>
        </w:rPr>
        <w:t> </w:t>
      </w:r>
      <w:r>
        <w:rPr>
          <w:b/>
          <w:i/>
          <w:color w:val="0070C0"/>
          <w:spacing w:val="-2"/>
          <w:sz w:val="13"/>
        </w:rPr>
        <w:t>policy</w:t>
      </w:r>
    </w:p>
    <w:p>
      <w:pPr>
        <w:spacing w:line="266" w:lineRule="auto" w:before="29"/>
        <w:ind w:left="721" w:right="415" w:firstLine="0"/>
        <w:jc w:val="both"/>
        <w:rPr>
          <w:sz w:val="13"/>
        </w:rPr>
      </w:pPr>
      <w:r>
        <w:rPr>
          <w:sz w:val="13"/>
        </w:rPr>
        <w:t>The consolidated financial statements incorporate the assets and liabilities of all subsidiaries of The University of Western Australia (‘parent</w:t>
      </w:r>
      <w:r>
        <w:rPr>
          <w:spacing w:val="40"/>
          <w:sz w:val="13"/>
        </w:rPr>
        <w:t> </w:t>
      </w:r>
      <w:r>
        <w:rPr>
          <w:sz w:val="13"/>
        </w:rPr>
        <w:t>entity’) as at 31 December 2020 and the results of all subsidiaries for the year then ended. The University of Western Australia and its</w:t>
      </w:r>
      <w:r>
        <w:rPr>
          <w:spacing w:val="40"/>
          <w:sz w:val="13"/>
        </w:rPr>
        <w:t> </w:t>
      </w:r>
      <w:r>
        <w:rPr>
          <w:sz w:val="13"/>
        </w:rPr>
        <w:t>subsidiaries together are referred to in this financial report as the Group or the consolidated entity.</w:t>
      </w:r>
    </w:p>
    <w:p>
      <w:pPr>
        <w:spacing w:line="240" w:lineRule="auto" w:before="17"/>
        <w:rPr>
          <w:sz w:val="13"/>
        </w:rPr>
      </w:pPr>
    </w:p>
    <w:p>
      <w:pPr>
        <w:spacing w:line="266" w:lineRule="auto" w:before="0"/>
        <w:ind w:left="720" w:right="413" w:firstLine="1"/>
        <w:jc w:val="both"/>
        <w:rPr>
          <w:sz w:val="13"/>
        </w:rPr>
      </w:pPr>
      <w:r>
        <w:rPr>
          <w:sz w:val="13"/>
        </w:rPr>
        <w:t>Subsidiaries are all those entities (including structured entities) over which the Group has control. The Group has control over an investee</w:t>
      </w:r>
      <w:r>
        <w:rPr>
          <w:spacing w:val="40"/>
          <w:sz w:val="13"/>
        </w:rPr>
        <w:t> </w:t>
      </w:r>
      <w:r>
        <w:rPr>
          <w:sz w:val="13"/>
        </w:rPr>
        <w:t>when</w:t>
      </w:r>
      <w:r>
        <w:rPr>
          <w:spacing w:val="6"/>
          <w:sz w:val="13"/>
        </w:rPr>
        <w:t> </w:t>
      </w:r>
      <w:r>
        <w:rPr>
          <w:sz w:val="13"/>
        </w:rPr>
        <w:t>it</w:t>
      </w:r>
      <w:r>
        <w:rPr>
          <w:spacing w:val="8"/>
          <w:sz w:val="13"/>
        </w:rPr>
        <w:t> </w:t>
      </w:r>
      <w:r>
        <w:rPr>
          <w:sz w:val="13"/>
        </w:rPr>
        <w:t>is</w:t>
      </w:r>
      <w:r>
        <w:rPr>
          <w:spacing w:val="7"/>
          <w:sz w:val="13"/>
        </w:rPr>
        <w:t> </w:t>
      </w:r>
      <w:r>
        <w:rPr>
          <w:sz w:val="13"/>
        </w:rPr>
        <w:t>exposed,</w:t>
      </w:r>
      <w:r>
        <w:rPr>
          <w:spacing w:val="8"/>
          <w:sz w:val="13"/>
        </w:rPr>
        <w:t> </w:t>
      </w:r>
      <w:r>
        <w:rPr>
          <w:sz w:val="13"/>
        </w:rPr>
        <w:t>or</w:t>
      </w:r>
      <w:r>
        <w:rPr>
          <w:spacing w:val="7"/>
          <w:sz w:val="13"/>
        </w:rPr>
        <w:t> </w:t>
      </w:r>
      <w:r>
        <w:rPr>
          <w:sz w:val="13"/>
        </w:rPr>
        <w:t>has</w:t>
      </w:r>
      <w:r>
        <w:rPr>
          <w:spacing w:val="7"/>
          <w:sz w:val="13"/>
        </w:rPr>
        <w:t> </w:t>
      </w:r>
      <w:r>
        <w:rPr>
          <w:sz w:val="13"/>
        </w:rPr>
        <w:t>rights,</w:t>
      </w:r>
      <w:r>
        <w:rPr>
          <w:spacing w:val="8"/>
          <w:sz w:val="13"/>
        </w:rPr>
        <w:t> </w:t>
      </w:r>
      <w:r>
        <w:rPr>
          <w:sz w:val="13"/>
        </w:rPr>
        <w:t>to variable</w:t>
      </w:r>
      <w:r>
        <w:rPr>
          <w:spacing w:val="6"/>
          <w:sz w:val="13"/>
        </w:rPr>
        <w:t> </w:t>
      </w:r>
      <w:r>
        <w:rPr>
          <w:sz w:val="13"/>
        </w:rPr>
        <w:t>returns from its involvement</w:t>
      </w:r>
      <w:r>
        <w:rPr>
          <w:spacing w:val="8"/>
          <w:sz w:val="13"/>
        </w:rPr>
        <w:t> </w:t>
      </w:r>
      <w:r>
        <w:rPr>
          <w:sz w:val="13"/>
        </w:rPr>
        <w:t>with the</w:t>
      </w:r>
      <w:r>
        <w:rPr>
          <w:spacing w:val="6"/>
          <w:sz w:val="13"/>
        </w:rPr>
        <w:t> </w:t>
      </w:r>
      <w:r>
        <w:rPr>
          <w:sz w:val="13"/>
        </w:rPr>
        <w:t>investee and</w:t>
      </w:r>
      <w:r>
        <w:rPr>
          <w:spacing w:val="6"/>
          <w:sz w:val="13"/>
        </w:rPr>
        <w:t> </w:t>
      </w:r>
      <w:r>
        <w:rPr>
          <w:sz w:val="13"/>
        </w:rPr>
        <w:t>has the</w:t>
      </w:r>
      <w:r>
        <w:rPr>
          <w:spacing w:val="6"/>
          <w:sz w:val="13"/>
        </w:rPr>
        <w:t> </w:t>
      </w:r>
      <w:r>
        <w:rPr>
          <w:sz w:val="13"/>
        </w:rPr>
        <w:t>ability to</w:t>
      </w:r>
      <w:r>
        <w:rPr>
          <w:spacing w:val="6"/>
          <w:sz w:val="13"/>
        </w:rPr>
        <w:t> </w:t>
      </w:r>
      <w:r>
        <w:rPr>
          <w:sz w:val="13"/>
        </w:rPr>
        <w:t>affect</w:t>
      </w:r>
      <w:r>
        <w:rPr>
          <w:spacing w:val="6"/>
          <w:sz w:val="13"/>
        </w:rPr>
        <w:t> </w:t>
      </w:r>
      <w:r>
        <w:rPr>
          <w:sz w:val="13"/>
        </w:rPr>
        <w:t>those</w:t>
      </w:r>
      <w:r>
        <w:rPr>
          <w:spacing w:val="6"/>
          <w:sz w:val="13"/>
        </w:rPr>
        <w:t> </w:t>
      </w:r>
      <w:r>
        <w:rPr>
          <w:sz w:val="13"/>
        </w:rPr>
        <w:t>returns through</w:t>
      </w:r>
      <w:r>
        <w:rPr>
          <w:spacing w:val="40"/>
          <w:sz w:val="13"/>
        </w:rPr>
        <w:t> </w:t>
      </w:r>
      <w:r>
        <w:rPr>
          <w:sz w:val="13"/>
        </w:rPr>
        <w:t>its</w:t>
      </w:r>
      <w:r>
        <w:rPr>
          <w:spacing w:val="25"/>
          <w:sz w:val="13"/>
        </w:rPr>
        <w:t> </w:t>
      </w:r>
      <w:r>
        <w:rPr>
          <w:sz w:val="13"/>
        </w:rPr>
        <w:t>power</w:t>
      </w:r>
      <w:r>
        <w:rPr>
          <w:spacing w:val="27"/>
          <w:sz w:val="13"/>
        </w:rPr>
        <w:t> </w:t>
      </w:r>
      <w:r>
        <w:rPr>
          <w:sz w:val="13"/>
        </w:rPr>
        <w:t>over</w:t>
      </w:r>
      <w:r>
        <w:rPr>
          <w:spacing w:val="25"/>
          <w:sz w:val="13"/>
        </w:rPr>
        <w:t> </w:t>
      </w:r>
      <w:r>
        <w:rPr>
          <w:sz w:val="13"/>
        </w:rPr>
        <w:t>the</w:t>
      </w:r>
      <w:r>
        <w:rPr>
          <w:spacing w:val="26"/>
          <w:sz w:val="13"/>
        </w:rPr>
        <w:t> </w:t>
      </w:r>
      <w:r>
        <w:rPr>
          <w:sz w:val="13"/>
        </w:rPr>
        <w:t>investee.</w:t>
      </w:r>
      <w:r>
        <w:rPr>
          <w:spacing w:val="25"/>
          <w:sz w:val="13"/>
        </w:rPr>
        <w:t> </w:t>
      </w:r>
      <w:r>
        <w:rPr>
          <w:sz w:val="13"/>
        </w:rPr>
        <w:t>Power</w:t>
      </w:r>
      <w:r>
        <w:rPr>
          <w:spacing w:val="27"/>
          <w:sz w:val="13"/>
        </w:rPr>
        <w:t> </w:t>
      </w:r>
      <w:r>
        <w:rPr>
          <w:sz w:val="13"/>
        </w:rPr>
        <w:t>over</w:t>
      </w:r>
      <w:r>
        <w:rPr>
          <w:spacing w:val="25"/>
          <w:sz w:val="13"/>
        </w:rPr>
        <w:t> </w:t>
      </w:r>
      <w:r>
        <w:rPr>
          <w:sz w:val="13"/>
        </w:rPr>
        <w:t>the</w:t>
      </w:r>
      <w:r>
        <w:rPr>
          <w:spacing w:val="26"/>
          <w:sz w:val="13"/>
        </w:rPr>
        <w:t> </w:t>
      </w:r>
      <w:r>
        <w:rPr>
          <w:sz w:val="13"/>
        </w:rPr>
        <w:t>investee</w:t>
      </w:r>
      <w:r>
        <w:rPr>
          <w:spacing w:val="24"/>
          <w:sz w:val="13"/>
        </w:rPr>
        <w:t> </w:t>
      </w:r>
      <w:r>
        <w:rPr>
          <w:sz w:val="13"/>
        </w:rPr>
        <w:t>exists</w:t>
      </w:r>
      <w:r>
        <w:rPr>
          <w:spacing w:val="27"/>
          <w:sz w:val="13"/>
        </w:rPr>
        <w:t> </w:t>
      </w:r>
      <w:r>
        <w:rPr>
          <w:sz w:val="13"/>
        </w:rPr>
        <w:t>when</w:t>
      </w:r>
      <w:r>
        <w:rPr>
          <w:spacing w:val="24"/>
          <w:sz w:val="13"/>
        </w:rPr>
        <w:t> </w:t>
      </w:r>
      <w:r>
        <w:rPr>
          <w:sz w:val="13"/>
        </w:rPr>
        <w:t>the</w:t>
      </w:r>
      <w:r>
        <w:rPr>
          <w:spacing w:val="26"/>
          <w:sz w:val="13"/>
        </w:rPr>
        <w:t> </w:t>
      </w:r>
      <w:r>
        <w:rPr>
          <w:sz w:val="13"/>
        </w:rPr>
        <w:t>Group</w:t>
      </w:r>
      <w:r>
        <w:rPr>
          <w:spacing w:val="24"/>
          <w:sz w:val="13"/>
        </w:rPr>
        <w:t> </w:t>
      </w:r>
      <w:r>
        <w:rPr>
          <w:sz w:val="13"/>
        </w:rPr>
        <w:t>has</w:t>
      </w:r>
      <w:r>
        <w:rPr>
          <w:spacing w:val="27"/>
          <w:sz w:val="13"/>
        </w:rPr>
        <w:t> </w:t>
      </w:r>
      <w:r>
        <w:rPr>
          <w:sz w:val="13"/>
        </w:rPr>
        <w:t>existing</w:t>
      </w:r>
      <w:r>
        <w:rPr>
          <w:spacing w:val="24"/>
          <w:sz w:val="13"/>
        </w:rPr>
        <w:t> </w:t>
      </w:r>
      <w:r>
        <w:rPr>
          <w:sz w:val="13"/>
        </w:rPr>
        <w:t>rights</w:t>
      </w:r>
      <w:r>
        <w:rPr>
          <w:spacing w:val="27"/>
          <w:sz w:val="13"/>
        </w:rPr>
        <w:t> </w:t>
      </w:r>
      <w:r>
        <w:rPr>
          <w:sz w:val="13"/>
        </w:rPr>
        <w:t>that</w:t>
      </w:r>
      <w:r>
        <w:rPr>
          <w:spacing w:val="26"/>
          <w:sz w:val="13"/>
        </w:rPr>
        <w:t> </w:t>
      </w:r>
      <w:r>
        <w:rPr>
          <w:sz w:val="13"/>
        </w:rPr>
        <w:t>give</w:t>
      </w:r>
      <w:r>
        <w:rPr>
          <w:spacing w:val="26"/>
          <w:sz w:val="13"/>
        </w:rPr>
        <w:t> </w:t>
      </w:r>
      <w:r>
        <w:rPr>
          <w:sz w:val="13"/>
        </w:rPr>
        <w:t>it</w:t>
      </w:r>
      <w:r>
        <w:rPr>
          <w:spacing w:val="25"/>
          <w:sz w:val="13"/>
        </w:rPr>
        <w:t> </w:t>
      </w:r>
      <w:r>
        <w:rPr>
          <w:sz w:val="13"/>
        </w:rPr>
        <w:t>current</w:t>
      </w:r>
      <w:r>
        <w:rPr>
          <w:spacing w:val="28"/>
          <w:sz w:val="13"/>
        </w:rPr>
        <w:t> </w:t>
      </w:r>
      <w:r>
        <w:rPr>
          <w:sz w:val="13"/>
        </w:rPr>
        <w:t>ability</w:t>
      </w:r>
      <w:r>
        <w:rPr>
          <w:spacing w:val="22"/>
          <w:sz w:val="13"/>
        </w:rPr>
        <w:t> </w:t>
      </w:r>
      <w:r>
        <w:rPr>
          <w:sz w:val="13"/>
        </w:rPr>
        <w:t>to</w:t>
      </w:r>
      <w:r>
        <w:rPr>
          <w:spacing w:val="26"/>
          <w:sz w:val="13"/>
        </w:rPr>
        <w:t> </w:t>
      </w:r>
      <w:r>
        <w:rPr>
          <w:sz w:val="13"/>
        </w:rPr>
        <w:t>direct</w:t>
      </w:r>
      <w:r>
        <w:rPr>
          <w:spacing w:val="26"/>
          <w:sz w:val="13"/>
        </w:rPr>
        <w:t> </w:t>
      </w:r>
      <w:r>
        <w:rPr>
          <w:sz w:val="13"/>
        </w:rPr>
        <w:t>the</w:t>
      </w:r>
      <w:r>
        <w:rPr>
          <w:spacing w:val="40"/>
          <w:sz w:val="13"/>
        </w:rPr>
        <w:t> </w:t>
      </w:r>
      <w:r>
        <w:rPr>
          <w:sz w:val="13"/>
        </w:rPr>
        <w:t>relevant</w:t>
      </w:r>
      <w:r>
        <w:rPr>
          <w:spacing w:val="35"/>
          <w:sz w:val="13"/>
        </w:rPr>
        <w:t> </w:t>
      </w:r>
      <w:r>
        <w:rPr>
          <w:sz w:val="13"/>
        </w:rPr>
        <w:t>activities of</w:t>
      </w:r>
      <w:r>
        <w:rPr>
          <w:spacing w:val="35"/>
          <w:sz w:val="13"/>
        </w:rPr>
        <w:t> </w:t>
      </w:r>
      <w:r>
        <w:rPr>
          <w:sz w:val="13"/>
        </w:rPr>
        <w:t>the investee.</w:t>
      </w:r>
      <w:r>
        <w:rPr>
          <w:spacing w:val="35"/>
          <w:sz w:val="13"/>
        </w:rPr>
        <w:t> </w:t>
      </w:r>
      <w:r>
        <w:rPr>
          <w:sz w:val="13"/>
        </w:rPr>
        <w:t>The existence and effect</w:t>
      </w:r>
      <w:r>
        <w:rPr>
          <w:spacing w:val="35"/>
          <w:sz w:val="13"/>
        </w:rPr>
        <w:t> </w:t>
      </w:r>
      <w:r>
        <w:rPr>
          <w:sz w:val="13"/>
        </w:rPr>
        <w:t>of</w:t>
      </w:r>
      <w:r>
        <w:rPr>
          <w:spacing w:val="35"/>
          <w:sz w:val="13"/>
        </w:rPr>
        <w:t> </w:t>
      </w:r>
      <w:r>
        <w:rPr>
          <w:sz w:val="13"/>
        </w:rPr>
        <w:t>potential voting rights that</w:t>
      </w:r>
      <w:r>
        <w:rPr>
          <w:spacing w:val="35"/>
          <w:sz w:val="13"/>
        </w:rPr>
        <w:t> </w:t>
      </w:r>
      <w:r>
        <w:rPr>
          <w:sz w:val="13"/>
        </w:rPr>
        <w:t>are currently exercisable or</w:t>
      </w:r>
      <w:r>
        <w:rPr>
          <w:spacing w:val="35"/>
          <w:sz w:val="13"/>
        </w:rPr>
        <w:t> </w:t>
      </w:r>
      <w:r>
        <w:rPr>
          <w:sz w:val="13"/>
        </w:rPr>
        <w:t>convertible are</w:t>
      </w:r>
      <w:r>
        <w:rPr>
          <w:spacing w:val="40"/>
          <w:sz w:val="13"/>
        </w:rPr>
        <w:t> </w:t>
      </w:r>
      <w:r>
        <w:rPr>
          <w:sz w:val="13"/>
        </w:rPr>
        <w:t>considered when assessing whether the Group controls another entity. Returns are not necessarily monetary and can be only positive, only</w:t>
      </w:r>
      <w:r>
        <w:rPr>
          <w:spacing w:val="40"/>
          <w:sz w:val="13"/>
        </w:rPr>
        <w:t> </w:t>
      </w:r>
      <w:r>
        <w:rPr>
          <w:sz w:val="13"/>
        </w:rPr>
        <w:t>negative, or both positive and negative.</w:t>
      </w:r>
    </w:p>
    <w:p>
      <w:pPr>
        <w:spacing w:line="240" w:lineRule="auto" w:before="17"/>
        <w:rPr>
          <w:sz w:val="13"/>
        </w:rPr>
      </w:pPr>
    </w:p>
    <w:p>
      <w:pPr>
        <w:spacing w:line="266" w:lineRule="auto" w:before="0"/>
        <w:ind w:left="720" w:right="417" w:firstLine="0"/>
        <w:jc w:val="both"/>
        <w:rPr>
          <w:sz w:val="13"/>
        </w:rPr>
      </w:pPr>
      <w:r>
        <w:rPr>
          <w:sz w:val="13"/>
        </w:rPr>
        <w:t>Subsidiaries are fully consolidated from the date on which control is transferred to the Group. They are de-consolidated from the date that</w:t>
      </w:r>
      <w:r>
        <w:rPr>
          <w:spacing w:val="40"/>
          <w:sz w:val="13"/>
        </w:rPr>
        <w:t> </w:t>
      </w:r>
      <w:r>
        <w:rPr>
          <w:sz w:val="13"/>
        </w:rPr>
        <w:t>control</w:t>
      </w:r>
      <w:r>
        <w:rPr>
          <w:spacing w:val="-5"/>
          <w:sz w:val="13"/>
        </w:rPr>
        <w:t> </w:t>
      </w:r>
      <w:r>
        <w:rPr>
          <w:sz w:val="13"/>
        </w:rPr>
        <w:t>ceases.</w:t>
      </w:r>
    </w:p>
    <w:p>
      <w:pPr>
        <w:spacing w:line="240" w:lineRule="auto" w:before="17"/>
        <w:rPr>
          <w:sz w:val="13"/>
        </w:rPr>
      </w:pPr>
    </w:p>
    <w:p>
      <w:pPr>
        <w:spacing w:before="0"/>
        <w:ind w:left="720" w:right="0" w:firstLine="0"/>
        <w:jc w:val="both"/>
        <w:rPr>
          <w:sz w:val="13"/>
        </w:rPr>
      </w:pPr>
      <w:r>
        <w:rPr>
          <w:sz w:val="13"/>
        </w:rPr>
        <w:t>The</w:t>
      </w:r>
      <w:r>
        <w:rPr>
          <w:spacing w:val="3"/>
          <w:sz w:val="13"/>
        </w:rPr>
        <w:t> </w:t>
      </w:r>
      <w:r>
        <w:rPr>
          <w:sz w:val="13"/>
        </w:rPr>
        <w:t>acquisition</w:t>
      </w:r>
      <w:r>
        <w:rPr>
          <w:spacing w:val="3"/>
          <w:sz w:val="13"/>
        </w:rPr>
        <w:t> </w:t>
      </w:r>
      <w:r>
        <w:rPr>
          <w:sz w:val="13"/>
        </w:rPr>
        <w:t>method</w:t>
      </w:r>
      <w:r>
        <w:rPr>
          <w:spacing w:val="3"/>
          <w:sz w:val="13"/>
        </w:rPr>
        <w:t> </w:t>
      </w:r>
      <w:r>
        <w:rPr>
          <w:sz w:val="13"/>
        </w:rPr>
        <w:t>of</w:t>
      </w:r>
      <w:r>
        <w:rPr>
          <w:spacing w:val="5"/>
          <w:sz w:val="13"/>
        </w:rPr>
        <w:t> </w:t>
      </w:r>
      <w:r>
        <w:rPr>
          <w:sz w:val="13"/>
        </w:rPr>
        <w:t>accounting</w:t>
      </w:r>
      <w:r>
        <w:rPr>
          <w:spacing w:val="3"/>
          <w:sz w:val="13"/>
        </w:rPr>
        <w:t> </w:t>
      </w:r>
      <w:r>
        <w:rPr>
          <w:sz w:val="13"/>
        </w:rPr>
        <w:t>is</w:t>
      </w:r>
      <w:r>
        <w:rPr>
          <w:spacing w:val="5"/>
          <w:sz w:val="13"/>
        </w:rPr>
        <w:t> </w:t>
      </w:r>
      <w:r>
        <w:rPr>
          <w:sz w:val="13"/>
        </w:rPr>
        <w:t>used</w:t>
      </w:r>
      <w:r>
        <w:rPr>
          <w:spacing w:val="3"/>
          <w:sz w:val="13"/>
        </w:rPr>
        <w:t> </w:t>
      </w:r>
      <w:r>
        <w:rPr>
          <w:sz w:val="13"/>
        </w:rPr>
        <w:t>to</w:t>
      </w:r>
      <w:r>
        <w:rPr>
          <w:spacing w:val="3"/>
          <w:sz w:val="13"/>
        </w:rPr>
        <w:t> </w:t>
      </w:r>
      <w:r>
        <w:rPr>
          <w:sz w:val="13"/>
        </w:rPr>
        <w:t>account</w:t>
      </w:r>
      <w:r>
        <w:rPr>
          <w:spacing w:val="5"/>
          <w:sz w:val="13"/>
        </w:rPr>
        <w:t> </w:t>
      </w:r>
      <w:r>
        <w:rPr>
          <w:sz w:val="13"/>
        </w:rPr>
        <w:t>for</w:t>
      </w:r>
      <w:r>
        <w:rPr>
          <w:spacing w:val="5"/>
          <w:sz w:val="13"/>
        </w:rPr>
        <w:t> </w:t>
      </w:r>
      <w:r>
        <w:rPr>
          <w:sz w:val="13"/>
        </w:rPr>
        <w:t>the</w:t>
      </w:r>
      <w:r>
        <w:rPr>
          <w:spacing w:val="3"/>
          <w:sz w:val="13"/>
        </w:rPr>
        <w:t> </w:t>
      </w:r>
      <w:r>
        <w:rPr>
          <w:sz w:val="13"/>
        </w:rPr>
        <w:t>acquisition</w:t>
      </w:r>
      <w:r>
        <w:rPr>
          <w:spacing w:val="3"/>
          <w:sz w:val="13"/>
        </w:rPr>
        <w:t> </w:t>
      </w:r>
      <w:r>
        <w:rPr>
          <w:sz w:val="13"/>
        </w:rPr>
        <w:t>of</w:t>
      </w:r>
      <w:r>
        <w:rPr>
          <w:spacing w:val="5"/>
          <w:sz w:val="13"/>
        </w:rPr>
        <w:t> </w:t>
      </w:r>
      <w:r>
        <w:rPr>
          <w:sz w:val="13"/>
        </w:rPr>
        <w:t>subsidiaries</w:t>
      </w:r>
      <w:r>
        <w:rPr>
          <w:spacing w:val="4"/>
          <w:sz w:val="13"/>
        </w:rPr>
        <w:t> </w:t>
      </w:r>
      <w:r>
        <w:rPr>
          <w:sz w:val="13"/>
        </w:rPr>
        <w:t>by</w:t>
      </w:r>
      <w:r>
        <w:rPr>
          <w:spacing w:val="3"/>
          <w:sz w:val="13"/>
        </w:rPr>
        <w:t> </w:t>
      </w:r>
      <w:r>
        <w:rPr>
          <w:sz w:val="13"/>
        </w:rPr>
        <w:t>the</w:t>
      </w:r>
      <w:r>
        <w:rPr>
          <w:spacing w:val="3"/>
          <w:sz w:val="13"/>
        </w:rPr>
        <w:t> </w:t>
      </w:r>
      <w:r>
        <w:rPr>
          <w:spacing w:val="-2"/>
          <w:sz w:val="13"/>
        </w:rPr>
        <w:t>Group.</w:t>
      </w:r>
    </w:p>
    <w:p>
      <w:pPr>
        <w:spacing w:line="240" w:lineRule="auto" w:before="33"/>
        <w:rPr>
          <w:sz w:val="13"/>
        </w:rPr>
      </w:pPr>
    </w:p>
    <w:p>
      <w:pPr>
        <w:spacing w:line="266" w:lineRule="auto" w:before="0"/>
        <w:ind w:left="720" w:right="415" w:firstLine="0"/>
        <w:jc w:val="both"/>
        <w:rPr>
          <w:sz w:val="13"/>
        </w:rPr>
      </w:pPr>
      <w:r>
        <w:rPr>
          <w:sz w:val="13"/>
        </w:rPr>
        <w:t>Intercompany transactions, balances and unrealised gains on transactions between Group companies are eliminated. Unrealised losses are</w:t>
      </w:r>
      <w:r>
        <w:rPr>
          <w:spacing w:val="40"/>
          <w:sz w:val="13"/>
        </w:rPr>
        <w:t> </w:t>
      </w:r>
      <w:r>
        <w:rPr>
          <w:sz w:val="13"/>
        </w:rPr>
        <w:t>also eliminated unless the transaction provides evidence of the impairment of the asset transferred. Accounting policies of subsidiaries have</w:t>
      </w:r>
      <w:r>
        <w:rPr>
          <w:spacing w:val="40"/>
          <w:sz w:val="13"/>
        </w:rPr>
        <w:t> </w:t>
      </w:r>
      <w:r>
        <w:rPr>
          <w:sz w:val="13"/>
        </w:rPr>
        <w:t>been changed where necessary to ensure consistency with the policies adopted by the Group.</w:t>
      </w:r>
    </w:p>
    <w:p>
      <w:pPr>
        <w:spacing w:line="240" w:lineRule="auto" w:before="10"/>
        <w:rPr>
          <w:sz w:val="12"/>
        </w:rPr>
      </w:pPr>
    </w:p>
    <w:p>
      <w:pPr>
        <w:spacing w:after="0" w:line="240" w:lineRule="auto"/>
        <w:rPr>
          <w:sz w:val="12"/>
        </w:rPr>
        <w:sectPr>
          <w:headerReference w:type="even" r:id="rId120"/>
          <w:headerReference w:type="default" r:id="rId121"/>
          <w:pgSz w:w="11910" w:h="16840"/>
          <w:pgMar w:header="468" w:footer="0" w:top="1580" w:bottom="280" w:left="1020" w:right="1540"/>
          <w:pgNumType w:start="112"/>
        </w:sectPr>
      </w:pPr>
    </w:p>
    <w:p>
      <w:pPr>
        <w:pStyle w:val="ListParagraph"/>
        <w:numPr>
          <w:ilvl w:val="0"/>
          <w:numId w:val="44"/>
        </w:numPr>
        <w:tabs>
          <w:tab w:pos="721" w:val="left" w:leader="none"/>
        </w:tabs>
        <w:spacing w:line="240" w:lineRule="auto" w:before="99" w:after="0"/>
        <w:ind w:left="721" w:right="0" w:hanging="588"/>
        <w:jc w:val="left"/>
        <w:rPr>
          <w:b/>
          <w:sz w:val="13"/>
        </w:rPr>
      </w:pPr>
      <w:r>
        <w:rPr/>
        <mc:AlternateContent>
          <mc:Choice Requires="wps">
            <w:drawing>
              <wp:anchor distT="0" distB="0" distL="0" distR="0" allowOverlap="1" layoutInCell="1" locked="0" behindDoc="0" simplePos="0" relativeHeight="15910400">
                <wp:simplePos x="0" y="0"/>
                <wp:positionH relativeFrom="page">
                  <wp:posOffset>1089291</wp:posOffset>
                </wp:positionH>
                <wp:positionV relativeFrom="paragraph">
                  <wp:posOffset>159537</wp:posOffset>
                </wp:positionV>
                <wp:extent cx="5244465" cy="8890"/>
                <wp:effectExtent l="0" t="0" r="0" b="0"/>
                <wp:wrapNone/>
                <wp:docPr id="991" name="Graphic 991"/>
                <wp:cNvGraphicFramePr>
                  <a:graphicFrameLocks/>
                </wp:cNvGraphicFramePr>
                <a:graphic>
                  <a:graphicData uri="http://schemas.microsoft.com/office/word/2010/wordprocessingShape">
                    <wps:wsp>
                      <wps:cNvPr id="991" name="Graphic 991"/>
                      <wps:cNvSpPr/>
                      <wps:spPr>
                        <a:xfrm>
                          <a:off x="0" y="0"/>
                          <a:ext cx="5244465" cy="8890"/>
                        </a:xfrm>
                        <a:custGeom>
                          <a:avLst/>
                          <a:gdLst/>
                          <a:ahLst/>
                          <a:cxnLst/>
                          <a:rect l="l" t="t" r="r" b="b"/>
                          <a:pathLst>
                            <a:path w="5244465" h="8890">
                              <a:moveTo>
                                <a:pt x="5244414" y="0"/>
                              </a:moveTo>
                              <a:lnTo>
                                <a:pt x="0" y="0"/>
                              </a:lnTo>
                              <a:lnTo>
                                <a:pt x="0" y="8432"/>
                              </a:lnTo>
                              <a:lnTo>
                                <a:pt x="5244414" y="8432"/>
                              </a:lnTo>
                              <a:lnTo>
                                <a:pt x="524441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5.771004pt;margin-top:12.562013pt;width:412.946pt;height:.664pt;mso-position-horizontal-relative:page;mso-position-vertical-relative:paragraph;z-index:15910400" id="docshape679" filled="true" fillcolor="#000000" stroked="false">
                <v:fill type="solid"/>
                <w10:wrap type="none"/>
              </v:rect>
            </w:pict>
          </mc:Fallback>
        </mc:AlternateContent>
      </w:r>
      <w:r>
        <w:rPr>
          <w:b/>
          <w:spacing w:val="-2"/>
          <w:position w:val="1"/>
          <w:sz w:val="13"/>
        </w:rPr>
        <w:t>Associates</w:t>
      </w:r>
    </w:p>
    <w:p>
      <w:pPr>
        <w:spacing w:line="240" w:lineRule="auto" w:before="0"/>
        <w:rPr>
          <w:b/>
          <w:sz w:val="13"/>
        </w:rPr>
      </w:pPr>
      <w:r>
        <w:rPr/>
        <w:br w:type="column"/>
      </w:r>
      <w:r>
        <w:rPr>
          <w:b/>
          <w:sz w:val="13"/>
        </w:rPr>
      </w:r>
    </w:p>
    <w:p>
      <w:pPr>
        <w:spacing w:line="240" w:lineRule="auto" w:before="38"/>
        <w:rPr>
          <w:b/>
          <w:sz w:val="13"/>
        </w:rPr>
      </w:pPr>
    </w:p>
    <w:p>
      <w:pPr>
        <w:spacing w:line="77" w:lineRule="exact" w:before="0"/>
        <w:ind w:left="133" w:right="0" w:firstLine="0"/>
        <w:jc w:val="left"/>
        <w:rPr>
          <w:b/>
          <w:sz w:val="13"/>
        </w:rPr>
      </w:pPr>
      <w:r>
        <w:rPr>
          <w:b/>
          <w:sz w:val="13"/>
        </w:rPr>
        <w:t>Country</w:t>
      </w:r>
      <w:r>
        <w:rPr>
          <w:b/>
          <w:spacing w:val="5"/>
          <w:sz w:val="13"/>
        </w:rPr>
        <w:t> </w:t>
      </w:r>
      <w:r>
        <w:rPr>
          <w:b/>
          <w:spacing w:val="-5"/>
          <w:sz w:val="13"/>
        </w:rPr>
        <w:t>of</w:t>
      </w:r>
    </w:p>
    <w:p>
      <w:pPr>
        <w:spacing w:line="240" w:lineRule="auto" w:before="0"/>
        <w:rPr>
          <w:b/>
          <w:sz w:val="13"/>
        </w:rPr>
      </w:pPr>
      <w:r>
        <w:rPr/>
        <w:br w:type="column"/>
      </w:r>
      <w:r>
        <w:rPr>
          <w:b/>
          <w:sz w:val="13"/>
        </w:rPr>
      </w:r>
    </w:p>
    <w:p>
      <w:pPr>
        <w:spacing w:line="240" w:lineRule="auto" w:before="38"/>
        <w:rPr>
          <w:b/>
          <w:sz w:val="13"/>
        </w:rPr>
      </w:pPr>
    </w:p>
    <w:p>
      <w:pPr>
        <w:spacing w:line="77" w:lineRule="exact" w:before="0"/>
        <w:ind w:left="133" w:right="0" w:firstLine="0"/>
        <w:jc w:val="left"/>
        <w:rPr>
          <w:b/>
          <w:sz w:val="13"/>
        </w:rPr>
      </w:pPr>
      <w:r>
        <w:rPr>
          <w:b/>
          <w:sz w:val="13"/>
        </w:rPr>
        <w:t>Class</w:t>
      </w:r>
      <w:r>
        <w:rPr>
          <w:b/>
          <w:spacing w:val="3"/>
          <w:sz w:val="13"/>
        </w:rPr>
        <w:t> </w:t>
      </w:r>
      <w:r>
        <w:rPr>
          <w:b/>
          <w:spacing w:val="-5"/>
          <w:sz w:val="13"/>
        </w:rPr>
        <w:t>of</w:t>
      </w:r>
    </w:p>
    <w:p>
      <w:pPr>
        <w:spacing w:line="240" w:lineRule="auto" w:before="90"/>
        <w:rPr>
          <w:b/>
          <w:sz w:val="13"/>
        </w:rPr>
      </w:pPr>
      <w:r>
        <w:rPr/>
        <w:br w:type="column"/>
      </w:r>
      <w:r>
        <w:rPr>
          <w:b/>
          <w:sz w:val="13"/>
        </w:rPr>
      </w:r>
    </w:p>
    <w:p>
      <w:pPr>
        <w:spacing w:before="0"/>
        <w:ind w:left="133" w:right="0" w:firstLine="0"/>
        <w:jc w:val="left"/>
        <w:rPr>
          <w:b/>
          <w:sz w:val="13"/>
        </w:rPr>
      </w:pPr>
      <w:r>
        <w:rPr>
          <w:b/>
          <w:sz w:val="13"/>
        </w:rPr>
        <w:t>Ownership</w:t>
      </w:r>
      <w:r>
        <w:rPr>
          <w:b/>
          <w:spacing w:val="17"/>
          <w:sz w:val="13"/>
        </w:rPr>
        <w:t> </w:t>
      </w:r>
      <w:r>
        <w:rPr>
          <w:b/>
          <w:spacing w:val="-2"/>
          <w:sz w:val="13"/>
        </w:rPr>
        <w:t>interest</w:t>
      </w:r>
    </w:p>
    <w:p>
      <w:pPr>
        <w:spacing w:line="240" w:lineRule="auto" w:before="90"/>
        <w:rPr>
          <w:b/>
          <w:sz w:val="13"/>
        </w:rPr>
      </w:pPr>
      <w:r>
        <w:rPr/>
        <w:br w:type="column"/>
      </w:r>
      <w:r>
        <w:rPr>
          <w:b/>
          <w:sz w:val="13"/>
        </w:rPr>
      </w:r>
    </w:p>
    <w:p>
      <w:pPr>
        <w:spacing w:before="0"/>
        <w:ind w:left="133" w:right="0" w:firstLine="0"/>
        <w:jc w:val="left"/>
        <w:rPr>
          <w:b/>
          <w:sz w:val="13"/>
        </w:rPr>
      </w:pPr>
      <w:r>
        <w:rPr>
          <w:b/>
          <w:sz w:val="13"/>
        </w:rPr>
        <w:t>Carrying</w:t>
      </w:r>
      <w:r>
        <w:rPr>
          <w:b/>
          <w:spacing w:val="4"/>
          <w:sz w:val="13"/>
        </w:rPr>
        <w:t> </w:t>
      </w:r>
      <w:r>
        <w:rPr>
          <w:b/>
          <w:spacing w:val="-2"/>
          <w:sz w:val="13"/>
        </w:rPr>
        <w:t>amount</w:t>
      </w:r>
    </w:p>
    <w:p>
      <w:pPr>
        <w:spacing w:line="240" w:lineRule="auto" w:before="0"/>
        <w:rPr>
          <w:b/>
          <w:sz w:val="13"/>
        </w:rPr>
      </w:pPr>
      <w:r>
        <w:rPr/>
        <w:br w:type="column"/>
      </w:r>
      <w:r>
        <w:rPr>
          <w:b/>
          <w:sz w:val="13"/>
        </w:rPr>
      </w:r>
    </w:p>
    <w:p>
      <w:pPr>
        <w:spacing w:line="240" w:lineRule="auto" w:before="38"/>
        <w:rPr>
          <w:b/>
          <w:sz w:val="13"/>
        </w:rPr>
      </w:pPr>
    </w:p>
    <w:p>
      <w:pPr>
        <w:spacing w:line="77" w:lineRule="exact" w:before="0"/>
        <w:ind w:left="133" w:right="0" w:firstLine="0"/>
        <w:jc w:val="left"/>
        <w:rPr>
          <w:b/>
          <w:sz w:val="13"/>
        </w:rPr>
      </w:pPr>
      <w:r>
        <w:rPr>
          <w:b/>
          <w:spacing w:val="-2"/>
          <w:sz w:val="13"/>
        </w:rPr>
        <w:t>Principal</w:t>
      </w:r>
    </w:p>
    <w:p>
      <w:pPr>
        <w:spacing w:after="0" w:line="77" w:lineRule="exact"/>
        <w:jc w:val="left"/>
        <w:rPr>
          <w:sz w:val="13"/>
        </w:rPr>
        <w:sectPr>
          <w:type w:val="continuous"/>
          <w:pgSz w:w="11910" w:h="16840"/>
          <w:pgMar w:header="468" w:footer="0" w:top="980" w:bottom="280" w:left="1020" w:right="1540"/>
          <w:cols w:num="6" w:equalWidth="0">
            <w:col w:w="1455" w:space="1017"/>
            <w:col w:w="845" w:space="103"/>
            <w:col w:w="689" w:space="502"/>
            <w:col w:w="1382" w:space="522"/>
            <w:col w:w="1194" w:space="69"/>
            <w:col w:w="1572"/>
          </w:cols>
        </w:sectPr>
      </w:pPr>
    </w:p>
    <w:p>
      <w:pPr>
        <w:spacing w:before="10"/>
        <w:ind w:left="722" w:right="0" w:firstLine="0"/>
        <w:jc w:val="left"/>
        <w:rPr>
          <w:b/>
          <w:sz w:val="13"/>
        </w:rPr>
      </w:pPr>
      <w:r>
        <w:rPr>
          <w:b/>
          <w:sz w:val="13"/>
        </w:rPr>
        <w:t>Name</w:t>
      </w:r>
      <w:r>
        <w:rPr>
          <w:b/>
          <w:spacing w:val="3"/>
          <w:sz w:val="13"/>
        </w:rPr>
        <w:t> </w:t>
      </w:r>
      <w:r>
        <w:rPr>
          <w:b/>
          <w:sz w:val="13"/>
        </w:rPr>
        <w:t>of</w:t>
      </w:r>
      <w:r>
        <w:rPr>
          <w:b/>
          <w:spacing w:val="4"/>
          <w:sz w:val="13"/>
        </w:rPr>
        <w:t> </w:t>
      </w:r>
      <w:r>
        <w:rPr>
          <w:b/>
          <w:spacing w:val="-2"/>
          <w:sz w:val="13"/>
        </w:rPr>
        <w:t>entity</w:t>
      </w:r>
    </w:p>
    <w:p>
      <w:pPr>
        <w:tabs>
          <w:tab w:pos="3409" w:val="left" w:leader="none"/>
        </w:tabs>
        <w:spacing w:line="169" w:lineRule="exact" w:before="0"/>
        <w:ind w:left="722" w:right="0" w:firstLine="0"/>
        <w:jc w:val="left"/>
        <w:rPr>
          <w:b/>
          <w:sz w:val="13"/>
        </w:rPr>
      </w:pPr>
      <w:r>
        <w:rPr/>
        <w:br w:type="column"/>
      </w:r>
      <w:r>
        <w:rPr>
          <w:b/>
          <w:sz w:val="13"/>
        </w:rPr>
        <w:t>incorporation</w:t>
      </w:r>
      <w:r>
        <w:rPr>
          <w:b/>
          <w:spacing w:val="65"/>
          <w:sz w:val="13"/>
        </w:rPr>
        <w:t> </w:t>
      </w:r>
      <w:r>
        <w:rPr>
          <w:b/>
          <w:spacing w:val="-2"/>
          <w:sz w:val="13"/>
        </w:rPr>
        <w:t>shares</w:t>
      </w:r>
      <w:r>
        <w:rPr>
          <w:b/>
          <w:sz w:val="13"/>
        </w:rPr>
        <w:tab/>
      </w:r>
      <w:r>
        <w:rPr>
          <w:b/>
          <w:spacing w:val="-10"/>
          <w:position w:val="10"/>
          <w:sz w:val="13"/>
        </w:rPr>
        <w:t>%</w:t>
      </w:r>
    </w:p>
    <w:p>
      <w:pPr>
        <w:spacing w:line="148" w:lineRule="exact" w:before="0"/>
        <w:ind w:left="0" w:right="0" w:firstLine="0"/>
        <w:jc w:val="right"/>
        <w:rPr>
          <w:b/>
          <w:sz w:val="13"/>
        </w:rPr>
      </w:pPr>
      <w:r>
        <w:rPr/>
        <w:br w:type="column"/>
      </w:r>
      <w:r>
        <w:rPr>
          <w:b/>
          <w:spacing w:val="-2"/>
          <w:sz w:val="13"/>
        </w:rPr>
        <w:t>$'000</w:t>
      </w:r>
    </w:p>
    <w:p>
      <w:pPr>
        <w:spacing w:line="72" w:lineRule="exact" w:before="96"/>
        <w:ind w:left="626" w:right="0" w:firstLine="0"/>
        <w:jc w:val="left"/>
        <w:rPr>
          <w:b/>
          <w:sz w:val="13"/>
        </w:rPr>
      </w:pPr>
      <w:r>
        <w:rPr/>
        <w:br w:type="column"/>
      </w:r>
      <w:r>
        <w:rPr>
          <w:b/>
          <w:spacing w:val="-2"/>
          <w:sz w:val="13"/>
        </w:rPr>
        <w:t>activity</w:t>
      </w:r>
    </w:p>
    <w:p>
      <w:pPr>
        <w:spacing w:after="0" w:line="72" w:lineRule="exact"/>
        <w:jc w:val="left"/>
        <w:rPr>
          <w:sz w:val="13"/>
        </w:rPr>
        <w:sectPr>
          <w:type w:val="continuous"/>
          <w:pgSz w:w="11910" w:h="16840"/>
          <w:pgMar w:header="468" w:footer="0" w:top="980" w:bottom="280" w:left="1020" w:right="1540"/>
          <w:cols w:num="4" w:equalWidth="0">
            <w:col w:w="1678" w:space="206"/>
            <w:col w:w="3568" w:space="748"/>
            <w:col w:w="1046" w:space="40"/>
            <w:col w:w="2064"/>
          </w:cols>
        </w:sectPr>
      </w:pPr>
    </w:p>
    <w:p>
      <w:pPr>
        <w:tabs>
          <w:tab w:pos="5675" w:val="left" w:leader="none"/>
          <w:tab w:pos="6603" w:val="left" w:leader="none"/>
          <w:tab w:pos="7406" w:val="left" w:leader="none"/>
        </w:tabs>
        <w:spacing w:line="148" w:lineRule="exact" w:before="0"/>
        <w:ind w:left="4569" w:right="0" w:firstLine="0"/>
        <w:jc w:val="left"/>
        <w:rPr>
          <w:b/>
          <w:sz w:val="13"/>
        </w:rPr>
      </w:pPr>
      <w:r>
        <w:rPr/>
        <mc:AlternateContent>
          <mc:Choice Requires="wps">
            <w:drawing>
              <wp:anchor distT="0" distB="0" distL="0" distR="0" allowOverlap="1" layoutInCell="1" locked="0" behindDoc="0" simplePos="0" relativeHeight="15910912">
                <wp:simplePos x="0" y="0"/>
                <wp:positionH relativeFrom="page">
                  <wp:posOffset>1089291</wp:posOffset>
                </wp:positionH>
                <wp:positionV relativeFrom="paragraph">
                  <wp:posOffset>103054</wp:posOffset>
                </wp:positionV>
                <wp:extent cx="5244465" cy="8890"/>
                <wp:effectExtent l="0" t="0" r="0" b="0"/>
                <wp:wrapNone/>
                <wp:docPr id="992" name="Graphic 992"/>
                <wp:cNvGraphicFramePr>
                  <a:graphicFrameLocks/>
                </wp:cNvGraphicFramePr>
                <a:graphic>
                  <a:graphicData uri="http://schemas.microsoft.com/office/word/2010/wordprocessingShape">
                    <wps:wsp>
                      <wps:cNvPr id="992" name="Graphic 992"/>
                      <wps:cNvSpPr/>
                      <wps:spPr>
                        <a:xfrm>
                          <a:off x="0" y="0"/>
                          <a:ext cx="5244465" cy="8890"/>
                        </a:xfrm>
                        <a:custGeom>
                          <a:avLst/>
                          <a:gdLst/>
                          <a:ahLst/>
                          <a:cxnLst/>
                          <a:rect l="l" t="t" r="r" b="b"/>
                          <a:pathLst>
                            <a:path w="5244465" h="8890">
                              <a:moveTo>
                                <a:pt x="5244414" y="0"/>
                              </a:moveTo>
                              <a:lnTo>
                                <a:pt x="0" y="0"/>
                              </a:lnTo>
                              <a:lnTo>
                                <a:pt x="0" y="8432"/>
                              </a:lnTo>
                              <a:lnTo>
                                <a:pt x="5244414" y="8432"/>
                              </a:lnTo>
                              <a:lnTo>
                                <a:pt x="524441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85.771004pt;margin-top:8.11454pt;width:412.946pt;height:.664pt;mso-position-horizontal-relative:page;mso-position-vertical-relative:paragraph;z-index:15910912" id="docshape680" filled="true" fillcolor="#000000" stroked="false">
                <v:fill type="solid"/>
                <w10:wrap type="none"/>
              </v:rect>
            </w:pict>
          </mc:Fallback>
        </mc:AlternateContent>
      </w:r>
      <w:r>
        <w:rPr>
          <w:b/>
          <w:spacing w:val="-4"/>
          <w:sz w:val="13"/>
        </w:rPr>
        <w:t>2020</w:t>
      </w:r>
      <w:r>
        <w:rPr>
          <w:b/>
          <w:sz w:val="13"/>
        </w:rPr>
        <w:tab/>
      </w:r>
      <w:r>
        <w:rPr>
          <w:b/>
          <w:spacing w:val="-4"/>
          <w:sz w:val="13"/>
        </w:rPr>
        <w:t>2019</w:t>
      </w:r>
      <w:r>
        <w:rPr>
          <w:b/>
          <w:sz w:val="13"/>
        </w:rPr>
        <w:tab/>
      </w:r>
      <w:r>
        <w:rPr>
          <w:b/>
          <w:spacing w:val="-4"/>
          <w:sz w:val="13"/>
        </w:rPr>
        <w:t>2020</w:t>
      </w:r>
      <w:r>
        <w:rPr>
          <w:b/>
          <w:sz w:val="13"/>
        </w:rPr>
        <w:tab/>
      </w:r>
      <w:r>
        <w:rPr>
          <w:b/>
          <w:spacing w:val="-4"/>
          <w:sz w:val="13"/>
        </w:rPr>
        <w:t>2019</w:t>
      </w:r>
    </w:p>
    <w:p>
      <w:pPr>
        <w:spacing w:line="240" w:lineRule="auto" w:before="126"/>
        <w:rPr>
          <w:b/>
          <w:sz w:val="13"/>
        </w:rPr>
      </w:pPr>
    </w:p>
    <w:p>
      <w:pPr>
        <w:tabs>
          <w:tab w:pos="3552" w:val="left" w:leader="none"/>
          <w:tab w:pos="4619" w:val="left" w:leader="none"/>
          <w:tab w:pos="5726" w:val="left" w:leader="none"/>
          <w:tab w:pos="6727" w:val="left" w:leader="none"/>
          <w:tab w:pos="7530" w:val="left" w:leader="none"/>
        </w:tabs>
        <w:spacing w:before="0"/>
        <w:ind w:left="721" w:right="0" w:firstLine="0"/>
        <w:jc w:val="left"/>
        <w:rPr>
          <w:sz w:val="13"/>
        </w:rPr>
      </w:pPr>
      <w:r>
        <w:rPr>
          <w:sz w:val="13"/>
        </w:rPr>
        <w:t>Perth</w:t>
      </w:r>
      <w:r>
        <w:rPr>
          <w:spacing w:val="2"/>
          <w:sz w:val="13"/>
        </w:rPr>
        <w:t> </w:t>
      </w:r>
      <w:r>
        <w:rPr>
          <w:sz w:val="13"/>
        </w:rPr>
        <w:t>USAsia</w:t>
      </w:r>
      <w:r>
        <w:rPr>
          <w:spacing w:val="2"/>
          <w:sz w:val="13"/>
        </w:rPr>
        <w:t> </w:t>
      </w:r>
      <w:r>
        <w:rPr>
          <w:sz w:val="13"/>
        </w:rPr>
        <w:t>Centre</w:t>
      </w:r>
      <w:r>
        <w:rPr>
          <w:spacing w:val="2"/>
          <w:sz w:val="13"/>
        </w:rPr>
        <w:t> </w:t>
      </w:r>
      <w:r>
        <w:rPr>
          <w:sz w:val="13"/>
        </w:rPr>
        <w:t>Limited*</w:t>
      </w:r>
      <w:r>
        <w:rPr>
          <w:spacing w:val="39"/>
          <w:sz w:val="13"/>
        </w:rPr>
        <w:t>  </w:t>
      </w:r>
      <w:r>
        <w:rPr>
          <w:spacing w:val="-2"/>
          <w:sz w:val="13"/>
        </w:rPr>
        <w:t>Australia</w:t>
      </w:r>
      <w:r>
        <w:rPr>
          <w:sz w:val="13"/>
        </w:rPr>
        <w:tab/>
      </w:r>
      <w:r>
        <w:rPr>
          <w:spacing w:val="-10"/>
          <w:sz w:val="13"/>
        </w:rPr>
        <w:t>-</w:t>
      </w:r>
      <w:r>
        <w:rPr>
          <w:sz w:val="13"/>
        </w:rPr>
        <w:tab/>
      </w:r>
      <w:r>
        <w:rPr>
          <w:spacing w:val="-5"/>
          <w:sz w:val="13"/>
        </w:rPr>
        <w:t>50</w:t>
      </w:r>
      <w:r>
        <w:rPr>
          <w:sz w:val="13"/>
        </w:rPr>
        <w:tab/>
      </w:r>
      <w:r>
        <w:rPr>
          <w:spacing w:val="-5"/>
          <w:sz w:val="13"/>
        </w:rPr>
        <w:t>50</w:t>
      </w:r>
      <w:r>
        <w:rPr>
          <w:sz w:val="13"/>
        </w:rPr>
        <w:tab/>
      </w:r>
      <w:r>
        <w:rPr>
          <w:spacing w:val="-10"/>
          <w:sz w:val="13"/>
        </w:rPr>
        <w:t>-</w:t>
      </w:r>
      <w:r>
        <w:rPr>
          <w:sz w:val="13"/>
        </w:rPr>
        <w:tab/>
      </w:r>
      <w:r>
        <w:rPr>
          <w:spacing w:val="-10"/>
          <w:sz w:val="13"/>
        </w:rPr>
        <w:t>-</w:t>
      </w:r>
    </w:p>
    <w:p>
      <w:pPr>
        <w:spacing w:line="266" w:lineRule="auto" w:before="144"/>
        <w:ind w:left="172" w:right="513" w:firstLine="0"/>
        <w:jc w:val="left"/>
        <w:rPr>
          <w:sz w:val="13"/>
        </w:rPr>
      </w:pPr>
      <w:r>
        <w:rPr/>
        <w:br w:type="column"/>
      </w:r>
      <w:r>
        <w:rPr>
          <w:spacing w:val="-2"/>
          <w:sz w:val="13"/>
        </w:rPr>
        <w:t>Collaborative</w:t>
      </w:r>
      <w:r>
        <w:rPr>
          <w:spacing w:val="40"/>
          <w:sz w:val="13"/>
        </w:rPr>
        <w:t> </w:t>
      </w:r>
      <w:r>
        <w:rPr>
          <w:sz w:val="13"/>
        </w:rPr>
        <w:t>research</w:t>
      </w:r>
      <w:r>
        <w:rPr>
          <w:spacing w:val="-10"/>
          <w:sz w:val="13"/>
        </w:rPr>
        <w:t> </w:t>
      </w:r>
      <w:r>
        <w:rPr>
          <w:sz w:val="13"/>
        </w:rPr>
        <w:t>on</w:t>
      </w:r>
      <w:r>
        <w:rPr>
          <w:spacing w:val="-9"/>
          <w:sz w:val="13"/>
        </w:rPr>
        <w:t> </w:t>
      </w:r>
      <w:r>
        <w:rPr>
          <w:sz w:val="13"/>
        </w:rPr>
        <w:t>US</w:t>
      </w:r>
      <w:r>
        <w:rPr>
          <w:spacing w:val="40"/>
          <w:sz w:val="13"/>
        </w:rPr>
        <w:t> </w:t>
      </w:r>
      <w:r>
        <w:rPr>
          <w:sz w:val="13"/>
        </w:rPr>
        <w:t>and</w:t>
      </w:r>
      <w:r>
        <w:rPr>
          <w:spacing w:val="-5"/>
          <w:sz w:val="13"/>
        </w:rPr>
        <w:t> </w:t>
      </w:r>
      <w:r>
        <w:rPr>
          <w:sz w:val="13"/>
        </w:rPr>
        <w:t>Australia</w:t>
      </w:r>
      <w:r>
        <w:rPr>
          <w:spacing w:val="40"/>
          <w:sz w:val="13"/>
        </w:rPr>
        <w:t> </w:t>
      </w:r>
      <w:r>
        <w:rPr>
          <w:spacing w:val="-2"/>
          <w:sz w:val="13"/>
        </w:rPr>
        <w:t>relationship</w:t>
      </w:r>
    </w:p>
    <w:p>
      <w:pPr>
        <w:spacing w:after="0" w:line="266" w:lineRule="auto"/>
        <w:jc w:val="left"/>
        <w:rPr>
          <w:sz w:val="13"/>
        </w:rPr>
        <w:sectPr>
          <w:type w:val="continuous"/>
          <w:pgSz w:w="11910" w:h="16840"/>
          <w:pgMar w:header="468" w:footer="0" w:top="980" w:bottom="280" w:left="1020" w:right="1540"/>
          <w:cols w:num="2" w:equalWidth="0">
            <w:col w:w="7700" w:space="40"/>
            <w:col w:w="1610"/>
          </w:cols>
        </w:sectPr>
      </w:pPr>
    </w:p>
    <w:p>
      <w:pPr>
        <w:spacing w:line="20" w:lineRule="exact"/>
        <w:ind w:left="695" w:right="0" w:firstLine="0"/>
        <w:rPr>
          <w:sz w:val="2"/>
        </w:rPr>
      </w:pPr>
      <w:r>
        <w:rPr>
          <w:sz w:val="2"/>
        </w:rPr>
        <mc:AlternateContent>
          <mc:Choice Requires="wps">
            <w:drawing>
              <wp:inline distT="0" distB="0" distL="0" distR="0">
                <wp:extent cx="5244465" cy="8890"/>
                <wp:effectExtent l="0" t="0" r="0" b="0"/>
                <wp:docPr id="993" name="Group 993"/>
                <wp:cNvGraphicFramePr>
                  <a:graphicFrameLocks/>
                </wp:cNvGraphicFramePr>
                <a:graphic>
                  <a:graphicData uri="http://schemas.microsoft.com/office/word/2010/wordprocessingGroup">
                    <wpg:wgp>
                      <wpg:cNvPr id="993" name="Group 993"/>
                      <wpg:cNvGrpSpPr/>
                      <wpg:grpSpPr>
                        <a:xfrm>
                          <a:off x="0" y="0"/>
                          <a:ext cx="5244465" cy="8890"/>
                          <a:chExt cx="5244465" cy="8890"/>
                        </a:xfrm>
                      </wpg:grpSpPr>
                      <wps:wsp>
                        <wps:cNvPr id="994" name="Graphic 994"/>
                        <wps:cNvSpPr/>
                        <wps:spPr>
                          <a:xfrm>
                            <a:off x="0" y="0"/>
                            <a:ext cx="5244465" cy="8890"/>
                          </a:xfrm>
                          <a:custGeom>
                            <a:avLst/>
                            <a:gdLst/>
                            <a:ahLst/>
                            <a:cxnLst/>
                            <a:rect l="l" t="t" r="r" b="b"/>
                            <a:pathLst>
                              <a:path w="5244465" h="8890">
                                <a:moveTo>
                                  <a:pt x="5244414" y="0"/>
                                </a:moveTo>
                                <a:lnTo>
                                  <a:pt x="0" y="0"/>
                                </a:lnTo>
                                <a:lnTo>
                                  <a:pt x="0" y="8432"/>
                                </a:lnTo>
                                <a:lnTo>
                                  <a:pt x="5244414" y="8432"/>
                                </a:lnTo>
                                <a:lnTo>
                                  <a:pt x="5244414"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412.95pt;height:.7pt;mso-position-horizontal-relative:char;mso-position-vertical-relative:line" id="docshapegroup681" coordorigin="0,0" coordsize="8259,14">
                <v:rect style="position:absolute;left:0;top:0;width:8259;height:14" id="docshape682" filled="true" fillcolor="#000000" stroked="false">
                  <v:fill type="solid"/>
                </v:rect>
              </v:group>
            </w:pict>
          </mc:Fallback>
        </mc:AlternateContent>
      </w:r>
      <w:r>
        <w:rPr>
          <w:sz w:val="2"/>
        </w:rPr>
      </w:r>
    </w:p>
    <w:p>
      <w:pPr>
        <w:spacing w:line="266" w:lineRule="auto" w:before="111"/>
        <w:ind w:left="721" w:right="268" w:firstLine="0"/>
        <w:jc w:val="left"/>
        <w:rPr>
          <w:sz w:val="13"/>
        </w:rPr>
      </w:pPr>
      <w:r>
        <w:rPr>
          <w:sz w:val="13"/>
        </w:rPr>
        <w:t>*</w:t>
      </w:r>
      <w:r>
        <w:rPr>
          <w:spacing w:val="13"/>
          <w:sz w:val="13"/>
        </w:rPr>
        <w:t> </w:t>
      </w:r>
      <w:r>
        <w:rPr>
          <w:sz w:val="13"/>
        </w:rPr>
        <w:t>The</w:t>
      </w:r>
      <w:r>
        <w:rPr>
          <w:spacing w:val="13"/>
          <w:sz w:val="13"/>
        </w:rPr>
        <w:t> </w:t>
      </w:r>
      <w:r>
        <w:rPr>
          <w:sz w:val="13"/>
        </w:rPr>
        <w:t>company</w:t>
      </w:r>
      <w:r>
        <w:rPr>
          <w:spacing w:val="12"/>
          <w:sz w:val="13"/>
        </w:rPr>
        <w:t> </w:t>
      </w:r>
      <w:r>
        <w:rPr>
          <w:sz w:val="13"/>
        </w:rPr>
        <w:t>is</w:t>
      </w:r>
      <w:r>
        <w:rPr>
          <w:spacing w:val="12"/>
          <w:sz w:val="13"/>
        </w:rPr>
        <w:t> </w:t>
      </w:r>
      <w:r>
        <w:rPr>
          <w:sz w:val="13"/>
        </w:rPr>
        <w:t>"Limited</w:t>
      </w:r>
      <w:r>
        <w:rPr>
          <w:spacing w:val="13"/>
          <w:sz w:val="13"/>
        </w:rPr>
        <w:t> </w:t>
      </w:r>
      <w:r>
        <w:rPr>
          <w:sz w:val="13"/>
        </w:rPr>
        <w:t>by Guarantee".</w:t>
      </w:r>
      <w:r>
        <w:rPr>
          <w:spacing w:val="15"/>
          <w:sz w:val="13"/>
        </w:rPr>
        <w:t> </w:t>
      </w:r>
      <w:r>
        <w:rPr>
          <w:sz w:val="13"/>
        </w:rPr>
        <w:t>The</w:t>
      </w:r>
      <w:r>
        <w:rPr>
          <w:spacing w:val="11"/>
          <w:sz w:val="13"/>
        </w:rPr>
        <w:t> </w:t>
      </w:r>
      <w:r>
        <w:rPr>
          <w:sz w:val="13"/>
        </w:rPr>
        <w:t>constitution</w:t>
      </w:r>
      <w:r>
        <w:rPr>
          <w:spacing w:val="13"/>
          <w:sz w:val="13"/>
        </w:rPr>
        <w:t> </w:t>
      </w:r>
      <w:r>
        <w:rPr>
          <w:sz w:val="13"/>
        </w:rPr>
        <w:t>of</w:t>
      </w:r>
      <w:r>
        <w:rPr>
          <w:spacing w:val="12"/>
          <w:sz w:val="13"/>
        </w:rPr>
        <w:t> </w:t>
      </w:r>
      <w:r>
        <w:rPr>
          <w:sz w:val="13"/>
        </w:rPr>
        <w:t>the</w:t>
      </w:r>
      <w:r>
        <w:rPr>
          <w:spacing w:val="13"/>
          <w:sz w:val="13"/>
        </w:rPr>
        <w:t> </w:t>
      </w:r>
      <w:r>
        <w:rPr>
          <w:sz w:val="13"/>
        </w:rPr>
        <w:t>company prohibits</w:t>
      </w:r>
      <w:r>
        <w:rPr>
          <w:spacing w:val="14"/>
          <w:sz w:val="13"/>
        </w:rPr>
        <w:t> </w:t>
      </w:r>
      <w:r>
        <w:rPr>
          <w:sz w:val="13"/>
        </w:rPr>
        <w:t>distribution</w:t>
      </w:r>
      <w:r>
        <w:rPr>
          <w:spacing w:val="11"/>
          <w:sz w:val="13"/>
        </w:rPr>
        <w:t> </w:t>
      </w:r>
      <w:r>
        <w:rPr>
          <w:sz w:val="13"/>
        </w:rPr>
        <w:t>of</w:t>
      </w:r>
      <w:r>
        <w:rPr>
          <w:spacing w:val="15"/>
          <w:sz w:val="13"/>
        </w:rPr>
        <w:t> </w:t>
      </w:r>
      <w:r>
        <w:rPr>
          <w:sz w:val="13"/>
        </w:rPr>
        <w:t>funds</w:t>
      </w:r>
      <w:r>
        <w:rPr>
          <w:spacing w:val="11"/>
          <w:sz w:val="13"/>
        </w:rPr>
        <w:t> </w:t>
      </w:r>
      <w:r>
        <w:rPr>
          <w:sz w:val="13"/>
        </w:rPr>
        <w:t>to</w:t>
      </w:r>
      <w:r>
        <w:rPr>
          <w:spacing w:val="13"/>
          <w:sz w:val="13"/>
        </w:rPr>
        <w:t> </w:t>
      </w:r>
      <w:r>
        <w:rPr>
          <w:sz w:val="13"/>
        </w:rPr>
        <w:t>the</w:t>
      </w:r>
      <w:r>
        <w:rPr>
          <w:spacing w:val="11"/>
          <w:sz w:val="13"/>
        </w:rPr>
        <w:t> </w:t>
      </w:r>
      <w:r>
        <w:rPr>
          <w:sz w:val="13"/>
        </w:rPr>
        <w:t>members.</w:t>
      </w:r>
      <w:r>
        <w:rPr>
          <w:spacing w:val="15"/>
          <w:sz w:val="13"/>
        </w:rPr>
        <w:t> </w:t>
      </w:r>
      <w:r>
        <w:rPr>
          <w:sz w:val="13"/>
        </w:rPr>
        <w:t>Accordingly,</w:t>
      </w:r>
      <w:r>
        <w:rPr>
          <w:spacing w:val="12"/>
          <w:sz w:val="13"/>
        </w:rPr>
        <w:t> </w:t>
      </w:r>
      <w:r>
        <w:rPr>
          <w:sz w:val="13"/>
        </w:rPr>
        <w:t>the</w:t>
      </w:r>
      <w:r>
        <w:rPr>
          <w:spacing w:val="40"/>
          <w:sz w:val="13"/>
        </w:rPr>
        <w:t> </w:t>
      </w:r>
      <w:r>
        <w:rPr>
          <w:sz w:val="13"/>
        </w:rPr>
        <w:t>result of the company is equity accounted at nil value.</w:t>
      </w:r>
    </w:p>
    <w:p>
      <w:pPr>
        <w:spacing w:before="144"/>
        <w:ind w:left="722" w:right="0" w:firstLine="0"/>
        <w:jc w:val="both"/>
        <w:rPr>
          <w:b/>
          <w:i/>
          <w:sz w:val="13"/>
        </w:rPr>
      </w:pPr>
      <w:r>
        <w:rPr>
          <w:b/>
          <w:i/>
          <w:color w:val="0070C0"/>
          <w:sz w:val="13"/>
        </w:rPr>
        <w:t>Accounting</w:t>
      </w:r>
      <w:r>
        <w:rPr>
          <w:b/>
          <w:i/>
          <w:color w:val="0070C0"/>
          <w:spacing w:val="13"/>
          <w:sz w:val="13"/>
        </w:rPr>
        <w:t> </w:t>
      </w:r>
      <w:r>
        <w:rPr>
          <w:b/>
          <w:i/>
          <w:color w:val="0070C0"/>
          <w:spacing w:val="-2"/>
          <w:sz w:val="13"/>
        </w:rPr>
        <w:t>policy</w:t>
      </w:r>
    </w:p>
    <w:p>
      <w:pPr>
        <w:spacing w:line="266" w:lineRule="auto" w:before="30"/>
        <w:ind w:left="721" w:right="415" w:firstLine="0"/>
        <w:jc w:val="both"/>
        <w:rPr>
          <w:sz w:val="13"/>
        </w:rPr>
      </w:pPr>
      <w:r>
        <w:rPr>
          <w:sz w:val="13"/>
        </w:rPr>
        <w:t>Associates are all entities over which the Group has significant influence but not control, generally accompanying a shareholding of between</w:t>
      </w:r>
      <w:r>
        <w:rPr>
          <w:spacing w:val="40"/>
          <w:sz w:val="13"/>
        </w:rPr>
        <w:t> </w:t>
      </w:r>
      <w:r>
        <w:rPr>
          <w:sz w:val="13"/>
        </w:rPr>
        <w:t>20</w:t>
      </w:r>
      <w:r>
        <w:rPr>
          <w:spacing w:val="11"/>
          <w:sz w:val="13"/>
        </w:rPr>
        <w:t> </w:t>
      </w:r>
      <w:r>
        <w:rPr>
          <w:sz w:val="13"/>
        </w:rPr>
        <w:t>per</w:t>
      </w:r>
      <w:r>
        <w:rPr>
          <w:spacing w:val="12"/>
          <w:sz w:val="13"/>
        </w:rPr>
        <w:t> </w:t>
      </w:r>
      <w:r>
        <w:rPr>
          <w:sz w:val="13"/>
        </w:rPr>
        <w:t>cent</w:t>
      </w:r>
      <w:r>
        <w:rPr>
          <w:spacing w:val="10"/>
          <w:sz w:val="13"/>
        </w:rPr>
        <w:t> </w:t>
      </w:r>
      <w:r>
        <w:rPr>
          <w:sz w:val="13"/>
        </w:rPr>
        <w:t>and</w:t>
      </w:r>
      <w:r>
        <w:rPr>
          <w:spacing w:val="11"/>
          <w:sz w:val="13"/>
        </w:rPr>
        <w:t> </w:t>
      </w:r>
      <w:r>
        <w:rPr>
          <w:sz w:val="13"/>
        </w:rPr>
        <w:t>50</w:t>
      </w:r>
      <w:r>
        <w:rPr>
          <w:spacing w:val="8"/>
          <w:sz w:val="13"/>
        </w:rPr>
        <w:t> </w:t>
      </w:r>
      <w:r>
        <w:rPr>
          <w:sz w:val="13"/>
        </w:rPr>
        <w:t>per</w:t>
      </w:r>
      <w:r>
        <w:rPr>
          <w:spacing w:val="12"/>
          <w:sz w:val="13"/>
        </w:rPr>
        <w:t> </w:t>
      </w:r>
      <w:r>
        <w:rPr>
          <w:sz w:val="13"/>
        </w:rPr>
        <w:t>cent</w:t>
      </w:r>
      <w:r>
        <w:rPr>
          <w:spacing w:val="10"/>
          <w:sz w:val="13"/>
        </w:rPr>
        <w:t> </w:t>
      </w:r>
      <w:r>
        <w:rPr>
          <w:sz w:val="13"/>
        </w:rPr>
        <w:t>of</w:t>
      </w:r>
      <w:r>
        <w:rPr>
          <w:spacing w:val="12"/>
          <w:sz w:val="13"/>
        </w:rPr>
        <w:t> </w:t>
      </w:r>
      <w:r>
        <w:rPr>
          <w:sz w:val="13"/>
        </w:rPr>
        <w:t>the</w:t>
      </w:r>
      <w:r>
        <w:rPr>
          <w:spacing w:val="8"/>
          <w:sz w:val="13"/>
        </w:rPr>
        <w:t> </w:t>
      </w:r>
      <w:r>
        <w:rPr>
          <w:sz w:val="13"/>
        </w:rPr>
        <w:t>voting</w:t>
      </w:r>
      <w:r>
        <w:rPr>
          <w:spacing w:val="11"/>
          <w:sz w:val="13"/>
        </w:rPr>
        <w:t> </w:t>
      </w:r>
      <w:r>
        <w:rPr>
          <w:sz w:val="13"/>
        </w:rPr>
        <w:t>rights.</w:t>
      </w:r>
      <w:r>
        <w:rPr>
          <w:spacing w:val="10"/>
          <w:sz w:val="13"/>
        </w:rPr>
        <w:t> </w:t>
      </w:r>
      <w:r>
        <w:rPr>
          <w:sz w:val="13"/>
        </w:rPr>
        <w:t>Investments</w:t>
      </w:r>
      <w:r>
        <w:rPr>
          <w:spacing w:val="11"/>
          <w:sz w:val="13"/>
        </w:rPr>
        <w:t> </w:t>
      </w:r>
      <w:r>
        <w:rPr>
          <w:sz w:val="13"/>
        </w:rPr>
        <w:t>in</w:t>
      </w:r>
      <w:r>
        <w:rPr>
          <w:spacing w:val="8"/>
          <w:sz w:val="13"/>
        </w:rPr>
        <w:t> </w:t>
      </w:r>
      <w:r>
        <w:rPr>
          <w:sz w:val="13"/>
        </w:rPr>
        <w:t>associates</w:t>
      </w:r>
      <w:r>
        <w:rPr>
          <w:spacing w:val="12"/>
          <w:sz w:val="13"/>
        </w:rPr>
        <w:t> </w:t>
      </w:r>
      <w:r>
        <w:rPr>
          <w:sz w:val="13"/>
        </w:rPr>
        <w:t>are</w:t>
      </w:r>
      <w:r>
        <w:rPr>
          <w:spacing w:val="8"/>
          <w:sz w:val="13"/>
        </w:rPr>
        <w:t> </w:t>
      </w:r>
      <w:r>
        <w:rPr>
          <w:sz w:val="13"/>
        </w:rPr>
        <w:t>accounted</w:t>
      </w:r>
      <w:r>
        <w:rPr>
          <w:spacing w:val="11"/>
          <w:sz w:val="13"/>
        </w:rPr>
        <w:t> </w:t>
      </w:r>
      <w:r>
        <w:rPr>
          <w:sz w:val="13"/>
        </w:rPr>
        <w:t>for</w:t>
      </w:r>
      <w:r>
        <w:rPr>
          <w:spacing w:val="8"/>
          <w:sz w:val="13"/>
        </w:rPr>
        <w:t> </w:t>
      </w:r>
      <w:r>
        <w:rPr>
          <w:sz w:val="13"/>
        </w:rPr>
        <w:t>in</w:t>
      </w:r>
      <w:r>
        <w:rPr>
          <w:spacing w:val="11"/>
          <w:sz w:val="13"/>
        </w:rPr>
        <w:t> </w:t>
      </w:r>
      <w:r>
        <w:rPr>
          <w:sz w:val="13"/>
        </w:rPr>
        <w:t>the</w:t>
      </w:r>
      <w:r>
        <w:rPr>
          <w:spacing w:val="8"/>
          <w:sz w:val="13"/>
        </w:rPr>
        <w:t> </w:t>
      </w:r>
      <w:r>
        <w:rPr>
          <w:sz w:val="13"/>
        </w:rPr>
        <w:t>parent</w:t>
      </w:r>
      <w:r>
        <w:rPr>
          <w:spacing w:val="12"/>
          <w:sz w:val="13"/>
        </w:rPr>
        <w:t> </w:t>
      </w:r>
      <w:r>
        <w:rPr>
          <w:sz w:val="13"/>
        </w:rPr>
        <w:t>entity financial</w:t>
      </w:r>
      <w:r>
        <w:rPr>
          <w:spacing w:val="11"/>
          <w:sz w:val="13"/>
        </w:rPr>
        <w:t> </w:t>
      </w:r>
      <w:r>
        <w:rPr>
          <w:sz w:val="13"/>
        </w:rPr>
        <w:t>statements</w:t>
      </w:r>
      <w:r>
        <w:rPr>
          <w:spacing w:val="8"/>
          <w:sz w:val="13"/>
        </w:rPr>
        <w:t> </w:t>
      </w:r>
      <w:r>
        <w:rPr>
          <w:sz w:val="13"/>
        </w:rPr>
        <w:t>using</w:t>
      </w:r>
      <w:r>
        <w:rPr>
          <w:spacing w:val="40"/>
          <w:sz w:val="13"/>
        </w:rPr>
        <w:t> </w:t>
      </w:r>
      <w:r>
        <w:rPr>
          <w:sz w:val="13"/>
        </w:rPr>
        <w:t>the cost method and in the consolidated financial statements using the equity method of accounting, after initially being recognised at cost.</w:t>
      </w:r>
      <w:r>
        <w:rPr>
          <w:spacing w:val="80"/>
          <w:sz w:val="13"/>
        </w:rPr>
        <w:t> </w:t>
      </w:r>
      <w:r>
        <w:rPr>
          <w:sz w:val="13"/>
        </w:rPr>
        <w:t>The Group’s investment in associates includes goodwill (net of any accumulated impairment loss) identified on acquisition.</w:t>
      </w:r>
    </w:p>
    <w:p>
      <w:pPr>
        <w:spacing w:line="240" w:lineRule="auto" w:before="17"/>
        <w:rPr>
          <w:sz w:val="13"/>
        </w:rPr>
      </w:pPr>
    </w:p>
    <w:p>
      <w:pPr>
        <w:spacing w:line="266" w:lineRule="auto" w:before="0"/>
        <w:ind w:left="722" w:right="415" w:hanging="1"/>
        <w:jc w:val="both"/>
        <w:rPr>
          <w:sz w:val="13"/>
        </w:rPr>
      </w:pPr>
      <w:r>
        <w:rPr>
          <w:sz w:val="13"/>
        </w:rPr>
        <w:t>The Group’s share of its associates’ post acquisition profits or losses is recognised in the income statement, and its share of post acquisition</w:t>
      </w:r>
      <w:r>
        <w:rPr>
          <w:spacing w:val="40"/>
          <w:sz w:val="13"/>
        </w:rPr>
        <w:t> </w:t>
      </w:r>
      <w:r>
        <w:rPr>
          <w:sz w:val="13"/>
        </w:rPr>
        <w:t>movements</w:t>
      </w:r>
      <w:r>
        <w:rPr>
          <w:spacing w:val="13"/>
          <w:sz w:val="13"/>
        </w:rPr>
        <w:t> </w:t>
      </w:r>
      <w:r>
        <w:rPr>
          <w:sz w:val="13"/>
        </w:rPr>
        <w:t>in</w:t>
      </w:r>
      <w:r>
        <w:rPr>
          <w:spacing w:val="11"/>
          <w:sz w:val="13"/>
        </w:rPr>
        <w:t> </w:t>
      </w:r>
      <w:r>
        <w:rPr>
          <w:sz w:val="13"/>
        </w:rPr>
        <w:t>reserves</w:t>
      </w:r>
      <w:r>
        <w:rPr>
          <w:spacing w:val="13"/>
          <w:sz w:val="13"/>
        </w:rPr>
        <w:t> </w:t>
      </w:r>
      <w:r>
        <w:rPr>
          <w:sz w:val="13"/>
        </w:rPr>
        <w:t>is</w:t>
      </w:r>
      <w:r>
        <w:rPr>
          <w:spacing w:val="13"/>
          <w:sz w:val="13"/>
        </w:rPr>
        <w:t> </w:t>
      </w:r>
      <w:r>
        <w:rPr>
          <w:sz w:val="13"/>
        </w:rPr>
        <w:t>recognised</w:t>
      </w:r>
      <w:r>
        <w:rPr>
          <w:spacing w:val="11"/>
          <w:sz w:val="13"/>
        </w:rPr>
        <w:t> </w:t>
      </w:r>
      <w:r>
        <w:rPr>
          <w:sz w:val="13"/>
        </w:rPr>
        <w:t>in</w:t>
      </w:r>
      <w:r>
        <w:rPr>
          <w:spacing w:val="11"/>
          <w:sz w:val="13"/>
        </w:rPr>
        <w:t> </w:t>
      </w:r>
      <w:r>
        <w:rPr>
          <w:sz w:val="13"/>
        </w:rPr>
        <w:t>reserves.</w:t>
      </w:r>
      <w:r>
        <w:rPr>
          <w:spacing w:val="14"/>
          <w:sz w:val="13"/>
        </w:rPr>
        <w:t> </w:t>
      </w:r>
      <w:r>
        <w:rPr>
          <w:sz w:val="13"/>
        </w:rPr>
        <w:t>The</w:t>
      </w:r>
      <w:r>
        <w:rPr>
          <w:spacing w:val="11"/>
          <w:sz w:val="13"/>
        </w:rPr>
        <w:t> </w:t>
      </w:r>
      <w:r>
        <w:rPr>
          <w:sz w:val="13"/>
        </w:rPr>
        <w:t>cumulative</w:t>
      </w:r>
      <w:r>
        <w:rPr>
          <w:spacing w:val="11"/>
          <w:sz w:val="13"/>
        </w:rPr>
        <w:t> </w:t>
      </w:r>
      <w:r>
        <w:rPr>
          <w:sz w:val="13"/>
        </w:rPr>
        <w:t>post</w:t>
      </w:r>
      <w:r>
        <w:rPr>
          <w:spacing w:val="13"/>
          <w:sz w:val="13"/>
        </w:rPr>
        <w:t> </w:t>
      </w:r>
      <w:r>
        <w:rPr>
          <w:sz w:val="13"/>
        </w:rPr>
        <w:t>acquisition</w:t>
      </w:r>
      <w:r>
        <w:rPr>
          <w:spacing w:val="11"/>
          <w:sz w:val="13"/>
        </w:rPr>
        <w:t> </w:t>
      </w:r>
      <w:r>
        <w:rPr>
          <w:sz w:val="13"/>
        </w:rPr>
        <w:t>movements</w:t>
      </w:r>
      <w:r>
        <w:rPr>
          <w:spacing w:val="13"/>
          <w:sz w:val="13"/>
        </w:rPr>
        <w:t> </w:t>
      </w:r>
      <w:r>
        <w:rPr>
          <w:sz w:val="13"/>
        </w:rPr>
        <w:t>are</w:t>
      </w:r>
      <w:r>
        <w:rPr>
          <w:spacing w:val="11"/>
          <w:sz w:val="13"/>
        </w:rPr>
        <w:t> </w:t>
      </w:r>
      <w:r>
        <w:rPr>
          <w:sz w:val="13"/>
        </w:rPr>
        <w:t>adjusted</w:t>
      </w:r>
      <w:r>
        <w:rPr>
          <w:spacing w:val="11"/>
          <w:sz w:val="13"/>
        </w:rPr>
        <w:t> </w:t>
      </w:r>
      <w:r>
        <w:rPr>
          <w:sz w:val="13"/>
        </w:rPr>
        <w:t>against</w:t>
      </w:r>
      <w:r>
        <w:rPr>
          <w:spacing w:val="13"/>
          <w:sz w:val="13"/>
        </w:rPr>
        <w:t> </w:t>
      </w:r>
      <w:r>
        <w:rPr>
          <w:sz w:val="13"/>
        </w:rPr>
        <w:t>the</w:t>
      </w:r>
      <w:r>
        <w:rPr>
          <w:spacing w:val="11"/>
          <w:sz w:val="13"/>
        </w:rPr>
        <w:t> </w:t>
      </w:r>
      <w:r>
        <w:rPr>
          <w:sz w:val="13"/>
        </w:rPr>
        <w:t>carrying</w:t>
      </w:r>
      <w:r>
        <w:rPr>
          <w:spacing w:val="11"/>
          <w:sz w:val="13"/>
        </w:rPr>
        <w:t> </w:t>
      </w:r>
      <w:r>
        <w:rPr>
          <w:sz w:val="13"/>
        </w:rPr>
        <w:t>amount</w:t>
      </w:r>
      <w:r>
        <w:rPr>
          <w:spacing w:val="13"/>
          <w:sz w:val="13"/>
        </w:rPr>
        <w:t> </w:t>
      </w:r>
      <w:r>
        <w:rPr>
          <w:sz w:val="13"/>
        </w:rPr>
        <w:t>of</w:t>
      </w:r>
      <w:r>
        <w:rPr>
          <w:spacing w:val="40"/>
          <w:sz w:val="13"/>
        </w:rPr>
        <w:t> </w:t>
      </w:r>
      <w:r>
        <w:rPr>
          <w:sz w:val="13"/>
        </w:rPr>
        <w:t>the investment. Dividends receivable from associates are recognised in the parent entity’s income statement, while in the consolidated</w:t>
      </w:r>
      <w:r>
        <w:rPr>
          <w:spacing w:val="40"/>
          <w:sz w:val="13"/>
        </w:rPr>
        <w:t> </w:t>
      </w:r>
      <w:r>
        <w:rPr>
          <w:sz w:val="13"/>
        </w:rPr>
        <w:t>financial statements they reduce the carrying amount of the investment.</w:t>
      </w:r>
    </w:p>
    <w:p>
      <w:pPr>
        <w:spacing w:line="240" w:lineRule="auto" w:before="17"/>
        <w:rPr>
          <w:sz w:val="13"/>
        </w:rPr>
      </w:pPr>
    </w:p>
    <w:p>
      <w:pPr>
        <w:spacing w:line="266" w:lineRule="auto" w:before="0"/>
        <w:ind w:left="721" w:right="415" w:firstLine="0"/>
        <w:jc w:val="both"/>
        <w:rPr>
          <w:sz w:val="13"/>
        </w:rPr>
      </w:pPr>
      <w:r>
        <w:rPr>
          <w:sz w:val="13"/>
        </w:rPr>
        <w:t>Gains</w:t>
      </w:r>
      <w:r>
        <w:rPr>
          <w:spacing w:val="10"/>
          <w:sz w:val="13"/>
        </w:rPr>
        <w:t> </w:t>
      </w:r>
      <w:r>
        <w:rPr>
          <w:sz w:val="13"/>
        </w:rPr>
        <w:t>or</w:t>
      </w:r>
      <w:r>
        <w:rPr>
          <w:spacing w:val="10"/>
          <w:sz w:val="13"/>
        </w:rPr>
        <w:t> </w:t>
      </w:r>
      <w:r>
        <w:rPr>
          <w:sz w:val="13"/>
        </w:rPr>
        <w:t>losses</w:t>
      </w:r>
      <w:r>
        <w:rPr>
          <w:spacing w:val="13"/>
          <w:sz w:val="13"/>
        </w:rPr>
        <w:t> </w:t>
      </w:r>
      <w:r>
        <w:rPr>
          <w:sz w:val="13"/>
        </w:rPr>
        <w:t>resulting</w:t>
      </w:r>
      <w:r>
        <w:rPr>
          <w:spacing w:val="10"/>
          <w:sz w:val="13"/>
        </w:rPr>
        <w:t> </w:t>
      </w:r>
      <w:r>
        <w:rPr>
          <w:sz w:val="13"/>
        </w:rPr>
        <w:t>from</w:t>
      </w:r>
      <w:r>
        <w:rPr>
          <w:spacing w:val="11"/>
          <w:sz w:val="13"/>
        </w:rPr>
        <w:t> </w:t>
      </w:r>
      <w:r>
        <w:rPr>
          <w:sz w:val="13"/>
        </w:rPr>
        <w:t>‘upstream’</w:t>
      </w:r>
      <w:r>
        <w:rPr>
          <w:spacing w:val="10"/>
          <w:sz w:val="13"/>
        </w:rPr>
        <w:t> </w:t>
      </w:r>
      <w:r>
        <w:rPr>
          <w:sz w:val="13"/>
        </w:rPr>
        <w:t>and</w:t>
      </w:r>
      <w:r>
        <w:rPr>
          <w:spacing w:val="12"/>
          <w:sz w:val="13"/>
        </w:rPr>
        <w:t> </w:t>
      </w:r>
      <w:r>
        <w:rPr>
          <w:sz w:val="13"/>
        </w:rPr>
        <w:t>‘downstream’</w:t>
      </w:r>
      <w:r>
        <w:rPr>
          <w:spacing w:val="10"/>
          <w:sz w:val="13"/>
        </w:rPr>
        <w:t> </w:t>
      </w:r>
      <w:r>
        <w:rPr>
          <w:sz w:val="13"/>
        </w:rPr>
        <w:t>transactions,</w:t>
      </w:r>
      <w:r>
        <w:rPr>
          <w:spacing w:val="13"/>
          <w:sz w:val="13"/>
        </w:rPr>
        <w:t> </w:t>
      </w:r>
      <w:r>
        <w:rPr>
          <w:sz w:val="13"/>
        </w:rPr>
        <w:t>involving</w:t>
      </w:r>
      <w:r>
        <w:rPr>
          <w:spacing w:val="10"/>
          <w:sz w:val="13"/>
        </w:rPr>
        <w:t> </w:t>
      </w:r>
      <w:r>
        <w:rPr>
          <w:sz w:val="13"/>
        </w:rPr>
        <w:t>assets</w:t>
      </w:r>
      <w:r>
        <w:rPr>
          <w:spacing w:val="13"/>
          <w:sz w:val="13"/>
        </w:rPr>
        <w:t> </w:t>
      </w:r>
      <w:r>
        <w:rPr>
          <w:sz w:val="13"/>
        </w:rPr>
        <w:t>that</w:t>
      </w:r>
      <w:r>
        <w:rPr>
          <w:spacing w:val="11"/>
          <w:sz w:val="13"/>
        </w:rPr>
        <w:t> </w:t>
      </w:r>
      <w:r>
        <w:rPr>
          <w:sz w:val="13"/>
        </w:rPr>
        <w:t>do</w:t>
      </w:r>
      <w:r>
        <w:rPr>
          <w:spacing w:val="12"/>
          <w:sz w:val="13"/>
        </w:rPr>
        <w:t> </w:t>
      </w:r>
      <w:r>
        <w:rPr>
          <w:sz w:val="13"/>
        </w:rPr>
        <w:t>not</w:t>
      </w:r>
      <w:r>
        <w:rPr>
          <w:spacing w:val="11"/>
          <w:sz w:val="13"/>
        </w:rPr>
        <w:t> </w:t>
      </w:r>
      <w:r>
        <w:rPr>
          <w:sz w:val="13"/>
        </w:rPr>
        <w:t>constitute</w:t>
      </w:r>
      <w:r>
        <w:rPr>
          <w:spacing w:val="11"/>
          <w:sz w:val="13"/>
        </w:rPr>
        <w:t> </w:t>
      </w:r>
      <w:r>
        <w:rPr>
          <w:sz w:val="13"/>
        </w:rPr>
        <w:t>a</w:t>
      </w:r>
      <w:r>
        <w:rPr>
          <w:spacing w:val="10"/>
          <w:sz w:val="13"/>
        </w:rPr>
        <w:t> </w:t>
      </w:r>
      <w:r>
        <w:rPr>
          <w:sz w:val="13"/>
        </w:rPr>
        <w:t>business,</w:t>
      </w:r>
      <w:r>
        <w:rPr>
          <w:spacing w:val="13"/>
          <w:sz w:val="13"/>
        </w:rPr>
        <w:t> </w:t>
      </w:r>
      <w:r>
        <w:rPr>
          <w:sz w:val="13"/>
        </w:rPr>
        <w:t>are</w:t>
      </w:r>
      <w:r>
        <w:rPr>
          <w:spacing w:val="10"/>
          <w:sz w:val="13"/>
        </w:rPr>
        <w:t> </w:t>
      </w:r>
      <w:r>
        <w:rPr>
          <w:sz w:val="13"/>
        </w:rPr>
        <w:t>recognised</w:t>
      </w:r>
      <w:r>
        <w:rPr>
          <w:spacing w:val="40"/>
          <w:sz w:val="13"/>
        </w:rPr>
        <w:t> </w:t>
      </w:r>
      <w:r>
        <w:rPr>
          <w:sz w:val="13"/>
        </w:rPr>
        <w:t>in the parent’s</w:t>
      </w:r>
      <w:r>
        <w:rPr>
          <w:spacing w:val="25"/>
          <w:sz w:val="13"/>
        </w:rPr>
        <w:t> </w:t>
      </w:r>
      <w:r>
        <w:rPr>
          <w:sz w:val="13"/>
        </w:rPr>
        <w:t>financial statements only to the extent of</w:t>
      </w:r>
      <w:r>
        <w:rPr>
          <w:spacing w:val="26"/>
          <w:sz w:val="13"/>
        </w:rPr>
        <w:t> </w:t>
      </w:r>
      <w:r>
        <w:rPr>
          <w:sz w:val="13"/>
        </w:rPr>
        <w:t>unrelated investors’ interests in the associate or joint</w:t>
      </w:r>
      <w:r>
        <w:rPr>
          <w:spacing w:val="26"/>
          <w:sz w:val="13"/>
        </w:rPr>
        <w:t> </w:t>
      </w:r>
      <w:r>
        <w:rPr>
          <w:sz w:val="13"/>
        </w:rPr>
        <w:t>venture. Gains</w:t>
      </w:r>
      <w:r>
        <w:rPr>
          <w:spacing w:val="25"/>
          <w:sz w:val="13"/>
        </w:rPr>
        <w:t> </w:t>
      </w:r>
      <w:r>
        <w:rPr>
          <w:sz w:val="13"/>
        </w:rPr>
        <w:t>or losses</w:t>
      </w:r>
      <w:r>
        <w:rPr>
          <w:spacing w:val="40"/>
          <w:sz w:val="13"/>
        </w:rPr>
        <w:t> </w:t>
      </w:r>
      <w:r>
        <w:rPr>
          <w:sz w:val="13"/>
        </w:rPr>
        <w:t>resulting from the contribution of non-monetary assets in exchange for an equity interest are accounted for in the same method.</w:t>
      </w:r>
    </w:p>
    <w:p>
      <w:pPr>
        <w:spacing w:line="240" w:lineRule="auto" w:before="16"/>
        <w:rPr>
          <w:sz w:val="13"/>
        </w:rPr>
      </w:pPr>
    </w:p>
    <w:p>
      <w:pPr>
        <w:spacing w:line="266" w:lineRule="auto" w:before="1"/>
        <w:ind w:left="722" w:right="417" w:hanging="1"/>
        <w:jc w:val="both"/>
        <w:rPr>
          <w:sz w:val="13"/>
        </w:rPr>
      </w:pPr>
      <w:r>
        <w:rPr>
          <w:sz w:val="13"/>
        </w:rPr>
        <w:t>When the Group’s share of losses in an associate equals or exceeds its interest in the associate, including any other unsecured receivables,</w:t>
      </w:r>
      <w:r>
        <w:rPr>
          <w:spacing w:val="40"/>
          <w:sz w:val="13"/>
        </w:rPr>
        <w:t> </w:t>
      </w:r>
      <w:r>
        <w:rPr>
          <w:sz w:val="13"/>
        </w:rPr>
        <w:t>the Group does not recognise further losses, unless it has incurred obligations or made payments on behalf of the associate.</w:t>
      </w:r>
    </w:p>
    <w:p>
      <w:pPr>
        <w:spacing w:line="240" w:lineRule="auto" w:before="9"/>
        <w:rPr>
          <w:sz w:val="11"/>
        </w:rPr>
      </w:pPr>
      <w:r>
        <w:rPr/>
        <mc:AlternateContent>
          <mc:Choice Requires="wps">
            <w:drawing>
              <wp:anchor distT="0" distB="0" distL="0" distR="0" allowOverlap="1" layoutInCell="1" locked="0" behindDoc="1" simplePos="0" relativeHeight="487769088">
                <wp:simplePos x="0" y="0"/>
                <wp:positionH relativeFrom="page">
                  <wp:posOffset>715403</wp:posOffset>
                </wp:positionH>
                <wp:positionV relativeFrom="paragraph">
                  <wp:posOffset>101316</wp:posOffset>
                </wp:positionV>
                <wp:extent cx="5618480" cy="17145"/>
                <wp:effectExtent l="0" t="0" r="0" b="0"/>
                <wp:wrapTopAndBottom/>
                <wp:docPr id="995" name="Graphic 995"/>
                <wp:cNvGraphicFramePr>
                  <a:graphicFrameLocks/>
                </wp:cNvGraphicFramePr>
                <a:graphic>
                  <a:graphicData uri="http://schemas.microsoft.com/office/word/2010/wordprocessingShape">
                    <wps:wsp>
                      <wps:cNvPr id="995" name="Graphic 995"/>
                      <wps:cNvSpPr/>
                      <wps:spPr>
                        <a:xfrm>
                          <a:off x="0" y="0"/>
                          <a:ext cx="5618480" cy="17145"/>
                        </a:xfrm>
                        <a:custGeom>
                          <a:avLst/>
                          <a:gdLst/>
                          <a:ahLst/>
                          <a:cxnLst/>
                          <a:rect l="l" t="t" r="r" b="b"/>
                          <a:pathLst>
                            <a:path w="5618480" h="17145">
                              <a:moveTo>
                                <a:pt x="5618314" y="0"/>
                              </a:moveTo>
                              <a:lnTo>
                                <a:pt x="0" y="0"/>
                              </a:lnTo>
                              <a:lnTo>
                                <a:pt x="0" y="16865"/>
                              </a:lnTo>
                              <a:lnTo>
                                <a:pt x="5618314" y="16865"/>
                              </a:lnTo>
                              <a:lnTo>
                                <a:pt x="5618314"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6.331001pt;margin-top:7.977716pt;width:442.387pt;height:1.328pt;mso-position-horizontal-relative:page;mso-position-vertical-relative:paragraph;z-index:-15547392;mso-wrap-distance-left:0;mso-wrap-distance-right:0" id="docshape683" filled="true" fillcolor="#4f81bd" stroked="false">
                <v:fill type="solid"/>
                <w10:wrap type="topAndBottom"/>
              </v:rect>
            </w:pict>
          </mc:Fallback>
        </mc:AlternateContent>
      </w:r>
    </w:p>
    <w:p>
      <w:pPr>
        <w:spacing w:after="0" w:line="240" w:lineRule="auto"/>
        <w:rPr>
          <w:sz w:val="11"/>
        </w:rPr>
        <w:sectPr>
          <w:type w:val="continuous"/>
          <w:pgSz w:w="11910" w:h="16840"/>
          <w:pgMar w:header="468" w:footer="0" w:top="980" w:bottom="280" w:left="1020" w:right="1540"/>
        </w:sectPr>
      </w:pPr>
    </w:p>
    <w:p>
      <w:pPr>
        <w:spacing w:before="91"/>
        <w:ind w:left="151" w:right="0" w:firstLine="0"/>
        <w:jc w:val="left"/>
        <w:rPr>
          <w:sz w:val="21"/>
        </w:rPr>
      </w:pPr>
      <w:r>
        <w:rPr>
          <w:color w:val="0070C0"/>
          <w:sz w:val="21"/>
        </w:rPr>
        <w:t>NOTES</w:t>
      </w:r>
      <w:r>
        <w:rPr>
          <w:color w:val="0070C0"/>
          <w:spacing w:val="-2"/>
          <w:sz w:val="21"/>
        </w:rPr>
        <w:t> </w:t>
      </w:r>
      <w:r>
        <w:rPr>
          <w:color w:val="0070C0"/>
          <w:sz w:val="21"/>
        </w:rPr>
        <w:t>TO</w:t>
      </w:r>
      <w:r>
        <w:rPr>
          <w:color w:val="0070C0"/>
          <w:spacing w:val="-1"/>
          <w:sz w:val="21"/>
        </w:rPr>
        <w:t> </w:t>
      </w:r>
      <w:r>
        <w:rPr>
          <w:color w:val="0070C0"/>
          <w:sz w:val="21"/>
        </w:rPr>
        <w:t>THE</w:t>
      </w:r>
      <w:r>
        <w:rPr>
          <w:color w:val="0070C0"/>
          <w:spacing w:val="-2"/>
          <w:sz w:val="21"/>
        </w:rPr>
        <w:t> </w:t>
      </w:r>
      <w:r>
        <w:rPr>
          <w:color w:val="0070C0"/>
          <w:sz w:val="21"/>
        </w:rPr>
        <w:t>FINANCIAL</w:t>
      </w:r>
      <w:r>
        <w:rPr>
          <w:color w:val="0070C0"/>
          <w:spacing w:val="-1"/>
          <w:sz w:val="21"/>
        </w:rPr>
        <w:t> </w:t>
      </w:r>
      <w:r>
        <w:rPr>
          <w:color w:val="0070C0"/>
          <w:spacing w:val="-2"/>
          <w:sz w:val="21"/>
        </w:rPr>
        <w:t>STATEMENTS</w:t>
      </w:r>
    </w:p>
    <w:p>
      <w:pPr>
        <w:spacing w:before="54"/>
        <w:ind w:left="138" w:right="0" w:firstLine="0"/>
        <w:jc w:val="left"/>
        <w:rPr>
          <w:sz w:val="12"/>
        </w:rPr>
      </w:pPr>
      <w:r>
        <w:rPr>
          <w:spacing w:val="-2"/>
          <w:sz w:val="12"/>
        </w:rPr>
        <w:t>for</w:t>
      </w:r>
      <w:r>
        <w:rPr>
          <w:spacing w:val="-1"/>
          <w:sz w:val="12"/>
        </w:rPr>
        <w:t> </w:t>
      </w:r>
      <w:r>
        <w:rPr>
          <w:spacing w:val="-2"/>
          <w:sz w:val="12"/>
        </w:rPr>
        <w:t>the</w:t>
      </w:r>
      <w:r>
        <w:rPr>
          <w:spacing w:val="-1"/>
          <w:sz w:val="12"/>
        </w:rPr>
        <w:t> </w:t>
      </w:r>
      <w:r>
        <w:rPr>
          <w:spacing w:val="-2"/>
          <w:sz w:val="12"/>
        </w:rPr>
        <w:t>year</w:t>
      </w:r>
      <w:r>
        <w:rPr>
          <w:spacing w:val="-1"/>
          <w:sz w:val="12"/>
        </w:rPr>
        <w:t> </w:t>
      </w:r>
      <w:r>
        <w:rPr>
          <w:spacing w:val="-2"/>
          <w:sz w:val="12"/>
        </w:rPr>
        <w:t>ended</w:t>
      </w:r>
      <w:r>
        <w:rPr>
          <w:sz w:val="12"/>
        </w:rPr>
        <w:t> </w:t>
      </w:r>
      <w:r>
        <w:rPr>
          <w:spacing w:val="-2"/>
          <w:sz w:val="12"/>
        </w:rPr>
        <w:t>31</w:t>
      </w:r>
      <w:r>
        <w:rPr>
          <w:spacing w:val="-1"/>
          <w:sz w:val="12"/>
        </w:rPr>
        <w:t> </w:t>
      </w:r>
      <w:r>
        <w:rPr>
          <w:spacing w:val="-2"/>
          <w:sz w:val="12"/>
        </w:rPr>
        <w:t>December</w:t>
      </w:r>
      <w:r>
        <w:rPr>
          <w:spacing w:val="-1"/>
          <w:sz w:val="12"/>
        </w:rPr>
        <w:t> </w:t>
      </w:r>
      <w:r>
        <w:rPr>
          <w:spacing w:val="-4"/>
          <w:sz w:val="12"/>
        </w:rPr>
        <w:t>2020</w:t>
      </w:r>
    </w:p>
    <w:p>
      <w:pPr>
        <w:spacing w:line="240" w:lineRule="auto" w:before="0" w:after="1"/>
        <w:rPr>
          <w:sz w:val="15"/>
        </w:rPr>
      </w:pPr>
    </w:p>
    <w:tbl>
      <w:tblPr>
        <w:tblW w:w="0" w:type="auto"/>
        <w:jc w:val="left"/>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210"/>
        <w:gridCol w:w="1222"/>
        <w:gridCol w:w="694"/>
        <w:gridCol w:w="888"/>
        <w:gridCol w:w="764"/>
      </w:tblGrid>
      <w:tr>
        <w:trPr>
          <w:trHeight w:val="304" w:hRule="atLeast"/>
        </w:trPr>
        <w:tc>
          <w:tcPr>
            <w:tcW w:w="5210" w:type="dxa"/>
          </w:tcPr>
          <w:p>
            <w:pPr>
              <w:pStyle w:val="TableParagraph"/>
              <w:tabs>
                <w:tab w:pos="619" w:val="left" w:leader="none"/>
              </w:tabs>
              <w:spacing w:before="26"/>
              <w:ind w:left="35"/>
              <w:rPr>
                <w:b/>
                <w:sz w:val="16"/>
              </w:rPr>
            </w:pPr>
            <w:r>
              <w:rPr>
                <w:b/>
                <w:color w:val="0070C0"/>
                <w:spacing w:val="-5"/>
                <w:sz w:val="16"/>
              </w:rPr>
              <w:t>7.3</w:t>
            </w:r>
            <w:r>
              <w:rPr>
                <w:b/>
                <w:color w:val="0070C0"/>
                <w:sz w:val="16"/>
              </w:rPr>
              <w:tab/>
            </w:r>
            <w:r>
              <w:rPr>
                <w:b/>
                <w:color w:val="0070C0"/>
                <w:spacing w:val="-2"/>
                <w:sz w:val="16"/>
              </w:rPr>
              <w:t>Related</w:t>
            </w:r>
            <w:r>
              <w:rPr>
                <w:b/>
                <w:color w:val="0070C0"/>
                <w:spacing w:val="-3"/>
                <w:sz w:val="16"/>
              </w:rPr>
              <w:t> </w:t>
            </w:r>
            <w:r>
              <w:rPr>
                <w:b/>
                <w:color w:val="0070C0"/>
                <w:spacing w:val="-2"/>
                <w:sz w:val="16"/>
              </w:rPr>
              <w:t>parties</w:t>
            </w:r>
          </w:p>
        </w:tc>
        <w:tc>
          <w:tcPr>
            <w:tcW w:w="3568" w:type="dxa"/>
            <w:gridSpan w:val="4"/>
            <w:vMerge w:val="restart"/>
          </w:tcPr>
          <w:p>
            <w:pPr>
              <w:pStyle w:val="TableParagraph"/>
              <w:rPr>
                <w:rFonts w:ascii="Times New Roman"/>
                <w:sz w:val="12"/>
              </w:rPr>
            </w:pPr>
          </w:p>
        </w:tc>
      </w:tr>
      <w:tr>
        <w:trPr>
          <w:trHeight w:val="491" w:hRule="atLeast"/>
        </w:trPr>
        <w:tc>
          <w:tcPr>
            <w:tcW w:w="5210" w:type="dxa"/>
          </w:tcPr>
          <w:p>
            <w:pPr>
              <w:pStyle w:val="TableParagraph"/>
              <w:tabs>
                <w:tab w:pos="617" w:val="left" w:leader="none"/>
              </w:tabs>
              <w:spacing w:line="158" w:lineRule="exact" w:before="87"/>
              <w:ind w:left="33"/>
              <w:rPr>
                <w:b/>
                <w:sz w:val="13"/>
              </w:rPr>
            </w:pPr>
            <w:r>
              <w:rPr>
                <w:b/>
                <w:spacing w:val="-5"/>
                <w:sz w:val="13"/>
              </w:rPr>
              <w:t>(a)</w:t>
            </w:r>
            <w:r>
              <w:rPr>
                <w:b/>
                <w:sz w:val="13"/>
              </w:rPr>
              <w:tab/>
            </w:r>
            <w:r>
              <w:rPr>
                <w:b/>
                <w:position w:val="1"/>
                <w:sz w:val="13"/>
              </w:rPr>
              <w:t>Parent</w:t>
            </w:r>
            <w:r>
              <w:rPr>
                <w:b/>
                <w:spacing w:val="1"/>
                <w:position w:val="1"/>
                <w:sz w:val="13"/>
              </w:rPr>
              <w:t> </w:t>
            </w:r>
            <w:r>
              <w:rPr>
                <w:b/>
                <w:spacing w:val="-2"/>
                <w:position w:val="1"/>
                <w:sz w:val="13"/>
              </w:rPr>
              <w:t>entity</w:t>
            </w:r>
          </w:p>
          <w:p>
            <w:pPr>
              <w:pStyle w:val="TableParagraph"/>
              <w:spacing w:line="148" w:lineRule="exact"/>
              <w:ind w:left="617"/>
              <w:rPr>
                <w:sz w:val="13"/>
              </w:rPr>
            </w:pPr>
            <w:r>
              <w:rPr>
                <w:sz w:val="13"/>
              </w:rPr>
              <w:t>The</w:t>
            </w:r>
            <w:r>
              <w:rPr>
                <w:spacing w:val="1"/>
                <w:sz w:val="13"/>
              </w:rPr>
              <w:t> </w:t>
            </w:r>
            <w:r>
              <w:rPr>
                <w:sz w:val="13"/>
              </w:rPr>
              <w:t>parent</w:t>
            </w:r>
            <w:r>
              <w:rPr>
                <w:spacing w:val="3"/>
                <w:sz w:val="13"/>
              </w:rPr>
              <w:t> </w:t>
            </w:r>
            <w:r>
              <w:rPr>
                <w:sz w:val="13"/>
              </w:rPr>
              <w:t>entity</w:t>
            </w:r>
            <w:r>
              <w:rPr>
                <w:spacing w:val="1"/>
                <w:sz w:val="13"/>
              </w:rPr>
              <w:t> </w:t>
            </w:r>
            <w:r>
              <w:rPr>
                <w:sz w:val="13"/>
              </w:rPr>
              <w:t>within</w:t>
            </w:r>
            <w:r>
              <w:rPr>
                <w:spacing w:val="2"/>
                <w:sz w:val="13"/>
              </w:rPr>
              <w:t> </w:t>
            </w:r>
            <w:r>
              <w:rPr>
                <w:sz w:val="13"/>
              </w:rPr>
              <w:t>the</w:t>
            </w:r>
            <w:r>
              <w:rPr>
                <w:spacing w:val="2"/>
                <w:sz w:val="13"/>
              </w:rPr>
              <w:t> </w:t>
            </w:r>
            <w:r>
              <w:rPr>
                <w:sz w:val="13"/>
              </w:rPr>
              <w:t>Group</w:t>
            </w:r>
            <w:r>
              <w:rPr>
                <w:spacing w:val="2"/>
                <w:sz w:val="13"/>
              </w:rPr>
              <w:t> </w:t>
            </w:r>
            <w:r>
              <w:rPr>
                <w:sz w:val="13"/>
              </w:rPr>
              <w:t>is</w:t>
            </w:r>
            <w:r>
              <w:rPr>
                <w:spacing w:val="3"/>
                <w:sz w:val="13"/>
              </w:rPr>
              <w:t> </w:t>
            </w:r>
            <w:r>
              <w:rPr>
                <w:sz w:val="13"/>
              </w:rPr>
              <w:t>The</w:t>
            </w:r>
            <w:r>
              <w:rPr>
                <w:spacing w:val="1"/>
                <w:sz w:val="13"/>
              </w:rPr>
              <w:t> </w:t>
            </w:r>
            <w:r>
              <w:rPr>
                <w:sz w:val="13"/>
              </w:rPr>
              <w:t>University</w:t>
            </w:r>
            <w:r>
              <w:rPr>
                <w:spacing w:val="1"/>
                <w:sz w:val="13"/>
              </w:rPr>
              <w:t> </w:t>
            </w:r>
            <w:r>
              <w:rPr>
                <w:sz w:val="13"/>
              </w:rPr>
              <w:t>of</w:t>
            </w:r>
            <w:r>
              <w:rPr>
                <w:spacing w:val="3"/>
                <w:sz w:val="13"/>
              </w:rPr>
              <w:t> </w:t>
            </w:r>
            <w:r>
              <w:rPr>
                <w:sz w:val="13"/>
              </w:rPr>
              <w:t>Western</w:t>
            </w:r>
            <w:r>
              <w:rPr>
                <w:spacing w:val="2"/>
                <w:sz w:val="13"/>
              </w:rPr>
              <w:t> </w:t>
            </w:r>
            <w:r>
              <w:rPr>
                <w:spacing w:val="-2"/>
                <w:sz w:val="13"/>
              </w:rPr>
              <w:t>Australia.</w:t>
            </w:r>
          </w:p>
        </w:tc>
        <w:tc>
          <w:tcPr>
            <w:tcW w:w="3568" w:type="dxa"/>
            <w:gridSpan w:val="4"/>
            <w:vMerge/>
            <w:tcBorders>
              <w:top w:val="nil"/>
            </w:tcBorders>
          </w:tcPr>
          <w:p>
            <w:pPr>
              <w:rPr>
                <w:sz w:val="2"/>
                <w:szCs w:val="2"/>
              </w:rPr>
            </w:pPr>
          </w:p>
        </w:tc>
      </w:tr>
      <w:tr>
        <w:trPr>
          <w:trHeight w:val="406" w:hRule="atLeast"/>
        </w:trPr>
        <w:tc>
          <w:tcPr>
            <w:tcW w:w="5210" w:type="dxa"/>
          </w:tcPr>
          <w:p>
            <w:pPr>
              <w:pStyle w:val="TableParagraph"/>
              <w:tabs>
                <w:tab w:pos="617" w:val="left" w:leader="none"/>
              </w:tabs>
              <w:spacing w:line="158" w:lineRule="exact" w:before="90"/>
              <w:ind w:left="33"/>
              <w:rPr>
                <w:b/>
                <w:sz w:val="13"/>
              </w:rPr>
            </w:pPr>
            <w:r>
              <w:rPr>
                <w:b/>
                <w:spacing w:val="-5"/>
                <w:sz w:val="13"/>
              </w:rPr>
              <w:t>(b)</w:t>
            </w:r>
            <w:r>
              <w:rPr>
                <w:b/>
                <w:sz w:val="13"/>
              </w:rPr>
              <w:tab/>
            </w:r>
            <w:r>
              <w:rPr>
                <w:b/>
                <w:position w:val="1"/>
                <w:sz w:val="13"/>
              </w:rPr>
              <w:t>Subsidiaries</w:t>
            </w:r>
            <w:r>
              <w:rPr>
                <w:b/>
                <w:spacing w:val="2"/>
                <w:position w:val="1"/>
                <w:sz w:val="13"/>
              </w:rPr>
              <w:t> </w:t>
            </w:r>
            <w:r>
              <w:rPr>
                <w:b/>
                <w:position w:val="1"/>
                <w:sz w:val="13"/>
              </w:rPr>
              <w:t>and</w:t>
            </w:r>
            <w:r>
              <w:rPr>
                <w:b/>
                <w:spacing w:val="3"/>
                <w:position w:val="1"/>
                <w:sz w:val="13"/>
              </w:rPr>
              <w:t> </w:t>
            </w:r>
            <w:r>
              <w:rPr>
                <w:b/>
                <w:spacing w:val="-2"/>
                <w:position w:val="1"/>
                <w:sz w:val="13"/>
              </w:rPr>
              <w:t>associates</w:t>
            </w:r>
          </w:p>
          <w:p>
            <w:pPr>
              <w:pStyle w:val="TableParagraph"/>
              <w:spacing w:line="137" w:lineRule="exact"/>
              <w:ind w:left="617"/>
              <w:rPr>
                <w:sz w:val="13"/>
              </w:rPr>
            </w:pPr>
            <w:r>
              <w:rPr>
                <w:sz w:val="13"/>
              </w:rPr>
              <w:t>·</w:t>
            </w:r>
            <w:r>
              <w:rPr>
                <w:spacing w:val="1"/>
                <w:sz w:val="13"/>
              </w:rPr>
              <w:t> </w:t>
            </w:r>
            <w:r>
              <w:rPr>
                <w:sz w:val="13"/>
              </w:rPr>
              <w:t>Interests</w:t>
            </w:r>
            <w:r>
              <w:rPr>
                <w:spacing w:val="1"/>
                <w:sz w:val="13"/>
              </w:rPr>
              <w:t> </w:t>
            </w:r>
            <w:r>
              <w:rPr>
                <w:sz w:val="13"/>
              </w:rPr>
              <w:t>in subsidiaries</w:t>
            </w:r>
            <w:r>
              <w:rPr>
                <w:spacing w:val="1"/>
                <w:sz w:val="13"/>
              </w:rPr>
              <w:t> </w:t>
            </w:r>
            <w:r>
              <w:rPr>
                <w:sz w:val="13"/>
              </w:rPr>
              <w:t>are set</w:t>
            </w:r>
            <w:r>
              <w:rPr>
                <w:spacing w:val="1"/>
                <w:sz w:val="13"/>
              </w:rPr>
              <w:t> </w:t>
            </w:r>
            <w:r>
              <w:rPr>
                <w:sz w:val="13"/>
              </w:rPr>
              <w:t>out</w:t>
            </w:r>
            <w:r>
              <w:rPr>
                <w:spacing w:val="1"/>
                <w:sz w:val="13"/>
              </w:rPr>
              <w:t> </w:t>
            </w:r>
            <w:r>
              <w:rPr>
                <w:sz w:val="13"/>
              </w:rPr>
              <w:t>in</w:t>
            </w:r>
            <w:r>
              <w:rPr>
                <w:spacing w:val="1"/>
                <w:sz w:val="13"/>
              </w:rPr>
              <w:t> </w:t>
            </w:r>
            <w:r>
              <w:rPr>
                <w:sz w:val="13"/>
              </w:rPr>
              <w:t>note </w:t>
            </w:r>
            <w:r>
              <w:rPr>
                <w:spacing w:val="-4"/>
                <w:sz w:val="13"/>
              </w:rPr>
              <w:t>7.2.</w:t>
            </w:r>
          </w:p>
        </w:tc>
        <w:tc>
          <w:tcPr>
            <w:tcW w:w="3568" w:type="dxa"/>
            <w:gridSpan w:val="4"/>
            <w:vMerge/>
            <w:tcBorders>
              <w:top w:val="nil"/>
            </w:tcBorders>
          </w:tcPr>
          <w:p>
            <w:pPr>
              <w:rPr>
                <w:sz w:val="2"/>
                <w:szCs w:val="2"/>
              </w:rPr>
            </w:pPr>
          </w:p>
        </w:tc>
      </w:tr>
      <w:tr>
        <w:trPr>
          <w:trHeight w:val="252" w:hRule="atLeast"/>
        </w:trPr>
        <w:tc>
          <w:tcPr>
            <w:tcW w:w="5210" w:type="dxa"/>
          </w:tcPr>
          <w:p>
            <w:pPr>
              <w:pStyle w:val="TableParagraph"/>
              <w:spacing w:before="6"/>
              <w:ind w:left="617"/>
              <w:rPr>
                <w:sz w:val="13"/>
              </w:rPr>
            </w:pPr>
            <w:r>
              <w:rPr>
                <w:sz w:val="13"/>
              </w:rPr>
              <w:t>·</w:t>
            </w:r>
            <w:r>
              <w:rPr>
                <w:spacing w:val="1"/>
                <w:sz w:val="13"/>
              </w:rPr>
              <w:t> </w:t>
            </w:r>
            <w:r>
              <w:rPr>
                <w:sz w:val="13"/>
              </w:rPr>
              <w:t>Interests</w:t>
            </w:r>
            <w:r>
              <w:rPr>
                <w:spacing w:val="1"/>
                <w:sz w:val="13"/>
              </w:rPr>
              <w:t> </w:t>
            </w:r>
            <w:r>
              <w:rPr>
                <w:sz w:val="13"/>
              </w:rPr>
              <w:t>in</w:t>
            </w:r>
            <w:r>
              <w:rPr>
                <w:spacing w:val="1"/>
                <w:sz w:val="13"/>
              </w:rPr>
              <w:t> </w:t>
            </w:r>
            <w:r>
              <w:rPr>
                <w:sz w:val="13"/>
              </w:rPr>
              <w:t>associates</w:t>
            </w:r>
            <w:r>
              <w:rPr>
                <w:spacing w:val="1"/>
                <w:sz w:val="13"/>
              </w:rPr>
              <w:t> </w:t>
            </w:r>
            <w:r>
              <w:rPr>
                <w:sz w:val="13"/>
              </w:rPr>
              <w:t>are set</w:t>
            </w:r>
            <w:r>
              <w:rPr>
                <w:spacing w:val="2"/>
                <w:sz w:val="13"/>
              </w:rPr>
              <w:t> </w:t>
            </w:r>
            <w:r>
              <w:rPr>
                <w:sz w:val="13"/>
              </w:rPr>
              <w:t>out</w:t>
            </w:r>
            <w:r>
              <w:rPr>
                <w:spacing w:val="1"/>
                <w:sz w:val="13"/>
              </w:rPr>
              <w:t> </w:t>
            </w:r>
            <w:r>
              <w:rPr>
                <w:sz w:val="13"/>
              </w:rPr>
              <w:t>in</w:t>
            </w:r>
            <w:r>
              <w:rPr>
                <w:spacing w:val="1"/>
                <w:sz w:val="13"/>
              </w:rPr>
              <w:t> </w:t>
            </w:r>
            <w:r>
              <w:rPr>
                <w:sz w:val="13"/>
              </w:rPr>
              <w:t>note </w:t>
            </w:r>
            <w:r>
              <w:rPr>
                <w:spacing w:val="-4"/>
                <w:sz w:val="13"/>
              </w:rPr>
              <w:t>7.2.</w:t>
            </w:r>
          </w:p>
        </w:tc>
        <w:tc>
          <w:tcPr>
            <w:tcW w:w="3568" w:type="dxa"/>
            <w:gridSpan w:val="4"/>
            <w:vMerge/>
            <w:tcBorders>
              <w:top w:val="nil"/>
            </w:tcBorders>
          </w:tcPr>
          <w:p>
            <w:pPr>
              <w:rPr>
                <w:sz w:val="2"/>
                <w:szCs w:val="2"/>
              </w:rPr>
            </w:pPr>
          </w:p>
        </w:tc>
      </w:tr>
      <w:tr>
        <w:trPr>
          <w:trHeight w:val="493" w:hRule="atLeast"/>
        </w:trPr>
        <w:tc>
          <w:tcPr>
            <w:tcW w:w="5210" w:type="dxa"/>
          </w:tcPr>
          <w:p>
            <w:pPr>
              <w:pStyle w:val="TableParagraph"/>
              <w:tabs>
                <w:tab w:pos="617" w:val="left" w:leader="none"/>
              </w:tabs>
              <w:spacing w:line="158" w:lineRule="exact" w:before="90"/>
              <w:ind w:left="33"/>
              <w:rPr>
                <w:b/>
                <w:sz w:val="13"/>
              </w:rPr>
            </w:pPr>
            <w:r>
              <w:rPr>
                <w:b/>
                <w:spacing w:val="-5"/>
                <w:sz w:val="13"/>
              </w:rPr>
              <w:t>(c)</w:t>
            </w:r>
            <w:r>
              <w:rPr>
                <w:b/>
                <w:sz w:val="13"/>
              </w:rPr>
              <w:tab/>
            </w:r>
            <w:r>
              <w:rPr>
                <w:b/>
                <w:position w:val="1"/>
                <w:sz w:val="13"/>
              </w:rPr>
              <w:t>Key</w:t>
            </w:r>
            <w:r>
              <w:rPr>
                <w:b/>
                <w:spacing w:val="-1"/>
                <w:position w:val="1"/>
                <w:sz w:val="13"/>
              </w:rPr>
              <w:t> </w:t>
            </w:r>
            <w:r>
              <w:rPr>
                <w:b/>
                <w:position w:val="1"/>
                <w:sz w:val="13"/>
              </w:rPr>
              <w:t>management</w:t>
            </w:r>
            <w:r>
              <w:rPr>
                <w:b/>
                <w:spacing w:val="2"/>
                <w:position w:val="1"/>
                <w:sz w:val="13"/>
              </w:rPr>
              <w:t> </w:t>
            </w:r>
            <w:r>
              <w:rPr>
                <w:b/>
                <w:spacing w:val="-2"/>
                <w:position w:val="1"/>
                <w:sz w:val="13"/>
              </w:rPr>
              <w:t>personnel</w:t>
            </w:r>
          </w:p>
          <w:p>
            <w:pPr>
              <w:pStyle w:val="TableParagraph"/>
              <w:spacing w:line="148" w:lineRule="exact"/>
              <w:ind w:left="617"/>
              <w:rPr>
                <w:sz w:val="13"/>
              </w:rPr>
            </w:pPr>
            <w:r>
              <w:rPr>
                <w:sz w:val="13"/>
              </w:rPr>
              <w:t>Disclosures relating to key</w:t>
            </w:r>
            <w:r>
              <w:rPr>
                <w:spacing w:val="-1"/>
                <w:sz w:val="13"/>
              </w:rPr>
              <w:t> </w:t>
            </w:r>
            <w:r>
              <w:rPr>
                <w:sz w:val="13"/>
              </w:rPr>
              <w:t>management</w:t>
            </w:r>
            <w:r>
              <w:rPr>
                <w:spacing w:val="1"/>
                <w:sz w:val="13"/>
              </w:rPr>
              <w:t> </w:t>
            </w:r>
            <w:r>
              <w:rPr>
                <w:sz w:val="13"/>
              </w:rPr>
              <w:t>personnel are set</w:t>
            </w:r>
            <w:r>
              <w:rPr>
                <w:spacing w:val="1"/>
                <w:sz w:val="13"/>
              </w:rPr>
              <w:t> </w:t>
            </w:r>
            <w:r>
              <w:rPr>
                <w:sz w:val="13"/>
              </w:rPr>
              <w:t>out</w:t>
            </w:r>
            <w:r>
              <w:rPr>
                <w:spacing w:val="1"/>
                <w:sz w:val="13"/>
              </w:rPr>
              <w:t> </w:t>
            </w:r>
            <w:r>
              <w:rPr>
                <w:sz w:val="13"/>
              </w:rPr>
              <w:t>in note </w:t>
            </w:r>
            <w:r>
              <w:rPr>
                <w:spacing w:val="-4"/>
                <w:sz w:val="13"/>
              </w:rPr>
              <w:t>3.4.</w:t>
            </w:r>
          </w:p>
        </w:tc>
        <w:tc>
          <w:tcPr>
            <w:tcW w:w="3568" w:type="dxa"/>
            <w:gridSpan w:val="4"/>
            <w:vMerge/>
            <w:tcBorders>
              <w:top w:val="nil"/>
            </w:tcBorders>
          </w:tcPr>
          <w:p>
            <w:pPr>
              <w:rPr>
                <w:sz w:val="2"/>
                <w:szCs w:val="2"/>
              </w:rPr>
            </w:pPr>
          </w:p>
        </w:tc>
      </w:tr>
      <w:tr>
        <w:trPr>
          <w:trHeight w:val="406" w:hRule="atLeast"/>
        </w:trPr>
        <w:tc>
          <w:tcPr>
            <w:tcW w:w="5210" w:type="dxa"/>
          </w:tcPr>
          <w:p>
            <w:pPr>
              <w:pStyle w:val="TableParagraph"/>
              <w:tabs>
                <w:tab w:pos="617" w:val="left" w:leader="none"/>
              </w:tabs>
              <w:spacing w:before="90"/>
              <w:ind w:left="33"/>
              <w:rPr>
                <w:b/>
                <w:sz w:val="13"/>
              </w:rPr>
            </w:pPr>
            <w:r>
              <w:rPr>
                <w:b/>
                <w:spacing w:val="-5"/>
                <w:sz w:val="13"/>
              </w:rPr>
              <w:t>(d)</w:t>
            </w:r>
            <w:r>
              <w:rPr>
                <w:b/>
                <w:sz w:val="13"/>
              </w:rPr>
              <w:tab/>
            </w:r>
            <w:r>
              <w:rPr>
                <w:b/>
                <w:position w:val="1"/>
                <w:sz w:val="13"/>
              </w:rPr>
              <w:t>Transactions</w:t>
            </w:r>
            <w:r>
              <w:rPr>
                <w:b/>
                <w:spacing w:val="3"/>
                <w:position w:val="1"/>
                <w:sz w:val="13"/>
              </w:rPr>
              <w:t> </w:t>
            </w:r>
            <w:r>
              <w:rPr>
                <w:b/>
                <w:position w:val="1"/>
                <w:sz w:val="13"/>
              </w:rPr>
              <w:t>with</w:t>
            </w:r>
            <w:r>
              <w:rPr>
                <w:b/>
                <w:spacing w:val="5"/>
                <w:position w:val="1"/>
                <w:sz w:val="13"/>
              </w:rPr>
              <w:t> </w:t>
            </w:r>
            <w:r>
              <w:rPr>
                <w:b/>
                <w:position w:val="1"/>
                <w:sz w:val="13"/>
              </w:rPr>
              <w:t>related</w:t>
            </w:r>
            <w:r>
              <w:rPr>
                <w:b/>
                <w:spacing w:val="4"/>
                <w:position w:val="1"/>
                <w:sz w:val="13"/>
              </w:rPr>
              <w:t> </w:t>
            </w:r>
            <w:r>
              <w:rPr>
                <w:b/>
                <w:spacing w:val="-2"/>
                <w:position w:val="1"/>
                <w:sz w:val="13"/>
              </w:rPr>
              <w:t>parties</w:t>
            </w:r>
          </w:p>
        </w:tc>
        <w:tc>
          <w:tcPr>
            <w:tcW w:w="1916" w:type="dxa"/>
            <w:gridSpan w:val="2"/>
          </w:tcPr>
          <w:p>
            <w:pPr>
              <w:pStyle w:val="TableParagraph"/>
              <w:tabs>
                <w:tab w:pos="1530" w:val="right" w:leader="none"/>
              </w:tabs>
              <w:spacing w:line="150" w:lineRule="atLeast" w:before="86"/>
              <w:ind w:left="321" w:right="383" w:firstLine="186"/>
              <w:rPr>
                <w:b/>
                <w:sz w:val="13"/>
              </w:rPr>
            </w:pPr>
            <w:r>
              <w:rPr>
                <w:b/>
                <w:spacing w:val="-2"/>
                <w:sz w:val="13"/>
              </w:rPr>
              <w:t>Consolidated</w:t>
            </w:r>
            <w:r>
              <w:rPr>
                <w:b/>
                <w:spacing w:val="40"/>
                <w:sz w:val="13"/>
              </w:rPr>
              <w:t> </w:t>
            </w:r>
            <w:r>
              <w:rPr>
                <w:b/>
                <w:spacing w:val="-4"/>
                <w:sz w:val="13"/>
              </w:rPr>
              <w:t>2020</w:t>
            </w:r>
            <w:r>
              <w:rPr>
                <w:b/>
                <w:sz w:val="13"/>
              </w:rPr>
              <w:tab/>
            </w:r>
            <w:r>
              <w:rPr>
                <w:b/>
                <w:spacing w:val="-4"/>
                <w:sz w:val="13"/>
              </w:rPr>
              <w:t>2019</w:t>
            </w:r>
          </w:p>
        </w:tc>
        <w:tc>
          <w:tcPr>
            <w:tcW w:w="1652" w:type="dxa"/>
            <w:gridSpan w:val="2"/>
          </w:tcPr>
          <w:p>
            <w:pPr>
              <w:pStyle w:val="TableParagraph"/>
              <w:spacing w:before="94"/>
              <w:ind w:left="479"/>
              <w:rPr>
                <w:b/>
                <w:sz w:val="13"/>
              </w:rPr>
            </w:pPr>
            <w:r>
              <w:rPr>
                <w:b/>
                <w:spacing w:val="-2"/>
                <w:sz w:val="13"/>
              </w:rPr>
              <w:t>University</w:t>
            </w:r>
          </w:p>
          <w:p>
            <w:pPr>
              <w:pStyle w:val="TableParagraph"/>
              <w:tabs>
                <w:tab w:pos="986" w:val="left" w:leader="none"/>
              </w:tabs>
              <w:spacing w:line="139" w:lineRule="exact" w:before="4"/>
              <w:ind w:left="121"/>
              <w:rPr>
                <w:b/>
                <w:sz w:val="13"/>
              </w:rPr>
            </w:pPr>
            <w:r>
              <w:rPr>
                <w:b/>
                <w:spacing w:val="-4"/>
                <w:sz w:val="13"/>
              </w:rPr>
              <w:t>2020</w:t>
            </w:r>
            <w:r>
              <w:rPr>
                <w:b/>
                <w:sz w:val="13"/>
              </w:rPr>
              <w:tab/>
            </w:r>
            <w:r>
              <w:rPr>
                <w:b/>
                <w:spacing w:val="-4"/>
                <w:sz w:val="13"/>
              </w:rPr>
              <w:t>2019</w:t>
            </w:r>
          </w:p>
        </w:tc>
      </w:tr>
      <w:tr>
        <w:trPr>
          <w:trHeight w:val="165" w:hRule="atLeast"/>
        </w:trPr>
        <w:tc>
          <w:tcPr>
            <w:tcW w:w="5210" w:type="dxa"/>
          </w:tcPr>
          <w:p>
            <w:pPr>
              <w:pStyle w:val="TableParagraph"/>
              <w:rPr>
                <w:rFonts w:ascii="Times New Roman"/>
                <w:sz w:val="10"/>
              </w:rPr>
            </w:pPr>
          </w:p>
        </w:tc>
        <w:tc>
          <w:tcPr>
            <w:tcW w:w="1916" w:type="dxa"/>
            <w:gridSpan w:val="2"/>
            <w:tcBorders>
              <w:bottom w:val="single" w:sz="6" w:space="0" w:color="000000"/>
            </w:tcBorders>
          </w:tcPr>
          <w:p>
            <w:pPr>
              <w:pStyle w:val="TableParagraph"/>
              <w:tabs>
                <w:tab w:pos="1225" w:val="left" w:leader="none"/>
              </w:tabs>
              <w:spacing w:line="143" w:lineRule="exact" w:before="6"/>
              <w:ind w:left="305"/>
              <w:rPr>
                <w:b/>
                <w:sz w:val="13"/>
              </w:rPr>
            </w:pPr>
            <w:r>
              <w:rPr>
                <w:b/>
                <w:spacing w:val="-2"/>
                <w:sz w:val="13"/>
              </w:rPr>
              <w:t>$'000</w:t>
            </w:r>
            <w:r>
              <w:rPr>
                <w:b/>
                <w:sz w:val="13"/>
              </w:rPr>
              <w:tab/>
            </w:r>
            <w:r>
              <w:rPr>
                <w:b/>
                <w:spacing w:val="-2"/>
                <w:sz w:val="13"/>
              </w:rPr>
              <w:t>$'000</w:t>
            </w:r>
          </w:p>
        </w:tc>
        <w:tc>
          <w:tcPr>
            <w:tcW w:w="1652" w:type="dxa"/>
            <w:gridSpan w:val="2"/>
            <w:tcBorders>
              <w:bottom w:val="single" w:sz="6" w:space="0" w:color="000000"/>
            </w:tcBorders>
          </w:tcPr>
          <w:p>
            <w:pPr>
              <w:pStyle w:val="TableParagraph"/>
              <w:tabs>
                <w:tab w:pos="971" w:val="left" w:leader="none"/>
              </w:tabs>
              <w:spacing w:line="143" w:lineRule="exact" w:before="6"/>
              <w:ind w:left="106"/>
              <w:rPr>
                <w:b/>
                <w:sz w:val="13"/>
              </w:rPr>
            </w:pPr>
            <w:r>
              <w:rPr>
                <w:b/>
                <w:spacing w:val="-2"/>
                <w:sz w:val="13"/>
              </w:rPr>
              <w:t>$'000</w:t>
            </w:r>
            <w:r>
              <w:rPr>
                <w:b/>
                <w:sz w:val="13"/>
              </w:rPr>
              <w:tab/>
            </w:r>
            <w:r>
              <w:rPr>
                <w:b/>
                <w:spacing w:val="-2"/>
                <w:sz w:val="13"/>
              </w:rPr>
              <w:t>$'000</w:t>
            </w:r>
          </w:p>
        </w:tc>
      </w:tr>
      <w:tr>
        <w:trPr>
          <w:trHeight w:val="148" w:hRule="atLeast"/>
        </w:trPr>
        <w:tc>
          <w:tcPr>
            <w:tcW w:w="5210" w:type="dxa"/>
          </w:tcPr>
          <w:p>
            <w:pPr>
              <w:pStyle w:val="TableParagraph"/>
              <w:spacing w:line="128" w:lineRule="exact"/>
              <w:ind w:left="617"/>
              <w:rPr>
                <w:sz w:val="13"/>
              </w:rPr>
            </w:pPr>
            <w:r>
              <w:rPr>
                <w:sz w:val="13"/>
              </w:rPr>
              <w:t>The following</w:t>
            </w:r>
            <w:r>
              <w:rPr>
                <w:spacing w:val="1"/>
                <w:sz w:val="13"/>
              </w:rPr>
              <w:t> </w:t>
            </w:r>
            <w:r>
              <w:rPr>
                <w:sz w:val="13"/>
              </w:rPr>
              <w:t>transactions</w:t>
            </w:r>
            <w:r>
              <w:rPr>
                <w:spacing w:val="2"/>
                <w:sz w:val="13"/>
              </w:rPr>
              <w:t> </w:t>
            </w:r>
            <w:r>
              <w:rPr>
                <w:sz w:val="13"/>
              </w:rPr>
              <w:t>occurred</w:t>
            </w:r>
            <w:r>
              <w:rPr>
                <w:spacing w:val="1"/>
                <w:sz w:val="13"/>
              </w:rPr>
              <w:t> </w:t>
            </w:r>
            <w:r>
              <w:rPr>
                <w:sz w:val="13"/>
              </w:rPr>
              <w:t>with related</w:t>
            </w:r>
            <w:r>
              <w:rPr>
                <w:spacing w:val="1"/>
                <w:sz w:val="13"/>
              </w:rPr>
              <w:t> </w:t>
            </w:r>
            <w:r>
              <w:rPr>
                <w:spacing w:val="-2"/>
                <w:sz w:val="13"/>
              </w:rPr>
              <w:t>parties:</w:t>
            </w:r>
          </w:p>
        </w:tc>
        <w:tc>
          <w:tcPr>
            <w:tcW w:w="1916" w:type="dxa"/>
            <w:gridSpan w:val="2"/>
            <w:tcBorders>
              <w:top w:val="single" w:sz="6" w:space="0" w:color="000000"/>
            </w:tcBorders>
          </w:tcPr>
          <w:p>
            <w:pPr>
              <w:pStyle w:val="TableParagraph"/>
              <w:rPr>
                <w:rFonts w:ascii="Times New Roman"/>
                <w:sz w:val="8"/>
              </w:rPr>
            </w:pPr>
          </w:p>
        </w:tc>
        <w:tc>
          <w:tcPr>
            <w:tcW w:w="1652" w:type="dxa"/>
            <w:gridSpan w:val="2"/>
            <w:tcBorders>
              <w:top w:val="single" w:sz="6" w:space="0" w:color="000000"/>
            </w:tcBorders>
          </w:tcPr>
          <w:p>
            <w:pPr>
              <w:pStyle w:val="TableParagraph"/>
              <w:rPr>
                <w:rFonts w:ascii="Times New Roman"/>
                <w:sz w:val="8"/>
              </w:rPr>
            </w:pPr>
          </w:p>
        </w:tc>
      </w:tr>
      <w:tr>
        <w:trPr>
          <w:trHeight w:val="164" w:hRule="atLeast"/>
        </w:trPr>
        <w:tc>
          <w:tcPr>
            <w:tcW w:w="5210" w:type="dxa"/>
          </w:tcPr>
          <w:p>
            <w:pPr>
              <w:pStyle w:val="TableParagraph"/>
              <w:spacing w:line="139" w:lineRule="exact" w:before="6"/>
              <w:ind w:left="617"/>
              <w:rPr>
                <w:sz w:val="13"/>
              </w:rPr>
            </w:pPr>
            <w:r>
              <w:rPr>
                <w:sz w:val="13"/>
              </w:rPr>
              <w:t>Sales of</w:t>
            </w:r>
            <w:r>
              <w:rPr>
                <w:spacing w:val="1"/>
                <w:sz w:val="13"/>
              </w:rPr>
              <w:t> </w:t>
            </w:r>
            <w:r>
              <w:rPr>
                <w:sz w:val="13"/>
              </w:rPr>
              <w:t>goods</w:t>
            </w:r>
            <w:r>
              <w:rPr>
                <w:spacing w:val="1"/>
                <w:sz w:val="13"/>
              </w:rPr>
              <w:t> </w:t>
            </w:r>
            <w:r>
              <w:rPr>
                <w:sz w:val="13"/>
              </w:rPr>
              <w:t>and </w:t>
            </w:r>
            <w:r>
              <w:rPr>
                <w:spacing w:val="-2"/>
                <w:sz w:val="13"/>
              </w:rPr>
              <w:t>services</w:t>
            </w:r>
          </w:p>
        </w:tc>
        <w:tc>
          <w:tcPr>
            <w:tcW w:w="1916" w:type="dxa"/>
            <w:gridSpan w:val="2"/>
          </w:tcPr>
          <w:p>
            <w:pPr>
              <w:pStyle w:val="TableParagraph"/>
              <w:rPr>
                <w:rFonts w:ascii="Times New Roman"/>
                <w:sz w:val="10"/>
              </w:rPr>
            </w:pPr>
          </w:p>
        </w:tc>
        <w:tc>
          <w:tcPr>
            <w:tcW w:w="1652" w:type="dxa"/>
            <w:gridSpan w:val="2"/>
          </w:tcPr>
          <w:p>
            <w:pPr>
              <w:pStyle w:val="TableParagraph"/>
              <w:rPr>
                <w:rFonts w:ascii="Times New Roman"/>
                <w:sz w:val="10"/>
              </w:rPr>
            </w:pPr>
          </w:p>
        </w:tc>
      </w:tr>
      <w:tr>
        <w:trPr>
          <w:trHeight w:val="253" w:hRule="atLeast"/>
        </w:trPr>
        <w:tc>
          <w:tcPr>
            <w:tcW w:w="5210" w:type="dxa"/>
          </w:tcPr>
          <w:p>
            <w:pPr>
              <w:pStyle w:val="TableParagraph"/>
              <w:spacing w:before="6"/>
              <w:ind w:left="729"/>
              <w:rPr>
                <w:sz w:val="13"/>
              </w:rPr>
            </w:pPr>
            <w:r>
              <w:rPr>
                <w:spacing w:val="-2"/>
                <w:sz w:val="13"/>
              </w:rPr>
              <w:t>Subsidiaries</w:t>
            </w:r>
          </w:p>
        </w:tc>
        <w:tc>
          <w:tcPr>
            <w:tcW w:w="1916" w:type="dxa"/>
            <w:gridSpan w:val="2"/>
          </w:tcPr>
          <w:p>
            <w:pPr>
              <w:pStyle w:val="TableParagraph"/>
              <w:tabs>
                <w:tab w:pos="1732" w:val="left" w:leader="none"/>
              </w:tabs>
              <w:spacing w:before="19"/>
              <w:ind w:left="850"/>
              <w:rPr>
                <w:sz w:val="13"/>
              </w:rPr>
            </w:pPr>
            <w:r>
              <w:rPr>
                <w:spacing w:val="-10"/>
                <w:sz w:val="13"/>
              </w:rPr>
              <w:t>-</w:t>
            </w:r>
            <w:r>
              <w:rPr>
                <w:sz w:val="13"/>
              </w:rPr>
              <w:tab/>
            </w:r>
            <w:r>
              <w:rPr>
                <w:spacing w:val="-10"/>
                <w:sz w:val="13"/>
              </w:rPr>
              <w:t>-</w:t>
            </w:r>
          </w:p>
        </w:tc>
        <w:tc>
          <w:tcPr>
            <w:tcW w:w="1652" w:type="dxa"/>
            <w:gridSpan w:val="2"/>
          </w:tcPr>
          <w:p>
            <w:pPr>
              <w:pStyle w:val="TableParagraph"/>
              <w:tabs>
                <w:tab w:pos="1256" w:val="left" w:leader="none"/>
              </w:tabs>
              <w:spacing w:before="6"/>
              <w:ind w:left="198"/>
              <w:rPr>
                <w:sz w:val="13"/>
              </w:rPr>
            </w:pPr>
            <w:r>
              <w:rPr>
                <w:spacing w:val="-2"/>
                <w:sz w:val="13"/>
              </w:rPr>
              <w:t>8,490</w:t>
            </w:r>
            <w:r>
              <w:rPr>
                <w:sz w:val="13"/>
              </w:rPr>
              <w:tab/>
            </w:r>
            <w:r>
              <w:rPr>
                <w:spacing w:val="-2"/>
                <w:sz w:val="13"/>
              </w:rPr>
              <w:t>8,339</w:t>
            </w:r>
          </w:p>
        </w:tc>
      </w:tr>
      <w:tr>
        <w:trPr>
          <w:trHeight w:val="405" w:hRule="atLeast"/>
        </w:trPr>
        <w:tc>
          <w:tcPr>
            <w:tcW w:w="5210" w:type="dxa"/>
          </w:tcPr>
          <w:p>
            <w:pPr>
              <w:pStyle w:val="TableParagraph"/>
              <w:spacing w:line="67" w:lineRule="exact"/>
              <w:ind w:left="617"/>
              <w:rPr>
                <w:sz w:val="13"/>
              </w:rPr>
            </w:pPr>
            <w:r>
              <w:rPr>
                <w:sz w:val="13"/>
              </w:rPr>
              <w:t>Purchase of</w:t>
            </w:r>
            <w:r>
              <w:rPr>
                <w:spacing w:val="1"/>
                <w:sz w:val="13"/>
              </w:rPr>
              <w:t> </w:t>
            </w:r>
            <w:r>
              <w:rPr>
                <w:sz w:val="13"/>
              </w:rPr>
              <w:t>goods</w:t>
            </w:r>
            <w:r>
              <w:rPr>
                <w:spacing w:val="1"/>
                <w:sz w:val="13"/>
              </w:rPr>
              <w:t> </w:t>
            </w:r>
            <w:r>
              <w:rPr>
                <w:sz w:val="13"/>
              </w:rPr>
              <w:t>and</w:t>
            </w:r>
            <w:r>
              <w:rPr>
                <w:spacing w:val="1"/>
                <w:sz w:val="13"/>
              </w:rPr>
              <w:t> </w:t>
            </w:r>
            <w:r>
              <w:rPr>
                <w:spacing w:val="-2"/>
                <w:sz w:val="13"/>
              </w:rPr>
              <w:t>services</w:t>
            </w:r>
          </w:p>
          <w:p>
            <w:pPr>
              <w:pStyle w:val="TableParagraph"/>
              <w:spacing w:line="160" w:lineRule="atLeast"/>
              <w:ind w:left="617" w:right="3492" w:firstLine="111"/>
              <w:rPr>
                <w:sz w:val="13"/>
              </w:rPr>
            </w:pPr>
            <w:r>
              <w:rPr>
                <w:spacing w:val="-2"/>
                <w:sz w:val="13"/>
              </w:rPr>
              <w:t>Subsidiaries</w:t>
            </w:r>
            <w:r>
              <w:rPr>
                <w:spacing w:val="40"/>
                <w:sz w:val="13"/>
              </w:rPr>
              <w:t> </w:t>
            </w:r>
            <w:r>
              <w:rPr>
                <w:sz w:val="13"/>
              </w:rPr>
              <w:t>Grant</w:t>
            </w:r>
            <w:r>
              <w:rPr>
                <w:spacing w:val="2"/>
                <w:sz w:val="13"/>
              </w:rPr>
              <w:t> </w:t>
            </w:r>
            <w:r>
              <w:rPr>
                <w:spacing w:val="-2"/>
                <w:sz w:val="13"/>
              </w:rPr>
              <w:t>expense</w:t>
            </w:r>
          </w:p>
        </w:tc>
        <w:tc>
          <w:tcPr>
            <w:tcW w:w="1222" w:type="dxa"/>
          </w:tcPr>
          <w:p>
            <w:pPr>
              <w:pStyle w:val="TableParagraph"/>
              <w:spacing w:before="95"/>
              <w:ind w:right="326"/>
              <w:jc w:val="right"/>
              <w:rPr>
                <w:sz w:val="13"/>
              </w:rPr>
            </w:pPr>
            <w:r>
              <w:rPr>
                <w:spacing w:val="-10"/>
                <w:sz w:val="13"/>
              </w:rPr>
              <w:t>-</w:t>
            </w:r>
          </w:p>
        </w:tc>
        <w:tc>
          <w:tcPr>
            <w:tcW w:w="694" w:type="dxa"/>
          </w:tcPr>
          <w:p>
            <w:pPr>
              <w:pStyle w:val="TableParagraph"/>
              <w:spacing w:before="95"/>
              <w:ind w:right="137"/>
              <w:jc w:val="right"/>
              <w:rPr>
                <w:sz w:val="13"/>
              </w:rPr>
            </w:pPr>
            <w:r>
              <w:rPr>
                <w:spacing w:val="-10"/>
                <w:sz w:val="13"/>
              </w:rPr>
              <w:t>-</w:t>
            </w:r>
          </w:p>
        </w:tc>
        <w:tc>
          <w:tcPr>
            <w:tcW w:w="888" w:type="dxa"/>
          </w:tcPr>
          <w:p>
            <w:pPr>
              <w:pStyle w:val="TableParagraph"/>
              <w:spacing w:before="81"/>
              <w:ind w:right="161"/>
              <w:jc w:val="center"/>
              <w:rPr>
                <w:sz w:val="13"/>
              </w:rPr>
            </w:pPr>
            <w:r>
              <w:rPr>
                <w:spacing w:val="-2"/>
                <w:sz w:val="13"/>
              </w:rPr>
              <w:t>3,999</w:t>
            </w:r>
          </w:p>
        </w:tc>
        <w:tc>
          <w:tcPr>
            <w:tcW w:w="764" w:type="dxa"/>
          </w:tcPr>
          <w:p>
            <w:pPr>
              <w:pStyle w:val="TableParagraph"/>
              <w:spacing w:before="81"/>
              <w:ind w:right="66"/>
              <w:jc w:val="right"/>
              <w:rPr>
                <w:sz w:val="13"/>
              </w:rPr>
            </w:pPr>
            <w:r>
              <w:rPr>
                <w:spacing w:val="-2"/>
                <w:sz w:val="13"/>
              </w:rPr>
              <w:t>7,238</w:t>
            </w:r>
          </w:p>
        </w:tc>
      </w:tr>
      <w:tr>
        <w:trPr>
          <w:trHeight w:val="164" w:hRule="atLeast"/>
        </w:trPr>
        <w:tc>
          <w:tcPr>
            <w:tcW w:w="5210" w:type="dxa"/>
          </w:tcPr>
          <w:p>
            <w:pPr>
              <w:pStyle w:val="TableParagraph"/>
              <w:spacing w:line="139" w:lineRule="exact" w:before="6"/>
              <w:ind w:left="729"/>
              <w:rPr>
                <w:sz w:val="13"/>
              </w:rPr>
            </w:pPr>
            <w:r>
              <w:rPr>
                <w:spacing w:val="-2"/>
                <w:sz w:val="13"/>
              </w:rPr>
              <w:t>Subsidiaries</w:t>
            </w:r>
          </w:p>
        </w:tc>
        <w:tc>
          <w:tcPr>
            <w:tcW w:w="1222" w:type="dxa"/>
          </w:tcPr>
          <w:p>
            <w:pPr>
              <w:pStyle w:val="TableParagraph"/>
              <w:spacing w:line="139" w:lineRule="exact" w:before="6"/>
              <w:ind w:right="326"/>
              <w:jc w:val="right"/>
              <w:rPr>
                <w:sz w:val="13"/>
              </w:rPr>
            </w:pPr>
            <w:r>
              <w:rPr>
                <w:spacing w:val="-10"/>
                <w:sz w:val="13"/>
              </w:rPr>
              <w:t>-</w:t>
            </w:r>
          </w:p>
        </w:tc>
        <w:tc>
          <w:tcPr>
            <w:tcW w:w="694" w:type="dxa"/>
          </w:tcPr>
          <w:p>
            <w:pPr>
              <w:pStyle w:val="TableParagraph"/>
              <w:spacing w:line="139" w:lineRule="exact" w:before="6"/>
              <w:ind w:right="100"/>
              <w:jc w:val="right"/>
              <w:rPr>
                <w:sz w:val="13"/>
              </w:rPr>
            </w:pPr>
            <w:r>
              <w:rPr>
                <w:spacing w:val="-10"/>
                <w:sz w:val="13"/>
              </w:rPr>
              <w:t>-</w:t>
            </w:r>
          </w:p>
        </w:tc>
        <w:tc>
          <w:tcPr>
            <w:tcW w:w="888" w:type="dxa"/>
          </w:tcPr>
          <w:p>
            <w:pPr>
              <w:pStyle w:val="TableParagraph"/>
              <w:spacing w:line="139" w:lineRule="exact" w:before="6"/>
              <w:ind w:right="51"/>
              <w:jc w:val="center"/>
              <w:rPr>
                <w:sz w:val="13"/>
              </w:rPr>
            </w:pPr>
            <w:r>
              <w:rPr>
                <w:spacing w:val="-5"/>
                <w:sz w:val="13"/>
              </w:rPr>
              <w:t>610</w:t>
            </w:r>
          </w:p>
        </w:tc>
        <w:tc>
          <w:tcPr>
            <w:tcW w:w="764" w:type="dxa"/>
          </w:tcPr>
          <w:p>
            <w:pPr>
              <w:pStyle w:val="TableParagraph"/>
              <w:spacing w:line="139" w:lineRule="exact" w:before="6"/>
              <w:ind w:right="22"/>
              <w:jc w:val="right"/>
              <w:rPr>
                <w:sz w:val="13"/>
              </w:rPr>
            </w:pPr>
            <w:r>
              <w:rPr>
                <w:spacing w:val="-10"/>
                <w:sz w:val="13"/>
              </w:rPr>
              <w:t>-</w:t>
            </w:r>
          </w:p>
        </w:tc>
      </w:tr>
      <w:tr>
        <w:trPr>
          <w:trHeight w:val="189" w:hRule="atLeast"/>
        </w:trPr>
        <w:tc>
          <w:tcPr>
            <w:tcW w:w="5210" w:type="dxa"/>
          </w:tcPr>
          <w:p>
            <w:pPr>
              <w:pStyle w:val="TableParagraph"/>
              <w:spacing w:before="6"/>
              <w:ind w:left="729"/>
              <w:rPr>
                <w:sz w:val="13"/>
              </w:rPr>
            </w:pPr>
            <w:r>
              <w:rPr>
                <w:spacing w:val="-2"/>
                <w:sz w:val="13"/>
              </w:rPr>
              <w:t>Associates</w:t>
            </w:r>
          </w:p>
        </w:tc>
        <w:tc>
          <w:tcPr>
            <w:tcW w:w="1222" w:type="dxa"/>
          </w:tcPr>
          <w:p>
            <w:pPr>
              <w:pStyle w:val="TableParagraph"/>
              <w:spacing w:before="6"/>
              <w:ind w:right="369"/>
              <w:jc w:val="right"/>
              <w:rPr>
                <w:sz w:val="13"/>
              </w:rPr>
            </w:pPr>
            <w:r>
              <w:rPr>
                <w:spacing w:val="-5"/>
                <w:sz w:val="13"/>
              </w:rPr>
              <w:t>400</w:t>
            </w:r>
          </w:p>
        </w:tc>
        <w:tc>
          <w:tcPr>
            <w:tcW w:w="694" w:type="dxa"/>
          </w:tcPr>
          <w:p>
            <w:pPr>
              <w:pStyle w:val="TableParagraph"/>
              <w:spacing w:before="6"/>
              <w:ind w:right="144"/>
              <w:jc w:val="right"/>
              <w:rPr>
                <w:sz w:val="13"/>
              </w:rPr>
            </w:pPr>
            <w:r>
              <w:rPr>
                <w:spacing w:val="-5"/>
                <w:sz w:val="13"/>
              </w:rPr>
              <w:t>501</w:t>
            </w:r>
          </w:p>
        </w:tc>
        <w:tc>
          <w:tcPr>
            <w:tcW w:w="888" w:type="dxa"/>
          </w:tcPr>
          <w:p>
            <w:pPr>
              <w:pStyle w:val="TableParagraph"/>
              <w:spacing w:before="6"/>
              <w:ind w:right="51"/>
              <w:jc w:val="center"/>
              <w:rPr>
                <w:sz w:val="13"/>
              </w:rPr>
            </w:pPr>
            <w:r>
              <w:rPr>
                <w:spacing w:val="-5"/>
                <w:sz w:val="13"/>
              </w:rPr>
              <w:t>400</w:t>
            </w:r>
          </w:p>
        </w:tc>
        <w:tc>
          <w:tcPr>
            <w:tcW w:w="764" w:type="dxa"/>
          </w:tcPr>
          <w:p>
            <w:pPr>
              <w:pStyle w:val="TableParagraph"/>
              <w:spacing w:before="6"/>
              <w:ind w:right="66"/>
              <w:jc w:val="right"/>
              <w:rPr>
                <w:sz w:val="13"/>
              </w:rPr>
            </w:pPr>
            <w:r>
              <w:rPr>
                <w:spacing w:val="-5"/>
                <w:sz w:val="13"/>
              </w:rPr>
              <w:t>501</w:t>
            </w:r>
          </w:p>
        </w:tc>
      </w:tr>
    </w:tbl>
    <w:p>
      <w:pPr>
        <w:spacing w:line="240" w:lineRule="auto" w:before="21"/>
        <w:rPr>
          <w:sz w:val="12"/>
        </w:rPr>
      </w:pPr>
    </w:p>
    <w:p>
      <w:pPr>
        <w:pStyle w:val="ListParagraph"/>
        <w:numPr>
          <w:ilvl w:val="0"/>
          <w:numId w:val="45"/>
        </w:numPr>
        <w:tabs>
          <w:tab w:pos="724" w:val="left" w:leader="none"/>
        </w:tabs>
        <w:spacing w:line="158" w:lineRule="exact" w:before="0" w:after="0"/>
        <w:ind w:left="724" w:right="0" w:hanging="584"/>
        <w:jc w:val="left"/>
        <w:rPr>
          <w:b/>
          <w:sz w:val="13"/>
        </w:rPr>
      </w:pPr>
      <w:r>
        <w:rPr>
          <w:b/>
          <w:position w:val="1"/>
          <w:sz w:val="13"/>
        </w:rPr>
        <w:t>Outstanding</w:t>
      </w:r>
      <w:r>
        <w:rPr>
          <w:b/>
          <w:spacing w:val="7"/>
          <w:position w:val="1"/>
          <w:sz w:val="13"/>
        </w:rPr>
        <w:t> </w:t>
      </w:r>
      <w:r>
        <w:rPr>
          <w:b/>
          <w:spacing w:val="-2"/>
          <w:position w:val="1"/>
          <w:sz w:val="13"/>
        </w:rPr>
        <w:t>balances</w:t>
      </w:r>
    </w:p>
    <w:p>
      <w:pPr>
        <w:spacing w:line="264" w:lineRule="auto" w:before="0"/>
        <w:ind w:left="724" w:right="2113" w:firstLine="0"/>
        <w:jc w:val="left"/>
        <w:rPr>
          <w:sz w:val="13"/>
        </w:rPr>
      </w:pPr>
      <w:r>
        <w:rPr>
          <w:sz w:val="13"/>
        </w:rPr>
        <w:t>The following balances are outstanding at the reporting date in relation to transactions with related parties:</w:t>
      </w:r>
      <w:r>
        <w:rPr>
          <w:spacing w:val="40"/>
          <w:sz w:val="13"/>
        </w:rPr>
        <w:t> </w:t>
      </w:r>
      <w:r>
        <w:rPr>
          <w:sz w:val="13"/>
        </w:rPr>
        <w:t>Current receivables (sales of goods and services)</w:t>
      </w:r>
    </w:p>
    <w:p>
      <w:pPr>
        <w:tabs>
          <w:tab w:pos="6166" w:val="left" w:leader="none"/>
          <w:tab w:pos="7049" w:val="left" w:leader="none"/>
          <w:tab w:pos="7540" w:val="left" w:leader="none"/>
          <w:tab w:pos="8816" w:val="right" w:leader="none"/>
        </w:tabs>
        <w:spacing w:before="2"/>
        <w:ind w:left="836" w:right="0" w:firstLine="0"/>
        <w:jc w:val="left"/>
        <w:rPr>
          <w:sz w:val="13"/>
        </w:rPr>
      </w:pPr>
      <w:r>
        <w:rPr>
          <w:spacing w:val="-2"/>
          <w:position w:val="1"/>
          <w:sz w:val="13"/>
        </w:rPr>
        <w:t>Subsidiaries</w:t>
      </w:r>
      <w:r>
        <w:rPr>
          <w:position w:val="1"/>
          <w:sz w:val="13"/>
        </w:rPr>
        <w:tab/>
      </w:r>
      <w:r>
        <w:rPr>
          <w:spacing w:val="-10"/>
          <w:sz w:val="13"/>
        </w:rPr>
        <w:t>-</w:t>
      </w:r>
      <w:r>
        <w:rPr>
          <w:sz w:val="13"/>
        </w:rPr>
        <w:tab/>
      </w:r>
      <w:r>
        <w:rPr>
          <w:spacing w:val="-10"/>
          <w:sz w:val="13"/>
        </w:rPr>
        <w:t>-</w:t>
      </w:r>
      <w:r>
        <w:rPr>
          <w:sz w:val="13"/>
        </w:rPr>
        <w:tab/>
      </w:r>
      <w:r>
        <w:rPr>
          <w:spacing w:val="-5"/>
          <w:position w:val="1"/>
          <w:sz w:val="13"/>
        </w:rPr>
        <w:t>518</w:t>
      </w:r>
      <w:r>
        <w:rPr>
          <w:position w:val="1"/>
          <w:sz w:val="13"/>
        </w:rPr>
        <w:tab/>
      </w:r>
      <w:r>
        <w:rPr>
          <w:spacing w:val="-5"/>
          <w:position w:val="1"/>
          <w:sz w:val="13"/>
        </w:rPr>
        <w:t>202</w:t>
      </w:r>
    </w:p>
    <w:p>
      <w:pPr>
        <w:spacing w:before="2"/>
        <w:ind w:left="724" w:right="0" w:firstLine="0"/>
        <w:jc w:val="left"/>
        <w:rPr>
          <w:sz w:val="13"/>
        </w:rPr>
      </w:pPr>
      <w:r>
        <w:rPr>
          <w:sz w:val="13"/>
        </w:rPr>
        <w:t>Current payables</w:t>
      </w:r>
      <w:r>
        <w:rPr>
          <w:spacing w:val="1"/>
          <w:sz w:val="13"/>
        </w:rPr>
        <w:t> </w:t>
      </w:r>
      <w:r>
        <w:rPr>
          <w:sz w:val="13"/>
        </w:rPr>
        <w:t>(purchases of</w:t>
      </w:r>
      <w:r>
        <w:rPr>
          <w:spacing w:val="1"/>
          <w:sz w:val="13"/>
        </w:rPr>
        <w:t> </w:t>
      </w:r>
      <w:r>
        <w:rPr>
          <w:sz w:val="13"/>
        </w:rPr>
        <w:t>goods</w:t>
      </w:r>
      <w:r>
        <w:rPr>
          <w:spacing w:val="1"/>
          <w:sz w:val="13"/>
        </w:rPr>
        <w:t> </w:t>
      </w:r>
      <w:r>
        <w:rPr>
          <w:sz w:val="13"/>
        </w:rPr>
        <w:t>and</w:t>
      </w:r>
      <w:r>
        <w:rPr>
          <w:spacing w:val="-1"/>
          <w:sz w:val="13"/>
        </w:rPr>
        <w:t> </w:t>
      </w:r>
      <w:r>
        <w:rPr>
          <w:spacing w:val="-2"/>
          <w:sz w:val="13"/>
        </w:rPr>
        <w:t>services)</w:t>
      </w:r>
    </w:p>
    <w:p>
      <w:pPr>
        <w:tabs>
          <w:tab w:pos="6166" w:val="left" w:leader="none"/>
          <w:tab w:pos="7049" w:val="left" w:leader="none"/>
          <w:tab w:pos="7540" w:val="left" w:leader="none"/>
          <w:tab w:pos="8816" w:val="right" w:leader="none"/>
        </w:tabs>
        <w:spacing w:before="19"/>
        <w:ind w:left="836" w:right="0" w:firstLine="0"/>
        <w:jc w:val="left"/>
        <w:rPr>
          <w:sz w:val="13"/>
        </w:rPr>
      </w:pPr>
      <w:r>
        <w:rPr>
          <w:spacing w:val="-2"/>
          <w:position w:val="1"/>
          <w:sz w:val="13"/>
        </w:rPr>
        <w:t>Subsidiaries</w:t>
      </w:r>
      <w:r>
        <w:rPr>
          <w:position w:val="1"/>
          <w:sz w:val="13"/>
        </w:rPr>
        <w:tab/>
      </w:r>
      <w:r>
        <w:rPr>
          <w:spacing w:val="-10"/>
          <w:sz w:val="13"/>
        </w:rPr>
        <w:t>-</w:t>
      </w:r>
      <w:r>
        <w:rPr>
          <w:sz w:val="13"/>
        </w:rPr>
        <w:tab/>
      </w:r>
      <w:r>
        <w:rPr>
          <w:spacing w:val="-10"/>
          <w:sz w:val="13"/>
        </w:rPr>
        <w:t>-</w:t>
      </w:r>
      <w:r>
        <w:rPr>
          <w:sz w:val="13"/>
        </w:rPr>
        <w:tab/>
      </w:r>
      <w:r>
        <w:rPr>
          <w:spacing w:val="-5"/>
          <w:position w:val="1"/>
          <w:sz w:val="13"/>
        </w:rPr>
        <w:t>182</w:t>
      </w:r>
      <w:r>
        <w:rPr>
          <w:position w:val="1"/>
          <w:sz w:val="13"/>
        </w:rPr>
        <w:tab/>
      </w:r>
      <w:r>
        <w:rPr>
          <w:spacing w:val="-5"/>
          <w:position w:val="1"/>
          <w:sz w:val="13"/>
        </w:rPr>
        <w:t>685</w:t>
      </w:r>
    </w:p>
    <w:p>
      <w:pPr>
        <w:spacing w:line="264" w:lineRule="auto" w:before="179"/>
        <w:ind w:left="724" w:right="268" w:firstLine="0"/>
        <w:jc w:val="left"/>
        <w:rPr>
          <w:sz w:val="13"/>
        </w:rPr>
      </w:pPr>
      <w:r>
        <w:rPr>
          <w:sz w:val="13"/>
        </w:rPr>
        <w:t>In</w:t>
      </w:r>
      <w:r>
        <w:rPr>
          <w:spacing w:val="10"/>
          <w:sz w:val="13"/>
        </w:rPr>
        <w:t> </w:t>
      </w:r>
      <w:r>
        <w:rPr>
          <w:sz w:val="13"/>
        </w:rPr>
        <w:t>the</w:t>
      </w:r>
      <w:r>
        <w:rPr>
          <w:spacing w:val="10"/>
          <w:sz w:val="13"/>
        </w:rPr>
        <w:t> </w:t>
      </w:r>
      <w:r>
        <w:rPr>
          <w:sz w:val="13"/>
        </w:rPr>
        <w:t>current</w:t>
      </w:r>
      <w:r>
        <w:rPr>
          <w:spacing w:val="11"/>
          <w:sz w:val="13"/>
        </w:rPr>
        <w:t> </w:t>
      </w:r>
      <w:r>
        <w:rPr>
          <w:sz w:val="13"/>
        </w:rPr>
        <w:t>and</w:t>
      </w:r>
      <w:r>
        <w:rPr>
          <w:spacing w:val="10"/>
          <w:sz w:val="13"/>
        </w:rPr>
        <w:t> </w:t>
      </w:r>
      <w:r>
        <w:rPr>
          <w:sz w:val="13"/>
        </w:rPr>
        <w:t>previous</w:t>
      </w:r>
      <w:r>
        <w:rPr>
          <w:spacing w:val="11"/>
          <w:sz w:val="13"/>
        </w:rPr>
        <w:t> </w:t>
      </w:r>
      <w:r>
        <w:rPr>
          <w:sz w:val="13"/>
        </w:rPr>
        <w:t>financial</w:t>
      </w:r>
      <w:r>
        <w:rPr>
          <w:spacing w:val="10"/>
          <w:sz w:val="13"/>
        </w:rPr>
        <w:t> </w:t>
      </w:r>
      <w:r>
        <w:rPr>
          <w:sz w:val="13"/>
        </w:rPr>
        <w:t>year,</w:t>
      </w:r>
      <w:r>
        <w:rPr>
          <w:spacing w:val="11"/>
          <w:sz w:val="13"/>
        </w:rPr>
        <w:t> </w:t>
      </w:r>
      <w:r>
        <w:rPr>
          <w:sz w:val="13"/>
        </w:rPr>
        <w:t>no</w:t>
      </w:r>
      <w:r>
        <w:rPr>
          <w:spacing w:val="10"/>
          <w:sz w:val="13"/>
        </w:rPr>
        <w:t> </w:t>
      </w:r>
      <w:r>
        <w:rPr>
          <w:sz w:val="13"/>
        </w:rPr>
        <w:t>allowance</w:t>
      </w:r>
      <w:r>
        <w:rPr>
          <w:spacing w:val="10"/>
          <w:sz w:val="13"/>
        </w:rPr>
        <w:t> </w:t>
      </w:r>
      <w:r>
        <w:rPr>
          <w:sz w:val="13"/>
        </w:rPr>
        <w:t>for</w:t>
      </w:r>
      <w:r>
        <w:rPr>
          <w:spacing w:val="11"/>
          <w:sz w:val="13"/>
        </w:rPr>
        <w:t> </w:t>
      </w:r>
      <w:r>
        <w:rPr>
          <w:sz w:val="13"/>
        </w:rPr>
        <w:t>credit</w:t>
      </w:r>
      <w:r>
        <w:rPr>
          <w:spacing w:val="11"/>
          <w:sz w:val="13"/>
        </w:rPr>
        <w:t> </w:t>
      </w:r>
      <w:r>
        <w:rPr>
          <w:sz w:val="13"/>
        </w:rPr>
        <w:t>losses</w:t>
      </w:r>
      <w:r>
        <w:rPr>
          <w:spacing w:val="11"/>
          <w:sz w:val="13"/>
        </w:rPr>
        <w:t> </w:t>
      </w:r>
      <w:r>
        <w:rPr>
          <w:sz w:val="13"/>
        </w:rPr>
        <w:t>have</w:t>
      </w:r>
      <w:r>
        <w:rPr>
          <w:spacing w:val="10"/>
          <w:sz w:val="13"/>
        </w:rPr>
        <w:t> </w:t>
      </w:r>
      <w:r>
        <w:rPr>
          <w:sz w:val="13"/>
        </w:rPr>
        <w:t>been</w:t>
      </w:r>
      <w:r>
        <w:rPr>
          <w:spacing w:val="10"/>
          <w:sz w:val="13"/>
        </w:rPr>
        <w:t> </w:t>
      </w:r>
      <w:r>
        <w:rPr>
          <w:sz w:val="13"/>
        </w:rPr>
        <w:t>raised in</w:t>
      </w:r>
      <w:r>
        <w:rPr>
          <w:spacing w:val="10"/>
          <w:sz w:val="13"/>
        </w:rPr>
        <w:t> </w:t>
      </w:r>
      <w:r>
        <w:rPr>
          <w:sz w:val="13"/>
        </w:rPr>
        <w:t>relation</w:t>
      </w:r>
      <w:r>
        <w:rPr>
          <w:spacing w:val="10"/>
          <w:sz w:val="13"/>
        </w:rPr>
        <w:t> </w:t>
      </w:r>
      <w:r>
        <w:rPr>
          <w:sz w:val="13"/>
        </w:rPr>
        <w:t>to</w:t>
      </w:r>
      <w:r>
        <w:rPr>
          <w:spacing w:val="10"/>
          <w:sz w:val="13"/>
        </w:rPr>
        <w:t> </w:t>
      </w:r>
      <w:r>
        <w:rPr>
          <w:sz w:val="13"/>
        </w:rPr>
        <w:t>any outstanding</w:t>
      </w:r>
      <w:r>
        <w:rPr>
          <w:spacing w:val="10"/>
          <w:sz w:val="13"/>
        </w:rPr>
        <w:t> </w:t>
      </w:r>
      <w:r>
        <w:rPr>
          <w:sz w:val="13"/>
        </w:rPr>
        <w:t>balances,</w:t>
      </w:r>
      <w:r>
        <w:rPr>
          <w:spacing w:val="11"/>
          <w:sz w:val="13"/>
        </w:rPr>
        <w:t> </w:t>
      </w:r>
      <w:r>
        <w:rPr>
          <w:sz w:val="13"/>
        </w:rPr>
        <w:t>and no</w:t>
      </w:r>
      <w:r>
        <w:rPr>
          <w:spacing w:val="40"/>
          <w:sz w:val="13"/>
        </w:rPr>
        <w:t> </w:t>
      </w:r>
      <w:r>
        <w:rPr>
          <w:sz w:val="13"/>
        </w:rPr>
        <w:t>expense has been recognised in respect of credit losses from related parties.</w:t>
      </w:r>
    </w:p>
    <w:p>
      <w:pPr>
        <w:pStyle w:val="ListParagraph"/>
        <w:numPr>
          <w:ilvl w:val="0"/>
          <w:numId w:val="45"/>
        </w:numPr>
        <w:tabs>
          <w:tab w:pos="724" w:val="left" w:leader="none"/>
        </w:tabs>
        <w:spacing w:line="158" w:lineRule="exact" w:before="184" w:after="0"/>
        <w:ind w:left="724" w:right="0" w:hanging="584"/>
        <w:jc w:val="left"/>
        <w:rPr>
          <w:b/>
          <w:sz w:val="13"/>
        </w:rPr>
      </w:pPr>
      <w:r>
        <w:rPr>
          <w:b/>
          <w:position w:val="1"/>
          <w:sz w:val="13"/>
        </w:rPr>
        <w:t>Terms</w:t>
      </w:r>
      <w:r>
        <w:rPr>
          <w:b/>
          <w:spacing w:val="1"/>
          <w:position w:val="1"/>
          <w:sz w:val="13"/>
        </w:rPr>
        <w:t> </w:t>
      </w:r>
      <w:r>
        <w:rPr>
          <w:b/>
          <w:position w:val="1"/>
          <w:sz w:val="13"/>
        </w:rPr>
        <w:t>and</w:t>
      </w:r>
      <w:r>
        <w:rPr>
          <w:b/>
          <w:spacing w:val="3"/>
          <w:position w:val="1"/>
          <w:sz w:val="13"/>
        </w:rPr>
        <w:t> </w:t>
      </w:r>
      <w:r>
        <w:rPr>
          <w:b/>
          <w:spacing w:val="-2"/>
          <w:position w:val="1"/>
          <w:sz w:val="13"/>
        </w:rPr>
        <w:t>conditions</w:t>
      </w:r>
    </w:p>
    <w:p>
      <w:pPr>
        <w:spacing w:line="148" w:lineRule="exact" w:before="0"/>
        <w:ind w:left="724" w:right="0" w:firstLine="0"/>
        <w:jc w:val="left"/>
        <w:rPr>
          <w:sz w:val="13"/>
        </w:rPr>
      </w:pPr>
      <w:r>
        <w:rPr/>
        <mc:AlternateContent>
          <mc:Choice Requires="wps">
            <w:drawing>
              <wp:anchor distT="0" distB="0" distL="0" distR="0" allowOverlap="1" layoutInCell="1" locked="0" behindDoc="0" simplePos="0" relativeHeight="15913984">
                <wp:simplePos x="0" y="0"/>
                <wp:positionH relativeFrom="page">
                  <wp:posOffset>720001</wp:posOffset>
                </wp:positionH>
                <wp:positionV relativeFrom="paragraph">
                  <wp:posOffset>203772</wp:posOffset>
                </wp:positionV>
                <wp:extent cx="5572760" cy="17145"/>
                <wp:effectExtent l="0" t="0" r="0" b="0"/>
                <wp:wrapNone/>
                <wp:docPr id="996" name="Graphic 996"/>
                <wp:cNvGraphicFramePr>
                  <a:graphicFrameLocks/>
                </wp:cNvGraphicFramePr>
                <a:graphic>
                  <a:graphicData uri="http://schemas.microsoft.com/office/word/2010/wordprocessingShape">
                    <wps:wsp>
                      <wps:cNvPr id="996" name="Graphic 996"/>
                      <wps:cNvSpPr/>
                      <wps:spPr>
                        <a:xfrm>
                          <a:off x="0" y="0"/>
                          <a:ext cx="5572760" cy="17145"/>
                        </a:xfrm>
                        <a:custGeom>
                          <a:avLst/>
                          <a:gdLst/>
                          <a:ahLst/>
                          <a:cxnLst/>
                          <a:rect l="l" t="t" r="r" b="b"/>
                          <a:pathLst>
                            <a:path w="5572760" h="17145">
                              <a:moveTo>
                                <a:pt x="5572163" y="0"/>
                              </a:moveTo>
                              <a:lnTo>
                                <a:pt x="0" y="0"/>
                              </a:lnTo>
                              <a:lnTo>
                                <a:pt x="0" y="16738"/>
                              </a:lnTo>
                              <a:lnTo>
                                <a:pt x="5572163" y="16738"/>
                              </a:lnTo>
                              <a:lnTo>
                                <a:pt x="5572163"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6.693001pt;margin-top:16.045103pt;width:438.753pt;height:1.318pt;mso-position-horizontal-relative:page;mso-position-vertical-relative:paragraph;z-index:15913984" id="docshape684" filled="true" fillcolor="#4f81bd" stroked="false">
                <v:fill type="solid"/>
                <w10:wrap type="none"/>
              </v:rect>
            </w:pict>
          </mc:Fallback>
        </mc:AlternateContent>
      </w:r>
      <w:r>
        <w:rPr>
          <w:sz w:val="13"/>
        </w:rPr>
        <w:t>Amounts were billed based</w:t>
      </w:r>
      <w:r>
        <w:rPr>
          <w:spacing w:val="-1"/>
          <w:sz w:val="13"/>
        </w:rPr>
        <w:t> </w:t>
      </w:r>
      <w:r>
        <w:rPr>
          <w:sz w:val="13"/>
        </w:rPr>
        <w:t>on market</w:t>
      </w:r>
      <w:r>
        <w:rPr>
          <w:spacing w:val="1"/>
          <w:sz w:val="13"/>
        </w:rPr>
        <w:t> </w:t>
      </w:r>
      <w:r>
        <w:rPr>
          <w:sz w:val="13"/>
        </w:rPr>
        <w:t>rates for</w:t>
      </w:r>
      <w:r>
        <w:rPr>
          <w:spacing w:val="1"/>
          <w:sz w:val="13"/>
        </w:rPr>
        <w:t> </w:t>
      </w:r>
      <w:r>
        <w:rPr>
          <w:sz w:val="13"/>
        </w:rPr>
        <w:t>such supplies/services and were due</w:t>
      </w:r>
      <w:r>
        <w:rPr>
          <w:spacing w:val="-1"/>
          <w:sz w:val="13"/>
        </w:rPr>
        <w:t> </w:t>
      </w:r>
      <w:r>
        <w:rPr>
          <w:sz w:val="13"/>
        </w:rPr>
        <w:t>and payable under normal payment</w:t>
      </w:r>
      <w:r>
        <w:rPr>
          <w:spacing w:val="1"/>
          <w:sz w:val="13"/>
        </w:rPr>
        <w:t> </w:t>
      </w:r>
      <w:r>
        <w:rPr>
          <w:spacing w:val="-2"/>
          <w:sz w:val="13"/>
        </w:rPr>
        <w:t>terms.</w:t>
      </w:r>
    </w:p>
    <w:p>
      <w:pPr>
        <w:pStyle w:val="ListParagraph"/>
        <w:numPr>
          <w:ilvl w:val="1"/>
          <w:numId w:val="46"/>
        </w:numPr>
        <w:tabs>
          <w:tab w:pos="726" w:val="left" w:leader="none"/>
          <w:tab w:pos="5637" w:val="left" w:leader="none"/>
          <w:tab w:pos="5824" w:val="left" w:leader="none"/>
          <w:tab w:pos="6557" w:val="left" w:leader="none"/>
          <w:tab w:pos="7354" w:val="left" w:leader="none"/>
          <w:tab w:pos="7712" w:val="left" w:leader="none"/>
          <w:tab w:pos="8219" w:val="left" w:leader="none"/>
        </w:tabs>
        <w:spacing w:line="259" w:lineRule="auto" w:before="382" w:after="0"/>
        <w:ind w:left="5637" w:right="834" w:hanging="5496"/>
        <w:jc w:val="left"/>
        <w:rPr>
          <w:b/>
          <w:color w:val="0070C0"/>
          <w:sz w:val="16"/>
        </w:rPr>
      </w:pPr>
      <w:r>
        <w:rPr>
          <w:b/>
          <w:color w:val="0070C0"/>
          <w:sz w:val="16"/>
        </w:rPr>
        <w:t>Supplementary financial information</w:t>
        <w:tab/>
        <w:tab/>
      </w:r>
      <w:r>
        <w:rPr>
          <w:b/>
          <w:spacing w:val="-2"/>
          <w:sz w:val="13"/>
        </w:rPr>
        <w:t>Consolidated</w:t>
      </w:r>
      <w:r>
        <w:rPr>
          <w:b/>
          <w:sz w:val="13"/>
        </w:rPr>
        <w:tab/>
        <w:tab/>
      </w:r>
      <w:r>
        <w:rPr>
          <w:b/>
          <w:spacing w:val="-2"/>
          <w:sz w:val="13"/>
        </w:rPr>
        <w:t>University</w:t>
      </w:r>
      <w:r>
        <w:rPr>
          <w:b/>
          <w:spacing w:val="40"/>
          <w:sz w:val="13"/>
        </w:rPr>
        <w:t> </w:t>
      </w:r>
      <w:r>
        <w:rPr>
          <w:b/>
          <w:spacing w:val="-4"/>
          <w:sz w:val="13"/>
        </w:rPr>
        <w:t>2020</w:t>
      </w:r>
      <w:r>
        <w:rPr>
          <w:b/>
          <w:sz w:val="13"/>
        </w:rPr>
        <w:tab/>
      </w:r>
      <w:r>
        <w:rPr>
          <w:b/>
          <w:spacing w:val="-4"/>
          <w:sz w:val="13"/>
        </w:rPr>
        <w:t>2019</w:t>
      </w:r>
      <w:r>
        <w:rPr>
          <w:b/>
          <w:sz w:val="13"/>
        </w:rPr>
        <w:tab/>
      </w:r>
      <w:r>
        <w:rPr>
          <w:b/>
          <w:spacing w:val="-4"/>
          <w:sz w:val="13"/>
        </w:rPr>
        <w:t>2020</w:t>
      </w:r>
      <w:r>
        <w:rPr>
          <w:b/>
          <w:sz w:val="13"/>
        </w:rPr>
        <w:tab/>
        <w:tab/>
      </w:r>
      <w:r>
        <w:rPr>
          <w:b/>
          <w:spacing w:val="-4"/>
          <w:sz w:val="13"/>
        </w:rPr>
        <w:t>2019</w:t>
      </w:r>
    </w:p>
    <w:p>
      <w:pPr>
        <w:tabs>
          <w:tab w:pos="6541" w:val="left" w:leader="none"/>
          <w:tab w:pos="7338" w:val="left" w:leader="none"/>
          <w:tab w:pos="8203" w:val="left" w:leader="none"/>
        </w:tabs>
        <w:spacing w:line="149" w:lineRule="exact" w:before="0" w:after="4"/>
        <w:ind w:left="5622" w:right="0" w:firstLine="0"/>
        <w:jc w:val="left"/>
        <w:rPr>
          <w:b/>
          <w:sz w:val="13"/>
        </w:rPr>
      </w:pPr>
      <w:r>
        <w:rPr>
          <w:b/>
          <w:spacing w:val="-2"/>
          <w:sz w:val="13"/>
        </w:rPr>
        <w:t>$'000</w:t>
      </w:r>
      <w:r>
        <w:rPr>
          <w:b/>
          <w:sz w:val="13"/>
        </w:rPr>
        <w:tab/>
      </w:r>
      <w:r>
        <w:rPr>
          <w:b/>
          <w:spacing w:val="-2"/>
          <w:sz w:val="13"/>
        </w:rPr>
        <w:t>$'000</w:t>
      </w:r>
      <w:r>
        <w:rPr>
          <w:b/>
          <w:sz w:val="13"/>
        </w:rPr>
        <w:tab/>
      </w:r>
      <w:r>
        <w:rPr>
          <w:b/>
          <w:spacing w:val="-2"/>
          <w:sz w:val="13"/>
        </w:rPr>
        <w:t>$'000</w:t>
      </w:r>
      <w:r>
        <w:rPr>
          <w:b/>
          <w:sz w:val="13"/>
        </w:rPr>
        <w:tab/>
      </w:r>
      <w:r>
        <w:rPr>
          <w:b/>
          <w:spacing w:val="-2"/>
          <w:sz w:val="13"/>
        </w:rPr>
        <w:t>$'000</w:t>
      </w:r>
    </w:p>
    <w:p>
      <w:pPr>
        <w:spacing w:line="20" w:lineRule="exact"/>
        <w:ind w:left="5316" w:right="0" w:firstLine="0"/>
        <w:rPr>
          <w:sz w:val="2"/>
        </w:rPr>
      </w:pPr>
      <w:r>
        <w:rPr>
          <w:sz w:val="2"/>
        </w:rPr>
        <mc:AlternateContent>
          <mc:Choice Requires="wps">
            <w:drawing>
              <wp:inline distT="0" distB="0" distL="0" distR="0">
                <wp:extent cx="2268220" cy="8890"/>
                <wp:effectExtent l="0" t="0" r="0" b="0"/>
                <wp:docPr id="997" name="Group 997"/>
                <wp:cNvGraphicFramePr>
                  <a:graphicFrameLocks/>
                </wp:cNvGraphicFramePr>
                <a:graphic>
                  <a:graphicData uri="http://schemas.microsoft.com/office/word/2010/wordprocessingGroup">
                    <wpg:wgp>
                      <wpg:cNvPr id="997" name="Group 997"/>
                      <wpg:cNvGrpSpPr/>
                      <wpg:grpSpPr>
                        <a:xfrm>
                          <a:off x="0" y="0"/>
                          <a:ext cx="2268220" cy="8890"/>
                          <a:chExt cx="2268220" cy="8890"/>
                        </a:xfrm>
                      </wpg:grpSpPr>
                      <wps:wsp>
                        <wps:cNvPr id="998" name="Graphic 998"/>
                        <wps:cNvSpPr/>
                        <wps:spPr>
                          <a:xfrm>
                            <a:off x="0" y="0"/>
                            <a:ext cx="2268220" cy="8890"/>
                          </a:xfrm>
                          <a:custGeom>
                            <a:avLst/>
                            <a:gdLst/>
                            <a:ahLst/>
                            <a:cxnLst/>
                            <a:rect l="l" t="t" r="r" b="b"/>
                            <a:pathLst>
                              <a:path w="2268220" h="8890">
                                <a:moveTo>
                                  <a:pt x="2268169" y="0"/>
                                </a:moveTo>
                                <a:lnTo>
                                  <a:pt x="0" y="0"/>
                                </a:lnTo>
                                <a:lnTo>
                                  <a:pt x="0" y="8382"/>
                                </a:lnTo>
                                <a:lnTo>
                                  <a:pt x="2268169" y="8382"/>
                                </a:lnTo>
                                <a:lnTo>
                                  <a:pt x="2268169"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78.6pt;height:.7pt;mso-position-horizontal-relative:char;mso-position-vertical-relative:line" id="docshapegroup685" coordorigin="0,0" coordsize="3572,14">
                <v:rect style="position:absolute;left:0;top:0;width:3572;height:14" id="docshape686" filled="true" fillcolor="#000000" stroked="false">
                  <v:fill type="solid"/>
                </v:rect>
              </v:group>
            </w:pict>
          </mc:Fallback>
        </mc:AlternateContent>
      </w:r>
      <w:r>
        <w:rPr>
          <w:sz w:val="2"/>
        </w:rPr>
      </w:r>
    </w:p>
    <w:p>
      <w:pPr>
        <w:tabs>
          <w:tab w:pos="724" w:val="left" w:leader="none"/>
        </w:tabs>
        <w:spacing w:line="148" w:lineRule="exact" w:before="0"/>
        <w:ind w:left="140" w:right="0" w:firstLine="0"/>
        <w:jc w:val="left"/>
        <w:rPr>
          <w:b/>
          <w:sz w:val="13"/>
        </w:rPr>
      </w:pPr>
      <w:r>
        <w:rPr>
          <w:b/>
          <w:spacing w:val="-5"/>
          <w:sz w:val="13"/>
        </w:rPr>
        <w:t>(a)</w:t>
      </w:r>
      <w:r>
        <w:rPr>
          <w:b/>
          <w:sz w:val="13"/>
        </w:rPr>
        <w:tab/>
      </w:r>
      <w:r>
        <w:rPr>
          <w:b/>
          <w:position w:val="1"/>
          <w:sz w:val="13"/>
        </w:rPr>
        <w:t>Write-</w:t>
      </w:r>
      <w:r>
        <w:rPr>
          <w:b/>
          <w:spacing w:val="-4"/>
          <w:position w:val="1"/>
          <w:sz w:val="13"/>
        </w:rPr>
        <w:t>offs</w:t>
      </w:r>
    </w:p>
    <w:p>
      <w:pPr>
        <w:spacing w:line="264" w:lineRule="auto" w:before="8"/>
        <w:ind w:left="724" w:right="3979" w:firstLine="0"/>
        <w:jc w:val="left"/>
        <w:rPr>
          <w:sz w:val="13"/>
        </w:rPr>
      </w:pPr>
      <w:r>
        <w:rPr>
          <w:sz w:val="13"/>
        </w:rPr>
        <w:t>Bad debts and other write-offs, written off by</w:t>
      </w:r>
      <w:r>
        <w:rPr>
          <w:spacing w:val="-1"/>
          <w:sz w:val="13"/>
        </w:rPr>
        <w:t> </w:t>
      </w:r>
      <w:r>
        <w:rPr>
          <w:sz w:val="13"/>
        </w:rPr>
        <w:t>the Senate, University</w:t>
      </w:r>
      <w:r>
        <w:rPr>
          <w:spacing w:val="-1"/>
          <w:sz w:val="13"/>
        </w:rPr>
        <w:t> </w:t>
      </w:r>
      <w:r>
        <w:rPr>
          <w:sz w:val="13"/>
        </w:rPr>
        <w:t>Club</w:t>
      </w:r>
      <w:r>
        <w:rPr>
          <w:spacing w:val="40"/>
          <w:sz w:val="13"/>
        </w:rPr>
        <w:t> </w:t>
      </w:r>
      <w:r>
        <w:rPr>
          <w:sz w:val="13"/>
        </w:rPr>
        <w:t>Executive and UWA Sport Pty Ltd board during the financial year:</w:t>
      </w:r>
    </w:p>
    <w:p>
      <w:pPr>
        <w:tabs>
          <w:tab w:pos="5949" w:val="left" w:leader="none"/>
          <w:tab w:pos="6869" w:val="left" w:leader="none"/>
          <w:tab w:pos="7540" w:val="left" w:leader="none"/>
          <w:tab w:pos="8816" w:val="right" w:leader="none"/>
        </w:tabs>
        <w:spacing w:line="146" w:lineRule="exact" w:before="0"/>
        <w:ind w:left="724" w:right="0" w:firstLine="0"/>
        <w:jc w:val="left"/>
        <w:rPr>
          <w:sz w:val="13"/>
        </w:rPr>
      </w:pPr>
      <w:r>
        <w:rPr>
          <w:sz w:val="13"/>
        </w:rPr>
        <w:t>Trade</w:t>
      </w:r>
      <w:r>
        <w:rPr>
          <w:spacing w:val="1"/>
          <w:sz w:val="13"/>
        </w:rPr>
        <w:t> </w:t>
      </w:r>
      <w:r>
        <w:rPr>
          <w:sz w:val="13"/>
        </w:rPr>
        <w:t>and</w:t>
      </w:r>
      <w:r>
        <w:rPr>
          <w:spacing w:val="1"/>
          <w:sz w:val="13"/>
        </w:rPr>
        <w:t> </w:t>
      </w:r>
      <w:r>
        <w:rPr>
          <w:sz w:val="13"/>
        </w:rPr>
        <w:t>other</w:t>
      </w:r>
      <w:r>
        <w:rPr>
          <w:spacing w:val="2"/>
          <w:sz w:val="13"/>
        </w:rPr>
        <w:t> </w:t>
      </w:r>
      <w:r>
        <w:rPr>
          <w:spacing w:val="-2"/>
          <w:sz w:val="13"/>
        </w:rPr>
        <w:t>receivables</w:t>
      </w:r>
      <w:r>
        <w:rPr>
          <w:sz w:val="13"/>
        </w:rPr>
        <w:tab/>
      </w:r>
      <w:r>
        <w:rPr>
          <w:spacing w:val="-5"/>
          <w:sz w:val="13"/>
        </w:rPr>
        <w:t>931</w:t>
      </w:r>
      <w:r>
        <w:rPr>
          <w:sz w:val="13"/>
        </w:rPr>
        <w:tab/>
      </w:r>
      <w:r>
        <w:rPr>
          <w:spacing w:val="-5"/>
          <w:sz w:val="13"/>
        </w:rPr>
        <w:t>815</w:t>
      </w:r>
      <w:r>
        <w:rPr>
          <w:sz w:val="13"/>
        </w:rPr>
        <w:tab/>
      </w:r>
      <w:r>
        <w:rPr>
          <w:spacing w:val="-5"/>
          <w:sz w:val="13"/>
        </w:rPr>
        <w:t>913</w:t>
      </w:r>
      <w:r>
        <w:rPr>
          <w:sz w:val="13"/>
        </w:rPr>
        <w:tab/>
      </w:r>
      <w:r>
        <w:rPr>
          <w:spacing w:val="-5"/>
          <w:sz w:val="13"/>
        </w:rPr>
        <w:t>815</w:t>
      </w:r>
    </w:p>
    <w:p>
      <w:pPr>
        <w:tabs>
          <w:tab w:pos="6166" w:val="left" w:leader="none"/>
          <w:tab w:pos="6941" w:val="left" w:leader="none"/>
          <w:tab w:pos="7758" w:val="left" w:leader="none"/>
          <w:tab w:pos="8816" w:val="right" w:leader="none"/>
        </w:tabs>
        <w:spacing w:before="15"/>
        <w:ind w:left="724" w:right="0" w:firstLine="0"/>
        <w:jc w:val="left"/>
        <w:rPr>
          <w:sz w:val="13"/>
        </w:rPr>
      </w:pPr>
      <w:r>
        <w:rPr/>
        <mc:AlternateContent>
          <mc:Choice Requires="wps">
            <w:drawing>
              <wp:anchor distT="0" distB="0" distL="0" distR="0" allowOverlap="1" layoutInCell="1" locked="0" behindDoc="0" simplePos="0" relativeHeight="15914496">
                <wp:simplePos x="0" y="0"/>
                <wp:positionH relativeFrom="page">
                  <wp:posOffset>4023982</wp:posOffset>
                </wp:positionH>
                <wp:positionV relativeFrom="paragraph">
                  <wp:posOffset>104153</wp:posOffset>
                </wp:positionV>
                <wp:extent cx="2268220" cy="8890"/>
                <wp:effectExtent l="0" t="0" r="0" b="0"/>
                <wp:wrapNone/>
                <wp:docPr id="999" name="Graphic 999"/>
                <wp:cNvGraphicFramePr>
                  <a:graphicFrameLocks/>
                </wp:cNvGraphicFramePr>
                <a:graphic>
                  <a:graphicData uri="http://schemas.microsoft.com/office/word/2010/wordprocessingShape">
                    <wps:wsp>
                      <wps:cNvPr id="999" name="Graphic 999"/>
                      <wps:cNvSpPr/>
                      <wps:spPr>
                        <a:xfrm>
                          <a:off x="0" y="0"/>
                          <a:ext cx="2268220" cy="8890"/>
                        </a:xfrm>
                        <a:custGeom>
                          <a:avLst/>
                          <a:gdLst/>
                          <a:ahLst/>
                          <a:cxnLst/>
                          <a:rect l="l" t="t" r="r" b="b"/>
                          <a:pathLst>
                            <a:path w="2268220" h="8890">
                              <a:moveTo>
                                <a:pt x="2268169" y="0"/>
                              </a:moveTo>
                              <a:lnTo>
                                <a:pt x="0" y="0"/>
                              </a:lnTo>
                              <a:lnTo>
                                <a:pt x="0" y="8369"/>
                              </a:lnTo>
                              <a:lnTo>
                                <a:pt x="2268169" y="8369"/>
                              </a:lnTo>
                              <a:lnTo>
                                <a:pt x="226816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316.848999pt;margin-top:8.2011pt;width:178.596pt;height:.659pt;mso-position-horizontal-relative:page;mso-position-vertical-relative:paragraph;z-index:15914496" id="docshape687" filled="true" fillcolor="#000000" stroked="false">
                <v:fill type="solid"/>
                <w10:wrap type="none"/>
              </v:rect>
            </w:pict>
          </mc:Fallback>
        </mc:AlternateContent>
      </w:r>
      <w:r>
        <w:rPr>
          <w:sz w:val="13"/>
        </w:rPr>
        <w:t>Property, plant and</w:t>
      </w:r>
      <w:r>
        <w:rPr>
          <w:spacing w:val="-1"/>
          <w:sz w:val="13"/>
        </w:rPr>
        <w:t> </w:t>
      </w:r>
      <w:r>
        <w:rPr>
          <w:spacing w:val="-2"/>
          <w:sz w:val="13"/>
        </w:rPr>
        <w:t>equipment</w:t>
      </w:r>
      <w:r>
        <w:rPr>
          <w:sz w:val="13"/>
        </w:rPr>
        <w:tab/>
      </w:r>
      <w:r>
        <w:rPr>
          <w:spacing w:val="-10"/>
          <w:sz w:val="13"/>
        </w:rPr>
        <w:t>-</w:t>
      </w:r>
      <w:r>
        <w:rPr>
          <w:sz w:val="13"/>
        </w:rPr>
        <w:tab/>
      </w:r>
      <w:r>
        <w:rPr>
          <w:spacing w:val="-5"/>
          <w:sz w:val="13"/>
        </w:rPr>
        <w:t>17</w:t>
      </w:r>
      <w:r>
        <w:rPr>
          <w:sz w:val="13"/>
        </w:rPr>
        <w:tab/>
      </w:r>
      <w:r>
        <w:rPr>
          <w:spacing w:val="-10"/>
          <w:sz w:val="13"/>
        </w:rPr>
        <w:t>-</w:t>
      </w:r>
      <w:r>
        <w:rPr>
          <w:sz w:val="13"/>
        </w:rPr>
        <w:tab/>
      </w:r>
      <w:r>
        <w:rPr>
          <w:spacing w:val="-5"/>
          <w:sz w:val="13"/>
        </w:rPr>
        <w:t>17</w:t>
      </w:r>
    </w:p>
    <w:p>
      <w:pPr>
        <w:tabs>
          <w:tab w:pos="6868" w:val="left" w:leader="none"/>
          <w:tab w:pos="7540" w:val="left" w:leader="none"/>
          <w:tab w:pos="8598" w:val="left" w:leader="none"/>
        </w:tabs>
        <w:spacing w:before="7" w:after="3"/>
        <w:ind w:left="5949" w:right="0" w:firstLine="0"/>
        <w:jc w:val="left"/>
        <w:rPr>
          <w:b/>
          <w:sz w:val="13"/>
        </w:rPr>
      </w:pPr>
      <w:r>
        <w:rPr>
          <w:b/>
          <w:spacing w:val="-5"/>
          <w:sz w:val="13"/>
        </w:rPr>
        <w:t>931</w:t>
      </w:r>
      <w:r>
        <w:rPr>
          <w:b/>
          <w:sz w:val="13"/>
        </w:rPr>
        <w:tab/>
      </w:r>
      <w:r>
        <w:rPr>
          <w:b/>
          <w:spacing w:val="-5"/>
          <w:sz w:val="13"/>
        </w:rPr>
        <w:t>832</w:t>
      </w:r>
      <w:r>
        <w:rPr>
          <w:b/>
          <w:sz w:val="13"/>
        </w:rPr>
        <w:tab/>
      </w:r>
      <w:r>
        <w:rPr>
          <w:b/>
          <w:spacing w:val="-5"/>
          <w:sz w:val="13"/>
        </w:rPr>
        <w:t>913</w:t>
      </w:r>
      <w:r>
        <w:rPr>
          <w:b/>
          <w:sz w:val="13"/>
        </w:rPr>
        <w:tab/>
      </w:r>
      <w:r>
        <w:rPr>
          <w:b/>
          <w:spacing w:val="-5"/>
          <w:sz w:val="13"/>
        </w:rPr>
        <w:t>832</w:t>
      </w:r>
    </w:p>
    <w:p>
      <w:pPr>
        <w:spacing w:line="20" w:lineRule="exact"/>
        <w:ind w:left="5316" w:right="0" w:firstLine="0"/>
        <w:rPr>
          <w:sz w:val="2"/>
        </w:rPr>
      </w:pPr>
      <w:r>
        <w:rPr>
          <w:sz w:val="2"/>
        </w:rPr>
        <mc:AlternateContent>
          <mc:Choice Requires="wps">
            <w:drawing>
              <wp:inline distT="0" distB="0" distL="0" distR="0">
                <wp:extent cx="2268220" cy="8890"/>
                <wp:effectExtent l="0" t="0" r="0" b="0"/>
                <wp:docPr id="1000" name="Group 1000"/>
                <wp:cNvGraphicFramePr>
                  <a:graphicFrameLocks/>
                </wp:cNvGraphicFramePr>
                <a:graphic>
                  <a:graphicData uri="http://schemas.microsoft.com/office/word/2010/wordprocessingGroup">
                    <wpg:wgp>
                      <wpg:cNvPr id="1000" name="Group 1000"/>
                      <wpg:cNvGrpSpPr/>
                      <wpg:grpSpPr>
                        <a:xfrm>
                          <a:off x="0" y="0"/>
                          <a:ext cx="2268220" cy="8890"/>
                          <a:chExt cx="2268220" cy="8890"/>
                        </a:xfrm>
                      </wpg:grpSpPr>
                      <wps:wsp>
                        <wps:cNvPr id="1001" name="Graphic 1001"/>
                        <wps:cNvSpPr/>
                        <wps:spPr>
                          <a:xfrm>
                            <a:off x="0" y="0"/>
                            <a:ext cx="2268220" cy="8890"/>
                          </a:xfrm>
                          <a:custGeom>
                            <a:avLst/>
                            <a:gdLst/>
                            <a:ahLst/>
                            <a:cxnLst/>
                            <a:rect l="l" t="t" r="r" b="b"/>
                            <a:pathLst>
                              <a:path w="2268220" h="8890">
                                <a:moveTo>
                                  <a:pt x="2268169" y="0"/>
                                </a:moveTo>
                                <a:lnTo>
                                  <a:pt x="0" y="0"/>
                                </a:lnTo>
                                <a:lnTo>
                                  <a:pt x="0" y="8356"/>
                                </a:lnTo>
                                <a:lnTo>
                                  <a:pt x="2268169" y="8356"/>
                                </a:lnTo>
                                <a:lnTo>
                                  <a:pt x="2268169"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78.6pt;height:.7pt;mso-position-horizontal-relative:char;mso-position-vertical-relative:line" id="docshapegroup688" coordorigin="0,0" coordsize="3572,14">
                <v:rect style="position:absolute;left:0;top:0;width:3572;height:14" id="docshape689" filled="true" fillcolor="#000000" stroked="false">
                  <v:fill type="solid"/>
                </v:rect>
              </v:group>
            </w:pict>
          </mc:Fallback>
        </mc:AlternateContent>
      </w:r>
      <w:r>
        <w:rPr>
          <w:sz w:val="2"/>
        </w:rPr>
      </w:r>
    </w:p>
    <w:p>
      <w:pPr>
        <w:spacing w:after="0" w:line="20" w:lineRule="exact"/>
        <w:rPr>
          <w:sz w:val="2"/>
        </w:rPr>
        <w:sectPr>
          <w:pgSz w:w="11910" w:h="16840"/>
          <w:pgMar w:header="468" w:footer="0" w:top="1580" w:bottom="280" w:left="1020" w:right="1540"/>
        </w:sectPr>
      </w:pPr>
    </w:p>
    <w:p>
      <w:pPr>
        <w:spacing w:line="148" w:lineRule="exact" w:before="0"/>
        <w:ind w:left="140" w:right="0" w:firstLine="0"/>
        <w:jc w:val="left"/>
        <w:rPr>
          <w:b/>
          <w:sz w:val="13"/>
        </w:rPr>
      </w:pPr>
      <w:r>
        <w:rPr>
          <w:b/>
          <w:spacing w:val="-5"/>
          <w:sz w:val="13"/>
        </w:rPr>
        <w:t>(b)</w:t>
      </w:r>
    </w:p>
    <w:p>
      <w:pPr>
        <w:spacing w:line="148" w:lineRule="exact" w:before="0"/>
        <w:ind w:left="140" w:right="0" w:firstLine="0"/>
        <w:jc w:val="left"/>
        <w:rPr>
          <w:b/>
          <w:sz w:val="13"/>
        </w:rPr>
      </w:pPr>
      <w:r>
        <w:rPr/>
        <w:br w:type="column"/>
      </w:r>
      <w:r>
        <w:rPr>
          <w:b/>
          <w:sz w:val="13"/>
        </w:rPr>
        <w:t>Losses</w:t>
      </w:r>
      <w:r>
        <w:rPr>
          <w:b/>
          <w:spacing w:val="2"/>
          <w:sz w:val="13"/>
        </w:rPr>
        <w:t> </w:t>
      </w:r>
      <w:r>
        <w:rPr>
          <w:b/>
          <w:sz w:val="13"/>
        </w:rPr>
        <w:t>through</w:t>
      </w:r>
      <w:r>
        <w:rPr>
          <w:b/>
          <w:spacing w:val="4"/>
          <w:sz w:val="13"/>
        </w:rPr>
        <w:t> </w:t>
      </w:r>
      <w:r>
        <w:rPr>
          <w:b/>
          <w:sz w:val="13"/>
        </w:rPr>
        <w:t>theft,</w:t>
      </w:r>
      <w:r>
        <w:rPr>
          <w:b/>
          <w:spacing w:val="3"/>
          <w:sz w:val="13"/>
        </w:rPr>
        <w:t> </w:t>
      </w:r>
      <w:r>
        <w:rPr>
          <w:b/>
          <w:sz w:val="13"/>
        </w:rPr>
        <w:t>default</w:t>
      </w:r>
      <w:r>
        <w:rPr>
          <w:b/>
          <w:spacing w:val="3"/>
          <w:sz w:val="13"/>
        </w:rPr>
        <w:t> </w:t>
      </w:r>
      <w:r>
        <w:rPr>
          <w:b/>
          <w:sz w:val="13"/>
        </w:rPr>
        <w:t>and</w:t>
      </w:r>
      <w:r>
        <w:rPr>
          <w:b/>
          <w:spacing w:val="5"/>
          <w:sz w:val="13"/>
        </w:rPr>
        <w:t> </w:t>
      </w:r>
      <w:r>
        <w:rPr>
          <w:b/>
          <w:sz w:val="13"/>
        </w:rPr>
        <w:t>other</w:t>
      </w:r>
      <w:r>
        <w:rPr>
          <w:b/>
          <w:spacing w:val="2"/>
          <w:sz w:val="13"/>
        </w:rPr>
        <w:t> </w:t>
      </w:r>
      <w:r>
        <w:rPr>
          <w:b/>
          <w:spacing w:val="-2"/>
          <w:sz w:val="13"/>
        </w:rPr>
        <w:t>causes</w:t>
      </w:r>
    </w:p>
    <w:p>
      <w:pPr>
        <w:spacing w:before="6"/>
        <w:ind w:left="140" w:right="0" w:firstLine="0"/>
        <w:jc w:val="left"/>
        <w:rPr>
          <w:sz w:val="13"/>
        </w:rPr>
      </w:pPr>
      <w:r>
        <w:rPr>
          <w:sz w:val="13"/>
        </w:rPr>
        <w:t>Losses</w:t>
      </w:r>
      <w:r>
        <w:rPr>
          <w:spacing w:val="1"/>
          <w:sz w:val="13"/>
        </w:rPr>
        <w:t> </w:t>
      </w:r>
      <w:r>
        <w:rPr>
          <w:sz w:val="13"/>
        </w:rPr>
        <w:t>through</w:t>
      </w:r>
      <w:r>
        <w:rPr>
          <w:spacing w:val="1"/>
          <w:sz w:val="13"/>
        </w:rPr>
        <w:t> </w:t>
      </w:r>
      <w:r>
        <w:rPr>
          <w:sz w:val="13"/>
        </w:rPr>
        <w:t>theft</w:t>
      </w:r>
      <w:r>
        <w:rPr>
          <w:spacing w:val="1"/>
          <w:sz w:val="13"/>
        </w:rPr>
        <w:t> </w:t>
      </w:r>
      <w:r>
        <w:rPr>
          <w:sz w:val="13"/>
        </w:rPr>
        <w:t>and</w:t>
      </w:r>
      <w:r>
        <w:rPr>
          <w:spacing w:val="1"/>
          <w:sz w:val="13"/>
        </w:rPr>
        <w:t> </w:t>
      </w:r>
      <w:r>
        <w:rPr>
          <w:spacing w:val="-2"/>
          <w:sz w:val="13"/>
        </w:rPr>
        <w:t>default</w:t>
      </w:r>
    </w:p>
    <w:p>
      <w:pPr>
        <w:spacing w:line="240" w:lineRule="auto" w:before="2"/>
        <w:rPr>
          <w:sz w:val="13"/>
        </w:rPr>
      </w:pPr>
      <w:r>
        <w:rPr/>
        <w:br w:type="column"/>
      </w:r>
      <w:r>
        <w:rPr>
          <w:sz w:val="13"/>
        </w:rPr>
      </w:r>
    </w:p>
    <w:p>
      <w:pPr>
        <w:tabs>
          <w:tab w:pos="1095" w:val="left" w:leader="none"/>
          <w:tab w:pos="1766" w:val="left" w:leader="none"/>
          <w:tab w:pos="2825" w:val="left" w:leader="none"/>
        </w:tabs>
        <w:spacing w:before="0"/>
        <w:ind w:left="140" w:right="0" w:firstLine="0"/>
        <w:jc w:val="left"/>
        <w:rPr>
          <w:sz w:val="13"/>
        </w:rPr>
      </w:pPr>
      <w:r>
        <w:rPr>
          <w:spacing w:val="-10"/>
          <w:sz w:val="13"/>
        </w:rPr>
        <w:t>6</w:t>
      </w:r>
      <w:r>
        <w:rPr>
          <w:sz w:val="13"/>
        </w:rPr>
        <w:tab/>
      </w:r>
      <w:r>
        <w:rPr>
          <w:spacing w:val="-10"/>
          <w:sz w:val="13"/>
        </w:rPr>
        <w:t>-</w:t>
      </w:r>
      <w:r>
        <w:rPr>
          <w:sz w:val="13"/>
        </w:rPr>
        <w:tab/>
      </w:r>
      <w:r>
        <w:rPr>
          <w:spacing w:val="-10"/>
          <w:sz w:val="13"/>
        </w:rPr>
        <w:t>-</w:t>
      </w:r>
      <w:r>
        <w:rPr>
          <w:sz w:val="13"/>
        </w:rPr>
        <w:tab/>
      </w:r>
      <w:r>
        <w:rPr>
          <w:spacing w:val="-10"/>
          <w:sz w:val="13"/>
        </w:rPr>
        <w:t>-</w:t>
      </w:r>
    </w:p>
    <w:p>
      <w:pPr>
        <w:spacing w:line="240" w:lineRule="auto" w:before="10" w:after="0"/>
        <w:rPr>
          <w:sz w:val="13"/>
        </w:rPr>
      </w:pPr>
    </w:p>
    <w:p>
      <w:pPr>
        <w:spacing w:line="20" w:lineRule="exact"/>
        <w:ind w:left="-637" w:right="0" w:firstLine="0"/>
        <w:rPr>
          <w:sz w:val="2"/>
        </w:rPr>
      </w:pPr>
      <w:r>
        <w:rPr>
          <w:sz w:val="2"/>
        </w:rPr>
        <mc:AlternateContent>
          <mc:Choice Requires="wps">
            <w:drawing>
              <wp:inline distT="0" distB="0" distL="0" distR="0">
                <wp:extent cx="2268220" cy="8890"/>
                <wp:effectExtent l="0" t="0" r="0" b="0"/>
                <wp:docPr id="1002" name="Group 1002"/>
                <wp:cNvGraphicFramePr>
                  <a:graphicFrameLocks/>
                </wp:cNvGraphicFramePr>
                <a:graphic>
                  <a:graphicData uri="http://schemas.microsoft.com/office/word/2010/wordprocessingGroup">
                    <wpg:wgp>
                      <wpg:cNvPr id="1002" name="Group 1002"/>
                      <wpg:cNvGrpSpPr/>
                      <wpg:grpSpPr>
                        <a:xfrm>
                          <a:off x="0" y="0"/>
                          <a:ext cx="2268220" cy="8890"/>
                          <a:chExt cx="2268220" cy="8890"/>
                        </a:xfrm>
                      </wpg:grpSpPr>
                      <wps:wsp>
                        <wps:cNvPr id="1003" name="Graphic 1003"/>
                        <wps:cNvSpPr/>
                        <wps:spPr>
                          <a:xfrm>
                            <a:off x="0" y="0"/>
                            <a:ext cx="2268220" cy="8890"/>
                          </a:xfrm>
                          <a:custGeom>
                            <a:avLst/>
                            <a:gdLst/>
                            <a:ahLst/>
                            <a:cxnLst/>
                            <a:rect l="l" t="t" r="r" b="b"/>
                            <a:pathLst>
                              <a:path w="2268220" h="8890">
                                <a:moveTo>
                                  <a:pt x="2268169" y="0"/>
                                </a:moveTo>
                                <a:lnTo>
                                  <a:pt x="0" y="0"/>
                                </a:lnTo>
                                <a:lnTo>
                                  <a:pt x="0" y="8369"/>
                                </a:lnTo>
                                <a:lnTo>
                                  <a:pt x="2268169" y="8369"/>
                                </a:lnTo>
                                <a:lnTo>
                                  <a:pt x="2268169"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78.6pt;height:.7pt;mso-position-horizontal-relative:char;mso-position-vertical-relative:line" id="docshapegroup690" coordorigin="0,0" coordsize="3572,14">
                <v:rect style="position:absolute;left:0;top:0;width:3572;height:14" id="docshape691" filled="true" fillcolor="#000000" stroked="false">
                  <v:fill type="solid"/>
                </v:rect>
              </v:group>
            </w:pict>
          </mc:Fallback>
        </mc:AlternateContent>
      </w:r>
      <w:r>
        <w:rPr>
          <w:sz w:val="2"/>
        </w:rPr>
      </w:r>
    </w:p>
    <w:p>
      <w:pPr>
        <w:tabs>
          <w:tab w:pos="1132" w:val="left" w:leader="none"/>
          <w:tab w:pos="1766" w:val="left" w:leader="none"/>
          <w:tab w:pos="2862" w:val="left" w:leader="none"/>
        </w:tabs>
        <w:spacing w:before="0"/>
        <w:ind w:left="140" w:right="0" w:firstLine="0"/>
        <w:jc w:val="left"/>
        <w:rPr>
          <w:b/>
          <w:sz w:val="13"/>
        </w:rPr>
      </w:pPr>
      <w:r>
        <w:rPr>
          <w:b/>
          <w:spacing w:val="-10"/>
          <w:sz w:val="13"/>
        </w:rPr>
        <w:t>6</w:t>
      </w:r>
      <w:r>
        <w:rPr>
          <w:b/>
          <w:sz w:val="13"/>
        </w:rPr>
        <w:tab/>
      </w:r>
      <w:r>
        <w:rPr>
          <w:b/>
          <w:spacing w:val="-10"/>
          <w:sz w:val="13"/>
        </w:rPr>
        <w:t>-</w:t>
      </w:r>
      <w:r>
        <w:rPr>
          <w:b/>
          <w:sz w:val="13"/>
        </w:rPr>
        <w:tab/>
      </w:r>
      <w:r>
        <w:rPr>
          <w:spacing w:val="-10"/>
          <w:sz w:val="13"/>
        </w:rPr>
        <w:t>-</w:t>
      </w:r>
      <w:r>
        <w:rPr>
          <w:sz w:val="13"/>
        </w:rPr>
        <w:tab/>
      </w:r>
      <w:r>
        <w:rPr>
          <w:b/>
          <w:spacing w:val="-10"/>
          <w:sz w:val="13"/>
        </w:rPr>
        <w:t>-</w:t>
      </w:r>
    </w:p>
    <w:p>
      <w:pPr>
        <w:spacing w:after="0"/>
        <w:jc w:val="left"/>
        <w:rPr>
          <w:sz w:val="13"/>
        </w:rPr>
        <w:sectPr>
          <w:type w:val="continuous"/>
          <w:pgSz w:w="11910" w:h="16840"/>
          <w:pgMar w:header="468" w:footer="0" w:top="980" w:bottom="280" w:left="1020" w:right="1540"/>
          <w:cols w:num="3" w:equalWidth="0">
            <w:col w:w="350" w:space="234"/>
            <w:col w:w="3122" w:space="2248"/>
            <w:col w:w="3396"/>
          </w:cols>
        </w:sectPr>
      </w:pPr>
    </w:p>
    <w:p>
      <w:pPr>
        <w:spacing w:line="20" w:lineRule="exact"/>
        <w:ind w:left="5316" w:right="0" w:firstLine="0"/>
        <w:rPr>
          <w:sz w:val="2"/>
        </w:rPr>
      </w:pPr>
      <w:r>
        <w:rPr/>
        <mc:AlternateContent>
          <mc:Choice Requires="wps">
            <w:drawing>
              <wp:anchor distT="0" distB="0" distL="0" distR="0" allowOverlap="1" layoutInCell="1" locked="0" behindDoc="0" simplePos="0" relativeHeight="15915008">
                <wp:simplePos x="0" y="0"/>
                <wp:positionH relativeFrom="page">
                  <wp:posOffset>7111289</wp:posOffset>
                </wp:positionH>
                <wp:positionV relativeFrom="page">
                  <wp:posOffset>8040241</wp:posOffset>
                </wp:positionV>
                <wp:extent cx="177800" cy="1945005"/>
                <wp:effectExtent l="0" t="0" r="0" b="0"/>
                <wp:wrapNone/>
                <wp:docPr id="1004" name="Textbox 1004"/>
                <wp:cNvGraphicFramePr>
                  <a:graphicFrameLocks/>
                </wp:cNvGraphicFramePr>
                <a:graphic>
                  <a:graphicData uri="http://schemas.microsoft.com/office/word/2010/wordprocessingShape">
                    <wps:wsp>
                      <wps:cNvPr id="1004" name="Textbox 1004"/>
                      <wps:cNvSpPr txBox="1"/>
                      <wps:spPr>
                        <a:xfrm>
                          <a:off x="0" y="0"/>
                          <a:ext cx="177800" cy="1945005"/>
                        </a:xfrm>
                        <a:prstGeom prst="rect">
                          <a:avLst/>
                        </a:prstGeom>
                      </wps:spPr>
                      <wps:txbx>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559.944092pt;margin-top:633.089905pt;width:14pt;height:153.15pt;mso-position-horizontal-relative:page;mso-position-vertical-relative:page;z-index:15915008" type="#_x0000_t202" id="docshape692" filled="false" stroked="false">
                <v:textbox inset="0,0,0,0" style="layout-flow:vertical">
                  <w:txbxContent>
                    <w:p>
                      <w:pPr>
                        <w:spacing w:before="45"/>
                        <w:ind w:left="2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v:textbox>
                <w10:wrap type="none"/>
              </v:shape>
            </w:pict>
          </mc:Fallback>
        </mc:AlternateContent>
      </w:r>
      <w:r>
        <w:rPr>
          <w:sz w:val="2"/>
        </w:rPr>
        <mc:AlternateContent>
          <mc:Choice Requires="wps">
            <w:drawing>
              <wp:inline distT="0" distB="0" distL="0" distR="0">
                <wp:extent cx="2268220" cy="8890"/>
                <wp:effectExtent l="0" t="0" r="0" b="0"/>
                <wp:docPr id="1005" name="Group 1005"/>
                <wp:cNvGraphicFramePr>
                  <a:graphicFrameLocks/>
                </wp:cNvGraphicFramePr>
                <a:graphic>
                  <a:graphicData uri="http://schemas.microsoft.com/office/word/2010/wordprocessingGroup">
                    <wpg:wgp>
                      <wpg:cNvPr id="1005" name="Group 1005"/>
                      <wpg:cNvGrpSpPr/>
                      <wpg:grpSpPr>
                        <a:xfrm>
                          <a:off x="0" y="0"/>
                          <a:ext cx="2268220" cy="8890"/>
                          <a:chExt cx="2268220" cy="8890"/>
                        </a:xfrm>
                      </wpg:grpSpPr>
                      <wps:wsp>
                        <wps:cNvPr id="1006" name="Graphic 1006"/>
                        <wps:cNvSpPr/>
                        <wps:spPr>
                          <a:xfrm>
                            <a:off x="0" y="0"/>
                            <a:ext cx="2268220" cy="8890"/>
                          </a:xfrm>
                          <a:custGeom>
                            <a:avLst/>
                            <a:gdLst/>
                            <a:ahLst/>
                            <a:cxnLst/>
                            <a:rect l="l" t="t" r="r" b="b"/>
                            <a:pathLst>
                              <a:path w="2268220" h="8890">
                                <a:moveTo>
                                  <a:pt x="2268169" y="0"/>
                                </a:moveTo>
                                <a:lnTo>
                                  <a:pt x="0" y="0"/>
                                </a:lnTo>
                                <a:lnTo>
                                  <a:pt x="0" y="8369"/>
                                </a:lnTo>
                                <a:lnTo>
                                  <a:pt x="2268169" y="8369"/>
                                </a:lnTo>
                                <a:lnTo>
                                  <a:pt x="2268169"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78.6pt;height:.7pt;mso-position-horizontal-relative:char;mso-position-vertical-relative:line" id="docshapegroup693" coordorigin="0,0" coordsize="3572,14">
                <v:rect style="position:absolute;left:0;top:0;width:3572;height:14" id="docshape694" filled="true" fillcolor="#000000" stroked="false">
                  <v:fill type="solid"/>
                </v:rect>
              </v:group>
            </w:pict>
          </mc:Fallback>
        </mc:AlternateContent>
      </w:r>
      <w:r>
        <w:rPr>
          <w:sz w:val="2"/>
        </w:rPr>
      </w:r>
    </w:p>
    <w:p>
      <w:pPr>
        <w:spacing w:line="240" w:lineRule="auto" w:before="219"/>
        <w:rPr>
          <w:b/>
          <w:sz w:val="20"/>
        </w:rPr>
      </w:pPr>
      <w:r>
        <w:rPr/>
        <mc:AlternateContent>
          <mc:Choice Requires="wps">
            <w:drawing>
              <wp:anchor distT="0" distB="0" distL="0" distR="0" allowOverlap="1" layoutInCell="1" locked="0" behindDoc="1" simplePos="0" relativeHeight="487772672">
                <wp:simplePos x="0" y="0"/>
                <wp:positionH relativeFrom="page">
                  <wp:posOffset>720001</wp:posOffset>
                </wp:positionH>
                <wp:positionV relativeFrom="paragraph">
                  <wp:posOffset>300342</wp:posOffset>
                </wp:positionV>
                <wp:extent cx="5572760" cy="17145"/>
                <wp:effectExtent l="0" t="0" r="0" b="0"/>
                <wp:wrapTopAndBottom/>
                <wp:docPr id="1007" name="Graphic 1007"/>
                <wp:cNvGraphicFramePr>
                  <a:graphicFrameLocks/>
                </wp:cNvGraphicFramePr>
                <a:graphic>
                  <a:graphicData uri="http://schemas.microsoft.com/office/word/2010/wordprocessingShape">
                    <wps:wsp>
                      <wps:cNvPr id="1007" name="Graphic 1007"/>
                      <wps:cNvSpPr/>
                      <wps:spPr>
                        <a:xfrm>
                          <a:off x="0" y="0"/>
                          <a:ext cx="5572760" cy="17145"/>
                        </a:xfrm>
                        <a:custGeom>
                          <a:avLst/>
                          <a:gdLst/>
                          <a:ahLst/>
                          <a:cxnLst/>
                          <a:rect l="l" t="t" r="r" b="b"/>
                          <a:pathLst>
                            <a:path w="5572760" h="17145">
                              <a:moveTo>
                                <a:pt x="5572163" y="0"/>
                              </a:moveTo>
                              <a:lnTo>
                                <a:pt x="0" y="0"/>
                              </a:lnTo>
                              <a:lnTo>
                                <a:pt x="0" y="16738"/>
                              </a:lnTo>
                              <a:lnTo>
                                <a:pt x="5572163" y="16738"/>
                              </a:lnTo>
                              <a:lnTo>
                                <a:pt x="5572163" y="0"/>
                              </a:lnTo>
                              <a:close/>
                            </a:path>
                          </a:pathLst>
                        </a:custGeom>
                        <a:solidFill>
                          <a:srgbClr val="4F81BD"/>
                        </a:solidFill>
                      </wps:spPr>
                      <wps:bodyPr wrap="square" lIns="0" tIns="0" rIns="0" bIns="0" rtlCol="0">
                        <a:prstTxWarp prst="textNoShape">
                          <a:avLst/>
                        </a:prstTxWarp>
                        <a:noAutofit/>
                      </wps:bodyPr>
                    </wps:wsp>
                  </a:graphicData>
                </a:graphic>
              </wp:anchor>
            </w:drawing>
          </mc:Choice>
          <mc:Fallback>
            <w:pict>
              <v:rect style="position:absolute;margin-left:56.693001pt;margin-top:23.649023pt;width:438.753pt;height:1.318pt;mso-position-horizontal-relative:page;mso-position-vertical-relative:paragraph;z-index:-15543808;mso-wrap-distance-left:0;mso-wrap-distance-right:0" id="docshape695" filled="true" fillcolor="#4f81bd" stroked="false">
                <v:fill type="solid"/>
                <w10:wrap type="topAndBottom"/>
              </v:rect>
            </w:pict>
          </mc:Fallback>
        </mc:AlternateContent>
      </w:r>
    </w:p>
    <w:p>
      <w:pPr>
        <w:spacing w:after="0" w:line="240" w:lineRule="auto"/>
        <w:rPr>
          <w:sz w:val="20"/>
        </w:rPr>
        <w:sectPr>
          <w:type w:val="continuous"/>
          <w:pgSz w:w="11910" w:h="16840"/>
          <w:pgMar w:header="468" w:footer="0" w:top="980" w:bottom="280" w:left="1020" w:right="1540"/>
        </w:sectPr>
      </w:pPr>
    </w:p>
    <w:p>
      <w:pPr>
        <w:spacing w:before="90"/>
        <w:ind w:left="143" w:right="0" w:firstLine="0"/>
        <w:jc w:val="left"/>
        <w:rPr>
          <w:sz w:val="21"/>
        </w:rPr>
      </w:pPr>
      <w:r>
        <w:rPr>
          <w:color w:val="0070C0"/>
          <w:sz w:val="21"/>
        </w:rPr>
        <w:t>NOTES</w:t>
      </w:r>
      <w:r>
        <w:rPr>
          <w:color w:val="0070C0"/>
          <w:spacing w:val="-2"/>
          <w:sz w:val="21"/>
        </w:rPr>
        <w:t> </w:t>
      </w:r>
      <w:r>
        <w:rPr>
          <w:color w:val="0070C0"/>
          <w:sz w:val="21"/>
        </w:rPr>
        <w:t>TO</w:t>
      </w:r>
      <w:r>
        <w:rPr>
          <w:color w:val="0070C0"/>
          <w:spacing w:val="-1"/>
          <w:sz w:val="21"/>
        </w:rPr>
        <w:t> </w:t>
      </w:r>
      <w:r>
        <w:rPr>
          <w:color w:val="0070C0"/>
          <w:sz w:val="21"/>
        </w:rPr>
        <w:t>THE</w:t>
      </w:r>
      <w:r>
        <w:rPr>
          <w:color w:val="0070C0"/>
          <w:spacing w:val="-2"/>
          <w:sz w:val="21"/>
        </w:rPr>
        <w:t> </w:t>
      </w:r>
      <w:r>
        <w:rPr>
          <w:color w:val="0070C0"/>
          <w:sz w:val="21"/>
        </w:rPr>
        <w:t>FINANCIAL</w:t>
      </w:r>
      <w:r>
        <w:rPr>
          <w:color w:val="0070C0"/>
          <w:spacing w:val="-2"/>
          <w:sz w:val="21"/>
        </w:rPr>
        <w:t> STATEMENTS</w:t>
      </w:r>
    </w:p>
    <w:p>
      <w:pPr>
        <w:spacing w:before="53"/>
        <w:ind w:left="130" w:right="0" w:firstLine="0"/>
        <w:jc w:val="left"/>
        <w:rPr>
          <w:sz w:val="12"/>
        </w:rPr>
      </w:pPr>
      <w:r>
        <w:rPr>
          <w:spacing w:val="-2"/>
          <w:sz w:val="12"/>
        </w:rPr>
        <w:t>for</w:t>
      </w:r>
      <w:r>
        <w:rPr>
          <w:spacing w:val="-1"/>
          <w:sz w:val="12"/>
        </w:rPr>
        <w:t> </w:t>
      </w:r>
      <w:r>
        <w:rPr>
          <w:spacing w:val="-2"/>
          <w:sz w:val="12"/>
        </w:rPr>
        <w:t>the</w:t>
      </w:r>
      <w:r>
        <w:rPr>
          <w:spacing w:val="-1"/>
          <w:sz w:val="12"/>
        </w:rPr>
        <w:t> </w:t>
      </w:r>
      <w:r>
        <w:rPr>
          <w:spacing w:val="-2"/>
          <w:sz w:val="12"/>
        </w:rPr>
        <w:t>year</w:t>
      </w:r>
      <w:r>
        <w:rPr>
          <w:spacing w:val="-1"/>
          <w:sz w:val="12"/>
        </w:rPr>
        <w:t> </w:t>
      </w:r>
      <w:r>
        <w:rPr>
          <w:spacing w:val="-2"/>
          <w:sz w:val="12"/>
        </w:rPr>
        <w:t>ended</w:t>
      </w:r>
      <w:r>
        <w:rPr>
          <w:sz w:val="12"/>
        </w:rPr>
        <w:t> </w:t>
      </w:r>
      <w:r>
        <w:rPr>
          <w:spacing w:val="-2"/>
          <w:sz w:val="12"/>
        </w:rPr>
        <w:t>31</w:t>
      </w:r>
      <w:r>
        <w:rPr>
          <w:spacing w:val="-1"/>
          <w:sz w:val="12"/>
        </w:rPr>
        <w:t> </w:t>
      </w:r>
      <w:r>
        <w:rPr>
          <w:spacing w:val="-2"/>
          <w:sz w:val="12"/>
        </w:rPr>
        <w:t>December</w:t>
      </w:r>
      <w:r>
        <w:rPr>
          <w:spacing w:val="-1"/>
          <w:sz w:val="12"/>
        </w:rPr>
        <w:t> </w:t>
      </w:r>
      <w:r>
        <w:rPr>
          <w:spacing w:val="-4"/>
          <w:sz w:val="12"/>
        </w:rPr>
        <w:t>2020</w:t>
      </w:r>
    </w:p>
    <w:p>
      <w:pPr>
        <w:spacing w:line="240" w:lineRule="auto" w:before="70"/>
        <w:rPr>
          <w:sz w:val="12"/>
        </w:rPr>
      </w:pPr>
    </w:p>
    <w:p>
      <w:pPr>
        <w:pStyle w:val="ListParagraph"/>
        <w:numPr>
          <w:ilvl w:val="1"/>
          <w:numId w:val="46"/>
        </w:numPr>
        <w:tabs>
          <w:tab w:pos="716" w:val="left" w:leader="none"/>
          <w:tab w:pos="5795" w:val="left" w:leader="none"/>
          <w:tab w:pos="7676" w:val="left" w:leader="none"/>
        </w:tabs>
        <w:spacing w:line="240" w:lineRule="auto" w:before="0" w:after="20"/>
        <w:ind w:left="716" w:right="0" w:hanging="581"/>
        <w:jc w:val="left"/>
        <w:rPr>
          <w:b/>
          <w:color w:val="0070C0"/>
          <w:sz w:val="15"/>
        </w:rPr>
      </w:pPr>
      <w:r>
        <w:rPr>
          <w:b/>
          <w:color w:val="0070C0"/>
          <w:sz w:val="15"/>
        </w:rPr>
        <w:t>Discontinued</w:t>
      </w:r>
      <w:r>
        <w:rPr>
          <w:b/>
          <w:color w:val="0070C0"/>
          <w:spacing w:val="29"/>
          <w:sz w:val="15"/>
        </w:rPr>
        <w:t> </w:t>
      </w:r>
      <w:r>
        <w:rPr>
          <w:b/>
          <w:color w:val="0070C0"/>
          <w:spacing w:val="-2"/>
          <w:sz w:val="15"/>
        </w:rPr>
        <w:t>operations</w:t>
      </w:r>
      <w:r>
        <w:rPr>
          <w:b/>
          <w:color w:val="0070C0"/>
          <w:sz w:val="15"/>
        </w:rPr>
        <w:tab/>
      </w:r>
      <w:r>
        <w:rPr>
          <w:b/>
          <w:spacing w:val="-2"/>
          <w:sz w:val="13"/>
        </w:rPr>
        <w:t>Consolidated</w:t>
      </w:r>
      <w:r>
        <w:rPr>
          <w:b/>
          <w:sz w:val="13"/>
        </w:rPr>
        <w:tab/>
      </w:r>
      <w:r>
        <w:rPr>
          <w:b/>
          <w:spacing w:val="-2"/>
          <w:sz w:val="13"/>
        </w:rPr>
        <w:t>University</w:t>
      </w:r>
    </w:p>
    <w:tbl>
      <w:tblPr>
        <w:tblW w:w="0" w:type="auto"/>
        <w:jc w:val="left"/>
        <w:tblInd w:w="1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184"/>
        <w:gridCol w:w="716"/>
        <w:gridCol w:w="916"/>
        <w:gridCol w:w="1926"/>
      </w:tblGrid>
      <w:tr>
        <w:trPr>
          <w:trHeight w:val="308" w:hRule="atLeast"/>
        </w:trPr>
        <w:tc>
          <w:tcPr>
            <w:tcW w:w="5184" w:type="dxa"/>
          </w:tcPr>
          <w:p>
            <w:pPr>
              <w:pStyle w:val="TableParagraph"/>
              <w:rPr>
                <w:rFonts w:ascii="Times New Roman"/>
                <w:sz w:val="12"/>
              </w:rPr>
            </w:pPr>
          </w:p>
        </w:tc>
        <w:tc>
          <w:tcPr>
            <w:tcW w:w="716" w:type="dxa"/>
            <w:tcBorders>
              <w:bottom w:val="single" w:sz="6" w:space="0" w:color="000000"/>
            </w:tcBorders>
          </w:tcPr>
          <w:p>
            <w:pPr>
              <w:pStyle w:val="TableParagraph"/>
              <w:spacing w:line="146" w:lineRule="exact"/>
              <w:ind w:left="319"/>
              <w:rPr>
                <w:b/>
                <w:sz w:val="13"/>
              </w:rPr>
            </w:pPr>
            <w:r>
              <w:rPr>
                <w:b/>
                <w:spacing w:val="-4"/>
                <w:sz w:val="13"/>
              </w:rPr>
              <w:t>2020</w:t>
            </w:r>
          </w:p>
          <w:p>
            <w:pPr>
              <w:pStyle w:val="TableParagraph"/>
              <w:spacing w:line="132" w:lineRule="exact" w:before="10"/>
              <w:ind w:left="304"/>
              <w:rPr>
                <w:b/>
                <w:sz w:val="13"/>
              </w:rPr>
            </w:pPr>
            <w:r>
              <w:rPr>
                <w:b/>
                <w:spacing w:val="-2"/>
                <w:sz w:val="13"/>
              </w:rPr>
              <w:t>$'000</w:t>
            </w:r>
          </w:p>
        </w:tc>
        <w:tc>
          <w:tcPr>
            <w:tcW w:w="916" w:type="dxa"/>
            <w:tcBorders>
              <w:bottom w:val="single" w:sz="6" w:space="0" w:color="000000"/>
            </w:tcBorders>
          </w:tcPr>
          <w:p>
            <w:pPr>
              <w:pStyle w:val="TableParagraph"/>
              <w:spacing w:line="146" w:lineRule="exact"/>
              <w:ind w:left="519"/>
              <w:rPr>
                <w:b/>
                <w:sz w:val="13"/>
              </w:rPr>
            </w:pPr>
            <w:r>
              <w:rPr>
                <w:b/>
                <w:spacing w:val="-4"/>
                <w:sz w:val="13"/>
              </w:rPr>
              <w:t>2019</w:t>
            </w:r>
          </w:p>
          <w:p>
            <w:pPr>
              <w:pStyle w:val="TableParagraph"/>
              <w:spacing w:line="132" w:lineRule="exact" w:before="10"/>
              <w:ind w:left="504"/>
              <w:rPr>
                <w:b/>
                <w:sz w:val="13"/>
              </w:rPr>
            </w:pPr>
            <w:r>
              <w:rPr>
                <w:b/>
                <w:spacing w:val="-2"/>
                <w:sz w:val="13"/>
              </w:rPr>
              <w:t>$'000</w:t>
            </w:r>
          </w:p>
        </w:tc>
        <w:tc>
          <w:tcPr>
            <w:tcW w:w="1926" w:type="dxa"/>
            <w:tcBorders>
              <w:bottom w:val="single" w:sz="6" w:space="0" w:color="000000"/>
            </w:tcBorders>
          </w:tcPr>
          <w:p>
            <w:pPr>
              <w:pStyle w:val="TableParagraph"/>
              <w:tabs>
                <w:tab w:pos="1259" w:val="left" w:leader="none"/>
              </w:tabs>
              <w:spacing w:line="146" w:lineRule="exact"/>
              <w:ind w:left="397"/>
              <w:rPr>
                <w:b/>
                <w:sz w:val="13"/>
              </w:rPr>
            </w:pPr>
            <w:r>
              <w:rPr>
                <w:b/>
                <w:spacing w:val="-4"/>
                <w:sz w:val="13"/>
              </w:rPr>
              <w:t>2020</w:t>
            </w:r>
            <w:r>
              <w:rPr>
                <w:b/>
                <w:sz w:val="13"/>
              </w:rPr>
              <w:tab/>
            </w:r>
            <w:r>
              <w:rPr>
                <w:b/>
                <w:spacing w:val="-4"/>
                <w:sz w:val="13"/>
              </w:rPr>
              <w:t>2019</w:t>
            </w:r>
          </w:p>
          <w:p>
            <w:pPr>
              <w:pStyle w:val="TableParagraph"/>
              <w:tabs>
                <w:tab w:pos="1244" w:val="left" w:leader="none"/>
              </w:tabs>
              <w:spacing w:line="132" w:lineRule="exact" w:before="10"/>
              <w:ind w:left="382"/>
              <w:rPr>
                <w:b/>
                <w:sz w:val="13"/>
              </w:rPr>
            </w:pPr>
            <w:r>
              <w:rPr>
                <w:b/>
                <w:spacing w:val="-2"/>
                <w:sz w:val="13"/>
              </w:rPr>
              <w:t>$'000</w:t>
            </w:r>
            <w:r>
              <w:rPr>
                <w:b/>
                <w:sz w:val="13"/>
              </w:rPr>
              <w:tab/>
            </w:r>
            <w:r>
              <w:rPr>
                <w:b/>
                <w:spacing w:val="-2"/>
                <w:sz w:val="13"/>
              </w:rPr>
              <w:t>$'000</w:t>
            </w:r>
          </w:p>
        </w:tc>
      </w:tr>
      <w:tr>
        <w:trPr>
          <w:trHeight w:val="237" w:hRule="atLeast"/>
        </w:trPr>
        <w:tc>
          <w:tcPr>
            <w:tcW w:w="5184" w:type="dxa"/>
          </w:tcPr>
          <w:p>
            <w:pPr>
              <w:pStyle w:val="TableParagraph"/>
              <w:tabs>
                <w:tab w:pos="607" w:val="left" w:leader="none"/>
              </w:tabs>
              <w:spacing w:line="153" w:lineRule="exact"/>
              <w:ind w:left="26"/>
              <w:rPr>
                <w:b/>
                <w:sz w:val="13"/>
              </w:rPr>
            </w:pPr>
            <w:r>
              <w:rPr>
                <w:b/>
                <w:spacing w:val="-5"/>
                <w:sz w:val="13"/>
              </w:rPr>
              <w:t>(a)</w:t>
            </w:r>
            <w:r>
              <w:rPr>
                <w:b/>
                <w:sz w:val="13"/>
              </w:rPr>
              <w:tab/>
            </w:r>
            <w:r>
              <w:rPr>
                <w:b/>
                <w:position w:val="1"/>
                <w:sz w:val="13"/>
              </w:rPr>
              <w:t>Operations</w:t>
            </w:r>
            <w:r>
              <w:rPr>
                <w:b/>
                <w:spacing w:val="-2"/>
                <w:position w:val="1"/>
                <w:sz w:val="13"/>
              </w:rPr>
              <w:t> </w:t>
            </w:r>
            <w:r>
              <w:rPr>
                <w:b/>
                <w:position w:val="1"/>
                <w:sz w:val="13"/>
              </w:rPr>
              <w:t>discontinued</w:t>
            </w:r>
            <w:r>
              <w:rPr>
                <w:b/>
                <w:spacing w:val="-1"/>
                <w:position w:val="1"/>
                <w:sz w:val="13"/>
              </w:rPr>
              <w:t> </w:t>
            </w:r>
            <w:r>
              <w:rPr>
                <w:b/>
                <w:position w:val="1"/>
                <w:sz w:val="13"/>
              </w:rPr>
              <w:t>during</w:t>
            </w:r>
            <w:r>
              <w:rPr>
                <w:b/>
                <w:spacing w:val="-1"/>
                <w:position w:val="1"/>
                <w:sz w:val="13"/>
              </w:rPr>
              <w:t> </w:t>
            </w:r>
            <w:r>
              <w:rPr>
                <w:b/>
                <w:position w:val="1"/>
                <w:sz w:val="13"/>
              </w:rPr>
              <w:t>the</w:t>
            </w:r>
            <w:r>
              <w:rPr>
                <w:b/>
                <w:spacing w:val="-1"/>
                <w:position w:val="1"/>
                <w:sz w:val="13"/>
              </w:rPr>
              <w:t> </w:t>
            </w:r>
            <w:r>
              <w:rPr>
                <w:b/>
                <w:spacing w:val="-4"/>
                <w:position w:val="1"/>
                <w:sz w:val="13"/>
              </w:rPr>
              <w:t>year</w:t>
            </w:r>
          </w:p>
        </w:tc>
        <w:tc>
          <w:tcPr>
            <w:tcW w:w="716" w:type="dxa"/>
            <w:tcBorders>
              <w:top w:val="single" w:sz="6" w:space="0" w:color="000000"/>
            </w:tcBorders>
          </w:tcPr>
          <w:p>
            <w:pPr>
              <w:pStyle w:val="TableParagraph"/>
              <w:rPr>
                <w:rFonts w:ascii="Times New Roman"/>
                <w:sz w:val="12"/>
              </w:rPr>
            </w:pPr>
          </w:p>
        </w:tc>
        <w:tc>
          <w:tcPr>
            <w:tcW w:w="916" w:type="dxa"/>
            <w:tcBorders>
              <w:top w:val="single" w:sz="6" w:space="0" w:color="000000"/>
            </w:tcBorders>
          </w:tcPr>
          <w:p>
            <w:pPr>
              <w:pStyle w:val="TableParagraph"/>
              <w:rPr>
                <w:rFonts w:ascii="Times New Roman"/>
                <w:sz w:val="12"/>
              </w:rPr>
            </w:pPr>
          </w:p>
        </w:tc>
        <w:tc>
          <w:tcPr>
            <w:tcW w:w="1926" w:type="dxa"/>
            <w:tcBorders>
              <w:top w:val="single" w:sz="6" w:space="0" w:color="000000"/>
            </w:tcBorders>
          </w:tcPr>
          <w:p>
            <w:pPr>
              <w:pStyle w:val="TableParagraph"/>
              <w:rPr>
                <w:rFonts w:ascii="Times New Roman"/>
                <w:sz w:val="12"/>
              </w:rPr>
            </w:pPr>
          </w:p>
        </w:tc>
      </w:tr>
      <w:tr>
        <w:trPr>
          <w:trHeight w:val="239" w:hRule="atLeast"/>
        </w:trPr>
        <w:tc>
          <w:tcPr>
            <w:tcW w:w="5184" w:type="dxa"/>
          </w:tcPr>
          <w:p>
            <w:pPr>
              <w:pStyle w:val="TableParagraph"/>
              <w:spacing w:line="138" w:lineRule="exact" w:before="81"/>
              <w:ind w:right="366"/>
              <w:jc w:val="right"/>
              <w:rPr>
                <w:sz w:val="13"/>
              </w:rPr>
            </w:pPr>
            <w:r>
              <w:rPr>
                <w:sz w:val="13"/>
              </w:rPr>
              <w:t>Perth</w:t>
            </w:r>
            <w:r>
              <w:rPr>
                <w:spacing w:val="12"/>
                <w:sz w:val="13"/>
              </w:rPr>
              <w:t> </w:t>
            </w:r>
            <w:r>
              <w:rPr>
                <w:sz w:val="13"/>
              </w:rPr>
              <w:t>Festival,</w:t>
            </w:r>
            <w:r>
              <w:rPr>
                <w:spacing w:val="17"/>
                <w:sz w:val="13"/>
              </w:rPr>
              <w:t> </w:t>
            </w:r>
            <w:r>
              <w:rPr>
                <w:sz w:val="13"/>
              </w:rPr>
              <w:t>previously</w:t>
            </w:r>
            <w:r>
              <w:rPr>
                <w:spacing w:val="14"/>
                <w:sz w:val="13"/>
              </w:rPr>
              <w:t> </w:t>
            </w:r>
            <w:r>
              <w:rPr>
                <w:sz w:val="13"/>
              </w:rPr>
              <w:t>a</w:t>
            </w:r>
            <w:r>
              <w:rPr>
                <w:spacing w:val="14"/>
                <w:sz w:val="13"/>
              </w:rPr>
              <w:t> </w:t>
            </w:r>
            <w:r>
              <w:rPr>
                <w:sz w:val="13"/>
              </w:rPr>
              <w:t>business</w:t>
            </w:r>
            <w:r>
              <w:rPr>
                <w:spacing w:val="18"/>
                <w:sz w:val="13"/>
              </w:rPr>
              <w:t> </w:t>
            </w:r>
            <w:r>
              <w:rPr>
                <w:sz w:val="13"/>
              </w:rPr>
              <w:t>unit</w:t>
            </w:r>
            <w:r>
              <w:rPr>
                <w:spacing w:val="17"/>
                <w:sz w:val="13"/>
              </w:rPr>
              <w:t> </w:t>
            </w:r>
            <w:r>
              <w:rPr>
                <w:sz w:val="13"/>
              </w:rPr>
              <w:t>of</w:t>
            </w:r>
            <w:r>
              <w:rPr>
                <w:spacing w:val="18"/>
                <w:sz w:val="13"/>
              </w:rPr>
              <w:t> </w:t>
            </w:r>
            <w:r>
              <w:rPr>
                <w:sz w:val="13"/>
              </w:rPr>
              <w:t>the</w:t>
            </w:r>
            <w:r>
              <w:rPr>
                <w:spacing w:val="15"/>
                <w:sz w:val="13"/>
              </w:rPr>
              <w:t> </w:t>
            </w:r>
            <w:r>
              <w:rPr>
                <w:sz w:val="13"/>
              </w:rPr>
              <w:t>University</w:t>
            </w:r>
            <w:r>
              <w:rPr>
                <w:spacing w:val="16"/>
                <w:sz w:val="13"/>
              </w:rPr>
              <w:t> </w:t>
            </w:r>
            <w:r>
              <w:rPr>
                <w:sz w:val="13"/>
              </w:rPr>
              <w:t>of</w:t>
            </w:r>
            <w:r>
              <w:rPr>
                <w:spacing w:val="17"/>
                <w:sz w:val="13"/>
              </w:rPr>
              <w:t> </w:t>
            </w:r>
            <w:r>
              <w:rPr>
                <w:spacing w:val="-2"/>
                <w:sz w:val="13"/>
              </w:rPr>
              <w:t>Western</w:t>
            </w:r>
          </w:p>
        </w:tc>
        <w:tc>
          <w:tcPr>
            <w:tcW w:w="716" w:type="dxa"/>
          </w:tcPr>
          <w:p>
            <w:pPr>
              <w:pStyle w:val="TableParagraph"/>
              <w:rPr>
                <w:rFonts w:ascii="Times New Roman"/>
                <w:sz w:val="12"/>
              </w:rPr>
            </w:pPr>
          </w:p>
        </w:tc>
        <w:tc>
          <w:tcPr>
            <w:tcW w:w="916" w:type="dxa"/>
          </w:tcPr>
          <w:p>
            <w:pPr>
              <w:pStyle w:val="TableParagraph"/>
              <w:rPr>
                <w:rFonts w:ascii="Times New Roman"/>
                <w:sz w:val="12"/>
              </w:rPr>
            </w:pPr>
          </w:p>
        </w:tc>
        <w:tc>
          <w:tcPr>
            <w:tcW w:w="1926" w:type="dxa"/>
          </w:tcPr>
          <w:p>
            <w:pPr>
              <w:pStyle w:val="TableParagraph"/>
              <w:rPr>
                <w:rFonts w:ascii="Times New Roman"/>
                <w:sz w:val="12"/>
              </w:rPr>
            </w:pPr>
          </w:p>
        </w:tc>
      </w:tr>
      <w:tr>
        <w:trPr>
          <w:trHeight w:val="164" w:hRule="atLeast"/>
        </w:trPr>
        <w:tc>
          <w:tcPr>
            <w:tcW w:w="5184" w:type="dxa"/>
          </w:tcPr>
          <w:p>
            <w:pPr>
              <w:pStyle w:val="TableParagraph"/>
              <w:spacing w:line="138" w:lineRule="exact" w:before="5"/>
              <w:ind w:right="368"/>
              <w:jc w:val="right"/>
              <w:rPr>
                <w:sz w:val="13"/>
              </w:rPr>
            </w:pPr>
            <w:r>
              <w:rPr>
                <w:sz w:val="13"/>
              </w:rPr>
              <w:t>Australia,</w:t>
            </w:r>
            <w:r>
              <w:rPr>
                <w:spacing w:val="6"/>
                <w:sz w:val="13"/>
              </w:rPr>
              <w:t> </w:t>
            </w:r>
            <w:r>
              <w:rPr>
                <w:sz w:val="13"/>
              </w:rPr>
              <w:t>became</w:t>
            </w:r>
            <w:r>
              <w:rPr>
                <w:spacing w:val="8"/>
                <w:sz w:val="13"/>
              </w:rPr>
              <w:t> </w:t>
            </w:r>
            <w:r>
              <w:rPr>
                <w:sz w:val="13"/>
              </w:rPr>
              <w:t>a</w:t>
            </w:r>
            <w:r>
              <w:rPr>
                <w:spacing w:val="7"/>
                <w:sz w:val="13"/>
              </w:rPr>
              <w:t> </w:t>
            </w:r>
            <w:r>
              <w:rPr>
                <w:sz w:val="13"/>
              </w:rPr>
              <w:t>wholly</w:t>
            </w:r>
            <w:r>
              <w:rPr>
                <w:spacing w:val="6"/>
                <w:sz w:val="13"/>
              </w:rPr>
              <w:t> </w:t>
            </w:r>
            <w:r>
              <w:rPr>
                <w:sz w:val="13"/>
              </w:rPr>
              <w:t>owned</w:t>
            </w:r>
            <w:r>
              <w:rPr>
                <w:spacing w:val="7"/>
                <w:sz w:val="13"/>
              </w:rPr>
              <w:t> </w:t>
            </w:r>
            <w:r>
              <w:rPr>
                <w:sz w:val="13"/>
              </w:rPr>
              <w:t>subsidiary</w:t>
            </w:r>
            <w:r>
              <w:rPr>
                <w:spacing w:val="6"/>
                <w:sz w:val="13"/>
              </w:rPr>
              <w:t> </w:t>
            </w:r>
            <w:r>
              <w:rPr>
                <w:sz w:val="13"/>
              </w:rPr>
              <w:t>from</w:t>
            </w:r>
            <w:r>
              <w:rPr>
                <w:spacing w:val="6"/>
                <w:sz w:val="13"/>
              </w:rPr>
              <w:t> </w:t>
            </w:r>
            <w:r>
              <w:rPr>
                <w:sz w:val="13"/>
              </w:rPr>
              <w:t>1</w:t>
            </w:r>
            <w:r>
              <w:rPr>
                <w:spacing w:val="7"/>
                <w:sz w:val="13"/>
              </w:rPr>
              <w:t> </w:t>
            </w:r>
            <w:r>
              <w:rPr>
                <w:sz w:val="13"/>
              </w:rPr>
              <w:t>May</w:t>
            </w:r>
            <w:r>
              <w:rPr>
                <w:spacing w:val="4"/>
                <w:sz w:val="13"/>
              </w:rPr>
              <w:t> </w:t>
            </w:r>
            <w:r>
              <w:rPr>
                <w:sz w:val="13"/>
              </w:rPr>
              <w:t>2019</w:t>
            </w:r>
            <w:r>
              <w:rPr>
                <w:spacing w:val="8"/>
                <w:sz w:val="13"/>
              </w:rPr>
              <w:t> </w:t>
            </w:r>
            <w:r>
              <w:rPr>
                <w:sz w:val="13"/>
              </w:rPr>
              <w:t>with</w:t>
            </w:r>
            <w:r>
              <w:rPr>
                <w:spacing w:val="5"/>
                <w:sz w:val="13"/>
              </w:rPr>
              <w:t> </w:t>
            </w:r>
            <w:r>
              <w:rPr>
                <w:spacing w:val="-5"/>
                <w:sz w:val="13"/>
              </w:rPr>
              <w:t>net</w:t>
            </w:r>
          </w:p>
        </w:tc>
        <w:tc>
          <w:tcPr>
            <w:tcW w:w="716" w:type="dxa"/>
          </w:tcPr>
          <w:p>
            <w:pPr>
              <w:pStyle w:val="TableParagraph"/>
              <w:rPr>
                <w:rFonts w:ascii="Times New Roman"/>
                <w:sz w:val="10"/>
              </w:rPr>
            </w:pPr>
          </w:p>
        </w:tc>
        <w:tc>
          <w:tcPr>
            <w:tcW w:w="916" w:type="dxa"/>
          </w:tcPr>
          <w:p>
            <w:pPr>
              <w:pStyle w:val="TableParagraph"/>
              <w:rPr>
                <w:rFonts w:ascii="Times New Roman"/>
                <w:sz w:val="10"/>
              </w:rPr>
            </w:pPr>
          </w:p>
        </w:tc>
        <w:tc>
          <w:tcPr>
            <w:tcW w:w="1926" w:type="dxa"/>
          </w:tcPr>
          <w:p>
            <w:pPr>
              <w:pStyle w:val="TableParagraph"/>
              <w:rPr>
                <w:rFonts w:ascii="Times New Roman"/>
                <w:sz w:val="10"/>
              </w:rPr>
            </w:pPr>
          </w:p>
        </w:tc>
      </w:tr>
      <w:tr>
        <w:trPr>
          <w:trHeight w:val="164" w:hRule="atLeast"/>
        </w:trPr>
        <w:tc>
          <w:tcPr>
            <w:tcW w:w="5184" w:type="dxa"/>
          </w:tcPr>
          <w:p>
            <w:pPr>
              <w:pStyle w:val="TableParagraph"/>
              <w:spacing w:line="138" w:lineRule="exact" w:before="5"/>
              <w:ind w:right="366"/>
              <w:jc w:val="right"/>
              <w:rPr>
                <w:sz w:val="13"/>
              </w:rPr>
            </w:pPr>
            <w:r>
              <w:rPr>
                <w:sz w:val="13"/>
              </w:rPr>
              <w:t>assets</w:t>
            </w:r>
            <w:r>
              <w:rPr>
                <w:spacing w:val="59"/>
                <w:sz w:val="13"/>
              </w:rPr>
              <w:t> </w:t>
            </w:r>
            <w:r>
              <w:rPr>
                <w:sz w:val="13"/>
              </w:rPr>
              <w:t>transferred</w:t>
            </w:r>
            <w:r>
              <w:rPr>
                <w:spacing w:val="61"/>
                <w:sz w:val="13"/>
              </w:rPr>
              <w:t> </w:t>
            </w:r>
            <w:r>
              <w:rPr>
                <w:sz w:val="13"/>
              </w:rPr>
              <w:t>to</w:t>
            </w:r>
            <w:r>
              <w:rPr>
                <w:spacing w:val="60"/>
                <w:sz w:val="13"/>
              </w:rPr>
              <w:t> </w:t>
            </w:r>
            <w:r>
              <w:rPr>
                <w:sz w:val="13"/>
              </w:rPr>
              <w:t>Perth</w:t>
            </w:r>
            <w:r>
              <w:rPr>
                <w:spacing w:val="61"/>
                <w:sz w:val="13"/>
              </w:rPr>
              <w:t> </w:t>
            </w:r>
            <w:r>
              <w:rPr>
                <w:sz w:val="13"/>
              </w:rPr>
              <w:t>International</w:t>
            </w:r>
            <w:r>
              <w:rPr>
                <w:spacing w:val="60"/>
                <w:sz w:val="13"/>
              </w:rPr>
              <w:t> </w:t>
            </w:r>
            <w:r>
              <w:rPr>
                <w:sz w:val="13"/>
              </w:rPr>
              <w:t>Arts</w:t>
            </w:r>
            <w:r>
              <w:rPr>
                <w:spacing w:val="62"/>
                <w:sz w:val="13"/>
              </w:rPr>
              <w:t> </w:t>
            </w:r>
            <w:r>
              <w:rPr>
                <w:sz w:val="13"/>
              </w:rPr>
              <w:t>Festival</w:t>
            </w:r>
            <w:r>
              <w:rPr>
                <w:spacing w:val="60"/>
                <w:sz w:val="13"/>
              </w:rPr>
              <w:t> </w:t>
            </w:r>
            <w:r>
              <w:rPr>
                <w:sz w:val="13"/>
              </w:rPr>
              <w:t>Ltd</w:t>
            </w:r>
            <w:r>
              <w:rPr>
                <w:spacing w:val="63"/>
                <w:sz w:val="13"/>
              </w:rPr>
              <w:t> </w:t>
            </w:r>
            <w:r>
              <w:rPr>
                <w:sz w:val="13"/>
              </w:rPr>
              <w:t>for</w:t>
            </w:r>
            <w:r>
              <w:rPr>
                <w:spacing w:val="62"/>
                <w:sz w:val="13"/>
              </w:rPr>
              <w:t> </w:t>
            </w:r>
            <w:r>
              <w:rPr>
                <w:spacing w:val="-5"/>
                <w:sz w:val="13"/>
              </w:rPr>
              <w:t>nil</w:t>
            </w:r>
          </w:p>
        </w:tc>
        <w:tc>
          <w:tcPr>
            <w:tcW w:w="716" w:type="dxa"/>
          </w:tcPr>
          <w:p>
            <w:pPr>
              <w:pStyle w:val="TableParagraph"/>
              <w:rPr>
                <w:rFonts w:ascii="Times New Roman"/>
                <w:sz w:val="10"/>
              </w:rPr>
            </w:pPr>
          </w:p>
        </w:tc>
        <w:tc>
          <w:tcPr>
            <w:tcW w:w="916" w:type="dxa"/>
          </w:tcPr>
          <w:p>
            <w:pPr>
              <w:pStyle w:val="TableParagraph"/>
              <w:rPr>
                <w:rFonts w:ascii="Times New Roman"/>
                <w:sz w:val="10"/>
              </w:rPr>
            </w:pPr>
          </w:p>
        </w:tc>
        <w:tc>
          <w:tcPr>
            <w:tcW w:w="1926" w:type="dxa"/>
          </w:tcPr>
          <w:p>
            <w:pPr>
              <w:pStyle w:val="TableParagraph"/>
              <w:rPr>
                <w:rFonts w:ascii="Times New Roman"/>
                <w:sz w:val="10"/>
              </w:rPr>
            </w:pPr>
          </w:p>
        </w:tc>
      </w:tr>
      <w:tr>
        <w:trPr>
          <w:trHeight w:val="164" w:hRule="atLeast"/>
        </w:trPr>
        <w:tc>
          <w:tcPr>
            <w:tcW w:w="5184" w:type="dxa"/>
          </w:tcPr>
          <w:p>
            <w:pPr>
              <w:pStyle w:val="TableParagraph"/>
              <w:spacing w:line="138" w:lineRule="exact" w:before="5"/>
              <w:ind w:right="365"/>
              <w:jc w:val="right"/>
              <w:rPr>
                <w:sz w:val="13"/>
              </w:rPr>
            </w:pPr>
            <w:r>
              <w:rPr>
                <w:sz w:val="13"/>
              </w:rPr>
              <w:t>proceeds.</w:t>
            </w:r>
            <w:r>
              <w:rPr>
                <w:spacing w:val="1"/>
                <w:sz w:val="13"/>
              </w:rPr>
              <w:t> </w:t>
            </w:r>
            <w:r>
              <w:rPr>
                <w:sz w:val="13"/>
              </w:rPr>
              <w:t>The</w:t>
            </w:r>
            <w:r>
              <w:rPr>
                <w:spacing w:val="2"/>
                <w:sz w:val="13"/>
              </w:rPr>
              <w:t> </w:t>
            </w:r>
            <w:r>
              <w:rPr>
                <w:sz w:val="13"/>
              </w:rPr>
              <w:t>income</w:t>
            </w:r>
            <w:r>
              <w:rPr>
                <w:spacing w:val="1"/>
                <w:sz w:val="13"/>
              </w:rPr>
              <w:t> </w:t>
            </w:r>
            <w:r>
              <w:rPr>
                <w:sz w:val="13"/>
              </w:rPr>
              <w:t>and</w:t>
            </w:r>
            <w:r>
              <w:rPr>
                <w:spacing w:val="2"/>
                <w:sz w:val="13"/>
              </w:rPr>
              <w:t> </w:t>
            </w:r>
            <w:r>
              <w:rPr>
                <w:sz w:val="13"/>
              </w:rPr>
              <w:t>expenditure</w:t>
            </w:r>
            <w:r>
              <w:rPr>
                <w:spacing w:val="4"/>
                <w:sz w:val="13"/>
              </w:rPr>
              <w:t> </w:t>
            </w:r>
            <w:r>
              <w:rPr>
                <w:sz w:val="13"/>
              </w:rPr>
              <w:t>of</w:t>
            </w:r>
            <w:r>
              <w:rPr>
                <w:spacing w:val="2"/>
                <w:sz w:val="13"/>
              </w:rPr>
              <w:t> </w:t>
            </w:r>
            <w:r>
              <w:rPr>
                <w:sz w:val="13"/>
              </w:rPr>
              <w:t>Perth</w:t>
            </w:r>
            <w:r>
              <w:rPr>
                <w:spacing w:val="4"/>
                <w:sz w:val="13"/>
              </w:rPr>
              <w:t> </w:t>
            </w:r>
            <w:r>
              <w:rPr>
                <w:sz w:val="13"/>
              </w:rPr>
              <w:t>Festival</w:t>
            </w:r>
            <w:r>
              <w:rPr>
                <w:spacing w:val="1"/>
                <w:sz w:val="13"/>
              </w:rPr>
              <w:t> </w:t>
            </w:r>
            <w:r>
              <w:rPr>
                <w:sz w:val="13"/>
              </w:rPr>
              <w:t>from</w:t>
            </w:r>
            <w:r>
              <w:rPr>
                <w:spacing w:val="3"/>
                <w:sz w:val="13"/>
              </w:rPr>
              <w:t> </w:t>
            </w:r>
            <w:r>
              <w:rPr>
                <w:sz w:val="13"/>
              </w:rPr>
              <w:t>1</w:t>
            </w:r>
            <w:r>
              <w:rPr>
                <w:spacing w:val="2"/>
                <w:sz w:val="13"/>
              </w:rPr>
              <w:t> </w:t>
            </w:r>
            <w:r>
              <w:rPr>
                <w:spacing w:val="-2"/>
                <w:sz w:val="13"/>
              </w:rPr>
              <w:t>January</w:t>
            </w:r>
          </w:p>
        </w:tc>
        <w:tc>
          <w:tcPr>
            <w:tcW w:w="716" w:type="dxa"/>
          </w:tcPr>
          <w:p>
            <w:pPr>
              <w:pStyle w:val="TableParagraph"/>
              <w:rPr>
                <w:rFonts w:ascii="Times New Roman"/>
                <w:sz w:val="10"/>
              </w:rPr>
            </w:pPr>
          </w:p>
        </w:tc>
        <w:tc>
          <w:tcPr>
            <w:tcW w:w="916" w:type="dxa"/>
          </w:tcPr>
          <w:p>
            <w:pPr>
              <w:pStyle w:val="TableParagraph"/>
              <w:rPr>
                <w:rFonts w:ascii="Times New Roman"/>
                <w:sz w:val="10"/>
              </w:rPr>
            </w:pPr>
          </w:p>
        </w:tc>
        <w:tc>
          <w:tcPr>
            <w:tcW w:w="1926" w:type="dxa"/>
          </w:tcPr>
          <w:p>
            <w:pPr>
              <w:pStyle w:val="TableParagraph"/>
              <w:rPr>
                <w:rFonts w:ascii="Times New Roman"/>
                <w:sz w:val="10"/>
              </w:rPr>
            </w:pPr>
          </w:p>
        </w:tc>
      </w:tr>
      <w:tr>
        <w:trPr>
          <w:trHeight w:val="164" w:hRule="atLeast"/>
        </w:trPr>
        <w:tc>
          <w:tcPr>
            <w:tcW w:w="5184" w:type="dxa"/>
          </w:tcPr>
          <w:p>
            <w:pPr>
              <w:pStyle w:val="TableParagraph"/>
              <w:spacing w:line="138" w:lineRule="exact" w:before="5"/>
              <w:ind w:right="366"/>
              <w:jc w:val="right"/>
              <w:rPr>
                <w:sz w:val="13"/>
              </w:rPr>
            </w:pPr>
            <w:r>
              <w:rPr>
                <w:sz w:val="13"/>
              </w:rPr>
              <w:t>to</w:t>
            </w:r>
            <w:r>
              <w:rPr>
                <w:spacing w:val="10"/>
                <w:sz w:val="13"/>
              </w:rPr>
              <w:t> </w:t>
            </w:r>
            <w:r>
              <w:rPr>
                <w:sz w:val="13"/>
              </w:rPr>
              <w:t>30</w:t>
            </w:r>
            <w:r>
              <w:rPr>
                <w:spacing w:val="13"/>
                <w:sz w:val="13"/>
              </w:rPr>
              <w:t> </w:t>
            </w:r>
            <w:r>
              <w:rPr>
                <w:sz w:val="13"/>
              </w:rPr>
              <w:t>April</w:t>
            </w:r>
            <w:r>
              <w:rPr>
                <w:spacing w:val="11"/>
                <w:sz w:val="13"/>
              </w:rPr>
              <w:t> </w:t>
            </w:r>
            <w:r>
              <w:rPr>
                <w:sz w:val="13"/>
              </w:rPr>
              <w:t>2019</w:t>
            </w:r>
            <w:r>
              <w:rPr>
                <w:spacing w:val="13"/>
                <w:sz w:val="13"/>
              </w:rPr>
              <w:t> </w:t>
            </w:r>
            <w:r>
              <w:rPr>
                <w:sz w:val="13"/>
              </w:rPr>
              <w:t>have</w:t>
            </w:r>
            <w:r>
              <w:rPr>
                <w:spacing w:val="11"/>
                <w:sz w:val="13"/>
              </w:rPr>
              <w:t> </w:t>
            </w:r>
            <w:r>
              <w:rPr>
                <w:sz w:val="13"/>
              </w:rPr>
              <w:t>been</w:t>
            </w:r>
            <w:r>
              <w:rPr>
                <w:spacing w:val="12"/>
                <w:sz w:val="13"/>
              </w:rPr>
              <w:t> </w:t>
            </w:r>
            <w:r>
              <w:rPr>
                <w:sz w:val="13"/>
              </w:rPr>
              <w:t>recognised</w:t>
            </w:r>
            <w:r>
              <w:rPr>
                <w:spacing w:val="11"/>
                <w:sz w:val="13"/>
              </w:rPr>
              <w:t> </w:t>
            </w:r>
            <w:r>
              <w:rPr>
                <w:sz w:val="13"/>
              </w:rPr>
              <w:t>as</w:t>
            </w:r>
            <w:r>
              <w:rPr>
                <w:spacing w:val="14"/>
                <w:sz w:val="13"/>
              </w:rPr>
              <w:t> </w:t>
            </w:r>
            <w:r>
              <w:rPr>
                <w:sz w:val="13"/>
              </w:rPr>
              <w:t>net</w:t>
            </w:r>
            <w:r>
              <w:rPr>
                <w:spacing w:val="12"/>
                <w:sz w:val="13"/>
              </w:rPr>
              <w:t> </w:t>
            </w:r>
            <w:r>
              <w:rPr>
                <w:sz w:val="13"/>
              </w:rPr>
              <w:t>result</w:t>
            </w:r>
            <w:r>
              <w:rPr>
                <w:spacing w:val="15"/>
                <w:sz w:val="13"/>
              </w:rPr>
              <w:t> </w:t>
            </w:r>
            <w:r>
              <w:rPr>
                <w:sz w:val="13"/>
              </w:rPr>
              <w:t>from</w:t>
            </w:r>
            <w:r>
              <w:rPr>
                <w:spacing w:val="10"/>
                <w:sz w:val="13"/>
              </w:rPr>
              <w:t> </w:t>
            </w:r>
            <w:r>
              <w:rPr>
                <w:spacing w:val="-2"/>
                <w:sz w:val="13"/>
              </w:rPr>
              <w:t>discontinued</w:t>
            </w:r>
          </w:p>
        </w:tc>
        <w:tc>
          <w:tcPr>
            <w:tcW w:w="716" w:type="dxa"/>
          </w:tcPr>
          <w:p>
            <w:pPr>
              <w:pStyle w:val="TableParagraph"/>
              <w:rPr>
                <w:rFonts w:ascii="Times New Roman"/>
                <w:sz w:val="10"/>
              </w:rPr>
            </w:pPr>
          </w:p>
        </w:tc>
        <w:tc>
          <w:tcPr>
            <w:tcW w:w="916" w:type="dxa"/>
          </w:tcPr>
          <w:p>
            <w:pPr>
              <w:pStyle w:val="TableParagraph"/>
              <w:rPr>
                <w:rFonts w:ascii="Times New Roman"/>
                <w:sz w:val="10"/>
              </w:rPr>
            </w:pPr>
          </w:p>
        </w:tc>
        <w:tc>
          <w:tcPr>
            <w:tcW w:w="1926" w:type="dxa"/>
          </w:tcPr>
          <w:p>
            <w:pPr>
              <w:pStyle w:val="TableParagraph"/>
              <w:rPr>
                <w:rFonts w:ascii="Times New Roman"/>
                <w:sz w:val="10"/>
              </w:rPr>
            </w:pPr>
          </w:p>
        </w:tc>
      </w:tr>
      <w:tr>
        <w:trPr>
          <w:trHeight w:val="164" w:hRule="atLeast"/>
        </w:trPr>
        <w:tc>
          <w:tcPr>
            <w:tcW w:w="5184" w:type="dxa"/>
          </w:tcPr>
          <w:p>
            <w:pPr>
              <w:pStyle w:val="TableParagraph"/>
              <w:spacing w:line="138" w:lineRule="exact" w:before="5"/>
              <w:ind w:right="366"/>
              <w:jc w:val="right"/>
              <w:rPr>
                <w:sz w:val="13"/>
              </w:rPr>
            </w:pPr>
            <w:r>
              <w:rPr>
                <w:sz w:val="13"/>
              </w:rPr>
              <w:t>operations,</w:t>
            </w:r>
            <w:r>
              <w:rPr>
                <w:spacing w:val="15"/>
                <w:sz w:val="13"/>
              </w:rPr>
              <w:t> </w:t>
            </w:r>
            <w:r>
              <w:rPr>
                <w:sz w:val="13"/>
              </w:rPr>
              <w:t>whilst</w:t>
            </w:r>
            <w:r>
              <w:rPr>
                <w:spacing w:val="16"/>
                <w:sz w:val="13"/>
              </w:rPr>
              <w:t> </w:t>
            </w:r>
            <w:r>
              <w:rPr>
                <w:sz w:val="13"/>
              </w:rPr>
              <w:t>the</w:t>
            </w:r>
            <w:r>
              <w:rPr>
                <w:spacing w:val="14"/>
                <w:sz w:val="13"/>
              </w:rPr>
              <w:t> </w:t>
            </w:r>
            <w:r>
              <w:rPr>
                <w:sz w:val="13"/>
              </w:rPr>
              <w:t>net</w:t>
            </w:r>
            <w:r>
              <w:rPr>
                <w:spacing w:val="16"/>
                <w:sz w:val="13"/>
              </w:rPr>
              <w:t> </w:t>
            </w:r>
            <w:r>
              <w:rPr>
                <w:sz w:val="13"/>
              </w:rPr>
              <w:t>result</w:t>
            </w:r>
            <w:r>
              <w:rPr>
                <w:spacing w:val="16"/>
                <w:sz w:val="13"/>
              </w:rPr>
              <w:t> </w:t>
            </w:r>
            <w:r>
              <w:rPr>
                <w:sz w:val="13"/>
              </w:rPr>
              <w:t>of</w:t>
            </w:r>
            <w:r>
              <w:rPr>
                <w:spacing w:val="18"/>
                <w:sz w:val="13"/>
              </w:rPr>
              <w:t> </w:t>
            </w:r>
            <w:r>
              <w:rPr>
                <w:sz w:val="13"/>
              </w:rPr>
              <w:t>the</w:t>
            </w:r>
            <w:r>
              <w:rPr>
                <w:spacing w:val="14"/>
                <w:sz w:val="13"/>
              </w:rPr>
              <w:t> </w:t>
            </w:r>
            <w:r>
              <w:rPr>
                <w:sz w:val="13"/>
              </w:rPr>
              <w:t>new</w:t>
            </w:r>
            <w:r>
              <w:rPr>
                <w:spacing w:val="16"/>
                <w:sz w:val="13"/>
              </w:rPr>
              <w:t> </w:t>
            </w:r>
            <w:r>
              <w:rPr>
                <w:sz w:val="13"/>
              </w:rPr>
              <w:t>subsidiary</w:t>
            </w:r>
            <w:r>
              <w:rPr>
                <w:spacing w:val="13"/>
                <w:sz w:val="13"/>
              </w:rPr>
              <w:t> </w:t>
            </w:r>
            <w:r>
              <w:rPr>
                <w:sz w:val="13"/>
              </w:rPr>
              <w:t>is</w:t>
            </w:r>
            <w:r>
              <w:rPr>
                <w:spacing w:val="17"/>
                <w:sz w:val="13"/>
              </w:rPr>
              <w:t> </w:t>
            </w:r>
            <w:r>
              <w:rPr>
                <w:sz w:val="13"/>
              </w:rPr>
              <w:t>recognised</w:t>
            </w:r>
            <w:r>
              <w:rPr>
                <w:spacing w:val="14"/>
                <w:sz w:val="13"/>
              </w:rPr>
              <w:t> </w:t>
            </w:r>
            <w:r>
              <w:rPr>
                <w:spacing w:val="-5"/>
                <w:sz w:val="13"/>
              </w:rPr>
              <w:t>in</w:t>
            </w:r>
          </w:p>
        </w:tc>
        <w:tc>
          <w:tcPr>
            <w:tcW w:w="716" w:type="dxa"/>
          </w:tcPr>
          <w:p>
            <w:pPr>
              <w:pStyle w:val="TableParagraph"/>
              <w:rPr>
                <w:rFonts w:ascii="Times New Roman"/>
                <w:sz w:val="10"/>
              </w:rPr>
            </w:pPr>
          </w:p>
        </w:tc>
        <w:tc>
          <w:tcPr>
            <w:tcW w:w="916" w:type="dxa"/>
          </w:tcPr>
          <w:p>
            <w:pPr>
              <w:pStyle w:val="TableParagraph"/>
              <w:rPr>
                <w:rFonts w:ascii="Times New Roman"/>
                <w:sz w:val="10"/>
              </w:rPr>
            </w:pPr>
          </w:p>
        </w:tc>
        <w:tc>
          <w:tcPr>
            <w:tcW w:w="1926" w:type="dxa"/>
          </w:tcPr>
          <w:p>
            <w:pPr>
              <w:pStyle w:val="TableParagraph"/>
              <w:rPr>
                <w:rFonts w:ascii="Times New Roman"/>
                <w:sz w:val="10"/>
              </w:rPr>
            </w:pPr>
          </w:p>
        </w:tc>
      </w:tr>
      <w:tr>
        <w:trPr>
          <w:trHeight w:val="230" w:hRule="atLeast"/>
        </w:trPr>
        <w:tc>
          <w:tcPr>
            <w:tcW w:w="5184" w:type="dxa"/>
          </w:tcPr>
          <w:p>
            <w:pPr>
              <w:pStyle w:val="TableParagraph"/>
              <w:spacing w:before="5"/>
              <w:ind w:left="608"/>
              <w:rPr>
                <w:sz w:val="13"/>
              </w:rPr>
            </w:pPr>
            <w:r>
              <w:rPr>
                <w:sz w:val="13"/>
              </w:rPr>
              <w:t>the</w:t>
            </w:r>
            <w:r>
              <w:rPr>
                <w:spacing w:val="-5"/>
                <w:sz w:val="13"/>
              </w:rPr>
              <w:t> </w:t>
            </w:r>
            <w:r>
              <w:rPr>
                <w:sz w:val="13"/>
              </w:rPr>
              <w:t>consolidated</w:t>
            </w:r>
            <w:r>
              <w:rPr>
                <w:spacing w:val="-3"/>
                <w:sz w:val="13"/>
              </w:rPr>
              <w:t> </w:t>
            </w:r>
            <w:r>
              <w:rPr>
                <w:sz w:val="13"/>
              </w:rPr>
              <w:t>net</w:t>
            </w:r>
            <w:r>
              <w:rPr>
                <w:spacing w:val="-2"/>
                <w:sz w:val="13"/>
              </w:rPr>
              <w:t> </w:t>
            </w:r>
            <w:r>
              <w:rPr>
                <w:sz w:val="13"/>
              </w:rPr>
              <w:t>result</w:t>
            </w:r>
            <w:r>
              <w:rPr>
                <w:spacing w:val="-2"/>
                <w:sz w:val="13"/>
              </w:rPr>
              <w:t> </w:t>
            </w:r>
            <w:r>
              <w:rPr>
                <w:sz w:val="13"/>
              </w:rPr>
              <w:t>of</w:t>
            </w:r>
            <w:r>
              <w:rPr>
                <w:spacing w:val="-2"/>
                <w:sz w:val="13"/>
              </w:rPr>
              <w:t> </w:t>
            </w:r>
            <w:r>
              <w:rPr>
                <w:sz w:val="13"/>
              </w:rPr>
              <w:t>the</w:t>
            </w:r>
            <w:r>
              <w:rPr>
                <w:spacing w:val="-2"/>
                <w:sz w:val="13"/>
              </w:rPr>
              <w:t> Group.</w:t>
            </w:r>
          </w:p>
        </w:tc>
        <w:tc>
          <w:tcPr>
            <w:tcW w:w="716" w:type="dxa"/>
          </w:tcPr>
          <w:p>
            <w:pPr>
              <w:pStyle w:val="TableParagraph"/>
              <w:rPr>
                <w:rFonts w:ascii="Times New Roman"/>
                <w:sz w:val="12"/>
              </w:rPr>
            </w:pPr>
          </w:p>
        </w:tc>
        <w:tc>
          <w:tcPr>
            <w:tcW w:w="916" w:type="dxa"/>
          </w:tcPr>
          <w:p>
            <w:pPr>
              <w:pStyle w:val="TableParagraph"/>
              <w:rPr>
                <w:rFonts w:ascii="Times New Roman"/>
                <w:sz w:val="12"/>
              </w:rPr>
            </w:pPr>
          </w:p>
        </w:tc>
        <w:tc>
          <w:tcPr>
            <w:tcW w:w="1926" w:type="dxa"/>
          </w:tcPr>
          <w:p>
            <w:pPr>
              <w:pStyle w:val="TableParagraph"/>
              <w:rPr>
                <w:rFonts w:ascii="Times New Roman"/>
                <w:sz w:val="12"/>
              </w:rPr>
            </w:pPr>
          </w:p>
        </w:tc>
      </w:tr>
      <w:tr>
        <w:trPr>
          <w:trHeight w:val="306" w:hRule="atLeast"/>
        </w:trPr>
        <w:tc>
          <w:tcPr>
            <w:tcW w:w="5184" w:type="dxa"/>
          </w:tcPr>
          <w:p>
            <w:pPr>
              <w:pStyle w:val="TableParagraph"/>
              <w:tabs>
                <w:tab w:pos="607" w:val="left" w:leader="none"/>
              </w:tabs>
              <w:spacing w:before="72"/>
              <w:ind w:left="26"/>
              <w:rPr>
                <w:b/>
                <w:sz w:val="13"/>
              </w:rPr>
            </w:pPr>
            <w:r>
              <w:rPr>
                <w:b/>
                <w:spacing w:val="-5"/>
                <w:sz w:val="13"/>
              </w:rPr>
              <w:t>(b)</w:t>
            </w:r>
            <w:r>
              <w:rPr>
                <w:b/>
                <w:sz w:val="13"/>
              </w:rPr>
              <w:tab/>
              <w:t>Financial</w:t>
            </w:r>
            <w:r>
              <w:rPr>
                <w:b/>
                <w:spacing w:val="-2"/>
                <w:sz w:val="13"/>
              </w:rPr>
              <w:t> </w:t>
            </w:r>
            <w:r>
              <w:rPr>
                <w:b/>
                <w:sz w:val="13"/>
              </w:rPr>
              <w:t>performance</w:t>
            </w:r>
            <w:r>
              <w:rPr>
                <w:b/>
                <w:spacing w:val="-3"/>
                <w:sz w:val="13"/>
              </w:rPr>
              <w:t> </w:t>
            </w:r>
            <w:r>
              <w:rPr>
                <w:b/>
                <w:sz w:val="13"/>
              </w:rPr>
              <w:t>and</w:t>
            </w:r>
            <w:r>
              <w:rPr>
                <w:b/>
                <w:spacing w:val="-1"/>
                <w:sz w:val="13"/>
              </w:rPr>
              <w:t> </w:t>
            </w:r>
            <w:r>
              <w:rPr>
                <w:b/>
                <w:sz w:val="13"/>
              </w:rPr>
              <w:t>cash</w:t>
            </w:r>
            <w:r>
              <w:rPr>
                <w:b/>
                <w:spacing w:val="-2"/>
                <w:sz w:val="13"/>
              </w:rPr>
              <w:t> </w:t>
            </w:r>
            <w:r>
              <w:rPr>
                <w:b/>
                <w:sz w:val="13"/>
              </w:rPr>
              <w:t>flow</w:t>
            </w:r>
            <w:r>
              <w:rPr>
                <w:b/>
                <w:spacing w:val="4"/>
                <w:sz w:val="13"/>
              </w:rPr>
              <w:t> </w:t>
            </w:r>
            <w:r>
              <w:rPr>
                <w:b/>
                <w:spacing w:val="-2"/>
                <w:sz w:val="13"/>
              </w:rPr>
              <w:t>information</w:t>
            </w:r>
          </w:p>
        </w:tc>
        <w:tc>
          <w:tcPr>
            <w:tcW w:w="716" w:type="dxa"/>
          </w:tcPr>
          <w:p>
            <w:pPr>
              <w:pStyle w:val="TableParagraph"/>
              <w:rPr>
                <w:rFonts w:ascii="Times New Roman"/>
                <w:sz w:val="12"/>
              </w:rPr>
            </w:pPr>
          </w:p>
        </w:tc>
        <w:tc>
          <w:tcPr>
            <w:tcW w:w="916" w:type="dxa"/>
          </w:tcPr>
          <w:p>
            <w:pPr>
              <w:pStyle w:val="TableParagraph"/>
              <w:rPr>
                <w:rFonts w:ascii="Times New Roman"/>
                <w:sz w:val="12"/>
              </w:rPr>
            </w:pPr>
          </w:p>
        </w:tc>
        <w:tc>
          <w:tcPr>
            <w:tcW w:w="1926" w:type="dxa"/>
          </w:tcPr>
          <w:p>
            <w:pPr>
              <w:pStyle w:val="TableParagraph"/>
              <w:rPr>
                <w:rFonts w:ascii="Times New Roman"/>
                <w:sz w:val="12"/>
              </w:rPr>
            </w:pPr>
          </w:p>
        </w:tc>
      </w:tr>
      <w:tr>
        <w:trPr>
          <w:trHeight w:val="239" w:hRule="atLeast"/>
        </w:trPr>
        <w:tc>
          <w:tcPr>
            <w:tcW w:w="5184" w:type="dxa"/>
          </w:tcPr>
          <w:p>
            <w:pPr>
              <w:pStyle w:val="TableParagraph"/>
              <w:spacing w:line="138" w:lineRule="exact" w:before="81"/>
              <w:ind w:left="608"/>
              <w:rPr>
                <w:sz w:val="13"/>
              </w:rPr>
            </w:pPr>
            <w:r>
              <w:rPr>
                <w:sz w:val="13"/>
              </w:rPr>
              <w:t>The</w:t>
            </w:r>
            <w:r>
              <w:rPr>
                <w:spacing w:val="-5"/>
                <w:sz w:val="13"/>
              </w:rPr>
              <w:t> </w:t>
            </w:r>
            <w:r>
              <w:rPr>
                <w:sz w:val="13"/>
              </w:rPr>
              <w:t>financial</w:t>
            </w:r>
            <w:r>
              <w:rPr>
                <w:spacing w:val="-4"/>
                <w:sz w:val="13"/>
              </w:rPr>
              <w:t> </w:t>
            </w:r>
            <w:r>
              <w:rPr>
                <w:sz w:val="13"/>
              </w:rPr>
              <w:t>performance</w:t>
            </w:r>
            <w:r>
              <w:rPr>
                <w:spacing w:val="-5"/>
                <w:sz w:val="13"/>
              </w:rPr>
              <w:t> </w:t>
            </w:r>
            <w:r>
              <w:rPr>
                <w:sz w:val="13"/>
              </w:rPr>
              <w:t>information</w:t>
            </w:r>
            <w:r>
              <w:rPr>
                <w:spacing w:val="-4"/>
                <w:sz w:val="13"/>
              </w:rPr>
              <w:t> </w:t>
            </w:r>
            <w:r>
              <w:rPr>
                <w:sz w:val="13"/>
              </w:rPr>
              <w:t>and</w:t>
            </w:r>
            <w:r>
              <w:rPr>
                <w:spacing w:val="-5"/>
                <w:sz w:val="13"/>
              </w:rPr>
              <w:t> </w:t>
            </w:r>
            <w:r>
              <w:rPr>
                <w:sz w:val="13"/>
              </w:rPr>
              <w:t>cash</w:t>
            </w:r>
            <w:r>
              <w:rPr>
                <w:spacing w:val="-4"/>
                <w:sz w:val="13"/>
              </w:rPr>
              <w:t> </w:t>
            </w:r>
            <w:r>
              <w:rPr>
                <w:sz w:val="13"/>
              </w:rPr>
              <w:t>flow</w:t>
            </w:r>
            <w:r>
              <w:rPr>
                <w:spacing w:val="-5"/>
                <w:sz w:val="13"/>
              </w:rPr>
              <w:t> </w:t>
            </w:r>
            <w:r>
              <w:rPr>
                <w:sz w:val="13"/>
              </w:rPr>
              <w:t>information</w:t>
            </w:r>
            <w:r>
              <w:rPr>
                <w:spacing w:val="-4"/>
                <w:sz w:val="13"/>
              </w:rPr>
              <w:t> </w:t>
            </w:r>
            <w:r>
              <w:rPr>
                <w:spacing w:val="-5"/>
                <w:sz w:val="13"/>
              </w:rPr>
              <w:t>for</w:t>
            </w:r>
          </w:p>
        </w:tc>
        <w:tc>
          <w:tcPr>
            <w:tcW w:w="716" w:type="dxa"/>
          </w:tcPr>
          <w:p>
            <w:pPr>
              <w:pStyle w:val="TableParagraph"/>
              <w:rPr>
                <w:rFonts w:ascii="Times New Roman"/>
                <w:sz w:val="12"/>
              </w:rPr>
            </w:pPr>
          </w:p>
        </w:tc>
        <w:tc>
          <w:tcPr>
            <w:tcW w:w="916" w:type="dxa"/>
          </w:tcPr>
          <w:p>
            <w:pPr>
              <w:pStyle w:val="TableParagraph"/>
              <w:rPr>
                <w:rFonts w:ascii="Times New Roman"/>
                <w:sz w:val="12"/>
              </w:rPr>
            </w:pPr>
          </w:p>
        </w:tc>
        <w:tc>
          <w:tcPr>
            <w:tcW w:w="1926" w:type="dxa"/>
          </w:tcPr>
          <w:p>
            <w:pPr>
              <w:pStyle w:val="TableParagraph"/>
              <w:rPr>
                <w:rFonts w:ascii="Times New Roman"/>
                <w:sz w:val="12"/>
              </w:rPr>
            </w:pPr>
          </w:p>
        </w:tc>
      </w:tr>
      <w:tr>
        <w:trPr>
          <w:trHeight w:val="295" w:hRule="atLeast"/>
        </w:trPr>
        <w:tc>
          <w:tcPr>
            <w:tcW w:w="5184" w:type="dxa"/>
          </w:tcPr>
          <w:p>
            <w:pPr>
              <w:pStyle w:val="TableParagraph"/>
              <w:spacing w:before="5"/>
              <w:ind w:left="608"/>
              <w:rPr>
                <w:sz w:val="13"/>
              </w:rPr>
            </w:pPr>
            <w:r>
              <w:rPr>
                <w:sz w:val="13"/>
              </w:rPr>
              <w:t>2019</w:t>
            </w:r>
            <w:r>
              <w:rPr>
                <w:spacing w:val="-5"/>
                <w:sz w:val="13"/>
              </w:rPr>
              <w:t> </w:t>
            </w:r>
            <w:r>
              <w:rPr>
                <w:sz w:val="13"/>
              </w:rPr>
              <w:t>are</w:t>
            </w:r>
            <w:r>
              <w:rPr>
                <w:spacing w:val="-3"/>
                <w:sz w:val="13"/>
              </w:rPr>
              <w:t> </w:t>
            </w:r>
            <w:r>
              <w:rPr>
                <w:sz w:val="13"/>
              </w:rPr>
              <w:t>presented</w:t>
            </w:r>
            <w:r>
              <w:rPr>
                <w:spacing w:val="-3"/>
                <w:sz w:val="13"/>
              </w:rPr>
              <w:t> </w:t>
            </w:r>
            <w:r>
              <w:rPr>
                <w:sz w:val="13"/>
              </w:rPr>
              <w:t>for</w:t>
            </w:r>
            <w:r>
              <w:rPr>
                <w:spacing w:val="-1"/>
                <w:sz w:val="13"/>
              </w:rPr>
              <w:t> </w:t>
            </w:r>
            <w:r>
              <w:rPr>
                <w:sz w:val="13"/>
              </w:rPr>
              <w:t>the</w:t>
            </w:r>
            <w:r>
              <w:rPr>
                <w:spacing w:val="-3"/>
                <w:sz w:val="13"/>
              </w:rPr>
              <w:t> </w:t>
            </w:r>
            <w:r>
              <w:rPr>
                <w:sz w:val="13"/>
              </w:rPr>
              <w:t>four</w:t>
            </w:r>
            <w:r>
              <w:rPr>
                <w:spacing w:val="-2"/>
                <w:sz w:val="13"/>
              </w:rPr>
              <w:t> </w:t>
            </w:r>
            <w:r>
              <w:rPr>
                <w:sz w:val="13"/>
              </w:rPr>
              <w:t>months</w:t>
            </w:r>
            <w:r>
              <w:rPr>
                <w:spacing w:val="-2"/>
                <w:sz w:val="13"/>
              </w:rPr>
              <w:t> </w:t>
            </w:r>
            <w:r>
              <w:rPr>
                <w:sz w:val="13"/>
              </w:rPr>
              <w:t>ended</w:t>
            </w:r>
            <w:r>
              <w:rPr>
                <w:spacing w:val="-2"/>
                <w:sz w:val="13"/>
              </w:rPr>
              <w:t> </w:t>
            </w:r>
            <w:r>
              <w:rPr>
                <w:sz w:val="13"/>
              </w:rPr>
              <w:t>1</w:t>
            </w:r>
            <w:r>
              <w:rPr>
                <w:spacing w:val="-3"/>
                <w:sz w:val="13"/>
              </w:rPr>
              <w:t> </w:t>
            </w:r>
            <w:r>
              <w:rPr>
                <w:sz w:val="13"/>
              </w:rPr>
              <w:t>May</w:t>
            </w:r>
            <w:r>
              <w:rPr>
                <w:spacing w:val="-4"/>
                <w:sz w:val="13"/>
              </w:rPr>
              <w:t> </w:t>
            </w:r>
            <w:r>
              <w:rPr>
                <w:spacing w:val="-2"/>
                <w:sz w:val="13"/>
              </w:rPr>
              <w:t>2019.</w:t>
            </w:r>
          </w:p>
        </w:tc>
        <w:tc>
          <w:tcPr>
            <w:tcW w:w="716" w:type="dxa"/>
          </w:tcPr>
          <w:p>
            <w:pPr>
              <w:pStyle w:val="TableParagraph"/>
              <w:rPr>
                <w:rFonts w:ascii="Times New Roman"/>
                <w:sz w:val="12"/>
              </w:rPr>
            </w:pPr>
          </w:p>
        </w:tc>
        <w:tc>
          <w:tcPr>
            <w:tcW w:w="916" w:type="dxa"/>
          </w:tcPr>
          <w:p>
            <w:pPr>
              <w:pStyle w:val="TableParagraph"/>
              <w:rPr>
                <w:rFonts w:ascii="Times New Roman"/>
                <w:sz w:val="12"/>
              </w:rPr>
            </w:pPr>
          </w:p>
        </w:tc>
        <w:tc>
          <w:tcPr>
            <w:tcW w:w="1926" w:type="dxa"/>
          </w:tcPr>
          <w:p>
            <w:pPr>
              <w:pStyle w:val="TableParagraph"/>
              <w:rPr>
                <w:rFonts w:ascii="Times New Roman"/>
                <w:sz w:val="12"/>
              </w:rPr>
            </w:pPr>
          </w:p>
        </w:tc>
      </w:tr>
      <w:tr>
        <w:trPr>
          <w:trHeight w:val="443" w:hRule="atLeast"/>
        </w:trPr>
        <w:tc>
          <w:tcPr>
            <w:tcW w:w="5184" w:type="dxa"/>
          </w:tcPr>
          <w:p>
            <w:pPr>
              <w:pStyle w:val="TableParagraph"/>
              <w:spacing w:line="160" w:lineRule="atLeast" w:before="103"/>
              <w:ind w:left="608" w:right="3534"/>
              <w:rPr>
                <w:sz w:val="13"/>
              </w:rPr>
            </w:pPr>
            <w:r>
              <w:rPr>
                <w:spacing w:val="-2"/>
                <w:sz w:val="13"/>
              </w:rPr>
              <w:t>Revenue</w:t>
            </w:r>
            <w:r>
              <w:rPr>
                <w:spacing w:val="40"/>
                <w:sz w:val="13"/>
              </w:rPr>
              <w:t> </w:t>
            </w:r>
            <w:r>
              <w:rPr>
                <w:spacing w:val="-2"/>
                <w:sz w:val="13"/>
              </w:rPr>
              <w:t>Expenses</w:t>
            </w:r>
          </w:p>
        </w:tc>
        <w:tc>
          <w:tcPr>
            <w:tcW w:w="716" w:type="dxa"/>
            <w:tcBorders>
              <w:bottom w:val="single" w:sz="6" w:space="0" w:color="000000"/>
            </w:tcBorders>
          </w:tcPr>
          <w:p>
            <w:pPr>
              <w:pStyle w:val="TableParagraph"/>
              <w:rPr>
                <w:rFonts w:ascii="Times New Roman"/>
                <w:sz w:val="12"/>
              </w:rPr>
            </w:pPr>
          </w:p>
        </w:tc>
        <w:tc>
          <w:tcPr>
            <w:tcW w:w="916" w:type="dxa"/>
            <w:tcBorders>
              <w:bottom w:val="single" w:sz="6" w:space="0" w:color="000000"/>
            </w:tcBorders>
          </w:tcPr>
          <w:p>
            <w:pPr>
              <w:pStyle w:val="TableParagraph"/>
              <w:spacing w:before="137"/>
              <w:ind w:left="93"/>
              <w:rPr>
                <w:sz w:val="13"/>
              </w:rPr>
            </w:pPr>
            <w:r>
              <w:rPr>
                <w:spacing w:val="-10"/>
                <w:sz w:val="13"/>
              </w:rPr>
              <w:t>-</w:t>
            </w:r>
          </w:p>
          <w:p>
            <w:pPr>
              <w:pStyle w:val="TableParagraph"/>
              <w:spacing w:line="127" w:lineRule="exact" w:before="10"/>
              <w:ind w:left="93"/>
              <w:rPr>
                <w:sz w:val="13"/>
              </w:rPr>
            </w:pPr>
            <w:r>
              <w:rPr>
                <w:spacing w:val="-10"/>
                <w:sz w:val="13"/>
              </w:rPr>
              <w:t>-</w:t>
            </w:r>
          </w:p>
        </w:tc>
        <w:tc>
          <w:tcPr>
            <w:tcW w:w="1926" w:type="dxa"/>
            <w:tcBorders>
              <w:bottom w:val="single" w:sz="6" w:space="0" w:color="000000"/>
            </w:tcBorders>
          </w:tcPr>
          <w:p>
            <w:pPr>
              <w:pStyle w:val="TableParagraph"/>
              <w:tabs>
                <w:tab w:pos="800" w:val="left" w:leader="none"/>
                <w:tab w:pos="1528" w:val="left" w:leader="none"/>
              </w:tabs>
              <w:spacing w:before="137"/>
              <w:ind w:left="93"/>
              <w:rPr>
                <w:sz w:val="13"/>
              </w:rPr>
            </w:pPr>
            <w:r>
              <w:rPr>
                <w:spacing w:val="-10"/>
                <w:sz w:val="13"/>
              </w:rPr>
              <w:t>-</w:t>
            </w:r>
            <w:r>
              <w:rPr>
                <w:sz w:val="13"/>
              </w:rPr>
              <w:tab/>
            </w:r>
            <w:r>
              <w:rPr>
                <w:spacing w:val="-10"/>
                <w:sz w:val="13"/>
              </w:rPr>
              <w:t>-</w:t>
            </w:r>
            <w:r>
              <w:rPr>
                <w:sz w:val="13"/>
              </w:rPr>
              <w:tab/>
            </w:r>
            <w:r>
              <w:rPr>
                <w:spacing w:val="-4"/>
                <w:sz w:val="13"/>
              </w:rPr>
              <w:t>6,938</w:t>
            </w:r>
          </w:p>
          <w:p>
            <w:pPr>
              <w:pStyle w:val="TableParagraph"/>
              <w:tabs>
                <w:tab w:pos="800" w:val="left" w:leader="none"/>
                <w:tab w:pos="1456" w:val="left" w:leader="none"/>
              </w:tabs>
              <w:spacing w:line="127" w:lineRule="exact" w:before="10"/>
              <w:ind w:left="93"/>
              <w:rPr>
                <w:sz w:val="13"/>
              </w:rPr>
            </w:pPr>
            <w:r>
              <w:rPr>
                <w:spacing w:val="-10"/>
                <w:sz w:val="13"/>
              </w:rPr>
              <w:t>-</w:t>
            </w:r>
            <w:r>
              <w:rPr>
                <w:sz w:val="13"/>
              </w:rPr>
              <w:tab/>
            </w:r>
            <w:r>
              <w:rPr>
                <w:spacing w:val="-10"/>
                <w:sz w:val="13"/>
              </w:rPr>
              <w:t>-</w:t>
            </w:r>
            <w:r>
              <w:rPr>
                <w:sz w:val="13"/>
              </w:rPr>
              <w:tab/>
            </w:r>
            <w:r>
              <w:rPr>
                <w:spacing w:val="-2"/>
                <w:sz w:val="13"/>
              </w:rPr>
              <w:t>10,678</w:t>
            </w:r>
          </w:p>
        </w:tc>
      </w:tr>
      <w:tr>
        <w:trPr>
          <w:trHeight w:val="146" w:hRule="atLeast"/>
        </w:trPr>
        <w:tc>
          <w:tcPr>
            <w:tcW w:w="5184" w:type="dxa"/>
          </w:tcPr>
          <w:p>
            <w:pPr>
              <w:pStyle w:val="TableParagraph"/>
              <w:spacing w:line="122" w:lineRule="exact" w:before="4"/>
              <w:ind w:left="608"/>
              <w:rPr>
                <w:b/>
                <w:sz w:val="13"/>
              </w:rPr>
            </w:pPr>
            <w:r>
              <w:rPr>
                <w:b/>
                <w:sz w:val="13"/>
              </w:rPr>
              <w:t>Net</w:t>
            </w:r>
            <w:r>
              <w:rPr>
                <w:b/>
                <w:spacing w:val="-1"/>
                <w:sz w:val="13"/>
              </w:rPr>
              <w:t> </w:t>
            </w:r>
            <w:r>
              <w:rPr>
                <w:b/>
                <w:sz w:val="13"/>
              </w:rPr>
              <w:t>result</w:t>
            </w:r>
            <w:r>
              <w:rPr>
                <w:b/>
                <w:spacing w:val="-1"/>
                <w:sz w:val="13"/>
              </w:rPr>
              <w:t> </w:t>
            </w:r>
            <w:r>
              <w:rPr>
                <w:b/>
                <w:sz w:val="13"/>
              </w:rPr>
              <w:t>of</w:t>
            </w:r>
            <w:r>
              <w:rPr>
                <w:b/>
                <w:spacing w:val="-1"/>
                <w:sz w:val="13"/>
              </w:rPr>
              <w:t> </w:t>
            </w:r>
            <w:r>
              <w:rPr>
                <w:b/>
                <w:sz w:val="13"/>
              </w:rPr>
              <w:t>discontinued</w:t>
            </w:r>
            <w:r>
              <w:rPr>
                <w:b/>
                <w:spacing w:val="-1"/>
                <w:sz w:val="13"/>
              </w:rPr>
              <w:t> </w:t>
            </w:r>
            <w:r>
              <w:rPr>
                <w:b/>
                <w:spacing w:val="-2"/>
                <w:sz w:val="13"/>
              </w:rPr>
              <w:t>operations</w:t>
            </w:r>
          </w:p>
        </w:tc>
        <w:tc>
          <w:tcPr>
            <w:tcW w:w="716" w:type="dxa"/>
            <w:tcBorders>
              <w:top w:val="single" w:sz="6" w:space="0" w:color="000000"/>
              <w:bottom w:val="single" w:sz="6" w:space="0" w:color="000000"/>
            </w:tcBorders>
          </w:tcPr>
          <w:p>
            <w:pPr>
              <w:pStyle w:val="TableParagraph"/>
              <w:rPr>
                <w:rFonts w:ascii="Times New Roman"/>
                <w:sz w:val="8"/>
              </w:rPr>
            </w:pPr>
          </w:p>
        </w:tc>
        <w:tc>
          <w:tcPr>
            <w:tcW w:w="916" w:type="dxa"/>
            <w:tcBorders>
              <w:top w:val="single" w:sz="6" w:space="0" w:color="000000"/>
              <w:bottom w:val="single" w:sz="6" w:space="0" w:color="000000"/>
            </w:tcBorders>
          </w:tcPr>
          <w:p>
            <w:pPr>
              <w:pStyle w:val="TableParagraph"/>
              <w:spacing w:line="125" w:lineRule="exact"/>
              <w:ind w:left="93"/>
              <w:rPr>
                <w:b/>
                <w:sz w:val="13"/>
              </w:rPr>
            </w:pPr>
            <w:r>
              <w:rPr>
                <w:b/>
                <w:spacing w:val="-10"/>
                <w:sz w:val="13"/>
              </w:rPr>
              <w:t>-</w:t>
            </w:r>
          </w:p>
        </w:tc>
        <w:tc>
          <w:tcPr>
            <w:tcW w:w="1926" w:type="dxa"/>
            <w:tcBorders>
              <w:top w:val="single" w:sz="6" w:space="0" w:color="000000"/>
              <w:bottom w:val="single" w:sz="6" w:space="0" w:color="000000"/>
            </w:tcBorders>
          </w:tcPr>
          <w:p>
            <w:pPr>
              <w:pStyle w:val="TableParagraph"/>
              <w:tabs>
                <w:tab w:pos="771" w:val="left" w:leader="none"/>
                <w:tab w:pos="1456" w:val="left" w:leader="none"/>
              </w:tabs>
              <w:spacing w:line="125" w:lineRule="exact"/>
              <w:ind w:left="65"/>
              <w:jc w:val="center"/>
              <w:rPr>
                <w:b/>
                <w:sz w:val="13"/>
              </w:rPr>
            </w:pPr>
            <w:r>
              <w:rPr>
                <w:b/>
                <w:spacing w:val="-10"/>
                <w:sz w:val="13"/>
              </w:rPr>
              <w:t>-</w:t>
            </w:r>
            <w:r>
              <w:rPr>
                <w:b/>
                <w:sz w:val="13"/>
              </w:rPr>
              <w:tab/>
            </w:r>
            <w:r>
              <w:rPr>
                <w:b/>
                <w:spacing w:val="-10"/>
                <w:sz w:val="13"/>
              </w:rPr>
              <w:t>-</w:t>
            </w:r>
            <w:r>
              <w:rPr>
                <w:b/>
                <w:sz w:val="13"/>
              </w:rPr>
              <w:tab/>
            </w:r>
            <w:r>
              <w:rPr>
                <w:b/>
                <w:spacing w:val="-2"/>
                <w:sz w:val="13"/>
              </w:rPr>
              <w:t>(3,740)</w:t>
            </w:r>
          </w:p>
        </w:tc>
      </w:tr>
      <w:tr>
        <w:trPr>
          <w:trHeight w:val="302" w:hRule="atLeast"/>
        </w:trPr>
        <w:tc>
          <w:tcPr>
            <w:tcW w:w="5184" w:type="dxa"/>
          </w:tcPr>
          <w:p>
            <w:pPr>
              <w:pStyle w:val="TableParagraph"/>
              <w:spacing w:before="8"/>
              <w:rPr>
                <w:b/>
                <w:sz w:val="13"/>
              </w:rPr>
            </w:pPr>
          </w:p>
          <w:p>
            <w:pPr>
              <w:pStyle w:val="TableParagraph"/>
              <w:spacing w:line="125" w:lineRule="exact"/>
              <w:ind w:left="608"/>
              <w:rPr>
                <w:sz w:val="13"/>
              </w:rPr>
            </w:pPr>
            <w:r>
              <w:rPr>
                <w:sz w:val="13"/>
              </w:rPr>
              <w:t>Gain</w:t>
            </w:r>
            <w:r>
              <w:rPr>
                <w:spacing w:val="-2"/>
                <w:sz w:val="13"/>
              </w:rPr>
              <w:t> </w:t>
            </w:r>
            <w:r>
              <w:rPr>
                <w:sz w:val="13"/>
              </w:rPr>
              <w:t>on</w:t>
            </w:r>
            <w:r>
              <w:rPr>
                <w:spacing w:val="-1"/>
                <w:sz w:val="13"/>
              </w:rPr>
              <w:t> </w:t>
            </w:r>
            <w:r>
              <w:rPr>
                <w:sz w:val="13"/>
              </w:rPr>
              <w:t>sale</w:t>
            </w:r>
            <w:r>
              <w:rPr>
                <w:spacing w:val="-2"/>
                <w:sz w:val="13"/>
              </w:rPr>
              <w:t> </w:t>
            </w:r>
            <w:r>
              <w:rPr>
                <w:sz w:val="13"/>
              </w:rPr>
              <w:t>of the</w:t>
            </w:r>
            <w:r>
              <w:rPr>
                <w:spacing w:val="-1"/>
                <w:sz w:val="13"/>
              </w:rPr>
              <w:t> </w:t>
            </w:r>
            <w:r>
              <w:rPr>
                <w:spacing w:val="-2"/>
                <w:sz w:val="13"/>
              </w:rPr>
              <w:t>division</w:t>
            </w:r>
          </w:p>
        </w:tc>
        <w:tc>
          <w:tcPr>
            <w:tcW w:w="716" w:type="dxa"/>
            <w:tcBorders>
              <w:top w:val="single" w:sz="6" w:space="0" w:color="000000"/>
              <w:bottom w:val="single" w:sz="6" w:space="0" w:color="000000"/>
            </w:tcBorders>
          </w:tcPr>
          <w:p>
            <w:pPr>
              <w:pStyle w:val="TableParagraph"/>
              <w:rPr>
                <w:rFonts w:ascii="Times New Roman"/>
                <w:sz w:val="12"/>
              </w:rPr>
            </w:pPr>
          </w:p>
        </w:tc>
        <w:tc>
          <w:tcPr>
            <w:tcW w:w="916" w:type="dxa"/>
            <w:tcBorders>
              <w:top w:val="single" w:sz="6" w:space="0" w:color="000000"/>
              <w:bottom w:val="single" w:sz="6" w:space="0" w:color="000000"/>
            </w:tcBorders>
          </w:tcPr>
          <w:p>
            <w:pPr>
              <w:pStyle w:val="TableParagraph"/>
              <w:spacing w:before="7"/>
              <w:rPr>
                <w:b/>
                <w:sz w:val="13"/>
              </w:rPr>
            </w:pPr>
          </w:p>
          <w:p>
            <w:pPr>
              <w:pStyle w:val="TableParagraph"/>
              <w:spacing w:line="127" w:lineRule="exact"/>
              <w:ind w:left="93"/>
              <w:rPr>
                <w:sz w:val="13"/>
              </w:rPr>
            </w:pPr>
            <w:r>
              <w:rPr>
                <w:spacing w:val="-10"/>
                <w:sz w:val="13"/>
              </w:rPr>
              <w:t>-</w:t>
            </w:r>
          </w:p>
        </w:tc>
        <w:tc>
          <w:tcPr>
            <w:tcW w:w="1926" w:type="dxa"/>
            <w:tcBorders>
              <w:top w:val="single" w:sz="6" w:space="0" w:color="000000"/>
              <w:bottom w:val="single" w:sz="6" w:space="0" w:color="000000"/>
            </w:tcBorders>
          </w:tcPr>
          <w:p>
            <w:pPr>
              <w:pStyle w:val="TableParagraph"/>
              <w:spacing w:before="7"/>
              <w:rPr>
                <w:b/>
                <w:sz w:val="13"/>
              </w:rPr>
            </w:pPr>
          </w:p>
          <w:p>
            <w:pPr>
              <w:pStyle w:val="TableParagraph"/>
              <w:tabs>
                <w:tab w:pos="698" w:val="left" w:leader="none"/>
                <w:tab w:pos="1752" w:val="left" w:leader="none"/>
              </w:tabs>
              <w:spacing w:line="127" w:lineRule="exact"/>
              <w:ind w:left="28"/>
              <w:jc w:val="center"/>
              <w:rPr>
                <w:sz w:val="13"/>
              </w:rPr>
            </w:pPr>
            <w:r>
              <w:rPr>
                <w:spacing w:val="-10"/>
                <w:sz w:val="13"/>
              </w:rPr>
              <w:t>-</w:t>
            </w:r>
            <w:r>
              <w:rPr>
                <w:sz w:val="13"/>
              </w:rPr>
              <w:tab/>
            </w:r>
            <w:r>
              <w:rPr>
                <w:spacing w:val="-10"/>
                <w:sz w:val="13"/>
              </w:rPr>
              <w:t>-</w:t>
            </w:r>
            <w:r>
              <w:rPr>
                <w:sz w:val="13"/>
              </w:rPr>
              <w:tab/>
            </w:r>
            <w:r>
              <w:rPr>
                <w:spacing w:val="-10"/>
                <w:sz w:val="13"/>
              </w:rPr>
              <w:t>-</w:t>
            </w:r>
          </w:p>
        </w:tc>
      </w:tr>
      <w:tr>
        <w:trPr>
          <w:trHeight w:val="146" w:hRule="atLeast"/>
        </w:trPr>
        <w:tc>
          <w:tcPr>
            <w:tcW w:w="5184" w:type="dxa"/>
          </w:tcPr>
          <w:p>
            <w:pPr>
              <w:pStyle w:val="TableParagraph"/>
              <w:spacing w:line="122" w:lineRule="exact" w:before="4"/>
              <w:ind w:left="608"/>
              <w:rPr>
                <w:b/>
                <w:sz w:val="13"/>
              </w:rPr>
            </w:pPr>
            <w:r>
              <w:rPr>
                <w:b/>
                <w:sz w:val="13"/>
              </w:rPr>
              <w:t>Profit/(loss)</w:t>
            </w:r>
            <w:r>
              <w:rPr>
                <w:b/>
                <w:spacing w:val="-2"/>
                <w:sz w:val="13"/>
              </w:rPr>
              <w:t> </w:t>
            </w:r>
            <w:r>
              <w:rPr>
                <w:b/>
                <w:sz w:val="13"/>
              </w:rPr>
              <w:t>from</w:t>
            </w:r>
            <w:r>
              <w:rPr>
                <w:b/>
                <w:spacing w:val="-3"/>
                <w:sz w:val="13"/>
              </w:rPr>
              <w:t> </w:t>
            </w:r>
            <w:r>
              <w:rPr>
                <w:b/>
                <w:sz w:val="13"/>
              </w:rPr>
              <w:t>discontinued</w:t>
            </w:r>
            <w:r>
              <w:rPr>
                <w:b/>
                <w:spacing w:val="-1"/>
                <w:sz w:val="13"/>
              </w:rPr>
              <w:t> </w:t>
            </w:r>
            <w:r>
              <w:rPr>
                <w:b/>
                <w:spacing w:val="-2"/>
                <w:sz w:val="13"/>
              </w:rPr>
              <w:t>operations</w:t>
            </w:r>
          </w:p>
        </w:tc>
        <w:tc>
          <w:tcPr>
            <w:tcW w:w="716" w:type="dxa"/>
            <w:tcBorders>
              <w:top w:val="single" w:sz="6" w:space="0" w:color="000000"/>
              <w:bottom w:val="single" w:sz="6" w:space="0" w:color="000000"/>
            </w:tcBorders>
          </w:tcPr>
          <w:p>
            <w:pPr>
              <w:pStyle w:val="TableParagraph"/>
              <w:rPr>
                <w:rFonts w:ascii="Times New Roman"/>
                <w:sz w:val="8"/>
              </w:rPr>
            </w:pPr>
          </w:p>
        </w:tc>
        <w:tc>
          <w:tcPr>
            <w:tcW w:w="916" w:type="dxa"/>
            <w:tcBorders>
              <w:top w:val="single" w:sz="6" w:space="0" w:color="000000"/>
              <w:bottom w:val="single" w:sz="6" w:space="0" w:color="000000"/>
            </w:tcBorders>
          </w:tcPr>
          <w:p>
            <w:pPr>
              <w:pStyle w:val="TableParagraph"/>
              <w:spacing w:line="125" w:lineRule="exact"/>
              <w:ind w:left="93"/>
              <w:rPr>
                <w:b/>
                <w:sz w:val="13"/>
              </w:rPr>
            </w:pPr>
            <w:r>
              <w:rPr>
                <w:b/>
                <w:spacing w:val="-10"/>
                <w:sz w:val="13"/>
              </w:rPr>
              <w:t>-</w:t>
            </w:r>
          </w:p>
        </w:tc>
        <w:tc>
          <w:tcPr>
            <w:tcW w:w="1926" w:type="dxa"/>
            <w:tcBorders>
              <w:top w:val="single" w:sz="6" w:space="0" w:color="000000"/>
              <w:bottom w:val="single" w:sz="6" w:space="0" w:color="000000"/>
            </w:tcBorders>
          </w:tcPr>
          <w:p>
            <w:pPr>
              <w:pStyle w:val="TableParagraph"/>
              <w:tabs>
                <w:tab w:pos="771" w:val="left" w:leader="none"/>
                <w:tab w:pos="1456" w:val="left" w:leader="none"/>
              </w:tabs>
              <w:spacing w:line="125" w:lineRule="exact"/>
              <w:ind w:left="65"/>
              <w:jc w:val="center"/>
              <w:rPr>
                <w:b/>
                <w:sz w:val="13"/>
              </w:rPr>
            </w:pPr>
            <w:r>
              <w:rPr>
                <w:b/>
                <w:spacing w:val="-10"/>
                <w:sz w:val="13"/>
              </w:rPr>
              <w:t>-</w:t>
            </w:r>
            <w:r>
              <w:rPr>
                <w:b/>
                <w:sz w:val="13"/>
              </w:rPr>
              <w:tab/>
            </w:r>
            <w:r>
              <w:rPr>
                <w:b/>
                <w:spacing w:val="-10"/>
                <w:sz w:val="13"/>
              </w:rPr>
              <w:t>-</w:t>
            </w:r>
            <w:r>
              <w:rPr>
                <w:b/>
                <w:sz w:val="13"/>
              </w:rPr>
              <w:tab/>
            </w:r>
            <w:r>
              <w:rPr>
                <w:b/>
                <w:spacing w:val="-2"/>
                <w:sz w:val="13"/>
              </w:rPr>
              <w:t>(3,740)</w:t>
            </w:r>
          </w:p>
        </w:tc>
      </w:tr>
      <w:tr>
        <w:trPr>
          <w:trHeight w:val="462" w:hRule="atLeast"/>
        </w:trPr>
        <w:tc>
          <w:tcPr>
            <w:tcW w:w="5184" w:type="dxa"/>
          </w:tcPr>
          <w:p>
            <w:pPr>
              <w:pStyle w:val="TableParagraph"/>
              <w:spacing w:line="160" w:lineRule="atLeast" w:before="122"/>
              <w:ind w:left="608" w:right="2022"/>
              <w:rPr>
                <w:sz w:val="13"/>
              </w:rPr>
            </w:pPr>
            <w:r>
              <w:rPr>
                <w:sz w:val="13"/>
              </w:rPr>
              <w:t>Consideration</w:t>
            </w:r>
            <w:r>
              <w:rPr>
                <w:spacing w:val="-10"/>
                <w:sz w:val="13"/>
              </w:rPr>
              <w:t> </w:t>
            </w:r>
            <w:r>
              <w:rPr>
                <w:sz w:val="13"/>
              </w:rPr>
              <w:t>received</w:t>
            </w:r>
            <w:r>
              <w:rPr>
                <w:spacing w:val="-9"/>
                <w:sz w:val="13"/>
              </w:rPr>
              <w:t> </w:t>
            </w:r>
            <w:r>
              <w:rPr>
                <w:sz w:val="13"/>
              </w:rPr>
              <w:t>or</w:t>
            </w:r>
            <w:r>
              <w:rPr>
                <w:spacing w:val="-9"/>
                <w:sz w:val="13"/>
              </w:rPr>
              <w:t> </w:t>
            </w:r>
            <w:r>
              <w:rPr>
                <w:sz w:val="13"/>
              </w:rPr>
              <w:t>receivable</w:t>
            </w:r>
            <w:r>
              <w:rPr>
                <w:spacing w:val="40"/>
                <w:sz w:val="13"/>
              </w:rPr>
              <w:t> </w:t>
            </w:r>
            <w:r>
              <w:rPr>
                <w:sz w:val="13"/>
              </w:rPr>
              <w:t>Carrying amount of net assets sold</w:t>
            </w:r>
          </w:p>
        </w:tc>
        <w:tc>
          <w:tcPr>
            <w:tcW w:w="716" w:type="dxa"/>
            <w:tcBorders>
              <w:top w:val="single" w:sz="6" w:space="0" w:color="000000"/>
              <w:bottom w:val="single" w:sz="6" w:space="0" w:color="000000"/>
            </w:tcBorders>
          </w:tcPr>
          <w:p>
            <w:pPr>
              <w:pStyle w:val="TableParagraph"/>
              <w:rPr>
                <w:rFonts w:ascii="Times New Roman"/>
                <w:sz w:val="12"/>
              </w:rPr>
            </w:pPr>
          </w:p>
        </w:tc>
        <w:tc>
          <w:tcPr>
            <w:tcW w:w="916" w:type="dxa"/>
            <w:tcBorders>
              <w:top w:val="single" w:sz="6" w:space="0" w:color="000000"/>
              <w:bottom w:val="single" w:sz="6" w:space="0" w:color="000000"/>
            </w:tcBorders>
          </w:tcPr>
          <w:p>
            <w:pPr>
              <w:pStyle w:val="TableParagraph"/>
              <w:spacing w:before="7"/>
              <w:rPr>
                <w:b/>
                <w:sz w:val="13"/>
              </w:rPr>
            </w:pPr>
          </w:p>
          <w:p>
            <w:pPr>
              <w:pStyle w:val="TableParagraph"/>
              <w:ind w:left="93"/>
              <w:rPr>
                <w:sz w:val="13"/>
              </w:rPr>
            </w:pPr>
            <w:r>
              <w:rPr>
                <w:spacing w:val="-10"/>
                <w:sz w:val="13"/>
              </w:rPr>
              <w:t>-</w:t>
            </w:r>
          </w:p>
          <w:p>
            <w:pPr>
              <w:pStyle w:val="TableParagraph"/>
              <w:spacing w:line="127" w:lineRule="exact" w:before="10"/>
              <w:ind w:left="93"/>
              <w:rPr>
                <w:sz w:val="13"/>
              </w:rPr>
            </w:pPr>
            <w:r>
              <w:rPr>
                <w:spacing w:val="-10"/>
                <w:sz w:val="13"/>
              </w:rPr>
              <w:t>-</w:t>
            </w:r>
          </w:p>
        </w:tc>
        <w:tc>
          <w:tcPr>
            <w:tcW w:w="1926" w:type="dxa"/>
            <w:tcBorders>
              <w:top w:val="single" w:sz="6" w:space="0" w:color="000000"/>
              <w:bottom w:val="single" w:sz="6" w:space="0" w:color="000000"/>
            </w:tcBorders>
          </w:tcPr>
          <w:p>
            <w:pPr>
              <w:pStyle w:val="TableParagraph"/>
              <w:spacing w:before="7"/>
              <w:rPr>
                <w:b/>
                <w:sz w:val="13"/>
              </w:rPr>
            </w:pPr>
          </w:p>
          <w:p>
            <w:pPr>
              <w:pStyle w:val="TableParagraph"/>
              <w:tabs>
                <w:tab w:pos="763" w:val="left" w:leader="none"/>
                <w:tab w:pos="1817" w:val="left" w:leader="none"/>
              </w:tabs>
              <w:ind w:left="93"/>
              <w:rPr>
                <w:sz w:val="13"/>
              </w:rPr>
            </w:pPr>
            <w:r>
              <w:rPr>
                <w:spacing w:val="-10"/>
                <w:sz w:val="13"/>
              </w:rPr>
              <w:t>-</w:t>
            </w:r>
            <w:r>
              <w:rPr>
                <w:sz w:val="13"/>
              </w:rPr>
              <w:tab/>
            </w:r>
            <w:r>
              <w:rPr>
                <w:spacing w:val="-10"/>
                <w:sz w:val="13"/>
              </w:rPr>
              <w:t>-</w:t>
            </w:r>
            <w:r>
              <w:rPr>
                <w:sz w:val="13"/>
              </w:rPr>
              <w:tab/>
            </w:r>
            <w:r>
              <w:rPr>
                <w:spacing w:val="-10"/>
                <w:sz w:val="13"/>
              </w:rPr>
              <w:t>-</w:t>
            </w:r>
          </w:p>
          <w:p>
            <w:pPr>
              <w:pStyle w:val="TableParagraph"/>
              <w:tabs>
                <w:tab w:pos="1528" w:val="left" w:leader="none"/>
              </w:tabs>
              <w:spacing w:line="127" w:lineRule="exact" w:before="10"/>
              <w:ind w:left="93"/>
              <w:rPr>
                <w:sz w:val="13"/>
              </w:rPr>
            </w:pPr>
            <w:r>
              <w:rPr>
                <w:spacing w:val="-10"/>
                <w:sz w:val="13"/>
              </w:rPr>
              <w:t>-</w:t>
            </w:r>
            <w:r>
              <w:rPr>
                <w:sz w:val="13"/>
              </w:rPr>
              <w:tab/>
            </w:r>
            <w:r>
              <w:rPr>
                <w:spacing w:val="-4"/>
                <w:sz w:val="13"/>
              </w:rPr>
              <w:t>3,507</w:t>
            </w:r>
          </w:p>
        </w:tc>
      </w:tr>
      <w:tr>
        <w:trPr>
          <w:trHeight w:val="144" w:hRule="atLeast"/>
        </w:trPr>
        <w:tc>
          <w:tcPr>
            <w:tcW w:w="5184" w:type="dxa"/>
          </w:tcPr>
          <w:p>
            <w:pPr>
              <w:pStyle w:val="TableParagraph"/>
              <w:spacing w:line="125" w:lineRule="exact"/>
              <w:ind w:left="608"/>
              <w:rPr>
                <w:b/>
                <w:sz w:val="13"/>
              </w:rPr>
            </w:pPr>
            <w:r>
              <w:rPr>
                <w:b/>
                <w:sz w:val="13"/>
              </w:rPr>
              <w:t>Loss</w:t>
            </w:r>
            <w:r>
              <w:rPr>
                <w:b/>
                <w:spacing w:val="-3"/>
                <w:sz w:val="13"/>
              </w:rPr>
              <w:t> </w:t>
            </w:r>
            <w:r>
              <w:rPr>
                <w:b/>
                <w:sz w:val="13"/>
              </w:rPr>
              <w:t>on</w:t>
            </w:r>
            <w:r>
              <w:rPr>
                <w:b/>
                <w:spacing w:val="1"/>
                <w:sz w:val="13"/>
              </w:rPr>
              <w:t> </w:t>
            </w:r>
            <w:r>
              <w:rPr>
                <w:b/>
                <w:spacing w:val="-2"/>
                <w:sz w:val="13"/>
              </w:rPr>
              <w:t>disposal</w:t>
            </w:r>
          </w:p>
        </w:tc>
        <w:tc>
          <w:tcPr>
            <w:tcW w:w="716" w:type="dxa"/>
            <w:tcBorders>
              <w:top w:val="single" w:sz="6" w:space="0" w:color="000000"/>
              <w:bottom w:val="single" w:sz="6" w:space="0" w:color="000000"/>
            </w:tcBorders>
          </w:tcPr>
          <w:p>
            <w:pPr>
              <w:pStyle w:val="TableParagraph"/>
              <w:rPr>
                <w:rFonts w:ascii="Times New Roman"/>
                <w:sz w:val="8"/>
              </w:rPr>
            </w:pPr>
          </w:p>
        </w:tc>
        <w:tc>
          <w:tcPr>
            <w:tcW w:w="916" w:type="dxa"/>
            <w:tcBorders>
              <w:top w:val="single" w:sz="6" w:space="0" w:color="000000"/>
              <w:bottom w:val="single" w:sz="6" w:space="0" w:color="000000"/>
            </w:tcBorders>
          </w:tcPr>
          <w:p>
            <w:pPr>
              <w:pStyle w:val="TableParagraph"/>
              <w:spacing w:line="125" w:lineRule="exact"/>
              <w:ind w:left="93"/>
              <w:rPr>
                <w:b/>
                <w:sz w:val="13"/>
              </w:rPr>
            </w:pPr>
            <w:r>
              <w:rPr>
                <w:b/>
                <w:spacing w:val="-10"/>
                <w:sz w:val="13"/>
              </w:rPr>
              <w:t>-</w:t>
            </w:r>
          </w:p>
        </w:tc>
        <w:tc>
          <w:tcPr>
            <w:tcW w:w="1926" w:type="dxa"/>
            <w:tcBorders>
              <w:top w:val="single" w:sz="6" w:space="0" w:color="000000"/>
              <w:bottom w:val="single" w:sz="6" w:space="0" w:color="000000"/>
            </w:tcBorders>
          </w:tcPr>
          <w:p>
            <w:pPr>
              <w:pStyle w:val="TableParagraph"/>
              <w:tabs>
                <w:tab w:pos="728" w:val="left" w:leader="none"/>
                <w:tab w:pos="1457" w:val="left" w:leader="none"/>
              </w:tabs>
              <w:spacing w:line="125" w:lineRule="exact"/>
              <w:ind w:left="22"/>
              <w:jc w:val="center"/>
              <w:rPr>
                <w:b/>
                <w:sz w:val="13"/>
              </w:rPr>
            </w:pPr>
            <w:r>
              <w:rPr>
                <w:b/>
                <w:spacing w:val="-10"/>
                <w:sz w:val="13"/>
              </w:rPr>
              <w:t>-</w:t>
            </w:r>
            <w:r>
              <w:rPr>
                <w:b/>
                <w:sz w:val="13"/>
              </w:rPr>
              <w:tab/>
            </w:r>
            <w:r>
              <w:rPr>
                <w:b/>
                <w:spacing w:val="-10"/>
                <w:sz w:val="13"/>
              </w:rPr>
              <w:t>-</w:t>
            </w:r>
            <w:r>
              <w:rPr>
                <w:b/>
                <w:sz w:val="13"/>
              </w:rPr>
              <w:tab/>
            </w:r>
            <w:r>
              <w:rPr>
                <w:b/>
                <w:spacing w:val="-4"/>
                <w:sz w:val="13"/>
              </w:rPr>
              <w:t>3,507</w:t>
            </w:r>
          </w:p>
        </w:tc>
      </w:tr>
      <w:tr>
        <w:trPr>
          <w:trHeight w:val="470" w:hRule="atLeast"/>
        </w:trPr>
        <w:tc>
          <w:tcPr>
            <w:tcW w:w="5184" w:type="dxa"/>
          </w:tcPr>
          <w:p>
            <w:pPr>
              <w:pStyle w:val="TableParagraph"/>
              <w:spacing w:before="3"/>
              <w:rPr>
                <w:b/>
                <w:sz w:val="13"/>
              </w:rPr>
            </w:pPr>
          </w:p>
          <w:p>
            <w:pPr>
              <w:pStyle w:val="TableParagraph"/>
              <w:ind w:left="608"/>
              <w:rPr>
                <w:b/>
                <w:sz w:val="13"/>
              </w:rPr>
            </w:pPr>
            <w:r>
              <w:rPr>
                <w:b/>
                <w:sz w:val="13"/>
              </w:rPr>
              <w:t>Income</w:t>
            </w:r>
            <w:r>
              <w:rPr>
                <w:b/>
                <w:spacing w:val="-2"/>
                <w:sz w:val="13"/>
              </w:rPr>
              <w:t> </w:t>
            </w:r>
            <w:r>
              <w:rPr>
                <w:b/>
                <w:sz w:val="13"/>
              </w:rPr>
              <w:t>from</w:t>
            </w:r>
            <w:r>
              <w:rPr>
                <w:b/>
                <w:spacing w:val="-2"/>
                <w:sz w:val="13"/>
              </w:rPr>
              <w:t> </w:t>
            </w:r>
            <w:r>
              <w:rPr>
                <w:b/>
                <w:sz w:val="13"/>
              </w:rPr>
              <w:t>discontinued</w:t>
            </w:r>
            <w:r>
              <w:rPr>
                <w:b/>
                <w:spacing w:val="-1"/>
                <w:sz w:val="13"/>
              </w:rPr>
              <w:t> </w:t>
            </w:r>
            <w:r>
              <w:rPr>
                <w:b/>
                <w:spacing w:val="-2"/>
                <w:sz w:val="13"/>
              </w:rPr>
              <w:t>operations</w:t>
            </w:r>
          </w:p>
          <w:p>
            <w:pPr>
              <w:pStyle w:val="TableParagraph"/>
              <w:spacing w:line="138" w:lineRule="exact" w:before="10"/>
              <w:ind w:left="608"/>
              <w:rPr>
                <w:sz w:val="13"/>
              </w:rPr>
            </w:pPr>
            <w:r>
              <w:rPr>
                <w:sz w:val="13"/>
              </w:rPr>
              <w:t>Western</w:t>
            </w:r>
            <w:r>
              <w:rPr>
                <w:spacing w:val="-3"/>
                <w:sz w:val="13"/>
              </w:rPr>
              <w:t> </w:t>
            </w:r>
            <w:r>
              <w:rPr>
                <w:sz w:val="13"/>
              </w:rPr>
              <w:t>Australian</w:t>
            </w:r>
            <w:r>
              <w:rPr>
                <w:spacing w:val="-3"/>
                <w:sz w:val="13"/>
              </w:rPr>
              <w:t> </w:t>
            </w:r>
            <w:r>
              <w:rPr>
                <w:sz w:val="13"/>
              </w:rPr>
              <w:t>and</w:t>
            </w:r>
            <w:r>
              <w:rPr>
                <w:spacing w:val="-3"/>
                <w:sz w:val="13"/>
              </w:rPr>
              <w:t> </w:t>
            </w:r>
            <w:r>
              <w:rPr>
                <w:sz w:val="13"/>
              </w:rPr>
              <w:t>Local</w:t>
            </w:r>
            <w:r>
              <w:rPr>
                <w:spacing w:val="-3"/>
                <w:sz w:val="13"/>
              </w:rPr>
              <w:t> </w:t>
            </w:r>
            <w:r>
              <w:rPr>
                <w:sz w:val="13"/>
              </w:rPr>
              <w:t>Government</w:t>
            </w:r>
            <w:r>
              <w:rPr>
                <w:spacing w:val="-3"/>
                <w:sz w:val="13"/>
              </w:rPr>
              <w:t> </w:t>
            </w:r>
            <w:r>
              <w:rPr>
                <w:sz w:val="13"/>
              </w:rPr>
              <w:t>financial</w:t>
            </w:r>
            <w:r>
              <w:rPr>
                <w:spacing w:val="-2"/>
                <w:sz w:val="13"/>
              </w:rPr>
              <w:t> assistance</w:t>
            </w:r>
          </w:p>
        </w:tc>
        <w:tc>
          <w:tcPr>
            <w:tcW w:w="716" w:type="dxa"/>
            <w:tcBorders>
              <w:top w:val="single" w:sz="6" w:space="0" w:color="000000"/>
            </w:tcBorders>
          </w:tcPr>
          <w:p>
            <w:pPr>
              <w:pStyle w:val="TableParagraph"/>
              <w:rPr>
                <w:rFonts w:ascii="Times New Roman"/>
                <w:sz w:val="12"/>
              </w:rPr>
            </w:pPr>
          </w:p>
        </w:tc>
        <w:tc>
          <w:tcPr>
            <w:tcW w:w="916" w:type="dxa"/>
            <w:tcBorders>
              <w:top w:val="single" w:sz="6" w:space="0" w:color="000000"/>
            </w:tcBorders>
          </w:tcPr>
          <w:p>
            <w:pPr>
              <w:pStyle w:val="TableParagraph"/>
              <w:rPr>
                <w:b/>
                <w:sz w:val="13"/>
              </w:rPr>
            </w:pPr>
          </w:p>
          <w:p>
            <w:pPr>
              <w:pStyle w:val="TableParagraph"/>
              <w:spacing w:before="17"/>
              <w:rPr>
                <w:b/>
                <w:sz w:val="13"/>
              </w:rPr>
            </w:pPr>
          </w:p>
          <w:p>
            <w:pPr>
              <w:pStyle w:val="TableParagraph"/>
              <w:spacing w:line="134" w:lineRule="exact" w:before="1"/>
              <w:ind w:left="93"/>
              <w:rPr>
                <w:sz w:val="13"/>
              </w:rPr>
            </w:pPr>
            <w:r>
              <w:rPr>
                <w:spacing w:val="-10"/>
                <w:sz w:val="13"/>
              </w:rPr>
              <w:t>-</w:t>
            </w:r>
          </w:p>
        </w:tc>
        <w:tc>
          <w:tcPr>
            <w:tcW w:w="1926" w:type="dxa"/>
            <w:tcBorders>
              <w:top w:val="single" w:sz="6" w:space="0" w:color="000000"/>
            </w:tcBorders>
          </w:tcPr>
          <w:p>
            <w:pPr>
              <w:pStyle w:val="TableParagraph"/>
              <w:rPr>
                <w:b/>
                <w:sz w:val="13"/>
              </w:rPr>
            </w:pPr>
          </w:p>
          <w:p>
            <w:pPr>
              <w:pStyle w:val="TableParagraph"/>
              <w:spacing w:before="17"/>
              <w:rPr>
                <w:b/>
                <w:sz w:val="13"/>
              </w:rPr>
            </w:pPr>
          </w:p>
          <w:p>
            <w:pPr>
              <w:pStyle w:val="TableParagraph"/>
              <w:tabs>
                <w:tab w:pos="728" w:val="left" w:leader="none"/>
                <w:tab w:pos="1566" w:val="left" w:leader="none"/>
              </w:tabs>
              <w:spacing w:line="134" w:lineRule="exact" w:before="1"/>
              <w:ind w:left="22"/>
              <w:jc w:val="center"/>
              <w:rPr>
                <w:sz w:val="13"/>
              </w:rPr>
            </w:pPr>
            <w:r>
              <w:rPr>
                <w:spacing w:val="-10"/>
                <w:sz w:val="13"/>
              </w:rPr>
              <w:t>-</w:t>
            </w:r>
            <w:r>
              <w:rPr>
                <w:sz w:val="13"/>
              </w:rPr>
              <w:tab/>
            </w:r>
            <w:r>
              <w:rPr>
                <w:spacing w:val="-10"/>
                <w:sz w:val="13"/>
              </w:rPr>
              <w:t>-</w:t>
            </w:r>
            <w:r>
              <w:rPr>
                <w:sz w:val="13"/>
              </w:rPr>
              <w:tab/>
            </w:r>
            <w:r>
              <w:rPr>
                <w:spacing w:val="-5"/>
                <w:sz w:val="13"/>
              </w:rPr>
              <w:t>443</w:t>
            </w:r>
          </w:p>
        </w:tc>
      </w:tr>
      <w:tr>
        <w:trPr>
          <w:trHeight w:val="312" w:hRule="atLeast"/>
        </w:trPr>
        <w:tc>
          <w:tcPr>
            <w:tcW w:w="5184" w:type="dxa"/>
          </w:tcPr>
          <w:p>
            <w:pPr>
              <w:pStyle w:val="TableParagraph"/>
              <w:spacing w:before="1"/>
              <w:ind w:left="608"/>
              <w:rPr>
                <w:sz w:val="13"/>
              </w:rPr>
            </w:pPr>
            <w:r>
              <w:rPr>
                <w:sz w:val="13"/>
              </w:rPr>
              <w:t>Investment</w:t>
            </w:r>
            <w:r>
              <w:rPr>
                <w:spacing w:val="-3"/>
                <w:sz w:val="13"/>
              </w:rPr>
              <w:t> </w:t>
            </w:r>
            <w:r>
              <w:rPr>
                <w:sz w:val="13"/>
              </w:rPr>
              <w:t>revenue</w:t>
            </w:r>
            <w:r>
              <w:rPr>
                <w:spacing w:val="-4"/>
                <w:sz w:val="13"/>
              </w:rPr>
              <w:t> </w:t>
            </w:r>
            <w:r>
              <w:rPr>
                <w:sz w:val="13"/>
              </w:rPr>
              <w:t>and</w:t>
            </w:r>
            <w:r>
              <w:rPr>
                <w:spacing w:val="-3"/>
                <w:sz w:val="13"/>
              </w:rPr>
              <w:t> </w:t>
            </w:r>
            <w:r>
              <w:rPr>
                <w:spacing w:val="-2"/>
                <w:sz w:val="13"/>
              </w:rPr>
              <w:t>income</w:t>
            </w:r>
          </w:p>
          <w:p>
            <w:pPr>
              <w:pStyle w:val="TableParagraph"/>
              <w:spacing w:line="132" w:lineRule="exact" w:before="10"/>
              <w:ind w:left="608"/>
              <w:rPr>
                <w:sz w:val="13"/>
              </w:rPr>
            </w:pPr>
            <w:r>
              <w:rPr>
                <w:sz w:val="13"/>
              </w:rPr>
              <w:t>Other</w:t>
            </w:r>
            <w:r>
              <w:rPr>
                <w:spacing w:val="-1"/>
                <w:sz w:val="13"/>
              </w:rPr>
              <w:t> </w:t>
            </w:r>
            <w:r>
              <w:rPr>
                <w:spacing w:val="-2"/>
                <w:sz w:val="13"/>
              </w:rPr>
              <w:t>revenue</w:t>
            </w:r>
          </w:p>
        </w:tc>
        <w:tc>
          <w:tcPr>
            <w:tcW w:w="716" w:type="dxa"/>
            <w:tcBorders>
              <w:bottom w:val="single" w:sz="6" w:space="0" w:color="000000"/>
            </w:tcBorders>
          </w:tcPr>
          <w:p>
            <w:pPr>
              <w:pStyle w:val="TableParagraph"/>
              <w:rPr>
                <w:rFonts w:ascii="Times New Roman"/>
                <w:sz w:val="12"/>
              </w:rPr>
            </w:pPr>
          </w:p>
        </w:tc>
        <w:tc>
          <w:tcPr>
            <w:tcW w:w="916" w:type="dxa"/>
            <w:tcBorders>
              <w:bottom w:val="single" w:sz="6" w:space="0" w:color="000000"/>
            </w:tcBorders>
          </w:tcPr>
          <w:p>
            <w:pPr>
              <w:pStyle w:val="TableParagraph"/>
              <w:spacing w:before="5"/>
              <w:ind w:left="93"/>
              <w:rPr>
                <w:sz w:val="13"/>
              </w:rPr>
            </w:pPr>
            <w:r>
              <w:rPr>
                <w:spacing w:val="-10"/>
                <w:sz w:val="13"/>
              </w:rPr>
              <w:t>-</w:t>
            </w:r>
          </w:p>
          <w:p>
            <w:pPr>
              <w:pStyle w:val="TableParagraph"/>
              <w:spacing w:line="127" w:lineRule="exact" w:before="10"/>
              <w:ind w:left="93"/>
              <w:rPr>
                <w:sz w:val="13"/>
              </w:rPr>
            </w:pPr>
            <w:r>
              <w:rPr>
                <w:spacing w:val="-10"/>
                <w:sz w:val="13"/>
              </w:rPr>
              <w:t>-</w:t>
            </w:r>
          </w:p>
        </w:tc>
        <w:tc>
          <w:tcPr>
            <w:tcW w:w="1926" w:type="dxa"/>
            <w:tcBorders>
              <w:bottom w:val="single" w:sz="6" w:space="0" w:color="000000"/>
            </w:tcBorders>
          </w:tcPr>
          <w:p>
            <w:pPr>
              <w:pStyle w:val="TableParagraph"/>
              <w:tabs>
                <w:tab w:pos="800" w:val="left" w:leader="none"/>
                <w:tab w:pos="1710" w:val="left" w:leader="none"/>
              </w:tabs>
              <w:spacing w:before="5"/>
              <w:ind w:left="93"/>
              <w:rPr>
                <w:sz w:val="13"/>
              </w:rPr>
            </w:pPr>
            <w:r>
              <w:rPr>
                <w:spacing w:val="-10"/>
                <w:sz w:val="13"/>
              </w:rPr>
              <w:t>-</w:t>
            </w:r>
            <w:r>
              <w:rPr>
                <w:sz w:val="13"/>
              </w:rPr>
              <w:tab/>
            </w:r>
            <w:r>
              <w:rPr>
                <w:spacing w:val="-10"/>
                <w:sz w:val="13"/>
              </w:rPr>
              <w:t>-</w:t>
            </w:r>
            <w:r>
              <w:rPr>
                <w:sz w:val="13"/>
              </w:rPr>
              <w:tab/>
            </w:r>
            <w:r>
              <w:rPr>
                <w:spacing w:val="-5"/>
                <w:sz w:val="13"/>
              </w:rPr>
              <w:t>37</w:t>
            </w:r>
          </w:p>
          <w:p>
            <w:pPr>
              <w:pStyle w:val="TableParagraph"/>
              <w:tabs>
                <w:tab w:pos="800" w:val="left" w:leader="none"/>
                <w:tab w:pos="1528" w:val="left" w:leader="none"/>
              </w:tabs>
              <w:spacing w:line="127" w:lineRule="exact" w:before="10"/>
              <w:ind w:left="93"/>
              <w:rPr>
                <w:sz w:val="13"/>
              </w:rPr>
            </w:pPr>
            <w:r>
              <w:rPr>
                <w:spacing w:val="-10"/>
                <w:sz w:val="13"/>
              </w:rPr>
              <w:t>-</w:t>
            </w:r>
            <w:r>
              <w:rPr>
                <w:sz w:val="13"/>
              </w:rPr>
              <w:tab/>
            </w:r>
            <w:r>
              <w:rPr>
                <w:spacing w:val="-10"/>
                <w:sz w:val="13"/>
              </w:rPr>
              <w:t>-</w:t>
            </w:r>
            <w:r>
              <w:rPr>
                <w:sz w:val="13"/>
              </w:rPr>
              <w:tab/>
            </w:r>
            <w:r>
              <w:rPr>
                <w:spacing w:val="-4"/>
                <w:sz w:val="13"/>
              </w:rPr>
              <w:t>6,458</w:t>
            </w:r>
          </w:p>
        </w:tc>
      </w:tr>
      <w:tr>
        <w:trPr>
          <w:trHeight w:val="144" w:hRule="atLeast"/>
        </w:trPr>
        <w:tc>
          <w:tcPr>
            <w:tcW w:w="5184" w:type="dxa"/>
          </w:tcPr>
          <w:p>
            <w:pPr>
              <w:pStyle w:val="TableParagraph"/>
              <w:spacing w:line="125" w:lineRule="exact"/>
              <w:ind w:left="608"/>
              <w:rPr>
                <w:b/>
                <w:sz w:val="13"/>
              </w:rPr>
            </w:pPr>
            <w:r>
              <w:rPr>
                <w:b/>
                <w:sz w:val="13"/>
              </w:rPr>
              <w:t>Total</w:t>
            </w:r>
            <w:r>
              <w:rPr>
                <w:b/>
                <w:spacing w:val="-1"/>
                <w:sz w:val="13"/>
              </w:rPr>
              <w:t> </w:t>
            </w:r>
            <w:r>
              <w:rPr>
                <w:b/>
                <w:sz w:val="13"/>
              </w:rPr>
              <w:t>income</w:t>
            </w:r>
            <w:r>
              <w:rPr>
                <w:b/>
                <w:spacing w:val="-2"/>
                <w:sz w:val="13"/>
              </w:rPr>
              <w:t> </w:t>
            </w:r>
            <w:r>
              <w:rPr>
                <w:b/>
                <w:sz w:val="13"/>
              </w:rPr>
              <w:t>from</w:t>
            </w:r>
            <w:r>
              <w:rPr>
                <w:b/>
                <w:spacing w:val="-2"/>
                <w:sz w:val="13"/>
              </w:rPr>
              <w:t> </w:t>
            </w:r>
            <w:r>
              <w:rPr>
                <w:b/>
                <w:sz w:val="13"/>
              </w:rPr>
              <w:t>discontinued </w:t>
            </w:r>
            <w:r>
              <w:rPr>
                <w:b/>
                <w:spacing w:val="-2"/>
                <w:sz w:val="13"/>
              </w:rPr>
              <w:t>operations</w:t>
            </w:r>
          </w:p>
        </w:tc>
        <w:tc>
          <w:tcPr>
            <w:tcW w:w="716" w:type="dxa"/>
            <w:tcBorders>
              <w:top w:val="single" w:sz="6" w:space="0" w:color="000000"/>
              <w:bottom w:val="single" w:sz="6" w:space="0" w:color="000000"/>
            </w:tcBorders>
          </w:tcPr>
          <w:p>
            <w:pPr>
              <w:pStyle w:val="TableParagraph"/>
              <w:rPr>
                <w:rFonts w:ascii="Times New Roman"/>
                <w:sz w:val="8"/>
              </w:rPr>
            </w:pPr>
          </w:p>
        </w:tc>
        <w:tc>
          <w:tcPr>
            <w:tcW w:w="916" w:type="dxa"/>
            <w:tcBorders>
              <w:top w:val="single" w:sz="6" w:space="0" w:color="000000"/>
              <w:bottom w:val="single" w:sz="6" w:space="0" w:color="000000"/>
            </w:tcBorders>
          </w:tcPr>
          <w:p>
            <w:pPr>
              <w:pStyle w:val="TableParagraph"/>
              <w:spacing w:line="125" w:lineRule="exact"/>
              <w:ind w:left="93"/>
              <w:rPr>
                <w:sz w:val="13"/>
              </w:rPr>
            </w:pPr>
            <w:r>
              <w:rPr>
                <w:spacing w:val="-10"/>
                <w:sz w:val="13"/>
              </w:rPr>
              <w:t>-</w:t>
            </w:r>
          </w:p>
        </w:tc>
        <w:tc>
          <w:tcPr>
            <w:tcW w:w="1926" w:type="dxa"/>
            <w:tcBorders>
              <w:top w:val="single" w:sz="6" w:space="0" w:color="000000"/>
              <w:bottom w:val="single" w:sz="6" w:space="0" w:color="000000"/>
            </w:tcBorders>
          </w:tcPr>
          <w:p>
            <w:pPr>
              <w:pStyle w:val="TableParagraph"/>
              <w:tabs>
                <w:tab w:pos="800" w:val="left" w:leader="none"/>
                <w:tab w:pos="1528" w:val="left" w:leader="none"/>
              </w:tabs>
              <w:spacing w:line="125" w:lineRule="exact"/>
              <w:ind w:left="93"/>
              <w:rPr>
                <w:b/>
                <w:sz w:val="13"/>
              </w:rPr>
            </w:pPr>
            <w:r>
              <w:rPr>
                <w:spacing w:val="-10"/>
                <w:sz w:val="13"/>
              </w:rPr>
              <w:t>-</w:t>
            </w:r>
            <w:r>
              <w:rPr>
                <w:sz w:val="13"/>
              </w:rPr>
              <w:tab/>
            </w:r>
            <w:r>
              <w:rPr>
                <w:b/>
                <w:spacing w:val="-10"/>
                <w:sz w:val="13"/>
              </w:rPr>
              <w:t>-</w:t>
            </w:r>
            <w:r>
              <w:rPr>
                <w:b/>
                <w:sz w:val="13"/>
              </w:rPr>
              <w:tab/>
            </w:r>
            <w:r>
              <w:rPr>
                <w:b/>
                <w:spacing w:val="-4"/>
                <w:sz w:val="13"/>
              </w:rPr>
              <w:t>6,938</w:t>
            </w:r>
          </w:p>
        </w:tc>
      </w:tr>
      <w:tr>
        <w:trPr>
          <w:trHeight w:val="470" w:hRule="atLeast"/>
        </w:trPr>
        <w:tc>
          <w:tcPr>
            <w:tcW w:w="5184" w:type="dxa"/>
          </w:tcPr>
          <w:p>
            <w:pPr>
              <w:pStyle w:val="TableParagraph"/>
              <w:spacing w:before="3"/>
              <w:rPr>
                <w:b/>
                <w:sz w:val="13"/>
              </w:rPr>
            </w:pPr>
          </w:p>
          <w:p>
            <w:pPr>
              <w:pStyle w:val="TableParagraph"/>
              <w:ind w:left="608"/>
              <w:rPr>
                <w:b/>
                <w:sz w:val="13"/>
              </w:rPr>
            </w:pPr>
            <w:r>
              <w:rPr>
                <w:b/>
                <w:sz w:val="13"/>
              </w:rPr>
              <w:t>Expenses</w:t>
            </w:r>
            <w:r>
              <w:rPr>
                <w:b/>
                <w:spacing w:val="-5"/>
                <w:sz w:val="13"/>
              </w:rPr>
              <w:t> </w:t>
            </w:r>
            <w:r>
              <w:rPr>
                <w:b/>
                <w:sz w:val="13"/>
              </w:rPr>
              <w:t>from</w:t>
            </w:r>
            <w:r>
              <w:rPr>
                <w:b/>
                <w:spacing w:val="-3"/>
                <w:sz w:val="13"/>
              </w:rPr>
              <w:t> </w:t>
            </w:r>
            <w:r>
              <w:rPr>
                <w:b/>
                <w:sz w:val="13"/>
              </w:rPr>
              <w:t>discontinued</w:t>
            </w:r>
            <w:r>
              <w:rPr>
                <w:b/>
                <w:spacing w:val="-2"/>
                <w:sz w:val="13"/>
              </w:rPr>
              <w:t> operations</w:t>
            </w:r>
          </w:p>
          <w:p>
            <w:pPr>
              <w:pStyle w:val="TableParagraph"/>
              <w:spacing w:line="138" w:lineRule="exact" w:before="10"/>
              <w:ind w:left="608"/>
              <w:rPr>
                <w:sz w:val="13"/>
              </w:rPr>
            </w:pPr>
            <w:r>
              <w:rPr>
                <w:sz w:val="13"/>
              </w:rPr>
              <w:t>Employee</w:t>
            </w:r>
            <w:r>
              <w:rPr>
                <w:spacing w:val="-8"/>
                <w:sz w:val="13"/>
              </w:rPr>
              <w:t> </w:t>
            </w:r>
            <w:r>
              <w:rPr>
                <w:sz w:val="13"/>
              </w:rPr>
              <w:t>related</w:t>
            </w:r>
            <w:r>
              <w:rPr>
                <w:spacing w:val="-7"/>
                <w:sz w:val="13"/>
              </w:rPr>
              <w:t> </w:t>
            </w:r>
            <w:r>
              <w:rPr>
                <w:spacing w:val="-2"/>
                <w:sz w:val="13"/>
              </w:rPr>
              <w:t>expenses</w:t>
            </w:r>
          </w:p>
        </w:tc>
        <w:tc>
          <w:tcPr>
            <w:tcW w:w="716" w:type="dxa"/>
            <w:tcBorders>
              <w:top w:val="single" w:sz="6" w:space="0" w:color="000000"/>
            </w:tcBorders>
          </w:tcPr>
          <w:p>
            <w:pPr>
              <w:pStyle w:val="TableParagraph"/>
              <w:rPr>
                <w:rFonts w:ascii="Times New Roman"/>
                <w:sz w:val="12"/>
              </w:rPr>
            </w:pPr>
          </w:p>
        </w:tc>
        <w:tc>
          <w:tcPr>
            <w:tcW w:w="916" w:type="dxa"/>
            <w:tcBorders>
              <w:top w:val="single" w:sz="6" w:space="0" w:color="000000"/>
            </w:tcBorders>
          </w:tcPr>
          <w:p>
            <w:pPr>
              <w:pStyle w:val="TableParagraph"/>
              <w:rPr>
                <w:b/>
                <w:sz w:val="13"/>
              </w:rPr>
            </w:pPr>
          </w:p>
          <w:p>
            <w:pPr>
              <w:pStyle w:val="TableParagraph"/>
              <w:spacing w:before="17"/>
              <w:rPr>
                <w:b/>
                <w:sz w:val="13"/>
              </w:rPr>
            </w:pPr>
          </w:p>
          <w:p>
            <w:pPr>
              <w:pStyle w:val="TableParagraph"/>
              <w:spacing w:line="134" w:lineRule="exact"/>
              <w:ind w:left="93"/>
              <w:rPr>
                <w:sz w:val="13"/>
              </w:rPr>
            </w:pPr>
            <w:r>
              <w:rPr>
                <w:spacing w:val="-10"/>
                <w:sz w:val="13"/>
              </w:rPr>
              <w:t>-</w:t>
            </w:r>
          </w:p>
        </w:tc>
        <w:tc>
          <w:tcPr>
            <w:tcW w:w="1926" w:type="dxa"/>
            <w:tcBorders>
              <w:top w:val="single" w:sz="6" w:space="0" w:color="000000"/>
            </w:tcBorders>
          </w:tcPr>
          <w:p>
            <w:pPr>
              <w:pStyle w:val="TableParagraph"/>
              <w:rPr>
                <w:b/>
                <w:sz w:val="13"/>
              </w:rPr>
            </w:pPr>
          </w:p>
          <w:p>
            <w:pPr>
              <w:pStyle w:val="TableParagraph"/>
              <w:spacing w:before="17"/>
              <w:rPr>
                <w:b/>
                <w:sz w:val="13"/>
              </w:rPr>
            </w:pPr>
          </w:p>
          <w:p>
            <w:pPr>
              <w:pStyle w:val="TableParagraph"/>
              <w:tabs>
                <w:tab w:pos="728" w:val="left" w:leader="none"/>
                <w:tab w:pos="1457" w:val="left" w:leader="none"/>
              </w:tabs>
              <w:spacing w:line="134" w:lineRule="exact"/>
              <w:ind w:left="22"/>
              <w:jc w:val="center"/>
              <w:rPr>
                <w:sz w:val="13"/>
              </w:rPr>
            </w:pPr>
            <w:r>
              <w:rPr>
                <w:spacing w:val="-10"/>
                <w:sz w:val="13"/>
              </w:rPr>
              <w:t>-</w:t>
            </w:r>
            <w:r>
              <w:rPr>
                <w:sz w:val="13"/>
              </w:rPr>
              <w:tab/>
            </w:r>
            <w:r>
              <w:rPr>
                <w:spacing w:val="-10"/>
                <w:sz w:val="13"/>
              </w:rPr>
              <w:t>-</w:t>
            </w:r>
            <w:r>
              <w:rPr>
                <w:sz w:val="13"/>
              </w:rPr>
              <w:tab/>
            </w:r>
            <w:r>
              <w:rPr>
                <w:spacing w:val="-4"/>
                <w:sz w:val="13"/>
              </w:rPr>
              <w:t>1,239</w:t>
            </w:r>
          </w:p>
        </w:tc>
      </w:tr>
      <w:tr>
        <w:trPr>
          <w:trHeight w:val="631" w:hRule="atLeast"/>
        </w:trPr>
        <w:tc>
          <w:tcPr>
            <w:tcW w:w="5184" w:type="dxa"/>
          </w:tcPr>
          <w:p>
            <w:pPr>
              <w:pStyle w:val="TableParagraph"/>
              <w:spacing w:line="256" w:lineRule="auto" w:before="1"/>
              <w:ind w:left="608" w:right="3223"/>
              <w:rPr>
                <w:sz w:val="13"/>
              </w:rPr>
            </w:pPr>
            <w:r>
              <w:rPr>
                <w:sz w:val="13"/>
              </w:rPr>
              <w:t>Materials</w:t>
            </w:r>
            <w:r>
              <w:rPr>
                <w:spacing w:val="-10"/>
                <w:sz w:val="13"/>
              </w:rPr>
              <w:t> </w:t>
            </w:r>
            <w:r>
              <w:rPr>
                <w:sz w:val="13"/>
              </w:rPr>
              <w:t>and</w:t>
            </w:r>
            <w:r>
              <w:rPr>
                <w:spacing w:val="-9"/>
                <w:sz w:val="13"/>
              </w:rPr>
              <w:t> </w:t>
            </w:r>
            <w:r>
              <w:rPr>
                <w:sz w:val="13"/>
              </w:rPr>
              <w:t>supplies</w:t>
            </w:r>
            <w:r>
              <w:rPr>
                <w:spacing w:val="40"/>
                <w:sz w:val="13"/>
              </w:rPr>
              <w:t> </w:t>
            </w:r>
            <w:r>
              <w:rPr>
                <w:sz w:val="13"/>
              </w:rPr>
              <w:t>Grants</w:t>
            </w:r>
            <w:r>
              <w:rPr>
                <w:spacing w:val="-3"/>
                <w:sz w:val="13"/>
              </w:rPr>
              <w:t> </w:t>
            </w:r>
            <w:r>
              <w:rPr>
                <w:sz w:val="13"/>
              </w:rPr>
              <w:t>distributed</w:t>
            </w:r>
            <w:r>
              <w:rPr>
                <w:spacing w:val="40"/>
                <w:sz w:val="13"/>
              </w:rPr>
              <w:t> </w:t>
            </w:r>
            <w:r>
              <w:rPr>
                <w:spacing w:val="-2"/>
                <w:sz w:val="13"/>
              </w:rPr>
              <w:t>Travel</w:t>
            </w:r>
          </w:p>
          <w:p>
            <w:pPr>
              <w:pStyle w:val="TableParagraph"/>
              <w:spacing w:line="131" w:lineRule="exact"/>
              <w:ind w:left="608"/>
              <w:rPr>
                <w:sz w:val="13"/>
              </w:rPr>
            </w:pPr>
            <w:r>
              <w:rPr>
                <w:sz w:val="13"/>
              </w:rPr>
              <w:t>Other</w:t>
            </w:r>
            <w:r>
              <w:rPr>
                <w:spacing w:val="-3"/>
                <w:sz w:val="13"/>
              </w:rPr>
              <w:t> </w:t>
            </w:r>
            <w:r>
              <w:rPr>
                <w:spacing w:val="-2"/>
                <w:sz w:val="13"/>
              </w:rPr>
              <w:t>expenses</w:t>
            </w:r>
          </w:p>
        </w:tc>
        <w:tc>
          <w:tcPr>
            <w:tcW w:w="716" w:type="dxa"/>
            <w:tcBorders>
              <w:bottom w:val="single" w:sz="6" w:space="0" w:color="000000"/>
            </w:tcBorders>
          </w:tcPr>
          <w:p>
            <w:pPr>
              <w:pStyle w:val="TableParagraph"/>
              <w:rPr>
                <w:rFonts w:ascii="Times New Roman"/>
                <w:sz w:val="12"/>
              </w:rPr>
            </w:pPr>
          </w:p>
        </w:tc>
        <w:tc>
          <w:tcPr>
            <w:tcW w:w="916" w:type="dxa"/>
            <w:tcBorders>
              <w:bottom w:val="single" w:sz="6" w:space="0" w:color="000000"/>
            </w:tcBorders>
          </w:tcPr>
          <w:p>
            <w:pPr>
              <w:pStyle w:val="TableParagraph"/>
              <w:spacing w:before="5"/>
              <w:ind w:left="93"/>
              <w:rPr>
                <w:sz w:val="13"/>
              </w:rPr>
            </w:pPr>
            <w:r>
              <w:rPr>
                <w:spacing w:val="-10"/>
                <w:sz w:val="13"/>
              </w:rPr>
              <w:t>-</w:t>
            </w:r>
          </w:p>
          <w:p>
            <w:pPr>
              <w:pStyle w:val="TableParagraph"/>
              <w:spacing w:before="10"/>
              <w:ind w:left="93"/>
              <w:rPr>
                <w:sz w:val="13"/>
              </w:rPr>
            </w:pPr>
            <w:r>
              <w:rPr>
                <w:spacing w:val="-10"/>
                <w:sz w:val="13"/>
              </w:rPr>
              <w:t>-</w:t>
            </w:r>
          </w:p>
          <w:p>
            <w:pPr>
              <w:pStyle w:val="TableParagraph"/>
              <w:spacing w:before="11"/>
              <w:ind w:left="93"/>
              <w:rPr>
                <w:sz w:val="13"/>
              </w:rPr>
            </w:pPr>
            <w:r>
              <w:rPr>
                <w:spacing w:val="-10"/>
                <w:sz w:val="13"/>
              </w:rPr>
              <w:t>-</w:t>
            </w:r>
          </w:p>
          <w:p>
            <w:pPr>
              <w:pStyle w:val="TableParagraph"/>
              <w:spacing w:line="127" w:lineRule="exact" w:before="10"/>
              <w:ind w:left="93"/>
              <w:rPr>
                <w:sz w:val="13"/>
              </w:rPr>
            </w:pPr>
            <w:r>
              <w:rPr>
                <w:spacing w:val="-10"/>
                <w:sz w:val="13"/>
              </w:rPr>
              <w:t>-</w:t>
            </w:r>
          </w:p>
        </w:tc>
        <w:tc>
          <w:tcPr>
            <w:tcW w:w="1926" w:type="dxa"/>
            <w:tcBorders>
              <w:bottom w:val="single" w:sz="6" w:space="0" w:color="000000"/>
            </w:tcBorders>
          </w:tcPr>
          <w:p>
            <w:pPr>
              <w:pStyle w:val="TableParagraph"/>
              <w:tabs>
                <w:tab w:pos="800" w:val="left" w:leader="none"/>
                <w:tab w:pos="1710" w:val="left" w:leader="none"/>
              </w:tabs>
              <w:spacing w:before="5"/>
              <w:ind w:left="93"/>
              <w:rPr>
                <w:sz w:val="13"/>
              </w:rPr>
            </w:pPr>
            <w:r>
              <w:rPr>
                <w:spacing w:val="-10"/>
                <w:sz w:val="13"/>
              </w:rPr>
              <w:t>-</w:t>
            </w:r>
            <w:r>
              <w:rPr>
                <w:sz w:val="13"/>
              </w:rPr>
              <w:tab/>
            </w:r>
            <w:r>
              <w:rPr>
                <w:spacing w:val="-10"/>
                <w:sz w:val="13"/>
              </w:rPr>
              <w:t>-</w:t>
            </w:r>
            <w:r>
              <w:rPr>
                <w:sz w:val="13"/>
              </w:rPr>
              <w:tab/>
            </w:r>
            <w:r>
              <w:rPr>
                <w:spacing w:val="-5"/>
                <w:sz w:val="13"/>
              </w:rPr>
              <w:t>21</w:t>
            </w:r>
          </w:p>
          <w:p>
            <w:pPr>
              <w:pStyle w:val="TableParagraph"/>
              <w:tabs>
                <w:tab w:pos="800" w:val="left" w:leader="none"/>
                <w:tab w:pos="1594" w:val="left" w:leader="none"/>
              </w:tabs>
              <w:spacing w:before="10"/>
              <w:ind w:left="93"/>
              <w:rPr>
                <w:sz w:val="13"/>
              </w:rPr>
            </w:pPr>
            <w:r>
              <w:rPr>
                <w:spacing w:val="-10"/>
                <w:sz w:val="13"/>
              </w:rPr>
              <w:t>-</w:t>
            </w:r>
            <w:r>
              <w:rPr>
                <w:sz w:val="13"/>
              </w:rPr>
              <w:tab/>
            </w:r>
            <w:r>
              <w:rPr>
                <w:spacing w:val="-10"/>
                <w:sz w:val="13"/>
              </w:rPr>
              <w:t>-</w:t>
            </w:r>
            <w:r>
              <w:rPr>
                <w:sz w:val="13"/>
              </w:rPr>
              <w:tab/>
            </w:r>
            <w:r>
              <w:rPr>
                <w:spacing w:val="-2"/>
                <w:sz w:val="13"/>
              </w:rPr>
              <w:t>(610)</w:t>
            </w:r>
          </w:p>
          <w:p>
            <w:pPr>
              <w:pStyle w:val="TableParagraph"/>
              <w:tabs>
                <w:tab w:pos="800" w:val="left" w:leader="none"/>
                <w:tab w:pos="1710" w:val="left" w:leader="none"/>
              </w:tabs>
              <w:spacing w:before="11"/>
              <w:ind w:left="93"/>
              <w:rPr>
                <w:sz w:val="13"/>
              </w:rPr>
            </w:pPr>
            <w:r>
              <w:rPr>
                <w:spacing w:val="-10"/>
                <w:sz w:val="13"/>
              </w:rPr>
              <w:t>-</w:t>
            </w:r>
            <w:r>
              <w:rPr>
                <w:sz w:val="13"/>
              </w:rPr>
              <w:tab/>
            </w:r>
            <w:r>
              <w:rPr>
                <w:spacing w:val="-10"/>
                <w:sz w:val="13"/>
              </w:rPr>
              <w:t>-</w:t>
            </w:r>
            <w:r>
              <w:rPr>
                <w:sz w:val="13"/>
              </w:rPr>
              <w:tab/>
            </w:r>
            <w:r>
              <w:rPr>
                <w:spacing w:val="-5"/>
                <w:sz w:val="13"/>
              </w:rPr>
              <w:t>65</w:t>
            </w:r>
          </w:p>
          <w:p>
            <w:pPr>
              <w:pStyle w:val="TableParagraph"/>
              <w:tabs>
                <w:tab w:pos="800" w:val="left" w:leader="none"/>
                <w:tab w:pos="1528" w:val="left" w:leader="none"/>
              </w:tabs>
              <w:spacing w:line="127" w:lineRule="exact" w:before="10"/>
              <w:ind w:left="93"/>
              <w:rPr>
                <w:sz w:val="13"/>
              </w:rPr>
            </w:pPr>
            <w:r>
              <w:rPr>
                <w:spacing w:val="-10"/>
                <w:sz w:val="13"/>
              </w:rPr>
              <w:t>-</w:t>
            </w:r>
            <w:r>
              <w:rPr>
                <w:sz w:val="13"/>
              </w:rPr>
              <w:tab/>
            </w:r>
            <w:r>
              <w:rPr>
                <w:spacing w:val="-10"/>
                <w:sz w:val="13"/>
              </w:rPr>
              <w:t>-</w:t>
            </w:r>
            <w:r>
              <w:rPr>
                <w:sz w:val="13"/>
              </w:rPr>
              <w:tab/>
            </w:r>
            <w:r>
              <w:rPr>
                <w:spacing w:val="-4"/>
                <w:sz w:val="13"/>
              </w:rPr>
              <w:t>9,963</w:t>
            </w:r>
          </w:p>
        </w:tc>
      </w:tr>
      <w:tr>
        <w:trPr>
          <w:trHeight w:val="144" w:hRule="atLeast"/>
        </w:trPr>
        <w:tc>
          <w:tcPr>
            <w:tcW w:w="5184" w:type="dxa"/>
          </w:tcPr>
          <w:p>
            <w:pPr>
              <w:pStyle w:val="TableParagraph"/>
              <w:spacing w:line="125" w:lineRule="exact"/>
              <w:ind w:left="608"/>
              <w:rPr>
                <w:b/>
                <w:sz w:val="13"/>
              </w:rPr>
            </w:pPr>
            <w:r>
              <w:rPr>
                <w:b/>
                <w:sz w:val="13"/>
              </w:rPr>
              <w:t>Total</w:t>
            </w:r>
            <w:r>
              <w:rPr>
                <w:b/>
                <w:spacing w:val="-2"/>
                <w:sz w:val="13"/>
              </w:rPr>
              <w:t> </w:t>
            </w:r>
            <w:r>
              <w:rPr>
                <w:b/>
                <w:sz w:val="13"/>
              </w:rPr>
              <w:t>expenses</w:t>
            </w:r>
            <w:r>
              <w:rPr>
                <w:b/>
                <w:spacing w:val="-2"/>
                <w:sz w:val="13"/>
              </w:rPr>
              <w:t> </w:t>
            </w:r>
            <w:r>
              <w:rPr>
                <w:b/>
                <w:sz w:val="13"/>
              </w:rPr>
              <w:t>from</w:t>
            </w:r>
            <w:r>
              <w:rPr>
                <w:b/>
                <w:spacing w:val="-3"/>
                <w:sz w:val="13"/>
              </w:rPr>
              <w:t> </w:t>
            </w:r>
            <w:r>
              <w:rPr>
                <w:b/>
                <w:sz w:val="13"/>
              </w:rPr>
              <w:t>discontinued</w:t>
            </w:r>
            <w:r>
              <w:rPr>
                <w:b/>
                <w:spacing w:val="-1"/>
                <w:sz w:val="13"/>
              </w:rPr>
              <w:t> </w:t>
            </w:r>
            <w:r>
              <w:rPr>
                <w:b/>
                <w:spacing w:val="-2"/>
                <w:sz w:val="13"/>
              </w:rPr>
              <w:t>operations</w:t>
            </w:r>
          </w:p>
        </w:tc>
        <w:tc>
          <w:tcPr>
            <w:tcW w:w="716" w:type="dxa"/>
            <w:tcBorders>
              <w:top w:val="single" w:sz="6" w:space="0" w:color="000000"/>
              <w:bottom w:val="single" w:sz="6" w:space="0" w:color="000000"/>
            </w:tcBorders>
          </w:tcPr>
          <w:p>
            <w:pPr>
              <w:pStyle w:val="TableParagraph"/>
              <w:rPr>
                <w:rFonts w:ascii="Times New Roman"/>
                <w:sz w:val="8"/>
              </w:rPr>
            </w:pPr>
          </w:p>
        </w:tc>
        <w:tc>
          <w:tcPr>
            <w:tcW w:w="916" w:type="dxa"/>
            <w:tcBorders>
              <w:top w:val="single" w:sz="6" w:space="0" w:color="000000"/>
              <w:bottom w:val="single" w:sz="6" w:space="0" w:color="000000"/>
            </w:tcBorders>
          </w:tcPr>
          <w:p>
            <w:pPr>
              <w:pStyle w:val="TableParagraph"/>
              <w:spacing w:line="125" w:lineRule="exact"/>
              <w:ind w:left="93"/>
              <w:rPr>
                <w:sz w:val="13"/>
              </w:rPr>
            </w:pPr>
            <w:r>
              <w:rPr>
                <w:spacing w:val="-10"/>
                <w:sz w:val="13"/>
              </w:rPr>
              <w:t>-</w:t>
            </w:r>
          </w:p>
        </w:tc>
        <w:tc>
          <w:tcPr>
            <w:tcW w:w="1926" w:type="dxa"/>
            <w:tcBorders>
              <w:top w:val="single" w:sz="6" w:space="0" w:color="000000"/>
              <w:bottom w:val="single" w:sz="6" w:space="0" w:color="000000"/>
            </w:tcBorders>
          </w:tcPr>
          <w:p>
            <w:pPr>
              <w:pStyle w:val="TableParagraph"/>
              <w:tabs>
                <w:tab w:pos="800" w:val="left" w:leader="none"/>
                <w:tab w:pos="1456" w:val="left" w:leader="none"/>
              </w:tabs>
              <w:spacing w:line="125" w:lineRule="exact"/>
              <w:ind w:left="93"/>
              <w:rPr>
                <w:b/>
                <w:sz w:val="13"/>
              </w:rPr>
            </w:pPr>
            <w:r>
              <w:rPr>
                <w:spacing w:val="-10"/>
                <w:sz w:val="13"/>
              </w:rPr>
              <w:t>-</w:t>
            </w:r>
            <w:r>
              <w:rPr>
                <w:sz w:val="13"/>
              </w:rPr>
              <w:tab/>
            </w:r>
            <w:r>
              <w:rPr>
                <w:b/>
                <w:spacing w:val="-10"/>
                <w:sz w:val="13"/>
              </w:rPr>
              <w:t>-</w:t>
            </w:r>
            <w:r>
              <w:rPr>
                <w:b/>
                <w:sz w:val="13"/>
              </w:rPr>
              <w:tab/>
            </w:r>
            <w:r>
              <w:rPr>
                <w:b/>
                <w:spacing w:val="-2"/>
                <w:sz w:val="13"/>
              </w:rPr>
              <w:t>10,678</w:t>
            </w:r>
          </w:p>
        </w:tc>
      </w:tr>
      <w:tr>
        <w:trPr>
          <w:trHeight w:val="144" w:hRule="atLeast"/>
        </w:trPr>
        <w:tc>
          <w:tcPr>
            <w:tcW w:w="5184" w:type="dxa"/>
          </w:tcPr>
          <w:p>
            <w:pPr>
              <w:pStyle w:val="TableParagraph"/>
              <w:rPr>
                <w:rFonts w:ascii="Times New Roman"/>
                <w:sz w:val="8"/>
              </w:rPr>
            </w:pPr>
          </w:p>
        </w:tc>
        <w:tc>
          <w:tcPr>
            <w:tcW w:w="716" w:type="dxa"/>
            <w:tcBorders>
              <w:top w:val="single" w:sz="6" w:space="0" w:color="000000"/>
              <w:bottom w:val="single" w:sz="6" w:space="0" w:color="000000"/>
            </w:tcBorders>
          </w:tcPr>
          <w:p>
            <w:pPr>
              <w:pStyle w:val="TableParagraph"/>
              <w:rPr>
                <w:rFonts w:ascii="Times New Roman"/>
                <w:sz w:val="8"/>
              </w:rPr>
            </w:pPr>
          </w:p>
        </w:tc>
        <w:tc>
          <w:tcPr>
            <w:tcW w:w="916" w:type="dxa"/>
            <w:tcBorders>
              <w:top w:val="single" w:sz="6" w:space="0" w:color="000000"/>
              <w:bottom w:val="single" w:sz="6" w:space="0" w:color="000000"/>
            </w:tcBorders>
          </w:tcPr>
          <w:p>
            <w:pPr>
              <w:pStyle w:val="TableParagraph"/>
              <w:rPr>
                <w:rFonts w:ascii="Times New Roman"/>
                <w:sz w:val="8"/>
              </w:rPr>
            </w:pPr>
          </w:p>
        </w:tc>
        <w:tc>
          <w:tcPr>
            <w:tcW w:w="1926" w:type="dxa"/>
            <w:tcBorders>
              <w:top w:val="single" w:sz="6" w:space="0" w:color="000000"/>
              <w:bottom w:val="single" w:sz="6" w:space="0" w:color="000000"/>
            </w:tcBorders>
          </w:tcPr>
          <w:p>
            <w:pPr>
              <w:pStyle w:val="TableParagraph"/>
              <w:rPr>
                <w:rFonts w:ascii="Times New Roman"/>
                <w:sz w:val="8"/>
              </w:rPr>
            </w:pPr>
          </w:p>
        </w:tc>
      </w:tr>
      <w:tr>
        <w:trPr>
          <w:trHeight w:val="144" w:hRule="atLeast"/>
        </w:trPr>
        <w:tc>
          <w:tcPr>
            <w:tcW w:w="5184" w:type="dxa"/>
          </w:tcPr>
          <w:p>
            <w:pPr>
              <w:pStyle w:val="TableParagraph"/>
              <w:spacing w:line="125" w:lineRule="exact"/>
              <w:ind w:left="608"/>
              <w:rPr>
                <w:b/>
                <w:sz w:val="13"/>
              </w:rPr>
            </w:pPr>
            <w:r>
              <w:rPr>
                <w:b/>
                <w:sz w:val="13"/>
              </w:rPr>
              <w:t>Net</w:t>
            </w:r>
            <w:r>
              <w:rPr>
                <w:b/>
                <w:spacing w:val="-2"/>
                <w:sz w:val="13"/>
              </w:rPr>
              <w:t> </w:t>
            </w:r>
            <w:r>
              <w:rPr>
                <w:b/>
                <w:sz w:val="13"/>
              </w:rPr>
              <w:t>result</w:t>
            </w:r>
            <w:r>
              <w:rPr>
                <w:b/>
                <w:spacing w:val="-1"/>
                <w:sz w:val="13"/>
              </w:rPr>
              <w:t> </w:t>
            </w:r>
            <w:r>
              <w:rPr>
                <w:b/>
                <w:sz w:val="13"/>
              </w:rPr>
              <w:t>from</w:t>
            </w:r>
            <w:r>
              <w:rPr>
                <w:b/>
                <w:spacing w:val="-2"/>
                <w:sz w:val="13"/>
              </w:rPr>
              <w:t> </w:t>
            </w:r>
            <w:r>
              <w:rPr>
                <w:b/>
                <w:sz w:val="13"/>
              </w:rPr>
              <w:t>discontinued</w:t>
            </w:r>
            <w:r>
              <w:rPr>
                <w:b/>
                <w:spacing w:val="-1"/>
                <w:sz w:val="13"/>
              </w:rPr>
              <w:t> </w:t>
            </w:r>
            <w:r>
              <w:rPr>
                <w:b/>
                <w:spacing w:val="-2"/>
                <w:sz w:val="13"/>
              </w:rPr>
              <w:t>operations</w:t>
            </w:r>
          </w:p>
        </w:tc>
        <w:tc>
          <w:tcPr>
            <w:tcW w:w="716" w:type="dxa"/>
            <w:tcBorders>
              <w:top w:val="single" w:sz="6" w:space="0" w:color="000000"/>
              <w:bottom w:val="single" w:sz="6" w:space="0" w:color="000000"/>
            </w:tcBorders>
          </w:tcPr>
          <w:p>
            <w:pPr>
              <w:pStyle w:val="TableParagraph"/>
              <w:rPr>
                <w:rFonts w:ascii="Times New Roman"/>
                <w:sz w:val="8"/>
              </w:rPr>
            </w:pPr>
          </w:p>
        </w:tc>
        <w:tc>
          <w:tcPr>
            <w:tcW w:w="916" w:type="dxa"/>
            <w:tcBorders>
              <w:top w:val="single" w:sz="6" w:space="0" w:color="000000"/>
              <w:bottom w:val="single" w:sz="6" w:space="0" w:color="000000"/>
            </w:tcBorders>
          </w:tcPr>
          <w:p>
            <w:pPr>
              <w:pStyle w:val="TableParagraph"/>
              <w:spacing w:line="125" w:lineRule="exact"/>
              <w:ind w:left="93"/>
              <w:rPr>
                <w:b/>
                <w:sz w:val="13"/>
              </w:rPr>
            </w:pPr>
            <w:r>
              <w:rPr>
                <w:b/>
                <w:spacing w:val="-10"/>
                <w:sz w:val="13"/>
              </w:rPr>
              <w:t>-</w:t>
            </w:r>
          </w:p>
        </w:tc>
        <w:tc>
          <w:tcPr>
            <w:tcW w:w="1926" w:type="dxa"/>
            <w:tcBorders>
              <w:top w:val="single" w:sz="6" w:space="0" w:color="000000"/>
              <w:bottom w:val="single" w:sz="6" w:space="0" w:color="000000"/>
            </w:tcBorders>
          </w:tcPr>
          <w:p>
            <w:pPr>
              <w:pStyle w:val="TableParagraph"/>
              <w:tabs>
                <w:tab w:pos="734" w:val="left" w:leader="none"/>
                <w:tab w:pos="1456" w:val="left" w:leader="none"/>
              </w:tabs>
              <w:spacing w:line="125" w:lineRule="exact"/>
              <w:ind w:left="65"/>
              <w:jc w:val="center"/>
              <w:rPr>
                <w:b/>
                <w:sz w:val="13"/>
              </w:rPr>
            </w:pPr>
            <w:r>
              <w:rPr>
                <w:b/>
                <w:spacing w:val="-10"/>
                <w:sz w:val="13"/>
              </w:rPr>
              <w:t>-</w:t>
            </w:r>
            <w:r>
              <w:rPr>
                <w:b/>
                <w:sz w:val="13"/>
              </w:rPr>
              <w:tab/>
            </w:r>
            <w:r>
              <w:rPr>
                <w:b/>
                <w:spacing w:val="-10"/>
                <w:sz w:val="13"/>
              </w:rPr>
              <w:t>-</w:t>
            </w:r>
            <w:r>
              <w:rPr>
                <w:b/>
                <w:sz w:val="13"/>
              </w:rPr>
              <w:tab/>
            </w:r>
            <w:r>
              <w:rPr>
                <w:b/>
                <w:spacing w:val="-2"/>
                <w:sz w:val="13"/>
              </w:rPr>
              <w:t>(3,740)</w:t>
            </w:r>
          </w:p>
        </w:tc>
      </w:tr>
      <w:tr>
        <w:trPr>
          <w:trHeight w:val="165" w:hRule="atLeast"/>
        </w:trPr>
        <w:tc>
          <w:tcPr>
            <w:tcW w:w="5184" w:type="dxa"/>
            <w:tcBorders>
              <w:bottom w:val="single" w:sz="12" w:space="0" w:color="4F81BD"/>
            </w:tcBorders>
          </w:tcPr>
          <w:p>
            <w:pPr>
              <w:pStyle w:val="TableParagraph"/>
              <w:rPr>
                <w:rFonts w:ascii="Times New Roman"/>
                <w:sz w:val="10"/>
              </w:rPr>
            </w:pPr>
          </w:p>
        </w:tc>
        <w:tc>
          <w:tcPr>
            <w:tcW w:w="716" w:type="dxa"/>
            <w:tcBorders>
              <w:top w:val="single" w:sz="6" w:space="0" w:color="000000"/>
              <w:bottom w:val="single" w:sz="12" w:space="0" w:color="4F81BD"/>
            </w:tcBorders>
          </w:tcPr>
          <w:p>
            <w:pPr>
              <w:pStyle w:val="TableParagraph"/>
              <w:rPr>
                <w:rFonts w:ascii="Times New Roman"/>
                <w:sz w:val="10"/>
              </w:rPr>
            </w:pPr>
          </w:p>
        </w:tc>
        <w:tc>
          <w:tcPr>
            <w:tcW w:w="916" w:type="dxa"/>
            <w:tcBorders>
              <w:top w:val="single" w:sz="6" w:space="0" w:color="000000"/>
              <w:bottom w:val="single" w:sz="12" w:space="0" w:color="4F81BD"/>
            </w:tcBorders>
          </w:tcPr>
          <w:p>
            <w:pPr>
              <w:pStyle w:val="TableParagraph"/>
              <w:rPr>
                <w:rFonts w:ascii="Times New Roman"/>
                <w:sz w:val="10"/>
              </w:rPr>
            </w:pPr>
          </w:p>
        </w:tc>
        <w:tc>
          <w:tcPr>
            <w:tcW w:w="1926" w:type="dxa"/>
            <w:tcBorders>
              <w:top w:val="single" w:sz="6" w:space="0" w:color="000000"/>
              <w:bottom w:val="single" w:sz="12" w:space="0" w:color="4F81BD"/>
            </w:tcBorders>
          </w:tcPr>
          <w:p>
            <w:pPr>
              <w:pStyle w:val="TableParagraph"/>
              <w:rPr>
                <w:rFonts w:ascii="Times New Roman"/>
                <w:sz w:val="10"/>
              </w:rPr>
            </w:pPr>
          </w:p>
        </w:tc>
      </w:tr>
      <w:tr>
        <w:trPr>
          <w:trHeight w:val="331" w:hRule="atLeast"/>
        </w:trPr>
        <w:tc>
          <w:tcPr>
            <w:tcW w:w="5184" w:type="dxa"/>
            <w:tcBorders>
              <w:top w:val="single" w:sz="12" w:space="0" w:color="4F81BD"/>
            </w:tcBorders>
          </w:tcPr>
          <w:p>
            <w:pPr>
              <w:pStyle w:val="TableParagraph"/>
              <w:tabs>
                <w:tab w:pos="610" w:val="left" w:leader="none"/>
              </w:tabs>
              <w:spacing w:line="154" w:lineRule="exact" w:before="157"/>
              <w:ind w:left="28"/>
              <w:rPr>
                <w:b/>
                <w:sz w:val="15"/>
              </w:rPr>
            </w:pPr>
            <w:r>
              <w:rPr>
                <w:b/>
                <w:color w:val="0070C0"/>
                <w:spacing w:val="-5"/>
                <w:w w:val="105"/>
                <w:sz w:val="15"/>
              </w:rPr>
              <w:t>7.6</w:t>
            </w:r>
            <w:r>
              <w:rPr>
                <w:b/>
                <w:color w:val="0070C0"/>
                <w:sz w:val="15"/>
              </w:rPr>
              <w:tab/>
            </w:r>
            <w:r>
              <w:rPr>
                <w:b/>
                <w:color w:val="0070C0"/>
                <w:w w:val="105"/>
                <w:sz w:val="15"/>
              </w:rPr>
              <w:t>Events</w:t>
            </w:r>
            <w:r>
              <w:rPr>
                <w:b/>
                <w:color w:val="0070C0"/>
                <w:spacing w:val="-7"/>
                <w:w w:val="105"/>
                <w:sz w:val="15"/>
              </w:rPr>
              <w:t> </w:t>
            </w:r>
            <w:r>
              <w:rPr>
                <w:b/>
                <w:color w:val="0070C0"/>
                <w:w w:val="105"/>
                <w:sz w:val="15"/>
              </w:rPr>
              <w:t>occurring</w:t>
            </w:r>
            <w:r>
              <w:rPr>
                <w:b/>
                <w:color w:val="0070C0"/>
                <w:spacing w:val="-6"/>
                <w:w w:val="105"/>
                <w:sz w:val="15"/>
              </w:rPr>
              <w:t> </w:t>
            </w:r>
            <w:r>
              <w:rPr>
                <w:b/>
                <w:color w:val="0070C0"/>
                <w:w w:val="105"/>
                <w:sz w:val="15"/>
              </w:rPr>
              <w:t>after</w:t>
            </w:r>
            <w:r>
              <w:rPr>
                <w:b/>
                <w:color w:val="0070C0"/>
                <w:spacing w:val="-6"/>
                <w:w w:val="105"/>
                <w:sz w:val="15"/>
              </w:rPr>
              <w:t> </w:t>
            </w:r>
            <w:r>
              <w:rPr>
                <w:b/>
                <w:color w:val="0070C0"/>
                <w:w w:val="105"/>
                <w:sz w:val="15"/>
              </w:rPr>
              <w:t>the</w:t>
            </w:r>
            <w:r>
              <w:rPr>
                <w:b/>
                <w:color w:val="0070C0"/>
                <w:spacing w:val="-6"/>
                <w:w w:val="105"/>
                <w:sz w:val="15"/>
              </w:rPr>
              <w:t> </w:t>
            </w:r>
            <w:r>
              <w:rPr>
                <w:b/>
                <w:color w:val="0070C0"/>
                <w:w w:val="105"/>
                <w:sz w:val="15"/>
              </w:rPr>
              <w:t>end</w:t>
            </w:r>
            <w:r>
              <w:rPr>
                <w:b/>
                <w:color w:val="0070C0"/>
                <w:spacing w:val="-6"/>
                <w:w w:val="105"/>
                <w:sz w:val="15"/>
              </w:rPr>
              <w:t> </w:t>
            </w:r>
            <w:r>
              <w:rPr>
                <w:b/>
                <w:color w:val="0070C0"/>
                <w:w w:val="105"/>
                <w:sz w:val="15"/>
              </w:rPr>
              <w:t>of</w:t>
            </w:r>
            <w:r>
              <w:rPr>
                <w:b/>
                <w:color w:val="0070C0"/>
                <w:spacing w:val="-6"/>
                <w:w w:val="105"/>
                <w:sz w:val="15"/>
              </w:rPr>
              <w:t> </w:t>
            </w:r>
            <w:r>
              <w:rPr>
                <w:b/>
                <w:color w:val="0070C0"/>
                <w:w w:val="105"/>
                <w:sz w:val="15"/>
              </w:rPr>
              <w:t>the</w:t>
            </w:r>
            <w:r>
              <w:rPr>
                <w:b/>
                <w:color w:val="0070C0"/>
                <w:spacing w:val="-6"/>
                <w:w w:val="105"/>
                <w:sz w:val="15"/>
              </w:rPr>
              <w:t> </w:t>
            </w:r>
            <w:r>
              <w:rPr>
                <w:b/>
                <w:color w:val="0070C0"/>
                <w:w w:val="105"/>
                <w:sz w:val="15"/>
              </w:rPr>
              <w:t>reporting</w:t>
            </w:r>
            <w:r>
              <w:rPr>
                <w:b/>
                <w:color w:val="0070C0"/>
                <w:spacing w:val="-6"/>
                <w:w w:val="105"/>
                <w:sz w:val="15"/>
              </w:rPr>
              <w:t> </w:t>
            </w:r>
            <w:r>
              <w:rPr>
                <w:b/>
                <w:color w:val="0070C0"/>
                <w:spacing w:val="-2"/>
                <w:w w:val="105"/>
                <w:sz w:val="15"/>
              </w:rPr>
              <w:t>period</w:t>
            </w:r>
          </w:p>
        </w:tc>
        <w:tc>
          <w:tcPr>
            <w:tcW w:w="716" w:type="dxa"/>
            <w:tcBorders>
              <w:top w:val="single" w:sz="12" w:space="0" w:color="4F81BD"/>
            </w:tcBorders>
          </w:tcPr>
          <w:p>
            <w:pPr>
              <w:pStyle w:val="TableParagraph"/>
              <w:rPr>
                <w:rFonts w:ascii="Times New Roman"/>
                <w:sz w:val="12"/>
              </w:rPr>
            </w:pPr>
          </w:p>
        </w:tc>
        <w:tc>
          <w:tcPr>
            <w:tcW w:w="916" w:type="dxa"/>
            <w:tcBorders>
              <w:top w:val="single" w:sz="12" w:space="0" w:color="4F81BD"/>
            </w:tcBorders>
          </w:tcPr>
          <w:p>
            <w:pPr>
              <w:pStyle w:val="TableParagraph"/>
              <w:rPr>
                <w:rFonts w:ascii="Times New Roman"/>
                <w:sz w:val="12"/>
              </w:rPr>
            </w:pPr>
          </w:p>
        </w:tc>
        <w:tc>
          <w:tcPr>
            <w:tcW w:w="1926" w:type="dxa"/>
            <w:tcBorders>
              <w:top w:val="single" w:sz="12" w:space="0" w:color="4F81BD"/>
            </w:tcBorders>
          </w:tcPr>
          <w:p>
            <w:pPr>
              <w:pStyle w:val="TableParagraph"/>
              <w:rPr>
                <w:rFonts w:ascii="Times New Roman"/>
                <w:sz w:val="12"/>
              </w:rPr>
            </w:pPr>
          </w:p>
        </w:tc>
      </w:tr>
    </w:tbl>
    <w:p>
      <w:pPr>
        <w:spacing w:line="240" w:lineRule="auto" w:before="26"/>
        <w:rPr>
          <w:b/>
          <w:sz w:val="15"/>
        </w:rPr>
      </w:pPr>
    </w:p>
    <w:p>
      <w:pPr>
        <w:spacing w:line="264" w:lineRule="auto" w:before="1"/>
        <w:ind w:left="714" w:right="518" w:firstLine="0"/>
        <w:jc w:val="both"/>
        <w:rPr>
          <w:sz w:val="13"/>
        </w:rPr>
      </w:pPr>
      <w:r>
        <w:rPr>
          <w:sz w:val="13"/>
        </w:rPr>
        <w:t>The Group continues to monitor the Covid-19 pandemic situation and will take further action as necessary in response to any economic</w:t>
      </w:r>
      <w:r>
        <w:rPr>
          <w:spacing w:val="40"/>
          <w:sz w:val="13"/>
        </w:rPr>
        <w:t> </w:t>
      </w:r>
      <w:r>
        <w:rPr>
          <w:sz w:val="13"/>
        </w:rPr>
        <w:t>disruption. Action taken to date have preserved liquidity and the Group has sufficient cash reserves to meet our obligations when they</w:t>
      </w:r>
      <w:r>
        <w:rPr>
          <w:spacing w:val="40"/>
          <w:sz w:val="13"/>
        </w:rPr>
        <w:t> </w:t>
      </w:r>
      <w:r>
        <w:rPr>
          <w:sz w:val="13"/>
        </w:rPr>
        <w:t>became due and payable.</w:t>
      </w:r>
    </w:p>
    <w:p>
      <w:pPr>
        <w:spacing w:line="240" w:lineRule="auto" w:before="13"/>
        <w:rPr>
          <w:sz w:val="13"/>
        </w:rPr>
      </w:pPr>
    </w:p>
    <w:p>
      <w:pPr>
        <w:spacing w:line="264" w:lineRule="auto" w:before="0"/>
        <w:ind w:left="714" w:right="519" w:firstLine="0"/>
        <w:jc w:val="both"/>
        <w:rPr>
          <w:sz w:val="13"/>
        </w:rPr>
      </w:pPr>
      <w:r>
        <w:rPr>
          <w:sz w:val="13"/>
        </w:rPr>
        <w:t>Other than the matters reported above, there are no significant events occurring after the end of the reporting period up until the date of this</w:t>
      </w:r>
      <w:r>
        <w:rPr>
          <w:spacing w:val="40"/>
          <w:sz w:val="13"/>
        </w:rPr>
        <w:t> </w:t>
      </w:r>
      <w:r>
        <w:rPr>
          <w:sz w:val="13"/>
        </w:rPr>
        <w:t>report which are likely to materially affect the Group's financial position.</w:t>
      </w:r>
    </w:p>
    <w:p>
      <w:pPr>
        <w:spacing w:after="0" w:line="264" w:lineRule="auto"/>
        <w:jc w:val="both"/>
        <w:rPr>
          <w:sz w:val="13"/>
        </w:rPr>
        <w:sectPr>
          <w:pgSz w:w="11910" w:h="16840"/>
          <w:pgMar w:header="468" w:footer="0" w:top="1580" w:bottom="280" w:left="1020" w:right="1540"/>
        </w:sectPr>
      </w:pPr>
    </w:p>
    <w:p>
      <w:pPr>
        <w:spacing w:before="81"/>
        <w:ind w:left="127" w:right="0" w:firstLine="0"/>
        <w:jc w:val="left"/>
        <w:rPr>
          <w:sz w:val="23"/>
        </w:rPr>
      </w:pPr>
      <w:r>
        <w:rPr>
          <w:color w:val="0070C0"/>
          <w:sz w:val="23"/>
        </w:rPr>
        <w:t>NOTES</w:t>
      </w:r>
      <w:r>
        <w:rPr>
          <w:color w:val="0070C0"/>
          <w:spacing w:val="6"/>
          <w:sz w:val="23"/>
        </w:rPr>
        <w:t> </w:t>
      </w:r>
      <w:r>
        <w:rPr>
          <w:color w:val="0070C0"/>
          <w:sz w:val="23"/>
        </w:rPr>
        <w:t>TO</w:t>
      </w:r>
      <w:r>
        <w:rPr>
          <w:color w:val="0070C0"/>
          <w:spacing w:val="7"/>
          <w:sz w:val="23"/>
        </w:rPr>
        <w:t> </w:t>
      </w:r>
      <w:r>
        <w:rPr>
          <w:color w:val="0070C0"/>
          <w:sz w:val="23"/>
        </w:rPr>
        <w:t>THE</w:t>
      </w:r>
      <w:r>
        <w:rPr>
          <w:color w:val="0070C0"/>
          <w:spacing w:val="6"/>
          <w:sz w:val="23"/>
        </w:rPr>
        <w:t> </w:t>
      </w:r>
      <w:r>
        <w:rPr>
          <w:color w:val="0070C0"/>
          <w:sz w:val="23"/>
        </w:rPr>
        <w:t>FINANCIAL</w:t>
      </w:r>
      <w:r>
        <w:rPr>
          <w:color w:val="0070C0"/>
          <w:spacing w:val="5"/>
          <w:sz w:val="23"/>
        </w:rPr>
        <w:t> </w:t>
      </w:r>
      <w:r>
        <w:rPr>
          <w:color w:val="0070C0"/>
          <w:spacing w:val="-2"/>
          <w:sz w:val="23"/>
        </w:rPr>
        <w:t>STATEMENTS</w:t>
      </w:r>
    </w:p>
    <w:p>
      <w:pPr>
        <w:spacing w:before="62"/>
        <w:ind w:left="113" w:right="0" w:firstLine="0"/>
        <w:jc w:val="left"/>
        <w:rPr>
          <w:sz w:val="13"/>
        </w:rPr>
      </w:pPr>
      <w:r>
        <w:rPr>
          <w:sz w:val="13"/>
        </w:rPr>
        <w:t>for</w:t>
      </w:r>
      <w:r>
        <w:rPr>
          <w:spacing w:val="-3"/>
          <w:sz w:val="13"/>
        </w:rPr>
        <w:t> </w:t>
      </w:r>
      <w:r>
        <w:rPr>
          <w:sz w:val="13"/>
        </w:rPr>
        <w:t>the</w:t>
      </w:r>
      <w:r>
        <w:rPr>
          <w:spacing w:val="-3"/>
          <w:sz w:val="13"/>
        </w:rPr>
        <w:t> </w:t>
      </w:r>
      <w:r>
        <w:rPr>
          <w:sz w:val="13"/>
        </w:rPr>
        <w:t>year</w:t>
      </w:r>
      <w:r>
        <w:rPr>
          <w:spacing w:val="-3"/>
          <w:sz w:val="13"/>
        </w:rPr>
        <w:t> </w:t>
      </w:r>
      <w:r>
        <w:rPr>
          <w:sz w:val="13"/>
        </w:rPr>
        <w:t>ended</w:t>
      </w:r>
      <w:r>
        <w:rPr>
          <w:spacing w:val="-3"/>
          <w:sz w:val="13"/>
        </w:rPr>
        <w:t> </w:t>
      </w:r>
      <w:r>
        <w:rPr>
          <w:sz w:val="13"/>
        </w:rPr>
        <w:t>31</w:t>
      </w:r>
      <w:r>
        <w:rPr>
          <w:spacing w:val="-3"/>
          <w:sz w:val="13"/>
        </w:rPr>
        <w:t> </w:t>
      </w:r>
      <w:r>
        <w:rPr>
          <w:sz w:val="13"/>
        </w:rPr>
        <w:t>December</w:t>
      </w:r>
      <w:r>
        <w:rPr>
          <w:spacing w:val="-2"/>
          <w:sz w:val="13"/>
        </w:rPr>
        <w:t> </w:t>
      </w:r>
      <w:r>
        <w:rPr>
          <w:spacing w:val="-4"/>
          <w:sz w:val="13"/>
        </w:rPr>
        <w:t>2020</w:t>
      </w:r>
    </w:p>
    <w:p>
      <w:pPr>
        <w:spacing w:line="240" w:lineRule="auto" w:before="32"/>
        <w:rPr>
          <w:sz w:val="17"/>
        </w:rPr>
      </w:pPr>
    </w:p>
    <w:p>
      <w:pPr>
        <w:pStyle w:val="ListParagraph"/>
        <w:numPr>
          <w:ilvl w:val="1"/>
          <w:numId w:val="47"/>
        </w:numPr>
        <w:tabs>
          <w:tab w:pos="763" w:val="left" w:leader="none"/>
        </w:tabs>
        <w:spacing w:line="240" w:lineRule="auto" w:before="1" w:after="0"/>
        <w:ind w:left="763" w:right="0" w:hanging="645"/>
        <w:jc w:val="left"/>
        <w:rPr>
          <w:b/>
          <w:color w:val="0070C0"/>
          <w:sz w:val="17"/>
        </w:rPr>
      </w:pPr>
      <w:r>
        <w:rPr>
          <w:b/>
          <w:color w:val="0070C0"/>
          <w:sz w:val="17"/>
        </w:rPr>
        <w:t>New</w:t>
      </w:r>
      <w:r>
        <w:rPr>
          <w:b/>
          <w:color w:val="0070C0"/>
          <w:spacing w:val="11"/>
          <w:sz w:val="17"/>
        </w:rPr>
        <w:t> </w:t>
      </w:r>
      <w:r>
        <w:rPr>
          <w:b/>
          <w:color w:val="0070C0"/>
          <w:sz w:val="17"/>
        </w:rPr>
        <w:t>standards</w:t>
      </w:r>
      <w:r>
        <w:rPr>
          <w:b/>
          <w:color w:val="0070C0"/>
          <w:spacing w:val="6"/>
          <w:sz w:val="17"/>
        </w:rPr>
        <w:t> </w:t>
      </w:r>
      <w:r>
        <w:rPr>
          <w:b/>
          <w:color w:val="0070C0"/>
          <w:sz w:val="17"/>
        </w:rPr>
        <w:t>issued</w:t>
      </w:r>
      <w:r>
        <w:rPr>
          <w:b/>
          <w:color w:val="0070C0"/>
          <w:spacing w:val="6"/>
          <w:sz w:val="17"/>
        </w:rPr>
        <w:t> </w:t>
      </w:r>
      <w:r>
        <w:rPr>
          <w:b/>
          <w:color w:val="0070C0"/>
          <w:sz w:val="17"/>
        </w:rPr>
        <w:t>but</w:t>
      </w:r>
      <w:r>
        <w:rPr>
          <w:b/>
          <w:color w:val="0070C0"/>
          <w:spacing w:val="6"/>
          <w:sz w:val="17"/>
        </w:rPr>
        <w:t> </w:t>
      </w:r>
      <w:r>
        <w:rPr>
          <w:b/>
          <w:color w:val="0070C0"/>
          <w:sz w:val="17"/>
        </w:rPr>
        <w:t>not</w:t>
      </w:r>
      <w:r>
        <w:rPr>
          <w:b/>
          <w:color w:val="0070C0"/>
          <w:spacing w:val="6"/>
          <w:sz w:val="17"/>
        </w:rPr>
        <w:t> </w:t>
      </w:r>
      <w:r>
        <w:rPr>
          <w:b/>
          <w:color w:val="0070C0"/>
          <w:sz w:val="17"/>
        </w:rPr>
        <w:t>yet</w:t>
      </w:r>
      <w:r>
        <w:rPr>
          <w:b/>
          <w:color w:val="0070C0"/>
          <w:spacing w:val="6"/>
          <w:sz w:val="17"/>
        </w:rPr>
        <w:t> </w:t>
      </w:r>
      <w:r>
        <w:rPr>
          <w:b/>
          <w:color w:val="0070C0"/>
          <w:spacing w:val="-2"/>
          <w:sz w:val="17"/>
        </w:rPr>
        <w:t>effective</w:t>
      </w:r>
    </w:p>
    <w:p>
      <w:pPr>
        <w:spacing w:line="271" w:lineRule="auto" w:before="29"/>
        <w:ind w:left="761" w:right="0" w:firstLine="0"/>
        <w:jc w:val="left"/>
        <w:rPr>
          <w:sz w:val="14"/>
        </w:rPr>
      </w:pPr>
      <w:r>
        <w:rPr>
          <w:w w:val="105"/>
          <w:sz w:val="14"/>
        </w:rPr>
        <w:t>Certain</w:t>
      </w:r>
      <w:r>
        <w:rPr>
          <w:spacing w:val="-3"/>
          <w:w w:val="105"/>
          <w:sz w:val="14"/>
        </w:rPr>
        <w:t> </w:t>
      </w:r>
      <w:r>
        <w:rPr>
          <w:w w:val="105"/>
          <w:sz w:val="14"/>
        </w:rPr>
        <w:t>new</w:t>
      </w:r>
      <w:r>
        <w:rPr>
          <w:spacing w:val="-3"/>
          <w:w w:val="105"/>
          <w:sz w:val="14"/>
        </w:rPr>
        <w:t> </w:t>
      </w:r>
      <w:r>
        <w:rPr>
          <w:w w:val="105"/>
          <w:sz w:val="14"/>
        </w:rPr>
        <w:t>accounting</w:t>
      </w:r>
      <w:r>
        <w:rPr>
          <w:spacing w:val="-3"/>
          <w:w w:val="105"/>
          <w:sz w:val="14"/>
        </w:rPr>
        <w:t> </w:t>
      </w:r>
      <w:r>
        <w:rPr>
          <w:w w:val="105"/>
          <w:sz w:val="14"/>
        </w:rPr>
        <w:t>standards</w:t>
      </w:r>
      <w:r>
        <w:rPr>
          <w:spacing w:val="-3"/>
          <w:w w:val="105"/>
          <w:sz w:val="14"/>
        </w:rPr>
        <w:t> </w:t>
      </w:r>
      <w:r>
        <w:rPr>
          <w:w w:val="105"/>
          <w:sz w:val="14"/>
        </w:rPr>
        <w:t>and</w:t>
      </w:r>
      <w:r>
        <w:rPr>
          <w:spacing w:val="-3"/>
          <w:w w:val="105"/>
          <w:sz w:val="14"/>
        </w:rPr>
        <w:t> </w:t>
      </w:r>
      <w:r>
        <w:rPr>
          <w:w w:val="105"/>
          <w:sz w:val="14"/>
        </w:rPr>
        <w:t>interpretations</w:t>
      </w:r>
      <w:r>
        <w:rPr>
          <w:spacing w:val="-3"/>
          <w:w w:val="105"/>
          <w:sz w:val="14"/>
        </w:rPr>
        <w:t> </w:t>
      </w:r>
      <w:r>
        <w:rPr>
          <w:w w:val="105"/>
          <w:sz w:val="14"/>
        </w:rPr>
        <w:t>have</w:t>
      </w:r>
      <w:r>
        <w:rPr>
          <w:spacing w:val="-3"/>
          <w:w w:val="105"/>
          <w:sz w:val="14"/>
        </w:rPr>
        <w:t> </w:t>
      </w:r>
      <w:r>
        <w:rPr>
          <w:w w:val="105"/>
          <w:sz w:val="14"/>
        </w:rPr>
        <w:t>been</w:t>
      </w:r>
      <w:r>
        <w:rPr>
          <w:spacing w:val="-3"/>
          <w:w w:val="105"/>
          <w:sz w:val="14"/>
        </w:rPr>
        <w:t> </w:t>
      </w:r>
      <w:r>
        <w:rPr>
          <w:w w:val="105"/>
          <w:sz w:val="14"/>
        </w:rPr>
        <w:t>published</w:t>
      </w:r>
      <w:r>
        <w:rPr>
          <w:spacing w:val="-3"/>
          <w:w w:val="105"/>
          <w:sz w:val="14"/>
        </w:rPr>
        <w:t> </w:t>
      </w:r>
      <w:r>
        <w:rPr>
          <w:w w:val="105"/>
          <w:sz w:val="14"/>
        </w:rPr>
        <w:t>that</w:t>
      </w:r>
      <w:r>
        <w:rPr>
          <w:spacing w:val="-3"/>
          <w:w w:val="105"/>
          <w:sz w:val="14"/>
        </w:rPr>
        <w:t> </w:t>
      </w:r>
      <w:r>
        <w:rPr>
          <w:w w:val="105"/>
          <w:sz w:val="14"/>
        </w:rPr>
        <w:t>are</w:t>
      </w:r>
      <w:r>
        <w:rPr>
          <w:spacing w:val="-3"/>
          <w:w w:val="105"/>
          <w:sz w:val="14"/>
        </w:rPr>
        <w:t> </w:t>
      </w:r>
      <w:r>
        <w:rPr>
          <w:w w:val="105"/>
          <w:sz w:val="14"/>
        </w:rPr>
        <w:t>not</w:t>
      </w:r>
      <w:r>
        <w:rPr>
          <w:spacing w:val="-2"/>
          <w:w w:val="105"/>
          <w:sz w:val="14"/>
        </w:rPr>
        <w:t> </w:t>
      </w:r>
      <w:r>
        <w:rPr>
          <w:w w:val="105"/>
          <w:sz w:val="14"/>
        </w:rPr>
        <w:t>mandatory</w:t>
      </w:r>
      <w:r>
        <w:rPr>
          <w:spacing w:val="-5"/>
          <w:w w:val="105"/>
          <w:sz w:val="14"/>
        </w:rPr>
        <w:t> </w:t>
      </w:r>
      <w:r>
        <w:rPr>
          <w:w w:val="105"/>
          <w:sz w:val="14"/>
        </w:rPr>
        <w:t>for</w:t>
      </w:r>
      <w:r>
        <w:rPr>
          <w:spacing w:val="-3"/>
          <w:w w:val="105"/>
          <w:sz w:val="14"/>
        </w:rPr>
        <w:t> </w:t>
      </w:r>
      <w:r>
        <w:rPr>
          <w:w w:val="105"/>
          <w:sz w:val="14"/>
        </w:rPr>
        <w:t>31</w:t>
      </w:r>
      <w:r>
        <w:rPr>
          <w:spacing w:val="-3"/>
          <w:w w:val="105"/>
          <w:sz w:val="14"/>
        </w:rPr>
        <w:t> </w:t>
      </w:r>
      <w:r>
        <w:rPr>
          <w:w w:val="105"/>
          <w:sz w:val="14"/>
        </w:rPr>
        <w:t>December</w:t>
      </w:r>
      <w:r>
        <w:rPr>
          <w:spacing w:val="-3"/>
          <w:w w:val="105"/>
          <w:sz w:val="14"/>
        </w:rPr>
        <w:t> </w:t>
      </w:r>
      <w:r>
        <w:rPr>
          <w:w w:val="105"/>
          <w:sz w:val="14"/>
        </w:rPr>
        <w:t>2020</w:t>
      </w:r>
      <w:r>
        <w:rPr>
          <w:spacing w:val="-3"/>
          <w:w w:val="105"/>
          <w:sz w:val="14"/>
        </w:rPr>
        <w:t> </w:t>
      </w:r>
      <w:r>
        <w:rPr>
          <w:w w:val="105"/>
          <w:sz w:val="14"/>
        </w:rPr>
        <w:t>reporting</w:t>
      </w:r>
      <w:r>
        <w:rPr>
          <w:spacing w:val="-3"/>
          <w:w w:val="105"/>
          <w:sz w:val="14"/>
        </w:rPr>
        <w:t> </w:t>
      </w:r>
      <w:r>
        <w:rPr>
          <w:w w:val="105"/>
          <w:sz w:val="14"/>
        </w:rPr>
        <w:t>periods.</w:t>
      </w:r>
      <w:r>
        <w:rPr>
          <w:spacing w:val="-2"/>
          <w:w w:val="105"/>
          <w:sz w:val="14"/>
        </w:rPr>
        <w:t> </w:t>
      </w:r>
      <w:r>
        <w:rPr>
          <w:w w:val="105"/>
          <w:sz w:val="14"/>
        </w:rPr>
        <w:t>The</w:t>
      </w:r>
      <w:r>
        <w:rPr>
          <w:spacing w:val="-3"/>
          <w:w w:val="105"/>
          <w:sz w:val="14"/>
        </w:rPr>
        <w:t> </w:t>
      </w:r>
      <w:r>
        <w:rPr>
          <w:w w:val="105"/>
          <w:sz w:val="14"/>
        </w:rPr>
        <w:t>Group</w:t>
      </w:r>
      <w:r>
        <w:rPr>
          <w:spacing w:val="-3"/>
          <w:w w:val="105"/>
          <w:sz w:val="14"/>
        </w:rPr>
        <w:t> </w:t>
      </w:r>
      <w:r>
        <w:rPr>
          <w:w w:val="105"/>
          <w:sz w:val="14"/>
        </w:rPr>
        <w:t>has</w:t>
      </w:r>
      <w:r>
        <w:rPr>
          <w:spacing w:val="-3"/>
          <w:w w:val="105"/>
          <w:sz w:val="14"/>
        </w:rPr>
        <w:t> </w:t>
      </w:r>
      <w:r>
        <w:rPr>
          <w:w w:val="105"/>
          <w:sz w:val="14"/>
        </w:rPr>
        <w:t>elected</w:t>
      </w:r>
      <w:r>
        <w:rPr>
          <w:spacing w:val="-3"/>
          <w:w w:val="105"/>
          <w:sz w:val="14"/>
        </w:rPr>
        <w:t> </w:t>
      </w:r>
      <w:r>
        <w:rPr>
          <w:w w:val="105"/>
          <w:sz w:val="14"/>
        </w:rPr>
        <w:t>not</w:t>
      </w:r>
      <w:r>
        <w:rPr>
          <w:spacing w:val="-3"/>
          <w:w w:val="105"/>
          <w:sz w:val="14"/>
        </w:rPr>
        <w:t> </w:t>
      </w:r>
      <w:r>
        <w:rPr>
          <w:w w:val="105"/>
          <w:sz w:val="14"/>
        </w:rPr>
        <w:t>to</w:t>
      </w:r>
      <w:r>
        <w:rPr>
          <w:spacing w:val="-3"/>
          <w:w w:val="105"/>
          <w:sz w:val="14"/>
        </w:rPr>
        <w:t> </w:t>
      </w:r>
      <w:r>
        <w:rPr>
          <w:w w:val="105"/>
          <w:sz w:val="14"/>
        </w:rPr>
        <w:t>early</w:t>
      </w:r>
      <w:r>
        <w:rPr>
          <w:spacing w:val="-5"/>
          <w:w w:val="105"/>
          <w:sz w:val="14"/>
        </w:rPr>
        <w:t> </w:t>
      </w:r>
      <w:r>
        <w:rPr>
          <w:w w:val="105"/>
          <w:sz w:val="14"/>
        </w:rPr>
        <w:t>adopt any</w:t>
      </w:r>
      <w:r>
        <w:rPr>
          <w:spacing w:val="-5"/>
          <w:w w:val="105"/>
          <w:sz w:val="14"/>
        </w:rPr>
        <w:t> </w:t>
      </w:r>
      <w:r>
        <w:rPr>
          <w:w w:val="105"/>
          <w:sz w:val="14"/>
        </w:rPr>
        <w:t>of these</w:t>
      </w:r>
      <w:r>
        <w:rPr>
          <w:spacing w:val="-3"/>
          <w:w w:val="105"/>
          <w:sz w:val="14"/>
        </w:rPr>
        <w:t> </w:t>
      </w:r>
      <w:r>
        <w:rPr>
          <w:w w:val="105"/>
          <w:sz w:val="14"/>
        </w:rPr>
        <w:t>standards. The Group's assessment of the impact of these new standards and interpretations is set out below:</w:t>
      </w:r>
    </w:p>
    <w:p>
      <w:pPr>
        <w:spacing w:line="240" w:lineRule="auto" w:before="2"/>
        <w:rPr>
          <w:sz w:val="17"/>
        </w:rPr>
      </w:pPr>
    </w:p>
    <w:p>
      <w:pPr>
        <w:spacing w:after="0" w:line="240" w:lineRule="auto"/>
        <w:rPr>
          <w:sz w:val="17"/>
        </w:rPr>
        <w:sectPr>
          <w:headerReference w:type="default" r:id="rId122"/>
          <w:pgSz w:w="16840" w:h="11910" w:orient="landscape"/>
          <w:pgMar w:header="0" w:footer="0" w:top="1040" w:bottom="280" w:left="1040" w:right="1600"/>
        </w:sectPr>
      </w:pPr>
    </w:p>
    <w:p>
      <w:pPr>
        <w:tabs>
          <w:tab w:pos="2445" w:val="left" w:leader="none"/>
          <w:tab w:pos="7708" w:val="left" w:leader="none"/>
        </w:tabs>
        <w:spacing w:before="101"/>
        <w:ind w:left="761" w:right="0" w:firstLine="0"/>
        <w:jc w:val="left"/>
        <w:rPr>
          <w:b/>
          <w:sz w:val="14"/>
        </w:rPr>
      </w:pPr>
      <w:r>
        <w:rPr>
          <w:b/>
          <w:spacing w:val="-2"/>
          <w:w w:val="105"/>
          <w:sz w:val="14"/>
        </w:rPr>
        <w:t>Standard</w:t>
      </w:r>
      <w:r>
        <w:rPr>
          <w:b/>
          <w:sz w:val="14"/>
        </w:rPr>
        <w:tab/>
      </w:r>
      <w:r>
        <w:rPr>
          <w:b/>
          <w:spacing w:val="-2"/>
          <w:w w:val="105"/>
          <w:sz w:val="14"/>
        </w:rPr>
        <w:t>Amendment</w:t>
      </w:r>
      <w:r>
        <w:rPr>
          <w:b/>
          <w:sz w:val="14"/>
        </w:rPr>
        <w:tab/>
      </w:r>
      <w:r>
        <w:rPr>
          <w:b/>
          <w:spacing w:val="-2"/>
          <w:w w:val="105"/>
          <w:sz w:val="14"/>
        </w:rPr>
        <w:t>Application</w:t>
      </w:r>
    </w:p>
    <w:p>
      <w:pPr>
        <w:spacing w:before="28"/>
        <w:ind w:left="7708" w:right="0" w:firstLine="0"/>
        <w:jc w:val="left"/>
        <w:rPr>
          <w:b/>
          <w:sz w:val="14"/>
        </w:rPr>
      </w:pPr>
      <w:r>
        <w:rPr>
          <w:b/>
          <w:spacing w:val="-4"/>
          <w:w w:val="105"/>
          <w:sz w:val="14"/>
        </w:rPr>
        <w:t>date</w:t>
      </w:r>
    </w:p>
    <w:p>
      <w:pPr>
        <w:spacing w:before="101"/>
        <w:ind w:left="525" w:right="0" w:firstLine="0"/>
        <w:jc w:val="left"/>
        <w:rPr>
          <w:b/>
          <w:sz w:val="14"/>
        </w:rPr>
      </w:pPr>
      <w:r>
        <w:rPr/>
        <w:br w:type="column"/>
      </w:r>
      <w:r>
        <w:rPr>
          <w:b/>
          <w:w w:val="105"/>
          <w:sz w:val="14"/>
        </w:rPr>
        <w:t>Likely</w:t>
      </w:r>
      <w:r>
        <w:rPr>
          <w:b/>
          <w:spacing w:val="-11"/>
          <w:w w:val="105"/>
          <w:sz w:val="14"/>
        </w:rPr>
        <w:t> </w:t>
      </w:r>
      <w:r>
        <w:rPr>
          <w:b/>
          <w:w w:val="105"/>
          <w:sz w:val="14"/>
        </w:rPr>
        <w:t>impact</w:t>
      </w:r>
      <w:r>
        <w:rPr>
          <w:b/>
          <w:spacing w:val="-9"/>
          <w:w w:val="105"/>
          <w:sz w:val="14"/>
        </w:rPr>
        <w:t> </w:t>
      </w:r>
      <w:r>
        <w:rPr>
          <w:b/>
          <w:w w:val="105"/>
          <w:sz w:val="14"/>
        </w:rPr>
        <w:t>on</w:t>
      </w:r>
      <w:r>
        <w:rPr>
          <w:b/>
          <w:spacing w:val="-7"/>
          <w:w w:val="105"/>
          <w:sz w:val="14"/>
        </w:rPr>
        <w:t> </w:t>
      </w:r>
      <w:r>
        <w:rPr>
          <w:b/>
          <w:w w:val="105"/>
          <w:sz w:val="14"/>
        </w:rPr>
        <w:t>initial</w:t>
      </w:r>
      <w:r>
        <w:rPr>
          <w:b/>
          <w:spacing w:val="-8"/>
          <w:w w:val="105"/>
          <w:sz w:val="14"/>
        </w:rPr>
        <w:t> </w:t>
      </w:r>
      <w:r>
        <w:rPr>
          <w:b/>
          <w:spacing w:val="-2"/>
          <w:w w:val="105"/>
          <w:sz w:val="14"/>
        </w:rPr>
        <w:t>application</w:t>
      </w:r>
    </w:p>
    <w:p>
      <w:pPr>
        <w:spacing w:after="0"/>
        <w:jc w:val="left"/>
        <w:rPr>
          <w:sz w:val="14"/>
        </w:rPr>
        <w:sectPr>
          <w:type w:val="continuous"/>
          <w:pgSz w:w="16840" w:h="11910" w:orient="landscape"/>
          <w:pgMar w:header="0" w:footer="0" w:top="980" w:bottom="280" w:left="1040" w:right="1600"/>
          <w:cols w:num="2" w:equalWidth="0">
            <w:col w:w="8500" w:space="40"/>
            <w:col w:w="5660"/>
          </w:cols>
        </w:sectPr>
      </w:pPr>
    </w:p>
    <w:p>
      <w:pPr>
        <w:spacing w:before="72"/>
        <w:ind w:left="761" w:right="0" w:firstLine="0"/>
        <w:jc w:val="left"/>
        <w:rPr>
          <w:sz w:val="14"/>
        </w:rPr>
      </w:pPr>
      <w:r>
        <w:rPr>
          <w:spacing w:val="-2"/>
          <w:w w:val="105"/>
          <w:sz w:val="14"/>
        </w:rPr>
        <w:t>AASB 2020-1</w:t>
      </w:r>
      <w:r>
        <w:rPr>
          <w:spacing w:val="-3"/>
          <w:w w:val="105"/>
          <w:sz w:val="14"/>
        </w:rPr>
        <w:t> </w:t>
      </w:r>
      <w:r>
        <w:rPr>
          <w:spacing w:val="-5"/>
          <w:w w:val="105"/>
          <w:sz w:val="14"/>
        </w:rPr>
        <w:t>and</w:t>
      </w:r>
    </w:p>
    <w:p>
      <w:pPr>
        <w:spacing w:before="21"/>
        <w:ind w:left="761" w:right="0" w:firstLine="0"/>
        <w:jc w:val="left"/>
        <w:rPr>
          <w:sz w:val="14"/>
        </w:rPr>
      </w:pPr>
      <w:r>
        <w:rPr>
          <w:sz w:val="14"/>
        </w:rPr>
        <w:t>AASB</w:t>
      </w:r>
      <w:r>
        <w:rPr>
          <w:spacing w:val="18"/>
          <w:sz w:val="14"/>
        </w:rPr>
        <w:t> </w:t>
      </w:r>
      <w:r>
        <w:rPr>
          <w:sz w:val="14"/>
        </w:rPr>
        <w:t>2020-</w:t>
      </w:r>
      <w:r>
        <w:rPr>
          <w:spacing w:val="-10"/>
          <w:sz w:val="14"/>
        </w:rPr>
        <w:t>6</w:t>
      </w:r>
    </w:p>
    <w:p>
      <w:pPr>
        <w:spacing w:line="271" w:lineRule="auto" w:before="72"/>
        <w:ind w:left="484" w:right="0" w:firstLine="0"/>
        <w:jc w:val="left"/>
        <w:rPr>
          <w:sz w:val="14"/>
        </w:rPr>
      </w:pPr>
      <w:r>
        <w:rPr/>
        <w:br w:type="column"/>
      </w:r>
      <w:r>
        <w:rPr>
          <w:spacing w:val="-2"/>
          <w:w w:val="105"/>
          <w:sz w:val="14"/>
        </w:rPr>
        <w:t>Amendments to Australian Accounting Standards – Classification of Liabilities</w:t>
      </w:r>
      <w:r>
        <w:rPr>
          <w:w w:val="105"/>
          <w:sz w:val="14"/>
        </w:rPr>
        <w:t> as Current or Non-current and Amendments to Australian Accounting</w:t>
      </w:r>
    </w:p>
    <w:p>
      <w:pPr>
        <w:tabs>
          <w:tab w:pos="1615" w:val="left" w:leader="none"/>
        </w:tabs>
        <w:spacing w:before="72"/>
        <w:ind w:left="258" w:right="0" w:firstLine="0"/>
        <w:jc w:val="left"/>
        <w:rPr>
          <w:sz w:val="14"/>
        </w:rPr>
      </w:pPr>
      <w:r>
        <w:rPr/>
        <w:br w:type="column"/>
      </w:r>
      <w:r>
        <w:rPr>
          <w:w w:val="105"/>
          <w:sz w:val="14"/>
        </w:rPr>
        <w:t>1</w:t>
      </w:r>
      <w:r>
        <w:rPr>
          <w:spacing w:val="-10"/>
          <w:w w:val="105"/>
          <w:sz w:val="14"/>
        </w:rPr>
        <w:t> </w:t>
      </w:r>
      <w:r>
        <w:rPr>
          <w:w w:val="105"/>
          <w:sz w:val="14"/>
        </w:rPr>
        <w:t>January</w:t>
      </w:r>
      <w:r>
        <w:rPr>
          <w:spacing w:val="-10"/>
          <w:w w:val="105"/>
          <w:sz w:val="14"/>
        </w:rPr>
        <w:t> </w:t>
      </w:r>
      <w:r>
        <w:rPr>
          <w:spacing w:val="-4"/>
          <w:w w:val="105"/>
          <w:sz w:val="14"/>
        </w:rPr>
        <w:t>2023</w:t>
      </w:r>
      <w:r>
        <w:rPr>
          <w:sz w:val="14"/>
        </w:rPr>
        <w:tab/>
      </w:r>
      <w:r>
        <w:rPr>
          <w:spacing w:val="-2"/>
          <w:w w:val="105"/>
          <w:sz w:val="14"/>
        </w:rPr>
        <w:t>No material impact</w:t>
      </w:r>
    </w:p>
    <w:p>
      <w:pPr>
        <w:spacing w:after="0"/>
        <w:jc w:val="left"/>
        <w:rPr>
          <w:sz w:val="14"/>
        </w:rPr>
        <w:sectPr>
          <w:type w:val="continuous"/>
          <w:pgSz w:w="16840" w:h="11910" w:orient="landscape"/>
          <w:pgMar w:header="0" w:footer="0" w:top="980" w:bottom="280" w:left="1040" w:right="1600"/>
          <w:cols w:num="3" w:equalWidth="0">
            <w:col w:w="1922" w:space="40"/>
            <w:col w:w="5449" w:space="39"/>
            <w:col w:w="6750"/>
          </w:cols>
        </w:sectPr>
      </w:pPr>
    </w:p>
    <w:p>
      <w:pPr>
        <w:tabs>
          <w:tab w:pos="2445" w:val="left" w:leader="none"/>
        </w:tabs>
        <w:spacing w:line="271" w:lineRule="auto" w:before="146"/>
        <w:ind w:left="2445" w:right="0" w:hanging="1684"/>
        <w:jc w:val="left"/>
        <w:rPr>
          <w:sz w:val="14"/>
        </w:rPr>
      </w:pPr>
      <w:r>
        <w:rPr>
          <w:w w:val="105"/>
          <w:sz w:val="14"/>
        </w:rPr>
        <w:t>AASB 2020-3</w:t>
      </w:r>
      <w:r>
        <w:rPr>
          <w:sz w:val="14"/>
        </w:rPr>
        <w:tab/>
      </w:r>
      <w:r>
        <w:rPr>
          <w:spacing w:val="-2"/>
          <w:w w:val="105"/>
          <w:sz w:val="14"/>
        </w:rPr>
        <w:t>Amendments to Australian Accounting Standards – Annual Improvements</w:t>
      </w:r>
      <w:r>
        <w:rPr>
          <w:w w:val="105"/>
          <w:sz w:val="14"/>
        </w:rPr>
        <w:t> 2018–2020 and Other Amendments</w:t>
      </w:r>
    </w:p>
    <w:p>
      <w:pPr>
        <w:tabs>
          <w:tab w:pos="1856" w:val="left" w:leader="none"/>
        </w:tabs>
        <w:spacing w:before="146"/>
        <w:ind w:left="500" w:right="0" w:firstLine="0"/>
        <w:jc w:val="left"/>
        <w:rPr>
          <w:sz w:val="14"/>
        </w:rPr>
      </w:pPr>
      <w:r>
        <w:rPr/>
        <w:br w:type="column"/>
      </w:r>
      <w:r>
        <w:rPr>
          <w:w w:val="105"/>
          <w:sz w:val="14"/>
        </w:rPr>
        <w:t>1</w:t>
      </w:r>
      <w:r>
        <w:rPr>
          <w:spacing w:val="-10"/>
          <w:w w:val="105"/>
          <w:sz w:val="14"/>
        </w:rPr>
        <w:t> </w:t>
      </w:r>
      <w:r>
        <w:rPr>
          <w:w w:val="105"/>
          <w:sz w:val="14"/>
        </w:rPr>
        <w:t>January</w:t>
      </w:r>
      <w:r>
        <w:rPr>
          <w:spacing w:val="-10"/>
          <w:w w:val="105"/>
          <w:sz w:val="14"/>
        </w:rPr>
        <w:t> </w:t>
      </w:r>
      <w:r>
        <w:rPr>
          <w:spacing w:val="-4"/>
          <w:w w:val="105"/>
          <w:sz w:val="14"/>
        </w:rPr>
        <w:t>2022</w:t>
      </w:r>
      <w:r>
        <w:rPr>
          <w:sz w:val="14"/>
        </w:rPr>
        <w:tab/>
      </w:r>
      <w:r>
        <w:rPr>
          <w:spacing w:val="-2"/>
          <w:w w:val="105"/>
          <w:sz w:val="14"/>
        </w:rPr>
        <w:t>No material impact</w:t>
      </w:r>
    </w:p>
    <w:p>
      <w:pPr>
        <w:spacing w:after="0"/>
        <w:jc w:val="left"/>
        <w:rPr>
          <w:sz w:val="14"/>
        </w:rPr>
        <w:sectPr>
          <w:type w:val="continuous"/>
          <w:pgSz w:w="16840" w:h="11910" w:orient="landscape"/>
          <w:pgMar w:header="0" w:footer="0" w:top="980" w:bottom="280" w:left="1040" w:right="1600"/>
          <w:cols w:num="2" w:equalWidth="0">
            <w:col w:w="7168" w:space="40"/>
            <w:col w:w="6992"/>
          </w:cols>
        </w:sectPr>
      </w:pPr>
    </w:p>
    <w:p>
      <w:pPr>
        <w:tabs>
          <w:tab w:pos="2445" w:val="left" w:leader="none"/>
        </w:tabs>
        <w:spacing w:line="271" w:lineRule="auto" w:before="146"/>
        <w:ind w:left="2445" w:right="0" w:hanging="1684"/>
        <w:jc w:val="left"/>
        <w:rPr>
          <w:sz w:val="14"/>
        </w:rPr>
      </w:pPr>
      <w:r>
        <w:rPr>
          <w:w w:val="105"/>
          <w:sz w:val="14"/>
        </w:rPr>
        <w:t>AASB 2020-4</w:t>
      </w:r>
      <w:r>
        <w:rPr>
          <w:sz w:val="14"/>
        </w:rPr>
        <w:tab/>
      </w:r>
      <w:r>
        <w:rPr>
          <w:spacing w:val="-2"/>
          <w:w w:val="105"/>
          <w:sz w:val="14"/>
        </w:rPr>
        <w:t>Amendments to Australian Accounting Standards – Covid-19-Related Rent</w:t>
      </w:r>
      <w:r>
        <w:rPr>
          <w:spacing w:val="40"/>
          <w:w w:val="105"/>
          <w:sz w:val="14"/>
        </w:rPr>
        <w:t> </w:t>
      </w:r>
      <w:r>
        <w:rPr>
          <w:spacing w:val="-2"/>
          <w:w w:val="105"/>
          <w:sz w:val="14"/>
        </w:rPr>
        <w:t>Concessions</w:t>
      </w:r>
    </w:p>
    <w:p>
      <w:pPr>
        <w:tabs>
          <w:tab w:pos="1790" w:val="left" w:leader="none"/>
        </w:tabs>
        <w:spacing w:before="146"/>
        <w:ind w:left="434" w:right="0" w:firstLine="0"/>
        <w:jc w:val="left"/>
        <w:rPr>
          <w:sz w:val="14"/>
        </w:rPr>
      </w:pPr>
      <w:r>
        <w:rPr/>
        <w:br w:type="column"/>
      </w:r>
      <w:r>
        <w:rPr>
          <w:w w:val="105"/>
          <w:sz w:val="14"/>
        </w:rPr>
        <w:t>1</w:t>
      </w:r>
      <w:r>
        <w:rPr>
          <w:spacing w:val="-10"/>
          <w:w w:val="105"/>
          <w:sz w:val="14"/>
        </w:rPr>
        <w:t> </w:t>
      </w:r>
      <w:r>
        <w:rPr>
          <w:w w:val="105"/>
          <w:sz w:val="14"/>
        </w:rPr>
        <w:t>January</w:t>
      </w:r>
      <w:r>
        <w:rPr>
          <w:spacing w:val="-10"/>
          <w:w w:val="105"/>
          <w:sz w:val="14"/>
        </w:rPr>
        <w:t> </w:t>
      </w:r>
      <w:r>
        <w:rPr>
          <w:spacing w:val="-4"/>
          <w:w w:val="105"/>
          <w:sz w:val="14"/>
        </w:rPr>
        <w:t>2021</w:t>
      </w:r>
      <w:r>
        <w:rPr>
          <w:sz w:val="14"/>
        </w:rPr>
        <w:tab/>
      </w:r>
      <w:r>
        <w:rPr>
          <w:spacing w:val="-2"/>
          <w:w w:val="105"/>
          <w:sz w:val="14"/>
        </w:rPr>
        <w:t>No material impact</w:t>
      </w:r>
    </w:p>
    <w:p>
      <w:pPr>
        <w:spacing w:after="0"/>
        <w:jc w:val="left"/>
        <w:rPr>
          <w:sz w:val="14"/>
        </w:rPr>
        <w:sectPr>
          <w:type w:val="continuous"/>
          <w:pgSz w:w="16840" w:h="11910" w:orient="landscape"/>
          <w:pgMar w:header="0" w:footer="0" w:top="980" w:bottom="280" w:left="1040" w:right="1600"/>
          <w:cols w:num="2" w:equalWidth="0">
            <w:col w:w="7234" w:space="40"/>
            <w:col w:w="6926"/>
          </w:cols>
        </w:sectPr>
      </w:pPr>
    </w:p>
    <w:p>
      <w:pPr>
        <w:tabs>
          <w:tab w:pos="2445" w:val="left" w:leader="none"/>
        </w:tabs>
        <w:spacing w:line="271" w:lineRule="auto" w:before="145"/>
        <w:ind w:left="2445" w:right="0" w:hanging="1684"/>
        <w:jc w:val="left"/>
        <w:rPr>
          <w:sz w:val="14"/>
        </w:rPr>
      </w:pPr>
      <w:r>
        <w:rPr>
          <w:w w:val="105"/>
          <w:sz w:val="14"/>
        </w:rPr>
        <w:t>AASB 2020-5</w:t>
      </w:r>
      <w:r>
        <w:rPr>
          <w:sz w:val="14"/>
        </w:rPr>
        <w:tab/>
      </w:r>
      <w:r>
        <w:rPr>
          <w:w w:val="105"/>
          <w:sz w:val="14"/>
        </w:rPr>
        <w:t>Amendments</w:t>
      </w:r>
      <w:r>
        <w:rPr>
          <w:spacing w:val="-3"/>
          <w:w w:val="105"/>
          <w:sz w:val="14"/>
        </w:rPr>
        <w:t> </w:t>
      </w:r>
      <w:r>
        <w:rPr>
          <w:w w:val="105"/>
          <w:sz w:val="14"/>
        </w:rPr>
        <w:t>to</w:t>
      </w:r>
      <w:r>
        <w:rPr>
          <w:spacing w:val="-3"/>
          <w:w w:val="105"/>
          <w:sz w:val="14"/>
        </w:rPr>
        <w:t> </w:t>
      </w:r>
      <w:r>
        <w:rPr>
          <w:w w:val="105"/>
          <w:sz w:val="14"/>
        </w:rPr>
        <w:t>Australian</w:t>
      </w:r>
      <w:r>
        <w:rPr>
          <w:spacing w:val="-5"/>
          <w:w w:val="105"/>
          <w:sz w:val="14"/>
        </w:rPr>
        <w:t> </w:t>
      </w:r>
      <w:r>
        <w:rPr>
          <w:w w:val="105"/>
          <w:sz w:val="14"/>
        </w:rPr>
        <w:t>Accounting</w:t>
      </w:r>
      <w:r>
        <w:rPr>
          <w:spacing w:val="-3"/>
          <w:w w:val="105"/>
          <w:sz w:val="14"/>
        </w:rPr>
        <w:t> </w:t>
      </w:r>
      <w:r>
        <w:rPr>
          <w:w w:val="105"/>
          <w:sz w:val="14"/>
        </w:rPr>
        <w:t>Standards</w:t>
      </w:r>
      <w:r>
        <w:rPr>
          <w:spacing w:val="-4"/>
          <w:w w:val="105"/>
          <w:sz w:val="14"/>
        </w:rPr>
        <w:t> </w:t>
      </w:r>
      <w:r>
        <w:rPr>
          <w:w w:val="105"/>
          <w:sz w:val="14"/>
        </w:rPr>
        <w:t>-</w:t>
      </w:r>
      <w:r>
        <w:rPr>
          <w:spacing w:val="-2"/>
          <w:w w:val="105"/>
          <w:sz w:val="14"/>
        </w:rPr>
        <w:t> </w:t>
      </w:r>
      <w:r>
        <w:rPr>
          <w:w w:val="105"/>
          <w:sz w:val="14"/>
        </w:rPr>
        <w:t>Deferral</w:t>
      </w:r>
      <w:r>
        <w:rPr>
          <w:spacing w:val="-5"/>
          <w:w w:val="105"/>
          <w:sz w:val="14"/>
        </w:rPr>
        <w:t> </w:t>
      </w:r>
      <w:r>
        <w:rPr>
          <w:w w:val="105"/>
          <w:sz w:val="14"/>
        </w:rPr>
        <w:t>of</w:t>
      </w:r>
      <w:r>
        <w:rPr>
          <w:spacing w:val="-2"/>
          <w:w w:val="105"/>
          <w:sz w:val="14"/>
        </w:rPr>
        <w:t> </w:t>
      </w:r>
      <w:r>
        <w:rPr>
          <w:w w:val="105"/>
          <w:sz w:val="14"/>
        </w:rPr>
        <w:t>Effective</w:t>
      </w:r>
      <w:r>
        <w:rPr>
          <w:spacing w:val="-5"/>
          <w:w w:val="105"/>
          <w:sz w:val="14"/>
        </w:rPr>
        <w:t> </w:t>
      </w:r>
      <w:r>
        <w:rPr>
          <w:w w:val="105"/>
          <w:sz w:val="14"/>
        </w:rPr>
        <w:t>Date of Amendments to AASB 17</w:t>
      </w:r>
    </w:p>
    <w:p>
      <w:pPr>
        <w:tabs>
          <w:tab w:pos="1589" w:val="left" w:leader="none"/>
        </w:tabs>
        <w:spacing w:before="145"/>
        <w:ind w:left="233" w:right="0" w:firstLine="0"/>
        <w:jc w:val="left"/>
        <w:rPr>
          <w:sz w:val="14"/>
        </w:rPr>
      </w:pPr>
      <w:r>
        <w:rPr/>
        <w:br w:type="column"/>
      </w:r>
      <w:r>
        <w:rPr>
          <w:w w:val="105"/>
          <w:sz w:val="14"/>
        </w:rPr>
        <w:t>1</w:t>
      </w:r>
      <w:r>
        <w:rPr>
          <w:spacing w:val="-10"/>
          <w:w w:val="105"/>
          <w:sz w:val="14"/>
        </w:rPr>
        <w:t> </w:t>
      </w:r>
      <w:r>
        <w:rPr>
          <w:w w:val="105"/>
          <w:sz w:val="14"/>
        </w:rPr>
        <w:t>January</w:t>
      </w:r>
      <w:r>
        <w:rPr>
          <w:spacing w:val="-10"/>
          <w:w w:val="105"/>
          <w:sz w:val="14"/>
        </w:rPr>
        <w:t> </w:t>
      </w:r>
      <w:r>
        <w:rPr>
          <w:spacing w:val="-4"/>
          <w:w w:val="105"/>
          <w:sz w:val="14"/>
        </w:rPr>
        <w:t>2023</w:t>
      </w:r>
      <w:r>
        <w:rPr>
          <w:sz w:val="14"/>
        </w:rPr>
        <w:tab/>
      </w:r>
      <w:r>
        <w:rPr>
          <w:spacing w:val="-2"/>
          <w:w w:val="105"/>
          <w:sz w:val="14"/>
        </w:rPr>
        <w:t>No material impact.</w:t>
      </w:r>
    </w:p>
    <w:p>
      <w:pPr>
        <w:spacing w:after="0"/>
        <w:jc w:val="left"/>
        <w:rPr>
          <w:sz w:val="14"/>
        </w:rPr>
        <w:sectPr>
          <w:type w:val="continuous"/>
          <w:pgSz w:w="16840" w:h="11910" w:orient="landscape"/>
          <w:pgMar w:header="0" w:footer="0" w:top="980" w:bottom="280" w:left="1040" w:right="1600"/>
          <w:cols w:num="2" w:equalWidth="0">
            <w:col w:w="7435" w:space="40"/>
            <w:col w:w="6725"/>
          </w:cols>
        </w:sectPr>
      </w:pPr>
    </w:p>
    <w:p>
      <w:pPr>
        <w:tabs>
          <w:tab w:pos="2445" w:val="left" w:leader="none"/>
        </w:tabs>
        <w:spacing w:line="271" w:lineRule="auto" w:before="146"/>
        <w:ind w:left="2445" w:right="0" w:hanging="1684"/>
        <w:jc w:val="left"/>
        <w:rPr>
          <w:sz w:val="14"/>
        </w:rPr>
      </w:pPr>
      <w:r>
        <w:rPr>
          <w:w w:val="105"/>
          <w:sz w:val="14"/>
        </w:rPr>
        <w:t>AASB 2020-8</w:t>
      </w:r>
      <w:r>
        <w:rPr>
          <w:sz w:val="14"/>
        </w:rPr>
        <w:tab/>
      </w:r>
      <w:r>
        <w:rPr>
          <w:w w:val="105"/>
          <w:sz w:val="14"/>
        </w:rPr>
        <w:t>Amendments</w:t>
      </w:r>
      <w:r>
        <w:rPr>
          <w:spacing w:val="-5"/>
          <w:w w:val="105"/>
          <w:sz w:val="14"/>
        </w:rPr>
        <w:t> </w:t>
      </w:r>
      <w:r>
        <w:rPr>
          <w:w w:val="105"/>
          <w:sz w:val="14"/>
        </w:rPr>
        <w:t>to</w:t>
      </w:r>
      <w:r>
        <w:rPr>
          <w:spacing w:val="-7"/>
          <w:w w:val="105"/>
          <w:sz w:val="14"/>
        </w:rPr>
        <w:t> </w:t>
      </w:r>
      <w:r>
        <w:rPr>
          <w:w w:val="105"/>
          <w:sz w:val="14"/>
        </w:rPr>
        <w:t>Australian</w:t>
      </w:r>
      <w:r>
        <w:rPr>
          <w:spacing w:val="-5"/>
          <w:w w:val="105"/>
          <w:sz w:val="14"/>
        </w:rPr>
        <w:t> </w:t>
      </w:r>
      <w:r>
        <w:rPr>
          <w:w w:val="105"/>
          <w:sz w:val="14"/>
        </w:rPr>
        <w:t>Accounting</w:t>
      </w:r>
      <w:r>
        <w:rPr>
          <w:spacing w:val="-7"/>
          <w:w w:val="105"/>
          <w:sz w:val="14"/>
        </w:rPr>
        <w:t> </w:t>
      </w:r>
      <w:r>
        <w:rPr>
          <w:w w:val="105"/>
          <w:sz w:val="14"/>
        </w:rPr>
        <w:t>Standards</w:t>
      </w:r>
      <w:r>
        <w:rPr>
          <w:spacing w:val="-5"/>
          <w:w w:val="105"/>
          <w:sz w:val="14"/>
        </w:rPr>
        <w:t> </w:t>
      </w:r>
      <w:r>
        <w:rPr>
          <w:w w:val="105"/>
          <w:sz w:val="14"/>
        </w:rPr>
        <w:t>–</w:t>
      </w:r>
      <w:r>
        <w:rPr>
          <w:spacing w:val="-7"/>
          <w:w w:val="105"/>
          <w:sz w:val="14"/>
        </w:rPr>
        <w:t> </w:t>
      </w:r>
      <w:r>
        <w:rPr>
          <w:w w:val="105"/>
          <w:sz w:val="14"/>
        </w:rPr>
        <w:t>Interest</w:t>
      </w:r>
      <w:r>
        <w:rPr>
          <w:spacing w:val="-4"/>
          <w:w w:val="105"/>
          <w:sz w:val="14"/>
        </w:rPr>
        <w:t> </w:t>
      </w:r>
      <w:r>
        <w:rPr>
          <w:w w:val="105"/>
          <w:sz w:val="14"/>
        </w:rPr>
        <w:t>Rate</w:t>
      </w:r>
      <w:r>
        <w:rPr>
          <w:spacing w:val="-7"/>
          <w:w w:val="105"/>
          <w:sz w:val="14"/>
        </w:rPr>
        <w:t> </w:t>
      </w:r>
      <w:r>
        <w:rPr>
          <w:w w:val="105"/>
          <w:sz w:val="14"/>
        </w:rPr>
        <w:t>Benchmark </w:t>
      </w:r>
      <w:r>
        <w:rPr>
          <w:spacing w:val="-2"/>
          <w:w w:val="105"/>
          <w:sz w:val="14"/>
        </w:rPr>
        <w:t>Reform</w:t>
      </w:r>
    </w:p>
    <w:p>
      <w:pPr>
        <w:tabs>
          <w:tab w:pos="1592" w:val="left" w:leader="none"/>
        </w:tabs>
        <w:spacing w:before="146"/>
        <w:ind w:left="236" w:right="0" w:firstLine="0"/>
        <w:jc w:val="left"/>
        <w:rPr>
          <w:sz w:val="14"/>
        </w:rPr>
      </w:pPr>
      <w:r>
        <w:rPr/>
        <w:br w:type="column"/>
      </w:r>
      <w:r>
        <w:rPr>
          <w:w w:val="105"/>
          <w:sz w:val="14"/>
        </w:rPr>
        <w:t>1</w:t>
      </w:r>
      <w:r>
        <w:rPr>
          <w:spacing w:val="-10"/>
          <w:w w:val="105"/>
          <w:sz w:val="14"/>
        </w:rPr>
        <w:t> </w:t>
      </w:r>
      <w:r>
        <w:rPr>
          <w:w w:val="105"/>
          <w:sz w:val="14"/>
        </w:rPr>
        <w:t>January</w:t>
      </w:r>
      <w:r>
        <w:rPr>
          <w:spacing w:val="-10"/>
          <w:w w:val="105"/>
          <w:sz w:val="14"/>
        </w:rPr>
        <w:t> </w:t>
      </w:r>
      <w:r>
        <w:rPr>
          <w:spacing w:val="-4"/>
          <w:w w:val="105"/>
          <w:sz w:val="14"/>
        </w:rPr>
        <w:t>2022</w:t>
      </w:r>
      <w:r>
        <w:rPr>
          <w:sz w:val="14"/>
        </w:rPr>
        <w:tab/>
      </w:r>
      <w:r>
        <w:rPr>
          <w:spacing w:val="-2"/>
          <w:w w:val="105"/>
          <w:sz w:val="14"/>
        </w:rPr>
        <w:t>No material impact.</w:t>
      </w:r>
    </w:p>
    <w:p>
      <w:pPr>
        <w:spacing w:after="0"/>
        <w:jc w:val="left"/>
        <w:rPr>
          <w:sz w:val="14"/>
        </w:rPr>
        <w:sectPr>
          <w:type w:val="continuous"/>
          <w:pgSz w:w="16840" w:h="11910" w:orient="landscape"/>
          <w:pgMar w:header="0" w:footer="0" w:top="980" w:bottom="280" w:left="1040" w:right="1600"/>
          <w:cols w:num="2" w:equalWidth="0">
            <w:col w:w="7432" w:space="40"/>
            <w:col w:w="6728"/>
          </w:cols>
        </w:sectPr>
      </w:pPr>
    </w:p>
    <w:p>
      <w:pPr>
        <w:tabs>
          <w:tab w:pos="2445" w:val="left" w:leader="none"/>
        </w:tabs>
        <w:spacing w:line="271" w:lineRule="auto" w:before="146"/>
        <w:ind w:left="2445" w:right="0" w:hanging="1684"/>
        <w:jc w:val="left"/>
        <w:rPr>
          <w:sz w:val="14"/>
        </w:rPr>
      </w:pPr>
      <w:r>
        <w:rPr/>
        <mc:AlternateContent>
          <mc:Choice Requires="wps">
            <w:drawing>
              <wp:anchor distT="0" distB="0" distL="0" distR="0" allowOverlap="1" layoutInCell="1" locked="0" behindDoc="0" simplePos="0" relativeHeight="15915520">
                <wp:simplePos x="0" y="0"/>
                <wp:positionH relativeFrom="page">
                  <wp:posOffset>10213244</wp:posOffset>
                </wp:positionH>
                <wp:positionV relativeFrom="page">
                  <wp:posOffset>7098191</wp:posOffset>
                </wp:positionV>
                <wp:extent cx="194310" cy="203835"/>
                <wp:effectExtent l="0" t="0" r="0" b="0"/>
                <wp:wrapNone/>
                <wp:docPr id="1008" name="Textbox 1008"/>
                <wp:cNvGraphicFramePr>
                  <a:graphicFrameLocks/>
                </wp:cNvGraphicFramePr>
                <a:graphic>
                  <a:graphicData uri="http://schemas.microsoft.com/office/word/2010/wordprocessingShape">
                    <wps:wsp>
                      <wps:cNvPr id="1008" name="Textbox 1008"/>
                      <wps:cNvSpPr txBox="1"/>
                      <wps:spPr>
                        <a:xfrm>
                          <a:off x="0" y="0"/>
                          <a:ext cx="194310" cy="203835"/>
                        </a:xfrm>
                        <a:prstGeom prst="rect">
                          <a:avLst/>
                        </a:prstGeom>
                      </wps:spPr>
                      <wps:txbx>
                        <w:txbxContent>
                          <w:p>
                            <w:pPr>
                              <w:spacing w:before="48"/>
                              <w:ind w:left="20" w:right="0" w:firstLine="0"/>
                              <w:jc w:val="left"/>
                              <w:rPr>
                                <w:rFonts w:ascii="TT Norms Pro"/>
                                <w:b/>
                                <w:sz w:val="20"/>
                              </w:rPr>
                            </w:pPr>
                            <w:r>
                              <w:rPr>
                                <w:rFonts w:ascii="TT Norms Pro"/>
                                <w:b/>
                                <w:spacing w:val="-5"/>
                                <w:sz w:val="20"/>
                              </w:rPr>
                              <w:t>115</w:t>
                            </w:r>
                          </w:p>
                        </w:txbxContent>
                      </wps:txbx>
                      <wps:bodyPr wrap="square" lIns="0" tIns="0" rIns="0" bIns="0" rtlCol="0" vert="vert">
                        <a:noAutofit/>
                      </wps:bodyPr>
                    </wps:wsp>
                  </a:graphicData>
                </a:graphic>
              </wp:anchor>
            </w:drawing>
          </mc:Choice>
          <mc:Fallback>
            <w:pict>
              <v:shape style="position:absolute;margin-left:804.192505pt;margin-top:558.91272pt;width:15.3pt;height:16.05pt;mso-position-horizontal-relative:page;mso-position-vertical-relative:page;z-index:15915520" type="#_x0000_t202" id="docshape696" filled="false" stroked="false">
                <v:textbox inset="0,0,0,0" style="layout-flow:vertical">
                  <w:txbxContent>
                    <w:p>
                      <w:pPr>
                        <w:spacing w:before="48"/>
                        <w:ind w:left="20" w:right="0" w:firstLine="0"/>
                        <w:jc w:val="left"/>
                        <w:rPr>
                          <w:rFonts w:ascii="TT Norms Pro"/>
                          <w:b/>
                          <w:sz w:val="20"/>
                        </w:rPr>
                      </w:pPr>
                      <w:r>
                        <w:rPr>
                          <w:rFonts w:ascii="TT Norms Pro"/>
                          <w:b/>
                          <w:spacing w:val="-5"/>
                          <w:sz w:val="20"/>
                        </w:rPr>
                        <w:t>115</w:t>
                      </w:r>
                    </w:p>
                  </w:txbxContent>
                </v:textbox>
                <w10:wrap type="none"/>
              </v:shape>
            </w:pict>
          </mc:Fallback>
        </mc:AlternateContent>
      </w:r>
      <w:r>
        <w:rPr/>
        <mc:AlternateContent>
          <mc:Choice Requires="wps">
            <w:drawing>
              <wp:anchor distT="0" distB="0" distL="0" distR="0" allowOverlap="1" layoutInCell="1" locked="0" behindDoc="0" simplePos="0" relativeHeight="15916032">
                <wp:simplePos x="0" y="0"/>
                <wp:positionH relativeFrom="page">
                  <wp:posOffset>719975</wp:posOffset>
                </wp:positionH>
                <wp:positionV relativeFrom="page">
                  <wp:posOffset>7133419</wp:posOffset>
                </wp:positionV>
                <wp:extent cx="1919605" cy="114300"/>
                <wp:effectExtent l="0" t="0" r="0" b="0"/>
                <wp:wrapNone/>
                <wp:docPr id="1009" name="Textbox 1009"/>
                <wp:cNvGraphicFramePr>
                  <a:graphicFrameLocks/>
                </wp:cNvGraphicFramePr>
                <a:graphic>
                  <a:graphicData uri="http://schemas.microsoft.com/office/word/2010/wordprocessingShape">
                    <wps:wsp>
                      <wps:cNvPr id="1009" name="Textbox 1009"/>
                      <wps:cNvSpPr txBox="1"/>
                      <wps:spPr>
                        <a:xfrm rot="10800000">
                          <a:off x="0" y="0"/>
                          <a:ext cx="1919605" cy="114300"/>
                        </a:xfrm>
                        <a:prstGeom prst="rect">
                          <a:avLst/>
                        </a:prstGeom>
                      </wps:spPr>
                      <wps:txbx>
                        <w:txbxContent>
                          <w:p>
                            <w:pPr>
                              <w:spacing w:line="180" w:lineRule="exact" w:before="0"/>
                              <w:ind w:left="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wps:txbx>
                      <wps:bodyPr wrap="square" lIns="0" tIns="0" rIns="0" bIns="0" rtlCol="0">
                        <a:noAutofit/>
                      </wps:bodyPr>
                    </wps:wsp>
                  </a:graphicData>
                </a:graphic>
              </wp:anchor>
            </w:drawing>
          </mc:Choice>
          <mc:Fallback>
            <w:pict>
              <v:shape style="position:absolute;margin-left:56.690994pt;margin-top:561.686584pt;width:151.15pt;height:9pt;mso-position-horizontal-relative:page;mso-position-vertical-relative:page;z-index:15916032;rotation:180" type="#_x0000_t136" fillcolor="#000000" stroked="f">
                <o:extrusion v:ext="view" autorotationcenter="t"/>
                <v:textpath style="font-family:&quot;TT Norms Pro&quot;;font-size:9pt;v-text-kern:t;mso-text-shadow:auto;font-weight:bold" string="2020 Financial Report | uwa.edu.au"/>
                <w10:wrap type="none"/>
              </v:shape>
            </w:pict>
          </mc:Fallback>
        </mc:AlternateContent>
      </w:r>
      <w:r>
        <w:rPr>
          <w:w w:val="105"/>
          <w:sz w:val="14"/>
        </w:rPr>
        <w:t>AASB 2017-5</w:t>
      </w:r>
      <w:r>
        <w:rPr>
          <w:sz w:val="14"/>
        </w:rPr>
        <w:tab/>
      </w:r>
      <w:r>
        <w:rPr>
          <w:w w:val="105"/>
          <w:sz w:val="14"/>
        </w:rPr>
        <w:t>Amendments</w:t>
      </w:r>
      <w:r>
        <w:rPr>
          <w:spacing w:val="40"/>
          <w:w w:val="105"/>
          <w:sz w:val="14"/>
        </w:rPr>
        <w:t> </w:t>
      </w:r>
      <w:r>
        <w:rPr>
          <w:w w:val="105"/>
          <w:sz w:val="14"/>
        </w:rPr>
        <w:t>to</w:t>
      </w:r>
      <w:r>
        <w:rPr>
          <w:spacing w:val="40"/>
          <w:w w:val="105"/>
          <w:sz w:val="14"/>
        </w:rPr>
        <w:t> </w:t>
      </w:r>
      <w:r>
        <w:rPr>
          <w:w w:val="105"/>
          <w:sz w:val="14"/>
        </w:rPr>
        <w:t>Australian</w:t>
      </w:r>
      <w:r>
        <w:rPr>
          <w:spacing w:val="40"/>
          <w:w w:val="105"/>
          <w:sz w:val="14"/>
        </w:rPr>
        <w:t> </w:t>
      </w:r>
      <w:r>
        <w:rPr>
          <w:w w:val="105"/>
          <w:sz w:val="14"/>
        </w:rPr>
        <w:t>Accounting</w:t>
      </w:r>
      <w:r>
        <w:rPr>
          <w:spacing w:val="40"/>
          <w:w w:val="105"/>
          <w:sz w:val="14"/>
        </w:rPr>
        <w:t> </w:t>
      </w:r>
      <w:r>
        <w:rPr>
          <w:w w:val="105"/>
          <w:sz w:val="14"/>
        </w:rPr>
        <w:t>Standards</w:t>
      </w:r>
      <w:r>
        <w:rPr>
          <w:spacing w:val="40"/>
          <w:w w:val="105"/>
          <w:sz w:val="14"/>
        </w:rPr>
        <w:t> </w:t>
      </w:r>
      <w:r>
        <w:rPr>
          <w:w w:val="105"/>
          <w:sz w:val="14"/>
        </w:rPr>
        <w:t>–</w:t>
      </w:r>
      <w:r>
        <w:rPr>
          <w:spacing w:val="40"/>
          <w:w w:val="105"/>
          <w:sz w:val="14"/>
        </w:rPr>
        <w:t> </w:t>
      </w:r>
      <w:r>
        <w:rPr>
          <w:w w:val="105"/>
          <w:sz w:val="14"/>
        </w:rPr>
        <w:t>Effective</w:t>
      </w:r>
      <w:r>
        <w:rPr>
          <w:spacing w:val="40"/>
          <w:w w:val="105"/>
          <w:sz w:val="14"/>
        </w:rPr>
        <w:t> </w:t>
      </w:r>
      <w:r>
        <w:rPr>
          <w:w w:val="105"/>
          <w:sz w:val="14"/>
        </w:rPr>
        <w:t>Date</w:t>
      </w:r>
      <w:r>
        <w:rPr>
          <w:spacing w:val="40"/>
          <w:w w:val="105"/>
          <w:sz w:val="14"/>
        </w:rPr>
        <w:t> </w:t>
      </w:r>
      <w:r>
        <w:rPr>
          <w:w w:val="105"/>
          <w:sz w:val="14"/>
        </w:rPr>
        <w:t>of</w:t>
      </w:r>
      <w:r>
        <w:rPr>
          <w:spacing w:val="40"/>
          <w:w w:val="105"/>
          <w:sz w:val="14"/>
        </w:rPr>
        <w:t> </w:t>
      </w:r>
      <w:r>
        <w:rPr>
          <w:w w:val="105"/>
          <w:sz w:val="14"/>
        </w:rPr>
        <w:t>Amendments to AASB 10 and AASB 128</w:t>
      </w:r>
    </w:p>
    <w:p>
      <w:pPr>
        <w:tabs>
          <w:tab w:pos="1592" w:val="left" w:leader="none"/>
        </w:tabs>
        <w:spacing w:before="146"/>
        <w:ind w:left="235" w:right="0" w:firstLine="0"/>
        <w:jc w:val="left"/>
        <w:rPr>
          <w:sz w:val="14"/>
        </w:rPr>
      </w:pPr>
      <w:r>
        <w:rPr/>
        <w:br w:type="column"/>
      </w:r>
      <w:r>
        <w:rPr>
          <w:w w:val="105"/>
          <w:sz w:val="14"/>
        </w:rPr>
        <w:t>1</w:t>
      </w:r>
      <w:r>
        <w:rPr>
          <w:spacing w:val="-10"/>
          <w:w w:val="105"/>
          <w:sz w:val="14"/>
        </w:rPr>
        <w:t> </w:t>
      </w:r>
      <w:r>
        <w:rPr>
          <w:w w:val="105"/>
          <w:sz w:val="14"/>
        </w:rPr>
        <w:t>January</w:t>
      </w:r>
      <w:r>
        <w:rPr>
          <w:spacing w:val="-10"/>
          <w:w w:val="105"/>
          <w:sz w:val="14"/>
        </w:rPr>
        <w:t> </w:t>
      </w:r>
      <w:r>
        <w:rPr>
          <w:spacing w:val="-4"/>
          <w:w w:val="105"/>
          <w:sz w:val="14"/>
        </w:rPr>
        <w:t>2022</w:t>
      </w:r>
      <w:r>
        <w:rPr>
          <w:sz w:val="14"/>
        </w:rPr>
        <w:tab/>
      </w:r>
      <w:r>
        <w:rPr>
          <w:spacing w:val="-2"/>
          <w:w w:val="105"/>
          <w:sz w:val="14"/>
        </w:rPr>
        <w:t>No material impact.</w:t>
      </w:r>
    </w:p>
    <w:p>
      <w:pPr>
        <w:spacing w:after="0"/>
        <w:jc w:val="left"/>
        <w:rPr>
          <w:sz w:val="14"/>
        </w:rPr>
        <w:sectPr>
          <w:type w:val="continuous"/>
          <w:pgSz w:w="16840" w:h="11910" w:orient="landscape"/>
          <w:pgMar w:header="0" w:footer="0" w:top="980" w:bottom="280" w:left="1040" w:right="1600"/>
          <w:cols w:num="2" w:equalWidth="0">
            <w:col w:w="7433" w:space="40"/>
            <w:col w:w="6727"/>
          </w:cols>
        </w:sectPr>
      </w:pPr>
    </w:p>
    <w:p>
      <w:pPr>
        <w:spacing w:before="71"/>
        <w:ind w:left="265" w:right="0" w:firstLine="0"/>
        <w:jc w:val="left"/>
        <w:rPr>
          <w:sz w:val="21"/>
        </w:rPr>
      </w:pPr>
      <w:r>
        <w:rPr>
          <w:color w:val="0070C0"/>
          <w:sz w:val="21"/>
        </w:rPr>
        <w:t>NOTES</w:t>
      </w:r>
      <w:r>
        <w:rPr>
          <w:color w:val="0070C0"/>
          <w:spacing w:val="12"/>
          <w:sz w:val="21"/>
        </w:rPr>
        <w:t> </w:t>
      </w:r>
      <w:r>
        <w:rPr>
          <w:color w:val="0070C0"/>
          <w:sz w:val="21"/>
        </w:rPr>
        <w:t>TO</w:t>
      </w:r>
      <w:r>
        <w:rPr>
          <w:color w:val="0070C0"/>
          <w:spacing w:val="11"/>
          <w:sz w:val="21"/>
        </w:rPr>
        <w:t> </w:t>
      </w:r>
      <w:r>
        <w:rPr>
          <w:color w:val="0070C0"/>
          <w:sz w:val="21"/>
        </w:rPr>
        <w:t>THE</w:t>
      </w:r>
      <w:r>
        <w:rPr>
          <w:color w:val="0070C0"/>
          <w:spacing w:val="13"/>
          <w:sz w:val="21"/>
        </w:rPr>
        <w:t> </w:t>
      </w:r>
      <w:r>
        <w:rPr>
          <w:color w:val="0070C0"/>
          <w:sz w:val="21"/>
        </w:rPr>
        <w:t>FINANCIAL</w:t>
      </w:r>
      <w:r>
        <w:rPr>
          <w:color w:val="0070C0"/>
          <w:spacing w:val="12"/>
          <w:sz w:val="21"/>
        </w:rPr>
        <w:t> </w:t>
      </w:r>
      <w:r>
        <w:rPr>
          <w:color w:val="0070C0"/>
          <w:spacing w:val="-2"/>
          <w:sz w:val="21"/>
        </w:rPr>
        <w:t>STATEMENTS</w:t>
      </w:r>
    </w:p>
    <w:p>
      <w:pPr>
        <w:spacing w:before="18"/>
        <w:ind w:left="250" w:right="0" w:firstLine="0"/>
        <w:jc w:val="left"/>
        <w:rPr>
          <w:sz w:val="12"/>
        </w:rPr>
      </w:pPr>
      <w:r>
        <w:rPr>
          <w:sz w:val="12"/>
        </w:rPr>
        <w:t>for</w:t>
      </w:r>
      <w:r>
        <w:rPr>
          <w:spacing w:val="2"/>
          <w:sz w:val="12"/>
        </w:rPr>
        <w:t> </w:t>
      </w:r>
      <w:r>
        <w:rPr>
          <w:sz w:val="12"/>
        </w:rPr>
        <w:t>the</w:t>
      </w:r>
      <w:r>
        <w:rPr>
          <w:spacing w:val="3"/>
          <w:sz w:val="12"/>
        </w:rPr>
        <w:t> </w:t>
      </w:r>
      <w:r>
        <w:rPr>
          <w:sz w:val="12"/>
        </w:rPr>
        <w:t>year</w:t>
      </w:r>
      <w:r>
        <w:rPr>
          <w:spacing w:val="2"/>
          <w:sz w:val="12"/>
        </w:rPr>
        <w:t> </w:t>
      </w:r>
      <w:r>
        <w:rPr>
          <w:sz w:val="12"/>
        </w:rPr>
        <w:t>ended</w:t>
      </w:r>
      <w:r>
        <w:rPr>
          <w:spacing w:val="3"/>
          <w:sz w:val="12"/>
        </w:rPr>
        <w:t> </w:t>
      </w:r>
      <w:r>
        <w:rPr>
          <w:sz w:val="12"/>
        </w:rPr>
        <w:t>31</w:t>
      </w:r>
      <w:r>
        <w:rPr>
          <w:spacing w:val="3"/>
          <w:sz w:val="12"/>
        </w:rPr>
        <w:t> </w:t>
      </w:r>
      <w:r>
        <w:rPr>
          <w:sz w:val="12"/>
        </w:rPr>
        <w:t>December</w:t>
      </w:r>
      <w:r>
        <w:rPr>
          <w:spacing w:val="2"/>
          <w:sz w:val="12"/>
        </w:rPr>
        <w:t> </w:t>
      </w:r>
      <w:r>
        <w:rPr>
          <w:spacing w:val="-4"/>
          <w:sz w:val="12"/>
        </w:rPr>
        <w:t>2020</w:t>
      </w:r>
    </w:p>
    <w:p>
      <w:pPr>
        <w:spacing w:line="240" w:lineRule="auto" w:before="38"/>
        <w:rPr>
          <w:sz w:val="12"/>
        </w:rPr>
      </w:pPr>
    </w:p>
    <w:p>
      <w:pPr>
        <w:pStyle w:val="ListParagraph"/>
        <w:numPr>
          <w:ilvl w:val="1"/>
          <w:numId w:val="47"/>
        </w:numPr>
        <w:tabs>
          <w:tab w:pos="787" w:val="left" w:leader="none"/>
        </w:tabs>
        <w:spacing w:line="240" w:lineRule="auto" w:before="0" w:after="0"/>
        <w:ind w:left="787" w:right="0" w:hanging="529"/>
        <w:jc w:val="left"/>
        <w:rPr>
          <w:b/>
          <w:color w:val="0070C0"/>
          <w:sz w:val="16"/>
        </w:rPr>
      </w:pPr>
      <w:r>
        <w:rPr>
          <w:b/>
          <w:color w:val="0070C0"/>
          <w:sz w:val="16"/>
        </w:rPr>
        <w:t>Acquittal</w:t>
      </w:r>
      <w:r>
        <w:rPr>
          <w:b/>
          <w:color w:val="0070C0"/>
          <w:spacing w:val="-9"/>
          <w:sz w:val="16"/>
        </w:rPr>
        <w:t> </w:t>
      </w:r>
      <w:r>
        <w:rPr>
          <w:b/>
          <w:color w:val="0070C0"/>
          <w:sz w:val="16"/>
        </w:rPr>
        <w:t>of</w:t>
      </w:r>
      <w:r>
        <w:rPr>
          <w:b/>
          <w:color w:val="0070C0"/>
          <w:spacing w:val="-8"/>
          <w:sz w:val="16"/>
        </w:rPr>
        <w:t> </w:t>
      </w:r>
      <w:r>
        <w:rPr>
          <w:b/>
          <w:color w:val="0070C0"/>
          <w:sz w:val="16"/>
        </w:rPr>
        <w:t>Australian</w:t>
      </w:r>
      <w:r>
        <w:rPr>
          <w:b/>
          <w:color w:val="0070C0"/>
          <w:spacing w:val="-9"/>
          <w:sz w:val="16"/>
        </w:rPr>
        <w:t> </w:t>
      </w:r>
      <w:r>
        <w:rPr>
          <w:b/>
          <w:color w:val="0070C0"/>
          <w:sz w:val="16"/>
        </w:rPr>
        <w:t>Government</w:t>
      </w:r>
      <w:r>
        <w:rPr>
          <w:b/>
          <w:color w:val="0070C0"/>
          <w:spacing w:val="-8"/>
          <w:sz w:val="16"/>
        </w:rPr>
        <w:t> </w:t>
      </w:r>
      <w:r>
        <w:rPr>
          <w:b/>
          <w:color w:val="0070C0"/>
          <w:sz w:val="16"/>
        </w:rPr>
        <w:t>financial</w:t>
      </w:r>
      <w:r>
        <w:rPr>
          <w:b/>
          <w:color w:val="0070C0"/>
          <w:spacing w:val="-8"/>
          <w:sz w:val="16"/>
        </w:rPr>
        <w:t> </w:t>
      </w:r>
      <w:r>
        <w:rPr>
          <w:b/>
          <w:color w:val="0070C0"/>
          <w:spacing w:val="-2"/>
          <w:sz w:val="16"/>
        </w:rPr>
        <w:t>assistance</w:t>
      </w:r>
    </w:p>
    <w:p>
      <w:pPr>
        <w:spacing w:after="0" w:line="240" w:lineRule="auto"/>
        <w:jc w:val="left"/>
        <w:rPr>
          <w:sz w:val="16"/>
        </w:rPr>
        <w:sectPr>
          <w:headerReference w:type="even" r:id="rId123"/>
          <w:pgSz w:w="16840" w:h="11910" w:orient="landscape"/>
          <w:pgMar w:header="0" w:footer="0" w:top="1060" w:bottom="280" w:left="1040" w:right="1600"/>
        </w:sectPr>
      </w:pPr>
    </w:p>
    <w:p>
      <w:pPr>
        <w:spacing w:line="240" w:lineRule="auto" w:before="0"/>
        <w:rPr>
          <w:b/>
          <w:sz w:val="13"/>
        </w:rPr>
      </w:pPr>
    </w:p>
    <w:p>
      <w:pPr>
        <w:spacing w:line="240" w:lineRule="auto" w:before="69"/>
        <w:rPr>
          <w:b/>
          <w:sz w:val="13"/>
        </w:rPr>
      </w:pPr>
    </w:p>
    <w:p>
      <w:pPr>
        <w:spacing w:line="321" w:lineRule="auto" w:before="0"/>
        <w:ind w:left="4788" w:right="0" w:hanging="395"/>
        <w:jc w:val="left"/>
        <w:rPr>
          <w:b/>
          <w:sz w:val="13"/>
        </w:rPr>
      </w:pPr>
      <w:r>
        <w:rPr>
          <w:b/>
          <w:sz w:val="13"/>
        </w:rPr>
        <w:t>Commonwealth</w:t>
      </w:r>
      <w:r>
        <w:rPr>
          <w:b/>
          <w:spacing w:val="-3"/>
          <w:sz w:val="13"/>
        </w:rPr>
        <w:t> </w:t>
      </w:r>
      <w:r>
        <w:rPr>
          <w:b/>
          <w:sz w:val="13"/>
        </w:rPr>
        <w:t>Grant</w:t>
      </w:r>
      <w:r>
        <w:rPr>
          <w:b/>
          <w:spacing w:val="40"/>
          <w:w w:val="105"/>
          <w:sz w:val="13"/>
        </w:rPr>
        <w:t> </w:t>
      </w:r>
      <w:r>
        <w:rPr>
          <w:b/>
          <w:w w:val="105"/>
          <w:sz w:val="13"/>
        </w:rPr>
        <w:t>Scheme</w:t>
      </w:r>
      <w:r>
        <w:rPr>
          <w:b/>
          <w:spacing w:val="-4"/>
          <w:w w:val="105"/>
          <w:sz w:val="13"/>
        </w:rPr>
        <w:t> </w:t>
      </w:r>
      <w:r>
        <w:rPr>
          <w:b/>
          <w:w w:val="105"/>
          <w:sz w:val="13"/>
          <w:vertAlign w:val="superscript"/>
        </w:rPr>
        <w:t>1</w:t>
      </w:r>
    </w:p>
    <w:p>
      <w:pPr>
        <w:spacing w:line="240" w:lineRule="auto" w:before="0"/>
        <w:rPr>
          <w:b/>
          <w:sz w:val="13"/>
        </w:rPr>
      </w:pPr>
      <w:r>
        <w:rPr/>
        <w:br w:type="column"/>
      </w:r>
      <w:r>
        <w:rPr>
          <w:b/>
          <w:sz w:val="13"/>
        </w:rPr>
      </w:r>
    </w:p>
    <w:p>
      <w:pPr>
        <w:spacing w:line="240" w:lineRule="auto" w:before="69"/>
        <w:rPr>
          <w:b/>
          <w:sz w:val="13"/>
        </w:rPr>
      </w:pPr>
    </w:p>
    <w:p>
      <w:pPr>
        <w:spacing w:line="278" w:lineRule="auto" w:before="0"/>
        <w:ind w:left="289" w:right="0" w:firstLine="219"/>
        <w:jc w:val="left"/>
        <w:rPr>
          <w:b/>
          <w:sz w:val="13"/>
        </w:rPr>
      </w:pPr>
      <w:r>
        <w:rPr>
          <w:b/>
          <w:w w:val="105"/>
          <w:sz w:val="13"/>
        </w:rPr>
        <w:t>Access</w:t>
      </w:r>
      <w:r>
        <w:rPr>
          <w:b/>
          <w:spacing w:val="-4"/>
          <w:w w:val="105"/>
          <w:sz w:val="13"/>
        </w:rPr>
        <w:t> </w:t>
      </w:r>
      <w:r>
        <w:rPr>
          <w:b/>
          <w:w w:val="105"/>
          <w:sz w:val="13"/>
        </w:rPr>
        <w:t>and</w:t>
      </w:r>
      <w:r>
        <w:rPr>
          <w:b/>
          <w:spacing w:val="40"/>
          <w:w w:val="105"/>
          <w:sz w:val="13"/>
        </w:rPr>
        <w:t> </w:t>
      </w:r>
      <w:r>
        <w:rPr>
          <w:b/>
          <w:spacing w:val="-2"/>
          <w:w w:val="105"/>
          <w:sz w:val="13"/>
        </w:rPr>
        <w:t>Participation</w:t>
      </w:r>
      <w:r>
        <w:rPr>
          <w:b/>
          <w:spacing w:val="-8"/>
          <w:w w:val="105"/>
          <w:sz w:val="13"/>
        </w:rPr>
        <w:t> </w:t>
      </w:r>
      <w:r>
        <w:rPr>
          <w:b/>
          <w:spacing w:val="-2"/>
          <w:w w:val="105"/>
          <w:sz w:val="13"/>
        </w:rPr>
        <w:t>Fund</w:t>
      </w:r>
    </w:p>
    <w:p>
      <w:pPr>
        <w:spacing w:line="240" w:lineRule="auto" w:before="0"/>
        <w:rPr>
          <w:b/>
          <w:sz w:val="13"/>
        </w:rPr>
      </w:pPr>
      <w:r>
        <w:rPr/>
        <w:br w:type="column"/>
      </w:r>
      <w:r>
        <w:rPr>
          <w:b/>
          <w:sz w:val="13"/>
        </w:rPr>
      </w:r>
    </w:p>
    <w:p>
      <w:pPr>
        <w:spacing w:line="240" w:lineRule="auto" w:before="69"/>
        <w:rPr>
          <w:b/>
          <w:sz w:val="13"/>
        </w:rPr>
      </w:pPr>
    </w:p>
    <w:p>
      <w:pPr>
        <w:spacing w:line="278" w:lineRule="auto" w:before="0"/>
        <w:ind w:left="203" w:right="0" w:firstLine="1"/>
        <w:jc w:val="center"/>
        <w:rPr>
          <w:b/>
          <w:sz w:val="13"/>
        </w:rPr>
      </w:pPr>
      <w:r>
        <w:rPr>
          <w:b/>
          <w:w w:val="105"/>
          <w:sz w:val="13"/>
        </w:rPr>
        <w:t>Promotion</w:t>
      </w:r>
      <w:r>
        <w:rPr>
          <w:b/>
          <w:spacing w:val="-4"/>
          <w:w w:val="105"/>
          <w:sz w:val="13"/>
        </w:rPr>
        <w:t> </w:t>
      </w:r>
      <w:r>
        <w:rPr>
          <w:b/>
          <w:w w:val="105"/>
          <w:sz w:val="13"/>
        </w:rPr>
        <w:t>of</w:t>
      </w:r>
      <w:r>
        <w:rPr>
          <w:b/>
          <w:spacing w:val="40"/>
          <w:w w:val="105"/>
          <w:sz w:val="13"/>
        </w:rPr>
        <w:t> </w:t>
      </w:r>
      <w:r>
        <w:rPr>
          <w:b/>
          <w:spacing w:val="-2"/>
          <w:w w:val="105"/>
          <w:sz w:val="13"/>
        </w:rPr>
        <w:t>Excellence</w:t>
      </w:r>
      <w:r>
        <w:rPr>
          <w:b/>
          <w:spacing w:val="-8"/>
          <w:w w:val="105"/>
          <w:sz w:val="13"/>
        </w:rPr>
        <w:t> </w:t>
      </w:r>
      <w:r>
        <w:rPr>
          <w:b/>
          <w:spacing w:val="-2"/>
          <w:w w:val="105"/>
          <w:sz w:val="13"/>
        </w:rPr>
        <w:t>in</w:t>
      </w:r>
      <w:r>
        <w:rPr>
          <w:b/>
          <w:spacing w:val="-7"/>
          <w:w w:val="105"/>
          <w:sz w:val="13"/>
        </w:rPr>
        <w:t> </w:t>
      </w:r>
      <w:r>
        <w:rPr>
          <w:b/>
          <w:spacing w:val="-2"/>
          <w:w w:val="105"/>
          <w:sz w:val="13"/>
        </w:rPr>
        <w:t>Learning</w:t>
      </w:r>
      <w:r>
        <w:rPr>
          <w:b/>
          <w:spacing w:val="40"/>
          <w:w w:val="105"/>
          <w:sz w:val="13"/>
        </w:rPr>
        <w:t> </w:t>
      </w:r>
      <w:r>
        <w:rPr>
          <w:b/>
          <w:w w:val="105"/>
          <w:sz w:val="13"/>
        </w:rPr>
        <w:t>and</w:t>
      </w:r>
      <w:r>
        <w:rPr>
          <w:b/>
          <w:spacing w:val="-4"/>
          <w:w w:val="105"/>
          <w:sz w:val="13"/>
        </w:rPr>
        <w:t> </w:t>
      </w:r>
      <w:r>
        <w:rPr>
          <w:b/>
          <w:w w:val="105"/>
          <w:sz w:val="13"/>
        </w:rPr>
        <w:t>Teaching</w:t>
      </w:r>
    </w:p>
    <w:p>
      <w:pPr>
        <w:spacing w:line="240" w:lineRule="auto" w:before="45"/>
        <w:rPr>
          <w:b/>
          <w:sz w:val="13"/>
        </w:rPr>
      </w:pPr>
      <w:r>
        <w:rPr/>
        <w:br w:type="column"/>
      </w:r>
      <w:r>
        <w:rPr>
          <w:b/>
          <w:sz w:val="13"/>
        </w:rPr>
      </w:r>
    </w:p>
    <w:p>
      <w:pPr>
        <w:spacing w:line="278" w:lineRule="auto" w:before="0"/>
        <w:ind w:left="67" w:right="0" w:firstLine="353"/>
        <w:jc w:val="left"/>
        <w:rPr>
          <w:b/>
          <w:sz w:val="13"/>
        </w:rPr>
      </w:pPr>
      <w:r>
        <w:rPr>
          <w:b/>
          <w:spacing w:val="-2"/>
          <w:w w:val="105"/>
          <w:sz w:val="13"/>
        </w:rPr>
        <w:t>University</w:t>
      </w:r>
      <w:r>
        <w:rPr>
          <w:b/>
          <w:spacing w:val="40"/>
          <w:w w:val="105"/>
          <w:sz w:val="13"/>
        </w:rPr>
        <w:t> </w:t>
      </w:r>
      <w:r>
        <w:rPr>
          <w:b/>
          <w:spacing w:val="-2"/>
          <w:w w:val="105"/>
          <w:sz w:val="13"/>
        </w:rPr>
        <w:t>Disability</w:t>
      </w:r>
      <w:r>
        <w:rPr>
          <w:b/>
          <w:spacing w:val="-8"/>
          <w:w w:val="105"/>
          <w:sz w:val="13"/>
        </w:rPr>
        <w:t> </w:t>
      </w:r>
      <w:r>
        <w:rPr>
          <w:b/>
          <w:spacing w:val="-2"/>
          <w:w w:val="105"/>
          <w:sz w:val="13"/>
        </w:rPr>
        <w:t>Performance</w:t>
      </w:r>
    </w:p>
    <w:p>
      <w:pPr>
        <w:spacing w:before="26"/>
        <w:ind w:left="484" w:right="0" w:firstLine="0"/>
        <w:jc w:val="left"/>
        <w:rPr>
          <w:b/>
          <w:sz w:val="13"/>
        </w:rPr>
      </w:pPr>
      <w:r>
        <w:rPr>
          <w:b/>
          <w:sz w:val="13"/>
        </w:rPr>
        <w:t>Funding</w:t>
      </w:r>
      <w:r>
        <w:rPr>
          <w:b/>
          <w:spacing w:val="15"/>
          <w:sz w:val="13"/>
        </w:rPr>
        <w:t> </w:t>
      </w:r>
      <w:r>
        <w:rPr>
          <w:b/>
          <w:spacing w:val="-10"/>
          <w:sz w:val="13"/>
          <w:vertAlign w:val="superscript"/>
        </w:rPr>
        <w:t>2</w:t>
      </w:r>
    </w:p>
    <w:p>
      <w:pPr>
        <w:spacing w:line="240" w:lineRule="auto" w:before="0"/>
        <w:rPr>
          <w:b/>
          <w:sz w:val="13"/>
        </w:rPr>
      </w:pPr>
      <w:r>
        <w:rPr/>
        <w:br w:type="column"/>
      </w:r>
      <w:r>
        <w:rPr>
          <w:b/>
          <w:sz w:val="13"/>
        </w:rPr>
      </w:r>
    </w:p>
    <w:p>
      <w:pPr>
        <w:spacing w:line="240" w:lineRule="auto" w:before="69"/>
        <w:rPr>
          <w:b/>
          <w:sz w:val="13"/>
        </w:rPr>
      </w:pPr>
    </w:p>
    <w:p>
      <w:pPr>
        <w:spacing w:line="321" w:lineRule="auto" w:before="0"/>
        <w:ind w:left="186" w:right="0" w:hanging="18"/>
        <w:jc w:val="left"/>
        <w:rPr>
          <w:b/>
          <w:sz w:val="13"/>
        </w:rPr>
      </w:pPr>
      <w:r>
        <w:rPr>
          <w:b/>
          <w:sz w:val="13"/>
        </w:rPr>
        <w:t>Indigenous</w:t>
      </w:r>
      <w:r>
        <w:rPr>
          <w:b/>
          <w:spacing w:val="-3"/>
          <w:sz w:val="13"/>
        </w:rPr>
        <w:t> </w:t>
      </w:r>
      <w:r>
        <w:rPr>
          <w:b/>
          <w:sz w:val="13"/>
        </w:rPr>
        <w:t>Student</w:t>
      </w:r>
      <w:r>
        <w:rPr>
          <w:b/>
          <w:spacing w:val="40"/>
          <w:sz w:val="13"/>
        </w:rPr>
        <w:t> </w:t>
      </w:r>
      <w:r>
        <w:rPr>
          <w:b/>
          <w:sz w:val="13"/>
        </w:rPr>
        <w:t>Success</w:t>
      </w:r>
      <w:r>
        <w:rPr>
          <w:b/>
          <w:spacing w:val="19"/>
          <w:sz w:val="13"/>
        </w:rPr>
        <w:t> </w:t>
      </w:r>
      <w:r>
        <w:rPr>
          <w:b/>
          <w:sz w:val="13"/>
        </w:rPr>
        <w:t>Program</w:t>
      </w:r>
      <w:r>
        <w:rPr>
          <w:b/>
          <w:spacing w:val="13"/>
          <w:sz w:val="13"/>
        </w:rPr>
        <w:t> </w:t>
      </w:r>
      <w:r>
        <w:rPr>
          <w:b/>
          <w:spacing w:val="-10"/>
          <w:sz w:val="13"/>
          <w:vertAlign w:val="superscript"/>
        </w:rPr>
        <w:t>3</w:t>
      </w:r>
    </w:p>
    <w:p>
      <w:pPr>
        <w:spacing w:line="240" w:lineRule="auto" w:before="0"/>
        <w:rPr>
          <w:b/>
          <w:sz w:val="13"/>
        </w:rPr>
      </w:pPr>
      <w:r>
        <w:rPr/>
        <w:br w:type="column"/>
      </w:r>
      <w:r>
        <w:rPr>
          <w:b/>
          <w:sz w:val="13"/>
        </w:rPr>
      </w:r>
    </w:p>
    <w:p>
      <w:pPr>
        <w:spacing w:line="240" w:lineRule="auto" w:before="69"/>
        <w:rPr>
          <w:b/>
          <w:sz w:val="13"/>
        </w:rPr>
      </w:pPr>
    </w:p>
    <w:p>
      <w:pPr>
        <w:spacing w:line="278" w:lineRule="auto" w:before="0"/>
        <w:ind w:left="343" w:right="470" w:hanging="205"/>
        <w:jc w:val="left"/>
        <w:rPr>
          <w:b/>
          <w:sz w:val="13"/>
        </w:rPr>
      </w:pPr>
      <w:r>
        <w:rPr>
          <w:b/>
          <w:spacing w:val="-2"/>
          <w:w w:val="105"/>
          <w:sz w:val="13"/>
        </w:rPr>
        <w:t>Diversity</w:t>
      </w:r>
      <w:r>
        <w:rPr>
          <w:b/>
          <w:spacing w:val="-8"/>
          <w:w w:val="105"/>
          <w:sz w:val="13"/>
        </w:rPr>
        <w:t> </w:t>
      </w:r>
      <w:r>
        <w:rPr>
          <w:b/>
          <w:spacing w:val="-2"/>
          <w:w w:val="105"/>
          <w:sz w:val="13"/>
        </w:rPr>
        <w:t>and</w:t>
      </w:r>
      <w:r>
        <w:rPr>
          <w:b/>
          <w:spacing w:val="-7"/>
          <w:w w:val="105"/>
          <w:sz w:val="13"/>
        </w:rPr>
        <w:t> </w:t>
      </w:r>
      <w:r>
        <w:rPr>
          <w:b/>
          <w:spacing w:val="-2"/>
          <w:w w:val="105"/>
          <w:sz w:val="13"/>
        </w:rPr>
        <w:t>Structural</w:t>
      </w:r>
      <w:r>
        <w:rPr>
          <w:b/>
          <w:spacing w:val="40"/>
          <w:w w:val="105"/>
          <w:sz w:val="13"/>
        </w:rPr>
        <w:t> </w:t>
      </w:r>
      <w:r>
        <w:rPr>
          <w:b/>
          <w:w w:val="105"/>
          <w:sz w:val="13"/>
        </w:rPr>
        <w:t>Adjustment</w:t>
      </w:r>
      <w:r>
        <w:rPr>
          <w:b/>
          <w:spacing w:val="-8"/>
          <w:w w:val="105"/>
          <w:sz w:val="13"/>
        </w:rPr>
        <w:t> </w:t>
      </w:r>
      <w:r>
        <w:rPr>
          <w:b/>
          <w:w w:val="105"/>
          <w:sz w:val="13"/>
        </w:rPr>
        <w:t>Fund</w:t>
      </w:r>
    </w:p>
    <w:p>
      <w:pPr>
        <w:spacing w:after="0" w:line="278" w:lineRule="auto"/>
        <w:jc w:val="left"/>
        <w:rPr>
          <w:sz w:val="13"/>
        </w:rPr>
        <w:sectPr>
          <w:type w:val="continuous"/>
          <w:pgSz w:w="16840" w:h="11910" w:orient="landscape"/>
          <w:pgMar w:header="0" w:footer="0" w:top="980" w:bottom="280" w:left="1040" w:right="1600"/>
          <w:cols w:num="6" w:equalWidth="0">
            <w:col w:w="5790" w:space="40"/>
            <w:col w:w="1472" w:space="39"/>
            <w:col w:w="1666" w:space="40"/>
            <w:col w:w="1521" w:space="40"/>
            <w:col w:w="1428" w:space="39"/>
            <w:col w:w="2125"/>
          </w:cols>
        </w:sectPr>
      </w:pPr>
    </w:p>
    <w:tbl>
      <w:tblPr>
        <w:tblW w:w="0" w:type="auto"/>
        <w:jc w:val="left"/>
        <w:tblInd w:w="2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560"/>
        <w:gridCol w:w="463"/>
        <w:gridCol w:w="914"/>
        <w:gridCol w:w="865"/>
        <w:gridCol w:w="781"/>
        <w:gridCol w:w="782"/>
        <w:gridCol w:w="513"/>
        <w:gridCol w:w="266"/>
        <w:gridCol w:w="513"/>
        <w:gridCol w:w="265"/>
        <w:gridCol w:w="781"/>
        <w:gridCol w:w="781"/>
        <w:gridCol w:w="781"/>
        <w:gridCol w:w="781"/>
        <w:gridCol w:w="590"/>
        <w:gridCol w:w="189"/>
        <w:gridCol w:w="516"/>
        <w:gridCol w:w="162"/>
      </w:tblGrid>
      <w:tr>
        <w:trPr>
          <w:trHeight w:val="194" w:hRule="atLeast"/>
        </w:trPr>
        <w:tc>
          <w:tcPr>
            <w:tcW w:w="3560" w:type="dxa"/>
          </w:tcPr>
          <w:p>
            <w:pPr>
              <w:pStyle w:val="TableParagraph"/>
              <w:tabs>
                <w:tab w:pos="555" w:val="left" w:leader="none"/>
              </w:tabs>
              <w:spacing w:before="3"/>
              <w:ind w:left="26"/>
              <w:rPr>
                <w:b/>
                <w:sz w:val="13"/>
              </w:rPr>
            </w:pPr>
            <w:r>
              <w:rPr>
                <w:b/>
                <w:color w:val="0070C0"/>
                <w:spacing w:val="-5"/>
                <w:sz w:val="13"/>
              </w:rPr>
              <w:t>a)</w:t>
            </w:r>
            <w:r>
              <w:rPr>
                <w:b/>
                <w:color w:val="0070C0"/>
                <w:sz w:val="13"/>
              </w:rPr>
              <w:tab/>
            </w:r>
            <w:r>
              <w:rPr>
                <w:b/>
                <w:color w:val="0070C0"/>
                <w:position w:val="1"/>
                <w:sz w:val="13"/>
              </w:rPr>
              <w:t>Education</w:t>
            </w:r>
            <w:r>
              <w:rPr>
                <w:b/>
                <w:color w:val="0070C0"/>
                <w:spacing w:val="14"/>
                <w:position w:val="1"/>
                <w:sz w:val="13"/>
              </w:rPr>
              <w:t> </w:t>
            </w:r>
            <w:r>
              <w:rPr>
                <w:b/>
                <w:color w:val="0070C0"/>
                <w:position w:val="1"/>
                <w:sz w:val="13"/>
              </w:rPr>
              <w:t>-</w:t>
            </w:r>
            <w:r>
              <w:rPr>
                <w:b/>
                <w:color w:val="0070C0"/>
                <w:spacing w:val="12"/>
                <w:position w:val="1"/>
                <w:sz w:val="13"/>
              </w:rPr>
              <w:t> </w:t>
            </w:r>
            <w:r>
              <w:rPr>
                <w:b/>
                <w:color w:val="0070C0"/>
                <w:position w:val="1"/>
                <w:sz w:val="13"/>
              </w:rPr>
              <w:t>Commonwealth</w:t>
            </w:r>
            <w:r>
              <w:rPr>
                <w:b/>
                <w:color w:val="0070C0"/>
                <w:spacing w:val="15"/>
                <w:position w:val="1"/>
                <w:sz w:val="13"/>
              </w:rPr>
              <w:t> </w:t>
            </w:r>
            <w:r>
              <w:rPr>
                <w:b/>
                <w:color w:val="0070C0"/>
                <w:position w:val="1"/>
                <w:sz w:val="13"/>
              </w:rPr>
              <w:t>Grant</w:t>
            </w:r>
            <w:r>
              <w:rPr>
                <w:b/>
                <w:color w:val="0070C0"/>
                <w:spacing w:val="12"/>
                <w:position w:val="1"/>
                <w:sz w:val="13"/>
              </w:rPr>
              <w:t> </w:t>
            </w:r>
            <w:r>
              <w:rPr>
                <w:b/>
                <w:color w:val="0070C0"/>
                <w:spacing w:val="-2"/>
                <w:position w:val="1"/>
                <w:sz w:val="13"/>
              </w:rPr>
              <w:t>Scheme</w:t>
            </w:r>
          </w:p>
        </w:tc>
        <w:tc>
          <w:tcPr>
            <w:tcW w:w="463" w:type="dxa"/>
          </w:tcPr>
          <w:p>
            <w:pPr>
              <w:pStyle w:val="TableParagraph"/>
              <w:rPr>
                <w:rFonts w:ascii="Times New Roman"/>
                <w:sz w:val="12"/>
              </w:rPr>
            </w:pPr>
          </w:p>
        </w:tc>
        <w:tc>
          <w:tcPr>
            <w:tcW w:w="914" w:type="dxa"/>
          </w:tcPr>
          <w:p>
            <w:pPr>
              <w:pStyle w:val="TableParagraph"/>
              <w:spacing w:before="13"/>
              <w:ind w:left="246"/>
              <w:rPr>
                <w:b/>
                <w:sz w:val="13"/>
              </w:rPr>
            </w:pPr>
            <w:r>
              <w:rPr>
                <w:b/>
                <w:spacing w:val="-4"/>
                <w:w w:val="105"/>
                <w:sz w:val="13"/>
              </w:rPr>
              <w:t>2020</w:t>
            </w:r>
          </w:p>
        </w:tc>
        <w:tc>
          <w:tcPr>
            <w:tcW w:w="865" w:type="dxa"/>
          </w:tcPr>
          <w:p>
            <w:pPr>
              <w:pStyle w:val="TableParagraph"/>
              <w:spacing w:before="13"/>
              <w:ind w:left="171"/>
              <w:rPr>
                <w:b/>
                <w:sz w:val="13"/>
              </w:rPr>
            </w:pPr>
            <w:r>
              <w:rPr>
                <w:b/>
                <w:spacing w:val="-4"/>
                <w:w w:val="105"/>
                <w:sz w:val="13"/>
              </w:rPr>
              <w:t>2019</w:t>
            </w:r>
          </w:p>
        </w:tc>
        <w:tc>
          <w:tcPr>
            <w:tcW w:w="781" w:type="dxa"/>
          </w:tcPr>
          <w:p>
            <w:pPr>
              <w:pStyle w:val="TableParagraph"/>
              <w:spacing w:before="13"/>
              <w:ind w:left="144"/>
              <w:rPr>
                <w:b/>
                <w:sz w:val="13"/>
              </w:rPr>
            </w:pPr>
            <w:r>
              <w:rPr>
                <w:b/>
                <w:spacing w:val="-4"/>
                <w:w w:val="105"/>
                <w:sz w:val="13"/>
              </w:rPr>
              <w:t>2020</w:t>
            </w:r>
          </w:p>
        </w:tc>
        <w:tc>
          <w:tcPr>
            <w:tcW w:w="782" w:type="dxa"/>
          </w:tcPr>
          <w:p>
            <w:pPr>
              <w:pStyle w:val="TableParagraph"/>
              <w:spacing w:before="13"/>
              <w:ind w:left="145"/>
              <w:rPr>
                <w:b/>
                <w:sz w:val="13"/>
              </w:rPr>
            </w:pPr>
            <w:r>
              <w:rPr>
                <w:b/>
                <w:spacing w:val="-4"/>
                <w:w w:val="105"/>
                <w:sz w:val="13"/>
              </w:rPr>
              <w:t>2019</w:t>
            </w:r>
          </w:p>
        </w:tc>
        <w:tc>
          <w:tcPr>
            <w:tcW w:w="513" w:type="dxa"/>
          </w:tcPr>
          <w:p>
            <w:pPr>
              <w:pStyle w:val="TableParagraph"/>
              <w:spacing w:before="13"/>
              <w:ind w:right="62"/>
              <w:jc w:val="right"/>
              <w:rPr>
                <w:b/>
                <w:sz w:val="13"/>
              </w:rPr>
            </w:pPr>
            <w:r>
              <w:rPr>
                <w:b/>
                <w:spacing w:val="-4"/>
                <w:w w:val="105"/>
                <w:sz w:val="13"/>
              </w:rPr>
              <w:t>2020</w:t>
            </w:r>
          </w:p>
        </w:tc>
        <w:tc>
          <w:tcPr>
            <w:tcW w:w="266" w:type="dxa"/>
          </w:tcPr>
          <w:p>
            <w:pPr>
              <w:pStyle w:val="TableParagraph"/>
              <w:rPr>
                <w:rFonts w:ascii="Times New Roman"/>
                <w:sz w:val="12"/>
              </w:rPr>
            </w:pPr>
          </w:p>
        </w:tc>
        <w:tc>
          <w:tcPr>
            <w:tcW w:w="513" w:type="dxa"/>
          </w:tcPr>
          <w:p>
            <w:pPr>
              <w:pStyle w:val="TableParagraph"/>
              <w:spacing w:before="13"/>
              <w:ind w:left="93" w:right="5"/>
              <w:jc w:val="center"/>
              <w:rPr>
                <w:b/>
                <w:sz w:val="13"/>
              </w:rPr>
            </w:pPr>
            <w:r>
              <w:rPr>
                <w:b/>
                <w:spacing w:val="-4"/>
                <w:w w:val="105"/>
                <w:sz w:val="13"/>
              </w:rPr>
              <w:t>2019</w:t>
            </w:r>
          </w:p>
        </w:tc>
        <w:tc>
          <w:tcPr>
            <w:tcW w:w="265" w:type="dxa"/>
          </w:tcPr>
          <w:p>
            <w:pPr>
              <w:pStyle w:val="TableParagraph"/>
              <w:rPr>
                <w:rFonts w:ascii="Times New Roman"/>
                <w:sz w:val="12"/>
              </w:rPr>
            </w:pPr>
          </w:p>
        </w:tc>
        <w:tc>
          <w:tcPr>
            <w:tcW w:w="781" w:type="dxa"/>
          </w:tcPr>
          <w:p>
            <w:pPr>
              <w:pStyle w:val="TableParagraph"/>
              <w:spacing w:before="13"/>
              <w:ind w:left="153"/>
              <w:rPr>
                <w:b/>
                <w:sz w:val="13"/>
              </w:rPr>
            </w:pPr>
            <w:r>
              <w:rPr>
                <w:b/>
                <w:spacing w:val="-4"/>
                <w:w w:val="105"/>
                <w:sz w:val="13"/>
              </w:rPr>
              <w:t>2020</w:t>
            </w:r>
          </w:p>
        </w:tc>
        <w:tc>
          <w:tcPr>
            <w:tcW w:w="781" w:type="dxa"/>
          </w:tcPr>
          <w:p>
            <w:pPr>
              <w:pStyle w:val="TableParagraph"/>
              <w:spacing w:before="13"/>
              <w:ind w:left="154"/>
              <w:rPr>
                <w:b/>
                <w:sz w:val="13"/>
              </w:rPr>
            </w:pPr>
            <w:r>
              <w:rPr>
                <w:b/>
                <w:spacing w:val="-4"/>
                <w:w w:val="105"/>
                <w:sz w:val="13"/>
              </w:rPr>
              <w:t>2019</w:t>
            </w:r>
          </w:p>
        </w:tc>
        <w:tc>
          <w:tcPr>
            <w:tcW w:w="781" w:type="dxa"/>
          </w:tcPr>
          <w:p>
            <w:pPr>
              <w:pStyle w:val="TableParagraph"/>
              <w:spacing w:before="13"/>
              <w:ind w:left="156"/>
              <w:rPr>
                <w:b/>
                <w:sz w:val="13"/>
              </w:rPr>
            </w:pPr>
            <w:r>
              <w:rPr>
                <w:b/>
                <w:spacing w:val="-4"/>
                <w:w w:val="105"/>
                <w:sz w:val="13"/>
              </w:rPr>
              <w:t>2020</w:t>
            </w:r>
          </w:p>
        </w:tc>
        <w:tc>
          <w:tcPr>
            <w:tcW w:w="781" w:type="dxa"/>
          </w:tcPr>
          <w:p>
            <w:pPr>
              <w:pStyle w:val="TableParagraph"/>
              <w:spacing w:before="13"/>
              <w:ind w:left="157"/>
              <w:rPr>
                <w:b/>
                <w:sz w:val="13"/>
              </w:rPr>
            </w:pPr>
            <w:r>
              <w:rPr>
                <w:b/>
                <w:spacing w:val="-4"/>
                <w:w w:val="105"/>
                <w:sz w:val="13"/>
              </w:rPr>
              <w:t>2019</w:t>
            </w:r>
          </w:p>
        </w:tc>
        <w:tc>
          <w:tcPr>
            <w:tcW w:w="590" w:type="dxa"/>
          </w:tcPr>
          <w:p>
            <w:pPr>
              <w:pStyle w:val="TableParagraph"/>
              <w:spacing w:before="13"/>
              <w:ind w:left="158"/>
              <w:rPr>
                <w:b/>
                <w:sz w:val="13"/>
              </w:rPr>
            </w:pPr>
            <w:r>
              <w:rPr>
                <w:b/>
                <w:spacing w:val="-4"/>
                <w:w w:val="105"/>
                <w:sz w:val="13"/>
              </w:rPr>
              <w:t>2020</w:t>
            </w:r>
          </w:p>
        </w:tc>
        <w:tc>
          <w:tcPr>
            <w:tcW w:w="189" w:type="dxa"/>
          </w:tcPr>
          <w:p>
            <w:pPr>
              <w:pStyle w:val="TableParagraph"/>
              <w:rPr>
                <w:rFonts w:ascii="Times New Roman"/>
                <w:sz w:val="12"/>
              </w:rPr>
            </w:pPr>
          </w:p>
        </w:tc>
        <w:tc>
          <w:tcPr>
            <w:tcW w:w="516" w:type="dxa"/>
          </w:tcPr>
          <w:p>
            <w:pPr>
              <w:pStyle w:val="TableParagraph"/>
              <w:spacing w:before="13"/>
              <w:ind w:left="112" w:right="2"/>
              <w:jc w:val="center"/>
              <w:rPr>
                <w:b/>
                <w:sz w:val="13"/>
              </w:rPr>
            </w:pPr>
            <w:r>
              <w:rPr>
                <w:b/>
                <w:spacing w:val="-4"/>
                <w:w w:val="105"/>
                <w:sz w:val="13"/>
              </w:rPr>
              <w:t>2019</w:t>
            </w:r>
          </w:p>
        </w:tc>
        <w:tc>
          <w:tcPr>
            <w:tcW w:w="162" w:type="dxa"/>
            <w:vMerge w:val="restart"/>
            <w:tcBorders>
              <w:bottom w:val="single" w:sz="6" w:space="0" w:color="000000"/>
            </w:tcBorders>
          </w:tcPr>
          <w:p>
            <w:pPr>
              <w:pStyle w:val="TableParagraph"/>
              <w:rPr>
                <w:rFonts w:ascii="Times New Roman"/>
                <w:sz w:val="12"/>
              </w:rPr>
            </w:pPr>
          </w:p>
        </w:tc>
      </w:tr>
      <w:tr>
        <w:trPr>
          <w:trHeight w:val="154" w:hRule="atLeast"/>
        </w:trPr>
        <w:tc>
          <w:tcPr>
            <w:tcW w:w="3560" w:type="dxa"/>
            <w:tcBorders>
              <w:bottom w:val="single" w:sz="6" w:space="0" w:color="000000"/>
            </w:tcBorders>
          </w:tcPr>
          <w:p>
            <w:pPr>
              <w:pStyle w:val="TableParagraph"/>
              <w:spacing w:line="115" w:lineRule="exact"/>
              <w:ind w:left="555"/>
              <w:rPr>
                <w:b/>
                <w:sz w:val="13"/>
              </w:rPr>
            </w:pPr>
            <w:r>
              <w:rPr>
                <w:b/>
                <w:color w:val="0070C0"/>
                <w:w w:val="105"/>
                <w:sz w:val="13"/>
              </w:rPr>
              <w:t>and</w:t>
            </w:r>
            <w:r>
              <w:rPr>
                <w:b/>
                <w:color w:val="0070C0"/>
                <w:spacing w:val="-10"/>
                <w:w w:val="105"/>
                <w:sz w:val="13"/>
              </w:rPr>
              <w:t> </w:t>
            </w:r>
            <w:r>
              <w:rPr>
                <w:b/>
                <w:color w:val="0070C0"/>
                <w:w w:val="105"/>
                <w:sz w:val="13"/>
              </w:rPr>
              <w:t>other</w:t>
            </w:r>
            <w:r>
              <w:rPr>
                <w:b/>
                <w:color w:val="0070C0"/>
                <w:spacing w:val="-9"/>
                <w:w w:val="105"/>
                <w:sz w:val="13"/>
              </w:rPr>
              <w:t> </w:t>
            </w:r>
            <w:r>
              <w:rPr>
                <w:b/>
                <w:color w:val="0070C0"/>
                <w:w w:val="105"/>
                <w:sz w:val="13"/>
              </w:rPr>
              <w:t>Education</w:t>
            </w:r>
            <w:r>
              <w:rPr>
                <w:b/>
                <w:color w:val="0070C0"/>
                <w:spacing w:val="-9"/>
                <w:w w:val="105"/>
                <w:sz w:val="13"/>
              </w:rPr>
              <w:t> </w:t>
            </w:r>
            <w:r>
              <w:rPr>
                <w:b/>
                <w:color w:val="0070C0"/>
                <w:spacing w:val="-2"/>
                <w:w w:val="105"/>
                <w:sz w:val="13"/>
              </w:rPr>
              <w:t>grants</w:t>
            </w:r>
          </w:p>
        </w:tc>
        <w:tc>
          <w:tcPr>
            <w:tcW w:w="463" w:type="dxa"/>
            <w:tcBorders>
              <w:bottom w:val="single" w:sz="6" w:space="0" w:color="000000"/>
            </w:tcBorders>
          </w:tcPr>
          <w:p>
            <w:pPr>
              <w:pStyle w:val="TableParagraph"/>
              <w:spacing w:line="120" w:lineRule="exact"/>
              <w:ind w:left="13" w:right="7"/>
              <w:jc w:val="center"/>
              <w:rPr>
                <w:b/>
                <w:sz w:val="13"/>
              </w:rPr>
            </w:pPr>
            <w:r>
              <w:rPr>
                <w:b/>
                <w:spacing w:val="-4"/>
                <w:w w:val="105"/>
                <w:sz w:val="13"/>
              </w:rPr>
              <w:t>Note</w:t>
            </w:r>
          </w:p>
        </w:tc>
        <w:tc>
          <w:tcPr>
            <w:tcW w:w="914" w:type="dxa"/>
            <w:tcBorders>
              <w:bottom w:val="single" w:sz="6" w:space="0" w:color="000000"/>
            </w:tcBorders>
          </w:tcPr>
          <w:p>
            <w:pPr>
              <w:pStyle w:val="TableParagraph"/>
              <w:spacing w:line="120" w:lineRule="exact"/>
              <w:ind w:left="232"/>
              <w:rPr>
                <w:b/>
                <w:sz w:val="13"/>
              </w:rPr>
            </w:pPr>
            <w:r>
              <w:rPr>
                <w:b/>
                <w:spacing w:val="-2"/>
                <w:w w:val="105"/>
                <w:sz w:val="13"/>
              </w:rPr>
              <w:t>$'000</w:t>
            </w:r>
          </w:p>
        </w:tc>
        <w:tc>
          <w:tcPr>
            <w:tcW w:w="865" w:type="dxa"/>
            <w:tcBorders>
              <w:bottom w:val="single" w:sz="6" w:space="0" w:color="000000"/>
            </w:tcBorders>
          </w:tcPr>
          <w:p>
            <w:pPr>
              <w:pStyle w:val="TableParagraph"/>
              <w:spacing w:line="120" w:lineRule="exact"/>
              <w:ind w:left="156"/>
              <w:rPr>
                <w:b/>
                <w:sz w:val="13"/>
              </w:rPr>
            </w:pPr>
            <w:r>
              <w:rPr>
                <w:b/>
                <w:spacing w:val="-2"/>
                <w:w w:val="105"/>
                <w:sz w:val="13"/>
              </w:rPr>
              <w:t>$'000</w:t>
            </w:r>
          </w:p>
        </w:tc>
        <w:tc>
          <w:tcPr>
            <w:tcW w:w="781" w:type="dxa"/>
            <w:tcBorders>
              <w:bottom w:val="single" w:sz="6" w:space="0" w:color="000000"/>
            </w:tcBorders>
          </w:tcPr>
          <w:p>
            <w:pPr>
              <w:pStyle w:val="TableParagraph"/>
              <w:spacing w:line="120" w:lineRule="exact"/>
              <w:ind w:left="129"/>
              <w:rPr>
                <w:b/>
                <w:sz w:val="13"/>
              </w:rPr>
            </w:pPr>
            <w:r>
              <w:rPr>
                <w:b/>
                <w:spacing w:val="-2"/>
                <w:w w:val="105"/>
                <w:sz w:val="13"/>
              </w:rPr>
              <w:t>$'000</w:t>
            </w:r>
          </w:p>
        </w:tc>
        <w:tc>
          <w:tcPr>
            <w:tcW w:w="782" w:type="dxa"/>
            <w:tcBorders>
              <w:bottom w:val="single" w:sz="6" w:space="0" w:color="000000"/>
            </w:tcBorders>
          </w:tcPr>
          <w:p>
            <w:pPr>
              <w:pStyle w:val="TableParagraph"/>
              <w:spacing w:line="120" w:lineRule="exact"/>
              <w:ind w:left="131"/>
              <w:rPr>
                <w:b/>
                <w:sz w:val="13"/>
              </w:rPr>
            </w:pPr>
            <w:r>
              <w:rPr>
                <w:b/>
                <w:spacing w:val="-2"/>
                <w:w w:val="105"/>
                <w:sz w:val="13"/>
              </w:rPr>
              <w:t>$'000</w:t>
            </w:r>
          </w:p>
        </w:tc>
        <w:tc>
          <w:tcPr>
            <w:tcW w:w="513" w:type="dxa"/>
            <w:tcBorders>
              <w:bottom w:val="single" w:sz="6" w:space="0" w:color="000000"/>
            </w:tcBorders>
          </w:tcPr>
          <w:p>
            <w:pPr>
              <w:pStyle w:val="TableParagraph"/>
              <w:spacing w:line="120" w:lineRule="exact"/>
              <w:ind w:right="47"/>
              <w:jc w:val="right"/>
              <w:rPr>
                <w:sz w:val="13"/>
              </w:rPr>
            </w:pPr>
            <w:r>
              <w:rPr>
                <w:spacing w:val="-2"/>
                <w:w w:val="105"/>
                <w:sz w:val="13"/>
              </w:rPr>
              <w:t>$'000</w:t>
            </w:r>
          </w:p>
        </w:tc>
        <w:tc>
          <w:tcPr>
            <w:tcW w:w="266" w:type="dxa"/>
            <w:tcBorders>
              <w:bottom w:val="single" w:sz="6" w:space="0" w:color="000000"/>
            </w:tcBorders>
          </w:tcPr>
          <w:p>
            <w:pPr>
              <w:pStyle w:val="TableParagraph"/>
              <w:rPr>
                <w:rFonts w:ascii="Times New Roman"/>
                <w:sz w:val="8"/>
              </w:rPr>
            </w:pPr>
          </w:p>
        </w:tc>
        <w:tc>
          <w:tcPr>
            <w:tcW w:w="513" w:type="dxa"/>
            <w:tcBorders>
              <w:bottom w:val="single" w:sz="6" w:space="0" w:color="000000"/>
            </w:tcBorders>
          </w:tcPr>
          <w:p>
            <w:pPr>
              <w:pStyle w:val="TableParagraph"/>
              <w:spacing w:line="120" w:lineRule="exact"/>
              <w:ind w:left="95" w:right="5"/>
              <w:jc w:val="center"/>
              <w:rPr>
                <w:sz w:val="13"/>
              </w:rPr>
            </w:pPr>
            <w:r>
              <w:rPr>
                <w:spacing w:val="-2"/>
                <w:w w:val="105"/>
                <w:sz w:val="13"/>
              </w:rPr>
              <w:t>$'000</w:t>
            </w:r>
          </w:p>
        </w:tc>
        <w:tc>
          <w:tcPr>
            <w:tcW w:w="265" w:type="dxa"/>
            <w:tcBorders>
              <w:bottom w:val="single" w:sz="6" w:space="0" w:color="000000"/>
            </w:tcBorders>
          </w:tcPr>
          <w:p>
            <w:pPr>
              <w:pStyle w:val="TableParagraph"/>
              <w:rPr>
                <w:rFonts w:ascii="Times New Roman"/>
                <w:sz w:val="8"/>
              </w:rPr>
            </w:pPr>
          </w:p>
        </w:tc>
        <w:tc>
          <w:tcPr>
            <w:tcW w:w="781" w:type="dxa"/>
            <w:tcBorders>
              <w:bottom w:val="single" w:sz="6" w:space="0" w:color="000000"/>
            </w:tcBorders>
          </w:tcPr>
          <w:p>
            <w:pPr>
              <w:pStyle w:val="TableParagraph"/>
              <w:spacing w:line="120" w:lineRule="exact"/>
              <w:ind w:left="139"/>
              <w:rPr>
                <w:b/>
                <w:sz w:val="13"/>
              </w:rPr>
            </w:pPr>
            <w:r>
              <w:rPr>
                <w:b/>
                <w:spacing w:val="-2"/>
                <w:w w:val="105"/>
                <w:sz w:val="13"/>
              </w:rPr>
              <w:t>$'000</w:t>
            </w:r>
          </w:p>
        </w:tc>
        <w:tc>
          <w:tcPr>
            <w:tcW w:w="781" w:type="dxa"/>
            <w:tcBorders>
              <w:bottom w:val="single" w:sz="6" w:space="0" w:color="000000"/>
            </w:tcBorders>
          </w:tcPr>
          <w:p>
            <w:pPr>
              <w:pStyle w:val="TableParagraph"/>
              <w:spacing w:line="120" w:lineRule="exact"/>
              <w:ind w:left="140"/>
              <w:rPr>
                <w:b/>
                <w:sz w:val="13"/>
              </w:rPr>
            </w:pPr>
            <w:r>
              <w:rPr>
                <w:b/>
                <w:spacing w:val="-2"/>
                <w:w w:val="105"/>
                <w:sz w:val="13"/>
              </w:rPr>
              <w:t>$'000</w:t>
            </w:r>
          </w:p>
        </w:tc>
        <w:tc>
          <w:tcPr>
            <w:tcW w:w="781" w:type="dxa"/>
            <w:tcBorders>
              <w:bottom w:val="single" w:sz="6" w:space="0" w:color="000000"/>
            </w:tcBorders>
          </w:tcPr>
          <w:p>
            <w:pPr>
              <w:pStyle w:val="TableParagraph"/>
              <w:spacing w:line="120" w:lineRule="exact"/>
              <w:ind w:left="141"/>
              <w:rPr>
                <w:b/>
                <w:sz w:val="13"/>
              </w:rPr>
            </w:pPr>
            <w:r>
              <w:rPr>
                <w:b/>
                <w:spacing w:val="-2"/>
                <w:w w:val="105"/>
                <w:sz w:val="13"/>
              </w:rPr>
              <w:t>$'000</w:t>
            </w:r>
          </w:p>
        </w:tc>
        <w:tc>
          <w:tcPr>
            <w:tcW w:w="781" w:type="dxa"/>
            <w:tcBorders>
              <w:bottom w:val="single" w:sz="6" w:space="0" w:color="000000"/>
            </w:tcBorders>
          </w:tcPr>
          <w:p>
            <w:pPr>
              <w:pStyle w:val="TableParagraph"/>
              <w:spacing w:line="120" w:lineRule="exact"/>
              <w:ind w:left="142"/>
              <w:rPr>
                <w:b/>
                <w:sz w:val="13"/>
              </w:rPr>
            </w:pPr>
            <w:r>
              <w:rPr>
                <w:b/>
                <w:spacing w:val="-2"/>
                <w:w w:val="105"/>
                <w:sz w:val="13"/>
              </w:rPr>
              <w:t>$'000</w:t>
            </w:r>
          </w:p>
        </w:tc>
        <w:tc>
          <w:tcPr>
            <w:tcW w:w="590" w:type="dxa"/>
            <w:tcBorders>
              <w:bottom w:val="single" w:sz="6" w:space="0" w:color="000000"/>
            </w:tcBorders>
          </w:tcPr>
          <w:p>
            <w:pPr>
              <w:pStyle w:val="TableParagraph"/>
              <w:spacing w:line="120" w:lineRule="exact"/>
              <w:ind w:left="144"/>
              <w:rPr>
                <w:b/>
                <w:sz w:val="13"/>
              </w:rPr>
            </w:pPr>
            <w:r>
              <w:rPr>
                <w:b/>
                <w:spacing w:val="-2"/>
                <w:w w:val="105"/>
                <w:sz w:val="13"/>
              </w:rPr>
              <w:t>$'000</w:t>
            </w:r>
          </w:p>
        </w:tc>
        <w:tc>
          <w:tcPr>
            <w:tcW w:w="189" w:type="dxa"/>
            <w:tcBorders>
              <w:bottom w:val="single" w:sz="6" w:space="0" w:color="000000"/>
            </w:tcBorders>
          </w:tcPr>
          <w:p>
            <w:pPr>
              <w:pStyle w:val="TableParagraph"/>
              <w:rPr>
                <w:rFonts w:ascii="Times New Roman"/>
                <w:sz w:val="8"/>
              </w:rPr>
            </w:pPr>
          </w:p>
        </w:tc>
        <w:tc>
          <w:tcPr>
            <w:tcW w:w="516" w:type="dxa"/>
            <w:tcBorders>
              <w:bottom w:val="single" w:sz="6" w:space="0" w:color="000000"/>
            </w:tcBorders>
          </w:tcPr>
          <w:p>
            <w:pPr>
              <w:pStyle w:val="TableParagraph"/>
              <w:spacing w:line="120" w:lineRule="exact"/>
              <w:ind w:left="112"/>
              <w:jc w:val="center"/>
              <w:rPr>
                <w:b/>
                <w:sz w:val="13"/>
              </w:rPr>
            </w:pPr>
            <w:r>
              <w:rPr>
                <w:b/>
                <w:spacing w:val="-2"/>
                <w:w w:val="105"/>
                <w:sz w:val="13"/>
              </w:rPr>
              <w:t>$'000</w:t>
            </w:r>
          </w:p>
        </w:tc>
        <w:tc>
          <w:tcPr>
            <w:tcW w:w="162" w:type="dxa"/>
            <w:vMerge/>
            <w:tcBorders>
              <w:top w:val="nil"/>
              <w:bottom w:val="single" w:sz="6" w:space="0" w:color="000000"/>
            </w:tcBorders>
          </w:tcPr>
          <w:p>
            <w:pPr>
              <w:rPr>
                <w:sz w:val="2"/>
                <w:szCs w:val="2"/>
              </w:rPr>
            </w:pPr>
          </w:p>
        </w:tc>
      </w:tr>
      <w:tr>
        <w:trPr>
          <w:trHeight w:val="654" w:hRule="atLeast"/>
        </w:trPr>
        <w:tc>
          <w:tcPr>
            <w:tcW w:w="3560" w:type="dxa"/>
            <w:tcBorders>
              <w:top w:val="single" w:sz="6" w:space="0" w:color="000000"/>
            </w:tcBorders>
          </w:tcPr>
          <w:p>
            <w:pPr>
              <w:pStyle w:val="TableParagraph"/>
              <w:spacing w:line="273" w:lineRule="auto" w:before="110"/>
              <w:ind w:left="555" w:right="52"/>
              <w:rPr>
                <w:sz w:val="13"/>
              </w:rPr>
            </w:pPr>
            <w:r>
              <w:rPr>
                <w:w w:val="105"/>
                <w:sz w:val="13"/>
              </w:rPr>
              <w:t>Financial</w:t>
            </w:r>
            <w:r>
              <w:rPr>
                <w:spacing w:val="-10"/>
                <w:w w:val="105"/>
                <w:sz w:val="13"/>
              </w:rPr>
              <w:t> </w:t>
            </w:r>
            <w:r>
              <w:rPr>
                <w:w w:val="105"/>
                <w:sz w:val="13"/>
              </w:rPr>
              <w:t>assistance</w:t>
            </w:r>
            <w:r>
              <w:rPr>
                <w:spacing w:val="-9"/>
                <w:w w:val="105"/>
                <w:sz w:val="13"/>
              </w:rPr>
              <w:t> </w:t>
            </w:r>
            <w:r>
              <w:rPr>
                <w:w w:val="105"/>
                <w:sz w:val="13"/>
              </w:rPr>
              <w:t>received</w:t>
            </w:r>
            <w:r>
              <w:rPr>
                <w:spacing w:val="-10"/>
                <w:w w:val="105"/>
                <w:sz w:val="13"/>
              </w:rPr>
              <w:t> </w:t>
            </w:r>
            <w:r>
              <w:rPr>
                <w:w w:val="105"/>
                <w:sz w:val="13"/>
              </w:rPr>
              <w:t>in</w:t>
            </w:r>
            <w:r>
              <w:rPr>
                <w:spacing w:val="-9"/>
                <w:w w:val="105"/>
                <w:sz w:val="13"/>
              </w:rPr>
              <w:t> </w:t>
            </w:r>
            <w:r>
              <w:rPr>
                <w:w w:val="105"/>
                <w:sz w:val="13"/>
              </w:rPr>
              <w:t>CASH</w:t>
            </w:r>
            <w:r>
              <w:rPr>
                <w:spacing w:val="-10"/>
                <w:w w:val="105"/>
                <w:sz w:val="13"/>
              </w:rPr>
              <w:t> </w:t>
            </w:r>
            <w:r>
              <w:rPr>
                <w:w w:val="105"/>
                <w:sz w:val="13"/>
              </w:rPr>
              <w:t>during</w:t>
            </w:r>
            <w:r>
              <w:rPr>
                <w:spacing w:val="-9"/>
                <w:w w:val="105"/>
                <w:sz w:val="13"/>
              </w:rPr>
              <w:t> </w:t>
            </w:r>
            <w:r>
              <w:rPr>
                <w:w w:val="105"/>
                <w:sz w:val="13"/>
              </w:rPr>
              <w:t>the</w:t>
            </w:r>
            <w:r>
              <w:rPr>
                <w:spacing w:val="40"/>
                <w:w w:val="105"/>
                <w:sz w:val="13"/>
              </w:rPr>
              <w:t> </w:t>
            </w:r>
            <w:r>
              <w:rPr>
                <w:w w:val="105"/>
                <w:sz w:val="13"/>
              </w:rPr>
              <w:t>reporting period (total cash received from the</w:t>
            </w:r>
            <w:r>
              <w:rPr>
                <w:spacing w:val="40"/>
                <w:w w:val="105"/>
                <w:sz w:val="13"/>
              </w:rPr>
              <w:t> </w:t>
            </w:r>
            <w:r>
              <w:rPr>
                <w:w w:val="105"/>
                <w:sz w:val="13"/>
              </w:rPr>
              <w:t>Australian Government for the programs)</w:t>
            </w:r>
          </w:p>
        </w:tc>
        <w:tc>
          <w:tcPr>
            <w:tcW w:w="463" w:type="dxa"/>
            <w:tcBorders>
              <w:top w:val="single" w:sz="6" w:space="0" w:color="000000"/>
            </w:tcBorders>
          </w:tcPr>
          <w:p>
            <w:pPr>
              <w:pStyle w:val="TableParagraph"/>
              <w:rPr>
                <w:rFonts w:ascii="Times New Roman"/>
                <w:sz w:val="12"/>
              </w:rPr>
            </w:pPr>
          </w:p>
        </w:tc>
        <w:tc>
          <w:tcPr>
            <w:tcW w:w="914" w:type="dxa"/>
            <w:tcBorders>
              <w:top w:val="single" w:sz="6" w:space="0" w:color="000000"/>
            </w:tcBorders>
          </w:tcPr>
          <w:p>
            <w:pPr>
              <w:pStyle w:val="TableParagraph"/>
              <w:rPr>
                <w:b/>
                <w:sz w:val="13"/>
              </w:rPr>
            </w:pPr>
          </w:p>
          <w:p>
            <w:pPr>
              <w:pStyle w:val="TableParagraph"/>
              <w:rPr>
                <w:b/>
                <w:sz w:val="13"/>
              </w:rPr>
            </w:pPr>
          </w:p>
          <w:p>
            <w:pPr>
              <w:pStyle w:val="TableParagraph"/>
              <w:spacing w:before="15"/>
              <w:rPr>
                <w:b/>
                <w:sz w:val="13"/>
              </w:rPr>
            </w:pPr>
          </w:p>
          <w:p>
            <w:pPr>
              <w:pStyle w:val="TableParagraph"/>
              <w:ind w:right="196"/>
              <w:jc w:val="right"/>
              <w:rPr>
                <w:sz w:val="13"/>
              </w:rPr>
            </w:pPr>
            <w:r>
              <w:rPr>
                <w:spacing w:val="-2"/>
                <w:w w:val="105"/>
                <w:sz w:val="13"/>
              </w:rPr>
              <w:t>169,701</w:t>
            </w:r>
          </w:p>
        </w:tc>
        <w:tc>
          <w:tcPr>
            <w:tcW w:w="865" w:type="dxa"/>
            <w:tcBorders>
              <w:top w:val="single" w:sz="6" w:space="0" w:color="000000"/>
            </w:tcBorders>
          </w:tcPr>
          <w:p>
            <w:pPr>
              <w:pStyle w:val="TableParagraph"/>
              <w:rPr>
                <w:b/>
                <w:sz w:val="13"/>
              </w:rPr>
            </w:pPr>
          </w:p>
          <w:p>
            <w:pPr>
              <w:pStyle w:val="TableParagraph"/>
              <w:rPr>
                <w:b/>
                <w:sz w:val="13"/>
              </w:rPr>
            </w:pPr>
          </w:p>
          <w:p>
            <w:pPr>
              <w:pStyle w:val="TableParagraph"/>
              <w:spacing w:before="15"/>
              <w:rPr>
                <w:b/>
                <w:sz w:val="13"/>
              </w:rPr>
            </w:pPr>
          </w:p>
          <w:p>
            <w:pPr>
              <w:pStyle w:val="TableParagraph"/>
              <w:ind w:left="205"/>
              <w:rPr>
                <w:sz w:val="13"/>
              </w:rPr>
            </w:pPr>
            <w:r>
              <w:rPr>
                <w:spacing w:val="-2"/>
                <w:w w:val="105"/>
                <w:sz w:val="13"/>
              </w:rPr>
              <w:t>146,520</w:t>
            </w:r>
          </w:p>
        </w:tc>
        <w:tc>
          <w:tcPr>
            <w:tcW w:w="781" w:type="dxa"/>
            <w:tcBorders>
              <w:top w:val="single" w:sz="6" w:space="0" w:color="000000"/>
            </w:tcBorders>
          </w:tcPr>
          <w:p>
            <w:pPr>
              <w:pStyle w:val="TableParagraph"/>
              <w:rPr>
                <w:b/>
                <w:sz w:val="13"/>
              </w:rPr>
            </w:pPr>
          </w:p>
          <w:p>
            <w:pPr>
              <w:pStyle w:val="TableParagraph"/>
              <w:rPr>
                <w:b/>
                <w:sz w:val="13"/>
              </w:rPr>
            </w:pPr>
          </w:p>
          <w:p>
            <w:pPr>
              <w:pStyle w:val="TableParagraph"/>
              <w:spacing w:before="15"/>
              <w:rPr>
                <w:b/>
                <w:sz w:val="13"/>
              </w:rPr>
            </w:pPr>
          </w:p>
          <w:p>
            <w:pPr>
              <w:pStyle w:val="TableParagraph"/>
              <w:ind w:right="166"/>
              <w:jc w:val="right"/>
              <w:rPr>
                <w:sz w:val="13"/>
              </w:rPr>
            </w:pPr>
            <w:r>
              <w:rPr>
                <w:spacing w:val="-2"/>
                <w:w w:val="105"/>
                <w:sz w:val="13"/>
              </w:rPr>
              <w:t>1,135</w:t>
            </w:r>
          </w:p>
        </w:tc>
        <w:tc>
          <w:tcPr>
            <w:tcW w:w="782" w:type="dxa"/>
            <w:tcBorders>
              <w:top w:val="single" w:sz="6" w:space="0" w:color="000000"/>
            </w:tcBorders>
          </w:tcPr>
          <w:p>
            <w:pPr>
              <w:pStyle w:val="TableParagraph"/>
              <w:rPr>
                <w:b/>
                <w:sz w:val="13"/>
              </w:rPr>
            </w:pPr>
          </w:p>
          <w:p>
            <w:pPr>
              <w:pStyle w:val="TableParagraph"/>
              <w:rPr>
                <w:b/>
                <w:sz w:val="13"/>
              </w:rPr>
            </w:pPr>
          </w:p>
          <w:p>
            <w:pPr>
              <w:pStyle w:val="TableParagraph"/>
              <w:spacing w:before="15"/>
              <w:rPr>
                <w:b/>
                <w:sz w:val="13"/>
              </w:rPr>
            </w:pPr>
          </w:p>
          <w:p>
            <w:pPr>
              <w:pStyle w:val="TableParagraph"/>
              <w:ind w:right="165"/>
              <w:jc w:val="right"/>
              <w:rPr>
                <w:sz w:val="13"/>
              </w:rPr>
            </w:pPr>
            <w:r>
              <w:rPr>
                <w:spacing w:val="-2"/>
                <w:w w:val="105"/>
                <w:sz w:val="13"/>
              </w:rPr>
              <w:t>1,162</w:t>
            </w:r>
          </w:p>
        </w:tc>
        <w:tc>
          <w:tcPr>
            <w:tcW w:w="513" w:type="dxa"/>
            <w:tcBorders>
              <w:top w:val="single" w:sz="6" w:space="0" w:color="000000"/>
            </w:tcBorders>
          </w:tcPr>
          <w:p>
            <w:pPr>
              <w:pStyle w:val="TableParagraph"/>
              <w:rPr>
                <w:rFonts w:ascii="Times New Roman"/>
                <w:sz w:val="12"/>
              </w:rPr>
            </w:pPr>
          </w:p>
        </w:tc>
        <w:tc>
          <w:tcPr>
            <w:tcW w:w="266" w:type="dxa"/>
            <w:tcBorders>
              <w:top w:val="single" w:sz="6" w:space="0" w:color="000000"/>
            </w:tcBorders>
          </w:tcPr>
          <w:p>
            <w:pPr>
              <w:pStyle w:val="TableParagraph"/>
              <w:rPr>
                <w:b/>
                <w:sz w:val="13"/>
              </w:rPr>
            </w:pPr>
          </w:p>
          <w:p>
            <w:pPr>
              <w:pStyle w:val="TableParagraph"/>
              <w:rPr>
                <w:b/>
                <w:sz w:val="13"/>
              </w:rPr>
            </w:pPr>
          </w:p>
          <w:p>
            <w:pPr>
              <w:pStyle w:val="TableParagraph"/>
              <w:spacing w:before="15"/>
              <w:rPr>
                <w:b/>
                <w:sz w:val="13"/>
              </w:rPr>
            </w:pPr>
          </w:p>
          <w:p>
            <w:pPr>
              <w:pStyle w:val="TableParagraph"/>
              <w:ind w:right="17"/>
              <w:jc w:val="center"/>
              <w:rPr>
                <w:sz w:val="13"/>
              </w:rPr>
            </w:pPr>
            <w:r>
              <w:rPr>
                <w:spacing w:val="-10"/>
                <w:w w:val="105"/>
                <w:sz w:val="13"/>
              </w:rPr>
              <w:t>-</w:t>
            </w:r>
          </w:p>
        </w:tc>
        <w:tc>
          <w:tcPr>
            <w:tcW w:w="513" w:type="dxa"/>
            <w:tcBorders>
              <w:top w:val="single" w:sz="6" w:space="0" w:color="000000"/>
            </w:tcBorders>
          </w:tcPr>
          <w:p>
            <w:pPr>
              <w:pStyle w:val="TableParagraph"/>
              <w:rPr>
                <w:rFonts w:ascii="Times New Roman"/>
                <w:sz w:val="12"/>
              </w:rPr>
            </w:pPr>
          </w:p>
        </w:tc>
        <w:tc>
          <w:tcPr>
            <w:tcW w:w="265" w:type="dxa"/>
            <w:tcBorders>
              <w:top w:val="single" w:sz="6" w:space="0" w:color="000000"/>
            </w:tcBorders>
          </w:tcPr>
          <w:p>
            <w:pPr>
              <w:pStyle w:val="TableParagraph"/>
              <w:rPr>
                <w:b/>
                <w:sz w:val="13"/>
              </w:rPr>
            </w:pPr>
          </w:p>
          <w:p>
            <w:pPr>
              <w:pStyle w:val="TableParagraph"/>
              <w:rPr>
                <w:b/>
                <w:sz w:val="13"/>
              </w:rPr>
            </w:pPr>
          </w:p>
          <w:p>
            <w:pPr>
              <w:pStyle w:val="TableParagraph"/>
              <w:spacing w:before="15"/>
              <w:rPr>
                <w:b/>
                <w:sz w:val="13"/>
              </w:rPr>
            </w:pPr>
          </w:p>
          <w:p>
            <w:pPr>
              <w:pStyle w:val="TableParagraph"/>
              <w:ind w:left="67"/>
              <w:rPr>
                <w:sz w:val="13"/>
              </w:rPr>
            </w:pPr>
            <w:r>
              <w:rPr>
                <w:spacing w:val="-10"/>
                <w:w w:val="105"/>
                <w:sz w:val="13"/>
              </w:rPr>
              <w:t>-</w:t>
            </w:r>
          </w:p>
        </w:tc>
        <w:tc>
          <w:tcPr>
            <w:tcW w:w="781" w:type="dxa"/>
            <w:tcBorders>
              <w:top w:val="single" w:sz="6" w:space="0" w:color="000000"/>
            </w:tcBorders>
          </w:tcPr>
          <w:p>
            <w:pPr>
              <w:pStyle w:val="TableParagraph"/>
              <w:rPr>
                <w:b/>
                <w:sz w:val="13"/>
              </w:rPr>
            </w:pPr>
          </w:p>
          <w:p>
            <w:pPr>
              <w:pStyle w:val="TableParagraph"/>
              <w:rPr>
                <w:b/>
                <w:sz w:val="13"/>
              </w:rPr>
            </w:pPr>
          </w:p>
          <w:p>
            <w:pPr>
              <w:pStyle w:val="TableParagraph"/>
              <w:spacing w:before="15"/>
              <w:rPr>
                <w:b/>
                <w:sz w:val="13"/>
              </w:rPr>
            </w:pPr>
          </w:p>
          <w:p>
            <w:pPr>
              <w:pStyle w:val="TableParagraph"/>
              <w:ind w:right="157"/>
              <w:jc w:val="right"/>
              <w:rPr>
                <w:sz w:val="13"/>
              </w:rPr>
            </w:pPr>
            <w:r>
              <w:rPr>
                <w:spacing w:val="-5"/>
                <w:w w:val="105"/>
                <w:sz w:val="13"/>
              </w:rPr>
              <w:t>118</w:t>
            </w:r>
          </w:p>
        </w:tc>
        <w:tc>
          <w:tcPr>
            <w:tcW w:w="781" w:type="dxa"/>
            <w:tcBorders>
              <w:top w:val="single" w:sz="6" w:space="0" w:color="000000"/>
            </w:tcBorders>
          </w:tcPr>
          <w:p>
            <w:pPr>
              <w:pStyle w:val="TableParagraph"/>
              <w:rPr>
                <w:b/>
                <w:sz w:val="13"/>
              </w:rPr>
            </w:pPr>
          </w:p>
          <w:p>
            <w:pPr>
              <w:pStyle w:val="TableParagraph"/>
              <w:rPr>
                <w:b/>
                <w:sz w:val="13"/>
              </w:rPr>
            </w:pPr>
          </w:p>
          <w:p>
            <w:pPr>
              <w:pStyle w:val="TableParagraph"/>
              <w:spacing w:before="15"/>
              <w:rPr>
                <w:b/>
                <w:sz w:val="13"/>
              </w:rPr>
            </w:pPr>
          </w:p>
          <w:p>
            <w:pPr>
              <w:pStyle w:val="TableParagraph"/>
              <w:ind w:right="155"/>
              <w:jc w:val="right"/>
              <w:rPr>
                <w:sz w:val="13"/>
              </w:rPr>
            </w:pPr>
            <w:r>
              <w:rPr>
                <w:spacing w:val="-5"/>
                <w:w w:val="105"/>
                <w:sz w:val="13"/>
              </w:rPr>
              <w:t>131</w:t>
            </w:r>
          </w:p>
        </w:tc>
        <w:tc>
          <w:tcPr>
            <w:tcW w:w="781" w:type="dxa"/>
            <w:tcBorders>
              <w:top w:val="single" w:sz="6" w:space="0" w:color="000000"/>
            </w:tcBorders>
          </w:tcPr>
          <w:p>
            <w:pPr>
              <w:pStyle w:val="TableParagraph"/>
              <w:rPr>
                <w:b/>
                <w:sz w:val="13"/>
              </w:rPr>
            </w:pPr>
          </w:p>
          <w:p>
            <w:pPr>
              <w:pStyle w:val="TableParagraph"/>
              <w:rPr>
                <w:b/>
                <w:sz w:val="13"/>
              </w:rPr>
            </w:pPr>
          </w:p>
          <w:p>
            <w:pPr>
              <w:pStyle w:val="TableParagraph"/>
              <w:spacing w:before="15"/>
              <w:rPr>
                <w:b/>
                <w:sz w:val="13"/>
              </w:rPr>
            </w:pPr>
          </w:p>
          <w:p>
            <w:pPr>
              <w:pStyle w:val="TableParagraph"/>
              <w:ind w:right="154"/>
              <w:jc w:val="right"/>
              <w:rPr>
                <w:sz w:val="13"/>
              </w:rPr>
            </w:pPr>
            <w:r>
              <w:rPr>
                <w:spacing w:val="-2"/>
                <w:w w:val="105"/>
                <w:sz w:val="13"/>
              </w:rPr>
              <w:t>1,303</w:t>
            </w:r>
          </w:p>
        </w:tc>
        <w:tc>
          <w:tcPr>
            <w:tcW w:w="781" w:type="dxa"/>
            <w:tcBorders>
              <w:top w:val="single" w:sz="6" w:space="0" w:color="000000"/>
            </w:tcBorders>
          </w:tcPr>
          <w:p>
            <w:pPr>
              <w:pStyle w:val="TableParagraph"/>
              <w:rPr>
                <w:b/>
                <w:sz w:val="13"/>
              </w:rPr>
            </w:pPr>
          </w:p>
          <w:p>
            <w:pPr>
              <w:pStyle w:val="TableParagraph"/>
              <w:rPr>
                <w:b/>
                <w:sz w:val="13"/>
              </w:rPr>
            </w:pPr>
          </w:p>
          <w:p>
            <w:pPr>
              <w:pStyle w:val="TableParagraph"/>
              <w:spacing w:before="15"/>
              <w:rPr>
                <w:b/>
                <w:sz w:val="13"/>
              </w:rPr>
            </w:pPr>
          </w:p>
          <w:p>
            <w:pPr>
              <w:pStyle w:val="TableParagraph"/>
              <w:ind w:left="286"/>
              <w:rPr>
                <w:sz w:val="13"/>
              </w:rPr>
            </w:pPr>
            <w:r>
              <w:rPr>
                <w:spacing w:val="-2"/>
                <w:w w:val="105"/>
                <w:sz w:val="13"/>
              </w:rPr>
              <w:t>1,454</w:t>
            </w:r>
          </w:p>
        </w:tc>
        <w:tc>
          <w:tcPr>
            <w:tcW w:w="590" w:type="dxa"/>
            <w:tcBorders>
              <w:top w:val="single" w:sz="6" w:space="0" w:color="000000"/>
            </w:tcBorders>
          </w:tcPr>
          <w:p>
            <w:pPr>
              <w:pStyle w:val="TableParagraph"/>
              <w:rPr>
                <w:rFonts w:ascii="Times New Roman"/>
                <w:sz w:val="12"/>
              </w:rPr>
            </w:pPr>
          </w:p>
        </w:tc>
        <w:tc>
          <w:tcPr>
            <w:tcW w:w="189" w:type="dxa"/>
            <w:tcBorders>
              <w:top w:val="single" w:sz="6" w:space="0" w:color="000000"/>
            </w:tcBorders>
          </w:tcPr>
          <w:p>
            <w:pPr>
              <w:pStyle w:val="TableParagraph"/>
              <w:rPr>
                <w:b/>
                <w:sz w:val="13"/>
              </w:rPr>
            </w:pPr>
          </w:p>
          <w:p>
            <w:pPr>
              <w:pStyle w:val="TableParagraph"/>
              <w:rPr>
                <w:b/>
                <w:sz w:val="13"/>
              </w:rPr>
            </w:pPr>
          </w:p>
          <w:p>
            <w:pPr>
              <w:pStyle w:val="TableParagraph"/>
              <w:spacing w:before="15"/>
              <w:rPr>
                <w:b/>
                <w:sz w:val="13"/>
              </w:rPr>
            </w:pPr>
          </w:p>
          <w:p>
            <w:pPr>
              <w:pStyle w:val="TableParagraph"/>
              <w:ind w:left="36"/>
              <w:rPr>
                <w:sz w:val="13"/>
              </w:rPr>
            </w:pPr>
            <w:r>
              <w:rPr>
                <w:spacing w:val="-10"/>
                <w:w w:val="105"/>
                <w:sz w:val="13"/>
              </w:rPr>
              <w:t>-</w:t>
            </w:r>
          </w:p>
        </w:tc>
        <w:tc>
          <w:tcPr>
            <w:tcW w:w="516" w:type="dxa"/>
            <w:tcBorders>
              <w:top w:val="single" w:sz="6" w:space="0" w:color="000000"/>
            </w:tcBorders>
          </w:tcPr>
          <w:p>
            <w:pPr>
              <w:pStyle w:val="TableParagraph"/>
              <w:rPr>
                <w:rFonts w:ascii="Times New Roman"/>
                <w:sz w:val="12"/>
              </w:rPr>
            </w:pPr>
          </w:p>
        </w:tc>
        <w:tc>
          <w:tcPr>
            <w:tcW w:w="162" w:type="dxa"/>
            <w:tcBorders>
              <w:top w:val="single" w:sz="6" w:space="0" w:color="000000"/>
            </w:tcBorders>
          </w:tcPr>
          <w:p>
            <w:pPr>
              <w:pStyle w:val="TableParagraph"/>
              <w:rPr>
                <w:b/>
                <w:sz w:val="13"/>
              </w:rPr>
            </w:pPr>
          </w:p>
          <w:p>
            <w:pPr>
              <w:pStyle w:val="TableParagraph"/>
              <w:rPr>
                <w:b/>
                <w:sz w:val="13"/>
              </w:rPr>
            </w:pPr>
          </w:p>
          <w:p>
            <w:pPr>
              <w:pStyle w:val="TableParagraph"/>
              <w:spacing w:before="15"/>
              <w:rPr>
                <w:b/>
                <w:sz w:val="13"/>
              </w:rPr>
            </w:pPr>
          </w:p>
          <w:p>
            <w:pPr>
              <w:pStyle w:val="TableParagraph"/>
              <w:ind w:left="38"/>
              <w:jc w:val="center"/>
              <w:rPr>
                <w:sz w:val="13"/>
              </w:rPr>
            </w:pPr>
            <w:r>
              <w:rPr>
                <w:spacing w:val="-10"/>
                <w:w w:val="105"/>
                <w:sz w:val="13"/>
              </w:rPr>
              <w:t>-</w:t>
            </w:r>
          </w:p>
        </w:tc>
      </w:tr>
      <w:tr>
        <w:trPr>
          <w:trHeight w:val="159" w:hRule="atLeast"/>
        </w:trPr>
        <w:tc>
          <w:tcPr>
            <w:tcW w:w="3560" w:type="dxa"/>
          </w:tcPr>
          <w:p>
            <w:pPr>
              <w:pStyle w:val="TableParagraph"/>
              <w:spacing w:line="125" w:lineRule="exact"/>
              <w:ind w:left="555"/>
              <w:rPr>
                <w:sz w:val="13"/>
              </w:rPr>
            </w:pPr>
            <w:r>
              <w:rPr>
                <w:sz w:val="13"/>
              </w:rPr>
              <w:t>Net</w:t>
            </w:r>
            <w:r>
              <w:rPr>
                <w:spacing w:val="11"/>
                <w:sz w:val="13"/>
              </w:rPr>
              <w:t> </w:t>
            </w:r>
            <w:r>
              <w:rPr>
                <w:sz w:val="13"/>
              </w:rPr>
              <w:t>accrual</w:t>
            </w:r>
            <w:r>
              <w:rPr>
                <w:spacing w:val="8"/>
                <w:sz w:val="13"/>
              </w:rPr>
              <w:t> </w:t>
            </w:r>
            <w:r>
              <w:rPr>
                <w:spacing w:val="-2"/>
                <w:sz w:val="13"/>
              </w:rPr>
              <w:t>adjustments</w:t>
            </w:r>
          </w:p>
        </w:tc>
        <w:tc>
          <w:tcPr>
            <w:tcW w:w="463" w:type="dxa"/>
          </w:tcPr>
          <w:p>
            <w:pPr>
              <w:pStyle w:val="TableParagraph"/>
              <w:rPr>
                <w:rFonts w:ascii="Times New Roman"/>
                <w:sz w:val="10"/>
              </w:rPr>
            </w:pPr>
          </w:p>
        </w:tc>
        <w:tc>
          <w:tcPr>
            <w:tcW w:w="914" w:type="dxa"/>
            <w:tcBorders>
              <w:bottom w:val="single" w:sz="6" w:space="0" w:color="000000"/>
            </w:tcBorders>
          </w:tcPr>
          <w:p>
            <w:pPr>
              <w:pStyle w:val="TableParagraph"/>
              <w:spacing w:line="130" w:lineRule="exact"/>
              <w:ind w:right="151"/>
              <w:jc w:val="right"/>
              <w:rPr>
                <w:sz w:val="13"/>
              </w:rPr>
            </w:pPr>
            <w:r>
              <w:rPr>
                <w:spacing w:val="-2"/>
                <w:w w:val="105"/>
                <w:sz w:val="13"/>
              </w:rPr>
              <w:t>(14,510)</w:t>
            </w:r>
          </w:p>
        </w:tc>
        <w:tc>
          <w:tcPr>
            <w:tcW w:w="865" w:type="dxa"/>
            <w:tcBorders>
              <w:bottom w:val="single" w:sz="6" w:space="0" w:color="000000"/>
            </w:tcBorders>
          </w:tcPr>
          <w:p>
            <w:pPr>
              <w:pStyle w:val="TableParagraph"/>
              <w:spacing w:line="130" w:lineRule="exact"/>
              <w:ind w:right="159"/>
              <w:jc w:val="right"/>
              <w:rPr>
                <w:sz w:val="13"/>
              </w:rPr>
            </w:pPr>
            <w:r>
              <w:rPr>
                <w:spacing w:val="-10"/>
                <w:w w:val="105"/>
                <w:sz w:val="13"/>
              </w:rPr>
              <w:t>-</w:t>
            </w:r>
          </w:p>
        </w:tc>
        <w:tc>
          <w:tcPr>
            <w:tcW w:w="781" w:type="dxa"/>
            <w:tcBorders>
              <w:bottom w:val="single" w:sz="6" w:space="0" w:color="000000"/>
            </w:tcBorders>
          </w:tcPr>
          <w:p>
            <w:pPr>
              <w:pStyle w:val="TableParagraph"/>
              <w:spacing w:line="130" w:lineRule="exact"/>
              <w:ind w:right="158"/>
              <w:jc w:val="right"/>
              <w:rPr>
                <w:sz w:val="13"/>
              </w:rPr>
            </w:pPr>
            <w:r>
              <w:rPr>
                <w:spacing w:val="-10"/>
                <w:w w:val="105"/>
                <w:sz w:val="13"/>
              </w:rPr>
              <w:t>-</w:t>
            </w:r>
          </w:p>
        </w:tc>
        <w:tc>
          <w:tcPr>
            <w:tcW w:w="782" w:type="dxa"/>
            <w:tcBorders>
              <w:bottom w:val="single" w:sz="6" w:space="0" w:color="000000"/>
            </w:tcBorders>
          </w:tcPr>
          <w:p>
            <w:pPr>
              <w:pStyle w:val="TableParagraph"/>
              <w:spacing w:line="130" w:lineRule="exact"/>
              <w:ind w:right="158"/>
              <w:jc w:val="right"/>
              <w:rPr>
                <w:sz w:val="13"/>
              </w:rPr>
            </w:pPr>
            <w:r>
              <w:rPr>
                <w:spacing w:val="-10"/>
                <w:w w:val="105"/>
                <w:sz w:val="13"/>
              </w:rPr>
              <w:t>-</w:t>
            </w:r>
          </w:p>
        </w:tc>
        <w:tc>
          <w:tcPr>
            <w:tcW w:w="513" w:type="dxa"/>
            <w:tcBorders>
              <w:bottom w:val="single" w:sz="6" w:space="0" w:color="000000"/>
            </w:tcBorders>
          </w:tcPr>
          <w:p>
            <w:pPr>
              <w:pStyle w:val="TableParagraph"/>
              <w:rPr>
                <w:rFonts w:ascii="Times New Roman"/>
                <w:sz w:val="10"/>
              </w:rPr>
            </w:pPr>
          </w:p>
        </w:tc>
        <w:tc>
          <w:tcPr>
            <w:tcW w:w="266" w:type="dxa"/>
            <w:tcBorders>
              <w:bottom w:val="single" w:sz="6" w:space="0" w:color="000000"/>
            </w:tcBorders>
          </w:tcPr>
          <w:p>
            <w:pPr>
              <w:pStyle w:val="TableParagraph"/>
              <w:spacing w:line="130" w:lineRule="exact"/>
              <w:ind w:right="90"/>
              <w:jc w:val="center"/>
              <w:rPr>
                <w:sz w:val="13"/>
              </w:rPr>
            </w:pPr>
            <w:r>
              <w:rPr>
                <w:spacing w:val="-10"/>
                <w:w w:val="105"/>
                <w:sz w:val="13"/>
              </w:rPr>
              <w:t>-</w:t>
            </w:r>
          </w:p>
        </w:tc>
        <w:tc>
          <w:tcPr>
            <w:tcW w:w="513" w:type="dxa"/>
            <w:tcBorders>
              <w:bottom w:val="single" w:sz="6" w:space="0" w:color="000000"/>
            </w:tcBorders>
          </w:tcPr>
          <w:p>
            <w:pPr>
              <w:pStyle w:val="TableParagraph"/>
              <w:rPr>
                <w:rFonts w:ascii="Times New Roman"/>
                <w:sz w:val="10"/>
              </w:rPr>
            </w:pPr>
          </w:p>
        </w:tc>
        <w:tc>
          <w:tcPr>
            <w:tcW w:w="265" w:type="dxa"/>
            <w:tcBorders>
              <w:bottom w:val="single" w:sz="6" w:space="0" w:color="000000"/>
            </w:tcBorders>
          </w:tcPr>
          <w:p>
            <w:pPr>
              <w:pStyle w:val="TableParagraph"/>
              <w:spacing w:line="130" w:lineRule="exact"/>
              <w:ind w:left="67"/>
              <w:rPr>
                <w:sz w:val="13"/>
              </w:rPr>
            </w:pPr>
            <w:r>
              <w:rPr>
                <w:spacing w:val="-10"/>
                <w:w w:val="105"/>
                <w:sz w:val="13"/>
              </w:rPr>
              <w:t>-</w:t>
            </w:r>
          </w:p>
        </w:tc>
        <w:tc>
          <w:tcPr>
            <w:tcW w:w="781" w:type="dxa"/>
            <w:tcBorders>
              <w:bottom w:val="single" w:sz="6" w:space="0" w:color="000000"/>
            </w:tcBorders>
          </w:tcPr>
          <w:p>
            <w:pPr>
              <w:pStyle w:val="TableParagraph"/>
              <w:spacing w:line="130" w:lineRule="exact"/>
              <w:ind w:right="149"/>
              <w:jc w:val="right"/>
              <w:rPr>
                <w:sz w:val="13"/>
              </w:rPr>
            </w:pPr>
            <w:r>
              <w:rPr>
                <w:spacing w:val="-10"/>
                <w:w w:val="105"/>
                <w:sz w:val="13"/>
              </w:rPr>
              <w:t>-</w:t>
            </w:r>
          </w:p>
        </w:tc>
        <w:tc>
          <w:tcPr>
            <w:tcW w:w="781" w:type="dxa"/>
            <w:tcBorders>
              <w:bottom w:val="single" w:sz="6" w:space="0" w:color="000000"/>
            </w:tcBorders>
          </w:tcPr>
          <w:p>
            <w:pPr>
              <w:pStyle w:val="TableParagraph"/>
              <w:spacing w:line="130" w:lineRule="exact"/>
              <w:ind w:right="148"/>
              <w:jc w:val="right"/>
              <w:rPr>
                <w:sz w:val="13"/>
              </w:rPr>
            </w:pPr>
            <w:r>
              <w:rPr>
                <w:spacing w:val="-10"/>
                <w:w w:val="105"/>
                <w:sz w:val="13"/>
              </w:rPr>
              <w:t>-</w:t>
            </w:r>
          </w:p>
        </w:tc>
        <w:tc>
          <w:tcPr>
            <w:tcW w:w="781" w:type="dxa"/>
            <w:tcBorders>
              <w:bottom w:val="single" w:sz="6" w:space="0" w:color="000000"/>
            </w:tcBorders>
          </w:tcPr>
          <w:p>
            <w:pPr>
              <w:pStyle w:val="TableParagraph"/>
              <w:spacing w:line="130" w:lineRule="exact"/>
              <w:ind w:right="148"/>
              <w:jc w:val="right"/>
              <w:rPr>
                <w:sz w:val="13"/>
              </w:rPr>
            </w:pPr>
            <w:r>
              <w:rPr>
                <w:spacing w:val="-10"/>
                <w:w w:val="105"/>
                <w:sz w:val="13"/>
              </w:rPr>
              <w:t>-</w:t>
            </w:r>
          </w:p>
        </w:tc>
        <w:tc>
          <w:tcPr>
            <w:tcW w:w="781" w:type="dxa"/>
            <w:tcBorders>
              <w:bottom w:val="single" w:sz="6" w:space="0" w:color="000000"/>
            </w:tcBorders>
          </w:tcPr>
          <w:p>
            <w:pPr>
              <w:pStyle w:val="TableParagraph"/>
              <w:spacing w:line="130" w:lineRule="exact"/>
              <w:ind w:right="145"/>
              <w:jc w:val="right"/>
              <w:rPr>
                <w:sz w:val="13"/>
              </w:rPr>
            </w:pPr>
            <w:r>
              <w:rPr>
                <w:spacing w:val="-10"/>
                <w:w w:val="105"/>
                <w:sz w:val="13"/>
              </w:rPr>
              <w:t>-</w:t>
            </w:r>
          </w:p>
        </w:tc>
        <w:tc>
          <w:tcPr>
            <w:tcW w:w="590" w:type="dxa"/>
            <w:tcBorders>
              <w:bottom w:val="single" w:sz="6" w:space="0" w:color="000000"/>
            </w:tcBorders>
          </w:tcPr>
          <w:p>
            <w:pPr>
              <w:pStyle w:val="TableParagraph"/>
              <w:rPr>
                <w:rFonts w:ascii="Times New Roman"/>
                <w:sz w:val="10"/>
              </w:rPr>
            </w:pPr>
          </w:p>
        </w:tc>
        <w:tc>
          <w:tcPr>
            <w:tcW w:w="189" w:type="dxa"/>
            <w:tcBorders>
              <w:bottom w:val="single" w:sz="6" w:space="0" w:color="000000"/>
            </w:tcBorders>
          </w:tcPr>
          <w:p>
            <w:pPr>
              <w:pStyle w:val="TableParagraph"/>
              <w:spacing w:line="130" w:lineRule="exact"/>
              <w:ind w:left="-1"/>
              <w:rPr>
                <w:sz w:val="13"/>
              </w:rPr>
            </w:pPr>
            <w:r>
              <w:rPr>
                <w:spacing w:val="-10"/>
                <w:w w:val="105"/>
                <w:sz w:val="13"/>
              </w:rPr>
              <w:t>-</w:t>
            </w:r>
          </w:p>
        </w:tc>
        <w:tc>
          <w:tcPr>
            <w:tcW w:w="516" w:type="dxa"/>
            <w:tcBorders>
              <w:bottom w:val="single" w:sz="6" w:space="0" w:color="000000"/>
            </w:tcBorders>
          </w:tcPr>
          <w:p>
            <w:pPr>
              <w:pStyle w:val="TableParagraph"/>
              <w:rPr>
                <w:rFonts w:ascii="Times New Roman"/>
                <w:sz w:val="10"/>
              </w:rPr>
            </w:pPr>
          </w:p>
        </w:tc>
        <w:tc>
          <w:tcPr>
            <w:tcW w:w="162" w:type="dxa"/>
            <w:tcBorders>
              <w:bottom w:val="single" w:sz="6" w:space="0" w:color="000000"/>
            </w:tcBorders>
          </w:tcPr>
          <w:p>
            <w:pPr>
              <w:pStyle w:val="TableParagraph"/>
              <w:spacing w:line="130" w:lineRule="exact"/>
              <w:ind w:left="38" w:right="2"/>
              <w:jc w:val="center"/>
              <w:rPr>
                <w:sz w:val="13"/>
              </w:rPr>
            </w:pPr>
            <w:r>
              <w:rPr>
                <w:spacing w:val="-10"/>
                <w:w w:val="105"/>
                <w:sz w:val="13"/>
              </w:rPr>
              <w:t>-</w:t>
            </w:r>
          </w:p>
        </w:tc>
      </w:tr>
      <w:tr>
        <w:trPr>
          <w:trHeight w:val="242" w:hRule="atLeast"/>
        </w:trPr>
        <w:tc>
          <w:tcPr>
            <w:tcW w:w="3560" w:type="dxa"/>
          </w:tcPr>
          <w:p>
            <w:pPr>
              <w:pStyle w:val="TableParagraph"/>
              <w:spacing w:line="116" w:lineRule="exact"/>
              <w:ind w:left="555"/>
              <w:rPr>
                <w:sz w:val="13"/>
              </w:rPr>
            </w:pPr>
            <w:r>
              <w:rPr>
                <w:w w:val="105"/>
                <w:sz w:val="13"/>
              </w:rPr>
              <w:t>Revenue</w:t>
            </w:r>
            <w:r>
              <w:rPr>
                <w:spacing w:val="-5"/>
                <w:w w:val="105"/>
                <w:sz w:val="13"/>
              </w:rPr>
              <w:t> </w:t>
            </w:r>
            <w:r>
              <w:rPr>
                <w:w w:val="105"/>
                <w:sz w:val="13"/>
              </w:rPr>
              <w:t>for</w:t>
            </w:r>
            <w:r>
              <w:rPr>
                <w:spacing w:val="-6"/>
                <w:w w:val="105"/>
                <w:sz w:val="13"/>
              </w:rPr>
              <w:t> </w:t>
            </w:r>
            <w:r>
              <w:rPr>
                <w:w w:val="105"/>
                <w:sz w:val="13"/>
              </w:rPr>
              <w:t>the</w:t>
            </w:r>
            <w:r>
              <w:rPr>
                <w:spacing w:val="-4"/>
                <w:w w:val="105"/>
                <w:sz w:val="13"/>
              </w:rPr>
              <w:t> </w:t>
            </w:r>
            <w:r>
              <w:rPr>
                <w:spacing w:val="-2"/>
                <w:w w:val="105"/>
                <w:sz w:val="13"/>
              </w:rPr>
              <w:t>period</w:t>
            </w:r>
          </w:p>
        </w:tc>
        <w:tc>
          <w:tcPr>
            <w:tcW w:w="463" w:type="dxa"/>
          </w:tcPr>
          <w:p>
            <w:pPr>
              <w:pStyle w:val="TableParagraph"/>
              <w:spacing w:line="116" w:lineRule="exact"/>
              <w:ind w:left="13"/>
              <w:jc w:val="center"/>
              <w:rPr>
                <w:sz w:val="13"/>
              </w:rPr>
            </w:pPr>
            <w:r>
              <w:rPr>
                <w:spacing w:val="-2"/>
                <w:w w:val="105"/>
                <w:sz w:val="13"/>
              </w:rPr>
              <w:t>2.1(a)</w:t>
            </w:r>
          </w:p>
        </w:tc>
        <w:tc>
          <w:tcPr>
            <w:tcW w:w="914" w:type="dxa"/>
            <w:tcBorders>
              <w:top w:val="single" w:sz="6" w:space="0" w:color="000000"/>
            </w:tcBorders>
          </w:tcPr>
          <w:p>
            <w:pPr>
              <w:pStyle w:val="TableParagraph"/>
              <w:spacing w:line="116" w:lineRule="exact"/>
              <w:ind w:right="196"/>
              <w:jc w:val="right"/>
              <w:rPr>
                <w:sz w:val="13"/>
              </w:rPr>
            </w:pPr>
            <w:r>
              <w:rPr>
                <w:spacing w:val="-2"/>
                <w:w w:val="105"/>
                <w:sz w:val="13"/>
              </w:rPr>
              <w:t>155,191</w:t>
            </w:r>
          </w:p>
        </w:tc>
        <w:tc>
          <w:tcPr>
            <w:tcW w:w="865" w:type="dxa"/>
            <w:tcBorders>
              <w:top w:val="single" w:sz="6" w:space="0" w:color="000000"/>
            </w:tcBorders>
          </w:tcPr>
          <w:p>
            <w:pPr>
              <w:pStyle w:val="TableParagraph"/>
              <w:spacing w:line="116" w:lineRule="exact"/>
              <w:ind w:left="205"/>
              <w:rPr>
                <w:sz w:val="13"/>
              </w:rPr>
            </w:pPr>
            <w:r>
              <w:rPr>
                <w:spacing w:val="-2"/>
                <w:w w:val="105"/>
                <w:sz w:val="13"/>
              </w:rPr>
              <w:t>146,520</w:t>
            </w:r>
          </w:p>
        </w:tc>
        <w:tc>
          <w:tcPr>
            <w:tcW w:w="781" w:type="dxa"/>
            <w:tcBorders>
              <w:top w:val="single" w:sz="6" w:space="0" w:color="000000"/>
            </w:tcBorders>
          </w:tcPr>
          <w:p>
            <w:pPr>
              <w:pStyle w:val="TableParagraph"/>
              <w:spacing w:line="116" w:lineRule="exact"/>
              <w:ind w:right="166"/>
              <w:jc w:val="right"/>
              <w:rPr>
                <w:sz w:val="13"/>
              </w:rPr>
            </w:pPr>
            <w:r>
              <w:rPr>
                <w:spacing w:val="-2"/>
                <w:w w:val="105"/>
                <w:sz w:val="13"/>
              </w:rPr>
              <w:t>1,135</w:t>
            </w:r>
          </w:p>
        </w:tc>
        <w:tc>
          <w:tcPr>
            <w:tcW w:w="782" w:type="dxa"/>
            <w:tcBorders>
              <w:top w:val="single" w:sz="6" w:space="0" w:color="000000"/>
            </w:tcBorders>
          </w:tcPr>
          <w:p>
            <w:pPr>
              <w:pStyle w:val="TableParagraph"/>
              <w:spacing w:line="116" w:lineRule="exact"/>
              <w:ind w:right="165"/>
              <w:jc w:val="right"/>
              <w:rPr>
                <w:sz w:val="13"/>
              </w:rPr>
            </w:pPr>
            <w:r>
              <w:rPr>
                <w:spacing w:val="-2"/>
                <w:w w:val="105"/>
                <w:sz w:val="13"/>
              </w:rPr>
              <w:t>1,162</w:t>
            </w:r>
          </w:p>
        </w:tc>
        <w:tc>
          <w:tcPr>
            <w:tcW w:w="513" w:type="dxa"/>
            <w:tcBorders>
              <w:top w:val="single" w:sz="6" w:space="0" w:color="000000"/>
            </w:tcBorders>
          </w:tcPr>
          <w:p>
            <w:pPr>
              <w:pStyle w:val="TableParagraph"/>
              <w:rPr>
                <w:rFonts w:ascii="Times New Roman"/>
                <w:sz w:val="12"/>
              </w:rPr>
            </w:pPr>
          </w:p>
        </w:tc>
        <w:tc>
          <w:tcPr>
            <w:tcW w:w="266" w:type="dxa"/>
            <w:tcBorders>
              <w:top w:val="single" w:sz="6" w:space="0" w:color="000000"/>
            </w:tcBorders>
          </w:tcPr>
          <w:p>
            <w:pPr>
              <w:pStyle w:val="TableParagraph"/>
              <w:spacing w:line="121" w:lineRule="exact"/>
              <w:ind w:right="90"/>
              <w:jc w:val="center"/>
              <w:rPr>
                <w:sz w:val="13"/>
              </w:rPr>
            </w:pPr>
            <w:r>
              <w:rPr>
                <w:spacing w:val="-10"/>
                <w:w w:val="105"/>
                <w:sz w:val="13"/>
              </w:rPr>
              <w:t>-</w:t>
            </w:r>
          </w:p>
        </w:tc>
        <w:tc>
          <w:tcPr>
            <w:tcW w:w="513" w:type="dxa"/>
            <w:tcBorders>
              <w:top w:val="single" w:sz="6" w:space="0" w:color="000000"/>
            </w:tcBorders>
          </w:tcPr>
          <w:p>
            <w:pPr>
              <w:pStyle w:val="TableParagraph"/>
              <w:rPr>
                <w:rFonts w:ascii="Times New Roman"/>
                <w:sz w:val="12"/>
              </w:rPr>
            </w:pPr>
          </w:p>
        </w:tc>
        <w:tc>
          <w:tcPr>
            <w:tcW w:w="265" w:type="dxa"/>
            <w:tcBorders>
              <w:top w:val="single" w:sz="6" w:space="0" w:color="000000"/>
            </w:tcBorders>
          </w:tcPr>
          <w:p>
            <w:pPr>
              <w:pStyle w:val="TableParagraph"/>
              <w:spacing w:line="121" w:lineRule="exact"/>
              <w:ind w:left="67"/>
              <w:rPr>
                <w:sz w:val="13"/>
              </w:rPr>
            </w:pPr>
            <w:r>
              <w:rPr>
                <w:spacing w:val="-10"/>
                <w:w w:val="105"/>
                <w:sz w:val="13"/>
              </w:rPr>
              <w:t>-</w:t>
            </w:r>
          </w:p>
        </w:tc>
        <w:tc>
          <w:tcPr>
            <w:tcW w:w="781" w:type="dxa"/>
            <w:tcBorders>
              <w:top w:val="single" w:sz="6" w:space="0" w:color="000000"/>
            </w:tcBorders>
          </w:tcPr>
          <w:p>
            <w:pPr>
              <w:pStyle w:val="TableParagraph"/>
              <w:spacing w:line="116" w:lineRule="exact"/>
              <w:ind w:right="157"/>
              <w:jc w:val="right"/>
              <w:rPr>
                <w:sz w:val="13"/>
              </w:rPr>
            </w:pPr>
            <w:r>
              <w:rPr>
                <w:spacing w:val="-5"/>
                <w:w w:val="105"/>
                <w:sz w:val="13"/>
              </w:rPr>
              <w:t>118</w:t>
            </w:r>
          </w:p>
        </w:tc>
        <w:tc>
          <w:tcPr>
            <w:tcW w:w="781" w:type="dxa"/>
            <w:tcBorders>
              <w:top w:val="single" w:sz="6" w:space="0" w:color="000000"/>
            </w:tcBorders>
          </w:tcPr>
          <w:p>
            <w:pPr>
              <w:pStyle w:val="TableParagraph"/>
              <w:spacing w:line="116" w:lineRule="exact"/>
              <w:ind w:right="155"/>
              <w:jc w:val="right"/>
              <w:rPr>
                <w:sz w:val="13"/>
              </w:rPr>
            </w:pPr>
            <w:r>
              <w:rPr>
                <w:spacing w:val="-5"/>
                <w:w w:val="105"/>
                <w:sz w:val="13"/>
              </w:rPr>
              <w:t>131</w:t>
            </w:r>
          </w:p>
        </w:tc>
        <w:tc>
          <w:tcPr>
            <w:tcW w:w="781" w:type="dxa"/>
            <w:tcBorders>
              <w:top w:val="single" w:sz="6" w:space="0" w:color="000000"/>
            </w:tcBorders>
          </w:tcPr>
          <w:p>
            <w:pPr>
              <w:pStyle w:val="TableParagraph"/>
              <w:spacing w:line="116" w:lineRule="exact"/>
              <w:ind w:right="154"/>
              <w:jc w:val="right"/>
              <w:rPr>
                <w:sz w:val="13"/>
              </w:rPr>
            </w:pPr>
            <w:r>
              <w:rPr>
                <w:spacing w:val="-2"/>
                <w:w w:val="105"/>
                <w:sz w:val="13"/>
              </w:rPr>
              <w:t>1,303</w:t>
            </w:r>
          </w:p>
        </w:tc>
        <w:tc>
          <w:tcPr>
            <w:tcW w:w="781" w:type="dxa"/>
            <w:tcBorders>
              <w:top w:val="single" w:sz="6" w:space="0" w:color="000000"/>
            </w:tcBorders>
          </w:tcPr>
          <w:p>
            <w:pPr>
              <w:pStyle w:val="TableParagraph"/>
              <w:spacing w:line="116" w:lineRule="exact"/>
              <w:ind w:left="286"/>
              <w:rPr>
                <w:sz w:val="13"/>
              </w:rPr>
            </w:pPr>
            <w:r>
              <w:rPr>
                <w:spacing w:val="-2"/>
                <w:w w:val="105"/>
                <w:sz w:val="13"/>
              </w:rPr>
              <w:t>1,454</w:t>
            </w:r>
          </w:p>
        </w:tc>
        <w:tc>
          <w:tcPr>
            <w:tcW w:w="590" w:type="dxa"/>
            <w:tcBorders>
              <w:top w:val="single" w:sz="6" w:space="0" w:color="000000"/>
            </w:tcBorders>
          </w:tcPr>
          <w:p>
            <w:pPr>
              <w:pStyle w:val="TableParagraph"/>
              <w:rPr>
                <w:rFonts w:ascii="Times New Roman"/>
                <w:sz w:val="12"/>
              </w:rPr>
            </w:pPr>
          </w:p>
        </w:tc>
        <w:tc>
          <w:tcPr>
            <w:tcW w:w="189" w:type="dxa"/>
            <w:tcBorders>
              <w:top w:val="single" w:sz="6" w:space="0" w:color="000000"/>
            </w:tcBorders>
          </w:tcPr>
          <w:p>
            <w:pPr>
              <w:pStyle w:val="TableParagraph"/>
              <w:spacing w:line="116" w:lineRule="exact"/>
              <w:rPr>
                <w:sz w:val="13"/>
              </w:rPr>
            </w:pPr>
            <w:r>
              <w:rPr>
                <w:spacing w:val="-10"/>
                <w:w w:val="105"/>
                <w:sz w:val="13"/>
              </w:rPr>
              <w:t>-</w:t>
            </w:r>
          </w:p>
        </w:tc>
        <w:tc>
          <w:tcPr>
            <w:tcW w:w="516" w:type="dxa"/>
            <w:tcBorders>
              <w:top w:val="single" w:sz="6" w:space="0" w:color="000000"/>
            </w:tcBorders>
          </w:tcPr>
          <w:p>
            <w:pPr>
              <w:pStyle w:val="TableParagraph"/>
              <w:rPr>
                <w:rFonts w:ascii="Times New Roman"/>
                <w:sz w:val="12"/>
              </w:rPr>
            </w:pPr>
          </w:p>
        </w:tc>
        <w:tc>
          <w:tcPr>
            <w:tcW w:w="162" w:type="dxa"/>
            <w:tcBorders>
              <w:top w:val="single" w:sz="6" w:space="0" w:color="000000"/>
            </w:tcBorders>
          </w:tcPr>
          <w:p>
            <w:pPr>
              <w:pStyle w:val="TableParagraph"/>
              <w:spacing w:line="116" w:lineRule="exact"/>
              <w:ind w:left="38" w:right="1"/>
              <w:jc w:val="center"/>
              <w:rPr>
                <w:sz w:val="13"/>
              </w:rPr>
            </w:pPr>
            <w:r>
              <w:rPr>
                <w:spacing w:val="-10"/>
                <w:w w:val="105"/>
                <w:sz w:val="13"/>
              </w:rPr>
              <w:t>-</w:t>
            </w:r>
          </w:p>
        </w:tc>
      </w:tr>
      <w:tr>
        <w:trPr>
          <w:trHeight w:val="240" w:hRule="atLeast"/>
        </w:trPr>
        <w:tc>
          <w:tcPr>
            <w:tcW w:w="4023" w:type="dxa"/>
            <w:gridSpan w:val="2"/>
          </w:tcPr>
          <w:p>
            <w:pPr>
              <w:pStyle w:val="TableParagraph"/>
              <w:spacing w:before="56"/>
              <w:ind w:left="555"/>
              <w:rPr>
                <w:sz w:val="13"/>
              </w:rPr>
            </w:pPr>
            <w:r>
              <w:rPr>
                <w:sz w:val="13"/>
              </w:rPr>
              <w:t>Surplus/(deficit)</w:t>
            </w:r>
            <w:r>
              <w:rPr>
                <w:spacing w:val="10"/>
                <w:sz w:val="13"/>
              </w:rPr>
              <w:t> </w:t>
            </w:r>
            <w:r>
              <w:rPr>
                <w:sz w:val="13"/>
              </w:rPr>
              <w:t>from</w:t>
            </w:r>
            <w:r>
              <w:rPr>
                <w:spacing w:val="17"/>
                <w:sz w:val="13"/>
              </w:rPr>
              <w:t> </w:t>
            </w:r>
            <w:r>
              <w:rPr>
                <w:sz w:val="13"/>
              </w:rPr>
              <w:t>the</w:t>
            </w:r>
            <w:r>
              <w:rPr>
                <w:spacing w:val="13"/>
                <w:sz w:val="13"/>
              </w:rPr>
              <w:t> </w:t>
            </w:r>
            <w:r>
              <w:rPr>
                <w:sz w:val="13"/>
              </w:rPr>
              <w:t>previous</w:t>
            </w:r>
            <w:r>
              <w:rPr>
                <w:spacing w:val="14"/>
                <w:sz w:val="13"/>
              </w:rPr>
              <w:t> </w:t>
            </w:r>
            <w:r>
              <w:rPr>
                <w:spacing w:val="-4"/>
                <w:sz w:val="13"/>
              </w:rPr>
              <w:t>year</w:t>
            </w:r>
          </w:p>
        </w:tc>
        <w:tc>
          <w:tcPr>
            <w:tcW w:w="914" w:type="dxa"/>
            <w:tcBorders>
              <w:bottom w:val="single" w:sz="6" w:space="0" w:color="000000"/>
            </w:tcBorders>
          </w:tcPr>
          <w:p>
            <w:pPr>
              <w:pStyle w:val="TableParagraph"/>
              <w:spacing w:before="60"/>
              <w:ind w:right="189"/>
              <w:jc w:val="right"/>
              <w:rPr>
                <w:sz w:val="13"/>
              </w:rPr>
            </w:pPr>
            <w:r>
              <w:rPr>
                <w:spacing w:val="-10"/>
                <w:w w:val="105"/>
                <w:sz w:val="13"/>
              </w:rPr>
              <w:t>-</w:t>
            </w:r>
          </w:p>
        </w:tc>
        <w:tc>
          <w:tcPr>
            <w:tcW w:w="865" w:type="dxa"/>
            <w:tcBorders>
              <w:bottom w:val="single" w:sz="6" w:space="0" w:color="000000"/>
            </w:tcBorders>
          </w:tcPr>
          <w:p>
            <w:pPr>
              <w:pStyle w:val="TableParagraph"/>
              <w:spacing w:before="60"/>
              <w:ind w:right="159"/>
              <w:jc w:val="right"/>
              <w:rPr>
                <w:sz w:val="13"/>
              </w:rPr>
            </w:pPr>
            <w:r>
              <w:rPr>
                <w:spacing w:val="-10"/>
                <w:w w:val="105"/>
                <w:sz w:val="13"/>
              </w:rPr>
              <w:t>-</w:t>
            </w:r>
          </w:p>
        </w:tc>
        <w:tc>
          <w:tcPr>
            <w:tcW w:w="781" w:type="dxa"/>
            <w:tcBorders>
              <w:bottom w:val="single" w:sz="6" w:space="0" w:color="000000"/>
            </w:tcBorders>
          </w:tcPr>
          <w:p>
            <w:pPr>
              <w:pStyle w:val="TableParagraph"/>
              <w:spacing w:before="56"/>
              <w:ind w:right="166"/>
              <w:jc w:val="right"/>
              <w:rPr>
                <w:sz w:val="13"/>
              </w:rPr>
            </w:pPr>
            <w:r>
              <w:rPr>
                <w:spacing w:val="-5"/>
                <w:w w:val="105"/>
                <w:sz w:val="13"/>
              </w:rPr>
              <w:t>295</w:t>
            </w:r>
          </w:p>
        </w:tc>
        <w:tc>
          <w:tcPr>
            <w:tcW w:w="782" w:type="dxa"/>
            <w:tcBorders>
              <w:bottom w:val="single" w:sz="6" w:space="0" w:color="000000"/>
            </w:tcBorders>
          </w:tcPr>
          <w:p>
            <w:pPr>
              <w:pStyle w:val="TableParagraph"/>
              <w:spacing w:before="56"/>
              <w:ind w:right="166"/>
              <w:jc w:val="right"/>
              <w:rPr>
                <w:sz w:val="13"/>
              </w:rPr>
            </w:pPr>
            <w:r>
              <w:rPr>
                <w:spacing w:val="-5"/>
                <w:w w:val="105"/>
                <w:sz w:val="13"/>
              </w:rPr>
              <w:t>137</w:t>
            </w:r>
          </w:p>
        </w:tc>
        <w:tc>
          <w:tcPr>
            <w:tcW w:w="779" w:type="dxa"/>
            <w:gridSpan w:val="2"/>
            <w:tcBorders>
              <w:bottom w:val="single" w:sz="6" w:space="0" w:color="000000"/>
            </w:tcBorders>
          </w:tcPr>
          <w:p>
            <w:pPr>
              <w:pStyle w:val="TableParagraph"/>
              <w:spacing w:before="56"/>
              <w:ind w:left="462"/>
              <w:rPr>
                <w:sz w:val="13"/>
              </w:rPr>
            </w:pPr>
            <w:r>
              <w:rPr>
                <w:spacing w:val="-5"/>
                <w:w w:val="105"/>
                <w:sz w:val="13"/>
              </w:rPr>
              <w:t>97</w:t>
            </w:r>
          </w:p>
        </w:tc>
        <w:tc>
          <w:tcPr>
            <w:tcW w:w="778" w:type="dxa"/>
            <w:gridSpan w:val="2"/>
            <w:tcBorders>
              <w:bottom w:val="single" w:sz="6" w:space="0" w:color="000000"/>
            </w:tcBorders>
          </w:tcPr>
          <w:p>
            <w:pPr>
              <w:pStyle w:val="TableParagraph"/>
              <w:spacing w:before="56"/>
              <w:ind w:left="390"/>
              <w:rPr>
                <w:sz w:val="13"/>
              </w:rPr>
            </w:pPr>
            <w:r>
              <w:rPr>
                <w:spacing w:val="-5"/>
                <w:w w:val="105"/>
                <w:sz w:val="13"/>
              </w:rPr>
              <w:t>227</w:t>
            </w:r>
          </w:p>
        </w:tc>
        <w:tc>
          <w:tcPr>
            <w:tcW w:w="781" w:type="dxa"/>
            <w:tcBorders>
              <w:bottom w:val="single" w:sz="6" w:space="0" w:color="000000"/>
            </w:tcBorders>
          </w:tcPr>
          <w:p>
            <w:pPr>
              <w:pStyle w:val="TableParagraph"/>
              <w:spacing w:before="60"/>
              <w:ind w:right="149"/>
              <w:jc w:val="right"/>
              <w:rPr>
                <w:sz w:val="13"/>
              </w:rPr>
            </w:pPr>
            <w:r>
              <w:rPr>
                <w:spacing w:val="-10"/>
                <w:w w:val="105"/>
                <w:sz w:val="13"/>
              </w:rPr>
              <w:t>-</w:t>
            </w:r>
          </w:p>
        </w:tc>
        <w:tc>
          <w:tcPr>
            <w:tcW w:w="781" w:type="dxa"/>
            <w:tcBorders>
              <w:bottom w:val="single" w:sz="6" w:space="0" w:color="000000"/>
            </w:tcBorders>
          </w:tcPr>
          <w:p>
            <w:pPr>
              <w:pStyle w:val="TableParagraph"/>
              <w:spacing w:before="60"/>
              <w:ind w:right="147"/>
              <w:jc w:val="right"/>
              <w:rPr>
                <w:sz w:val="13"/>
              </w:rPr>
            </w:pPr>
            <w:r>
              <w:rPr>
                <w:spacing w:val="-10"/>
                <w:w w:val="105"/>
                <w:sz w:val="13"/>
              </w:rPr>
              <w:t>-</w:t>
            </w:r>
          </w:p>
        </w:tc>
        <w:tc>
          <w:tcPr>
            <w:tcW w:w="781" w:type="dxa"/>
            <w:tcBorders>
              <w:bottom w:val="single" w:sz="6" w:space="0" w:color="000000"/>
            </w:tcBorders>
          </w:tcPr>
          <w:p>
            <w:pPr>
              <w:pStyle w:val="TableParagraph"/>
              <w:spacing w:before="56"/>
              <w:ind w:right="154"/>
              <w:jc w:val="right"/>
              <w:rPr>
                <w:sz w:val="13"/>
              </w:rPr>
            </w:pPr>
            <w:r>
              <w:rPr>
                <w:spacing w:val="-5"/>
                <w:w w:val="105"/>
                <w:sz w:val="13"/>
              </w:rPr>
              <w:t>142</w:t>
            </w:r>
          </w:p>
        </w:tc>
        <w:tc>
          <w:tcPr>
            <w:tcW w:w="781" w:type="dxa"/>
            <w:tcBorders>
              <w:bottom w:val="single" w:sz="6" w:space="0" w:color="000000"/>
            </w:tcBorders>
          </w:tcPr>
          <w:p>
            <w:pPr>
              <w:pStyle w:val="TableParagraph"/>
              <w:spacing w:before="56"/>
              <w:ind w:left="474"/>
              <w:rPr>
                <w:sz w:val="13"/>
              </w:rPr>
            </w:pPr>
            <w:r>
              <w:rPr>
                <w:spacing w:val="-5"/>
                <w:w w:val="105"/>
                <w:sz w:val="13"/>
              </w:rPr>
              <w:t>74</w:t>
            </w:r>
          </w:p>
        </w:tc>
        <w:tc>
          <w:tcPr>
            <w:tcW w:w="590" w:type="dxa"/>
            <w:tcBorders>
              <w:bottom w:val="single" w:sz="6" w:space="0" w:color="000000"/>
            </w:tcBorders>
          </w:tcPr>
          <w:p>
            <w:pPr>
              <w:pStyle w:val="TableParagraph"/>
              <w:spacing w:before="56"/>
              <w:ind w:right="-44"/>
              <w:jc w:val="right"/>
              <w:rPr>
                <w:sz w:val="13"/>
              </w:rPr>
            </w:pPr>
            <w:r>
              <w:rPr>
                <w:spacing w:val="-5"/>
                <w:w w:val="105"/>
                <w:sz w:val="13"/>
              </w:rPr>
              <w:t>145</w:t>
            </w:r>
          </w:p>
        </w:tc>
        <w:tc>
          <w:tcPr>
            <w:tcW w:w="867" w:type="dxa"/>
            <w:gridSpan w:val="3"/>
            <w:tcBorders>
              <w:bottom w:val="single" w:sz="6" w:space="0" w:color="000000"/>
            </w:tcBorders>
          </w:tcPr>
          <w:p>
            <w:pPr>
              <w:pStyle w:val="TableParagraph"/>
              <w:spacing w:before="56"/>
              <w:ind w:right="45"/>
              <w:jc w:val="right"/>
              <w:rPr>
                <w:sz w:val="13"/>
              </w:rPr>
            </w:pPr>
            <w:r>
              <w:rPr>
                <w:spacing w:val="-5"/>
                <w:w w:val="105"/>
                <w:sz w:val="13"/>
              </w:rPr>
              <w:t>148</w:t>
            </w:r>
          </w:p>
        </w:tc>
      </w:tr>
      <w:tr>
        <w:trPr>
          <w:trHeight w:val="156" w:hRule="atLeast"/>
        </w:trPr>
        <w:tc>
          <w:tcPr>
            <w:tcW w:w="4023" w:type="dxa"/>
            <w:gridSpan w:val="2"/>
          </w:tcPr>
          <w:p>
            <w:pPr>
              <w:pStyle w:val="TableParagraph"/>
              <w:spacing w:line="116" w:lineRule="exact"/>
              <w:ind w:left="555"/>
              <w:rPr>
                <w:sz w:val="13"/>
              </w:rPr>
            </w:pPr>
            <w:r>
              <w:rPr>
                <w:sz w:val="13"/>
              </w:rPr>
              <w:t>Total</w:t>
            </w:r>
            <w:r>
              <w:rPr>
                <w:spacing w:val="10"/>
                <w:sz w:val="13"/>
              </w:rPr>
              <w:t> </w:t>
            </w:r>
            <w:r>
              <w:rPr>
                <w:sz w:val="13"/>
              </w:rPr>
              <w:t>revenue</w:t>
            </w:r>
            <w:r>
              <w:rPr>
                <w:spacing w:val="15"/>
                <w:sz w:val="13"/>
              </w:rPr>
              <w:t> </w:t>
            </w:r>
            <w:r>
              <w:rPr>
                <w:sz w:val="13"/>
              </w:rPr>
              <w:t>including</w:t>
            </w:r>
            <w:r>
              <w:rPr>
                <w:spacing w:val="16"/>
                <w:sz w:val="13"/>
              </w:rPr>
              <w:t> </w:t>
            </w:r>
            <w:r>
              <w:rPr>
                <w:sz w:val="13"/>
              </w:rPr>
              <w:t>accrued</w:t>
            </w:r>
            <w:r>
              <w:rPr>
                <w:spacing w:val="16"/>
                <w:sz w:val="13"/>
              </w:rPr>
              <w:t> </w:t>
            </w:r>
            <w:r>
              <w:rPr>
                <w:spacing w:val="-2"/>
                <w:sz w:val="13"/>
              </w:rPr>
              <w:t>revenue</w:t>
            </w:r>
          </w:p>
        </w:tc>
        <w:tc>
          <w:tcPr>
            <w:tcW w:w="914" w:type="dxa"/>
            <w:tcBorders>
              <w:top w:val="single" w:sz="6" w:space="0" w:color="000000"/>
            </w:tcBorders>
          </w:tcPr>
          <w:p>
            <w:pPr>
              <w:pStyle w:val="TableParagraph"/>
              <w:spacing w:line="116" w:lineRule="exact"/>
              <w:ind w:right="196"/>
              <w:jc w:val="right"/>
              <w:rPr>
                <w:sz w:val="13"/>
              </w:rPr>
            </w:pPr>
            <w:r>
              <w:rPr>
                <w:spacing w:val="-2"/>
                <w:w w:val="105"/>
                <w:sz w:val="13"/>
              </w:rPr>
              <w:t>155,191</w:t>
            </w:r>
          </w:p>
        </w:tc>
        <w:tc>
          <w:tcPr>
            <w:tcW w:w="865" w:type="dxa"/>
            <w:tcBorders>
              <w:top w:val="single" w:sz="6" w:space="0" w:color="000000"/>
            </w:tcBorders>
          </w:tcPr>
          <w:p>
            <w:pPr>
              <w:pStyle w:val="TableParagraph"/>
              <w:spacing w:line="116" w:lineRule="exact"/>
              <w:ind w:left="205"/>
              <w:rPr>
                <w:sz w:val="13"/>
              </w:rPr>
            </w:pPr>
            <w:r>
              <w:rPr>
                <w:spacing w:val="-2"/>
                <w:w w:val="105"/>
                <w:sz w:val="13"/>
              </w:rPr>
              <w:t>146,520</w:t>
            </w:r>
          </w:p>
        </w:tc>
        <w:tc>
          <w:tcPr>
            <w:tcW w:w="781" w:type="dxa"/>
            <w:tcBorders>
              <w:top w:val="single" w:sz="6" w:space="0" w:color="000000"/>
            </w:tcBorders>
          </w:tcPr>
          <w:p>
            <w:pPr>
              <w:pStyle w:val="TableParagraph"/>
              <w:spacing w:line="116" w:lineRule="exact"/>
              <w:ind w:right="166"/>
              <w:jc w:val="right"/>
              <w:rPr>
                <w:sz w:val="13"/>
              </w:rPr>
            </w:pPr>
            <w:r>
              <w:rPr>
                <w:spacing w:val="-2"/>
                <w:w w:val="105"/>
                <w:sz w:val="13"/>
              </w:rPr>
              <w:t>1,430</w:t>
            </w:r>
          </w:p>
        </w:tc>
        <w:tc>
          <w:tcPr>
            <w:tcW w:w="782" w:type="dxa"/>
            <w:tcBorders>
              <w:top w:val="single" w:sz="6" w:space="0" w:color="000000"/>
            </w:tcBorders>
          </w:tcPr>
          <w:p>
            <w:pPr>
              <w:pStyle w:val="TableParagraph"/>
              <w:spacing w:line="116" w:lineRule="exact"/>
              <w:ind w:right="166"/>
              <w:jc w:val="right"/>
              <w:rPr>
                <w:sz w:val="13"/>
              </w:rPr>
            </w:pPr>
            <w:r>
              <w:rPr>
                <w:spacing w:val="-2"/>
                <w:w w:val="105"/>
                <w:sz w:val="13"/>
              </w:rPr>
              <w:t>1,299</w:t>
            </w:r>
          </w:p>
        </w:tc>
        <w:tc>
          <w:tcPr>
            <w:tcW w:w="779" w:type="dxa"/>
            <w:gridSpan w:val="2"/>
            <w:tcBorders>
              <w:top w:val="single" w:sz="6" w:space="0" w:color="000000"/>
            </w:tcBorders>
          </w:tcPr>
          <w:p>
            <w:pPr>
              <w:pStyle w:val="TableParagraph"/>
              <w:spacing w:line="116" w:lineRule="exact"/>
              <w:ind w:left="462"/>
              <w:rPr>
                <w:sz w:val="13"/>
              </w:rPr>
            </w:pPr>
            <w:r>
              <w:rPr>
                <w:spacing w:val="-5"/>
                <w:w w:val="105"/>
                <w:sz w:val="13"/>
              </w:rPr>
              <w:t>97</w:t>
            </w:r>
          </w:p>
        </w:tc>
        <w:tc>
          <w:tcPr>
            <w:tcW w:w="778" w:type="dxa"/>
            <w:gridSpan w:val="2"/>
            <w:tcBorders>
              <w:top w:val="single" w:sz="6" w:space="0" w:color="000000"/>
            </w:tcBorders>
          </w:tcPr>
          <w:p>
            <w:pPr>
              <w:pStyle w:val="TableParagraph"/>
              <w:spacing w:line="116" w:lineRule="exact"/>
              <w:ind w:left="390"/>
              <w:rPr>
                <w:sz w:val="13"/>
              </w:rPr>
            </w:pPr>
            <w:r>
              <w:rPr>
                <w:spacing w:val="-5"/>
                <w:w w:val="105"/>
                <w:sz w:val="13"/>
              </w:rPr>
              <w:t>227</w:t>
            </w:r>
          </w:p>
        </w:tc>
        <w:tc>
          <w:tcPr>
            <w:tcW w:w="781" w:type="dxa"/>
            <w:tcBorders>
              <w:top w:val="single" w:sz="6" w:space="0" w:color="000000"/>
            </w:tcBorders>
          </w:tcPr>
          <w:p>
            <w:pPr>
              <w:pStyle w:val="TableParagraph"/>
              <w:spacing w:line="116" w:lineRule="exact"/>
              <w:ind w:right="157"/>
              <w:jc w:val="right"/>
              <w:rPr>
                <w:sz w:val="13"/>
              </w:rPr>
            </w:pPr>
            <w:r>
              <w:rPr>
                <w:spacing w:val="-5"/>
                <w:w w:val="105"/>
                <w:sz w:val="13"/>
              </w:rPr>
              <w:t>118</w:t>
            </w:r>
          </w:p>
        </w:tc>
        <w:tc>
          <w:tcPr>
            <w:tcW w:w="781" w:type="dxa"/>
            <w:tcBorders>
              <w:top w:val="single" w:sz="6" w:space="0" w:color="000000"/>
            </w:tcBorders>
          </w:tcPr>
          <w:p>
            <w:pPr>
              <w:pStyle w:val="TableParagraph"/>
              <w:spacing w:line="116" w:lineRule="exact"/>
              <w:ind w:right="156"/>
              <w:jc w:val="right"/>
              <w:rPr>
                <w:sz w:val="13"/>
              </w:rPr>
            </w:pPr>
            <w:r>
              <w:rPr>
                <w:spacing w:val="-5"/>
                <w:w w:val="105"/>
                <w:sz w:val="13"/>
              </w:rPr>
              <w:t>131</w:t>
            </w:r>
          </w:p>
        </w:tc>
        <w:tc>
          <w:tcPr>
            <w:tcW w:w="781" w:type="dxa"/>
            <w:tcBorders>
              <w:top w:val="single" w:sz="6" w:space="0" w:color="000000"/>
            </w:tcBorders>
          </w:tcPr>
          <w:p>
            <w:pPr>
              <w:pStyle w:val="TableParagraph"/>
              <w:spacing w:line="116" w:lineRule="exact"/>
              <w:ind w:right="154"/>
              <w:jc w:val="right"/>
              <w:rPr>
                <w:sz w:val="13"/>
              </w:rPr>
            </w:pPr>
            <w:r>
              <w:rPr>
                <w:spacing w:val="-2"/>
                <w:w w:val="105"/>
                <w:sz w:val="13"/>
              </w:rPr>
              <w:t>1,445</w:t>
            </w:r>
          </w:p>
        </w:tc>
        <w:tc>
          <w:tcPr>
            <w:tcW w:w="781" w:type="dxa"/>
            <w:tcBorders>
              <w:top w:val="single" w:sz="6" w:space="0" w:color="000000"/>
            </w:tcBorders>
          </w:tcPr>
          <w:p>
            <w:pPr>
              <w:pStyle w:val="TableParagraph"/>
              <w:spacing w:line="116" w:lineRule="exact"/>
              <w:ind w:left="286"/>
              <w:rPr>
                <w:sz w:val="13"/>
              </w:rPr>
            </w:pPr>
            <w:r>
              <w:rPr>
                <w:spacing w:val="-2"/>
                <w:w w:val="105"/>
                <w:sz w:val="13"/>
              </w:rPr>
              <w:t>1,528</w:t>
            </w:r>
          </w:p>
        </w:tc>
        <w:tc>
          <w:tcPr>
            <w:tcW w:w="590" w:type="dxa"/>
            <w:tcBorders>
              <w:top w:val="single" w:sz="6" w:space="0" w:color="000000"/>
            </w:tcBorders>
          </w:tcPr>
          <w:p>
            <w:pPr>
              <w:pStyle w:val="TableParagraph"/>
              <w:spacing w:line="116" w:lineRule="exact"/>
              <w:ind w:right="-44"/>
              <w:jc w:val="right"/>
              <w:rPr>
                <w:sz w:val="13"/>
              </w:rPr>
            </w:pPr>
            <w:r>
              <w:rPr>
                <w:spacing w:val="-5"/>
                <w:w w:val="105"/>
                <w:sz w:val="13"/>
              </w:rPr>
              <w:t>145</w:t>
            </w:r>
          </w:p>
        </w:tc>
        <w:tc>
          <w:tcPr>
            <w:tcW w:w="867" w:type="dxa"/>
            <w:gridSpan w:val="3"/>
            <w:tcBorders>
              <w:top w:val="single" w:sz="6" w:space="0" w:color="000000"/>
            </w:tcBorders>
          </w:tcPr>
          <w:p>
            <w:pPr>
              <w:pStyle w:val="TableParagraph"/>
              <w:spacing w:line="116" w:lineRule="exact"/>
              <w:ind w:right="45"/>
              <w:jc w:val="right"/>
              <w:rPr>
                <w:sz w:val="13"/>
              </w:rPr>
            </w:pPr>
            <w:r>
              <w:rPr>
                <w:spacing w:val="-5"/>
                <w:w w:val="105"/>
                <w:sz w:val="13"/>
              </w:rPr>
              <w:t>148</w:t>
            </w:r>
          </w:p>
        </w:tc>
      </w:tr>
      <w:tr>
        <w:trPr>
          <w:trHeight w:val="159" w:hRule="atLeast"/>
        </w:trPr>
        <w:tc>
          <w:tcPr>
            <w:tcW w:w="4023" w:type="dxa"/>
            <w:gridSpan w:val="2"/>
          </w:tcPr>
          <w:p>
            <w:pPr>
              <w:pStyle w:val="TableParagraph"/>
              <w:spacing w:line="125" w:lineRule="exact"/>
              <w:ind w:left="555"/>
              <w:rPr>
                <w:sz w:val="13"/>
              </w:rPr>
            </w:pPr>
            <w:r>
              <w:rPr>
                <w:sz w:val="13"/>
              </w:rPr>
              <w:t>Less</w:t>
            </w:r>
            <w:r>
              <w:rPr>
                <w:spacing w:val="16"/>
                <w:sz w:val="13"/>
              </w:rPr>
              <w:t> </w:t>
            </w:r>
            <w:r>
              <w:rPr>
                <w:sz w:val="13"/>
              </w:rPr>
              <w:t>expenses</w:t>
            </w:r>
            <w:r>
              <w:rPr>
                <w:spacing w:val="16"/>
                <w:sz w:val="13"/>
              </w:rPr>
              <w:t> </w:t>
            </w:r>
            <w:r>
              <w:rPr>
                <w:sz w:val="13"/>
              </w:rPr>
              <w:t>including</w:t>
            </w:r>
            <w:r>
              <w:rPr>
                <w:spacing w:val="16"/>
                <w:sz w:val="13"/>
              </w:rPr>
              <w:t> </w:t>
            </w:r>
            <w:r>
              <w:rPr>
                <w:sz w:val="13"/>
              </w:rPr>
              <w:t>accrued</w:t>
            </w:r>
            <w:r>
              <w:rPr>
                <w:spacing w:val="17"/>
                <w:sz w:val="13"/>
              </w:rPr>
              <w:t> </w:t>
            </w:r>
            <w:r>
              <w:rPr>
                <w:spacing w:val="-2"/>
                <w:sz w:val="13"/>
              </w:rPr>
              <w:t>expenses</w:t>
            </w:r>
          </w:p>
        </w:tc>
        <w:tc>
          <w:tcPr>
            <w:tcW w:w="914" w:type="dxa"/>
            <w:tcBorders>
              <w:bottom w:val="single" w:sz="6" w:space="0" w:color="000000"/>
            </w:tcBorders>
          </w:tcPr>
          <w:p>
            <w:pPr>
              <w:pStyle w:val="TableParagraph"/>
              <w:spacing w:line="125" w:lineRule="exact"/>
              <w:ind w:right="151"/>
              <w:jc w:val="right"/>
              <w:rPr>
                <w:sz w:val="13"/>
              </w:rPr>
            </w:pPr>
            <w:r>
              <w:rPr>
                <w:spacing w:val="-2"/>
                <w:w w:val="105"/>
                <w:sz w:val="13"/>
              </w:rPr>
              <w:t>(155,191)</w:t>
            </w:r>
          </w:p>
        </w:tc>
        <w:tc>
          <w:tcPr>
            <w:tcW w:w="865" w:type="dxa"/>
            <w:tcBorders>
              <w:bottom w:val="single" w:sz="6" w:space="0" w:color="000000"/>
            </w:tcBorders>
          </w:tcPr>
          <w:p>
            <w:pPr>
              <w:pStyle w:val="TableParagraph"/>
              <w:spacing w:line="125" w:lineRule="exact"/>
              <w:ind w:left="161"/>
              <w:rPr>
                <w:sz w:val="13"/>
              </w:rPr>
            </w:pPr>
            <w:r>
              <w:rPr>
                <w:spacing w:val="-2"/>
                <w:w w:val="105"/>
                <w:sz w:val="13"/>
              </w:rPr>
              <w:t>(146,520)</w:t>
            </w:r>
          </w:p>
        </w:tc>
        <w:tc>
          <w:tcPr>
            <w:tcW w:w="781" w:type="dxa"/>
            <w:tcBorders>
              <w:bottom w:val="single" w:sz="6" w:space="0" w:color="000000"/>
            </w:tcBorders>
          </w:tcPr>
          <w:p>
            <w:pPr>
              <w:pStyle w:val="TableParagraph"/>
              <w:spacing w:line="125" w:lineRule="exact"/>
              <w:ind w:right="120"/>
              <w:jc w:val="right"/>
              <w:rPr>
                <w:sz w:val="13"/>
              </w:rPr>
            </w:pPr>
            <w:r>
              <w:rPr>
                <w:spacing w:val="-2"/>
                <w:w w:val="105"/>
                <w:sz w:val="13"/>
              </w:rPr>
              <w:t>(1,063)</w:t>
            </w:r>
          </w:p>
        </w:tc>
        <w:tc>
          <w:tcPr>
            <w:tcW w:w="782" w:type="dxa"/>
            <w:tcBorders>
              <w:bottom w:val="single" w:sz="6" w:space="0" w:color="000000"/>
            </w:tcBorders>
          </w:tcPr>
          <w:p>
            <w:pPr>
              <w:pStyle w:val="TableParagraph"/>
              <w:spacing w:line="125" w:lineRule="exact"/>
              <w:ind w:right="120"/>
              <w:jc w:val="right"/>
              <w:rPr>
                <w:sz w:val="13"/>
              </w:rPr>
            </w:pPr>
            <w:r>
              <w:rPr>
                <w:spacing w:val="-2"/>
                <w:w w:val="105"/>
                <w:sz w:val="13"/>
              </w:rPr>
              <w:t>(1,004)</w:t>
            </w:r>
          </w:p>
        </w:tc>
        <w:tc>
          <w:tcPr>
            <w:tcW w:w="779" w:type="dxa"/>
            <w:gridSpan w:val="2"/>
            <w:tcBorders>
              <w:bottom w:val="single" w:sz="6" w:space="0" w:color="000000"/>
            </w:tcBorders>
          </w:tcPr>
          <w:p>
            <w:pPr>
              <w:pStyle w:val="TableParagraph"/>
              <w:spacing w:line="125" w:lineRule="exact"/>
              <w:ind w:left="419"/>
              <w:rPr>
                <w:sz w:val="13"/>
              </w:rPr>
            </w:pPr>
            <w:r>
              <w:rPr>
                <w:spacing w:val="-4"/>
                <w:w w:val="105"/>
                <w:sz w:val="13"/>
              </w:rPr>
              <w:t>(18)</w:t>
            </w:r>
          </w:p>
        </w:tc>
        <w:tc>
          <w:tcPr>
            <w:tcW w:w="778" w:type="dxa"/>
            <w:gridSpan w:val="2"/>
            <w:tcBorders>
              <w:bottom w:val="single" w:sz="6" w:space="0" w:color="000000"/>
            </w:tcBorders>
          </w:tcPr>
          <w:p>
            <w:pPr>
              <w:pStyle w:val="TableParagraph"/>
              <w:spacing w:line="125" w:lineRule="exact"/>
              <w:ind w:left="346"/>
              <w:rPr>
                <w:sz w:val="13"/>
              </w:rPr>
            </w:pPr>
            <w:r>
              <w:rPr>
                <w:spacing w:val="-2"/>
                <w:w w:val="105"/>
                <w:sz w:val="13"/>
              </w:rPr>
              <w:t>(130)</w:t>
            </w:r>
          </w:p>
        </w:tc>
        <w:tc>
          <w:tcPr>
            <w:tcW w:w="781" w:type="dxa"/>
            <w:tcBorders>
              <w:bottom w:val="single" w:sz="6" w:space="0" w:color="000000"/>
            </w:tcBorders>
          </w:tcPr>
          <w:p>
            <w:pPr>
              <w:pStyle w:val="TableParagraph"/>
              <w:spacing w:line="125" w:lineRule="exact"/>
              <w:ind w:right="111"/>
              <w:jc w:val="right"/>
              <w:rPr>
                <w:sz w:val="13"/>
              </w:rPr>
            </w:pPr>
            <w:r>
              <w:rPr>
                <w:spacing w:val="-2"/>
                <w:w w:val="105"/>
                <w:sz w:val="13"/>
              </w:rPr>
              <w:t>(118)</w:t>
            </w:r>
          </w:p>
        </w:tc>
        <w:tc>
          <w:tcPr>
            <w:tcW w:w="781" w:type="dxa"/>
            <w:tcBorders>
              <w:bottom w:val="single" w:sz="6" w:space="0" w:color="000000"/>
            </w:tcBorders>
          </w:tcPr>
          <w:p>
            <w:pPr>
              <w:pStyle w:val="TableParagraph"/>
              <w:spacing w:line="125" w:lineRule="exact"/>
              <w:ind w:right="110"/>
              <w:jc w:val="right"/>
              <w:rPr>
                <w:sz w:val="13"/>
              </w:rPr>
            </w:pPr>
            <w:r>
              <w:rPr>
                <w:spacing w:val="-2"/>
                <w:w w:val="105"/>
                <w:sz w:val="13"/>
              </w:rPr>
              <w:t>(131)</w:t>
            </w:r>
          </w:p>
        </w:tc>
        <w:tc>
          <w:tcPr>
            <w:tcW w:w="781" w:type="dxa"/>
            <w:tcBorders>
              <w:bottom w:val="single" w:sz="6" w:space="0" w:color="000000"/>
            </w:tcBorders>
          </w:tcPr>
          <w:p>
            <w:pPr>
              <w:pStyle w:val="TableParagraph"/>
              <w:spacing w:line="125" w:lineRule="exact"/>
              <w:ind w:right="108"/>
              <w:jc w:val="right"/>
              <w:rPr>
                <w:sz w:val="13"/>
              </w:rPr>
            </w:pPr>
            <w:r>
              <w:rPr>
                <w:spacing w:val="-2"/>
                <w:w w:val="105"/>
                <w:sz w:val="13"/>
              </w:rPr>
              <w:t>(1,292)</w:t>
            </w:r>
          </w:p>
        </w:tc>
        <w:tc>
          <w:tcPr>
            <w:tcW w:w="781" w:type="dxa"/>
            <w:tcBorders>
              <w:bottom w:val="single" w:sz="6" w:space="0" w:color="000000"/>
            </w:tcBorders>
          </w:tcPr>
          <w:p>
            <w:pPr>
              <w:pStyle w:val="TableParagraph"/>
              <w:spacing w:line="125" w:lineRule="exact"/>
              <w:ind w:right="107"/>
              <w:jc w:val="right"/>
              <w:rPr>
                <w:sz w:val="13"/>
              </w:rPr>
            </w:pPr>
            <w:r>
              <w:rPr>
                <w:spacing w:val="-2"/>
                <w:w w:val="105"/>
                <w:sz w:val="13"/>
              </w:rPr>
              <w:t>(1,386)</w:t>
            </w:r>
          </w:p>
        </w:tc>
        <w:tc>
          <w:tcPr>
            <w:tcW w:w="590" w:type="dxa"/>
            <w:tcBorders>
              <w:bottom w:val="single" w:sz="6" w:space="0" w:color="000000"/>
            </w:tcBorders>
          </w:tcPr>
          <w:p>
            <w:pPr>
              <w:pStyle w:val="TableParagraph"/>
              <w:spacing w:line="125" w:lineRule="exact"/>
              <w:ind w:right="111"/>
              <w:jc w:val="right"/>
              <w:rPr>
                <w:sz w:val="13"/>
              </w:rPr>
            </w:pPr>
            <w:r>
              <w:rPr>
                <w:spacing w:val="-10"/>
                <w:w w:val="105"/>
                <w:sz w:val="13"/>
              </w:rPr>
              <w:t>-</w:t>
            </w:r>
          </w:p>
        </w:tc>
        <w:tc>
          <w:tcPr>
            <w:tcW w:w="867" w:type="dxa"/>
            <w:gridSpan w:val="3"/>
            <w:tcBorders>
              <w:bottom w:val="single" w:sz="6" w:space="0" w:color="000000"/>
            </w:tcBorders>
          </w:tcPr>
          <w:p>
            <w:pPr>
              <w:pStyle w:val="TableParagraph"/>
              <w:spacing w:line="125" w:lineRule="exact"/>
              <w:ind w:right="1"/>
              <w:jc w:val="right"/>
              <w:rPr>
                <w:sz w:val="13"/>
              </w:rPr>
            </w:pPr>
            <w:r>
              <w:rPr>
                <w:spacing w:val="-5"/>
                <w:w w:val="105"/>
                <w:sz w:val="13"/>
              </w:rPr>
              <w:t>(3)</w:t>
            </w:r>
          </w:p>
        </w:tc>
      </w:tr>
      <w:tr>
        <w:trPr>
          <w:trHeight w:val="151" w:hRule="atLeast"/>
        </w:trPr>
        <w:tc>
          <w:tcPr>
            <w:tcW w:w="4023" w:type="dxa"/>
            <w:gridSpan w:val="2"/>
          </w:tcPr>
          <w:p>
            <w:pPr>
              <w:pStyle w:val="TableParagraph"/>
              <w:spacing w:line="114" w:lineRule="exact"/>
              <w:ind w:left="555"/>
              <w:rPr>
                <w:sz w:val="13"/>
              </w:rPr>
            </w:pPr>
            <w:r>
              <w:rPr>
                <w:sz w:val="13"/>
              </w:rPr>
              <w:t>Surplus/(deficit)</w:t>
            </w:r>
            <w:r>
              <w:rPr>
                <w:spacing w:val="9"/>
                <w:sz w:val="13"/>
              </w:rPr>
              <w:t> </w:t>
            </w:r>
            <w:r>
              <w:rPr>
                <w:sz w:val="13"/>
              </w:rPr>
              <w:t>for</w:t>
            </w:r>
            <w:r>
              <w:rPr>
                <w:spacing w:val="10"/>
                <w:sz w:val="13"/>
              </w:rPr>
              <w:t> </w:t>
            </w:r>
            <w:r>
              <w:rPr>
                <w:sz w:val="13"/>
              </w:rPr>
              <w:t>the</w:t>
            </w:r>
            <w:r>
              <w:rPr>
                <w:spacing w:val="12"/>
                <w:sz w:val="13"/>
              </w:rPr>
              <w:t> </w:t>
            </w:r>
            <w:r>
              <w:rPr>
                <w:sz w:val="13"/>
              </w:rPr>
              <w:t>reporting</w:t>
            </w:r>
            <w:r>
              <w:rPr>
                <w:spacing w:val="12"/>
                <w:sz w:val="13"/>
              </w:rPr>
              <w:t> </w:t>
            </w:r>
            <w:r>
              <w:rPr>
                <w:spacing w:val="-2"/>
                <w:sz w:val="13"/>
              </w:rPr>
              <w:t>period</w:t>
            </w:r>
          </w:p>
        </w:tc>
        <w:tc>
          <w:tcPr>
            <w:tcW w:w="914" w:type="dxa"/>
            <w:tcBorders>
              <w:top w:val="single" w:sz="6" w:space="0" w:color="000000"/>
              <w:bottom w:val="single" w:sz="12" w:space="0" w:color="000000"/>
            </w:tcBorders>
          </w:tcPr>
          <w:p>
            <w:pPr>
              <w:pStyle w:val="TableParagraph"/>
              <w:spacing w:line="126" w:lineRule="exact"/>
              <w:ind w:right="152"/>
              <w:jc w:val="right"/>
              <w:rPr>
                <w:sz w:val="13"/>
              </w:rPr>
            </w:pPr>
            <w:r>
              <w:rPr>
                <w:spacing w:val="-10"/>
                <w:w w:val="105"/>
                <w:sz w:val="13"/>
              </w:rPr>
              <w:t>-</w:t>
            </w:r>
          </w:p>
        </w:tc>
        <w:tc>
          <w:tcPr>
            <w:tcW w:w="865" w:type="dxa"/>
            <w:tcBorders>
              <w:top w:val="single" w:sz="6" w:space="0" w:color="000000"/>
              <w:bottom w:val="single" w:sz="12" w:space="0" w:color="000000"/>
            </w:tcBorders>
          </w:tcPr>
          <w:p>
            <w:pPr>
              <w:pStyle w:val="TableParagraph"/>
              <w:spacing w:line="126" w:lineRule="exact"/>
              <w:ind w:right="159"/>
              <w:jc w:val="right"/>
              <w:rPr>
                <w:sz w:val="13"/>
              </w:rPr>
            </w:pPr>
            <w:r>
              <w:rPr>
                <w:spacing w:val="-10"/>
                <w:w w:val="105"/>
                <w:sz w:val="13"/>
              </w:rPr>
              <w:t>-</w:t>
            </w:r>
          </w:p>
        </w:tc>
        <w:tc>
          <w:tcPr>
            <w:tcW w:w="781" w:type="dxa"/>
            <w:tcBorders>
              <w:top w:val="single" w:sz="6" w:space="0" w:color="000000"/>
              <w:bottom w:val="single" w:sz="12" w:space="0" w:color="000000"/>
            </w:tcBorders>
          </w:tcPr>
          <w:p>
            <w:pPr>
              <w:pStyle w:val="TableParagraph"/>
              <w:spacing w:line="114" w:lineRule="exact"/>
              <w:ind w:right="166"/>
              <w:jc w:val="right"/>
              <w:rPr>
                <w:sz w:val="13"/>
              </w:rPr>
            </w:pPr>
            <w:r>
              <w:rPr>
                <w:spacing w:val="-5"/>
                <w:w w:val="105"/>
                <w:sz w:val="13"/>
              </w:rPr>
              <w:t>367</w:t>
            </w:r>
          </w:p>
        </w:tc>
        <w:tc>
          <w:tcPr>
            <w:tcW w:w="782" w:type="dxa"/>
            <w:tcBorders>
              <w:top w:val="single" w:sz="6" w:space="0" w:color="000000"/>
              <w:bottom w:val="single" w:sz="12" w:space="0" w:color="000000"/>
            </w:tcBorders>
          </w:tcPr>
          <w:p>
            <w:pPr>
              <w:pStyle w:val="TableParagraph"/>
              <w:spacing w:line="114" w:lineRule="exact"/>
              <w:ind w:right="166"/>
              <w:jc w:val="right"/>
              <w:rPr>
                <w:sz w:val="13"/>
              </w:rPr>
            </w:pPr>
            <w:r>
              <w:rPr>
                <w:spacing w:val="-5"/>
                <w:w w:val="105"/>
                <w:sz w:val="13"/>
              </w:rPr>
              <w:t>295</w:t>
            </w:r>
          </w:p>
        </w:tc>
        <w:tc>
          <w:tcPr>
            <w:tcW w:w="779" w:type="dxa"/>
            <w:gridSpan w:val="2"/>
            <w:tcBorders>
              <w:top w:val="single" w:sz="6" w:space="0" w:color="000000"/>
              <w:bottom w:val="single" w:sz="12" w:space="0" w:color="000000"/>
            </w:tcBorders>
          </w:tcPr>
          <w:p>
            <w:pPr>
              <w:pStyle w:val="TableParagraph"/>
              <w:spacing w:line="114" w:lineRule="exact"/>
              <w:ind w:left="462"/>
              <w:rPr>
                <w:sz w:val="13"/>
              </w:rPr>
            </w:pPr>
            <w:r>
              <w:rPr>
                <w:spacing w:val="-5"/>
                <w:w w:val="105"/>
                <w:sz w:val="13"/>
              </w:rPr>
              <w:t>79</w:t>
            </w:r>
          </w:p>
        </w:tc>
        <w:tc>
          <w:tcPr>
            <w:tcW w:w="778" w:type="dxa"/>
            <w:gridSpan w:val="2"/>
            <w:tcBorders>
              <w:top w:val="single" w:sz="6" w:space="0" w:color="000000"/>
              <w:bottom w:val="single" w:sz="12" w:space="0" w:color="000000"/>
            </w:tcBorders>
          </w:tcPr>
          <w:p>
            <w:pPr>
              <w:pStyle w:val="TableParagraph"/>
              <w:spacing w:line="114" w:lineRule="exact"/>
              <w:ind w:left="466"/>
              <w:rPr>
                <w:sz w:val="13"/>
              </w:rPr>
            </w:pPr>
            <w:r>
              <w:rPr>
                <w:spacing w:val="-5"/>
                <w:w w:val="105"/>
                <w:sz w:val="13"/>
              </w:rPr>
              <w:t>97</w:t>
            </w:r>
          </w:p>
        </w:tc>
        <w:tc>
          <w:tcPr>
            <w:tcW w:w="781" w:type="dxa"/>
            <w:tcBorders>
              <w:top w:val="single" w:sz="6" w:space="0" w:color="000000"/>
              <w:bottom w:val="single" w:sz="12" w:space="0" w:color="000000"/>
            </w:tcBorders>
          </w:tcPr>
          <w:p>
            <w:pPr>
              <w:pStyle w:val="TableParagraph"/>
              <w:spacing w:line="126" w:lineRule="exact"/>
              <w:ind w:right="149"/>
              <w:jc w:val="right"/>
              <w:rPr>
                <w:sz w:val="13"/>
              </w:rPr>
            </w:pPr>
            <w:r>
              <w:rPr>
                <w:spacing w:val="-10"/>
                <w:w w:val="105"/>
                <w:sz w:val="13"/>
              </w:rPr>
              <w:t>-</w:t>
            </w:r>
          </w:p>
        </w:tc>
        <w:tc>
          <w:tcPr>
            <w:tcW w:w="781" w:type="dxa"/>
            <w:tcBorders>
              <w:top w:val="single" w:sz="6" w:space="0" w:color="000000"/>
              <w:bottom w:val="single" w:sz="12" w:space="0" w:color="000000"/>
            </w:tcBorders>
          </w:tcPr>
          <w:p>
            <w:pPr>
              <w:pStyle w:val="TableParagraph"/>
              <w:spacing w:line="126" w:lineRule="exact"/>
              <w:ind w:right="148"/>
              <w:jc w:val="right"/>
              <w:rPr>
                <w:sz w:val="13"/>
              </w:rPr>
            </w:pPr>
            <w:r>
              <w:rPr>
                <w:spacing w:val="-10"/>
                <w:w w:val="105"/>
                <w:sz w:val="13"/>
              </w:rPr>
              <w:t>-</w:t>
            </w:r>
          </w:p>
        </w:tc>
        <w:tc>
          <w:tcPr>
            <w:tcW w:w="781" w:type="dxa"/>
            <w:tcBorders>
              <w:top w:val="single" w:sz="6" w:space="0" w:color="000000"/>
              <w:bottom w:val="single" w:sz="12" w:space="0" w:color="000000"/>
            </w:tcBorders>
          </w:tcPr>
          <w:p>
            <w:pPr>
              <w:pStyle w:val="TableParagraph"/>
              <w:spacing w:line="114" w:lineRule="exact"/>
              <w:ind w:right="154"/>
              <w:jc w:val="right"/>
              <w:rPr>
                <w:sz w:val="13"/>
              </w:rPr>
            </w:pPr>
            <w:r>
              <w:rPr>
                <w:spacing w:val="-5"/>
                <w:w w:val="105"/>
                <w:sz w:val="13"/>
              </w:rPr>
              <w:t>153</w:t>
            </w:r>
          </w:p>
        </w:tc>
        <w:tc>
          <w:tcPr>
            <w:tcW w:w="781" w:type="dxa"/>
            <w:tcBorders>
              <w:top w:val="single" w:sz="6" w:space="0" w:color="000000"/>
              <w:bottom w:val="single" w:sz="12" w:space="0" w:color="000000"/>
            </w:tcBorders>
          </w:tcPr>
          <w:p>
            <w:pPr>
              <w:pStyle w:val="TableParagraph"/>
              <w:spacing w:line="114" w:lineRule="exact"/>
              <w:ind w:left="398"/>
              <w:rPr>
                <w:sz w:val="13"/>
              </w:rPr>
            </w:pPr>
            <w:r>
              <w:rPr>
                <w:spacing w:val="-5"/>
                <w:w w:val="105"/>
                <w:sz w:val="13"/>
              </w:rPr>
              <w:t>142</w:t>
            </w:r>
          </w:p>
        </w:tc>
        <w:tc>
          <w:tcPr>
            <w:tcW w:w="590" w:type="dxa"/>
            <w:tcBorders>
              <w:top w:val="single" w:sz="6" w:space="0" w:color="000000"/>
              <w:bottom w:val="single" w:sz="12" w:space="0" w:color="000000"/>
            </w:tcBorders>
          </w:tcPr>
          <w:p>
            <w:pPr>
              <w:pStyle w:val="TableParagraph"/>
              <w:spacing w:line="114" w:lineRule="exact"/>
              <w:ind w:right="-44"/>
              <w:jc w:val="right"/>
              <w:rPr>
                <w:sz w:val="13"/>
              </w:rPr>
            </w:pPr>
            <w:r>
              <w:rPr>
                <w:spacing w:val="-5"/>
                <w:w w:val="105"/>
                <w:sz w:val="13"/>
              </w:rPr>
              <w:t>145</w:t>
            </w:r>
          </w:p>
        </w:tc>
        <w:tc>
          <w:tcPr>
            <w:tcW w:w="867" w:type="dxa"/>
            <w:gridSpan w:val="3"/>
            <w:tcBorders>
              <w:top w:val="single" w:sz="6" w:space="0" w:color="000000"/>
              <w:bottom w:val="single" w:sz="12" w:space="0" w:color="000000"/>
            </w:tcBorders>
          </w:tcPr>
          <w:p>
            <w:pPr>
              <w:pStyle w:val="TableParagraph"/>
              <w:spacing w:line="114" w:lineRule="exact"/>
              <w:ind w:right="46"/>
              <w:jc w:val="right"/>
              <w:rPr>
                <w:sz w:val="13"/>
              </w:rPr>
            </w:pPr>
            <w:r>
              <w:rPr>
                <w:spacing w:val="-5"/>
                <w:w w:val="105"/>
                <w:sz w:val="13"/>
              </w:rPr>
              <w:t>145</w:t>
            </w:r>
          </w:p>
        </w:tc>
      </w:tr>
    </w:tbl>
    <w:p>
      <w:pPr>
        <w:spacing w:before="129"/>
        <w:ind w:left="782" w:right="0" w:firstLine="0"/>
        <w:jc w:val="left"/>
        <w:rPr>
          <w:sz w:val="13"/>
        </w:rPr>
      </w:pPr>
      <w:r>
        <w:rPr>
          <w:w w:val="105"/>
          <w:sz w:val="13"/>
          <w:vertAlign w:val="superscript"/>
        </w:rPr>
        <w:t>1</w:t>
      </w:r>
      <w:r>
        <w:rPr>
          <w:spacing w:val="-12"/>
          <w:w w:val="105"/>
          <w:sz w:val="13"/>
          <w:vertAlign w:val="baseline"/>
        </w:rPr>
        <w:t> </w:t>
      </w:r>
      <w:r>
        <w:rPr>
          <w:w w:val="105"/>
          <w:sz w:val="13"/>
          <w:vertAlign w:val="baseline"/>
        </w:rPr>
        <w:t>Includes</w:t>
      </w:r>
      <w:r>
        <w:rPr>
          <w:spacing w:val="-8"/>
          <w:w w:val="105"/>
          <w:sz w:val="13"/>
          <w:vertAlign w:val="baseline"/>
        </w:rPr>
        <w:t> </w:t>
      </w:r>
      <w:r>
        <w:rPr>
          <w:w w:val="105"/>
          <w:sz w:val="13"/>
          <w:vertAlign w:val="baseline"/>
        </w:rPr>
        <w:t>the</w:t>
      </w:r>
      <w:r>
        <w:rPr>
          <w:spacing w:val="-7"/>
          <w:w w:val="105"/>
          <w:sz w:val="13"/>
          <w:vertAlign w:val="baseline"/>
        </w:rPr>
        <w:t> </w:t>
      </w:r>
      <w:r>
        <w:rPr>
          <w:w w:val="105"/>
          <w:sz w:val="13"/>
          <w:vertAlign w:val="baseline"/>
        </w:rPr>
        <w:t>basic</w:t>
      </w:r>
      <w:r>
        <w:rPr>
          <w:spacing w:val="-7"/>
          <w:w w:val="105"/>
          <w:sz w:val="13"/>
          <w:vertAlign w:val="baseline"/>
        </w:rPr>
        <w:t> </w:t>
      </w:r>
      <w:r>
        <w:rPr>
          <w:w w:val="105"/>
          <w:sz w:val="13"/>
          <w:vertAlign w:val="baseline"/>
        </w:rPr>
        <w:t>CGS</w:t>
      </w:r>
      <w:r>
        <w:rPr>
          <w:spacing w:val="-7"/>
          <w:w w:val="105"/>
          <w:sz w:val="13"/>
          <w:vertAlign w:val="baseline"/>
        </w:rPr>
        <w:t> </w:t>
      </w:r>
      <w:r>
        <w:rPr>
          <w:w w:val="105"/>
          <w:sz w:val="13"/>
          <w:vertAlign w:val="baseline"/>
        </w:rPr>
        <w:t>grant</w:t>
      </w:r>
      <w:r>
        <w:rPr>
          <w:spacing w:val="-8"/>
          <w:w w:val="105"/>
          <w:sz w:val="13"/>
          <w:vertAlign w:val="baseline"/>
        </w:rPr>
        <w:t> </w:t>
      </w:r>
      <w:r>
        <w:rPr>
          <w:w w:val="105"/>
          <w:sz w:val="13"/>
          <w:vertAlign w:val="baseline"/>
        </w:rPr>
        <w:t>amount,</w:t>
      </w:r>
      <w:r>
        <w:rPr>
          <w:spacing w:val="-9"/>
          <w:w w:val="105"/>
          <w:sz w:val="13"/>
          <w:vertAlign w:val="baseline"/>
        </w:rPr>
        <w:t> </w:t>
      </w:r>
      <w:r>
        <w:rPr>
          <w:w w:val="105"/>
          <w:sz w:val="13"/>
          <w:vertAlign w:val="baseline"/>
        </w:rPr>
        <w:t>CGS</w:t>
      </w:r>
      <w:r>
        <w:rPr>
          <w:spacing w:val="-7"/>
          <w:w w:val="105"/>
          <w:sz w:val="13"/>
          <w:vertAlign w:val="baseline"/>
        </w:rPr>
        <w:t> </w:t>
      </w:r>
      <w:r>
        <w:rPr>
          <w:w w:val="105"/>
          <w:sz w:val="13"/>
          <w:vertAlign w:val="baseline"/>
        </w:rPr>
        <w:t>–</w:t>
      </w:r>
      <w:r>
        <w:rPr>
          <w:spacing w:val="-7"/>
          <w:w w:val="105"/>
          <w:sz w:val="13"/>
          <w:vertAlign w:val="baseline"/>
        </w:rPr>
        <w:t> </w:t>
      </w:r>
      <w:r>
        <w:rPr>
          <w:w w:val="105"/>
          <w:sz w:val="13"/>
          <w:vertAlign w:val="baseline"/>
        </w:rPr>
        <w:t>Regional</w:t>
      </w:r>
      <w:r>
        <w:rPr>
          <w:spacing w:val="-9"/>
          <w:w w:val="105"/>
          <w:sz w:val="13"/>
          <w:vertAlign w:val="baseline"/>
        </w:rPr>
        <w:t> </w:t>
      </w:r>
      <w:r>
        <w:rPr>
          <w:w w:val="105"/>
          <w:sz w:val="13"/>
          <w:vertAlign w:val="baseline"/>
        </w:rPr>
        <w:t>Loading,</w:t>
      </w:r>
      <w:r>
        <w:rPr>
          <w:spacing w:val="-9"/>
          <w:w w:val="105"/>
          <w:sz w:val="13"/>
          <w:vertAlign w:val="baseline"/>
        </w:rPr>
        <w:t> </w:t>
      </w:r>
      <w:r>
        <w:rPr>
          <w:w w:val="105"/>
          <w:sz w:val="13"/>
          <w:vertAlign w:val="baseline"/>
        </w:rPr>
        <w:t>CGS</w:t>
      </w:r>
      <w:r>
        <w:rPr>
          <w:spacing w:val="-7"/>
          <w:w w:val="105"/>
          <w:sz w:val="13"/>
          <w:vertAlign w:val="baseline"/>
        </w:rPr>
        <w:t> </w:t>
      </w:r>
      <w:r>
        <w:rPr>
          <w:w w:val="105"/>
          <w:sz w:val="13"/>
          <w:vertAlign w:val="baseline"/>
        </w:rPr>
        <w:t>–</w:t>
      </w:r>
      <w:r>
        <w:rPr>
          <w:spacing w:val="-6"/>
          <w:w w:val="105"/>
          <w:sz w:val="13"/>
          <w:vertAlign w:val="baseline"/>
        </w:rPr>
        <w:t> </w:t>
      </w:r>
      <w:r>
        <w:rPr>
          <w:w w:val="105"/>
          <w:sz w:val="13"/>
          <w:vertAlign w:val="baseline"/>
        </w:rPr>
        <w:t>Enabling</w:t>
      </w:r>
      <w:r>
        <w:rPr>
          <w:spacing w:val="-7"/>
          <w:w w:val="105"/>
          <w:sz w:val="13"/>
          <w:vertAlign w:val="baseline"/>
        </w:rPr>
        <w:t> </w:t>
      </w:r>
      <w:r>
        <w:rPr>
          <w:w w:val="105"/>
          <w:sz w:val="13"/>
          <w:vertAlign w:val="baseline"/>
        </w:rPr>
        <w:t>Loading,</w:t>
      </w:r>
      <w:r>
        <w:rPr>
          <w:spacing w:val="-9"/>
          <w:w w:val="105"/>
          <w:sz w:val="13"/>
          <w:vertAlign w:val="baseline"/>
        </w:rPr>
        <w:t> </w:t>
      </w:r>
      <w:r>
        <w:rPr>
          <w:w w:val="105"/>
          <w:sz w:val="13"/>
          <w:vertAlign w:val="baseline"/>
        </w:rPr>
        <w:t>CGS</w:t>
      </w:r>
      <w:r>
        <w:rPr>
          <w:spacing w:val="-7"/>
          <w:w w:val="105"/>
          <w:sz w:val="13"/>
          <w:vertAlign w:val="baseline"/>
        </w:rPr>
        <w:t> </w:t>
      </w:r>
      <w:r>
        <w:rPr>
          <w:w w:val="105"/>
          <w:sz w:val="13"/>
          <w:vertAlign w:val="baseline"/>
        </w:rPr>
        <w:t>–</w:t>
      </w:r>
      <w:r>
        <w:rPr>
          <w:spacing w:val="-7"/>
          <w:w w:val="105"/>
          <w:sz w:val="13"/>
          <w:vertAlign w:val="baseline"/>
        </w:rPr>
        <w:t> </w:t>
      </w:r>
      <w:r>
        <w:rPr>
          <w:w w:val="105"/>
          <w:sz w:val="13"/>
          <w:vertAlign w:val="baseline"/>
        </w:rPr>
        <w:t>Medical</w:t>
      </w:r>
      <w:r>
        <w:rPr>
          <w:spacing w:val="-9"/>
          <w:w w:val="105"/>
          <w:sz w:val="13"/>
          <w:vertAlign w:val="baseline"/>
        </w:rPr>
        <w:t> </w:t>
      </w:r>
      <w:r>
        <w:rPr>
          <w:w w:val="105"/>
          <w:sz w:val="13"/>
          <w:vertAlign w:val="baseline"/>
        </w:rPr>
        <w:t>student</w:t>
      </w:r>
      <w:r>
        <w:rPr>
          <w:spacing w:val="-9"/>
          <w:w w:val="105"/>
          <w:sz w:val="13"/>
          <w:vertAlign w:val="baseline"/>
        </w:rPr>
        <w:t> </w:t>
      </w:r>
      <w:r>
        <w:rPr>
          <w:w w:val="105"/>
          <w:sz w:val="13"/>
          <w:vertAlign w:val="baseline"/>
        </w:rPr>
        <w:t>Loading,</w:t>
      </w:r>
      <w:r>
        <w:rPr>
          <w:spacing w:val="-8"/>
          <w:w w:val="105"/>
          <w:sz w:val="13"/>
          <w:vertAlign w:val="baseline"/>
        </w:rPr>
        <w:t> </w:t>
      </w:r>
      <w:r>
        <w:rPr>
          <w:w w:val="105"/>
          <w:sz w:val="13"/>
          <w:vertAlign w:val="baseline"/>
        </w:rPr>
        <w:t>Allocated</w:t>
      </w:r>
      <w:r>
        <w:rPr>
          <w:spacing w:val="-7"/>
          <w:w w:val="105"/>
          <w:sz w:val="13"/>
          <w:vertAlign w:val="baseline"/>
        </w:rPr>
        <w:t> </w:t>
      </w:r>
      <w:r>
        <w:rPr>
          <w:w w:val="105"/>
          <w:sz w:val="13"/>
          <w:vertAlign w:val="baseline"/>
        </w:rPr>
        <w:t>Places,</w:t>
      </w:r>
      <w:r>
        <w:rPr>
          <w:spacing w:val="-9"/>
          <w:w w:val="105"/>
          <w:sz w:val="13"/>
          <w:vertAlign w:val="baseline"/>
        </w:rPr>
        <w:t> </w:t>
      </w:r>
      <w:r>
        <w:rPr>
          <w:w w:val="105"/>
          <w:sz w:val="13"/>
          <w:vertAlign w:val="baseline"/>
        </w:rPr>
        <w:t>Non-Designated</w:t>
      </w:r>
      <w:r>
        <w:rPr>
          <w:spacing w:val="-7"/>
          <w:w w:val="105"/>
          <w:sz w:val="13"/>
          <w:vertAlign w:val="baseline"/>
        </w:rPr>
        <w:t> </w:t>
      </w:r>
      <w:r>
        <w:rPr>
          <w:w w:val="105"/>
          <w:sz w:val="13"/>
          <w:vertAlign w:val="baseline"/>
        </w:rPr>
        <w:t>Courses</w:t>
      </w:r>
      <w:r>
        <w:rPr>
          <w:spacing w:val="-6"/>
          <w:w w:val="105"/>
          <w:sz w:val="13"/>
          <w:vertAlign w:val="baseline"/>
        </w:rPr>
        <w:t> </w:t>
      </w:r>
      <w:r>
        <w:rPr>
          <w:w w:val="105"/>
          <w:sz w:val="13"/>
          <w:vertAlign w:val="baseline"/>
        </w:rPr>
        <w:t>and</w:t>
      </w:r>
      <w:r>
        <w:rPr>
          <w:spacing w:val="-7"/>
          <w:w w:val="105"/>
          <w:sz w:val="13"/>
          <w:vertAlign w:val="baseline"/>
        </w:rPr>
        <w:t> </w:t>
      </w:r>
      <w:r>
        <w:rPr>
          <w:w w:val="105"/>
          <w:sz w:val="13"/>
          <w:vertAlign w:val="baseline"/>
        </w:rPr>
        <w:t>CGS</w:t>
      </w:r>
      <w:r>
        <w:rPr>
          <w:spacing w:val="-7"/>
          <w:w w:val="105"/>
          <w:sz w:val="13"/>
          <w:vertAlign w:val="baseline"/>
        </w:rPr>
        <w:t> </w:t>
      </w:r>
      <w:r>
        <w:rPr>
          <w:w w:val="105"/>
          <w:sz w:val="13"/>
          <w:vertAlign w:val="baseline"/>
        </w:rPr>
        <w:t>–</w:t>
      </w:r>
      <w:r>
        <w:rPr>
          <w:spacing w:val="-7"/>
          <w:w w:val="105"/>
          <w:sz w:val="13"/>
          <w:vertAlign w:val="baseline"/>
        </w:rPr>
        <w:t> </w:t>
      </w:r>
      <w:r>
        <w:rPr>
          <w:w w:val="105"/>
          <w:sz w:val="13"/>
          <w:vertAlign w:val="baseline"/>
        </w:rPr>
        <w:t>Special</w:t>
      </w:r>
      <w:r>
        <w:rPr>
          <w:spacing w:val="-10"/>
          <w:w w:val="105"/>
          <w:sz w:val="13"/>
          <w:vertAlign w:val="baseline"/>
        </w:rPr>
        <w:t> </w:t>
      </w:r>
      <w:r>
        <w:rPr>
          <w:w w:val="105"/>
          <w:sz w:val="13"/>
          <w:vertAlign w:val="baseline"/>
        </w:rPr>
        <w:t>Advances</w:t>
      </w:r>
      <w:r>
        <w:rPr>
          <w:spacing w:val="-6"/>
          <w:w w:val="105"/>
          <w:sz w:val="13"/>
          <w:vertAlign w:val="baseline"/>
        </w:rPr>
        <w:t> </w:t>
      </w:r>
      <w:r>
        <w:rPr>
          <w:w w:val="105"/>
          <w:sz w:val="13"/>
          <w:vertAlign w:val="baseline"/>
        </w:rPr>
        <w:t>from</w:t>
      </w:r>
      <w:r>
        <w:rPr>
          <w:spacing w:val="-6"/>
          <w:w w:val="105"/>
          <w:sz w:val="13"/>
          <w:vertAlign w:val="baseline"/>
        </w:rPr>
        <w:t> </w:t>
      </w:r>
      <w:r>
        <w:rPr>
          <w:w w:val="105"/>
          <w:sz w:val="13"/>
          <w:vertAlign w:val="baseline"/>
        </w:rPr>
        <w:t>Future</w:t>
      </w:r>
      <w:r>
        <w:rPr>
          <w:spacing w:val="-6"/>
          <w:w w:val="105"/>
          <w:sz w:val="13"/>
          <w:vertAlign w:val="baseline"/>
        </w:rPr>
        <w:t> </w:t>
      </w:r>
      <w:r>
        <w:rPr>
          <w:spacing w:val="-2"/>
          <w:w w:val="105"/>
          <w:sz w:val="13"/>
          <w:vertAlign w:val="baseline"/>
        </w:rPr>
        <w:t>Years.</w:t>
      </w:r>
    </w:p>
    <w:p>
      <w:pPr>
        <w:spacing w:before="55"/>
        <w:ind w:left="782" w:right="0" w:firstLine="0"/>
        <w:jc w:val="left"/>
        <w:rPr>
          <w:sz w:val="13"/>
        </w:rPr>
      </w:pPr>
      <w:r>
        <w:rPr>
          <w:sz w:val="13"/>
          <w:vertAlign w:val="superscript"/>
        </w:rPr>
        <w:t>2</w:t>
      </w:r>
      <w:r>
        <w:rPr>
          <w:spacing w:val="10"/>
          <w:sz w:val="13"/>
          <w:vertAlign w:val="baseline"/>
        </w:rPr>
        <w:t> </w:t>
      </w:r>
      <w:r>
        <w:rPr>
          <w:sz w:val="13"/>
          <w:vertAlign w:val="baseline"/>
        </w:rPr>
        <w:t>Disability</w:t>
      </w:r>
      <w:r>
        <w:rPr>
          <w:spacing w:val="10"/>
          <w:sz w:val="13"/>
          <w:vertAlign w:val="baseline"/>
        </w:rPr>
        <w:t> </w:t>
      </w:r>
      <w:r>
        <w:rPr>
          <w:sz w:val="13"/>
          <w:vertAlign w:val="baseline"/>
        </w:rPr>
        <w:t>Performance</w:t>
      </w:r>
      <w:r>
        <w:rPr>
          <w:spacing w:val="12"/>
          <w:sz w:val="13"/>
          <w:vertAlign w:val="baseline"/>
        </w:rPr>
        <w:t> </w:t>
      </w:r>
      <w:r>
        <w:rPr>
          <w:sz w:val="13"/>
          <w:vertAlign w:val="baseline"/>
        </w:rPr>
        <w:t>Funding</w:t>
      </w:r>
      <w:r>
        <w:rPr>
          <w:spacing w:val="13"/>
          <w:sz w:val="13"/>
          <w:vertAlign w:val="baseline"/>
        </w:rPr>
        <w:t> </w:t>
      </w:r>
      <w:r>
        <w:rPr>
          <w:sz w:val="13"/>
          <w:vertAlign w:val="baseline"/>
        </w:rPr>
        <w:t>includes</w:t>
      </w:r>
      <w:r>
        <w:rPr>
          <w:spacing w:val="13"/>
          <w:sz w:val="13"/>
          <w:vertAlign w:val="baseline"/>
        </w:rPr>
        <w:t> </w:t>
      </w:r>
      <w:r>
        <w:rPr>
          <w:sz w:val="13"/>
          <w:vertAlign w:val="baseline"/>
        </w:rPr>
        <w:t>Additional</w:t>
      </w:r>
      <w:r>
        <w:rPr>
          <w:spacing w:val="7"/>
          <w:sz w:val="13"/>
          <w:vertAlign w:val="baseline"/>
        </w:rPr>
        <w:t> </w:t>
      </w:r>
      <w:r>
        <w:rPr>
          <w:sz w:val="13"/>
          <w:vertAlign w:val="baseline"/>
        </w:rPr>
        <w:t>Support</w:t>
      </w:r>
      <w:r>
        <w:rPr>
          <w:spacing w:val="10"/>
          <w:sz w:val="13"/>
          <w:vertAlign w:val="baseline"/>
        </w:rPr>
        <w:t> </w:t>
      </w:r>
      <w:r>
        <w:rPr>
          <w:sz w:val="13"/>
          <w:vertAlign w:val="baseline"/>
        </w:rPr>
        <w:t>for</w:t>
      </w:r>
      <w:r>
        <w:rPr>
          <w:spacing w:val="10"/>
          <w:sz w:val="13"/>
          <w:vertAlign w:val="baseline"/>
        </w:rPr>
        <w:t> </w:t>
      </w:r>
      <w:r>
        <w:rPr>
          <w:sz w:val="13"/>
          <w:vertAlign w:val="baseline"/>
        </w:rPr>
        <w:t>Student</w:t>
      </w:r>
      <w:r>
        <w:rPr>
          <w:spacing w:val="11"/>
          <w:sz w:val="13"/>
          <w:vertAlign w:val="baseline"/>
        </w:rPr>
        <w:t> </w:t>
      </w:r>
      <w:r>
        <w:rPr>
          <w:sz w:val="13"/>
          <w:vertAlign w:val="baseline"/>
        </w:rPr>
        <w:t>with</w:t>
      </w:r>
      <w:r>
        <w:rPr>
          <w:spacing w:val="12"/>
          <w:sz w:val="13"/>
          <w:vertAlign w:val="baseline"/>
        </w:rPr>
        <w:t> </w:t>
      </w:r>
      <w:r>
        <w:rPr>
          <w:sz w:val="13"/>
          <w:vertAlign w:val="baseline"/>
        </w:rPr>
        <w:t>Disabilities</w:t>
      </w:r>
      <w:r>
        <w:rPr>
          <w:spacing w:val="13"/>
          <w:sz w:val="13"/>
          <w:vertAlign w:val="baseline"/>
        </w:rPr>
        <w:t> </w:t>
      </w:r>
      <w:r>
        <w:rPr>
          <w:sz w:val="13"/>
          <w:vertAlign w:val="baseline"/>
        </w:rPr>
        <w:t>and</w:t>
      </w:r>
      <w:r>
        <w:rPr>
          <w:spacing w:val="13"/>
          <w:sz w:val="13"/>
          <w:vertAlign w:val="baseline"/>
        </w:rPr>
        <w:t> </w:t>
      </w:r>
      <w:r>
        <w:rPr>
          <w:sz w:val="13"/>
          <w:vertAlign w:val="baseline"/>
        </w:rPr>
        <w:t>Australian</w:t>
      </w:r>
      <w:r>
        <w:rPr>
          <w:spacing w:val="12"/>
          <w:sz w:val="13"/>
          <w:vertAlign w:val="baseline"/>
        </w:rPr>
        <w:t> </w:t>
      </w:r>
      <w:r>
        <w:rPr>
          <w:sz w:val="13"/>
          <w:vertAlign w:val="baseline"/>
        </w:rPr>
        <w:t>Disability</w:t>
      </w:r>
      <w:r>
        <w:rPr>
          <w:spacing w:val="11"/>
          <w:sz w:val="13"/>
          <w:vertAlign w:val="baseline"/>
        </w:rPr>
        <w:t> </w:t>
      </w:r>
      <w:r>
        <w:rPr>
          <w:sz w:val="13"/>
          <w:vertAlign w:val="baseline"/>
        </w:rPr>
        <w:t>Clearinghouse</w:t>
      </w:r>
      <w:r>
        <w:rPr>
          <w:spacing w:val="12"/>
          <w:sz w:val="13"/>
          <w:vertAlign w:val="baseline"/>
        </w:rPr>
        <w:t> </w:t>
      </w:r>
      <w:r>
        <w:rPr>
          <w:sz w:val="13"/>
          <w:vertAlign w:val="baseline"/>
        </w:rPr>
        <w:t>on</w:t>
      </w:r>
      <w:r>
        <w:rPr>
          <w:spacing w:val="13"/>
          <w:sz w:val="13"/>
          <w:vertAlign w:val="baseline"/>
        </w:rPr>
        <w:t> </w:t>
      </w:r>
      <w:r>
        <w:rPr>
          <w:sz w:val="13"/>
          <w:vertAlign w:val="baseline"/>
        </w:rPr>
        <w:t>Education</w:t>
      </w:r>
      <w:r>
        <w:rPr>
          <w:spacing w:val="13"/>
          <w:sz w:val="13"/>
          <w:vertAlign w:val="baseline"/>
        </w:rPr>
        <w:t> </w:t>
      </w:r>
      <w:r>
        <w:rPr>
          <w:sz w:val="13"/>
          <w:vertAlign w:val="baseline"/>
        </w:rPr>
        <w:t>&amp;</w:t>
      </w:r>
      <w:r>
        <w:rPr>
          <w:spacing w:val="12"/>
          <w:sz w:val="13"/>
          <w:vertAlign w:val="baseline"/>
        </w:rPr>
        <w:t> </w:t>
      </w:r>
      <w:r>
        <w:rPr>
          <w:spacing w:val="-2"/>
          <w:sz w:val="13"/>
          <w:vertAlign w:val="baseline"/>
        </w:rPr>
        <w:t>Training.</w:t>
      </w:r>
    </w:p>
    <w:p>
      <w:pPr>
        <w:spacing w:before="53"/>
        <w:ind w:left="782" w:right="0" w:firstLine="0"/>
        <w:jc w:val="left"/>
        <w:rPr>
          <w:sz w:val="13"/>
        </w:rPr>
      </w:pPr>
      <w:r>
        <w:rPr>
          <w:w w:val="105"/>
          <w:sz w:val="13"/>
          <w:vertAlign w:val="superscript"/>
        </w:rPr>
        <w:t>3</w:t>
      </w:r>
      <w:r>
        <w:rPr>
          <w:spacing w:val="-8"/>
          <w:w w:val="105"/>
          <w:sz w:val="13"/>
          <w:vertAlign w:val="baseline"/>
        </w:rPr>
        <w:t> </w:t>
      </w:r>
      <w:r>
        <w:rPr>
          <w:w w:val="105"/>
          <w:sz w:val="13"/>
          <w:vertAlign w:val="baseline"/>
        </w:rPr>
        <w:t>Indigenous</w:t>
      </w:r>
      <w:r>
        <w:rPr>
          <w:spacing w:val="-7"/>
          <w:w w:val="105"/>
          <w:sz w:val="13"/>
          <w:vertAlign w:val="baseline"/>
        </w:rPr>
        <w:t> </w:t>
      </w:r>
      <w:r>
        <w:rPr>
          <w:w w:val="105"/>
          <w:sz w:val="13"/>
          <w:vertAlign w:val="baseline"/>
        </w:rPr>
        <w:t>Student</w:t>
      </w:r>
      <w:r>
        <w:rPr>
          <w:spacing w:val="-9"/>
          <w:w w:val="105"/>
          <w:sz w:val="13"/>
          <w:vertAlign w:val="baseline"/>
        </w:rPr>
        <w:t> </w:t>
      </w:r>
      <w:r>
        <w:rPr>
          <w:w w:val="105"/>
          <w:sz w:val="13"/>
          <w:vertAlign w:val="baseline"/>
        </w:rPr>
        <w:t>Success</w:t>
      </w:r>
      <w:r>
        <w:rPr>
          <w:spacing w:val="-7"/>
          <w:w w:val="105"/>
          <w:sz w:val="13"/>
          <w:vertAlign w:val="baseline"/>
        </w:rPr>
        <w:t> </w:t>
      </w:r>
      <w:r>
        <w:rPr>
          <w:w w:val="105"/>
          <w:sz w:val="13"/>
          <w:vertAlign w:val="baseline"/>
        </w:rPr>
        <w:t>Program</w:t>
      </w:r>
      <w:r>
        <w:rPr>
          <w:spacing w:val="-6"/>
          <w:w w:val="105"/>
          <w:sz w:val="13"/>
          <w:vertAlign w:val="baseline"/>
        </w:rPr>
        <w:t> </w:t>
      </w:r>
      <w:r>
        <w:rPr>
          <w:w w:val="105"/>
          <w:sz w:val="13"/>
          <w:vertAlign w:val="baseline"/>
        </w:rPr>
        <w:t>replaced</w:t>
      </w:r>
      <w:r>
        <w:rPr>
          <w:spacing w:val="-7"/>
          <w:w w:val="105"/>
          <w:sz w:val="13"/>
          <w:vertAlign w:val="baseline"/>
        </w:rPr>
        <w:t> </w:t>
      </w:r>
      <w:r>
        <w:rPr>
          <w:w w:val="105"/>
          <w:sz w:val="13"/>
          <w:vertAlign w:val="baseline"/>
        </w:rPr>
        <w:t>the</w:t>
      </w:r>
      <w:r>
        <w:rPr>
          <w:spacing w:val="-7"/>
          <w:w w:val="105"/>
          <w:sz w:val="13"/>
          <w:vertAlign w:val="baseline"/>
        </w:rPr>
        <w:t> </w:t>
      </w:r>
      <w:r>
        <w:rPr>
          <w:w w:val="105"/>
          <w:sz w:val="13"/>
          <w:vertAlign w:val="baseline"/>
        </w:rPr>
        <w:t>Indigenous</w:t>
      </w:r>
      <w:r>
        <w:rPr>
          <w:spacing w:val="-7"/>
          <w:w w:val="105"/>
          <w:sz w:val="13"/>
          <w:vertAlign w:val="baseline"/>
        </w:rPr>
        <w:t> </w:t>
      </w:r>
      <w:r>
        <w:rPr>
          <w:w w:val="105"/>
          <w:sz w:val="13"/>
          <w:vertAlign w:val="baseline"/>
        </w:rPr>
        <w:t>Commonwealth</w:t>
      </w:r>
      <w:r>
        <w:rPr>
          <w:spacing w:val="-7"/>
          <w:w w:val="105"/>
          <w:sz w:val="13"/>
          <w:vertAlign w:val="baseline"/>
        </w:rPr>
        <w:t> </w:t>
      </w:r>
      <w:r>
        <w:rPr>
          <w:w w:val="105"/>
          <w:sz w:val="13"/>
          <w:vertAlign w:val="baseline"/>
        </w:rPr>
        <w:t>Scholarships</w:t>
      </w:r>
      <w:r>
        <w:rPr>
          <w:spacing w:val="-8"/>
          <w:w w:val="105"/>
          <w:sz w:val="13"/>
          <w:vertAlign w:val="baseline"/>
        </w:rPr>
        <w:t> </w:t>
      </w:r>
      <w:r>
        <w:rPr>
          <w:w w:val="105"/>
          <w:sz w:val="13"/>
          <w:vertAlign w:val="baseline"/>
        </w:rPr>
        <w:t>Program</w:t>
      </w:r>
      <w:r>
        <w:rPr>
          <w:spacing w:val="-5"/>
          <w:w w:val="105"/>
          <w:sz w:val="13"/>
          <w:vertAlign w:val="baseline"/>
        </w:rPr>
        <w:t> </w:t>
      </w:r>
      <w:r>
        <w:rPr>
          <w:w w:val="105"/>
          <w:sz w:val="13"/>
          <w:vertAlign w:val="baseline"/>
        </w:rPr>
        <w:t>and</w:t>
      </w:r>
      <w:r>
        <w:rPr>
          <w:spacing w:val="-7"/>
          <w:w w:val="105"/>
          <w:sz w:val="13"/>
          <w:vertAlign w:val="baseline"/>
        </w:rPr>
        <w:t> </w:t>
      </w:r>
      <w:r>
        <w:rPr>
          <w:w w:val="105"/>
          <w:sz w:val="13"/>
          <w:vertAlign w:val="baseline"/>
        </w:rPr>
        <w:t>the</w:t>
      </w:r>
      <w:r>
        <w:rPr>
          <w:spacing w:val="-8"/>
          <w:w w:val="105"/>
          <w:sz w:val="13"/>
          <w:vertAlign w:val="baseline"/>
        </w:rPr>
        <w:t> </w:t>
      </w:r>
      <w:r>
        <w:rPr>
          <w:w w:val="105"/>
          <w:sz w:val="13"/>
          <w:vertAlign w:val="baseline"/>
        </w:rPr>
        <w:t>Indigenous</w:t>
      </w:r>
      <w:r>
        <w:rPr>
          <w:spacing w:val="-7"/>
          <w:w w:val="105"/>
          <w:sz w:val="13"/>
          <w:vertAlign w:val="baseline"/>
        </w:rPr>
        <w:t> </w:t>
      </w:r>
      <w:r>
        <w:rPr>
          <w:w w:val="105"/>
          <w:sz w:val="13"/>
          <w:vertAlign w:val="baseline"/>
        </w:rPr>
        <w:t>Support</w:t>
      </w:r>
      <w:r>
        <w:rPr>
          <w:spacing w:val="-9"/>
          <w:w w:val="105"/>
          <w:sz w:val="13"/>
          <w:vertAlign w:val="baseline"/>
        </w:rPr>
        <w:t> </w:t>
      </w:r>
      <w:r>
        <w:rPr>
          <w:w w:val="105"/>
          <w:sz w:val="13"/>
          <w:vertAlign w:val="baseline"/>
        </w:rPr>
        <w:t>Program</w:t>
      </w:r>
      <w:r>
        <w:rPr>
          <w:spacing w:val="-5"/>
          <w:w w:val="105"/>
          <w:sz w:val="13"/>
          <w:vertAlign w:val="baseline"/>
        </w:rPr>
        <w:t> </w:t>
      </w:r>
      <w:r>
        <w:rPr>
          <w:w w:val="105"/>
          <w:sz w:val="13"/>
          <w:vertAlign w:val="baseline"/>
        </w:rPr>
        <w:t>as</w:t>
      </w:r>
      <w:r>
        <w:rPr>
          <w:spacing w:val="-8"/>
          <w:w w:val="105"/>
          <w:sz w:val="13"/>
          <w:vertAlign w:val="baseline"/>
        </w:rPr>
        <w:t> </w:t>
      </w:r>
      <w:r>
        <w:rPr>
          <w:w w:val="105"/>
          <w:sz w:val="13"/>
          <w:vertAlign w:val="baseline"/>
        </w:rPr>
        <w:t>of</w:t>
      </w:r>
      <w:r>
        <w:rPr>
          <w:spacing w:val="-8"/>
          <w:w w:val="105"/>
          <w:sz w:val="13"/>
          <w:vertAlign w:val="baseline"/>
        </w:rPr>
        <w:t> </w:t>
      </w:r>
      <w:r>
        <w:rPr>
          <w:w w:val="105"/>
          <w:sz w:val="13"/>
          <w:vertAlign w:val="baseline"/>
        </w:rPr>
        <w:t>1</w:t>
      </w:r>
      <w:r>
        <w:rPr>
          <w:spacing w:val="-8"/>
          <w:w w:val="105"/>
          <w:sz w:val="13"/>
          <w:vertAlign w:val="baseline"/>
        </w:rPr>
        <w:t> </w:t>
      </w:r>
      <w:r>
        <w:rPr>
          <w:w w:val="105"/>
          <w:sz w:val="13"/>
          <w:vertAlign w:val="baseline"/>
        </w:rPr>
        <w:t>January</w:t>
      </w:r>
      <w:r>
        <w:rPr>
          <w:spacing w:val="-9"/>
          <w:w w:val="105"/>
          <w:sz w:val="13"/>
          <w:vertAlign w:val="baseline"/>
        </w:rPr>
        <w:t> </w:t>
      </w:r>
      <w:r>
        <w:rPr>
          <w:spacing w:val="-2"/>
          <w:w w:val="105"/>
          <w:sz w:val="13"/>
          <w:vertAlign w:val="baseline"/>
        </w:rPr>
        <w:t>2017.</w:t>
      </w:r>
    </w:p>
    <w:p>
      <w:pPr>
        <w:spacing w:after="0"/>
        <w:jc w:val="left"/>
        <w:rPr>
          <w:sz w:val="13"/>
        </w:rPr>
        <w:sectPr>
          <w:type w:val="continuous"/>
          <w:pgSz w:w="16840" w:h="11910" w:orient="landscape"/>
          <w:pgMar w:header="0" w:footer="0" w:top="980" w:bottom="280" w:left="1040" w:right="1600"/>
        </w:sectPr>
      </w:pPr>
    </w:p>
    <w:p>
      <w:pPr>
        <w:spacing w:line="240" w:lineRule="auto" w:before="0"/>
        <w:rPr>
          <w:sz w:val="13"/>
        </w:rPr>
      </w:pPr>
    </w:p>
    <w:p>
      <w:pPr>
        <w:spacing w:line="240" w:lineRule="auto" w:before="0"/>
        <w:rPr>
          <w:sz w:val="13"/>
        </w:rPr>
      </w:pPr>
    </w:p>
    <w:p>
      <w:pPr>
        <w:spacing w:line="240" w:lineRule="auto" w:before="85"/>
        <w:rPr>
          <w:sz w:val="13"/>
        </w:rPr>
      </w:pPr>
    </w:p>
    <w:p>
      <w:pPr>
        <w:spacing w:before="0"/>
        <w:ind w:left="782" w:right="0" w:firstLine="0"/>
        <w:jc w:val="left"/>
        <w:rPr>
          <w:b/>
          <w:sz w:val="13"/>
        </w:rPr>
      </w:pPr>
      <w:r>
        <w:rPr>
          <w:b/>
          <w:color w:val="0070C0"/>
          <w:sz w:val="13"/>
        </w:rPr>
        <w:t>Education</w:t>
      </w:r>
      <w:r>
        <w:rPr>
          <w:b/>
          <w:color w:val="0070C0"/>
          <w:spacing w:val="14"/>
          <w:sz w:val="13"/>
        </w:rPr>
        <w:t> </w:t>
      </w:r>
      <w:r>
        <w:rPr>
          <w:b/>
          <w:color w:val="0070C0"/>
          <w:sz w:val="13"/>
        </w:rPr>
        <w:t>-</w:t>
      </w:r>
      <w:r>
        <w:rPr>
          <w:b/>
          <w:color w:val="0070C0"/>
          <w:spacing w:val="12"/>
          <w:sz w:val="13"/>
        </w:rPr>
        <w:t> </w:t>
      </w:r>
      <w:r>
        <w:rPr>
          <w:b/>
          <w:color w:val="0070C0"/>
          <w:sz w:val="13"/>
        </w:rPr>
        <w:t>Commonwealth</w:t>
      </w:r>
      <w:r>
        <w:rPr>
          <w:b/>
          <w:color w:val="0070C0"/>
          <w:spacing w:val="15"/>
          <w:sz w:val="13"/>
        </w:rPr>
        <w:t> </w:t>
      </w:r>
      <w:r>
        <w:rPr>
          <w:b/>
          <w:color w:val="0070C0"/>
          <w:sz w:val="13"/>
        </w:rPr>
        <w:t>Grant</w:t>
      </w:r>
      <w:r>
        <w:rPr>
          <w:b/>
          <w:color w:val="0070C0"/>
          <w:spacing w:val="12"/>
          <w:sz w:val="13"/>
        </w:rPr>
        <w:t> </w:t>
      </w:r>
      <w:r>
        <w:rPr>
          <w:b/>
          <w:color w:val="0070C0"/>
          <w:spacing w:val="-2"/>
          <w:sz w:val="13"/>
        </w:rPr>
        <w:t>Scheme</w:t>
      </w:r>
    </w:p>
    <w:p>
      <w:pPr>
        <w:spacing w:line="240" w:lineRule="auto" w:before="40"/>
        <w:rPr>
          <w:b/>
          <w:sz w:val="13"/>
        </w:rPr>
      </w:pPr>
      <w:r>
        <w:rPr/>
        <w:br w:type="column"/>
      </w:r>
      <w:r>
        <w:rPr>
          <w:b/>
          <w:sz w:val="13"/>
        </w:rPr>
      </w:r>
    </w:p>
    <w:p>
      <w:pPr>
        <w:spacing w:line="278" w:lineRule="auto" w:before="0"/>
        <w:ind w:left="782" w:right="0" w:firstLine="1206"/>
        <w:jc w:val="left"/>
        <w:rPr>
          <w:b/>
          <w:sz w:val="13"/>
        </w:rPr>
      </w:pPr>
      <w:r>
        <w:rPr>
          <w:b/>
          <w:spacing w:val="-2"/>
          <w:sz w:val="13"/>
        </w:rPr>
        <w:t>University</w:t>
      </w:r>
      <w:r>
        <w:rPr>
          <w:b/>
          <w:spacing w:val="40"/>
          <w:w w:val="105"/>
          <w:sz w:val="13"/>
        </w:rPr>
        <w:t> </w:t>
      </w:r>
      <w:r>
        <w:rPr>
          <w:b/>
          <w:w w:val="105"/>
          <w:sz w:val="13"/>
        </w:rPr>
        <w:t>Learning and Teaching</w:t>
      </w:r>
    </w:p>
    <w:p>
      <w:pPr>
        <w:spacing w:line="149" w:lineRule="exact" w:before="0"/>
        <w:ind w:left="928" w:right="0" w:firstLine="0"/>
        <w:jc w:val="left"/>
        <w:rPr>
          <w:b/>
          <w:sz w:val="13"/>
        </w:rPr>
      </w:pPr>
      <w:r>
        <w:rPr>
          <w:b/>
          <w:sz w:val="13"/>
        </w:rPr>
        <w:t>Performance</w:t>
      </w:r>
      <w:r>
        <w:rPr>
          <w:b/>
          <w:spacing w:val="21"/>
          <w:sz w:val="13"/>
        </w:rPr>
        <w:t> </w:t>
      </w:r>
      <w:r>
        <w:rPr>
          <w:b/>
          <w:spacing w:val="-4"/>
          <w:sz w:val="13"/>
        </w:rPr>
        <w:t>Fund</w:t>
      </w:r>
    </w:p>
    <w:p>
      <w:pPr>
        <w:spacing w:line="240" w:lineRule="auto" w:before="0"/>
        <w:rPr>
          <w:b/>
          <w:sz w:val="13"/>
        </w:rPr>
      </w:pPr>
      <w:r>
        <w:rPr/>
        <w:br w:type="column"/>
      </w:r>
      <w:r>
        <w:rPr>
          <w:b/>
          <w:sz w:val="13"/>
        </w:rPr>
      </w:r>
    </w:p>
    <w:p>
      <w:pPr>
        <w:spacing w:line="240" w:lineRule="auto" w:before="63"/>
        <w:rPr>
          <w:b/>
          <w:sz w:val="13"/>
        </w:rPr>
      </w:pPr>
    </w:p>
    <w:p>
      <w:pPr>
        <w:spacing w:before="1"/>
        <w:ind w:left="307" w:right="0" w:firstLine="0"/>
        <w:jc w:val="left"/>
        <w:rPr>
          <w:b/>
          <w:sz w:val="13"/>
        </w:rPr>
      </w:pPr>
      <w:r>
        <w:rPr>
          <w:b/>
          <w:spacing w:val="-2"/>
          <w:w w:val="105"/>
          <w:sz w:val="13"/>
        </w:rPr>
        <w:t>Total</w:t>
      </w:r>
    </w:p>
    <w:p>
      <w:pPr>
        <w:spacing w:after="0"/>
        <w:jc w:val="left"/>
        <w:rPr>
          <w:sz w:val="13"/>
        </w:rPr>
        <w:sectPr>
          <w:type w:val="continuous"/>
          <w:pgSz w:w="16840" w:h="11910" w:orient="landscape"/>
          <w:pgMar w:header="0" w:footer="0" w:top="980" w:bottom="280" w:left="1040" w:right="1600"/>
          <w:cols w:num="3" w:equalWidth="0">
            <w:col w:w="3499" w:space="69"/>
            <w:col w:w="2634" w:space="39"/>
            <w:col w:w="7959"/>
          </w:cols>
        </w:sectPr>
      </w:pPr>
    </w:p>
    <w:p>
      <w:pPr>
        <w:tabs>
          <w:tab w:pos="4496" w:val="left" w:leader="none"/>
          <w:tab w:pos="5334" w:val="left" w:leader="none"/>
          <w:tab w:pos="6173" w:val="left" w:leader="none"/>
          <w:tab w:pos="7257" w:val="right" w:leader="none"/>
        </w:tabs>
        <w:spacing w:before="23"/>
        <w:ind w:left="782" w:right="0" w:firstLine="0"/>
        <w:jc w:val="left"/>
        <w:rPr>
          <w:b/>
          <w:sz w:val="13"/>
        </w:rPr>
      </w:pPr>
      <w:r>
        <w:rPr/>
        <mc:AlternateContent>
          <mc:Choice Requires="wps">
            <w:drawing>
              <wp:anchor distT="0" distB="0" distL="0" distR="0" allowOverlap="1" layoutInCell="1" locked="0" behindDoc="0" simplePos="0" relativeHeight="15917056">
                <wp:simplePos x="0" y="0"/>
                <wp:positionH relativeFrom="page">
                  <wp:posOffset>10213244</wp:posOffset>
                </wp:positionH>
                <wp:positionV relativeFrom="page">
                  <wp:posOffset>258445</wp:posOffset>
                </wp:positionV>
                <wp:extent cx="194310" cy="203835"/>
                <wp:effectExtent l="0" t="0" r="0" b="0"/>
                <wp:wrapNone/>
                <wp:docPr id="1010" name="Textbox 1010"/>
                <wp:cNvGraphicFramePr>
                  <a:graphicFrameLocks/>
                </wp:cNvGraphicFramePr>
                <a:graphic>
                  <a:graphicData uri="http://schemas.microsoft.com/office/word/2010/wordprocessingShape">
                    <wps:wsp>
                      <wps:cNvPr id="1010" name="Textbox 1010"/>
                      <wps:cNvSpPr txBox="1"/>
                      <wps:spPr>
                        <a:xfrm>
                          <a:off x="0" y="0"/>
                          <a:ext cx="194310" cy="203835"/>
                        </a:xfrm>
                        <a:prstGeom prst="rect">
                          <a:avLst/>
                        </a:prstGeom>
                      </wps:spPr>
                      <wps:txbx>
                        <w:txbxContent>
                          <w:p>
                            <w:pPr>
                              <w:spacing w:before="48"/>
                              <w:ind w:left="20" w:right="0" w:firstLine="0"/>
                              <w:jc w:val="left"/>
                              <w:rPr>
                                <w:rFonts w:ascii="TT Norms Pro"/>
                                <w:b/>
                                <w:sz w:val="20"/>
                              </w:rPr>
                            </w:pPr>
                            <w:r>
                              <w:rPr>
                                <w:rFonts w:ascii="TT Norms Pro"/>
                                <w:b/>
                                <w:spacing w:val="-5"/>
                                <w:sz w:val="20"/>
                              </w:rPr>
                              <w:t>116</w:t>
                            </w:r>
                          </w:p>
                        </w:txbxContent>
                      </wps:txbx>
                      <wps:bodyPr wrap="square" lIns="0" tIns="0" rIns="0" bIns="0" rtlCol="0" vert="vert">
                        <a:noAutofit/>
                      </wps:bodyPr>
                    </wps:wsp>
                  </a:graphicData>
                </a:graphic>
              </wp:anchor>
            </w:drawing>
          </mc:Choice>
          <mc:Fallback>
            <w:pict>
              <v:shape style="position:absolute;margin-left:804.192505pt;margin-top:20.350pt;width:15.3pt;height:16.05pt;mso-position-horizontal-relative:page;mso-position-vertical-relative:page;z-index:15917056" type="#_x0000_t202" id="docshape697" filled="false" stroked="false">
                <v:textbox inset="0,0,0,0" style="layout-flow:vertical">
                  <w:txbxContent>
                    <w:p>
                      <w:pPr>
                        <w:spacing w:before="48"/>
                        <w:ind w:left="20" w:right="0" w:firstLine="0"/>
                        <w:jc w:val="left"/>
                        <w:rPr>
                          <w:rFonts w:ascii="TT Norms Pro"/>
                          <w:b/>
                          <w:sz w:val="20"/>
                        </w:rPr>
                      </w:pPr>
                      <w:r>
                        <w:rPr>
                          <w:rFonts w:ascii="TT Norms Pro"/>
                          <w:b/>
                          <w:spacing w:val="-5"/>
                          <w:sz w:val="20"/>
                        </w:rPr>
                        <w:t>116</w:t>
                      </w:r>
                    </w:p>
                  </w:txbxContent>
                </v:textbox>
                <w10:wrap type="none"/>
              </v:shape>
            </w:pict>
          </mc:Fallback>
        </mc:AlternateContent>
      </w:r>
      <w:r>
        <w:rPr/>
        <mc:AlternateContent>
          <mc:Choice Requires="wps">
            <w:drawing>
              <wp:anchor distT="0" distB="0" distL="0" distR="0" allowOverlap="1" layoutInCell="1" locked="0" behindDoc="0" simplePos="0" relativeHeight="15917568">
                <wp:simplePos x="0" y="0"/>
                <wp:positionH relativeFrom="page">
                  <wp:posOffset>10216291</wp:posOffset>
                </wp:positionH>
                <wp:positionV relativeFrom="page">
                  <wp:posOffset>702699</wp:posOffset>
                </wp:positionV>
                <wp:extent cx="177800" cy="2551430"/>
                <wp:effectExtent l="0" t="0" r="0" b="0"/>
                <wp:wrapNone/>
                <wp:docPr id="1011" name="Textbox 1011"/>
                <wp:cNvGraphicFramePr>
                  <a:graphicFrameLocks/>
                </wp:cNvGraphicFramePr>
                <a:graphic>
                  <a:graphicData uri="http://schemas.microsoft.com/office/word/2010/wordprocessingShape">
                    <wps:wsp>
                      <wps:cNvPr id="1011" name="Textbox 1011"/>
                      <wps:cNvSpPr txBox="1"/>
                      <wps:spPr>
                        <a:xfrm>
                          <a:off x="0" y="0"/>
                          <a:ext cx="177800" cy="2551430"/>
                        </a:xfrm>
                        <a:prstGeom prst="rect">
                          <a:avLst/>
                        </a:prstGeom>
                      </wps:spPr>
                      <wps:txbx>
                        <w:txbxContent>
                          <w:p>
                            <w:pPr>
                              <w:spacing w:before="45"/>
                              <w:ind w:left="20" w:right="0" w:firstLine="0"/>
                              <w:jc w:val="left"/>
                              <w:rPr>
                                <w:rFonts w:ascii="TT Norms Pro"/>
                                <w:b/>
                                <w:sz w:val="18"/>
                              </w:rPr>
                            </w:pPr>
                            <w:r>
                              <w:rPr>
                                <w:rFonts w:ascii="TT Norms Pro"/>
                                <w:sz w:val="18"/>
                              </w:rPr>
                              <w:t>The</w:t>
                            </w:r>
                            <w:r>
                              <w:rPr>
                                <w:rFonts w:ascii="TT Norms Pro"/>
                                <w:spacing w:val="-3"/>
                                <w:sz w:val="18"/>
                              </w:rPr>
                              <w:t> </w:t>
                            </w:r>
                            <w:r>
                              <w:rPr>
                                <w:rFonts w:ascii="TT Norms Pro"/>
                                <w:sz w:val="18"/>
                              </w:rPr>
                              <w:t>University</w:t>
                            </w:r>
                            <w:r>
                              <w:rPr>
                                <w:rFonts w:ascii="TT Norms Pro"/>
                                <w:spacing w:val="-6"/>
                                <w:sz w:val="18"/>
                              </w:rPr>
                              <w:t> </w:t>
                            </w:r>
                            <w:r>
                              <w:rPr>
                                <w:rFonts w:ascii="TT Norms Pro"/>
                                <w:sz w:val="18"/>
                              </w:rPr>
                              <w:t>of</w:t>
                            </w:r>
                            <w:r>
                              <w:rPr>
                                <w:rFonts w:ascii="TT Norms Pro"/>
                                <w:spacing w:val="-8"/>
                                <w:sz w:val="18"/>
                              </w:rPr>
                              <w:t> </w:t>
                            </w:r>
                            <w:r>
                              <w:rPr>
                                <w:rFonts w:ascii="TT Norms Pro"/>
                                <w:sz w:val="18"/>
                              </w:rPr>
                              <w:t>Western</w:t>
                            </w:r>
                            <w:r>
                              <w:rPr>
                                <w:rFonts w:ascii="TT Norms Pro"/>
                                <w:spacing w:val="-8"/>
                                <w:sz w:val="18"/>
                              </w:rPr>
                              <w:t> </w:t>
                            </w:r>
                            <w:r>
                              <w:rPr>
                                <w:rFonts w:ascii="TT Norms Pro"/>
                                <w:sz w:val="18"/>
                              </w:rPr>
                              <w:t>Australia</w:t>
                            </w:r>
                            <w:r>
                              <w:rPr>
                                <w:rFonts w:ascii="TT Norms Pro"/>
                                <w:spacing w:val="46"/>
                                <w:sz w:val="18"/>
                              </w:rPr>
                              <w:t> </w:t>
                            </w:r>
                            <w:r>
                              <w:rPr>
                                <w:rFonts w:ascii="TT Norms Pro Light"/>
                                <w:b w:val="0"/>
                                <w:sz w:val="18"/>
                              </w:rPr>
                              <w:t>|</w:t>
                            </w:r>
                            <w:r>
                              <w:rPr>
                                <w:rFonts w:ascii="TT Norms Pro Light"/>
                                <w:b w:val="0"/>
                                <w:spacing w:val="49"/>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804.432373pt;margin-top:55.3307pt;width:14pt;height:200.9pt;mso-position-horizontal-relative:page;mso-position-vertical-relative:page;z-index:15917568" type="#_x0000_t202" id="docshape698" filled="false" stroked="false">
                <v:textbox inset="0,0,0,0" style="layout-flow:vertical">
                  <w:txbxContent>
                    <w:p>
                      <w:pPr>
                        <w:spacing w:before="45"/>
                        <w:ind w:left="20" w:right="0" w:firstLine="0"/>
                        <w:jc w:val="left"/>
                        <w:rPr>
                          <w:rFonts w:ascii="TT Norms Pro"/>
                          <w:b/>
                          <w:sz w:val="18"/>
                        </w:rPr>
                      </w:pPr>
                      <w:r>
                        <w:rPr>
                          <w:rFonts w:ascii="TT Norms Pro"/>
                          <w:sz w:val="18"/>
                        </w:rPr>
                        <w:t>The</w:t>
                      </w:r>
                      <w:r>
                        <w:rPr>
                          <w:rFonts w:ascii="TT Norms Pro"/>
                          <w:spacing w:val="-3"/>
                          <w:sz w:val="18"/>
                        </w:rPr>
                        <w:t> </w:t>
                      </w:r>
                      <w:r>
                        <w:rPr>
                          <w:rFonts w:ascii="TT Norms Pro"/>
                          <w:sz w:val="18"/>
                        </w:rPr>
                        <w:t>University</w:t>
                      </w:r>
                      <w:r>
                        <w:rPr>
                          <w:rFonts w:ascii="TT Norms Pro"/>
                          <w:spacing w:val="-6"/>
                          <w:sz w:val="18"/>
                        </w:rPr>
                        <w:t> </w:t>
                      </w:r>
                      <w:r>
                        <w:rPr>
                          <w:rFonts w:ascii="TT Norms Pro"/>
                          <w:sz w:val="18"/>
                        </w:rPr>
                        <w:t>of</w:t>
                      </w:r>
                      <w:r>
                        <w:rPr>
                          <w:rFonts w:ascii="TT Norms Pro"/>
                          <w:spacing w:val="-8"/>
                          <w:sz w:val="18"/>
                        </w:rPr>
                        <w:t> </w:t>
                      </w:r>
                      <w:r>
                        <w:rPr>
                          <w:rFonts w:ascii="TT Norms Pro"/>
                          <w:sz w:val="18"/>
                        </w:rPr>
                        <w:t>Western</w:t>
                      </w:r>
                      <w:r>
                        <w:rPr>
                          <w:rFonts w:ascii="TT Norms Pro"/>
                          <w:spacing w:val="-8"/>
                          <w:sz w:val="18"/>
                        </w:rPr>
                        <w:t> </w:t>
                      </w:r>
                      <w:r>
                        <w:rPr>
                          <w:rFonts w:ascii="TT Norms Pro"/>
                          <w:sz w:val="18"/>
                        </w:rPr>
                        <w:t>Australia</w:t>
                      </w:r>
                      <w:r>
                        <w:rPr>
                          <w:rFonts w:ascii="TT Norms Pro"/>
                          <w:spacing w:val="46"/>
                          <w:sz w:val="18"/>
                        </w:rPr>
                        <w:t> </w:t>
                      </w:r>
                      <w:r>
                        <w:rPr>
                          <w:rFonts w:ascii="TT Norms Pro Light"/>
                          <w:b w:val="0"/>
                          <w:sz w:val="18"/>
                        </w:rPr>
                        <w:t>|</w:t>
                      </w:r>
                      <w:r>
                        <w:rPr>
                          <w:rFonts w:ascii="TT Norms Pro Light"/>
                          <w:b w:val="0"/>
                          <w:spacing w:val="49"/>
                          <w:sz w:val="18"/>
                        </w:rPr>
                        <w:t> </w:t>
                      </w:r>
                      <w:r>
                        <w:rPr>
                          <w:rFonts w:ascii="TT Norms Pro"/>
                          <w:b/>
                          <w:spacing w:val="-2"/>
                          <w:sz w:val="18"/>
                        </w:rPr>
                        <w:t>uwa.edu.au</w:t>
                      </w:r>
                    </w:p>
                  </w:txbxContent>
                </v:textbox>
                <w10:wrap type="none"/>
              </v:shape>
            </w:pict>
          </mc:Fallback>
        </mc:AlternateContent>
      </w:r>
      <w:r>
        <w:rPr>
          <w:b/>
          <w:color w:val="0070C0"/>
          <w:position w:val="1"/>
          <w:sz w:val="13"/>
        </w:rPr>
        <w:t>and</w:t>
      </w:r>
      <w:r>
        <w:rPr>
          <w:b/>
          <w:color w:val="0070C0"/>
          <w:spacing w:val="13"/>
          <w:position w:val="1"/>
          <w:sz w:val="13"/>
        </w:rPr>
        <w:t> </w:t>
      </w:r>
      <w:r>
        <w:rPr>
          <w:b/>
          <w:color w:val="0070C0"/>
          <w:position w:val="1"/>
          <w:sz w:val="13"/>
        </w:rPr>
        <w:t>other</w:t>
      </w:r>
      <w:r>
        <w:rPr>
          <w:b/>
          <w:color w:val="0070C0"/>
          <w:spacing w:val="10"/>
          <w:position w:val="1"/>
          <w:sz w:val="13"/>
        </w:rPr>
        <w:t> </w:t>
      </w:r>
      <w:r>
        <w:rPr>
          <w:b/>
          <w:color w:val="0070C0"/>
          <w:position w:val="1"/>
          <w:sz w:val="13"/>
        </w:rPr>
        <w:t>Education</w:t>
      </w:r>
      <w:r>
        <w:rPr>
          <w:b/>
          <w:color w:val="0070C0"/>
          <w:spacing w:val="13"/>
          <w:position w:val="1"/>
          <w:sz w:val="13"/>
        </w:rPr>
        <w:t> </w:t>
      </w:r>
      <w:r>
        <w:rPr>
          <w:b/>
          <w:color w:val="0070C0"/>
          <w:position w:val="1"/>
          <w:sz w:val="13"/>
        </w:rPr>
        <w:t>grants</w:t>
      </w:r>
      <w:r>
        <w:rPr>
          <w:b/>
          <w:color w:val="0070C0"/>
          <w:spacing w:val="13"/>
          <w:position w:val="1"/>
          <w:sz w:val="13"/>
        </w:rPr>
        <w:t> </w:t>
      </w:r>
      <w:r>
        <w:rPr>
          <w:b/>
          <w:color w:val="0070C0"/>
          <w:spacing w:val="-2"/>
          <w:position w:val="1"/>
          <w:sz w:val="13"/>
        </w:rPr>
        <w:t>(continued)</w:t>
      </w:r>
      <w:r>
        <w:rPr>
          <w:b/>
          <w:color w:val="0070C0"/>
          <w:position w:val="1"/>
          <w:sz w:val="13"/>
        </w:rPr>
        <w:tab/>
      </w:r>
      <w:r>
        <w:rPr>
          <w:b/>
          <w:spacing w:val="-4"/>
          <w:sz w:val="13"/>
        </w:rPr>
        <w:t>2020</w:t>
      </w:r>
      <w:r>
        <w:rPr>
          <w:b/>
          <w:sz w:val="13"/>
        </w:rPr>
        <w:tab/>
      </w:r>
      <w:r>
        <w:rPr>
          <w:b/>
          <w:spacing w:val="-4"/>
          <w:sz w:val="13"/>
        </w:rPr>
        <w:t>2019</w:t>
      </w:r>
      <w:r>
        <w:rPr>
          <w:b/>
          <w:sz w:val="13"/>
        </w:rPr>
        <w:tab/>
      </w:r>
      <w:r>
        <w:rPr>
          <w:b/>
          <w:spacing w:val="-4"/>
          <w:sz w:val="13"/>
        </w:rPr>
        <w:t>2020</w:t>
      </w:r>
      <w:r>
        <w:rPr>
          <w:b/>
          <w:sz w:val="13"/>
        </w:rPr>
        <w:tab/>
      </w:r>
      <w:r>
        <w:rPr>
          <w:b/>
          <w:spacing w:val="-4"/>
          <w:sz w:val="13"/>
        </w:rPr>
        <w:t>2019</w:t>
      </w:r>
    </w:p>
    <w:p>
      <w:pPr>
        <w:tabs>
          <w:tab w:pos="3872" w:val="left" w:leader="none"/>
          <w:tab w:pos="4481" w:val="left" w:leader="none"/>
          <w:tab w:pos="5320" w:val="left" w:leader="none"/>
          <w:tab w:pos="6160" w:val="left" w:leader="none"/>
          <w:tab w:pos="6943" w:val="left" w:leader="none"/>
          <w:tab w:pos="7493" w:val="left" w:leader="none"/>
        </w:tabs>
        <w:spacing w:before="7"/>
        <w:ind w:left="226" w:right="0" w:firstLine="0"/>
        <w:jc w:val="left"/>
        <w:rPr>
          <w:sz w:val="13"/>
        </w:rPr>
      </w:pPr>
      <w:r>
        <w:rPr>
          <w:b/>
          <w:sz w:val="13"/>
          <w:u w:val="single"/>
        </w:rPr>
        <w:tab/>
      </w:r>
      <w:r>
        <w:rPr>
          <w:b/>
          <w:spacing w:val="-4"/>
          <w:w w:val="105"/>
          <w:sz w:val="13"/>
          <w:u w:val="single"/>
        </w:rPr>
        <w:t>Note</w:t>
      </w:r>
      <w:r>
        <w:rPr>
          <w:b/>
          <w:sz w:val="13"/>
          <w:u w:val="single"/>
        </w:rPr>
        <w:tab/>
      </w:r>
      <w:r>
        <w:rPr>
          <w:b/>
          <w:spacing w:val="-2"/>
          <w:w w:val="105"/>
          <w:sz w:val="13"/>
          <w:u w:val="single"/>
        </w:rPr>
        <w:t>$'000</w:t>
      </w:r>
      <w:r>
        <w:rPr>
          <w:b/>
          <w:sz w:val="13"/>
          <w:u w:val="single"/>
        </w:rPr>
        <w:tab/>
      </w:r>
      <w:r>
        <w:rPr>
          <w:b/>
          <w:spacing w:val="-2"/>
          <w:w w:val="105"/>
          <w:sz w:val="13"/>
          <w:u w:val="single"/>
        </w:rPr>
        <w:t>$'000</w:t>
      </w:r>
      <w:r>
        <w:rPr>
          <w:b/>
          <w:sz w:val="13"/>
          <w:u w:val="single"/>
        </w:rPr>
        <w:tab/>
      </w:r>
      <w:r>
        <w:rPr>
          <w:spacing w:val="-2"/>
          <w:w w:val="105"/>
          <w:sz w:val="13"/>
          <w:u w:val="single"/>
        </w:rPr>
        <w:t>$'000</w:t>
      </w:r>
      <w:r>
        <w:rPr>
          <w:sz w:val="13"/>
          <w:u w:val="single"/>
        </w:rPr>
        <w:tab/>
      </w:r>
      <w:r>
        <w:rPr>
          <w:spacing w:val="-2"/>
          <w:w w:val="105"/>
          <w:sz w:val="13"/>
          <w:u w:val="single"/>
        </w:rPr>
        <w:t>$'000</w:t>
      </w:r>
      <w:r>
        <w:rPr>
          <w:sz w:val="13"/>
          <w:u w:val="single"/>
        </w:rPr>
        <w:tab/>
      </w:r>
    </w:p>
    <w:p>
      <w:pPr>
        <w:spacing w:line="240" w:lineRule="auto" w:before="10"/>
        <w:rPr>
          <w:sz w:val="13"/>
        </w:rPr>
      </w:pPr>
    </w:p>
    <w:p>
      <w:pPr>
        <w:spacing w:line="273" w:lineRule="auto" w:before="0"/>
        <w:ind w:left="782" w:right="10465" w:firstLine="0"/>
        <w:jc w:val="left"/>
        <w:rPr>
          <w:sz w:val="13"/>
        </w:rPr>
      </w:pPr>
      <w:r>
        <w:rPr>
          <w:w w:val="105"/>
          <w:sz w:val="13"/>
        </w:rPr>
        <w:t>Financial</w:t>
      </w:r>
      <w:r>
        <w:rPr>
          <w:spacing w:val="-10"/>
          <w:w w:val="105"/>
          <w:sz w:val="13"/>
        </w:rPr>
        <w:t> </w:t>
      </w:r>
      <w:r>
        <w:rPr>
          <w:w w:val="105"/>
          <w:sz w:val="13"/>
        </w:rPr>
        <w:t>assistance</w:t>
      </w:r>
      <w:r>
        <w:rPr>
          <w:spacing w:val="-9"/>
          <w:w w:val="105"/>
          <w:sz w:val="13"/>
        </w:rPr>
        <w:t> </w:t>
      </w:r>
      <w:r>
        <w:rPr>
          <w:w w:val="105"/>
          <w:sz w:val="13"/>
        </w:rPr>
        <w:t>received</w:t>
      </w:r>
      <w:r>
        <w:rPr>
          <w:spacing w:val="-10"/>
          <w:w w:val="105"/>
          <w:sz w:val="13"/>
        </w:rPr>
        <w:t> </w:t>
      </w:r>
      <w:r>
        <w:rPr>
          <w:w w:val="105"/>
          <w:sz w:val="13"/>
        </w:rPr>
        <w:t>in</w:t>
      </w:r>
      <w:r>
        <w:rPr>
          <w:spacing w:val="-9"/>
          <w:w w:val="105"/>
          <w:sz w:val="13"/>
        </w:rPr>
        <w:t> </w:t>
      </w:r>
      <w:r>
        <w:rPr>
          <w:w w:val="105"/>
          <w:sz w:val="13"/>
        </w:rPr>
        <w:t>CASH</w:t>
      </w:r>
      <w:r>
        <w:rPr>
          <w:spacing w:val="-10"/>
          <w:w w:val="105"/>
          <w:sz w:val="13"/>
        </w:rPr>
        <w:t> </w:t>
      </w:r>
      <w:r>
        <w:rPr>
          <w:w w:val="105"/>
          <w:sz w:val="13"/>
        </w:rPr>
        <w:t>during</w:t>
      </w:r>
      <w:r>
        <w:rPr>
          <w:spacing w:val="-9"/>
          <w:w w:val="105"/>
          <w:sz w:val="13"/>
        </w:rPr>
        <w:t> </w:t>
      </w:r>
      <w:r>
        <w:rPr>
          <w:w w:val="105"/>
          <w:sz w:val="13"/>
        </w:rPr>
        <w:t>the</w:t>
      </w:r>
      <w:r>
        <w:rPr>
          <w:spacing w:val="40"/>
          <w:w w:val="105"/>
          <w:sz w:val="13"/>
        </w:rPr>
        <w:t> </w:t>
      </w:r>
      <w:r>
        <w:rPr>
          <w:w w:val="105"/>
          <w:sz w:val="13"/>
        </w:rPr>
        <w:t>reporting period (total cash received from the</w:t>
      </w:r>
    </w:p>
    <w:p>
      <w:pPr>
        <w:tabs>
          <w:tab w:pos="4250" w:val="left" w:leader="none"/>
          <w:tab w:pos="4927" w:val="left" w:leader="none"/>
          <w:tab w:pos="5822" w:val="left" w:leader="none"/>
          <w:tab w:pos="6151" w:val="left" w:leader="none"/>
          <w:tab w:pos="6182" w:val="left" w:leader="none"/>
          <w:tab w:pos="6933" w:val="left" w:leader="none"/>
          <w:tab w:pos="7386" w:val="left" w:leader="none"/>
        </w:tabs>
        <w:spacing w:line="266" w:lineRule="auto" w:before="3"/>
        <w:ind w:left="782" w:right="6701" w:firstLine="0"/>
        <w:jc w:val="left"/>
        <w:rPr>
          <w:sz w:val="13"/>
        </w:rPr>
      </w:pPr>
      <w:r>
        <w:rPr>
          <w:w w:val="105"/>
          <w:sz w:val="13"/>
        </w:rPr>
        <w:t>Australian Government for the programs)</w:t>
      </w:r>
      <w:r>
        <w:rPr>
          <w:sz w:val="13"/>
        </w:rPr>
        <w:tab/>
        <w:tab/>
      </w:r>
      <w:r>
        <w:rPr>
          <w:spacing w:val="-10"/>
          <w:w w:val="105"/>
          <w:sz w:val="13"/>
        </w:rPr>
        <w:t>-</w:t>
      </w:r>
      <w:r>
        <w:rPr>
          <w:sz w:val="13"/>
        </w:rPr>
        <w:tab/>
      </w:r>
      <w:r>
        <w:rPr>
          <w:spacing w:val="-10"/>
          <w:w w:val="105"/>
          <w:sz w:val="13"/>
        </w:rPr>
        <w:t>-</w:t>
      </w:r>
      <w:r>
        <w:rPr>
          <w:sz w:val="13"/>
        </w:rPr>
        <w:tab/>
      </w:r>
      <w:r>
        <w:rPr>
          <w:spacing w:val="-2"/>
          <w:w w:val="105"/>
          <w:sz w:val="13"/>
        </w:rPr>
        <w:t>172,257</w:t>
      </w:r>
      <w:r>
        <w:rPr>
          <w:sz w:val="13"/>
        </w:rPr>
        <w:tab/>
      </w:r>
      <w:r>
        <w:rPr>
          <w:spacing w:val="-2"/>
          <w:w w:val="105"/>
          <w:sz w:val="13"/>
        </w:rPr>
        <w:t>149,267</w:t>
      </w:r>
      <w:r>
        <w:rPr>
          <w:spacing w:val="40"/>
          <w:w w:val="105"/>
          <w:sz w:val="13"/>
        </w:rPr>
        <w:t> </w:t>
      </w:r>
      <w:r>
        <w:rPr>
          <w:sz w:val="13"/>
        </w:rPr>
        <w:t>Net</w:t>
      </w:r>
      <w:r>
        <w:rPr>
          <w:spacing w:val="11"/>
          <w:sz w:val="13"/>
        </w:rPr>
        <w:t> </w:t>
      </w:r>
      <w:r>
        <w:rPr>
          <w:sz w:val="13"/>
        </w:rPr>
        <w:t>accrual</w:t>
      </w:r>
      <w:r>
        <w:rPr>
          <w:spacing w:val="8"/>
          <w:sz w:val="13"/>
        </w:rPr>
        <w:t> </w:t>
      </w:r>
      <w:r>
        <w:rPr>
          <w:spacing w:val="-2"/>
          <w:sz w:val="13"/>
        </w:rPr>
        <w:t>adjustments</w:t>
      </w:r>
      <w:r>
        <w:rPr>
          <w:sz w:val="13"/>
        </w:rPr>
        <w:tab/>
      </w:r>
      <w:r>
        <w:rPr>
          <w:sz w:val="13"/>
          <w:u w:val="single"/>
        </w:rPr>
        <w:tab/>
      </w:r>
      <w:r>
        <w:rPr>
          <w:spacing w:val="-10"/>
          <w:sz w:val="13"/>
          <w:u w:val="single"/>
        </w:rPr>
        <w:t>-</w:t>
      </w:r>
      <w:r>
        <w:rPr>
          <w:sz w:val="13"/>
          <w:u w:val="single"/>
        </w:rPr>
        <w:tab/>
      </w:r>
      <w:r>
        <w:rPr>
          <w:spacing w:val="-10"/>
          <w:sz w:val="13"/>
          <w:u w:val="single"/>
        </w:rPr>
        <w:t>-</w:t>
      </w:r>
      <w:r>
        <w:rPr>
          <w:sz w:val="13"/>
          <w:u w:val="single"/>
        </w:rPr>
        <w:tab/>
        <w:tab/>
      </w:r>
      <w:r>
        <w:rPr>
          <w:spacing w:val="-2"/>
          <w:sz w:val="13"/>
          <w:u w:val="single"/>
        </w:rPr>
        <w:t>(14,510)</w:t>
      </w:r>
      <w:r>
        <w:rPr>
          <w:sz w:val="13"/>
          <w:u w:val="single"/>
        </w:rPr>
        <w:tab/>
        <w:tab/>
      </w:r>
      <w:r>
        <w:rPr>
          <w:spacing w:val="-10"/>
          <w:sz w:val="13"/>
          <w:u w:val="single"/>
        </w:rPr>
        <w:t>-</w:t>
      </w:r>
      <w:r>
        <w:rPr>
          <w:spacing w:val="80"/>
          <w:sz w:val="13"/>
          <w:u w:val="single"/>
        </w:rPr>
        <w:t> </w:t>
      </w:r>
    </w:p>
    <w:p>
      <w:pPr>
        <w:tabs>
          <w:tab w:pos="3848" w:val="left" w:leader="none"/>
          <w:tab w:pos="4927" w:val="left" w:leader="none"/>
          <w:tab w:pos="5822" w:val="left" w:leader="none"/>
          <w:tab w:pos="6151" w:val="left" w:leader="none"/>
          <w:tab w:pos="6933" w:val="left" w:leader="none"/>
        </w:tabs>
        <w:spacing w:line="149" w:lineRule="exact" w:before="0"/>
        <w:ind w:left="782" w:right="0" w:firstLine="0"/>
        <w:jc w:val="left"/>
        <w:rPr>
          <w:sz w:val="13"/>
        </w:rPr>
      </w:pPr>
      <w:r>
        <w:rPr>
          <w:w w:val="105"/>
          <w:sz w:val="13"/>
        </w:rPr>
        <w:t>Revenue</w:t>
      </w:r>
      <w:r>
        <w:rPr>
          <w:spacing w:val="-5"/>
          <w:w w:val="105"/>
          <w:sz w:val="13"/>
        </w:rPr>
        <w:t> </w:t>
      </w:r>
      <w:r>
        <w:rPr>
          <w:w w:val="105"/>
          <w:sz w:val="13"/>
        </w:rPr>
        <w:t>for</w:t>
      </w:r>
      <w:r>
        <w:rPr>
          <w:spacing w:val="-6"/>
          <w:w w:val="105"/>
          <w:sz w:val="13"/>
        </w:rPr>
        <w:t> </w:t>
      </w:r>
      <w:r>
        <w:rPr>
          <w:w w:val="105"/>
          <w:sz w:val="13"/>
        </w:rPr>
        <w:t>the</w:t>
      </w:r>
      <w:r>
        <w:rPr>
          <w:spacing w:val="-4"/>
          <w:w w:val="105"/>
          <w:sz w:val="13"/>
        </w:rPr>
        <w:t> </w:t>
      </w:r>
      <w:r>
        <w:rPr>
          <w:spacing w:val="-2"/>
          <w:w w:val="105"/>
          <w:sz w:val="13"/>
        </w:rPr>
        <w:t>period</w:t>
      </w:r>
      <w:r>
        <w:rPr>
          <w:sz w:val="13"/>
        </w:rPr>
        <w:tab/>
      </w:r>
      <w:r>
        <w:rPr>
          <w:spacing w:val="-2"/>
          <w:w w:val="105"/>
          <w:sz w:val="13"/>
        </w:rPr>
        <w:t>2.1(a)</w:t>
      </w:r>
      <w:r>
        <w:rPr>
          <w:sz w:val="13"/>
        </w:rPr>
        <w:tab/>
      </w:r>
      <w:r>
        <w:rPr>
          <w:spacing w:val="-10"/>
          <w:w w:val="105"/>
          <w:sz w:val="13"/>
        </w:rPr>
        <w:t>-</w:t>
      </w:r>
      <w:r>
        <w:rPr>
          <w:sz w:val="13"/>
        </w:rPr>
        <w:tab/>
      </w:r>
      <w:r>
        <w:rPr>
          <w:spacing w:val="-10"/>
          <w:w w:val="105"/>
          <w:sz w:val="13"/>
        </w:rPr>
        <w:t>-</w:t>
      </w:r>
      <w:r>
        <w:rPr>
          <w:sz w:val="13"/>
        </w:rPr>
        <w:tab/>
      </w:r>
      <w:r>
        <w:rPr>
          <w:spacing w:val="-2"/>
          <w:w w:val="105"/>
          <w:sz w:val="13"/>
        </w:rPr>
        <w:t>157,747</w:t>
      </w:r>
      <w:r>
        <w:rPr>
          <w:sz w:val="13"/>
        </w:rPr>
        <w:tab/>
      </w:r>
      <w:r>
        <w:rPr>
          <w:spacing w:val="-2"/>
          <w:w w:val="105"/>
          <w:sz w:val="13"/>
        </w:rPr>
        <w:t>149,267</w:t>
      </w:r>
    </w:p>
    <w:p>
      <w:pPr>
        <w:spacing w:line="240" w:lineRule="auto" w:before="32"/>
        <w:rPr>
          <w:sz w:val="13"/>
        </w:rPr>
      </w:pPr>
    </w:p>
    <w:p>
      <w:pPr>
        <w:tabs>
          <w:tab w:pos="4250" w:val="left" w:leader="none"/>
          <w:tab w:pos="4813" w:val="left" w:leader="none"/>
          <w:tab w:pos="5707" w:val="left" w:leader="none"/>
          <w:tab w:pos="6414" w:val="left" w:leader="none"/>
          <w:tab w:pos="7196" w:val="left" w:leader="none"/>
        </w:tabs>
        <w:spacing w:before="1"/>
        <w:ind w:left="782" w:right="0" w:firstLine="0"/>
        <w:jc w:val="left"/>
        <w:rPr>
          <w:sz w:val="13"/>
        </w:rPr>
      </w:pPr>
      <w:r>
        <w:rPr>
          <w:sz w:val="13"/>
        </w:rPr>
        <w:t>Surplus/(deficit)</w:t>
      </w:r>
      <w:r>
        <w:rPr>
          <w:spacing w:val="10"/>
          <w:sz w:val="13"/>
        </w:rPr>
        <w:t> </w:t>
      </w:r>
      <w:r>
        <w:rPr>
          <w:sz w:val="13"/>
        </w:rPr>
        <w:t>from</w:t>
      </w:r>
      <w:r>
        <w:rPr>
          <w:spacing w:val="17"/>
          <w:sz w:val="13"/>
        </w:rPr>
        <w:t> </w:t>
      </w:r>
      <w:r>
        <w:rPr>
          <w:sz w:val="13"/>
        </w:rPr>
        <w:t>the</w:t>
      </w:r>
      <w:r>
        <w:rPr>
          <w:spacing w:val="13"/>
          <w:sz w:val="13"/>
        </w:rPr>
        <w:t> </w:t>
      </w:r>
      <w:r>
        <w:rPr>
          <w:sz w:val="13"/>
        </w:rPr>
        <w:t>previous</w:t>
      </w:r>
      <w:r>
        <w:rPr>
          <w:spacing w:val="14"/>
          <w:sz w:val="13"/>
        </w:rPr>
        <w:t> </w:t>
      </w:r>
      <w:r>
        <w:rPr>
          <w:spacing w:val="-4"/>
          <w:sz w:val="13"/>
        </w:rPr>
        <w:t>year</w:t>
      </w:r>
      <w:r>
        <w:rPr>
          <w:sz w:val="13"/>
        </w:rPr>
        <w:tab/>
      </w:r>
      <w:r>
        <w:rPr>
          <w:sz w:val="13"/>
          <w:u w:val="single"/>
        </w:rPr>
        <w:tab/>
      </w:r>
      <w:r>
        <w:rPr>
          <w:spacing w:val="-5"/>
          <w:sz w:val="13"/>
          <w:u w:val="single"/>
        </w:rPr>
        <w:t>19</w:t>
      </w:r>
      <w:r>
        <w:rPr>
          <w:sz w:val="13"/>
          <w:u w:val="single"/>
        </w:rPr>
        <w:tab/>
      </w:r>
      <w:r>
        <w:rPr>
          <w:spacing w:val="-5"/>
          <w:sz w:val="13"/>
          <w:u w:val="single"/>
        </w:rPr>
        <w:t>89</w:t>
      </w:r>
      <w:r>
        <w:rPr>
          <w:sz w:val="13"/>
          <w:u w:val="single"/>
        </w:rPr>
        <w:tab/>
      </w:r>
      <w:r>
        <w:rPr>
          <w:spacing w:val="-5"/>
          <w:sz w:val="13"/>
          <w:u w:val="single"/>
        </w:rPr>
        <w:t>698</w:t>
      </w:r>
      <w:r>
        <w:rPr>
          <w:sz w:val="13"/>
          <w:u w:val="single"/>
        </w:rPr>
        <w:tab/>
      </w:r>
      <w:r>
        <w:rPr>
          <w:spacing w:val="-5"/>
          <w:sz w:val="13"/>
          <w:u w:val="single"/>
        </w:rPr>
        <w:t>675</w:t>
      </w:r>
      <w:r>
        <w:rPr>
          <w:spacing w:val="80"/>
          <w:sz w:val="13"/>
          <w:u w:val="single"/>
        </w:rPr>
        <w:t> </w:t>
      </w:r>
    </w:p>
    <w:p>
      <w:pPr>
        <w:tabs>
          <w:tab w:pos="4813" w:val="left" w:leader="none"/>
          <w:tab w:pos="5707" w:val="left" w:leader="none"/>
          <w:tab w:pos="6151" w:val="left" w:leader="none"/>
          <w:tab w:pos="6933" w:val="left" w:leader="none"/>
        </w:tabs>
        <w:spacing w:before="16"/>
        <w:ind w:left="782" w:right="0" w:firstLine="0"/>
        <w:jc w:val="left"/>
        <w:rPr>
          <w:sz w:val="13"/>
        </w:rPr>
      </w:pPr>
      <w:r>
        <w:rPr>
          <w:sz w:val="13"/>
        </w:rPr>
        <w:t>Total</w:t>
      </w:r>
      <w:r>
        <w:rPr>
          <w:spacing w:val="10"/>
          <w:sz w:val="13"/>
        </w:rPr>
        <w:t> </w:t>
      </w:r>
      <w:r>
        <w:rPr>
          <w:sz w:val="13"/>
        </w:rPr>
        <w:t>revenue</w:t>
      </w:r>
      <w:r>
        <w:rPr>
          <w:spacing w:val="15"/>
          <w:sz w:val="13"/>
        </w:rPr>
        <w:t> </w:t>
      </w:r>
      <w:r>
        <w:rPr>
          <w:sz w:val="13"/>
        </w:rPr>
        <w:t>including</w:t>
      </w:r>
      <w:r>
        <w:rPr>
          <w:spacing w:val="16"/>
          <w:sz w:val="13"/>
        </w:rPr>
        <w:t> </w:t>
      </w:r>
      <w:r>
        <w:rPr>
          <w:sz w:val="13"/>
        </w:rPr>
        <w:t>accrued</w:t>
      </w:r>
      <w:r>
        <w:rPr>
          <w:spacing w:val="16"/>
          <w:sz w:val="13"/>
        </w:rPr>
        <w:t> </w:t>
      </w:r>
      <w:r>
        <w:rPr>
          <w:spacing w:val="-2"/>
          <w:sz w:val="13"/>
        </w:rPr>
        <w:t>revenue</w:t>
      </w:r>
      <w:r>
        <w:rPr>
          <w:sz w:val="13"/>
        </w:rPr>
        <w:tab/>
      </w:r>
      <w:r>
        <w:rPr>
          <w:spacing w:val="-5"/>
          <w:sz w:val="13"/>
        </w:rPr>
        <w:t>19</w:t>
      </w:r>
      <w:r>
        <w:rPr>
          <w:sz w:val="13"/>
        </w:rPr>
        <w:tab/>
      </w:r>
      <w:r>
        <w:rPr>
          <w:spacing w:val="-5"/>
          <w:sz w:val="13"/>
        </w:rPr>
        <w:t>89</w:t>
      </w:r>
      <w:r>
        <w:rPr>
          <w:sz w:val="13"/>
        </w:rPr>
        <w:tab/>
      </w:r>
      <w:r>
        <w:rPr>
          <w:spacing w:val="-2"/>
          <w:sz w:val="13"/>
        </w:rPr>
        <w:t>158,445</w:t>
      </w:r>
      <w:r>
        <w:rPr>
          <w:sz w:val="13"/>
        </w:rPr>
        <w:tab/>
      </w:r>
      <w:r>
        <w:rPr>
          <w:spacing w:val="-2"/>
          <w:sz w:val="13"/>
        </w:rPr>
        <w:t>149,942</w:t>
      </w:r>
    </w:p>
    <w:p>
      <w:pPr>
        <w:tabs>
          <w:tab w:pos="4250" w:val="left" w:leader="none"/>
          <w:tab w:pos="4769" w:val="left" w:leader="none"/>
          <w:tab w:pos="5663" w:val="left" w:leader="none"/>
          <w:tab w:pos="6107" w:val="left" w:leader="none"/>
          <w:tab w:pos="6889" w:val="left" w:leader="none"/>
        </w:tabs>
        <w:spacing w:before="16"/>
        <w:ind w:left="782" w:right="0" w:firstLine="0"/>
        <w:jc w:val="left"/>
        <w:rPr>
          <w:sz w:val="13"/>
        </w:rPr>
      </w:pPr>
      <w:r>
        <w:rPr>
          <w:sz w:val="13"/>
        </w:rPr>
        <w:t>Less</w:t>
      </w:r>
      <w:r>
        <w:rPr>
          <w:spacing w:val="16"/>
          <w:sz w:val="13"/>
        </w:rPr>
        <w:t> </w:t>
      </w:r>
      <w:r>
        <w:rPr>
          <w:sz w:val="13"/>
        </w:rPr>
        <w:t>expenses</w:t>
      </w:r>
      <w:r>
        <w:rPr>
          <w:spacing w:val="16"/>
          <w:sz w:val="13"/>
        </w:rPr>
        <w:t> </w:t>
      </w:r>
      <w:r>
        <w:rPr>
          <w:sz w:val="13"/>
        </w:rPr>
        <w:t>including</w:t>
      </w:r>
      <w:r>
        <w:rPr>
          <w:spacing w:val="16"/>
          <w:sz w:val="13"/>
        </w:rPr>
        <w:t> </w:t>
      </w:r>
      <w:r>
        <w:rPr>
          <w:sz w:val="13"/>
        </w:rPr>
        <w:t>accrued</w:t>
      </w:r>
      <w:r>
        <w:rPr>
          <w:spacing w:val="17"/>
          <w:sz w:val="13"/>
        </w:rPr>
        <w:t> </w:t>
      </w:r>
      <w:r>
        <w:rPr>
          <w:spacing w:val="-2"/>
          <w:sz w:val="13"/>
        </w:rPr>
        <w:t>expenses</w:t>
      </w:r>
      <w:r>
        <w:rPr>
          <w:sz w:val="13"/>
        </w:rPr>
        <w:tab/>
      </w:r>
      <w:r>
        <w:rPr>
          <w:sz w:val="13"/>
          <w:u w:val="single"/>
        </w:rPr>
        <w:tab/>
      </w:r>
      <w:r>
        <w:rPr>
          <w:spacing w:val="-4"/>
          <w:sz w:val="13"/>
          <w:u w:val="single"/>
        </w:rPr>
        <w:t>(10)</w:t>
      </w:r>
      <w:r>
        <w:rPr>
          <w:sz w:val="13"/>
          <w:u w:val="single"/>
        </w:rPr>
        <w:tab/>
      </w:r>
      <w:r>
        <w:rPr>
          <w:spacing w:val="-4"/>
          <w:sz w:val="13"/>
          <w:u w:val="single"/>
        </w:rPr>
        <w:t>(70)</w:t>
      </w:r>
      <w:r>
        <w:rPr>
          <w:sz w:val="13"/>
          <w:u w:val="single"/>
        </w:rPr>
        <w:tab/>
      </w:r>
      <w:r>
        <w:rPr>
          <w:spacing w:val="-2"/>
          <w:sz w:val="13"/>
          <w:u w:val="single"/>
        </w:rPr>
        <w:t>(157,692)</w:t>
      </w:r>
      <w:r>
        <w:rPr>
          <w:sz w:val="13"/>
          <w:u w:val="single"/>
        </w:rPr>
        <w:tab/>
      </w:r>
      <w:r>
        <w:rPr>
          <w:spacing w:val="-2"/>
          <w:sz w:val="13"/>
          <w:u w:val="single"/>
        </w:rPr>
        <w:t>(149,244)</w:t>
      </w:r>
    </w:p>
    <w:p>
      <w:pPr>
        <w:tabs>
          <w:tab w:pos="4888" w:val="left" w:leader="none"/>
          <w:tab w:pos="5707" w:val="left" w:leader="none"/>
          <w:tab w:pos="6414" w:val="left" w:leader="none"/>
          <w:tab w:pos="7196" w:val="left" w:leader="none"/>
        </w:tabs>
        <w:spacing w:before="14"/>
        <w:ind w:left="782" w:right="0" w:firstLine="0"/>
        <w:jc w:val="left"/>
        <w:rPr>
          <w:sz w:val="13"/>
        </w:rPr>
      </w:pPr>
      <w:r>
        <w:rPr/>
        <mc:AlternateContent>
          <mc:Choice Requires="wps">
            <w:drawing>
              <wp:anchor distT="0" distB="0" distL="0" distR="0" allowOverlap="1" layoutInCell="1" locked="0" behindDoc="1" simplePos="0" relativeHeight="487775744">
                <wp:simplePos x="0" y="0"/>
                <wp:positionH relativeFrom="page">
                  <wp:posOffset>3359289</wp:posOffset>
                </wp:positionH>
                <wp:positionV relativeFrom="paragraph">
                  <wp:posOffset>108894</wp:posOffset>
                </wp:positionV>
                <wp:extent cx="2059939" cy="15875"/>
                <wp:effectExtent l="0" t="0" r="0" b="0"/>
                <wp:wrapTopAndBottom/>
                <wp:docPr id="1012" name="Graphic 1012"/>
                <wp:cNvGraphicFramePr>
                  <a:graphicFrameLocks/>
                </wp:cNvGraphicFramePr>
                <a:graphic>
                  <a:graphicData uri="http://schemas.microsoft.com/office/word/2010/wordprocessingShape">
                    <wps:wsp>
                      <wps:cNvPr id="1012" name="Graphic 1012"/>
                      <wps:cNvSpPr/>
                      <wps:spPr>
                        <a:xfrm>
                          <a:off x="0" y="0"/>
                          <a:ext cx="2059939" cy="15875"/>
                        </a:xfrm>
                        <a:custGeom>
                          <a:avLst/>
                          <a:gdLst/>
                          <a:ahLst/>
                          <a:cxnLst/>
                          <a:rect l="l" t="t" r="r" b="b"/>
                          <a:pathLst>
                            <a:path w="2059939" h="15875">
                              <a:moveTo>
                                <a:pt x="2059787" y="15468"/>
                              </a:moveTo>
                              <a:lnTo>
                                <a:pt x="2059787" y="0"/>
                              </a:lnTo>
                              <a:lnTo>
                                <a:pt x="0" y="0"/>
                              </a:lnTo>
                              <a:lnTo>
                                <a:pt x="0" y="15468"/>
                              </a:lnTo>
                              <a:lnTo>
                                <a:pt x="2059787" y="15468"/>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64.510986pt;margin-top:8.574366pt;width:162.188pt;height:1.218pt;mso-position-horizontal-relative:page;mso-position-vertical-relative:paragraph;z-index:-15540736;mso-wrap-distance-left:0;mso-wrap-distance-right:0" id="docshape699" filled="true" fillcolor="#000000" stroked="false">
                <v:fill type="solid"/>
                <w10:wrap type="topAndBottom"/>
              </v:rect>
            </w:pict>
          </mc:Fallback>
        </mc:AlternateContent>
      </w:r>
      <w:r>
        <w:rPr>
          <w:sz w:val="13"/>
        </w:rPr>
        <w:t>Surplus/(deficit)</w:t>
      </w:r>
      <w:r>
        <w:rPr>
          <w:spacing w:val="9"/>
          <w:sz w:val="13"/>
        </w:rPr>
        <w:t> </w:t>
      </w:r>
      <w:r>
        <w:rPr>
          <w:sz w:val="13"/>
        </w:rPr>
        <w:t>for</w:t>
      </w:r>
      <w:r>
        <w:rPr>
          <w:spacing w:val="10"/>
          <w:sz w:val="13"/>
        </w:rPr>
        <w:t> </w:t>
      </w:r>
      <w:r>
        <w:rPr>
          <w:sz w:val="13"/>
        </w:rPr>
        <w:t>the</w:t>
      </w:r>
      <w:r>
        <w:rPr>
          <w:spacing w:val="12"/>
          <w:sz w:val="13"/>
        </w:rPr>
        <w:t> </w:t>
      </w:r>
      <w:r>
        <w:rPr>
          <w:sz w:val="13"/>
        </w:rPr>
        <w:t>reporting</w:t>
      </w:r>
      <w:r>
        <w:rPr>
          <w:spacing w:val="12"/>
          <w:sz w:val="13"/>
        </w:rPr>
        <w:t> </w:t>
      </w:r>
      <w:r>
        <w:rPr>
          <w:spacing w:val="-2"/>
          <w:sz w:val="13"/>
        </w:rPr>
        <w:t>period</w:t>
      </w:r>
      <w:r>
        <w:rPr>
          <w:sz w:val="13"/>
        </w:rPr>
        <w:tab/>
      </w:r>
      <w:r>
        <w:rPr>
          <w:spacing w:val="-10"/>
          <w:sz w:val="13"/>
        </w:rPr>
        <w:t>9</w:t>
      </w:r>
      <w:r>
        <w:rPr>
          <w:sz w:val="13"/>
        </w:rPr>
        <w:tab/>
      </w:r>
      <w:r>
        <w:rPr>
          <w:spacing w:val="-5"/>
          <w:sz w:val="13"/>
        </w:rPr>
        <w:t>19</w:t>
      </w:r>
      <w:r>
        <w:rPr>
          <w:sz w:val="13"/>
        </w:rPr>
        <w:tab/>
      </w:r>
      <w:r>
        <w:rPr>
          <w:spacing w:val="-5"/>
          <w:sz w:val="13"/>
        </w:rPr>
        <w:t>753</w:t>
      </w:r>
      <w:r>
        <w:rPr>
          <w:sz w:val="13"/>
        </w:rPr>
        <w:tab/>
      </w:r>
      <w:r>
        <w:rPr>
          <w:spacing w:val="-5"/>
          <w:sz w:val="13"/>
        </w:rPr>
        <w:t>698</w:t>
      </w:r>
    </w:p>
    <w:p>
      <w:pPr>
        <w:spacing w:after="0"/>
        <w:jc w:val="left"/>
        <w:rPr>
          <w:sz w:val="13"/>
        </w:rPr>
        <w:sectPr>
          <w:type w:val="continuous"/>
          <w:pgSz w:w="16840" w:h="11910" w:orient="landscape"/>
          <w:pgMar w:header="0" w:footer="0" w:top="980" w:bottom="280" w:left="1040" w:right="1600"/>
        </w:sectPr>
      </w:pPr>
    </w:p>
    <w:p>
      <w:pPr>
        <w:spacing w:before="67"/>
        <w:ind w:left="246" w:right="0" w:firstLine="0"/>
        <w:jc w:val="left"/>
        <w:rPr>
          <w:sz w:val="22"/>
        </w:rPr>
      </w:pPr>
      <w:r>
        <w:rPr>
          <w:color w:val="0070C0"/>
          <w:sz w:val="22"/>
        </w:rPr>
        <w:t>NOTES</w:t>
      </w:r>
      <w:r>
        <w:rPr>
          <w:color w:val="0070C0"/>
          <w:spacing w:val="-2"/>
          <w:sz w:val="22"/>
        </w:rPr>
        <w:t> </w:t>
      </w:r>
      <w:r>
        <w:rPr>
          <w:color w:val="0070C0"/>
          <w:sz w:val="22"/>
        </w:rPr>
        <w:t>TO</w:t>
      </w:r>
      <w:r>
        <w:rPr>
          <w:color w:val="0070C0"/>
          <w:spacing w:val="-3"/>
          <w:sz w:val="22"/>
        </w:rPr>
        <w:t> </w:t>
      </w:r>
      <w:r>
        <w:rPr>
          <w:color w:val="0070C0"/>
          <w:sz w:val="22"/>
        </w:rPr>
        <w:t>THE</w:t>
      </w:r>
      <w:r>
        <w:rPr>
          <w:color w:val="0070C0"/>
          <w:spacing w:val="-1"/>
          <w:sz w:val="22"/>
        </w:rPr>
        <w:t> </w:t>
      </w:r>
      <w:r>
        <w:rPr>
          <w:color w:val="0070C0"/>
          <w:sz w:val="22"/>
        </w:rPr>
        <w:t>FINANCIAL</w:t>
      </w:r>
      <w:r>
        <w:rPr>
          <w:color w:val="0070C0"/>
          <w:spacing w:val="-1"/>
          <w:sz w:val="22"/>
        </w:rPr>
        <w:t> </w:t>
      </w:r>
      <w:r>
        <w:rPr>
          <w:color w:val="0070C0"/>
          <w:spacing w:val="-2"/>
          <w:sz w:val="22"/>
        </w:rPr>
        <w:t>STATEMENTS</w:t>
      </w:r>
    </w:p>
    <w:p>
      <w:pPr>
        <w:spacing w:before="21"/>
        <w:ind w:left="231" w:right="0" w:firstLine="0"/>
        <w:jc w:val="left"/>
        <w:rPr>
          <w:sz w:val="12"/>
        </w:rPr>
      </w:pPr>
      <w:r>
        <w:rPr>
          <w:w w:val="105"/>
          <w:sz w:val="12"/>
        </w:rPr>
        <w:t>for</w:t>
      </w:r>
      <w:r>
        <w:rPr>
          <w:spacing w:val="-4"/>
          <w:w w:val="105"/>
          <w:sz w:val="12"/>
        </w:rPr>
        <w:t> </w:t>
      </w:r>
      <w:r>
        <w:rPr>
          <w:w w:val="105"/>
          <w:sz w:val="12"/>
        </w:rPr>
        <w:t>the</w:t>
      </w:r>
      <w:r>
        <w:rPr>
          <w:spacing w:val="-3"/>
          <w:w w:val="105"/>
          <w:sz w:val="12"/>
        </w:rPr>
        <w:t> </w:t>
      </w:r>
      <w:r>
        <w:rPr>
          <w:w w:val="105"/>
          <w:sz w:val="12"/>
        </w:rPr>
        <w:t>year</w:t>
      </w:r>
      <w:r>
        <w:rPr>
          <w:spacing w:val="-3"/>
          <w:w w:val="105"/>
          <w:sz w:val="12"/>
        </w:rPr>
        <w:t> </w:t>
      </w:r>
      <w:r>
        <w:rPr>
          <w:w w:val="105"/>
          <w:sz w:val="12"/>
        </w:rPr>
        <w:t>ended</w:t>
      </w:r>
      <w:r>
        <w:rPr>
          <w:spacing w:val="-4"/>
          <w:w w:val="105"/>
          <w:sz w:val="12"/>
        </w:rPr>
        <w:t> </w:t>
      </w:r>
      <w:r>
        <w:rPr>
          <w:w w:val="105"/>
          <w:sz w:val="12"/>
        </w:rPr>
        <w:t>31</w:t>
      </w:r>
      <w:r>
        <w:rPr>
          <w:spacing w:val="-3"/>
          <w:w w:val="105"/>
          <w:sz w:val="12"/>
        </w:rPr>
        <w:t> </w:t>
      </w:r>
      <w:r>
        <w:rPr>
          <w:w w:val="105"/>
          <w:sz w:val="12"/>
        </w:rPr>
        <w:t>December</w:t>
      </w:r>
      <w:r>
        <w:rPr>
          <w:spacing w:val="-3"/>
          <w:w w:val="105"/>
          <w:sz w:val="12"/>
        </w:rPr>
        <w:t> </w:t>
      </w:r>
      <w:r>
        <w:rPr>
          <w:spacing w:val="-4"/>
          <w:w w:val="105"/>
          <w:sz w:val="12"/>
        </w:rPr>
        <w:t>2020</w:t>
      </w:r>
    </w:p>
    <w:p>
      <w:pPr>
        <w:spacing w:line="240" w:lineRule="auto" w:before="30"/>
        <w:rPr>
          <w:sz w:val="20"/>
        </w:rPr>
      </w:pPr>
    </w:p>
    <w:p>
      <w:pPr>
        <w:spacing w:after="0" w:line="240" w:lineRule="auto"/>
        <w:rPr>
          <w:sz w:val="20"/>
        </w:rPr>
        <w:sectPr>
          <w:headerReference w:type="default" r:id="rId124"/>
          <w:pgSz w:w="16840" w:h="11910" w:orient="landscape"/>
          <w:pgMar w:header="0" w:footer="0" w:top="1060" w:bottom="280" w:left="1040" w:right="1600"/>
        </w:sectPr>
      </w:pPr>
    </w:p>
    <w:p>
      <w:pPr>
        <w:spacing w:line="240" w:lineRule="auto" w:before="131"/>
        <w:rPr>
          <w:sz w:val="13"/>
        </w:rPr>
      </w:pPr>
    </w:p>
    <w:p>
      <w:pPr>
        <w:spacing w:before="0"/>
        <w:ind w:left="4762" w:right="0" w:firstLine="0"/>
        <w:jc w:val="left"/>
        <w:rPr>
          <w:b/>
          <w:sz w:val="13"/>
        </w:rPr>
      </w:pPr>
      <w:r>
        <w:rPr>
          <w:b/>
          <w:w w:val="105"/>
          <w:sz w:val="13"/>
        </w:rPr>
        <w:t>HECS -</w:t>
      </w:r>
      <w:r>
        <w:rPr>
          <w:b/>
          <w:spacing w:val="-2"/>
          <w:w w:val="105"/>
          <w:sz w:val="13"/>
        </w:rPr>
        <w:t> </w:t>
      </w:r>
      <w:r>
        <w:rPr>
          <w:b/>
          <w:spacing w:val="-4"/>
          <w:w w:val="105"/>
          <w:sz w:val="13"/>
        </w:rPr>
        <w:t>HELP</w:t>
      </w:r>
    </w:p>
    <w:p>
      <w:pPr>
        <w:spacing w:line="285" w:lineRule="auto" w:before="28"/>
        <w:ind w:left="4853" w:right="0" w:hanging="188"/>
        <w:jc w:val="left"/>
        <w:rPr>
          <w:b/>
          <w:sz w:val="13"/>
        </w:rPr>
      </w:pPr>
      <w:r>
        <w:rPr/>
        <mc:AlternateContent>
          <mc:Choice Requires="wps">
            <w:drawing>
              <wp:anchor distT="0" distB="0" distL="0" distR="0" allowOverlap="1" layoutInCell="1" locked="0" behindDoc="0" simplePos="0" relativeHeight="15919616">
                <wp:simplePos x="0" y="0"/>
                <wp:positionH relativeFrom="page">
                  <wp:posOffset>753491</wp:posOffset>
                </wp:positionH>
                <wp:positionV relativeFrom="paragraph">
                  <wp:posOffset>211875</wp:posOffset>
                </wp:positionV>
                <wp:extent cx="6854190" cy="484505"/>
                <wp:effectExtent l="0" t="0" r="0" b="0"/>
                <wp:wrapNone/>
                <wp:docPr id="1013" name="Textbox 1013"/>
                <wp:cNvGraphicFramePr>
                  <a:graphicFrameLocks/>
                </wp:cNvGraphicFramePr>
                <a:graphic>
                  <a:graphicData uri="http://schemas.microsoft.com/office/word/2010/wordprocessingShape">
                    <wps:wsp>
                      <wps:cNvPr id="1013" name="Textbox 1013"/>
                      <wps:cNvSpPr txBox="1"/>
                      <wps:spPr>
                        <a:xfrm>
                          <a:off x="0" y="0"/>
                          <a:ext cx="6854190" cy="484505"/>
                        </a:xfrm>
                        <a:prstGeom prst="rect">
                          <a:avLst/>
                        </a:prstGeom>
                      </wps:spPr>
                      <wps:txbx>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65"/>
                              <w:gridCol w:w="3216"/>
                              <w:gridCol w:w="628"/>
                              <w:gridCol w:w="762"/>
                              <w:gridCol w:w="861"/>
                              <w:gridCol w:w="832"/>
                              <w:gridCol w:w="803"/>
                              <w:gridCol w:w="803"/>
                              <w:gridCol w:w="803"/>
                              <w:gridCol w:w="803"/>
                              <w:gridCol w:w="798"/>
                            </w:tblGrid>
                            <w:tr>
                              <w:trPr>
                                <w:trHeight w:val="383" w:hRule="atLeast"/>
                              </w:trPr>
                              <w:tc>
                                <w:tcPr>
                                  <w:tcW w:w="365" w:type="dxa"/>
                                  <w:tcBorders>
                                    <w:bottom w:val="single" w:sz="6" w:space="0" w:color="000000"/>
                                  </w:tcBorders>
                                </w:tcPr>
                                <w:p>
                                  <w:pPr>
                                    <w:pStyle w:val="TableParagraph"/>
                                    <w:spacing w:before="60"/>
                                    <w:ind w:left="27"/>
                                    <w:rPr>
                                      <w:b/>
                                      <w:sz w:val="13"/>
                                    </w:rPr>
                                  </w:pPr>
                                  <w:r>
                                    <w:rPr>
                                      <w:b/>
                                      <w:color w:val="0070C0"/>
                                      <w:spacing w:val="-5"/>
                                      <w:w w:val="105"/>
                                      <w:sz w:val="13"/>
                                    </w:rPr>
                                    <w:t>b)</w:t>
                                  </w:r>
                                </w:p>
                              </w:tc>
                              <w:tc>
                                <w:tcPr>
                                  <w:tcW w:w="3216" w:type="dxa"/>
                                  <w:tcBorders>
                                    <w:bottom w:val="single" w:sz="6" w:space="0" w:color="000000"/>
                                  </w:tcBorders>
                                </w:tcPr>
                                <w:p>
                                  <w:pPr>
                                    <w:pStyle w:val="TableParagraph"/>
                                    <w:spacing w:line="170" w:lineRule="atLeast" w:before="23"/>
                                    <w:ind w:left="205"/>
                                    <w:rPr>
                                      <w:b/>
                                      <w:sz w:val="13"/>
                                    </w:rPr>
                                  </w:pPr>
                                  <w:r>
                                    <w:rPr>
                                      <w:b/>
                                      <w:color w:val="0070C0"/>
                                      <w:w w:val="105"/>
                                      <w:sz w:val="13"/>
                                    </w:rPr>
                                    <w:t>Higher</w:t>
                                  </w:r>
                                  <w:r>
                                    <w:rPr>
                                      <w:b/>
                                      <w:color w:val="0070C0"/>
                                      <w:spacing w:val="-2"/>
                                      <w:w w:val="105"/>
                                      <w:sz w:val="13"/>
                                    </w:rPr>
                                    <w:t> </w:t>
                                  </w:r>
                                  <w:r>
                                    <w:rPr>
                                      <w:b/>
                                      <w:color w:val="0070C0"/>
                                      <w:w w:val="105"/>
                                      <w:sz w:val="13"/>
                                    </w:rPr>
                                    <w:t>Education Loan Programs (excl</w:t>
                                  </w:r>
                                  <w:r>
                                    <w:rPr>
                                      <w:b/>
                                      <w:color w:val="0070C0"/>
                                      <w:spacing w:val="-2"/>
                                      <w:w w:val="105"/>
                                      <w:sz w:val="13"/>
                                    </w:rPr>
                                    <w:t> </w:t>
                                  </w:r>
                                  <w:r>
                                    <w:rPr>
                                      <w:b/>
                                      <w:color w:val="0070C0"/>
                                      <w:w w:val="105"/>
                                      <w:sz w:val="13"/>
                                    </w:rPr>
                                    <w:t>OS-</w:t>
                                  </w:r>
                                  <w:r>
                                    <w:rPr>
                                      <w:b/>
                                      <w:color w:val="0070C0"/>
                                      <w:spacing w:val="40"/>
                                      <w:w w:val="105"/>
                                      <w:sz w:val="13"/>
                                    </w:rPr>
                                    <w:t> </w:t>
                                  </w:r>
                                  <w:r>
                                    <w:rPr>
                                      <w:b/>
                                      <w:color w:val="0070C0"/>
                                      <w:spacing w:val="-2"/>
                                      <w:w w:val="105"/>
                                      <w:sz w:val="13"/>
                                    </w:rPr>
                                    <w:t>HELP)</w:t>
                                  </w:r>
                                </w:p>
                              </w:tc>
                              <w:tc>
                                <w:tcPr>
                                  <w:tcW w:w="628" w:type="dxa"/>
                                  <w:tcBorders>
                                    <w:bottom w:val="single" w:sz="6" w:space="0" w:color="000000"/>
                                  </w:tcBorders>
                                </w:tcPr>
                                <w:p>
                                  <w:pPr>
                                    <w:pStyle w:val="TableParagraph"/>
                                    <w:spacing w:before="80"/>
                                    <w:rPr>
                                      <w:b/>
                                      <w:sz w:val="13"/>
                                    </w:rPr>
                                  </w:pPr>
                                </w:p>
                                <w:p>
                                  <w:pPr>
                                    <w:pStyle w:val="TableParagraph"/>
                                    <w:spacing w:line="133" w:lineRule="exact" w:before="1"/>
                                    <w:ind w:left="162"/>
                                    <w:rPr>
                                      <w:b/>
                                      <w:sz w:val="13"/>
                                    </w:rPr>
                                  </w:pPr>
                                  <w:r>
                                    <w:rPr>
                                      <w:b/>
                                      <w:spacing w:val="-4"/>
                                      <w:w w:val="105"/>
                                      <w:sz w:val="13"/>
                                    </w:rPr>
                                    <w:t>Note</w:t>
                                  </w:r>
                                </w:p>
                              </w:tc>
                              <w:tc>
                                <w:tcPr>
                                  <w:tcW w:w="762" w:type="dxa"/>
                                  <w:tcBorders>
                                    <w:bottom w:val="single" w:sz="6" w:space="0" w:color="000000"/>
                                  </w:tcBorders>
                                </w:tcPr>
                                <w:p>
                                  <w:pPr>
                                    <w:pStyle w:val="TableParagraph"/>
                                    <w:spacing w:before="60"/>
                                    <w:ind w:left="174"/>
                                    <w:rPr>
                                      <w:b/>
                                      <w:sz w:val="13"/>
                                    </w:rPr>
                                  </w:pPr>
                                  <w:r>
                                    <w:rPr>
                                      <w:b/>
                                      <w:spacing w:val="-4"/>
                                      <w:w w:val="105"/>
                                      <w:sz w:val="13"/>
                                    </w:rPr>
                                    <w:t>2020</w:t>
                                  </w:r>
                                </w:p>
                                <w:p>
                                  <w:pPr>
                                    <w:pStyle w:val="TableParagraph"/>
                                    <w:spacing w:line="133" w:lineRule="exact" w:before="21"/>
                                    <w:ind w:left="159"/>
                                    <w:rPr>
                                      <w:b/>
                                      <w:sz w:val="13"/>
                                    </w:rPr>
                                  </w:pPr>
                                  <w:r>
                                    <w:rPr>
                                      <w:b/>
                                      <w:spacing w:val="-2"/>
                                      <w:w w:val="105"/>
                                      <w:sz w:val="13"/>
                                    </w:rPr>
                                    <w:t>$'000</w:t>
                                  </w:r>
                                </w:p>
                              </w:tc>
                              <w:tc>
                                <w:tcPr>
                                  <w:tcW w:w="861" w:type="dxa"/>
                                  <w:tcBorders>
                                    <w:bottom w:val="single" w:sz="6" w:space="0" w:color="000000"/>
                                  </w:tcBorders>
                                </w:tcPr>
                                <w:p>
                                  <w:pPr>
                                    <w:pStyle w:val="TableParagraph"/>
                                    <w:spacing w:before="60"/>
                                    <w:ind w:left="273"/>
                                    <w:rPr>
                                      <w:b/>
                                      <w:sz w:val="13"/>
                                    </w:rPr>
                                  </w:pPr>
                                  <w:r>
                                    <w:rPr>
                                      <w:b/>
                                      <w:spacing w:val="-4"/>
                                      <w:w w:val="105"/>
                                      <w:sz w:val="13"/>
                                    </w:rPr>
                                    <w:t>2019</w:t>
                                  </w:r>
                                </w:p>
                                <w:p>
                                  <w:pPr>
                                    <w:pStyle w:val="TableParagraph"/>
                                    <w:spacing w:line="133" w:lineRule="exact" w:before="21"/>
                                    <w:ind w:left="258"/>
                                    <w:rPr>
                                      <w:b/>
                                      <w:sz w:val="13"/>
                                    </w:rPr>
                                  </w:pPr>
                                  <w:r>
                                    <w:rPr>
                                      <w:b/>
                                      <w:spacing w:val="-2"/>
                                      <w:w w:val="105"/>
                                      <w:sz w:val="13"/>
                                    </w:rPr>
                                    <w:t>$'000</w:t>
                                  </w:r>
                                </w:p>
                              </w:tc>
                              <w:tc>
                                <w:tcPr>
                                  <w:tcW w:w="832" w:type="dxa"/>
                                  <w:tcBorders>
                                    <w:bottom w:val="single" w:sz="6" w:space="0" w:color="000000"/>
                                  </w:tcBorders>
                                </w:tcPr>
                                <w:p>
                                  <w:pPr>
                                    <w:pStyle w:val="TableParagraph"/>
                                    <w:spacing w:before="60"/>
                                    <w:ind w:left="273"/>
                                    <w:rPr>
                                      <w:b/>
                                      <w:sz w:val="13"/>
                                    </w:rPr>
                                  </w:pPr>
                                  <w:r>
                                    <w:rPr>
                                      <w:b/>
                                      <w:spacing w:val="-4"/>
                                      <w:w w:val="105"/>
                                      <w:sz w:val="13"/>
                                    </w:rPr>
                                    <w:t>2020</w:t>
                                  </w:r>
                                </w:p>
                                <w:p>
                                  <w:pPr>
                                    <w:pStyle w:val="TableParagraph"/>
                                    <w:spacing w:line="133" w:lineRule="exact" w:before="21"/>
                                    <w:ind w:left="258"/>
                                    <w:rPr>
                                      <w:b/>
                                      <w:sz w:val="13"/>
                                    </w:rPr>
                                  </w:pPr>
                                  <w:r>
                                    <w:rPr>
                                      <w:b/>
                                      <w:spacing w:val="-2"/>
                                      <w:w w:val="105"/>
                                      <w:sz w:val="13"/>
                                    </w:rPr>
                                    <w:t>$'000</w:t>
                                  </w:r>
                                </w:p>
                              </w:tc>
                              <w:tc>
                                <w:tcPr>
                                  <w:tcW w:w="803" w:type="dxa"/>
                                  <w:tcBorders>
                                    <w:bottom w:val="single" w:sz="6" w:space="0" w:color="000000"/>
                                  </w:tcBorders>
                                </w:tcPr>
                                <w:p>
                                  <w:pPr>
                                    <w:pStyle w:val="TableParagraph"/>
                                    <w:spacing w:before="60"/>
                                    <w:ind w:left="244"/>
                                    <w:rPr>
                                      <w:b/>
                                      <w:sz w:val="13"/>
                                    </w:rPr>
                                  </w:pPr>
                                  <w:r>
                                    <w:rPr>
                                      <w:b/>
                                      <w:spacing w:val="-4"/>
                                      <w:w w:val="105"/>
                                      <w:sz w:val="13"/>
                                    </w:rPr>
                                    <w:t>2019</w:t>
                                  </w:r>
                                </w:p>
                                <w:p>
                                  <w:pPr>
                                    <w:pStyle w:val="TableParagraph"/>
                                    <w:spacing w:line="133" w:lineRule="exact" w:before="21"/>
                                    <w:ind w:left="229"/>
                                    <w:rPr>
                                      <w:b/>
                                      <w:sz w:val="13"/>
                                    </w:rPr>
                                  </w:pPr>
                                  <w:r>
                                    <w:rPr>
                                      <w:b/>
                                      <w:spacing w:val="-2"/>
                                      <w:w w:val="105"/>
                                      <w:sz w:val="13"/>
                                    </w:rPr>
                                    <w:t>$'000</w:t>
                                  </w:r>
                                </w:p>
                              </w:tc>
                              <w:tc>
                                <w:tcPr>
                                  <w:tcW w:w="803" w:type="dxa"/>
                                  <w:tcBorders>
                                    <w:bottom w:val="single" w:sz="6" w:space="0" w:color="000000"/>
                                  </w:tcBorders>
                                </w:tcPr>
                                <w:p>
                                  <w:pPr>
                                    <w:pStyle w:val="TableParagraph"/>
                                    <w:spacing w:before="60"/>
                                    <w:ind w:left="244"/>
                                    <w:rPr>
                                      <w:b/>
                                      <w:sz w:val="13"/>
                                    </w:rPr>
                                  </w:pPr>
                                  <w:r>
                                    <w:rPr>
                                      <w:b/>
                                      <w:spacing w:val="-4"/>
                                      <w:w w:val="105"/>
                                      <w:sz w:val="13"/>
                                    </w:rPr>
                                    <w:t>2020</w:t>
                                  </w:r>
                                </w:p>
                                <w:p>
                                  <w:pPr>
                                    <w:pStyle w:val="TableParagraph"/>
                                    <w:spacing w:line="133" w:lineRule="exact" w:before="21"/>
                                    <w:ind w:left="229"/>
                                    <w:rPr>
                                      <w:b/>
                                      <w:sz w:val="13"/>
                                    </w:rPr>
                                  </w:pPr>
                                  <w:r>
                                    <w:rPr>
                                      <w:b/>
                                      <w:spacing w:val="-2"/>
                                      <w:w w:val="105"/>
                                      <w:sz w:val="13"/>
                                    </w:rPr>
                                    <w:t>$'000</w:t>
                                  </w:r>
                                </w:p>
                              </w:tc>
                              <w:tc>
                                <w:tcPr>
                                  <w:tcW w:w="803" w:type="dxa"/>
                                  <w:tcBorders>
                                    <w:bottom w:val="single" w:sz="6" w:space="0" w:color="000000"/>
                                  </w:tcBorders>
                                </w:tcPr>
                                <w:p>
                                  <w:pPr>
                                    <w:pStyle w:val="TableParagraph"/>
                                    <w:spacing w:before="60"/>
                                    <w:ind w:left="244"/>
                                    <w:rPr>
                                      <w:b/>
                                      <w:sz w:val="13"/>
                                    </w:rPr>
                                  </w:pPr>
                                  <w:r>
                                    <w:rPr>
                                      <w:b/>
                                      <w:spacing w:val="-4"/>
                                      <w:w w:val="105"/>
                                      <w:sz w:val="13"/>
                                    </w:rPr>
                                    <w:t>2019</w:t>
                                  </w:r>
                                </w:p>
                                <w:p>
                                  <w:pPr>
                                    <w:pStyle w:val="TableParagraph"/>
                                    <w:spacing w:line="133" w:lineRule="exact" w:before="21"/>
                                    <w:ind w:left="229"/>
                                    <w:rPr>
                                      <w:b/>
                                      <w:sz w:val="13"/>
                                    </w:rPr>
                                  </w:pPr>
                                  <w:r>
                                    <w:rPr>
                                      <w:b/>
                                      <w:spacing w:val="-2"/>
                                      <w:w w:val="105"/>
                                      <w:sz w:val="13"/>
                                    </w:rPr>
                                    <w:t>$'000</w:t>
                                  </w:r>
                                </w:p>
                              </w:tc>
                              <w:tc>
                                <w:tcPr>
                                  <w:tcW w:w="803" w:type="dxa"/>
                                  <w:tcBorders>
                                    <w:bottom w:val="single" w:sz="6" w:space="0" w:color="000000"/>
                                  </w:tcBorders>
                                </w:tcPr>
                                <w:p>
                                  <w:pPr>
                                    <w:pStyle w:val="TableParagraph"/>
                                    <w:spacing w:before="60"/>
                                    <w:ind w:left="244"/>
                                    <w:rPr>
                                      <w:b/>
                                      <w:sz w:val="13"/>
                                    </w:rPr>
                                  </w:pPr>
                                  <w:r>
                                    <w:rPr>
                                      <w:b/>
                                      <w:spacing w:val="-4"/>
                                      <w:w w:val="105"/>
                                      <w:sz w:val="13"/>
                                    </w:rPr>
                                    <w:t>2020</w:t>
                                  </w:r>
                                </w:p>
                                <w:p>
                                  <w:pPr>
                                    <w:pStyle w:val="TableParagraph"/>
                                    <w:spacing w:line="133" w:lineRule="exact" w:before="21"/>
                                    <w:ind w:left="229"/>
                                    <w:rPr>
                                      <w:b/>
                                      <w:sz w:val="13"/>
                                    </w:rPr>
                                  </w:pPr>
                                  <w:r>
                                    <w:rPr>
                                      <w:b/>
                                      <w:spacing w:val="-2"/>
                                      <w:w w:val="105"/>
                                      <w:sz w:val="13"/>
                                    </w:rPr>
                                    <w:t>$'000</w:t>
                                  </w:r>
                                </w:p>
                              </w:tc>
                              <w:tc>
                                <w:tcPr>
                                  <w:tcW w:w="798" w:type="dxa"/>
                                  <w:tcBorders>
                                    <w:bottom w:val="single" w:sz="6" w:space="0" w:color="000000"/>
                                  </w:tcBorders>
                                </w:tcPr>
                                <w:p>
                                  <w:pPr>
                                    <w:pStyle w:val="TableParagraph"/>
                                    <w:spacing w:before="60"/>
                                    <w:ind w:left="244"/>
                                    <w:rPr>
                                      <w:b/>
                                      <w:sz w:val="13"/>
                                    </w:rPr>
                                  </w:pPr>
                                  <w:r>
                                    <w:rPr>
                                      <w:b/>
                                      <w:spacing w:val="-4"/>
                                      <w:w w:val="105"/>
                                      <w:sz w:val="13"/>
                                    </w:rPr>
                                    <w:t>2019</w:t>
                                  </w:r>
                                </w:p>
                                <w:p>
                                  <w:pPr>
                                    <w:pStyle w:val="TableParagraph"/>
                                    <w:spacing w:line="133" w:lineRule="exact" w:before="21"/>
                                    <w:ind w:left="229"/>
                                    <w:rPr>
                                      <w:b/>
                                      <w:sz w:val="13"/>
                                    </w:rPr>
                                  </w:pPr>
                                  <w:r>
                                    <w:rPr>
                                      <w:b/>
                                      <w:spacing w:val="-2"/>
                                      <w:w w:val="105"/>
                                      <w:sz w:val="13"/>
                                    </w:rPr>
                                    <w:t>$'000</w:t>
                                  </w:r>
                                </w:p>
                              </w:tc>
                            </w:tr>
                            <w:tr>
                              <w:trPr>
                                <w:trHeight w:val="365" w:hRule="atLeast"/>
                              </w:trPr>
                              <w:tc>
                                <w:tcPr>
                                  <w:tcW w:w="365" w:type="dxa"/>
                                  <w:tcBorders>
                                    <w:top w:val="single" w:sz="6" w:space="0" w:color="000000"/>
                                  </w:tcBorders>
                                </w:tcPr>
                                <w:p>
                                  <w:pPr>
                                    <w:pStyle w:val="TableParagraph"/>
                                    <w:rPr>
                                      <w:rFonts w:ascii="Times New Roman"/>
                                      <w:sz w:val="14"/>
                                    </w:rPr>
                                  </w:pPr>
                                </w:p>
                              </w:tc>
                              <w:tc>
                                <w:tcPr>
                                  <w:tcW w:w="3216" w:type="dxa"/>
                                  <w:tcBorders>
                                    <w:top w:val="single" w:sz="6" w:space="0" w:color="000000"/>
                                  </w:tcBorders>
                                </w:tcPr>
                                <w:p>
                                  <w:pPr>
                                    <w:pStyle w:val="TableParagraph"/>
                                    <w:spacing w:before="15"/>
                                    <w:rPr>
                                      <w:b/>
                                      <w:sz w:val="13"/>
                                    </w:rPr>
                                  </w:pPr>
                                </w:p>
                                <w:p>
                                  <w:pPr>
                                    <w:pStyle w:val="TableParagraph"/>
                                    <w:ind w:left="205"/>
                                    <w:rPr>
                                      <w:sz w:val="13"/>
                                    </w:rPr>
                                  </w:pPr>
                                  <w:r>
                                    <w:rPr>
                                      <w:w w:val="105"/>
                                      <w:sz w:val="13"/>
                                    </w:rPr>
                                    <w:t>Cash</w:t>
                                  </w:r>
                                  <w:r>
                                    <w:rPr>
                                      <w:spacing w:val="-1"/>
                                      <w:w w:val="105"/>
                                      <w:sz w:val="13"/>
                                    </w:rPr>
                                    <w:t> </w:t>
                                  </w:r>
                                  <w:r>
                                    <w:rPr>
                                      <w:w w:val="105"/>
                                      <w:sz w:val="13"/>
                                    </w:rPr>
                                    <w:t>Payable/(Receivable)</w:t>
                                  </w:r>
                                  <w:r>
                                    <w:rPr>
                                      <w:spacing w:val="-2"/>
                                      <w:w w:val="105"/>
                                      <w:sz w:val="13"/>
                                    </w:rPr>
                                    <w:t> </w:t>
                                  </w:r>
                                  <w:r>
                                    <w:rPr>
                                      <w:w w:val="105"/>
                                      <w:sz w:val="13"/>
                                    </w:rPr>
                                    <w:t>at</w:t>
                                  </w:r>
                                  <w:r>
                                    <w:rPr>
                                      <w:spacing w:val="-2"/>
                                      <w:w w:val="105"/>
                                      <w:sz w:val="13"/>
                                    </w:rPr>
                                    <w:t> </w:t>
                                  </w:r>
                                  <w:r>
                                    <w:rPr>
                                      <w:w w:val="105"/>
                                      <w:sz w:val="13"/>
                                    </w:rPr>
                                    <w:t>the beginning</w:t>
                                  </w:r>
                                  <w:r>
                                    <w:rPr>
                                      <w:spacing w:val="-1"/>
                                      <w:w w:val="105"/>
                                      <w:sz w:val="13"/>
                                    </w:rPr>
                                    <w:t> </w:t>
                                  </w:r>
                                  <w:r>
                                    <w:rPr>
                                      <w:spacing w:val="-5"/>
                                      <w:w w:val="105"/>
                                      <w:sz w:val="13"/>
                                    </w:rPr>
                                    <w:t>of</w:t>
                                  </w:r>
                                </w:p>
                              </w:tc>
                              <w:tc>
                                <w:tcPr>
                                  <w:tcW w:w="628" w:type="dxa"/>
                                  <w:tcBorders>
                                    <w:top w:val="single" w:sz="6" w:space="0" w:color="000000"/>
                                  </w:tcBorders>
                                </w:tcPr>
                                <w:p>
                                  <w:pPr>
                                    <w:pStyle w:val="TableParagraph"/>
                                    <w:rPr>
                                      <w:rFonts w:ascii="Times New Roman"/>
                                      <w:sz w:val="14"/>
                                    </w:rPr>
                                  </w:pPr>
                                </w:p>
                              </w:tc>
                              <w:tc>
                                <w:tcPr>
                                  <w:tcW w:w="762" w:type="dxa"/>
                                  <w:tcBorders>
                                    <w:top w:val="single" w:sz="6" w:space="0" w:color="000000"/>
                                  </w:tcBorders>
                                </w:tcPr>
                                <w:p>
                                  <w:pPr>
                                    <w:pStyle w:val="TableParagraph"/>
                                    <w:rPr>
                                      <w:rFonts w:ascii="Times New Roman"/>
                                      <w:sz w:val="14"/>
                                    </w:rPr>
                                  </w:pPr>
                                </w:p>
                              </w:tc>
                              <w:tc>
                                <w:tcPr>
                                  <w:tcW w:w="861" w:type="dxa"/>
                                  <w:tcBorders>
                                    <w:top w:val="single" w:sz="6" w:space="0" w:color="000000"/>
                                  </w:tcBorders>
                                </w:tcPr>
                                <w:p>
                                  <w:pPr>
                                    <w:pStyle w:val="TableParagraph"/>
                                    <w:rPr>
                                      <w:rFonts w:ascii="Times New Roman"/>
                                      <w:sz w:val="14"/>
                                    </w:rPr>
                                  </w:pPr>
                                </w:p>
                              </w:tc>
                              <w:tc>
                                <w:tcPr>
                                  <w:tcW w:w="832" w:type="dxa"/>
                                  <w:tcBorders>
                                    <w:top w:val="single" w:sz="6" w:space="0" w:color="000000"/>
                                  </w:tcBorders>
                                </w:tcPr>
                                <w:p>
                                  <w:pPr>
                                    <w:pStyle w:val="TableParagraph"/>
                                    <w:rPr>
                                      <w:rFonts w:ascii="Times New Roman"/>
                                      <w:sz w:val="14"/>
                                    </w:rPr>
                                  </w:pPr>
                                </w:p>
                              </w:tc>
                              <w:tc>
                                <w:tcPr>
                                  <w:tcW w:w="803" w:type="dxa"/>
                                  <w:tcBorders>
                                    <w:top w:val="single" w:sz="6" w:space="0" w:color="000000"/>
                                  </w:tcBorders>
                                </w:tcPr>
                                <w:p>
                                  <w:pPr>
                                    <w:pStyle w:val="TableParagraph"/>
                                    <w:rPr>
                                      <w:rFonts w:ascii="Times New Roman"/>
                                      <w:sz w:val="14"/>
                                    </w:rPr>
                                  </w:pPr>
                                </w:p>
                              </w:tc>
                              <w:tc>
                                <w:tcPr>
                                  <w:tcW w:w="803" w:type="dxa"/>
                                  <w:tcBorders>
                                    <w:top w:val="single" w:sz="6" w:space="0" w:color="000000"/>
                                  </w:tcBorders>
                                </w:tcPr>
                                <w:p>
                                  <w:pPr>
                                    <w:pStyle w:val="TableParagraph"/>
                                    <w:rPr>
                                      <w:rFonts w:ascii="Times New Roman"/>
                                      <w:sz w:val="14"/>
                                    </w:rPr>
                                  </w:pPr>
                                </w:p>
                              </w:tc>
                              <w:tc>
                                <w:tcPr>
                                  <w:tcW w:w="803" w:type="dxa"/>
                                  <w:tcBorders>
                                    <w:top w:val="single" w:sz="6" w:space="0" w:color="000000"/>
                                  </w:tcBorders>
                                </w:tcPr>
                                <w:p>
                                  <w:pPr>
                                    <w:pStyle w:val="TableParagraph"/>
                                    <w:rPr>
                                      <w:rFonts w:ascii="Times New Roman"/>
                                      <w:sz w:val="14"/>
                                    </w:rPr>
                                  </w:pPr>
                                </w:p>
                              </w:tc>
                              <w:tc>
                                <w:tcPr>
                                  <w:tcW w:w="803" w:type="dxa"/>
                                  <w:tcBorders>
                                    <w:top w:val="single" w:sz="6" w:space="0" w:color="000000"/>
                                  </w:tcBorders>
                                </w:tcPr>
                                <w:p>
                                  <w:pPr>
                                    <w:pStyle w:val="TableParagraph"/>
                                    <w:rPr>
                                      <w:rFonts w:ascii="Times New Roman"/>
                                      <w:sz w:val="14"/>
                                    </w:rPr>
                                  </w:pPr>
                                </w:p>
                              </w:tc>
                              <w:tc>
                                <w:tcPr>
                                  <w:tcW w:w="798" w:type="dxa"/>
                                  <w:tcBorders>
                                    <w:top w:val="single" w:sz="6" w:space="0" w:color="000000"/>
                                  </w:tcBorders>
                                </w:tcPr>
                                <w:p>
                                  <w:pPr>
                                    <w:pStyle w:val="TableParagraph"/>
                                    <w:rPr>
                                      <w:rFonts w:ascii="Times New Roman"/>
                                      <w:sz w:val="14"/>
                                    </w:rPr>
                                  </w:pPr>
                                </w:p>
                              </w:tc>
                            </w:tr>
                          </w:tbl>
                          <w:p>
                            <w:pPr>
                              <w:pStyle w:val="BodyText"/>
                            </w:pPr>
                          </w:p>
                        </w:txbxContent>
                      </wps:txbx>
                      <wps:bodyPr wrap="square" lIns="0" tIns="0" rIns="0" bIns="0" rtlCol="0">
                        <a:noAutofit/>
                      </wps:bodyPr>
                    </wps:wsp>
                  </a:graphicData>
                </a:graphic>
              </wp:anchor>
            </w:drawing>
          </mc:Choice>
          <mc:Fallback>
            <w:pict>
              <v:shape style="position:absolute;margin-left:59.330002pt;margin-top:16.68309pt;width:539.7pt;height:38.15pt;mso-position-horizontal-relative:page;mso-position-vertical-relative:paragraph;z-index:15919616" type="#_x0000_t202" id="docshape700"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65"/>
                        <w:gridCol w:w="3216"/>
                        <w:gridCol w:w="628"/>
                        <w:gridCol w:w="762"/>
                        <w:gridCol w:w="861"/>
                        <w:gridCol w:w="832"/>
                        <w:gridCol w:w="803"/>
                        <w:gridCol w:w="803"/>
                        <w:gridCol w:w="803"/>
                        <w:gridCol w:w="803"/>
                        <w:gridCol w:w="798"/>
                      </w:tblGrid>
                      <w:tr>
                        <w:trPr>
                          <w:trHeight w:val="383" w:hRule="atLeast"/>
                        </w:trPr>
                        <w:tc>
                          <w:tcPr>
                            <w:tcW w:w="365" w:type="dxa"/>
                            <w:tcBorders>
                              <w:bottom w:val="single" w:sz="6" w:space="0" w:color="000000"/>
                            </w:tcBorders>
                          </w:tcPr>
                          <w:p>
                            <w:pPr>
                              <w:pStyle w:val="TableParagraph"/>
                              <w:spacing w:before="60"/>
                              <w:ind w:left="27"/>
                              <w:rPr>
                                <w:b/>
                                <w:sz w:val="13"/>
                              </w:rPr>
                            </w:pPr>
                            <w:r>
                              <w:rPr>
                                <w:b/>
                                <w:color w:val="0070C0"/>
                                <w:spacing w:val="-5"/>
                                <w:w w:val="105"/>
                                <w:sz w:val="13"/>
                              </w:rPr>
                              <w:t>b)</w:t>
                            </w:r>
                          </w:p>
                        </w:tc>
                        <w:tc>
                          <w:tcPr>
                            <w:tcW w:w="3216" w:type="dxa"/>
                            <w:tcBorders>
                              <w:bottom w:val="single" w:sz="6" w:space="0" w:color="000000"/>
                            </w:tcBorders>
                          </w:tcPr>
                          <w:p>
                            <w:pPr>
                              <w:pStyle w:val="TableParagraph"/>
                              <w:spacing w:line="170" w:lineRule="atLeast" w:before="23"/>
                              <w:ind w:left="205"/>
                              <w:rPr>
                                <w:b/>
                                <w:sz w:val="13"/>
                              </w:rPr>
                            </w:pPr>
                            <w:r>
                              <w:rPr>
                                <w:b/>
                                <w:color w:val="0070C0"/>
                                <w:w w:val="105"/>
                                <w:sz w:val="13"/>
                              </w:rPr>
                              <w:t>Higher</w:t>
                            </w:r>
                            <w:r>
                              <w:rPr>
                                <w:b/>
                                <w:color w:val="0070C0"/>
                                <w:spacing w:val="-2"/>
                                <w:w w:val="105"/>
                                <w:sz w:val="13"/>
                              </w:rPr>
                              <w:t> </w:t>
                            </w:r>
                            <w:r>
                              <w:rPr>
                                <w:b/>
                                <w:color w:val="0070C0"/>
                                <w:w w:val="105"/>
                                <w:sz w:val="13"/>
                              </w:rPr>
                              <w:t>Education Loan Programs (excl</w:t>
                            </w:r>
                            <w:r>
                              <w:rPr>
                                <w:b/>
                                <w:color w:val="0070C0"/>
                                <w:spacing w:val="-2"/>
                                <w:w w:val="105"/>
                                <w:sz w:val="13"/>
                              </w:rPr>
                              <w:t> </w:t>
                            </w:r>
                            <w:r>
                              <w:rPr>
                                <w:b/>
                                <w:color w:val="0070C0"/>
                                <w:w w:val="105"/>
                                <w:sz w:val="13"/>
                              </w:rPr>
                              <w:t>OS-</w:t>
                            </w:r>
                            <w:r>
                              <w:rPr>
                                <w:b/>
                                <w:color w:val="0070C0"/>
                                <w:spacing w:val="40"/>
                                <w:w w:val="105"/>
                                <w:sz w:val="13"/>
                              </w:rPr>
                              <w:t> </w:t>
                            </w:r>
                            <w:r>
                              <w:rPr>
                                <w:b/>
                                <w:color w:val="0070C0"/>
                                <w:spacing w:val="-2"/>
                                <w:w w:val="105"/>
                                <w:sz w:val="13"/>
                              </w:rPr>
                              <w:t>HELP)</w:t>
                            </w:r>
                          </w:p>
                        </w:tc>
                        <w:tc>
                          <w:tcPr>
                            <w:tcW w:w="628" w:type="dxa"/>
                            <w:tcBorders>
                              <w:bottom w:val="single" w:sz="6" w:space="0" w:color="000000"/>
                            </w:tcBorders>
                          </w:tcPr>
                          <w:p>
                            <w:pPr>
                              <w:pStyle w:val="TableParagraph"/>
                              <w:spacing w:before="80"/>
                              <w:rPr>
                                <w:b/>
                                <w:sz w:val="13"/>
                              </w:rPr>
                            </w:pPr>
                          </w:p>
                          <w:p>
                            <w:pPr>
                              <w:pStyle w:val="TableParagraph"/>
                              <w:spacing w:line="133" w:lineRule="exact" w:before="1"/>
                              <w:ind w:left="162"/>
                              <w:rPr>
                                <w:b/>
                                <w:sz w:val="13"/>
                              </w:rPr>
                            </w:pPr>
                            <w:r>
                              <w:rPr>
                                <w:b/>
                                <w:spacing w:val="-4"/>
                                <w:w w:val="105"/>
                                <w:sz w:val="13"/>
                              </w:rPr>
                              <w:t>Note</w:t>
                            </w:r>
                          </w:p>
                        </w:tc>
                        <w:tc>
                          <w:tcPr>
                            <w:tcW w:w="762" w:type="dxa"/>
                            <w:tcBorders>
                              <w:bottom w:val="single" w:sz="6" w:space="0" w:color="000000"/>
                            </w:tcBorders>
                          </w:tcPr>
                          <w:p>
                            <w:pPr>
                              <w:pStyle w:val="TableParagraph"/>
                              <w:spacing w:before="60"/>
                              <w:ind w:left="174"/>
                              <w:rPr>
                                <w:b/>
                                <w:sz w:val="13"/>
                              </w:rPr>
                            </w:pPr>
                            <w:r>
                              <w:rPr>
                                <w:b/>
                                <w:spacing w:val="-4"/>
                                <w:w w:val="105"/>
                                <w:sz w:val="13"/>
                              </w:rPr>
                              <w:t>2020</w:t>
                            </w:r>
                          </w:p>
                          <w:p>
                            <w:pPr>
                              <w:pStyle w:val="TableParagraph"/>
                              <w:spacing w:line="133" w:lineRule="exact" w:before="21"/>
                              <w:ind w:left="159"/>
                              <w:rPr>
                                <w:b/>
                                <w:sz w:val="13"/>
                              </w:rPr>
                            </w:pPr>
                            <w:r>
                              <w:rPr>
                                <w:b/>
                                <w:spacing w:val="-2"/>
                                <w:w w:val="105"/>
                                <w:sz w:val="13"/>
                              </w:rPr>
                              <w:t>$'000</w:t>
                            </w:r>
                          </w:p>
                        </w:tc>
                        <w:tc>
                          <w:tcPr>
                            <w:tcW w:w="861" w:type="dxa"/>
                            <w:tcBorders>
                              <w:bottom w:val="single" w:sz="6" w:space="0" w:color="000000"/>
                            </w:tcBorders>
                          </w:tcPr>
                          <w:p>
                            <w:pPr>
                              <w:pStyle w:val="TableParagraph"/>
                              <w:spacing w:before="60"/>
                              <w:ind w:left="273"/>
                              <w:rPr>
                                <w:b/>
                                <w:sz w:val="13"/>
                              </w:rPr>
                            </w:pPr>
                            <w:r>
                              <w:rPr>
                                <w:b/>
                                <w:spacing w:val="-4"/>
                                <w:w w:val="105"/>
                                <w:sz w:val="13"/>
                              </w:rPr>
                              <w:t>2019</w:t>
                            </w:r>
                          </w:p>
                          <w:p>
                            <w:pPr>
                              <w:pStyle w:val="TableParagraph"/>
                              <w:spacing w:line="133" w:lineRule="exact" w:before="21"/>
                              <w:ind w:left="258"/>
                              <w:rPr>
                                <w:b/>
                                <w:sz w:val="13"/>
                              </w:rPr>
                            </w:pPr>
                            <w:r>
                              <w:rPr>
                                <w:b/>
                                <w:spacing w:val="-2"/>
                                <w:w w:val="105"/>
                                <w:sz w:val="13"/>
                              </w:rPr>
                              <w:t>$'000</w:t>
                            </w:r>
                          </w:p>
                        </w:tc>
                        <w:tc>
                          <w:tcPr>
                            <w:tcW w:w="832" w:type="dxa"/>
                            <w:tcBorders>
                              <w:bottom w:val="single" w:sz="6" w:space="0" w:color="000000"/>
                            </w:tcBorders>
                          </w:tcPr>
                          <w:p>
                            <w:pPr>
                              <w:pStyle w:val="TableParagraph"/>
                              <w:spacing w:before="60"/>
                              <w:ind w:left="273"/>
                              <w:rPr>
                                <w:b/>
                                <w:sz w:val="13"/>
                              </w:rPr>
                            </w:pPr>
                            <w:r>
                              <w:rPr>
                                <w:b/>
                                <w:spacing w:val="-4"/>
                                <w:w w:val="105"/>
                                <w:sz w:val="13"/>
                              </w:rPr>
                              <w:t>2020</w:t>
                            </w:r>
                          </w:p>
                          <w:p>
                            <w:pPr>
                              <w:pStyle w:val="TableParagraph"/>
                              <w:spacing w:line="133" w:lineRule="exact" w:before="21"/>
                              <w:ind w:left="258"/>
                              <w:rPr>
                                <w:b/>
                                <w:sz w:val="13"/>
                              </w:rPr>
                            </w:pPr>
                            <w:r>
                              <w:rPr>
                                <w:b/>
                                <w:spacing w:val="-2"/>
                                <w:w w:val="105"/>
                                <w:sz w:val="13"/>
                              </w:rPr>
                              <w:t>$'000</w:t>
                            </w:r>
                          </w:p>
                        </w:tc>
                        <w:tc>
                          <w:tcPr>
                            <w:tcW w:w="803" w:type="dxa"/>
                            <w:tcBorders>
                              <w:bottom w:val="single" w:sz="6" w:space="0" w:color="000000"/>
                            </w:tcBorders>
                          </w:tcPr>
                          <w:p>
                            <w:pPr>
                              <w:pStyle w:val="TableParagraph"/>
                              <w:spacing w:before="60"/>
                              <w:ind w:left="244"/>
                              <w:rPr>
                                <w:b/>
                                <w:sz w:val="13"/>
                              </w:rPr>
                            </w:pPr>
                            <w:r>
                              <w:rPr>
                                <w:b/>
                                <w:spacing w:val="-4"/>
                                <w:w w:val="105"/>
                                <w:sz w:val="13"/>
                              </w:rPr>
                              <w:t>2019</w:t>
                            </w:r>
                          </w:p>
                          <w:p>
                            <w:pPr>
                              <w:pStyle w:val="TableParagraph"/>
                              <w:spacing w:line="133" w:lineRule="exact" w:before="21"/>
                              <w:ind w:left="229"/>
                              <w:rPr>
                                <w:b/>
                                <w:sz w:val="13"/>
                              </w:rPr>
                            </w:pPr>
                            <w:r>
                              <w:rPr>
                                <w:b/>
                                <w:spacing w:val="-2"/>
                                <w:w w:val="105"/>
                                <w:sz w:val="13"/>
                              </w:rPr>
                              <w:t>$'000</w:t>
                            </w:r>
                          </w:p>
                        </w:tc>
                        <w:tc>
                          <w:tcPr>
                            <w:tcW w:w="803" w:type="dxa"/>
                            <w:tcBorders>
                              <w:bottom w:val="single" w:sz="6" w:space="0" w:color="000000"/>
                            </w:tcBorders>
                          </w:tcPr>
                          <w:p>
                            <w:pPr>
                              <w:pStyle w:val="TableParagraph"/>
                              <w:spacing w:before="60"/>
                              <w:ind w:left="244"/>
                              <w:rPr>
                                <w:b/>
                                <w:sz w:val="13"/>
                              </w:rPr>
                            </w:pPr>
                            <w:r>
                              <w:rPr>
                                <w:b/>
                                <w:spacing w:val="-4"/>
                                <w:w w:val="105"/>
                                <w:sz w:val="13"/>
                              </w:rPr>
                              <w:t>2020</w:t>
                            </w:r>
                          </w:p>
                          <w:p>
                            <w:pPr>
                              <w:pStyle w:val="TableParagraph"/>
                              <w:spacing w:line="133" w:lineRule="exact" w:before="21"/>
                              <w:ind w:left="229"/>
                              <w:rPr>
                                <w:b/>
                                <w:sz w:val="13"/>
                              </w:rPr>
                            </w:pPr>
                            <w:r>
                              <w:rPr>
                                <w:b/>
                                <w:spacing w:val="-2"/>
                                <w:w w:val="105"/>
                                <w:sz w:val="13"/>
                              </w:rPr>
                              <w:t>$'000</w:t>
                            </w:r>
                          </w:p>
                        </w:tc>
                        <w:tc>
                          <w:tcPr>
                            <w:tcW w:w="803" w:type="dxa"/>
                            <w:tcBorders>
                              <w:bottom w:val="single" w:sz="6" w:space="0" w:color="000000"/>
                            </w:tcBorders>
                          </w:tcPr>
                          <w:p>
                            <w:pPr>
                              <w:pStyle w:val="TableParagraph"/>
                              <w:spacing w:before="60"/>
                              <w:ind w:left="244"/>
                              <w:rPr>
                                <w:b/>
                                <w:sz w:val="13"/>
                              </w:rPr>
                            </w:pPr>
                            <w:r>
                              <w:rPr>
                                <w:b/>
                                <w:spacing w:val="-4"/>
                                <w:w w:val="105"/>
                                <w:sz w:val="13"/>
                              </w:rPr>
                              <w:t>2019</w:t>
                            </w:r>
                          </w:p>
                          <w:p>
                            <w:pPr>
                              <w:pStyle w:val="TableParagraph"/>
                              <w:spacing w:line="133" w:lineRule="exact" w:before="21"/>
                              <w:ind w:left="229"/>
                              <w:rPr>
                                <w:b/>
                                <w:sz w:val="13"/>
                              </w:rPr>
                            </w:pPr>
                            <w:r>
                              <w:rPr>
                                <w:b/>
                                <w:spacing w:val="-2"/>
                                <w:w w:val="105"/>
                                <w:sz w:val="13"/>
                              </w:rPr>
                              <w:t>$'000</w:t>
                            </w:r>
                          </w:p>
                        </w:tc>
                        <w:tc>
                          <w:tcPr>
                            <w:tcW w:w="803" w:type="dxa"/>
                            <w:tcBorders>
                              <w:bottom w:val="single" w:sz="6" w:space="0" w:color="000000"/>
                            </w:tcBorders>
                          </w:tcPr>
                          <w:p>
                            <w:pPr>
                              <w:pStyle w:val="TableParagraph"/>
                              <w:spacing w:before="60"/>
                              <w:ind w:left="244"/>
                              <w:rPr>
                                <w:b/>
                                <w:sz w:val="13"/>
                              </w:rPr>
                            </w:pPr>
                            <w:r>
                              <w:rPr>
                                <w:b/>
                                <w:spacing w:val="-4"/>
                                <w:w w:val="105"/>
                                <w:sz w:val="13"/>
                              </w:rPr>
                              <w:t>2020</w:t>
                            </w:r>
                          </w:p>
                          <w:p>
                            <w:pPr>
                              <w:pStyle w:val="TableParagraph"/>
                              <w:spacing w:line="133" w:lineRule="exact" w:before="21"/>
                              <w:ind w:left="229"/>
                              <w:rPr>
                                <w:b/>
                                <w:sz w:val="13"/>
                              </w:rPr>
                            </w:pPr>
                            <w:r>
                              <w:rPr>
                                <w:b/>
                                <w:spacing w:val="-2"/>
                                <w:w w:val="105"/>
                                <w:sz w:val="13"/>
                              </w:rPr>
                              <w:t>$'000</w:t>
                            </w:r>
                          </w:p>
                        </w:tc>
                        <w:tc>
                          <w:tcPr>
                            <w:tcW w:w="798" w:type="dxa"/>
                            <w:tcBorders>
                              <w:bottom w:val="single" w:sz="6" w:space="0" w:color="000000"/>
                            </w:tcBorders>
                          </w:tcPr>
                          <w:p>
                            <w:pPr>
                              <w:pStyle w:val="TableParagraph"/>
                              <w:spacing w:before="60"/>
                              <w:ind w:left="244"/>
                              <w:rPr>
                                <w:b/>
                                <w:sz w:val="13"/>
                              </w:rPr>
                            </w:pPr>
                            <w:r>
                              <w:rPr>
                                <w:b/>
                                <w:spacing w:val="-4"/>
                                <w:w w:val="105"/>
                                <w:sz w:val="13"/>
                              </w:rPr>
                              <w:t>2019</w:t>
                            </w:r>
                          </w:p>
                          <w:p>
                            <w:pPr>
                              <w:pStyle w:val="TableParagraph"/>
                              <w:spacing w:line="133" w:lineRule="exact" w:before="21"/>
                              <w:ind w:left="229"/>
                              <w:rPr>
                                <w:b/>
                                <w:sz w:val="13"/>
                              </w:rPr>
                            </w:pPr>
                            <w:r>
                              <w:rPr>
                                <w:b/>
                                <w:spacing w:val="-2"/>
                                <w:w w:val="105"/>
                                <w:sz w:val="13"/>
                              </w:rPr>
                              <w:t>$'000</w:t>
                            </w:r>
                          </w:p>
                        </w:tc>
                      </w:tr>
                      <w:tr>
                        <w:trPr>
                          <w:trHeight w:val="365" w:hRule="atLeast"/>
                        </w:trPr>
                        <w:tc>
                          <w:tcPr>
                            <w:tcW w:w="365" w:type="dxa"/>
                            <w:tcBorders>
                              <w:top w:val="single" w:sz="6" w:space="0" w:color="000000"/>
                            </w:tcBorders>
                          </w:tcPr>
                          <w:p>
                            <w:pPr>
                              <w:pStyle w:val="TableParagraph"/>
                              <w:rPr>
                                <w:rFonts w:ascii="Times New Roman"/>
                                <w:sz w:val="14"/>
                              </w:rPr>
                            </w:pPr>
                          </w:p>
                        </w:tc>
                        <w:tc>
                          <w:tcPr>
                            <w:tcW w:w="3216" w:type="dxa"/>
                            <w:tcBorders>
                              <w:top w:val="single" w:sz="6" w:space="0" w:color="000000"/>
                            </w:tcBorders>
                          </w:tcPr>
                          <w:p>
                            <w:pPr>
                              <w:pStyle w:val="TableParagraph"/>
                              <w:spacing w:before="15"/>
                              <w:rPr>
                                <w:b/>
                                <w:sz w:val="13"/>
                              </w:rPr>
                            </w:pPr>
                          </w:p>
                          <w:p>
                            <w:pPr>
                              <w:pStyle w:val="TableParagraph"/>
                              <w:ind w:left="205"/>
                              <w:rPr>
                                <w:sz w:val="13"/>
                              </w:rPr>
                            </w:pPr>
                            <w:r>
                              <w:rPr>
                                <w:w w:val="105"/>
                                <w:sz w:val="13"/>
                              </w:rPr>
                              <w:t>Cash</w:t>
                            </w:r>
                            <w:r>
                              <w:rPr>
                                <w:spacing w:val="-1"/>
                                <w:w w:val="105"/>
                                <w:sz w:val="13"/>
                              </w:rPr>
                              <w:t> </w:t>
                            </w:r>
                            <w:r>
                              <w:rPr>
                                <w:w w:val="105"/>
                                <w:sz w:val="13"/>
                              </w:rPr>
                              <w:t>Payable/(Receivable)</w:t>
                            </w:r>
                            <w:r>
                              <w:rPr>
                                <w:spacing w:val="-2"/>
                                <w:w w:val="105"/>
                                <w:sz w:val="13"/>
                              </w:rPr>
                              <w:t> </w:t>
                            </w:r>
                            <w:r>
                              <w:rPr>
                                <w:w w:val="105"/>
                                <w:sz w:val="13"/>
                              </w:rPr>
                              <w:t>at</w:t>
                            </w:r>
                            <w:r>
                              <w:rPr>
                                <w:spacing w:val="-2"/>
                                <w:w w:val="105"/>
                                <w:sz w:val="13"/>
                              </w:rPr>
                              <w:t> </w:t>
                            </w:r>
                            <w:r>
                              <w:rPr>
                                <w:w w:val="105"/>
                                <w:sz w:val="13"/>
                              </w:rPr>
                              <w:t>the beginning</w:t>
                            </w:r>
                            <w:r>
                              <w:rPr>
                                <w:spacing w:val="-1"/>
                                <w:w w:val="105"/>
                                <w:sz w:val="13"/>
                              </w:rPr>
                              <w:t> </w:t>
                            </w:r>
                            <w:r>
                              <w:rPr>
                                <w:spacing w:val="-5"/>
                                <w:w w:val="105"/>
                                <w:sz w:val="13"/>
                              </w:rPr>
                              <w:t>of</w:t>
                            </w:r>
                          </w:p>
                        </w:tc>
                        <w:tc>
                          <w:tcPr>
                            <w:tcW w:w="628" w:type="dxa"/>
                            <w:tcBorders>
                              <w:top w:val="single" w:sz="6" w:space="0" w:color="000000"/>
                            </w:tcBorders>
                          </w:tcPr>
                          <w:p>
                            <w:pPr>
                              <w:pStyle w:val="TableParagraph"/>
                              <w:rPr>
                                <w:rFonts w:ascii="Times New Roman"/>
                                <w:sz w:val="14"/>
                              </w:rPr>
                            </w:pPr>
                          </w:p>
                        </w:tc>
                        <w:tc>
                          <w:tcPr>
                            <w:tcW w:w="762" w:type="dxa"/>
                            <w:tcBorders>
                              <w:top w:val="single" w:sz="6" w:space="0" w:color="000000"/>
                            </w:tcBorders>
                          </w:tcPr>
                          <w:p>
                            <w:pPr>
                              <w:pStyle w:val="TableParagraph"/>
                              <w:rPr>
                                <w:rFonts w:ascii="Times New Roman"/>
                                <w:sz w:val="14"/>
                              </w:rPr>
                            </w:pPr>
                          </w:p>
                        </w:tc>
                        <w:tc>
                          <w:tcPr>
                            <w:tcW w:w="861" w:type="dxa"/>
                            <w:tcBorders>
                              <w:top w:val="single" w:sz="6" w:space="0" w:color="000000"/>
                            </w:tcBorders>
                          </w:tcPr>
                          <w:p>
                            <w:pPr>
                              <w:pStyle w:val="TableParagraph"/>
                              <w:rPr>
                                <w:rFonts w:ascii="Times New Roman"/>
                                <w:sz w:val="14"/>
                              </w:rPr>
                            </w:pPr>
                          </w:p>
                        </w:tc>
                        <w:tc>
                          <w:tcPr>
                            <w:tcW w:w="832" w:type="dxa"/>
                            <w:tcBorders>
                              <w:top w:val="single" w:sz="6" w:space="0" w:color="000000"/>
                            </w:tcBorders>
                          </w:tcPr>
                          <w:p>
                            <w:pPr>
                              <w:pStyle w:val="TableParagraph"/>
                              <w:rPr>
                                <w:rFonts w:ascii="Times New Roman"/>
                                <w:sz w:val="14"/>
                              </w:rPr>
                            </w:pPr>
                          </w:p>
                        </w:tc>
                        <w:tc>
                          <w:tcPr>
                            <w:tcW w:w="803" w:type="dxa"/>
                            <w:tcBorders>
                              <w:top w:val="single" w:sz="6" w:space="0" w:color="000000"/>
                            </w:tcBorders>
                          </w:tcPr>
                          <w:p>
                            <w:pPr>
                              <w:pStyle w:val="TableParagraph"/>
                              <w:rPr>
                                <w:rFonts w:ascii="Times New Roman"/>
                                <w:sz w:val="14"/>
                              </w:rPr>
                            </w:pPr>
                          </w:p>
                        </w:tc>
                        <w:tc>
                          <w:tcPr>
                            <w:tcW w:w="803" w:type="dxa"/>
                            <w:tcBorders>
                              <w:top w:val="single" w:sz="6" w:space="0" w:color="000000"/>
                            </w:tcBorders>
                          </w:tcPr>
                          <w:p>
                            <w:pPr>
                              <w:pStyle w:val="TableParagraph"/>
                              <w:rPr>
                                <w:rFonts w:ascii="Times New Roman"/>
                                <w:sz w:val="14"/>
                              </w:rPr>
                            </w:pPr>
                          </w:p>
                        </w:tc>
                        <w:tc>
                          <w:tcPr>
                            <w:tcW w:w="803" w:type="dxa"/>
                            <w:tcBorders>
                              <w:top w:val="single" w:sz="6" w:space="0" w:color="000000"/>
                            </w:tcBorders>
                          </w:tcPr>
                          <w:p>
                            <w:pPr>
                              <w:pStyle w:val="TableParagraph"/>
                              <w:rPr>
                                <w:rFonts w:ascii="Times New Roman"/>
                                <w:sz w:val="14"/>
                              </w:rPr>
                            </w:pPr>
                          </w:p>
                        </w:tc>
                        <w:tc>
                          <w:tcPr>
                            <w:tcW w:w="803" w:type="dxa"/>
                            <w:tcBorders>
                              <w:top w:val="single" w:sz="6" w:space="0" w:color="000000"/>
                            </w:tcBorders>
                          </w:tcPr>
                          <w:p>
                            <w:pPr>
                              <w:pStyle w:val="TableParagraph"/>
                              <w:rPr>
                                <w:rFonts w:ascii="Times New Roman"/>
                                <w:sz w:val="14"/>
                              </w:rPr>
                            </w:pPr>
                          </w:p>
                        </w:tc>
                        <w:tc>
                          <w:tcPr>
                            <w:tcW w:w="798" w:type="dxa"/>
                            <w:tcBorders>
                              <w:top w:val="single" w:sz="6" w:space="0" w:color="000000"/>
                            </w:tcBorders>
                          </w:tcPr>
                          <w:p>
                            <w:pPr>
                              <w:pStyle w:val="TableParagraph"/>
                              <w:rPr>
                                <w:rFonts w:ascii="Times New Roman"/>
                                <w:sz w:val="14"/>
                              </w:rPr>
                            </w:pPr>
                          </w:p>
                        </w:tc>
                      </w:tr>
                    </w:tbl>
                    <w:p>
                      <w:pPr>
                        <w:pStyle w:val="BodyText"/>
                      </w:pPr>
                    </w:p>
                  </w:txbxContent>
                </v:textbox>
                <w10:wrap type="none"/>
              </v:shape>
            </w:pict>
          </mc:Fallback>
        </mc:AlternateContent>
      </w:r>
      <w:r>
        <w:rPr>
          <w:b/>
          <w:spacing w:val="-2"/>
          <w:w w:val="105"/>
          <w:sz w:val="13"/>
        </w:rPr>
        <w:t>(Commonwealth</w:t>
      </w:r>
      <w:r>
        <w:rPr>
          <w:b/>
          <w:spacing w:val="40"/>
          <w:w w:val="105"/>
          <w:sz w:val="13"/>
        </w:rPr>
        <w:t> </w:t>
      </w:r>
      <w:r>
        <w:rPr>
          <w:b/>
          <w:spacing w:val="-2"/>
          <w:w w:val="105"/>
          <w:sz w:val="13"/>
        </w:rPr>
        <w:t>Payments)</w:t>
      </w:r>
    </w:p>
    <w:p>
      <w:pPr>
        <w:spacing w:before="103"/>
        <w:ind w:left="1509" w:right="0" w:firstLine="0"/>
        <w:jc w:val="left"/>
        <w:rPr>
          <w:b/>
          <w:sz w:val="13"/>
        </w:rPr>
      </w:pPr>
      <w:r>
        <w:rPr/>
        <w:br w:type="column"/>
      </w:r>
      <w:r>
        <w:rPr>
          <w:b/>
          <w:spacing w:val="-2"/>
          <w:w w:val="105"/>
          <w:sz w:val="13"/>
        </w:rPr>
        <w:t>University</w:t>
      </w:r>
    </w:p>
    <w:p>
      <w:pPr>
        <w:tabs>
          <w:tab w:pos="2358" w:val="left" w:leader="none"/>
          <w:tab w:pos="4134" w:val="left" w:leader="none"/>
        </w:tabs>
        <w:spacing w:before="28"/>
        <w:ind w:left="709" w:right="0" w:firstLine="0"/>
        <w:jc w:val="left"/>
        <w:rPr>
          <w:b/>
          <w:sz w:val="13"/>
        </w:rPr>
      </w:pPr>
      <w:r>
        <w:rPr>
          <w:b/>
          <w:w w:val="105"/>
          <w:sz w:val="13"/>
        </w:rPr>
        <w:t>FEE -</w:t>
      </w:r>
      <w:r>
        <w:rPr>
          <w:b/>
          <w:spacing w:val="-1"/>
          <w:w w:val="105"/>
          <w:sz w:val="13"/>
        </w:rPr>
        <w:t> </w:t>
      </w:r>
      <w:r>
        <w:rPr>
          <w:b/>
          <w:spacing w:val="-4"/>
          <w:w w:val="105"/>
          <w:sz w:val="13"/>
        </w:rPr>
        <w:t>HELP</w:t>
      </w:r>
      <w:r>
        <w:rPr>
          <w:b/>
          <w:sz w:val="13"/>
        </w:rPr>
        <w:tab/>
      </w:r>
      <w:r>
        <w:rPr>
          <w:b/>
          <w:w w:val="105"/>
          <w:sz w:val="13"/>
        </w:rPr>
        <w:t>SA</w:t>
      </w:r>
      <w:r>
        <w:rPr>
          <w:b/>
          <w:spacing w:val="-8"/>
          <w:w w:val="105"/>
          <w:sz w:val="13"/>
        </w:rPr>
        <w:t> </w:t>
      </w:r>
      <w:r>
        <w:rPr>
          <w:b/>
          <w:w w:val="105"/>
          <w:sz w:val="13"/>
        </w:rPr>
        <w:t>-</w:t>
      </w:r>
      <w:r>
        <w:rPr>
          <w:b/>
          <w:spacing w:val="-2"/>
          <w:w w:val="105"/>
          <w:sz w:val="13"/>
        </w:rPr>
        <w:t> </w:t>
      </w:r>
      <w:r>
        <w:rPr>
          <w:b/>
          <w:spacing w:val="-4"/>
          <w:w w:val="105"/>
          <w:sz w:val="13"/>
        </w:rPr>
        <w:t>HELP</w:t>
      </w:r>
      <w:r>
        <w:rPr>
          <w:b/>
          <w:sz w:val="13"/>
        </w:rPr>
        <w:tab/>
      </w:r>
      <w:r>
        <w:rPr>
          <w:b/>
          <w:spacing w:val="-2"/>
          <w:w w:val="105"/>
          <w:sz w:val="13"/>
        </w:rPr>
        <w:t>Total</w:t>
      </w:r>
    </w:p>
    <w:p>
      <w:pPr>
        <w:spacing w:after="0"/>
        <w:jc w:val="left"/>
        <w:rPr>
          <w:sz w:val="13"/>
        </w:rPr>
        <w:sectPr>
          <w:type w:val="continuous"/>
          <w:pgSz w:w="16840" w:h="11910" w:orient="landscape"/>
          <w:pgMar w:header="0" w:footer="0" w:top="980" w:bottom="280" w:left="1040" w:right="1600"/>
          <w:cols w:num="2" w:equalWidth="0">
            <w:col w:w="5736" w:space="40"/>
            <w:col w:w="8424"/>
          </w:cols>
        </w:sect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92"/>
        <w:rPr>
          <w:b/>
          <w:sz w:val="13"/>
        </w:rPr>
      </w:pPr>
    </w:p>
    <w:p>
      <w:pPr>
        <w:tabs>
          <w:tab w:pos="4677" w:val="left" w:leader="none"/>
          <w:tab w:pos="5711" w:val="left" w:leader="none"/>
          <w:tab w:pos="6514" w:val="left" w:leader="none"/>
          <w:tab w:pos="7557" w:val="left" w:leader="none"/>
          <w:tab w:pos="8398" w:val="left" w:leader="none"/>
          <w:tab w:pos="9163" w:val="left" w:leader="none"/>
          <w:tab w:pos="9611" w:val="left" w:leader="none"/>
          <w:tab w:pos="10530" w:val="left" w:leader="none"/>
        </w:tabs>
        <w:spacing w:before="0"/>
        <w:ind w:left="777" w:right="0" w:firstLine="0"/>
        <w:jc w:val="left"/>
        <w:rPr>
          <w:sz w:val="13"/>
        </w:rPr>
      </w:pPr>
      <w:r>
        <w:rPr>
          <w:spacing w:val="-4"/>
          <w:w w:val="105"/>
          <w:sz w:val="13"/>
        </w:rPr>
        <w:t>year</w:t>
      </w:r>
      <w:r>
        <w:rPr>
          <w:sz w:val="13"/>
        </w:rPr>
        <w:tab/>
      </w:r>
      <w:r>
        <w:rPr>
          <w:spacing w:val="-2"/>
          <w:w w:val="105"/>
          <w:sz w:val="13"/>
        </w:rPr>
        <w:t>(2,504)</w:t>
      </w:r>
      <w:r>
        <w:rPr>
          <w:sz w:val="13"/>
        </w:rPr>
        <w:tab/>
      </w:r>
      <w:r>
        <w:rPr>
          <w:spacing w:val="-2"/>
          <w:w w:val="105"/>
          <w:sz w:val="13"/>
        </w:rPr>
        <w:t>(982)</w:t>
      </w:r>
      <w:r>
        <w:rPr>
          <w:sz w:val="13"/>
        </w:rPr>
        <w:tab/>
      </w:r>
      <w:r>
        <w:rPr>
          <w:spacing w:val="-2"/>
          <w:w w:val="105"/>
          <w:sz w:val="13"/>
        </w:rPr>
        <w:t>(136)</w:t>
      </w:r>
      <w:r>
        <w:rPr>
          <w:sz w:val="13"/>
        </w:rPr>
        <w:tab/>
      </w:r>
      <w:r>
        <w:rPr>
          <w:spacing w:val="-10"/>
          <w:w w:val="105"/>
          <w:sz w:val="13"/>
        </w:rPr>
        <w:t>-</w:t>
      </w:r>
      <w:r>
        <w:rPr>
          <w:sz w:val="13"/>
        </w:rPr>
        <w:tab/>
      </w:r>
      <w:r>
        <w:rPr>
          <w:spacing w:val="-10"/>
          <w:w w:val="105"/>
          <w:sz w:val="13"/>
        </w:rPr>
        <w:t>-</w:t>
      </w:r>
      <w:r>
        <w:rPr>
          <w:sz w:val="13"/>
        </w:rPr>
        <w:tab/>
      </w:r>
      <w:r>
        <w:rPr>
          <w:spacing w:val="-10"/>
          <w:w w:val="105"/>
          <w:sz w:val="13"/>
        </w:rPr>
        <w:t>-</w:t>
      </w:r>
      <w:r>
        <w:rPr>
          <w:sz w:val="13"/>
        </w:rPr>
        <w:tab/>
      </w:r>
      <w:r>
        <w:rPr>
          <w:spacing w:val="-2"/>
          <w:w w:val="105"/>
          <w:sz w:val="13"/>
        </w:rPr>
        <w:t>(2,640)</w:t>
      </w:r>
      <w:r>
        <w:rPr>
          <w:sz w:val="13"/>
        </w:rPr>
        <w:tab/>
      </w:r>
      <w:r>
        <w:rPr>
          <w:spacing w:val="-2"/>
          <w:w w:val="105"/>
          <w:sz w:val="13"/>
        </w:rPr>
        <w:t>(982)</w:t>
      </w:r>
    </w:p>
    <w:p>
      <w:pPr>
        <w:spacing w:before="13"/>
        <w:ind w:left="777" w:right="0" w:firstLine="0"/>
        <w:jc w:val="left"/>
        <w:rPr>
          <w:sz w:val="13"/>
        </w:rPr>
      </w:pPr>
      <w:r>
        <w:rPr>
          <w:w w:val="105"/>
          <w:sz w:val="13"/>
        </w:rPr>
        <w:t>Financial</w:t>
      </w:r>
      <w:r>
        <w:rPr>
          <w:spacing w:val="-5"/>
          <w:w w:val="105"/>
          <w:sz w:val="13"/>
        </w:rPr>
        <w:t> </w:t>
      </w:r>
      <w:r>
        <w:rPr>
          <w:w w:val="105"/>
          <w:sz w:val="13"/>
        </w:rPr>
        <w:t>assistance received</w:t>
      </w:r>
      <w:r>
        <w:rPr>
          <w:spacing w:val="-1"/>
          <w:w w:val="105"/>
          <w:sz w:val="13"/>
        </w:rPr>
        <w:t> </w:t>
      </w:r>
      <w:r>
        <w:rPr>
          <w:w w:val="105"/>
          <w:sz w:val="13"/>
        </w:rPr>
        <w:t>in CASH</w:t>
      </w:r>
      <w:r>
        <w:rPr>
          <w:spacing w:val="-1"/>
          <w:w w:val="105"/>
          <w:sz w:val="13"/>
        </w:rPr>
        <w:t> </w:t>
      </w:r>
      <w:r>
        <w:rPr>
          <w:w w:val="105"/>
          <w:sz w:val="13"/>
        </w:rPr>
        <w:t>during </w:t>
      </w:r>
      <w:r>
        <w:rPr>
          <w:spacing w:val="-5"/>
          <w:w w:val="105"/>
          <w:sz w:val="13"/>
        </w:rPr>
        <w:t>the</w:t>
      </w:r>
    </w:p>
    <w:p>
      <w:pPr>
        <w:tabs>
          <w:tab w:pos="4337" w:val="left" w:leader="none"/>
          <w:tab w:pos="5563" w:val="left" w:leader="none"/>
          <w:tab w:pos="6366" w:val="left" w:leader="none"/>
          <w:tab w:pos="7169" w:val="left" w:leader="none"/>
          <w:tab w:pos="8050" w:val="left" w:leader="none"/>
          <w:tab w:pos="8853" w:val="left" w:leader="none"/>
          <w:tab w:pos="9501" w:val="left" w:leader="none"/>
          <w:tab w:pos="10304" w:val="left" w:leader="none"/>
        </w:tabs>
        <w:spacing w:before="29"/>
        <w:ind w:left="777" w:right="0" w:firstLine="0"/>
        <w:jc w:val="left"/>
        <w:rPr>
          <w:sz w:val="13"/>
        </w:rPr>
      </w:pPr>
      <w:r>
        <w:rPr>
          <w:w w:val="105"/>
          <w:sz w:val="13"/>
        </w:rPr>
        <w:t>reporting</w:t>
      </w:r>
      <w:r>
        <w:rPr>
          <w:spacing w:val="-3"/>
          <w:w w:val="105"/>
          <w:sz w:val="13"/>
        </w:rPr>
        <w:t> </w:t>
      </w:r>
      <w:r>
        <w:rPr>
          <w:spacing w:val="-2"/>
          <w:w w:val="105"/>
          <w:sz w:val="13"/>
        </w:rPr>
        <w:t>period</w:t>
      </w:r>
      <w:r>
        <w:rPr>
          <w:sz w:val="13"/>
        </w:rPr>
        <w:tab/>
      </w:r>
      <w:r>
        <w:rPr>
          <w:spacing w:val="40"/>
          <w:w w:val="105"/>
          <w:sz w:val="13"/>
          <w:u w:val="single"/>
        </w:rPr>
        <w:t>  </w:t>
      </w:r>
      <w:r>
        <w:rPr>
          <w:w w:val="105"/>
          <w:sz w:val="13"/>
          <w:u w:val="single"/>
        </w:rPr>
        <w:t>109,679</w:t>
      </w:r>
      <w:r>
        <w:rPr>
          <w:sz w:val="13"/>
          <w:u w:val="single"/>
        </w:rPr>
        <w:tab/>
      </w:r>
      <w:r>
        <w:rPr>
          <w:spacing w:val="-2"/>
          <w:w w:val="105"/>
          <w:sz w:val="13"/>
          <w:u w:val="single"/>
        </w:rPr>
        <w:t>96,590</w:t>
      </w:r>
      <w:r>
        <w:rPr>
          <w:sz w:val="13"/>
          <w:u w:val="single"/>
        </w:rPr>
        <w:tab/>
      </w:r>
      <w:r>
        <w:rPr>
          <w:spacing w:val="-2"/>
          <w:w w:val="105"/>
          <w:sz w:val="13"/>
          <w:u w:val="single"/>
        </w:rPr>
        <w:t>19,705</w:t>
      </w:r>
      <w:r>
        <w:rPr>
          <w:sz w:val="13"/>
          <w:u w:val="single"/>
        </w:rPr>
        <w:tab/>
      </w:r>
      <w:r>
        <w:rPr>
          <w:spacing w:val="-2"/>
          <w:w w:val="105"/>
          <w:sz w:val="13"/>
          <w:u w:val="single"/>
        </w:rPr>
        <w:t>18,338</w:t>
      </w:r>
      <w:r>
        <w:rPr>
          <w:sz w:val="13"/>
          <w:u w:val="single"/>
        </w:rPr>
        <w:tab/>
      </w:r>
      <w:r>
        <w:rPr>
          <w:spacing w:val="-2"/>
          <w:w w:val="105"/>
          <w:sz w:val="13"/>
          <w:u w:val="single"/>
        </w:rPr>
        <w:t>2,142</w:t>
      </w:r>
      <w:r>
        <w:rPr>
          <w:sz w:val="13"/>
          <w:u w:val="single"/>
        </w:rPr>
        <w:tab/>
      </w:r>
      <w:r>
        <w:rPr>
          <w:spacing w:val="-2"/>
          <w:w w:val="105"/>
          <w:sz w:val="13"/>
          <w:u w:val="single"/>
        </w:rPr>
        <w:t>1,480</w:t>
      </w:r>
      <w:r>
        <w:rPr>
          <w:sz w:val="13"/>
          <w:u w:val="single"/>
        </w:rPr>
        <w:tab/>
      </w:r>
      <w:r>
        <w:rPr>
          <w:spacing w:val="-2"/>
          <w:w w:val="105"/>
          <w:sz w:val="13"/>
          <w:u w:val="single"/>
        </w:rPr>
        <w:t>131,526</w:t>
      </w:r>
      <w:r>
        <w:rPr>
          <w:sz w:val="13"/>
          <w:u w:val="single"/>
        </w:rPr>
        <w:tab/>
      </w:r>
      <w:r>
        <w:rPr>
          <w:spacing w:val="-2"/>
          <w:w w:val="105"/>
          <w:sz w:val="13"/>
          <w:u w:val="single"/>
        </w:rPr>
        <w:t>116,408</w:t>
      </w:r>
      <w:r>
        <w:rPr>
          <w:spacing w:val="80"/>
          <w:w w:val="105"/>
          <w:sz w:val="13"/>
          <w:u w:val="single"/>
        </w:rPr>
        <w:t> </w:t>
      </w:r>
    </w:p>
    <w:p>
      <w:pPr>
        <w:tabs>
          <w:tab w:pos="4567" w:val="left" w:leader="none"/>
          <w:tab w:pos="5563" w:val="left" w:leader="none"/>
          <w:tab w:pos="6366" w:val="left" w:leader="none"/>
          <w:tab w:pos="7169" w:val="left" w:leader="none"/>
          <w:tab w:pos="8050" w:val="left" w:leader="none"/>
          <w:tab w:pos="8853" w:val="left" w:leader="none"/>
          <w:tab w:pos="9501" w:val="left" w:leader="none"/>
          <w:tab w:pos="10304" w:val="left" w:leader="none"/>
        </w:tabs>
        <w:spacing w:before="20"/>
        <w:ind w:left="777" w:right="0" w:firstLine="0"/>
        <w:jc w:val="left"/>
        <w:rPr>
          <w:sz w:val="13"/>
        </w:rPr>
      </w:pPr>
      <w:r>
        <w:rPr>
          <w:w w:val="105"/>
          <w:sz w:val="13"/>
        </w:rPr>
        <w:t>Cash</w:t>
      </w:r>
      <w:r>
        <w:rPr>
          <w:spacing w:val="-1"/>
          <w:w w:val="105"/>
          <w:sz w:val="13"/>
        </w:rPr>
        <w:t> </w:t>
      </w:r>
      <w:r>
        <w:rPr>
          <w:w w:val="105"/>
          <w:sz w:val="13"/>
        </w:rPr>
        <w:t>available</w:t>
      </w:r>
      <w:r>
        <w:rPr>
          <w:spacing w:val="-1"/>
          <w:w w:val="105"/>
          <w:sz w:val="13"/>
        </w:rPr>
        <w:t> </w:t>
      </w:r>
      <w:r>
        <w:rPr>
          <w:w w:val="105"/>
          <w:sz w:val="13"/>
        </w:rPr>
        <w:t>for</w:t>
      </w:r>
      <w:r>
        <w:rPr>
          <w:spacing w:val="-3"/>
          <w:w w:val="105"/>
          <w:sz w:val="13"/>
        </w:rPr>
        <w:t> </w:t>
      </w:r>
      <w:r>
        <w:rPr>
          <w:spacing w:val="-2"/>
          <w:w w:val="105"/>
          <w:sz w:val="13"/>
        </w:rPr>
        <w:t>period</w:t>
      </w:r>
      <w:r>
        <w:rPr>
          <w:sz w:val="13"/>
        </w:rPr>
        <w:tab/>
      </w:r>
      <w:r>
        <w:rPr>
          <w:spacing w:val="-2"/>
          <w:w w:val="105"/>
          <w:sz w:val="13"/>
        </w:rPr>
        <w:t>107,175</w:t>
      </w:r>
      <w:r>
        <w:rPr>
          <w:sz w:val="13"/>
        </w:rPr>
        <w:tab/>
      </w:r>
      <w:r>
        <w:rPr>
          <w:spacing w:val="-2"/>
          <w:w w:val="105"/>
          <w:sz w:val="13"/>
        </w:rPr>
        <w:t>95,608</w:t>
      </w:r>
      <w:r>
        <w:rPr>
          <w:sz w:val="13"/>
        </w:rPr>
        <w:tab/>
      </w:r>
      <w:r>
        <w:rPr>
          <w:spacing w:val="-2"/>
          <w:w w:val="105"/>
          <w:sz w:val="13"/>
        </w:rPr>
        <w:t>19,569</w:t>
      </w:r>
      <w:r>
        <w:rPr>
          <w:sz w:val="13"/>
        </w:rPr>
        <w:tab/>
      </w:r>
      <w:r>
        <w:rPr>
          <w:spacing w:val="-2"/>
          <w:w w:val="105"/>
          <w:sz w:val="13"/>
        </w:rPr>
        <w:t>18,338</w:t>
      </w:r>
      <w:r>
        <w:rPr>
          <w:sz w:val="13"/>
        </w:rPr>
        <w:tab/>
      </w:r>
      <w:r>
        <w:rPr>
          <w:spacing w:val="-2"/>
          <w:w w:val="105"/>
          <w:sz w:val="13"/>
        </w:rPr>
        <w:t>2,142</w:t>
      </w:r>
      <w:r>
        <w:rPr>
          <w:sz w:val="13"/>
        </w:rPr>
        <w:tab/>
      </w:r>
      <w:r>
        <w:rPr>
          <w:spacing w:val="-2"/>
          <w:w w:val="105"/>
          <w:sz w:val="13"/>
        </w:rPr>
        <w:t>1,480</w:t>
      </w:r>
      <w:r>
        <w:rPr>
          <w:sz w:val="13"/>
        </w:rPr>
        <w:tab/>
      </w:r>
      <w:r>
        <w:rPr>
          <w:spacing w:val="-2"/>
          <w:w w:val="105"/>
          <w:sz w:val="13"/>
        </w:rPr>
        <w:t>128,886</w:t>
      </w:r>
      <w:r>
        <w:rPr>
          <w:sz w:val="13"/>
        </w:rPr>
        <w:tab/>
      </w:r>
      <w:r>
        <w:rPr>
          <w:spacing w:val="-2"/>
          <w:w w:val="105"/>
          <w:sz w:val="13"/>
        </w:rPr>
        <w:t>115,426</w:t>
      </w:r>
    </w:p>
    <w:p>
      <w:pPr>
        <w:spacing w:line="240" w:lineRule="auto" w:before="41"/>
        <w:rPr>
          <w:sz w:val="13"/>
        </w:rPr>
      </w:pPr>
    </w:p>
    <w:p>
      <w:pPr>
        <w:tabs>
          <w:tab w:pos="3944" w:val="left" w:leader="none"/>
          <w:tab w:pos="5518" w:val="left" w:leader="none"/>
          <w:tab w:pos="6321" w:val="left" w:leader="none"/>
          <w:tab w:pos="7124" w:val="left" w:leader="none"/>
          <w:tab w:pos="8005" w:val="left" w:leader="none"/>
          <w:tab w:pos="8808" w:val="left" w:leader="none"/>
          <w:tab w:pos="9456" w:val="left" w:leader="none"/>
          <w:tab w:pos="10259" w:val="left" w:leader="none"/>
        </w:tabs>
        <w:spacing w:before="1"/>
        <w:ind w:left="777" w:right="0" w:firstLine="0"/>
        <w:jc w:val="left"/>
        <w:rPr>
          <w:sz w:val="13"/>
        </w:rPr>
      </w:pPr>
      <w:r>
        <w:rPr>
          <w:w w:val="105"/>
          <w:sz w:val="13"/>
        </w:rPr>
        <w:t>Revenue</w:t>
      </w:r>
      <w:r>
        <w:rPr>
          <w:spacing w:val="3"/>
          <w:w w:val="105"/>
          <w:sz w:val="13"/>
        </w:rPr>
        <w:t> </w:t>
      </w:r>
      <w:r>
        <w:rPr>
          <w:w w:val="105"/>
          <w:sz w:val="13"/>
        </w:rPr>
        <w:t>and</w:t>
      </w:r>
      <w:r>
        <w:rPr>
          <w:spacing w:val="4"/>
          <w:w w:val="105"/>
          <w:sz w:val="13"/>
        </w:rPr>
        <w:t> </w:t>
      </w:r>
      <w:r>
        <w:rPr>
          <w:w w:val="105"/>
          <w:sz w:val="13"/>
        </w:rPr>
        <w:t>income</w:t>
      </w:r>
      <w:r>
        <w:rPr>
          <w:spacing w:val="3"/>
          <w:w w:val="105"/>
          <w:sz w:val="13"/>
        </w:rPr>
        <w:t> </w:t>
      </w:r>
      <w:r>
        <w:rPr>
          <w:spacing w:val="-2"/>
          <w:w w:val="105"/>
          <w:sz w:val="13"/>
        </w:rPr>
        <w:t>earned</w:t>
      </w:r>
      <w:r>
        <w:rPr>
          <w:sz w:val="13"/>
        </w:rPr>
        <w:tab/>
      </w:r>
      <w:r>
        <w:rPr>
          <w:w w:val="105"/>
          <w:sz w:val="13"/>
        </w:rPr>
        <w:t>2.1(f)</w:t>
      </w:r>
      <w:r>
        <w:rPr>
          <w:spacing w:val="32"/>
          <w:w w:val="105"/>
          <w:sz w:val="13"/>
        </w:rPr>
        <w:t> </w:t>
      </w:r>
      <w:r>
        <w:rPr>
          <w:spacing w:val="54"/>
          <w:w w:val="105"/>
          <w:sz w:val="13"/>
          <w:u w:val="single"/>
        </w:rPr>
        <w:t>  </w:t>
      </w:r>
      <w:r>
        <w:rPr>
          <w:spacing w:val="-2"/>
          <w:w w:val="105"/>
          <w:sz w:val="13"/>
          <w:u w:val="single"/>
        </w:rPr>
        <w:t>(102,172)</w:t>
      </w:r>
      <w:r>
        <w:rPr>
          <w:sz w:val="13"/>
          <w:u w:val="single"/>
        </w:rPr>
        <w:tab/>
      </w:r>
      <w:r>
        <w:rPr>
          <w:spacing w:val="-2"/>
          <w:w w:val="105"/>
          <w:sz w:val="13"/>
          <w:u w:val="single"/>
        </w:rPr>
        <w:t>(98,112)</w:t>
      </w:r>
      <w:r>
        <w:rPr>
          <w:sz w:val="13"/>
          <w:u w:val="single"/>
        </w:rPr>
        <w:tab/>
      </w:r>
      <w:r>
        <w:rPr>
          <w:spacing w:val="-2"/>
          <w:w w:val="105"/>
          <w:sz w:val="13"/>
          <w:u w:val="single"/>
        </w:rPr>
        <w:t>(16,707)</w:t>
      </w:r>
      <w:r>
        <w:rPr>
          <w:sz w:val="13"/>
          <w:u w:val="single"/>
        </w:rPr>
        <w:tab/>
      </w:r>
      <w:r>
        <w:rPr>
          <w:spacing w:val="-2"/>
          <w:w w:val="105"/>
          <w:sz w:val="13"/>
          <w:u w:val="single"/>
        </w:rPr>
        <w:t>(18,474)</w:t>
      </w:r>
      <w:r>
        <w:rPr>
          <w:sz w:val="13"/>
          <w:u w:val="single"/>
        </w:rPr>
        <w:tab/>
      </w:r>
      <w:r>
        <w:rPr>
          <w:spacing w:val="-2"/>
          <w:w w:val="105"/>
          <w:sz w:val="13"/>
          <w:u w:val="single"/>
        </w:rPr>
        <w:t>(2,142)</w:t>
      </w:r>
      <w:r>
        <w:rPr>
          <w:sz w:val="13"/>
          <w:u w:val="single"/>
        </w:rPr>
        <w:tab/>
      </w:r>
      <w:r>
        <w:rPr>
          <w:spacing w:val="-2"/>
          <w:w w:val="105"/>
          <w:sz w:val="13"/>
          <w:u w:val="single"/>
        </w:rPr>
        <w:t>(1,480)</w:t>
      </w:r>
      <w:r>
        <w:rPr>
          <w:sz w:val="13"/>
          <w:u w:val="single"/>
        </w:rPr>
        <w:tab/>
      </w:r>
      <w:r>
        <w:rPr>
          <w:spacing w:val="-2"/>
          <w:w w:val="105"/>
          <w:sz w:val="13"/>
          <w:u w:val="single"/>
        </w:rPr>
        <w:t>(121,021)</w:t>
      </w:r>
      <w:r>
        <w:rPr>
          <w:sz w:val="13"/>
          <w:u w:val="single"/>
        </w:rPr>
        <w:tab/>
      </w:r>
      <w:r>
        <w:rPr>
          <w:spacing w:val="-2"/>
          <w:w w:val="105"/>
          <w:sz w:val="13"/>
          <w:u w:val="single"/>
        </w:rPr>
        <w:t>(118,066)</w:t>
      </w:r>
    </w:p>
    <w:p>
      <w:pPr>
        <w:tabs>
          <w:tab w:pos="4722" w:val="left" w:leader="none"/>
          <w:tab w:pos="5595" w:val="left" w:leader="none"/>
          <w:tab w:pos="6444" w:val="left" w:leader="none"/>
          <w:tab w:pos="7317" w:val="left" w:leader="none"/>
          <w:tab w:pos="8398" w:val="left" w:leader="none"/>
          <w:tab w:pos="9201" w:val="left" w:leader="none"/>
          <w:tab w:pos="9656" w:val="left" w:leader="none"/>
          <w:tab w:pos="10414" w:val="left" w:leader="none"/>
        </w:tabs>
        <w:spacing w:before="18"/>
        <w:ind w:left="777" w:right="0" w:firstLine="0"/>
        <w:jc w:val="left"/>
        <w:rPr>
          <w:sz w:val="13"/>
        </w:rPr>
      </w:pPr>
      <w:r>
        <w:rPr/>
        <mc:AlternateContent>
          <mc:Choice Requires="wps">
            <w:drawing>
              <wp:anchor distT="0" distB="0" distL="0" distR="0" allowOverlap="1" layoutInCell="1" locked="0" behindDoc="1" simplePos="0" relativeHeight="487777280">
                <wp:simplePos x="0" y="0"/>
                <wp:positionH relativeFrom="page">
                  <wp:posOffset>3414725</wp:posOffset>
                </wp:positionH>
                <wp:positionV relativeFrom="paragraph">
                  <wp:posOffset>112728</wp:posOffset>
                </wp:positionV>
                <wp:extent cx="4154804" cy="16510"/>
                <wp:effectExtent l="0" t="0" r="0" b="0"/>
                <wp:wrapTopAndBottom/>
                <wp:docPr id="1014" name="Graphic 1014"/>
                <wp:cNvGraphicFramePr>
                  <a:graphicFrameLocks/>
                </wp:cNvGraphicFramePr>
                <a:graphic>
                  <a:graphicData uri="http://schemas.microsoft.com/office/word/2010/wordprocessingShape">
                    <wps:wsp>
                      <wps:cNvPr id="1014" name="Graphic 1014"/>
                      <wps:cNvSpPr/>
                      <wps:spPr>
                        <a:xfrm>
                          <a:off x="0" y="0"/>
                          <a:ext cx="4154804" cy="16510"/>
                        </a:xfrm>
                        <a:custGeom>
                          <a:avLst/>
                          <a:gdLst/>
                          <a:ahLst/>
                          <a:cxnLst/>
                          <a:rect l="l" t="t" r="r" b="b"/>
                          <a:pathLst>
                            <a:path w="4154804" h="16510">
                              <a:moveTo>
                                <a:pt x="4154754" y="15887"/>
                              </a:moveTo>
                              <a:lnTo>
                                <a:pt x="4154754" y="0"/>
                              </a:lnTo>
                              <a:lnTo>
                                <a:pt x="0" y="0"/>
                              </a:lnTo>
                              <a:lnTo>
                                <a:pt x="0" y="15887"/>
                              </a:lnTo>
                              <a:lnTo>
                                <a:pt x="4154754" y="1588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68.876007pt;margin-top:8.876264pt;width:327.146pt;height:1.251pt;mso-position-horizontal-relative:page;mso-position-vertical-relative:paragraph;z-index:-15539200;mso-wrap-distance-left:0;mso-wrap-distance-right:0" id="docshape701" filled="true" fillcolor="#000000" stroked="false">
                <v:fill type="solid"/>
                <w10:wrap type="topAndBottom"/>
              </v:rect>
            </w:pict>
          </mc:Fallback>
        </mc:AlternateContent>
      </w:r>
      <w:r>
        <w:rPr>
          <w:w w:val="105"/>
          <w:sz w:val="13"/>
        </w:rPr>
        <w:t>Cash Payable/(Receivable)</w:t>
      </w:r>
      <w:r>
        <w:rPr>
          <w:spacing w:val="-1"/>
          <w:w w:val="105"/>
          <w:sz w:val="13"/>
        </w:rPr>
        <w:t> </w:t>
      </w:r>
      <w:r>
        <w:rPr>
          <w:w w:val="105"/>
          <w:sz w:val="13"/>
        </w:rPr>
        <w:t>at</w:t>
      </w:r>
      <w:r>
        <w:rPr>
          <w:spacing w:val="-1"/>
          <w:w w:val="105"/>
          <w:sz w:val="13"/>
        </w:rPr>
        <w:t> </w:t>
      </w:r>
      <w:r>
        <w:rPr>
          <w:w w:val="105"/>
          <w:sz w:val="13"/>
        </w:rPr>
        <w:t>end</w:t>
      </w:r>
      <w:r>
        <w:rPr>
          <w:spacing w:val="1"/>
          <w:w w:val="105"/>
          <w:sz w:val="13"/>
        </w:rPr>
        <w:t> </w:t>
      </w:r>
      <w:r>
        <w:rPr>
          <w:w w:val="105"/>
          <w:sz w:val="13"/>
        </w:rPr>
        <w:t>of</w:t>
      </w:r>
      <w:r>
        <w:rPr>
          <w:spacing w:val="-2"/>
          <w:w w:val="105"/>
          <w:sz w:val="13"/>
        </w:rPr>
        <w:t> </w:t>
      </w:r>
      <w:r>
        <w:rPr>
          <w:spacing w:val="-4"/>
          <w:w w:val="105"/>
          <w:sz w:val="13"/>
        </w:rPr>
        <w:t>year</w:t>
      </w:r>
      <w:r>
        <w:rPr>
          <w:sz w:val="13"/>
        </w:rPr>
        <w:tab/>
      </w:r>
      <w:r>
        <w:rPr>
          <w:spacing w:val="-4"/>
          <w:w w:val="105"/>
          <w:sz w:val="13"/>
        </w:rPr>
        <w:t>5,003</w:t>
      </w:r>
      <w:r>
        <w:rPr>
          <w:sz w:val="13"/>
        </w:rPr>
        <w:tab/>
      </w:r>
      <w:r>
        <w:rPr>
          <w:spacing w:val="-2"/>
          <w:w w:val="105"/>
          <w:sz w:val="13"/>
        </w:rPr>
        <w:t>(2,504)</w:t>
      </w:r>
      <w:r>
        <w:rPr>
          <w:sz w:val="13"/>
        </w:rPr>
        <w:tab/>
      </w:r>
      <w:r>
        <w:rPr>
          <w:spacing w:val="-2"/>
          <w:w w:val="105"/>
          <w:sz w:val="13"/>
        </w:rPr>
        <w:t>2,862</w:t>
      </w:r>
      <w:r>
        <w:rPr>
          <w:sz w:val="13"/>
        </w:rPr>
        <w:tab/>
      </w:r>
      <w:r>
        <w:rPr>
          <w:spacing w:val="-2"/>
          <w:w w:val="105"/>
          <w:sz w:val="13"/>
        </w:rPr>
        <w:t>(136)</w:t>
      </w:r>
      <w:r>
        <w:rPr>
          <w:sz w:val="13"/>
        </w:rPr>
        <w:tab/>
      </w:r>
      <w:r>
        <w:rPr>
          <w:spacing w:val="-10"/>
          <w:w w:val="105"/>
          <w:sz w:val="13"/>
        </w:rPr>
        <w:t>-</w:t>
      </w:r>
      <w:r>
        <w:rPr>
          <w:sz w:val="13"/>
        </w:rPr>
        <w:tab/>
      </w:r>
      <w:r>
        <w:rPr>
          <w:spacing w:val="-10"/>
          <w:w w:val="105"/>
          <w:sz w:val="13"/>
        </w:rPr>
        <w:t>-</w:t>
      </w:r>
      <w:r>
        <w:rPr>
          <w:sz w:val="13"/>
        </w:rPr>
        <w:tab/>
      </w:r>
      <w:r>
        <w:rPr>
          <w:spacing w:val="-2"/>
          <w:w w:val="105"/>
          <w:sz w:val="13"/>
        </w:rPr>
        <w:t>7,865</w:t>
      </w:r>
      <w:r>
        <w:rPr>
          <w:sz w:val="13"/>
        </w:rPr>
        <w:tab/>
      </w:r>
      <w:r>
        <w:rPr>
          <w:spacing w:val="-2"/>
          <w:w w:val="105"/>
          <w:sz w:val="13"/>
        </w:rPr>
        <w:t>(2,640)</w:t>
      </w:r>
    </w:p>
    <w:p>
      <w:pPr>
        <w:spacing w:line="240" w:lineRule="auto" w:before="180"/>
        <w:rPr>
          <w:sz w:val="20"/>
        </w:rPr>
      </w:pPr>
    </w:p>
    <w:p>
      <w:pPr>
        <w:spacing w:after="0" w:line="240" w:lineRule="auto"/>
        <w:rPr>
          <w:sz w:val="20"/>
        </w:rPr>
        <w:sectPr>
          <w:type w:val="continuous"/>
          <w:pgSz w:w="16840" w:h="11910" w:orient="landscape"/>
          <w:pgMar w:header="0" w:footer="0" w:top="980" w:bottom="280" w:left="1040" w:right="1600"/>
        </w:sectPr>
      </w:pPr>
    </w:p>
    <w:p>
      <w:pPr>
        <w:spacing w:line="240" w:lineRule="auto" w:before="131"/>
        <w:rPr>
          <w:sz w:val="13"/>
        </w:rPr>
      </w:pPr>
    </w:p>
    <w:p>
      <w:pPr>
        <w:spacing w:line="285" w:lineRule="auto" w:before="0"/>
        <w:ind w:left="4918" w:right="0" w:hanging="323"/>
        <w:jc w:val="left"/>
        <w:rPr>
          <w:b/>
          <w:sz w:val="13"/>
        </w:rPr>
      </w:pPr>
      <w:r>
        <w:rPr>
          <w:b/>
          <w:w w:val="105"/>
          <w:sz w:val="13"/>
        </w:rPr>
        <w:t>Research</w:t>
      </w:r>
      <w:r>
        <w:rPr>
          <w:b/>
          <w:spacing w:val="-10"/>
          <w:w w:val="105"/>
          <w:sz w:val="13"/>
        </w:rPr>
        <w:t> </w:t>
      </w:r>
      <w:r>
        <w:rPr>
          <w:b/>
          <w:w w:val="105"/>
          <w:sz w:val="13"/>
        </w:rPr>
        <w:t>Training</w:t>
      </w:r>
      <w:r>
        <w:rPr>
          <w:b/>
          <w:spacing w:val="40"/>
          <w:w w:val="105"/>
          <w:sz w:val="13"/>
        </w:rPr>
        <w:t> </w:t>
      </w:r>
      <w:r>
        <w:rPr>
          <w:b/>
          <w:spacing w:val="-2"/>
          <w:w w:val="105"/>
          <w:sz w:val="13"/>
        </w:rPr>
        <w:t>Program</w:t>
      </w:r>
    </w:p>
    <w:p>
      <w:pPr>
        <w:spacing w:line="285" w:lineRule="auto" w:before="103"/>
        <w:ind w:left="420" w:right="0" w:firstLine="215"/>
        <w:jc w:val="left"/>
        <w:rPr>
          <w:b/>
          <w:sz w:val="13"/>
        </w:rPr>
      </w:pPr>
      <w:r>
        <w:rPr/>
        <w:br w:type="column"/>
      </w:r>
      <w:r>
        <w:rPr>
          <w:b/>
          <w:spacing w:val="-2"/>
          <w:w w:val="105"/>
          <w:sz w:val="13"/>
        </w:rPr>
        <w:t>University</w:t>
      </w:r>
      <w:r>
        <w:rPr>
          <w:b/>
          <w:spacing w:val="40"/>
          <w:w w:val="105"/>
          <w:sz w:val="13"/>
        </w:rPr>
        <w:t> </w:t>
      </w:r>
      <w:r>
        <w:rPr>
          <w:b/>
          <w:w w:val="105"/>
          <w:sz w:val="13"/>
        </w:rPr>
        <w:t>Research</w:t>
      </w:r>
      <w:r>
        <w:rPr>
          <w:b/>
          <w:spacing w:val="-10"/>
          <w:w w:val="105"/>
          <w:sz w:val="13"/>
        </w:rPr>
        <w:t> </w:t>
      </w:r>
      <w:r>
        <w:rPr>
          <w:b/>
          <w:w w:val="105"/>
          <w:sz w:val="13"/>
        </w:rPr>
        <w:t>Support</w:t>
      </w:r>
    </w:p>
    <w:p>
      <w:pPr>
        <w:spacing w:line="149" w:lineRule="exact" w:before="0"/>
        <w:ind w:left="736" w:right="0" w:firstLine="0"/>
        <w:jc w:val="left"/>
        <w:rPr>
          <w:b/>
          <w:sz w:val="13"/>
        </w:rPr>
      </w:pPr>
      <w:r>
        <w:rPr>
          <w:b/>
          <w:spacing w:val="-2"/>
          <w:w w:val="105"/>
          <w:sz w:val="13"/>
        </w:rPr>
        <w:t>Program</w:t>
      </w:r>
    </w:p>
    <w:p>
      <w:pPr>
        <w:spacing w:line="240" w:lineRule="auto" w:before="131"/>
        <w:rPr>
          <w:b/>
          <w:sz w:val="13"/>
        </w:rPr>
      </w:pPr>
      <w:r>
        <w:rPr/>
        <w:br w:type="column"/>
      </w:r>
      <w:r>
        <w:rPr>
          <w:b/>
          <w:sz w:val="13"/>
        </w:rPr>
      </w:r>
    </w:p>
    <w:p>
      <w:pPr>
        <w:spacing w:before="0"/>
        <w:ind w:left="802" w:right="0" w:firstLine="0"/>
        <w:jc w:val="left"/>
        <w:rPr>
          <w:b/>
          <w:sz w:val="13"/>
        </w:rPr>
      </w:pPr>
      <w:r>
        <w:rPr>
          <w:b/>
          <w:spacing w:val="-2"/>
          <w:w w:val="105"/>
          <w:sz w:val="13"/>
        </w:rPr>
        <w:t>Total</w:t>
      </w:r>
    </w:p>
    <w:p>
      <w:pPr>
        <w:spacing w:after="0"/>
        <w:jc w:val="left"/>
        <w:rPr>
          <w:sz w:val="13"/>
        </w:rPr>
        <w:sectPr>
          <w:type w:val="continuous"/>
          <w:pgSz w:w="16840" w:h="11910" w:orient="landscape"/>
          <w:pgMar w:header="0" w:footer="0" w:top="980" w:bottom="280" w:left="1040" w:right="1600"/>
          <w:cols w:num="3" w:equalWidth="0">
            <w:col w:w="5806" w:space="40"/>
            <w:col w:w="1615" w:space="39"/>
            <w:col w:w="6700"/>
          </w:cols>
        </w:sectPr>
      </w:pPr>
    </w:p>
    <w:tbl>
      <w:tblPr>
        <w:tblW w:w="0" w:type="auto"/>
        <w:jc w:val="left"/>
        <w:tblInd w:w="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655"/>
        <w:gridCol w:w="476"/>
        <w:gridCol w:w="940"/>
        <w:gridCol w:w="890"/>
        <w:gridCol w:w="804"/>
        <w:gridCol w:w="804"/>
        <w:gridCol w:w="804"/>
        <w:gridCol w:w="699"/>
      </w:tblGrid>
      <w:tr>
        <w:trPr>
          <w:trHeight w:val="219" w:hRule="atLeast"/>
        </w:trPr>
        <w:tc>
          <w:tcPr>
            <w:tcW w:w="3655" w:type="dxa"/>
          </w:tcPr>
          <w:p>
            <w:pPr>
              <w:pStyle w:val="TableParagraph"/>
              <w:tabs>
                <w:tab w:pos="570" w:val="left" w:leader="none"/>
              </w:tabs>
              <w:spacing w:line="149" w:lineRule="exact" w:before="50"/>
              <w:ind w:left="27"/>
              <w:rPr>
                <w:b/>
                <w:sz w:val="13"/>
              </w:rPr>
            </w:pPr>
            <w:r>
              <w:rPr>
                <w:b/>
                <w:color w:val="0070C0"/>
                <w:spacing w:val="-5"/>
                <w:w w:val="105"/>
                <w:sz w:val="13"/>
              </w:rPr>
              <w:t>c)</w:t>
            </w:r>
            <w:r>
              <w:rPr>
                <w:b/>
                <w:color w:val="0070C0"/>
                <w:sz w:val="13"/>
              </w:rPr>
              <w:tab/>
            </w:r>
            <w:r>
              <w:rPr>
                <w:b/>
                <w:color w:val="0070C0"/>
                <w:w w:val="105"/>
                <w:position w:val="1"/>
                <w:sz w:val="13"/>
              </w:rPr>
              <w:t>Department</w:t>
            </w:r>
            <w:r>
              <w:rPr>
                <w:b/>
                <w:color w:val="0070C0"/>
                <w:spacing w:val="-4"/>
                <w:w w:val="105"/>
                <w:position w:val="1"/>
                <w:sz w:val="13"/>
              </w:rPr>
              <w:t> </w:t>
            </w:r>
            <w:r>
              <w:rPr>
                <w:b/>
                <w:color w:val="0070C0"/>
                <w:w w:val="105"/>
                <w:position w:val="1"/>
                <w:sz w:val="13"/>
              </w:rPr>
              <w:t>of</w:t>
            </w:r>
            <w:r>
              <w:rPr>
                <w:b/>
                <w:color w:val="0070C0"/>
                <w:spacing w:val="-3"/>
                <w:w w:val="105"/>
                <w:position w:val="1"/>
                <w:sz w:val="13"/>
              </w:rPr>
              <w:t> </w:t>
            </w:r>
            <w:r>
              <w:rPr>
                <w:b/>
                <w:color w:val="0070C0"/>
                <w:w w:val="105"/>
                <w:position w:val="1"/>
                <w:sz w:val="13"/>
              </w:rPr>
              <w:t>Education,</w:t>
            </w:r>
            <w:r>
              <w:rPr>
                <w:b/>
                <w:color w:val="0070C0"/>
                <w:spacing w:val="-3"/>
                <w:w w:val="105"/>
                <w:position w:val="1"/>
                <w:sz w:val="13"/>
              </w:rPr>
              <w:t> </w:t>
            </w:r>
            <w:r>
              <w:rPr>
                <w:b/>
                <w:color w:val="0070C0"/>
                <w:w w:val="105"/>
                <w:position w:val="1"/>
                <w:sz w:val="13"/>
              </w:rPr>
              <w:t>Skills</w:t>
            </w:r>
            <w:r>
              <w:rPr>
                <w:b/>
                <w:color w:val="0070C0"/>
                <w:spacing w:val="-1"/>
                <w:w w:val="105"/>
                <w:position w:val="1"/>
                <w:sz w:val="13"/>
              </w:rPr>
              <w:t> </w:t>
            </w:r>
            <w:r>
              <w:rPr>
                <w:b/>
                <w:color w:val="0070C0"/>
                <w:spacing w:val="-5"/>
                <w:w w:val="105"/>
                <w:position w:val="1"/>
                <w:sz w:val="13"/>
              </w:rPr>
              <w:t>and</w:t>
            </w:r>
          </w:p>
        </w:tc>
        <w:tc>
          <w:tcPr>
            <w:tcW w:w="476" w:type="dxa"/>
          </w:tcPr>
          <w:p>
            <w:pPr>
              <w:pStyle w:val="TableParagraph"/>
              <w:rPr>
                <w:rFonts w:ascii="Times New Roman"/>
                <w:sz w:val="14"/>
              </w:rPr>
            </w:pPr>
          </w:p>
        </w:tc>
        <w:tc>
          <w:tcPr>
            <w:tcW w:w="940" w:type="dxa"/>
          </w:tcPr>
          <w:p>
            <w:pPr>
              <w:pStyle w:val="TableParagraph"/>
              <w:spacing w:line="139" w:lineRule="exact" w:before="60"/>
              <w:ind w:left="252"/>
              <w:rPr>
                <w:b/>
                <w:sz w:val="13"/>
              </w:rPr>
            </w:pPr>
            <w:r>
              <w:rPr>
                <w:b/>
                <w:spacing w:val="-4"/>
                <w:w w:val="105"/>
                <w:sz w:val="13"/>
              </w:rPr>
              <w:t>2020</w:t>
            </w:r>
          </w:p>
        </w:tc>
        <w:tc>
          <w:tcPr>
            <w:tcW w:w="890" w:type="dxa"/>
          </w:tcPr>
          <w:p>
            <w:pPr>
              <w:pStyle w:val="TableParagraph"/>
              <w:spacing w:line="139" w:lineRule="exact" w:before="60"/>
              <w:ind w:left="173"/>
              <w:rPr>
                <w:b/>
                <w:sz w:val="13"/>
              </w:rPr>
            </w:pPr>
            <w:r>
              <w:rPr>
                <w:b/>
                <w:spacing w:val="-4"/>
                <w:w w:val="105"/>
                <w:sz w:val="13"/>
              </w:rPr>
              <w:t>2019</w:t>
            </w:r>
          </w:p>
        </w:tc>
        <w:tc>
          <w:tcPr>
            <w:tcW w:w="804" w:type="dxa"/>
          </w:tcPr>
          <w:p>
            <w:pPr>
              <w:pStyle w:val="TableParagraph"/>
              <w:spacing w:line="139" w:lineRule="exact" w:before="60"/>
              <w:ind w:left="144"/>
              <w:rPr>
                <w:b/>
                <w:sz w:val="13"/>
              </w:rPr>
            </w:pPr>
            <w:r>
              <w:rPr>
                <w:b/>
                <w:spacing w:val="-4"/>
                <w:w w:val="105"/>
                <w:sz w:val="13"/>
              </w:rPr>
              <w:t>2020</w:t>
            </w:r>
          </w:p>
        </w:tc>
        <w:tc>
          <w:tcPr>
            <w:tcW w:w="804" w:type="dxa"/>
          </w:tcPr>
          <w:p>
            <w:pPr>
              <w:pStyle w:val="TableParagraph"/>
              <w:spacing w:line="139" w:lineRule="exact" w:before="60"/>
              <w:ind w:left="143"/>
              <w:rPr>
                <w:b/>
                <w:sz w:val="13"/>
              </w:rPr>
            </w:pPr>
            <w:r>
              <w:rPr>
                <w:b/>
                <w:spacing w:val="-4"/>
                <w:w w:val="105"/>
                <w:sz w:val="13"/>
              </w:rPr>
              <w:t>2019</w:t>
            </w:r>
          </w:p>
        </w:tc>
        <w:tc>
          <w:tcPr>
            <w:tcW w:w="804" w:type="dxa"/>
          </w:tcPr>
          <w:p>
            <w:pPr>
              <w:pStyle w:val="TableParagraph"/>
              <w:spacing w:line="139" w:lineRule="exact" w:before="60"/>
              <w:ind w:left="142"/>
              <w:rPr>
                <w:b/>
                <w:sz w:val="13"/>
              </w:rPr>
            </w:pPr>
            <w:r>
              <w:rPr>
                <w:b/>
                <w:spacing w:val="-4"/>
                <w:w w:val="105"/>
                <w:sz w:val="13"/>
              </w:rPr>
              <w:t>2020</w:t>
            </w:r>
          </w:p>
        </w:tc>
        <w:tc>
          <w:tcPr>
            <w:tcW w:w="699" w:type="dxa"/>
          </w:tcPr>
          <w:p>
            <w:pPr>
              <w:pStyle w:val="TableParagraph"/>
              <w:spacing w:line="139" w:lineRule="exact" w:before="60"/>
              <w:ind w:left="141"/>
              <w:rPr>
                <w:b/>
                <w:sz w:val="13"/>
              </w:rPr>
            </w:pPr>
            <w:r>
              <w:rPr>
                <w:b/>
                <w:spacing w:val="-4"/>
                <w:w w:val="105"/>
                <w:sz w:val="13"/>
              </w:rPr>
              <w:t>2019</w:t>
            </w:r>
          </w:p>
        </w:tc>
      </w:tr>
      <w:tr>
        <w:trPr>
          <w:trHeight w:val="164" w:hRule="atLeast"/>
        </w:trPr>
        <w:tc>
          <w:tcPr>
            <w:tcW w:w="3655" w:type="dxa"/>
            <w:tcBorders>
              <w:bottom w:val="single" w:sz="6" w:space="0" w:color="000000"/>
            </w:tcBorders>
          </w:tcPr>
          <w:p>
            <w:pPr>
              <w:pStyle w:val="TableParagraph"/>
              <w:spacing w:line="133" w:lineRule="exact" w:before="11"/>
              <w:ind w:left="570"/>
              <w:rPr>
                <w:b/>
                <w:sz w:val="13"/>
              </w:rPr>
            </w:pPr>
            <w:r>
              <w:rPr>
                <w:b/>
                <w:color w:val="0070C0"/>
                <w:w w:val="105"/>
                <w:sz w:val="13"/>
              </w:rPr>
              <w:t>Employment</w:t>
            </w:r>
            <w:r>
              <w:rPr>
                <w:b/>
                <w:color w:val="0070C0"/>
                <w:spacing w:val="-7"/>
                <w:w w:val="105"/>
                <w:sz w:val="13"/>
              </w:rPr>
              <w:t> </w:t>
            </w:r>
            <w:r>
              <w:rPr>
                <w:b/>
                <w:color w:val="0070C0"/>
                <w:spacing w:val="-2"/>
                <w:w w:val="105"/>
                <w:sz w:val="13"/>
              </w:rPr>
              <w:t>Research</w:t>
            </w:r>
          </w:p>
        </w:tc>
        <w:tc>
          <w:tcPr>
            <w:tcW w:w="476" w:type="dxa"/>
            <w:tcBorders>
              <w:bottom w:val="single" w:sz="6" w:space="0" w:color="000000"/>
            </w:tcBorders>
          </w:tcPr>
          <w:p>
            <w:pPr>
              <w:pStyle w:val="TableParagraph"/>
              <w:spacing w:line="133" w:lineRule="exact" w:before="11"/>
              <w:ind w:left="12" w:right="6"/>
              <w:jc w:val="center"/>
              <w:rPr>
                <w:b/>
                <w:sz w:val="13"/>
              </w:rPr>
            </w:pPr>
            <w:r>
              <w:rPr>
                <w:b/>
                <w:spacing w:val="-4"/>
                <w:w w:val="105"/>
                <w:sz w:val="13"/>
              </w:rPr>
              <w:t>Note</w:t>
            </w:r>
          </w:p>
        </w:tc>
        <w:tc>
          <w:tcPr>
            <w:tcW w:w="940" w:type="dxa"/>
            <w:tcBorders>
              <w:bottom w:val="single" w:sz="6" w:space="0" w:color="000000"/>
            </w:tcBorders>
          </w:tcPr>
          <w:p>
            <w:pPr>
              <w:pStyle w:val="TableParagraph"/>
              <w:spacing w:line="133" w:lineRule="exact" w:before="11"/>
              <w:ind w:left="237"/>
              <w:rPr>
                <w:b/>
                <w:sz w:val="13"/>
              </w:rPr>
            </w:pPr>
            <w:r>
              <w:rPr>
                <w:b/>
                <w:spacing w:val="-2"/>
                <w:w w:val="105"/>
                <w:sz w:val="13"/>
              </w:rPr>
              <w:t>$'000</w:t>
            </w:r>
          </w:p>
        </w:tc>
        <w:tc>
          <w:tcPr>
            <w:tcW w:w="890" w:type="dxa"/>
            <w:tcBorders>
              <w:bottom w:val="single" w:sz="6" w:space="0" w:color="000000"/>
            </w:tcBorders>
          </w:tcPr>
          <w:p>
            <w:pPr>
              <w:pStyle w:val="TableParagraph"/>
              <w:spacing w:line="133" w:lineRule="exact" w:before="11"/>
              <w:ind w:left="158"/>
              <w:rPr>
                <w:b/>
                <w:sz w:val="13"/>
              </w:rPr>
            </w:pPr>
            <w:r>
              <w:rPr>
                <w:b/>
                <w:spacing w:val="-2"/>
                <w:w w:val="105"/>
                <w:sz w:val="13"/>
              </w:rPr>
              <w:t>$'000</w:t>
            </w:r>
          </w:p>
        </w:tc>
        <w:tc>
          <w:tcPr>
            <w:tcW w:w="804" w:type="dxa"/>
            <w:tcBorders>
              <w:bottom w:val="single" w:sz="6" w:space="0" w:color="000000"/>
            </w:tcBorders>
          </w:tcPr>
          <w:p>
            <w:pPr>
              <w:pStyle w:val="TableParagraph"/>
              <w:spacing w:line="133" w:lineRule="exact" w:before="11"/>
              <w:ind w:left="129"/>
              <w:rPr>
                <w:b/>
                <w:sz w:val="13"/>
              </w:rPr>
            </w:pPr>
            <w:r>
              <w:rPr>
                <w:b/>
                <w:spacing w:val="-2"/>
                <w:w w:val="105"/>
                <w:sz w:val="13"/>
              </w:rPr>
              <w:t>$'000</w:t>
            </w:r>
          </w:p>
        </w:tc>
        <w:tc>
          <w:tcPr>
            <w:tcW w:w="804" w:type="dxa"/>
            <w:tcBorders>
              <w:bottom w:val="single" w:sz="6" w:space="0" w:color="000000"/>
            </w:tcBorders>
          </w:tcPr>
          <w:p>
            <w:pPr>
              <w:pStyle w:val="TableParagraph"/>
              <w:spacing w:line="133" w:lineRule="exact" w:before="11"/>
              <w:ind w:left="128"/>
              <w:rPr>
                <w:b/>
                <w:sz w:val="13"/>
              </w:rPr>
            </w:pPr>
            <w:r>
              <w:rPr>
                <w:b/>
                <w:spacing w:val="-2"/>
                <w:w w:val="105"/>
                <w:sz w:val="13"/>
              </w:rPr>
              <w:t>$'000</w:t>
            </w:r>
          </w:p>
        </w:tc>
        <w:tc>
          <w:tcPr>
            <w:tcW w:w="804" w:type="dxa"/>
            <w:tcBorders>
              <w:bottom w:val="single" w:sz="6" w:space="0" w:color="000000"/>
            </w:tcBorders>
          </w:tcPr>
          <w:p>
            <w:pPr>
              <w:pStyle w:val="TableParagraph"/>
              <w:spacing w:line="133" w:lineRule="exact" w:before="11"/>
              <w:ind w:left="127"/>
              <w:rPr>
                <w:b/>
                <w:sz w:val="13"/>
              </w:rPr>
            </w:pPr>
            <w:r>
              <w:rPr>
                <w:b/>
                <w:spacing w:val="-2"/>
                <w:w w:val="105"/>
                <w:sz w:val="13"/>
              </w:rPr>
              <w:t>$'000</w:t>
            </w:r>
          </w:p>
        </w:tc>
        <w:tc>
          <w:tcPr>
            <w:tcW w:w="699" w:type="dxa"/>
            <w:tcBorders>
              <w:bottom w:val="single" w:sz="6" w:space="0" w:color="000000"/>
            </w:tcBorders>
          </w:tcPr>
          <w:p>
            <w:pPr>
              <w:pStyle w:val="TableParagraph"/>
              <w:spacing w:line="133" w:lineRule="exact" w:before="11"/>
              <w:ind w:left="126"/>
              <w:rPr>
                <w:b/>
                <w:sz w:val="13"/>
              </w:rPr>
            </w:pPr>
            <w:r>
              <w:rPr>
                <w:b/>
                <w:spacing w:val="-2"/>
                <w:w w:val="105"/>
                <w:sz w:val="13"/>
              </w:rPr>
              <w:t>$'000</w:t>
            </w:r>
          </w:p>
        </w:tc>
      </w:tr>
      <w:tr>
        <w:trPr>
          <w:trHeight w:val="696" w:hRule="atLeast"/>
        </w:trPr>
        <w:tc>
          <w:tcPr>
            <w:tcW w:w="3655" w:type="dxa"/>
            <w:tcBorders>
              <w:top w:val="single" w:sz="6" w:space="0" w:color="000000"/>
            </w:tcBorders>
          </w:tcPr>
          <w:p>
            <w:pPr>
              <w:pStyle w:val="TableParagraph"/>
              <w:spacing w:before="14"/>
              <w:rPr>
                <w:b/>
                <w:sz w:val="13"/>
              </w:rPr>
            </w:pPr>
          </w:p>
          <w:p>
            <w:pPr>
              <w:pStyle w:val="TableParagraph"/>
              <w:spacing w:line="170" w:lineRule="atLeast"/>
              <w:ind w:left="570"/>
              <w:rPr>
                <w:sz w:val="13"/>
              </w:rPr>
            </w:pPr>
            <w:r>
              <w:rPr>
                <w:w w:val="105"/>
                <w:sz w:val="13"/>
              </w:rPr>
              <w:t>Financial</w:t>
            </w:r>
            <w:r>
              <w:rPr>
                <w:spacing w:val="-5"/>
                <w:w w:val="105"/>
                <w:sz w:val="13"/>
              </w:rPr>
              <w:t> </w:t>
            </w:r>
            <w:r>
              <w:rPr>
                <w:w w:val="105"/>
                <w:sz w:val="13"/>
              </w:rPr>
              <w:t>assistance</w:t>
            </w:r>
            <w:r>
              <w:rPr>
                <w:spacing w:val="-1"/>
                <w:w w:val="105"/>
                <w:sz w:val="13"/>
              </w:rPr>
              <w:t> </w:t>
            </w:r>
            <w:r>
              <w:rPr>
                <w:w w:val="105"/>
                <w:sz w:val="13"/>
              </w:rPr>
              <w:t>received</w:t>
            </w:r>
            <w:r>
              <w:rPr>
                <w:spacing w:val="-1"/>
                <w:w w:val="105"/>
                <w:sz w:val="13"/>
              </w:rPr>
              <w:t> </w:t>
            </w:r>
            <w:r>
              <w:rPr>
                <w:w w:val="105"/>
                <w:sz w:val="13"/>
              </w:rPr>
              <w:t>in</w:t>
            </w:r>
            <w:r>
              <w:rPr>
                <w:spacing w:val="-1"/>
                <w:w w:val="105"/>
                <w:sz w:val="13"/>
              </w:rPr>
              <w:t> </w:t>
            </w:r>
            <w:r>
              <w:rPr>
                <w:w w:val="105"/>
                <w:sz w:val="13"/>
              </w:rPr>
              <w:t>CASH</w:t>
            </w:r>
            <w:r>
              <w:rPr>
                <w:spacing w:val="-1"/>
                <w:w w:val="105"/>
                <w:sz w:val="13"/>
              </w:rPr>
              <w:t> </w:t>
            </w:r>
            <w:r>
              <w:rPr>
                <w:w w:val="105"/>
                <w:sz w:val="13"/>
              </w:rPr>
              <w:t>during</w:t>
            </w:r>
            <w:r>
              <w:rPr>
                <w:spacing w:val="-1"/>
                <w:w w:val="105"/>
                <w:sz w:val="13"/>
              </w:rPr>
              <w:t> </w:t>
            </w:r>
            <w:r>
              <w:rPr>
                <w:w w:val="105"/>
                <w:sz w:val="13"/>
              </w:rPr>
              <w:t>the</w:t>
            </w:r>
            <w:r>
              <w:rPr>
                <w:spacing w:val="40"/>
                <w:w w:val="105"/>
                <w:sz w:val="13"/>
              </w:rPr>
              <w:t> </w:t>
            </w:r>
            <w:r>
              <w:rPr>
                <w:w w:val="105"/>
                <w:sz w:val="13"/>
              </w:rPr>
              <w:t>reporting period (total cash received from the</w:t>
            </w:r>
            <w:r>
              <w:rPr>
                <w:spacing w:val="40"/>
                <w:w w:val="105"/>
                <w:sz w:val="13"/>
              </w:rPr>
              <w:t> </w:t>
            </w:r>
            <w:r>
              <w:rPr>
                <w:w w:val="105"/>
                <w:sz w:val="13"/>
              </w:rPr>
              <w:t>Australian Government for the programs)</w:t>
            </w:r>
          </w:p>
        </w:tc>
        <w:tc>
          <w:tcPr>
            <w:tcW w:w="476" w:type="dxa"/>
            <w:tcBorders>
              <w:top w:val="single" w:sz="6" w:space="0" w:color="000000"/>
            </w:tcBorders>
          </w:tcPr>
          <w:p>
            <w:pPr>
              <w:pStyle w:val="TableParagraph"/>
              <w:rPr>
                <w:rFonts w:ascii="Times New Roman"/>
                <w:sz w:val="14"/>
              </w:rPr>
            </w:pPr>
          </w:p>
        </w:tc>
        <w:tc>
          <w:tcPr>
            <w:tcW w:w="940" w:type="dxa"/>
            <w:tcBorders>
              <w:top w:val="single" w:sz="6" w:space="0" w:color="000000"/>
            </w:tcBorders>
          </w:tcPr>
          <w:p>
            <w:pPr>
              <w:pStyle w:val="TableParagraph"/>
              <w:rPr>
                <w:b/>
                <w:sz w:val="13"/>
              </w:rPr>
            </w:pPr>
          </w:p>
          <w:p>
            <w:pPr>
              <w:pStyle w:val="TableParagraph"/>
              <w:rPr>
                <w:b/>
                <w:sz w:val="13"/>
              </w:rPr>
            </w:pPr>
          </w:p>
          <w:p>
            <w:pPr>
              <w:pStyle w:val="TableParagraph"/>
              <w:spacing w:before="88"/>
              <w:rPr>
                <w:b/>
                <w:sz w:val="13"/>
              </w:rPr>
            </w:pPr>
          </w:p>
          <w:p>
            <w:pPr>
              <w:pStyle w:val="TableParagraph"/>
              <w:spacing w:line="139" w:lineRule="exact" w:before="1"/>
              <w:ind w:right="204"/>
              <w:jc w:val="right"/>
              <w:rPr>
                <w:sz w:val="13"/>
              </w:rPr>
            </w:pPr>
            <w:r>
              <w:rPr>
                <w:spacing w:val="-2"/>
                <w:w w:val="105"/>
                <w:sz w:val="13"/>
              </w:rPr>
              <w:t>46,594</w:t>
            </w:r>
          </w:p>
        </w:tc>
        <w:tc>
          <w:tcPr>
            <w:tcW w:w="890" w:type="dxa"/>
            <w:tcBorders>
              <w:top w:val="single" w:sz="6" w:space="0" w:color="000000"/>
            </w:tcBorders>
          </w:tcPr>
          <w:p>
            <w:pPr>
              <w:pStyle w:val="TableParagraph"/>
              <w:rPr>
                <w:b/>
                <w:sz w:val="13"/>
              </w:rPr>
            </w:pPr>
          </w:p>
          <w:p>
            <w:pPr>
              <w:pStyle w:val="TableParagraph"/>
              <w:rPr>
                <w:b/>
                <w:sz w:val="13"/>
              </w:rPr>
            </w:pPr>
          </w:p>
          <w:p>
            <w:pPr>
              <w:pStyle w:val="TableParagraph"/>
              <w:spacing w:before="88"/>
              <w:rPr>
                <w:b/>
                <w:sz w:val="13"/>
              </w:rPr>
            </w:pPr>
          </w:p>
          <w:p>
            <w:pPr>
              <w:pStyle w:val="TableParagraph"/>
              <w:spacing w:line="139" w:lineRule="exact" w:before="1"/>
              <w:ind w:right="176"/>
              <w:jc w:val="right"/>
              <w:rPr>
                <w:sz w:val="13"/>
              </w:rPr>
            </w:pPr>
            <w:r>
              <w:rPr>
                <w:spacing w:val="-2"/>
                <w:w w:val="105"/>
                <w:sz w:val="13"/>
              </w:rPr>
              <w:t>47,407</w:t>
            </w:r>
          </w:p>
        </w:tc>
        <w:tc>
          <w:tcPr>
            <w:tcW w:w="804" w:type="dxa"/>
            <w:tcBorders>
              <w:top w:val="single" w:sz="6" w:space="0" w:color="000000"/>
            </w:tcBorders>
          </w:tcPr>
          <w:p>
            <w:pPr>
              <w:pStyle w:val="TableParagraph"/>
              <w:rPr>
                <w:b/>
                <w:sz w:val="13"/>
              </w:rPr>
            </w:pPr>
          </w:p>
          <w:p>
            <w:pPr>
              <w:pStyle w:val="TableParagraph"/>
              <w:rPr>
                <w:b/>
                <w:sz w:val="13"/>
              </w:rPr>
            </w:pPr>
          </w:p>
          <w:p>
            <w:pPr>
              <w:pStyle w:val="TableParagraph"/>
              <w:spacing w:before="88"/>
              <w:rPr>
                <w:b/>
                <w:sz w:val="13"/>
              </w:rPr>
            </w:pPr>
          </w:p>
          <w:p>
            <w:pPr>
              <w:pStyle w:val="TableParagraph"/>
              <w:spacing w:line="139" w:lineRule="exact" w:before="1"/>
              <w:ind w:left="199"/>
              <w:rPr>
                <w:sz w:val="13"/>
              </w:rPr>
            </w:pPr>
            <w:r>
              <w:rPr>
                <w:spacing w:val="-2"/>
                <w:w w:val="105"/>
                <w:sz w:val="13"/>
              </w:rPr>
              <w:t>42,276</w:t>
            </w:r>
          </w:p>
        </w:tc>
        <w:tc>
          <w:tcPr>
            <w:tcW w:w="804" w:type="dxa"/>
            <w:tcBorders>
              <w:top w:val="single" w:sz="6" w:space="0" w:color="000000"/>
            </w:tcBorders>
          </w:tcPr>
          <w:p>
            <w:pPr>
              <w:pStyle w:val="TableParagraph"/>
              <w:rPr>
                <w:b/>
                <w:sz w:val="13"/>
              </w:rPr>
            </w:pPr>
          </w:p>
          <w:p>
            <w:pPr>
              <w:pStyle w:val="TableParagraph"/>
              <w:rPr>
                <w:b/>
                <w:sz w:val="13"/>
              </w:rPr>
            </w:pPr>
          </w:p>
          <w:p>
            <w:pPr>
              <w:pStyle w:val="TableParagraph"/>
              <w:spacing w:before="88"/>
              <w:rPr>
                <w:b/>
                <w:sz w:val="13"/>
              </w:rPr>
            </w:pPr>
          </w:p>
          <w:p>
            <w:pPr>
              <w:pStyle w:val="TableParagraph"/>
              <w:spacing w:line="139" w:lineRule="exact" w:before="1"/>
              <w:ind w:left="198"/>
              <w:rPr>
                <w:sz w:val="13"/>
              </w:rPr>
            </w:pPr>
            <w:r>
              <w:rPr>
                <w:spacing w:val="-2"/>
                <w:w w:val="105"/>
                <w:sz w:val="13"/>
              </w:rPr>
              <w:t>43,720</w:t>
            </w:r>
          </w:p>
        </w:tc>
        <w:tc>
          <w:tcPr>
            <w:tcW w:w="804" w:type="dxa"/>
            <w:tcBorders>
              <w:top w:val="single" w:sz="6" w:space="0" w:color="000000"/>
            </w:tcBorders>
          </w:tcPr>
          <w:p>
            <w:pPr>
              <w:pStyle w:val="TableParagraph"/>
              <w:rPr>
                <w:b/>
                <w:sz w:val="13"/>
              </w:rPr>
            </w:pPr>
          </w:p>
          <w:p>
            <w:pPr>
              <w:pStyle w:val="TableParagraph"/>
              <w:rPr>
                <w:b/>
                <w:sz w:val="13"/>
              </w:rPr>
            </w:pPr>
          </w:p>
          <w:p>
            <w:pPr>
              <w:pStyle w:val="TableParagraph"/>
              <w:spacing w:before="88"/>
              <w:rPr>
                <w:b/>
                <w:sz w:val="13"/>
              </w:rPr>
            </w:pPr>
          </w:p>
          <w:p>
            <w:pPr>
              <w:pStyle w:val="TableParagraph"/>
              <w:spacing w:line="139" w:lineRule="exact" w:before="1"/>
              <w:ind w:left="197"/>
              <w:rPr>
                <w:sz w:val="13"/>
              </w:rPr>
            </w:pPr>
            <w:r>
              <w:rPr>
                <w:spacing w:val="-2"/>
                <w:w w:val="105"/>
                <w:sz w:val="13"/>
              </w:rPr>
              <w:t>88,870</w:t>
            </w:r>
          </w:p>
        </w:tc>
        <w:tc>
          <w:tcPr>
            <w:tcW w:w="699" w:type="dxa"/>
            <w:tcBorders>
              <w:top w:val="single" w:sz="6" w:space="0" w:color="000000"/>
            </w:tcBorders>
          </w:tcPr>
          <w:p>
            <w:pPr>
              <w:pStyle w:val="TableParagraph"/>
              <w:rPr>
                <w:b/>
                <w:sz w:val="13"/>
              </w:rPr>
            </w:pPr>
          </w:p>
          <w:p>
            <w:pPr>
              <w:pStyle w:val="TableParagraph"/>
              <w:rPr>
                <w:b/>
                <w:sz w:val="13"/>
              </w:rPr>
            </w:pPr>
          </w:p>
          <w:p>
            <w:pPr>
              <w:pStyle w:val="TableParagraph"/>
              <w:spacing w:before="88"/>
              <w:rPr>
                <w:b/>
                <w:sz w:val="13"/>
              </w:rPr>
            </w:pPr>
          </w:p>
          <w:p>
            <w:pPr>
              <w:pStyle w:val="TableParagraph"/>
              <w:spacing w:line="139" w:lineRule="exact" w:before="1"/>
              <w:ind w:right="74"/>
              <w:jc w:val="right"/>
              <w:rPr>
                <w:sz w:val="13"/>
              </w:rPr>
            </w:pPr>
            <w:r>
              <w:rPr>
                <w:spacing w:val="-2"/>
                <w:w w:val="105"/>
                <w:sz w:val="13"/>
              </w:rPr>
              <w:t>91,127</w:t>
            </w:r>
          </w:p>
        </w:tc>
      </w:tr>
      <w:tr>
        <w:trPr>
          <w:trHeight w:val="164" w:hRule="atLeast"/>
        </w:trPr>
        <w:tc>
          <w:tcPr>
            <w:tcW w:w="3655" w:type="dxa"/>
          </w:tcPr>
          <w:p>
            <w:pPr>
              <w:pStyle w:val="TableParagraph"/>
              <w:spacing w:line="133" w:lineRule="exact" w:before="11"/>
              <w:ind w:left="570"/>
              <w:rPr>
                <w:sz w:val="13"/>
              </w:rPr>
            </w:pPr>
            <w:r>
              <w:rPr>
                <w:w w:val="105"/>
                <w:sz w:val="13"/>
              </w:rPr>
              <w:t>Net accrual</w:t>
            </w:r>
            <w:r>
              <w:rPr>
                <w:spacing w:val="-1"/>
                <w:w w:val="105"/>
                <w:sz w:val="13"/>
              </w:rPr>
              <w:t> </w:t>
            </w:r>
            <w:r>
              <w:rPr>
                <w:spacing w:val="-2"/>
                <w:w w:val="105"/>
                <w:sz w:val="13"/>
              </w:rPr>
              <w:t>adjustments</w:t>
            </w:r>
          </w:p>
        </w:tc>
        <w:tc>
          <w:tcPr>
            <w:tcW w:w="476" w:type="dxa"/>
          </w:tcPr>
          <w:p>
            <w:pPr>
              <w:pStyle w:val="TableParagraph"/>
              <w:rPr>
                <w:rFonts w:ascii="Times New Roman"/>
                <w:sz w:val="10"/>
              </w:rPr>
            </w:pPr>
          </w:p>
        </w:tc>
        <w:tc>
          <w:tcPr>
            <w:tcW w:w="940" w:type="dxa"/>
            <w:tcBorders>
              <w:bottom w:val="single" w:sz="6" w:space="0" w:color="000000"/>
            </w:tcBorders>
          </w:tcPr>
          <w:p>
            <w:pPr>
              <w:pStyle w:val="TableParagraph"/>
              <w:spacing w:line="133" w:lineRule="exact" w:before="11"/>
              <w:ind w:right="196"/>
              <w:jc w:val="right"/>
              <w:rPr>
                <w:sz w:val="13"/>
              </w:rPr>
            </w:pPr>
            <w:r>
              <w:rPr>
                <w:spacing w:val="-10"/>
                <w:w w:val="105"/>
                <w:sz w:val="13"/>
              </w:rPr>
              <w:t>-</w:t>
            </w:r>
          </w:p>
        </w:tc>
        <w:tc>
          <w:tcPr>
            <w:tcW w:w="890" w:type="dxa"/>
            <w:tcBorders>
              <w:bottom w:val="single" w:sz="6" w:space="0" w:color="000000"/>
            </w:tcBorders>
          </w:tcPr>
          <w:p>
            <w:pPr>
              <w:pStyle w:val="TableParagraph"/>
              <w:spacing w:line="133" w:lineRule="exact" w:before="11"/>
              <w:ind w:right="168"/>
              <w:jc w:val="right"/>
              <w:rPr>
                <w:sz w:val="13"/>
              </w:rPr>
            </w:pPr>
            <w:r>
              <w:rPr>
                <w:spacing w:val="-10"/>
                <w:w w:val="105"/>
                <w:sz w:val="13"/>
              </w:rPr>
              <w:t>-</w:t>
            </w:r>
          </w:p>
        </w:tc>
        <w:tc>
          <w:tcPr>
            <w:tcW w:w="804" w:type="dxa"/>
            <w:tcBorders>
              <w:bottom w:val="single" w:sz="6" w:space="0" w:color="000000"/>
            </w:tcBorders>
          </w:tcPr>
          <w:p>
            <w:pPr>
              <w:pStyle w:val="TableParagraph"/>
              <w:spacing w:line="133" w:lineRule="exact" w:before="11"/>
              <w:ind w:right="169"/>
              <w:jc w:val="right"/>
              <w:rPr>
                <w:sz w:val="13"/>
              </w:rPr>
            </w:pPr>
            <w:r>
              <w:rPr>
                <w:spacing w:val="-10"/>
                <w:w w:val="105"/>
                <w:sz w:val="13"/>
              </w:rPr>
              <w:t>-</w:t>
            </w:r>
          </w:p>
        </w:tc>
        <w:tc>
          <w:tcPr>
            <w:tcW w:w="804" w:type="dxa"/>
            <w:tcBorders>
              <w:bottom w:val="single" w:sz="6" w:space="0" w:color="000000"/>
            </w:tcBorders>
          </w:tcPr>
          <w:p>
            <w:pPr>
              <w:pStyle w:val="TableParagraph"/>
              <w:spacing w:line="133" w:lineRule="exact" w:before="11"/>
              <w:ind w:right="170"/>
              <w:jc w:val="right"/>
              <w:rPr>
                <w:sz w:val="13"/>
              </w:rPr>
            </w:pPr>
            <w:r>
              <w:rPr>
                <w:spacing w:val="-10"/>
                <w:w w:val="105"/>
                <w:sz w:val="13"/>
              </w:rPr>
              <w:t>-</w:t>
            </w:r>
          </w:p>
        </w:tc>
        <w:tc>
          <w:tcPr>
            <w:tcW w:w="804" w:type="dxa"/>
            <w:tcBorders>
              <w:bottom w:val="single" w:sz="6" w:space="0" w:color="000000"/>
            </w:tcBorders>
          </w:tcPr>
          <w:p>
            <w:pPr>
              <w:pStyle w:val="TableParagraph"/>
              <w:spacing w:line="133" w:lineRule="exact" w:before="11"/>
              <w:ind w:right="171"/>
              <w:jc w:val="right"/>
              <w:rPr>
                <w:sz w:val="13"/>
              </w:rPr>
            </w:pPr>
            <w:r>
              <w:rPr>
                <w:spacing w:val="-10"/>
                <w:w w:val="105"/>
                <w:sz w:val="13"/>
              </w:rPr>
              <w:t>-</w:t>
            </w:r>
          </w:p>
        </w:tc>
        <w:tc>
          <w:tcPr>
            <w:tcW w:w="699" w:type="dxa"/>
            <w:tcBorders>
              <w:bottom w:val="single" w:sz="6" w:space="0" w:color="000000"/>
            </w:tcBorders>
          </w:tcPr>
          <w:p>
            <w:pPr>
              <w:pStyle w:val="TableParagraph"/>
              <w:spacing w:line="133" w:lineRule="exact" w:before="11"/>
              <w:ind w:right="66"/>
              <w:jc w:val="right"/>
              <w:rPr>
                <w:sz w:val="13"/>
              </w:rPr>
            </w:pPr>
            <w:r>
              <w:rPr>
                <w:spacing w:val="-10"/>
                <w:w w:val="105"/>
                <w:sz w:val="13"/>
              </w:rPr>
              <w:t>-</w:t>
            </w:r>
          </w:p>
        </w:tc>
      </w:tr>
      <w:tr>
        <w:trPr>
          <w:trHeight w:val="246" w:hRule="atLeast"/>
        </w:trPr>
        <w:tc>
          <w:tcPr>
            <w:tcW w:w="3655" w:type="dxa"/>
          </w:tcPr>
          <w:p>
            <w:pPr>
              <w:pStyle w:val="TableParagraph"/>
              <w:spacing w:before="2"/>
              <w:ind w:left="570"/>
              <w:rPr>
                <w:sz w:val="13"/>
              </w:rPr>
            </w:pPr>
            <w:r>
              <w:rPr>
                <w:w w:val="105"/>
                <w:sz w:val="13"/>
              </w:rPr>
              <w:t>Revenue</w:t>
            </w:r>
            <w:r>
              <w:rPr>
                <w:spacing w:val="2"/>
                <w:w w:val="105"/>
                <w:sz w:val="13"/>
              </w:rPr>
              <w:t> </w:t>
            </w:r>
            <w:r>
              <w:rPr>
                <w:w w:val="105"/>
                <w:sz w:val="13"/>
              </w:rPr>
              <w:t>for</w:t>
            </w:r>
            <w:r>
              <w:rPr>
                <w:spacing w:val="1"/>
                <w:w w:val="105"/>
                <w:sz w:val="13"/>
              </w:rPr>
              <w:t> </w:t>
            </w:r>
            <w:r>
              <w:rPr>
                <w:w w:val="105"/>
                <w:sz w:val="13"/>
              </w:rPr>
              <w:t>the</w:t>
            </w:r>
            <w:r>
              <w:rPr>
                <w:spacing w:val="2"/>
                <w:w w:val="105"/>
                <w:sz w:val="13"/>
              </w:rPr>
              <w:t> </w:t>
            </w:r>
            <w:r>
              <w:rPr>
                <w:spacing w:val="-2"/>
                <w:w w:val="105"/>
                <w:sz w:val="13"/>
              </w:rPr>
              <w:t>period</w:t>
            </w:r>
          </w:p>
        </w:tc>
        <w:tc>
          <w:tcPr>
            <w:tcW w:w="476" w:type="dxa"/>
          </w:tcPr>
          <w:p>
            <w:pPr>
              <w:pStyle w:val="TableParagraph"/>
              <w:spacing w:before="2"/>
              <w:ind w:left="12"/>
              <w:jc w:val="center"/>
              <w:rPr>
                <w:sz w:val="13"/>
              </w:rPr>
            </w:pPr>
            <w:r>
              <w:rPr>
                <w:spacing w:val="-2"/>
                <w:w w:val="105"/>
                <w:sz w:val="13"/>
              </w:rPr>
              <w:t>2.1(b)</w:t>
            </w:r>
          </w:p>
        </w:tc>
        <w:tc>
          <w:tcPr>
            <w:tcW w:w="940" w:type="dxa"/>
            <w:tcBorders>
              <w:top w:val="single" w:sz="6" w:space="0" w:color="000000"/>
            </w:tcBorders>
          </w:tcPr>
          <w:p>
            <w:pPr>
              <w:pStyle w:val="TableParagraph"/>
              <w:spacing w:before="2"/>
              <w:ind w:right="204"/>
              <w:jc w:val="right"/>
              <w:rPr>
                <w:sz w:val="13"/>
              </w:rPr>
            </w:pPr>
            <w:r>
              <w:rPr>
                <w:spacing w:val="-2"/>
                <w:w w:val="105"/>
                <w:sz w:val="13"/>
              </w:rPr>
              <w:t>46,594</w:t>
            </w:r>
          </w:p>
        </w:tc>
        <w:tc>
          <w:tcPr>
            <w:tcW w:w="890" w:type="dxa"/>
            <w:tcBorders>
              <w:top w:val="single" w:sz="6" w:space="0" w:color="000000"/>
            </w:tcBorders>
          </w:tcPr>
          <w:p>
            <w:pPr>
              <w:pStyle w:val="TableParagraph"/>
              <w:spacing w:before="2"/>
              <w:ind w:right="176"/>
              <w:jc w:val="right"/>
              <w:rPr>
                <w:sz w:val="13"/>
              </w:rPr>
            </w:pPr>
            <w:r>
              <w:rPr>
                <w:spacing w:val="-2"/>
                <w:w w:val="105"/>
                <w:sz w:val="13"/>
              </w:rPr>
              <w:t>47,407</w:t>
            </w:r>
          </w:p>
        </w:tc>
        <w:tc>
          <w:tcPr>
            <w:tcW w:w="804" w:type="dxa"/>
            <w:tcBorders>
              <w:top w:val="single" w:sz="6" w:space="0" w:color="000000"/>
            </w:tcBorders>
          </w:tcPr>
          <w:p>
            <w:pPr>
              <w:pStyle w:val="TableParagraph"/>
              <w:spacing w:before="2"/>
              <w:ind w:left="199"/>
              <w:rPr>
                <w:sz w:val="13"/>
              </w:rPr>
            </w:pPr>
            <w:r>
              <w:rPr>
                <w:spacing w:val="-2"/>
                <w:w w:val="105"/>
                <w:sz w:val="13"/>
              </w:rPr>
              <w:t>42,276</w:t>
            </w:r>
          </w:p>
        </w:tc>
        <w:tc>
          <w:tcPr>
            <w:tcW w:w="804" w:type="dxa"/>
            <w:tcBorders>
              <w:top w:val="single" w:sz="6" w:space="0" w:color="000000"/>
            </w:tcBorders>
          </w:tcPr>
          <w:p>
            <w:pPr>
              <w:pStyle w:val="TableParagraph"/>
              <w:spacing w:before="2"/>
              <w:ind w:left="198"/>
              <w:rPr>
                <w:sz w:val="13"/>
              </w:rPr>
            </w:pPr>
            <w:r>
              <w:rPr>
                <w:spacing w:val="-2"/>
                <w:w w:val="105"/>
                <w:sz w:val="13"/>
              </w:rPr>
              <w:t>43,720</w:t>
            </w:r>
          </w:p>
        </w:tc>
        <w:tc>
          <w:tcPr>
            <w:tcW w:w="804" w:type="dxa"/>
            <w:tcBorders>
              <w:top w:val="single" w:sz="6" w:space="0" w:color="000000"/>
            </w:tcBorders>
          </w:tcPr>
          <w:p>
            <w:pPr>
              <w:pStyle w:val="TableParagraph"/>
              <w:spacing w:before="2"/>
              <w:ind w:left="197"/>
              <w:rPr>
                <w:sz w:val="13"/>
              </w:rPr>
            </w:pPr>
            <w:r>
              <w:rPr>
                <w:spacing w:val="-2"/>
                <w:w w:val="105"/>
                <w:sz w:val="13"/>
              </w:rPr>
              <w:t>88,870</w:t>
            </w:r>
          </w:p>
        </w:tc>
        <w:tc>
          <w:tcPr>
            <w:tcW w:w="699" w:type="dxa"/>
            <w:tcBorders>
              <w:top w:val="single" w:sz="6" w:space="0" w:color="000000"/>
            </w:tcBorders>
          </w:tcPr>
          <w:p>
            <w:pPr>
              <w:pStyle w:val="TableParagraph"/>
              <w:spacing w:before="2"/>
              <w:ind w:right="74"/>
              <w:jc w:val="right"/>
              <w:rPr>
                <w:sz w:val="13"/>
              </w:rPr>
            </w:pPr>
            <w:r>
              <w:rPr>
                <w:spacing w:val="-2"/>
                <w:w w:val="105"/>
                <w:sz w:val="13"/>
              </w:rPr>
              <w:t>91,127</w:t>
            </w:r>
          </w:p>
        </w:tc>
      </w:tr>
      <w:tr>
        <w:trPr>
          <w:trHeight w:val="249" w:hRule="atLeast"/>
        </w:trPr>
        <w:tc>
          <w:tcPr>
            <w:tcW w:w="3655" w:type="dxa"/>
          </w:tcPr>
          <w:p>
            <w:pPr>
              <w:pStyle w:val="TableParagraph"/>
              <w:spacing w:line="133" w:lineRule="exact" w:before="96"/>
              <w:ind w:left="570"/>
              <w:rPr>
                <w:sz w:val="13"/>
              </w:rPr>
            </w:pPr>
            <w:r>
              <w:rPr>
                <w:w w:val="105"/>
                <w:sz w:val="13"/>
              </w:rPr>
              <w:t>Surplus/(deficit)</w:t>
            </w:r>
            <w:r>
              <w:rPr>
                <w:spacing w:val="-4"/>
                <w:w w:val="105"/>
                <w:sz w:val="13"/>
              </w:rPr>
              <w:t> </w:t>
            </w:r>
            <w:r>
              <w:rPr>
                <w:w w:val="105"/>
                <w:sz w:val="13"/>
              </w:rPr>
              <w:t>from</w:t>
            </w:r>
            <w:r>
              <w:rPr>
                <w:spacing w:val="-1"/>
                <w:w w:val="105"/>
                <w:sz w:val="13"/>
              </w:rPr>
              <w:t> </w:t>
            </w:r>
            <w:r>
              <w:rPr>
                <w:w w:val="105"/>
                <w:sz w:val="13"/>
              </w:rPr>
              <w:t>the</w:t>
            </w:r>
            <w:r>
              <w:rPr>
                <w:spacing w:val="-2"/>
                <w:w w:val="105"/>
                <w:sz w:val="13"/>
              </w:rPr>
              <w:t> </w:t>
            </w:r>
            <w:r>
              <w:rPr>
                <w:w w:val="105"/>
                <w:sz w:val="13"/>
              </w:rPr>
              <w:t>previous</w:t>
            </w:r>
            <w:r>
              <w:rPr>
                <w:spacing w:val="-2"/>
                <w:w w:val="105"/>
                <w:sz w:val="13"/>
              </w:rPr>
              <w:t> </w:t>
            </w:r>
            <w:r>
              <w:rPr>
                <w:spacing w:val="-4"/>
                <w:w w:val="105"/>
                <w:sz w:val="13"/>
              </w:rPr>
              <w:t>year</w:t>
            </w:r>
          </w:p>
        </w:tc>
        <w:tc>
          <w:tcPr>
            <w:tcW w:w="476" w:type="dxa"/>
          </w:tcPr>
          <w:p>
            <w:pPr>
              <w:pStyle w:val="TableParagraph"/>
              <w:rPr>
                <w:rFonts w:ascii="Times New Roman"/>
                <w:sz w:val="14"/>
              </w:rPr>
            </w:pPr>
          </w:p>
        </w:tc>
        <w:tc>
          <w:tcPr>
            <w:tcW w:w="940" w:type="dxa"/>
            <w:tcBorders>
              <w:bottom w:val="single" w:sz="6" w:space="0" w:color="000000"/>
            </w:tcBorders>
          </w:tcPr>
          <w:p>
            <w:pPr>
              <w:pStyle w:val="TableParagraph"/>
              <w:spacing w:line="133" w:lineRule="exact" w:before="96"/>
              <w:ind w:right="159"/>
              <w:jc w:val="right"/>
              <w:rPr>
                <w:sz w:val="13"/>
              </w:rPr>
            </w:pPr>
            <w:r>
              <w:rPr>
                <w:spacing w:val="-10"/>
                <w:w w:val="105"/>
                <w:sz w:val="13"/>
              </w:rPr>
              <w:t>-</w:t>
            </w:r>
          </w:p>
        </w:tc>
        <w:tc>
          <w:tcPr>
            <w:tcW w:w="890" w:type="dxa"/>
            <w:tcBorders>
              <w:bottom w:val="single" w:sz="6" w:space="0" w:color="000000"/>
            </w:tcBorders>
          </w:tcPr>
          <w:p>
            <w:pPr>
              <w:pStyle w:val="TableParagraph"/>
              <w:spacing w:line="133" w:lineRule="exact" w:before="96"/>
              <w:ind w:right="168"/>
              <w:jc w:val="right"/>
              <w:rPr>
                <w:sz w:val="13"/>
              </w:rPr>
            </w:pPr>
            <w:r>
              <w:rPr>
                <w:spacing w:val="-10"/>
                <w:w w:val="105"/>
                <w:sz w:val="13"/>
              </w:rPr>
              <w:t>-</w:t>
            </w:r>
          </w:p>
        </w:tc>
        <w:tc>
          <w:tcPr>
            <w:tcW w:w="804" w:type="dxa"/>
            <w:tcBorders>
              <w:bottom w:val="single" w:sz="6" w:space="0" w:color="000000"/>
            </w:tcBorders>
          </w:tcPr>
          <w:p>
            <w:pPr>
              <w:pStyle w:val="TableParagraph"/>
              <w:spacing w:line="133" w:lineRule="exact" w:before="96"/>
              <w:ind w:right="169"/>
              <w:jc w:val="right"/>
              <w:rPr>
                <w:sz w:val="13"/>
              </w:rPr>
            </w:pPr>
            <w:r>
              <w:rPr>
                <w:spacing w:val="-10"/>
                <w:w w:val="105"/>
                <w:sz w:val="13"/>
              </w:rPr>
              <w:t>-</w:t>
            </w:r>
          </w:p>
        </w:tc>
        <w:tc>
          <w:tcPr>
            <w:tcW w:w="804" w:type="dxa"/>
            <w:tcBorders>
              <w:bottom w:val="single" w:sz="6" w:space="0" w:color="000000"/>
            </w:tcBorders>
          </w:tcPr>
          <w:p>
            <w:pPr>
              <w:pStyle w:val="TableParagraph"/>
              <w:spacing w:line="133" w:lineRule="exact" w:before="96"/>
              <w:ind w:right="170"/>
              <w:jc w:val="right"/>
              <w:rPr>
                <w:sz w:val="13"/>
              </w:rPr>
            </w:pPr>
            <w:r>
              <w:rPr>
                <w:spacing w:val="-10"/>
                <w:w w:val="105"/>
                <w:sz w:val="13"/>
              </w:rPr>
              <w:t>-</w:t>
            </w:r>
          </w:p>
        </w:tc>
        <w:tc>
          <w:tcPr>
            <w:tcW w:w="804" w:type="dxa"/>
            <w:tcBorders>
              <w:bottom w:val="single" w:sz="6" w:space="0" w:color="000000"/>
            </w:tcBorders>
          </w:tcPr>
          <w:p>
            <w:pPr>
              <w:pStyle w:val="TableParagraph"/>
              <w:spacing w:line="133" w:lineRule="exact" w:before="96"/>
              <w:ind w:right="133"/>
              <w:jc w:val="right"/>
              <w:rPr>
                <w:sz w:val="13"/>
              </w:rPr>
            </w:pPr>
            <w:r>
              <w:rPr>
                <w:spacing w:val="-10"/>
                <w:w w:val="105"/>
                <w:sz w:val="13"/>
              </w:rPr>
              <w:t>-</w:t>
            </w:r>
          </w:p>
        </w:tc>
        <w:tc>
          <w:tcPr>
            <w:tcW w:w="699" w:type="dxa"/>
            <w:tcBorders>
              <w:bottom w:val="single" w:sz="6" w:space="0" w:color="000000"/>
            </w:tcBorders>
          </w:tcPr>
          <w:p>
            <w:pPr>
              <w:pStyle w:val="TableParagraph"/>
              <w:spacing w:line="133" w:lineRule="exact" w:before="96"/>
              <w:ind w:right="66"/>
              <w:jc w:val="right"/>
              <w:rPr>
                <w:sz w:val="13"/>
              </w:rPr>
            </w:pPr>
            <w:r>
              <w:rPr>
                <w:spacing w:val="-10"/>
                <w:w w:val="105"/>
                <w:sz w:val="13"/>
              </w:rPr>
              <w:t>-</w:t>
            </w:r>
          </w:p>
        </w:tc>
      </w:tr>
      <w:tr>
        <w:trPr>
          <w:trHeight w:val="161" w:hRule="atLeast"/>
        </w:trPr>
        <w:tc>
          <w:tcPr>
            <w:tcW w:w="3655" w:type="dxa"/>
          </w:tcPr>
          <w:p>
            <w:pPr>
              <w:pStyle w:val="TableParagraph"/>
              <w:spacing w:line="139" w:lineRule="exact" w:before="2"/>
              <w:ind w:left="570"/>
              <w:rPr>
                <w:sz w:val="13"/>
              </w:rPr>
            </w:pPr>
            <w:r>
              <w:rPr>
                <w:w w:val="105"/>
                <w:sz w:val="13"/>
              </w:rPr>
              <w:t>Total</w:t>
            </w:r>
            <w:r>
              <w:rPr>
                <w:spacing w:val="-4"/>
                <w:w w:val="105"/>
                <w:sz w:val="13"/>
              </w:rPr>
              <w:t> </w:t>
            </w:r>
            <w:r>
              <w:rPr>
                <w:w w:val="105"/>
                <w:sz w:val="13"/>
              </w:rPr>
              <w:t>revenue</w:t>
            </w:r>
            <w:r>
              <w:rPr>
                <w:spacing w:val="1"/>
                <w:w w:val="105"/>
                <w:sz w:val="13"/>
              </w:rPr>
              <w:t> </w:t>
            </w:r>
            <w:r>
              <w:rPr>
                <w:w w:val="105"/>
                <w:sz w:val="13"/>
              </w:rPr>
              <w:t>including</w:t>
            </w:r>
            <w:r>
              <w:rPr>
                <w:spacing w:val="1"/>
                <w:w w:val="105"/>
                <w:sz w:val="13"/>
              </w:rPr>
              <w:t> </w:t>
            </w:r>
            <w:r>
              <w:rPr>
                <w:w w:val="105"/>
                <w:sz w:val="13"/>
              </w:rPr>
              <w:t>accrued </w:t>
            </w:r>
            <w:r>
              <w:rPr>
                <w:spacing w:val="-2"/>
                <w:w w:val="105"/>
                <w:sz w:val="13"/>
              </w:rPr>
              <w:t>revenue</w:t>
            </w:r>
          </w:p>
        </w:tc>
        <w:tc>
          <w:tcPr>
            <w:tcW w:w="476" w:type="dxa"/>
          </w:tcPr>
          <w:p>
            <w:pPr>
              <w:pStyle w:val="TableParagraph"/>
              <w:rPr>
                <w:rFonts w:ascii="Times New Roman"/>
                <w:sz w:val="10"/>
              </w:rPr>
            </w:pPr>
          </w:p>
        </w:tc>
        <w:tc>
          <w:tcPr>
            <w:tcW w:w="940" w:type="dxa"/>
            <w:tcBorders>
              <w:top w:val="single" w:sz="6" w:space="0" w:color="000000"/>
            </w:tcBorders>
          </w:tcPr>
          <w:p>
            <w:pPr>
              <w:pStyle w:val="TableParagraph"/>
              <w:spacing w:line="139" w:lineRule="exact" w:before="2"/>
              <w:ind w:right="204"/>
              <w:jc w:val="right"/>
              <w:rPr>
                <w:sz w:val="13"/>
              </w:rPr>
            </w:pPr>
            <w:r>
              <w:rPr>
                <w:spacing w:val="-2"/>
                <w:w w:val="105"/>
                <w:sz w:val="13"/>
              </w:rPr>
              <w:t>46,594</w:t>
            </w:r>
          </w:p>
        </w:tc>
        <w:tc>
          <w:tcPr>
            <w:tcW w:w="890" w:type="dxa"/>
            <w:tcBorders>
              <w:top w:val="single" w:sz="6" w:space="0" w:color="000000"/>
            </w:tcBorders>
          </w:tcPr>
          <w:p>
            <w:pPr>
              <w:pStyle w:val="TableParagraph"/>
              <w:spacing w:line="139" w:lineRule="exact" w:before="2"/>
              <w:ind w:right="176"/>
              <w:jc w:val="right"/>
              <w:rPr>
                <w:sz w:val="13"/>
              </w:rPr>
            </w:pPr>
            <w:r>
              <w:rPr>
                <w:spacing w:val="-2"/>
                <w:w w:val="105"/>
                <w:sz w:val="13"/>
              </w:rPr>
              <w:t>47,407</w:t>
            </w:r>
          </w:p>
        </w:tc>
        <w:tc>
          <w:tcPr>
            <w:tcW w:w="804" w:type="dxa"/>
            <w:tcBorders>
              <w:top w:val="single" w:sz="6" w:space="0" w:color="000000"/>
            </w:tcBorders>
          </w:tcPr>
          <w:p>
            <w:pPr>
              <w:pStyle w:val="TableParagraph"/>
              <w:spacing w:line="139" w:lineRule="exact" w:before="2"/>
              <w:ind w:left="199"/>
              <w:rPr>
                <w:sz w:val="13"/>
              </w:rPr>
            </w:pPr>
            <w:r>
              <w:rPr>
                <w:spacing w:val="-2"/>
                <w:w w:val="105"/>
                <w:sz w:val="13"/>
              </w:rPr>
              <w:t>42,276</w:t>
            </w:r>
          </w:p>
        </w:tc>
        <w:tc>
          <w:tcPr>
            <w:tcW w:w="804" w:type="dxa"/>
            <w:tcBorders>
              <w:top w:val="single" w:sz="6" w:space="0" w:color="000000"/>
            </w:tcBorders>
          </w:tcPr>
          <w:p>
            <w:pPr>
              <w:pStyle w:val="TableParagraph"/>
              <w:spacing w:line="139" w:lineRule="exact" w:before="2"/>
              <w:ind w:left="198"/>
              <w:rPr>
                <w:sz w:val="13"/>
              </w:rPr>
            </w:pPr>
            <w:r>
              <w:rPr>
                <w:spacing w:val="-2"/>
                <w:w w:val="105"/>
                <w:sz w:val="13"/>
              </w:rPr>
              <w:t>43,720</w:t>
            </w:r>
          </w:p>
        </w:tc>
        <w:tc>
          <w:tcPr>
            <w:tcW w:w="804" w:type="dxa"/>
            <w:tcBorders>
              <w:top w:val="single" w:sz="6" w:space="0" w:color="000000"/>
            </w:tcBorders>
          </w:tcPr>
          <w:p>
            <w:pPr>
              <w:pStyle w:val="TableParagraph"/>
              <w:spacing w:line="139" w:lineRule="exact" w:before="2"/>
              <w:ind w:left="197"/>
              <w:rPr>
                <w:sz w:val="13"/>
              </w:rPr>
            </w:pPr>
            <w:r>
              <w:rPr>
                <w:spacing w:val="-2"/>
                <w:w w:val="105"/>
                <w:sz w:val="13"/>
              </w:rPr>
              <w:t>88,870</w:t>
            </w:r>
          </w:p>
        </w:tc>
        <w:tc>
          <w:tcPr>
            <w:tcW w:w="699" w:type="dxa"/>
            <w:tcBorders>
              <w:top w:val="single" w:sz="6" w:space="0" w:color="000000"/>
            </w:tcBorders>
          </w:tcPr>
          <w:p>
            <w:pPr>
              <w:pStyle w:val="TableParagraph"/>
              <w:spacing w:line="139" w:lineRule="exact" w:before="2"/>
              <w:ind w:right="74"/>
              <w:jc w:val="right"/>
              <w:rPr>
                <w:sz w:val="13"/>
              </w:rPr>
            </w:pPr>
            <w:r>
              <w:rPr>
                <w:spacing w:val="-2"/>
                <w:w w:val="105"/>
                <w:sz w:val="13"/>
              </w:rPr>
              <w:t>91,127</w:t>
            </w:r>
          </w:p>
        </w:tc>
      </w:tr>
      <w:tr>
        <w:trPr>
          <w:trHeight w:val="164" w:hRule="atLeast"/>
        </w:trPr>
        <w:tc>
          <w:tcPr>
            <w:tcW w:w="3655" w:type="dxa"/>
          </w:tcPr>
          <w:p>
            <w:pPr>
              <w:pStyle w:val="TableParagraph"/>
              <w:spacing w:line="133" w:lineRule="exact" w:before="11"/>
              <w:ind w:left="570"/>
              <w:rPr>
                <w:sz w:val="13"/>
              </w:rPr>
            </w:pPr>
            <w:r>
              <w:rPr>
                <w:w w:val="105"/>
                <w:sz w:val="13"/>
              </w:rPr>
              <w:t>Less</w:t>
            </w:r>
            <w:r>
              <w:rPr>
                <w:spacing w:val="1"/>
                <w:w w:val="105"/>
                <w:sz w:val="13"/>
              </w:rPr>
              <w:t> </w:t>
            </w:r>
            <w:r>
              <w:rPr>
                <w:w w:val="105"/>
                <w:sz w:val="13"/>
              </w:rPr>
              <w:t>expenses</w:t>
            </w:r>
            <w:r>
              <w:rPr>
                <w:spacing w:val="1"/>
                <w:w w:val="105"/>
                <w:sz w:val="13"/>
              </w:rPr>
              <w:t> </w:t>
            </w:r>
            <w:r>
              <w:rPr>
                <w:w w:val="105"/>
                <w:sz w:val="13"/>
              </w:rPr>
              <w:t>including</w:t>
            </w:r>
            <w:r>
              <w:rPr>
                <w:spacing w:val="1"/>
                <w:w w:val="105"/>
                <w:sz w:val="13"/>
              </w:rPr>
              <w:t> </w:t>
            </w:r>
            <w:r>
              <w:rPr>
                <w:w w:val="105"/>
                <w:sz w:val="13"/>
              </w:rPr>
              <w:t>accrued</w:t>
            </w:r>
            <w:r>
              <w:rPr>
                <w:spacing w:val="1"/>
                <w:w w:val="105"/>
                <w:sz w:val="13"/>
              </w:rPr>
              <w:t> </w:t>
            </w:r>
            <w:r>
              <w:rPr>
                <w:spacing w:val="-2"/>
                <w:w w:val="105"/>
                <w:sz w:val="13"/>
              </w:rPr>
              <w:t>expenses</w:t>
            </w:r>
          </w:p>
        </w:tc>
        <w:tc>
          <w:tcPr>
            <w:tcW w:w="476" w:type="dxa"/>
          </w:tcPr>
          <w:p>
            <w:pPr>
              <w:pStyle w:val="TableParagraph"/>
              <w:rPr>
                <w:rFonts w:ascii="Times New Roman"/>
                <w:sz w:val="10"/>
              </w:rPr>
            </w:pPr>
          </w:p>
        </w:tc>
        <w:tc>
          <w:tcPr>
            <w:tcW w:w="940" w:type="dxa"/>
            <w:tcBorders>
              <w:bottom w:val="single" w:sz="6" w:space="0" w:color="000000"/>
            </w:tcBorders>
          </w:tcPr>
          <w:p>
            <w:pPr>
              <w:pStyle w:val="TableParagraph"/>
              <w:spacing w:line="133" w:lineRule="exact" w:before="11"/>
              <w:ind w:right="157"/>
              <w:jc w:val="right"/>
              <w:rPr>
                <w:sz w:val="13"/>
              </w:rPr>
            </w:pPr>
            <w:r>
              <w:rPr>
                <w:spacing w:val="-2"/>
                <w:w w:val="105"/>
                <w:sz w:val="13"/>
              </w:rPr>
              <w:t>(46,594)</w:t>
            </w:r>
          </w:p>
        </w:tc>
        <w:tc>
          <w:tcPr>
            <w:tcW w:w="890" w:type="dxa"/>
            <w:tcBorders>
              <w:bottom w:val="single" w:sz="6" w:space="0" w:color="000000"/>
            </w:tcBorders>
          </w:tcPr>
          <w:p>
            <w:pPr>
              <w:pStyle w:val="TableParagraph"/>
              <w:spacing w:line="133" w:lineRule="exact" w:before="11"/>
              <w:ind w:left="240"/>
              <w:rPr>
                <w:sz w:val="13"/>
              </w:rPr>
            </w:pPr>
            <w:r>
              <w:rPr>
                <w:spacing w:val="-2"/>
                <w:w w:val="105"/>
                <w:sz w:val="13"/>
              </w:rPr>
              <w:t>(47,407)</w:t>
            </w:r>
          </w:p>
        </w:tc>
        <w:tc>
          <w:tcPr>
            <w:tcW w:w="804" w:type="dxa"/>
            <w:tcBorders>
              <w:bottom w:val="single" w:sz="6" w:space="0" w:color="000000"/>
            </w:tcBorders>
          </w:tcPr>
          <w:p>
            <w:pPr>
              <w:pStyle w:val="TableParagraph"/>
              <w:spacing w:line="133" w:lineRule="exact" w:before="11"/>
              <w:ind w:left="154"/>
              <w:rPr>
                <w:sz w:val="13"/>
              </w:rPr>
            </w:pPr>
            <w:r>
              <w:rPr>
                <w:spacing w:val="-2"/>
                <w:w w:val="105"/>
                <w:sz w:val="13"/>
              </w:rPr>
              <w:t>(42,276)</w:t>
            </w:r>
          </w:p>
        </w:tc>
        <w:tc>
          <w:tcPr>
            <w:tcW w:w="804" w:type="dxa"/>
            <w:tcBorders>
              <w:bottom w:val="single" w:sz="6" w:space="0" w:color="000000"/>
            </w:tcBorders>
          </w:tcPr>
          <w:p>
            <w:pPr>
              <w:pStyle w:val="TableParagraph"/>
              <w:spacing w:line="133" w:lineRule="exact" w:before="11"/>
              <w:ind w:left="153"/>
              <w:rPr>
                <w:sz w:val="13"/>
              </w:rPr>
            </w:pPr>
            <w:r>
              <w:rPr>
                <w:spacing w:val="-2"/>
                <w:w w:val="105"/>
                <w:sz w:val="13"/>
              </w:rPr>
              <w:t>(43,720)</w:t>
            </w:r>
          </w:p>
        </w:tc>
        <w:tc>
          <w:tcPr>
            <w:tcW w:w="804" w:type="dxa"/>
            <w:tcBorders>
              <w:bottom w:val="single" w:sz="6" w:space="0" w:color="000000"/>
            </w:tcBorders>
          </w:tcPr>
          <w:p>
            <w:pPr>
              <w:pStyle w:val="TableParagraph"/>
              <w:spacing w:line="133" w:lineRule="exact" w:before="11"/>
              <w:ind w:left="152"/>
              <w:rPr>
                <w:sz w:val="13"/>
              </w:rPr>
            </w:pPr>
            <w:r>
              <w:rPr>
                <w:spacing w:val="-2"/>
                <w:w w:val="105"/>
                <w:sz w:val="13"/>
              </w:rPr>
              <w:t>(88,870)</w:t>
            </w:r>
          </w:p>
        </w:tc>
        <w:tc>
          <w:tcPr>
            <w:tcW w:w="699" w:type="dxa"/>
            <w:tcBorders>
              <w:bottom w:val="single" w:sz="6" w:space="0" w:color="000000"/>
            </w:tcBorders>
          </w:tcPr>
          <w:p>
            <w:pPr>
              <w:pStyle w:val="TableParagraph"/>
              <w:spacing w:line="133" w:lineRule="exact" w:before="11"/>
              <w:ind w:right="27"/>
              <w:jc w:val="right"/>
              <w:rPr>
                <w:sz w:val="13"/>
              </w:rPr>
            </w:pPr>
            <w:r>
              <w:rPr>
                <w:spacing w:val="-2"/>
                <w:w w:val="105"/>
                <w:sz w:val="13"/>
              </w:rPr>
              <w:t>(91,127)</w:t>
            </w:r>
          </w:p>
        </w:tc>
      </w:tr>
      <w:tr>
        <w:trPr>
          <w:trHeight w:val="156" w:hRule="atLeast"/>
        </w:trPr>
        <w:tc>
          <w:tcPr>
            <w:tcW w:w="3655" w:type="dxa"/>
          </w:tcPr>
          <w:p>
            <w:pPr>
              <w:pStyle w:val="TableParagraph"/>
              <w:spacing w:line="136" w:lineRule="exact"/>
              <w:ind w:left="570"/>
              <w:rPr>
                <w:sz w:val="13"/>
              </w:rPr>
            </w:pPr>
            <w:r>
              <w:rPr>
                <w:w w:val="105"/>
                <w:sz w:val="13"/>
              </w:rPr>
              <w:t>Surplus/(deficit)</w:t>
            </w:r>
            <w:r>
              <w:rPr>
                <w:spacing w:val="-5"/>
                <w:w w:val="105"/>
                <w:sz w:val="13"/>
              </w:rPr>
              <w:t> </w:t>
            </w:r>
            <w:r>
              <w:rPr>
                <w:w w:val="105"/>
                <w:sz w:val="13"/>
              </w:rPr>
              <w:t>for</w:t>
            </w:r>
            <w:r>
              <w:rPr>
                <w:spacing w:val="-5"/>
                <w:w w:val="105"/>
                <w:sz w:val="13"/>
              </w:rPr>
              <w:t> </w:t>
            </w:r>
            <w:r>
              <w:rPr>
                <w:w w:val="105"/>
                <w:sz w:val="13"/>
              </w:rPr>
              <w:t>the</w:t>
            </w:r>
            <w:r>
              <w:rPr>
                <w:spacing w:val="-4"/>
                <w:w w:val="105"/>
                <w:sz w:val="13"/>
              </w:rPr>
              <w:t> </w:t>
            </w:r>
            <w:r>
              <w:rPr>
                <w:w w:val="105"/>
                <w:sz w:val="13"/>
              </w:rPr>
              <w:t>reporting</w:t>
            </w:r>
            <w:r>
              <w:rPr>
                <w:spacing w:val="-3"/>
                <w:w w:val="105"/>
                <w:sz w:val="13"/>
              </w:rPr>
              <w:t> </w:t>
            </w:r>
            <w:r>
              <w:rPr>
                <w:spacing w:val="-2"/>
                <w:w w:val="105"/>
                <w:sz w:val="13"/>
              </w:rPr>
              <w:t>period</w:t>
            </w:r>
          </w:p>
        </w:tc>
        <w:tc>
          <w:tcPr>
            <w:tcW w:w="476" w:type="dxa"/>
          </w:tcPr>
          <w:p>
            <w:pPr>
              <w:pStyle w:val="TableParagraph"/>
              <w:rPr>
                <w:rFonts w:ascii="Times New Roman"/>
                <w:sz w:val="10"/>
              </w:rPr>
            </w:pPr>
          </w:p>
        </w:tc>
        <w:tc>
          <w:tcPr>
            <w:tcW w:w="940" w:type="dxa"/>
            <w:tcBorders>
              <w:top w:val="single" w:sz="6" w:space="0" w:color="000000"/>
              <w:bottom w:val="single" w:sz="12" w:space="0" w:color="000000"/>
            </w:tcBorders>
          </w:tcPr>
          <w:p>
            <w:pPr>
              <w:pStyle w:val="TableParagraph"/>
              <w:spacing w:line="136" w:lineRule="exact"/>
              <w:ind w:right="196"/>
              <w:jc w:val="right"/>
              <w:rPr>
                <w:sz w:val="13"/>
              </w:rPr>
            </w:pPr>
            <w:r>
              <w:rPr>
                <w:spacing w:val="-10"/>
                <w:w w:val="105"/>
                <w:sz w:val="13"/>
              </w:rPr>
              <w:t>-</w:t>
            </w:r>
          </w:p>
        </w:tc>
        <w:tc>
          <w:tcPr>
            <w:tcW w:w="890" w:type="dxa"/>
            <w:tcBorders>
              <w:top w:val="single" w:sz="6" w:space="0" w:color="000000"/>
              <w:bottom w:val="single" w:sz="12" w:space="0" w:color="000000"/>
            </w:tcBorders>
          </w:tcPr>
          <w:p>
            <w:pPr>
              <w:pStyle w:val="TableParagraph"/>
              <w:spacing w:line="136" w:lineRule="exact"/>
              <w:ind w:right="130"/>
              <w:jc w:val="right"/>
              <w:rPr>
                <w:sz w:val="13"/>
              </w:rPr>
            </w:pPr>
            <w:r>
              <w:rPr>
                <w:spacing w:val="-10"/>
                <w:w w:val="105"/>
                <w:sz w:val="13"/>
              </w:rPr>
              <w:t>-</w:t>
            </w:r>
          </w:p>
        </w:tc>
        <w:tc>
          <w:tcPr>
            <w:tcW w:w="804" w:type="dxa"/>
            <w:tcBorders>
              <w:top w:val="single" w:sz="6" w:space="0" w:color="000000"/>
              <w:bottom w:val="single" w:sz="12" w:space="0" w:color="000000"/>
            </w:tcBorders>
          </w:tcPr>
          <w:p>
            <w:pPr>
              <w:pStyle w:val="TableParagraph"/>
              <w:spacing w:line="136" w:lineRule="exact"/>
              <w:ind w:right="169"/>
              <w:jc w:val="right"/>
              <w:rPr>
                <w:sz w:val="13"/>
              </w:rPr>
            </w:pPr>
            <w:r>
              <w:rPr>
                <w:spacing w:val="-10"/>
                <w:w w:val="105"/>
                <w:sz w:val="13"/>
              </w:rPr>
              <w:t>-</w:t>
            </w:r>
          </w:p>
        </w:tc>
        <w:tc>
          <w:tcPr>
            <w:tcW w:w="804" w:type="dxa"/>
            <w:tcBorders>
              <w:top w:val="single" w:sz="6" w:space="0" w:color="000000"/>
              <w:bottom w:val="single" w:sz="12" w:space="0" w:color="000000"/>
            </w:tcBorders>
          </w:tcPr>
          <w:p>
            <w:pPr>
              <w:pStyle w:val="TableParagraph"/>
              <w:spacing w:line="136" w:lineRule="exact"/>
              <w:ind w:right="170"/>
              <w:jc w:val="right"/>
              <w:rPr>
                <w:sz w:val="13"/>
              </w:rPr>
            </w:pPr>
            <w:r>
              <w:rPr>
                <w:spacing w:val="-10"/>
                <w:w w:val="105"/>
                <w:sz w:val="13"/>
              </w:rPr>
              <w:t>-</w:t>
            </w:r>
          </w:p>
        </w:tc>
        <w:tc>
          <w:tcPr>
            <w:tcW w:w="804" w:type="dxa"/>
            <w:tcBorders>
              <w:top w:val="single" w:sz="6" w:space="0" w:color="000000"/>
              <w:bottom w:val="single" w:sz="12" w:space="0" w:color="000000"/>
            </w:tcBorders>
          </w:tcPr>
          <w:p>
            <w:pPr>
              <w:pStyle w:val="TableParagraph"/>
              <w:spacing w:line="136" w:lineRule="exact"/>
              <w:ind w:right="171"/>
              <w:jc w:val="right"/>
              <w:rPr>
                <w:sz w:val="13"/>
              </w:rPr>
            </w:pPr>
            <w:r>
              <w:rPr>
                <w:spacing w:val="-10"/>
                <w:w w:val="105"/>
                <w:sz w:val="13"/>
              </w:rPr>
              <w:t>-</w:t>
            </w:r>
          </w:p>
        </w:tc>
        <w:tc>
          <w:tcPr>
            <w:tcW w:w="699" w:type="dxa"/>
            <w:tcBorders>
              <w:top w:val="single" w:sz="6" w:space="0" w:color="000000"/>
              <w:bottom w:val="single" w:sz="12" w:space="0" w:color="000000"/>
            </w:tcBorders>
          </w:tcPr>
          <w:p>
            <w:pPr>
              <w:pStyle w:val="TableParagraph"/>
              <w:spacing w:line="136" w:lineRule="exact"/>
              <w:ind w:right="29"/>
              <w:jc w:val="right"/>
              <w:rPr>
                <w:sz w:val="13"/>
              </w:rPr>
            </w:pPr>
            <w:r>
              <w:rPr>
                <w:spacing w:val="-10"/>
                <w:w w:val="105"/>
                <w:sz w:val="13"/>
              </w:rPr>
              <w:t>-</w:t>
            </w:r>
          </w:p>
        </w:tc>
      </w:tr>
    </w:tbl>
    <w:p>
      <w:pPr>
        <w:rPr>
          <w:sz w:val="2"/>
          <w:szCs w:val="2"/>
        </w:rPr>
      </w:pPr>
      <w:r>
        <w:rPr/>
        <mc:AlternateContent>
          <mc:Choice Requires="wps">
            <w:drawing>
              <wp:anchor distT="0" distB="0" distL="0" distR="0" allowOverlap="1" layoutInCell="1" locked="0" behindDoc="0" simplePos="0" relativeHeight="15918592">
                <wp:simplePos x="0" y="0"/>
                <wp:positionH relativeFrom="page">
                  <wp:posOffset>10213244</wp:posOffset>
                </wp:positionH>
                <wp:positionV relativeFrom="page">
                  <wp:posOffset>7103690</wp:posOffset>
                </wp:positionV>
                <wp:extent cx="194310" cy="193675"/>
                <wp:effectExtent l="0" t="0" r="0" b="0"/>
                <wp:wrapNone/>
                <wp:docPr id="1015" name="Textbox 1015"/>
                <wp:cNvGraphicFramePr>
                  <a:graphicFrameLocks/>
                </wp:cNvGraphicFramePr>
                <a:graphic>
                  <a:graphicData uri="http://schemas.microsoft.com/office/word/2010/wordprocessingShape">
                    <wps:wsp>
                      <wps:cNvPr id="1015" name="Textbox 1015"/>
                      <wps:cNvSpPr txBox="1"/>
                      <wps:spPr>
                        <a:xfrm>
                          <a:off x="0" y="0"/>
                          <a:ext cx="194310" cy="193675"/>
                        </a:xfrm>
                        <a:prstGeom prst="rect">
                          <a:avLst/>
                        </a:prstGeom>
                      </wps:spPr>
                      <wps:txbx>
                        <w:txbxContent>
                          <w:p>
                            <w:pPr>
                              <w:spacing w:before="48"/>
                              <w:ind w:left="20" w:right="0" w:firstLine="0"/>
                              <w:jc w:val="left"/>
                              <w:rPr>
                                <w:rFonts w:ascii="TT Norms Pro"/>
                                <w:b/>
                                <w:sz w:val="20"/>
                              </w:rPr>
                            </w:pPr>
                            <w:r>
                              <w:rPr>
                                <w:rFonts w:ascii="TT Norms Pro"/>
                                <w:b/>
                                <w:spacing w:val="-5"/>
                                <w:sz w:val="20"/>
                              </w:rPr>
                              <w:t>117</w:t>
                            </w:r>
                          </w:p>
                        </w:txbxContent>
                      </wps:txbx>
                      <wps:bodyPr wrap="square" lIns="0" tIns="0" rIns="0" bIns="0" rtlCol="0" vert="vert">
                        <a:noAutofit/>
                      </wps:bodyPr>
                    </wps:wsp>
                  </a:graphicData>
                </a:graphic>
              </wp:anchor>
            </w:drawing>
          </mc:Choice>
          <mc:Fallback>
            <w:pict>
              <v:shape style="position:absolute;margin-left:804.192505pt;margin-top:559.345703pt;width:15.3pt;height:15.25pt;mso-position-horizontal-relative:page;mso-position-vertical-relative:page;z-index:15918592" type="#_x0000_t202" id="docshape702" filled="false" stroked="false">
                <v:textbox inset="0,0,0,0" style="layout-flow:vertical">
                  <w:txbxContent>
                    <w:p>
                      <w:pPr>
                        <w:spacing w:before="48"/>
                        <w:ind w:left="20" w:right="0" w:firstLine="0"/>
                        <w:jc w:val="left"/>
                        <w:rPr>
                          <w:rFonts w:ascii="TT Norms Pro"/>
                          <w:b/>
                          <w:sz w:val="20"/>
                        </w:rPr>
                      </w:pPr>
                      <w:r>
                        <w:rPr>
                          <w:rFonts w:ascii="TT Norms Pro"/>
                          <w:b/>
                          <w:spacing w:val="-5"/>
                          <w:sz w:val="20"/>
                        </w:rPr>
                        <w:t>117</w:t>
                      </w:r>
                    </w:p>
                  </w:txbxContent>
                </v:textbox>
                <w10:wrap type="none"/>
              </v:shape>
            </w:pict>
          </mc:Fallback>
        </mc:AlternateContent>
      </w:r>
      <w:r>
        <w:rPr/>
        <mc:AlternateContent>
          <mc:Choice Requires="wps">
            <w:drawing>
              <wp:anchor distT="0" distB="0" distL="0" distR="0" allowOverlap="1" layoutInCell="1" locked="0" behindDoc="0" simplePos="0" relativeHeight="15919104">
                <wp:simplePos x="0" y="0"/>
                <wp:positionH relativeFrom="page">
                  <wp:posOffset>719975</wp:posOffset>
                </wp:positionH>
                <wp:positionV relativeFrom="page">
                  <wp:posOffset>7133419</wp:posOffset>
                </wp:positionV>
                <wp:extent cx="1919605" cy="114300"/>
                <wp:effectExtent l="0" t="0" r="0" b="0"/>
                <wp:wrapNone/>
                <wp:docPr id="1016" name="Textbox 1016"/>
                <wp:cNvGraphicFramePr>
                  <a:graphicFrameLocks/>
                </wp:cNvGraphicFramePr>
                <a:graphic>
                  <a:graphicData uri="http://schemas.microsoft.com/office/word/2010/wordprocessingShape">
                    <wps:wsp>
                      <wps:cNvPr id="1016" name="Textbox 1016"/>
                      <wps:cNvSpPr txBox="1"/>
                      <wps:spPr>
                        <a:xfrm rot="10800000">
                          <a:off x="0" y="0"/>
                          <a:ext cx="1919605" cy="114300"/>
                        </a:xfrm>
                        <a:prstGeom prst="rect">
                          <a:avLst/>
                        </a:prstGeom>
                      </wps:spPr>
                      <wps:txbx>
                        <w:txbxContent>
                          <w:p>
                            <w:pPr>
                              <w:spacing w:line="180" w:lineRule="exact" w:before="0"/>
                              <w:ind w:left="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wps:txbx>
                      <wps:bodyPr wrap="square" lIns="0" tIns="0" rIns="0" bIns="0" rtlCol="0">
                        <a:noAutofit/>
                      </wps:bodyPr>
                    </wps:wsp>
                  </a:graphicData>
                </a:graphic>
              </wp:anchor>
            </w:drawing>
          </mc:Choice>
          <mc:Fallback>
            <w:pict>
              <v:shape style="position:absolute;margin-left:56.690994pt;margin-top:561.686584pt;width:151.15pt;height:9pt;mso-position-horizontal-relative:page;mso-position-vertical-relative:page;z-index:15919104;rotation:180" type="#_x0000_t136" fillcolor="#000000" stroked="f">
                <o:extrusion v:ext="view" autorotationcenter="t"/>
                <v:textpath style="font-family:&quot;TT Norms Pro&quot;;font-size:9pt;v-text-kern:t;mso-text-shadow:auto;font-weight:bold" string="2020 Financial Report | uwa.edu.au"/>
                <w10:wrap type="none"/>
              </v:shape>
            </w:pict>
          </mc:Fallback>
        </mc:AlternateContent>
      </w:r>
    </w:p>
    <w:p>
      <w:pPr>
        <w:spacing w:after="0"/>
        <w:rPr>
          <w:sz w:val="2"/>
          <w:szCs w:val="2"/>
        </w:rPr>
        <w:sectPr>
          <w:type w:val="continuous"/>
          <w:pgSz w:w="16840" w:h="11910" w:orient="landscape"/>
          <w:pgMar w:header="0" w:footer="0" w:top="980" w:bottom="280" w:left="1040" w:right="1600"/>
        </w:sectPr>
      </w:pPr>
    </w:p>
    <w:p>
      <w:pPr>
        <w:spacing w:before="80"/>
        <w:ind w:left="133" w:right="0" w:firstLine="0"/>
        <w:jc w:val="left"/>
        <w:rPr>
          <w:sz w:val="22"/>
        </w:rPr>
      </w:pPr>
      <w:r>
        <w:rPr>
          <w:color w:val="0070C0"/>
          <w:sz w:val="22"/>
        </w:rPr>
        <w:t>NOTES</w:t>
      </w:r>
      <w:r>
        <w:rPr>
          <w:color w:val="0070C0"/>
          <w:spacing w:val="-2"/>
          <w:sz w:val="22"/>
        </w:rPr>
        <w:t> </w:t>
      </w:r>
      <w:r>
        <w:rPr>
          <w:color w:val="0070C0"/>
          <w:sz w:val="22"/>
        </w:rPr>
        <w:t>TO</w:t>
      </w:r>
      <w:r>
        <w:rPr>
          <w:color w:val="0070C0"/>
          <w:spacing w:val="-3"/>
          <w:sz w:val="22"/>
        </w:rPr>
        <w:t> </w:t>
      </w:r>
      <w:r>
        <w:rPr>
          <w:color w:val="0070C0"/>
          <w:sz w:val="22"/>
        </w:rPr>
        <w:t>THE</w:t>
      </w:r>
      <w:r>
        <w:rPr>
          <w:color w:val="0070C0"/>
          <w:spacing w:val="-1"/>
          <w:sz w:val="22"/>
        </w:rPr>
        <w:t> </w:t>
      </w:r>
      <w:r>
        <w:rPr>
          <w:color w:val="0070C0"/>
          <w:sz w:val="22"/>
        </w:rPr>
        <w:t>FINANCIAL</w:t>
      </w:r>
      <w:r>
        <w:rPr>
          <w:color w:val="0070C0"/>
          <w:spacing w:val="-1"/>
          <w:sz w:val="22"/>
        </w:rPr>
        <w:t> </w:t>
      </w:r>
      <w:r>
        <w:rPr>
          <w:color w:val="0070C0"/>
          <w:spacing w:val="-2"/>
          <w:sz w:val="22"/>
        </w:rPr>
        <w:t>STATEMENTS</w:t>
      </w:r>
    </w:p>
    <w:p>
      <w:pPr>
        <w:spacing w:before="21"/>
        <w:ind w:left="118" w:right="0" w:firstLine="0"/>
        <w:jc w:val="left"/>
        <w:rPr>
          <w:sz w:val="12"/>
        </w:rPr>
      </w:pPr>
      <w:r>
        <w:rPr>
          <w:w w:val="105"/>
          <w:sz w:val="12"/>
        </w:rPr>
        <w:t>for</w:t>
      </w:r>
      <w:r>
        <w:rPr>
          <w:spacing w:val="-4"/>
          <w:w w:val="105"/>
          <w:sz w:val="12"/>
        </w:rPr>
        <w:t> </w:t>
      </w:r>
      <w:r>
        <w:rPr>
          <w:w w:val="105"/>
          <w:sz w:val="12"/>
        </w:rPr>
        <w:t>the</w:t>
      </w:r>
      <w:r>
        <w:rPr>
          <w:spacing w:val="-3"/>
          <w:w w:val="105"/>
          <w:sz w:val="12"/>
        </w:rPr>
        <w:t> </w:t>
      </w:r>
      <w:r>
        <w:rPr>
          <w:w w:val="105"/>
          <w:sz w:val="12"/>
        </w:rPr>
        <w:t>year</w:t>
      </w:r>
      <w:r>
        <w:rPr>
          <w:spacing w:val="-3"/>
          <w:w w:val="105"/>
          <w:sz w:val="12"/>
        </w:rPr>
        <w:t> </w:t>
      </w:r>
      <w:r>
        <w:rPr>
          <w:w w:val="105"/>
          <w:sz w:val="12"/>
        </w:rPr>
        <w:t>ended</w:t>
      </w:r>
      <w:r>
        <w:rPr>
          <w:spacing w:val="-4"/>
          <w:w w:val="105"/>
          <w:sz w:val="12"/>
        </w:rPr>
        <w:t> </w:t>
      </w:r>
      <w:r>
        <w:rPr>
          <w:w w:val="105"/>
          <w:sz w:val="12"/>
        </w:rPr>
        <w:t>31</w:t>
      </w:r>
      <w:r>
        <w:rPr>
          <w:spacing w:val="-3"/>
          <w:w w:val="105"/>
          <w:sz w:val="12"/>
        </w:rPr>
        <w:t> </w:t>
      </w:r>
      <w:r>
        <w:rPr>
          <w:w w:val="105"/>
          <w:sz w:val="12"/>
        </w:rPr>
        <w:t>December</w:t>
      </w:r>
      <w:r>
        <w:rPr>
          <w:spacing w:val="-3"/>
          <w:w w:val="105"/>
          <w:sz w:val="12"/>
        </w:rPr>
        <w:t> </w:t>
      </w:r>
      <w:r>
        <w:rPr>
          <w:spacing w:val="-4"/>
          <w:w w:val="105"/>
          <w:sz w:val="12"/>
        </w:rPr>
        <w:t>2020</w:t>
      </w:r>
    </w:p>
    <w:p>
      <w:pPr>
        <w:spacing w:line="240" w:lineRule="auto" w:before="20"/>
        <w:rPr>
          <w:sz w:val="20"/>
        </w:rPr>
      </w:pPr>
    </w:p>
    <w:p>
      <w:pPr>
        <w:spacing w:after="0" w:line="240" w:lineRule="auto"/>
        <w:rPr>
          <w:sz w:val="20"/>
        </w:rPr>
        <w:sectPr>
          <w:headerReference w:type="even" r:id="rId125"/>
          <w:pgSz w:w="16840" w:h="11910" w:orient="landscape"/>
          <w:pgMar w:header="0" w:footer="0" w:top="1040" w:bottom="280" w:left="1040" w:right="1600"/>
        </w:sectPr>
      </w:pPr>
    </w:p>
    <w:p>
      <w:pPr>
        <w:spacing w:line="240" w:lineRule="auto" w:before="113"/>
        <w:rPr>
          <w:sz w:val="13"/>
        </w:rPr>
      </w:pPr>
    </w:p>
    <w:p>
      <w:pPr>
        <w:pStyle w:val="ListParagraph"/>
        <w:numPr>
          <w:ilvl w:val="0"/>
          <w:numId w:val="48"/>
        </w:numPr>
        <w:tabs>
          <w:tab w:pos="664" w:val="left" w:leader="none"/>
        </w:tabs>
        <w:spacing w:line="240" w:lineRule="auto" w:before="0" w:after="0"/>
        <w:ind w:left="664" w:right="0" w:hanging="543"/>
        <w:jc w:val="left"/>
        <w:rPr>
          <w:b/>
          <w:color w:val="0070C0"/>
          <w:sz w:val="13"/>
          <w:u w:val="single" w:color="000000"/>
        </w:rPr>
      </w:pPr>
      <w:r>
        <w:rPr>
          <w:b/>
          <w:color w:val="0070C0"/>
          <w:w w:val="105"/>
          <w:position w:val="1"/>
          <w:sz w:val="13"/>
        </w:rPr>
        <w:t>Total</w:t>
      </w:r>
      <w:r>
        <w:rPr>
          <w:b/>
          <w:color w:val="0070C0"/>
          <w:spacing w:val="-3"/>
          <w:w w:val="105"/>
          <w:position w:val="1"/>
          <w:sz w:val="13"/>
        </w:rPr>
        <w:t> </w:t>
      </w:r>
      <w:r>
        <w:rPr>
          <w:b/>
          <w:color w:val="0070C0"/>
          <w:w w:val="105"/>
          <w:position w:val="1"/>
          <w:sz w:val="13"/>
        </w:rPr>
        <w:t>Higher</w:t>
      </w:r>
      <w:r>
        <w:rPr>
          <w:b/>
          <w:color w:val="0070C0"/>
          <w:spacing w:val="-3"/>
          <w:w w:val="105"/>
          <w:position w:val="1"/>
          <w:sz w:val="13"/>
        </w:rPr>
        <w:t> </w:t>
      </w:r>
      <w:r>
        <w:rPr>
          <w:b/>
          <w:color w:val="0070C0"/>
          <w:w w:val="105"/>
          <w:position w:val="1"/>
          <w:sz w:val="13"/>
        </w:rPr>
        <w:t>Education Provider</w:t>
      </w:r>
      <w:r>
        <w:rPr>
          <w:b/>
          <w:color w:val="0070C0"/>
          <w:spacing w:val="-3"/>
          <w:w w:val="105"/>
          <w:position w:val="1"/>
          <w:sz w:val="13"/>
        </w:rPr>
        <w:t> </w:t>
      </w:r>
      <w:r>
        <w:rPr>
          <w:b/>
          <w:color w:val="0070C0"/>
          <w:spacing w:val="-2"/>
          <w:w w:val="105"/>
          <w:position w:val="1"/>
          <w:sz w:val="13"/>
        </w:rPr>
        <w:t>Research</w:t>
      </w:r>
    </w:p>
    <w:p>
      <w:pPr>
        <w:tabs>
          <w:tab w:pos="1207" w:val="left" w:leader="none"/>
          <w:tab w:pos="2068" w:val="left" w:leader="none"/>
          <w:tab w:pos="3181" w:val="right" w:leader="none"/>
        </w:tabs>
        <w:spacing w:line="273" w:lineRule="auto" w:before="99"/>
        <w:ind w:left="346" w:right="6638" w:hanging="226"/>
        <w:jc w:val="left"/>
        <w:rPr>
          <w:b/>
          <w:sz w:val="13"/>
        </w:rPr>
      </w:pPr>
      <w:r>
        <w:rPr/>
        <w:br w:type="column"/>
      </w:r>
      <w:r>
        <w:rPr>
          <w:b/>
          <w:w w:val="105"/>
          <w:sz w:val="13"/>
        </w:rPr>
        <w:t>Total</w:t>
      </w:r>
      <w:r>
        <w:rPr>
          <w:b/>
          <w:spacing w:val="-1"/>
          <w:w w:val="105"/>
          <w:sz w:val="13"/>
        </w:rPr>
        <w:t> </w:t>
      </w:r>
      <w:r>
        <w:rPr>
          <w:b/>
          <w:w w:val="105"/>
          <w:sz w:val="13"/>
        </w:rPr>
        <w:t>domestic students</w:t>
      </w:r>
      <w:r>
        <w:rPr>
          <w:b/>
          <w:spacing w:val="80"/>
          <w:w w:val="105"/>
          <w:sz w:val="13"/>
        </w:rPr>
        <w:t> </w:t>
      </w:r>
      <w:r>
        <w:rPr>
          <w:b/>
          <w:w w:val="105"/>
          <w:sz w:val="13"/>
        </w:rPr>
        <w:t>Total</w:t>
      </w:r>
      <w:r>
        <w:rPr>
          <w:b/>
          <w:spacing w:val="-1"/>
          <w:w w:val="105"/>
          <w:sz w:val="13"/>
        </w:rPr>
        <w:t> </w:t>
      </w:r>
      <w:r>
        <w:rPr>
          <w:b/>
          <w:w w:val="105"/>
          <w:sz w:val="13"/>
        </w:rPr>
        <w:t>overseas students</w:t>
      </w:r>
      <w:r>
        <w:rPr>
          <w:b/>
          <w:spacing w:val="40"/>
          <w:w w:val="105"/>
          <w:sz w:val="13"/>
        </w:rPr>
        <w:t> </w:t>
      </w:r>
      <w:r>
        <w:rPr>
          <w:b/>
          <w:spacing w:val="-4"/>
          <w:sz w:val="13"/>
        </w:rPr>
        <w:t>2020</w:t>
      </w:r>
      <w:r>
        <w:rPr>
          <w:b/>
          <w:sz w:val="13"/>
        </w:rPr>
        <w:tab/>
      </w:r>
      <w:r>
        <w:rPr>
          <w:b/>
          <w:spacing w:val="-4"/>
          <w:sz w:val="13"/>
        </w:rPr>
        <w:t>2019</w:t>
      </w:r>
      <w:r>
        <w:rPr>
          <w:b/>
          <w:sz w:val="13"/>
        </w:rPr>
        <w:tab/>
      </w:r>
      <w:r>
        <w:rPr>
          <w:b/>
          <w:spacing w:val="-4"/>
          <w:sz w:val="13"/>
        </w:rPr>
        <w:t>2020</w:t>
      </w:r>
      <w:r>
        <w:rPr>
          <w:b/>
          <w:sz w:val="13"/>
        </w:rPr>
        <w:tab/>
      </w:r>
      <w:r>
        <w:rPr>
          <w:b/>
          <w:spacing w:val="-4"/>
          <w:sz w:val="13"/>
        </w:rPr>
        <w:t>2019</w:t>
      </w:r>
    </w:p>
    <w:p>
      <w:pPr>
        <w:spacing w:after="0" w:line="273" w:lineRule="auto"/>
        <w:jc w:val="left"/>
        <w:rPr>
          <w:sz w:val="13"/>
        </w:rPr>
        <w:sectPr>
          <w:type w:val="continuous"/>
          <w:pgSz w:w="16840" w:h="11910" w:orient="landscape"/>
          <w:pgMar w:header="0" w:footer="0" w:top="980" w:bottom="280" w:left="1040" w:right="1600"/>
          <w:cols w:num="2" w:equalWidth="0">
            <w:col w:w="3476" w:space="655"/>
            <w:col w:w="10069"/>
          </w:cols>
        </w:sectPr>
      </w:pPr>
    </w:p>
    <w:p>
      <w:pPr>
        <w:tabs>
          <w:tab w:pos="664" w:val="left" w:leader="none"/>
          <w:tab w:pos="3836" w:val="left" w:leader="none"/>
          <w:tab w:pos="4462" w:val="left" w:leader="none"/>
          <w:tab w:pos="5323" w:val="left" w:leader="none"/>
          <w:tab w:pos="6183" w:val="left" w:leader="none"/>
          <w:tab w:pos="6986" w:val="left" w:leader="none"/>
          <w:tab w:pos="7554" w:val="left" w:leader="none"/>
        </w:tabs>
        <w:spacing w:before="3"/>
        <w:ind w:left="103" w:right="0" w:firstLine="0"/>
        <w:jc w:val="left"/>
        <w:rPr>
          <w:b/>
          <w:sz w:val="13"/>
        </w:rPr>
      </w:pPr>
      <w:r>
        <w:rPr/>
        <mc:AlternateContent>
          <mc:Choice Requires="wps">
            <w:drawing>
              <wp:anchor distT="0" distB="0" distL="0" distR="0" allowOverlap="1" layoutInCell="1" locked="0" behindDoc="0" simplePos="0" relativeHeight="15920128">
                <wp:simplePos x="0" y="0"/>
                <wp:positionH relativeFrom="page">
                  <wp:posOffset>10213244</wp:posOffset>
                </wp:positionH>
                <wp:positionV relativeFrom="page">
                  <wp:posOffset>257829</wp:posOffset>
                </wp:positionV>
                <wp:extent cx="194310" cy="204470"/>
                <wp:effectExtent l="0" t="0" r="0" b="0"/>
                <wp:wrapNone/>
                <wp:docPr id="1017" name="Textbox 1017"/>
                <wp:cNvGraphicFramePr>
                  <a:graphicFrameLocks/>
                </wp:cNvGraphicFramePr>
                <a:graphic>
                  <a:graphicData uri="http://schemas.microsoft.com/office/word/2010/wordprocessingShape">
                    <wps:wsp>
                      <wps:cNvPr id="1017" name="Textbox 1017"/>
                      <wps:cNvSpPr txBox="1"/>
                      <wps:spPr>
                        <a:xfrm>
                          <a:off x="0" y="0"/>
                          <a:ext cx="194310" cy="204470"/>
                        </a:xfrm>
                        <a:prstGeom prst="rect">
                          <a:avLst/>
                        </a:prstGeom>
                      </wps:spPr>
                      <wps:txbx>
                        <w:txbxContent>
                          <w:p>
                            <w:pPr>
                              <w:spacing w:before="48"/>
                              <w:ind w:left="20" w:right="0" w:firstLine="0"/>
                              <w:jc w:val="left"/>
                              <w:rPr>
                                <w:rFonts w:ascii="TT Norms Pro"/>
                                <w:b/>
                                <w:sz w:val="20"/>
                              </w:rPr>
                            </w:pPr>
                            <w:r>
                              <w:rPr>
                                <w:rFonts w:ascii="TT Norms Pro"/>
                                <w:b/>
                                <w:spacing w:val="-5"/>
                                <w:sz w:val="20"/>
                              </w:rPr>
                              <w:t>118</w:t>
                            </w:r>
                          </w:p>
                        </w:txbxContent>
                      </wps:txbx>
                      <wps:bodyPr wrap="square" lIns="0" tIns="0" rIns="0" bIns="0" rtlCol="0" vert="vert">
                        <a:noAutofit/>
                      </wps:bodyPr>
                    </wps:wsp>
                  </a:graphicData>
                </a:graphic>
              </wp:anchor>
            </w:drawing>
          </mc:Choice>
          <mc:Fallback>
            <w:pict>
              <v:shape style="position:absolute;margin-left:804.192505pt;margin-top:20.3015pt;width:15.3pt;height:16.1pt;mso-position-horizontal-relative:page;mso-position-vertical-relative:page;z-index:15920128" type="#_x0000_t202" id="docshape703" filled="false" stroked="false">
                <v:textbox inset="0,0,0,0" style="layout-flow:vertical">
                  <w:txbxContent>
                    <w:p>
                      <w:pPr>
                        <w:spacing w:before="48"/>
                        <w:ind w:left="20" w:right="0" w:firstLine="0"/>
                        <w:jc w:val="left"/>
                        <w:rPr>
                          <w:rFonts w:ascii="TT Norms Pro"/>
                          <w:b/>
                          <w:sz w:val="20"/>
                        </w:rPr>
                      </w:pPr>
                      <w:r>
                        <w:rPr>
                          <w:rFonts w:ascii="TT Norms Pro"/>
                          <w:b/>
                          <w:spacing w:val="-5"/>
                          <w:sz w:val="20"/>
                        </w:rPr>
                        <w:t>118</w:t>
                      </w:r>
                    </w:p>
                  </w:txbxContent>
                </v:textbox>
                <w10:wrap type="none"/>
              </v:shape>
            </w:pict>
          </mc:Fallback>
        </mc:AlternateContent>
      </w:r>
      <w:r>
        <w:rPr/>
        <mc:AlternateContent>
          <mc:Choice Requires="wps">
            <w:drawing>
              <wp:anchor distT="0" distB="0" distL="0" distR="0" allowOverlap="1" layoutInCell="1" locked="0" behindDoc="0" simplePos="0" relativeHeight="15920640">
                <wp:simplePos x="0" y="0"/>
                <wp:positionH relativeFrom="page">
                  <wp:posOffset>10216291</wp:posOffset>
                </wp:positionH>
                <wp:positionV relativeFrom="page">
                  <wp:posOffset>702699</wp:posOffset>
                </wp:positionV>
                <wp:extent cx="177800" cy="2551430"/>
                <wp:effectExtent l="0" t="0" r="0" b="0"/>
                <wp:wrapNone/>
                <wp:docPr id="1018" name="Textbox 1018"/>
                <wp:cNvGraphicFramePr>
                  <a:graphicFrameLocks/>
                </wp:cNvGraphicFramePr>
                <a:graphic>
                  <a:graphicData uri="http://schemas.microsoft.com/office/word/2010/wordprocessingShape">
                    <wps:wsp>
                      <wps:cNvPr id="1018" name="Textbox 1018"/>
                      <wps:cNvSpPr txBox="1"/>
                      <wps:spPr>
                        <a:xfrm>
                          <a:off x="0" y="0"/>
                          <a:ext cx="177800" cy="2551430"/>
                        </a:xfrm>
                        <a:prstGeom prst="rect">
                          <a:avLst/>
                        </a:prstGeom>
                      </wps:spPr>
                      <wps:txbx>
                        <w:txbxContent>
                          <w:p>
                            <w:pPr>
                              <w:spacing w:before="45"/>
                              <w:ind w:left="20" w:right="0" w:firstLine="0"/>
                              <w:jc w:val="left"/>
                              <w:rPr>
                                <w:rFonts w:ascii="TT Norms Pro"/>
                                <w:b/>
                                <w:sz w:val="18"/>
                              </w:rPr>
                            </w:pPr>
                            <w:r>
                              <w:rPr>
                                <w:rFonts w:ascii="TT Norms Pro"/>
                                <w:sz w:val="18"/>
                              </w:rPr>
                              <w:t>The</w:t>
                            </w:r>
                            <w:r>
                              <w:rPr>
                                <w:rFonts w:ascii="TT Norms Pro"/>
                                <w:spacing w:val="-3"/>
                                <w:sz w:val="18"/>
                              </w:rPr>
                              <w:t> </w:t>
                            </w:r>
                            <w:r>
                              <w:rPr>
                                <w:rFonts w:ascii="TT Norms Pro"/>
                                <w:sz w:val="18"/>
                              </w:rPr>
                              <w:t>University</w:t>
                            </w:r>
                            <w:r>
                              <w:rPr>
                                <w:rFonts w:ascii="TT Norms Pro"/>
                                <w:spacing w:val="-6"/>
                                <w:sz w:val="18"/>
                              </w:rPr>
                              <w:t> </w:t>
                            </w:r>
                            <w:r>
                              <w:rPr>
                                <w:rFonts w:ascii="TT Norms Pro"/>
                                <w:sz w:val="18"/>
                              </w:rPr>
                              <w:t>of</w:t>
                            </w:r>
                            <w:r>
                              <w:rPr>
                                <w:rFonts w:ascii="TT Norms Pro"/>
                                <w:spacing w:val="-8"/>
                                <w:sz w:val="18"/>
                              </w:rPr>
                              <w:t> </w:t>
                            </w:r>
                            <w:r>
                              <w:rPr>
                                <w:rFonts w:ascii="TT Norms Pro"/>
                                <w:sz w:val="18"/>
                              </w:rPr>
                              <w:t>Western</w:t>
                            </w:r>
                            <w:r>
                              <w:rPr>
                                <w:rFonts w:ascii="TT Norms Pro"/>
                                <w:spacing w:val="-8"/>
                                <w:sz w:val="18"/>
                              </w:rPr>
                              <w:t> </w:t>
                            </w:r>
                            <w:r>
                              <w:rPr>
                                <w:rFonts w:ascii="TT Norms Pro"/>
                                <w:sz w:val="18"/>
                              </w:rPr>
                              <w:t>Australia</w:t>
                            </w:r>
                            <w:r>
                              <w:rPr>
                                <w:rFonts w:ascii="TT Norms Pro"/>
                                <w:spacing w:val="46"/>
                                <w:sz w:val="18"/>
                              </w:rPr>
                              <w:t> </w:t>
                            </w:r>
                            <w:r>
                              <w:rPr>
                                <w:rFonts w:ascii="TT Norms Pro Light"/>
                                <w:b w:val="0"/>
                                <w:sz w:val="18"/>
                              </w:rPr>
                              <w:t>|</w:t>
                            </w:r>
                            <w:r>
                              <w:rPr>
                                <w:rFonts w:ascii="TT Norms Pro Light"/>
                                <w:b w:val="0"/>
                                <w:spacing w:val="49"/>
                                <w:sz w:val="18"/>
                              </w:rPr>
                              <w:t> </w:t>
                            </w:r>
                            <w:r>
                              <w:rPr>
                                <w:rFonts w:ascii="TT Norms Pro"/>
                                <w:b/>
                                <w:spacing w:val="-2"/>
                                <w:sz w:val="18"/>
                              </w:rPr>
                              <w:t>uwa.edu.au</w:t>
                            </w:r>
                          </w:p>
                        </w:txbxContent>
                      </wps:txbx>
                      <wps:bodyPr wrap="square" lIns="0" tIns="0" rIns="0" bIns="0" rtlCol="0" vert="vert">
                        <a:noAutofit/>
                      </wps:bodyPr>
                    </wps:wsp>
                  </a:graphicData>
                </a:graphic>
              </wp:anchor>
            </w:drawing>
          </mc:Choice>
          <mc:Fallback>
            <w:pict>
              <v:shape style="position:absolute;margin-left:804.432373pt;margin-top:55.3307pt;width:14pt;height:200.9pt;mso-position-horizontal-relative:page;mso-position-vertical-relative:page;z-index:15920640" type="#_x0000_t202" id="docshape704" filled="false" stroked="false">
                <v:textbox inset="0,0,0,0" style="layout-flow:vertical">
                  <w:txbxContent>
                    <w:p>
                      <w:pPr>
                        <w:spacing w:before="45"/>
                        <w:ind w:left="20" w:right="0" w:firstLine="0"/>
                        <w:jc w:val="left"/>
                        <w:rPr>
                          <w:rFonts w:ascii="TT Norms Pro"/>
                          <w:b/>
                          <w:sz w:val="18"/>
                        </w:rPr>
                      </w:pPr>
                      <w:r>
                        <w:rPr>
                          <w:rFonts w:ascii="TT Norms Pro"/>
                          <w:sz w:val="18"/>
                        </w:rPr>
                        <w:t>The</w:t>
                      </w:r>
                      <w:r>
                        <w:rPr>
                          <w:rFonts w:ascii="TT Norms Pro"/>
                          <w:spacing w:val="-3"/>
                          <w:sz w:val="18"/>
                        </w:rPr>
                        <w:t> </w:t>
                      </w:r>
                      <w:r>
                        <w:rPr>
                          <w:rFonts w:ascii="TT Norms Pro"/>
                          <w:sz w:val="18"/>
                        </w:rPr>
                        <w:t>University</w:t>
                      </w:r>
                      <w:r>
                        <w:rPr>
                          <w:rFonts w:ascii="TT Norms Pro"/>
                          <w:spacing w:val="-6"/>
                          <w:sz w:val="18"/>
                        </w:rPr>
                        <w:t> </w:t>
                      </w:r>
                      <w:r>
                        <w:rPr>
                          <w:rFonts w:ascii="TT Norms Pro"/>
                          <w:sz w:val="18"/>
                        </w:rPr>
                        <w:t>of</w:t>
                      </w:r>
                      <w:r>
                        <w:rPr>
                          <w:rFonts w:ascii="TT Norms Pro"/>
                          <w:spacing w:val="-8"/>
                          <w:sz w:val="18"/>
                        </w:rPr>
                        <w:t> </w:t>
                      </w:r>
                      <w:r>
                        <w:rPr>
                          <w:rFonts w:ascii="TT Norms Pro"/>
                          <w:sz w:val="18"/>
                        </w:rPr>
                        <w:t>Western</w:t>
                      </w:r>
                      <w:r>
                        <w:rPr>
                          <w:rFonts w:ascii="TT Norms Pro"/>
                          <w:spacing w:val="-8"/>
                          <w:sz w:val="18"/>
                        </w:rPr>
                        <w:t> </w:t>
                      </w:r>
                      <w:r>
                        <w:rPr>
                          <w:rFonts w:ascii="TT Norms Pro"/>
                          <w:sz w:val="18"/>
                        </w:rPr>
                        <w:t>Australia</w:t>
                      </w:r>
                      <w:r>
                        <w:rPr>
                          <w:rFonts w:ascii="TT Norms Pro"/>
                          <w:spacing w:val="46"/>
                          <w:sz w:val="18"/>
                        </w:rPr>
                        <w:t> </w:t>
                      </w:r>
                      <w:r>
                        <w:rPr>
                          <w:rFonts w:ascii="TT Norms Pro Light"/>
                          <w:b w:val="0"/>
                          <w:sz w:val="18"/>
                        </w:rPr>
                        <w:t>|</w:t>
                      </w:r>
                      <w:r>
                        <w:rPr>
                          <w:rFonts w:ascii="TT Norms Pro Light"/>
                          <w:b w:val="0"/>
                          <w:spacing w:val="49"/>
                          <w:sz w:val="18"/>
                        </w:rPr>
                        <w:t> </w:t>
                      </w:r>
                      <w:r>
                        <w:rPr>
                          <w:rFonts w:ascii="TT Norms Pro"/>
                          <w:b/>
                          <w:spacing w:val="-2"/>
                          <w:sz w:val="18"/>
                        </w:rPr>
                        <w:t>uwa.edu.au</w:t>
                      </w:r>
                    </w:p>
                  </w:txbxContent>
                </v:textbox>
                <w10:wrap type="none"/>
              </v:shape>
            </w:pict>
          </mc:Fallback>
        </mc:AlternateContent>
      </w:r>
      <w:r>
        <w:rPr>
          <w:b/>
          <w:color w:val="0070C0"/>
          <w:sz w:val="13"/>
          <w:u w:val="single" w:color="000000"/>
        </w:rPr>
        <w:tab/>
      </w:r>
      <w:r>
        <w:rPr>
          <w:b/>
          <w:color w:val="0070C0"/>
          <w:w w:val="105"/>
          <w:sz w:val="13"/>
          <w:u w:val="single" w:color="000000"/>
        </w:rPr>
        <w:t>Training</w:t>
      </w:r>
      <w:r>
        <w:rPr>
          <w:b/>
          <w:color w:val="0070C0"/>
          <w:spacing w:val="-2"/>
          <w:w w:val="105"/>
          <w:sz w:val="13"/>
          <w:u w:val="single" w:color="000000"/>
        </w:rPr>
        <w:t> </w:t>
      </w:r>
      <w:r>
        <w:rPr>
          <w:b/>
          <w:color w:val="0070C0"/>
          <w:w w:val="105"/>
          <w:sz w:val="13"/>
          <w:u w:val="single" w:color="000000"/>
        </w:rPr>
        <w:t>Program</w:t>
      </w:r>
      <w:r>
        <w:rPr>
          <w:b/>
          <w:color w:val="0070C0"/>
          <w:spacing w:val="-4"/>
          <w:w w:val="105"/>
          <w:sz w:val="13"/>
          <w:u w:val="single" w:color="000000"/>
        </w:rPr>
        <w:t> </w:t>
      </w:r>
      <w:r>
        <w:rPr>
          <w:b/>
          <w:color w:val="0070C0"/>
          <w:spacing w:val="-2"/>
          <w:w w:val="105"/>
          <w:sz w:val="13"/>
          <w:u w:val="single" w:color="000000"/>
        </w:rPr>
        <w:t>expenditure</w:t>
      </w:r>
      <w:r>
        <w:rPr>
          <w:b/>
          <w:color w:val="0070C0"/>
          <w:sz w:val="13"/>
          <w:u w:val="single" w:color="000000"/>
        </w:rPr>
        <w:tab/>
      </w:r>
      <w:r>
        <w:rPr>
          <w:b/>
          <w:spacing w:val="-4"/>
          <w:w w:val="105"/>
          <w:sz w:val="13"/>
          <w:u w:val="single"/>
        </w:rPr>
        <w:t>Note</w:t>
      </w:r>
      <w:r>
        <w:rPr>
          <w:b/>
          <w:sz w:val="13"/>
          <w:u w:val="single"/>
        </w:rPr>
        <w:tab/>
      </w:r>
      <w:r>
        <w:rPr>
          <w:b/>
          <w:spacing w:val="-2"/>
          <w:w w:val="105"/>
          <w:sz w:val="13"/>
          <w:u w:val="single"/>
        </w:rPr>
        <w:t>$'000</w:t>
      </w:r>
      <w:r>
        <w:rPr>
          <w:b/>
          <w:sz w:val="13"/>
          <w:u w:val="single"/>
        </w:rPr>
        <w:tab/>
      </w:r>
      <w:r>
        <w:rPr>
          <w:b/>
          <w:spacing w:val="-2"/>
          <w:w w:val="105"/>
          <w:sz w:val="13"/>
          <w:u w:val="single"/>
        </w:rPr>
        <w:t>$'000</w:t>
      </w:r>
      <w:r>
        <w:rPr>
          <w:b/>
          <w:sz w:val="13"/>
          <w:u w:val="single"/>
        </w:rPr>
        <w:tab/>
      </w:r>
      <w:r>
        <w:rPr>
          <w:b/>
          <w:spacing w:val="-2"/>
          <w:w w:val="105"/>
          <w:sz w:val="13"/>
          <w:u w:val="single"/>
        </w:rPr>
        <w:t>$'000</w:t>
      </w:r>
      <w:r>
        <w:rPr>
          <w:b/>
          <w:sz w:val="13"/>
          <w:u w:val="single"/>
        </w:rPr>
        <w:tab/>
      </w:r>
      <w:r>
        <w:rPr>
          <w:b/>
          <w:spacing w:val="-2"/>
          <w:w w:val="105"/>
          <w:sz w:val="13"/>
          <w:u w:val="single"/>
        </w:rPr>
        <w:t>$'000</w:t>
      </w:r>
      <w:r>
        <w:rPr>
          <w:b/>
          <w:sz w:val="13"/>
          <w:u w:val="single"/>
        </w:rPr>
        <w:tab/>
      </w:r>
    </w:p>
    <w:p>
      <w:pPr>
        <w:spacing w:line="240" w:lineRule="auto" w:before="0" w:after="1"/>
        <w:rPr>
          <w:b/>
          <w:sz w:val="12"/>
        </w:rPr>
      </w:pPr>
    </w:p>
    <w:tbl>
      <w:tblPr>
        <w:tblW w:w="0" w:type="auto"/>
        <w:jc w:val="left"/>
        <w:tblInd w:w="6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61"/>
        <w:gridCol w:w="1265"/>
        <w:gridCol w:w="881"/>
        <w:gridCol w:w="813"/>
        <w:gridCol w:w="626"/>
      </w:tblGrid>
      <w:tr>
        <w:trPr>
          <w:trHeight w:val="211" w:hRule="atLeast"/>
        </w:trPr>
        <w:tc>
          <w:tcPr>
            <w:tcW w:w="3161" w:type="dxa"/>
          </w:tcPr>
          <w:p>
            <w:pPr>
              <w:pStyle w:val="TableParagraph"/>
              <w:spacing w:line="139" w:lineRule="exact" w:before="52"/>
              <w:ind w:left="50"/>
              <w:rPr>
                <w:sz w:val="13"/>
              </w:rPr>
            </w:pPr>
            <w:r>
              <w:rPr>
                <w:w w:val="105"/>
                <w:sz w:val="13"/>
              </w:rPr>
              <w:t>Research Training Program</w:t>
            </w:r>
            <w:r>
              <w:rPr>
                <w:spacing w:val="2"/>
                <w:w w:val="105"/>
                <w:sz w:val="13"/>
              </w:rPr>
              <w:t> </w:t>
            </w:r>
            <w:r>
              <w:rPr>
                <w:w w:val="105"/>
                <w:sz w:val="13"/>
              </w:rPr>
              <w:t>Fees </w:t>
            </w:r>
            <w:r>
              <w:rPr>
                <w:spacing w:val="-2"/>
                <w:w w:val="105"/>
                <w:sz w:val="13"/>
              </w:rPr>
              <w:t>offsets</w:t>
            </w:r>
          </w:p>
        </w:tc>
        <w:tc>
          <w:tcPr>
            <w:tcW w:w="1265" w:type="dxa"/>
          </w:tcPr>
          <w:p>
            <w:pPr>
              <w:pStyle w:val="TableParagraph"/>
              <w:spacing w:line="139" w:lineRule="exact" w:before="52"/>
              <w:ind w:right="215"/>
              <w:jc w:val="right"/>
              <w:rPr>
                <w:sz w:val="13"/>
              </w:rPr>
            </w:pPr>
            <w:r>
              <w:rPr>
                <w:spacing w:val="-2"/>
                <w:w w:val="105"/>
                <w:sz w:val="13"/>
              </w:rPr>
              <w:t>29,502</w:t>
            </w:r>
          </w:p>
        </w:tc>
        <w:tc>
          <w:tcPr>
            <w:tcW w:w="881" w:type="dxa"/>
          </w:tcPr>
          <w:p>
            <w:pPr>
              <w:pStyle w:val="TableParagraph"/>
              <w:spacing w:line="139" w:lineRule="exact" w:before="52"/>
              <w:ind w:right="17"/>
              <w:jc w:val="center"/>
              <w:rPr>
                <w:sz w:val="13"/>
              </w:rPr>
            </w:pPr>
            <w:r>
              <w:rPr>
                <w:spacing w:val="-2"/>
                <w:w w:val="105"/>
                <w:sz w:val="13"/>
              </w:rPr>
              <w:t>30,036</w:t>
            </w:r>
          </w:p>
        </w:tc>
        <w:tc>
          <w:tcPr>
            <w:tcW w:w="813" w:type="dxa"/>
          </w:tcPr>
          <w:p>
            <w:pPr>
              <w:pStyle w:val="TableParagraph"/>
              <w:spacing w:line="139" w:lineRule="exact" w:before="52"/>
              <w:ind w:left="53" w:right="43"/>
              <w:jc w:val="center"/>
              <w:rPr>
                <w:sz w:val="13"/>
              </w:rPr>
            </w:pPr>
            <w:r>
              <w:rPr>
                <w:spacing w:val="-2"/>
                <w:w w:val="105"/>
                <w:sz w:val="13"/>
              </w:rPr>
              <w:t>4,460</w:t>
            </w:r>
          </w:p>
        </w:tc>
        <w:tc>
          <w:tcPr>
            <w:tcW w:w="626" w:type="dxa"/>
          </w:tcPr>
          <w:p>
            <w:pPr>
              <w:pStyle w:val="TableParagraph"/>
              <w:spacing w:line="139" w:lineRule="exact" w:before="52"/>
              <w:ind w:left="177"/>
              <w:jc w:val="center"/>
              <w:rPr>
                <w:sz w:val="13"/>
              </w:rPr>
            </w:pPr>
            <w:r>
              <w:rPr>
                <w:spacing w:val="-2"/>
                <w:w w:val="105"/>
                <w:sz w:val="13"/>
              </w:rPr>
              <w:t>3,609</w:t>
            </w:r>
          </w:p>
        </w:tc>
      </w:tr>
      <w:tr>
        <w:trPr>
          <w:trHeight w:val="211" w:hRule="atLeast"/>
        </w:trPr>
        <w:tc>
          <w:tcPr>
            <w:tcW w:w="3161" w:type="dxa"/>
          </w:tcPr>
          <w:p>
            <w:pPr>
              <w:pStyle w:val="TableParagraph"/>
              <w:spacing w:before="11"/>
              <w:ind w:left="50"/>
              <w:rPr>
                <w:sz w:val="13"/>
              </w:rPr>
            </w:pPr>
            <w:r>
              <w:rPr>
                <w:w w:val="105"/>
                <w:sz w:val="13"/>
              </w:rPr>
              <w:t>Research</w:t>
            </w:r>
            <w:r>
              <w:rPr>
                <w:spacing w:val="-1"/>
                <w:w w:val="105"/>
                <w:sz w:val="13"/>
              </w:rPr>
              <w:t> </w:t>
            </w:r>
            <w:r>
              <w:rPr>
                <w:w w:val="105"/>
                <w:sz w:val="13"/>
              </w:rPr>
              <w:t>Training</w:t>
            </w:r>
            <w:r>
              <w:rPr>
                <w:spacing w:val="-1"/>
                <w:w w:val="105"/>
                <w:sz w:val="13"/>
              </w:rPr>
              <w:t> </w:t>
            </w:r>
            <w:r>
              <w:rPr>
                <w:w w:val="105"/>
                <w:sz w:val="13"/>
              </w:rPr>
              <w:t>Program</w:t>
            </w:r>
            <w:r>
              <w:rPr>
                <w:spacing w:val="1"/>
                <w:w w:val="105"/>
                <w:sz w:val="13"/>
              </w:rPr>
              <w:t> </w:t>
            </w:r>
            <w:r>
              <w:rPr>
                <w:spacing w:val="-2"/>
                <w:w w:val="105"/>
                <w:sz w:val="13"/>
              </w:rPr>
              <w:t>Stipends</w:t>
            </w:r>
          </w:p>
        </w:tc>
        <w:tc>
          <w:tcPr>
            <w:tcW w:w="1265" w:type="dxa"/>
          </w:tcPr>
          <w:p>
            <w:pPr>
              <w:pStyle w:val="TableParagraph"/>
              <w:spacing w:before="11"/>
              <w:ind w:right="215"/>
              <w:jc w:val="right"/>
              <w:rPr>
                <w:sz w:val="13"/>
              </w:rPr>
            </w:pPr>
            <w:r>
              <w:rPr>
                <w:spacing w:val="-2"/>
                <w:w w:val="105"/>
                <w:sz w:val="13"/>
              </w:rPr>
              <w:t>12,632</w:t>
            </w:r>
          </w:p>
        </w:tc>
        <w:tc>
          <w:tcPr>
            <w:tcW w:w="881" w:type="dxa"/>
          </w:tcPr>
          <w:p>
            <w:pPr>
              <w:pStyle w:val="TableParagraph"/>
              <w:spacing w:before="11"/>
              <w:ind w:right="17"/>
              <w:jc w:val="center"/>
              <w:rPr>
                <w:sz w:val="13"/>
              </w:rPr>
            </w:pPr>
            <w:r>
              <w:rPr>
                <w:spacing w:val="-2"/>
                <w:w w:val="105"/>
                <w:sz w:val="13"/>
              </w:rPr>
              <w:t>13,757</w:t>
            </w:r>
          </w:p>
        </w:tc>
        <w:tc>
          <w:tcPr>
            <w:tcW w:w="813" w:type="dxa"/>
          </w:tcPr>
          <w:p>
            <w:pPr>
              <w:pStyle w:val="TableParagraph"/>
              <w:spacing w:before="11"/>
              <w:ind w:left="53"/>
              <w:jc w:val="center"/>
              <w:rPr>
                <w:sz w:val="13"/>
              </w:rPr>
            </w:pPr>
            <w:r>
              <w:rPr>
                <w:spacing w:val="-10"/>
                <w:w w:val="105"/>
                <w:sz w:val="13"/>
              </w:rPr>
              <w:t>-</w:t>
            </w:r>
          </w:p>
        </w:tc>
        <w:tc>
          <w:tcPr>
            <w:tcW w:w="626" w:type="dxa"/>
          </w:tcPr>
          <w:p>
            <w:pPr>
              <w:pStyle w:val="TableParagraph"/>
              <w:spacing w:before="11"/>
              <w:ind w:left="220"/>
              <w:jc w:val="center"/>
              <w:rPr>
                <w:sz w:val="13"/>
              </w:rPr>
            </w:pPr>
            <w:r>
              <w:rPr>
                <w:spacing w:val="-10"/>
                <w:w w:val="105"/>
                <w:sz w:val="13"/>
              </w:rPr>
              <w:t>-</w:t>
            </w:r>
          </w:p>
        </w:tc>
      </w:tr>
    </w:tbl>
    <w:p>
      <w:pPr>
        <w:tabs>
          <w:tab w:pos="4224" w:val="left" w:leader="none"/>
          <w:tab w:pos="4610" w:val="left" w:leader="none"/>
          <w:tab w:pos="5433" w:val="left" w:leader="none"/>
          <w:tab w:pos="6331" w:val="left" w:leader="none"/>
          <w:tab w:pos="7134" w:val="left" w:leader="none"/>
          <w:tab w:pos="7554" w:val="left" w:leader="none"/>
        </w:tabs>
        <w:spacing w:before="0"/>
        <w:ind w:left="664" w:right="0" w:firstLine="0"/>
        <w:jc w:val="left"/>
        <w:rPr>
          <w:sz w:val="13"/>
        </w:rPr>
      </w:pPr>
      <w:r>
        <w:rPr>
          <w:w w:val="105"/>
          <w:sz w:val="13"/>
        </w:rPr>
        <w:t>Research</w:t>
      </w:r>
      <w:r>
        <w:rPr>
          <w:spacing w:val="-1"/>
          <w:w w:val="105"/>
          <w:sz w:val="13"/>
        </w:rPr>
        <w:t> </w:t>
      </w:r>
      <w:r>
        <w:rPr>
          <w:w w:val="105"/>
          <w:sz w:val="13"/>
        </w:rPr>
        <w:t>Training</w:t>
      </w:r>
      <w:r>
        <w:rPr>
          <w:spacing w:val="-1"/>
          <w:w w:val="105"/>
          <w:sz w:val="13"/>
        </w:rPr>
        <w:t> </w:t>
      </w:r>
      <w:r>
        <w:rPr>
          <w:w w:val="105"/>
          <w:sz w:val="13"/>
        </w:rPr>
        <w:t>Program</w:t>
      </w:r>
      <w:r>
        <w:rPr>
          <w:spacing w:val="1"/>
          <w:w w:val="105"/>
          <w:sz w:val="13"/>
        </w:rPr>
        <w:t> </w:t>
      </w:r>
      <w:r>
        <w:rPr>
          <w:spacing w:val="-2"/>
          <w:w w:val="105"/>
          <w:sz w:val="13"/>
        </w:rPr>
        <w:t>Allowances</w:t>
      </w:r>
      <w:r>
        <w:rPr>
          <w:sz w:val="13"/>
        </w:rPr>
        <w:tab/>
      </w:r>
      <w:r>
        <w:rPr>
          <w:sz w:val="13"/>
          <w:u w:val="single"/>
        </w:rPr>
        <w:tab/>
      </w:r>
      <w:r>
        <w:rPr>
          <w:spacing w:val="-10"/>
          <w:w w:val="105"/>
          <w:sz w:val="13"/>
          <w:u w:val="single"/>
        </w:rPr>
        <w:t>-</w:t>
      </w:r>
      <w:r>
        <w:rPr>
          <w:sz w:val="13"/>
          <w:u w:val="single"/>
        </w:rPr>
        <w:tab/>
      </w:r>
      <w:r>
        <w:rPr>
          <w:spacing w:val="-10"/>
          <w:w w:val="105"/>
          <w:sz w:val="13"/>
          <w:u w:val="single"/>
        </w:rPr>
        <w:t>5</w:t>
      </w:r>
      <w:r>
        <w:rPr>
          <w:sz w:val="13"/>
          <w:u w:val="single"/>
        </w:rPr>
        <w:tab/>
      </w:r>
      <w:r>
        <w:rPr>
          <w:spacing w:val="-10"/>
          <w:w w:val="105"/>
          <w:sz w:val="13"/>
          <w:u w:val="single"/>
        </w:rPr>
        <w:t>-</w:t>
      </w:r>
      <w:r>
        <w:rPr>
          <w:sz w:val="13"/>
          <w:u w:val="single"/>
        </w:rPr>
        <w:tab/>
      </w:r>
      <w:r>
        <w:rPr>
          <w:spacing w:val="-10"/>
          <w:w w:val="105"/>
          <w:sz w:val="13"/>
          <w:u w:val="single"/>
        </w:rPr>
        <w:t>-</w:t>
      </w:r>
      <w:r>
        <w:rPr>
          <w:sz w:val="13"/>
          <w:u w:val="single"/>
        </w:rPr>
        <w:tab/>
      </w:r>
    </w:p>
    <w:p>
      <w:pPr>
        <w:tabs>
          <w:tab w:pos="4397" w:val="left" w:leader="none"/>
          <w:tab w:pos="5258" w:val="left" w:leader="none"/>
          <w:tab w:pos="6158" w:val="left" w:leader="none"/>
          <w:tab w:pos="6961" w:val="left" w:leader="none"/>
        </w:tabs>
        <w:spacing w:before="0"/>
        <w:ind w:left="664" w:right="0" w:firstLine="0"/>
        <w:jc w:val="left"/>
        <w:rPr>
          <w:sz w:val="13"/>
        </w:rPr>
      </w:pPr>
      <w:r>
        <w:rPr>
          <w:b/>
          <w:w w:val="105"/>
          <w:sz w:val="13"/>
        </w:rPr>
        <w:t>Total</w:t>
      </w:r>
      <w:r>
        <w:rPr>
          <w:b/>
          <w:spacing w:val="-2"/>
          <w:w w:val="105"/>
          <w:sz w:val="13"/>
        </w:rPr>
        <w:t> </w:t>
      </w:r>
      <w:r>
        <w:rPr>
          <w:b/>
          <w:w w:val="105"/>
          <w:sz w:val="13"/>
        </w:rPr>
        <w:t>for</w:t>
      </w:r>
      <w:r>
        <w:rPr>
          <w:b/>
          <w:spacing w:val="-2"/>
          <w:w w:val="105"/>
          <w:sz w:val="13"/>
        </w:rPr>
        <w:t> </w:t>
      </w:r>
      <w:r>
        <w:rPr>
          <w:b/>
          <w:w w:val="105"/>
          <w:sz w:val="13"/>
        </w:rPr>
        <w:t>all</w:t>
      </w:r>
      <w:r>
        <w:rPr>
          <w:b/>
          <w:spacing w:val="-2"/>
          <w:w w:val="105"/>
          <w:sz w:val="13"/>
        </w:rPr>
        <w:t> </w:t>
      </w:r>
      <w:r>
        <w:rPr>
          <w:b/>
          <w:w w:val="105"/>
          <w:sz w:val="13"/>
        </w:rPr>
        <w:t>types of</w:t>
      </w:r>
      <w:r>
        <w:rPr>
          <w:b/>
          <w:spacing w:val="-2"/>
          <w:w w:val="105"/>
          <w:sz w:val="13"/>
        </w:rPr>
        <w:t> support</w:t>
      </w:r>
      <w:r>
        <w:rPr>
          <w:b/>
          <w:sz w:val="13"/>
        </w:rPr>
        <w:tab/>
      </w:r>
      <w:r>
        <w:rPr>
          <w:spacing w:val="-2"/>
          <w:w w:val="105"/>
          <w:sz w:val="13"/>
        </w:rPr>
        <w:t>42,134</w:t>
      </w:r>
      <w:r>
        <w:rPr>
          <w:sz w:val="13"/>
        </w:rPr>
        <w:tab/>
      </w:r>
      <w:r>
        <w:rPr>
          <w:spacing w:val="-2"/>
          <w:w w:val="105"/>
          <w:sz w:val="13"/>
        </w:rPr>
        <w:t>43,798</w:t>
      </w:r>
      <w:r>
        <w:rPr>
          <w:sz w:val="13"/>
        </w:rPr>
        <w:tab/>
      </w:r>
      <w:r>
        <w:rPr>
          <w:spacing w:val="-2"/>
          <w:w w:val="105"/>
          <w:sz w:val="13"/>
        </w:rPr>
        <w:t>4,460</w:t>
      </w:r>
      <w:r>
        <w:rPr>
          <w:sz w:val="13"/>
        </w:rPr>
        <w:tab/>
      </w:r>
      <w:r>
        <w:rPr>
          <w:spacing w:val="-2"/>
          <w:w w:val="105"/>
          <w:sz w:val="13"/>
        </w:rPr>
        <w:t>3,609</w:t>
      </w:r>
    </w:p>
    <w:p>
      <w:pPr>
        <w:spacing w:line="240" w:lineRule="auto" w:before="30"/>
        <w:rPr>
          <w:sz w:val="13"/>
        </w:rPr>
      </w:pPr>
    </w:p>
    <w:p>
      <w:pPr>
        <w:spacing w:line="288" w:lineRule="auto" w:before="0"/>
        <w:ind w:left="4274" w:right="8295" w:firstLine="487"/>
        <w:jc w:val="left"/>
        <w:rPr>
          <w:b/>
          <w:sz w:val="13"/>
        </w:rPr>
      </w:pPr>
      <w:r>
        <w:rPr>
          <w:b/>
          <w:spacing w:val="-2"/>
          <w:w w:val="105"/>
          <w:sz w:val="13"/>
        </w:rPr>
        <w:t>University</w:t>
      </w:r>
      <w:r>
        <w:rPr>
          <w:b/>
          <w:spacing w:val="40"/>
          <w:w w:val="105"/>
          <w:sz w:val="13"/>
        </w:rPr>
        <w:t> </w:t>
      </w:r>
      <w:r>
        <w:rPr>
          <w:b/>
          <w:w w:val="105"/>
          <w:sz w:val="13"/>
        </w:rPr>
        <w:t>Linkage</w:t>
      </w:r>
      <w:r>
        <w:rPr>
          <w:b/>
          <w:spacing w:val="-2"/>
          <w:w w:val="105"/>
          <w:sz w:val="13"/>
        </w:rPr>
        <w:t> </w:t>
      </w:r>
      <w:r>
        <w:rPr>
          <w:b/>
          <w:w w:val="105"/>
          <w:sz w:val="13"/>
        </w:rPr>
        <w:t>Infrastructure,</w:t>
      </w:r>
      <w:r>
        <w:rPr>
          <w:b/>
          <w:spacing w:val="40"/>
          <w:w w:val="105"/>
          <w:sz w:val="13"/>
        </w:rPr>
        <w:t> </w:t>
      </w:r>
      <w:r>
        <w:rPr>
          <w:b/>
          <w:w w:val="105"/>
          <w:sz w:val="13"/>
        </w:rPr>
        <w:t>Equipment</w:t>
      </w:r>
      <w:r>
        <w:rPr>
          <w:b/>
          <w:spacing w:val="-10"/>
          <w:w w:val="105"/>
          <w:sz w:val="13"/>
        </w:rPr>
        <w:t> </w:t>
      </w:r>
      <w:r>
        <w:rPr>
          <w:b/>
          <w:w w:val="105"/>
          <w:sz w:val="13"/>
        </w:rPr>
        <w:t>and</w:t>
      </w:r>
      <w:r>
        <w:rPr>
          <w:b/>
          <w:spacing w:val="-8"/>
          <w:w w:val="105"/>
          <w:sz w:val="13"/>
        </w:rPr>
        <w:t> </w:t>
      </w:r>
      <w:r>
        <w:rPr>
          <w:b/>
          <w:w w:val="105"/>
          <w:sz w:val="13"/>
        </w:rPr>
        <w:t>Facilities</w:t>
      </w:r>
    </w:p>
    <w:p>
      <w:pPr>
        <w:spacing w:line="147" w:lineRule="exact" w:before="0"/>
        <w:ind w:left="0" w:right="4016" w:firstLine="0"/>
        <w:jc w:val="center"/>
        <w:rPr>
          <w:b/>
          <w:sz w:val="13"/>
        </w:rPr>
      </w:pPr>
      <w:r>
        <w:rPr>
          <w:b/>
          <w:spacing w:val="-2"/>
          <w:w w:val="105"/>
          <w:sz w:val="13"/>
        </w:rPr>
        <w:t>Grant</w:t>
      </w:r>
    </w:p>
    <w:p>
      <w:pPr>
        <w:tabs>
          <w:tab w:pos="860" w:val="left" w:leader="none"/>
        </w:tabs>
        <w:spacing w:before="33"/>
        <w:ind w:left="0" w:right="4069" w:firstLine="0"/>
        <w:jc w:val="center"/>
        <w:rPr>
          <w:b/>
          <w:sz w:val="13"/>
        </w:rPr>
      </w:pPr>
      <w:r>
        <w:rPr>
          <w:b/>
          <w:spacing w:val="-4"/>
          <w:w w:val="105"/>
          <w:sz w:val="13"/>
        </w:rPr>
        <w:t>2020</w:t>
      </w:r>
      <w:r>
        <w:rPr>
          <w:b/>
          <w:sz w:val="13"/>
        </w:rPr>
        <w:tab/>
      </w:r>
      <w:r>
        <w:rPr>
          <w:b/>
          <w:spacing w:val="-4"/>
          <w:w w:val="105"/>
          <w:sz w:val="13"/>
        </w:rPr>
        <w:t>2019</w:t>
      </w:r>
    </w:p>
    <w:p>
      <w:pPr>
        <w:pStyle w:val="ListParagraph"/>
        <w:numPr>
          <w:ilvl w:val="0"/>
          <w:numId w:val="48"/>
        </w:numPr>
        <w:tabs>
          <w:tab w:pos="560" w:val="left" w:leader="none"/>
          <w:tab w:pos="3732" w:val="left" w:leader="none"/>
          <w:tab w:pos="4358" w:val="left" w:leader="none"/>
          <w:tab w:pos="5219" w:val="left" w:leader="none"/>
          <w:tab w:pos="5844" w:val="left" w:leader="none"/>
        </w:tabs>
        <w:spacing w:line="240" w:lineRule="auto" w:before="21" w:after="0"/>
        <w:ind w:left="560" w:right="8143" w:hanging="560"/>
        <w:jc w:val="center"/>
        <w:rPr>
          <w:b/>
          <w:color w:val="0070C0"/>
          <w:sz w:val="13"/>
          <w:u w:val="single" w:color="000000"/>
        </w:rPr>
      </w:pPr>
      <w:r>
        <w:rPr>
          <w:b/>
          <w:color w:val="0070C0"/>
          <w:w w:val="105"/>
          <w:sz w:val="13"/>
          <w:u w:val="single" w:color="000000"/>
        </w:rPr>
        <w:t>Other</w:t>
      </w:r>
      <w:r>
        <w:rPr>
          <w:b/>
          <w:color w:val="0070C0"/>
          <w:spacing w:val="-2"/>
          <w:w w:val="105"/>
          <w:sz w:val="13"/>
          <w:u w:val="single" w:color="000000"/>
        </w:rPr>
        <w:t> </w:t>
      </w:r>
      <w:r>
        <w:rPr>
          <w:b/>
          <w:color w:val="0070C0"/>
          <w:w w:val="105"/>
          <w:sz w:val="13"/>
          <w:u w:val="single" w:color="000000"/>
        </w:rPr>
        <w:t>Capital</w:t>
      </w:r>
      <w:r>
        <w:rPr>
          <w:b/>
          <w:color w:val="0070C0"/>
          <w:spacing w:val="-2"/>
          <w:w w:val="105"/>
          <w:sz w:val="13"/>
          <w:u w:val="single" w:color="000000"/>
        </w:rPr>
        <w:t> Funding</w:t>
      </w:r>
      <w:r>
        <w:rPr>
          <w:b/>
          <w:color w:val="0070C0"/>
          <w:sz w:val="13"/>
          <w:u w:val="single" w:color="000000"/>
        </w:rPr>
        <w:tab/>
      </w:r>
      <w:r>
        <w:rPr>
          <w:b/>
          <w:spacing w:val="-4"/>
          <w:w w:val="105"/>
          <w:sz w:val="13"/>
          <w:u w:val="single"/>
        </w:rPr>
        <w:t>Note</w:t>
      </w:r>
      <w:r>
        <w:rPr>
          <w:b/>
          <w:sz w:val="13"/>
          <w:u w:val="single"/>
        </w:rPr>
        <w:tab/>
      </w:r>
      <w:r>
        <w:rPr>
          <w:b/>
          <w:spacing w:val="-2"/>
          <w:w w:val="105"/>
          <w:sz w:val="13"/>
          <w:u w:val="single"/>
        </w:rPr>
        <w:t>$'000</w:t>
      </w:r>
      <w:r>
        <w:rPr>
          <w:b/>
          <w:sz w:val="13"/>
          <w:u w:val="single"/>
        </w:rPr>
        <w:tab/>
      </w:r>
      <w:r>
        <w:rPr>
          <w:b/>
          <w:spacing w:val="-2"/>
          <w:w w:val="105"/>
          <w:sz w:val="13"/>
          <w:u w:val="single"/>
        </w:rPr>
        <w:t>$'000</w:t>
      </w:r>
      <w:r>
        <w:rPr>
          <w:b/>
          <w:sz w:val="13"/>
          <w:u w:val="single"/>
        </w:rPr>
        <w:tab/>
      </w:r>
    </w:p>
    <w:p>
      <w:pPr>
        <w:spacing w:line="240" w:lineRule="auto" w:before="29"/>
        <w:rPr>
          <w:b/>
          <w:sz w:val="13"/>
        </w:rPr>
      </w:pPr>
    </w:p>
    <w:p>
      <w:pPr>
        <w:spacing w:line="280" w:lineRule="auto" w:before="0"/>
        <w:ind w:left="664" w:right="10465" w:firstLine="0"/>
        <w:jc w:val="left"/>
        <w:rPr>
          <w:sz w:val="13"/>
        </w:rPr>
      </w:pPr>
      <w:r>
        <w:rPr>
          <w:w w:val="105"/>
          <w:sz w:val="13"/>
        </w:rPr>
        <w:t>Financial</w:t>
      </w:r>
      <w:r>
        <w:rPr>
          <w:spacing w:val="-4"/>
          <w:w w:val="105"/>
          <w:sz w:val="13"/>
        </w:rPr>
        <w:t> </w:t>
      </w:r>
      <w:r>
        <w:rPr>
          <w:w w:val="105"/>
          <w:sz w:val="13"/>
        </w:rPr>
        <w:t>assistance received in CASH during the</w:t>
      </w:r>
      <w:r>
        <w:rPr>
          <w:spacing w:val="40"/>
          <w:w w:val="105"/>
          <w:sz w:val="13"/>
        </w:rPr>
        <w:t> </w:t>
      </w:r>
      <w:r>
        <w:rPr>
          <w:w w:val="105"/>
          <w:sz w:val="13"/>
        </w:rPr>
        <w:t>reporting period (total cash received from the</w:t>
      </w:r>
    </w:p>
    <w:p>
      <w:pPr>
        <w:tabs>
          <w:tab w:pos="4610" w:val="left" w:leader="none"/>
          <w:tab w:pos="5876" w:val="right" w:leader="none"/>
        </w:tabs>
        <w:spacing w:before="3"/>
        <w:ind w:left="664" w:right="0" w:firstLine="0"/>
        <w:jc w:val="left"/>
        <w:rPr>
          <w:sz w:val="13"/>
        </w:rPr>
      </w:pPr>
      <w:r>
        <w:rPr>
          <w:sz w:val="13"/>
        </w:rPr>
        <w:t>Australian</w:t>
      </w:r>
      <w:r>
        <w:rPr>
          <w:spacing w:val="23"/>
          <w:sz w:val="13"/>
        </w:rPr>
        <w:t> </w:t>
      </w:r>
      <w:r>
        <w:rPr>
          <w:sz w:val="13"/>
        </w:rPr>
        <w:t>Government</w:t>
      </w:r>
      <w:r>
        <w:rPr>
          <w:spacing w:val="21"/>
          <w:sz w:val="13"/>
        </w:rPr>
        <w:t> </w:t>
      </w:r>
      <w:r>
        <w:rPr>
          <w:sz w:val="13"/>
        </w:rPr>
        <w:t>for</w:t>
      </w:r>
      <w:r>
        <w:rPr>
          <w:spacing w:val="20"/>
          <w:sz w:val="13"/>
        </w:rPr>
        <w:t> </w:t>
      </w:r>
      <w:r>
        <w:rPr>
          <w:sz w:val="13"/>
        </w:rPr>
        <w:t>the</w:t>
      </w:r>
      <w:r>
        <w:rPr>
          <w:spacing w:val="24"/>
          <w:sz w:val="13"/>
        </w:rPr>
        <w:t> </w:t>
      </w:r>
      <w:r>
        <w:rPr>
          <w:spacing w:val="-2"/>
          <w:sz w:val="13"/>
        </w:rPr>
        <w:t>programs)</w:t>
      </w:r>
      <w:r>
        <w:rPr>
          <w:sz w:val="13"/>
        </w:rPr>
        <w:tab/>
      </w:r>
      <w:r>
        <w:rPr>
          <w:spacing w:val="-2"/>
          <w:sz w:val="13"/>
        </w:rPr>
        <w:t>2,819</w:t>
      </w:r>
      <w:r>
        <w:rPr>
          <w:sz w:val="13"/>
        </w:rPr>
        <w:tab/>
      </w:r>
      <w:r>
        <w:rPr>
          <w:spacing w:val="-5"/>
          <w:sz w:val="13"/>
        </w:rPr>
        <w:t>415</w:t>
      </w:r>
    </w:p>
    <w:p>
      <w:pPr>
        <w:tabs>
          <w:tab w:pos="4224" w:val="left" w:leader="none"/>
          <w:tab w:pos="4920" w:val="left" w:leader="none"/>
          <w:tab w:pos="5838" w:val="left" w:leader="none"/>
        </w:tabs>
        <w:spacing w:before="20"/>
        <w:ind w:left="664" w:right="0" w:firstLine="0"/>
        <w:jc w:val="left"/>
        <w:rPr>
          <w:sz w:val="13"/>
        </w:rPr>
      </w:pPr>
      <w:r>
        <w:rPr>
          <w:w w:val="105"/>
          <w:sz w:val="13"/>
        </w:rPr>
        <w:t>Net accrual</w:t>
      </w:r>
      <w:r>
        <w:rPr>
          <w:spacing w:val="-1"/>
          <w:w w:val="105"/>
          <w:sz w:val="13"/>
        </w:rPr>
        <w:t> </w:t>
      </w:r>
      <w:r>
        <w:rPr>
          <w:spacing w:val="-2"/>
          <w:w w:val="105"/>
          <w:sz w:val="13"/>
        </w:rPr>
        <w:t>adjustments</w:t>
      </w:r>
      <w:r>
        <w:rPr>
          <w:sz w:val="13"/>
        </w:rPr>
        <w:tab/>
      </w:r>
      <w:r>
        <w:rPr>
          <w:sz w:val="13"/>
          <w:u w:val="single"/>
        </w:rPr>
        <w:tab/>
      </w:r>
      <w:r>
        <w:rPr>
          <w:spacing w:val="-10"/>
          <w:w w:val="105"/>
          <w:sz w:val="13"/>
          <w:u w:val="single"/>
        </w:rPr>
        <w:t>-</w:t>
      </w:r>
      <w:r>
        <w:rPr>
          <w:sz w:val="13"/>
          <w:u w:val="single"/>
        </w:rPr>
        <w:tab/>
      </w:r>
      <w:r>
        <w:rPr>
          <w:spacing w:val="-10"/>
          <w:w w:val="105"/>
          <w:sz w:val="13"/>
          <w:u w:val="single"/>
        </w:rPr>
        <w:t>-</w:t>
      </w:r>
      <w:r>
        <w:rPr>
          <w:spacing w:val="80"/>
          <w:w w:val="105"/>
          <w:sz w:val="13"/>
          <w:u w:val="single"/>
        </w:rPr>
        <w:t> </w:t>
      </w:r>
    </w:p>
    <w:p>
      <w:pPr>
        <w:tabs>
          <w:tab w:pos="3814" w:val="left" w:leader="none"/>
          <w:tab w:pos="4610" w:val="left" w:leader="none"/>
          <w:tab w:pos="5876" w:val="right" w:leader="none"/>
        </w:tabs>
        <w:spacing w:before="21"/>
        <w:ind w:left="664" w:right="0" w:firstLine="0"/>
        <w:jc w:val="left"/>
        <w:rPr>
          <w:sz w:val="13"/>
        </w:rPr>
      </w:pPr>
      <w:r>
        <w:rPr>
          <w:sz w:val="13"/>
        </w:rPr>
        <w:t>Revenue</w:t>
      </w:r>
      <w:r>
        <w:rPr>
          <w:spacing w:val="18"/>
          <w:sz w:val="13"/>
        </w:rPr>
        <w:t> </w:t>
      </w:r>
      <w:r>
        <w:rPr>
          <w:sz w:val="13"/>
        </w:rPr>
        <w:t>for</w:t>
      </w:r>
      <w:r>
        <w:rPr>
          <w:spacing w:val="16"/>
          <w:sz w:val="13"/>
        </w:rPr>
        <w:t> </w:t>
      </w:r>
      <w:r>
        <w:rPr>
          <w:sz w:val="13"/>
        </w:rPr>
        <w:t>the</w:t>
      </w:r>
      <w:r>
        <w:rPr>
          <w:spacing w:val="19"/>
          <w:sz w:val="13"/>
        </w:rPr>
        <w:t> </w:t>
      </w:r>
      <w:r>
        <w:rPr>
          <w:spacing w:val="-2"/>
          <w:sz w:val="13"/>
        </w:rPr>
        <w:t>period</w:t>
      </w:r>
      <w:r>
        <w:rPr>
          <w:sz w:val="13"/>
        </w:rPr>
        <w:tab/>
      </w:r>
      <w:r>
        <w:rPr>
          <w:spacing w:val="-2"/>
          <w:sz w:val="13"/>
        </w:rPr>
        <w:t>2.1(c)</w:t>
      </w:r>
      <w:r>
        <w:rPr>
          <w:sz w:val="13"/>
        </w:rPr>
        <w:tab/>
      </w:r>
      <w:r>
        <w:rPr>
          <w:spacing w:val="-2"/>
          <w:sz w:val="13"/>
        </w:rPr>
        <w:t>2,819</w:t>
      </w:r>
      <w:r>
        <w:rPr>
          <w:sz w:val="13"/>
        </w:rPr>
        <w:tab/>
      </w:r>
      <w:r>
        <w:rPr>
          <w:spacing w:val="-5"/>
          <w:sz w:val="13"/>
        </w:rPr>
        <w:t>415</w:t>
      </w:r>
    </w:p>
    <w:p>
      <w:pPr>
        <w:tabs>
          <w:tab w:pos="4224" w:val="left" w:leader="none"/>
          <w:tab w:pos="4725" w:val="left" w:leader="none"/>
          <w:tab w:pos="5643" w:val="left" w:leader="none"/>
        </w:tabs>
        <w:spacing w:before="191"/>
        <w:ind w:left="664" w:right="0" w:firstLine="0"/>
        <w:jc w:val="left"/>
        <w:rPr>
          <w:sz w:val="13"/>
        </w:rPr>
      </w:pPr>
      <w:r>
        <w:rPr>
          <w:w w:val="105"/>
          <w:sz w:val="13"/>
        </w:rPr>
        <w:t>Surplus/(deficit)</w:t>
      </w:r>
      <w:r>
        <w:rPr>
          <w:spacing w:val="-4"/>
          <w:w w:val="105"/>
          <w:sz w:val="13"/>
        </w:rPr>
        <w:t> </w:t>
      </w:r>
      <w:r>
        <w:rPr>
          <w:w w:val="105"/>
          <w:sz w:val="13"/>
        </w:rPr>
        <w:t>from</w:t>
      </w:r>
      <w:r>
        <w:rPr>
          <w:spacing w:val="-1"/>
          <w:w w:val="105"/>
          <w:sz w:val="13"/>
        </w:rPr>
        <w:t> </w:t>
      </w:r>
      <w:r>
        <w:rPr>
          <w:w w:val="105"/>
          <w:sz w:val="13"/>
        </w:rPr>
        <w:t>the</w:t>
      </w:r>
      <w:r>
        <w:rPr>
          <w:spacing w:val="-2"/>
          <w:w w:val="105"/>
          <w:sz w:val="13"/>
        </w:rPr>
        <w:t> </w:t>
      </w:r>
      <w:r>
        <w:rPr>
          <w:w w:val="105"/>
          <w:sz w:val="13"/>
        </w:rPr>
        <w:t>previous</w:t>
      </w:r>
      <w:r>
        <w:rPr>
          <w:spacing w:val="-2"/>
          <w:w w:val="105"/>
          <w:sz w:val="13"/>
        </w:rPr>
        <w:t> </w:t>
      </w:r>
      <w:r>
        <w:rPr>
          <w:spacing w:val="-4"/>
          <w:w w:val="105"/>
          <w:sz w:val="13"/>
        </w:rPr>
        <w:t>year</w:t>
      </w:r>
      <w:r>
        <w:rPr>
          <w:sz w:val="13"/>
        </w:rPr>
        <w:tab/>
      </w:r>
      <w:r>
        <w:rPr>
          <w:sz w:val="13"/>
          <w:u w:val="single"/>
        </w:rPr>
        <w:tab/>
      </w:r>
      <w:r>
        <w:rPr>
          <w:spacing w:val="-5"/>
          <w:w w:val="105"/>
          <w:sz w:val="13"/>
          <w:u w:val="single"/>
        </w:rPr>
        <w:t>177</w:t>
      </w:r>
      <w:r>
        <w:rPr>
          <w:sz w:val="13"/>
          <w:u w:val="single"/>
        </w:rPr>
        <w:tab/>
      </w:r>
      <w:r>
        <w:rPr>
          <w:spacing w:val="-5"/>
          <w:w w:val="105"/>
          <w:sz w:val="13"/>
          <w:u w:val="single"/>
        </w:rPr>
        <w:t>511</w:t>
      </w:r>
      <w:r>
        <w:rPr>
          <w:spacing w:val="80"/>
          <w:w w:val="105"/>
          <w:sz w:val="13"/>
          <w:u w:val="single"/>
        </w:rPr>
        <w:t> </w:t>
      </w:r>
    </w:p>
    <w:p>
      <w:pPr>
        <w:tabs>
          <w:tab w:pos="4610" w:val="left" w:leader="none"/>
          <w:tab w:pos="5876" w:val="right" w:leader="none"/>
        </w:tabs>
        <w:spacing w:before="20"/>
        <w:ind w:left="664" w:right="0" w:firstLine="0"/>
        <w:jc w:val="left"/>
        <w:rPr>
          <w:sz w:val="13"/>
        </w:rPr>
      </w:pPr>
      <w:r>
        <w:rPr>
          <w:sz w:val="13"/>
        </w:rPr>
        <w:t>Total</w:t>
      </w:r>
      <w:r>
        <w:rPr>
          <w:spacing w:val="18"/>
          <w:sz w:val="13"/>
        </w:rPr>
        <w:t> </w:t>
      </w:r>
      <w:r>
        <w:rPr>
          <w:sz w:val="13"/>
        </w:rPr>
        <w:t>revenue</w:t>
      </w:r>
      <w:r>
        <w:rPr>
          <w:spacing w:val="25"/>
          <w:sz w:val="13"/>
        </w:rPr>
        <w:t> </w:t>
      </w:r>
      <w:r>
        <w:rPr>
          <w:sz w:val="13"/>
        </w:rPr>
        <w:t>including</w:t>
      </w:r>
      <w:r>
        <w:rPr>
          <w:spacing w:val="24"/>
          <w:sz w:val="13"/>
        </w:rPr>
        <w:t> </w:t>
      </w:r>
      <w:r>
        <w:rPr>
          <w:sz w:val="13"/>
        </w:rPr>
        <w:t>accrued</w:t>
      </w:r>
      <w:r>
        <w:rPr>
          <w:spacing w:val="25"/>
          <w:sz w:val="13"/>
        </w:rPr>
        <w:t> </w:t>
      </w:r>
      <w:r>
        <w:rPr>
          <w:spacing w:val="-2"/>
          <w:sz w:val="13"/>
        </w:rPr>
        <w:t>revenue</w:t>
      </w:r>
      <w:r>
        <w:rPr>
          <w:sz w:val="13"/>
        </w:rPr>
        <w:tab/>
      </w:r>
      <w:r>
        <w:rPr>
          <w:spacing w:val="-2"/>
          <w:sz w:val="13"/>
        </w:rPr>
        <w:t>2,996</w:t>
      </w:r>
      <w:r>
        <w:rPr>
          <w:sz w:val="13"/>
        </w:rPr>
        <w:tab/>
      </w:r>
      <w:r>
        <w:rPr>
          <w:spacing w:val="-5"/>
          <w:sz w:val="13"/>
        </w:rPr>
        <w:t>926</w:t>
      </w:r>
    </w:p>
    <w:p>
      <w:pPr>
        <w:tabs>
          <w:tab w:pos="4224" w:val="left" w:leader="none"/>
          <w:tab w:pos="4564" w:val="left" w:leader="none"/>
          <w:tab w:pos="4610" w:val="left" w:leader="none"/>
          <w:tab w:pos="5598" w:val="left" w:leader="none"/>
          <w:tab w:pos="5643" w:val="left" w:leader="none"/>
        </w:tabs>
        <w:spacing w:line="273" w:lineRule="auto" w:before="21"/>
        <w:ind w:left="664" w:right="8247" w:firstLine="0"/>
        <w:jc w:val="left"/>
        <w:rPr>
          <w:sz w:val="13"/>
        </w:rPr>
      </w:pPr>
      <w:r>
        <w:rPr>
          <w:w w:val="105"/>
          <w:sz w:val="13"/>
        </w:rPr>
        <w:t>Less expenses including accrued expenses</w:t>
      </w:r>
      <w:r>
        <w:rPr>
          <w:sz w:val="13"/>
        </w:rPr>
        <w:tab/>
      </w:r>
      <w:r>
        <w:rPr>
          <w:sz w:val="13"/>
          <w:u w:val="single"/>
        </w:rPr>
        <w:tab/>
      </w:r>
      <w:r>
        <w:rPr>
          <w:spacing w:val="-2"/>
          <w:w w:val="105"/>
          <w:sz w:val="13"/>
          <w:u w:val="single"/>
        </w:rPr>
        <w:t>(1,590)</w:t>
      </w:r>
      <w:r>
        <w:rPr>
          <w:sz w:val="13"/>
          <w:u w:val="single"/>
        </w:rPr>
        <w:tab/>
      </w:r>
      <w:r>
        <w:rPr>
          <w:spacing w:val="-2"/>
          <w:w w:val="105"/>
          <w:sz w:val="13"/>
          <w:u w:val="single"/>
        </w:rPr>
        <w:t>(749)</w:t>
      </w:r>
      <w:r>
        <w:rPr>
          <w:spacing w:val="40"/>
          <w:w w:val="105"/>
          <w:sz w:val="13"/>
          <w:u w:val="none"/>
        </w:rPr>
        <w:t> </w:t>
      </w:r>
      <w:r>
        <w:rPr>
          <w:w w:val="105"/>
          <w:sz w:val="13"/>
          <w:u w:val="none"/>
        </w:rPr>
        <w:t>Surplus/(deficit) for the reporting period</w:t>
      </w:r>
      <w:r>
        <w:rPr>
          <w:sz w:val="13"/>
          <w:u w:val="none"/>
        </w:rPr>
        <w:tab/>
      </w:r>
      <w:r>
        <w:rPr>
          <w:sz w:val="13"/>
          <w:u w:val="single"/>
        </w:rPr>
        <w:tab/>
        <w:tab/>
      </w:r>
      <w:r>
        <w:rPr>
          <w:spacing w:val="-4"/>
          <w:w w:val="105"/>
          <w:sz w:val="13"/>
          <w:u w:val="single"/>
        </w:rPr>
        <w:t>1,406</w:t>
      </w:r>
      <w:r>
        <w:rPr>
          <w:sz w:val="13"/>
          <w:u w:val="single"/>
        </w:rPr>
        <w:tab/>
        <w:tab/>
      </w:r>
      <w:r>
        <w:rPr>
          <w:spacing w:val="-4"/>
          <w:w w:val="105"/>
          <w:sz w:val="13"/>
          <w:u w:val="single"/>
        </w:rPr>
        <w:t>177</w:t>
      </w:r>
      <w:r>
        <w:rPr>
          <w:spacing w:val="80"/>
          <w:w w:val="105"/>
          <w:sz w:val="13"/>
          <w:u w:val="single"/>
        </w:rPr>
        <w:t> </w:t>
      </w:r>
    </w:p>
    <w:p>
      <w:pPr>
        <w:spacing w:before="170"/>
        <w:ind w:left="808" w:right="0" w:firstLine="0"/>
        <w:jc w:val="center"/>
        <w:rPr>
          <w:b/>
          <w:sz w:val="13"/>
        </w:rPr>
      </w:pPr>
      <w:r>
        <w:rPr>
          <w:b/>
          <w:spacing w:val="-2"/>
          <w:w w:val="105"/>
          <w:sz w:val="13"/>
        </w:rPr>
        <w:t>University</w:t>
      </w:r>
    </w:p>
    <w:p>
      <w:pPr>
        <w:tabs>
          <w:tab w:pos="2381" w:val="left" w:leader="none"/>
          <w:tab w:pos="3597" w:val="left" w:leader="none"/>
          <w:tab w:pos="5729" w:val="left" w:leader="none"/>
        </w:tabs>
        <w:spacing w:before="28"/>
        <w:ind w:left="692" w:right="0" w:firstLine="0"/>
        <w:jc w:val="center"/>
        <w:rPr>
          <w:b/>
          <w:sz w:val="13"/>
        </w:rPr>
      </w:pPr>
      <w:r>
        <w:rPr>
          <w:b/>
          <w:spacing w:val="-2"/>
          <w:w w:val="105"/>
          <w:sz w:val="13"/>
        </w:rPr>
        <w:t>Discovery</w:t>
      </w:r>
      <w:r>
        <w:rPr>
          <w:b/>
          <w:sz w:val="13"/>
        </w:rPr>
        <w:tab/>
      </w:r>
      <w:r>
        <w:rPr>
          <w:b/>
          <w:spacing w:val="-2"/>
          <w:w w:val="105"/>
          <w:sz w:val="13"/>
        </w:rPr>
        <w:t>Linkages</w:t>
      </w:r>
      <w:r>
        <w:rPr>
          <w:b/>
          <w:sz w:val="13"/>
        </w:rPr>
        <w:tab/>
      </w:r>
      <w:r>
        <w:rPr>
          <w:b/>
          <w:w w:val="105"/>
          <w:sz w:val="13"/>
        </w:rPr>
        <w:t>Network and</w:t>
      </w:r>
      <w:r>
        <w:rPr>
          <w:b/>
          <w:spacing w:val="1"/>
          <w:w w:val="105"/>
          <w:sz w:val="13"/>
        </w:rPr>
        <w:t> </w:t>
      </w:r>
      <w:r>
        <w:rPr>
          <w:b/>
          <w:spacing w:val="-2"/>
          <w:w w:val="105"/>
          <w:sz w:val="13"/>
        </w:rPr>
        <w:t>Centres</w:t>
      </w:r>
      <w:r>
        <w:rPr>
          <w:b/>
          <w:sz w:val="13"/>
        </w:rPr>
        <w:tab/>
      </w:r>
      <w:r>
        <w:rPr>
          <w:b/>
          <w:spacing w:val="-2"/>
          <w:w w:val="105"/>
          <w:sz w:val="13"/>
        </w:rPr>
        <w:t>Total</w:t>
      </w:r>
    </w:p>
    <w:p>
      <w:pPr>
        <w:spacing w:line="240" w:lineRule="auto" w:before="4" w:after="0"/>
        <w:rPr>
          <w:b/>
          <w:sz w:val="11"/>
        </w:rPr>
      </w:pPr>
    </w:p>
    <w:tbl>
      <w:tblPr>
        <w:tblW w:w="0" w:type="auto"/>
        <w:jc w:val="left"/>
        <w:tblInd w:w="1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34"/>
        <w:gridCol w:w="3311"/>
        <w:gridCol w:w="476"/>
        <w:gridCol w:w="940"/>
        <w:gridCol w:w="890"/>
        <w:gridCol w:w="804"/>
        <w:gridCol w:w="804"/>
        <w:gridCol w:w="804"/>
        <w:gridCol w:w="804"/>
        <w:gridCol w:w="804"/>
        <w:gridCol w:w="699"/>
      </w:tblGrid>
      <w:tr>
        <w:trPr>
          <w:trHeight w:val="211" w:hRule="atLeast"/>
        </w:trPr>
        <w:tc>
          <w:tcPr>
            <w:tcW w:w="4121" w:type="dxa"/>
            <w:gridSpan w:val="3"/>
          </w:tcPr>
          <w:p>
            <w:pPr>
              <w:pStyle w:val="TableParagraph"/>
              <w:rPr>
                <w:rFonts w:ascii="Times New Roman"/>
                <w:sz w:val="14"/>
              </w:rPr>
            </w:pPr>
          </w:p>
        </w:tc>
        <w:tc>
          <w:tcPr>
            <w:tcW w:w="940" w:type="dxa"/>
          </w:tcPr>
          <w:p>
            <w:pPr>
              <w:pStyle w:val="TableParagraph"/>
              <w:spacing w:line="139" w:lineRule="exact" w:before="52"/>
              <w:ind w:left="252"/>
              <w:rPr>
                <w:b/>
                <w:sz w:val="13"/>
              </w:rPr>
            </w:pPr>
            <w:r>
              <w:rPr>
                <w:b/>
                <w:spacing w:val="-4"/>
                <w:w w:val="105"/>
                <w:sz w:val="13"/>
              </w:rPr>
              <w:t>2020</w:t>
            </w:r>
          </w:p>
        </w:tc>
        <w:tc>
          <w:tcPr>
            <w:tcW w:w="890" w:type="dxa"/>
          </w:tcPr>
          <w:p>
            <w:pPr>
              <w:pStyle w:val="TableParagraph"/>
              <w:spacing w:line="139" w:lineRule="exact" w:before="52"/>
              <w:ind w:left="173"/>
              <w:rPr>
                <w:b/>
                <w:sz w:val="13"/>
              </w:rPr>
            </w:pPr>
            <w:r>
              <w:rPr>
                <w:b/>
                <w:spacing w:val="-4"/>
                <w:w w:val="105"/>
                <w:sz w:val="13"/>
              </w:rPr>
              <w:t>2019</w:t>
            </w:r>
          </w:p>
        </w:tc>
        <w:tc>
          <w:tcPr>
            <w:tcW w:w="804" w:type="dxa"/>
          </w:tcPr>
          <w:p>
            <w:pPr>
              <w:pStyle w:val="TableParagraph"/>
              <w:spacing w:line="139" w:lineRule="exact" w:before="52"/>
              <w:ind w:left="144"/>
              <w:rPr>
                <w:b/>
                <w:sz w:val="13"/>
              </w:rPr>
            </w:pPr>
            <w:r>
              <w:rPr>
                <w:b/>
                <w:spacing w:val="-4"/>
                <w:w w:val="105"/>
                <w:sz w:val="13"/>
              </w:rPr>
              <w:t>2020</w:t>
            </w:r>
          </w:p>
        </w:tc>
        <w:tc>
          <w:tcPr>
            <w:tcW w:w="804" w:type="dxa"/>
          </w:tcPr>
          <w:p>
            <w:pPr>
              <w:pStyle w:val="TableParagraph"/>
              <w:spacing w:line="139" w:lineRule="exact" w:before="52"/>
              <w:ind w:left="143"/>
              <w:rPr>
                <w:b/>
                <w:sz w:val="13"/>
              </w:rPr>
            </w:pPr>
            <w:r>
              <w:rPr>
                <w:b/>
                <w:spacing w:val="-4"/>
                <w:w w:val="105"/>
                <w:sz w:val="13"/>
              </w:rPr>
              <w:t>2019</w:t>
            </w:r>
          </w:p>
        </w:tc>
        <w:tc>
          <w:tcPr>
            <w:tcW w:w="804" w:type="dxa"/>
          </w:tcPr>
          <w:p>
            <w:pPr>
              <w:pStyle w:val="TableParagraph"/>
              <w:spacing w:line="139" w:lineRule="exact" w:before="52"/>
              <w:ind w:left="142"/>
              <w:rPr>
                <w:b/>
                <w:sz w:val="13"/>
              </w:rPr>
            </w:pPr>
            <w:r>
              <w:rPr>
                <w:b/>
                <w:spacing w:val="-4"/>
                <w:w w:val="105"/>
                <w:sz w:val="13"/>
              </w:rPr>
              <w:t>2020</w:t>
            </w:r>
          </w:p>
        </w:tc>
        <w:tc>
          <w:tcPr>
            <w:tcW w:w="804" w:type="dxa"/>
          </w:tcPr>
          <w:p>
            <w:pPr>
              <w:pStyle w:val="TableParagraph"/>
              <w:spacing w:line="139" w:lineRule="exact" w:before="52"/>
              <w:ind w:left="141"/>
              <w:rPr>
                <w:b/>
                <w:sz w:val="13"/>
              </w:rPr>
            </w:pPr>
            <w:r>
              <w:rPr>
                <w:b/>
                <w:spacing w:val="-4"/>
                <w:w w:val="105"/>
                <w:sz w:val="13"/>
              </w:rPr>
              <w:t>2019</w:t>
            </w:r>
          </w:p>
        </w:tc>
        <w:tc>
          <w:tcPr>
            <w:tcW w:w="804" w:type="dxa"/>
          </w:tcPr>
          <w:p>
            <w:pPr>
              <w:pStyle w:val="TableParagraph"/>
              <w:spacing w:line="139" w:lineRule="exact" w:before="52"/>
              <w:ind w:left="140"/>
              <w:rPr>
                <w:b/>
                <w:sz w:val="13"/>
              </w:rPr>
            </w:pPr>
            <w:r>
              <w:rPr>
                <w:b/>
                <w:spacing w:val="-4"/>
                <w:w w:val="105"/>
                <w:sz w:val="13"/>
              </w:rPr>
              <w:t>2020</w:t>
            </w:r>
          </w:p>
        </w:tc>
        <w:tc>
          <w:tcPr>
            <w:tcW w:w="699" w:type="dxa"/>
          </w:tcPr>
          <w:p>
            <w:pPr>
              <w:pStyle w:val="TableParagraph"/>
              <w:spacing w:line="139" w:lineRule="exact" w:before="52"/>
              <w:ind w:left="139"/>
              <w:rPr>
                <w:b/>
                <w:sz w:val="13"/>
              </w:rPr>
            </w:pPr>
            <w:r>
              <w:rPr>
                <w:b/>
                <w:spacing w:val="-4"/>
                <w:w w:val="105"/>
                <w:sz w:val="13"/>
              </w:rPr>
              <w:t>2019</w:t>
            </w:r>
          </w:p>
        </w:tc>
      </w:tr>
      <w:tr>
        <w:trPr>
          <w:trHeight w:val="164" w:hRule="atLeast"/>
        </w:trPr>
        <w:tc>
          <w:tcPr>
            <w:tcW w:w="334" w:type="dxa"/>
            <w:tcBorders>
              <w:bottom w:val="single" w:sz="6" w:space="0" w:color="000000"/>
            </w:tcBorders>
          </w:tcPr>
          <w:p>
            <w:pPr>
              <w:pStyle w:val="TableParagraph"/>
              <w:spacing w:line="133" w:lineRule="exact" w:before="11"/>
              <w:ind w:left="17"/>
              <w:rPr>
                <w:b/>
                <w:sz w:val="13"/>
              </w:rPr>
            </w:pPr>
            <w:r>
              <w:rPr>
                <w:b/>
                <w:color w:val="0070C0"/>
                <w:spacing w:val="-5"/>
                <w:w w:val="105"/>
                <w:sz w:val="13"/>
              </w:rPr>
              <w:t>f)</w:t>
            </w:r>
          </w:p>
        </w:tc>
        <w:tc>
          <w:tcPr>
            <w:tcW w:w="3311" w:type="dxa"/>
            <w:tcBorders>
              <w:bottom w:val="single" w:sz="6" w:space="0" w:color="000000"/>
            </w:tcBorders>
          </w:tcPr>
          <w:p>
            <w:pPr>
              <w:pStyle w:val="TableParagraph"/>
              <w:spacing w:line="133" w:lineRule="exact" w:before="11"/>
              <w:ind w:left="226"/>
              <w:rPr>
                <w:b/>
                <w:sz w:val="13"/>
              </w:rPr>
            </w:pPr>
            <w:r>
              <w:rPr>
                <w:b/>
                <w:color w:val="0070C0"/>
                <w:w w:val="105"/>
                <w:sz w:val="13"/>
              </w:rPr>
              <w:t>Australian</w:t>
            </w:r>
            <w:r>
              <w:rPr>
                <w:b/>
                <w:color w:val="0070C0"/>
                <w:spacing w:val="-1"/>
                <w:w w:val="105"/>
                <w:sz w:val="13"/>
              </w:rPr>
              <w:t> </w:t>
            </w:r>
            <w:r>
              <w:rPr>
                <w:b/>
                <w:color w:val="0070C0"/>
                <w:w w:val="105"/>
                <w:sz w:val="13"/>
              </w:rPr>
              <w:t>Research Council</w:t>
            </w:r>
            <w:r>
              <w:rPr>
                <w:b/>
                <w:color w:val="0070C0"/>
                <w:spacing w:val="-2"/>
                <w:w w:val="105"/>
                <w:sz w:val="13"/>
              </w:rPr>
              <w:t> Grants</w:t>
            </w:r>
          </w:p>
        </w:tc>
        <w:tc>
          <w:tcPr>
            <w:tcW w:w="476" w:type="dxa"/>
            <w:tcBorders>
              <w:bottom w:val="single" w:sz="6" w:space="0" w:color="000000"/>
            </w:tcBorders>
          </w:tcPr>
          <w:p>
            <w:pPr>
              <w:pStyle w:val="TableParagraph"/>
              <w:spacing w:line="133" w:lineRule="exact" w:before="11"/>
              <w:ind w:left="12" w:right="7"/>
              <w:jc w:val="center"/>
              <w:rPr>
                <w:b/>
                <w:sz w:val="13"/>
              </w:rPr>
            </w:pPr>
            <w:r>
              <w:rPr>
                <w:b/>
                <w:spacing w:val="-4"/>
                <w:w w:val="105"/>
                <w:sz w:val="13"/>
              </w:rPr>
              <w:t>Note</w:t>
            </w:r>
          </w:p>
        </w:tc>
        <w:tc>
          <w:tcPr>
            <w:tcW w:w="940" w:type="dxa"/>
            <w:tcBorders>
              <w:bottom w:val="single" w:sz="6" w:space="0" w:color="000000"/>
            </w:tcBorders>
          </w:tcPr>
          <w:p>
            <w:pPr>
              <w:pStyle w:val="TableParagraph"/>
              <w:spacing w:line="133" w:lineRule="exact" w:before="11"/>
              <w:ind w:left="237"/>
              <w:rPr>
                <w:b/>
                <w:sz w:val="13"/>
              </w:rPr>
            </w:pPr>
            <w:r>
              <w:rPr>
                <w:b/>
                <w:spacing w:val="-2"/>
                <w:w w:val="105"/>
                <w:sz w:val="13"/>
              </w:rPr>
              <w:t>$'000</w:t>
            </w:r>
          </w:p>
        </w:tc>
        <w:tc>
          <w:tcPr>
            <w:tcW w:w="890" w:type="dxa"/>
            <w:tcBorders>
              <w:bottom w:val="single" w:sz="6" w:space="0" w:color="000000"/>
            </w:tcBorders>
          </w:tcPr>
          <w:p>
            <w:pPr>
              <w:pStyle w:val="TableParagraph"/>
              <w:spacing w:line="133" w:lineRule="exact" w:before="11"/>
              <w:ind w:left="158"/>
              <w:rPr>
                <w:b/>
                <w:sz w:val="13"/>
              </w:rPr>
            </w:pPr>
            <w:r>
              <w:rPr>
                <w:b/>
                <w:spacing w:val="-2"/>
                <w:w w:val="105"/>
                <w:sz w:val="13"/>
              </w:rPr>
              <w:t>$'000</w:t>
            </w:r>
          </w:p>
        </w:tc>
        <w:tc>
          <w:tcPr>
            <w:tcW w:w="804" w:type="dxa"/>
            <w:tcBorders>
              <w:bottom w:val="single" w:sz="6" w:space="0" w:color="000000"/>
            </w:tcBorders>
          </w:tcPr>
          <w:p>
            <w:pPr>
              <w:pStyle w:val="TableParagraph"/>
              <w:spacing w:line="133" w:lineRule="exact" w:before="11"/>
              <w:ind w:left="129"/>
              <w:rPr>
                <w:b/>
                <w:sz w:val="13"/>
              </w:rPr>
            </w:pPr>
            <w:r>
              <w:rPr>
                <w:b/>
                <w:spacing w:val="-2"/>
                <w:w w:val="105"/>
                <w:sz w:val="13"/>
              </w:rPr>
              <w:t>$'000</w:t>
            </w:r>
          </w:p>
        </w:tc>
        <w:tc>
          <w:tcPr>
            <w:tcW w:w="804" w:type="dxa"/>
            <w:tcBorders>
              <w:bottom w:val="single" w:sz="6" w:space="0" w:color="000000"/>
            </w:tcBorders>
          </w:tcPr>
          <w:p>
            <w:pPr>
              <w:pStyle w:val="TableParagraph"/>
              <w:spacing w:line="133" w:lineRule="exact" w:before="11"/>
              <w:ind w:left="128"/>
              <w:rPr>
                <w:b/>
                <w:sz w:val="13"/>
              </w:rPr>
            </w:pPr>
            <w:r>
              <w:rPr>
                <w:b/>
                <w:spacing w:val="-2"/>
                <w:w w:val="105"/>
                <w:sz w:val="13"/>
              </w:rPr>
              <w:t>$'000</w:t>
            </w:r>
          </w:p>
        </w:tc>
        <w:tc>
          <w:tcPr>
            <w:tcW w:w="804" w:type="dxa"/>
            <w:tcBorders>
              <w:bottom w:val="single" w:sz="6" w:space="0" w:color="000000"/>
            </w:tcBorders>
          </w:tcPr>
          <w:p>
            <w:pPr>
              <w:pStyle w:val="TableParagraph"/>
              <w:spacing w:line="133" w:lineRule="exact" w:before="11"/>
              <w:ind w:left="127"/>
              <w:rPr>
                <w:b/>
                <w:sz w:val="13"/>
              </w:rPr>
            </w:pPr>
            <w:r>
              <w:rPr>
                <w:b/>
                <w:spacing w:val="-2"/>
                <w:w w:val="105"/>
                <w:sz w:val="13"/>
              </w:rPr>
              <w:t>$'000</w:t>
            </w:r>
          </w:p>
        </w:tc>
        <w:tc>
          <w:tcPr>
            <w:tcW w:w="804" w:type="dxa"/>
            <w:tcBorders>
              <w:bottom w:val="single" w:sz="6" w:space="0" w:color="000000"/>
            </w:tcBorders>
          </w:tcPr>
          <w:p>
            <w:pPr>
              <w:pStyle w:val="TableParagraph"/>
              <w:spacing w:line="133" w:lineRule="exact" w:before="11"/>
              <w:ind w:left="126"/>
              <w:rPr>
                <w:b/>
                <w:sz w:val="13"/>
              </w:rPr>
            </w:pPr>
            <w:r>
              <w:rPr>
                <w:b/>
                <w:spacing w:val="-2"/>
                <w:w w:val="105"/>
                <w:sz w:val="13"/>
              </w:rPr>
              <w:t>$'000</w:t>
            </w:r>
          </w:p>
        </w:tc>
        <w:tc>
          <w:tcPr>
            <w:tcW w:w="804" w:type="dxa"/>
            <w:tcBorders>
              <w:bottom w:val="single" w:sz="6" w:space="0" w:color="000000"/>
            </w:tcBorders>
          </w:tcPr>
          <w:p>
            <w:pPr>
              <w:pStyle w:val="TableParagraph"/>
              <w:spacing w:line="133" w:lineRule="exact" w:before="11"/>
              <w:ind w:left="125"/>
              <w:rPr>
                <w:b/>
                <w:sz w:val="13"/>
              </w:rPr>
            </w:pPr>
            <w:r>
              <w:rPr>
                <w:b/>
                <w:spacing w:val="-2"/>
                <w:w w:val="105"/>
                <w:sz w:val="13"/>
              </w:rPr>
              <w:t>$'000</w:t>
            </w:r>
          </w:p>
        </w:tc>
        <w:tc>
          <w:tcPr>
            <w:tcW w:w="699" w:type="dxa"/>
            <w:tcBorders>
              <w:bottom w:val="single" w:sz="6" w:space="0" w:color="000000"/>
            </w:tcBorders>
          </w:tcPr>
          <w:p>
            <w:pPr>
              <w:pStyle w:val="TableParagraph"/>
              <w:spacing w:line="133" w:lineRule="exact" w:before="11"/>
              <w:ind w:left="124"/>
              <w:rPr>
                <w:b/>
                <w:sz w:val="13"/>
              </w:rPr>
            </w:pPr>
            <w:r>
              <w:rPr>
                <w:b/>
                <w:spacing w:val="-2"/>
                <w:w w:val="105"/>
                <w:sz w:val="13"/>
              </w:rPr>
              <w:t>$'000</w:t>
            </w:r>
          </w:p>
        </w:tc>
      </w:tr>
      <w:tr>
        <w:trPr>
          <w:trHeight w:val="671" w:hRule="atLeast"/>
        </w:trPr>
        <w:tc>
          <w:tcPr>
            <w:tcW w:w="334" w:type="dxa"/>
            <w:tcBorders>
              <w:top w:val="single" w:sz="6" w:space="0" w:color="000000"/>
            </w:tcBorders>
          </w:tcPr>
          <w:p>
            <w:pPr>
              <w:pStyle w:val="TableParagraph"/>
              <w:rPr>
                <w:rFonts w:ascii="Times New Roman"/>
                <w:sz w:val="14"/>
              </w:rPr>
            </w:pPr>
          </w:p>
        </w:tc>
        <w:tc>
          <w:tcPr>
            <w:tcW w:w="3311" w:type="dxa"/>
            <w:tcBorders>
              <w:top w:val="single" w:sz="6" w:space="0" w:color="000000"/>
            </w:tcBorders>
          </w:tcPr>
          <w:p>
            <w:pPr>
              <w:pStyle w:val="TableParagraph"/>
              <w:spacing w:line="170" w:lineRule="atLeast" w:before="139"/>
              <w:ind w:left="226"/>
              <w:rPr>
                <w:sz w:val="13"/>
              </w:rPr>
            </w:pPr>
            <w:r>
              <w:rPr>
                <w:w w:val="105"/>
                <w:sz w:val="13"/>
              </w:rPr>
              <w:t>Financial</w:t>
            </w:r>
            <w:r>
              <w:rPr>
                <w:spacing w:val="-5"/>
                <w:w w:val="105"/>
                <w:sz w:val="13"/>
              </w:rPr>
              <w:t> </w:t>
            </w:r>
            <w:r>
              <w:rPr>
                <w:w w:val="105"/>
                <w:sz w:val="13"/>
              </w:rPr>
              <w:t>assistance</w:t>
            </w:r>
            <w:r>
              <w:rPr>
                <w:spacing w:val="-1"/>
                <w:w w:val="105"/>
                <w:sz w:val="13"/>
              </w:rPr>
              <w:t> </w:t>
            </w:r>
            <w:r>
              <w:rPr>
                <w:w w:val="105"/>
                <w:sz w:val="13"/>
              </w:rPr>
              <w:t>received</w:t>
            </w:r>
            <w:r>
              <w:rPr>
                <w:spacing w:val="-1"/>
                <w:w w:val="105"/>
                <w:sz w:val="13"/>
              </w:rPr>
              <w:t> </w:t>
            </w:r>
            <w:r>
              <w:rPr>
                <w:w w:val="105"/>
                <w:sz w:val="13"/>
              </w:rPr>
              <w:t>in</w:t>
            </w:r>
            <w:r>
              <w:rPr>
                <w:spacing w:val="-1"/>
                <w:w w:val="105"/>
                <w:sz w:val="13"/>
              </w:rPr>
              <w:t> </w:t>
            </w:r>
            <w:r>
              <w:rPr>
                <w:w w:val="105"/>
                <w:sz w:val="13"/>
              </w:rPr>
              <w:t>CASH</w:t>
            </w:r>
            <w:r>
              <w:rPr>
                <w:spacing w:val="-1"/>
                <w:w w:val="105"/>
                <w:sz w:val="13"/>
              </w:rPr>
              <w:t> </w:t>
            </w:r>
            <w:r>
              <w:rPr>
                <w:w w:val="105"/>
                <w:sz w:val="13"/>
              </w:rPr>
              <w:t>during</w:t>
            </w:r>
            <w:r>
              <w:rPr>
                <w:spacing w:val="-1"/>
                <w:w w:val="105"/>
                <w:sz w:val="13"/>
              </w:rPr>
              <w:t> </w:t>
            </w:r>
            <w:r>
              <w:rPr>
                <w:w w:val="105"/>
                <w:sz w:val="13"/>
              </w:rPr>
              <w:t>the</w:t>
            </w:r>
            <w:r>
              <w:rPr>
                <w:spacing w:val="40"/>
                <w:w w:val="105"/>
                <w:sz w:val="13"/>
              </w:rPr>
              <w:t> </w:t>
            </w:r>
            <w:r>
              <w:rPr>
                <w:w w:val="105"/>
                <w:sz w:val="13"/>
              </w:rPr>
              <w:t>reporting period (total cash received from the</w:t>
            </w:r>
            <w:r>
              <w:rPr>
                <w:spacing w:val="40"/>
                <w:w w:val="105"/>
                <w:sz w:val="13"/>
              </w:rPr>
              <w:t> </w:t>
            </w:r>
            <w:r>
              <w:rPr>
                <w:w w:val="105"/>
                <w:sz w:val="13"/>
              </w:rPr>
              <w:t>Australian Government for the programs)</w:t>
            </w:r>
          </w:p>
        </w:tc>
        <w:tc>
          <w:tcPr>
            <w:tcW w:w="476" w:type="dxa"/>
            <w:tcBorders>
              <w:top w:val="single" w:sz="6" w:space="0" w:color="000000"/>
            </w:tcBorders>
          </w:tcPr>
          <w:p>
            <w:pPr>
              <w:pStyle w:val="TableParagraph"/>
              <w:rPr>
                <w:rFonts w:ascii="Times New Roman"/>
                <w:sz w:val="14"/>
              </w:rPr>
            </w:pPr>
          </w:p>
        </w:tc>
        <w:tc>
          <w:tcPr>
            <w:tcW w:w="940" w:type="dxa"/>
            <w:tcBorders>
              <w:top w:val="single" w:sz="6" w:space="0" w:color="000000"/>
            </w:tcBorders>
          </w:tcPr>
          <w:p>
            <w:pPr>
              <w:pStyle w:val="TableParagraph"/>
              <w:rPr>
                <w:b/>
                <w:sz w:val="13"/>
              </w:rPr>
            </w:pPr>
          </w:p>
          <w:p>
            <w:pPr>
              <w:pStyle w:val="TableParagraph"/>
              <w:rPr>
                <w:b/>
                <w:sz w:val="13"/>
              </w:rPr>
            </w:pPr>
          </w:p>
          <w:p>
            <w:pPr>
              <w:pStyle w:val="TableParagraph"/>
              <w:spacing w:before="63"/>
              <w:rPr>
                <w:b/>
                <w:sz w:val="13"/>
              </w:rPr>
            </w:pPr>
          </w:p>
          <w:p>
            <w:pPr>
              <w:pStyle w:val="TableParagraph"/>
              <w:spacing w:line="139" w:lineRule="exact" w:before="1"/>
              <w:ind w:left="307"/>
              <w:rPr>
                <w:sz w:val="13"/>
              </w:rPr>
            </w:pPr>
            <w:r>
              <w:rPr>
                <w:spacing w:val="-2"/>
                <w:w w:val="105"/>
                <w:sz w:val="13"/>
              </w:rPr>
              <w:t>19,252</w:t>
            </w:r>
          </w:p>
        </w:tc>
        <w:tc>
          <w:tcPr>
            <w:tcW w:w="890" w:type="dxa"/>
            <w:tcBorders>
              <w:top w:val="single" w:sz="6" w:space="0" w:color="000000"/>
            </w:tcBorders>
          </w:tcPr>
          <w:p>
            <w:pPr>
              <w:pStyle w:val="TableParagraph"/>
              <w:rPr>
                <w:b/>
                <w:sz w:val="13"/>
              </w:rPr>
            </w:pPr>
          </w:p>
          <w:p>
            <w:pPr>
              <w:pStyle w:val="TableParagraph"/>
              <w:rPr>
                <w:b/>
                <w:sz w:val="13"/>
              </w:rPr>
            </w:pPr>
          </w:p>
          <w:p>
            <w:pPr>
              <w:pStyle w:val="TableParagraph"/>
              <w:spacing w:before="63"/>
              <w:rPr>
                <w:b/>
                <w:sz w:val="13"/>
              </w:rPr>
            </w:pPr>
          </w:p>
          <w:p>
            <w:pPr>
              <w:pStyle w:val="TableParagraph"/>
              <w:spacing w:line="139" w:lineRule="exact" w:before="1"/>
              <w:ind w:left="285"/>
              <w:rPr>
                <w:sz w:val="13"/>
              </w:rPr>
            </w:pPr>
            <w:r>
              <w:rPr>
                <w:spacing w:val="-2"/>
                <w:w w:val="105"/>
                <w:sz w:val="13"/>
              </w:rPr>
              <w:t>18,231</w:t>
            </w:r>
          </w:p>
        </w:tc>
        <w:tc>
          <w:tcPr>
            <w:tcW w:w="804" w:type="dxa"/>
            <w:tcBorders>
              <w:top w:val="single" w:sz="6" w:space="0" w:color="000000"/>
            </w:tcBorders>
          </w:tcPr>
          <w:p>
            <w:pPr>
              <w:pStyle w:val="TableParagraph"/>
              <w:rPr>
                <w:b/>
                <w:sz w:val="13"/>
              </w:rPr>
            </w:pPr>
          </w:p>
          <w:p>
            <w:pPr>
              <w:pStyle w:val="TableParagraph"/>
              <w:rPr>
                <w:b/>
                <w:sz w:val="13"/>
              </w:rPr>
            </w:pPr>
          </w:p>
          <w:p>
            <w:pPr>
              <w:pStyle w:val="TableParagraph"/>
              <w:spacing w:before="63"/>
              <w:rPr>
                <w:b/>
                <w:sz w:val="13"/>
              </w:rPr>
            </w:pPr>
          </w:p>
          <w:p>
            <w:pPr>
              <w:pStyle w:val="TableParagraph"/>
              <w:spacing w:line="139" w:lineRule="exact" w:before="1"/>
              <w:ind w:left="276"/>
              <w:rPr>
                <w:sz w:val="13"/>
              </w:rPr>
            </w:pPr>
            <w:r>
              <w:rPr>
                <w:spacing w:val="-2"/>
                <w:w w:val="105"/>
                <w:sz w:val="13"/>
              </w:rPr>
              <w:t>3,233</w:t>
            </w:r>
          </w:p>
        </w:tc>
        <w:tc>
          <w:tcPr>
            <w:tcW w:w="804" w:type="dxa"/>
            <w:tcBorders>
              <w:top w:val="single" w:sz="6" w:space="0" w:color="000000"/>
            </w:tcBorders>
          </w:tcPr>
          <w:p>
            <w:pPr>
              <w:pStyle w:val="TableParagraph"/>
              <w:rPr>
                <w:b/>
                <w:sz w:val="13"/>
              </w:rPr>
            </w:pPr>
          </w:p>
          <w:p>
            <w:pPr>
              <w:pStyle w:val="TableParagraph"/>
              <w:rPr>
                <w:b/>
                <w:sz w:val="13"/>
              </w:rPr>
            </w:pPr>
          </w:p>
          <w:p>
            <w:pPr>
              <w:pStyle w:val="TableParagraph"/>
              <w:spacing w:before="63"/>
              <w:rPr>
                <w:b/>
                <w:sz w:val="13"/>
              </w:rPr>
            </w:pPr>
          </w:p>
          <w:p>
            <w:pPr>
              <w:pStyle w:val="TableParagraph"/>
              <w:spacing w:line="139" w:lineRule="exact" w:before="1"/>
              <w:ind w:right="178"/>
              <w:jc w:val="right"/>
              <w:rPr>
                <w:sz w:val="13"/>
              </w:rPr>
            </w:pPr>
            <w:r>
              <w:rPr>
                <w:spacing w:val="-2"/>
                <w:w w:val="105"/>
                <w:sz w:val="13"/>
              </w:rPr>
              <w:t>3,514</w:t>
            </w:r>
          </w:p>
        </w:tc>
        <w:tc>
          <w:tcPr>
            <w:tcW w:w="804" w:type="dxa"/>
            <w:tcBorders>
              <w:top w:val="single" w:sz="6" w:space="0" w:color="000000"/>
            </w:tcBorders>
          </w:tcPr>
          <w:p>
            <w:pPr>
              <w:pStyle w:val="TableParagraph"/>
              <w:rPr>
                <w:b/>
                <w:sz w:val="13"/>
              </w:rPr>
            </w:pPr>
          </w:p>
          <w:p>
            <w:pPr>
              <w:pStyle w:val="TableParagraph"/>
              <w:rPr>
                <w:b/>
                <w:sz w:val="13"/>
              </w:rPr>
            </w:pPr>
          </w:p>
          <w:p>
            <w:pPr>
              <w:pStyle w:val="TableParagraph"/>
              <w:spacing w:before="63"/>
              <w:rPr>
                <w:b/>
                <w:sz w:val="13"/>
              </w:rPr>
            </w:pPr>
          </w:p>
          <w:p>
            <w:pPr>
              <w:pStyle w:val="TableParagraph"/>
              <w:spacing w:line="139" w:lineRule="exact" w:before="1"/>
              <w:ind w:right="179"/>
              <w:jc w:val="right"/>
              <w:rPr>
                <w:sz w:val="13"/>
              </w:rPr>
            </w:pPr>
            <w:r>
              <w:rPr>
                <w:spacing w:val="-2"/>
                <w:w w:val="105"/>
                <w:sz w:val="13"/>
              </w:rPr>
              <w:t>4,233</w:t>
            </w:r>
          </w:p>
        </w:tc>
        <w:tc>
          <w:tcPr>
            <w:tcW w:w="804" w:type="dxa"/>
            <w:tcBorders>
              <w:top w:val="single" w:sz="6" w:space="0" w:color="000000"/>
            </w:tcBorders>
          </w:tcPr>
          <w:p>
            <w:pPr>
              <w:pStyle w:val="TableParagraph"/>
              <w:rPr>
                <w:b/>
                <w:sz w:val="13"/>
              </w:rPr>
            </w:pPr>
          </w:p>
          <w:p>
            <w:pPr>
              <w:pStyle w:val="TableParagraph"/>
              <w:rPr>
                <w:b/>
                <w:sz w:val="13"/>
              </w:rPr>
            </w:pPr>
          </w:p>
          <w:p>
            <w:pPr>
              <w:pStyle w:val="TableParagraph"/>
              <w:spacing w:before="63"/>
              <w:rPr>
                <w:b/>
                <w:sz w:val="13"/>
              </w:rPr>
            </w:pPr>
          </w:p>
          <w:p>
            <w:pPr>
              <w:pStyle w:val="TableParagraph"/>
              <w:spacing w:line="139" w:lineRule="exact" w:before="1"/>
              <w:ind w:right="179"/>
              <w:jc w:val="right"/>
              <w:rPr>
                <w:sz w:val="13"/>
              </w:rPr>
            </w:pPr>
            <w:r>
              <w:rPr>
                <w:spacing w:val="-2"/>
                <w:w w:val="105"/>
                <w:sz w:val="13"/>
              </w:rPr>
              <w:t>4,159</w:t>
            </w:r>
          </w:p>
        </w:tc>
        <w:tc>
          <w:tcPr>
            <w:tcW w:w="804" w:type="dxa"/>
            <w:tcBorders>
              <w:top w:val="single" w:sz="6" w:space="0" w:color="000000"/>
            </w:tcBorders>
          </w:tcPr>
          <w:p>
            <w:pPr>
              <w:pStyle w:val="TableParagraph"/>
              <w:rPr>
                <w:b/>
                <w:sz w:val="13"/>
              </w:rPr>
            </w:pPr>
          </w:p>
          <w:p>
            <w:pPr>
              <w:pStyle w:val="TableParagraph"/>
              <w:rPr>
                <w:b/>
                <w:sz w:val="13"/>
              </w:rPr>
            </w:pPr>
          </w:p>
          <w:p>
            <w:pPr>
              <w:pStyle w:val="TableParagraph"/>
              <w:spacing w:before="63"/>
              <w:rPr>
                <w:b/>
                <w:sz w:val="13"/>
              </w:rPr>
            </w:pPr>
          </w:p>
          <w:p>
            <w:pPr>
              <w:pStyle w:val="TableParagraph"/>
              <w:spacing w:line="139" w:lineRule="exact" w:before="1"/>
              <w:ind w:right="180"/>
              <w:jc w:val="right"/>
              <w:rPr>
                <w:sz w:val="13"/>
              </w:rPr>
            </w:pPr>
            <w:r>
              <w:rPr>
                <w:spacing w:val="-2"/>
                <w:w w:val="105"/>
                <w:sz w:val="13"/>
              </w:rPr>
              <w:t>26,718</w:t>
            </w:r>
          </w:p>
        </w:tc>
        <w:tc>
          <w:tcPr>
            <w:tcW w:w="699" w:type="dxa"/>
            <w:tcBorders>
              <w:top w:val="single" w:sz="6" w:space="0" w:color="000000"/>
            </w:tcBorders>
          </w:tcPr>
          <w:p>
            <w:pPr>
              <w:pStyle w:val="TableParagraph"/>
              <w:rPr>
                <w:b/>
                <w:sz w:val="13"/>
              </w:rPr>
            </w:pPr>
          </w:p>
          <w:p>
            <w:pPr>
              <w:pStyle w:val="TableParagraph"/>
              <w:rPr>
                <w:b/>
                <w:sz w:val="13"/>
              </w:rPr>
            </w:pPr>
          </w:p>
          <w:p>
            <w:pPr>
              <w:pStyle w:val="TableParagraph"/>
              <w:spacing w:before="63"/>
              <w:rPr>
                <w:b/>
                <w:sz w:val="13"/>
              </w:rPr>
            </w:pPr>
          </w:p>
          <w:p>
            <w:pPr>
              <w:pStyle w:val="TableParagraph"/>
              <w:spacing w:line="139" w:lineRule="exact" w:before="1"/>
              <w:ind w:right="76"/>
              <w:jc w:val="right"/>
              <w:rPr>
                <w:sz w:val="13"/>
              </w:rPr>
            </w:pPr>
            <w:r>
              <w:rPr>
                <w:spacing w:val="-2"/>
                <w:w w:val="105"/>
                <w:sz w:val="13"/>
              </w:rPr>
              <w:t>25,904</w:t>
            </w:r>
          </w:p>
        </w:tc>
      </w:tr>
      <w:tr>
        <w:trPr>
          <w:trHeight w:val="164" w:hRule="atLeast"/>
        </w:trPr>
        <w:tc>
          <w:tcPr>
            <w:tcW w:w="334" w:type="dxa"/>
          </w:tcPr>
          <w:p>
            <w:pPr>
              <w:pStyle w:val="TableParagraph"/>
              <w:rPr>
                <w:rFonts w:ascii="Times New Roman"/>
                <w:sz w:val="10"/>
              </w:rPr>
            </w:pPr>
          </w:p>
        </w:tc>
        <w:tc>
          <w:tcPr>
            <w:tcW w:w="3311" w:type="dxa"/>
          </w:tcPr>
          <w:p>
            <w:pPr>
              <w:pStyle w:val="TableParagraph"/>
              <w:spacing w:line="133" w:lineRule="exact" w:before="11"/>
              <w:ind w:left="226"/>
              <w:rPr>
                <w:sz w:val="13"/>
              </w:rPr>
            </w:pPr>
            <w:r>
              <w:rPr>
                <w:w w:val="105"/>
                <w:sz w:val="13"/>
              </w:rPr>
              <w:t>Net accrual</w:t>
            </w:r>
            <w:r>
              <w:rPr>
                <w:spacing w:val="-1"/>
                <w:w w:val="105"/>
                <w:sz w:val="13"/>
              </w:rPr>
              <w:t> </w:t>
            </w:r>
            <w:r>
              <w:rPr>
                <w:spacing w:val="-2"/>
                <w:w w:val="105"/>
                <w:sz w:val="13"/>
              </w:rPr>
              <w:t>adjustments</w:t>
            </w:r>
          </w:p>
        </w:tc>
        <w:tc>
          <w:tcPr>
            <w:tcW w:w="476" w:type="dxa"/>
          </w:tcPr>
          <w:p>
            <w:pPr>
              <w:pStyle w:val="TableParagraph"/>
              <w:rPr>
                <w:rFonts w:ascii="Times New Roman"/>
                <w:sz w:val="10"/>
              </w:rPr>
            </w:pPr>
          </w:p>
        </w:tc>
        <w:tc>
          <w:tcPr>
            <w:tcW w:w="940" w:type="dxa"/>
            <w:tcBorders>
              <w:bottom w:val="single" w:sz="6" w:space="0" w:color="000000"/>
            </w:tcBorders>
          </w:tcPr>
          <w:p>
            <w:pPr>
              <w:pStyle w:val="TableParagraph"/>
              <w:spacing w:line="133" w:lineRule="exact" w:before="11"/>
              <w:ind w:right="157"/>
              <w:jc w:val="right"/>
              <w:rPr>
                <w:sz w:val="13"/>
              </w:rPr>
            </w:pPr>
            <w:r>
              <w:rPr>
                <w:spacing w:val="-2"/>
                <w:w w:val="105"/>
                <w:sz w:val="13"/>
              </w:rPr>
              <w:t>(1,426)</w:t>
            </w:r>
          </w:p>
        </w:tc>
        <w:tc>
          <w:tcPr>
            <w:tcW w:w="890" w:type="dxa"/>
            <w:tcBorders>
              <w:bottom w:val="single" w:sz="6" w:space="0" w:color="000000"/>
            </w:tcBorders>
          </w:tcPr>
          <w:p>
            <w:pPr>
              <w:pStyle w:val="TableParagraph"/>
              <w:spacing w:line="133" w:lineRule="exact" w:before="11"/>
              <w:ind w:right="168"/>
              <w:jc w:val="right"/>
              <w:rPr>
                <w:sz w:val="13"/>
              </w:rPr>
            </w:pPr>
            <w:r>
              <w:rPr>
                <w:spacing w:val="-10"/>
                <w:w w:val="105"/>
                <w:sz w:val="13"/>
              </w:rPr>
              <w:t>-</w:t>
            </w:r>
          </w:p>
        </w:tc>
        <w:tc>
          <w:tcPr>
            <w:tcW w:w="804" w:type="dxa"/>
            <w:tcBorders>
              <w:bottom w:val="single" w:sz="6" w:space="0" w:color="000000"/>
            </w:tcBorders>
          </w:tcPr>
          <w:p>
            <w:pPr>
              <w:pStyle w:val="TableParagraph"/>
              <w:spacing w:line="133" w:lineRule="exact" w:before="11"/>
              <w:ind w:right="131"/>
              <w:jc w:val="right"/>
              <w:rPr>
                <w:sz w:val="13"/>
              </w:rPr>
            </w:pPr>
            <w:r>
              <w:rPr>
                <w:spacing w:val="-10"/>
                <w:w w:val="105"/>
                <w:sz w:val="13"/>
              </w:rPr>
              <w:t>-</w:t>
            </w:r>
          </w:p>
        </w:tc>
        <w:tc>
          <w:tcPr>
            <w:tcW w:w="804" w:type="dxa"/>
            <w:tcBorders>
              <w:bottom w:val="single" w:sz="6" w:space="0" w:color="000000"/>
            </w:tcBorders>
          </w:tcPr>
          <w:p>
            <w:pPr>
              <w:pStyle w:val="TableParagraph"/>
              <w:spacing w:line="133" w:lineRule="exact" w:before="11"/>
              <w:ind w:right="170"/>
              <w:jc w:val="right"/>
              <w:rPr>
                <w:sz w:val="13"/>
              </w:rPr>
            </w:pPr>
            <w:r>
              <w:rPr>
                <w:spacing w:val="-10"/>
                <w:w w:val="105"/>
                <w:sz w:val="13"/>
              </w:rPr>
              <w:t>-</w:t>
            </w:r>
          </w:p>
        </w:tc>
        <w:tc>
          <w:tcPr>
            <w:tcW w:w="804" w:type="dxa"/>
            <w:tcBorders>
              <w:bottom w:val="single" w:sz="6" w:space="0" w:color="000000"/>
            </w:tcBorders>
          </w:tcPr>
          <w:p>
            <w:pPr>
              <w:pStyle w:val="TableParagraph"/>
              <w:spacing w:line="133" w:lineRule="exact" w:before="11"/>
              <w:ind w:right="132"/>
              <w:jc w:val="right"/>
              <w:rPr>
                <w:sz w:val="13"/>
              </w:rPr>
            </w:pPr>
            <w:r>
              <w:rPr>
                <w:spacing w:val="-2"/>
                <w:w w:val="105"/>
                <w:sz w:val="13"/>
              </w:rPr>
              <w:t>(160)</w:t>
            </w:r>
          </w:p>
        </w:tc>
        <w:tc>
          <w:tcPr>
            <w:tcW w:w="804" w:type="dxa"/>
            <w:tcBorders>
              <w:bottom w:val="single" w:sz="6" w:space="0" w:color="000000"/>
            </w:tcBorders>
          </w:tcPr>
          <w:p>
            <w:pPr>
              <w:pStyle w:val="TableParagraph"/>
              <w:spacing w:line="133" w:lineRule="exact" w:before="11"/>
              <w:ind w:right="171"/>
              <w:jc w:val="right"/>
              <w:rPr>
                <w:sz w:val="13"/>
              </w:rPr>
            </w:pPr>
            <w:r>
              <w:rPr>
                <w:spacing w:val="-10"/>
                <w:w w:val="105"/>
                <w:sz w:val="13"/>
              </w:rPr>
              <w:t>-</w:t>
            </w:r>
          </w:p>
        </w:tc>
        <w:tc>
          <w:tcPr>
            <w:tcW w:w="804" w:type="dxa"/>
            <w:tcBorders>
              <w:bottom w:val="single" w:sz="6" w:space="0" w:color="000000"/>
            </w:tcBorders>
          </w:tcPr>
          <w:p>
            <w:pPr>
              <w:pStyle w:val="TableParagraph"/>
              <w:spacing w:line="133" w:lineRule="exact" w:before="11"/>
              <w:ind w:right="133"/>
              <w:jc w:val="right"/>
              <w:rPr>
                <w:sz w:val="13"/>
              </w:rPr>
            </w:pPr>
            <w:r>
              <w:rPr>
                <w:spacing w:val="-2"/>
                <w:w w:val="105"/>
                <w:sz w:val="13"/>
              </w:rPr>
              <w:t>(1,586)</w:t>
            </w:r>
          </w:p>
        </w:tc>
        <w:tc>
          <w:tcPr>
            <w:tcW w:w="699" w:type="dxa"/>
            <w:tcBorders>
              <w:bottom w:val="single" w:sz="6" w:space="0" w:color="000000"/>
            </w:tcBorders>
          </w:tcPr>
          <w:p>
            <w:pPr>
              <w:pStyle w:val="TableParagraph"/>
              <w:spacing w:line="133" w:lineRule="exact" w:before="11"/>
              <w:ind w:right="68"/>
              <w:jc w:val="right"/>
              <w:rPr>
                <w:sz w:val="13"/>
              </w:rPr>
            </w:pPr>
            <w:r>
              <w:rPr>
                <w:spacing w:val="-10"/>
                <w:w w:val="105"/>
                <w:sz w:val="13"/>
              </w:rPr>
              <w:t>-</w:t>
            </w:r>
          </w:p>
        </w:tc>
      </w:tr>
      <w:tr>
        <w:trPr>
          <w:trHeight w:val="246" w:hRule="atLeast"/>
        </w:trPr>
        <w:tc>
          <w:tcPr>
            <w:tcW w:w="334" w:type="dxa"/>
          </w:tcPr>
          <w:p>
            <w:pPr>
              <w:pStyle w:val="TableParagraph"/>
              <w:rPr>
                <w:rFonts w:ascii="Times New Roman"/>
                <w:sz w:val="14"/>
              </w:rPr>
            </w:pPr>
          </w:p>
        </w:tc>
        <w:tc>
          <w:tcPr>
            <w:tcW w:w="3311" w:type="dxa"/>
          </w:tcPr>
          <w:p>
            <w:pPr>
              <w:pStyle w:val="TableParagraph"/>
              <w:spacing w:before="2"/>
              <w:ind w:left="226"/>
              <w:rPr>
                <w:sz w:val="13"/>
              </w:rPr>
            </w:pPr>
            <w:r>
              <w:rPr>
                <w:w w:val="105"/>
                <w:sz w:val="13"/>
              </w:rPr>
              <w:t>Revenue</w:t>
            </w:r>
            <w:r>
              <w:rPr>
                <w:spacing w:val="2"/>
                <w:w w:val="105"/>
                <w:sz w:val="13"/>
              </w:rPr>
              <w:t> </w:t>
            </w:r>
            <w:r>
              <w:rPr>
                <w:w w:val="105"/>
                <w:sz w:val="13"/>
              </w:rPr>
              <w:t>for</w:t>
            </w:r>
            <w:r>
              <w:rPr>
                <w:spacing w:val="1"/>
                <w:w w:val="105"/>
                <w:sz w:val="13"/>
              </w:rPr>
              <w:t> </w:t>
            </w:r>
            <w:r>
              <w:rPr>
                <w:w w:val="105"/>
                <w:sz w:val="13"/>
              </w:rPr>
              <w:t>the</w:t>
            </w:r>
            <w:r>
              <w:rPr>
                <w:spacing w:val="2"/>
                <w:w w:val="105"/>
                <w:sz w:val="13"/>
              </w:rPr>
              <w:t> </w:t>
            </w:r>
            <w:r>
              <w:rPr>
                <w:spacing w:val="-2"/>
                <w:w w:val="105"/>
                <w:sz w:val="13"/>
              </w:rPr>
              <w:t>period</w:t>
            </w:r>
          </w:p>
        </w:tc>
        <w:tc>
          <w:tcPr>
            <w:tcW w:w="476" w:type="dxa"/>
          </w:tcPr>
          <w:p>
            <w:pPr>
              <w:pStyle w:val="TableParagraph"/>
              <w:spacing w:before="2"/>
              <w:ind w:left="12"/>
              <w:jc w:val="center"/>
              <w:rPr>
                <w:sz w:val="13"/>
              </w:rPr>
            </w:pPr>
            <w:r>
              <w:rPr>
                <w:spacing w:val="-2"/>
                <w:w w:val="105"/>
                <w:sz w:val="13"/>
              </w:rPr>
              <w:t>2.1(d)</w:t>
            </w:r>
          </w:p>
        </w:tc>
        <w:tc>
          <w:tcPr>
            <w:tcW w:w="940" w:type="dxa"/>
            <w:tcBorders>
              <w:top w:val="single" w:sz="6" w:space="0" w:color="000000"/>
            </w:tcBorders>
          </w:tcPr>
          <w:p>
            <w:pPr>
              <w:pStyle w:val="TableParagraph"/>
              <w:spacing w:before="2"/>
              <w:ind w:left="307"/>
              <w:rPr>
                <w:sz w:val="13"/>
              </w:rPr>
            </w:pPr>
            <w:r>
              <w:rPr>
                <w:spacing w:val="-2"/>
                <w:w w:val="105"/>
                <w:sz w:val="13"/>
              </w:rPr>
              <w:t>17,826</w:t>
            </w:r>
          </w:p>
        </w:tc>
        <w:tc>
          <w:tcPr>
            <w:tcW w:w="890" w:type="dxa"/>
            <w:tcBorders>
              <w:top w:val="single" w:sz="6" w:space="0" w:color="000000"/>
            </w:tcBorders>
          </w:tcPr>
          <w:p>
            <w:pPr>
              <w:pStyle w:val="TableParagraph"/>
              <w:spacing w:before="2"/>
              <w:ind w:left="285"/>
              <w:rPr>
                <w:sz w:val="13"/>
              </w:rPr>
            </w:pPr>
            <w:r>
              <w:rPr>
                <w:spacing w:val="-2"/>
                <w:w w:val="105"/>
                <w:sz w:val="13"/>
              </w:rPr>
              <w:t>18,231</w:t>
            </w:r>
          </w:p>
        </w:tc>
        <w:tc>
          <w:tcPr>
            <w:tcW w:w="804" w:type="dxa"/>
            <w:tcBorders>
              <w:top w:val="single" w:sz="6" w:space="0" w:color="000000"/>
            </w:tcBorders>
          </w:tcPr>
          <w:p>
            <w:pPr>
              <w:pStyle w:val="TableParagraph"/>
              <w:spacing w:before="2"/>
              <w:ind w:left="276"/>
              <w:rPr>
                <w:sz w:val="13"/>
              </w:rPr>
            </w:pPr>
            <w:r>
              <w:rPr>
                <w:spacing w:val="-2"/>
                <w:w w:val="105"/>
                <w:sz w:val="13"/>
              </w:rPr>
              <w:t>3,233</w:t>
            </w:r>
          </w:p>
        </w:tc>
        <w:tc>
          <w:tcPr>
            <w:tcW w:w="804" w:type="dxa"/>
            <w:tcBorders>
              <w:top w:val="single" w:sz="6" w:space="0" w:color="000000"/>
            </w:tcBorders>
          </w:tcPr>
          <w:p>
            <w:pPr>
              <w:pStyle w:val="TableParagraph"/>
              <w:spacing w:before="2"/>
              <w:ind w:right="178"/>
              <w:jc w:val="right"/>
              <w:rPr>
                <w:sz w:val="13"/>
              </w:rPr>
            </w:pPr>
            <w:r>
              <w:rPr>
                <w:spacing w:val="-2"/>
                <w:w w:val="105"/>
                <w:sz w:val="13"/>
              </w:rPr>
              <w:t>3,514</w:t>
            </w:r>
          </w:p>
        </w:tc>
        <w:tc>
          <w:tcPr>
            <w:tcW w:w="804" w:type="dxa"/>
            <w:tcBorders>
              <w:top w:val="single" w:sz="6" w:space="0" w:color="000000"/>
            </w:tcBorders>
          </w:tcPr>
          <w:p>
            <w:pPr>
              <w:pStyle w:val="TableParagraph"/>
              <w:spacing w:before="2"/>
              <w:ind w:right="179"/>
              <w:jc w:val="right"/>
              <w:rPr>
                <w:sz w:val="13"/>
              </w:rPr>
            </w:pPr>
            <w:r>
              <w:rPr>
                <w:spacing w:val="-2"/>
                <w:w w:val="105"/>
                <w:sz w:val="13"/>
              </w:rPr>
              <w:t>4,073</w:t>
            </w:r>
          </w:p>
        </w:tc>
        <w:tc>
          <w:tcPr>
            <w:tcW w:w="804" w:type="dxa"/>
            <w:tcBorders>
              <w:top w:val="single" w:sz="6" w:space="0" w:color="000000"/>
            </w:tcBorders>
          </w:tcPr>
          <w:p>
            <w:pPr>
              <w:pStyle w:val="TableParagraph"/>
              <w:spacing w:before="2"/>
              <w:ind w:right="181"/>
              <w:jc w:val="right"/>
              <w:rPr>
                <w:sz w:val="13"/>
              </w:rPr>
            </w:pPr>
            <w:r>
              <w:rPr>
                <w:spacing w:val="-2"/>
                <w:w w:val="105"/>
                <w:sz w:val="13"/>
              </w:rPr>
              <w:t>4,159</w:t>
            </w:r>
          </w:p>
        </w:tc>
        <w:tc>
          <w:tcPr>
            <w:tcW w:w="804" w:type="dxa"/>
            <w:tcBorders>
              <w:top w:val="single" w:sz="6" w:space="0" w:color="000000"/>
            </w:tcBorders>
          </w:tcPr>
          <w:p>
            <w:pPr>
              <w:pStyle w:val="TableParagraph"/>
              <w:spacing w:before="2"/>
              <w:ind w:right="180"/>
              <w:jc w:val="right"/>
              <w:rPr>
                <w:sz w:val="13"/>
              </w:rPr>
            </w:pPr>
            <w:r>
              <w:rPr>
                <w:spacing w:val="-2"/>
                <w:w w:val="105"/>
                <w:sz w:val="13"/>
              </w:rPr>
              <w:t>25,132</w:t>
            </w:r>
          </w:p>
        </w:tc>
        <w:tc>
          <w:tcPr>
            <w:tcW w:w="699" w:type="dxa"/>
            <w:tcBorders>
              <w:top w:val="single" w:sz="6" w:space="0" w:color="000000"/>
            </w:tcBorders>
          </w:tcPr>
          <w:p>
            <w:pPr>
              <w:pStyle w:val="TableParagraph"/>
              <w:spacing w:before="2"/>
              <w:ind w:right="76"/>
              <w:jc w:val="right"/>
              <w:rPr>
                <w:sz w:val="13"/>
              </w:rPr>
            </w:pPr>
            <w:r>
              <w:rPr>
                <w:spacing w:val="-2"/>
                <w:w w:val="105"/>
                <w:sz w:val="13"/>
              </w:rPr>
              <w:t>25,904</w:t>
            </w:r>
          </w:p>
        </w:tc>
      </w:tr>
      <w:tr>
        <w:trPr>
          <w:trHeight w:val="249" w:hRule="atLeast"/>
        </w:trPr>
        <w:tc>
          <w:tcPr>
            <w:tcW w:w="334" w:type="dxa"/>
          </w:tcPr>
          <w:p>
            <w:pPr>
              <w:pStyle w:val="TableParagraph"/>
              <w:rPr>
                <w:rFonts w:ascii="Times New Roman"/>
                <w:sz w:val="14"/>
              </w:rPr>
            </w:pPr>
          </w:p>
        </w:tc>
        <w:tc>
          <w:tcPr>
            <w:tcW w:w="3311" w:type="dxa"/>
          </w:tcPr>
          <w:p>
            <w:pPr>
              <w:pStyle w:val="TableParagraph"/>
              <w:spacing w:line="133" w:lineRule="exact" w:before="96"/>
              <w:ind w:left="226"/>
              <w:rPr>
                <w:sz w:val="13"/>
              </w:rPr>
            </w:pPr>
            <w:r>
              <w:rPr>
                <w:w w:val="105"/>
                <w:sz w:val="13"/>
              </w:rPr>
              <w:t>Surplus/(deficit)</w:t>
            </w:r>
            <w:r>
              <w:rPr>
                <w:spacing w:val="-4"/>
                <w:w w:val="105"/>
                <w:sz w:val="13"/>
              </w:rPr>
              <w:t> </w:t>
            </w:r>
            <w:r>
              <w:rPr>
                <w:w w:val="105"/>
                <w:sz w:val="13"/>
              </w:rPr>
              <w:t>from</w:t>
            </w:r>
            <w:r>
              <w:rPr>
                <w:spacing w:val="-1"/>
                <w:w w:val="105"/>
                <w:sz w:val="13"/>
              </w:rPr>
              <w:t> </w:t>
            </w:r>
            <w:r>
              <w:rPr>
                <w:w w:val="105"/>
                <w:sz w:val="13"/>
              </w:rPr>
              <w:t>the</w:t>
            </w:r>
            <w:r>
              <w:rPr>
                <w:spacing w:val="-2"/>
                <w:w w:val="105"/>
                <w:sz w:val="13"/>
              </w:rPr>
              <w:t> </w:t>
            </w:r>
            <w:r>
              <w:rPr>
                <w:w w:val="105"/>
                <w:sz w:val="13"/>
              </w:rPr>
              <w:t>previous</w:t>
            </w:r>
            <w:r>
              <w:rPr>
                <w:spacing w:val="-2"/>
                <w:w w:val="105"/>
                <w:sz w:val="13"/>
              </w:rPr>
              <w:t> </w:t>
            </w:r>
            <w:r>
              <w:rPr>
                <w:spacing w:val="-4"/>
                <w:w w:val="105"/>
                <w:sz w:val="13"/>
              </w:rPr>
              <w:t>year</w:t>
            </w:r>
          </w:p>
        </w:tc>
        <w:tc>
          <w:tcPr>
            <w:tcW w:w="476" w:type="dxa"/>
          </w:tcPr>
          <w:p>
            <w:pPr>
              <w:pStyle w:val="TableParagraph"/>
              <w:rPr>
                <w:rFonts w:ascii="Times New Roman"/>
                <w:sz w:val="14"/>
              </w:rPr>
            </w:pPr>
          </w:p>
        </w:tc>
        <w:tc>
          <w:tcPr>
            <w:tcW w:w="940" w:type="dxa"/>
            <w:tcBorders>
              <w:bottom w:val="single" w:sz="6" w:space="0" w:color="000000"/>
            </w:tcBorders>
          </w:tcPr>
          <w:p>
            <w:pPr>
              <w:pStyle w:val="TableParagraph"/>
              <w:spacing w:line="133" w:lineRule="exact" w:before="96"/>
              <w:ind w:left="307"/>
              <w:rPr>
                <w:sz w:val="13"/>
              </w:rPr>
            </w:pPr>
            <w:r>
              <w:rPr>
                <w:spacing w:val="-2"/>
                <w:w w:val="105"/>
                <w:sz w:val="13"/>
              </w:rPr>
              <w:t>11,439</w:t>
            </w:r>
          </w:p>
        </w:tc>
        <w:tc>
          <w:tcPr>
            <w:tcW w:w="890" w:type="dxa"/>
            <w:tcBorders>
              <w:bottom w:val="single" w:sz="6" w:space="0" w:color="000000"/>
            </w:tcBorders>
          </w:tcPr>
          <w:p>
            <w:pPr>
              <w:pStyle w:val="TableParagraph"/>
              <w:spacing w:line="133" w:lineRule="exact" w:before="96"/>
              <w:ind w:left="285"/>
              <w:rPr>
                <w:sz w:val="13"/>
              </w:rPr>
            </w:pPr>
            <w:r>
              <w:rPr>
                <w:spacing w:val="-2"/>
                <w:w w:val="105"/>
                <w:sz w:val="13"/>
              </w:rPr>
              <w:t>10,290</w:t>
            </w:r>
          </w:p>
        </w:tc>
        <w:tc>
          <w:tcPr>
            <w:tcW w:w="804" w:type="dxa"/>
            <w:tcBorders>
              <w:bottom w:val="single" w:sz="6" w:space="0" w:color="000000"/>
            </w:tcBorders>
          </w:tcPr>
          <w:p>
            <w:pPr>
              <w:pStyle w:val="TableParagraph"/>
              <w:spacing w:line="133" w:lineRule="exact" w:before="96"/>
              <w:ind w:left="276"/>
              <w:rPr>
                <w:sz w:val="13"/>
              </w:rPr>
            </w:pPr>
            <w:r>
              <w:rPr>
                <w:spacing w:val="-2"/>
                <w:w w:val="105"/>
                <w:sz w:val="13"/>
              </w:rPr>
              <w:t>3,963</w:t>
            </w:r>
          </w:p>
        </w:tc>
        <w:tc>
          <w:tcPr>
            <w:tcW w:w="804" w:type="dxa"/>
            <w:tcBorders>
              <w:bottom w:val="single" w:sz="6" w:space="0" w:color="000000"/>
            </w:tcBorders>
          </w:tcPr>
          <w:p>
            <w:pPr>
              <w:pStyle w:val="TableParagraph"/>
              <w:spacing w:line="133" w:lineRule="exact" w:before="96"/>
              <w:ind w:right="178"/>
              <w:jc w:val="right"/>
              <w:rPr>
                <w:sz w:val="13"/>
              </w:rPr>
            </w:pPr>
            <w:r>
              <w:rPr>
                <w:spacing w:val="-2"/>
                <w:w w:val="105"/>
                <w:sz w:val="13"/>
              </w:rPr>
              <w:t>3,872</w:t>
            </w:r>
          </w:p>
        </w:tc>
        <w:tc>
          <w:tcPr>
            <w:tcW w:w="804" w:type="dxa"/>
            <w:tcBorders>
              <w:bottom w:val="single" w:sz="6" w:space="0" w:color="000000"/>
            </w:tcBorders>
          </w:tcPr>
          <w:p>
            <w:pPr>
              <w:pStyle w:val="TableParagraph"/>
              <w:spacing w:line="133" w:lineRule="exact" w:before="96"/>
              <w:ind w:right="179"/>
              <w:jc w:val="right"/>
              <w:rPr>
                <w:sz w:val="13"/>
              </w:rPr>
            </w:pPr>
            <w:r>
              <w:rPr>
                <w:spacing w:val="-5"/>
                <w:w w:val="105"/>
                <w:sz w:val="13"/>
              </w:rPr>
              <w:t>479</w:t>
            </w:r>
          </w:p>
        </w:tc>
        <w:tc>
          <w:tcPr>
            <w:tcW w:w="804" w:type="dxa"/>
            <w:tcBorders>
              <w:bottom w:val="single" w:sz="6" w:space="0" w:color="000000"/>
            </w:tcBorders>
          </w:tcPr>
          <w:p>
            <w:pPr>
              <w:pStyle w:val="TableParagraph"/>
              <w:spacing w:line="133" w:lineRule="exact" w:before="96"/>
              <w:ind w:right="180"/>
              <w:jc w:val="right"/>
              <w:rPr>
                <w:sz w:val="13"/>
              </w:rPr>
            </w:pPr>
            <w:r>
              <w:rPr>
                <w:spacing w:val="-5"/>
                <w:w w:val="105"/>
                <w:sz w:val="13"/>
              </w:rPr>
              <w:t>948</w:t>
            </w:r>
          </w:p>
        </w:tc>
        <w:tc>
          <w:tcPr>
            <w:tcW w:w="804" w:type="dxa"/>
            <w:tcBorders>
              <w:bottom w:val="single" w:sz="6" w:space="0" w:color="000000"/>
            </w:tcBorders>
          </w:tcPr>
          <w:p>
            <w:pPr>
              <w:pStyle w:val="TableParagraph"/>
              <w:spacing w:line="133" w:lineRule="exact" w:before="96"/>
              <w:ind w:right="180"/>
              <w:jc w:val="right"/>
              <w:rPr>
                <w:sz w:val="13"/>
              </w:rPr>
            </w:pPr>
            <w:r>
              <w:rPr>
                <w:spacing w:val="-2"/>
                <w:w w:val="105"/>
                <w:sz w:val="13"/>
              </w:rPr>
              <w:t>15,881</w:t>
            </w:r>
          </w:p>
        </w:tc>
        <w:tc>
          <w:tcPr>
            <w:tcW w:w="699" w:type="dxa"/>
            <w:tcBorders>
              <w:bottom w:val="single" w:sz="6" w:space="0" w:color="000000"/>
            </w:tcBorders>
          </w:tcPr>
          <w:p>
            <w:pPr>
              <w:pStyle w:val="TableParagraph"/>
              <w:spacing w:line="133" w:lineRule="exact" w:before="96"/>
              <w:ind w:right="76"/>
              <w:jc w:val="right"/>
              <w:rPr>
                <w:sz w:val="13"/>
              </w:rPr>
            </w:pPr>
            <w:r>
              <w:rPr>
                <w:spacing w:val="-2"/>
                <w:w w:val="105"/>
                <w:sz w:val="13"/>
              </w:rPr>
              <w:t>15,110</w:t>
            </w:r>
          </w:p>
        </w:tc>
      </w:tr>
      <w:tr>
        <w:trPr>
          <w:trHeight w:val="161" w:hRule="atLeast"/>
        </w:trPr>
        <w:tc>
          <w:tcPr>
            <w:tcW w:w="334" w:type="dxa"/>
          </w:tcPr>
          <w:p>
            <w:pPr>
              <w:pStyle w:val="TableParagraph"/>
              <w:rPr>
                <w:rFonts w:ascii="Times New Roman"/>
                <w:sz w:val="10"/>
              </w:rPr>
            </w:pPr>
          </w:p>
        </w:tc>
        <w:tc>
          <w:tcPr>
            <w:tcW w:w="3311" w:type="dxa"/>
          </w:tcPr>
          <w:p>
            <w:pPr>
              <w:pStyle w:val="TableParagraph"/>
              <w:spacing w:line="139" w:lineRule="exact" w:before="2"/>
              <w:ind w:left="226"/>
              <w:rPr>
                <w:sz w:val="13"/>
              </w:rPr>
            </w:pPr>
            <w:r>
              <w:rPr>
                <w:w w:val="105"/>
                <w:sz w:val="13"/>
              </w:rPr>
              <w:t>Total</w:t>
            </w:r>
            <w:r>
              <w:rPr>
                <w:spacing w:val="-4"/>
                <w:w w:val="105"/>
                <w:sz w:val="13"/>
              </w:rPr>
              <w:t> </w:t>
            </w:r>
            <w:r>
              <w:rPr>
                <w:w w:val="105"/>
                <w:sz w:val="13"/>
              </w:rPr>
              <w:t>revenue</w:t>
            </w:r>
            <w:r>
              <w:rPr>
                <w:spacing w:val="1"/>
                <w:w w:val="105"/>
                <w:sz w:val="13"/>
              </w:rPr>
              <w:t> </w:t>
            </w:r>
            <w:r>
              <w:rPr>
                <w:w w:val="105"/>
                <w:sz w:val="13"/>
              </w:rPr>
              <w:t>including</w:t>
            </w:r>
            <w:r>
              <w:rPr>
                <w:spacing w:val="1"/>
                <w:w w:val="105"/>
                <w:sz w:val="13"/>
              </w:rPr>
              <w:t> </w:t>
            </w:r>
            <w:r>
              <w:rPr>
                <w:w w:val="105"/>
                <w:sz w:val="13"/>
              </w:rPr>
              <w:t>accrued </w:t>
            </w:r>
            <w:r>
              <w:rPr>
                <w:spacing w:val="-2"/>
                <w:w w:val="105"/>
                <w:sz w:val="13"/>
              </w:rPr>
              <w:t>revenue</w:t>
            </w:r>
          </w:p>
        </w:tc>
        <w:tc>
          <w:tcPr>
            <w:tcW w:w="476" w:type="dxa"/>
          </w:tcPr>
          <w:p>
            <w:pPr>
              <w:pStyle w:val="TableParagraph"/>
              <w:rPr>
                <w:rFonts w:ascii="Times New Roman"/>
                <w:sz w:val="10"/>
              </w:rPr>
            </w:pPr>
          </w:p>
        </w:tc>
        <w:tc>
          <w:tcPr>
            <w:tcW w:w="940" w:type="dxa"/>
            <w:tcBorders>
              <w:top w:val="single" w:sz="6" w:space="0" w:color="000000"/>
            </w:tcBorders>
          </w:tcPr>
          <w:p>
            <w:pPr>
              <w:pStyle w:val="TableParagraph"/>
              <w:spacing w:line="139" w:lineRule="exact" w:before="2"/>
              <w:ind w:left="307"/>
              <w:rPr>
                <w:sz w:val="13"/>
              </w:rPr>
            </w:pPr>
            <w:r>
              <w:rPr>
                <w:spacing w:val="-2"/>
                <w:w w:val="105"/>
                <w:sz w:val="13"/>
              </w:rPr>
              <w:t>29,265</w:t>
            </w:r>
          </w:p>
        </w:tc>
        <w:tc>
          <w:tcPr>
            <w:tcW w:w="890" w:type="dxa"/>
            <w:tcBorders>
              <w:top w:val="single" w:sz="6" w:space="0" w:color="000000"/>
            </w:tcBorders>
          </w:tcPr>
          <w:p>
            <w:pPr>
              <w:pStyle w:val="TableParagraph"/>
              <w:spacing w:line="139" w:lineRule="exact" w:before="2"/>
              <w:ind w:left="285"/>
              <w:rPr>
                <w:sz w:val="13"/>
              </w:rPr>
            </w:pPr>
            <w:r>
              <w:rPr>
                <w:spacing w:val="-2"/>
                <w:w w:val="105"/>
                <w:sz w:val="13"/>
              </w:rPr>
              <w:t>28,521</w:t>
            </w:r>
          </w:p>
        </w:tc>
        <w:tc>
          <w:tcPr>
            <w:tcW w:w="804" w:type="dxa"/>
            <w:tcBorders>
              <w:top w:val="single" w:sz="6" w:space="0" w:color="000000"/>
            </w:tcBorders>
          </w:tcPr>
          <w:p>
            <w:pPr>
              <w:pStyle w:val="TableParagraph"/>
              <w:spacing w:line="139" w:lineRule="exact" w:before="2"/>
              <w:ind w:left="276"/>
              <w:rPr>
                <w:sz w:val="13"/>
              </w:rPr>
            </w:pPr>
            <w:r>
              <w:rPr>
                <w:spacing w:val="-2"/>
                <w:w w:val="105"/>
                <w:sz w:val="13"/>
              </w:rPr>
              <w:t>7,196</w:t>
            </w:r>
          </w:p>
        </w:tc>
        <w:tc>
          <w:tcPr>
            <w:tcW w:w="804" w:type="dxa"/>
            <w:tcBorders>
              <w:top w:val="single" w:sz="6" w:space="0" w:color="000000"/>
            </w:tcBorders>
          </w:tcPr>
          <w:p>
            <w:pPr>
              <w:pStyle w:val="TableParagraph"/>
              <w:spacing w:line="139" w:lineRule="exact" w:before="2"/>
              <w:ind w:right="178"/>
              <w:jc w:val="right"/>
              <w:rPr>
                <w:sz w:val="13"/>
              </w:rPr>
            </w:pPr>
            <w:r>
              <w:rPr>
                <w:spacing w:val="-2"/>
                <w:w w:val="105"/>
                <w:sz w:val="13"/>
              </w:rPr>
              <w:t>7,386</w:t>
            </w:r>
          </w:p>
        </w:tc>
        <w:tc>
          <w:tcPr>
            <w:tcW w:w="804" w:type="dxa"/>
            <w:tcBorders>
              <w:top w:val="single" w:sz="6" w:space="0" w:color="000000"/>
            </w:tcBorders>
          </w:tcPr>
          <w:p>
            <w:pPr>
              <w:pStyle w:val="TableParagraph"/>
              <w:spacing w:line="139" w:lineRule="exact" w:before="2"/>
              <w:ind w:right="179"/>
              <w:jc w:val="right"/>
              <w:rPr>
                <w:sz w:val="13"/>
              </w:rPr>
            </w:pPr>
            <w:r>
              <w:rPr>
                <w:spacing w:val="-2"/>
                <w:w w:val="105"/>
                <w:sz w:val="13"/>
              </w:rPr>
              <w:t>4,552</w:t>
            </w:r>
          </w:p>
        </w:tc>
        <w:tc>
          <w:tcPr>
            <w:tcW w:w="804" w:type="dxa"/>
            <w:tcBorders>
              <w:top w:val="single" w:sz="6" w:space="0" w:color="000000"/>
            </w:tcBorders>
          </w:tcPr>
          <w:p>
            <w:pPr>
              <w:pStyle w:val="TableParagraph"/>
              <w:spacing w:line="139" w:lineRule="exact" w:before="2"/>
              <w:ind w:right="181"/>
              <w:jc w:val="right"/>
              <w:rPr>
                <w:sz w:val="13"/>
              </w:rPr>
            </w:pPr>
            <w:r>
              <w:rPr>
                <w:spacing w:val="-2"/>
                <w:w w:val="105"/>
                <w:sz w:val="13"/>
              </w:rPr>
              <w:t>5,107</w:t>
            </w:r>
          </w:p>
        </w:tc>
        <w:tc>
          <w:tcPr>
            <w:tcW w:w="804" w:type="dxa"/>
            <w:tcBorders>
              <w:top w:val="single" w:sz="6" w:space="0" w:color="000000"/>
            </w:tcBorders>
          </w:tcPr>
          <w:p>
            <w:pPr>
              <w:pStyle w:val="TableParagraph"/>
              <w:spacing w:line="139" w:lineRule="exact" w:before="2"/>
              <w:ind w:right="180"/>
              <w:jc w:val="right"/>
              <w:rPr>
                <w:sz w:val="13"/>
              </w:rPr>
            </w:pPr>
            <w:r>
              <w:rPr>
                <w:spacing w:val="-2"/>
                <w:w w:val="105"/>
                <w:sz w:val="13"/>
              </w:rPr>
              <w:t>41,013</w:t>
            </w:r>
          </w:p>
        </w:tc>
        <w:tc>
          <w:tcPr>
            <w:tcW w:w="699" w:type="dxa"/>
            <w:tcBorders>
              <w:top w:val="single" w:sz="6" w:space="0" w:color="000000"/>
            </w:tcBorders>
          </w:tcPr>
          <w:p>
            <w:pPr>
              <w:pStyle w:val="TableParagraph"/>
              <w:spacing w:line="139" w:lineRule="exact" w:before="2"/>
              <w:ind w:right="76"/>
              <w:jc w:val="right"/>
              <w:rPr>
                <w:sz w:val="13"/>
              </w:rPr>
            </w:pPr>
            <w:r>
              <w:rPr>
                <w:spacing w:val="-2"/>
                <w:w w:val="105"/>
                <w:sz w:val="13"/>
              </w:rPr>
              <w:t>41,014</w:t>
            </w:r>
          </w:p>
        </w:tc>
      </w:tr>
      <w:tr>
        <w:trPr>
          <w:trHeight w:val="164" w:hRule="atLeast"/>
        </w:trPr>
        <w:tc>
          <w:tcPr>
            <w:tcW w:w="334" w:type="dxa"/>
          </w:tcPr>
          <w:p>
            <w:pPr>
              <w:pStyle w:val="TableParagraph"/>
              <w:rPr>
                <w:rFonts w:ascii="Times New Roman"/>
                <w:sz w:val="10"/>
              </w:rPr>
            </w:pPr>
          </w:p>
        </w:tc>
        <w:tc>
          <w:tcPr>
            <w:tcW w:w="3311" w:type="dxa"/>
          </w:tcPr>
          <w:p>
            <w:pPr>
              <w:pStyle w:val="TableParagraph"/>
              <w:spacing w:line="133" w:lineRule="exact" w:before="11"/>
              <w:ind w:left="226"/>
              <w:rPr>
                <w:sz w:val="13"/>
              </w:rPr>
            </w:pPr>
            <w:r>
              <w:rPr>
                <w:w w:val="105"/>
                <w:sz w:val="13"/>
              </w:rPr>
              <w:t>Less</w:t>
            </w:r>
            <w:r>
              <w:rPr>
                <w:spacing w:val="1"/>
                <w:w w:val="105"/>
                <w:sz w:val="13"/>
              </w:rPr>
              <w:t> </w:t>
            </w:r>
            <w:r>
              <w:rPr>
                <w:w w:val="105"/>
                <w:sz w:val="13"/>
              </w:rPr>
              <w:t>expenses</w:t>
            </w:r>
            <w:r>
              <w:rPr>
                <w:spacing w:val="1"/>
                <w:w w:val="105"/>
                <w:sz w:val="13"/>
              </w:rPr>
              <w:t> </w:t>
            </w:r>
            <w:r>
              <w:rPr>
                <w:w w:val="105"/>
                <w:sz w:val="13"/>
              </w:rPr>
              <w:t>including</w:t>
            </w:r>
            <w:r>
              <w:rPr>
                <w:spacing w:val="1"/>
                <w:w w:val="105"/>
                <w:sz w:val="13"/>
              </w:rPr>
              <w:t> </w:t>
            </w:r>
            <w:r>
              <w:rPr>
                <w:w w:val="105"/>
                <w:sz w:val="13"/>
              </w:rPr>
              <w:t>accrued</w:t>
            </w:r>
            <w:r>
              <w:rPr>
                <w:spacing w:val="1"/>
                <w:w w:val="105"/>
                <w:sz w:val="13"/>
              </w:rPr>
              <w:t> </w:t>
            </w:r>
            <w:r>
              <w:rPr>
                <w:spacing w:val="-2"/>
                <w:w w:val="105"/>
                <w:sz w:val="13"/>
              </w:rPr>
              <w:t>expenses</w:t>
            </w:r>
          </w:p>
        </w:tc>
        <w:tc>
          <w:tcPr>
            <w:tcW w:w="476" w:type="dxa"/>
          </w:tcPr>
          <w:p>
            <w:pPr>
              <w:pStyle w:val="TableParagraph"/>
              <w:rPr>
                <w:rFonts w:ascii="Times New Roman"/>
                <w:sz w:val="10"/>
              </w:rPr>
            </w:pPr>
          </w:p>
        </w:tc>
        <w:tc>
          <w:tcPr>
            <w:tcW w:w="940" w:type="dxa"/>
            <w:tcBorders>
              <w:bottom w:val="single" w:sz="6" w:space="0" w:color="000000"/>
            </w:tcBorders>
          </w:tcPr>
          <w:p>
            <w:pPr>
              <w:pStyle w:val="TableParagraph"/>
              <w:spacing w:line="133" w:lineRule="exact" w:before="11"/>
              <w:ind w:right="157"/>
              <w:jc w:val="right"/>
              <w:rPr>
                <w:sz w:val="13"/>
              </w:rPr>
            </w:pPr>
            <w:r>
              <w:rPr>
                <w:spacing w:val="-2"/>
                <w:w w:val="105"/>
                <w:sz w:val="13"/>
              </w:rPr>
              <w:t>(19,591)</w:t>
            </w:r>
          </w:p>
        </w:tc>
        <w:tc>
          <w:tcPr>
            <w:tcW w:w="890" w:type="dxa"/>
            <w:tcBorders>
              <w:bottom w:val="single" w:sz="6" w:space="0" w:color="000000"/>
            </w:tcBorders>
          </w:tcPr>
          <w:p>
            <w:pPr>
              <w:pStyle w:val="TableParagraph"/>
              <w:spacing w:line="133" w:lineRule="exact" w:before="11"/>
              <w:ind w:right="129"/>
              <w:jc w:val="right"/>
              <w:rPr>
                <w:sz w:val="13"/>
              </w:rPr>
            </w:pPr>
            <w:r>
              <w:rPr>
                <w:spacing w:val="-2"/>
                <w:w w:val="105"/>
                <w:sz w:val="13"/>
              </w:rPr>
              <w:t>(17,082)</w:t>
            </w:r>
          </w:p>
        </w:tc>
        <w:tc>
          <w:tcPr>
            <w:tcW w:w="804" w:type="dxa"/>
            <w:tcBorders>
              <w:bottom w:val="single" w:sz="6" w:space="0" w:color="000000"/>
            </w:tcBorders>
          </w:tcPr>
          <w:p>
            <w:pPr>
              <w:pStyle w:val="TableParagraph"/>
              <w:spacing w:line="133" w:lineRule="exact" w:before="11"/>
              <w:ind w:right="130"/>
              <w:jc w:val="right"/>
              <w:rPr>
                <w:sz w:val="13"/>
              </w:rPr>
            </w:pPr>
            <w:r>
              <w:rPr>
                <w:spacing w:val="-2"/>
                <w:w w:val="105"/>
                <w:sz w:val="13"/>
              </w:rPr>
              <w:t>(6,638)</w:t>
            </w:r>
          </w:p>
        </w:tc>
        <w:tc>
          <w:tcPr>
            <w:tcW w:w="804" w:type="dxa"/>
            <w:tcBorders>
              <w:bottom w:val="single" w:sz="6" w:space="0" w:color="000000"/>
            </w:tcBorders>
          </w:tcPr>
          <w:p>
            <w:pPr>
              <w:pStyle w:val="TableParagraph"/>
              <w:spacing w:line="133" w:lineRule="exact" w:before="11"/>
              <w:ind w:right="131"/>
              <w:jc w:val="right"/>
              <w:rPr>
                <w:sz w:val="13"/>
              </w:rPr>
            </w:pPr>
            <w:r>
              <w:rPr>
                <w:spacing w:val="-2"/>
                <w:w w:val="105"/>
                <w:sz w:val="13"/>
              </w:rPr>
              <w:t>(3,423)</w:t>
            </w:r>
          </w:p>
        </w:tc>
        <w:tc>
          <w:tcPr>
            <w:tcW w:w="804" w:type="dxa"/>
            <w:tcBorders>
              <w:bottom w:val="single" w:sz="6" w:space="0" w:color="000000"/>
            </w:tcBorders>
          </w:tcPr>
          <w:p>
            <w:pPr>
              <w:pStyle w:val="TableParagraph"/>
              <w:spacing w:line="133" w:lineRule="exact" w:before="11"/>
              <w:ind w:right="132"/>
              <w:jc w:val="right"/>
              <w:rPr>
                <w:sz w:val="13"/>
              </w:rPr>
            </w:pPr>
            <w:r>
              <w:rPr>
                <w:spacing w:val="-2"/>
                <w:w w:val="105"/>
                <w:sz w:val="13"/>
              </w:rPr>
              <w:t>(4,571)</w:t>
            </w:r>
          </w:p>
        </w:tc>
        <w:tc>
          <w:tcPr>
            <w:tcW w:w="804" w:type="dxa"/>
            <w:tcBorders>
              <w:bottom w:val="single" w:sz="6" w:space="0" w:color="000000"/>
            </w:tcBorders>
          </w:tcPr>
          <w:p>
            <w:pPr>
              <w:pStyle w:val="TableParagraph"/>
              <w:spacing w:line="133" w:lineRule="exact" w:before="11"/>
              <w:ind w:right="132"/>
              <w:jc w:val="right"/>
              <w:rPr>
                <w:sz w:val="13"/>
              </w:rPr>
            </w:pPr>
            <w:r>
              <w:rPr>
                <w:spacing w:val="-2"/>
                <w:w w:val="105"/>
                <w:sz w:val="13"/>
              </w:rPr>
              <w:t>(4,628)</w:t>
            </w:r>
          </w:p>
        </w:tc>
        <w:tc>
          <w:tcPr>
            <w:tcW w:w="804" w:type="dxa"/>
            <w:tcBorders>
              <w:bottom w:val="single" w:sz="6" w:space="0" w:color="000000"/>
            </w:tcBorders>
          </w:tcPr>
          <w:p>
            <w:pPr>
              <w:pStyle w:val="TableParagraph"/>
              <w:spacing w:line="133" w:lineRule="exact" w:before="11"/>
              <w:ind w:right="133"/>
              <w:jc w:val="right"/>
              <w:rPr>
                <w:sz w:val="13"/>
              </w:rPr>
            </w:pPr>
            <w:r>
              <w:rPr>
                <w:spacing w:val="-2"/>
                <w:w w:val="105"/>
                <w:sz w:val="13"/>
              </w:rPr>
              <w:t>(30,800)</w:t>
            </w:r>
          </w:p>
        </w:tc>
        <w:tc>
          <w:tcPr>
            <w:tcW w:w="699" w:type="dxa"/>
            <w:tcBorders>
              <w:bottom w:val="single" w:sz="6" w:space="0" w:color="000000"/>
            </w:tcBorders>
          </w:tcPr>
          <w:p>
            <w:pPr>
              <w:pStyle w:val="TableParagraph"/>
              <w:spacing w:line="133" w:lineRule="exact" w:before="11"/>
              <w:ind w:right="29"/>
              <w:jc w:val="right"/>
              <w:rPr>
                <w:sz w:val="13"/>
              </w:rPr>
            </w:pPr>
            <w:r>
              <w:rPr>
                <w:spacing w:val="-2"/>
                <w:w w:val="105"/>
                <w:sz w:val="13"/>
              </w:rPr>
              <w:t>(25,133)</w:t>
            </w:r>
          </w:p>
        </w:tc>
      </w:tr>
      <w:tr>
        <w:trPr>
          <w:trHeight w:val="155" w:hRule="atLeast"/>
        </w:trPr>
        <w:tc>
          <w:tcPr>
            <w:tcW w:w="334" w:type="dxa"/>
          </w:tcPr>
          <w:p>
            <w:pPr>
              <w:pStyle w:val="TableParagraph"/>
              <w:rPr>
                <w:rFonts w:ascii="Times New Roman"/>
                <w:sz w:val="10"/>
              </w:rPr>
            </w:pPr>
          </w:p>
        </w:tc>
        <w:tc>
          <w:tcPr>
            <w:tcW w:w="3311" w:type="dxa"/>
          </w:tcPr>
          <w:p>
            <w:pPr>
              <w:pStyle w:val="TableParagraph"/>
              <w:spacing w:line="133" w:lineRule="exact" w:before="2"/>
              <w:ind w:left="226"/>
              <w:rPr>
                <w:sz w:val="13"/>
              </w:rPr>
            </w:pPr>
            <w:r>
              <w:rPr>
                <w:w w:val="105"/>
                <w:sz w:val="13"/>
              </w:rPr>
              <w:t>Surplus/(deficit)</w:t>
            </w:r>
            <w:r>
              <w:rPr>
                <w:spacing w:val="-5"/>
                <w:w w:val="105"/>
                <w:sz w:val="13"/>
              </w:rPr>
              <w:t> </w:t>
            </w:r>
            <w:r>
              <w:rPr>
                <w:w w:val="105"/>
                <w:sz w:val="13"/>
              </w:rPr>
              <w:t>for</w:t>
            </w:r>
            <w:r>
              <w:rPr>
                <w:spacing w:val="-5"/>
                <w:w w:val="105"/>
                <w:sz w:val="13"/>
              </w:rPr>
              <w:t> </w:t>
            </w:r>
            <w:r>
              <w:rPr>
                <w:w w:val="105"/>
                <w:sz w:val="13"/>
              </w:rPr>
              <w:t>the</w:t>
            </w:r>
            <w:r>
              <w:rPr>
                <w:spacing w:val="-4"/>
                <w:w w:val="105"/>
                <w:sz w:val="13"/>
              </w:rPr>
              <w:t> </w:t>
            </w:r>
            <w:r>
              <w:rPr>
                <w:w w:val="105"/>
                <w:sz w:val="13"/>
              </w:rPr>
              <w:t>reporting</w:t>
            </w:r>
            <w:r>
              <w:rPr>
                <w:spacing w:val="-3"/>
                <w:w w:val="105"/>
                <w:sz w:val="13"/>
              </w:rPr>
              <w:t> </w:t>
            </w:r>
            <w:r>
              <w:rPr>
                <w:spacing w:val="-2"/>
                <w:w w:val="105"/>
                <w:sz w:val="13"/>
              </w:rPr>
              <w:t>period</w:t>
            </w:r>
          </w:p>
        </w:tc>
        <w:tc>
          <w:tcPr>
            <w:tcW w:w="476" w:type="dxa"/>
          </w:tcPr>
          <w:p>
            <w:pPr>
              <w:pStyle w:val="TableParagraph"/>
              <w:rPr>
                <w:rFonts w:ascii="Times New Roman"/>
                <w:sz w:val="10"/>
              </w:rPr>
            </w:pPr>
          </w:p>
        </w:tc>
        <w:tc>
          <w:tcPr>
            <w:tcW w:w="940" w:type="dxa"/>
            <w:tcBorders>
              <w:top w:val="single" w:sz="6" w:space="0" w:color="000000"/>
              <w:bottom w:val="single" w:sz="6" w:space="0" w:color="000000"/>
            </w:tcBorders>
          </w:tcPr>
          <w:p>
            <w:pPr>
              <w:pStyle w:val="TableParagraph"/>
              <w:spacing w:line="133" w:lineRule="exact" w:before="2"/>
              <w:ind w:left="385"/>
              <w:rPr>
                <w:sz w:val="13"/>
              </w:rPr>
            </w:pPr>
            <w:r>
              <w:rPr>
                <w:spacing w:val="-2"/>
                <w:w w:val="105"/>
                <w:sz w:val="13"/>
              </w:rPr>
              <w:t>9,674</w:t>
            </w:r>
          </w:p>
        </w:tc>
        <w:tc>
          <w:tcPr>
            <w:tcW w:w="890" w:type="dxa"/>
            <w:tcBorders>
              <w:top w:val="single" w:sz="6" w:space="0" w:color="000000"/>
              <w:bottom w:val="single" w:sz="6" w:space="0" w:color="000000"/>
            </w:tcBorders>
          </w:tcPr>
          <w:p>
            <w:pPr>
              <w:pStyle w:val="TableParagraph"/>
              <w:spacing w:line="133" w:lineRule="exact" w:before="2"/>
              <w:ind w:left="285"/>
              <w:rPr>
                <w:sz w:val="13"/>
              </w:rPr>
            </w:pPr>
            <w:r>
              <w:rPr>
                <w:spacing w:val="-2"/>
                <w:w w:val="105"/>
                <w:sz w:val="13"/>
              </w:rPr>
              <w:t>11,439</w:t>
            </w:r>
          </w:p>
        </w:tc>
        <w:tc>
          <w:tcPr>
            <w:tcW w:w="804" w:type="dxa"/>
            <w:tcBorders>
              <w:top w:val="single" w:sz="6" w:space="0" w:color="000000"/>
              <w:bottom w:val="single" w:sz="6" w:space="0" w:color="000000"/>
            </w:tcBorders>
          </w:tcPr>
          <w:p>
            <w:pPr>
              <w:pStyle w:val="TableParagraph"/>
              <w:spacing w:line="133" w:lineRule="exact" w:before="2"/>
              <w:ind w:left="391"/>
              <w:rPr>
                <w:sz w:val="13"/>
              </w:rPr>
            </w:pPr>
            <w:r>
              <w:rPr>
                <w:spacing w:val="-5"/>
                <w:w w:val="105"/>
                <w:sz w:val="13"/>
              </w:rPr>
              <w:t>558</w:t>
            </w:r>
          </w:p>
        </w:tc>
        <w:tc>
          <w:tcPr>
            <w:tcW w:w="804" w:type="dxa"/>
            <w:tcBorders>
              <w:top w:val="single" w:sz="6" w:space="0" w:color="000000"/>
              <w:bottom w:val="single" w:sz="6" w:space="0" w:color="000000"/>
            </w:tcBorders>
          </w:tcPr>
          <w:p>
            <w:pPr>
              <w:pStyle w:val="TableParagraph"/>
              <w:spacing w:line="133" w:lineRule="exact" w:before="2"/>
              <w:ind w:right="178"/>
              <w:jc w:val="right"/>
              <w:rPr>
                <w:sz w:val="13"/>
              </w:rPr>
            </w:pPr>
            <w:r>
              <w:rPr>
                <w:spacing w:val="-2"/>
                <w:w w:val="105"/>
                <w:sz w:val="13"/>
              </w:rPr>
              <w:t>3,963</w:t>
            </w:r>
          </w:p>
        </w:tc>
        <w:tc>
          <w:tcPr>
            <w:tcW w:w="804" w:type="dxa"/>
            <w:tcBorders>
              <w:top w:val="single" w:sz="6" w:space="0" w:color="000000"/>
              <w:bottom w:val="single" w:sz="6" w:space="0" w:color="000000"/>
            </w:tcBorders>
          </w:tcPr>
          <w:p>
            <w:pPr>
              <w:pStyle w:val="TableParagraph"/>
              <w:spacing w:line="133" w:lineRule="exact" w:before="2"/>
              <w:ind w:right="132"/>
              <w:jc w:val="right"/>
              <w:rPr>
                <w:sz w:val="13"/>
              </w:rPr>
            </w:pPr>
            <w:r>
              <w:rPr>
                <w:spacing w:val="-4"/>
                <w:w w:val="105"/>
                <w:sz w:val="13"/>
              </w:rPr>
              <w:t>(19)</w:t>
            </w:r>
          </w:p>
        </w:tc>
        <w:tc>
          <w:tcPr>
            <w:tcW w:w="804" w:type="dxa"/>
            <w:tcBorders>
              <w:top w:val="single" w:sz="6" w:space="0" w:color="000000"/>
              <w:bottom w:val="single" w:sz="6" w:space="0" w:color="000000"/>
            </w:tcBorders>
          </w:tcPr>
          <w:p>
            <w:pPr>
              <w:pStyle w:val="TableParagraph"/>
              <w:spacing w:line="133" w:lineRule="exact" w:before="2"/>
              <w:ind w:right="180"/>
              <w:jc w:val="right"/>
              <w:rPr>
                <w:sz w:val="13"/>
              </w:rPr>
            </w:pPr>
            <w:r>
              <w:rPr>
                <w:spacing w:val="-5"/>
                <w:w w:val="105"/>
                <w:sz w:val="13"/>
              </w:rPr>
              <w:t>479</w:t>
            </w:r>
          </w:p>
        </w:tc>
        <w:tc>
          <w:tcPr>
            <w:tcW w:w="804" w:type="dxa"/>
            <w:tcBorders>
              <w:top w:val="single" w:sz="6" w:space="0" w:color="000000"/>
              <w:bottom w:val="single" w:sz="6" w:space="0" w:color="000000"/>
            </w:tcBorders>
          </w:tcPr>
          <w:p>
            <w:pPr>
              <w:pStyle w:val="TableParagraph"/>
              <w:spacing w:line="133" w:lineRule="exact" w:before="2"/>
              <w:ind w:right="180"/>
              <w:jc w:val="right"/>
              <w:rPr>
                <w:sz w:val="13"/>
              </w:rPr>
            </w:pPr>
            <w:r>
              <w:rPr>
                <w:spacing w:val="-2"/>
                <w:w w:val="105"/>
                <w:sz w:val="13"/>
              </w:rPr>
              <w:t>10,213</w:t>
            </w:r>
          </w:p>
        </w:tc>
        <w:tc>
          <w:tcPr>
            <w:tcW w:w="699" w:type="dxa"/>
            <w:tcBorders>
              <w:top w:val="single" w:sz="6" w:space="0" w:color="000000"/>
              <w:bottom w:val="single" w:sz="6" w:space="0" w:color="000000"/>
            </w:tcBorders>
          </w:tcPr>
          <w:p>
            <w:pPr>
              <w:pStyle w:val="TableParagraph"/>
              <w:spacing w:line="133" w:lineRule="exact" w:before="2"/>
              <w:ind w:right="76"/>
              <w:jc w:val="right"/>
              <w:rPr>
                <w:sz w:val="13"/>
              </w:rPr>
            </w:pPr>
            <w:r>
              <w:rPr>
                <w:spacing w:val="-2"/>
                <w:w w:val="105"/>
                <w:sz w:val="13"/>
              </w:rPr>
              <w:t>15,881</w:t>
            </w:r>
          </w:p>
        </w:tc>
      </w:tr>
    </w:tbl>
    <w:p>
      <w:pPr>
        <w:spacing w:after="0" w:line="133" w:lineRule="exact"/>
        <w:jc w:val="right"/>
        <w:rPr>
          <w:sz w:val="13"/>
        </w:rPr>
        <w:sectPr>
          <w:type w:val="continuous"/>
          <w:pgSz w:w="16840" w:h="11910" w:orient="landscape"/>
          <w:pgMar w:header="0" w:footer="0" w:top="980" w:bottom="280" w:left="1040" w:right="1600"/>
        </w:sectPr>
      </w:pPr>
    </w:p>
    <w:p>
      <w:pPr>
        <w:spacing w:before="74"/>
        <w:ind w:left="133" w:right="0" w:firstLine="0"/>
        <w:jc w:val="left"/>
        <w:rPr>
          <w:sz w:val="21"/>
        </w:rPr>
      </w:pPr>
      <w:r>
        <w:rPr>
          <w:color w:val="0070C0"/>
          <w:spacing w:val="-2"/>
          <w:w w:val="105"/>
          <w:sz w:val="21"/>
        </w:rPr>
        <w:t>NOTES</w:t>
      </w:r>
      <w:r>
        <w:rPr>
          <w:color w:val="0070C0"/>
          <w:spacing w:val="-6"/>
          <w:w w:val="105"/>
          <w:sz w:val="21"/>
        </w:rPr>
        <w:t> </w:t>
      </w:r>
      <w:r>
        <w:rPr>
          <w:color w:val="0070C0"/>
          <w:spacing w:val="-2"/>
          <w:w w:val="105"/>
          <w:sz w:val="21"/>
        </w:rPr>
        <w:t>TO</w:t>
      </w:r>
      <w:r>
        <w:rPr>
          <w:color w:val="0070C0"/>
          <w:spacing w:val="-7"/>
          <w:w w:val="105"/>
          <w:sz w:val="21"/>
        </w:rPr>
        <w:t> </w:t>
      </w:r>
      <w:r>
        <w:rPr>
          <w:color w:val="0070C0"/>
          <w:spacing w:val="-2"/>
          <w:w w:val="105"/>
          <w:sz w:val="21"/>
        </w:rPr>
        <w:t>THE</w:t>
      </w:r>
      <w:r>
        <w:rPr>
          <w:color w:val="0070C0"/>
          <w:spacing w:val="-5"/>
          <w:w w:val="105"/>
          <w:sz w:val="21"/>
        </w:rPr>
        <w:t> </w:t>
      </w:r>
      <w:r>
        <w:rPr>
          <w:color w:val="0070C0"/>
          <w:spacing w:val="-2"/>
          <w:w w:val="105"/>
          <w:sz w:val="21"/>
        </w:rPr>
        <w:t>FINANCIAL</w:t>
      </w:r>
      <w:r>
        <w:rPr>
          <w:color w:val="0070C0"/>
          <w:spacing w:val="-6"/>
          <w:w w:val="105"/>
          <w:sz w:val="21"/>
        </w:rPr>
        <w:t> </w:t>
      </w:r>
      <w:r>
        <w:rPr>
          <w:color w:val="0070C0"/>
          <w:spacing w:val="-2"/>
          <w:w w:val="105"/>
          <w:sz w:val="21"/>
        </w:rPr>
        <w:t>STATEMENTS</w:t>
      </w:r>
    </w:p>
    <w:p>
      <w:pPr>
        <w:spacing w:before="21"/>
        <w:ind w:left="118" w:right="0" w:firstLine="0"/>
        <w:jc w:val="left"/>
        <w:rPr>
          <w:sz w:val="12"/>
        </w:rPr>
      </w:pPr>
      <w:r>
        <w:rPr>
          <w:w w:val="105"/>
          <w:sz w:val="12"/>
        </w:rPr>
        <w:t>for</w:t>
      </w:r>
      <w:r>
        <w:rPr>
          <w:spacing w:val="-6"/>
          <w:w w:val="105"/>
          <w:sz w:val="12"/>
        </w:rPr>
        <w:t> </w:t>
      </w:r>
      <w:r>
        <w:rPr>
          <w:w w:val="105"/>
          <w:sz w:val="12"/>
        </w:rPr>
        <w:t>the</w:t>
      </w:r>
      <w:r>
        <w:rPr>
          <w:spacing w:val="-7"/>
          <w:w w:val="105"/>
          <w:sz w:val="12"/>
        </w:rPr>
        <w:t> </w:t>
      </w:r>
      <w:r>
        <w:rPr>
          <w:w w:val="105"/>
          <w:sz w:val="12"/>
        </w:rPr>
        <w:t>year</w:t>
      </w:r>
      <w:r>
        <w:rPr>
          <w:spacing w:val="-6"/>
          <w:w w:val="105"/>
          <w:sz w:val="12"/>
        </w:rPr>
        <w:t> </w:t>
      </w:r>
      <w:r>
        <w:rPr>
          <w:w w:val="105"/>
          <w:sz w:val="12"/>
        </w:rPr>
        <w:t>ended</w:t>
      </w:r>
      <w:r>
        <w:rPr>
          <w:spacing w:val="-7"/>
          <w:w w:val="105"/>
          <w:sz w:val="12"/>
        </w:rPr>
        <w:t> </w:t>
      </w:r>
      <w:r>
        <w:rPr>
          <w:w w:val="105"/>
          <w:sz w:val="12"/>
        </w:rPr>
        <w:t>31</w:t>
      </w:r>
      <w:r>
        <w:rPr>
          <w:spacing w:val="-7"/>
          <w:w w:val="105"/>
          <w:sz w:val="12"/>
        </w:rPr>
        <w:t> </w:t>
      </w:r>
      <w:r>
        <w:rPr>
          <w:w w:val="105"/>
          <w:sz w:val="12"/>
        </w:rPr>
        <w:t>December</w:t>
      </w:r>
      <w:r>
        <w:rPr>
          <w:spacing w:val="-6"/>
          <w:w w:val="105"/>
          <w:sz w:val="12"/>
        </w:rPr>
        <w:t> </w:t>
      </w:r>
      <w:r>
        <w:rPr>
          <w:spacing w:val="-4"/>
          <w:w w:val="105"/>
          <w:sz w:val="12"/>
        </w:rPr>
        <w:t>2020</w:t>
      </w:r>
    </w:p>
    <w:p>
      <w:pPr>
        <w:spacing w:line="240" w:lineRule="auto" w:before="16"/>
        <w:rPr>
          <w:sz w:val="20"/>
        </w:rPr>
      </w:pPr>
    </w:p>
    <w:p>
      <w:pPr>
        <w:spacing w:after="0" w:line="240" w:lineRule="auto"/>
        <w:rPr>
          <w:sz w:val="20"/>
        </w:rPr>
        <w:sectPr>
          <w:headerReference w:type="default" r:id="rId126"/>
          <w:pgSz w:w="16840" w:h="11910" w:orient="landscape"/>
          <w:pgMar w:header="0" w:footer="0" w:top="1060" w:bottom="280" w:left="1040" w:right="1600"/>
        </w:sectPr>
      </w:pPr>
    </w:p>
    <w:p>
      <w:pPr>
        <w:spacing w:line="240" w:lineRule="auto" w:before="0"/>
        <w:rPr>
          <w:sz w:val="13"/>
        </w:rPr>
      </w:pPr>
    </w:p>
    <w:p>
      <w:pPr>
        <w:spacing w:line="240" w:lineRule="auto" w:before="0"/>
        <w:rPr>
          <w:sz w:val="13"/>
        </w:rPr>
      </w:pPr>
    </w:p>
    <w:p>
      <w:pPr>
        <w:spacing w:line="240" w:lineRule="auto" w:before="0"/>
        <w:rPr>
          <w:sz w:val="13"/>
        </w:rPr>
      </w:pPr>
    </w:p>
    <w:p>
      <w:pPr>
        <w:spacing w:line="240" w:lineRule="auto" w:before="0"/>
        <w:rPr>
          <w:sz w:val="13"/>
        </w:rPr>
      </w:pPr>
    </w:p>
    <w:p>
      <w:pPr>
        <w:spacing w:line="240" w:lineRule="auto" w:before="26"/>
        <w:rPr>
          <w:sz w:val="13"/>
        </w:rPr>
      </w:pPr>
    </w:p>
    <w:p>
      <w:pPr>
        <w:pStyle w:val="ListParagraph"/>
        <w:numPr>
          <w:ilvl w:val="0"/>
          <w:numId w:val="49"/>
        </w:numPr>
        <w:tabs>
          <w:tab w:pos="657" w:val="left" w:leader="none"/>
        </w:tabs>
        <w:spacing w:line="240" w:lineRule="auto" w:before="0" w:after="0"/>
        <w:ind w:left="657" w:right="0" w:hanging="536"/>
        <w:jc w:val="left"/>
        <w:rPr>
          <w:b/>
          <w:color w:val="0070C0"/>
          <w:sz w:val="13"/>
          <w:u w:val="single" w:color="000000"/>
        </w:rPr>
      </w:pPr>
      <w:r>
        <w:rPr>
          <w:b/>
          <w:color w:val="0070C0"/>
          <w:spacing w:val="-2"/>
          <w:w w:val="105"/>
          <w:position w:val="1"/>
          <w:sz w:val="13"/>
        </w:rPr>
        <w:t>Other</w:t>
      </w:r>
      <w:r>
        <w:rPr>
          <w:b/>
          <w:color w:val="0070C0"/>
          <w:spacing w:val="3"/>
          <w:w w:val="105"/>
          <w:position w:val="1"/>
          <w:sz w:val="13"/>
        </w:rPr>
        <w:t> </w:t>
      </w:r>
      <w:r>
        <w:rPr>
          <w:b/>
          <w:color w:val="0070C0"/>
          <w:spacing w:val="-2"/>
          <w:w w:val="105"/>
          <w:position w:val="1"/>
          <w:sz w:val="13"/>
        </w:rPr>
        <w:t>Australian</w:t>
      </w:r>
      <w:r>
        <w:rPr>
          <w:b/>
          <w:color w:val="0070C0"/>
          <w:spacing w:val="6"/>
          <w:w w:val="105"/>
          <w:position w:val="1"/>
          <w:sz w:val="13"/>
        </w:rPr>
        <w:t> </w:t>
      </w:r>
      <w:r>
        <w:rPr>
          <w:b/>
          <w:color w:val="0070C0"/>
          <w:spacing w:val="-2"/>
          <w:w w:val="105"/>
          <w:position w:val="1"/>
          <w:sz w:val="13"/>
        </w:rPr>
        <w:t>Government</w:t>
      </w:r>
      <w:r>
        <w:rPr>
          <w:b/>
          <w:color w:val="0070C0"/>
          <w:spacing w:val="4"/>
          <w:w w:val="105"/>
          <w:position w:val="1"/>
          <w:sz w:val="13"/>
        </w:rPr>
        <w:t> </w:t>
      </w:r>
      <w:r>
        <w:rPr>
          <w:b/>
          <w:color w:val="0070C0"/>
          <w:spacing w:val="-2"/>
          <w:w w:val="105"/>
          <w:position w:val="1"/>
          <w:sz w:val="13"/>
        </w:rPr>
        <w:t>Financial</w:t>
      </w:r>
    </w:p>
    <w:p>
      <w:pPr>
        <w:spacing w:line="280" w:lineRule="auto" w:before="101"/>
        <w:ind w:left="306" w:right="8634" w:firstLine="8"/>
        <w:jc w:val="center"/>
        <w:rPr>
          <w:b/>
          <w:sz w:val="13"/>
        </w:rPr>
      </w:pPr>
      <w:r>
        <w:rPr/>
        <w:br w:type="column"/>
      </w:r>
      <w:r>
        <w:rPr>
          <w:b/>
          <w:spacing w:val="-2"/>
          <w:w w:val="105"/>
          <w:sz w:val="13"/>
        </w:rPr>
        <w:t>University</w:t>
      </w:r>
      <w:r>
        <w:rPr>
          <w:b/>
          <w:spacing w:val="80"/>
          <w:w w:val="105"/>
          <w:sz w:val="13"/>
        </w:rPr>
        <w:t> </w:t>
      </w:r>
      <w:r>
        <w:rPr>
          <w:b/>
          <w:spacing w:val="-2"/>
          <w:w w:val="105"/>
          <w:sz w:val="13"/>
        </w:rPr>
        <w:t>Other</w:t>
      </w:r>
      <w:r>
        <w:rPr>
          <w:b/>
          <w:spacing w:val="-8"/>
          <w:w w:val="105"/>
          <w:sz w:val="13"/>
        </w:rPr>
        <w:t> </w:t>
      </w:r>
      <w:r>
        <w:rPr>
          <w:b/>
          <w:spacing w:val="-2"/>
          <w:w w:val="105"/>
          <w:sz w:val="13"/>
        </w:rPr>
        <w:t>Australian</w:t>
      </w:r>
    </w:p>
    <w:p>
      <w:pPr>
        <w:spacing w:line="280" w:lineRule="auto" w:before="1"/>
        <w:ind w:left="121" w:right="8451" w:firstLine="0"/>
        <w:jc w:val="center"/>
        <w:rPr>
          <w:b/>
          <w:sz w:val="13"/>
        </w:rPr>
      </w:pPr>
      <w:r>
        <w:rPr>
          <w:b/>
          <w:spacing w:val="-2"/>
          <w:w w:val="105"/>
          <w:sz w:val="13"/>
        </w:rPr>
        <w:t>Government</w:t>
      </w:r>
      <w:r>
        <w:rPr>
          <w:b/>
          <w:spacing w:val="-6"/>
          <w:w w:val="105"/>
          <w:sz w:val="13"/>
        </w:rPr>
        <w:t> </w:t>
      </w:r>
      <w:r>
        <w:rPr>
          <w:b/>
          <w:spacing w:val="-2"/>
          <w:w w:val="105"/>
          <w:sz w:val="13"/>
        </w:rPr>
        <w:t>Financial</w:t>
      </w:r>
      <w:r>
        <w:rPr>
          <w:b/>
          <w:spacing w:val="40"/>
          <w:w w:val="105"/>
          <w:sz w:val="13"/>
        </w:rPr>
        <w:t> </w:t>
      </w:r>
      <w:r>
        <w:rPr>
          <w:b/>
          <w:spacing w:val="-2"/>
          <w:w w:val="105"/>
          <w:sz w:val="13"/>
        </w:rPr>
        <w:t>Assistance</w:t>
      </w:r>
    </w:p>
    <w:p>
      <w:pPr>
        <w:tabs>
          <w:tab w:pos="850" w:val="left" w:leader="none"/>
        </w:tabs>
        <w:spacing w:line="131" w:lineRule="exact" w:before="0"/>
        <w:ind w:left="0" w:right="8379" w:firstLine="0"/>
        <w:jc w:val="center"/>
        <w:rPr>
          <w:b/>
          <w:sz w:val="13"/>
        </w:rPr>
      </w:pPr>
      <w:r>
        <w:rPr>
          <w:b/>
          <w:spacing w:val="-4"/>
          <w:w w:val="105"/>
          <w:sz w:val="13"/>
        </w:rPr>
        <w:t>2020</w:t>
      </w:r>
      <w:r>
        <w:rPr>
          <w:b/>
          <w:sz w:val="13"/>
        </w:rPr>
        <w:tab/>
      </w:r>
      <w:r>
        <w:rPr>
          <w:b/>
          <w:spacing w:val="-4"/>
          <w:w w:val="105"/>
          <w:sz w:val="13"/>
        </w:rPr>
        <w:t>2019</w:t>
      </w:r>
    </w:p>
    <w:p>
      <w:pPr>
        <w:spacing w:after="0" w:line="131" w:lineRule="exact"/>
        <w:jc w:val="center"/>
        <w:rPr>
          <w:sz w:val="13"/>
        </w:rPr>
        <w:sectPr>
          <w:type w:val="continuous"/>
          <w:pgSz w:w="16840" w:h="11910" w:orient="landscape"/>
          <w:pgMar w:header="0" w:footer="0" w:top="980" w:bottom="280" w:left="1040" w:right="1600"/>
          <w:cols w:num="2" w:equalWidth="0">
            <w:col w:w="3226" w:space="968"/>
            <w:col w:w="10006"/>
          </w:cols>
        </w:sectPr>
      </w:pPr>
    </w:p>
    <w:p>
      <w:pPr>
        <w:tabs>
          <w:tab w:pos="657" w:val="left" w:leader="none"/>
          <w:tab w:pos="4411" w:val="left" w:leader="none"/>
          <w:tab w:pos="5261" w:val="left" w:leader="none"/>
          <w:tab w:pos="5879" w:val="left" w:leader="none"/>
        </w:tabs>
        <w:spacing w:before="19"/>
        <w:ind w:left="103" w:right="0" w:firstLine="0"/>
        <w:jc w:val="left"/>
        <w:rPr>
          <w:b/>
          <w:sz w:val="13"/>
        </w:rPr>
      </w:pPr>
      <w:r>
        <w:rPr/>
        <mc:AlternateContent>
          <mc:Choice Requires="wps">
            <w:drawing>
              <wp:anchor distT="0" distB="0" distL="0" distR="0" allowOverlap="1" layoutInCell="1" locked="0" behindDoc="0" simplePos="0" relativeHeight="15921152">
                <wp:simplePos x="0" y="0"/>
                <wp:positionH relativeFrom="page">
                  <wp:posOffset>10213244</wp:posOffset>
                </wp:positionH>
                <wp:positionV relativeFrom="page">
                  <wp:posOffset>7098445</wp:posOffset>
                </wp:positionV>
                <wp:extent cx="194310" cy="203835"/>
                <wp:effectExtent l="0" t="0" r="0" b="0"/>
                <wp:wrapNone/>
                <wp:docPr id="1019" name="Textbox 1019"/>
                <wp:cNvGraphicFramePr>
                  <a:graphicFrameLocks/>
                </wp:cNvGraphicFramePr>
                <a:graphic>
                  <a:graphicData uri="http://schemas.microsoft.com/office/word/2010/wordprocessingShape">
                    <wps:wsp>
                      <wps:cNvPr id="1019" name="Textbox 1019"/>
                      <wps:cNvSpPr txBox="1"/>
                      <wps:spPr>
                        <a:xfrm>
                          <a:off x="0" y="0"/>
                          <a:ext cx="194310" cy="203835"/>
                        </a:xfrm>
                        <a:prstGeom prst="rect">
                          <a:avLst/>
                        </a:prstGeom>
                      </wps:spPr>
                      <wps:txbx>
                        <w:txbxContent>
                          <w:p>
                            <w:pPr>
                              <w:spacing w:before="48"/>
                              <w:ind w:left="20" w:right="0" w:firstLine="0"/>
                              <w:jc w:val="left"/>
                              <w:rPr>
                                <w:rFonts w:ascii="TT Norms Pro"/>
                                <w:b/>
                                <w:sz w:val="20"/>
                              </w:rPr>
                            </w:pPr>
                            <w:r>
                              <w:rPr>
                                <w:rFonts w:ascii="TT Norms Pro"/>
                                <w:b/>
                                <w:spacing w:val="-5"/>
                                <w:sz w:val="20"/>
                              </w:rPr>
                              <w:t>119</w:t>
                            </w:r>
                          </w:p>
                        </w:txbxContent>
                      </wps:txbx>
                      <wps:bodyPr wrap="square" lIns="0" tIns="0" rIns="0" bIns="0" rtlCol="0" vert="vert">
                        <a:noAutofit/>
                      </wps:bodyPr>
                    </wps:wsp>
                  </a:graphicData>
                </a:graphic>
              </wp:anchor>
            </w:drawing>
          </mc:Choice>
          <mc:Fallback>
            <w:pict>
              <v:shape style="position:absolute;margin-left:804.192505pt;margin-top:558.932678pt;width:15.3pt;height:16.05pt;mso-position-horizontal-relative:page;mso-position-vertical-relative:page;z-index:15921152" type="#_x0000_t202" id="docshape705" filled="false" stroked="false">
                <v:textbox inset="0,0,0,0" style="layout-flow:vertical">
                  <w:txbxContent>
                    <w:p>
                      <w:pPr>
                        <w:spacing w:before="48"/>
                        <w:ind w:left="20" w:right="0" w:firstLine="0"/>
                        <w:jc w:val="left"/>
                        <w:rPr>
                          <w:rFonts w:ascii="TT Norms Pro"/>
                          <w:b/>
                          <w:sz w:val="20"/>
                        </w:rPr>
                      </w:pPr>
                      <w:r>
                        <w:rPr>
                          <w:rFonts w:ascii="TT Norms Pro"/>
                          <w:b/>
                          <w:spacing w:val="-5"/>
                          <w:sz w:val="20"/>
                        </w:rPr>
                        <w:t>119</w:t>
                      </w:r>
                    </w:p>
                  </w:txbxContent>
                </v:textbox>
                <w10:wrap type="none"/>
              </v:shape>
            </w:pict>
          </mc:Fallback>
        </mc:AlternateContent>
      </w:r>
      <w:r>
        <w:rPr/>
        <mc:AlternateContent>
          <mc:Choice Requires="wps">
            <w:drawing>
              <wp:anchor distT="0" distB="0" distL="0" distR="0" allowOverlap="1" layoutInCell="1" locked="0" behindDoc="0" simplePos="0" relativeHeight="15921664">
                <wp:simplePos x="0" y="0"/>
                <wp:positionH relativeFrom="page">
                  <wp:posOffset>719975</wp:posOffset>
                </wp:positionH>
                <wp:positionV relativeFrom="page">
                  <wp:posOffset>7133419</wp:posOffset>
                </wp:positionV>
                <wp:extent cx="1919605" cy="114300"/>
                <wp:effectExtent l="0" t="0" r="0" b="0"/>
                <wp:wrapNone/>
                <wp:docPr id="1020" name="Textbox 1020"/>
                <wp:cNvGraphicFramePr>
                  <a:graphicFrameLocks/>
                </wp:cNvGraphicFramePr>
                <a:graphic>
                  <a:graphicData uri="http://schemas.microsoft.com/office/word/2010/wordprocessingShape">
                    <wps:wsp>
                      <wps:cNvPr id="1020" name="Textbox 1020"/>
                      <wps:cNvSpPr txBox="1"/>
                      <wps:spPr>
                        <a:xfrm rot="10800000">
                          <a:off x="0" y="0"/>
                          <a:ext cx="1919605" cy="114300"/>
                        </a:xfrm>
                        <a:prstGeom prst="rect">
                          <a:avLst/>
                        </a:prstGeom>
                      </wps:spPr>
                      <wps:txbx>
                        <w:txbxContent>
                          <w:p>
                            <w:pPr>
                              <w:spacing w:line="180" w:lineRule="exact" w:before="0"/>
                              <w:ind w:left="0" w:right="0" w:firstLine="0"/>
                              <w:jc w:val="left"/>
                              <w:rPr>
                                <w:rFonts w:ascii="TT Norms Pro"/>
                                <w:b/>
                                <w:sz w:val="18"/>
                              </w:rPr>
                            </w:pPr>
                            <w:r>
                              <w:rPr>
                                <w:rFonts w:ascii="TT Norms Pro"/>
                                <w:sz w:val="18"/>
                              </w:rPr>
                              <w:t>2020</w:t>
                            </w:r>
                            <w:r>
                              <w:rPr>
                                <w:rFonts w:ascii="TT Norms Pro"/>
                                <w:spacing w:val="-1"/>
                                <w:sz w:val="18"/>
                              </w:rPr>
                              <w:t> </w:t>
                            </w:r>
                            <w:r>
                              <w:rPr>
                                <w:rFonts w:ascii="TT Norms Pro"/>
                                <w:sz w:val="18"/>
                              </w:rPr>
                              <w:t>Financial</w:t>
                            </w:r>
                            <w:r>
                              <w:rPr>
                                <w:rFonts w:ascii="TT Norms Pro"/>
                                <w:spacing w:val="-1"/>
                                <w:sz w:val="18"/>
                              </w:rPr>
                              <w:t> </w:t>
                            </w:r>
                            <w:r>
                              <w:rPr>
                                <w:rFonts w:ascii="TT Norms Pro"/>
                                <w:sz w:val="18"/>
                              </w:rPr>
                              <w:t>Report</w:t>
                            </w:r>
                            <w:r>
                              <w:rPr>
                                <w:rFonts w:ascii="TT Norms Pro"/>
                                <w:spacing w:val="67"/>
                                <w:w w:val="150"/>
                                <w:sz w:val="18"/>
                              </w:rPr>
                              <w:t> </w:t>
                            </w:r>
                            <w:r>
                              <w:rPr>
                                <w:rFonts w:ascii="TT Norms Pro Light"/>
                                <w:b w:val="0"/>
                                <w:sz w:val="18"/>
                              </w:rPr>
                              <w:t>|</w:t>
                            </w:r>
                            <w:r>
                              <w:rPr>
                                <w:rFonts w:ascii="TT Norms Pro Light"/>
                                <w:b w:val="0"/>
                                <w:spacing w:val="53"/>
                                <w:sz w:val="18"/>
                              </w:rPr>
                              <w:t> </w:t>
                            </w:r>
                            <w:r>
                              <w:rPr>
                                <w:rFonts w:ascii="TT Norms Pro"/>
                                <w:b/>
                                <w:spacing w:val="-2"/>
                                <w:sz w:val="18"/>
                              </w:rPr>
                              <w:t>uwa.edu.au</w:t>
                            </w:r>
                          </w:p>
                        </w:txbxContent>
                      </wps:txbx>
                      <wps:bodyPr wrap="square" lIns="0" tIns="0" rIns="0" bIns="0" rtlCol="0">
                        <a:noAutofit/>
                      </wps:bodyPr>
                    </wps:wsp>
                  </a:graphicData>
                </a:graphic>
              </wp:anchor>
            </w:drawing>
          </mc:Choice>
          <mc:Fallback>
            <w:pict>
              <v:shape style="position:absolute;margin-left:56.690994pt;margin-top:561.686584pt;width:151.15pt;height:9pt;mso-position-horizontal-relative:page;mso-position-vertical-relative:page;z-index:15921664;rotation:180" type="#_x0000_t136" fillcolor="#000000" stroked="f">
                <o:extrusion v:ext="view" autorotationcenter="t"/>
                <v:textpath style="font-family:&quot;TT Norms Pro&quot;;font-size:9pt;v-text-kern:t;mso-text-shadow:auto;font-weight:bold" string="2020 Financial Report | uwa.edu.au"/>
                <w10:wrap type="none"/>
              </v:shape>
            </w:pict>
          </mc:Fallback>
        </mc:AlternateContent>
      </w:r>
      <w:r>
        <w:rPr>
          <w:b/>
          <w:color w:val="0070C0"/>
          <w:sz w:val="13"/>
          <w:u w:val="single" w:color="000000"/>
        </w:rPr>
        <w:tab/>
      </w:r>
      <w:r>
        <w:rPr>
          <w:b/>
          <w:color w:val="0070C0"/>
          <w:spacing w:val="-2"/>
          <w:w w:val="105"/>
          <w:sz w:val="13"/>
          <w:u w:val="single" w:color="000000"/>
        </w:rPr>
        <w:t>Assistance</w:t>
      </w:r>
      <w:r>
        <w:rPr>
          <w:b/>
          <w:color w:val="0070C0"/>
          <w:sz w:val="13"/>
          <w:u w:val="single" w:color="000000"/>
        </w:rPr>
        <w:tab/>
      </w:r>
      <w:r>
        <w:rPr>
          <w:b/>
          <w:spacing w:val="-4"/>
          <w:w w:val="105"/>
          <w:sz w:val="13"/>
          <w:u w:val="single"/>
        </w:rPr>
        <w:t>$'000</w:t>
      </w:r>
      <w:r>
        <w:rPr>
          <w:b/>
          <w:sz w:val="13"/>
          <w:u w:val="single"/>
        </w:rPr>
        <w:tab/>
      </w:r>
      <w:r>
        <w:rPr>
          <w:b/>
          <w:spacing w:val="-2"/>
          <w:w w:val="105"/>
          <w:sz w:val="13"/>
          <w:u w:val="single"/>
        </w:rPr>
        <w:t>$'000</w:t>
      </w:r>
      <w:r>
        <w:rPr>
          <w:b/>
          <w:sz w:val="13"/>
          <w:u w:val="single"/>
        </w:rPr>
        <w:tab/>
      </w:r>
    </w:p>
    <w:p>
      <w:pPr>
        <w:spacing w:line="240" w:lineRule="auto" w:before="37"/>
        <w:rPr>
          <w:b/>
          <w:sz w:val="13"/>
        </w:rPr>
      </w:pPr>
    </w:p>
    <w:p>
      <w:pPr>
        <w:tabs>
          <w:tab w:pos="4480" w:val="left" w:leader="none"/>
          <w:tab w:pos="5311" w:val="left" w:leader="none"/>
        </w:tabs>
        <w:spacing w:before="0"/>
        <w:ind w:left="657" w:right="0" w:firstLine="0"/>
        <w:jc w:val="left"/>
        <w:rPr>
          <w:sz w:val="13"/>
        </w:rPr>
      </w:pPr>
      <w:r>
        <w:rPr>
          <w:w w:val="105"/>
          <w:sz w:val="13"/>
        </w:rPr>
        <w:t>Cash</w:t>
      </w:r>
      <w:r>
        <w:rPr>
          <w:spacing w:val="-4"/>
          <w:w w:val="105"/>
          <w:sz w:val="13"/>
        </w:rPr>
        <w:t> </w:t>
      </w:r>
      <w:r>
        <w:rPr>
          <w:w w:val="105"/>
          <w:sz w:val="13"/>
        </w:rPr>
        <w:t>received</w:t>
      </w:r>
      <w:r>
        <w:rPr>
          <w:spacing w:val="-4"/>
          <w:w w:val="105"/>
          <w:sz w:val="13"/>
        </w:rPr>
        <w:t> </w:t>
      </w:r>
      <w:r>
        <w:rPr>
          <w:w w:val="105"/>
          <w:sz w:val="13"/>
        </w:rPr>
        <w:t>during</w:t>
      </w:r>
      <w:r>
        <w:rPr>
          <w:spacing w:val="-4"/>
          <w:w w:val="105"/>
          <w:sz w:val="13"/>
        </w:rPr>
        <w:t> </w:t>
      </w:r>
      <w:r>
        <w:rPr>
          <w:w w:val="105"/>
          <w:sz w:val="13"/>
        </w:rPr>
        <w:t>the</w:t>
      </w:r>
      <w:r>
        <w:rPr>
          <w:spacing w:val="-3"/>
          <w:w w:val="105"/>
          <w:sz w:val="13"/>
        </w:rPr>
        <w:t> </w:t>
      </w:r>
      <w:r>
        <w:rPr>
          <w:w w:val="105"/>
          <w:sz w:val="13"/>
        </w:rPr>
        <w:t>reporting</w:t>
      </w:r>
      <w:r>
        <w:rPr>
          <w:spacing w:val="-4"/>
          <w:w w:val="105"/>
          <w:sz w:val="13"/>
        </w:rPr>
        <w:t> </w:t>
      </w:r>
      <w:r>
        <w:rPr>
          <w:spacing w:val="-2"/>
          <w:w w:val="105"/>
          <w:sz w:val="13"/>
        </w:rPr>
        <w:t>period</w:t>
      </w:r>
      <w:r>
        <w:rPr>
          <w:sz w:val="13"/>
        </w:rPr>
        <w:tab/>
      </w:r>
      <w:r>
        <w:rPr>
          <w:spacing w:val="-2"/>
          <w:w w:val="105"/>
          <w:sz w:val="13"/>
        </w:rPr>
        <w:t>93,998</w:t>
      </w:r>
      <w:r>
        <w:rPr>
          <w:sz w:val="13"/>
        </w:rPr>
        <w:tab/>
      </w:r>
      <w:r>
        <w:rPr>
          <w:spacing w:val="-2"/>
          <w:w w:val="105"/>
          <w:sz w:val="13"/>
        </w:rPr>
        <w:t>118,010</w:t>
      </w:r>
    </w:p>
    <w:p>
      <w:pPr>
        <w:tabs>
          <w:tab w:pos="4176" w:val="left" w:leader="none"/>
          <w:tab w:pos="4435" w:val="left" w:leader="none"/>
          <w:tab w:pos="4863" w:val="left" w:leader="none"/>
          <w:tab w:pos="5266" w:val="left" w:leader="none"/>
          <w:tab w:pos="5771" w:val="left" w:leader="none"/>
        </w:tabs>
        <w:spacing w:line="268" w:lineRule="auto" w:before="19"/>
        <w:ind w:left="657" w:right="8340" w:firstLine="0"/>
        <w:jc w:val="left"/>
        <w:rPr>
          <w:sz w:val="13"/>
        </w:rPr>
      </w:pPr>
      <w:r>
        <w:rPr>
          <w:w w:val="105"/>
          <w:sz w:val="13"/>
        </w:rPr>
        <w:t>Cash spent during the reporting period</w:t>
      </w:r>
      <w:r>
        <w:rPr>
          <w:sz w:val="13"/>
        </w:rPr>
        <w:tab/>
      </w:r>
      <w:r>
        <w:rPr>
          <w:sz w:val="13"/>
          <w:u w:val="single"/>
        </w:rPr>
        <w:tab/>
      </w:r>
      <w:r>
        <w:rPr>
          <w:spacing w:val="-2"/>
          <w:w w:val="105"/>
          <w:sz w:val="13"/>
          <w:u w:val="single"/>
        </w:rPr>
        <w:t>(93,998)</w:t>
      </w:r>
      <w:r>
        <w:rPr>
          <w:sz w:val="13"/>
          <w:u w:val="single"/>
        </w:rPr>
        <w:tab/>
      </w:r>
      <w:r>
        <w:rPr>
          <w:spacing w:val="-2"/>
          <w:w w:val="105"/>
          <w:sz w:val="13"/>
          <w:u w:val="single"/>
        </w:rPr>
        <w:t>(118,010)</w:t>
      </w:r>
      <w:r>
        <w:rPr>
          <w:spacing w:val="40"/>
          <w:w w:val="105"/>
          <w:sz w:val="13"/>
          <w:u w:val="none"/>
        </w:rPr>
        <w:t> </w:t>
      </w:r>
      <w:r>
        <w:rPr>
          <w:w w:val="105"/>
          <w:sz w:val="13"/>
          <w:u w:val="none"/>
        </w:rPr>
        <w:t>Net</w:t>
      </w:r>
      <w:r>
        <w:rPr>
          <w:spacing w:val="-3"/>
          <w:w w:val="105"/>
          <w:sz w:val="13"/>
          <w:u w:val="none"/>
        </w:rPr>
        <w:t> </w:t>
      </w:r>
      <w:r>
        <w:rPr>
          <w:w w:val="105"/>
          <w:sz w:val="13"/>
          <w:u w:val="none"/>
        </w:rPr>
        <w:t>cash </w:t>
      </w:r>
      <w:r>
        <w:rPr>
          <w:spacing w:val="-2"/>
          <w:w w:val="105"/>
          <w:sz w:val="13"/>
          <w:u w:val="none"/>
        </w:rPr>
        <w:t>received</w:t>
      </w:r>
      <w:r>
        <w:rPr>
          <w:sz w:val="13"/>
          <w:u w:val="none"/>
        </w:rPr>
        <w:tab/>
        <w:tab/>
        <w:tab/>
      </w:r>
      <w:r>
        <w:rPr>
          <w:spacing w:val="-10"/>
          <w:w w:val="105"/>
          <w:sz w:val="13"/>
          <w:u w:val="none"/>
        </w:rPr>
        <w:t>-</w:t>
      </w:r>
      <w:r>
        <w:rPr>
          <w:sz w:val="13"/>
          <w:u w:val="none"/>
        </w:rPr>
        <w:tab/>
        <w:tab/>
      </w:r>
      <w:r>
        <w:rPr>
          <w:spacing w:val="-10"/>
          <w:w w:val="105"/>
          <w:sz w:val="13"/>
          <w:u w:val="none"/>
        </w:rPr>
        <w:t>-</w:t>
      </w:r>
    </w:p>
    <w:p>
      <w:pPr>
        <w:spacing w:line="240" w:lineRule="auto" w:before="20"/>
        <w:rPr>
          <w:sz w:val="13"/>
        </w:rPr>
      </w:pPr>
    </w:p>
    <w:p>
      <w:pPr>
        <w:tabs>
          <w:tab w:pos="4176" w:val="left" w:leader="none"/>
          <w:tab w:pos="4863" w:val="left" w:leader="none"/>
          <w:tab w:pos="5771" w:val="left" w:leader="none"/>
        </w:tabs>
        <w:spacing w:line="268" w:lineRule="auto" w:before="0"/>
        <w:ind w:left="657" w:right="8340" w:firstLine="0"/>
        <w:jc w:val="left"/>
        <w:rPr>
          <w:sz w:val="13"/>
        </w:rPr>
      </w:pPr>
      <w:r>
        <w:rPr>
          <w:w w:val="105"/>
          <w:sz w:val="13"/>
        </w:rPr>
        <w:t>Cash surplus/(deficit) from previous period</w:t>
      </w:r>
      <w:r>
        <w:rPr>
          <w:sz w:val="13"/>
        </w:rPr>
        <w:tab/>
      </w:r>
      <w:r>
        <w:rPr>
          <w:sz w:val="13"/>
          <w:u w:val="single"/>
        </w:rPr>
        <w:tab/>
      </w:r>
      <w:r>
        <w:rPr>
          <w:spacing w:val="-10"/>
          <w:w w:val="105"/>
          <w:sz w:val="13"/>
          <w:u w:val="single"/>
        </w:rPr>
        <w:t>-</w:t>
      </w:r>
      <w:r>
        <w:rPr>
          <w:sz w:val="13"/>
          <w:u w:val="single"/>
        </w:rPr>
        <w:tab/>
      </w:r>
      <w:r>
        <w:rPr>
          <w:w w:val="105"/>
          <w:sz w:val="13"/>
          <w:u w:val="single"/>
        </w:rPr>
        <w:t>-</w:t>
      </w:r>
      <w:r>
        <w:rPr>
          <w:spacing w:val="3"/>
          <w:w w:val="105"/>
          <w:sz w:val="13"/>
          <w:u w:val="single"/>
        </w:rPr>
        <w:t> </w:t>
      </w:r>
      <w:r>
        <w:rPr>
          <w:spacing w:val="3"/>
          <w:w w:val="105"/>
          <w:sz w:val="13"/>
          <w:u w:val="none"/>
        </w:rPr>
        <w:t> </w:t>
      </w:r>
      <w:r>
        <w:rPr>
          <w:w w:val="105"/>
          <w:sz w:val="13"/>
          <w:u w:val="none"/>
        </w:rPr>
        <w:t>Cash</w:t>
      </w:r>
      <w:r>
        <w:rPr>
          <w:spacing w:val="-8"/>
          <w:w w:val="105"/>
          <w:sz w:val="13"/>
          <w:u w:val="none"/>
        </w:rPr>
        <w:t> </w:t>
      </w:r>
      <w:r>
        <w:rPr>
          <w:w w:val="105"/>
          <w:sz w:val="13"/>
          <w:u w:val="none"/>
        </w:rPr>
        <w:t>surplus/(deficit)</w:t>
      </w:r>
      <w:r>
        <w:rPr>
          <w:spacing w:val="-8"/>
          <w:w w:val="105"/>
          <w:sz w:val="13"/>
          <w:u w:val="none"/>
        </w:rPr>
        <w:t> </w:t>
      </w:r>
      <w:r>
        <w:rPr>
          <w:w w:val="105"/>
          <w:sz w:val="13"/>
          <w:u w:val="none"/>
        </w:rPr>
        <w:t>for</w:t>
      </w:r>
      <w:r>
        <w:rPr>
          <w:spacing w:val="-9"/>
          <w:w w:val="105"/>
          <w:sz w:val="13"/>
          <w:u w:val="none"/>
        </w:rPr>
        <w:t> </w:t>
      </w:r>
      <w:r>
        <w:rPr>
          <w:w w:val="105"/>
          <w:sz w:val="13"/>
          <w:u w:val="none"/>
        </w:rPr>
        <w:t>reporting</w:t>
      </w:r>
      <w:r>
        <w:rPr>
          <w:spacing w:val="-7"/>
          <w:w w:val="105"/>
          <w:sz w:val="13"/>
          <w:u w:val="none"/>
        </w:rPr>
        <w:t> </w:t>
      </w:r>
      <w:r>
        <w:rPr>
          <w:spacing w:val="-2"/>
          <w:w w:val="105"/>
          <w:sz w:val="13"/>
          <w:u w:val="none"/>
        </w:rPr>
        <w:t>period</w:t>
      </w:r>
      <w:r>
        <w:rPr>
          <w:sz w:val="13"/>
          <w:u w:val="none"/>
        </w:rPr>
        <w:tab/>
      </w:r>
      <w:r>
        <w:rPr>
          <w:sz w:val="13"/>
          <w:u w:val="single"/>
        </w:rPr>
        <w:tab/>
      </w:r>
      <w:r>
        <w:rPr>
          <w:spacing w:val="-10"/>
          <w:w w:val="105"/>
          <w:sz w:val="13"/>
          <w:u w:val="single"/>
        </w:rPr>
        <w:t>-</w:t>
      </w:r>
      <w:r>
        <w:rPr>
          <w:sz w:val="13"/>
          <w:u w:val="single"/>
        </w:rPr>
        <w:tab/>
      </w:r>
      <w:r>
        <w:rPr>
          <w:spacing w:val="-10"/>
          <w:w w:val="105"/>
          <w:sz w:val="13"/>
          <w:u w:val="single"/>
        </w:rPr>
        <w:t>-</w:t>
      </w:r>
      <w:r>
        <w:rPr>
          <w:spacing w:val="80"/>
          <w:w w:val="105"/>
          <w:sz w:val="13"/>
          <w:u w:val="single"/>
        </w:rPr>
        <w:t> </w:t>
      </w:r>
    </w:p>
    <w:p>
      <w:pPr>
        <w:spacing w:line="240" w:lineRule="auto" w:before="25"/>
        <w:rPr>
          <w:sz w:val="13"/>
        </w:rPr>
      </w:pPr>
    </w:p>
    <w:p>
      <w:pPr>
        <w:spacing w:line="280" w:lineRule="auto" w:before="0"/>
        <w:ind w:left="4707" w:right="8833" w:firstLine="0"/>
        <w:jc w:val="center"/>
        <w:rPr>
          <w:b/>
          <w:sz w:val="13"/>
        </w:rPr>
      </w:pPr>
      <w:r>
        <w:rPr>
          <w:b/>
          <w:spacing w:val="-2"/>
          <w:w w:val="105"/>
          <w:sz w:val="13"/>
        </w:rPr>
        <w:t>University</w:t>
      </w:r>
      <w:r>
        <w:rPr>
          <w:b/>
          <w:spacing w:val="40"/>
          <w:w w:val="105"/>
          <w:sz w:val="13"/>
        </w:rPr>
        <w:t> </w:t>
      </w:r>
      <w:r>
        <w:rPr>
          <w:b/>
          <w:spacing w:val="-2"/>
          <w:w w:val="105"/>
          <w:sz w:val="13"/>
        </w:rPr>
        <w:t>OS-HELP</w:t>
      </w:r>
    </w:p>
    <w:p>
      <w:pPr>
        <w:tabs>
          <w:tab w:pos="850" w:val="left" w:leader="none"/>
        </w:tabs>
        <w:spacing w:line="136" w:lineRule="exact" w:before="0"/>
        <w:ind w:left="0" w:right="4186" w:firstLine="0"/>
        <w:jc w:val="center"/>
        <w:rPr>
          <w:b/>
          <w:sz w:val="13"/>
        </w:rPr>
      </w:pPr>
      <w:r>
        <w:rPr>
          <w:b/>
          <w:spacing w:val="-4"/>
          <w:w w:val="105"/>
          <w:sz w:val="13"/>
        </w:rPr>
        <w:t>2020</w:t>
      </w:r>
      <w:r>
        <w:rPr>
          <w:b/>
          <w:sz w:val="13"/>
        </w:rPr>
        <w:tab/>
      </w:r>
      <w:r>
        <w:rPr>
          <w:b/>
          <w:spacing w:val="-4"/>
          <w:w w:val="105"/>
          <w:sz w:val="13"/>
        </w:rPr>
        <w:t>2019</w:t>
      </w:r>
    </w:p>
    <w:p>
      <w:pPr>
        <w:pStyle w:val="ListParagraph"/>
        <w:numPr>
          <w:ilvl w:val="0"/>
          <w:numId w:val="49"/>
        </w:numPr>
        <w:tabs>
          <w:tab w:pos="657" w:val="left" w:leader="none"/>
          <w:tab w:pos="4411" w:val="left" w:leader="none"/>
          <w:tab w:pos="5261" w:val="left" w:leader="none"/>
          <w:tab w:pos="5879" w:val="left" w:leader="none"/>
        </w:tabs>
        <w:spacing w:line="240" w:lineRule="auto" w:before="18" w:after="0"/>
        <w:ind w:left="657" w:right="0" w:hanging="554"/>
        <w:jc w:val="left"/>
        <w:rPr>
          <w:b/>
          <w:color w:val="0070C0"/>
          <w:sz w:val="13"/>
          <w:u w:val="single" w:color="000000"/>
        </w:rPr>
      </w:pPr>
      <w:r>
        <w:rPr>
          <w:b/>
          <w:color w:val="0070C0"/>
          <w:sz w:val="13"/>
          <w:u w:val="single" w:color="000000"/>
        </w:rPr>
        <w:t>OS-</w:t>
      </w:r>
      <w:r>
        <w:rPr>
          <w:b/>
          <w:color w:val="0070C0"/>
          <w:spacing w:val="-4"/>
          <w:sz w:val="13"/>
          <w:u w:val="single" w:color="000000"/>
        </w:rPr>
        <w:t>HELP</w:t>
      </w:r>
      <w:r>
        <w:rPr>
          <w:b/>
          <w:color w:val="0070C0"/>
          <w:sz w:val="13"/>
          <w:u w:val="single" w:color="000000"/>
        </w:rPr>
        <w:tab/>
      </w:r>
      <w:r>
        <w:rPr>
          <w:b/>
          <w:spacing w:val="-4"/>
          <w:sz w:val="13"/>
          <w:u w:val="single"/>
        </w:rPr>
        <w:t>$'000</w:t>
      </w:r>
      <w:r>
        <w:rPr>
          <w:b/>
          <w:sz w:val="13"/>
          <w:u w:val="single"/>
        </w:rPr>
        <w:tab/>
      </w:r>
      <w:r>
        <w:rPr>
          <w:b/>
          <w:spacing w:val="-4"/>
          <w:sz w:val="13"/>
          <w:u w:val="single"/>
        </w:rPr>
        <w:t>$'000</w:t>
      </w:r>
      <w:r>
        <w:rPr>
          <w:b/>
          <w:sz w:val="13"/>
          <w:u w:val="single"/>
        </w:rPr>
        <w:tab/>
      </w:r>
    </w:p>
    <w:p>
      <w:pPr>
        <w:spacing w:line="240" w:lineRule="auto" w:before="28"/>
        <w:rPr>
          <w:b/>
          <w:sz w:val="13"/>
        </w:rPr>
      </w:pPr>
    </w:p>
    <w:p>
      <w:pPr>
        <w:tabs>
          <w:tab w:pos="4557" w:val="left" w:leader="none"/>
          <w:tab w:pos="5464" w:val="left" w:leader="none"/>
        </w:tabs>
        <w:spacing w:before="0"/>
        <w:ind w:left="657" w:right="0" w:firstLine="0"/>
        <w:jc w:val="left"/>
        <w:rPr>
          <w:sz w:val="13"/>
        </w:rPr>
      </w:pPr>
      <w:r>
        <w:rPr>
          <w:w w:val="105"/>
          <w:sz w:val="13"/>
        </w:rPr>
        <w:t>Cash</w:t>
      </w:r>
      <w:r>
        <w:rPr>
          <w:spacing w:val="-4"/>
          <w:w w:val="105"/>
          <w:sz w:val="13"/>
        </w:rPr>
        <w:t> </w:t>
      </w:r>
      <w:r>
        <w:rPr>
          <w:w w:val="105"/>
          <w:sz w:val="13"/>
        </w:rPr>
        <w:t>received</w:t>
      </w:r>
      <w:r>
        <w:rPr>
          <w:spacing w:val="-4"/>
          <w:w w:val="105"/>
          <w:sz w:val="13"/>
        </w:rPr>
        <w:t> </w:t>
      </w:r>
      <w:r>
        <w:rPr>
          <w:w w:val="105"/>
          <w:sz w:val="13"/>
        </w:rPr>
        <w:t>during</w:t>
      </w:r>
      <w:r>
        <w:rPr>
          <w:spacing w:val="-4"/>
          <w:w w:val="105"/>
          <w:sz w:val="13"/>
        </w:rPr>
        <w:t> </w:t>
      </w:r>
      <w:r>
        <w:rPr>
          <w:w w:val="105"/>
          <w:sz w:val="13"/>
        </w:rPr>
        <w:t>the</w:t>
      </w:r>
      <w:r>
        <w:rPr>
          <w:spacing w:val="-3"/>
          <w:w w:val="105"/>
          <w:sz w:val="13"/>
        </w:rPr>
        <w:t> </w:t>
      </w:r>
      <w:r>
        <w:rPr>
          <w:w w:val="105"/>
          <w:sz w:val="13"/>
        </w:rPr>
        <w:t>reporting</w:t>
      </w:r>
      <w:r>
        <w:rPr>
          <w:spacing w:val="-4"/>
          <w:w w:val="105"/>
          <w:sz w:val="13"/>
        </w:rPr>
        <w:t> </w:t>
      </w:r>
      <w:r>
        <w:rPr>
          <w:spacing w:val="-2"/>
          <w:w w:val="105"/>
          <w:sz w:val="13"/>
        </w:rPr>
        <w:t>period</w:t>
      </w:r>
      <w:r>
        <w:rPr>
          <w:sz w:val="13"/>
        </w:rPr>
        <w:tab/>
      </w:r>
      <w:r>
        <w:rPr>
          <w:spacing w:val="-4"/>
          <w:w w:val="105"/>
          <w:sz w:val="13"/>
        </w:rPr>
        <w:t>3,102</w:t>
      </w:r>
      <w:r>
        <w:rPr>
          <w:sz w:val="13"/>
        </w:rPr>
        <w:tab/>
      </w:r>
      <w:r>
        <w:rPr>
          <w:spacing w:val="-2"/>
          <w:w w:val="105"/>
          <w:sz w:val="13"/>
        </w:rPr>
        <w:t>1,460</w:t>
      </w:r>
    </w:p>
    <w:p>
      <w:pPr>
        <w:tabs>
          <w:tab w:pos="4176" w:val="left" w:leader="none"/>
          <w:tab w:pos="4557" w:val="left" w:leader="none"/>
          <w:tab w:pos="4702" w:val="left" w:leader="none"/>
          <w:tab w:pos="5419" w:val="left" w:leader="none"/>
        </w:tabs>
        <w:spacing w:line="268" w:lineRule="auto" w:before="19"/>
        <w:ind w:left="657" w:right="8340" w:firstLine="0"/>
        <w:jc w:val="left"/>
        <w:rPr>
          <w:sz w:val="13"/>
        </w:rPr>
      </w:pPr>
      <w:r>
        <w:rPr>
          <w:w w:val="105"/>
          <w:sz w:val="13"/>
        </w:rPr>
        <w:t>Cash spent during the reporting period</w:t>
      </w:r>
      <w:r>
        <w:rPr>
          <w:sz w:val="13"/>
        </w:rPr>
        <w:tab/>
      </w:r>
      <w:r>
        <w:rPr>
          <w:sz w:val="13"/>
          <w:u w:val="single"/>
        </w:rPr>
        <w:tab/>
        <w:tab/>
      </w:r>
      <w:r>
        <w:rPr>
          <w:spacing w:val="-4"/>
          <w:w w:val="105"/>
          <w:sz w:val="13"/>
          <w:u w:val="single"/>
        </w:rPr>
        <w:t>(95)</w:t>
      </w:r>
      <w:r>
        <w:rPr>
          <w:sz w:val="13"/>
          <w:u w:val="single"/>
        </w:rPr>
        <w:tab/>
      </w:r>
      <w:r>
        <w:rPr>
          <w:spacing w:val="-2"/>
          <w:w w:val="105"/>
          <w:sz w:val="13"/>
          <w:u w:val="single"/>
        </w:rPr>
        <w:t>(2,514)</w:t>
      </w:r>
      <w:r>
        <w:rPr>
          <w:spacing w:val="40"/>
          <w:w w:val="105"/>
          <w:sz w:val="13"/>
          <w:u w:val="none"/>
        </w:rPr>
        <w:t> </w:t>
      </w:r>
      <w:r>
        <w:rPr>
          <w:w w:val="105"/>
          <w:sz w:val="13"/>
          <w:u w:val="none"/>
        </w:rPr>
        <w:t>Net</w:t>
      </w:r>
      <w:r>
        <w:rPr>
          <w:spacing w:val="-3"/>
          <w:w w:val="105"/>
          <w:sz w:val="13"/>
          <w:u w:val="none"/>
        </w:rPr>
        <w:t> </w:t>
      </w:r>
      <w:r>
        <w:rPr>
          <w:w w:val="105"/>
          <w:sz w:val="13"/>
          <w:u w:val="none"/>
        </w:rPr>
        <w:t>cash </w:t>
      </w:r>
      <w:r>
        <w:rPr>
          <w:spacing w:val="-2"/>
          <w:w w:val="105"/>
          <w:sz w:val="13"/>
          <w:u w:val="none"/>
        </w:rPr>
        <w:t>received</w:t>
      </w:r>
      <w:r>
        <w:rPr>
          <w:sz w:val="13"/>
          <w:u w:val="none"/>
        </w:rPr>
        <w:tab/>
        <w:tab/>
      </w:r>
      <w:r>
        <w:rPr>
          <w:spacing w:val="-2"/>
          <w:w w:val="105"/>
          <w:sz w:val="13"/>
          <w:u w:val="none"/>
        </w:rPr>
        <w:t>3,007</w:t>
      </w:r>
      <w:r>
        <w:rPr>
          <w:sz w:val="13"/>
          <w:u w:val="none"/>
        </w:rPr>
        <w:tab/>
      </w:r>
      <w:r>
        <w:rPr>
          <w:spacing w:val="-36"/>
          <w:sz w:val="13"/>
          <w:u w:val="none"/>
        </w:rPr>
        <w:t> </w:t>
      </w:r>
      <w:r>
        <w:rPr>
          <w:spacing w:val="-2"/>
          <w:w w:val="105"/>
          <w:sz w:val="13"/>
          <w:u w:val="none"/>
        </w:rPr>
        <w:t>(1,054)</w:t>
      </w:r>
    </w:p>
    <w:p>
      <w:pPr>
        <w:spacing w:line="240" w:lineRule="auto" w:before="10"/>
        <w:rPr>
          <w:sz w:val="13"/>
        </w:rPr>
      </w:pPr>
    </w:p>
    <w:p>
      <w:pPr>
        <w:tabs>
          <w:tab w:pos="3849" w:val="left" w:leader="none"/>
          <w:tab w:pos="4176" w:val="left" w:leader="none"/>
          <w:tab w:pos="4557" w:val="left" w:leader="none"/>
          <w:tab w:pos="4670" w:val="left" w:leader="none"/>
          <w:tab w:pos="5464" w:val="left" w:leader="none"/>
          <w:tab w:pos="5578" w:val="left" w:leader="none"/>
        </w:tabs>
        <w:spacing w:line="268" w:lineRule="auto" w:before="0"/>
        <w:ind w:left="657" w:right="8340" w:firstLine="0"/>
        <w:jc w:val="left"/>
        <w:rPr>
          <w:sz w:val="13"/>
        </w:rPr>
      </w:pPr>
      <w:r>
        <w:rPr>
          <w:w w:val="105"/>
          <w:sz w:val="13"/>
        </w:rPr>
        <w:t>Cash surplus/(deficit) from previous period</w:t>
      </w:r>
      <w:r>
        <w:rPr>
          <w:sz w:val="13"/>
        </w:rPr>
        <w:tab/>
        <w:tab/>
      </w:r>
      <w:r>
        <w:rPr>
          <w:sz w:val="13"/>
          <w:u w:val="single"/>
        </w:rPr>
        <w:tab/>
        <w:tab/>
      </w:r>
      <w:r>
        <w:rPr>
          <w:spacing w:val="-4"/>
          <w:w w:val="105"/>
          <w:sz w:val="13"/>
          <w:u w:val="single"/>
        </w:rPr>
        <w:t>527</w:t>
      </w:r>
      <w:r>
        <w:rPr>
          <w:sz w:val="13"/>
          <w:u w:val="single"/>
        </w:rPr>
        <w:tab/>
      </w:r>
      <w:r>
        <w:rPr>
          <w:w w:val="105"/>
          <w:sz w:val="13"/>
          <w:u w:val="single"/>
        </w:rPr>
        <w:t>1,581</w:t>
      </w:r>
      <w:r>
        <w:rPr>
          <w:spacing w:val="9"/>
          <w:w w:val="105"/>
          <w:sz w:val="13"/>
          <w:u w:val="single"/>
        </w:rPr>
        <w:t> </w:t>
      </w:r>
      <w:r>
        <w:rPr>
          <w:spacing w:val="9"/>
          <w:w w:val="105"/>
          <w:sz w:val="13"/>
          <w:u w:val="none"/>
        </w:rPr>
        <w:t> </w:t>
      </w:r>
      <w:r>
        <w:rPr>
          <w:w w:val="105"/>
          <w:sz w:val="13"/>
          <w:u w:val="none"/>
        </w:rPr>
        <w:t>Cash</w:t>
      </w:r>
      <w:r>
        <w:rPr>
          <w:spacing w:val="-8"/>
          <w:w w:val="105"/>
          <w:sz w:val="13"/>
          <w:u w:val="none"/>
        </w:rPr>
        <w:t> </w:t>
      </w:r>
      <w:r>
        <w:rPr>
          <w:w w:val="105"/>
          <w:sz w:val="13"/>
          <w:u w:val="none"/>
        </w:rPr>
        <w:t>surplus/(deficit)</w:t>
      </w:r>
      <w:r>
        <w:rPr>
          <w:spacing w:val="-8"/>
          <w:w w:val="105"/>
          <w:sz w:val="13"/>
          <w:u w:val="none"/>
        </w:rPr>
        <w:t> </w:t>
      </w:r>
      <w:r>
        <w:rPr>
          <w:w w:val="105"/>
          <w:sz w:val="13"/>
          <w:u w:val="none"/>
        </w:rPr>
        <w:t>for</w:t>
      </w:r>
      <w:r>
        <w:rPr>
          <w:spacing w:val="-9"/>
          <w:w w:val="105"/>
          <w:sz w:val="13"/>
          <w:u w:val="none"/>
        </w:rPr>
        <w:t> </w:t>
      </w:r>
      <w:r>
        <w:rPr>
          <w:w w:val="105"/>
          <w:sz w:val="13"/>
          <w:u w:val="none"/>
        </w:rPr>
        <w:t>reporting</w:t>
      </w:r>
      <w:r>
        <w:rPr>
          <w:spacing w:val="-7"/>
          <w:w w:val="105"/>
          <w:sz w:val="13"/>
          <w:u w:val="none"/>
        </w:rPr>
        <w:t> </w:t>
      </w:r>
      <w:r>
        <w:rPr>
          <w:spacing w:val="-2"/>
          <w:w w:val="105"/>
          <w:sz w:val="13"/>
          <w:u w:val="none"/>
        </w:rPr>
        <w:t>period</w:t>
      </w:r>
      <w:r>
        <w:rPr>
          <w:sz w:val="13"/>
          <w:u w:val="none"/>
        </w:rPr>
        <w:tab/>
      </w:r>
      <w:r>
        <w:rPr>
          <w:w w:val="105"/>
          <w:sz w:val="13"/>
          <w:u w:val="none"/>
        </w:rPr>
        <w:t>5.6</w:t>
      </w:r>
      <w:r>
        <w:rPr>
          <w:spacing w:val="100"/>
          <w:w w:val="105"/>
          <w:sz w:val="13"/>
          <w:u w:val="none"/>
        </w:rPr>
        <w:t> </w:t>
      </w:r>
      <w:r>
        <w:rPr>
          <w:sz w:val="13"/>
          <w:u w:val="single"/>
        </w:rPr>
        <w:tab/>
      </w:r>
      <w:r>
        <w:rPr>
          <w:spacing w:val="-4"/>
          <w:w w:val="105"/>
          <w:sz w:val="13"/>
          <w:u w:val="single"/>
        </w:rPr>
        <w:t>3,534</w:t>
      </w:r>
      <w:r>
        <w:rPr>
          <w:sz w:val="13"/>
          <w:u w:val="single"/>
        </w:rPr>
        <w:tab/>
        <w:tab/>
      </w:r>
      <w:r>
        <w:rPr>
          <w:spacing w:val="-5"/>
          <w:w w:val="105"/>
          <w:sz w:val="13"/>
          <w:u w:val="single"/>
        </w:rPr>
        <w:t>527</w:t>
      </w:r>
      <w:r>
        <w:rPr>
          <w:spacing w:val="80"/>
          <w:w w:val="105"/>
          <w:sz w:val="13"/>
          <w:u w:val="single"/>
        </w:rPr>
        <w:t> </w:t>
      </w:r>
    </w:p>
    <w:p>
      <w:pPr>
        <w:spacing w:line="240" w:lineRule="auto" w:before="25"/>
        <w:rPr>
          <w:sz w:val="13"/>
        </w:rPr>
      </w:pPr>
    </w:p>
    <w:p>
      <w:pPr>
        <w:spacing w:line="280" w:lineRule="auto" w:before="0"/>
        <w:ind w:left="4334" w:right="8364" w:firstLine="373"/>
        <w:jc w:val="left"/>
        <w:rPr>
          <w:b/>
          <w:sz w:val="13"/>
        </w:rPr>
      </w:pPr>
      <w:r>
        <w:rPr>
          <w:b/>
          <w:spacing w:val="-2"/>
          <w:w w:val="105"/>
          <w:sz w:val="13"/>
        </w:rPr>
        <w:t>University</w:t>
      </w:r>
      <w:r>
        <w:rPr>
          <w:b/>
          <w:spacing w:val="40"/>
          <w:w w:val="105"/>
          <w:sz w:val="13"/>
        </w:rPr>
        <w:t> </w:t>
      </w:r>
      <w:r>
        <w:rPr>
          <w:b/>
          <w:w w:val="105"/>
          <w:sz w:val="13"/>
        </w:rPr>
        <w:t>Student</w:t>
      </w:r>
      <w:r>
        <w:rPr>
          <w:b/>
          <w:spacing w:val="-10"/>
          <w:w w:val="105"/>
          <w:sz w:val="13"/>
        </w:rPr>
        <w:t> </w:t>
      </w:r>
      <w:r>
        <w:rPr>
          <w:b/>
          <w:w w:val="105"/>
          <w:sz w:val="13"/>
        </w:rPr>
        <w:t>Services</w:t>
      </w:r>
      <w:r>
        <w:rPr>
          <w:b/>
          <w:spacing w:val="-9"/>
          <w:w w:val="105"/>
          <w:sz w:val="13"/>
        </w:rPr>
        <w:t> </w:t>
      </w:r>
      <w:r>
        <w:rPr>
          <w:b/>
          <w:w w:val="105"/>
          <w:sz w:val="13"/>
        </w:rPr>
        <w:t>and</w:t>
      </w:r>
    </w:p>
    <w:p>
      <w:pPr>
        <w:tabs>
          <w:tab w:pos="5583" w:val="right" w:leader="none"/>
        </w:tabs>
        <w:spacing w:line="292" w:lineRule="auto" w:before="1"/>
        <w:ind w:left="4426" w:right="8612" w:firstLine="143"/>
        <w:jc w:val="left"/>
        <w:rPr>
          <w:b/>
          <w:sz w:val="13"/>
        </w:rPr>
      </w:pPr>
      <w:r>
        <w:rPr>
          <w:b/>
          <w:w w:val="105"/>
          <w:sz w:val="13"/>
        </w:rPr>
        <w:t>Amenities</w:t>
      </w:r>
      <w:r>
        <w:rPr>
          <w:b/>
          <w:spacing w:val="-2"/>
          <w:w w:val="105"/>
          <w:sz w:val="13"/>
        </w:rPr>
        <w:t> </w:t>
      </w:r>
      <w:r>
        <w:rPr>
          <w:b/>
          <w:w w:val="105"/>
          <w:sz w:val="13"/>
        </w:rPr>
        <w:t>Fee</w:t>
      </w:r>
      <w:r>
        <w:rPr>
          <w:b/>
          <w:spacing w:val="40"/>
          <w:w w:val="105"/>
          <w:sz w:val="13"/>
        </w:rPr>
        <w:t> </w:t>
      </w:r>
      <w:r>
        <w:rPr>
          <w:b/>
          <w:spacing w:val="-4"/>
          <w:sz w:val="13"/>
        </w:rPr>
        <w:t>2020</w:t>
      </w:r>
      <w:r>
        <w:rPr>
          <w:b/>
          <w:sz w:val="13"/>
        </w:rPr>
        <w:tab/>
      </w:r>
      <w:r>
        <w:rPr>
          <w:b/>
          <w:spacing w:val="-4"/>
          <w:sz w:val="13"/>
        </w:rPr>
        <w:t>2019</w:t>
      </w:r>
    </w:p>
    <w:p>
      <w:pPr>
        <w:pStyle w:val="ListParagraph"/>
        <w:numPr>
          <w:ilvl w:val="0"/>
          <w:numId w:val="49"/>
        </w:numPr>
        <w:tabs>
          <w:tab w:pos="657" w:val="left" w:leader="none"/>
          <w:tab w:pos="3792" w:val="left" w:leader="none"/>
          <w:tab w:pos="4411" w:val="left" w:leader="none"/>
          <w:tab w:pos="5261" w:val="left" w:leader="none"/>
          <w:tab w:pos="5879" w:val="left" w:leader="none"/>
        </w:tabs>
        <w:spacing w:line="136" w:lineRule="exact" w:before="0" w:after="0"/>
        <w:ind w:left="657" w:right="0" w:hanging="554"/>
        <w:jc w:val="left"/>
        <w:rPr>
          <w:b/>
          <w:color w:val="0070C0"/>
          <w:sz w:val="13"/>
          <w:u w:val="single" w:color="000000"/>
        </w:rPr>
      </w:pPr>
      <w:r>
        <w:rPr>
          <w:b/>
          <w:color w:val="0070C0"/>
          <w:w w:val="105"/>
          <w:sz w:val="13"/>
          <w:u w:val="single" w:color="000000"/>
        </w:rPr>
        <w:t>Student</w:t>
      </w:r>
      <w:r>
        <w:rPr>
          <w:b/>
          <w:color w:val="0070C0"/>
          <w:spacing w:val="-9"/>
          <w:w w:val="105"/>
          <w:sz w:val="13"/>
          <w:u w:val="single" w:color="000000"/>
        </w:rPr>
        <w:t> </w:t>
      </w:r>
      <w:r>
        <w:rPr>
          <w:b/>
          <w:color w:val="0070C0"/>
          <w:w w:val="105"/>
          <w:sz w:val="13"/>
          <w:u w:val="single" w:color="000000"/>
        </w:rPr>
        <w:t>Services</w:t>
      </w:r>
      <w:r>
        <w:rPr>
          <w:b/>
          <w:color w:val="0070C0"/>
          <w:spacing w:val="-6"/>
          <w:w w:val="105"/>
          <w:sz w:val="13"/>
          <w:u w:val="single" w:color="000000"/>
        </w:rPr>
        <w:t> </w:t>
      </w:r>
      <w:r>
        <w:rPr>
          <w:b/>
          <w:color w:val="0070C0"/>
          <w:w w:val="105"/>
          <w:sz w:val="13"/>
          <w:u w:val="single" w:color="000000"/>
        </w:rPr>
        <w:t>and</w:t>
      </w:r>
      <w:r>
        <w:rPr>
          <w:b/>
          <w:color w:val="0070C0"/>
          <w:spacing w:val="-7"/>
          <w:w w:val="105"/>
          <w:sz w:val="13"/>
          <w:u w:val="single" w:color="000000"/>
        </w:rPr>
        <w:t> </w:t>
      </w:r>
      <w:r>
        <w:rPr>
          <w:b/>
          <w:color w:val="0070C0"/>
          <w:w w:val="105"/>
          <w:sz w:val="13"/>
          <w:u w:val="single" w:color="000000"/>
        </w:rPr>
        <w:t>Amenities</w:t>
      </w:r>
      <w:r>
        <w:rPr>
          <w:b/>
          <w:color w:val="0070C0"/>
          <w:spacing w:val="-6"/>
          <w:w w:val="105"/>
          <w:sz w:val="13"/>
          <w:u w:val="single" w:color="000000"/>
        </w:rPr>
        <w:t> </w:t>
      </w:r>
      <w:r>
        <w:rPr>
          <w:b/>
          <w:color w:val="0070C0"/>
          <w:spacing w:val="-5"/>
          <w:w w:val="105"/>
          <w:sz w:val="13"/>
          <w:u w:val="single" w:color="000000"/>
        </w:rPr>
        <w:t>Fee</w:t>
      </w:r>
      <w:r>
        <w:rPr>
          <w:b/>
          <w:color w:val="0070C0"/>
          <w:sz w:val="13"/>
          <w:u w:val="single" w:color="000000"/>
        </w:rPr>
        <w:tab/>
      </w:r>
      <w:r>
        <w:rPr>
          <w:b/>
          <w:spacing w:val="-4"/>
          <w:w w:val="105"/>
          <w:sz w:val="13"/>
          <w:u w:val="single"/>
        </w:rPr>
        <w:t>Note</w:t>
      </w:r>
      <w:r>
        <w:rPr>
          <w:b/>
          <w:sz w:val="13"/>
          <w:u w:val="single"/>
        </w:rPr>
        <w:tab/>
      </w:r>
      <w:r>
        <w:rPr>
          <w:b/>
          <w:spacing w:val="-2"/>
          <w:w w:val="105"/>
          <w:sz w:val="13"/>
          <w:u w:val="single"/>
        </w:rPr>
        <w:t>$'000</w:t>
      </w:r>
      <w:r>
        <w:rPr>
          <w:b/>
          <w:sz w:val="13"/>
          <w:u w:val="single"/>
        </w:rPr>
        <w:tab/>
      </w:r>
      <w:r>
        <w:rPr>
          <w:b/>
          <w:spacing w:val="-2"/>
          <w:w w:val="105"/>
          <w:sz w:val="13"/>
          <w:u w:val="single"/>
        </w:rPr>
        <w:t>$'000</w:t>
      </w:r>
      <w:r>
        <w:rPr>
          <w:b/>
          <w:sz w:val="13"/>
          <w:u w:val="single"/>
        </w:rPr>
        <w:tab/>
      </w:r>
    </w:p>
    <w:p>
      <w:pPr>
        <w:tabs>
          <w:tab w:pos="3788" w:val="left" w:leader="none"/>
          <w:tab w:pos="4176" w:val="left" w:leader="none"/>
          <w:tab w:pos="4512" w:val="left" w:leader="none"/>
          <w:tab w:pos="4557" w:val="left" w:leader="none"/>
          <w:tab w:pos="4863" w:val="left" w:leader="none"/>
          <w:tab w:pos="4900" w:val="left" w:leader="none"/>
          <w:tab w:pos="5419" w:val="left" w:leader="none"/>
          <w:tab w:pos="5464" w:val="left" w:leader="none"/>
          <w:tab w:pos="5771" w:val="left" w:leader="none"/>
          <w:tab w:pos="5808" w:val="left" w:leader="none"/>
        </w:tabs>
        <w:spacing w:line="268" w:lineRule="auto" w:before="177"/>
        <w:ind w:left="657" w:right="8315" w:firstLine="0"/>
        <w:jc w:val="left"/>
        <w:rPr>
          <w:sz w:val="13"/>
        </w:rPr>
      </w:pPr>
      <w:r>
        <w:rPr>
          <w:w w:val="105"/>
          <w:sz w:val="13"/>
        </w:rPr>
        <w:t>Unspent/(overspent) revenue from previous period</w:t>
      </w:r>
      <w:r>
        <w:rPr>
          <w:sz w:val="13"/>
        </w:rPr>
        <w:tab/>
        <w:tab/>
      </w:r>
      <w:r>
        <w:rPr>
          <w:sz w:val="13"/>
          <w:u w:val="single"/>
        </w:rPr>
        <w:tab/>
        <w:tab/>
        <w:tab/>
      </w:r>
      <w:r>
        <w:rPr>
          <w:spacing w:val="-10"/>
          <w:w w:val="105"/>
          <w:sz w:val="13"/>
          <w:u w:val="single"/>
        </w:rPr>
        <w:t>-</w:t>
      </w:r>
      <w:r>
        <w:rPr>
          <w:sz w:val="13"/>
          <w:u w:val="single"/>
        </w:rPr>
        <w:tab/>
        <w:tab/>
        <w:tab/>
        <w:tab/>
      </w:r>
      <w:r>
        <w:rPr>
          <w:w w:val="105"/>
          <w:sz w:val="13"/>
          <w:u w:val="single"/>
        </w:rPr>
        <w:t>-</w:t>
      </w:r>
      <w:r>
        <w:rPr>
          <w:spacing w:val="3"/>
          <w:w w:val="105"/>
          <w:sz w:val="13"/>
          <w:u w:val="single"/>
        </w:rPr>
        <w:t> </w:t>
      </w:r>
      <w:r>
        <w:rPr>
          <w:spacing w:val="3"/>
          <w:w w:val="105"/>
          <w:sz w:val="13"/>
          <w:u w:val="none"/>
        </w:rPr>
        <w:t> </w:t>
      </w:r>
      <w:r>
        <w:rPr>
          <w:sz w:val="13"/>
          <w:u w:val="none"/>
        </w:rPr>
        <w:t>SA-HELP revenue earned</w:t>
        <w:tab/>
      </w:r>
      <w:r>
        <w:rPr>
          <w:spacing w:val="-2"/>
          <w:sz w:val="13"/>
          <w:u w:val="none"/>
        </w:rPr>
        <w:t>2.1(f)</w:t>
      </w:r>
      <w:r>
        <w:rPr>
          <w:sz w:val="13"/>
          <w:u w:val="none"/>
        </w:rPr>
        <w:tab/>
        <w:tab/>
        <w:tab/>
      </w:r>
      <w:r>
        <w:rPr>
          <w:spacing w:val="-4"/>
          <w:sz w:val="13"/>
          <w:u w:val="none"/>
        </w:rPr>
        <w:t>2,142</w:t>
      </w:r>
      <w:r>
        <w:rPr>
          <w:sz w:val="13"/>
          <w:u w:val="none"/>
        </w:rPr>
        <w:tab/>
        <w:tab/>
        <w:tab/>
      </w:r>
      <w:r>
        <w:rPr>
          <w:spacing w:val="-2"/>
          <w:sz w:val="13"/>
          <w:u w:val="none"/>
        </w:rPr>
        <w:t>1,480</w:t>
      </w:r>
      <w:r>
        <w:rPr>
          <w:spacing w:val="40"/>
          <w:sz w:val="13"/>
          <w:u w:val="none"/>
        </w:rPr>
        <w:t> </w:t>
      </w:r>
      <w:r>
        <w:rPr>
          <w:sz w:val="13"/>
          <w:u w:val="none"/>
        </w:rPr>
        <w:t>Student services and amenities fees from students</w:t>
      </w:r>
      <w:r>
        <w:rPr>
          <w:spacing w:val="80"/>
          <w:sz w:val="13"/>
          <w:u w:val="none"/>
        </w:rPr>
        <w:t> </w:t>
      </w:r>
      <w:r>
        <w:rPr>
          <w:sz w:val="13"/>
          <w:u w:val="none"/>
        </w:rPr>
        <w:t>2.3</w:t>
      </w:r>
      <w:r>
        <w:rPr>
          <w:spacing w:val="100"/>
          <w:sz w:val="13"/>
          <w:u w:val="none"/>
        </w:rPr>
        <w:t> </w:t>
      </w:r>
      <w:r>
        <w:rPr>
          <w:sz w:val="13"/>
          <w:u w:val="single"/>
        </w:rPr>
        <w:tab/>
        <w:tab/>
        <w:tab/>
      </w:r>
      <w:r>
        <w:rPr>
          <w:spacing w:val="-4"/>
          <w:sz w:val="13"/>
          <w:u w:val="single"/>
        </w:rPr>
        <w:t>3,312</w:t>
      </w:r>
      <w:r>
        <w:rPr>
          <w:sz w:val="13"/>
          <w:u w:val="single"/>
        </w:rPr>
        <w:tab/>
        <w:tab/>
        <w:tab/>
        <w:tab/>
        <w:t>4,090</w:t>
      </w:r>
      <w:r>
        <w:rPr>
          <w:spacing w:val="19"/>
          <w:sz w:val="13"/>
          <w:u w:val="single"/>
        </w:rPr>
        <w:t> </w:t>
      </w:r>
      <w:r>
        <w:rPr>
          <w:spacing w:val="19"/>
          <w:sz w:val="13"/>
          <w:u w:val="none"/>
        </w:rPr>
        <w:t> </w:t>
      </w:r>
      <w:r>
        <w:rPr>
          <w:sz w:val="13"/>
          <w:u w:val="none"/>
        </w:rPr>
        <w:t>Total revenue expendable in period</w:t>
        <w:tab/>
        <w:tab/>
        <w:tab/>
        <w:tab/>
      </w:r>
      <w:r>
        <w:rPr>
          <w:spacing w:val="-4"/>
          <w:sz w:val="13"/>
          <w:u w:val="none"/>
        </w:rPr>
        <w:t>5,454</w:t>
      </w:r>
      <w:r>
        <w:rPr>
          <w:sz w:val="13"/>
          <w:u w:val="none"/>
        </w:rPr>
        <w:tab/>
        <w:tab/>
        <w:tab/>
      </w:r>
      <w:r>
        <w:rPr>
          <w:spacing w:val="-2"/>
          <w:sz w:val="13"/>
          <w:u w:val="none"/>
        </w:rPr>
        <w:t>5,570</w:t>
      </w:r>
      <w:r>
        <w:rPr>
          <w:spacing w:val="40"/>
          <w:w w:val="105"/>
          <w:sz w:val="13"/>
          <w:u w:val="none"/>
        </w:rPr>
        <w:t> </w:t>
      </w:r>
      <w:r>
        <w:rPr>
          <w:w w:val="105"/>
          <w:sz w:val="13"/>
          <w:u w:val="none"/>
        </w:rPr>
        <w:t>Student services expenses during period</w:t>
      </w:r>
      <w:r>
        <w:rPr>
          <w:sz w:val="13"/>
          <w:u w:val="none"/>
        </w:rPr>
        <w:tab/>
        <w:tab/>
      </w:r>
      <w:r>
        <w:rPr>
          <w:sz w:val="13"/>
          <w:u w:val="single"/>
        </w:rPr>
        <w:tab/>
      </w:r>
      <w:r>
        <w:rPr>
          <w:spacing w:val="-2"/>
          <w:w w:val="105"/>
          <w:sz w:val="13"/>
          <w:u w:val="single"/>
        </w:rPr>
        <w:t>(5,454)</w:t>
      </w:r>
      <w:r>
        <w:rPr>
          <w:sz w:val="13"/>
          <w:u w:val="single"/>
        </w:rPr>
        <w:tab/>
      </w:r>
      <w:r>
        <w:rPr>
          <w:spacing w:val="-2"/>
          <w:w w:val="105"/>
          <w:sz w:val="13"/>
          <w:u w:val="single"/>
        </w:rPr>
        <w:t>(5,570)</w:t>
      </w:r>
      <w:r>
        <w:rPr>
          <w:spacing w:val="40"/>
          <w:w w:val="105"/>
          <w:sz w:val="13"/>
          <w:u w:val="none"/>
        </w:rPr>
        <w:t> </w:t>
      </w:r>
      <w:r>
        <w:rPr>
          <w:w w:val="105"/>
          <w:sz w:val="13"/>
          <w:u w:val="none"/>
        </w:rPr>
        <w:t>Unspent/(overspent)</w:t>
      </w:r>
      <w:r>
        <w:rPr>
          <w:spacing w:val="-4"/>
          <w:w w:val="105"/>
          <w:sz w:val="13"/>
          <w:u w:val="none"/>
        </w:rPr>
        <w:t> </w:t>
      </w:r>
      <w:r>
        <w:rPr>
          <w:w w:val="105"/>
          <w:sz w:val="13"/>
          <w:u w:val="none"/>
        </w:rPr>
        <w:t>student</w:t>
      </w:r>
      <w:r>
        <w:rPr>
          <w:spacing w:val="-4"/>
          <w:w w:val="105"/>
          <w:sz w:val="13"/>
          <w:u w:val="none"/>
        </w:rPr>
        <w:t> </w:t>
      </w:r>
      <w:r>
        <w:rPr>
          <w:w w:val="105"/>
          <w:sz w:val="13"/>
          <w:u w:val="none"/>
        </w:rPr>
        <w:t>services</w:t>
      </w:r>
      <w:r>
        <w:rPr>
          <w:spacing w:val="-2"/>
          <w:w w:val="105"/>
          <w:sz w:val="13"/>
          <w:u w:val="none"/>
        </w:rPr>
        <w:t> revenue</w:t>
      </w:r>
      <w:r>
        <w:rPr>
          <w:sz w:val="13"/>
          <w:u w:val="none"/>
        </w:rPr>
        <w:tab/>
        <w:tab/>
      </w:r>
      <w:r>
        <w:rPr>
          <w:sz w:val="13"/>
          <w:u w:val="single"/>
        </w:rPr>
        <w:tab/>
        <w:tab/>
        <w:tab/>
        <w:tab/>
      </w:r>
      <w:r>
        <w:rPr>
          <w:spacing w:val="-10"/>
          <w:w w:val="105"/>
          <w:sz w:val="13"/>
          <w:u w:val="single"/>
        </w:rPr>
        <w:t>-</w:t>
      </w:r>
      <w:r>
        <w:rPr>
          <w:sz w:val="13"/>
          <w:u w:val="single"/>
        </w:rPr>
        <w:tab/>
        <w:tab/>
        <w:tab/>
        <w:tab/>
      </w:r>
      <w:r>
        <w:rPr>
          <w:spacing w:val="-10"/>
          <w:w w:val="105"/>
          <w:sz w:val="13"/>
          <w:u w:val="single"/>
        </w:rPr>
        <w:t>-</w:t>
      </w:r>
    </w:p>
    <w:p>
      <w:pPr>
        <w:spacing w:after="0" w:line="268" w:lineRule="auto"/>
        <w:jc w:val="left"/>
        <w:rPr>
          <w:sz w:val="13"/>
        </w:rPr>
        <w:sectPr>
          <w:type w:val="continuous"/>
          <w:pgSz w:w="16840" w:h="11910" w:orient="landscape"/>
          <w:pgMar w:header="0" w:footer="0" w:top="980" w:bottom="280" w:left="1040" w:right="1600"/>
        </w:sectPr>
      </w:pPr>
    </w:p>
    <w:p>
      <w:pPr>
        <w:tabs>
          <w:tab w:pos="846" w:val="left" w:leader="none"/>
        </w:tabs>
        <w:spacing w:before="98"/>
        <w:ind w:left="117" w:right="0" w:firstLine="0"/>
        <w:jc w:val="left"/>
        <w:rPr>
          <w:rFonts w:ascii="TT Norms Pro"/>
          <w:b/>
          <w:sz w:val="18"/>
        </w:rPr>
      </w:pPr>
      <w:r>
        <w:rPr/>
        <mc:AlternateContent>
          <mc:Choice Requires="wps">
            <w:drawing>
              <wp:anchor distT="0" distB="0" distL="0" distR="0" allowOverlap="1" layoutInCell="1" locked="0" behindDoc="1" simplePos="0" relativeHeight="472775680">
                <wp:simplePos x="0" y="0"/>
                <wp:positionH relativeFrom="page">
                  <wp:posOffset>0</wp:posOffset>
                </wp:positionH>
                <wp:positionV relativeFrom="page">
                  <wp:posOffset>1347114</wp:posOffset>
                </wp:positionV>
                <wp:extent cx="7560309" cy="9345295"/>
                <wp:effectExtent l="0" t="0" r="0" b="0"/>
                <wp:wrapNone/>
                <wp:docPr id="1021" name="Group 1021"/>
                <wp:cNvGraphicFramePr>
                  <a:graphicFrameLocks/>
                </wp:cNvGraphicFramePr>
                <a:graphic>
                  <a:graphicData uri="http://schemas.microsoft.com/office/word/2010/wordprocessingGroup">
                    <wpg:wgp>
                      <wpg:cNvPr id="1021" name="Group 1021"/>
                      <wpg:cNvGrpSpPr/>
                      <wpg:grpSpPr>
                        <a:xfrm>
                          <a:off x="0" y="0"/>
                          <a:ext cx="7560309" cy="9345295"/>
                          <a:chExt cx="7560309" cy="9345295"/>
                        </a:xfrm>
                      </wpg:grpSpPr>
                      <pic:pic>
                        <pic:nvPicPr>
                          <pic:cNvPr id="1022" name="Image 1022"/>
                          <pic:cNvPicPr/>
                        </pic:nvPicPr>
                        <pic:blipFill>
                          <a:blip r:embed="rId128" cstate="print"/>
                          <a:stretch>
                            <a:fillRect/>
                          </a:stretch>
                        </pic:blipFill>
                        <pic:spPr>
                          <a:xfrm>
                            <a:off x="5771997" y="82080"/>
                            <a:ext cx="1787994" cy="9262808"/>
                          </a:xfrm>
                          <a:prstGeom prst="rect">
                            <a:avLst/>
                          </a:prstGeom>
                        </pic:spPr>
                      </pic:pic>
                      <wps:wsp>
                        <wps:cNvPr id="1023" name="Graphic 1023"/>
                        <wps:cNvSpPr/>
                        <wps:spPr>
                          <a:xfrm>
                            <a:off x="0" y="0"/>
                            <a:ext cx="7560309" cy="617855"/>
                          </a:xfrm>
                          <a:custGeom>
                            <a:avLst/>
                            <a:gdLst/>
                            <a:ahLst/>
                            <a:cxnLst/>
                            <a:rect l="l" t="t" r="r" b="b"/>
                            <a:pathLst>
                              <a:path w="7560309" h="617855">
                                <a:moveTo>
                                  <a:pt x="7559992" y="0"/>
                                </a:moveTo>
                                <a:lnTo>
                                  <a:pt x="0" y="0"/>
                                </a:lnTo>
                                <a:lnTo>
                                  <a:pt x="0" y="617474"/>
                                </a:lnTo>
                                <a:lnTo>
                                  <a:pt x="7559992" y="617474"/>
                                </a:lnTo>
                                <a:lnTo>
                                  <a:pt x="755999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106.072014pt;width:595.3pt;height:735.85pt;mso-position-horizontal-relative:page;mso-position-vertical-relative:page;z-index:-30540800" id="docshapegroup706" coordorigin="0,2121" coordsize="11906,14717">
                <v:shape style="position:absolute;left:9089;top:2250;width:2816;height:14588" type="#_x0000_t75" id="docshape707" stroked="false">
                  <v:imagedata r:id="rId128" o:title=""/>
                </v:shape>
                <v:rect style="position:absolute;left:0;top:2121;width:11906;height:973" id="docshape708" filled="true" fillcolor="#ffffff" stroked="false">
                  <v:fill type="solid"/>
                </v:rect>
                <w10:wrap type="none"/>
              </v:group>
            </w:pict>
          </mc:Fallback>
        </mc:AlternateContent>
      </w:r>
      <w:r>
        <w:rPr>
          <w:rFonts w:ascii="TT Norms Pro"/>
          <w:b/>
          <w:spacing w:val="-5"/>
          <w:sz w:val="20"/>
        </w:rPr>
        <w:t>120</w:t>
      </w:r>
      <w:r>
        <w:rPr>
          <w:rFonts w:ascii="TT Norms Pro"/>
          <w:b/>
          <w:sz w:val="20"/>
        </w:rPr>
        <w:tab/>
      </w:r>
      <w:r>
        <w:rPr>
          <w:rFonts w:ascii="TT Norms Pro"/>
          <w:sz w:val="18"/>
        </w:rPr>
        <w:t>The</w:t>
      </w:r>
      <w:r>
        <w:rPr>
          <w:rFonts w:ascii="TT Norms Pro"/>
          <w:spacing w:val="-3"/>
          <w:sz w:val="18"/>
        </w:rPr>
        <w:t> </w:t>
      </w:r>
      <w:r>
        <w:rPr>
          <w:rFonts w:ascii="TT Norms Pro"/>
          <w:sz w:val="18"/>
        </w:rPr>
        <w:t>University</w:t>
      </w:r>
      <w:r>
        <w:rPr>
          <w:rFonts w:ascii="TT Norms Pro"/>
          <w:spacing w:val="-6"/>
          <w:sz w:val="18"/>
        </w:rPr>
        <w:t> </w:t>
      </w:r>
      <w:r>
        <w:rPr>
          <w:rFonts w:ascii="TT Norms Pro"/>
          <w:sz w:val="18"/>
        </w:rPr>
        <w:t>of</w:t>
      </w:r>
      <w:r>
        <w:rPr>
          <w:rFonts w:ascii="TT Norms Pro"/>
          <w:spacing w:val="-8"/>
          <w:sz w:val="18"/>
        </w:rPr>
        <w:t> </w:t>
      </w:r>
      <w:r>
        <w:rPr>
          <w:rFonts w:ascii="TT Norms Pro"/>
          <w:sz w:val="18"/>
        </w:rPr>
        <w:t>Western</w:t>
      </w:r>
      <w:r>
        <w:rPr>
          <w:rFonts w:ascii="TT Norms Pro"/>
          <w:spacing w:val="-8"/>
          <w:sz w:val="18"/>
        </w:rPr>
        <w:t> </w:t>
      </w:r>
      <w:r>
        <w:rPr>
          <w:rFonts w:ascii="TT Norms Pro"/>
          <w:sz w:val="18"/>
        </w:rPr>
        <w:t>Australia</w:t>
      </w:r>
      <w:r>
        <w:rPr>
          <w:rFonts w:ascii="TT Norms Pro"/>
          <w:spacing w:val="46"/>
          <w:sz w:val="18"/>
        </w:rPr>
        <w:t> </w:t>
      </w:r>
      <w:r>
        <w:rPr>
          <w:rFonts w:ascii="TT Norms Pro Light"/>
          <w:b w:val="0"/>
          <w:sz w:val="18"/>
        </w:rPr>
        <w:t>|</w:t>
      </w:r>
      <w:r>
        <w:rPr>
          <w:rFonts w:ascii="TT Norms Pro Light"/>
          <w:b w:val="0"/>
          <w:spacing w:val="49"/>
          <w:sz w:val="18"/>
        </w:rPr>
        <w:t> </w:t>
      </w:r>
      <w:r>
        <w:rPr>
          <w:rFonts w:ascii="TT Norms Pro"/>
          <w:b/>
          <w:spacing w:val="-2"/>
          <w:sz w:val="18"/>
        </w:rPr>
        <w:t>uwa.edu.au</w:t>
      </w:r>
    </w:p>
    <w:p>
      <w:pPr>
        <w:pStyle w:val="BodyText"/>
        <w:rPr>
          <w:rFonts w:ascii="TT Norms Pro"/>
          <w:b/>
          <w:sz w:val="22"/>
        </w:rPr>
      </w:pPr>
    </w:p>
    <w:p>
      <w:pPr>
        <w:pStyle w:val="BodyText"/>
        <w:rPr>
          <w:rFonts w:ascii="TT Norms Pro"/>
          <w:b/>
          <w:sz w:val="22"/>
        </w:rPr>
      </w:pPr>
    </w:p>
    <w:p>
      <w:pPr>
        <w:pStyle w:val="BodyText"/>
        <w:rPr>
          <w:rFonts w:ascii="TT Norms Pro"/>
          <w:b/>
          <w:sz w:val="22"/>
        </w:rPr>
      </w:pPr>
    </w:p>
    <w:p>
      <w:pPr>
        <w:pStyle w:val="BodyText"/>
        <w:rPr>
          <w:rFonts w:ascii="TT Norms Pro"/>
          <w:b/>
          <w:sz w:val="22"/>
        </w:rPr>
      </w:pPr>
    </w:p>
    <w:p>
      <w:pPr>
        <w:pStyle w:val="BodyText"/>
        <w:rPr>
          <w:rFonts w:ascii="TT Norms Pro"/>
          <w:b/>
          <w:sz w:val="22"/>
        </w:rPr>
      </w:pPr>
    </w:p>
    <w:p>
      <w:pPr>
        <w:pStyle w:val="BodyText"/>
        <w:rPr>
          <w:rFonts w:ascii="TT Norms Pro"/>
          <w:b/>
          <w:sz w:val="22"/>
        </w:rPr>
      </w:pPr>
    </w:p>
    <w:p>
      <w:pPr>
        <w:pStyle w:val="BodyText"/>
        <w:rPr>
          <w:rFonts w:ascii="TT Norms Pro"/>
          <w:b/>
          <w:sz w:val="22"/>
        </w:rPr>
      </w:pPr>
    </w:p>
    <w:p>
      <w:pPr>
        <w:pStyle w:val="BodyText"/>
        <w:rPr>
          <w:rFonts w:ascii="TT Norms Pro"/>
          <w:b/>
          <w:sz w:val="22"/>
        </w:rPr>
      </w:pPr>
    </w:p>
    <w:p>
      <w:pPr>
        <w:pStyle w:val="BodyText"/>
        <w:rPr>
          <w:rFonts w:ascii="TT Norms Pro"/>
          <w:b/>
          <w:sz w:val="22"/>
        </w:rPr>
      </w:pPr>
    </w:p>
    <w:p>
      <w:pPr>
        <w:pStyle w:val="BodyText"/>
        <w:rPr>
          <w:rFonts w:ascii="TT Norms Pro"/>
          <w:b/>
          <w:sz w:val="22"/>
        </w:rPr>
      </w:pPr>
    </w:p>
    <w:p>
      <w:pPr>
        <w:pStyle w:val="BodyText"/>
        <w:rPr>
          <w:rFonts w:ascii="TT Norms Pro"/>
          <w:b/>
          <w:sz w:val="22"/>
        </w:rPr>
      </w:pPr>
    </w:p>
    <w:p>
      <w:pPr>
        <w:pStyle w:val="BodyText"/>
        <w:rPr>
          <w:rFonts w:ascii="TT Norms Pro"/>
          <w:b/>
          <w:sz w:val="22"/>
        </w:rPr>
      </w:pPr>
    </w:p>
    <w:p>
      <w:pPr>
        <w:pStyle w:val="BodyText"/>
        <w:rPr>
          <w:rFonts w:ascii="TT Norms Pro"/>
          <w:b/>
          <w:sz w:val="22"/>
        </w:rPr>
      </w:pPr>
    </w:p>
    <w:p>
      <w:pPr>
        <w:pStyle w:val="BodyText"/>
        <w:rPr>
          <w:rFonts w:ascii="TT Norms Pro"/>
          <w:b/>
          <w:sz w:val="22"/>
        </w:rPr>
      </w:pPr>
    </w:p>
    <w:p>
      <w:pPr>
        <w:pStyle w:val="BodyText"/>
        <w:rPr>
          <w:rFonts w:ascii="TT Norms Pro"/>
          <w:b/>
          <w:sz w:val="22"/>
        </w:rPr>
      </w:pPr>
    </w:p>
    <w:p>
      <w:pPr>
        <w:pStyle w:val="BodyText"/>
        <w:rPr>
          <w:rFonts w:ascii="TT Norms Pro"/>
          <w:b/>
          <w:sz w:val="22"/>
        </w:rPr>
      </w:pPr>
    </w:p>
    <w:p>
      <w:pPr>
        <w:pStyle w:val="BodyText"/>
        <w:rPr>
          <w:rFonts w:ascii="TT Norms Pro"/>
          <w:b/>
          <w:sz w:val="22"/>
        </w:rPr>
      </w:pPr>
    </w:p>
    <w:p>
      <w:pPr>
        <w:pStyle w:val="BodyText"/>
        <w:rPr>
          <w:rFonts w:ascii="TT Norms Pro"/>
          <w:b/>
          <w:sz w:val="22"/>
        </w:rPr>
      </w:pPr>
    </w:p>
    <w:p>
      <w:pPr>
        <w:pStyle w:val="BodyText"/>
        <w:rPr>
          <w:rFonts w:ascii="TT Norms Pro"/>
          <w:b/>
          <w:sz w:val="22"/>
        </w:rPr>
      </w:pPr>
    </w:p>
    <w:p>
      <w:pPr>
        <w:pStyle w:val="BodyText"/>
        <w:rPr>
          <w:rFonts w:ascii="TT Norms Pro"/>
          <w:b/>
          <w:sz w:val="22"/>
        </w:rPr>
      </w:pPr>
    </w:p>
    <w:p>
      <w:pPr>
        <w:pStyle w:val="BodyText"/>
        <w:rPr>
          <w:rFonts w:ascii="TT Norms Pro"/>
          <w:b/>
          <w:sz w:val="22"/>
        </w:rPr>
      </w:pPr>
    </w:p>
    <w:p>
      <w:pPr>
        <w:pStyle w:val="BodyText"/>
        <w:rPr>
          <w:rFonts w:ascii="TT Norms Pro"/>
          <w:b/>
          <w:sz w:val="22"/>
        </w:rPr>
      </w:pPr>
    </w:p>
    <w:p>
      <w:pPr>
        <w:pStyle w:val="BodyText"/>
        <w:rPr>
          <w:rFonts w:ascii="TT Norms Pro"/>
          <w:b/>
          <w:sz w:val="22"/>
        </w:rPr>
      </w:pPr>
    </w:p>
    <w:p>
      <w:pPr>
        <w:pStyle w:val="BodyText"/>
        <w:rPr>
          <w:rFonts w:ascii="TT Norms Pro"/>
          <w:b/>
          <w:sz w:val="22"/>
        </w:rPr>
      </w:pPr>
    </w:p>
    <w:p>
      <w:pPr>
        <w:pStyle w:val="BodyText"/>
        <w:rPr>
          <w:rFonts w:ascii="TT Norms Pro"/>
          <w:b/>
          <w:sz w:val="22"/>
        </w:rPr>
      </w:pPr>
    </w:p>
    <w:p>
      <w:pPr>
        <w:pStyle w:val="BodyText"/>
        <w:rPr>
          <w:rFonts w:ascii="TT Norms Pro"/>
          <w:b/>
          <w:sz w:val="22"/>
        </w:rPr>
      </w:pPr>
    </w:p>
    <w:p>
      <w:pPr>
        <w:pStyle w:val="BodyText"/>
        <w:rPr>
          <w:rFonts w:ascii="TT Norms Pro"/>
          <w:b/>
          <w:sz w:val="22"/>
        </w:rPr>
      </w:pPr>
    </w:p>
    <w:p>
      <w:pPr>
        <w:pStyle w:val="BodyText"/>
        <w:spacing w:before="174"/>
        <w:rPr>
          <w:rFonts w:ascii="TT Norms Pro"/>
          <w:b/>
          <w:sz w:val="22"/>
        </w:rPr>
      </w:pPr>
    </w:p>
    <w:p>
      <w:pPr>
        <w:spacing w:before="1"/>
        <w:ind w:left="853" w:right="0" w:firstLine="0"/>
        <w:jc w:val="left"/>
        <w:rPr>
          <w:rFonts w:ascii="TT Norms Pro Medium"/>
          <w:b/>
          <w:sz w:val="22"/>
        </w:rPr>
      </w:pPr>
      <w:r>
        <w:rPr>
          <w:rFonts w:ascii="TT Norms Pro Medium"/>
          <w:b/>
          <w:sz w:val="22"/>
        </w:rPr>
        <w:t>THIS</w:t>
      </w:r>
      <w:r>
        <w:rPr>
          <w:rFonts w:ascii="TT Norms Pro Medium"/>
          <w:b/>
          <w:spacing w:val="10"/>
          <w:sz w:val="22"/>
        </w:rPr>
        <w:t> </w:t>
      </w:r>
      <w:r>
        <w:rPr>
          <w:rFonts w:ascii="TT Norms Pro Medium"/>
          <w:b/>
          <w:sz w:val="22"/>
        </w:rPr>
        <w:t>PAGE</w:t>
      </w:r>
      <w:r>
        <w:rPr>
          <w:rFonts w:ascii="TT Norms Pro Medium"/>
          <w:b/>
          <w:spacing w:val="10"/>
          <w:sz w:val="22"/>
        </w:rPr>
        <w:t> </w:t>
      </w:r>
      <w:r>
        <w:rPr>
          <w:rFonts w:ascii="TT Norms Pro Medium"/>
          <w:b/>
          <w:sz w:val="22"/>
        </w:rPr>
        <w:t>HAS</w:t>
      </w:r>
      <w:r>
        <w:rPr>
          <w:rFonts w:ascii="TT Norms Pro Medium"/>
          <w:b/>
          <w:spacing w:val="11"/>
          <w:sz w:val="22"/>
        </w:rPr>
        <w:t> </w:t>
      </w:r>
      <w:r>
        <w:rPr>
          <w:rFonts w:ascii="TT Norms Pro Medium"/>
          <w:b/>
          <w:sz w:val="22"/>
        </w:rPr>
        <w:t>BEEN</w:t>
      </w:r>
      <w:r>
        <w:rPr>
          <w:rFonts w:ascii="TT Norms Pro Medium"/>
          <w:b/>
          <w:spacing w:val="10"/>
          <w:sz w:val="22"/>
        </w:rPr>
        <w:t> </w:t>
      </w:r>
      <w:r>
        <w:rPr>
          <w:rFonts w:ascii="TT Norms Pro Medium"/>
          <w:b/>
          <w:sz w:val="22"/>
        </w:rPr>
        <w:t>LEFT</w:t>
      </w:r>
      <w:r>
        <w:rPr>
          <w:rFonts w:ascii="TT Norms Pro Medium"/>
          <w:b/>
          <w:spacing w:val="11"/>
          <w:sz w:val="22"/>
        </w:rPr>
        <w:t> </w:t>
      </w:r>
      <w:r>
        <w:rPr>
          <w:rFonts w:ascii="TT Norms Pro Medium"/>
          <w:b/>
          <w:sz w:val="22"/>
        </w:rPr>
        <w:t>INTENTIONALLY</w:t>
      </w:r>
      <w:r>
        <w:rPr>
          <w:rFonts w:ascii="TT Norms Pro Medium"/>
          <w:b/>
          <w:spacing w:val="10"/>
          <w:sz w:val="22"/>
        </w:rPr>
        <w:t> </w:t>
      </w:r>
      <w:r>
        <w:rPr>
          <w:rFonts w:ascii="TT Norms Pro Medium"/>
          <w:b/>
          <w:spacing w:val="-4"/>
          <w:sz w:val="22"/>
        </w:rPr>
        <w:t>BLANK</w:t>
      </w:r>
    </w:p>
    <w:p>
      <w:pPr>
        <w:spacing w:after="0"/>
        <w:jc w:val="left"/>
        <w:rPr>
          <w:rFonts w:ascii="TT Norms Pro Medium"/>
          <w:sz w:val="22"/>
        </w:rPr>
        <w:sectPr>
          <w:headerReference w:type="even" r:id="rId127"/>
          <w:pgSz w:w="11910" w:h="16840"/>
          <w:pgMar w:header="0" w:footer="0" w:top="380" w:bottom="280" w:left="280" w:right="980"/>
        </w:sectPr>
      </w:pPr>
    </w:p>
    <w:p>
      <w:pPr>
        <w:pStyle w:val="BodyText"/>
        <w:spacing w:before="1"/>
        <w:rPr>
          <w:rFonts w:ascii="TT Norms Pro Medium"/>
          <w:b/>
          <w:sz w:val="17"/>
        </w:rPr>
      </w:pPr>
      <w:r>
        <w:rPr/>
        <mc:AlternateContent>
          <mc:Choice Requires="wps">
            <w:drawing>
              <wp:anchor distT="0" distB="0" distL="0" distR="0" allowOverlap="1" layoutInCell="1" locked="0" behindDoc="0" simplePos="0" relativeHeight="15922688">
                <wp:simplePos x="0" y="0"/>
                <wp:positionH relativeFrom="page">
                  <wp:posOffset>0</wp:posOffset>
                </wp:positionH>
                <wp:positionV relativeFrom="page">
                  <wp:posOffset>1347114</wp:posOffset>
                </wp:positionV>
                <wp:extent cx="7560309" cy="9345295"/>
                <wp:effectExtent l="0" t="0" r="0" b="0"/>
                <wp:wrapNone/>
                <wp:docPr id="1024" name="Group 1024"/>
                <wp:cNvGraphicFramePr>
                  <a:graphicFrameLocks/>
                </wp:cNvGraphicFramePr>
                <a:graphic>
                  <a:graphicData uri="http://schemas.microsoft.com/office/word/2010/wordprocessingGroup">
                    <wpg:wgp>
                      <wpg:cNvPr id="1024" name="Group 1024"/>
                      <wpg:cNvGrpSpPr/>
                      <wpg:grpSpPr>
                        <a:xfrm>
                          <a:off x="0" y="0"/>
                          <a:ext cx="7560309" cy="9345295"/>
                          <a:chExt cx="7560309" cy="9345295"/>
                        </a:xfrm>
                      </wpg:grpSpPr>
                      <pic:pic>
                        <pic:nvPicPr>
                          <pic:cNvPr id="1025" name="Image 1025"/>
                          <pic:cNvPicPr/>
                        </pic:nvPicPr>
                        <pic:blipFill>
                          <a:blip r:embed="rId130" cstate="print"/>
                          <a:stretch>
                            <a:fillRect/>
                          </a:stretch>
                        </pic:blipFill>
                        <pic:spPr>
                          <a:xfrm>
                            <a:off x="0" y="82080"/>
                            <a:ext cx="7559992" cy="9262808"/>
                          </a:xfrm>
                          <a:prstGeom prst="rect">
                            <a:avLst/>
                          </a:prstGeom>
                        </pic:spPr>
                      </pic:pic>
                      <wps:wsp>
                        <wps:cNvPr id="1026" name="Graphic 1026"/>
                        <wps:cNvSpPr/>
                        <wps:spPr>
                          <a:xfrm>
                            <a:off x="0" y="0"/>
                            <a:ext cx="3906520" cy="617855"/>
                          </a:xfrm>
                          <a:custGeom>
                            <a:avLst/>
                            <a:gdLst/>
                            <a:ahLst/>
                            <a:cxnLst/>
                            <a:rect l="l" t="t" r="r" b="b"/>
                            <a:pathLst>
                              <a:path w="3906520" h="617855">
                                <a:moveTo>
                                  <a:pt x="3905999" y="0"/>
                                </a:moveTo>
                                <a:lnTo>
                                  <a:pt x="0" y="0"/>
                                </a:lnTo>
                                <a:lnTo>
                                  <a:pt x="0" y="617474"/>
                                </a:lnTo>
                                <a:lnTo>
                                  <a:pt x="3905999" y="617474"/>
                                </a:lnTo>
                                <a:lnTo>
                                  <a:pt x="3905999"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106.072014pt;width:595.3pt;height:735.85pt;mso-position-horizontal-relative:page;mso-position-vertical-relative:page;z-index:15922688" id="docshapegroup709" coordorigin="0,2121" coordsize="11906,14717">
                <v:shape style="position:absolute;left:0;top:2250;width:11906;height:14588" type="#_x0000_t75" id="docshape710" stroked="false">
                  <v:imagedata r:id="rId130" o:title=""/>
                </v:shape>
                <v:rect style="position:absolute;left:0;top:2121;width:6152;height:973" id="docshape711" filled="true" fillcolor="#ffffff" stroked="false">
                  <v:fill type="solid"/>
                </v:rect>
                <w10:wrap type="none"/>
              </v:group>
            </w:pict>
          </mc:Fallback>
        </mc:AlternateContent>
      </w:r>
    </w:p>
    <w:p>
      <w:pPr>
        <w:spacing w:after="0"/>
        <w:rPr>
          <w:rFonts w:ascii="TT Norms Pro Medium"/>
          <w:sz w:val="17"/>
        </w:rPr>
        <w:sectPr>
          <w:headerReference w:type="default" r:id="rId129"/>
          <w:pgSz w:w="11910" w:h="16840"/>
          <w:pgMar w:header="0" w:footer="0" w:top="1920" w:bottom="280" w:left="280" w:right="980"/>
        </w:sectPr>
      </w:pPr>
    </w:p>
    <w:p>
      <w:pPr>
        <w:pStyle w:val="BodyText"/>
        <w:rPr>
          <w:rFonts w:ascii="TT Norms Pro Medium"/>
          <w:b/>
          <w:sz w:val="48"/>
        </w:rPr>
      </w:pPr>
    </w:p>
    <w:p>
      <w:pPr>
        <w:pStyle w:val="BodyText"/>
        <w:rPr>
          <w:rFonts w:ascii="TT Norms Pro Medium"/>
          <w:b/>
          <w:sz w:val="48"/>
        </w:rPr>
      </w:pPr>
    </w:p>
    <w:p>
      <w:pPr>
        <w:pStyle w:val="BodyText"/>
        <w:rPr>
          <w:rFonts w:ascii="TT Norms Pro Medium"/>
          <w:b/>
          <w:sz w:val="48"/>
        </w:rPr>
      </w:pPr>
    </w:p>
    <w:p>
      <w:pPr>
        <w:pStyle w:val="BodyText"/>
        <w:rPr>
          <w:rFonts w:ascii="TT Norms Pro Medium"/>
          <w:b/>
          <w:sz w:val="48"/>
        </w:rPr>
      </w:pPr>
    </w:p>
    <w:p>
      <w:pPr>
        <w:pStyle w:val="BodyText"/>
        <w:rPr>
          <w:rFonts w:ascii="TT Norms Pro Medium"/>
          <w:b/>
          <w:sz w:val="48"/>
        </w:rPr>
      </w:pPr>
    </w:p>
    <w:p>
      <w:pPr>
        <w:pStyle w:val="BodyText"/>
        <w:rPr>
          <w:rFonts w:ascii="TT Norms Pro Medium"/>
          <w:b/>
          <w:sz w:val="48"/>
        </w:rPr>
      </w:pPr>
    </w:p>
    <w:p>
      <w:pPr>
        <w:pStyle w:val="BodyText"/>
        <w:rPr>
          <w:rFonts w:ascii="TT Norms Pro Medium"/>
          <w:b/>
          <w:sz w:val="48"/>
        </w:rPr>
      </w:pPr>
    </w:p>
    <w:p>
      <w:pPr>
        <w:pStyle w:val="BodyText"/>
        <w:rPr>
          <w:rFonts w:ascii="TT Norms Pro Medium"/>
          <w:b/>
          <w:sz w:val="48"/>
        </w:rPr>
      </w:pPr>
    </w:p>
    <w:p>
      <w:pPr>
        <w:pStyle w:val="BodyText"/>
        <w:rPr>
          <w:rFonts w:ascii="TT Norms Pro Medium"/>
          <w:b/>
          <w:sz w:val="48"/>
        </w:rPr>
      </w:pPr>
    </w:p>
    <w:p>
      <w:pPr>
        <w:pStyle w:val="BodyText"/>
        <w:rPr>
          <w:rFonts w:ascii="TT Norms Pro Medium"/>
          <w:b/>
          <w:sz w:val="48"/>
        </w:rPr>
      </w:pPr>
    </w:p>
    <w:p>
      <w:pPr>
        <w:pStyle w:val="BodyText"/>
        <w:rPr>
          <w:rFonts w:ascii="TT Norms Pro Medium"/>
          <w:b/>
          <w:sz w:val="48"/>
        </w:rPr>
      </w:pPr>
    </w:p>
    <w:p>
      <w:pPr>
        <w:pStyle w:val="BodyText"/>
        <w:rPr>
          <w:rFonts w:ascii="TT Norms Pro Medium"/>
          <w:b/>
          <w:sz w:val="48"/>
        </w:rPr>
      </w:pPr>
    </w:p>
    <w:p>
      <w:pPr>
        <w:pStyle w:val="BodyText"/>
        <w:rPr>
          <w:rFonts w:ascii="TT Norms Pro Medium"/>
          <w:b/>
          <w:sz w:val="48"/>
        </w:rPr>
      </w:pPr>
    </w:p>
    <w:p>
      <w:pPr>
        <w:pStyle w:val="BodyText"/>
        <w:rPr>
          <w:rFonts w:ascii="TT Norms Pro Medium"/>
          <w:b/>
          <w:sz w:val="48"/>
        </w:rPr>
      </w:pPr>
    </w:p>
    <w:p>
      <w:pPr>
        <w:pStyle w:val="BodyText"/>
        <w:rPr>
          <w:rFonts w:ascii="TT Norms Pro Medium"/>
          <w:b/>
          <w:sz w:val="48"/>
        </w:rPr>
      </w:pPr>
    </w:p>
    <w:p>
      <w:pPr>
        <w:pStyle w:val="BodyText"/>
        <w:rPr>
          <w:rFonts w:ascii="TT Norms Pro Medium"/>
          <w:b/>
          <w:sz w:val="48"/>
        </w:rPr>
      </w:pPr>
    </w:p>
    <w:p>
      <w:pPr>
        <w:pStyle w:val="BodyText"/>
        <w:rPr>
          <w:rFonts w:ascii="TT Norms Pro Medium"/>
          <w:b/>
          <w:sz w:val="48"/>
        </w:rPr>
      </w:pPr>
    </w:p>
    <w:p>
      <w:pPr>
        <w:pStyle w:val="BodyText"/>
        <w:spacing w:before="420"/>
        <w:rPr>
          <w:rFonts w:ascii="TT Norms Pro Medium"/>
          <w:b/>
          <w:sz w:val="48"/>
        </w:rPr>
      </w:pPr>
    </w:p>
    <w:p>
      <w:pPr>
        <w:pStyle w:val="Heading3"/>
        <w:ind w:left="473"/>
      </w:pPr>
      <w:r>
        <w:rPr/>
        <w:drawing>
          <wp:anchor distT="0" distB="0" distL="0" distR="0" allowOverlap="1" layoutInCell="1" locked="0" behindDoc="0" simplePos="0" relativeHeight="15923712">
            <wp:simplePos x="0" y="0"/>
            <wp:positionH relativeFrom="page">
              <wp:posOffset>435484</wp:posOffset>
            </wp:positionH>
            <wp:positionV relativeFrom="paragraph">
              <wp:posOffset>-1185913</wp:posOffset>
            </wp:positionV>
            <wp:extent cx="570521" cy="647700"/>
            <wp:effectExtent l="0" t="0" r="0" b="0"/>
            <wp:wrapNone/>
            <wp:docPr id="1027" name="Image 1027"/>
            <wp:cNvGraphicFramePr>
              <a:graphicFrameLocks/>
            </wp:cNvGraphicFramePr>
            <a:graphic>
              <a:graphicData uri="http://schemas.openxmlformats.org/drawingml/2006/picture">
                <pic:pic>
                  <pic:nvPicPr>
                    <pic:cNvPr id="1027" name="Image 1027"/>
                    <pic:cNvPicPr/>
                  </pic:nvPicPr>
                  <pic:blipFill>
                    <a:blip r:embed="rId132" cstate="print"/>
                    <a:stretch>
                      <a:fillRect/>
                    </a:stretch>
                  </pic:blipFill>
                  <pic:spPr>
                    <a:xfrm>
                      <a:off x="0" y="0"/>
                      <a:ext cx="570521" cy="647700"/>
                    </a:xfrm>
                    <a:prstGeom prst="rect">
                      <a:avLst/>
                    </a:prstGeom>
                  </pic:spPr>
                </pic:pic>
              </a:graphicData>
            </a:graphic>
          </wp:anchor>
        </w:drawing>
      </w:r>
      <w:r>
        <w:rPr/>
        <w:drawing>
          <wp:anchor distT="0" distB="0" distL="0" distR="0" allowOverlap="1" layoutInCell="1" locked="0" behindDoc="0" simplePos="0" relativeHeight="15924224">
            <wp:simplePos x="0" y="0"/>
            <wp:positionH relativeFrom="page">
              <wp:posOffset>1084775</wp:posOffset>
            </wp:positionH>
            <wp:positionV relativeFrom="paragraph">
              <wp:posOffset>-1169112</wp:posOffset>
            </wp:positionV>
            <wp:extent cx="251053" cy="100012"/>
            <wp:effectExtent l="0" t="0" r="0" b="0"/>
            <wp:wrapNone/>
            <wp:docPr id="1028" name="Image 1028"/>
            <wp:cNvGraphicFramePr>
              <a:graphicFrameLocks/>
            </wp:cNvGraphicFramePr>
            <a:graphic>
              <a:graphicData uri="http://schemas.openxmlformats.org/drawingml/2006/picture">
                <pic:pic>
                  <pic:nvPicPr>
                    <pic:cNvPr id="1028" name="Image 1028"/>
                    <pic:cNvPicPr/>
                  </pic:nvPicPr>
                  <pic:blipFill>
                    <a:blip r:embed="rId133" cstate="print"/>
                    <a:stretch>
                      <a:fillRect/>
                    </a:stretch>
                  </pic:blipFill>
                  <pic:spPr>
                    <a:xfrm>
                      <a:off x="0" y="0"/>
                      <a:ext cx="251053" cy="100012"/>
                    </a:xfrm>
                    <a:prstGeom prst="rect">
                      <a:avLst/>
                    </a:prstGeom>
                  </pic:spPr>
                </pic:pic>
              </a:graphicData>
            </a:graphic>
          </wp:anchor>
        </w:drawing>
      </w:r>
      <w:r>
        <w:rPr/>
        <mc:AlternateContent>
          <mc:Choice Requires="wps">
            <w:drawing>
              <wp:anchor distT="0" distB="0" distL="0" distR="0" allowOverlap="1" layoutInCell="1" locked="0" behindDoc="0" simplePos="0" relativeHeight="15924736">
                <wp:simplePos x="0" y="0"/>
                <wp:positionH relativeFrom="page">
                  <wp:posOffset>1084545</wp:posOffset>
                </wp:positionH>
                <wp:positionV relativeFrom="paragraph">
                  <wp:posOffset>-1169882</wp:posOffset>
                </wp:positionV>
                <wp:extent cx="1323975" cy="601980"/>
                <wp:effectExtent l="0" t="0" r="0" b="0"/>
                <wp:wrapNone/>
                <wp:docPr id="1029" name="Group 1029"/>
                <wp:cNvGraphicFramePr>
                  <a:graphicFrameLocks/>
                </wp:cNvGraphicFramePr>
                <a:graphic>
                  <a:graphicData uri="http://schemas.microsoft.com/office/word/2010/wordprocessingGroup">
                    <wpg:wgp>
                      <wpg:cNvPr id="1029" name="Group 1029"/>
                      <wpg:cNvGrpSpPr/>
                      <wpg:grpSpPr>
                        <a:xfrm>
                          <a:off x="0" y="0"/>
                          <a:ext cx="1323975" cy="601980"/>
                          <a:chExt cx="1323975" cy="601980"/>
                        </a:xfrm>
                      </wpg:grpSpPr>
                      <pic:pic>
                        <pic:nvPicPr>
                          <pic:cNvPr id="1030" name="Image 1030"/>
                          <pic:cNvPicPr/>
                        </pic:nvPicPr>
                        <pic:blipFill>
                          <a:blip r:embed="rId134" cstate="print"/>
                          <a:stretch>
                            <a:fillRect/>
                          </a:stretch>
                        </pic:blipFill>
                        <pic:spPr>
                          <a:xfrm>
                            <a:off x="315346" y="772"/>
                            <a:ext cx="189571" cy="100863"/>
                          </a:xfrm>
                          <a:prstGeom prst="rect">
                            <a:avLst/>
                          </a:prstGeom>
                        </pic:spPr>
                      </pic:pic>
                      <pic:pic>
                        <pic:nvPicPr>
                          <pic:cNvPr id="1031" name="Image 1031"/>
                          <pic:cNvPicPr/>
                        </pic:nvPicPr>
                        <pic:blipFill>
                          <a:blip r:embed="rId135" cstate="print"/>
                          <a:stretch>
                            <a:fillRect/>
                          </a:stretch>
                        </pic:blipFill>
                        <pic:spPr>
                          <a:xfrm>
                            <a:off x="525153" y="769"/>
                            <a:ext cx="206082" cy="99330"/>
                          </a:xfrm>
                          <a:prstGeom prst="rect">
                            <a:avLst/>
                          </a:prstGeom>
                        </pic:spPr>
                      </pic:pic>
                      <pic:pic>
                        <pic:nvPicPr>
                          <pic:cNvPr id="1032" name="Image 1032"/>
                          <pic:cNvPicPr/>
                        </pic:nvPicPr>
                        <pic:blipFill>
                          <a:blip r:embed="rId136" cstate="print"/>
                          <a:stretch>
                            <a:fillRect/>
                          </a:stretch>
                        </pic:blipFill>
                        <pic:spPr>
                          <a:xfrm>
                            <a:off x="750305" y="0"/>
                            <a:ext cx="367111" cy="100736"/>
                          </a:xfrm>
                          <a:prstGeom prst="rect">
                            <a:avLst/>
                          </a:prstGeom>
                        </pic:spPr>
                      </pic:pic>
                      <wps:wsp>
                        <wps:cNvPr id="1033" name="Graphic 1033"/>
                        <wps:cNvSpPr/>
                        <wps:spPr>
                          <a:xfrm>
                            <a:off x="-3" y="146033"/>
                            <a:ext cx="431165" cy="220345"/>
                          </a:xfrm>
                          <a:custGeom>
                            <a:avLst/>
                            <a:gdLst/>
                            <a:ahLst/>
                            <a:cxnLst/>
                            <a:rect l="l" t="t" r="r" b="b"/>
                            <a:pathLst>
                              <a:path w="431165" h="220345">
                                <a:moveTo>
                                  <a:pt x="275043" y="1981"/>
                                </a:moveTo>
                                <a:lnTo>
                                  <a:pt x="273913" y="279"/>
                                </a:lnTo>
                                <a:lnTo>
                                  <a:pt x="271653" y="279"/>
                                </a:lnTo>
                                <a:lnTo>
                                  <a:pt x="223837" y="279"/>
                                </a:lnTo>
                                <a:lnTo>
                                  <a:pt x="222973" y="1130"/>
                                </a:lnTo>
                                <a:lnTo>
                                  <a:pt x="221843" y="19240"/>
                                </a:lnTo>
                                <a:lnTo>
                                  <a:pt x="222694" y="21221"/>
                                </a:lnTo>
                                <a:lnTo>
                                  <a:pt x="233172" y="21780"/>
                                </a:lnTo>
                                <a:lnTo>
                                  <a:pt x="195249" y="186753"/>
                                </a:lnTo>
                                <a:lnTo>
                                  <a:pt x="194970" y="186753"/>
                                </a:lnTo>
                                <a:lnTo>
                                  <a:pt x="153085" y="2832"/>
                                </a:lnTo>
                                <a:lnTo>
                                  <a:pt x="151955" y="1409"/>
                                </a:lnTo>
                                <a:lnTo>
                                  <a:pt x="126212" y="0"/>
                                </a:lnTo>
                                <a:lnTo>
                                  <a:pt x="121399" y="3390"/>
                                </a:lnTo>
                                <a:lnTo>
                                  <a:pt x="78663" y="186753"/>
                                </a:lnTo>
                                <a:lnTo>
                                  <a:pt x="78384" y="186753"/>
                                </a:lnTo>
                                <a:lnTo>
                                  <a:pt x="42164" y="21780"/>
                                </a:lnTo>
                                <a:lnTo>
                                  <a:pt x="50088" y="21221"/>
                                </a:lnTo>
                                <a:lnTo>
                                  <a:pt x="51790" y="20942"/>
                                </a:lnTo>
                                <a:lnTo>
                                  <a:pt x="52349" y="19799"/>
                                </a:lnTo>
                                <a:lnTo>
                                  <a:pt x="53479" y="1981"/>
                                </a:lnTo>
                                <a:lnTo>
                                  <a:pt x="52349" y="279"/>
                                </a:lnTo>
                                <a:lnTo>
                                  <a:pt x="1993" y="279"/>
                                </a:lnTo>
                                <a:lnTo>
                                  <a:pt x="1130" y="1130"/>
                                </a:lnTo>
                                <a:lnTo>
                                  <a:pt x="0" y="19240"/>
                                </a:lnTo>
                                <a:lnTo>
                                  <a:pt x="850" y="21221"/>
                                </a:lnTo>
                                <a:lnTo>
                                  <a:pt x="11328" y="21780"/>
                                </a:lnTo>
                                <a:lnTo>
                                  <a:pt x="58585" y="217601"/>
                                </a:lnTo>
                                <a:lnTo>
                                  <a:pt x="60274" y="219011"/>
                                </a:lnTo>
                                <a:lnTo>
                                  <a:pt x="93941" y="220141"/>
                                </a:lnTo>
                                <a:lnTo>
                                  <a:pt x="97624" y="212229"/>
                                </a:lnTo>
                                <a:lnTo>
                                  <a:pt x="136956" y="48387"/>
                                </a:lnTo>
                                <a:lnTo>
                                  <a:pt x="137236" y="48387"/>
                                </a:lnTo>
                                <a:lnTo>
                                  <a:pt x="176568" y="217030"/>
                                </a:lnTo>
                                <a:lnTo>
                                  <a:pt x="177711" y="219011"/>
                                </a:lnTo>
                                <a:lnTo>
                                  <a:pt x="202895" y="219862"/>
                                </a:lnTo>
                                <a:lnTo>
                                  <a:pt x="209118" y="219862"/>
                                </a:lnTo>
                                <a:lnTo>
                                  <a:pt x="214210" y="216179"/>
                                </a:lnTo>
                                <a:lnTo>
                                  <a:pt x="263728" y="21780"/>
                                </a:lnTo>
                                <a:lnTo>
                                  <a:pt x="271653" y="21221"/>
                                </a:lnTo>
                                <a:lnTo>
                                  <a:pt x="273342" y="20942"/>
                                </a:lnTo>
                                <a:lnTo>
                                  <a:pt x="273913" y="19799"/>
                                </a:lnTo>
                                <a:lnTo>
                                  <a:pt x="275043" y="1981"/>
                                </a:lnTo>
                                <a:close/>
                              </a:path>
                              <a:path w="431165" h="220345">
                                <a:moveTo>
                                  <a:pt x="430657" y="184340"/>
                                </a:moveTo>
                                <a:lnTo>
                                  <a:pt x="430441" y="184340"/>
                                </a:lnTo>
                                <a:lnTo>
                                  <a:pt x="430441" y="183070"/>
                                </a:lnTo>
                                <a:lnTo>
                                  <a:pt x="419023" y="183070"/>
                                </a:lnTo>
                                <a:lnTo>
                                  <a:pt x="419023" y="181800"/>
                                </a:lnTo>
                                <a:lnTo>
                                  <a:pt x="410552" y="181800"/>
                                </a:lnTo>
                                <a:lnTo>
                                  <a:pt x="410552" y="183070"/>
                                </a:lnTo>
                                <a:lnTo>
                                  <a:pt x="409676" y="183070"/>
                                </a:lnTo>
                                <a:lnTo>
                                  <a:pt x="409676" y="184340"/>
                                </a:lnTo>
                                <a:lnTo>
                                  <a:pt x="409409" y="184340"/>
                                </a:lnTo>
                                <a:lnTo>
                                  <a:pt x="409409" y="193230"/>
                                </a:lnTo>
                                <a:lnTo>
                                  <a:pt x="333895" y="193230"/>
                                </a:lnTo>
                                <a:lnTo>
                                  <a:pt x="333895" y="184340"/>
                                </a:lnTo>
                                <a:lnTo>
                                  <a:pt x="333895" y="183070"/>
                                </a:lnTo>
                                <a:lnTo>
                                  <a:pt x="333895" y="181800"/>
                                </a:lnTo>
                                <a:lnTo>
                                  <a:pt x="333895" y="119570"/>
                                </a:lnTo>
                                <a:lnTo>
                                  <a:pt x="413689" y="119570"/>
                                </a:lnTo>
                                <a:lnTo>
                                  <a:pt x="413689" y="94170"/>
                                </a:lnTo>
                                <a:lnTo>
                                  <a:pt x="333895" y="94170"/>
                                </a:lnTo>
                                <a:lnTo>
                                  <a:pt x="333895" y="38290"/>
                                </a:lnTo>
                                <a:lnTo>
                                  <a:pt x="333895" y="37020"/>
                                </a:lnTo>
                                <a:lnTo>
                                  <a:pt x="333895" y="34480"/>
                                </a:lnTo>
                                <a:lnTo>
                                  <a:pt x="333895" y="26860"/>
                                </a:lnTo>
                                <a:lnTo>
                                  <a:pt x="404622" y="26860"/>
                                </a:lnTo>
                                <a:lnTo>
                                  <a:pt x="404622" y="34480"/>
                                </a:lnTo>
                                <a:lnTo>
                                  <a:pt x="405066" y="34480"/>
                                </a:lnTo>
                                <a:lnTo>
                                  <a:pt x="405066" y="37020"/>
                                </a:lnTo>
                                <a:lnTo>
                                  <a:pt x="415734" y="37020"/>
                                </a:lnTo>
                                <a:lnTo>
                                  <a:pt x="415734" y="38290"/>
                                </a:lnTo>
                                <a:lnTo>
                                  <a:pt x="424954" y="38290"/>
                                </a:lnTo>
                                <a:lnTo>
                                  <a:pt x="424954" y="37020"/>
                                </a:lnTo>
                                <a:lnTo>
                                  <a:pt x="425856" y="37020"/>
                                </a:lnTo>
                                <a:lnTo>
                                  <a:pt x="425856" y="34480"/>
                                </a:lnTo>
                                <a:lnTo>
                                  <a:pt x="425856" y="190"/>
                                </a:lnTo>
                                <a:lnTo>
                                  <a:pt x="291452" y="190"/>
                                </a:lnTo>
                                <a:lnTo>
                                  <a:pt x="291452" y="1460"/>
                                </a:lnTo>
                                <a:lnTo>
                                  <a:pt x="290588" y="1460"/>
                                </a:lnTo>
                                <a:lnTo>
                                  <a:pt x="290588" y="19240"/>
                                </a:lnTo>
                                <a:lnTo>
                                  <a:pt x="290576" y="21780"/>
                                </a:lnTo>
                                <a:lnTo>
                                  <a:pt x="301625" y="21780"/>
                                </a:lnTo>
                                <a:lnTo>
                                  <a:pt x="301625" y="26860"/>
                                </a:lnTo>
                                <a:lnTo>
                                  <a:pt x="301625" y="198310"/>
                                </a:lnTo>
                                <a:lnTo>
                                  <a:pt x="293268" y="198310"/>
                                </a:lnTo>
                                <a:lnTo>
                                  <a:pt x="293268" y="199580"/>
                                </a:lnTo>
                                <a:lnTo>
                                  <a:pt x="291211" y="199580"/>
                                </a:lnTo>
                                <a:lnTo>
                                  <a:pt x="291211" y="200850"/>
                                </a:lnTo>
                                <a:lnTo>
                                  <a:pt x="290563" y="200850"/>
                                </a:lnTo>
                                <a:lnTo>
                                  <a:pt x="290563" y="218630"/>
                                </a:lnTo>
                                <a:lnTo>
                                  <a:pt x="290766" y="218630"/>
                                </a:lnTo>
                                <a:lnTo>
                                  <a:pt x="290766" y="219900"/>
                                </a:lnTo>
                                <a:lnTo>
                                  <a:pt x="430657" y="219900"/>
                                </a:lnTo>
                                <a:lnTo>
                                  <a:pt x="430657" y="218630"/>
                                </a:lnTo>
                                <a:lnTo>
                                  <a:pt x="430657" y="200850"/>
                                </a:lnTo>
                                <a:lnTo>
                                  <a:pt x="430657" y="199580"/>
                                </a:lnTo>
                                <a:lnTo>
                                  <a:pt x="430657" y="198310"/>
                                </a:lnTo>
                                <a:lnTo>
                                  <a:pt x="430657" y="193230"/>
                                </a:lnTo>
                                <a:lnTo>
                                  <a:pt x="430657" y="184340"/>
                                </a:lnTo>
                                <a:close/>
                              </a:path>
                            </a:pathLst>
                          </a:custGeom>
                          <a:solidFill>
                            <a:srgbClr val="21409A"/>
                          </a:solidFill>
                        </wps:spPr>
                        <wps:bodyPr wrap="square" lIns="0" tIns="0" rIns="0" bIns="0" rtlCol="0">
                          <a:prstTxWarp prst="textNoShape">
                            <a:avLst/>
                          </a:prstTxWarp>
                          <a:noAutofit/>
                        </wps:bodyPr>
                      </wps:wsp>
                      <pic:pic>
                        <pic:nvPicPr>
                          <pic:cNvPr id="1034" name="Image 1034"/>
                          <pic:cNvPicPr/>
                        </pic:nvPicPr>
                        <pic:blipFill>
                          <a:blip r:embed="rId137" cstate="print"/>
                          <a:stretch>
                            <a:fillRect/>
                          </a:stretch>
                        </pic:blipFill>
                        <pic:spPr>
                          <a:xfrm>
                            <a:off x="451878" y="144609"/>
                            <a:ext cx="308143" cy="222694"/>
                          </a:xfrm>
                          <a:prstGeom prst="rect">
                            <a:avLst/>
                          </a:prstGeom>
                        </pic:spPr>
                      </pic:pic>
                      <wps:wsp>
                        <wps:cNvPr id="1035" name="Graphic 1035"/>
                        <wps:cNvSpPr/>
                        <wps:spPr>
                          <a:xfrm>
                            <a:off x="780906" y="146223"/>
                            <a:ext cx="140335" cy="219710"/>
                          </a:xfrm>
                          <a:custGeom>
                            <a:avLst/>
                            <a:gdLst/>
                            <a:ahLst/>
                            <a:cxnLst/>
                            <a:rect l="l" t="t" r="r" b="b"/>
                            <a:pathLst>
                              <a:path w="140335" h="219710">
                                <a:moveTo>
                                  <a:pt x="140106" y="184150"/>
                                </a:moveTo>
                                <a:lnTo>
                                  <a:pt x="139890" y="184150"/>
                                </a:lnTo>
                                <a:lnTo>
                                  <a:pt x="139890" y="182880"/>
                                </a:lnTo>
                                <a:lnTo>
                                  <a:pt x="128460" y="182880"/>
                                </a:lnTo>
                                <a:lnTo>
                                  <a:pt x="128460" y="181610"/>
                                </a:lnTo>
                                <a:lnTo>
                                  <a:pt x="119989" y="181610"/>
                                </a:lnTo>
                                <a:lnTo>
                                  <a:pt x="119989" y="182880"/>
                                </a:lnTo>
                                <a:lnTo>
                                  <a:pt x="119113" y="182880"/>
                                </a:lnTo>
                                <a:lnTo>
                                  <a:pt x="119113" y="184150"/>
                                </a:lnTo>
                                <a:lnTo>
                                  <a:pt x="118846" y="184150"/>
                                </a:lnTo>
                                <a:lnTo>
                                  <a:pt x="118846" y="193040"/>
                                </a:lnTo>
                                <a:lnTo>
                                  <a:pt x="43332" y="193040"/>
                                </a:lnTo>
                                <a:lnTo>
                                  <a:pt x="43332" y="184150"/>
                                </a:lnTo>
                                <a:lnTo>
                                  <a:pt x="43332" y="182880"/>
                                </a:lnTo>
                                <a:lnTo>
                                  <a:pt x="43332" y="181610"/>
                                </a:lnTo>
                                <a:lnTo>
                                  <a:pt x="43332" y="119380"/>
                                </a:lnTo>
                                <a:lnTo>
                                  <a:pt x="123126" y="119380"/>
                                </a:lnTo>
                                <a:lnTo>
                                  <a:pt x="123126" y="93980"/>
                                </a:lnTo>
                                <a:lnTo>
                                  <a:pt x="43332" y="93980"/>
                                </a:lnTo>
                                <a:lnTo>
                                  <a:pt x="43332" y="38100"/>
                                </a:lnTo>
                                <a:lnTo>
                                  <a:pt x="43332" y="36830"/>
                                </a:lnTo>
                                <a:lnTo>
                                  <a:pt x="43332" y="34290"/>
                                </a:lnTo>
                                <a:lnTo>
                                  <a:pt x="43332" y="26670"/>
                                </a:lnTo>
                                <a:lnTo>
                                  <a:pt x="114071" y="26670"/>
                                </a:lnTo>
                                <a:lnTo>
                                  <a:pt x="114071" y="34290"/>
                                </a:lnTo>
                                <a:lnTo>
                                  <a:pt x="114515" y="34290"/>
                                </a:lnTo>
                                <a:lnTo>
                                  <a:pt x="114515" y="36830"/>
                                </a:lnTo>
                                <a:lnTo>
                                  <a:pt x="125183" y="36830"/>
                                </a:lnTo>
                                <a:lnTo>
                                  <a:pt x="125183" y="38100"/>
                                </a:lnTo>
                                <a:lnTo>
                                  <a:pt x="134404" y="38100"/>
                                </a:lnTo>
                                <a:lnTo>
                                  <a:pt x="134404" y="36830"/>
                                </a:lnTo>
                                <a:lnTo>
                                  <a:pt x="135293" y="36830"/>
                                </a:lnTo>
                                <a:lnTo>
                                  <a:pt x="135293" y="34290"/>
                                </a:lnTo>
                                <a:lnTo>
                                  <a:pt x="135293" y="0"/>
                                </a:lnTo>
                                <a:lnTo>
                                  <a:pt x="889" y="0"/>
                                </a:lnTo>
                                <a:lnTo>
                                  <a:pt x="889" y="1270"/>
                                </a:lnTo>
                                <a:lnTo>
                                  <a:pt x="25" y="1270"/>
                                </a:lnTo>
                                <a:lnTo>
                                  <a:pt x="25" y="19050"/>
                                </a:lnTo>
                                <a:lnTo>
                                  <a:pt x="12" y="21590"/>
                                </a:lnTo>
                                <a:lnTo>
                                  <a:pt x="11074" y="21590"/>
                                </a:lnTo>
                                <a:lnTo>
                                  <a:pt x="11074" y="26670"/>
                                </a:lnTo>
                                <a:lnTo>
                                  <a:pt x="11074" y="198120"/>
                                </a:lnTo>
                                <a:lnTo>
                                  <a:pt x="2717" y="198120"/>
                                </a:lnTo>
                                <a:lnTo>
                                  <a:pt x="2717" y="199390"/>
                                </a:lnTo>
                                <a:lnTo>
                                  <a:pt x="660" y="199390"/>
                                </a:lnTo>
                                <a:lnTo>
                                  <a:pt x="660" y="200660"/>
                                </a:lnTo>
                                <a:lnTo>
                                  <a:pt x="0" y="200660"/>
                                </a:lnTo>
                                <a:lnTo>
                                  <a:pt x="0" y="218440"/>
                                </a:lnTo>
                                <a:lnTo>
                                  <a:pt x="203" y="218440"/>
                                </a:lnTo>
                                <a:lnTo>
                                  <a:pt x="203" y="219710"/>
                                </a:lnTo>
                                <a:lnTo>
                                  <a:pt x="140106" y="219710"/>
                                </a:lnTo>
                                <a:lnTo>
                                  <a:pt x="140106" y="218440"/>
                                </a:lnTo>
                                <a:lnTo>
                                  <a:pt x="140106" y="200660"/>
                                </a:lnTo>
                                <a:lnTo>
                                  <a:pt x="140106" y="199390"/>
                                </a:lnTo>
                                <a:lnTo>
                                  <a:pt x="140106" y="198120"/>
                                </a:lnTo>
                                <a:lnTo>
                                  <a:pt x="140106" y="193040"/>
                                </a:lnTo>
                                <a:lnTo>
                                  <a:pt x="140106" y="184150"/>
                                </a:lnTo>
                                <a:close/>
                              </a:path>
                            </a:pathLst>
                          </a:custGeom>
                          <a:solidFill>
                            <a:srgbClr val="21409A"/>
                          </a:solidFill>
                        </wps:spPr>
                        <wps:bodyPr wrap="square" lIns="0" tIns="0" rIns="0" bIns="0" rtlCol="0">
                          <a:prstTxWarp prst="textNoShape">
                            <a:avLst/>
                          </a:prstTxWarp>
                          <a:noAutofit/>
                        </wps:bodyPr>
                      </wps:wsp>
                      <pic:pic>
                        <pic:nvPicPr>
                          <pic:cNvPr id="1036" name="Image 1036"/>
                          <pic:cNvPicPr/>
                        </pic:nvPicPr>
                        <pic:blipFill>
                          <a:blip r:embed="rId138" cstate="print"/>
                          <a:stretch>
                            <a:fillRect/>
                          </a:stretch>
                        </pic:blipFill>
                        <pic:spPr>
                          <a:xfrm>
                            <a:off x="947324" y="146304"/>
                            <a:ext cx="158457" cy="219582"/>
                          </a:xfrm>
                          <a:prstGeom prst="rect">
                            <a:avLst/>
                          </a:prstGeom>
                        </pic:spPr>
                      </pic:pic>
                      <pic:pic>
                        <pic:nvPicPr>
                          <pic:cNvPr id="1037" name="Image 1037"/>
                          <pic:cNvPicPr/>
                        </pic:nvPicPr>
                        <pic:blipFill>
                          <a:blip r:embed="rId139" cstate="print"/>
                          <a:stretch>
                            <a:fillRect/>
                          </a:stretch>
                        </pic:blipFill>
                        <pic:spPr>
                          <a:xfrm>
                            <a:off x="1128134" y="146307"/>
                            <a:ext cx="195249" cy="219583"/>
                          </a:xfrm>
                          <a:prstGeom prst="rect">
                            <a:avLst/>
                          </a:prstGeom>
                        </pic:spPr>
                      </pic:pic>
                      <wps:wsp>
                        <wps:cNvPr id="1038" name="Graphic 1038"/>
                        <wps:cNvSpPr/>
                        <wps:spPr>
                          <a:xfrm>
                            <a:off x="199" y="409317"/>
                            <a:ext cx="1323340" cy="192405"/>
                          </a:xfrm>
                          <a:custGeom>
                            <a:avLst/>
                            <a:gdLst/>
                            <a:ahLst/>
                            <a:cxnLst/>
                            <a:rect l="l" t="t" r="r" b="b"/>
                            <a:pathLst>
                              <a:path w="1323340" h="192405">
                                <a:moveTo>
                                  <a:pt x="170218" y="173126"/>
                                </a:moveTo>
                                <a:lnTo>
                                  <a:pt x="169494" y="171424"/>
                                </a:lnTo>
                                <a:lnTo>
                                  <a:pt x="167792" y="171424"/>
                                </a:lnTo>
                                <a:lnTo>
                                  <a:pt x="160540" y="170942"/>
                                </a:lnTo>
                                <a:lnTo>
                                  <a:pt x="150253" y="144068"/>
                                </a:lnTo>
                                <a:lnTo>
                                  <a:pt x="141719" y="121793"/>
                                </a:lnTo>
                                <a:lnTo>
                                  <a:pt x="114769" y="51396"/>
                                </a:lnTo>
                                <a:lnTo>
                                  <a:pt x="114769" y="121793"/>
                                </a:lnTo>
                                <a:lnTo>
                                  <a:pt x="53263" y="121793"/>
                                </a:lnTo>
                                <a:lnTo>
                                  <a:pt x="83058" y="32448"/>
                                </a:lnTo>
                                <a:lnTo>
                                  <a:pt x="83299" y="32448"/>
                                </a:lnTo>
                                <a:lnTo>
                                  <a:pt x="114769" y="121793"/>
                                </a:lnTo>
                                <a:lnTo>
                                  <a:pt x="114769" y="51396"/>
                                </a:lnTo>
                                <a:lnTo>
                                  <a:pt x="107518" y="32448"/>
                                </a:lnTo>
                                <a:lnTo>
                                  <a:pt x="95643" y="1447"/>
                                </a:lnTo>
                                <a:lnTo>
                                  <a:pt x="55930" y="1447"/>
                                </a:lnTo>
                                <a:lnTo>
                                  <a:pt x="55206" y="2171"/>
                                </a:lnTo>
                                <a:lnTo>
                                  <a:pt x="55206" y="3390"/>
                                </a:lnTo>
                                <a:lnTo>
                                  <a:pt x="54483" y="15494"/>
                                </a:lnTo>
                                <a:lnTo>
                                  <a:pt x="54229" y="17678"/>
                                </a:lnTo>
                                <a:lnTo>
                                  <a:pt x="54965" y="19367"/>
                                </a:lnTo>
                                <a:lnTo>
                                  <a:pt x="56654" y="19367"/>
                                </a:lnTo>
                                <a:lnTo>
                                  <a:pt x="63919" y="19850"/>
                                </a:lnTo>
                                <a:lnTo>
                                  <a:pt x="9677" y="170942"/>
                                </a:lnTo>
                                <a:lnTo>
                                  <a:pt x="2908" y="171424"/>
                                </a:lnTo>
                                <a:lnTo>
                                  <a:pt x="1447" y="171665"/>
                                </a:lnTo>
                                <a:lnTo>
                                  <a:pt x="965" y="172643"/>
                                </a:lnTo>
                                <a:lnTo>
                                  <a:pt x="850" y="175310"/>
                                </a:lnTo>
                                <a:lnTo>
                                  <a:pt x="241" y="185470"/>
                                </a:lnTo>
                                <a:lnTo>
                                  <a:pt x="0" y="187896"/>
                                </a:lnTo>
                                <a:lnTo>
                                  <a:pt x="965" y="189344"/>
                                </a:lnTo>
                                <a:lnTo>
                                  <a:pt x="45034" y="189344"/>
                                </a:lnTo>
                                <a:lnTo>
                                  <a:pt x="45758" y="188620"/>
                                </a:lnTo>
                                <a:lnTo>
                                  <a:pt x="45872" y="185470"/>
                                </a:lnTo>
                                <a:lnTo>
                                  <a:pt x="46482" y="175310"/>
                                </a:lnTo>
                                <a:lnTo>
                                  <a:pt x="46736" y="173126"/>
                                </a:lnTo>
                                <a:lnTo>
                                  <a:pt x="45999" y="171424"/>
                                </a:lnTo>
                                <a:lnTo>
                                  <a:pt x="44310" y="171424"/>
                                </a:lnTo>
                                <a:lnTo>
                                  <a:pt x="36804" y="170942"/>
                                </a:lnTo>
                                <a:lnTo>
                                  <a:pt x="45758" y="144068"/>
                                </a:lnTo>
                                <a:lnTo>
                                  <a:pt x="122516" y="144068"/>
                                </a:lnTo>
                                <a:lnTo>
                                  <a:pt x="131965" y="170942"/>
                                </a:lnTo>
                                <a:lnTo>
                                  <a:pt x="125183" y="171424"/>
                                </a:lnTo>
                                <a:lnTo>
                                  <a:pt x="123723" y="171665"/>
                                </a:lnTo>
                                <a:lnTo>
                                  <a:pt x="123253" y="172643"/>
                                </a:lnTo>
                                <a:lnTo>
                                  <a:pt x="123139" y="175310"/>
                                </a:lnTo>
                                <a:lnTo>
                                  <a:pt x="122516" y="185470"/>
                                </a:lnTo>
                                <a:lnTo>
                                  <a:pt x="122275" y="187896"/>
                                </a:lnTo>
                                <a:lnTo>
                                  <a:pt x="123253" y="189344"/>
                                </a:lnTo>
                                <a:lnTo>
                                  <a:pt x="168529" y="189344"/>
                                </a:lnTo>
                                <a:lnTo>
                                  <a:pt x="169252" y="188620"/>
                                </a:lnTo>
                                <a:lnTo>
                                  <a:pt x="169367" y="185470"/>
                                </a:lnTo>
                                <a:lnTo>
                                  <a:pt x="169976" y="175310"/>
                                </a:lnTo>
                                <a:lnTo>
                                  <a:pt x="170218" y="173126"/>
                                </a:lnTo>
                                <a:close/>
                              </a:path>
                              <a:path w="1323340" h="192405">
                                <a:moveTo>
                                  <a:pt x="324218" y="2895"/>
                                </a:moveTo>
                                <a:lnTo>
                                  <a:pt x="323240" y="1447"/>
                                </a:lnTo>
                                <a:lnTo>
                                  <a:pt x="321310" y="1447"/>
                                </a:lnTo>
                                <a:lnTo>
                                  <a:pt x="278688" y="1447"/>
                                </a:lnTo>
                                <a:lnTo>
                                  <a:pt x="277964" y="2171"/>
                                </a:lnTo>
                                <a:lnTo>
                                  <a:pt x="276999" y="17678"/>
                                </a:lnTo>
                                <a:lnTo>
                                  <a:pt x="277723" y="19367"/>
                                </a:lnTo>
                                <a:lnTo>
                                  <a:pt x="286918" y="19850"/>
                                </a:lnTo>
                                <a:lnTo>
                                  <a:pt x="286918" y="124942"/>
                                </a:lnTo>
                                <a:lnTo>
                                  <a:pt x="285178" y="142900"/>
                                </a:lnTo>
                                <a:lnTo>
                                  <a:pt x="278803" y="157607"/>
                                </a:lnTo>
                                <a:lnTo>
                                  <a:pt x="266077" y="167538"/>
                                </a:lnTo>
                                <a:lnTo>
                                  <a:pt x="245275" y="171183"/>
                                </a:lnTo>
                                <a:lnTo>
                                  <a:pt x="226237" y="168186"/>
                                </a:lnTo>
                                <a:lnTo>
                                  <a:pt x="214096" y="159321"/>
                                </a:lnTo>
                                <a:lnTo>
                                  <a:pt x="207683" y="144843"/>
                                </a:lnTo>
                                <a:lnTo>
                                  <a:pt x="205803" y="124942"/>
                                </a:lnTo>
                                <a:lnTo>
                                  <a:pt x="205803" y="19850"/>
                                </a:lnTo>
                                <a:lnTo>
                                  <a:pt x="214274" y="19126"/>
                                </a:lnTo>
                                <a:lnTo>
                                  <a:pt x="214769" y="18148"/>
                                </a:lnTo>
                                <a:lnTo>
                                  <a:pt x="215734" y="2895"/>
                                </a:lnTo>
                                <a:lnTo>
                                  <a:pt x="214769" y="1447"/>
                                </a:lnTo>
                                <a:lnTo>
                                  <a:pt x="170218" y="1447"/>
                                </a:lnTo>
                                <a:lnTo>
                                  <a:pt x="169481" y="2171"/>
                                </a:lnTo>
                                <a:lnTo>
                                  <a:pt x="168516" y="17678"/>
                                </a:lnTo>
                                <a:lnTo>
                                  <a:pt x="169240" y="19367"/>
                                </a:lnTo>
                                <a:lnTo>
                                  <a:pt x="178447" y="19850"/>
                                </a:lnTo>
                                <a:lnTo>
                                  <a:pt x="178447" y="120091"/>
                                </a:lnTo>
                                <a:lnTo>
                                  <a:pt x="182359" y="155181"/>
                                </a:lnTo>
                                <a:lnTo>
                                  <a:pt x="194462" y="177342"/>
                                </a:lnTo>
                                <a:lnTo>
                                  <a:pt x="215315" y="188912"/>
                                </a:lnTo>
                                <a:lnTo>
                                  <a:pt x="245516" y="192252"/>
                                </a:lnTo>
                                <a:lnTo>
                                  <a:pt x="276783" y="187858"/>
                                </a:lnTo>
                                <a:lnTo>
                                  <a:pt x="297878" y="174523"/>
                                </a:lnTo>
                                <a:lnTo>
                                  <a:pt x="309803" y="152006"/>
                                </a:lnTo>
                                <a:lnTo>
                                  <a:pt x="313563" y="120091"/>
                                </a:lnTo>
                                <a:lnTo>
                                  <a:pt x="313563" y="19850"/>
                                </a:lnTo>
                                <a:lnTo>
                                  <a:pt x="322770" y="19126"/>
                                </a:lnTo>
                                <a:lnTo>
                                  <a:pt x="323240" y="18148"/>
                                </a:lnTo>
                                <a:lnTo>
                                  <a:pt x="324218" y="2895"/>
                                </a:lnTo>
                                <a:close/>
                              </a:path>
                              <a:path w="1323340" h="192405">
                                <a:moveTo>
                                  <a:pt x="458597" y="137782"/>
                                </a:moveTo>
                                <a:lnTo>
                                  <a:pt x="433768" y="94945"/>
                                </a:lnTo>
                                <a:lnTo>
                                  <a:pt x="391096" y="76873"/>
                                </a:lnTo>
                                <a:lnTo>
                                  <a:pt x="377748" y="69278"/>
                                </a:lnTo>
                                <a:lnTo>
                                  <a:pt x="370624" y="60642"/>
                                </a:lnTo>
                                <a:lnTo>
                                  <a:pt x="368528" y="49403"/>
                                </a:lnTo>
                                <a:lnTo>
                                  <a:pt x="371182" y="38112"/>
                                </a:lnTo>
                                <a:lnTo>
                                  <a:pt x="378714" y="29578"/>
                                </a:lnTo>
                                <a:lnTo>
                                  <a:pt x="390474" y="24168"/>
                                </a:lnTo>
                                <a:lnTo>
                                  <a:pt x="405815" y="22288"/>
                                </a:lnTo>
                                <a:lnTo>
                                  <a:pt x="411861" y="22288"/>
                                </a:lnTo>
                                <a:lnTo>
                                  <a:pt x="418401" y="22758"/>
                                </a:lnTo>
                                <a:lnTo>
                                  <a:pt x="424942" y="23495"/>
                                </a:lnTo>
                                <a:lnTo>
                                  <a:pt x="425424" y="36563"/>
                                </a:lnTo>
                                <a:lnTo>
                                  <a:pt x="425665" y="38265"/>
                                </a:lnTo>
                                <a:lnTo>
                                  <a:pt x="426872" y="38747"/>
                                </a:lnTo>
                                <a:lnTo>
                                  <a:pt x="445274" y="39954"/>
                                </a:lnTo>
                                <a:lnTo>
                                  <a:pt x="446976" y="38747"/>
                                </a:lnTo>
                                <a:lnTo>
                                  <a:pt x="446976" y="4851"/>
                                </a:lnTo>
                                <a:lnTo>
                                  <a:pt x="436664" y="2654"/>
                                </a:lnTo>
                                <a:lnTo>
                                  <a:pt x="426085" y="1155"/>
                                </a:lnTo>
                                <a:lnTo>
                                  <a:pt x="415226" y="279"/>
                                </a:lnTo>
                                <a:lnTo>
                                  <a:pt x="404114" y="0"/>
                                </a:lnTo>
                                <a:lnTo>
                                  <a:pt x="376859" y="3606"/>
                                </a:lnTo>
                                <a:lnTo>
                                  <a:pt x="356806" y="13830"/>
                                </a:lnTo>
                                <a:lnTo>
                                  <a:pt x="344424" y="29730"/>
                                </a:lnTo>
                                <a:lnTo>
                                  <a:pt x="340194" y="50368"/>
                                </a:lnTo>
                                <a:lnTo>
                                  <a:pt x="343522" y="68211"/>
                                </a:lnTo>
                                <a:lnTo>
                                  <a:pt x="352894" y="82054"/>
                                </a:lnTo>
                                <a:lnTo>
                                  <a:pt x="367360" y="92760"/>
                                </a:lnTo>
                                <a:lnTo>
                                  <a:pt x="385953" y="101219"/>
                                </a:lnTo>
                                <a:lnTo>
                                  <a:pt x="408800" y="109931"/>
                                </a:lnTo>
                                <a:lnTo>
                                  <a:pt x="422694" y="117741"/>
                                </a:lnTo>
                                <a:lnTo>
                                  <a:pt x="429602" y="127101"/>
                                </a:lnTo>
                                <a:lnTo>
                                  <a:pt x="431482" y="140449"/>
                                </a:lnTo>
                                <a:lnTo>
                                  <a:pt x="428447" y="153238"/>
                                </a:lnTo>
                                <a:lnTo>
                                  <a:pt x="420128" y="161772"/>
                                </a:lnTo>
                                <a:lnTo>
                                  <a:pt x="407670" y="166560"/>
                                </a:lnTo>
                                <a:lnTo>
                                  <a:pt x="392252" y="168046"/>
                                </a:lnTo>
                                <a:lnTo>
                                  <a:pt x="385813" y="167779"/>
                                </a:lnTo>
                                <a:lnTo>
                                  <a:pt x="378358" y="166979"/>
                                </a:lnTo>
                                <a:lnTo>
                                  <a:pt x="370217" y="165696"/>
                                </a:lnTo>
                                <a:lnTo>
                                  <a:pt x="361734" y="163931"/>
                                </a:lnTo>
                                <a:lnTo>
                                  <a:pt x="361251" y="150863"/>
                                </a:lnTo>
                                <a:lnTo>
                                  <a:pt x="361010" y="149161"/>
                                </a:lnTo>
                                <a:lnTo>
                                  <a:pt x="359803" y="148678"/>
                                </a:lnTo>
                                <a:lnTo>
                                  <a:pt x="341401" y="147459"/>
                                </a:lnTo>
                                <a:lnTo>
                                  <a:pt x="339699" y="148678"/>
                                </a:lnTo>
                                <a:lnTo>
                                  <a:pt x="339699" y="180162"/>
                                </a:lnTo>
                                <a:lnTo>
                                  <a:pt x="350456" y="184124"/>
                                </a:lnTo>
                                <a:lnTo>
                                  <a:pt x="363067" y="187439"/>
                                </a:lnTo>
                                <a:lnTo>
                                  <a:pt x="377494" y="189712"/>
                                </a:lnTo>
                                <a:lnTo>
                                  <a:pt x="393700" y="190563"/>
                                </a:lnTo>
                                <a:lnTo>
                                  <a:pt x="421716" y="186601"/>
                                </a:lnTo>
                                <a:lnTo>
                                  <a:pt x="442036" y="175602"/>
                                </a:lnTo>
                                <a:lnTo>
                                  <a:pt x="454406" y="158889"/>
                                </a:lnTo>
                                <a:lnTo>
                                  <a:pt x="458597" y="137782"/>
                                </a:lnTo>
                                <a:close/>
                              </a:path>
                              <a:path w="1323340" h="192405">
                                <a:moveTo>
                                  <a:pt x="606767" y="1447"/>
                                </a:moveTo>
                                <a:lnTo>
                                  <a:pt x="471652" y="1447"/>
                                </a:lnTo>
                                <a:lnTo>
                                  <a:pt x="471652" y="31953"/>
                                </a:lnTo>
                                <a:lnTo>
                                  <a:pt x="472389" y="32677"/>
                                </a:lnTo>
                                <a:lnTo>
                                  <a:pt x="487883" y="33655"/>
                                </a:lnTo>
                                <a:lnTo>
                                  <a:pt x="489572" y="32918"/>
                                </a:lnTo>
                                <a:lnTo>
                                  <a:pt x="490054" y="23723"/>
                                </a:lnTo>
                                <a:lnTo>
                                  <a:pt x="524192" y="23723"/>
                                </a:lnTo>
                                <a:lnTo>
                                  <a:pt x="524192" y="170942"/>
                                </a:lnTo>
                                <a:lnTo>
                                  <a:pt x="515721" y="171665"/>
                                </a:lnTo>
                                <a:lnTo>
                                  <a:pt x="515239" y="172643"/>
                                </a:lnTo>
                                <a:lnTo>
                                  <a:pt x="514273" y="187896"/>
                                </a:lnTo>
                                <a:lnTo>
                                  <a:pt x="515239" y="189344"/>
                                </a:lnTo>
                                <a:lnTo>
                                  <a:pt x="559790" y="189344"/>
                                </a:lnTo>
                                <a:lnTo>
                                  <a:pt x="560514" y="188620"/>
                                </a:lnTo>
                                <a:lnTo>
                                  <a:pt x="561492" y="173126"/>
                                </a:lnTo>
                                <a:lnTo>
                                  <a:pt x="560755" y="171424"/>
                                </a:lnTo>
                                <a:lnTo>
                                  <a:pt x="551561" y="170942"/>
                                </a:lnTo>
                                <a:lnTo>
                                  <a:pt x="551561" y="23723"/>
                                </a:lnTo>
                                <a:lnTo>
                                  <a:pt x="588365" y="23723"/>
                                </a:lnTo>
                                <a:lnTo>
                                  <a:pt x="589089" y="32435"/>
                                </a:lnTo>
                                <a:lnTo>
                                  <a:pt x="590054" y="32918"/>
                                </a:lnTo>
                                <a:lnTo>
                                  <a:pt x="605307" y="33896"/>
                                </a:lnTo>
                                <a:lnTo>
                                  <a:pt x="606767" y="32918"/>
                                </a:lnTo>
                                <a:lnTo>
                                  <a:pt x="606767" y="1447"/>
                                </a:lnTo>
                                <a:close/>
                              </a:path>
                              <a:path w="1323340" h="192405">
                                <a:moveTo>
                                  <a:pt x="760272" y="173126"/>
                                </a:moveTo>
                                <a:lnTo>
                                  <a:pt x="759548" y="171437"/>
                                </a:lnTo>
                                <a:lnTo>
                                  <a:pt x="757859" y="171437"/>
                                </a:lnTo>
                                <a:lnTo>
                                  <a:pt x="750354" y="170954"/>
                                </a:lnTo>
                                <a:lnTo>
                                  <a:pt x="718921" y="116713"/>
                                </a:lnTo>
                                <a:lnTo>
                                  <a:pt x="715975" y="111620"/>
                                </a:lnTo>
                                <a:lnTo>
                                  <a:pt x="731266" y="102946"/>
                                </a:lnTo>
                                <a:lnTo>
                                  <a:pt x="738314" y="95161"/>
                                </a:lnTo>
                                <a:lnTo>
                                  <a:pt x="742505" y="90525"/>
                                </a:lnTo>
                                <a:lnTo>
                                  <a:pt x="749427" y="75158"/>
                                </a:lnTo>
                                <a:lnTo>
                                  <a:pt x="751801" y="57632"/>
                                </a:lnTo>
                                <a:lnTo>
                                  <a:pt x="747572" y="32715"/>
                                </a:lnTo>
                                <a:lnTo>
                                  <a:pt x="740295" y="22758"/>
                                </a:lnTo>
                                <a:lnTo>
                                  <a:pt x="734758" y="15189"/>
                                </a:lnTo>
                                <a:lnTo>
                                  <a:pt x="724204" y="10160"/>
                                </a:lnTo>
                                <a:lnTo>
                                  <a:pt x="724204" y="57632"/>
                                </a:lnTo>
                                <a:lnTo>
                                  <a:pt x="721448" y="74536"/>
                                </a:lnTo>
                                <a:lnTo>
                                  <a:pt x="713422" y="86207"/>
                                </a:lnTo>
                                <a:lnTo>
                                  <a:pt x="700493" y="92976"/>
                                </a:lnTo>
                                <a:lnTo>
                                  <a:pt x="683031" y="95161"/>
                                </a:lnTo>
                                <a:lnTo>
                                  <a:pt x="661974" y="95161"/>
                                </a:lnTo>
                                <a:lnTo>
                                  <a:pt x="661974" y="22758"/>
                                </a:lnTo>
                                <a:lnTo>
                                  <a:pt x="685215" y="22758"/>
                                </a:lnTo>
                                <a:lnTo>
                                  <a:pt x="701725" y="24701"/>
                                </a:lnTo>
                                <a:lnTo>
                                  <a:pt x="713968" y="30848"/>
                                </a:lnTo>
                                <a:lnTo>
                                  <a:pt x="721575" y="41668"/>
                                </a:lnTo>
                                <a:lnTo>
                                  <a:pt x="724204" y="57632"/>
                                </a:lnTo>
                                <a:lnTo>
                                  <a:pt x="724204" y="10160"/>
                                </a:lnTo>
                                <a:lnTo>
                                  <a:pt x="713079" y="4851"/>
                                </a:lnTo>
                                <a:lnTo>
                                  <a:pt x="682307" y="1447"/>
                                </a:lnTo>
                                <a:lnTo>
                                  <a:pt x="626376" y="1447"/>
                                </a:lnTo>
                                <a:lnTo>
                                  <a:pt x="625652" y="2171"/>
                                </a:lnTo>
                                <a:lnTo>
                                  <a:pt x="625563" y="4851"/>
                                </a:lnTo>
                                <a:lnTo>
                                  <a:pt x="624916" y="15494"/>
                                </a:lnTo>
                                <a:lnTo>
                                  <a:pt x="624687" y="17678"/>
                                </a:lnTo>
                                <a:lnTo>
                                  <a:pt x="625411" y="19367"/>
                                </a:lnTo>
                                <a:lnTo>
                                  <a:pt x="627100" y="19367"/>
                                </a:lnTo>
                                <a:lnTo>
                                  <a:pt x="634606" y="19850"/>
                                </a:lnTo>
                                <a:lnTo>
                                  <a:pt x="634606" y="170954"/>
                                </a:lnTo>
                                <a:lnTo>
                                  <a:pt x="627583" y="171437"/>
                                </a:lnTo>
                                <a:lnTo>
                                  <a:pt x="626135" y="171678"/>
                                </a:lnTo>
                                <a:lnTo>
                                  <a:pt x="625652" y="172643"/>
                                </a:lnTo>
                                <a:lnTo>
                                  <a:pt x="625525" y="175310"/>
                                </a:lnTo>
                                <a:lnTo>
                                  <a:pt x="624916" y="185483"/>
                                </a:lnTo>
                                <a:lnTo>
                                  <a:pt x="624687" y="187896"/>
                                </a:lnTo>
                                <a:lnTo>
                                  <a:pt x="625652" y="189357"/>
                                </a:lnTo>
                                <a:lnTo>
                                  <a:pt x="670204" y="189357"/>
                                </a:lnTo>
                                <a:lnTo>
                                  <a:pt x="670928" y="188620"/>
                                </a:lnTo>
                                <a:lnTo>
                                  <a:pt x="671042" y="185483"/>
                                </a:lnTo>
                                <a:lnTo>
                                  <a:pt x="671652" y="175310"/>
                                </a:lnTo>
                                <a:lnTo>
                                  <a:pt x="671893" y="173126"/>
                                </a:lnTo>
                                <a:lnTo>
                                  <a:pt x="671169" y="171437"/>
                                </a:lnTo>
                                <a:lnTo>
                                  <a:pt x="669480" y="171437"/>
                                </a:lnTo>
                                <a:lnTo>
                                  <a:pt x="661974" y="170954"/>
                                </a:lnTo>
                                <a:lnTo>
                                  <a:pt x="661974" y="116713"/>
                                </a:lnTo>
                                <a:lnTo>
                                  <a:pt x="688606" y="116713"/>
                                </a:lnTo>
                                <a:lnTo>
                                  <a:pt x="729767" y="189357"/>
                                </a:lnTo>
                                <a:lnTo>
                                  <a:pt x="758583" y="189357"/>
                                </a:lnTo>
                                <a:lnTo>
                                  <a:pt x="759307" y="188620"/>
                                </a:lnTo>
                                <a:lnTo>
                                  <a:pt x="759421" y="185483"/>
                                </a:lnTo>
                                <a:lnTo>
                                  <a:pt x="760044" y="175310"/>
                                </a:lnTo>
                                <a:lnTo>
                                  <a:pt x="760272" y="173126"/>
                                </a:lnTo>
                                <a:close/>
                              </a:path>
                              <a:path w="1323340" h="192405">
                                <a:moveTo>
                                  <a:pt x="941146" y="173126"/>
                                </a:moveTo>
                                <a:lnTo>
                                  <a:pt x="940422" y="171424"/>
                                </a:lnTo>
                                <a:lnTo>
                                  <a:pt x="938720" y="171424"/>
                                </a:lnTo>
                                <a:lnTo>
                                  <a:pt x="931456" y="170942"/>
                                </a:lnTo>
                                <a:lnTo>
                                  <a:pt x="921156" y="144068"/>
                                </a:lnTo>
                                <a:lnTo>
                                  <a:pt x="912634" y="121793"/>
                                </a:lnTo>
                                <a:lnTo>
                                  <a:pt x="885698" y="51435"/>
                                </a:lnTo>
                                <a:lnTo>
                                  <a:pt x="885698" y="121793"/>
                                </a:lnTo>
                                <a:lnTo>
                                  <a:pt x="824179" y="121793"/>
                                </a:lnTo>
                                <a:lnTo>
                                  <a:pt x="853986" y="32448"/>
                                </a:lnTo>
                                <a:lnTo>
                                  <a:pt x="854214" y="32448"/>
                                </a:lnTo>
                                <a:lnTo>
                                  <a:pt x="885698" y="121793"/>
                                </a:lnTo>
                                <a:lnTo>
                                  <a:pt x="885698" y="51435"/>
                                </a:lnTo>
                                <a:lnTo>
                                  <a:pt x="878433" y="32448"/>
                                </a:lnTo>
                                <a:lnTo>
                                  <a:pt x="866571" y="1447"/>
                                </a:lnTo>
                                <a:lnTo>
                                  <a:pt x="826858" y="1447"/>
                                </a:lnTo>
                                <a:lnTo>
                                  <a:pt x="826135" y="2171"/>
                                </a:lnTo>
                                <a:lnTo>
                                  <a:pt x="826135" y="3390"/>
                                </a:lnTo>
                                <a:lnTo>
                                  <a:pt x="825398" y="15494"/>
                                </a:lnTo>
                                <a:lnTo>
                                  <a:pt x="825169" y="17678"/>
                                </a:lnTo>
                                <a:lnTo>
                                  <a:pt x="825881" y="19367"/>
                                </a:lnTo>
                                <a:lnTo>
                                  <a:pt x="827582" y="19367"/>
                                </a:lnTo>
                                <a:lnTo>
                                  <a:pt x="834847" y="19850"/>
                                </a:lnTo>
                                <a:lnTo>
                                  <a:pt x="780605" y="170942"/>
                                </a:lnTo>
                                <a:lnTo>
                                  <a:pt x="773823" y="171424"/>
                                </a:lnTo>
                                <a:lnTo>
                                  <a:pt x="772375" y="171665"/>
                                </a:lnTo>
                                <a:lnTo>
                                  <a:pt x="771893" y="172643"/>
                                </a:lnTo>
                                <a:lnTo>
                                  <a:pt x="771766" y="175310"/>
                                </a:lnTo>
                                <a:lnTo>
                                  <a:pt x="771169" y="185470"/>
                                </a:lnTo>
                                <a:lnTo>
                                  <a:pt x="770915" y="187896"/>
                                </a:lnTo>
                                <a:lnTo>
                                  <a:pt x="771893" y="189344"/>
                                </a:lnTo>
                                <a:lnTo>
                                  <a:pt x="815962" y="189344"/>
                                </a:lnTo>
                                <a:lnTo>
                                  <a:pt x="816686" y="188620"/>
                                </a:lnTo>
                                <a:lnTo>
                                  <a:pt x="816800" y="185470"/>
                                </a:lnTo>
                                <a:lnTo>
                                  <a:pt x="817410" y="175310"/>
                                </a:lnTo>
                                <a:lnTo>
                                  <a:pt x="817664" y="173126"/>
                                </a:lnTo>
                                <a:lnTo>
                                  <a:pt x="816940" y="171424"/>
                                </a:lnTo>
                                <a:lnTo>
                                  <a:pt x="815238" y="171424"/>
                                </a:lnTo>
                                <a:lnTo>
                                  <a:pt x="807732" y="170942"/>
                                </a:lnTo>
                                <a:lnTo>
                                  <a:pt x="816686" y="144068"/>
                                </a:lnTo>
                                <a:lnTo>
                                  <a:pt x="893445" y="144068"/>
                                </a:lnTo>
                                <a:lnTo>
                                  <a:pt x="902893" y="170942"/>
                                </a:lnTo>
                                <a:lnTo>
                                  <a:pt x="896112" y="171424"/>
                                </a:lnTo>
                                <a:lnTo>
                                  <a:pt x="894651" y="171665"/>
                                </a:lnTo>
                                <a:lnTo>
                                  <a:pt x="894181" y="172643"/>
                                </a:lnTo>
                                <a:lnTo>
                                  <a:pt x="894054" y="175310"/>
                                </a:lnTo>
                                <a:lnTo>
                                  <a:pt x="893445" y="185470"/>
                                </a:lnTo>
                                <a:lnTo>
                                  <a:pt x="893203" y="187896"/>
                                </a:lnTo>
                                <a:lnTo>
                                  <a:pt x="894181" y="189344"/>
                                </a:lnTo>
                                <a:lnTo>
                                  <a:pt x="939457" y="189344"/>
                                </a:lnTo>
                                <a:lnTo>
                                  <a:pt x="940181" y="188620"/>
                                </a:lnTo>
                                <a:lnTo>
                                  <a:pt x="940295" y="185470"/>
                                </a:lnTo>
                                <a:lnTo>
                                  <a:pt x="940904" y="175310"/>
                                </a:lnTo>
                                <a:lnTo>
                                  <a:pt x="941146" y="173126"/>
                                </a:lnTo>
                                <a:close/>
                              </a:path>
                              <a:path w="1323340" h="192405">
                                <a:moveTo>
                                  <a:pt x="1076248" y="159143"/>
                                </a:moveTo>
                                <a:lnTo>
                                  <a:pt x="1076159" y="157873"/>
                                </a:lnTo>
                                <a:lnTo>
                                  <a:pt x="1064907" y="157873"/>
                                </a:lnTo>
                                <a:lnTo>
                                  <a:pt x="1064907" y="156603"/>
                                </a:lnTo>
                                <a:lnTo>
                                  <a:pt x="1059256" y="156603"/>
                                </a:lnTo>
                                <a:lnTo>
                                  <a:pt x="1059256" y="157873"/>
                                </a:lnTo>
                                <a:lnTo>
                                  <a:pt x="1058291" y="157873"/>
                                </a:lnTo>
                                <a:lnTo>
                                  <a:pt x="1058291" y="159143"/>
                                </a:lnTo>
                                <a:lnTo>
                                  <a:pt x="1058049" y="159143"/>
                                </a:lnTo>
                                <a:lnTo>
                                  <a:pt x="1058049" y="166763"/>
                                </a:lnTo>
                                <a:lnTo>
                                  <a:pt x="993203" y="166763"/>
                                </a:lnTo>
                                <a:lnTo>
                                  <a:pt x="993203" y="159143"/>
                                </a:lnTo>
                                <a:lnTo>
                                  <a:pt x="993203" y="157873"/>
                                </a:lnTo>
                                <a:lnTo>
                                  <a:pt x="993203" y="156603"/>
                                </a:lnTo>
                                <a:lnTo>
                                  <a:pt x="993203" y="19443"/>
                                </a:lnTo>
                                <a:lnTo>
                                  <a:pt x="1001826" y="19443"/>
                                </a:lnTo>
                                <a:lnTo>
                                  <a:pt x="1001826" y="18173"/>
                                </a:lnTo>
                                <a:lnTo>
                                  <a:pt x="1002626" y="18173"/>
                                </a:lnTo>
                                <a:lnTo>
                                  <a:pt x="1002626" y="2933"/>
                                </a:lnTo>
                                <a:lnTo>
                                  <a:pt x="1002715" y="1663"/>
                                </a:lnTo>
                                <a:lnTo>
                                  <a:pt x="956868" y="1663"/>
                                </a:lnTo>
                                <a:lnTo>
                                  <a:pt x="956868" y="2933"/>
                                </a:lnTo>
                                <a:lnTo>
                                  <a:pt x="956348" y="2933"/>
                                </a:lnTo>
                                <a:lnTo>
                                  <a:pt x="956348" y="18173"/>
                                </a:lnTo>
                                <a:lnTo>
                                  <a:pt x="956398" y="19443"/>
                                </a:lnTo>
                                <a:lnTo>
                                  <a:pt x="965835" y="19443"/>
                                </a:lnTo>
                                <a:lnTo>
                                  <a:pt x="965835" y="156603"/>
                                </a:lnTo>
                                <a:lnTo>
                                  <a:pt x="965835" y="157873"/>
                                </a:lnTo>
                                <a:lnTo>
                                  <a:pt x="965835" y="159143"/>
                                </a:lnTo>
                                <a:lnTo>
                                  <a:pt x="965835" y="166763"/>
                                </a:lnTo>
                                <a:lnTo>
                                  <a:pt x="965835" y="170573"/>
                                </a:lnTo>
                                <a:lnTo>
                                  <a:pt x="962850" y="170573"/>
                                </a:lnTo>
                                <a:lnTo>
                                  <a:pt x="962850" y="171843"/>
                                </a:lnTo>
                                <a:lnTo>
                                  <a:pt x="956957" y="171843"/>
                                </a:lnTo>
                                <a:lnTo>
                                  <a:pt x="956957" y="173113"/>
                                </a:lnTo>
                                <a:lnTo>
                                  <a:pt x="956360" y="173113"/>
                                </a:lnTo>
                                <a:lnTo>
                                  <a:pt x="956360" y="188353"/>
                                </a:lnTo>
                                <a:lnTo>
                                  <a:pt x="956627" y="188353"/>
                                </a:lnTo>
                                <a:lnTo>
                                  <a:pt x="956627" y="189623"/>
                                </a:lnTo>
                                <a:lnTo>
                                  <a:pt x="1076248" y="189623"/>
                                </a:lnTo>
                                <a:lnTo>
                                  <a:pt x="1076248" y="188353"/>
                                </a:lnTo>
                                <a:lnTo>
                                  <a:pt x="1076248" y="173113"/>
                                </a:lnTo>
                                <a:lnTo>
                                  <a:pt x="1076248" y="171843"/>
                                </a:lnTo>
                                <a:lnTo>
                                  <a:pt x="1076248" y="170573"/>
                                </a:lnTo>
                                <a:lnTo>
                                  <a:pt x="1076248" y="166763"/>
                                </a:lnTo>
                                <a:lnTo>
                                  <a:pt x="1076248" y="159143"/>
                                </a:lnTo>
                                <a:close/>
                              </a:path>
                              <a:path w="1323340" h="192405">
                                <a:moveTo>
                                  <a:pt x="1137742" y="2908"/>
                                </a:moveTo>
                                <a:lnTo>
                                  <a:pt x="1136777" y="1460"/>
                                </a:lnTo>
                                <a:lnTo>
                                  <a:pt x="1092225" y="1460"/>
                                </a:lnTo>
                                <a:lnTo>
                                  <a:pt x="1091488" y="2184"/>
                                </a:lnTo>
                                <a:lnTo>
                                  <a:pt x="1090523" y="17678"/>
                                </a:lnTo>
                                <a:lnTo>
                                  <a:pt x="1091247" y="19380"/>
                                </a:lnTo>
                                <a:lnTo>
                                  <a:pt x="1100455" y="19862"/>
                                </a:lnTo>
                                <a:lnTo>
                                  <a:pt x="1100455" y="170954"/>
                                </a:lnTo>
                                <a:lnTo>
                                  <a:pt x="1091971" y="171678"/>
                                </a:lnTo>
                                <a:lnTo>
                                  <a:pt x="1091488" y="172656"/>
                                </a:lnTo>
                                <a:lnTo>
                                  <a:pt x="1090523" y="187896"/>
                                </a:lnTo>
                                <a:lnTo>
                                  <a:pt x="1091488" y="189357"/>
                                </a:lnTo>
                                <a:lnTo>
                                  <a:pt x="1136040" y="189357"/>
                                </a:lnTo>
                                <a:lnTo>
                                  <a:pt x="1136777" y="188633"/>
                                </a:lnTo>
                                <a:lnTo>
                                  <a:pt x="1137742" y="173139"/>
                                </a:lnTo>
                                <a:lnTo>
                                  <a:pt x="1137018" y="171437"/>
                                </a:lnTo>
                                <a:lnTo>
                                  <a:pt x="1135316" y="171437"/>
                                </a:lnTo>
                                <a:lnTo>
                                  <a:pt x="1127810" y="170954"/>
                                </a:lnTo>
                                <a:lnTo>
                                  <a:pt x="1127810" y="19862"/>
                                </a:lnTo>
                                <a:lnTo>
                                  <a:pt x="1134833" y="19380"/>
                                </a:lnTo>
                                <a:lnTo>
                                  <a:pt x="1136281" y="19126"/>
                                </a:lnTo>
                                <a:lnTo>
                                  <a:pt x="1136777" y="18161"/>
                                </a:lnTo>
                                <a:lnTo>
                                  <a:pt x="1137742" y="2908"/>
                                </a:lnTo>
                                <a:close/>
                              </a:path>
                              <a:path w="1323340" h="192405">
                                <a:moveTo>
                                  <a:pt x="1323213" y="173126"/>
                                </a:moveTo>
                                <a:lnTo>
                                  <a:pt x="1322489" y="171424"/>
                                </a:lnTo>
                                <a:lnTo>
                                  <a:pt x="1320787" y="171424"/>
                                </a:lnTo>
                                <a:lnTo>
                                  <a:pt x="1313535" y="170942"/>
                                </a:lnTo>
                                <a:lnTo>
                                  <a:pt x="1303248" y="144068"/>
                                </a:lnTo>
                                <a:lnTo>
                                  <a:pt x="1294714" y="121793"/>
                                </a:lnTo>
                                <a:lnTo>
                                  <a:pt x="1267764" y="51396"/>
                                </a:lnTo>
                                <a:lnTo>
                                  <a:pt x="1267764" y="121793"/>
                                </a:lnTo>
                                <a:lnTo>
                                  <a:pt x="1206258" y="121793"/>
                                </a:lnTo>
                                <a:lnTo>
                                  <a:pt x="1236052" y="32448"/>
                                </a:lnTo>
                                <a:lnTo>
                                  <a:pt x="1236281" y="32448"/>
                                </a:lnTo>
                                <a:lnTo>
                                  <a:pt x="1267764" y="121793"/>
                                </a:lnTo>
                                <a:lnTo>
                                  <a:pt x="1267764" y="51396"/>
                                </a:lnTo>
                                <a:lnTo>
                                  <a:pt x="1260513" y="32448"/>
                                </a:lnTo>
                                <a:lnTo>
                                  <a:pt x="1248638" y="1447"/>
                                </a:lnTo>
                                <a:lnTo>
                                  <a:pt x="1208925" y="1447"/>
                                </a:lnTo>
                                <a:lnTo>
                                  <a:pt x="1208189" y="2171"/>
                                </a:lnTo>
                                <a:lnTo>
                                  <a:pt x="1208189" y="3390"/>
                                </a:lnTo>
                                <a:lnTo>
                                  <a:pt x="1207477" y="15494"/>
                                </a:lnTo>
                                <a:lnTo>
                                  <a:pt x="1207223" y="17678"/>
                                </a:lnTo>
                                <a:lnTo>
                                  <a:pt x="1207960" y="19367"/>
                                </a:lnTo>
                                <a:lnTo>
                                  <a:pt x="1209649" y="19367"/>
                                </a:lnTo>
                                <a:lnTo>
                                  <a:pt x="1216914" y="19850"/>
                                </a:lnTo>
                                <a:lnTo>
                                  <a:pt x="1162672" y="170942"/>
                                </a:lnTo>
                                <a:lnTo>
                                  <a:pt x="1155890" y="171424"/>
                                </a:lnTo>
                                <a:lnTo>
                                  <a:pt x="1154442" y="171665"/>
                                </a:lnTo>
                                <a:lnTo>
                                  <a:pt x="1153960" y="172643"/>
                                </a:lnTo>
                                <a:lnTo>
                                  <a:pt x="1153845" y="175310"/>
                                </a:lnTo>
                                <a:lnTo>
                                  <a:pt x="1153223" y="185470"/>
                                </a:lnTo>
                                <a:lnTo>
                                  <a:pt x="1152982" y="187896"/>
                                </a:lnTo>
                                <a:lnTo>
                                  <a:pt x="1153960" y="189344"/>
                                </a:lnTo>
                                <a:lnTo>
                                  <a:pt x="1198029" y="189344"/>
                                </a:lnTo>
                                <a:lnTo>
                                  <a:pt x="1198753" y="188620"/>
                                </a:lnTo>
                                <a:lnTo>
                                  <a:pt x="1198867" y="185470"/>
                                </a:lnTo>
                                <a:lnTo>
                                  <a:pt x="1199476" y="175310"/>
                                </a:lnTo>
                                <a:lnTo>
                                  <a:pt x="1199718" y="173126"/>
                                </a:lnTo>
                                <a:lnTo>
                                  <a:pt x="1198994" y="171424"/>
                                </a:lnTo>
                                <a:lnTo>
                                  <a:pt x="1197305" y="171424"/>
                                </a:lnTo>
                                <a:lnTo>
                                  <a:pt x="1189799" y="170942"/>
                                </a:lnTo>
                                <a:lnTo>
                                  <a:pt x="1198753" y="144068"/>
                                </a:lnTo>
                                <a:lnTo>
                                  <a:pt x="1275511" y="144068"/>
                                </a:lnTo>
                                <a:lnTo>
                                  <a:pt x="1284947" y="170942"/>
                                </a:lnTo>
                                <a:lnTo>
                                  <a:pt x="1278166" y="171424"/>
                                </a:lnTo>
                                <a:lnTo>
                                  <a:pt x="1276731" y="171665"/>
                                </a:lnTo>
                                <a:lnTo>
                                  <a:pt x="1276248" y="172643"/>
                                </a:lnTo>
                                <a:lnTo>
                                  <a:pt x="1276134" y="175310"/>
                                </a:lnTo>
                                <a:lnTo>
                                  <a:pt x="1275511" y="185470"/>
                                </a:lnTo>
                                <a:lnTo>
                                  <a:pt x="1275270" y="187896"/>
                                </a:lnTo>
                                <a:lnTo>
                                  <a:pt x="1276248" y="189344"/>
                                </a:lnTo>
                                <a:lnTo>
                                  <a:pt x="1321511" y="189344"/>
                                </a:lnTo>
                                <a:lnTo>
                                  <a:pt x="1322247" y="188620"/>
                                </a:lnTo>
                                <a:lnTo>
                                  <a:pt x="1322362" y="185470"/>
                                </a:lnTo>
                                <a:lnTo>
                                  <a:pt x="1322971" y="175310"/>
                                </a:lnTo>
                                <a:lnTo>
                                  <a:pt x="1323213" y="173126"/>
                                </a:lnTo>
                                <a:close/>
                              </a:path>
                            </a:pathLst>
                          </a:custGeom>
                          <a:solidFill>
                            <a:srgbClr val="21409A"/>
                          </a:solidFill>
                        </wps:spPr>
                        <wps:bodyPr wrap="square" lIns="0" tIns="0" rIns="0" bIns="0" rtlCol="0">
                          <a:prstTxWarp prst="textNoShape">
                            <a:avLst/>
                          </a:prstTxWarp>
                          <a:noAutofit/>
                        </wps:bodyPr>
                      </wps:wsp>
                    </wpg:wgp>
                  </a:graphicData>
                </a:graphic>
              </wp:anchor>
            </w:drawing>
          </mc:Choice>
          <mc:Fallback>
            <w:pict>
              <v:group style="position:absolute;margin-left:85.397301pt;margin-top:-92.116699pt;width:104.25pt;height:47.4pt;mso-position-horizontal-relative:page;mso-position-vertical-relative:paragraph;z-index:15924736" id="docshapegroup712" coordorigin="1708,-1842" coordsize="2085,948">
                <v:shape style="position:absolute;left:2204;top:-1842;width:299;height:159" type="#_x0000_t75" id="docshape713" stroked="false">
                  <v:imagedata r:id="rId134" o:title=""/>
                </v:shape>
                <v:shape style="position:absolute;left:2534;top:-1842;width:325;height:157" type="#_x0000_t75" id="docshape714" stroked="false">
                  <v:imagedata r:id="rId135" o:title=""/>
                </v:shape>
                <v:shape style="position:absolute;left:2889;top:-1843;width:579;height:159" type="#_x0000_t75" id="docshape715" stroked="false">
                  <v:imagedata r:id="rId136" o:title=""/>
                </v:shape>
                <v:shape style="position:absolute;left:1707;top:-1613;width:679;height:347" id="docshape716" coordorigin="1708,-1612" coordsize="679,347" path="m2141,-1609l2139,-1612,2136,-1612,2060,-1612,2059,-1611,2057,-1582,2059,-1579,2075,-1578,2015,-1318,2015,-1318,1949,-1608,1947,-1610,1907,-1612,1899,-1607,1832,-1318,1831,-1318,1774,-1578,1787,-1579,1790,-1579,1790,-1581,1792,-1609,1790,-1612,1711,-1612,1710,-1611,1708,-1582,1709,-1579,1726,-1578,1800,-1270,1803,-1267,1856,-1266,1862,-1278,1924,-1536,1924,-1536,1986,-1271,1988,-1267,2027,-1266,2037,-1266,2045,-1272,2123,-1578,2136,-1579,2138,-1579,2139,-1581,2141,-1609xm2386,-1322l2386,-1322,2386,-1324,2368,-1324,2368,-1326,2354,-1326,2354,-1324,2353,-1324,2353,-1322,2353,-1322,2353,-1308,2234,-1308,2234,-1322,2234,-1324,2234,-1326,2234,-1424,2359,-1424,2359,-1464,2234,-1464,2234,-1552,2234,-1554,2234,-1558,2234,-1570,2345,-1570,2345,-1558,2346,-1558,2346,-1554,2363,-1554,2363,-1552,2377,-1552,2377,-1554,2379,-1554,2379,-1558,2379,-1570,2379,-1578,2379,-1582,2379,-1610,2379,-1612,2167,-1612,2167,-1610,2166,-1610,2166,-1582,2166,-1582,2166,-1578,2183,-1578,2183,-1570,2183,-1558,2183,-1554,2183,-1552,2183,-1464,2183,-1424,2183,-1326,2183,-1324,2183,-1322,2183,-1308,2183,-1300,2170,-1300,2170,-1298,2167,-1298,2167,-1296,2166,-1296,2166,-1268,2166,-1268,2166,-1266,2386,-1266,2386,-1268,2386,-1296,2386,-1298,2386,-1300,2386,-1308,2386,-1322xe" filled="true" fillcolor="#21409a" stroked="false">
                  <v:path arrowok="t"/>
                  <v:fill type="solid"/>
                </v:shape>
                <v:shape style="position:absolute;left:2419;top:-1615;width:486;height:351" type="#_x0000_t75" id="docshape717" stroked="false">
                  <v:imagedata r:id="rId137" o:title=""/>
                </v:shape>
                <v:shape style="position:absolute;left:2937;top:-1613;width:221;height:346" id="docshape718" coordorigin="2938,-1612" coordsize="221,346" path="m3158,-1322l3158,-1322,3158,-1324,3140,-1324,3140,-1326,3127,-1326,3127,-1324,3125,-1324,3125,-1322,3125,-1322,3125,-1308,3006,-1308,3006,-1322,3006,-1324,3006,-1326,3006,-1424,3132,-1424,3132,-1464,3006,-1464,3006,-1552,3006,-1554,3006,-1558,3006,-1570,3117,-1570,3117,-1558,3118,-1558,3118,-1554,3135,-1554,3135,-1552,3149,-1552,3149,-1554,3151,-1554,3151,-1558,3151,-1612,2939,-1612,2939,-1610,2938,-1610,2938,-1582,2938,-1578,2955,-1578,2955,-1570,2955,-1300,2942,-1300,2942,-1298,2939,-1298,2939,-1296,2938,-1296,2938,-1268,2938,-1268,2938,-1266,3158,-1266,3158,-1268,3158,-1296,3158,-1298,3158,-1300,3158,-1308,3158,-1322xe" filled="true" fillcolor="#21409a" stroked="false">
                  <v:path arrowok="t"/>
                  <v:fill type="solid"/>
                </v:shape>
                <v:shape style="position:absolute;left:3199;top:-1612;width:250;height:346" type="#_x0000_t75" id="docshape719" stroked="false">
                  <v:imagedata r:id="rId138" o:title=""/>
                </v:shape>
                <v:shape style="position:absolute;left:3484;top:-1612;width:308;height:346" type="#_x0000_t75" id="docshape720" stroked="false">
                  <v:imagedata r:id="rId139" o:title=""/>
                </v:shape>
                <v:shape style="position:absolute;left:1708;top:-1198;width:2084;height:303" id="docshape721" coordorigin="1708,-1198" coordsize="2084,303" path="m1976,-925l1975,-928,1973,-928,1961,-929,1945,-971,1931,-1006,1889,-1117,1889,-1006,1792,-1006,1839,-1147,1839,-1147,1889,-1006,1889,-1117,1878,-1147,1859,-1195,1796,-1195,1795,-1194,1795,-1192,1794,-1173,1794,-1170,1795,-1167,1797,-1167,1809,-1166,1724,-929,1713,-928,1711,-927,1710,-926,1710,-922,1709,-906,1708,-902,1710,-900,1779,-900,1780,-901,1781,-906,1781,-922,1782,-925,1781,-928,1778,-928,1766,-929,1780,-971,1901,-971,1916,-929,1905,-928,1903,-927,1902,-926,1902,-922,1901,-906,1901,-902,1902,-900,1974,-900,1975,-901,1975,-906,1976,-922,1976,-925xm2219,-1193l2217,-1195,2214,-1195,2147,-1195,2146,-1194,2144,-1170,2146,-1167,2160,-1166,2160,-1001,2157,-973,2147,-950,2127,-934,2095,-928,2065,-933,2045,-947,2035,-970,2032,-1001,2032,-1166,2046,-1168,2046,-1169,2048,-1193,2046,-1195,1976,-1195,1975,-1194,1974,-1170,1975,-1167,1989,-1166,1989,-1009,1995,-953,2015,-918,2047,-900,2095,-895,2144,-902,2177,-923,2196,-958,2202,-1009,2202,-1166,2217,-1168,2217,-1169,2219,-1193xm2430,-981l2427,-1007,2414,-1029,2391,-1048,2357,-1064,2324,-1077,2303,-1089,2292,-1102,2289,-1120,2293,-1138,2305,-1151,2323,-1160,2347,-1163,2357,-1163,2367,-1162,2377,-1161,2378,-1140,2379,-1137,2381,-1137,2409,-1135,2412,-1137,2412,-1190,2396,-1194,2379,-1196,2362,-1197,2345,-1198,2302,-1192,2270,-1176,2251,-1151,2244,-1118,2249,-1090,2264,-1069,2287,-1052,2316,-1038,2352,-1025,2374,-1012,2385,-998,2388,-977,2383,-956,2370,-943,2350,-935,2326,-933,2316,-934,2304,-935,2291,-937,2278,-940,2277,-960,2277,-963,2275,-964,2246,-966,2243,-964,2243,-914,2260,-908,2280,-903,2303,-899,2328,-898,2372,-904,2404,-921,2424,-948,2430,-981xm2664,-1195l2451,-1195,2451,-1147,2452,-1146,2477,-1145,2479,-1146,2480,-1160,2534,-1160,2534,-929,2520,-927,2520,-926,2518,-902,2520,-900,2590,-900,2591,-901,2593,-925,2591,-928,2577,-929,2577,-1160,2635,-1160,2636,-1147,2637,-1146,2662,-1144,2664,-1146,2664,-1195xm2906,-925l2904,-928,2902,-928,2890,-929,2840,-1014,2836,-1022,2860,-1036,2871,-1048,2878,-1055,2888,-1079,2892,-1107,2886,-1146,2874,-1162,2865,-1174,2849,-1182,2849,-1107,2844,-1080,2832,-1062,2811,-1051,2784,-1048,2751,-1048,2751,-1162,2787,-1162,2813,-1159,2833,-1149,2845,-1132,2849,-1107,2849,-1182,2831,-1190,2783,-1195,2695,-1195,2694,-1194,2693,-1190,2692,-1173,2692,-1170,2693,-1167,2696,-1167,2708,-1166,2708,-929,2697,-928,2694,-927,2694,-926,2693,-922,2692,-906,2692,-902,2694,-900,2764,-900,2765,-901,2765,-906,2766,-922,2766,-925,2765,-928,2763,-928,2751,-929,2751,-1014,2793,-1014,2858,-900,2903,-900,2904,-901,2904,-906,2905,-922,2906,-925xm3190,-925l3189,-928,3187,-928,3175,-929,3159,-971,3145,-1006,3103,-1117,3103,-1006,3006,-1006,3053,-1147,3053,-1147,3103,-1006,3103,-1117,3092,-1147,3073,-1195,3010,-1195,3009,-1194,3009,-1192,3008,-1173,3008,-1170,3009,-1167,3012,-1167,3023,-1166,2938,-929,2927,-928,2925,-927,2924,-926,2924,-922,2923,-906,2922,-902,2924,-900,2993,-900,2994,-901,2995,-906,2996,-922,2996,-925,2995,-928,2992,-928,2980,-929,2994,-971,3115,-971,3130,-929,3119,-928,3117,-927,3116,-926,3116,-922,3115,-906,3115,-902,3116,-900,3188,-900,3189,-901,3189,-906,3190,-922,3190,-925xm3403,-947l3403,-947,3403,-949,3385,-949,3385,-951,3376,-951,3376,-949,3375,-949,3375,-947,3374,-947,3374,-935,3272,-935,3272,-947,3272,-949,3272,-951,3272,-1167,3286,-1167,3286,-1169,3287,-1169,3287,-1193,3287,-1193,3287,-1195,3215,-1195,3215,-1193,3214,-1193,3214,-1169,3214,-1169,3214,-1167,3229,-1167,3229,-951,3229,-949,3229,-947,3229,-935,3229,-929,3225,-929,3225,-927,3215,-927,3215,-925,3214,-925,3214,-901,3215,-901,3215,-899,3403,-899,3403,-901,3403,-925,3403,-927,3403,-929,3403,-935,3403,-947xm3500,-1193l3498,-1195,3428,-1195,3427,-1194,3426,-1170,3427,-1167,3441,-1166,3441,-929,3428,-927,3427,-926,3426,-902,3427,-900,3497,-900,3498,-901,3500,-925,3499,-928,3496,-928,3484,-929,3484,-1166,3495,-1167,3498,-1168,3498,-1169,3500,-1193xm3792,-925l3791,-928,3788,-928,3777,-929,3761,-971,3747,-1006,3705,-1117,3705,-1006,3608,-1006,3655,-1147,3655,-1147,3705,-1006,3705,-1117,3693,-1147,3675,-1195,3612,-1195,3611,-1194,3611,-1192,3610,-1173,3609,-1170,3611,-1167,3613,-1167,3625,-1166,3539,-929,3529,-928,3526,-927,3526,-926,3525,-922,3524,-906,3524,-902,3526,-900,3595,-900,3596,-901,3596,-906,3597,-922,3598,-925,3596,-928,3594,-928,3582,-929,3596,-971,3717,-971,3732,-929,3721,-928,3719,-927,3718,-926,3718,-922,3717,-906,3717,-902,3718,-900,3789,-900,3791,-901,3791,-906,3792,-922,3792,-925xe" filled="true" fillcolor="#21409a" stroked="false">
                  <v:path arrowok="t"/>
                  <v:fill type="solid"/>
                </v:shape>
                <w10:wrap type="none"/>
              </v:group>
            </w:pict>
          </mc:Fallback>
        </mc:AlternateContent>
      </w:r>
      <w:r>
        <w:rPr/>
        <w:drawing>
          <wp:anchor distT="0" distB="0" distL="0" distR="0" allowOverlap="1" layoutInCell="1" locked="0" behindDoc="0" simplePos="0" relativeHeight="15925248">
            <wp:simplePos x="0" y="0"/>
            <wp:positionH relativeFrom="page">
              <wp:posOffset>2249858</wp:posOffset>
            </wp:positionH>
            <wp:positionV relativeFrom="paragraph">
              <wp:posOffset>-1169751</wp:posOffset>
            </wp:positionV>
            <wp:extent cx="155677" cy="100012"/>
            <wp:effectExtent l="0" t="0" r="0" b="0"/>
            <wp:wrapNone/>
            <wp:docPr id="1039" name="Image 1039"/>
            <wp:cNvGraphicFramePr>
              <a:graphicFrameLocks/>
            </wp:cNvGraphicFramePr>
            <a:graphic>
              <a:graphicData uri="http://schemas.openxmlformats.org/drawingml/2006/picture">
                <pic:pic>
                  <pic:nvPicPr>
                    <pic:cNvPr id="1039" name="Image 1039"/>
                    <pic:cNvPicPr/>
                  </pic:nvPicPr>
                  <pic:blipFill>
                    <a:blip r:embed="rId140" cstate="print"/>
                    <a:stretch>
                      <a:fillRect/>
                    </a:stretch>
                  </pic:blipFill>
                  <pic:spPr>
                    <a:xfrm>
                      <a:off x="0" y="0"/>
                      <a:ext cx="155677" cy="100012"/>
                    </a:xfrm>
                    <a:prstGeom prst="rect">
                      <a:avLst/>
                    </a:prstGeom>
                  </pic:spPr>
                </pic:pic>
              </a:graphicData>
            </a:graphic>
          </wp:anchor>
        </w:drawing>
      </w:r>
      <w:r>
        <w:rPr/>
        <w:drawing>
          <wp:anchor distT="0" distB="0" distL="0" distR="0" allowOverlap="1" layoutInCell="1" locked="0" behindDoc="0" simplePos="0" relativeHeight="15927808">
            <wp:simplePos x="0" y="0"/>
            <wp:positionH relativeFrom="page">
              <wp:posOffset>2852157</wp:posOffset>
            </wp:positionH>
            <wp:positionV relativeFrom="paragraph">
              <wp:posOffset>-1166345</wp:posOffset>
            </wp:positionV>
            <wp:extent cx="1156733" cy="419100"/>
            <wp:effectExtent l="0" t="0" r="0" b="0"/>
            <wp:wrapNone/>
            <wp:docPr id="1040" name="Image 1040"/>
            <wp:cNvGraphicFramePr>
              <a:graphicFrameLocks/>
            </wp:cNvGraphicFramePr>
            <a:graphic>
              <a:graphicData uri="http://schemas.openxmlformats.org/drawingml/2006/picture">
                <pic:pic>
                  <pic:nvPicPr>
                    <pic:cNvPr id="1040" name="Image 1040"/>
                    <pic:cNvPicPr/>
                  </pic:nvPicPr>
                  <pic:blipFill>
                    <a:blip r:embed="rId141" cstate="print"/>
                    <a:stretch>
                      <a:fillRect/>
                    </a:stretch>
                  </pic:blipFill>
                  <pic:spPr>
                    <a:xfrm>
                      <a:off x="0" y="0"/>
                      <a:ext cx="1156733" cy="419100"/>
                    </a:xfrm>
                    <a:prstGeom prst="rect">
                      <a:avLst/>
                    </a:prstGeom>
                  </pic:spPr>
                </pic:pic>
              </a:graphicData>
            </a:graphic>
          </wp:anchor>
        </w:drawing>
      </w:r>
      <w:r>
        <w:rPr/>
        <mc:AlternateContent>
          <mc:Choice Requires="wps">
            <w:drawing>
              <wp:anchor distT="0" distB="0" distL="0" distR="0" allowOverlap="1" layoutInCell="1" locked="0" behindDoc="0" simplePos="0" relativeHeight="15928320">
                <wp:simplePos x="0" y="0"/>
                <wp:positionH relativeFrom="page">
                  <wp:posOffset>3418066</wp:posOffset>
                </wp:positionH>
                <wp:positionV relativeFrom="paragraph">
                  <wp:posOffset>-696963</wp:posOffset>
                </wp:positionV>
                <wp:extent cx="584835" cy="1270"/>
                <wp:effectExtent l="0" t="0" r="0" b="0"/>
                <wp:wrapNone/>
                <wp:docPr id="1041" name="Graphic 1041"/>
                <wp:cNvGraphicFramePr>
                  <a:graphicFrameLocks/>
                </wp:cNvGraphicFramePr>
                <a:graphic>
                  <a:graphicData uri="http://schemas.microsoft.com/office/word/2010/wordprocessingShape">
                    <wps:wsp>
                      <wps:cNvPr id="1041" name="Graphic 1041"/>
                      <wps:cNvSpPr/>
                      <wps:spPr>
                        <a:xfrm>
                          <a:off x="0" y="0"/>
                          <a:ext cx="584835" cy="1270"/>
                        </a:xfrm>
                        <a:custGeom>
                          <a:avLst/>
                          <a:gdLst/>
                          <a:ahLst/>
                          <a:cxnLst/>
                          <a:rect l="l" t="t" r="r" b="b"/>
                          <a:pathLst>
                            <a:path w="584835" h="0">
                              <a:moveTo>
                                <a:pt x="0" y="0"/>
                              </a:moveTo>
                              <a:lnTo>
                                <a:pt x="584784" y="0"/>
                              </a:lnTo>
                            </a:path>
                          </a:pathLst>
                        </a:custGeom>
                        <a:ln w="406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28320" from="269.139099pt,-54.879002pt" to="315.185099pt,-54.879002pt" stroked="true" strokeweight=".32pt" strokecolor="#000000">
                <v:stroke dashstyle="solid"/>
                <w10:wrap type="none"/>
              </v:line>
            </w:pict>
          </mc:Fallback>
        </mc:AlternateContent>
      </w:r>
      <w:r>
        <w:rPr/>
        <mc:AlternateContent>
          <mc:Choice Requires="wps">
            <w:drawing>
              <wp:anchor distT="0" distB="0" distL="0" distR="0" allowOverlap="1" layoutInCell="1" locked="0" behindDoc="0" simplePos="0" relativeHeight="15928832">
                <wp:simplePos x="0" y="0"/>
                <wp:positionH relativeFrom="page">
                  <wp:posOffset>3419221</wp:posOffset>
                </wp:positionH>
                <wp:positionV relativeFrom="paragraph">
                  <wp:posOffset>-638670</wp:posOffset>
                </wp:positionV>
                <wp:extent cx="364490" cy="57785"/>
                <wp:effectExtent l="0" t="0" r="0" b="0"/>
                <wp:wrapNone/>
                <wp:docPr id="1042" name="Graphic 1042"/>
                <wp:cNvGraphicFramePr>
                  <a:graphicFrameLocks/>
                </wp:cNvGraphicFramePr>
                <a:graphic>
                  <a:graphicData uri="http://schemas.microsoft.com/office/word/2010/wordprocessingShape">
                    <wps:wsp>
                      <wps:cNvPr id="1042" name="Graphic 1042"/>
                      <wps:cNvSpPr/>
                      <wps:spPr>
                        <a:xfrm>
                          <a:off x="0" y="0"/>
                          <a:ext cx="364490" cy="57785"/>
                        </a:xfrm>
                        <a:custGeom>
                          <a:avLst/>
                          <a:gdLst/>
                          <a:ahLst/>
                          <a:cxnLst/>
                          <a:rect l="l" t="t" r="r" b="b"/>
                          <a:pathLst>
                            <a:path w="364490" h="57785">
                              <a:moveTo>
                                <a:pt x="57594" y="0"/>
                              </a:moveTo>
                              <a:lnTo>
                                <a:pt x="49961" y="0"/>
                              </a:lnTo>
                              <a:lnTo>
                                <a:pt x="28994" y="48260"/>
                              </a:lnTo>
                              <a:lnTo>
                                <a:pt x="8039" y="0"/>
                              </a:lnTo>
                              <a:lnTo>
                                <a:pt x="0" y="0"/>
                              </a:lnTo>
                              <a:lnTo>
                                <a:pt x="0" y="57518"/>
                              </a:lnTo>
                              <a:lnTo>
                                <a:pt x="5359" y="57518"/>
                              </a:lnTo>
                              <a:lnTo>
                                <a:pt x="5359" y="6832"/>
                              </a:lnTo>
                              <a:lnTo>
                                <a:pt x="5524" y="6832"/>
                              </a:lnTo>
                              <a:lnTo>
                                <a:pt x="27787" y="57518"/>
                              </a:lnTo>
                              <a:lnTo>
                                <a:pt x="30137" y="57518"/>
                              </a:lnTo>
                              <a:lnTo>
                                <a:pt x="52070" y="6832"/>
                              </a:lnTo>
                              <a:lnTo>
                                <a:pt x="52235" y="6832"/>
                              </a:lnTo>
                              <a:lnTo>
                                <a:pt x="52235" y="57518"/>
                              </a:lnTo>
                              <a:lnTo>
                                <a:pt x="57594" y="57518"/>
                              </a:lnTo>
                              <a:lnTo>
                                <a:pt x="57594" y="0"/>
                              </a:lnTo>
                              <a:close/>
                            </a:path>
                            <a:path w="364490" h="57785">
                              <a:moveTo>
                                <a:pt x="116649" y="52641"/>
                              </a:moveTo>
                              <a:lnTo>
                                <a:pt x="85534" y="52641"/>
                              </a:lnTo>
                              <a:lnTo>
                                <a:pt x="85534" y="30226"/>
                              </a:lnTo>
                              <a:lnTo>
                                <a:pt x="113487" y="30226"/>
                              </a:lnTo>
                              <a:lnTo>
                                <a:pt x="113487" y="25349"/>
                              </a:lnTo>
                              <a:lnTo>
                                <a:pt x="85534" y="25349"/>
                              </a:lnTo>
                              <a:lnTo>
                                <a:pt x="85534" y="4876"/>
                              </a:lnTo>
                              <a:lnTo>
                                <a:pt x="115354" y="4876"/>
                              </a:lnTo>
                              <a:lnTo>
                                <a:pt x="115354" y="0"/>
                              </a:lnTo>
                              <a:lnTo>
                                <a:pt x="80175" y="0"/>
                              </a:lnTo>
                              <a:lnTo>
                                <a:pt x="80175" y="57518"/>
                              </a:lnTo>
                              <a:lnTo>
                                <a:pt x="116649" y="57518"/>
                              </a:lnTo>
                              <a:lnTo>
                                <a:pt x="116649" y="52641"/>
                              </a:lnTo>
                              <a:close/>
                            </a:path>
                            <a:path w="364490" h="57785">
                              <a:moveTo>
                                <a:pt x="191719" y="0"/>
                              </a:moveTo>
                              <a:lnTo>
                                <a:pt x="184086" y="0"/>
                              </a:lnTo>
                              <a:lnTo>
                                <a:pt x="163131" y="48260"/>
                              </a:lnTo>
                              <a:lnTo>
                                <a:pt x="142163" y="0"/>
                              </a:lnTo>
                              <a:lnTo>
                                <a:pt x="134124" y="0"/>
                              </a:lnTo>
                              <a:lnTo>
                                <a:pt x="134124" y="57518"/>
                              </a:lnTo>
                              <a:lnTo>
                                <a:pt x="139484" y="57518"/>
                              </a:lnTo>
                              <a:lnTo>
                                <a:pt x="139484" y="6832"/>
                              </a:lnTo>
                              <a:lnTo>
                                <a:pt x="139649" y="6832"/>
                              </a:lnTo>
                              <a:lnTo>
                                <a:pt x="161912" y="57518"/>
                              </a:lnTo>
                              <a:lnTo>
                                <a:pt x="164261" y="57518"/>
                              </a:lnTo>
                              <a:lnTo>
                                <a:pt x="186194" y="6832"/>
                              </a:lnTo>
                              <a:lnTo>
                                <a:pt x="186359" y="6832"/>
                              </a:lnTo>
                              <a:lnTo>
                                <a:pt x="186359" y="57518"/>
                              </a:lnTo>
                              <a:lnTo>
                                <a:pt x="191719" y="57518"/>
                              </a:lnTo>
                              <a:lnTo>
                                <a:pt x="191719" y="0"/>
                              </a:lnTo>
                              <a:close/>
                            </a:path>
                            <a:path w="364490" h="57785">
                              <a:moveTo>
                                <a:pt x="251904" y="33388"/>
                              </a:moveTo>
                              <a:lnTo>
                                <a:pt x="248412" y="29730"/>
                              </a:lnTo>
                              <a:lnTo>
                                <a:pt x="246634" y="27863"/>
                              </a:lnTo>
                              <a:lnTo>
                                <a:pt x="246545" y="33058"/>
                              </a:lnTo>
                              <a:lnTo>
                                <a:pt x="246545" y="45656"/>
                              </a:lnTo>
                              <a:lnTo>
                                <a:pt x="244513" y="52641"/>
                              </a:lnTo>
                              <a:lnTo>
                                <a:pt x="219659" y="52641"/>
                              </a:lnTo>
                              <a:lnTo>
                                <a:pt x="219659" y="29730"/>
                              </a:lnTo>
                              <a:lnTo>
                                <a:pt x="239560" y="29730"/>
                              </a:lnTo>
                              <a:lnTo>
                                <a:pt x="246545" y="33058"/>
                              </a:lnTo>
                              <a:lnTo>
                                <a:pt x="246545" y="27863"/>
                              </a:lnTo>
                              <a:lnTo>
                                <a:pt x="239077" y="27292"/>
                              </a:lnTo>
                              <a:lnTo>
                                <a:pt x="239077" y="27139"/>
                              </a:lnTo>
                              <a:lnTo>
                                <a:pt x="245897" y="25755"/>
                              </a:lnTo>
                              <a:lnTo>
                                <a:pt x="246557" y="24853"/>
                              </a:lnTo>
                              <a:lnTo>
                                <a:pt x="249389" y="21043"/>
                              </a:lnTo>
                              <a:lnTo>
                                <a:pt x="249389" y="4876"/>
                              </a:lnTo>
                              <a:lnTo>
                                <a:pt x="249389" y="2197"/>
                              </a:lnTo>
                              <a:lnTo>
                                <a:pt x="244030" y="990"/>
                              </a:lnTo>
                              <a:lnTo>
                                <a:pt x="244030" y="7150"/>
                              </a:lnTo>
                              <a:lnTo>
                                <a:pt x="244030" y="18770"/>
                              </a:lnTo>
                              <a:lnTo>
                                <a:pt x="241922" y="24853"/>
                              </a:lnTo>
                              <a:lnTo>
                                <a:pt x="219659" y="24853"/>
                              </a:lnTo>
                              <a:lnTo>
                                <a:pt x="219659" y="4876"/>
                              </a:lnTo>
                              <a:lnTo>
                                <a:pt x="238340" y="4876"/>
                              </a:lnTo>
                              <a:lnTo>
                                <a:pt x="244030" y="7150"/>
                              </a:lnTo>
                              <a:lnTo>
                                <a:pt x="244030" y="990"/>
                              </a:lnTo>
                              <a:lnTo>
                                <a:pt x="239649" y="0"/>
                              </a:lnTo>
                              <a:lnTo>
                                <a:pt x="214299" y="0"/>
                              </a:lnTo>
                              <a:lnTo>
                                <a:pt x="214299" y="57518"/>
                              </a:lnTo>
                              <a:lnTo>
                                <a:pt x="240461" y="57518"/>
                              </a:lnTo>
                              <a:lnTo>
                                <a:pt x="251904" y="54673"/>
                              </a:lnTo>
                              <a:lnTo>
                                <a:pt x="251904" y="52641"/>
                              </a:lnTo>
                              <a:lnTo>
                                <a:pt x="251904" y="33388"/>
                              </a:lnTo>
                              <a:close/>
                            </a:path>
                            <a:path w="364490" h="57785">
                              <a:moveTo>
                                <a:pt x="308737" y="52641"/>
                              </a:moveTo>
                              <a:lnTo>
                                <a:pt x="277622" y="52641"/>
                              </a:lnTo>
                              <a:lnTo>
                                <a:pt x="277622" y="30226"/>
                              </a:lnTo>
                              <a:lnTo>
                                <a:pt x="305574" y="30226"/>
                              </a:lnTo>
                              <a:lnTo>
                                <a:pt x="305574" y="25349"/>
                              </a:lnTo>
                              <a:lnTo>
                                <a:pt x="277622" y="25349"/>
                              </a:lnTo>
                              <a:lnTo>
                                <a:pt x="277622" y="4876"/>
                              </a:lnTo>
                              <a:lnTo>
                                <a:pt x="307441" y="4876"/>
                              </a:lnTo>
                              <a:lnTo>
                                <a:pt x="307441" y="0"/>
                              </a:lnTo>
                              <a:lnTo>
                                <a:pt x="272262" y="0"/>
                              </a:lnTo>
                              <a:lnTo>
                                <a:pt x="272262" y="57518"/>
                              </a:lnTo>
                              <a:lnTo>
                                <a:pt x="308737" y="57518"/>
                              </a:lnTo>
                              <a:lnTo>
                                <a:pt x="308737" y="52641"/>
                              </a:lnTo>
                              <a:close/>
                            </a:path>
                            <a:path w="364490" h="57785">
                              <a:moveTo>
                                <a:pt x="364109" y="57518"/>
                              </a:moveTo>
                              <a:lnTo>
                                <a:pt x="347560" y="30226"/>
                              </a:lnTo>
                              <a:lnTo>
                                <a:pt x="347370" y="29895"/>
                              </a:lnTo>
                              <a:lnTo>
                                <a:pt x="353720" y="29083"/>
                              </a:lnTo>
                              <a:lnTo>
                                <a:pt x="362077" y="26085"/>
                              </a:lnTo>
                              <a:lnTo>
                                <a:pt x="362077" y="25349"/>
                              </a:lnTo>
                              <a:lnTo>
                                <a:pt x="362077" y="15113"/>
                              </a:lnTo>
                              <a:lnTo>
                                <a:pt x="359511" y="6375"/>
                              </a:lnTo>
                              <a:lnTo>
                                <a:pt x="357517" y="4876"/>
                              </a:lnTo>
                              <a:lnTo>
                                <a:pt x="356717" y="4279"/>
                              </a:lnTo>
                              <a:lnTo>
                                <a:pt x="356717" y="11125"/>
                              </a:lnTo>
                              <a:lnTo>
                                <a:pt x="356717" y="19100"/>
                              </a:lnTo>
                              <a:lnTo>
                                <a:pt x="354533" y="25349"/>
                              </a:lnTo>
                              <a:lnTo>
                                <a:pt x="331863" y="25349"/>
                              </a:lnTo>
                              <a:lnTo>
                                <a:pt x="331863" y="4876"/>
                              </a:lnTo>
                              <a:lnTo>
                                <a:pt x="354533" y="4876"/>
                              </a:lnTo>
                              <a:lnTo>
                                <a:pt x="356717" y="11125"/>
                              </a:lnTo>
                              <a:lnTo>
                                <a:pt x="356717" y="4279"/>
                              </a:lnTo>
                              <a:lnTo>
                                <a:pt x="353542" y="1892"/>
                              </a:lnTo>
                              <a:lnTo>
                                <a:pt x="346722" y="241"/>
                              </a:lnTo>
                              <a:lnTo>
                                <a:pt x="341604" y="0"/>
                              </a:lnTo>
                              <a:lnTo>
                                <a:pt x="326504" y="0"/>
                              </a:lnTo>
                              <a:lnTo>
                                <a:pt x="326504" y="57518"/>
                              </a:lnTo>
                              <a:lnTo>
                                <a:pt x="331863" y="57518"/>
                              </a:lnTo>
                              <a:lnTo>
                                <a:pt x="331863" y="30226"/>
                              </a:lnTo>
                              <a:lnTo>
                                <a:pt x="341858" y="30226"/>
                              </a:lnTo>
                              <a:lnTo>
                                <a:pt x="358025" y="57518"/>
                              </a:lnTo>
                              <a:lnTo>
                                <a:pt x="364109" y="57518"/>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269.230011pt;margin-top:-50.289013pt;width:28.7pt;height:4.55pt;mso-position-horizontal-relative:page;mso-position-vertical-relative:paragraph;z-index:15928832" id="docshape722" coordorigin="5385,-1006" coordsize="574,91" path="m5475,-1006l5463,-1006,5430,-930,5397,-1006,5385,-1006,5385,-915,5393,-915,5393,-995,5393,-995,5428,-915,5432,-915,5467,-995,5467,-995,5467,-915,5475,-915,5475,-1006xm5568,-923l5519,-923,5519,-958,5563,-958,5563,-966,5519,-966,5519,-998,5566,-998,5566,-1006,5511,-1006,5511,-915,5568,-915,5568,-923xm5687,-1006l5675,-1006,5642,-930,5608,-1006,5596,-1006,5596,-915,5604,-915,5604,-995,5605,-995,5640,-915,5643,-915,5678,-995,5678,-995,5678,-915,5687,-915,5687,-1006xm5781,-953l5776,-959,5773,-962,5773,-962,5773,-954,5773,-934,5770,-923,5731,-923,5731,-959,5762,-959,5773,-954,5773,-962,5761,-963,5761,-963,5772,-965,5773,-967,5777,-973,5777,-998,5777,-1002,5769,-1004,5769,-995,5769,-976,5766,-967,5731,-967,5731,-998,5760,-998,5769,-995,5769,-1004,5762,-1006,5722,-1006,5722,-915,5763,-915,5781,-920,5781,-923,5781,-953xm5871,-923l5822,-923,5822,-958,5866,-958,5866,-966,5822,-966,5822,-998,5869,-998,5869,-1006,5813,-1006,5813,-915,5871,-915,5871,-923xm5958,-915l5932,-958,5932,-959,5942,-960,5955,-965,5955,-966,5955,-982,5951,-996,5948,-998,5946,-999,5946,-988,5946,-976,5943,-966,5907,-966,5907,-998,5943,-998,5946,-988,5946,-999,5941,-1003,5931,-1005,5923,-1006,5899,-1006,5899,-915,5907,-915,5907,-958,5923,-958,5948,-915,5958,-915xe" filled="true" fillcolor="#000000" stroked="false">
                <v:path arrowok="t"/>
                <v:fill type="solid"/>
                <w10:wrap type="none"/>
              </v:shape>
            </w:pict>
          </mc:Fallback>
        </mc:AlternateContent>
      </w:r>
      <w:r>
        <w:rPr/>
        <w:drawing>
          <wp:anchor distT="0" distB="0" distL="0" distR="0" allowOverlap="1" layoutInCell="1" locked="0" behindDoc="0" simplePos="0" relativeHeight="15929344">
            <wp:simplePos x="0" y="0"/>
            <wp:positionH relativeFrom="page">
              <wp:posOffset>4420330</wp:posOffset>
            </wp:positionH>
            <wp:positionV relativeFrom="paragraph">
              <wp:posOffset>-1210245</wp:posOffset>
            </wp:positionV>
            <wp:extent cx="1200177" cy="614362"/>
            <wp:effectExtent l="0" t="0" r="0" b="0"/>
            <wp:wrapNone/>
            <wp:docPr id="1043" name="Image 1043"/>
            <wp:cNvGraphicFramePr>
              <a:graphicFrameLocks/>
            </wp:cNvGraphicFramePr>
            <a:graphic>
              <a:graphicData uri="http://schemas.openxmlformats.org/drawingml/2006/picture">
                <pic:pic>
                  <pic:nvPicPr>
                    <pic:cNvPr id="1043" name="Image 1043"/>
                    <pic:cNvPicPr/>
                  </pic:nvPicPr>
                  <pic:blipFill>
                    <a:blip r:embed="rId142" cstate="print"/>
                    <a:stretch>
                      <a:fillRect/>
                    </a:stretch>
                  </pic:blipFill>
                  <pic:spPr>
                    <a:xfrm>
                      <a:off x="0" y="0"/>
                      <a:ext cx="1200177" cy="614362"/>
                    </a:xfrm>
                    <a:prstGeom prst="rect">
                      <a:avLst/>
                    </a:prstGeom>
                  </pic:spPr>
                </pic:pic>
              </a:graphicData>
            </a:graphic>
          </wp:anchor>
        </w:drawing>
      </w:r>
      <w:r>
        <w:rPr>
          <w:color w:val="21409A"/>
        </w:rPr>
        <w:t>Get in </w:t>
      </w:r>
      <w:r>
        <w:rPr>
          <w:color w:val="21409A"/>
          <w:spacing w:val="-4"/>
        </w:rPr>
        <w:t>touch</w:t>
      </w:r>
    </w:p>
    <w:p>
      <w:pPr>
        <w:spacing w:after="0"/>
        <w:sectPr>
          <w:headerReference w:type="even" r:id="rId131"/>
          <w:pgSz w:w="11910" w:h="16840"/>
          <w:pgMar w:header="0" w:footer="0" w:top="1920" w:bottom="280" w:left="280" w:right="980"/>
        </w:sectPr>
      </w:pPr>
    </w:p>
    <w:p>
      <w:pPr>
        <w:spacing w:line="187" w:lineRule="exact" w:before="133"/>
        <w:ind w:left="507" w:right="0" w:firstLine="0"/>
        <w:jc w:val="left"/>
        <w:rPr>
          <w:rFonts w:ascii="TT Norms Pro"/>
          <w:b/>
          <w:sz w:val="16"/>
        </w:rPr>
      </w:pPr>
      <w:r>
        <w:rPr>
          <w:rFonts w:ascii="TT Norms Pro"/>
          <w:b/>
          <w:color w:val="21409A"/>
          <w:sz w:val="16"/>
        </w:rPr>
        <w:t>CALL</w:t>
      </w:r>
      <w:r>
        <w:rPr>
          <w:rFonts w:ascii="TT Norms Pro"/>
          <w:b/>
          <w:color w:val="21409A"/>
          <w:spacing w:val="-2"/>
          <w:sz w:val="16"/>
        </w:rPr>
        <w:t> </w:t>
      </w:r>
      <w:r>
        <w:rPr>
          <w:rFonts w:ascii="TT Norms Pro"/>
          <w:b/>
          <w:color w:val="21409A"/>
          <w:spacing w:val="-5"/>
          <w:sz w:val="16"/>
        </w:rPr>
        <w:t>US</w:t>
      </w:r>
    </w:p>
    <w:p>
      <w:pPr>
        <w:spacing w:before="0"/>
        <w:ind w:left="507" w:right="0" w:firstLine="0"/>
        <w:jc w:val="left"/>
        <w:rPr>
          <w:rFonts w:ascii="TT Norms Pro Medium"/>
          <w:b/>
          <w:sz w:val="14"/>
        </w:rPr>
      </w:pPr>
      <w:r>
        <w:rPr>
          <w:rFonts w:ascii="TT Norms Pro Medium"/>
          <w:b/>
          <w:color w:val="21409A"/>
          <w:spacing w:val="-6"/>
          <w:sz w:val="14"/>
        </w:rPr>
        <w:t>+61</w:t>
      </w:r>
      <w:r>
        <w:rPr>
          <w:rFonts w:ascii="TT Norms Pro Medium"/>
          <w:b/>
          <w:color w:val="21409A"/>
          <w:spacing w:val="-1"/>
          <w:sz w:val="14"/>
        </w:rPr>
        <w:t> </w:t>
      </w:r>
      <w:r>
        <w:rPr>
          <w:rFonts w:ascii="TT Norms Pro Medium"/>
          <w:b/>
          <w:color w:val="21409A"/>
          <w:spacing w:val="-6"/>
          <w:sz w:val="14"/>
        </w:rPr>
        <w:t>8</w:t>
      </w:r>
      <w:r>
        <w:rPr>
          <w:rFonts w:ascii="TT Norms Pro Medium"/>
          <w:b/>
          <w:color w:val="21409A"/>
          <w:sz w:val="14"/>
        </w:rPr>
        <w:t> </w:t>
      </w:r>
      <w:r>
        <w:rPr>
          <w:rFonts w:ascii="TT Norms Pro Medium"/>
          <w:b/>
          <w:color w:val="21409A"/>
          <w:spacing w:val="-6"/>
          <w:sz w:val="14"/>
        </w:rPr>
        <w:t>6488</w:t>
      </w:r>
      <w:r>
        <w:rPr>
          <w:rFonts w:ascii="TT Norms Pro Medium"/>
          <w:b/>
          <w:color w:val="21409A"/>
          <w:sz w:val="14"/>
        </w:rPr>
        <w:t> </w:t>
      </w:r>
      <w:r>
        <w:rPr>
          <w:rFonts w:ascii="TT Norms Pro Medium"/>
          <w:b/>
          <w:color w:val="21409A"/>
          <w:spacing w:val="-10"/>
          <w:sz w:val="14"/>
        </w:rPr>
        <w:t>2450</w:t>
      </w:r>
    </w:p>
    <w:p>
      <w:pPr>
        <w:spacing w:line="187" w:lineRule="exact" w:before="133"/>
        <w:ind w:left="274" w:right="0" w:firstLine="0"/>
        <w:jc w:val="left"/>
        <w:rPr>
          <w:rFonts w:ascii="TT Norms Pro"/>
          <w:b/>
          <w:sz w:val="16"/>
        </w:rPr>
      </w:pPr>
      <w:r>
        <w:rPr/>
        <w:br w:type="column"/>
      </w:r>
      <w:r>
        <w:rPr>
          <w:rFonts w:ascii="TT Norms Pro"/>
          <w:b/>
          <w:color w:val="21409A"/>
          <w:spacing w:val="-2"/>
          <w:sz w:val="16"/>
        </w:rPr>
        <w:t>EMAIL</w:t>
      </w:r>
    </w:p>
    <w:p>
      <w:pPr>
        <w:spacing w:before="0"/>
        <w:ind w:left="274" w:right="0" w:firstLine="0"/>
        <w:jc w:val="left"/>
        <w:rPr>
          <w:rFonts w:ascii="TT Norms Pro Medium"/>
          <w:b/>
          <w:sz w:val="14"/>
        </w:rPr>
      </w:pPr>
      <w:hyperlink r:id="rId143">
        <w:r>
          <w:rPr>
            <w:rFonts w:ascii="TT Norms Pro Medium"/>
            <w:b/>
            <w:color w:val="21409A"/>
            <w:w w:val="90"/>
            <w:sz w:val="14"/>
          </w:rPr>
          <w:t>university-</w:t>
        </w:r>
        <w:r>
          <w:rPr>
            <w:rFonts w:ascii="TT Norms Pro Medium"/>
            <w:b/>
            <w:color w:val="21409A"/>
            <w:spacing w:val="-2"/>
            <w:w w:val="95"/>
            <w:sz w:val="14"/>
          </w:rPr>
          <w:t>secretary@uwa.edu.au</w:t>
        </w:r>
      </w:hyperlink>
    </w:p>
    <w:p>
      <w:pPr>
        <w:spacing w:line="187" w:lineRule="exact" w:before="133"/>
        <w:ind w:left="288" w:right="0" w:firstLine="0"/>
        <w:jc w:val="left"/>
        <w:rPr>
          <w:rFonts w:ascii="TT Norms Pro"/>
          <w:b/>
          <w:sz w:val="16"/>
        </w:rPr>
      </w:pPr>
      <w:r>
        <w:rPr/>
        <w:br w:type="column"/>
      </w:r>
      <w:r>
        <w:rPr>
          <w:rFonts w:ascii="TT Norms Pro"/>
          <w:b/>
          <w:color w:val="21409A"/>
          <w:spacing w:val="-2"/>
          <w:sz w:val="16"/>
        </w:rPr>
        <w:t>CORRESPONDENCE</w:t>
      </w:r>
    </w:p>
    <w:p>
      <w:pPr>
        <w:spacing w:before="0"/>
        <w:ind w:left="288" w:right="0" w:firstLine="0"/>
        <w:jc w:val="left"/>
        <w:rPr>
          <w:rFonts w:ascii="TT Norms Pro Medium"/>
          <w:b/>
          <w:sz w:val="14"/>
        </w:rPr>
      </w:pPr>
      <w:r>
        <w:rPr>
          <w:rFonts w:ascii="TT Norms Pro Medium"/>
          <w:b/>
          <w:color w:val="21409A"/>
          <w:w w:val="90"/>
          <w:sz w:val="14"/>
        </w:rPr>
        <w:t>University</w:t>
      </w:r>
      <w:r>
        <w:rPr>
          <w:rFonts w:ascii="TT Norms Pro Medium"/>
          <w:b/>
          <w:color w:val="21409A"/>
          <w:spacing w:val="18"/>
          <w:sz w:val="14"/>
        </w:rPr>
        <w:t> </w:t>
      </w:r>
      <w:r>
        <w:rPr>
          <w:rFonts w:ascii="TT Norms Pro Medium"/>
          <w:b/>
          <w:color w:val="21409A"/>
          <w:spacing w:val="-2"/>
          <w:sz w:val="14"/>
        </w:rPr>
        <w:t>Secretary</w:t>
      </w:r>
    </w:p>
    <w:p>
      <w:pPr>
        <w:spacing w:before="4"/>
        <w:ind w:left="288" w:right="0" w:firstLine="0"/>
        <w:jc w:val="left"/>
        <w:rPr>
          <w:rFonts w:ascii="TT Norms Pro Medium"/>
          <w:b/>
          <w:sz w:val="14"/>
        </w:rPr>
      </w:pPr>
      <w:r>
        <w:rPr>
          <w:rFonts w:ascii="TT Norms Pro Medium"/>
          <w:b/>
          <w:color w:val="21409A"/>
          <w:w w:val="90"/>
          <w:sz w:val="14"/>
        </w:rPr>
        <w:t>The</w:t>
      </w:r>
      <w:r>
        <w:rPr>
          <w:rFonts w:ascii="TT Norms Pro Medium"/>
          <w:b/>
          <w:color w:val="21409A"/>
          <w:spacing w:val="12"/>
          <w:sz w:val="14"/>
        </w:rPr>
        <w:t> </w:t>
      </w:r>
      <w:r>
        <w:rPr>
          <w:rFonts w:ascii="TT Norms Pro Medium"/>
          <w:b/>
          <w:color w:val="21409A"/>
          <w:w w:val="90"/>
          <w:sz w:val="14"/>
        </w:rPr>
        <w:t>University</w:t>
      </w:r>
      <w:r>
        <w:rPr>
          <w:rFonts w:ascii="TT Norms Pro Medium"/>
          <w:b/>
          <w:color w:val="21409A"/>
          <w:spacing w:val="7"/>
          <w:sz w:val="14"/>
        </w:rPr>
        <w:t> </w:t>
      </w:r>
      <w:r>
        <w:rPr>
          <w:rFonts w:ascii="TT Norms Pro Medium"/>
          <w:b/>
          <w:color w:val="21409A"/>
          <w:w w:val="90"/>
          <w:sz w:val="14"/>
        </w:rPr>
        <w:t>of</w:t>
      </w:r>
      <w:r>
        <w:rPr>
          <w:rFonts w:ascii="TT Norms Pro Medium"/>
          <w:b/>
          <w:color w:val="21409A"/>
          <w:spacing w:val="7"/>
          <w:sz w:val="14"/>
        </w:rPr>
        <w:t> </w:t>
      </w:r>
      <w:r>
        <w:rPr>
          <w:rFonts w:ascii="TT Norms Pro Medium"/>
          <w:b/>
          <w:color w:val="21409A"/>
          <w:w w:val="90"/>
          <w:sz w:val="14"/>
        </w:rPr>
        <w:t>Western</w:t>
      </w:r>
      <w:r>
        <w:rPr>
          <w:rFonts w:ascii="TT Norms Pro Medium"/>
          <w:b/>
          <w:color w:val="21409A"/>
          <w:spacing w:val="6"/>
          <w:sz w:val="14"/>
        </w:rPr>
        <w:t> </w:t>
      </w:r>
      <w:r>
        <w:rPr>
          <w:rFonts w:ascii="TT Norms Pro Medium"/>
          <w:b/>
          <w:color w:val="21409A"/>
          <w:spacing w:val="-2"/>
          <w:w w:val="90"/>
          <w:sz w:val="14"/>
        </w:rPr>
        <w:t>Australia</w:t>
      </w:r>
    </w:p>
    <w:p>
      <w:pPr>
        <w:spacing w:before="4"/>
        <w:ind w:left="288" w:right="0" w:firstLine="0"/>
        <w:jc w:val="left"/>
        <w:rPr>
          <w:rFonts w:ascii="TT Norms Pro Medium"/>
          <w:b/>
          <w:sz w:val="14"/>
        </w:rPr>
      </w:pPr>
      <w:r>
        <w:rPr>
          <w:rFonts w:ascii="TT Norms Pro Medium"/>
          <w:b/>
          <w:color w:val="21409A"/>
          <w:w w:val="90"/>
          <w:sz w:val="14"/>
        </w:rPr>
        <w:t>35</w:t>
      </w:r>
      <w:r>
        <w:rPr>
          <w:rFonts w:ascii="TT Norms Pro Medium"/>
          <w:b/>
          <w:color w:val="21409A"/>
          <w:spacing w:val="12"/>
          <w:sz w:val="14"/>
        </w:rPr>
        <w:t> </w:t>
      </w:r>
      <w:r>
        <w:rPr>
          <w:rFonts w:ascii="TT Norms Pro Medium"/>
          <w:b/>
          <w:color w:val="21409A"/>
          <w:w w:val="90"/>
          <w:sz w:val="14"/>
        </w:rPr>
        <w:t>Stirling</w:t>
      </w:r>
      <w:r>
        <w:rPr>
          <w:rFonts w:ascii="TT Norms Pro Medium"/>
          <w:b/>
          <w:color w:val="21409A"/>
          <w:spacing w:val="12"/>
          <w:sz w:val="14"/>
        </w:rPr>
        <w:t> </w:t>
      </w:r>
      <w:r>
        <w:rPr>
          <w:rFonts w:ascii="TT Norms Pro Medium"/>
          <w:b/>
          <w:color w:val="21409A"/>
          <w:w w:val="90"/>
          <w:sz w:val="14"/>
        </w:rPr>
        <w:t>Highway,</w:t>
      </w:r>
      <w:r>
        <w:rPr>
          <w:rFonts w:ascii="TT Norms Pro Medium"/>
          <w:b/>
          <w:color w:val="21409A"/>
          <w:spacing w:val="12"/>
          <w:sz w:val="14"/>
        </w:rPr>
        <w:t> </w:t>
      </w:r>
      <w:r>
        <w:rPr>
          <w:rFonts w:ascii="TT Norms Pro Medium"/>
          <w:b/>
          <w:color w:val="21409A"/>
          <w:w w:val="90"/>
          <w:sz w:val="14"/>
        </w:rPr>
        <w:t>Perth,</w:t>
      </w:r>
      <w:r>
        <w:rPr>
          <w:rFonts w:ascii="TT Norms Pro Medium"/>
          <w:b/>
          <w:color w:val="21409A"/>
          <w:spacing w:val="6"/>
          <w:sz w:val="14"/>
        </w:rPr>
        <w:t> </w:t>
      </w:r>
      <w:r>
        <w:rPr>
          <w:rFonts w:ascii="TT Norms Pro Medium"/>
          <w:b/>
          <w:color w:val="21409A"/>
          <w:w w:val="90"/>
          <w:sz w:val="14"/>
        </w:rPr>
        <w:t>Western</w:t>
      </w:r>
      <w:r>
        <w:rPr>
          <w:rFonts w:ascii="TT Norms Pro Medium"/>
          <w:b/>
          <w:color w:val="21409A"/>
          <w:spacing w:val="5"/>
          <w:sz w:val="14"/>
        </w:rPr>
        <w:t> </w:t>
      </w:r>
      <w:r>
        <w:rPr>
          <w:rFonts w:ascii="TT Norms Pro Medium"/>
          <w:b/>
          <w:color w:val="21409A"/>
          <w:w w:val="90"/>
          <w:sz w:val="14"/>
        </w:rPr>
        <w:t>Australia</w:t>
      </w:r>
      <w:r>
        <w:rPr>
          <w:rFonts w:ascii="TT Norms Pro Medium"/>
          <w:b/>
          <w:color w:val="21409A"/>
          <w:spacing w:val="12"/>
          <w:sz w:val="14"/>
        </w:rPr>
        <w:t> </w:t>
      </w:r>
      <w:r>
        <w:rPr>
          <w:rFonts w:ascii="TT Norms Pro Medium"/>
          <w:b/>
          <w:color w:val="21409A"/>
          <w:spacing w:val="-4"/>
          <w:w w:val="90"/>
          <w:sz w:val="14"/>
        </w:rPr>
        <w:t>600</w:t>
      </w:r>
      <w:r>
        <w:rPr>
          <w:rFonts w:ascii="TT Norms Pro Medium"/>
          <w:b/>
          <w:color w:val="21409A"/>
          <w:spacing w:val="-4"/>
          <w:w w:val="90"/>
          <w:sz w:val="14"/>
        </w:rPr>
        <w:t>9</w:t>
      </w:r>
    </w:p>
    <w:p>
      <w:pPr>
        <w:spacing w:line="187" w:lineRule="exact" w:before="133"/>
        <w:ind w:left="315" w:right="0" w:firstLine="0"/>
        <w:jc w:val="left"/>
        <w:rPr>
          <w:rFonts w:ascii="TT Norms Pro"/>
          <w:b/>
          <w:sz w:val="16"/>
        </w:rPr>
      </w:pPr>
      <w:r>
        <w:rPr/>
        <w:br w:type="column"/>
      </w:r>
      <w:r>
        <w:rPr>
          <w:rFonts w:ascii="TT Norms Pro"/>
          <w:b/>
          <w:color w:val="21409A"/>
          <w:sz w:val="16"/>
        </w:rPr>
        <w:t>VISIT</w:t>
      </w:r>
      <w:r>
        <w:rPr>
          <w:rFonts w:ascii="TT Norms Pro"/>
          <w:b/>
          <w:color w:val="21409A"/>
          <w:spacing w:val="-5"/>
          <w:sz w:val="16"/>
        </w:rPr>
        <w:t> </w:t>
      </w:r>
      <w:r>
        <w:rPr>
          <w:rFonts w:ascii="TT Norms Pro"/>
          <w:b/>
          <w:color w:val="21409A"/>
          <w:sz w:val="16"/>
        </w:rPr>
        <w:t>US </w:t>
      </w:r>
      <w:r>
        <w:rPr>
          <w:rFonts w:ascii="TT Norms Pro"/>
          <w:b/>
          <w:color w:val="21409A"/>
          <w:spacing w:val="-2"/>
          <w:sz w:val="16"/>
        </w:rPr>
        <w:t>ONLINE</w:t>
      </w:r>
    </w:p>
    <w:p>
      <w:pPr>
        <w:spacing w:before="0"/>
        <w:ind w:left="315" w:right="0" w:firstLine="0"/>
        <w:jc w:val="left"/>
        <w:rPr>
          <w:rFonts w:ascii="TT Norms Pro Medium"/>
          <w:b/>
          <w:sz w:val="14"/>
        </w:rPr>
      </w:pPr>
      <w:r>
        <w:rPr>
          <w:rFonts w:ascii="TT Norms Pro Medium"/>
          <w:b/>
          <w:color w:val="21409A"/>
          <w:spacing w:val="-2"/>
          <w:sz w:val="14"/>
        </w:rPr>
        <w:t>annualreport.uwa.edu.au</w:t>
      </w:r>
    </w:p>
    <w:p>
      <w:pPr>
        <w:spacing w:after="0"/>
        <w:jc w:val="left"/>
        <w:rPr>
          <w:rFonts w:ascii="TT Norms Pro Medium"/>
          <w:sz w:val="14"/>
        </w:rPr>
        <w:sectPr>
          <w:type w:val="continuous"/>
          <w:pgSz w:w="11910" w:h="16840"/>
          <w:pgMar w:header="0" w:footer="0" w:top="980" w:bottom="280" w:left="280" w:right="980"/>
          <w:cols w:num="4" w:equalWidth="0">
            <w:col w:w="1544" w:space="40"/>
            <w:col w:w="2386" w:space="39"/>
            <w:col w:w="3476" w:space="39"/>
            <w:col w:w="3126"/>
          </w:cols>
        </w:sectPr>
      </w:pPr>
    </w:p>
    <w:p>
      <w:pPr>
        <w:pStyle w:val="BodyText"/>
        <w:spacing w:before="3"/>
        <w:rPr>
          <w:rFonts w:ascii="TT Norms Pro Medium"/>
          <w:b/>
          <w:sz w:val="10"/>
        </w:rPr>
      </w:pPr>
    </w:p>
    <w:p>
      <w:pPr>
        <w:spacing w:after="0"/>
        <w:rPr>
          <w:rFonts w:ascii="TT Norms Pro Medium"/>
          <w:sz w:val="10"/>
        </w:rPr>
        <w:sectPr>
          <w:type w:val="continuous"/>
          <w:pgSz w:w="11910" w:h="16840"/>
          <w:pgMar w:header="0" w:footer="0" w:top="980" w:bottom="280" w:left="280" w:right="980"/>
        </w:sectPr>
      </w:pPr>
    </w:p>
    <w:p>
      <w:pPr>
        <w:pStyle w:val="Heading3"/>
        <w:spacing w:before="167"/>
      </w:pPr>
      <w:r>
        <w:rPr/>
        <mc:AlternateContent>
          <mc:Choice Requires="wps">
            <w:drawing>
              <wp:anchor distT="0" distB="0" distL="0" distR="0" allowOverlap="1" layoutInCell="1" locked="0" behindDoc="0" simplePos="0" relativeHeight="15923200">
                <wp:simplePos x="0" y="0"/>
                <wp:positionH relativeFrom="page">
                  <wp:posOffset>0</wp:posOffset>
                </wp:positionH>
                <wp:positionV relativeFrom="page">
                  <wp:posOffset>7592847</wp:posOffset>
                </wp:positionV>
                <wp:extent cx="7560309" cy="87630"/>
                <wp:effectExtent l="0" t="0" r="0" b="0"/>
                <wp:wrapNone/>
                <wp:docPr id="1044" name="Graphic 1044"/>
                <wp:cNvGraphicFramePr>
                  <a:graphicFrameLocks/>
                </wp:cNvGraphicFramePr>
                <a:graphic>
                  <a:graphicData uri="http://schemas.microsoft.com/office/word/2010/wordprocessingShape">
                    <wps:wsp>
                      <wps:cNvPr id="1044" name="Graphic 1044"/>
                      <wps:cNvSpPr/>
                      <wps:spPr>
                        <a:xfrm>
                          <a:off x="0" y="0"/>
                          <a:ext cx="7560309" cy="87630"/>
                        </a:xfrm>
                        <a:custGeom>
                          <a:avLst/>
                          <a:gdLst/>
                          <a:ahLst/>
                          <a:cxnLst/>
                          <a:rect l="l" t="t" r="r" b="b"/>
                          <a:pathLst>
                            <a:path w="7560309" h="87630">
                              <a:moveTo>
                                <a:pt x="7559992" y="0"/>
                              </a:moveTo>
                              <a:lnTo>
                                <a:pt x="0" y="0"/>
                              </a:lnTo>
                              <a:lnTo>
                                <a:pt x="0" y="87604"/>
                              </a:lnTo>
                              <a:lnTo>
                                <a:pt x="7559992" y="87604"/>
                              </a:lnTo>
                              <a:lnTo>
                                <a:pt x="7559992" y="0"/>
                              </a:lnTo>
                              <a:close/>
                            </a:path>
                          </a:pathLst>
                        </a:custGeom>
                        <a:solidFill>
                          <a:srgbClr val="21409A"/>
                        </a:solidFill>
                      </wps:spPr>
                      <wps:bodyPr wrap="square" lIns="0" tIns="0" rIns="0" bIns="0" rtlCol="0">
                        <a:prstTxWarp prst="textNoShape">
                          <a:avLst/>
                        </a:prstTxWarp>
                        <a:noAutofit/>
                      </wps:bodyPr>
                    </wps:wsp>
                  </a:graphicData>
                </a:graphic>
              </wp:anchor>
            </w:drawing>
          </mc:Choice>
          <mc:Fallback>
            <w:pict>
              <v:rect style="position:absolute;margin-left:0pt;margin-top:597.862pt;width:595.275pt;height:6.898pt;mso-position-horizontal-relative:page;mso-position-vertical-relative:page;z-index:15923200" id="docshape723" filled="true" fillcolor="#21409a" stroked="false">
                <v:fill type="solid"/>
                <w10:wrap type="none"/>
              </v:rect>
            </w:pict>
          </mc:Fallback>
        </mc:AlternateContent>
      </w:r>
      <w:r>
        <w:rPr>
          <w:color w:val="21409A"/>
        </w:rPr>
        <w:t>Stay</w:t>
      </w:r>
      <w:r>
        <w:rPr>
          <w:color w:val="21409A"/>
          <w:spacing w:val="-20"/>
        </w:rPr>
        <w:t> </w:t>
      </w:r>
      <w:r>
        <w:rPr>
          <w:color w:val="21409A"/>
          <w:spacing w:val="-2"/>
        </w:rPr>
        <w:t>connected</w:t>
      </w:r>
    </w:p>
    <w:p>
      <w:pPr>
        <w:tabs>
          <w:tab w:pos="2274" w:val="left" w:leader="none"/>
          <w:tab w:pos="3435" w:val="left" w:leader="none"/>
          <w:tab w:pos="4839" w:val="left" w:leader="none"/>
        </w:tabs>
        <w:spacing w:before="131"/>
        <w:ind w:left="791" w:right="0" w:firstLine="0"/>
        <w:jc w:val="left"/>
        <w:rPr>
          <w:rFonts w:ascii="TT Norms Pro"/>
          <w:sz w:val="16"/>
        </w:rPr>
      </w:pPr>
      <w:r>
        <w:rPr/>
        <w:drawing>
          <wp:anchor distT="0" distB="0" distL="0" distR="0" allowOverlap="1" layoutInCell="1" locked="0" behindDoc="0" simplePos="0" relativeHeight="15925760">
            <wp:simplePos x="0" y="0"/>
            <wp:positionH relativeFrom="page">
              <wp:posOffset>469795</wp:posOffset>
            </wp:positionH>
            <wp:positionV relativeFrom="paragraph">
              <wp:posOffset>65608</wp:posOffset>
            </wp:positionV>
            <wp:extent cx="159550" cy="159537"/>
            <wp:effectExtent l="0" t="0" r="0" b="0"/>
            <wp:wrapNone/>
            <wp:docPr id="1045" name="Image 1045"/>
            <wp:cNvGraphicFramePr>
              <a:graphicFrameLocks/>
            </wp:cNvGraphicFramePr>
            <a:graphic>
              <a:graphicData uri="http://schemas.openxmlformats.org/drawingml/2006/picture">
                <pic:pic>
                  <pic:nvPicPr>
                    <pic:cNvPr id="1045" name="Image 1045"/>
                    <pic:cNvPicPr/>
                  </pic:nvPicPr>
                  <pic:blipFill>
                    <a:blip r:embed="rId144" cstate="print"/>
                    <a:stretch>
                      <a:fillRect/>
                    </a:stretch>
                  </pic:blipFill>
                  <pic:spPr>
                    <a:xfrm>
                      <a:off x="0" y="0"/>
                      <a:ext cx="159550" cy="159537"/>
                    </a:xfrm>
                    <a:prstGeom prst="rect">
                      <a:avLst/>
                    </a:prstGeom>
                  </pic:spPr>
                </pic:pic>
              </a:graphicData>
            </a:graphic>
          </wp:anchor>
        </w:drawing>
      </w:r>
      <w:r>
        <w:rPr/>
        <w:drawing>
          <wp:anchor distT="0" distB="0" distL="0" distR="0" allowOverlap="1" layoutInCell="1" locked="0" behindDoc="1" simplePos="0" relativeHeight="472779776">
            <wp:simplePos x="0" y="0"/>
            <wp:positionH relativeFrom="page">
              <wp:posOffset>1411789</wp:posOffset>
            </wp:positionH>
            <wp:positionV relativeFrom="paragraph">
              <wp:posOffset>65598</wp:posOffset>
            </wp:positionV>
            <wp:extent cx="159550" cy="159550"/>
            <wp:effectExtent l="0" t="0" r="0" b="0"/>
            <wp:wrapNone/>
            <wp:docPr id="1046" name="Image 1046"/>
            <wp:cNvGraphicFramePr>
              <a:graphicFrameLocks/>
            </wp:cNvGraphicFramePr>
            <a:graphic>
              <a:graphicData uri="http://schemas.openxmlformats.org/drawingml/2006/picture">
                <pic:pic>
                  <pic:nvPicPr>
                    <pic:cNvPr id="1046" name="Image 1046"/>
                    <pic:cNvPicPr/>
                  </pic:nvPicPr>
                  <pic:blipFill>
                    <a:blip r:embed="rId145" cstate="print"/>
                    <a:stretch>
                      <a:fillRect/>
                    </a:stretch>
                  </pic:blipFill>
                  <pic:spPr>
                    <a:xfrm>
                      <a:off x="0" y="0"/>
                      <a:ext cx="159550" cy="159550"/>
                    </a:xfrm>
                    <a:prstGeom prst="rect">
                      <a:avLst/>
                    </a:prstGeom>
                  </pic:spPr>
                </pic:pic>
              </a:graphicData>
            </a:graphic>
          </wp:anchor>
        </w:drawing>
      </w:r>
      <w:r>
        <w:rPr/>
        <w:drawing>
          <wp:anchor distT="0" distB="0" distL="0" distR="0" allowOverlap="1" layoutInCell="1" locked="0" behindDoc="1" simplePos="0" relativeHeight="472780288">
            <wp:simplePos x="0" y="0"/>
            <wp:positionH relativeFrom="page">
              <wp:posOffset>2149293</wp:posOffset>
            </wp:positionH>
            <wp:positionV relativeFrom="paragraph">
              <wp:posOffset>67938</wp:posOffset>
            </wp:positionV>
            <wp:extent cx="159550" cy="159550"/>
            <wp:effectExtent l="0" t="0" r="0" b="0"/>
            <wp:wrapNone/>
            <wp:docPr id="1047" name="Image 1047"/>
            <wp:cNvGraphicFramePr>
              <a:graphicFrameLocks/>
            </wp:cNvGraphicFramePr>
            <a:graphic>
              <a:graphicData uri="http://schemas.openxmlformats.org/drawingml/2006/picture">
                <pic:pic>
                  <pic:nvPicPr>
                    <pic:cNvPr id="1047" name="Image 1047"/>
                    <pic:cNvPicPr/>
                  </pic:nvPicPr>
                  <pic:blipFill>
                    <a:blip r:embed="rId146" cstate="print"/>
                    <a:stretch>
                      <a:fillRect/>
                    </a:stretch>
                  </pic:blipFill>
                  <pic:spPr>
                    <a:xfrm>
                      <a:off x="0" y="0"/>
                      <a:ext cx="159550" cy="159550"/>
                    </a:xfrm>
                    <a:prstGeom prst="rect">
                      <a:avLst/>
                    </a:prstGeom>
                  </pic:spPr>
                </pic:pic>
              </a:graphicData>
            </a:graphic>
          </wp:anchor>
        </w:drawing>
      </w:r>
      <w:r>
        <w:rPr/>
        <w:drawing>
          <wp:anchor distT="0" distB="0" distL="0" distR="0" allowOverlap="1" layoutInCell="1" locked="0" behindDoc="1" simplePos="0" relativeHeight="472780800">
            <wp:simplePos x="0" y="0"/>
            <wp:positionH relativeFrom="page">
              <wp:posOffset>3040482</wp:posOffset>
            </wp:positionH>
            <wp:positionV relativeFrom="paragraph">
              <wp:posOffset>65895</wp:posOffset>
            </wp:positionV>
            <wp:extent cx="159550" cy="159550"/>
            <wp:effectExtent l="0" t="0" r="0" b="0"/>
            <wp:wrapNone/>
            <wp:docPr id="1048" name="Image 1048"/>
            <wp:cNvGraphicFramePr>
              <a:graphicFrameLocks/>
            </wp:cNvGraphicFramePr>
            <a:graphic>
              <a:graphicData uri="http://schemas.openxmlformats.org/drawingml/2006/picture">
                <pic:pic>
                  <pic:nvPicPr>
                    <pic:cNvPr id="1048" name="Image 1048"/>
                    <pic:cNvPicPr/>
                  </pic:nvPicPr>
                  <pic:blipFill>
                    <a:blip r:embed="rId147" cstate="print"/>
                    <a:stretch>
                      <a:fillRect/>
                    </a:stretch>
                  </pic:blipFill>
                  <pic:spPr>
                    <a:xfrm>
                      <a:off x="0" y="0"/>
                      <a:ext cx="159550" cy="159550"/>
                    </a:xfrm>
                    <a:prstGeom prst="rect">
                      <a:avLst/>
                    </a:prstGeom>
                  </pic:spPr>
                </pic:pic>
              </a:graphicData>
            </a:graphic>
          </wp:anchor>
        </w:drawing>
      </w:r>
      <w:r>
        <w:rPr>
          <w:rFonts w:ascii="TT Norms Pro"/>
          <w:color w:val="21409A"/>
          <w:spacing w:val="-2"/>
          <w:sz w:val="16"/>
        </w:rPr>
        <w:t>universitywa</w:t>
      </w:r>
      <w:r>
        <w:rPr>
          <w:rFonts w:ascii="TT Norms Pro"/>
          <w:color w:val="21409A"/>
          <w:sz w:val="16"/>
        </w:rPr>
        <w:tab/>
      </w:r>
      <w:r>
        <w:rPr>
          <w:rFonts w:ascii="TT Norms Pro"/>
          <w:color w:val="21409A"/>
          <w:spacing w:val="-2"/>
          <w:sz w:val="16"/>
        </w:rPr>
        <w:t>uwanews</w:t>
      </w:r>
      <w:r>
        <w:rPr>
          <w:rFonts w:ascii="TT Norms Pro"/>
          <w:color w:val="21409A"/>
          <w:sz w:val="16"/>
        </w:rPr>
        <w:tab/>
      </w:r>
      <w:r>
        <w:rPr>
          <w:rFonts w:ascii="TT Norms Pro"/>
          <w:color w:val="21409A"/>
          <w:spacing w:val="-2"/>
          <w:sz w:val="16"/>
        </w:rPr>
        <w:t>universitywa</w:t>
      </w:r>
      <w:r>
        <w:rPr>
          <w:rFonts w:ascii="TT Norms Pro"/>
          <w:color w:val="21409A"/>
          <w:sz w:val="16"/>
        </w:rPr>
        <w:tab/>
      </w:r>
      <w:r>
        <w:rPr>
          <w:rFonts w:ascii="TT Norms Pro"/>
          <w:color w:val="21409A"/>
          <w:spacing w:val="-2"/>
          <w:sz w:val="16"/>
        </w:rPr>
        <w:t>universitywa</w:t>
      </w:r>
    </w:p>
    <w:p>
      <w:pPr>
        <w:spacing w:line="240" w:lineRule="auto" w:before="0"/>
        <w:rPr>
          <w:rFonts w:ascii="TT Norms Pro"/>
          <w:sz w:val="12"/>
        </w:rPr>
      </w:pPr>
      <w:r>
        <w:rPr/>
        <w:br w:type="column"/>
      </w:r>
      <w:r>
        <w:rPr>
          <w:rFonts w:ascii="TT Norms Pro"/>
          <w:sz w:val="12"/>
        </w:rPr>
      </w:r>
    </w:p>
    <w:p>
      <w:pPr>
        <w:pStyle w:val="BodyText"/>
        <w:rPr>
          <w:rFonts w:ascii="TT Norms Pro"/>
          <w:sz w:val="12"/>
        </w:rPr>
      </w:pPr>
    </w:p>
    <w:p>
      <w:pPr>
        <w:pStyle w:val="BodyText"/>
        <w:rPr>
          <w:rFonts w:ascii="TT Norms Pro"/>
          <w:sz w:val="12"/>
        </w:rPr>
      </w:pPr>
    </w:p>
    <w:p>
      <w:pPr>
        <w:pStyle w:val="BodyText"/>
        <w:rPr>
          <w:rFonts w:ascii="TT Norms Pro"/>
          <w:sz w:val="12"/>
        </w:rPr>
      </w:pPr>
    </w:p>
    <w:p>
      <w:pPr>
        <w:pStyle w:val="BodyText"/>
        <w:rPr>
          <w:rFonts w:ascii="TT Norms Pro"/>
          <w:sz w:val="12"/>
        </w:rPr>
      </w:pPr>
    </w:p>
    <w:p>
      <w:pPr>
        <w:pStyle w:val="BodyText"/>
        <w:rPr>
          <w:rFonts w:ascii="TT Norms Pro"/>
          <w:sz w:val="12"/>
        </w:rPr>
      </w:pPr>
    </w:p>
    <w:p>
      <w:pPr>
        <w:pStyle w:val="BodyText"/>
        <w:rPr>
          <w:rFonts w:ascii="TT Norms Pro"/>
          <w:sz w:val="12"/>
        </w:rPr>
      </w:pPr>
    </w:p>
    <w:p>
      <w:pPr>
        <w:pStyle w:val="BodyText"/>
        <w:rPr>
          <w:rFonts w:ascii="TT Norms Pro"/>
          <w:sz w:val="12"/>
        </w:rPr>
      </w:pPr>
    </w:p>
    <w:p>
      <w:pPr>
        <w:pStyle w:val="BodyText"/>
        <w:rPr>
          <w:rFonts w:ascii="TT Norms Pro"/>
          <w:sz w:val="12"/>
        </w:rPr>
      </w:pPr>
    </w:p>
    <w:p>
      <w:pPr>
        <w:pStyle w:val="BodyText"/>
        <w:rPr>
          <w:rFonts w:ascii="TT Norms Pro"/>
          <w:sz w:val="12"/>
        </w:rPr>
      </w:pPr>
    </w:p>
    <w:p>
      <w:pPr>
        <w:pStyle w:val="BodyText"/>
        <w:rPr>
          <w:rFonts w:ascii="TT Norms Pro"/>
          <w:sz w:val="12"/>
        </w:rPr>
      </w:pPr>
    </w:p>
    <w:p>
      <w:pPr>
        <w:pStyle w:val="BodyText"/>
        <w:spacing w:before="19"/>
        <w:rPr>
          <w:rFonts w:ascii="TT Norms Pro"/>
          <w:sz w:val="12"/>
        </w:rPr>
      </w:pPr>
    </w:p>
    <w:p>
      <w:pPr>
        <w:spacing w:before="0"/>
        <w:ind w:left="457" w:right="0" w:firstLine="0"/>
        <w:jc w:val="left"/>
        <w:rPr>
          <w:rFonts w:ascii="TT Norms Pro"/>
          <w:sz w:val="12"/>
        </w:rPr>
      </w:pPr>
      <w:r>
        <w:rPr>
          <w:rFonts w:ascii="TT Norms Pro"/>
          <w:color w:val="808285"/>
          <w:sz w:val="12"/>
        </w:rPr>
        <w:t>WRIKE</w:t>
      </w:r>
      <w:r>
        <w:rPr>
          <w:rFonts w:ascii="TT Norms Pro"/>
          <w:color w:val="808285"/>
          <w:spacing w:val="-5"/>
          <w:sz w:val="12"/>
        </w:rPr>
        <w:t> </w:t>
      </w:r>
      <w:r>
        <w:rPr>
          <w:rFonts w:ascii="TT Norms Pro"/>
          <w:color w:val="808285"/>
          <w:sz w:val="12"/>
        </w:rPr>
        <w:t>545833700</w:t>
      </w:r>
      <w:r>
        <w:rPr>
          <w:rFonts w:ascii="TT Norms Pro"/>
          <w:color w:val="808285"/>
          <w:spacing w:val="74"/>
          <w:sz w:val="12"/>
        </w:rPr>
        <w:t> </w:t>
      </w:r>
      <w:r>
        <w:rPr>
          <w:rFonts w:ascii="TT Norms Pro"/>
          <w:color w:val="808285"/>
          <w:sz w:val="12"/>
        </w:rPr>
        <w:t>CRICOS</w:t>
      </w:r>
      <w:r>
        <w:rPr>
          <w:rFonts w:ascii="TT Norms Pro"/>
          <w:color w:val="808285"/>
          <w:spacing w:val="-4"/>
          <w:sz w:val="12"/>
        </w:rPr>
        <w:t> </w:t>
      </w:r>
      <w:r>
        <w:rPr>
          <w:rFonts w:ascii="TT Norms Pro"/>
          <w:color w:val="808285"/>
          <w:sz w:val="12"/>
        </w:rPr>
        <w:t>Provider</w:t>
      </w:r>
      <w:r>
        <w:rPr>
          <w:rFonts w:ascii="TT Norms Pro"/>
          <w:color w:val="808285"/>
          <w:spacing w:val="-6"/>
          <w:sz w:val="12"/>
        </w:rPr>
        <w:t> </w:t>
      </w:r>
      <w:r>
        <w:rPr>
          <w:rFonts w:ascii="TT Norms Pro"/>
          <w:color w:val="808285"/>
          <w:sz w:val="12"/>
        </w:rPr>
        <w:t>Code:</w:t>
      </w:r>
      <w:r>
        <w:rPr>
          <w:rFonts w:ascii="TT Norms Pro"/>
          <w:color w:val="808285"/>
          <w:spacing w:val="-5"/>
          <w:sz w:val="12"/>
        </w:rPr>
        <w:t> </w:t>
      </w:r>
      <w:r>
        <w:rPr>
          <w:rFonts w:ascii="TT Norms Pro"/>
          <w:color w:val="808285"/>
          <w:spacing w:val="-2"/>
          <w:sz w:val="12"/>
        </w:rPr>
        <w:t>00126G</w:t>
      </w:r>
    </w:p>
    <w:sectPr>
      <w:type w:val="continuous"/>
      <w:pgSz w:w="11910" w:h="16840"/>
      <w:pgMar w:header="0" w:footer="0" w:top="980" w:bottom="280" w:left="280" w:right="980"/>
      <w:cols w:num="2" w:equalWidth="0">
        <w:col w:w="5793" w:space="1395"/>
        <w:col w:w="3462"/>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TT Norms Pro">
    <w:altName w:val="TT Norms Pro"/>
    <w:charset w:val="0"/>
    <w:family w:val="modern"/>
    <w:pitch w:val="variable"/>
  </w:font>
  <w:font w:name="TT Norms Pro Light">
    <w:altName w:val="TT Norms Pro Light"/>
    <w:charset w:val="0"/>
    <w:family w:val="modern"/>
    <w:pitch w:val="variable"/>
  </w:font>
  <w:font w:name="Palatino Linotype">
    <w:altName w:val="Palatino Linotype"/>
    <w:charset w:val="0"/>
    <w:family w:val="roman"/>
    <w:pitch w:val="variable"/>
  </w:font>
  <w:font w:name="TT Norms Pro Medium">
    <w:altName w:val="TT Norms Pro Medium"/>
    <w:charset w:val="0"/>
    <w:family w:val="modern"/>
    <w:pitch w:val="variable"/>
  </w:font>
  <w:font w:name="Arial">
    <w:altName w:val="Arial"/>
    <w:charset w:val="0"/>
    <w:family w:val="swiss"/>
    <w:pitch w:val="variable"/>
  </w:font>
  <w:font w:name="Verdana">
    <w:altName w:val="Verdana"/>
    <w:charset w:val="0"/>
    <w:family w:val="swiss"/>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2582144">
              <wp:simplePos x="0" y="0"/>
              <wp:positionH relativeFrom="page">
                <wp:posOffset>702699</wp:posOffset>
              </wp:positionH>
              <wp:positionV relativeFrom="page">
                <wp:posOffset>298292</wp:posOffset>
              </wp:positionV>
              <wp:extent cx="2551430" cy="177800"/>
              <wp:effectExtent l="0" t="0" r="0" b="0"/>
              <wp:wrapNone/>
              <wp:docPr id="7" name="Textbox 7"/>
              <wp:cNvGraphicFramePr>
                <a:graphicFrameLocks/>
              </wp:cNvGraphicFramePr>
              <a:graphic>
                <a:graphicData uri="http://schemas.microsoft.com/office/word/2010/wordprocessingShape">
                  <wps:wsp>
                    <wps:cNvPr id="7" name="Textbox 7"/>
                    <wps:cNvSpPr txBox="1"/>
                    <wps:spPr>
                      <a:xfrm>
                        <a:off x="0" y="0"/>
                        <a:ext cx="2551430" cy="177800"/>
                      </a:xfrm>
                      <a:prstGeom prst="rect">
                        <a:avLst/>
                      </a:prstGeom>
                    </wps:spPr>
                    <wps:txbx>
                      <w:txbxContent>
                        <w:p>
                          <w:pPr>
                            <w:spacing w:before="45"/>
                            <w:ind w:left="20" w:right="0" w:firstLine="0"/>
                            <w:jc w:val="left"/>
                            <w:rPr>
                              <w:rFonts w:ascii="TT Norms Pro"/>
                              <w:b/>
                              <w:sz w:val="18"/>
                            </w:rPr>
                          </w:pPr>
                          <w:r>
                            <w:rPr>
                              <w:rFonts w:ascii="TT Norms Pro"/>
                              <w:sz w:val="18"/>
                            </w:rPr>
                            <w:t>The</w:t>
                          </w:r>
                          <w:r>
                            <w:rPr>
                              <w:rFonts w:ascii="TT Norms Pro"/>
                              <w:spacing w:val="-3"/>
                              <w:sz w:val="18"/>
                            </w:rPr>
                            <w:t> </w:t>
                          </w:r>
                          <w:r>
                            <w:rPr>
                              <w:rFonts w:ascii="TT Norms Pro"/>
                              <w:sz w:val="18"/>
                            </w:rPr>
                            <w:t>University</w:t>
                          </w:r>
                          <w:r>
                            <w:rPr>
                              <w:rFonts w:ascii="TT Norms Pro"/>
                              <w:spacing w:val="-6"/>
                              <w:sz w:val="18"/>
                            </w:rPr>
                            <w:t> </w:t>
                          </w:r>
                          <w:r>
                            <w:rPr>
                              <w:rFonts w:ascii="TT Norms Pro"/>
                              <w:sz w:val="18"/>
                            </w:rPr>
                            <w:t>of</w:t>
                          </w:r>
                          <w:r>
                            <w:rPr>
                              <w:rFonts w:ascii="TT Norms Pro"/>
                              <w:spacing w:val="-8"/>
                              <w:sz w:val="18"/>
                            </w:rPr>
                            <w:t> </w:t>
                          </w:r>
                          <w:r>
                            <w:rPr>
                              <w:rFonts w:ascii="TT Norms Pro"/>
                              <w:sz w:val="18"/>
                            </w:rPr>
                            <w:t>Western</w:t>
                          </w:r>
                          <w:r>
                            <w:rPr>
                              <w:rFonts w:ascii="TT Norms Pro"/>
                              <w:spacing w:val="-8"/>
                              <w:sz w:val="18"/>
                            </w:rPr>
                            <w:t> </w:t>
                          </w:r>
                          <w:r>
                            <w:rPr>
                              <w:rFonts w:ascii="TT Norms Pro"/>
                              <w:sz w:val="18"/>
                            </w:rPr>
                            <w:t>Australia</w:t>
                          </w:r>
                          <w:r>
                            <w:rPr>
                              <w:rFonts w:ascii="TT Norms Pro"/>
                              <w:spacing w:val="46"/>
                              <w:sz w:val="18"/>
                            </w:rPr>
                            <w:t> </w:t>
                          </w:r>
                          <w:r>
                            <w:rPr>
                              <w:rFonts w:ascii="TT Norms Pro Light"/>
                              <w:b w:val="0"/>
                              <w:sz w:val="18"/>
                            </w:rPr>
                            <w:t>|</w:t>
                          </w:r>
                          <w:r>
                            <w:rPr>
                              <w:rFonts w:ascii="TT Norms Pro Light"/>
                              <w:b w:val="0"/>
                              <w:spacing w:val="49"/>
                              <w:sz w:val="18"/>
                            </w:rPr>
                            <w:t> </w:t>
                          </w:r>
                          <w:r>
                            <w:rPr>
                              <w:rFonts w:ascii="TT Norms Pro"/>
                              <w:b/>
                              <w:spacing w:val="-2"/>
                              <w:sz w:val="18"/>
                            </w:rPr>
                            <w:t>uwa.edu.au</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55.3307pt;margin-top:23.487616pt;width:200.9pt;height:14pt;mso-position-horizontal-relative:page;mso-position-vertical-relative:page;z-index:-30734336" type="#_x0000_t202" id="docshape6" filled="false" stroked="false">
              <v:textbox inset="0,0,0,0">
                <w:txbxContent>
                  <w:p>
                    <w:pPr>
                      <w:spacing w:before="45"/>
                      <w:ind w:left="20" w:right="0" w:firstLine="0"/>
                      <w:jc w:val="left"/>
                      <w:rPr>
                        <w:rFonts w:ascii="TT Norms Pro"/>
                        <w:b/>
                        <w:sz w:val="18"/>
                      </w:rPr>
                    </w:pPr>
                    <w:r>
                      <w:rPr>
                        <w:rFonts w:ascii="TT Norms Pro"/>
                        <w:sz w:val="18"/>
                      </w:rPr>
                      <w:t>The</w:t>
                    </w:r>
                    <w:r>
                      <w:rPr>
                        <w:rFonts w:ascii="TT Norms Pro"/>
                        <w:spacing w:val="-3"/>
                        <w:sz w:val="18"/>
                      </w:rPr>
                      <w:t> </w:t>
                    </w:r>
                    <w:r>
                      <w:rPr>
                        <w:rFonts w:ascii="TT Norms Pro"/>
                        <w:sz w:val="18"/>
                      </w:rPr>
                      <w:t>University</w:t>
                    </w:r>
                    <w:r>
                      <w:rPr>
                        <w:rFonts w:ascii="TT Norms Pro"/>
                        <w:spacing w:val="-6"/>
                        <w:sz w:val="18"/>
                      </w:rPr>
                      <w:t> </w:t>
                    </w:r>
                    <w:r>
                      <w:rPr>
                        <w:rFonts w:ascii="TT Norms Pro"/>
                        <w:sz w:val="18"/>
                      </w:rPr>
                      <w:t>of</w:t>
                    </w:r>
                    <w:r>
                      <w:rPr>
                        <w:rFonts w:ascii="TT Norms Pro"/>
                        <w:spacing w:val="-8"/>
                        <w:sz w:val="18"/>
                      </w:rPr>
                      <w:t> </w:t>
                    </w:r>
                    <w:r>
                      <w:rPr>
                        <w:rFonts w:ascii="TT Norms Pro"/>
                        <w:sz w:val="18"/>
                      </w:rPr>
                      <w:t>Western</w:t>
                    </w:r>
                    <w:r>
                      <w:rPr>
                        <w:rFonts w:ascii="TT Norms Pro"/>
                        <w:spacing w:val="-8"/>
                        <w:sz w:val="18"/>
                      </w:rPr>
                      <w:t> </w:t>
                    </w:r>
                    <w:r>
                      <w:rPr>
                        <w:rFonts w:ascii="TT Norms Pro"/>
                        <w:sz w:val="18"/>
                      </w:rPr>
                      <w:t>Australia</w:t>
                    </w:r>
                    <w:r>
                      <w:rPr>
                        <w:rFonts w:ascii="TT Norms Pro"/>
                        <w:spacing w:val="46"/>
                        <w:sz w:val="18"/>
                      </w:rPr>
                      <w:t> </w:t>
                    </w:r>
                    <w:r>
                      <w:rPr>
                        <w:rFonts w:ascii="TT Norms Pro Light"/>
                        <w:b w:val="0"/>
                        <w:sz w:val="18"/>
                      </w:rPr>
                      <w:t>|</w:t>
                    </w:r>
                    <w:r>
                      <w:rPr>
                        <w:rFonts w:ascii="TT Norms Pro Light"/>
                        <w:b w:val="0"/>
                        <w:spacing w:val="49"/>
                        <w:sz w:val="18"/>
                      </w:rPr>
                      <w:t> </w:t>
                    </w:r>
                    <w:r>
                      <w:rPr>
                        <w:rFonts w:ascii="TT Norms Pro"/>
                        <w:b/>
                        <w:spacing w:val="-2"/>
                        <w:sz w:val="18"/>
                      </w:rPr>
                      <w:t>uwa.edu.au</w:t>
                    </w:r>
                  </w:p>
                </w:txbxContent>
              </v:textbox>
              <w10:wrap type="none"/>
            </v:shape>
          </w:pict>
        </mc:Fallback>
      </mc:AlternateContent>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2587264">
              <wp:simplePos x="0" y="0"/>
              <wp:positionH relativeFrom="page">
                <wp:posOffset>7087472</wp:posOffset>
              </wp:positionH>
              <wp:positionV relativeFrom="page">
                <wp:posOffset>284448</wp:posOffset>
              </wp:positionV>
              <wp:extent cx="240665" cy="194310"/>
              <wp:effectExtent l="0" t="0" r="0" b="0"/>
              <wp:wrapNone/>
              <wp:docPr id="318" name="Textbox 318"/>
              <wp:cNvGraphicFramePr>
                <a:graphicFrameLocks/>
              </wp:cNvGraphicFramePr>
              <a:graphic>
                <a:graphicData uri="http://schemas.microsoft.com/office/word/2010/wordprocessingShape">
                  <wps:wsp>
                    <wps:cNvPr id="318" name="Textbox 318"/>
                    <wps:cNvSpPr txBox="1"/>
                    <wps:spPr>
                      <a:xfrm>
                        <a:off x="0" y="0"/>
                        <a:ext cx="240665" cy="194310"/>
                      </a:xfrm>
                      <a:prstGeom prst="rect">
                        <a:avLst/>
                      </a:prstGeom>
                    </wps:spPr>
                    <wps:txbx>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23</w:t>
                          </w:r>
                          <w:r>
                            <w:rPr>
                              <w:rFonts w:ascii="TT Norms Pro"/>
                              <w:b/>
                              <w:spacing w:val="-5"/>
                              <w:sz w:val="20"/>
                            </w:rPr>
                            <w:fldChar w:fldCharType="end"/>
                          </w:r>
                        </w:p>
                      </w:txbxContent>
                    </wps:txbx>
                    <wps:bodyPr wrap="square" lIns="0" tIns="0" rIns="0" bIns="0" rtlCol="0">
                      <a:noAutofit/>
                    </wps:bodyPr>
                  </wps:wsp>
                </a:graphicData>
              </a:graphic>
            </wp:anchor>
          </w:drawing>
        </mc:Choice>
        <mc:Fallback>
          <w:pict>
            <v:shape style="position:absolute;margin-left:558.068726pt;margin-top:22.397514pt;width:18.95pt;height:15.3pt;mso-position-horizontal-relative:page;mso-position-vertical-relative:page;z-index:-30729216" type="#_x0000_t202" id="docshape181" filled="false" stroked="false">
              <v:textbox inset="0,0,0,0">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23</w:t>
                    </w:r>
                    <w:r>
                      <w:rPr>
                        <w:rFonts w:ascii="TT Norms Pro"/>
                        <w:b/>
                        <w:spacing w:val="-5"/>
                        <w:sz w:val="20"/>
                      </w:rPr>
                      <w:fldChar w:fldCharType="end"/>
                    </w:r>
                  </w:p>
                </w:txbxContent>
              </v:textbox>
              <w10:wrap type="none"/>
            </v:shape>
          </w:pict>
        </mc:Fallback>
      </mc:AlternateContent>
    </w: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2587776">
              <wp:simplePos x="0" y="0"/>
              <wp:positionH relativeFrom="page">
                <wp:posOffset>245332</wp:posOffset>
              </wp:positionH>
              <wp:positionV relativeFrom="page">
                <wp:posOffset>284448</wp:posOffset>
              </wp:positionV>
              <wp:extent cx="245110" cy="194310"/>
              <wp:effectExtent l="0" t="0" r="0" b="0"/>
              <wp:wrapNone/>
              <wp:docPr id="410" name="Textbox 410"/>
              <wp:cNvGraphicFramePr>
                <a:graphicFrameLocks/>
              </wp:cNvGraphicFramePr>
              <a:graphic>
                <a:graphicData uri="http://schemas.microsoft.com/office/word/2010/wordprocessingShape">
                  <wps:wsp>
                    <wps:cNvPr id="410" name="Textbox 410"/>
                    <wps:cNvSpPr txBox="1"/>
                    <wps:spPr>
                      <a:xfrm>
                        <a:off x="0" y="0"/>
                        <a:ext cx="245110" cy="194310"/>
                      </a:xfrm>
                      <a:prstGeom prst="rect">
                        <a:avLst/>
                      </a:prstGeom>
                    </wps:spPr>
                    <wps:txbx>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38</w:t>
                          </w:r>
                          <w:r>
                            <w:rPr>
                              <w:rFonts w:ascii="TT Norms Pro"/>
                              <w:b/>
                              <w:spacing w:val="-5"/>
                              <w:sz w:val="20"/>
                            </w:rPr>
                            <w:fldChar w:fldCharType="end"/>
                          </w:r>
                        </w:p>
                      </w:txbxContent>
                    </wps:txbx>
                    <wps:bodyPr wrap="square" lIns="0" tIns="0" rIns="0" bIns="0" rtlCol="0">
                      <a:noAutofit/>
                    </wps:bodyPr>
                  </wps:wsp>
                </a:graphicData>
              </a:graphic>
            </wp:anchor>
          </w:drawing>
        </mc:Choice>
        <mc:Fallback>
          <w:pict>
            <v:shape style="position:absolute;margin-left:19.317499pt;margin-top:22.397514pt;width:19.3pt;height:15.3pt;mso-position-horizontal-relative:page;mso-position-vertical-relative:page;z-index:-30728704" type="#_x0000_t202" id="docshape254" filled="false" stroked="false">
              <v:textbox inset="0,0,0,0">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38</w:t>
                    </w:r>
                    <w:r>
                      <w:rPr>
                        <w:rFonts w:ascii="TT Norms Pro"/>
                        <w:b/>
                        <w:spacing w:val="-5"/>
                        <w:sz w:val="20"/>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72588288">
              <wp:simplePos x="0" y="0"/>
              <wp:positionH relativeFrom="page">
                <wp:posOffset>702699</wp:posOffset>
              </wp:positionH>
              <wp:positionV relativeFrom="page">
                <wp:posOffset>298292</wp:posOffset>
              </wp:positionV>
              <wp:extent cx="2551430" cy="177800"/>
              <wp:effectExtent l="0" t="0" r="0" b="0"/>
              <wp:wrapNone/>
              <wp:docPr id="411" name="Textbox 411"/>
              <wp:cNvGraphicFramePr>
                <a:graphicFrameLocks/>
              </wp:cNvGraphicFramePr>
              <a:graphic>
                <a:graphicData uri="http://schemas.microsoft.com/office/word/2010/wordprocessingShape">
                  <wps:wsp>
                    <wps:cNvPr id="411" name="Textbox 411"/>
                    <wps:cNvSpPr txBox="1"/>
                    <wps:spPr>
                      <a:xfrm>
                        <a:off x="0" y="0"/>
                        <a:ext cx="2551430" cy="177800"/>
                      </a:xfrm>
                      <a:prstGeom prst="rect">
                        <a:avLst/>
                      </a:prstGeom>
                    </wps:spPr>
                    <wps:txbx>
                      <w:txbxContent>
                        <w:p>
                          <w:pPr>
                            <w:spacing w:before="45"/>
                            <w:ind w:left="20" w:right="0" w:firstLine="0"/>
                            <w:jc w:val="left"/>
                            <w:rPr>
                              <w:rFonts w:ascii="TT Norms Pro"/>
                              <w:b/>
                              <w:sz w:val="18"/>
                            </w:rPr>
                          </w:pPr>
                          <w:r>
                            <w:rPr>
                              <w:rFonts w:ascii="TT Norms Pro"/>
                              <w:sz w:val="18"/>
                            </w:rPr>
                            <w:t>The</w:t>
                          </w:r>
                          <w:r>
                            <w:rPr>
                              <w:rFonts w:ascii="TT Norms Pro"/>
                              <w:spacing w:val="-3"/>
                              <w:sz w:val="18"/>
                            </w:rPr>
                            <w:t> </w:t>
                          </w:r>
                          <w:r>
                            <w:rPr>
                              <w:rFonts w:ascii="TT Norms Pro"/>
                              <w:sz w:val="18"/>
                            </w:rPr>
                            <w:t>University</w:t>
                          </w:r>
                          <w:r>
                            <w:rPr>
                              <w:rFonts w:ascii="TT Norms Pro"/>
                              <w:spacing w:val="-6"/>
                              <w:sz w:val="18"/>
                            </w:rPr>
                            <w:t> </w:t>
                          </w:r>
                          <w:r>
                            <w:rPr>
                              <w:rFonts w:ascii="TT Norms Pro"/>
                              <w:sz w:val="18"/>
                            </w:rPr>
                            <w:t>of</w:t>
                          </w:r>
                          <w:r>
                            <w:rPr>
                              <w:rFonts w:ascii="TT Norms Pro"/>
                              <w:spacing w:val="-8"/>
                              <w:sz w:val="18"/>
                            </w:rPr>
                            <w:t> </w:t>
                          </w:r>
                          <w:r>
                            <w:rPr>
                              <w:rFonts w:ascii="TT Norms Pro"/>
                              <w:sz w:val="18"/>
                            </w:rPr>
                            <w:t>Western</w:t>
                          </w:r>
                          <w:r>
                            <w:rPr>
                              <w:rFonts w:ascii="TT Norms Pro"/>
                              <w:spacing w:val="-8"/>
                              <w:sz w:val="18"/>
                            </w:rPr>
                            <w:t> </w:t>
                          </w:r>
                          <w:r>
                            <w:rPr>
                              <w:rFonts w:ascii="TT Norms Pro"/>
                              <w:sz w:val="18"/>
                            </w:rPr>
                            <w:t>Australia</w:t>
                          </w:r>
                          <w:r>
                            <w:rPr>
                              <w:rFonts w:ascii="TT Norms Pro"/>
                              <w:spacing w:val="46"/>
                              <w:sz w:val="18"/>
                            </w:rPr>
                            <w:t> </w:t>
                          </w:r>
                          <w:r>
                            <w:rPr>
                              <w:rFonts w:ascii="TT Norms Pro Light"/>
                              <w:b w:val="0"/>
                              <w:sz w:val="18"/>
                            </w:rPr>
                            <w:t>|</w:t>
                          </w:r>
                          <w:r>
                            <w:rPr>
                              <w:rFonts w:ascii="TT Norms Pro Light"/>
                              <w:b w:val="0"/>
                              <w:spacing w:val="49"/>
                              <w:sz w:val="18"/>
                            </w:rPr>
                            <w:t> </w:t>
                          </w:r>
                          <w:r>
                            <w:rPr>
                              <w:rFonts w:ascii="TT Norms Pro"/>
                              <w:b/>
                              <w:spacing w:val="-2"/>
                              <w:sz w:val="18"/>
                            </w:rPr>
                            <w:t>uwa.edu.au</w:t>
                          </w:r>
                        </w:p>
                      </w:txbxContent>
                    </wps:txbx>
                    <wps:bodyPr wrap="square" lIns="0" tIns="0" rIns="0" bIns="0" rtlCol="0">
                      <a:noAutofit/>
                    </wps:bodyPr>
                  </wps:wsp>
                </a:graphicData>
              </a:graphic>
            </wp:anchor>
          </w:drawing>
        </mc:Choice>
        <mc:Fallback>
          <w:pict>
            <v:shape style="position:absolute;margin-left:55.3307pt;margin-top:23.487616pt;width:200.9pt;height:14pt;mso-position-horizontal-relative:page;mso-position-vertical-relative:page;z-index:-30728192" type="#_x0000_t202" id="docshape255" filled="false" stroked="false">
              <v:textbox inset="0,0,0,0">
                <w:txbxContent>
                  <w:p>
                    <w:pPr>
                      <w:spacing w:before="45"/>
                      <w:ind w:left="20" w:right="0" w:firstLine="0"/>
                      <w:jc w:val="left"/>
                      <w:rPr>
                        <w:rFonts w:ascii="TT Norms Pro"/>
                        <w:b/>
                        <w:sz w:val="18"/>
                      </w:rPr>
                    </w:pPr>
                    <w:r>
                      <w:rPr>
                        <w:rFonts w:ascii="TT Norms Pro"/>
                        <w:sz w:val="18"/>
                      </w:rPr>
                      <w:t>The</w:t>
                    </w:r>
                    <w:r>
                      <w:rPr>
                        <w:rFonts w:ascii="TT Norms Pro"/>
                        <w:spacing w:val="-3"/>
                        <w:sz w:val="18"/>
                      </w:rPr>
                      <w:t> </w:t>
                    </w:r>
                    <w:r>
                      <w:rPr>
                        <w:rFonts w:ascii="TT Norms Pro"/>
                        <w:sz w:val="18"/>
                      </w:rPr>
                      <w:t>University</w:t>
                    </w:r>
                    <w:r>
                      <w:rPr>
                        <w:rFonts w:ascii="TT Norms Pro"/>
                        <w:spacing w:val="-6"/>
                        <w:sz w:val="18"/>
                      </w:rPr>
                      <w:t> </w:t>
                    </w:r>
                    <w:r>
                      <w:rPr>
                        <w:rFonts w:ascii="TT Norms Pro"/>
                        <w:sz w:val="18"/>
                      </w:rPr>
                      <w:t>of</w:t>
                    </w:r>
                    <w:r>
                      <w:rPr>
                        <w:rFonts w:ascii="TT Norms Pro"/>
                        <w:spacing w:val="-8"/>
                        <w:sz w:val="18"/>
                      </w:rPr>
                      <w:t> </w:t>
                    </w:r>
                    <w:r>
                      <w:rPr>
                        <w:rFonts w:ascii="TT Norms Pro"/>
                        <w:sz w:val="18"/>
                      </w:rPr>
                      <w:t>Western</w:t>
                    </w:r>
                    <w:r>
                      <w:rPr>
                        <w:rFonts w:ascii="TT Norms Pro"/>
                        <w:spacing w:val="-8"/>
                        <w:sz w:val="18"/>
                      </w:rPr>
                      <w:t> </w:t>
                    </w:r>
                    <w:r>
                      <w:rPr>
                        <w:rFonts w:ascii="TT Norms Pro"/>
                        <w:sz w:val="18"/>
                      </w:rPr>
                      <w:t>Australia</w:t>
                    </w:r>
                    <w:r>
                      <w:rPr>
                        <w:rFonts w:ascii="TT Norms Pro"/>
                        <w:spacing w:val="46"/>
                        <w:sz w:val="18"/>
                      </w:rPr>
                      <w:t> </w:t>
                    </w:r>
                    <w:r>
                      <w:rPr>
                        <w:rFonts w:ascii="TT Norms Pro Light"/>
                        <w:b w:val="0"/>
                        <w:sz w:val="18"/>
                      </w:rPr>
                      <w:t>|</w:t>
                    </w:r>
                    <w:r>
                      <w:rPr>
                        <w:rFonts w:ascii="TT Norms Pro Light"/>
                        <w:b w:val="0"/>
                        <w:spacing w:val="49"/>
                        <w:sz w:val="18"/>
                      </w:rPr>
                      <w:t> </w:t>
                    </w:r>
                    <w:r>
                      <w:rPr>
                        <w:rFonts w:ascii="TT Norms Pro"/>
                        <w:b/>
                        <w:spacing w:val="-2"/>
                        <w:sz w:val="18"/>
                      </w:rPr>
                      <w:t>uwa.edu.au</w:t>
                    </w:r>
                  </w:p>
                </w:txbxContent>
              </v:textbox>
              <w10:wrap type="none"/>
            </v:shape>
          </w:pict>
        </mc:Fallback>
      </mc:AlternateContent>
    </w:r>
  </w:p>
</w:hdr>
</file>

<file path=word/header1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2588800">
              <wp:simplePos x="0" y="0"/>
              <wp:positionH relativeFrom="page">
                <wp:posOffset>7084469</wp:posOffset>
              </wp:positionH>
              <wp:positionV relativeFrom="page">
                <wp:posOffset>284448</wp:posOffset>
              </wp:positionV>
              <wp:extent cx="247015" cy="194310"/>
              <wp:effectExtent l="0" t="0" r="0" b="0"/>
              <wp:wrapNone/>
              <wp:docPr id="412" name="Textbox 412"/>
              <wp:cNvGraphicFramePr>
                <a:graphicFrameLocks/>
              </wp:cNvGraphicFramePr>
              <a:graphic>
                <a:graphicData uri="http://schemas.microsoft.com/office/word/2010/wordprocessingShape">
                  <wps:wsp>
                    <wps:cNvPr id="412" name="Textbox 412"/>
                    <wps:cNvSpPr txBox="1"/>
                    <wps:spPr>
                      <a:xfrm>
                        <a:off x="0" y="0"/>
                        <a:ext cx="247015" cy="194310"/>
                      </a:xfrm>
                      <a:prstGeom prst="rect">
                        <a:avLst/>
                      </a:prstGeom>
                    </wps:spPr>
                    <wps:txbx>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45</w:t>
                          </w:r>
                          <w:r>
                            <w:rPr>
                              <w:rFonts w:ascii="TT Norms Pro"/>
                              <w:b/>
                              <w:spacing w:val="-5"/>
                              <w:sz w:val="20"/>
                            </w:rPr>
                            <w:fldChar w:fldCharType="end"/>
                          </w:r>
                        </w:p>
                      </w:txbxContent>
                    </wps:txbx>
                    <wps:bodyPr wrap="square" lIns="0" tIns="0" rIns="0" bIns="0" rtlCol="0">
                      <a:noAutofit/>
                    </wps:bodyPr>
                  </wps:wsp>
                </a:graphicData>
              </a:graphic>
            </wp:anchor>
          </w:drawing>
        </mc:Choice>
        <mc:Fallback>
          <w:pict>
            <v:shape style="position:absolute;margin-left:557.832214pt;margin-top:22.397514pt;width:19.45pt;height:15.3pt;mso-position-horizontal-relative:page;mso-position-vertical-relative:page;z-index:-30727680" type="#_x0000_t202" id="docshape256" filled="false" stroked="false">
              <v:textbox inset="0,0,0,0">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45</w:t>
                    </w:r>
                    <w:r>
                      <w:rPr>
                        <w:rFonts w:ascii="TT Norms Pro"/>
                        <w:b/>
                        <w:spacing w:val="-5"/>
                        <w:sz w:val="20"/>
                      </w:rPr>
                      <w:fldChar w:fldCharType="end"/>
                    </w:r>
                  </w:p>
                </w:txbxContent>
              </v:textbox>
              <w10:wrap type="none"/>
            </v:shape>
          </w:pict>
        </mc:Fallback>
      </mc:AlternateContent>
    </w:r>
  </w:p>
</w:hdr>
</file>

<file path=word/header1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2589312">
              <wp:simplePos x="0" y="0"/>
              <wp:positionH relativeFrom="page">
                <wp:posOffset>245872</wp:posOffset>
              </wp:positionH>
              <wp:positionV relativeFrom="page">
                <wp:posOffset>284448</wp:posOffset>
              </wp:positionV>
              <wp:extent cx="242570" cy="194310"/>
              <wp:effectExtent l="0" t="0" r="0" b="0"/>
              <wp:wrapNone/>
              <wp:docPr id="902" name="Textbox 902"/>
              <wp:cNvGraphicFramePr>
                <a:graphicFrameLocks/>
              </wp:cNvGraphicFramePr>
              <a:graphic>
                <a:graphicData uri="http://schemas.microsoft.com/office/word/2010/wordprocessingShape">
                  <wps:wsp>
                    <wps:cNvPr id="902" name="Textbox 902"/>
                    <wps:cNvSpPr txBox="1"/>
                    <wps:spPr>
                      <a:xfrm>
                        <a:off x="0" y="0"/>
                        <a:ext cx="242570" cy="194310"/>
                      </a:xfrm>
                      <a:prstGeom prst="rect">
                        <a:avLst/>
                      </a:prstGeom>
                    </wps:spPr>
                    <wps:txbx>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82</w:t>
                          </w:r>
                          <w:r>
                            <w:rPr>
                              <w:rFonts w:ascii="TT Norms Pro"/>
                              <w:b/>
                              <w:spacing w:val="-5"/>
                              <w:sz w:val="20"/>
                            </w:rPr>
                            <w:fldChar w:fldCharType="end"/>
                          </w:r>
                        </w:p>
                      </w:txbxContent>
                    </wps:txbx>
                    <wps:bodyPr wrap="square" lIns="0" tIns="0" rIns="0" bIns="0" rtlCol="0">
                      <a:noAutofit/>
                    </wps:bodyPr>
                  </wps:wsp>
                </a:graphicData>
              </a:graphic>
            </wp:anchor>
          </w:drawing>
        </mc:Choice>
        <mc:Fallback>
          <w:pict>
            <v:shape style="position:absolute;margin-left:19.360001pt;margin-top:22.397514pt;width:19.1pt;height:15.3pt;mso-position-horizontal-relative:page;mso-position-vertical-relative:page;z-index:-30727168" type="#_x0000_t202" id="docshape596" filled="false" stroked="false">
              <v:textbox inset="0,0,0,0">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82</w:t>
                    </w:r>
                    <w:r>
                      <w:rPr>
                        <w:rFonts w:ascii="TT Norms Pro"/>
                        <w:b/>
                        <w:spacing w:val="-5"/>
                        <w:sz w:val="20"/>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72589824">
              <wp:simplePos x="0" y="0"/>
              <wp:positionH relativeFrom="page">
                <wp:posOffset>702699</wp:posOffset>
              </wp:positionH>
              <wp:positionV relativeFrom="page">
                <wp:posOffset>298292</wp:posOffset>
              </wp:positionV>
              <wp:extent cx="2551430" cy="177800"/>
              <wp:effectExtent l="0" t="0" r="0" b="0"/>
              <wp:wrapNone/>
              <wp:docPr id="903" name="Textbox 903"/>
              <wp:cNvGraphicFramePr>
                <a:graphicFrameLocks/>
              </wp:cNvGraphicFramePr>
              <a:graphic>
                <a:graphicData uri="http://schemas.microsoft.com/office/word/2010/wordprocessingShape">
                  <wps:wsp>
                    <wps:cNvPr id="903" name="Textbox 903"/>
                    <wps:cNvSpPr txBox="1"/>
                    <wps:spPr>
                      <a:xfrm>
                        <a:off x="0" y="0"/>
                        <a:ext cx="2551430" cy="177800"/>
                      </a:xfrm>
                      <a:prstGeom prst="rect">
                        <a:avLst/>
                      </a:prstGeom>
                    </wps:spPr>
                    <wps:txbx>
                      <w:txbxContent>
                        <w:p>
                          <w:pPr>
                            <w:spacing w:before="45"/>
                            <w:ind w:left="20" w:right="0" w:firstLine="0"/>
                            <w:jc w:val="left"/>
                            <w:rPr>
                              <w:rFonts w:ascii="TT Norms Pro"/>
                              <w:b/>
                              <w:sz w:val="18"/>
                            </w:rPr>
                          </w:pPr>
                          <w:r>
                            <w:rPr>
                              <w:rFonts w:ascii="TT Norms Pro"/>
                              <w:sz w:val="18"/>
                            </w:rPr>
                            <w:t>The</w:t>
                          </w:r>
                          <w:r>
                            <w:rPr>
                              <w:rFonts w:ascii="TT Norms Pro"/>
                              <w:spacing w:val="-3"/>
                              <w:sz w:val="18"/>
                            </w:rPr>
                            <w:t> </w:t>
                          </w:r>
                          <w:r>
                            <w:rPr>
                              <w:rFonts w:ascii="TT Norms Pro"/>
                              <w:sz w:val="18"/>
                            </w:rPr>
                            <w:t>University</w:t>
                          </w:r>
                          <w:r>
                            <w:rPr>
                              <w:rFonts w:ascii="TT Norms Pro"/>
                              <w:spacing w:val="-6"/>
                              <w:sz w:val="18"/>
                            </w:rPr>
                            <w:t> </w:t>
                          </w:r>
                          <w:r>
                            <w:rPr>
                              <w:rFonts w:ascii="TT Norms Pro"/>
                              <w:sz w:val="18"/>
                            </w:rPr>
                            <w:t>of</w:t>
                          </w:r>
                          <w:r>
                            <w:rPr>
                              <w:rFonts w:ascii="TT Norms Pro"/>
                              <w:spacing w:val="-8"/>
                              <w:sz w:val="18"/>
                            </w:rPr>
                            <w:t> </w:t>
                          </w:r>
                          <w:r>
                            <w:rPr>
                              <w:rFonts w:ascii="TT Norms Pro"/>
                              <w:sz w:val="18"/>
                            </w:rPr>
                            <w:t>Western</w:t>
                          </w:r>
                          <w:r>
                            <w:rPr>
                              <w:rFonts w:ascii="TT Norms Pro"/>
                              <w:spacing w:val="-8"/>
                              <w:sz w:val="18"/>
                            </w:rPr>
                            <w:t> </w:t>
                          </w:r>
                          <w:r>
                            <w:rPr>
                              <w:rFonts w:ascii="TT Norms Pro"/>
                              <w:sz w:val="18"/>
                            </w:rPr>
                            <w:t>Australia</w:t>
                          </w:r>
                          <w:r>
                            <w:rPr>
                              <w:rFonts w:ascii="TT Norms Pro"/>
                              <w:spacing w:val="46"/>
                              <w:sz w:val="18"/>
                            </w:rPr>
                            <w:t> </w:t>
                          </w:r>
                          <w:r>
                            <w:rPr>
                              <w:rFonts w:ascii="TT Norms Pro Light"/>
                              <w:b w:val="0"/>
                              <w:sz w:val="18"/>
                            </w:rPr>
                            <w:t>|</w:t>
                          </w:r>
                          <w:r>
                            <w:rPr>
                              <w:rFonts w:ascii="TT Norms Pro Light"/>
                              <w:b w:val="0"/>
                              <w:spacing w:val="49"/>
                              <w:sz w:val="18"/>
                            </w:rPr>
                            <w:t> </w:t>
                          </w:r>
                          <w:r>
                            <w:rPr>
                              <w:rFonts w:ascii="TT Norms Pro"/>
                              <w:b/>
                              <w:spacing w:val="-2"/>
                              <w:sz w:val="18"/>
                            </w:rPr>
                            <w:t>uwa.edu.au</w:t>
                          </w:r>
                        </w:p>
                      </w:txbxContent>
                    </wps:txbx>
                    <wps:bodyPr wrap="square" lIns="0" tIns="0" rIns="0" bIns="0" rtlCol="0">
                      <a:noAutofit/>
                    </wps:bodyPr>
                  </wps:wsp>
                </a:graphicData>
              </a:graphic>
            </wp:anchor>
          </w:drawing>
        </mc:Choice>
        <mc:Fallback>
          <w:pict>
            <v:shape style="position:absolute;margin-left:55.3307pt;margin-top:23.487616pt;width:200.9pt;height:14pt;mso-position-horizontal-relative:page;mso-position-vertical-relative:page;z-index:-30726656" type="#_x0000_t202" id="docshape597" filled="false" stroked="false">
              <v:textbox inset="0,0,0,0">
                <w:txbxContent>
                  <w:p>
                    <w:pPr>
                      <w:spacing w:before="45"/>
                      <w:ind w:left="20" w:right="0" w:firstLine="0"/>
                      <w:jc w:val="left"/>
                      <w:rPr>
                        <w:rFonts w:ascii="TT Norms Pro"/>
                        <w:b/>
                        <w:sz w:val="18"/>
                      </w:rPr>
                    </w:pPr>
                    <w:r>
                      <w:rPr>
                        <w:rFonts w:ascii="TT Norms Pro"/>
                        <w:sz w:val="18"/>
                      </w:rPr>
                      <w:t>The</w:t>
                    </w:r>
                    <w:r>
                      <w:rPr>
                        <w:rFonts w:ascii="TT Norms Pro"/>
                        <w:spacing w:val="-3"/>
                        <w:sz w:val="18"/>
                      </w:rPr>
                      <w:t> </w:t>
                    </w:r>
                    <w:r>
                      <w:rPr>
                        <w:rFonts w:ascii="TT Norms Pro"/>
                        <w:sz w:val="18"/>
                      </w:rPr>
                      <w:t>University</w:t>
                    </w:r>
                    <w:r>
                      <w:rPr>
                        <w:rFonts w:ascii="TT Norms Pro"/>
                        <w:spacing w:val="-6"/>
                        <w:sz w:val="18"/>
                      </w:rPr>
                      <w:t> </w:t>
                    </w:r>
                    <w:r>
                      <w:rPr>
                        <w:rFonts w:ascii="TT Norms Pro"/>
                        <w:sz w:val="18"/>
                      </w:rPr>
                      <w:t>of</w:t>
                    </w:r>
                    <w:r>
                      <w:rPr>
                        <w:rFonts w:ascii="TT Norms Pro"/>
                        <w:spacing w:val="-8"/>
                        <w:sz w:val="18"/>
                      </w:rPr>
                      <w:t> </w:t>
                    </w:r>
                    <w:r>
                      <w:rPr>
                        <w:rFonts w:ascii="TT Norms Pro"/>
                        <w:sz w:val="18"/>
                      </w:rPr>
                      <w:t>Western</w:t>
                    </w:r>
                    <w:r>
                      <w:rPr>
                        <w:rFonts w:ascii="TT Norms Pro"/>
                        <w:spacing w:val="-8"/>
                        <w:sz w:val="18"/>
                      </w:rPr>
                      <w:t> </w:t>
                    </w:r>
                    <w:r>
                      <w:rPr>
                        <w:rFonts w:ascii="TT Norms Pro"/>
                        <w:sz w:val="18"/>
                      </w:rPr>
                      <w:t>Australia</w:t>
                    </w:r>
                    <w:r>
                      <w:rPr>
                        <w:rFonts w:ascii="TT Norms Pro"/>
                        <w:spacing w:val="46"/>
                        <w:sz w:val="18"/>
                      </w:rPr>
                      <w:t> </w:t>
                    </w:r>
                    <w:r>
                      <w:rPr>
                        <w:rFonts w:ascii="TT Norms Pro Light"/>
                        <w:b w:val="0"/>
                        <w:sz w:val="18"/>
                      </w:rPr>
                      <w:t>|</w:t>
                    </w:r>
                    <w:r>
                      <w:rPr>
                        <w:rFonts w:ascii="TT Norms Pro Light"/>
                        <w:b w:val="0"/>
                        <w:spacing w:val="49"/>
                        <w:sz w:val="18"/>
                      </w:rPr>
                      <w:t> </w:t>
                    </w:r>
                    <w:r>
                      <w:rPr>
                        <w:rFonts w:ascii="TT Norms Pro"/>
                        <w:b/>
                        <w:spacing w:val="-2"/>
                        <w:sz w:val="18"/>
                      </w:rPr>
                      <w:t>uwa.edu.au</w:t>
                    </w:r>
                  </w:p>
                </w:txbxContent>
              </v:textbox>
              <w10:wrap type="none"/>
            </v:shape>
          </w:pict>
        </mc:Fallback>
      </mc:AlternateContent>
    </w:r>
    <w:r>
      <w:rPr/>
      <mc:AlternateContent>
        <mc:Choice Requires="wps">
          <w:drawing>
            <wp:anchor distT="0" distB="0" distL="0" distR="0" allowOverlap="1" layoutInCell="1" locked="0" behindDoc="1" simplePos="0" relativeHeight="472590336">
              <wp:simplePos x="0" y="0"/>
              <wp:positionH relativeFrom="page">
                <wp:posOffset>723228</wp:posOffset>
              </wp:positionH>
              <wp:positionV relativeFrom="page">
                <wp:posOffset>1057030</wp:posOffset>
              </wp:positionV>
              <wp:extent cx="2788920" cy="287655"/>
              <wp:effectExtent l="0" t="0" r="0" b="0"/>
              <wp:wrapNone/>
              <wp:docPr id="904" name="Textbox 904"/>
              <wp:cNvGraphicFramePr>
                <a:graphicFrameLocks/>
              </wp:cNvGraphicFramePr>
              <a:graphic>
                <a:graphicData uri="http://schemas.microsoft.com/office/word/2010/wordprocessingShape">
                  <wps:wsp>
                    <wps:cNvPr id="904" name="Textbox 904"/>
                    <wps:cNvSpPr txBox="1"/>
                    <wps:spPr>
                      <a:xfrm>
                        <a:off x="0" y="0"/>
                        <a:ext cx="2788920" cy="287655"/>
                      </a:xfrm>
                      <a:prstGeom prst="rect">
                        <a:avLst/>
                      </a:prstGeom>
                    </wps:spPr>
                    <wps:txbx>
                      <w:txbxContent>
                        <w:p>
                          <w:pPr>
                            <w:spacing w:before="20"/>
                            <w:ind w:left="33" w:right="0" w:firstLine="0"/>
                            <w:jc w:val="left"/>
                            <w:rPr>
                              <w:sz w:val="21"/>
                            </w:rPr>
                          </w:pPr>
                          <w:r>
                            <w:rPr>
                              <w:color w:val="0070C0"/>
                              <w:w w:val="105"/>
                              <w:sz w:val="21"/>
                            </w:rPr>
                            <w:t>NOTES</w:t>
                          </w:r>
                          <w:r>
                            <w:rPr>
                              <w:color w:val="0070C0"/>
                              <w:spacing w:val="-15"/>
                              <w:w w:val="105"/>
                              <w:sz w:val="21"/>
                            </w:rPr>
                            <w:t> </w:t>
                          </w:r>
                          <w:r>
                            <w:rPr>
                              <w:color w:val="0070C0"/>
                              <w:w w:val="105"/>
                              <w:sz w:val="21"/>
                            </w:rPr>
                            <w:t>TO</w:t>
                          </w:r>
                          <w:r>
                            <w:rPr>
                              <w:color w:val="0070C0"/>
                              <w:spacing w:val="-15"/>
                              <w:w w:val="105"/>
                              <w:sz w:val="21"/>
                            </w:rPr>
                            <w:t> </w:t>
                          </w:r>
                          <w:r>
                            <w:rPr>
                              <w:color w:val="0070C0"/>
                              <w:w w:val="105"/>
                              <w:sz w:val="21"/>
                            </w:rPr>
                            <w:t>THE</w:t>
                          </w:r>
                          <w:r>
                            <w:rPr>
                              <w:color w:val="0070C0"/>
                              <w:spacing w:val="-15"/>
                              <w:w w:val="105"/>
                              <w:sz w:val="21"/>
                            </w:rPr>
                            <w:t> </w:t>
                          </w:r>
                          <w:r>
                            <w:rPr>
                              <w:color w:val="0070C0"/>
                              <w:w w:val="105"/>
                              <w:sz w:val="21"/>
                            </w:rPr>
                            <w:t>FINANCIAL</w:t>
                          </w:r>
                          <w:r>
                            <w:rPr>
                              <w:color w:val="0070C0"/>
                              <w:spacing w:val="-15"/>
                              <w:w w:val="105"/>
                              <w:sz w:val="21"/>
                            </w:rPr>
                            <w:t> </w:t>
                          </w:r>
                          <w:r>
                            <w:rPr>
                              <w:color w:val="0070C0"/>
                              <w:spacing w:val="-2"/>
                              <w:w w:val="105"/>
                              <w:sz w:val="21"/>
                            </w:rPr>
                            <w:t>STATEMENTS</w:t>
                          </w:r>
                        </w:p>
                        <w:p>
                          <w:pPr>
                            <w:spacing w:before="32"/>
                            <w:ind w:left="20" w:right="0" w:firstLine="0"/>
                            <w:jc w:val="left"/>
                            <w:rPr>
                              <w:sz w:val="12"/>
                            </w:rPr>
                          </w:pPr>
                          <w:r>
                            <w:rPr>
                              <w:sz w:val="12"/>
                            </w:rPr>
                            <w:t>for</w:t>
                          </w:r>
                          <w:r>
                            <w:rPr>
                              <w:spacing w:val="4"/>
                              <w:sz w:val="12"/>
                            </w:rPr>
                            <w:t> </w:t>
                          </w:r>
                          <w:r>
                            <w:rPr>
                              <w:sz w:val="12"/>
                            </w:rPr>
                            <w:t>the</w:t>
                          </w:r>
                          <w:r>
                            <w:rPr>
                              <w:spacing w:val="3"/>
                              <w:sz w:val="12"/>
                            </w:rPr>
                            <w:t> </w:t>
                          </w:r>
                          <w:r>
                            <w:rPr>
                              <w:sz w:val="12"/>
                            </w:rPr>
                            <w:t>year</w:t>
                          </w:r>
                          <w:r>
                            <w:rPr>
                              <w:spacing w:val="5"/>
                              <w:sz w:val="12"/>
                            </w:rPr>
                            <w:t> </w:t>
                          </w:r>
                          <w:r>
                            <w:rPr>
                              <w:sz w:val="12"/>
                            </w:rPr>
                            <w:t>ended</w:t>
                          </w:r>
                          <w:r>
                            <w:rPr>
                              <w:spacing w:val="3"/>
                              <w:sz w:val="12"/>
                            </w:rPr>
                            <w:t> </w:t>
                          </w:r>
                          <w:r>
                            <w:rPr>
                              <w:sz w:val="12"/>
                            </w:rPr>
                            <w:t>31</w:t>
                          </w:r>
                          <w:r>
                            <w:rPr>
                              <w:spacing w:val="3"/>
                              <w:sz w:val="12"/>
                            </w:rPr>
                            <w:t> </w:t>
                          </w:r>
                          <w:r>
                            <w:rPr>
                              <w:sz w:val="12"/>
                            </w:rPr>
                            <w:t>December</w:t>
                          </w:r>
                          <w:r>
                            <w:rPr>
                              <w:spacing w:val="5"/>
                              <w:sz w:val="12"/>
                            </w:rPr>
                            <w:t> </w:t>
                          </w:r>
                          <w:r>
                            <w:rPr>
                              <w:spacing w:val="-4"/>
                              <w:sz w:val="12"/>
                            </w:rPr>
                            <w:t>2020</w:t>
                          </w:r>
                        </w:p>
                      </w:txbxContent>
                    </wps:txbx>
                    <wps:bodyPr wrap="square" lIns="0" tIns="0" rIns="0" bIns="0" rtlCol="0">
                      <a:noAutofit/>
                    </wps:bodyPr>
                  </wps:wsp>
                </a:graphicData>
              </a:graphic>
            </wp:anchor>
          </w:drawing>
        </mc:Choice>
        <mc:Fallback>
          <w:pict>
            <v:shape style="position:absolute;margin-left:56.947102pt;margin-top:83.230728pt;width:219.6pt;height:22.65pt;mso-position-horizontal-relative:page;mso-position-vertical-relative:page;z-index:-30726144" type="#_x0000_t202" id="docshape598" filled="false" stroked="false">
              <v:textbox inset="0,0,0,0">
                <w:txbxContent>
                  <w:p>
                    <w:pPr>
                      <w:spacing w:before="20"/>
                      <w:ind w:left="33" w:right="0" w:firstLine="0"/>
                      <w:jc w:val="left"/>
                      <w:rPr>
                        <w:sz w:val="21"/>
                      </w:rPr>
                    </w:pPr>
                    <w:r>
                      <w:rPr>
                        <w:color w:val="0070C0"/>
                        <w:w w:val="105"/>
                        <w:sz w:val="21"/>
                      </w:rPr>
                      <w:t>NOTES</w:t>
                    </w:r>
                    <w:r>
                      <w:rPr>
                        <w:color w:val="0070C0"/>
                        <w:spacing w:val="-15"/>
                        <w:w w:val="105"/>
                        <w:sz w:val="21"/>
                      </w:rPr>
                      <w:t> </w:t>
                    </w:r>
                    <w:r>
                      <w:rPr>
                        <w:color w:val="0070C0"/>
                        <w:w w:val="105"/>
                        <w:sz w:val="21"/>
                      </w:rPr>
                      <w:t>TO</w:t>
                    </w:r>
                    <w:r>
                      <w:rPr>
                        <w:color w:val="0070C0"/>
                        <w:spacing w:val="-15"/>
                        <w:w w:val="105"/>
                        <w:sz w:val="21"/>
                      </w:rPr>
                      <w:t> </w:t>
                    </w:r>
                    <w:r>
                      <w:rPr>
                        <w:color w:val="0070C0"/>
                        <w:w w:val="105"/>
                        <w:sz w:val="21"/>
                      </w:rPr>
                      <w:t>THE</w:t>
                    </w:r>
                    <w:r>
                      <w:rPr>
                        <w:color w:val="0070C0"/>
                        <w:spacing w:val="-15"/>
                        <w:w w:val="105"/>
                        <w:sz w:val="21"/>
                      </w:rPr>
                      <w:t> </w:t>
                    </w:r>
                    <w:r>
                      <w:rPr>
                        <w:color w:val="0070C0"/>
                        <w:w w:val="105"/>
                        <w:sz w:val="21"/>
                      </w:rPr>
                      <w:t>FINANCIAL</w:t>
                    </w:r>
                    <w:r>
                      <w:rPr>
                        <w:color w:val="0070C0"/>
                        <w:spacing w:val="-15"/>
                        <w:w w:val="105"/>
                        <w:sz w:val="21"/>
                      </w:rPr>
                      <w:t> </w:t>
                    </w:r>
                    <w:r>
                      <w:rPr>
                        <w:color w:val="0070C0"/>
                        <w:spacing w:val="-2"/>
                        <w:w w:val="105"/>
                        <w:sz w:val="21"/>
                      </w:rPr>
                      <w:t>STATEMENTS</w:t>
                    </w:r>
                  </w:p>
                  <w:p>
                    <w:pPr>
                      <w:spacing w:before="32"/>
                      <w:ind w:left="20" w:right="0" w:firstLine="0"/>
                      <w:jc w:val="left"/>
                      <w:rPr>
                        <w:sz w:val="12"/>
                      </w:rPr>
                    </w:pPr>
                    <w:r>
                      <w:rPr>
                        <w:sz w:val="12"/>
                      </w:rPr>
                      <w:t>for</w:t>
                    </w:r>
                    <w:r>
                      <w:rPr>
                        <w:spacing w:val="4"/>
                        <w:sz w:val="12"/>
                      </w:rPr>
                      <w:t> </w:t>
                    </w:r>
                    <w:r>
                      <w:rPr>
                        <w:sz w:val="12"/>
                      </w:rPr>
                      <w:t>the</w:t>
                    </w:r>
                    <w:r>
                      <w:rPr>
                        <w:spacing w:val="3"/>
                        <w:sz w:val="12"/>
                      </w:rPr>
                      <w:t> </w:t>
                    </w:r>
                    <w:r>
                      <w:rPr>
                        <w:sz w:val="12"/>
                      </w:rPr>
                      <w:t>year</w:t>
                    </w:r>
                    <w:r>
                      <w:rPr>
                        <w:spacing w:val="5"/>
                        <w:sz w:val="12"/>
                      </w:rPr>
                      <w:t> </w:t>
                    </w:r>
                    <w:r>
                      <w:rPr>
                        <w:sz w:val="12"/>
                      </w:rPr>
                      <w:t>ended</w:t>
                    </w:r>
                    <w:r>
                      <w:rPr>
                        <w:spacing w:val="3"/>
                        <w:sz w:val="12"/>
                      </w:rPr>
                      <w:t> </w:t>
                    </w:r>
                    <w:r>
                      <w:rPr>
                        <w:sz w:val="12"/>
                      </w:rPr>
                      <w:t>31</w:t>
                    </w:r>
                    <w:r>
                      <w:rPr>
                        <w:spacing w:val="3"/>
                        <w:sz w:val="12"/>
                      </w:rPr>
                      <w:t> </w:t>
                    </w:r>
                    <w:r>
                      <w:rPr>
                        <w:sz w:val="12"/>
                      </w:rPr>
                      <w:t>December</w:t>
                    </w:r>
                    <w:r>
                      <w:rPr>
                        <w:spacing w:val="5"/>
                        <w:sz w:val="12"/>
                      </w:rPr>
                      <w:t> </w:t>
                    </w:r>
                    <w:r>
                      <w:rPr>
                        <w:spacing w:val="-4"/>
                        <w:sz w:val="12"/>
                      </w:rPr>
                      <w:t>2020</w:t>
                    </w:r>
                  </w:p>
                </w:txbxContent>
              </v:textbox>
              <w10:wrap type="none"/>
            </v:shape>
          </w:pict>
        </mc:Fallback>
      </mc:AlternateContent>
    </w:r>
  </w:p>
</w:hdr>
</file>

<file path=word/header1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2590848">
              <wp:simplePos x="0" y="0"/>
              <wp:positionH relativeFrom="page">
                <wp:posOffset>7085740</wp:posOffset>
              </wp:positionH>
              <wp:positionV relativeFrom="page">
                <wp:posOffset>284448</wp:posOffset>
              </wp:positionV>
              <wp:extent cx="243204" cy="194310"/>
              <wp:effectExtent l="0" t="0" r="0" b="0"/>
              <wp:wrapNone/>
              <wp:docPr id="905" name="Textbox 905"/>
              <wp:cNvGraphicFramePr>
                <a:graphicFrameLocks/>
              </wp:cNvGraphicFramePr>
              <a:graphic>
                <a:graphicData uri="http://schemas.microsoft.com/office/word/2010/wordprocessingShape">
                  <wps:wsp>
                    <wps:cNvPr id="905" name="Textbox 905"/>
                    <wps:cNvSpPr txBox="1"/>
                    <wps:spPr>
                      <a:xfrm>
                        <a:off x="0" y="0"/>
                        <a:ext cx="243204" cy="194310"/>
                      </a:xfrm>
                      <a:prstGeom prst="rect">
                        <a:avLst/>
                      </a:prstGeom>
                    </wps:spPr>
                    <wps:txbx>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83</w:t>
                          </w:r>
                          <w:r>
                            <w:rPr>
                              <w:rFonts w:ascii="TT Norms Pro"/>
                              <w:b/>
                              <w:spacing w:val="-5"/>
                              <w:sz w:val="20"/>
                            </w:rPr>
                            <w:fldChar w:fldCharType="end"/>
                          </w:r>
                        </w:p>
                      </w:txbxContent>
                    </wps:txbx>
                    <wps:bodyPr wrap="square" lIns="0" tIns="0" rIns="0" bIns="0" rtlCol="0">
                      <a:noAutofit/>
                    </wps:bodyPr>
                  </wps:wsp>
                </a:graphicData>
              </a:graphic>
            </wp:anchor>
          </w:drawing>
        </mc:Choice>
        <mc:Fallback>
          <w:pict>
            <v:shape style="position:absolute;margin-left:557.932312pt;margin-top:22.397514pt;width:19.150pt;height:15.3pt;mso-position-horizontal-relative:page;mso-position-vertical-relative:page;z-index:-30725632" type="#_x0000_t202" id="docshape599" filled="false" stroked="false">
              <v:textbox inset="0,0,0,0">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83</w:t>
                    </w:r>
                    <w:r>
                      <w:rPr>
                        <w:rFonts w:ascii="TT Norms Pro"/>
                        <w:b/>
                        <w:spacing w:val="-5"/>
                        <w:sz w:val="20"/>
                      </w:rPr>
                      <w:fldChar w:fldCharType="end"/>
                    </w:r>
                  </w:p>
                </w:txbxContent>
              </v:textbox>
              <w10:wrap type="none"/>
            </v:shape>
          </w:pict>
        </mc:Fallback>
      </mc:AlternateContent>
    </w:r>
  </w:p>
</w:hdr>
</file>

<file path=word/header1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2591360">
              <wp:simplePos x="0" y="0"/>
              <wp:positionH relativeFrom="page">
                <wp:posOffset>238423</wp:posOffset>
              </wp:positionH>
              <wp:positionV relativeFrom="page">
                <wp:posOffset>284448</wp:posOffset>
              </wp:positionV>
              <wp:extent cx="256540" cy="194310"/>
              <wp:effectExtent l="0" t="0" r="0" b="0"/>
              <wp:wrapNone/>
              <wp:docPr id="916" name="Textbox 916"/>
              <wp:cNvGraphicFramePr>
                <a:graphicFrameLocks/>
              </wp:cNvGraphicFramePr>
              <a:graphic>
                <a:graphicData uri="http://schemas.microsoft.com/office/word/2010/wordprocessingShape">
                  <wps:wsp>
                    <wps:cNvPr id="916" name="Textbox 916"/>
                    <wps:cNvSpPr txBox="1"/>
                    <wps:spPr>
                      <a:xfrm>
                        <a:off x="0" y="0"/>
                        <a:ext cx="256540" cy="194310"/>
                      </a:xfrm>
                      <a:prstGeom prst="rect">
                        <a:avLst/>
                      </a:prstGeom>
                    </wps:spPr>
                    <wps:txbx>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90</w:t>
                          </w:r>
                          <w:r>
                            <w:rPr>
                              <w:rFonts w:ascii="TT Norms Pro"/>
                              <w:b/>
                              <w:spacing w:val="-5"/>
                              <w:sz w:val="20"/>
                            </w:rPr>
                            <w:fldChar w:fldCharType="end"/>
                          </w:r>
                        </w:p>
                      </w:txbxContent>
                    </wps:txbx>
                    <wps:bodyPr wrap="square" lIns="0" tIns="0" rIns="0" bIns="0" rtlCol="0">
                      <a:noAutofit/>
                    </wps:bodyPr>
                  </wps:wsp>
                </a:graphicData>
              </a:graphic>
            </wp:anchor>
          </w:drawing>
        </mc:Choice>
        <mc:Fallback>
          <w:pict>
            <v:shape style="position:absolute;margin-left:18.773500pt;margin-top:22.397514pt;width:20.2pt;height:15.3pt;mso-position-horizontal-relative:page;mso-position-vertical-relative:page;z-index:-30725120" type="#_x0000_t202" id="docshape610" filled="false" stroked="false">
              <v:textbox inset="0,0,0,0">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90</w:t>
                    </w:r>
                    <w:r>
                      <w:rPr>
                        <w:rFonts w:ascii="TT Norms Pro"/>
                        <w:b/>
                        <w:spacing w:val="-5"/>
                        <w:sz w:val="20"/>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72591872">
              <wp:simplePos x="0" y="0"/>
              <wp:positionH relativeFrom="page">
                <wp:posOffset>702699</wp:posOffset>
              </wp:positionH>
              <wp:positionV relativeFrom="page">
                <wp:posOffset>298292</wp:posOffset>
              </wp:positionV>
              <wp:extent cx="2551430" cy="177800"/>
              <wp:effectExtent l="0" t="0" r="0" b="0"/>
              <wp:wrapNone/>
              <wp:docPr id="917" name="Textbox 917"/>
              <wp:cNvGraphicFramePr>
                <a:graphicFrameLocks/>
              </wp:cNvGraphicFramePr>
              <a:graphic>
                <a:graphicData uri="http://schemas.microsoft.com/office/word/2010/wordprocessingShape">
                  <wps:wsp>
                    <wps:cNvPr id="917" name="Textbox 917"/>
                    <wps:cNvSpPr txBox="1"/>
                    <wps:spPr>
                      <a:xfrm>
                        <a:off x="0" y="0"/>
                        <a:ext cx="2551430" cy="177800"/>
                      </a:xfrm>
                      <a:prstGeom prst="rect">
                        <a:avLst/>
                      </a:prstGeom>
                    </wps:spPr>
                    <wps:txbx>
                      <w:txbxContent>
                        <w:p>
                          <w:pPr>
                            <w:spacing w:before="45"/>
                            <w:ind w:left="20" w:right="0" w:firstLine="0"/>
                            <w:jc w:val="left"/>
                            <w:rPr>
                              <w:rFonts w:ascii="TT Norms Pro"/>
                              <w:b/>
                              <w:sz w:val="18"/>
                            </w:rPr>
                          </w:pPr>
                          <w:r>
                            <w:rPr>
                              <w:rFonts w:ascii="TT Norms Pro"/>
                              <w:sz w:val="18"/>
                            </w:rPr>
                            <w:t>The</w:t>
                          </w:r>
                          <w:r>
                            <w:rPr>
                              <w:rFonts w:ascii="TT Norms Pro"/>
                              <w:spacing w:val="-3"/>
                              <w:sz w:val="18"/>
                            </w:rPr>
                            <w:t> </w:t>
                          </w:r>
                          <w:r>
                            <w:rPr>
                              <w:rFonts w:ascii="TT Norms Pro"/>
                              <w:sz w:val="18"/>
                            </w:rPr>
                            <w:t>University</w:t>
                          </w:r>
                          <w:r>
                            <w:rPr>
                              <w:rFonts w:ascii="TT Norms Pro"/>
                              <w:spacing w:val="-6"/>
                              <w:sz w:val="18"/>
                            </w:rPr>
                            <w:t> </w:t>
                          </w:r>
                          <w:r>
                            <w:rPr>
                              <w:rFonts w:ascii="TT Norms Pro"/>
                              <w:sz w:val="18"/>
                            </w:rPr>
                            <w:t>of</w:t>
                          </w:r>
                          <w:r>
                            <w:rPr>
                              <w:rFonts w:ascii="TT Norms Pro"/>
                              <w:spacing w:val="-8"/>
                              <w:sz w:val="18"/>
                            </w:rPr>
                            <w:t> </w:t>
                          </w:r>
                          <w:r>
                            <w:rPr>
                              <w:rFonts w:ascii="TT Norms Pro"/>
                              <w:sz w:val="18"/>
                            </w:rPr>
                            <w:t>Western</w:t>
                          </w:r>
                          <w:r>
                            <w:rPr>
                              <w:rFonts w:ascii="TT Norms Pro"/>
                              <w:spacing w:val="-8"/>
                              <w:sz w:val="18"/>
                            </w:rPr>
                            <w:t> </w:t>
                          </w:r>
                          <w:r>
                            <w:rPr>
                              <w:rFonts w:ascii="TT Norms Pro"/>
                              <w:sz w:val="18"/>
                            </w:rPr>
                            <w:t>Australia</w:t>
                          </w:r>
                          <w:r>
                            <w:rPr>
                              <w:rFonts w:ascii="TT Norms Pro"/>
                              <w:spacing w:val="46"/>
                              <w:sz w:val="18"/>
                            </w:rPr>
                            <w:t> </w:t>
                          </w:r>
                          <w:r>
                            <w:rPr>
                              <w:rFonts w:ascii="TT Norms Pro Light"/>
                              <w:b w:val="0"/>
                              <w:sz w:val="18"/>
                            </w:rPr>
                            <w:t>|</w:t>
                          </w:r>
                          <w:r>
                            <w:rPr>
                              <w:rFonts w:ascii="TT Norms Pro Light"/>
                              <w:b w:val="0"/>
                              <w:spacing w:val="49"/>
                              <w:sz w:val="18"/>
                            </w:rPr>
                            <w:t> </w:t>
                          </w:r>
                          <w:r>
                            <w:rPr>
                              <w:rFonts w:ascii="TT Norms Pro"/>
                              <w:b/>
                              <w:spacing w:val="-2"/>
                              <w:sz w:val="18"/>
                            </w:rPr>
                            <w:t>uwa.edu.au</w:t>
                          </w:r>
                        </w:p>
                      </w:txbxContent>
                    </wps:txbx>
                    <wps:bodyPr wrap="square" lIns="0" tIns="0" rIns="0" bIns="0" rtlCol="0">
                      <a:noAutofit/>
                    </wps:bodyPr>
                  </wps:wsp>
                </a:graphicData>
              </a:graphic>
            </wp:anchor>
          </w:drawing>
        </mc:Choice>
        <mc:Fallback>
          <w:pict>
            <v:shape style="position:absolute;margin-left:55.3307pt;margin-top:23.487616pt;width:200.9pt;height:14pt;mso-position-horizontal-relative:page;mso-position-vertical-relative:page;z-index:-30724608" type="#_x0000_t202" id="docshape611" filled="false" stroked="false">
              <v:textbox inset="0,0,0,0">
                <w:txbxContent>
                  <w:p>
                    <w:pPr>
                      <w:spacing w:before="45"/>
                      <w:ind w:left="20" w:right="0" w:firstLine="0"/>
                      <w:jc w:val="left"/>
                      <w:rPr>
                        <w:rFonts w:ascii="TT Norms Pro"/>
                        <w:b/>
                        <w:sz w:val="18"/>
                      </w:rPr>
                    </w:pPr>
                    <w:r>
                      <w:rPr>
                        <w:rFonts w:ascii="TT Norms Pro"/>
                        <w:sz w:val="18"/>
                      </w:rPr>
                      <w:t>The</w:t>
                    </w:r>
                    <w:r>
                      <w:rPr>
                        <w:rFonts w:ascii="TT Norms Pro"/>
                        <w:spacing w:val="-3"/>
                        <w:sz w:val="18"/>
                      </w:rPr>
                      <w:t> </w:t>
                    </w:r>
                    <w:r>
                      <w:rPr>
                        <w:rFonts w:ascii="TT Norms Pro"/>
                        <w:sz w:val="18"/>
                      </w:rPr>
                      <w:t>University</w:t>
                    </w:r>
                    <w:r>
                      <w:rPr>
                        <w:rFonts w:ascii="TT Norms Pro"/>
                        <w:spacing w:val="-6"/>
                        <w:sz w:val="18"/>
                      </w:rPr>
                      <w:t> </w:t>
                    </w:r>
                    <w:r>
                      <w:rPr>
                        <w:rFonts w:ascii="TT Norms Pro"/>
                        <w:sz w:val="18"/>
                      </w:rPr>
                      <w:t>of</w:t>
                    </w:r>
                    <w:r>
                      <w:rPr>
                        <w:rFonts w:ascii="TT Norms Pro"/>
                        <w:spacing w:val="-8"/>
                        <w:sz w:val="18"/>
                      </w:rPr>
                      <w:t> </w:t>
                    </w:r>
                    <w:r>
                      <w:rPr>
                        <w:rFonts w:ascii="TT Norms Pro"/>
                        <w:sz w:val="18"/>
                      </w:rPr>
                      <w:t>Western</w:t>
                    </w:r>
                    <w:r>
                      <w:rPr>
                        <w:rFonts w:ascii="TT Norms Pro"/>
                        <w:spacing w:val="-8"/>
                        <w:sz w:val="18"/>
                      </w:rPr>
                      <w:t> </w:t>
                    </w:r>
                    <w:r>
                      <w:rPr>
                        <w:rFonts w:ascii="TT Norms Pro"/>
                        <w:sz w:val="18"/>
                      </w:rPr>
                      <w:t>Australia</w:t>
                    </w:r>
                    <w:r>
                      <w:rPr>
                        <w:rFonts w:ascii="TT Norms Pro"/>
                        <w:spacing w:val="46"/>
                        <w:sz w:val="18"/>
                      </w:rPr>
                      <w:t> </w:t>
                    </w:r>
                    <w:r>
                      <w:rPr>
                        <w:rFonts w:ascii="TT Norms Pro Light"/>
                        <w:b w:val="0"/>
                        <w:sz w:val="18"/>
                      </w:rPr>
                      <w:t>|</w:t>
                    </w:r>
                    <w:r>
                      <w:rPr>
                        <w:rFonts w:ascii="TT Norms Pro Light"/>
                        <w:b w:val="0"/>
                        <w:spacing w:val="49"/>
                        <w:sz w:val="18"/>
                      </w:rPr>
                      <w:t> </w:t>
                    </w:r>
                    <w:r>
                      <w:rPr>
                        <w:rFonts w:ascii="TT Norms Pro"/>
                        <w:b/>
                        <w:spacing w:val="-2"/>
                        <w:sz w:val="18"/>
                      </w:rPr>
                      <w:t>uwa.edu.au</w:t>
                    </w:r>
                  </w:p>
                </w:txbxContent>
              </v:textbox>
              <w10:wrap type="none"/>
            </v:shape>
          </w:pict>
        </mc:Fallback>
      </mc:AlternateContent>
    </w:r>
  </w:p>
</w:hdr>
</file>

<file path=word/header1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2592384">
              <wp:simplePos x="0" y="0"/>
              <wp:positionH relativeFrom="page">
                <wp:posOffset>7089562</wp:posOffset>
              </wp:positionH>
              <wp:positionV relativeFrom="page">
                <wp:posOffset>284448</wp:posOffset>
              </wp:positionV>
              <wp:extent cx="234315" cy="194310"/>
              <wp:effectExtent l="0" t="0" r="0" b="0"/>
              <wp:wrapNone/>
              <wp:docPr id="918" name="Textbox 918"/>
              <wp:cNvGraphicFramePr>
                <a:graphicFrameLocks/>
              </wp:cNvGraphicFramePr>
              <a:graphic>
                <a:graphicData uri="http://schemas.microsoft.com/office/word/2010/wordprocessingShape">
                  <wps:wsp>
                    <wps:cNvPr id="918" name="Textbox 918"/>
                    <wps:cNvSpPr txBox="1"/>
                    <wps:spPr>
                      <a:xfrm>
                        <a:off x="0" y="0"/>
                        <a:ext cx="234315" cy="194310"/>
                      </a:xfrm>
                      <a:prstGeom prst="rect">
                        <a:avLst/>
                      </a:prstGeom>
                    </wps:spPr>
                    <wps:txbx>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87</w:t>
                          </w:r>
                          <w:r>
                            <w:rPr>
                              <w:rFonts w:ascii="TT Norms Pro"/>
                              <w:b/>
                              <w:spacing w:val="-5"/>
                              <w:sz w:val="20"/>
                            </w:rPr>
                            <w:fldChar w:fldCharType="end"/>
                          </w:r>
                        </w:p>
                      </w:txbxContent>
                    </wps:txbx>
                    <wps:bodyPr wrap="square" lIns="0" tIns="0" rIns="0" bIns="0" rtlCol="0">
                      <a:noAutofit/>
                    </wps:bodyPr>
                  </wps:wsp>
                </a:graphicData>
              </a:graphic>
            </wp:anchor>
          </w:drawing>
        </mc:Choice>
        <mc:Fallback>
          <w:pict>
            <v:shape style="position:absolute;margin-left:558.233276pt;margin-top:22.397514pt;width:18.45pt;height:15.3pt;mso-position-horizontal-relative:page;mso-position-vertical-relative:page;z-index:-30724096" type="#_x0000_t202" id="docshape612" filled="false" stroked="false">
              <v:textbox inset="0,0,0,0">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87</w:t>
                    </w:r>
                    <w:r>
                      <w:rPr>
                        <w:rFonts w:ascii="TT Norms Pro"/>
                        <w:b/>
                        <w:spacing w:val="-5"/>
                        <w:sz w:val="20"/>
                      </w:rPr>
                      <w:fldChar w:fldCharType="end"/>
                    </w:r>
                  </w:p>
                </w:txbxContent>
              </v:textbox>
              <w10:wrap type="none"/>
            </v:shape>
          </w:pict>
        </mc:Fallback>
      </mc:AlternateContent>
    </w:r>
  </w:p>
</w:hdr>
</file>

<file path=word/header1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2582656">
              <wp:simplePos x="0" y="0"/>
              <wp:positionH relativeFrom="page">
                <wp:posOffset>7125388</wp:posOffset>
              </wp:positionH>
              <wp:positionV relativeFrom="page">
                <wp:posOffset>284448</wp:posOffset>
              </wp:positionV>
              <wp:extent cx="161925" cy="194310"/>
              <wp:effectExtent l="0" t="0" r="0" b="0"/>
              <wp:wrapNone/>
              <wp:docPr id="8" name="Textbox 8"/>
              <wp:cNvGraphicFramePr>
                <a:graphicFrameLocks/>
              </wp:cNvGraphicFramePr>
              <a:graphic>
                <a:graphicData uri="http://schemas.microsoft.com/office/word/2010/wordprocessingShape">
                  <wps:wsp>
                    <wps:cNvPr id="8" name="Textbox 8"/>
                    <wps:cNvSpPr txBox="1"/>
                    <wps:spPr>
                      <a:xfrm>
                        <a:off x="0" y="0"/>
                        <a:ext cx="161925" cy="194310"/>
                      </a:xfrm>
                      <a:prstGeom prst="rect">
                        <a:avLst/>
                      </a:prstGeom>
                    </wps:spPr>
                    <wps:txbx>
                      <w:txbxContent>
                        <w:p>
                          <w:pPr>
                            <w:spacing w:before="48"/>
                            <w:ind w:left="60" w:right="0" w:firstLine="0"/>
                            <w:jc w:val="left"/>
                            <w:rPr>
                              <w:rFonts w:ascii="TT Norms Pro"/>
                              <w:b/>
                              <w:sz w:val="20"/>
                            </w:rPr>
                          </w:pPr>
                          <w:r>
                            <w:rPr>
                              <w:rFonts w:ascii="TT Norms Pro"/>
                              <w:b/>
                              <w:spacing w:val="-10"/>
                              <w:sz w:val="20"/>
                            </w:rPr>
                            <w:fldChar w:fldCharType="begin"/>
                          </w:r>
                          <w:r>
                            <w:rPr>
                              <w:rFonts w:ascii="TT Norms Pro"/>
                              <w:b/>
                              <w:spacing w:val="-10"/>
                              <w:sz w:val="20"/>
                            </w:rPr>
                            <w:instrText> PAGE </w:instrText>
                          </w:r>
                          <w:r>
                            <w:rPr>
                              <w:rFonts w:ascii="TT Norms Pro"/>
                              <w:b/>
                              <w:spacing w:val="-10"/>
                              <w:sz w:val="20"/>
                            </w:rPr>
                            <w:fldChar w:fldCharType="separate"/>
                          </w:r>
                          <w:r>
                            <w:rPr>
                              <w:rFonts w:ascii="TT Norms Pro"/>
                              <w:b/>
                              <w:spacing w:val="-10"/>
                              <w:sz w:val="20"/>
                            </w:rPr>
                            <w:t>3</w:t>
                          </w:r>
                          <w:r>
                            <w:rPr>
                              <w:rFonts w:ascii="TT Norms Pro"/>
                              <w:b/>
                              <w:spacing w:val="-10"/>
                              <w:sz w:val="20"/>
                            </w:rPr>
                            <w:fldChar w:fldCharType="end"/>
                          </w:r>
                        </w:p>
                      </w:txbxContent>
                    </wps:txbx>
                    <wps:bodyPr wrap="square" lIns="0" tIns="0" rIns="0" bIns="0" rtlCol="0">
                      <a:noAutofit/>
                    </wps:bodyPr>
                  </wps:wsp>
                </a:graphicData>
              </a:graphic>
            </wp:anchor>
          </w:drawing>
        </mc:Choice>
        <mc:Fallback>
          <w:pict>
            <v:shape style="position:absolute;margin-left:561.054199pt;margin-top:22.397514pt;width:12.75pt;height:15.3pt;mso-position-horizontal-relative:page;mso-position-vertical-relative:page;z-index:-30733824" type="#_x0000_t202" id="docshape7" filled="false" stroked="false">
              <v:textbox inset="0,0,0,0">
                <w:txbxContent>
                  <w:p>
                    <w:pPr>
                      <w:spacing w:before="48"/>
                      <w:ind w:left="60" w:right="0" w:firstLine="0"/>
                      <w:jc w:val="left"/>
                      <w:rPr>
                        <w:rFonts w:ascii="TT Norms Pro"/>
                        <w:b/>
                        <w:sz w:val="20"/>
                      </w:rPr>
                    </w:pPr>
                    <w:r>
                      <w:rPr>
                        <w:rFonts w:ascii="TT Norms Pro"/>
                        <w:b/>
                        <w:spacing w:val="-10"/>
                        <w:sz w:val="20"/>
                      </w:rPr>
                      <w:fldChar w:fldCharType="begin"/>
                    </w:r>
                    <w:r>
                      <w:rPr>
                        <w:rFonts w:ascii="TT Norms Pro"/>
                        <w:b/>
                        <w:spacing w:val="-10"/>
                        <w:sz w:val="20"/>
                      </w:rPr>
                      <w:instrText> PAGE </w:instrText>
                    </w:r>
                    <w:r>
                      <w:rPr>
                        <w:rFonts w:ascii="TT Norms Pro"/>
                        <w:b/>
                        <w:spacing w:val="-10"/>
                        <w:sz w:val="20"/>
                      </w:rPr>
                      <w:fldChar w:fldCharType="separate"/>
                    </w:r>
                    <w:r>
                      <w:rPr>
                        <w:rFonts w:ascii="TT Norms Pro"/>
                        <w:b/>
                        <w:spacing w:val="-10"/>
                        <w:sz w:val="20"/>
                      </w:rPr>
                      <w:t>3</w:t>
                    </w:r>
                    <w:r>
                      <w:rPr>
                        <w:rFonts w:ascii="TT Norms Pro"/>
                        <w:b/>
                        <w:spacing w:val="-10"/>
                        <w:sz w:val="20"/>
                      </w:rPr>
                      <w:fldChar w:fldCharType="end"/>
                    </w:r>
                  </w:p>
                </w:txbxContent>
              </v:textbox>
              <w10:wrap type="none"/>
            </v:shape>
          </w:pict>
        </mc:Fallback>
      </mc:AlternateContent>
    </w:r>
  </w:p>
</w:hdr>
</file>

<file path=word/header2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2592896">
              <wp:simplePos x="0" y="0"/>
              <wp:positionH relativeFrom="page">
                <wp:posOffset>7052947</wp:posOffset>
              </wp:positionH>
              <wp:positionV relativeFrom="page">
                <wp:posOffset>284448</wp:posOffset>
              </wp:positionV>
              <wp:extent cx="307975" cy="194310"/>
              <wp:effectExtent l="0" t="0" r="0" b="0"/>
              <wp:wrapNone/>
              <wp:docPr id="935" name="Textbox 935"/>
              <wp:cNvGraphicFramePr>
                <a:graphicFrameLocks/>
              </wp:cNvGraphicFramePr>
              <a:graphic>
                <a:graphicData uri="http://schemas.microsoft.com/office/word/2010/wordprocessingShape">
                  <wps:wsp>
                    <wps:cNvPr id="935" name="Textbox 935"/>
                    <wps:cNvSpPr txBox="1"/>
                    <wps:spPr>
                      <a:xfrm>
                        <a:off x="0" y="0"/>
                        <a:ext cx="307975" cy="194310"/>
                      </a:xfrm>
                      <a:prstGeom prst="rect">
                        <a:avLst/>
                      </a:prstGeom>
                    </wps:spPr>
                    <wps:txbx>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109</w:t>
                          </w:r>
                          <w:r>
                            <w:rPr>
                              <w:rFonts w:ascii="TT Norms Pro"/>
                              <w:b/>
                              <w:spacing w:val="-5"/>
                              <w:sz w:val="20"/>
                            </w:rPr>
                            <w:fldChar w:fldCharType="end"/>
                          </w:r>
                        </w:p>
                      </w:txbxContent>
                    </wps:txbx>
                    <wps:bodyPr wrap="square" lIns="0" tIns="0" rIns="0" bIns="0" rtlCol="0">
                      <a:noAutofit/>
                    </wps:bodyPr>
                  </wps:wsp>
                </a:graphicData>
              </a:graphic>
            </wp:anchor>
          </w:drawing>
        </mc:Choice>
        <mc:Fallback>
          <w:pict>
            <v:shape style="position:absolute;margin-left:555.35022pt;margin-top:22.397514pt;width:24.25pt;height:15.3pt;mso-position-horizontal-relative:page;mso-position-vertical-relative:page;z-index:-30723584" type="#_x0000_t202" id="docshape628" filled="false" stroked="false">
              <v:textbox inset="0,0,0,0">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109</w:t>
                    </w:r>
                    <w:r>
                      <w:rPr>
                        <w:rFonts w:ascii="TT Norms Pro"/>
                        <w:b/>
                        <w:spacing w:val="-5"/>
                        <w:sz w:val="20"/>
                      </w:rPr>
                      <w:fldChar w:fldCharType="end"/>
                    </w:r>
                  </w:p>
                </w:txbxContent>
              </v:textbox>
              <w10:wrap type="none"/>
            </v:shape>
          </w:pict>
        </mc:Fallback>
      </mc:AlternateContent>
    </w:r>
  </w:p>
</w:hdr>
</file>

<file path=word/header2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2593408">
              <wp:simplePos x="0" y="0"/>
              <wp:positionH relativeFrom="page">
                <wp:posOffset>245865</wp:posOffset>
              </wp:positionH>
              <wp:positionV relativeFrom="page">
                <wp:posOffset>284448</wp:posOffset>
              </wp:positionV>
              <wp:extent cx="240665" cy="194310"/>
              <wp:effectExtent l="0" t="0" r="0" b="0"/>
              <wp:wrapNone/>
              <wp:docPr id="936" name="Textbox 936"/>
              <wp:cNvGraphicFramePr>
                <a:graphicFrameLocks/>
              </wp:cNvGraphicFramePr>
              <a:graphic>
                <a:graphicData uri="http://schemas.microsoft.com/office/word/2010/wordprocessingShape">
                  <wps:wsp>
                    <wps:cNvPr id="936" name="Textbox 936"/>
                    <wps:cNvSpPr txBox="1"/>
                    <wps:spPr>
                      <a:xfrm>
                        <a:off x="0" y="0"/>
                        <a:ext cx="240665" cy="194310"/>
                      </a:xfrm>
                      <a:prstGeom prst="rect">
                        <a:avLst/>
                      </a:prstGeom>
                    </wps:spPr>
                    <wps:txbx>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94</w:t>
                          </w:r>
                          <w:r>
                            <w:rPr>
                              <w:rFonts w:ascii="TT Norms Pro"/>
                              <w:b/>
                              <w:spacing w:val="-5"/>
                              <w:sz w:val="20"/>
                            </w:rPr>
                            <w:fldChar w:fldCharType="end"/>
                          </w:r>
                        </w:p>
                      </w:txbxContent>
                    </wps:txbx>
                    <wps:bodyPr wrap="square" lIns="0" tIns="0" rIns="0" bIns="0" rtlCol="0">
                      <a:noAutofit/>
                    </wps:bodyPr>
                  </wps:wsp>
                </a:graphicData>
              </a:graphic>
            </wp:anchor>
          </w:drawing>
        </mc:Choice>
        <mc:Fallback>
          <w:pict>
            <v:shape style="position:absolute;margin-left:19.359501pt;margin-top:22.397514pt;width:18.95pt;height:15.3pt;mso-position-horizontal-relative:page;mso-position-vertical-relative:page;z-index:-30723072" type="#_x0000_t202" id="docshape629" filled="false" stroked="false">
              <v:textbox inset="0,0,0,0">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94</w:t>
                    </w:r>
                    <w:r>
                      <w:rPr>
                        <w:rFonts w:ascii="TT Norms Pro"/>
                        <w:b/>
                        <w:spacing w:val="-5"/>
                        <w:sz w:val="20"/>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72593920">
              <wp:simplePos x="0" y="0"/>
              <wp:positionH relativeFrom="page">
                <wp:posOffset>702699</wp:posOffset>
              </wp:positionH>
              <wp:positionV relativeFrom="page">
                <wp:posOffset>298292</wp:posOffset>
              </wp:positionV>
              <wp:extent cx="2551430" cy="177800"/>
              <wp:effectExtent l="0" t="0" r="0" b="0"/>
              <wp:wrapNone/>
              <wp:docPr id="937" name="Textbox 937"/>
              <wp:cNvGraphicFramePr>
                <a:graphicFrameLocks/>
              </wp:cNvGraphicFramePr>
              <a:graphic>
                <a:graphicData uri="http://schemas.microsoft.com/office/word/2010/wordprocessingShape">
                  <wps:wsp>
                    <wps:cNvPr id="937" name="Textbox 937"/>
                    <wps:cNvSpPr txBox="1"/>
                    <wps:spPr>
                      <a:xfrm>
                        <a:off x="0" y="0"/>
                        <a:ext cx="2551430" cy="177800"/>
                      </a:xfrm>
                      <a:prstGeom prst="rect">
                        <a:avLst/>
                      </a:prstGeom>
                    </wps:spPr>
                    <wps:txbx>
                      <w:txbxContent>
                        <w:p>
                          <w:pPr>
                            <w:spacing w:before="45"/>
                            <w:ind w:left="20" w:right="0" w:firstLine="0"/>
                            <w:jc w:val="left"/>
                            <w:rPr>
                              <w:rFonts w:ascii="TT Norms Pro"/>
                              <w:b/>
                              <w:sz w:val="18"/>
                            </w:rPr>
                          </w:pPr>
                          <w:r>
                            <w:rPr>
                              <w:rFonts w:ascii="TT Norms Pro"/>
                              <w:sz w:val="18"/>
                            </w:rPr>
                            <w:t>The</w:t>
                          </w:r>
                          <w:r>
                            <w:rPr>
                              <w:rFonts w:ascii="TT Norms Pro"/>
                              <w:spacing w:val="-3"/>
                              <w:sz w:val="18"/>
                            </w:rPr>
                            <w:t> </w:t>
                          </w:r>
                          <w:r>
                            <w:rPr>
                              <w:rFonts w:ascii="TT Norms Pro"/>
                              <w:sz w:val="18"/>
                            </w:rPr>
                            <w:t>University</w:t>
                          </w:r>
                          <w:r>
                            <w:rPr>
                              <w:rFonts w:ascii="TT Norms Pro"/>
                              <w:spacing w:val="-6"/>
                              <w:sz w:val="18"/>
                            </w:rPr>
                            <w:t> </w:t>
                          </w:r>
                          <w:r>
                            <w:rPr>
                              <w:rFonts w:ascii="TT Norms Pro"/>
                              <w:sz w:val="18"/>
                            </w:rPr>
                            <w:t>of</w:t>
                          </w:r>
                          <w:r>
                            <w:rPr>
                              <w:rFonts w:ascii="TT Norms Pro"/>
                              <w:spacing w:val="-8"/>
                              <w:sz w:val="18"/>
                            </w:rPr>
                            <w:t> </w:t>
                          </w:r>
                          <w:r>
                            <w:rPr>
                              <w:rFonts w:ascii="TT Norms Pro"/>
                              <w:sz w:val="18"/>
                            </w:rPr>
                            <w:t>Western</w:t>
                          </w:r>
                          <w:r>
                            <w:rPr>
                              <w:rFonts w:ascii="TT Norms Pro"/>
                              <w:spacing w:val="-8"/>
                              <w:sz w:val="18"/>
                            </w:rPr>
                            <w:t> </w:t>
                          </w:r>
                          <w:r>
                            <w:rPr>
                              <w:rFonts w:ascii="TT Norms Pro"/>
                              <w:sz w:val="18"/>
                            </w:rPr>
                            <w:t>Australia</w:t>
                          </w:r>
                          <w:r>
                            <w:rPr>
                              <w:rFonts w:ascii="TT Norms Pro"/>
                              <w:spacing w:val="46"/>
                              <w:sz w:val="18"/>
                            </w:rPr>
                            <w:t> </w:t>
                          </w:r>
                          <w:r>
                            <w:rPr>
                              <w:rFonts w:ascii="TT Norms Pro Light"/>
                              <w:b w:val="0"/>
                              <w:sz w:val="18"/>
                            </w:rPr>
                            <w:t>|</w:t>
                          </w:r>
                          <w:r>
                            <w:rPr>
                              <w:rFonts w:ascii="TT Norms Pro Light"/>
                              <w:b w:val="0"/>
                              <w:spacing w:val="49"/>
                              <w:sz w:val="18"/>
                            </w:rPr>
                            <w:t> </w:t>
                          </w:r>
                          <w:r>
                            <w:rPr>
                              <w:rFonts w:ascii="TT Norms Pro"/>
                              <w:b/>
                              <w:spacing w:val="-2"/>
                              <w:sz w:val="18"/>
                            </w:rPr>
                            <w:t>uwa.edu.au</w:t>
                          </w:r>
                        </w:p>
                      </w:txbxContent>
                    </wps:txbx>
                    <wps:bodyPr wrap="square" lIns="0" tIns="0" rIns="0" bIns="0" rtlCol="0">
                      <a:noAutofit/>
                    </wps:bodyPr>
                  </wps:wsp>
                </a:graphicData>
              </a:graphic>
            </wp:anchor>
          </w:drawing>
        </mc:Choice>
        <mc:Fallback>
          <w:pict>
            <v:shape style="position:absolute;margin-left:55.3307pt;margin-top:23.487616pt;width:200.9pt;height:14pt;mso-position-horizontal-relative:page;mso-position-vertical-relative:page;z-index:-30722560" type="#_x0000_t202" id="docshape630" filled="false" stroked="false">
              <v:textbox inset="0,0,0,0">
                <w:txbxContent>
                  <w:p>
                    <w:pPr>
                      <w:spacing w:before="45"/>
                      <w:ind w:left="20" w:right="0" w:firstLine="0"/>
                      <w:jc w:val="left"/>
                      <w:rPr>
                        <w:rFonts w:ascii="TT Norms Pro"/>
                        <w:b/>
                        <w:sz w:val="18"/>
                      </w:rPr>
                    </w:pPr>
                    <w:r>
                      <w:rPr>
                        <w:rFonts w:ascii="TT Norms Pro"/>
                        <w:sz w:val="18"/>
                      </w:rPr>
                      <w:t>The</w:t>
                    </w:r>
                    <w:r>
                      <w:rPr>
                        <w:rFonts w:ascii="TT Norms Pro"/>
                        <w:spacing w:val="-3"/>
                        <w:sz w:val="18"/>
                      </w:rPr>
                      <w:t> </w:t>
                    </w:r>
                    <w:r>
                      <w:rPr>
                        <w:rFonts w:ascii="TT Norms Pro"/>
                        <w:sz w:val="18"/>
                      </w:rPr>
                      <w:t>University</w:t>
                    </w:r>
                    <w:r>
                      <w:rPr>
                        <w:rFonts w:ascii="TT Norms Pro"/>
                        <w:spacing w:val="-6"/>
                        <w:sz w:val="18"/>
                      </w:rPr>
                      <w:t> </w:t>
                    </w:r>
                    <w:r>
                      <w:rPr>
                        <w:rFonts w:ascii="TT Norms Pro"/>
                        <w:sz w:val="18"/>
                      </w:rPr>
                      <w:t>of</w:t>
                    </w:r>
                    <w:r>
                      <w:rPr>
                        <w:rFonts w:ascii="TT Norms Pro"/>
                        <w:spacing w:val="-8"/>
                        <w:sz w:val="18"/>
                      </w:rPr>
                      <w:t> </w:t>
                    </w:r>
                    <w:r>
                      <w:rPr>
                        <w:rFonts w:ascii="TT Norms Pro"/>
                        <w:sz w:val="18"/>
                      </w:rPr>
                      <w:t>Western</w:t>
                    </w:r>
                    <w:r>
                      <w:rPr>
                        <w:rFonts w:ascii="TT Norms Pro"/>
                        <w:spacing w:val="-8"/>
                        <w:sz w:val="18"/>
                      </w:rPr>
                      <w:t> </w:t>
                    </w:r>
                    <w:r>
                      <w:rPr>
                        <w:rFonts w:ascii="TT Norms Pro"/>
                        <w:sz w:val="18"/>
                      </w:rPr>
                      <w:t>Australia</w:t>
                    </w:r>
                    <w:r>
                      <w:rPr>
                        <w:rFonts w:ascii="TT Norms Pro"/>
                        <w:spacing w:val="46"/>
                        <w:sz w:val="18"/>
                      </w:rPr>
                      <w:t> </w:t>
                    </w:r>
                    <w:r>
                      <w:rPr>
                        <w:rFonts w:ascii="TT Norms Pro Light"/>
                        <w:b w:val="0"/>
                        <w:sz w:val="18"/>
                      </w:rPr>
                      <w:t>|</w:t>
                    </w:r>
                    <w:r>
                      <w:rPr>
                        <w:rFonts w:ascii="TT Norms Pro Light"/>
                        <w:b w:val="0"/>
                        <w:spacing w:val="49"/>
                        <w:sz w:val="18"/>
                      </w:rPr>
                      <w:t> </w:t>
                    </w:r>
                    <w:r>
                      <w:rPr>
                        <w:rFonts w:ascii="TT Norms Pro"/>
                        <w:b/>
                        <w:spacing w:val="-2"/>
                        <w:sz w:val="18"/>
                      </w:rPr>
                      <w:t>uwa.edu.au</w:t>
                    </w:r>
                  </w:p>
                </w:txbxContent>
              </v:textbox>
              <w10:wrap type="none"/>
            </v:shape>
          </w:pict>
        </mc:Fallback>
      </mc:AlternateContent>
    </w:r>
  </w:p>
</w:hdr>
</file>

<file path=word/header2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2594432">
              <wp:simplePos x="0" y="0"/>
              <wp:positionH relativeFrom="page">
                <wp:posOffset>232067</wp:posOffset>
              </wp:positionH>
              <wp:positionV relativeFrom="page">
                <wp:posOffset>284448</wp:posOffset>
              </wp:positionV>
              <wp:extent cx="255904" cy="194310"/>
              <wp:effectExtent l="0" t="0" r="0" b="0"/>
              <wp:wrapNone/>
              <wp:docPr id="950" name="Textbox 950"/>
              <wp:cNvGraphicFramePr>
                <a:graphicFrameLocks/>
              </wp:cNvGraphicFramePr>
              <a:graphic>
                <a:graphicData uri="http://schemas.microsoft.com/office/word/2010/wordprocessingShape">
                  <wps:wsp>
                    <wps:cNvPr id="950" name="Textbox 950"/>
                    <wps:cNvSpPr txBox="1"/>
                    <wps:spPr>
                      <a:xfrm>
                        <a:off x="0" y="0"/>
                        <a:ext cx="255904" cy="194310"/>
                      </a:xfrm>
                      <a:prstGeom prst="rect">
                        <a:avLst/>
                      </a:prstGeom>
                    </wps:spPr>
                    <wps:txbx>
                      <w:txbxContent>
                        <w:p>
                          <w:pPr>
                            <w:spacing w:before="48"/>
                            <w:ind w:left="20" w:right="0" w:firstLine="0"/>
                            <w:jc w:val="left"/>
                            <w:rPr>
                              <w:rFonts w:ascii="TT Norms Pro"/>
                              <w:b/>
                              <w:sz w:val="20"/>
                            </w:rPr>
                          </w:pPr>
                          <w:r>
                            <w:rPr>
                              <w:rFonts w:ascii="TT Norms Pro"/>
                              <w:b/>
                              <w:spacing w:val="-5"/>
                              <w:sz w:val="20"/>
                            </w:rPr>
                            <w:t>100</w:t>
                          </w:r>
                        </w:p>
                      </w:txbxContent>
                    </wps:txbx>
                    <wps:bodyPr wrap="square" lIns="0" tIns="0" rIns="0" bIns="0" rtlCol="0">
                      <a:noAutofit/>
                    </wps:bodyPr>
                  </wps:wsp>
                </a:graphicData>
              </a:graphic>
            </wp:anchor>
          </w:drawing>
        </mc:Choice>
        <mc:Fallback>
          <w:pict>
            <v:shape style="position:absolute;margin-left:18.273001pt;margin-top:22.397514pt;width:20.150pt;height:15.3pt;mso-position-horizontal-relative:page;mso-position-vertical-relative:page;z-index:-30722048" type="#_x0000_t202" id="docshape643" filled="false" stroked="false">
              <v:textbox inset="0,0,0,0">
                <w:txbxContent>
                  <w:p>
                    <w:pPr>
                      <w:spacing w:before="48"/>
                      <w:ind w:left="20" w:right="0" w:firstLine="0"/>
                      <w:jc w:val="left"/>
                      <w:rPr>
                        <w:rFonts w:ascii="TT Norms Pro"/>
                        <w:b/>
                        <w:sz w:val="20"/>
                      </w:rPr>
                    </w:pPr>
                    <w:r>
                      <w:rPr>
                        <w:rFonts w:ascii="TT Norms Pro"/>
                        <w:b/>
                        <w:spacing w:val="-5"/>
                        <w:sz w:val="20"/>
                      </w:rPr>
                      <w:t>100</w:t>
                    </w:r>
                  </w:p>
                </w:txbxContent>
              </v:textbox>
              <w10:wrap type="none"/>
            </v:shape>
          </w:pict>
        </mc:Fallback>
      </mc:AlternateContent>
    </w:r>
    <w:r>
      <w:rPr/>
      <mc:AlternateContent>
        <mc:Choice Requires="wps">
          <w:drawing>
            <wp:anchor distT="0" distB="0" distL="0" distR="0" allowOverlap="1" layoutInCell="1" locked="0" behindDoc="1" simplePos="0" relativeHeight="472594944">
              <wp:simplePos x="0" y="0"/>
              <wp:positionH relativeFrom="page">
                <wp:posOffset>702699</wp:posOffset>
              </wp:positionH>
              <wp:positionV relativeFrom="page">
                <wp:posOffset>298292</wp:posOffset>
              </wp:positionV>
              <wp:extent cx="2551430" cy="177800"/>
              <wp:effectExtent l="0" t="0" r="0" b="0"/>
              <wp:wrapNone/>
              <wp:docPr id="951" name="Textbox 951"/>
              <wp:cNvGraphicFramePr>
                <a:graphicFrameLocks/>
              </wp:cNvGraphicFramePr>
              <a:graphic>
                <a:graphicData uri="http://schemas.microsoft.com/office/word/2010/wordprocessingShape">
                  <wps:wsp>
                    <wps:cNvPr id="951" name="Textbox 951"/>
                    <wps:cNvSpPr txBox="1"/>
                    <wps:spPr>
                      <a:xfrm>
                        <a:off x="0" y="0"/>
                        <a:ext cx="2551430" cy="177800"/>
                      </a:xfrm>
                      <a:prstGeom prst="rect">
                        <a:avLst/>
                      </a:prstGeom>
                    </wps:spPr>
                    <wps:txbx>
                      <w:txbxContent>
                        <w:p>
                          <w:pPr>
                            <w:spacing w:before="45"/>
                            <w:ind w:left="20" w:right="0" w:firstLine="0"/>
                            <w:jc w:val="left"/>
                            <w:rPr>
                              <w:rFonts w:ascii="TT Norms Pro"/>
                              <w:b/>
                              <w:sz w:val="18"/>
                            </w:rPr>
                          </w:pPr>
                          <w:r>
                            <w:rPr>
                              <w:rFonts w:ascii="TT Norms Pro"/>
                              <w:sz w:val="18"/>
                            </w:rPr>
                            <w:t>The</w:t>
                          </w:r>
                          <w:r>
                            <w:rPr>
                              <w:rFonts w:ascii="TT Norms Pro"/>
                              <w:spacing w:val="-3"/>
                              <w:sz w:val="18"/>
                            </w:rPr>
                            <w:t> </w:t>
                          </w:r>
                          <w:r>
                            <w:rPr>
                              <w:rFonts w:ascii="TT Norms Pro"/>
                              <w:sz w:val="18"/>
                            </w:rPr>
                            <w:t>University</w:t>
                          </w:r>
                          <w:r>
                            <w:rPr>
                              <w:rFonts w:ascii="TT Norms Pro"/>
                              <w:spacing w:val="-6"/>
                              <w:sz w:val="18"/>
                            </w:rPr>
                            <w:t> </w:t>
                          </w:r>
                          <w:r>
                            <w:rPr>
                              <w:rFonts w:ascii="TT Norms Pro"/>
                              <w:sz w:val="18"/>
                            </w:rPr>
                            <w:t>of</w:t>
                          </w:r>
                          <w:r>
                            <w:rPr>
                              <w:rFonts w:ascii="TT Norms Pro"/>
                              <w:spacing w:val="-8"/>
                              <w:sz w:val="18"/>
                            </w:rPr>
                            <w:t> </w:t>
                          </w:r>
                          <w:r>
                            <w:rPr>
                              <w:rFonts w:ascii="TT Norms Pro"/>
                              <w:sz w:val="18"/>
                            </w:rPr>
                            <w:t>Western</w:t>
                          </w:r>
                          <w:r>
                            <w:rPr>
                              <w:rFonts w:ascii="TT Norms Pro"/>
                              <w:spacing w:val="-8"/>
                              <w:sz w:val="18"/>
                            </w:rPr>
                            <w:t> </w:t>
                          </w:r>
                          <w:r>
                            <w:rPr>
                              <w:rFonts w:ascii="TT Norms Pro"/>
                              <w:sz w:val="18"/>
                            </w:rPr>
                            <w:t>Australia</w:t>
                          </w:r>
                          <w:r>
                            <w:rPr>
                              <w:rFonts w:ascii="TT Norms Pro"/>
                              <w:spacing w:val="46"/>
                              <w:sz w:val="18"/>
                            </w:rPr>
                            <w:t> </w:t>
                          </w:r>
                          <w:r>
                            <w:rPr>
                              <w:rFonts w:ascii="TT Norms Pro Light"/>
                              <w:b w:val="0"/>
                              <w:sz w:val="18"/>
                            </w:rPr>
                            <w:t>|</w:t>
                          </w:r>
                          <w:r>
                            <w:rPr>
                              <w:rFonts w:ascii="TT Norms Pro Light"/>
                              <w:b w:val="0"/>
                              <w:spacing w:val="49"/>
                              <w:sz w:val="18"/>
                            </w:rPr>
                            <w:t> </w:t>
                          </w:r>
                          <w:r>
                            <w:rPr>
                              <w:rFonts w:ascii="TT Norms Pro"/>
                              <w:b/>
                              <w:spacing w:val="-2"/>
                              <w:sz w:val="18"/>
                            </w:rPr>
                            <w:t>uwa.edu.au</w:t>
                          </w:r>
                        </w:p>
                      </w:txbxContent>
                    </wps:txbx>
                    <wps:bodyPr wrap="square" lIns="0" tIns="0" rIns="0" bIns="0" rtlCol="0">
                      <a:noAutofit/>
                    </wps:bodyPr>
                  </wps:wsp>
                </a:graphicData>
              </a:graphic>
            </wp:anchor>
          </w:drawing>
        </mc:Choice>
        <mc:Fallback>
          <w:pict>
            <v:shape style="position:absolute;margin-left:55.3307pt;margin-top:23.487616pt;width:200.9pt;height:14pt;mso-position-horizontal-relative:page;mso-position-vertical-relative:page;z-index:-30721536" type="#_x0000_t202" id="docshape644" filled="false" stroked="false">
              <v:textbox inset="0,0,0,0">
                <w:txbxContent>
                  <w:p>
                    <w:pPr>
                      <w:spacing w:before="45"/>
                      <w:ind w:left="20" w:right="0" w:firstLine="0"/>
                      <w:jc w:val="left"/>
                      <w:rPr>
                        <w:rFonts w:ascii="TT Norms Pro"/>
                        <w:b/>
                        <w:sz w:val="18"/>
                      </w:rPr>
                    </w:pPr>
                    <w:r>
                      <w:rPr>
                        <w:rFonts w:ascii="TT Norms Pro"/>
                        <w:sz w:val="18"/>
                      </w:rPr>
                      <w:t>The</w:t>
                    </w:r>
                    <w:r>
                      <w:rPr>
                        <w:rFonts w:ascii="TT Norms Pro"/>
                        <w:spacing w:val="-3"/>
                        <w:sz w:val="18"/>
                      </w:rPr>
                      <w:t> </w:t>
                    </w:r>
                    <w:r>
                      <w:rPr>
                        <w:rFonts w:ascii="TT Norms Pro"/>
                        <w:sz w:val="18"/>
                      </w:rPr>
                      <w:t>University</w:t>
                    </w:r>
                    <w:r>
                      <w:rPr>
                        <w:rFonts w:ascii="TT Norms Pro"/>
                        <w:spacing w:val="-6"/>
                        <w:sz w:val="18"/>
                      </w:rPr>
                      <w:t> </w:t>
                    </w:r>
                    <w:r>
                      <w:rPr>
                        <w:rFonts w:ascii="TT Norms Pro"/>
                        <w:sz w:val="18"/>
                      </w:rPr>
                      <w:t>of</w:t>
                    </w:r>
                    <w:r>
                      <w:rPr>
                        <w:rFonts w:ascii="TT Norms Pro"/>
                        <w:spacing w:val="-8"/>
                        <w:sz w:val="18"/>
                      </w:rPr>
                      <w:t> </w:t>
                    </w:r>
                    <w:r>
                      <w:rPr>
                        <w:rFonts w:ascii="TT Norms Pro"/>
                        <w:sz w:val="18"/>
                      </w:rPr>
                      <w:t>Western</w:t>
                    </w:r>
                    <w:r>
                      <w:rPr>
                        <w:rFonts w:ascii="TT Norms Pro"/>
                        <w:spacing w:val="-8"/>
                        <w:sz w:val="18"/>
                      </w:rPr>
                      <w:t> </w:t>
                    </w:r>
                    <w:r>
                      <w:rPr>
                        <w:rFonts w:ascii="TT Norms Pro"/>
                        <w:sz w:val="18"/>
                      </w:rPr>
                      <w:t>Australia</w:t>
                    </w:r>
                    <w:r>
                      <w:rPr>
                        <w:rFonts w:ascii="TT Norms Pro"/>
                        <w:spacing w:val="46"/>
                        <w:sz w:val="18"/>
                      </w:rPr>
                      <w:t> </w:t>
                    </w:r>
                    <w:r>
                      <w:rPr>
                        <w:rFonts w:ascii="TT Norms Pro Light"/>
                        <w:b w:val="0"/>
                        <w:sz w:val="18"/>
                      </w:rPr>
                      <w:t>|</w:t>
                    </w:r>
                    <w:r>
                      <w:rPr>
                        <w:rFonts w:ascii="TT Norms Pro Light"/>
                        <w:b w:val="0"/>
                        <w:spacing w:val="49"/>
                        <w:sz w:val="18"/>
                      </w:rPr>
                      <w:t> </w:t>
                    </w:r>
                    <w:r>
                      <w:rPr>
                        <w:rFonts w:ascii="TT Norms Pro"/>
                        <w:b/>
                        <w:spacing w:val="-2"/>
                        <w:sz w:val="18"/>
                      </w:rPr>
                      <w:t>uwa.edu.au</w:t>
                    </w:r>
                  </w:p>
                </w:txbxContent>
              </v:textbox>
              <w10:wrap type="none"/>
            </v:shape>
          </w:pict>
        </mc:Fallback>
      </mc:AlternateContent>
    </w:r>
  </w:p>
</w:hdr>
</file>

<file path=word/header2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2595456">
              <wp:simplePos x="0" y="0"/>
              <wp:positionH relativeFrom="page">
                <wp:posOffset>7067126</wp:posOffset>
              </wp:positionH>
              <wp:positionV relativeFrom="page">
                <wp:posOffset>284448</wp:posOffset>
              </wp:positionV>
              <wp:extent cx="278765" cy="194310"/>
              <wp:effectExtent l="0" t="0" r="0" b="0"/>
              <wp:wrapNone/>
              <wp:docPr id="952" name="Textbox 952"/>
              <wp:cNvGraphicFramePr>
                <a:graphicFrameLocks/>
              </wp:cNvGraphicFramePr>
              <a:graphic>
                <a:graphicData uri="http://schemas.microsoft.com/office/word/2010/wordprocessingShape">
                  <wps:wsp>
                    <wps:cNvPr id="952" name="Textbox 952"/>
                    <wps:cNvSpPr txBox="1"/>
                    <wps:spPr>
                      <a:xfrm>
                        <a:off x="0" y="0"/>
                        <a:ext cx="278765" cy="194310"/>
                      </a:xfrm>
                      <a:prstGeom prst="rect">
                        <a:avLst/>
                      </a:prstGeom>
                    </wps:spPr>
                    <wps:txbx>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101</w:t>
                          </w:r>
                          <w:r>
                            <w:rPr>
                              <w:rFonts w:ascii="TT Norms Pro"/>
                              <w:b/>
                              <w:spacing w:val="-5"/>
                              <w:sz w:val="20"/>
                            </w:rPr>
                            <w:fldChar w:fldCharType="end"/>
                          </w:r>
                        </w:p>
                      </w:txbxContent>
                    </wps:txbx>
                    <wps:bodyPr wrap="square" lIns="0" tIns="0" rIns="0" bIns="0" rtlCol="0">
                      <a:noAutofit/>
                    </wps:bodyPr>
                  </wps:wsp>
                </a:graphicData>
              </a:graphic>
            </wp:anchor>
          </w:drawing>
        </mc:Choice>
        <mc:Fallback>
          <w:pict>
            <v:shape style="position:absolute;margin-left:556.466675pt;margin-top:22.397514pt;width:21.95pt;height:15.3pt;mso-position-horizontal-relative:page;mso-position-vertical-relative:page;z-index:-30721024" type="#_x0000_t202" id="docshape645" filled="false" stroked="false">
              <v:textbox inset="0,0,0,0">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101</w:t>
                    </w:r>
                    <w:r>
                      <w:rPr>
                        <w:rFonts w:ascii="TT Norms Pro"/>
                        <w:b/>
                        <w:spacing w:val="-5"/>
                        <w:sz w:val="20"/>
                      </w:rPr>
                      <w:fldChar w:fldCharType="end"/>
                    </w:r>
                  </w:p>
                </w:txbxContent>
              </v:textbox>
              <w10:wrap type="none"/>
            </v:shape>
          </w:pict>
        </mc:Fallback>
      </mc:AlternateContent>
    </w:r>
  </w:p>
</w:hdr>
</file>

<file path=word/header2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2595968">
              <wp:simplePos x="0" y="0"/>
              <wp:positionH relativeFrom="page">
                <wp:posOffset>215258</wp:posOffset>
              </wp:positionH>
              <wp:positionV relativeFrom="page">
                <wp:posOffset>284448</wp:posOffset>
              </wp:positionV>
              <wp:extent cx="302895" cy="194310"/>
              <wp:effectExtent l="0" t="0" r="0" b="0"/>
              <wp:wrapNone/>
              <wp:docPr id="954" name="Textbox 954"/>
              <wp:cNvGraphicFramePr>
                <a:graphicFrameLocks/>
              </wp:cNvGraphicFramePr>
              <a:graphic>
                <a:graphicData uri="http://schemas.microsoft.com/office/word/2010/wordprocessingShape">
                  <wps:wsp>
                    <wps:cNvPr id="954" name="Textbox 954"/>
                    <wps:cNvSpPr txBox="1"/>
                    <wps:spPr>
                      <a:xfrm>
                        <a:off x="0" y="0"/>
                        <a:ext cx="302895" cy="194310"/>
                      </a:xfrm>
                      <a:prstGeom prst="rect">
                        <a:avLst/>
                      </a:prstGeom>
                    </wps:spPr>
                    <wps:txbx>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102</w:t>
                          </w:r>
                          <w:r>
                            <w:rPr>
                              <w:rFonts w:ascii="TT Norms Pro"/>
                              <w:b/>
                              <w:spacing w:val="-5"/>
                              <w:sz w:val="20"/>
                            </w:rPr>
                            <w:fldChar w:fldCharType="end"/>
                          </w:r>
                        </w:p>
                      </w:txbxContent>
                    </wps:txbx>
                    <wps:bodyPr wrap="square" lIns="0" tIns="0" rIns="0" bIns="0" rtlCol="0">
                      <a:noAutofit/>
                    </wps:bodyPr>
                  </wps:wsp>
                </a:graphicData>
              </a:graphic>
            </wp:anchor>
          </w:drawing>
        </mc:Choice>
        <mc:Fallback>
          <w:pict>
            <v:shape style="position:absolute;margin-left:16.949499pt;margin-top:22.397514pt;width:23.85pt;height:15.3pt;mso-position-horizontal-relative:page;mso-position-vertical-relative:page;z-index:-30720512" type="#_x0000_t202" id="docshape647" filled="false" stroked="false">
              <v:textbox inset="0,0,0,0">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102</w:t>
                    </w:r>
                    <w:r>
                      <w:rPr>
                        <w:rFonts w:ascii="TT Norms Pro"/>
                        <w:b/>
                        <w:spacing w:val="-5"/>
                        <w:sz w:val="20"/>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72596480">
              <wp:simplePos x="0" y="0"/>
              <wp:positionH relativeFrom="page">
                <wp:posOffset>702699</wp:posOffset>
              </wp:positionH>
              <wp:positionV relativeFrom="page">
                <wp:posOffset>298292</wp:posOffset>
              </wp:positionV>
              <wp:extent cx="2551430" cy="177800"/>
              <wp:effectExtent l="0" t="0" r="0" b="0"/>
              <wp:wrapNone/>
              <wp:docPr id="955" name="Textbox 955"/>
              <wp:cNvGraphicFramePr>
                <a:graphicFrameLocks/>
              </wp:cNvGraphicFramePr>
              <a:graphic>
                <a:graphicData uri="http://schemas.microsoft.com/office/word/2010/wordprocessingShape">
                  <wps:wsp>
                    <wps:cNvPr id="955" name="Textbox 955"/>
                    <wps:cNvSpPr txBox="1"/>
                    <wps:spPr>
                      <a:xfrm>
                        <a:off x="0" y="0"/>
                        <a:ext cx="2551430" cy="177800"/>
                      </a:xfrm>
                      <a:prstGeom prst="rect">
                        <a:avLst/>
                      </a:prstGeom>
                    </wps:spPr>
                    <wps:txbx>
                      <w:txbxContent>
                        <w:p>
                          <w:pPr>
                            <w:spacing w:before="45"/>
                            <w:ind w:left="20" w:right="0" w:firstLine="0"/>
                            <w:jc w:val="left"/>
                            <w:rPr>
                              <w:rFonts w:ascii="TT Norms Pro"/>
                              <w:b/>
                              <w:sz w:val="18"/>
                            </w:rPr>
                          </w:pPr>
                          <w:r>
                            <w:rPr>
                              <w:rFonts w:ascii="TT Norms Pro"/>
                              <w:sz w:val="18"/>
                            </w:rPr>
                            <w:t>The</w:t>
                          </w:r>
                          <w:r>
                            <w:rPr>
                              <w:rFonts w:ascii="TT Norms Pro"/>
                              <w:spacing w:val="-3"/>
                              <w:sz w:val="18"/>
                            </w:rPr>
                            <w:t> </w:t>
                          </w:r>
                          <w:r>
                            <w:rPr>
                              <w:rFonts w:ascii="TT Norms Pro"/>
                              <w:sz w:val="18"/>
                            </w:rPr>
                            <w:t>University</w:t>
                          </w:r>
                          <w:r>
                            <w:rPr>
                              <w:rFonts w:ascii="TT Norms Pro"/>
                              <w:spacing w:val="-6"/>
                              <w:sz w:val="18"/>
                            </w:rPr>
                            <w:t> </w:t>
                          </w:r>
                          <w:r>
                            <w:rPr>
                              <w:rFonts w:ascii="TT Norms Pro"/>
                              <w:sz w:val="18"/>
                            </w:rPr>
                            <w:t>of</w:t>
                          </w:r>
                          <w:r>
                            <w:rPr>
                              <w:rFonts w:ascii="TT Norms Pro"/>
                              <w:spacing w:val="-8"/>
                              <w:sz w:val="18"/>
                            </w:rPr>
                            <w:t> </w:t>
                          </w:r>
                          <w:r>
                            <w:rPr>
                              <w:rFonts w:ascii="TT Norms Pro"/>
                              <w:sz w:val="18"/>
                            </w:rPr>
                            <w:t>Western</w:t>
                          </w:r>
                          <w:r>
                            <w:rPr>
                              <w:rFonts w:ascii="TT Norms Pro"/>
                              <w:spacing w:val="-8"/>
                              <w:sz w:val="18"/>
                            </w:rPr>
                            <w:t> </w:t>
                          </w:r>
                          <w:r>
                            <w:rPr>
                              <w:rFonts w:ascii="TT Norms Pro"/>
                              <w:sz w:val="18"/>
                            </w:rPr>
                            <w:t>Australia</w:t>
                          </w:r>
                          <w:r>
                            <w:rPr>
                              <w:rFonts w:ascii="TT Norms Pro"/>
                              <w:spacing w:val="46"/>
                              <w:sz w:val="18"/>
                            </w:rPr>
                            <w:t> </w:t>
                          </w:r>
                          <w:r>
                            <w:rPr>
                              <w:rFonts w:ascii="TT Norms Pro Light"/>
                              <w:b w:val="0"/>
                              <w:sz w:val="18"/>
                            </w:rPr>
                            <w:t>|</w:t>
                          </w:r>
                          <w:r>
                            <w:rPr>
                              <w:rFonts w:ascii="TT Norms Pro Light"/>
                              <w:b w:val="0"/>
                              <w:spacing w:val="49"/>
                              <w:sz w:val="18"/>
                            </w:rPr>
                            <w:t> </w:t>
                          </w:r>
                          <w:r>
                            <w:rPr>
                              <w:rFonts w:ascii="TT Norms Pro"/>
                              <w:b/>
                              <w:spacing w:val="-2"/>
                              <w:sz w:val="18"/>
                            </w:rPr>
                            <w:t>uwa.edu.au</w:t>
                          </w:r>
                        </w:p>
                      </w:txbxContent>
                    </wps:txbx>
                    <wps:bodyPr wrap="square" lIns="0" tIns="0" rIns="0" bIns="0" rtlCol="0">
                      <a:noAutofit/>
                    </wps:bodyPr>
                  </wps:wsp>
                </a:graphicData>
              </a:graphic>
            </wp:anchor>
          </w:drawing>
        </mc:Choice>
        <mc:Fallback>
          <w:pict>
            <v:shape style="position:absolute;margin-left:55.3307pt;margin-top:23.487616pt;width:200.9pt;height:14pt;mso-position-horizontal-relative:page;mso-position-vertical-relative:page;z-index:-30720000" type="#_x0000_t202" id="docshape648" filled="false" stroked="false">
              <v:textbox inset="0,0,0,0">
                <w:txbxContent>
                  <w:p>
                    <w:pPr>
                      <w:spacing w:before="45"/>
                      <w:ind w:left="20" w:right="0" w:firstLine="0"/>
                      <w:jc w:val="left"/>
                      <w:rPr>
                        <w:rFonts w:ascii="TT Norms Pro"/>
                        <w:b/>
                        <w:sz w:val="18"/>
                      </w:rPr>
                    </w:pPr>
                    <w:r>
                      <w:rPr>
                        <w:rFonts w:ascii="TT Norms Pro"/>
                        <w:sz w:val="18"/>
                      </w:rPr>
                      <w:t>The</w:t>
                    </w:r>
                    <w:r>
                      <w:rPr>
                        <w:rFonts w:ascii="TT Norms Pro"/>
                        <w:spacing w:val="-3"/>
                        <w:sz w:val="18"/>
                      </w:rPr>
                      <w:t> </w:t>
                    </w:r>
                    <w:r>
                      <w:rPr>
                        <w:rFonts w:ascii="TT Norms Pro"/>
                        <w:sz w:val="18"/>
                      </w:rPr>
                      <w:t>University</w:t>
                    </w:r>
                    <w:r>
                      <w:rPr>
                        <w:rFonts w:ascii="TT Norms Pro"/>
                        <w:spacing w:val="-6"/>
                        <w:sz w:val="18"/>
                      </w:rPr>
                      <w:t> </w:t>
                    </w:r>
                    <w:r>
                      <w:rPr>
                        <w:rFonts w:ascii="TT Norms Pro"/>
                        <w:sz w:val="18"/>
                      </w:rPr>
                      <w:t>of</w:t>
                    </w:r>
                    <w:r>
                      <w:rPr>
                        <w:rFonts w:ascii="TT Norms Pro"/>
                        <w:spacing w:val="-8"/>
                        <w:sz w:val="18"/>
                      </w:rPr>
                      <w:t> </w:t>
                    </w:r>
                    <w:r>
                      <w:rPr>
                        <w:rFonts w:ascii="TT Norms Pro"/>
                        <w:sz w:val="18"/>
                      </w:rPr>
                      <w:t>Western</w:t>
                    </w:r>
                    <w:r>
                      <w:rPr>
                        <w:rFonts w:ascii="TT Norms Pro"/>
                        <w:spacing w:val="-8"/>
                        <w:sz w:val="18"/>
                      </w:rPr>
                      <w:t> </w:t>
                    </w:r>
                    <w:r>
                      <w:rPr>
                        <w:rFonts w:ascii="TT Norms Pro"/>
                        <w:sz w:val="18"/>
                      </w:rPr>
                      <w:t>Australia</w:t>
                    </w:r>
                    <w:r>
                      <w:rPr>
                        <w:rFonts w:ascii="TT Norms Pro"/>
                        <w:spacing w:val="46"/>
                        <w:sz w:val="18"/>
                      </w:rPr>
                      <w:t> </w:t>
                    </w:r>
                    <w:r>
                      <w:rPr>
                        <w:rFonts w:ascii="TT Norms Pro Light"/>
                        <w:b w:val="0"/>
                        <w:sz w:val="18"/>
                      </w:rPr>
                      <w:t>|</w:t>
                    </w:r>
                    <w:r>
                      <w:rPr>
                        <w:rFonts w:ascii="TT Norms Pro Light"/>
                        <w:b w:val="0"/>
                        <w:spacing w:val="49"/>
                        <w:sz w:val="18"/>
                      </w:rPr>
                      <w:t> </w:t>
                    </w:r>
                    <w:r>
                      <w:rPr>
                        <w:rFonts w:ascii="TT Norms Pro"/>
                        <w:b/>
                        <w:spacing w:val="-2"/>
                        <w:sz w:val="18"/>
                      </w:rPr>
                      <w:t>uwa.edu.au</w:t>
                    </w:r>
                  </w:p>
                </w:txbxContent>
              </v:textbox>
              <w10:wrap type="none"/>
            </v:shape>
          </w:pict>
        </mc:Fallback>
      </mc:AlternateContent>
    </w:r>
  </w:p>
</w:hdr>
</file>

<file path=word/header2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2596992">
              <wp:simplePos x="0" y="0"/>
              <wp:positionH relativeFrom="page">
                <wp:posOffset>7055735</wp:posOffset>
              </wp:positionH>
              <wp:positionV relativeFrom="page">
                <wp:posOffset>284448</wp:posOffset>
              </wp:positionV>
              <wp:extent cx="300990" cy="194310"/>
              <wp:effectExtent l="0" t="0" r="0" b="0"/>
              <wp:wrapNone/>
              <wp:docPr id="956" name="Textbox 956"/>
              <wp:cNvGraphicFramePr>
                <a:graphicFrameLocks/>
              </wp:cNvGraphicFramePr>
              <a:graphic>
                <a:graphicData uri="http://schemas.microsoft.com/office/word/2010/wordprocessingShape">
                  <wps:wsp>
                    <wps:cNvPr id="956" name="Textbox 956"/>
                    <wps:cNvSpPr txBox="1"/>
                    <wps:spPr>
                      <a:xfrm>
                        <a:off x="0" y="0"/>
                        <a:ext cx="300990" cy="194310"/>
                      </a:xfrm>
                      <a:prstGeom prst="rect">
                        <a:avLst/>
                      </a:prstGeom>
                    </wps:spPr>
                    <wps:txbx>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103</w:t>
                          </w:r>
                          <w:r>
                            <w:rPr>
                              <w:rFonts w:ascii="TT Norms Pro"/>
                              <w:b/>
                              <w:spacing w:val="-5"/>
                              <w:sz w:val="20"/>
                            </w:rPr>
                            <w:fldChar w:fldCharType="end"/>
                          </w:r>
                        </w:p>
                      </w:txbxContent>
                    </wps:txbx>
                    <wps:bodyPr wrap="square" lIns="0" tIns="0" rIns="0" bIns="0" rtlCol="0">
                      <a:noAutofit/>
                    </wps:bodyPr>
                  </wps:wsp>
                </a:graphicData>
              </a:graphic>
            </wp:anchor>
          </w:drawing>
        </mc:Choice>
        <mc:Fallback>
          <w:pict>
            <v:shape style="position:absolute;margin-left:555.569702pt;margin-top:22.397514pt;width:23.7pt;height:15.3pt;mso-position-horizontal-relative:page;mso-position-vertical-relative:page;z-index:-30719488" type="#_x0000_t202" id="docshape649" filled="false" stroked="false">
              <v:textbox inset="0,0,0,0">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103</w:t>
                    </w:r>
                    <w:r>
                      <w:rPr>
                        <w:rFonts w:ascii="TT Norms Pro"/>
                        <w:b/>
                        <w:spacing w:val="-5"/>
                        <w:sz w:val="20"/>
                      </w:rPr>
                      <w:fldChar w:fldCharType="end"/>
                    </w:r>
                  </w:p>
                </w:txbxContent>
              </v:textbox>
              <w10:wrap type="none"/>
            </v:shape>
          </w:pict>
        </mc:Fallback>
      </mc:AlternateContent>
    </w:r>
  </w:p>
</w:hdr>
</file>

<file path=word/header2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2597504">
              <wp:simplePos x="0" y="0"/>
              <wp:positionH relativeFrom="page">
                <wp:posOffset>252266</wp:posOffset>
              </wp:positionH>
              <wp:positionV relativeFrom="page">
                <wp:posOffset>284448</wp:posOffset>
              </wp:positionV>
              <wp:extent cx="215900" cy="194310"/>
              <wp:effectExtent l="0" t="0" r="0" b="0"/>
              <wp:wrapNone/>
              <wp:docPr id="981" name="Textbox 981"/>
              <wp:cNvGraphicFramePr>
                <a:graphicFrameLocks/>
              </wp:cNvGraphicFramePr>
              <a:graphic>
                <a:graphicData uri="http://schemas.microsoft.com/office/word/2010/wordprocessingShape">
                  <wps:wsp>
                    <wps:cNvPr id="981" name="Textbox 981"/>
                    <wps:cNvSpPr txBox="1"/>
                    <wps:spPr>
                      <a:xfrm>
                        <a:off x="0" y="0"/>
                        <a:ext cx="215900" cy="194310"/>
                      </a:xfrm>
                      <a:prstGeom prst="rect">
                        <a:avLst/>
                      </a:prstGeom>
                    </wps:spPr>
                    <wps:txbx>
                      <w:txbxContent>
                        <w:p>
                          <w:pPr>
                            <w:spacing w:before="48"/>
                            <w:ind w:left="20" w:right="0" w:firstLine="0"/>
                            <w:jc w:val="left"/>
                            <w:rPr>
                              <w:rFonts w:ascii="TT Norms Pro"/>
                              <w:b/>
                              <w:sz w:val="20"/>
                            </w:rPr>
                          </w:pPr>
                          <w:r>
                            <w:rPr>
                              <w:rFonts w:ascii="TT Norms Pro"/>
                              <w:b/>
                              <w:spacing w:val="-5"/>
                              <w:sz w:val="20"/>
                            </w:rPr>
                            <w:t>110</w:t>
                          </w:r>
                        </w:p>
                      </w:txbxContent>
                    </wps:txbx>
                    <wps:bodyPr wrap="square" lIns="0" tIns="0" rIns="0" bIns="0" rtlCol="0">
                      <a:noAutofit/>
                    </wps:bodyPr>
                  </wps:wsp>
                </a:graphicData>
              </a:graphic>
            </wp:anchor>
          </w:drawing>
        </mc:Choice>
        <mc:Fallback>
          <w:pict>
            <v:shape style="position:absolute;margin-left:19.863501pt;margin-top:22.397514pt;width:17pt;height:15.3pt;mso-position-horizontal-relative:page;mso-position-vertical-relative:page;z-index:-30718976" type="#_x0000_t202" id="docshape669" filled="false" stroked="false">
              <v:textbox inset="0,0,0,0">
                <w:txbxContent>
                  <w:p>
                    <w:pPr>
                      <w:spacing w:before="48"/>
                      <w:ind w:left="20" w:right="0" w:firstLine="0"/>
                      <w:jc w:val="left"/>
                      <w:rPr>
                        <w:rFonts w:ascii="TT Norms Pro"/>
                        <w:b/>
                        <w:sz w:val="20"/>
                      </w:rPr>
                    </w:pPr>
                    <w:r>
                      <w:rPr>
                        <w:rFonts w:ascii="TT Norms Pro"/>
                        <w:b/>
                        <w:spacing w:val="-5"/>
                        <w:sz w:val="20"/>
                      </w:rPr>
                      <w:t>110</w:t>
                    </w:r>
                  </w:p>
                </w:txbxContent>
              </v:textbox>
              <w10:wrap type="none"/>
            </v:shape>
          </w:pict>
        </mc:Fallback>
      </mc:AlternateContent>
    </w:r>
    <w:r>
      <w:rPr/>
      <mc:AlternateContent>
        <mc:Choice Requires="wps">
          <w:drawing>
            <wp:anchor distT="0" distB="0" distL="0" distR="0" allowOverlap="1" layoutInCell="1" locked="0" behindDoc="1" simplePos="0" relativeHeight="472598016">
              <wp:simplePos x="0" y="0"/>
              <wp:positionH relativeFrom="page">
                <wp:posOffset>702699</wp:posOffset>
              </wp:positionH>
              <wp:positionV relativeFrom="page">
                <wp:posOffset>298292</wp:posOffset>
              </wp:positionV>
              <wp:extent cx="2551430" cy="177800"/>
              <wp:effectExtent l="0" t="0" r="0" b="0"/>
              <wp:wrapNone/>
              <wp:docPr id="982" name="Textbox 982"/>
              <wp:cNvGraphicFramePr>
                <a:graphicFrameLocks/>
              </wp:cNvGraphicFramePr>
              <a:graphic>
                <a:graphicData uri="http://schemas.microsoft.com/office/word/2010/wordprocessingShape">
                  <wps:wsp>
                    <wps:cNvPr id="982" name="Textbox 982"/>
                    <wps:cNvSpPr txBox="1"/>
                    <wps:spPr>
                      <a:xfrm>
                        <a:off x="0" y="0"/>
                        <a:ext cx="2551430" cy="177800"/>
                      </a:xfrm>
                      <a:prstGeom prst="rect">
                        <a:avLst/>
                      </a:prstGeom>
                    </wps:spPr>
                    <wps:txbx>
                      <w:txbxContent>
                        <w:p>
                          <w:pPr>
                            <w:spacing w:before="45"/>
                            <w:ind w:left="20" w:right="0" w:firstLine="0"/>
                            <w:jc w:val="left"/>
                            <w:rPr>
                              <w:rFonts w:ascii="TT Norms Pro"/>
                              <w:b/>
                              <w:sz w:val="18"/>
                            </w:rPr>
                          </w:pPr>
                          <w:r>
                            <w:rPr>
                              <w:rFonts w:ascii="TT Norms Pro"/>
                              <w:sz w:val="18"/>
                            </w:rPr>
                            <w:t>The</w:t>
                          </w:r>
                          <w:r>
                            <w:rPr>
                              <w:rFonts w:ascii="TT Norms Pro"/>
                              <w:spacing w:val="-3"/>
                              <w:sz w:val="18"/>
                            </w:rPr>
                            <w:t> </w:t>
                          </w:r>
                          <w:r>
                            <w:rPr>
                              <w:rFonts w:ascii="TT Norms Pro"/>
                              <w:sz w:val="18"/>
                            </w:rPr>
                            <w:t>University</w:t>
                          </w:r>
                          <w:r>
                            <w:rPr>
                              <w:rFonts w:ascii="TT Norms Pro"/>
                              <w:spacing w:val="-6"/>
                              <w:sz w:val="18"/>
                            </w:rPr>
                            <w:t> </w:t>
                          </w:r>
                          <w:r>
                            <w:rPr>
                              <w:rFonts w:ascii="TT Norms Pro"/>
                              <w:sz w:val="18"/>
                            </w:rPr>
                            <w:t>of</w:t>
                          </w:r>
                          <w:r>
                            <w:rPr>
                              <w:rFonts w:ascii="TT Norms Pro"/>
                              <w:spacing w:val="-8"/>
                              <w:sz w:val="18"/>
                            </w:rPr>
                            <w:t> </w:t>
                          </w:r>
                          <w:r>
                            <w:rPr>
                              <w:rFonts w:ascii="TT Norms Pro"/>
                              <w:sz w:val="18"/>
                            </w:rPr>
                            <w:t>Western</w:t>
                          </w:r>
                          <w:r>
                            <w:rPr>
                              <w:rFonts w:ascii="TT Norms Pro"/>
                              <w:spacing w:val="-8"/>
                              <w:sz w:val="18"/>
                            </w:rPr>
                            <w:t> </w:t>
                          </w:r>
                          <w:r>
                            <w:rPr>
                              <w:rFonts w:ascii="TT Norms Pro"/>
                              <w:sz w:val="18"/>
                            </w:rPr>
                            <w:t>Australia</w:t>
                          </w:r>
                          <w:r>
                            <w:rPr>
                              <w:rFonts w:ascii="TT Norms Pro"/>
                              <w:spacing w:val="46"/>
                              <w:sz w:val="18"/>
                            </w:rPr>
                            <w:t> </w:t>
                          </w:r>
                          <w:r>
                            <w:rPr>
                              <w:rFonts w:ascii="TT Norms Pro Light"/>
                              <w:b w:val="0"/>
                              <w:sz w:val="18"/>
                            </w:rPr>
                            <w:t>|</w:t>
                          </w:r>
                          <w:r>
                            <w:rPr>
                              <w:rFonts w:ascii="TT Norms Pro Light"/>
                              <w:b w:val="0"/>
                              <w:spacing w:val="49"/>
                              <w:sz w:val="18"/>
                            </w:rPr>
                            <w:t> </w:t>
                          </w:r>
                          <w:r>
                            <w:rPr>
                              <w:rFonts w:ascii="TT Norms Pro"/>
                              <w:b/>
                              <w:spacing w:val="-2"/>
                              <w:sz w:val="18"/>
                            </w:rPr>
                            <w:t>uwa.edu.au</w:t>
                          </w:r>
                        </w:p>
                      </w:txbxContent>
                    </wps:txbx>
                    <wps:bodyPr wrap="square" lIns="0" tIns="0" rIns="0" bIns="0" rtlCol="0">
                      <a:noAutofit/>
                    </wps:bodyPr>
                  </wps:wsp>
                </a:graphicData>
              </a:graphic>
            </wp:anchor>
          </w:drawing>
        </mc:Choice>
        <mc:Fallback>
          <w:pict>
            <v:shape style="position:absolute;margin-left:55.3307pt;margin-top:23.487616pt;width:200.9pt;height:14pt;mso-position-horizontal-relative:page;mso-position-vertical-relative:page;z-index:-30718464" type="#_x0000_t202" id="docshape670" filled="false" stroked="false">
              <v:textbox inset="0,0,0,0">
                <w:txbxContent>
                  <w:p>
                    <w:pPr>
                      <w:spacing w:before="45"/>
                      <w:ind w:left="20" w:right="0" w:firstLine="0"/>
                      <w:jc w:val="left"/>
                      <w:rPr>
                        <w:rFonts w:ascii="TT Norms Pro"/>
                        <w:b/>
                        <w:sz w:val="18"/>
                      </w:rPr>
                    </w:pPr>
                    <w:r>
                      <w:rPr>
                        <w:rFonts w:ascii="TT Norms Pro"/>
                        <w:sz w:val="18"/>
                      </w:rPr>
                      <w:t>The</w:t>
                    </w:r>
                    <w:r>
                      <w:rPr>
                        <w:rFonts w:ascii="TT Norms Pro"/>
                        <w:spacing w:val="-3"/>
                        <w:sz w:val="18"/>
                      </w:rPr>
                      <w:t> </w:t>
                    </w:r>
                    <w:r>
                      <w:rPr>
                        <w:rFonts w:ascii="TT Norms Pro"/>
                        <w:sz w:val="18"/>
                      </w:rPr>
                      <w:t>University</w:t>
                    </w:r>
                    <w:r>
                      <w:rPr>
                        <w:rFonts w:ascii="TT Norms Pro"/>
                        <w:spacing w:val="-6"/>
                        <w:sz w:val="18"/>
                      </w:rPr>
                      <w:t> </w:t>
                    </w:r>
                    <w:r>
                      <w:rPr>
                        <w:rFonts w:ascii="TT Norms Pro"/>
                        <w:sz w:val="18"/>
                      </w:rPr>
                      <w:t>of</w:t>
                    </w:r>
                    <w:r>
                      <w:rPr>
                        <w:rFonts w:ascii="TT Norms Pro"/>
                        <w:spacing w:val="-8"/>
                        <w:sz w:val="18"/>
                      </w:rPr>
                      <w:t> </w:t>
                    </w:r>
                    <w:r>
                      <w:rPr>
                        <w:rFonts w:ascii="TT Norms Pro"/>
                        <w:sz w:val="18"/>
                      </w:rPr>
                      <w:t>Western</w:t>
                    </w:r>
                    <w:r>
                      <w:rPr>
                        <w:rFonts w:ascii="TT Norms Pro"/>
                        <w:spacing w:val="-8"/>
                        <w:sz w:val="18"/>
                      </w:rPr>
                      <w:t> </w:t>
                    </w:r>
                    <w:r>
                      <w:rPr>
                        <w:rFonts w:ascii="TT Norms Pro"/>
                        <w:sz w:val="18"/>
                      </w:rPr>
                      <w:t>Australia</w:t>
                    </w:r>
                    <w:r>
                      <w:rPr>
                        <w:rFonts w:ascii="TT Norms Pro"/>
                        <w:spacing w:val="46"/>
                        <w:sz w:val="18"/>
                      </w:rPr>
                      <w:t> </w:t>
                    </w:r>
                    <w:r>
                      <w:rPr>
                        <w:rFonts w:ascii="TT Norms Pro Light"/>
                        <w:b w:val="0"/>
                        <w:sz w:val="18"/>
                      </w:rPr>
                      <w:t>|</w:t>
                    </w:r>
                    <w:r>
                      <w:rPr>
                        <w:rFonts w:ascii="TT Norms Pro Light"/>
                        <w:b w:val="0"/>
                        <w:spacing w:val="49"/>
                        <w:sz w:val="18"/>
                      </w:rPr>
                      <w:t> </w:t>
                    </w:r>
                    <w:r>
                      <w:rPr>
                        <w:rFonts w:ascii="TT Norms Pro"/>
                        <w:b/>
                        <w:spacing w:val="-2"/>
                        <w:sz w:val="18"/>
                      </w:rPr>
                      <w:t>uwa.edu.au</w:t>
                    </w:r>
                  </w:p>
                </w:txbxContent>
              </v:textbox>
              <w10:wrap type="none"/>
            </v:shape>
          </w:pict>
        </mc:Fallback>
      </mc:AlternateContent>
    </w:r>
  </w:p>
</w:hdr>
</file>

<file path=word/header2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2598528">
              <wp:simplePos x="0" y="0"/>
              <wp:positionH relativeFrom="page">
                <wp:posOffset>7086855</wp:posOffset>
              </wp:positionH>
              <wp:positionV relativeFrom="page">
                <wp:posOffset>284448</wp:posOffset>
              </wp:positionV>
              <wp:extent cx="240029" cy="194310"/>
              <wp:effectExtent l="0" t="0" r="0" b="0"/>
              <wp:wrapNone/>
              <wp:docPr id="983" name="Textbox 983"/>
              <wp:cNvGraphicFramePr>
                <a:graphicFrameLocks/>
              </wp:cNvGraphicFramePr>
              <a:graphic>
                <a:graphicData uri="http://schemas.microsoft.com/office/word/2010/wordprocessingShape">
                  <wps:wsp>
                    <wps:cNvPr id="983" name="Textbox 983"/>
                    <wps:cNvSpPr txBox="1"/>
                    <wps:spPr>
                      <a:xfrm>
                        <a:off x="0" y="0"/>
                        <a:ext cx="240029" cy="194310"/>
                      </a:xfrm>
                      <a:prstGeom prst="rect">
                        <a:avLst/>
                      </a:prstGeom>
                    </wps:spPr>
                    <wps:txbx>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111</w:t>
                          </w:r>
                          <w:r>
                            <w:rPr>
                              <w:rFonts w:ascii="TT Norms Pro"/>
                              <w:b/>
                              <w:spacing w:val="-5"/>
                              <w:sz w:val="20"/>
                            </w:rPr>
                            <w:fldChar w:fldCharType="end"/>
                          </w:r>
                        </w:p>
                      </w:txbxContent>
                    </wps:txbx>
                    <wps:bodyPr wrap="square" lIns="0" tIns="0" rIns="0" bIns="0" rtlCol="0">
                      <a:noAutofit/>
                    </wps:bodyPr>
                  </wps:wsp>
                </a:graphicData>
              </a:graphic>
            </wp:anchor>
          </w:drawing>
        </mc:Choice>
        <mc:Fallback>
          <w:pict>
            <v:shape style="position:absolute;margin-left:558.020081pt;margin-top:22.397514pt;width:18.9pt;height:15.3pt;mso-position-horizontal-relative:page;mso-position-vertical-relative:page;z-index:-30717952" type="#_x0000_t202" id="docshape671" filled="false" stroked="false">
              <v:textbox inset="0,0,0,0">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111</w:t>
                    </w:r>
                    <w:r>
                      <w:rPr>
                        <w:rFonts w:ascii="TT Norms Pro"/>
                        <w:b/>
                        <w:spacing w:val="-5"/>
                        <w:sz w:val="20"/>
                      </w:rPr>
                      <w:fldChar w:fldCharType="end"/>
                    </w:r>
                  </w:p>
                </w:txbxContent>
              </v:textbox>
              <w10:wrap type="none"/>
            </v:shape>
          </w:pict>
        </mc:Fallback>
      </mc:AlternateContent>
    </w:r>
  </w:p>
</w:hdr>
</file>

<file path=word/header2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2599040">
              <wp:simplePos x="0" y="0"/>
              <wp:positionH relativeFrom="page">
                <wp:posOffset>234676</wp:posOffset>
              </wp:positionH>
              <wp:positionV relativeFrom="page">
                <wp:posOffset>284448</wp:posOffset>
              </wp:positionV>
              <wp:extent cx="263525" cy="194310"/>
              <wp:effectExtent l="0" t="0" r="0" b="0"/>
              <wp:wrapNone/>
              <wp:docPr id="988" name="Textbox 988"/>
              <wp:cNvGraphicFramePr>
                <a:graphicFrameLocks/>
              </wp:cNvGraphicFramePr>
              <a:graphic>
                <a:graphicData uri="http://schemas.microsoft.com/office/word/2010/wordprocessingShape">
                  <wps:wsp>
                    <wps:cNvPr id="988" name="Textbox 988"/>
                    <wps:cNvSpPr txBox="1"/>
                    <wps:spPr>
                      <a:xfrm>
                        <a:off x="0" y="0"/>
                        <a:ext cx="263525" cy="194310"/>
                      </a:xfrm>
                      <a:prstGeom prst="rect">
                        <a:avLst/>
                      </a:prstGeom>
                    </wps:spPr>
                    <wps:txbx>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112</w:t>
                          </w:r>
                          <w:r>
                            <w:rPr>
                              <w:rFonts w:ascii="TT Norms Pro"/>
                              <w:b/>
                              <w:spacing w:val="-5"/>
                              <w:sz w:val="20"/>
                            </w:rPr>
                            <w:fldChar w:fldCharType="end"/>
                          </w:r>
                        </w:p>
                      </w:txbxContent>
                    </wps:txbx>
                    <wps:bodyPr wrap="square" lIns="0" tIns="0" rIns="0" bIns="0" rtlCol="0">
                      <a:noAutofit/>
                    </wps:bodyPr>
                  </wps:wsp>
                </a:graphicData>
              </a:graphic>
            </wp:anchor>
          </w:drawing>
        </mc:Choice>
        <mc:Fallback>
          <w:pict>
            <v:shape style="position:absolute;margin-left:18.4785pt;margin-top:22.397514pt;width:20.75pt;height:15.3pt;mso-position-horizontal-relative:page;mso-position-vertical-relative:page;z-index:-30717440" type="#_x0000_t202" id="docshape676" filled="false" stroked="false">
              <v:textbox inset="0,0,0,0">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112</w:t>
                    </w:r>
                    <w:r>
                      <w:rPr>
                        <w:rFonts w:ascii="TT Norms Pro"/>
                        <w:b/>
                        <w:spacing w:val="-5"/>
                        <w:sz w:val="20"/>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72599552">
              <wp:simplePos x="0" y="0"/>
              <wp:positionH relativeFrom="page">
                <wp:posOffset>702699</wp:posOffset>
              </wp:positionH>
              <wp:positionV relativeFrom="page">
                <wp:posOffset>298292</wp:posOffset>
              </wp:positionV>
              <wp:extent cx="2551430" cy="177800"/>
              <wp:effectExtent l="0" t="0" r="0" b="0"/>
              <wp:wrapNone/>
              <wp:docPr id="989" name="Textbox 989"/>
              <wp:cNvGraphicFramePr>
                <a:graphicFrameLocks/>
              </wp:cNvGraphicFramePr>
              <a:graphic>
                <a:graphicData uri="http://schemas.microsoft.com/office/word/2010/wordprocessingShape">
                  <wps:wsp>
                    <wps:cNvPr id="989" name="Textbox 989"/>
                    <wps:cNvSpPr txBox="1"/>
                    <wps:spPr>
                      <a:xfrm>
                        <a:off x="0" y="0"/>
                        <a:ext cx="2551430" cy="177800"/>
                      </a:xfrm>
                      <a:prstGeom prst="rect">
                        <a:avLst/>
                      </a:prstGeom>
                    </wps:spPr>
                    <wps:txbx>
                      <w:txbxContent>
                        <w:p>
                          <w:pPr>
                            <w:spacing w:before="45"/>
                            <w:ind w:left="20" w:right="0" w:firstLine="0"/>
                            <w:jc w:val="left"/>
                            <w:rPr>
                              <w:rFonts w:ascii="TT Norms Pro"/>
                              <w:b/>
                              <w:sz w:val="18"/>
                            </w:rPr>
                          </w:pPr>
                          <w:r>
                            <w:rPr>
                              <w:rFonts w:ascii="TT Norms Pro"/>
                              <w:sz w:val="18"/>
                            </w:rPr>
                            <w:t>The</w:t>
                          </w:r>
                          <w:r>
                            <w:rPr>
                              <w:rFonts w:ascii="TT Norms Pro"/>
                              <w:spacing w:val="-3"/>
                              <w:sz w:val="18"/>
                            </w:rPr>
                            <w:t> </w:t>
                          </w:r>
                          <w:r>
                            <w:rPr>
                              <w:rFonts w:ascii="TT Norms Pro"/>
                              <w:sz w:val="18"/>
                            </w:rPr>
                            <w:t>University</w:t>
                          </w:r>
                          <w:r>
                            <w:rPr>
                              <w:rFonts w:ascii="TT Norms Pro"/>
                              <w:spacing w:val="-6"/>
                              <w:sz w:val="18"/>
                            </w:rPr>
                            <w:t> </w:t>
                          </w:r>
                          <w:r>
                            <w:rPr>
                              <w:rFonts w:ascii="TT Norms Pro"/>
                              <w:sz w:val="18"/>
                            </w:rPr>
                            <w:t>of</w:t>
                          </w:r>
                          <w:r>
                            <w:rPr>
                              <w:rFonts w:ascii="TT Norms Pro"/>
                              <w:spacing w:val="-8"/>
                              <w:sz w:val="18"/>
                            </w:rPr>
                            <w:t> </w:t>
                          </w:r>
                          <w:r>
                            <w:rPr>
                              <w:rFonts w:ascii="TT Norms Pro"/>
                              <w:sz w:val="18"/>
                            </w:rPr>
                            <w:t>Western</w:t>
                          </w:r>
                          <w:r>
                            <w:rPr>
                              <w:rFonts w:ascii="TT Norms Pro"/>
                              <w:spacing w:val="-8"/>
                              <w:sz w:val="18"/>
                            </w:rPr>
                            <w:t> </w:t>
                          </w:r>
                          <w:r>
                            <w:rPr>
                              <w:rFonts w:ascii="TT Norms Pro"/>
                              <w:sz w:val="18"/>
                            </w:rPr>
                            <w:t>Australia</w:t>
                          </w:r>
                          <w:r>
                            <w:rPr>
                              <w:rFonts w:ascii="TT Norms Pro"/>
                              <w:spacing w:val="46"/>
                              <w:sz w:val="18"/>
                            </w:rPr>
                            <w:t> </w:t>
                          </w:r>
                          <w:r>
                            <w:rPr>
                              <w:rFonts w:ascii="TT Norms Pro Light"/>
                              <w:b w:val="0"/>
                              <w:sz w:val="18"/>
                            </w:rPr>
                            <w:t>|</w:t>
                          </w:r>
                          <w:r>
                            <w:rPr>
                              <w:rFonts w:ascii="TT Norms Pro Light"/>
                              <w:b w:val="0"/>
                              <w:spacing w:val="49"/>
                              <w:sz w:val="18"/>
                            </w:rPr>
                            <w:t> </w:t>
                          </w:r>
                          <w:r>
                            <w:rPr>
                              <w:rFonts w:ascii="TT Norms Pro"/>
                              <w:b/>
                              <w:spacing w:val="-2"/>
                              <w:sz w:val="18"/>
                            </w:rPr>
                            <w:t>uwa.edu.au</w:t>
                          </w:r>
                        </w:p>
                      </w:txbxContent>
                    </wps:txbx>
                    <wps:bodyPr wrap="square" lIns="0" tIns="0" rIns="0" bIns="0" rtlCol="0">
                      <a:noAutofit/>
                    </wps:bodyPr>
                  </wps:wsp>
                </a:graphicData>
              </a:graphic>
            </wp:anchor>
          </w:drawing>
        </mc:Choice>
        <mc:Fallback>
          <w:pict>
            <v:shape style="position:absolute;margin-left:55.3307pt;margin-top:23.487616pt;width:200.9pt;height:14pt;mso-position-horizontal-relative:page;mso-position-vertical-relative:page;z-index:-30716928" type="#_x0000_t202" id="docshape677" filled="false" stroked="false">
              <v:textbox inset="0,0,0,0">
                <w:txbxContent>
                  <w:p>
                    <w:pPr>
                      <w:spacing w:before="45"/>
                      <w:ind w:left="20" w:right="0" w:firstLine="0"/>
                      <w:jc w:val="left"/>
                      <w:rPr>
                        <w:rFonts w:ascii="TT Norms Pro"/>
                        <w:b/>
                        <w:sz w:val="18"/>
                      </w:rPr>
                    </w:pPr>
                    <w:r>
                      <w:rPr>
                        <w:rFonts w:ascii="TT Norms Pro"/>
                        <w:sz w:val="18"/>
                      </w:rPr>
                      <w:t>The</w:t>
                    </w:r>
                    <w:r>
                      <w:rPr>
                        <w:rFonts w:ascii="TT Norms Pro"/>
                        <w:spacing w:val="-3"/>
                        <w:sz w:val="18"/>
                      </w:rPr>
                      <w:t> </w:t>
                    </w:r>
                    <w:r>
                      <w:rPr>
                        <w:rFonts w:ascii="TT Norms Pro"/>
                        <w:sz w:val="18"/>
                      </w:rPr>
                      <w:t>University</w:t>
                    </w:r>
                    <w:r>
                      <w:rPr>
                        <w:rFonts w:ascii="TT Norms Pro"/>
                        <w:spacing w:val="-6"/>
                        <w:sz w:val="18"/>
                      </w:rPr>
                      <w:t> </w:t>
                    </w:r>
                    <w:r>
                      <w:rPr>
                        <w:rFonts w:ascii="TT Norms Pro"/>
                        <w:sz w:val="18"/>
                      </w:rPr>
                      <w:t>of</w:t>
                    </w:r>
                    <w:r>
                      <w:rPr>
                        <w:rFonts w:ascii="TT Norms Pro"/>
                        <w:spacing w:val="-8"/>
                        <w:sz w:val="18"/>
                      </w:rPr>
                      <w:t> </w:t>
                    </w:r>
                    <w:r>
                      <w:rPr>
                        <w:rFonts w:ascii="TT Norms Pro"/>
                        <w:sz w:val="18"/>
                      </w:rPr>
                      <w:t>Western</w:t>
                    </w:r>
                    <w:r>
                      <w:rPr>
                        <w:rFonts w:ascii="TT Norms Pro"/>
                        <w:spacing w:val="-8"/>
                        <w:sz w:val="18"/>
                      </w:rPr>
                      <w:t> </w:t>
                    </w:r>
                    <w:r>
                      <w:rPr>
                        <w:rFonts w:ascii="TT Norms Pro"/>
                        <w:sz w:val="18"/>
                      </w:rPr>
                      <w:t>Australia</w:t>
                    </w:r>
                    <w:r>
                      <w:rPr>
                        <w:rFonts w:ascii="TT Norms Pro"/>
                        <w:spacing w:val="46"/>
                        <w:sz w:val="18"/>
                      </w:rPr>
                      <w:t> </w:t>
                    </w:r>
                    <w:r>
                      <w:rPr>
                        <w:rFonts w:ascii="TT Norms Pro Light"/>
                        <w:b w:val="0"/>
                        <w:sz w:val="18"/>
                      </w:rPr>
                      <w:t>|</w:t>
                    </w:r>
                    <w:r>
                      <w:rPr>
                        <w:rFonts w:ascii="TT Norms Pro Light"/>
                        <w:b w:val="0"/>
                        <w:spacing w:val="49"/>
                        <w:sz w:val="18"/>
                      </w:rPr>
                      <w:t> </w:t>
                    </w:r>
                    <w:r>
                      <w:rPr>
                        <w:rFonts w:ascii="TT Norms Pro"/>
                        <w:b/>
                        <w:spacing w:val="-2"/>
                        <w:sz w:val="18"/>
                      </w:rPr>
                      <w:t>uwa.edu.au</w:t>
                    </w:r>
                  </w:p>
                </w:txbxContent>
              </v:textbox>
              <w10:wrap type="none"/>
            </v:shape>
          </w:pict>
        </mc:Fallback>
      </mc:AlternateContent>
    </w:r>
  </w:p>
</w:hdr>
</file>

<file path=word/header2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2600064">
              <wp:simplePos x="0" y="0"/>
              <wp:positionH relativeFrom="page">
                <wp:posOffset>7075159</wp:posOffset>
              </wp:positionH>
              <wp:positionV relativeFrom="page">
                <wp:posOffset>284448</wp:posOffset>
              </wp:positionV>
              <wp:extent cx="263525" cy="194310"/>
              <wp:effectExtent l="0" t="0" r="0" b="0"/>
              <wp:wrapNone/>
              <wp:docPr id="990" name="Textbox 990"/>
              <wp:cNvGraphicFramePr>
                <a:graphicFrameLocks/>
              </wp:cNvGraphicFramePr>
              <a:graphic>
                <a:graphicData uri="http://schemas.microsoft.com/office/word/2010/wordprocessingShape">
                  <wps:wsp>
                    <wps:cNvPr id="990" name="Textbox 990"/>
                    <wps:cNvSpPr txBox="1"/>
                    <wps:spPr>
                      <a:xfrm>
                        <a:off x="0" y="0"/>
                        <a:ext cx="263525" cy="194310"/>
                      </a:xfrm>
                      <a:prstGeom prst="rect">
                        <a:avLst/>
                      </a:prstGeom>
                    </wps:spPr>
                    <wps:txbx>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113</w:t>
                          </w:r>
                          <w:r>
                            <w:rPr>
                              <w:rFonts w:ascii="TT Norms Pro"/>
                              <w:b/>
                              <w:spacing w:val="-5"/>
                              <w:sz w:val="20"/>
                            </w:rPr>
                            <w:fldChar w:fldCharType="end"/>
                          </w:r>
                        </w:p>
                      </w:txbxContent>
                    </wps:txbx>
                    <wps:bodyPr wrap="square" lIns="0" tIns="0" rIns="0" bIns="0" rtlCol="0">
                      <a:noAutofit/>
                    </wps:bodyPr>
                  </wps:wsp>
                </a:graphicData>
              </a:graphic>
            </wp:anchor>
          </w:drawing>
        </mc:Choice>
        <mc:Fallback>
          <w:pict>
            <v:shape style="position:absolute;margin-left:557.099182pt;margin-top:22.397514pt;width:20.75pt;height:15.3pt;mso-position-horizontal-relative:page;mso-position-vertical-relative:page;z-index:-30716416" type="#_x0000_t202" id="docshape678" filled="false" stroked="false">
              <v:textbox inset="0,0,0,0">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113</w:t>
                    </w:r>
                    <w:r>
                      <w:rPr>
                        <w:rFonts w:ascii="TT Norms Pro"/>
                        <w:b/>
                        <w:spacing w:val="-5"/>
                        <w:sz w:val="20"/>
                      </w:rPr>
                      <w:fldChar w:fldCharType="end"/>
                    </w:r>
                  </w:p>
                </w:txbxContent>
              </v:textbox>
              <w10:wrap type="none"/>
            </v:shape>
          </w:pict>
        </mc:Fallback>
      </mc:AlternateContent>
    </w: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2583168">
              <wp:simplePos x="0" y="0"/>
              <wp:positionH relativeFrom="page">
                <wp:posOffset>240080</wp:posOffset>
              </wp:positionH>
              <wp:positionV relativeFrom="page">
                <wp:posOffset>284448</wp:posOffset>
              </wp:positionV>
              <wp:extent cx="252729" cy="194310"/>
              <wp:effectExtent l="0" t="0" r="0" b="0"/>
              <wp:wrapNone/>
              <wp:docPr id="24" name="Textbox 24"/>
              <wp:cNvGraphicFramePr>
                <a:graphicFrameLocks/>
              </wp:cNvGraphicFramePr>
              <a:graphic>
                <a:graphicData uri="http://schemas.microsoft.com/office/word/2010/wordprocessingShape">
                  <wps:wsp>
                    <wps:cNvPr id="24" name="Textbox 24"/>
                    <wps:cNvSpPr txBox="1"/>
                    <wps:spPr>
                      <a:xfrm>
                        <a:off x="0" y="0"/>
                        <a:ext cx="252729" cy="194310"/>
                      </a:xfrm>
                      <a:prstGeom prst="rect">
                        <a:avLst/>
                      </a:prstGeom>
                    </wps:spPr>
                    <wps:txbx>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20</w:t>
                          </w:r>
                          <w:r>
                            <w:rPr>
                              <w:rFonts w:ascii="TT Norms Pro"/>
                              <w:b/>
                              <w:spacing w:val="-5"/>
                              <w:sz w:val="20"/>
                            </w:rPr>
                            <w:fldChar w:fldCharType="end"/>
                          </w:r>
                        </w:p>
                      </w:txbxContent>
                    </wps:txbx>
                    <wps:bodyPr wrap="square" lIns="0" tIns="0" rIns="0" bIns="0" rtlCol="0">
                      <a:noAutofit/>
                    </wps:bodyPr>
                  </wps:wsp>
                </a:graphicData>
              </a:graphic>
            </wp:anchor>
          </w:drawing>
        </mc:Choice>
        <mc:Fallback>
          <w:pict>
            <v:shape style="position:absolute;margin-left:18.903999pt;margin-top:22.397514pt;width:19.9pt;height:15.3pt;mso-position-horizontal-relative:page;mso-position-vertical-relative:page;z-index:-30733312" type="#_x0000_t202" id="docshape17" filled="false" stroked="false">
              <v:textbox inset="0,0,0,0">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20</w:t>
                    </w:r>
                    <w:r>
                      <w:rPr>
                        <w:rFonts w:ascii="TT Norms Pro"/>
                        <w:b/>
                        <w:spacing w:val="-5"/>
                        <w:sz w:val="20"/>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72583680">
              <wp:simplePos x="0" y="0"/>
              <wp:positionH relativeFrom="page">
                <wp:posOffset>702699</wp:posOffset>
              </wp:positionH>
              <wp:positionV relativeFrom="page">
                <wp:posOffset>298292</wp:posOffset>
              </wp:positionV>
              <wp:extent cx="2551430" cy="177800"/>
              <wp:effectExtent l="0" t="0" r="0" b="0"/>
              <wp:wrapNone/>
              <wp:docPr id="25" name="Textbox 25"/>
              <wp:cNvGraphicFramePr>
                <a:graphicFrameLocks/>
              </wp:cNvGraphicFramePr>
              <a:graphic>
                <a:graphicData uri="http://schemas.microsoft.com/office/word/2010/wordprocessingShape">
                  <wps:wsp>
                    <wps:cNvPr id="25" name="Textbox 25"/>
                    <wps:cNvSpPr txBox="1"/>
                    <wps:spPr>
                      <a:xfrm>
                        <a:off x="0" y="0"/>
                        <a:ext cx="2551430" cy="177800"/>
                      </a:xfrm>
                      <a:prstGeom prst="rect">
                        <a:avLst/>
                      </a:prstGeom>
                    </wps:spPr>
                    <wps:txbx>
                      <w:txbxContent>
                        <w:p>
                          <w:pPr>
                            <w:spacing w:before="45"/>
                            <w:ind w:left="20" w:right="0" w:firstLine="0"/>
                            <w:jc w:val="left"/>
                            <w:rPr>
                              <w:rFonts w:ascii="TT Norms Pro"/>
                              <w:b/>
                              <w:sz w:val="18"/>
                            </w:rPr>
                          </w:pPr>
                          <w:r>
                            <w:rPr>
                              <w:rFonts w:ascii="TT Norms Pro"/>
                              <w:sz w:val="18"/>
                            </w:rPr>
                            <w:t>The</w:t>
                          </w:r>
                          <w:r>
                            <w:rPr>
                              <w:rFonts w:ascii="TT Norms Pro"/>
                              <w:spacing w:val="-3"/>
                              <w:sz w:val="18"/>
                            </w:rPr>
                            <w:t> </w:t>
                          </w:r>
                          <w:r>
                            <w:rPr>
                              <w:rFonts w:ascii="TT Norms Pro"/>
                              <w:sz w:val="18"/>
                            </w:rPr>
                            <w:t>University</w:t>
                          </w:r>
                          <w:r>
                            <w:rPr>
                              <w:rFonts w:ascii="TT Norms Pro"/>
                              <w:spacing w:val="-6"/>
                              <w:sz w:val="18"/>
                            </w:rPr>
                            <w:t> </w:t>
                          </w:r>
                          <w:r>
                            <w:rPr>
                              <w:rFonts w:ascii="TT Norms Pro"/>
                              <w:sz w:val="18"/>
                            </w:rPr>
                            <w:t>of</w:t>
                          </w:r>
                          <w:r>
                            <w:rPr>
                              <w:rFonts w:ascii="TT Norms Pro"/>
                              <w:spacing w:val="-8"/>
                              <w:sz w:val="18"/>
                            </w:rPr>
                            <w:t> </w:t>
                          </w:r>
                          <w:r>
                            <w:rPr>
                              <w:rFonts w:ascii="TT Norms Pro"/>
                              <w:sz w:val="18"/>
                            </w:rPr>
                            <w:t>Western</w:t>
                          </w:r>
                          <w:r>
                            <w:rPr>
                              <w:rFonts w:ascii="TT Norms Pro"/>
                              <w:spacing w:val="-8"/>
                              <w:sz w:val="18"/>
                            </w:rPr>
                            <w:t> </w:t>
                          </w:r>
                          <w:r>
                            <w:rPr>
                              <w:rFonts w:ascii="TT Norms Pro"/>
                              <w:sz w:val="18"/>
                            </w:rPr>
                            <w:t>Australia</w:t>
                          </w:r>
                          <w:r>
                            <w:rPr>
                              <w:rFonts w:ascii="TT Norms Pro"/>
                              <w:spacing w:val="46"/>
                              <w:sz w:val="18"/>
                            </w:rPr>
                            <w:t> </w:t>
                          </w:r>
                          <w:r>
                            <w:rPr>
                              <w:rFonts w:ascii="TT Norms Pro Light"/>
                              <w:b w:val="0"/>
                              <w:sz w:val="18"/>
                            </w:rPr>
                            <w:t>|</w:t>
                          </w:r>
                          <w:r>
                            <w:rPr>
                              <w:rFonts w:ascii="TT Norms Pro Light"/>
                              <w:b w:val="0"/>
                              <w:spacing w:val="49"/>
                              <w:sz w:val="18"/>
                            </w:rPr>
                            <w:t> </w:t>
                          </w:r>
                          <w:r>
                            <w:rPr>
                              <w:rFonts w:ascii="TT Norms Pro"/>
                              <w:b/>
                              <w:spacing w:val="-2"/>
                              <w:sz w:val="18"/>
                            </w:rPr>
                            <w:t>uwa.edu.au</w:t>
                          </w:r>
                        </w:p>
                      </w:txbxContent>
                    </wps:txbx>
                    <wps:bodyPr wrap="square" lIns="0" tIns="0" rIns="0" bIns="0" rtlCol="0">
                      <a:noAutofit/>
                    </wps:bodyPr>
                  </wps:wsp>
                </a:graphicData>
              </a:graphic>
            </wp:anchor>
          </w:drawing>
        </mc:Choice>
        <mc:Fallback>
          <w:pict>
            <v:shape style="position:absolute;margin-left:55.3307pt;margin-top:23.487616pt;width:200.9pt;height:14pt;mso-position-horizontal-relative:page;mso-position-vertical-relative:page;z-index:-30732800" type="#_x0000_t202" id="docshape18" filled="false" stroked="false">
              <v:textbox inset="0,0,0,0">
                <w:txbxContent>
                  <w:p>
                    <w:pPr>
                      <w:spacing w:before="45"/>
                      <w:ind w:left="20" w:right="0" w:firstLine="0"/>
                      <w:jc w:val="left"/>
                      <w:rPr>
                        <w:rFonts w:ascii="TT Norms Pro"/>
                        <w:b/>
                        <w:sz w:val="18"/>
                      </w:rPr>
                    </w:pPr>
                    <w:r>
                      <w:rPr>
                        <w:rFonts w:ascii="TT Norms Pro"/>
                        <w:sz w:val="18"/>
                      </w:rPr>
                      <w:t>The</w:t>
                    </w:r>
                    <w:r>
                      <w:rPr>
                        <w:rFonts w:ascii="TT Norms Pro"/>
                        <w:spacing w:val="-3"/>
                        <w:sz w:val="18"/>
                      </w:rPr>
                      <w:t> </w:t>
                    </w:r>
                    <w:r>
                      <w:rPr>
                        <w:rFonts w:ascii="TT Norms Pro"/>
                        <w:sz w:val="18"/>
                      </w:rPr>
                      <w:t>University</w:t>
                    </w:r>
                    <w:r>
                      <w:rPr>
                        <w:rFonts w:ascii="TT Norms Pro"/>
                        <w:spacing w:val="-6"/>
                        <w:sz w:val="18"/>
                      </w:rPr>
                      <w:t> </w:t>
                    </w:r>
                    <w:r>
                      <w:rPr>
                        <w:rFonts w:ascii="TT Norms Pro"/>
                        <w:sz w:val="18"/>
                      </w:rPr>
                      <w:t>of</w:t>
                    </w:r>
                    <w:r>
                      <w:rPr>
                        <w:rFonts w:ascii="TT Norms Pro"/>
                        <w:spacing w:val="-8"/>
                        <w:sz w:val="18"/>
                      </w:rPr>
                      <w:t> </w:t>
                    </w:r>
                    <w:r>
                      <w:rPr>
                        <w:rFonts w:ascii="TT Norms Pro"/>
                        <w:sz w:val="18"/>
                      </w:rPr>
                      <w:t>Western</w:t>
                    </w:r>
                    <w:r>
                      <w:rPr>
                        <w:rFonts w:ascii="TT Norms Pro"/>
                        <w:spacing w:val="-8"/>
                        <w:sz w:val="18"/>
                      </w:rPr>
                      <w:t> </w:t>
                    </w:r>
                    <w:r>
                      <w:rPr>
                        <w:rFonts w:ascii="TT Norms Pro"/>
                        <w:sz w:val="18"/>
                      </w:rPr>
                      <w:t>Australia</w:t>
                    </w:r>
                    <w:r>
                      <w:rPr>
                        <w:rFonts w:ascii="TT Norms Pro"/>
                        <w:spacing w:val="46"/>
                        <w:sz w:val="18"/>
                      </w:rPr>
                      <w:t> </w:t>
                    </w:r>
                    <w:r>
                      <w:rPr>
                        <w:rFonts w:ascii="TT Norms Pro Light"/>
                        <w:b w:val="0"/>
                        <w:sz w:val="18"/>
                      </w:rPr>
                      <w:t>|</w:t>
                    </w:r>
                    <w:r>
                      <w:rPr>
                        <w:rFonts w:ascii="TT Norms Pro Light"/>
                        <w:b w:val="0"/>
                        <w:spacing w:val="49"/>
                        <w:sz w:val="18"/>
                      </w:rPr>
                      <w:t> </w:t>
                    </w:r>
                    <w:r>
                      <w:rPr>
                        <w:rFonts w:ascii="TT Norms Pro"/>
                        <w:b/>
                        <w:spacing w:val="-2"/>
                        <w:sz w:val="18"/>
                      </w:rPr>
                      <w:t>uwa.edu.au</w:t>
                    </w:r>
                  </w:p>
                </w:txbxContent>
              </v:textbox>
              <w10:wrap type="none"/>
            </v:shape>
          </w:pict>
        </mc:Fallback>
      </mc:AlternateContent>
    </w:r>
  </w:p>
</w:hdr>
</file>

<file path=word/header3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2584192">
              <wp:simplePos x="0" y="0"/>
              <wp:positionH relativeFrom="page">
                <wp:posOffset>7125388</wp:posOffset>
              </wp:positionH>
              <wp:positionV relativeFrom="page">
                <wp:posOffset>284448</wp:posOffset>
              </wp:positionV>
              <wp:extent cx="161925" cy="194310"/>
              <wp:effectExtent l="0" t="0" r="0" b="0"/>
              <wp:wrapNone/>
              <wp:docPr id="26" name="Textbox 26"/>
              <wp:cNvGraphicFramePr>
                <a:graphicFrameLocks/>
              </wp:cNvGraphicFramePr>
              <a:graphic>
                <a:graphicData uri="http://schemas.microsoft.com/office/word/2010/wordprocessingShape">
                  <wps:wsp>
                    <wps:cNvPr id="26" name="Textbox 26"/>
                    <wps:cNvSpPr txBox="1"/>
                    <wps:spPr>
                      <a:xfrm>
                        <a:off x="0" y="0"/>
                        <a:ext cx="161925" cy="194310"/>
                      </a:xfrm>
                      <a:prstGeom prst="rect">
                        <a:avLst/>
                      </a:prstGeom>
                    </wps:spPr>
                    <wps:txbx>
                      <w:txbxContent>
                        <w:p>
                          <w:pPr>
                            <w:spacing w:before="48"/>
                            <w:ind w:left="60" w:right="0" w:firstLine="0"/>
                            <w:jc w:val="left"/>
                            <w:rPr>
                              <w:rFonts w:ascii="TT Norms Pro"/>
                              <w:b/>
                              <w:sz w:val="20"/>
                            </w:rPr>
                          </w:pPr>
                          <w:r>
                            <w:rPr>
                              <w:rFonts w:ascii="TT Norms Pro"/>
                              <w:b/>
                              <w:spacing w:val="-10"/>
                              <w:sz w:val="20"/>
                            </w:rPr>
                            <w:fldChar w:fldCharType="begin"/>
                          </w:r>
                          <w:r>
                            <w:rPr>
                              <w:rFonts w:ascii="TT Norms Pro"/>
                              <w:b/>
                              <w:spacing w:val="-10"/>
                              <w:sz w:val="20"/>
                            </w:rPr>
                            <w:instrText> PAGE </w:instrText>
                          </w:r>
                          <w:r>
                            <w:rPr>
                              <w:rFonts w:ascii="TT Norms Pro"/>
                              <w:b/>
                              <w:spacing w:val="-10"/>
                              <w:sz w:val="20"/>
                            </w:rPr>
                            <w:fldChar w:fldCharType="separate"/>
                          </w:r>
                          <w:r>
                            <w:rPr>
                              <w:rFonts w:ascii="TT Norms Pro"/>
                              <w:b/>
                              <w:spacing w:val="-10"/>
                              <w:sz w:val="20"/>
                            </w:rPr>
                            <w:t>3</w:t>
                          </w:r>
                          <w:r>
                            <w:rPr>
                              <w:rFonts w:ascii="TT Norms Pro"/>
                              <w:b/>
                              <w:spacing w:val="-10"/>
                              <w:sz w:val="20"/>
                            </w:rPr>
                            <w:fldChar w:fldCharType="end"/>
                          </w:r>
                        </w:p>
                      </w:txbxContent>
                    </wps:txbx>
                    <wps:bodyPr wrap="square" lIns="0" tIns="0" rIns="0" bIns="0" rtlCol="0">
                      <a:noAutofit/>
                    </wps:bodyPr>
                  </wps:wsp>
                </a:graphicData>
              </a:graphic>
            </wp:anchor>
          </w:drawing>
        </mc:Choice>
        <mc:Fallback>
          <w:pict>
            <v:shape style="position:absolute;margin-left:561.054199pt;margin-top:22.397514pt;width:12.75pt;height:15.3pt;mso-position-horizontal-relative:page;mso-position-vertical-relative:page;z-index:-30732288" type="#_x0000_t202" id="docshape19" filled="false" stroked="false">
              <v:textbox inset="0,0,0,0">
                <w:txbxContent>
                  <w:p>
                    <w:pPr>
                      <w:spacing w:before="48"/>
                      <w:ind w:left="60" w:right="0" w:firstLine="0"/>
                      <w:jc w:val="left"/>
                      <w:rPr>
                        <w:rFonts w:ascii="TT Norms Pro"/>
                        <w:b/>
                        <w:sz w:val="20"/>
                      </w:rPr>
                    </w:pPr>
                    <w:r>
                      <w:rPr>
                        <w:rFonts w:ascii="TT Norms Pro"/>
                        <w:b/>
                        <w:spacing w:val="-10"/>
                        <w:sz w:val="20"/>
                      </w:rPr>
                      <w:fldChar w:fldCharType="begin"/>
                    </w:r>
                    <w:r>
                      <w:rPr>
                        <w:rFonts w:ascii="TT Norms Pro"/>
                        <w:b/>
                        <w:spacing w:val="-10"/>
                        <w:sz w:val="20"/>
                      </w:rPr>
                      <w:instrText> PAGE </w:instrText>
                    </w:r>
                    <w:r>
                      <w:rPr>
                        <w:rFonts w:ascii="TT Norms Pro"/>
                        <w:b/>
                        <w:spacing w:val="-10"/>
                        <w:sz w:val="20"/>
                      </w:rPr>
                      <w:fldChar w:fldCharType="separate"/>
                    </w:r>
                    <w:r>
                      <w:rPr>
                        <w:rFonts w:ascii="TT Norms Pro"/>
                        <w:b/>
                        <w:spacing w:val="-10"/>
                        <w:sz w:val="20"/>
                      </w:rPr>
                      <w:t>3</w:t>
                    </w:r>
                    <w:r>
                      <w:rPr>
                        <w:rFonts w:ascii="TT Norms Pro"/>
                        <w:b/>
                        <w:spacing w:val="-10"/>
                        <w:sz w:val="20"/>
                      </w:rPr>
                      <w:fldChar w:fldCharType="end"/>
                    </w:r>
                  </w:p>
                </w:txbxContent>
              </v:textbox>
              <w10:wrap type="none"/>
            </v:shape>
          </w:pict>
        </mc:Fallback>
      </mc:AlternateContent>
    </w: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2584704">
              <wp:simplePos x="0" y="0"/>
              <wp:positionH relativeFrom="page">
                <wp:posOffset>283165</wp:posOffset>
              </wp:positionH>
              <wp:positionV relativeFrom="page">
                <wp:posOffset>284448</wp:posOffset>
              </wp:positionV>
              <wp:extent cx="166370" cy="194310"/>
              <wp:effectExtent l="0" t="0" r="0" b="0"/>
              <wp:wrapNone/>
              <wp:docPr id="42" name="Textbox 42"/>
              <wp:cNvGraphicFramePr>
                <a:graphicFrameLocks/>
              </wp:cNvGraphicFramePr>
              <a:graphic>
                <a:graphicData uri="http://schemas.microsoft.com/office/word/2010/wordprocessingShape">
                  <wps:wsp>
                    <wps:cNvPr id="42" name="Textbox 42"/>
                    <wps:cNvSpPr txBox="1"/>
                    <wps:spPr>
                      <a:xfrm>
                        <a:off x="0" y="0"/>
                        <a:ext cx="166370" cy="194310"/>
                      </a:xfrm>
                      <a:prstGeom prst="rect">
                        <a:avLst/>
                      </a:prstGeom>
                    </wps:spPr>
                    <wps:txbx>
                      <w:txbxContent>
                        <w:p>
                          <w:pPr>
                            <w:spacing w:before="48"/>
                            <w:ind w:left="60" w:right="0" w:firstLine="0"/>
                            <w:jc w:val="left"/>
                            <w:rPr>
                              <w:rFonts w:ascii="TT Norms Pro"/>
                              <w:b/>
                              <w:sz w:val="20"/>
                            </w:rPr>
                          </w:pPr>
                          <w:r>
                            <w:rPr>
                              <w:rFonts w:ascii="TT Norms Pro"/>
                              <w:b/>
                              <w:spacing w:val="-10"/>
                              <w:sz w:val="20"/>
                            </w:rPr>
                            <w:fldChar w:fldCharType="begin"/>
                          </w:r>
                          <w:r>
                            <w:rPr>
                              <w:rFonts w:ascii="TT Norms Pro"/>
                              <w:b/>
                              <w:spacing w:val="-10"/>
                              <w:sz w:val="20"/>
                            </w:rPr>
                            <w:instrText> PAGE </w:instrText>
                          </w:r>
                          <w:r>
                            <w:rPr>
                              <w:rFonts w:ascii="TT Norms Pro"/>
                              <w:b/>
                              <w:spacing w:val="-10"/>
                              <w:sz w:val="20"/>
                            </w:rPr>
                            <w:fldChar w:fldCharType="separate"/>
                          </w:r>
                          <w:r>
                            <w:rPr>
                              <w:rFonts w:ascii="TT Norms Pro"/>
                              <w:b/>
                              <w:spacing w:val="-10"/>
                              <w:sz w:val="20"/>
                            </w:rPr>
                            <w:t>6</w:t>
                          </w:r>
                          <w:r>
                            <w:rPr>
                              <w:rFonts w:ascii="TT Norms Pro"/>
                              <w:b/>
                              <w:spacing w:val="-10"/>
                              <w:sz w:val="20"/>
                            </w:rPr>
                            <w:fldChar w:fldCharType="end"/>
                          </w:r>
                        </w:p>
                      </w:txbxContent>
                    </wps:txbx>
                    <wps:bodyPr wrap="square" lIns="0" tIns="0" rIns="0" bIns="0" rtlCol="0">
                      <a:noAutofit/>
                    </wps:bodyPr>
                  </wps:wsp>
                </a:graphicData>
              </a:graphic>
            </wp:anchor>
          </w:drawing>
        </mc:Choice>
        <mc:Fallback>
          <w:pict>
            <v:shape style="position:absolute;margin-left:22.296499pt;margin-top:22.397514pt;width:13.1pt;height:15.3pt;mso-position-horizontal-relative:page;mso-position-vertical-relative:page;z-index:-30731776" type="#_x0000_t202" id="docshape34" filled="false" stroked="false">
              <v:textbox inset="0,0,0,0">
                <w:txbxContent>
                  <w:p>
                    <w:pPr>
                      <w:spacing w:before="48"/>
                      <w:ind w:left="60" w:right="0" w:firstLine="0"/>
                      <w:jc w:val="left"/>
                      <w:rPr>
                        <w:rFonts w:ascii="TT Norms Pro"/>
                        <w:b/>
                        <w:sz w:val="20"/>
                      </w:rPr>
                    </w:pPr>
                    <w:r>
                      <w:rPr>
                        <w:rFonts w:ascii="TT Norms Pro"/>
                        <w:b/>
                        <w:spacing w:val="-10"/>
                        <w:sz w:val="20"/>
                      </w:rPr>
                      <w:fldChar w:fldCharType="begin"/>
                    </w:r>
                    <w:r>
                      <w:rPr>
                        <w:rFonts w:ascii="TT Norms Pro"/>
                        <w:b/>
                        <w:spacing w:val="-10"/>
                        <w:sz w:val="20"/>
                      </w:rPr>
                      <w:instrText> PAGE </w:instrText>
                    </w:r>
                    <w:r>
                      <w:rPr>
                        <w:rFonts w:ascii="TT Norms Pro"/>
                        <w:b/>
                        <w:spacing w:val="-10"/>
                        <w:sz w:val="20"/>
                      </w:rPr>
                      <w:fldChar w:fldCharType="separate"/>
                    </w:r>
                    <w:r>
                      <w:rPr>
                        <w:rFonts w:ascii="TT Norms Pro"/>
                        <w:b/>
                        <w:spacing w:val="-10"/>
                        <w:sz w:val="20"/>
                      </w:rPr>
                      <w:t>6</w:t>
                    </w:r>
                    <w:r>
                      <w:rPr>
                        <w:rFonts w:ascii="TT Norms Pro"/>
                        <w:b/>
                        <w:spacing w:val="-10"/>
                        <w:sz w:val="20"/>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72585216">
              <wp:simplePos x="0" y="0"/>
              <wp:positionH relativeFrom="page">
                <wp:posOffset>702699</wp:posOffset>
              </wp:positionH>
              <wp:positionV relativeFrom="page">
                <wp:posOffset>298292</wp:posOffset>
              </wp:positionV>
              <wp:extent cx="2551430" cy="177800"/>
              <wp:effectExtent l="0" t="0" r="0" b="0"/>
              <wp:wrapNone/>
              <wp:docPr id="43" name="Textbox 43"/>
              <wp:cNvGraphicFramePr>
                <a:graphicFrameLocks/>
              </wp:cNvGraphicFramePr>
              <a:graphic>
                <a:graphicData uri="http://schemas.microsoft.com/office/word/2010/wordprocessingShape">
                  <wps:wsp>
                    <wps:cNvPr id="43" name="Textbox 43"/>
                    <wps:cNvSpPr txBox="1"/>
                    <wps:spPr>
                      <a:xfrm>
                        <a:off x="0" y="0"/>
                        <a:ext cx="2551430" cy="177800"/>
                      </a:xfrm>
                      <a:prstGeom prst="rect">
                        <a:avLst/>
                      </a:prstGeom>
                    </wps:spPr>
                    <wps:txbx>
                      <w:txbxContent>
                        <w:p>
                          <w:pPr>
                            <w:spacing w:before="45"/>
                            <w:ind w:left="20" w:right="0" w:firstLine="0"/>
                            <w:jc w:val="left"/>
                            <w:rPr>
                              <w:rFonts w:ascii="TT Norms Pro"/>
                              <w:b/>
                              <w:sz w:val="18"/>
                            </w:rPr>
                          </w:pPr>
                          <w:r>
                            <w:rPr>
                              <w:rFonts w:ascii="TT Norms Pro"/>
                              <w:sz w:val="18"/>
                            </w:rPr>
                            <w:t>The</w:t>
                          </w:r>
                          <w:r>
                            <w:rPr>
                              <w:rFonts w:ascii="TT Norms Pro"/>
                              <w:spacing w:val="-3"/>
                              <w:sz w:val="18"/>
                            </w:rPr>
                            <w:t> </w:t>
                          </w:r>
                          <w:r>
                            <w:rPr>
                              <w:rFonts w:ascii="TT Norms Pro"/>
                              <w:sz w:val="18"/>
                            </w:rPr>
                            <w:t>University</w:t>
                          </w:r>
                          <w:r>
                            <w:rPr>
                              <w:rFonts w:ascii="TT Norms Pro"/>
                              <w:spacing w:val="-6"/>
                              <w:sz w:val="18"/>
                            </w:rPr>
                            <w:t> </w:t>
                          </w:r>
                          <w:r>
                            <w:rPr>
                              <w:rFonts w:ascii="TT Norms Pro"/>
                              <w:sz w:val="18"/>
                            </w:rPr>
                            <w:t>of</w:t>
                          </w:r>
                          <w:r>
                            <w:rPr>
                              <w:rFonts w:ascii="TT Norms Pro"/>
                              <w:spacing w:val="-8"/>
                              <w:sz w:val="18"/>
                            </w:rPr>
                            <w:t> </w:t>
                          </w:r>
                          <w:r>
                            <w:rPr>
                              <w:rFonts w:ascii="TT Norms Pro"/>
                              <w:sz w:val="18"/>
                            </w:rPr>
                            <w:t>Western</w:t>
                          </w:r>
                          <w:r>
                            <w:rPr>
                              <w:rFonts w:ascii="TT Norms Pro"/>
                              <w:spacing w:val="-8"/>
                              <w:sz w:val="18"/>
                            </w:rPr>
                            <w:t> </w:t>
                          </w:r>
                          <w:r>
                            <w:rPr>
                              <w:rFonts w:ascii="TT Norms Pro"/>
                              <w:sz w:val="18"/>
                            </w:rPr>
                            <w:t>Australia</w:t>
                          </w:r>
                          <w:r>
                            <w:rPr>
                              <w:rFonts w:ascii="TT Norms Pro"/>
                              <w:spacing w:val="46"/>
                              <w:sz w:val="18"/>
                            </w:rPr>
                            <w:t> </w:t>
                          </w:r>
                          <w:r>
                            <w:rPr>
                              <w:rFonts w:ascii="TT Norms Pro Light"/>
                              <w:b w:val="0"/>
                              <w:sz w:val="18"/>
                            </w:rPr>
                            <w:t>|</w:t>
                          </w:r>
                          <w:r>
                            <w:rPr>
                              <w:rFonts w:ascii="TT Norms Pro Light"/>
                              <w:b w:val="0"/>
                              <w:spacing w:val="49"/>
                              <w:sz w:val="18"/>
                            </w:rPr>
                            <w:t> </w:t>
                          </w:r>
                          <w:r>
                            <w:rPr>
                              <w:rFonts w:ascii="TT Norms Pro"/>
                              <w:b/>
                              <w:spacing w:val="-2"/>
                              <w:sz w:val="18"/>
                            </w:rPr>
                            <w:t>uwa.edu.au</w:t>
                          </w:r>
                        </w:p>
                      </w:txbxContent>
                    </wps:txbx>
                    <wps:bodyPr wrap="square" lIns="0" tIns="0" rIns="0" bIns="0" rtlCol="0">
                      <a:noAutofit/>
                    </wps:bodyPr>
                  </wps:wsp>
                </a:graphicData>
              </a:graphic>
            </wp:anchor>
          </w:drawing>
        </mc:Choice>
        <mc:Fallback>
          <w:pict>
            <v:shape style="position:absolute;margin-left:55.3307pt;margin-top:23.487616pt;width:200.9pt;height:14pt;mso-position-horizontal-relative:page;mso-position-vertical-relative:page;z-index:-30731264" type="#_x0000_t202" id="docshape35" filled="false" stroked="false">
              <v:textbox inset="0,0,0,0">
                <w:txbxContent>
                  <w:p>
                    <w:pPr>
                      <w:spacing w:before="45"/>
                      <w:ind w:left="20" w:right="0" w:firstLine="0"/>
                      <w:jc w:val="left"/>
                      <w:rPr>
                        <w:rFonts w:ascii="TT Norms Pro"/>
                        <w:b/>
                        <w:sz w:val="18"/>
                      </w:rPr>
                    </w:pPr>
                    <w:r>
                      <w:rPr>
                        <w:rFonts w:ascii="TT Norms Pro"/>
                        <w:sz w:val="18"/>
                      </w:rPr>
                      <w:t>The</w:t>
                    </w:r>
                    <w:r>
                      <w:rPr>
                        <w:rFonts w:ascii="TT Norms Pro"/>
                        <w:spacing w:val="-3"/>
                        <w:sz w:val="18"/>
                      </w:rPr>
                      <w:t> </w:t>
                    </w:r>
                    <w:r>
                      <w:rPr>
                        <w:rFonts w:ascii="TT Norms Pro"/>
                        <w:sz w:val="18"/>
                      </w:rPr>
                      <w:t>University</w:t>
                    </w:r>
                    <w:r>
                      <w:rPr>
                        <w:rFonts w:ascii="TT Norms Pro"/>
                        <w:spacing w:val="-6"/>
                        <w:sz w:val="18"/>
                      </w:rPr>
                      <w:t> </w:t>
                    </w:r>
                    <w:r>
                      <w:rPr>
                        <w:rFonts w:ascii="TT Norms Pro"/>
                        <w:sz w:val="18"/>
                      </w:rPr>
                      <w:t>of</w:t>
                    </w:r>
                    <w:r>
                      <w:rPr>
                        <w:rFonts w:ascii="TT Norms Pro"/>
                        <w:spacing w:val="-8"/>
                        <w:sz w:val="18"/>
                      </w:rPr>
                      <w:t> </w:t>
                    </w:r>
                    <w:r>
                      <w:rPr>
                        <w:rFonts w:ascii="TT Norms Pro"/>
                        <w:sz w:val="18"/>
                      </w:rPr>
                      <w:t>Western</w:t>
                    </w:r>
                    <w:r>
                      <w:rPr>
                        <w:rFonts w:ascii="TT Norms Pro"/>
                        <w:spacing w:val="-8"/>
                        <w:sz w:val="18"/>
                      </w:rPr>
                      <w:t> </w:t>
                    </w:r>
                    <w:r>
                      <w:rPr>
                        <w:rFonts w:ascii="TT Norms Pro"/>
                        <w:sz w:val="18"/>
                      </w:rPr>
                      <w:t>Australia</w:t>
                    </w:r>
                    <w:r>
                      <w:rPr>
                        <w:rFonts w:ascii="TT Norms Pro"/>
                        <w:spacing w:val="46"/>
                        <w:sz w:val="18"/>
                      </w:rPr>
                      <w:t> </w:t>
                    </w:r>
                    <w:r>
                      <w:rPr>
                        <w:rFonts w:ascii="TT Norms Pro Light"/>
                        <w:b w:val="0"/>
                        <w:sz w:val="18"/>
                      </w:rPr>
                      <w:t>|</w:t>
                    </w:r>
                    <w:r>
                      <w:rPr>
                        <w:rFonts w:ascii="TT Norms Pro Light"/>
                        <w:b w:val="0"/>
                        <w:spacing w:val="49"/>
                        <w:sz w:val="18"/>
                      </w:rPr>
                      <w:t> </w:t>
                    </w:r>
                    <w:r>
                      <w:rPr>
                        <w:rFonts w:ascii="TT Norms Pro"/>
                        <w:b/>
                        <w:spacing w:val="-2"/>
                        <w:sz w:val="18"/>
                      </w:rPr>
                      <w:t>uwa.edu.au</w:t>
                    </w:r>
                  </w:p>
                </w:txbxContent>
              </v:textbox>
              <w10:wrap type="none"/>
            </v:shape>
          </w:pict>
        </mc:Fallback>
      </mc:AlternateContent>
    </w: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2585728">
              <wp:simplePos x="0" y="0"/>
              <wp:positionH relativeFrom="page">
                <wp:posOffset>7100299</wp:posOffset>
              </wp:positionH>
              <wp:positionV relativeFrom="page">
                <wp:posOffset>284448</wp:posOffset>
              </wp:positionV>
              <wp:extent cx="212725" cy="194310"/>
              <wp:effectExtent l="0" t="0" r="0" b="0"/>
              <wp:wrapNone/>
              <wp:docPr id="44" name="Textbox 44"/>
              <wp:cNvGraphicFramePr>
                <a:graphicFrameLocks/>
              </wp:cNvGraphicFramePr>
              <a:graphic>
                <a:graphicData uri="http://schemas.microsoft.com/office/word/2010/wordprocessingShape">
                  <wps:wsp>
                    <wps:cNvPr id="44" name="Textbox 44"/>
                    <wps:cNvSpPr txBox="1"/>
                    <wps:spPr>
                      <a:xfrm>
                        <a:off x="0" y="0"/>
                        <a:ext cx="212725" cy="194310"/>
                      </a:xfrm>
                      <a:prstGeom prst="rect">
                        <a:avLst/>
                      </a:prstGeom>
                    </wps:spPr>
                    <wps:txbx>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13</w:t>
                          </w:r>
                          <w:r>
                            <w:rPr>
                              <w:rFonts w:ascii="TT Norms Pro"/>
                              <w:b/>
                              <w:spacing w:val="-5"/>
                              <w:sz w:val="20"/>
                            </w:rPr>
                            <w:fldChar w:fldCharType="end"/>
                          </w:r>
                        </w:p>
                      </w:txbxContent>
                    </wps:txbx>
                    <wps:bodyPr wrap="square" lIns="0" tIns="0" rIns="0" bIns="0" rtlCol="0">
                      <a:noAutofit/>
                    </wps:bodyPr>
                  </wps:wsp>
                </a:graphicData>
              </a:graphic>
            </wp:anchor>
          </w:drawing>
        </mc:Choice>
        <mc:Fallback>
          <w:pict>
            <v:shape style="position:absolute;margin-left:559.078674pt;margin-top:22.397514pt;width:16.75pt;height:15.3pt;mso-position-horizontal-relative:page;mso-position-vertical-relative:page;z-index:-30730752" type="#_x0000_t202" id="docshape36" filled="false" stroked="false">
              <v:textbox inset="0,0,0,0">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13</w:t>
                    </w:r>
                    <w:r>
                      <w:rPr>
                        <w:rFonts w:ascii="TT Norms Pro"/>
                        <w:b/>
                        <w:spacing w:val="-5"/>
                        <w:sz w:val="20"/>
                      </w:rPr>
                      <w:fldChar w:fldCharType="end"/>
                    </w:r>
                  </w:p>
                </w:txbxContent>
              </v:textbox>
              <w10:wrap type="none"/>
            </v:shape>
          </w:pict>
        </mc:Fallback>
      </mc:AlternateContent>
    </w: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2586240">
              <wp:simplePos x="0" y="0"/>
              <wp:positionH relativeFrom="page">
                <wp:posOffset>257568</wp:posOffset>
              </wp:positionH>
              <wp:positionV relativeFrom="page">
                <wp:posOffset>284448</wp:posOffset>
              </wp:positionV>
              <wp:extent cx="219710" cy="194310"/>
              <wp:effectExtent l="0" t="0" r="0" b="0"/>
              <wp:wrapNone/>
              <wp:docPr id="316" name="Textbox 316"/>
              <wp:cNvGraphicFramePr>
                <a:graphicFrameLocks/>
              </wp:cNvGraphicFramePr>
              <a:graphic>
                <a:graphicData uri="http://schemas.microsoft.com/office/word/2010/wordprocessingShape">
                  <wps:wsp>
                    <wps:cNvPr id="316" name="Textbox 316"/>
                    <wps:cNvSpPr txBox="1"/>
                    <wps:spPr>
                      <a:xfrm>
                        <a:off x="0" y="0"/>
                        <a:ext cx="219710" cy="194310"/>
                      </a:xfrm>
                      <a:prstGeom prst="rect">
                        <a:avLst/>
                      </a:prstGeom>
                    </wps:spPr>
                    <wps:txbx>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18</w:t>
                          </w:r>
                          <w:r>
                            <w:rPr>
                              <w:rFonts w:ascii="TT Norms Pro"/>
                              <w:b/>
                              <w:spacing w:val="-5"/>
                              <w:sz w:val="20"/>
                            </w:rPr>
                            <w:fldChar w:fldCharType="end"/>
                          </w:r>
                        </w:p>
                      </w:txbxContent>
                    </wps:txbx>
                    <wps:bodyPr wrap="square" lIns="0" tIns="0" rIns="0" bIns="0" rtlCol="0">
                      <a:noAutofit/>
                    </wps:bodyPr>
                  </wps:wsp>
                </a:graphicData>
              </a:graphic>
            </wp:anchor>
          </w:drawing>
        </mc:Choice>
        <mc:Fallback>
          <w:pict>
            <v:shape style="position:absolute;margin-left:20.281pt;margin-top:22.397514pt;width:17.3pt;height:15.3pt;mso-position-horizontal-relative:page;mso-position-vertical-relative:page;z-index:-30730240" type="#_x0000_t202" id="docshape179" filled="false" stroked="false">
              <v:textbox inset="0,0,0,0">
                <w:txbxContent>
                  <w:p>
                    <w:pPr>
                      <w:spacing w:before="48"/>
                      <w:ind w:left="60" w:right="0" w:firstLine="0"/>
                      <w:jc w:val="left"/>
                      <w:rPr>
                        <w:rFonts w:ascii="TT Norms Pro"/>
                        <w:b/>
                        <w:sz w:val="20"/>
                      </w:rPr>
                    </w:pPr>
                    <w:r>
                      <w:rPr>
                        <w:rFonts w:ascii="TT Norms Pro"/>
                        <w:b/>
                        <w:spacing w:val="-5"/>
                        <w:sz w:val="20"/>
                      </w:rPr>
                      <w:fldChar w:fldCharType="begin"/>
                    </w:r>
                    <w:r>
                      <w:rPr>
                        <w:rFonts w:ascii="TT Norms Pro"/>
                        <w:b/>
                        <w:spacing w:val="-5"/>
                        <w:sz w:val="20"/>
                      </w:rPr>
                      <w:instrText> PAGE </w:instrText>
                    </w:r>
                    <w:r>
                      <w:rPr>
                        <w:rFonts w:ascii="TT Norms Pro"/>
                        <w:b/>
                        <w:spacing w:val="-5"/>
                        <w:sz w:val="20"/>
                      </w:rPr>
                      <w:fldChar w:fldCharType="separate"/>
                    </w:r>
                    <w:r>
                      <w:rPr>
                        <w:rFonts w:ascii="TT Norms Pro"/>
                        <w:b/>
                        <w:spacing w:val="-5"/>
                        <w:sz w:val="20"/>
                      </w:rPr>
                      <w:t>18</w:t>
                    </w:r>
                    <w:r>
                      <w:rPr>
                        <w:rFonts w:ascii="TT Norms Pro"/>
                        <w:b/>
                        <w:spacing w:val="-5"/>
                        <w:sz w:val="20"/>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72586752">
              <wp:simplePos x="0" y="0"/>
              <wp:positionH relativeFrom="page">
                <wp:posOffset>702699</wp:posOffset>
              </wp:positionH>
              <wp:positionV relativeFrom="page">
                <wp:posOffset>298292</wp:posOffset>
              </wp:positionV>
              <wp:extent cx="2551430" cy="177800"/>
              <wp:effectExtent l="0" t="0" r="0" b="0"/>
              <wp:wrapNone/>
              <wp:docPr id="317" name="Textbox 317"/>
              <wp:cNvGraphicFramePr>
                <a:graphicFrameLocks/>
              </wp:cNvGraphicFramePr>
              <a:graphic>
                <a:graphicData uri="http://schemas.microsoft.com/office/word/2010/wordprocessingShape">
                  <wps:wsp>
                    <wps:cNvPr id="317" name="Textbox 317"/>
                    <wps:cNvSpPr txBox="1"/>
                    <wps:spPr>
                      <a:xfrm>
                        <a:off x="0" y="0"/>
                        <a:ext cx="2551430" cy="177800"/>
                      </a:xfrm>
                      <a:prstGeom prst="rect">
                        <a:avLst/>
                      </a:prstGeom>
                    </wps:spPr>
                    <wps:txbx>
                      <w:txbxContent>
                        <w:p>
                          <w:pPr>
                            <w:spacing w:before="45"/>
                            <w:ind w:left="20" w:right="0" w:firstLine="0"/>
                            <w:jc w:val="left"/>
                            <w:rPr>
                              <w:rFonts w:ascii="TT Norms Pro"/>
                              <w:b/>
                              <w:sz w:val="18"/>
                            </w:rPr>
                          </w:pPr>
                          <w:r>
                            <w:rPr>
                              <w:rFonts w:ascii="TT Norms Pro"/>
                              <w:sz w:val="18"/>
                            </w:rPr>
                            <w:t>The</w:t>
                          </w:r>
                          <w:r>
                            <w:rPr>
                              <w:rFonts w:ascii="TT Norms Pro"/>
                              <w:spacing w:val="-3"/>
                              <w:sz w:val="18"/>
                            </w:rPr>
                            <w:t> </w:t>
                          </w:r>
                          <w:r>
                            <w:rPr>
                              <w:rFonts w:ascii="TT Norms Pro"/>
                              <w:sz w:val="18"/>
                            </w:rPr>
                            <w:t>University</w:t>
                          </w:r>
                          <w:r>
                            <w:rPr>
                              <w:rFonts w:ascii="TT Norms Pro"/>
                              <w:spacing w:val="-6"/>
                              <w:sz w:val="18"/>
                            </w:rPr>
                            <w:t> </w:t>
                          </w:r>
                          <w:r>
                            <w:rPr>
                              <w:rFonts w:ascii="TT Norms Pro"/>
                              <w:sz w:val="18"/>
                            </w:rPr>
                            <w:t>of</w:t>
                          </w:r>
                          <w:r>
                            <w:rPr>
                              <w:rFonts w:ascii="TT Norms Pro"/>
                              <w:spacing w:val="-8"/>
                              <w:sz w:val="18"/>
                            </w:rPr>
                            <w:t> </w:t>
                          </w:r>
                          <w:r>
                            <w:rPr>
                              <w:rFonts w:ascii="TT Norms Pro"/>
                              <w:sz w:val="18"/>
                            </w:rPr>
                            <w:t>Western</w:t>
                          </w:r>
                          <w:r>
                            <w:rPr>
                              <w:rFonts w:ascii="TT Norms Pro"/>
                              <w:spacing w:val="-8"/>
                              <w:sz w:val="18"/>
                            </w:rPr>
                            <w:t> </w:t>
                          </w:r>
                          <w:r>
                            <w:rPr>
                              <w:rFonts w:ascii="TT Norms Pro"/>
                              <w:sz w:val="18"/>
                            </w:rPr>
                            <w:t>Australia</w:t>
                          </w:r>
                          <w:r>
                            <w:rPr>
                              <w:rFonts w:ascii="TT Norms Pro"/>
                              <w:spacing w:val="46"/>
                              <w:sz w:val="18"/>
                            </w:rPr>
                            <w:t> </w:t>
                          </w:r>
                          <w:r>
                            <w:rPr>
                              <w:rFonts w:ascii="TT Norms Pro Light"/>
                              <w:b w:val="0"/>
                              <w:sz w:val="18"/>
                            </w:rPr>
                            <w:t>|</w:t>
                          </w:r>
                          <w:r>
                            <w:rPr>
                              <w:rFonts w:ascii="TT Norms Pro Light"/>
                              <w:b w:val="0"/>
                              <w:spacing w:val="49"/>
                              <w:sz w:val="18"/>
                            </w:rPr>
                            <w:t> </w:t>
                          </w:r>
                          <w:r>
                            <w:rPr>
                              <w:rFonts w:ascii="TT Norms Pro"/>
                              <w:b/>
                              <w:spacing w:val="-2"/>
                              <w:sz w:val="18"/>
                            </w:rPr>
                            <w:t>uwa.edu.au</w:t>
                          </w:r>
                        </w:p>
                      </w:txbxContent>
                    </wps:txbx>
                    <wps:bodyPr wrap="square" lIns="0" tIns="0" rIns="0" bIns="0" rtlCol="0">
                      <a:noAutofit/>
                    </wps:bodyPr>
                  </wps:wsp>
                </a:graphicData>
              </a:graphic>
            </wp:anchor>
          </w:drawing>
        </mc:Choice>
        <mc:Fallback>
          <w:pict>
            <v:shape style="position:absolute;margin-left:55.3307pt;margin-top:23.487616pt;width:200.9pt;height:14pt;mso-position-horizontal-relative:page;mso-position-vertical-relative:page;z-index:-30729728" type="#_x0000_t202" id="docshape180" filled="false" stroked="false">
              <v:textbox inset="0,0,0,0">
                <w:txbxContent>
                  <w:p>
                    <w:pPr>
                      <w:spacing w:before="45"/>
                      <w:ind w:left="20" w:right="0" w:firstLine="0"/>
                      <w:jc w:val="left"/>
                      <w:rPr>
                        <w:rFonts w:ascii="TT Norms Pro"/>
                        <w:b/>
                        <w:sz w:val="18"/>
                      </w:rPr>
                    </w:pPr>
                    <w:r>
                      <w:rPr>
                        <w:rFonts w:ascii="TT Norms Pro"/>
                        <w:sz w:val="18"/>
                      </w:rPr>
                      <w:t>The</w:t>
                    </w:r>
                    <w:r>
                      <w:rPr>
                        <w:rFonts w:ascii="TT Norms Pro"/>
                        <w:spacing w:val="-3"/>
                        <w:sz w:val="18"/>
                      </w:rPr>
                      <w:t> </w:t>
                    </w:r>
                    <w:r>
                      <w:rPr>
                        <w:rFonts w:ascii="TT Norms Pro"/>
                        <w:sz w:val="18"/>
                      </w:rPr>
                      <w:t>University</w:t>
                    </w:r>
                    <w:r>
                      <w:rPr>
                        <w:rFonts w:ascii="TT Norms Pro"/>
                        <w:spacing w:val="-6"/>
                        <w:sz w:val="18"/>
                      </w:rPr>
                      <w:t> </w:t>
                    </w:r>
                    <w:r>
                      <w:rPr>
                        <w:rFonts w:ascii="TT Norms Pro"/>
                        <w:sz w:val="18"/>
                      </w:rPr>
                      <w:t>of</w:t>
                    </w:r>
                    <w:r>
                      <w:rPr>
                        <w:rFonts w:ascii="TT Norms Pro"/>
                        <w:spacing w:val="-8"/>
                        <w:sz w:val="18"/>
                      </w:rPr>
                      <w:t> </w:t>
                    </w:r>
                    <w:r>
                      <w:rPr>
                        <w:rFonts w:ascii="TT Norms Pro"/>
                        <w:sz w:val="18"/>
                      </w:rPr>
                      <w:t>Western</w:t>
                    </w:r>
                    <w:r>
                      <w:rPr>
                        <w:rFonts w:ascii="TT Norms Pro"/>
                        <w:spacing w:val="-8"/>
                        <w:sz w:val="18"/>
                      </w:rPr>
                      <w:t> </w:t>
                    </w:r>
                    <w:r>
                      <w:rPr>
                        <w:rFonts w:ascii="TT Norms Pro"/>
                        <w:sz w:val="18"/>
                      </w:rPr>
                      <w:t>Australia</w:t>
                    </w:r>
                    <w:r>
                      <w:rPr>
                        <w:rFonts w:ascii="TT Norms Pro"/>
                        <w:spacing w:val="46"/>
                        <w:sz w:val="18"/>
                      </w:rPr>
                      <w:t> </w:t>
                    </w:r>
                    <w:r>
                      <w:rPr>
                        <w:rFonts w:ascii="TT Norms Pro Light"/>
                        <w:b w:val="0"/>
                        <w:sz w:val="18"/>
                      </w:rPr>
                      <w:t>|</w:t>
                    </w:r>
                    <w:r>
                      <w:rPr>
                        <w:rFonts w:ascii="TT Norms Pro Light"/>
                        <w:b w:val="0"/>
                        <w:spacing w:val="49"/>
                        <w:sz w:val="18"/>
                      </w:rPr>
                      <w:t> </w:t>
                    </w:r>
                    <w:r>
                      <w:rPr>
                        <w:rFonts w:ascii="TT Norms Pro"/>
                        <w:b/>
                        <w:spacing w:val="-2"/>
                        <w:sz w:val="18"/>
                      </w:rPr>
                      <w:t>uwa.edu.au</w:t>
                    </w:r>
                  </w:p>
                </w:txbxContent>
              </v:textbox>
              <w10:wrap type="none"/>
            </v:shape>
          </w:pict>
        </mc:Fallback>
      </mc:AlternateConten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48">
    <w:multiLevelType w:val="hybridMultilevel"/>
    <w:lvl w:ilvl="0">
      <w:start w:val="7"/>
      <w:numFmt w:val="lowerLetter"/>
      <w:lvlText w:val="%1)"/>
      <w:lvlJc w:val="left"/>
      <w:pPr>
        <w:ind w:left="657" w:hanging="537"/>
        <w:jc w:val="left"/>
      </w:pPr>
      <w:rPr>
        <w:rFonts w:hint="default"/>
        <w:spacing w:val="0"/>
        <w:w w:val="104"/>
        <w:lang w:val="en-US" w:eastAsia="en-US" w:bidi="ar-SA"/>
      </w:rPr>
    </w:lvl>
    <w:lvl w:ilvl="1">
      <w:start w:val="0"/>
      <w:numFmt w:val="bullet"/>
      <w:lvlText w:val="•"/>
      <w:lvlJc w:val="left"/>
      <w:pPr>
        <w:ind w:left="916" w:hanging="537"/>
      </w:pPr>
      <w:rPr>
        <w:rFonts w:hint="default"/>
        <w:lang w:val="en-US" w:eastAsia="en-US" w:bidi="ar-SA"/>
      </w:rPr>
    </w:lvl>
    <w:lvl w:ilvl="2">
      <w:start w:val="0"/>
      <w:numFmt w:val="bullet"/>
      <w:lvlText w:val="•"/>
      <w:lvlJc w:val="left"/>
      <w:pPr>
        <w:ind w:left="1173" w:hanging="537"/>
      </w:pPr>
      <w:rPr>
        <w:rFonts w:hint="default"/>
        <w:lang w:val="en-US" w:eastAsia="en-US" w:bidi="ar-SA"/>
      </w:rPr>
    </w:lvl>
    <w:lvl w:ilvl="3">
      <w:start w:val="0"/>
      <w:numFmt w:val="bullet"/>
      <w:lvlText w:val="•"/>
      <w:lvlJc w:val="left"/>
      <w:pPr>
        <w:ind w:left="1429" w:hanging="537"/>
      </w:pPr>
      <w:rPr>
        <w:rFonts w:hint="default"/>
        <w:lang w:val="en-US" w:eastAsia="en-US" w:bidi="ar-SA"/>
      </w:rPr>
    </w:lvl>
    <w:lvl w:ilvl="4">
      <w:start w:val="0"/>
      <w:numFmt w:val="bullet"/>
      <w:lvlText w:val="•"/>
      <w:lvlJc w:val="left"/>
      <w:pPr>
        <w:ind w:left="1686" w:hanging="537"/>
      </w:pPr>
      <w:rPr>
        <w:rFonts w:hint="default"/>
        <w:lang w:val="en-US" w:eastAsia="en-US" w:bidi="ar-SA"/>
      </w:rPr>
    </w:lvl>
    <w:lvl w:ilvl="5">
      <w:start w:val="0"/>
      <w:numFmt w:val="bullet"/>
      <w:lvlText w:val="•"/>
      <w:lvlJc w:val="left"/>
      <w:pPr>
        <w:ind w:left="1942" w:hanging="537"/>
      </w:pPr>
      <w:rPr>
        <w:rFonts w:hint="default"/>
        <w:lang w:val="en-US" w:eastAsia="en-US" w:bidi="ar-SA"/>
      </w:rPr>
    </w:lvl>
    <w:lvl w:ilvl="6">
      <w:start w:val="0"/>
      <w:numFmt w:val="bullet"/>
      <w:lvlText w:val="•"/>
      <w:lvlJc w:val="left"/>
      <w:pPr>
        <w:ind w:left="2199" w:hanging="537"/>
      </w:pPr>
      <w:rPr>
        <w:rFonts w:hint="default"/>
        <w:lang w:val="en-US" w:eastAsia="en-US" w:bidi="ar-SA"/>
      </w:rPr>
    </w:lvl>
    <w:lvl w:ilvl="7">
      <w:start w:val="0"/>
      <w:numFmt w:val="bullet"/>
      <w:lvlText w:val="•"/>
      <w:lvlJc w:val="left"/>
      <w:pPr>
        <w:ind w:left="2455" w:hanging="537"/>
      </w:pPr>
      <w:rPr>
        <w:rFonts w:hint="default"/>
        <w:lang w:val="en-US" w:eastAsia="en-US" w:bidi="ar-SA"/>
      </w:rPr>
    </w:lvl>
    <w:lvl w:ilvl="8">
      <w:start w:val="0"/>
      <w:numFmt w:val="bullet"/>
      <w:lvlText w:val="•"/>
      <w:lvlJc w:val="left"/>
      <w:pPr>
        <w:ind w:left="2712" w:hanging="537"/>
      </w:pPr>
      <w:rPr>
        <w:rFonts w:hint="default"/>
        <w:lang w:val="en-US" w:eastAsia="en-US" w:bidi="ar-SA"/>
      </w:rPr>
    </w:lvl>
  </w:abstractNum>
  <w:abstractNum w:abstractNumId="47">
    <w:multiLevelType w:val="hybridMultilevel"/>
    <w:lvl w:ilvl="0">
      <w:start w:val="4"/>
      <w:numFmt w:val="lowerLetter"/>
      <w:lvlText w:val="%1)"/>
      <w:lvlJc w:val="left"/>
      <w:pPr>
        <w:ind w:left="664" w:hanging="543"/>
        <w:jc w:val="left"/>
      </w:pPr>
      <w:rPr>
        <w:rFonts w:hint="default"/>
        <w:spacing w:val="0"/>
        <w:w w:val="105"/>
        <w:lang w:val="en-US" w:eastAsia="en-US" w:bidi="ar-SA"/>
      </w:rPr>
    </w:lvl>
    <w:lvl w:ilvl="1">
      <w:start w:val="0"/>
      <w:numFmt w:val="bullet"/>
      <w:lvlText w:val="•"/>
      <w:lvlJc w:val="left"/>
      <w:pPr>
        <w:ind w:left="941" w:hanging="543"/>
      </w:pPr>
      <w:rPr>
        <w:rFonts w:hint="default"/>
        <w:lang w:val="en-US" w:eastAsia="en-US" w:bidi="ar-SA"/>
      </w:rPr>
    </w:lvl>
    <w:lvl w:ilvl="2">
      <w:start w:val="0"/>
      <w:numFmt w:val="bullet"/>
      <w:lvlText w:val="•"/>
      <w:lvlJc w:val="left"/>
      <w:pPr>
        <w:ind w:left="1223" w:hanging="543"/>
      </w:pPr>
      <w:rPr>
        <w:rFonts w:hint="default"/>
        <w:lang w:val="en-US" w:eastAsia="en-US" w:bidi="ar-SA"/>
      </w:rPr>
    </w:lvl>
    <w:lvl w:ilvl="3">
      <w:start w:val="0"/>
      <w:numFmt w:val="bullet"/>
      <w:lvlText w:val="•"/>
      <w:lvlJc w:val="left"/>
      <w:pPr>
        <w:ind w:left="1504" w:hanging="543"/>
      </w:pPr>
      <w:rPr>
        <w:rFonts w:hint="default"/>
        <w:lang w:val="en-US" w:eastAsia="en-US" w:bidi="ar-SA"/>
      </w:rPr>
    </w:lvl>
    <w:lvl w:ilvl="4">
      <w:start w:val="0"/>
      <w:numFmt w:val="bullet"/>
      <w:lvlText w:val="•"/>
      <w:lvlJc w:val="left"/>
      <w:pPr>
        <w:ind w:left="1786" w:hanging="543"/>
      </w:pPr>
      <w:rPr>
        <w:rFonts w:hint="default"/>
        <w:lang w:val="en-US" w:eastAsia="en-US" w:bidi="ar-SA"/>
      </w:rPr>
    </w:lvl>
    <w:lvl w:ilvl="5">
      <w:start w:val="0"/>
      <w:numFmt w:val="bullet"/>
      <w:lvlText w:val="•"/>
      <w:lvlJc w:val="left"/>
      <w:pPr>
        <w:ind w:left="2067" w:hanging="543"/>
      </w:pPr>
      <w:rPr>
        <w:rFonts w:hint="default"/>
        <w:lang w:val="en-US" w:eastAsia="en-US" w:bidi="ar-SA"/>
      </w:rPr>
    </w:lvl>
    <w:lvl w:ilvl="6">
      <w:start w:val="0"/>
      <w:numFmt w:val="bullet"/>
      <w:lvlText w:val="•"/>
      <w:lvlJc w:val="left"/>
      <w:pPr>
        <w:ind w:left="2349" w:hanging="543"/>
      </w:pPr>
      <w:rPr>
        <w:rFonts w:hint="default"/>
        <w:lang w:val="en-US" w:eastAsia="en-US" w:bidi="ar-SA"/>
      </w:rPr>
    </w:lvl>
    <w:lvl w:ilvl="7">
      <w:start w:val="0"/>
      <w:numFmt w:val="bullet"/>
      <w:lvlText w:val="•"/>
      <w:lvlJc w:val="left"/>
      <w:pPr>
        <w:ind w:left="2630" w:hanging="543"/>
      </w:pPr>
      <w:rPr>
        <w:rFonts w:hint="default"/>
        <w:lang w:val="en-US" w:eastAsia="en-US" w:bidi="ar-SA"/>
      </w:rPr>
    </w:lvl>
    <w:lvl w:ilvl="8">
      <w:start w:val="0"/>
      <w:numFmt w:val="bullet"/>
      <w:lvlText w:val="•"/>
      <w:lvlJc w:val="left"/>
      <w:pPr>
        <w:ind w:left="2912" w:hanging="543"/>
      </w:pPr>
      <w:rPr>
        <w:rFonts w:hint="default"/>
        <w:lang w:val="en-US" w:eastAsia="en-US" w:bidi="ar-SA"/>
      </w:rPr>
    </w:lvl>
  </w:abstractNum>
  <w:abstractNum w:abstractNumId="46">
    <w:multiLevelType w:val="hybridMultilevel"/>
    <w:lvl w:ilvl="0">
      <w:start w:val="7"/>
      <w:numFmt w:val="decimal"/>
      <w:lvlText w:val="%1"/>
      <w:lvlJc w:val="left"/>
      <w:pPr>
        <w:ind w:left="763" w:hanging="646"/>
        <w:jc w:val="left"/>
      </w:pPr>
      <w:rPr>
        <w:rFonts w:hint="default"/>
        <w:lang w:val="en-US" w:eastAsia="en-US" w:bidi="ar-SA"/>
      </w:rPr>
    </w:lvl>
    <w:lvl w:ilvl="1">
      <w:start w:val="7"/>
      <w:numFmt w:val="decimal"/>
      <w:lvlText w:val="%1.%2"/>
      <w:lvlJc w:val="left"/>
      <w:pPr>
        <w:ind w:left="763" w:hanging="646"/>
        <w:jc w:val="right"/>
      </w:pPr>
      <w:rPr>
        <w:rFonts w:hint="default"/>
        <w:spacing w:val="-1"/>
        <w:w w:val="102"/>
        <w:lang w:val="en-US" w:eastAsia="en-US" w:bidi="ar-SA"/>
      </w:rPr>
    </w:lvl>
    <w:lvl w:ilvl="2">
      <w:start w:val="0"/>
      <w:numFmt w:val="bullet"/>
      <w:lvlText w:val="•"/>
      <w:lvlJc w:val="left"/>
      <w:pPr>
        <w:ind w:left="3447" w:hanging="646"/>
      </w:pPr>
      <w:rPr>
        <w:rFonts w:hint="default"/>
        <w:lang w:val="en-US" w:eastAsia="en-US" w:bidi="ar-SA"/>
      </w:rPr>
    </w:lvl>
    <w:lvl w:ilvl="3">
      <w:start w:val="0"/>
      <w:numFmt w:val="bullet"/>
      <w:lvlText w:val="•"/>
      <w:lvlJc w:val="left"/>
      <w:pPr>
        <w:ind w:left="4791" w:hanging="646"/>
      </w:pPr>
      <w:rPr>
        <w:rFonts w:hint="default"/>
        <w:lang w:val="en-US" w:eastAsia="en-US" w:bidi="ar-SA"/>
      </w:rPr>
    </w:lvl>
    <w:lvl w:ilvl="4">
      <w:start w:val="0"/>
      <w:numFmt w:val="bullet"/>
      <w:lvlText w:val="•"/>
      <w:lvlJc w:val="left"/>
      <w:pPr>
        <w:ind w:left="6135" w:hanging="646"/>
      </w:pPr>
      <w:rPr>
        <w:rFonts w:hint="default"/>
        <w:lang w:val="en-US" w:eastAsia="en-US" w:bidi="ar-SA"/>
      </w:rPr>
    </w:lvl>
    <w:lvl w:ilvl="5">
      <w:start w:val="0"/>
      <w:numFmt w:val="bullet"/>
      <w:lvlText w:val="•"/>
      <w:lvlJc w:val="left"/>
      <w:pPr>
        <w:ind w:left="7478" w:hanging="646"/>
      </w:pPr>
      <w:rPr>
        <w:rFonts w:hint="default"/>
        <w:lang w:val="en-US" w:eastAsia="en-US" w:bidi="ar-SA"/>
      </w:rPr>
    </w:lvl>
    <w:lvl w:ilvl="6">
      <w:start w:val="0"/>
      <w:numFmt w:val="bullet"/>
      <w:lvlText w:val="•"/>
      <w:lvlJc w:val="left"/>
      <w:pPr>
        <w:ind w:left="8822" w:hanging="646"/>
      </w:pPr>
      <w:rPr>
        <w:rFonts w:hint="default"/>
        <w:lang w:val="en-US" w:eastAsia="en-US" w:bidi="ar-SA"/>
      </w:rPr>
    </w:lvl>
    <w:lvl w:ilvl="7">
      <w:start w:val="0"/>
      <w:numFmt w:val="bullet"/>
      <w:lvlText w:val="•"/>
      <w:lvlJc w:val="left"/>
      <w:pPr>
        <w:ind w:left="10166" w:hanging="646"/>
      </w:pPr>
      <w:rPr>
        <w:rFonts w:hint="default"/>
        <w:lang w:val="en-US" w:eastAsia="en-US" w:bidi="ar-SA"/>
      </w:rPr>
    </w:lvl>
    <w:lvl w:ilvl="8">
      <w:start w:val="0"/>
      <w:numFmt w:val="bullet"/>
      <w:lvlText w:val="•"/>
      <w:lvlJc w:val="left"/>
      <w:pPr>
        <w:ind w:left="11510" w:hanging="646"/>
      </w:pPr>
      <w:rPr>
        <w:rFonts w:hint="default"/>
        <w:lang w:val="en-US" w:eastAsia="en-US" w:bidi="ar-SA"/>
      </w:rPr>
    </w:lvl>
  </w:abstractNum>
  <w:abstractNum w:abstractNumId="45">
    <w:multiLevelType w:val="hybridMultilevel"/>
    <w:lvl w:ilvl="0">
      <w:start w:val="7"/>
      <w:numFmt w:val="decimal"/>
      <w:lvlText w:val="%1"/>
      <w:lvlJc w:val="left"/>
      <w:pPr>
        <w:ind w:left="5637" w:hanging="584"/>
        <w:jc w:val="left"/>
      </w:pPr>
      <w:rPr>
        <w:rFonts w:hint="default"/>
        <w:lang w:val="en-US" w:eastAsia="en-US" w:bidi="ar-SA"/>
      </w:rPr>
    </w:lvl>
    <w:lvl w:ilvl="1">
      <w:start w:val="4"/>
      <w:numFmt w:val="decimal"/>
      <w:lvlText w:val="%1.%2"/>
      <w:lvlJc w:val="left"/>
      <w:pPr>
        <w:ind w:left="5637" w:hanging="584"/>
        <w:jc w:val="left"/>
      </w:pPr>
      <w:rPr>
        <w:rFonts w:hint="default"/>
        <w:spacing w:val="-1"/>
        <w:w w:val="98"/>
        <w:lang w:val="en-US" w:eastAsia="en-US" w:bidi="ar-SA"/>
      </w:rPr>
    </w:lvl>
    <w:lvl w:ilvl="2">
      <w:start w:val="0"/>
      <w:numFmt w:val="bullet"/>
      <w:lvlText w:val="•"/>
      <w:lvlJc w:val="left"/>
      <w:pPr>
        <w:ind w:left="6381" w:hanging="584"/>
      </w:pPr>
      <w:rPr>
        <w:rFonts w:hint="default"/>
        <w:lang w:val="en-US" w:eastAsia="en-US" w:bidi="ar-SA"/>
      </w:rPr>
    </w:lvl>
    <w:lvl w:ilvl="3">
      <w:start w:val="0"/>
      <w:numFmt w:val="bullet"/>
      <w:lvlText w:val="•"/>
      <w:lvlJc w:val="left"/>
      <w:pPr>
        <w:ind w:left="6751" w:hanging="584"/>
      </w:pPr>
      <w:rPr>
        <w:rFonts w:hint="default"/>
        <w:lang w:val="en-US" w:eastAsia="en-US" w:bidi="ar-SA"/>
      </w:rPr>
    </w:lvl>
    <w:lvl w:ilvl="4">
      <w:start w:val="0"/>
      <w:numFmt w:val="bullet"/>
      <w:lvlText w:val="•"/>
      <w:lvlJc w:val="left"/>
      <w:pPr>
        <w:ind w:left="7122" w:hanging="584"/>
      </w:pPr>
      <w:rPr>
        <w:rFonts w:hint="default"/>
        <w:lang w:val="en-US" w:eastAsia="en-US" w:bidi="ar-SA"/>
      </w:rPr>
    </w:lvl>
    <w:lvl w:ilvl="5">
      <w:start w:val="0"/>
      <w:numFmt w:val="bullet"/>
      <w:lvlText w:val="•"/>
      <w:lvlJc w:val="left"/>
      <w:pPr>
        <w:ind w:left="7492" w:hanging="584"/>
      </w:pPr>
      <w:rPr>
        <w:rFonts w:hint="default"/>
        <w:lang w:val="en-US" w:eastAsia="en-US" w:bidi="ar-SA"/>
      </w:rPr>
    </w:lvl>
    <w:lvl w:ilvl="6">
      <w:start w:val="0"/>
      <w:numFmt w:val="bullet"/>
      <w:lvlText w:val="•"/>
      <w:lvlJc w:val="left"/>
      <w:pPr>
        <w:ind w:left="7863" w:hanging="584"/>
      </w:pPr>
      <w:rPr>
        <w:rFonts w:hint="default"/>
        <w:lang w:val="en-US" w:eastAsia="en-US" w:bidi="ar-SA"/>
      </w:rPr>
    </w:lvl>
    <w:lvl w:ilvl="7">
      <w:start w:val="0"/>
      <w:numFmt w:val="bullet"/>
      <w:lvlText w:val="•"/>
      <w:lvlJc w:val="left"/>
      <w:pPr>
        <w:ind w:left="8233" w:hanging="584"/>
      </w:pPr>
      <w:rPr>
        <w:rFonts w:hint="default"/>
        <w:lang w:val="en-US" w:eastAsia="en-US" w:bidi="ar-SA"/>
      </w:rPr>
    </w:lvl>
    <w:lvl w:ilvl="8">
      <w:start w:val="0"/>
      <w:numFmt w:val="bullet"/>
      <w:lvlText w:val="•"/>
      <w:lvlJc w:val="left"/>
      <w:pPr>
        <w:ind w:left="8604" w:hanging="584"/>
      </w:pPr>
      <w:rPr>
        <w:rFonts w:hint="default"/>
        <w:lang w:val="en-US" w:eastAsia="en-US" w:bidi="ar-SA"/>
      </w:rPr>
    </w:lvl>
  </w:abstractNum>
  <w:abstractNum w:abstractNumId="44">
    <w:multiLevelType w:val="hybridMultilevel"/>
    <w:lvl w:ilvl="0">
      <w:start w:val="5"/>
      <w:numFmt w:val="lowerLetter"/>
      <w:lvlText w:val="(%1)"/>
      <w:lvlJc w:val="left"/>
      <w:pPr>
        <w:ind w:left="724" w:hanging="584"/>
        <w:jc w:val="left"/>
      </w:pPr>
      <w:rPr>
        <w:rFonts w:hint="default" w:ascii="Arial" w:hAnsi="Arial" w:eastAsia="Arial" w:cs="Arial"/>
        <w:b/>
        <w:bCs/>
        <w:i w:val="0"/>
        <w:iCs w:val="0"/>
        <w:spacing w:val="-1"/>
        <w:w w:val="101"/>
        <w:sz w:val="13"/>
        <w:szCs w:val="13"/>
        <w:lang w:val="en-US" w:eastAsia="en-US" w:bidi="ar-SA"/>
      </w:rPr>
    </w:lvl>
    <w:lvl w:ilvl="1">
      <w:start w:val="0"/>
      <w:numFmt w:val="bullet"/>
      <w:lvlText w:val="•"/>
      <w:lvlJc w:val="left"/>
      <w:pPr>
        <w:ind w:left="1582" w:hanging="584"/>
      </w:pPr>
      <w:rPr>
        <w:rFonts w:hint="default"/>
        <w:lang w:val="en-US" w:eastAsia="en-US" w:bidi="ar-SA"/>
      </w:rPr>
    </w:lvl>
    <w:lvl w:ilvl="2">
      <w:start w:val="0"/>
      <w:numFmt w:val="bullet"/>
      <w:lvlText w:val="•"/>
      <w:lvlJc w:val="left"/>
      <w:pPr>
        <w:ind w:left="2445" w:hanging="584"/>
      </w:pPr>
      <w:rPr>
        <w:rFonts w:hint="default"/>
        <w:lang w:val="en-US" w:eastAsia="en-US" w:bidi="ar-SA"/>
      </w:rPr>
    </w:lvl>
    <w:lvl w:ilvl="3">
      <w:start w:val="0"/>
      <w:numFmt w:val="bullet"/>
      <w:lvlText w:val="•"/>
      <w:lvlJc w:val="left"/>
      <w:pPr>
        <w:ind w:left="3307" w:hanging="584"/>
      </w:pPr>
      <w:rPr>
        <w:rFonts w:hint="default"/>
        <w:lang w:val="en-US" w:eastAsia="en-US" w:bidi="ar-SA"/>
      </w:rPr>
    </w:lvl>
    <w:lvl w:ilvl="4">
      <w:start w:val="0"/>
      <w:numFmt w:val="bullet"/>
      <w:lvlText w:val="•"/>
      <w:lvlJc w:val="left"/>
      <w:pPr>
        <w:ind w:left="4170" w:hanging="584"/>
      </w:pPr>
      <w:rPr>
        <w:rFonts w:hint="default"/>
        <w:lang w:val="en-US" w:eastAsia="en-US" w:bidi="ar-SA"/>
      </w:rPr>
    </w:lvl>
    <w:lvl w:ilvl="5">
      <w:start w:val="0"/>
      <w:numFmt w:val="bullet"/>
      <w:lvlText w:val="•"/>
      <w:lvlJc w:val="left"/>
      <w:pPr>
        <w:ind w:left="5032" w:hanging="584"/>
      </w:pPr>
      <w:rPr>
        <w:rFonts w:hint="default"/>
        <w:lang w:val="en-US" w:eastAsia="en-US" w:bidi="ar-SA"/>
      </w:rPr>
    </w:lvl>
    <w:lvl w:ilvl="6">
      <w:start w:val="0"/>
      <w:numFmt w:val="bullet"/>
      <w:lvlText w:val="•"/>
      <w:lvlJc w:val="left"/>
      <w:pPr>
        <w:ind w:left="5895" w:hanging="584"/>
      </w:pPr>
      <w:rPr>
        <w:rFonts w:hint="default"/>
        <w:lang w:val="en-US" w:eastAsia="en-US" w:bidi="ar-SA"/>
      </w:rPr>
    </w:lvl>
    <w:lvl w:ilvl="7">
      <w:start w:val="0"/>
      <w:numFmt w:val="bullet"/>
      <w:lvlText w:val="•"/>
      <w:lvlJc w:val="left"/>
      <w:pPr>
        <w:ind w:left="6757" w:hanging="584"/>
      </w:pPr>
      <w:rPr>
        <w:rFonts w:hint="default"/>
        <w:lang w:val="en-US" w:eastAsia="en-US" w:bidi="ar-SA"/>
      </w:rPr>
    </w:lvl>
    <w:lvl w:ilvl="8">
      <w:start w:val="0"/>
      <w:numFmt w:val="bullet"/>
      <w:lvlText w:val="•"/>
      <w:lvlJc w:val="left"/>
      <w:pPr>
        <w:ind w:left="7620" w:hanging="584"/>
      </w:pPr>
      <w:rPr>
        <w:rFonts w:hint="default"/>
        <w:lang w:val="en-US" w:eastAsia="en-US" w:bidi="ar-SA"/>
      </w:rPr>
    </w:lvl>
  </w:abstractNum>
  <w:abstractNum w:abstractNumId="43">
    <w:multiLevelType w:val="hybridMultilevel"/>
    <w:lvl w:ilvl="0">
      <w:start w:val="1"/>
      <w:numFmt w:val="lowerLetter"/>
      <w:lvlText w:val="(%1)"/>
      <w:lvlJc w:val="left"/>
      <w:pPr>
        <w:ind w:left="721" w:hanging="589"/>
        <w:jc w:val="left"/>
      </w:pPr>
      <w:rPr>
        <w:rFonts w:hint="default" w:ascii="Arial" w:hAnsi="Arial" w:eastAsia="Arial" w:cs="Arial"/>
        <w:b/>
        <w:bCs/>
        <w:i w:val="0"/>
        <w:iCs w:val="0"/>
        <w:spacing w:val="-1"/>
        <w:w w:val="102"/>
        <w:sz w:val="13"/>
        <w:szCs w:val="13"/>
        <w:lang w:val="en-US" w:eastAsia="en-US" w:bidi="ar-SA"/>
      </w:rPr>
    </w:lvl>
    <w:lvl w:ilvl="1">
      <w:start w:val="0"/>
      <w:numFmt w:val="bullet"/>
      <w:lvlText w:val="•"/>
      <w:lvlJc w:val="left"/>
      <w:pPr>
        <w:ind w:left="1582" w:hanging="589"/>
      </w:pPr>
      <w:rPr>
        <w:rFonts w:hint="default"/>
        <w:lang w:val="en-US" w:eastAsia="en-US" w:bidi="ar-SA"/>
      </w:rPr>
    </w:lvl>
    <w:lvl w:ilvl="2">
      <w:start w:val="0"/>
      <w:numFmt w:val="bullet"/>
      <w:lvlText w:val="•"/>
      <w:lvlJc w:val="left"/>
      <w:pPr>
        <w:ind w:left="2445" w:hanging="589"/>
      </w:pPr>
      <w:rPr>
        <w:rFonts w:hint="default"/>
        <w:lang w:val="en-US" w:eastAsia="en-US" w:bidi="ar-SA"/>
      </w:rPr>
    </w:lvl>
    <w:lvl w:ilvl="3">
      <w:start w:val="0"/>
      <w:numFmt w:val="bullet"/>
      <w:lvlText w:val="•"/>
      <w:lvlJc w:val="left"/>
      <w:pPr>
        <w:ind w:left="3307" w:hanging="589"/>
      </w:pPr>
      <w:rPr>
        <w:rFonts w:hint="default"/>
        <w:lang w:val="en-US" w:eastAsia="en-US" w:bidi="ar-SA"/>
      </w:rPr>
    </w:lvl>
    <w:lvl w:ilvl="4">
      <w:start w:val="0"/>
      <w:numFmt w:val="bullet"/>
      <w:lvlText w:val="•"/>
      <w:lvlJc w:val="left"/>
      <w:pPr>
        <w:ind w:left="4170" w:hanging="589"/>
      </w:pPr>
      <w:rPr>
        <w:rFonts w:hint="default"/>
        <w:lang w:val="en-US" w:eastAsia="en-US" w:bidi="ar-SA"/>
      </w:rPr>
    </w:lvl>
    <w:lvl w:ilvl="5">
      <w:start w:val="0"/>
      <w:numFmt w:val="bullet"/>
      <w:lvlText w:val="•"/>
      <w:lvlJc w:val="left"/>
      <w:pPr>
        <w:ind w:left="5032" w:hanging="589"/>
      </w:pPr>
      <w:rPr>
        <w:rFonts w:hint="default"/>
        <w:lang w:val="en-US" w:eastAsia="en-US" w:bidi="ar-SA"/>
      </w:rPr>
    </w:lvl>
    <w:lvl w:ilvl="6">
      <w:start w:val="0"/>
      <w:numFmt w:val="bullet"/>
      <w:lvlText w:val="•"/>
      <w:lvlJc w:val="left"/>
      <w:pPr>
        <w:ind w:left="5895" w:hanging="589"/>
      </w:pPr>
      <w:rPr>
        <w:rFonts w:hint="default"/>
        <w:lang w:val="en-US" w:eastAsia="en-US" w:bidi="ar-SA"/>
      </w:rPr>
    </w:lvl>
    <w:lvl w:ilvl="7">
      <w:start w:val="0"/>
      <w:numFmt w:val="bullet"/>
      <w:lvlText w:val="•"/>
      <w:lvlJc w:val="left"/>
      <w:pPr>
        <w:ind w:left="6757" w:hanging="589"/>
      </w:pPr>
      <w:rPr>
        <w:rFonts w:hint="default"/>
        <w:lang w:val="en-US" w:eastAsia="en-US" w:bidi="ar-SA"/>
      </w:rPr>
    </w:lvl>
    <w:lvl w:ilvl="8">
      <w:start w:val="0"/>
      <w:numFmt w:val="bullet"/>
      <w:lvlText w:val="•"/>
      <w:lvlJc w:val="left"/>
      <w:pPr>
        <w:ind w:left="7620" w:hanging="589"/>
      </w:pPr>
      <w:rPr>
        <w:rFonts w:hint="default"/>
        <w:lang w:val="en-US" w:eastAsia="en-US" w:bidi="ar-SA"/>
      </w:rPr>
    </w:lvl>
  </w:abstractNum>
  <w:abstractNum w:abstractNumId="42">
    <w:multiLevelType w:val="hybridMultilevel"/>
    <w:lvl w:ilvl="0">
      <w:start w:val="0"/>
      <w:numFmt w:val="bullet"/>
      <w:lvlText w:val="•"/>
      <w:lvlJc w:val="left"/>
      <w:pPr>
        <w:ind w:left="806" w:hanging="89"/>
      </w:pPr>
      <w:rPr>
        <w:rFonts w:hint="default" w:ascii="Arial" w:hAnsi="Arial" w:eastAsia="Arial" w:cs="Arial"/>
        <w:b w:val="0"/>
        <w:bCs w:val="0"/>
        <w:i w:val="0"/>
        <w:iCs w:val="0"/>
        <w:spacing w:val="0"/>
        <w:w w:val="102"/>
        <w:sz w:val="14"/>
        <w:szCs w:val="14"/>
        <w:lang w:val="en-US" w:eastAsia="en-US" w:bidi="ar-SA"/>
      </w:rPr>
    </w:lvl>
    <w:lvl w:ilvl="1">
      <w:start w:val="0"/>
      <w:numFmt w:val="bullet"/>
      <w:lvlText w:val="•"/>
      <w:lvlJc w:val="left"/>
      <w:pPr>
        <w:ind w:left="1654" w:hanging="89"/>
      </w:pPr>
      <w:rPr>
        <w:rFonts w:hint="default"/>
        <w:lang w:val="en-US" w:eastAsia="en-US" w:bidi="ar-SA"/>
      </w:rPr>
    </w:lvl>
    <w:lvl w:ilvl="2">
      <w:start w:val="0"/>
      <w:numFmt w:val="bullet"/>
      <w:lvlText w:val="•"/>
      <w:lvlJc w:val="left"/>
      <w:pPr>
        <w:ind w:left="2509" w:hanging="89"/>
      </w:pPr>
      <w:rPr>
        <w:rFonts w:hint="default"/>
        <w:lang w:val="en-US" w:eastAsia="en-US" w:bidi="ar-SA"/>
      </w:rPr>
    </w:lvl>
    <w:lvl w:ilvl="3">
      <w:start w:val="0"/>
      <w:numFmt w:val="bullet"/>
      <w:lvlText w:val="•"/>
      <w:lvlJc w:val="left"/>
      <w:pPr>
        <w:ind w:left="3363" w:hanging="89"/>
      </w:pPr>
      <w:rPr>
        <w:rFonts w:hint="default"/>
        <w:lang w:val="en-US" w:eastAsia="en-US" w:bidi="ar-SA"/>
      </w:rPr>
    </w:lvl>
    <w:lvl w:ilvl="4">
      <w:start w:val="0"/>
      <w:numFmt w:val="bullet"/>
      <w:lvlText w:val="•"/>
      <w:lvlJc w:val="left"/>
      <w:pPr>
        <w:ind w:left="4218" w:hanging="89"/>
      </w:pPr>
      <w:rPr>
        <w:rFonts w:hint="default"/>
        <w:lang w:val="en-US" w:eastAsia="en-US" w:bidi="ar-SA"/>
      </w:rPr>
    </w:lvl>
    <w:lvl w:ilvl="5">
      <w:start w:val="0"/>
      <w:numFmt w:val="bullet"/>
      <w:lvlText w:val="•"/>
      <w:lvlJc w:val="left"/>
      <w:pPr>
        <w:ind w:left="5072" w:hanging="89"/>
      </w:pPr>
      <w:rPr>
        <w:rFonts w:hint="default"/>
        <w:lang w:val="en-US" w:eastAsia="en-US" w:bidi="ar-SA"/>
      </w:rPr>
    </w:lvl>
    <w:lvl w:ilvl="6">
      <w:start w:val="0"/>
      <w:numFmt w:val="bullet"/>
      <w:lvlText w:val="•"/>
      <w:lvlJc w:val="left"/>
      <w:pPr>
        <w:ind w:left="5927" w:hanging="89"/>
      </w:pPr>
      <w:rPr>
        <w:rFonts w:hint="default"/>
        <w:lang w:val="en-US" w:eastAsia="en-US" w:bidi="ar-SA"/>
      </w:rPr>
    </w:lvl>
    <w:lvl w:ilvl="7">
      <w:start w:val="0"/>
      <w:numFmt w:val="bullet"/>
      <w:lvlText w:val="•"/>
      <w:lvlJc w:val="left"/>
      <w:pPr>
        <w:ind w:left="6781" w:hanging="89"/>
      </w:pPr>
      <w:rPr>
        <w:rFonts w:hint="default"/>
        <w:lang w:val="en-US" w:eastAsia="en-US" w:bidi="ar-SA"/>
      </w:rPr>
    </w:lvl>
    <w:lvl w:ilvl="8">
      <w:start w:val="0"/>
      <w:numFmt w:val="bullet"/>
      <w:lvlText w:val="•"/>
      <w:lvlJc w:val="left"/>
      <w:pPr>
        <w:ind w:left="7636" w:hanging="89"/>
      </w:pPr>
      <w:rPr>
        <w:rFonts w:hint="default"/>
        <w:lang w:val="en-US" w:eastAsia="en-US" w:bidi="ar-SA"/>
      </w:rPr>
    </w:lvl>
  </w:abstractNum>
  <w:abstractNum w:abstractNumId="41">
    <w:multiLevelType w:val="hybridMultilevel"/>
    <w:lvl w:ilvl="0">
      <w:start w:val="1"/>
      <w:numFmt w:val="lowerLetter"/>
      <w:lvlText w:val="(%1)"/>
      <w:lvlJc w:val="left"/>
      <w:pPr>
        <w:ind w:left="657" w:hanging="517"/>
        <w:jc w:val="left"/>
      </w:pPr>
      <w:rPr>
        <w:rFonts w:hint="default" w:ascii="Arial" w:hAnsi="Arial" w:eastAsia="Arial" w:cs="Arial"/>
        <w:b/>
        <w:bCs/>
        <w:i w:val="0"/>
        <w:iCs w:val="0"/>
        <w:spacing w:val="-2"/>
        <w:w w:val="99"/>
        <w:sz w:val="14"/>
        <w:szCs w:val="14"/>
        <w:lang w:val="en-US" w:eastAsia="en-US" w:bidi="ar-SA"/>
      </w:rPr>
    </w:lvl>
    <w:lvl w:ilvl="1">
      <w:start w:val="0"/>
      <w:numFmt w:val="bullet"/>
      <w:lvlText w:val="•"/>
      <w:lvlJc w:val="left"/>
      <w:pPr>
        <w:ind w:left="1528" w:hanging="517"/>
      </w:pPr>
      <w:rPr>
        <w:rFonts w:hint="default"/>
        <w:lang w:val="en-US" w:eastAsia="en-US" w:bidi="ar-SA"/>
      </w:rPr>
    </w:lvl>
    <w:lvl w:ilvl="2">
      <w:start w:val="0"/>
      <w:numFmt w:val="bullet"/>
      <w:lvlText w:val="•"/>
      <w:lvlJc w:val="left"/>
      <w:pPr>
        <w:ind w:left="2397" w:hanging="517"/>
      </w:pPr>
      <w:rPr>
        <w:rFonts w:hint="default"/>
        <w:lang w:val="en-US" w:eastAsia="en-US" w:bidi="ar-SA"/>
      </w:rPr>
    </w:lvl>
    <w:lvl w:ilvl="3">
      <w:start w:val="0"/>
      <w:numFmt w:val="bullet"/>
      <w:lvlText w:val="•"/>
      <w:lvlJc w:val="left"/>
      <w:pPr>
        <w:ind w:left="3265" w:hanging="517"/>
      </w:pPr>
      <w:rPr>
        <w:rFonts w:hint="default"/>
        <w:lang w:val="en-US" w:eastAsia="en-US" w:bidi="ar-SA"/>
      </w:rPr>
    </w:lvl>
    <w:lvl w:ilvl="4">
      <w:start w:val="0"/>
      <w:numFmt w:val="bullet"/>
      <w:lvlText w:val="•"/>
      <w:lvlJc w:val="left"/>
      <w:pPr>
        <w:ind w:left="4134" w:hanging="517"/>
      </w:pPr>
      <w:rPr>
        <w:rFonts w:hint="default"/>
        <w:lang w:val="en-US" w:eastAsia="en-US" w:bidi="ar-SA"/>
      </w:rPr>
    </w:lvl>
    <w:lvl w:ilvl="5">
      <w:start w:val="0"/>
      <w:numFmt w:val="bullet"/>
      <w:lvlText w:val="•"/>
      <w:lvlJc w:val="left"/>
      <w:pPr>
        <w:ind w:left="5002" w:hanging="517"/>
      </w:pPr>
      <w:rPr>
        <w:rFonts w:hint="default"/>
        <w:lang w:val="en-US" w:eastAsia="en-US" w:bidi="ar-SA"/>
      </w:rPr>
    </w:lvl>
    <w:lvl w:ilvl="6">
      <w:start w:val="0"/>
      <w:numFmt w:val="bullet"/>
      <w:lvlText w:val="•"/>
      <w:lvlJc w:val="left"/>
      <w:pPr>
        <w:ind w:left="5871" w:hanging="517"/>
      </w:pPr>
      <w:rPr>
        <w:rFonts w:hint="default"/>
        <w:lang w:val="en-US" w:eastAsia="en-US" w:bidi="ar-SA"/>
      </w:rPr>
    </w:lvl>
    <w:lvl w:ilvl="7">
      <w:start w:val="0"/>
      <w:numFmt w:val="bullet"/>
      <w:lvlText w:val="•"/>
      <w:lvlJc w:val="left"/>
      <w:pPr>
        <w:ind w:left="6739" w:hanging="517"/>
      </w:pPr>
      <w:rPr>
        <w:rFonts w:hint="default"/>
        <w:lang w:val="en-US" w:eastAsia="en-US" w:bidi="ar-SA"/>
      </w:rPr>
    </w:lvl>
    <w:lvl w:ilvl="8">
      <w:start w:val="0"/>
      <w:numFmt w:val="bullet"/>
      <w:lvlText w:val="•"/>
      <w:lvlJc w:val="left"/>
      <w:pPr>
        <w:ind w:left="7608" w:hanging="517"/>
      </w:pPr>
      <w:rPr>
        <w:rFonts w:hint="default"/>
        <w:lang w:val="en-US" w:eastAsia="en-US" w:bidi="ar-SA"/>
      </w:rPr>
    </w:lvl>
  </w:abstractNum>
  <w:abstractNum w:abstractNumId="40">
    <w:multiLevelType w:val="hybridMultilevel"/>
    <w:lvl w:ilvl="0">
      <w:start w:val="1"/>
      <w:numFmt w:val="lowerLetter"/>
      <w:lvlText w:val="(%1)"/>
      <w:lvlJc w:val="left"/>
      <w:pPr>
        <w:ind w:left="647" w:hanging="507"/>
        <w:jc w:val="left"/>
      </w:pPr>
      <w:rPr>
        <w:rFonts w:hint="default" w:ascii="Arial" w:hAnsi="Arial" w:eastAsia="Arial" w:cs="Arial"/>
        <w:b/>
        <w:bCs/>
        <w:i w:val="0"/>
        <w:iCs w:val="0"/>
        <w:spacing w:val="-2"/>
        <w:w w:val="105"/>
        <w:sz w:val="13"/>
        <w:szCs w:val="13"/>
        <w:lang w:val="en-US" w:eastAsia="en-US" w:bidi="ar-SA"/>
      </w:rPr>
    </w:lvl>
    <w:lvl w:ilvl="1">
      <w:start w:val="0"/>
      <w:numFmt w:val="bullet"/>
      <w:lvlText w:val="•"/>
      <w:lvlJc w:val="left"/>
      <w:pPr>
        <w:ind w:left="1510" w:hanging="507"/>
      </w:pPr>
      <w:rPr>
        <w:rFonts w:hint="default"/>
        <w:lang w:val="en-US" w:eastAsia="en-US" w:bidi="ar-SA"/>
      </w:rPr>
    </w:lvl>
    <w:lvl w:ilvl="2">
      <w:start w:val="0"/>
      <w:numFmt w:val="bullet"/>
      <w:lvlText w:val="•"/>
      <w:lvlJc w:val="left"/>
      <w:pPr>
        <w:ind w:left="2381" w:hanging="507"/>
      </w:pPr>
      <w:rPr>
        <w:rFonts w:hint="default"/>
        <w:lang w:val="en-US" w:eastAsia="en-US" w:bidi="ar-SA"/>
      </w:rPr>
    </w:lvl>
    <w:lvl w:ilvl="3">
      <w:start w:val="0"/>
      <w:numFmt w:val="bullet"/>
      <w:lvlText w:val="•"/>
      <w:lvlJc w:val="left"/>
      <w:pPr>
        <w:ind w:left="3251" w:hanging="507"/>
      </w:pPr>
      <w:rPr>
        <w:rFonts w:hint="default"/>
        <w:lang w:val="en-US" w:eastAsia="en-US" w:bidi="ar-SA"/>
      </w:rPr>
    </w:lvl>
    <w:lvl w:ilvl="4">
      <w:start w:val="0"/>
      <w:numFmt w:val="bullet"/>
      <w:lvlText w:val="•"/>
      <w:lvlJc w:val="left"/>
      <w:pPr>
        <w:ind w:left="4122" w:hanging="507"/>
      </w:pPr>
      <w:rPr>
        <w:rFonts w:hint="default"/>
        <w:lang w:val="en-US" w:eastAsia="en-US" w:bidi="ar-SA"/>
      </w:rPr>
    </w:lvl>
    <w:lvl w:ilvl="5">
      <w:start w:val="0"/>
      <w:numFmt w:val="bullet"/>
      <w:lvlText w:val="•"/>
      <w:lvlJc w:val="left"/>
      <w:pPr>
        <w:ind w:left="4992" w:hanging="507"/>
      </w:pPr>
      <w:rPr>
        <w:rFonts w:hint="default"/>
        <w:lang w:val="en-US" w:eastAsia="en-US" w:bidi="ar-SA"/>
      </w:rPr>
    </w:lvl>
    <w:lvl w:ilvl="6">
      <w:start w:val="0"/>
      <w:numFmt w:val="bullet"/>
      <w:lvlText w:val="•"/>
      <w:lvlJc w:val="left"/>
      <w:pPr>
        <w:ind w:left="5863" w:hanging="507"/>
      </w:pPr>
      <w:rPr>
        <w:rFonts w:hint="default"/>
        <w:lang w:val="en-US" w:eastAsia="en-US" w:bidi="ar-SA"/>
      </w:rPr>
    </w:lvl>
    <w:lvl w:ilvl="7">
      <w:start w:val="0"/>
      <w:numFmt w:val="bullet"/>
      <w:lvlText w:val="•"/>
      <w:lvlJc w:val="left"/>
      <w:pPr>
        <w:ind w:left="6733" w:hanging="507"/>
      </w:pPr>
      <w:rPr>
        <w:rFonts w:hint="default"/>
        <w:lang w:val="en-US" w:eastAsia="en-US" w:bidi="ar-SA"/>
      </w:rPr>
    </w:lvl>
    <w:lvl w:ilvl="8">
      <w:start w:val="0"/>
      <w:numFmt w:val="bullet"/>
      <w:lvlText w:val="•"/>
      <w:lvlJc w:val="left"/>
      <w:pPr>
        <w:ind w:left="7604" w:hanging="507"/>
      </w:pPr>
      <w:rPr>
        <w:rFonts w:hint="default"/>
        <w:lang w:val="en-US" w:eastAsia="en-US" w:bidi="ar-SA"/>
      </w:rPr>
    </w:lvl>
  </w:abstractNum>
  <w:abstractNum w:abstractNumId="39">
    <w:multiLevelType w:val="hybridMultilevel"/>
    <w:lvl w:ilvl="0">
      <w:start w:val="1"/>
      <w:numFmt w:val="lowerRoman"/>
      <w:lvlText w:val="(%1)"/>
      <w:lvlJc w:val="left"/>
      <w:pPr>
        <w:ind w:left="819" w:hanging="169"/>
        <w:jc w:val="left"/>
      </w:pPr>
      <w:rPr>
        <w:rFonts w:hint="default" w:ascii="Arial" w:hAnsi="Arial" w:eastAsia="Arial" w:cs="Arial"/>
        <w:b/>
        <w:bCs/>
        <w:i w:val="0"/>
        <w:iCs w:val="0"/>
        <w:spacing w:val="-1"/>
        <w:w w:val="105"/>
        <w:sz w:val="13"/>
        <w:szCs w:val="13"/>
        <w:lang w:val="en-US" w:eastAsia="en-US" w:bidi="ar-SA"/>
      </w:rPr>
    </w:lvl>
    <w:lvl w:ilvl="1">
      <w:start w:val="0"/>
      <w:numFmt w:val="bullet"/>
      <w:lvlText w:val="•"/>
      <w:lvlJc w:val="left"/>
      <w:pPr>
        <w:ind w:left="1672" w:hanging="169"/>
      </w:pPr>
      <w:rPr>
        <w:rFonts w:hint="default"/>
        <w:lang w:val="en-US" w:eastAsia="en-US" w:bidi="ar-SA"/>
      </w:rPr>
    </w:lvl>
    <w:lvl w:ilvl="2">
      <w:start w:val="0"/>
      <w:numFmt w:val="bullet"/>
      <w:lvlText w:val="•"/>
      <w:lvlJc w:val="left"/>
      <w:pPr>
        <w:ind w:left="2525" w:hanging="169"/>
      </w:pPr>
      <w:rPr>
        <w:rFonts w:hint="default"/>
        <w:lang w:val="en-US" w:eastAsia="en-US" w:bidi="ar-SA"/>
      </w:rPr>
    </w:lvl>
    <w:lvl w:ilvl="3">
      <w:start w:val="0"/>
      <w:numFmt w:val="bullet"/>
      <w:lvlText w:val="•"/>
      <w:lvlJc w:val="left"/>
      <w:pPr>
        <w:ind w:left="3377" w:hanging="169"/>
      </w:pPr>
      <w:rPr>
        <w:rFonts w:hint="default"/>
        <w:lang w:val="en-US" w:eastAsia="en-US" w:bidi="ar-SA"/>
      </w:rPr>
    </w:lvl>
    <w:lvl w:ilvl="4">
      <w:start w:val="0"/>
      <w:numFmt w:val="bullet"/>
      <w:lvlText w:val="•"/>
      <w:lvlJc w:val="left"/>
      <w:pPr>
        <w:ind w:left="4230" w:hanging="169"/>
      </w:pPr>
      <w:rPr>
        <w:rFonts w:hint="default"/>
        <w:lang w:val="en-US" w:eastAsia="en-US" w:bidi="ar-SA"/>
      </w:rPr>
    </w:lvl>
    <w:lvl w:ilvl="5">
      <w:start w:val="0"/>
      <w:numFmt w:val="bullet"/>
      <w:lvlText w:val="•"/>
      <w:lvlJc w:val="left"/>
      <w:pPr>
        <w:ind w:left="5082" w:hanging="169"/>
      </w:pPr>
      <w:rPr>
        <w:rFonts w:hint="default"/>
        <w:lang w:val="en-US" w:eastAsia="en-US" w:bidi="ar-SA"/>
      </w:rPr>
    </w:lvl>
    <w:lvl w:ilvl="6">
      <w:start w:val="0"/>
      <w:numFmt w:val="bullet"/>
      <w:lvlText w:val="•"/>
      <w:lvlJc w:val="left"/>
      <w:pPr>
        <w:ind w:left="5935" w:hanging="169"/>
      </w:pPr>
      <w:rPr>
        <w:rFonts w:hint="default"/>
        <w:lang w:val="en-US" w:eastAsia="en-US" w:bidi="ar-SA"/>
      </w:rPr>
    </w:lvl>
    <w:lvl w:ilvl="7">
      <w:start w:val="0"/>
      <w:numFmt w:val="bullet"/>
      <w:lvlText w:val="•"/>
      <w:lvlJc w:val="left"/>
      <w:pPr>
        <w:ind w:left="6787" w:hanging="169"/>
      </w:pPr>
      <w:rPr>
        <w:rFonts w:hint="default"/>
        <w:lang w:val="en-US" w:eastAsia="en-US" w:bidi="ar-SA"/>
      </w:rPr>
    </w:lvl>
    <w:lvl w:ilvl="8">
      <w:start w:val="0"/>
      <w:numFmt w:val="bullet"/>
      <w:lvlText w:val="•"/>
      <w:lvlJc w:val="left"/>
      <w:pPr>
        <w:ind w:left="7640" w:hanging="169"/>
      </w:pPr>
      <w:rPr>
        <w:rFonts w:hint="default"/>
        <w:lang w:val="en-US" w:eastAsia="en-US" w:bidi="ar-SA"/>
      </w:rPr>
    </w:lvl>
  </w:abstractNum>
  <w:abstractNum w:abstractNumId="38">
    <w:multiLevelType w:val="hybridMultilevel"/>
    <w:lvl w:ilvl="0">
      <w:start w:val="0"/>
      <w:numFmt w:val="bullet"/>
      <w:lvlText w:val="·"/>
      <w:lvlJc w:val="left"/>
      <w:pPr>
        <w:ind w:left="734" w:hanging="85"/>
      </w:pPr>
      <w:rPr>
        <w:rFonts w:hint="default" w:ascii="Arial" w:hAnsi="Arial" w:eastAsia="Arial" w:cs="Arial"/>
        <w:b w:val="0"/>
        <w:bCs w:val="0"/>
        <w:i w:val="0"/>
        <w:iCs w:val="0"/>
        <w:spacing w:val="0"/>
        <w:w w:val="105"/>
        <w:sz w:val="13"/>
        <w:szCs w:val="13"/>
        <w:lang w:val="en-US" w:eastAsia="en-US" w:bidi="ar-SA"/>
      </w:rPr>
    </w:lvl>
    <w:lvl w:ilvl="1">
      <w:start w:val="0"/>
      <w:numFmt w:val="bullet"/>
      <w:lvlText w:val="•"/>
      <w:lvlJc w:val="left"/>
      <w:pPr>
        <w:ind w:left="1600" w:hanging="85"/>
      </w:pPr>
      <w:rPr>
        <w:rFonts w:hint="default"/>
        <w:lang w:val="en-US" w:eastAsia="en-US" w:bidi="ar-SA"/>
      </w:rPr>
    </w:lvl>
    <w:lvl w:ilvl="2">
      <w:start w:val="0"/>
      <w:numFmt w:val="bullet"/>
      <w:lvlText w:val="•"/>
      <w:lvlJc w:val="left"/>
      <w:pPr>
        <w:ind w:left="2461" w:hanging="85"/>
      </w:pPr>
      <w:rPr>
        <w:rFonts w:hint="default"/>
        <w:lang w:val="en-US" w:eastAsia="en-US" w:bidi="ar-SA"/>
      </w:rPr>
    </w:lvl>
    <w:lvl w:ilvl="3">
      <w:start w:val="0"/>
      <w:numFmt w:val="bullet"/>
      <w:lvlText w:val="•"/>
      <w:lvlJc w:val="left"/>
      <w:pPr>
        <w:ind w:left="3321" w:hanging="85"/>
      </w:pPr>
      <w:rPr>
        <w:rFonts w:hint="default"/>
        <w:lang w:val="en-US" w:eastAsia="en-US" w:bidi="ar-SA"/>
      </w:rPr>
    </w:lvl>
    <w:lvl w:ilvl="4">
      <w:start w:val="0"/>
      <w:numFmt w:val="bullet"/>
      <w:lvlText w:val="•"/>
      <w:lvlJc w:val="left"/>
      <w:pPr>
        <w:ind w:left="4182" w:hanging="85"/>
      </w:pPr>
      <w:rPr>
        <w:rFonts w:hint="default"/>
        <w:lang w:val="en-US" w:eastAsia="en-US" w:bidi="ar-SA"/>
      </w:rPr>
    </w:lvl>
    <w:lvl w:ilvl="5">
      <w:start w:val="0"/>
      <w:numFmt w:val="bullet"/>
      <w:lvlText w:val="•"/>
      <w:lvlJc w:val="left"/>
      <w:pPr>
        <w:ind w:left="5042" w:hanging="85"/>
      </w:pPr>
      <w:rPr>
        <w:rFonts w:hint="default"/>
        <w:lang w:val="en-US" w:eastAsia="en-US" w:bidi="ar-SA"/>
      </w:rPr>
    </w:lvl>
    <w:lvl w:ilvl="6">
      <w:start w:val="0"/>
      <w:numFmt w:val="bullet"/>
      <w:lvlText w:val="•"/>
      <w:lvlJc w:val="left"/>
      <w:pPr>
        <w:ind w:left="5903" w:hanging="85"/>
      </w:pPr>
      <w:rPr>
        <w:rFonts w:hint="default"/>
        <w:lang w:val="en-US" w:eastAsia="en-US" w:bidi="ar-SA"/>
      </w:rPr>
    </w:lvl>
    <w:lvl w:ilvl="7">
      <w:start w:val="0"/>
      <w:numFmt w:val="bullet"/>
      <w:lvlText w:val="•"/>
      <w:lvlJc w:val="left"/>
      <w:pPr>
        <w:ind w:left="6763" w:hanging="85"/>
      </w:pPr>
      <w:rPr>
        <w:rFonts w:hint="default"/>
        <w:lang w:val="en-US" w:eastAsia="en-US" w:bidi="ar-SA"/>
      </w:rPr>
    </w:lvl>
    <w:lvl w:ilvl="8">
      <w:start w:val="0"/>
      <w:numFmt w:val="bullet"/>
      <w:lvlText w:val="•"/>
      <w:lvlJc w:val="left"/>
      <w:pPr>
        <w:ind w:left="7624" w:hanging="85"/>
      </w:pPr>
      <w:rPr>
        <w:rFonts w:hint="default"/>
        <w:lang w:val="en-US" w:eastAsia="en-US" w:bidi="ar-SA"/>
      </w:rPr>
    </w:lvl>
  </w:abstractNum>
  <w:abstractNum w:abstractNumId="37">
    <w:multiLevelType w:val="hybridMultilevel"/>
    <w:lvl w:ilvl="0">
      <w:start w:val="1"/>
      <w:numFmt w:val="lowerRoman"/>
      <w:lvlText w:val="(%1)"/>
      <w:lvlJc w:val="left"/>
      <w:pPr>
        <w:ind w:left="809" w:hanging="169"/>
        <w:jc w:val="left"/>
      </w:pPr>
      <w:rPr>
        <w:rFonts w:hint="default" w:ascii="Arial" w:hAnsi="Arial" w:eastAsia="Arial" w:cs="Arial"/>
        <w:b/>
        <w:bCs/>
        <w:i w:val="0"/>
        <w:iCs w:val="0"/>
        <w:spacing w:val="-1"/>
        <w:w w:val="105"/>
        <w:sz w:val="13"/>
        <w:szCs w:val="13"/>
        <w:lang w:val="en-US" w:eastAsia="en-US" w:bidi="ar-SA"/>
      </w:rPr>
    </w:lvl>
    <w:lvl w:ilvl="1">
      <w:start w:val="0"/>
      <w:numFmt w:val="bullet"/>
      <w:lvlText w:val="•"/>
      <w:lvlJc w:val="left"/>
      <w:pPr>
        <w:ind w:left="1654" w:hanging="169"/>
      </w:pPr>
      <w:rPr>
        <w:rFonts w:hint="default"/>
        <w:lang w:val="en-US" w:eastAsia="en-US" w:bidi="ar-SA"/>
      </w:rPr>
    </w:lvl>
    <w:lvl w:ilvl="2">
      <w:start w:val="0"/>
      <w:numFmt w:val="bullet"/>
      <w:lvlText w:val="•"/>
      <w:lvlJc w:val="left"/>
      <w:pPr>
        <w:ind w:left="2509" w:hanging="169"/>
      </w:pPr>
      <w:rPr>
        <w:rFonts w:hint="default"/>
        <w:lang w:val="en-US" w:eastAsia="en-US" w:bidi="ar-SA"/>
      </w:rPr>
    </w:lvl>
    <w:lvl w:ilvl="3">
      <w:start w:val="0"/>
      <w:numFmt w:val="bullet"/>
      <w:lvlText w:val="•"/>
      <w:lvlJc w:val="left"/>
      <w:pPr>
        <w:ind w:left="3363" w:hanging="169"/>
      </w:pPr>
      <w:rPr>
        <w:rFonts w:hint="default"/>
        <w:lang w:val="en-US" w:eastAsia="en-US" w:bidi="ar-SA"/>
      </w:rPr>
    </w:lvl>
    <w:lvl w:ilvl="4">
      <w:start w:val="0"/>
      <w:numFmt w:val="bullet"/>
      <w:lvlText w:val="•"/>
      <w:lvlJc w:val="left"/>
      <w:pPr>
        <w:ind w:left="4218" w:hanging="169"/>
      </w:pPr>
      <w:rPr>
        <w:rFonts w:hint="default"/>
        <w:lang w:val="en-US" w:eastAsia="en-US" w:bidi="ar-SA"/>
      </w:rPr>
    </w:lvl>
    <w:lvl w:ilvl="5">
      <w:start w:val="0"/>
      <w:numFmt w:val="bullet"/>
      <w:lvlText w:val="•"/>
      <w:lvlJc w:val="left"/>
      <w:pPr>
        <w:ind w:left="5072" w:hanging="169"/>
      </w:pPr>
      <w:rPr>
        <w:rFonts w:hint="default"/>
        <w:lang w:val="en-US" w:eastAsia="en-US" w:bidi="ar-SA"/>
      </w:rPr>
    </w:lvl>
    <w:lvl w:ilvl="6">
      <w:start w:val="0"/>
      <w:numFmt w:val="bullet"/>
      <w:lvlText w:val="•"/>
      <w:lvlJc w:val="left"/>
      <w:pPr>
        <w:ind w:left="5927" w:hanging="169"/>
      </w:pPr>
      <w:rPr>
        <w:rFonts w:hint="default"/>
        <w:lang w:val="en-US" w:eastAsia="en-US" w:bidi="ar-SA"/>
      </w:rPr>
    </w:lvl>
    <w:lvl w:ilvl="7">
      <w:start w:val="0"/>
      <w:numFmt w:val="bullet"/>
      <w:lvlText w:val="•"/>
      <w:lvlJc w:val="left"/>
      <w:pPr>
        <w:ind w:left="6781" w:hanging="169"/>
      </w:pPr>
      <w:rPr>
        <w:rFonts w:hint="default"/>
        <w:lang w:val="en-US" w:eastAsia="en-US" w:bidi="ar-SA"/>
      </w:rPr>
    </w:lvl>
    <w:lvl w:ilvl="8">
      <w:start w:val="0"/>
      <w:numFmt w:val="bullet"/>
      <w:lvlText w:val="•"/>
      <w:lvlJc w:val="left"/>
      <w:pPr>
        <w:ind w:left="7636" w:hanging="169"/>
      </w:pPr>
      <w:rPr>
        <w:rFonts w:hint="default"/>
        <w:lang w:val="en-US" w:eastAsia="en-US" w:bidi="ar-SA"/>
      </w:rPr>
    </w:lvl>
  </w:abstractNum>
  <w:abstractNum w:abstractNumId="36">
    <w:multiLevelType w:val="hybridMultilevel"/>
    <w:lvl w:ilvl="0">
      <w:start w:val="0"/>
      <w:numFmt w:val="bullet"/>
      <w:lvlText w:val="•"/>
      <w:lvlJc w:val="left"/>
      <w:pPr>
        <w:ind w:left="640" w:hanging="124"/>
      </w:pPr>
      <w:rPr>
        <w:rFonts w:hint="default" w:ascii="Arial" w:hAnsi="Arial" w:eastAsia="Arial" w:cs="Arial"/>
        <w:b w:val="0"/>
        <w:bCs w:val="0"/>
        <w:i w:val="0"/>
        <w:iCs w:val="0"/>
        <w:spacing w:val="0"/>
        <w:w w:val="105"/>
        <w:sz w:val="13"/>
        <w:szCs w:val="13"/>
        <w:lang w:val="en-US" w:eastAsia="en-US" w:bidi="ar-SA"/>
      </w:rPr>
    </w:lvl>
    <w:lvl w:ilvl="1">
      <w:start w:val="0"/>
      <w:numFmt w:val="bullet"/>
      <w:lvlText w:val="•"/>
      <w:lvlJc w:val="left"/>
      <w:pPr>
        <w:ind w:left="798" w:hanging="124"/>
      </w:pPr>
      <w:rPr>
        <w:rFonts w:hint="default"/>
        <w:lang w:val="en-US" w:eastAsia="en-US" w:bidi="ar-SA"/>
      </w:rPr>
    </w:lvl>
    <w:lvl w:ilvl="2">
      <w:start w:val="0"/>
      <w:numFmt w:val="bullet"/>
      <w:lvlText w:val="•"/>
      <w:lvlJc w:val="left"/>
      <w:pPr>
        <w:ind w:left="957" w:hanging="124"/>
      </w:pPr>
      <w:rPr>
        <w:rFonts w:hint="default"/>
        <w:lang w:val="en-US" w:eastAsia="en-US" w:bidi="ar-SA"/>
      </w:rPr>
    </w:lvl>
    <w:lvl w:ilvl="3">
      <w:start w:val="0"/>
      <w:numFmt w:val="bullet"/>
      <w:lvlText w:val="•"/>
      <w:lvlJc w:val="left"/>
      <w:pPr>
        <w:ind w:left="1116" w:hanging="124"/>
      </w:pPr>
      <w:rPr>
        <w:rFonts w:hint="default"/>
        <w:lang w:val="en-US" w:eastAsia="en-US" w:bidi="ar-SA"/>
      </w:rPr>
    </w:lvl>
    <w:lvl w:ilvl="4">
      <w:start w:val="0"/>
      <w:numFmt w:val="bullet"/>
      <w:lvlText w:val="•"/>
      <w:lvlJc w:val="left"/>
      <w:pPr>
        <w:ind w:left="1274" w:hanging="124"/>
      </w:pPr>
      <w:rPr>
        <w:rFonts w:hint="default"/>
        <w:lang w:val="en-US" w:eastAsia="en-US" w:bidi="ar-SA"/>
      </w:rPr>
    </w:lvl>
    <w:lvl w:ilvl="5">
      <w:start w:val="0"/>
      <w:numFmt w:val="bullet"/>
      <w:lvlText w:val="•"/>
      <w:lvlJc w:val="left"/>
      <w:pPr>
        <w:ind w:left="1433" w:hanging="124"/>
      </w:pPr>
      <w:rPr>
        <w:rFonts w:hint="default"/>
        <w:lang w:val="en-US" w:eastAsia="en-US" w:bidi="ar-SA"/>
      </w:rPr>
    </w:lvl>
    <w:lvl w:ilvl="6">
      <w:start w:val="0"/>
      <w:numFmt w:val="bullet"/>
      <w:lvlText w:val="•"/>
      <w:lvlJc w:val="left"/>
      <w:pPr>
        <w:ind w:left="1592" w:hanging="124"/>
      </w:pPr>
      <w:rPr>
        <w:rFonts w:hint="default"/>
        <w:lang w:val="en-US" w:eastAsia="en-US" w:bidi="ar-SA"/>
      </w:rPr>
    </w:lvl>
    <w:lvl w:ilvl="7">
      <w:start w:val="0"/>
      <w:numFmt w:val="bullet"/>
      <w:lvlText w:val="•"/>
      <w:lvlJc w:val="left"/>
      <w:pPr>
        <w:ind w:left="1751" w:hanging="124"/>
      </w:pPr>
      <w:rPr>
        <w:rFonts w:hint="default"/>
        <w:lang w:val="en-US" w:eastAsia="en-US" w:bidi="ar-SA"/>
      </w:rPr>
    </w:lvl>
    <w:lvl w:ilvl="8">
      <w:start w:val="0"/>
      <w:numFmt w:val="bullet"/>
      <w:lvlText w:val="•"/>
      <w:lvlJc w:val="left"/>
      <w:pPr>
        <w:ind w:left="1909" w:hanging="124"/>
      </w:pPr>
      <w:rPr>
        <w:rFonts w:hint="default"/>
        <w:lang w:val="en-US" w:eastAsia="en-US" w:bidi="ar-SA"/>
      </w:rPr>
    </w:lvl>
  </w:abstractNum>
  <w:abstractNum w:abstractNumId="35">
    <w:multiLevelType w:val="hybridMultilevel"/>
    <w:lvl w:ilvl="0">
      <w:start w:val="1"/>
      <w:numFmt w:val="lowerLetter"/>
      <w:lvlText w:val="(%1)"/>
      <w:lvlJc w:val="left"/>
      <w:pPr>
        <w:ind w:left="640" w:hanging="508"/>
        <w:jc w:val="left"/>
      </w:pPr>
      <w:rPr>
        <w:rFonts w:hint="default" w:ascii="Arial" w:hAnsi="Arial" w:eastAsia="Arial" w:cs="Arial"/>
        <w:b/>
        <w:bCs/>
        <w:i w:val="0"/>
        <w:iCs w:val="0"/>
        <w:spacing w:val="-2"/>
        <w:w w:val="105"/>
        <w:sz w:val="13"/>
        <w:szCs w:val="13"/>
        <w:lang w:val="en-US" w:eastAsia="en-US" w:bidi="ar-SA"/>
      </w:rPr>
    </w:lvl>
    <w:lvl w:ilvl="1">
      <w:start w:val="0"/>
      <w:numFmt w:val="bullet"/>
      <w:lvlText w:val="·"/>
      <w:lvlJc w:val="left"/>
      <w:pPr>
        <w:ind w:left="950" w:hanging="85"/>
      </w:pPr>
      <w:rPr>
        <w:rFonts w:hint="default" w:ascii="Arial" w:hAnsi="Arial" w:eastAsia="Arial" w:cs="Arial"/>
        <w:b w:val="0"/>
        <w:bCs w:val="0"/>
        <w:i w:val="0"/>
        <w:iCs w:val="0"/>
        <w:spacing w:val="0"/>
        <w:w w:val="105"/>
        <w:sz w:val="13"/>
        <w:szCs w:val="13"/>
        <w:lang w:val="en-US" w:eastAsia="en-US" w:bidi="ar-SA"/>
      </w:rPr>
    </w:lvl>
    <w:lvl w:ilvl="2">
      <w:start w:val="0"/>
      <w:numFmt w:val="bullet"/>
      <w:lvlText w:val="•"/>
      <w:lvlJc w:val="left"/>
      <w:pPr>
        <w:ind w:left="1891" w:hanging="85"/>
      </w:pPr>
      <w:rPr>
        <w:rFonts w:hint="default"/>
        <w:lang w:val="en-US" w:eastAsia="en-US" w:bidi="ar-SA"/>
      </w:rPr>
    </w:lvl>
    <w:lvl w:ilvl="3">
      <w:start w:val="0"/>
      <w:numFmt w:val="bullet"/>
      <w:lvlText w:val="•"/>
      <w:lvlJc w:val="left"/>
      <w:pPr>
        <w:ind w:left="2823" w:hanging="85"/>
      </w:pPr>
      <w:rPr>
        <w:rFonts w:hint="default"/>
        <w:lang w:val="en-US" w:eastAsia="en-US" w:bidi="ar-SA"/>
      </w:rPr>
    </w:lvl>
    <w:lvl w:ilvl="4">
      <w:start w:val="0"/>
      <w:numFmt w:val="bullet"/>
      <w:lvlText w:val="•"/>
      <w:lvlJc w:val="left"/>
      <w:pPr>
        <w:ind w:left="3755" w:hanging="85"/>
      </w:pPr>
      <w:rPr>
        <w:rFonts w:hint="default"/>
        <w:lang w:val="en-US" w:eastAsia="en-US" w:bidi="ar-SA"/>
      </w:rPr>
    </w:lvl>
    <w:lvl w:ilvl="5">
      <w:start w:val="0"/>
      <w:numFmt w:val="bullet"/>
      <w:lvlText w:val="•"/>
      <w:lvlJc w:val="left"/>
      <w:pPr>
        <w:ind w:left="4686" w:hanging="85"/>
      </w:pPr>
      <w:rPr>
        <w:rFonts w:hint="default"/>
        <w:lang w:val="en-US" w:eastAsia="en-US" w:bidi="ar-SA"/>
      </w:rPr>
    </w:lvl>
    <w:lvl w:ilvl="6">
      <w:start w:val="0"/>
      <w:numFmt w:val="bullet"/>
      <w:lvlText w:val="•"/>
      <w:lvlJc w:val="left"/>
      <w:pPr>
        <w:ind w:left="5618" w:hanging="85"/>
      </w:pPr>
      <w:rPr>
        <w:rFonts w:hint="default"/>
        <w:lang w:val="en-US" w:eastAsia="en-US" w:bidi="ar-SA"/>
      </w:rPr>
    </w:lvl>
    <w:lvl w:ilvl="7">
      <w:start w:val="0"/>
      <w:numFmt w:val="bullet"/>
      <w:lvlText w:val="•"/>
      <w:lvlJc w:val="left"/>
      <w:pPr>
        <w:ind w:left="6550" w:hanging="85"/>
      </w:pPr>
      <w:rPr>
        <w:rFonts w:hint="default"/>
        <w:lang w:val="en-US" w:eastAsia="en-US" w:bidi="ar-SA"/>
      </w:rPr>
    </w:lvl>
    <w:lvl w:ilvl="8">
      <w:start w:val="0"/>
      <w:numFmt w:val="bullet"/>
      <w:lvlText w:val="•"/>
      <w:lvlJc w:val="left"/>
      <w:pPr>
        <w:ind w:left="7482" w:hanging="85"/>
      </w:pPr>
      <w:rPr>
        <w:rFonts w:hint="default"/>
        <w:lang w:val="en-US" w:eastAsia="en-US" w:bidi="ar-SA"/>
      </w:rPr>
    </w:lvl>
  </w:abstractNum>
  <w:abstractNum w:abstractNumId="34">
    <w:multiLevelType w:val="hybridMultilevel"/>
    <w:lvl w:ilvl="0">
      <w:start w:val="1"/>
      <w:numFmt w:val="lowerLetter"/>
      <w:lvlText w:val="(%1)"/>
      <w:lvlJc w:val="left"/>
      <w:pPr>
        <w:ind w:left="651" w:hanging="508"/>
        <w:jc w:val="left"/>
      </w:pPr>
      <w:rPr>
        <w:rFonts w:hint="default" w:ascii="Arial" w:hAnsi="Arial" w:eastAsia="Arial" w:cs="Arial"/>
        <w:b/>
        <w:bCs/>
        <w:i w:val="0"/>
        <w:iCs w:val="0"/>
        <w:spacing w:val="-2"/>
        <w:w w:val="105"/>
        <w:sz w:val="13"/>
        <w:szCs w:val="13"/>
        <w:lang w:val="en-US" w:eastAsia="en-US" w:bidi="ar-SA"/>
      </w:rPr>
    </w:lvl>
    <w:lvl w:ilvl="1">
      <w:start w:val="1"/>
      <w:numFmt w:val="lowerRoman"/>
      <w:lvlText w:val="(%2)"/>
      <w:lvlJc w:val="left"/>
      <w:pPr>
        <w:ind w:left="818" w:hanging="169"/>
        <w:jc w:val="left"/>
      </w:pPr>
      <w:rPr>
        <w:rFonts w:hint="default" w:ascii="Arial" w:hAnsi="Arial" w:eastAsia="Arial" w:cs="Arial"/>
        <w:b/>
        <w:bCs/>
        <w:i w:val="0"/>
        <w:iCs w:val="0"/>
        <w:spacing w:val="-1"/>
        <w:w w:val="105"/>
        <w:sz w:val="13"/>
        <w:szCs w:val="13"/>
        <w:lang w:val="en-US" w:eastAsia="en-US" w:bidi="ar-SA"/>
      </w:rPr>
    </w:lvl>
    <w:lvl w:ilvl="2">
      <w:start w:val="0"/>
      <w:numFmt w:val="bullet"/>
      <w:lvlText w:val="•"/>
      <w:lvlJc w:val="left"/>
      <w:pPr>
        <w:ind w:left="1767" w:hanging="169"/>
      </w:pPr>
      <w:rPr>
        <w:rFonts w:hint="default"/>
        <w:lang w:val="en-US" w:eastAsia="en-US" w:bidi="ar-SA"/>
      </w:rPr>
    </w:lvl>
    <w:lvl w:ilvl="3">
      <w:start w:val="0"/>
      <w:numFmt w:val="bullet"/>
      <w:lvlText w:val="•"/>
      <w:lvlJc w:val="left"/>
      <w:pPr>
        <w:ind w:left="2714" w:hanging="169"/>
      </w:pPr>
      <w:rPr>
        <w:rFonts w:hint="default"/>
        <w:lang w:val="en-US" w:eastAsia="en-US" w:bidi="ar-SA"/>
      </w:rPr>
    </w:lvl>
    <w:lvl w:ilvl="4">
      <w:start w:val="0"/>
      <w:numFmt w:val="bullet"/>
      <w:lvlText w:val="•"/>
      <w:lvlJc w:val="left"/>
      <w:pPr>
        <w:ind w:left="3661" w:hanging="169"/>
      </w:pPr>
      <w:rPr>
        <w:rFonts w:hint="default"/>
        <w:lang w:val="en-US" w:eastAsia="en-US" w:bidi="ar-SA"/>
      </w:rPr>
    </w:lvl>
    <w:lvl w:ilvl="5">
      <w:start w:val="0"/>
      <w:numFmt w:val="bullet"/>
      <w:lvlText w:val="•"/>
      <w:lvlJc w:val="left"/>
      <w:pPr>
        <w:ind w:left="4609" w:hanging="169"/>
      </w:pPr>
      <w:rPr>
        <w:rFonts w:hint="default"/>
        <w:lang w:val="en-US" w:eastAsia="en-US" w:bidi="ar-SA"/>
      </w:rPr>
    </w:lvl>
    <w:lvl w:ilvl="6">
      <w:start w:val="0"/>
      <w:numFmt w:val="bullet"/>
      <w:lvlText w:val="•"/>
      <w:lvlJc w:val="left"/>
      <w:pPr>
        <w:ind w:left="5556" w:hanging="169"/>
      </w:pPr>
      <w:rPr>
        <w:rFonts w:hint="default"/>
        <w:lang w:val="en-US" w:eastAsia="en-US" w:bidi="ar-SA"/>
      </w:rPr>
    </w:lvl>
    <w:lvl w:ilvl="7">
      <w:start w:val="0"/>
      <w:numFmt w:val="bullet"/>
      <w:lvlText w:val="•"/>
      <w:lvlJc w:val="left"/>
      <w:pPr>
        <w:ind w:left="6503" w:hanging="169"/>
      </w:pPr>
      <w:rPr>
        <w:rFonts w:hint="default"/>
        <w:lang w:val="en-US" w:eastAsia="en-US" w:bidi="ar-SA"/>
      </w:rPr>
    </w:lvl>
    <w:lvl w:ilvl="8">
      <w:start w:val="0"/>
      <w:numFmt w:val="bullet"/>
      <w:lvlText w:val="•"/>
      <w:lvlJc w:val="left"/>
      <w:pPr>
        <w:ind w:left="7450" w:hanging="169"/>
      </w:pPr>
      <w:rPr>
        <w:rFonts w:hint="default"/>
        <w:lang w:val="en-US" w:eastAsia="en-US" w:bidi="ar-SA"/>
      </w:rPr>
    </w:lvl>
  </w:abstractNum>
  <w:abstractNum w:abstractNumId="33">
    <w:multiLevelType w:val="hybridMultilevel"/>
    <w:lvl w:ilvl="0">
      <w:start w:val="0"/>
      <w:numFmt w:val="bullet"/>
      <w:lvlText w:val="-"/>
      <w:lvlJc w:val="left"/>
      <w:pPr>
        <w:ind w:left="750" w:hanging="122"/>
      </w:pPr>
      <w:rPr>
        <w:rFonts w:hint="default" w:ascii="Arial" w:hAnsi="Arial" w:eastAsia="Arial" w:cs="Arial"/>
        <w:b w:val="0"/>
        <w:bCs w:val="0"/>
        <w:i w:val="0"/>
        <w:iCs w:val="0"/>
        <w:spacing w:val="0"/>
        <w:w w:val="105"/>
        <w:sz w:val="13"/>
        <w:szCs w:val="13"/>
        <w:lang w:val="en-US" w:eastAsia="en-US" w:bidi="ar-SA"/>
      </w:rPr>
    </w:lvl>
    <w:lvl w:ilvl="1">
      <w:start w:val="0"/>
      <w:numFmt w:val="bullet"/>
      <w:lvlText w:val="•"/>
      <w:lvlJc w:val="left"/>
      <w:pPr>
        <w:ind w:left="1618" w:hanging="122"/>
      </w:pPr>
      <w:rPr>
        <w:rFonts w:hint="default"/>
        <w:lang w:val="en-US" w:eastAsia="en-US" w:bidi="ar-SA"/>
      </w:rPr>
    </w:lvl>
    <w:lvl w:ilvl="2">
      <w:start w:val="0"/>
      <w:numFmt w:val="bullet"/>
      <w:lvlText w:val="•"/>
      <w:lvlJc w:val="left"/>
      <w:pPr>
        <w:ind w:left="2477" w:hanging="122"/>
      </w:pPr>
      <w:rPr>
        <w:rFonts w:hint="default"/>
        <w:lang w:val="en-US" w:eastAsia="en-US" w:bidi="ar-SA"/>
      </w:rPr>
    </w:lvl>
    <w:lvl w:ilvl="3">
      <w:start w:val="0"/>
      <w:numFmt w:val="bullet"/>
      <w:lvlText w:val="•"/>
      <w:lvlJc w:val="left"/>
      <w:pPr>
        <w:ind w:left="3335" w:hanging="122"/>
      </w:pPr>
      <w:rPr>
        <w:rFonts w:hint="default"/>
        <w:lang w:val="en-US" w:eastAsia="en-US" w:bidi="ar-SA"/>
      </w:rPr>
    </w:lvl>
    <w:lvl w:ilvl="4">
      <w:start w:val="0"/>
      <w:numFmt w:val="bullet"/>
      <w:lvlText w:val="•"/>
      <w:lvlJc w:val="left"/>
      <w:pPr>
        <w:ind w:left="4194" w:hanging="122"/>
      </w:pPr>
      <w:rPr>
        <w:rFonts w:hint="default"/>
        <w:lang w:val="en-US" w:eastAsia="en-US" w:bidi="ar-SA"/>
      </w:rPr>
    </w:lvl>
    <w:lvl w:ilvl="5">
      <w:start w:val="0"/>
      <w:numFmt w:val="bullet"/>
      <w:lvlText w:val="•"/>
      <w:lvlJc w:val="left"/>
      <w:pPr>
        <w:ind w:left="5052" w:hanging="122"/>
      </w:pPr>
      <w:rPr>
        <w:rFonts w:hint="default"/>
        <w:lang w:val="en-US" w:eastAsia="en-US" w:bidi="ar-SA"/>
      </w:rPr>
    </w:lvl>
    <w:lvl w:ilvl="6">
      <w:start w:val="0"/>
      <w:numFmt w:val="bullet"/>
      <w:lvlText w:val="•"/>
      <w:lvlJc w:val="left"/>
      <w:pPr>
        <w:ind w:left="5911" w:hanging="122"/>
      </w:pPr>
      <w:rPr>
        <w:rFonts w:hint="default"/>
        <w:lang w:val="en-US" w:eastAsia="en-US" w:bidi="ar-SA"/>
      </w:rPr>
    </w:lvl>
    <w:lvl w:ilvl="7">
      <w:start w:val="0"/>
      <w:numFmt w:val="bullet"/>
      <w:lvlText w:val="•"/>
      <w:lvlJc w:val="left"/>
      <w:pPr>
        <w:ind w:left="6769" w:hanging="122"/>
      </w:pPr>
      <w:rPr>
        <w:rFonts w:hint="default"/>
        <w:lang w:val="en-US" w:eastAsia="en-US" w:bidi="ar-SA"/>
      </w:rPr>
    </w:lvl>
    <w:lvl w:ilvl="8">
      <w:start w:val="0"/>
      <w:numFmt w:val="bullet"/>
      <w:lvlText w:val="•"/>
      <w:lvlJc w:val="left"/>
      <w:pPr>
        <w:ind w:left="7628" w:hanging="122"/>
      </w:pPr>
      <w:rPr>
        <w:rFonts w:hint="default"/>
        <w:lang w:val="en-US" w:eastAsia="en-US" w:bidi="ar-SA"/>
      </w:rPr>
    </w:lvl>
  </w:abstractNum>
  <w:abstractNum w:abstractNumId="32">
    <w:multiLevelType w:val="hybridMultilevel"/>
    <w:lvl w:ilvl="0">
      <w:start w:val="0"/>
      <w:numFmt w:val="bullet"/>
      <w:lvlText w:val="•"/>
      <w:lvlJc w:val="left"/>
      <w:pPr>
        <w:ind w:left="750" w:hanging="124"/>
      </w:pPr>
      <w:rPr>
        <w:rFonts w:hint="default" w:ascii="Arial" w:hAnsi="Arial" w:eastAsia="Arial" w:cs="Arial"/>
        <w:b w:val="0"/>
        <w:bCs w:val="0"/>
        <w:i w:val="0"/>
        <w:iCs w:val="0"/>
        <w:spacing w:val="0"/>
        <w:w w:val="105"/>
        <w:sz w:val="13"/>
        <w:szCs w:val="13"/>
        <w:lang w:val="en-US" w:eastAsia="en-US" w:bidi="ar-SA"/>
      </w:rPr>
    </w:lvl>
    <w:lvl w:ilvl="1">
      <w:start w:val="0"/>
      <w:numFmt w:val="bullet"/>
      <w:lvlText w:val="•"/>
      <w:lvlJc w:val="left"/>
      <w:pPr>
        <w:ind w:left="1618" w:hanging="124"/>
      </w:pPr>
      <w:rPr>
        <w:rFonts w:hint="default"/>
        <w:lang w:val="en-US" w:eastAsia="en-US" w:bidi="ar-SA"/>
      </w:rPr>
    </w:lvl>
    <w:lvl w:ilvl="2">
      <w:start w:val="0"/>
      <w:numFmt w:val="bullet"/>
      <w:lvlText w:val="•"/>
      <w:lvlJc w:val="left"/>
      <w:pPr>
        <w:ind w:left="2477" w:hanging="124"/>
      </w:pPr>
      <w:rPr>
        <w:rFonts w:hint="default"/>
        <w:lang w:val="en-US" w:eastAsia="en-US" w:bidi="ar-SA"/>
      </w:rPr>
    </w:lvl>
    <w:lvl w:ilvl="3">
      <w:start w:val="0"/>
      <w:numFmt w:val="bullet"/>
      <w:lvlText w:val="•"/>
      <w:lvlJc w:val="left"/>
      <w:pPr>
        <w:ind w:left="3335" w:hanging="124"/>
      </w:pPr>
      <w:rPr>
        <w:rFonts w:hint="default"/>
        <w:lang w:val="en-US" w:eastAsia="en-US" w:bidi="ar-SA"/>
      </w:rPr>
    </w:lvl>
    <w:lvl w:ilvl="4">
      <w:start w:val="0"/>
      <w:numFmt w:val="bullet"/>
      <w:lvlText w:val="•"/>
      <w:lvlJc w:val="left"/>
      <w:pPr>
        <w:ind w:left="4194" w:hanging="124"/>
      </w:pPr>
      <w:rPr>
        <w:rFonts w:hint="default"/>
        <w:lang w:val="en-US" w:eastAsia="en-US" w:bidi="ar-SA"/>
      </w:rPr>
    </w:lvl>
    <w:lvl w:ilvl="5">
      <w:start w:val="0"/>
      <w:numFmt w:val="bullet"/>
      <w:lvlText w:val="•"/>
      <w:lvlJc w:val="left"/>
      <w:pPr>
        <w:ind w:left="5052" w:hanging="124"/>
      </w:pPr>
      <w:rPr>
        <w:rFonts w:hint="default"/>
        <w:lang w:val="en-US" w:eastAsia="en-US" w:bidi="ar-SA"/>
      </w:rPr>
    </w:lvl>
    <w:lvl w:ilvl="6">
      <w:start w:val="0"/>
      <w:numFmt w:val="bullet"/>
      <w:lvlText w:val="•"/>
      <w:lvlJc w:val="left"/>
      <w:pPr>
        <w:ind w:left="5911" w:hanging="124"/>
      </w:pPr>
      <w:rPr>
        <w:rFonts w:hint="default"/>
        <w:lang w:val="en-US" w:eastAsia="en-US" w:bidi="ar-SA"/>
      </w:rPr>
    </w:lvl>
    <w:lvl w:ilvl="7">
      <w:start w:val="0"/>
      <w:numFmt w:val="bullet"/>
      <w:lvlText w:val="•"/>
      <w:lvlJc w:val="left"/>
      <w:pPr>
        <w:ind w:left="6769" w:hanging="124"/>
      </w:pPr>
      <w:rPr>
        <w:rFonts w:hint="default"/>
        <w:lang w:val="en-US" w:eastAsia="en-US" w:bidi="ar-SA"/>
      </w:rPr>
    </w:lvl>
    <w:lvl w:ilvl="8">
      <w:start w:val="0"/>
      <w:numFmt w:val="bullet"/>
      <w:lvlText w:val="•"/>
      <w:lvlJc w:val="left"/>
      <w:pPr>
        <w:ind w:left="7628" w:hanging="124"/>
      </w:pPr>
      <w:rPr>
        <w:rFonts w:hint="default"/>
        <w:lang w:val="en-US" w:eastAsia="en-US" w:bidi="ar-SA"/>
      </w:rPr>
    </w:lvl>
  </w:abstractNum>
  <w:abstractNum w:abstractNumId="31">
    <w:multiLevelType w:val="hybridMultilevel"/>
    <w:lvl w:ilvl="0">
      <w:start w:val="1"/>
      <w:numFmt w:val="lowerLetter"/>
      <w:lvlText w:val="(%1)"/>
      <w:lvlJc w:val="left"/>
      <w:pPr>
        <w:ind w:left="745" w:hanging="613"/>
        <w:jc w:val="left"/>
      </w:pPr>
      <w:rPr>
        <w:rFonts w:hint="default" w:ascii="Arial" w:hAnsi="Arial" w:eastAsia="Arial" w:cs="Arial"/>
        <w:b/>
        <w:bCs/>
        <w:i w:val="0"/>
        <w:iCs w:val="0"/>
        <w:spacing w:val="-2"/>
        <w:w w:val="98"/>
        <w:sz w:val="14"/>
        <w:szCs w:val="14"/>
        <w:lang w:val="en-US" w:eastAsia="en-US" w:bidi="ar-SA"/>
      </w:rPr>
    </w:lvl>
    <w:lvl w:ilvl="1">
      <w:start w:val="0"/>
      <w:numFmt w:val="bullet"/>
      <w:lvlText w:val="•"/>
      <w:lvlJc w:val="left"/>
      <w:pPr>
        <w:ind w:left="1600" w:hanging="613"/>
      </w:pPr>
      <w:rPr>
        <w:rFonts w:hint="default"/>
        <w:lang w:val="en-US" w:eastAsia="en-US" w:bidi="ar-SA"/>
      </w:rPr>
    </w:lvl>
    <w:lvl w:ilvl="2">
      <w:start w:val="0"/>
      <w:numFmt w:val="bullet"/>
      <w:lvlText w:val="•"/>
      <w:lvlJc w:val="left"/>
      <w:pPr>
        <w:ind w:left="2461" w:hanging="613"/>
      </w:pPr>
      <w:rPr>
        <w:rFonts w:hint="default"/>
        <w:lang w:val="en-US" w:eastAsia="en-US" w:bidi="ar-SA"/>
      </w:rPr>
    </w:lvl>
    <w:lvl w:ilvl="3">
      <w:start w:val="0"/>
      <w:numFmt w:val="bullet"/>
      <w:lvlText w:val="•"/>
      <w:lvlJc w:val="left"/>
      <w:pPr>
        <w:ind w:left="3321" w:hanging="613"/>
      </w:pPr>
      <w:rPr>
        <w:rFonts w:hint="default"/>
        <w:lang w:val="en-US" w:eastAsia="en-US" w:bidi="ar-SA"/>
      </w:rPr>
    </w:lvl>
    <w:lvl w:ilvl="4">
      <w:start w:val="0"/>
      <w:numFmt w:val="bullet"/>
      <w:lvlText w:val="•"/>
      <w:lvlJc w:val="left"/>
      <w:pPr>
        <w:ind w:left="4182" w:hanging="613"/>
      </w:pPr>
      <w:rPr>
        <w:rFonts w:hint="default"/>
        <w:lang w:val="en-US" w:eastAsia="en-US" w:bidi="ar-SA"/>
      </w:rPr>
    </w:lvl>
    <w:lvl w:ilvl="5">
      <w:start w:val="0"/>
      <w:numFmt w:val="bullet"/>
      <w:lvlText w:val="•"/>
      <w:lvlJc w:val="left"/>
      <w:pPr>
        <w:ind w:left="5042" w:hanging="613"/>
      </w:pPr>
      <w:rPr>
        <w:rFonts w:hint="default"/>
        <w:lang w:val="en-US" w:eastAsia="en-US" w:bidi="ar-SA"/>
      </w:rPr>
    </w:lvl>
    <w:lvl w:ilvl="6">
      <w:start w:val="0"/>
      <w:numFmt w:val="bullet"/>
      <w:lvlText w:val="•"/>
      <w:lvlJc w:val="left"/>
      <w:pPr>
        <w:ind w:left="5903" w:hanging="613"/>
      </w:pPr>
      <w:rPr>
        <w:rFonts w:hint="default"/>
        <w:lang w:val="en-US" w:eastAsia="en-US" w:bidi="ar-SA"/>
      </w:rPr>
    </w:lvl>
    <w:lvl w:ilvl="7">
      <w:start w:val="0"/>
      <w:numFmt w:val="bullet"/>
      <w:lvlText w:val="•"/>
      <w:lvlJc w:val="left"/>
      <w:pPr>
        <w:ind w:left="6763" w:hanging="613"/>
      </w:pPr>
      <w:rPr>
        <w:rFonts w:hint="default"/>
        <w:lang w:val="en-US" w:eastAsia="en-US" w:bidi="ar-SA"/>
      </w:rPr>
    </w:lvl>
    <w:lvl w:ilvl="8">
      <w:start w:val="0"/>
      <w:numFmt w:val="bullet"/>
      <w:lvlText w:val="•"/>
      <w:lvlJc w:val="left"/>
      <w:pPr>
        <w:ind w:left="7624" w:hanging="613"/>
      </w:pPr>
      <w:rPr>
        <w:rFonts w:hint="default"/>
        <w:lang w:val="en-US" w:eastAsia="en-US" w:bidi="ar-SA"/>
      </w:rPr>
    </w:lvl>
  </w:abstractNum>
  <w:abstractNum w:abstractNumId="30">
    <w:multiLevelType w:val="hybridMultilevel"/>
    <w:lvl w:ilvl="0">
      <w:start w:val="0"/>
      <w:numFmt w:val="bullet"/>
      <w:lvlText w:val="•"/>
      <w:lvlJc w:val="left"/>
      <w:pPr>
        <w:ind w:left="843" w:hanging="96"/>
      </w:pPr>
      <w:rPr>
        <w:rFonts w:hint="default" w:ascii="Arial" w:hAnsi="Arial" w:eastAsia="Arial" w:cs="Arial"/>
        <w:b w:val="0"/>
        <w:bCs w:val="0"/>
        <w:i w:val="0"/>
        <w:iCs w:val="0"/>
        <w:spacing w:val="0"/>
        <w:w w:val="100"/>
        <w:sz w:val="15"/>
        <w:szCs w:val="15"/>
        <w:lang w:val="en-US" w:eastAsia="en-US" w:bidi="ar-SA"/>
      </w:rPr>
    </w:lvl>
    <w:lvl w:ilvl="1">
      <w:start w:val="0"/>
      <w:numFmt w:val="bullet"/>
      <w:lvlText w:val="•"/>
      <w:lvlJc w:val="left"/>
      <w:pPr>
        <w:ind w:left="1690" w:hanging="96"/>
      </w:pPr>
      <w:rPr>
        <w:rFonts w:hint="default"/>
        <w:lang w:val="en-US" w:eastAsia="en-US" w:bidi="ar-SA"/>
      </w:rPr>
    </w:lvl>
    <w:lvl w:ilvl="2">
      <w:start w:val="0"/>
      <w:numFmt w:val="bullet"/>
      <w:lvlText w:val="•"/>
      <w:lvlJc w:val="left"/>
      <w:pPr>
        <w:ind w:left="2541" w:hanging="96"/>
      </w:pPr>
      <w:rPr>
        <w:rFonts w:hint="default"/>
        <w:lang w:val="en-US" w:eastAsia="en-US" w:bidi="ar-SA"/>
      </w:rPr>
    </w:lvl>
    <w:lvl w:ilvl="3">
      <w:start w:val="0"/>
      <w:numFmt w:val="bullet"/>
      <w:lvlText w:val="•"/>
      <w:lvlJc w:val="left"/>
      <w:pPr>
        <w:ind w:left="3391" w:hanging="96"/>
      </w:pPr>
      <w:rPr>
        <w:rFonts w:hint="default"/>
        <w:lang w:val="en-US" w:eastAsia="en-US" w:bidi="ar-SA"/>
      </w:rPr>
    </w:lvl>
    <w:lvl w:ilvl="4">
      <w:start w:val="0"/>
      <w:numFmt w:val="bullet"/>
      <w:lvlText w:val="•"/>
      <w:lvlJc w:val="left"/>
      <w:pPr>
        <w:ind w:left="4242" w:hanging="96"/>
      </w:pPr>
      <w:rPr>
        <w:rFonts w:hint="default"/>
        <w:lang w:val="en-US" w:eastAsia="en-US" w:bidi="ar-SA"/>
      </w:rPr>
    </w:lvl>
    <w:lvl w:ilvl="5">
      <w:start w:val="0"/>
      <w:numFmt w:val="bullet"/>
      <w:lvlText w:val="•"/>
      <w:lvlJc w:val="left"/>
      <w:pPr>
        <w:ind w:left="5092" w:hanging="96"/>
      </w:pPr>
      <w:rPr>
        <w:rFonts w:hint="default"/>
        <w:lang w:val="en-US" w:eastAsia="en-US" w:bidi="ar-SA"/>
      </w:rPr>
    </w:lvl>
    <w:lvl w:ilvl="6">
      <w:start w:val="0"/>
      <w:numFmt w:val="bullet"/>
      <w:lvlText w:val="•"/>
      <w:lvlJc w:val="left"/>
      <w:pPr>
        <w:ind w:left="5943" w:hanging="96"/>
      </w:pPr>
      <w:rPr>
        <w:rFonts w:hint="default"/>
        <w:lang w:val="en-US" w:eastAsia="en-US" w:bidi="ar-SA"/>
      </w:rPr>
    </w:lvl>
    <w:lvl w:ilvl="7">
      <w:start w:val="0"/>
      <w:numFmt w:val="bullet"/>
      <w:lvlText w:val="•"/>
      <w:lvlJc w:val="left"/>
      <w:pPr>
        <w:ind w:left="6793" w:hanging="96"/>
      </w:pPr>
      <w:rPr>
        <w:rFonts w:hint="default"/>
        <w:lang w:val="en-US" w:eastAsia="en-US" w:bidi="ar-SA"/>
      </w:rPr>
    </w:lvl>
    <w:lvl w:ilvl="8">
      <w:start w:val="0"/>
      <w:numFmt w:val="bullet"/>
      <w:lvlText w:val="•"/>
      <w:lvlJc w:val="left"/>
      <w:pPr>
        <w:ind w:left="7644" w:hanging="96"/>
      </w:pPr>
      <w:rPr>
        <w:rFonts w:hint="default"/>
        <w:lang w:val="en-US" w:eastAsia="en-US" w:bidi="ar-SA"/>
      </w:rPr>
    </w:lvl>
  </w:abstractNum>
  <w:abstractNum w:abstractNumId="29">
    <w:multiLevelType w:val="hybridMultilevel"/>
    <w:lvl w:ilvl="0">
      <w:start w:val="0"/>
      <w:numFmt w:val="bullet"/>
      <w:lvlText w:val="•"/>
      <w:lvlJc w:val="left"/>
      <w:pPr>
        <w:ind w:left="262" w:hanging="87"/>
      </w:pPr>
      <w:rPr>
        <w:rFonts w:hint="default" w:ascii="Arial" w:hAnsi="Arial" w:eastAsia="Arial" w:cs="Arial"/>
        <w:b w:val="0"/>
        <w:bCs w:val="0"/>
        <w:i w:val="0"/>
        <w:iCs w:val="0"/>
        <w:spacing w:val="0"/>
        <w:w w:val="105"/>
        <w:sz w:val="13"/>
        <w:szCs w:val="13"/>
        <w:lang w:val="en-US" w:eastAsia="en-US" w:bidi="ar-SA"/>
      </w:rPr>
    </w:lvl>
    <w:lvl w:ilvl="1">
      <w:start w:val="0"/>
      <w:numFmt w:val="bullet"/>
      <w:lvlText w:val="•"/>
      <w:lvlJc w:val="left"/>
      <w:pPr>
        <w:ind w:left="570" w:hanging="87"/>
      </w:pPr>
      <w:rPr>
        <w:rFonts w:hint="default"/>
        <w:lang w:val="en-US" w:eastAsia="en-US" w:bidi="ar-SA"/>
      </w:rPr>
    </w:lvl>
    <w:lvl w:ilvl="2">
      <w:start w:val="0"/>
      <w:numFmt w:val="bullet"/>
      <w:lvlText w:val="•"/>
      <w:lvlJc w:val="left"/>
      <w:pPr>
        <w:ind w:left="880" w:hanging="87"/>
      </w:pPr>
      <w:rPr>
        <w:rFonts w:hint="default"/>
        <w:lang w:val="en-US" w:eastAsia="en-US" w:bidi="ar-SA"/>
      </w:rPr>
    </w:lvl>
    <w:lvl w:ilvl="3">
      <w:start w:val="0"/>
      <w:numFmt w:val="bullet"/>
      <w:lvlText w:val="•"/>
      <w:lvlJc w:val="left"/>
      <w:pPr>
        <w:ind w:left="1190" w:hanging="87"/>
      </w:pPr>
      <w:rPr>
        <w:rFonts w:hint="default"/>
        <w:lang w:val="en-US" w:eastAsia="en-US" w:bidi="ar-SA"/>
      </w:rPr>
    </w:lvl>
    <w:lvl w:ilvl="4">
      <w:start w:val="0"/>
      <w:numFmt w:val="bullet"/>
      <w:lvlText w:val="•"/>
      <w:lvlJc w:val="left"/>
      <w:pPr>
        <w:ind w:left="1500" w:hanging="87"/>
      </w:pPr>
      <w:rPr>
        <w:rFonts w:hint="default"/>
        <w:lang w:val="en-US" w:eastAsia="en-US" w:bidi="ar-SA"/>
      </w:rPr>
    </w:lvl>
    <w:lvl w:ilvl="5">
      <w:start w:val="0"/>
      <w:numFmt w:val="bullet"/>
      <w:lvlText w:val="•"/>
      <w:lvlJc w:val="left"/>
      <w:pPr>
        <w:ind w:left="1810" w:hanging="87"/>
      </w:pPr>
      <w:rPr>
        <w:rFonts w:hint="default"/>
        <w:lang w:val="en-US" w:eastAsia="en-US" w:bidi="ar-SA"/>
      </w:rPr>
    </w:lvl>
    <w:lvl w:ilvl="6">
      <w:start w:val="0"/>
      <w:numFmt w:val="bullet"/>
      <w:lvlText w:val="•"/>
      <w:lvlJc w:val="left"/>
      <w:pPr>
        <w:ind w:left="2120" w:hanging="87"/>
      </w:pPr>
      <w:rPr>
        <w:rFonts w:hint="default"/>
        <w:lang w:val="en-US" w:eastAsia="en-US" w:bidi="ar-SA"/>
      </w:rPr>
    </w:lvl>
    <w:lvl w:ilvl="7">
      <w:start w:val="0"/>
      <w:numFmt w:val="bullet"/>
      <w:lvlText w:val="•"/>
      <w:lvlJc w:val="left"/>
      <w:pPr>
        <w:ind w:left="2430" w:hanging="87"/>
      </w:pPr>
      <w:rPr>
        <w:rFonts w:hint="default"/>
        <w:lang w:val="en-US" w:eastAsia="en-US" w:bidi="ar-SA"/>
      </w:rPr>
    </w:lvl>
    <w:lvl w:ilvl="8">
      <w:start w:val="0"/>
      <w:numFmt w:val="bullet"/>
      <w:lvlText w:val="•"/>
      <w:lvlJc w:val="left"/>
      <w:pPr>
        <w:ind w:left="2740" w:hanging="87"/>
      </w:pPr>
      <w:rPr>
        <w:rFonts w:hint="default"/>
        <w:lang w:val="en-US" w:eastAsia="en-US" w:bidi="ar-SA"/>
      </w:rPr>
    </w:lvl>
  </w:abstractNum>
  <w:abstractNum w:abstractNumId="28">
    <w:multiLevelType w:val="hybridMultilevel"/>
    <w:lvl w:ilvl="0">
      <w:start w:val="0"/>
      <w:numFmt w:val="bullet"/>
      <w:lvlText w:val="•"/>
      <w:lvlJc w:val="left"/>
      <w:pPr>
        <w:ind w:left="262" w:hanging="87"/>
      </w:pPr>
      <w:rPr>
        <w:rFonts w:hint="default" w:ascii="Arial" w:hAnsi="Arial" w:eastAsia="Arial" w:cs="Arial"/>
        <w:b w:val="0"/>
        <w:bCs w:val="0"/>
        <w:i w:val="0"/>
        <w:iCs w:val="0"/>
        <w:spacing w:val="0"/>
        <w:w w:val="105"/>
        <w:sz w:val="13"/>
        <w:szCs w:val="13"/>
        <w:lang w:val="en-US" w:eastAsia="en-US" w:bidi="ar-SA"/>
      </w:rPr>
    </w:lvl>
    <w:lvl w:ilvl="1">
      <w:start w:val="0"/>
      <w:numFmt w:val="bullet"/>
      <w:lvlText w:val="•"/>
      <w:lvlJc w:val="left"/>
      <w:pPr>
        <w:ind w:left="570" w:hanging="87"/>
      </w:pPr>
      <w:rPr>
        <w:rFonts w:hint="default"/>
        <w:lang w:val="en-US" w:eastAsia="en-US" w:bidi="ar-SA"/>
      </w:rPr>
    </w:lvl>
    <w:lvl w:ilvl="2">
      <w:start w:val="0"/>
      <w:numFmt w:val="bullet"/>
      <w:lvlText w:val="•"/>
      <w:lvlJc w:val="left"/>
      <w:pPr>
        <w:ind w:left="880" w:hanging="87"/>
      </w:pPr>
      <w:rPr>
        <w:rFonts w:hint="default"/>
        <w:lang w:val="en-US" w:eastAsia="en-US" w:bidi="ar-SA"/>
      </w:rPr>
    </w:lvl>
    <w:lvl w:ilvl="3">
      <w:start w:val="0"/>
      <w:numFmt w:val="bullet"/>
      <w:lvlText w:val="•"/>
      <w:lvlJc w:val="left"/>
      <w:pPr>
        <w:ind w:left="1190" w:hanging="87"/>
      </w:pPr>
      <w:rPr>
        <w:rFonts w:hint="default"/>
        <w:lang w:val="en-US" w:eastAsia="en-US" w:bidi="ar-SA"/>
      </w:rPr>
    </w:lvl>
    <w:lvl w:ilvl="4">
      <w:start w:val="0"/>
      <w:numFmt w:val="bullet"/>
      <w:lvlText w:val="•"/>
      <w:lvlJc w:val="left"/>
      <w:pPr>
        <w:ind w:left="1500" w:hanging="87"/>
      </w:pPr>
      <w:rPr>
        <w:rFonts w:hint="default"/>
        <w:lang w:val="en-US" w:eastAsia="en-US" w:bidi="ar-SA"/>
      </w:rPr>
    </w:lvl>
    <w:lvl w:ilvl="5">
      <w:start w:val="0"/>
      <w:numFmt w:val="bullet"/>
      <w:lvlText w:val="•"/>
      <w:lvlJc w:val="left"/>
      <w:pPr>
        <w:ind w:left="1810" w:hanging="87"/>
      </w:pPr>
      <w:rPr>
        <w:rFonts w:hint="default"/>
        <w:lang w:val="en-US" w:eastAsia="en-US" w:bidi="ar-SA"/>
      </w:rPr>
    </w:lvl>
    <w:lvl w:ilvl="6">
      <w:start w:val="0"/>
      <w:numFmt w:val="bullet"/>
      <w:lvlText w:val="•"/>
      <w:lvlJc w:val="left"/>
      <w:pPr>
        <w:ind w:left="2120" w:hanging="87"/>
      </w:pPr>
      <w:rPr>
        <w:rFonts w:hint="default"/>
        <w:lang w:val="en-US" w:eastAsia="en-US" w:bidi="ar-SA"/>
      </w:rPr>
    </w:lvl>
    <w:lvl w:ilvl="7">
      <w:start w:val="0"/>
      <w:numFmt w:val="bullet"/>
      <w:lvlText w:val="•"/>
      <w:lvlJc w:val="left"/>
      <w:pPr>
        <w:ind w:left="2430" w:hanging="87"/>
      </w:pPr>
      <w:rPr>
        <w:rFonts w:hint="default"/>
        <w:lang w:val="en-US" w:eastAsia="en-US" w:bidi="ar-SA"/>
      </w:rPr>
    </w:lvl>
    <w:lvl w:ilvl="8">
      <w:start w:val="0"/>
      <w:numFmt w:val="bullet"/>
      <w:lvlText w:val="•"/>
      <w:lvlJc w:val="left"/>
      <w:pPr>
        <w:ind w:left="2740" w:hanging="87"/>
      </w:pPr>
      <w:rPr>
        <w:rFonts w:hint="default"/>
        <w:lang w:val="en-US" w:eastAsia="en-US" w:bidi="ar-SA"/>
      </w:rPr>
    </w:lvl>
  </w:abstractNum>
  <w:abstractNum w:abstractNumId="27">
    <w:multiLevelType w:val="hybridMultilevel"/>
    <w:lvl w:ilvl="0">
      <w:start w:val="0"/>
      <w:numFmt w:val="bullet"/>
      <w:lvlText w:val="•"/>
      <w:lvlJc w:val="left"/>
      <w:pPr>
        <w:ind w:left="262" w:hanging="87"/>
      </w:pPr>
      <w:rPr>
        <w:rFonts w:hint="default" w:ascii="Arial" w:hAnsi="Arial" w:eastAsia="Arial" w:cs="Arial"/>
        <w:b w:val="0"/>
        <w:bCs w:val="0"/>
        <w:i w:val="0"/>
        <w:iCs w:val="0"/>
        <w:spacing w:val="0"/>
        <w:w w:val="105"/>
        <w:sz w:val="13"/>
        <w:szCs w:val="13"/>
        <w:lang w:val="en-US" w:eastAsia="en-US" w:bidi="ar-SA"/>
      </w:rPr>
    </w:lvl>
    <w:lvl w:ilvl="1">
      <w:start w:val="0"/>
      <w:numFmt w:val="bullet"/>
      <w:lvlText w:val="•"/>
      <w:lvlJc w:val="left"/>
      <w:pPr>
        <w:ind w:left="570" w:hanging="87"/>
      </w:pPr>
      <w:rPr>
        <w:rFonts w:hint="default"/>
        <w:lang w:val="en-US" w:eastAsia="en-US" w:bidi="ar-SA"/>
      </w:rPr>
    </w:lvl>
    <w:lvl w:ilvl="2">
      <w:start w:val="0"/>
      <w:numFmt w:val="bullet"/>
      <w:lvlText w:val="•"/>
      <w:lvlJc w:val="left"/>
      <w:pPr>
        <w:ind w:left="880" w:hanging="87"/>
      </w:pPr>
      <w:rPr>
        <w:rFonts w:hint="default"/>
        <w:lang w:val="en-US" w:eastAsia="en-US" w:bidi="ar-SA"/>
      </w:rPr>
    </w:lvl>
    <w:lvl w:ilvl="3">
      <w:start w:val="0"/>
      <w:numFmt w:val="bullet"/>
      <w:lvlText w:val="•"/>
      <w:lvlJc w:val="left"/>
      <w:pPr>
        <w:ind w:left="1190" w:hanging="87"/>
      </w:pPr>
      <w:rPr>
        <w:rFonts w:hint="default"/>
        <w:lang w:val="en-US" w:eastAsia="en-US" w:bidi="ar-SA"/>
      </w:rPr>
    </w:lvl>
    <w:lvl w:ilvl="4">
      <w:start w:val="0"/>
      <w:numFmt w:val="bullet"/>
      <w:lvlText w:val="•"/>
      <w:lvlJc w:val="left"/>
      <w:pPr>
        <w:ind w:left="1500" w:hanging="87"/>
      </w:pPr>
      <w:rPr>
        <w:rFonts w:hint="default"/>
        <w:lang w:val="en-US" w:eastAsia="en-US" w:bidi="ar-SA"/>
      </w:rPr>
    </w:lvl>
    <w:lvl w:ilvl="5">
      <w:start w:val="0"/>
      <w:numFmt w:val="bullet"/>
      <w:lvlText w:val="•"/>
      <w:lvlJc w:val="left"/>
      <w:pPr>
        <w:ind w:left="1810" w:hanging="87"/>
      </w:pPr>
      <w:rPr>
        <w:rFonts w:hint="default"/>
        <w:lang w:val="en-US" w:eastAsia="en-US" w:bidi="ar-SA"/>
      </w:rPr>
    </w:lvl>
    <w:lvl w:ilvl="6">
      <w:start w:val="0"/>
      <w:numFmt w:val="bullet"/>
      <w:lvlText w:val="•"/>
      <w:lvlJc w:val="left"/>
      <w:pPr>
        <w:ind w:left="2120" w:hanging="87"/>
      </w:pPr>
      <w:rPr>
        <w:rFonts w:hint="default"/>
        <w:lang w:val="en-US" w:eastAsia="en-US" w:bidi="ar-SA"/>
      </w:rPr>
    </w:lvl>
    <w:lvl w:ilvl="7">
      <w:start w:val="0"/>
      <w:numFmt w:val="bullet"/>
      <w:lvlText w:val="•"/>
      <w:lvlJc w:val="left"/>
      <w:pPr>
        <w:ind w:left="2430" w:hanging="87"/>
      </w:pPr>
      <w:rPr>
        <w:rFonts w:hint="default"/>
        <w:lang w:val="en-US" w:eastAsia="en-US" w:bidi="ar-SA"/>
      </w:rPr>
    </w:lvl>
    <w:lvl w:ilvl="8">
      <w:start w:val="0"/>
      <w:numFmt w:val="bullet"/>
      <w:lvlText w:val="•"/>
      <w:lvlJc w:val="left"/>
      <w:pPr>
        <w:ind w:left="2740" w:hanging="87"/>
      </w:pPr>
      <w:rPr>
        <w:rFonts w:hint="default"/>
        <w:lang w:val="en-US" w:eastAsia="en-US" w:bidi="ar-SA"/>
      </w:rPr>
    </w:lvl>
  </w:abstractNum>
  <w:abstractNum w:abstractNumId="26">
    <w:multiLevelType w:val="hybridMultilevel"/>
    <w:lvl w:ilvl="0">
      <w:start w:val="0"/>
      <w:numFmt w:val="bullet"/>
      <w:lvlText w:val="•"/>
      <w:lvlJc w:val="left"/>
      <w:pPr>
        <w:ind w:left="262" w:hanging="87"/>
      </w:pPr>
      <w:rPr>
        <w:rFonts w:hint="default" w:ascii="Arial" w:hAnsi="Arial" w:eastAsia="Arial" w:cs="Arial"/>
        <w:b w:val="0"/>
        <w:bCs w:val="0"/>
        <w:i w:val="0"/>
        <w:iCs w:val="0"/>
        <w:spacing w:val="0"/>
        <w:w w:val="105"/>
        <w:sz w:val="13"/>
        <w:szCs w:val="13"/>
        <w:lang w:val="en-US" w:eastAsia="en-US" w:bidi="ar-SA"/>
      </w:rPr>
    </w:lvl>
    <w:lvl w:ilvl="1">
      <w:start w:val="0"/>
      <w:numFmt w:val="bullet"/>
      <w:lvlText w:val="•"/>
      <w:lvlJc w:val="left"/>
      <w:pPr>
        <w:ind w:left="570" w:hanging="87"/>
      </w:pPr>
      <w:rPr>
        <w:rFonts w:hint="default"/>
        <w:lang w:val="en-US" w:eastAsia="en-US" w:bidi="ar-SA"/>
      </w:rPr>
    </w:lvl>
    <w:lvl w:ilvl="2">
      <w:start w:val="0"/>
      <w:numFmt w:val="bullet"/>
      <w:lvlText w:val="•"/>
      <w:lvlJc w:val="left"/>
      <w:pPr>
        <w:ind w:left="880" w:hanging="87"/>
      </w:pPr>
      <w:rPr>
        <w:rFonts w:hint="default"/>
        <w:lang w:val="en-US" w:eastAsia="en-US" w:bidi="ar-SA"/>
      </w:rPr>
    </w:lvl>
    <w:lvl w:ilvl="3">
      <w:start w:val="0"/>
      <w:numFmt w:val="bullet"/>
      <w:lvlText w:val="•"/>
      <w:lvlJc w:val="left"/>
      <w:pPr>
        <w:ind w:left="1190" w:hanging="87"/>
      </w:pPr>
      <w:rPr>
        <w:rFonts w:hint="default"/>
        <w:lang w:val="en-US" w:eastAsia="en-US" w:bidi="ar-SA"/>
      </w:rPr>
    </w:lvl>
    <w:lvl w:ilvl="4">
      <w:start w:val="0"/>
      <w:numFmt w:val="bullet"/>
      <w:lvlText w:val="•"/>
      <w:lvlJc w:val="left"/>
      <w:pPr>
        <w:ind w:left="1500" w:hanging="87"/>
      </w:pPr>
      <w:rPr>
        <w:rFonts w:hint="default"/>
        <w:lang w:val="en-US" w:eastAsia="en-US" w:bidi="ar-SA"/>
      </w:rPr>
    </w:lvl>
    <w:lvl w:ilvl="5">
      <w:start w:val="0"/>
      <w:numFmt w:val="bullet"/>
      <w:lvlText w:val="•"/>
      <w:lvlJc w:val="left"/>
      <w:pPr>
        <w:ind w:left="1810" w:hanging="87"/>
      </w:pPr>
      <w:rPr>
        <w:rFonts w:hint="default"/>
        <w:lang w:val="en-US" w:eastAsia="en-US" w:bidi="ar-SA"/>
      </w:rPr>
    </w:lvl>
    <w:lvl w:ilvl="6">
      <w:start w:val="0"/>
      <w:numFmt w:val="bullet"/>
      <w:lvlText w:val="•"/>
      <w:lvlJc w:val="left"/>
      <w:pPr>
        <w:ind w:left="2120" w:hanging="87"/>
      </w:pPr>
      <w:rPr>
        <w:rFonts w:hint="default"/>
        <w:lang w:val="en-US" w:eastAsia="en-US" w:bidi="ar-SA"/>
      </w:rPr>
    </w:lvl>
    <w:lvl w:ilvl="7">
      <w:start w:val="0"/>
      <w:numFmt w:val="bullet"/>
      <w:lvlText w:val="•"/>
      <w:lvlJc w:val="left"/>
      <w:pPr>
        <w:ind w:left="2430" w:hanging="87"/>
      </w:pPr>
      <w:rPr>
        <w:rFonts w:hint="default"/>
        <w:lang w:val="en-US" w:eastAsia="en-US" w:bidi="ar-SA"/>
      </w:rPr>
    </w:lvl>
    <w:lvl w:ilvl="8">
      <w:start w:val="0"/>
      <w:numFmt w:val="bullet"/>
      <w:lvlText w:val="•"/>
      <w:lvlJc w:val="left"/>
      <w:pPr>
        <w:ind w:left="2740" w:hanging="87"/>
      </w:pPr>
      <w:rPr>
        <w:rFonts w:hint="default"/>
        <w:lang w:val="en-US" w:eastAsia="en-US" w:bidi="ar-SA"/>
      </w:rPr>
    </w:lvl>
  </w:abstractNum>
  <w:abstractNum w:abstractNumId="25">
    <w:multiLevelType w:val="hybridMultilevel"/>
    <w:lvl w:ilvl="0">
      <w:start w:val="0"/>
      <w:numFmt w:val="bullet"/>
      <w:lvlText w:val="•"/>
      <w:lvlJc w:val="left"/>
      <w:pPr>
        <w:ind w:left="262" w:hanging="87"/>
      </w:pPr>
      <w:rPr>
        <w:rFonts w:hint="default" w:ascii="Arial" w:hAnsi="Arial" w:eastAsia="Arial" w:cs="Arial"/>
        <w:b w:val="0"/>
        <w:bCs w:val="0"/>
        <w:i w:val="0"/>
        <w:iCs w:val="0"/>
        <w:spacing w:val="0"/>
        <w:w w:val="105"/>
        <w:sz w:val="13"/>
        <w:szCs w:val="13"/>
        <w:lang w:val="en-US" w:eastAsia="en-US" w:bidi="ar-SA"/>
      </w:rPr>
    </w:lvl>
    <w:lvl w:ilvl="1">
      <w:start w:val="0"/>
      <w:numFmt w:val="bullet"/>
      <w:lvlText w:val="•"/>
      <w:lvlJc w:val="left"/>
      <w:pPr>
        <w:ind w:left="570" w:hanging="87"/>
      </w:pPr>
      <w:rPr>
        <w:rFonts w:hint="default"/>
        <w:lang w:val="en-US" w:eastAsia="en-US" w:bidi="ar-SA"/>
      </w:rPr>
    </w:lvl>
    <w:lvl w:ilvl="2">
      <w:start w:val="0"/>
      <w:numFmt w:val="bullet"/>
      <w:lvlText w:val="•"/>
      <w:lvlJc w:val="left"/>
      <w:pPr>
        <w:ind w:left="880" w:hanging="87"/>
      </w:pPr>
      <w:rPr>
        <w:rFonts w:hint="default"/>
        <w:lang w:val="en-US" w:eastAsia="en-US" w:bidi="ar-SA"/>
      </w:rPr>
    </w:lvl>
    <w:lvl w:ilvl="3">
      <w:start w:val="0"/>
      <w:numFmt w:val="bullet"/>
      <w:lvlText w:val="•"/>
      <w:lvlJc w:val="left"/>
      <w:pPr>
        <w:ind w:left="1190" w:hanging="87"/>
      </w:pPr>
      <w:rPr>
        <w:rFonts w:hint="default"/>
        <w:lang w:val="en-US" w:eastAsia="en-US" w:bidi="ar-SA"/>
      </w:rPr>
    </w:lvl>
    <w:lvl w:ilvl="4">
      <w:start w:val="0"/>
      <w:numFmt w:val="bullet"/>
      <w:lvlText w:val="•"/>
      <w:lvlJc w:val="left"/>
      <w:pPr>
        <w:ind w:left="1500" w:hanging="87"/>
      </w:pPr>
      <w:rPr>
        <w:rFonts w:hint="default"/>
        <w:lang w:val="en-US" w:eastAsia="en-US" w:bidi="ar-SA"/>
      </w:rPr>
    </w:lvl>
    <w:lvl w:ilvl="5">
      <w:start w:val="0"/>
      <w:numFmt w:val="bullet"/>
      <w:lvlText w:val="•"/>
      <w:lvlJc w:val="left"/>
      <w:pPr>
        <w:ind w:left="1810" w:hanging="87"/>
      </w:pPr>
      <w:rPr>
        <w:rFonts w:hint="default"/>
        <w:lang w:val="en-US" w:eastAsia="en-US" w:bidi="ar-SA"/>
      </w:rPr>
    </w:lvl>
    <w:lvl w:ilvl="6">
      <w:start w:val="0"/>
      <w:numFmt w:val="bullet"/>
      <w:lvlText w:val="•"/>
      <w:lvlJc w:val="left"/>
      <w:pPr>
        <w:ind w:left="2120" w:hanging="87"/>
      </w:pPr>
      <w:rPr>
        <w:rFonts w:hint="default"/>
        <w:lang w:val="en-US" w:eastAsia="en-US" w:bidi="ar-SA"/>
      </w:rPr>
    </w:lvl>
    <w:lvl w:ilvl="7">
      <w:start w:val="0"/>
      <w:numFmt w:val="bullet"/>
      <w:lvlText w:val="•"/>
      <w:lvlJc w:val="left"/>
      <w:pPr>
        <w:ind w:left="2430" w:hanging="87"/>
      </w:pPr>
      <w:rPr>
        <w:rFonts w:hint="default"/>
        <w:lang w:val="en-US" w:eastAsia="en-US" w:bidi="ar-SA"/>
      </w:rPr>
    </w:lvl>
    <w:lvl w:ilvl="8">
      <w:start w:val="0"/>
      <w:numFmt w:val="bullet"/>
      <w:lvlText w:val="•"/>
      <w:lvlJc w:val="left"/>
      <w:pPr>
        <w:ind w:left="2740" w:hanging="87"/>
      </w:pPr>
      <w:rPr>
        <w:rFonts w:hint="default"/>
        <w:lang w:val="en-US" w:eastAsia="en-US" w:bidi="ar-SA"/>
      </w:rPr>
    </w:lvl>
  </w:abstractNum>
  <w:abstractNum w:abstractNumId="24">
    <w:multiLevelType w:val="hybridMultilevel"/>
    <w:lvl w:ilvl="0">
      <w:start w:val="0"/>
      <w:numFmt w:val="bullet"/>
      <w:lvlText w:val="•"/>
      <w:lvlJc w:val="left"/>
      <w:pPr>
        <w:ind w:left="262" w:hanging="87"/>
      </w:pPr>
      <w:rPr>
        <w:rFonts w:hint="default" w:ascii="Arial" w:hAnsi="Arial" w:eastAsia="Arial" w:cs="Arial"/>
        <w:b w:val="0"/>
        <w:bCs w:val="0"/>
        <w:i w:val="0"/>
        <w:iCs w:val="0"/>
        <w:spacing w:val="0"/>
        <w:w w:val="105"/>
        <w:sz w:val="13"/>
        <w:szCs w:val="13"/>
        <w:lang w:val="en-US" w:eastAsia="en-US" w:bidi="ar-SA"/>
      </w:rPr>
    </w:lvl>
    <w:lvl w:ilvl="1">
      <w:start w:val="0"/>
      <w:numFmt w:val="bullet"/>
      <w:lvlText w:val="•"/>
      <w:lvlJc w:val="left"/>
      <w:pPr>
        <w:ind w:left="570" w:hanging="87"/>
      </w:pPr>
      <w:rPr>
        <w:rFonts w:hint="default"/>
        <w:lang w:val="en-US" w:eastAsia="en-US" w:bidi="ar-SA"/>
      </w:rPr>
    </w:lvl>
    <w:lvl w:ilvl="2">
      <w:start w:val="0"/>
      <w:numFmt w:val="bullet"/>
      <w:lvlText w:val="•"/>
      <w:lvlJc w:val="left"/>
      <w:pPr>
        <w:ind w:left="880" w:hanging="87"/>
      </w:pPr>
      <w:rPr>
        <w:rFonts w:hint="default"/>
        <w:lang w:val="en-US" w:eastAsia="en-US" w:bidi="ar-SA"/>
      </w:rPr>
    </w:lvl>
    <w:lvl w:ilvl="3">
      <w:start w:val="0"/>
      <w:numFmt w:val="bullet"/>
      <w:lvlText w:val="•"/>
      <w:lvlJc w:val="left"/>
      <w:pPr>
        <w:ind w:left="1190" w:hanging="87"/>
      </w:pPr>
      <w:rPr>
        <w:rFonts w:hint="default"/>
        <w:lang w:val="en-US" w:eastAsia="en-US" w:bidi="ar-SA"/>
      </w:rPr>
    </w:lvl>
    <w:lvl w:ilvl="4">
      <w:start w:val="0"/>
      <w:numFmt w:val="bullet"/>
      <w:lvlText w:val="•"/>
      <w:lvlJc w:val="left"/>
      <w:pPr>
        <w:ind w:left="1500" w:hanging="87"/>
      </w:pPr>
      <w:rPr>
        <w:rFonts w:hint="default"/>
        <w:lang w:val="en-US" w:eastAsia="en-US" w:bidi="ar-SA"/>
      </w:rPr>
    </w:lvl>
    <w:lvl w:ilvl="5">
      <w:start w:val="0"/>
      <w:numFmt w:val="bullet"/>
      <w:lvlText w:val="•"/>
      <w:lvlJc w:val="left"/>
      <w:pPr>
        <w:ind w:left="1810" w:hanging="87"/>
      </w:pPr>
      <w:rPr>
        <w:rFonts w:hint="default"/>
        <w:lang w:val="en-US" w:eastAsia="en-US" w:bidi="ar-SA"/>
      </w:rPr>
    </w:lvl>
    <w:lvl w:ilvl="6">
      <w:start w:val="0"/>
      <w:numFmt w:val="bullet"/>
      <w:lvlText w:val="•"/>
      <w:lvlJc w:val="left"/>
      <w:pPr>
        <w:ind w:left="2120" w:hanging="87"/>
      </w:pPr>
      <w:rPr>
        <w:rFonts w:hint="default"/>
        <w:lang w:val="en-US" w:eastAsia="en-US" w:bidi="ar-SA"/>
      </w:rPr>
    </w:lvl>
    <w:lvl w:ilvl="7">
      <w:start w:val="0"/>
      <w:numFmt w:val="bullet"/>
      <w:lvlText w:val="•"/>
      <w:lvlJc w:val="left"/>
      <w:pPr>
        <w:ind w:left="2430" w:hanging="87"/>
      </w:pPr>
      <w:rPr>
        <w:rFonts w:hint="default"/>
        <w:lang w:val="en-US" w:eastAsia="en-US" w:bidi="ar-SA"/>
      </w:rPr>
    </w:lvl>
    <w:lvl w:ilvl="8">
      <w:start w:val="0"/>
      <w:numFmt w:val="bullet"/>
      <w:lvlText w:val="•"/>
      <w:lvlJc w:val="left"/>
      <w:pPr>
        <w:ind w:left="2740" w:hanging="87"/>
      </w:pPr>
      <w:rPr>
        <w:rFonts w:hint="default"/>
        <w:lang w:val="en-US" w:eastAsia="en-US" w:bidi="ar-SA"/>
      </w:rPr>
    </w:lvl>
  </w:abstractNum>
  <w:abstractNum w:abstractNumId="23">
    <w:multiLevelType w:val="hybridMultilevel"/>
    <w:lvl w:ilvl="0">
      <w:start w:val="5"/>
      <w:numFmt w:val="decimal"/>
      <w:lvlText w:val="%1"/>
      <w:lvlJc w:val="left"/>
      <w:pPr>
        <w:ind w:left="730" w:hanging="595"/>
        <w:jc w:val="left"/>
      </w:pPr>
      <w:rPr>
        <w:rFonts w:hint="default"/>
        <w:lang w:val="en-US" w:eastAsia="en-US" w:bidi="ar-SA"/>
      </w:rPr>
    </w:lvl>
    <w:lvl w:ilvl="1">
      <w:start w:val="5"/>
      <w:numFmt w:val="decimal"/>
      <w:lvlText w:val="%1.%2"/>
      <w:lvlJc w:val="left"/>
      <w:pPr>
        <w:ind w:left="730" w:hanging="595"/>
        <w:jc w:val="left"/>
      </w:pPr>
      <w:rPr>
        <w:rFonts w:hint="default" w:ascii="Arial" w:hAnsi="Arial" w:eastAsia="Arial" w:cs="Arial"/>
        <w:b/>
        <w:bCs/>
        <w:i w:val="0"/>
        <w:iCs w:val="0"/>
        <w:color w:val="0070C0"/>
        <w:spacing w:val="-2"/>
        <w:w w:val="99"/>
        <w:sz w:val="16"/>
        <w:szCs w:val="16"/>
        <w:lang w:val="en-US" w:eastAsia="en-US" w:bidi="ar-SA"/>
      </w:rPr>
    </w:lvl>
    <w:lvl w:ilvl="2">
      <w:start w:val="1"/>
      <w:numFmt w:val="lowerLetter"/>
      <w:lvlText w:val="%3."/>
      <w:lvlJc w:val="left"/>
      <w:pPr>
        <w:ind w:left="1024" w:hanging="148"/>
        <w:jc w:val="left"/>
      </w:pPr>
      <w:rPr>
        <w:rFonts w:hint="default" w:ascii="Arial" w:hAnsi="Arial" w:eastAsia="Arial" w:cs="Arial"/>
        <w:b w:val="0"/>
        <w:bCs w:val="0"/>
        <w:i w:val="0"/>
        <w:iCs w:val="0"/>
        <w:spacing w:val="-2"/>
        <w:w w:val="103"/>
        <w:sz w:val="13"/>
        <w:szCs w:val="13"/>
        <w:lang w:val="en-US" w:eastAsia="en-US" w:bidi="ar-SA"/>
      </w:rPr>
    </w:lvl>
    <w:lvl w:ilvl="3">
      <w:start w:val="1"/>
      <w:numFmt w:val="lowerRoman"/>
      <w:lvlText w:val="%4."/>
      <w:lvlJc w:val="left"/>
      <w:pPr>
        <w:ind w:left="1115" w:hanging="105"/>
        <w:jc w:val="left"/>
      </w:pPr>
      <w:rPr>
        <w:rFonts w:hint="default" w:ascii="Arial" w:hAnsi="Arial" w:eastAsia="Arial" w:cs="Arial"/>
        <w:b w:val="0"/>
        <w:bCs w:val="0"/>
        <w:i w:val="0"/>
        <w:iCs w:val="0"/>
        <w:spacing w:val="0"/>
        <w:w w:val="103"/>
        <w:sz w:val="13"/>
        <w:szCs w:val="13"/>
        <w:lang w:val="en-US" w:eastAsia="en-US" w:bidi="ar-SA"/>
      </w:rPr>
    </w:lvl>
    <w:lvl w:ilvl="4">
      <w:start w:val="0"/>
      <w:numFmt w:val="bullet"/>
      <w:lvlText w:val="•"/>
      <w:lvlJc w:val="left"/>
      <w:pPr>
        <w:ind w:left="3141" w:hanging="105"/>
      </w:pPr>
      <w:rPr>
        <w:rFonts w:hint="default"/>
        <w:lang w:val="en-US" w:eastAsia="en-US" w:bidi="ar-SA"/>
      </w:rPr>
    </w:lvl>
    <w:lvl w:ilvl="5">
      <w:start w:val="0"/>
      <w:numFmt w:val="bullet"/>
      <w:lvlText w:val="•"/>
      <w:lvlJc w:val="left"/>
      <w:pPr>
        <w:ind w:left="4152" w:hanging="105"/>
      </w:pPr>
      <w:rPr>
        <w:rFonts w:hint="default"/>
        <w:lang w:val="en-US" w:eastAsia="en-US" w:bidi="ar-SA"/>
      </w:rPr>
    </w:lvl>
    <w:lvl w:ilvl="6">
      <w:start w:val="0"/>
      <w:numFmt w:val="bullet"/>
      <w:lvlText w:val="•"/>
      <w:lvlJc w:val="left"/>
      <w:pPr>
        <w:ind w:left="5162" w:hanging="105"/>
      </w:pPr>
      <w:rPr>
        <w:rFonts w:hint="default"/>
        <w:lang w:val="en-US" w:eastAsia="en-US" w:bidi="ar-SA"/>
      </w:rPr>
    </w:lvl>
    <w:lvl w:ilvl="7">
      <w:start w:val="0"/>
      <w:numFmt w:val="bullet"/>
      <w:lvlText w:val="•"/>
      <w:lvlJc w:val="left"/>
      <w:pPr>
        <w:ind w:left="6173" w:hanging="105"/>
      </w:pPr>
      <w:rPr>
        <w:rFonts w:hint="default"/>
        <w:lang w:val="en-US" w:eastAsia="en-US" w:bidi="ar-SA"/>
      </w:rPr>
    </w:lvl>
    <w:lvl w:ilvl="8">
      <w:start w:val="0"/>
      <w:numFmt w:val="bullet"/>
      <w:lvlText w:val="•"/>
      <w:lvlJc w:val="left"/>
      <w:pPr>
        <w:ind w:left="7184" w:hanging="105"/>
      </w:pPr>
      <w:rPr>
        <w:rFonts w:hint="default"/>
        <w:lang w:val="en-US" w:eastAsia="en-US" w:bidi="ar-SA"/>
      </w:rPr>
    </w:lvl>
  </w:abstractNum>
  <w:abstractNum w:abstractNumId="22">
    <w:multiLevelType w:val="hybridMultilevel"/>
    <w:lvl w:ilvl="0">
      <w:start w:val="0"/>
      <w:numFmt w:val="bullet"/>
      <w:lvlText w:val="•"/>
      <w:lvlJc w:val="left"/>
      <w:pPr>
        <w:ind w:left="939" w:hanging="96"/>
      </w:pPr>
      <w:rPr>
        <w:rFonts w:hint="default" w:ascii="Arial" w:hAnsi="Arial" w:eastAsia="Arial" w:cs="Arial"/>
        <w:b w:val="0"/>
        <w:bCs w:val="0"/>
        <w:i w:val="0"/>
        <w:iCs w:val="0"/>
        <w:spacing w:val="0"/>
        <w:w w:val="100"/>
        <w:sz w:val="15"/>
        <w:szCs w:val="15"/>
        <w:lang w:val="en-US" w:eastAsia="en-US" w:bidi="ar-SA"/>
      </w:rPr>
    </w:lvl>
    <w:lvl w:ilvl="1">
      <w:start w:val="0"/>
      <w:numFmt w:val="bullet"/>
      <w:lvlText w:val="•"/>
      <w:lvlJc w:val="left"/>
      <w:pPr>
        <w:ind w:left="1944" w:hanging="96"/>
      </w:pPr>
      <w:rPr>
        <w:rFonts w:hint="default"/>
        <w:lang w:val="en-US" w:eastAsia="en-US" w:bidi="ar-SA"/>
      </w:rPr>
    </w:lvl>
    <w:lvl w:ilvl="2">
      <w:start w:val="0"/>
      <w:numFmt w:val="bullet"/>
      <w:lvlText w:val="•"/>
      <w:lvlJc w:val="left"/>
      <w:pPr>
        <w:ind w:left="2949" w:hanging="96"/>
      </w:pPr>
      <w:rPr>
        <w:rFonts w:hint="default"/>
        <w:lang w:val="en-US" w:eastAsia="en-US" w:bidi="ar-SA"/>
      </w:rPr>
    </w:lvl>
    <w:lvl w:ilvl="3">
      <w:start w:val="0"/>
      <w:numFmt w:val="bullet"/>
      <w:lvlText w:val="•"/>
      <w:lvlJc w:val="left"/>
      <w:pPr>
        <w:ind w:left="3953" w:hanging="96"/>
      </w:pPr>
      <w:rPr>
        <w:rFonts w:hint="default"/>
        <w:lang w:val="en-US" w:eastAsia="en-US" w:bidi="ar-SA"/>
      </w:rPr>
    </w:lvl>
    <w:lvl w:ilvl="4">
      <w:start w:val="0"/>
      <w:numFmt w:val="bullet"/>
      <w:lvlText w:val="•"/>
      <w:lvlJc w:val="left"/>
      <w:pPr>
        <w:ind w:left="4958" w:hanging="96"/>
      </w:pPr>
      <w:rPr>
        <w:rFonts w:hint="default"/>
        <w:lang w:val="en-US" w:eastAsia="en-US" w:bidi="ar-SA"/>
      </w:rPr>
    </w:lvl>
    <w:lvl w:ilvl="5">
      <w:start w:val="0"/>
      <w:numFmt w:val="bullet"/>
      <w:lvlText w:val="•"/>
      <w:lvlJc w:val="left"/>
      <w:pPr>
        <w:ind w:left="5962" w:hanging="96"/>
      </w:pPr>
      <w:rPr>
        <w:rFonts w:hint="default"/>
        <w:lang w:val="en-US" w:eastAsia="en-US" w:bidi="ar-SA"/>
      </w:rPr>
    </w:lvl>
    <w:lvl w:ilvl="6">
      <w:start w:val="0"/>
      <w:numFmt w:val="bullet"/>
      <w:lvlText w:val="•"/>
      <w:lvlJc w:val="left"/>
      <w:pPr>
        <w:ind w:left="6967" w:hanging="96"/>
      </w:pPr>
      <w:rPr>
        <w:rFonts w:hint="default"/>
        <w:lang w:val="en-US" w:eastAsia="en-US" w:bidi="ar-SA"/>
      </w:rPr>
    </w:lvl>
    <w:lvl w:ilvl="7">
      <w:start w:val="0"/>
      <w:numFmt w:val="bullet"/>
      <w:lvlText w:val="•"/>
      <w:lvlJc w:val="left"/>
      <w:pPr>
        <w:ind w:left="7971" w:hanging="96"/>
      </w:pPr>
      <w:rPr>
        <w:rFonts w:hint="default"/>
        <w:lang w:val="en-US" w:eastAsia="en-US" w:bidi="ar-SA"/>
      </w:rPr>
    </w:lvl>
    <w:lvl w:ilvl="8">
      <w:start w:val="0"/>
      <w:numFmt w:val="bullet"/>
      <w:lvlText w:val="•"/>
      <w:lvlJc w:val="left"/>
      <w:pPr>
        <w:ind w:left="8976" w:hanging="96"/>
      </w:pPr>
      <w:rPr>
        <w:rFonts w:hint="default"/>
        <w:lang w:val="en-US" w:eastAsia="en-US" w:bidi="ar-SA"/>
      </w:rPr>
    </w:lvl>
  </w:abstractNum>
  <w:abstractNum w:abstractNumId="21">
    <w:multiLevelType w:val="hybridMultilevel"/>
    <w:lvl w:ilvl="0">
      <w:start w:val="1"/>
      <w:numFmt w:val="lowerLetter"/>
      <w:lvlText w:val="(%1)"/>
      <w:lvlJc w:val="left"/>
      <w:pPr>
        <w:ind w:left="847" w:hanging="206"/>
        <w:jc w:val="left"/>
      </w:pPr>
      <w:rPr>
        <w:rFonts w:hint="default" w:ascii="Arial" w:hAnsi="Arial" w:eastAsia="Arial" w:cs="Arial"/>
        <w:b w:val="0"/>
        <w:bCs w:val="0"/>
        <w:i w:val="0"/>
        <w:iCs w:val="0"/>
        <w:spacing w:val="-2"/>
        <w:w w:val="105"/>
        <w:sz w:val="13"/>
        <w:szCs w:val="13"/>
        <w:lang w:val="en-US" w:eastAsia="en-US" w:bidi="ar-SA"/>
      </w:rPr>
    </w:lvl>
    <w:lvl w:ilvl="1">
      <w:start w:val="0"/>
      <w:numFmt w:val="bullet"/>
      <w:lvlText w:val="•"/>
      <w:lvlJc w:val="left"/>
      <w:pPr>
        <w:ind w:left="1854" w:hanging="206"/>
      </w:pPr>
      <w:rPr>
        <w:rFonts w:hint="default"/>
        <w:lang w:val="en-US" w:eastAsia="en-US" w:bidi="ar-SA"/>
      </w:rPr>
    </w:lvl>
    <w:lvl w:ilvl="2">
      <w:start w:val="0"/>
      <w:numFmt w:val="bullet"/>
      <w:lvlText w:val="•"/>
      <w:lvlJc w:val="left"/>
      <w:pPr>
        <w:ind w:left="2869" w:hanging="206"/>
      </w:pPr>
      <w:rPr>
        <w:rFonts w:hint="default"/>
        <w:lang w:val="en-US" w:eastAsia="en-US" w:bidi="ar-SA"/>
      </w:rPr>
    </w:lvl>
    <w:lvl w:ilvl="3">
      <w:start w:val="0"/>
      <w:numFmt w:val="bullet"/>
      <w:lvlText w:val="•"/>
      <w:lvlJc w:val="left"/>
      <w:pPr>
        <w:ind w:left="3883" w:hanging="206"/>
      </w:pPr>
      <w:rPr>
        <w:rFonts w:hint="default"/>
        <w:lang w:val="en-US" w:eastAsia="en-US" w:bidi="ar-SA"/>
      </w:rPr>
    </w:lvl>
    <w:lvl w:ilvl="4">
      <w:start w:val="0"/>
      <w:numFmt w:val="bullet"/>
      <w:lvlText w:val="•"/>
      <w:lvlJc w:val="left"/>
      <w:pPr>
        <w:ind w:left="4898" w:hanging="206"/>
      </w:pPr>
      <w:rPr>
        <w:rFonts w:hint="default"/>
        <w:lang w:val="en-US" w:eastAsia="en-US" w:bidi="ar-SA"/>
      </w:rPr>
    </w:lvl>
    <w:lvl w:ilvl="5">
      <w:start w:val="0"/>
      <w:numFmt w:val="bullet"/>
      <w:lvlText w:val="•"/>
      <w:lvlJc w:val="left"/>
      <w:pPr>
        <w:ind w:left="5912" w:hanging="206"/>
      </w:pPr>
      <w:rPr>
        <w:rFonts w:hint="default"/>
        <w:lang w:val="en-US" w:eastAsia="en-US" w:bidi="ar-SA"/>
      </w:rPr>
    </w:lvl>
    <w:lvl w:ilvl="6">
      <w:start w:val="0"/>
      <w:numFmt w:val="bullet"/>
      <w:lvlText w:val="•"/>
      <w:lvlJc w:val="left"/>
      <w:pPr>
        <w:ind w:left="6927" w:hanging="206"/>
      </w:pPr>
      <w:rPr>
        <w:rFonts w:hint="default"/>
        <w:lang w:val="en-US" w:eastAsia="en-US" w:bidi="ar-SA"/>
      </w:rPr>
    </w:lvl>
    <w:lvl w:ilvl="7">
      <w:start w:val="0"/>
      <w:numFmt w:val="bullet"/>
      <w:lvlText w:val="•"/>
      <w:lvlJc w:val="left"/>
      <w:pPr>
        <w:ind w:left="7941" w:hanging="206"/>
      </w:pPr>
      <w:rPr>
        <w:rFonts w:hint="default"/>
        <w:lang w:val="en-US" w:eastAsia="en-US" w:bidi="ar-SA"/>
      </w:rPr>
    </w:lvl>
    <w:lvl w:ilvl="8">
      <w:start w:val="0"/>
      <w:numFmt w:val="bullet"/>
      <w:lvlText w:val="•"/>
      <w:lvlJc w:val="left"/>
      <w:pPr>
        <w:ind w:left="8956" w:hanging="206"/>
      </w:pPr>
      <w:rPr>
        <w:rFonts w:hint="default"/>
        <w:lang w:val="en-US" w:eastAsia="en-US" w:bidi="ar-SA"/>
      </w:rPr>
    </w:lvl>
  </w:abstractNum>
  <w:abstractNum w:abstractNumId="20">
    <w:multiLevelType w:val="hybridMultilevel"/>
    <w:lvl w:ilvl="0">
      <w:start w:val="0"/>
      <w:numFmt w:val="bullet"/>
      <w:lvlText w:val="•"/>
      <w:lvlJc w:val="left"/>
      <w:pPr>
        <w:ind w:left="944" w:hanging="95"/>
      </w:pPr>
      <w:rPr>
        <w:rFonts w:hint="default" w:ascii="Arial" w:hAnsi="Arial" w:eastAsia="Arial" w:cs="Arial"/>
        <w:b w:val="0"/>
        <w:bCs w:val="0"/>
        <w:i w:val="0"/>
        <w:iCs w:val="0"/>
        <w:spacing w:val="0"/>
        <w:w w:val="100"/>
        <w:sz w:val="15"/>
        <w:szCs w:val="15"/>
        <w:lang w:val="en-US" w:eastAsia="en-US" w:bidi="ar-SA"/>
      </w:rPr>
    </w:lvl>
    <w:lvl w:ilvl="1">
      <w:start w:val="0"/>
      <w:numFmt w:val="bullet"/>
      <w:lvlText w:val="•"/>
      <w:lvlJc w:val="left"/>
      <w:pPr>
        <w:ind w:left="1944" w:hanging="95"/>
      </w:pPr>
      <w:rPr>
        <w:rFonts w:hint="default"/>
        <w:lang w:val="en-US" w:eastAsia="en-US" w:bidi="ar-SA"/>
      </w:rPr>
    </w:lvl>
    <w:lvl w:ilvl="2">
      <w:start w:val="0"/>
      <w:numFmt w:val="bullet"/>
      <w:lvlText w:val="•"/>
      <w:lvlJc w:val="left"/>
      <w:pPr>
        <w:ind w:left="2949" w:hanging="95"/>
      </w:pPr>
      <w:rPr>
        <w:rFonts w:hint="default"/>
        <w:lang w:val="en-US" w:eastAsia="en-US" w:bidi="ar-SA"/>
      </w:rPr>
    </w:lvl>
    <w:lvl w:ilvl="3">
      <w:start w:val="0"/>
      <w:numFmt w:val="bullet"/>
      <w:lvlText w:val="•"/>
      <w:lvlJc w:val="left"/>
      <w:pPr>
        <w:ind w:left="3953" w:hanging="95"/>
      </w:pPr>
      <w:rPr>
        <w:rFonts w:hint="default"/>
        <w:lang w:val="en-US" w:eastAsia="en-US" w:bidi="ar-SA"/>
      </w:rPr>
    </w:lvl>
    <w:lvl w:ilvl="4">
      <w:start w:val="0"/>
      <w:numFmt w:val="bullet"/>
      <w:lvlText w:val="•"/>
      <w:lvlJc w:val="left"/>
      <w:pPr>
        <w:ind w:left="4958" w:hanging="95"/>
      </w:pPr>
      <w:rPr>
        <w:rFonts w:hint="default"/>
        <w:lang w:val="en-US" w:eastAsia="en-US" w:bidi="ar-SA"/>
      </w:rPr>
    </w:lvl>
    <w:lvl w:ilvl="5">
      <w:start w:val="0"/>
      <w:numFmt w:val="bullet"/>
      <w:lvlText w:val="•"/>
      <w:lvlJc w:val="left"/>
      <w:pPr>
        <w:ind w:left="5962" w:hanging="95"/>
      </w:pPr>
      <w:rPr>
        <w:rFonts w:hint="default"/>
        <w:lang w:val="en-US" w:eastAsia="en-US" w:bidi="ar-SA"/>
      </w:rPr>
    </w:lvl>
    <w:lvl w:ilvl="6">
      <w:start w:val="0"/>
      <w:numFmt w:val="bullet"/>
      <w:lvlText w:val="•"/>
      <w:lvlJc w:val="left"/>
      <w:pPr>
        <w:ind w:left="6967" w:hanging="95"/>
      </w:pPr>
      <w:rPr>
        <w:rFonts w:hint="default"/>
        <w:lang w:val="en-US" w:eastAsia="en-US" w:bidi="ar-SA"/>
      </w:rPr>
    </w:lvl>
    <w:lvl w:ilvl="7">
      <w:start w:val="0"/>
      <w:numFmt w:val="bullet"/>
      <w:lvlText w:val="•"/>
      <w:lvlJc w:val="left"/>
      <w:pPr>
        <w:ind w:left="7971" w:hanging="95"/>
      </w:pPr>
      <w:rPr>
        <w:rFonts w:hint="default"/>
        <w:lang w:val="en-US" w:eastAsia="en-US" w:bidi="ar-SA"/>
      </w:rPr>
    </w:lvl>
    <w:lvl w:ilvl="8">
      <w:start w:val="0"/>
      <w:numFmt w:val="bullet"/>
      <w:lvlText w:val="•"/>
      <w:lvlJc w:val="left"/>
      <w:pPr>
        <w:ind w:left="8976" w:hanging="95"/>
      </w:pPr>
      <w:rPr>
        <w:rFonts w:hint="default"/>
        <w:lang w:val="en-US" w:eastAsia="en-US" w:bidi="ar-SA"/>
      </w:rPr>
    </w:lvl>
  </w:abstractNum>
  <w:abstractNum w:abstractNumId="19">
    <w:multiLevelType w:val="hybridMultilevel"/>
    <w:lvl w:ilvl="0">
      <w:start w:val="0"/>
      <w:numFmt w:val="bullet"/>
      <w:lvlText w:val="-"/>
      <w:lvlJc w:val="left"/>
      <w:pPr>
        <w:ind w:left="934" w:hanging="85"/>
      </w:pPr>
      <w:rPr>
        <w:rFonts w:hint="default" w:ascii="Arial" w:hAnsi="Arial" w:eastAsia="Arial" w:cs="Arial"/>
        <w:b w:val="0"/>
        <w:bCs w:val="0"/>
        <w:i w:val="0"/>
        <w:iCs w:val="0"/>
        <w:spacing w:val="0"/>
        <w:w w:val="105"/>
        <w:sz w:val="13"/>
        <w:szCs w:val="13"/>
        <w:lang w:val="en-US" w:eastAsia="en-US" w:bidi="ar-SA"/>
      </w:rPr>
    </w:lvl>
    <w:lvl w:ilvl="1">
      <w:start w:val="0"/>
      <w:numFmt w:val="bullet"/>
      <w:lvlText w:val="•"/>
      <w:lvlJc w:val="left"/>
      <w:pPr>
        <w:ind w:left="1944" w:hanging="85"/>
      </w:pPr>
      <w:rPr>
        <w:rFonts w:hint="default"/>
        <w:lang w:val="en-US" w:eastAsia="en-US" w:bidi="ar-SA"/>
      </w:rPr>
    </w:lvl>
    <w:lvl w:ilvl="2">
      <w:start w:val="0"/>
      <w:numFmt w:val="bullet"/>
      <w:lvlText w:val="•"/>
      <w:lvlJc w:val="left"/>
      <w:pPr>
        <w:ind w:left="2949" w:hanging="85"/>
      </w:pPr>
      <w:rPr>
        <w:rFonts w:hint="default"/>
        <w:lang w:val="en-US" w:eastAsia="en-US" w:bidi="ar-SA"/>
      </w:rPr>
    </w:lvl>
    <w:lvl w:ilvl="3">
      <w:start w:val="0"/>
      <w:numFmt w:val="bullet"/>
      <w:lvlText w:val="•"/>
      <w:lvlJc w:val="left"/>
      <w:pPr>
        <w:ind w:left="3953" w:hanging="85"/>
      </w:pPr>
      <w:rPr>
        <w:rFonts w:hint="default"/>
        <w:lang w:val="en-US" w:eastAsia="en-US" w:bidi="ar-SA"/>
      </w:rPr>
    </w:lvl>
    <w:lvl w:ilvl="4">
      <w:start w:val="0"/>
      <w:numFmt w:val="bullet"/>
      <w:lvlText w:val="•"/>
      <w:lvlJc w:val="left"/>
      <w:pPr>
        <w:ind w:left="4958" w:hanging="85"/>
      </w:pPr>
      <w:rPr>
        <w:rFonts w:hint="default"/>
        <w:lang w:val="en-US" w:eastAsia="en-US" w:bidi="ar-SA"/>
      </w:rPr>
    </w:lvl>
    <w:lvl w:ilvl="5">
      <w:start w:val="0"/>
      <w:numFmt w:val="bullet"/>
      <w:lvlText w:val="•"/>
      <w:lvlJc w:val="left"/>
      <w:pPr>
        <w:ind w:left="5962" w:hanging="85"/>
      </w:pPr>
      <w:rPr>
        <w:rFonts w:hint="default"/>
        <w:lang w:val="en-US" w:eastAsia="en-US" w:bidi="ar-SA"/>
      </w:rPr>
    </w:lvl>
    <w:lvl w:ilvl="6">
      <w:start w:val="0"/>
      <w:numFmt w:val="bullet"/>
      <w:lvlText w:val="•"/>
      <w:lvlJc w:val="left"/>
      <w:pPr>
        <w:ind w:left="6967" w:hanging="85"/>
      </w:pPr>
      <w:rPr>
        <w:rFonts w:hint="default"/>
        <w:lang w:val="en-US" w:eastAsia="en-US" w:bidi="ar-SA"/>
      </w:rPr>
    </w:lvl>
    <w:lvl w:ilvl="7">
      <w:start w:val="0"/>
      <w:numFmt w:val="bullet"/>
      <w:lvlText w:val="•"/>
      <w:lvlJc w:val="left"/>
      <w:pPr>
        <w:ind w:left="7971" w:hanging="85"/>
      </w:pPr>
      <w:rPr>
        <w:rFonts w:hint="default"/>
        <w:lang w:val="en-US" w:eastAsia="en-US" w:bidi="ar-SA"/>
      </w:rPr>
    </w:lvl>
    <w:lvl w:ilvl="8">
      <w:start w:val="0"/>
      <w:numFmt w:val="bullet"/>
      <w:lvlText w:val="•"/>
      <w:lvlJc w:val="left"/>
      <w:pPr>
        <w:ind w:left="8976" w:hanging="85"/>
      </w:pPr>
      <w:rPr>
        <w:rFonts w:hint="default"/>
        <w:lang w:val="en-US" w:eastAsia="en-US" w:bidi="ar-SA"/>
      </w:rPr>
    </w:lvl>
  </w:abstractNum>
  <w:abstractNum w:abstractNumId="18">
    <w:multiLevelType w:val="hybridMultilevel"/>
    <w:lvl w:ilvl="0">
      <w:start w:val="1"/>
      <w:numFmt w:val="lowerLetter"/>
      <w:lvlText w:val="(%1)"/>
      <w:lvlJc w:val="left"/>
      <w:pPr>
        <w:ind w:left="856" w:hanging="607"/>
        <w:jc w:val="left"/>
      </w:pPr>
      <w:rPr>
        <w:rFonts w:hint="default" w:ascii="Arial" w:hAnsi="Arial" w:eastAsia="Arial" w:cs="Arial"/>
        <w:b/>
        <w:bCs/>
        <w:i w:val="0"/>
        <w:iCs w:val="0"/>
        <w:spacing w:val="-2"/>
        <w:w w:val="105"/>
        <w:sz w:val="13"/>
        <w:szCs w:val="13"/>
        <w:lang w:val="en-US" w:eastAsia="en-US" w:bidi="ar-SA"/>
      </w:rPr>
    </w:lvl>
    <w:lvl w:ilvl="1">
      <w:start w:val="0"/>
      <w:numFmt w:val="bullet"/>
      <w:lvlText w:val="•"/>
      <w:lvlJc w:val="left"/>
      <w:pPr>
        <w:ind w:left="1872" w:hanging="607"/>
      </w:pPr>
      <w:rPr>
        <w:rFonts w:hint="default"/>
        <w:lang w:val="en-US" w:eastAsia="en-US" w:bidi="ar-SA"/>
      </w:rPr>
    </w:lvl>
    <w:lvl w:ilvl="2">
      <w:start w:val="0"/>
      <w:numFmt w:val="bullet"/>
      <w:lvlText w:val="•"/>
      <w:lvlJc w:val="left"/>
      <w:pPr>
        <w:ind w:left="2885" w:hanging="607"/>
      </w:pPr>
      <w:rPr>
        <w:rFonts w:hint="default"/>
        <w:lang w:val="en-US" w:eastAsia="en-US" w:bidi="ar-SA"/>
      </w:rPr>
    </w:lvl>
    <w:lvl w:ilvl="3">
      <w:start w:val="0"/>
      <w:numFmt w:val="bullet"/>
      <w:lvlText w:val="•"/>
      <w:lvlJc w:val="left"/>
      <w:pPr>
        <w:ind w:left="3897" w:hanging="607"/>
      </w:pPr>
      <w:rPr>
        <w:rFonts w:hint="default"/>
        <w:lang w:val="en-US" w:eastAsia="en-US" w:bidi="ar-SA"/>
      </w:rPr>
    </w:lvl>
    <w:lvl w:ilvl="4">
      <w:start w:val="0"/>
      <w:numFmt w:val="bullet"/>
      <w:lvlText w:val="•"/>
      <w:lvlJc w:val="left"/>
      <w:pPr>
        <w:ind w:left="4910" w:hanging="607"/>
      </w:pPr>
      <w:rPr>
        <w:rFonts w:hint="default"/>
        <w:lang w:val="en-US" w:eastAsia="en-US" w:bidi="ar-SA"/>
      </w:rPr>
    </w:lvl>
    <w:lvl w:ilvl="5">
      <w:start w:val="0"/>
      <w:numFmt w:val="bullet"/>
      <w:lvlText w:val="•"/>
      <w:lvlJc w:val="left"/>
      <w:pPr>
        <w:ind w:left="5922" w:hanging="607"/>
      </w:pPr>
      <w:rPr>
        <w:rFonts w:hint="default"/>
        <w:lang w:val="en-US" w:eastAsia="en-US" w:bidi="ar-SA"/>
      </w:rPr>
    </w:lvl>
    <w:lvl w:ilvl="6">
      <w:start w:val="0"/>
      <w:numFmt w:val="bullet"/>
      <w:lvlText w:val="•"/>
      <w:lvlJc w:val="left"/>
      <w:pPr>
        <w:ind w:left="6935" w:hanging="607"/>
      </w:pPr>
      <w:rPr>
        <w:rFonts w:hint="default"/>
        <w:lang w:val="en-US" w:eastAsia="en-US" w:bidi="ar-SA"/>
      </w:rPr>
    </w:lvl>
    <w:lvl w:ilvl="7">
      <w:start w:val="0"/>
      <w:numFmt w:val="bullet"/>
      <w:lvlText w:val="•"/>
      <w:lvlJc w:val="left"/>
      <w:pPr>
        <w:ind w:left="7947" w:hanging="607"/>
      </w:pPr>
      <w:rPr>
        <w:rFonts w:hint="default"/>
        <w:lang w:val="en-US" w:eastAsia="en-US" w:bidi="ar-SA"/>
      </w:rPr>
    </w:lvl>
    <w:lvl w:ilvl="8">
      <w:start w:val="0"/>
      <w:numFmt w:val="bullet"/>
      <w:lvlText w:val="•"/>
      <w:lvlJc w:val="left"/>
      <w:pPr>
        <w:ind w:left="8960" w:hanging="607"/>
      </w:pPr>
      <w:rPr>
        <w:rFonts w:hint="default"/>
        <w:lang w:val="en-US" w:eastAsia="en-US" w:bidi="ar-SA"/>
      </w:rPr>
    </w:lvl>
  </w:abstractNum>
  <w:abstractNum w:abstractNumId="17">
    <w:multiLevelType w:val="hybridMultilevel"/>
    <w:lvl w:ilvl="0">
      <w:start w:val="0"/>
      <w:numFmt w:val="bullet"/>
      <w:lvlText w:val="•"/>
      <w:lvlJc w:val="left"/>
      <w:pPr>
        <w:ind w:left="858" w:hanging="95"/>
      </w:pPr>
      <w:rPr>
        <w:rFonts w:hint="default" w:ascii="Arial" w:hAnsi="Arial" w:eastAsia="Arial" w:cs="Arial"/>
        <w:b w:val="0"/>
        <w:bCs w:val="0"/>
        <w:i w:val="0"/>
        <w:iCs w:val="0"/>
        <w:spacing w:val="0"/>
        <w:w w:val="100"/>
        <w:sz w:val="15"/>
        <w:szCs w:val="15"/>
        <w:lang w:val="en-US" w:eastAsia="en-US" w:bidi="ar-SA"/>
      </w:rPr>
    </w:lvl>
    <w:lvl w:ilvl="1">
      <w:start w:val="0"/>
      <w:numFmt w:val="bullet"/>
      <w:lvlText w:val="•"/>
      <w:lvlJc w:val="left"/>
      <w:pPr>
        <w:ind w:left="1872" w:hanging="95"/>
      </w:pPr>
      <w:rPr>
        <w:rFonts w:hint="default"/>
        <w:lang w:val="en-US" w:eastAsia="en-US" w:bidi="ar-SA"/>
      </w:rPr>
    </w:lvl>
    <w:lvl w:ilvl="2">
      <w:start w:val="0"/>
      <w:numFmt w:val="bullet"/>
      <w:lvlText w:val="•"/>
      <w:lvlJc w:val="left"/>
      <w:pPr>
        <w:ind w:left="2885" w:hanging="95"/>
      </w:pPr>
      <w:rPr>
        <w:rFonts w:hint="default"/>
        <w:lang w:val="en-US" w:eastAsia="en-US" w:bidi="ar-SA"/>
      </w:rPr>
    </w:lvl>
    <w:lvl w:ilvl="3">
      <w:start w:val="0"/>
      <w:numFmt w:val="bullet"/>
      <w:lvlText w:val="•"/>
      <w:lvlJc w:val="left"/>
      <w:pPr>
        <w:ind w:left="3897" w:hanging="95"/>
      </w:pPr>
      <w:rPr>
        <w:rFonts w:hint="default"/>
        <w:lang w:val="en-US" w:eastAsia="en-US" w:bidi="ar-SA"/>
      </w:rPr>
    </w:lvl>
    <w:lvl w:ilvl="4">
      <w:start w:val="0"/>
      <w:numFmt w:val="bullet"/>
      <w:lvlText w:val="•"/>
      <w:lvlJc w:val="left"/>
      <w:pPr>
        <w:ind w:left="4910" w:hanging="95"/>
      </w:pPr>
      <w:rPr>
        <w:rFonts w:hint="default"/>
        <w:lang w:val="en-US" w:eastAsia="en-US" w:bidi="ar-SA"/>
      </w:rPr>
    </w:lvl>
    <w:lvl w:ilvl="5">
      <w:start w:val="0"/>
      <w:numFmt w:val="bullet"/>
      <w:lvlText w:val="•"/>
      <w:lvlJc w:val="left"/>
      <w:pPr>
        <w:ind w:left="5922" w:hanging="95"/>
      </w:pPr>
      <w:rPr>
        <w:rFonts w:hint="default"/>
        <w:lang w:val="en-US" w:eastAsia="en-US" w:bidi="ar-SA"/>
      </w:rPr>
    </w:lvl>
    <w:lvl w:ilvl="6">
      <w:start w:val="0"/>
      <w:numFmt w:val="bullet"/>
      <w:lvlText w:val="•"/>
      <w:lvlJc w:val="left"/>
      <w:pPr>
        <w:ind w:left="6935" w:hanging="95"/>
      </w:pPr>
      <w:rPr>
        <w:rFonts w:hint="default"/>
        <w:lang w:val="en-US" w:eastAsia="en-US" w:bidi="ar-SA"/>
      </w:rPr>
    </w:lvl>
    <w:lvl w:ilvl="7">
      <w:start w:val="0"/>
      <w:numFmt w:val="bullet"/>
      <w:lvlText w:val="•"/>
      <w:lvlJc w:val="left"/>
      <w:pPr>
        <w:ind w:left="7947" w:hanging="95"/>
      </w:pPr>
      <w:rPr>
        <w:rFonts w:hint="default"/>
        <w:lang w:val="en-US" w:eastAsia="en-US" w:bidi="ar-SA"/>
      </w:rPr>
    </w:lvl>
    <w:lvl w:ilvl="8">
      <w:start w:val="0"/>
      <w:numFmt w:val="bullet"/>
      <w:lvlText w:val="•"/>
      <w:lvlJc w:val="left"/>
      <w:pPr>
        <w:ind w:left="8960" w:hanging="95"/>
      </w:pPr>
      <w:rPr>
        <w:rFonts w:hint="default"/>
        <w:lang w:val="en-US" w:eastAsia="en-US" w:bidi="ar-SA"/>
      </w:rPr>
    </w:lvl>
  </w:abstractNum>
  <w:abstractNum w:abstractNumId="16">
    <w:multiLevelType w:val="hybridMultilevel"/>
    <w:lvl w:ilvl="0">
      <w:start w:val="1"/>
      <w:numFmt w:val="decimal"/>
      <w:lvlText w:val="%1"/>
      <w:lvlJc w:val="left"/>
      <w:pPr>
        <w:ind w:left="670" w:hanging="325"/>
        <w:jc w:val="left"/>
      </w:pPr>
      <w:rPr>
        <w:rFonts w:hint="default"/>
        <w:lang w:val="en-US" w:eastAsia="en-US" w:bidi="ar-SA"/>
      </w:rPr>
    </w:lvl>
    <w:lvl w:ilvl="1">
      <w:start w:val="5"/>
      <w:numFmt w:val="decimal"/>
      <w:lvlText w:val="%1.%2"/>
      <w:lvlJc w:val="left"/>
      <w:pPr>
        <w:ind w:left="670" w:hanging="325"/>
        <w:jc w:val="left"/>
      </w:pPr>
      <w:rPr>
        <w:rFonts w:hint="default" w:ascii="Arial" w:hAnsi="Arial" w:eastAsia="Arial" w:cs="Arial"/>
        <w:b/>
        <w:bCs/>
        <w:i w:val="0"/>
        <w:iCs w:val="0"/>
        <w:color w:val="0070C0"/>
        <w:spacing w:val="0"/>
        <w:w w:val="104"/>
        <w:sz w:val="13"/>
        <w:szCs w:val="13"/>
        <w:lang w:val="en-US" w:eastAsia="en-US" w:bidi="ar-SA"/>
      </w:rPr>
    </w:lvl>
    <w:lvl w:ilvl="2">
      <w:start w:val="0"/>
      <w:numFmt w:val="bullet"/>
      <w:lvlText w:val="•"/>
      <w:lvlJc w:val="left"/>
      <w:pPr>
        <w:ind w:left="737" w:hanging="72"/>
      </w:pPr>
      <w:rPr>
        <w:rFonts w:hint="default" w:ascii="Arial" w:hAnsi="Arial" w:eastAsia="Arial" w:cs="Arial"/>
        <w:b w:val="0"/>
        <w:bCs w:val="0"/>
        <w:i w:val="0"/>
        <w:iCs w:val="0"/>
        <w:spacing w:val="0"/>
        <w:w w:val="103"/>
        <w:sz w:val="11"/>
        <w:szCs w:val="11"/>
        <w:lang w:val="en-US" w:eastAsia="en-US" w:bidi="ar-SA"/>
      </w:rPr>
    </w:lvl>
    <w:lvl w:ilvl="3">
      <w:start w:val="0"/>
      <w:numFmt w:val="bullet"/>
      <w:lvlText w:val="•"/>
      <w:lvlJc w:val="left"/>
      <w:pPr>
        <w:ind w:left="3016" w:hanging="72"/>
      </w:pPr>
      <w:rPr>
        <w:rFonts w:hint="default"/>
        <w:lang w:val="en-US" w:eastAsia="en-US" w:bidi="ar-SA"/>
      </w:rPr>
    </w:lvl>
    <w:lvl w:ilvl="4">
      <w:start w:val="0"/>
      <w:numFmt w:val="bullet"/>
      <w:lvlText w:val="•"/>
      <w:lvlJc w:val="left"/>
      <w:pPr>
        <w:ind w:left="4155" w:hanging="72"/>
      </w:pPr>
      <w:rPr>
        <w:rFonts w:hint="default"/>
        <w:lang w:val="en-US" w:eastAsia="en-US" w:bidi="ar-SA"/>
      </w:rPr>
    </w:lvl>
    <w:lvl w:ilvl="5">
      <w:start w:val="0"/>
      <w:numFmt w:val="bullet"/>
      <w:lvlText w:val="•"/>
      <w:lvlJc w:val="left"/>
      <w:pPr>
        <w:ind w:left="5293" w:hanging="72"/>
      </w:pPr>
      <w:rPr>
        <w:rFonts w:hint="default"/>
        <w:lang w:val="en-US" w:eastAsia="en-US" w:bidi="ar-SA"/>
      </w:rPr>
    </w:lvl>
    <w:lvl w:ilvl="6">
      <w:start w:val="0"/>
      <w:numFmt w:val="bullet"/>
      <w:lvlText w:val="•"/>
      <w:lvlJc w:val="left"/>
      <w:pPr>
        <w:ind w:left="6431" w:hanging="72"/>
      </w:pPr>
      <w:rPr>
        <w:rFonts w:hint="default"/>
        <w:lang w:val="en-US" w:eastAsia="en-US" w:bidi="ar-SA"/>
      </w:rPr>
    </w:lvl>
    <w:lvl w:ilvl="7">
      <w:start w:val="0"/>
      <w:numFmt w:val="bullet"/>
      <w:lvlText w:val="•"/>
      <w:lvlJc w:val="left"/>
      <w:pPr>
        <w:ind w:left="7570" w:hanging="72"/>
      </w:pPr>
      <w:rPr>
        <w:rFonts w:hint="default"/>
        <w:lang w:val="en-US" w:eastAsia="en-US" w:bidi="ar-SA"/>
      </w:rPr>
    </w:lvl>
    <w:lvl w:ilvl="8">
      <w:start w:val="0"/>
      <w:numFmt w:val="bullet"/>
      <w:lvlText w:val="•"/>
      <w:lvlJc w:val="left"/>
      <w:pPr>
        <w:ind w:left="8708" w:hanging="72"/>
      </w:pPr>
      <w:rPr>
        <w:rFonts w:hint="default"/>
        <w:lang w:val="en-US" w:eastAsia="en-US" w:bidi="ar-SA"/>
      </w:rPr>
    </w:lvl>
  </w:abstractNum>
  <w:abstractNum w:abstractNumId="15">
    <w:multiLevelType w:val="hybridMultilevel"/>
    <w:lvl w:ilvl="0">
      <w:start w:val="0"/>
      <w:numFmt w:val="bullet"/>
      <w:lvlText w:val="•"/>
      <w:lvlJc w:val="left"/>
      <w:pPr>
        <w:ind w:left="24" w:hanging="77"/>
      </w:pPr>
      <w:rPr>
        <w:rFonts w:hint="default" w:ascii="Arial" w:hAnsi="Arial" w:eastAsia="Arial" w:cs="Arial"/>
        <w:b w:val="0"/>
        <w:bCs w:val="0"/>
        <w:i w:val="0"/>
        <w:iCs w:val="0"/>
        <w:spacing w:val="0"/>
        <w:w w:val="85"/>
        <w:sz w:val="12"/>
        <w:szCs w:val="12"/>
        <w:lang w:val="en-US" w:eastAsia="en-US" w:bidi="ar-SA"/>
      </w:rPr>
    </w:lvl>
    <w:lvl w:ilvl="1">
      <w:start w:val="0"/>
      <w:numFmt w:val="bullet"/>
      <w:lvlText w:val="•"/>
      <w:lvlJc w:val="left"/>
      <w:pPr>
        <w:ind w:left="868" w:hanging="77"/>
      </w:pPr>
      <w:rPr>
        <w:rFonts w:hint="default"/>
        <w:lang w:val="en-US" w:eastAsia="en-US" w:bidi="ar-SA"/>
      </w:rPr>
    </w:lvl>
    <w:lvl w:ilvl="2">
      <w:start w:val="0"/>
      <w:numFmt w:val="bullet"/>
      <w:lvlText w:val="•"/>
      <w:lvlJc w:val="left"/>
      <w:pPr>
        <w:ind w:left="1717" w:hanging="77"/>
      </w:pPr>
      <w:rPr>
        <w:rFonts w:hint="default"/>
        <w:lang w:val="en-US" w:eastAsia="en-US" w:bidi="ar-SA"/>
      </w:rPr>
    </w:lvl>
    <w:lvl w:ilvl="3">
      <w:start w:val="0"/>
      <w:numFmt w:val="bullet"/>
      <w:lvlText w:val="•"/>
      <w:lvlJc w:val="left"/>
      <w:pPr>
        <w:ind w:left="2565" w:hanging="77"/>
      </w:pPr>
      <w:rPr>
        <w:rFonts w:hint="default"/>
        <w:lang w:val="en-US" w:eastAsia="en-US" w:bidi="ar-SA"/>
      </w:rPr>
    </w:lvl>
    <w:lvl w:ilvl="4">
      <w:start w:val="0"/>
      <w:numFmt w:val="bullet"/>
      <w:lvlText w:val="•"/>
      <w:lvlJc w:val="left"/>
      <w:pPr>
        <w:ind w:left="3414" w:hanging="77"/>
      </w:pPr>
      <w:rPr>
        <w:rFonts w:hint="default"/>
        <w:lang w:val="en-US" w:eastAsia="en-US" w:bidi="ar-SA"/>
      </w:rPr>
    </w:lvl>
    <w:lvl w:ilvl="5">
      <w:start w:val="0"/>
      <w:numFmt w:val="bullet"/>
      <w:lvlText w:val="•"/>
      <w:lvlJc w:val="left"/>
      <w:pPr>
        <w:ind w:left="4263" w:hanging="77"/>
      </w:pPr>
      <w:rPr>
        <w:rFonts w:hint="default"/>
        <w:lang w:val="en-US" w:eastAsia="en-US" w:bidi="ar-SA"/>
      </w:rPr>
    </w:lvl>
    <w:lvl w:ilvl="6">
      <w:start w:val="0"/>
      <w:numFmt w:val="bullet"/>
      <w:lvlText w:val="•"/>
      <w:lvlJc w:val="left"/>
      <w:pPr>
        <w:ind w:left="5111" w:hanging="77"/>
      </w:pPr>
      <w:rPr>
        <w:rFonts w:hint="default"/>
        <w:lang w:val="en-US" w:eastAsia="en-US" w:bidi="ar-SA"/>
      </w:rPr>
    </w:lvl>
    <w:lvl w:ilvl="7">
      <w:start w:val="0"/>
      <w:numFmt w:val="bullet"/>
      <w:lvlText w:val="•"/>
      <w:lvlJc w:val="left"/>
      <w:pPr>
        <w:ind w:left="5960" w:hanging="77"/>
      </w:pPr>
      <w:rPr>
        <w:rFonts w:hint="default"/>
        <w:lang w:val="en-US" w:eastAsia="en-US" w:bidi="ar-SA"/>
      </w:rPr>
    </w:lvl>
    <w:lvl w:ilvl="8">
      <w:start w:val="0"/>
      <w:numFmt w:val="bullet"/>
      <w:lvlText w:val="•"/>
      <w:lvlJc w:val="left"/>
      <w:pPr>
        <w:ind w:left="6809" w:hanging="77"/>
      </w:pPr>
      <w:rPr>
        <w:rFonts w:hint="default"/>
        <w:lang w:val="en-US" w:eastAsia="en-US" w:bidi="ar-SA"/>
      </w:rPr>
    </w:lvl>
  </w:abstractNum>
  <w:abstractNum w:abstractNumId="14">
    <w:multiLevelType w:val="hybridMultilevel"/>
    <w:lvl w:ilvl="0">
      <w:start w:val="1"/>
      <w:numFmt w:val="lowerLetter"/>
      <w:lvlText w:val="(%1)"/>
      <w:lvlJc w:val="left"/>
      <w:pPr>
        <w:ind w:left="1007" w:hanging="530"/>
        <w:jc w:val="left"/>
      </w:pPr>
      <w:rPr>
        <w:rFonts w:hint="default" w:ascii="Arial" w:hAnsi="Arial" w:eastAsia="Arial" w:cs="Arial"/>
        <w:b/>
        <w:bCs/>
        <w:i w:val="0"/>
        <w:iCs w:val="0"/>
        <w:spacing w:val="-2"/>
        <w:w w:val="99"/>
        <w:sz w:val="12"/>
        <w:szCs w:val="12"/>
        <w:lang w:val="en-US" w:eastAsia="en-US" w:bidi="ar-SA"/>
      </w:rPr>
    </w:lvl>
    <w:lvl w:ilvl="1">
      <w:start w:val="0"/>
      <w:numFmt w:val="bullet"/>
      <w:lvlText w:val="•"/>
      <w:lvlJc w:val="left"/>
      <w:pPr>
        <w:ind w:left="1124" w:hanging="115"/>
      </w:pPr>
      <w:rPr>
        <w:rFonts w:hint="default" w:ascii="Arial" w:hAnsi="Arial" w:eastAsia="Arial" w:cs="Arial"/>
        <w:b w:val="0"/>
        <w:bCs w:val="0"/>
        <w:i w:val="0"/>
        <w:iCs w:val="0"/>
        <w:spacing w:val="0"/>
        <w:w w:val="101"/>
        <w:sz w:val="13"/>
        <w:szCs w:val="13"/>
        <w:lang w:val="en-US" w:eastAsia="en-US" w:bidi="ar-SA"/>
      </w:rPr>
    </w:lvl>
    <w:lvl w:ilvl="2">
      <w:start w:val="0"/>
      <w:numFmt w:val="bullet"/>
      <w:lvlText w:val="•"/>
      <w:lvlJc w:val="left"/>
      <w:pPr>
        <w:ind w:left="2216" w:hanging="115"/>
      </w:pPr>
      <w:rPr>
        <w:rFonts w:hint="default"/>
        <w:lang w:val="en-US" w:eastAsia="en-US" w:bidi="ar-SA"/>
      </w:rPr>
    </w:lvl>
    <w:lvl w:ilvl="3">
      <w:start w:val="0"/>
      <w:numFmt w:val="bullet"/>
      <w:lvlText w:val="•"/>
      <w:lvlJc w:val="left"/>
      <w:pPr>
        <w:ind w:left="3312" w:hanging="115"/>
      </w:pPr>
      <w:rPr>
        <w:rFonts w:hint="default"/>
        <w:lang w:val="en-US" w:eastAsia="en-US" w:bidi="ar-SA"/>
      </w:rPr>
    </w:lvl>
    <w:lvl w:ilvl="4">
      <w:start w:val="0"/>
      <w:numFmt w:val="bullet"/>
      <w:lvlText w:val="•"/>
      <w:lvlJc w:val="left"/>
      <w:pPr>
        <w:ind w:left="4408" w:hanging="115"/>
      </w:pPr>
      <w:rPr>
        <w:rFonts w:hint="default"/>
        <w:lang w:val="en-US" w:eastAsia="en-US" w:bidi="ar-SA"/>
      </w:rPr>
    </w:lvl>
    <w:lvl w:ilvl="5">
      <w:start w:val="0"/>
      <w:numFmt w:val="bullet"/>
      <w:lvlText w:val="•"/>
      <w:lvlJc w:val="left"/>
      <w:pPr>
        <w:ind w:left="5504" w:hanging="115"/>
      </w:pPr>
      <w:rPr>
        <w:rFonts w:hint="default"/>
        <w:lang w:val="en-US" w:eastAsia="en-US" w:bidi="ar-SA"/>
      </w:rPr>
    </w:lvl>
    <w:lvl w:ilvl="6">
      <w:start w:val="0"/>
      <w:numFmt w:val="bullet"/>
      <w:lvlText w:val="•"/>
      <w:lvlJc w:val="left"/>
      <w:pPr>
        <w:ind w:left="6600" w:hanging="115"/>
      </w:pPr>
      <w:rPr>
        <w:rFonts w:hint="default"/>
        <w:lang w:val="en-US" w:eastAsia="en-US" w:bidi="ar-SA"/>
      </w:rPr>
    </w:lvl>
    <w:lvl w:ilvl="7">
      <w:start w:val="0"/>
      <w:numFmt w:val="bullet"/>
      <w:lvlText w:val="•"/>
      <w:lvlJc w:val="left"/>
      <w:pPr>
        <w:ind w:left="7697" w:hanging="115"/>
      </w:pPr>
      <w:rPr>
        <w:rFonts w:hint="default"/>
        <w:lang w:val="en-US" w:eastAsia="en-US" w:bidi="ar-SA"/>
      </w:rPr>
    </w:lvl>
    <w:lvl w:ilvl="8">
      <w:start w:val="0"/>
      <w:numFmt w:val="bullet"/>
      <w:lvlText w:val="•"/>
      <w:lvlJc w:val="left"/>
      <w:pPr>
        <w:ind w:left="8793" w:hanging="115"/>
      </w:pPr>
      <w:rPr>
        <w:rFonts w:hint="default"/>
        <w:lang w:val="en-US" w:eastAsia="en-US" w:bidi="ar-SA"/>
      </w:rPr>
    </w:lvl>
  </w:abstractNum>
  <w:abstractNum w:abstractNumId="13">
    <w:multiLevelType w:val="hybridMultilevel"/>
    <w:lvl w:ilvl="0">
      <w:start w:val="0"/>
      <w:numFmt w:val="bullet"/>
      <w:lvlText w:val="•"/>
      <w:lvlJc w:val="left"/>
      <w:pPr>
        <w:ind w:left="1093" w:hanging="84"/>
      </w:pPr>
      <w:rPr>
        <w:rFonts w:hint="default" w:ascii="Arial" w:hAnsi="Arial" w:eastAsia="Arial" w:cs="Arial"/>
        <w:b w:val="0"/>
        <w:bCs w:val="0"/>
        <w:i w:val="0"/>
        <w:iCs w:val="0"/>
        <w:spacing w:val="0"/>
        <w:w w:val="101"/>
        <w:sz w:val="13"/>
        <w:szCs w:val="13"/>
        <w:lang w:val="en-US" w:eastAsia="en-US" w:bidi="ar-SA"/>
      </w:rPr>
    </w:lvl>
    <w:lvl w:ilvl="1">
      <w:start w:val="0"/>
      <w:numFmt w:val="bullet"/>
      <w:lvlText w:val="•"/>
      <w:lvlJc w:val="left"/>
      <w:pPr>
        <w:ind w:left="2088" w:hanging="84"/>
      </w:pPr>
      <w:rPr>
        <w:rFonts w:hint="default"/>
        <w:lang w:val="en-US" w:eastAsia="en-US" w:bidi="ar-SA"/>
      </w:rPr>
    </w:lvl>
    <w:lvl w:ilvl="2">
      <w:start w:val="0"/>
      <w:numFmt w:val="bullet"/>
      <w:lvlText w:val="•"/>
      <w:lvlJc w:val="left"/>
      <w:pPr>
        <w:ind w:left="3077" w:hanging="84"/>
      </w:pPr>
      <w:rPr>
        <w:rFonts w:hint="default"/>
        <w:lang w:val="en-US" w:eastAsia="en-US" w:bidi="ar-SA"/>
      </w:rPr>
    </w:lvl>
    <w:lvl w:ilvl="3">
      <w:start w:val="0"/>
      <w:numFmt w:val="bullet"/>
      <w:lvlText w:val="•"/>
      <w:lvlJc w:val="left"/>
      <w:pPr>
        <w:ind w:left="4065" w:hanging="84"/>
      </w:pPr>
      <w:rPr>
        <w:rFonts w:hint="default"/>
        <w:lang w:val="en-US" w:eastAsia="en-US" w:bidi="ar-SA"/>
      </w:rPr>
    </w:lvl>
    <w:lvl w:ilvl="4">
      <w:start w:val="0"/>
      <w:numFmt w:val="bullet"/>
      <w:lvlText w:val="•"/>
      <w:lvlJc w:val="left"/>
      <w:pPr>
        <w:ind w:left="5054" w:hanging="84"/>
      </w:pPr>
      <w:rPr>
        <w:rFonts w:hint="default"/>
        <w:lang w:val="en-US" w:eastAsia="en-US" w:bidi="ar-SA"/>
      </w:rPr>
    </w:lvl>
    <w:lvl w:ilvl="5">
      <w:start w:val="0"/>
      <w:numFmt w:val="bullet"/>
      <w:lvlText w:val="•"/>
      <w:lvlJc w:val="left"/>
      <w:pPr>
        <w:ind w:left="6042" w:hanging="84"/>
      </w:pPr>
      <w:rPr>
        <w:rFonts w:hint="default"/>
        <w:lang w:val="en-US" w:eastAsia="en-US" w:bidi="ar-SA"/>
      </w:rPr>
    </w:lvl>
    <w:lvl w:ilvl="6">
      <w:start w:val="0"/>
      <w:numFmt w:val="bullet"/>
      <w:lvlText w:val="•"/>
      <w:lvlJc w:val="left"/>
      <w:pPr>
        <w:ind w:left="7031" w:hanging="84"/>
      </w:pPr>
      <w:rPr>
        <w:rFonts w:hint="default"/>
        <w:lang w:val="en-US" w:eastAsia="en-US" w:bidi="ar-SA"/>
      </w:rPr>
    </w:lvl>
    <w:lvl w:ilvl="7">
      <w:start w:val="0"/>
      <w:numFmt w:val="bullet"/>
      <w:lvlText w:val="•"/>
      <w:lvlJc w:val="left"/>
      <w:pPr>
        <w:ind w:left="8019" w:hanging="84"/>
      </w:pPr>
      <w:rPr>
        <w:rFonts w:hint="default"/>
        <w:lang w:val="en-US" w:eastAsia="en-US" w:bidi="ar-SA"/>
      </w:rPr>
    </w:lvl>
    <w:lvl w:ilvl="8">
      <w:start w:val="0"/>
      <w:numFmt w:val="bullet"/>
      <w:lvlText w:val="•"/>
      <w:lvlJc w:val="left"/>
      <w:pPr>
        <w:ind w:left="9008" w:hanging="84"/>
      </w:pPr>
      <w:rPr>
        <w:rFonts w:hint="default"/>
        <w:lang w:val="en-US" w:eastAsia="en-US" w:bidi="ar-SA"/>
      </w:rPr>
    </w:lvl>
  </w:abstractNum>
  <w:abstractNum w:abstractNumId="12">
    <w:multiLevelType w:val="hybridMultilevel"/>
    <w:lvl w:ilvl="0">
      <w:start w:val="1"/>
      <w:numFmt w:val="decimal"/>
      <w:lvlText w:val="%1"/>
      <w:lvlJc w:val="left"/>
      <w:pPr>
        <w:ind w:left="1146" w:hanging="647"/>
        <w:jc w:val="right"/>
      </w:pPr>
      <w:rPr>
        <w:rFonts w:hint="default"/>
        <w:spacing w:val="0"/>
        <w:w w:val="102"/>
        <w:lang w:val="en-US" w:eastAsia="en-US" w:bidi="ar-SA"/>
      </w:rPr>
    </w:lvl>
    <w:lvl w:ilvl="1">
      <w:start w:val="1"/>
      <w:numFmt w:val="decimal"/>
      <w:lvlText w:val="%1.%2"/>
      <w:lvlJc w:val="left"/>
      <w:pPr>
        <w:ind w:left="717" w:hanging="576"/>
        <w:jc w:val="left"/>
      </w:pPr>
      <w:rPr>
        <w:rFonts w:hint="default"/>
        <w:spacing w:val="-1"/>
        <w:w w:val="103"/>
        <w:lang w:val="en-US" w:eastAsia="en-US" w:bidi="ar-SA"/>
      </w:rPr>
    </w:lvl>
    <w:lvl w:ilvl="2">
      <w:start w:val="0"/>
      <w:numFmt w:val="bullet"/>
      <w:lvlText w:val="•"/>
      <w:lvlJc w:val="left"/>
      <w:pPr>
        <w:ind w:left="1124" w:hanging="576"/>
      </w:pPr>
      <w:rPr>
        <w:rFonts w:hint="default" w:ascii="Arial" w:hAnsi="Arial" w:eastAsia="Arial" w:cs="Arial"/>
        <w:b w:val="0"/>
        <w:bCs w:val="0"/>
        <w:i w:val="0"/>
        <w:iCs w:val="0"/>
        <w:spacing w:val="0"/>
        <w:w w:val="101"/>
        <w:sz w:val="13"/>
        <w:szCs w:val="13"/>
        <w:lang w:val="en-US" w:eastAsia="en-US" w:bidi="ar-SA"/>
      </w:rPr>
    </w:lvl>
    <w:lvl w:ilvl="3">
      <w:start w:val="0"/>
      <w:numFmt w:val="bullet"/>
      <w:lvlText w:val="•"/>
      <w:lvlJc w:val="left"/>
      <w:pPr>
        <w:ind w:left="840" w:hanging="576"/>
      </w:pPr>
      <w:rPr>
        <w:rFonts w:hint="default"/>
        <w:lang w:val="en-US" w:eastAsia="en-US" w:bidi="ar-SA"/>
      </w:rPr>
    </w:lvl>
    <w:lvl w:ilvl="4">
      <w:start w:val="0"/>
      <w:numFmt w:val="bullet"/>
      <w:lvlText w:val="•"/>
      <w:lvlJc w:val="left"/>
      <w:pPr>
        <w:ind w:left="860" w:hanging="576"/>
      </w:pPr>
      <w:rPr>
        <w:rFonts w:hint="default"/>
        <w:lang w:val="en-US" w:eastAsia="en-US" w:bidi="ar-SA"/>
      </w:rPr>
    </w:lvl>
    <w:lvl w:ilvl="5">
      <w:start w:val="0"/>
      <w:numFmt w:val="bullet"/>
      <w:lvlText w:val="•"/>
      <w:lvlJc w:val="left"/>
      <w:pPr>
        <w:ind w:left="1020" w:hanging="576"/>
      </w:pPr>
      <w:rPr>
        <w:rFonts w:hint="default"/>
        <w:lang w:val="en-US" w:eastAsia="en-US" w:bidi="ar-SA"/>
      </w:rPr>
    </w:lvl>
    <w:lvl w:ilvl="6">
      <w:start w:val="0"/>
      <w:numFmt w:val="bullet"/>
      <w:lvlText w:val="•"/>
      <w:lvlJc w:val="left"/>
      <w:pPr>
        <w:ind w:left="1120" w:hanging="576"/>
      </w:pPr>
      <w:rPr>
        <w:rFonts w:hint="default"/>
        <w:lang w:val="en-US" w:eastAsia="en-US" w:bidi="ar-SA"/>
      </w:rPr>
    </w:lvl>
    <w:lvl w:ilvl="7">
      <w:start w:val="0"/>
      <w:numFmt w:val="bullet"/>
      <w:lvlText w:val="•"/>
      <w:lvlJc w:val="left"/>
      <w:pPr>
        <w:ind w:left="1140" w:hanging="576"/>
      </w:pPr>
      <w:rPr>
        <w:rFonts w:hint="default"/>
        <w:lang w:val="en-US" w:eastAsia="en-US" w:bidi="ar-SA"/>
      </w:rPr>
    </w:lvl>
    <w:lvl w:ilvl="8">
      <w:start w:val="0"/>
      <w:numFmt w:val="bullet"/>
      <w:lvlText w:val="•"/>
      <w:lvlJc w:val="left"/>
      <w:pPr>
        <w:ind w:left="900" w:hanging="576"/>
      </w:pPr>
      <w:rPr>
        <w:rFonts w:hint="default"/>
        <w:lang w:val="en-US" w:eastAsia="en-US" w:bidi="ar-SA"/>
      </w:rPr>
    </w:lvl>
  </w:abstractNum>
  <w:abstractNum w:abstractNumId="11">
    <w:multiLevelType w:val="hybridMultilevel"/>
    <w:lvl w:ilvl="0">
      <w:start w:val="1"/>
      <w:numFmt w:val="decimal"/>
      <w:lvlText w:val="%1"/>
      <w:lvlJc w:val="left"/>
      <w:pPr>
        <w:ind w:left="974" w:hanging="576"/>
        <w:jc w:val="left"/>
      </w:pPr>
      <w:rPr>
        <w:rFonts w:hint="default" w:ascii="Arial" w:hAnsi="Arial" w:eastAsia="Arial" w:cs="Arial"/>
        <w:b/>
        <w:bCs/>
        <w:i w:val="0"/>
        <w:iCs w:val="0"/>
        <w:color w:val="0070C0"/>
        <w:spacing w:val="0"/>
        <w:w w:val="103"/>
        <w:sz w:val="15"/>
        <w:szCs w:val="15"/>
        <w:lang w:val="en-US" w:eastAsia="en-US" w:bidi="ar-SA"/>
      </w:rPr>
    </w:lvl>
    <w:lvl w:ilvl="1">
      <w:start w:val="1"/>
      <w:numFmt w:val="decimal"/>
      <w:lvlText w:val="%1.%2"/>
      <w:lvlJc w:val="left"/>
      <w:pPr>
        <w:ind w:left="972" w:hanging="576"/>
        <w:jc w:val="left"/>
      </w:pPr>
      <w:rPr>
        <w:rFonts w:hint="default" w:ascii="Arial" w:hAnsi="Arial" w:eastAsia="Arial" w:cs="Arial"/>
        <w:b w:val="0"/>
        <w:bCs w:val="0"/>
        <w:i w:val="0"/>
        <w:iCs w:val="0"/>
        <w:spacing w:val="-1"/>
        <w:w w:val="101"/>
        <w:sz w:val="14"/>
        <w:szCs w:val="14"/>
        <w:lang w:val="en-US" w:eastAsia="en-US" w:bidi="ar-SA"/>
      </w:rPr>
    </w:lvl>
    <w:lvl w:ilvl="2">
      <w:start w:val="0"/>
      <w:numFmt w:val="bullet"/>
      <w:lvlText w:val="•"/>
      <w:lvlJc w:val="left"/>
      <w:pPr>
        <w:ind w:left="2981" w:hanging="576"/>
      </w:pPr>
      <w:rPr>
        <w:rFonts w:hint="default"/>
        <w:lang w:val="en-US" w:eastAsia="en-US" w:bidi="ar-SA"/>
      </w:rPr>
    </w:lvl>
    <w:lvl w:ilvl="3">
      <w:start w:val="0"/>
      <w:numFmt w:val="bullet"/>
      <w:lvlText w:val="•"/>
      <w:lvlJc w:val="left"/>
      <w:pPr>
        <w:ind w:left="3981" w:hanging="576"/>
      </w:pPr>
      <w:rPr>
        <w:rFonts w:hint="default"/>
        <w:lang w:val="en-US" w:eastAsia="en-US" w:bidi="ar-SA"/>
      </w:rPr>
    </w:lvl>
    <w:lvl w:ilvl="4">
      <w:start w:val="0"/>
      <w:numFmt w:val="bullet"/>
      <w:lvlText w:val="•"/>
      <w:lvlJc w:val="left"/>
      <w:pPr>
        <w:ind w:left="4982" w:hanging="576"/>
      </w:pPr>
      <w:rPr>
        <w:rFonts w:hint="default"/>
        <w:lang w:val="en-US" w:eastAsia="en-US" w:bidi="ar-SA"/>
      </w:rPr>
    </w:lvl>
    <w:lvl w:ilvl="5">
      <w:start w:val="0"/>
      <w:numFmt w:val="bullet"/>
      <w:lvlText w:val="•"/>
      <w:lvlJc w:val="left"/>
      <w:pPr>
        <w:ind w:left="5982" w:hanging="576"/>
      </w:pPr>
      <w:rPr>
        <w:rFonts w:hint="default"/>
        <w:lang w:val="en-US" w:eastAsia="en-US" w:bidi="ar-SA"/>
      </w:rPr>
    </w:lvl>
    <w:lvl w:ilvl="6">
      <w:start w:val="0"/>
      <w:numFmt w:val="bullet"/>
      <w:lvlText w:val="•"/>
      <w:lvlJc w:val="left"/>
      <w:pPr>
        <w:ind w:left="6983" w:hanging="576"/>
      </w:pPr>
      <w:rPr>
        <w:rFonts w:hint="default"/>
        <w:lang w:val="en-US" w:eastAsia="en-US" w:bidi="ar-SA"/>
      </w:rPr>
    </w:lvl>
    <w:lvl w:ilvl="7">
      <w:start w:val="0"/>
      <w:numFmt w:val="bullet"/>
      <w:lvlText w:val="•"/>
      <w:lvlJc w:val="left"/>
      <w:pPr>
        <w:ind w:left="7983" w:hanging="576"/>
      </w:pPr>
      <w:rPr>
        <w:rFonts w:hint="default"/>
        <w:lang w:val="en-US" w:eastAsia="en-US" w:bidi="ar-SA"/>
      </w:rPr>
    </w:lvl>
    <w:lvl w:ilvl="8">
      <w:start w:val="0"/>
      <w:numFmt w:val="bullet"/>
      <w:lvlText w:val="•"/>
      <w:lvlJc w:val="left"/>
      <w:pPr>
        <w:ind w:left="8984" w:hanging="576"/>
      </w:pPr>
      <w:rPr>
        <w:rFonts w:hint="default"/>
        <w:lang w:val="en-US" w:eastAsia="en-US" w:bidi="ar-SA"/>
      </w:rPr>
    </w:lvl>
  </w:abstractNum>
  <w:abstractNum w:abstractNumId="10">
    <w:multiLevelType w:val="hybridMultilevel"/>
    <w:lvl w:ilvl="0">
      <w:start w:val="0"/>
      <w:numFmt w:val="bullet"/>
      <w:lvlText w:val="•"/>
      <w:lvlJc w:val="left"/>
      <w:pPr>
        <w:ind w:left="440" w:hanging="227"/>
      </w:pPr>
      <w:rPr>
        <w:rFonts w:hint="default" w:ascii="TT Norms Pro Light" w:hAnsi="TT Norms Pro Light" w:eastAsia="TT Norms Pro Light" w:cs="TT Norms Pro Light"/>
        <w:b w:val="0"/>
        <w:bCs w:val="0"/>
        <w:i w:val="0"/>
        <w:iCs w:val="0"/>
        <w:spacing w:val="0"/>
        <w:w w:val="100"/>
        <w:sz w:val="18"/>
        <w:szCs w:val="18"/>
        <w:lang w:val="en-US" w:eastAsia="en-US" w:bidi="ar-SA"/>
      </w:rPr>
    </w:lvl>
    <w:lvl w:ilvl="1">
      <w:start w:val="0"/>
      <w:numFmt w:val="bullet"/>
      <w:lvlText w:val="•"/>
      <w:lvlJc w:val="left"/>
      <w:pPr>
        <w:ind w:left="881" w:hanging="227"/>
      </w:pPr>
      <w:rPr>
        <w:rFonts w:hint="default"/>
        <w:lang w:val="en-US" w:eastAsia="en-US" w:bidi="ar-SA"/>
      </w:rPr>
    </w:lvl>
    <w:lvl w:ilvl="2">
      <w:start w:val="0"/>
      <w:numFmt w:val="bullet"/>
      <w:lvlText w:val="•"/>
      <w:lvlJc w:val="left"/>
      <w:pPr>
        <w:ind w:left="1323" w:hanging="227"/>
      </w:pPr>
      <w:rPr>
        <w:rFonts w:hint="default"/>
        <w:lang w:val="en-US" w:eastAsia="en-US" w:bidi="ar-SA"/>
      </w:rPr>
    </w:lvl>
    <w:lvl w:ilvl="3">
      <w:start w:val="0"/>
      <w:numFmt w:val="bullet"/>
      <w:lvlText w:val="•"/>
      <w:lvlJc w:val="left"/>
      <w:pPr>
        <w:ind w:left="1764" w:hanging="227"/>
      </w:pPr>
      <w:rPr>
        <w:rFonts w:hint="default"/>
        <w:lang w:val="en-US" w:eastAsia="en-US" w:bidi="ar-SA"/>
      </w:rPr>
    </w:lvl>
    <w:lvl w:ilvl="4">
      <w:start w:val="0"/>
      <w:numFmt w:val="bullet"/>
      <w:lvlText w:val="•"/>
      <w:lvlJc w:val="left"/>
      <w:pPr>
        <w:ind w:left="2206" w:hanging="227"/>
      </w:pPr>
      <w:rPr>
        <w:rFonts w:hint="default"/>
        <w:lang w:val="en-US" w:eastAsia="en-US" w:bidi="ar-SA"/>
      </w:rPr>
    </w:lvl>
    <w:lvl w:ilvl="5">
      <w:start w:val="0"/>
      <w:numFmt w:val="bullet"/>
      <w:lvlText w:val="•"/>
      <w:lvlJc w:val="left"/>
      <w:pPr>
        <w:ind w:left="2648" w:hanging="227"/>
      </w:pPr>
      <w:rPr>
        <w:rFonts w:hint="default"/>
        <w:lang w:val="en-US" w:eastAsia="en-US" w:bidi="ar-SA"/>
      </w:rPr>
    </w:lvl>
    <w:lvl w:ilvl="6">
      <w:start w:val="0"/>
      <w:numFmt w:val="bullet"/>
      <w:lvlText w:val="•"/>
      <w:lvlJc w:val="left"/>
      <w:pPr>
        <w:ind w:left="3089" w:hanging="227"/>
      </w:pPr>
      <w:rPr>
        <w:rFonts w:hint="default"/>
        <w:lang w:val="en-US" w:eastAsia="en-US" w:bidi="ar-SA"/>
      </w:rPr>
    </w:lvl>
    <w:lvl w:ilvl="7">
      <w:start w:val="0"/>
      <w:numFmt w:val="bullet"/>
      <w:lvlText w:val="•"/>
      <w:lvlJc w:val="left"/>
      <w:pPr>
        <w:ind w:left="3531" w:hanging="227"/>
      </w:pPr>
      <w:rPr>
        <w:rFonts w:hint="default"/>
        <w:lang w:val="en-US" w:eastAsia="en-US" w:bidi="ar-SA"/>
      </w:rPr>
    </w:lvl>
    <w:lvl w:ilvl="8">
      <w:start w:val="0"/>
      <w:numFmt w:val="bullet"/>
      <w:lvlText w:val="•"/>
      <w:lvlJc w:val="left"/>
      <w:pPr>
        <w:ind w:left="3973" w:hanging="227"/>
      </w:pPr>
      <w:rPr>
        <w:rFonts w:hint="default"/>
        <w:lang w:val="en-US" w:eastAsia="en-US" w:bidi="ar-SA"/>
      </w:rPr>
    </w:lvl>
  </w:abstractNum>
  <w:abstractNum w:abstractNumId="9">
    <w:multiLevelType w:val="hybridMultilevel"/>
    <w:lvl w:ilvl="0">
      <w:start w:val="2"/>
      <w:numFmt w:val="decimal"/>
      <w:lvlText w:val="%1"/>
      <w:lvlJc w:val="left"/>
      <w:pPr>
        <w:ind w:left="550" w:hanging="341"/>
        <w:jc w:val="left"/>
      </w:pPr>
      <w:rPr>
        <w:rFonts w:hint="default"/>
        <w:lang w:val="en-US" w:eastAsia="en-US" w:bidi="ar-SA"/>
      </w:rPr>
    </w:lvl>
    <w:lvl w:ilvl="1">
      <w:start w:val="1"/>
      <w:numFmt w:val="decimal"/>
      <w:lvlText w:val="%1.%2"/>
      <w:lvlJc w:val="left"/>
      <w:pPr>
        <w:ind w:left="550" w:hanging="341"/>
        <w:jc w:val="left"/>
      </w:pPr>
      <w:rPr>
        <w:rFonts w:hint="default" w:ascii="TT Norms Pro Medium" w:hAnsi="TT Norms Pro Medium" w:eastAsia="TT Norms Pro Medium" w:cs="TT Norms Pro Medium"/>
        <w:b/>
        <w:bCs/>
        <w:i w:val="0"/>
        <w:iCs w:val="0"/>
        <w:spacing w:val="0"/>
        <w:w w:val="89"/>
        <w:sz w:val="22"/>
        <w:szCs w:val="22"/>
        <w:lang w:val="en-US" w:eastAsia="en-US" w:bidi="ar-SA"/>
      </w:rPr>
    </w:lvl>
    <w:lvl w:ilvl="2">
      <w:start w:val="0"/>
      <w:numFmt w:val="bullet"/>
      <w:lvlText w:val="•"/>
      <w:lvlJc w:val="left"/>
      <w:pPr>
        <w:ind w:left="440" w:hanging="227"/>
      </w:pPr>
      <w:rPr>
        <w:rFonts w:hint="default" w:ascii="TT Norms Pro Light" w:hAnsi="TT Norms Pro Light" w:eastAsia="TT Norms Pro Light" w:cs="TT Norms Pro Light"/>
        <w:b w:val="0"/>
        <w:bCs w:val="0"/>
        <w:i w:val="0"/>
        <w:iCs w:val="0"/>
        <w:spacing w:val="0"/>
        <w:w w:val="100"/>
        <w:sz w:val="18"/>
        <w:szCs w:val="18"/>
        <w:lang w:val="en-US" w:eastAsia="en-US" w:bidi="ar-SA"/>
      </w:rPr>
    </w:lvl>
    <w:lvl w:ilvl="3">
      <w:start w:val="0"/>
      <w:numFmt w:val="bullet"/>
      <w:lvlText w:val="•"/>
      <w:lvlJc w:val="left"/>
      <w:pPr>
        <w:ind w:left="1514" w:hanging="227"/>
      </w:pPr>
      <w:rPr>
        <w:rFonts w:hint="default"/>
        <w:lang w:val="en-US" w:eastAsia="en-US" w:bidi="ar-SA"/>
      </w:rPr>
    </w:lvl>
    <w:lvl w:ilvl="4">
      <w:start w:val="0"/>
      <w:numFmt w:val="bullet"/>
      <w:lvlText w:val="•"/>
      <w:lvlJc w:val="left"/>
      <w:pPr>
        <w:ind w:left="1992" w:hanging="227"/>
      </w:pPr>
      <w:rPr>
        <w:rFonts w:hint="default"/>
        <w:lang w:val="en-US" w:eastAsia="en-US" w:bidi="ar-SA"/>
      </w:rPr>
    </w:lvl>
    <w:lvl w:ilvl="5">
      <w:start w:val="0"/>
      <w:numFmt w:val="bullet"/>
      <w:lvlText w:val="•"/>
      <w:lvlJc w:val="left"/>
      <w:pPr>
        <w:ind w:left="2469" w:hanging="227"/>
      </w:pPr>
      <w:rPr>
        <w:rFonts w:hint="default"/>
        <w:lang w:val="en-US" w:eastAsia="en-US" w:bidi="ar-SA"/>
      </w:rPr>
    </w:lvl>
    <w:lvl w:ilvl="6">
      <w:start w:val="0"/>
      <w:numFmt w:val="bullet"/>
      <w:lvlText w:val="•"/>
      <w:lvlJc w:val="left"/>
      <w:pPr>
        <w:ind w:left="2946" w:hanging="227"/>
      </w:pPr>
      <w:rPr>
        <w:rFonts w:hint="default"/>
        <w:lang w:val="en-US" w:eastAsia="en-US" w:bidi="ar-SA"/>
      </w:rPr>
    </w:lvl>
    <w:lvl w:ilvl="7">
      <w:start w:val="0"/>
      <w:numFmt w:val="bullet"/>
      <w:lvlText w:val="•"/>
      <w:lvlJc w:val="left"/>
      <w:pPr>
        <w:ind w:left="3424" w:hanging="227"/>
      </w:pPr>
      <w:rPr>
        <w:rFonts w:hint="default"/>
        <w:lang w:val="en-US" w:eastAsia="en-US" w:bidi="ar-SA"/>
      </w:rPr>
    </w:lvl>
    <w:lvl w:ilvl="8">
      <w:start w:val="0"/>
      <w:numFmt w:val="bullet"/>
      <w:lvlText w:val="•"/>
      <w:lvlJc w:val="left"/>
      <w:pPr>
        <w:ind w:left="3901" w:hanging="227"/>
      </w:pPr>
      <w:rPr>
        <w:rFonts w:hint="default"/>
        <w:lang w:val="en-US" w:eastAsia="en-US" w:bidi="ar-SA"/>
      </w:rPr>
    </w:lvl>
  </w:abstractNum>
  <w:abstractNum w:abstractNumId="8">
    <w:multiLevelType w:val="hybridMultilevel"/>
    <w:lvl w:ilvl="0">
      <w:start w:val="1"/>
      <w:numFmt w:val="decimal"/>
      <w:lvlText w:val="%1"/>
      <w:lvlJc w:val="left"/>
      <w:pPr>
        <w:ind w:left="509" w:hanging="296"/>
        <w:jc w:val="left"/>
      </w:pPr>
      <w:rPr>
        <w:rFonts w:hint="default"/>
        <w:lang w:val="en-US" w:eastAsia="en-US" w:bidi="ar-SA"/>
      </w:rPr>
    </w:lvl>
    <w:lvl w:ilvl="1">
      <w:start w:val="1"/>
      <w:numFmt w:val="decimal"/>
      <w:lvlText w:val="%1.%2"/>
      <w:lvlJc w:val="left"/>
      <w:pPr>
        <w:ind w:left="509" w:hanging="296"/>
        <w:jc w:val="left"/>
      </w:pPr>
      <w:rPr>
        <w:rFonts w:hint="default" w:ascii="TT Norms Pro Medium" w:hAnsi="TT Norms Pro Medium" w:eastAsia="TT Norms Pro Medium" w:cs="TT Norms Pro Medium"/>
        <w:b/>
        <w:bCs/>
        <w:i w:val="0"/>
        <w:iCs w:val="0"/>
        <w:spacing w:val="0"/>
        <w:w w:val="89"/>
        <w:sz w:val="22"/>
        <w:szCs w:val="22"/>
        <w:lang w:val="en-US" w:eastAsia="en-US" w:bidi="ar-SA"/>
      </w:rPr>
    </w:lvl>
    <w:lvl w:ilvl="2">
      <w:start w:val="0"/>
      <w:numFmt w:val="bullet"/>
      <w:lvlText w:val="•"/>
      <w:lvlJc w:val="left"/>
      <w:pPr>
        <w:ind w:left="1374" w:hanging="296"/>
      </w:pPr>
      <w:rPr>
        <w:rFonts w:hint="default"/>
        <w:lang w:val="en-US" w:eastAsia="en-US" w:bidi="ar-SA"/>
      </w:rPr>
    </w:lvl>
    <w:lvl w:ilvl="3">
      <w:start w:val="0"/>
      <w:numFmt w:val="bullet"/>
      <w:lvlText w:val="•"/>
      <w:lvlJc w:val="left"/>
      <w:pPr>
        <w:ind w:left="1812" w:hanging="296"/>
      </w:pPr>
      <w:rPr>
        <w:rFonts w:hint="default"/>
        <w:lang w:val="en-US" w:eastAsia="en-US" w:bidi="ar-SA"/>
      </w:rPr>
    </w:lvl>
    <w:lvl w:ilvl="4">
      <w:start w:val="0"/>
      <w:numFmt w:val="bullet"/>
      <w:lvlText w:val="•"/>
      <w:lvlJc w:val="left"/>
      <w:pPr>
        <w:ind w:left="2249" w:hanging="296"/>
      </w:pPr>
      <w:rPr>
        <w:rFonts w:hint="default"/>
        <w:lang w:val="en-US" w:eastAsia="en-US" w:bidi="ar-SA"/>
      </w:rPr>
    </w:lvl>
    <w:lvl w:ilvl="5">
      <w:start w:val="0"/>
      <w:numFmt w:val="bullet"/>
      <w:lvlText w:val="•"/>
      <w:lvlJc w:val="left"/>
      <w:pPr>
        <w:ind w:left="2687" w:hanging="296"/>
      </w:pPr>
      <w:rPr>
        <w:rFonts w:hint="default"/>
        <w:lang w:val="en-US" w:eastAsia="en-US" w:bidi="ar-SA"/>
      </w:rPr>
    </w:lvl>
    <w:lvl w:ilvl="6">
      <w:start w:val="0"/>
      <w:numFmt w:val="bullet"/>
      <w:lvlText w:val="•"/>
      <w:lvlJc w:val="left"/>
      <w:pPr>
        <w:ind w:left="3124" w:hanging="296"/>
      </w:pPr>
      <w:rPr>
        <w:rFonts w:hint="default"/>
        <w:lang w:val="en-US" w:eastAsia="en-US" w:bidi="ar-SA"/>
      </w:rPr>
    </w:lvl>
    <w:lvl w:ilvl="7">
      <w:start w:val="0"/>
      <w:numFmt w:val="bullet"/>
      <w:lvlText w:val="•"/>
      <w:lvlJc w:val="left"/>
      <w:pPr>
        <w:ind w:left="3562" w:hanging="296"/>
      </w:pPr>
      <w:rPr>
        <w:rFonts w:hint="default"/>
        <w:lang w:val="en-US" w:eastAsia="en-US" w:bidi="ar-SA"/>
      </w:rPr>
    </w:lvl>
    <w:lvl w:ilvl="8">
      <w:start w:val="0"/>
      <w:numFmt w:val="bullet"/>
      <w:lvlText w:val="•"/>
      <w:lvlJc w:val="left"/>
      <w:pPr>
        <w:ind w:left="3999" w:hanging="296"/>
      </w:pPr>
      <w:rPr>
        <w:rFonts w:hint="default"/>
        <w:lang w:val="en-US" w:eastAsia="en-US" w:bidi="ar-SA"/>
      </w:rPr>
    </w:lvl>
  </w:abstractNum>
  <w:abstractNum w:abstractNumId="7">
    <w:multiLevelType w:val="hybridMultilevel"/>
    <w:lvl w:ilvl="0">
      <w:start w:val="1"/>
      <w:numFmt w:val="decimal"/>
      <w:lvlText w:val="%1"/>
      <w:lvlJc w:val="left"/>
      <w:pPr>
        <w:ind w:left="489" w:hanging="276"/>
        <w:jc w:val="left"/>
      </w:pPr>
      <w:rPr>
        <w:rFonts w:hint="default"/>
        <w:spacing w:val="0"/>
        <w:w w:val="100"/>
        <w:lang w:val="en-US" w:eastAsia="en-US" w:bidi="ar-SA"/>
      </w:rPr>
    </w:lvl>
    <w:lvl w:ilvl="1">
      <w:start w:val="1"/>
      <w:numFmt w:val="decimal"/>
      <w:lvlText w:val="%1.%2"/>
      <w:lvlJc w:val="left"/>
      <w:pPr>
        <w:ind w:left="554" w:hanging="341"/>
        <w:jc w:val="left"/>
      </w:pPr>
      <w:rPr>
        <w:rFonts w:hint="default" w:ascii="TT Norms Pro Light" w:hAnsi="TT Norms Pro Light" w:eastAsia="TT Norms Pro Light" w:cs="TT Norms Pro Light"/>
        <w:b w:val="0"/>
        <w:bCs w:val="0"/>
        <w:i w:val="0"/>
        <w:iCs w:val="0"/>
        <w:spacing w:val="-3"/>
        <w:w w:val="100"/>
        <w:sz w:val="18"/>
        <w:szCs w:val="18"/>
        <w:lang w:val="en-US" w:eastAsia="en-US" w:bidi="ar-SA"/>
      </w:rPr>
    </w:lvl>
    <w:lvl w:ilvl="2">
      <w:start w:val="0"/>
      <w:numFmt w:val="bullet"/>
      <w:lvlText w:val="•"/>
      <w:lvlJc w:val="left"/>
      <w:pPr>
        <w:ind w:left="1037" w:hanging="341"/>
      </w:pPr>
      <w:rPr>
        <w:rFonts w:hint="default"/>
        <w:lang w:val="en-US" w:eastAsia="en-US" w:bidi="ar-SA"/>
      </w:rPr>
    </w:lvl>
    <w:lvl w:ilvl="3">
      <w:start w:val="0"/>
      <w:numFmt w:val="bullet"/>
      <w:lvlText w:val="•"/>
      <w:lvlJc w:val="left"/>
      <w:pPr>
        <w:ind w:left="1514" w:hanging="341"/>
      </w:pPr>
      <w:rPr>
        <w:rFonts w:hint="default"/>
        <w:lang w:val="en-US" w:eastAsia="en-US" w:bidi="ar-SA"/>
      </w:rPr>
    </w:lvl>
    <w:lvl w:ilvl="4">
      <w:start w:val="0"/>
      <w:numFmt w:val="bullet"/>
      <w:lvlText w:val="•"/>
      <w:lvlJc w:val="left"/>
      <w:pPr>
        <w:ind w:left="1992" w:hanging="341"/>
      </w:pPr>
      <w:rPr>
        <w:rFonts w:hint="default"/>
        <w:lang w:val="en-US" w:eastAsia="en-US" w:bidi="ar-SA"/>
      </w:rPr>
    </w:lvl>
    <w:lvl w:ilvl="5">
      <w:start w:val="0"/>
      <w:numFmt w:val="bullet"/>
      <w:lvlText w:val="•"/>
      <w:lvlJc w:val="left"/>
      <w:pPr>
        <w:ind w:left="2469" w:hanging="341"/>
      </w:pPr>
      <w:rPr>
        <w:rFonts w:hint="default"/>
        <w:lang w:val="en-US" w:eastAsia="en-US" w:bidi="ar-SA"/>
      </w:rPr>
    </w:lvl>
    <w:lvl w:ilvl="6">
      <w:start w:val="0"/>
      <w:numFmt w:val="bullet"/>
      <w:lvlText w:val="•"/>
      <w:lvlJc w:val="left"/>
      <w:pPr>
        <w:ind w:left="2946" w:hanging="341"/>
      </w:pPr>
      <w:rPr>
        <w:rFonts w:hint="default"/>
        <w:lang w:val="en-US" w:eastAsia="en-US" w:bidi="ar-SA"/>
      </w:rPr>
    </w:lvl>
    <w:lvl w:ilvl="7">
      <w:start w:val="0"/>
      <w:numFmt w:val="bullet"/>
      <w:lvlText w:val="•"/>
      <w:lvlJc w:val="left"/>
      <w:pPr>
        <w:ind w:left="3424" w:hanging="341"/>
      </w:pPr>
      <w:rPr>
        <w:rFonts w:hint="default"/>
        <w:lang w:val="en-US" w:eastAsia="en-US" w:bidi="ar-SA"/>
      </w:rPr>
    </w:lvl>
    <w:lvl w:ilvl="8">
      <w:start w:val="0"/>
      <w:numFmt w:val="bullet"/>
      <w:lvlText w:val="•"/>
      <w:lvlJc w:val="left"/>
      <w:pPr>
        <w:ind w:left="3901" w:hanging="341"/>
      </w:pPr>
      <w:rPr>
        <w:rFonts w:hint="default"/>
        <w:lang w:val="en-US" w:eastAsia="en-US" w:bidi="ar-SA"/>
      </w:rPr>
    </w:lvl>
  </w:abstractNum>
  <w:abstractNum w:abstractNumId="6">
    <w:multiLevelType w:val="hybridMultilevel"/>
    <w:lvl w:ilvl="0">
      <w:start w:val="0"/>
      <w:numFmt w:val="bullet"/>
      <w:lvlText w:val="•"/>
      <w:lvlJc w:val="left"/>
      <w:pPr>
        <w:ind w:left="1360" w:hanging="227"/>
      </w:pPr>
      <w:rPr>
        <w:rFonts w:hint="default" w:ascii="TT Norms Pro Light" w:hAnsi="TT Norms Pro Light" w:eastAsia="TT Norms Pro Light" w:cs="TT Norms Pro Light"/>
        <w:b w:val="0"/>
        <w:bCs w:val="0"/>
        <w:i w:val="0"/>
        <w:iCs w:val="0"/>
        <w:spacing w:val="0"/>
        <w:w w:val="100"/>
        <w:sz w:val="18"/>
        <w:szCs w:val="18"/>
        <w:lang w:val="en-US" w:eastAsia="en-US" w:bidi="ar-SA"/>
      </w:rPr>
    </w:lvl>
    <w:lvl w:ilvl="1">
      <w:start w:val="0"/>
      <w:numFmt w:val="bullet"/>
      <w:lvlText w:val="•"/>
      <w:lvlJc w:val="left"/>
      <w:pPr>
        <w:ind w:left="2336" w:hanging="227"/>
      </w:pPr>
      <w:rPr>
        <w:rFonts w:hint="default"/>
        <w:lang w:val="en-US" w:eastAsia="en-US" w:bidi="ar-SA"/>
      </w:rPr>
    </w:lvl>
    <w:lvl w:ilvl="2">
      <w:start w:val="0"/>
      <w:numFmt w:val="bullet"/>
      <w:lvlText w:val="•"/>
      <w:lvlJc w:val="left"/>
      <w:pPr>
        <w:ind w:left="3313" w:hanging="227"/>
      </w:pPr>
      <w:rPr>
        <w:rFonts w:hint="default"/>
        <w:lang w:val="en-US" w:eastAsia="en-US" w:bidi="ar-SA"/>
      </w:rPr>
    </w:lvl>
    <w:lvl w:ilvl="3">
      <w:start w:val="0"/>
      <w:numFmt w:val="bullet"/>
      <w:lvlText w:val="•"/>
      <w:lvlJc w:val="left"/>
      <w:pPr>
        <w:ind w:left="4289" w:hanging="227"/>
      </w:pPr>
      <w:rPr>
        <w:rFonts w:hint="default"/>
        <w:lang w:val="en-US" w:eastAsia="en-US" w:bidi="ar-SA"/>
      </w:rPr>
    </w:lvl>
    <w:lvl w:ilvl="4">
      <w:start w:val="0"/>
      <w:numFmt w:val="bullet"/>
      <w:lvlText w:val="•"/>
      <w:lvlJc w:val="left"/>
      <w:pPr>
        <w:ind w:left="5266" w:hanging="227"/>
      </w:pPr>
      <w:rPr>
        <w:rFonts w:hint="default"/>
        <w:lang w:val="en-US" w:eastAsia="en-US" w:bidi="ar-SA"/>
      </w:rPr>
    </w:lvl>
    <w:lvl w:ilvl="5">
      <w:start w:val="0"/>
      <w:numFmt w:val="bullet"/>
      <w:lvlText w:val="•"/>
      <w:lvlJc w:val="left"/>
      <w:pPr>
        <w:ind w:left="6242" w:hanging="227"/>
      </w:pPr>
      <w:rPr>
        <w:rFonts w:hint="default"/>
        <w:lang w:val="en-US" w:eastAsia="en-US" w:bidi="ar-SA"/>
      </w:rPr>
    </w:lvl>
    <w:lvl w:ilvl="6">
      <w:start w:val="0"/>
      <w:numFmt w:val="bullet"/>
      <w:lvlText w:val="•"/>
      <w:lvlJc w:val="left"/>
      <w:pPr>
        <w:ind w:left="7219" w:hanging="227"/>
      </w:pPr>
      <w:rPr>
        <w:rFonts w:hint="default"/>
        <w:lang w:val="en-US" w:eastAsia="en-US" w:bidi="ar-SA"/>
      </w:rPr>
    </w:lvl>
    <w:lvl w:ilvl="7">
      <w:start w:val="0"/>
      <w:numFmt w:val="bullet"/>
      <w:lvlText w:val="•"/>
      <w:lvlJc w:val="left"/>
      <w:pPr>
        <w:ind w:left="8195" w:hanging="227"/>
      </w:pPr>
      <w:rPr>
        <w:rFonts w:hint="default"/>
        <w:lang w:val="en-US" w:eastAsia="en-US" w:bidi="ar-SA"/>
      </w:rPr>
    </w:lvl>
    <w:lvl w:ilvl="8">
      <w:start w:val="0"/>
      <w:numFmt w:val="bullet"/>
      <w:lvlText w:val="•"/>
      <w:lvlJc w:val="left"/>
      <w:pPr>
        <w:ind w:left="9172" w:hanging="227"/>
      </w:pPr>
      <w:rPr>
        <w:rFonts w:hint="default"/>
        <w:lang w:val="en-US" w:eastAsia="en-US" w:bidi="ar-SA"/>
      </w:rPr>
    </w:lvl>
  </w:abstractNum>
  <w:abstractNum w:abstractNumId="5">
    <w:multiLevelType w:val="hybridMultilevel"/>
    <w:lvl w:ilvl="0">
      <w:start w:val="0"/>
      <w:numFmt w:val="bullet"/>
      <w:lvlText w:val="•"/>
      <w:lvlJc w:val="left"/>
      <w:pPr>
        <w:ind w:left="1360" w:hanging="227"/>
      </w:pPr>
      <w:rPr>
        <w:rFonts w:hint="default" w:ascii="TT Norms Pro Light" w:hAnsi="TT Norms Pro Light" w:eastAsia="TT Norms Pro Light" w:cs="TT Norms Pro Light"/>
        <w:b w:val="0"/>
        <w:bCs w:val="0"/>
        <w:i w:val="0"/>
        <w:iCs w:val="0"/>
        <w:spacing w:val="0"/>
        <w:w w:val="100"/>
        <w:sz w:val="18"/>
        <w:szCs w:val="18"/>
        <w:lang w:val="en-US" w:eastAsia="en-US" w:bidi="ar-SA"/>
      </w:rPr>
    </w:lvl>
    <w:lvl w:ilvl="1">
      <w:start w:val="0"/>
      <w:numFmt w:val="bullet"/>
      <w:lvlText w:val="•"/>
      <w:lvlJc w:val="left"/>
      <w:pPr>
        <w:ind w:left="1797" w:hanging="227"/>
      </w:pPr>
      <w:rPr>
        <w:rFonts w:hint="default"/>
        <w:lang w:val="en-US" w:eastAsia="en-US" w:bidi="ar-SA"/>
      </w:rPr>
    </w:lvl>
    <w:lvl w:ilvl="2">
      <w:start w:val="0"/>
      <w:numFmt w:val="bullet"/>
      <w:lvlText w:val="•"/>
      <w:lvlJc w:val="left"/>
      <w:pPr>
        <w:ind w:left="2234" w:hanging="227"/>
      </w:pPr>
      <w:rPr>
        <w:rFonts w:hint="default"/>
        <w:lang w:val="en-US" w:eastAsia="en-US" w:bidi="ar-SA"/>
      </w:rPr>
    </w:lvl>
    <w:lvl w:ilvl="3">
      <w:start w:val="0"/>
      <w:numFmt w:val="bullet"/>
      <w:lvlText w:val="•"/>
      <w:lvlJc w:val="left"/>
      <w:pPr>
        <w:ind w:left="2671" w:hanging="227"/>
      </w:pPr>
      <w:rPr>
        <w:rFonts w:hint="default"/>
        <w:lang w:val="en-US" w:eastAsia="en-US" w:bidi="ar-SA"/>
      </w:rPr>
    </w:lvl>
    <w:lvl w:ilvl="4">
      <w:start w:val="0"/>
      <w:numFmt w:val="bullet"/>
      <w:lvlText w:val="•"/>
      <w:lvlJc w:val="left"/>
      <w:pPr>
        <w:ind w:left="3109" w:hanging="227"/>
      </w:pPr>
      <w:rPr>
        <w:rFonts w:hint="default"/>
        <w:lang w:val="en-US" w:eastAsia="en-US" w:bidi="ar-SA"/>
      </w:rPr>
    </w:lvl>
    <w:lvl w:ilvl="5">
      <w:start w:val="0"/>
      <w:numFmt w:val="bullet"/>
      <w:lvlText w:val="•"/>
      <w:lvlJc w:val="left"/>
      <w:pPr>
        <w:ind w:left="3546" w:hanging="227"/>
      </w:pPr>
      <w:rPr>
        <w:rFonts w:hint="default"/>
        <w:lang w:val="en-US" w:eastAsia="en-US" w:bidi="ar-SA"/>
      </w:rPr>
    </w:lvl>
    <w:lvl w:ilvl="6">
      <w:start w:val="0"/>
      <w:numFmt w:val="bullet"/>
      <w:lvlText w:val="•"/>
      <w:lvlJc w:val="left"/>
      <w:pPr>
        <w:ind w:left="3983" w:hanging="227"/>
      </w:pPr>
      <w:rPr>
        <w:rFonts w:hint="default"/>
        <w:lang w:val="en-US" w:eastAsia="en-US" w:bidi="ar-SA"/>
      </w:rPr>
    </w:lvl>
    <w:lvl w:ilvl="7">
      <w:start w:val="0"/>
      <w:numFmt w:val="bullet"/>
      <w:lvlText w:val="•"/>
      <w:lvlJc w:val="left"/>
      <w:pPr>
        <w:ind w:left="4420" w:hanging="227"/>
      </w:pPr>
      <w:rPr>
        <w:rFonts w:hint="default"/>
        <w:lang w:val="en-US" w:eastAsia="en-US" w:bidi="ar-SA"/>
      </w:rPr>
    </w:lvl>
    <w:lvl w:ilvl="8">
      <w:start w:val="0"/>
      <w:numFmt w:val="bullet"/>
      <w:lvlText w:val="•"/>
      <w:lvlJc w:val="left"/>
      <w:pPr>
        <w:ind w:left="4858" w:hanging="227"/>
      </w:pPr>
      <w:rPr>
        <w:rFonts w:hint="default"/>
        <w:lang w:val="en-US" w:eastAsia="en-US" w:bidi="ar-SA"/>
      </w:rPr>
    </w:lvl>
  </w:abstractNum>
  <w:abstractNum w:abstractNumId="4">
    <w:multiLevelType w:val="hybridMultilevel"/>
    <w:lvl w:ilvl="0">
      <w:start w:val="0"/>
      <w:numFmt w:val="bullet"/>
      <w:lvlText w:val="•"/>
      <w:lvlJc w:val="left"/>
      <w:pPr>
        <w:ind w:left="1581" w:hanging="227"/>
      </w:pPr>
      <w:rPr>
        <w:rFonts w:hint="default" w:ascii="TT Norms Pro Light" w:hAnsi="TT Norms Pro Light" w:eastAsia="TT Norms Pro Light" w:cs="TT Norms Pro Light"/>
        <w:spacing w:val="0"/>
        <w:w w:val="100"/>
        <w:lang w:val="en-US" w:eastAsia="en-US" w:bidi="ar-SA"/>
      </w:rPr>
    </w:lvl>
    <w:lvl w:ilvl="1">
      <w:start w:val="0"/>
      <w:numFmt w:val="bullet"/>
      <w:lvlText w:val="•"/>
      <w:lvlJc w:val="left"/>
      <w:pPr>
        <w:ind w:left="2534" w:hanging="227"/>
      </w:pPr>
      <w:rPr>
        <w:rFonts w:hint="default"/>
        <w:lang w:val="en-US" w:eastAsia="en-US" w:bidi="ar-SA"/>
      </w:rPr>
    </w:lvl>
    <w:lvl w:ilvl="2">
      <w:start w:val="0"/>
      <w:numFmt w:val="bullet"/>
      <w:lvlText w:val="•"/>
      <w:lvlJc w:val="left"/>
      <w:pPr>
        <w:ind w:left="3489" w:hanging="227"/>
      </w:pPr>
      <w:rPr>
        <w:rFonts w:hint="default"/>
        <w:lang w:val="en-US" w:eastAsia="en-US" w:bidi="ar-SA"/>
      </w:rPr>
    </w:lvl>
    <w:lvl w:ilvl="3">
      <w:start w:val="0"/>
      <w:numFmt w:val="bullet"/>
      <w:lvlText w:val="•"/>
      <w:lvlJc w:val="left"/>
      <w:pPr>
        <w:ind w:left="4443" w:hanging="227"/>
      </w:pPr>
      <w:rPr>
        <w:rFonts w:hint="default"/>
        <w:lang w:val="en-US" w:eastAsia="en-US" w:bidi="ar-SA"/>
      </w:rPr>
    </w:lvl>
    <w:lvl w:ilvl="4">
      <w:start w:val="0"/>
      <w:numFmt w:val="bullet"/>
      <w:lvlText w:val="•"/>
      <w:lvlJc w:val="left"/>
      <w:pPr>
        <w:ind w:left="5398" w:hanging="227"/>
      </w:pPr>
      <w:rPr>
        <w:rFonts w:hint="default"/>
        <w:lang w:val="en-US" w:eastAsia="en-US" w:bidi="ar-SA"/>
      </w:rPr>
    </w:lvl>
    <w:lvl w:ilvl="5">
      <w:start w:val="0"/>
      <w:numFmt w:val="bullet"/>
      <w:lvlText w:val="•"/>
      <w:lvlJc w:val="left"/>
      <w:pPr>
        <w:ind w:left="6352" w:hanging="227"/>
      </w:pPr>
      <w:rPr>
        <w:rFonts w:hint="default"/>
        <w:lang w:val="en-US" w:eastAsia="en-US" w:bidi="ar-SA"/>
      </w:rPr>
    </w:lvl>
    <w:lvl w:ilvl="6">
      <w:start w:val="0"/>
      <w:numFmt w:val="bullet"/>
      <w:lvlText w:val="•"/>
      <w:lvlJc w:val="left"/>
      <w:pPr>
        <w:ind w:left="7307" w:hanging="227"/>
      </w:pPr>
      <w:rPr>
        <w:rFonts w:hint="default"/>
        <w:lang w:val="en-US" w:eastAsia="en-US" w:bidi="ar-SA"/>
      </w:rPr>
    </w:lvl>
    <w:lvl w:ilvl="7">
      <w:start w:val="0"/>
      <w:numFmt w:val="bullet"/>
      <w:lvlText w:val="•"/>
      <w:lvlJc w:val="left"/>
      <w:pPr>
        <w:ind w:left="8261" w:hanging="227"/>
      </w:pPr>
      <w:rPr>
        <w:rFonts w:hint="default"/>
        <w:lang w:val="en-US" w:eastAsia="en-US" w:bidi="ar-SA"/>
      </w:rPr>
    </w:lvl>
    <w:lvl w:ilvl="8">
      <w:start w:val="0"/>
      <w:numFmt w:val="bullet"/>
      <w:lvlText w:val="•"/>
      <w:lvlJc w:val="left"/>
      <w:pPr>
        <w:ind w:left="9216" w:hanging="227"/>
      </w:pPr>
      <w:rPr>
        <w:rFonts w:hint="default"/>
        <w:lang w:val="en-US" w:eastAsia="en-US" w:bidi="ar-SA"/>
      </w:rPr>
    </w:lvl>
  </w:abstractNum>
  <w:abstractNum w:abstractNumId="3">
    <w:multiLevelType w:val="hybridMultilevel"/>
    <w:lvl w:ilvl="0">
      <w:start w:val="0"/>
      <w:numFmt w:val="bullet"/>
      <w:lvlText w:val="•"/>
      <w:lvlJc w:val="left"/>
      <w:pPr>
        <w:ind w:left="1581" w:hanging="227"/>
      </w:pPr>
      <w:rPr>
        <w:rFonts w:hint="default" w:ascii="TT Norms Pro Light" w:hAnsi="TT Norms Pro Light" w:eastAsia="TT Norms Pro Light" w:cs="TT Norms Pro Light"/>
        <w:b w:val="0"/>
        <w:bCs w:val="0"/>
        <w:i w:val="0"/>
        <w:iCs w:val="0"/>
        <w:color w:val="21409A"/>
        <w:spacing w:val="0"/>
        <w:w w:val="100"/>
        <w:sz w:val="22"/>
        <w:szCs w:val="22"/>
        <w:lang w:val="en-US" w:eastAsia="en-US" w:bidi="ar-SA"/>
      </w:rPr>
    </w:lvl>
    <w:lvl w:ilvl="1">
      <w:start w:val="0"/>
      <w:numFmt w:val="bullet"/>
      <w:lvlText w:val="•"/>
      <w:lvlJc w:val="left"/>
      <w:pPr>
        <w:ind w:left="2534" w:hanging="227"/>
      </w:pPr>
      <w:rPr>
        <w:rFonts w:hint="default"/>
        <w:lang w:val="en-US" w:eastAsia="en-US" w:bidi="ar-SA"/>
      </w:rPr>
    </w:lvl>
    <w:lvl w:ilvl="2">
      <w:start w:val="0"/>
      <w:numFmt w:val="bullet"/>
      <w:lvlText w:val="•"/>
      <w:lvlJc w:val="left"/>
      <w:pPr>
        <w:ind w:left="3489" w:hanging="227"/>
      </w:pPr>
      <w:rPr>
        <w:rFonts w:hint="default"/>
        <w:lang w:val="en-US" w:eastAsia="en-US" w:bidi="ar-SA"/>
      </w:rPr>
    </w:lvl>
    <w:lvl w:ilvl="3">
      <w:start w:val="0"/>
      <w:numFmt w:val="bullet"/>
      <w:lvlText w:val="•"/>
      <w:lvlJc w:val="left"/>
      <w:pPr>
        <w:ind w:left="4443" w:hanging="227"/>
      </w:pPr>
      <w:rPr>
        <w:rFonts w:hint="default"/>
        <w:lang w:val="en-US" w:eastAsia="en-US" w:bidi="ar-SA"/>
      </w:rPr>
    </w:lvl>
    <w:lvl w:ilvl="4">
      <w:start w:val="0"/>
      <w:numFmt w:val="bullet"/>
      <w:lvlText w:val="•"/>
      <w:lvlJc w:val="left"/>
      <w:pPr>
        <w:ind w:left="5398" w:hanging="227"/>
      </w:pPr>
      <w:rPr>
        <w:rFonts w:hint="default"/>
        <w:lang w:val="en-US" w:eastAsia="en-US" w:bidi="ar-SA"/>
      </w:rPr>
    </w:lvl>
    <w:lvl w:ilvl="5">
      <w:start w:val="0"/>
      <w:numFmt w:val="bullet"/>
      <w:lvlText w:val="•"/>
      <w:lvlJc w:val="left"/>
      <w:pPr>
        <w:ind w:left="6352" w:hanging="227"/>
      </w:pPr>
      <w:rPr>
        <w:rFonts w:hint="default"/>
        <w:lang w:val="en-US" w:eastAsia="en-US" w:bidi="ar-SA"/>
      </w:rPr>
    </w:lvl>
    <w:lvl w:ilvl="6">
      <w:start w:val="0"/>
      <w:numFmt w:val="bullet"/>
      <w:lvlText w:val="•"/>
      <w:lvlJc w:val="left"/>
      <w:pPr>
        <w:ind w:left="7307" w:hanging="227"/>
      </w:pPr>
      <w:rPr>
        <w:rFonts w:hint="default"/>
        <w:lang w:val="en-US" w:eastAsia="en-US" w:bidi="ar-SA"/>
      </w:rPr>
    </w:lvl>
    <w:lvl w:ilvl="7">
      <w:start w:val="0"/>
      <w:numFmt w:val="bullet"/>
      <w:lvlText w:val="•"/>
      <w:lvlJc w:val="left"/>
      <w:pPr>
        <w:ind w:left="8261" w:hanging="227"/>
      </w:pPr>
      <w:rPr>
        <w:rFonts w:hint="default"/>
        <w:lang w:val="en-US" w:eastAsia="en-US" w:bidi="ar-SA"/>
      </w:rPr>
    </w:lvl>
    <w:lvl w:ilvl="8">
      <w:start w:val="0"/>
      <w:numFmt w:val="bullet"/>
      <w:lvlText w:val="•"/>
      <w:lvlJc w:val="left"/>
      <w:pPr>
        <w:ind w:left="9216" w:hanging="227"/>
      </w:pPr>
      <w:rPr>
        <w:rFonts w:hint="default"/>
        <w:lang w:val="en-US" w:eastAsia="en-US" w:bidi="ar-SA"/>
      </w:rPr>
    </w:lvl>
  </w:abstractNum>
  <w:abstractNum w:abstractNumId="2">
    <w:multiLevelType w:val="hybridMultilevel"/>
    <w:lvl w:ilvl="0">
      <w:start w:val="0"/>
      <w:numFmt w:val="bullet"/>
      <w:lvlText w:val="—"/>
      <w:lvlJc w:val="left"/>
      <w:pPr>
        <w:ind w:left="359" w:hanging="166"/>
      </w:pPr>
      <w:rPr>
        <w:rFonts w:hint="default" w:ascii="TT Norms Pro Medium" w:hAnsi="TT Norms Pro Medium" w:eastAsia="TT Norms Pro Medium" w:cs="TT Norms Pro Medium"/>
        <w:b/>
        <w:bCs/>
        <w:i w:val="0"/>
        <w:iCs w:val="0"/>
        <w:spacing w:val="0"/>
        <w:w w:val="95"/>
        <w:sz w:val="18"/>
        <w:szCs w:val="18"/>
        <w:lang w:val="en-US" w:eastAsia="en-US" w:bidi="ar-SA"/>
      </w:rPr>
    </w:lvl>
    <w:lvl w:ilvl="1">
      <w:start w:val="0"/>
      <w:numFmt w:val="bullet"/>
      <w:lvlText w:val="•"/>
      <w:lvlJc w:val="left"/>
      <w:pPr>
        <w:ind w:left="807" w:hanging="166"/>
      </w:pPr>
      <w:rPr>
        <w:rFonts w:hint="default"/>
        <w:lang w:val="en-US" w:eastAsia="en-US" w:bidi="ar-SA"/>
      </w:rPr>
    </w:lvl>
    <w:lvl w:ilvl="2">
      <w:start w:val="0"/>
      <w:numFmt w:val="bullet"/>
      <w:lvlText w:val="•"/>
      <w:lvlJc w:val="left"/>
      <w:pPr>
        <w:ind w:left="1254" w:hanging="166"/>
      </w:pPr>
      <w:rPr>
        <w:rFonts w:hint="default"/>
        <w:lang w:val="en-US" w:eastAsia="en-US" w:bidi="ar-SA"/>
      </w:rPr>
    </w:lvl>
    <w:lvl w:ilvl="3">
      <w:start w:val="0"/>
      <w:numFmt w:val="bullet"/>
      <w:lvlText w:val="•"/>
      <w:lvlJc w:val="left"/>
      <w:pPr>
        <w:ind w:left="1702" w:hanging="166"/>
      </w:pPr>
      <w:rPr>
        <w:rFonts w:hint="default"/>
        <w:lang w:val="en-US" w:eastAsia="en-US" w:bidi="ar-SA"/>
      </w:rPr>
    </w:lvl>
    <w:lvl w:ilvl="4">
      <w:start w:val="0"/>
      <w:numFmt w:val="bullet"/>
      <w:lvlText w:val="•"/>
      <w:lvlJc w:val="left"/>
      <w:pPr>
        <w:ind w:left="2149" w:hanging="166"/>
      </w:pPr>
      <w:rPr>
        <w:rFonts w:hint="default"/>
        <w:lang w:val="en-US" w:eastAsia="en-US" w:bidi="ar-SA"/>
      </w:rPr>
    </w:lvl>
    <w:lvl w:ilvl="5">
      <w:start w:val="0"/>
      <w:numFmt w:val="bullet"/>
      <w:lvlText w:val="•"/>
      <w:lvlJc w:val="left"/>
      <w:pPr>
        <w:ind w:left="2596" w:hanging="166"/>
      </w:pPr>
      <w:rPr>
        <w:rFonts w:hint="default"/>
        <w:lang w:val="en-US" w:eastAsia="en-US" w:bidi="ar-SA"/>
      </w:rPr>
    </w:lvl>
    <w:lvl w:ilvl="6">
      <w:start w:val="0"/>
      <w:numFmt w:val="bullet"/>
      <w:lvlText w:val="•"/>
      <w:lvlJc w:val="left"/>
      <w:pPr>
        <w:ind w:left="3044" w:hanging="166"/>
      </w:pPr>
      <w:rPr>
        <w:rFonts w:hint="default"/>
        <w:lang w:val="en-US" w:eastAsia="en-US" w:bidi="ar-SA"/>
      </w:rPr>
    </w:lvl>
    <w:lvl w:ilvl="7">
      <w:start w:val="0"/>
      <w:numFmt w:val="bullet"/>
      <w:lvlText w:val="•"/>
      <w:lvlJc w:val="left"/>
      <w:pPr>
        <w:ind w:left="3491" w:hanging="166"/>
      </w:pPr>
      <w:rPr>
        <w:rFonts w:hint="default"/>
        <w:lang w:val="en-US" w:eastAsia="en-US" w:bidi="ar-SA"/>
      </w:rPr>
    </w:lvl>
    <w:lvl w:ilvl="8">
      <w:start w:val="0"/>
      <w:numFmt w:val="bullet"/>
      <w:lvlText w:val="•"/>
      <w:lvlJc w:val="left"/>
      <w:pPr>
        <w:ind w:left="3938" w:hanging="166"/>
      </w:pPr>
      <w:rPr>
        <w:rFonts w:hint="default"/>
        <w:lang w:val="en-US" w:eastAsia="en-US" w:bidi="ar-SA"/>
      </w:rPr>
    </w:lvl>
  </w:abstractNum>
  <w:abstractNum w:abstractNumId="1">
    <w:multiLevelType w:val="hybridMultilevel"/>
    <w:lvl w:ilvl="0">
      <w:start w:val="0"/>
      <w:numFmt w:val="bullet"/>
      <w:lvlText w:val="•"/>
      <w:lvlJc w:val="left"/>
      <w:pPr>
        <w:ind w:left="413" w:hanging="227"/>
      </w:pPr>
      <w:rPr>
        <w:rFonts w:hint="default" w:ascii="TT Norms Pro Light" w:hAnsi="TT Norms Pro Light" w:eastAsia="TT Norms Pro Light" w:cs="TT Norms Pro Light"/>
        <w:spacing w:val="0"/>
        <w:w w:val="100"/>
        <w:lang w:val="en-US" w:eastAsia="en-US" w:bidi="ar-SA"/>
      </w:rPr>
    </w:lvl>
    <w:lvl w:ilvl="1">
      <w:start w:val="0"/>
      <w:numFmt w:val="bullet"/>
      <w:lvlText w:val="•"/>
      <w:lvlJc w:val="left"/>
      <w:pPr>
        <w:ind w:left="862" w:hanging="227"/>
      </w:pPr>
      <w:rPr>
        <w:rFonts w:hint="default"/>
        <w:lang w:val="en-US" w:eastAsia="en-US" w:bidi="ar-SA"/>
      </w:rPr>
    </w:lvl>
    <w:lvl w:ilvl="2">
      <w:start w:val="0"/>
      <w:numFmt w:val="bullet"/>
      <w:lvlText w:val="•"/>
      <w:lvlJc w:val="left"/>
      <w:pPr>
        <w:ind w:left="1305" w:hanging="227"/>
      </w:pPr>
      <w:rPr>
        <w:rFonts w:hint="default"/>
        <w:lang w:val="en-US" w:eastAsia="en-US" w:bidi="ar-SA"/>
      </w:rPr>
    </w:lvl>
    <w:lvl w:ilvl="3">
      <w:start w:val="0"/>
      <w:numFmt w:val="bullet"/>
      <w:lvlText w:val="•"/>
      <w:lvlJc w:val="left"/>
      <w:pPr>
        <w:ind w:left="1748" w:hanging="227"/>
      </w:pPr>
      <w:rPr>
        <w:rFonts w:hint="default"/>
        <w:lang w:val="en-US" w:eastAsia="en-US" w:bidi="ar-SA"/>
      </w:rPr>
    </w:lvl>
    <w:lvl w:ilvl="4">
      <w:start w:val="0"/>
      <w:numFmt w:val="bullet"/>
      <w:lvlText w:val="•"/>
      <w:lvlJc w:val="left"/>
      <w:pPr>
        <w:ind w:left="2190" w:hanging="227"/>
      </w:pPr>
      <w:rPr>
        <w:rFonts w:hint="default"/>
        <w:lang w:val="en-US" w:eastAsia="en-US" w:bidi="ar-SA"/>
      </w:rPr>
    </w:lvl>
    <w:lvl w:ilvl="5">
      <w:start w:val="0"/>
      <w:numFmt w:val="bullet"/>
      <w:lvlText w:val="•"/>
      <w:lvlJc w:val="left"/>
      <w:pPr>
        <w:ind w:left="2633" w:hanging="227"/>
      </w:pPr>
      <w:rPr>
        <w:rFonts w:hint="default"/>
        <w:lang w:val="en-US" w:eastAsia="en-US" w:bidi="ar-SA"/>
      </w:rPr>
    </w:lvl>
    <w:lvl w:ilvl="6">
      <w:start w:val="0"/>
      <w:numFmt w:val="bullet"/>
      <w:lvlText w:val="•"/>
      <w:lvlJc w:val="left"/>
      <w:pPr>
        <w:ind w:left="3076" w:hanging="227"/>
      </w:pPr>
      <w:rPr>
        <w:rFonts w:hint="default"/>
        <w:lang w:val="en-US" w:eastAsia="en-US" w:bidi="ar-SA"/>
      </w:rPr>
    </w:lvl>
    <w:lvl w:ilvl="7">
      <w:start w:val="0"/>
      <w:numFmt w:val="bullet"/>
      <w:lvlText w:val="•"/>
      <w:lvlJc w:val="left"/>
      <w:pPr>
        <w:ind w:left="3519" w:hanging="227"/>
      </w:pPr>
      <w:rPr>
        <w:rFonts w:hint="default"/>
        <w:lang w:val="en-US" w:eastAsia="en-US" w:bidi="ar-SA"/>
      </w:rPr>
    </w:lvl>
    <w:lvl w:ilvl="8">
      <w:start w:val="0"/>
      <w:numFmt w:val="bullet"/>
      <w:lvlText w:val="•"/>
      <w:lvlJc w:val="left"/>
      <w:pPr>
        <w:ind w:left="3961" w:hanging="227"/>
      </w:pPr>
      <w:rPr>
        <w:rFonts w:hint="default"/>
        <w:lang w:val="en-US" w:eastAsia="en-US" w:bidi="ar-SA"/>
      </w:rPr>
    </w:lvl>
  </w:abstractNum>
  <w:abstractNum w:abstractNumId="0">
    <w:multiLevelType w:val="hybridMultilevel"/>
    <w:lvl w:ilvl="0">
      <w:start w:val="0"/>
      <w:numFmt w:val="bullet"/>
      <w:lvlText w:val="•"/>
      <w:lvlJc w:val="left"/>
      <w:pPr>
        <w:ind w:left="420" w:hanging="227"/>
      </w:pPr>
      <w:rPr>
        <w:rFonts w:hint="default" w:ascii="TT Norms Pro Light" w:hAnsi="TT Norms Pro Light" w:eastAsia="TT Norms Pro Light" w:cs="TT Norms Pro Light"/>
        <w:b w:val="0"/>
        <w:bCs w:val="0"/>
        <w:i w:val="0"/>
        <w:iCs w:val="0"/>
        <w:spacing w:val="0"/>
        <w:w w:val="100"/>
        <w:sz w:val="22"/>
        <w:szCs w:val="22"/>
        <w:lang w:val="en-US" w:eastAsia="en-US" w:bidi="ar-SA"/>
      </w:rPr>
    </w:lvl>
    <w:lvl w:ilvl="1">
      <w:start w:val="0"/>
      <w:numFmt w:val="bullet"/>
      <w:lvlText w:val="•"/>
      <w:lvlJc w:val="left"/>
      <w:pPr>
        <w:ind w:left="852" w:hanging="227"/>
      </w:pPr>
      <w:rPr>
        <w:rFonts w:hint="default"/>
        <w:lang w:val="en-US" w:eastAsia="en-US" w:bidi="ar-SA"/>
      </w:rPr>
    </w:lvl>
    <w:lvl w:ilvl="2">
      <w:start w:val="0"/>
      <w:numFmt w:val="bullet"/>
      <w:lvlText w:val="•"/>
      <w:lvlJc w:val="left"/>
      <w:pPr>
        <w:ind w:left="1284" w:hanging="227"/>
      </w:pPr>
      <w:rPr>
        <w:rFonts w:hint="default"/>
        <w:lang w:val="en-US" w:eastAsia="en-US" w:bidi="ar-SA"/>
      </w:rPr>
    </w:lvl>
    <w:lvl w:ilvl="3">
      <w:start w:val="0"/>
      <w:numFmt w:val="bullet"/>
      <w:lvlText w:val="•"/>
      <w:lvlJc w:val="left"/>
      <w:pPr>
        <w:ind w:left="1716" w:hanging="227"/>
      </w:pPr>
      <w:rPr>
        <w:rFonts w:hint="default"/>
        <w:lang w:val="en-US" w:eastAsia="en-US" w:bidi="ar-SA"/>
      </w:rPr>
    </w:lvl>
    <w:lvl w:ilvl="4">
      <w:start w:val="0"/>
      <w:numFmt w:val="bullet"/>
      <w:lvlText w:val="•"/>
      <w:lvlJc w:val="left"/>
      <w:pPr>
        <w:ind w:left="2148" w:hanging="227"/>
      </w:pPr>
      <w:rPr>
        <w:rFonts w:hint="default"/>
        <w:lang w:val="en-US" w:eastAsia="en-US" w:bidi="ar-SA"/>
      </w:rPr>
    </w:lvl>
    <w:lvl w:ilvl="5">
      <w:start w:val="0"/>
      <w:numFmt w:val="bullet"/>
      <w:lvlText w:val="•"/>
      <w:lvlJc w:val="left"/>
      <w:pPr>
        <w:ind w:left="2581" w:hanging="227"/>
      </w:pPr>
      <w:rPr>
        <w:rFonts w:hint="default"/>
        <w:lang w:val="en-US" w:eastAsia="en-US" w:bidi="ar-SA"/>
      </w:rPr>
    </w:lvl>
    <w:lvl w:ilvl="6">
      <w:start w:val="0"/>
      <w:numFmt w:val="bullet"/>
      <w:lvlText w:val="•"/>
      <w:lvlJc w:val="left"/>
      <w:pPr>
        <w:ind w:left="3013" w:hanging="227"/>
      </w:pPr>
      <w:rPr>
        <w:rFonts w:hint="default"/>
        <w:lang w:val="en-US" w:eastAsia="en-US" w:bidi="ar-SA"/>
      </w:rPr>
    </w:lvl>
    <w:lvl w:ilvl="7">
      <w:start w:val="0"/>
      <w:numFmt w:val="bullet"/>
      <w:lvlText w:val="•"/>
      <w:lvlJc w:val="left"/>
      <w:pPr>
        <w:ind w:left="3445" w:hanging="227"/>
      </w:pPr>
      <w:rPr>
        <w:rFonts w:hint="default"/>
        <w:lang w:val="en-US" w:eastAsia="en-US" w:bidi="ar-SA"/>
      </w:rPr>
    </w:lvl>
    <w:lvl w:ilvl="8">
      <w:start w:val="0"/>
      <w:numFmt w:val="bullet"/>
      <w:lvlText w:val="•"/>
      <w:lvlJc w:val="left"/>
      <w:pPr>
        <w:ind w:left="3877" w:hanging="227"/>
      </w:pPr>
      <w:rPr>
        <w:rFonts w:hint="default"/>
        <w:lang w:val="en-US" w:eastAsia="en-US" w:bidi="ar-SA"/>
      </w:rPr>
    </w:lvl>
  </w:abstract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ar-SA"/>
    </w:rPr>
  </w:style>
  <w:style w:styleId="TOC1" w:type="paragraph">
    <w:name w:val="TOC 1"/>
    <w:basedOn w:val="Normal"/>
    <w:uiPriority w:val="1"/>
    <w:qFormat/>
    <w:pPr>
      <w:spacing w:before="357"/>
      <w:ind w:left="556"/>
    </w:pPr>
    <w:rPr>
      <w:rFonts w:ascii="TT Norms Pro" w:hAnsi="TT Norms Pro" w:eastAsia="TT Norms Pro" w:cs="TT Norms Pro"/>
      <w:b/>
      <w:bCs/>
      <w:sz w:val="18"/>
      <w:szCs w:val="18"/>
      <w:lang w:val="en-US" w:eastAsia="en-US" w:bidi="ar-SA"/>
    </w:rPr>
  </w:style>
  <w:style w:styleId="TOC2" w:type="paragraph">
    <w:name w:val="TOC 2"/>
    <w:basedOn w:val="Normal"/>
    <w:uiPriority w:val="1"/>
    <w:qFormat/>
    <w:pPr>
      <w:spacing w:before="186"/>
      <w:ind w:left="556"/>
    </w:pPr>
    <w:rPr>
      <w:rFonts w:ascii="TT Norms Pro" w:hAnsi="TT Norms Pro" w:eastAsia="TT Norms Pro" w:cs="TT Norms Pro"/>
      <w:sz w:val="18"/>
      <w:szCs w:val="18"/>
      <w:lang w:val="en-US" w:eastAsia="en-US" w:bidi="ar-SA"/>
    </w:rPr>
  </w:style>
  <w:style w:styleId="BodyText" w:type="paragraph">
    <w:name w:val="Body Text"/>
    <w:basedOn w:val="Normal"/>
    <w:uiPriority w:val="1"/>
    <w:qFormat/>
    <w:pPr/>
    <w:rPr>
      <w:rFonts w:ascii="TT Norms Pro Light" w:hAnsi="TT Norms Pro Light" w:eastAsia="TT Norms Pro Light" w:cs="TT Norms Pro Light"/>
      <w:sz w:val="18"/>
      <w:szCs w:val="18"/>
      <w:lang w:val="en-US" w:eastAsia="en-US" w:bidi="ar-SA"/>
    </w:rPr>
  </w:style>
  <w:style w:styleId="Heading1" w:type="paragraph">
    <w:name w:val="Heading 1"/>
    <w:basedOn w:val="Normal"/>
    <w:uiPriority w:val="1"/>
    <w:qFormat/>
    <w:pPr>
      <w:ind w:left="1133"/>
      <w:outlineLvl w:val="1"/>
    </w:pPr>
    <w:rPr>
      <w:rFonts w:ascii="Palatino Linotype" w:hAnsi="Palatino Linotype" w:eastAsia="Palatino Linotype" w:cs="Palatino Linotype"/>
      <w:sz w:val="80"/>
      <w:szCs w:val="80"/>
      <w:lang w:val="en-US" w:eastAsia="en-US" w:bidi="ar-SA"/>
    </w:rPr>
  </w:style>
  <w:style w:styleId="Heading2" w:type="paragraph">
    <w:name w:val="Heading 2"/>
    <w:basedOn w:val="Normal"/>
    <w:uiPriority w:val="1"/>
    <w:qFormat/>
    <w:pPr>
      <w:spacing w:line="750" w:lineRule="exact"/>
      <w:ind w:left="1828"/>
      <w:outlineLvl w:val="2"/>
    </w:pPr>
    <w:rPr>
      <w:rFonts w:ascii="TT Norms Pro" w:hAnsi="TT Norms Pro" w:eastAsia="TT Norms Pro" w:cs="TT Norms Pro"/>
      <w:b/>
      <w:bCs/>
      <w:sz w:val="70"/>
      <w:szCs w:val="70"/>
      <w:lang w:val="en-US" w:eastAsia="en-US" w:bidi="ar-SA"/>
    </w:rPr>
  </w:style>
  <w:style w:styleId="Heading3" w:type="paragraph">
    <w:name w:val="Heading 3"/>
    <w:basedOn w:val="Normal"/>
    <w:uiPriority w:val="1"/>
    <w:qFormat/>
    <w:pPr>
      <w:ind w:left="457"/>
      <w:outlineLvl w:val="3"/>
    </w:pPr>
    <w:rPr>
      <w:rFonts w:ascii="TT Norms Pro" w:hAnsi="TT Norms Pro" w:eastAsia="TT Norms Pro" w:cs="TT Norms Pro"/>
      <w:b/>
      <w:bCs/>
      <w:sz w:val="48"/>
      <w:szCs w:val="48"/>
      <w:lang w:val="en-US" w:eastAsia="en-US" w:bidi="ar-SA"/>
    </w:rPr>
  </w:style>
  <w:style w:styleId="Heading4" w:type="paragraph">
    <w:name w:val="Heading 4"/>
    <w:basedOn w:val="Normal"/>
    <w:uiPriority w:val="1"/>
    <w:qFormat/>
    <w:pPr>
      <w:ind w:left="173"/>
      <w:outlineLvl w:val="4"/>
    </w:pPr>
    <w:rPr>
      <w:rFonts w:ascii="TT Norms Pro" w:hAnsi="TT Norms Pro" w:eastAsia="TT Norms Pro" w:cs="TT Norms Pro"/>
      <w:b/>
      <w:bCs/>
      <w:sz w:val="46"/>
      <w:szCs w:val="46"/>
      <w:lang w:val="en-US" w:eastAsia="en-US" w:bidi="ar-SA"/>
    </w:rPr>
  </w:style>
  <w:style w:styleId="Heading5" w:type="paragraph">
    <w:name w:val="Heading 5"/>
    <w:basedOn w:val="Normal"/>
    <w:uiPriority w:val="1"/>
    <w:qFormat/>
    <w:pPr>
      <w:jc w:val="center"/>
      <w:outlineLvl w:val="5"/>
    </w:pPr>
    <w:rPr>
      <w:rFonts w:ascii="TT Norms Pro" w:hAnsi="TT Norms Pro" w:eastAsia="TT Norms Pro" w:cs="TT Norms Pro"/>
      <w:b/>
      <w:bCs/>
      <w:sz w:val="42"/>
      <w:szCs w:val="42"/>
      <w:lang w:val="en-US" w:eastAsia="en-US" w:bidi="ar-SA"/>
    </w:rPr>
  </w:style>
  <w:style w:styleId="Heading6" w:type="paragraph">
    <w:name w:val="Heading 6"/>
    <w:basedOn w:val="Normal"/>
    <w:uiPriority w:val="1"/>
    <w:qFormat/>
    <w:pPr>
      <w:ind w:left="864" w:hanging="607"/>
      <w:outlineLvl w:val="6"/>
    </w:pPr>
    <w:rPr>
      <w:rFonts w:ascii="Arial" w:hAnsi="Arial" w:eastAsia="Arial" w:cs="Arial"/>
      <w:b/>
      <w:bCs/>
      <w:sz w:val="32"/>
      <w:szCs w:val="32"/>
      <w:lang w:val="en-US" w:eastAsia="en-US" w:bidi="ar-SA"/>
    </w:rPr>
  </w:style>
  <w:style w:styleId="Heading7" w:type="paragraph">
    <w:name w:val="Heading 7"/>
    <w:basedOn w:val="Normal"/>
    <w:uiPriority w:val="1"/>
    <w:qFormat/>
    <w:pPr>
      <w:ind w:left="1355"/>
      <w:outlineLvl w:val="7"/>
    </w:pPr>
    <w:rPr>
      <w:rFonts w:ascii="TT Norms Pro" w:hAnsi="TT Norms Pro" w:eastAsia="TT Norms Pro" w:cs="TT Norms Pro"/>
      <w:b/>
      <w:bCs/>
      <w:sz w:val="24"/>
      <w:szCs w:val="24"/>
      <w:lang w:val="en-US" w:eastAsia="en-US" w:bidi="ar-SA"/>
    </w:rPr>
  </w:style>
  <w:style w:styleId="Heading8" w:type="paragraph">
    <w:name w:val="Heading 8"/>
    <w:basedOn w:val="Normal"/>
    <w:uiPriority w:val="1"/>
    <w:qFormat/>
    <w:pPr>
      <w:ind w:left="1133"/>
      <w:outlineLvl w:val="8"/>
    </w:pPr>
    <w:rPr>
      <w:rFonts w:ascii="TT Norms Pro Medium" w:hAnsi="TT Norms Pro Medium" w:eastAsia="TT Norms Pro Medium" w:cs="TT Norms Pro Medium"/>
      <w:b/>
      <w:bCs/>
      <w:sz w:val="24"/>
      <w:szCs w:val="24"/>
      <w:lang w:val="en-US" w:eastAsia="en-US" w:bidi="ar-SA"/>
    </w:rPr>
  </w:style>
  <w:style w:styleId="Heading9" w:type="paragraph">
    <w:name w:val="Heading 9"/>
    <w:basedOn w:val="Normal"/>
    <w:uiPriority w:val="1"/>
    <w:qFormat/>
    <w:pPr>
      <w:ind w:left="193"/>
      <w:outlineLvl w:val="9"/>
    </w:pPr>
    <w:rPr>
      <w:rFonts w:ascii="TT Norms Pro Medium" w:hAnsi="TT Norms Pro Medium" w:eastAsia="TT Norms Pro Medium" w:cs="TT Norms Pro Medium"/>
      <w:b/>
      <w:bCs/>
      <w:sz w:val="22"/>
      <w:szCs w:val="22"/>
      <w:lang w:val="en-US" w:eastAsia="en-US" w:bidi="ar-SA"/>
    </w:rPr>
  </w:style>
  <w:style w:styleId="Title" w:type="paragraph">
    <w:name w:val="Title"/>
    <w:basedOn w:val="Normal"/>
    <w:uiPriority w:val="1"/>
    <w:qFormat/>
    <w:pPr>
      <w:spacing w:line="1297" w:lineRule="exact"/>
      <w:ind w:left="730" w:right="2805"/>
      <w:jc w:val="center"/>
    </w:pPr>
    <w:rPr>
      <w:rFonts w:ascii="TT Norms Pro Medium" w:hAnsi="TT Norms Pro Medium" w:eastAsia="TT Norms Pro Medium" w:cs="TT Norms Pro Medium"/>
      <w:b/>
      <w:bCs/>
      <w:sz w:val="114"/>
      <w:szCs w:val="114"/>
      <w:lang w:val="en-US" w:eastAsia="en-US" w:bidi="ar-SA"/>
    </w:rPr>
  </w:style>
  <w:style w:styleId="ListParagraph" w:type="paragraph">
    <w:name w:val="List Paragraph"/>
    <w:basedOn w:val="Normal"/>
    <w:uiPriority w:val="1"/>
    <w:qFormat/>
    <w:pPr>
      <w:ind w:left="972" w:hanging="576"/>
    </w:pPr>
    <w:rPr>
      <w:rFonts w:ascii="Arial" w:hAnsi="Arial" w:eastAsia="Arial" w:cs="Arial"/>
      <w:lang w:val="en-US" w:eastAsia="en-US" w:bidi="ar-SA"/>
    </w:rPr>
  </w:style>
  <w:style w:styleId="TableParagraph" w:type="paragraph">
    <w:name w:val="Table Paragraph"/>
    <w:basedOn w:val="Normal"/>
    <w:uiPriority w:val="1"/>
    <w:qFormat/>
    <w:pPr/>
    <w:rPr>
      <w:rFonts w:ascii="Arial" w:hAnsi="Arial" w:eastAsia="Arial" w:cs="Arial"/>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header" Target="header1.xml"/><Relationship Id="rId10" Type="http://schemas.openxmlformats.org/officeDocument/2006/relationships/header" Target="header2.xml"/><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header" Target="header3.xml"/><Relationship Id="rId17" Type="http://schemas.openxmlformats.org/officeDocument/2006/relationships/header" Target="header4.xml"/><Relationship Id="rId18" Type="http://schemas.openxmlformats.org/officeDocument/2006/relationships/image" Target="media/image9.jpeg"/><Relationship Id="rId19" Type="http://schemas.openxmlformats.org/officeDocument/2006/relationships/image" Target="media/image10.png"/><Relationship Id="rId20" Type="http://schemas.openxmlformats.org/officeDocument/2006/relationships/image" Target="media/image11.png"/><Relationship Id="rId21" Type="http://schemas.openxmlformats.org/officeDocument/2006/relationships/header" Target="header5.xml"/><Relationship Id="rId22" Type="http://schemas.openxmlformats.org/officeDocument/2006/relationships/image" Target="media/image12.jpeg"/><Relationship Id="rId23" Type="http://schemas.openxmlformats.org/officeDocument/2006/relationships/header" Target="header6.xml"/><Relationship Id="rId24" Type="http://schemas.openxmlformats.org/officeDocument/2006/relationships/header" Target="header7.xml"/><Relationship Id="rId25" Type="http://schemas.openxmlformats.org/officeDocument/2006/relationships/image" Target="media/image13.jpeg"/><Relationship Id="rId26" Type="http://schemas.openxmlformats.org/officeDocument/2006/relationships/image" Target="media/image14.jpeg"/><Relationship Id="rId27" Type="http://schemas.openxmlformats.org/officeDocument/2006/relationships/image" Target="media/image15.jpeg"/><Relationship Id="rId28" Type="http://schemas.openxmlformats.org/officeDocument/2006/relationships/image" Target="media/image16.jpeg"/><Relationship Id="rId29" Type="http://schemas.openxmlformats.org/officeDocument/2006/relationships/image" Target="media/image17.png"/><Relationship Id="rId30" Type="http://schemas.openxmlformats.org/officeDocument/2006/relationships/image" Target="media/image18.png"/><Relationship Id="rId31" Type="http://schemas.openxmlformats.org/officeDocument/2006/relationships/image" Target="media/image19.jpeg"/><Relationship Id="rId32" Type="http://schemas.openxmlformats.org/officeDocument/2006/relationships/image" Target="media/image20.jpeg"/><Relationship Id="rId33" Type="http://schemas.openxmlformats.org/officeDocument/2006/relationships/image" Target="media/image21.png"/><Relationship Id="rId34" Type="http://schemas.openxmlformats.org/officeDocument/2006/relationships/image" Target="media/image22.jpeg"/><Relationship Id="rId35" Type="http://schemas.openxmlformats.org/officeDocument/2006/relationships/image" Target="media/image23.jpeg"/><Relationship Id="rId36" Type="http://schemas.openxmlformats.org/officeDocument/2006/relationships/image" Target="media/image24.jpeg"/><Relationship Id="rId37" Type="http://schemas.openxmlformats.org/officeDocument/2006/relationships/image" Target="media/image25.jpeg"/><Relationship Id="rId38" Type="http://schemas.openxmlformats.org/officeDocument/2006/relationships/image" Target="media/image26.jpeg"/><Relationship Id="rId39" Type="http://schemas.openxmlformats.org/officeDocument/2006/relationships/image" Target="media/image27.jpeg"/><Relationship Id="rId40" Type="http://schemas.openxmlformats.org/officeDocument/2006/relationships/image" Target="media/image28.jpeg"/><Relationship Id="rId41" Type="http://schemas.openxmlformats.org/officeDocument/2006/relationships/header" Target="header8.xml"/><Relationship Id="rId42" Type="http://schemas.openxmlformats.org/officeDocument/2006/relationships/image" Target="media/image29.jpeg"/><Relationship Id="rId43" Type="http://schemas.openxmlformats.org/officeDocument/2006/relationships/header" Target="header9.xml"/><Relationship Id="rId44" Type="http://schemas.openxmlformats.org/officeDocument/2006/relationships/header" Target="header10.xml"/><Relationship Id="rId45" Type="http://schemas.openxmlformats.org/officeDocument/2006/relationships/image" Target="media/image30.jpeg"/><Relationship Id="rId46" Type="http://schemas.openxmlformats.org/officeDocument/2006/relationships/image" Target="media/image31.jpeg"/><Relationship Id="rId47" Type="http://schemas.openxmlformats.org/officeDocument/2006/relationships/image" Target="media/image32.jpeg"/><Relationship Id="rId48" Type="http://schemas.openxmlformats.org/officeDocument/2006/relationships/image" Target="media/image33.jpeg"/><Relationship Id="rId49" Type="http://schemas.openxmlformats.org/officeDocument/2006/relationships/image" Target="media/image34.jpeg"/><Relationship Id="rId50" Type="http://schemas.openxmlformats.org/officeDocument/2006/relationships/image" Target="media/image35.png"/><Relationship Id="rId51" Type="http://schemas.openxmlformats.org/officeDocument/2006/relationships/image" Target="media/image36.png"/><Relationship Id="rId52" Type="http://schemas.openxmlformats.org/officeDocument/2006/relationships/image" Target="media/image37.png"/><Relationship Id="rId53" Type="http://schemas.openxmlformats.org/officeDocument/2006/relationships/image" Target="media/image38.jpeg"/><Relationship Id="rId54" Type="http://schemas.openxmlformats.org/officeDocument/2006/relationships/image" Target="media/image39.jpeg"/><Relationship Id="rId55" Type="http://schemas.openxmlformats.org/officeDocument/2006/relationships/image" Target="media/image40.jpeg"/><Relationship Id="rId56" Type="http://schemas.openxmlformats.org/officeDocument/2006/relationships/image" Target="media/image41.jpeg"/><Relationship Id="rId57" Type="http://schemas.openxmlformats.org/officeDocument/2006/relationships/image" Target="media/image42.jpeg"/><Relationship Id="rId58" Type="http://schemas.openxmlformats.org/officeDocument/2006/relationships/image" Target="media/image43.jpeg"/><Relationship Id="rId59" Type="http://schemas.openxmlformats.org/officeDocument/2006/relationships/image" Target="media/image44.png"/><Relationship Id="rId60" Type="http://schemas.openxmlformats.org/officeDocument/2006/relationships/image" Target="media/image45.jpeg"/><Relationship Id="rId61" Type="http://schemas.openxmlformats.org/officeDocument/2006/relationships/image" Target="media/image46.png"/><Relationship Id="rId62" Type="http://schemas.openxmlformats.org/officeDocument/2006/relationships/image" Target="media/image47.jpeg"/><Relationship Id="rId63" Type="http://schemas.openxmlformats.org/officeDocument/2006/relationships/image" Target="media/image48.jpeg"/><Relationship Id="rId64" Type="http://schemas.openxmlformats.org/officeDocument/2006/relationships/image" Target="media/image49.jpeg"/><Relationship Id="rId65" Type="http://schemas.openxmlformats.org/officeDocument/2006/relationships/image" Target="media/image50.png"/><Relationship Id="rId66" Type="http://schemas.openxmlformats.org/officeDocument/2006/relationships/image" Target="media/image51.jpeg"/><Relationship Id="rId67" Type="http://schemas.openxmlformats.org/officeDocument/2006/relationships/image" Target="media/image52.jpeg"/><Relationship Id="rId68" Type="http://schemas.openxmlformats.org/officeDocument/2006/relationships/image" Target="media/image53.png"/><Relationship Id="rId69" Type="http://schemas.openxmlformats.org/officeDocument/2006/relationships/image" Target="media/image54.jpeg"/><Relationship Id="rId70" Type="http://schemas.openxmlformats.org/officeDocument/2006/relationships/header" Target="header11.xml"/><Relationship Id="rId71" Type="http://schemas.openxmlformats.org/officeDocument/2006/relationships/image" Target="media/image55.jpeg"/><Relationship Id="rId72" Type="http://schemas.openxmlformats.org/officeDocument/2006/relationships/header" Target="header12.xml"/><Relationship Id="rId73" Type="http://schemas.openxmlformats.org/officeDocument/2006/relationships/header" Target="header13.xml"/><Relationship Id="rId74" Type="http://schemas.openxmlformats.org/officeDocument/2006/relationships/image" Target="media/image56.png"/><Relationship Id="rId75" Type="http://schemas.openxmlformats.org/officeDocument/2006/relationships/image" Target="media/image57.png"/><Relationship Id="rId76" Type="http://schemas.openxmlformats.org/officeDocument/2006/relationships/image" Target="media/image58.png"/><Relationship Id="rId77" Type="http://schemas.openxmlformats.org/officeDocument/2006/relationships/image" Target="media/image59.png"/><Relationship Id="rId78" Type="http://schemas.openxmlformats.org/officeDocument/2006/relationships/image" Target="media/image60.png"/><Relationship Id="rId79" Type="http://schemas.openxmlformats.org/officeDocument/2006/relationships/image" Target="media/image61.png"/><Relationship Id="rId80" Type="http://schemas.openxmlformats.org/officeDocument/2006/relationships/image" Target="media/image62.png"/><Relationship Id="rId81" Type="http://schemas.openxmlformats.org/officeDocument/2006/relationships/image" Target="media/image63.png"/><Relationship Id="rId82" Type="http://schemas.openxmlformats.org/officeDocument/2006/relationships/image" Target="media/image64.png"/><Relationship Id="rId83" Type="http://schemas.openxmlformats.org/officeDocument/2006/relationships/image" Target="media/image65.jpeg"/><Relationship Id="rId84" Type="http://schemas.openxmlformats.org/officeDocument/2006/relationships/hyperlink" Target="http://www.shanghairanking.com/" TargetMode="External"/><Relationship Id="rId85" Type="http://schemas.openxmlformats.org/officeDocument/2006/relationships/hyperlink" Target="http://www.topuniversities.com/" TargetMode="External"/><Relationship Id="rId86" Type="http://schemas.openxmlformats.org/officeDocument/2006/relationships/hyperlink" Target="http://www.timeshighereducation.co.uk/" TargetMode="External"/><Relationship Id="rId87" Type="http://schemas.openxmlformats.org/officeDocument/2006/relationships/image" Target="media/image66.jpeg"/><Relationship Id="rId88" Type="http://schemas.openxmlformats.org/officeDocument/2006/relationships/image" Target="media/image67.jpeg"/><Relationship Id="rId89" Type="http://schemas.openxmlformats.org/officeDocument/2006/relationships/image" Target="media/image68.jpeg"/><Relationship Id="rId90" Type="http://schemas.openxmlformats.org/officeDocument/2006/relationships/image" Target="media/image69.jpeg"/><Relationship Id="rId91" Type="http://schemas.openxmlformats.org/officeDocument/2006/relationships/image" Target="media/image70.jpeg"/><Relationship Id="rId92" Type="http://schemas.openxmlformats.org/officeDocument/2006/relationships/image" Target="media/image71.jpeg"/><Relationship Id="rId93" Type="http://schemas.openxmlformats.org/officeDocument/2006/relationships/image" Target="media/image72.jpeg"/><Relationship Id="rId94" Type="http://schemas.openxmlformats.org/officeDocument/2006/relationships/image" Target="media/image73.png"/><Relationship Id="rId95" Type="http://schemas.openxmlformats.org/officeDocument/2006/relationships/image" Target="media/image74.png"/><Relationship Id="rId96" Type="http://schemas.openxmlformats.org/officeDocument/2006/relationships/image" Target="media/image75.jpeg"/><Relationship Id="rId97" Type="http://schemas.openxmlformats.org/officeDocument/2006/relationships/image" Target="media/image76.png"/><Relationship Id="rId98" Type="http://schemas.openxmlformats.org/officeDocument/2006/relationships/hyperlink" Target="http://www.auasb.gov.au/auditors_responsibilities/ar4.pdf" TargetMode="External"/><Relationship Id="rId99" Type="http://schemas.openxmlformats.org/officeDocument/2006/relationships/image" Target="media/image77.png"/><Relationship Id="rId100" Type="http://schemas.openxmlformats.org/officeDocument/2006/relationships/image" Target="media/image78.png"/><Relationship Id="rId101" Type="http://schemas.openxmlformats.org/officeDocument/2006/relationships/image" Target="media/image79.png"/><Relationship Id="rId102" Type="http://schemas.openxmlformats.org/officeDocument/2006/relationships/image" Target="media/image80.png"/><Relationship Id="rId103" Type="http://schemas.openxmlformats.org/officeDocument/2006/relationships/image" Target="media/image81.png"/><Relationship Id="rId104" Type="http://schemas.openxmlformats.org/officeDocument/2006/relationships/image" Target="media/image82.png"/><Relationship Id="rId105" Type="http://schemas.openxmlformats.org/officeDocument/2006/relationships/image" Target="media/image83.png"/><Relationship Id="rId106" Type="http://schemas.openxmlformats.org/officeDocument/2006/relationships/header" Target="header14.xml"/><Relationship Id="rId107" Type="http://schemas.openxmlformats.org/officeDocument/2006/relationships/header" Target="header15.xml"/><Relationship Id="rId108" Type="http://schemas.openxmlformats.org/officeDocument/2006/relationships/header" Target="header16.xml"/><Relationship Id="rId109" Type="http://schemas.openxmlformats.org/officeDocument/2006/relationships/header" Target="header17.xml"/><Relationship Id="rId110" Type="http://schemas.openxmlformats.org/officeDocument/2006/relationships/header" Target="header18.xml"/><Relationship Id="rId111" Type="http://schemas.openxmlformats.org/officeDocument/2006/relationships/header" Target="header19.xml"/><Relationship Id="rId112" Type="http://schemas.openxmlformats.org/officeDocument/2006/relationships/header" Target="header20.xml"/><Relationship Id="rId113" Type="http://schemas.openxmlformats.org/officeDocument/2006/relationships/header" Target="header21.xml"/><Relationship Id="rId114" Type="http://schemas.openxmlformats.org/officeDocument/2006/relationships/header" Target="header22.xml"/><Relationship Id="rId115" Type="http://schemas.openxmlformats.org/officeDocument/2006/relationships/header" Target="header23.xml"/><Relationship Id="rId116" Type="http://schemas.openxmlformats.org/officeDocument/2006/relationships/header" Target="header24.xml"/><Relationship Id="rId117" Type="http://schemas.openxmlformats.org/officeDocument/2006/relationships/header" Target="header25.xml"/><Relationship Id="rId118" Type="http://schemas.openxmlformats.org/officeDocument/2006/relationships/header" Target="header26.xml"/><Relationship Id="rId119" Type="http://schemas.openxmlformats.org/officeDocument/2006/relationships/header" Target="header27.xml"/><Relationship Id="rId120" Type="http://schemas.openxmlformats.org/officeDocument/2006/relationships/header" Target="header28.xml"/><Relationship Id="rId121" Type="http://schemas.openxmlformats.org/officeDocument/2006/relationships/header" Target="header29.xml"/><Relationship Id="rId122" Type="http://schemas.openxmlformats.org/officeDocument/2006/relationships/header" Target="header30.xml"/><Relationship Id="rId123" Type="http://schemas.openxmlformats.org/officeDocument/2006/relationships/header" Target="header31.xml"/><Relationship Id="rId124" Type="http://schemas.openxmlformats.org/officeDocument/2006/relationships/header" Target="header32.xml"/><Relationship Id="rId125" Type="http://schemas.openxmlformats.org/officeDocument/2006/relationships/header" Target="header33.xml"/><Relationship Id="rId126" Type="http://schemas.openxmlformats.org/officeDocument/2006/relationships/header" Target="header34.xml"/><Relationship Id="rId127" Type="http://schemas.openxmlformats.org/officeDocument/2006/relationships/header" Target="header35.xml"/><Relationship Id="rId128" Type="http://schemas.openxmlformats.org/officeDocument/2006/relationships/image" Target="media/image84.jpeg"/><Relationship Id="rId129" Type="http://schemas.openxmlformats.org/officeDocument/2006/relationships/header" Target="header36.xml"/><Relationship Id="rId130" Type="http://schemas.openxmlformats.org/officeDocument/2006/relationships/image" Target="media/image85.png"/><Relationship Id="rId131" Type="http://schemas.openxmlformats.org/officeDocument/2006/relationships/header" Target="header37.xml"/><Relationship Id="rId132" Type="http://schemas.openxmlformats.org/officeDocument/2006/relationships/image" Target="media/image86.png"/><Relationship Id="rId133" Type="http://schemas.openxmlformats.org/officeDocument/2006/relationships/image" Target="media/image87.png"/><Relationship Id="rId134" Type="http://schemas.openxmlformats.org/officeDocument/2006/relationships/image" Target="media/image88.png"/><Relationship Id="rId135" Type="http://schemas.openxmlformats.org/officeDocument/2006/relationships/image" Target="media/image89.png"/><Relationship Id="rId136" Type="http://schemas.openxmlformats.org/officeDocument/2006/relationships/image" Target="media/image90.png"/><Relationship Id="rId137" Type="http://schemas.openxmlformats.org/officeDocument/2006/relationships/image" Target="media/image91.png"/><Relationship Id="rId138" Type="http://schemas.openxmlformats.org/officeDocument/2006/relationships/image" Target="media/image92.png"/><Relationship Id="rId139" Type="http://schemas.openxmlformats.org/officeDocument/2006/relationships/image" Target="media/image93.png"/><Relationship Id="rId140" Type="http://schemas.openxmlformats.org/officeDocument/2006/relationships/image" Target="media/image94.png"/><Relationship Id="rId141" Type="http://schemas.openxmlformats.org/officeDocument/2006/relationships/image" Target="media/image95.png"/><Relationship Id="rId142" Type="http://schemas.openxmlformats.org/officeDocument/2006/relationships/image" Target="media/image96.png"/><Relationship Id="rId143" Type="http://schemas.openxmlformats.org/officeDocument/2006/relationships/hyperlink" Target="mailto:university-secretary@uwa.edu.au" TargetMode="External"/><Relationship Id="rId144" Type="http://schemas.openxmlformats.org/officeDocument/2006/relationships/image" Target="media/image97.png"/><Relationship Id="rId145" Type="http://schemas.openxmlformats.org/officeDocument/2006/relationships/image" Target="media/image98.png"/><Relationship Id="rId146" Type="http://schemas.openxmlformats.org/officeDocument/2006/relationships/image" Target="media/image99.png"/><Relationship Id="rId147" Type="http://schemas.openxmlformats.org/officeDocument/2006/relationships/image" Target="media/image100.png"/><Relationship Id="rId148"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2024-03-20T02:02:29Z</dcterms:created>
  <dcterms:modified xsi:type="dcterms:W3CDTF">2024-03-20T02:02:29Z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2021-03-10T00:00:00Z</vt:filetime>
  </property>
  <property fmtid="{D5CDD505-2E9C-101B-9397-08002B2CF9AE}" pid="3" name="Creator">
    <vt:lpwstr>Adobe InDesign 16.0 (Macintosh)</vt:lpwstr>
  </property>
  <property fmtid="{D5CDD505-2E9C-101B-9397-08002B2CF9AE}" pid="4" name="LastSaved">
    <vt:filetime>2024-03-20T00:00:00Z</vt:filetime>
  </property>
  <property fmtid="{D5CDD505-2E9C-101B-9397-08002B2CF9AE}" pid="5" name="Producer">
    <vt:lpwstr>Adobe PDF Library 15.0</vt:lpwstr>
  </property>
</Properties>
</file>